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header19.xml" ContentType="application/vnd.openxmlformats-officedocument.wordprocessingml.header+xml"/>
  <Override PartName="/word/charts/chart7.xml" ContentType="application/vnd.openxmlformats-officedocument.drawingml.chart+xml"/>
  <Override PartName="/word/charts/chart8.xml" ContentType="application/vnd.openxmlformats-officedocument.drawingml.chart+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64664F9" w14:textId="0792F9FA" w:rsidR="009C353B" w:rsidRDefault="00000000" w:rsidP="00D604DD">
      <w:pPr>
        <w:pStyle w:val="1"/>
        <w:spacing w:before="100" w:beforeAutospacing="1" w:after="100" w:afterAutospacing="1" w:line="578" w:lineRule="exact"/>
        <w:jc w:val="center"/>
        <w:rPr>
          <w:rFonts w:ascii="Times New Roman" w:hAnsi="Times New Roman"/>
          <w:sz w:val="36"/>
        </w:rPr>
      </w:pPr>
      <w:bookmarkStart w:id="0" w:name="_Toc163440972"/>
      <w:bookmarkStart w:id="1" w:name="_Toc59189811"/>
      <w:r>
        <w:rPr>
          <w:rFonts w:ascii="Times New Roman" w:hAnsi="Times New Roman"/>
          <w:sz w:val="36"/>
        </w:rPr>
        <w:t xml:space="preserve">1 </w:t>
      </w:r>
      <w:r w:rsidRPr="00D604DD">
        <w:rPr>
          <w:rFonts w:ascii="Times New Roman" w:hAnsi="Times New Roman"/>
          <w:sz w:val="36"/>
        </w:rPr>
        <w:t>总</w:t>
      </w:r>
      <w:r>
        <w:rPr>
          <w:rFonts w:ascii="Times New Roman" w:hAnsi="Times New Roman"/>
          <w:sz w:val="36"/>
        </w:rPr>
        <w:t xml:space="preserve">  </w:t>
      </w:r>
      <w:bookmarkEnd w:id="0"/>
      <w:r w:rsidRPr="00D604DD">
        <w:rPr>
          <w:rFonts w:ascii="Times New Roman" w:hAnsi="Times New Roman"/>
          <w:sz w:val="36"/>
        </w:rPr>
        <w:t>则</w:t>
      </w:r>
      <w:bookmarkEnd w:id="1"/>
    </w:p>
    <w:p w14:paraId="359C87F6" w14:textId="77777777" w:rsidR="009C353B" w:rsidRDefault="00000000">
      <w:pPr>
        <w:pStyle w:val="2"/>
        <w:snapToGrid w:val="0"/>
        <w:spacing w:line="440" w:lineRule="exact"/>
        <w:rPr>
          <w:rFonts w:ascii="Times New Roman" w:eastAsia="宋体" w:hAnsi="Times New Roman"/>
          <w:b/>
          <w:sz w:val="28"/>
        </w:rPr>
      </w:pPr>
      <w:bookmarkStart w:id="2" w:name="_Toc59189812"/>
      <w:r>
        <w:rPr>
          <w:rFonts w:ascii="Times New Roman" w:eastAsia="宋体" w:hAnsi="Times New Roman" w:hint="eastAsia"/>
          <w:b/>
          <w:sz w:val="28"/>
        </w:rPr>
        <w:t>1</w:t>
      </w:r>
      <w:r>
        <w:rPr>
          <w:rFonts w:ascii="Times New Roman" w:eastAsia="宋体" w:hAnsi="Times New Roman"/>
          <w:b/>
          <w:sz w:val="28"/>
        </w:rPr>
        <w:t xml:space="preserve">.1 </w:t>
      </w:r>
      <w:r>
        <w:rPr>
          <w:rFonts w:ascii="Times New Roman" w:eastAsia="宋体" w:hAnsi="Times New Roman" w:hint="eastAsia"/>
          <w:b/>
          <w:sz w:val="28"/>
        </w:rPr>
        <w:t>规划背景与任务由来</w:t>
      </w:r>
      <w:bookmarkEnd w:id="2"/>
    </w:p>
    <w:p w14:paraId="5118CA99" w14:textId="77777777" w:rsidR="009C353B" w:rsidRDefault="00000000">
      <w:pPr>
        <w:pStyle w:val="3"/>
        <w:spacing w:before="120" w:after="12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 xml:space="preserve">.1.1 </w:t>
      </w:r>
      <w:r>
        <w:rPr>
          <w:rFonts w:ascii="Times New Roman" w:hAnsi="Times New Roman" w:hint="eastAsia"/>
          <w:sz w:val="24"/>
        </w:rPr>
        <w:t>规划背景</w:t>
      </w:r>
    </w:p>
    <w:p w14:paraId="3F212E7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横城矿区开发时间较早，</w:t>
      </w:r>
      <w:r>
        <w:rPr>
          <w:rFonts w:ascii="Times New Roman" w:hint="eastAsia"/>
        </w:rPr>
        <w:t>2</w:t>
      </w:r>
      <w:r>
        <w:rPr>
          <w:rFonts w:ascii="Times New Roman"/>
        </w:rPr>
        <w:t>004</w:t>
      </w:r>
      <w:r>
        <w:rPr>
          <w:rFonts w:ascii="Times New Roman" w:hint="eastAsia"/>
        </w:rPr>
        <w:t>年</w:t>
      </w:r>
      <w:r>
        <w:rPr>
          <w:rFonts w:ascii="Times New Roman"/>
        </w:rPr>
        <w:t>国家发展和改革委员会</w:t>
      </w:r>
      <w:r>
        <w:rPr>
          <w:rFonts w:ascii="Times New Roman" w:hint="eastAsia"/>
        </w:rPr>
        <w:t>以《国家发展改革委关于宁夏横城矿区总体规划的批复》（发改能源</w:t>
      </w:r>
      <w:r>
        <w:rPr>
          <w:rFonts w:hint="eastAsia"/>
        </w:rPr>
        <w:t>〔</w:t>
      </w:r>
      <w:r>
        <w:rPr>
          <w:rFonts w:ascii="Times New Roman" w:hint="eastAsia"/>
        </w:rPr>
        <w:t>20</w:t>
      </w:r>
      <w:r>
        <w:rPr>
          <w:rFonts w:ascii="Times New Roman"/>
        </w:rPr>
        <w:t>0</w:t>
      </w:r>
      <w:r>
        <w:rPr>
          <w:rFonts w:ascii="Times New Roman" w:hint="eastAsia"/>
        </w:rPr>
        <w:t>4</w:t>
      </w:r>
      <w:r>
        <w:rPr>
          <w:rFonts w:hint="eastAsia"/>
        </w:rPr>
        <w:t>〕</w:t>
      </w:r>
      <w:r>
        <w:rPr>
          <w:rFonts w:ascii="Times New Roman" w:hint="eastAsia"/>
        </w:rPr>
        <w:t>2166</w:t>
      </w:r>
      <w:r>
        <w:rPr>
          <w:rFonts w:ascii="Times New Roman" w:hint="eastAsia"/>
        </w:rPr>
        <w:t>号）对总体规划进行批复。矿区划分为</w:t>
      </w:r>
      <w:r>
        <w:rPr>
          <w:rFonts w:ascii="Times New Roman"/>
        </w:rPr>
        <w:t>4</w:t>
      </w:r>
      <w:r>
        <w:rPr>
          <w:rFonts w:ascii="Times New Roman" w:hint="eastAsia"/>
        </w:rPr>
        <w:t>个井田开发，规划范围</w:t>
      </w:r>
      <w:r>
        <w:rPr>
          <w:rFonts w:ascii="Times New Roman"/>
        </w:rPr>
        <w:t>58</w:t>
      </w:r>
      <w:r>
        <w:rPr>
          <w:rFonts w:ascii="Times New Roman" w:hint="eastAsia"/>
        </w:rPr>
        <w:t>km</w:t>
      </w:r>
      <w:r>
        <w:rPr>
          <w:rFonts w:ascii="Times New Roman" w:hint="eastAsia"/>
          <w:vertAlign w:val="superscript"/>
        </w:rPr>
        <w:t>2</w:t>
      </w:r>
      <w:r>
        <w:rPr>
          <w:rFonts w:ascii="Times New Roman" w:hint="eastAsia"/>
        </w:rPr>
        <w:t>，总规模</w:t>
      </w:r>
      <w:r>
        <w:rPr>
          <w:rFonts w:ascii="Times New Roman"/>
        </w:rPr>
        <w:t>6.0</w:t>
      </w:r>
      <w:r>
        <w:rPr>
          <w:rFonts w:ascii="Times New Roman" w:hint="eastAsia"/>
        </w:rPr>
        <w:t>Mt/a</w:t>
      </w:r>
      <w:r>
        <w:rPr>
          <w:rFonts w:ascii="Times New Roman" w:hint="eastAsia"/>
        </w:rPr>
        <w:t>，分别为马莲台</w:t>
      </w:r>
      <w:r>
        <w:rPr>
          <w:rFonts w:ascii="Times New Roman" w:hint="eastAsia"/>
        </w:rPr>
        <w:t>2</w:t>
      </w:r>
      <w:r>
        <w:rPr>
          <w:rFonts w:ascii="Times New Roman"/>
        </w:rPr>
        <w:t>.4</w:t>
      </w:r>
      <w:r>
        <w:rPr>
          <w:rFonts w:ascii="Times New Roman" w:hint="eastAsia"/>
        </w:rPr>
        <w:t>Mt/a</w:t>
      </w:r>
      <w:r>
        <w:rPr>
          <w:rFonts w:ascii="Times New Roman" w:hint="eastAsia"/>
        </w:rPr>
        <w:t>、任家庄</w:t>
      </w:r>
      <w:r>
        <w:rPr>
          <w:rFonts w:ascii="Times New Roman" w:hint="eastAsia"/>
        </w:rPr>
        <w:t>2</w:t>
      </w:r>
      <w:r>
        <w:rPr>
          <w:rFonts w:ascii="Times New Roman"/>
        </w:rPr>
        <w:t>.4</w:t>
      </w:r>
      <w:r>
        <w:rPr>
          <w:rFonts w:ascii="Times New Roman" w:hint="eastAsia"/>
        </w:rPr>
        <w:t>Mt/a</w:t>
      </w:r>
      <w:r>
        <w:rPr>
          <w:rFonts w:ascii="Times New Roman" w:hint="eastAsia"/>
        </w:rPr>
        <w:t>、红石湾</w:t>
      </w:r>
      <w:r>
        <w:rPr>
          <w:rFonts w:ascii="Times New Roman"/>
        </w:rPr>
        <w:t>0.6</w:t>
      </w:r>
      <w:r>
        <w:rPr>
          <w:rFonts w:ascii="Times New Roman" w:hint="eastAsia"/>
        </w:rPr>
        <w:t>Mt/a</w:t>
      </w:r>
      <w:r>
        <w:rPr>
          <w:rFonts w:ascii="Times New Roman" w:hint="eastAsia"/>
        </w:rPr>
        <w:t>、丁家梁</w:t>
      </w:r>
      <w:r>
        <w:rPr>
          <w:rFonts w:ascii="Times New Roman"/>
        </w:rPr>
        <w:t>0.6</w:t>
      </w:r>
      <w:r>
        <w:rPr>
          <w:rFonts w:ascii="Times New Roman" w:hint="eastAsia"/>
        </w:rPr>
        <w:t>Mt/a</w:t>
      </w:r>
      <w:r>
        <w:rPr>
          <w:rFonts w:ascii="Times New Roman" w:hint="eastAsia"/>
        </w:rPr>
        <w:t>。</w:t>
      </w:r>
    </w:p>
    <w:p w14:paraId="76FF7D3D" w14:textId="77777777" w:rsidR="009C353B" w:rsidRDefault="00000000">
      <w:pPr>
        <w:adjustRightInd w:val="0"/>
        <w:snapToGrid w:val="0"/>
        <w:spacing w:line="440" w:lineRule="exact"/>
        <w:ind w:firstLineChars="200" w:firstLine="480"/>
        <w:rPr>
          <w:rFonts w:ascii="Times New Roman" w:hint="eastAsia"/>
        </w:rPr>
      </w:pPr>
      <w:r>
        <w:rPr>
          <w:rFonts w:ascii="Times New Roman"/>
        </w:rPr>
        <w:t>随着宁东基地的开发建设</w:t>
      </w:r>
      <w:r>
        <w:rPr>
          <w:rFonts w:ascii="Times New Roman" w:hint="eastAsia"/>
        </w:rPr>
        <w:t>，目前</w:t>
      </w:r>
      <w:r>
        <w:rPr>
          <w:rFonts w:ascii="Times New Roman"/>
        </w:rPr>
        <w:t>横城矿区的内外部条件均发生了较大变化</w:t>
      </w:r>
      <w:r>
        <w:rPr>
          <w:rFonts w:ascii="Times New Roman" w:hint="eastAsia"/>
        </w:rPr>
        <w:t>。横城矿区是宁东基地中最接近工业园区、煤化工园区等用煤用户的矿区，其煤炭供给园区的电厂、煤化工等项目。规划</w:t>
      </w:r>
      <w:r>
        <w:rPr>
          <w:rFonts w:ascii="Times New Roman"/>
        </w:rPr>
        <w:t>实施</w:t>
      </w:r>
      <w:r>
        <w:rPr>
          <w:rFonts w:ascii="Times New Roman" w:hint="eastAsia"/>
        </w:rPr>
        <w:t>至今，马莲台、任家庄和红石湾</w:t>
      </w:r>
      <w:r>
        <w:rPr>
          <w:rFonts w:ascii="Times New Roman" w:hint="eastAsia"/>
        </w:rPr>
        <w:t>3</w:t>
      </w:r>
      <w:r>
        <w:rPr>
          <w:rFonts w:ascii="Times New Roman" w:hint="eastAsia"/>
        </w:rPr>
        <w:t>个生产矿井规模与原规划规模相比均有变化，目前矿区煤炭开发总规模已达到</w:t>
      </w:r>
      <w:r>
        <w:rPr>
          <w:rFonts w:ascii="Times New Roman"/>
        </w:rPr>
        <w:t>8.3</w:t>
      </w:r>
      <w:r>
        <w:rPr>
          <w:rFonts w:ascii="Times New Roman" w:hint="eastAsia"/>
        </w:rPr>
        <w:t>Mt/a</w:t>
      </w:r>
      <w:r>
        <w:rPr>
          <w:rFonts w:ascii="Times New Roman" w:hint="eastAsia"/>
        </w:rPr>
        <w:t>，其中马莲台矿井</w:t>
      </w:r>
      <w:r>
        <w:rPr>
          <w:rFonts w:ascii="Times New Roman"/>
        </w:rPr>
        <w:t>3.6</w:t>
      </w:r>
      <w:r>
        <w:rPr>
          <w:rFonts w:ascii="Times New Roman" w:hint="eastAsia"/>
        </w:rPr>
        <w:t>Mt/a</w:t>
      </w:r>
      <w:r>
        <w:rPr>
          <w:rFonts w:ascii="Times New Roman" w:hint="eastAsia"/>
        </w:rPr>
        <w:t>、任家庄矿井</w:t>
      </w:r>
      <w:r>
        <w:rPr>
          <w:rFonts w:ascii="Times New Roman"/>
        </w:rPr>
        <w:t>3.6</w:t>
      </w:r>
      <w:r>
        <w:rPr>
          <w:rFonts w:ascii="Times New Roman" w:hint="eastAsia"/>
        </w:rPr>
        <w:t>Mt/a</w:t>
      </w:r>
      <w:r>
        <w:rPr>
          <w:rFonts w:ascii="Times New Roman" w:hint="eastAsia"/>
        </w:rPr>
        <w:t>、红石湾矿井</w:t>
      </w:r>
      <w:r>
        <w:rPr>
          <w:rFonts w:ascii="Times New Roman"/>
        </w:rPr>
        <w:t>1.1</w:t>
      </w:r>
      <w:r>
        <w:rPr>
          <w:rFonts w:ascii="Times New Roman" w:hint="eastAsia"/>
        </w:rPr>
        <w:t>Mt/a</w:t>
      </w:r>
      <w:r>
        <w:rPr>
          <w:rFonts w:ascii="Times New Roman" w:hint="eastAsia"/>
        </w:rPr>
        <w:t>。规划的丁家梁矿井（</w:t>
      </w:r>
      <w:r>
        <w:rPr>
          <w:rFonts w:ascii="Times New Roman"/>
        </w:rPr>
        <w:t>0.6</w:t>
      </w:r>
      <w:r>
        <w:rPr>
          <w:rFonts w:ascii="Times New Roman" w:hint="eastAsia"/>
        </w:rPr>
        <w:t>Mt/a</w:t>
      </w:r>
      <w:r>
        <w:rPr>
          <w:rFonts w:ascii="Times New Roman" w:hint="eastAsia"/>
        </w:rPr>
        <w:t>）在建，目前停建。原规划的四个煤矿的目前具体情况如下。</w:t>
      </w:r>
    </w:p>
    <w:p w14:paraId="42748558" w14:textId="77777777" w:rsidR="009C353B" w:rsidRDefault="00000000">
      <w:pPr>
        <w:adjustRightInd w:val="0"/>
        <w:snapToGrid w:val="0"/>
        <w:spacing w:line="440" w:lineRule="exact"/>
        <w:ind w:firstLineChars="200" w:firstLine="480"/>
        <w:rPr>
          <w:rFonts w:ascii="Times New Roman" w:hint="eastAsia"/>
        </w:rPr>
      </w:pPr>
      <w:bookmarkStart w:id="3" w:name="_Hlk48554211"/>
      <w:r>
        <w:rPr>
          <w:rFonts w:ascii="Times New Roman" w:hint="eastAsia"/>
        </w:rPr>
        <w:t>马莲台煤矿：</w:t>
      </w:r>
      <w:r>
        <w:rPr>
          <w:rFonts w:ascii="Times New Roman" w:hint="eastAsia"/>
        </w:rPr>
        <w:t>2</w:t>
      </w:r>
      <w:r>
        <w:rPr>
          <w:rFonts w:ascii="Times New Roman"/>
        </w:rPr>
        <w:t>006</w:t>
      </w:r>
      <w:r>
        <w:rPr>
          <w:rFonts w:ascii="Times New Roman" w:hint="eastAsia"/>
        </w:rPr>
        <w:t>年</w:t>
      </w:r>
      <w:r>
        <w:rPr>
          <w:rFonts w:ascii="Times New Roman"/>
        </w:rPr>
        <w:t>原国家环境保护总局</w:t>
      </w:r>
      <w:r>
        <w:rPr>
          <w:rFonts w:ascii="Times New Roman" w:hint="eastAsia"/>
        </w:rPr>
        <w:t>以</w:t>
      </w:r>
      <w:r>
        <w:rPr>
          <w:rFonts w:ascii="Times New Roman"/>
        </w:rPr>
        <w:t>环</w:t>
      </w:r>
      <w:r>
        <w:rPr>
          <w:rFonts w:ascii="Times New Roman" w:hint="eastAsia"/>
        </w:rPr>
        <w:t>审</w:t>
      </w:r>
      <w:r>
        <w:rPr>
          <w:rFonts w:hint="eastAsia"/>
        </w:rPr>
        <w:t>〔</w:t>
      </w:r>
      <w:r>
        <w:rPr>
          <w:rFonts w:ascii="Times New Roman" w:hint="eastAsia"/>
        </w:rPr>
        <w:t>20</w:t>
      </w:r>
      <w:r>
        <w:rPr>
          <w:rFonts w:ascii="Times New Roman"/>
        </w:rPr>
        <w:t>06</w:t>
      </w:r>
      <w:r>
        <w:rPr>
          <w:rFonts w:hint="eastAsia"/>
        </w:rPr>
        <w:t>〕</w:t>
      </w:r>
      <w:r>
        <w:rPr>
          <w:rFonts w:ascii="Times New Roman"/>
        </w:rPr>
        <w:t>180</w:t>
      </w:r>
      <w:r>
        <w:rPr>
          <w:rFonts w:ascii="Times New Roman"/>
        </w:rPr>
        <w:t>号</w:t>
      </w:r>
      <w:r>
        <w:rPr>
          <w:rFonts w:ascii="Times New Roman" w:hint="eastAsia"/>
        </w:rPr>
        <w:t>批复了</w:t>
      </w:r>
      <w:r>
        <w:rPr>
          <w:rFonts w:ascii="Times New Roman" w:hint="eastAsia"/>
        </w:rPr>
        <w:t>2</w:t>
      </w:r>
      <w:r>
        <w:rPr>
          <w:rFonts w:ascii="Times New Roman"/>
        </w:rPr>
        <w:t>.4Mt/a</w:t>
      </w:r>
      <w:r>
        <w:rPr>
          <w:rFonts w:ascii="Times New Roman" w:hint="eastAsia"/>
        </w:rPr>
        <w:t>项目环评，</w:t>
      </w:r>
      <w:r>
        <w:rPr>
          <w:rFonts w:ascii="Times New Roman" w:hint="eastAsia"/>
        </w:rPr>
        <w:t>2</w:t>
      </w:r>
      <w:r>
        <w:rPr>
          <w:rFonts w:ascii="Times New Roman"/>
        </w:rPr>
        <w:t>010</w:t>
      </w:r>
      <w:r>
        <w:rPr>
          <w:rFonts w:ascii="Times New Roman" w:hint="eastAsia"/>
        </w:rPr>
        <w:t>年</w:t>
      </w:r>
      <w:r>
        <w:rPr>
          <w:rFonts w:ascii="Times New Roman"/>
        </w:rPr>
        <w:t>原环境保护</w:t>
      </w:r>
      <w:r>
        <w:rPr>
          <w:rFonts w:ascii="Times New Roman" w:hint="eastAsia"/>
        </w:rPr>
        <w:t>部以</w:t>
      </w:r>
      <w:r>
        <w:rPr>
          <w:rFonts w:ascii="Times New Roman"/>
        </w:rPr>
        <w:t>环验</w:t>
      </w:r>
      <w:r>
        <w:rPr>
          <w:rFonts w:hint="eastAsia"/>
        </w:rPr>
        <w:t>〔</w:t>
      </w:r>
      <w:r>
        <w:rPr>
          <w:rFonts w:ascii="Times New Roman" w:hint="eastAsia"/>
        </w:rPr>
        <w:t>201</w:t>
      </w:r>
      <w:r>
        <w:rPr>
          <w:rFonts w:ascii="Times New Roman"/>
        </w:rPr>
        <w:t>0</w:t>
      </w:r>
      <w:r>
        <w:rPr>
          <w:rFonts w:hint="eastAsia"/>
        </w:rPr>
        <w:t>〕</w:t>
      </w:r>
      <w:r>
        <w:rPr>
          <w:rFonts w:ascii="Times New Roman"/>
        </w:rPr>
        <w:t>26</w:t>
      </w:r>
      <w:r>
        <w:rPr>
          <w:rFonts w:ascii="Times New Roman"/>
        </w:rPr>
        <w:t>号</w:t>
      </w:r>
      <w:r>
        <w:rPr>
          <w:rFonts w:ascii="Times New Roman" w:hint="eastAsia"/>
        </w:rPr>
        <w:t>通过</w:t>
      </w:r>
      <w:r>
        <w:rPr>
          <w:rFonts w:ascii="Times New Roman" w:hint="eastAsia"/>
        </w:rPr>
        <w:t>2</w:t>
      </w:r>
      <w:r>
        <w:rPr>
          <w:rFonts w:ascii="Times New Roman"/>
        </w:rPr>
        <w:t>.4Mt/a</w:t>
      </w:r>
      <w:r>
        <w:rPr>
          <w:rFonts w:ascii="Times New Roman" w:hint="eastAsia"/>
        </w:rPr>
        <w:t>项目验收。</w:t>
      </w:r>
      <w:r>
        <w:rPr>
          <w:rFonts w:ascii="Times New Roman" w:hint="eastAsia"/>
        </w:rPr>
        <w:t>2</w:t>
      </w:r>
      <w:r>
        <w:rPr>
          <w:rFonts w:ascii="Times New Roman"/>
        </w:rPr>
        <w:t>0</w:t>
      </w:r>
      <w:r>
        <w:rPr>
          <w:rFonts w:ascii="Times New Roman" w:hint="eastAsia"/>
        </w:rPr>
        <w:t>14</w:t>
      </w:r>
      <w:r>
        <w:rPr>
          <w:rFonts w:ascii="Times New Roman" w:hint="eastAsia"/>
        </w:rPr>
        <w:t>年</w:t>
      </w:r>
      <w:r>
        <w:rPr>
          <w:rFonts w:ascii="Times New Roman" w:hint="eastAsia"/>
        </w:rPr>
        <w:t>12</w:t>
      </w:r>
      <w:r>
        <w:rPr>
          <w:rFonts w:ascii="Times New Roman" w:hint="eastAsia"/>
        </w:rPr>
        <w:t>月</w:t>
      </w:r>
      <w:r>
        <w:rPr>
          <w:rFonts w:ascii="Times New Roman" w:hint="eastAsia"/>
        </w:rPr>
        <w:t>2</w:t>
      </w:r>
      <w:r>
        <w:rPr>
          <w:rFonts w:ascii="Times New Roman" w:hint="eastAsia"/>
        </w:rPr>
        <w:t>日，宁夏发改委以宁发改审发</w:t>
      </w:r>
      <w:r>
        <w:rPr>
          <w:rFonts w:hint="eastAsia"/>
        </w:rPr>
        <w:t>〔</w:t>
      </w:r>
      <w:r>
        <w:rPr>
          <w:rFonts w:ascii="Times New Roman" w:hint="eastAsia"/>
        </w:rPr>
        <w:t>2014</w:t>
      </w:r>
      <w:r>
        <w:rPr>
          <w:rFonts w:hint="eastAsia"/>
        </w:rPr>
        <w:t>〕</w:t>
      </w:r>
      <w:r>
        <w:rPr>
          <w:rFonts w:ascii="Times New Roman" w:hint="eastAsia"/>
        </w:rPr>
        <w:t>399</w:t>
      </w:r>
      <w:r>
        <w:rPr>
          <w:rFonts w:ascii="Times New Roman" w:hint="eastAsia"/>
        </w:rPr>
        <w:t>号《关于宁夏宝丰能源集团有限公司马莲台煤矿生产能力核定结果的批复》，核定马莲台煤矿生产能力</w:t>
      </w:r>
      <w:r>
        <w:rPr>
          <w:rFonts w:ascii="Times New Roman"/>
        </w:rPr>
        <w:t>3.60Mt/a</w:t>
      </w:r>
      <w:r>
        <w:rPr>
          <w:rFonts w:ascii="Times New Roman"/>
        </w:rPr>
        <w:t>。</w:t>
      </w:r>
      <w:r>
        <w:rPr>
          <w:rFonts w:ascii="Times New Roman" w:hint="eastAsia"/>
        </w:rPr>
        <w:t>2</w:t>
      </w:r>
      <w:r>
        <w:rPr>
          <w:rFonts w:ascii="Times New Roman"/>
        </w:rPr>
        <w:t>016</w:t>
      </w:r>
      <w:r>
        <w:rPr>
          <w:rFonts w:ascii="Times New Roman" w:hint="eastAsia"/>
        </w:rPr>
        <w:t>年</w:t>
      </w:r>
      <w:r>
        <w:rPr>
          <w:rFonts w:ascii="Times New Roman" w:hint="eastAsia"/>
        </w:rPr>
        <w:t>4</w:t>
      </w:r>
      <w:r>
        <w:rPr>
          <w:rFonts w:ascii="Times New Roman" w:hint="eastAsia"/>
        </w:rPr>
        <w:t>月</w:t>
      </w:r>
      <w:r>
        <w:rPr>
          <w:rFonts w:ascii="Times New Roman" w:hint="eastAsia"/>
        </w:rPr>
        <w:t>1</w:t>
      </w:r>
      <w:r>
        <w:rPr>
          <w:rFonts w:ascii="Times New Roman"/>
        </w:rPr>
        <w:t>9</w:t>
      </w:r>
      <w:r>
        <w:rPr>
          <w:rFonts w:ascii="Times New Roman" w:hint="eastAsia"/>
        </w:rPr>
        <w:t>日，宁夏回族自治区环境保护厅以宁环函</w:t>
      </w:r>
      <w:r>
        <w:rPr>
          <w:rFonts w:hint="eastAsia"/>
        </w:rPr>
        <w:t>〔</w:t>
      </w:r>
      <w:r>
        <w:rPr>
          <w:rFonts w:ascii="Times New Roman" w:hint="eastAsia"/>
        </w:rPr>
        <w:t>201</w:t>
      </w:r>
      <w:r>
        <w:rPr>
          <w:rFonts w:ascii="Times New Roman"/>
        </w:rPr>
        <w:t>6</w:t>
      </w:r>
      <w:r>
        <w:rPr>
          <w:rFonts w:hint="eastAsia"/>
        </w:rPr>
        <w:t>〕</w:t>
      </w:r>
      <w:r>
        <w:rPr>
          <w:rFonts w:ascii="Times New Roman" w:hint="eastAsia"/>
        </w:rPr>
        <w:t>1</w:t>
      </w:r>
      <w:r>
        <w:rPr>
          <w:rFonts w:ascii="Times New Roman"/>
        </w:rPr>
        <w:t>36</w:t>
      </w:r>
      <w:r>
        <w:rPr>
          <w:rFonts w:ascii="Times New Roman" w:hint="eastAsia"/>
        </w:rPr>
        <w:t>号《关于宁夏宝丰能源股份有限公司马莲台煤矿项目环保备案意见的函》同意对马莲台煤矿（</w:t>
      </w:r>
      <w:r>
        <w:rPr>
          <w:rFonts w:ascii="Times New Roman"/>
        </w:rPr>
        <w:t>3.60Mt/a</w:t>
      </w:r>
      <w:r>
        <w:rPr>
          <w:rFonts w:ascii="Times New Roman" w:hint="eastAsia"/>
        </w:rPr>
        <w:t>）予以环保备案。</w:t>
      </w:r>
    </w:p>
    <w:p w14:paraId="0B2C684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任家庄煤矿：</w:t>
      </w:r>
      <w:r>
        <w:rPr>
          <w:rFonts w:ascii="Times New Roman" w:hint="eastAsia"/>
        </w:rPr>
        <w:t>2</w:t>
      </w:r>
      <w:r>
        <w:rPr>
          <w:rFonts w:ascii="Times New Roman"/>
        </w:rPr>
        <w:t>006</w:t>
      </w:r>
      <w:r>
        <w:rPr>
          <w:rFonts w:ascii="Times New Roman" w:hint="eastAsia"/>
        </w:rPr>
        <w:t>年</w:t>
      </w:r>
      <w:r>
        <w:rPr>
          <w:rFonts w:ascii="Times New Roman"/>
        </w:rPr>
        <w:t>原国家环境保护总局</w:t>
      </w:r>
      <w:r>
        <w:rPr>
          <w:rFonts w:ascii="Times New Roman" w:hint="eastAsia"/>
        </w:rPr>
        <w:t>以</w:t>
      </w:r>
      <w:r>
        <w:rPr>
          <w:rFonts w:ascii="Times New Roman"/>
        </w:rPr>
        <w:t>环</w:t>
      </w:r>
      <w:r>
        <w:rPr>
          <w:rFonts w:ascii="Times New Roman" w:hint="eastAsia"/>
        </w:rPr>
        <w:t>审</w:t>
      </w:r>
      <w:r>
        <w:rPr>
          <w:rFonts w:hint="eastAsia"/>
        </w:rPr>
        <w:t>〔</w:t>
      </w:r>
      <w:r>
        <w:rPr>
          <w:rFonts w:ascii="Times New Roman" w:hint="eastAsia"/>
        </w:rPr>
        <w:t>20</w:t>
      </w:r>
      <w:r>
        <w:rPr>
          <w:rFonts w:ascii="Times New Roman"/>
        </w:rPr>
        <w:t>06</w:t>
      </w:r>
      <w:r>
        <w:rPr>
          <w:rFonts w:hint="eastAsia"/>
        </w:rPr>
        <w:t>〕</w:t>
      </w:r>
      <w:r>
        <w:rPr>
          <w:rFonts w:ascii="Times New Roman"/>
        </w:rPr>
        <w:t>179</w:t>
      </w:r>
      <w:r>
        <w:rPr>
          <w:rFonts w:ascii="Times New Roman"/>
        </w:rPr>
        <w:t>号</w:t>
      </w:r>
      <w:r>
        <w:rPr>
          <w:rFonts w:ascii="Times New Roman" w:hint="eastAsia"/>
        </w:rPr>
        <w:t>批复了</w:t>
      </w:r>
      <w:r>
        <w:rPr>
          <w:rFonts w:ascii="Times New Roman" w:hint="eastAsia"/>
        </w:rPr>
        <w:t>2</w:t>
      </w:r>
      <w:r>
        <w:rPr>
          <w:rFonts w:ascii="Times New Roman"/>
        </w:rPr>
        <w:t>.4 Mt/a</w:t>
      </w:r>
      <w:r>
        <w:rPr>
          <w:rFonts w:ascii="Times New Roman" w:hint="eastAsia"/>
        </w:rPr>
        <w:t>项目环评，</w:t>
      </w:r>
      <w:r>
        <w:rPr>
          <w:rFonts w:ascii="Times New Roman" w:hint="eastAsia"/>
        </w:rPr>
        <w:t>2</w:t>
      </w:r>
      <w:r>
        <w:rPr>
          <w:rFonts w:ascii="Times New Roman"/>
        </w:rPr>
        <w:t>010</w:t>
      </w:r>
      <w:r>
        <w:rPr>
          <w:rFonts w:ascii="Times New Roman" w:hint="eastAsia"/>
        </w:rPr>
        <w:t>年</w:t>
      </w:r>
      <w:r>
        <w:rPr>
          <w:rFonts w:ascii="Times New Roman"/>
        </w:rPr>
        <w:t>原环境保护</w:t>
      </w:r>
      <w:r>
        <w:rPr>
          <w:rFonts w:ascii="Times New Roman" w:hint="eastAsia"/>
        </w:rPr>
        <w:t>部以</w:t>
      </w:r>
      <w:r>
        <w:rPr>
          <w:rFonts w:ascii="Times New Roman"/>
        </w:rPr>
        <w:t>环验</w:t>
      </w:r>
      <w:r>
        <w:rPr>
          <w:rFonts w:hint="eastAsia"/>
        </w:rPr>
        <w:t>〔</w:t>
      </w:r>
      <w:r>
        <w:rPr>
          <w:rFonts w:ascii="Times New Roman" w:hint="eastAsia"/>
        </w:rPr>
        <w:t>20</w:t>
      </w:r>
      <w:r>
        <w:rPr>
          <w:rFonts w:ascii="Times New Roman"/>
        </w:rPr>
        <w:t>09</w:t>
      </w:r>
      <w:r>
        <w:rPr>
          <w:rFonts w:hint="eastAsia"/>
        </w:rPr>
        <w:t>〕</w:t>
      </w:r>
      <w:r>
        <w:rPr>
          <w:rFonts w:ascii="Times New Roman"/>
        </w:rPr>
        <w:t>55</w:t>
      </w:r>
      <w:r>
        <w:rPr>
          <w:rFonts w:ascii="Times New Roman"/>
        </w:rPr>
        <w:t>号</w:t>
      </w:r>
      <w:r>
        <w:rPr>
          <w:rFonts w:ascii="Times New Roman" w:hint="eastAsia"/>
        </w:rPr>
        <w:t>通过</w:t>
      </w:r>
      <w:r>
        <w:rPr>
          <w:rFonts w:ascii="Times New Roman" w:hint="eastAsia"/>
        </w:rPr>
        <w:t>2</w:t>
      </w:r>
      <w:r>
        <w:rPr>
          <w:rFonts w:ascii="Times New Roman"/>
        </w:rPr>
        <w:t>.4 Mt/a</w:t>
      </w:r>
      <w:r>
        <w:rPr>
          <w:rFonts w:ascii="Times New Roman" w:hint="eastAsia"/>
        </w:rPr>
        <w:t>项目验收。</w:t>
      </w:r>
      <w:r>
        <w:rPr>
          <w:rFonts w:ascii="Times New Roman" w:hint="eastAsia"/>
        </w:rPr>
        <w:t>2</w:t>
      </w:r>
      <w:r>
        <w:rPr>
          <w:rFonts w:ascii="Times New Roman"/>
        </w:rPr>
        <w:t>0</w:t>
      </w:r>
      <w:r>
        <w:rPr>
          <w:rFonts w:ascii="Times New Roman" w:hint="eastAsia"/>
        </w:rPr>
        <w:t>14</w:t>
      </w:r>
      <w:r>
        <w:rPr>
          <w:rFonts w:ascii="Times New Roman" w:hint="eastAsia"/>
        </w:rPr>
        <w:t>年</w:t>
      </w:r>
      <w:r>
        <w:rPr>
          <w:rFonts w:ascii="Times New Roman" w:hint="eastAsia"/>
        </w:rPr>
        <w:t>5</w:t>
      </w:r>
      <w:r>
        <w:rPr>
          <w:rFonts w:ascii="Times New Roman" w:hint="eastAsia"/>
        </w:rPr>
        <w:t>月</w:t>
      </w:r>
      <w:r>
        <w:rPr>
          <w:rFonts w:ascii="Times New Roman" w:hint="eastAsia"/>
        </w:rPr>
        <w:t>29</w:t>
      </w:r>
      <w:r>
        <w:rPr>
          <w:rFonts w:ascii="Times New Roman" w:hint="eastAsia"/>
        </w:rPr>
        <w:t>日，宁夏经济和信息化委员会以宁经信煤炭发</w:t>
      </w:r>
      <w:r>
        <w:rPr>
          <w:rFonts w:hint="eastAsia"/>
        </w:rPr>
        <w:t>〔</w:t>
      </w:r>
      <w:r>
        <w:rPr>
          <w:rFonts w:ascii="Times New Roman" w:hint="eastAsia"/>
        </w:rPr>
        <w:t>2014</w:t>
      </w:r>
      <w:r>
        <w:rPr>
          <w:rFonts w:hint="eastAsia"/>
        </w:rPr>
        <w:t>〕</w:t>
      </w:r>
      <w:r>
        <w:rPr>
          <w:rFonts w:ascii="Times New Roman" w:hint="eastAsia"/>
        </w:rPr>
        <w:t>206</w:t>
      </w:r>
      <w:r>
        <w:rPr>
          <w:rFonts w:ascii="Times New Roman" w:hint="eastAsia"/>
        </w:rPr>
        <w:t>号《关于神华宁夏煤业集团任家庄煤矿生产能力核定结果的批复》，审查确认任家庄煤矿生产能力</w:t>
      </w:r>
      <w:r>
        <w:rPr>
          <w:rFonts w:ascii="Times New Roman" w:hint="eastAsia"/>
        </w:rPr>
        <w:t>360</w:t>
      </w:r>
      <w:r>
        <w:rPr>
          <w:rFonts w:ascii="Times New Roman" w:hint="eastAsia"/>
        </w:rPr>
        <w:t>万吨</w:t>
      </w:r>
      <w:r>
        <w:rPr>
          <w:rFonts w:ascii="Times New Roman" w:hint="eastAsia"/>
        </w:rPr>
        <w:t>/</w:t>
      </w:r>
      <w:r>
        <w:rPr>
          <w:rFonts w:ascii="Times New Roman" w:hint="eastAsia"/>
        </w:rPr>
        <w:t>年</w:t>
      </w:r>
      <w:r>
        <w:rPr>
          <w:rFonts w:ascii="Times New Roman"/>
        </w:rPr>
        <w:t>。</w:t>
      </w:r>
      <w:r>
        <w:rPr>
          <w:rFonts w:ascii="Times New Roman" w:hint="eastAsia"/>
        </w:rPr>
        <w:t>2</w:t>
      </w:r>
      <w:r>
        <w:rPr>
          <w:rFonts w:ascii="Times New Roman"/>
        </w:rPr>
        <w:t>016</w:t>
      </w:r>
      <w:r>
        <w:rPr>
          <w:rFonts w:ascii="Times New Roman" w:hint="eastAsia"/>
        </w:rPr>
        <w:t>年</w:t>
      </w:r>
      <w:r>
        <w:rPr>
          <w:rFonts w:ascii="Times New Roman"/>
        </w:rPr>
        <w:t>12</w:t>
      </w:r>
      <w:r>
        <w:rPr>
          <w:rFonts w:ascii="Times New Roman" w:hint="eastAsia"/>
        </w:rPr>
        <w:t>月</w:t>
      </w:r>
      <w:r>
        <w:rPr>
          <w:rFonts w:ascii="Times New Roman"/>
        </w:rPr>
        <w:t>28</w:t>
      </w:r>
      <w:r>
        <w:rPr>
          <w:rFonts w:ascii="Times New Roman" w:hint="eastAsia"/>
        </w:rPr>
        <w:t>日，宁夏回族自治区环境保护厅以宁环函</w:t>
      </w:r>
      <w:r>
        <w:rPr>
          <w:rFonts w:hint="eastAsia"/>
        </w:rPr>
        <w:t>〔</w:t>
      </w:r>
      <w:r>
        <w:rPr>
          <w:rFonts w:ascii="Times New Roman" w:hint="eastAsia"/>
        </w:rPr>
        <w:t>201</w:t>
      </w:r>
      <w:r>
        <w:rPr>
          <w:rFonts w:ascii="Times New Roman"/>
        </w:rPr>
        <w:t>6</w:t>
      </w:r>
      <w:r>
        <w:rPr>
          <w:rFonts w:hint="eastAsia"/>
        </w:rPr>
        <w:t>〕</w:t>
      </w:r>
      <w:r>
        <w:rPr>
          <w:rFonts w:ascii="Times New Roman"/>
        </w:rPr>
        <w:t>539</w:t>
      </w:r>
      <w:r>
        <w:rPr>
          <w:rFonts w:ascii="Times New Roman" w:hint="eastAsia"/>
        </w:rPr>
        <w:t>号《关于神华宁夏宝丰煤业集团有限责任公司任家庄煤矿项目环保备案意见的函》同意对任家庄煤矿（</w:t>
      </w:r>
      <w:r>
        <w:rPr>
          <w:rFonts w:ascii="Times New Roman"/>
        </w:rPr>
        <w:t>3.60Mt/a</w:t>
      </w:r>
      <w:r>
        <w:rPr>
          <w:rFonts w:ascii="Times New Roman" w:hint="eastAsia"/>
        </w:rPr>
        <w:t>）予以环保备案。</w:t>
      </w:r>
    </w:p>
    <w:p w14:paraId="41A9F19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红石湾煤矿：</w:t>
      </w:r>
      <w:r>
        <w:rPr>
          <w:rFonts w:ascii="Times New Roman" w:hint="eastAsia"/>
        </w:rPr>
        <w:t>2</w:t>
      </w:r>
      <w:r>
        <w:rPr>
          <w:rFonts w:ascii="Times New Roman"/>
        </w:rPr>
        <w:t>008</w:t>
      </w:r>
      <w:r>
        <w:rPr>
          <w:rFonts w:ascii="Times New Roman" w:hint="eastAsia"/>
        </w:rPr>
        <w:t>年</w:t>
      </w:r>
      <w:r>
        <w:rPr>
          <w:rFonts w:ascii="Times New Roman"/>
        </w:rPr>
        <w:t>原</w:t>
      </w:r>
      <w:r>
        <w:rPr>
          <w:rFonts w:ascii="Times New Roman" w:hint="eastAsia"/>
        </w:rPr>
        <w:t>宁夏回族自治区环境保护局以宁</w:t>
      </w:r>
      <w:r>
        <w:rPr>
          <w:rFonts w:ascii="Times New Roman"/>
        </w:rPr>
        <w:t>环审</w:t>
      </w:r>
      <w:r>
        <w:rPr>
          <w:rFonts w:ascii="Times New Roman" w:hint="eastAsia"/>
        </w:rPr>
        <w:t>发</w:t>
      </w:r>
      <w:r>
        <w:rPr>
          <w:rFonts w:hint="eastAsia"/>
        </w:rPr>
        <w:t>〔</w:t>
      </w:r>
      <w:r>
        <w:rPr>
          <w:rFonts w:ascii="Times New Roman" w:hint="eastAsia"/>
        </w:rPr>
        <w:t>20</w:t>
      </w:r>
      <w:r>
        <w:rPr>
          <w:rFonts w:ascii="Times New Roman"/>
        </w:rPr>
        <w:t>08</w:t>
      </w:r>
      <w:r>
        <w:rPr>
          <w:rFonts w:hint="eastAsia"/>
        </w:rPr>
        <w:t>〕</w:t>
      </w:r>
      <w:r>
        <w:rPr>
          <w:rFonts w:ascii="Times New Roman"/>
        </w:rPr>
        <w:t>19</w:t>
      </w:r>
      <w:r>
        <w:rPr>
          <w:rFonts w:ascii="Times New Roman"/>
        </w:rPr>
        <w:t>号</w:t>
      </w:r>
      <w:r>
        <w:rPr>
          <w:rFonts w:ascii="Times New Roman" w:hint="eastAsia"/>
        </w:rPr>
        <w:t>批复了</w:t>
      </w:r>
      <w:r>
        <w:rPr>
          <w:rFonts w:ascii="Times New Roman"/>
        </w:rPr>
        <w:t>0.6 Mt/a</w:t>
      </w:r>
      <w:r>
        <w:rPr>
          <w:rFonts w:ascii="Times New Roman" w:hint="eastAsia"/>
        </w:rPr>
        <w:t>项目环评，</w:t>
      </w:r>
      <w:r>
        <w:rPr>
          <w:rFonts w:ascii="Times New Roman" w:hint="eastAsia"/>
        </w:rPr>
        <w:t>2</w:t>
      </w:r>
      <w:r>
        <w:rPr>
          <w:rFonts w:ascii="Times New Roman"/>
        </w:rPr>
        <w:t>010</w:t>
      </w:r>
      <w:r>
        <w:rPr>
          <w:rFonts w:ascii="Times New Roman" w:hint="eastAsia"/>
        </w:rPr>
        <w:t>年</w:t>
      </w:r>
      <w:r>
        <w:rPr>
          <w:rFonts w:ascii="Times New Roman"/>
        </w:rPr>
        <w:t>原</w:t>
      </w:r>
      <w:r>
        <w:rPr>
          <w:rFonts w:ascii="Times New Roman" w:hint="eastAsia"/>
        </w:rPr>
        <w:t>宁夏回族自治区环境保护厅以宁环验</w:t>
      </w:r>
      <w:r>
        <w:rPr>
          <w:rFonts w:hint="eastAsia"/>
        </w:rPr>
        <w:t>〔</w:t>
      </w:r>
      <w:r>
        <w:rPr>
          <w:rFonts w:ascii="Times New Roman" w:hint="eastAsia"/>
        </w:rPr>
        <w:t>201</w:t>
      </w:r>
      <w:r>
        <w:rPr>
          <w:rFonts w:ascii="Times New Roman"/>
        </w:rPr>
        <w:t>2</w:t>
      </w:r>
      <w:r>
        <w:rPr>
          <w:rFonts w:hint="eastAsia"/>
        </w:rPr>
        <w:t>〕</w:t>
      </w:r>
      <w:r>
        <w:rPr>
          <w:rFonts w:ascii="Times New Roman" w:hint="eastAsia"/>
        </w:rPr>
        <w:t>62</w:t>
      </w:r>
      <w:r>
        <w:rPr>
          <w:rFonts w:ascii="Times New Roman" w:hint="eastAsia"/>
        </w:rPr>
        <w:t>号通</w:t>
      </w:r>
      <w:r>
        <w:rPr>
          <w:rFonts w:ascii="Times New Roman" w:hint="eastAsia"/>
        </w:rPr>
        <w:lastRenderedPageBreak/>
        <w:t>过</w:t>
      </w:r>
      <w:r>
        <w:rPr>
          <w:rFonts w:ascii="Times New Roman"/>
        </w:rPr>
        <w:t>0.6 Mt/a</w:t>
      </w:r>
      <w:r>
        <w:rPr>
          <w:rFonts w:ascii="Times New Roman" w:hint="eastAsia"/>
        </w:rPr>
        <w:t>项目验收。</w:t>
      </w:r>
      <w:r>
        <w:rPr>
          <w:rFonts w:ascii="Times New Roman" w:hint="eastAsia"/>
        </w:rPr>
        <w:t>2</w:t>
      </w:r>
      <w:r>
        <w:rPr>
          <w:rFonts w:ascii="Times New Roman"/>
        </w:rPr>
        <w:t>0</w:t>
      </w:r>
      <w:r>
        <w:rPr>
          <w:rFonts w:ascii="Times New Roman" w:hint="eastAsia"/>
        </w:rPr>
        <w:t>20</w:t>
      </w:r>
      <w:r>
        <w:rPr>
          <w:rFonts w:ascii="Times New Roman" w:hint="eastAsia"/>
        </w:rPr>
        <w:t>年</w:t>
      </w:r>
      <w:r>
        <w:rPr>
          <w:rFonts w:ascii="Times New Roman" w:hint="eastAsia"/>
        </w:rPr>
        <w:t>2</w:t>
      </w:r>
      <w:r>
        <w:rPr>
          <w:rFonts w:ascii="Times New Roman" w:hint="eastAsia"/>
        </w:rPr>
        <w:t>月</w:t>
      </w:r>
      <w:r>
        <w:rPr>
          <w:rFonts w:ascii="Times New Roman" w:hint="eastAsia"/>
        </w:rPr>
        <w:t>14</w:t>
      </w:r>
      <w:r>
        <w:rPr>
          <w:rFonts w:ascii="Times New Roman" w:hint="eastAsia"/>
        </w:rPr>
        <w:t>日，国家煤矿安全监察局办公室以煤安监司函办</w:t>
      </w:r>
      <w:r>
        <w:rPr>
          <w:rFonts w:hint="eastAsia"/>
        </w:rPr>
        <w:t>〔</w:t>
      </w:r>
      <w:r>
        <w:rPr>
          <w:rFonts w:ascii="Times New Roman" w:hint="eastAsia"/>
        </w:rPr>
        <w:t>20</w:t>
      </w:r>
      <w:r>
        <w:rPr>
          <w:rFonts w:ascii="Times New Roman"/>
        </w:rPr>
        <w:t>20</w:t>
      </w:r>
      <w:r>
        <w:rPr>
          <w:rFonts w:hint="eastAsia"/>
        </w:rPr>
        <w:t>〕</w:t>
      </w:r>
      <w:r>
        <w:rPr>
          <w:rFonts w:ascii="Times New Roman" w:hint="eastAsia"/>
        </w:rPr>
        <w:t>16</w:t>
      </w:r>
      <w:r>
        <w:rPr>
          <w:rFonts w:ascii="Times New Roman" w:hint="eastAsia"/>
        </w:rPr>
        <w:t>号《关于核定国家能源集团宁夏煤业集团公司红石湾煤矿、灵新煤矿生产能力的复函》，核定红石湾煤矿生产能力为</w:t>
      </w:r>
      <w:r>
        <w:rPr>
          <w:rFonts w:ascii="Times New Roman" w:hint="eastAsia"/>
        </w:rPr>
        <w:t>1</w:t>
      </w:r>
      <w:r>
        <w:rPr>
          <w:rFonts w:ascii="Times New Roman"/>
        </w:rPr>
        <w:t>.</w:t>
      </w:r>
      <w:r>
        <w:rPr>
          <w:rFonts w:ascii="Times New Roman" w:hint="eastAsia"/>
        </w:rPr>
        <w:t>10</w:t>
      </w:r>
      <w:r>
        <w:rPr>
          <w:rFonts w:ascii="Times New Roman"/>
        </w:rPr>
        <w:t>Mt/a</w:t>
      </w:r>
      <w:r>
        <w:rPr>
          <w:rFonts w:ascii="Times New Roman"/>
        </w:rPr>
        <w:t>。目前</w:t>
      </w:r>
      <w:r>
        <w:rPr>
          <w:rFonts w:ascii="Times New Roman" w:hint="eastAsia"/>
        </w:rPr>
        <w:t>，</w:t>
      </w:r>
      <w:r>
        <w:rPr>
          <w:rFonts w:ascii="Times New Roman"/>
        </w:rPr>
        <w:t>产能核定为</w:t>
      </w:r>
      <w:r>
        <w:rPr>
          <w:rFonts w:ascii="Times New Roman" w:hint="eastAsia"/>
        </w:rPr>
        <w:t>1</w:t>
      </w:r>
      <w:r>
        <w:rPr>
          <w:rFonts w:ascii="Times New Roman"/>
        </w:rPr>
        <w:t>.10Mt/a</w:t>
      </w:r>
      <w:r>
        <w:rPr>
          <w:rFonts w:ascii="Times New Roman"/>
        </w:rPr>
        <w:t>的</w:t>
      </w:r>
      <w:r>
        <w:rPr>
          <w:rFonts w:ascii="Times New Roman" w:hint="eastAsia"/>
        </w:rPr>
        <w:t>环保备案文件已编制完成，备案工作正在进行。</w:t>
      </w:r>
    </w:p>
    <w:p w14:paraId="2FA620B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丁家梁煤矿（在建）：</w:t>
      </w:r>
      <w:r>
        <w:rPr>
          <w:rFonts w:ascii="Times New Roman" w:hint="eastAsia"/>
        </w:rPr>
        <w:t>2</w:t>
      </w:r>
      <w:r>
        <w:rPr>
          <w:rFonts w:ascii="Times New Roman"/>
        </w:rPr>
        <w:t>012</w:t>
      </w:r>
      <w:r>
        <w:rPr>
          <w:rFonts w:ascii="Times New Roman" w:hint="eastAsia"/>
        </w:rPr>
        <w:t>年，</w:t>
      </w:r>
      <w:r>
        <w:rPr>
          <w:rFonts w:ascii="Times New Roman"/>
        </w:rPr>
        <w:t>原</w:t>
      </w:r>
      <w:r>
        <w:rPr>
          <w:rFonts w:ascii="Times New Roman" w:hint="eastAsia"/>
        </w:rPr>
        <w:t>宁夏回族自治区环境保护局以宁</w:t>
      </w:r>
      <w:r>
        <w:rPr>
          <w:rFonts w:ascii="Times New Roman"/>
        </w:rPr>
        <w:t>环审</w:t>
      </w:r>
      <w:r>
        <w:rPr>
          <w:rFonts w:ascii="Times New Roman" w:hint="eastAsia"/>
        </w:rPr>
        <w:t>发</w:t>
      </w:r>
      <w:r>
        <w:rPr>
          <w:rFonts w:hint="eastAsia"/>
        </w:rPr>
        <w:t>〔</w:t>
      </w:r>
      <w:r>
        <w:rPr>
          <w:rFonts w:ascii="Times New Roman" w:hint="eastAsia"/>
        </w:rPr>
        <w:t>201</w:t>
      </w:r>
      <w:r>
        <w:rPr>
          <w:rFonts w:ascii="Times New Roman"/>
        </w:rPr>
        <w:t>2</w:t>
      </w:r>
      <w:r>
        <w:rPr>
          <w:rFonts w:hint="eastAsia"/>
        </w:rPr>
        <w:t>〕</w:t>
      </w:r>
      <w:r>
        <w:rPr>
          <w:rFonts w:ascii="Times New Roman"/>
        </w:rPr>
        <w:t>30</w:t>
      </w:r>
      <w:r>
        <w:rPr>
          <w:rFonts w:ascii="Times New Roman"/>
        </w:rPr>
        <w:t>号</w:t>
      </w:r>
      <w:r>
        <w:rPr>
          <w:rFonts w:ascii="Times New Roman" w:hint="eastAsia"/>
        </w:rPr>
        <w:t>对丁家梁</w:t>
      </w:r>
      <w:r>
        <w:rPr>
          <w:rFonts w:ascii="Times New Roman" w:hint="eastAsia"/>
        </w:rPr>
        <w:t>0</w:t>
      </w:r>
      <w:r>
        <w:rPr>
          <w:rFonts w:ascii="Times New Roman"/>
        </w:rPr>
        <w:t>.6</w:t>
      </w:r>
      <w:r>
        <w:rPr>
          <w:rFonts w:ascii="Times New Roman" w:hint="eastAsia"/>
        </w:rPr>
        <w:t>Mt</w:t>
      </w:r>
      <w:r>
        <w:rPr>
          <w:rFonts w:ascii="Times New Roman"/>
        </w:rPr>
        <w:t>/a</w:t>
      </w:r>
      <w:r>
        <w:rPr>
          <w:rFonts w:ascii="Times New Roman" w:hint="eastAsia"/>
        </w:rPr>
        <w:t>环评文件予以批复。</w:t>
      </w:r>
      <w:r>
        <w:rPr>
          <w:rFonts w:ascii="Times New Roman"/>
        </w:rPr>
        <w:t>2013</w:t>
      </w:r>
      <w:r>
        <w:rPr>
          <w:rFonts w:ascii="Times New Roman"/>
        </w:rPr>
        <w:t>年</w:t>
      </w:r>
      <w:r>
        <w:rPr>
          <w:rFonts w:ascii="Times New Roman" w:hint="eastAsia"/>
        </w:rPr>
        <w:t>3</w:t>
      </w:r>
      <w:r>
        <w:rPr>
          <w:rFonts w:ascii="Times New Roman"/>
        </w:rPr>
        <w:t>月，自治区发展改革委对该项目予以核准，项目开工建设</w:t>
      </w:r>
      <w:r>
        <w:rPr>
          <w:rFonts w:ascii="Times New Roman" w:hint="eastAsia"/>
        </w:rPr>
        <w:t>，</w:t>
      </w:r>
      <w:r>
        <w:rPr>
          <w:rFonts w:ascii="Times New Roman"/>
        </w:rPr>
        <w:t>2014</w:t>
      </w:r>
      <w:r>
        <w:rPr>
          <w:rFonts w:ascii="Times New Roman"/>
        </w:rPr>
        <w:t>年停工</w:t>
      </w:r>
      <w:r>
        <w:rPr>
          <w:rFonts w:ascii="Times New Roman" w:hint="eastAsia"/>
        </w:rPr>
        <w:t>，项目目前完成建设进度约一半。</w:t>
      </w:r>
    </w:p>
    <w:p w14:paraId="13421E2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随着矿区勘查程度提高和外部条件的变化，甜水河勘查区完成了勘探工作，但原规划中并未包含甜水河勘查区，而原规划的丁家梁井田资源被鸭子荡水库大量压覆难以独立开发。因此，为推进横城矿区煤炭资源的合理开发利用，宁夏回族自治区发展和改革委员会组织对横城矿区总体规划进行了修编。</w:t>
      </w:r>
      <w:r>
        <w:rPr>
          <w:rFonts w:ascii="Times New Roman" w:hint="eastAsia"/>
        </w:rPr>
        <w:t>2</w:t>
      </w:r>
      <w:r>
        <w:rPr>
          <w:rFonts w:ascii="Times New Roman"/>
        </w:rPr>
        <w:t>020</w:t>
      </w:r>
      <w:r>
        <w:rPr>
          <w:rFonts w:ascii="Times New Roman"/>
        </w:rPr>
        <w:t>年</w:t>
      </w:r>
      <w:r>
        <w:rPr>
          <w:rFonts w:ascii="Times New Roman"/>
        </w:rPr>
        <w:t>6</w:t>
      </w:r>
      <w:r>
        <w:rPr>
          <w:rFonts w:ascii="Times New Roman" w:hint="eastAsia"/>
        </w:rPr>
        <w:t>月，</w:t>
      </w:r>
      <w:r>
        <w:rPr>
          <w:rFonts w:ascii="Times New Roman" w:hAnsi="Times New Roman"/>
        </w:rPr>
        <w:t>中煤</w:t>
      </w:r>
      <w:r>
        <w:rPr>
          <w:rFonts w:ascii="Times New Roman" w:hAnsi="Times New Roman" w:hint="eastAsia"/>
        </w:rPr>
        <w:t>科工</w:t>
      </w:r>
      <w:r>
        <w:rPr>
          <w:rFonts w:ascii="Times New Roman" w:hAnsi="Times New Roman"/>
        </w:rPr>
        <w:t>集团</w:t>
      </w:r>
      <w:r>
        <w:rPr>
          <w:rFonts w:ascii="Times New Roman" w:hAnsi="Times New Roman" w:hint="eastAsia"/>
        </w:rPr>
        <w:t>北京华宇工程有限公司完成了</w:t>
      </w:r>
      <w:r>
        <w:rPr>
          <w:rFonts w:ascii="Times New Roman" w:hAnsi="Times New Roman"/>
        </w:rPr>
        <w:t>《</w:t>
      </w:r>
      <w:r>
        <w:rPr>
          <w:rFonts w:ascii="Times New Roman" w:hAnsi="Times New Roman" w:hint="eastAsia"/>
        </w:rPr>
        <w:t>宁夏回族</w:t>
      </w:r>
      <w:r>
        <w:rPr>
          <w:rFonts w:ascii="Times New Roman" w:hAnsi="Times New Roman"/>
        </w:rPr>
        <w:t>自治区</w:t>
      </w:r>
      <w:r>
        <w:rPr>
          <w:rFonts w:ascii="Times New Roman" w:hAnsi="Times New Roman" w:hint="eastAsia"/>
        </w:rPr>
        <w:t>横城矿区</w:t>
      </w:r>
      <w:r>
        <w:rPr>
          <w:rFonts w:ascii="Times New Roman" w:hAnsi="Times New Roman"/>
        </w:rPr>
        <w:t>总体规划</w:t>
      </w:r>
      <w:r>
        <w:rPr>
          <w:rFonts w:ascii="Times New Roman" w:hAnsi="Times New Roman" w:hint="eastAsia"/>
        </w:rPr>
        <w:t>（修编）</w:t>
      </w:r>
      <w:r>
        <w:rPr>
          <w:rFonts w:ascii="Times New Roman" w:hAnsi="Times New Roman"/>
        </w:rPr>
        <w:t>》</w:t>
      </w:r>
      <w:r>
        <w:rPr>
          <w:rFonts w:ascii="Times New Roman" w:hAnsi="Times New Roman" w:hint="eastAsia"/>
        </w:rPr>
        <w:t>。</w:t>
      </w:r>
    </w:p>
    <w:bookmarkEnd w:id="3"/>
    <w:p w14:paraId="6A8B291C" w14:textId="77777777" w:rsidR="009C353B" w:rsidRDefault="00000000">
      <w:pPr>
        <w:pStyle w:val="3"/>
        <w:spacing w:before="120" w:after="12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 xml:space="preserve">.1.2 </w:t>
      </w:r>
      <w:r>
        <w:rPr>
          <w:rFonts w:ascii="Times New Roman" w:hAnsi="Times New Roman" w:hint="eastAsia"/>
          <w:sz w:val="24"/>
        </w:rPr>
        <w:t>任务由来</w:t>
      </w:r>
    </w:p>
    <w:p w14:paraId="77B515C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根据国家发展和改革委员会</w:t>
      </w:r>
      <w:r>
        <w:rPr>
          <w:rFonts w:ascii="Times New Roman" w:hint="eastAsia"/>
        </w:rPr>
        <w:t>2012</w:t>
      </w:r>
      <w:r>
        <w:rPr>
          <w:rFonts w:ascii="Times New Roman" w:hint="eastAsia"/>
        </w:rPr>
        <w:t>年</w:t>
      </w:r>
      <w:r>
        <w:rPr>
          <w:rFonts w:ascii="Times New Roman" w:hint="eastAsia"/>
        </w:rPr>
        <w:t>14</w:t>
      </w:r>
      <w:r>
        <w:rPr>
          <w:rFonts w:ascii="Times New Roman" w:hint="eastAsia"/>
        </w:rPr>
        <w:t>号</w:t>
      </w:r>
      <w:r>
        <w:rPr>
          <w:rFonts w:ascii="Times New Roman"/>
        </w:rPr>
        <w:t>令</w:t>
      </w:r>
      <w:r>
        <w:rPr>
          <w:rFonts w:ascii="Times New Roman" w:hint="eastAsia"/>
        </w:rPr>
        <w:t>《煤炭</w:t>
      </w:r>
      <w:r>
        <w:rPr>
          <w:rFonts w:ascii="Times New Roman"/>
        </w:rPr>
        <w:t>矿区总体规划管理暂行规定》</w:t>
      </w:r>
      <w:r>
        <w:rPr>
          <w:rFonts w:ascii="Times New Roman" w:hint="eastAsia"/>
        </w:rPr>
        <w:t>第十七</w:t>
      </w:r>
      <w:r>
        <w:rPr>
          <w:rFonts w:ascii="Times New Roman"/>
        </w:rPr>
        <w:t>条</w:t>
      </w:r>
      <w:r>
        <w:rPr>
          <w:rFonts w:ascii="Times New Roman" w:hint="eastAsia"/>
        </w:rPr>
        <w:t>：“煤炭矿区总体规划实行动态管理。已批准的矿区总体规划，矿区范围、井（矿</w:t>
      </w:r>
      <w:r>
        <w:rPr>
          <w:rFonts w:ascii="Times New Roman"/>
        </w:rPr>
        <w:t>）</w:t>
      </w:r>
      <w:r>
        <w:rPr>
          <w:rFonts w:ascii="Times New Roman" w:hint="eastAsia"/>
        </w:rPr>
        <w:t>田划分和建设规模发生</w:t>
      </w:r>
      <w:r>
        <w:rPr>
          <w:rFonts w:ascii="Times New Roman"/>
        </w:rPr>
        <w:t>较大变化</w:t>
      </w:r>
      <w:r>
        <w:rPr>
          <w:rFonts w:ascii="Times New Roman" w:hint="eastAsia"/>
        </w:rPr>
        <w:t>的，应编制矿区总体规划（修改版），</w:t>
      </w:r>
      <w:r>
        <w:rPr>
          <w:rFonts w:ascii="Times New Roman"/>
        </w:rPr>
        <w:t>明确矿区总体规划修改内容，并</w:t>
      </w:r>
      <w:r>
        <w:rPr>
          <w:rFonts w:ascii="Times New Roman" w:hint="eastAsia"/>
        </w:rPr>
        <w:t>按照</w:t>
      </w:r>
      <w:r>
        <w:rPr>
          <w:rFonts w:ascii="Times New Roman"/>
        </w:rPr>
        <w:t>上述程序重新报批</w:t>
      </w:r>
      <w:r>
        <w:rPr>
          <w:rFonts w:ascii="Times New Roman" w:hint="eastAsia"/>
        </w:rPr>
        <w:t>”。随</w:t>
      </w:r>
      <w:r>
        <w:rPr>
          <w:rFonts w:ascii="Times New Roman"/>
        </w:rPr>
        <w:t>着横城矿区及外围勘探区勘探程度的提高，</w:t>
      </w:r>
      <w:r>
        <w:rPr>
          <w:rFonts w:ascii="Times New Roman" w:hint="eastAsia"/>
        </w:rPr>
        <w:t>为了合理开发利用矿区煤炭资源及</w:t>
      </w:r>
      <w:r>
        <w:rPr>
          <w:rFonts w:ascii="Times New Roman"/>
        </w:rPr>
        <w:t>国家大型</w:t>
      </w:r>
      <w:r>
        <w:rPr>
          <w:rFonts w:ascii="Times New Roman" w:hint="eastAsia"/>
        </w:rPr>
        <w:t>煤炭</w:t>
      </w:r>
      <w:r>
        <w:rPr>
          <w:rFonts w:ascii="Times New Roman"/>
        </w:rPr>
        <w:t>基地</w:t>
      </w:r>
      <w:r>
        <w:rPr>
          <w:rFonts w:ascii="Times New Roman" w:hint="eastAsia"/>
        </w:rPr>
        <w:t>建设</w:t>
      </w:r>
      <w:r>
        <w:rPr>
          <w:rFonts w:ascii="Times New Roman"/>
        </w:rPr>
        <w:t>需要，</w:t>
      </w:r>
      <w:r>
        <w:rPr>
          <w:rFonts w:ascii="Times New Roman" w:hint="eastAsia"/>
        </w:rPr>
        <w:t>宁夏回族自治区发展和改革委员会委托修编</w:t>
      </w:r>
      <w:r>
        <w:rPr>
          <w:rFonts w:ascii="Times New Roman"/>
        </w:rPr>
        <w:t>原</w:t>
      </w:r>
      <w:r>
        <w:rPr>
          <w:rFonts w:ascii="Times New Roman" w:hint="eastAsia"/>
        </w:rPr>
        <w:t>横城矿区总体</w:t>
      </w:r>
      <w:r>
        <w:rPr>
          <w:rFonts w:ascii="Times New Roman"/>
        </w:rPr>
        <w:t>规划</w:t>
      </w:r>
      <w:r>
        <w:rPr>
          <w:rFonts w:ascii="Times New Roman" w:hint="eastAsia"/>
        </w:rPr>
        <w:t>，同时根据</w:t>
      </w:r>
      <w:r>
        <w:rPr>
          <w:rFonts w:ascii="Times New Roman"/>
        </w:rPr>
        <w:t>《中华人民共和国环境影响评价法》和《规划环境影响评价条例》</w:t>
      </w:r>
      <w:r>
        <w:rPr>
          <w:rFonts w:ascii="Times New Roman" w:hint="eastAsia"/>
        </w:rPr>
        <w:t>的规定委托中煤科工集团北京华宇工程有限公司编制《宁夏回族</w:t>
      </w:r>
      <w:r>
        <w:rPr>
          <w:rFonts w:ascii="Times New Roman"/>
        </w:rPr>
        <w:t>自治区</w:t>
      </w:r>
      <w:r>
        <w:rPr>
          <w:rFonts w:ascii="Times New Roman" w:hint="eastAsia"/>
        </w:rPr>
        <w:t>横城矿区</w:t>
      </w:r>
      <w:r>
        <w:rPr>
          <w:rFonts w:ascii="Times New Roman"/>
        </w:rPr>
        <w:t>总体规划</w:t>
      </w:r>
      <w:r>
        <w:rPr>
          <w:rFonts w:ascii="Times New Roman" w:hint="eastAsia"/>
        </w:rPr>
        <w:t>（</w:t>
      </w:r>
      <w:r>
        <w:rPr>
          <w:rFonts w:ascii="Times New Roman"/>
        </w:rPr>
        <w:t>修</w:t>
      </w:r>
      <w:r>
        <w:rPr>
          <w:rFonts w:ascii="Times New Roman" w:hint="eastAsia"/>
        </w:rPr>
        <w:t>编）环境影响报告书》。</w:t>
      </w:r>
    </w:p>
    <w:p w14:paraId="79123242" w14:textId="77777777" w:rsidR="009C353B" w:rsidRDefault="00000000">
      <w:pPr>
        <w:pStyle w:val="2"/>
        <w:snapToGrid w:val="0"/>
        <w:spacing w:line="440" w:lineRule="exact"/>
        <w:rPr>
          <w:rFonts w:ascii="Times New Roman" w:eastAsia="宋体" w:hAnsi="Times New Roman"/>
          <w:b/>
          <w:sz w:val="28"/>
        </w:rPr>
      </w:pPr>
      <w:bookmarkStart w:id="4" w:name="_Toc59189813"/>
      <w:r>
        <w:rPr>
          <w:rFonts w:ascii="Times New Roman" w:eastAsia="宋体" w:hAnsi="Times New Roman" w:hint="eastAsia"/>
          <w:b/>
          <w:sz w:val="28"/>
        </w:rPr>
        <w:t>1</w:t>
      </w:r>
      <w:r>
        <w:rPr>
          <w:rFonts w:ascii="Times New Roman" w:eastAsia="宋体" w:hAnsi="Times New Roman"/>
          <w:b/>
          <w:sz w:val="28"/>
        </w:rPr>
        <w:t xml:space="preserve">.2 </w:t>
      </w:r>
      <w:r>
        <w:rPr>
          <w:rFonts w:ascii="Times New Roman" w:eastAsia="宋体" w:hAnsi="Times New Roman"/>
          <w:b/>
          <w:sz w:val="28"/>
        </w:rPr>
        <w:t>编制依据</w:t>
      </w:r>
      <w:bookmarkEnd w:id="4"/>
    </w:p>
    <w:p w14:paraId="4A1F179F" w14:textId="77777777" w:rsidR="009C353B" w:rsidRDefault="00000000">
      <w:pPr>
        <w:pStyle w:val="3"/>
        <w:spacing w:before="120" w:after="120" w:line="440" w:lineRule="exact"/>
        <w:rPr>
          <w:rFonts w:ascii="Times New Roman" w:hAnsi="Times New Roman"/>
          <w:sz w:val="24"/>
        </w:rPr>
      </w:pPr>
      <w:r>
        <w:rPr>
          <w:rFonts w:ascii="Times New Roman" w:hAnsi="Times New Roman"/>
          <w:sz w:val="24"/>
        </w:rPr>
        <w:t xml:space="preserve">1.2.1 </w:t>
      </w:r>
      <w:r>
        <w:rPr>
          <w:rFonts w:ascii="Times New Roman" w:hAnsi="Times New Roman"/>
          <w:sz w:val="24"/>
        </w:rPr>
        <w:t>任务依据</w:t>
      </w:r>
    </w:p>
    <w:p w14:paraId="25D9FC2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宁夏回族自治区发展和改革委员会《宁夏发展改革委关于委托修编横城矿区总体规划的函》</w:t>
      </w:r>
      <w:r>
        <w:rPr>
          <w:rFonts w:ascii="Times New Roman"/>
        </w:rPr>
        <w:t>，</w:t>
      </w:r>
      <w:r>
        <w:rPr>
          <w:rFonts w:ascii="Times New Roman" w:hAnsi="Times New Roman"/>
        </w:rPr>
        <w:t xml:space="preserve"> 20</w:t>
      </w:r>
      <w:r>
        <w:rPr>
          <w:rFonts w:ascii="Times New Roman" w:hAnsi="Times New Roman" w:hint="eastAsia"/>
        </w:rPr>
        <w:t>20</w:t>
      </w:r>
      <w:r>
        <w:rPr>
          <w:rFonts w:ascii="Times New Roman"/>
        </w:rPr>
        <w:t>年</w:t>
      </w:r>
      <w:r>
        <w:rPr>
          <w:rFonts w:ascii="Times New Roman" w:hAnsi="Times New Roman"/>
        </w:rPr>
        <w:t>8</w:t>
      </w:r>
      <w:r>
        <w:rPr>
          <w:rFonts w:ascii="Times New Roman"/>
        </w:rPr>
        <w:t>月</w:t>
      </w:r>
      <w:r>
        <w:rPr>
          <w:rFonts w:ascii="Times New Roman" w:hAnsi="Times New Roman" w:hint="eastAsia"/>
        </w:rPr>
        <w:t>13</w:t>
      </w:r>
      <w:r>
        <w:rPr>
          <w:rFonts w:ascii="Times New Roman"/>
        </w:rPr>
        <w:t>日。</w:t>
      </w:r>
    </w:p>
    <w:p w14:paraId="36ABA316" w14:textId="77777777" w:rsidR="009C353B" w:rsidRDefault="00000000">
      <w:pPr>
        <w:pStyle w:val="3"/>
        <w:spacing w:before="120" w:after="120" w:line="440" w:lineRule="exact"/>
        <w:rPr>
          <w:rFonts w:ascii="Times New Roman" w:hAnsi="Times New Roman"/>
          <w:sz w:val="24"/>
        </w:rPr>
      </w:pPr>
      <w:r>
        <w:rPr>
          <w:rFonts w:ascii="Times New Roman" w:hAnsi="Times New Roman"/>
          <w:sz w:val="24"/>
        </w:rPr>
        <w:lastRenderedPageBreak/>
        <w:t xml:space="preserve">1.2.2 </w:t>
      </w:r>
      <w:r>
        <w:rPr>
          <w:rFonts w:ascii="Times New Roman" w:hAnsi="Times New Roman"/>
          <w:sz w:val="24"/>
        </w:rPr>
        <w:t>法律、法规</w:t>
      </w:r>
    </w:p>
    <w:p w14:paraId="719C55EF" w14:textId="77777777" w:rsidR="009C353B" w:rsidRDefault="00000000">
      <w:pPr>
        <w:keepNext/>
        <w:keepLines/>
        <w:spacing w:line="440" w:lineRule="exact"/>
        <w:outlineLvl w:val="3"/>
        <w:rPr>
          <w:rFonts w:ascii="Times New Roman" w:hAnsi="Times New Roman"/>
          <w:b/>
        </w:rPr>
      </w:pPr>
      <w:r>
        <w:rPr>
          <w:rFonts w:ascii="Times New Roman" w:hAnsi="Times New Roman"/>
          <w:b/>
        </w:rPr>
        <w:t xml:space="preserve">1.2.2.1 </w:t>
      </w:r>
      <w:r>
        <w:rPr>
          <w:rFonts w:ascii="Times New Roman" w:hAnsi="Times New Roman"/>
          <w:b/>
        </w:rPr>
        <w:t>法律</w:t>
      </w:r>
    </w:p>
    <w:p w14:paraId="1599B4F4" w14:textId="77777777" w:rsidR="009C353B" w:rsidRDefault="00000000">
      <w:pPr>
        <w:pStyle w:val="zzm"/>
        <w:spacing w:line="440" w:lineRule="exact"/>
        <w:ind w:firstLine="480"/>
      </w:pPr>
      <w:r>
        <w:t>（</w:t>
      </w:r>
      <w:r>
        <w:t>1</w:t>
      </w:r>
      <w:r>
        <w:t>）《中华人民共和国环境保护法》，</w:t>
      </w:r>
      <w:r>
        <w:t>2015-1-1</w:t>
      </w:r>
      <w:r>
        <w:t>起施行；</w:t>
      </w:r>
    </w:p>
    <w:p w14:paraId="44BFA352" w14:textId="77777777" w:rsidR="009C353B" w:rsidRDefault="00000000">
      <w:pPr>
        <w:pStyle w:val="zzm"/>
        <w:spacing w:line="440" w:lineRule="exact"/>
        <w:ind w:firstLine="480"/>
      </w:pPr>
      <w:r>
        <w:t>（</w:t>
      </w:r>
      <w:r>
        <w:t>2</w:t>
      </w:r>
      <w:r>
        <w:t>）《中华人民共和国环境影响评价法》，</w:t>
      </w:r>
      <w:r>
        <w:t>2016-9-1</w:t>
      </w:r>
      <w:r>
        <w:t>起施行；</w:t>
      </w:r>
    </w:p>
    <w:p w14:paraId="06E960DA" w14:textId="77777777" w:rsidR="009C353B" w:rsidRDefault="00000000">
      <w:pPr>
        <w:pStyle w:val="zzm"/>
        <w:spacing w:line="440" w:lineRule="exact"/>
        <w:ind w:firstLine="480"/>
      </w:pPr>
      <w:r>
        <w:t>（</w:t>
      </w:r>
      <w:r>
        <w:t>3</w:t>
      </w:r>
      <w:r>
        <w:t>）《中华人民共和国大气污染防治法》，</w:t>
      </w:r>
      <w:r>
        <w:t xml:space="preserve"> 2016-01-01</w:t>
      </w:r>
      <w:r>
        <w:t>起施行</w:t>
      </w:r>
      <w:r>
        <w:rPr>
          <w:rFonts w:hint="eastAsia"/>
        </w:rPr>
        <w:t>（</w:t>
      </w:r>
      <w:r>
        <w:rPr>
          <w:rFonts w:hint="eastAsia"/>
        </w:rPr>
        <w:t>2018</w:t>
      </w:r>
      <w:r>
        <w:rPr>
          <w:rFonts w:hint="eastAsia"/>
        </w:rPr>
        <w:t>年修订）</w:t>
      </w:r>
      <w:r>
        <w:t>；</w:t>
      </w:r>
    </w:p>
    <w:p w14:paraId="4235396D" w14:textId="77777777" w:rsidR="009C353B" w:rsidRDefault="00000000">
      <w:pPr>
        <w:pStyle w:val="zzm"/>
        <w:spacing w:line="440" w:lineRule="exact"/>
        <w:ind w:firstLine="480"/>
      </w:pPr>
      <w:r>
        <w:t>（</w:t>
      </w:r>
      <w:r>
        <w:t>4</w:t>
      </w:r>
      <w:r>
        <w:t>）《中华人民共和国水污染防治法》</w:t>
      </w:r>
      <w:r>
        <w:rPr>
          <w:rFonts w:hint="eastAsia"/>
        </w:rPr>
        <w:t>（</w:t>
      </w:r>
      <w:r>
        <w:t>2017</w:t>
      </w:r>
      <w:r>
        <w:t>年修正），</w:t>
      </w:r>
      <w:r>
        <w:t>2018-1-1</w:t>
      </w:r>
      <w:r>
        <w:t>起施行；</w:t>
      </w:r>
    </w:p>
    <w:p w14:paraId="0EE8E736" w14:textId="77777777" w:rsidR="009C353B" w:rsidRDefault="00000000">
      <w:pPr>
        <w:pStyle w:val="zzm"/>
        <w:spacing w:line="440" w:lineRule="exact"/>
        <w:ind w:firstLine="480"/>
      </w:pPr>
      <w:r>
        <w:t>（</w:t>
      </w:r>
      <w:r>
        <w:t>5</w:t>
      </w:r>
      <w:r>
        <w:t>）《中华人民共和国环境噪声污染防治法》，</w:t>
      </w:r>
      <w:r>
        <w:t>1997-3-1</w:t>
      </w:r>
      <w:r>
        <w:t>起施行</w:t>
      </w:r>
      <w:r>
        <w:rPr>
          <w:rFonts w:hint="eastAsia"/>
        </w:rPr>
        <w:t>（</w:t>
      </w:r>
      <w:r>
        <w:rPr>
          <w:rFonts w:hint="eastAsia"/>
        </w:rPr>
        <w:t>2018</w:t>
      </w:r>
      <w:r>
        <w:rPr>
          <w:rFonts w:hint="eastAsia"/>
        </w:rPr>
        <w:t>年修改）</w:t>
      </w:r>
      <w:r>
        <w:t>；</w:t>
      </w:r>
    </w:p>
    <w:p w14:paraId="17FAC994" w14:textId="77777777" w:rsidR="009C353B" w:rsidRDefault="00000000">
      <w:pPr>
        <w:pStyle w:val="zzm"/>
        <w:spacing w:line="440" w:lineRule="exact"/>
        <w:ind w:firstLine="480"/>
      </w:pPr>
      <w:r>
        <w:t>（</w:t>
      </w:r>
      <w:r>
        <w:t>6</w:t>
      </w:r>
      <w:r>
        <w:t>）《中华人民共和国固体废物污染环境防治法》</w:t>
      </w:r>
      <w:r>
        <w:rPr>
          <w:rFonts w:hint="eastAsia"/>
        </w:rPr>
        <w:t>（修订）</w:t>
      </w:r>
      <w:r>
        <w:t>，</w:t>
      </w:r>
      <w:r>
        <w:t>2020-9-1</w:t>
      </w:r>
      <w:r>
        <w:t>起施行；</w:t>
      </w:r>
    </w:p>
    <w:p w14:paraId="0B13E6C5" w14:textId="77777777" w:rsidR="009C353B" w:rsidRDefault="00000000">
      <w:pPr>
        <w:pStyle w:val="zzm"/>
        <w:spacing w:line="440" w:lineRule="exact"/>
        <w:ind w:firstLine="480"/>
      </w:pPr>
      <w:r>
        <w:t>（</w:t>
      </w:r>
      <w:r>
        <w:t>7</w:t>
      </w:r>
      <w:r>
        <w:t>）《中华人民共和国节约能源法》</w:t>
      </w:r>
      <w:r>
        <w:rPr>
          <w:rFonts w:hint="eastAsia"/>
        </w:rPr>
        <w:t>（</w:t>
      </w:r>
      <w:r>
        <w:rPr>
          <w:rFonts w:hint="eastAsia"/>
        </w:rPr>
        <w:t>2016</w:t>
      </w:r>
      <w:r>
        <w:rPr>
          <w:rFonts w:hint="eastAsia"/>
        </w:rPr>
        <w:t>年</w:t>
      </w:r>
      <w:r>
        <w:t>修订</w:t>
      </w:r>
      <w:r>
        <w:rPr>
          <w:rFonts w:hint="eastAsia"/>
        </w:rPr>
        <w:t>）</w:t>
      </w:r>
      <w:r>
        <w:t>，</w:t>
      </w:r>
      <w:r>
        <w:t>2016-7-11</w:t>
      </w:r>
      <w:r>
        <w:t>起施行；</w:t>
      </w:r>
    </w:p>
    <w:p w14:paraId="1588C94B" w14:textId="77777777" w:rsidR="009C353B" w:rsidRDefault="00000000">
      <w:pPr>
        <w:pStyle w:val="zzm"/>
        <w:spacing w:line="440" w:lineRule="exact"/>
        <w:ind w:firstLine="480"/>
      </w:pPr>
      <w:r>
        <w:t>（</w:t>
      </w:r>
      <w:r>
        <w:t>8</w:t>
      </w:r>
      <w:r>
        <w:t>）《中华人民共和国循环经济促进法》，</w:t>
      </w:r>
      <w:r>
        <w:t>2009-1-1</w:t>
      </w:r>
      <w:r>
        <w:t>起施行；</w:t>
      </w:r>
    </w:p>
    <w:p w14:paraId="3B9EFECA" w14:textId="77777777" w:rsidR="009C353B" w:rsidRDefault="00000000">
      <w:pPr>
        <w:pStyle w:val="zzm"/>
        <w:spacing w:line="440" w:lineRule="exact"/>
        <w:ind w:firstLine="480"/>
      </w:pPr>
      <w:r>
        <w:t>（</w:t>
      </w:r>
      <w:r>
        <w:t>9</w:t>
      </w:r>
      <w:r>
        <w:t>）《中华人民共和国清洁生产促进法》，</w:t>
      </w:r>
      <w:r>
        <w:t>2012-7-1</w:t>
      </w:r>
      <w:r>
        <w:t>起施行；</w:t>
      </w:r>
    </w:p>
    <w:p w14:paraId="5DA15C3B" w14:textId="77777777" w:rsidR="009C353B" w:rsidRDefault="00000000">
      <w:pPr>
        <w:pStyle w:val="zzm"/>
        <w:spacing w:line="440" w:lineRule="exact"/>
        <w:ind w:firstLine="480"/>
      </w:pPr>
      <w:r>
        <w:t>（</w:t>
      </w:r>
      <w:r>
        <w:t>10</w:t>
      </w:r>
      <w:r>
        <w:t>）《中华人民共和国防沙治沙法》</w:t>
      </w:r>
      <w:r>
        <w:rPr>
          <w:rFonts w:hint="eastAsia"/>
        </w:rPr>
        <w:t>（</w:t>
      </w:r>
      <w:r>
        <w:rPr>
          <w:rFonts w:hint="eastAsia"/>
        </w:rPr>
        <w:t>2</w:t>
      </w:r>
      <w:r>
        <w:t>018</w:t>
      </w:r>
      <w:r>
        <w:t>年修正</w:t>
      </w:r>
      <w:r>
        <w:rPr>
          <w:rFonts w:hint="eastAsia"/>
        </w:rPr>
        <w:t>）</w:t>
      </w:r>
      <w:r>
        <w:t>，</w:t>
      </w:r>
      <w:r>
        <w:t>2018-10-26</w:t>
      </w:r>
      <w:r>
        <w:t>起施行；</w:t>
      </w:r>
    </w:p>
    <w:p w14:paraId="125C1CE7" w14:textId="77777777" w:rsidR="009C353B" w:rsidRDefault="00000000">
      <w:pPr>
        <w:pStyle w:val="zzm"/>
        <w:spacing w:line="440" w:lineRule="exact"/>
        <w:ind w:firstLine="480"/>
      </w:pPr>
      <w:r>
        <w:t>（</w:t>
      </w:r>
      <w:r>
        <w:t>11</w:t>
      </w:r>
      <w:r>
        <w:t>）《中华人民共和国水土保持法》，</w:t>
      </w:r>
      <w:r>
        <w:t>2011-3-1</w:t>
      </w:r>
      <w:r>
        <w:t>起施行；</w:t>
      </w:r>
    </w:p>
    <w:p w14:paraId="72CD78BF" w14:textId="77777777" w:rsidR="009C353B" w:rsidRDefault="00000000">
      <w:pPr>
        <w:pStyle w:val="zzm"/>
        <w:spacing w:line="440" w:lineRule="exact"/>
        <w:ind w:firstLine="480"/>
      </w:pPr>
      <w:r>
        <w:t>（</w:t>
      </w:r>
      <w:r>
        <w:t>12</w:t>
      </w:r>
      <w:r>
        <w:t>）《中华人民共和国水法》</w:t>
      </w:r>
      <w:r>
        <w:rPr>
          <w:rFonts w:hint="eastAsia"/>
        </w:rPr>
        <w:t>（</w:t>
      </w:r>
      <w:r>
        <w:rPr>
          <w:rFonts w:hint="eastAsia"/>
        </w:rPr>
        <w:t>2016</w:t>
      </w:r>
      <w:r>
        <w:rPr>
          <w:rFonts w:hint="eastAsia"/>
        </w:rPr>
        <w:t>年</w:t>
      </w:r>
      <w:r>
        <w:t>修订</w:t>
      </w:r>
      <w:r>
        <w:rPr>
          <w:rFonts w:hint="eastAsia"/>
        </w:rPr>
        <w:t>）</w:t>
      </w:r>
      <w:r>
        <w:t>，</w:t>
      </w:r>
      <w:r>
        <w:t>2016-7-2</w:t>
      </w:r>
      <w:r>
        <w:t>起施行；</w:t>
      </w:r>
    </w:p>
    <w:p w14:paraId="4F9E2561" w14:textId="77777777" w:rsidR="009C353B" w:rsidRDefault="00000000">
      <w:pPr>
        <w:pStyle w:val="zzm"/>
        <w:spacing w:line="440" w:lineRule="exact"/>
        <w:ind w:firstLine="480"/>
      </w:pPr>
      <w:r>
        <w:t>（</w:t>
      </w:r>
      <w:r>
        <w:t>13</w:t>
      </w:r>
      <w:r>
        <w:t>）《中华人民共和国草原法》</w:t>
      </w:r>
      <w:r>
        <w:rPr>
          <w:rFonts w:hint="eastAsia"/>
        </w:rPr>
        <w:t>（修正）</w:t>
      </w:r>
      <w:r>
        <w:t>，</w:t>
      </w:r>
      <w:r>
        <w:t>2013-6-29</w:t>
      </w:r>
      <w:r>
        <w:t>起施行；</w:t>
      </w:r>
    </w:p>
    <w:p w14:paraId="010CECF5" w14:textId="77777777" w:rsidR="009C353B" w:rsidRDefault="00000000">
      <w:pPr>
        <w:pStyle w:val="zzm"/>
        <w:spacing w:line="440" w:lineRule="exact"/>
        <w:ind w:firstLine="480"/>
      </w:pPr>
      <w:r>
        <w:t>（</w:t>
      </w:r>
      <w:r>
        <w:t>14</w:t>
      </w:r>
      <w:r>
        <w:t>）《中华人民共和国森林法》</w:t>
      </w:r>
      <w:r>
        <w:rPr>
          <w:rFonts w:hint="eastAsia"/>
        </w:rPr>
        <w:t>（修订）</w:t>
      </w:r>
      <w:r>
        <w:t>，</w:t>
      </w:r>
      <w:r>
        <w:t>2020-7-1</w:t>
      </w:r>
      <w:r>
        <w:t>起施行；</w:t>
      </w:r>
    </w:p>
    <w:p w14:paraId="67EB2A00" w14:textId="77777777" w:rsidR="009C353B" w:rsidRDefault="00000000">
      <w:pPr>
        <w:pStyle w:val="zzm"/>
        <w:spacing w:line="440" w:lineRule="exact"/>
        <w:ind w:firstLine="480"/>
      </w:pPr>
      <w:r>
        <w:t>（</w:t>
      </w:r>
      <w:r>
        <w:t>15</w:t>
      </w:r>
      <w:r>
        <w:t>）《中华人民共和国土地管理法》</w:t>
      </w:r>
      <w:r>
        <w:rPr>
          <w:rFonts w:hint="eastAsia"/>
        </w:rPr>
        <w:t>（修改）</w:t>
      </w:r>
      <w:r>
        <w:t>，</w:t>
      </w:r>
      <w:r>
        <w:t>2020-1-1</w:t>
      </w:r>
      <w:r>
        <w:t>起施行；</w:t>
      </w:r>
    </w:p>
    <w:p w14:paraId="43B72847" w14:textId="77777777" w:rsidR="009C353B" w:rsidRDefault="00000000">
      <w:pPr>
        <w:pStyle w:val="zzm"/>
        <w:spacing w:line="440" w:lineRule="exact"/>
        <w:ind w:firstLine="480"/>
      </w:pPr>
      <w:r>
        <w:t>（</w:t>
      </w:r>
      <w:r>
        <w:t>16</w:t>
      </w:r>
      <w:r>
        <w:t>）《中华人民共和国野生动物保护法》</w:t>
      </w:r>
      <w:r>
        <w:rPr>
          <w:rFonts w:hint="eastAsia"/>
        </w:rPr>
        <w:t>（修改）</w:t>
      </w:r>
      <w:r>
        <w:t>，</w:t>
      </w:r>
      <w:r>
        <w:t>2017-1-1</w:t>
      </w:r>
      <w:r>
        <w:t>起施行；</w:t>
      </w:r>
    </w:p>
    <w:p w14:paraId="64910EC5" w14:textId="77777777" w:rsidR="009C353B" w:rsidRDefault="00000000">
      <w:pPr>
        <w:pStyle w:val="zzm"/>
        <w:spacing w:line="440" w:lineRule="exact"/>
        <w:ind w:firstLine="480"/>
      </w:pPr>
      <w:r>
        <w:t>（</w:t>
      </w:r>
      <w:r>
        <w:t>17</w:t>
      </w:r>
      <w:r>
        <w:t>）《中华人民共和国</w:t>
      </w:r>
      <w:r>
        <w:rPr>
          <w:rFonts w:hint="eastAsia"/>
        </w:rPr>
        <w:t>文物保护法</w:t>
      </w:r>
      <w:r>
        <w:t>》</w:t>
      </w:r>
      <w:r>
        <w:rPr>
          <w:rFonts w:hint="eastAsia"/>
        </w:rPr>
        <w:t>（修订）</w:t>
      </w:r>
      <w:r>
        <w:t>，</w:t>
      </w:r>
      <w:r>
        <w:t>2017-11-4</w:t>
      </w:r>
      <w:r>
        <w:t>起施行；</w:t>
      </w:r>
    </w:p>
    <w:p w14:paraId="2BF099BF" w14:textId="77777777" w:rsidR="009C353B" w:rsidRDefault="00000000">
      <w:pPr>
        <w:pStyle w:val="zzm"/>
        <w:spacing w:line="440" w:lineRule="exact"/>
        <w:ind w:firstLine="480"/>
      </w:pPr>
      <w:r>
        <w:t>（</w:t>
      </w:r>
      <w:r>
        <w:t>18</w:t>
      </w:r>
      <w:r>
        <w:t>）《中华人民共和国矿产资源法》</w:t>
      </w:r>
      <w:r>
        <w:rPr>
          <w:rFonts w:hint="eastAsia"/>
        </w:rPr>
        <w:t>（修正）</w:t>
      </w:r>
      <w:r>
        <w:t>，</w:t>
      </w:r>
      <w:r>
        <w:t>2009-8-27</w:t>
      </w:r>
      <w:r>
        <w:t>起施行；</w:t>
      </w:r>
    </w:p>
    <w:p w14:paraId="484709BB" w14:textId="77777777" w:rsidR="009C353B" w:rsidRDefault="00000000">
      <w:pPr>
        <w:pStyle w:val="zzm"/>
        <w:spacing w:line="440" w:lineRule="exact"/>
        <w:ind w:firstLine="480"/>
      </w:pPr>
      <w:r>
        <w:rPr>
          <w:rFonts w:hint="eastAsia"/>
        </w:rPr>
        <w:t>（</w:t>
      </w:r>
      <w:r>
        <w:t>19</w:t>
      </w:r>
      <w:r>
        <w:rPr>
          <w:rFonts w:hint="eastAsia"/>
        </w:rPr>
        <w:t>）</w:t>
      </w:r>
      <w:r>
        <w:t>《中华人民共和国煤炭法》</w:t>
      </w:r>
      <w:r>
        <w:rPr>
          <w:rFonts w:hint="eastAsia"/>
        </w:rPr>
        <w:t>（修正）</w:t>
      </w:r>
      <w:r>
        <w:t>，</w:t>
      </w:r>
      <w:r>
        <w:t>2016-11-7</w:t>
      </w:r>
      <w:r>
        <w:t>起施行</w:t>
      </w:r>
      <w:r>
        <w:rPr>
          <w:rFonts w:hint="eastAsia"/>
        </w:rPr>
        <w:t>。</w:t>
      </w:r>
    </w:p>
    <w:p w14:paraId="684D2080" w14:textId="77777777" w:rsidR="009C353B" w:rsidRDefault="00000000">
      <w:pPr>
        <w:keepNext/>
        <w:keepLines/>
        <w:spacing w:line="440" w:lineRule="exact"/>
        <w:outlineLvl w:val="3"/>
        <w:rPr>
          <w:rFonts w:ascii="Times New Roman" w:hAnsi="Times New Roman"/>
          <w:b/>
        </w:rPr>
      </w:pPr>
      <w:r>
        <w:rPr>
          <w:rFonts w:ascii="Times New Roman" w:hAnsi="Times New Roman"/>
          <w:b/>
        </w:rPr>
        <w:t xml:space="preserve">1.2.2.2 </w:t>
      </w:r>
      <w:r>
        <w:rPr>
          <w:rFonts w:ascii="Times New Roman" w:hAnsi="Times New Roman"/>
          <w:b/>
        </w:rPr>
        <w:t>行政法规</w:t>
      </w:r>
    </w:p>
    <w:p w14:paraId="71E4B8F8" w14:textId="77777777" w:rsidR="009C353B" w:rsidRDefault="00000000">
      <w:pPr>
        <w:adjustRightInd w:val="0"/>
        <w:snapToGrid w:val="0"/>
        <w:spacing w:line="440" w:lineRule="exact"/>
        <w:ind w:left="397"/>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）《规划环境影响评价条例》，国务院令第</w:t>
      </w:r>
      <w:r>
        <w:rPr>
          <w:rFonts w:ascii="Times New Roman" w:hAnsi="Times New Roman"/>
        </w:rPr>
        <w:t>559</w:t>
      </w:r>
      <w:r>
        <w:rPr>
          <w:rFonts w:ascii="Times New Roman" w:hAnsi="Times New Roman"/>
        </w:rPr>
        <w:t>号，</w:t>
      </w:r>
      <w:r>
        <w:rPr>
          <w:rFonts w:ascii="Times New Roman" w:hAnsi="Times New Roman"/>
        </w:rPr>
        <w:t>2009-10-01</w:t>
      </w:r>
      <w:r>
        <w:rPr>
          <w:rFonts w:ascii="Times New Roman" w:hAnsi="Times New Roman"/>
        </w:rPr>
        <w:t>施行；</w:t>
      </w:r>
    </w:p>
    <w:p w14:paraId="6E990690" w14:textId="77777777" w:rsidR="009C353B" w:rsidRDefault="00000000">
      <w:pPr>
        <w:adjustRightInd w:val="0"/>
        <w:snapToGrid w:val="0"/>
        <w:spacing w:line="440" w:lineRule="exact"/>
        <w:ind w:left="397"/>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）《建设项目环境保护管理条例》，国务院令第</w:t>
      </w:r>
      <w:r>
        <w:rPr>
          <w:rFonts w:ascii="Times New Roman" w:hAnsi="Times New Roman"/>
        </w:rPr>
        <w:t>682</w:t>
      </w:r>
      <w:r>
        <w:rPr>
          <w:rFonts w:ascii="Times New Roman" w:hAnsi="Times New Roman"/>
        </w:rPr>
        <w:t>号，</w:t>
      </w:r>
      <w:r>
        <w:rPr>
          <w:rFonts w:ascii="Times New Roman" w:hAnsi="Times New Roman"/>
        </w:rPr>
        <w:t>2017-10-1</w:t>
      </w:r>
      <w:r>
        <w:rPr>
          <w:rFonts w:ascii="Times New Roman" w:hAnsi="Times New Roman"/>
        </w:rPr>
        <w:t>起施行；</w:t>
      </w:r>
    </w:p>
    <w:p w14:paraId="7F9DC7E8" w14:textId="77777777" w:rsidR="009C353B" w:rsidRDefault="00000000">
      <w:pPr>
        <w:adjustRightInd w:val="0"/>
        <w:snapToGrid w:val="0"/>
        <w:spacing w:line="440" w:lineRule="exact"/>
        <w:ind w:left="397"/>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）《中华人民共和国自然保护区条例》，国务院令第</w:t>
      </w:r>
      <w:r>
        <w:rPr>
          <w:rFonts w:ascii="Times New Roman" w:hAnsi="Times New Roman"/>
        </w:rPr>
        <w:t>687</w:t>
      </w:r>
      <w:r>
        <w:rPr>
          <w:rFonts w:ascii="Times New Roman" w:hAnsi="Times New Roman"/>
        </w:rPr>
        <w:t>号，</w:t>
      </w:r>
      <w:r>
        <w:rPr>
          <w:rFonts w:ascii="Times New Roman" w:hAnsi="Times New Roman"/>
        </w:rPr>
        <w:t>2017-10-7</w:t>
      </w:r>
      <w:r>
        <w:rPr>
          <w:rFonts w:ascii="Times New Roman" w:hAnsi="Times New Roman"/>
        </w:rPr>
        <w:t>起施行；</w:t>
      </w:r>
    </w:p>
    <w:p w14:paraId="630B0A63" w14:textId="77777777" w:rsidR="009C353B" w:rsidRDefault="00000000">
      <w:pPr>
        <w:adjustRightInd w:val="0"/>
        <w:snapToGrid w:val="0"/>
        <w:spacing w:line="440" w:lineRule="exact"/>
        <w:ind w:left="397"/>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）《基本农田保护条例》，国务院令第</w:t>
      </w:r>
      <w:r>
        <w:rPr>
          <w:rFonts w:ascii="Times New Roman" w:hAnsi="Times New Roman"/>
        </w:rPr>
        <w:t>257</w:t>
      </w:r>
      <w:r>
        <w:rPr>
          <w:rFonts w:ascii="Times New Roman" w:hAnsi="Times New Roman"/>
        </w:rPr>
        <w:t>号，</w:t>
      </w:r>
      <w:r>
        <w:rPr>
          <w:rFonts w:ascii="Times New Roman" w:hAnsi="Times New Roman"/>
        </w:rPr>
        <w:t>1999-1-1</w:t>
      </w:r>
      <w:r>
        <w:rPr>
          <w:rFonts w:ascii="Times New Roman" w:hAnsi="Times New Roman"/>
        </w:rPr>
        <w:t>起实施；</w:t>
      </w:r>
    </w:p>
    <w:p w14:paraId="399A6297" w14:textId="77777777" w:rsidR="009C353B" w:rsidRDefault="00000000">
      <w:pPr>
        <w:adjustRightInd w:val="0"/>
        <w:snapToGrid w:val="0"/>
        <w:spacing w:line="440" w:lineRule="exact"/>
        <w:ind w:left="397"/>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）《土地复垦条例》，国务院令第</w:t>
      </w:r>
      <w:r>
        <w:rPr>
          <w:rFonts w:ascii="Times New Roman" w:hAnsi="Times New Roman"/>
        </w:rPr>
        <w:t>592</w:t>
      </w:r>
      <w:r>
        <w:rPr>
          <w:rFonts w:ascii="Times New Roman" w:hAnsi="Times New Roman"/>
        </w:rPr>
        <w:t>号，</w:t>
      </w:r>
      <w:r>
        <w:rPr>
          <w:rFonts w:ascii="Times New Roman" w:hAnsi="Times New Roman"/>
        </w:rPr>
        <w:t>2011-3-5</w:t>
      </w:r>
      <w:r>
        <w:rPr>
          <w:rFonts w:ascii="Times New Roman" w:hAnsi="Times New Roman"/>
        </w:rPr>
        <w:t>起施行；</w:t>
      </w:r>
    </w:p>
    <w:p w14:paraId="72C50089" w14:textId="77777777" w:rsidR="009C353B" w:rsidRDefault="00000000">
      <w:pPr>
        <w:adjustRightInd w:val="0"/>
        <w:snapToGrid w:val="0"/>
        <w:spacing w:line="440" w:lineRule="exact"/>
        <w:ind w:left="397"/>
        <w:rPr>
          <w:rFonts w:ascii="Times New Roman" w:hAnsi="Times New Roman"/>
        </w:rPr>
      </w:pPr>
      <w:r>
        <w:rPr>
          <w:rFonts w:ascii="Times New Roman" w:hAnsi="Times New Roman"/>
        </w:rPr>
        <w:t>（</w:t>
      </w:r>
      <w:r>
        <w:rPr>
          <w:rFonts w:ascii="Times New Roman" w:hAnsi="Times New Roman"/>
        </w:rPr>
        <w:t>6</w:t>
      </w:r>
      <w:r>
        <w:rPr>
          <w:rFonts w:ascii="Times New Roman" w:hAnsi="Times New Roman"/>
        </w:rPr>
        <w:t>）《地质灾害防治条例》，国务院令第</w:t>
      </w:r>
      <w:r>
        <w:rPr>
          <w:rFonts w:ascii="Times New Roman" w:hAnsi="Times New Roman"/>
        </w:rPr>
        <w:t>394</w:t>
      </w:r>
      <w:r>
        <w:rPr>
          <w:rFonts w:ascii="Times New Roman" w:hAnsi="Times New Roman"/>
        </w:rPr>
        <w:t>号，</w:t>
      </w:r>
      <w:r>
        <w:rPr>
          <w:rFonts w:ascii="Times New Roman" w:hAnsi="Times New Roman"/>
        </w:rPr>
        <w:t>2004-3-1</w:t>
      </w:r>
      <w:r>
        <w:rPr>
          <w:rFonts w:ascii="Times New Roman" w:hAnsi="Times New Roman"/>
        </w:rPr>
        <w:t>起施行；</w:t>
      </w:r>
      <w:r>
        <w:rPr>
          <w:rFonts w:ascii="Times New Roman" w:hAnsi="Times New Roman"/>
        </w:rPr>
        <w:t xml:space="preserve"> </w:t>
      </w:r>
    </w:p>
    <w:p w14:paraId="0AB28521" w14:textId="77777777" w:rsidR="009C353B" w:rsidRDefault="00000000">
      <w:pPr>
        <w:adjustRightInd w:val="0"/>
        <w:snapToGrid w:val="0"/>
        <w:spacing w:line="440" w:lineRule="exact"/>
        <w:ind w:left="397"/>
        <w:rPr>
          <w:rFonts w:ascii="Times New Roman" w:hAnsi="Times New Roman"/>
        </w:rPr>
      </w:pPr>
      <w:r>
        <w:rPr>
          <w:rFonts w:ascii="Times New Roman" w:hAnsi="Times New Roman"/>
        </w:rPr>
        <w:t>（</w:t>
      </w:r>
      <w:r>
        <w:rPr>
          <w:rFonts w:ascii="Times New Roman" w:hAnsi="Times New Roman"/>
        </w:rPr>
        <w:t>7</w:t>
      </w:r>
      <w:r>
        <w:rPr>
          <w:rFonts w:ascii="Times New Roman" w:hAnsi="Times New Roman"/>
        </w:rPr>
        <w:t>）《公路安全保护条例》，国务院令第</w:t>
      </w:r>
      <w:r>
        <w:rPr>
          <w:rFonts w:ascii="Times New Roman" w:hAnsi="Times New Roman"/>
        </w:rPr>
        <w:t>593</w:t>
      </w:r>
      <w:r>
        <w:rPr>
          <w:rFonts w:ascii="Times New Roman" w:hAnsi="Times New Roman"/>
        </w:rPr>
        <w:t>号，</w:t>
      </w:r>
      <w:r>
        <w:rPr>
          <w:rFonts w:ascii="Times New Roman" w:hAnsi="Times New Roman"/>
        </w:rPr>
        <w:t>2011-7-1</w:t>
      </w:r>
      <w:r>
        <w:rPr>
          <w:rFonts w:ascii="Times New Roman" w:hAnsi="Times New Roman"/>
        </w:rPr>
        <w:t>起施行</w:t>
      </w:r>
      <w:r>
        <w:rPr>
          <w:rFonts w:ascii="Times New Roman" w:hAnsi="Times New Roman" w:hint="eastAsia"/>
        </w:rPr>
        <w:t>；</w:t>
      </w:r>
    </w:p>
    <w:p w14:paraId="7DA9F21D" w14:textId="77777777" w:rsidR="009C353B" w:rsidRDefault="00000000">
      <w:pPr>
        <w:adjustRightInd w:val="0"/>
        <w:snapToGrid w:val="0"/>
        <w:spacing w:line="440" w:lineRule="exact"/>
        <w:ind w:left="397"/>
        <w:rPr>
          <w:rFonts w:ascii="Times New Roman" w:hAnsi="Times New Roman"/>
        </w:rPr>
      </w:pPr>
      <w:r>
        <w:rPr>
          <w:rFonts w:ascii="Times New Roman" w:hAnsi="Times New Roman"/>
        </w:rPr>
        <w:t>（</w:t>
      </w:r>
      <w:r>
        <w:rPr>
          <w:rFonts w:ascii="Times New Roman" w:hAnsi="Times New Roman"/>
        </w:rPr>
        <w:t>8</w:t>
      </w:r>
      <w:r>
        <w:rPr>
          <w:rFonts w:ascii="Times New Roman" w:hAnsi="Times New Roman"/>
        </w:rPr>
        <w:t>）《风景名胜区条例》</w:t>
      </w:r>
      <w:r>
        <w:rPr>
          <w:rFonts w:ascii="Times New Roman" w:hAnsi="Times New Roman" w:hint="eastAsia"/>
        </w:rPr>
        <w:t>（</w:t>
      </w:r>
      <w:r>
        <w:rPr>
          <w:rFonts w:ascii="Times New Roman" w:hAnsi="Times New Roman" w:hint="eastAsia"/>
        </w:rPr>
        <w:t>2</w:t>
      </w:r>
      <w:r>
        <w:rPr>
          <w:rFonts w:ascii="Times New Roman" w:hAnsi="Times New Roman"/>
        </w:rPr>
        <w:t>016</w:t>
      </w:r>
      <w:r>
        <w:rPr>
          <w:rFonts w:ascii="Times New Roman" w:hAnsi="Times New Roman"/>
        </w:rPr>
        <w:t>修订</w:t>
      </w:r>
      <w:r>
        <w:rPr>
          <w:rFonts w:ascii="Times New Roman" w:hAnsi="Times New Roman" w:hint="eastAsia"/>
        </w:rPr>
        <w:t>）</w:t>
      </w:r>
      <w:r>
        <w:rPr>
          <w:rFonts w:ascii="Times New Roman" w:hAnsi="Times New Roman"/>
        </w:rPr>
        <w:t>，国务院令第</w:t>
      </w:r>
      <w:r>
        <w:rPr>
          <w:rFonts w:ascii="Times New Roman" w:hAnsi="Times New Roman"/>
        </w:rPr>
        <w:t>474</w:t>
      </w:r>
      <w:r>
        <w:rPr>
          <w:rFonts w:ascii="Times New Roman" w:hAnsi="Times New Roman"/>
        </w:rPr>
        <w:t>号，</w:t>
      </w:r>
      <w:r>
        <w:rPr>
          <w:rFonts w:ascii="Times New Roman" w:hAnsi="Times New Roman"/>
        </w:rPr>
        <w:t>2016-2-6</w:t>
      </w:r>
      <w:r>
        <w:rPr>
          <w:rFonts w:ascii="Times New Roman" w:hAnsi="Times New Roman"/>
        </w:rPr>
        <w:t>起施行</w:t>
      </w:r>
      <w:r>
        <w:rPr>
          <w:rFonts w:ascii="Times New Roman" w:hAnsi="Times New Roman" w:hint="eastAsia"/>
        </w:rPr>
        <w:t>。</w:t>
      </w:r>
    </w:p>
    <w:p w14:paraId="7BBA4C66" w14:textId="77777777" w:rsidR="009C353B" w:rsidRDefault="00000000">
      <w:pPr>
        <w:keepNext/>
        <w:keepLines/>
        <w:spacing w:line="440" w:lineRule="exact"/>
        <w:outlineLvl w:val="3"/>
        <w:rPr>
          <w:rFonts w:ascii="Times New Roman" w:hAnsi="Times New Roman"/>
          <w:b/>
        </w:rPr>
      </w:pPr>
      <w:r>
        <w:rPr>
          <w:rFonts w:ascii="Times New Roman" w:hAnsi="Times New Roman"/>
          <w:b/>
        </w:rPr>
        <w:lastRenderedPageBreak/>
        <w:t xml:space="preserve">1.2.2.3 </w:t>
      </w:r>
      <w:r>
        <w:rPr>
          <w:rFonts w:ascii="Times New Roman" w:hAnsi="Times New Roman"/>
          <w:b/>
        </w:rPr>
        <w:t>地方性法规</w:t>
      </w:r>
    </w:p>
    <w:p w14:paraId="3511EDA6" w14:textId="77777777" w:rsidR="009C353B" w:rsidRDefault="00000000">
      <w:pPr>
        <w:spacing w:line="440" w:lineRule="exact"/>
        <w:ind w:firstLineChars="200" w:firstLine="480"/>
        <w:rPr>
          <w:rFonts w:ascii="Times New Roman" w:hint="eastAsia"/>
          <w:szCs w:val="24"/>
        </w:rPr>
      </w:pPr>
      <w:r>
        <w:rPr>
          <w:rFonts w:ascii="Times New Roman" w:hint="eastAsia"/>
          <w:szCs w:val="24"/>
        </w:rPr>
        <w:t>（</w:t>
      </w:r>
      <w:r>
        <w:rPr>
          <w:rFonts w:ascii="Times New Roman" w:hint="eastAsia"/>
          <w:szCs w:val="24"/>
        </w:rPr>
        <w:t>1</w:t>
      </w:r>
      <w:r>
        <w:rPr>
          <w:rFonts w:ascii="Times New Roman" w:hint="eastAsia"/>
          <w:szCs w:val="24"/>
        </w:rPr>
        <w:t>）《宁夏回族自治区环境保护条例》，</w:t>
      </w:r>
      <w:r>
        <w:rPr>
          <w:rFonts w:ascii="Times New Roman" w:hint="eastAsia"/>
          <w:szCs w:val="24"/>
        </w:rPr>
        <w:t>2</w:t>
      </w:r>
      <w:r>
        <w:rPr>
          <w:rFonts w:ascii="Times New Roman"/>
          <w:szCs w:val="24"/>
        </w:rPr>
        <w:t>019</w:t>
      </w:r>
      <w:r>
        <w:rPr>
          <w:rFonts w:ascii="Times New Roman" w:hint="eastAsia"/>
          <w:szCs w:val="24"/>
        </w:rPr>
        <w:t>-3-2</w:t>
      </w:r>
      <w:r>
        <w:rPr>
          <w:rFonts w:ascii="Times New Roman"/>
          <w:szCs w:val="24"/>
        </w:rPr>
        <w:t>6</w:t>
      </w:r>
      <w:r>
        <w:rPr>
          <w:rFonts w:ascii="Times New Roman" w:hint="eastAsia"/>
          <w:szCs w:val="24"/>
        </w:rPr>
        <w:t>起施行；</w:t>
      </w:r>
    </w:p>
    <w:p w14:paraId="0BD6D83E" w14:textId="77777777" w:rsidR="009C353B" w:rsidRDefault="00000000">
      <w:pPr>
        <w:spacing w:line="440" w:lineRule="exact"/>
        <w:ind w:firstLineChars="200" w:firstLine="480"/>
        <w:rPr>
          <w:rFonts w:ascii="Times New Roman" w:hint="eastAsia"/>
          <w:szCs w:val="24"/>
        </w:rPr>
      </w:pPr>
      <w:r>
        <w:rPr>
          <w:rFonts w:ascii="Times New Roman" w:hint="eastAsia"/>
          <w:szCs w:val="24"/>
        </w:rPr>
        <w:t>（</w:t>
      </w:r>
      <w:r>
        <w:rPr>
          <w:rFonts w:ascii="Times New Roman"/>
          <w:szCs w:val="24"/>
        </w:rPr>
        <w:t>2</w:t>
      </w:r>
      <w:r>
        <w:rPr>
          <w:rFonts w:ascii="Times New Roman" w:hint="eastAsia"/>
          <w:szCs w:val="24"/>
        </w:rPr>
        <w:t>）《宁夏回族自治区</w:t>
      </w:r>
      <w:r>
        <w:rPr>
          <w:rFonts w:ascii="Times New Roman"/>
          <w:szCs w:val="24"/>
        </w:rPr>
        <w:t>矿产资源管理条例</w:t>
      </w:r>
      <w:r>
        <w:rPr>
          <w:rFonts w:ascii="Times New Roman" w:hint="eastAsia"/>
          <w:szCs w:val="24"/>
        </w:rPr>
        <w:t>》，</w:t>
      </w:r>
      <w:r>
        <w:rPr>
          <w:rFonts w:ascii="Times New Roman" w:hint="eastAsia"/>
          <w:szCs w:val="24"/>
        </w:rPr>
        <w:t>2</w:t>
      </w:r>
      <w:r>
        <w:rPr>
          <w:rFonts w:ascii="Times New Roman"/>
          <w:szCs w:val="24"/>
        </w:rPr>
        <w:t>006</w:t>
      </w:r>
      <w:r>
        <w:rPr>
          <w:rFonts w:ascii="Times New Roman" w:hint="eastAsia"/>
          <w:szCs w:val="24"/>
        </w:rPr>
        <w:t>-</w:t>
      </w:r>
      <w:r>
        <w:rPr>
          <w:rFonts w:ascii="Times New Roman"/>
          <w:szCs w:val="24"/>
        </w:rPr>
        <w:t>3</w:t>
      </w:r>
      <w:r>
        <w:rPr>
          <w:rFonts w:ascii="Times New Roman" w:hint="eastAsia"/>
          <w:szCs w:val="24"/>
        </w:rPr>
        <w:t>-</w:t>
      </w:r>
      <w:r>
        <w:rPr>
          <w:rFonts w:ascii="Times New Roman"/>
          <w:szCs w:val="24"/>
        </w:rPr>
        <w:t>31</w:t>
      </w:r>
      <w:r>
        <w:rPr>
          <w:rFonts w:ascii="Times New Roman" w:hint="eastAsia"/>
          <w:szCs w:val="24"/>
        </w:rPr>
        <w:t>起施行；</w:t>
      </w:r>
    </w:p>
    <w:p w14:paraId="4C327B52" w14:textId="77777777" w:rsidR="009C353B" w:rsidRDefault="00000000">
      <w:pPr>
        <w:spacing w:line="440" w:lineRule="exact"/>
        <w:ind w:firstLineChars="200" w:firstLine="480"/>
        <w:rPr>
          <w:rFonts w:ascii="Times New Roman" w:hint="eastAsia"/>
          <w:szCs w:val="24"/>
        </w:rPr>
      </w:pPr>
      <w:r>
        <w:rPr>
          <w:rFonts w:ascii="Times New Roman" w:hint="eastAsia"/>
          <w:szCs w:val="24"/>
        </w:rPr>
        <w:t>（</w:t>
      </w:r>
      <w:r>
        <w:rPr>
          <w:rFonts w:ascii="Times New Roman"/>
          <w:szCs w:val="24"/>
        </w:rPr>
        <w:t>3</w:t>
      </w:r>
      <w:r>
        <w:rPr>
          <w:rFonts w:ascii="Times New Roman" w:hint="eastAsia"/>
          <w:szCs w:val="24"/>
        </w:rPr>
        <w:t>）《宁夏回族自治区水</w:t>
      </w:r>
      <w:r>
        <w:rPr>
          <w:rFonts w:ascii="Times New Roman"/>
          <w:szCs w:val="24"/>
        </w:rPr>
        <w:t>资源管理条例</w:t>
      </w:r>
      <w:r>
        <w:rPr>
          <w:rFonts w:ascii="Times New Roman" w:hint="eastAsia"/>
          <w:szCs w:val="24"/>
        </w:rPr>
        <w:t>》，</w:t>
      </w:r>
      <w:r>
        <w:rPr>
          <w:rFonts w:ascii="Times New Roman" w:hint="eastAsia"/>
          <w:szCs w:val="24"/>
        </w:rPr>
        <w:t>2</w:t>
      </w:r>
      <w:r>
        <w:rPr>
          <w:rFonts w:ascii="Times New Roman"/>
          <w:szCs w:val="24"/>
        </w:rPr>
        <w:t>017</w:t>
      </w:r>
      <w:r>
        <w:rPr>
          <w:rFonts w:ascii="Times New Roman" w:hint="eastAsia"/>
          <w:szCs w:val="24"/>
        </w:rPr>
        <w:t>-</w:t>
      </w:r>
      <w:r>
        <w:rPr>
          <w:rFonts w:ascii="Times New Roman"/>
          <w:szCs w:val="24"/>
        </w:rPr>
        <w:t>1</w:t>
      </w:r>
      <w:r>
        <w:rPr>
          <w:rFonts w:ascii="Times New Roman" w:hint="eastAsia"/>
          <w:szCs w:val="24"/>
        </w:rPr>
        <w:t>-</w:t>
      </w:r>
      <w:r>
        <w:rPr>
          <w:rFonts w:ascii="Times New Roman"/>
          <w:szCs w:val="24"/>
        </w:rPr>
        <w:t>1</w:t>
      </w:r>
      <w:r>
        <w:rPr>
          <w:rFonts w:ascii="Times New Roman" w:hint="eastAsia"/>
          <w:szCs w:val="24"/>
        </w:rPr>
        <w:t>起施行；</w:t>
      </w:r>
    </w:p>
    <w:p w14:paraId="47B1C67D" w14:textId="77777777" w:rsidR="009C353B" w:rsidRDefault="00000000">
      <w:pPr>
        <w:spacing w:line="440" w:lineRule="exact"/>
        <w:ind w:firstLineChars="200" w:firstLine="480"/>
        <w:rPr>
          <w:rFonts w:ascii="Times New Roman" w:hint="eastAsia"/>
          <w:szCs w:val="24"/>
        </w:rPr>
      </w:pPr>
      <w:r>
        <w:rPr>
          <w:rFonts w:ascii="Times New Roman" w:hint="eastAsia"/>
          <w:szCs w:val="24"/>
        </w:rPr>
        <w:t>（</w:t>
      </w:r>
      <w:r>
        <w:rPr>
          <w:rFonts w:ascii="Times New Roman"/>
          <w:szCs w:val="24"/>
        </w:rPr>
        <w:t>4</w:t>
      </w:r>
      <w:r>
        <w:rPr>
          <w:rFonts w:ascii="Times New Roman" w:hint="eastAsia"/>
          <w:szCs w:val="24"/>
        </w:rPr>
        <w:t>）《宁夏回族自治区</w:t>
      </w:r>
      <w:r>
        <w:rPr>
          <w:rFonts w:ascii="Times New Roman" w:hAnsi="Times New Roman" w:hint="eastAsia"/>
        </w:rPr>
        <w:t>自然保护区管理办法</w:t>
      </w:r>
      <w:r>
        <w:rPr>
          <w:rFonts w:ascii="Times New Roman" w:hint="eastAsia"/>
          <w:szCs w:val="24"/>
        </w:rPr>
        <w:t>》修订，</w:t>
      </w:r>
      <w:r>
        <w:rPr>
          <w:rFonts w:ascii="Times New Roman" w:hint="eastAsia"/>
          <w:szCs w:val="24"/>
        </w:rPr>
        <w:t>2</w:t>
      </w:r>
      <w:r>
        <w:rPr>
          <w:rFonts w:ascii="Times New Roman"/>
          <w:szCs w:val="24"/>
        </w:rPr>
        <w:t>017</w:t>
      </w:r>
      <w:r>
        <w:rPr>
          <w:rFonts w:ascii="Times New Roman" w:hint="eastAsia"/>
          <w:szCs w:val="24"/>
        </w:rPr>
        <w:t>-</w:t>
      </w:r>
      <w:r>
        <w:rPr>
          <w:rFonts w:ascii="Times New Roman"/>
          <w:szCs w:val="24"/>
        </w:rPr>
        <w:t>10</w:t>
      </w:r>
      <w:r>
        <w:rPr>
          <w:rFonts w:ascii="Times New Roman" w:hint="eastAsia"/>
          <w:szCs w:val="24"/>
        </w:rPr>
        <w:t>-</w:t>
      </w:r>
      <w:r>
        <w:rPr>
          <w:rFonts w:ascii="Times New Roman"/>
          <w:szCs w:val="24"/>
        </w:rPr>
        <w:t>9</w:t>
      </w:r>
      <w:r>
        <w:rPr>
          <w:rFonts w:ascii="Times New Roman" w:hint="eastAsia"/>
          <w:szCs w:val="24"/>
        </w:rPr>
        <w:t>起施行；</w:t>
      </w:r>
    </w:p>
    <w:p w14:paraId="0A18911D" w14:textId="77777777" w:rsidR="009C353B" w:rsidRDefault="00000000">
      <w:pPr>
        <w:spacing w:line="440" w:lineRule="exact"/>
        <w:ind w:firstLineChars="200" w:firstLine="480"/>
        <w:rPr>
          <w:rFonts w:ascii="Times New Roman" w:hint="eastAsia"/>
          <w:szCs w:val="24"/>
        </w:rPr>
      </w:pPr>
      <w:r>
        <w:rPr>
          <w:rFonts w:ascii="Times New Roman" w:hint="eastAsia"/>
          <w:szCs w:val="24"/>
        </w:rPr>
        <w:t>（</w:t>
      </w:r>
      <w:r>
        <w:rPr>
          <w:rFonts w:ascii="Times New Roman"/>
          <w:szCs w:val="24"/>
        </w:rPr>
        <w:t>5</w:t>
      </w:r>
      <w:r>
        <w:rPr>
          <w:rFonts w:ascii="Times New Roman" w:hint="eastAsia"/>
          <w:szCs w:val="24"/>
        </w:rPr>
        <w:t>）《宁夏回族自治区水污染防治条例》，</w:t>
      </w:r>
      <w:r>
        <w:rPr>
          <w:rFonts w:ascii="Times New Roman" w:hint="eastAsia"/>
          <w:szCs w:val="24"/>
        </w:rPr>
        <w:t>2</w:t>
      </w:r>
      <w:r>
        <w:rPr>
          <w:rFonts w:ascii="Times New Roman"/>
          <w:szCs w:val="24"/>
        </w:rPr>
        <w:t>020</w:t>
      </w:r>
      <w:r>
        <w:rPr>
          <w:rFonts w:ascii="Times New Roman" w:hint="eastAsia"/>
          <w:szCs w:val="24"/>
        </w:rPr>
        <w:t>-</w:t>
      </w:r>
      <w:r>
        <w:rPr>
          <w:rFonts w:ascii="Times New Roman"/>
          <w:szCs w:val="24"/>
        </w:rPr>
        <w:t>3</w:t>
      </w:r>
      <w:r>
        <w:rPr>
          <w:rFonts w:ascii="Times New Roman" w:hint="eastAsia"/>
          <w:szCs w:val="24"/>
        </w:rPr>
        <w:t>-</w:t>
      </w:r>
      <w:r>
        <w:rPr>
          <w:rFonts w:ascii="Times New Roman"/>
          <w:szCs w:val="24"/>
        </w:rPr>
        <w:t>1</w:t>
      </w:r>
      <w:r>
        <w:rPr>
          <w:rFonts w:ascii="Times New Roman" w:hint="eastAsia"/>
          <w:szCs w:val="24"/>
        </w:rPr>
        <w:t>起施行；</w:t>
      </w:r>
    </w:p>
    <w:p w14:paraId="6B83C7FF" w14:textId="77777777" w:rsidR="009C353B" w:rsidRDefault="00000000">
      <w:pPr>
        <w:spacing w:line="440" w:lineRule="exact"/>
        <w:ind w:firstLineChars="200" w:firstLine="480"/>
        <w:rPr>
          <w:rFonts w:ascii="Times New Roman" w:hint="eastAsia"/>
          <w:szCs w:val="24"/>
        </w:rPr>
      </w:pPr>
      <w:r>
        <w:rPr>
          <w:rFonts w:ascii="Times New Roman" w:hint="eastAsia"/>
          <w:szCs w:val="24"/>
        </w:rPr>
        <w:t>（</w:t>
      </w:r>
      <w:r>
        <w:rPr>
          <w:rFonts w:ascii="Times New Roman"/>
          <w:szCs w:val="24"/>
        </w:rPr>
        <w:t>6</w:t>
      </w:r>
      <w:r>
        <w:rPr>
          <w:rFonts w:ascii="Times New Roman" w:hint="eastAsia"/>
          <w:szCs w:val="24"/>
        </w:rPr>
        <w:t>）《宁夏回族自治区大气污染防治条例》（修订），</w:t>
      </w:r>
      <w:r>
        <w:rPr>
          <w:rFonts w:ascii="Times New Roman" w:hint="eastAsia"/>
          <w:szCs w:val="24"/>
        </w:rPr>
        <w:t>2</w:t>
      </w:r>
      <w:r>
        <w:rPr>
          <w:rFonts w:ascii="Times New Roman"/>
          <w:szCs w:val="24"/>
        </w:rPr>
        <w:t>019</w:t>
      </w:r>
      <w:r>
        <w:rPr>
          <w:rFonts w:ascii="Times New Roman" w:hint="eastAsia"/>
          <w:szCs w:val="24"/>
        </w:rPr>
        <w:t>-</w:t>
      </w:r>
      <w:r>
        <w:rPr>
          <w:rFonts w:ascii="Times New Roman"/>
          <w:szCs w:val="24"/>
        </w:rPr>
        <w:t>3</w:t>
      </w:r>
      <w:r>
        <w:rPr>
          <w:rFonts w:ascii="Times New Roman" w:hint="eastAsia"/>
          <w:szCs w:val="24"/>
        </w:rPr>
        <w:t>-</w:t>
      </w:r>
      <w:r>
        <w:rPr>
          <w:rFonts w:ascii="Times New Roman"/>
          <w:szCs w:val="24"/>
        </w:rPr>
        <w:t>26</w:t>
      </w:r>
      <w:r>
        <w:rPr>
          <w:rFonts w:ascii="Times New Roman" w:hint="eastAsia"/>
          <w:szCs w:val="24"/>
        </w:rPr>
        <w:t>起施行；</w:t>
      </w:r>
    </w:p>
    <w:p w14:paraId="399C5FE6" w14:textId="77777777" w:rsidR="009C353B" w:rsidRDefault="00000000">
      <w:pPr>
        <w:spacing w:line="440" w:lineRule="exact"/>
        <w:ind w:firstLineChars="200" w:firstLine="480"/>
        <w:rPr>
          <w:rFonts w:ascii="Times New Roman" w:hint="eastAsia"/>
          <w:szCs w:val="24"/>
        </w:rPr>
      </w:pPr>
      <w:r>
        <w:rPr>
          <w:rFonts w:ascii="Times New Roman" w:hint="eastAsia"/>
          <w:szCs w:val="24"/>
        </w:rPr>
        <w:t>（</w:t>
      </w:r>
      <w:r>
        <w:rPr>
          <w:rFonts w:ascii="Times New Roman" w:hint="eastAsia"/>
          <w:szCs w:val="24"/>
        </w:rPr>
        <w:t>7</w:t>
      </w:r>
      <w:r>
        <w:rPr>
          <w:rFonts w:ascii="Times New Roman" w:hint="eastAsia"/>
          <w:szCs w:val="24"/>
        </w:rPr>
        <w:t>）</w:t>
      </w:r>
      <w:r>
        <w:rPr>
          <w:rFonts w:ascii="Times New Roman"/>
          <w:szCs w:val="24"/>
        </w:rPr>
        <w:t>《宁夏回族自治区生态保护红线管理条例》，</w:t>
      </w:r>
      <w:r>
        <w:rPr>
          <w:rFonts w:ascii="Times New Roman"/>
          <w:szCs w:val="24"/>
        </w:rPr>
        <w:t>2019</w:t>
      </w:r>
      <w:r>
        <w:rPr>
          <w:rFonts w:ascii="Times New Roman" w:hint="eastAsia"/>
          <w:szCs w:val="24"/>
        </w:rPr>
        <w:t>-</w:t>
      </w:r>
      <w:r>
        <w:rPr>
          <w:rFonts w:ascii="Times New Roman"/>
          <w:szCs w:val="24"/>
        </w:rPr>
        <w:t>1</w:t>
      </w:r>
      <w:r>
        <w:rPr>
          <w:rFonts w:ascii="Times New Roman" w:hint="eastAsia"/>
          <w:szCs w:val="24"/>
        </w:rPr>
        <w:t>-</w:t>
      </w:r>
      <w:r>
        <w:rPr>
          <w:rFonts w:ascii="Times New Roman"/>
          <w:szCs w:val="24"/>
        </w:rPr>
        <w:t>1</w:t>
      </w:r>
      <w:r>
        <w:rPr>
          <w:rFonts w:ascii="Times New Roman"/>
          <w:szCs w:val="24"/>
        </w:rPr>
        <w:t>日</w:t>
      </w:r>
      <w:r>
        <w:rPr>
          <w:rFonts w:ascii="Times New Roman" w:hint="eastAsia"/>
          <w:szCs w:val="24"/>
        </w:rPr>
        <w:t>起施行</w:t>
      </w:r>
      <w:r>
        <w:rPr>
          <w:rFonts w:ascii="Times New Roman"/>
          <w:szCs w:val="24"/>
        </w:rPr>
        <w:t>；</w:t>
      </w:r>
    </w:p>
    <w:p w14:paraId="3F17C183" w14:textId="77777777" w:rsidR="009C353B" w:rsidRDefault="00000000">
      <w:pPr>
        <w:keepNext/>
        <w:keepLines/>
        <w:spacing w:before="360" w:after="120" w:line="416" w:lineRule="exact"/>
        <w:outlineLvl w:val="2"/>
        <w:rPr>
          <w:rFonts w:ascii="Times New Roman" w:hAnsi="Times New Roman"/>
          <w:b/>
          <w:bCs/>
          <w:szCs w:val="32"/>
        </w:rPr>
      </w:pPr>
      <w:r>
        <w:rPr>
          <w:rFonts w:ascii="Times New Roman" w:hAnsi="Times New Roman"/>
          <w:b/>
          <w:bCs/>
          <w:szCs w:val="32"/>
        </w:rPr>
        <w:t xml:space="preserve">1.2.3 </w:t>
      </w:r>
      <w:r>
        <w:rPr>
          <w:rFonts w:ascii="Times New Roman" w:hAnsi="Times New Roman"/>
          <w:b/>
          <w:bCs/>
          <w:szCs w:val="32"/>
        </w:rPr>
        <w:t>规章</w:t>
      </w:r>
    </w:p>
    <w:p w14:paraId="0D6798F5" w14:textId="77777777" w:rsidR="009C353B" w:rsidRDefault="00000000">
      <w:pPr>
        <w:keepNext/>
        <w:keepLines/>
        <w:spacing w:line="440" w:lineRule="exact"/>
        <w:outlineLvl w:val="3"/>
        <w:rPr>
          <w:rFonts w:ascii="Times New Roman" w:hAnsi="Times New Roman"/>
          <w:b/>
        </w:rPr>
      </w:pPr>
      <w:r>
        <w:rPr>
          <w:rFonts w:ascii="Times New Roman" w:hAnsi="Times New Roman"/>
          <w:b/>
        </w:rPr>
        <w:t xml:space="preserve">1.2.3.1 </w:t>
      </w:r>
      <w:r>
        <w:rPr>
          <w:rFonts w:ascii="Times New Roman" w:hAnsi="Times New Roman"/>
          <w:b/>
        </w:rPr>
        <w:t>国务院部门规章</w:t>
      </w:r>
    </w:p>
    <w:p w14:paraId="5A63A4B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）《煤炭矿区总体规划管理暂行规定》，国家发改委令第</w:t>
      </w:r>
      <w:r>
        <w:rPr>
          <w:rFonts w:ascii="Times New Roman" w:hAnsi="Times New Roman"/>
          <w:szCs w:val="24"/>
        </w:rPr>
        <w:t>14</w:t>
      </w:r>
      <w:r>
        <w:rPr>
          <w:rFonts w:ascii="Times New Roman" w:hAnsi="Times New Roman"/>
          <w:szCs w:val="24"/>
        </w:rPr>
        <w:t>号，</w:t>
      </w:r>
      <w:r>
        <w:rPr>
          <w:rFonts w:ascii="Times New Roman" w:hAnsi="Times New Roman"/>
          <w:szCs w:val="24"/>
        </w:rPr>
        <w:t>2012-7-13</w:t>
      </w:r>
      <w:r>
        <w:rPr>
          <w:rFonts w:ascii="Times New Roman" w:hAnsi="Times New Roman"/>
          <w:szCs w:val="24"/>
        </w:rPr>
        <w:t>起施行；</w:t>
      </w:r>
    </w:p>
    <w:p w14:paraId="3BB3567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）《产业结构调整指导目录（</w:t>
      </w:r>
      <w:r>
        <w:rPr>
          <w:rFonts w:ascii="Times New Roman" w:hAnsi="Times New Roman"/>
          <w:szCs w:val="24"/>
        </w:rPr>
        <w:t>2019</w:t>
      </w:r>
      <w:r>
        <w:rPr>
          <w:rFonts w:ascii="Times New Roman" w:hAnsi="Times New Roman"/>
          <w:szCs w:val="24"/>
        </w:rPr>
        <w:t>年</w:t>
      </w:r>
      <w:r>
        <w:rPr>
          <w:rFonts w:ascii="Times New Roman" w:hAnsi="Times New Roman" w:hint="eastAsia"/>
          <w:szCs w:val="24"/>
        </w:rPr>
        <w:t>修订</w:t>
      </w:r>
      <w:r>
        <w:rPr>
          <w:rFonts w:ascii="Times New Roman" w:hAnsi="Times New Roman"/>
          <w:szCs w:val="24"/>
        </w:rPr>
        <w:t>）》，国家发改委令第</w:t>
      </w:r>
      <w:r>
        <w:rPr>
          <w:rFonts w:ascii="Times New Roman" w:hAnsi="Times New Roman"/>
          <w:szCs w:val="24"/>
        </w:rPr>
        <w:t>29</w:t>
      </w:r>
      <w:r>
        <w:rPr>
          <w:rFonts w:ascii="Times New Roman" w:hAnsi="Times New Roman"/>
          <w:szCs w:val="24"/>
        </w:rPr>
        <w:t>号，</w:t>
      </w:r>
      <w:r>
        <w:rPr>
          <w:rFonts w:ascii="Times New Roman" w:hAnsi="Times New Roman"/>
          <w:szCs w:val="24"/>
        </w:rPr>
        <w:t>2020-1-1</w:t>
      </w:r>
      <w:r>
        <w:rPr>
          <w:rFonts w:ascii="Times New Roman" w:hAnsi="Times New Roman"/>
          <w:szCs w:val="24"/>
        </w:rPr>
        <w:t>起施行；</w:t>
      </w:r>
    </w:p>
    <w:p w14:paraId="6A09572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3</w:t>
      </w:r>
      <w:r>
        <w:rPr>
          <w:rFonts w:ascii="Times New Roman" w:hAnsi="Times New Roman"/>
          <w:szCs w:val="24"/>
        </w:rPr>
        <w:t>）《环境影响评价公众参与办法》，</w:t>
      </w:r>
      <w:r>
        <w:rPr>
          <w:rFonts w:ascii="Times New Roman" w:hAnsi="Times New Roman" w:hint="eastAsia"/>
          <w:szCs w:val="24"/>
        </w:rPr>
        <w:t>生态环境部令第</w:t>
      </w:r>
      <w:r>
        <w:rPr>
          <w:rFonts w:ascii="Times New Roman" w:hAnsi="Times New Roman"/>
          <w:szCs w:val="24"/>
        </w:rPr>
        <w:t>4</w:t>
      </w:r>
      <w:r>
        <w:rPr>
          <w:rFonts w:ascii="Times New Roman" w:hAnsi="Times New Roman"/>
          <w:szCs w:val="24"/>
        </w:rPr>
        <w:t>号，</w:t>
      </w:r>
      <w:r>
        <w:rPr>
          <w:rFonts w:ascii="Times New Roman" w:hAnsi="Times New Roman"/>
          <w:szCs w:val="24"/>
        </w:rPr>
        <w:t>2019-1-1</w:t>
      </w:r>
      <w:r>
        <w:rPr>
          <w:rFonts w:ascii="Times New Roman" w:hAnsi="Times New Roman"/>
          <w:szCs w:val="24"/>
        </w:rPr>
        <w:t>起施行；</w:t>
      </w:r>
    </w:p>
    <w:p w14:paraId="0361E61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4</w:t>
      </w:r>
      <w:r>
        <w:rPr>
          <w:rFonts w:ascii="Times New Roman" w:hAnsi="Times New Roman"/>
          <w:szCs w:val="24"/>
        </w:rPr>
        <w:t>）《关于促进煤炭工业健康发展的若干意见》，国发</w:t>
      </w:r>
      <w:r>
        <w:rPr>
          <w:rFonts w:hint="eastAsia"/>
          <w:szCs w:val="24"/>
        </w:rPr>
        <w:t>〔</w:t>
      </w:r>
      <w:r>
        <w:rPr>
          <w:rFonts w:ascii="Times New Roman" w:hAnsi="Times New Roman"/>
          <w:szCs w:val="24"/>
        </w:rPr>
        <w:t>2005</w:t>
      </w:r>
      <w:r>
        <w:rPr>
          <w:rFonts w:hint="eastAsia"/>
          <w:szCs w:val="24"/>
        </w:rPr>
        <w:t>〕</w:t>
      </w:r>
      <w:r>
        <w:rPr>
          <w:rFonts w:ascii="Times New Roman" w:hAnsi="Times New Roman"/>
          <w:szCs w:val="24"/>
        </w:rPr>
        <w:t>18</w:t>
      </w:r>
      <w:r>
        <w:rPr>
          <w:rFonts w:ascii="Times New Roman" w:hAnsi="Times New Roman"/>
          <w:szCs w:val="24"/>
        </w:rPr>
        <w:t>号，</w:t>
      </w:r>
      <w:r>
        <w:rPr>
          <w:rFonts w:ascii="Times New Roman" w:hAnsi="Times New Roman"/>
          <w:szCs w:val="24"/>
        </w:rPr>
        <w:t>2005-6-7</w:t>
      </w:r>
      <w:r>
        <w:rPr>
          <w:rFonts w:ascii="Times New Roman" w:hAnsi="Times New Roman"/>
          <w:szCs w:val="24"/>
        </w:rPr>
        <w:t>；</w:t>
      </w:r>
    </w:p>
    <w:p w14:paraId="5DC4AF2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5</w:t>
      </w:r>
      <w:r>
        <w:rPr>
          <w:rFonts w:ascii="Times New Roman" w:hAnsi="Times New Roman"/>
          <w:szCs w:val="24"/>
        </w:rPr>
        <w:t>）《关于加强环境保护重点工作的意见》，国发</w:t>
      </w:r>
      <w:r>
        <w:rPr>
          <w:rFonts w:hint="eastAsia"/>
          <w:szCs w:val="24"/>
        </w:rPr>
        <w:t>〔</w:t>
      </w:r>
      <w:r>
        <w:rPr>
          <w:rFonts w:ascii="Times New Roman" w:hAnsi="Times New Roman"/>
          <w:szCs w:val="24"/>
        </w:rPr>
        <w:t>2011</w:t>
      </w:r>
      <w:r>
        <w:rPr>
          <w:rFonts w:hint="eastAsia"/>
          <w:szCs w:val="24"/>
        </w:rPr>
        <w:t>〕</w:t>
      </w:r>
      <w:r>
        <w:rPr>
          <w:rFonts w:ascii="Times New Roman" w:hAnsi="Times New Roman"/>
          <w:szCs w:val="24"/>
        </w:rPr>
        <w:t>35</w:t>
      </w:r>
      <w:r>
        <w:rPr>
          <w:rFonts w:ascii="Times New Roman" w:hAnsi="Times New Roman"/>
          <w:szCs w:val="24"/>
        </w:rPr>
        <w:t>号，</w:t>
      </w:r>
      <w:r>
        <w:rPr>
          <w:rFonts w:ascii="Times New Roman" w:hAnsi="Times New Roman"/>
          <w:szCs w:val="24"/>
        </w:rPr>
        <w:t>2011-10-17</w:t>
      </w:r>
    </w:p>
    <w:p w14:paraId="5D818C1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6</w:t>
      </w:r>
      <w:r>
        <w:rPr>
          <w:rFonts w:ascii="Times New Roman" w:hAnsi="Times New Roman"/>
          <w:szCs w:val="24"/>
        </w:rPr>
        <w:t>）《国务院关于印发大气污染防治行动计划的通知》，国发</w:t>
      </w:r>
      <w:r>
        <w:rPr>
          <w:rFonts w:hint="eastAsia"/>
          <w:szCs w:val="24"/>
        </w:rPr>
        <w:t>〔</w:t>
      </w:r>
      <w:r>
        <w:rPr>
          <w:rFonts w:ascii="Times New Roman" w:hAnsi="Times New Roman"/>
        </w:rPr>
        <w:t>2013</w:t>
      </w:r>
      <w:r>
        <w:rPr>
          <w:rFonts w:ascii="Times New Roman" w:hAnsi="Times New Roman"/>
        </w:rPr>
        <w:t>〕</w:t>
      </w:r>
      <w:r>
        <w:rPr>
          <w:rFonts w:ascii="Times New Roman" w:hAnsi="Times New Roman"/>
          <w:szCs w:val="24"/>
        </w:rPr>
        <w:t>37</w:t>
      </w:r>
      <w:r>
        <w:rPr>
          <w:rFonts w:ascii="Times New Roman" w:hAnsi="Times New Roman"/>
          <w:szCs w:val="24"/>
        </w:rPr>
        <w:t>号文；</w:t>
      </w:r>
    </w:p>
    <w:p w14:paraId="4DE75AE4" w14:textId="77777777" w:rsidR="009C353B" w:rsidRDefault="00000000">
      <w:pPr>
        <w:autoSpaceDE w:val="0"/>
        <w:autoSpaceDN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7</w:t>
      </w:r>
      <w:r>
        <w:rPr>
          <w:rFonts w:ascii="Times New Roman" w:hAnsi="Times New Roman"/>
        </w:rPr>
        <w:t>）《国务院关于印发水污染防治行动计划的通知》，国务院，国发</w:t>
      </w:r>
      <w:r>
        <w:rPr>
          <w:rFonts w:hint="eastAsia"/>
          <w:szCs w:val="24"/>
        </w:rPr>
        <w:t>〔</w:t>
      </w:r>
      <w:r>
        <w:rPr>
          <w:rFonts w:ascii="Times New Roman" w:hAnsi="Times New Roman"/>
        </w:rPr>
        <w:t>2015</w:t>
      </w:r>
      <w:r>
        <w:rPr>
          <w:rFonts w:ascii="Times New Roman" w:hAnsi="Times New Roman"/>
        </w:rPr>
        <w:t>〕</w:t>
      </w:r>
      <w:r>
        <w:rPr>
          <w:rFonts w:ascii="Times New Roman" w:hAnsi="Times New Roman"/>
        </w:rPr>
        <w:t>17</w:t>
      </w:r>
      <w:r>
        <w:rPr>
          <w:rFonts w:ascii="Times New Roman" w:hAnsi="Times New Roman"/>
        </w:rPr>
        <w:t>号，</w:t>
      </w:r>
      <w:r>
        <w:rPr>
          <w:rFonts w:ascii="Times New Roman" w:hAnsi="Times New Roman"/>
        </w:rPr>
        <w:t>2015-4-2</w:t>
      </w:r>
      <w:r>
        <w:rPr>
          <w:rFonts w:ascii="Times New Roman" w:hAnsi="Times New Roman"/>
        </w:rPr>
        <w:t>起施行；</w:t>
      </w:r>
    </w:p>
    <w:p w14:paraId="3F96BA30" w14:textId="77777777" w:rsidR="009C353B" w:rsidRDefault="00000000">
      <w:pPr>
        <w:autoSpaceDE w:val="0"/>
        <w:autoSpaceDN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8</w:t>
      </w:r>
      <w:r>
        <w:rPr>
          <w:rFonts w:ascii="Times New Roman" w:hAnsi="Times New Roman"/>
        </w:rPr>
        <w:t>）《国务院关于印发土壤污染防治行动计划的通知》，国务院，国发</w:t>
      </w:r>
      <w:r>
        <w:rPr>
          <w:rFonts w:hint="eastAsia"/>
          <w:szCs w:val="24"/>
        </w:rPr>
        <w:t>〔</w:t>
      </w:r>
      <w:r>
        <w:rPr>
          <w:rFonts w:ascii="Times New Roman" w:hAnsi="Times New Roman"/>
        </w:rPr>
        <w:t>2016</w:t>
      </w:r>
      <w:r>
        <w:rPr>
          <w:rFonts w:ascii="Times New Roman" w:hAnsi="Times New Roman"/>
        </w:rPr>
        <w:t>〕</w:t>
      </w:r>
      <w:r>
        <w:rPr>
          <w:rFonts w:ascii="Times New Roman" w:hAnsi="Times New Roman"/>
        </w:rPr>
        <w:t>31</w:t>
      </w:r>
      <w:r>
        <w:rPr>
          <w:rFonts w:ascii="Times New Roman" w:hAnsi="Times New Roman"/>
        </w:rPr>
        <w:t>号，</w:t>
      </w:r>
      <w:r>
        <w:rPr>
          <w:rFonts w:ascii="Times New Roman" w:hAnsi="Times New Roman"/>
        </w:rPr>
        <w:t>2016-5-28</w:t>
      </w:r>
      <w:r>
        <w:rPr>
          <w:rFonts w:ascii="Times New Roman" w:hAnsi="Times New Roman"/>
        </w:rPr>
        <w:t>起施行；</w:t>
      </w:r>
    </w:p>
    <w:p w14:paraId="1471A9B8" w14:textId="77777777" w:rsidR="009C353B" w:rsidRDefault="00000000">
      <w:pPr>
        <w:spacing w:line="440" w:lineRule="exact"/>
        <w:ind w:firstLineChars="200" w:firstLine="480"/>
        <w:rPr>
          <w:rFonts w:ascii="Times New Roman" w:hAnsi="Times New Roman"/>
          <w:szCs w:val="24"/>
        </w:rPr>
      </w:pPr>
      <w:r>
        <w:rPr>
          <w:rFonts w:ascii="Times New Roman" w:hAnsi="Times New Roman"/>
        </w:rPr>
        <w:t>（</w:t>
      </w:r>
      <w:r>
        <w:rPr>
          <w:rFonts w:ascii="Times New Roman" w:hAnsi="Times New Roman"/>
        </w:rPr>
        <w:t>9</w:t>
      </w:r>
      <w:r>
        <w:rPr>
          <w:rFonts w:ascii="Times New Roman" w:hAnsi="Times New Roman"/>
        </w:rPr>
        <w:t>）《关于印发能源行业加强大气污染防治工作方案的通知》（国家发改委，发改能源</w:t>
      </w:r>
      <w:r>
        <w:rPr>
          <w:rFonts w:hint="eastAsia"/>
          <w:szCs w:val="24"/>
        </w:rPr>
        <w:t>〔</w:t>
      </w:r>
      <w:r>
        <w:rPr>
          <w:rFonts w:ascii="Times New Roman" w:hAnsi="Times New Roman"/>
        </w:rPr>
        <w:t>2014</w:t>
      </w:r>
      <w:r>
        <w:rPr>
          <w:rFonts w:ascii="Times New Roman" w:hAnsi="Times New Roman"/>
        </w:rPr>
        <w:t>〕</w:t>
      </w:r>
      <w:r>
        <w:rPr>
          <w:rFonts w:ascii="Times New Roman" w:hAnsi="Times New Roman"/>
        </w:rPr>
        <w:t>506</w:t>
      </w:r>
      <w:r>
        <w:rPr>
          <w:rFonts w:ascii="Times New Roman" w:hAnsi="Times New Roman"/>
        </w:rPr>
        <w:t>号，</w:t>
      </w:r>
      <w:r>
        <w:rPr>
          <w:rFonts w:ascii="Times New Roman" w:hAnsi="Times New Roman"/>
        </w:rPr>
        <w:t>2014</w:t>
      </w:r>
      <w:r>
        <w:rPr>
          <w:rFonts w:ascii="Times New Roman" w:hAnsi="Times New Roman"/>
        </w:rPr>
        <w:t>年</w:t>
      </w:r>
      <w:r>
        <w:rPr>
          <w:rFonts w:ascii="Times New Roman" w:hAnsi="Times New Roman"/>
        </w:rPr>
        <w:t>3</w:t>
      </w:r>
      <w:r>
        <w:rPr>
          <w:rFonts w:ascii="Times New Roman" w:hAnsi="Times New Roman"/>
        </w:rPr>
        <w:t>月</w:t>
      </w:r>
      <w:r>
        <w:rPr>
          <w:rFonts w:ascii="Times New Roman" w:hAnsi="Times New Roman"/>
        </w:rPr>
        <w:t>24</w:t>
      </w:r>
      <w:r>
        <w:rPr>
          <w:rFonts w:ascii="Times New Roman" w:hAnsi="Times New Roman"/>
        </w:rPr>
        <w:t>日）；</w:t>
      </w:r>
    </w:p>
    <w:p w14:paraId="6788A8FF" w14:textId="77777777" w:rsidR="009C353B" w:rsidRDefault="00000000">
      <w:pPr>
        <w:autoSpaceDE w:val="0"/>
        <w:autoSpaceDN w:val="0"/>
        <w:spacing w:line="440" w:lineRule="exact"/>
        <w:ind w:firstLineChars="200" w:firstLine="480"/>
        <w:rPr>
          <w:rFonts w:ascii="Times New Roman" w:hAnsi="Times New Roman"/>
        </w:rPr>
      </w:pPr>
      <w:r>
        <w:rPr>
          <w:rFonts w:ascii="Times New Roman" w:hAnsi="Times New Roman"/>
          <w:szCs w:val="24"/>
        </w:rPr>
        <w:t>（</w:t>
      </w:r>
      <w:r>
        <w:rPr>
          <w:rFonts w:ascii="Times New Roman" w:hAnsi="Times New Roman"/>
          <w:szCs w:val="24"/>
        </w:rPr>
        <w:t>10</w:t>
      </w:r>
      <w:r>
        <w:rPr>
          <w:rFonts w:ascii="Times New Roman" w:hAnsi="Times New Roman"/>
          <w:szCs w:val="24"/>
        </w:rPr>
        <w:t>）</w:t>
      </w:r>
      <w:r>
        <w:rPr>
          <w:rFonts w:ascii="Times New Roman" w:hAnsi="Times New Roman"/>
        </w:rPr>
        <w:t>《关于落实大气污染防治行动计划严格环境影响评价准入的通知》，环境保护部，环发〔</w:t>
      </w:r>
      <w:r>
        <w:rPr>
          <w:rFonts w:ascii="Times New Roman" w:hAnsi="Times New Roman"/>
        </w:rPr>
        <w:t>2014</w:t>
      </w:r>
      <w:r>
        <w:rPr>
          <w:rFonts w:ascii="Times New Roman" w:hAnsi="Times New Roman"/>
        </w:rPr>
        <w:t>〕</w:t>
      </w:r>
      <w:r>
        <w:rPr>
          <w:rFonts w:ascii="Times New Roman" w:hAnsi="Times New Roman"/>
        </w:rPr>
        <w:t>30</w:t>
      </w:r>
      <w:r>
        <w:rPr>
          <w:rFonts w:ascii="Times New Roman" w:hAnsi="Times New Roman"/>
        </w:rPr>
        <w:t>号，</w:t>
      </w:r>
      <w:r>
        <w:rPr>
          <w:rFonts w:ascii="Times New Roman" w:hAnsi="Times New Roman"/>
        </w:rPr>
        <w:t>2014</w:t>
      </w:r>
      <w:r>
        <w:rPr>
          <w:rFonts w:ascii="Times New Roman" w:hAnsi="Times New Roman"/>
        </w:rPr>
        <w:t>年</w:t>
      </w:r>
      <w:r>
        <w:rPr>
          <w:rFonts w:ascii="Times New Roman" w:hAnsi="Times New Roman"/>
        </w:rPr>
        <w:t>3</w:t>
      </w:r>
      <w:r>
        <w:rPr>
          <w:rFonts w:ascii="Times New Roman" w:hAnsi="Times New Roman"/>
        </w:rPr>
        <w:t>月</w:t>
      </w:r>
      <w:r>
        <w:rPr>
          <w:rFonts w:ascii="Times New Roman" w:hAnsi="Times New Roman"/>
        </w:rPr>
        <w:t>25</w:t>
      </w:r>
      <w:r>
        <w:rPr>
          <w:rFonts w:ascii="Times New Roman" w:hAnsi="Times New Roman"/>
        </w:rPr>
        <w:t>日；</w:t>
      </w:r>
    </w:p>
    <w:p w14:paraId="00C81E7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11</w:t>
      </w:r>
      <w:r>
        <w:rPr>
          <w:rFonts w:ascii="Times New Roman" w:hAnsi="Times New Roman"/>
          <w:szCs w:val="24"/>
        </w:rPr>
        <w:t>）《关于加强环境保护重点工作的意见》，国发</w:t>
      </w:r>
      <w:r>
        <w:rPr>
          <w:rFonts w:ascii="Times New Roman" w:hAnsi="Times New Roman"/>
        </w:rPr>
        <w:t>〔</w:t>
      </w:r>
      <w:r>
        <w:rPr>
          <w:rFonts w:ascii="Times New Roman" w:hAnsi="Times New Roman"/>
        </w:rPr>
        <w:t>2011</w:t>
      </w:r>
      <w:r>
        <w:rPr>
          <w:rFonts w:ascii="Times New Roman" w:hAnsi="Times New Roman"/>
        </w:rPr>
        <w:t>〕</w:t>
      </w:r>
      <w:r>
        <w:rPr>
          <w:rFonts w:ascii="Times New Roman" w:hAnsi="Times New Roman"/>
          <w:szCs w:val="24"/>
        </w:rPr>
        <w:t xml:space="preserve"> 35</w:t>
      </w:r>
      <w:r>
        <w:rPr>
          <w:rFonts w:ascii="Times New Roman" w:hAnsi="Times New Roman"/>
          <w:szCs w:val="24"/>
        </w:rPr>
        <w:t>号；</w:t>
      </w:r>
    </w:p>
    <w:p w14:paraId="1845C7A6"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12</w:t>
      </w:r>
      <w:r>
        <w:rPr>
          <w:rFonts w:ascii="Times New Roman" w:hAnsi="Times New Roman"/>
          <w:szCs w:val="24"/>
        </w:rPr>
        <w:t>）《关于执行大气污染物特别排放限值的公告》，环保部公告</w:t>
      </w:r>
      <w:r>
        <w:rPr>
          <w:rFonts w:ascii="Times New Roman" w:hAnsi="Times New Roman"/>
        </w:rPr>
        <w:t>〔</w:t>
      </w:r>
      <w:r>
        <w:rPr>
          <w:rFonts w:ascii="Times New Roman" w:hAnsi="Times New Roman"/>
        </w:rPr>
        <w:t>2013</w:t>
      </w:r>
      <w:r>
        <w:rPr>
          <w:rFonts w:ascii="Times New Roman" w:hAnsi="Times New Roman"/>
        </w:rPr>
        <w:t>〕</w:t>
      </w:r>
      <w:r>
        <w:rPr>
          <w:rFonts w:ascii="Times New Roman" w:hAnsi="Times New Roman"/>
          <w:szCs w:val="24"/>
        </w:rPr>
        <w:t>第</w:t>
      </w:r>
      <w:r>
        <w:rPr>
          <w:rFonts w:ascii="Times New Roman" w:hAnsi="Times New Roman"/>
          <w:szCs w:val="24"/>
        </w:rPr>
        <w:t>14</w:t>
      </w:r>
      <w:r>
        <w:rPr>
          <w:rFonts w:ascii="Times New Roman" w:hAnsi="Times New Roman"/>
          <w:szCs w:val="24"/>
        </w:rPr>
        <w:t>号；</w:t>
      </w:r>
    </w:p>
    <w:p w14:paraId="4808EDEB"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13</w:t>
      </w:r>
      <w:r>
        <w:rPr>
          <w:rFonts w:ascii="Times New Roman" w:hAnsi="Times New Roman"/>
          <w:szCs w:val="24"/>
        </w:rPr>
        <w:t>）《关于加强资源开发生态环境保护监管工作意见》，环发</w:t>
      </w:r>
      <w:r>
        <w:rPr>
          <w:rFonts w:ascii="Times New Roman" w:hAnsi="Times New Roman"/>
        </w:rPr>
        <w:t>〔</w:t>
      </w:r>
      <w:r>
        <w:rPr>
          <w:rFonts w:ascii="Times New Roman" w:hAnsi="Times New Roman"/>
        </w:rPr>
        <w:t>2004</w:t>
      </w:r>
      <w:r>
        <w:rPr>
          <w:rFonts w:ascii="Times New Roman" w:hAnsi="Times New Roman"/>
        </w:rPr>
        <w:t>〕</w:t>
      </w:r>
      <w:r>
        <w:rPr>
          <w:rFonts w:ascii="Times New Roman" w:hAnsi="Times New Roman"/>
          <w:szCs w:val="24"/>
        </w:rPr>
        <w:t>24</w:t>
      </w:r>
      <w:r>
        <w:rPr>
          <w:rFonts w:ascii="Times New Roman" w:hAnsi="Times New Roman"/>
          <w:szCs w:val="24"/>
        </w:rPr>
        <w:t>号；</w:t>
      </w:r>
    </w:p>
    <w:p w14:paraId="199C21B5"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14</w:t>
      </w:r>
      <w:r>
        <w:rPr>
          <w:rFonts w:ascii="Times New Roman" w:hAnsi="Times New Roman"/>
          <w:szCs w:val="24"/>
        </w:rPr>
        <w:t>）《关于发布</w:t>
      </w:r>
      <w:r>
        <w:rPr>
          <w:rFonts w:ascii="Times New Roman" w:hAnsi="Times New Roman"/>
          <w:szCs w:val="24"/>
        </w:rPr>
        <w:t>&lt;</w:t>
      </w:r>
      <w:r>
        <w:rPr>
          <w:rFonts w:ascii="Times New Roman" w:hAnsi="Times New Roman"/>
          <w:szCs w:val="24"/>
        </w:rPr>
        <w:t>矿山生态环境保护与污染防治技术政策</w:t>
      </w:r>
      <w:r>
        <w:rPr>
          <w:rFonts w:ascii="Times New Roman" w:hAnsi="Times New Roman"/>
          <w:szCs w:val="24"/>
        </w:rPr>
        <w:t>&gt;</w:t>
      </w:r>
      <w:r>
        <w:rPr>
          <w:rFonts w:ascii="Times New Roman" w:hAnsi="Times New Roman"/>
          <w:szCs w:val="24"/>
        </w:rPr>
        <w:t>的通知》，环发</w:t>
      </w:r>
      <w:r>
        <w:rPr>
          <w:rFonts w:ascii="Times New Roman" w:hAnsi="Times New Roman"/>
        </w:rPr>
        <w:t>〔</w:t>
      </w:r>
      <w:r>
        <w:rPr>
          <w:rFonts w:ascii="Times New Roman" w:hAnsi="Times New Roman"/>
        </w:rPr>
        <w:t>2005</w:t>
      </w:r>
      <w:r>
        <w:rPr>
          <w:rFonts w:ascii="Times New Roman" w:hAnsi="Times New Roman"/>
        </w:rPr>
        <w:t>〕</w:t>
      </w:r>
      <w:r>
        <w:rPr>
          <w:rFonts w:ascii="Times New Roman" w:hAnsi="Times New Roman"/>
          <w:szCs w:val="24"/>
        </w:rPr>
        <w:lastRenderedPageBreak/>
        <w:t>109</w:t>
      </w:r>
      <w:r>
        <w:rPr>
          <w:rFonts w:ascii="Times New Roman" w:hAnsi="Times New Roman"/>
          <w:szCs w:val="24"/>
        </w:rPr>
        <w:t>号；</w:t>
      </w:r>
    </w:p>
    <w:p w14:paraId="15C5E9E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15</w:t>
      </w:r>
      <w:r>
        <w:rPr>
          <w:rFonts w:ascii="Times New Roman" w:hAnsi="Times New Roman"/>
          <w:szCs w:val="24"/>
        </w:rPr>
        <w:t>）《关于印发</w:t>
      </w:r>
      <w:r>
        <w:rPr>
          <w:rFonts w:ascii="Times New Roman" w:hAnsi="Times New Roman"/>
          <w:szCs w:val="24"/>
        </w:rPr>
        <w:t>&lt;</w:t>
      </w:r>
      <w:r>
        <w:rPr>
          <w:rFonts w:ascii="Times New Roman" w:hAnsi="Times New Roman"/>
          <w:szCs w:val="24"/>
        </w:rPr>
        <w:t>编制环境影响报告书的规划的具体范围（试行）</w:t>
      </w:r>
      <w:r>
        <w:rPr>
          <w:rFonts w:ascii="Times New Roman" w:hAnsi="Times New Roman"/>
          <w:szCs w:val="24"/>
        </w:rPr>
        <w:t>&gt;</w:t>
      </w:r>
      <w:r>
        <w:rPr>
          <w:rFonts w:ascii="Times New Roman" w:hAnsi="Times New Roman"/>
          <w:szCs w:val="24"/>
        </w:rPr>
        <w:t>和</w:t>
      </w:r>
      <w:r>
        <w:rPr>
          <w:rFonts w:ascii="Times New Roman" w:hAnsi="Times New Roman"/>
          <w:szCs w:val="24"/>
        </w:rPr>
        <w:t>&lt;</w:t>
      </w:r>
      <w:r>
        <w:rPr>
          <w:rFonts w:ascii="Times New Roman" w:hAnsi="Times New Roman"/>
          <w:szCs w:val="24"/>
        </w:rPr>
        <w:t>编制环境影响篇章或说明的具体范围（试行</w:t>
      </w:r>
      <w:r>
        <w:rPr>
          <w:rFonts w:ascii="Times New Roman" w:hAnsi="Times New Roman"/>
          <w:szCs w:val="24"/>
        </w:rPr>
        <w:t>&gt;</w:t>
      </w:r>
      <w:r>
        <w:rPr>
          <w:rFonts w:ascii="Times New Roman" w:hAnsi="Times New Roman"/>
          <w:szCs w:val="24"/>
        </w:rPr>
        <w:t>的通知》，环发</w:t>
      </w:r>
      <w:r>
        <w:rPr>
          <w:rFonts w:ascii="Times New Roman" w:hAnsi="Times New Roman"/>
        </w:rPr>
        <w:t>〔</w:t>
      </w:r>
      <w:r>
        <w:rPr>
          <w:rFonts w:ascii="Times New Roman" w:hAnsi="Times New Roman"/>
        </w:rPr>
        <w:t>2004</w:t>
      </w:r>
      <w:r>
        <w:rPr>
          <w:rFonts w:ascii="Times New Roman" w:hAnsi="Times New Roman"/>
        </w:rPr>
        <w:t>〕</w:t>
      </w:r>
      <w:r>
        <w:rPr>
          <w:rFonts w:ascii="Times New Roman" w:hAnsi="Times New Roman"/>
          <w:szCs w:val="24"/>
        </w:rPr>
        <w:t xml:space="preserve"> 98</w:t>
      </w:r>
      <w:r>
        <w:rPr>
          <w:rFonts w:ascii="Times New Roman" w:hAnsi="Times New Roman"/>
          <w:szCs w:val="24"/>
        </w:rPr>
        <w:t>号；</w:t>
      </w:r>
    </w:p>
    <w:p w14:paraId="64AC2CB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16</w:t>
      </w:r>
      <w:r>
        <w:rPr>
          <w:rFonts w:ascii="Times New Roman" w:hAnsi="Times New Roman"/>
          <w:szCs w:val="24"/>
        </w:rPr>
        <w:t>）《关于进一步加强生态保护工作的意见》，环发</w:t>
      </w:r>
      <w:r>
        <w:rPr>
          <w:rFonts w:ascii="Times New Roman" w:hAnsi="Times New Roman"/>
        </w:rPr>
        <w:t>〔</w:t>
      </w:r>
      <w:r>
        <w:rPr>
          <w:rFonts w:ascii="Times New Roman" w:hAnsi="Times New Roman"/>
        </w:rPr>
        <w:t>2007</w:t>
      </w:r>
      <w:r>
        <w:rPr>
          <w:rFonts w:ascii="Times New Roman" w:hAnsi="Times New Roman"/>
        </w:rPr>
        <w:t>〕</w:t>
      </w:r>
      <w:r>
        <w:rPr>
          <w:rFonts w:ascii="Times New Roman" w:hAnsi="Times New Roman"/>
          <w:szCs w:val="24"/>
        </w:rPr>
        <w:t>37</w:t>
      </w:r>
      <w:r>
        <w:rPr>
          <w:rFonts w:ascii="Times New Roman" w:hAnsi="Times New Roman"/>
          <w:szCs w:val="24"/>
        </w:rPr>
        <w:t>号；</w:t>
      </w:r>
    </w:p>
    <w:p w14:paraId="3C3D7AB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17</w:t>
      </w:r>
      <w:r>
        <w:rPr>
          <w:rFonts w:ascii="Times New Roman" w:hAnsi="Times New Roman"/>
          <w:szCs w:val="24"/>
        </w:rPr>
        <w:t>）《关于印发</w:t>
      </w:r>
      <w:r>
        <w:rPr>
          <w:rFonts w:ascii="Times New Roman" w:hAnsi="Times New Roman"/>
          <w:szCs w:val="24"/>
        </w:rPr>
        <w:t>&lt;</w:t>
      </w:r>
      <w:r>
        <w:rPr>
          <w:rFonts w:ascii="Times New Roman" w:hAnsi="Times New Roman"/>
          <w:szCs w:val="24"/>
        </w:rPr>
        <w:t>煤炭工业节能减排工作意见</w:t>
      </w:r>
      <w:r>
        <w:rPr>
          <w:rFonts w:ascii="Times New Roman" w:hAnsi="Times New Roman"/>
          <w:szCs w:val="24"/>
        </w:rPr>
        <w:t>&gt;</w:t>
      </w:r>
      <w:r>
        <w:rPr>
          <w:rFonts w:ascii="Times New Roman" w:hAnsi="Times New Roman"/>
          <w:szCs w:val="24"/>
        </w:rPr>
        <w:t>的通知》，发改能源</w:t>
      </w:r>
      <w:r>
        <w:rPr>
          <w:rFonts w:ascii="Times New Roman" w:hAnsi="Times New Roman"/>
        </w:rPr>
        <w:t>〔</w:t>
      </w:r>
      <w:r>
        <w:rPr>
          <w:rFonts w:ascii="Times New Roman" w:hAnsi="Times New Roman"/>
        </w:rPr>
        <w:t>2007</w:t>
      </w:r>
      <w:r>
        <w:rPr>
          <w:rFonts w:ascii="Times New Roman" w:hAnsi="Times New Roman"/>
        </w:rPr>
        <w:t>〕</w:t>
      </w:r>
      <w:r>
        <w:rPr>
          <w:rFonts w:ascii="Times New Roman" w:hAnsi="Times New Roman"/>
        </w:rPr>
        <w:t>1</w:t>
      </w:r>
      <w:r>
        <w:rPr>
          <w:rFonts w:ascii="Times New Roman" w:hAnsi="Times New Roman"/>
          <w:szCs w:val="24"/>
        </w:rPr>
        <w:t>456</w:t>
      </w:r>
      <w:r>
        <w:rPr>
          <w:rFonts w:ascii="Times New Roman" w:hAnsi="Times New Roman"/>
          <w:szCs w:val="24"/>
        </w:rPr>
        <w:t>号；</w:t>
      </w:r>
    </w:p>
    <w:p w14:paraId="1D98DA4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18</w:t>
      </w:r>
      <w:r>
        <w:rPr>
          <w:rFonts w:ascii="Times New Roman" w:hAnsi="Times New Roman"/>
          <w:szCs w:val="24"/>
        </w:rPr>
        <w:t>）《关于进一步加强规划环境影响评价工作的通知》，环发</w:t>
      </w:r>
      <w:r>
        <w:rPr>
          <w:rFonts w:ascii="Times New Roman" w:hAnsi="Times New Roman"/>
        </w:rPr>
        <w:t>〔</w:t>
      </w:r>
      <w:r>
        <w:rPr>
          <w:rFonts w:ascii="Times New Roman" w:hAnsi="Times New Roman"/>
        </w:rPr>
        <w:t>2011</w:t>
      </w:r>
      <w:r>
        <w:rPr>
          <w:rFonts w:ascii="Times New Roman" w:hAnsi="Times New Roman"/>
        </w:rPr>
        <w:t>〕</w:t>
      </w:r>
      <w:r>
        <w:rPr>
          <w:rFonts w:ascii="Times New Roman" w:hAnsi="Times New Roman"/>
          <w:szCs w:val="24"/>
        </w:rPr>
        <w:t>99</w:t>
      </w:r>
      <w:r>
        <w:rPr>
          <w:rFonts w:ascii="Times New Roman" w:hAnsi="Times New Roman"/>
          <w:szCs w:val="24"/>
        </w:rPr>
        <w:t>号；</w:t>
      </w:r>
    </w:p>
    <w:p w14:paraId="0BFB9B6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19</w:t>
      </w:r>
      <w:r>
        <w:rPr>
          <w:rFonts w:ascii="Times New Roman" w:hAnsi="Times New Roman"/>
          <w:szCs w:val="24"/>
        </w:rPr>
        <w:t>）《关于加强煤炭矿区总体规划和煤矿建设项目环境影响评价工作的通知》，环办</w:t>
      </w:r>
      <w:r>
        <w:rPr>
          <w:rFonts w:ascii="Times New Roman" w:hAnsi="Times New Roman"/>
        </w:rPr>
        <w:t>〔</w:t>
      </w:r>
      <w:r>
        <w:rPr>
          <w:rFonts w:ascii="Times New Roman" w:hAnsi="Times New Roman"/>
        </w:rPr>
        <w:t>2006</w:t>
      </w:r>
      <w:r>
        <w:rPr>
          <w:rFonts w:ascii="Times New Roman" w:hAnsi="Times New Roman"/>
        </w:rPr>
        <w:t>〕</w:t>
      </w:r>
      <w:r>
        <w:rPr>
          <w:rFonts w:ascii="Times New Roman" w:hAnsi="Times New Roman"/>
          <w:szCs w:val="24"/>
        </w:rPr>
        <w:t>129</w:t>
      </w:r>
      <w:r>
        <w:rPr>
          <w:rFonts w:ascii="Times New Roman" w:hAnsi="Times New Roman"/>
          <w:szCs w:val="24"/>
        </w:rPr>
        <w:t>号；</w:t>
      </w:r>
    </w:p>
    <w:p w14:paraId="4E86B489"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20</w:t>
      </w:r>
      <w:r>
        <w:rPr>
          <w:rFonts w:ascii="Times New Roman" w:hAnsi="Times New Roman"/>
          <w:szCs w:val="24"/>
        </w:rPr>
        <w:t>）《关于规范煤炭矿区总体规划审批管理工作的通知》，发改能源</w:t>
      </w:r>
      <w:r>
        <w:rPr>
          <w:rFonts w:ascii="Times New Roman" w:hAnsi="Times New Roman"/>
        </w:rPr>
        <w:t>〔</w:t>
      </w:r>
      <w:r>
        <w:rPr>
          <w:rFonts w:ascii="Times New Roman" w:hAnsi="Times New Roman"/>
        </w:rPr>
        <w:t>2004</w:t>
      </w:r>
      <w:r>
        <w:rPr>
          <w:rFonts w:ascii="Times New Roman" w:hAnsi="Times New Roman"/>
        </w:rPr>
        <w:t>〕</w:t>
      </w:r>
      <w:r>
        <w:rPr>
          <w:rFonts w:ascii="Times New Roman" w:hAnsi="Times New Roman"/>
          <w:szCs w:val="24"/>
        </w:rPr>
        <w:t>891</w:t>
      </w:r>
      <w:r>
        <w:rPr>
          <w:rFonts w:ascii="Times New Roman" w:hAnsi="Times New Roman"/>
          <w:szCs w:val="24"/>
        </w:rPr>
        <w:t>号；</w:t>
      </w:r>
    </w:p>
    <w:p w14:paraId="20C8C2FD"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21</w:t>
      </w:r>
      <w:r>
        <w:rPr>
          <w:rFonts w:ascii="Times New Roman" w:hAnsi="Times New Roman"/>
          <w:szCs w:val="24"/>
        </w:rPr>
        <w:t>）《煤炭产业政策》，国家发改委公告</w:t>
      </w:r>
      <w:r>
        <w:rPr>
          <w:rFonts w:ascii="Times New Roman" w:hAnsi="Times New Roman"/>
        </w:rPr>
        <w:t>〔</w:t>
      </w:r>
      <w:r>
        <w:rPr>
          <w:rFonts w:ascii="Times New Roman" w:hAnsi="Times New Roman"/>
        </w:rPr>
        <w:t>2007</w:t>
      </w:r>
      <w:r>
        <w:rPr>
          <w:rFonts w:ascii="Times New Roman" w:hAnsi="Times New Roman"/>
        </w:rPr>
        <w:t>〕</w:t>
      </w:r>
      <w:r>
        <w:rPr>
          <w:rFonts w:ascii="Times New Roman" w:hAnsi="Times New Roman"/>
          <w:szCs w:val="24"/>
        </w:rPr>
        <w:t>年</w:t>
      </w:r>
      <w:r>
        <w:rPr>
          <w:rFonts w:ascii="Times New Roman" w:hAnsi="Times New Roman"/>
          <w:szCs w:val="24"/>
        </w:rPr>
        <w:t>80</w:t>
      </w:r>
      <w:r>
        <w:rPr>
          <w:rFonts w:ascii="Times New Roman" w:hAnsi="Times New Roman"/>
          <w:szCs w:val="24"/>
        </w:rPr>
        <w:t>号；</w:t>
      </w:r>
    </w:p>
    <w:p w14:paraId="50ED27D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22</w:t>
      </w:r>
      <w:r>
        <w:rPr>
          <w:rFonts w:ascii="Times New Roman" w:hAnsi="Times New Roman"/>
          <w:szCs w:val="24"/>
        </w:rPr>
        <w:t>）《中国资源综合利用技术政策大纲》，国家发改委公告</w:t>
      </w:r>
      <w:r>
        <w:rPr>
          <w:rFonts w:ascii="Times New Roman" w:hAnsi="Times New Roman"/>
        </w:rPr>
        <w:t>〔</w:t>
      </w:r>
      <w:r>
        <w:rPr>
          <w:rFonts w:ascii="Times New Roman" w:hAnsi="Times New Roman"/>
        </w:rPr>
        <w:t>2010</w:t>
      </w:r>
      <w:r>
        <w:rPr>
          <w:rFonts w:ascii="Times New Roman" w:hAnsi="Times New Roman"/>
        </w:rPr>
        <w:t>〕</w:t>
      </w:r>
      <w:r>
        <w:rPr>
          <w:rFonts w:ascii="Times New Roman" w:hAnsi="Times New Roman"/>
          <w:szCs w:val="24"/>
        </w:rPr>
        <w:t>年</w:t>
      </w:r>
      <w:r>
        <w:rPr>
          <w:rFonts w:ascii="Times New Roman" w:hAnsi="Times New Roman"/>
          <w:szCs w:val="24"/>
        </w:rPr>
        <w:t>14</w:t>
      </w:r>
      <w:r>
        <w:rPr>
          <w:rFonts w:ascii="Times New Roman" w:hAnsi="Times New Roman"/>
          <w:szCs w:val="24"/>
        </w:rPr>
        <w:t>号；</w:t>
      </w:r>
    </w:p>
    <w:p w14:paraId="351F6630"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23</w:t>
      </w:r>
      <w:r>
        <w:rPr>
          <w:rFonts w:ascii="Times New Roman" w:hAnsi="Times New Roman"/>
          <w:szCs w:val="24"/>
        </w:rPr>
        <w:t>）《煤电节能减排升级与改造行动计划（</w:t>
      </w:r>
      <w:r>
        <w:rPr>
          <w:rFonts w:ascii="Times New Roman" w:hAnsi="Times New Roman"/>
          <w:szCs w:val="24"/>
        </w:rPr>
        <w:t>2014-2020</w:t>
      </w:r>
      <w:r>
        <w:rPr>
          <w:rFonts w:ascii="Times New Roman" w:hAnsi="Times New Roman"/>
          <w:szCs w:val="24"/>
        </w:rPr>
        <w:t>年）》；</w:t>
      </w:r>
    </w:p>
    <w:p w14:paraId="10A0008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24</w:t>
      </w:r>
      <w:r>
        <w:rPr>
          <w:rFonts w:ascii="Times New Roman" w:hAnsi="Times New Roman"/>
          <w:szCs w:val="24"/>
        </w:rPr>
        <w:t>）《关于规划环境影响评价加强空间管制、总量管控和环境准入的指导意见（试行）》，环办环评〔</w:t>
      </w:r>
      <w:r>
        <w:rPr>
          <w:rFonts w:ascii="Times New Roman" w:hAnsi="Times New Roman"/>
          <w:szCs w:val="24"/>
        </w:rPr>
        <w:t>2016</w:t>
      </w:r>
      <w:r>
        <w:rPr>
          <w:rFonts w:ascii="Times New Roman" w:hAnsi="Times New Roman"/>
          <w:szCs w:val="24"/>
        </w:rPr>
        <w:t>〕</w:t>
      </w:r>
      <w:r>
        <w:rPr>
          <w:rFonts w:ascii="Times New Roman" w:hAnsi="Times New Roman"/>
          <w:szCs w:val="24"/>
        </w:rPr>
        <w:t>14</w:t>
      </w:r>
      <w:r>
        <w:rPr>
          <w:rFonts w:ascii="Times New Roman" w:hAnsi="Times New Roman"/>
          <w:szCs w:val="24"/>
        </w:rPr>
        <w:t>号；</w:t>
      </w:r>
    </w:p>
    <w:p w14:paraId="6541F524"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25</w:t>
      </w:r>
      <w:r>
        <w:rPr>
          <w:rFonts w:ascii="Times New Roman" w:hAnsi="Times New Roman"/>
          <w:szCs w:val="24"/>
        </w:rPr>
        <w:t>）国家发展改革委等</w:t>
      </w:r>
      <w:r>
        <w:rPr>
          <w:rFonts w:ascii="Times New Roman" w:hAnsi="Times New Roman"/>
          <w:szCs w:val="24"/>
        </w:rPr>
        <w:t>9</w:t>
      </w:r>
      <w:r>
        <w:rPr>
          <w:rFonts w:ascii="Times New Roman" w:hAnsi="Times New Roman"/>
          <w:szCs w:val="24"/>
        </w:rPr>
        <w:t>部委印发《关于加强资源环境生态红线管控的指导意见》的通知，发改环资〔</w:t>
      </w:r>
      <w:r>
        <w:rPr>
          <w:rFonts w:ascii="Times New Roman" w:hAnsi="Times New Roman"/>
          <w:szCs w:val="24"/>
        </w:rPr>
        <w:t>2016</w:t>
      </w:r>
      <w:r>
        <w:rPr>
          <w:rFonts w:ascii="Times New Roman" w:hAnsi="Times New Roman"/>
          <w:szCs w:val="24"/>
        </w:rPr>
        <w:t>〕</w:t>
      </w:r>
      <w:r>
        <w:rPr>
          <w:rFonts w:ascii="Times New Roman" w:hAnsi="Times New Roman"/>
          <w:szCs w:val="24"/>
        </w:rPr>
        <w:t>1162</w:t>
      </w:r>
      <w:r>
        <w:rPr>
          <w:rFonts w:ascii="Times New Roman" w:hAnsi="Times New Roman"/>
          <w:szCs w:val="24"/>
        </w:rPr>
        <w:t>号；</w:t>
      </w:r>
    </w:p>
    <w:p w14:paraId="2E6650B4"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26</w:t>
      </w:r>
      <w:r>
        <w:rPr>
          <w:rFonts w:ascii="Times New Roman" w:hAnsi="Times New Roman"/>
          <w:szCs w:val="24"/>
        </w:rPr>
        <w:t>）国家发展改革委</w:t>
      </w:r>
      <w:r>
        <w:rPr>
          <w:rFonts w:ascii="Times New Roman" w:hAnsi="Times New Roman"/>
          <w:szCs w:val="24"/>
        </w:rPr>
        <w:t xml:space="preserve"> </w:t>
      </w:r>
      <w:r>
        <w:rPr>
          <w:rFonts w:ascii="Times New Roman" w:hAnsi="Times New Roman"/>
          <w:szCs w:val="24"/>
        </w:rPr>
        <w:t>国家能源局《关于促进我国煤电有序发展的通知》，发改能源〔</w:t>
      </w:r>
      <w:r>
        <w:rPr>
          <w:rFonts w:ascii="Times New Roman" w:hAnsi="Times New Roman"/>
          <w:szCs w:val="24"/>
        </w:rPr>
        <w:t>2016</w:t>
      </w:r>
      <w:r>
        <w:rPr>
          <w:rFonts w:ascii="Times New Roman" w:hAnsi="Times New Roman"/>
          <w:szCs w:val="24"/>
        </w:rPr>
        <w:t>〕</w:t>
      </w:r>
      <w:r>
        <w:rPr>
          <w:rFonts w:ascii="Times New Roman" w:hAnsi="Times New Roman"/>
          <w:szCs w:val="24"/>
        </w:rPr>
        <w:t>565</w:t>
      </w:r>
      <w:r>
        <w:rPr>
          <w:rFonts w:ascii="Times New Roman" w:hAnsi="Times New Roman"/>
          <w:szCs w:val="24"/>
        </w:rPr>
        <w:t>号；</w:t>
      </w:r>
    </w:p>
    <w:p w14:paraId="2632CF13"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27</w:t>
      </w:r>
      <w:r>
        <w:rPr>
          <w:rFonts w:ascii="Times New Roman" w:hAnsi="Times New Roman"/>
          <w:szCs w:val="24"/>
        </w:rPr>
        <w:t>）《国务院关于煤炭行业化解过剩产能实现脱困发展的意见》，国发〔</w:t>
      </w:r>
      <w:r>
        <w:rPr>
          <w:rFonts w:ascii="Times New Roman" w:hAnsi="Times New Roman"/>
          <w:szCs w:val="24"/>
        </w:rPr>
        <w:t>2016</w:t>
      </w:r>
      <w:r>
        <w:rPr>
          <w:rFonts w:ascii="Times New Roman" w:hAnsi="Times New Roman"/>
          <w:szCs w:val="24"/>
        </w:rPr>
        <w:t>〕</w:t>
      </w:r>
      <w:r>
        <w:rPr>
          <w:rFonts w:ascii="Times New Roman" w:hAnsi="Times New Roman"/>
          <w:szCs w:val="24"/>
        </w:rPr>
        <w:t>7</w:t>
      </w:r>
      <w:r>
        <w:rPr>
          <w:rFonts w:ascii="Times New Roman" w:hAnsi="Times New Roman"/>
          <w:szCs w:val="24"/>
        </w:rPr>
        <w:t>号；</w:t>
      </w:r>
    </w:p>
    <w:p w14:paraId="063EE2E6" w14:textId="77777777" w:rsidR="009C353B" w:rsidRDefault="00000000">
      <w:pPr>
        <w:autoSpaceDE w:val="0"/>
        <w:autoSpaceDN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28</w:t>
      </w:r>
      <w:r>
        <w:rPr>
          <w:rFonts w:ascii="Times New Roman" w:hAnsi="Times New Roman"/>
        </w:rPr>
        <w:t>）《煤矸石综合利用管理办法》，国家发展和改革委员会第</w:t>
      </w:r>
      <w:r>
        <w:rPr>
          <w:rFonts w:ascii="Times New Roman" w:hAnsi="Times New Roman"/>
        </w:rPr>
        <w:t>18</w:t>
      </w:r>
      <w:r>
        <w:rPr>
          <w:rFonts w:ascii="Times New Roman" w:hAnsi="Times New Roman"/>
        </w:rPr>
        <w:t>号，</w:t>
      </w:r>
      <w:r>
        <w:rPr>
          <w:rFonts w:ascii="Times New Roman" w:hAnsi="Times New Roman"/>
        </w:rPr>
        <w:t>2015</w:t>
      </w:r>
      <w:r>
        <w:rPr>
          <w:rFonts w:ascii="Times New Roman" w:hAnsi="Times New Roman"/>
        </w:rPr>
        <w:t>年</w:t>
      </w:r>
      <w:r>
        <w:rPr>
          <w:rFonts w:ascii="Times New Roman" w:hAnsi="Times New Roman"/>
        </w:rPr>
        <w:t>3</w:t>
      </w:r>
      <w:r>
        <w:rPr>
          <w:rFonts w:ascii="Times New Roman" w:hAnsi="Times New Roman"/>
        </w:rPr>
        <w:t>月</w:t>
      </w:r>
      <w:r>
        <w:rPr>
          <w:rFonts w:ascii="Times New Roman" w:hAnsi="Times New Roman"/>
        </w:rPr>
        <w:t>1</w:t>
      </w:r>
      <w:r>
        <w:rPr>
          <w:rFonts w:ascii="Times New Roman" w:hAnsi="Times New Roman"/>
        </w:rPr>
        <w:t>日；</w:t>
      </w:r>
    </w:p>
    <w:p w14:paraId="3593409C" w14:textId="77777777" w:rsidR="009C353B" w:rsidRDefault="00000000">
      <w:pPr>
        <w:spacing w:line="440" w:lineRule="exact"/>
        <w:ind w:firstLineChars="200" w:firstLine="480"/>
        <w:rPr>
          <w:rFonts w:ascii="Times New Roman" w:hAnsi="Times New Roman"/>
        </w:rPr>
      </w:pPr>
      <w:r>
        <w:rPr>
          <w:rFonts w:ascii="Times New Roman" w:hAnsi="Times New Roman"/>
          <w:szCs w:val="24"/>
        </w:rPr>
        <w:t>（</w:t>
      </w:r>
      <w:r>
        <w:rPr>
          <w:rFonts w:ascii="Times New Roman" w:hAnsi="Times New Roman"/>
          <w:szCs w:val="24"/>
        </w:rPr>
        <w:t>29</w:t>
      </w:r>
      <w:r>
        <w:rPr>
          <w:rFonts w:ascii="Times New Roman" w:hAnsi="Times New Roman"/>
          <w:szCs w:val="24"/>
        </w:rPr>
        <w:t>）</w:t>
      </w:r>
      <w:r>
        <w:rPr>
          <w:rFonts w:ascii="Times New Roman" w:hAnsi="Times New Roman"/>
        </w:rPr>
        <w:t>《关于做好建设煤矿产能减量置换有关工作的补充通知》，国家发展和改革委员会、国家能源局、国家煤矿安全监察局，发改能源〔</w:t>
      </w:r>
      <w:r>
        <w:rPr>
          <w:rFonts w:ascii="Times New Roman" w:hAnsi="Times New Roman"/>
        </w:rPr>
        <w:t>2016</w:t>
      </w:r>
      <w:r>
        <w:rPr>
          <w:rFonts w:ascii="Times New Roman" w:hAnsi="Times New Roman"/>
        </w:rPr>
        <w:t>〕</w:t>
      </w:r>
      <w:r>
        <w:rPr>
          <w:rFonts w:ascii="Times New Roman" w:hAnsi="Times New Roman"/>
        </w:rPr>
        <w:t>1897</w:t>
      </w:r>
      <w:r>
        <w:rPr>
          <w:rFonts w:ascii="Times New Roman" w:hAnsi="Times New Roman"/>
        </w:rPr>
        <w:t>号，</w:t>
      </w:r>
      <w:r>
        <w:rPr>
          <w:rFonts w:ascii="Times New Roman" w:hAnsi="Times New Roman"/>
        </w:rPr>
        <w:t>2016</w:t>
      </w:r>
      <w:r>
        <w:rPr>
          <w:rFonts w:ascii="Times New Roman" w:hAnsi="Times New Roman"/>
        </w:rPr>
        <w:t>年</w:t>
      </w:r>
      <w:r>
        <w:rPr>
          <w:rFonts w:ascii="Times New Roman" w:hAnsi="Times New Roman"/>
        </w:rPr>
        <w:t>8</w:t>
      </w:r>
      <w:r>
        <w:rPr>
          <w:rFonts w:ascii="Times New Roman" w:hAnsi="Times New Roman"/>
        </w:rPr>
        <w:t>月；</w:t>
      </w:r>
    </w:p>
    <w:p w14:paraId="6D227D35" w14:textId="77777777" w:rsidR="009C353B" w:rsidRDefault="00000000">
      <w:pPr>
        <w:spacing w:line="440" w:lineRule="exact"/>
        <w:ind w:firstLineChars="200" w:firstLine="480"/>
        <w:rPr>
          <w:rFonts w:ascii="Times New Roman" w:hAnsi="Times New Roman"/>
        </w:rPr>
      </w:pPr>
      <w:r>
        <w:rPr>
          <w:rFonts w:ascii="Times New Roman" w:hAnsi="Times New Roman"/>
        </w:rPr>
        <w:t>（</w:t>
      </w:r>
      <w:r>
        <w:rPr>
          <w:rFonts w:ascii="Times New Roman" w:hAnsi="Times New Roman"/>
        </w:rPr>
        <w:t>30</w:t>
      </w:r>
      <w:r>
        <w:rPr>
          <w:rFonts w:ascii="Times New Roman" w:hAnsi="Times New Roman"/>
        </w:rPr>
        <w:t>）《自然生态空间用途管制办法（试行）》，国土资发〔</w:t>
      </w:r>
      <w:r>
        <w:rPr>
          <w:rFonts w:ascii="Times New Roman" w:hAnsi="Times New Roman"/>
        </w:rPr>
        <w:t>2017</w:t>
      </w:r>
      <w:r>
        <w:rPr>
          <w:rFonts w:ascii="Times New Roman" w:hAnsi="Times New Roman"/>
        </w:rPr>
        <w:t>〕</w:t>
      </w:r>
      <w:r>
        <w:rPr>
          <w:rFonts w:ascii="Times New Roman" w:hAnsi="Times New Roman"/>
        </w:rPr>
        <w:t>33</w:t>
      </w:r>
      <w:r>
        <w:rPr>
          <w:rFonts w:ascii="Times New Roman" w:hAnsi="Times New Roman"/>
        </w:rPr>
        <w:t>号</w:t>
      </w:r>
      <w:r>
        <w:rPr>
          <w:rFonts w:ascii="Times New Roman" w:hAnsi="Times New Roman" w:hint="eastAsia"/>
        </w:rPr>
        <w:t>；</w:t>
      </w:r>
    </w:p>
    <w:p w14:paraId="5F2A409B"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rPr>
        <w:t>1</w:t>
      </w:r>
      <w:r>
        <w:rPr>
          <w:rFonts w:ascii="Times New Roman" w:hAnsi="Times New Roman" w:hint="eastAsia"/>
        </w:rPr>
        <w:t>）《关于进一步加强煤炭资源开发环境影响评价管理的通知》环环评</w:t>
      </w:r>
      <w:r>
        <w:rPr>
          <w:rFonts w:ascii="Times New Roman" w:hAnsi="Times New Roman" w:hint="eastAsia"/>
        </w:rPr>
        <w:t>[</w:t>
      </w:r>
      <w:r>
        <w:rPr>
          <w:rFonts w:ascii="Times New Roman" w:hAnsi="Times New Roman"/>
        </w:rPr>
        <w:t>2020]63</w:t>
      </w:r>
      <w:r>
        <w:rPr>
          <w:rFonts w:ascii="Times New Roman" w:hAnsi="Times New Roman"/>
        </w:rPr>
        <w:t>号</w:t>
      </w:r>
      <w:r>
        <w:rPr>
          <w:rFonts w:ascii="Times New Roman" w:hAnsi="Times New Roman" w:hint="eastAsia"/>
        </w:rPr>
        <w:t>，</w:t>
      </w:r>
      <w:r>
        <w:rPr>
          <w:rFonts w:ascii="Times New Roman" w:hAnsi="Times New Roman" w:hint="eastAsia"/>
        </w:rPr>
        <w:t>2</w:t>
      </w:r>
      <w:r>
        <w:rPr>
          <w:rFonts w:ascii="Times New Roman" w:hAnsi="Times New Roman"/>
        </w:rPr>
        <w:t>020</w:t>
      </w:r>
      <w:r>
        <w:rPr>
          <w:rFonts w:ascii="Times New Roman" w:hAnsi="Times New Roman" w:hint="eastAsia"/>
        </w:rPr>
        <w:t>年</w:t>
      </w:r>
      <w:r>
        <w:rPr>
          <w:rFonts w:ascii="Times New Roman" w:hAnsi="Times New Roman" w:hint="eastAsia"/>
        </w:rPr>
        <w:t>1</w:t>
      </w:r>
      <w:r>
        <w:rPr>
          <w:rFonts w:ascii="Times New Roman" w:hAnsi="Times New Roman"/>
        </w:rPr>
        <w:t>1</w:t>
      </w:r>
      <w:r>
        <w:rPr>
          <w:rFonts w:ascii="Times New Roman" w:hAnsi="Times New Roman" w:hint="eastAsia"/>
        </w:rPr>
        <w:t>月</w:t>
      </w:r>
      <w:r>
        <w:rPr>
          <w:rFonts w:ascii="Times New Roman" w:hAnsi="Times New Roman" w:hint="eastAsia"/>
        </w:rPr>
        <w:t>4</w:t>
      </w:r>
      <w:r>
        <w:rPr>
          <w:rFonts w:ascii="Times New Roman" w:hAnsi="Times New Roman" w:hint="eastAsia"/>
        </w:rPr>
        <w:t>日。</w:t>
      </w:r>
    </w:p>
    <w:p w14:paraId="72FD58F1" w14:textId="77777777" w:rsidR="009C353B" w:rsidRDefault="00000000">
      <w:pPr>
        <w:keepNext/>
        <w:keepLines/>
        <w:spacing w:before="280" w:after="120" w:line="416" w:lineRule="exact"/>
        <w:outlineLvl w:val="3"/>
        <w:rPr>
          <w:rFonts w:ascii="Times New Roman" w:hAnsi="Times New Roman"/>
          <w:b/>
        </w:rPr>
      </w:pPr>
      <w:r>
        <w:rPr>
          <w:rFonts w:ascii="Times New Roman" w:hAnsi="Times New Roman"/>
          <w:b/>
        </w:rPr>
        <w:t xml:space="preserve">1.2.3.2 </w:t>
      </w:r>
      <w:r>
        <w:rPr>
          <w:rFonts w:ascii="Times New Roman" w:hAnsi="Times New Roman"/>
          <w:b/>
        </w:rPr>
        <w:t>地方政府规章</w:t>
      </w:r>
    </w:p>
    <w:p w14:paraId="7C49FF3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）《宁夏回族自治区</w:t>
      </w:r>
      <w:r>
        <w:rPr>
          <w:rFonts w:ascii="Times New Roman" w:hAnsi="Times New Roman"/>
          <w:szCs w:val="24"/>
        </w:rPr>
        <w:t>“</w:t>
      </w:r>
      <w:r>
        <w:rPr>
          <w:rFonts w:ascii="Times New Roman" w:hAnsi="Times New Roman"/>
          <w:szCs w:val="24"/>
        </w:rPr>
        <w:t>十三五</w:t>
      </w:r>
      <w:r>
        <w:rPr>
          <w:rFonts w:ascii="Times New Roman" w:hAnsi="Times New Roman"/>
          <w:szCs w:val="24"/>
        </w:rPr>
        <w:t>”</w:t>
      </w:r>
      <w:hyperlink r:id="rId9" w:tgtFrame="_blank" w:history="1">
        <w:r>
          <w:rPr>
            <w:rFonts w:ascii="Times New Roman" w:hAnsi="Times New Roman"/>
            <w:szCs w:val="24"/>
          </w:rPr>
          <w:t>节能减排</w:t>
        </w:r>
      </w:hyperlink>
      <w:r>
        <w:rPr>
          <w:rFonts w:ascii="Times New Roman" w:hAnsi="Times New Roman"/>
          <w:szCs w:val="24"/>
        </w:rPr>
        <w:t>综合工作方案的通知》，宁政办发〔</w:t>
      </w:r>
      <w:r>
        <w:rPr>
          <w:rFonts w:ascii="Times New Roman" w:hAnsi="Times New Roman"/>
          <w:szCs w:val="24"/>
        </w:rPr>
        <w:t>2017</w:t>
      </w:r>
      <w:r>
        <w:rPr>
          <w:rFonts w:ascii="Times New Roman" w:hAnsi="Times New Roman"/>
          <w:szCs w:val="24"/>
        </w:rPr>
        <w:t>〕</w:t>
      </w:r>
      <w:r>
        <w:rPr>
          <w:rFonts w:ascii="Times New Roman" w:hAnsi="Times New Roman"/>
          <w:szCs w:val="24"/>
        </w:rPr>
        <w:lastRenderedPageBreak/>
        <w:t>155</w:t>
      </w:r>
      <w:r>
        <w:rPr>
          <w:rFonts w:ascii="Times New Roman" w:hAnsi="Times New Roman"/>
          <w:szCs w:val="24"/>
        </w:rPr>
        <w:t>号，</w:t>
      </w:r>
      <w:r>
        <w:rPr>
          <w:rFonts w:ascii="Times New Roman" w:hAnsi="Times New Roman" w:hint="eastAsia"/>
          <w:szCs w:val="24"/>
        </w:rPr>
        <w:t>2</w:t>
      </w:r>
      <w:r>
        <w:rPr>
          <w:rFonts w:ascii="Times New Roman" w:hAnsi="Times New Roman"/>
          <w:szCs w:val="24"/>
        </w:rPr>
        <w:t>017-8-24</w:t>
      </w:r>
      <w:r>
        <w:rPr>
          <w:rFonts w:ascii="Times New Roman" w:hAnsi="Times New Roman" w:hint="eastAsia"/>
          <w:szCs w:val="24"/>
        </w:rPr>
        <w:t>；</w:t>
      </w:r>
    </w:p>
    <w:p w14:paraId="3DD025DD"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w:t>
      </w:r>
      <w:r>
        <w:rPr>
          <w:rFonts w:ascii="Times New Roman" w:hAnsi="Times New Roman"/>
          <w:szCs w:val="24"/>
        </w:rPr>
        <w:t>关于印发宁夏回族自治区环境保护</w:t>
      </w:r>
      <w:r>
        <w:rPr>
          <w:rFonts w:ascii="Times New Roman" w:hAnsi="Times New Roman"/>
          <w:szCs w:val="24"/>
        </w:rPr>
        <w:t>“</w:t>
      </w:r>
      <w:r>
        <w:rPr>
          <w:rFonts w:ascii="Times New Roman" w:hAnsi="Times New Roman"/>
          <w:szCs w:val="24"/>
        </w:rPr>
        <w:t>十三五</w:t>
      </w:r>
      <w:r>
        <w:rPr>
          <w:rFonts w:ascii="Times New Roman" w:hAnsi="Times New Roman"/>
          <w:szCs w:val="24"/>
        </w:rPr>
        <w:t>”</w:t>
      </w:r>
      <w:r>
        <w:rPr>
          <w:rFonts w:ascii="Times New Roman" w:hAnsi="Times New Roman" w:hint="eastAsia"/>
          <w:szCs w:val="24"/>
        </w:rPr>
        <w:t>规划</w:t>
      </w:r>
      <w:r>
        <w:rPr>
          <w:rFonts w:ascii="Times New Roman" w:hAnsi="Times New Roman"/>
          <w:szCs w:val="24"/>
        </w:rPr>
        <w:t>的通知</w:t>
      </w:r>
      <w:r>
        <w:rPr>
          <w:rFonts w:ascii="Times New Roman" w:hAnsi="Times New Roman" w:hint="eastAsia"/>
          <w:szCs w:val="24"/>
        </w:rPr>
        <w:t>》，</w:t>
      </w:r>
      <w:r>
        <w:rPr>
          <w:rFonts w:ascii="Times New Roman" w:hAnsi="Times New Roman"/>
          <w:szCs w:val="24"/>
        </w:rPr>
        <w:t>宁政办发〔</w:t>
      </w:r>
      <w:r>
        <w:rPr>
          <w:rFonts w:ascii="Times New Roman" w:hAnsi="Times New Roman"/>
          <w:szCs w:val="24"/>
        </w:rPr>
        <w:t>2017</w:t>
      </w:r>
      <w:r>
        <w:rPr>
          <w:rFonts w:ascii="Times New Roman" w:hAnsi="Times New Roman"/>
          <w:szCs w:val="24"/>
        </w:rPr>
        <w:t>〕</w:t>
      </w:r>
      <w:r>
        <w:rPr>
          <w:rFonts w:ascii="Times New Roman" w:hAnsi="Times New Roman"/>
          <w:szCs w:val="24"/>
        </w:rPr>
        <w:t>45</w:t>
      </w:r>
      <w:r>
        <w:rPr>
          <w:rFonts w:ascii="Times New Roman" w:hAnsi="Times New Roman"/>
          <w:szCs w:val="24"/>
        </w:rPr>
        <w:t>号</w:t>
      </w:r>
      <w:r>
        <w:rPr>
          <w:rFonts w:ascii="Times New Roman" w:hAnsi="Times New Roman" w:hint="eastAsia"/>
          <w:szCs w:val="24"/>
        </w:rPr>
        <w:t>，</w:t>
      </w:r>
      <w:r>
        <w:rPr>
          <w:rFonts w:ascii="Times New Roman" w:hAnsi="Times New Roman" w:hint="eastAsia"/>
          <w:szCs w:val="24"/>
        </w:rPr>
        <w:t>2</w:t>
      </w:r>
      <w:r>
        <w:rPr>
          <w:rFonts w:ascii="Times New Roman" w:hAnsi="Times New Roman"/>
          <w:szCs w:val="24"/>
        </w:rPr>
        <w:t>017-4-29</w:t>
      </w:r>
      <w:r>
        <w:rPr>
          <w:rFonts w:ascii="Times New Roman" w:hAnsi="Times New Roman" w:hint="eastAsia"/>
          <w:szCs w:val="24"/>
        </w:rPr>
        <w:t>；</w:t>
      </w:r>
    </w:p>
    <w:p w14:paraId="75495D22"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w:t>
      </w:r>
      <w:r>
        <w:rPr>
          <w:rFonts w:ascii="Times New Roman" w:hAnsi="Times New Roman"/>
          <w:szCs w:val="24"/>
        </w:rPr>
        <w:t>《银川市</w:t>
      </w:r>
      <w:r>
        <w:rPr>
          <w:rFonts w:ascii="Times New Roman" w:hAnsi="Times New Roman"/>
          <w:szCs w:val="24"/>
        </w:rPr>
        <w:t>“</w:t>
      </w:r>
      <w:r>
        <w:rPr>
          <w:rFonts w:ascii="Times New Roman" w:hAnsi="Times New Roman"/>
          <w:szCs w:val="24"/>
        </w:rPr>
        <w:t>十三五</w:t>
      </w:r>
      <w:r>
        <w:rPr>
          <w:rFonts w:ascii="Times New Roman" w:hAnsi="Times New Roman"/>
          <w:szCs w:val="24"/>
        </w:rPr>
        <w:t>”</w:t>
      </w:r>
      <w:r>
        <w:rPr>
          <w:rFonts w:ascii="Times New Roman" w:hAnsi="Times New Roman"/>
          <w:szCs w:val="24"/>
        </w:rPr>
        <w:t>主要污染物总量控制规划》</w:t>
      </w:r>
      <w:r>
        <w:rPr>
          <w:rFonts w:ascii="Times New Roman" w:hAnsi="Times New Roman" w:hint="eastAsia"/>
          <w:szCs w:val="24"/>
        </w:rPr>
        <w:t>；</w:t>
      </w:r>
    </w:p>
    <w:p w14:paraId="1A86D6FE"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4</w:t>
      </w:r>
      <w:r>
        <w:rPr>
          <w:rFonts w:ascii="Times New Roman" w:hAnsi="Times New Roman" w:hint="eastAsia"/>
          <w:szCs w:val="24"/>
        </w:rPr>
        <w:t>）《自治区人民政府关于发布宁夏回族自治区生态保护红线的通知》，宁政发〔</w:t>
      </w:r>
      <w:r>
        <w:rPr>
          <w:rFonts w:ascii="Times New Roman" w:hAnsi="Times New Roman" w:hint="eastAsia"/>
          <w:szCs w:val="24"/>
        </w:rPr>
        <w:t>2018</w:t>
      </w:r>
      <w:r>
        <w:rPr>
          <w:rFonts w:ascii="Times New Roman" w:hAnsi="Times New Roman" w:hint="eastAsia"/>
          <w:szCs w:val="24"/>
        </w:rPr>
        <w:t>〕</w:t>
      </w:r>
      <w:r>
        <w:rPr>
          <w:rFonts w:ascii="Times New Roman" w:hAnsi="Times New Roman" w:hint="eastAsia"/>
          <w:szCs w:val="24"/>
        </w:rPr>
        <w:t>23</w:t>
      </w:r>
      <w:r>
        <w:rPr>
          <w:rFonts w:ascii="Times New Roman" w:hAnsi="Times New Roman" w:hint="eastAsia"/>
          <w:szCs w:val="24"/>
        </w:rPr>
        <w:t>号，</w:t>
      </w:r>
      <w:r>
        <w:rPr>
          <w:rFonts w:ascii="Times New Roman" w:hAnsi="Times New Roman" w:hint="eastAsia"/>
          <w:szCs w:val="24"/>
        </w:rPr>
        <w:t>2</w:t>
      </w:r>
      <w:r>
        <w:rPr>
          <w:rFonts w:ascii="Times New Roman" w:hAnsi="Times New Roman"/>
          <w:szCs w:val="24"/>
        </w:rPr>
        <w:t>018</w:t>
      </w:r>
      <w:r>
        <w:rPr>
          <w:rFonts w:ascii="Times New Roman" w:hAnsi="Times New Roman" w:hint="eastAsia"/>
          <w:szCs w:val="24"/>
        </w:rPr>
        <w:t>-</w:t>
      </w:r>
      <w:r>
        <w:rPr>
          <w:rFonts w:ascii="Times New Roman" w:hAnsi="Times New Roman"/>
          <w:szCs w:val="24"/>
        </w:rPr>
        <w:t>7</w:t>
      </w:r>
      <w:r>
        <w:rPr>
          <w:rFonts w:ascii="Times New Roman" w:hAnsi="Times New Roman" w:hint="eastAsia"/>
          <w:szCs w:val="24"/>
        </w:rPr>
        <w:t>-</w:t>
      </w:r>
      <w:r>
        <w:rPr>
          <w:rFonts w:ascii="Times New Roman" w:hAnsi="Times New Roman"/>
          <w:szCs w:val="24"/>
        </w:rPr>
        <w:t>2</w:t>
      </w:r>
      <w:r>
        <w:rPr>
          <w:rFonts w:ascii="Times New Roman" w:hAnsi="Times New Roman" w:hint="eastAsia"/>
          <w:szCs w:val="24"/>
        </w:rPr>
        <w:t>；</w:t>
      </w:r>
    </w:p>
    <w:p w14:paraId="41F288A5"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5</w:t>
      </w:r>
      <w:r>
        <w:rPr>
          <w:rFonts w:ascii="Times New Roman" w:hAnsi="Times New Roman" w:hint="eastAsia"/>
          <w:szCs w:val="24"/>
        </w:rPr>
        <w:t>）《宁夏回族自治区国家重点生态功能区产业准入负面清单（试行版）》，宁夏回族自治区发改委，</w:t>
      </w:r>
      <w:r>
        <w:rPr>
          <w:rFonts w:ascii="Times New Roman" w:hAnsi="Times New Roman" w:hint="eastAsia"/>
          <w:szCs w:val="24"/>
        </w:rPr>
        <w:t>2</w:t>
      </w:r>
      <w:r>
        <w:rPr>
          <w:rFonts w:ascii="Times New Roman" w:hAnsi="Times New Roman"/>
          <w:szCs w:val="24"/>
        </w:rPr>
        <w:t>016</w:t>
      </w:r>
      <w:r>
        <w:rPr>
          <w:rFonts w:ascii="Times New Roman" w:hAnsi="Times New Roman" w:hint="eastAsia"/>
          <w:szCs w:val="24"/>
        </w:rPr>
        <w:t>-</w:t>
      </w:r>
      <w:r>
        <w:rPr>
          <w:rFonts w:ascii="Times New Roman" w:hAnsi="Times New Roman"/>
          <w:szCs w:val="24"/>
        </w:rPr>
        <w:t>7</w:t>
      </w:r>
      <w:r>
        <w:rPr>
          <w:rFonts w:ascii="Times New Roman" w:hAnsi="Times New Roman" w:hint="eastAsia"/>
          <w:szCs w:val="24"/>
        </w:rPr>
        <w:t>-</w:t>
      </w:r>
      <w:r>
        <w:rPr>
          <w:rFonts w:ascii="Times New Roman" w:hAnsi="Times New Roman"/>
          <w:szCs w:val="24"/>
        </w:rPr>
        <w:t>26</w:t>
      </w:r>
      <w:r>
        <w:rPr>
          <w:rFonts w:ascii="Times New Roman" w:hAnsi="Times New Roman" w:hint="eastAsia"/>
          <w:szCs w:val="24"/>
        </w:rPr>
        <w:t>；</w:t>
      </w:r>
    </w:p>
    <w:p w14:paraId="1070E887"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6</w:t>
      </w:r>
      <w:r>
        <w:rPr>
          <w:rFonts w:ascii="Times New Roman" w:hAnsi="Times New Roman" w:hint="eastAsia"/>
          <w:szCs w:val="24"/>
        </w:rPr>
        <w:t>）《银川市打赢蓝天保卫战三年行动计划</w:t>
      </w:r>
      <w:r>
        <w:rPr>
          <w:rFonts w:ascii="Times New Roman" w:hAnsi="Times New Roman"/>
          <w:szCs w:val="24"/>
        </w:rPr>
        <w:t> </w:t>
      </w:r>
      <w:r>
        <w:rPr>
          <w:rFonts w:ascii="Times New Roman" w:hAnsi="Times New Roman" w:hint="eastAsia"/>
          <w:szCs w:val="24"/>
        </w:rPr>
        <w:t>（</w:t>
      </w:r>
      <w:r>
        <w:rPr>
          <w:rFonts w:ascii="Times New Roman" w:hAnsi="Times New Roman"/>
          <w:szCs w:val="24"/>
        </w:rPr>
        <w:t>2018</w:t>
      </w:r>
      <w:r>
        <w:rPr>
          <w:rFonts w:ascii="Times New Roman" w:hAnsi="Times New Roman" w:hint="eastAsia"/>
          <w:szCs w:val="24"/>
        </w:rPr>
        <w:t>年</w:t>
      </w:r>
      <w:r>
        <w:rPr>
          <w:rFonts w:ascii="Times New Roman" w:hAnsi="Times New Roman"/>
          <w:szCs w:val="24"/>
        </w:rPr>
        <w:t>—2020</w:t>
      </w:r>
      <w:r>
        <w:rPr>
          <w:rFonts w:ascii="Times New Roman" w:hAnsi="Times New Roman" w:hint="eastAsia"/>
          <w:szCs w:val="24"/>
        </w:rPr>
        <w:t>年）》，银川市人民政府，</w:t>
      </w:r>
      <w:r>
        <w:rPr>
          <w:rFonts w:ascii="Times New Roman" w:hAnsi="Times New Roman" w:hint="eastAsia"/>
          <w:szCs w:val="24"/>
        </w:rPr>
        <w:t>2</w:t>
      </w:r>
      <w:r>
        <w:rPr>
          <w:rFonts w:ascii="Times New Roman" w:hAnsi="Times New Roman"/>
          <w:szCs w:val="24"/>
        </w:rPr>
        <w:t>018</w:t>
      </w:r>
      <w:r>
        <w:rPr>
          <w:rFonts w:ascii="Times New Roman" w:hAnsi="Times New Roman" w:hint="eastAsia"/>
          <w:szCs w:val="24"/>
        </w:rPr>
        <w:t>-</w:t>
      </w:r>
      <w:r>
        <w:rPr>
          <w:rFonts w:ascii="Times New Roman" w:hAnsi="Times New Roman"/>
          <w:szCs w:val="24"/>
        </w:rPr>
        <w:t>9</w:t>
      </w:r>
      <w:r>
        <w:rPr>
          <w:rFonts w:ascii="Times New Roman" w:hAnsi="Times New Roman" w:hint="eastAsia"/>
          <w:szCs w:val="24"/>
        </w:rPr>
        <w:t>-</w:t>
      </w:r>
      <w:r>
        <w:rPr>
          <w:rFonts w:ascii="Times New Roman" w:hAnsi="Times New Roman"/>
          <w:szCs w:val="24"/>
        </w:rPr>
        <w:t>25</w:t>
      </w:r>
      <w:r>
        <w:rPr>
          <w:rFonts w:ascii="Times New Roman" w:hAnsi="Times New Roman" w:hint="eastAsia"/>
          <w:szCs w:val="24"/>
        </w:rPr>
        <w:t>；</w:t>
      </w:r>
    </w:p>
    <w:p w14:paraId="56953A90"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szCs w:val="24"/>
        </w:rPr>
        <w:t>7</w:t>
      </w:r>
      <w:r>
        <w:rPr>
          <w:rFonts w:ascii="Times New Roman" w:hAnsi="Times New Roman" w:hint="eastAsia"/>
          <w:szCs w:val="24"/>
        </w:rPr>
        <w:t>）《</w:t>
      </w:r>
      <w:r>
        <w:rPr>
          <w:rFonts w:ascii="Times New Roman" w:hAnsi="Times New Roman" w:hint="eastAsia"/>
          <w:szCs w:val="24"/>
        </w:rPr>
        <w:t>2019</w:t>
      </w:r>
      <w:r>
        <w:rPr>
          <w:rFonts w:ascii="Times New Roman" w:hAnsi="Times New Roman" w:hint="eastAsia"/>
          <w:szCs w:val="24"/>
        </w:rPr>
        <w:t>年度银川市打赢蓝天保卫战实施方案》，银川市人民政府，</w:t>
      </w:r>
      <w:r>
        <w:rPr>
          <w:rFonts w:ascii="Times New Roman" w:hAnsi="Times New Roman" w:hint="eastAsia"/>
          <w:szCs w:val="24"/>
        </w:rPr>
        <w:t>2</w:t>
      </w:r>
      <w:r>
        <w:rPr>
          <w:rFonts w:ascii="Times New Roman" w:hAnsi="Times New Roman"/>
          <w:szCs w:val="24"/>
        </w:rPr>
        <w:t>019</w:t>
      </w:r>
      <w:r>
        <w:rPr>
          <w:rFonts w:ascii="Times New Roman" w:hAnsi="Times New Roman" w:hint="eastAsia"/>
          <w:szCs w:val="24"/>
        </w:rPr>
        <w:t>-</w:t>
      </w:r>
      <w:r>
        <w:rPr>
          <w:rFonts w:ascii="Times New Roman" w:hAnsi="Times New Roman"/>
          <w:szCs w:val="24"/>
        </w:rPr>
        <w:t>7</w:t>
      </w:r>
      <w:r>
        <w:rPr>
          <w:rFonts w:ascii="Times New Roman" w:hAnsi="Times New Roman" w:hint="eastAsia"/>
          <w:szCs w:val="24"/>
        </w:rPr>
        <w:t>-</w:t>
      </w:r>
      <w:r>
        <w:rPr>
          <w:rFonts w:ascii="Times New Roman" w:hAnsi="Times New Roman"/>
          <w:szCs w:val="24"/>
        </w:rPr>
        <w:t>17</w:t>
      </w:r>
      <w:r>
        <w:rPr>
          <w:rFonts w:ascii="Times New Roman" w:hAnsi="Times New Roman" w:hint="eastAsia"/>
          <w:szCs w:val="24"/>
        </w:rPr>
        <w:t>；</w:t>
      </w:r>
    </w:p>
    <w:p w14:paraId="35F49701"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szCs w:val="24"/>
        </w:rPr>
        <w:t>8</w:t>
      </w:r>
      <w:r>
        <w:rPr>
          <w:rFonts w:ascii="Times New Roman" w:hAnsi="Times New Roman" w:hint="eastAsia"/>
          <w:szCs w:val="24"/>
        </w:rPr>
        <w:t>）《</w:t>
      </w:r>
      <w:r>
        <w:rPr>
          <w:rFonts w:ascii="Times New Roman" w:hAnsi="Times New Roman" w:hint="eastAsia"/>
          <w:szCs w:val="24"/>
        </w:rPr>
        <w:t>2019</w:t>
      </w:r>
      <w:r>
        <w:rPr>
          <w:rFonts w:ascii="Times New Roman" w:hAnsi="Times New Roman" w:hint="eastAsia"/>
          <w:szCs w:val="24"/>
        </w:rPr>
        <w:t>年度水污染防治重点工作安排》，银川市人民政府，</w:t>
      </w:r>
      <w:r>
        <w:rPr>
          <w:rFonts w:ascii="Times New Roman" w:hAnsi="Times New Roman" w:hint="eastAsia"/>
          <w:szCs w:val="24"/>
        </w:rPr>
        <w:t>2</w:t>
      </w:r>
      <w:r>
        <w:rPr>
          <w:rFonts w:ascii="Times New Roman" w:hAnsi="Times New Roman"/>
          <w:szCs w:val="24"/>
        </w:rPr>
        <w:t>019</w:t>
      </w:r>
      <w:r>
        <w:rPr>
          <w:rFonts w:ascii="Times New Roman" w:hAnsi="Times New Roman" w:hint="eastAsia"/>
          <w:szCs w:val="24"/>
        </w:rPr>
        <w:t>-</w:t>
      </w:r>
      <w:r>
        <w:rPr>
          <w:rFonts w:ascii="Times New Roman" w:hAnsi="Times New Roman"/>
          <w:szCs w:val="24"/>
        </w:rPr>
        <w:t>7</w:t>
      </w:r>
      <w:r>
        <w:rPr>
          <w:rFonts w:ascii="Times New Roman" w:hAnsi="Times New Roman" w:hint="eastAsia"/>
          <w:szCs w:val="24"/>
        </w:rPr>
        <w:t>-</w:t>
      </w:r>
      <w:r>
        <w:rPr>
          <w:rFonts w:ascii="Times New Roman" w:hAnsi="Times New Roman"/>
          <w:szCs w:val="24"/>
        </w:rPr>
        <w:t>17</w:t>
      </w:r>
      <w:r>
        <w:rPr>
          <w:rFonts w:ascii="Times New Roman" w:hAnsi="Times New Roman" w:hint="eastAsia"/>
          <w:szCs w:val="24"/>
        </w:rPr>
        <w:t>；</w:t>
      </w:r>
    </w:p>
    <w:p w14:paraId="0351E266"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szCs w:val="24"/>
        </w:rPr>
        <w:t>9</w:t>
      </w:r>
      <w:r>
        <w:rPr>
          <w:rFonts w:ascii="Times New Roman" w:hAnsi="Times New Roman" w:hint="eastAsia"/>
          <w:szCs w:val="24"/>
        </w:rPr>
        <w:t>）《</w:t>
      </w:r>
      <w:r>
        <w:rPr>
          <w:rFonts w:ascii="Times New Roman" w:hAnsi="Times New Roman" w:hint="eastAsia"/>
          <w:szCs w:val="24"/>
        </w:rPr>
        <w:t>2019</w:t>
      </w:r>
      <w:r>
        <w:rPr>
          <w:rFonts w:ascii="Times New Roman" w:hAnsi="Times New Roman" w:hint="eastAsia"/>
          <w:szCs w:val="24"/>
        </w:rPr>
        <w:t>年度银川市生态立市战略实施方案》，银川市人民政府，</w:t>
      </w:r>
      <w:r>
        <w:rPr>
          <w:rFonts w:ascii="Times New Roman" w:hAnsi="Times New Roman" w:hint="eastAsia"/>
          <w:szCs w:val="24"/>
        </w:rPr>
        <w:t>2</w:t>
      </w:r>
      <w:r>
        <w:rPr>
          <w:rFonts w:ascii="Times New Roman" w:hAnsi="Times New Roman"/>
          <w:szCs w:val="24"/>
        </w:rPr>
        <w:t>019</w:t>
      </w:r>
      <w:r>
        <w:rPr>
          <w:rFonts w:ascii="Times New Roman" w:hAnsi="Times New Roman" w:hint="eastAsia"/>
          <w:szCs w:val="24"/>
        </w:rPr>
        <w:t>-</w:t>
      </w:r>
      <w:r>
        <w:rPr>
          <w:rFonts w:ascii="Times New Roman" w:hAnsi="Times New Roman"/>
          <w:szCs w:val="24"/>
        </w:rPr>
        <w:t>7</w:t>
      </w:r>
      <w:r>
        <w:rPr>
          <w:rFonts w:ascii="Times New Roman" w:hAnsi="Times New Roman" w:hint="eastAsia"/>
          <w:szCs w:val="24"/>
        </w:rPr>
        <w:t>-</w:t>
      </w:r>
      <w:r>
        <w:rPr>
          <w:rFonts w:ascii="Times New Roman" w:hAnsi="Times New Roman"/>
          <w:szCs w:val="24"/>
        </w:rPr>
        <w:t>17</w:t>
      </w:r>
      <w:r>
        <w:rPr>
          <w:rFonts w:ascii="Times New Roman" w:hAnsi="Times New Roman" w:hint="eastAsia"/>
          <w:szCs w:val="24"/>
        </w:rPr>
        <w:t>。</w:t>
      </w:r>
    </w:p>
    <w:p w14:paraId="77671F25" w14:textId="77777777" w:rsidR="009C353B" w:rsidRDefault="00000000">
      <w:pPr>
        <w:keepNext/>
        <w:keepLines/>
        <w:spacing w:before="360" w:after="120" w:line="416" w:lineRule="exact"/>
        <w:outlineLvl w:val="2"/>
        <w:rPr>
          <w:rFonts w:ascii="Times New Roman" w:hAnsi="Times New Roman"/>
          <w:b/>
          <w:bCs/>
          <w:szCs w:val="32"/>
        </w:rPr>
      </w:pPr>
      <w:r>
        <w:rPr>
          <w:rFonts w:ascii="Times New Roman" w:hAnsi="Times New Roman"/>
          <w:b/>
          <w:bCs/>
          <w:szCs w:val="32"/>
        </w:rPr>
        <w:t xml:space="preserve">1.2.4 </w:t>
      </w:r>
      <w:r>
        <w:rPr>
          <w:rFonts w:ascii="Times New Roman" w:hAnsi="Times New Roman"/>
          <w:b/>
          <w:bCs/>
          <w:szCs w:val="32"/>
        </w:rPr>
        <w:t>技术规范</w:t>
      </w:r>
      <w:r>
        <w:rPr>
          <w:rFonts w:ascii="Times New Roman" w:hAnsi="Times New Roman"/>
          <w:b/>
          <w:bCs/>
          <w:szCs w:val="32"/>
        </w:rPr>
        <w:t xml:space="preserve"> </w:t>
      </w:r>
    </w:p>
    <w:p w14:paraId="4A22C235"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《规划环境影响评价技术导则</w:t>
      </w:r>
      <w:r>
        <w:rPr>
          <w:rFonts w:ascii="Times New Roman" w:hAnsi="Times New Roman"/>
        </w:rPr>
        <w:t>·</w:t>
      </w:r>
      <w:r>
        <w:rPr>
          <w:rFonts w:ascii="Times New Roman" w:hAnsi="Times New Roman" w:hint="eastAsia"/>
        </w:rPr>
        <w:t>总纲</w:t>
      </w:r>
      <w:r>
        <w:rPr>
          <w:rFonts w:ascii="Times New Roman" w:hAnsi="Times New Roman"/>
        </w:rPr>
        <w:t>》（</w:t>
      </w:r>
      <w:r>
        <w:rPr>
          <w:rFonts w:ascii="Times New Roman" w:hAnsi="Times New Roman"/>
        </w:rPr>
        <w:t>HJ130</w:t>
      </w:r>
      <w:r>
        <w:rPr>
          <w:rFonts w:ascii="Times New Roman" w:hAnsi="Times New Roman"/>
        </w:rPr>
        <w:t>－</w:t>
      </w:r>
      <w:r>
        <w:rPr>
          <w:rFonts w:ascii="Times New Roman" w:hAnsi="Times New Roman"/>
        </w:rPr>
        <w:t>2019</w:t>
      </w:r>
      <w:r>
        <w:rPr>
          <w:rFonts w:ascii="Times New Roman" w:hAnsi="Times New Roman"/>
        </w:rPr>
        <w:t>）；</w:t>
      </w:r>
    </w:p>
    <w:p w14:paraId="32814E16"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《规划环境影响评价技术导则</w:t>
      </w:r>
      <w:r>
        <w:rPr>
          <w:rFonts w:ascii="Times New Roman" w:hAnsi="Times New Roman"/>
        </w:rPr>
        <w:t>·</w:t>
      </w:r>
      <w:r>
        <w:rPr>
          <w:rFonts w:ascii="Times New Roman" w:hAnsi="Times New Roman"/>
        </w:rPr>
        <w:t>煤炭工业矿区总体规划》（</w:t>
      </w:r>
      <w:r>
        <w:rPr>
          <w:rFonts w:ascii="Times New Roman" w:hAnsi="Times New Roman"/>
        </w:rPr>
        <w:t>HJ463</w:t>
      </w:r>
      <w:r>
        <w:rPr>
          <w:rFonts w:ascii="Times New Roman" w:hAnsi="Times New Roman"/>
        </w:rPr>
        <w:t>－</w:t>
      </w:r>
      <w:r>
        <w:rPr>
          <w:rFonts w:ascii="Times New Roman" w:hAnsi="Times New Roman"/>
        </w:rPr>
        <w:t>2009</w:t>
      </w:r>
      <w:r>
        <w:rPr>
          <w:rFonts w:ascii="Times New Roman" w:hAnsi="Times New Roman"/>
        </w:rPr>
        <w:t>）；</w:t>
      </w:r>
    </w:p>
    <w:p w14:paraId="259D6BE0"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《环境影响评价技术导则</w:t>
      </w:r>
      <w:r>
        <w:rPr>
          <w:rFonts w:ascii="Times New Roman" w:hAnsi="Times New Roman"/>
        </w:rPr>
        <w:t>·</w:t>
      </w:r>
      <w:r>
        <w:rPr>
          <w:rFonts w:ascii="Times New Roman" w:hAnsi="Times New Roman"/>
        </w:rPr>
        <w:t>总纲》（</w:t>
      </w:r>
      <w:r>
        <w:rPr>
          <w:rFonts w:ascii="Times New Roman" w:hAnsi="Times New Roman"/>
        </w:rPr>
        <w:t>HJ2.1</w:t>
      </w:r>
      <w:r>
        <w:rPr>
          <w:rFonts w:ascii="Times New Roman" w:hAnsi="Times New Roman"/>
        </w:rPr>
        <w:t>－</w:t>
      </w:r>
      <w:r>
        <w:rPr>
          <w:rFonts w:ascii="Times New Roman" w:hAnsi="Times New Roman"/>
        </w:rPr>
        <w:t>2016</w:t>
      </w:r>
      <w:r>
        <w:rPr>
          <w:rFonts w:ascii="Times New Roman" w:hAnsi="Times New Roman"/>
        </w:rPr>
        <w:t>）；</w:t>
      </w:r>
    </w:p>
    <w:p w14:paraId="23402799"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《环境影响评价技术导则</w:t>
      </w:r>
      <w:r>
        <w:rPr>
          <w:rFonts w:ascii="Times New Roman" w:hAnsi="Times New Roman"/>
        </w:rPr>
        <w:t>·</w:t>
      </w:r>
      <w:r>
        <w:rPr>
          <w:rFonts w:ascii="Times New Roman" w:hAnsi="Times New Roman"/>
        </w:rPr>
        <w:t>大气环境》（</w:t>
      </w:r>
      <w:r>
        <w:rPr>
          <w:rFonts w:ascii="Times New Roman" w:hAnsi="Times New Roman"/>
        </w:rPr>
        <w:t>HJ2.2</w:t>
      </w:r>
      <w:r>
        <w:rPr>
          <w:rFonts w:ascii="Times New Roman" w:hAnsi="Times New Roman"/>
        </w:rPr>
        <w:t>－</w:t>
      </w:r>
      <w:r>
        <w:rPr>
          <w:rFonts w:ascii="Times New Roman" w:hAnsi="Times New Roman"/>
        </w:rPr>
        <w:t>2018</w:t>
      </w:r>
      <w:r>
        <w:rPr>
          <w:rFonts w:ascii="Times New Roman" w:hAnsi="Times New Roman"/>
        </w:rPr>
        <w:t>）；</w:t>
      </w:r>
    </w:p>
    <w:p w14:paraId="6F3BED66"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《环境影响评价技术导则</w:t>
      </w:r>
      <w:r>
        <w:rPr>
          <w:rFonts w:ascii="Times New Roman" w:hAnsi="Times New Roman"/>
        </w:rPr>
        <w:t>·</w:t>
      </w:r>
      <w:r>
        <w:rPr>
          <w:rFonts w:ascii="Times New Roman" w:hAnsi="Times New Roman"/>
        </w:rPr>
        <w:t>地</w:t>
      </w:r>
      <w:r>
        <w:rPr>
          <w:rFonts w:ascii="Times New Roman" w:hAnsi="Times New Roman" w:hint="eastAsia"/>
        </w:rPr>
        <w:t>表</w:t>
      </w:r>
      <w:r>
        <w:rPr>
          <w:rFonts w:ascii="Times New Roman" w:hAnsi="Times New Roman"/>
        </w:rPr>
        <w:t>水环境》（</w:t>
      </w:r>
      <w:r>
        <w:rPr>
          <w:rFonts w:ascii="Times New Roman" w:hAnsi="Times New Roman"/>
        </w:rPr>
        <w:t>HJ2.3</w:t>
      </w:r>
      <w:r>
        <w:rPr>
          <w:rFonts w:ascii="Times New Roman" w:hAnsi="Times New Roman"/>
        </w:rPr>
        <w:t>－</w:t>
      </w:r>
      <w:r>
        <w:rPr>
          <w:rFonts w:ascii="Times New Roman" w:hAnsi="Times New Roman"/>
        </w:rPr>
        <w:t>2018</w:t>
      </w:r>
      <w:r>
        <w:rPr>
          <w:rFonts w:ascii="Times New Roman" w:hAnsi="Times New Roman"/>
        </w:rPr>
        <w:t>）；</w:t>
      </w:r>
    </w:p>
    <w:p w14:paraId="690F5392"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《环境影响评价技术导则</w:t>
      </w:r>
      <w:r>
        <w:rPr>
          <w:rFonts w:ascii="Times New Roman" w:hAnsi="Times New Roman"/>
        </w:rPr>
        <w:t>·</w:t>
      </w:r>
      <w:r>
        <w:rPr>
          <w:rFonts w:ascii="Times New Roman" w:hAnsi="Times New Roman"/>
        </w:rPr>
        <w:t>地下水环境》（</w:t>
      </w:r>
      <w:r>
        <w:rPr>
          <w:rFonts w:ascii="Times New Roman" w:hAnsi="Times New Roman"/>
        </w:rPr>
        <w:t>HJ610</w:t>
      </w:r>
      <w:r>
        <w:rPr>
          <w:rFonts w:ascii="Times New Roman" w:hAnsi="Times New Roman"/>
        </w:rPr>
        <w:t>－</w:t>
      </w:r>
      <w:r>
        <w:rPr>
          <w:rFonts w:ascii="Times New Roman" w:hAnsi="Times New Roman"/>
        </w:rPr>
        <w:t>2016</w:t>
      </w:r>
      <w:r>
        <w:rPr>
          <w:rFonts w:ascii="Times New Roman" w:hAnsi="Times New Roman"/>
        </w:rPr>
        <w:t>）；</w:t>
      </w:r>
    </w:p>
    <w:p w14:paraId="0C05E913"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《环境影响评价技术导则</w:t>
      </w:r>
      <w:r>
        <w:rPr>
          <w:rFonts w:ascii="Times New Roman" w:hAnsi="Times New Roman"/>
        </w:rPr>
        <w:t>·</w:t>
      </w:r>
      <w:r>
        <w:rPr>
          <w:rFonts w:ascii="Times New Roman" w:hAnsi="Times New Roman"/>
        </w:rPr>
        <w:t>声环境》（</w:t>
      </w:r>
      <w:r>
        <w:rPr>
          <w:rFonts w:ascii="Times New Roman" w:hAnsi="Times New Roman"/>
        </w:rPr>
        <w:t>HJ2.4</w:t>
      </w:r>
      <w:r>
        <w:rPr>
          <w:rFonts w:ascii="Times New Roman" w:hAnsi="Times New Roman"/>
        </w:rPr>
        <w:t>－</w:t>
      </w:r>
      <w:r>
        <w:rPr>
          <w:rFonts w:ascii="Times New Roman" w:hAnsi="Times New Roman"/>
        </w:rPr>
        <w:t>2009</w:t>
      </w:r>
      <w:r>
        <w:rPr>
          <w:rFonts w:ascii="Times New Roman" w:hAnsi="Times New Roman"/>
        </w:rPr>
        <w:t>）；</w:t>
      </w:r>
    </w:p>
    <w:p w14:paraId="59CB39FE"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《环境影响评价技术导则</w:t>
      </w:r>
      <w:r>
        <w:rPr>
          <w:rFonts w:ascii="Times New Roman" w:hAnsi="Times New Roman"/>
        </w:rPr>
        <w:t>·</w:t>
      </w:r>
      <w:r>
        <w:rPr>
          <w:rFonts w:ascii="Times New Roman" w:hAnsi="Times New Roman"/>
        </w:rPr>
        <w:t>生态影响》（</w:t>
      </w:r>
      <w:r>
        <w:rPr>
          <w:rFonts w:ascii="Times New Roman" w:hAnsi="Times New Roman"/>
        </w:rPr>
        <w:t>HJ19</w:t>
      </w:r>
      <w:r>
        <w:rPr>
          <w:rFonts w:ascii="Times New Roman" w:hAnsi="Times New Roman"/>
        </w:rPr>
        <w:t>－</w:t>
      </w:r>
      <w:r>
        <w:rPr>
          <w:rFonts w:ascii="Times New Roman" w:hAnsi="Times New Roman"/>
        </w:rPr>
        <w:t>2011</w:t>
      </w:r>
      <w:r>
        <w:rPr>
          <w:rFonts w:ascii="Times New Roman" w:hAnsi="Times New Roman"/>
        </w:rPr>
        <w:t>）；</w:t>
      </w:r>
    </w:p>
    <w:p w14:paraId="647CB909"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hint="eastAsia"/>
        </w:rPr>
        <w:t>《</w:t>
      </w:r>
      <w:r>
        <w:rPr>
          <w:rFonts w:ascii="Times New Roman" w:hAnsi="Times New Roman"/>
        </w:rPr>
        <w:t>环境影响评价技术导则</w:t>
      </w:r>
      <w:r>
        <w:rPr>
          <w:rFonts w:ascii="Times New Roman" w:hAnsi="Times New Roman"/>
        </w:rPr>
        <w:t>·</w:t>
      </w:r>
      <w:r>
        <w:rPr>
          <w:rFonts w:ascii="Times New Roman" w:hAnsi="Times New Roman" w:hint="eastAsia"/>
        </w:rPr>
        <w:t>土壤环境》</w:t>
      </w:r>
      <w:r>
        <w:rPr>
          <w:rFonts w:ascii="Times New Roman" w:hAnsi="Times New Roman"/>
        </w:rPr>
        <w:t>（</w:t>
      </w:r>
      <w:r>
        <w:rPr>
          <w:rFonts w:ascii="Times New Roman" w:hAnsi="Times New Roman"/>
        </w:rPr>
        <w:t>HJ964</w:t>
      </w:r>
      <w:r>
        <w:rPr>
          <w:rFonts w:ascii="Times New Roman" w:hAnsi="Times New Roman"/>
        </w:rPr>
        <w:t>－</w:t>
      </w:r>
      <w:r>
        <w:rPr>
          <w:rFonts w:ascii="Times New Roman" w:hAnsi="Times New Roman"/>
        </w:rPr>
        <w:t>2018</w:t>
      </w:r>
      <w:r>
        <w:rPr>
          <w:rFonts w:ascii="Times New Roman" w:hAnsi="Times New Roman"/>
        </w:rPr>
        <w:t>）；</w:t>
      </w:r>
    </w:p>
    <w:p w14:paraId="1FD38076"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《环境影响评价技术导则</w:t>
      </w:r>
      <w:r>
        <w:rPr>
          <w:rFonts w:ascii="Times New Roman" w:hAnsi="Times New Roman"/>
        </w:rPr>
        <w:t xml:space="preserve"> </w:t>
      </w:r>
      <w:r>
        <w:rPr>
          <w:rFonts w:ascii="Times New Roman" w:hAnsi="Times New Roman"/>
        </w:rPr>
        <w:t>煤炭采选工程》，（</w:t>
      </w:r>
      <w:r>
        <w:rPr>
          <w:rFonts w:ascii="Times New Roman" w:hAnsi="Times New Roman"/>
        </w:rPr>
        <w:t>HJ619</w:t>
      </w:r>
      <w:r>
        <w:rPr>
          <w:rFonts w:ascii="Times New Roman" w:hAnsi="Times New Roman"/>
        </w:rPr>
        <w:t>－</w:t>
      </w:r>
      <w:r>
        <w:rPr>
          <w:rFonts w:ascii="Times New Roman" w:hAnsi="Times New Roman"/>
        </w:rPr>
        <w:t>2011</w:t>
      </w:r>
      <w:r>
        <w:rPr>
          <w:rFonts w:ascii="Times New Roman" w:hAnsi="Times New Roman"/>
        </w:rPr>
        <w:t>）；</w:t>
      </w:r>
    </w:p>
    <w:p w14:paraId="0FF401D1"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《清洁生产标准－煤炭采选业》（</w:t>
      </w:r>
      <w:r>
        <w:rPr>
          <w:rFonts w:ascii="Times New Roman" w:hAnsi="Times New Roman"/>
        </w:rPr>
        <w:t>HJ446</w:t>
      </w:r>
      <w:r>
        <w:rPr>
          <w:rFonts w:ascii="Times New Roman" w:hAnsi="Times New Roman"/>
        </w:rPr>
        <w:t>－</w:t>
      </w:r>
      <w:r>
        <w:rPr>
          <w:rFonts w:ascii="Times New Roman" w:hAnsi="Times New Roman"/>
        </w:rPr>
        <w:t>2008</w:t>
      </w:r>
      <w:r>
        <w:rPr>
          <w:rFonts w:ascii="Times New Roman" w:hAnsi="Times New Roman"/>
        </w:rPr>
        <w:t>）；</w:t>
      </w:r>
    </w:p>
    <w:p w14:paraId="1EF66553"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《煤炭采选业清洁生产评价指标体系》</w:t>
      </w:r>
      <w:r>
        <w:rPr>
          <w:rFonts w:ascii="Times New Roman" w:hAnsi="Times New Roman" w:hint="eastAsia"/>
        </w:rPr>
        <w:t>，</w:t>
      </w:r>
      <w:r>
        <w:rPr>
          <w:rFonts w:ascii="Times New Roman" w:hAnsi="Times New Roman" w:hint="eastAsia"/>
        </w:rPr>
        <w:t>2</w:t>
      </w:r>
      <w:r>
        <w:rPr>
          <w:rFonts w:ascii="Times New Roman" w:hAnsi="Times New Roman"/>
        </w:rPr>
        <w:t>019</w:t>
      </w:r>
      <w:r>
        <w:rPr>
          <w:rFonts w:ascii="Times New Roman" w:hAnsi="Times New Roman" w:hint="eastAsia"/>
        </w:rPr>
        <w:t>；</w:t>
      </w:r>
    </w:p>
    <w:p w14:paraId="6D99F60B"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《煤炭工业矿井设计规范》（</w:t>
      </w:r>
      <w:r>
        <w:rPr>
          <w:rFonts w:ascii="Times New Roman" w:hAnsi="Times New Roman"/>
        </w:rPr>
        <w:t>GB50215</w:t>
      </w:r>
      <w:r>
        <w:rPr>
          <w:rFonts w:ascii="Times New Roman" w:hAnsi="Times New Roman"/>
        </w:rPr>
        <w:t>－</w:t>
      </w:r>
      <w:r>
        <w:rPr>
          <w:rFonts w:ascii="Times New Roman" w:hAnsi="Times New Roman"/>
        </w:rPr>
        <w:t>2015</w:t>
      </w:r>
      <w:r>
        <w:rPr>
          <w:rFonts w:ascii="Times New Roman" w:hAnsi="Times New Roman"/>
        </w:rPr>
        <w:t>）；</w:t>
      </w:r>
    </w:p>
    <w:p w14:paraId="4680FC7B"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《煤炭洗选工程设计规范》（</w:t>
      </w:r>
      <w:r>
        <w:rPr>
          <w:rFonts w:ascii="Times New Roman" w:hAnsi="Times New Roman"/>
        </w:rPr>
        <w:t>GB50539</w:t>
      </w:r>
      <w:r>
        <w:rPr>
          <w:rFonts w:ascii="Times New Roman" w:hAnsi="Times New Roman"/>
        </w:rPr>
        <w:t>－</w:t>
      </w:r>
      <w:r>
        <w:rPr>
          <w:rFonts w:ascii="Times New Roman" w:hAnsi="Times New Roman"/>
        </w:rPr>
        <w:t>2016</w:t>
      </w:r>
      <w:r>
        <w:rPr>
          <w:rFonts w:ascii="Times New Roman" w:hAnsi="Times New Roman"/>
        </w:rPr>
        <w:t>）</w:t>
      </w:r>
      <w:r>
        <w:rPr>
          <w:rFonts w:ascii="Times New Roman" w:hAnsi="Times New Roman" w:hint="eastAsia"/>
        </w:rPr>
        <w:t>；</w:t>
      </w:r>
    </w:p>
    <w:p w14:paraId="5D62D785"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《煤炭工业矿区总体规划规范》（</w:t>
      </w:r>
      <w:r>
        <w:rPr>
          <w:rFonts w:ascii="Times New Roman" w:hAnsi="Times New Roman"/>
        </w:rPr>
        <w:t>GB50465</w:t>
      </w:r>
      <w:r>
        <w:rPr>
          <w:rFonts w:ascii="Times New Roman" w:hAnsi="Times New Roman"/>
        </w:rPr>
        <w:t>－</w:t>
      </w:r>
      <w:r>
        <w:rPr>
          <w:rFonts w:ascii="Times New Roman" w:hAnsi="Times New Roman"/>
        </w:rPr>
        <w:t>2008</w:t>
      </w:r>
      <w:r>
        <w:rPr>
          <w:rFonts w:ascii="Times New Roman" w:hAnsi="Times New Roman"/>
        </w:rPr>
        <w:t>）；</w:t>
      </w:r>
    </w:p>
    <w:p w14:paraId="33F2E52E" w14:textId="77777777" w:rsidR="009C353B" w:rsidRDefault="00000000">
      <w:pPr>
        <w:numPr>
          <w:ilvl w:val="0"/>
          <w:numId w:val="3"/>
        </w:numPr>
        <w:adjustRightInd w:val="0"/>
        <w:snapToGrid w:val="0"/>
        <w:spacing w:line="440" w:lineRule="exact"/>
        <w:rPr>
          <w:rFonts w:ascii="Times New Roman" w:hAnsi="Times New Roman"/>
        </w:rPr>
      </w:pPr>
      <w:r>
        <w:rPr>
          <w:rFonts w:ascii="Times New Roman" w:hAnsi="Times New Roman"/>
        </w:rPr>
        <w:t>《煤炭工业矿区总体规划文件编制标准》（</w:t>
      </w:r>
      <w:r>
        <w:rPr>
          <w:rFonts w:ascii="Times New Roman" w:hAnsi="Times New Roman"/>
        </w:rPr>
        <w:t>GB/T50651</w:t>
      </w:r>
      <w:r>
        <w:rPr>
          <w:rFonts w:ascii="Times New Roman" w:hAnsi="Times New Roman"/>
        </w:rPr>
        <w:t>－</w:t>
      </w:r>
      <w:r>
        <w:rPr>
          <w:rFonts w:ascii="Times New Roman" w:hAnsi="Times New Roman"/>
        </w:rPr>
        <w:t>2011</w:t>
      </w:r>
      <w:r>
        <w:rPr>
          <w:rFonts w:ascii="Times New Roman" w:hAnsi="Times New Roman"/>
        </w:rPr>
        <w:t>）</w:t>
      </w:r>
      <w:r>
        <w:rPr>
          <w:rFonts w:ascii="Times New Roman" w:hAnsi="Times New Roman" w:hint="eastAsia"/>
        </w:rPr>
        <w:t>。</w:t>
      </w:r>
    </w:p>
    <w:p w14:paraId="084EE3B7" w14:textId="77777777" w:rsidR="009C353B" w:rsidRDefault="00000000">
      <w:pPr>
        <w:keepNext/>
        <w:keepLines/>
        <w:spacing w:before="360" w:after="120" w:line="416" w:lineRule="exact"/>
        <w:outlineLvl w:val="2"/>
        <w:rPr>
          <w:rFonts w:ascii="Times New Roman" w:hAnsi="Times New Roman"/>
          <w:b/>
          <w:bCs/>
          <w:szCs w:val="32"/>
        </w:rPr>
      </w:pPr>
      <w:r>
        <w:rPr>
          <w:rFonts w:ascii="Times New Roman" w:hAnsi="Times New Roman"/>
          <w:b/>
          <w:bCs/>
          <w:szCs w:val="32"/>
        </w:rPr>
        <w:lastRenderedPageBreak/>
        <w:t xml:space="preserve">1.2.5 </w:t>
      </w:r>
      <w:r>
        <w:rPr>
          <w:rFonts w:ascii="Times New Roman" w:hAnsi="Times New Roman"/>
          <w:b/>
          <w:bCs/>
          <w:szCs w:val="32"/>
        </w:rPr>
        <w:t>相关规划</w:t>
      </w:r>
    </w:p>
    <w:p w14:paraId="55829A54" w14:textId="77777777" w:rsidR="009C353B" w:rsidRDefault="00000000">
      <w:pPr>
        <w:keepNext/>
        <w:keepLines/>
        <w:spacing w:line="440" w:lineRule="exact"/>
        <w:outlineLvl w:val="3"/>
        <w:rPr>
          <w:rFonts w:ascii="Times New Roman" w:hAnsi="Times New Roman"/>
          <w:b/>
        </w:rPr>
      </w:pPr>
      <w:r>
        <w:rPr>
          <w:rFonts w:ascii="Times New Roman" w:hAnsi="Times New Roman"/>
          <w:b/>
        </w:rPr>
        <w:t xml:space="preserve">1.2.5.1 </w:t>
      </w:r>
      <w:r>
        <w:rPr>
          <w:rFonts w:ascii="Times New Roman" w:hAnsi="Times New Roman"/>
          <w:b/>
        </w:rPr>
        <w:t>国家层次规划</w:t>
      </w:r>
    </w:p>
    <w:p w14:paraId="0E6760DC"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）《中华人民共和国国民经济和社会发展十</w:t>
      </w:r>
      <w:r>
        <w:rPr>
          <w:rFonts w:ascii="Times New Roman" w:hAnsi="Times New Roman" w:hint="eastAsia"/>
          <w:szCs w:val="24"/>
        </w:rPr>
        <w:t>三</w:t>
      </w:r>
      <w:r>
        <w:rPr>
          <w:rFonts w:ascii="Times New Roman" w:hAnsi="Times New Roman"/>
          <w:szCs w:val="24"/>
        </w:rPr>
        <w:t>五规划纲要》，</w:t>
      </w:r>
      <w:r>
        <w:rPr>
          <w:rFonts w:ascii="Times New Roman" w:hAnsi="Times New Roman"/>
          <w:szCs w:val="24"/>
        </w:rPr>
        <w:t>2016-3-16</w:t>
      </w:r>
      <w:r>
        <w:rPr>
          <w:rFonts w:ascii="Times New Roman" w:hAnsi="Times New Roman"/>
          <w:szCs w:val="24"/>
        </w:rPr>
        <w:t>发布；</w:t>
      </w:r>
    </w:p>
    <w:p w14:paraId="2EFB9151"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）《全国主体功能区规划》，</w:t>
      </w:r>
      <w:r>
        <w:rPr>
          <w:rFonts w:ascii="Times New Roman" w:hAnsi="Times New Roman"/>
          <w:szCs w:val="24"/>
        </w:rPr>
        <w:t>2011-6-8</w:t>
      </w:r>
      <w:r>
        <w:rPr>
          <w:rFonts w:ascii="Times New Roman" w:hAnsi="Times New Roman"/>
          <w:szCs w:val="24"/>
        </w:rPr>
        <w:t>发布；</w:t>
      </w:r>
    </w:p>
    <w:p w14:paraId="0402AF84"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3</w:t>
      </w:r>
      <w:r>
        <w:rPr>
          <w:rFonts w:ascii="Times New Roman" w:hAnsi="Times New Roman"/>
          <w:szCs w:val="24"/>
        </w:rPr>
        <w:t>）《全国生态功能区划（修编版）》，</w:t>
      </w:r>
      <w:r>
        <w:rPr>
          <w:rFonts w:ascii="Times New Roman" w:hAnsi="Times New Roman"/>
          <w:szCs w:val="24"/>
        </w:rPr>
        <w:t>2015-11-13</w:t>
      </w:r>
      <w:r>
        <w:rPr>
          <w:rFonts w:ascii="Times New Roman" w:hAnsi="Times New Roman"/>
          <w:szCs w:val="24"/>
        </w:rPr>
        <w:t>发布；</w:t>
      </w:r>
    </w:p>
    <w:p w14:paraId="7613FB5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4</w:t>
      </w:r>
      <w:r>
        <w:rPr>
          <w:rFonts w:ascii="Times New Roman" w:hAnsi="Times New Roman"/>
          <w:szCs w:val="24"/>
        </w:rPr>
        <w:t>）《全国生态脆弱区保护规划纲要》，</w:t>
      </w:r>
      <w:r>
        <w:rPr>
          <w:rFonts w:ascii="Times New Roman" w:hAnsi="Times New Roman"/>
          <w:szCs w:val="24"/>
        </w:rPr>
        <w:t>2008-9-27</w:t>
      </w:r>
      <w:r>
        <w:rPr>
          <w:rFonts w:ascii="Times New Roman" w:hAnsi="Times New Roman"/>
          <w:szCs w:val="24"/>
        </w:rPr>
        <w:t>发布；</w:t>
      </w:r>
    </w:p>
    <w:p w14:paraId="779D649C"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5</w:t>
      </w:r>
      <w:r>
        <w:rPr>
          <w:rFonts w:ascii="Times New Roman" w:hAnsi="Times New Roman"/>
          <w:szCs w:val="24"/>
        </w:rPr>
        <w:t>）《</w:t>
      </w:r>
      <w:r>
        <w:rPr>
          <w:rFonts w:ascii="Times New Roman" w:hAnsi="Times New Roman"/>
          <w:szCs w:val="24"/>
        </w:rPr>
        <w:t>“</w:t>
      </w:r>
      <w:r>
        <w:rPr>
          <w:rFonts w:ascii="Times New Roman" w:hAnsi="Times New Roman"/>
          <w:szCs w:val="24"/>
        </w:rPr>
        <w:t>十三五</w:t>
      </w:r>
      <w:r>
        <w:rPr>
          <w:rFonts w:ascii="Times New Roman" w:hAnsi="Times New Roman"/>
          <w:szCs w:val="24"/>
        </w:rPr>
        <w:t>”</w:t>
      </w:r>
      <w:r>
        <w:rPr>
          <w:rFonts w:ascii="Times New Roman" w:hAnsi="Times New Roman"/>
          <w:szCs w:val="24"/>
        </w:rPr>
        <w:t>生态环境保护规划》，</w:t>
      </w:r>
      <w:r>
        <w:rPr>
          <w:rFonts w:ascii="Times New Roman" w:hAnsi="Times New Roman"/>
          <w:szCs w:val="24"/>
        </w:rPr>
        <w:t>2016-12-5</w:t>
      </w:r>
      <w:r>
        <w:rPr>
          <w:rFonts w:ascii="Times New Roman" w:hAnsi="Times New Roman"/>
          <w:szCs w:val="24"/>
        </w:rPr>
        <w:t>发布；</w:t>
      </w:r>
    </w:p>
    <w:p w14:paraId="6C299D3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6</w:t>
      </w:r>
      <w:r>
        <w:rPr>
          <w:rFonts w:ascii="Times New Roman" w:hAnsi="Times New Roman"/>
          <w:szCs w:val="24"/>
        </w:rPr>
        <w:t>）《</w:t>
      </w:r>
      <w:r>
        <w:rPr>
          <w:rFonts w:ascii="Times New Roman" w:hAnsi="Times New Roman"/>
          <w:szCs w:val="24"/>
        </w:rPr>
        <w:t>“</w:t>
      </w:r>
      <w:r>
        <w:rPr>
          <w:rFonts w:ascii="Times New Roman" w:hAnsi="Times New Roman"/>
          <w:szCs w:val="24"/>
        </w:rPr>
        <w:t>十</w:t>
      </w:r>
      <w:r>
        <w:rPr>
          <w:rFonts w:ascii="Times New Roman" w:hAnsi="Times New Roman" w:hint="eastAsia"/>
          <w:szCs w:val="24"/>
        </w:rPr>
        <w:t>三</w:t>
      </w:r>
      <w:r>
        <w:rPr>
          <w:rFonts w:ascii="Times New Roman" w:hAnsi="Times New Roman"/>
          <w:szCs w:val="24"/>
        </w:rPr>
        <w:t>五</w:t>
      </w:r>
      <w:r>
        <w:rPr>
          <w:rFonts w:ascii="Times New Roman" w:hAnsi="Times New Roman"/>
          <w:szCs w:val="24"/>
        </w:rPr>
        <w:t>”</w:t>
      </w:r>
      <w:r>
        <w:rPr>
          <w:rFonts w:ascii="Times New Roman" w:hAnsi="Times New Roman"/>
          <w:szCs w:val="24"/>
        </w:rPr>
        <w:t>节能减排综合性工作方案》，国发〔</w:t>
      </w:r>
      <w:r>
        <w:rPr>
          <w:rFonts w:ascii="Times New Roman" w:hAnsi="Times New Roman"/>
          <w:szCs w:val="24"/>
        </w:rPr>
        <w:t>2016</w:t>
      </w:r>
      <w:r>
        <w:rPr>
          <w:rFonts w:ascii="Times New Roman" w:hAnsi="Times New Roman"/>
          <w:szCs w:val="24"/>
        </w:rPr>
        <w:t>〕</w:t>
      </w:r>
      <w:r>
        <w:rPr>
          <w:rFonts w:ascii="Times New Roman" w:hAnsi="Times New Roman"/>
          <w:szCs w:val="24"/>
        </w:rPr>
        <w:t>74</w:t>
      </w:r>
      <w:r>
        <w:rPr>
          <w:rFonts w:ascii="Times New Roman" w:hAnsi="Times New Roman"/>
          <w:szCs w:val="24"/>
        </w:rPr>
        <w:t>号，</w:t>
      </w:r>
      <w:r>
        <w:rPr>
          <w:rFonts w:ascii="Times New Roman" w:hAnsi="Times New Roman"/>
          <w:szCs w:val="24"/>
        </w:rPr>
        <w:t>2017-1-5</w:t>
      </w:r>
      <w:r>
        <w:rPr>
          <w:rFonts w:ascii="Times New Roman" w:hAnsi="Times New Roman"/>
          <w:szCs w:val="24"/>
        </w:rPr>
        <w:t>；</w:t>
      </w:r>
    </w:p>
    <w:p w14:paraId="13806FF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7</w:t>
      </w:r>
      <w:r>
        <w:rPr>
          <w:rFonts w:ascii="Times New Roman" w:hAnsi="Times New Roman"/>
          <w:szCs w:val="24"/>
        </w:rPr>
        <w:t>）《全国地下水污染防治规划（</w:t>
      </w:r>
      <w:r>
        <w:rPr>
          <w:rFonts w:ascii="Times New Roman" w:hAnsi="Times New Roman"/>
          <w:szCs w:val="24"/>
        </w:rPr>
        <w:t>2011-2020</w:t>
      </w:r>
      <w:r>
        <w:rPr>
          <w:rFonts w:ascii="Times New Roman" w:hAnsi="Times New Roman"/>
          <w:szCs w:val="24"/>
        </w:rPr>
        <w:t>年）》，</w:t>
      </w:r>
      <w:r>
        <w:rPr>
          <w:rFonts w:ascii="Times New Roman" w:hAnsi="Times New Roman"/>
          <w:szCs w:val="24"/>
        </w:rPr>
        <w:t>2011-10-10</w:t>
      </w:r>
      <w:r>
        <w:rPr>
          <w:rFonts w:ascii="Times New Roman" w:hAnsi="Times New Roman"/>
          <w:szCs w:val="24"/>
        </w:rPr>
        <w:t>发布；</w:t>
      </w:r>
      <w:r>
        <w:rPr>
          <w:rFonts w:ascii="Times New Roman" w:hAnsi="Times New Roman"/>
          <w:szCs w:val="24"/>
        </w:rPr>
        <w:t xml:space="preserve"> </w:t>
      </w:r>
    </w:p>
    <w:p w14:paraId="41551B3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8</w:t>
      </w:r>
      <w:r>
        <w:rPr>
          <w:rFonts w:ascii="Times New Roman" w:hAnsi="Times New Roman"/>
          <w:szCs w:val="24"/>
        </w:rPr>
        <w:t>）《煤炭工业发展</w:t>
      </w:r>
      <w:r>
        <w:rPr>
          <w:rFonts w:ascii="Times New Roman" w:hAnsi="Times New Roman"/>
          <w:szCs w:val="24"/>
        </w:rPr>
        <w:t>“</w:t>
      </w:r>
      <w:r>
        <w:rPr>
          <w:rFonts w:ascii="Times New Roman" w:hAnsi="Times New Roman"/>
          <w:szCs w:val="24"/>
        </w:rPr>
        <w:t>十三五</w:t>
      </w:r>
      <w:r>
        <w:rPr>
          <w:rFonts w:ascii="Times New Roman" w:hAnsi="Times New Roman"/>
          <w:szCs w:val="24"/>
        </w:rPr>
        <w:t>”</w:t>
      </w:r>
      <w:r>
        <w:rPr>
          <w:rFonts w:ascii="Times New Roman" w:hAnsi="Times New Roman"/>
          <w:szCs w:val="24"/>
        </w:rPr>
        <w:t>规划》，</w:t>
      </w:r>
      <w:r>
        <w:rPr>
          <w:rFonts w:ascii="Times New Roman" w:hAnsi="Times New Roman"/>
          <w:szCs w:val="24"/>
        </w:rPr>
        <w:t>2016-12-22</w:t>
      </w:r>
      <w:r>
        <w:rPr>
          <w:rFonts w:ascii="Times New Roman" w:hAnsi="Times New Roman"/>
          <w:szCs w:val="24"/>
        </w:rPr>
        <w:t>发布；</w:t>
      </w:r>
    </w:p>
    <w:p w14:paraId="79030DA9"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9</w:t>
      </w:r>
      <w:r>
        <w:rPr>
          <w:rFonts w:ascii="Times New Roman" w:hAnsi="Times New Roman"/>
          <w:szCs w:val="24"/>
        </w:rPr>
        <w:t>）《大气污染防治行动计划》，</w:t>
      </w:r>
      <w:r>
        <w:rPr>
          <w:rFonts w:ascii="Times New Roman" w:hAnsi="Times New Roman"/>
          <w:szCs w:val="24"/>
        </w:rPr>
        <w:t>2013-9-10</w:t>
      </w:r>
      <w:r>
        <w:rPr>
          <w:rFonts w:ascii="Times New Roman" w:hAnsi="Times New Roman"/>
          <w:szCs w:val="24"/>
        </w:rPr>
        <w:t>；</w:t>
      </w:r>
    </w:p>
    <w:p w14:paraId="052FFB11"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10</w:t>
      </w:r>
      <w:r>
        <w:rPr>
          <w:rFonts w:ascii="Times New Roman" w:hAnsi="Times New Roman"/>
          <w:szCs w:val="24"/>
        </w:rPr>
        <w:t>）《水污染防治行动计划》，</w:t>
      </w:r>
      <w:r>
        <w:rPr>
          <w:rFonts w:ascii="Times New Roman" w:hAnsi="Times New Roman"/>
          <w:szCs w:val="24"/>
        </w:rPr>
        <w:t>2015-4-16</w:t>
      </w:r>
      <w:r>
        <w:rPr>
          <w:rFonts w:ascii="Times New Roman" w:hAnsi="Times New Roman"/>
          <w:szCs w:val="24"/>
        </w:rPr>
        <w:t>发布；</w:t>
      </w:r>
    </w:p>
    <w:p w14:paraId="1CBF7998"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11</w:t>
      </w:r>
      <w:r>
        <w:rPr>
          <w:rFonts w:ascii="Times New Roman" w:hAnsi="Times New Roman"/>
          <w:szCs w:val="24"/>
        </w:rPr>
        <w:t>）《土壤污染防治行动计划》，</w:t>
      </w:r>
      <w:r>
        <w:rPr>
          <w:rFonts w:ascii="Times New Roman" w:hAnsi="Times New Roman"/>
          <w:szCs w:val="24"/>
        </w:rPr>
        <w:t>2016-5-28</w:t>
      </w:r>
      <w:r>
        <w:rPr>
          <w:rFonts w:ascii="Times New Roman" w:hAnsi="Times New Roman"/>
          <w:szCs w:val="24"/>
        </w:rPr>
        <w:t>；</w:t>
      </w:r>
    </w:p>
    <w:p w14:paraId="78A87B75" w14:textId="77777777" w:rsidR="009C353B" w:rsidRDefault="00000000">
      <w:pPr>
        <w:spacing w:line="440" w:lineRule="exact"/>
        <w:ind w:firstLineChars="200" w:firstLine="480"/>
        <w:rPr>
          <w:rFonts w:ascii="Times New Roman" w:hAnsi="Times New Roman"/>
          <w:szCs w:val="24"/>
        </w:rPr>
      </w:pPr>
      <w:r>
        <w:rPr>
          <w:rFonts w:ascii="Times New Roman" w:hAnsi="Times New Roman"/>
        </w:rPr>
        <w:t>（</w:t>
      </w:r>
      <w:r>
        <w:rPr>
          <w:rFonts w:ascii="Times New Roman" w:hAnsi="Times New Roman"/>
        </w:rPr>
        <w:t>12</w:t>
      </w:r>
      <w:r>
        <w:rPr>
          <w:rFonts w:ascii="Times New Roman" w:hAnsi="Times New Roman"/>
        </w:rPr>
        <w:t>）</w:t>
      </w:r>
      <w:r>
        <w:rPr>
          <w:rFonts w:ascii="Times New Roman" w:hAnsi="Times New Roman"/>
          <w:szCs w:val="24"/>
        </w:rPr>
        <w:t>《矿井水利用专项规划》</w:t>
      </w:r>
      <w:r>
        <w:rPr>
          <w:rFonts w:ascii="Times New Roman" w:hAnsi="Times New Roman" w:hint="eastAsia"/>
        </w:rPr>
        <w:t>，</w:t>
      </w:r>
      <w:r>
        <w:rPr>
          <w:rFonts w:ascii="Times New Roman" w:hAnsi="Times New Roman"/>
        </w:rPr>
        <w:t>国家发展和改革委员会，</w:t>
      </w:r>
      <w:r>
        <w:rPr>
          <w:rFonts w:ascii="Times New Roman" w:hAnsi="Times New Roman"/>
        </w:rPr>
        <w:t>2006</w:t>
      </w:r>
      <w:r>
        <w:rPr>
          <w:rFonts w:ascii="Times New Roman" w:hAnsi="Times New Roman" w:hint="eastAsia"/>
        </w:rPr>
        <w:t>-</w:t>
      </w:r>
      <w:r>
        <w:rPr>
          <w:rFonts w:ascii="Times New Roman" w:hAnsi="Times New Roman"/>
        </w:rPr>
        <w:t>12</w:t>
      </w:r>
      <w:r>
        <w:rPr>
          <w:rFonts w:ascii="Times New Roman" w:hAnsi="Times New Roman"/>
        </w:rPr>
        <w:t>；</w:t>
      </w:r>
    </w:p>
    <w:p w14:paraId="72951D0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13</w:t>
      </w:r>
      <w:r>
        <w:rPr>
          <w:rFonts w:ascii="Times New Roman" w:hAnsi="Times New Roman"/>
          <w:szCs w:val="24"/>
        </w:rPr>
        <w:t>）《西部大开发</w:t>
      </w:r>
      <w:r>
        <w:rPr>
          <w:rFonts w:ascii="Times New Roman" w:hAnsi="Times New Roman"/>
          <w:szCs w:val="24"/>
        </w:rPr>
        <w:t>“</w:t>
      </w:r>
      <w:r>
        <w:rPr>
          <w:rFonts w:ascii="Times New Roman" w:hAnsi="Times New Roman"/>
          <w:szCs w:val="24"/>
        </w:rPr>
        <w:t>十三五</w:t>
      </w:r>
      <w:r>
        <w:rPr>
          <w:rFonts w:ascii="Times New Roman" w:hAnsi="Times New Roman"/>
          <w:szCs w:val="24"/>
        </w:rPr>
        <w:t>”</w:t>
      </w:r>
      <w:r>
        <w:rPr>
          <w:rFonts w:ascii="Times New Roman" w:hAnsi="Times New Roman"/>
          <w:szCs w:val="24"/>
        </w:rPr>
        <w:t>规划》，</w:t>
      </w:r>
      <w:r>
        <w:rPr>
          <w:rFonts w:ascii="Times New Roman" w:hAnsi="Times New Roman"/>
          <w:szCs w:val="24"/>
        </w:rPr>
        <w:t>2017-1-17</w:t>
      </w:r>
      <w:r>
        <w:rPr>
          <w:rFonts w:ascii="Times New Roman" w:hAnsi="Times New Roman"/>
          <w:szCs w:val="24"/>
        </w:rPr>
        <w:t>。</w:t>
      </w:r>
    </w:p>
    <w:p w14:paraId="5D879A8A" w14:textId="77777777" w:rsidR="009C353B" w:rsidRDefault="00000000">
      <w:pPr>
        <w:keepNext/>
        <w:keepLines/>
        <w:spacing w:line="440" w:lineRule="exact"/>
        <w:outlineLvl w:val="3"/>
        <w:rPr>
          <w:rFonts w:ascii="Times New Roman" w:hAnsi="Times New Roman"/>
          <w:b/>
        </w:rPr>
      </w:pPr>
      <w:bookmarkStart w:id="5" w:name="_Hlk47639463"/>
      <w:r>
        <w:rPr>
          <w:rFonts w:ascii="Times New Roman" w:hAnsi="Times New Roman"/>
          <w:b/>
        </w:rPr>
        <w:t xml:space="preserve">1.2.5.2 </w:t>
      </w:r>
      <w:r>
        <w:rPr>
          <w:rFonts w:ascii="Times New Roman" w:hAnsi="Times New Roman"/>
          <w:b/>
        </w:rPr>
        <w:t>地方层次规划</w:t>
      </w:r>
    </w:p>
    <w:p w14:paraId="364089DC"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hint="eastAsia"/>
        </w:rPr>
        <w:t>宁夏回族</w:t>
      </w:r>
      <w:r>
        <w:rPr>
          <w:rFonts w:ascii="Times New Roman" w:hAnsi="Times New Roman"/>
        </w:rPr>
        <w:t>自治区国民经济与社会发展第十</w:t>
      </w:r>
      <w:r>
        <w:rPr>
          <w:rFonts w:ascii="Times New Roman" w:hAnsi="Times New Roman" w:hint="eastAsia"/>
        </w:rPr>
        <w:t>三</w:t>
      </w:r>
      <w:r>
        <w:rPr>
          <w:rFonts w:ascii="Times New Roman" w:hAnsi="Times New Roman"/>
        </w:rPr>
        <w:t>个五年规划纲要》</w:t>
      </w:r>
      <w:r>
        <w:rPr>
          <w:rFonts w:ascii="Times New Roman" w:hAnsi="Times New Roman" w:hint="eastAsia"/>
        </w:rPr>
        <w:t>，</w:t>
      </w:r>
      <w:r>
        <w:rPr>
          <w:rFonts w:ascii="Times New Roman" w:hAnsi="Times New Roman"/>
        </w:rPr>
        <w:t>2016-1-15</w:t>
      </w:r>
      <w:r>
        <w:rPr>
          <w:rFonts w:ascii="Times New Roman" w:hAnsi="Times New Roman"/>
        </w:rPr>
        <w:t>发布；</w:t>
      </w:r>
    </w:p>
    <w:p w14:paraId="64F57BB6"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《宁夏回族</w:t>
      </w:r>
      <w:r>
        <w:rPr>
          <w:rFonts w:ascii="Times New Roman" w:hAnsi="Times New Roman"/>
        </w:rPr>
        <w:t>自治区主体功能规划</w:t>
      </w:r>
      <w:r>
        <w:rPr>
          <w:rFonts w:ascii="Times New Roman" w:hAnsi="Times New Roman" w:hint="eastAsia"/>
        </w:rPr>
        <w:t>》；</w:t>
      </w:r>
    </w:p>
    <w:p w14:paraId="3897D733"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《宁夏回族自治区生态功能区划》</w:t>
      </w:r>
    </w:p>
    <w:p w14:paraId="34279073"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hint="eastAsia"/>
        </w:rPr>
        <w:t>宁夏灵武白芨滩</w:t>
      </w:r>
      <w:r>
        <w:rPr>
          <w:rFonts w:ascii="Times New Roman" w:hAnsi="Times New Roman"/>
        </w:rPr>
        <w:t>国家级自然保护区总体规划</w:t>
      </w:r>
      <w:r>
        <w:rPr>
          <w:rFonts w:ascii="Times New Roman" w:hAnsi="Times New Roman" w:hint="eastAsia"/>
        </w:rPr>
        <w:t>（</w:t>
      </w:r>
      <w:r>
        <w:rPr>
          <w:rFonts w:ascii="Times New Roman" w:hAnsi="Times New Roman"/>
        </w:rPr>
        <w:t>2014-2023</w:t>
      </w:r>
      <w:r>
        <w:rPr>
          <w:rFonts w:ascii="Times New Roman" w:hAnsi="Times New Roman" w:hint="eastAsia"/>
        </w:rPr>
        <w:t>）</w:t>
      </w:r>
      <w:r>
        <w:rPr>
          <w:rFonts w:ascii="Times New Roman" w:hAnsi="Times New Roman"/>
        </w:rPr>
        <w:t>》</w:t>
      </w:r>
      <w:r>
        <w:rPr>
          <w:rFonts w:ascii="Times New Roman" w:hAnsi="Times New Roman" w:hint="eastAsia"/>
        </w:rPr>
        <w:t>2</w:t>
      </w:r>
      <w:r>
        <w:rPr>
          <w:rFonts w:ascii="Times New Roman" w:hAnsi="Times New Roman"/>
        </w:rPr>
        <w:t>014</w:t>
      </w:r>
      <w:r>
        <w:rPr>
          <w:rFonts w:ascii="Times New Roman" w:hAnsi="Times New Roman" w:hint="eastAsia"/>
        </w:rPr>
        <w:t>.</w:t>
      </w:r>
      <w:r>
        <w:rPr>
          <w:rFonts w:ascii="Times New Roman" w:hAnsi="Times New Roman"/>
        </w:rPr>
        <w:t>6</w:t>
      </w:r>
      <w:r>
        <w:rPr>
          <w:rFonts w:ascii="Times New Roman" w:hAnsi="Times New Roman" w:hint="eastAsia"/>
        </w:rPr>
        <w:t>；</w:t>
      </w:r>
    </w:p>
    <w:p w14:paraId="6CDD6C35"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《宁夏回族</w:t>
      </w:r>
      <w:r>
        <w:rPr>
          <w:rFonts w:ascii="Times New Roman" w:hAnsi="Times New Roman"/>
        </w:rPr>
        <w:t>自治区环境保护</w:t>
      </w:r>
      <w:r>
        <w:rPr>
          <w:rFonts w:ascii="Times New Roman" w:hAnsi="Times New Roman"/>
        </w:rPr>
        <w:t>“</w:t>
      </w:r>
      <w:r>
        <w:rPr>
          <w:rFonts w:ascii="Times New Roman" w:hAnsi="Times New Roman"/>
        </w:rPr>
        <w:t>十</w:t>
      </w:r>
      <w:r>
        <w:rPr>
          <w:rFonts w:ascii="Times New Roman" w:hAnsi="Times New Roman" w:hint="eastAsia"/>
        </w:rPr>
        <w:t>三</w:t>
      </w:r>
      <w:r>
        <w:rPr>
          <w:rFonts w:ascii="Times New Roman" w:hAnsi="Times New Roman"/>
        </w:rPr>
        <w:t>五</w:t>
      </w:r>
      <w:r>
        <w:rPr>
          <w:rFonts w:ascii="Times New Roman" w:hAnsi="Times New Roman"/>
        </w:rPr>
        <w:t>”</w:t>
      </w:r>
      <w:r>
        <w:rPr>
          <w:rFonts w:ascii="Times New Roman" w:hAnsi="Times New Roman"/>
        </w:rPr>
        <w:t>规划</w:t>
      </w:r>
      <w:r>
        <w:rPr>
          <w:rFonts w:ascii="Times New Roman" w:hAnsi="Times New Roman" w:hint="eastAsia"/>
        </w:rPr>
        <w:t>》，</w:t>
      </w:r>
      <w:r>
        <w:rPr>
          <w:rFonts w:ascii="Times New Roman" w:hAnsi="Times New Roman"/>
        </w:rPr>
        <w:t>2015</w:t>
      </w:r>
      <w:r>
        <w:rPr>
          <w:rFonts w:ascii="Times New Roman" w:hAnsi="Times New Roman" w:hint="eastAsia"/>
        </w:rPr>
        <w:t>；</w:t>
      </w:r>
    </w:p>
    <w:p w14:paraId="058D24B2"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《宁夏回族自治区能源发展“十三五”规划（修订本）》；</w:t>
      </w:r>
    </w:p>
    <w:p w14:paraId="12C56276"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《宁夏回族自治区国家重点生态功能区产业准入负面清单（试行版）》；</w:t>
      </w:r>
    </w:p>
    <w:p w14:paraId="395EF946"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自治区人民政府关于发布宁夏回族自治区生态保护红线的通知</w:t>
      </w:r>
      <w:r>
        <w:rPr>
          <w:rFonts w:ascii="Times New Roman" w:hAnsi="Times New Roman" w:hint="eastAsia"/>
        </w:rPr>
        <w:t xml:space="preserve"> </w:t>
      </w:r>
      <w:r>
        <w:rPr>
          <w:rFonts w:ascii="Times New Roman" w:hAnsi="Times New Roman" w:hint="eastAsia"/>
        </w:rPr>
        <w:t>宁政发〔</w:t>
      </w:r>
      <w:r>
        <w:rPr>
          <w:rFonts w:ascii="Times New Roman" w:hAnsi="Times New Roman" w:hint="eastAsia"/>
        </w:rPr>
        <w:t>2018</w:t>
      </w:r>
      <w:r>
        <w:rPr>
          <w:rFonts w:ascii="Times New Roman" w:hAnsi="Times New Roman" w:hint="eastAsia"/>
        </w:rPr>
        <w:t>〕</w:t>
      </w:r>
      <w:r>
        <w:rPr>
          <w:rFonts w:ascii="Times New Roman" w:hAnsi="Times New Roman" w:hint="eastAsia"/>
        </w:rPr>
        <w:t>23</w:t>
      </w:r>
      <w:r>
        <w:rPr>
          <w:rFonts w:ascii="Times New Roman" w:hAnsi="Times New Roman" w:hint="eastAsia"/>
        </w:rPr>
        <w:t>号，</w:t>
      </w:r>
      <w:r>
        <w:rPr>
          <w:rFonts w:ascii="Times New Roman" w:hAnsi="Times New Roman" w:hint="eastAsia"/>
        </w:rPr>
        <w:t>2</w:t>
      </w:r>
      <w:r>
        <w:rPr>
          <w:rFonts w:ascii="Times New Roman" w:hAnsi="Times New Roman"/>
        </w:rPr>
        <w:t>018.7</w:t>
      </w:r>
      <w:r>
        <w:rPr>
          <w:rFonts w:ascii="Times New Roman" w:hAnsi="Times New Roman" w:hint="eastAsia"/>
        </w:rPr>
        <w:t>；</w:t>
      </w:r>
    </w:p>
    <w:p w14:paraId="0B8DB2F2"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《银川市打赢蓝天保卫战三年行动计划</w:t>
      </w:r>
      <w:r>
        <w:rPr>
          <w:rFonts w:ascii="Times New Roman" w:hAnsi="Times New Roman"/>
        </w:rPr>
        <w:t> </w:t>
      </w:r>
      <w:r>
        <w:rPr>
          <w:rFonts w:ascii="Times New Roman" w:hAnsi="Times New Roman" w:hint="eastAsia"/>
        </w:rPr>
        <w:t>（</w:t>
      </w:r>
      <w:r>
        <w:rPr>
          <w:rFonts w:ascii="Times New Roman" w:hAnsi="Times New Roman"/>
        </w:rPr>
        <w:t>2018</w:t>
      </w:r>
      <w:r>
        <w:rPr>
          <w:rFonts w:ascii="Times New Roman" w:hAnsi="Times New Roman" w:hint="eastAsia"/>
        </w:rPr>
        <w:t>年</w:t>
      </w:r>
      <w:r>
        <w:rPr>
          <w:rFonts w:ascii="Times New Roman" w:hAnsi="Times New Roman"/>
        </w:rPr>
        <w:t>—2020</w:t>
      </w:r>
      <w:r>
        <w:rPr>
          <w:rFonts w:ascii="Times New Roman" w:hAnsi="Times New Roman" w:hint="eastAsia"/>
        </w:rPr>
        <w:t>年）、</w:t>
      </w:r>
      <w:r>
        <w:rPr>
          <w:rFonts w:ascii="Times New Roman" w:hAnsi="Times New Roman" w:hint="eastAsia"/>
        </w:rPr>
        <w:t>2019</w:t>
      </w:r>
      <w:r>
        <w:rPr>
          <w:rFonts w:ascii="Times New Roman" w:hAnsi="Times New Roman" w:hint="eastAsia"/>
        </w:rPr>
        <w:t>年度银川市打赢蓝天保卫战实施方案》；</w:t>
      </w:r>
    </w:p>
    <w:p w14:paraId="5616B073"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《银川市推进净土保卫战三年行动方案（</w:t>
      </w:r>
      <w:r>
        <w:rPr>
          <w:rFonts w:ascii="Times New Roman" w:hAnsi="Times New Roman" w:hint="eastAsia"/>
        </w:rPr>
        <w:t>2018</w:t>
      </w:r>
      <w:r>
        <w:rPr>
          <w:rFonts w:ascii="Times New Roman" w:hAnsi="Times New Roman" w:hint="eastAsia"/>
        </w:rPr>
        <w:t>—</w:t>
      </w:r>
      <w:r>
        <w:rPr>
          <w:rFonts w:ascii="Times New Roman" w:hAnsi="Times New Roman" w:hint="eastAsia"/>
        </w:rPr>
        <w:t>2020</w:t>
      </w:r>
      <w:r>
        <w:rPr>
          <w:rFonts w:ascii="Times New Roman" w:hAnsi="Times New Roman" w:hint="eastAsia"/>
        </w:rPr>
        <w:t>年）》；</w:t>
      </w:r>
    </w:p>
    <w:p w14:paraId="3F7C1101"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2019</w:t>
      </w:r>
      <w:r>
        <w:rPr>
          <w:rFonts w:ascii="Times New Roman" w:hAnsi="Times New Roman" w:hint="eastAsia"/>
        </w:rPr>
        <w:t>年度银川市生态立市战略实施方案》；</w:t>
      </w:r>
    </w:p>
    <w:p w14:paraId="15A53C6A"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lastRenderedPageBreak/>
        <w:t>《灵武市国民经济和社会发展第十三个五年规划纲要》（修订本），</w:t>
      </w:r>
      <w:r>
        <w:rPr>
          <w:rFonts w:ascii="Times New Roman" w:hAnsi="Times New Roman" w:hint="eastAsia"/>
        </w:rPr>
        <w:t>2</w:t>
      </w:r>
      <w:r>
        <w:rPr>
          <w:rFonts w:ascii="Times New Roman" w:hAnsi="Times New Roman"/>
        </w:rPr>
        <w:t>018</w:t>
      </w:r>
      <w:r>
        <w:rPr>
          <w:rFonts w:ascii="Times New Roman" w:hAnsi="Times New Roman" w:hint="eastAsia"/>
        </w:rPr>
        <w:t>年</w:t>
      </w:r>
      <w:r>
        <w:rPr>
          <w:rFonts w:ascii="Times New Roman" w:hAnsi="Times New Roman" w:hint="eastAsia"/>
        </w:rPr>
        <w:t>9</w:t>
      </w:r>
      <w:r>
        <w:rPr>
          <w:rFonts w:ascii="Times New Roman" w:hAnsi="Times New Roman" w:hint="eastAsia"/>
        </w:rPr>
        <w:t>月；</w:t>
      </w:r>
    </w:p>
    <w:p w14:paraId="7F0B7B4E"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《灵武市环境保护“十三五”规划》；</w:t>
      </w:r>
    </w:p>
    <w:p w14:paraId="76866681"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《灵武市土地利用和保护“十三五”规划》；</w:t>
      </w:r>
    </w:p>
    <w:p w14:paraId="1D1756C8"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《灵武市水利发展“十三五”规划》；</w:t>
      </w:r>
    </w:p>
    <w:p w14:paraId="2368EA22"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《灵武市矿产资源总体规划（</w:t>
      </w:r>
      <w:r>
        <w:rPr>
          <w:rFonts w:ascii="Times New Roman" w:hAnsi="Times New Roman" w:hint="eastAsia"/>
        </w:rPr>
        <w:t>2016</w:t>
      </w:r>
      <w:r>
        <w:rPr>
          <w:rFonts w:ascii="Times New Roman" w:hAnsi="Times New Roman" w:hint="eastAsia"/>
        </w:rPr>
        <w:t>—</w:t>
      </w:r>
      <w:r>
        <w:rPr>
          <w:rFonts w:ascii="Times New Roman" w:hAnsi="Times New Roman" w:hint="eastAsia"/>
        </w:rPr>
        <w:t>2020</w:t>
      </w:r>
      <w:r>
        <w:rPr>
          <w:rFonts w:ascii="Times New Roman" w:hAnsi="Times New Roman" w:hint="eastAsia"/>
        </w:rPr>
        <w:t>年）》</w:t>
      </w:r>
    </w:p>
    <w:p w14:paraId="0AEAEC07"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《灵武市综合交通规划》；</w:t>
      </w:r>
    </w:p>
    <w:p w14:paraId="716D7B91"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《灵武市工业发展“十三五”规划》；</w:t>
      </w:r>
    </w:p>
    <w:p w14:paraId="102A5E44"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《宁东供水工程水资源论证报告》；</w:t>
      </w:r>
    </w:p>
    <w:p w14:paraId="446F2275" w14:textId="77777777" w:rsidR="009C353B" w:rsidRDefault="00000000">
      <w:pPr>
        <w:numPr>
          <w:ilvl w:val="0"/>
          <w:numId w:val="4"/>
        </w:numPr>
        <w:adjustRightInd w:val="0"/>
        <w:snapToGrid w:val="0"/>
        <w:spacing w:line="440" w:lineRule="exact"/>
        <w:ind w:firstLineChars="200" w:firstLine="480"/>
        <w:rPr>
          <w:rFonts w:ascii="Times New Roman" w:hAnsi="Times New Roman"/>
        </w:rPr>
      </w:pPr>
      <w:r>
        <w:rPr>
          <w:rFonts w:ascii="Times New Roman" w:hAnsi="Times New Roman" w:hint="eastAsia"/>
        </w:rPr>
        <w:t>《宁东基地现代煤化工产业示范区规划水资源论证报告》。</w:t>
      </w:r>
    </w:p>
    <w:p w14:paraId="7689AE7A" w14:textId="77777777" w:rsidR="009C353B" w:rsidRDefault="00000000">
      <w:pPr>
        <w:keepNext/>
        <w:keepLines/>
        <w:spacing w:before="360" w:after="120" w:line="416" w:lineRule="exact"/>
        <w:outlineLvl w:val="2"/>
        <w:rPr>
          <w:rFonts w:ascii="Times New Roman" w:hAnsi="Times New Roman"/>
          <w:b/>
          <w:bCs/>
          <w:szCs w:val="32"/>
        </w:rPr>
      </w:pPr>
      <w:r>
        <w:rPr>
          <w:rFonts w:ascii="Times New Roman" w:hAnsi="Times New Roman"/>
          <w:b/>
          <w:bCs/>
          <w:szCs w:val="32"/>
        </w:rPr>
        <w:t xml:space="preserve">1.2.6 </w:t>
      </w:r>
      <w:r>
        <w:rPr>
          <w:rFonts w:ascii="Times New Roman" w:hAnsi="Times New Roman"/>
          <w:b/>
          <w:bCs/>
          <w:szCs w:val="32"/>
        </w:rPr>
        <w:t>主要技术资料</w:t>
      </w:r>
    </w:p>
    <w:p w14:paraId="1AF78592" w14:textId="77777777" w:rsidR="009C353B" w:rsidRDefault="00000000">
      <w:pPr>
        <w:adjustRightInd w:val="0"/>
        <w:snapToGrid w:val="0"/>
        <w:spacing w:line="440" w:lineRule="exact"/>
        <w:ind w:firstLineChars="200" w:firstLine="480"/>
        <w:rPr>
          <w:rFonts w:ascii="Times New Roman" w:hAnsi="Times New Roman"/>
        </w:rPr>
      </w:pPr>
      <w:bookmarkStart w:id="6" w:name="_Toc163440975"/>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hint="eastAsia"/>
        </w:rPr>
        <w:t>宁夏回族</w:t>
      </w:r>
      <w:r>
        <w:rPr>
          <w:rFonts w:ascii="Times New Roman" w:hAnsi="Times New Roman"/>
        </w:rPr>
        <w:t>自治区</w:t>
      </w:r>
      <w:r>
        <w:rPr>
          <w:rFonts w:ascii="Times New Roman" w:hAnsi="Times New Roman" w:hint="eastAsia"/>
        </w:rPr>
        <w:t>横城矿区</w:t>
      </w:r>
      <w:r>
        <w:rPr>
          <w:rFonts w:ascii="Times New Roman" w:hAnsi="Times New Roman"/>
        </w:rPr>
        <w:t>总体规划</w:t>
      </w:r>
      <w:r>
        <w:rPr>
          <w:rFonts w:ascii="Times New Roman" w:hAnsi="Times New Roman" w:hint="eastAsia"/>
        </w:rPr>
        <w:t>（修编）</w:t>
      </w:r>
      <w:r>
        <w:rPr>
          <w:rFonts w:ascii="Times New Roman" w:hAnsi="Times New Roman"/>
        </w:rPr>
        <w:t>》，中煤</w:t>
      </w:r>
      <w:r>
        <w:rPr>
          <w:rFonts w:ascii="Times New Roman" w:hAnsi="Times New Roman" w:hint="eastAsia"/>
        </w:rPr>
        <w:t>科工</w:t>
      </w:r>
      <w:r>
        <w:rPr>
          <w:rFonts w:ascii="Times New Roman" w:hAnsi="Times New Roman"/>
        </w:rPr>
        <w:t>集团</w:t>
      </w:r>
      <w:r>
        <w:rPr>
          <w:rFonts w:ascii="Times New Roman" w:hAnsi="Times New Roman" w:hint="eastAsia"/>
        </w:rPr>
        <w:t>北京华宇工程有限公司西安分公司</w:t>
      </w:r>
      <w:r>
        <w:rPr>
          <w:rFonts w:ascii="Times New Roman" w:hAnsi="Times New Roman"/>
        </w:rPr>
        <w:t>，</w:t>
      </w:r>
      <w:r>
        <w:rPr>
          <w:rFonts w:ascii="Times New Roman" w:hAnsi="Times New Roman"/>
        </w:rPr>
        <w:t>2020.6</w:t>
      </w:r>
      <w:r>
        <w:rPr>
          <w:rFonts w:ascii="Times New Roman" w:hAnsi="Times New Roman"/>
        </w:rPr>
        <w:t>；</w:t>
      </w:r>
    </w:p>
    <w:p w14:paraId="24CBE04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hint="eastAsia"/>
        </w:rPr>
        <w:t>宁夏回族</w:t>
      </w:r>
      <w:r>
        <w:rPr>
          <w:rFonts w:ascii="Times New Roman" w:hAnsi="Times New Roman"/>
        </w:rPr>
        <w:t>自治区</w:t>
      </w:r>
      <w:r>
        <w:rPr>
          <w:rFonts w:ascii="Times New Roman" w:hAnsi="Times New Roman" w:hint="eastAsia"/>
        </w:rPr>
        <w:t>灵武</w:t>
      </w:r>
      <w:r>
        <w:rPr>
          <w:rFonts w:ascii="Times New Roman" w:hAnsi="Times New Roman"/>
        </w:rPr>
        <w:t>市</w:t>
      </w:r>
      <w:r>
        <w:rPr>
          <w:rFonts w:ascii="Times New Roman" w:hAnsi="Times New Roman" w:hint="eastAsia"/>
        </w:rPr>
        <w:t>横城矿区煤炭地质资料汇编</w:t>
      </w:r>
      <w:r>
        <w:rPr>
          <w:rFonts w:ascii="Times New Roman" w:hAnsi="Times New Roman"/>
        </w:rPr>
        <w:t>》，</w:t>
      </w:r>
      <w:r>
        <w:rPr>
          <w:rFonts w:hint="eastAsia"/>
        </w:rPr>
        <w:t>宁夏煤炭勘察工程有限公司</w:t>
      </w:r>
      <w:r>
        <w:rPr>
          <w:rFonts w:ascii="Times New Roman" w:hAnsi="Times New Roman"/>
        </w:rPr>
        <w:t>，</w:t>
      </w:r>
      <w:r>
        <w:rPr>
          <w:rFonts w:ascii="Times New Roman" w:hAnsi="Times New Roman"/>
        </w:rPr>
        <w:t>2020.01</w:t>
      </w:r>
      <w:r>
        <w:rPr>
          <w:rFonts w:ascii="Times New Roman" w:hAnsi="Times New Roman"/>
        </w:rPr>
        <w:t>；</w:t>
      </w:r>
    </w:p>
    <w:p w14:paraId="3C6793A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）《宁夏回族自治区灵武县横城勘探区任家庄红石湾井田地质勘探精查报告</w:t>
      </w:r>
      <w:r>
        <w:rPr>
          <w:rFonts w:ascii="Times New Roman" w:hAnsi="Times New Roman" w:hint="eastAsia"/>
        </w:rPr>
        <w:t>(</w:t>
      </w:r>
      <w:r>
        <w:rPr>
          <w:rFonts w:ascii="Times New Roman" w:hAnsi="Times New Roman" w:hint="eastAsia"/>
        </w:rPr>
        <w:t>修编本</w:t>
      </w:r>
      <w:r>
        <w:rPr>
          <w:rFonts w:ascii="Times New Roman" w:hAnsi="Times New Roman" w:hint="eastAsia"/>
        </w:rPr>
        <w:t>)</w:t>
      </w:r>
      <w:r>
        <w:rPr>
          <w:rFonts w:ascii="Times New Roman" w:hAnsi="Times New Roman" w:hint="eastAsia"/>
        </w:rPr>
        <w:t>》</w:t>
      </w:r>
      <w:r>
        <w:rPr>
          <w:rFonts w:ascii="Times New Roman" w:hAnsi="Times New Roman"/>
        </w:rPr>
        <w:t>，</w:t>
      </w:r>
      <w:r>
        <w:rPr>
          <w:rFonts w:ascii="Times New Roman" w:hAnsi="Times New Roman" w:hint="eastAsia"/>
        </w:rPr>
        <w:t>宁夏回族自治区地质调查院</w:t>
      </w:r>
      <w:r>
        <w:rPr>
          <w:rFonts w:ascii="Times New Roman" w:hAnsi="Times New Roman"/>
        </w:rPr>
        <w:t>，</w:t>
      </w:r>
      <w:r>
        <w:rPr>
          <w:rFonts w:ascii="Times New Roman" w:hAnsi="Times New Roman"/>
        </w:rPr>
        <w:t>2006.7</w:t>
      </w:r>
      <w:r>
        <w:rPr>
          <w:rFonts w:ascii="Times New Roman" w:hAnsi="Times New Roman"/>
        </w:rPr>
        <w:t>；</w:t>
      </w:r>
    </w:p>
    <w:p w14:paraId="6C99412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hAnsi="Times New Roman"/>
        </w:rPr>
        <w:t>宁夏回族自治区灵武市横城矿区丁家梁井田南部煤炭勘探报告</w:t>
      </w:r>
      <w:r>
        <w:rPr>
          <w:rFonts w:ascii="Times New Roman" w:hAnsi="Times New Roman" w:hint="eastAsia"/>
        </w:rPr>
        <w:t>》，</w:t>
      </w:r>
      <w:r>
        <w:rPr>
          <w:rFonts w:ascii="Times New Roman" w:hAnsi="Times New Roman"/>
        </w:rPr>
        <w:t>宁夏煤炭勘察工程公司</w:t>
      </w:r>
      <w:r>
        <w:rPr>
          <w:rFonts w:ascii="Times New Roman" w:hAnsi="Times New Roman" w:hint="eastAsia"/>
        </w:rPr>
        <w:t>，</w:t>
      </w:r>
      <w:r>
        <w:rPr>
          <w:rFonts w:ascii="Times New Roman" w:hAnsi="Times New Roman" w:hint="eastAsia"/>
        </w:rPr>
        <w:t>2</w:t>
      </w:r>
      <w:r>
        <w:rPr>
          <w:rFonts w:ascii="Times New Roman" w:hAnsi="Times New Roman"/>
        </w:rPr>
        <w:t>010.6</w:t>
      </w:r>
      <w:r>
        <w:rPr>
          <w:rFonts w:ascii="Times New Roman" w:hAnsi="Times New Roman" w:hint="eastAsia"/>
        </w:rPr>
        <w:t>；</w:t>
      </w:r>
    </w:p>
    <w:p w14:paraId="4E65E8F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w:t>
      </w:r>
      <w:r>
        <w:rPr>
          <w:rFonts w:ascii="Times New Roman" w:hAnsi="Times New Roman" w:hint="eastAsia"/>
        </w:rPr>
        <w:t>宁夏煤业集团有限责任公司任家庄煤矿环评报告书</w:t>
      </w:r>
      <w:r>
        <w:rPr>
          <w:rFonts w:ascii="Times New Roman" w:hAnsi="Times New Roman"/>
        </w:rPr>
        <w:t>》，</w:t>
      </w:r>
      <w:r>
        <w:rPr>
          <w:rFonts w:ascii="Times New Roman" w:hAnsi="Times New Roman" w:hint="eastAsia"/>
        </w:rPr>
        <w:t>煤炭工业西安涉及</w:t>
      </w:r>
      <w:r>
        <w:rPr>
          <w:rFonts w:ascii="Times New Roman" w:hAnsi="Times New Roman"/>
        </w:rPr>
        <w:t>研究院，</w:t>
      </w:r>
      <w:r>
        <w:rPr>
          <w:rFonts w:ascii="Times New Roman" w:hAnsi="Times New Roman"/>
        </w:rPr>
        <w:t>2005.12</w:t>
      </w:r>
      <w:r>
        <w:rPr>
          <w:rFonts w:ascii="Times New Roman" w:hAnsi="Times New Roman"/>
        </w:rPr>
        <w:t>；</w:t>
      </w:r>
    </w:p>
    <w:p w14:paraId="36A7E7C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6</w:t>
      </w:r>
      <w:r>
        <w:rPr>
          <w:rFonts w:ascii="Times New Roman" w:hAnsi="Times New Roman"/>
        </w:rPr>
        <w:t>）</w:t>
      </w:r>
      <w:r>
        <w:rPr>
          <w:rFonts w:ascii="Times New Roman" w:hAnsi="Times New Roman" w:hint="eastAsia"/>
        </w:rPr>
        <w:t>《神华宁夏煤业集团有限责任公司红石湾煤矿项目环境影响报告书》，中煤西安设计工程有限责任公司，</w:t>
      </w:r>
      <w:r>
        <w:rPr>
          <w:rFonts w:ascii="Times New Roman" w:hAnsi="Times New Roman"/>
        </w:rPr>
        <w:t>2008.9</w:t>
      </w:r>
      <w:r>
        <w:rPr>
          <w:rFonts w:ascii="Times New Roman" w:hAnsi="Times New Roman"/>
        </w:rPr>
        <w:t>；</w:t>
      </w:r>
    </w:p>
    <w:p w14:paraId="6273D47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7</w:t>
      </w:r>
      <w:r>
        <w:rPr>
          <w:rFonts w:ascii="Times New Roman" w:hAnsi="Times New Roman"/>
        </w:rPr>
        <w:t>）《</w:t>
      </w:r>
      <w:r>
        <w:rPr>
          <w:rFonts w:ascii="Times New Roman" w:hAnsi="Times New Roman" w:hint="eastAsia"/>
        </w:rPr>
        <w:t>宁夏宝丰投资集团有限公司马莲台煤矿项目</w:t>
      </w:r>
      <w:r>
        <w:rPr>
          <w:rFonts w:ascii="Times New Roman" w:hAnsi="Times New Roman"/>
        </w:rPr>
        <w:t>环境影响报告书》，</w:t>
      </w:r>
      <w:r>
        <w:rPr>
          <w:rFonts w:ascii="Times New Roman" w:hAnsi="Times New Roman" w:hint="eastAsia"/>
        </w:rPr>
        <w:t>山东省环境保护科学研究设计院</w:t>
      </w:r>
      <w:r>
        <w:rPr>
          <w:rFonts w:ascii="Times New Roman" w:hAnsi="Times New Roman"/>
        </w:rPr>
        <w:t>，</w:t>
      </w:r>
      <w:r>
        <w:rPr>
          <w:rFonts w:ascii="Times New Roman" w:hAnsi="Times New Roman"/>
        </w:rPr>
        <w:t>2006.6</w:t>
      </w:r>
      <w:r>
        <w:rPr>
          <w:rFonts w:ascii="Times New Roman" w:hAnsi="Times New Roman"/>
        </w:rPr>
        <w:t>；</w:t>
      </w:r>
    </w:p>
    <w:p w14:paraId="10ABFB1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rPr>
        <w:t>8</w:t>
      </w:r>
      <w:r>
        <w:rPr>
          <w:rFonts w:ascii="Times New Roman" w:hAnsi="Times New Roman" w:hint="eastAsia"/>
        </w:rPr>
        <w:t>）《宁夏宝丰能源集团有限公司丁家梁煤矿项目环境</w:t>
      </w:r>
      <w:r>
        <w:rPr>
          <w:rFonts w:ascii="Times New Roman" w:hAnsi="Times New Roman"/>
        </w:rPr>
        <w:t>影响报告书</w:t>
      </w:r>
      <w:r>
        <w:rPr>
          <w:rFonts w:ascii="Times New Roman" w:hAnsi="Times New Roman" w:hint="eastAsia"/>
        </w:rPr>
        <w:t>》，北京万澈环境科学与工程技术有限责任公司，</w:t>
      </w:r>
      <w:r>
        <w:rPr>
          <w:rFonts w:ascii="Times New Roman" w:hAnsi="Times New Roman" w:hint="eastAsia"/>
        </w:rPr>
        <w:t>2</w:t>
      </w:r>
      <w:r>
        <w:rPr>
          <w:rFonts w:ascii="Times New Roman" w:hAnsi="Times New Roman"/>
        </w:rPr>
        <w:t>012.3</w:t>
      </w:r>
      <w:r>
        <w:rPr>
          <w:rFonts w:ascii="Times New Roman" w:hAnsi="Times New Roman" w:hint="eastAsia"/>
        </w:rPr>
        <w:t>；</w:t>
      </w:r>
    </w:p>
    <w:p w14:paraId="30CD150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9</w:t>
      </w:r>
      <w:r>
        <w:rPr>
          <w:rFonts w:ascii="Times New Roman" w:hAnsi="Times New Roman"/>
        </w:rPr>
        <w:t>）《</w:t>
      </w:r>
      <w:r>
        <w:rPr>
          <w:rFonts w:ascii="Times New Roman" w:hAnsi="Times New Roman" w:hint="eastAsia"/>
        </w:rPr>
        <w:t>任家庄煤矿建设工程竣工环境保护验收调查报告</w:t>
      </w:r>
      <w:r>
        <w:rPr>
          <w:rFonts w:ascii="Times New Roman" w:hAnsi="Times New Roman"/>
        </w:rPr>
        <w:t>》，</w:t>
      </w:r>
      <w:r>
        <w:rPr>
          <w:rFonts w:ascii="Times New Roman" w:hAnsi="Times New Roman" w:hint="eastAsia"/>
        </w:rPr>
        <w:t>环境保护部环境工程评估中心</w:t>
      </w:r>
      <w:r>
        <w:rPr>
          <w:rFonts w:ascii="Times New Roman" w:hAnsi="Times New Roman"/>
        </w:rPr>
        <w:t>，</w:t>
      </w:r>
      <w:r>
        <w:rPr>
          <w:rFonts w:ascii="Times New Roman" w:hAnsi="Times New Roman"/>
        </w:rPr>
        <w:t>2008.12</w:t>
      </w:r>
      <w:r>
        <w:rPr>
          <w:rFonts w:ascii="Times New Roman" w:hAnsi="Times New Roman"/>
        </w:rPr>
        <w:t>；</w:t>
      </w:r>
    </w:p>
    <w:p w14:paraId="46AC555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10</w:t>
      </w:r>
      <w:r>
        <w:rPr>
          <w:rFonts w:ascii="Times New Roman" w:hAnsi="Times New Roman"/>
        </w:rPr>
        <w:t>）</w:t>
      </w:r>
      <w:r>
        <w:rPr>
          <w:rFonts w:ascii="Times New Roman" w:hAnsi="Times New Roman" w:hint="eastAsia"/>
        </w:rPr>
        <w:t>《神华宁夏煤业集团红石湾煤矿有限责任公司红石湾煤矿项目竣工环境保护</w:t>
      </w:r>
      <w:r>
        <w:rPr>
          <w:rFonts w:ascii="Times New Roman" w:hAnsi="Times New Roman" w:hint="eastAsia"/>
        </w:rPr>
        <w:lastRenderedPageBreak/>
        <w:t>验收调查报告》，宁夏回族自治区石油化工环境科学研究院（有限公司），</w:t>
      </w:r>
      <w:r>
        <w:rPr>
          <w:rFonts w:ascii="Times New Roman" w:hAnsi="Times New Roman" w:hint="eastAsia"/>
        </w:rPr>
        <w:t>2</w:t>
      </w:r>
      <w:r>
        <w:rPr>
          <w:rFonts w:ascii="Times New Roman" w:hAnsi="Times New Roman"/>
        </w:rPr>
        <w:t>012.11</w:t>
      </w:r>
      <w:r>
        <w:rPr>
          <w:rFonts w:ascii="Times New Roman" w:hAnsi="Times New Roman" w:hint="eastAsia"/>
        </w:rPr>
        <w:t>；</w:t>
      </w:r>
    </w:p>
    <w:p w14:paraId="5C5262A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11</w:t>
      </w:r>
      <w:r>
        <w:rPr>
          <w:rFonts w:ascii="Times New Roman" w:hAnsi="Times New Roman"/>
        </w:rPr>
        <w:t>）《</w:t>
      </w:r>
      <w:r>
        <w:rPr>
          <w:rFonts w:ascii="Times New Roman" w:hAnsi="Times New Roman" w:hint="eastAsia"/>
        </w:rPr>
        <w:t>宁夏宝丰能源集团有限公司马莲台煤矿项目竣工环境保护验收调查报告</w:t>
      </w:r>
      <w:r>
        <w:rPr>
          <w:rFonts w:ascii="Times New Roman" w:hAnsi="Times New Roman"/>
        </w:rPr>
        <w:t>》，</w:t>
      </w:r>
      <w:r>
        <w:rPr>
          <w:rFonts w:ascii="Times New Roman" w:hAnsi="Times New Roman" w:hint="eastAsia"/>
        </w:rPr>
        <w:t>中国</w:t>
      </w:r>
      <w:r>
        <w:rPr>
          <w:rFonts w:ascii="Times New Roman" w:hAnsi="Times New Roman"/>
        </w:rPr>
        <w:t>环境科学研究院，</w:t>
      </w:r>
      <w:r>
        <w:rPr>
          <w:rFonts w:ascii="Times New Roman" w:hAnsi="Times New Roman"/>
        </w:rPr>
        <w:t>2009.12</w:t>
      </w:r>
      <w:r>
        <w:rPr>
          <w:rFonts w:ascii="Times New Roman" w:hAnsi="Times New Roman"/>
        </w:rPr>
        <w:t>；</w:t>
      </w:r>
    </w:p>
    <w:p w14:paraId="5F9FE3D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rPr>
        <w:t>2</w:t>
      </w:r>
      <w:r>
        <w:rPr>
          <w:rFonts w:ascii="Times New Roman" w:hAnsi="Times New Roman" w:hint="eastAsia"/>
        </w:rPr>
        <w:t>）《任家庄煤矿现状环境影响评估报告》，中材地质工程勘察研究院有限公司，</w:t>
      </w:r>
      <w:r>
        <w:rPr>
          <w:rFonts w:ascii="Times New Roman" w:hAnsi="Times New Roman"/>
        </w:rPr>
        <w:t>2016.12</w:t>
      </w:r>
      <w:r>
        <w:rPr>
          <w:rFonts w:ascii="Times New Roman" w:hAnsi="Times New Roman" w:hint="eastAsia"/>
        </w:rPr>
        <w:t>；</w:t>
      </w:r>
    </w:p>
    <w:p w14:paraId="13F5291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rPr>
        <w:t>3</w:t>
      </w:r>
      <w:r>
        <w:rPr>
          <w:rFonts w:ascii="Times New Roman" w:hAnsi="Times New Roman" w:hint="eastAsia"/>
        </w:rPr>
        <w:t>）《神华宁夏煤业集团红石湾煤矿生产能力核定项目环境影响报告书》，宁夏石油化工环境科学研究院股份有限公司，</w:t>
      </w:r>
      <w:r>
        <w:rPr>
          <w:rFonts w:ascii="Times New Roman" w:hAnsi="Times New Roman" w:hint="eastAsia"/>
        </w:rPr>
        <w:t>2</w:t>
      </w:r>
      <w:r>
        <w:rPr>
          <w:rFonts w:ascii="Times New Roman" w:hAnsi="Times New Roman"/>
        </w:rPr>
        <w:t>020.4</w:t>
      </w:r>
      <w:r>
        <w:rPr>
          <w:rFonts w:ascii="Times New Roman" w:hAnsi="Times New Roman" w:hint="eastAsia"/>
        </w:rPr>
        <w:t>；</w:t>
      </w:r>
    </w:p>
    <w:p w14:paraId="3F35493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rPr>
        <w:t>4</w:t>
      </w:r>
      <w:r>
        <w:rPr>
          <w:rFonts w:ascii="Times New Roman" w:hAnsi="Times New Roman" w:hint="eastAsia"/>
        </w:rPr>
        <w:t>）</w:t>
      </w:r>
      <w:r>
        <w:rPr>
          <w:rFonts w:ascii="Times New Roman" w:hAnsi="Times New Roman"/>
        </w:rPr>
        <w:t>《</w:t>
      </w:r>
      <w:r>
        <w:rPr>
          <w:rFonts w:ascii="Times New Roman" w:hAnsi="Times New Roman" w:hint="eastAsia"/>
        </w:rPr>
        <w:t>宁夏宝丰能源集团有限公司马莲台煤矿项目现状环境影响评估报告</w:t>
      </w:r>
      <w:r>
        <w:rPr>
          <w:rFonts w:ascii="Times New Roman" w:hAnsi="Times New Roman"/>
        </w:rPr>
        <w:t>》，</w:t>
      </w:r>
      <w:r>
        <w:rPr>
          <w:rFonts w:ascii="Times New Roman" w:hAnsi="Times New Roman" w:hint="eastAsia"/>
        </w:rPr>
        <w:t>兰州洁华环境评价咨询有限公司</w:t>
      </w:r>
      <w:r>
        <w:rPr>
          <w:rFonts w:ascii="Times New Roman" w:hAnsi="Times New Roman"/>
        </w:rPr>
        <w:t>，</w:t>
      </w:r>
      <w:r>
        <w:rPr>
          <w:rFonts w:ascii="Times New Roman" w:hAnsi="Times New Roman"/>
        </w:rPr>
        <w:t>2016.4</w:t>
      </w:r>
      <w:r>
        <w:rPr>
          <w:rFonts w:ascii="Times New Roman" w:hAnsi="Times New Roman"/>
        </w:rPr>
        <w:t>；</w:t>
      </w:r>
    </w:p>
    <w:p w14:paraId="7A46AD3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rPr>
        <w:t>5</w:t>
      </w:r>
      <w:r>
        <w:rPr>
          <w:rFonts w:ascii="Times New Roman" w:hAnsi="Times New Roman" w:hint="eastAsia"/>
        </w:rPr>
        <w:t>）《宁东能源化工基地现代煤化工产业示范区总体规划》；</w:t>
      </w:r>
    </w:p>
    <w:p w14:paraId="047079A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rPr>
        <w:t>6</w:t>
      </w:r>
      <w:r>
        <w:rPr>
          <w:rFonts w:ascii="Times New Roman" w:hAnsi="Times New Roman" w:hint="eastAsia"/>
        </w:rPr>
        <w:t>）《关于宁东能源化工基地现代煤化工产业示范区总体规划的批复》（宁政函〔</w:t>
      </w:r>
      <w:r>
        <w:rPr>
          <w:rFonts w:ascii="Times New Roman" w:hAnsi="Times New Roman" w:hint="eastAsia"/>
        </w:rPr>
        <w:t>201</w:t>
      </w:r>
      <w:r>
        <w:rPr>
          <w:rFonts w:ascii="Times New Roman" w:hAnsi="Times New Roman"/>
        </w:rPr>
        <w:t>9</w:t>
      </w:r>
      <w:r>
        <w:rPr>
          <w:rFonts w:ascii="Times New Roman" w:hAnsi="Times New Roman" w:hint="eastAsia"/>
        </w:rPr>
        <w:t>〕</w:t>
      </w:r>
      <w:r>
        <w:rPr>
          <w:rFonts w:ascii="Times New Roman" w:hAnsi="Times New Roman" w:hint="eastAsia"/>
        </w:rPr>
        <w:t>49</w:t>
      </w:r>
      <w:r>
        <w:rPr>
          <w:rFonts w:ascii="Times New Roman" w:hAnsi="Times New Roman" w:hint="eastAsia"/>
        </w:rPr>
        <w:t>号），宁夏回族自治区人民政府；</w:t>
      </w:r>
    </w:p>
    <w:p w14:paraId="69F74DE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rPr>
        <w:t>7</w:t>
      </w:r>
      <w:r>
        <w:rPr>
          <w:rFonts w:ascii="Times New Roman" w:hAnsi="Times New Roman" w:hint="eastAsia"/>
        </w:rPr>
        <w:t>）《宁东能源化工基地现代煤化工产业示范区总体规划环境影响报告书》；</w:t>
      </w:r>
    </w:p>
    <w:p w14:paraId="4F73D7F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rPr>
        <w:t>8</w:t>
      </w:r>
      <w:r>
        <w:rPr>
          <w:rFonts w:ascii="Times New Roman" w:hAnsi="Times New Roman" w:hint="eastAsia"/>
        </w:rPr>
        <w:t>）《关于宁东能源化工基地现代煤化工产业示范区总体规划环境影响报告书的批复》（宁环环评函〔</w:t>
      </w:r>
      <w:r>
        <w:rPr>
          <w:rFonts w:ascii="Times New Roman" w:hAnsi="Times New Roman" w:hint="eastAsia"/>
        </w:rPr>
        <w:t>201</w:t>
      </w:r>
      <w:r>
        <w:rPr>
          <w:rFonts w:ascii="Times New Roman" w:hAnsi="Times New Roman"/>
        </w:rPr>
        <w:t>9</w:t>
      </w:r>
      <w:r>
        <w:rPr>
          <w:rFonts w:ascii="Times New Roman" w:hAnsi="Times New Roman" w:hint="eastAsia"/>
        </w:rPr>
        <w:t>〕</w:t>
      </w:r>
      <w:r>
        <w:rPr>
          <w:rFonts w:ascii="Times New Roman" w:hAnsi="Times New Roman"/>
        </w:rPr>
        <w:t>104</w:t>
      </w:r>
      <w:r>
        <w:rPr>
          <w:rFonts w:ascii="Times New Roman" w:hAnsi="Times New Roman" w:hint="eastAsia"/>
        </w:rPr>
        <w:t>号），宁夏回族自治区生态环境厅；</w:t>
      </w:r>
    </w:p>
    <w:p w14:paraId="2A317BD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rPr>
        <w:t>9</w:t>
      </w:r>
      <w:r>
        <w:rPr>
          <w:rFonts w:ascii="Times New Roman" w:hAnsi="Times New Roman" w:hint="eastAsia"/>
        </w:rPr>
        <w:t>）《宁东能源化工基地“十三五”开发总体规划》；</w:t>
      </w:r>
    </w:p>
    <w:p w14:paraId="4768E82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rPr>
        <w:t>0</w:t>
      </w:r>
      <w:r>
        <w:rPr>
          <w:rFonts w:ascii="Times New Roman" w:hAnsi="Times New Roman" w:hint="eastAsia"/>
        </w:rPr>
        <w:t>）《关于宁东能源化工基地“十三五”开发总体规划的批复》（宁政函〔</w:t>
      </w:r>
      <w:r>
        <w:rPr>
          <w:rFonts w:ascii="Times New Roman" w:hAnsi="Times New Roman" w:hint="eastAsia"/>
        </w:rPr>
        <w:t>2017</w:t>
      </w:r>
      <w:r>
        <w:rPr>
          <w:rFonts w:ascii="Times New Roman" w:hAnsi="Times New Roman" w:hint="eastAsia"/>
        </w:rPr>
        <w:t>〕</w:t>
      </w:r>
      <w:r>
        <w:rPr>
          <w:rFonts w:ascii="Times New Roman" w:hAnsi="Times New Roman" w:hint="eastAsia"/>
        </w:rPr>
        <w:t>25</w:t>
      </w:r>
      <w:r>
        <w:rPr>
          <w:rFonts w:ascii="Times New Roman" w:hAnsi="Times New Roman" w:hint="eastAsia"/>
        </w:rPr>
        <w:t>号），宁夏回族自治区人民政府；</w:t>
      </w:r>
    </w:p>
    <w:p w14:paraId="1E9E31F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rPr>
        <w:t>1</w:t>
      </w:r>
      <w:r>
        <w:rPr>
          <w:rFonts w:ascii="Times New Roman" w:hAnsi="Times New Roman" w:hint="eastAsia"/>
        </w:rPr>
        <w:t>）《宁东能源化工基地“十三五”开发总体规划环境影响评价书》</w:t>
      </w:r>
      <w:r>
        <w:rPr>
          <w:rFonts w:ascii="Times New Roman" w:hAnsi="Times New Roman" w:hint="eastAsia"/>
        </w:rPr>
        <w:t>2</w:t>
      </w:r>
      <w:r>
        <w:rPr>
          <w:rFonts w:ascii="Times New Roman" w:hAnsi="Times New Roman"/>
        </w:rPr>
        <w:t>019.9</w:t>
      </w:r>
      <w:r>
        <w:rPr>
          <w:rFonts w:ascii="Times New Roman" w:hAnsi="Times New Roman" w:hint="eastAsia"/>
        </w:rPr>
        <w:t>。</w:t>
      </w:r>
    </w:p>
    <w:p w14:paraId="35EF09B3" w14:textId="77777777" w:rsidR="009C353B" w:rsidRDefault="00000000">
      <w:pPr>
        <w:pStyle w:val="2"/>
        <w:snapToGrid w:val="0"/>
        <w:spacing w:line="440" w:lineRule="exact"/>
        <w:rPr>
          <w:rFonts w:ascii="Times New Roman" w:eastAsia="宋体" w:hAnsi="Times New Roman"/>
          <w:b/>
          <w:sz w:val="28"/>
        </w:rPr>
      </w:pPr>
      <w:bookmarkStart w:id="7" w:name="_Toc59189814"/>
      <w:bookmarkEnd w:id="5"/>
      <w:r>
        <w:rPr>
          <w:rFonts w:ascii="Times New Roman" w:eastAsia="宋体" w:hAnsi="Times New Roman"/>
          <w:b/>
          <w:sz w:val="28"/>
        </w:rPr>
        <w:t xml:space="preserve">1.3 </w:t>
      </w:r>
      <w:r>
        <w:rPr>
          <w:rFonts w:ascii="Times New Roman" w:eastAsia="宋体" w:hAnsi="Times New Roman"/>
          <w:b/>
          <w:sz w:val="28"/>
        </w:rPr>
        <w:t>评价目的与原则</w:t>
      </w:r>
      <w:bookmarkEnd w:id="6"/>
      <w:bookmarkEnd w:id="7"/>
    </w:p>
    <w:p w14:paraId="2E53EA60"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1.3.1 </w:t>
      </w:r>
      <w:r>
        <w:rPr>
          <w:rFonts w:ascii="Times New Roman"/>
          <w:sz w:val="24"/>
        </w:rPr>
        <w:t>评价目的</w:t>
      </w:r>
    </w:p>
    <w:p w14:paraId="64533040"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实施可持续发展战略，在煤炭工业矿区总体规划编制和决策过程中，充分考虑所拟议的矿区总体规划可能涉及的环境问题，预防规划实施后可能造成的不良环境影响，合理安排煤炭生产力的布局、开采顺序以及开发规模，使煤炭开采能在资源、环境承载能力的基础上有序、和谐发展，促使经济增长、社会进步与环境保护关系协调发展。</w:t>
      </w:r>
    </w:p>
    <w:p w14:paraId="666EFD1C"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1.3.2 </w:t>
      </w:r>
      <w:r>
        <w:rPr>
          <w:rFonts w:ascii="Times New Roman"/>
          <w:sz w:val="24"/>
        </w:rPr>
        <w:t>评价原则</w:t>
      </w:r>
    </w:p>
    <w:p w14:paraId="4AF110A9"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为使矿区规划在编制和决策中实现经济增长、社会进步与环境保护协调发展，评价应遵循以下原则：</w:t>
      </w:r>
    </w:p>
    <w:p w14:paraId="1D18F60B"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t>（</w:t>
      </w:r>
      <w:r>
        <w:rPr>
          <w:rFonts w:ascii="Times New Roman" w:hAnsi="Times New Roman"/>
          <w:b/>
          <w:szCs w:val="24"/>
        </w:rPr>
        <w:t>1</w:t>
      </w:r>
      <w:r>
        <w:rPr>
          <w:rFonts w:ascii="Times New Roman" w:hAnsi="Times New Roman"/>
          <w:b/>
          <w:szCs w:val="24"/>
        </w:rPr>
        <w:t>）重点突出原则</w:t>
      </w:r>
    </w:p>
    <w:p w14:paraId="61A3C4E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突出煤炭开发的环境影响特征及区域主要环境制约因素分析，包括矿区项目建设、</w:t>
      </w:r>
      <w:r>
        <w:rPr>
          <w:rFonts w:ascii="Times New Roman" w:hAnsi="Times New Roman"/>
        </w:rPr>
        <w:lastRenderedPageBreak/>
        <w:t>煤炭开采对自然保护区、</w:t>
      </w:r>
      <w:r>
        <w:rPr>
          <w:rFonts w:ascii="Times New Roman" w:hAnsi="Times New Roman" w:hint="eastAsia"/>
        </w:rPr>
        <w:t>荒漠</w:t>
      </w:r>
      <w:r>
        <w:rPr>
          <w:rFonts w:ascii="Times New Roman" w:hAnsi="Times New Roman"/>
        </w:rPr>
        <w:t>草原生态系统稳定性的影响分析，区域水资源承载能力分析等。</w:t>
      </w:r>
    </w:p>
    <w:p w14:paraId="62C4F77A"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t>（</w:t>
      </w:r>
      <w:r>
        <w:rPr>
          <w:rFonts w:ascii="Times New Roman" w:hAnsi="Times New Roman"/>
          <w:b/>
          <w:szCs w:val="24"/>
        </w:rPr>
        <w:t>2</w:t>
      </w:r>
      <w:r>
        <w:rPr>
          <w:rFonts w:ascii="Times New Roman" w:hAnsi="Times New Roman"/>
          <w:b/>
          <w:szCs w:val="24"/>
        </w:rPr>
        <w:t>）一致性原则</w:t>
      </w:r>
    </w:p>
    <w:p w14:paraId="3956FA4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评价工作深度与规划层次、详尽程度相一致，强调矿区总体规划目标与国家相关环境保护法律法规、产业政策以及地方和部门有关生态、环保规划的协调性、公平性和均衡性。同时要保证规划环评的层次、工作内容深度、详尽程度与矿区总体规划保持一致。</w:t>
      </w:r>
    </w:p>
    <w:p w14:paraId="58CD6D42"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t>（</w:t>
      </w:r>
      <w:r>
        <w:rPr>
          <w:rFonts w:ascii="Times New Roman" w:hAnsi="Times New Roman"/>
          <w:b/>
          <w:szCs w:val="24"/>
        </w:rPr>
        <w:t>3</w:t>
      </w:r>
      <w:r>
        <w:rPr>
          <w:rFonts w:ascii="Times New Roman" w:hAnsi="Times New Roman"/>
          <w:b/>
          <w:szCs w:val="24"/>
        </w:rPr>
        <w:t>）可操作性原则</w:t>
      </w:r>
    </w:p>
    <w:p w14:paraId="5BE55E8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尽可能选择简单、实用、经过实践检验可行的评价方法，充分利用已有工作成果，执行总结应具有较强的可操作性。</w:t>
      </w:r>
    </w:p>
    <w:p w14:paraId="09687448"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t>（</w:t>
      </w:r>
      <w:r>
        <w:rPr>
          <w:rFonts w:ascii="Times New Roman" w:hAnsi="Times New Roman"/>
          <w:b/>
          <w:szCs w:val="24"/>
        </w:rPr>
        <w:t>4</w:t>
      </w:r>
      <w:r>
        <w:rPr>
          <w:rFonts w:ascii="Times New Roman" w:hAnsi="Times New Roman"/>
          <w:b/>
          <w:szCs w:val="24"/>
        </w:rPr>
        <w:t>）公众参与原则</w:t>
      </w:r>
    </w:p>
    <w:p w14:paraId="07419EB7" w14:textId="77777777" w:rsidR="009C353B" w:rsidRDefault="00000000">
      <w:pPr>
        <w:pStyle w:val="1fd"/>
        <w:adjustRightInd w:val="0"/>
        <w:snapToGrid w:val="0"/>
        <w:spacing w:line="440" w:lineRule="exact"/>
        <w:rPr>
          <w:rFonts w:ascii="Times New Roman" w:eastAsia="宋体" w:hAnsi="Times New Roman"/>
        </w:rPr>
      </w:pPr>
      <w:r>
        <w:rPr>
          <w:rFonts w:ascii="Times New Roman" w:eastAsia="宋体" w:hAnsi="Times New Roman"/>
        </w:rPr>
        <w:t>在规划环评的过程中开展公众参与，充分考虑社会各方面的利益和主张。</w:t>
      </w:r>
    </w:p>
    <w:p w14:paraId="7B727A90" w14:textId="77777777" w:rsidR="009C353B" w:rsidRDefault="00000000">
      <w:pPr>
        <w:pStyle w:val="2"/>
        <w:snapToGrid w:val="0"/>
        <w:spacing w:line="440" w:lineRule="exact"/>
        <w:rPr>
          <w:rFonts w:ascii="Times New Roman" w:eastAsia="宋体" w:hAnsi="Times New Roman"/>
          <w:b/>
          <w:sz w:val="28"/>
        </w:rPr>
      </w:pPr>
      <w:bookmarkStart w:id="8" w:name="_Toc163440976"/>
      <w:bookmarkStart w:id="9" w:name="_Toc59189815"/>
      <w:r>
        <w:rPr>
          <w:rFonts w:ascii="Times New Roman" w:eastAsia="宋体" w:hAnsi="Times New Roman"/>
          <w:b/>
          <w:sz w:val="28"/>
        </w:rPr>
        <w:t xml:space="preserve">1.4 </w:t>
      </w:r>
      <w:r>
        <w:rPr>
          <w:rFonts w:ascii="Times New Roman" w:eastAsia="宋体" w:hAnsi="Times New Roman"/>
          <w:b/>
          <w:sz w:val="28"/>
        </w:rPr>
        <w:t>评价范围</w:t>
      </w:r>
      <w:bookmarkEnd w:id="8"/>
      <w:bookmarkEnd w:id="9"/>
    </w:p>
    <w:p w14:paraId="71D4ED5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snapToGrid w:val="0"/>
          <w:kern w:val="0"/>
        </w:rPr>
        <w:t>横城矿区总体规划（修编）中规划</w:t>
      </w:r>
      <w:r>
        <w:rPr>
          <w:rFonts w:ascii="Times New Roman"/>
          <w:snapToGrid w:val="0"/>
          <w:kern w:val="0"/>
        </w:rPr>
        <w:t>矿区</w:t>
      </w:r>
      <w:r>
        <w:rPr>
          <w:rFonts w:ascii="Times New Roman" w:hint="eastAsia"/>
          <w:snapToGrid w:val="0"/>
          <w:kern w:val="0"/>
        </w:rPr>
        <w:t>总</w:t>
      </w:r>
      <w:r>
        <w:rPr>
          <w:rFonts w:ascii="Times New Roman"/>
          <w:snapToGrid w:val="0"/>
          <w:kern w:val="0"/>
        </w:rPr>
        <w:t>面积</w:t>
      </w:r>
      <w:r>
        <w:rPr>
          <w:rFonts w:ascii="Times New Roman" w:hAnsi="Times New Roman"/>
          <w:snapToGrid w:val="0"/>
          <w:kern w:val="0"/>
        </w:rPr>
        <w:t>86km</w:t>
      </w:r>
      <w:r>
        <w:rPr>
          <w:rFonts w:ascii="Times New Roman" w:hAnsi="Times New Roman"/>
          <w:snapToGrid w:val="0"/>
          <w:kern w:val="0"/>
          <w:vertAlign w:val="superscript"/>
        </w:rPr>
        <w:t>2</w:t>
      </w:r>
      <w:r>
        <w:rPr>
          <w:rFonts w:ascii="Times New Roman"/>
          <w:snapToGrid w:val="0"/>
          <w:kern w:val="0"/>
        </w:rPr>
        <w:t>。</w:t>
      </w:r>
      <w:r>
        <w:rPr>
          <w:rFonts w:ascii="Times New Roman"/>
        </w:rPr>
        <w:t>依据相应环境评价技术导则和规范要求，确定本规划环境影响评价各环境要素评价范围见表</w:t>
      </w:r>
      <w:r>
        <w:rPr>
          <w:rFonts w:ascii="Times New Roman" w:hAnsi="Times New Roman"/>
        </w:rPr>
        <w:t>1.4-1</w:t>
      </w:r>
      <w:r>
        <w:rPr>
          <w:rFonts w:ascii="Times New Roman"/>
        </w:rPr>
        <w:t>。</w:t>
      </w:r>
    </w:p>
    <w:p w14:paraId="10A1BC02" w14:textId="77777777" w:rsidR="009C353B" w:rsidRDefault="00000000">
      <w:pPr>
        <w:pStyle w:val="affffff0"/>
        <w:adjustRightInd w:val="0"/>
        <w:spacing w:beforeLines="50" w:before="120" w:line="440" w:lineRule="exact"/>
        <w:ind w:firstLine="198"/>
        <w:jc w:val="center"/>
        <w:rPr>
          <w:rFonts w:ascii="Times New Roman" w:hAnsi="Times New Roman"/>
          <w:kern w:val="0"/>
        </w:rPr>
      </w:pPr>
      <w:r>
        <w:rPr>
          <w:rFonts w:ascii="Times New Roman" w:hint="eastAsia"/>
          <w:kern w:val="0"/>
        </w:rPr>
        <w:t>横城矿区</w:t>
      </w:r>
      <w:r>
        <w:rPr>
          <w:rFonts w:ascii="Times New Roman"/>
          <w:kern w:val="0"/>
        </w:rPr>
        <w:t>总体规划</w:t>
      </w:r>
      <w:r>
        <w:rPr>
          <w:rFonts w:ascii="Times New Roman" w:hint="eastAsia"/>
          <w:kern w:val="0"/>
        </w:rPr>
        <w:t>（修编）</w:t>
      </w:r>
      <w:r>
        <w:rPr>
          <w:rFonts w:ascii="Times New Roman"/>
          <w:kern w:val="0"/>
        </w:rPr>
        <w:t>环境影响评价范围一览表</w:t>
      </w:r>
    </w:p>
    <w:p w14:paraId="27B66262" w14:textId="77777777" w:rsidR="009C353B" w:rsidRDefault="00000000">
      <w:pPr>
        <w:pStyle w:val="affffd"/>
        <w:spacing w:line="440" w:lineRule="exact"/>
        <w:ind w:firstLine="198"/>
        <w:rPr>
          <w:rFonts w:ascii="Times New Roman" w:hAnsi="Times New Roman"/>
        </w:rPr>
      </w:pPr>
      <w:r>
        <w:rPr>
          <w:rFonts w:ascii="Times New Roman"/>
        </w:rPr>
        <w:t>表</w:t>
      </w:r>
      <w:r>
        <w:rPr>
          <w:rFonts w:ascii="Times New Roman" w:hAnsi="Times New Roman"/>
        </w:rPr>
        <w:t>1.4-1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4"/>
        <w:gridCol w:w="2025"/>
        <w:gridCol w:w="6482"/>
      </w:tblGrid>
      <w:tr w:rsidR="009C353B" w14:paraId="0F4A7661" w14:textId="77777777">
        <w:trPr>
          <w:trHeight w:val="340"/>
          <w:tblHeader/>
        </w:trPr>
        <w:tc>
          <w:tcPr>
            <w:tcW w:w="316" w:type="pct"/>
            <w:shd w:val="clear" w:color="auto" w:fill="auto"/>
            <w:vAlign w:val="center"/>
          </w:tcPr>
          <w:p w14:paraId="1AE91249"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评价要素</w:t>
            </w:r>
          </w:p>
        </w:tc>
        <w:tc>
          <w:tcPr>
            <w:tcW w:w="1115" w:type="pct"/>
            <w:shd w:val="clear" w:color="auto" w:fill="auto"/>
            <w:vAlign w:val="center"/>
          </w:tcPr>
          <w:p w14:paraId="7A6F3556"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评价内容</w:t>
            </w:r>
          </w:p>
        </w:tc>
        <w:tc>
          <w:tcPr>
            <w:tcW w:w="3569" w:type="pct"/>
            <w:shd w:val="clear" w:color="auto" w:fill="auto"/>
            <w:vAlign w:val="center"/>
          </w:tcPr>
          <w:p w14:paraId="175E14A3"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评价范围</w:t>
            </w:r>
          </w:p>
        </w:tc>
      </w:tr>
      <w:tr w:rsidR="009C353B" w14:paraId="2D7A454A" w14:textId="77777777">
        <w:trPr>
          <w:trHeight w:val="340"/>
        </w:trPr>
        <w:tc>
          <w:tcPr>
            <w:tcW w:w="316" w:type="pct"/>
            <w:vMerge w:val="restart"/>
            <w:shd w:val="clear" w:color="auto" w:fill="auto"/>
            <w:vAlign w:val="center"/>
          </w:tcPr>
          <w:p w14:paraId="36AC0D74"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生态环境</w:t>
            </w:r>
          </w:p>
        </w:tc>
        <w:tc>
          <w:tcPr>
            <w:tcW w:w="1115" w:type="pct"/>
            <w:shd w:val="clear" w:color="auto" w:fill="auto"/>
            <w:vAlign w:val="center"/>
          </w:tcPr>
          <w:p w14:paraId="018CE70C"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回顾评价</w:t>
            </w:r>
          </w:p>
        </w:tc>
        <w:tc>
          <w:tcPr>
            <w:tcW w:w="3569" w:type="pct"/>
            <w:shd w:val="clear" w:color="auto" w:fill="auto"/>
            <w:vAlign w:val="center"/>
          </w:tcPr>
          <w:p w14:paraId="15886AEA" w14:textId="77777777" w:rsidR="009C353B" w:rsidRDefault="00000000">
            <w:pPr>
              <w:widowControl/>
              <w:adjustRightInd w:val="0"/>
              <w:snapToGrid w:val="0"/>
              <w:spacing w:line="240" w:lineRule="atLeast"/>
              <w:rPr>
                <w:rFonts w:cs="宋体" w:hint="eastAsia"/>
                <w:kern w:val="0"/>
                <w:sz w:val="21"/>
                <w:szCs w:val="21"/>
              </w:rPr>
            </w:pPr>
            <w:r>
              <w:rPr>
                <w:rFonts w:cs="宋体" w:hint="eastAsia"/>
                <w:kern w:val="0"/>
                <w:sz w:val="21"/>
                <w:szCs w:val="21"/>
              </w:rPr>
              <w:t>总体规划</w:t>
            </w:r>
            <w:r>
              <w:rPr>
                <w:rFonts w:cs="宋体"/>
                <w:kern w:val="0"/>
                <w:sz w:val="21"/>
                <w:szCs w:val="21"/>
              </w:rPr>
              <w:t>范围，</w:t>
            </w:r>
            <w:r>
              <w:rPr>
                <w:rFonts w:cs="宋体" w:hint="eastAsia"/>
                <w:kern w:val="0"/>
                <w:sz w:val="21"/>
                <w:szCs w:val="21"/>
              </w:rPr>
              <w:t>重点为已开采矿井沉陷区</w:t>
            </w:r>
            <w:r>
              <w:rPr>
                <w:rFonts w:cs="宋体"/>
                <w:kern w:val="0"/>
                <w:sz w:val="21"/>
                <w:szCs w:val="21"/>
              </w:rPr>
              <w:t>及排</w:t>
            </w:r>
            <w:r>
              <w:rPr>
                <w:rFonts w:cs="宋体" w:hint="eastAsia"/>
                <w:kern w:val="0"/>
                <w:sz w:val="21"/>
                <w:szCs w:val="21"/>
              </w:rPr>
              <w:t>矸</w:t>
            </w:r>
            <w:r>
              <w:rPr>
                <w:rFonts w:cs="宋体"/>
                <w:kern w:val="0"/>
                <w:sz w:val="21"/>
                <w:szCs w:val="21"/>
              </w:rPr>
              <w:t>场</w:t>
            </w:r>
          </w:p>
        </w:tc>
      </w:tr>
      <w:tr w:rsidR="009C353B" w14:paraId="7139CF3C" w14:textId="77777777">
        <w:trPr>
          <w:trHeight w:val="340"/>
        </w:trPr>
        <w:tc>
          <w:tcPr>
            <w:tcW w:w="316" w:type="pct"/>
            <w:vMerge/>
            <w:vAlign w:val="center"/>
          </w:tcPr>
          <w:p w14:paraId="46C0E24A" w14:textId="77777777" w:rsidR="009C353B" w:rsidRDefault="009C353B">
            <w:pPr>
              <w:widowControl/>
              <w:adjustRightInd w:val="0"/>
              <w:snapToGrid w:val="0"/>
              <w:spacing w:line="240" w:lineRule="atLeast"/>
              <w:jc w:val="left"/>
              <w:rPr>
                <w:rFonts w:cs="宋体" w:hint="eastAsia"/>
                <w:kern w:val="0"/>
                <w:sz w:val="21"/>
                <w:szCs w:val="21"/>
              </w:rPr>
            </w:pPr>
          </w:p>
        </w:tc>
        <w:tc>
          <w:tcPr>
            <w:tcW w:w="1115" w:type="pct"/>
            <w:shd w:val="clear" w:color="auto" w:fill="auto"/>
            <w:vAlign w:val="center"/>
          </w:tcPr>
          <w:p w14:paraId="70B60E21"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现状调查与影响预测</w:t>
            </w:r>
          </w:p>
        </w:tc>
        <w:tc>
          <w:tcPr>
            <w:tcW w:w="3569" w:type="pct"/>
            <w:shd w:val="clear" w:color="auto" w:fill="auto"/>
            <w:vAlign w:val="center"/>
          </w:tcPr>
          <w:p w14:paraId="1348F709" w14:textId="77777777" w:rsidR="009C353B" w:rsidRDefault="00000000">
            <w:pPr>
              <w:widowControl/>
              <w:adjustRightInd w:val="0"/>
              <w:snapToGrid w:val="0"/>
              <w:spacing w:line="240" w:lineRule="atLeast"/>
              <w:rPr>
                <w:rFonts w:cs="宋体" w:hint="eastAsia"/>
                <w:kern w:val="0"/>
                <w:sz w:val="21"/>
                <w:szCs w:val="21"/>
              </w:rPr>
            </w:pPr>
            <w:r>
              <w:rPr>
                <w:rFonts w:cs="宋体" w:hint="eastAsia"/>
                <w:kern w:val="0"/>
                <w:sz w:val="21"/>
                <w:szCs w:val="21"/>
              </w:rPr>
              <w:t>充分考虑矿区及其周边生态环境特征、敏感生态环境目标的保护及</w:t>
            </w:r>
            <w:r>
              <w:rPr>
                <w:rFonts w:cs="宋体"/>
                <w:kern w:val="0"/>
                <w:sz w:val="21"/>
                <w:szCs w:val="21"/>
              </w:rPr>
              <w:t>矿区开发影响</w:t>
            </w:r>
            <w:r>
              <w:rPr>
                <w:rFonts w:cs="宋体" w:hint="eastAsia"/>
                <w:kern w:val="0"/>
                <w:sz w:val="21"/>
                <w:szCs w:val="21"/>
              </w:rPr>
              <w:t>特征，</w:t>
            </w:r>
            <w:r>
              <w:rPr>
                <w:rFonts w:ascii="Times New Roman" w:hAnsi="Times New Roman"/>
                <w:kern w:val="0"/>
                <w:sz w:val="21"/>
                <w:szCs w:val="21"/>
              </w:rPr>
              <w:t>本次生态评价范围为：按矿区边界外扩</w:t>
            </w:r>
            <w:r>
              <w:rPr>
                <w:rFonts w:ascii="Times New Roman" w:hAnsi="Times New Roman"/>
                <w:kern w:val="0"/>
                <w:sz w:val="21"/>
                <w:szCs w:val="21"/>
              </w:rPr>
              <w:t>3km</w:t>
            </w:r>
            <w:r>
              <w:rPr>
                <w:rFonts w:ascii="Times New Roman" w:hAnsi="Times New Roman"/>
                <w:kern w:val="0"/>
                <w:sz w:val="21"/>
                <w:szCs w:val="21"/>
              </w:rPr>
              <w:t>的区域，评价区总面积</w:t>
            </w:r>
            <w:r>
              <w:rPr>
                <w:rFonts w:ascii="Times New Roman" w:hAnsi="Times New Roman"/>
                <w:kern w:val="0"/>
                <w:sz w:val="21"/>
                <w:szCs w:val="21"/>
              </w:rPr>
              <w:t>314.10km</w:t>
            </w:r>
            <w:r>
              <w:rPr>
                <w:rFonts w:ascii="Times New Roman" w:hAnsi="Times New Roman"/>
                <w:kern w:val="0"/>
                <w:sz w:val="21"/>
                <w:szCs w:val="21"/>
                <w:vertAlign w:val="superscript"/>
              </w:rPr>
              <w:t>2</w:t>
            </w:r>
            <w:r>
              <w:rPr>
                <w:rFonts w:ascii="Times New Roman" w:hAnsi="Times New Roman"/>
                <w:kern w:val="0"/>
                <w:sz w:val="21"/>
                <w:szCs w:val="21"/>
              </w:rPr>
              <w:t>。</w:t>
            </w:r>
          </w:p>
        </w:tc>
      </w:tr>
      <w:tr w:rsidR="009C353B" w14:paraId="029F2F51" w14:textId="77777777">
        <w:trPr>
          <w:trHeight w:val="340"/>
        </w:trPr>
        <w:tc>
          <w:tcPr>
            <w:tcW w:w="316" w:type="pct"/>
            <w:vMerge w:val="restart"/>
            <w:shd w:val="clear" w:color="auto" w:fill="auto"/>
            <w:vAlign w:val="center"/>
          </w:tcPr>
          <w:p w14:paraId="51D02F20"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大气环境</w:t>
            </w:r>
          </w:p>
        </w:tc>
        <w:tc>
          <w:tcPr>
            <w:tcW w:w="1115" w:type="pct"/>
            <w:shd w:val="clear" w:color="auto" w:fill="auto"/>
            <w:vAlign w:val="center"/>
          </w:tcPr>
          <w:p w14:paraId="3AACC20E"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回顾和现状评价</w:t>
            </w:r>
          </w:p>
        </w:tc>
        <w:tc>
          <w:tcPr>
            <w:tcW w:w="3569" w:type="pct"/>
            <w:shd w:val="clear" w:color="auto" w:fill="auto"/>
            <w:vAlign w:val="center"/>
          </w:tcPr>
          <w:p w14:paraId="109D6E5A" w14:textId="77777777" w:rsidR="009C353B" w:rsidRDefault="00000000">
            <w:pPr>
              <w:widowControl/>
              <w:adjustRightInd w:val="0"/>
              <w:snapToGrid w:val="0"/>
              <w:spacing w:line="240" w:lineRule="atLeast"/>
              <w:rPr>
                <w:rFonts w:cs="宋体" w:hint="eastAsia"/>
                <w:kern w:val="0"/>
                <w:sz w:val="21"/>
                <w:szCs w:val="21"/>
              </w:rPr>
            </w:pPr>
            <w:r>
              <w:rPr>
                <w:rFonts w:cs="宋体" w:hint="eastAsia"/>
                <w:kern w:val="0"/>
                <w:sz w:val="21"/>
                <w:szCs w:val="21"/>
              </w:rPr>
              <w:t>总体规划范围，重点为现有大气污染源和敏感点周围，如现有排矸场等</w:t>
            </w:r>
          </w:p>
        </w:tc>
      </w:tr>
      <w:tr w:rsidR="009C353B" w14:paraId="743747EE" w14:textId="77777777">
        <w:trPr>
          <w:trHeight w:val="340"/>
        </w:trPr>
        <w:tc>
          <w:tcPr>
            <w:tcW w:w="316" w:type="pct"/>
            <w:vMerge/>
            <w:vAlign w:val="center"/>
          </w:tcPr>
          <w:p w14:paraId="2FE6E7E1" w14:textId="77777777" w:rsidR="009C353B" w:rsidRDefault="009C353B">
            <w:pPr>
              <w:widowControl/>
              <w:adjustRightInd w:val="0"/>
              <w:snapToGrid w:val="0"/>
              <w:spacing w:line="240" w:lineRule="atLeast"/>
              <w:jc w:val="left"/>
              <w:rPr>
                <w:rFonts w:cs="宋体" w:hint="eastAsia"/>
                <w:kern w:val="0"/>
                <w:sz w:val="21"/>
                <w:szCs w:val="21"/>
              </w:rPr>
            </w:pPr>
          </w:p>
        </w:tc>
        <w:tc>
          <w:tcPr>
            <w:tcW w:w="1115" w:type="pct"/>
            <w:shd w:val="clear" w:color="auto" w:fill="auto"/>
            <w:vAlign w:val="center"/>
          </w:tcPr>
          <w:p w14:paraId="485A7815"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影响预测</w:t>
            </w:r>
          </w:p>
        </w:tc>
        <w:tc>
          <w:tcPr>
            <w:tcW w:w="3569" w:type="pct"/>
            <w:shd w:val="clear" w:color="auto" w:fill="auto"/>
            <w:vAlign w:val="center"/>
          </w:tcPr>
          <w:p w14:paraId="51BDAA33" w14:textId="77777777" w:rsidR="009C353B" w:rsidRDefault="00000000">
            <w:pPr>
              <w:widowControl/>
              <w:adjustRightInd w:val="0"/>
              <w:snapToGrid w:val="0"/>
              <w:spacing w:line="240" w:lineRule="atLeast"/>
              <w:rPr>
                <w:rFonts w:cs="宋体" w:hint="eastAsia"/>
                <w:kern w:val="0"/>
                <w:sz w:val="21"/>
                <w:szCs w:val="21"/>
              </w:rPr>
            </w:pPr>
            <w:r>
              <w:rPr>
                <w:rFonts w:cs="宋体" w:hint="eastAsia"/>
                <w:kern w:val="0"/>
                <w:sz w:val="21"/>
                <w:szCs w:val="21"/>
              </w:rPr>
              <w:t>总体规划范围，重点为矿区内及周边大气敏感区、污染源区，如宁东</w:t>
            </w:r>
            <w:r>
              <w:rPr>
                <w:rFonts w:cs="宋体"/>
                <w:kern w:val="0"/>
                <w:sz w:val="21"/>
                <w:szCs w:val="21"/>
              </w:rPr>
              <w:t>镇</w:t>
            </w:r>
            <w:r>
              <w:rPr>
                <w:rFonts w:cs="宋体" w:hint="eastAsia"/>
                <w:kern w:val="0"/>
                <w:sz w:val="21"/>
                <w:szCs w:val="21"/>
              </w:rPr>
              <w:t>、排矸场等</w:t>
            </w:r>
          </w:p>
        </w:tc>
      </w:tr>
      <w:tr w:rsidR="009C353B" w14:paraId="52D10F99" w14:textId="77777777">
        <w:trPr>
          <w:trHeight w:val="340"/>
        </w:trPr>
        <w:tc>
          <w:tcPr>
            <w:tcW w:w="316" w:type="pct"/>
            <w:vMerge w:val="restart"/>
            <w:shd w:val="clear" w:color="auto" w:fill="auto"/>
            <w:vAlign w:val="center"/>
          </w:tcPr>
          <w:p w14:paraId="07CF7AC3"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地表水环境</w:t>
            </w:r>
          </w:p>
        </w:tc>
        <w:tc>
          <w:tcPr>
            <w:tcW w:w="1115" w:type="pct"/>
            <w:shd w:val="clear" w:color="auto" w:fill="auto"/>
            <w:vAlign w:val="center"/>
          </w:tcPr>
          <w:p w14:paraId="3DA543B6"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回顾和现状评价</w:t>
            </w:r>
          </w:p>
        </w:tc>
        <w:tc>
          <w:tcPr>
            <w:tcW w:w="3569" w:type="pct"/>
            <w:vMerge w:val="restart"/>
            <w:shd w:val="clear" w:color="auto" w:fill="auto"/>
            <w:vAlign w:val="center"/>
          </w:tcPr>
          <w:p w14:paraId="082371CA" w14:textId="77777777" w:rsidR="009C353B" w:rsidRDefault="00000000">
            <w:pPr>
              <w:widowControl/>
              <w:adjustRightInd w:val="0"/>
              <w:snapToGrid w:val="0"/>
              <w:spacing w:line="240" w:lineRule="atLeast"/>
              <w:rPr>
                <w:rFonts w:cs="宋体" w:hint="eastAsia"/>
                <w:kern w:val="0"/>
                <w:sz w:val="21"/>
                <w:szCs w:val="21"/>
              </w:rPr>
            </w:pPr>
            <w:r>
              <w:rPr>
                <w:rFonts w:cs="宋体" w:hint="eastAsia"/>
                <w:kern w:val="0"/>
                <w:sz w:val="21"/>
                <w:szCs w:val="21"/>
              </w:rPr>
              <w:t>水洞沟、大河子沟在</w:t>
            </w:r>
            <w:r>
              <w:rPr>
                <w:rFonts w:cs="宋体"/>
                <w:kern w:val="0"/>
                <w:sz w:val="21"/>
                <w:szCs w:val="21"/>
              </w:rPr>
              <w:t>矿区附近河段</w:t>
            </w:r>
          </w:p>
        </w:tc>
      </w:tr>
      <w:tr w:rsidR="009C353B" w14:paraId="7D82F946" w14:textId="77777777">
        <w:trPr>
          <w:trHeight w:val="340"/>
        </w:trPr>
        <w:tc>
          <w:tcPr>
            <w:tcW w:w="316" w:type="pct"/>
            <w:vMerge/>
            <w:vAlign w:val="center"/>
          </w:tcPr>
          <w:p w14:paraId="395049C8" w14:textId="77777777" w:rsidR="009C353B" w:rsidRDefault="009C353B">
            <w:pPr>
              <w:widowControl/>
              <w:adjustRightInd w:val="0"/>
              <w:snapToGrid w:val="0"/>
              <w:spacing w:line="240" w:lineRule="atLeast"/>
              <w:jc w:val="left"/>
              <w:rPr>
                <w:rFonts w:cs="宋体" w:hint="eastAsia"/>
                <w:kern w:val="0"/>
                <w:sz w:val="21"/>
                <w:szCs w:val="21"/>
              </w:rPr>
            </w:pPr>
          </w:p>
        </w:tc>
        <w:tc>
          <w:tcPr>
            <w:tcW w:w="1115" w:type="pct"/>
            <w:shd w:val="clear" w:color="auto" w:fill="auto"/>
            <w:vAlign w:val="center"/>
          </w:tcPr>
          <w:p w14:paraId="582B5865"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影响预测</w:t>
            </w:r>
          </w:p>
        </w:tc>
        <w:tc>
          <w:tcPr>
            <w:tcW w:w="3569" w:type="pct"/>
            <w:vMerge/>
            <w:vAlign w:val="center"/>
          </w:tcPr>
          <w:p w14:paraId="11EAF343" w14:textId="77777777" w:rsidR="009C353B" w:rsidRDefault="009C353B">
            <w:pPr>
              <w:widowControl/>
              <w:adjustRightInd w:val="0"/>
              <w:snapToGrid w:val="0"/>
              <w:spacing w:line="240" w:lineRule="atLeast"/>
              <w:jc w:val="left"/>
              <w:rPr>
                <w:rFonts w:cs="宋体" w:hint="eastAsia"/>
                <w:kern w:val="0"/>
                <w:sz w:val="21"/>
                <w:szCs w:val="21"/>
              </w:rPr>
            </w:pPr>
          </w:p>
        </w:tc>
      </w:tr>
      <w:tr w:rsidR="009C353B" w14:paraId="6D19C5A6" w14:textId="77777777">
        <w:trPr>
          <w:trHeight w:val="340"/>
        </w:trPr>
        <w:tc>
          <w:tcPr>
            <w:tcW w:w="316" w:type="pct"/>
            <w:vMerge w:val="restart"/>
            <w:shd w:val="clear" w:color="auto" w:fill="auto"/>
            <w:vAlign w:val="center"/>
          </w:tcPr>
          <w:p w14:paraId="24A1EB84"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地下水</w:t>
            </w:r>
          </w:p>
        </w:tc>
        <w:tc>
          <w:tcPr>
            <w:tcW w:w="1115" w:type="pct"/>
            <w:shd w:val="clear" w:color="auto" w:fill="auto"/>
            <w:vAlign w:val="center"/>
          </w:tcPr>
          <w:p w14:paraId="72D4EECE"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回顾和现状评价</w:t>
            </w:r>
          </w:p>
        </w:tc>
        <w:tc>
          <w:tcPr>
            <w:tcW w:w="3569" w:type="pct"/>
            <w:shd w:val="clear" w:color="auto" w:fill="auto"/>
            <w:vAlign w:val="center"/>
          </w:tcPr>
          <w:p w14:paraId="6DDA5C74" w14:textId="77777777" w:rsidR="009C353B" w:rsidRDefault="00000000">
            <w:pPr>
              <w:widowControl/>
              <w:adjustRightInd w:val="0"/>
              <w:snapToGrid w:val="0"/>
              <w:spacing w:line="240" w:lineRule="atLeast"/>
              <w:rPr>
                <w:rFonts w:cs="宋体" w:hint="eastAsia"/>
                <w:kern w:val="0"/>
                <w:sz w:val="21"/>
                <w:szCs w:val="21"/>
              </w:rPr>
            </w:pPr>
            <w:r>
              <w:rPr>
                <w:rFonts w:cs="宋体" w:hint="eastAsia"/>
                <w:kern w:val="0"/>
                <w:sz w:val="21"/>
                <w:szCs w:val="21"/>
              </w:rPr>
              <w:t>以现有生产区为重点评价区域，评价横城矿区历史开发对矿区地下水的水质、水量造成的影响</w:t>
            </w:r>
          </w:p>
        </w:tc>
      </w:tr>
      <w:tr w:rsidR="009C353B" w14:paraId="3C1C4FD5" w14:textId="77777777">
        <w:trPr>
          <w:trHeight w:val="340"/>
        </w:trPr>
        <w:tc>
          <w:tcPr>
            <w:tcW w:w="316" w:type="pct"/>
            <w:vMerge/>
            <w:vAlign w:val="center"/>
          </w:tcPr>
          <w:p w14:paraId="10C066B8" w14:textId="77777777" w:rsidR="009C353B" w:rsidRDefault="009C353B">
            <w:pPr>
              <w:widowControl/>
              <w:adjustRightInd w:val="0"/>
              <w:snapToGrid w:val="0"/>
              <w:spacing w:line="240" w:lineRule="atLeast"/>
              <w:jc w:val="left"/>
              <w:rPr>
                <w:rFonts w:cs="宋体" w:hint="eastAsia"/>
                <w:kern w:val="0"/>
                <w:sz w:val="21"/>
                <w:szCs w:val="21"/>
              </w:rPr>
            </w:pPr>
          </w:p>
        </w:tc>
        <w:tc>
          <w:tcPr>
            <w:tcW w:w="1115" w:type="pct"/>
            <w:shd w:val="clear" w:color="auto" w:fill="auto"/>
            <w:vAlign w:val="center"/>
          </w:tcPr>
          <w:p w14:paraId="40316C99"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影响预测</w:t>
            </w:r>
          </w:p>
        </w:tc>
        <w:tc>
          <w:tcPr>
            <w:tcW w:w="3569" w:type="pct"/>
            <w:shd w:val="clear" w:color="auto" w:fill="auto"/>
            <w:vAlign w:val="center"/>
          </w:tcPr>
          <w:p w14:paraId="431FF58F" w14:textId="77777777" w:rsidR="009C353B" w:rsidRDefault="00000000">
            <w:pPr>
              <w:widowControl/>
              <w:adjustRightInd w:val="0"/>
              <w:snapToGrid w:val="0"/>
              <w:spacing w:line="240" w:lineRule="atLeast"/>
              <w:rPr>
                <w:rFonts w:cs="宋体" w:hint="eastAsia"/>
                <w:kern w:val="0"/>
                <w:sz w:val="21"/>
                <w:szCs w:val="21"/>
              </w:rPr>
            </w:pPr>
            <w:r>
              <w:rPr>
                <w:rFonts w:ascii="Times New Roman" w:hAnsi="Times New Roman"/>
                <w:kern w:val="0"/>
                <w:sz w:val="21"/>
                <w:szCs w:val="21"/>
              </w:rPr>
              <w:t>本次地下水评价范围以地下水最大疏干影响范围为依据</w:t>
            </w:r>
            <w:r>
              <w:rPr>
                <w:rFonts w:ascii="Times New Roman" w:hAnsi="Times New Roman"/>
                <w:kern w:val="0"/>
                <w:sz w:val="21"/>
                <w:szCs w:val="21"/>
              </w:rPr>
              <w:t>(</w:t>
            </w:r>
            <w:r>
              <w:rPr>
                <w:rFonts w:ascii="Times New Roman" w:hAnsi="Times New Roman"/>
                <w:kern w:val="0"/>
                <w:sz w:val="21"/>
                <w:szCs w:val="21"/>
              </w:rPr>
              <w:t>最大影响半径</w:t>
            </w:r>
            <w:r>
              <w:rPr>
                <w:rFonts w:ascii="Times New Roman" w:hAnsi="Times New Roman"/>
                <w:kern w:val="0"/>
                <w:sz w:val="21"/>
                <w:szCs w:val="21"/>
              </w:rPr>
              <w:t>2339.21m)</w:t>
            </w:r>
            <w:r>
              <w:rPr>
                <w:rFonts w:ascii="Times New Roman" w:hAnsi="Times New Roman"/>
                <w:kern w:val="0"/>
                <w:sz w:val="21"/>
                <w:szCs w:val="21"/>
              </w:rPr>
              <w:t>，故本次地下水评价范围为：按矿区边界外扩</w:t>
            </w:r>
            <w:r>
              <w:rPr>
                <w:rFonts w:ascii="Times New Roman" w:hAnsi="Times New Roman"/>
                <w:kern w:val="0"/>
                <w:sz w:val="21"/>
                <w:szCs w:val="21"/>
              </w:rPr>
              <w:t>2.5km</w:t>
            </w:r>
            <w:r>
              <w:rPr>
                <w:rFonts w:ascii="Times New Roman" w:hAnsi="Times New Roman"/>
                <w:kern w:val="0"/>
                <w:sz w:val="21"/>
                <w:szCs w:val="21"/>
              </w:rPr>
              <w:t>的区域，评价区总面积</w:t>
            </w:r>
            <w:r>
              <w:rPr>
                <w:rFonts w:ascii="Times New Roman" w:hAnsi="Times New Roman"/>
                <w:kern w:val="0"/>
                <w:sz w:val="21"/>
                <w:szCs w:val="21"/>
              </w:rPr>
              <w:t>276.06 km</w:t>
            </w:r>
            <w:r>
              <w:rPr>
                <w:rFonts w:ascii="Times New Roman" w:hAnsi="Times New Roman"/>
                <w:kern w:val="0"/>
                <w:sz w:val="21"/>
                <w:szCs w:val="21"/>
                <w:vertAlign w:val="superscript"/>
              </w:rPr>
              <w:t>2</w:t>
            </w:r>
          </w:p>
        </w:tc>
      </w:tr>
      <w:tr w:rsidR="009C353B" w14:paraId="7204164B" w14:textId="77777777">
        <w:trPr>
          <w:trHeight w:val="340"/>
        </w:trPr>
        <w:tc>
          <w:tcPr>
            <w:tcW w:w="316" w:type="pct"/>
            <w:vMerge w:val="restart"/>
            <w:shd w:val="clear" w:color="auto" w:fill="auto"/>
            <w:vAlign w:val="center"/>
          </w:tcPr>
          <w:p w14:paraId="252F72E6"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声环境</w:t>
            </w:r>
          </w:p>
        </w:tc>
        <w:tc>
          <w:tcPr>
            <w:tcW w:w="1115" w:type="pct"/>
            <w:shd w:val="clear" w:color="auto" w:fill="auto"/>
            <w:vAlign w:val="center"/>
          </w:tcPr>
          <w:p w14:paraId="2857B733"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回顾和现状评价</w:t>
            </w:r>
          </w:p>
        </w:tc>
        <w:tc>
          <w:tcPr>
            <w:tcW w:w="3569" w:type="pct"/>
            <w:shd w:val="clear" w:color="auto" w:fill="auto"/>
            <w:vAlign w:val="center"/>
          </w:tcPr>
          <w:p w14:paraId="481BEA9B" w14:textId="77777777" w:rsidR="009C353B" w:rsidRDefault="00000000">
            <w:pPr>
              <w:widowControl/>
              <w:adjustRightInd w:val="0"/>
              <w:snapToGrid w:val="0"/>
              <w:spacing w:line="240" w:lineRule="atLeast"/>
              <w:rPr>
                <w:rFonts w:cs="宋体" w:hint="eastAsia"/>
                <w:kern w:val="0"/>
                <w:sz w:val="21"/>
                <w:szCs w:val="21"/>
              </w:rPr>
            </w:pPr>
            <w:r>
              <w:rPr>
                <w:rFonts w:cs="宋体" w:hint="eastAsia"/>
                <w:kern w:val="0"/>
                <w:sz w:val="21"/>
                <w:szCs w:val="21"/>
              </w:rPr>
              <w:t>总体规划范围，重点为现有噪声污染源。各矿工业场地及运输道路周边无村庄、居民区等声环境敏感区</w:t>
            </w:r>
          </w:p>
        </w:tc>
      </w:tr>
      <w:tr w:rsidR="009C353B" w14:paraId="4F955C76" w14:textId="77777777">
        <w:trPr>
          <w:trHeight w:val="340"/>
        </w:trPr>
        <w:tc>
          <w:tcPr>
            <w:tcW w:w="316" w:type="pct"/>
            <w:vMerge/>
            <w:vAlign w:val="center"/>
          </w:tcPr>
          <w:p w14:paraId="21D84138" w14:textId="77777777" w:rsidR="009C353B" w:rsidRDefault="009C353B">
            <w:pPr>
              <w:widowControl/>
              <w:adjustRightInd w:val="0"/>
              <w:snapToGrid w:val="0"/>
              <w:spacing w:line="240" w:lineRule="atLeast"/>
              <w:jc w:val="center"/>
              <w:rPr>
                <w:rFonts w:cs="宋体" w:hint="eastAsia"/>
                <w:kern w:val="0"/>
                <w:sz w:val="21"/>
                <w:szCs w:val="21"/>
              </w:rPr>
            </w:pPr>
          </w:p>
        </w:tc>
        <w:tc>
          <w:tcPr>
            <w:tcW w:w="1115" w:type="pct"/>
            <w:shd w:val="clear" w:color="auto" w:fill="auto"/>
            <w:vAlign w:val="center"/>
          </w:tcPr>
          <w:p w14:paraId="004AD27F"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影响预测</w:t>
            </w:r>
          </w:p>
        </w:tc>
        <w:tc>
          <w:tcPr>
            <w:tcW w:w="3569" w:type="pct"/>
            <w:shd w:val="clear" w:color="auto" w:fill="auto"/>
            <w:vAlign w:val="center"/>
          </w:tcPr>
          <w:p w14:paraId="5179FABF" w14:textId="77777777" w:rsidR="009C353B" w:rsidRDefault="00000000">
            <w:pPr>
              <w:widowControl/>
              <w:adjustRightInd w:val="0"/>
              <w:snapToGrid w:val="0"/>
              <w:spacing w:line="240" w:lineRule="atLeast"/>
              <w:rPr>
                <w:rFonts w:cs="宋体" w:hint="eastAsia"/>
                <w:kern w:val="0"/>
                <w:sz w:val="21"/>
                <w:szCs w:val="21"/>
              </w:rPr>
            </w:pPr>
            <w:r>
              <w:rPr>
                <w:rFonts w:cs="宋体" w:hint="eastAsia"/>
                <w:kern w:val="0"/>
                <w:sz w:val="21"/>
                <w:szCs w:val="21"/>
              </w:rPr>
              <w:t>总体规划范围，重点为规划主要噪声源声环境影响涉及范围，以及交通运输线路周围</w:t>
            </w:r>
          </w:p>
        </w:tc>
      </w:tr>
      <w:tr w:rsidR="009C353B" w14:paraId="0C78B4DA" w14:textId="77777777">
        <w:trPr>
          <w:trHeight w:val="340"/>
        </w:trPr>
        <w:tc>
          <w:tcPr>
            <w:tcW w:w="316" w:type="pct"/>
            <w:vMerge w:val="restart"/>
            <w:vAlign w:val="center"/>
          </w:tcPr>
          <w:p w14:paraId="3008F262"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lastRenderedPageBreak/>
              <w:t>土壤环境</w:t>
            </w:r>
          </w:p>
        </w:tc>
        <w:tc>
          <w:tcPr>
            <w:tcW w:w="1115" w:type="pct"/>
            <w:shd w:val="clear" w:color="auto" w:fill="auto"/>
            <w:vAlign w:val="center"/>
          </w:tcPr>
          <w:p w14:paraId="6247796F"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回顾和现状评价</w:t>
            </w:r>
          </w:p>
        </w:tc>
        <w:tc>
          <w:tcPr>
            <w:tcW w:w="3569" w:type="pct"/>
            <w:vMerge w:val="restart"/>
            <w:shd w:val="clear" w:color="auto" w:fill="auto"/>
            <w:vAlign w:val="center"/>
          </w:tcPr>
          <w:p w14:paraId="6B0A7D60" w14:textId="77777777" w:rsidR="009C353B" w:rsidRDefault="00000000">
            <w:pPr>
              <w:widowControl/>
              <w:adjustRightInd w:val="0"/>
              <w:snapToGrid w:val="0"/>
              <w:spacing w:line="240" w:lineRule="atLeast"/>
              <w:rPr>
                <w:rFonts w:cs="宋体" w:hint="eastAsia"/>
                <w:kern w:val="0"/>
                <w:sz w:val="21"/>
                <w:szCs w:val="21"/>
              </w:rPr>
            </w:pPr>
            <w:r>
              <w:rPr>
                <w:rFonts w:cs="宋体" w:hint="eastAsia"/>
                <w:kern w:val="0"/>
                <w:sz w:val="21"/>
                <w:szCs w:val="21"/>
              </w:rPr>
              <w:t>总体规划范围及矿区开采影响范围，重点为开采沉陷区、工业场地、排矸场等</w:t>
            </w:r>
          </w:p>
        </w:tc>
      </w:tr>
      <w:tr w:rsidR="009C353B" w14:paraId="52167AEA" w14:textId="77777777">
        <w:trPr>
          <w:trHeight w:val="340"/>
        </w:trPr>
        <w:tc>
          <w:tcPr>
            <w:tcW w:w="316" w:type="pct"/>
            <w:vMerge/>
            <w:vAlign w:val="center"/>
          </w:tcPr>
          <w:p w14:paraId="0DBED51B" w14:textId="77777777" w:rsidR="009C353B" w:rsidRDefault="009C353B">
            <w:pPr>
              <w:widowControl/>
              <w:adjustRightInd w:val="0"/>
              <w:snapToGrid w:val="0"/>
              <w:spacing w:line="240" w:lineRule="atLeast"/>
              <w:jc w:val="center"/>
              <w:rPr>
                <w:rFonts w:cs="宋体" w:hint="eastAsia"/>
                <w:kern w:val="0"/>
                <w:sz w:val="21"/>
                <w:szCs w:val="21"/>
              </w:rPr>
            </w:pPr>
          </w:p>
        </w:tc>
        <w:tc>
          <w:tcPr>
            <w:tcW w:w="1115" w:type="pct"/>
            <w:shd w:val="clear" w:color="auto" w:fill="auto"/>
            <w:vAlign w:val="center"/>
          </w:tcPr>
          <w:p w14:paraId="6D023257"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影响预测</w:t>
            </w:r>
          </w:p>
        </w:tc>
        <w:tc>
          <w:tcPr>
            <w:tcW w:w="3569" w:type="pct"/>
            <w:vMerge/>
            <w:shd w:val="clear" w:color="auto" w:fill="auto"/>
            <w:vAlign w:val="center"/>
          </w:tcPr>
          <w:p w14:paraId="08522307" w14:textId="77777777" w:rsidR="009C353B" w:rsidRDefault="009C353B">
            <w:pPr>
              <w:widowControl/>
              <w:adjustRightInd w:val="0"/>
              <w:snapToGrid w:val="0"/>
              <w:spacing w:line="240" w:lineRule="atLeast"/>
              <w:rPr>
                <w:rFonts w:cs="宋体" w:hint="eastAsia"/>
                <w:kern w:val="0"/>
                <w:sz w:val="21"/>
                <w:szCs w:val="21"/>
              </w:rPr>
            </w:pPr>
          </w:p>
        </w:tc>
      </w:tr>
      <w:tr w:rsidR="009C353B" w14:paraId="625A3BF7" w14:textId="77777777">
        <w:trPr>
          <w:trHeight w:val="340"/>
        </w:trPr>
        <w:tc>
          <w:tcPr>
            <w:tcW w:w="316" w:type="pct"/>
            <w:vMerge w:val="restart"/>
            <w:shd w:val="clear" w:color="auto" w:fill="auto"/>
            <w:vAlign w:val="center"/>
          </w:tcPr>
          <w:p w14:paraId="437645C3"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固体废物</w:t>
            </w:r>
          </w:p>
        </w:tc>
        <w:tc>
          <w:tcPr>
            <w:tcW w:w="1115" w:type="pct"/>
            <w:shd w:val="clear" w:color="auto" w:fill="auto"/>
            <w:vAlign w:val="center"/>
          </w:tcPr>
          <w:p w14:paraId="2B5F331E"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回顾和现状评价</w:t>
            </w:r>
          </w:p>
        </w:tc>
        <w:tc>
          <w:tcPr>
            <w:tcW w:w="3569" w:type="pct"/>
            <w:shd w:val="clear" w:color="auto" w:fill="auto"/>
            <w:vAlign w:val="center"/>
          </w:tcPr>
          <w:p w14:paraId="7E38C13D" w14:textId="77777777" w:rsidR="009C353B" w:rsidRDefault="00000000">
            <w:pPr>
              <w:widowControl/>
              <w:adjustRightInd w:val="0"/>
              <w:snapToGrid w:val="0"/>
              <w:spacing w:line="240" w:lineRule="atLeast"/>
              <w:rPr>
                <w:rFonts w:cs="宋体" w:hint="eastAsia"/>
                <w:kern w:val="0"/>
                <w:sz w:val="21"/>
                <w:szCs w:val="21"/>
              </w:rPr>
            </w:pPr>
            <w:r>
              <w:rPr>
                <w:rFonts w:cs="宋体" w:hint="eastAsia"/>
                <w:kern w:val="0"/>
                <w:sz w:val="21"/>
                <w:szCs w:val="21"/>
              </w:rPr>
              <w:t>现有固废排放处置情况，现有固废处置场周围</w:t>
            </w:r>
            <w:r>
              <w:rPr>
                <w:rFonts w:ascii="Times New Roman" w:hAnsi="Times New Roman"/>
                <w:kern w:val="0"/>
                <w:sz w:val="21"/>
                <w:szCs w:val="21"/>
              </w:rPr>
              <w:t>1km</w:t>
            </w:r>
            <w:r>
              <w:rPr>
                <w:rFonts w:cs="宋体" w:hint="eastAsia"/>
                <w:kern w:val="0"/>
                <w:sz w:val="21"/>
                <w:szCs w:val="21"/>
              </w:rPr>
              <w:t>范围</w:t>
            </w:r>
          </w:p>
        </w:tc>
      </w:tr>
      <w:tr w:rsidR="009C353B" w14:paraId="747FD441" w14:textId="77777777">
        <w:trPr>
          <w:trHeight w:val="340"/>
        </w:trPr>
        <w:tc>
          <w:tcPr>
            <w:tcW w:w="316" w:type="pct"/>
            <w:vMerge/>
            <w:vAlign w:val="center"/>
          </w:tcPr>
          <w:p w14:paraId="3ABB67D8" w14:textId="77777777" w:rsidR="009C353B" w:rsidRDefault="009C353B">
            <w:pPr>
              <w:widowControl/>
              <w:adjustRightInd w:val="0"/>
              <w:snapToGrid w:val="0"/>
              <w:spacing w:line="240" w:lineRule="atLeast"/>
              <w:jc w:val="left"/>
              <w:rPr>
                <w:rFonts w:cs="宋体" w:hint="eastAsia"/>
                <w:kern w:val="0"/>
                <w:sz w:val="21"/>
                <w:szCs w:val="21"/>
              </w:rPr>
            </w:pPr>
          </w:p>
        </w:tc>
        <w:tc>
          <w:tcPr>
            <w:tcW w:w="1115" w:type="pct"/>
            <w:shd w:val="clear" w:color="auto" w:fill="auto"/>
            <w:vAlign w:val="center"/>
          </w:tcPr>
          <w:p w14:paraId="428B9FA3" w14:textId="77777777" w:rsidR="009C353B" w:rsidRDefault="00000000">
            <w:pPr>
              <w:widowControl/>
              <w:adjustRightInd w:val="0"/>
              <w:snapToGrid w:val="0"/>
              <w:spacing w:line="240" w:lineRule="atLeast"/>
              <w:jc w:val="center"/>
              <w:rPr>
                <w:rFonts w:cs="宋体" w:hint="eastAsia"/>
                <w:kern w:val="0"/>
                <w:sz w:val="21"/>
                <w:szCs w:val="21"/>
              </w:rPr>
            </w:pPr>
            <w:r>
              <w:rPr>
                <w:rFonts w:cs="宋体" w:hint="eastAsia"/>
                <w:kern w:val="0"/>
                <w:sz w:val="21"/>
                <w:szCs w:val="21"/>
              </w:rPr>
              <w:t>影响预测</w:t>
            </w:r>
          </w:p>
        </w:tc>
        <w:tc>
          <w:tcPr>
            <w:tcW w:w="3569" w:type="pct"/>
            <w:shd w:val="clear" w:color="auto" w:fill="auto"/>
            <w:vAlign w:val="center"/>
          </w:tcPr>
          <w:p w14:paraId="017805B6" w14:textId="77777777" w:rsidR="009C353B" w:rsidRDefault="00000000">
            <w:pPr>
              <w:widowControl/>
              <w:adjustRightInd w:val="0"/>
              <w:snapToGrid w:val="0"/>
              <w:spacing w:line="240" w:lineRule="atLeast"/>
              <w:rPr>
                <w:rFonts w:cs="宋体" w:hint="eastAsia"/>
                <w:kern w:val="0"/>
                <w:sz w:val="21"/>
                <w:szCs w:val="21"/>
              </w:rPr>
            </w:pPr>
            <w:r>
              <w:rPr>
                <w:rFonts w:cs="宋体" w:hint="eastAsia"/>
                <w:kern w:val="0"/>
                <w:sz w:val="21"/>
                <w:szCs w:val="21"/>
              </w:rPr>
              <w:t>现有及未来固废处置场，如排矸场等周围</w:t>
            </w:r>
            <w:r>
              <w:rPr>
                <w:rFonts w:ascii="Times New Roman" w:hAnsi="Times New Roman"/>
                <w:kern w:val="0"/>
                <w:sz w:val="21"/>
                <w:szCs w:val="21"/>
              </w:rPr>
              <w:t>1km</w:t>
            </w:r>
            <w:r>
              <w:rPr>
                <w:rFonts w:cs="宋体" w:hint="eastAsia"/>
                <w:kern w:val="0"/>
                <w:sz w:val="21"/>
                <w:szCs w:val="21"/>
              </w:rPr>
              <w:t>范围</w:t>
            </w:r>
          </w:p>
        </w:tc>
      </w:tr>
    </w:tbl>
    <w:p w14:paraId="66FECA35" w14:textId="77777777" w:rsidR="009C353B" w:rsidRDefault="00000000">
      <w:pPr>
        <w:pStyle w:val="2"/>
        <w:snapToGrid w:val="0"/>
        <w:spacing w:line="440" w:lineRule="exact"/>
        <w:rPr>
          <w:rFonts w:ascii="Times New Roman" w:eastAsia="宋体" w:hAnsi="Times New Roman"/>
          <w:b/>
          <w:sz w:val="28"/>
        </w:rPr>
      </w:pPr>
      <w:bookmarkStart w:id="10" w:name="_Toc59189816"/>
      <w:r>
        <w:rPr>
          <w:rFonts w:ascii="Times New Roman" w:eastAsia="宋体" w:hAnsi="Times New Roman" w:hint="eastAsia"/>
          <w:b/>
          <w:sz w:val="28"/>
        </w:rPr>
        <w:t>1.</w:t>
      </w:r>
      <w:r>
        <w:rPr>
          <w:rFonts w:ascii="Times New Roman" w:eastAsia="宋体" w:hAnsi="Times New Roman"/>
          <w:b/>
          <w:sz w:val="28"/>
        </w:rPr>
        <w:t xml:space="preserve">5 </w:t>
      </w:r>
      <w:r>
        <w:rPr>
          <w:rFonts w:ascii="Times New Roman" w:eastAsia="宋体" w:hAnsi="Times New Roman"/>
          <w:b/>
          <w:sz w:val="28"/>
        </w:rPr>
        <w:t>评价时段</w:t>
      </w:r>
      <w:bookmarkEnd w:id="10"/>
    </w:p>
    <w:p w14:paraId="57A03DB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矿区马莲台</w:t>
      </w:r>
      <w:r>
        <w:rPr>
          <w:rFonts w:ascii="Times New Roman"/>
        </w:rPr>
        <w:t>矿井</w:t>
      </w:r>
      <w:r>
        <w:rPr>
          <w:rFonts w:ascii="Times New Roman" w:hint="eastAsia"/>
        </w:rPr>
        <w:t>、红石湾矿井、任家庄矿井均为生产矿井，且均已达到规划规模，仅丁家梁矿井处于在建（停工）状态</w:t>
      </w:r>
      <w:r>
        <w:rPr>
          <w:rFonts w:ascii="Times New Roman"/>
        </w:rPr>
        <w:t>，规划</w:t>
      </w:r>
      <w:r>
        <w:rPr>
          <w:rFonts w:ascii="Times New Roman" w:hint="eastAsia"/>
        </w:rPr>
        <w:t>20</w:t>
      </w:r>
      <w:r>
        <w:rPr>
          <w:rFonts w:ascii="Times New Roman"/>
        </w:rPr>
        <w:t>22</w:t>
      </w:r>
      <w:r>
        <w:rPr>
          <w:rFonts w:ascii="Times New Roman" w:hint="eastAsia"/>
        </w:rPr>
        <w:t>年丁家梁煤矿达产，矿区</w:t>
      </w:r>
      <w:r>
        <w:rPr>
          <w:rFonts w:ascii="Times New Roman"/>
        </w:rPr>
        <w:t>达到规划</w:t>
      </w:r>
      <w:r>
        <w:rPr>
          <w:rFonts w:ascii="Times New Roman"/>
        </w:rPr>
        <w:t>9.20Mt/a</w:t>
      </w:r>
      <w:r>
        <w:rPr>
          <w:rFonts w:ascii="Times New Roman"/>
        </w:rPr>
        <w:t>规模</w:t>
      </w:r>
      <w:r>
        <w:rPr>
          <w:rFonts w:ascii="Times New Roman" w:hint="eastAsia"/>
        </w:rPr>
        <w:t>。</w:t>
      </w:r>
      <w:r>
        <w:rPr>
          <w:rFonts w:ascii="Times New Roman"/>
        </w:rPr>
        <w:t>综合考虑矿区</w:t>
      </w:r>
      <w:r>
        <w:rPr>
          <w:rFonts w:ascii="Times New Roman" w:hint="eastAsia"/>
        </w:rPr>
        <w:t>总体规划方案的内容和矿区开发实际情况</w:t>
      </w:r>
      <w:r>
        <w:rPr>
          <w:rFonts w:ascii="Times New Roman"/>
        </w:rPr>
        <w:t>，遵循近细远粗的原则，本次</w:t>
      </w:r>
      <w:r>
        <w:rPr>
          <w:rFonts w:ascii="Times New Roman" w:hint="eastAsia"/>
        </w:rPr>
        <w:t>评价</w:t>
      </w:r>
      <w:r>
        <w:rPr>
          <w:rFonts w:ascii="Times New Roman"/>
        </w:rPr>
        <w:t>分两个评价阶段：</w:t>
      </w:r>
      <w:r>
        <w:rPr>
          <w:rFonts w:ascii="Times New Roman" w:hint="eastAsia"/>
        </w:rPr>
        <w:t>现状</w:t>
      </w:r>
      <w:r>
        <w:rPr>
          <w:rFonts w:ascii="Times New Roman"/>
        </w:rPr>
        <w:t>（</w:t>
      </w:r>
      <w:r>
        <w:rPr>
          <w:rFonts w:ascii="Times New Roman"/>
        </w:rPr>
        <w:t>2020</w:t>
      </w:r>
      <w:r>
        <w:rPr>
          <w:rFonts w:ascii="Times New Roman"/>
        </w:rPr>
        <w:t>年）、远期（</w:t>
      </w:r>
      <w:r>
        <w:rPr>
          <w:rFonts w:ascii="Times New Roman"/>
        </w:rPr>
        <w:t>2022</w:t>
      </w:r>
      <w:r>
        <w:rPr>
          <w:rFonts w:ascii="Times New Roman"/>
        </w:rPr>
        <w:t>年</w:t>
      </w:r>
      <w:r>
        <w:rPr>
          <w:rFonts w:ascii="Times New Roman" w:hint="eastAsia"/>
        </w:rPr>
        <w:t>后</w:t>
      </w:r>
      <w:r>
        <w:rPr>
          <w:rFonts w:ascii="Times New Roman"/>
        </w:rPr>
        <w:t>-</w:t>
      </w:r>
      <w:r>
        <w:rPr>
          <w:rFonts w:ascii="Times New Roman"/>
        </w:rPr>
        <w:t>闭矿）。各评价时段项目组成见表</w:t>
      </w:r>
      <w:r>
        <w:rPr>
          <w:rFonts w:ascii="Times New Roman"/>
        </w:rPr>
        <w:t>1.5-1</w:t>
      </w:r>
      <w:r>
        <w:rPr>
          <w:rFonts w:ascii="Times New Roman"/>
        </w:rPr>
        <w:t>。</w:t>
      </w:r>
    </w:p>
    <w:p w14:paraId="396CE6AE" w14:textId="77777777" w:rsidR="009C353B" w:rsidRDefault="00000000">
      <w:pPr>
        <w:pStyle w:val="affffff0"/>
        <w:adjustRightInd w:val="0"/>
        <w:spacing w:line="440" w:lineRule="exact"/>
        <w:jc w:val="center"/>
        <w:rPr>
          <w:rFonts w:ascii="Times New Roman" w:hAnsi="Times New Roman"/>
        </w:rPr>
      </w:pPr>
      <w:r>
        <w:rPr>
          <w:rFonts w:ascii="Times New Roman"/>
        </w:rPr>
        <w:t>矿区</w:t>
      </w:r>
      <w:r>
        <w:rPr>
          <w:rFonts w:ascii="Times New Roman" w:hint="eastAsia"/>
        </w:rPr>
        <w:t>规划建设</w:t>
      </w:r>
      <w:r>
        <w:rPr>
          <w:rFonts w:ascii="Times New Roman"/>
        </w:rPr>
        <w:t>项目一览表</w:t>
      </w:r>
    </w:p>
    <w:p w14:paraId="21DA8072" w14:textId="77777777" w:rsidR="009C353B" w:rsidRDefault="00000000">
      <w:pPr>
        <w:pStyle w:val="affffd"/>
        <w:spacing w:line="440" w:lineRule="exact"/>
        <w:rPr>
          <w:rFonts w:ascii="Times New Roman" w:hAnsi="Times New Roman"/>
        </w:rPr>
      </w:pPr>
      <w:r>
        <w:rPr>
          <w:rFonts w:ascii="Times New Roman"/>
        </w:rPr>
        <w:t>表</w:t>
      </w:r>
      <w:r>
        <w:rPr>
          <w:rFonts w:ascii="Times New Roman" w:hAnsi="Times New Roman"/>
        </w:rPr>
        <w:t>1</w:t>
      </w:r>
      <w:r>
        <w:rPr>
          <w:rFonts w:ascii="Times New Roman" w:hAnsi="Times New Roman" w:hint="eastAsia"/>
        </w:rPr>
        <w:t>.</w:t>
      </w:r>
      <w:r>
        <w:rPr>
          <w:rFonts w:ascii="Times New Roman" w:hAnsi="Times New Roman"/>
        </w:rPr>
        <w:t>5</w:t>
      </w:r>
      <w:r>
        <w:rPr>
          <w:rFonts w:ascii="Times New Roman" w:hAnsi="Times New Roman" w:hint="eastAsia"/>
        </w:rPr>
        <w:t>-</w:t>
      </w:r>
      <w:r>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5"/>
        <w:gridCol w:w="3688"/>
        <w:gridCol w:w="3387"/>
        <w:gridCol w:w="21"/>
      </w:tblGrid>
      <w:tr w:rsidR="009C353B" w14:paraId="24C15975" w14:textId="77777777">
        <w:trPr>
          <w:gridAfter w:val="1"/>
          <w:wAfter w:w="21" w:type="dxa"/>
          <w:trHeight w:val="340"/>
        </w:trPr>
        <w:tc>
          <w:tcPr>
            <w:tcW w:w="1980" w:type="dxa"/>
            <w:vMerge w:val="restart"/>
            <w:vAlign w:val="center"/>
          </w:tcPr>
          <w:p w14:paraId="567E6A1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实施阶段</w:t>
            </w:r>
          </w:p>
        </w:tc>
        <w:tc>
          <w:tcPr>
            <w:tcW w:w="7060" w:type="dxa"/>
            <w:gridSpan w:val="2"/>
            <w:vAlign w:val="center"/>
          </w:tcPr>
          <w:p w14:paraId="4AB88B3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规划内容</w:t>
            </w:r>
          </w:p>
        </w:tc>
      </w:tr>
      <w:tr w:rsidR="009C353B" w14:paraId="44BDEB03" w14:textId="77777777">
        <w:trPr>
          <w:trHeight w:val="340"/>
        </w:trPr>
        <w:tc>
          <w:tcPr>
            <w:tcW w:w="1980" w:type="dxa"/>
            <w:vMerge/>
            <w:vAlign w:val="center"/>
          </w:tcPr>
          <w:p w14:paraId="289191E1" w14:textId="77777777" w:rsidR="009C353B" w:rsidRDefault="009C353B">
            <w:pPr>
              <w:adjustRightInd w:val="0"/>
              <w:snapToGrid w:val="0"/>
              <w:spacing w:line="240" w:lineRule="atLeast"/>
              <w:jc w:val="center"/>
              <w:rPr>
                <w:rFonts w:ascii="Times New Roman" w:hAnsi="Times New Roman"/>
                <w:sz w:val="21"/>
                <w:szCs w:val="21"/>
              </w:rPr>
            </w:pPr>
          </w:p>
        </w:tc>
        <w:tc>
          <w:tcPr>
            <w:tcW w:w="3680" w:type="dxa"/>
            <w:vAlign w:val="center"/>
          </w:tcPr>
          <w:p w14:paraId="73963D4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煤矿项目</w:t>
            </w:r>
            <w:r>
              <w:rPr>
                <w:rFonts w:ascii="Times New Roman" w:hint="eastAsia"/>
                <w:sz w:val="21"/>
                <w:szCs w:val="21"/>
              </w:rPr>
              <w:t>(</w:t>
            </w:r>
            <w:r>
              <w:rPr>
                <w:rFonts w:ascii="Times New Roman" w:hAnsi="Times New Roman" w:hint="eastAsia"/>
                <w:sz w:val="21"/>
                <w:szCs w:val="21"/>
              </w:rPr>
              <w:t>Mt/a</w:t>
            </w:r>
            <w:r>
              <w:rPr>
                <w:rFonts w:ascii="Times New Roman" w:hint="eastAsia"/>
                <w:sz w:val="21"/>
                <w:szCs w:val="21"/>
              </w:rPr>
              <w:t>)</w:t>
            </w:r>
          </w:p>
        </w:tc>
        <w:tc>
          <w:tcPr>
            <w:tcW w:w="3401" w:type="dxa"/>
            <w:gridSpan w:val="2"/>
            <w:vAlign w:val="center"/>
          </w:tcPr>
          <w:p w14:paraId="65BAA7A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选煤项目</w:t>
            </w:r>
            <w:r>
              <w:rPr>
                <w:rFonts w:ascii="Times New Roman" w:hint="eastAsia"/>
                <w:sz w:val="21"/>
                <w:szCs w:val="21"/>
              </w:rPr>
              <w:t>(</w:t>
            </w:r>
            <w:r>
              <w:rPr>
                <w:rFonts w:ascii="Times New Roman" w:hAnsi="Times New Roman" w:hint="eastAsia"/>
                <w:sz w:val="21"/>
                <w:szCs w:val="21"/>
              </w:rPr>
              <w:t>Mt/a</w:t>
            </w:r>
            <w:r>
              <w:rPr>
                <w:rFonts w:ascii="Times New Roman" w:hint="eastAsia"/>
                <w:sz w:val="21"/>
                <w:szCs w:val="21"/>
              </w:rPr>
              <w:t>)</w:t>
            </w:r>
          </w:p>
        </w:tc>
      </w:tr>
      <w:tr w:rsidR="009C353B" w14:paraId="443A139D" w14:textId="77777777">
        <w:trPr>
          <w:trHeight w:val="340"/>
        </w:trPr>
        <w:tc>
          <w:tcPr>
            <w:tcW w:w="1980" w:type="dxa"/>
            <w:vAlign w:val="center"/>
          </w:tcPr>
          <w:p w14:paraId="44EDA0EA"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sz w:val="21"/>
                <w:szCs w:val="21"/>
              </w:rPr>
              <w:t>2020</w:t>
            </w:r>
            <w:r>
              <w:rPr>
                <w:rFonts w:ascii="Times New Roman"/>
                <w:sz w:val="21"/>
                <w:szCs w:val="21"/>
              </w:rPr>
              <w:t>年</w:t>
            </w:r>
          </w:p>
          <w:p w14:paraId="6B430E2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（评价基准年）</w:t>
            </w:r>
          </w:p>
        </w:tc>
        <w:tc>
          <w:tcPr>
            <w:tcW w:w="3680" w:type="dxa"/>
            <w:vAlign w:val="center"/>
          </w:tcPr>
          <w:p w14:paraId="068272D1" w14:textId="77777777" w:rsidR="009C353B" w:rsidRDefault="00000000">
            <w:pPr>
              <w:adjustRightInd w:val="0"/>
              <w:snapToGrid w:val="0"/>
              <w:spacing w:line="240" w:lineRule="atLeast"/>
              <w:jc w:val="center"/>
              <w:rPr>
                <w:rFonts w:ascii="Times New Roman" w:hAnsi="Times New Roman"/>
                <w:b/>
                <w:bCs/>
                <w:sz w:val="21"/>
                <w:szCs w:val="21"/>
              </w:rPr>
            </w:pPr>
            <w:r>
              <w:rPr>
                <w:rFonts w:ascii="Times New Roman" w:hAnsi="Times New Roman" w:hint="eastAsia"/>
                <w:b/>
                <w:bCs/>
                <w:sz w:val="21"/>
                <w:szCs w:val="21"/>
              </w:rPr>
              <w:t>现有生产规模：</w:t>
            </w:r>
            <w:r>
              <w:rPr>
                <w:rFonts w:ascii="Times New Roman" w:hAnsi="Times New Roman"/>
                <w:b/>
                <w:bCs/>
                <w:sz w:val="21"/>
                <w:szCs w:val="21"/>
              </w:rPr>
              <w:t>8.3</w:t>
            </w:r>
          </w:p>
          <w:p w14:paraId="557B7997" w14:textId="77777777" w:rsidR="009C353B" w:rsidRDefault="00000000">
            <w:pPr>
              <w:snapToGrid w:val="0"/>
              <w:spacing w:line="240" w:lineRule="atLeast"/>
              <w:jc w:val="center"/>
              <w:rPr>
                <w:rFonts w:ascii="Times New Roman" w:hint="eastAsia"/>
                <w:sz w:val="21"/>
                <w:szCs w:val="21"/>
              </w:rPr>
            </w:pPr>
            <w:r>
              <w:rPr>
                <w:rFonts w:ascii="Times New Roman" w:hint="eastAsia"/>
                <w:sz w:val="21"/>
                <w:szCs w:val="21"/>
              </w:rPr>
              <w:t>马莲台</w:t>
            </w:r>
            <w:r>
              <w:rPr>
                <w:rFonts w:ascii="Times New Roman"/>
                <w:sz w:val="21"/>
                <w:szCs w:val="21"/>
              </w:rPr>
              <w:t>矿井</w:t>
            </w:r>
            <w:r>
              <w:rPr>
                <w:rFonts w:ascii="Times New Roman" w:hAnsi="Times New Roman" w:hint="eastAsia"/>
                <w:sz w:val="21"/>
                <w:szCs w:val="21"/>
              </w:rPr>
              <w:t>（</w:t>
            </w:r>
            <w:r>
              <w:rPr>
                <w:rFonts w:ascii="Times New Roman" w:hAnsi="Times New Roman" w:hint="eastAsia"/>
                <w:sz w:val="21"/>
                <w:szCs w:val="21"/>
              </w:rPr>
              <w:t>3.</w:t>
            </w:r>
            <w:r>
              <w:rPr>
                <w:rFonts w:ascii="Times New Roman" w:hAnsi="Times New Roman"/>
                <w:sz w:val="21"/>
                <w:szCs w:val="21"/>
              </w:rPr>
              <w:t>6</w:t>
            </w:r>
            <w:r>
              <w:rPr>
                <w:rFonts w:ascii="Times New Roman" w:hAnsi="Times New Roman" w:hint="eastAsia"/>
                <w:sz w:val="21"/>
                <w:szCs w:val="21"/>
              </w:rPr>
              <w:t>）</w:t>
            </w:r>
          </w:p>
          <w:p w14:paraId="7CF48280" w14:textId="77777777" w:rsidR="009C353B" w:rsidRDefault="00000000">
            <w:pPr>
              <w:snapToGrid w:val="0"/>
              <w:spacing w:line="240" w:lineRule="atLeast"/>
              <w:jc w:val="center"/>
              <w:rPr>
                <w:rFonts w:ascii="Times New Roman" w:hint="eastAsia"/>
                <w:sz w:val="21"/>
                <w:szCs w:val="21"/>
              </w:rPr>
            </w:pPr>
            <w:r>
              <w:rPr>
                <w:rFonts w:ascii="Times New Roman" w:hint="eastAsia"/>
                <w:sz w:val="21"/>
                <w:szCs w:val="21"/>
              </w:rPr>
              <w:t>红石湾矿井</w:t>
            </w:r>
            <w:r>
              <w:rPr>
                <w:rFonts w:ascii="Times New Roman" w:hAnsi="Times New Roman" w:hint="eastAsia"/>
                <w:sz w:val="21"/>
                <w:szCs w:val="21"/>
              </w:rPr>
              <w:t>（</w:t>
            </w:r>
            <w:r>
              <w:rPr>
                <w:rFonts w:ascii="Times New Roman" w:hAnsi="Times New Roman"/>
                <w:sz w:val="21"/>
                <w:szCs w:val="21"/>
              </w:rPr>
              <w:t>1.1</w:t>
            </w:r>
            <w:r>
              <w:rPr>
                <w:rFonts w:ascii="Times New Roman" w:hAnsi="Times New Roman" w:hint="eastAsia"/>
                <w:sz w:val="21"/>
                <w:szCs w:val="21"/>
              </w:rPr>
              <w:t>）</w:t>
            </w:r>
          </w:p>
          <w:p w14:paraId="4B3F50E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int="eastAsia"/>
                <w:sz w:val="21"/>
                <w:szCs w:val="21"/>
              </w:rPr>
              <w:t>任家庄矿井</w:t>
            </w:r>
            <w:r>
              <w:rPr>
                <w:rFonts w:ascii="Times New Roman" w:hAnsi="Times New Roman" w:hint="eastAsia"/>
                <w:sz w:val="21"/>
                <w:szCs w:val="21"/>
              </w:rPr>
              <w:t>（</w:t>
            </w:r>
            <w:r>
              <w:rPr>
                <w:rFonts w:ascii="Times New Roman" w:hAnsi="Times New Roman" w:hint="eastAsia"/>
                <w:sz w:val="21"/>
                <w:szCs w:val="21"/>
              </w:rPr>
              <w:t>3.</w:t>
            </w:r>
            <w:r>
              <w:rPr>
                <w:rFonts w:ascii="Times New Roman" w:hAnsi="Times New Roman"/>
                <w:sz w:val="21"/>
                <w:szCs w:val="21"/>
              </w:rPr>
              <w:t>6</w:t>
            </w:r>
            <w:r>
              <w:rPr>
                <w:rFonts w:ascii="Times New Roman" w:hAnsi="Times New Roman" w:hint="eastAsia"/>
                <w:sz w:val="21"/>
                <w:szCs w:val="21"/>
              </w:rPr>
              <w:t>）</w:t>
            </w:r>
          </w:p>
          <w:p w14:paraId="570E7C43"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丁家梁矿井（</w:t>
            </w:r>
            <w:r>
              <w:rPr>
                <w:rFonts w:ascii="Times New Roman"/>
                <w:sz w:val="21"/>
                <w:szCs w:val="21"/>
              </w:rPr>
              <w:t>0</w:t>
            </w:r>
            <w:r>
              <w:rPr>
                <w:rFonts w:ascii="Times New Roman" w:hint="eastAsia"/>
                <w:sz w:val="21"/>
                <w:szCs w:val="21"/>
              </w:rPr>
              <w:t>）</w:t>
            </w:r>
          </w:p>
        </w:tc>
        <w:tc>
          <w:tcPr>
            <w:tcW w:w="3401" w:type="dxa"/>
            <w:gridSpan w:val="2"/>
            <w:vAlign w:val="center"/>
          </w:tcPr>
          <w:p w14:paraId="61C1FCD7" w14:textId="77777777" w:rsidR="009C353B" w:rsidRDefault="00000000">
            <w:pPr>
              <w:adjustRightInd w:val="0"/>
              <w:snapToGrid w:val="0"/>
              <w:spacing w:line="240" w:lineRule="atLeast"/>
              <w:jc w:val="center"/>
              <w:rPr>
                <w:rFonts w:ascii="Times New Roman" w:hAnsi="Times New Roman"/>
                <w:b/>
                <w:bCs/>
                <w:sz w:val="21"/>
                <w:szCs w:val="21"/>
              </w:rPr>
            </w:pPr>
            <w:r>
              <w:rPr>
                <w:rFonts w:ascii="Times New Roman" w:hAnsi="Times New Roman" w:hint="eastAsia"/>
                <w:b/>
                <w:bCs/>
                <w:sz w:val="21"/>
                <w:szCs w:val="21"/>
              </w:rPr>
              <w:t>选现有煤厂规模：</w:t>
            </w:r>
            <w:r>
              <w:rPr>
                <w:rFonts w:ascii="Times New Roman" w:hAnsi="Times New Roman"/>
                <w:b/>
                <w:bCs/>
                <w:sz w:val="21"/>
                <w:szCs w:val="21"/>
              </w:rPr>
              <w:t>16.0</w:t>
            </w:r>
          </w:p>
          <w:p w14:paraId="6A0DB086" w14:textId="77777777" w:rsidR="009C353B" w:rsidRDefault="00000000">
            <w:pPr>
              <w:adjustRightInd w:val="0"/>
              <w:snapToGrid w:val="0"/>
              <w:spacing w:line="240" w:lineRule="atLeast"/>
              <w:jc w:val="center"/>
              <w:rPr>
                <w:rFonts w:ascii="Times New Roman" w:hAnsi="Times New Roman"/>
                <w:b/>
                <w:bCs/>
                <w:sz w:val="21"/>
                <w:szCs w:val="21"/>
              </w:rPr>
            </w:pPr>
            <w:r>
              <w:rPr>
                <w:rFonts w:ascii="Times New Roman" w:hint="eastAsia"/>
                <w:sz w:val="21"/>
                <w:szCs w:val="21"/>
              </w:rPr>
              <w:t>马莲台选煤厂</w:t>
            </w:r>
            <w:r>
              <w:rPr>
                <w:rFonts w:ascii="Times New Roman" w:hAnsi="Times New Roman" w:hint="eastAsia"/>
                <w:sz w:val="21"/>
                <w:szCs w:val="21"/>
              </w:rPr>
              <w:t>（</w:t>
            </w:r>
            <w:r>
              <w:rPr>
                <w:rFonts w:ascii="Times New Roman" w:hAnsi="Times New Roman"/>
                <w:sz w:val="21"/>
                <w:szCs w:val="21"/>
              </w:rPr>
              <w:t>10.0</w:t>
            </w:r>
            <w:r>
              <w:rPr>
                <w:rFonts w:ascii="Times New Roman" w:hAnsi="Times New Roman" w:hint="eastAsia"/>
                <w:sz w:val="21"/>
                <w:szCs w:val="21"/>
              </w:rPr>
              <w:t>）</w:t>
            </w:r>
          </w:p>
          <w:p w14:paraId="2A39FE84" w14:textId="77777777" w:rsidR="009C353B" w:rsidRDefault="00000000">
            <w:pPr>
              <w:snapToGrid w:val="0"/>
              <w:spacing w:line="240" w:lineRule="atLeast"/>
              <w:jc w:val="center"/>
              <w:rPr>
                <w:rFonts w:ascii="Times New Roman" w:hint="eastAsia"/>
                <w:sz w:val="21"/>
                <w:szCs w:val="21"/>
              </w:rPr>
            </w:pPr>
            <w:r>
              <w:rPr>
                <w:rFonts w:ascii="Times New Roman" w:hint="eastAsia"/>
                <w:sz w:val="21"/>
                <w:szCs w:val="21"/>
              </w:rPr>
              <w:t>红石湾选煤厂</w:t>
            </w:r>
            <w:r>
              <w:rPr>
                <w:rFonts w:ascii="Times New Roman" w:hAnsi="Times New Roman" w:hint="eastAsia"/>
                <w:sz w:val="21"/>
                <w:szCs w:val="21"/>
              </w:rPr>
              <w:t>（</w:t>
            </w:r>
            <w:r>
              <w:rPr>
                <w:rFonts w:ascii="Times New Roman" w:hAnsi="Times New Roman"/>
                <w:sz w:val="21"/>
                <w:szCs w:val="21"/>
              </w:rPr>
              <w:t>1.2</w:t>
            </w:r>
            <w:r>
              <w:rPr>
                <w:rFonts w:ascii="Times New Roman" w:hAnsi="Times New Roman" w:hint="eastAsia"/>
                <w:sz w:val="21"/>
                <w:szCs w:val="21"/>
              </w:rPr>
              <w:t>）</w:t>
            </w:r>
          </w:p>
          <w:p w14:paraId="0DE5CEC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int="eastAsia"/>
                <w:sz w:val="21"/>
                <w:szCs w:val="21"/>
              </w:rPr>
              <w:t>任家庄选煤厂</w:t>
            </w:r>
            <w:r>
              <w:rPr>
                <w:rFonts w:ascii="Times New Roman" w:hAnsi="Times New Roman" w:hint="eastAsia"/>
                <w:sz w:val="21"/>
                <w:szCs w:val="21"/>
              </w:rPr>
              <w:t>（</w:t>
            </w:r>
            <w:r>
              <w:rPr>
                <w:rFonts w:ascii="Times New Roman" w:hAnsi="Times New Roman"/>
                <w:sz w:val="21"/>
                <w:szCs w:val="21"/>
              </w:rPr>
              <w:t>4.8</w:t>
            </w:r>
            <w:r>
              <w:rPr>
                <w:rFonts w:ascii="Times New Roman" w:hAnsi="Times New Roman" w:hint="eastAsia"/>
                <w:sz w:val="21"/>
                <w:szCs w:val="21"/>
              </w:rPr>
              <w:t>）</w:t>
            </w:r>
          </w:p>
        </w:tc>
      </w:tr>
      <w:tr w:rsidR="009C353B" w14:paraId="2D3B13FE" w14:textId="77777777">
        <w:trPr>
          <w:trHeight w:val="340"/>
        </w:trPr>
        <w:tc>
          <w:tcPr>
            <w:tcW w:w="1980" w:type="dxa"/>
            <w:vAlign w:val="center"/>
          </w:tcPr>
          <w:p w14:paraId="030F42C8"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规划远期</w:t>
            </w:r>
          </w:p>
          <w:p w14:paraId="7B81B6D6"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202</w:t>
            </w:r>
            <w:r>
              <w:rPr>
                <w:rFonts w:ascii="Times New Roman"/>
                <w:sz w:val="21"/>
                <w:szCs w:val="21"/>
              </w:rPr>
              <w:t>2</w:t>
            </w:r>
            <w:r>
              <w:rPr>
                <w:rFonts w:ascii="Times New Roman" w:hint="eastAsia"/>
                <w:sz w:val="21"/>
                <w:szCs w:val="21"/>
              </w:rPr>
              <w:t>年以后</w:t>
            </w:r>
          </w:p>
        </w:tc>
        <w:tc>
          <w:tcPr>
            <w:tcW w:w="3680" w:type="dxa"/>
            <w:vAlign w:val="center"/>
          </w:tcPr>
          <w:p w14:paraId="3A503B30" w14:textId="77777777" w:rsidR="009C353B" w:rsidRDefault="00000000">
            <w:pPr>
              <w:adjustRightInd w:val="0"/>
              <w:snapToGrid w:val="0"/>
              <w:spacing w:line="240" w:lineRule="atLeast"/>
              <w:jc w:val="center"/>
              <w:rPr>
                <w:rFonts w:ascii="Times New Roman" w:hAnsi="Times New Roman"/>
                <w:b/>
                <w:bCs/>
                <w:sz w:val="21"/>
                <w:szCs w:val="21"/>
              </w:rPr>
            </w:pPr>
            <w:r>
              <w:rPr>
                <w:rFonts w:ascii="Times New Roman" w:hAnsi="Times New Roman" w:hint="eastAsia"/>
                <w:b/>
                <w:bCs/>
                <w:sz w:val="21"/>
                <w:szCs w:val="21"/>
              </w:rPr>
              <w:t>规划生产规模：</w:t>
            </w:r>
            <w:r>
              <w:rPr>
                <w:rFonts w:ascii="Times New Roman" w:hAnsi="Times New Roman"/>
                <w:b/>
                <w:bCs/>
                <w:sz w:val="21"/>
                <w:szCs w:val="21"/>
              </w:rPr>
              <w:t>9.2</w:t>
            </w:r>
          </w:p>
          <w:p w14:paraId="32FB6C31" w14:textId="77777777" w:rsidR="009C353B" w:rsidRDefault="00000000">
            <w:pPr>
              <w:snapToGrid w:val="0"/>
              <w:spacing w:line="240" w:lineRule="atLeast"/>
              <w:jc w:val="center"/>
              <w:rPr>
                <w:rFonts w:ascii="Times New Roman" w:hint="eastAsia"/>
                <w:sz w:val="21"/>
                <w:szCs w:val="21"/>
              </w:rPr>
            </w:pPr>
            <w:r>
              <w:rPr>
                <w:rFonts w:ascii="Times New Roman" w:hint="eastAsia"/>
                <w:sz w:val="21"/>
                <w:szCs w:val="21"/>
              </w:rPr>
              <w:t>马莲台</w:t>
            </w:r>
            <w:r>
              <w:rPr>
                <w:rFonts w:ascii="Times New Roman"/>
                <w:sz w:val="21"/>
                <w:szCs w:val="21"/>
              </w:rPr>
              <w:t>矿井</w:t>
            </w:r>
            <w:r>
              <w:rPr>
                <w:rFonts w:ascii="Times New Roman" w:hAnsi="Times New Roman" w:hint="eastAsia"/>
                <w:sz w:val="21"/>
                <w:szCs w:val="21"/>
              </w:rPr>
              <w:t>（</w:t>
            </w:r>
            <w:r>
              <w:rPr>
                <w:rFonts w:ascii="Times New Roman" w:hAnsi="Times New Roman" w:hint="eastAsia"/>
                <w:sz w:val="21"/>
                <w:szCs w:val="21"/>
              </w:rPr>
              <w:t>3.</w:t>
            </w:r>
            <w:r>
              <w:rPr>
                <w:rFonts w:ascii="Times New Roman" w:hAnsi="Times New Roman"/>
                <w:sz w:val="21"/>
                <w:szCs w:val="21"/>
              </w:rPr>
              <w:t>6</w:t>
            </w:r>
            <w:r>
              <w:rPr>
                <w:rFonts w:ascii="Times New Roman" w:hAnsi="Times New Roman" w:hint="eastAsia"/>
                <w:sz w:val="21"/>
                <w:szCs w:val="21"/>
              </w:rPr>
              <w:t>）</w:t>
            </w:r>
          </w:p>
          <w:p w14:paraId="72725FC6" w14:textId="77777777" w:rsidR="009C353B" w:rsidRDefault="00000000">
            <w:pPr>
              <w:snapToGrid w:val="0"/>
              <w:spacing w:line="240" w:lineRule="atLeast"/>
              <w:jc w:val="center"/>
              <w:rPr>
                <w:rFonts w:ascii="Times New Roman" w:hint="eastAsia"/>
                <w:sz w:val="21"/>
                <w:szCs w:val="21"/>
              </w:rPr>
            </w:pPr>
            <w:r>
              <w:rPr>
                <w:rFonts w:ascii="Times New Roman" w:hint="eastAsia"/>
                <w:sz w:val="21"/>
                <w:szCs w:val="21"/>
              </w:rPr>
              <w:t>红石湾矿井</w:t>
            </w:r>
            <w:r>
              <w:rPr>
                <w:rFonts w:ascii="Times New Roman" w:hAnsi="Times New Roman" w:hint="eastAsia"/>
                <w:sz w:val="21"/>
                <w:szCs w:val="21"/>
              </w:rPr>
              <w:t>（</w:t>
            </w:r>
            <w:r>
              <w:rPr>
                <w:rFonts w:ascii="Times New Roman" w:hAnsi="Times New Roman"/>
                <w:sz w:val="21"/>
                <w:szCs w:val="21"/>
              </w:rPr>
              <w:t>1.1</w:t>
            </w:r>
            <w:r>
              <w:rPr>
                <w:rFonts w:ascii="Times New Roman" w:hAnsi="Times New Roman" w:hint="eastAsia"/>
                <w:sz w:val="21"/>
                <w:szCs w:val="21"/>
              </w:rPr>
              <w:t>）</w:t>
            </w:r>
          </w:p>
          <w:p w14:paraId="28D1362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int="eastAsia"/>
                <w:sz w:val="21"/>
                <w:szCs w:val="21"/>
              </w:rPr>
              <w:t>任家庄矿井</w:t>
            </w:r>
            <w:r>
              <w:rPr>
                <w:rFonts w:ascii="Times New Roman" w:hAnsi="Times New Roman" w:hint="eastAsia"/>
                <w:sz w:val="21"/>
                <w:szCs w:val="21"/>
              </w:rPr>
              <w:t>（</w:t>
            </w:r>
            <w:r>
              <w:rPr>
                <w:rFonts w:ascii="Times New Roman" w:hAnsi="Times New Roman" w:hint="eastAsia"/>
                <w:sz w:val="21"/>
                <w:szCs w:val="21"/>
              </w:rPr>
              <w:t>3.</w:t>
            </w:r>
            <w:r>
              <w:rPr>
                <w:rFonts w:ascii="Times New Roman" w:hAnsi="Times New Roman"/>
                <w:sz w:val="21"/>
                <w:szCs w:val="21"/>
              </w:rPr>
              <w:t>6</w:t>
            </w:r>
            <w:r>
              <w:rPr>
                <w:rFonts w:ascii="Times New Roman" w:hAnsi="Times New Roman" w:hint="eastAsia"/>
                <w:sz w:val="21"/>
                <w:szCs w:val="21"/>
              </w:rPr>
              <w:t>）</w:t>
            </w:r>
          </w:p>
          <w:p w14:paraId="7D1830F0"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丁家梁矿井（</w:t>
            </w:r>
            <w:r>
              <w:rPr>
                <w:rFonts w:ascii="Times New Roman"/>
                <w:sz w:val="21"/>
                <w:szCs w:val="21"/>
              </w:rPr>
              <w:t>0.9</w:t>
            </w:r>
            <w:r>
              <w:rPr>
                <w:rFonts w:ascii="Times New Roman" w:hint="eastAsia"/>
                <w:sz w:val="21"/>
                <w:szCs w:val="21"/>
              </w:rPr>
              <w:t>）</w:t>
            </w:r>
          </w:p>
        </w:tc>
        <w:tc>
          <w:tcPr>
            <w:tcW w:w="3401" w:type="dxa"/>
            <w:gridSpan w:val="2"/>
            <w:vAlign w:val="center"/>
          </w:tcPr>
          <w:p w14:paraId="241A6A2A" w14:textId="77777777" w:rsidR="009C353B" w:rsidRDefault="00000000">
            <w:pPr>
              <w:adjustRightInd w:val="0"/>
              <w:snapToGrid w:val="0"/>
              <w:spacing w:line="240" w:lineRule="atLeast"/>
              <w:jc w:val="center"/>
              <w:rPr>
                <w:rFonts w:ascii="Times New Roman" w:hAnsi="Times New Roman"/>
                <w:b/>
                <w:bCs/>
                <w:sz w:val="21"/>
                <w:szCs w:val="21"/>
              </w:rPr>
            </w:pPr>
            <w:r>
              <w:rPr>
                <w:rFonts w:ascii="Times New Roman" w:hAnsi="Times New Roman" w:hint="eastAsia"/>
                <w:b/>
                <w:bCs/>
                <w:sz w:val="21"/>
                <w:szCs w:val="21"/>
              </w:rPr>
              <w:t>选现有煤厂规模：</w:t>
            </w:r>
            <w:r>
              <w:rPr>
                <w:rFonts w:ascii="Times New Roman" w:hAnsi="Times New Roman"/>
                <w:b/>
                <w:bCs/>
                <w:sz w:val="21"/>
                <w:szCs w:val="21"/>
              </w:rPr>
              <w:t>16.0</w:t>
            </w:r>
          </w:p>
          <w:p w14:paraId="24679438" w14:textId="77777777" w:rsidR="009C353B" w:rsidRDefault="00000000">
            <w:pPr>
              <w:adjustRightInd w:val="0"/>
              <w:snapToGrid w:val="0"/>
              <w:spacing w:line="240" w:lineRule="atLeast"/>
              <w:jc w:val="center"/>
              <w:rPr>
                <w:rFonts w:ascii="Times New Roman" w:hAnsi="Times New Roman"/>
                <w:b/>
                <w:bCs/>
                <w:sz w:val="21"/>
                <w:szCs w:val="21"/>
              </w:rPr>
            </w:pPr>
            <w:r>
              <w:rPr>
                <w:rFonts w:ascii="Times New Roman" w:hint="eastAsia"/>
                <w:sz w:val="21"/>
                <w:szCs w:val="21"/>
              </w:rPr>
              <w:t>马莲台选煤厂</w:t>
            </w:r>
            <w:r>
              <w:rPr>
                <w:rFonts w:ascii="Times New Roman" w:hAnsi="Times New Roman" w:hint="eastAsia"/>
                <w:sz w:val="21"/>
                <w:szCs w:val="21"/>
              </w:rPr>
              <w:t>（</w:t>
            </w:r>
            <w:r>
              <w:rPr>
                <w:rFonts w:ascii="Times New Roman" w:hAnsi="Times New Roman"/>
                <w:sz w:val="21"/>
                <w:szCs w:val="21"/>
              </w:rPr>
              <w:t>10.0</w:t>
            </w:r>
            <w:r>
              <w:rPr>
                <w:rFonts w:ascii="Times New Roman" w:hAnsi="Times New Roman" w:hint="eastAsia"/>
                <w:sz w:val="21"/>
                <w:szCs w:val="21"/>
              </w:rPr>
              <w:t>）</w:t>
            </w:r>
          </w:p>
          <w:p w14:paraId="34ADDC58" w14:textId="77777777" w:rsidR="009C353B" w:rsidRDefault="00000000">
            <w:pPr>
              <w:snapToGrid w:val="0"/>
              <w:spacing w:line="240" w:lineRule="atLeast"/>
              <w:jc w:val="center"/>
              <w:rPr>
                <w:rFonts w:ascii="Times New Roman" w:hint="eastAsia"/>
                <w:sz w:val="21"/>
                <w:szCs w:val="21"/>
              </w:rPr>
            </w:pPr>
            <w:r>
              <w:rPr>
                <w:rFonts w:ascii="Times New Roman" w:hint="eastAsia"/>
                <w:sz w:val="21"/>
                <w:szCs w:val="21"/>
              </w:rPr>
              <w:t>红石湾选煤厂</w:t>
            </w:r>
            <w:r>
              <w:rPr>
                <w:rFonts w:ascii="Times New Roman" w:hAnsi="Times New Roman" w:hint="eastAsia"/>
                <w:sz w:val="21"/>
                <w:szCs w:val="21"/>
              </w:rPr>
              <w:t>（</w:t>
            </w:r>
            <w:r>
              <w:rPr>
                <w:rFonts w:ascii="Times New Roman" w:hAnsi="Times New Roman"/>
                <w:sz w:val="21"/>
                <w:szCs w:val="21"/>
              </w:rPr>
              <w:t>1.2</w:t>
            </w:r>
            <w:r>
              <w:rPr>
                <w:rFonts w:ascii="Times New Roman" w:hAnsi="Times New Roman" w:hint="eastAsia"/>
                <w:sz w:val="21"/>
                <w:szCs w:val="21"/>
              </w:rPr>
              <w:t>）</w:t>
            </w:r>
          </w:p>
          <w:p w14:paraId="0CEAF80F"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任家庄选煤厂</w:t>
            </w:r>
            <w:r>
              <w:rPr>
                <w:rFonts w:ascii="Times New Roman" w:hAnsi="Times New Roman" w:hint="eastAsia"/>
                <w:sz w:val="21"/>
                <w:szCs w:val="21"/>
              </w:rPr>
              <w:t>（</w:t>
            </w:r>
            <w:r>
              <w:rPr>
                <w:rFonts w:ascii="Times New Roman" w:hAnsi="Times New Roman"/>
                <w:sz w:val="21"/>
                <w:szCs w:val="21"/>
              </w:rPr>
              <w:t>4.8</w:t>
            </w:r>
            <w:r>
              <w:rPr>
                <w:rFonts w:ascii="Times New Roman" w:hAnsi="Times New Roman" w:hint="eastAsia"/>
                <w:sz w:val="21"/>
                <w:szCs w:val="21"/>
              </w:rPr>
              <w:t>）</w:t>
            </w:r>
          </w:p>
        </w:tc>
      </w:tr>
    </w:tbl>
    <w:p w14:paraId="4E7AC81F" w14:textId="77777777" w:rsidR="009C353B" w:rsidRDefault="00000000">
      <w:pPr>
        <w:pStyle w:val="2"/>
        <w:snapToGrid w:val="0"/>
        <w:spacing w:line="440" w:lineRule="exact"/>
        <w:rPr>
          <w:rFonts w:ascii="Times New Roman" w:eastAsia="宋体" w:hAnsi="Times New Roman"/>
          <w:b/>
          <w:sz w:val="28"/>
        </w:rPr>
      </w:pPr>
      <w:bookmarkStart w:id="11" w:name="_Toc179791030"/>
      <w:bookmarkStart w:id="12" w:name="_Toc197828920"/>
      <w:bookmarkStart w:id="13" w:name="_Toc206408365"/>
      <w:bookmarkStart w:id="14" w:name="_Toc309231422"/>
      <w:bookmarkStart w:id="15" w:name="_Toc59189817"/>
      <w:r>
        <w:rPr>
          <w:rFonts w:ascii="Times New Roman" w:eastAsia="宋体" w:hAnsi="Times New Roman"/>
          <w:b/>
          <w:sz w:val="28"/>
        </w:rPr>
        <w:t xml:space="preserve">1.6 </w:t>
      </w:r>
      <w:r>
        <w:rPr>
          <w:rFonts w:ascii="Times New Roman" w:eastAsia="宋体" w:hAnsi="Times New Roman"/>
          <w:b/>
          <w:sz w:val="28"/>
        </w:rPr>
        <w:t>评价分区</w:t>
      </w:r>
      <w:bookmarkEnd w:id="11"/>
      <w:bookmarkEnd w:id="12"/>
      <w:bookmarkEnd w:id="13"/>
      <w:bookmarkEnd w:id="14"/>
      <w:bookmarkEnd w:id="15"/>
    </w:p>
    <w:p w14:paraId="575C26B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rPr>
        <w:t>矿区总体规划，</w:t>
      </w:r>
      <w:r>
        <w:rPr>
          <w:rFonts w:ascii="Times New Roman" w:hint="eastAsia"/>
        </w:rPr>
        <w:t>矿区目前开发均为井工矿，分为已开发矿井、在建矿井。</w:t>
      </w:r>
      <w:r>
        <w:rPr>
          <w:rFonts w:ascii="Times New Roman"/>
        </w:rPr>
        <w:t>为了有重点、有区别地评价矿区开发对不同区域的环境影响，结合</w:t>
      </w:r>
      <w:r>
        <w:rPr>
          <w:rFonts w:ascii="Times New Roman" w:hint="eastAsia"/>
        </w:rPr>
        <w:t>矿区</w:t>
      </w:r>
      <w:r>
        <w:rPr>
          <w:rFonts w:ascii="Times New Roman"/>
        </w:rPr>
        <w:t>开发建设规划及各区域的环境特征，将规划范围分区开展评价工作，各区范围及评价重点详见表</w:t>
      </w:r>
      <w:r>
        <w:rPr>
          <w:rFonts w:ascii="Times New Roman" w:hAnsi="Times New Roman"/>
        </w:rPr>
        <w:t>1.5-1</w:t>
      </w:r>
      <w:r>
        <w:rPr>
          <w:rFonts w:ascii="Times New Roman"/>
        </w:rPr>
        <w:t>。</w:t>
      </w:r>
    </w:p>
    <w:p w14:paraId="054682C5" w14:textId="77777777" w:rsidR="009C353B" w:rsidRDefault="009C353B">
      <w:pPr>
        <w:adjustRightInd w:val="0"/>
        <w:snapToGrid w:val="0"/>
        <w:spacing w:line="440" w:lineRule="exact"/>
        <w:ind w:firstLineChars="200" w:firstLine="480"/>
        <w:rPr>
          <w:rFonts w:ascii="Times New Roman" w:hint="eastAsia"/>
        </w:rPr>
      </w:pPr>
    </w:p>
    <w:p w14:paraId="7D1360D5" w14:textId="77777777" w:rsidR="009C353B" w:rsidRDefault="009C353B">
      <w:pPr>
        <w:adjustRightInd w:val="0"/>
        <w:snapToGrid w:val="0"/>
        <w:spacing w:line="440" w:lineRule="exact"/>
        <w:ind w:firstLineChars="200" w:firstLine="480"/>
        <w:rPr>
          <w:rFonts w:ascii="Times New Roman" w:hint="eastAsia"/>
        </w:rPr>
      </w:pPr>
    </w:p>
    <w:p w14:paraId="6B76BE18" w14:textId="77777777" w:rsidR="009C353B" w:rsidRDefault="009C353B">
      <w:pPr>
        <w:adjustRightInd w:val="0"/>
        <w:snapToGrid w:val="0"/>
        <w:spacing w:line="440" w:lineRule="exact"/>
        <w:ind w:firstLineChars="200" w:firstLine="480"/>
        <w:rPr>
          <w:rFonts w:ascii="Times New Roman" w:hint="eastAsia"/>
        </w:rPr>
      </w:pPr>
    </w:p>
    <w:p w14:paraId="45677C28" w14:textId="77777777" w:rsidR="009C353B" w:rsidRDefault="009C353B">
      <w:pPr>
        <w:adjustRightInd w:val="0"/>
        <w:snapToGrid w:val="0"/>
        <w:spacing w:line="440" w:lineRule="exact"/>
        <w:ind w:firstLineChars="200" w:firstLine="480"/>
        <w:rPr>
          <w:rFonts w:ascii="Times New Roman" w:hint="eastAsia"/>
        </w:rPr>
      </w:pPr>
    </w:p>
    <w:p w14:paraId="2E12D17D" w14:textId="77777777" w:rsidR="009C353B" w:rsidRDefault="00000000">
      <w:pPr>
        <w:pStyle w:val="affffff0"/>
        <w:adjustRightInd w:val="0"/>
        <w:spacing w:line="300" w:lineRule="exact"/>
        <w:ind w:firstLine="480"/>
        <w:jc w:val="center"/>
        <w:rPr>
          <w:rFonts w:ascii="Times New Roman" w:hAnsi="Times New Roman"/>
        </w:rPr>
      </w:pPr>
      <w:r>
        <w:rPr>
          <w:rFonts w:ascii="Times New Roman" w:hAnsi="Times New Roman"/>
        </w:rPr>
        <w:lastRenderedPageBreak/>
        <w:t>评价分区及评价重点</w:t>
      </w:r>
    </w:p>
    <w:p w14:paraId="22FB82C7" w14:textId="77777777" w:rsidR="009C353B" w:rsidRDefault="00000000">
      <w:pPr>
        <w:pStyle w:val="affffd"/>
        <w:spacing w:line="300" w:lineRule="exact"/>
        <w:ind w:firstLineChars="50" w:firstLine="120"/>
        <w:rPr>
          <w:rFonts w:ascii="Times New Roman" w:hAnsi="Times New Roman"/>
        </w:rPr>
      </w:pPr>
      <w:r>
        <w:rPr>
          <w:rFonts w:ascii="Times New Roman"/>
        </w:rPr>
        <w:t>表</w:t>
      </w:r>
      <w:r>
        <w:rPr>
          <w:rFonts w:ascii="Times New Roman" w:hAnsi="Times New Roman"/>
        </w:rPr>
        <w:t>1.6-1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28" w:type="dxa"/>
          <w:bottom w:w="57" w:type="dxa"/>
          <w:right w:w="28" w:type="dxa"/>
        </w:tblCellMar>
        <w:tblLook w:val="04A0" w:firstRow="1" w:lastRow="0" w:firstColumn="1" w:lastColumn="0" w:noHBand="0" w:noVBand="1"/>
      </w:tblPr>
      <w:tblGrid>
        <w:gridCol w:w="595"/>
        <w:gridCol w:w="851"/>
        <w:gridCol w:w="1276"/>
        <w:gridCol w:w="2126"/>
        <w:gridCol w:w="4110"/>
      </w:tblGrid>
      <w:tr w:rsidR="009C353B" w14:paraId="7777489A" w14:textId="77777777">
        <w:trPr>
          <w:trHeight w:val="340"/>
          <w:jc w:val="center"/>
        </w:trPr>
        <w:tc>
          <w:tcPr>
            <w:tcW w:w="2722" w:type="dxa"/>
            <w:gridSpan w:val="3"/>
            <w:vAlign w:val="center"/>
          </w:tcPr>
          <w:p w14:paraId="25D4C205" w14:textId="77777777" w:rsidR="009C353B" w:rsidRDefault="00000000">
            <w:pPr>
              <w:snapToGrid w:val="0"/>
              <w:spacing w:line="240" w:lineRule="atLeast"/>
              <w:jc w:val="center"/>
              <w:rPr>
                <w:rFonts w:ascii="Times New Roman" w:hAnsi="Times New Roman"/>
                <w:sz w:val="21"/>
                <w:szCs w:val="21"/>
              </w:rPr>
            </w:pPr>
            <w:r>
              <w:rPr>
                <w:rFonts w:ascii="Times New Roman"/>
                <w:sz w:val="21"/>
                <w:szCs w:val="21"/>
              </w:rPr>
              <w:t>规划分区</w:t>
            </w:r>
          </w:p>
        </w:tc>
        <w:tc>
          <w:tcPr>
            <w:tcW w:w="2126" w:type="dxa"/>
            <w:vAlign w:val="center"/>
          </w:tcPr>
          <w:p w14:paraId="6E23F65B" w14:textId="77777777" w:rsidR="009C353B" w:rsidRDefault="00000000">
            <w:pPr>
              <w:snapToGrid w:val="0"/>
              <w:spacing w:line="240" w:lineRule="atLeast"/>
              <w:jc w:val="center"/>
              <w:rPr>
                <w:rFonts w:ascii="Times New Roman" w:hAnsi="Times New Roman"/>
                <w:sz w:val="21"/>
                <w:szCs w:val="21"/>
              </w:rPr>
            </w:pPr>
            <w:r>
              <w:rPr>
                <w:rFonts w:ascii="Times New Roman"/>
                <w:sz w:val="21"/>
                <w:szCs w:val="21"/>
              </w:rPr>
              <w:t>分区特征</w:t>
            </w:r>
          </w:p>
        </w:tc>
        <w:tc>
          <w:tcPr>
            <w:tcW w:w="4110" w:type="dxa"/>
            <w:vAlign w:val="center"/>
          </w:tcPr>
          <w:p w14:paraId="74AEF844" w14:textId="77777777" w:rsidR="009C353B" w:rsidRDefault="00000000">
            <w:pPr>
              <w:snapToGrid w:val="0"/>
              <w:spacing w:line="240" w:lineRule="atLeast"/>
              <w:jc w:val="center"/>
              <w:rPr>
                <w:rFonts w:ascii="Times New Roman" w:hAnsi="Times New Roman"/>
                <w:sz w:val="21"/>
                <w:szCs w:val="21"/>
              </w:rPr>
            </w:pPr>
            <w:r>
              <w:rPr>
                <w:rFonts w:ascii="Times New Roman"/>
                <w:sz w:val="21"/>
                <w:szCs w:val="21"/>
              </w:rPr>
              <w:t>规划环评重点</w:t>
            </w:r>
          </w:p>
        </w:tc>
      </w:tr>
      <w:tr w:rsidR="009C353B" w14:paraId="5B3C0871" w14:textId="77777777">
        <w:trPr>
          <w:trHeight w:val="340"/>
          <w:jc w:val="center"/>
        </w:trPr>
        <w:tc>
          <w:tcPr>
            <w:tcW w:w="595" w:type="dxa"/>
            <w:vMerge w:val="restart"/>
            <w:vAlign w:val="center"/>
          </w:tcPr>
          <w:p w14:paraId="36293E8C" w14:textId="77777777" w:rsidR="009C353B" w:rsidRDefault="00000000">
            <w:pPr>
              <w:snapToGrid w:val="0"/>
              <w:spacing w:line="240" w:lineRule="atLeast"/>
              <w:jc w:val="center"/>
              <w:rPr>
                <w:rFonts w:ascii="Times New Roman" w:hAnsi="Times New Roman"/>
                <w:sz w:val="21"/>
                <w:szCs w:val="21"/>
              </w:rPr>
            </w:pPr>
            <w:r>
              <w:rPr>
                <w:rFonts w:ascii="Times New Roman"/>
                <w:sz w:val="21"/>
                <w:szCs w:val="21"/>
              </w:rPr>
              <w:t>重点</w:t>
            </w:r>
          </w:p>
          <w:p w14:paraId="67514B69" w14:textId="77777777" w:rsidR="009C353B" w:rsidRDefault="00000000">
            <w:pPr>
              <w:snapToGrid w:val="0"/>
              <w:spacing w:line="240" w:lineRule="atLeast"/>
              <w:jc w:val="center"/>
              <w:rPr>
                <w:rFonts w:ascii="Times New Roman" w:hAnsi="Times New Roman"/>
                <w:sz w:val="21"/>
                <w:szCs w:val="21"/>
              </w:rPr>
            </w:pPr>
            <w:r>
              <w:rPr>
                <w:rFonts w:ascii="Times New Roman"/>
                <w:sz w:val="21"/>
                <w:szCs w:val="21"/>
              </w:rPr>
              <w:t>评价区</w:t>
            </w:r>
          </w:p>
        </w:tc>
        <w:tc>
          <w:tcPr>
            <w:tcW w:w="851" w:type="dxa"/>
            <w:vAlign w:val="center"/>
          </w:tcPr>
          <w:p w14:paraId="34C6F115" w14:textId="77777777" w:rsidR="009C353B" w:rsidRDefault="00000000">
            <w:pPr>
              <w:snapToGrid w:val="0"/>
              <w:spacing w:line="240" w:lineRule="atLeast"/>
              <w:jc w:val="center"/>
              <w:rPr>
                <w:rFonts w:ascii="Times New Roman" w:hint="eastAsia"/>
                <w:sz w:val="21"/>
                <w:szCs w:val="21"/>
              </w:rPr>
            </w:pPr>
            <w:r>
              <w:rPr>
                <w:rFonts w:ascii="Times New Roman"/>
                <w:sz w:val="21"/>
                <w:szCs w:val="21"/>
              </w:rPr>
              <w:t>现状</w:t>
            </w:r>
          </w:p>
          <w:p w14:paraId="4F1B88B9" w14:textId="77777777" w:rsidR="009C353B" w:rsidRDefault="00000000">
            <w:pPr>
              <w:snapToGrid w:val="0"/>
              <w:spacing w:line="240" w:lineRule="atLeast"/>
              <w:jc w:val="center"/>
              <w:rPr>
                <w:rFonts w:ascii="Times New Roman" w:hAnsi="Times New Roman"/>
                <w:sz w:val="21"/>
                <w:szCs w:val="21"/>
              </w:rPr>
            </w:pPr>
            <w:r>
              <w:rPr>
                <w:rFonts w:ascii="Times New Roman"/>
                <w:sz w:val="21"/>
                <w:szCs w:val="21"/>
              </w:rPr>
              <w:t>生产区</w:t>
            </w:r>
          </w:p>
        </w:tc>
        <w:tc>
          <w:tcPr>
            <w:tcW w:w="1276" w:type="dxa"/>
            <w:vAlign w:val="center"/>
          </w:tcPr>
          <w:p w14:paraId="6E58EFBB" w14:textId="77777777" w:rsidR="009C353B" w:rsidRDefault="00000000">
            <w:pPr>
              <w:snapToGrid w:val="0"/>
              <w:spacing w:line="240" w:lineRule="atLeast"/>
              <w:rPr>
                <w:rFonts w:ascii="Times New Roman" w:hint="eastAsia"/>
                <w:sz w:val="21"/>
                <w:szCs w:val="21"/>
              </w:rPr>
            </w:pPr>
            <w:r>
              <w:rPr>
                <w:rFonts w:ascii="Times New Roman" w:hint="eastAsia"/>
                <w:sz w:val="21"/>
                <w:szCs w:val="21"/>
              </w:rPr>
              <w:t>马莲台</w:t>
            </w:r>
            <w:r>
              <w:rPr>
                <w:rFonts w:ascii="Times New Roman"/>
                <w:sz w:val="21"/>
                <w:szCs w:val="21"/>
              </w:rPr>
              <w:t>矿井</w:t>
            </w:r>
          </w:p>
          <w:p w14:paraId="64F1C08F" w14:textId="77777777" w:rsidR="009C353B" w:rsidRDefault="00000000">
            <w:pPr>
              <w:snapToGrid w:val="0"/>
              <w:spacing w:line="240" w:lineRule="atLeast"/>
              <w:rPr>
                <w:rFonts w:ascii="Times New Roman" w:hint="eastAsia"/>
                <w:sz w:val="21"/>
                <w:szCs w:val="21"/>
              </w:rPr>
            </w:pPr>
            <w:r>
              <w:rPr>
                <w:rFonts w:ascii="Times New Roman" w:hint="eastAsia"/>
                <w:sz w:val="21"/>
                <w:szCs w:val="21"/>
              </w:rPr>
              <w:t>红石湾矿井</w:t>
            </w:r>
          </w:p>
          <w:p w14:paraId="29750FE2" w14:textId="77777777" w:rsidR="009C353B" w:rsidRDefault="00000000">
            <w:pPr>
              <w:snapToGrid w:val="0"/>
              <w:spacing w:line="240" w:lineRule="atLeast"/>
              <w:rPr>
                <w:rFonts w:ascii="Times New Roman" w:hAnsi="Times New Roman"/>
                <w:sz w:val="21"/>
                <w:szCs w:val="21"/>
              </w:rPr>
            </w:pPr>
            <w:r>
              <w:rPr>
                <w:rFonts w:ascii="Times New Roman" w:hint="eastAsia"/>
                <w:sz w:val="21"/>
                <w:szCs w:val="21"/>
              </w:rPr>
              <w:t>任家庄矿井</w:t>
            </w:r>
          </w:p>
        </w:tc>
        <w:tc>
          <w:tcPr>
            <w:tcW w:w="2126" w:type="dxa"/>
            <w:vAlign w:val="center"/>
          </w:tcPr>
          <w:p w14:paraId="0AEF1417" w14:textId="77777777" w:rsidR="009C353B" w:rsidRDefault="00000000">
            <w:pPr>
              <w:snapToGrid w:val="0"/>
              <w:spacing w:line="240" w:lineRule="atLeast"/>
              <w:rPr>
                <w:rFonts w:ascii="Times New Roman" w:hAnsi="Times New Roman"/>
                <w:sz w:val="21"/>
                <w:szCs w:val="21"/>
              </w:rPr>
            </w:pPr>
            <w:r>
              <w:rPr>
                <w:rFonts w:ascii="Times New Roman"/>
                <w:sz w:val="21"/>
                <w:szCs w:val="21"/>
              </w:rPr>
              <w:t>均为生产煤矿，有一定开采历史，煤炭开采环境影响已充分显现</w:t>
            </w:r>
          </w:p>
        </w:tc>
        <w:tc>
          <w:tcPr>
            <w:tcW w:w="4110" w:type="dxa"/>
            <w:vAlign w:val="center"/>
          </w:tcPr>
          <w:p w14:paraId="10E278AC" w14:textId="77777777" w:rsidR="009C353B" w:rsidRDefault="00000000">
            <w:pPr>
              <w:snapToGrid w:val="0"/>
              <w:spacing w:line="240" w:lineRule="atLeast"/>
              <w:rPr>
                <w:rFonts w:ascii="Times New Roman" w:hAnsi="Times New Roman"/>
                <w:sz w:val="21"/>
                <w:szCs w:val="21"/>
              </w:rPr>
            </w:pPr>
            <w:r>
              <w:rPr>
                <w:rFonts w:ascii="Times New Roman"/>
                <w:sz w:val="21"/>
                <w:szCs w:val="21"/>
              </w:rPr>
              <w:t>重点做好环境现状调查和煤矿开采影响回顾评价，重点回顾分析矿井采煤沉陷环境影响，提出生态</w:t>
            </w:r>
            <w:r>
              <w:rPr>
                <w:rFonts w:ascii="Times New Roman" w:hint="eastAsia"/>
                <w:sz w:val="21"/>
                <w:szCs w:val="21"/>
              </w:rPr>
              <w:t>、</w:t>
            </w:r>
            <w:r>
              <w:rPr>
                <w:rFonts w:ascii="Times New Roman"/>
                <w:sz w:val="21"/>
                <w:szCs w:val="21"/>
              </w:rPr>
              <w:t>地下水资源保护措施和环境影响减缓措施</w:t>
            </w:r>
          </w:p>
        </w:tc>
      </w:tr>
      <w:tr w:rsidR="009C353B" w14:paraId="03A1C75B" w14:textId="77777777">
        <w:trPr>
          <w:trHeight w:val="340"/>
          <w:jc w:val="center"/>
        </w:trPr>
        <w:tc>
          <w:tcPr>
            <w:tcW w:w="595" w:type="dxa"/>
            <w:vMerge/>
            <w:vAlign w:val="center"/>
          </w:tcPr>
          <w:p w14:paraId="291CCC77" w14:textId="77777777" w:rsidR="009C353B" w:rsidRDefault="009C353B">
            <w:pPr>
              <w:snapToGrid w:val="0"/>
              <w:spacing w:line="240" w:lineRule="atLeast"/>
              <w:jc w:val="center"/>
              <w:rPr>
                <w:rFonts w:ascii="Times New Roman" w:hAnsi="Times New Roman"/>
                <w:sz w:val="21"/>
                <w:szCs w:val="21"/>
              </w:rPr>
            </w:pPr>
          </w:p>
        </w:tc>
        <w:tc>
          <w:tcPr>
            <w:tcW w:w="851" w:type="dxa"/>
            <w:vAlign w:val="center"/>
          </w:tcPr>
          <w:p w14:paraId="50DCBCE8" w14:textId="77777777" w:rsidR="009C353B" w:rsidRDefault="00000000">
            <w:pPr>
              <w:snapToGrid w:val="0"/>
              <w:spacing w:line="240" w:lineRule="atLeast"/>
              <w:jc w:val="center"/>
              <w:rPr>
                <w:rFonts w:ascii="Times New Roman" w:hint="eastAsia"/>
                <w:sz w:val="21"/>
                <w:szCs w:val="21"/>
              </w:rPr>
            </w:pPr>
            <w:r>
              <w:rPr>
                <w:rFonts w:ascii="Times New Roman"/>
                <w:sz w:val="21"/>
                <w:szCs w:val="21"/>
              </w:rPr>
              <w:t>规划</w:t>
            </w:r>
          </w:p>
          <w:p w14:paraId="3F47FBA7" w14:textId="77777777" w:rsidR="009C353B" w:rsidRDefault="00000000">
            <w:pPr>
              <w:snapToGrid w:val="0"/>
              <w:spacing w:line="240" w:lineRule="atLeast"/>
              <w:jc w:val="center"/>
              <w:rPr>
                <w:rFonts w:ascii="Times New Roman" w:hAnsi="Times New Roman"/>
                <w:sz w:val="21"/>
                <w:szCs w:val="21"/>
              </w:rPr>
            </w:pPr>
            <w:r>
              <w:rPr>
                <w:rFonts w:ascii="Times New Roman"/>
                <w:sz w:val="21"/>
                <w:szCs w:val="21"/>
              </w:rPr>
              <w:t>开采区</w:t>
            </w:r>
          </w:p>
        </w:tc>
        <w:tc>
          <w:tcPr>
            <w:tcW w:w="1276" w:type="dxa"/>
            <w:vAlign w:val="center"/>
          </w:tcPr>
          <w:p w14:paraId="478E1AAC" w14:textId="77777777" w:rsidR="009C353B" w:rsidRDefault="00000000">
            <w:pPr>
              <w:snapToGrid w:val="0"/>
              <w:spacing w:line="240" w:lineRule="atLeast"/>
              <w:rPr>
                <w:rFonts w:ascii="Times New Roman" w:hAnsi="Times New Roman"/>
                <w:sz w:val="21"/>
                <w:szCs w:val="21"/>
              </w:rPr>
            </w:pPr>
            <w:r>
              <w:rPr>
                <w:rFonts w:ascii="Times New Roman" w:hAnsi="Times New Roman" w:hint="eastAsia"/>
                <w:sz w:val="21"/>
                <w:szCs w:val="21"/>
              </w:rPr>
              <w:t>丁家梁矿井</w:t>
            </w:r>
          </w:p>
        </w:tc>
        <w:tc>
          <w:tcPr>
            <w:tcW w:w="2126" w:type="dxa"/>
            <w:vAlign w:val="center"/>
          </w:tcPr>
          <w:p w14:paraId="31A20CA1" w14:textId="77777777" w:rsidR="009C353B" w:rsidRDefault="00000000">
            <w:pPr>
              <w:snapToGrid w:val="0"/>
              <w:spacing w:line="240" w:lineRule="atLeast"/>
              <w:rPr>
                <w:rFonts w:ascii="Times New Roman" w:hAnsi="Times New Roman"/>
                <w:sz w:val="21"/>
                <w:szCs w:val="21"/>
              </w:rPr>
            </w:pPr>
            <w:r>
              <w:rPr>
                <w:rFonts w:ascii="Times New Roman"/>
                <w:sz w:val="21"/>
                <w:szCs w:val="21"/>
              </w:rPr>
              <w:t>规划</w:t>
            </w:r>
            <w:r>
              <w:rPr>
                <w:rFonts w:ascii="Times New Roman" w:hint="eastAsia"/>
                <w:sz w:val="21"/>
                <w:szCs w:val="21"/>
              </w:rPr>
              <w:t>近期</w:t>
            </w:r>
            <w:r>
              <w:rPr>
                <w:rFonts w:ascii="Times New Roman"/>
                <w:sz w:val="21"/>
                <w:szCs w:val="21"/>
              </w:rPr>
              <w:t>建设</w:t>
            </w:r>
            <w:r>
              <w:rPr>
                <w:rFonts w:ascii="Times New Roman" w:hint="eastAsia"/>
                <w:sz w:val="21"/>
                <w:szCs w:val="21"/>
              </w:rPr>
              <w:t>矿井，</w:t>
            </w:r>
            <w:r>
              <w:rPr>
                <w:rFonts w:ascii="Times New Roman"/>
                <w:sz w:val="21"/>
                <w:szCs w:val="21"/>
              </w:rPr>
              <w:t>内容详细</w:t>
            </w:r>
          </w:p>
        </w:tc>
        <w:tc>
          <w:tcPr>
            <w:tcW w:w="4110" w:type="dxa"/>
            <w:vAlign w:val="center"/>
          </w:tcPr>
          <w:p w14:paraId="30CB55A7" w14:textId="77777777" w:rsidR="009C353B" w:rsidRDefault="00000000">
            <w:pPr>
              <w:snapToGrid w:val="0"/>
              <w:spacing w:line="240" w:lineRule="atLeast"/>
              <w:rPr>
                <w:rFonts w:ascii="Times New Roman" w:hAnsi="Times New Roman"/>
                <w:sz w:val="21"/>
                <w:szCs w:val="21"/>
              </w:rPr>
            </w:pPr>
            <w:r>
              <w:rPr>
                <w:rFonts w:ascii="Times New Roman"/>
                <w:sz w:val="21"/>
                <w:szCs w:val="21"/>
              </w:rPr>
              <w:t>重点分析规划</w:t>
            </w:r>
            <w:r>
              <w:rPr>
                <w:rFonts w:ascii="Times New Roman" w:hint="eastAsia"/>
                <w:sz w:val="21"/>
                <w:szCs w:val="21"/>
              </w:rPr>
              <w:t>近期</w:t>
            </w:r>
            <w:r>
              <w:rPr>
                <w:rFonts w:ascii="Times New Roman"/>
                <w:sz w:val="21"/>
                <w:szCs w:val="21"/>
              </w:rPr>
              <w:t>开发</w:t>
            </w:r>
            <w:r>
              <w:rPr>
                <w:rFonts w:ascii="Times New Roman" w:hint="eastAsia"/>
                <w:sz w:val="21"/>
                <w:szCs w:val="21"/>
              </w:rPr>
              <w:t>矿井</w:t>
            </w:r>
            <w:r>
              <w:rPr>
                <w:rFonts w:ascii="Times New Roman"/>
                <w:sz w:val="21"/>
                <w:szCs w:val="21"/>
              </w:rPr>
              <w:t>开发后对矿区周边重要环境保护目标的影响；分析对区域生态、大气环境、水环境的影响，以及区域水资源的可承载能力分析，并对规划矿井提出相应的环境保护</w:t>
            </w:r>
            <w:r>
              <w:rPr>
                <w:rFonts w:ascii="Times New Roman" w:hint="eastAsia"/>
                <w:sz w:val="21"/>
                <w:szCs w:val="21"/>
              </w:rPr>
              <w:t>措施</w:t>
            </w:r>
            <w:r>
              <w:rPr>
                <w:rFonts w:ascii="Times New Roman"/>
                <w:sz w:val="21"/>
                <w:szCs w:val="21"/>
              </w:rPr>
              <w:t>，重点是</w:t>
            </w:r>
            <w:r>
              <w:rPr>
                <w:rFonts w:ascii="Times New Roman" w:hint="eastAsia"/>
                <w:sz w:val="21"/>
                <w:szCs w:val="21"/>
              </w:rPr>
              <w:t>矿井沉陷影响、地下水环境影响减缓</w:t>
            </w:r>
            <w:r>
              <w:rPr>
                <w:rFonts w:ascii="Times New Roman"/>
                <w:sz w:val="21"/>
                <w:szCs w:val="21"/>
              </w:rPr>
              <w:t>措施</w:t>
            </w:r>
          </w:p>
        </w:tc>
      </w:tr>
      <w:tr w:rsidR="009C353B" w14:paraId="5283167B" w14:textId="77777777">
        <w:trPr>
          <w:trHeight w:val="340"/>
          <w:jc w:val="center"/>
        </w:trPr>
        <w:tc>
          <w:tcPr>
            <w:tcW w:w="2722" w:type="dxa"/>
            <w:gridSpan w:val="3"/>
            <w:vAlign w:val="center"/>
          </w:tcPr>
          <w:p w14:paraId="70699FCF" w14:textId="77777777" w:rsidR="009C353B" w:rsidRDefault="00000000">
            <w:pPr>
              <w:snapToGrid w:val="0"/>
              <w:spacing w:line="240" w:lineRule="atLeast"/>
              <w:jc w:val="center"/>
              <w:rPr>
                <w:rFonts w:ascii="Times New Roman" w:hAnsi="Times New Roman"/>
                <w:sz w:val="21"/>
                <w:szCs w:val="21"/>
              </w:rPr>
            </w:pPr>
            <w:r>
              <w:rPr>
                <w:rFonts w:ascii="Times New Roman" w:hint="eastAsia"/>
                <w:sz w:val="21"/>
                <w:szCs w:val="21"/>
              </w:rPr>
              <w:t>后备</w:t>
            </w:r>
            <w:r>
              <w:rPr>
                <w:rFonts w:ascii="Times New Roman"/>
                <w:sz w:val="21"/>
                <w:szCs w:val="21"/>
              </w:rPr>
              <w:t>区</w:t>
            </w:r>
          </w:p>
        </w:tc>
        <w:tc>
          <w:tcPr>
            <w:tcW w:w="2126" w:type="dxa"/>
            <w:vAlign w:val="center"/>
          </w:tcPr>
          <w:p w14:paraId="1F24B96B" w14:textId="77777777" w:rsidR="009C353B" w:rsidRDefault="00000000">
            <w:pPr>
              <w:snapToGrid w:val="0"/>
              <w:spacing w:line="240" w:lineRule="atLeast"/>
              <w:rPr>
                <w:rFonts w:ascii="Times New Roman" w:hAnsi="Times New Roman"/>
                <w:sz w:val="21"/>
                <w:szCs w:val="21"/>
              </w:rPr>
            </w:pPr>
            <w:r>
              <w:rPr>
                <w:rFonts w:ascii="Times New Roman"/>
                <w:sz w:val="21"/>
                <w:szCs w:val="21"/>
              </w:rPr>
              <w:t>资源</w:t>
            </w:r>
            <w:r>
              <w:rPr>
                <w:rFonts w:ascii="Times New Roman" w:hint="eastAsia"/>
                <w:sz w:val="21"/>
                <w:szCs w:val="21"/>
              </w:rPr>
              <w:t>接续区</w:t>
            </w:r>
            <w:r>
              <w:rPr>
                <w:rFonts w:ascii="Times New Roman" w:hAnsi="Times New Roman" w:hint="eastAsia"/>
                <w:sz w:val="21"/>
                <w:szCs w:val="21"/>
              </w:rPr>
              <w:t>，</w:t>
            </w:r>
            <w:r>
              <w:rPr>
                <w:rFonts w:ascii="Times New Roman"/>
                <w:sz w:val="21"/>
                <w:szCs w:val="21"/>
              </w:rPr>
              <w:t>矿区规划开发时间较晚</w:t>
            </w:r>
            <w:r>
              <w:rPr>
                <w:rFonts w:ascii="Times New Roman" w:hint="eastAsia"/>
                <w:sz w:val="21"/>
                <w:szCs w:val="21"/>
              </w:rPr>
              <w:t>，需</w:t>
            </w:r>
            <w:r>
              <w:rPr>
                <w:rFonts w:ascii="Times New Roman"/>
                <w:sz w:val="21"/>
                <w:szCs w:val="21"/>
              </w:rPr>
              <w:t>待后备区进一步勘查后才开发</w:t>
            </w:r>
          </w:p>
        </w:tc>
        <w:tc>
          <w:tcPr>
            <w:tcW w:w="4110" w:type="dxa"/>
            <w:vAlign w:val="center"/>
          </w:tcPr>
          <w:p w14:paraId="5EEA0307" w14:textId="77777777" w:rsidR="009C353B" w:rsidRDefault="00000000">
            <w:pPr>
              <w:snapToGrid w:val="0"/>
              <w:spacing w:line="240" w:lineRule="atLeast"/>
              <w:rPr>
                <w:rFonts w:ascii="Times New Roman" w:hAnsi="Times New Roman"/>
                <w:sz w:val="21"/>
                <w:szCs w:val="21"/>
              </w:rPr>
            </w:pPr>
            <w:r>
              <w:rPr>
                <w:rFonts w:ascii="Times New Roman" w:hint="eastAsia"/>
                <w:sz w:val="21"/>
                <w:szCs w:val="21"/>
              </w:rPr>
              <w:t>在现阶段</w:t>
            </w:r>
            <w:r>
              <w:rPr>
                <w:rFonts w:ascii="Times New Roman"/>
                <w:sz w:val="21"/>
                <w:szCs w:val="21"/>
              </w:rPr>
              <w:t>规划</w:t>
            </w:r>
            <w:r>
              <w:rPr>
                <w:rFonts w:ascii="Times New Roman" w:hint="eastAsia"/>
                <w:sz w:val="21"/>
                <w:szCs w:val="21"/>
              </w:rPr>
              <w:t>煤矿</w:t>
            </w:r>
            <w:r>
              <w:rPr>
                <w:rFonts w:ascii="Times New Roman"/>
                <w:sz w:val="21"/>
                <w:szCs w:val="21"/>
              </w:rPr>
              <w:t>开采</w:t>
            </w:r>
            <w:r>
              <w:rPr>
                <w:rFonts w:ascii="Times New Roman" w:hint="eastAsia"/>
                <w:sz w:val="21"/>
                <w:szCs w:val="21"/>
              </w:rPr>
              <w:t>影响</w:t>
            </w:r>
            <w:r>
              <w:rPr>
                <w:rFonts w:ascii="Times New Roman"/>
                <w:sz w:val="21"/>
                <w:szCs w:val="21"/>
              </w:rPr>
              <w:t>评价的基础上</w:t>
            </w:r>
            <w:r>
              <w:rPr>
                <w:rFonts w:ascii="Times New Roman" w:hint="eastAsia"/>
                <w:sz w:val="21"/>
                <w:szCs w:val="21"/>
              </w:rPr>
              <w:t>，</w:t>
            </w:r>
            <w:r>
              <w:rPr>
                <w:rFonts w:ascii="Times New Roman"/>
                <w:sz w:val="21"/>
                <w:szCs w:val="21"/>
              </w:rPr>
              <w:t>对规划远期煤矿开发环境影响进行</w:t>
            </w:r>
            <w:r>
              <w:rPr>
                <w:rFonts w:ascii="Times New Roman" w:hint="eastAsia"/>
                <w:sz w:val="21"/>
                <w:szCs w:val="21"/>
              </w:rPr>
              <w:t>简要</w:t>
            </w:r>
            <w:r>
              <w:rPr>
                <w:rFonts w:ascii="Times New Roman"/>
                <w:sz w:val="21"/>
                <w:szCs w:val="21"/>
              </w:rPr>
              <w:t>分析</w:t>
            </w:r>
          </w:p>
        </w:tc>
      </w:tr>
    </w:tbl>
    <w:p w14:paraId="0A025EF4" w14:textId="77777777" w:rsidR="009C353B" w:rsidRDefault="009C353B">
      <w:pPr>
        <w:adjustRightInd w:val="0"/>
        <w:snapToGrid w:val="0"/>
        <w:spacing w:line="440" w:lineRule="exact"/>
        <w:ind w:firstLineChars="200" w:firstLine="562"/>
        <w:rPr>
          <w:rFonts w:ascii="Times New Roman" w:hAnsi="Times New Roman"/>
          <w:b/>
          <w:sz w:val="28"/>
        </w:rPr>
      </w:pPr>
      <w:bookmarkStart w:id="16" w:name="_Toc163440977"/>
    </w:p>
    <w:p w14:paraId="18016A32" w14:textId="77777777" w:rsidR="009C353B" w:rsidRDefault="00000000">
      <w:pPr>
        <w:pStyle w:val="2"/>
        <w:snapToGrid w:val="0"/>
        <w:spacing w:line="440" w:lineRule="exact"/>
        <w:rPr>
          <w:rFonts w:ascii="Times New Roman" w:eastAsia="宋体" w:hAnsi="Times New Roman"/>
          <w:b/>
          <w:sz w:val="28"/>
        </w:rPr>
      </w:pPr>
      <w:bookmarkStart w:id="17" w:name="_Toc59189818"/>
      <w:r>
        <w:rPr>
          <w:rFonts w:ascii="Times New Roman" w:eastAsia="宋体" w:hAnsi="Times New Roman"/>
          <w:b/>
          <w:sz w:val="28"/>
        </w:rPr>
        <w:t xml:space="preserve">1.7 </w:t>
      </w:r>
      <w:r>
        <w:rPr>
          <w:rFonts w:ascii="Times New Roman" w:eastAsia="宋体" w:hAnsi="Times New Roman"/>
          <w:b/>
          <w:sz w:val="28"/>
        </w:rPr>
        <w:t>环境功能区划及评价标准</w:t>
      </w:r>
      <w:bookmarkEnd w:id="16"/>
      <w:bookmarkEnd w:id="17"/>
    </w:p>
    <w:p w14:paraId="0953B272"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1.7.1 </w:t>
      </w:r>
      <w:r>
        <w:rPr>
          <w:rFonts w:ascii="Times New Roman"/>
          <w:sz w:val="24"/>
        </w:rPr>
        <w:t>环境功能区划</w:t>
      </w:r>
    </w:p>
    <w:p w14:paraId="6AF16E51"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1</w:t>
      </w:r>
      <w:r>
        <w:rPr>
          <w:rFonts w:ascii="Times New Roman"/>
          <w:b/>
        </w:rPr>
        <w:t>）环境空气</w:t>
      </w:r>
    </w:p>
    <w:p w14:paraId="4B220E6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依据《</w:t>
      </w:r>
      <w:r>
        <w:rPr>
          <w:rFonts w:ascii="Times New Roman" w:hAnsi="Times New Roman"/>
          <w:bCs/>
          <w:szCs w:val="24"/>
        </w:rPr>
        <w:t>环境空气质量功能区划分原则与技术方法》</w:t>
      </w:r>
      <w:r>
        <w:rPr>
          <w:rFonts w:ascii="Times New Roman" w:hAnsi="Times New Roman"/>
          <w:szCs w:val="24"/>
        </w:rPr>
        <w:t>（</w:t>
      </w:r>
      <w:r>
        <w:rPr>
          <w:rFonts w:ascii="Times New Roman" w:hAnsi="Times New Roman"/>
          <w:szCs w:val="24"/>
        </w:rPr>
        <w:t>HJ14-1996</w:t>
      </w:r>
      <w:r>
        <w:rPr>
          <w:rFonts w:ascii="Times New Roman" w:hAnsi="Times New Roman"/>
          <w:szCs w:val="24"/>
        </w:rPr>
        <w:t>），矿区属环境空气质量二类区。</w:t>
      </w:r>
    </w:p>
    <w:p w14:paraId="748EDAA2"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2</w:t>
      </w:r>
      <w:r>
        <w:rPr>
          <w:rFonts w:ascii="Times New Roman"/>
          <w:b/>
        </w:rPr>
        <w:t>）地</w:t>
      </w:r>
      <w:r>
        <w:rPr>
          <w:rFonts w:ascii="Times New Roman" w:hint="eastAsia"/>
          <w:b/>
        </w:rPr>
        <w:t>表</w:t>
      </w:r>
      <w:r>
        <w:rPr>
          <w:rFonts w:ascii="Times New Roman"/>
          <w:b/>
        </w:rPr>
        <w:t>水功能区划</w:t>
      </w:r>
    </w:p>
    <w:p w14:paraId="27665D8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根据矿区周围的地</w:t>
      </w:r>
      <w:r>
        <w:rPr>
          <w:rFonts w:ascii="Times New Roman" w:hAnsi="Times New Roman" w:hint="eastAsia"/>
          <w:szCs w:val="24"/>
        </w:rPr>
        <w:t>表</w:t>
      </w:r>
      <w:r>
        <w:rPr>
          <w:rFonts w:ascii="Times New Roman" w:hAnsi="Times New Roman"/>
          <w:szCs w:val="24"/>
        </w:rPr>
        <w:t>水环境特点，确定矿区所在区域地</w:t>
      </w:r>
      <w:r>
        <w:rPr>
          <w:rFonts w:ascii="Times New Roman" w:hAnsi="Times New Roman" w:hint="eastAsia"/>
          <w:szCs w:val="24"/>
        </w:rPr>
        <w:t>表</w:t>
      </w:r>
      <w:r>
        <w:rPr>
          <w:rFonts w:ascii="Times New Roman" w:hAnsi="Times New Roman"/>
          <w:szCs w:val="24"/>
        </w:rPr>
        <w:t>水</w:t>
      </w:r>
      <w:r>
        <w:rPr>
          <w:rFonts w:ascii="Times New Roman" w:hAnsi="Times New Roman" w:hint="eastAsia"/>
          <w:szCs w:val="24"/>
        </w:rPr>
        <w:t>水质目标为</w:t>
      </w:r>
      <w:r>
        <w:rPr>
          <w:rFonts w:ascii="Times New Roman" w:hAnsi="Times New Roman"/>
          <w:szCs w:val="24"/>
        </w:rPr>
        <w:t>地</w:t>
      </w:r>
      <w:r>
        <w:rPr>
          <w:rFonts w:ascii="Times New Roman" w:hAnsi="Times New Roman" w:hint="eastAsia"/>
          <w:szCs w:val="24"/>
        </w:rPr>
        <w:t>表</w:t>
      </w:r>
      <w:r>
        <w:rPr>
          <w:rFonts w:ascii="Times New Roman" w:hAnsi="Times New Roman"/>
          <w:szCs w:val="24"/>
        </w:rPr>
        <w:t>水</w:t>
      </w:r>
      <w:r>
        <w:rPr>
          <w:rFonts w:ascii="Times New Roman" w:hAnsi="Times New Roman"/>
          <w:szCs w:val="24"/>
        </w:rPr>
        <w:t>Ⅳ</w:t>
      </w:r>
      <w:r>
        <w:rPr>
          <w:rFonts w:ascii="Times New Roman" w:hAnsi="Times New Roman"/>
          <w:szCs w:val="24"/>
        </w:rPr>
        <w:t>类。</w:t>
      </w:r>
      <w:r>
        <w:rPr>
          <w:rFonts w:ascii="Times New Roman" w:hAnsi="Times New Roman" w:hint="eastAsia"/>
          <w:szCs w:val="24"/>
        </w:rPr>
        <w:t>鸭子荡水库水质目标为</w:t>
      </w:r>
      <w:r>
        <w:rPr>
          <w:rFonts w:ascii="Times New Roman" w:hAnsi="Times New Roman"/>
          <w:szCs w:val="24"/>
        </w:rPr>
        <w:t>地</w:t>
      </w:r>
      <w:r>
        <w:rPr>
          <w:rFonts w:ascii="Times New Roman" w:hAnsi="Times New Roman" w:hint="eastAsia"/>
          <w:szCs w:val="24"/>
        </w:rPr>
        <w:t>表</w:t>
      </w:r>
      <w:r>
        <w:rPr>
          <w:rFonts w:ascii="Times New Roman" w:hAnsi="Times New Roman"/>
          <w:szCs w:val="24"/>
        </w:rPr>
        <w:t>水</w:t>
      </w:r>
      <w:r>
        <w:rPr>
          <w:rFonts w:ascii="Times New Roman" w:hAnsi="Times New Roman" w:hint="eastAsia"/>
          <w:szCs w:val="24"/>
        </w:rPr>
        <w:t>Ⅲ类。</w:t>
      </w:r>
    </w:p>
    <w:p w14:paraId="1D1FEF39"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3</w:t>
      </w:r>
      <w:r>
        <w:rPr>
          <w:rFonts w:ascii="Times New Roman"/>
          <w:b/>
        </w:rPr>
        <w:t>）地</w:t>
      </w:r>
      <w:r>
        <w:rPr>
          <w:rFonts w:ascii="Times New Roman" w:hint="eastAsia"/>
          <w:b/>
        </w:rPr>
        <w:t>下</w:t>
      </w:r>
      <w:r>
        <w:rPr>
          <w:rFonts w:ascii="Times New Roman"/>
          <w:b/>
        </w:rPr>
        <w:t>水功能区划</w:t>
      </w:r>
    </w:p>
    <w:p w14:paraId="6D2920F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根据矿区周围的地下水环境特点，确定矿区所在区域地下水属</w:t>
      </w:r>
      <w:r>
        <w:rPr>
          <w:rFonts w:cs="宋体" w:hint="eastAsia"/>
          <w:szCs w:val="24"/>
        </w:rPr>
        <w:t>Ⅲ</w:t>
      </w:r>
      <w:r>
        <w:rPr>
          <w:rFonts w:ascii="Times New Roman" w:hAnsi="Times New Roman"/>
          <w:szCs w:val="24"/>
        </w:rPr>
        <w:t>类。</w:t>
      </w:r>
    </w:p>
    <w:p w14:paraId="5DE38E75"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4</w:t>
      </w:r>
      <w:r>
        <w:rPr>
          <w:rFonts w:ascii="Times New Roman"/>
          <w:b/>
        </w:rPr>
        <w:t>）声环境</w:t>
      </w:r>
    </w:p>
    <w:p w14:paraId="7DDD04C7"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根据《</w:t>
      </w:r>
      <w:r>
        <w:rPr>
          <w:rFonts w:ascii="Times New Roman" w:hint="eastAsia"/>
        </w:rPr>
        <w:t>声</w:t>
      </w:r>
      <w:r>
        <w:rPr>
          <w:rFonts w:ascii="Times New Roman"/>
        </w:rPr>
        <w:t>环境功能区划分技术规范》（</w:t>
      </w:r>
      <w:r>
        <w:rPr>
          <w:rFonts w:ascii="Times New Roman" w:hAnsi="Times New Roman"/>
        </w:rPr>
        <w:t>GB/T15190-2014</w:t>
      </w:r>
      <w:r>
        <w:rPr>
          <w:rFonts w:ascii="Times New Roman"/>
        </w:rPr>
        <w:t>），各工业场地声环境质量为《声环境质量标准》</w:t>
      </w:r>
      <w:r>
        <w:rPr>
          <w:rFonts w:ascii="Times New Roman" w:hint="eastAsia"/>
        </w:rPr>
        <w:t>（</w:t>
      </w:r>
      <w:r>
        <w:rPr>
          <w:rFonts w:ascii="Times New Roman" w:hAnsi="Times New Roman"/>
        </w:rPr>
        <w:t>GB3096-2008</w:t>
      </w:r>
      <w:r>
        <w:rPr>
          <w:rFonts w:ascii="Times New Roman" w:hAnsi="Times New Roman" w:hint="eastAsia"/>
        </w:rPr>
        <w:t>）</w:t>
      </w:r>
      <w:r>
        <w:rPr>
          <w:rFonts w:ascii="Times New Roman"/>
        </w:rPr>
        <w:t>中</w:t>
      </w:r>
      <w:r>
        <w:rPr>
          <w:rFonts w:ascii="Times New Roman" w:hAnsi="Times New Roman" w:hint="eastAsia"/>
        </w:rPr>
        <w:t>3</w:t>
      </w:r>
      <w:r>
        <w:rPr>
          <w:rFonts w:ascii="Times New Roman"/>
        </w:rPr>
        <w:t>类，主要公路、铁路两侧边界外</w:t>
      </w:r>
      <w:r>
        <w:rPr>
          <w:rFonts w:ascii="Times New Roman" w:hAnsi="Times New Roman"/>
        </w:rPr>
        <w:t>35m</w:t>
      </w:r>
      <w:r>
        <w:rPr>
          <w:rFonts w:ascii="Times New Roman"/>
        </w:rPr>
        <w:t>内区域执行</w:t>
      </w:r>
      <w:r>
        <w:rPr>
          <w:rFonts w:ascii="Times New Roman" w:hAnsi="Times New Roman"/>
        </w:rPr>
        <w:t>4</w:t>
      </w:r>
      <w:r>
        <w:rPr>
          <w:rFonts w:ascii="Times New Roman"/>
        </w:rPr>
        <w:t>类标准，主要公路、铁路两侧边界外</w:t>
      </w:r>
      <w:r>
        <w:rPr>
          <w:rFonts w:ascii="Times New Roman" w:hAnsi="Times New Roman"/>
        </w:rPr>
        <w:t>35m</w:t>
      </w:r>
      <w:r>
        <w:rPr>
          <w:rFonts w:ascii="Times New Roman"/>
        </w:rPr>
        <w:t>以外农村区域执行</w:t>
      </w:r>
      <w:r>
        <w:rPr>
          <w:rFonts w:ascii="Times New Roman" w:hAnsi="Times New Roman"/>
        </w:rPr>
        <w:t>1</w:t>
      </w:r>
      <w:r>
        <w:rPr>
          <w:rFonts w:ascii="Times New Roman"/>
        </w:rPr>
        <w:t>类区标准；厂界噪声执行《工业企业厂界环境噪声排放标准》</w:t>
      </w:r>
      <w:r>
        <w:rPr>
          <w:rFonts w:ascii="Times New Roman" w:hint="eastAsia"/>
        </w:rPr>
        <w:t>（</w:t>
      </w:r>
      <w:r>
        <w:rPr>
          <w:rFonts w:ascii="Times New Roman" w:hAnsi="Times New Roman"/>
        </w:rPr>
        <w:t>GB12348-2008</w:t>
      </w:r>
      <w:r>
        <w:rPr>
          <w:rFonts w:ascii="Times New Roman" w:hAnsi="Times New Roman" w:hint="eastAsia"/>
        </w:rPr>
        <w:t>）</w:t>
      </w:r>
      <w:r>
        <w:rPr>
          <w:rFonts w:ascii="Times New Roman"/>
        </w:rPr>
        <w:t>中</w:t>
      </w:r>
      <w:r>
        <w:rPr>
          <w:rFonts w:ascii="Times New Roman" w:hAnsi="Times New Roman" w:hint="eastAsia"/>
        </w:rPr>
        <w:t>3</w:t>
      </w:r>
      <w:r>
        <w:rPr>
          <w:rFonts w:ascii="Times New Roman"/>
        </w:rPr>
        <w:t>类区标准。</w:t>
      </w:r>
    </w:p>
    <w:p w14:paraId="230D442D" w14:textId="77777777" w:rsidR="009C353B" w:rsidRDefault="00000000">
      <w:pPr>
        <w:adjustRightInd w:val="0"/>
        <w:snapToGrid w:val="0"/>
        <w:spacing w:line="440" w:lineRule="exact"/>
        <w:ind w:firstLineChars="200" w:firstLine="482"/>
        <w:rPr>
          <w:rFonts w:ascii="Times New Roman" w:hint="eastAsia"/>
          <w:b/>
        </w:rPr>
      </w:pPr>
      <w:r>
        <w:rPr>
          <w:rFonts w:ascii="Times New Roman"/>
          <w:b/>
        </w:rPr>
        <w:t>（</w:t>
      </w:r>
      <w:r>
        <w:rPr>
          <w:rFonts w:ascii="Times New Roman" w:hAnsi="Times New Roman"/>
          <w:b/>
        </w:rPr>
        <w:t>5</w:t>
      </w:r>
      <w:r>
        <w:rPr>
          <w:rFonts w:ascii="Times New Roman"/>
          <w:b/>
        </w:rPr>
        <w:t>）生态环境</w:t>
      </w:r>
    </w:p>
    <w:p w14:paraId="4EFD2BD1"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根据《全国生态功能区划》，横城矿区</w:t>
      </w:r>
      <w:r>
        <w:rPr>
          <w:rFonts w:ascii="Times New Roman"/>
          <w:szCs w:val="24"/>
        </w:rPr>
        <w:t>位于该区划</w:t>
      </w:r>
      <w:r>
        <w:rPr>
          <w:rFonts w:ascii="Times New Roman" w:hAnsi="Times New Roman"/>
          <w:szCs w:val="24"/>
        </w:rPr>
        <w:t>“I-04</w:t>
      </w:r>
      <w:r>
        <w:rPr>
          <w:rFonts w:ascii="Times New Roman" w:hint="eastAsia"/>
          <w:szCs w:val="24"/>
        </w:rPr>
        <w:t>防风固沙</w:t>
      </w:r>
      <w:r>
        <w:rPr>
          <w:rFonts w:ascii="Times New Roman"/>
          <w:szCs w:val="24"/>
        </w:rPr>
        <w:t>功能区</w:t>
      </w:r>
      <w:r>
        <w:rPr>
          <w:rFonts w:ascii="Times New Roman" w:hAnsi="Times New Roman"/>
          <w:szCs w:val="24"/>
        </w:rPr>
        <w:t>”</w:t>
      </w:r>
      <w:r>
        <w:rPr>
          <w:rFonts w:ascii="Times New Roman"/>
          <w:szCs w:val="24"/>
        </w:rPr>
        <w:t>内的</w:t>
      </w:r>
      <w:r>
        <w:rPr>
          <w:rFonts w:ascii="Times New Roman" w:hAnsi="Times New Roman"/>
          <w:szCs w:val="24"/>
        </w:rPr>
        <w:t>“I-04-10</w:t>
      </w:r>
      <w:r>
        <w:rPr>
          <w:rFonts w:ascii="Times New Roman" w:hint="eastAsia"/>
          <w:szCs w:val="24"/>
        </w:rPr>
        <w:lastRenderedPageBreak/>
        <w:t>鄂尔多斯高原西南部防风固沙功能区</w:t>
      </w:r>
      <w:r>
        <w:rPr>
          <w:rFonts w:ascii="Times New Roman" w:hAnsi="Times New Roman"/>
          <w:szCs w:val="24"/>
        </w:rPr>
        <w:t>”</w:t>
      </w:r>
      <w:r>
        <w:rPr>
          <w:rFonts w:ascii="Times New Roman"/>
          <w:szCs w:val="24"/>
        </w:rPr>
        <w:t>。</w:t>
      </w:r>
      <w:r>
        <w:rPr>
          <w:rFonts w:ascii="Times New Roman" w:hAnsi="Times New Roman"/>
          <w:szCs w:val="24"/>
        </w:rPr>
        <w:t xml:space="preserve"> </w:t>
      </w:r>
      <w:r>
        <w:rPr>
          <w:rFonts w:ascii="Times New Roman" w:hAnsi="Times New Roman" w:hint="eastAsia"/>
          <w:szCs w:val="24"/>
        </w:rPr>
        <w:t>详见图</w:t>
      </w:r>
      <w:r>
        <w:rPr>
          <w:rFonts w:ascii="Times New Roman" w:hAnsi="Times New Roman"/>
          <w:szCs w:val="24"/>
        </w:rPr>
        <w:t>1.6-1</w:t>
      </w:r>
      <w:r>
        <w:rPr>
          <w:rFonts w:ascii="Times New Roman"/>
          <w:szCs w:val="24"/>
        </w:rPr>
        <w:t>。</w:t>
      </w:r>
    </w:p>
    <w:p w14:paraId="6186D6F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szCs w:val="24"/>
        </w:rPr>
        <w:t>根据《宁夏回族自治区生态功能区划》，横城矿区中马莲台属于</w:t>
      </w:r>
      <w:r>
        <w:rPr>
          <w:rFonts w:ascii="Times New Roman" w:hint="eastAsia"/>
          <w:szCs w:val="24"/>
        </w:rPr>
        <w:t>I</w:t>
      </w:r>
      <w:r>
        <w:rPr>
          <w:rFonts w:ascii="Times New Roman"/>
          <w:szCs w:val="24"/>
        </w:rPr>
        <w:t>I1-2</w:t>
      </w:r>
      <w:r>
        <w:rPr>
          <w:rFonts w:ascii="Times New Roman"/>
          <w:szCs w:val="24"/>
        </w:rPr>
        <w:t>灵盐中北部防沙治沙生态功能区</w:t>
      </w:r>
      <w:r>
        <w:rPr>
          <w:rFonts w:ascii="Times New Roman" w:hint="eastAsia"/>
          <w:szCs w:val="24"/>
        </w:rPr>
        <w:t>，其他矿井属于</w:t>
      </w:r>
      <w:r>
        <w:rPr>
          <w:rFonts w:ascii="Times New Roman" w:hAnsi="Times New Roman"/>
          <w:szCs w:val="24"/>
        </w:rPr>
        <w:t>II1</w:t>
      </w:r>
      <w:r>
        <w:rPr>
          <w:rFonts w:ascii="Times New Roman" w:hAnsi="Times New Roman" w:hint="eastAsia"/>
          <w:szCs w:val="24"/>
        </w:rPr>
        <w:t>-</w:t>
      </w:r>
      <w:r>
        <w:rPr>
          <w:rFonts w:ascii="Times New Roman" w:hAnsi="Times New Roman"/>
          <w:szCs w:val="24"/>
        </w:rPr>
        <w:t>3</w:t>
      </w:r>
      <w:r>
        <w:rPr>
          <w:rFonts w:ascii="Times New Roman"/>
          <w:szCs w:val="24"/>
        </w:rPr>
        <w:t>白芨滩柠条及沙生植被自然保护生态功能区</w:t>
      </w:r>
      <w:r>
        <w:rPr>
          <w:rFonts w:ascii="Times New Roman" w:hAnsi="Times New Roman" w:hint="eastAsia"/>
          <w:szCs w:val="24"/>
        </w:rPr>
        <w:t>，详见图</w:t>
      </w:r>
      <w:r>
        <w:rPr>
          <w:rFonts w:ascii="Times New Roman" w:hAnsi="Times New Roman" w:hint="eastAsia"/>
          <w:szCs w:val="24"/>
        </w:rPr>
        <w:t>3.4-1</w:t>
      </w:r>
      <w:r>
        <w:rPr>
          <w:rFonts w:ascii="Times New Roman"/>
          <w:szCs w:val="24"/>
        </w:rPr>
        <w:t>。</w:t>
      </w:r>
    </w:p>
    <w:p w14:paraId="0CF21DCC"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6</w:t>
      </w:r>
      <w:r>
        <w:rPr>
          <w:rFonts w:ascii="Times New Roman"/>
          <w:b/>
        </w:rPr>
        <w:t>）水土保持</w:t>
      </w:r>
    </w:p>
    <w:p w14:paraId="3F6DE0F1" w14:textId="77777777" w:rsidR="009C353B" w:rsidRDefault="00000000">
      <w:pPr>
        <w:adjustRightInd w:val="0"/>
        <w:snapToGrid w:val="0"/>
        <w:spacing w:line="440" w:lineRule="exact"/>
        <w:ind w:firstLineChars="200" w:firstLine="480"/>
        <w:rPr>
          <w:rFonts w:hint="eastAsia"/>
        </w:rPr>
      </w:pPr>
      <w:r>
        <w:t>根据《全国水土保持区划》（试行），评价区属宁中北丘陵平原防沙生态维护区</w:t>
      </w:r>
      <w:r>
        <w:rPr>
          <w:rFonts w:hint="eastAsia"/>
        </w:rPr>
        <w:t>。</w:t>
      </w:r>
      <w:r>
        <w:t>根据</w:t>
      </w:r>
      <w:r>
        <w:rPr>
          <w:rFonts w:ascii="Times New Roman" w:hint="eastAsia"/>
        </w:rPr>
        <w:t>水利部</w:t>
      </w:r>
      <w:r>
        <w:rPr>
          <w:rFonts w:ascii="Times New Roman" w:hint="eastAsia"/>
        </w:rPr>
        <w:t>2006</w:t>
      </w:r>
      <w:r>
        <w:rPr>
          <w:rFonts w:ascii="Times New Roman" w:hint="eastAsia"/>
        </w:rPr>
        <w:t>年</w:t>
      </w:r>
      <w:r>
        <w:rPr>
          <w:rFonts w:ascii="Times New Roman" w:hint="eastAsia"/>
        </w:rPr>
        <w:t>2</w:t>
      </w:r>
      <w:r>
        <w:rPr>
          <w:rFonts w:ascii="Times New Roman" w:hint="eastAsia"/>
        </w:rPr>
        <w:t>号《</w:t>
      </w:r>
      <w:r>
        <w:t>关于划分国家级水土流失重点防治区的公告》和《宁夏回族自治区人民政府关于划分水土流失重点防治区和限期退耕陡坡耕地的公告》，项目区属国家级水土流失重点监督区（陕甘宁接壤石油天然气开发监督区）及省级水土流失重点监督区。</w:t>
      </w:r>
    </w:p>
    <w:p w14:paraId="755B627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根据《全国水土保持规划国家级水土流失重点预防区和重点治理区复核划分成果》（办水保〔</w:t>
      </w:r>
      <w:r>
        <w:rPr>
          <w:rFonts w:ascii="Times New Roman" w:hint="eastAsia"/>
        </w:rPr>
        <w:t>2013</w:t>
      </w:r>
      <w:r>
        <w:rPr>
          <w:rFonts w:ascii="Times New Roman" w:hint="eastAsia"/>
        </w:rPr>
        <w:t>〕</w:t>
      </w:r>
      <w:r>
        <w:rPr>
          <w:rFonts w:ascii="Times New Roman" w:hint="eastAsia"/>
        </w:rPr>
        <w:t>188</w:t>
      </w:r>
      <w:r>
        <w:rPr>
          <w:rFonts w:ascii="Times New Roman" w:hint="eastAsia"/>
        </w:rPr>
        <w:t>号），</w:t>
      </w:r>
      <w:r>
        <w:t>项目区</w:t>
      </w:r>
      <w:r>
        <w:rPr>
          <w:rFonts w:hint="eastAsia"/>
        </w:rPr>
        <w:t>不属于</w:t>
      </w:r>
      <w:r>
        <w:rPr>
          <w:rFonts w:ascii="Times New Roman" w:hint="eastAsia"/>
        </w:rPr>
        <w:t>国家级水土流失重点预防区和重点治理区。</w:t>
      </w:r>
    </w:p>
    <w:p w14:paraId="4DDDD5DC"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1.7.2 </w:t>
      </w:r>
      <w:r>
        <w:rPr>
          <w:rFonts w:ascii="Times New Roman"/>
          <w:sz w:val="24"/>
        </w:rPr>
        <w:t>评价标准</w:t>
      </w:r>
    </w:p>
    <w:p w14:paraId="5262365B"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根据环境功能区划，本次评价采用的主要评价标准见表</w:t>
      </w:r>
      <w:r>
        <w:rPr>
          <w:rFonts w:ascii="Times New Roman" w:hAnsi="Times New Roman"/>
        </w:rPr>
        <w:t>1.7-</w:t>
      </w:r>
      <w:r>
        <w:rPr>
          <w:rFonts w:ascii="Times New Roman" w:hAnsi="Times New Roman" w:hint="eastAsia"/>
        </w:rPr>
        <w:t>1</w:t>
      </w:r>
      <w:r>
        <w:rPr>
          <w:rFonts w:ascii="Times New Roman"/>
        </w:rPr>
        <w:t>。</w:t>
      </w:r>
    </w:p>
    <w:p w14:paraId="1CCC2E4E" w14:textId="77777777" w:rsidR="009C353B" w:rsidRDefault="00000000">
      <w:pPr>
        <w:pStyle w:val="affffff0"/>
        <w:adjustRightInd w:val="0"/>
        <w:spacing w:line="440" w:lineRule="exact"/>
        <w:jc w:val="center"/>
        <w:rPr>
          <w:rFonts w:ascii="Times New Roman" w:hAnsi="Times New Roman"/>
          <w:kern w:val="0"/>
        </w:rPr>
      </w:pPr>
      <w:r>
        <w:rPr>
          <w:rFonts w:ascii="Times New Roman"/>
          <w:kern w:val="0"/>
        </w:rPr>
        <w:t>主要评价标准一览表</w:t>
      </w:r>
    </w:p>
    <w:p w14:paraId="601939BB" w14:textId="77777777" w:rsidR="009C353B" w:rsidRDefault="00000000">
      <w:pPr>
        <w:pStyle w:val="affffd"/>
        <w:spacing w:line="440" w:lineRule="exact"/>
        <w:rPr>
          <w:rFonts w:ascii="Times New Roman" w:hAnsi="Times New Roman"/>
        </w:rPr>
      </w:pPr>
      <w:r>
        <w:rPr>
          <w:rFonts w:ascii="Times New Roman"/>
        </w:rPr>
        <w:t>表</w:t>
      </w:r>
      <w:r>
        <w:rPr>
          <w:rFonts w:ascii="Times New Roman" w:hAnsi="Times New Roman"/>
        </w:rPr>
        <w:t>1.7-</w:t>
      </w:r>
      <w:r>
        <w:rPr>
          <w:rFonts w:ascii="Times New Roman" w:hAnsi="Times New Roman" w:hint="eastAsia"/>
        </w:rPr>
        <w:t>1</w:t>
      </w:r>
    </w:p>
    <w:tbl>
      <w:tblPr>
        <w:tblW w:w="8925"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642"/>
        <w:gridCol w:w="2772"/>
        <w:gridCol w:w="5511"/>
      </w:tblGrid>
      <w:tr w:rsidR="009C353B" w14:paraId="57DB74B4" w14:textId="77777777">
        <w:trPr>
          <w:trHeight w:val="284"/>
        </w:trPr>
        <w:tc>
          <w:tcPr>
            <w:tcW w:w="642" w:type="dxa"/>
            <w:vAlign w:val="center"/>
          </w:tcPr>
          <w:p w14:paraId="42C89B24" w14:textId="77777777" w:rsidR="009C353B" w:rsidRDefault="00000000">
            <w:pPr>
              <w:pStyle w:val="afffff7"/>
              <w:snapToGrid w:val="0"/>
              <w:spacing w:line="240" w:lineRule="atLeast"/>
              <w:jc w:val="center"/>
              <w:rPr>
                <w:rFonts w:ascii="Times New Roman" w:hAnsi="Times New Roman"/>
              </w:rPr>
            </w:pPr>
            <w:r>
              <w:rPr>
                <w:rFonts w:ascii="Times New Roman" w:hAnsi="Times New Roman"/>
              </w:rPr>
              <w:t>环境要素</w:t>
            </w:r>
          </w:p>
        </w:tc>
        <w:tc>
          <w:tcPr>
            <w:tcW w:w="2772" w:type="dxa"/>
            <w:vAlign w:val="center"/>
          </w:tcPr>
          <w:p w14:paraId="24F4969C" w14:textId="77777777" w:rsidR="009C353B" w:rsidRDefault="00000000">
            <w:pPr>
              <w:pStyle w:val="afffff7"/>
              <w:snapToGrid w:val="0"/>
              <w:spacing w:line="240" w:lineRule="atLeast"/>
              <w:jc w:val="center"/>
              <w:rPr>
                <w:rFonts w:ascii="Times New Roman" w:hAnsi="Times New Roman"/>
              </w:rPr>
            </w:pPr>
            <w:r>
              <w:rPr>
                <w:rFonts w:ascii="Times New Roman" w:hAnsi="Times New Roman"/>
              </w:rPr>
              <w:t>环境质量标准</w:t>
            </w:r>
          </w:p>
        </w:tc>
        <w:tc>
          <w:tcPr>
            <w:tcW w:w="5511" w:type="dxa"/>
            <w:tcBorders>
              <w:left w:val="single" w:sz="4" w:space="0" w:color="auto"/>
            </w:tcBorders>
            <w:vAlign w:val="center"/>
          </w:tcPr>
          <w:p w14:paraId="5642B30A" w14:textId="77777777" w:rsidR="009C353B" w:rsidRDefault="00000000">
            <w:pPr>
              <w:pStyle w:val="afffff7"/>
              <w:snapToGrid w:val="0"/>
              <w:spacing w:line="240" w:lineRule="atLeast"/>
              <w:jc w:val="center"/>
              <w:rPr>
                <w:rFonts w:ascii="Times New Roman" w:hAnsi="Times New Roman"/>
              </w:rPr>
            </w:pPr>
            <w:r>
              <w:rPr>
                <w:rFonts w:ascii="Times New Roman" w:hAnsi="Times New Roman"/>
              </w:rPr>
              <w:t>污染物排放标准</w:t>
            </w:r>
          </w:p>
        </w:tc>
      </w:tr>
      <w:tr w:rsidR="009C353B" w14:paraId="756B7180" w14:textId="77777777">
        <w:trPr>
          <w:trHeight w:val="284"/>
        </w:trPr>
        <w:tc>
          <w:tcPr>
            <w:tcW w:w="642" w:type="dxa"/>
            <w:tcBorders>
              <w:bottom w:val="single" w:sz="4" w:space="0" w:color="auto"/>
            </w:tcBorders>
            <w:vAlign w:val="center"/>
          </w:tcPr>
          <w:p w14:paraId="1918F0B7" w14:textId="77777777" w:rsidR="009C353B" w:rsidRDefault="00000000">
            <w:pPr>
              <w:pStyle w:val="afffff7"/>
              <w:snapToGrid w:val="0"/>
              <w:spacing w:line="240" w:lineRule="atLeast"/>
              <w:jc w:val="center"/>
              <w:rPr>
                <w:rFonts w:ascii="Times New Roman" w:hAnsi="Times New Roman"/>
              </w:rPr>
            </w:pPr>
            <w:r>
              <w:rPr>
                <w:rFonts w:ascii="Times New Roman" w:hAnsi="Times New Roman"/>
              </w:rPr>
              <w:t>环境空气</w:t>
            </w:r>
          </w:p>
        </w:tc>
        <w:tc>
          <w:tcPr>
            <w:tcW w:w="2772" w:type="dxa"/>
            <w:tcBorders>
              <w:bottom w:val="single" w:sz="4" w:space="0" w:color="auto"/>
            </w:tcBorders>
            <w:vAlign w:val="center"/>
          </w:tcPr>
          <w:p w14:paraId="6CD74F5B" w14:textId="77777777" w:rsidR="009C353B" w:rsidRDefault="00000000">
            <w:pPr>
              <w:pStyle w:val="afffff7"/>
              <w:snapToGrid w:val="0"/>
              <w:spacing w:line="240" w:lineRule="atLeast"/>
              <w:rPr>
                <w:rFonts w:ascii="Times New Roman" w:hAnsi="Times New Roman"/>
              </w:rPr>
            </w:pPr>
            <w:r>
              <w:rPr>
                <w:rFonts w:ascii="Times New Roman" w:hAnsi="Times New Roman"/>
              </w:rPr>
              <w:t>执行《环境空气质量标准》（</w:t>
            </w:r>
            <w:r>
              <w:rPr>
                <w:rFonts w:ascii="Times New Roman" w:hAnsi="Times New Roman"/>
              </w:rPr>
              <w:t>GB3095-2012</w:t>
            </w:r>
            <w:r>
              <w:rPr>
                <w:rFonts w:ascii="Times New Roman" w:hAnsi="Times New Roman"/>
              </w:rPr>
              <w:t>）</w:t>
            </w:r>
          </w:p>
        </w:tc>
        <w:tc>
          <w:tcPr>
            <w:tcW w:w="5511" w:type="dxa"/>
            <w:tcBorders>
              <w:left w:val="single" w:sz="4" w:space="0" w:color="auto"/>
              <w:bottom w:val="single" w:sz="4" w:space="0" w:color="auto"/>
            </w:tcBorders>
            <w:vAlign w:val="center"/>
          </w:tcPr>
          <w:p w14:paraId="1B0C3CB7" w14:textId="77777777" w:rsidR="009C353B" w:rsidRDefault="00000000">
            <w:pPr>
              <w:pStyle w:val="afffff7"/>
              <w:snapToGrid w:val="0"/>
              <w:spacing w:line="240" w:lineRule="atLeast"/>
              <w:rPr>
                <w:rFonts w:ascii="Times New Roman" w:hAnsi="Times New Roman"/>
              </w:rPr>
            </w:pPr>
            <w:r>
              <w:rPr>
                <w:rFonts w:ascii="Times New Roman" w:hAnsi="Times New Roman"/>
              </w:rPr>
              <w:t>粉尘、扬尘排放执行《大气污染物综合排放标准》（</w:t>
            </w:r>
            <w:r>
              <w:rPr>
                <w:rFonts w:ascii="Times New Roman" w:hAnsi="Times New Roman"/>
              </w:rPr>
              <w:t>GB16297-1996</w:t>
            </w:r>
            <w:r>
              <w:rPr>
                <w:rFonts w:ascii="Times New Roman" w:hAnsi="Times New Roman"/>
              </w:rPr>
              <w:t>）中二级标准及《煤炭工业污染物排放标准》（</w:t>
            </w:r>
            <w:r>
              <w:rPr>
                <w:rFonts w:ascii="Times New Roman" w:hAnsi="Times New Roman"/>
              </w:rPr>
              <w:t>GB20426-2006</w:t>
            </w:r>
            <w:r>
              <w:rPr>
                <w:rFonts w:ascii="Times New Roman" w:hAnsi="Times New Roman"/>
              </w:rPr>
              <w:t>）表</w:t>
            </w:r>
            <w:r>
              <w:rPr>
                <w:rFonts w:ascii="Times New Roman" w:hAnsi="Times New Roman"/>
              </w:rPr>
              <w:t>4</w:t>
            </w:r>
            <w:r>
              <w:rPr>
                <w:rFonts w:ascii="Times New Roman" w:hAnsi="Times New Roman"/>
              </w:rPr>
              <w:t>、表</w:t>
            </w:r>
            <w:r>
              <w:rPr>
                <w:rFonts w:ascii="Times New Roman" w:hAnsi="Times New Roman"/>
              </w:rPr>
              <w:t>5</w:t>
            </w:r>
            <w:r>
              <w:rPr>
                <w:rFonts w:ascii="Times New Roman" w:hAnsi="Times New Roman"/>
              </w:rPr>
              <w:t>规定的限值；</w:t>
            </w:r>
          </w:p>
          <w:p w14:paraId="3F81E643" w14:textId="77777777" w:rsidR="009C353B" w:rsidRDefault="00000000">
            <w:pPr>
              <w:pStyle w:val="afffff7"/>
              <w:rPr>
                <w:rFonts w:ascii="Times New Roman" w:hAnsi="Times New Roman"/>
              </w:rPr>
            </w:pPr>
            <w:r>
              <w:rPr>
                <w:rFonts w:ascii="Times New Roman" w:hAnsi="Times New Roman"/>
              </w:rPr>
              <w:t>锅炉执行《锅炉大气污染物排放标准》（</w:t>
            </w:r>
            <w:r>
              <w:rPr>
                <w:rFonts w:ascii="Times New Roman" w:hAnsi="Times New Roman"/>
              </w:rPr>
              <w:t>GB13271-2014</w:t>
            </w:r>
            <w:r>
              <w:rPr>
                <w:rFonts w:ascii="Times New Roman" w:hAnsi="Times New Roman"/>
              </w:rPr>
              <w:t>）</w:t>
            </w:r>
          </w:p>
        </w:tc>
      </w:tr>
      <w:tr w:rsidR="009C353B" w14:paraId="1CE2A4B8" w14:textId="77777777">
        <w:trPr>
          <w:trHeight w:val="284"/>
        </w:trPr>
        <w:tc>
          <w:tcPr>
            <w:tcW w:w="642" w:type="dxa"/>
            <w:tcBorders>
              <w:bottom w:val="single" w:sz="4" w:space="0" w:color="auto"/>
            </w:tcBorders>
            <w:vAlign w:val="center"/>
          </w:tcPr>
          <w:p w14:paraId="35EE418C" w14:textId="77777777" w:rsidR="009C353B" w:rsidRDefault="00000000">
            <w:pPr>
              <w:pStyle w:val="afffff7"/>
              <w:snapToGrid w:val="0"/>
              <w:spacing w:line="240" w:lineRule="atLeast"/>
              <w:jc w:val="center"/>
              <w:rPr>
                <w:rFonts w:ascii="Times New Roman" w:hAnsi="Times New Roman"/>
              </w:rPr>
            </w:pPr>
            <w:r>
              <w:rPr>
                <w:rFonts w:ascii="Times New Roman" w:hAnsi="Times New Roman"/>
              </w:rPr>
              <w:t>水环境</w:t>
            </w:r>
          </w:p>
        </w:tc>
        <w:tc>
          <w:tcPr>
            <w:tcW w:w="2772" w:type="dxa"/>
            <w:tcBorders>
              <w:bottom w:val="single" w:sz="4" w:space="0" w:color="auto"/>
            </w:tcBorders>
            <w:vAlign w:val="center"/>
          </w:tcPr>
          <w:p w14:paraId="1055700E" w14:textId="77777777" w:rsidR="009C353B" w:rsidRDefault="00000000">
            <w:pPr>
              <w:pStyle w:val="afffff7"/>
              <w:snapToGrid w:val="0"/>
              <w:spacing w:line="240" w:lineRule="atLeast"/>
              <w:rPr>
                <w:rFonts w:ascii="Times New Roman" w:hAnsi="Times New Roman"/>
              </w:rPr>
            </w:pPr>
            <w:r>
              <w:rPr>
                <w:rFonts w:ascii="Times New Roman" w:hAnsi="Times New Roman"/>
              </w:rPr>
              <w:t>《地表水环境质量标准》（</w:t>
            </w:r>
            <w:r>
              <w:rPr>
                <w:rFonts w:ascii="Times New Roman" w:hAnsi="Times New Roman"/>
              </w:rPr>
              <w:t>GB3838-2002</w:t>
            </w:r>
            <w:r>
              <w:rPr>
                <w:rFonts w:ascii="Times New Roman" w:hAnsi="Times New Roman"/>
              </w:rPr>
              <w:t>）</w:t>
            </w:r>
            <w:r>
              <w:t>Ⅳ</w:t>
            </w:r>
            <w:r>
              <w:rPr>
                <w:rFonts w:ascii="Times New Roman" w:hAnsi="Times New Roman"/>
              </w:rPr>
              <w:t>类标准</w:t>
            </w:r>
          </w:p>
          <w:p w14:paraId="38B8748C" w14:textId="77777777" w:rsidR="009C353B" w:rsidRDefault="00000000">
            <w:pPr>
              <w:pStyle w:val="afffff7"/>
              <w:snapToGrid w:val="0"/>
              <w:spacing w:line="240" w:lineRule="atLeast"/>
              <w:rPr>
                <w:rFonts w:ascii="Times New Roman" w:hAnsi="Times New Roman"/>
              </w:rPr>
            </w:pPr>
            <w:r>
              <w:rPr>
                <w:rFonts w:ascii="Times New Roman" w:hAnsi="Times New Roman"/>
              </w:rPr>
              <w:t>《地下水质量标准》（</w:t>
            </w:r>
            <w:r>
              <w:rPr>
                <w:rFonts w:ascii="Times New Roman" w:hAnsi="Times New Roman"/>
              </w:rPr>
              <w:t>GB/T14848-2017</w:t>
            </w:r>
            <w:r>
              <w:rPr>
                <w:rFonts w:ascii="Times New Roman" w:hAnsi="Times New Roman"/>
              </w:rPr>
              <w:t>）</w:t>
            </w:r>
            <w:r>
              <w:rPr>
                <w:rFonts w:cs="宋体" w:hint="eastAsia"/>
              </w:rPr>
              <w:t>Ⅲ</w:t>
            </w:r>
            <w:r>
              <w:rPr>
                <w:rFonts w:ascii="Times New Roman" w:hAnsi="Times New Roman"/>
              </w:rPr>
              <w:t>类标准</w:t>
            </w:r>
          </w:p>
        </w:tc>
        <w:tc>
          <w:tcPr>
            <w:tcW w:w="5511" w:type="dxa"/>
            <w:tcBorders>
              <w:left w:val="single" w:sz="4" w:space="0" w:color="auto"/>
              <w:bottom w:val="single" w:sz="4" w:space="0" w:color="auto"/>
            </w:tcBorders>
            <w:vAlign w:val="center"/>
          </w:tcPr>
          <w:p w14:paraId="175BDFD3" w14:textId="77777777" w:rsidR="009C353B" w:rsidRDefault="00000000">
            <w:pPr>
              <w:pStyle w:val="afffff7"/>
              <w:snapToGrid w:val="0"/>
              <w:spacing w:line="240" w:lineRule="atLeast"/>
              <w:rPr>
                <w:rFonts w:ascii="Times New Roman" w:hAnsi="Times New Roman"/>
              </w:rPr>
            </w:pPr>
            <w:r>
              <w:rPr>
                <w:rFonts w:ascii="Times New Roman" w:hAnsi="Times New Roman"/>
              </w:rPr>
              <w:t>污</w:t>
            </w:r>
            <w:r>
              <w:rPr>
                <w:rFonts w:ascii="Times New Roman" w:hAnsi="Times New Roman" w:hint="eastAsia"/>
              </w:rPr>
              <w:t>废</w:t>
            </w:r>
            <w:r>
              <w:rPr>
                <w:rFonts w:ascii="Times New Roman" w:hAnsi="Times New Roman"/>
              </w:rPr>
              <w:t>水</w:t>
            </w:r>
            <w:r>
              <w:rPr>
                <w:rFonts w:ascii="Times New Roman" w:hAnsi="Times New Roman" w:hint="eastAsia"/>
              </w:rPr>
              <w:t>回用</w:t>
            </w:r>
            <w:r>
              <w:rPr>
                <w:rFonts w:ascii="Times New Roman" w:hAnsi="Times New Roman"/>
              </w:rPr>
              <w:t>执行《污水综合排放标准》（</w:t>
            </w:r>
            <w:r>
              <w:rPr>
                <w:rFonts w:ascii="Times New Roman" w:hAnsi="Times New Roman"/>
              </w:rPr>
              <w:t>GB8978-1996</w:t>
            </w:r>
            <w:r>
              <w:rPr>
                <w:rFonts w:ascii="Times New Roman" w:hAnsi="Times New Roman"/>
              </w:rPr>
              <w:t>）、</w:t>
            </w:r>
          </w:p>
          <w:p w14:paraId="3AA667A3" w14:textId="77777777" w:rsidR="009C353B" w:rsidRDefault="00000000">
            <w:pPr>
              <w:pStyle w:val="afffff7"/>
              <w:snapToGrid w:val="0"/>
              <w:spacing w:line="240" w:lineRule="atLeast"/>
              <w:rPr>
                <w:rFonts w:ascii="Times New Roman" w:hAnsi="Times New Roman"/>
              </w:rPr>
            </w:pPr>
            <w:r>
              <w:rPr>
                <w:rFonts w:ascii="Times New Roman" w:hAnsi="Times New Roman"/>
              </w:rPr>
              <w:t>《煤炭工业污染物排放标准》（</w:t>
            </w:r>
            <w:r>
              <w:rPr>
                <w:rFonts w:ascii="Times New Roman" w:hAnsi="Times New Roman"/>
              </w:rPr>
              <w:t>GB20426-2006</w:t>
            </w:r>
            <w:r>
              <w:rPr>
                <w:rFonts w:ascii="Times New Roman" w:hAnsi="Times New Roman"/>
              </w:rPr>
              <w:t>）</w:t>
            </w:r>
            <w:r>
              <w:rPr>
                <w:rFonts w:ascii="Times New Roman" w:hAnsi="Times New Roman" w:hint="eastAsia"/>
              </w:rPr>
              <w:t>、</w:t>
            </w:r>
            <w:r>
              <w:rPr>
                <w:rFonts w:ascii="Times New Roman" w:hAnsi="Times New Roman"/>
              </w:rPr>
              <w:t>《煤炭洗选工程设计规范》（</w:t>
            </w:r>
            <w:r>
              <w:rPr>
                <w:rFonts w:ascii="Times New Roman" w:hAnsi="Times New Roman"/>
              </w:rPr>
              <w:t>GB50359-2005</w:t>
            </w:r>
            <w:r>
              <w:rPr>
                <w:rFonts w:ascii="Times New Roman" w:hAnsi="Times New Roman"/>
              </w:rPr>
              <w:t>）中选煤厂补充用水水质标准</w:t>
            </w:r>
            <w:r>
              <w:rPr>
                <w:rFonts w:ascii="Times New Roman" w:hAnsi="Times New Roman" w:hint="eastAsia"/>
              </w:rPr>
              <w:t>等</w:t>
            </w:r>
          </w:p>
        </w:tc>
      </w:tr>
      <w:tr w:rsidR="009C353B" w14:paraId="67F58E72" w14:textId="77777777">
        <w:trPr>
          <w:trHeight w:val="284"/>
        </w:trPr>
        <w:tc>
          <w:tcPr>
            <w:tcW w:w="642" w:type="dxa"/>
            <w:tcBorders>
              <w:bottom w:val="single" w:sz="4" w:space="0" w:color="auto"/>
            </w:tcBorders>
            <w:vAlign w:val="center"/>
          </w:tcPr>
          <w:p w14:paraId="3DD5EBC7" w14:textId="77777777" w:rsidR="009C353B" w:rsidRDefault="00000000">
            <w:pPr>
              <w:pStyle w:val="afffff7"/>
              <w:snapToGrid w:val="0"/>
              <w:spacing w:line="240" w:lineRule="atLeast"/>
              <w:jc w:val="center"/>
              <w:rPr>
                <w:rFonts w:ascii="Times New Roman" w:hAnsi="Times New Roman"/>
              </w:rPr>
            </w:pPr>
            <w:r>
              <w:rPr>
                <w:rFonts w:ascii="Times New Roman" w:hAnsi="Times New Roman"/>
              </w:rPr>
              <w:t>声环境</w:t>
            </w:r>
          </w:p>
        </w:tc>
        <w:tc>
          <w:tcPr>
            <w:tcW w:w="2772" w:type="dxa"/>
            <w:tcBorders>
              <w:bottom w:val="single" w:sz="4" w:space="0" w:color="auto"/>
            </w:tcBorders>
            <w:vAlign w:val="center"/>
          </w:tcPr>
          <w:p w14:paraId="52C30F54" w14:textId="77777777" w:rsidR="009C353B" w:rsidRDefault="00000000">
            <w:pPr>
              <w:pStyle w:val="afffff7"/>
              <w:snapToGrid w:val="0"/>
              <w:spacing w:line="240" w:lineRule="atLeast"/>
              <w:rPr>
                <w:rFonts w:ascii="Times New Roman" w:hAnsi="Times New Roman"/>
              </w:rPr>
            </w:pPr>
            <w:r>
              <w:rPr>
                <w:rFonts w:ascii="Times New Roman" w:hAnsi="Times New Roman"/>
              </w:rPr>
              <w:t>《声环境质量标准》（</w:t>
            </w:r>
            <w:r>
              <w:rPr>
                <w:rFonts w:ascii="Times New Roman" w:hAnsi="Times New Roman"/>
              </w:rPr>
              <w:t>GB3096-2008</w:t>
            </w:r>
            <w:r>
              <w:rPr>
                <w:rFonts w:ascii="Times New Roman" w:hAnsi="Times New Roman"/>
              </w:rPr>
              <w:t>）</w:t>
            </w:r>
            <w:r>
              <w:rPr>
                <w:rFonts w:ascii="Times New Roman" w:hAnsi="Times New Roman" w:hint="eastAsia"/>
              </w:rPr>
              <w:t>3</w:t>
            </w:r>
            <w:r>
              <w:rPr>
                <w:rFonts w:ascii="Times New Roman" w:hAnsi="Times New Roman" w:hint="eastAsia"/>
              </w:rPr>
              <w:t>类标准</w:t>
            </w:r>
          </w:p>
        </w:tc>
        <w:tc>
          <w:tcPr>
            <w:tcW w:w="5511" w:type="dxa"/>
            <w:tcBorders>
              <w:left w:val="single" w:sz="4" w:space="0" w:color="auto"/>
              <w:bottom w:val="single" w:sz="4" w:space="0" w:color="auto"/>
            </w:tcBorders>
            <w:vAlign w:val="center"/>
          </w:tcPr>
          <w:p w14:paraId="202FE1C9" w14:textId="77777777" w:rsidR="009C353B" w:rsidRDefault="00000000">
            <w:pPr>
              <w:pStyle w:val="afffff7"/>
              <w:snapToGrid w:val="0"/>
              <w:spacing w:line="240" w:lineRule="atLeast"/>
              <w:rPr>
                <w:rFonts w:ascii="Times New Roman" w:hAnsi="Times New Roman"/>
              </w:rPr>
            </w:pPr>
            <w:r>
              <w:rPr>
                <w:rFonts w:ascii="Times New Roman" w:hAnsi="Times New Roman"/>
              </w:rPr>
              <w:t>工业场地执行《工业企业厂界环境噪声排放标准》（</w:t>
            </w:r>
            <w:r>
              <w:rPr>
                <w:rFonts w:ascii="Times New Roman" w:hAnsi="Times New Roman"/>
              </w:rPr>
              <w:t>GB12348-2008</w:t>
            </w:r>
            <w:r>
              <w:rPr>
                <w:rFonts w:ascii="Times New Roman" w:hAnsi="Times New Roman"/>
              </w:rPr>
              <w:t>）；施工场地执行《建筑施工场界环境噪声排放标准》（</w:t>
            </w:r>
            <w:r>
              <w:rPr>
                <w:rFonts w:ascii="Times New Roman" w:hAnsi="Times New Roman"/>
              </w:rPr>
              <w:t>GB12523-2011</w:t>
            </w:r>
            <w:r>
              <w:rPr>
                <w:rFonts w:ascii="Times New Roman" w:hAnsi="Times New Roman"/>
              </w:rPr>
              <w:t>）</w:t>
            </w:r>
          </w:p>
        </w:tc>
      </w:tr>
      <w:tr w:rsidR="009C353B" w14:paraId="42CD68E4" w14:textId="77777777">
        <w:trPr>
          <w:trHeight w:val="284"/>
        </w:trPr>
        <w:tc>
          <w:tcPr>
            <w:tcW w:w="642" w:type="dxa"/>
            <w:tcBorders>
              <w:bottom w:val="single" w:sz="4" w:space="0" w:color="auto"/>
            </w:tcBorders>
            <w:vAlign w:val="center"/>
          </w:tcPr>
          <w:p w14:paraId="52668E9E" w14:textId="77777777" w:rsidR="009C353B" w:rsidRDefault="00000000">
            <w:pPr>
              <w:pStyle w:val="afffff7"/>
              <w:snapToGrid w:val="0"/>
              <w:spacing w:line="240" w:lineRule="atLeast"/>
              <w:jc w:val="center"/>
              <w:rPr>
                <w:rFonts w:ascii="Times New Roman" w:hAnsi="Times New Roman"/>
              </w:rPr>
            </w:pPr>
            <w:r>
              <w:rPr>
                <w:rFonts w:ascii="Times New Roman" w:hAnsi="Times New Roman"/>
              </w:rPr>
              <w:t>土壤环境</w:t>
            </w:r>
          </w:p>
        </w:tc>
        <w:tc>
          <w:tcPr>
            <w:tcW w:w="2772" w:type="dxa"/>
            <w:tcBorders>
              <w:bottom w:val="single" w:sz="4" w:space="0" w:color="auto"/>
            </w:tcBorders>
            <w:vAlign w:val="center"/>
          </w:tcPr>
          <w:p w14:paraId="437A301F" w14:textId="77777777" w:rsidR="009C353B" w:rsidRDefault="00000000">
            <w:pPr>
              <w:pStyle w:val="afffff7"/>
              <w:snapToGrid w:val="0"/>
              <w:spacing w:line="240" w:lineRule="atLeast"/>
              <w:rPr>
                <w:rFonts w:ascii="Times New Roman" w:hAnsi="Times New Roman"/>
              </w:rPr>
            </w:pPr>
            <w:r>
              <w:rPr>
                <w:rFonts w:ascii="Times New Roman" w:hAnsi="Times New Roman"/>
              </w:rPr>
              <w:t>《土壤环境质量农用地土壤污染风险管控标准（试行）》</w:t>
            </w:r>
            <w:r>
              <w:rPr>
                <w:rFonts w:ascii="Times New Roman" w:hAnsi="Times New Roman"/>
              </w:rPr>
              <w:t xml:space="preserve"> (GB15618-2018)</w:t>
            </w:r>
            <w:r>
              <w:rPr>
                <w:rFonts w:ascii="Times New Roman" w:hAnsi="Times New Roman"/>
              </w:rPr>
              <w:t>、</w:t>
            </w:r>
          </w:p>
          <w:p w14:paraId="4194DE3E" w14:textId="77777777" w:rsidR="009C353B" w:rsidRDefault="00000000">
            <w:pPr>
              <w:pStyle w:val="afffff7"/>
              <w:snapToGrid w:val="0"/>
              <w:spacing w:line="240" w:lineRule="atLeast"/>
              <w:rPr>
                <w:rFonts w:ascii="Times New Roman" w:hAnsi="Times New Roman"/>
              </w:rPr>
            </w:pPr>
            <w:r>
              <w:rPr>
                <w:rFonts w:ascii="Times New Roman" w:hAnsi="Times New Roman"/>
              </w:rPr>
              <w:t>《土壤环境质量</w:t>
            </w:r>
            <w:r>
              <w:rPr>
                <w:rFonts w:ascii="Times New Roman" w:hAnsi="Times New Roman"/>
              </w:rPr>
              <w:t xml:space="preserve"> </w:t>
            </w:r>
            <w:r>
              <w:rPr>
                <w:rFonts w:ascii="Times New Roman" w:hAnsi="Times New Roman"/>
              </w:rPr>
              <w:t>建设用地土壤污染风险管控标准（试行）》（</w:t>
            </w:r>
            <w:r>
              <w:rPr>
                <w:rFonts w:ascii="Times New Roman" w:hAnsi="Times New Roman"/>
              </w:rPr>
              <w:t>GB 36600-2018</w:t>
            </w:r>
            <w:r>
              <w:rPr>
                <w:rFonts w:ascii="Times New Roman" w:hAnsi="Times New Roman"/>
              </w:rPr>
              <w:t>）</w:t>
            </w:r>
          </w:p>
        </w:tc>
        <w:tc>
          <w:tcPr>
            <w:tcW w:w="5511" w:type="dxa"/>
            <w:tcBorders>
              <w:left w:val="single" w:sz="4" w:space="0" w:color="auto"/>
              <w:bottom w:val="single" w:sz="4" w:space="0" w:color="auto"/>
            </w:tcBorders>
            <w:vAlign w:val="center"/>
          </w:tcPr>
          <w:p w14:paraId="071EC738" w14:textId="77777777" w:rsidR="009C353B" w:rsidRDefault="00000000">
            <w:pPr>
              <w:pStyle w:val="afffff7"/>
              <w:snapToGrid w:val="0"/>
              <w:spacing w:line="240" w:lineRule="atLeast"/>
              <w:jc w:val="center"/>
              <w:rPr>
                <w:rFonts w:ascii="Times New Roman" w:hAnsi="Times New Roman"/>
              </w:rPr>
            </w:pPr>
            <w:r>
              <w:rPr>
                <w:rFonts w:ascii="Times New Roman" w:hAnsi="Times New Roman"/>
              </w:rPr>
              <w:t>/</w:t>
            </w:r>
          </w:p>
        </w:tc>
      </w:tr>
      <w:tr w:rsidR="009C353B" w14:paraId="58E89F08" w14:textId="77777777">
        <w:trPr>
          <w:trHeight w:val="284"/>
        </w:trPr>
        <w:tc>
          <w:tcPr>
            <w:tcW w:w="642" w:type="dxa"/>
            <w:tcBorders>
              <w:bottom w:val="single" w:sz="4" w:space="0" w:color="auto"/>
            </w:tcBorders>
            <w:vAlign w:val="center"/>
          </w:tcPr>
          <w:p w14:paraId="5D3DB97C" w14:textId="77777777" w:rsidR="009C353B" w:rsidRDefault="00000000">
            <w:pPr>
              <w:pStyle w:val="afffff7"/>
              <w:snapToGrid w:val="0"/>
              <w:spacing w:line="240" w:lineRule="atLeast"/>
              <w:jc w:val="center"/>
              <w:rPr>
                <w:rFonts w:ascii="Times New Roman" w:hAnsi="Times New Roman"/>
              </w:rPr>
            </w:pPr>
            <w:r>
              <w:rPr>
                <w:rFonts w:ascii="Times New Roman" w:hAnsi="Times New Roman"/>
              </w:rPr>
              <w:t>固体废物</w:t>
            </w:r>
          </w:p>
        </w:tc>
        <w:tc>
          <w:tcPr>
            <w:tcW w:w="2772" w:type="dxa"/>
            <w:tcBorders>
              <w:bottom w:val="single" w:sz="4" w:space="0" w:color="auto"/>
            </w:tcBorders>
            <w:vAlign w:val="center"/>
          </w:tcPr>
          <w:p w14:paraId="2401AEE7" w14:textId="77777777" w:rsidR="009C353B" w:rsidRDefault="00000000">
            <w:pPr>
              <w:pStyle w:val="afffff7"/>
              <w:snapToGrid w:val="0"/>
              <w:spacing w:line="240" w:lineRule="atLeast"/>
              <w:jc w:val="center"/>
              <w:rPr>
                <w:rFonts w:ascii="Times New Roman" w:hAnsi="Times New Roman"/>
              </w:rPr>
            </w:pPr>
            <w:r>
              <w:rPr>
                <w:rFonts w:ascii="Times New Roman" w:hAnsi="Times New Roman" w:hint="eastAsia"/>
              </w:rPr>
              <w:t>/</w:t>
            </w:r>
          </w:p>
        </w:tc>
        <w:tc>
          <w:tcPr>
            <w:tcW w:w="5511" w:type="dxa"/>
            <w:tcBorders>
              <w:left w:val="single" w:sz="4" w:space="0" w:color="auto"/>
              <w:bottom w:val="single" w:sz="4" w:space="0" w:color="auto"/>
            </w:tcBorders>
            <w:vAlign w:val="center"/>
          </w:tcPr>
          <w:p w14:paraId="6F9F9A20" w14:textId="77777777" w:rsidR="009C353B" w:rsidRDefault="00000000">
            <w:pPr>
              <w:pStyle w:val="afffff7"/>
              <w:snapToGrid w:val="0"/>
              <w:spacing w:line="240" w:lineRule="atLeast"/>
              <w:rPr>
                <w:rFonts w:ascii="Times New Roman" w:hAnsi="Times New Roman"/>
              </w:rPr>
            </w:pPr>
            <w:r>
              <w:rPr>
                <w:rFonts w:ascii="Times New Roman" w:hAnsi="Times New Roman"/>
              </w:rPr>
              <w:t>《一般工业固体废弃物贮存、处置场污染控制标准》（</w:t>
            </w:r>
            <w:r>
              <w:rPr>
                <w:rFonts w:ascii="Times New Roman" w:hAnsi="Times New Roman"/>
              </w:rPr>
              <w:t>GB18599-2001</w:t>
            </w:r>
            <w:r>
              <w:rPr>
                <w:rFonts w:ascii="Times New Roman" w:hAnsi="Times New Roman"/>
              </w:rPr>
              <w:t>）及修改单；《生活垃圾填埋污染控制标准》</w:t>
            </w:r>
            <w:r>
              <w:rPr>
                <w:rFonts w:ascii="Times New Roman" w:hAnsi="Times New Roman"/>
              </w:rPr>
              <w:t>(GB16889-2008)</w:t>
            </w:r>
            <w:r>
              <w:rPr>
                <w:rFonts w:ascii="Times New Roman" w:hAnsi="Times New Roman"/>
              </w:rPr>
              <w:t>；《煤炭工业污染物排放标准》</w:t>
            </w:r>
            <w:r>
              <w:rPr>
                <w:rFonts w:ascii="Times New Roman" w:hAnsi="Times New Roman"/>
              </w:rPr>
              <w:t>GB20426-2006</w:t>
            </w:r>
          </w:p>
        </w:tc>
      </w:tr>
    </w:tbl>
    <w:p w14:paraId="6F29D4D6" w14:textId="77777777" w:rsidR="009C353B" w:rsidRDefault="00000000">
      <w:pPr>
        <w:pStyle w:val="2"/>
        <w:snapToGrid w:val="0"/>
        <w:spacing w:line="440" w:lineRule="exact"/>
        <w:rPr>
          <w:rFonts w:ascii="Times New Roman" w:eastAsia="宋体" w:hAnsi="Times New Roman"/>
          <w:b/>
          <w:sz w:val="28"/>
        </w:rPr>
      </w:pPr>
      <w:bookmarkStart w:id="18" w:name="_Toc163440978"/>
      <w:bookmarkStart w:id="19" w:name="_Toc59189819"/>
      <w:r>
        <w:rPr>
          <w:rFonts w:ascii="Times New Roman" w:eastAsia="宋体" w:hAnsi="Times New Roman"/>
          <w:b/>
          <w:sz w:val="28"/>
        </w:rPr>
        <w:lastRenderedPageBreak/>
        <w:t xml:space="preserve">1.8 </w:t>
      </w:r>
      <w:r>
        <w:rPr>
          <w:rFonts w:ascii="Times New Roman" w:eastAsia="宋体" w:hAnsi="Times New Roman"/>
          <w:b/>
          <w:sz w:val="28"/>
        </w:rPr>
        <w:t>环境保护目标</w:t>
      </w:r>
      <w:bookmarkEnd w:id="18"/>
      <w:bookmarkEnd w:id="19"/>
    </w:p>
    <w:p w14:paraId="32D71B44" w14:textId="77777777" w:rsidR="009C353B" w:rsidRDefault="00000000">
      <w:pPr>
        <w:pStyle w:val="zzm"/>
        <w:adjustRightInd w:val="0"/>
        <w:snapToGrid w:val="0"/>
        <w:spacing w:line="440" w:lineRule="exact"/>
        <w:ind w:firstLine="480"/>
      </w:pPr>
      <w:r>
        <w:t>根据调查，结合矿区及周边的自然环境与社会环境特征，经现场踏勘和调查分析，矿区规划范围内没有风景名胜区</w:t>
      </w:r>
      <w:r>
        <w:rPr>
          <w:rFonts w:hint="eastAsia"/>
        </w:rPr>
        <w:t>、自然保护区等环境敏感目标，周边主要环境保护目标为宁夏灵武白芨滩国家级自然保护区、鸭子荡水库、水洞沟遗址、明长城及红山堡城址、宁东</w:t>
      </w:r>
      <w:r>
        <w:t>镇</w:t>
      </w:r>
      <w:r>
        <w:rPr>
          <w:rFonts w:hint="eastAsia"/>
        </w:rPr>
        <w:t>、水洞沟（又称边沟）</w:t>
      </w:r>
      <w:r>
        <w:t>、</w:t>
      </w:r>
      <w:r>
        <w:rPr>
          <w:rFonts w:hint="eastAsia"/>
        </w:rPr>
        <w:t>大河子沟（又称西天河）、国道、省道及铁路等。</w:t>
      </w:r>
      <w:r>
        <w:t>评价区</w:t>
      </w:r>
      <w:r>
        <w:rPr>
          <w:rFonts w:hint="eastAsia"/>
        </w:rPr>
        <w:t>主要</w:t>
      </w:r>
      <w:r>
        <w:t>环境保护目标见表</w:t>
      </w:r>
      <w:r>
        <w:t>1.8-1</w:t>
      </w:r>
      <w:r>
        <w:rPr>
          <w:rFonts w:hint="eastAsia"/>
        </w:rPr>
        <w:t>和</w:t>
      </w:r>
      <w:r>
        <w:t>图</w:t>
      </w:r>
      <w:r>
        <w:t>1.8-1</w:t>
      </w:r>
      <w:r>
        <w:rPr>
          <w:rFonts w:hint="eastAsia"/>
        </w:rPr>
        <w:t>、</w:t>
      </w:r>
      <w:r>
        <w:rPr>
          <w:rFonts w:hint="eastAsia"/>
        </w:rPr>
        <w:t>1</w:t>
      </w:r>
      <w:r>
        <w:t>.8</w:t>
      </w:r>
      <w:r>
        <w:rPr>
          <w:rFonts w:hint="eastAsia"/>
        </w:rPr>
        <w:t>-</w:t>
      </w:r>
      <w:r>
        <w:t>2</w:t>
      </w:r>
      <w:r>
        <w:rPr>
          <w:rFonts w:hint="eastAsia"/>
        </w:rPr>
        <w:t>。</w:t>
      </w:r>
      <w:r>
        <w:t xml:space="preserve"> </w:t>
      </w:r>
    </w:p>
    <w:p w14:paraId="013DCD8F" w14:textId="77777777" w:rsidR="009C353B" w:rsidRDefault="00000000">
      <w:pPr>
        <w:pStyle w:val="affffff0"/>
        <w:adjustRightInd w:val="0"/>
        <w:spacing w:beforeLines="100" w:before="240" w:line="440" w:lineRule="exact"/>
        <w:jc w:val="center"/>
        <w:rPr>
          <w:rFonts w:ascii="Times New Roman" w:hAnsi="Times New Roman"/>
          <w:kern w:val="0"/>
        </w:rPr>
      </w:pPr>
      <w:r>
        <w:rPr>
          <w:rFonts w:ascii="Times New Roman"/>
          <w:kern w:val="0"/>
        </w:rPr>
        <w:t>矿区环境保护目标一览表</w:t>
      </w:r>
    </w:p>
    <w:p w14:paraId="3B038FDC" w14:textId="77777777" w:rsidR="009C353B" w:rsidRDefault="00000000">
      <w:pPr>
        <w:pStyle w:val="affffd"/>
        <w:spacing w:line="440" w:lineRule="exact"/>
        <w:rPr>
          <w:rFonts w:ascii="Times New Roman" w:hAnsi="Times New Roman"/>
        </w:rPr>
      </w:pPr>
      <w:r>
        <w:rPr>
          <w:rFonts w:ascii="Times New Roman"/>
        </w:rPr>
        <w:t>表</w:t>
      </w:r>
      <w:r>
        <w:rPr>
          <w:rFonts w:ascii="Times New Roman" w:hAnsi="Times New Roman"/>
        </w:rPr>
        <w:t>1.8-1</w:t>
      </w:r>
    </w:p>
    <w:tbl>
      <w:tblPr>
        <w:tblStyle w:val="afffc"/>
        <w:tblW w:w="5000" w:type="pct"/>
        <w:tblLook w:val="04A0" w:firstRow="1" w:lastRow="0" w:firstColumn="1" w:lastColumn="0" w:noHBand="0" w:noVBand="1"/>
      </w:tblPr>
      <w:tblGrid>
        <w:gridCol w:w="594"/>
        <w:gridCol w:w="770"/>
        <w:gridCol w:w="1719"/>
        <w:gridCol w:w="2890"/>
        <w:gridCol w:w="3314"/>
      </w:tblGrid>
      <w:tr w:rsidR="009C353B" w14:paraId="66DF39E0" w14:textId="77777777">
        <w:trPr>
          <w:tblHeader/>
        </w:trPr>
        <w:tc>
          <w:tcPr>
            <w:tcW w:w="594" w:type="dxa"/>
            <w:vAlign w:val="center"/>
          </w:tcPr>
          <w:p w14:paraId="12B2CB82" w14:textId="77777777" w:rsidR="009C353B" w:rsidRDefault="00000000">
            <w:pPr>
              <w:topLinePunct/>
              <w:spacing w:line="240" w:lineRule="atLeast"/>
              <w:jc w:val="center"/>
              <w:textAlignment w:val="baseline"/>
              <w:rPr>
                <w:rFonts w:ascii="Times New Roman" w:eastAsiaTheme="minorEastAsia" w:hAnsi="Times New Roman"/>
                <w:sz w:val="21"/>
                <w:szCs w:val="21"/>
              </w:rPr>
            </w:pPr>
            <w:r>
              <w:rPr>
                <w:rFonts w:ascii="Times New Roman" w:eastAsiaTheme="minorEastAsia" w:hAnsi="Times New Roman"/>
                <w:sz w:val="21"/>
                <w:szCs w:val="21"/>
              </w:rPr>
              <w:t>序号</w:t>
            </w:r>
          </w:p>
        </w:tc>
        <w:tc>
          <w:tcPr>
            <w:tcW w:w="770" w:type="dxa"/>
            <w:vAlign w:val="center"/>
          </w:tcPr>
          <w:p w14:paraId="7035FE55" w14:textId="77777777" w:rsidR="009C353B" w:rsidRDefault="00000000">
            <w:pPr>
              <w:topLinePunct/>
              <w:spacing w:line="240" w:lineRule="atLeast"/>
              <w:jc w:val="center"/>
              <w:textAlignment w:val="baseline"/>
              <w:rPr>
                <w:rFonts w:ascii="Times New Roman" w:eastAsiaTheme="minorEastAsia" w:hAnsi="Times New Roman"/>
                <w:sz w:val="21"/>
                <w:szCs w:val="21"/>
              </w:rPr>
            </w:pPr>
            <w:r>
              <w:rPr>
                <w:rFonts w:ascii="Times New Roman" w:eastAsiaTheme="minorEastAsia" w:hAnsi="Times New Roman"/>
                <w:sz w:val="21"/>
                <w:szCs w:val="21"/>
              </w:rPr>
              <w:t>环境</w:t>
            </w:r>
          </w:p>
          <w:p w14:paraId="626B075A" w14:textId="77777777" w:rsidR="009C353B" w:rsidRDefault="00000000">
            <w:pPr>
              <w:topLinePunct/>
              <w:spacing w:line="240" w:lineRule="atLeast"/>
              <w:jc w:val="center"/>
              <w:textAlignment w:val="baseline"/>
              <w:rPr>
                <w:rFonts w:ascii="Times New Roman" w:eastAsiaTheme="minorEastAsia" w:hAnsi="Times New Roman"/>
                <w:sz w:val="21"/>
                <w:szCs w:val="21"/>
              </w:rPr>
            </w:pPr>
            <w:r>
              <w:rPr>
                <w:rFonts w:ascii="Times New Roman" w:eastAsiaTheme="minorEastAsia" w:hAnsi="Times New Roman"/>
                <w:sz w:val="21"/>
                <w:szCs w:val="21"/>
              </w:rPr>
              <w:t>要素</w:t>
            </w:r>
          </w:p>
        </w:tc>
        <w:tc>
          <w:tcPr>
            <w:tcW w:w="1719" w:type="dxa"/>
            <w:vAlign w:val="center"/>
          </w:tcPr>
          <w:p w14:paraId="3F05E6EE" w14:textId="77777777" w:rsidR="009C353B" w:rsidRDefault="00000000">
            <w:pPr>
              <w:topLinePunct/>
              <w:spacing w:line="240" w:lineRule="atLeast"/>
              <w:jc w:val="center"/>
              <w:textAlignment w:val="baseline"/>
              <w:rPr>
                <w:rFonts w:ascii="Times New Roman" w:eastAsiaTheme="minorEastAsia" w:hAnsi="Times New Roman"/>
                <w:sz w:val="21"/>
                <w:szCs w:val="21"/>
              </w:rPr>
            </w:pPr>
            <w:r>
              <w:rPr>
                <w:rFonts w:ascii="Times New Roman" w:eastAsiaTheme="minorEastAsia" w:hAnsi="Times New Roman"/>
                <w:sz w:val="21"/>
                <w:szCs w:val="21"/>
              </w:rPr>
              <w:t>保护目标</w:t>
            </w:r>
          </w:p>
        </w:tc>
        <w:tc>
          <w:tcPr>
            <w:tcW w:w="2890" w:type="dxa"/>
            <w:vAlign w:val="center"/>
          </w:tcPr>
          <w:p w14:paraId="60790D21" w14:textId="77777777" w:rsidR="009C353B" w:rsidRDefault="00000000">
            <w:pPr>
              <w:topLinePunct/>
              <w:spacing w:line="240" w:lineRule="atLeast"/>
              <w:jc w:val="center"/>
              <w:textAlignment w:val="baseline"/>
              <w:rPr>
                <w:rFonts w:ascii="Times New Roman" w:eastAsiaTheme="minorEastAsia" w:hAnsi="Times New Roman"/>
                <w:sz w:val="21"/>
                <w:szCs w:val="21"/>
              </w:rPr>
            </w:pPr>
            <w:r>
              <w:rPr>
                <w:rFonts w:ascii="Times New Roman" w:eastAsiaTheme="minorEastAsia" w:hAnsi="Times New Roman"/>
                <w:sz w:val="21"/>
                <w:szCs w:val="21"/>
              </w:rPr>
              <w:t>与矿区位置关系</w:t>
            </w:r>
          </w:p>
        </w:tc>
        <w:tc>
          <w:tcPr>
            <w:tcW w:w="3314" w:type="dxa"/>
            <w:vAlign w:val="center"/>
          </w:tcPr>
          <w:p w14:paraId="1EF98E92" w14:textId="77777777" w:rsidR="009C353B" w:rsidRDefault="00000000">
            <w:pPr>
              <w:topLinePunct/>
              <w:spacing w:line="240" w:lineRule="atLeast"/>
              <w:jc w:val="center"/>
              <w:textAlignment w:val="baseline"/>
              <w:rPr>
                <w:rFonts w:ascii="Times New Roman" w:eastAsiaTheme="minorEastAsia" w:hAnsi="Times New Roman"/>
                <w:sz w:val="21"/>
                <w:szCs w:val="21"/>
              </w:rPr>
            </w:pPr>
            <w:r>
              <w:rPr>
                <w:rFonts w:ascii="Times New Roman" w:eastAsiaTheme="minorEastAsia" w:hAnsi="Times New Roman"/>
                <w:sz w:val="21"/>
                <w:szCs w:val="21"/>
              </w:rPr>
              <w:t>保护要求</w:t>
            </w:r>
          </w:p>
        </w:tc>
      </w:tr>
      <w:tr w:rsidR="009C353B" w14:paraId="4EA1B8B1" w14:textId="77777777">
        <w:trPr>
          <w:trHeight w:val="1008"/>
        </w:trPr>
        <w:tc>
          <w:tcPr>
            <w:tcW w:w="594" w:type="dxa"/>
            <w:vMerge w:val="restart"/>
            <w:vAlign w:val="center"/>
          </w:tcPr>
          <w:p w14:paraId="1CBC211E"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p>
        </w:tc>
        <w:tc>
          <w:tcPr>
            <w:tcW w:w="770" w:type="dxa"/>
            <w:vMerge w:val="restart"/>
            <w:vAlign w:val="center"/>
          </w:tcPr>
          <w:p w14:paraId="784F2E19"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地表水</w:t>
            </w:r>
          </w:p>
        </w:tc>
        <w:tc>
          <w:tcPr>
            <w:tcW w:w="1719" w:type="dxa"/>
            <w:tcBorders>
              <w:bottom w:val="single" w:sz="4" w:space="0" w:color="auto"/>
            </w:tcBorders>
            <w:vAlign w:val="center"/>
          </w:tcPr>
          <w:p w14:paraId="10A869C0"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水洞沟</w:t>
            </w:r>
          </w:p>
        </w:tc>
        <w:tc>
          <w:tcPr>
            <w:tcW w:w="2890" w:type="dxa"/>
            <w:tcBorders>
              <w:bottom w:val="single" w:sz="4" w:space="0" w:color="auto"/>
            </w:tcBorders>
            <w:vAlign w:val="center"/>
          </w:tcPr>
          <w:p w14:paraId="27ED972F"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基本位于矿区北侧边界外，自东向西流过，红石湾井田内长度约</w:t>
            </w:r>
            <w:r>
              <w:rPr>
                <w:rFonts w:ascii="Times New Roman" w:eastAsiaTheme="minorEastAsia" w:hAnsi="Times New Roman"/>
                <w:sz w:val="21"/>
                <w:szCs w:val="21"/>
              </w:rPr>
              <w:t>1.2km</w:t>
            </w:r>
            <w:r>
              <w:rPr>
                <w:rFonts w:ascii="Times New Roman" w:eastAsiaTheme="minorEastAsia" w:hAnsi="Times New Roman"/>
                <w:sz w:val="21"/>
                <w:szCs w:val="21"/>
              </w:rPr>
              <w:t>，马莲台井田内长度约</w:t>
            </w:r>
            <w:r>
              <w:rPr>
                <w:rFonts w:ascii="Times New Roman" w:eastAsiaTheme="minorEastAsia" w:hAnsi="Times New Roman"/>
                <w:sz w:val="21"/>
                <w:szCs w:val="21"/>
              </w:rPr>
              <w:t>4.5km</w:t>
            </w:r>
          </w:p>
        </w:tc>
        <w:tc>
          <w:tcPr>
            <w:tcW w:w="3314" w:type="dxa"/>
            <w:vAlign w:val="center"/>
          </w:tcPr>
          <w:p w14:paraId="60CDB4E6"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矿区煤炭开采不得影响河流水量和水质、不得影响现有水域功能。</w:t>
            </w:r>
          </w:p>
        </w:tc>
      </w:tr>
      <w:tr w:rsidR="009C353B" w14:paraId="1E09D5E8" w14:textId="77777777">
        <w:trPr>
          <w:trHeight w:val="1008"/>
        </w:trPr>
        <w:tc>
          <w:tcPr>
            <w:tcW w:w="594" w:type="dxa"/>
            <w:vMerge/>
            <w:vAlign w:val="center"/>
          </w:tcPr>
          <w:p w14:paraId="2D372FAD" w14:textId="77777777" w:rsidR="009C353B" w:rsidRDefault="009C353B">
            <w:pPr>
              <w:spacing w:line="240" w:lineRule="atLeast"/>
              <w:jc w:val="center"/>
              <w:rPr>
                <w:rFonts w:ascii="Times New Roman" w:eastAsiaTheme="minorEastAsia" w:hAnsi="Times New Roman"/>
                <w:sz w:val="21"/>
                <w:szCs w:val="21"/>
              </w:rPr>
            </w:pPr>
          </w:p>
        </w:tc>
        <w:tc>
          <w:tcPr>
            <w:tcW w:w="770" w:type="dxa"/>
            <w:vMerge/>
            <w:vAlign w:val="center"/>
          </w:tcPr>
          <w:p w14:paraId="392CBD5D" w14:textId="77777777" w:rsidR="009C353B" w:rsidRDefault="009C353B">
            <w:pPr>
              <w:spacing w:line="240" w:lineRule="atLeast"/>
              <w:jc w:val="center"/>
              <w:rPr>
                <w:rFonts w:ascii="Times New Roman" w:eastAsiaTheme="minorEastAsia" w:hAnsi="Times New Roman"/>
                <w:sz w:val="21"/>
                <w:szCs w:val="21"/>
              </w:rPr>
            </w:pPr>
          </w:p>
        </w:tc>
        <w:tc>
          <w:tcPr>
            <w:tcW w:w="1719" w:type="dxa"/>
            <w:tcBorders>
              <w:bottom w:val="single" w:sz="4" w:space="0" w:color="auto"/>
            </w:tcBorders>
            <w:vAlign w:val="center"/>
          </w:tcPr>
          <w:p w14:paraId="04697780"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大河子沟</w:t>
            </w:r>
          </w:p>
        </w:tc>
        <w:tc>
          <w:tcPr>
            <w:tcW w:w="2890" w:type="dxa"/>
            <w:tcBorders>
              <w:bottom w:val="single" w:sz="4" w:space="0" w:color="auto"/>
            </w:tcBorders>
            <w:vAlign w:val="center"/>
          </w:tcPr>
          <w:p w14:paraId="5D1A0D64"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大河子沟由西向东穿越丁家梁井田东南部，约有</w:t>
            </w:r>
            <w:r>
              <w:rPr>
                <w:rFonts w:ascii="Times New Roman" w:eastAsiaTheme="minorEastAsia" w:hAnsi="Times New Roman"/>
                <w:sz w:val="21"/>
                <w:szCs w:val="21"/>
              </w:rPr>
              <w:t>3.5km</w:t>
            </w:r>
            <w:r>
              <w:rPr>
                <w:rFonts w:ascii="Times New Roman" w:eastAsiaTheme="minorEastAsia" w:hAnsi="Times New Roman"/>
                <w:sz w:val="21"/>
                <w:szCs w:val="21"/>
              </w:rPr>
              <w:t>河段在井田内</w:t>
            </w:r>
          </w:p>
        </w:tc>
        <w:tc>
          <w:tcPr>
            <w:tcW w:w="3314" w:type="dxa"/>
            <w:vAlign w:val="center"/>
          </w:tcPr>
          <w:p w14:paraId="4B808F64"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矿区煤炭开采不得影响河流水量和水质、不得影响现有水域功能。</w:t>
            </w:r>
          </w:p>
        </w:tc>
      </w:tr>
      <w:tr w:rsidR="009C353B" w14:paraId="14A587E9" w14:textId="77777777">
        <w:trPr>
          <w:trHeight w:val="709"/>
        </w:trPr>
        <w:tc>
          <w:tcPr>
            <w:tcW w:w="594" w:type="dxa"/>
            <w:vMerge/>
            <w:tcBorders>
              <w:bottom w:val="single" w:sz="4" w:space="0" w:color="auto"/>
            </w:tcBorders>
            <w:vAlign w:val="center"/>
          </w:tcPr>
          <w:p w14:paraId="7A5FF24E" w14:textId="77777777" w:rsidR="009C353B" w:rsidRDefault="009C353B">
            <w:pPr>
              <w:spacing w:line="240" w:lineRule="atLeast"/>
              <w:jc w:val="center"/>
              <w:rPr>
                <w:rFonts w:ascii="Times New Roman" w:eastAsiaTheme="minorEastAsia" w:hAnsi="Times New Roman"/>
                <w:sz w:val="21"/>
                <w:szCs w:val="21"/>
              </w:rPr>
            </w:pPr>
          </w:p>
        </w:tc>
        <w:tc>
          <w:tcPr>
            <w:tcW w:w="770" w:type="dxa"/>
            <w:vMerge/>
            <w:tcBorders>
              <w:bottom w:val="single" w:sz="4" w:space="0" w:color="auto"/>
            </w:tcBorders>
            <w:vAlign w:val="center"/>
          </w:tcPr>
          <w:p w14:paraId="4DDF900C" w14:textId="77777777" w:rsidR="009C353B" w:rsidRDefault="009C353B">
            <w:pPr>
              <w:spacing w:line="240" w:lineRule="atLeast"/>
              <w:jc w:val="center"/>
              <w:rPr>
                <w:rFonts w:ascii="Times New Roman" w:eastAsiaTheme="minorEastAsia" w:hAnsi="Times New Roman"/>
                <w:sz w:val="21"/>
                <w:szCs w:val="21"/>
              </w:rPr>
            </w:pPr>
          </w:p>
        </w:tc>
        <w:tc>
          <w:tcPr>
            <w:tcW w:w="1719" w:type="dxa"/>
            <w:tcBorders>
              <w:bottom w:val="single" w:sz="4" w:space="0" w:color="auto"/>
            </w:tcBorders>
            <w:vAlign w:val="center"/>
          </w:tcPr>
          <w:p w14:paraId="14A603FD"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鸭子荡水库</w:t>
            </w:r>
          </w:p>
        </w:tc>
        <w:tc>
          <w:tcPr>
            <w:tcW w:w="2890" w:type="dxa"/>
            <w:tcBorders>
              <w:bottom w:val="single" w:sz="4" w:space="0" w:color="auto"/>
            </w:tcBorders>
            <w:vAlign w:val="center"/>
          </w:tcPr>
          <w:p w14:paraId="3FF3BC67"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位于矿区边界外，丁家梁井田北侧。</w:t>
            </w:r>
          </w:p>
        </w:tc>
        <w:tc>
          <w:tcPr>
            <w:tcW w:w="3314" w:type="dxa"/>
            <w:vAlign w:val="center"/>
          </w:tcPr>
          <w:p w14:paraId="048F9DCE"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矿区煤炭开采不得影响水库水量和水质、不得影响现有水域功能。</w:t>
            </w:r>
          </w:p>
        </w:tc>
      </w:tr>
      <w:tr w:rsidR="009C353B" w14:paraId="28C1CB21" w14:textId="77777777">
        <w:tc>
          <w:tcPr>
            <w:tcW w:w="594" w:type="dxa"/>
            <w:vAlign w:val="center"/>
          </w:tcPr>
          <w:p w14:paraId="2D5B9F3B"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w:t>
            </w:r>
          </w:p>
        </w:tc>
        <w:tc>
          <w:tcPr>
            <w:tcW w:w="770" w:type="dxa"/>
            <w:vAlign w:val="center"/>
          </w:tcPr>
          <w:p w14:paraId="2EF86D02"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地下水</w:t>
            </w:r>
          </w:p>
        </w:tc>
        <w:tc>
          <w:tcPr>
            <w:tcW w:w="1719" w:type="dxa"/>
            <w:vAlign w:val="center"/>
          </w:tcPr>
          <w:p w14:paraId="0B7A9FA6"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矿区浅层地下水及水井</w:t>
            </w:r>
          </w:p>
        </w:tc>
        <w:tc>
          <w:tcPr>
            <w:tcW w:w="2890" w:type="dxa"/>
            <w:vAlign w:val="center"/>
          </w:tcPr>
          <w:p w14:paraId="7A4B6670"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矿区范围及地下水补径排关系密切的区域</w:t>
            </w:r>
          </w:p>
        </w:tc>
        <w:tc>
          <w:tcPr>
            <w:tcW w:w="3314" w:type="dxa"/>
            <w:vAlign w:val="center"/>
          </w:tcPr>
          <w:p w14:paraId="39A5CD4D"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尽量减少矿区开采浅层地下水的影响，不影响植被正常生长；确保不影响白芨滩国家级自然保护区</w:t>
            </w:r>
          </w:p>
        </w:tc>
      </w:tr>
      <w:tr w:rsidR="009C353B" w14:paraId="0A88109F" w14:textId="77777777">
        <w:tc>
          <w:tcPr>
            <w:tcW w:w="594" w:type="dxa"/>
            <w:vAlign w:val="center"/>
          </w:tcPr>
          <w:p w14:paraId="2D9A87C2"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3</w:t>
            </w:r>
          </w:p>
        </w:tc>
        <w:tc>
          <w:tcPr>
            <w:tcW w:w="770" w:type="dxa"/>
            <w:vAlign w:val="center"/>
          </w:tcPr>
          <w:p w14:paraId="1C56DDFE"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环境</w:t>
            </w:r>
          </w:p>
          <w:p w14:paraId="4B8F1BCF"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空气</w:t>
            </w:r>
          </w:p>
        </w:tc>
        <w:tc>
          <w:tcPr>
            <w:tcW w:w="1719" w:type="dxa"/>
            <w:vAlign w:val="center"/>
          </w:tcPr>
          <w:p w14:paraId="4C2AB96D"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环境空气质量</w:t>
            </w:r>
          </w:p>
        </w:tc>
        <w:tc>
          <w:tcPr>
            <w:tcW w:w="2890" w:type="dxa"/>
            <w:vAlign w:val="center"/>
          </w:tcPr>
          <w:p w14:paraId="1E1873A6" w14:textId="77777777" w:rsidR="009C353B" w:rsidRDefault="00000000">
            <w:pPr>
              <w:tabs>
                <w:tab w:val="left" w:pos="420"/>
              </w:tabs>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矿区范围、宁东镇</w:t>
            </w:r>
          </w:p>
        </w:tc>
        <w:tc>
          <w:tcPr>
            <w:tcW w:w="3314" w:type="dxa"/>
            <w:vAlign w:val="center"/>
          </w:tcPr>
          <w:p w14:paraId="2B19741C"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评价区环境空气质量达到二类区要求，保证周边植物正常生长</w:t>
            </w:r>
          </w:p>
        </w:tc>
      </w:tr>
      <w:tr w:rsidR="009C353B" w14:paraId="3CBAA7E5" w14:textId="77777777">
        <w:tc>
          <w:tcPr>
            <w:tcW w:w="594" w:type="dxa"/>
            <w:vAlign w:val="center"/>
          </w:tcPr>
          <w:p w14:paraId="20F24AF4"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4</w:t>
            </w:r>
          </w:p>
        </w:tc>
        <w:tc>
          <w:tcPr>
            <w:tcW w:w="770" w:type="dxa"/>
            <w:vAlign w:val="center"/>
          </w:tcPr>
          <w:p w14:paraId="0A32260C"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声环境</w:t>
            </w:r>
          </w:p>
        </w:tc>
        <w:tc>
          <w:tcPr>
            <w:tcW w:w="1719" w:type="dxa"/>
            <w:vAlign w:val="center"/>
          </w:tcPr>
          <w:p w14:paraId="40EA3EB3"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公路、铁路专用线两侧</w:t>
            </w:r>
            <w:r>
              <w:rPr>
                <w:rFonts w:ascii="Times New Roman" w:eastAsiaTheme="minorEastAsia" w:hAnsi="Times New Roman"/>
                <w:sz w:val="21"/>
                <w:szCs w:val="21"/>
              </w:rPr>
              <w:t>200m</w:t>
            </w:r>
            <w:r>
              <w:rPr>
                <w:rFonts w:ascii="Times New Roman" w:eastAsiaTheme="minorEastAsia" w:hAnsi="Times New Roman"/>
                <w:sz w:val="21"/>
                <w:szCs w:val="21"/>
              </w:rPr>
              <w:t>居民等环境敏感点、厂界及矿区范围内居民点</w:t>
            </w:r>
          </w:p>
        </w:tc>
        <w:tc>
          <w:tcPr>
            <w:tcW w:w="2890" w:type="dxa"/>
            <w:vAlign w:val="center"/>
          </w:tcPr>
          <w:p w14:paraId="75743689" w14:textId="77777777" w:rsidR="009C353B" w:rsidRDefault="00000000">
            <w:pPr>
              <w:tabs>
                <w:tab w:val="left" w:pos="420"/>
              </w:tabs>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矿区范围</w:t>
            </w:r>
          </w:p>
        </w:tc>
        <w:tc>
          <w:tcPr>
            <w:tcW w:w="3314" w:type="dxa"/>
            <w:vAlign w:val="center"/>
          </w:tcPr>
          <w:p w14:paraId="065D19FD"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矿区周围及交通道路沿线声环境达到相应功能区标准，不因矿区开发造成噪声超标</w:t>
            </w:r>
          </w:p>
        </w:tc>
      </w:tr>
      <w:tr w:rsidR="009C353B" w14:paraId="72408B1B" w14:textId="77777777">
        <w:trPr>
          <w:trHeight w:val="1244"/>
        </w:trPr>
        <w:tc>
          <w:tcPr>
            <w:tcW w:w="594" w:type="dxa"/>
            <w:vMerge w:val="restart"/>
            <w:vAlign w:val="center"/>
          </w:tcPr>
          <w:p w14:paraId="5FC7E3BE"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5</w:t>
            </w:r>
          </w:p>
        </w:tc>
        <w:tc>
          <w:tcPr>
            <w:tcW w:w="770" w:type="dxa"/>
            <w:vMerge w:val="restart"/>
            <w:vAlign w:val="center"/>
          </w:tcPr>
          <w:p w14:paraId="1278CAEA"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生态</w:t>
            </w:r>
          </w:p>
          <w:p w14:paraId="3F0D3326"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环境</w:t>
            </w:r>
          </w:p>
        </w:tc>
        <w:tc>
          <w:tcPr>
            <w:tcW w:w="1719" w:type="dxa"/>
            <w:vAlign w:val="center"/>
          </w:tcPr>
          <w:p w14:paraId="786FFEDC"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草地、林地</w:t>
            </w:r>
          </w:p>
        </w:tc>
        <w:tc>
          <w:tcPr>
            <w:tcW w:w="2890" w:type="dxa"/>
            <w:vAlign w:val="center"/>
          </w:tcPr>
          <w:p w14:paraId="7B9137C1" w14:textId="77777777" w:rsidR="009C353B" w:rsidRDefault="00000000">
            <w:pPr>
              <w:tabs>
                <w:tab w:val="left" w:pos="420"/>
              </w:tabs>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矿区范围及周边可能影响区域</w:t>
            </w:r>
          </w:p>
        </w:tc>
        <w:tc>
          <w:tcPr>
            <w:tcW w:w="3314" w:type="dxa"/>
            <w:vAlign w:val="center"/>
          </w:tcPr>
          <w:p w14:paraId="0D14CE71"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将矿区采煤沉陷以及矸石堆场对草地、林地、土壤等的破坏降至最低，对已破坏区域实施土地复垦和生态补偿、修复措施，保证区域生态功能不退化</w:t>
            </w:r>
          </w:p>
        </w:tc>
      </w:tr>
      <w:tr w:rsidR="009C353B" w14:paraId="318B5279" w14:textId="77777777">
        <w:tc>
          <w:tcPr>
            <w:tcW w:w="594" w:type="dxa"/>
            <w:vMerge/>
            <w:vAlign w:val="center"/>
          </w:tcPr>
          <w:p w14:paraId="312584A5" w14:textId="77777777" w:rsidR="009C353B" w:rsidRDefault="009C353B">
            <w:pPr>
              <w:spacing w:line="240" w:lineRule="atLeast"/>
              <w:jc w:val="center"/>
              <w:rPr>
                <w:rFonts w:ascii="Times New Roman" w:eastAsiaTheme="minorEastAsia" w:hAnsi="Times New Roman"/>
                <w:sz w:val="21"/>
                <w:szCs w:val="21"/>
              </w:rPr>
            </w:pPr>
          </w:p>
        </w:tc>
        <w:tc>
          <w:tcPr>
            <w:tcW w:w="770" w:type="dxa"/>
            <w:vMerge/>
            <w:vAlign w:val="center"/>
          </w:tcPr>
          <w:p w14:paraId="075E6EE8" w14:textId="77777777" w:rsidR="009C353B" w:rsidRDefault="009C353B">
            <w:pPr>
              <w:spacing w:line="240" w:lineRule="atLeast"/>
              <w:jc w:val="center"/>
              <w:rPr>
                <w:rFonts w:ascii="Times New Roman" w:eastAsiaTheme="minorEastAsia" w:hAnsi="Times New Roman"/>
                <w:sz w:val="21"/>
                <w:szCs w:val="21"/>
              </w:rPr>
            </w:pPr>
          </w:p>
        </w:tc>
        <w:tc>
          <w:tcPr>
            <w:tcW w:w="1719" w:type="dxa"/>
            <w:vAlign w:val="center"/>
          </w:tcPr>
          <w:p w14:paraId="4CD18044" w14:textId="77777777" w:rsidR="009C353B" w:rsidRDefault="00000000">
            <w:pPr>
              <w:spacing w:line="240" w:lineRule="atLeast"/>
              <w:rPr>
                <w:rFonts w:ascii="Times New Roman" w:eastAsiaTheme="minorEastAsia" w:hAnsi="Times New Roman"/>
                <w:sz w:val="21"/>
                <w:szCs w:val="21"/>
              </w:rPr>
            </w:pPr>
            <w:r>
              <w:rPr>
                <w:rFonts w:ascii="Times New Roman" w:eastAsiaTheme="minorEastAsia" w:hAnsi="Times New Roman"/>
                <w:sz w:val="21"/>
                <w:szCs w:val="21"/>
              </w:rPr>
              <w:t>公益林</w:t>
            </w:r>
          </w:p>
        </w:tc>
        <w:tc>
          <w:tcPr>
            <w:tcW w:w="2890" w:type="dxa"/>
            <w:vAlign w:val="center"/>
          </w:tcPr>
          <w:p w14:paraId="1C327D35"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矿区井田边界外，鸭子荡水库东、北、西侧有分布公益林</w:t>
            </w:r>
            <w:r>
              <w:rPr>
                <w:rFonts w:ascii="Times New Roman" w:eastAsiaTheme="minorEastAsia" w:hAnsi="Times New Roman" w:hint="eastAsia"/>
                <w:sz w:val="21"/>
                <w:szCs w:val="21"/>
              </w:rPr>
              <w:t>（国家级）</w:t>
            </w:r>
            <w:r>
              <w:rPr>
                <w:rFonts w:ascii="Times New Roman" w:eastAsiaTheme="minorEastAsia" w:hAnsi="Times New Roman"/>
                <w:sz w:val="21"/>
                <w:szCs w:val="21"/>
              </w:rPr>
              <w:t>，与井田边界最近距离均</w:t>
            </w:r>
            <w:r>
              <w:rPr>
                <w:rFonts w:ascii="Times New Roman" w:eastAsiaTheme="minorEastAsia" w:hAnsi="Times New Roman"/>
                <w:sz w:val="21"/>
                <w:szCs w:val="21"/>
              </w:rPr>
              <w:t>1.8km</w:t>
            </w:r>
            <w:r>
              <w:rPr>
                <w:rFonts w:ascii="Times New Roman" w:eastAsiaTheme="minorEastAsia" w:hAnsi="Times New Roman" w:hint="eastAsia"/>
                <w:sz w:val="21"/>
                <w:szCs w:val="21"/>
              </w:rPr>
              <w:t>，分布见图</w:t>
            </w:r>
            <w:r>
              <w:rPr>
                <w:rFonts w:ascii="Times New Roman" w:eastAsiaTheme="minorEastAsia" w:hAnsi="Times New Roman" w:hint="eastAsia"/>
                <w:sz w:val="21"/>
                <w:szCs w:val="21"/>
              </w:rPr>
              <w:t>3.4-5</w:t>
            </w:r>
          </w:p>
        </w:tc>
        <w:tc>
          <w:tcPr>
            <w:tcW w:w="3314" w:type="dxa"/>
            <w:vAlign w:val="center"/>
          </w:tcPr>
          <w:p w14:paraId="57FA1F30" w14:textId="77777777" w:rsidR="009C353B" w:rsidRDefault="00000000">
            <w:pPr>
              <w:topLinePunct/>
              <w:spacing w:line="240" w:lineRule="atLeast"/>
              <w:textAlignment w:val="baseline"/>
              <w:rPr>
                <w:rFonts w:ascii="Times New Roman" w:eastAsiaTheme="minorEastAsia" w:hAnsi="Times New Roman"/>
                <w:kern w:val="0"/>
                <w:sz w:val="21"/>
                <w:szCs w:val="21"/>
              </w:rPr>
            </w:pPr>
            <w:r>
              <w:rPr>
                <w:rFonts w:ascii="Times New Roman" w:eastAsiaTheme="minorEastAsia" w:hAnsi="Times New Roman"/>
                <w:kern w:val="0"/>
                <w:sz w:val="21"/>
                <w:szCs w:val="21"/>
              </w:rPr>
              <w:t>保证公益林正常生长，不受采煤沉陷影响</w:t>
            </w:r>
          </w:p>
        </w:tc>
      </w:tr>
      <w:tr w:rsidR="009C353B" w14:paraId="5D7465D4" w14:textId="77777777">
        <w:tc>
          <w:tcPr>
            <w:tcW w:w="594" w:type="dxa"/>
            <w:vAlign w:val="center"/>
          </w:tcPr>
          <w:p w14:paraId="48E7C439"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6</w:t>
            </w:r>
          </w:p>
        </w:tc>
        <w:tc>
          <w:tcPr>
            <w:tcW w:w="770" w:type="dxa"/>
            <w:vAlign w:val="center"/>
          </w:tcPr>
          <w:p w14:paraId="7E5F977E"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城镇居民点</w:t>
            </w:r>
          </w:p>
        </w:tc>
        <w:tc>
          <w:tcPr>
            <w:tcW w:w="1719" w:type="dxa"/>
            <w:vAlign w:val="center"/>
          </w:tcPr>
          <w:p w14:paraId="3443C658"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宁东镇</w:t>
            </w:r>
          </w:p>
        </w:tc>
        <w:tc>
          <w:tcPr>
            <w:tcW w:w="2890" w:type="dxa"/>
            <w:vAlign w:val="center"/>
          </w:tcPr>
          <w:p w14:paraId="271CE454"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矿区东南侧边界外，距离井田最近处约</w:t>
            </w:r>
            <w:r>
              <w:rPr>
                <w:rFonts w:ascii="Times New Roman" w:eastAsiaTheme="minorEastAsia" w:hAnsi="Times New Roman"/>
                <w:sz w:val="21"/>
                <w:szCs w:val="21"/>
              </w:rPr>
              <w:t xml:space="preserve">2.5km </w:t>
            </w:r>
          </w:p>
        </w:tc>
        <w:tc>
          <w:tcPr>
            <w:tcW w:w="3314" w:type="dxa"/>
            <w:vAlign w:val="center"/>
          </w:tcPr>
          <w:p w14:paraId="1A703380"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矿区开发对镇居民集中区不产生影响</w:t>
            </w:r>
          </w:p>
        </w:tc>
      </w:tr>
      <w:tr w:rsidR="009C353B" w14:paraId="71F6E22B" w14:textId="77777777">
        <w:tc>
          <w:tcPr>
            <w:tcW w:w="594" w:type="dxa"/>
            <w:vMerge w:val="restart"/>
            <w:vAlign w:val="center"/>
          </w:tcPr>
          <w:p w14:paraId="557355EC"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lastRenderedPageBreak/>
              <w:t>7</w:t>
            </w:r>
          </w:p>
        </w:tc>
        <w:tc>
          <w:tcPr>
            <w:tcW w:w="770" w:type="dxa"/>
            <w:vMerge w:val="restart"/>
            <w:vAlign w:val="center"/>
          </w:tcPr>
          <w:p w14:paraId="44B42BC1"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道路基础设施</w:t>
            </w:r>
          </w:p>
        </w:tc>
        <w:tc>
          <w:tcPr>
            <w:tcW w:w="1719" w:type="dxa"/>
            <w:vAlign w:val="center"/>
          </w:tcPr>
          <w:p w14:paraId="4EFF6FF7"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G307</w:t>
            </w:r>
            <w:r>
              <w:rPr>
                <w:rFonts w:ascii="Times New Roman" w:eastAsiaTheme="minorEastAsia" w:hAnsi="Times New Roman"/>
                <w:sz w:val="21"/>
                <w:szCs w:val="21"/>
              </w:rPr>
              <w:t>国道（岐银线）</w:t>
            </w:r>
          </w:p>
        </w:tc>
        <w:tc>
          <w:tcPr>
            <w:tcW w:w="2890" w:type="dxa"/>
            <w:vAlign w:val="center"/>
          </w:tcPr>
          <w:p w14:paraId="3877434D"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位于丁家梁井田南边界外，距开采边界最近距离为</w:t>
            </w:r>
            <w:r>
              <w:rPr>
                <w:rFonts w:ascii="Times New Roman" w:eastAsiaTheme="minorEastAsia" w:hAnsi="Times New Roman"/>
                <w:sz w:val="21"/>
                <w:szCs w:val="21"/>
              </w:rPr>
              <w:t>3.37km</w:t>
            </w:r>
          </w:p>
        </w:tc>
        <w:tc>
          <w:tcPr>
            <w:tcW w:w="3314" w:type="dxa"/>
            <w:vMerge w:val="restart"/>
            <w:vAlign w:val="center"/>
          </w:tcPr>
          <w:p w14:paraId="525DC261"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确保道路交通正常通行</w:t>
            </w:r>
          </w:p>
        </w:tc>
      </w:tr>
      <w:tr w:rsidR="009C353B" w14:paraId="6ABA784F" w14:textId="77777777">
        <w:tc>
          <w:tcPr>
            <w:tcW w:w="594" w:type="dxa"/>
            <w:vMerge/>
            <w:vAlign w:val="center"/>
          </w:tcPr>
          <w:p w14:paraId="274F9125" w14:textId="77777777" w:rsidR="009C353B" w:rsidRDefault="009C353B">
            <w:pPr>
              <w:spacing w:line="240" w:lineRule="atLeast"/>
              <w:jc w:val="center"/>
              <w:rPr>
                <w:rFonts w:ascii="Times New Roman" w:eastAsiaTheme="minorEastAsia" w:hAnsi="Times New Roman"/>
                <w:sz w:val="21"/>
                <w:szCs w:val="21"/>
              </w:rPr>
            </w:pPr>
          </w:p>
        </w:tc>
        <w:tc>
          <w:tcPr>
            <w:tcW w:w="770" w:type="dxa"/>
            <w:vMerge/>
            <w:vAlign w:val="center"/>
          </w:tcPr>
          <w:p w14:paraId="3280064B" w14:textId="77777777" w:rsidR="009C353B" w:rsidRDefault="009C353B">
            <w:pPr>
              <w:spacing w:line="240" w:lineRule="atLeast"/>
              <w:jc w:val="center"/>
              <w:rPr>
                <w:rFonts w:ascii="Times New Roman" w:eastAsiaTheme="minorEastAsia" w:hAnsi="Times New Roman"/>
                <w:sz w:val="21"/>
                <w:szCs w:val="21"/>
              </w:rPr>
            </w:pPr>
          </w:p>
        </w:tc>
        <w:tc>
          <w:tcPr>
            <w:tcW w:w="1719" w:type="dxa"/>
            <w:vAlign w:val="center"/>
          </w:tcPr>
          <w:p w14:paraId="747E3A84"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G20</w:t>
            </w:r>
            <w:r>
              <w:rPr>
                <w:rFonts w:ascii="Times New Roman" w:eastAsiaTheme="minorEastAsia" w:hAnsi="Times New Roman"/>
                <w:sz w:val="21"/>
                <w:szCs w:val="21"/>
              </w:rPr>
              <w:t>青银高速</w:t>
            </w:r>
          </w:p>
        </w:tc>
        <w:tc>
          <w:tcPr>
            <w:tcW w:w="2890" w:type="dxa"/>
            <w:vAlign w:val="center"/>
          </w:tcPr>
          <w:p w14:paraId="2997E0E7"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从红石湾井田中部穿过，井田内长约</w:t>
            </w:r>
            <w:r>
              <w:rPr>
                <w:rFonts w:ascii="Times New Roman" w:eastAsiaTheme="minorEastAsia" w:hAnsi="Times New Roman"/>
                <w:sz w:val="21"/>
                <w:szCs w:val="21"/>
              </w:rPr>
              <w:t>2.09km</w:t>
            </w:r>
          </w:p>
        </w:tc>
        <w:tc>
          <w:tcPr>
            <w:tcW w:w="3314" w:type="dxa"/>
            <w:vMerge/>
            <w:vAlign w:val="center"/>
          </w:tcPr>
          <w:p w14:paraId="429BB6A4" w14:textId="77777777" w:rsidR="009C353B" w:rsidRDefault="009C353B">
            <w:pPr>
              <w:topLinePunct/>
              <w:spacing w:line="240" w:lineRule="atLeast"/>
              <w:textAlignment w:val="baseline"/>
              <w:rPr>
                <w:rFonts w:ascii="Times New Roman" w:eastAsiaTheme="minorEastAsia" w:hAnsi="Times New Roman"/>
                <w:sz w:val="21"/>
                <w:szCs w:val="21"/>
              </w:rPr>
            </w:pPr>
          </w:p>
        </w:tc>
      </w:tr>
      <w:tr w:rsidR="009C353B" w14:paraId="423D2E4F" w14:textId="77777777">
        <w:tc>
          <w:tcPr>
            <w:tcW w:w="594" w:type="dxa"/>
            <w:vMerge/>
            <w:vAlign w:val="center"/>
          </w:tcPr>
          <w:p w14:paraId="0EA65A86" w14:textId="77777777" w:rsidR="009C353B" w:rsidRDefault="009C353B">
            <w:pPr>
              <w:spacing w:line="240" w:lineRule="atLeast"/>
              <w:jc w:val="center"/>
              <w:rPr>
                <w:rFonts w:ascii="Times New Roman" w:eastAsiaTheme="minorEastAsia" w:hAnsi="Times New Roman"/>
                <w:sz w:val="21"/>
                <w:szCs w:val="21"/>
              </w:rPr>
            </w:pPr>
          </w:p>
        </w:tc>
        <w:tc>
          <w:tcPr>
            <w:tcW w:w="770" w:type="dxa"/>
            <w:vMerge/>
            <w:vAlign w:val="center"/>
          </w:tcPr>
          <w:p w14:paraId="1EEB88C5" w14:textId="77777777" w:rsidR="009C353B" w:rsidRDefault="009C353B">
            <w:pPr>
              <w:spacing w:line="240" w:lineRule="atLeast"/>
              <w:jc w:val="center"/>
              <w:rPr>
                <w:rFonts w:ascii="Times New Roman" w:eastAsiaTheme="minorEastAsia" w:hAnsi="Times New Roman"/>
                <w:sz w:val="21"/>
                <w:szCs w:val="21"/>
              </w:rPr>
            </w:pPr>
          </w:p>
        </w:tc>
        <w:tc>
          <w:tcPr>
            <w:tcW w:w="1719" w:type="dxa"/>
            <w:vAlign w:val="center"/>
          </w:tcPr>
          <w:p w14:paraId="4CEAA8FC"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S103</w:t>
            </w:r>
            <w:r>
              <w:rPr>
                <w:rFonts w:ascii="Times New Roman" w:eastAsiaTheme="minorEastAsia" w:hAnsi="Times New Roman"/>
                <w:sz w:val="21"/>
                <w:szCs w:val="21"/>
              </w:rPr>
              <w:t>省道</w:t>
            </w:r>
          </w:p>
        </w:tc>
        <w:tc>
          <w:tcPr>
            <w:tcW w:w="2890" w:type="dxa"/>
            <w:vAlign w:val="center"/>
          </w:tcPr>
          <w:p w14:paraId="6161A6F5"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从红石湾井田中部穿过，井田内长约</w:t>
            </w:r>
            <w:r>
              <w:rPr>
                <w:rFonts w:ascii="Times New Roman" w:eastAsiaTheme="minorEastAsia" w:hAnsi="Times New Roman"/>
                <w:sz w:val="21"/>
                <w:szCs w:val="21"/>
              </w:rPr>
              <w:t>2.03km</w:t>
            </w:r>
          </w:p>
        </w:tc>
        <w:tc>
          <w:tcPr>
            <w:tcW w:w="3314" w:type="dxa"/>
            <w:vMerge/>
            <w:vAlign w:val="center"/>
          </w:tcPr>
          <w:p w14:paraId="7A4EF5EB" w14:textId="77777777" w:rsidR="009C353B" w:rsidRDefault="009C353B">
            <w:pPr>
              <w:topLinePunct/>
              <w:spacing w:line="240" w:lineRule="atLeast"/>
              <w:textAlignment w:val="baseline"/>
              <w:rPr>
                <w:rFonts w:ascii="Times New Roman" w:eastAsiaTheme="minorEastAsia" w:hAnsi="Times New Roman"/>
                <w:sz w:val="21"/>
                <w:szCs w:val="21"/>
              </w:rPr>
            </w:pPr>
          </w:p>
        </w:tc>
      </w:tr>
      <w:tr w:rsidR="009C353B" w14:paraId="1CD5AF55" w14:textId="77777777">
        <w:tc>
          <w:tcPr>
            <w:tcW w:w="594" w:type="dxa"/>
            <w:vMerge/>
            <w:vAlign w:val="center"/>
          </w:tcPr>
          <w:p w14:paraId="402662F1" w14:textId="77777777" w:rsidR="009C353B" w:rsidRDefault="009C353B">
            <w:pPr>
              <w:spacing w:line="240" w:lineRule="atLeast"/>
              <w:jc w:val="center"/>
              <w:rPr>
                <w:rFonts w:ascii="Times New Roman" w:eastAsiaTheme="minorEastAsia" w:hAnsi="Times New Roman"/>
                <w:sz w:val="21"/>
                <w:szCs w:val="21"/>
              </w:rPr>
            </w:pPr>
          </w:p>
        </w:tc>
        <w:tc>
          <w:tcPr>
            <w:tcW w:w="770" w:type="dxa"/>
            <w:vMerge/>
            <w:vAlign w:val="center"/>
          </w:tcPr>
          <w:p w14:paraId="1BAE9404" w14:textId="77777777" w:rsidR="009C353B" w:rsidRDefault="009C353B">
            <w:pPr>
              <w:spacing w:line="240" w:lineRule="atLeast"/>
              <w:jc w:val="center"/>
              <w:rPr>
                <w:rFonts w:ascii="Times New Roman" w:eastAsiaTheme="minorEastAsia" w:hAnsi="Times New Roman"/>
                <w:sz w:val="21"/>
                <w:szCs w:val="21"/>
              </w:rPr>
            </w:pPr>
          </w:p>
        </w:tc>
        <w:tc>
          <w:tcPr>
            <w:tcW w:w="1719" w:type="dxa"/>
            <w:vAlign w:val="center"/>
          </w:tcPr>
          <w:p w14:paraId="1371167A"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S12</w:t>
            </w:r>
            <w:r>
              <w:rPr>
                <w:rFonts w:ascii="Times New Roman" w:eastAsiaTheme="minorEastAsia" w:hAnsi="Times New Roman"/>
                <w:sz w:val="21"/>
                <w:szCs w:val="21"/>
              </w:rPr>
              <w:t>古青高速</w:t>
            </w:r>
          </w:p>
        </w:tc>
        <w:tc>
          <w:tcPr>
            <w:tcW w:w="2890" w:type="dxa"/>
            <w:vAlign w:val="center"/>
          </w:tcPr>
          <w:p w14:paraId="7478028F"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从丁家梁井田、马莲台井田内南部穿过，两井田内分别长约</w:t>
            </w:r>
            <w:r>
              <w:rPr>
                <w:rFonts w:ascii="Times New Roman" w:eastAsiaTheme="minorEastAsia" w:hAnsi="Times New Roman"/>
                <w:sz w:val="21"/>
                <w:szCs w:val="21"/>
              </w:rPr>
              <w:t>4.32km</w:t>
            </w:r>
            <w:r>
              <w:rPr>
                <w:rFonts w:ascii="Times New Roman" w:eastAsiaTheme="minorEastAsia" w:hAnsi="Times New Roman"/>
                <w:sz w:val="21"/>
                <w:szCs w:val="21"/>
              </w:rPr>
              <w:t>、</w:t>
            </w:r>
            <w:r>
              <w:rPr>
                <w:rFonts w:ascii="Times New Roman" w:eastAsiaTheme="minorEastAsia" w:hAnsi="Times New Roman"/>
                <w:sz w:val="21"/>
                <w:szCs w:val="21"/>
              </w:rPr>
              <w:t>4.51km</w:t>
            </w:r>
          </w:p>
        </w:tc>
        <w:tc>
          <w:tcPr>
            <w:tcW w:w="3314" w:type="dxa"/>
            <w:vMerge/>
            <w:vAlign w:val="center"/>
          </w:tcPr>
          <w:p w14:paraId="3B0729A7" w14:textId="77777777" w:rsidR="009C353B" w:rsidRDefault="009C353B">
            <w:pPr>
              <w:topLinePunct/>
              <w:spacing w:line="240" w:lineRule="atLeast"/>
              <w:textAlignment w:val="baseline"/>
              <w:rPr>
                <w:rFonts w:ascii="Times New Roman" w:eastAsiaTheme="minorEastAsia" w:hAnsi="Times New Roman"/>
                <w:sz w:val="21"/>
                <w:szCs w:val="21"/>
              </w:rPr>
            </w:pPr>
          </w:p>
        </w:tc>
      </w:tr>
      <w:tr w:rsidR="009C353B" w14:paraId="11BBA418" w14:textId="77777777">
        <w:tc>
          <w:tcPr>
            <w:tcW w:w="594" w:type="dxa"/>
            <w:vMerge/>
            <w:vAlign w:val="center"/>
          </w:tcPr>
          <w:p w14:paraId="4CB4042E" w14:textId="77777777" w:rsidR="009C353B" w:rsidRDefault="009C353B">
            <w:pPr>
              <w:spacing w:line="240" w:lineRule="atLeast"/>
              <w:jc w:val="center"/>
              <w:rPr>
                <w:rFonts w:ascii="Times New Roman" w:eastAsiaTheme="minorEastAsia" w:hAnsi="Times New Roman"/>
                <w:sz w:val="21"/>
                <w:szCs w:val="21"/>
              </w:rPr>
            </w:pPr>
          </w:p>
        </w:tc>
        <w:tc>
          <w:tcPr>
            <w:tcW w:w="770" w:type="dxa"/>
            <w:vMerge/>
            <w:vAlign w:val="center"/>
          </w:tcPr>
          <w:p w14:paraId="31112A4F" w14:textId="77777777" w:rsidR="009C353B" w:rsidRDefault="009C353B">
            <w:pPr>
              <w:spacing w:line="240" w:lineRule="atLeast"/>
              <w:jc w:val="center"/>
              <w:rPr>
                <w:rFonts w:ascii="Times New Roman" w:eastAsiaTheme="minorEastAsia" w:hAnsi="Times New Roman"/>
                <w:sz w:val="21"/>
                <w:szCs w:val="21"/>
              </w:rPr>
            </w:pPr>
          </w:p>
        </w:tc>
        <w:tc>
          <w:tcPr>
            <w:tcW w:w="1719" w:type="dxa"/>
            <w:vAlign w:val="center"/>
          </w:tcPr>
          <w:p w14:paraId="7A90EB1E"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灵盐公路</w:t>
            </w:r>
          </w:p>
        </w:tc>
        <w:tc>
          <w:tcPr>
            <w:tcW w:w="2890" w:type="dxa"/>
            <w:vAlign w:val="center"/>
          </w:tcPr>
          <w:p w14:paraId="2498D69C"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从丁家梁井田内南部穿过，井田内长约</w:t>
            </w:r>
            <w:r>
              <w:rPr>
                <w:rFonts w:ascii="Times New Roman" w:eastAsiaTheme="minorEastAsia" w:hAnsi="Times New Roman"/>
                <w:sz w:val="21"/>
                <w:szCs w:val="21"/>
              </w:rPr>
              <w:t>5.38km</w:t>
            </w:r>
          </w:p>
        </w:tc>
        <w:tc>
          <w:tcPr>
            <w:tcW w:w="3314" w:type="dxa"/>
            <w:vMerge/>
            <w:vAlign w:val="center"/>
          </w:tcPr>
          <w:p w14:paraId="166DEA21" w14:textId="77777777" w:rsidR="009C353B" w:rsidRDefault="009C353B">
            <w:pPr>
              <w:topLinePunct/>
              <w:spacing w:line="240" w:lineRule="atLeast"/>
              <w:textAlignment w:val="baseline"/>
              <w:rPr>
                <w:rFonts w:ascii="Times New Roman" w:eastAsiaTheme="minorEastAsia" w:hAnsi="Times New Roman"/>
                <w:sz w:val="21"/>
                <w:szCs w:val="21"/>
              </w:rPr>
            </w:pPr>
          </w:p>
        </w:tc>
      </w:tr>
      <w:tr w:rsidR="009C353B" w14:paraId="11644BEB" w14:textId="77777777">
        <w:tc>
          <w:tcPr>
            <w:tcW w:w="594" w:type="dxa"/>
            <w:vMerge/>
            <w:vAlign w:val="center"/>
          </w:tcPr>
          <w:p w14:paraId="6692F7B8" w14:textId="77777777" w:rsidR="009C353B" w:rsidRDefault="009C353B">
            <w:pPr>
              <w:spacing w:line="240" w:lineRule="atLeast"/>
              <w:jc w:val="center"/>
              <w:rPr>
                <w:rFonts w:ascii="Times New Roman" w:eastAsiaTheme="minorEastAsia" w:hAnsi="Times New Roman"/>
                <w:sz w:val="21"/>
                <w:szCs w:val="21"/>
              </w:rPr>
            </w:pPr>
          </w:p>
        </w:tc>
        <w:tc>
          <w:tcPr>
            <w:tcW w:w="770" w:type="dxa"/>
            <w:vMerge/>
            <w:vAlign w:val="center"/>
          </w:tcPr>
          <w:p w14:paraId="2F36473B" w14:textId="77777777" w:rsidR="009C353B" w:rsidRDefault="009C353B">
            <w:pPr>
              <w:spacing w:line="240" w:lineRule="atLeast"/>
              <w:jc w:val="center"/>
              <w:rPr>
                <w:rFonts w:ascii="Times New Roman" w:eastAsiaTheme="minorEastAsia" w:hAnsi="Times New Roman"/>
                <w:sz w:val="21"/>
                <w:szCs w:val="21"/>
              </w:rPr>
            </w:pPr>
          </w:p>
        </w:tc>
        <w:tc>
          <w:tcPr>
            <w:tcW w:w="1719" w:type="dxa"/>
            <w:vAlign w:val="center"/>
          </w:tcPr>
          <w:p w14:paraId="50575FCD"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大古铁路（</w:t>
            </w:r>
            <w:hyperlink r:id="rId10" w:tgtFrame="_blank" w:history="1">
              <w:r>
                <w:rPr>
                  <w:rFonts w:ascii="Times New Roman" w:eastAsiaTheme="minorEastAsia" w:hAnsi="Times New Roman"/>
                  <w:sz w:val="21"/>
                  <w:szCs w:val="21"/>
                </w:rPr>
                <w:t>地铁</w:t>
              </w:r>
            </w:hyperlink>
            <w:r>
              <w:rPr>
                <w:rFonts w:ascii="Times New Roman" w:eastAsiaTheme="minorEastAsia" w:hAnsi="Times New Roman"/>
                <w:sz w:val="21"/>
                <w:szCs w:val="21"/>
              </w:rPr>
              <w:t>Ⅰ</w:t>
            </w:r>
            <w:r>
              <w:rPr>
                <w:rFonts w:ascii="Times New Roman" w:eastAsiaTheme="minorEastAsia" w:hAnsi="Times New Roman"/>
                <w:sz w:val="21"/>
                <w:szCs w:val="21"/>
              </w:rPr>
              <w:t>级）</w:t>
            </w:r>
            <w:r>
              <w:rPr>
                <w:rFonts w:ascii="Times New Roman" w:eastAsiaTheme="minorEastAsia" w:hAnsi="Times New Roman"/>
                <w:sz w:val="21"/>
                <w:szCs w:val="21"/>
              </w:rPr>
              <w:t xml:space="preserve"> </w:t>
            </w:r>
            <w:r>
              <w:rPr>
                <w:rFonts w:ascii="Times New Roman" w:eastAsiaTheme="minorEastAsia" w:hAnsi="Times New Roman"/>
                <w:sz w:val="21"/>
                <w:szCs w:val="21"/>
              </w:rPr>
              <w:t>（即宁东铁路）</w:t>
            </w:r>
          </w:p>
        </w:tc>
        <w:tc>
          <w:tcPr>
            <w:tcW w:w="2890" w:type="dxa"/>
            <w:vAlign w:val="center"/>
          </w:tcPr>
          <w:p w14:paraId="43030C3F"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位于丁家梁井田南边界外，距开采边界最近距离为</w:t>
            </w:r>
            <w:r>
              <w:rPr>
                <w:rFonts w:ascii="Times New Roman" w:eastAsiaTheme="minorEastAsia" w:hAnsi="Times New Roman"/>
                <w:sz w:val="21"/>
                <w:szCs w:val="21"/>
              </w:rPr>
              <w:t>3.18km</w:t>
            </w:r>
          </w:p>
        </w:tc>
        <w:tc>
          <w:tcPr>
            <w:tcW w:w="3314" w:type="dxa"/>
            <w:vMerge/>
            <w:vAlign w:val="center"/>
          </w:tcPr>
          <w:p w14:paraId="66F99F61" w14:textId="77777777" w:rsidR="009C353B" w:rsidRDefault="009C353B">
            <w:pPr>
              <w:topLinePunct/>
              <w:spacing w:line="240" w:lineRule="atLeast"/>
              <w:textAlignment w:val="baseline"/>
              <w:rPr>
                <w:rFonts w:ascii="Times New Roman" w:eastAsiaTheme="minorEastAsia" w:hAnsi="Times New Roman"/>
                <w:sz w:val="21"/>
                <w:szCs w:val="21"/>
              </w:rPr>
            </w:pPr>
          </w:p>
        </w:tc>
      </w:tr>
      <w:tr w:rsidR="009C353B" w14:paraId="41DE0E33" w14:textId="77777777">
        <w:tc>
          <w:tcPr>
            <w:tcW w:w="594" w:type="dxa"/>
            <w:vMerge/>
            <w:vAlign w:val="center"/>
          </w:tcPr>
          <w:p w14:paraId="4FC13DA1" w14:textId="77777777" w:rsidR="009C353B" w:rsidRDefault="009C353B">
            <w:pPr>
              <w:spacing w:line="240" w:lineRule="atLeast"/>
              <w:jc w:val="center"/>
              <w:rPr>
                <w:rFonts w:ascii="Times New Roman" w:eastAsiaTheme="minorEastAsia" w:hAnsi="Times New Roman"/>
                <w:sz w:val="21"/>
                <w:szCs w:val="21"/>
              </w:rPr>
            </w:pPr>
          </w:p>
        </w:tc>
        <w:tc>
          <w:tcPr>
            <w:tcW w:w="770" w:type="dxa"/>
            <w:vMerge/>
            <w:vAlign w:val="center"/>
          </w:tcPr>
          <w:p w14:paraId="4366195D" w14:textId="77777777" w:rsidR="009C353B" w:rsidRDefault="009C353B">
            <w:pPr>
              <w:spacing w:line="240" w:lineRule="atLeast"/>
              <w:jc w:val="center"/>
              <w:rPr>
                <w:rFonts w:ascii="Times New Roman" w:eastAsiaTheme="minorEastAsia" w:hAnsi="Times New Roman"/>
                <w:sz w:val="21"/>
                <w:szCs w:val="21"/>
              </w:rPr>
            </w:pPr>
          </w:p>
        </w:tc>
        <w:tc>
          <w:tcPr>
            <w:tcW w:w="1719" w:type="dxa"/>
            <w:vAlign w:val="center"/>
          </w:tcPr>
          <w:p w14:paraId="3EE7D063"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太</w:t>
            </w:r>
            <w:r>
              <w:rPr>
                <w:rFonts w:ascii="Times New Roman" w:eastAsiaTheme="minorEastAsia" w:hAnsi="Times New Roman"/>
                <w:sz w:val="21"/>
                <w:szCs w:val="21"/>
              </w:rPr>
              <w:t>—</w:t>
            </w:r>
            <w:r>
              <w:rPr>
                <w:rFonts w:ascii="Times New Roman" w:eastAsiaTheme="minorEastAsia" w:hAnsi="Times New Roman"/>
                <w:sz w:val="21"/>
                <w:szCs w:val="21"/>
              </w:rPr>
              <w:t>中</w:t>
            </w:r>
            <w:r>
              <w:rPr>
                <w:rFonts w:ascii="Times New Roman" w:eastAsiaTheme="minorEastAsia" w:hAnsi="Times New Roman"/>
                <w:sz w:val="21"/>
                <w:szCs w:val="21"/>
              </w:rPr>
              <w:t>—</w:t>
            </w:r>
            <w:r>
              <w:rPr>
                <w:rFonts w:ascii="Times New Roman" w:eastAsiaTheme="minorEastAsia" w:hAnsi="Times New Roman"/>
                <w:sz w:val="21"/>
                <w:szCs w:val="21"/>
              </w:rPr>
              <w:t>银铁路（国铁</w:t>
            </w:r>
            <w:r>
              <w:rPr>
                <w:rFonts w:ascii="Times New Roman" w:eastAsiaTheme="minorEastAsia" w:hAnsi="Times New Roman"/>
                <w:sz w:val="21"/>
                <w:szCs w:val="21"/>
              </w:rPr>
              <w:t>I</w:t>
            </w:r>
            <w:r>
              <w:rPr>
                <w:rFonts w:ascii="Times New Roman" w:eastAsiaTheme="minorEastAsia" w:hAnsi="Times New Roman"/>
                <w:sz w:val="21"/>
                <w:szCs w:val="21"/>
              </w:rPr>
              <w:t>级）</w:t>
            </w:r>
          </w:p>
        </w:tc>
        <w:tc>
          <w:tcPr>
            <w:tcW w:w="2890" w:type="dxa"/>
            <w:vAlign w:val="center"/>
          </w:tcPr>
          <w:p w14:paraId="5E324A5E"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从矿区南部丁家梁穿过，矿区内总长约</w:t>
            </w:r>
            <w:r>
              <w:rPr>
                <w:rFonts w:ascii="Times New Roman" w:eastAsiaTheme="minorEastAsia" w:hAnsi="Times New Roman"/>
                <w:sz w:val="21"/>
                <w:szCs w:val="21"/>
              </w:rPr>
              <w:t>4.76km</w:t>
            </w:r>
            <w:r>
              <w:rPr>
                <w:rFonts w:ascii="Times New Roman" w:eastAsiaTheme="minorEastAsia" w:hAnsi="Times New Roman"/>
                <w:sz w:val="21"/>
                <w:szCs w:val="21"/>
              </w:rPr>
              <w:t>。</w:t>
            </w:r>
          </w:p>
        </w:tc>
        <w:tc>
          <w:tcPr>
            <w:tcW w:w="3314" w:type="dxa"/>
            <w:vMerge/>
            <w:vAlign w:val="center"/>
          </w:tcPr>
          <w:p w14:paraId="4A5BE146" w14:textId="77777777" w:rsidR="009C353B" w:rsidRDefault="009C353B">
            <w:pPr>
              <w:topLinePunct/>
              <w:spacing w:line="240" w:lineRule="atLeast"/>
              <w:textAlignment w:val="baseline"/>
              <w:rPr>
                <w:rFonts w:ascii="Times New Roman" w:eastAsiaTheme="minorEastAsia" w:hAnsi="Times New Roman"/>
                <w:sz w:val="21"/>
                <w:szCs w:val="21"/>
              </w:rPr>
            </w:pPr>
          </w:p>
        </w:tc>
      </w:tr>
      <w:tr w:rsidR="009C353B" w14:paraId="1D43467A" w14:textId="77777777">
        <w:tc>
          <w:tcPr>
            <w:tcW w:w="594" w:type="dxa"/>
            <w:vMerge w:val="restart"/>
            <w:vAlign w:val="center"/>
          </w:tcPr>
          <w:p w14:paraId="7ED39736"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8</w:t>
            </w:r>
          </w:p>
        </w:tc>
        <w:tc>
          <w:tcPr>
            <w:tcW w:w="770" w:type="dxa"/>
            <w:vMerge w:val="restart"/>
            <w:vAlign w:val="center"/>
          </w:tcPr>
          <w:p w14:paraId="165CE6E9"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管、线工程</w:t>
            </w:r>
          </w:p>
        </w:tc>
        <w:tc>
          <w:tcPr>
            <w:tcW w:w="1719" w:type="dxa"/>
            <w:vAlign w:val="center"/>
          </w:tcPr>
          <w:p w14:paraId="05132887"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西气东输管道</w:t>
            </w:r>
          </w:p>
        </w:tc>
        <w:tc>
          <w:tcPr>
            <w:tcW w:w="2890" w:type="dxa"/>
            <w:vAlign w:val="center"/>
          </w:tcPr>
          <w:p w14:paraId="4B067924"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穿过丁家梁井田南部，井田范围内长约</w:t>
            </w:r>
            <w:r>
              <w:rPr>
                <w:rFonts w:ascii="Times New Roman" w:eastAsiaTheme="minorEastAsia" w:hAnsi="Times New Roman"/>
                <w:sz w:val="21"/>
                <w:szCs w:val="21"/>
              </w:rPr>
              <w:t xml:space="preserve">4.5km </w:t>
            </w:r>
          </w:p>
        </w:tc>
        <w:tc>
          <w:tcPr>
            <w:tcW w:w="3314" w:type="dxa"/>
            <w:vAlign w:val="center"/>
          </w:tcPr>
          <w:p w14:paraId="52623976"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保证输气线路不受开采沉陷影响</w:t>
            </w:r>
          </w:p>
        </w:tc>
      </w:tr>
      <w:tr w:rsidR="009C353B" w14:paraId="23525AE3" w14:textId="77777777">
        <w:tc>
          <w:tcPr>
            <w:tcW w:w="594" w:type="dxa"/>
            <w:vMerge/>
            <w:vAlign w:val="center"/>
          </w:tcPr>
          <w:p w14:paraId="38F36B4C" w14:textId="77777777" w:rsidR="009C353B" w:rsidRDefault="009C353B">
            <w:pPr>
              <w:spacing w:line="240" w:lineRule="atLeast"/>
              <w:jc w:val="center"/>
              <w:rPr>
                <w:rFonts w:ascii="Times New Roman" w:eastAsiaTheme="minorEastAsia" w:hAnsi="Times New Roman"/>
                <w:sz w:val="21"/>
                <w:szCs w:val="21"/>
              </w:rPr>
            </w:pPr>
          </w:p>
        </w:tc>
        <w:tc>
          <w:tcPr>
            <w:tcW w:w="770" w:type="dxa"/>
            <w:vMerge/>
            <w:vAlign w:val="center"/>
          </w:tcPr>
          <w:p w14:paraId="6D680631" w14:textId="77777777" w:rsidR="009C353B" w:rsidRDefault="009C353B">
            <w:pPr>
              <w:spacing w:line="240" w:lineRule="atLeast"/>
              <w:jc w:val="center"/>
              <w:rPr>
                <w:rFonts w:ascii="Times New Roman" w:eastAsiaTheme="minorEastAsia" w:hAnsi="Times New Roman"/>
                <w:sz w:val="21"/>
                <w:szCs w:val="21"/>
              </w:rPr>
            </w:pPr>
          </w:p>
        </w:tc>
        <w:tc>
          <w:tcPr>
            <w:tcW w:w="1719" w:type="dxa"/>
            <w:vAlign w:val="center"/>
          </w:tcPr>
          <w:p w14:paraId="4AC27FDC"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宁东供水工程输水管线</w:t>
            </w:r>
          </w:p>
        </w:tc>
        <w:tc>
          <w:tcPr>
            <w:tcW w:w="2890" w:type="dxa"/>
            <w:vAlign w:val="center"/>
          </w:tcPr>
          <w:p w14:paraId="22AFF0B8"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经过红石湾井田，井田内距离分别长约</w:t>
            </w:r>
            <w:r>
              <w:rPr>
                <w:rFonts w:ascii="Times New Roman" w:eastAsiaTheme="minorEastAsia" w:hAnsi="Times New Roman"/>
                <w:sz w:val="21"/>
                <w:szCs w:val="21"/>
              </w:rPr>
              <w:t>1.62km</w:t>
            </w:r>
          </w:p>
        </w:tc>
        <w:tc>
          <w:tcPr>
            <w:tcW w:w="3314" w:type="dxa"/>
            <w:vAlign w:val="center"/>
          </w:tcPr>
          <w:p w14:paraId="52B2757F"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保证输水线路不受开采沉陷影响</w:t>
            </w:r>
          </w:p>
        </w:tc>
      </w:tr>
      <w:tr w:rsidR="009C353B" w14:paraId="466AC1FA" w14:textId="77777777">
        <w:tc>
          <w:tcPr>
            <w:tcW w:w="594" w:type="dxa"/>
            <w:vMerge/>
            <w:vAlign w:val="center"/>
          </w:tcPr>
          <w:p w14:paraId="29757076" w14:textId="77777777" w:rsidR="009C353B" w:rsidRDefault="009C353B">
            <w:pPr>
              <w:spacing w:line="240" w:lineRule="atLeast"/>
              <w:jc w:val="center"/>
              <w:rPr>
                <w:rFonts w:ascii="Times New Roman" w:eastAsiaTheme="minorEastAsia" w:hAnsi="Times New Roman"/>
                <w:sz w:val="21"/>
                <w:szCs w:val="21"/>
              </w:rPr>
            </w:pPr>
          </w:p>
        </w:tc>
        <w:tc>
          <w:tcPr>
            <w:tcW w:w="770" w:type="dxa"/>
            <w:vMerge/>
            <w:vAlign w:val="center"/>
          </w:tcPr>
          <w:p w14:paraId="196828F9" w14:textId="77777777" w:rsidR="009C353B" w:rsidRDefault="009C353B">
            <w:pPr>
              <w:spacing w:line="240" w:lineRule="atLeast"/>
              <w:jc w:val="center"/>
              <w:rPr>
                <w:rFonts w:ascii="Times New Roman" w:eastAsiaTheme="minorEastAsia" w:hAnsi="Times New Roman"/>
                <w:sz w:val="21"/>
                <w:szCs w:val="21"/>
              </w:rPr>
            </w:pPr>
          </w:p>
        </w:tc>
        <w:tc>
          <w:tcPr>
            <w:tcW w:w="1719" w:type="dxa"/>
            <w:vAlign w:val="center"/>
          </w:tcPr>
          <w:p w14:paraId="4BF8A495"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高压输电线路</w:t>
            </w:r>
          </w:p>
        </w:tc>
        <w:tc>
          <w:tcPr>
            <w:tcW w:w="2890" w:type="dxa"/>
            <w:vAlign w:val="center"/>
          </w:tcPr>
          <w:p w14:paraId="1CCED6F3"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其中</w:t>
            </w:r>
            <w:r>
              <w:rPr>
                <w:rFonts w:ascii="Times New Roman" w:eastAsiaTheme="minorEastAsia" w:hAnsi="Times New Roman"/>
                <w:sz w:val="21"/>
                <w:szCs w:val="21"/>
              </w:rPr>
              <w:t>110kv</w:t>
            </w:r>
            <w:r>
              <w:rPr>
                <w:rFonts w:ascii="Times New Roman" w:eastAsiaTheme="minorEastAsia" w:hAnsi="Times New Roman"/>
                <w:sz w:val="21"/>
                <w:szCs w:val="21"/>
              </w:rPr>
              <w:t>输电线路</w:t>
            </w:r>
            <w:r>
              <w:rPr>
                <w:rFonts w:ascii="Times New Roman" w:eastAsiaTheme="minorEastAsia" w:hAnsi="Times New Roman"/>
                <w:sz w:val="21"/>
                <w:szCs w:val="21"/>
              </w:rPr>
              <w:t>6</w:t>
            </w:r>
            <w:r>
              <w:rPr>
                <w:rFonts w:ascii="Times New Roman" w:eastAsiaTheme="minorEastAsia" w:hAnsi="Times New Roman"/>
                <w:sz w:val="21"/>
                <w:szCs w:val="21"/>
              </w:rPr>
              <w:t>条，</w:t>
            </w:r>
            <w:r>
              <w:rPr>
                <w:rFonts w:ascii="Times New Roman" w:eastAsiaTheme="minorEastAsia" w:hAnsi="Times New Roman"/>
                <w:sz w:val="21"/>
                <w:szCs w:val="21"/>
              </w:rPr>
              <w:t>220kv</w:t>
            </w:r>
            <w:r>
              <w:rPr>
                <w:rFonts w:ascii="Times New Roman" w:eastAsiaTheme="minorEastAsia" w:hAnsi="Times New Roman"/>
                <w:sz w:val="21"/>
                <w:szCs w:val="21"/>
              </w:rPr>
              <w:t>输电线路</w:t>
            </w:r>
            <w:r>
              <w:rPr>
                <w:rFonts w:ascii="Times New Roman" w:eastAsiaTheme="minorEastAsia" w:hAnsi="Times New Roman"/>
                <w:sz w:val="21"/>
                <w:szCs w:val="21"/>
              </w:rPr>
              <w:t>2</w:t>
            </w:r>
            <w:r>
              <w:rPr>
                <w:rFonts w:ascii="Times New Roman" w:eastAsiaTheme="minorEastAsia" w:hAnsi="Times New Roman"/>
                <w:sz w:val="21"/>
                <w:szCs w:val="21"/>
              </w:rPr>
              <w:t>条，</w:t>
            </w:r>
            <w:r>
              <w:rPr>
                <w:rFonts w:ascii="Times New Roman" w:eastAsiaTheme="minorEastAsia" w:hAnsi="Times New Roman"/>
                <w:sz w:val="21"/>
                <w:szCs w:val="21"/>
              </w:rPr>
              <w:t>330kv</w:t>
            </w:r>
            <w:r>
              <w:rPr>
                <w:rFonts w:ascii="Times New Roman" w:eastAsiaTheme="minorEastAsia" w:hAnsi="Times New Roman"/>
                <w:sz w:val="21"/>
                <w:szCs w:val="21"/>
              </w:rPr>
              <w:t>输电线路</w:t>
            </w:r>
            <w:r>
              <w:rPr>
                <w:rFonts w:ascii="Times New Roman" w:eastAsiaTheme="minorEastAsia" w:hAnsi="Times New Roman"/>
                <w:sz w:val="21"/>
                <w:szCs w:val="21"/>
              </w:rPr>
              <w:t>4</w:t>
            </w:r>
            <w:r>
              <w:rPr>
                <w:rFonts w:ascii="Times New Roman" w:eastAsiaTheme="minorEastAsia" w:hAnsi="Times New Roman"/>
                <w:sz w:val="21"/>
                <w:szCs w:val="21"/>
              </w:rPr>
              <w:t>条，</w:t>
            </w:r>
            <w:r>
              <w:rPr>
                <w:rFonts w:ascii="Times New Roman" w:eastAsiaTheme="minorEastAsia" w:hAnsi="Times New Roman"/>
                <w:sz w:val="21"/>
                <w:szCs w:val="21"/>
              </w:rPr>
              <w:t>660kv</w:t>
            </w:r>
            <w:r>
              <w:rPr>
                <w:rFonts w:ascii="Times New Roman" w:eastAsiaTheme="minorEastAsia" w:hAnsi="Times New Roman"/>
                <w:sz w:val="21"/>
                <w:szCs w:val="21"/>
              </w:rPr>
              <w:t>输电线</w:t>
            </w:r>
            <w:r>
              <w:rPr>
                <w:rFonts w:ascii="Times New Roman" w:eastAsiaTheme="minorEastAsia" w:hAnsi="Times New Roman"/>
                <w:sz w:val="21"/>
                <w:szCs w:val="21"/>
              </w:rPr>
              <w:t>1</w:t>
            </w:r>
            <w:r>
              <w:rPr>
                <w:rFonts w:ascii="Times New Roman" w:eastAsiaTheme="minorEastAsia" w:hAnsi="Times New Roman"/>
                <w:sz w:val="21"/>
                <w:szCs w:val="21"/>
              </w:rPr>
              <w:t>条，多分布与丁家梁井田及周边。具体见表</w:t>
            </w:r>
            <w:r>
              <w:rPr>
                <w:rFonts w:ascii="Times New Roman" w:eastAsiaTheme="minorEastAsia" w:hAnsi="Times New Roman"/>
                <w:sz w:val="21"/>
                <w:szCs w:val="21"/>
              </w:rPr>
              <w:t>6.1-5</w:t>
            </w:r>
          </w:p>
        </w:tc>
        <w:tc>
          <w:tcPr>
            <w:tcW w:w="3314" w:type="dxa"/>
            <w:vAlign w:val="center"/>
          </w:tcPr>
          <w:p w14:paraId="4618F48E"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保证输电线路不受开采沉陷影响</w:t>
            </w:r>
          </w:p>
        </w:tc>
      </w:tr>
      <w:tr w:rsidR="009C353B" w14:paraId="1C8F58CA" w14:textId="77777777">
        <w:tc>
          <w:tcPr>
            <w:tcW w:w="594" w:type="dxa"/>
            <w:vMerge w:val="restart"/>
            <w:vAlign w:val="center"/>
          </w:tcPr>
          <w:p w14:paraId="08A07E39"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hint="eastAsia"/>
                <w:sz w:val="21"/>
                <w:szCs w:val="21"/>
              </w:rPr>
              <w:t>9</w:t>
            </w:r>
          </w:p>
        </w:tc>
        <w:tc>
          <w:tcPr>
            <w:tcW w:w="770" w:type="dxa"/>
            <w:vMerge w:val="restart"/>
            <w:vAlign w:val="center"/>
          </w:tcPr>
          <w:p w14:paraId="1017017D" w14:textId="77777777" w:rsidR="009C353B" w:rsidRDefault="00000000">
            <w:pPr>
              <w:spacing w:line="240" w:lineRule="atLeast"/>
              <w:jc w:val="center"/>
              <w:rPr>
                <w:rFonts w:ascii="Times New Roman" w:eastAsiaTheme="minorEastAsia" w:hAnsi="Times New Roman"/>
                <w:sz w:val="21"/>
                <w:szCs w:val="21"/>
              </w:rPr>
            </w:pPr>
            <w:r>
              <w:rPr>
                <w:rFonts w:ascii="Times New Roman" w:eastAsiaTheme="minorEastAsia" w:hAnsi="Times New Roman" w:hint="eastAsia"/>
                <w:sz w:val="21"/>
                <w:szCs w:val="21"/>
              </w:rPr>
              <w:t>其他</w:t>
            </w:r>
          </w:p>
        </w:tc>
        <w:tc>
          <w:tcPr>
            <w:tcW w:w="1719" w:type="dxa"/>
            <w:vAlign w:val="center"/>
          </w:tcPr>
          <w:p w14:paraId="5DA0D566"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hint="eastAsia"/>
                <w:sz w:val="21"/>
                <w:szCs w:val="21"/>
              </w:rPr>
              <w:t>宝丰能源光伏电站</w:t>
            </w:r>
          </w:p>
        </w:tc>
        <w:tc>
          <w:tcPr>
            <w:tcW w:w="2890" w:type="dxa"/>
            <w:vAlign w:val="center"/>
          </w:tcPr>
          <w:p w14:paraId="7E27A4B5"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hint="eastAsia"/>
                <w:sz w:val="21"/>
                <w:szCs w:val="21"/>
              </w:rPr>
              <w:t>位于马莲台井田内，井田内面积约</w:t>
            </w:r>
            <w:r>
              <w:rPr>
                <w:rFonts w:ascii="Times New Roman" w:eastAsiaTheme="minorEastAsia" w:hAnsi="Times New Roman" w:hint="eastAsia"/>
                <w:sz w:val="21"/>
                <w:szCs w:val="21"/>
              </w:rPr>
              <w:t>1</w:t>
            </w:r>
            <w:r>
              <w:rPr>
                <w:rFonts w:ascii="Times New Roman" w:eastAsiaTheme="minorEastAsia" w:hAnsi="Times New Roman"/>
                <w:sz w:val="21"/>
                <w:szCs w:val="21"/>
              </w:rPr>
              <w:t>.60</w:t>
            </w:r>
            <w:r>
              <w:rPr>
                <w:rFonts w:ascii="Times New Roman" w:eastAsiaTheme="minorEastAsia" w:hAnsi="Times New Roman" w:hint="eastAsia"/>
                <w:sz w:val="21"/>
                <w:szCs w:val="21"/>
              </w:rPr>
              <w:t>km</w:t>
            </w:r>
            <w:r>
              <w:rPr>
                <w:rFonts w:ascii="Times New Roman" w:eastAsiaTheme="minorEastAsia" w:hAnsi="Times New Roman"/>
                <w:sz w:val="21"/>
                <w:szCs w:val="21"/>
                <w:vertAlign w:val="superscript"/>
              </w:rPr>
              <w:t>2</w:t>
            </w:r>
          </w:p>
        </w:tc>
        <w:tc>
          <w:tcPr>
            <w:tcW w:w="3314" w:type="dxa"/>
            <w:vAlign w:val="center"/>
          </w:tcPr>
          <w:p w14:paraId="51E6C138"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保证不受开采沉陷影响</w:t>
            </w:r>
          </w:p>
        </w:tc>
      </w:tr>
      <w:tr w:rsidR="009C353B" w14:paraId="60BC1AE4" w14:textId="77777777">
        <w:tc>
          <w:tcPr>
            <w:tcW w:w="594" w:type="dxa"/>
            <w:vMerge/>
            <w:vAlign w:val="center"/>
          </w:tcPr>
          <w:p w14:paraId="424DEFE2" w14:textId="77777777" w:rsidR="009C353B" w:rsidRDefault="009C353B">
            <w:pPr>
              <w:spacing w:line="240" w:lineRule="atLeast"/>
              <w:jc w:val="center"/>
              <w:rPr>
                <w:rFonts w:ascii="Times New Roman" w:eastAsiaTheme="minorEastAsia" w:hAnsi="Times New Roman"/>
                <w:sz w:val="21"/>
                <w:szCs w:val="21"/>
              </w:rPr>
            </w:pPr>
          </w:p>
        </w:tc>
        <w:tc>
          <w:tcPr>
            <w:tcW w:w="770" w:type="dxa"/>
            <w:vMerge/>
            <w:vAlign w:val="center"/>
          </w:tcPr>
          <w:p w14:paraId="42F89B46" w14:textId="77777777" w:rsidR="009C353B" w:rsidRDefault="009C353B">
            <w:pPr>
              <w:spacing w:line="240" w:lineRule="atLeast"/>
              <w:jc w:val="center"/>
              <w:rPr>
                <w:rFonts w:ascii="Times New Roman" w:eastAsiaTheme="minorEastAsia" w:hAnsi="Times New Roman"/>
                <w:sz w:val="21"/>
                <w:szCs w:val="21"/>
              </w:rPr>
            </w:pPr>
          </w:p>
        </w:tc>
        <w:tc>
          <w:tcPr>
            <w:tcW w:w="1719" w:type="dxa"/>
            <w:vAlign w:val="center"/>
          </w:tcPr>
          <w:p w14:paraId="5669B507"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hint="eastAsia"/>
                <w:sz w:val="21"/>
                <w:szCs w:val="21"/>
              </w:rPr>
              <w:t>宁东基地二号渣场</w:t>
            </w:r>
          </w:p>
        </w:tc>
        <w:tc>
          <w:tcPr>
            <w:tcW w:w="2890" w:type="dxa"/>
            <w:vAlign w:val="center"/>
          </w:tcPr>
          <w:p w14:paraId="3052BD43"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hint="eastAsia"/>
                <w:sz w:val="21"/>
                <w:szCs w:val="21"/>
              </w:rPr>
              <w:t>位于丁家梁井田内，井田内面积约</w:t>
            </w:r>
            <w:r>
              <w:rPr>
                <w:rFonts w:ascii="Times New Roman" w:eastAsiaTheme="minorEastAsia" w:hAnsi="Times New Roman" w:hint="eastAsia"/>
                <w:sz w:val="21"/>
                <w:szCs w:val="21"/>
              </w:rPr>
              <w:t>1</w:t>
            </w:r>
            <w:r>
              <w:rPr>
                <w:rFonts w:ascii="Times New Roman" w:eastAsiaTheme="minorEastAsia" w:hAnsi="Times New Roman"/>
                <w:sz w:val="21"/>
                <w:szCs w:val="21"/>
              </w:rPr>
              <w:t>.76</w:t>
            </w:r>
            <w:r>
              <w:rPr>
                <w:rFonts w:ascii="Times New Roman" w:eastAsiaTheme="minorEastAsia" w:hAnsi="Times New Roman" w:hint="eastAsia"/>
                <w:sz w:val="21"/>
                <w:szCs w:val="21"/>
              </w:rPr>
              <w:t>km</w:t>
            </w:r>
            <w:r>
              <w:rPr>
                <w:rFonts w:ascii="Times New Roman" w:eastAsiaTheme="minorEastAsia" w:hAnsi="Times New Roman"/>
                <w:sz w:val="21"/>
                <w:szCs w:val="21"/>
                <w:vertAlign w:val="superscript"/>
              </w:rPr>
              <w:t>2</w:t>
            </w:r>
            <w:r>
              <w:rPr>
                <w:rFonts w:ascii="Times New Roman" w:eastAsiaTheme="minorEastAsia" w:hAnsi="Times New Roman" w:hint="eastAsia"/>
                <w:sz w:val="21"/>
                <w:szCs w:val="21"/>
              </w:rPr>
              <w:t>，分区堆存粉煤灰、脱硫石膏、气化炉渣。</w:t>
            </w:r>
            <w:r>
              <w:rPr>
                <w:rFonts w:ascii="Times New Roman" w:eastAsiaTheme="minorEastAsia" w:hAnsi="Times New Roman" w:hint="eastAsia"/>
                <w:sz w:val="21"/>
                <w:szCs w:val="21"/>
              </w:rPr>
              <w:t>2</w:t>
            </w:r>
            <w:r>
              <w:rPr>
                <w:rFonts w:ascii="Times New Roman" w:eastAsiaTheme="minorEastAsia" w:hAnsi="Times New Roman"/>
                <w:sz w:val="21"/>
                <w:szCs w:val="21"/>
              </w:rPr>
              <w:t>015</w:t>
            </w:r>
            <w:r>
              <w:rPr>
                <w:rFonts w:ascii="Times New Roman" w:eastAsiaTheme="minorEastAsia" w:hAnsi="Times New Roman" w:hint="eastAsia"/>
                <w:sz w:val="21"/>
                <w:szCs w:val="21"/>
              </w:rPr>
              <w:t>年投运</w:t>
            </w:r>
          </w:p>
        </w:tc>
        <w:tc>
          <w:tcPr>
            <w:tcW w:w="3314" w:type="dxa"/>
            <w:vAlign w:val="center"/>
          </w:tcPr>
          <w:p w14:paraId="71338682"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不受</w:t>
            </w:r>
            <w:r>
              <w:rPr>
                <w:rFonts w:ascii="Times New Roman" w:eastAsiaTheme="minorEastAsia" w:hAnsi="Times New Roman" w:hint="eastAsia"/>
                <w:sz w:val="21"/>
                <w:szCs w:val="21"/>
              </w:rPr>
              <w:t>矿区开发</w:t>
            </w:r>
            <w:r>
              <w:rPr>
                <w:rFonts w:ascii="Times New Roman" w:eastAsiaTheme="minorEastAsia" w:hAnsi="Times New Roman"/>
                <w:sz w:val="21"/>
                <w:szCs w:val="21"/>
              </w:rPr>
              <w:t>影响</w:t>
            </w:r>
          </w:p>
        </w:tc>
      </w:tr>
      <w:tr w:rsidR="009C353B" w14:paraId="30B4D8AC" w14:textId="77777777">
        <w:tc>
          <w:tcPr>
            <w:tcW w:w="594" w:type="dxa"/>
            <w:vAlign w:val="center"/>
          </w:tcPr>
          <w:p w14:paraId="2B608BCC" w14:textId="77777777" w:rsidR="009C353B" w:rsidRDefault="00000000">
            <w:pPr>
              <w:topLinePunct/>
              <w:spacing w:line="240" w:lineRule="atLeast"/>
              <w:jc w:val="center"/>
              <w:textAlignment w:val="baseline"/>
              <w:rPr>
                <w:rFonts w:ascii="Times New Roman" w:eastAsiaTheme="minorEastAsia" w:hAnsi="Times New Roman"/>
                <w:sz w:val="21"/>
                <w:szCs w:val="21"/>
              </w:rPr>
            </w:pPr>
            <w:r>
              <w:rPr>
                <w:rFonts w:ascii="Times New Roman" w:eastAsiaTheme="minorEastAsia" w:hAnsi="Times New Roman" w:hint="eastAsia"/>
                <w:sz w:val="21"/>
                <w:szCs w:val="21"/>
              </w:rPr>
              <w:t>10</w:t>
            </w:r>
          </w:p>
        </w:tc>
        <w:tc>
          <w:tcPr>
            <w:tcW w:w="770" w:type="dxa"/>
            <w:vAlign w:val="center"/>
          </w:tcPr>
          <w:p w14:paraId="31DFEB53" w14:textId="77777777" w:rsidR="009C353B" w:rsidRDefault="00000000">
            <w:pPr>
              <w:topLinePunct/>
              <w:spacing w:line="240" w:lineRule="atLeast"/>
              <w:jc w:val="center"/>
              <w:textAlignment w:val="baseline"/>
              <w:rPr>
                <w:rFonts w:ascii="Times New Roman" w:eastAsiaTheme="minorEastAsia" w:hAnsi="Times New Roman"/>
                <w:sz w:val="21"/>
                <w:szCs w:val="21"/>
              </w:rPr>
            </w:pPr>
            <w:r>
              <w:rPr>
                <w:rFonts w:ascii="Times New Roman" w:eastAsiaTheme="minorEastAsia" w:hAnsi="Times New Roman"/>
                <w:sz w:val="21"/>
                <w:szCs w:val="21"/>
              </w:rPr>
              <w:t>自然保护区</w:t>
            </w:r>
          </w:p>
        </w:tc>
        <w:tc>
          <w:tcPr>
            <w:tcW w:w="1719" w:type="dxa"/>
            <w:vAlign w:val="center"/>
          </w:tcPr>
          <w:p w14:paraId="76539D4D"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宁夏灵武白芨滩</w:t>
            </w:r>
            <w:r>
              <w:rPr>
                <w:rFonts w:ascii="Times New Roman" w:eastAsiaTheme="minorEastAsia" w:hAnsi="Times New Roman" w:hint="eastAsia"/>
                <w:sz w:val="21"/>
                <w:szCs w:val="21"/>
              </w:rPr>
              <w:t>国家级</w:t>
            </w:r>
            <w:r>
              <w:rPr>
                <w:rFonts w:ascii="Times New Roman" w:eastAsiaTheme="minorEastAsia" w:hAnsi="Times New Roman"/>
                <w:sz w:val="21"/>
                <w:szCs w:val="21"/>
              </w:rPr>
              <w:t>自然保护区</w:t>
            </w:r>
          </w:p>
        </w:tc>
        <w:tc>
          <w:tcPr>
            <w:tcW w:w="2890" w:type="dxa"/>
            <w:vAlign w:val="center"/>
          </w:tcPr>
          <w:p w14:paraId="00C67E20"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位于矿区西侧及南侧边界外，自然保护区总面积</w:t>
            </w:r>
            <w:r>
              <w:rPr>
                <w:rFonts w:ascii="Times New Roman" w:eastAsiaTheme="minorEastAsia" w:hAnsi="Times New Roman"/>
                <w:sz w:val="21"/>
                <w:szCs w:val="21"/>
              </w:rPr>
              <w:t>709.21km</w:t>
            </w:r>
            <w:r>
              <w:rPr>
                <w:rFonts w:ascii="Times New Roman" w:eastAsiaTheme="minorEastAsia" w:hAnsi="Times New Roman"/>
                <w:sz w:val="21"/>
                <w:szCs w:val="21"/>
                <w:vertAlign w:val="superscript"/>
              </w:rPr>
              <w:t>2</w:t>
            </w:r>
            <w:r>
              <w:rPr>
                <w:rFonts w:ascii="Times New Roman" w:eastAsiaTheme="minorEastAsia" w:hAnsi="Times New Roman"/>
                <w:sz w:val="21"/>
                <w:szCs w:val="21"/>
              </w:rPr>
              <w:t>。实验区边界与井田边界距离</w:t>
            </w:r>
            <w:r>
              <w:rPr>
                <w:rFonts w:ascii="Times New Roman" w:eastAsiaTheme="minorEastAsia" w:hAnsi="Times New Roman" w:hint="eastAsia"/>
                <w:sz w:val="21"/>
                <w:szCs w:val="21"/>
              </w:rPr>
              <w:t>最近约</w:t>
            </w:r>
            <w:r>
              <w:rPr>
                <w:rFonts w:ascii="Times New Roman" w:eastAsiaTheme="minorEastAsia" w:hAnsi="Times New Roman" w:hint="eastAsia"/>
                <w:sz w:val="21"/>
                <w:szCs w:val="21"/>
              </w:rPr>
              <w:t>92m</w:t>
            </w:r>
          </w:p>
        </w:tc>
        <w:tc>
          <w:tcPr>
            <w:tcW w:w="3314" w:type="dxa"/>
            <w:vAlign w:val="center"/>
          </w:tcPr>
          <w:p w14:paraId="59E13B82"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边界留设保护煤柱，保证煤矿开采引起的地表塌陷不影响保护区</w:t>
            </w:r>
          </w:p>
        </w:tc>
      </w:tr>
      <w:tr w:rsidR="009C353B" w14:paraId="32056511" w14:textId="77777777">
        <w:tc>
          <w:tcPr>
            <w:tcW w:w="594" w:type="dxa"/>
            <w:vMerge w:val="restart"/>
            <w:vAlign w:val="center"/>
          </w:tcPr>
          <w:p w14:paraId="24E919C0" w14:textId="77777777" w:rsidR="009C353B" w:rsidRDefault="00000000">
            <w:pPr>
              <w:topLinePunct/>
              <w:spacing w:line="240" w:lineRule="atLeast"/>
              <w:jc w:val="center"/>
              <w:textAlignment w:val="baseline"/>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hint="eastAsia"/>
                <w:sz w:val="21"/>
                <w:szCs w:val="21"/>
              </w:rPr>
              <w:t>1</w:t>
            </w:r>
          </w:p>
        </w:tc>
        <w:tc>
          <w:tcPr>
            <w:tcW w:w="770" w:type="dxa"/>
            <w:vMerge w:val="restart"/>
            <w:vAlign w:val="center"/>
          </w:tcPr>
          <w:p w14:paraId="1D8D975F" w14:textId="77777777" w:rsidR="009C353B" w:rsidRDefault="00000000">
            <w:pPr>
              <w:topLinePunct/>
              <w:spacing w:line="240" w:lineRule="atLeast"/>
              <w:jc w:val="center"/>
              <w:textAlignment w:val="baseline"/>
              <w:rPr>
                <w:rFonts w:ascii="Times New Roman" w:eastAsiaTheme="minorEastAsia" w:hAnsi="Times New Roman"/>
                <w:sz w:val="21"/>
                <w:szCs w:val="21"/>
              </w:rPr>
            </w:pPr>
            <w:r>
              <w:rPr>
                <w:rFonts w:ascii="Times New Roman" w:eastAsiaTheme="minorEastAsia" w:hAnsi="Times New Roman"/>
                <w:sz w:val="21"/>
                <w:szCs w:val="21"/>
              </w:rPr>
              <w:t>文物</w:t>
            </w:r>
          </w:p>
        </w:tc>
        <w:tc>
          <w:tcPr>
            <w:tcW w:w="1719" w:type="dxa"/>
            <w:vAlign w:val="center"/>
          </w:tcPr>
          <w:p w14:paraId="5BF4C8F7"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水洞沟遗址</w:t>
            </w:r>
          </w:p>
        </w:tc>
        <w:tc>
          <w:tcPr>
            <w:tcW w:w="2890" w:type="dxa"/>
            <w:vAlign w:val="center"/>
          </w:tcPr>
          <w:p w14:paraId="58CE8113"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hint="eastAsia"/>
                <w:sz w:val="21"/>
                <w:szCs w:val="21"/>
              </w:rPr>
              <w:t>为全国重点文物保护单位，</w:t>
            </w:r>
            <w:r>
              <w:rPr>
                <w:rFonts w:ascii="Times New Roman" w:eastAsiaTheme="minorEastAsia" w:hAnsi="Times New Roman"/>
                <w:sz w:val="21"/>
                <w:szCs w:val="21"/>
              </w:rPr>
              <w:t>建设控制地带与红石湾井田北部有部分重合，重合面积约</w:t>
            </w:r>
            <w:r>
              <w:rPr>
                <w:rFonts w:ascii="Times New Roman" w:eastAsiaTheme="minorEastAsia" w:hAnsi="Times New Roman"/>
                <w:sz w:val="21"/>
                <w:szCs w:val="21"/>
              </w:rPr>
              <w:t>9.91hm</w:t>
            </w:r>
            <w:r>
              <w:rPr>
                <w:rFonts w:ascii="Times New Roman" w:eastAsiaTheme="minorEastAsia" w:hAnsi="Times New Roman"/>
                <w:sz w:val="21"/>
                <w:szCs w:val="21"/>
                <w:vertAlign w:val="superscript"/>
              </w:rPr>
              <w:t>2</w:t>
            </w:r>
            <w:r>
              <w:rPr>
                <w:rFonts w:ascii="Times New Roman" w:eastAsiaTheme="minorEastAsia" w:hAnsi="Times New Roman"/>
                <w:sz w:val="21"/>
                <w:szCs w:val="21"/>
              </w:rPr>
              <w:t>。</w:t>
            </w:r>
          </w:p>
        </w:tc>
        <w:tc>
          <w:tcPr>
            <w:tcW w:w="3314" w:type="dxa"/>
            <w:vMerge w:val="restart"/>
            <w:vAlign w:val="center"/>
          </w:tcPr>
          <w:p w14:paraId="053A8B79"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不受矿区开发影响</w:t>
            </w:r>
          </w:p>
        </w:tc>
      </w:tr>
      <w:tr w:rsidR="009C353B" w14:paraId="709C195F" w14:textId="77777777">
        <w:tc>
          <w:tcPr>
            <w:tcW w:w="594" w:type="dxa"/>
            <w:vMerge/>
            <w:vAlign w:val="center"/>
          </w:tcPr>
          <w:p w14:paraId="14031B4A" w14:textId="77777777" w:rsidR="009C353B" w:rsidRDefault="009C353B">
            <w:pPr>
              <w:topLinePunct/>
              <w:spacing w:line="240" w:lineRule="atLeast"/>
              <w:jc w:val="center"/>
              <w:textAlignment w:val="baseline"/>
              <w:rPr>
                <w:rFonts w:ascii="Times New Roman" w:eastAsiaTheme="minorEastAsia" w:hAnsi="Times New Roman"/>
                <w:sz w:val="21"/>
                <w:szCs w:val="21"/>
              </w:rPr>
            </w:pPr>
          </w:p>
        </w:tc>
        <w:tc>
          <w:tcPr>
            <w:tcW w:w="770" w:type="dxa"/>
            <w:vMerge/>
            <w:vAlign w:val="center"/>
          </w:tcPr>
          <w:p w14:paraId="563A9EC1" w14:textId="77777777" w:rsidR="009C353B" w:rsidRDefault="009C353B">
            <w:pPr>
              <w:topLinePunct/>
              <w:spacing w:line="240" w:lineRule="atLeast"/>
              <w:jc w:val="center"/>
              <w:textAlignment w:val="baseline"/>
              <w:rPr>
                <w:rFonts w:ascii="Times New Roman" w:eastAsiaTheme="minorEastAsia" w:hAnsi="Times New Roman"/>
                <w:sz w:val="21"/>
                <w:szCs w:val="21"/>
              </w:rPr>
            </w:pPr>
          </w:p>
        </w:tc>
        <w:tc>
          <w:tcPr>
            <w:tcW w:w="1719" w:type="dxa"/>
            <w:vAlign w:val="center"/>
          </w:tcPr>
          <w:p w14:paraId="21E926C9"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红山堡</w:t>
            </w:r>
            <w:r>
              <w:rPr>
                <w:rFonts w:ascii="Times New Roman" w:eastAsiaTheme="minorEastAsia" w:hAnsi="Times New Roman" w:hint="eastAsia"/>
                <w:sz w:val="21"/>
                <w:szCs w:val="21"/>
              </w:rPr>
              <w:t>城址</w:t>
            </w:r>
          </w:p>
        </w:tc>
        <w:tc>
          <w:tcPr>
            <w:tcW w:w="2890" w:type="dxa"/>
            <w:vAlign w:val="center"/>
          </w:tcPr>
          <w:p w14:paraId="0881AA3D"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sz w:val="21"/>
                <w:szCs w:val="21"/>
              </w:rPr>
              <w:t>位于水洞沟遗址建设控制地带内，</w:t>
            </w:r>
            <w:r>
              <w:rPr>
                <w:rFonts w:ascii="Times New Roman" w:eastAsiaTheme="minorEastAsia" w:hAnsi="Times New Roman" w:hint="eastAsia"/>
                <w:sz w:val="21"/>
                <w:szCs w:val="21"/>
              </w:rPr>
              <w:t>为全国重点文物保护单位，矿区（红石湾）</w:t>
            </w:r>
            <w:r>
              <w:rPr>
                <w:rFonts w:ascii="Times New Roman" w:eastAsiaTheme="minorEastAsia" w:hAnsi="Times New Roman"/>
                <w:sz w:val="21"/>
                <w:szCs w:val="21"/>
              </w:rPr>
              <w:t>西北边界处</w:t>
            </w:r>
          </w:p>
        </w:tc>
        <w:tc>
          <w:tcPr>
            <w:tcW w:w="3314" w:type="dxa"/>
            <w:vMerge/>
            <w:vAlign w:val="center"/>
          </w:tcPr>
          <w:p w14:paraId="716CA8FE" w14:textId="77777777" w:rsidR="009C353B" w:rsidRDefault="009C353B">
            <w:pPr>
              <w:topLinePunct/>
              <w:spacing w:line="240" w:lineRule="atLeast"/>
              <w:textAlignment w:val="baseline"/>
              <w:rPr>
                <w:rFonts w:ascii="Times New Roman" w:eastAsiaTheme="minorEastAsia" w:hAnsi="Times New Roman"/>
                <w:sz w:val="21"/>
                <w:szCs w:val="21"/>
              </w:rPr>
            </w:pPr>
          </w:p>
        </w:tc>
      </w:tr>
      <w:tr w:rsidR="009C353B" w14:paraId="0259882A" w14:textId="77777777">
        <w:tc>
          <w:tcPr>
            <w:tcW w:w="594" w:type="dxa"/>
            <w:vMerge/>
            <w:vAlign w:val="center"/>
          </w:tcPr>
          <w:p w14:paraId="2F865084" w14:textId="77777777" w:rsidR="009C353B" w:rsidRDefault="009C353B">
            <w:pPr>
              <w:topLinePunct/>
              <w:spacing w:line="240" w:lineRule="atLeast"/>
              <w:jc w:val="center"/>
              <w:textAlignment w:val="baseline"/>
              <w:rPr>
                <w:rFonts w:ascii="Times New Roman" w:eastAsiaTheme="minorEastAsia" w:hAnsi="Times New Roman"/>
                <w:sz w:val="21"/>
                <w:szCs w:val="21"/>
              </w:rPr>
            </w:pPr>
          </w:p>
        </w:tc>
        <w:tc>
          <w:tcPr>
            <w:tcW w:w="770" w:type="dxa"/>
            <w:vMerge/>
            <w:vAlign w:val="center"/>
          </w:tcPr>
          <w:p w14:paraId="4ECBAD4C" w14:textId="77777777" w:rsidR="009C353B" w:rsidRDefault="009C353B">
            <w:pPr>
              <w:topLinePunct/>
              <w:spacing w:line="240" w:lineRule="atLeast"/>
              <w:jc w:val="center"/>
              <w:textAlignment w:val="baseline"/>
              <w:rPr>
                <w:rFonts w:ascii="Times New Roman" w:eastAsiaTheme="minorEastAsia" w:hAnsi="Times New Roman"/>
                <w:sz w:val="21"/>
                <w:szCs w:val="21"/>
              </w:rPr>
            </w:pPr>
          </w:p>
        </w:tc>
        <w:tc>
          <w:tcPr>
            <w:tcW w:w="1719" w:type="dxa"/>
            <w:vAlign w:val="center"/>
          </w:tcPr>
          <w:p w14:paraId="76C4122D" w14:textId="77777777" w:rsidR="009C353B" w:rsidRDefault="00000000">
            <w:pPr>
              <w:topLinePunct/>
              <w:spacing w:line="240" w:lineRule="atLeast"/>
              <w:textAlignment w:val="baseline"/>
              <w:rPr>
                <w:rFonts w:ascii="Times New Roman" w:eastAsiaTheme="minorEastAsia" w:hAnsi="Times New Roman"/>
                <w:sz w:val="21"/>
                <w:szCs w:val="21"/>
              </w:rPr>
            </w:pPr>
            <w:r>
              <w:rPr>
                <w:rFonts w:ascii="Times New Roman" w:eastAsiaTheme="minorEastAsia" w:hAnsi="Times New Roman"/>
                <w:sz w:val="21"/>
                <w:szCs w:val="21"/>
              </w:rPr>
              <w:t>明长城</w:t>
            </w:r>
          </w:p>
        </w:tc>
        <w:tc>
          <w:tcPr>
            <w:tcW w:w="2890" w:type="dxa"/>
            <w:vAlign w:val="center"/>
          </w:tcPr>
          <w:p w14:paraId="5AFA32D2" w14:textId="77777777" w:rsidR="009C353B" w:rsidRDefault="00000000">
            <w:pPr>
              <w:tabs>
                <w:tab w:val="left" w:pos="420"/>
              </w:tabs>
              <w:spacing w:line="240" w:lineRule="atLeast"/>
              <w:rPr>
                <w:rFonts w:ascii="Times New Roman" w:eastAsiaTheme="minorEastAsia" w:hAnsi="Times New Roman"/>
                <w:sz w:val="21"/>
                <w:szCs w:val="21"/>
              </w:rPr>
            </w:pPr>
            <w:r>
              <w:rPr>
                <w:rFonts w:ascii="Times New Roman" w:eastAsiaTheme="minorEastAsia" w:hAnsi="Times New Roman" w:hint="eastAsia"/>
                <w:sz w:val="21"/>
                <w:szCs w:val="21"/>
              </w:rPr>
              <w:t>为全国重点文物保护单位，</w:t>
            </w:r>
            <w:r>
              <w:rPr>
                <w:rFonts w:ascii="Times New Roman" w:eastAsiaTheme="minorEastAsia" w:hAnsi="Times New Roman"/>
                <w:sz w:val="21"/>
                <w:szCs w:val="21"/>
              </w:rPr>
              <w:t>位于矿区北部边界外，沿水洞沟北侧东西向分布，</w:t>
            </w:r>
            <w:r>
              <w:rPr>
                <w:rFonts w:ascii="Times New Roman" w:eastAsiaTheme="minorEastAsia" w:hAnsi="Times New Roman" w:hint="eastAsia"/>
                <w:sz w:val="21"/>
                <w:szCs w:val="21"/>
              </w:rPr>
              <w:t>位于马莲台井田</w:t>
            </w:r>
            <w:r>
              <w:rPr>
                <w:rFonts w:ascii="Times New Roman" w:eastAsiaTheme="minorEastAsia" w:hAnsi="Times New Roman"/>
                <w:sz w:val="21"/>
                <w:szCs w:val="21"/>
              </w:rPr>
              <w:t>北部边界</w:t>
            </w:r>
            <w:r>
              <w:rPr>
                <w:rFonts w:ascii="Times New Roman" w:eastAsiaTheme="minorEastAsia" w:hAnsi="Times New Roman" w:hint="eastAsia"/>
                <w:sz w:val="21"/>
                <w:szCs w:val="21"/>
              </w:rPr>
              <w:t>外</w:t>
            </w:r>
            <w:r>
              <w:rPr>
                <w:rFonts w:ascii="Times New Roman" w:eastAsiaTheme="minorEastAsia" w:hAnsi="Times New Roman" w:hint="eastAsia"/>
                <w:sz w:val="21"/>
                <w:szCs w:val="21"/>
              </w:rPr>
              <w:t>1</w:t>
            </w:r>
            <w:r>
              <w:rPr>
                <w:rFonts w:ascii="Times New Roman" w:eastAsiaTheme="minorEastAsia" w:hAnsi="Times New Roman"/>
                <w:sz w:val="21"/>
                <w:szCs w:val="21"/>
              </w:rPr>
              <w:t>0</w:t>
            </w:r>
            <w:r>
              <w:rPr>
                <w:rFonts w:ascii="Times New Roman" w:eastAsiaTheme="minorEastAsia" w:hAnsi="Times New Roman" w:hint="eastAsia"/>
                <w:sz w:val="21"/>
                <w:szCs w:val="21"/>
              </w:rPr>
              <w:t>~</w:t>
            </w:r>
            <w:r>
              <w:rPr>
                <w:rFonts w:ascii="Times New Roman" w:eastAsiaTheme="minorEastAsia" w:hAnsi="Times New Roman"/>
                <w:sz w:val="21"/>
                <w:szCs w:val="21"/>
              </w:rPr>
              <w:t>70</w:t>
            </w:r>
            <w:r>
              <w:rPr>
                <w:rFonts w:ascii="Times New Roman" w:eastAsiaTheme="minorEastAsia" w:hAnsi="Times New Roman" w:hint="eastAsia"/>
                <w:sz w:val="21"/>
                <w:szCs w:val="21"/>
              </w:rPr>
              <w:t>m</w:t>
            </w:r>
            <w:r>
              <w:rPr>
                <w:rFonts w:ascii="Times New Roman" w:eastAsiaTheme="minorEastAsia" w:hAnsi="Times New Roman" w:hint="eastAsia"/>
                <w:sz w:val="21"/>
                <w:szCs w:val="21"/>
              </w:rPr>
              <w:t>处</w:t>
            </w:r>
          </w:p>
        </w:tc>
        <w:tc>
          <w:tcPr>
            <w:tcW w:w="3314" w:type="dxa"/>
            <w:vMerge/>
            <w:vAlign w:val="center"/>
          </w:tcPr>
          <w:p w14:paraId="4B7C8079" w14:textId="77777777" w:rsidR="009C353B" w:rsidRDefault="009C353B">
            <w:pPr>
              <w:topLinePunct/>
              <w:spacing w:line="240" w:lineRule="atLeast"/>
              <w:textAlignment w:val="baseline"/>
              <w:rPr>
                <w:rFonts w:ascii="Times New Roman" w:eastAsiaTheme="minorEastAsia" w:hAnsi="Times New Roman"/>
                <w:sz w:val="21"/>
                <w:szCs w:val="21"/>
              </w:rPr>
            </w:pPr>
          </w:p>
        </w:tc>
      </w:tr>
    </w:tbl>
    <w:p w14:paraId="3FC95D71" w14:textId="77777777" w:rsidR="009C353B" w:rsidRDefault="00000000">
      <w:pPr>
        <w:pStyle w:val="3"/>
        <w:spacing w:before="120" w:after="120" w:line="440" w:lineRule="exact"/>
        <w:rPr>
          <w:rFonts w:ascii="Times New Roman" w:hAnsi="Times New Roman"/>
          <w:sz w:val="24"/>
        </w:rPr>
      </w:pPr>
      <w:r>
        <w:rPr>
          <w:rFonts w:ascii="Times New Roman" w:hAnsi="Times New Roman"/>
          <w:sz w:val="24"/>
        </w:rPr>
        <w:lastRenderedPageBreak/>
        <w:t xml:space="preserve">1.8.1 </w:t>
      </w:r>
      <w:r>
        <w:rPr>
          <w:rFonts w:ascii="Times New Roman" w:hAnsi="Times New Roman" w:hint="eastAsia"/>
          <w:sz w:val="24"/>
        </w:rPr>
        <w:t>宁夏灵武白芨滩国家级自然保护区</w:t>
      </w:r>
    </w:p>
    <w:p w14:paraId="2B129C0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根据《宁夏灵武白芨滩国家级自然保护区总规划（</w:t>
      </w:r>
      <w:r>
        <w:rPr>
          <w:rFonts w:ascii="Times New Roman" w:hAnsi="Times New Roman" w:hint="eastAsia"/>
        </w:rPr>
        <w:t>2</w:t>
      </w:r>
      <w:r>
        <w:rPr>
          <w:rFonts w:ascii="Times New Roman" w:hAnsi="Times New Roman"/>
        </w:rPr>
        <w:t>014</w:t>
      </w:r>
      <w:r>
        <w:rPr>
          <w:rFonts w:ascii="Times New Roman" w:hAnsi="Times New Roman" w:hint="eastAsia"/>
        </w:rPr>
        <w:t>——</w:t>
      </w:r>
      <w:r>
        <w:rPr>
          <w:rFonts w:ascii="Times New Roman" w:hAnsi="Times New Roman"/>
        </w:rPr>
        <w:t>2023</w:t>
      </w:r>
      <w:r>
        <w:rPr>
          <w:rFonts w:ascii="Times New Roman" w:hAnsi="Times New Roman" w:hint="eastAsia"/>
        </w:rPr>
        <w:t>年）》，</w:t>
      </w:r>
      <w:r>
        <w:rPr>
          <w:rFonts w:ascii="Times New Roman" w:hAnsi="Times New Roman"/>
        </w:rPr>
        <w:t>白芨滩自然保护区位于宁夏回族自治区中东部，行政隶属于灵武市。保护区北起横城，南至庙梁子沟，东起刘家寨子，西至黄河以东</w:t>
      </w:r>
      <w:r>
        <w:rPr>
          <w:rFonts w:ascii="Times New Roman" w:hAnsi="Times New Roman"/>
        </w:rPr>
        <w:t>1150m</w:t>
      </w:r>
      <w:r>
        <w:rPr>
          <w:rFonts w:ascii="Times New Roman" w:hAnsi="Times New Roman"/>
        </w:rPr>
        <w:t>等高线。地理坐标为东经</w:t>
      </w:r>
      <w:r>
        <w:rPr>
          <w:rFonts w:ascii="Times New Roman" w:hAnsi="Times New Roman"/>
        </w:rPr>
        <w:t>106°21′33″-106°37′00″</w:t>
      </w:r>
      <w:r>
        <w:rPr>
          <w:rFonts w:ascii="Times New Roman" w:hAnsi="Times New Roman"/>
        </w:rPr>
        <w:t>，北纬</w:t>
      </w:r>
      <w:r>
        <w:rPr>
          <w:rFonts w:ascii="Times New Roman" w:hAnsi="Times New Roman"/>
        </w:rPr>
        <w:t>37°48′28″-38°20′12″</w:t>
      </w:r>
      <w:r>
        <w:rPr>
          <w:rFonts w:ascii="Times New Roman" w:hAnsi="Times New Roman"/>
        </w:rPr>
        <w:t>之间，海拔</w:t>
      </w:r>
      <w:r>
        <w:rPr>
          <w:rFonts w:ascii="Times New Roman" w:hAnsi="Times New Roman"/>
        </w:rPr>
        <w:t>1150-1650m</w:t>
      </w:r>
      <w:r>
        <w:rPr>
          <w:rFonts w:ascii="Times New Roman" w:hAnsi="Times New Roman"/>
        </w:rPr>
        <w:t>，南北长约</w:t>
      </w:r>
      <w:r>
        <w:rPr>
          <w:rFonts w:ascii="Times New Roman" w:hAnsi="Times New Roman"/>
        </w:rPr>
        <w:t>61km</w:t>
      </w:r>
      <w:r>
        <w:rPr>
          <w:rFonts w:ascii="Times New Roman" w:hAnsi="Times New Roman"/>
        </w:rPr>
        <w:t>，东西宽约</w:t>
      </w:r>
      <w:r>
        <w:rPr>
          <w:rFonts w:ascii="Times New Roman" w:hAnsi="Times New Roman"/>
        </w:rPr>
        <w:t>21km</w:t>
      </w:r>
      <w:r>
        <w:rPr>
          <w:rFonts w:ascii="Times New Roman" w:hAnsi="Times New Roman"/>
        </w:rPr>
        <w:t>，总面积</w:t>
      </w:r>
      <w:r>
        <w:rPr>
          <w:rFonts w:ascii="Times New Roman" w:hAnsi="Times New Roman"/>
        </w:rPr>
        <w:t>70921hm</w:t>
      </w:r>
      <w:r>
        <w:rPr>
          <w:rFonts w:ascii="Times New Roman" w:hAnsi="Times New Roman"/>
          <w:vertAlign w:val="superscript"/>
        </w:rPr>
        <w:t>2</w:t>
      </w:r>
      <w:r>
        <w:rPr>
          <w:rFonts w:ascii="Times New Roman" w:hAnsi="Times New Roman"/>
        </w:rPr>
        <w:t>。白芨滩自然保护区自然条件复杂多样，集中分布有干旱沙地、荒漠草原和流动沙丘等荒漠景观，</w:t>
      </w:r>
      <w:r>
        <w:rPr>
          <w:rFonts w:ascii="Times New Roman" w:hAnsi="Times New Roman"/>
        </w:rPr>
        <w:t>70%</w:t>
      </w:r>
      <w:r>
        <w:rPr>
          <w:rFonts w:ascii="Times New Roman" w:hAnsi="Times New Roman"/>
        </w:rPr>
        <w:t>的面积属于荒漠化土地，为荒漠生态类型自然保护区。白芨滩自然保护区在我国荒漠地貌中具有独特的景观，是我国最大的天然柠条林和西北最大的猫头刺荒漠区，是有效</w:t>
      </w:r>
      <w:r>
        <w:rPr>
          <w:rFonts w:ascii="Times New Roman" w:hAnsi="Times New Roman" w:hint="eastAsia"/>
        </w:rPr>
        <w:t>阻止</w:t>
      </w:r>
      <w:r>
        <w:rPr>
          <w:rFonts w:ascii="Times New Roman" w:hAnsi="Times New Roman"/>
        </w:rPr>
        <w:t>毛乌素沙漠南移和西扩的绿色屏障。白芨滩自然保护区位于</w:t>
      </w:r>
      <w:r>
        <w:rPr>
          <w:rFonts w:ascii="Times New Roman" w:hAnsi="Times New Roman" w:hint="eastAsia"/>
        </w:rPr>
        <w:t>规划区的西部边界外，关于</w:t>
      </w:r>
      <w:r>
        <w:rPr>
          <w:rFonts w:ascii="Times New Roman" w:hAnsi="Times New Roman"/>
        </w:rPr>
        <w:t>自然保护区的详细情况见第</w:t>
      </w:r>
      <w:r>
        <w:rPr>
          <w:rFonts w:ascii="Times New Roman" w:hAnsi="Times New Roman" w:hint="eastAsia"/>
        </w:rPr>
        <w:t>6.8</w:t>
      </w:r>
      <w:r>
        <w:rPr>
          <w:rFonts w:ascii="Times New Roman" w:hAnsi="Times New Roman" w:hint="eastAsia"/>
        </w:rPr>
        <w:t>节</w:t>
      </w:r>
      <w:r>
        <w:rPr>
          <w:rFonts w:ascii="Times New Roman" w:hAnsi="Times New Roman"/>
        </w:rPr>
        <w:t>。</w:t>
      </w:r>
    </w:p>
    <w:p w14:paraId="03F7CF0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宁夏灵武白芨滩国家级自然保护区概况见表</w:t>
      </w:r>
      <w:r>
        <w:rPr>
          <w:rFonts w:ascii="Times New Roman" w:hAnsi="Times New Roman" w:hint="eastAsia"/>
        </w:rPr>
        <w:t>1</w:t>
      </w:r>
      <w:r>
        <w:rPr>
          <w:rFonts w:ascii="Times New Roman" w:hAnsi="Times New Roman"/>
        </w:rPr>
        <w:t>.8</w:t>
      </w:r>
      <w:r>
        <w:rPr>
          <w:rFonts w:ascii="Times New Roman" w:hAnsi="Times New Roman" w:hint="eastAsia"/>
        </w:rPr>
        <w:t>-</w:t>
      </w:r>
      <w:r>
        <w:rPr>
          <w:rFonts w:ascii="Times New Roman" w:hAnsi="Times New Roman"/>
        </w:rPr>
        <w:t>2</w:t>
      </w:r>
      <w:r>
        <w:rPr>
          <w:rFonts w:ascii="Times New Roman" w:hAnsi="Times New Roman" w:hint="eastAsia"/>
        </w:rPr>
        <w:t>，各功能区划及与矿区的位置关系见图</w:t>
      </w:r>
      <w:r>
        <w:rPr>
          <w:rFonts w:ascii="Times New Roman" w:hAnsi="Times New Roman" w:hint="eastAsia"/>
        </w:rPr>
        <w:t>1.</w:t>
      </w:r>
      <w:r>
        <w:rPr>
          <w:rFonts w:ascii="Times New Roman" w:hAnsi="Times New Roman"/>
        </w:rPr>
        <w:t>8</w:t>
      </w:r>
      <w:r>
        <w:rPr>
          <w:rFonts w:ascii="Times New Roman" w:hAnsi="Times New Roman" w:hint="eastAsia"/>
        </w:rPr>
        <w:t>-</w:t>
      </w:r>
      <w:r>
        <w:rPr>
          <w:rFonts w:ascii="Times New Roman" w:hAnsi="Times New Roman"/>
        </w:rPr>
        <w:t>3</w:t>
      </w:r>
      <w:r>
        <w:rPr>
          <w:rFonts w:ascii="Times New Roman" w:hAnsi="Times New Roman" w:hint="eastAsia"/>
        </w:rPr>
        <w:t>。沙化封禁保护区基本位于白芨滩国家级自然保护区内，横城矿区距离沙化封禁保护区约</w:t>
      </w:r>
      <w:r>
        <w:rPr>
          <w:rFonts w:ascii="Times New Roman" w:hAnsi="Times New Roman" w:hint="eastAsia"/>
        </w:rPr>
        <w:t>2</w:t>
      </w:r>
      <w:r>
        <w:rPr>
          <w:rFonts w:ascii="Times New Roman" w:hAnsi="Times New Roman"/>
        </w:rPr>
        <w:t>4.6</w:t>
      </w:r>
      <w:r>
        <w:rPr>
          <w:rFonts w:ascii="Times New Roman" w:hAnsi="Times New Roman" w:hint="eastAsia"/>
        </w:rPr>
        <w:t>km</w:t>
      </w:r>
      <w:r>
        <w:rPr>
          <w:rFonts w:ascii="Times New Roman" w:hAnsi="Times New Roman" w:hint="eastAsia"/>
        </w:rPr>
        <w:t>，具体位置关系见图</w:t>
      </w:r>
      <w:r>
        <w:rPr>
          <w:rFonts w:ascii="Times New Roman" w:hAnsi="Times New Roman" w:hint="eastAsia"/>
        </w:rPr>
        <w:t>1</w:t>
      </w:r>
      <w:r>
        <w:rPr>
          <w:rFonts w:ascii="Times New Roman" w:hAnsi="Times New Roman"/>
        </w:rPr>
        <w:t>.8</w:t>
      </w:r>
      <w:r>
        <w:rPr>
          <w:rFonts w:ascii="Times New Roman" w:hAnsi="Times New Roman" w:hint="eastAsia"/>
        </w:rPr>
        <w:t>-</w:t>
      </w:r>
      <w:r>
        <w:rPr>
          <w:rFonts w:ascii="Times New Roman" w:hAnsi="Times New Roman"/>
        </w:rPr>
        <w:t>5</w:t>
      </w:r>
      <w:r>
        <w:rPr>
          <w:rFonts w:ascii="Times New Roman" w:hAnsi="Times New Roman" w:hint="eastAsia"/>
        </w:rPr>
        <w:t>。</w:t>
      </w:r>
    </w:p>
    <w:p w14:paraId="54CEBC6D" w14:textId="77777777" w:rsidR="009C353B" w:rsidRDefault="00000000">
      <w:pPr>
        <w:pStyle w:val="affffff0"/>
        <w:adjustRightInd w:val="0"/>
        <w:spacing w:line="440" w:lineRule="exact"/>
        <w:jc w:val="center"/>
        <w:rPr>
          <w:rFonts w:ascii="Times New Roman" w:hAnsi="Times New Roman"/>
          <w:kern w:val="0"/>
        </w:rPr>
      </w:pPr>
      <w:r>
        <w:rPr>
          <w:rFonts w:ascii="Times New Roman" w:hAnsi="Times New Roman" w:hint="eastAsia"/>
          <w:kern w:val="0"/>
        </w:rPr>
        <w:t>自然保护区概况</w:t>
      </w:r>
    </w:p>
    <w:p w14:paraId="1A1F7CDD" w14:textId="77777777" w:rsidR="009C353B" w:rsidRDefault="00000000">
      <w:pPr>
        <w:pStyle w:val="affffd"/>
        <w:spacing w:line="440" w:lineRule="exact"/>
        <w:rPr>
          <w:rFonts w:ascii="Times New Roman" w:hAnsi="Times New Roman"/>
        </w:rPr>
      </w:pPr>
      <w:r>
        <w:rPr>
          <w:rFonts w:ascii="Times New Roman" w:hAnsi="Times New Roman" w:hint="eastAsia"/>
        </w:rPr>
        <w:t>表</w:t>
      </w:r>
      <w:r>
        <w:rPr>
          <w:rFonts w:ascii="Times New Roman" w:hAnsi="Times New Roman"/>
        </w:rPr>
        <w:t>1</w:t>
      </w:r>
      <w:r>
        <w:rPr>
          <w:rFonts w:ascii="Times New Roman" w:hAnsi="Times New Roman" w:hint="eastAsia"/>
        </w:rPr>
        <w:t>.</w:t>
      </w:r>
      <w:r>
        <w:rPr>
          <w:rFonts w:ascii="Times New Roman" w:hAnsi="Times New Roman"/>
        </w:rPr>
        <w:t>8-2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69"/>
        <w:gridCol w:w="1093"/>
        <w:gridCol w:w="1891"/>
        <w:gridCol w:w="837"/>
        <w:gridCol w:w="764"/>
        <w:gridCol w:w="874"/>
        <w:gridCol w:w="873"/>
        <w:gridCol w:w="1884"/>
      </w:tblGrid>
      <w:tr w:rsidR="009C353B" w14:paraId="34D2F406" w14:textId="77777777">
        <w:trPr>
          <w:trHeight w:val="316"/>
          <w:jc w:val="center"/>
        </w:trPr>
        <w:tc>
          <w:tcPr>
            <w:tcW w:w="942" w:type="dxa"/>
            <w:vMerge w:val="restart"/>
            <w:tcBorders>
              <w:top w:val="single" w:sz="4" w:space="0" w:color="auto"/>
              <w:left w:val="single" w:sz="4" w:space="0" w:color="auto"/>
              <w:bottom w:val="single" w:sz="4" w:space="0" w:color="auto"/>
              <w:right w:val="single" w:sz="4" w:space="0" w:color="auto"/>
            </w:tcBorders>
            <w:vAlign w:val="center"/>
          </w:tcPr>
          <w:p w14:paraId="4505E6E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名称</w:t>
            </w:r>
          </w:p>
        </w:tc>
        <w:tc>
          <w:tcPr>
            <w:tcW w:w="1064" w:type="dxa"/>
            <w:vMerge w:val="restart"/>
            <w:tcBorders>
              <w:top w:val="single" w:sz="4" w:space="0" w:color="auto"/>
              <w:left w:val="single" w:sz="4" w:space="0" w:color="auto"/>
              <w:bottom w:val="single" w:sz="4" w:space="0" w:color="auto"/>
              <w:right w:val="single" w:sz="4" w:space="0" w:color="auto"/>
            </w:tcBorders>
            <w:vAlign w:val="center"/>
          </w:tcPr>
          <w:p w14:paraId="0E7803B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保护区</w:t>
            </w:r>
          </w:p>
          <w:p w14:paraId="2D3418A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类型</w:t>
            </w:r>
          </w:p>
        </w:tc>
        <w:tc>
          <w:tcPr>
            <w:tcW w:w="1841" w:type="dxa"/>
            <w:vMerge w:val="restart"/>
            <w:tcBorders>
              <w:top w:val="single" w:sz="4" w:space="0" w:color="auto"/>
              <w:left w:val="single" w:sz="4" w:space="0" w:color="auto"/>
              <w:bottom w:val="single" w:sz="4" w:space="0" w:color="auto"/>
              <w:right w:val="single" w:sz="4" w:space="0" w:color="auto"/>
            </w:tcBorders>
            <w:vAlign w:val="center"/>
          </w:tcPr>
          <w:p w14:paraId="42A2212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主要保护对象</w:t>
            </w: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0DE72E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面积（</w:t>
            </w:r>
            <w:r>
              <w:rPr>
                <w:rFonts w:ascii="Times New Roman" w:hAnsi="Times New Roman"/>
                <w:sz w:val="21"/>
                <w:szCs w:val="21"/>
              </w:rPr>
              <w:t>hm</w:t>
            </w:r>
            <w:r>
              <w:rPr>
                <w:rFonts w:ascii="Times New Roman" w:hAnsi="Times New Roman"/>
                <w:sz w:val="21"/>
                <w:szCs w:val="21"/>
                <w:vertAlign w:val="superscript"/>
              </w:rPr>
              <w:t>2</w:t>
            </w:r>
            <w:r>
              <w:rPr>
                <w:rFonts w:ascii="Times New Roman" w:hAnsi="Times New Roman" w:hint="eastAsia"/>
                <w:sz w:val="21"/>
                <w:szCs w:val="21"/>
              </w:rPr>
              <w:t>）</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50EB591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保护区级别</w:t>
            </w:r>
          </w:p>
        </w:tc>
        <w:tc>
          <w:tcPr>
            <w:tcW w:w="1834" w:type="dxa"/>
            <w:vMerge w:val="restart"/>
            <w:tcBorders>
              <w:top w:val="single" w:sz="4" w:space="0" w:color="auto"/>
              <w:left w:val="single" w:sz="4" w:space="0" w:color="auto"/>
              <w:bottom w:val="single" w:sz="4" w:space="0" w:color="auto"/>
              <w:right w:val="single" w:sz="4" w:space="0" w:color="auto"/>
            </w:tcBorders>
            <w:vAlign w:val="center"/>
          </w:tcPr>
          <w:p w14:paraId="6FC6B32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坐标范围</w:t>
            </w:r>
          </w:p>
        </w:tc>
      </w:tr>
      <w:tr w:rsidR="009C353B" w14:paraId="466DC865" w14:textId="77777777">
        <w:trPr>
          <w:trHeight w:val="218"/>
          <w:jc w:val="center"/>
        </w:trPr>
        <w:tc>
          <w:tcPr>
            <w:tcW w:w="942" w:type="dxa"/>
            <w:vMerge/>
            <w:tcBorders>
              <w:top w:val="single" w:sz="4" w:space="0" w:color="auto"/>
              <w:left w:val="single" w:sz="4" w:space="0" w:color="auto"/>
              <w:bottom w:val="single" w:sz="4" w:space="0" w:color="auto"/>
              <w:right w:val="single" w:sz="4" w:space="0" w:color="auto"/>
            </w:tcBorders>
            <w:vAlign w:val="center"/>
          </w:tcPr>
          <w:p w14:paraId="1BE8478C" w14:textId="77777777" w:rsidR="009C353B" w:rsidRDefault="009C353B">
            <w:pPr>
              <w:widowControl/>
              <w:jc w:val="left"/>
              <w:rPr>
                <w:rFonts w:ascii="Times New Roman" w:hAnsi="Times New Roman"/>
                <w:sz w:val="21"/>
                <w:szCs w:val="21"/>
              </w:rPr>
            </w:pPr>
          </w:p>
        </w:tc>
        <w:tc>
          <w:tcPr>
            <w:tcW w:w="1064" w:type="dxa"/>
            <w:vMerge/>
            <w:tcBorders>
              <w:top w:val="single" w:sz="4" w:space="0" w:color="auto"/>
              <w:left w:val="single" w:sz="4" w:space="0" w:color="auto"/>
              <w:bottom w:val="single" w:sz="4" w:space="0" w:color="auto"/>
              <w:right w:val="single" w:sz="4" w:space="0" w:color="auto"/>
            </w:tcBorders>
            <w:vAlign w:val="center"/>
          </w:tcPr>
          <w:p w14:paraId="390D96A2" w14:textId="77777777" w:rsidR="009C353B" w:rsidRDefault="009C353B">
            <w:pPr>
              <w:widowControl/>
              <w:jc w:val="left"/>
              <w:rPr>
                <w:rFonts w:ascii="Times New Roman" w:hAnsi="Times New Roman"/>
                <w:sz w:val="21"/>
                <w:szCs w:val="21"/>
              </w:rPr>
            </w:pPr>
          </w:p>
        </w:tc>
        <w:tc>
          <w:tcPr>
            <w:tcW w:w="1841" w:type="dxa"/>
            <w:vMerge/>
            <w:tcBorders>
              <w:top w:val="single" w:sz="4" w:space="0" w:color="auto"/>
              <w:left w:val="single" w:sz="4" w:space="0" w:color="auto"/>
              <w:bottom w:val="single" w:sz="4" w:space="0" w:color="auto"/>
              <w:right w:val="single" w:sz="4" w:space="0" w:color="auto"/>
            </w:tcBorders>
            <w:vAlign w:val="center"/>
          </w:tcPr>
          <w:p w14:paraId="59589759" w14:textId="77777777" w:rsidR="009C353B" w:rsidRDefault="009C353B">
            <w:pPr>
              <w:widowControl/>
              <w:jc w:val="left"/>
              <w:rPr>
                <w:rFonts w:ascii="Times New Roman" w:hAnsi="Times New Roman"/>
                <w:sz w:val="21"/>
                <w:szCs w:val="21"/>
              </w:rPr>
            </w:pPr>
          </w:p>
        </w:tc>
        <w:tc>
          <w:tcPr>
            <w:tcW w:w="815" w:type="dxa"/>
            <w:tcBorders>
              <w:top w:val="single" w:sz="4" w:space="0" w:color="auto"/>
              <w:left w:val="single" w:sz="4" w:space="0" w:color="auto"/>
              <w:bottom w:val="single" w:sz="4" w:space="0" w:color="auto"/>
              <w:right w:val="single" w:sz="4" w:space="0" w:color="auto"/>
            </w:tcBorders>
            <w:vAlign w:val="center"/>
          </w:tcPr>
          <w:p w14:paraId="36B30AA6"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核心区</w:t>
            </w:r>
          </w:p>
        </w:tc>
        <w:tc>
          <w:tcPr>
            <w:tcW w:w="744" w:type="dxa"/>
            <w:tcBorders>
              <w:top w:val="single" w:sz="4" w:space="0" w:color="auto"/>
              <w:left w:val="single" w:sz="4" w:space="0" w:color="auto"/>
              <w:bottom w:val="single" w:sz="4" w:space="0" w:color="auto"/>
              <w:right w:val="single" w:sz="4" w:space="0" w:color="auto"/>
            </w:tcBorders>
            <w:vAlign w:val="center"/>
          </w:tcPr>
          <w:p w14:paraId="0DAC499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缓冲区</w:t>
            </w:r>
          </w:p>
        </w:tc>
        <w:tc>
          <w:tcPr>
            <w:tcW w:w="851" w:type="dxa"/>
            <w:tcBorders>
              <w:top w:val="single" w:sz="4" w:space="0" w:color="auto"/>
              <w:left w:val="single" w:sz="4" w:space="0" w:color="auto"/>
              <w:bottom w:val="single" w:sz="4" w:space="0" w:color="auto"/>
              <w:right w:val="single" w:sz="4" w:space="0" w:color="auto"/>
            </w:tcBorders>
            <w:vAlign w:val="center"/>
          </w:tcPr>
          <w:p w14:paraId="258EE93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实验区</w:t>
            </w:r>
          </w:p>
        </w:tc>
        <w:tc>
          <w:tcPr>
            <w:tcW w:w="850" w:type="dxa"/>
            <w:vMerge/>
            <w:tcBorders>
              <w:top w:val="single" w:sz="4" w:space="0" w:color="auto"/>
              <w:left w:val="single" w:sz="4" w:space="0" w:color="auto"/>
              <w:bottom w:val="single" w:sz="4" w:space="0" w:color="auto"/>
              <w:right w:val="single" w:sz="4" w:space="0" w:color="auto"/>
            </w:tcBorders>
            <w:vAlign w:val="center"/>
          </w:tcPr>
          <w:p w14:paraId="7694A20A" w14:textId="77777777" w:rsidR="009C353B" w:rsidRDefault="009C353B">
            <w:pPr>
              <w:widowControl/>
              <w:jc w:val="left"/>
              <w:rPr>
                <w:rFonts w:ascii="Times New Roman" w:hAnsi="Times New Roman"/>
                <w:sz w:val="21"/>
                <w:szCs w:val="21"/>
              </w:rPr>
            </w:pPr>
          </w:p>
        </w:tc>
        <w:tc>
          <w:tcPr>
            <w:tcW w:w="1834" w:type="dxa"/>
            <w:vMerge/>
            <w:tcBorders>
              <w:top w:val="single" w:sz="4" w:space="0" w:color="auto"/>
              <w:left w:val="single" w:sz="4" w:space="0" w:color="auto"/>
              <w:bottom w:val="single" w:sz="4" w:space="0" w:color="auto"/>
              <w:right w:val="single" w:sz="4" w:space="0" w:color="auto"/>
            </w:tcBorders>
            <w:vAlign w:val="center"/>
          </w:tcPr>
          <w:p w14:paraId="3F193E09" w14:textId="77777777" w:rsidR="009C353B" w:rsidRDefault="009C353B">
            <w:pPr>
              <w:widowControl/>
              <w:jc w:val="left"/>
              <w:rPr>
                <w:rFonts w:ascii="Times New Roman" w:hAnsi="Times New Roman"/>
                <w:sz w:val="21"/>
                <w:szCs w:val="21"/>
              </w:rPr>
            </w:pPr>
          </w:p>
        </w:tc>
      </w:tr>
      <w:tr w:rsidR="009C353B" w14:paraId="4B0A087C" w14:textId="77777777">
        <w:trPr>
          <w:trHeight w:val="340"/>
          <w:jc w:val="center"/>
        </w:trPr>
        <w:tc>
          <w:tcPr>
            <w:tcW w:w="942" w:type="dxa"/>
            <w:tcBorders>
              <w:top w:val="single" w:sz="4" w:space="0" w:color="auto"/>
              <w:left w:val="single" w:sz="4" w:space="0" w:color="auto"/>
              <w:bottom w:val="single" w:sz="4" w:space="0" w:color="auto"/>
              <w:right w:val="single" w:sz="4" w:space="0" w:color="auto"/>
            </w:tcBorders>
            <w:vAlign w:val="center"/>
          </w:tcPr>
          <w:p w14:paraId="7CAD9E7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宁夏灵武白芨滩国家级自然保护区</w:t>
            </w:r>
          </w:p>
        </w:tc>
        <w:tc>
          <w:tcPr>
            <w:tcW w:w="1064" w:type="dxa"/>
            <w:tcBorders>
              <w:top w:val="single" w:sz="4" w:space="0" w:color="auto"/>
              <w:left w:val="single" w:sz="4" w:space="0" w:color="auto"/>
              <w:bottom w:val="single" w:sz="4" w:space="0" w:color="auto"/>
              <w:right w:val="single" w:sz="4" w:space="0" w:color="auto"/>
            </w:tcBorders>
            <w:vAlign w:val="center"/>
          </w:tcPr>
          <w:p w14:paraId="2BA4F18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荒漠生态类型自然保护区</w:t>
            </w:r>
          </w:p>
        </w:tc>
        <w:tc>
          <w:tcPr>
            <w:tcW w:w="1841" w:type="dxa"/>
            <w:tcBorders>
              <w:top w:val="single" w:sz="4" w:space="0" w:color="auto"/>
              <w:left w:val="single" w:sz="4" w:space="0" w:color="auto"/>
              <w:bottom w:val="single" w:sz="4" w:space="0" w:color="auto"/>
              <w:right w:val="single" w:sz="4" w:space="0" w:color="auto"/>
            </w:tcBorders>
            <w:vAlign w:val="center"/>
          </w:tcPr>
          <w:p w14:paraId="71D3A29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荒漠生态系统及其生物多样性</w:t>
            </w:r>
            <w:r>
              <w:rPr>
                <w:rFonts w:ascii="Times New Roman" w:hAnsi="Times New Roman" w:hint="eastAsia"/>
                <w:sz w:val="21"/>
                <w:szCs w:val="21"/>
              </w:rPr>
              <w:t>、</w:t>
            </w:r>
            <w:r>
              <w:rPr>
                <w:rFonts w:ascii="Times New Roman" w:hAnsi="Times New Roman"/>
                <w:sz w:val="21"/>
                <w:szCs w:val="21"/>
              </w:rPr>
              <w:t>不同自然地带的典型自然景观</w:t>
            </w:r>
            <w:r>
              <w:rPr>
                <w:rFonts w:ascii="Times New Roman" w:hAnsi="Times New Roman" w:hint="eastAsia"/>
                <w:sz w:val="21"/>
                <w:szCs w:val="21"/>
              </w:rPr>
              <w:t>、</w:t>
            </w:r>
            <w:r>
              <w:rPr>
                <w:rFonts w:ascii="Times New Roman" w:hAnsi="Times New Roman"/>
                <w:sz w:val="21"/>
                <w:szCs w:val="21"/>
              </w:rPr>
              <w:t>典型荒漠野生动植物资源</w:t>
            </w:r>
            <w:r>
              <w:rPr>
                <w:rFonts w:ascii="Times New Roman" w:hAnsi="Times New Roman" w:hint="eastAsia"/>
                <w:sz w:val="21"/>
                <w:szCs w:val="21"/>
              </w:rPr>
              <w:t>、</w:t>
            </w:r>
            <w:r>
              <w:rPr>
                <w:rFonts w:ascii="Times New Roman" w:hAnsi="Times New Roman"/>
                <w:sz w:val="21"/>
                <w:szCs w:val="21"/>
              </w:rPr>
              <w:t>古人类文化遗址</w:t>
            </w:r>
          </w:p>
        </w:tc>
        <w:tc>
          <w:tcPr>
            <w:tcW w:w="815" w:type="dxa"/>
            <w:tcBorders>
              <w:top w:val="single" w:sz="4" w:space="0" w:color="auto"/>
              <w:left w:val="single" w:sz="4" w:space="0" w:color="auto"/>
              <w:bottom w:val="single" w:sz="4" w:space="0" w:color="auto"/>
              <w:right w:val="single" w:sz="4" w:space="0" w:color="auto"/>
            </w:tcBorders>
            <w:vAlign w:val="center"/>
          </w:tcPr>
          <w:p w14:paraId="5F1131B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31318</w:t>
            </w:r>
          </w:p>
        </w:tc>
        <w:tc>
          <w:tcPr>
            <w:tcW w:w="744" w:type="dxa"/>
            <w:tcBorders>
              <w:top w:val="single" w:sz="4" w:space="0" w:color="auto"/>
              <w:left w:val="single" w:sz="4" w:space="0" w:color="auto"/>
              <w:bottom w:val="single" w:sz="4" w:space="0" w:color="auto"/>
              <w:right w:val="single" w:sz="4" w:space="0" w:color="auto"/>
            </w:tcBorders>
            <w:vAlign w:val="center"/>
          </w:tcPr>
          <w:p w14:paraId="31AC9EB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18606</w:t>
            </w:r>
          </w:p>
        </w:tc>
        <w:tc>
          <w:tcPr>
            <w:tcW w:w="851" w:type="dxa"/>
            <w:tcBorders>
              <w:top w:val="single" w:sz="4" w:space="0" w:color="auto"/>
              <w:left w:val="single" w:sz="4" w:space="0" w:color="auto"/>
              <w:bottom w:val="single" w:sz="4" w:space="0" w:color="auto"/>
              <w:right w:val="single" w:sz="4" w:space="0" w:color="auto"/>
            </w:tcBorders>
            <w:vAlign w:val="center"/>
          </w:tcPr>
          <w:p w14:paraId="46524BB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20997</w:t>
            </w:r>
          </w:p>
        </w:tc>
        <w:tc>
          <w:tcPr>
            <w:tcW w:w="850" w:type="dxa"/>
            <w:tcBorders>
              <w:top w:val="single" w:sz="4" w:space="0" w:color="auto"/>
              <w:left w:val="single" w:sz="4" w:space="0" w:color="auto"/>
              <w:bottom w:val="single" w:sz="4" w:space="0" w:color="auto"/>
              <w:right w:val="single" w:sz="4" w:space="0" w:color="auto"/>
            </w:tcBorders>
            <w:vAlign w:val="center"/>
          </w:tcPr>
          <w:p w14:paraId="5E2EA46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国家级</w:t>
            </w:r>
          </w:p>
        </w:tc>
        <w:tc>
          <w:tcPr>
            <w:tcW w:w="1834" w:type="dxa"/>
            <w:tcBorders>
              <w:top w:val="single" w:sz="4" w:space="0" w:color="auto"/>
              <w:left w:val="single" w:sz="4" w:space="0" w:color="auto"/>
              <w:bottom w:val="single" w:sz="4" w:space="0" w:color="auto"/>
              <w:right w:val="single" w:sz="4" w:space="0" w:color="auto"/>
            </w:tcBorders>
            <w:vAlign w:val="center"/>
          </w:tcPr>
          <w:p w14:paraId="3E6530B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E</w:t>
            </w:r>
            <w:r>
              <w:rPr>
                <w:rFonts w:ascii="Times New Roman" w:hAnsi="Times New Roman"/>
                <w:sz w:val="21"/>
                <w:szCs w:val="21"/>
              </w:rPr>
              <w:t>106°20′22"</w:t>
            </w:r>
            <w:r>
              <w:rPr>
                <w:rFonts w:ascii="Times New Roman" w:hAnsi="Times New Roman"/>
                <w:sz w:val="21"/>
                <w:szCs w:val="21"/>
              </w:rPr>
              <w:t>～</w:t>
            </w:r>
            <w:r>
              <w:rPr>
                <w:rFonts w:ascii="Times New Roman" w:hAnsi="Times New Roman"/>
                <w:sz w:val="21"/>
                <w:szCs w:val="21"/>
              </w:rPr>
              <w:t>106°37′19"</w:t>
            </w:r>
            <w:r>
              <w:rPr>
                <w:rFonts w:ascii="Times New Roman" w:hAnsi="Times New Roman"/>
                <w:sz w:val="21"/>
                <w:szCs w:val="21"/>
              </w:rPr>
              <w:t>，</w:t>
            </w:r>
            <w:r>
              <w:rPr>
                <w:rFonts w:ascii="Times New Roman" w:hAnsi="Times New Roman" w:hint="eastAsia"/>
                <w:sz w:val="21"/>
                <w:szCs w:val="21"/>
              </w:rPr>
              <w:t>N</w:t>
            </w:r>
            <w:r>
              <w:rPr>
                <w:rFonts w:ascii="Times New Roman" w:hAnsi="Times New Roman"/>
                <w:sz w:val="21"/>
                <w:szCs w:val="21"/>
              </w:rPr>
              <w:t>37°49′05"</w:t>
            </w:r>
            <w:r>
              <w:rPr>
                <w:rFonts w:ascii="Times New Roman" w:hAnsi="Times New Roman"/>
                <w:sz w:val="21"/>
                <w:szCs w:val="21"/>
              </w:rPr>
              <w:t>～</w:t>
            </w:r>
            <w:r>
              <w:rPr>
                <w:rFonts w:ascii="Times New Roman" w:hAnsi="Times New Roman"/>
                <w:sz w:val="21"/>
                <w:szCs w:val="21"/>
              </w:rPr>
              <w:t>38°20′54"</w:t>
            </w:r>
          </w:p>
        </w:tc>
      </w:tr>
    </w:tbl>
    <w:p w14:paraId="5AF4657F" w14:textId="77777777" w:rsidR="009C353B" w:rsidRDefault="00000000">
      <w:pPr>
        <w:pStyle w:val="3"/>
        <w:spacing w:before="120" w:after="120" w:line="440" w:lineRule="exact"/>
        <w:rPr>
          <w:rFonts w:ascii="Times New Roman" w:hAnsi="Times New Roman"/>
          <w:sz w:val="24"/>
        </w:rPr>
      </w:pPr>
      <w:r>
        <w:rPr>
          <w:rFonts w:ascii="Times New Roman" w:hAnsi="Times New Roman"/>
          <w:sz w:val="24"/>
        </w:rPr>
        <w:t xml:space="preserve">1.8.2 </w:t>
      </w:r>
      <w:r>
        <w:rPr>
          <w:rFonts w:ascii="Times New Roman" w:hAnsi="Times New Roman" w:hint="eastAsia"/>
          <w:sz w:val="24"/>
        </w:rPr>
        <w:t>鸭子荡水库</w:t>
      </w:r>
    </w:p>
    <w:p w14:paraId="6CE69AEA" w14:textId="77777777" w:rsidR="009C353B" w:rsidRDefault="00000000">
      <w:pPr>
        <w:adjustRightInd w:val="0"/>
        <w:snapToGrid w:val="0"/>
        <w:spacing w:line="440" w:lineRule="exact"/>
        <w:ind w:firstLineChars="200" w:firstLine="480"/>
        <w:rPr>
          <w:rFonts w:ascii="Times New Roman" w:hAnsi="Times New Roman"/>
        </w:rPr>
      </w:pPr>
      <w:bookmarkStart w:id="20" w:name="_Toc163440979"/>
      <w:r>
        <w:rPr>
          <w:rFonts w:ascii="Times New Roman" w:hAnsi="Times New Roman" w:hint="eastAsia"/>
        </w:rPr>
        <w:t>该水库为宁东能源重化工基地及生态移民供水工程的一部分，由水源工程和净配水工程两部分组成，位于灵武市东部的大河子沟支流</w:t>
      </w:r>
      <w:r>
        <w:rPr>
          <w:rFonts w:ascii="Times New Roman" w:hAnsi="Times New Roman" w:hint="eastAsia"/>
        </w:rPr>
        <w:t>-</w:t>
      </w:r>
      <w:r>
        <w:rPr>
          <w:rFonts w:ascii="Times New Roman" w:hAnsi="Times New Roman" w:hint="eastAsia"/>
        </w:rPr>
        <w:t>挂井子沟，是宁东地区工业及生活供水水源，水库补给源为黄河水和大气降雨。该工程于</w:t>
      </w:r>
      <w:r>
        <w:rPr>
          <w:rFonts w:ascii="Times New Roman" w:hAnsi="Times New Roman" w:hint="eastAsia"/>
        </w:rPr>
        <w:t>2003</w:t>
      </w:r>
      <w:r>
        <w:rPr>
          <w:rFonts w:ascii="Times New Roman" w:hAnsi="Times New Roman" w:hint="eastAsia"/>
        </w:rPr>
        <w:t>年</w:t>
      </w:r>
      <w:r>
        <w:rPr>
          <w:rFonts w:ascii="Times New Roman" w:hAnsi="Times New Roman" w:hint="eastAsia"/>
        </w:rPr>
        <w:t>12</w:t>
      </w:r>
      <w:r>
        <w:rPr>
          <w:rFonts w:ascii="Times New Roman" w:hAnsi="Times New Roman" w:hint="eastAsia"/>
        </w:rPr>
        <w:t>月</w:t>
      </w:r>
      <w:r>
        <w:rPr>
          <w:rFonts w:ascii="Times New Roman" w:hAnsi="Times New Roman" w:hint="eastAsia"/>
        </w:rPr>
        <w:t>28</w:t>
      </w:r>
      <w:r>
        <w:rPr>
          <w:rFonts w:ascii="Times New Roman" w:hAnsi="Times New Roman" w:hint="eastAsia"/>
        </w:rPr>
        <w:t>日开工建设，</w:t>
      </w:r>
      <w:bookmarkStart w:id="21" w:name="_Hlk59645532"/>
      <w:r>
        <w:rPr>
          <w:rFonts w:ascii="Times New Roman" w:hAnsi="Times New Roman" w:hint="eastAsia"/>
        </w:rPr>
        <w:t>2005</w:t>
      </w:r>
      <w:r>
        <w:rPr>
          <w:rFonts w:ascii="Times New Roman" w:hAnsi="Times New Roman" w:hint="eastAsia"/>
        </w:rPr>
        <w:t>年</w:t>
      </w:r>
      <w:r>
        <w:rPr>
          <w:rFonts w:ascii="Times New Roman" w:hAnsi="Times New Roman" w:hint="eastAsia"/>
        </w:rPr>
        <w:t>6</w:t>
      </w:r>
      <w:r>
        <w:rPr>
          <w:rFonts w:ascii="Times New Roman" w:hAnsi="Times New Roman" w:hint="eastAsia"/>
        </w:rPr>
        <w:t>月水源工程建成蓄水，</w:t>
      </w:r>
      <w:r>
        <w:rPr>
          <w:rFonts w:ascii="Times New Roman" w:hAnsi="Times New Roman" w:hint="eastAsia"/>
        </w:rPr>
        <w:t>2006</w:t>
      </w:r>
      <w:r>
        <w:rPr>
          <w:rFonts w:ascii="Times New Roman" w:hAnsi="Times New Roman" w:hint="eastAsia"/>
        </w:rPr>
        <w:t>年</w:t>
      </w:r>
      <w:r>
        <w:rPr>
          <w:rFonts w:ascii="Times New Roman" w:hAnsi="Times New Roman" w:hint="eastAsia"/>
        </w:rPr>
        <w:t>5</w:t>
      </w:r>
      <w:r>
        <w:rPr>
          <w:rFonts w:ascii="Times New Roman" w:hAnsi="Times New Roman" w:hint="eastAsia"/>
        </w:rPr>
        <w:t>月净配水厂建成投入使用，</w:t>
      </w:r>
      <w:r>
        <w:rPr>
          <w:rFonts w:ascii="Times New Roman" w:hAnsi="Times New Roman" w:hint="eastAsia"/>
        </w:rPr>
        <w:t>2006</w:t>
      </w:r>
      <w:r>
        <w:rPr>
          <w:rFonts w:ascii="Times New Roman" w:hAnsi="Times New Roman" w:hint="eastAsia"/>
        </w:rPr>
        <w:t>年</w:t>
      </w:r>
      <w:r>
        <w:rPr>
          <w:rFonts w:ascii="Times New Roman" w:hAnsi="Times New Roman" w:hint="eastAsia"/>
        </w:rPr>
        <w:t>12</w:t>
      </w:r>
      <w:r>
        <w:rPr>
          <w:rFonts w:ascii="Times New Roman" w:hAnsi="Times New Roman" w:hint="eastAsia"/>
        </w:rPr>
        <w:t>月宁东供水工程通过竣工验收。一期工程设计总库容</w:t>
      </w:r>
      <w:r>
        <w:rPr>
          <w:rFonts w:ascii="Times New Roman" w:hAnsi="Times New Roman" w:hint="eastAsia"/>
        </w:rPr>
        <w:t>2053</w:t>
      </w:r>
      <w:r>
        <w:rPr>
          <w:rFonts w:ascii="Times New Roman" w:hAnsi="Times New Roman" w:hint="eastAsia"/>
        </w:rPr>
        <w:t>万</w:t>
      </w:r>
      <w:r>
        <w:rPr>
          <w:rFonts w:ascii="Times New Roman" w:hAnsi="Times New Roman" w:hint="eastAsia"/>
        </w:rPr>
        <w:t>m</w:t>
      </w:r>
      <w:r>
        <w:rPr>
          <w:rFonts w:ascii="Times New Roman" w:hAnsi="Times New Roman" w:hint="eastAsia"/>
          <w:vertAlign w:val="superscript"/>
        </w:rPr>
        <w:t>3</w:t>
      </w:r>
      <w:r>
        <w:rPr>
          <w:rFonts w:ascii="Times New Roman" w:hAnsi="Times New Roman" w:hint="eastAsia"/>
        </w:rPr>
        <w:t>，调节库容</w:t>
      </w:r>
      <w:r>
        <w:rPr>
          <w:rFonts w:ascii="Times New Roman" w:hAnsi="Times New Roman" w:hint="eastAsia"/>
        </w:rPr>
        <w:t>1200</w:t>
      </w:r>
      <w:r>
        <w:rPr>
          <w:rFonts w:ascii="Times New Roman" w:hAnsi="Times New Roman" w:hint="eastAsia"/>
        </w:rPr>
        <w:t>万</w:t>
      </w:r>
      <w:r>
        <w:rPr>
          <w:rFonts w:ascii="Times New Roman" w:hAnsi="Times New Roman" w:hint="eastAsia"/>
        </w:rPr>
        <w:t>m</w:t>
      </w:r>
      <w:r>
        <w:rPr>
          <w:rFonts w:ascii="Times New Roman" w:hAnsi="Times New Roman" w:hint="eastAsia"/>
          <w:vertAlign w:val="superscript"/>
        </w:rPr>
        <w:t>3</w:t>
      </w:r>
      <w:r>
        <w:rPr>
          <w:rFonts w:ascii="Times New Roman" w:hAnsi="Times New Roman" w:hint="eastAsia"/>
        </w:rPr>
        <w:t>。</w:t>
      </w:r>
      <w:bookmarkEnd w:id="21"/>
    </w:p>
    <w:p w14:paraId="65D204C8" w14:textId="77777777" w:rsidR="009C353B" w:rsidRDefault="00000000">
      <w:pPr>
        <w:pStyle w:val="3"/>
        <w:spacing w:before="120" w:after="120" w:line="440" w:lineRule="exact"/>
        <w:rPr>
          <w:rFonts w:ascii="Times New Roman" w:hAnsi="Times New Roman"/>
          <w:sz w:val="24"/>
        </w:rPr>
      </w:pPr>
      <w:r>
        <w:rPr>
          <w:rFonts w:ascii="Times New Roman" w:hAnsi="Times New Roman"/>
          <w:sz w:val="24"/>
        </w:rPr>
        <w:t xml:space="preserve">1.8.3 </w:t>
      </w:r>
      <w:r>
        <w:rPr>
          <w:rFonts w:ascii="Times New Roman" w:hAnsi="Times New Roman" w:hint="eastAsia"/>
          <w:sz w:val="24"/>
        </w:rPr>
        <w:t>文物</w:t>
      </w:r>
    </w:p>
    <w:p w14:paraId="450E5D9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）水洞沟遗址</w:t>
      </w:r>
    </w:p>
    <w:p w14:paraId="53289FF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水洞沟遗址，位于灵武市区东北</w:t>
      </w:r>
      <w:r>
        <w:rPr>
          <w:rFonts w:ascii="Times New Roman" w:hAnsi="Times New Roman" w:hint="eastAsia"/>
        </w:rPr>
        <w:t>35</w:t>
      </w:r>
      <w:r>
        <w:rPr>
          <w:rFonts w:ascii="Times New Roman" w:hAnsi="Times New Roman" w:hint="eastAsia"/>
        </w:rPr>
        <w:t>公里处，西距横城</w:t>
      </w:r>
      <w:r>
        <w:rPr>
          <w:rFonts w:ascii="Times New Roman" w:hAnsi="Times New Roman" w:hint="eastAsia"/>
        </w:rPr>
        <w:t>9</w:t>
      </w:r>
      <w:r>
        <w:rPr>
          <w:rFonts w:ascii="Times New Roman" w:hAnsi="Times New Roman" w:hint="eastAsia"/>
        </w:rPr>
        <w:t>公里，东距红山堡</w:t>
      </w:r>
      <w:r>
        <w:rPr>
          <w:rFonts w:ascii="Times New Roman" w:hAnsi="Times New Roman" w:hint="eastAsia"/>
        </w:rPr>
        <w:t>4</w:t>
      </w:r>
      <w:r>
        <w:rPr>
          <w:rFonts w:ascii="Times New Roman" w:hAnsi="Times New Roman" w:hint="eastAsia"/>
        </w:rPr>
        <w:t>公里。</w:t>
      </w:r>
      <w:r>
        <w:rPr>
          <w:rFonts w:ascii="Times New Roman" w:hAnsi="Times New Roman" w:hint="eastAsia"/>
        </w:rPr>
        <w:lastRenderedPageBreak/>
        <w:t>1923</w:t>
      </w:r>
      <w:r>
        <w:rPr>
          <w:rFonts w:ascii="Times New Roman" w:hAnsi="Times New Roman" w:hint="eastAsia"/>
        </w:rPr>
        <w:t>年起开始发掘，因出土的石器具有欧洲旧石器时代莫斯特文化和奥瑞纳石叶石器的特点，对东西方文化比较研究具有十分重要的意义。至</w:t>
      </w:r>
      <w:r>
        <w:rPr>
          <w:rFonts w:ascii="Times New Roman" w:hAnsi="Times New Roman" w:hint="eastAsia"/>
        </w:rPr>
        <w:t>2007</w:t>
      </w:r>
      <w:r>
        <w:rPr>
          <w:rFonts w:ascii="Times New Roman" w:hAnsi="Times New Roman" w:hint="eastAsia"/>
        </w:rPr>
        <w:t>年，相继进行了</w:t>
      </w:r>
      <w:r>
        <w:rPr>
          <w:rFonts w:ascii="Times New Roman" w:hAnsi="Times New Roman" w:hint="eastAsia"/>
        </w:rPr>
        <w:t>5</w:t>
      </w:r>
      <w:r>
        <w:rPr>
          <w:rFonts w:ascii="Times New Roman" w:hAnsi="Times New Roman" w:hint="eastAsia"/>
        </w:rPr>
        <w:t>次系统科学发掘，遗址出土打制石器数万件，有细石器和少量磨制石器，与石器同时发现的还有野马、野驴、羚羊和原始牛动物化石及远古人类留下的用火痕迹，经碳同位素方位测定遗址距今约</w:t>
      </w:r>
      <w:r>
        <w:rPr>
          <w:rFonts w:ascii="Times New Roman" w:hAnsi="Times New Roman" w:hint="eastAsia"/>
        </w:rPr>
        <w:t>3</w:t>
      </w:r>
      <w:r>
        <w:rPr>
          <w:rFonts w:ascii="Times New Roman" w:hAnsi="Times New Roman" w:hint="eastAsia"/>
        </w:rPr>
        <w:t>万年左右。此外，水洞沟遗址的上部地层还发现了丰富的新石器时代遗物和环境变迁的证据。水洞沟遗址是我国最早发掘的三个旧石器时代遗址之一，</w:t>
      </w:r>
      <w:r>
        <w:rPr>
          <w:rFonts w:ascii="Times New Roman" w:hAnsi="Times New Roman" w:hint="eastAsia"/>
        </w:rPr>
        <w:t>1988</w:t>
      </w:r>
      <w:r>
        <w:rPr>
          <w:rFonts w:ascii="Times New Roman" w:hAnsi="Times New Roman" w:hint="eastAsia"/>
        </w:rPr>
        <w:t>年被国务院公布为第三批全国重点文物保护单位。</w:t>
      </w:r>
    </w:p>
    <w:p w14:paraId="588E0FE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水洞沟遗址保护范围及建设控制地带见图</w:t>
      </w:r>
      <w:r>
        <w:rPr>
          <w:rFonts w:ascii="Times New Roman" w:hAnsi="Times New Roman" w:hint="eastAsia"/>
        </w:rPr>
        <w:t>1</w:t>
      </w:r>
      <w:r>
        <w:rPr>
          <w:rFonts w:ascii="Times New Roman" w:hAnsi="Times New Roman"/>
        </w:rPr>
        <w:t>.8</w:t>
      </w:r>
      <w:r>
        <w:rPr>
          <w:rFonts w:ascii="Times New Roman" w:hAnsi="Times New Roman" w:hint="eastAsia"/>
        </w:rPr>
        <w:t>-</w:t>
      </w:r>
      <w:r>
        <w:rPr>
          <w:rFonts w:ascii="Times New Roman" w:hAnsi="Times New Roman"/>
        </w:rPr>
        <w:t>4</w:t>
      </w:r>
      <w:r>
        <w:rPr>
          <w:rFonts w:ascii="Times New Roman" w:hAnsi="Times New Roman" w:hint="eastAsia"/>
        </w:rPr>
        <w:t>，与矿区位置关系见图</w:t>
      </w:r>
      <w:r>
        <w:rPr>
          <w:rFonts w:ascii="Times New Roman" w:hAnsi="Times New Roman" w:hint="eastAsia"/>
        </w:rPr>
        <w:t>1</w:t>
      </w:r>
      <w:r>
        <w:rPr>
          <w:rFonts w:ascii="Times New Roman" w:hAnsi="Times New Roman"/>
        </w:rPr>
        <w:t>.8</w:t>
      </w:r>
      <w:r>
        <w:rPr>
          <w:rFonts w:ascii="Times New Roman" w:hAnsi="Times New Roman" w:hint="eastAsia"/>
        </w:rPr>
        <w:t>-</w:t>
      </w:r>
      <w:r>
        <w:rPr>
          <w:rFonts w:ascii="Times New Roman" w:hAnsi="Times New Roman"/>
        </w:rPr>
        <w:t>1</w:t>
      </w:r>
      <w:r>
        <w:rPr>
          <w:rFonts w:ascii="Times New Roman" w:hAnsi="Times New Roman" w:hint="eastAsia"/>
        </w:rPr>
        <w:t>。</w:t>
      </w:r>
    </w:p>
    <w:p w14:paraId="5D055288" w14:textId="77777777" w:rsidR="009C353B" w:rsidRDefault="00000000">
      <w:pPr>
        <w:adjustRightInd w:val="0"/>
        <w:snapToGrid w:val="0"/>
        <w:spacing w:line="360" w:lineRule="auto"/>
        <w:rPr>
          <w:rFonts w:ascii="Times New Roman" w:hAnsi="Times New Roman"/>
        </w:rPr>
      </w:pPr>
      <w:r>
        <w:rPr>
          <w:noProof/>
        </w:rPr>
        <w:drawing>
          <wp:inline distT="0" distB="0" distL="0" distR="0" wp14:anchorId="04608B1A" wp14:editId="06C521F7">
            <wp:extent cx="5728335" cy="3629025"/>
            <wp:effectExtent l="0" t="0" r="5715"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1" cstate="print">
                      <a:extLst>
                        <a:ext uri="{28A0092B-C50C-407E-A947-70E740481C1C}">
                          <a14:useLocalDpi xmlns:a14="http://schemas.microsoft.com/office/drawing/2010/main" val="0"/>
                        </a:ext>
                      </a:extLst>
                    </a:blip>
                    <a:srcRect l="551" t="10912"/>
                    <a:stretch>
                      <a:fillRect/>
                    </a:stretch>
                  </pic:blipFill>
                  <pic:spPr>
                    <a:xfrm>
                      <a:off x="0" y="0"/>
                      <a:ext cx="5728335" cy="3629025"/>
                    </a:xfrm>
                    <a:prstGeom prst="rect">
                      <a:avLst/>
                    </a:prstGeom>
                    <a:noFill/>
                    <a:ln>
                      <a:noFill/>
                    </a:ln>
                  </pic:spPr>
                </pic:pic>
              </a:graphicData>
            </a:graphic>
          </wp:inline>
        </w:drawing>
      </w:r>
    </w:p>
    <w:p w14:paraId="303C1309" w14:textId="77777777" w:rsidR="009C353B" w:rsidRDefault="00000000">
      <w:pPr>
        <w:pStyle w:val="05"/>
        <w:spacing w:line="240" w:lineRule="auto"/>
      </w:pPr>
      <w:r>
        <w:rPr>
          <w:rFonts w:hint="eastAsia"/>
        </w:rPr>
        <w:t>图</w:t>
      </w:r>
      <w:r>
        <w:rPr>
          <w:rFonts w:hint="eastAsia"/>
        </w:rPr>
        <w:t>1</w:t>
      </w:r>
      <w:r>
        <w:t>.8</w:t>
      </w:r>
      <w:r>
        <w:rPr>
          <w:rFonts w:hint="eastAsia"/>
        </w:rPr>
        <w:t>-</w:t>
      </w:r>
      <w:r>
        <w:t xml:space="preserve">4 </w:t>
      </w:r>
      <w:r>
        <w:rPr>
          <w:rFonts w:hint="eastAsia"/>
        </w:rPr>
        <w:t>水洞沟遗址保护范围及建设控制地带</w:t>
      </w:r>
    </w:p>
    <w:p w14:paraId="0BB2FBC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）红山堡城址</w:t>
      </w:r>
    </w:p>
    <w:p w14:paraId="6C714A3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红山堡位于灵武市区北</w:t>
      </w:r>
      <w:r>
        <w:rPr>
          <w:rFonts w:ascii="Times New Roman" w:hAnsi="Times New Roman" w:hint="eastAsia"/>
        </w:rPr>
        <w:t>35</w:t>
      </w:r>
      <w:r>
        <w:rPr>
          <w:rFonts w:ascii="Times New Roman" w:hAnsi="Times New Roman" w:hint="eastAsia"/>
        </w:rPr>
        <w:t>公里临河镇下桥村，水洞沟遗址东</w:t>
      </w:r>
      <w:r>
        <w:rPr>
          <w:rFonts w:ascii="Times New Roman" w:hAnsi="Times New Roman" w:hint="eastAsia"/>
        </w:rPr>
        <w:t>4</w:t>
      </w:r>
      <w:r>
        <w:rPr>
          <w:rFonts w:ascii="Times New Roman" w:hAnsi="Times New Roman" w:hint="eastAsia"/>
        </w:rPr>
        <w:t>公里处，明长城南侧，西距横城</w:t>
      </w:r>
      <w:r>
        <w:rPr>
          <w:rFonts w:ascii="Times New Roman" w:hAnsi="Times New Roman" w:hint="eastAsia"/>
        </w:rPr>
        <w:t>15</w:t>
      </w:r>
      <w:r>
        <w:rPr>
          <w:rFonts w:ascii="Times New Roman" w:hAnsi="Times New Roman" w:hint="eastAsia"/>
        </w:rPr>
        <w:t>公里，始建于明朝“正德”十六年（</w:t>
      </w:r>
      <w:r>
        <w:rPr>
          <w:rFonts w:ascii="Times New Roman" w:hAnsi="Times New Roman" w:hint="eastAsia"/>
        </w:rPr>
        <w:t>1521</w:t>
      </w:r>
      <w:r>
        <w:rPr>
          <w:rFonts w:ascii="Times New Roman" w:hAnsi="Times New Roman" w:hint="eastAsia"/>
        </w:rPr>
        <w:t>年）。此地因土质呈红颜色而得名，又名横山堡。红山堡是为防御北方蒙古族入侵而修建的屯兵城堡，当时为明长城屯兵之城障，军事要塞。该城址墙体用黄土夯筑，底厚</w:t>
      </w:r>
      <w:r>
        <w:rPr>
          <w:rFonts w:ascii="Times New Roman" w:hAnsi="Times New Roman" w:hint="eastAsia"/>
        </w:rPr>
        <w:t>7</w:t>
      </w:r>
      <w:r>
        <w:rPr>
          <w:rFonts w:ascii="Times New Roman" w:hAnsi="Times New Roman" w:hint="eastAsia"/>
        </w:rPr>
        <w:t>米，顶宽</w:t>
      </w:r>
      <w:r>
        <w:rPr>
          <w:rFonts w:ascii="Times New Roman" w:hAnsi="Times New Roman" w:hint="eastAsia"/>
        </w:rPr>
        <w:t>4</w:t>
      </w:r>
      <w:r>
        <w:rPr>
          <w:rFonts w:ascii="Times New Roman" w:hAnsi="Times New Roman" w:hint="eastAsia"/>
        </w:rPr>
        <w:t>米，最高处</w:t>
      </w:r>
      <w:r>
        <w:rPr>
          <w:rFonts w:ascii="Times New Roman" w:hAnsi="Times New Roman" w:hint="eastAsia"/>
        </w:rPr>
        <w:t>8</w:t>
      </w:r>
      <w:r>
        <w:rPr>
          <w:rFonts w:ascii="Times New Roman" w:hAnsi="Times New Roman" w:hint="eastAsia"/>
        </w:rPr>
        <w:t>米，东西长</w:t>
      </w:r>
      <w:r>
        <w:rPr>
          <w:rFonts w:ascii="Times New Roman" w:hAnsi="Times New Roman" w:hint="eastAsia"/>
        </w:rPr>
        <w:t>310</w:t>
      </w:r>
      <w:r>
        <w:rPr>
          <w:rFonts w:ascii="Times New Roman" w:hAnsi="Times New Roman" w:hint="eastAsia"/>
        </w:rPr>
        <w:t>米、南北宽</w:t>
      </w:r>
      <w:r>
        <w:rPr>
          <w:rFonts w:ascii="Times New Roman" w:hAnsi="Times New Roman" w:hint="eastAsia"/>
        </w:rPr>
        <w:t>280</w:t>
      </w:r>
      <w:r>
        <w:rPr>
          <w:rFonts w:ascii="Times New Roman" w:hAnsi="Times New Roman" w:hint="eastAsia"/>
        </w:rPr>
        <w:t>米，呈长方形，向东开的城门绕以长方形的翁城，翁城长</w:t>
      </w:r>
      <w:r>
        <w:rPr>
          <w:rFonts w:ascii="Times New Roman" w:hAnsi="Times New Roman" w:hint="eastAsia"/>
        </w:rPr>
        <w:t>30</w:t>
      </w:r>
      <w:r>
        <w:rPr>
          <w:rFonts w:ascii="Times New Roman" w:hAnsi="Times New Roman" w:hint="eastAsia"/>
        </w:rPr>
        <w:t>米、宽</w:t>
      </w:r>
      <w:r>
        <w:rPr>
          <w:rFonts w:ascii="Times New Roman" w:hAnsi="Times New Roman" w:hint="eastAsia"/>
        </w:rPr>
        <w:t>20</w:t>
      </w:r>
      <w:r>
        <w:rPr>
          <w:rFonts w:ascii="Times New Roman" w:hAnsi="Times New Roman" w:hint="eastAsia"/>
        </w:rPr>
        <w:t>米，门向南开，两座城门皆为用砖修砌成的劵拱形门洞，现墙基宽</w:t>
      </w:r>
      <w:r>
        <w:rPr>
          <w:rFonts w:ascii="Times New Roman" w:hAnsi="Times New Roman" w:hint="eastAsia"/>
        </w:rPr>
        <w:t>7</w:t>
      </w:r>
      <w:r>
        <w:rPr>
          <w:rFonts w:ascii="Times New Roman" w:hAnsi="Times New Roman" w:hint="eastAsia"/>
        </w:rPr>
        <w:t>米，顶宽</w:t>
      </w:r>
      <w:r>
        <w:rPr>
          <w:rFonts w:ascii="Times New Roman" w:hAnsi="Times New Roman" w:hint="eastAsia"/>
        </w:rPr>
        <w:t>4</w:t>
      </w:r>
      <w:r>
        <w:rPr>
          <w:rFonts w:ascii="Times New Roman" w:hAnsi="Times New Roman" w:hint="eastAsia"/>
        </w:rPr>
        <w:t>米，高</w:t>
      </w:r>
      <w:r>
        <w:rPr>
          <w:rFonts w:ascii="Times New Roman" w:hAnsi="Times New Roman" w:hint="eastAsia"/>
        </w:rPr>
        <w:t>8</w:t>
      </w:r>
      <w:r>
        <w:rPr>
          <w:rFonts w:ascii="Times New Roman" w:hAnsi="Times New Roman" w:hint="eastAsia"/>
        </w:rPr>
        <w:t>米。红山堡城址现整体保存较好，城堡内表面散落大量明朝期的瓷器，城址四面的城墙、角台、马面、城门门洞及翁城城墙垣尚存良好。以该城址四边墙体各向</w:t>
      </w:r>
      <w:r>
        <w:rPr>
          <w:rFonts w:ascii="Times New Roman" w:hAnsi="Times New Roman" w:hint="eastAsia"/>
        </w:rPr>
        <w:lastRenderedPageBreak/>
        <w:t>外</w:t>
      </w:r>
      <w:r>
        <w:rPr>
          <w:rFonts w:ascii="Times New Roman" w:hAnsi="Times New Roman" w:hint="eastAsia"/>
        </w:rPr>
        <w:t>50</w:t>
      </w:r>
      <w:r>
        <w:rPr>
          <w:rFonts w:ascii="Times New Roman" w:hAnsi="Times New Roman" w:hint="eastAsia"/>
        </w:rPr>
        <w:t>米为保护范围，保护范围向外延伸</w:t>
      </w:r>
      <w:r>
        <w:rPr>
          <w:rFonts w:ascii="Times New Roman" w:hAnsi="Times New Roman" w:hint="eastAsia"/>
        </w:rPr>
        <w:t>100</w:t>
      </w:r>
      <w:r>
        <w:rPr>
          <w:rFonts w:ascii="Times New Roman" w:hAnsi="Times New Roman" w:hint="eastAsia"/>
        </w:rPr>
        <w:t>米为建设控制地带。</w:t>
      </w:r>
    </w:p>
    <w:p w14:paraId="5139332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红山堡城址保护范围及建设控制地带见图</w:t>
      </w:r>
      <w:r>
        <w:rPr>
          <w:rFonts w:ascii="Times New Roman" w:hAnsi="Times New Roman" w:hint="eastAsia"/>
        </w:rPr>
        <w:t>1</w:t>
      </w:r>
      <w:r>
        <w:rPr>
          <w:rFonts w:ascii="Times New Roman" w:hAnsi="Times New Roman"/>
        </w:rPr>
        <w:t>.8</w:t>
      </w:r>
      <w:r>
        <w:rPr>
          <w:rFonts w:ascii="Times New Roman" w:hAnsi="Times New Roman" w:hint="eastAsia"/>
        </w:rPr>
        <w:t>-</w:t>
      </w:r>
      <w:r>
        <w:rPr>
          <w:rFonts w:ascii="Times New Roman" w:hAnsi="Times New Roman"/>
        </w:rPr>
        <w:t>4</w:t>
      </w:r>
      <w:r>
        <w:rPr>
          <w:rFonts w:ascii="Times New Roman" w:hAnsi="Times New Roman" w:hint="eastAsia"/>
        </w:rPr>
        <w:t>。</w:t>
      </w:r>
    </w:p>
    <w:p w14:paraId="1A6BBC0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rPr>
        <w:t>3</w:t>
      </w:r>
      <w:r>
        <w:rPr>
          <w:rFonts w:ascii="Times New Roman" w:hAnsi="Times New Roman" w:hint="eastAsia"/>
        </w:rPr>
        <w:t>）明长城</w:t>
      </w:r>
    </w:p>
    <w:p w14:paraId="32192B1D"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明长城灵武段，又称河东墙，分“头道边”、“二道边”。头道边又称“深沟高垒”。头道边自盐池县高沙窝乡潘记梁村西进入灵武境内，经宁东镇清水营村、马跑泉村，临河镇张家窑村、上桥村，穿过水洞沟遗址，进入银川市兴庆区掌政乡横城村。二道边自高沙窝乡潘记梁村西进入灵武境内，至宁东镇清水营村一队北</w:t>
      </w:r>
      <w:r>
        <w:rPr>
          <w:rFonts w:ascii="Times New Roman" w:hAnsi="Times New Roman" w:hint="eastAsia"/>
        </w:rPr>
        <w:t>1</w:t>
      </w:r>
      <w:r>
        <w:rPr>
          <w:rFonts w:ascii="Times New Roman" w:hAnsi="Times New Roman" w:hint="eastAsia"/>
        </w:rPr>
        <w:t>千米头道边和二道边交汇点。长城经过两个乡镇，四个行政村，全长</w:t>
      </w:r>
      <w:r>
        <w:rPr>
          <w:rFonts w:ascii="Times New Roman" w:hAnsi="Times New Roman" w:hint="eastAsia"/>
        </w:rPr>
        <w:t>27185</w:t>
      </w:r>
      <w:r>
        <w:rPr>
          <w:rFonts w:ascii="Times New Roman" w:hAnsi="Times New Roman" w:hint="eastAsia"/>
        </w:rPr>
        <w:t>千米，墙体沿线敌台</w:t>
      </w:r>
      <w:r>
        <w:rPr>
          <w:rFonts w:ascii="Times New Roman" w:hAnsi="Times New Roman" w:hint="eastAsia"/>
        </w:rPr>
        <w:t>120</w:t>
      </w:r>
      <w:r>
        <w:rPr>
          <w:rFonts w:ascii="Times New Roman" w:hAnsi="Times New Roman" w:hint="eastAsia"/>
        </w:rPr>
        <w:t>座，铺舍</w:t>
      </w:r>
      <w:r>
        <w:rPr>
          <w:rFonts w:ascii="Times New Roman" w:hAnsi="Times New Roman" w:hint="eastAsia"/>
        </w:rPr>
        <w:t>5</w:t>
      </w:r>
      <w:r>
        <w:rPr>
          <w:rFonts w:ascii="Times New Roman" w:hAnsi="Times New Roman" w:hint="eastAsia"/>
        </w:rPr>
        <w:t>座，品字窖</w:t>
      </w:r>
      <w:r>
        <w:rPr>
          <w:rFonts w:ascii="Times New Roman" w:hAnsi="Times New Roman" w:hint="eastAsia"/>
        </w:rPr>
        <w:t>1</w:t>
      </w:r>
      <w:r>
        <w:rPr>
          <w:rFonts w:ascii="Times New Roman" w:hAnsi="Times New Roman" w:hint="eastAsia"/>
        </w:rPr>
        <w:t>处。墙体大多被风沙掩埋约四分之三，残高</w:t>
      </w:r>
      <w:r>
        <w:rPr>
          <w:rFonts w:ascii="Times New Roman" w:hAnsi="Times New Roman" w:hint="eastAsia"/>
        </w:rPr>
        <w:t>4-7</w:t>
      </w:r>
      <w:r>
        <w:rPr>
          <w:rFonts w:ascii="Times New Roman" w:hAnsi="Times New Roman" w:hint="eastAsia"/>
        </w:rPr>
        <w:t>米，墙体顶部残宽</w:t>
      </w:r>
      <w:r>
        <w:rPr>
          <w:rFonts w:ascii="Times New Roman" w:hAnsi="Times New Roman" w:hint="eastAsia"/>
        </w:rPr>
        <w:t>0.4-3.5</w:t>
      </w:r>
      <w:r>
        <w:rPr>
          <w:rFonts w:ascii="Times New Roman" w:hAnsi="Times New Roman" w:hint="eastAsia"/>
        </w:rPr>
        <w:t>米。部分地段的墙体尚存垛墙和女墙遗迹。垛墙基宽</w:t>
      </w:r>
      <w:r>
        <w:rPr>
          <w:rFonts w:ascii="Times New Roman" w:hAnsi="Times New Roman" w:hint="eastAsia"/>
        </w:rPr>
        <w:t>1.1</w:t>
      </w:r>
      <w:r>
        <w:rPr>
          <w:rFonts w:ascii="Times New Roman" w:hAnsi="Times New Roman" w:hint="eastAsia"/>
        </w:rPr>
        <w:t>米，残高</w:t>
      </w:r>
      <w:r>
        <w:rPr>
          <w:rFonts w:ascii="Times New Roman" w:hAnsi="Times New Roman" w:hint="eastAsia"/>
        </w:rPr>
        <w:t>0.8</w:t>
      </w:r>
      <w:r>
        <w:rPr>
          <w:rFonts w:ascii="Times New Roman" w:hAnsi="Times New Roman" w:hint="eastAsia"/>
        </w:rPr>
        <w:t>米，女墙残宽</w:t>
      </w:r>
      <w:r>
        <w:rPr>
          <w:rFonts w:ascii="Times New Roman" w:hAnsi="Times New Roman" w:hint="eastAsia"/>
        </w:rPr>
        <w:t>0.5</w:t>
      </w:r>
      <w:r>
        <w:rPr>
          <w:rFonts w:ascii="Times New Roman" w:hAnsi="Times New Roman" w:hint="eastAsia"/>
        </w:rPr>
        <w:t>米，残高</w:t>
      </w:r>
      <w:r>
        <w:rPr>
          <w:rFonts w:ascii="Times New Roman" w:hAnsi="Times New Roman" w:hint="eastAsia"/>
        </w:rPr>
        <w:t>0.4</w:t>
      </w:r>
      <w:r>
        <w:rPr>
          <w:rFonts w:ascii="Times New Roman" w:hAnsi="Times New Roman" w:hint="eastAsia"/>
        </w:rPr>
        <w:t>米，墙体顶部夹道宽</w:t>
      </w:r>
      <w:r>
        <w:rPr>
          <w:rFonts w:ascii="Times New Roman" w:hAnsi="Times New Roman" w:hint="eastAsia"/>
        </w:rPr>
        <w:t>3.5</w:t>
      </w:r>
      <w:r>
        <w:rPr>
          <w:rFonts w:ascii="Times New Roman" w:hAnsi="Times New Roman" w:hint="eastAsia"/>
        </w:rPr>
        <w:t>米，夯层</w:t>
      </w:r>
      <w:r>
        <w:rPr>
          <w:rFonts w:ascii="Times New Roman" w:hAnsi="Times New Roman" w:hint="eastAsia"/>
        </w:rPr>
        <w:t>0.13-0.15</w:t>
      </w:r>
      <w:r>
        <w:rPr>
          <w:rFonts w:ascii="Times New Roman" w:hAnsi="Times New Roman" w:hint="eastAsia"/>
        </w:rPr>
        <w:t>米。根据宁夏回族自治区人民政府《自治区人民政府关于自治区第七批全国重点文物保护单位保护范围的通知》（宁政发〔</w:t>
      </w:r>
      <w:r>
        <w:rPr>
          <w:rFonts w:ascii="Times New Roman" w:hAnsi="Times New Roman"/>
        </w:rPr>
        <w:t>2014</w:t>
      </w:r>
      <w:r>
        <w:rPr>
          <w:rFonts w:ascii="Times New Roman" w:hAnsi="Times New Roman"/>
        </w:rPr>
        <w:t>〕</w:t>
      </w:r>
      <w:r>
        <w:rPr>
          <w:rFonts w:ascii="Times New Roman" w:hAnsi="Times New Roman"/>
        </w:rPr>
        <w:t>82</w:t>
      </w:r>
      <w:r>
        <w:rPr>
          <w:rFonts w:ascii="Times New Roman" w:hAnsi="Times New Roman" w:hint="eastAsia"/>
        </w:rPr>
        <w:t>号文），明长城保护范围：长城墙体两侧各扩</w:t>
      </w:r>
      <w:r>
        <w:rPr>
          <w:rFonts w:ascii="Times New Roman" w:hAnsi="Times New Roman" w:hint="eastAsia"/>
        </w:rPr>
        <w:t>5</w:t>
      </w:r>
      <w:r>
        <w:rPr>
          <w:rFonts w:ascii="Times New Roman" w:hAnsi="Times New Roman"/>
        </w:rPr>
        <w:t>0</w:t>
      </w:r>
      <w:r>
        <w:rPr>
          <w:rFonts w:ascii="Times New Roman" w:hAnsi="Times New Roman" w:hint="eastAsia"/>
        </w:rPr>
        <w:t>米为界，烽火台四周各扩</w:t>
      </w:r>
      <w:r>
        <w:rPr>
          <w:rFonts w:ascii="Times New Roman" w:hAnsi="Times New Roman" w:hint="eastAsia"/>
        </w:rPr>
        <w:t>5</w:t>
      </w:r>
      <w:r>
        <w:rPr>
          <w:rFonts w:ascii="Times New Roman" w:hAnsi="Times New Roman"/>
        </w:rPr>
        <w:t>0</w:t>
      </w:r>
      <w:r>
        <w:rPr>
          <w:rFonts w:ascii="Times New Roman" w:hAnsi="Times New Roman" w:hint="eastAsia"/>
        </w:rPr>
        <w:t>米为界。城址墙体四周外扩</w:t>
      </w:r>
      <w:r>
        <w:rPr>
          <w:rFonts w:ascii="Times New Roman" w:hAnsi="Times New Roman" w:hint="eastAsia"/>
        </w:rPr>
        <w:t>5</w:t>
      </w:r>
      <w:r>
        <w:rPr>
          <w:rFonts w:ascii="Times New Roman" w:hAnsi="Times New Roman"/>
        </w:rPr>
        <w:t>0</w:t>
      </w:r>
      <w:r>
        <w:rPr>
          <w:rFonts w:ascii="Times New Roman" w:hAnsi="Times New Roman" w:hint="eastAsia"/>
        </w:rPr>
        <w:t>米为界。明长城分布见矿区环境保护目标图</w:t>
      </w:r>
      <w:r>
        <w:rPr>
          <w:rFonts w:ascii="Times New Roman" w:hAnsi="Times New Roman" w:hint="eastAsia"/>
        </w:rPr>
        <w:t>1</w:t>
      </w:r>
      <w:r>
        <w:rPr>
          <w:rFonts w:ascii="Times New Roman" w:hAnsi="Times New Roman"/>
        </w:rPr>
        <w:t>.8</w:t>
      </w:r>
      <w:r>
        <w:rPr>
          <w:rFonts w:ascii="Times New Roman" w:hAnsi="Times New Roman" w:hint="eastAsia"/>
        </w:rPr>
        <w:t>-</w:t>
      </w:r>
      <w:r>
        <w:rPr>
          <w:rFonts w:ascii="Times New Roman" w:hAnsi="Times New Roman"/>
        </w:rPr>
        <w:t>2</w:t>
      </w:r>
      <w:r>
        <w:rPr>
          <w:rFonts w:ascii="Times New Roman" w:hAnsi="Times New Roman" w:hint="eastAsia"/>
        </w:rPr>
        <w:t>。</w:t>
      </w:r>
    </w:p>
    <w:p w14:paraId="0A97D7D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根据灵武市文化旅游广电局复函：文物遗址划定的保护范围及建设控制地带，分别为文物遗址区四周外延</w:t>
      </w:r>
      <w:r>
        <w:rPr>
          <w:rFonts w:ascii="Times New Roman" w:hAnsi="Times New Roman" w:hint="eastAsia"/>
        </w:rPr>
        <w:t>1</w:t>
      </w:r>
      <w:r>
        <w:rPr>
          <w:rFonts w:ascii="Times New Roman" w:hAnsi="Times New Roman"/>
        </w:rPr>
        <w:t>00</w:t>
      </w:r>
      <w:r>
        <w:rPr>
          <w:rFonts w:ascii="Times New Roman" w:hAnsi="Times New Roman" w:hint="eastAsia"/>
        </w:rPr>
        <w:t>米。要求横城矿区总体规划用地面积范围，避让重点文物保护范围及建设控制地带。</w:t>
      </w:r>
    </w:p>
    <w:p w14:paraId="7E3F566C" w14:textId="77777777" w:rsidR="009C353B" w:rsidRDefault="00000000">
      <w:pPr>
        <w:pStyle w:val="2"/>
        <w:snapToGrid w:val="0"/>
        <w:spacing w:line="440" w:lineRule="exact"/>
        <w:rPr>
          <w:rFonts w:ascii="Times New Roman" w:eastAsia="宋体" w:hAnsi="Times New Roman"/>
          <w:b/>
          <w:sz w:val="28"/>
        </w:rPr>
      </w:pPr>
      <w:bookmarkStart w:id="22" w:name="_Toc59189820"/>
      <w:r>
        <w:rPr>
          <w:rFonts w:ascii="Times New Roman" w:eastAsia="宋体" w:hAnsi="Times New Roman"/>
          <w:b/>
          <w:sz w:val="28"/>
        </w:rPr>
        <w:t xml:space="preserve">1.9 </w:t>
      </w:r>
      <w:r>
        <w:rPr>
          <w:rFonts w:ascii="Times New Roman" w:eastAsia="宋体" w:hAnsi="Times New Roman"/>
          <w:b/>
          <w:sz w:val="28"/>
        </w:rPr>
        <w:t>评价工作重点</w:t>
      </w:r>
      <w:bookmarkEnd w:id="20"/>
      <w:bookmarkEnd w:id="22"/>
    </w:p>
    <w:p w14:paraId="5EE363D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结合本规划内容和区域环境特征，确定本评价重点如下：</w:t>
      </w:r>
    </w:p>
    <w:p w14:paraId="547A43FD" w14:textId="77777777" w:rsidR="009C353B" w:rsidRDefault="00000000">
      <w:pPr>
        <w:pStyle w:val="1fd"/>
        <w:adjustRightInd w:val="0"/>
        <w:snapToGrid w:val="0"/>
        <w:spacing w:line="440" w:lineRule="exact"/>
        <w:rPr>
          <w:rFonts w:ascii="Times New Roman" w:eastAsia="宋体" w:hAnsi="Times New Roman"/>
        </w:rPr>
      </w:pPr>
      <w:r>
        <w:rPr>
          <w:rFonts w:ascii="Times New Roman" w:eastAsia="宋体"/>
        </w:rPr>
        <w:t>（</w:t>
      </w:r>
      <w:r>
        <w:rPr>
          <w:rFonts w:ascii="Times New Roman" w:eastAsia="宋体" w:hAnsi="Times New Roman"/>
        </w:rPr>
        <w:t>1</w:t>
      </w:r>
      <w:r>
        <w:rPr>
          <w:rFonts w:ascii="Times New Roman" w:eastAsia="宋体"/>
        </w:rPr>
        <w:t>）由于</w:t>
      </w:r>
      <w:r>
        <w:rPr>
          <w:rFonts w:ascii="Times New Roman" w:eastAsia="宋体" w:hint="eastAsia"/>
        </w:rPr>
        <w:t>横城</w:t>
      </w:r>
      <w:r>
        <w:rPr>
          <w:rFonts w:ascii="Times New Roman" w:eastAsia="宋体"/>
        </w:rPr>
        <w:t>矿区开发历史较长，开发过程中</w:t>
      </w:r>
      <w:r>
        <w:rPr>
          <w:rFonts w:ascii="Times New Roman" w:eastAsia="宋体" w:hint="eastAsia"/>
        </w:rPr>
        <w:t>产生</w:t>
      </w:r>
      <w:r>
        <w:rPr>
          <w:rFonts w:ascii="Times New Roman" w:eastAsia="宋体"/>
        </w:rPr>
        <w:t>的生态环境问题</w:t>
      </w:r>
      <w:r>
        <w:rPr>
          <w:rFonts w:ascii="Times New Roman" w:eastAsia="宋体" w:hint="eastAsia"/>
        </w:rPr>
        <w:t>已</w:t>
      </w:r>
      <w:r>
        <w:rPr>
          <w:rFonts w:ascii="Times New Roman" w:eastAsia="宋体"/>
        </w:rPr>
        <w:t>陆续显示出来，比如采煤沉陷等，因此，</w:t>
      </w:r>
      <w:r>
        <w:rPr>
          <w:rFonts w:ascii="Times New Roman" w:eastAsia="宋体" w:hint="eastAsia"/>
        </w:rPr>
        <w:t>评价</w:t>
      </w:r>
      <w:r>
        <w:rPr>
          <w:rFonts w:ascii="Times New Roman" w:eastAsia="宋体"/>
        </w:rPr>
        <w:t>将矿区开发环境影响的历史回顾性评价作为重点，分析矿区开发现状以及现存生态和环境问题，提出</w:t>
      </w:r>
      <w:r>
        <w:rPr>
          <w:rFonts w:ascii="Times New Roman" w:eastAsia="宋体" w:hint="eastAsia"/>
        </w:rPr>
        <w:t>相应</w:t>
      </w:r>
      <w:r>
        <w:rPr>
          <w:rFonts w:ascii="Times New Roman" w:eastAsia="宋体"/>
        </w:rPr>
        <w:t>的环境保护措施和方案</w:t>
      </w:r>
      <w:r>
        <w:rPr>
          <w:rFonts w:ascii="Times New Roman" w:eastAsia="宋体" w:hint="eastAsia"/>
        </w:rPr>
        <w:t>，</w:t>
      </w:r>
      <w:r>
        <w:rPr>
          <w:rFonts w:ascii="Times New Roman" w:eastAsia="宋体"/>
        </w:rPr>
        <w:t>并作为矿区后续开发</w:t>
      </w:r>
      <w:r>
        <w:rPr>
          <w:rFonts w:ascii="Times New Roman" w:eastAsia="宋体" w:hint="eastAsia"/>
        </w:rPr>
        <w:t>的</w:t>
      </w:r>
      <w:r>
        <w:rPr>
          <w:rFonts w:ascii="Times New Roman" w:eastAsia="宋体"/>
        </w:rPr>
        <w:t>借鉴。</w:t>
      </w:r>
    </w:p>
    <w:p w14:paraId="718F17A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rPr>
        <w:t>（</w:t>
      </w:r>
      <w:r>
        <w:rPr>
          <w:rFonts w:ascii="Times New Roman" w:hAnsi="Times New Roman"/>
        </w:rPr>
        <w:t>2</w:t>
      </w:r>
      <w:r>
        <w:rPr>
          <w:rFonts w:ascii="Times New Roman"/>
        </w:rPr>
        <w:t>）</w:t>
      </w:r>
      <w:r>
        <w:rPr>
          <w:rFonts w:ascii="Times New Roman"/>
          <w:szCs w:val="24"/>
        </w:rPr>
        <w:t>矿区在</w:t>
      </w:r>
      <w:r>
        <w:rPr>
          <w:rFonts w:ascii="Times New Roman" w:hAnsi="Times New Roman"/>
          <w:szCs w:val="24"/>
        </w:rPr>
        <w:t>2022</w:t>
      </w:r>
      <w:r>
        <w:rPr>
          <w:rFonts w:ascii="Times New Roman"/>
          <w:szCs w:val="24"/>
        </w:rPr>
        <w:t>年达到规划生产规模</w:t>
      </w:r>
      <w:r>
        <w:rPr>
          <w:rFonts w:ascii="Times New Roman" w:hAnsi="Times New Roman"/>
          <w:szCs w:val="24"/>
        </w:rPr>
        <w:t>9.20Mt/a</w:t>
      </w:r>
      <w:r>
        <w:rPr>
          <w:rFonts w:ascii="Times New Roman"/>
          <w:szCs w:val="24"/>
        </w:rPr>
        <w:t>，因此本次规划环评的环境影响预测与评价以及环境影响减缓措施</w:t>
      </w:r>
      <w:r>
        <w:rPr>
          <w:rFonts w:ascii="Times New Roman" w:hint="eastAsia"/>
          <w:szCs w:val="24"/>
        </w:rPr>
        <w:t>重点</w:t>
      </w:r>
      <w:r>
        <w:rPr>
          <w:rFonts w:ascii="Times New Roman"/>
          <w:szCs w:val="24"/>
        </w:rPr>
        <w:t>针对现有</w:t>
      </w:r>
      <w:r>
        <w:rPr>
          <w:rFonts w:ascii="Times New Roman" w:hint="eastAsia"/>
          <w:szCs w:val="24"/>
        </w:rPr>
        <w:t>马莲台</w:t>
      </w:r>
      <w:r>
        <w:rPr>
          <w:rFonts w:ascii="Times New Roman"/>
          <w:szCs w:val="24"/>
        </w:rPr>
        <w:t>矿井、</w:t>
      </w:r>
      <w:r>
        <w:rPr>
          <w:rFonts w:ascii="Times New Roman" w:hint="eastAsia"/>
          <w:szCs w:val="24"/>
        </w:rPr>
        <w:t>任家庄矿井、红石湾矿井</w:t>
      </w:r>
      <w:r>
        <w:rPr>
          <w:rFonts w:ascii="Times New Roman"/>
          <w:szCs w:val="24"/>
        </w:rPr>
        <w:t>以及</w:t>
      </w:r>
      <w:r>
        <w:rPr>
          <w:rFonts w:ascii="Times New Roman" w:hint="eastAsia"/>
          <w:szCs w:val="24"/>
        </w:rPr>
        <w:t>近期</w:t>
      </w:r>
      <w:r>
        <w:rPr>
          <w:rFonts w:ascii="Times New Roman"/>
          <w:szCs w:val="24"/>
        </w:rPr>
        <w:t>规划建设的</w:t>
      </w:r>
      <w:r>
        <w:rPr>
          <w:rFonts w:ascii="Times New Roman" w:hint="eastAsia"/>
          <w:szCs w:val="24"/>
        </w:rPr>
        <w:t>丁家梁矿井</w:t>
      </w:r>
      <w:r>
        <w:rPr>
          <w:rFonts w:ascii="Times New Roman"/>
          <w:szCs w:val="24"/>
        </w:rPr>
        <w:t>，对矿区</w:t>
      </w:r>
      <w:r>
        <w:rPr>
          <w:rFonts w:ascii="Times New Roman" w:hint="eastAsia"/>
          <w:szCs w:val="24"/>
        </w:rPr>
        <w:t>后备</w:t>
      </w:r>
      <w:r>
        <w:rPr>
          <w:rFonts w:ascii="Times New Roman"/>
          <w:szCs w:val="24"/>
        </w:rPr>
        <w:t>区</w:t>
      </w:r>
      <w:r>
        <w:rPr>
          <w:rFonts w:ascii="Times New Roman" w:hint="eastAsia"/>
          <w:szCs w:val="24"/>
        </w:rPr>
        <w:t>进行</w:t>
      </w:r>
      <w:r>
        <w:rPr>
          <w:rFonts w:ascii="Times New Roman"/>
          <w:szCs w:val="24"/>
        </w:rPr>
        <w:t>简要分析。</w:t>
      </w:r>
    </w:p>
    <w:p w14:paraId="198C2EBA" w14:textId="77777777" w:rsidR="009C353B" w:rsidRDefault="00000000">
      <w:pPr>
        <w:adjustRightInd w:val="0"/>
        <w:snapToGrid w:val="0"/>
        <w:spacing w:line="440" w:lineRule="exact"/>
        <w:ind w:firstLine="480"/>
        <w:rPr>
          <w:rFonts w:ascii="Times New Roman" w:hAnsi="Times New Roman"/>
        </w:rPr>
      </w:pPr>
      <w:r>
        <w:rPr>
          <w:rFonts w:ascii="Times New Roman"/>
        </w:rPr>
        <w:t>（</w:t>
      </w:r>
      <w:r>
        <w:rPr>
          <w:rFonts w:ascii="Times New Roman" w:hAnsi="Times New Roman"/>
        </w:rPr>
        <w:t>3</w:t>
      </w:r>
      <w:r>
        <w:rPr>
          <w:rFonts w:ascii="Times New Roman"/>
        </w:rPr>
        <w:t>）矿区现有生产及将来规划新建煤矿开发所带来的环境问题，是矿区开发环境合理性分析重要评价依据，因此，对于矿区</w:t>
      </w:r>
      <w:r>
        <w:rPr>
          <w:rFonts w:ascii="Times New Roman" w:hint="eastAsia"/>
        </w:rPr>
        <w:t>开发生态</w:t>
      </w:r>
      <w:r>
        <w:rPr>
          <w:rFonts w:ascii="Times New Roman"/>
        </w:rPr>
        <w:t>影响</w:t>
      </w:r>
      <w:r>
        <w:rPr>
          <w:rFonts w:ascii="Times New Roman" w:hint="eastAsia"/>
        </w:rPr>
        <w:t>及</w:t>
      </w:r>
      <w:r>
        <w:rPr>
          <w:rFonts w:ascii="Times New Roman"/>
        </w:rPr>
        <w:t>生态恢复回顾性评价是</w:t>
      </w:r>
      <w:r>
        <w:rPr>
          <w:rFonts w:ascii="Times New Roman" w:hint="eastAsia"/>
        </w:rPr>
        <w:t>本次评价</w:t>
      </w:r>
      <w:r>
        <w:rPr>
          <w:rFonts w:ascii="Times New Roman"/>
        </w:rPr>
        <w:t>的</w:t>
      </w:r>
      <w:r>
        <w:rPr>
          <w:rFonts w:ascii="Times New Roman" w:hint="eastAsia"/>
        </w:rPr>
        <w:t>重点之一</w:t>
      </w:r>
      <w:r>
        <w:rPr>
          <w:rFonts w:ascii="Times New Roman"/>
        </w:rPr>
        <w:t>，规划方案实施所带来的生态及环境影响分析也是本次评价重点。矿区以煤炭开发为</w:t>
      </w:r>
      <w:r>
        <w:rPr>
          <w:rFonts w:ascii="Times New Roman" w:hint="eastAsia"/>
        </w:rPr>
        <w:t>主</w:t>
      </w:r>
      <w:r>
        <w:rPr>
          <w:rFonts w:ascii="Times New Roman"/>
        </w:rPr>
        <w:t>，</w:t>
      </w:r>
      <w:r>
        <w:rPr>
          <w:rFonts w:ascii="Times New Roman" w:hint="eastAsia"/>
        </w:rPr>
        <w:t>用户为附近的宁东煤化工园区，用户专一明确且距离近，</w:t>
      </w:r>
      <w:r>
        <w:rPr>
          <w:rFonts w:ascii="Times New Roman"/>
        </w:rPr>
        <w:t>本报告将重</w:t>
      </w:r>
      <w:r>
        <w:rPr>
          <w:rFonts w:ascii="Times New Roman"/>
        </w:rPr>
        <w:lastRenderedPageBreak/>
        <w:t>点分析和评价煤矿开发，以及配套的选煤厂</w:t>
      </w:r>
      <w:r>
        <w:rPr>
          <w:rFonts w:ascii="Times New Roman" w:hint="eastAsia"/>
        </w:rPr>
        <w:t>建设的</w:t>
      </w:r>
      <w:r>
        <w:rPr>
          <w:rFonts w:ascii="Times New Roman"/>
        </w:rPr>
        <w:t>环境影响、资源及环境承载</w:t>
      </w:r>
      <w:r>
        <w:rPr>
          <w:rFonts w:ascii="Times New Roman" w:hint="eastAsia"/>
        </w:rPr>
        <w:t>力</w:t>
      </w:r>
      <w:r>
        <w:rPr>
          <w:rFonts w:ascii="Times New Roman"/>
        </w:rPr>
        <w:t>，并提出合理的环境保护对策</w:t>
      </w:r>
    </w:p>
    <w:p w14:paraId="31E9582F"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4</w:t>
      </w:r>
      <w:r>
        <w:rPr>
          <w:rFonts w:ascii="Times New Roman"/>
        </w:rPr>
        <w:t>）</w:t>
      </w:r>
      <w:r>
        <w:rPr>
          <w:rFonts w:ascii="Times New Roman" w:hint="eastAsia"/>
        </w:rPr>
        <w:t>横城</w:t>
      </w:r>
      <w:r>
        <w:rPr>
          <w:rFonts w:ascii="Times New Roman"/>
        </w:rPr>
        <w:t>矿区周边分布有</w:t>
      </w:r>
      <w:r>
        <w:rPr>
          <w:rFonts w:ascii="Times New Roman" w:hint="eastAsia"/>
        </w:rPr>
        <w:t>白芨滩</w:t>
      </w:r>
      <w:r>
        <w:rPr>
          <w:rFonts w:ascii="Times New Roman"/>
        </w:rPr>
        <w:t>国家级自然保护区、</w:t>
      </w:r>
      <w:r>
        <w:rPr>
          <w:rFonts w:ascii="Times New Roman" w:hint="eastAsia"/>
        </w:rPr>
        <w:t>鸭子荡水库，水洞沟、大河子沟等</w:t>
      </w:r>
      <w:r>
        <w:rPr>
          <w:rFonts w:ascii="Times New Roman"/>
        </w:rPr>
        <w:t>地表</w:t>
      </w:r>
      <w:r>
        <w:rPr>
          <w:rFonts w:ascii="Times New Roman" w:hint="eastAsia"/>
        </w:rPr>
        <w:t>水体</w:t>
      </w:r>
      <w:r>
        <w:rPr>
          <w:rFonts w:ascii="Times New Roman"/>
          <w:snapToGrid w:val="0"/>
        </w:rPr>
        <w:t>、矿区内铁路、公路、</w:t>
      </w:r>
      <w:r>
        <w:rPr>
          <w:rFonts w:ascii="Times New Roman" w:hint="eastAsia"/>
          <w:snapToGrid w:val="0"/>
        </w:rPr>
        <w:t>输水、输气、输电线路等，以及</w:t>
      </w:r>
      <w:r>
        <w:rPr>
          <w:rFonts w:ascii="Times New Roman"/>
          <w:snapToGrid w:val="0"/>
        </w:rPr>
        <w:t>区域内的</w:t>
      </w:r>
      <w:r>
        <w:rPr>
          <w:rFonts w:ascii="Times New Roman" w:hint="eastAsia"/>
          <w:snapToGrid w:val="0"/>
        </w:rPr>
        <w:t>宁东镇</w:t>
      </w:r>
      <w:r>
        <w:rPr>
          <w:rFonts w:ascii="Times New Roman"/>
        </w:rPr>
        <w:t>等重要环境保护目标，是矿区开发的制约因子，本环评从矿区整体开发的角度，分析矿区规划实施对这些重要环境保护目标的影响，并提出相应的环境保护措施以及要求。</w:t>
      </w:r>
    </w:p>
    <w:p w14:paraId="5FE8C8E8"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5</w:t>
      </w:r>
      <w:r>
        <w:rPr>
          <w:rFonts w:ascii="Times New Roman"/>
        </w:rPr>
        <w:t>）</w:t>
      </w:r>
      <w:r>
        <w:rPr>
          <w:rFonts w:ascii="Times New Roman" w:hint="eastAsia"/>
        </w:rPr>
        <w:t>评价</w:t>
      </w:r>
      <w:r>
        <w:rPr>
          <w:rFonts w:ascii="Times New Roman"/>
        </w:rPr>
        <w:t>将重点对规划方案产业结构及布局</w:t>
      </w:r>
      <w:r>
        <w:rPr>
          <w:rFonts w:ascii="Times New Roman" w:hint="eastAsia"/>
        </w:rPr>
        <w:t>、</w:t>
      </w:r>
      <w:r>
        <w:rPr>
          <w:rFonts w:ascii="Times New Roman"/>
        </w:rPr>
        <w:t>开发规模、开发</w:t>
      </w:r>
      <w:r>
        <w:rPr>
          <w:rFonts w:ascii="Times New Roman" w:hint="eastAsia"/>
        </w:rPr>
        <w:t>时序等</w:t>
      </w:r>
      <w:r>
        <w:rPr>
          <w:rFonts w:ascii="Times New Roman"/>
        </w:rPr>
        <w:t>进行环境可行性综合论证，通过规划合理性分析和环境资源承载能力的分析，对矿区总体规划提出的</w:t>
      </w:r>
      <w:r>
        <w:rPr>
          <w:rFonts w:ascii="Times New Roman" w:hint="eastAsia"/>
        </w:rPr>
        <w:t>产业</w:t>
      </w:r>
      <w:r>
        <w:rPr>
          <w:rFonts w:ascii="Times New Roman"/>
        </w:rPr>
        <w:t>结构、</w:t>
      </w:r>
      <w:r>
        <w:rPr>
          <w:rFonts w:ascii="Times New Roman" w:hint="eastAsia"/>
        </w:rPr>
        <w:t>开发</w:t>
      </w:r>
      <w:r>
        <w:rPr>
          <w:rFonts w:ascii="Times New Roman"/>
        </w:rPr>
        <w:t>规模、</w:t>
      </w:r>
      <w:r>
        <w:rPr>
          <w:rFonts w:ascii="Times New Roman" w:hint="eastAsia"/>
        </w:rPr>
        <w:t>开发</w:t>
      </w:r>
      <w:r>
        <w:rPr>
          <w:rFonts w:ascii="Times New Roman"/>
        </w:rPr>
        <w:t>时序</w:t>
      </w:r>
      <w:r>
        <w:rPr>
          <w:rFonts w:ascii="Times New Roman" w:hint="eastAsia"/>
        </w:rPr>
        <w:t>等</w:t>
      </w:r>
      <w:r>
        <w:rPr>
          <w:rFonts w:ascii="Times New Roman"/>
        </w:rPr>
        <w:t>提出合理的建议；对资源综合利用及减缓矿区开发对各类环境要素的影响提出具体的要求和建议。</w:t>
      </w:r>
    </w:p>
    <w:p w14:paraId="00705137" w14:textId="77777777" w:rsidR="009C353B" w:rsidRDefault="00000000">
      <w:pPr>
        <w:pStyle w:val="2"/>
        <w:snapToGrid w:val="0"/>
        <w:spacing w:line="440" w:lineRule="exact"/>
        <w:rPr>
          <w:rFonts w:ascii="Times New Roman" w:eastAsia="宋体" w:hAnsi="Times New Roman"/>
          <w:b/>
          <w:sz w:val="28"/>
        </w:rPr>
      </w:pPr>
      <w:bookmarkStart w:id="23" w:name="_Toc59189821"/>
      <w:bookmarkStart w:id="24" w:name="_Toc173641302"/>
      <w:bookmarkStart w:id="25" w:name="_Toc173988814"/>
      <w:bookmarkStart w:id="26" w:name="_Toc163440980"/>
      <w:r>
        <w:rPr>
          <w:rFonts w:ascii="Times New Roman" w:eastAsia="宋体" w:hAnsi="Times New Roman"/>
          <w:b/>
          <w:sz w:val="28"/>
        </w:rPr>
        <w:t xml:space="preserve">1.10 </w:t>
      </w:r>
      <w:r>
        <w:rPr>
          <w:rFonts w:ascii="Times New Roman" w:eastAsia="宋体" w:hAnsi="Times New Roman"/>
          <w:b/>
          <w:sz w:val="28"/>
        </w:rPr>
        <w:t>评价方法</w:t>
      </w:r>
      <w:bookmarkEnd w:id="23"/>
      <w:bookmarkEnd w:id="24"/>
      <w:bookmarkEnd w:id="25"/>
    </w:p>
    <w:p w14:paraId="6FE851CA" w14:textId="77777777" w:rsidR="009C353B" w:rsidRDefault="00000000">
      <w:pPr>
        <w:adjustRightInd w:val="0"/>
        <w:snapToGrid w:val="0"/>
        <w:spacing w:line="440" w:lineRule="exact"/>
        <w:ind w:firstLine="482"/>
        <w:rPr>
          <w:rFonts w:ascii="Times New Roman" w:hint="eastAsia"/>
        </w:rPr>
      </w:pPr>
      <w:r>
        <w:rPr>
          <w:rFonts w:ascii="Times New Roman"/>
        </w:rPr>
        <w:t>结合本次规划环评的评价重点，拟采用现场调查与监测法、资料分析法、类比分析法、模型法、情景分析法、生态系统分析法、景观生态学及生态风险分析法、环境承载力分析法等方法开展环评工作。主要评价环节和要素的评价方法见表</w:t>
      </w:r>
      <w:r>
        <w:rPr>
          <w:rFonts w:ascii="Times New Roman" w:hAnsi="Times New Roman"/>
        </w:rPr>
        <w:t>1.10-1</w:t>
      </w:r>
      <w:r>
        <w:rPr>
          <w:rFonts w:ascii="Times New Roman"/>
        </w:rPr>
        <w:t>。</w:t>
      </w:r>
    </w:p>
    <w:p w14:paraId="3E96B609" w14:textId="77777777" w:rsidR="009C353B" w:rsidRDefault="00000000">
      <w:pPr>
        <w:pStyle w:val="affffff0"/>
        <w:adjustRightInd w:val="0"/>
        <w:spacing w:line="440" w:lineRule="exact"/>
        <w:jc w:val="center"/>
        <w:rPr>
          <w:rFonts w:ascii="Times New Roman" w:hAnsi="Times New Roman"/>
          <w:b w:val="0"/>
          <w:kern w:val="0"/>
        </w:rPr>
      </w:pPr>
      <w:r>
        <w:rPr>
          <w:rFonts w:ascii="Times New Roman"/>
          <w:kern w:val="0"/>
        </w:rPr>
        <w:t>采用的评价方法一览表</w:t>
      </w:r>
    </w:p>
    <w:p w14:paraId="36D23BD4" w14:textId="77777777" w:rsidR="009C353B" w:rsidRDefault="00000000">
      <w:pPr>
        <w:pStyle w:val="affffd"/>
        <w:spacing w:line="440" w:lineRule="exact"/>
        <w:ind w:firstLineChars="50" w:firstLine="120"/>
        <w:rPr>
          <w:rFonts w:ascii="Times New Roman" w:hAnsi="Times New Roman"/>
          <w:kern w:val="2"/>
        </w:rPr>
      </w:pPr>
      <w:r>
        <w:rPr>
          <w:rFonts w:ascii="Times New Roman"/>
          <w:kern w:val="2"/>
        </w:rPr>
        <w:t>表</w:t>
      </w:r>
      <w:r>
        <w:rPr>
          <w:rFonts w:ascii="Times New Roman" w:hAnsi="Times New Roman"/>
          <w:kern w:val="2"/>
        </w:rPr>
        <w:t>1.10-1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84"/>
        <w:gridCol w:w="3648"/>
        <w:gridCol w:w="3970"/>
      </w:tblGrid>
      <w:tr w:rsidR="009C353B" w14:paraId="3911B790" w14:textId="77777777">
        <w:trPr>
          <w:trHeight w:val="340"/>
        </w:trPr>
        <w:tc>
          <w:tcPr>
            <w:tcW w:w="5332" w:type="dxa"/>
            <w:gridSpan w:val="2"/>
            <w:vAlign w:val="center"/>
          </w:tcPr>
          <w:p w14:paraId="3A4E1593" w14:textId="77777777" w:rsidR="009C353B" w:rsidRDefault="00000000">
            <w:pPr>
              <w:widowControl/>
              <w:adjustRightInd w:val="0"/>
              <w:snapToGrid w:val="0"/>
              <w:spacing w:line="240" w:lineRule="atLeast"/>
              <w:jc w:val="center"/>
              <w:rPr>
                <w:rFonts w:ascii="Times New Roman" w:hAnsi="Times New Roman"/>
                <w:kern w:val="0"/>
                <w:sz w:val="21"/>
              </w:rPr>
            </w:pPr>
            <w:bookmarkStart w:id="27" w:name="RANGE!D88"/>
            <w:r>
              <w:rPr>
                <w:rFonts w:ascii="Times New Roman"/>
                <w:kern w:val="0"/>
                <w:sz w:val="21"/>
              </w:rPr>
              <w:t>评价环节及环境要素</w:t>
            </w:r>
            <w:bookmarkEnd w:id="27"/>
          </w:p>
        </w:tc>
        <w:tc>
          <w:tcPr>
            <w:tcW w:w="3970" w:type="dxa"/>
            <w:vAlign w:val="center"/>
          </w:tcPr>
          <w:p w14:paraId="609E6EE9" w14:textId="77777777" w:rsidR="009C353B" w:rsidRDefault="00000000">
            <w:pPr>
              <w:widowControl/>
              <w:adjustRightInd w:val="0"/>
              <w:snapToGrid w:val="0"/>
              <w:spacing w:line="240" w:lineRule="atLeast"/>
              <w:jc w:val="center"/>
              <w:rPr>
                <w:rFonts w:ascii="Times New Roman" w:hAnsi="Times New Roman"/>
                <w:kern w:val="0"/>
                <w:sz w:val="21"/>
              </w:rPr>
            </w:pPr>
            <w:bookmarkStart w:id="28" w:name="RANGE!F88"/>
            <w:r>
              <w:rPr>
                <w:rFonts w:ascii="Times New Roman"/>
                <w:kern w:val="0"/>
                <w:sz w:val="21"/>
              </w:rPr>
              <w:t>评价方法</w:t>
            </w:r>
            <w:bookmarkEnd w:id="28"/>
          </w:p>
        </w:tc>
      </w:tr>
      <w:tr w:rsidR="009C353B" w14:paraId="50CA8843" w14:textId="77777777">
        <w:trPr>
          <w:trHeight w:val="340"/>
        </w:trPr>
        <w:tc>
          <w:tcPr>
            <w:tcW w:w="5332" w:type="dxa"/>
            <w:gridSpan w:val="2"/>
            <w:vAlign w:val="center"/>
          </w:tcPr>
          <w:p w14:paraId="77BBDDC2" w14:textId="77777777" w:rsidR="009C353B" w:rsidRDefault="00000000">
            <w:pPr>
              <w:widowControl/>
              <w:adjustRightInd w:val="0"/>
              <w:snapToGrid w:val="0"/>
              <w:spacing w:line="240" w:lineRule="atLeast"/>
              <w:rPr>
                <w:rFonts w:ascii="Times New Roman" w:hAnsi="Times New Roman"/>
                <w:kern w:val="0"/>
                <w:sz w:val="21"/>
              </w:rPr>
            </w:pPr>
            <w:bookmarkStart w:id="29" w:name="RANGE!D89"/>
            <w:r>
              <w:rPr>
                <w:rFonts w:ascii="Times New Roman"/>
                <w:kern w:val="0"/>
                <w:sz w:val="21"/>
              </w:rPr>
              <w:t>规划概述与分析</w:t>
            </w:r>
            <w:bookmarkEnd w:id="29"/>
          </w:p>
        </w:tc>
        <w:tc>
          <w:tcPr>
            <w:tcW w:w="3970" w:type="dxa"/>
            <w:vAlign w:val="center"/>
          </w:tcPr>
          <w:p w14:paraId="7D37627E" w14:textId="77777777" w:rsidR="009C353B" w:rsidRDefault="00000000">
            <w:pPr>
              <w:widowControl/>
              <w:adjustRightInd w:val="0"/>
              <w:snapToGrid w:val="0"/>
              <w:spacing w:line="240" w:lineRule="atLeast"/>
              <w:rPr>
                <w:rFonts w:ascii="Times New Roman" w:hAnsi="Times New Roman"/>
                <w:kern w:val="0"/>
                <w:sz w:val="21"/>
              </w:rPr>
            </w:pPr>
            <w:bookmarkStart w:id="30" w:name="RANGE!F89"/>
            <w:r>
              <w:rPr>
                <w:rFonts w:ascii="Times New Roman"/>
                <w:kern w:val="0"/>
                <w:sz w:val="21"/>
              </w:rPr>
              <w:t>现场调查法、资料分析法</w:t>
            </w:r>
            <w:bookmarkEnd w:id="30"/>
          </w:p>
        </w:tc>
      </w:tr>
      <w:tr w:rsidR="009C353B" w14:paraId="3C1B6485" w14:textId="77777777">
        <w:trPr>
          <w:trHeight w:val="340"/>
        </w:trPr>
        <w:tc>
          <w:tcPr>
            <w:tcW w:w="1684" w:type="dxa"/>
            <w:vMerge w:val="restart"/>
            <w:vAlign w:val="center"/>
          </w:tcPr>
          <w:p w14:paraId="04DA625D" w14:textId="77777777" w:rsidR="009C353B" w:rsidRDefault="00000000">
            <w:pPr>
              <w:widowControl/>
              <w:adjustRightInd w:val="0"/>
              <w:snapToGrid w:val="0"/>
              <w:spacing w:line="240" w:lineRule="atLeast"/>
              <w:rPr>
                <w:rFonts w:ascii="Times New Roman" w:hAnsi="Times New Roman"/>
                <w:kern w:val="0"/>
                <w:sz w:val="21"/>
              </w:rPr>
            </w:pPr>
            <w:bookmarkStart w:id="31" w:name="RANGE!D90"/>
            <w:r>
              <w:rPr>
                <w:rFonts w:ascii="Times New Roman"/>
                <w:kern w:val="0"/>
                <w:sz w:val="21"/>
              </w:rPr>
              <w:t>现状调查、分析与评价</w:t>
            </w:r>
            <w:bookmarkEnd w:id="31"/>
          </w:p>
        </w:tc>
        <w:tc>
          <w:tcPr>
            <w:tcW w:w="3648" w:type="dxa"/>
            <w:vAlign w:val="center"/>
          </w:tcPr>
          <w:p w14:paraId="48FC2C1A" w14:textId="77777777" w:rsidR="009C353B" w:rsidRDefault="00000000">
            <w:pPr>
              <w:widowControl/>
              <w:adjustRightInd w:val="0"/>
              <w:snapToGrid w:val="0"/>
              <w:spacing w:line="240" w:lineRule="atLeast"/>
              <w:rPr>
                <w:rFonts w:ascii="Times New Roman" w:hAnsi="Times New Roman"/>
                <w:kern w:val="0"/>
                <w:sz w:val="21"/>
              </w:rPr>
            </w:pPr>
            <w:bookmarkStart w:id="32" w:name="RANGE!E90"/>
            <w:r>
              <w:rPr>
                <w:rFonts w:ascii="Times New Roman"/>
                <w:kern w:val="0"/>
                <w:sz w:val="21"/>
              </w:rPr>
              <w:t>水、气、声及固废环境现状及回顾</w:t>
            </w:r>
            <w:bookmarkEnd w:id="32"/>
          </w:p>
        </w:tc>
        <w:tc>
          <w:tcPr>
            <w:tcW w:w="3970" w:type="dxa"/>
            <w:vAlign w:val="center"/>
          </w:tcPr>
          <w:p w14:paraId="0D34C2A1" w14:textId="77777777" w:rsidR="009C353B" w:rsidRDefault="00000000">
            <w:pPr>
              <w:widowControl/>
              <w:adjustRightInd w:val="0"/>
              <w:snapToGrid w:val="0"/>
              <w:spacing w:line="240" w:lineRule="atLeast"/>
              <w:rPr>
                <w:rFonts w:ascii="Times New Roman" w:hAnsi="Times New Roman"/>
                <w:kern w:val="0"/>
                <w:sz w:val="21"/>
              </w:rPr>
            </w:pPr>
            <w:bookmarkStart w:id="33" w:name="RANGE!F90"/>
            <w:r>
              <w:rPr>
                <w:rFonts w:ascii="Times New Roman"/>
                <w:kern w:val="0"/>
                <w:sz w:val="21"/>
              </w:rPr>
              <w:t>资料收集法、现场调查法、现状监测法</w:t>
            </w:r>
            <w:bookmarkEnd w:id="33"/>
          </w:p>
        </w:tc>
      </w:tr>
      <w:tr w:rsidR="009C353B" w14:paraId="5C7AA76B" w14:textId="77777777">
        <w:trPr>
          <w:trHeight w:val="340"/>
        </w:trPr>
        <w:tc>
          <w:tcPr>
            <w:tcW w:w="1684" w:type="dxa"/>
            <w:vMerge/>
            <w:vAlign w:val="center"/>
          </w:tcPr>
          <w:p w14:paraId="01EC077B" w14:textId="77777777" w:rsidR="009C353B" w:rsidRDefault="009C353B">
            <w:pPr>
              <w:widowControl/>
              <w:adjustRightInd w:val="0"/>
              <w:snapToGrid w:val="0"/>
              <w:spacing w:line="240" w:lineRule="atLeast"/>
              <w:jc w:val="left"/>
              <w:rPr>
                <w:rFonts w:ascii="Times New Roman" w:hAnsi="Times New Roman"/>
                <w:kern w:val="0"/>
                <w:sz w:val="21"/>
              </w:rPr>
            </w:pPr>
          </w:p>
        </w:tc>
        <w:tc>
          <w:tcPr>
            <w:tcW w:w="3648" w:type="dxa"/>
            <w:vAlign w:val="center"/>
          </w:tcPr>
          <w:p w14:paraId="56E79FE5" w14:textId="77777777" w:rsidR="009C353B" w:rsidRDefault="00000000">
            <w:pPr>
              <w:widowControl/>
              <w:adjustRightInd w:val="0"/>
              <w:snapToGrid w:val="0"/>
              <w:spacing w:line="240" w:lineRule="atLeast"/>
              <w:rPr>
                <w:rFonts w:ascii="Times New Roman" w:hAnsi="Times New Roman"/>
                <w:kern w:val="0"/>
                <w:sz w:val="21"/>
              </w:rPr>
            </w:pPr>
            <w:bookmarkStart w:id="34" w:name="RANGE!E91"/>
            <w:r>
              <w:rPr>
                <w:rFonts w:ascii="Times New Roman"/>
                <w:kern w:val="0"/>
                <w:sz w:val="21"/>
              </w:rPr>
              <w:t>生态环境现状及回顾</w:t>
            </w:r>
            <w:bookmarkEnd w:id="34"/>
          </w:p>
        </w:tc>
        <w:tc>
          <w:tcPr>
            <w:tcW w:w="3970" w:type="dxa"/>
            <w:vAlign w:val="center"/>
          </w:tcPr>
          <w:p w14:paraId="0EEE0676" w14:textId="77777777" w:rsidR="009C353B" w:rsidRDefault="00000000">
            <w:pPr>
              <w:widowControl/>
              <w:adjustRightInd w:val="0"/>
              <w:snapToGrid w:val="0"/>
              <w:spacing w:line="240" w:lineRule="atLeast"/>
              <w:rPr>
                <w:rFonts w:ascii="Times New Roman" w:hAnsi="Times New Roman"/>
                <w:kern w:val="0"/>
                <w:sz w:val="21"/>
              </w:rPr>
            </w:pPr>
            <w:bookmarkStart w:id="35" w:name="RANGE!F91"/>
            <w:r>
              <w:rPr>
                <w:rFonts w:ascii="Times New Roman"/>
                <w:kern w:val="0"/>
                <w:sz w:val="21"/>
              </w:rPr>
              <w:t>基于卫星遥感解译和地理信息系统相结合的生态系统分析法</w:t>
            </w:r>
            <w:bookmarkEnd w:id="35"/>
          </w:p>
        </w:tc>
      </w:tr>
      <w:tr w:rsidR="009C353B" w14:paraId="75AF4BC5" w14:textId="77777777">
        <w:trPr>
          <w:trHeight w:val="340"/>
        </w:trPr>
        <w:tc>
          <w:tcPr>
            <w:tcW w:w="5332" w:type="dxa"/>
            <w:gridSpan w:val="2"/>
            <w:vAlign w:val="center"/>
          </w:tcPr>
          <w:p w14:paraId="6875A9CE" w14:textId="77777777" w:rsidR="009C353B" w:rsidRDefault="00000000">
            <w:pPr>
              <w:widowControl/>
              <w:adjustRightInd w:val="0"/>
              <w:snapToGrid w:val="0"/>
              <w:spacing w:line="240" w:lineRule="atLeast"/>
              <w:rPr>
                <w:rFonts w:ascii="Times New Roman" w:hAnsi="Times New Roman"/>
                <w:kern w:val="0"/>
                <w:sz w:val="21"/>
              </w:rPr>
            </w:pPr>
            <w:bookmarkStart w:id="36" w:name="RANGE!D92"/>
            <w:r>
              <w:rPr>
                <w:rFonts w:ascii="Times New Roman"/>
                <w:kern w:val="0"/>
                <w:sz w:val="21"/>
              </w:rPr>
              <w:t>环境影响识别</w:t>
            </w:r>
            <w:bookmarkEnd w:id="36"/>
          </w:p>
        </w:tc>
        <w:tc>
          <w:tcPr>
            <w:tcW w:w="3970" w:type="dxa"/>
            <w:vAlign w:val="center"/>
          </w:tcPr>
          <w:p w14:paraId="0500404C" w14:textId="77777777" w:rsidR="009C353B" w:rsidRDefault="00000000">
            <w:pPr>
              <w:widowControl/>
              <w:adjustRightInd w:val="0"/>
              <w:snapToGrid w:val="0"/>
              <w:spacing w:line="240" w:lineRule="atLeast"/>
              <w:rPr>
                <w:rFonts w:ascii="Times New Roman" w:hAnsi="Times New Roman"/>
                <w:kern w:val="0"/>
                <w:sz w:val="21"/>
              </w:rPr>
            </w:pPr>
            <w:bookmarkStart w:id="37" w:name="RANGE!F92"/>
            <w:r>
              <w:rPr>
                <w:rFonts w:ascii="Times New Roman"/>
                <w:kern w:val="0"/>
                <w:sz w:val="21"/>
              </w:rPr>
              <w:t>矩阵法、专业判断法、层次分析法</w:t>
            </w:r>
            <w:bookmarkEnd w:id="37"/>
          </w:p>
        </w:tc>
      </w:tr>
      <w:tr w:rsidR="009C353B" w14:paraId="43ABA2D5" w14:textId="77777777">
        <w:trPr>
          <w:trHeight w:val="340"/>
        </w:trPr>
        <w:tc>
          <w:tcPr>
            <w:tcW w:w="1684" w:type="dxa"/>
            <w:vMerge w:val="restart"/>
            <w:vAlign w:val="center"/>
          </w:tcPr>
          <w:p w14:paraId="60FAAC31" w14:textId="77777777" w:rsidR="009C353B" w:rsidRDefault="00000000">
            <w:pPr>
              <w:widowControl/>
              <w:adjustRightInd w:val="0"/>
              <w:snapToGrid w:val="0"/>
              <w:spacing w:line="240" w:lineRule="atLeast"/>
              <w:rPr>
                <w:rFonts w:ascii="Times New Roman" w:hAnsi="Times New Roman"/>
                <w:kern w:val="0"/>
                <w:sz w:val="21"/>
              </w:rPr>
            </w:pPr>
            <w:bookmarkStart w:id="38" w:name="RANGE!D93"/>
            <w:r>
              <w:rPr>
                <w:rFonts w:ascii="Times New Roman"/>
                <w:kern w:val="0"/>
                <w:sz w:val="21"/>
              </w:rPr>
              <w:t>规划实施环境影响预测</w:t>
            </w:r>
            <w:bookmarkEnd w:id="38"/>
          </w:p>
        </w:tc>
        <w:tc>
          <w:tcPr>
            <w:tcW w:w="3648" w:type="dxa"/>
            <w:vAlign w:val="center"/>
          </w:tcPr>
          <w:p w14:paraId="0BACB5BC" w14:textId="77777777" w:rsidR="009C353B" w:rsidRDefault="00000000">
            <w:pPr>
              <w:widowControl/>
              <w:adjustRightInd w:val="0"/>
              <w:snapToGrid w:val="0"/>
              <w:spacing w:line="240" w:lineRule="atLeast"/>
              <w:rPr>
                <w:rFonts w:ascii="Times New Roman" w:hAnsi="Times New Roman"/>
                <w:kern w:val="0"/>
                <w:sz w:val="21"/>
              </w:rPr>
            </w:pPr>
            <w:bookmarkStart w:id="39" w:name="RANGE!E93"/>
            <w:r>
              <w:rPr>
                <w:rFonts w:ascii="Times New Roman"/>
                <w:kern w:val="0"/>
                <w:sz w:val="21"/>
              </w:rPr>
              <w:t>水、气、声及固废环境影响预测</w:t>
            </w:r>
            <w:bookmarkEnd w:id="39"/>
          </w:p>
        </w:tc>
        <w:tc>
          <w:tcPr>
            <w:tcW w:w="3970" w:type="dxa"/>
            <w:vAlign w:val="center"/>
          </w:tcPr>
          <w:p w14:paraId="7BC4B048" w14:textId="77777777" w:rsidR="009C353B" w:rsidRDefault="00000000">
            <w:pPr>
              <w:widowControl/>
              <w:adjustRightInd w:val="0"/>
              <w:snapToGrid w:val="0"/>
              <w:spacing w:line="240" w:lineRule="atLeast"/>
              <w:rPr>
                <w:rFonts w:ascii="Times New Roman" w:hAnsi="Times New Roman"/>
                <w:kern w:val="0"/>
                <w:sz w:val="21"/>
              </w:rPr>
            </w:pPr>
            <w:bookmarkStart w:id="40" w:name="RANGE!F93"/>
            <w:r>
              <w:rPr>
                <w:rFonts w:ascii="Times New Roman"/>
                <w:kern w:val="0"/>
                <w:sz w:val="21"/>
              </w:rPr>
              <w:t>模型分析法、类比分析法、情景分析法、典型案例法，资料分析法</w:t>
            </w:r>
            <w:bookmarkEnd w:id="40"/>
          </w:p>
        </w:tc>
      </w:tr>
      <w:tr w:rsidR="009C353B" w14:paraId="73069E24" w14:textId="77777777">
        <w:trPr>
          <w:trHeight w:val="340"/>
        </w:trPr>
        <w:tc>
          <w:tcPr>
            <w:tcW w:w="1684" w:type="dxa"/>
            <w:vMerge/>
            <w:vAlign w:val="center"/>
          </w:tcPr>
          <w:p w14:paraId="2A9295C7" w14:textId="77777777" w:rsidR="009C353B" w:rsidRDefault="009C353B">
            <w:pPr>
              <w:widowControl/>
              <w:adjustRightInd w:val="0"/>
              <w:snapToGrid w:val="0"/>
              <w:spacing w:line="240" w:lineRule="atLeast"/>
              <w:jc w:val="left"/>
              <w:rPr>
                <w:rFonts w:ascii="Times New Roman" w:hAnsi="Times New Roman"/>
                <w:kern w:val="0"/>
                <w:sz w:val="21"/>
              </w:rPr>
            </w:pPr>
          </w:p>
        </w:tc>
        <w:tc>
          <w:tcPr>
            <w:tcW w:w="3648" w:type="dxa"/>
            <w:vAlign w:val="center"/>
          </w:tcPr>
          <w:p w14:paraId="5488C94F" w14:textId="77777777" w:rsidR="009C353B" w:rsidRDefault="00000000">
            <w:pPr>
              <w:widowControl/>
              <w:adjustRightInd w:val="0"/>
              <w:snapToGrid w:val="0"/>
              <w:spacing w:line="240" w:lineRule="atLeast"/>
              <w:rPr>
                <w:rFonts w:ascii="Times New Roman" w:hAnsi="Times New Roman"/>
                <w:kern w:val="0"/>
                <w:sz w:val="21"/>
              </w:rPr>
            </w:pPr>
            <w:bookmarkStart w:id="41" w:name="RANGE!E94"/>
            <w:r>
              <w:rPr>
                <w:rFonts w:ascii="Times New Roman"/>
                <w:kern w:val="0"/>
                <w:sz w:val="21"/>
              </w:rPr>
              <w:t>生态环境影响预测</w:t>
            </w:r>
            <w:bookmarkEnd w:id="41"/>
          </w:p>
        </w:tc>
        <w:tc>
          <w:tcPr>
            <w:tcW w:w="3970" w:type="dxa"/>
            <w:vAlign w:val="center"/>
          </w:tcPr>
          <w:p w14:paraId="1E9FC99F" w14:textId="77777777" w:rsidR="009C353B" w:rsidRDefault="00000000">
            <w:pPr>
              <w:widowControl/>
              <w:adjustRightInd w:val="0"/>
              <w:snapToGrid w:val="0"/>
              <w:spacing w:line="240" w:lineRule="atLeast"/>
              <w:rPr>
                <w:rFonts w:ascii="Times New Roman" w:hAnsi="Times New Roman"/>
                <w:kern w:val="0"/>
                <w:sz w:val="21"/>
              </w:rPr>
            </w:pPr>
            <w:bookmarkStart w:id="42" w:name="RANGE!F94"/>
            <w:r>
              <w:rPr>
                <w:rFonts w:ascii="Times New Roman"/>
                <w:kern w:val="0"/>
                <w:sz w:val="21"/>
              </w:rPr>
              <w:t>生态环境状况指数分析法</w:t>
            </w:r>
            <w:bookmarkEnd w:id="42"/>
          </w:p>
        </w:tc>
      </w:tr>
      <w:tr w:rsidR="009C353B" w14:paraId="27A8D295" w14:textId="77777777">
        <w:trPr>
          <w:trHeight w:val="340"/>
        </w:trPr>
        <w:tc>
          <w:tcPr>
            <w:tcW w:w="1684" w:type="dxa"/>
            <w:vMerge w:val="restart"/>
            <w:vAlign w:val="center"/>
          </w:tcPr>
          <w:p w14:paraId="5FEDD2EC" w14:textId="77777777" w:rsidR="009C353B" w:rsidRDefault="00000000">
            <w:pPr>
              <w:widowControl/>
              <w:adjustRightInd w:val="0"/>
              <w:snapToGrid w:val="0"/>
              <w:spacing w:line="240" w:lineRule="atLeast"/>
              <w:rPr>
                <w:rFonts w:ascii="Times New Roman" w:hAnsi="Times New Roman"/>
                <w:kern w:val="0"/>
                <w:sz w:val="21"/>
              </w:rPr>
            </w:pPr>
            <w:bookmarkStart w:id="43" w:name="RANGE!D95"/>
            <w:r>
              <w:rPr>
                <w:rFonts w:ascii="Times New Roman"/>
                <w:kern w:val="0"/>
                <w:sz w:val="21"/>
              </w:rPr>
              <w:t>资源、环境承载力分析</w:t>
            </w:r>
            <w:bookmarkEnd w:id="43"/>
          </w:p>
        </w:tc>
        <w:tc>
          <w:tcPr>
            <w:tcW w:w="3648" w:type="dxa"/>
            <w:vAlign w:val="center"/>
          </w:tcPr>
          <w:p w14:paraId="41C18DB6" w14:textId="77777777" w:rsidR="009C353B" w:rsidRDefault="00000000">
            <w:pPr>
              <w:widowControl/>
              <w:adjustRightInd w:val="0"/>
              <w:snapToGrid w:val="0"/>
              <w:spacing w:line="240" w:lineRule="atLeast"/>
              <w:rPr>
                <w:rFonts w:ascii="Times New Roman" w:hAnsi="Times New Roman"/>
                <w:kern w:val="0"/>
                <w:sz w:val="21"/>
              </w:rPr>
            </w:pPr>
            <w:bookmarkStart w:id="44" w:name="RANGE!E95"/>
            <w:r>
              <w:rPr>
                <w:rFonts w:ascii="Times New Roman"/>
                <w:kern w:val="0"/>
                <w:sz w:val="21"/>
              </w:rPr>
              <w:t>大气、地表水环境承载力</w:t>
            </w:r>
            <w:bookmarkEnd w:id="44"/>
          </w:p>
        </w:tc>
        <w:tc>
          <w:tcPr>
            <w:tcW w:w="3970" w:type="dxa"/>
            <w:vAlign w:val="center"/>
          </w:tcPr>
          <w:p w14:paraId="39666120" w14:textId="77777777" w:rsidR="009C353B" w:rsidRDefault="00000000">
            <w:pPr>
              <w:widowControl/>
              <w:adjustRightInd w:val="0"/>
              <w:snapToGrid w:val="0"/>
              <w:spacing w:line="240" w:lineRule="atLeast"/>
              <w:rPr>
                <w:rFonts w:ascii="Times New Roman" w:hAnsi="Times New Roman"/>
                <w:kern w:val="0"/>
                <w:sz w:val="21"/>
              </w:rPr>
            </w:pPr>
            <w:bookmarkStart w:id="45" w:name="RANGE!F95"/>
            <w:r>
              <w:rPr>
                <w:rFonts w:ascii="Times New Roman"/>
                <w:kern w:val="0"/>
                <w:sz w:val="21"/>
              </w:rPr>
              <w:t>容量、总量分析法、情景分析法</w:t>
            </w:r>
            <w:bookmarkEnd w:id="45"/>
          </w:p>
        </w:tc>
      </w:tr>
      <w:tr w:rsidR="009C353B" w14:paraId="2980B8A0" w14:textId="77777777">
        <w:trPr>
          <w:trHeight w:val="340"/>
        </w:trPr>
        <w:tc>
          <w:tcPr>
            <w:tcW w:w="1684" w:type="dxa"/>
            <w:vMerge/>
            <w:vAlign w:val="center"/>
          </w:tcPr>
          <w:p w14:paraId="12A35C53" w14:textId="77777777" w:rsidR="009C353B" w:rsidRDefault="009C353B">
            <w:pPr>
              <w:widowControl/>
              <w:adjustRightInd w:val="0"/>
              <w:snapToGrid w:val="0"/>
              <w:spacing w:line="240" w:lineRule="atLeast"/>
              <w:jc w:val="left"/>
              <w:rPr>
                <w:rFonts w:ascii="Times New Roman" w:hAnsi="Times New Roman"/>
                <w:kern w:val="0"/>
                <w:sz w:val="21"/>
              </w:rPr>
            </w:pPr>
          </w:p>
        </w:tc>
        <w:tc>
          <w:tcPr>
            <w:tcW w:w="3648" w:type="dxa"/>
            <w:vAlign w:val="center"/>
          </w:tcPr>
          <w:p w14:paraId="2019867D" w14:textId="77777777" w:rsidR="009C353B" w:rsidRDefault="00000000">
            <w:pPr>
              <w:widowControl/>
              <w:adjustRightInd w:val="0"/>
              <w:snapToGrid w:val="0"/>
              <w:spacing w:line="240" w:lineRule="atLeast"/>
              <w:rPr>
                <w:rFonts w:ascii="Times New Roman" w:hAnsi="Times New Roman"/>
                <w:kern w:val="0"/>
                <w:sz w:val="21"/>
              </w:rPr>
            </w:pPr>
            <w:bookmarkStart w:id="46" w:name="RANGE!E96"/>
            <w:r>
              <w:rPr>
                <w:rFonts w:ascii="Times New Roman"/>
                <w:kern w:val="0"/>
                <w:sz w:val="21"/>
              </w:rPr>
              <w:t>水资源承载力</w:t>
            </w:r>
            <w:bookmarkEnd w:id="46"/>
          </w:p>
        </w:tc>
        <w:tc>
          <w:tcPr>
            <w:tcW w:w="3970" w:type="dxa"/>
            <w:vAlign w:val="center"/>
          </w:tcPr>
          <w:p w14:paraId="0E4934F1" w14:textId="77777777" w:rsidR="009C353B" w:rsidRDefault="00000000">
            <w:pPr>
              <w:widowControl/>
              <w:adjustRightInd w:val="0"/>
              <w:snapToGrid w:val="0"/>
              <w:spacing w:line="240" w:lineRule="atLeast"/>
              <w:rPr>
                <w:rFonts w:ascii="Times New Roman" w:hAnsi="Times New Roman"/>
                <w:kern w:val="0"/>
                <w:sz w:val="21"/>
              </w:rPr>
            </w:pPr>
            <w:bookmarkStart w:id="47" w:name="RANGE!F96"/>
            <w:r>
              <w:rPr>
                <w:rFonts w:ascii="Times New Roman"/>
                <w:kern w:val="0"/>
                <w:sz w:val="21"/>
              </w:rPr>
              <w:t>水资源供需平衡分析法、情景分析法</w:t>
            </w:r>
            <w:bookmarkEnd w:id="47"/>
          </w:p>
        </w:tc>
      </w:tr>
      <w:tr w:rsidR="009C353B" w14:paraId="55C64C20" w14:textId="77777777">
        <w:trPr>
          <w:trHeight w:val="340"/>
        </w:trPr>
        <w:tc>
          <w:tcPr>
            <w:tcW w:w="1684" w:type="dxa"/>
            <w:vMerge/>
            <w:vAlign w:val="center"/>
          </w:tcPr>
          <w:p w14:paraId="4A379902" w14:textId="77777777" w:rsidR="009C353B" w:rsidRDefault="009C353B">
            <w:pPr>
              <w:widowControl/>
              <w:adjustRightInd w:val="0"/>
              <w:snapToGrid w:val="0"/>
              <w:spacing w:line="240" w:lineRule="atLeast"/>
              <w:jc w:val="left"/>
              <w:rPr>
                <w:rFonts w:ascii="Times New Roman" w:hAnsi="Times New Roman"/>
                <w:kern w:val="0"/>
                <w:sz w:val="21"/>
              </w:rPr>
            </w:pPr>
          </w:p>
        </w:tc>
        <w:tc>
          <w:tcPr>
            <w:tcW w:w="3648" w:type="dxa"/>
            <w:vAlign w:val="center"/>
          </w:tcPr>
          <w:p w14:paraId="51F5B51F" w14:textId="77777777" w:rsidR="009C353B" w:rsidRDefault="00000000">
            <w:pPr>
              <w:widowControl/>
              <w:adjustRightInd w:val="0"/>
              <w:snapToGrid w:val="0"/>
              <w:spacing w:line="240" w:lineRule="atLeast"/>
              <w:rPr>
                <w:rFonts w:ascii="Times New Roman" w:hAnsi="Times New Roman"/>
                <w:kern w:val="0"/>
                <w:sz w:val="21"/>
              </w:rPr>
            </w:pPr>
            <w:bookmarkStart w:id="48" w:name="RANGE!E97"/>
            <w:r>
              <w:rPr>
                <w:rFonts w:ascii="Times New Roman"/>
                <w:kern w:val="0"/>
                <w:sz w:val="21"/>
              </w:rPr>
              <w:t>生态承载力</w:t>
            </w:r>
            <w:bookmarkEnd w:id="48"/>
          </w:p>
        </w:tc>
        <w:tc>
          <w:tcPr>
            <w:tcW w:w="3970" w:type="dxa"/>
            <w:vAlign w:val="center"/>
          </w:tcPr>
          <w:p w14:paraId="5A324678" w14:textId="77777777" w:rsidR="009C353B" w:rsidRDefault="00000000">
            <w:pPr>
              <w:widowControl/>
              <w:adjustRightInd w:val="0"/>
              <w:snapToGrid w:val="0"/>
              <w:spacing w:line="240" w:lineRule="atLeast"/>
              <w:rPr>
                <w:rFonts w:ascii="Times New Roman" w:hAnsi="Times New Roman"/>
                <w:kern w:val="0"/>
                <w:sz w:val="21"/>
              </w:rPr>
            </w:pPr>
            <w:bookmarkStart w:id="49" w:name="RANGE!F97"/>
            <w:r>
              <w:rPr>
                <w:rFonts w:ascii="Times New Roman"/>
                <w:kern w:val="0"/>
                <w:sz w:val="21"/>
              </w:rPr>
              <w:t>景观生态学及生态足迹分析法</w:t>
            </w:r>
            <w:bookmarkEnd w:id="49"/>
          </w:p>
        </w:tc>
      </w:tr>
      <w:tr w:rsidR="009C353B" w14:paraId="2ECC9C4A" w14:textId="77777777">
        <w:trPr>
          <w:trHeight w:val="340"/>
        </w:trPr>
        <w:tc>
          <w:tcPr>
            <w:tcW w:w="5332" w:type="dxa"/>
            <w:gridSpan w:val="2"/>
            <w:vAlign w:val="center"/>
          </w:tcPr>
          <w:p w14:paraId="33633BFF" w14:textId="77777777" w:rsidR="009C353B" w:rsidRDefault="00000000">
            <w:pPr>
              <w:widowControl/>
              <w:adjustRightInd w:val="0"/>
              <w:snapToGrid w:val="0"/>
              <w:spacing w:line="240" w:lineRule="atLeast"/>
              <w:rPr>
                <w:rFonts w:ascii="Times New Roman" w:hAnsi="Times New Roman"/>
                <w:kern w:val="0"/>
                <w:sz w:val="21"/>
              </w:rPr>
            </w:pPr>
            <w:bookmarkStart w:id="50" w:name="RANGE!D98"/>
            <w:r>
              <w:rPr>
                <w:rFonts w:ascii="Times New Roman"/>
                <w:kern w:val="0"/>
                <w:sz w:val="21"/>
              </w:rPr>
              <w:t>公众参与</w:t>
            </w:r>
            <w:bookmarkEnd w:id="50"/>
          </w:p>
        </w:tc>
        <w:tc>
          <w:tcPr>
            <w:tcW w:w="3970" w:type="dxa"/>
            <w:vAlign w:val="center"/>
          </w:tcPr>
          <w:p w14:paraId="01016D59" w14:textId="77777777" w:rsidR="009C353B" w:rsidRDefault="00000000">
            <w:pPr>
              <w:widowControl/>
              <w:adjustRightInd w:val="0"/>
              <w:snapToGrid w:val="0"/>
              <w:spacing w:line="240" w:lineRule="atLeast"/>
              <w:rPr>
                <w:rFonts w:ascii="Times New Roman" w:hAnsi="Times New Roman"/>
                <w:kern w:val="0"/>
                <w:sz w:val="21"/>
              </w:rPr>
            </w:pPr>
            <w:bookmarkStart w:id="51" w:name="RANGE!F98"/>
            <w:r>
              <w:rPr>
                <w:rFonts w:ascii="Times New Roman"/>
                <w:kern w:val="0"/>
                <w:sz w:val="21"/>
              </w:rPr>
              <w:t>问卷调查、媒体公告法</w:t>
            </w:r>
            <w:bookmarkEnd w:id="51"/>
          </w:p>
        </w:tc>
      </w:tr>
    </w:tbl>
    <w:p w14:paraId="7A949C1F" w14:textId="77777777" w:rsidR="009C353B" w:rsidRDefault="00000000">
      <w:pPr>
        <w:pStyle w:val="2"/>
        <w:snapToGrid w:val="0"/>
        <w:spacing w:line="440" w:lineRule="exact"/>
        <w:rPr>
          <w:rFonts w:ascii="Times New Roman" w:eastAsia="宋体" w:hAnsi="Times New Roman"/>
          <w:b/>
          <w:sz w:val="28"/>
        </w:rPr>
      </w:pPr>
      <w:bookmarkStart w:id="52" w:name="_Toc59189822"/>
      <w:r>
        <w:rPr>
          <w:rFonts w:ascii="Times New Roman" w:eastAsia="宋体" w:hAnsi="Times New Roman"/>
          <w:b/>
          <w:sz w:val="28"/>
        </w:rPr>
        <w:t xml:space="preserve">1.11 </w:t>
      </w:r>
      <w:r>
        <w:rPr>
          <w:rFonts w:ascii="Times New Roman" w:eastAsia="宋体" w:hAnsi="Times New Roman"/>
          <w:b/>
          <w:sz w:val="28"/>
        </w:rPr>
        <w:t>评价工作程序</w:t>
      </w:r>
      <w:bookmarkEnd w:id="26"/>
      <w:bookmarkEnd w:id="52"/>
    </w:p>
    <w:p w14:paraId="3236436B"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根据《规划环境影响评价技术导则（试行）》中的推荐的工作程序，结合煤炭环评特点，确定本次评价工作程序见下图</w:t>
      </w:r>
      <w:r>
        <w:rPr>
          <w:rFonts w:ascii="Times New Roman" w:hAnsi="Times New Roman"/>
        </w:rPr>
        <w:t>1.11-1</w:t>
      </w:r>
      <w:r>
        <w:rPr>
          <w:rFonts w:ascii="Times New Roman"/>
        </w:rPr>
        <w:t>。</w:t>
      </w:r>
    </w:p>
    <w:p w14:paraId="66C51C30" w14:textId="77777777" w:rsidR="009C353B" w:rsidRDefault="00000000">
      <w:pPr>
        <w:jc w:val="center"/>
        <w:rPr>
          <w:rFonts w:ascii="Times New Roman" w:hAnsi="Times New Roman"/>
        </w:rPr>
      </w:pPr>
      <w:r>
        <w:rPr>
          <w:rFonts w:ascii="Times New Roman" w:hAnsi="Times New Roman"/>
        </w:rPr>
        <w:object w:dxaOrig="8565" w:dyaOrig="12600" w14:anchorId="53B4B9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8.2pt;height:630pt" o:ole="">
            <v:imagedata r:id="rId12" o:title=""/>
          </v:shape>
          <o:OLEObject Type="Embed" ProgID="Visio.Drawing.11" ShapeID="_x0000_i1025" DrawAspect="Content" ObjectID="_1826209124" r:id="rId13"/>
        </w:object>
      </w:r>
    </w:p>
    <w:p w14:paraId="32D73FBF" w14:textId="77777777" w:rsidR="009C353B" w:rsidRDefault="00000000">
      <w:pPr>
        <w:jc w:val="center"/>
        <w:rPr>
          <w:rFonts w:ascii="Times New Roman" w:hAnsi="Times New Roman"/>
          <w:b/>
        </w:rPr>
      </w:pPr>
      <w:r>
        <w:rPr>
          <w:rFonts w:ascii="Times New Roman"/>
          <w:b/>
        </w:rPr>
        <w:t>图</w:t>
      </w:r>
      <w:r>
        <w:rPr>
          <w:rFonts w:ascii="Times New Roman" w:hAnsi="Times New Roman"/>
          <w:b/>
        </w:rPr>
        <w:t xml:space="preserve">1.11-1 </w:t>
      </w:r>
      <w:r>
        <w:rPr>
          <w:rFonts w:ascii="Times New Roman"/>
          <w:b/>
        </w:rPr>
        <w:t>本次环评工作技术路线图</w:t>
      </w:r>
    </w:p>
    <w:p w14:paraId="06B541DB" w14:textId="77777777" w:rsidR="009C353B" w:rsidRDefault="009C353B">
      <w:pPr>
        <w:ind w:firstLineChars="200" w:firstLine="480"/>
        <w:rPr>
          <w:rFonts w:ascii="Times New Roman" w:hAnsi="Times New Roman"/>
        </w:rPr>
        <w:sectPr w:rsidR="009C353B">
          <w:headerReference w:type="default" r:id="rId14"/>
          <w:pgSz w:w="11907" w:h="16840"/>
          <w:pgMar w:top="1701" w:right="1418" w:bottom="1418" w:left="1418" w:header="1134" w:footer="851" w:gutter="0"/>
          <w:paperSrc w:first="7" w:other="7"/>
          <w:cols w:space="720"/>
          <w:docGrid w:linePitch="312"/>
        </w:sectPr>
      </w:pPr>
    </w:p>
    <w:p w14:paraId="72AC1C43" w14:textId="77777777" w:rsidR="009C353B" w:rsidRDefault="00000000">
      <w:pPr>
        <w:pStyle w:val="1"/>
        <w:spacing w:before="100" w:beforeAutospacing="1" w:after="100" w:afterAutospacing="1" w:line="578" w:lineRule="exact"/>
        <w:jc w:val="center"/>
        <w:rPr>
          <w:rFonts w:ascii="Times New Roman" w:hAnsi="Times New Roman"/>
          <w:sz w:val="36"/>
        </w:rPr>
      </w:pPr>
      <w:bookmarkStart w:id="53" w:name="_Toc59189823"/>
      <w:bookmarkStart w:id="54" w:name="_Toc163440981"/>
      <w:r>
        <w:rPr>
          <w:rFonts w:ascii="Times New Roman" w:hAnsi="Times New Roman"/>
          <w:sz w:val="36"/>
        </w:rPr>
        <w:lastRenderedPageBreak/>
        <w:t xml:space="preserve">2 </w:t>
      </w:r>
      <w:r>
        <w:rPr>
          <w:rFonts w:ascii="Times New Roman"/>
          <w:sz w:val="36"/>
        </w:rPr>
        <w:t>规划方案概况及分析</w:t>
      </w:r>
      <w:bookmarkEnd w:id="53"/>
      <w:bookmarkEnd w:id="54"/>
    </w:p>
    <w:p w14:paraId="4FC52EE6" w14:textId="77777777" w:rsidR="009C353B" w:rsidRDefault="00000000">
      <w:pPr>
        <w:pStyle w:val="2"/>
        <w:snapToGrid w:val="0"/>
        <w:spacing w:line="440" w:lineRule="exact"/>
        <w:rPr>
          <w:rFonts w:ascii="Times New Roman" w:eastAsia="宋体" w:hAnsi="Times New Roman"/>
          <w:b/>
          <w:sz w:val="28"/>
        </w:rPr>
      </w:pPr>
      <w:bookmarkStart w:id="55" w:name="_Toc59189824"/>
      <w:bookmarkStart w:id="56" w:name="_Toc411499174"/>
      <w:bookmarkStart w:id="57" w:name="_Toc163440982"/>
      <w:r>
        <w:rPr>
          <w:rFonts w:ascii="Times New Roman" w:eastAsia="宋体" w:hAnsi="Times New Roman"/>
          <w:b/>
          <w:sz w:val="28"/>
        </w:rPr>
        <w:t xml:space="preserve">2.1 </w:t>
      </w:r>
      <w:r>
        <w:rPr>
          <w:rFonts w:ascii="Times New Roman" w:eastAsia="宋体" w:hAnsi="Times New Roman" w:hint="eastAsia"/>
          <w:b/>
          <w:sz w:val="28"/>
        </w:rPr>
        <w:t>矿区交通</w:t>
      </w:r>
      <w:r>
        <w:rPr>
          <w:rFonts w:ascii="Times New Roman" w:eastAsia="宋体" w:hAnsi="Times New Roman"/>
          <w:b/>
          <w:sz w:val="28"/>
        </w:rPr>
        <w:t>与地理位置</w:t>
      </w:r>
      <w:bookmarkEnd w:id="55"/>
      <w:bookmarkEnd w:id="56"/>
    </w:p>
    <w:p w14:paraId="5AA5116F" w14:textId="77777777" w:rsidR="009C353B" w:rsidRDefault="00000000">
      <w:pPr>
        <w:adjustRightInd w:val="0"/>
        <w:snapToGrid w:val="0"/>
        <w:spacing w:line="440" w:lineRule="exact"/>
        <w:ind w:firstLineChars="200" w:firstLine="480"/>
        <w:rPr>
          <w:rFonts w:ascii="Times New Roman" w:hint="eastAsia"/>
        </w:rPr>
      </w:pPr>
      <w:bookmarkStart w:id="58" w:name="_Hlk49168855"/>
      <w:bookmarkStart w:id="59" w:name="_Hlk40184774"/>
      <w:r>
        <w:rPr>
          <w:rFonts w:ascii="Times New Roman" w:hint="eastAsia"/>
        </w:rPr>
        <w:t>横城矿区位于宁夏回族自治区银川市东南约</w:t>
      </w:r>
      <w:r>
        <w:rPr>
          <w:rFonts w:ascii="Times New Roman" w:hint="eastAsia"/>
        </w:rPr>
        <w:t>35</w:t>
      </w:r>
      <w:r>
        <w:rPr>
          <w:rFonts w:ascii="Times New Roman"/>
        </w:rPr>
        <w:t>km</w:t>
      </w:r>
      <w:r>
        <w:rPr>
          <w:rFonts w:ascii="Times New Roman" w:hint="eastAsia"/>
        </w:rPr>
        <w:t>、灵武市东北约</w:t>
      </w:r>
      <w:r>
        <w:rPr>
          <w:rFonts w:ascii="Times New Roman"/>
        </w:rPr>
        <w:t>20km</w:t>
      </w:r>
      <w:r>
        <w:rPr>
          <w:rFonts w:ascii="Times New Roman" w:hint="eastAsia"/>
        </w:rPr>
        <w:t>，属灵武市临河镇管辖</w:t>
      </w:r>
      <w:bookmarkEnd w:id="58"/>
      <w:r>
        <w:rPr>
          <w:rFonts w:ascii="Times New Roman" w:hint="eastAsia"/>
        </w:rPr>
        <w:t>。</w:t>
      </w:r>
      <w:bookmarkEnd w:id="59"/>
    </w:p>
    <w:p w14:paraId="099AAE0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本区交通以公路为主，经过多年建设已形成较为完善的公路网。</w:t>
      </w:r>
      <w:r>
        <w:rPr>
          <w:rFonts w:ascii="Times New Roman"/>
        </w:rPr>
        <w:t>银（川）</w:t>
      </w:r>
      <w:r>
        <w:rPr>
          <w:rFonts w:ascii="Times New Roman"/>
        </w:rPr>
        <w:t>-</w:t>
      </w:r>
      <w:r>
        <w:rPr>
          <w:rFonts w:ascii="Times New Roman"/>
        </w:rPr>
        <w:t>青（岛）高速公路（</w:t>
      </w:r>
      <w:r>
        <w:rPr>
          <w:rFonts w:ascii="Times New Roman"/>
        </w:rPr>
        <w:t>GZ25</w:t>
      </w:r>
      <w:r>
        <w:rPr>
          <w:rFonts w:ascii="Times New Roman"/>
        </w:rPr>
        <w:t>）及国道</w:t>
      </w:r>
      <w:r>
        <w:rPr>
          <w:rFonts w:ascii="Times New Roman"/>
        </w:rPr>
        <w:t>307</w:t>
      </w:r>
      <w:r>
        <w:rPr>
          <w:rFonts w:ascii="Times New Roman"/>
        </w:rPr>
        <w:t>线沿本区北部东西向穿过。宁东镇向南与国道</w:t>
      </w:r>
      <w:r>
        <w:rPr>
          <w:rFonts w:ascii="Times New Roman"/>
        </w:rPr>
        <w:t>307</w:t>
      </w:r>
      <w:r>
        <w:rPr>
          <w:rFonts w:ascii="Times New Roman"/>
        </w:rPr>
        <w:t>线相接，向西经灵武市、吴忠市及青铜峡市可接国道</w:t>
      </w:r>
      <w:r>
        <w:rPr>
          <w:rFonts w:ascii="Times New Roman"/>
        </w:rPr>
        <w:t>109</w:t>
      </w:r>
      <w:r>
        <w:rPr>
          <w:rFonts w:ascii="Times New Roman"/>
        </w:rPr>
        <w:t>线，向东经盐池县、定边县可达榆林、延安、太原等地。</w:t>
      </w:r>
    </w:p>
    <w:p w14:paraId="0E13598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太（原）中（卫）银（川）铁路从</w:t>
      </w:r>
      <w:r>
        <w:rPr>
          <w:rFonts w:ascii="Times New Roman"/>
        </w:rPr>
        <w:t>矿区</w:t>
      </w:r>
      <w:r>
        <w:rPr>
          <w:rFonts w:ascii="Times New Roman" w:hint="eastAsia"/>
        </w:rPr>
        <w:t>东南经过</w:t>
      </w:r>
      <w:r>
        <w:rPr>
          <w:rFonts w:ascii="Times New Roman"/>
        </w:rPr>
        <w:t>。包兰铁路于矿区西部约</w:t>
      </w:r>
      <w:r>
        <w:rPr>
          <w:rFonts w:ascii="Times New Roman"/>
        </w:rPr>
        <w:t>70km</w:t>
      </w:r>
      <w:r>
        <w:rPr>
          <w:rFonts w:ascii="Times New Roman"/>
        </w:rPr>
        <w:t>处南北向通过，接轨于包（头）～兰（州）铁路大坝车站的灵武铁路专用线大～古铁路已于</w:t>
      </w:r>
      <w:r>
        <w:rPr>
          <w:rFonts w:ascii="Times New Roman"/>
        </w:rPr>
        <w:t>1995</w:t>
      </w:r>
      <w:r>
        <w:rPr>
          <w:rFonts w:ascii="Times New Roman"/>
        </w:rPr>
        <w:t>年</w:t>
      </w:r>
      <w:r>
        <w:rPr>
          <w:rFonts w:ascii="Times New Roman"/>
        </w:rPr>
        <w:t>10</w:t>
      </w:r>
      <w:r>
        <w:rPr>
          <w:rFonts w:ascii="Times New Roman"/>
        </w:rPr>
        <w:t>月建成通车，线路全长</w:t>
      </w:r>
      <w:r>
        <w:rPr>
          <w:rFonts w:ascii="Times New Roman"/>
        </w:rPr>
        <w:t>70km</w:t>
      </w:r>
      <w:r>
        <w:rPr>
          <w:rFonts w:ascii="Times New Roman"/>
        </w:rPr>
        <w:t>，至兰州</w:t>
      </w:r>
      <w:r>
        <w:rPr>
          <w:rFonts w:ascii="Times New Roman"/>
        </w:rPr>
        <w:t>483km</w:t>
      </w:r>
      <w:r>
        <w:rPr>
          <w:rFonts w:ascii="Times New Roman" w:hint="eastAsia"/>
        </w:rPr>
        <w:t>，</w:t>
      </w:r>
      <w:r>
        <w:rPr>
          <w:rFonts w:ascii="Times New Roman"/>
        </w:rPr>
        <w:t>接轨于大古铁路古窑</w:t>
      </w:r>
      <w:r>
        <w:rPr>
          <w:rFonts w:ascii="Times New Roman" w:hint="eastAsia"/>
        </w:rPr>
        <w:t>子车站。</w:t>
      </w:r>
    </w:p>
    <w:p w14:paraId="175E43B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横城</w:t>
      </w:r>
      <w:r>
        <w:rPr>
          <w:rFonts w:ascii="Times New Roman"/>
        </w:rPr>
        <w:t>矿区交通及地理位置见图</w:t>
      </w:r>
      <w:r>
        <w:rPr>
          <w:rFonts w:ascii="Times New Roman" w:hAnsi="Times New Roman" w:hint="eastAsia"/>
        </w:rPr>
        <w:t>2</w:t>
      </w:r>
      <w:r>
        <w:rPr>
          <w:rFonts w:ascii="Times New Roman" w:hAnsi="Times New Roman"/>
        </w:rPr>
        <w:t>.1-1</w:t>
      </w:r>
      <w:r>
        <w:rPr>
          <w:rFonts w:ascii="Times New Roman"/>
        </w:rPr>
        <w:t>。</w:t>
      </w:r>
    </w:p>
    <w:p w14:paraId="1659B69A" w14:textId="77777777" w:rsidR="009C353B" w:rsidRDefault="00000000">
      <w:pPr>
        <w:pStyle w:val="2"/>
        <w:snapToGrid w:val="0"/>
        <w:spacing w:line="440" w:lineRule="exact"/>
        <w:rPr>
          <w:rFonts w:ascii="Times New Roman" w:eastAsia="宋体" w:hAnsi="Times New Roman"/>
          <w:b/>
          <w:sz w:val="28"/>
        </w:rPr>
      </w:pPr>
      <w:bookmarkStart w:id="60" w:name="_Toc59189825"/>
      <w:bookmarkStart w:id="61" w:name="_Hlk45722808"/>
      <w:r>
        <w:rPr>
          <w:rFonts w:ascii="Times New Roman" w:eastAsia="宋体" w:hAnsi="Times New Roman"/>
          <w:b/>
          <w:sz w:val="28"/>
        </w:rPr>
        <w:t xml:space="preserve">2.2 </w:t>
      </w:r>
      <w:r>
        <w:rPr>
          <w:rFonts w:ascii="Times New Roman" w:eastAsia="宋体" w:hAnsi="Times New Roman" w:hint="eastAsia"/>
          <w:b/>
          <w:sz w:val="28"/>
        </w:rPr>
        <w:t>原矿区总体规划实施情况及规划本次修编主要变化情况</w:t>
      </w:r>
      <w:bookmarkEnd w:id="60"/>
    </w:p>
    <w:p w14:paraId="0ABEFEFA"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2.2.1 </w:t>
      </w:r>
      <w:r>
        <w:rPr>
          <w:rFonts w:ascii="Times New Roman" w:hAnsi="Times New Roman" w:hint="eastAsia"/>
          <w:sz w:val="24"/>
        </w:rPr>
        <w:t>原矿区总体规划实施情况</w:t>
      </w:r>
    </w:p>
    <w:p w14:paraId="5C4865CE" w14:textId="77777777" w:rsidR="009C353B" w:rsidRDefault="00000000">
      <w:pPr>
        <w:pStyle w:val="40"/>
        <w:adjustRightInd w:val="0"/>
        <w:snapToGrid w:val="0"/>
        <w:spacing w:before="0" w:after="0" w:line="440" w:lineRule="exact"/>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sz w:val="24"/>
          <w:szCs w:val="24"/>
        </w:rPr>
        <w:t xml:space="preserve">.2.1.1 </w:t>
      </w:r>
      <w:r>
        <w:rPr>
          <w:rFonts w:ascii="Times New Roman" w:eastAsia="宋体" w:hAnsi="Times New Roman" w:hint="eastAsia"/>
          <w:sz w:val="24"/>
          <w:szCs w:val="24"/>
        </w:rPr>
        <w:t>原总体规划批复情况</w:t>
      </w:r>
    </w:p>
    <w:p w14:paraId="60767763" w14:textId="77777777" w:rsidR="009C353B" w:rsidRDefault="00000000">
      <w:pPr>
        <w:autoSpaceDE w:val="0"/>
        <w:autoSpaceDN w:val="0"/>
        <w:adjustRightInd w:val="0"/>
        <w:snapToGrid w:val="0"/>
        <w:spacing w:line="480" w:lineRule="exact"/>
        <w:ind w:firstLineChars="200" w:firstLine="480"/>
        <w:rPr>
          <w:rFonts w:ascii="Times New Roman" w:hint="eastAsia"/>
        </w:rPr>
      </w:pPr>
      <w:r>
        <w:rPr>
          <w:rFonts w:ascii="Times New Roman" w:hint="eastAsia"/>
        </w:rPr>
        <w:t>200</w:t>
      </w:r>
      <w:r>
        <w:rPr>
          <w:rFonts w:ascii="Times New Roman"/>
        </w:rPr>
        <w:t>3</w:t>
      </w:r>
      <w:r>
        <w:rPr>
          <w:rFonts w:ascii="Times New Roman" w:hint="eastAsia"/>
        </w:rPr>
        <w:t>年，原中煤国际工程集团北京华宇工程有限公司编制完成《宁夏回族自治区横城矿区总体规划》，</w:t>
      </w:r>
      <w:r>
        <w:rPr>
          <w:rFonts w:ascii="Times New Roman" w:hint="eastAsia"/>
        </w:rPr>
        <w:t>200</w:t>
      </w:r>
      <w:r>
        <w:rPr>
          <w:rFonts w:ascii="Times New Roman"/>
        </w:rPr>
        <w:t>4</w:t>
      </w:r>
      <w:r>
        <w:rPr>
          <w:rFonts w:ascii="Times New Roman" w:hint="eastAsia"/>
        </w:rPr>
        <w:t>年</w:t>
      </w:r>
      <w:r>
        <w:rPr>
          <w:rFonts w:ascii="Times New Roman" w:hint="eastAsia"/>
        </w:rPr>
        <w:t>1</w:t>
      </w:r>
      <w:r>
        <w:rPr>
          <w:rFonts w:ascii="Times New Roman"/>
        </w:rPr>
        <w:t>0</w:t>
      </w:r>
      <w:r>
        <w:rPr>
          <w:rFonts w:ascii="Times New Roman" w:hint="eastAsia"/>
        </w:rPr>
        <w:t>月</w:t>
      </w:r>
      <w:r>
        <w:rPr>
          <w:rFonts w:ascii="Times New Roman" w:hint="eastAsia"/>
        </w:rPr>
        <w:t>3</w:t>
      </w:r>
      <w:r>
        <w:rPr>
          <w:rFonts w:ascii="Times New Roman" w:hint="eastAsia"/>
        </w:rPr>
        <w:t>日国家发展改革委以发改能源〔</w:t>
      </w:r>
      <w:r>
        <w:rPr>
          <w:rFonts w:ascii="Times New Roman" w:hint="eastAsia"/>
        </w:rPr>
        <w:t>2004</w:t>
      </w:r>
      <w:r>
        <w:rPr>
          <w:rFonts w:ascii="Times New Roman" w:hint="eastAsia"/>
        </w:rPr>
        <w:t>〕</w:t>
      </w:r>
      <w:r>
        <w:rPr>
          <w:rFonts w:ascii="Times New Roman" w:hint="eastAsia"/>
        </w:rPr>
        <w:t>2166</w:t>
      </w:r>
      <w:r>
        <w:rPr>
          <w:rFonts w:ascii="Times New Roman" w:hint="eastAsia"/>
        </w:rPr>
        <w:t>号《国家发展改革委关于宁夏横城矿区总体规划的批复》对横城矿区总体规划给予批复，根据该批复，横城矿区划分为</w:t>
      </w:r>
      <w:r>
        <w:rPr>
          <w:rFonts w:ascii="Times New Roman"/>
        </w:rPr>
        <w:t>4</w:t>
      </w:r>
      <w:r>
        <w:rPr>
          <w:rFonts w:ascii="Times New Roman" w:hint="eastAsia"/>
        </w:rPr>
        <w:t>个井田开发，规划范围</w:t>
      </w:r>
      <w:r>
        <w:rPr>
          <w:rFonts w:ascii="Times New Roman"/>
        </w:rPr>
        <w:t>58</w:t>
      </w:r>
      <w:r>
        <w:rPr>
          <w:rFonts w:ascii="Times New Roman" w:hint="eastAsia"/>
        </w:rPr>
        <w:t>km</w:t>
      </w:r>
      <w:r>
        <w:rPr>
          <w:rFonts w:ascii="Times New Roman" w:hint="eastAsia"/>
          <w:vertAlign w:val="superscript"/>
        </w:rPr>
        <w:t>2</w:t>
      </w:r>
      <w:r>
        <w:rPr>
          <w:rFonts w:ascii="Times New Roman" w:hint="eastAsia"/>
        </w:rPr>
        <w:t>，总规模</w:t>
      </w:r>
      <w:r>
        <w:rPr>
          <w:rFonts w:ascii="Times New Roman"/>
        </w:rPr>
        <w:t>6.0</w:t>
      </w:r>
      <w:r>
        <w:rPr>
          <w:rFonts w:ascii="Times New Roman" w:hint="eastAsia"/>
        </w:rPr>
        <w:t>Mt/a</w:t>
      </w:r>
      <w:r>
        <w:rPr>
          <w:rFonts w:ascii="Times New Roman" w:hint="eastAsia"/>
        </w:rPr>
        <w:t>。其中，马莲台煤矿</w:t>
      </w:r>
      <w:r>
        <w:rPr>
          <w:rFonts w:ascii="Times New Roman"/>
        </w:rPr>
        <w:t>2.4</w:t>
      </w:r>
      <w:r>
        <w:rPr>
          <w:rFonts w:ascii="Times New Roman" w:hint="eastAsia"/>
        </w:rPr>
        <w:t>0Mt/a</w:t>
      </w:r>
      <w:r>
        <w:rPr>
          <w:rFonts w:ascii="Times New Roman" w:hint="eastAsia"/>
        </w:rPr>
        <w:t>，任家庄煤矿</w:t>
      </w:r>
      <w:r>
        <w:rPr>
          <w:rFonts w:ascii="Times New Roman"/>
        </w:rPr>
        <w:t>2.4</w:t>
      </w:r>
      <w:r>
        <w:rPr>
          <w:rFonts w:ascii="Times New Roman" w:hint="eastAsia"/>
        </w:rPr>
        <w:t>0Mt/a</w:t>
      </w:r>
      <w:r>
        <w:rPr>
          <w:rFonts w:ascii="Times New Roman" w:hint="eastAsia"/>
        </w:rPr>
        <w:t>，红石湾煤矿</w:t>
      </w:r>
      <w:r>
        <w:rPr>
          <w:rFonts w:ascii="Times New Roman"/>
        </w:rPr>
        <w:t>0.60</w:t>
      </w:r>
      <w:r>
        <w:rPr>
          <w:rFonts w:ascii="Times New Roman" w:hint="eastAsia"/>
        </w:rPr>
        <w:t>Mt/a</w:t>
      </w:r>
      <w:r>
        <w:rPr>
          <w:rFonts w:ascii="Times New Roman" w:hint="eastAsia"/>
        </w:rPr>
        <w:t>，丁家梁煤矿</w:t>
      </w:r>
      <w:r>
        <w:rPr>
          <w:rFonts w:ascii="Times New Roman"/>
        </w:rPr>
        <w:t>0.6</w:t>
      </w:r>
      <w:r>
        <w:rPr>
          <w:rFonts w:ascii="Times New Roman" w:hint="eastAsia"/>
        </w:rPr>
        <w:t>0Mt/a</w:t>
      </w:r>
      <w:r>
        <w:rPr>
          <w:rFonts w:ascii="Times New Roman" w:hint="eastAsia"/>
        </w:rPr>
        <w:t>，配套建设相应规模选煤厂。</w:t>
      </w:r>
    </w:p>
    <w:p w14:paraId="3BCEEBDA" w14:textId="77777777" w:rsidR="009C353B" w:rsidRDefault="00000000">
      <w:pPr>
        <w:pStyle w:val="40"/>
        <w:adjustRightInd w:val="0"/>
        <w:snapToGrid w:val="0"/>
        <w:spacing w:before="0" w:after="0" w:line="440" w:lineRule="exact"/>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sz w:val="24"/>
          <w:szCs w:val="24"/>
        </w:rPr>
        <w:t xml:space="preserve">.2.1.2 </w:t>
      </w:r>
      <w:r>
        <w:rPr>
          <w:rFonts w:ascii="Times New Roman" w:eastAsia="宋体" w:hAnsi="Times New Roman" w:hint="eastAsia"/>
          <w:sz w:val="24"/>
          <w:szCs w:val="24"/>
        </w:rPr>
        <w:t>原总体规划项目实施情况</w:t>
      </w:r>
    </w:p>
    <w:p w14:paraId="0C3AF0B3" w14:textId="77777777" w:rsidR="009C353B" w:rsidRDefault="00000000">
      <w:pPr>
        <w:autoSpaceDE w:val="0"/>
        <w:autoSpaceDN w:val="0"/>
        <w:adjustRightInd w:val="0"/>
        <w:snapToGrid w:val="0"/>
        <w:spacing w:line="480" w:lineRule="exact"/>
        <w:ind w:firstLineChars="200" w:firstLine="480"/>
        <w:rPr>
          <w:rFonts w:ascii="Times New Roman" w:hint="eastAsia"/>
        </w:rPr>
      </w:pPr>
      <w:r>
        <w:rPr>
          <w:rFonts w:ascii="Times New Roman" w:hint="eastAsia"/>
        </w:rPr>
        <w:t>原规划的马莲台煤矿、任家庄煤矿、红石湾煤矿均已建成投产，经生产能力核定，目前生产能力分别为</w:t>
      </w:r>
      <w:r>
        <w:rPr>
          <w:rFonts w:ascii="Times New Roman"/>
        </w:rPr>
        <w:t>3.6</w:t>
      </w:r>
      <w:r>
        <w:rPr>
          <w:rFonts w:ascii="Times New Roman" w:hint="eastAsia"/>
        </w:rPr>
        <w:t>0Mt/a</w:t>
      </w:r>
      <w:r>
        <w:rPr>
          <w:rFonts w:ascii="Times New Roman" w:hint="eastAsia"/>
        </w:rPr>
        <w:t>、</w:t>
      </w:r>
      <w:r>
        <w:rPr>
          <w:rFonts w:ascii="Times New Roman"/>
        </w:rPr>
        <w:t>3.6</w:t>
      </w:r>
      <w:r>
        <w:rPr>
          <w:rFonts w:ascii="Times New Roman" w:hint="eastAsia"/>
        </w:rPr>
        <w:t>0Mt/a</w:t>
      </w:r>
      <w:r>
        <w:rPr>
          <w:rFonts w:ascii="Times New Roman" w:hint="eastAsia"/>
        </w:rPr>
        <w:t>、</w:t>
      </w:r>
      <w:r>
        <w:rPr>
          <w:rFonts w:ascii="Times New Roman"/>
        </w:rPr>
        <w:t>1.10</w:t>
      </w:r>
      <w:r>
        <w:rPr>
          <w:rFonts w:ascii="Times New Roman" w:hint="eastAsia"/>
        </w:rPr>
        <w:t>Mt/a</w:t>
      </w:r>
      <w:r>
        <w:rPr>
          <w:rFonts w:ascii="Times New Roman" w:hint="eastAsia"/>
        </w:rPr>
        <w:t>，原规划的丁家梁煤矿处于在建（停工）状态。详见表</w:t>
      </w:r>
      <w:r>
        <w:rPr>
          <w:rFonts w:ascii="Times New Roman" w:hint="eastAsia"/>
        </w:rPr>
        <w:t>2.2-1</w:t>
      </w:r>
      <w:r>
        <w:rPr>
          <w:rFonts w:ascii="Times New Roman" w:hint="eastAsia"/>
        </w:rPr>
        <w:t>。</w:t>
      </w:r>
    </w:p>
    <w:p w14:paraId="4C30C916" w14:textId="77777777" w:rsidR="009C353B" w:rsidRDefault="009C353B">
      <w:pPr>
        <w:autoSpaceDE w:val="0"/>
        <w:autoSpaceDN w:val="0"/>
        <w:adjustRightInd w:val="0"/>
        <w:snapToGrid w:val="0"/>
        <w:spacing w:line="480" w:lineRule="exact"/>
        <w:ind w:firstLineChars="200" w:firstLine="480"/>
        <w:rPr>
          <w:rFonts w:ascii="Times New Roman" w:hint="eastAsia"/>
        </w:rPr>
      </w:pPr>
    </w:p>
    <w:p w14:paraId="069F2477" w14:textId="77777777" w:rsidR="009C353B" w:rsidRDefault="00000000">
      <w:pPr>
        <w:adjustRightInd w:val="0"/>
        <w:snapToGrid w:val="0"/>
        <w:spacing w:line="480" w:lineRule="exact"/>
        <w:jc w:val="center"/>
        <w:rPr>
          <w:rFonts w:ascii="Times New Roman" w:hAnsi="Times New Roman"/>
          <w:b/>
          <w:snapToGrid w:val="0"/>
          <w:kern w:val="0"/>
        </w:rPr>
      </w:pPr>
      <w:r>
        <w:rPr>
          <w:rFonts w:ascii="Times New Roman" w:hAnsi="Times New Roman" w:hint="eastAsia"/>
          <w:b/>
          <w:snapToGrid w:val="0"/>
          <w:kern w:val="0"/>
        </w:rPr>
        <w:lastRenderedPageBreak/>
        <w:t>原</w:t>
      </w:r>
      <w:r>
        <w:rPr>
          <w:rFonts w:ascii="Times New Roman" w:hint="eastAsia"/>
          <w:b/>
        </w:rPr>
        <w:t>横城矿区总体</w:t>
      </w:r>
      <w:r>
        <w:rPr>
          <w:rFonts w:ascii="Times New Roman" w:hAnsi="Times New Roman" w:hint="eastAsia"/>
          <w:b/>
          <w:snapToGrid w:val="0"/>
          <w:kern w:val="0"/>
        </w:rPr>
        <w:t>规划主要</w:t>
      </w:r>
      <w:r>
        <w:rPr>
          <w:rFonts w:ascii="Times New Roman" w:hAnsi="Times New Roman"/>
          <w:b/>
          <w:snapToGrid w:val="0"/>
          <w:kern w:val="0"/>
        </w:rPr>
        <w:t>内容及</w:t>
      </w:r>
      <w:r>
        <w:rPr>
          <w:rFonts w:ascii="Times New Roman" w:hAnsi="Times New Roman" w:hint="eastAsia"/>
          <w:b/>
          <w:snapToGrid w:val="0"/>
          <w:kern w:val="0"/>
        </w:rPr>
        <w:t>实施情况</w:t>
      </w:r>
    </w:p>
    <w:p w14:paraId="2246AA0C" w14:textId="77777777" w:rsidR="009C353B" w:rsidRDefault="00000000">
      <w:pPr>
        <w:pStyle w:val="affffd"/>
        <w:spacing w:line="440" w:lineRule="exact"/>
        <w:ind w:firstLineChars="50" w:firstLine="120"/>
        <w:rPr>
          <w:rFonts w:ascii="Times New Roman" w:hint="eastAsia"/>
        </w:rPr>
      </w:pPr>
      <w:r>
        <w:rPr>
          <w:rFonts w:ascii="Times New Roman" w:hint="eastAsia"/>
        </w:rPr>
        <w:t>表</w:t>
      </w:r>
      <w:r>
        <w:rPr>
          <w:rFonts w:ascii="Times New Roman" w:hint="eastAsia"/>
        </w:rPr>
        <w:t>2.2-1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5"/>
        <w:gridCol w:w="1012"/>
        <w:gridCol w:w="2396"/>
        <w:gridCol w:w="3031"/>
        <w:gridCol w:w="2327"/>
      </w:tblGrid>
      <w:tr w:rsidR="009C353B" w14:paraId="21F479B7" w14:textId="77777777">
        <w:trPr>
          <w:trHeight w:val="600"/>
        </w:trPr>
        <w:tc>
          <w:tcPr>
            <w:tcW w:w="173" w:type="pct"/>
            <w:vAlign w:val="center"/>
          </w:tcPr>
          <w:p w14:paraId="0BF6466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序号</w:t>
            </w:r>
          </w:p>
        </w:tc>
        <w:tc>
          <w:tcPr>
            <w:tcW w:w="557" w:type="pct"/>
            <w:vAlign w:val="center"/>
          </w:tcPr>
          <w:p w14:paraId="01F7D88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主要规划内容</w:t>
            </w:r>
          </w:p>
        </w:tc>
        <w:tc>
          <w:tcPr>
            <w:tcW w:w="1319" w:type="pct"/>
            <w:vAlign w:val="center"/>
          </w:tcPr>
          <w:p w14:paraId="1C3A773B"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名称</w:t>
            </w:r>
          </w:p>
        </w:tc>
        <w:tc>
          <w:tcPr>
            <w:tcW w:w="1669" w:type="pct"/>
            <w:vAlign w:val="center"/>
          </w:tcPr>
          <w:p w14:paraId="09FCD128"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原规划</w:t>
            </w:r>
            <w:r>
              <w:rPr>
                <w:rFonts w:ascii="Times New Roman" w:hAnsi="Times New Roman"/>
                <w:kern w:val="0"/>
                <w:sz w:val="21"/>
                <w:szCs w:val="21"/>
              </w:rPr>
              <w:t>生产能力（</w:t>
            </w:r>
            <w:r>
              <w:rPr>
                <w:rFonts w:ascii="Times New Roman" w:hAnsi="Times New Roman"/>
                <w:kern w:val="0"/>
                <w:sz w:val="21"/>
                <w:szCs w:val="21"/>
              </w:rPr>
              <w:t>Mt/a)</w:t>
            </w:r>
          </w:p>
        </w:tc>
        <w:tc>
          <w:tcPr>
            <w:tcW w:w="1281" w:type="pct"/>
            <w:vAlign w:val="center"/>
          </w:tcPr>
          <w:p w14:paraId="42F090E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目前</w:t>
            </w:r>
            <w:r>
              <w:rPr>
                <w:rFonts w:ascii="Times New Roman" w:hAnsi="Times New Roman"/>
                <w:kern w:val="0"/>
                <w:sz w:val="21"/>
                <w:szCs w:val="21"/>
              </w:rPr>
              <w:t>情况</w:t>
            </w:r>
          </w:p>
        </w:tc>
      </w:tr>
      <w:tr w:rsidR="009C353B" w14:paraId="4C3BD91A" w14:textId="77777777">
        <w:trPr>
          <w:trHeight w:val="284"/>
        </w:trPr>
        <w:tc>
          <w:tcPr>
            <w:tcW w:w="173" w:type="pct"/>
            <w:vMerge w:val="restart"/>
            <w:vAlign w:val="center"/>
          </w:tcPr>
          <w:p w14:paraId="3AEE1C00" w14:textId="77777777" w:rsidR="009C353B" w:rsidRDefault="00000000">
            <w:pPr>
              <w:jc w:val="center"/>
              <w:rPr>
                <w:rFonts w:ascii="Times New Roman" w:hAnsi="Times New Roman"/>
                <w:kern w:val="0"/>
                <w:sz w:val="21"/>
                <w:szCs w:val="21"/>
              </w:rPr>
            </w:pPr>
            <w:bookmarkStart w:id="62" w:name="_Hlk342657745"/>
            <w:r>
              <w:rPr>
                <w:rFonts w:ascii="Times New Roman" w:hAnsi="Times New Roman"/>
                <w:kern w:val="0"/>
                <w:sz w:val="21"/>
                <w:szCs w:val="21"/>
              </w:rPr>
              <w:t>1</w:t>
            </w:r>
          </w:p>
        </w:tc>
        <w:tc>
          <w:tcPr>
            <w:tcW w:w="557" w:type="pct"/>
            <w:vMerge w:val="restart"/>
            <w:vAlign w:val="center"/>
          </w:tcPr>
          <w:p w14:paraId="5BB5008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矿井</w:t>
            </w:r>
          </w:p>
        </w:tc>
        <w:tc>
          <w:tcPr>
            <w:tcW w:w="1319" w:type="pct"/>
            <w:vAlign w:val="center"/>
          </w:tcPr>
          <w:p w14:paraId="49E1C3F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马莲台煤矿</w:t>
            </w:r>
          </w:p>
        </w:tc>
        <w:tc>
          <w:tcPr>
            <w:tcW w:w="1669" w:type="pct"/>
            <w:vAlign w:val="center"/>
          </w:tcPr>
          <w:p w14:paraId="75277F7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2.4</w:t>
            </w:r>
          </w:p>
        </w:tc>
        <w:tc>
          <w:tcPr>
            <w:tcW w:w="1281" w:type="pct"/>
            <w:vAlign w:val="center"/>
          </w:tcPr>
          <w:p w14:paraId="0751126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核增</w:t>
            </w:r>
            <w:r>
              <w:rPr>
                <w:rFonts w:ascii="Times New Roman" w:hAnsi="Times New Roman"/>
                <w:kern w:val="0"/>
                <w:sz w:val="21"/>
                <w:szCs w:val="21"/>
              </w:rPr>
              <w:t>生产能力</w:t>
            </w:r>
            <w:r>
              <w:rPr>
                <w:rFonts w:ascii="Times New Roman" w:hAnsi="Times New Roman" w:hint="eastAsia"/>
                <w:kern w:val="0"/>
                <w:sz w:val="21"/>
                <w:szCs w:val="21"/>
              </w:rPr>
              <w:t>至</w:t>
            </w:r>
            <w:r>
              <w:rPr>
                <w:rFonts w:ascii="Times New Roman" w:hAnsi="Times New Roman"/>
                <w:kern w:val="0"/>
                <w:sz w:val="21"/>
                <w:szCs w:val="21"/>
              </w:rPr>
              <w:t>3.6Mt/a</w:t>
            </w:r>
          </w:p>
        </w:tc>
      </w:tr>
      <w:tr w:rsidR="009C353B" w14:paraId="12ECD5BE" w14:textId="77777777">
        <w:trPr>
          <w:trHeight w:val="284"/>
        </w:trPr>
        <w:tc>
          <w:tcPr>
            <w:tcW w:w="173" w:type="pct"/>
            <w:vMerge/>
            <w:vAlign w:val="center"/>
          </w:tcPr>
          <w:p w14:paraId="2F049290" w14:textId="77777777" w:rsidR="009C353B" w:rsidRDefault="009C353B">
            <w:pPr>
              <w:jc w:val="center"/>
              <w:rPr>
                <w:rFonts w:ascii="Times New Roman" w:hAnsi="Times New Roman"/>
                <w:kern w:val="0"/>
                <w:sz w:val="21"/>
                <w:szCs w:val="21"/>
              </w:rPr>
            </w:pPr>
          </w:p>
        </w:tc>
        <w:tc>
          <w:tcPr>
            <w:tcW w:w="557" w:type="pct"/>
            <w:vMerge/>
            <w:vAlign w:val="center"/>
          </w:tcPr>
          <w:p w14:paraId="5D77692A" w14:textId="77777777" w:rsidR="009C353B" w:rsidRDefault="009C353B">
            <w:pPr>
              <w:widowControl/>
              <w:jc w:val="center"/>
              <w:rPr>
                <w:rFonts w:ascii="Times New Roman" w:hAnsi="Times New Roman"/>
                <w:kern w:val="0"/>
                <w:sz w:val="21"/>
                <w:szCs w:val="21"/>
              </w:rPr>
            </w:pPr>
          </w:p>
        </w:tc>
        <w:tc>
          <w:tcPr>
            <w:tcW w:w="1319" w:type="pct"/>
            <w:vAlign w:val="center"/>
          </w:tcPr>
          <w:p w14:paraId="490A5BB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任家庄煤矿</w:t>
            </w:r>
          </w:p>
        </w:tc>
        <w:tc>
          <w:tcPr>
            <w:tcW w:w="1669" w:type="pct"/>
            <w:vAlign w:val="center"/>
          </w:tcPr>
          <w:p w14:paraId="2D6CF45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2.4</w:t>
            </w:r>
          </w:p>
        </w:tc>
        <w:tc>
          <w:tcPr>
            <w:tcW w:w="1281" w:type="pct"/>
            <w:vAlign w:val="center"/>
          </w:tcPr>
          <w:p w14:paraId="47E763C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核增</w:t>
            </w:r>
            <w:r>
              <w:rPr>
                <w:rFonts w:ascii="Times New Roman" w:hAnsi="Times New Roman"/>
                <w:kern w:val="0"/>
                <w:sz w:val="21"/>
                <w:szCs w:val="21"/>
              </w:rPr>
              <w:t>生产能力</w:t>
            </w:r>
            <w:r>
              <w:rPr>
                <w:rFonts w:ascii="Times New Roman" w:hAnsi="Times New Roman" w:hint="eastAsia"/>
                <w:kern w:val="0"/>
                <w:sz w:val="21"/>
                <w:szCs w:val="21"/>
              </w:rPr>
              <w:t>至</w:t>
            </w:r>
            <w:r>
              <w:rPr>
                <w:rFonts w:ascii="Times New Roman" w:hAnsi="Times New Roman"/>
                <w:kern w:val="0"/>
                <w:sz w:val="21"/>
                <w:szCs w:val="21"/>
              </w:rPr>
              <w:t>3.6Mt/a</w:t>
            </w:r>
          </w:p>
        </w:tc>
      </w:tr>
      <w:tr w:rsidR="009C353B" w14:paraId="31BB0EC1" w14:textId="77777777">
        <w:trPr>
          <w:trHeight w:val="284"/>
        </w:trPr>
        <w:tc>
          <w:tcPr>
            <w:tcW w:w="173" w:type="pct"/>
            <w:vMerge/>
            <w:vAlign w:val="center"/>
          </w:tcPr>
          <w:p w14:paraId="22D08FD3" w14:textId="77777777" w:rsidR="009C353B" w:rsidRDefault="009C353B">
            <w:pPr>
              <w:jc w:val="center"/>
              <w:rPr>
                <w:rFonts w:ascii="Times New Roman" w:hAnsi="Times New Roman"/>
                <w:kern w:val="0"/>
                <w:sz w:val="21"/>
                <w:szCs w:val="21"/>
              </w:rPr>
            </w:pPr>
          </w:p>
        </w:tc>
        <w:tc>
          <w:tcPr>
            <w:tcW w:w="557" w:type="pct"/>
            <w:vMerge/>
            <w:vAlign w:val="center"/>
          </w:tcPr>
          <w:p w14:paraId="362A552A" w14:textId="77777777" w:rsidR="009C353B" w:rsidRDefault="009C353B">
            <w:pPr>
              <w:widowControl/>
              <w:jc w:val="center"/>
              <w:rPr>
                <w:rFonts w:ascii="Times New Roman" w:hAnsi="Times New Roman"/>
                <w:kern w:val="0"/>
                <w:sz w:val="21"/>
                <w:szCs w:val="21"/>
              </w:rPr>
            </w:pPr>
          </w:p>
        </w:tc>
        <w:tc>
          <w:tcPr>
            <w:tcW w:w="1319" w:type="pct"/>
            <w:vAlign w:val="center"/>
          </w:tcPr>
          <w:p w14:paraId="1111F8F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红石湾煤矿</w:t>
            </w:r>
          </w:p>
        </w:tc>
        <w:tc>
          <w:tcPr>
            <w:tcW w:w="1669" w:type="pct"/>
            <w:vAlign w:val="center"/>
          </w:tcPr>
          <w:p w14:paraId="7989B56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w:t>
            </w:r>
            <w:r>
              <w:rPr>
                <w:rFonts w:ascii="Times New Roman" w:hAnsi="Times New Roman"/>
                <w:kern w:val="0"/>
                <w:sz w:val="21"/>
                <w:szCs w:val="21"/>
              </w:rPr>
              <w:t>.6</w:t>
            </w:r>
          </w:p>
        </w:tc>
        <w:tc>
          <w:tcPr>
            <w:tcW w:w="1281" w:type="pct"/>
            <w:vAlign w:val="center"/>
          </w:tcPr>
          <w:p w14:paraId="330068A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核增</w:t>
            </w:r>
            <w:r>
              <w:rPr>
                <w:rFonts w:ascii="Times New Roman" w:hAnsi="Times New Roman"/>
                <w:kern w:val="0"/>
                <w:sz w:val="21"/>
                <w:szCs w:val="21"/>
              </w:rPr>
              <w:t>生产能力</w:t>
            </w:r>
            <w:r>
              <w:rPr>
                <w:rFonts w:ascii="Times New Roman" w:hAnsi="Times New Roman" w:hint="eastAsia"/>
                <w:kern w:val="0"/>
                <w:sz w:val="21"/>
                <w:szCs w:val="21"/>
              </w:rPr>
              <w:t>至</w:t>
            </w:r>
            <w:r>
              <w:rPr>
                <w:rFonts w:ascii="Times New Roman" w:hAnsi="Times New Roman"/>
                <w:kern w:val="0"/>
                <w:sz w:val="21"/>
                <w:szCs w:val="21"/>
              </w:rPr>
              <w:t>1.1Mt/a</w:t>
            </w:r>
          </w:p>
        </w:tc>
      </w:tr>
      <w:tr w:rsidR="009C353B" w14:paraId="14923033" w14:textId="77777777">
        <w:trPr>
          <w:trHeight w:val="284"/>
        </w:trPr>
        <w:tc>
          <w:tcPr>
            <w:tcW w:w="173" w:type="pct"/>
            <w:vMerge/>
            <w:vAlign w:val="center"/>
          </w:tcPr>
          <w:p w14:paraId="7031DE46" w14:textId="77777777" w:rsidR="009C353B" w:rsidRDefault="009C353B">
            <w:pPr>
              <w:jc w:val="center"/>
              <w:rPr>
                <w:rFonts w:ascii="Times New Roman" w:hAnsi="Times New Roman"/>
                <w:kern w:val="0"/>
                <w:sz w:val="21"/>
                <w:szCs w:val="21"/>
              </w:rPr>
            </w:pPr>
          </w:p>
        </w:tc>
        <w:tc>
          <w:tcPr>
            <w:tcW w:w="557" w:type="pct"/>
            <w:vMerge/>
            <w:vAlign w:val="center"/>
          </w:tcPr>
          <w:p w14:paraId="44290D4E" w14:textId="77777777" w:rsidR="009C353B" w:rsidRDefault="009C353B">
            <w:pPr>
              <w:widowControl/>
              <w:jc w:val="center"/>
              <w:rPr>
                <w:rFonts w:ascii="Times New Roman" w:hAnsi="Times New Roman"/>
                <w:kern w:val="0"/>
                <w:sz w:val="21"/>
                <w:szCs w:val="21"/>
              </w:rPr>
            </w:pPr>
          </w:p>
        </w:tc>
        <w:tc>
          <w:tcPr>
            <w:tcW w:w="1319" w:type="pct"/>
            <w:vAlign w:val="center"/>
          </w:tcPr>
          <w:p w14:paraId="75F0362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丁家梁煤矿</w:t>
            </w:r>
          </w:p>
        </w:tc>
        <w:tc>
          <w:tcPr>
            <w:tcW w:w="1669" w:type="pct"/>
            <w:vAlign w:val="center"/>
          </w:tcPr>
          <w:p w14:paraId="1B59BD8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0.6</w:t>
            </w:r>
          </w:p>
        </w:tc>
        <w:tc>
          <w:tcPr>
            <w:tcW w:w="1281" w:type="pct"/>
            <w:vAlign w:val="center"/>
          </w:tcPr>
          <w:p w14:paraId="5CC88B3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在</w:t>
            </w:r>
            <w:r>
              <w:rPr>
                <w:rFonts w:ascii="Times New Roman" w:hAnsi="Times New Roman"/>
                <w:kern w:val="0"/>
                <w:sz w:val="21"/>
                <w:szCs w:val="21"/>
              </w:rPr>
              <w:t>建</w:t>
            </w:r>
            <w:r>
              <w:rPr>
                <w:rFonts w:ascii="Times New Roman" w:hAnsi="Times New Roman" w:hint="eastAsia"/>
                <w:kern w:val="0"/>
                <w:sz w:val="21"/>
                <w:szCs w:val="21"/>
              </w:rPr>
              <w:t>（停工）</w:t>
            </w:r>
          </w:p>
        </w:tc>
      </w:tr>
      <w:bookmarkEnd w:id="62"/>
      <w:tr w:rsidR="009C353B" w14:paraId="569BEA8A" w14:textId="77777777">
        <w:trPr>
          <w:trHeight w:val="284"/>
        </w:trPr>
        <w:tc>
          <w:tcPr>
            <w:tcW w:w="173" w:type="pct"/>
            <w:vMerge/>
            <w:vAlign w:val="center"/>
          </w:tcPr>
          <w:p w14:paraId="474FDF3B" w14:textId="77777777" w:rsidR="009C353B" w:rsidRDefault="009C353B">
            <w:pPr>
              <w:widowControl/>
              <w:jc w:val="center"/>
              <w:rPr>
                <w:rFonts w:ascii="Times New Roman" w:hAnsi="Times New Roman"/>
                <w:kern w:val="0"/>
                <w:sz w:val="21"/>
                <w:szCs w:val="21"/>
              </w:rPr>
            </w:pPr>
          </w:p>
        </w:tc>
        <w:tc>
          <w:tcPr>
            <w:tcW w:w="557" w:type="pct"/>
            <w:vMerge/>
            <w:vAlign w:val="center"/>
          </w:tcPr>
          <w:p w14:paraId="5E33B7F1" w14:textId="77777777" w:rsidR="009C353B" w:rsidRDefault="009C353B">
            <w:pPr>
              <w:widowControl/>
              <w:jc w:val="center"/>
              <w:rPr>
                <w:rFonts w:ascii="Times New Roman" w:hAnsi="Times New Roman"/>
                <w:kern w:val="0"/>
                <w:sz w:val="21"/>
                <w:szCs w:val="21"/>
              </w:rPr>
            </w:pPr>
          </w:p>
        </w:tc>
        <w:tc>
          <w:tcPr>
            <w:tcW w:w="1319" w:type="pct"/>
            <w:vAlign w:val="center"/>
          </w:tcPr>
          <w:p w14:paraId="01248CC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合计</w:t>
            </w:r>
          </w:p>
        </w:tc>
        <w:tc>
          <w:tcPr>
            <w:tcW w:w="1669" w:type="pct"/>
            <w:vAlign w:val="center"/>
          </w:tcPr>
          <w:p w14:paraId="72390A7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6.0 Mt/a</w:t>
            </w:r>
          </w:p>
        </w:tc>
        <w:tc>
          <w:tcPr>
            <w:tcW w:w="1281" w:type="pct"/>
            <w:vAlign w:val="center"/>
          </w:tcPr>
          <w:p w14:paraId="1153CAE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8</w:t>
            </w:r>
            <w:r>
              <w:rPr>
                <w:rFonts w:ascii="Times New Roman" w:hAnsi="Times New Roman"/>
                <w:kern w:val="0"/>
                <w:sz w:val="21"/>
                <w:szCs w:val="21"/>
              </w:rPr>
              <w:t>.3 Mt/a</w:t>
            </w:r>
          </w:p>
        </w:tc>
      </w:tr>
      <w:tr w:rsidR="009C353B" w14:paraId="2DEB0ECA" w14:textId="77777777">
        <w:trPr>
          <w:trHeight w:val="284"/>
        </w:trPr>
        <w:tc>
          <w:tcPr>
            <w:tcW w:w="173" w:type="pct"/>
            <w:vMerge w:val="restart"/>
            <w:vAlign w:val="center"/>
          </w:tcPr>
          <w:p w14:paraId="36819C2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w:t>
            </w:r>
          </w:p>
        </w:tc>
        <w:tc>
          <w:tcPr>
            <w:tcW w:w="557" w:type="pct"/>
            <w:vMerge w:val="restart"/>
            <w:vAlign w:val="center"/>
          </w:tcPr>
          <w:p w14:paraId="255167B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选煤厂</w:t>
            </w:r>
          </w:p>
        </w:tc>
        <w:tc>
          <w:tcPr>
            <w:tcW w:w="1319" w:type="pct"/>
            <w:vAlign w:val="center"/>
          </w:tcPr>
          <w:p w14:paraId="3F0439C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马莲台选煤厂</w:t>
            </w:r>
          </w:p>
        </w:tc>
        <w:tc>
          <w:tcPr>
            <w:tcW w:w="1669" w:type="pct"/>
            <w:vAlign w:val="center"/>
          </w:tcPr>
          <w:p w14:paraId="202A96B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2.4</w:t>
            </w:r>
          </w:p>
        </w:tc>
        <w:tc>
          <w:tcPr>
            <w:tcW w:w="1281" w:type="pct"/>
            <w:vAlign w:val="center"/>
          </w:tcPr>
          <w:p w14:paraId="1CE590A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r>
              <w:rPr>
                <w:rFonts w:ascii="Times New Roman" w:hAnsi="Times New Roman" w:hint="eastAsia"/>
                <w:kern w:val="0"/>
                <w:sz w:val="21"/>
                <w:szCs w:val="21"/>
              </w:rPr>
              <w:t>.0</w:t>
            </w:r>
            <w:r>
              <w:rPr>
                <w:rFonts w:ascii="Times New Roman" w:hAnsi="Times New Roman"/>
                <w:kern w:val="0"/>
                <w:sz w:val="21"/>
                <w:szCs w:val="21"/>
              </w:rPr>
              <w:t xml:space="preserve"> Mt/a</w:t>
            </w:r>
          </w:p>
        </w:tc>
      </w:tr>
      <w:tr w:rsidR="009C353B" w14:paraId="30449F70" w14:textId="77777777">
        <w:trPr>
          <w:trHeight w:val="284"/>
        </w:trPr>
        <w:tc>
          <w:tcPr>
            <w:tcW w:w="173" w:type="pct"/>
            <w:vMerge/>
            <w:vAlign w:val="center"/>
          </w:tcPr>
          <w:p w14:paraId="2DA33719" w14:textId="77777777" w:rsidR="009C353B" w:rsidRDefault="009C353B">
            <w:pPr>
              <w:widowControl/>
              <w:jc w:val="center"/>
              <w:rPr>
                <w:rFonts w:ascii="Times New Roman" w:hAnsi="Times New Roman"/>
                <w:kern w:val="0"/>
                <w:sz w:val="21"/>
                <w:szCs w:val="21"/>
              </w:rPr>
            </w:pPr>
          </w:p>
        </w:tc>
        <w:tc>
          <w:tcPr>
            <w:tcW w:w="557" w:type="pct"/>
            <w:vMerge/>
            <w:vAlign w:val="center"/>
          </w:tcPr>
          <w:p w14:paraId="69857A25" w14:textId="77777777" w:rsidR="009C353B" w:rsidRDefault="009C353B">
            <w:pPr>
              <w:widowControl/>
              <w:jc w:val="center"/>
              <w:rPr>
                <w:rFonts w:ascii="Times New Roman" w:hAnsi="Times New Roman"/>
                <w:kern w:val="0"/>
                <w:sz w:val="21"/>
                <w:szCs w:val="21"/>
              </w:rPr>
            </w:pPr>
          </w:p>
        </w:tc>
        <w:tc>
          <w:tcPr>
            <w:tcW w:w="1319" w:type="pct"/>
            <w:vAlign w:val="center"/>
          </w:tcPr>
          <w:p w14:paraId="40ABC2E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任家庄选煤厂</w:t>
            </w:r>
          </w:p>
        </w:tc>
        <w:tc>
          <w:tcPr>
            <w:tcW w:w="1669" w:type="pct"/>
            <w:vAlign w:val="center"/>
          </w:tcPr>
          <w:p w14:paraId="1860A2C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2.4</w:t>
            </w:r>
          </w:p>
        </w:tc>
        <w:tc>
          <w:tcPr>
            <w:tcW w:w="1281" w:type="pct"/>
            <w:vAlign w:val="center"/>
          </w:tcPr>
          <w:p w14:paraId="4E51B97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增加洗选规模至</w:t>
            </w:r>
            <w:r>
              <w:rPr>
                <w:rFonts w:ascii="Times New Roman" w:hAnsi="Times New Roman"/>
                <w:kern w:val="0"/>
                <w:sz w:val="21"/>
                <w:szCs w:val="21"/>
              </w:rPr>
              <w:t>4.8Mt/a</w:t>
            </w:r>
          </w:p>
        </w:tc>
      </w:tr>
      <w:tr w:rsidR="009C353B" w14:paraId="4AF66085" w14:textId="77777777">
        <w:trPr>
          <w:trHeight w:val="284"/>
        </w:trPr>
        <w:tc>
          <w:tcPr>
            <w:tcW w:w="173" w:type="pct"/>
            <w:vMerge/>
            <w:vAlign w:val="center"/>
          </w:tcPr>
          <w:p w14:paraId="53A54EAC" w14:textId="77777777" w:rsidR="009C353B" w:rsidRDefault="009C353B">
            <w:pPr>
              <w:widowControl/>
              <w:jc w:val="center"/>
              <w:rPr>
                <w:rFonts w:ascii="Times New Roman" w:hAnsi="Times New Roman"/>
                <w:kern w:val="0"/>
                <w:sz w:val="21"/>
                <w:szCs w:val="21"/>
              </w:rPr>
            </w:pPr>
          </w:p>
        </w:tc>
        <w:tc>
          <w:tcPr>
            <w:tcW w:w="557" w:type="pct"/>
            <w:vMerge/>
            <w:vAlign w:val="center"/>
          </w:tcPr>
          <w:p w14:paraId="07C8052A" w14:textId="77777777" w:rsidR="009C353B" w:rsidRDefault="009C353B">
            <w:pPr>
              <w:widowControl/>
              <w:jc w:val="center"/>
              <w:rPr>
                <w:rFonts w:ascii="Times New Roman" w:hAnsi="Times New Roman"/>
                <w:kern w:val="0"/>
                <w:sz w:val="21"/>
                <w:szCs w:val="21"/>
              </w:rPr>
            </w:pPr>
          </w:p>
        </w:tc>
        <w:tc>
          <w:tcPr>
            <w:tcW w:w="1319" w:type="pct"/>
            <w:vAlign w:val="center"/>
          </w:tcPr>
          <w:p w14:paraId="1F7AC63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红石湾选煤厂</w:t>
            </w:r>
          </w:p>
        </w:tc>
        <w:tc>
          <w:tcPr>
            <w:tcW w:w="1669" w:type="pct"/>
            <w:vAlign w:val="center"/>
          </w:tcPr>
          <w:p w14:paraId="4413216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w:t>
            </w:r>
          </w:p>
        </w:tc>
        <w:tc>
          <w:tcPr>
            <w:tcW w:w="1281" w:type="pct"/>
            <w:vAlign w:val="center"/>
          </w:tcPr>
          <w:p w14:paraId="2CF4EB5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.2Mt/a</w:t>
            </w:r>
          </w:p>
        </w:tc>
      </w:tr>
      <w:tr w:rsidR="009C353B" w14:paraId="4476F318" w14:textId="77777777">
        <w:trPr>
          <w:trHeight w:val="284"/>
        </w:trPr>
        <w:tc>
          <w:tcPr>
            <w:tcW w:w="173" w:type="pct"/>
            <w:vMerge/>
            <w:vAlign w:val="center"/>
          </w:tcPr>
          <w:p w14:paraId="68E1B351" w14:textId="77777777" w:rsidR="009C353B" w:rsidRDefault="009C353B">
            <w:pPr>
              <w:widowControl/>
              <w:jc w:val="center"/>
              <w:rPr>
                <w:rFonts w:ascii="Times New Roman" w:hAnsi="Times New Roman"/>
                <w:kern w:val="0"/>
                <w:sz w:val="21"/>
                <w:szCs w:val="21"/>
              </w:rPr>
            </w:pPr>
          </w:p>
        </w:tc>
        <w:tc>
          <w:tcPr>
            <w:tcW w:w="557" w:type="pct"/>
            <w:vMerge/>
            <w:vAlign w:val="center"/>
          </w:tcPr>
          <w:p w14:paraId="35A924EF" w14:textId="77777777" w:rsidR="009C353B" w:rsidRDefault="009C353B">
            <w:pPr>
              <w:widowControl/>
              <w:jc w:val="center"/>
              <w:rPr>
                <w:rFonts w:ascii="Times New Roman" w:hAnsi="Times New Roman"/>
                <w:kern w:val="0"/>
                <w:sz w:val="21"/>
                <w:szCs w:val="21"/>
              </w:rPr>
            </w:pPr>
          </w:p>
        </w:tc>
        <w:tc>
          <w:tcPr>
            <w:tcW w:w="1319" w:type="pct"/>
            <w:vAlign w:val="center"/>
          </w:tcPr>
          <w:p w14:paraId="34FABDF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合计</w:t>
            </w:r>
          </w:p>
        </w:tc>
        <w:tc>
          <w:tcPr>
            <w:tcW w:w="1669" w:type="pct"/>
            <w:vAlign w:val="center"/>
          </w:tcPr>
          <w:p w14:paraId="1257729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4.8Mt/a</w:t>
            </w:r>
          </w:p>
        </w:tc>
        <w:tc>
          <w:tcPr>
            <w:tcW w:w="1281" w:type="pct"/>
            <w:vAlign w:val="center"/>
          </w:tcPr>
          <w:p w14:paraId="3FD4095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16.0Mt/a</w:t>
            </w:r>
          </w:p>
        </w:tc>
      </w:tr>
      <w:tr w:rsidR="009C353B" w14:paraId="35D62D8E" w14:textId="77777777">
        <w:trPr>
          <w:trHeight w:val="284"/>
        </w:trPr>
        <w:tc>
          <w:tcPr>
            <w:tcW w:w="173" w:type="pct"/>
            <w:vMerge w:val="restart"/>
            <w:vAlign w:val="center"/>
          </w:tcPr>
          <w:p w14:paraId="2258CB2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p>
        </w:tc>
        <w:tc>
          <w:tcPr>
            <w:tcW w:w="557" w:type="pct"/>
            <w:vMerge w:val="restart"/>
            <w:vAlign w:val="center"/>
          </w:tcPr>
          <w:p w14:paraId="4376F63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公路</w:t>
            </w:r>
          </w:p>
        </w:tc>
        <w:tc>
          <w:tcPr>
            <w:tcW w:w="1319" w:type="pct"/>
            <w:vAlign w:val="center"/>
          </w:tcPr>
          <w:p w14:paraId="45D1057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矿区中心区道路</w:t>
            </w:r>
          </w:p>
        </w:tc>
        <w:tc>
          <w:tcPr>
            <w:tcW w:w="1669" w:type="pct"/>
            <w:vAlign w:val="center"/>
          </w:tcPr>
          <w:p w14:paraId="7ECB330A" w14:textId="77777777" w:rsidR="009C353B" w:rsidRDefault="00000000">
            <w:pPr>
              <w:widowControl/>
              <w:jc w:val="left"/>
              <w:rPr>
                <w:rFonts w:ascii="Times New Roman" w:hAnsi="Times New Roman"/>
                <w:kern w:val="0"/>
                <w:sz w:val="21"/>
                <w:szCs w:val="21"/>
              </w:rPr>
            </w:pPr>
            <w:r>
              <w:rPr>
                <w:rFonts w:ascii="Times New Roman" w:hAnsi="Times New Roman" w:hint="eastAsia"/>
                <w:kern w:val="0"/>
                <w:sz w:val="21"/>
                <w:szCs w:val="21"/>
              </w:rPr>
              <w:t>起点与古王高速公路相连，直接进入矿区中心区，道路全长</w:t>
            </w:r>
            <w:r>
              <w:rPr>
                <w:rFonts w:ascii="Times New Roman" w:hAnsi="Times New Roman" w:hint="eastAsia"/>
                <w:kern w:val="0"/>
                <w:sz w:val="21"/>
                <w:szCs w:val="21"/>
              </w:rPr>
              <w:t>1.55</w:t>
            </w:r>
            <w:r>
              <w:rPr>
                <w:rFonts w:ascii="Times New Roman" w:hAnsi="Times New Roman"/>
                <w:kern w:val="0"/>
                <w:sz w:val="21"/>
                <w:szCs w:val="21"/>
              </w:rPr>
              <w:t>km</w:t>
            </w:r>
            <w:r>
              <w:rPr>
                <w:rFonts w:ascii="Times New Roman" w:hAnsi="Times New Roman" w:hint="eastAsia"/>
                <w:kern w:val="0"/>
                <w:sz w:val="21"/>
                <w:szCs w:val="21"/>
              </w:rPr>
              <w:t>。</w:t>
            </w:r>
          </w:p>
        </w:tc>
        <w:tc>
          <w:tcPr>
            <w:tcW w:w="1281" w:type="pct"/>
            <w:vAlign w:val="center"/>
          </w:tcPr>
          <w:p w14:paraId="5472092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已建成</w:t>
            </w:r>
          </w:p>
        </w:tc>
      </w:tr>
      <w:tr w:rsidR="009C353B" w14:paraId="2708F1FB" w14:textId="77777777">
        <w:trPr>
          <w:trHeight w:val="284"/>
        </w:trPr>
        <w:tc>
          <w:tcPr>
            <w:tcW w:w="173" w:type="pct"/>
            <w:vMerge/>
            <w:vAlign w:val="center"/>
          </w:tcPr>
          <w:p w14:paraId="749E7B3F" w14:textId="77777777" w:rsidR="009C353B" w:rsidRDefault="009C353B">
            <w:pPr>
              <w:widowControl/>
              <w:jc w:val="center"/>
              <w:rPr>
                <w:rFonts w:ascii="Times New Roman" w:hAnsi="Times New Roman"/>
                <w:kern w:val="0"/>
                <w:sz w:val="21"/>
                <w:szCs w:val="21"/>
              </w:rPr>
            </w:pPr>
          </w:p>
        </w:tc>
        <w:tc>
          <w:tcPr>
            <w:tcW w:w="557" w:type="pct"/>
            <w:vMerge/>
            <w:vAlign w:val="center"/>
          </w:tcPr>
          <w:p w14:paraId="7EEB17D8" w14:textId="77777777" w:rsidR="009C353B" w:rsidRDefault="009C353B">
            <w:pPr>
              <w:widowControl/>
              <w:jc w:val="center"/>
              <w:rPr>
                <w:rFonts w:ascii="Times New Roman" w:hAnsi="Times New Roman"/>
                <w:kern w:val="0"/>
                <w:sz w:val="21"/>
                <w:szCs w:val="21"/>
              </w:rPr>
            </w:pPr>
          </w:p>
        </w:tc>
        <w:tc>
          <w:tcPr>
            <w:tcW w:w="1319" w:type="pct"/>
            <w:vAlign w:val="center"/>
          </w:tcPr>
          <w:p w14:paraId="1BFEB25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矿区联络道路</w:t>
            </w:r>
          </w:p>
        </w:tc>
        <w:tc>
          <w:tcPr>
            <w:tcW w:w="1669" w:type="pct"/>
            <w:vAlign w:val="center"/>
          </w:tcPr>
          <w:p w14:paraId="150C19E8" w14:textId="77777777" w:rsidR="009C353B" w:rsidRDefault="00000000">
            <w:pPr>
              <w:widowControl/>
              <w:jc w:val="left"/>
              <w:rPr>
                <w:rFonts w:ascii="Times New Roman" w:hAnsi="Times New Roman"/>
                <w:kern w:val="0"/>
                <w:sz w:val="21"/>
                <w:szCs w:val="21"/>
              </w:rPr>
            </w:pPr>
            <w:r>
              <w:rPr>
                <w:rFonts w:ascii="Times New Roman" w:hAnsi="Times New Roman" w:hint="eastAsia"/>
                <w:kern w:val="0"/>
                <w:sz w:val="21"/>
                <w:szCs w:val="21"/>
              </w:rPr>
              <w:t>与矿区中心区道路相连，把矿区中心区与各矿井工业场地联系起来，道路全长</w:t>
            </w:r>
            <w:r>
              <w:rPr>
                <w:rFonts w:ascii="Times New Roman" w:hAnsi="Times New Roman" w:hint="eastAsia"/>
                <w:kern w:val="0"/>
                <w:sz w:val="21"/>
                <w:szCs w:val="21"/>
              </w:rPr>
              <w:t>11.48km</w:t>
            </w:r>
            <w:r>
              <w:rPr>
                <w:rFonts w:ascii="Times New Roman" w:hAnsi="Times New Roman" w:hint="eastAsia"/>
                <w:kern w:val="0"/>
                <w:sz w:val="21"/>
                <w:szCs w:val="21"/>
              </w:rPr>
              <w:t>。。该道路起点在矿区中心区西侧，然后向西沿调节水库和丁家梁矿工业场地北侧通过，再北上与水洞沟电厂、马莲台选煤厂矿工业场地相连，再立交跨越古王高速公路与马连台矿井工业场地相连接。</w:t>
            </w:r>
          </w:p>
        </w:tc>
        <w:tc>
          <w:tcPr>
            <w:tcW w:w="1281" w:type="pct"/>
            <w:vAlign w:val="center"/>
          </w:tcPr>
          <w:p w14:paraId="0C4AA78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已建成</w:t>
            </w:r>
          </w:p>
        </w:tc>
      </w:tr>
      <w:tr w:rsidR="009C353B" w14:paraId="7D59BCDD" w14:textId="77777777">
        <w:trPr>
          <w:trHeight w:val="284"/>
        </w:trPr>
        <w:tc>
          <w:tcPr>
            <w:tcW w:w="173" w:type="pct"/>
            <w:vMerge/>
            <w:vAlign w:val="center"/>
          </w:tcPr>
          <w:p w14:paraId="1D37F62A" w14:textId="77777777" w:rsidR="009C353B" w:rsidRDefault="009C353B">
            <w:pPr>
              <w:widowControl/>
              <w:jc w:val="center"/>
              <w:rPr>
                <w:rFonts w:ascii="Times New Roman" w:hAnsi="Times New Roman"/>
                <w:kern w:val="0"/>
                <w:sz w:val="21"/>
                <w:szCs w:val="21"/>
              </w:rPr>
            </w:pPr>
          </w:p>
        </w:tc>
        <w:tc>
          <w:tcPr>
            <w:tcW w:w="557" w:type="pct"/>
            <w:vMerge/>
            <w:vAlign w:val="center"/>
          </w:tcPr>
          <w:p w14:paraId="06EB63C8" w14:textId="77777777" w:rsidR="009C353B" w:rsidRDefault="009C353B">
            <w:pPr>
              <w:widowControl/>
              <w:jc w:val="center"/>
              <w:rPr>
                <w:rFonts w:ascii="Times New Roman" w:hAnsi="Times New Roman"/>
                <w:kern w:val="0"/>
                <w:sz w:val="21"/>
                <w:szCs w:val="21"/>
              </w:rPr>
            </w:pPr>
          </w:p>
        </w:tc>
        <w:tc>
          <w:tcPr>
            <w:tcW w:w="1319" w:type="pct"/>
            <w:vAlign w:val="center"/>
          </w:tcPr>
          <w:p w14:paraId="0F5F9DD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任家庄矿联络道路</w:t>
            </w:r>
          </w:p>
        </w:tc>
        <w:tc>
          <w:tcPr>
            <w:tcW w:w="1669" w:type="pct"/>
            <w:vAlign w:val="center"/>
          </w:tcPr>
          <w:p w14:paraId="62360A34" w14:textId="77777777" w:rsidR="009C353B" w:rsidRDefault="00000000">
            <w:pPr>
              <w:widowControl/>
              <w:jc w:val="left"/>
              <w:rPr>
                <w:rFonts w:ascii="Times New Roman" w:hAnsi="Times New Roman"/>
                <w:kern w:val="0"/>
                <w:sz w:val="21"/>
                <w:szCs w:val="21"/>
              </w:rPr>
            </w:pPr>
            <w:r>
              <w:rPr>
                <w:rFonts w:ascii="Times New Roman" w:hAnsi="Times New Roman" w:hint="eastAsia"/>
                <w:kern w:val="0"/>
                <w:sz w:val="21"/>
                <w:szCs w:val="21"/>
              </w:rPr>
              <w:t>与矿区联络道路相接，向西与任家庄矿工业场地相连。道路全长</w:t>
            </w:r>
            <w:r>
              <w:rPr>
                <w:rFonts w:ascii="Times New Roman" w:hAnsi="Times New Roman" w:hint="eastAsia"/>
                <w:kern w:val="0"/>
                <w:sz w:val="21"/>
                <w:szCs w:val="21"/>
              </w:rPr>
              <w:t>2.83km</w:t>
            </w:r>
            <w:r>
              <w:rPr>
                <w:rFonts w:ascii="Times New Roman" w:hAnsi="Times New Roman" w:hint="eastAsia"/>
                <w:kern w:val="0"/>
                <w:sz w:val="21"/>
                <w:szCs w:val="21"/>
              </w:rPr>
              <w:t>。</w:t>
            </w:r>
          </w:p>
        </w:tc>
        <w:tc>
          <w:tcPr>
            <w:tcW w:w="1281" w:type="pct"/>
            <w:vAlign w:val="center"/>
          </w:tcPr>
          <w:p w14:paraId="4E325E5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已建成</w:t>
            </w:r>
          </w:p>
        </w:tc>
      </w:tr>
      <w:tr w:rsidR="009C353B" w14:paraId="77F9C6B9" w14:textId="77777777">
        <w:trPr>
          <w:trHeight w:val="284"/>
        </w:trPr>
        <w:tc>
          <w:tcPr>
            <w:tcW w:w="173" w:type="pct"/>
            <w:vMerge/>
            <w:vAlign w:val="center"/>
          </w:tcPr>
          <w:p w14:paraId="76AF7041" w14:textId="77777777" w:rsidR="009C353B" w:rsidRDefault="009C353B">
            <w:pPr>
              <w:widowControl/>
              <w:jc w:val="center"/>
              <w:rPr>
                <w:rFonts w:ascii="Times New Roman" w:hAnsi="Times New Roman"/>
                <w:kern w:val="0"/>
                <w:sz w:val="21"/>
                <w:szCs w:val="21"/>
              </w:rPr>
            </w:pPr>
          </w:p>
        </w:tc>
        <w:tc>
          <w:tcPr>
            <w:tcW w:w="557" w:type="pct"/>
            <w:vMerge/>
            <w:vAlign w:val="center"/>
          </w:tcPr>
          <w:p w14:paraId="43726520" w14:textId="77777777" w:rsidR="009C353B" w:rsidRDefault="009C353B">
            <w:pPr>
              <w:widowControl/>
              <w:jc w:val="center"/>
              <w:rPr>
                <w:rFonts w:ascii="Times New Roman" w:hAnsi="Times New Roman"/>
                <w:kern w:val="0"/>
                <w:sz w:val="21"/>
                <w:szCs w:val="21"/>
              </w:rPr>
            </w:pPr>
          </w:p>
        </w:tc>
        <w:tc>
          <w:tcPr>
            <w:tcW w:w="1319" w:type="pct"/>
            <w:vAlign w:val="center"/>
          </w:tcPr>
          <w:p w14:paraId="169E4BA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红石湾矿联络道路</w:t>
            </w:r>
          </w:p>
        </w:tc>
        <w:tc>
          <w:tcPr>
            <w:tcW w:w="1669" w:type="pct"/>
            <w:vAlign w:val="center"/>
          </w:tcPr>
          <w:p w14:paraId="51C9F786" w14:textId="77777777" w:rsidR="009C353B" w:rsidRDefault="00000000">
            <w:pPr>
              <w:widowControl/>
              <w:jc w:val="left"/>
              <w:rPr>
                <w:rFonts w:ascii="Times New Roman" w:hAnsi="Times New Roman"/>
                <w:kern w:val="0"/>
                <w:sz w:val="21"/>
                <w:szCs w:val="21"/>
              </w:rPr>
            </w:pPr>
            <w:r>
              <w:rPr>
                <w:rFonts w:ascii="Times New Roman" w:hAnsi="Times New Roman" w:hint="eastAsia"/>
                <w:kern w:val="0"/>
                <w:sz w:val="21"/>
                <w:szCs w:val="21"/>
              </w:rPr>
              <w:t>与矿区联络道路相接，向东与马连台矿工业场地相连。道路全长</w:t>
            </w:r>
            <w:r>
              <w:rPr>
                <w:rFonts w:ascii="Times New Roman" w:hAnsi="Times New Roman"/>
                <w:kern w:val="0"/>
                <w:sz w:val="21"/>
                <w:szCs w:val="21"/>
              </w:rPr>
              <w:t>1.</w:t>
            </w:r>
            <w:r>
              <w:rPr>
                <w:rFonts w:ascii="Times New Roman" w:hAnsi="Times New Roman" w:hint="eastAsia"/>
                <w:kern w:val="0"/>
                <w:sz w:val="21"/>
                <w:szCs w:val="21"/>
              </w:rPr>
              <w:t>83km</w:t>
            </w:r>
            <w:r>
              <w:rPr>
                <w:rFonts w:ascii="Times New Roman" w:hAnsi="Times New Roman" w:hint="eastAsia"/>
                <w:kern w:val="0"/>
                <w:sz w:val="21"/>
                <w:szCs w:val="21"/>
              </w:rPr>
              <w:t>。</w:t>
            </w:r>
          </w:p>
        </w:tc>
        <w:tc>
          <w:tcPr>
            <w:tcW w:w="1281" w:type="pct"/>
            <w:vAlign w:val="center"/>
          </w:tcPr>
          <w:p w14:paraId="4C29BB0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已建成</w:t>
            </w:r>
          </w:p>
        </w:tc>
      </w:tr>
      <w:tr w:rsidR="009C353B" w14:paraId="12D3E8AC" w14:textId="77777777">
        <w:trPr>
          <w:trHeight w:val="284"/>
        </w:trPr>
        <w:tc>
          <w:tcPr>
            <w:tcW w:w="173" w:type="pct"/>
            <w:vAlign w:val="center"/>
          </w:tcPr>
          <w:p w14:paraId="4449A1B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w:t>
            </w:r>
          </w:p>
        </w:tc>
        <w:tc>
          <w:tcPr>
            <w:tcW w:w="557" w:type="pct"/>
            <w:vAlign w:val="center"/>
          </w:tcPr>
          <w:p w14:paraId="57CDC2B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铁路</w:t>
            </w:r>
          </w:p>
          <w:p w14:paraId="0BB3F38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专用线</w:t>
            </w:r>
          </w:p>
        </w:tc>
        <w:tc>
          <w:tcPr>
            <w:tcW w:w="1319" w:type="pct"/>
            <w:vAlign w:val="center"/>
          </w:tcPr>
          <w:p w14:paraId="11912322" w14:textId="77777777" w:rsidR="009C353B" w:rsidRDefault="00000000">
            <w:pPr>
              <w:widowControl/>
              <w:jc w:val="left"/>
              <w:rPr>
                <w:rFonts w:ascii="Times New Roman" w:hAnsi="Times New Roman"/>
                <w:kern w:val="0"/>
                <w:sz w:val="21"/>
                <w:szCs w:val="21"/>
              </w:rPr>
            </w:pPr>
            <w:r>
              <w:rPr>
                <w:rFonts w:ascii="Times New Roman" w:hAnsi="Times New Roman" w:hint="eastAsia"/>
                <w:kern w:val="0"/>
                <w:sz w:val="21"/>
                <w:szCs w:val="21"/>
              </w:rPr>
              <w:t>任家庄、红石湾铁路专用线</w:t>
            </w:r>
          </w:p>
        </w:tc>
        <w:tc>
          <w:tcPr>
            <w:tcW w:w="1669" w:type="pct"/>
            <w:vAlign w:val="center"/>
          </w:tcPr>
          <w:p w14:paraId="07FD9A95" w14:textId="77777777" w:rsidR="009C353B" w:rsidRDefault="00000000">
            <w:pPr>
              <w:widowControl/>
              <w:jc w:val="left"/>
              <w:rPr>
                <w:rFonts w:ascii="Times New Roman" w:hAnsi="Times New Roman"/>
                <w:kern w:val="0"/>
                <w:sz w:val="21"/>
                <w:szCs w:val="21"/>
              </w:rPr>
            </w:pPr>
            <w:r>
              <w:rPr>
                <w:rFonts w:ascii="Times New Roman" w:hAnsi="Times New Roman" w:hint="eastAsia"/>
                <w:kern w:val="0"/>
                <w:sz w:val="21"/>
                <w:szCs w:val="21"/>
              </w:rPr>
              <w:t>通至宁东能源化工基地，全长</w:t>
            </w:r>
            <w:r>
              <w:rPr>
                <w:rFonts w:ascii="Times New Roman" w:hAnsi="Times New Roman" w:hint="eastAsia"/>
                <w:kern w:val="0"/>
                <w:sz w:val="21"/>
                <w:szCs w:val="21"/>
              </w:rPr>
              <w:t>22.9km</w:t>
            </w:r>
          </w:p>
        </w:tc>
        <w:tc>
          <w:tcPr>
            <w:tcW w:w="1281" w:type="pct"/>
            <w:vAlign w:val="center"/>
          </w:tcPr>
          <w:p w14:paraId="272007B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已建成</w:t>
            </w:r>
          </w:p>
        </w:tc>
      </w:tr>
    </w:tbl>
    <w:p w14:paraId="6691BA0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）马莲台矿井及选煤厂</w:t>
      </w:r>
    </w:p>
    <w:p w14:paraId="7F9A19B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马莲台矿井井田</w:t>
      </w:r>
      <w:r>
        <w:rPr>
          <w:rFonts w:ascii="Times New Roman" w:hint="eastAsia"/>
          <w:szCs w:val="28"/>
        </w:rPr>
        <w:t>东西长</w:t>
      </w:r>
      <w:r>
        <w:rPr>
          <w:rFonts w:ascii="Times New Roman"/>
          <w:szCs w:val="28"/>
        </w:rPr>
        <w:t>6.71km</w:t>
      </w:r>
      <w:r>
        <w:rPr>
          <w:rFonts w:ascii="Times New Roman"/>
          <w:szCs w:val="28"/>
        </w:rPr>
        <w:t>，南北宽</w:t>
      </w:r>
      <w:r>
        <w:rPr>
          <w:rFonts w:ascii="Times New Roman"/>
          <w:szCs w:val="28"/>
        </w:rPr>
        <w:t>2.48</w:t>
      </w:r>
      <w:r>
        <w:rPr>
          <w:rFonts w:ascii="Times New Roman"/>
          <w:szCs w:val="28"/>
        </w:rPr>
        <w:t>～</w:t>
      </w:r>
      <w:r>
        <w:rPr>
          <w:rFonts w:ascii="Times New Roman"/>
          <w:szCs w:val="28"/>
        </w:rPr>
        <w:t>5.89km</w:t>
      </w:r>
      <w:r>
        <w:rPr>
          <w:rFonts w:ascii="Times New Roman" w:hint="eastAsia"/>
          <w:szCs w:val="28"/>
        </w:rPr>
        <w:t>，</w:t>
      </w:r>
      <w:r>
        <w:rPr>
          <w:rFonts w:ascii="Times New Roman"/>
        </w:rPr>
        <w:t>面积为</w:t>
      </w:r>
      <w:r>
        <w:rPr>
          <w:rFonts w:ascii="Times New Roman" w:hint="eastAsia"/>
        </w:rPr>
        <w:t>24.713</w:t>
      </w:r>
      <w:r>
        <w:rPr>
          <w:rFonts w:ascii="Times New Roman"/>
        </w:rPr>
        <w:t>km</w:t>
      </w:r>
      <w:r>
        <w:rPr>
          <w:rFonts w:ascii="Times New Roman"/>
          <w:vertAlign w:val="superscript"/>
        </w:rPr>
        <w:t>2</w:t>
      </w:r>
      <w:r>
        <w:rPr>
          <w:rFonts w:ascii="Times New Roman" w:hint="eastAsia"/>
        </w:rPr>
        <w:t>。现</w:t>
      </w:r>
      <w:r>
        <w:rPr>
          <w:rFonts w:ascii="Times New Roman"/>
        </w:rPr>
        <w:t>生产规模为</w:t>
      </w:r>
      <w:r>
        <w:rPr>
          <w:rFonts w:ascii="Times New Roman" w:hint="eastAsia"/>
        </w:rPr>
        <w:t>3.6</w:t>
      </w:r>
      <w:r>
        <w:rPr>
          <w:rFonts w:ascii="Times New Roman"/>
        </w:rPr>
        <w:t>0Mt/a</w:t>
      </w:r>
      <w:r>
        <w:rPr>
          <w:rFonts w:ascii="Times New Roman" w:hint="eastAsia"/>
        </w:rPr>
        <w:t>，</w:t>
      </w:r>
      <w:r>
        <w:rPr>
          <w:rFonts w:ascii="Times New Roman"/>
        </w:rPr>
        <w:t>由</w:t>
      </w:r>
      <w:r>
        <w:rPr>
          <w:rFonts w:ascii="Times New Roman" w:hint="eastAsia"/>
        </w:rPr>
        <w:t>宁夏宝丰能源集团股份有限公司</w:t>
      </w:r>
      <w:r>
        <w:rPr>
          <w:rFonts w:ascii="Times New Roman"/>
        </w:rPr>
        <w:t>开发建设。</w:t>
      </w:r>
      <w:r>
        <w:rPr>
          <w:rFonts w:ascii="Times New Roman" w:hint="eastAsia"/>
        </w:rPr>
        <w:t>2</w:t>
      </w:r>
      <w:r>
        <w:rPr>
          <w:rFonts w:ascii="Times New Roman"/>
        </w:rPr>
        <w:t>006</w:t>
      </w:r>
      <w:r>
        <w:rPr>
          <w:rFonts w:ascii="Times New Roman" w:hint="eastAsia"/>
        </w:rPr>
        <w:t>年</w:t>
      </w:r>
      <w:r>
        <w:rPr>
          <w:rFonts w:ascii="Times New Roman"/>
        </w:rPr>
        <w:t>原国家环境保护局</w:t>
      </w:r>
      <w:r>
        <w:rPr>
          <w:rFonts w:ascii="Times New Roman" w:hint="eastAsia"/>
        </w:rPr>
        <w:t>以</w:t>
      </w:r>
      <w:r>
        <w:rPr>
          <w:rFonts w:ascii="Times New Roman"/>
        </w:rPr>
        <w:t>环</w:t>
      </w:r>
      <w:r>
        <w:rPr>
          <w:rFonts w:ascii="Times New Roman" w:hint="eastAsia"/>
        </w:rPr>
        <w:t>审</w:t>
      </w:r>
      <w:r>
        <w:rPr>
          <w:rFonts w:ascii="Times New Roman"/>
        </w:rPr>
        <w:t>〔</w:t>
      </w:r>
      <w:r>
        <w:rPr>
          <w:rFonts w:ascii="Times New Roman"/>
        </w:rPr>
        <w:t>2006</w:t>
      </w:r>
      <w:r>
        <w:rPr>
          <w:rFonts w:ascii="Times New Roman"/>
        </w:rPr>
        <w:t>〕</w:t>
      </w:r>
      <w:r>
        <w:rPr>
          <w:rFonts w:ascii="Times New Roman"/>
        </w:rPr>
        <w:t>180</w:t>
      </w:r>
      <w:r>
        <w:rPr>
          <w:rFonts w:ascii="Times New Roman"/>
        </w:rPr>
        <w:t>号</w:t>
      </w:r>
      <w:r>
        <w:rPr>
          <w:rFonts w:ascii="Times New Roman" w:hint="eastAsia"/>
        </w:rPr>
        <w:t>批复了马莲台煤矿</w:t>
      </w:r>
      <w:r>
        <w:rPr>
          <w:rFonts w:ascii="Times New Roman" w:hint="eastAsia"/>
        </w:rPr>
        <w:t>2</w:t>
      </w:r>
      <w:r>
        <w:rPr>
          <w:rFonts w:ascii="Times New Roman"/>
        </w:rPr>
        <w:t>.4 Mt/a</w:t>
      </w:r>
      <w:r>
        <w:rPr>
          <w:rFonts w:ascii="Times New Roman" w:hint="eastAsia"/>
        </w:rPr>
        <w:t>项目环评，</w:t>
      </w:r>
      <w:r>
        <w:rPr>
          <w:rFonts w:ascii="Times New Roman" w:hint="eastAsia"/>
        </w:rPr>
        <w:t>2</w:t>
      </w:r>
      <w:r>
        <w:rPr>
          <w:rFonts w:ascii="Times New Roman"/>
        </w:rPr>
        <w:t>010</w:t>
      </w:r>
      <w:r>
        <w:rPr>
          <w:rFonts w:ascii="Times New Roman" w:hint="eastAsia"/>
        </w:rPr>
        <w:t>年</w:t>
      </w:r>
      <w:r>
        <w:rPr>
          <w:rFonts w:ascii="Times New Roman"/>
        </w:rPr>
        <w:t>原国家环境保护</w:t>
      </w:r>
      <w:r>
        <w:rPr>
          <w:rFonts w:ascii="Times New Roman" w:hint="eastAsia"/>
        </w:rPr>
        <w:t>部以</w:t>
      </w:r>
      <w:r>
        <w:rPr>
          <w:rFonts w:ascii="Times New Roman"/>
        </w:rPr>
        <w:t>环验〔</w:t>
      </w:r>
      <w:r>
        <w:rPr>
          <w:rFonts w:ascii="Times New Roman"/>
        </w:rPr>
        <w:t>2010</w:t>
      </w:r>
      <w:r>
        <w:rPr>
          <w:rFonts w:ascii="Times New Roman"/>
        </w:rPr>
        <w:t>〕</w:t>
      </w:r>
      <w:r>
        <w:rPr>
          <w:rFonts w:ascii="Times New Roman"/>
        </w:rPr>
        <w:t>26</w:t>
      </w:r>
      <w:r>
        <w:rPr>
          <w:rFonts w:ascii="Times New Roman"/>
        </w:rPr>
        <w:t>号</w:t>
      </w:r>
      <w:r>
        <w:rPr>
          <w:rFonts w:ascii="Times New Roman" w:hint="eastAsia"/>
        </w:rPr>
        <w:t>通过</w:t>
      </w:r>
      <w:r>
        <w:rPr>
          <w:rFonts w:ascii="Times New Roman" w:hint="eastAsia"/>
        </w:rPr>
        <w:t>2</w:t>
      </w:r>
      <w:r>
        <w:rPr>
          <w:rFonts w:ascii="Times New Roman"/>
        </w:rPr>
        <w:t>.4 Mt/a</w:t>
      </w:r>
      <w:r>
        <w:rPr>
          <w:rFonts w:ascii="Times New Roman" w:hint="eastAsia"/>
        </w:rPr>
        <w:t>项目验收。</w:t>
      </w:r>
      <w:r>
        <w:rPr>
          <w:rFonts w:ascii="Times New Roman" w:hint="eastAsia"/>
        </w:rPr>
        <w:t>2</w:t>
      </w:r>
      <w:r>
        <w:rPr>
          <w:rFonts w:ascii="Times New Roman"/>
        </w:rPr>
        <w:t>0</w:t>
      </w:r>
      <w:r>
        <w:rPr>
          <w:rFonts w:ascii="Times New Roman" w:hint="eastAsia"/>
        </w:rPr>
        <w:t>14</w:t>
      </w:r>
      <w:r>
        <w:rPr>
          <w:rFonts w:ascii="Times New Roman" w:hint="eastAsia"/>
        </w:rPr>
        <w:t>年</w:t>
      </w:r>
      <w:r>
        <w:rPr>
          <w:rFonts w:ascii="Times New Roman" w:hint="eastAsia"/>
        </w:rPr>
        <w:t>12</w:t>
      </w:r>
      <w:r>
        <w:rPr>
          <w:rFonts w:ascii="Times New Roman" w:hint="eastAsia"/>
        </w:rPr>
        <w:t>月</w:t>
      </w:r>
      <w:r>
        <w:rPr>
          <w:rFonts w:ascii="Times New Roman" w:hint="eastAsia"/>
        </w:rPr>
        <w:t>2</w:t>
      </w:r>
      <w:r>
        <w:rPr>
          <w:rFonts w:ascii="Times New Roman" w:hint="eastAsia"/>
        </w:rPr>
        <w:t>日，宁夏发改委以宁发改审发〔</w:t>
      </w:r>
      <w:r>
        <w:rPr>
          <w:rFonts w:ascii="Times New Roman" w:hint="eastAsia"/>
        </w:rPr>
        <w:t>2014</w:t>
      </w:r>
      <w:r>
        <w:rPr>
          <w:rFonts w:ascii="Times New Roman" w:hint="eastAsia"/>
        </w:rPr>
        <w:t>〕</w:t>
      </w:r>
      <w:r>
        <w:rPr>
          <w:rFonts w:ascii="Times New Roman" w:hint="eastAsia"/>
        </w:rPr>
        <w:t>399</w:t>
      </w:r>
      <w:r>
        <w:rPr>
          <w:rFonts w:ascii="Times New Roman" w:hint="eastAsia"/>
        </w:rPr>
        <w:t>号《关于宁夏宝丰能源集团有限公司马莲台煤矿生产能力核定结果的批复》，核定马莲台煤矿生产能力</w:t>
      </w:r>
      <w:r>
        <w:rPr>
          <w:rFonts w:ascii="Times New Roman"/>
        </w:rPr>
        <w:t>3.60Mt/a</w:t>
      </w:r>
      <w:r>
        <w:rPr>
          <w:rFonts w:ascii="Times New Roman"/>
        </w:rPr>
        <w:t>。</w:t>
      </w:r>
      <w:r>
        <w:rPr>
          <w:rFonts w:ascii="Times New Roman" w:hint="eastAsia"/>
        </w:rPr>
        <w:t>2</w:t>
      </w:r>
      <w:r>
        <w:rPr>
          <w:rFonts w:ascii="Times New Roman"/>
        </w:rPr>
        <w:t>016</w:t>
      </w:r>
      <w:r>
        <w:rPr>
          <w:rFonts w:ascii="Times New Roman" w:hint="eastAsia"/>
        </w:rPr>
        <w:t>年</w:t>
      </w:r>
      <w:r>
        <w:rPr>
          <w:rFonts w:ascii="Times New Roman" w:hint="eastAsia"/>
        </w:rPr>
        <w:t>4</w:t>
      </w:r>
      <w:r>
        <w:rPr>
          <w:rFonts w:ascii="Times New Roman" w:hint="eastAsia"/>
        </w:rPr>
        <w:t>月</w:t>
      </w:r>
      <w:r>
        <w:rPr>
          <w:rFonts w:ascii="Times New Roman" w:hint="eastAsia"/>
        </w:rPr>
        <w:t>1</w:t>
      </w:r>
      <w:r>
        <w:rPr>
          <w:rFonts w:ascii="Times New Roman"/>
        </w:rPr>
        <w:t>9</w:t>
      </w:r>
      <w:r>
        <w:rPr>
          <w:rFonts w:ascii="Times New Roman" w:hint="eastAsia"/>
        </w:rPr>
        <w:t>日，宁夏回族自治区环境保护厅以宁环函〔</w:t>
      </w:r>
      <w:r>
        <w:rPr>
          <w:rFonts w:ascii="Times New Roman" w:hint="eastAsia"/>
        </w:rPr>
        <w:t>2</w:t>
      </w:r>
      <w:r>
        <w:rPr>
          <w:rFonts w:ascii="Times New Roman"/>
        </w:rPr>
        <w:t>016</w:t>
      </w:r>
      <w:r>
        <w:rPr>
          <w:rFonts w:ascii="Times New Roman" w:hint="eastAsia"/>
        </w:rPr>
        <w:t>〕</w:t>
      </w:r>
      <w:r>
        <w:rPr>
          <w:rFonts w:ascii="Times New Roman" w:hint="eastAsia"/>
        </w:rPr>
        <w:t>1</w:t>
      </w:r>
      <w:r>
        <w:rPr>
          <w:rFonts w:ascii="Times New Roman"/>
        </w:rPr>
        <w:t>36</w:t>
      </w:r>
      <w:r>
        <w:rPr>
          <w:rFonts w:ascii="Times New Roman" w:hint="eastAsia"/>
        </w:rPr>
        <w:t>号《关于宁夏宝丰能源股份有限公司马莲台煤矿项目环保备案意见的函》同意对马莲台煤矿（</w:t>
      </w:r>
      <w:r>
        <w:rPr>
          <w:rFonts w:ascii="Times New Roman"/>
        </w:rPr>
        <w:t>3.60Mt/a</w:t>
      </w:r>
      <w:r>
        <w:rPr>
          <w:rFonts w:ascii="Times New Roman" w:hint="eastAsia"/>
        </w:rPr>
        <w:t>）予以环保备案。</w:t>
      </w:r>
    </w:p>
    <w:p w14:paraId="55DA9C9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马莲台煤矿选煤厂为群矿型选煤厂（洗选马莲台矿井、丁家梁矿井的原煤和外购煤），现有规模</w:t>
      </w:r>
      <w:r>
        <w:rPr>
          <w:rFonts w:ascii="Times New Roman"/>
        </w:rPr>
        <w:t>10.0Mt/a</w:t>
      </w:r>
      <w:r>
        <w:rPr>
          <w:rFonts w:ascii="Times New Roman" w:hint="eastAsia"/>
        </w:rPr>
        <w:t>，</w:t>
      </w:r>
      <w:r>
        <w:rPr>
          <w:rFonts w:ascii="Times New Roman" w:hAnsi="Times New Roman"/>
        </w:rPr>
        <w:t>为</w:t>
      </w:r>
      <w:r>
        <w:rPr>
          <w:rFonts w:ascii="Times New Roman" w:hAnsi="Times New Roman"/>
        </w:rPr>
        <w:t>7.0Mt/a</w:t>
      </w:r>
      <w:r>
        <w:rPr>
          <w:rFonts w:ascii="Times New Roman" w:hAnsi="Times New Roman"/>
        </w:rPr>
        <w:t>炼焦煤</w:t>
      </w:r>
      <w:r>
        <w:rPr>
          <w:rFonts w:ascii="Times New Roman" w:hAnsi="Times New Roman" w:hint="eastAsia"/>
        </w:rPr>
        <w:t>分选</w:t>
      </w:r>
      <w:r>
        <w:rPr>
          <w:rFonts w:ascii="Times New Roman" w:hAnsi="Times New Roman"/>
        </w:rPr>
        <w:t>系统和</w:t>
      </w:r>
      <w:r>
        <w:rPr>
          <w:rFonts w:ascii="Times New Roman" w:hAnsi="Times New Roman"/>
        </w:rPr>
        <w:t>3.0Mt/a</w:t>
      </w:r>
      <w:r>
        <w:rPr>
          <w:rFonts w:ascii="Times New Roman" w:hAnsi="Times New Roman"/>
        </w:rPr>
        <w:t>动力煤</w:t>
      </w:r>
      <w:r>
        <w:rPr>
          <w:rFonts w:ascii="Times New Roman" w:hAnsi="Times New Roman" w:hint="eastAsia"/>
        </w:rPr>
        <w:t>分选</w:t>
      </w:r>
      <w:r>
        <w:rPr>
          <w:rFonts w:ascii="Times New Roman" w:hAnsi="Times New Roman"/>
        </w:rPr>
        <w:t>系统，属于特大型</w:t>
      </w:r>
      <w:r>
        <w:rPr>
          <w:rFonts w:ascii="Times New Roman" w:hAnsi="Times New Roman" w:hint="eastAsia"/>
        </w:rPr>
        <w:t>选</w:t>
      </w:r>
      <w:r>
        <w:rPr>
          <w:rFonts w:ascii="Times New Roman" w:hAnsi="Times New Roman"/>
        </w:rPr>
        <w:t>煤厂。</w:t>
      </w:r>
      <w:r>
        <w:rPr>
          <w:rFonts w:ascii="Times New Roman" w:hAnsi="Times New Roman" w:hint="eastAsia"/>
        </w:rPr>
        <w:t>其</w:t>
      </w:r>
      <w:r>
        <w:rPr>
          <w:rFonts w:ascii="Times New Roman" w:hAnsi="Times New Roman"/>
        </w:rPr>
        <w:t>炼焦煤</w:t>
      </w:r>
      <w:r>
        <w:rPr>
          <w:rFonts w:ascii="Times New Roman" w:hAnsi="Times New Roman" w:hint="eastAsia"/>
        </w:rPr>
        <w:t>分选</w:t>
      </w:r>
      <w:r>
        <w:rPr>
          <w:rFonts w:ascii="Times New Roman" w:hAnsi="Times New Roman"/>
        </w:rPr>
        <w:t>工艺采用国内最先进、成熟的不脱泥无压三产品重介旋流器</w:t>
      </w:r>
      <w:r>
        <w:rPr>
          <w:rFonts w:ascii="Times New Roman" w:hAnsi="Times New Roman"/>
        </w:rPr>
        <w:t>+</w:t>
      </w:r>
      <w:r>
        <w:rPr>
          <w:rFonts w:ascii="Times New Roman" w:hAnsi="Times New Roman"/>
        </w:rPr>
        <w:t>浮选联合工艺，系统</w:t>
      </w:r>
      <w:r>
        <w:rPr>
          <w:rFonts w:ascii="Times New Roman" w:hAnsi="Times New Roman" w:hint="eastAsia"/>
        </w:rPr>
        <w:t>原煤入选比例高、</w:t>
      </w:r>
      <w:r>
        <w:rPr>
          <w:rFonts w:ascii="Times New Roman" w:hAnsi="Times New Roman"/>
        </w:rPr>
        <w:t>分选粒度范围宽</w:t>
      </w:r>
      <w:r>
        <w:rPr>
          <w:rFonts w:ascii="Times New Roman" w:hAnsi="Times New Roman" w:hint="eastAsia"/>
        </w:rPr>
        <w:t>、</w:t>
      </w:r>
      <w:r>
        <w:rPr>
          <w:rFonts w:ascii="Times New Roman" w:hAnsi="Times New Roman"/>
        </w:rPr>
        <w:t>分选精度高</w:t>
      </w:r>
      <w:r>
        <w:rPr>
          <w:rFonts w:ascii="Times New Roman" w:hAnsi="Times New Roman" w:hint="eastAsia"/>
        </w:rPr>
        <w:t>、</w:t>
      </w:r>
      <w:r>
        <w:rPr>
          <w:rFonts w:ascii="Times New Roman" w:hAnsi="Times New Roman"/>
        </w:rPr>
        <w:t>自动化程度高。动力煤</w:t>
      </w:r>
      <w:r>
        <w:rPr>
          <w:rFonts w:ascii="Times New Roman" w:hAnsi="Times New Roman" w:hint="eastAsia"/>
        </w:rPr>
        <w:t>分选</w:t>
      </w:r>
      <w:r>
        <w:rPr>
          <w:rFonts w:ascii="Times New Roman" w:hAnsi="Times New Roman"/>
        </w:rPr>
        <w:t>工艺：原煤</w:t>
      </w:r>
      <w:r>
        <w:rPr>
          <w:rFonts w:ascii="Times New Roman" w:hAnsi="Times New Roman"/>
        </w:rPr>
        <w:t>6mm</w:t>
      </w:r>
      <w:r>
        <w:rPr>
          <w:rFonts w:ascii="Times New Roman" w:hAnsi="Times New Roman"/>
        </w:rPr>
        <w:t>或</w:t>
      </w:r>
      <w:r>
        <w:rPr>
          <w:rFonts w:ascii="Times New Roman" w:hAnsi="Times New Roman"/>
        </w:rPr>
        <w:t>13mm</w:t>
      </w:r>
      <w:r>
        <w:rPr>
          <w:rFonts w:ascii="Times New Roman" w:hAnsi="Times New Roman"/>
        </w:rPr>
        <w:t>分级进入无压三产品重介旋流器分选，选后产品经脱介、脱水出精煤、中煤、矸石三种产品。</w:t>
      </w:r>
      <w:r>
        <w:rPr>
          <w:rFonts w:ascii="Times New Roman" w:hAnsi="Times New Roman" w:hint="eastAsia"/>
        </w:rPr>
        <w:t>该</w:t>
      </w:r>
      <w:r>
        <w:rPr>
          <w:rFonts w:ascii="Times New Roman" w:hAnsi="Times New Roman"/>
        </w:rPr>
        <w:t>洗煤厂于</w:t>
      </w:r>
      <w:r>
        <w:rPr>
          <w:rFonts w:ascii="Times New Roman" w:hAnsi="Times New Roman"/>
        </w:rPr>
        <w:t>2007</w:t>
      </w:r>
      <w:r>
        <w:rPr>
          <w:rFonts w:ascii="Times New Roman" w:hAnsi="Times New Roman"/>
        </w:rPr>
        <w:t>年</w:t>
      </w:r>
      <w:r>
        <w:rPr>
          <w:rFonts w:ascii="Times New Roman" w:hAnsi="Times New Roman"/>
        </w:rPr>
        <w:t>4</w:t>
      </w:r>
      <w:r>
        <w:rPr>
          <w:rFonts w:ascii="Times New Roman" w:hAnsi="Times New Roman"/>
        </w:rPr>
        <w:t>月开工建设，</w:t>
      </w:r>
      <w:r>
        <w:rPr>
          <w:rFonts w:ascii="Times New Roman" w:hAnsi="Times New Roman"/>
        </w:rPr>
        <w:t>2009</w:t>
      </w:r>
      <w:r>
        <w:rPr>
          <w:rFonts w:ascii="Times New Roman" w:hAnsi="Times New Roman"/>
        </w:rPr>
        <w:t>年</w:t>
      </w:r>
      <w:r>
        <w:rPr>
          <w:rFonts w:ascii="Times New Roman" w:hAnsi="Times New Roman"/>
        </w:rPr>
        <w:t>1</w:t>
      </w:r>
      <w:r>
        <w:rPr>
          <w:rFonts w:ascii="Times New Roman" w:hAnsi="Times New Roman"/>
        </w:rPr>
        <w:t>月投产，设计能力为</w:t>
      </w:r>
      <w:r>
        <w:rPr>
          <w:rFonts w:ascii="Times New Roman" w:hAnsi="Times New Roman"/>
        </w:rPr>
        <w:t>4.0Mt/a</w:t>
      </w:r>
      <w:r>
        <w:rPr>
          <w:rFonts w:ascii="Times New Roman" w:hAnsi="Times New Roman"/>
        </w:rPr>
        <w:t>炼焦煤</w:t>
      </w:r>
      <w:r>
        <w:rPr>
          <w:rFonts w:ascii="Times New Roman" w:hAnsi="Times New Roman" w:hint="eastAsia"/>
        </w:rPr>
        <w:t>分选</w:t>
      </w:r>
      <w:r>
        <w:rPr>
          <w:rFonts w:ascii="Times New Roman" w:hAnsi="Times New Roman"/>
        </w:rPr>
        <w:t>系统。</w:t>
      </w:r>
      <w:r>
        <w:rPr>
          <w:rFonts w:ascii="Times New Roman" w:hAnsi="Times New Roman" w:hint="eastAsia"/>
        </w:rPr>
        <w:t>2011</w:t>
      </w:r>
      <w:r>
        <w:rPr>
          <w:rFonts w:ascii="Times New Roman" w:hAnsi="Times New Roman" w:hint="eastAsia"/>
        </w:rPr>
        <w:t>年</w:t>
      </w:r>
      <w:r>
        <w:rPr>
          <w:rFonts w:ascii="Times New Roman" w:hAnsi="Times New Roman" w:hint="eastAsia"/>
        </w:rPr>
        <w:t>1</w:t>
      </w:r>
      <w:r>
        <w:rPr>
          <w:rFonts w:ascii="Times New Roman" w:hAnsi="Times New Roman" w:hint="eastAsia"/>
        </w:rPr>
        <w:t>月</w:t>
      </w:r>
      <w:r>
        <w:rPr>
          <w:rFonts w:ascii="Times New Roman" w:hAnsi="Times New Roman" w:hint="eastAsia"/>
        </w:rPr>
        <w:t>17</w:t>
      </w:r>
      <w:r>
        <w:rPr>
          <w:rFonts w:ascii="Times New Roman" w:hAnsi="Times New Roman" w:hint="eastAsia"/>
        </w:rPr>
        <w:t>日宁夏回族自治区环境保护厅通过其环保验收。</w:t>
      </w:r>
      <w:r>
        <w:rPr>
          <w:rFonts w:ascii="Times New Roman" w:hAnsi="Times New Roman"/>
        </w:rPr>
        <w:t>2013</w:t>
      </w:r>
      <w:r>
        <w:rPr>
          <w:rFonts w:ascii="Times New Roman" w:hAnsi="Times New Roman"/>
        </w:rPr>
        <w:t>年</w:t>
      </w:r>
      <w:r>
        <w:rPr>
          <w:rFonts w:ascii="Times New Roman" w:hAnsi="Times New Roman"/>
        </w:rPr>
        <w:t>12</w:t>
      </w:r>
      <w:r>
        <w:rPr>
          <w:rFonts w:ascii="Times New Roman" w:hAnsi="Times New Roman"/>
        </w:rPr>
        <w:t>月扩建</w:t>
      </w:r>
      <w:r>
        <w:rPr>
          <w:rFonts w:ascii="Times New Roman" w:hAnsi="Times New Roman" w:hint="eastAsia"/>
        </w:rPr>
        <w:t>，</w:t>
      </w:r>
      <w:r>
        <w:rPr>
          <w:rFonts w:ascii="Times New Roman" w:hAnsi="Times New Roman"/>
        </w:rPr>
        <w:t>园区焦煤</w:t>
      </w:r>
      <w:r>
        <w:rPr>
          <w:rFonts w:ascii="Times New Roman" w:hAnsi="Times New Roman" w:hint="eastAsia"/>
        </w:rPr>
        <w:t>分选</w:t>
      </w:r>
      <w:r>
        <w:rPr>
          <w:rFonts w:ascii="Times New Roman" w:hAnsi="Times New Roman"/>
        </w:rPr>
        <w:t>系统设计能力达到</w:t>
      </w:r>
      <w:r>
        <w:rPr>
          <w:rFonts w:ascii="Times New Roman" w:hAnsi="Times New Roman"/>
        </w:rPr>
        <w:t>7.0Mt/a</w:t>
      </w:r>
      <w:r>
        <w:rPr>
          <w:rFonts w:ascii="Times New Roman" w:hAnsi="Times New Roman"/>
        </w:rPr>
        <w:t>。同年园区新建</w:t>
      </w:r>
      <w:r>
        <w:rPr>
          <w:rFonts w:ascii="Times New Roman" w:hAnsi="Times New Roman"/>
        </w:rPr>
        <w:t>3.0Mt/a</w:t>
      </w:r>
      <w:r>
        <w:rPr>
          <w:rFonts w:ascii="Times New Roman" w:hAnsi="Times New Roman"/>
        </w:rPr>
        <w:t>动力煤</w:t>
      </w:r>
      <w:r>
        <w:rPr>
          <w:rFonts w:ascii="Times New Roman" w:hAnsi="Times New Roman" w:hint="eastAsia"/>
        </w:rPr>
        <w:t>分选</w:t>
      </w:r>
      <w:r>
        <w:rPr>
          <w:rFonts w:ascii="Times New Roman" w:hAnsi="Times New Roman"/>
        </w:rPr>
        <w:t>系统，</w:t>
      </w:r>
      <w:r>
        <w:rPr>
          <w:rFonts w:ascii="Times New Roman" w:hAnsi="Times New Roman" w:hint="eastAsia"/>
        </w:rPr>
        <w:t>并</w:t>
      </w:r>
      <w:r>
        <w:rPr>
          <w:rFonts w:ascii="Times New Roman" w:hAnsi="Times New Roman"/>
        </w:rPr>
        <w:t>于</w:t>
      </w:r>
      <w:r>
        <w:rPr>
          <w:rFonts w:ascii="Times New Roman" w:hAnsi="Times New Roman"/>
        </w:rPr>
        <w:t>2014</w:t>
      </w:r>
      <w:r>
        <w:rPr>
          <w:rFonts w:ascii="Times New Roman" w:hAnsi="Times New Roman"/>
        </w:rPr>
        <w:t>年底建成投产。</w:t>
      </w:r>
      <w:r>
        <w:rPr>
          <w:rFonts w:ascii="Times New Roman" w:hAnsi="Times New Roman" w:hint="eastAsia"/>
        </w:rPr>
        <w:t>2017</w:t>
      </w:r>
      <w:r>
        <w:rPr>
          <w:rFonts w:ascii="Times New Roman" w:hAnsi="Times New Roman" w:hint="eastAsia"/>
        </w:rPr>
        <w:t>年</w:t>
      </w:r>
      <w:r>
        <w:rPr>
          <w:rFonts w:ascii="Times New Roman" w:hAnsi="Times New Roman" w:hint="eastAsia"/>
        </w:rPr>
        <w:t>6</w:t>
      </w:r>
      <w:r>
        <w:rPr>
          <w:rFonts w:ascii="Times New Roman" w:hAnsi="Times New Roman" w:hint="eastAsia"/>
        </w:rPr>
        <w:t>月</w:t>
      </w:r>
      <w:r>
        <w:rPr>
          <w:rFonts w:ascii="Times New Roman" w:hAnsi="Times New Roman" w:hint="eastAsia"/>
        </w:rPr>
        <w:t>2</w:t>
      </w:r>
      <w:r>
        <w:rPr>
          <w:rFonts w:ascii="Times New Roman" w:hAnsi="Times New Roman" w:hint="eastAsia"/>
        </w:rPr>
        <w:t>日宁东能源化工基地管委会环境保护局通过其环保验收。</w:t>
      </w:r>
    </w:p>
    <w:p w14:paraId="3EB6FFFD" w14:textId="77777777" w:rsidR="009C353B" w:rsidRDefault="00000000">
      <w:pPr>
        <w:adjustRightInd w:val="0"/>
        <w:snapToGrid w:val="0"/>
        <w:spacing w:line="440" w:lineRule="exact"/>
        <w:ind w:firstLineChars="200" w:firstLine="480"/>
        <w:rPr>
          <w:rFonts w:ascii="Times New Roman" w:hint="eastAsia"/>
          <w:szCs w:val="28"/>
        </w:rPr>
      </w:pPr>
      <w:r>
        <w:rPr>
          <w:rFonts w:ascii="Times New Roman" w:hint="eastAsia"/>
          <w:szCs w:val="28"/>
        </w:rPr>
        <w:t>马莲台煤矿</w:t>
      </w:r>
      <w:r>
        <w:rPr>
          <w:rFonts w:ascii="Times New Roman"/>
          <w:szCs w:val="28"/>
        </w:rPr>
        <w:t>生产现状见图</w:t>
      </w:r>
      <w:r>
        <w:rPr>
          <w:rFonts w:ascii="Times New Roman" w:hAnsi="Times New Roman"/>
          <w:szCs w:val="28"/>
        </w:rPr>
        <w:t>2.2-1</w:t>
      </w:r>
      <w:r>
        <w:rPr>
          <w:rFonts w:ascii="Times New Roman"/>
          <w:szCs w:val="28"/>
        </w:rPr>
        <w:t>。</w:t>
      </w:r>
    </w:p>
    <w:p w14:paraId="0D87554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w:t>
      </w:r>
      <w:r>
        <w:rPr>
          <w:rFonts w:ascii="Times New Roman" w:hint="eastAsia"/>
        </w:rPr>
        <w:t>2</w:t>
      </w:r>
      <w:r>
        <w:rPr>
          <w:rFonts w:ascii="Times New Roman" w:hint="eastAsia"/>
        </w:rPr>
        <w:t>）任家庄矿井及选煤厂</w:t>
      </w:r>
    </w:p>
    <w:p w14:paraId="1BDFE38F" w14:textId="77777777" w:rsidR="009C353B" w:rsidRDefault="00000000">
      <w:pPr>
        <w:adjustRightInd w:val="0"/>
        <w:snapToGrid w:val="0"/>
        <w:spacing w:line="440" w:lineRule="exact"/>
        <w:ind w:firstLineChars="200" w:firstLine="480"/>
        <w:rPr>
          <w:rFonts w:ascii="Times New Roman" w:hint="eastAsia"/>
          <w:bCs/>
          <w:szCs w:val="24"/>
        </w:rPr>
      </w:pPr>
      <w:r>
        <w:rPr>
          <w:rFonts w:ascii="Times New Roman" w:hint="eastAsia"/>
          <w:bCs/>
          <w:szCs w:val="24"/>
        </w:rPr>
        <w:t>任家庄</w:t>
      </w:r>
      <w:r>
        <w:rPr>
          <w:rFonts w:ascii="Times New Roman"/>
          <w:bCs/>
          <w:szCs w:val="24"/>
        </w:rPr>
        <w:t>煤矿</w:t>
      </w:r>
      <w:r>
        <w:rPr>
          <w:rFonts w:ascii="Times New Roman" w:hint="eastAsia"/>
          <w:bCs/>
          <w:szCs w:val="24"/>
        </w:rPr>
        <w:t>井田东西宽</w:t>
      </w:r>
      <w:r>
        <w:rPr>
          <w:rFonts w:ascii="Times New Roman" w:hint="eastAsia"/>
          <w:bCs/>
          <w:szCs w:val="24"/>
        </w:rPr>
        <w:t>1</w:t>
      </w:r>
      <w:r>
        <w:rPr>
          <w:rFonts w:ascii="Times New Roman"/>
          <w:bCs/>
          <w:szCs w:val="24"/>
        </w:rPr>
        <w:t>.0</w:t>
      </w:r>
      <w:r>
        <w:rPr>
          <w:rFonts w:hint="eastAsia"/>
          <w:bCs/>
          <w:szCs w:val="24"/>
        </w:rPr>
        <w:t>～</w:t>
      </w:r>
      <w:r>
        <w:rPr>
          <w:rFonts w:ascii="Times New Roman"/>
          <w:bCs/>
          <w:szCs w:val="24"/>
        </w:rPr>
        <w:t>2.6</w:t>
      </w:r>
      <w:r>
        <w:rPr>
          <w:rFonts w:ascii="Times New Roman" w:hint="eastAsia"/>
          <w:bCs/>
          <w:szCs w:val="24"/>
        </w:rPr>
        <w:t>km</w:t>
      </w:r>
      <w:r>
        <w:rPr>
          <w:rFonts w:ascii="Times New Roman" w:hint="eastAsia"/>
          <w:bCs/>
          <w:szCs w:val="24"/>
        </w:rPr>
        <w:t>，南北长</w:t>
      </w:r>
      <w:r>
        <w:rPr>
          <w:rFonts w:ascii="Times New Roman" w:hint="eastAsia"/>
          <w:bCs/>
          <w:szCs w:val="24"/>
        </w:rPr>
        <w:t>1</w:t>
      </w:r>
      <w:r>
        <w:rPr>
          <w:rFonts w:ascii="Times New Roman"/>
          <w:bCs/>
          <w:szCs w:val="24"/>
        </w:rPr>
        <w:t>1.5</w:t>
      </w:r>
      <w:r>
        <w:rPr>
          <w:rFonts w:ascii="Times New Roman" w:hint="eastAsia"/>
          <w:bCs/>
          <w:szCs w:val="24"/>
        </w:rPr>
        <w:t>km</w:t>
      </w:r>
      <w:r>
        <w:rPr>
          <w:rFonts w:ascii="Times New Roman" w:hint="eastAsia"/>
          <w:bCs/>
          <w:szCs w:val="24"/>
        </w:rPr>
        <w:t>，井田面积</w:t>
      </w:r>
      <w:r>
        <w:rPr>
          <w:rFonts w:ascii="Times New Roman" w:hint="eastAsia"/>
          <w:bCs/>
          <w:szCs w:val="24"/>
        </w:rPr>
        <w:t>2</w:t>
      </w:r>
      <w:r>
        <w:rPr>
          <w:rFonts w:ascii="Times New Roman"/>
          <w:bCs/>
          <w:szCs w:val="24"/>
        </w:rPr>
        <w:t>4.36</w:t>
      </w:r>
      <w:r>
        <w:rPr>
          <w:rFonts w:ascii="Times New Roman" w:hint="eastAsia"/>
          <w:bCs/>
          <w:szCs w:val="24"/>
        </w:rPr>
        <w:t>km</w:t>
      </w:r>
      <w:r>
        <w:rPr>
          <w:rFonts w:ascii="Times New Roman"/>
          <w:bCs/>
          <w:szCs w:val="24"/>
          <w:vertAlign w:val="superscript"/>
        </w:rPr>
        <w:t>2</w:t>
      </w:r>
      <w:r>
        <w:rPr>
          <w:rFonts w:ascii="Times New Roman" w:hint="eastAsia"/>
          <w:bCs/>
          <w:szCs w:val="24"/>
        </w:rPr>
        <w:t>，现生产规模</w:t>
      </w:r>
      <w:r>
        <w:rPr>
          <w:rFonts w:ascii="Times New Roman" w:hint="eastAsia"/>
          <w:bCs/>
          <w:szCs w:val="24"/>
        </w:rPr>
        <w:t>3</w:t>
      </w:r>
      <w:r>
        <w:rPr>
          <w:rFonts w:ascii="Times New Roman"/>
          <w:bCs/>
          <w:szCs w:val="24"/>
        </w:rPr>
        <w:t>.6</w:t>
      </w:r>
      <w:r>
        <w:rPr>
          <w:rFonts w:ascii="Times New Roman" w:hint="eastAsia"/>
          <w:bCs/>
          <w:szCs w:val="24"/>
        </w:rPr>
        <w:t>Mt</w:t>
      </w:r>
      <w:r>
        <w:rPr>
          <w:rFonts w:ascii="Times New Roman"/>
          <w:bCs/>
          <w:szCs w:val="24"/>
        </w:rPr>
        <w:t>/a</w:t>
      </w:r>
      <w:r>
        <w:rPr>
          <w:rFonts w:ascii="Times New Roman" w:hint="eastAsia"/>
          <w:bCs/>
          <w:szCs w:val="24"/>
        </w:rPr>
        <w:t>，由国家能源集团宁夏煤业有限责任公司</w:t>
      </w:r>
      <w:r>
        <w:rPr>
          <w:rFonts w:ascii="Times New Roman"/>
          <w:bCs/>
          <w:szCs w:val="24"/>
        </w:rPr>
        <w:t>投资建设。</w:t>
      </w:r>
      <w:r>
        <w:rPr>
          <w:rFonts w:ascii="Times New Roman" w:hint="eastAsia"/>
        </w:rPr>
        <w:t>2</w:t>
      </w:r>
      <w:r>
        <w:rPr>
          <w:rFonts w:ascii="Times New Roman"/>
        </w:rPr>
        <w:t>006</w:t>
      </w:r>
      <w:r>
        <w:rPr>
          <w:rFonts w:ascii="Times New Roman" w:hint="eastAsia"/>
        </w:rPr>
        <w:t>年</w:t>
      </w:r>
      <w:r>
        <w:rPr>
          <w:rFonts w:ascii="Times New Roman"/>
        </w:rPr>
        <w:t>原国家环境保护总局</w:t>
      </w:r>
      <w:r>
        <w:rPr>
          <w:rFonts w:ascii="Times New Roman" w:hint="eastAsia"/>
        </w:rPr>
        <w:t>以</w:t>
      </w:r>
      <w:r>
        <w:rPr>
          <w:rFonts w:ascii="Times New Roman"/>
        </w:rPr>
        <w:t>环</w:t>
      </w:r>
      <w:r>
        <w:rPr>
          <w:rFonts w:ascii="Times New Roman" w:hint="eastAsia"/>
        </w:rPr>
        <w:t>审</w:t>
      </w:r>
      <w:r>
        <w:rPr>
          <w:rFonts w:ascii="Times New Roman"/>
        </w:rPr>
        <w:t>〔</w:t>
      </w:r>
      <w:r>
        <w:rPr>
          <w:rFonts w:ascii="Times New Roman"/>
        </w:rPr>
        <w:t>2006</w:t>
      </w:r>
      <w:r>
        <w:rPr>
          <w:rFonts w:ascii="Times New Roman"/>
        </w:rPr>
        <w:t>〕</w:t>
      </w:r>
      <w:r>
        <w:rPr>
          <w:rFonts w:ascii="Times New Roman"/>
        </w:rPr>
        <w:t>179</w:t>
      </w:r>
      <w:r>
        <w:rPr>
          <w:rFonts w:ascii="Times New Roman"/>
        </w:rPr>
        <w:t>号</w:t>
      </w:r>
      <w:r>
        <w:rPr>
          <w:rFonts w:ascii="Times New Roman" w:hint="eastAsia"/>
        </w:rPr>
        <w:t>批复了</w:t>
      </w:r>
      <w:r>
        <w:rPr>
          <w:rFonts w:ascii="Times New Roman" w:hint="eastAsia"/>
        </w:rPr>
        <w:t>2</w:t>
      </w:r>
      <w:r>
        <w:rPr>
          <w:rFonts w:ascii="Times New Roman"/>
        </w:rPr>
        <w:t>.4 Mt/a</w:t>
      </w:r>
      <w:r>
        <w:rPr>
          <w:rFonts w:ascii="Times New Roman" w:hint="eastAsia"/>
        </w:rPr>
        <w:t>项目环评，</w:t>
      </w:r>
      <w:r>
        <w:rPr>
          <w:rFonts w:ascii="Times New Roman" w:hint="eastAsia"/>
        </w:rPr>
        <w:t>2</w:t>
      </w:r>
      <w:r>
        <w:rPr>
          <w:rFonts w:ascii="Times New Roman"/>
        </w:rPr>
        <w:t>010</w:t>
      </w:r>
      <w:r>
        <w:rPr>
          <w:rFonts w:ascii="Times New Roman" w:hint="eastAsia"/>
        </w:rPr>
        <w:t>年</w:t>
      </w:r>
      <w:r>
        <w:rPr>
          <w:rFonts w:ascii="Times New Roman"/>
        </w:rPr>
        <w:t>原国家环境保护</w:t>
      </w:r>
      <w:r>
        <w:rPr>
          <w:rFonts w:ascii="Times New Roman" w:hint="eastAsia"/>
        </w:rPr>
        <w:t>部以</w:t>
      </w:r>
      <w:r>
        <w:rPr>
          <w:rFonts w:ascii="Times New Roman"/>
        </w:rPr>
        <w:t>环验〔</w:t>
      </w:r>
      <w:r>
        <w:rPr>
          <w:rFonts w:ascii="Times New Roman"/>
        </w:rPr>
        <w:t>2009</w:t>
      </w:r>
      <w:r>
        <w:rPr>
          <w:rFonts w:ascii="Times New Roman"/>
        </w:rPr>
        <w:t>〕</w:t>
      </w:r>
      <w:r>
        <w:rPr>
          <w:rFonts w:ascii="Times New Roman"/>
        </w:rPr>
        <w:t>55</w:t>
      </w:r>
      <w:r>
        <w:rPr>
          <w:rFonts w:ascii="Times New Roman"/>
        </w:rPr>
        <w:t>号</w:t>
      </w:r>
      <w:r>
        <w:rPr>
          <w:rFonts w:ascii="Times New Roman" w:hint="eastAsia"/>
        </w:rPr>
        <w:t>通过</w:t>
      </w:r>
      <w:r>
        <w:rPr>
          <w:rFonts w:ascii="Times New Roman" w:hint="eastAsia"/>
        </w:rPr>
        <w:t>2</w:t>
      </w:r>
      <w:r>
        <w:rPr>
          <w:rFonts w:ascii="Times New Roman"/>
        </w:rPr>
        <w:t>.4 Mt/a</w:t>
      </w:r>
      <w:r>
        <w:rPr>
          <w:rFonts w:ascii="Times New Roman" w:hint="eastAsia"/>
        </w:rPr>
        <w:t>项目验收。</w:t>
      </w:r>
      <w:r>
        <w:rPr>
          <w:rFonts w:ascii="Times New Roman" w:hint="eastAsia"/>
        </w:rPr>
        <w:t>2</w:t>
      </w:r>
      <w:r>
        <w:rPr>
          <w:rFonts w:ascii="Times New Roman"/>
        </w:rPr>
        <w:t>0</w:t>
      </w:r>
      <w:r>
        <w:rPr>
          <w:rFonts w:ascii="Times New Roman" w:hint="eastAsia"/>
        </w:rPr>
        <w:t>14</w:t>
      </w:r>
      <w:r>
        <w:rPr>
          <w:rFonts w:ascii="Times New Roman" w:hint="eastAsia"/>
        </w:rPr>
        <w:t>年</w:t>
      </w:r>
      <w:r>
        <w:rPr>
          <w:rFonts w:ascii="Times New Roman" w:hint="eastAsia"/>
        </w:rPr>
        <w:t>5</w:t>
      </w:r>
      <w:r>
        <w:rPr>
          <w:rFonts w:ascii="Times New Roman" w:hint="eastAsia"/>
        </w:rPr>
        <w:t>月</w:t>
      </w:r>
      <w:r>
        <w:rPr>
          <w:rFonts w:ascii="Times New Roman" w:hint="eastAsia"/>
        </w:rPr>
        <w:t>29</w:t>
      </w:r>
      <w:r>
        <w:rPr>
          <w:rFonts w:ascii="Times New Roman" w:hint="eastAsia"/>
        </w:rPr>
        <w:t>日，宁夏经济和信息化委员会以宁经信煤炭发〔</w:t>
      </w:r>
      <w:r>
        <w:rPr>
          <w:rFonts w:ascii="Times New Roman" w:hint="eastAsia"/>
        </w:rPr>
        <w:t>2014</w:t>
      </w:r>
      <w:r>
        <w:rPr>
          <w:rFonts w:ascii="Times New Roman" w:hint="eastAsia"/>
        </w:rPr>
        <w:t>〕</w:t>
      </w:r>
      <w:r>
        <w:rPr>
          <w:rFonts w:ascii="Times New Roman" w:hint="eastAsia"/>
        </w:rPr>
        <w:t>206</w:t>
      </w:r>
      <w:r>
        <w:rPr>
          <w:rFonts w:ascii="Times New Roman" w:hint="eastAsia"/>
        </w:rPr>
        <w:t>号《关于神华宁夏煤业集团任家庄煤矿生产能力核定结果的批复》，审查确认任家庄煤矿生产能力</w:t>
      </w:r>
      <w:r>
        <w:rPr>
          <w:rFonts w:ascii="Times New Roman" w:hint="eastAsia"/>
        </w:rPr>
        <w:t>360</w:t>
      </w:r>
      <w:r>
        <w:rPr>
          <w:rFonts w:ascii="Times New Roman" w:hint="eastAsia"/>
        </w:rPr>
        <w:t>万吨</w:t>
      </w:r>
      <w:r>
        <w:rPr>
          <w:rFonts w:ascii="Times New Roman" w:hint="eastAsia"/>
        </w:rPr>
        <w:t>/</w:t>
      </w:r>
      <w:r>
        <w:rPr>
          <w:rFonts w:ascii="Times New Roman" w:hint="eastAsia"/>
        </w:rPr>
        <w:t>年</w:t>
      </w:r>
      <w:r>
        <w:rPr>
          <w:rFonts w:ascii="Times New Roman"/>
        </w:rPr>
        <w:t>。</w:t>
      </w:r>
      <w:r>
        <w:rPr>
          <w:rFonts w:ascii="Times New Roman" w:hint="eastAsia"/>
        </w:rPr>
        <w:t>2</w:t>
      </w:r>
      <w:r>
        <w:rPr>
          <w:rFonts w:ascii="Times New Roman"/>
        </w:rPr>
        <w:t>016</w:t>
      </w:r>
      <w:r>
        <w:rPr>
          <w:rFonts w:ascii="Times New Roman" w:hint="eastAsia"/>
        </w:rPr>
        <w:t>年</w:t>
      </w:r>
      <w:r>
        <w:rPr>
          <w:rFonts w:ascii="Times New Roman"/>
        </w:rPr>
        <w:t>12</w:t>
      </w:r>
      <w:r>
        <w:rPr>
          <w:rFonts w:ascii="Times New Roman" w:hint="eastAsia"/>
        </w:rPr>
        <w:t>月</w:t>
      </w:r>
      <w:r>
        <w:rPr>
          <w:rFonts w:ascii="Times New Roman"/>
        </w:rPr>
        <w:t>28</w:t>
      </w:r>
      <w:r>
        <w:rPr>
          <w:rFonts w:ascii="Times New Roman" w:hint="eastAsia"/>
        </w:rPr>
        <w:t>日，宁夏回族自治区环境保护厅以宁环函〔</w:t>
      </w:r>
      <w:r>
        <w:rPr>
          <w:rFonts w:ascii="Times New Roman" w:hint="eastAsia"/>
        </w:rPr>
        <w:t>2</w:t>
      </w:r>
      <w:r>
        <w:rPr>
          <w:rFonts w:ascii="Times New Roman"/>
        </w:rPr>
        <w:t>016</w:t>
      </w:r>
      <w:r>
        <w:rPr>
          <w:rFonts w:ascii="Times New Roman" w:hint="eastAsia"/>
        </w:rPr>
        <w:t>〕</w:t>
      </w:r>
      <w:r>
        <w:rPr>
          <w:rFonts w:ascii="Times New Roman"/>
        </w:rPr>
        <w:t>539</w:t>
      </w:r>
      <w:r>
        <w:rPr>
          <w:rFonts w:ascii="Times New Roman" w:hint="eastAsia"/>
        </w:rPr>
        <w:t>号《关于神华宁夏宝煤业集团有限责任公司任家庄煤矿项目环保备案意见的函》同意对任家庄煤矿（</w:t>
      </w:r>
      <w:r>
        <w:rPr>
          <w:rFonts w:ascii="Times New Roman"/>
        </w:rPr>
        <w:t>3.60Mt/a</w:t>
      </w:r>
      <w:r>
        <w:rPr>
          <w:rFonts w:ascii="Times New Roman" w:hint="eastAsia"/>
        </w:rPr>
        <w:t>）予以环保备案。</w:t>
      </w:r>
      <w:bookmarkStart w:id="63" w:name="_Hlk51145023"/>
      <w:r>
        <w:rPr>
          <w:rFonts w:ascii="Times New Roman" w:hint="eastAsia"/>
        </w:rPr>
        <w:t>任家庄煤矿配套建设选煤厂一座，规模</w:t>
      </w:r>
      <w:r>
        <w:rPr>
          <w:rFonts w:ascii="Times New Roman" w:hint="eastAsia"/>
        </w:rPr>
        <w:t>4</w:t>
      </w:r>
      <w:r>
        <w:rPr>
          <w:rFonts w:ascii="Times New Roman"/>
        </w:rPr>
        <w:t>.8Mt/a</w:t>
      </w:r>
      <w:r>
        <w:rPr>
          <w:rFonts w:ascii="Times New Roman" w:hint="eastAsia"/>
        </w:rPr>
        <w:t>。</w:t>
      </w:r>
      <w:bookmarkEnd w:id="63"/>
    </w:p>
    <w:p w14:paraId="77299919"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任家庄</w:t>
      </w:r>
      <w:r>
        <w:rPr>
          <w:rFonts w:ascii="Times New Roman"/>
          <w:szCs w:val="24"/>
        </w:rPr>
        <w:t>矿井及选煤厂</w:t>
      </w:r>
      <w:r>
        <w:rPr>
          <w:rFonts w:ascii="Times New Roman" w:hint="eastAsia"/>
          <w:szCs w:val="24"/>
        </w:rPr>
        <w:t>现状</w:t>
      </w:r>
      <w:r>
        <w:rPr>
          <w:rFonts w:ascii="Times New Roman"/>
          <w:szCs w:val="24"/>
        </w:rPr>
        <w:t>见图</w:t>
      </w:r>
      <w:r>
        <w:rPr>
          <w:rFonts w:ascii="Times New Roman" w:hAnsi="Times New Roman"/>
          <w:szCs w:val="28"/>
        </w:rPr>
        <w:t>2.2</w:t>
      </w:r>
      <w:r>
        <w:rPr>
          <w:rFonts w:ascii="Times New Roman"/>
          <w:szCs w:val="24"/>
        </w:rPr>
        <w:t>-2</w:t>
      </w:r>
      <w:r>
        <w:rPr>
          <w:rFonts w:ascii="Times New Roman" w:hint="eastAsia"/>
          <w:szCs w:val="24"/>
        </w:rPr>
        <w:t>。</w:t>
      </w:r>
    </w:p>
    <w:p w14:paraId="11E33E1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3</w:t>
      </w:r>
      <w:r>
        <w:rPr>
          <w:rFonts w:ascii="Times New Roman" w:hint="eastAsia"/>
        </w:rPr>
        <w:t>）红石湾矿井（</w:t>
      </w:r>
      <w:r>
        <w:rPr>
          <w:rFonts w:ascii="Times New Roman"/>
        </w:rPr>
        <w:t>1.1</w:t>
      </w:r>
      <w:r>
        <w:rPr>
          <w:rFonts w:ascii="Times New Roman" w:hint="eastAsia"/>
        </w:rPr>
        <w:t>Mt/a</w:t>
      </w:r>
      <w:r>
        <w:rPr>
          <w:rFonts w:ascii="Times New Roman"/>
        </w:rPr>
        <w:t>）</w:t>
      </w:r>
      <w:r>
        <w:rPr>
          <w:rFonts w:ascii="Times New Roman" w:hint="eastAsia"/>
        </w:rPr>
        <w:t>及选煤厂（</w:t>
      </w:r>
      <w:r>
        <w:rPr>
          <w:rFonts w:ascii="Times New Roman"/>
        </w:rPr>
        <w:t>1.2</w:t>
      </w:r>
      <w:r>
        <w:rPr>
          <w:rFonts w:ascii="Times New Roman" w:hint="eastAsia"/>
        </w:rPr>
        <w:t>Mt/a</w:t>
      </w:r>
      <w:r>
        <w:rPr>
          <w:rFonts w:ascii="Times New Roman"/>
        </w:rPr>
        <w:t>）</w:t>
      </w:r>
    </w:p>
    <w:p w14:paraId="55D26C8C"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bCs/>
          <w:szCs w:val="24"/>
        </w:rPr>
        <w:t>井田东西宽</w:t>
      </w:r>
      <w:r>
        <w:rPr>
          <w:rFonts w:ascii="Times New Roman" w:hint="eastAsia"/>
          <w:bCs/>
          <w:szCs w:val="24"/>
        </w:rPr>
        <w:t>1</w:t>
      </w:r>
      <w:r>
        <w:rPr>
          <w:rFonts w:ascii="Times New Roman"/>
          <w:bCs/>
          <w:szCs w:val="24"/>
        </w:rPr>
        <w:t>.09</w:t>
      </w:r>
      <w:r>
        <w:rPr>
          <w:rFonts w:ascii="Times New Roman" w:hint="eastAsia"/>
          <w:bCs/>
          <w:szCs w:val="24"/>
        </w:rPr>
        <w:t>km</w:t>
      </w:r>
      <w:r>
        <w:rPr>
          <w:rFonts w:ascii="Times New Roman" w:hint="eastAsia"/>
          <w:bCs/>
          <w:szCs w:val="24"/>
        </w:rPr>
        <w:t>，南北长</w:t>
      </w:r>
      <w:r>
        <w:rPr>
          <w:rFonts w:ascii="Times New Roman" w:hint="eastAsia"/>
          <w:bCs/>
          <w:szCs w:val="24"/>
        </w:rPr>
        <w:t>4</w:t>
      </w:r>
      <w:r>
        <w:rPr>
          <w:rFonts w:ascii="Times New Roman"/>
          <w:bCs/>
          <w:szCs w:val="24"/>
        </w:rPr>
        <w:t>.63</w:t>
      </w:r>
      <w:r>
        <w:rPr>
          <w:rFonts w:ascii="Times New Roman" w:hint="eastAsia"/>
          <w:bCs/>
          <w:szCs w:val="24"/>
        </w:rPr>
        <w:t>km</w:t>
      </w:r>
      <w:r>
        <w:rPr>
          <w:rFonts w:ascii="Times New Roman" w:hint="eastAsia"/>
          <w:bCs/>
          <w:szCs w:val="24"/>
        </w:rPr>
        <w:t>，面积</w:t>
      </w:r>
      <w:r>
        <w:rPr>
          <w:rFonts w:ascii="Times New Roman" w:hint="eastAsia"/>
          <w:bCs/>
          <w:szCs w:val="24"/>
        </w:rPr>
        <w:t>6</w:t>
      </w:r>
      <w:r>
        <w:rPr>
          <w:rFonts w:ascii="Times New Roman"/>
          <w:bCs/>
          <w:szCs w:val="24"/>
        </w:rPr>
        <w:t>.6522</w:t>
      </w:r>
      <w:r>
        <w:rPr>
          <w:rFonts w:ascii="Times New Roman" w:hint="eastAsia"/>
          <w:bCs/>
          <w:szCs w:val="24"/>
        </w:rPr>
        <w:t xml:space="preserve"> km</w:t>
      </w:r>
      <w:r>
        <w:rPr>
          <w:rFonts w:ascii="Times New Roman" w:hint="eastAsia"/>
          <w:bCs/>
          <w:szCs w:val="24"/>
          <w:vertAlign w:val="superscript"/>
        </w:rPr>
        <w:t>2</w:t>
      </w:r>
      <w:r>
        <w:rPr>
          <w:rFonts w:ascii="Times New Roman" w:hint="eastAsia"/>
          <w:bCs/>
          <w:szCs w:val="24"/>
        </w:rPr>
        <w:t>，现生产规模</w:t>
      </w:r>
      <w:r>
        <w:rPr>
          <w:rFonts w:ascii="Times New Roman"/>
          <w:bCs/>
          <w:szCs w:val="24"/>
        </w:rPr>
        <w:t>1.1</w:t>
      </w:r>
      <w:r>
        <w:rPr>
          <w:rFonts w:ascii="Times New Roman" w:hint="eastAsia"/>
          <w:bCs/>
          <w:szCs w:val="24"/>
        </w:rPr>
        <w:t>Mt</w:t>
      </w:r>
      <w:r>
        <w:rPr>
          <w:rFonts w:ascii="Times New Roman"/>
          <w:bCs/>
          <w:szCs w:val="24"/>
        </w:rPr>
        <w:t>/a</w:t>
      </w:r>
      <w:r>
        <w:rPr>
          <w:rFonts w:ascii="Times New Roman" w:hint="eastAsia"/>
          <w:bCs/>
          <w:szCs w:val="24"/>
        </w:rPr>
        <w:t>，由国家能源集团宁夏煤业有限责任公司</w:t>
      </w:r>
      <w:r>
        <w:rPr>
          <w:rFonts w:ascii="Times New Roman"/>
          <w:bCs/>
          <w:szCs w:val="24"/>
        </w:rPr>
        <w:t>投资建设。</w:t>
      </w:r>
      <w:r>
        <w:rPr>
          <w:rFonts w:ascii="Times New Roman" w:hint="eastAsia"/>
        </w:rPr>
        <w:t>2</w:t>
      </w:r>
      <w:r>
        <w:rPr>
          <w:rFonts w:ascii="Times New Roman"/>
        </w:rPr>
        <w:t>008</w:t>
      </w:r>
      <w:r>
        <w:rPr>
          <w:rFonts w:ascii="Times New Roman" w:hint="eastAsia"/>
        </w:rPr>
        <w:t>年</w:t>
      </w:r>
      <w:r>
        <w:rPr>
          <w:rFonts w:ascii="Times New Roman"/>
        </w:rPr>
        <w:t>原</w:t>
      </w:r>
      <w:r>
        <w:rPr>
          <w:rFonts w:ascii="Times New Roman" w:hint="eastAsia"/>
        </w:rPr>
        <w:t>宁夏回族自治区环境保护局以宁</w:t>
      </w:r>
      <w:r>
        <w:rPr>
          <w:rFonts w:ascii="Times New Roman"/>
        </w:rPr>
        <w:t>环审</w:t>
      </w:r>
      <w:r>
        <w:rPr>
          <w:rFonts w:ascii="Times New Roman" w:hint="eastAsia"/>
        </w:rPr>
        <w:t>发</w:t>
      </w:r>
      <w:r>
        <w:rPr>
          <w:rFonts w:ascii="Times New Roman"/>
        </w:rPr>
        <w:t>〔</w:t>
      </w:r>
      <w:r>
        <w:rPr>
          <w:rFonts w:ascii="Times New Roman"/>
        </w:rPr>
        <w:t>2008</w:t>
      </w:r>
      <w:r>
        <w:rPr>
          <w:rFonts w:ascii="Times New Roman"/>
        </w:rPr>
        <w:t>〕</w:t>
      </w:r>
      <w:r>
        <w:rPr>
          <w:rFonts w:ascii="Times New Roman"/>
        </w:rPr>
        <w:t>19</w:t>
      </w:r>
      <w:r>
        <w:rPr>
          <w:rFonts w:ascii="Times New Roman"/>
        </w:rPr>
        <w:t>号</w:t>
      </w:r>
      <w:r>
        <w:rPr>
          <w:rFonts w:ascii="Times New Roman" w:hint="eastAsia"/>
        </w:rPr>
        <w:t>批复了</w:t>
      </w:r>
      <w:r>
        <w:rPr>
          <w:rFonts w:ascii="Times New Roman"/>
        </w:rPr>
        <w:t>0.6 Mt/a</w:t>
      </w:r>
      <w:r>
        <w:rPr>
          <w:rFonts w:ascii="Times New Roman" w:hint="eastAsia"/>
        </w:rPr>
        <w:t>项目环评，</w:t>
      </w:r>
      <w:r>
        <w:rPr>
          <w:rFonts w:ascii="Times New Roman" w:hint="eastAsia"/>
        </w:rPr>
        <w:t>2</w:t>
      </w:r>
      <w:r>
        <w:rPr>
          <w:rFonts w:ascii="Times New Roman"/>
        </w:rPr>
        <w:t>010</w:t>
      </w:r>
      <w:r>
        <w:rPr>
          <w:rFonts w:ascii="Times New Roman" w:hint="eastAsia"/>
        </w:rPr>
        <w:t>年</w:t>
      </w:r>
      <w:r>
        <w:rPr>
          <w:rFonts w:ascii="Times New Roman"/>
        </w:rPr>
        <w:t>原</w:t>
      </w:r>
      <w:r>
        <w:rPr>
          <w:rFonts w:ascii="Times New Roman" w:hint="eastAsia"/>
        </w:rPr>
        <w:t>宁夏回族自治区环境保护厅以宁环验〔</w:t>
      </w:r>
      <w:r>
        <w:rPr>
          <w:rFonts w:ascii="Times New Roman" w:hint="eastAsia"/>
        </w:rPr>
        <w:t>2012</w:t>
      </w:r>
      <w:r>
        <w:rPr>
          <w:rFonts w:ascii="Times New Roman" w:hint="eastAsia"/>
        </w:rPr>
        <w:t>〕</w:t>
      </w:r>
      <w:r>
        <w:rPr>
          <w:rFonts w:ascii="Times New Roman" w:hint="eastAsia"/>
        </w:rPr>
        <w:t>62</w:t>
      </w:r>
      <w:r>
        <w:rPr>
          <w:rFonts w:ascii="Times New Roman" w:hint="eastAsia"/>
        </w:rPr>
        <w:t>号通过</w:t>
      </w:r>
      <w:r>
        <w:rPr>
          <w:rFonts w:ascii="Times New Roman"/>
        </w:rPr>
        <w:t>0.6Mt/a</w:t>
      </w:r>
      <w:r>
        <w:rPr>
          <w:rFonts w:ascii="Times New Roman" w:hint="eastAsia"/>
        </w:rPr>
        <w:t>项目验收。</w:t>
      </w:r>
      <w:r>
        <w:rPr>
          <w:rFonts w:ascii="Times New Roman" w:hint="eastAsia"/>
        </w:rPr>
        <w:t>2</w:t>
      </w:r>
      <w:r>
        <w:rPr>
          <w:rFonts w:ascii="Times New Roman"/>
        </w:rPr>
        <w:t>0</w:t>
      </w:r>
      <w:r>
        <w:rPr>
          <w:rFonts w:ascii="Times New Roman" w:hint="eastAsia"/>
        </w:rPr>
        <w:t>20</w:t>
      </w:r>
      <w:r>
        <w:rPr>
          <w:rFonts w:ascii="Times New Roman" w:hint="eastAsia"/>
        </w:rPr>
        <w:t>年</w:t>
      </w:r>
      <w:r>
        <w:rPr>
          <w:rFonts w:ascii="Times New Roman" w:hint="eastAsia"/>
        </w:rPr>
        <w:t>2</w:t>
      </w:r>
      <w:r>
        <w:rPr>
          <w:rFonts w:ascii="Times New Roman" w:hint="eastAsia"/>
        </w:rPr>
        <w:t>月</w:t>
      </w:r>
      <w:r>
        <w:rPr>
          <w:rFonts w:ascii="Times New Roman" w:hint="eastAsia"/>
        </w:rPr>
        <w:t>14</w:t>
      </w:r>
      <w:r>
        <w:rPr>
          <w:rFonts w:ascii="Times New Roman" w:hint="eastAsia"/>
        </w:rPr>
        <w:t>日，国家煤矿安全监察局办公室以煤安监司函办〔</w:t>
      </w:r>
      <w:r>
        <w:rPr>
          <w:rFonts w:ascii="Times New Roman" w:hint="eastAsia"/>
        </w:rPr>
        <w:t>2020</w:t>
      </w:r>
      <w:r>
        <w:rPr>
          <w:rFonts w:ascii="Times New Roman" w:hint="eastAsia"/>
        </w:rPr>
        <w:t>〕</w:t>
      </w:r>
      <w:r>
        <w:rPr>
          <w:rFonts w:ascii="Times New Roman" w:hint="eastAsia"/>
        </w:rPr>
        <w:t>16</w:t>
      </w:r>
      <w:r>
        <w:rPr>
          <w:rFonts w:ascii="Times New Roman" w:hint="eastAsia"/>
        </w:rPr>
        <w:t>号《关于核定国家能源集团宁夏煤业集团公司红石湾煤矿、灵新煤矿生产能力的复函》，核定红石湾煤矿生产能力为</w:t>
      </w:r>
      <w:r>
        <w:rPr>
          <w:rFonts w:ascii="Times New Roman" w:hint="eastAsia"/>
        </w:rPr>
        <w:t>110</w:t>
      </w:r>
      <w:r>
        <w:rPr>
          <w:rFonts w:ascii="Times New Roman" w:hint="eastAsia"/>
        </w:rPr>
        <w:t>万吨</w:t>
      </w:r>
      <w:r>
        <w:rPr>
          <w:rFonts w:ascii="Times New Roman" w:hint="eastAsia"/>
        </w:rPr>
        <w:t>/</w:t>
      </w:r>
      <w:r>
        <w:rPr>
          <w:rFonts w:ascii="Times New Roman" w:hint="eastAsia"/>
        </w:rPr>
        <w:t>年</w:t>
      </w:r>
      <w:r>
        <w:rPr>
          <w:rFonts w:ascii="Times New Roman"/>
        </w:rPr>
        <w:t>。</w:t>
      </w:r>
      <w:r>
        <w:rPr>
          <w:rFonts w:ascii="Times New Roman" w:hint="eastAsia"/>
        </w:rPr>
        <w:t>环保备案文件已编制完成，备案工作正在进行。红石湾煤矿配套建设选煤厂一座，规模</w:t>
      </w:r>
      <w:r>
        <w:rPr>
          <w:rFonts w:ascii="Times New Roman"/>
        </w:rPr>
        <w:t>1.2 Mt/a</w:t>
      </w:r>
      <w:r>
        <w:rPr>
          <w:rFonts w:ascii="Times New Roman" w:hint="eastAsia"/>
        </w:rPr>
        <w:t>。</w:t>
      </w:r>
    </w:p>
    <w:p w14:paraId="049B0F6E"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红石湾</w:t>
      </w:r>
      <w:r>
        <w:rPr>
          <w:rFonts w:ascii="Times New Roman"/>
          <w:szCs w:val="24"/>
        </w:rPr>
        <w:t>矿井及选煤厂</w:t>
      </w:r>
      <w:r>
        <w:rPr>
          <w:rFonts w:ascii="Times New Roman" w:hint="eastAsia"/>
          <w:szCs w:val="24"/>
        </w:rPr>
        <w:t>现状</w:t>
      </w:r>
      <w:r>
        <w:rPr>
          <w:rFonts w:ascii="Times New Roman"/>
          <w:szCs w:val="24"/>
        </w:rPr>
        <w:t>见图</w:t>
      </w:r>
      <w:r>
        <w:rPr>
          <w:rFonts w:ascii="Times New Roman" w:hAnsi="Times New Roman"/>
          <w:szCs w:val="28"/>
        </w:rPr>
        <w:t>2.2</w:t>
      </w:r>
      <w:r>
        <w:rPr>
          <w:rFonts w:ascii="Times New Roman"/>
          <w:szCs w:val="24"/>
        </w:rPr>
        <w:t>-3</w:t>
      </w:r>
      <w:r>
        <w:rPr>
          <w:rFonts w:ascii="Times New Roman" w:hint="eastAsia"/>
          <w:szCs w:val="24"/>
        </w:rPr>
        <w:t>。</w:t>
      </w:r>
    </w:p>
    <w:p w14:paraId="4BAB96E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4</w:t>
      </w:r>
      <w:r>
        <w:rPr>
          <w:rFonts w:ascii="Times New Roman" w:hint="eastAsia"/>
        </w:rPr>
        <w:t>）丁家梁矿井</w:t>
      </w:r>
    </w:p>
    <w:p w14:paraId="10C8C84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bCs/>
          <w:szCs w:val="24"/>
        </w:rPr>
        <w:t>井田东西宽约</w:t>
      </w:r>
      <w:r>
        <w:rPr>
          <w:rFonts w:ascii="Times New Roman"/>
          <w:bCs/>
          <w:szCs w:val="24"/>
        </w:rPr>
        <w:t>1</w:t>
      </w:r>
      <w:r>
        <w:rPr>
          <w:rFonts w:ascii="Times New Roman" w:hint="eastAsia"/>
          <w:bCs/>
          <w:szCs w:val="24"/>
        </w:rPr>
        <w:t>.6</w:t>
      </w:r>
      <w:r>
        <w:rPr>
          <w:rFonts w:ascii="Times New Roman"/>
          <w:bCs/>
          <w:szCs w:val="24"/>
        </w:rPr>
        <w:t>～</w:t>
      </w:r>
      <w:r>
        <w:rPr>
          <w:rFonts w:ascii="Times New Roman" w:hint="eastAsia"/>
          <w:bCs/>
          <w:szCs w:val="24"/>
        </w:rPr>
        <w:t>4.6</w:t>
      </w:r>
      <w:r>
        <w:rPr>
          <w:rFonts w:ascii="Times New Roman"/>
          <w:bCs/>
          <w:szCs w:val="24"/>
        </w:rPr>
        <w:t>km</w:t>
      </w:r>
      <w:r>
        <w:rPr>
          <w:rFonts w:ascii="Times New Roman"/>
          <w:bCs/>
          <w:szCs w:val="24"/>
        </w:rPr>
        <w:t>，</w:t>
      </w:r>
      <w:r>
        <w:rPr>
          <w:rFonts w:ascii="Times New Roman" w:hint="eastAsia"/>
          <w:bCs/>
          <w:szCs w:val="24"/>
        </w:rPr>
        <w:t>南北长约</w:t>
      </w:r>
      <w:r>
        <w:rPr>
          <w:rFonts w:ascii="Times New Roman"/>
          <w:bCs/>
          <w:szCs w:val="24"/>
        </w:rPr>
        <w:t>1</w:t>
      </w:r>
      <w:r>
        <w:rPr>
          <w:rFonts w:ascii="Times New Roman" w:hint="eastAsia"/>
          <w:bCs/>
          <w:szCs w:val="24"/>
        </w:rPr>
        <w:t>.64</w:t>
      </w:r>
      <w:r>
        <w:rPr>
          <w:rFonts w:ascii="Times New Roman"/>
          <w:bCs/>
          <w:szCs w:val="24"/>
        </w:rPr>
        <w:t>～</w:t>
      </w:r>
      <w:r>
        <w:rPr>
          <w:rFonts w:ascii="Times New Roman" w:hint="eastAsia"/>
          <w:bCs/>
          <w:szCs w:val="24"/>
        </w:rPr>
        <w:t>5.9</w:t>
      </w:r>
      <w:r>
        <w:rPr>
          <w:rFonts w:ascii="Times New Roman"/>
          <w:bCs/>
          <w:szCs w:val="24"/>
        </w:rPr>
        <w:t>km</w:t>
      </w:r>
      <w:r>
        <w:rPr>
          <w:rFonts w:ascii="Times New Roman"/>
          <w:bCs/>
          <w:szCs w:val="24"/>
        </w:rPr>
        <w:t>，面积</w:t>
      </w:r>
      <w:r>
        <w:rPr>
          <w:rFonts w:ascii="Times New Roman" w:hint="eastAsia"/>
          <w:bCs/>
          <w:szCs w:val="24"/>
        </w:rPr>
        <w:t>17.505</w:t>
      </w:r>
      <w:r>
        <w:rPr>
          <w:rFonts w:ascii="Times New Roman"/>
          <w:bCs/>
          <w:szCs w:val="24"/>
        </w:rPr>
        <w:t>km</w:t>
      </w:r>
      <w:r>
        <w:rPr>
          <w:rFonts w:ascii="Times New Roman"/>
          <w:bCs/>
          <w:szCs w:val="24"/>
          <w:vertAlign w:val="superscript"/>
        </w:rPr>
        <w:t>2</w:t>
      </w:r>
      <w:r>
        <w:rPr>
          <w:rFonts w:ascii="Times New Roman" w:hint="eastAsia"/>
          <w:bCs/>
          <w:szCs w:val="24"/>
        </w:rPr>
        <w:t>，规划规模</w:t>
      </w:r>
      <w:r>
        <w:rPr>
          <w:rFonts w:ascii="Times New Roman"/>
          <w:bCs/>
          <w:szCs w:val="24"/>
        </w:rPr>
        <w:t>0.6</w:t>
      </w:r>
      <w:r>
        <w:rPr>
          <w:rFonts w:ascii="Times New Roman" w:hint="eastAsia"/>
          <w:bCs/>
          <w:szCs w:val="24"/>
        </w:rPr>
        <w:t>Mt</w:t>
      </w:r>
      <w:r>
        <w:rPr>
          <w:rFonts w:ascii="Times New Roman"/>
          <w:bCs/>
          <w:szCs w:val="24"/>
        </w:rPr>
        <w:t>/a</w:t>
      </w:r>
      <w:r>
        <w:rPr>
          <w:rFonts w:ascii="Times New Roman" w:hint="eastAsia"/>
          <w:bCs/>
          <w:szCs w:val="24"/>
        </w:rPr>
        <w:t>，</w:t>
      </w:r>
      <w:r>
        <w:rPr>
          <w:rFonts w:ascii="Times New Roman" w:hAnsi="Times New Roman"/>
        </w:rPr>
        <w:t>由</w:t>
      </w:r>
      <w:r>
        <w:rPr>
          <w:rFonts w:ascii="Times New Roman" w:hAnsi="Times New Roman" w:hint="eastAsia"/>
        </w:rPr>
        <w:t>宁夏宝丰能源集团股份有限公司开发</w:t>
      </w:r>
      <w:r>
        <w:rPr>
          <w:rFonts w:ascii="Times New Roman" w:hAnsi="Times New Roman"/>
        </w:rPr>
        <w:t>建设。</w:t>
      </w:r>
      <w:r>
        <w:rPr>
          <w:rFonts w:ascii="Times New Roman" w:hint="eastAsia"/>
        </w:rPr>
        <w:t>2</w:t>
      </w:r>
      <w:r>
        <w:rPr>
          <w:rFonts w:ascii="Times New Roman"/>
        </w:rPr>
        <w:t>012</w:t>
      </w:r>
      <w:r>
        <w:rPr>
          <w:rFonts w:ascii="Times New Roman" w:hint="eastAsia"/>
        </w:rPr>
        <w:t>年，</w:t>
      </w:r>
      <w:r>
        <w:rPr>
          <w:rFonts w:ascii="Times New Roman"/>
        </w:rPr>
        <w:t>原</w:t>
      </w:r>
      <w:r>
        <w:rPr>
          <w:rFonts w:ascii="Times New Roman" w:hint="eastAsia"/>
        </w:rPr>
        <w:t>宁夏回族自治区环境保护局以宁</w:t>
      </w:r>
      <w:r>
        <w:rPr>
          <w:rFonts w:ascii="Times New Roman"/>
        </w:rPr>
        <w:t>环审</w:t>
      </w:r>
      <w:r>
        <w:rPr>
          <w:rFonts w:ascii="Times New Roman" w:hint="eastAsia"/>
        </w:rPr>
        <w:t>发</w:t>
      </w:r>
      <w:r>
        <w:rPr>
          <w:rFonts w:ascii="Times New Roman"/>
        </w:rPr>
        <w:t>〔</w:t>
      </w:r>
      <w:r>
        <w:rPr>
          <w:rFonts w:ascii="Times New Roman"/>
        </w:rPr>
        <w:t>2012</w:t>
      </w:r>
      <w:r>
        <w:rPr>
          <w:rFonts w:ascii="Times New Roman"/>
        </w:rPr>
        <w:t>〕</w:t>
      </w:r>
      <w:r>
        <w:rPr>
          <w:rFonts w:ascii="Times New Roman"/>
        </w:rPr>
        <w:t>30</w:t>
      </w:r>
      <w:r>
        <w:rPr>
          <w:rFonts w:ascii="Times New Roman"/>
        </w:rPr>
        <w:t>号</w:t>
      </w:r>
      <w:r>
        <w:rPr>
          <w:rFonts w:ascii="Times New Roman" w:hint="eastAsia"/>
        </w:rPr>
        <w:t>对丁家梁</w:t>
      </w:r>
      <w:r>
        <w:rPr>
          <w:rFonts w:ascii="Times New Roman" w:hint="eastAsia"/>
        </w:rPr>
        <w:t>0</w:t>
      </w:r>
      <w:r>
        <w:rPr>
          <w:rFonts w:ascii="Times New Roman"/>
        </w:rPr>
        <w:t>.6</w:t>
      </w:r>
      <w:r>
        <w:rPr>
          <w:rFonts w:ascii="Times New Roman" w:hint="eastAsia"/>
        </w:rPr>
        <w:t>Mt</w:t>
      </w:r>
      <w:r>
        <w:rPr>
          <w:rFonts w:ascii="Times New Roman"/>
        </w:rPr>
        <w:t>/a</w:t>
      </w:r>
      <w:r>
        <w:rPr>
          <w:rFonts w:ascii="Times New Roman" w:hint="eastAsia"/>
        </w:rPr>
        <w:t>环评文件予以批复。</w:t>
      </w:r>
      <w:r>
        <w:rPr>
          <w:rFonts w:ascii="Times New Roman"/>
        </w:rPr>
        <w:t>2013</w:t>
      </w:r>
      <w:r>
        <w:rPr>
          <w:rFonts w:ascii="Times New Roman"/>
        </w:rPr>
        <w:t>年</w:t>
      </w:r>
      <w:r>
        <w:rPr>
          <w:rFonts w:ascii="Times New Roman" w:hint="eastAsia"/>
        </w:rPr>
        <w:t>3</w:t>
      </w:r>
      <w:r>
        <w:rPr>
          <w:rFonts w:ascii="Times New Roman"/>
        </w:rPr>
        <w:t>月，自治区发展改革委对该项目予以核准，矿井设计生产能力</w:t>
      </w:r>
      <w:r>
        <w:rPr>
          <w:rFonts w:ascii="Times New Roman"/>
        </w:rPr>
        <w:t>0.60Mt/a</w:t>
      </w:r>
      <w:r>
        <w:rPr>
          <w:rFonts w:ascii="Times New Roman"/>
        </w:rPr>
        <w:t>，项目随即开工建设。</w:t>
      </w:r>
      <w:r>
        <w:rPr>
          <w:rFonts w:ascii="Times New Roman"/>
        </w:rPr>
        <w:t>2014</w:t>
      </w:r>
      <w:r>
        <w:rPr>
          <w:rFonts w:ascii="Times New Roman"/>
        </w:rPr>
        <w:t>年停建</w:t>
      </w:r>
      <w:r>
        <w:rPr>
          <w:rFonts w:ascii="Times New Roman" w:hint="eastAsia"/>
        </w:rPr>
        <w:t>，</w:t>
      </w:r>
      <w:r>
        <w:rPr>
          <w:rFonts w:ascii="Times New Roman"/>
        </w:rPr>
        <w:t>建设进度约完成</w:t>
      </w:r>
      <w:r>
        <w:rPr>
          <w:rFonts w:ascii="Times New Roman" w:hint="eastAsia"/>
        </w:rPr>
        <w:t>一半。</w:t>
      </w:r>
    </w:p>
    <w:p w14:paraId="01B813A7" w14:textId="77777777" w:rsidR="009C353B" w:rsidRDefault="00000000">
      <w:pPr>
        <w:spacing w:line="440" w:lineRule="exact"/>
        <w:ind w:firstLineChars="200" w:firstLine="480"/>
        <w:jc w:val="left"/>
        <w:rPr>
          <w:rFonts w:ascii="Times New Roman" w:hAnsi="Times New Roman"/>
          <w:szCs w:val="24"/>
        </w:rPr>
      </w:pPr>
      <w:r>
        <w:rPr>
          <w:rFonts w:ascii="Times New Roman" w:hint="eastAsia"/>
          <w:szCs w:val="24"/>
        </w:rPr>
        <w:t>丁家梁煤矿建设现状</w:t>
      </w:r>
      <w:r>
        <w:rPr>
          <w:rFonts w:ascii="Times New Roman"/>
          <w:szCs w:val="24"/>
        </w:rPr>
        <w:t>见图</w:t>
      </w:r>
      <w:r>
        <w:rPr>
          <w:rFonts w:ascii="Times New Roman" w:hAnsi="Times New Roman"/>
          <w:szCs w:val="28"/>
        </w:rPr>
        <w:t>2.2</w:t>
      </w:r>
      <w:r>
        <w:rPr>
          <w:rFonts w:ascii="Times New Roman"/>
          <w:szCs w:val="24"/>
        </w:rPr>
        <w:t>-4</w:t>
      </w:r>
      <w:r>
        <w:rPr>
          <w:rFonts w:ascii="Times New Roman" w:hint="eastAsia"/>
          <w:szCs w:val="24"/>
        </w:rPr>
        <w:t>。</w:t>
      </w:r>
    </w:p>
    <w:p w14:paraId="0DD6A891"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hint="eastAsia"/>
          <w:szCs w:val="24"/>
        </w:rPr>
        <w:t>（</w:t>
      </w:r>
      <w:r>
        <w:rPr>
          <w:rFonts w:ascii="Times New Roman" w:hAnsi="Times New Roman"/>
          <w:szCs w:val="24"/>
        </w:rPr>
        <w:t>5</w:t>
      </w:r>
      <w:r>
        <w:rPr>
          <w:rFonts w:ascii="Times New Roman" w:hAnsi="Times New Roman" w:hint="eastAsia"/>
          <w:szCs w:val="24"/>
        </w:rPr>
        <w:t>）原矿区总体规划目标实现情况</w:t>
      </w:r>
    </w:p>
    <w:p w14:paraId="7F0D6D4F"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hint="eastAsia"/>
          <w:szCs w:val="24"/>
        </w:rPr>
        <w:t>原矿区总体规划目标为：矿区各规划矿井分三期建设，一期即十一五期间建成任家庄矿井，二期即十二五期间建成马莲台矿井和红石湾矿井，三期即十三五期间建成丁家梁矿井。</w:t>
      </w:r>
      <w:r>
        <w:rPr>
          <w:rFonts w:ascii="Times New Roman" w:hAnsi="Times New Roman" w:hint="eastAsia"/>
          <w:szCs w:val="24"/>
        </w:rPr>
        <w:t>2018</w:t>
      </w:r>
      <w:r>
        <w:rPr>
          <w:rFonts w:ascii="Times New Roman" w:hAnsi="Times New Roman" w:hint="eastAsia"/>
          <w:szCs w:val="24"/>
        </w:rPr>
        <w:t>年</w:t>
      </w:r>
      <w:r>
        <w:rPr>
          <w:rFonts w:ascii="Times New Roman" w:hAnsi="Times New Roman" w:hint="eastAsia"/>
          <w:szCs w:val="24"/>
        </w:rPr>
        <w:t>8</w:t>
      </w:r>
      <w:r>
        <w:rPr>
          <w:rFonts w:ascii="Times New Roman" w:hAnsi="Times New Roman" w:hint="eastAsia"/>
          <w:szCs w:val="24"/>
        </w:rPr>
        <w:t>月实现原煤产量</w:t>
      </w:r>
      <w:r>
        <w:rPr>
          <w:rFonts w:ascii="Times New Roman" w:hAnsi="Times New Roman" w:hint="eastAsia"/>
          <w:szCs w:val="24"/>
        </w:rPr>
        <w:t>6</w:t>
      </w:r>
      <w:r>
        <w:rPr>
          <w:rFonts w:ascii="Times New Roman" w:hAnsi="Times New Roman"/>
          <w:szCs w:val="24"/>
        </w:rPr>
        <w:t>.</w:t>
      </w:r>
      <w:r>
        <w:rPr>
          <w:rFonts w:ascii="Times New Roman" w:hAnsi="Times New Roman" w:hint="eastAsia"/>
          <w:szCs w:val="24"/>
        </w:rPr>
        <w:t>0</w:t>
      </w:r>
      <w:r>
        <w:rPr>
          <w:rFonts w:ascii="Times New Roman" w:hAnsi="Times New Roman"/>
          <w:szCs w:val="24"/>
        </w:rPr>
        <w:t>M</w:t>
      </w:r>
      <w:r>
        <w:rPr>
          <w:rFonts w:ascii="Times New Roman" w:hAnsi="Times New Roman" w:hint="eastAsia"/>
          <w:szCs w:val="24"/>
        </w:rPr>
        <w:t>t</w:t>
      </w:r>
      <w:r>
        <w:rPr>
          <w:rFonts w:ascii="Times New Roman" w:hAnsi="Times New Roman"/>
          <w:szCs w:val="24"/>
        </w:rPr>
        <w:t>/a</w:t>
      </w:r>
      <w:r>
        <w:rPr>
          <w:rFonts w:ascii="Times New Roman" w:hAnsi="Times New Roman" w:hint="eastAsia"/>
          <w:szCs w:val="24"/>
        </w:rPr>
        <w:t>的设计规模，</w:t>
      </w:r>
      <w:r>
        <w:rPr>
          <w:rFonts w:ascii="Times New Roman" w:hAnsi="Times New Roman"/>
          <w:szCs w:val="24"/>
        </w:rPr>
        <w:t>2013</w:t>
      </w:r>
      <w:r>
        <w:rPr>
          <w:rFonts w:ascii="Times New Roman" w:hAnsi="Times New Roman" w:hint="eastAsia"/>
          <w:szCs w:val="24"/>
        </w:rPr>
        <w:t>年选煤厂洗选量达到</w:t>
      </w:r>
      <w:r>
        <w:rPr>
          <w:rFonts w:ascii="Times New Roman" w:hAnsi="Times New Roman" w:hint="eastAsia"/>
          <w:szCs w:val="24"/>
        </w:rPr>
        <w:t>4</w:t>
      </w:r>
      <w:r>
        <w:rPr>
          <w:rFonts w:ascii="Times New Roman" w:hAnsi="Times New Roman"/>
          <w:szCs w:val="24"/>
        </w:rPr>
        <w:t>.8M</w:t>
      </w:r>
      <w:r>
        <w:rPr>
          <w:rFonts w:ascii="Times New Roman" w:hAnsi="Times New Roman" w:hint="eastAsia"/>
          <w:szCs w:val="24"/>
        </w:rPr>
        <w:t>t</w:t>
      </w:r>
      <w:r>
        <w:rPr>
          <w:rFonts w:ascii="Times New Roman" w:hAnsi="Times New Roman"/>
          <w:szCs w:val="24"/>
        </w:rPr>
        <w:t>/a</w:t>
      </w:r>
      <w:r>
        <w:rPr>
          <w:rFonts w:ascii="Times New Roman" w:hAnsi="Times New Roman" w:hint="eastAsia"/>
          <w:szCs w:val="24"/>
        </w:rPr>
        <w:t>的设计规模。</w:t>
      </w:r>
    </w:p>
    <w:p w14:paraId="41276E1A" w14:textId="77777777" w:rsidR="009C353B" w:rsidRDefault="00000000">
      <w:pPr>
        <w:spacing w:line="440" w:lineRule="exact"/>
        <w:ind w:firstLineChars="200" w:firstLine="480"/>
        <w:jc w:val="left"/>
        <w:rPr>
          <w:rFonts w:ascii="Times New Roman" w:hAnsi="Times New Roman"/>
          <w:szCs w:val="24"/>
        </w:rPr>
      </w:pPr>
      <w:r>
        <w:rPr>
          <w:rFonts w:ascii="Times New Roman" w:hint="eastAsia"/>
          <w:snapToGrid w:val="0"/>
          <w:kern w:val="0"/>
          <w:szCs w:val="24"/>
        </w:rPr>
        <w:t>根据矿区规划实施进度情况看，</w:t>
      </w:r>
      <w:r>
        <w:rPr>
          <w:rFonts w:ascii="Times New Roman" w:hAnsi="Times New Roman" w:hint="eastAsia"/>
          <w:szCs w:val="24"/>
        </w:rPr>
        <w:t>原矿区总体规划目标已基本实现，丁家梁煤矿在建（停工），建设进度略有滞后，目前矿区原煤生产能力</w:t>
      </w:r>
      <w:r>
        <w:rPr>
          <w:rFonts w:ascii="Times New Roman" w:hAnsi="Times New Roman"/>
          <w:szCs w:val="24"/>
        </w:rPr>
        <w:t>8.3M</w:t>
      </w:r>
      <w:r>
        <w:rPr>
          <w:rFonts w:ascii="Times New Roman" w:hAnsi="Times New Roman" w:hint="eastAsia"/>
          <w:szCs w:val="24"/>
        </w:rPr>
        <w:t>t</w:t>
      </w:r>
      <w:r>
        <w:rPr>
          <w:rFonts w:ascii="Times New Roman" w:hAnsi="Times New Roman"/>
          <w:szCs w:val="24"/>
        </w:rPr>
        <w:t>/a</w:t>
      </w:r>
      <w:r>
        <w:rPr>
          <w:rFonts w:ascii="Times New Roman" w:hAnsi="Times New Roman" w:hint="eastAsia"/>
          <w:szCs w:val="24"/>
        </w:rPr>
        <w:t>，煤炭洗选能力</w:t>
      </w:r>
      <w:r>
        <w:rPr>
          <w:rFonts w:ascii="Times New Roman" w:hAnsi="Times New Roman" w:hint="eastAsia"/>
          <w:szCs w:val="24"/>
        </w:rPr>
        <w:t>1</w:t>
      </w:r>
      <w:r>
        <w:rPr>
          <w:rFonts w:ascii="Times New Roman" w:hAnsi="Times New Roman"/>
          <w:szCs w:val="24"/>
        </w:rPr>
        <w:t>6.0 M</w:t>
      </w:r>
      <w:r>
        <w:rPr>
          <w:rFonts w:ascii="Times New Roman" w:hAnsi="Times New Roman" w:hint="eastAsia"/>
          <w:szCs w:val="24"/>
        </w:rPr>
        <w:t>t</w:t>
      </w:r>
      <w:r>
        <w:rPr>
          <w:rFonts w:ascii="Times New Roman" w:hAnsi="Times New Roman"/>
          <w:szCs w:val="24"/>
        </w:rPr>
        <w:t>/a</w:t>
      </w:r>
      <w:r>
        <w:rPr>
          <w:rFonts w:ascii="Times New Roman" w:hAnsi="Times New Roman" w:hint="eastAsia"/>
          <w:szCs w:val="24"/>
        </w:rPr>
        <w:t>。</w:t>
      </w:r>
    </w:p>
    <w:p w14:paraId="20B7C5C5"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2.2.</w:t>
      </w:r>
      <w:r>
        <w:rPr>
          <w:rFonts w:ascii="Times New Roman" w:hAnsi="Times New Roman" w:hint="eastAsia"/>
          <w:sz w:val="24"/>
        </w:rPr>
        <w:t>2</w:t>
      </w:r>
      <w:r>
        <w:rPr>
          <w:rFonts w:ascii="Times New Roman" w:hAnsi="Times New Roman"/>
          <w:sz w:val="24"/>
        </w:rPr>
        <w:t xml:space="preserve"> </w:t>
      </w:r>
      <w:r>
        <w:rPr>
          <w:rFonts w:ascii="Times New Roman" w:hAnsi="Times New Roman" w:hint="eastAsia"/>
          <w:sz w:val="24"/>
        </w:rPr>
        <w:t>本次修编矿区总体规划主要变化情况</w:t>
      </w:r>
    </w:p>
    <w:p w14:paraId="452AE6BD" w14:textId="77777777" w:rsidR="009C353B" w:rsidRDefault="00000000">
      <w:pPr>
        <w:spacing w:line="440" w:lineRule="exact"/>
        <w:ind w:firstLineChars="200" w:firstLine="480"/>
        <w:jc w:val="left"/>
        <w:rPr>
          <w:rFonts w:ascii="Times New Roman" w:hAnsi="Times New Roman"/>
          <w:snapToGrid w:val="0"/>
          <w:kern w:val="0"/>
          <w:szCs w:val="24"/>
        </w:rPr>
      </w:pPr>
      <w:r>
        <w:rPr>
          <w:rFonts w:ascii="Times New Roman" w:hAnsi="Times New Roman" w:hint="eastAsia"/>
          <w:snapToGrid w:val="0"/>
          <w:kern w:val="0"/>
          <w:szCs w:val="24"/>
        </w:rPr>
        <w:t>对比原批复总体规划，本次</w:t>
      </w:r>
      <w:r>
        <w:rPr>
          <w:rFonts w:ascii="Times New Roman" w:hAnsi="Times New Roman"/>
          <w:snapToGrid w:val="0"/>
          <w:kern w:val="0"/>
          <w:szCs w:val="24"/>
        </w:rPr>
        <w:t>修编的矿区总体</w:t>
      </w:r>
      <w:r>
        <w:rPr>
          <w:rFonts w:ascii="Times New Roman" w:hAnsi="Times New Roman" w:hint="eastAsia"/>
          <w:snapToGrid w:val="0"/>
          <w:kern w:val="0"/>
          <w:szCs w:val="24"/>
        </w:rPr>
        <w:t>规划主要调整内容为：</w:t>
      </w:r>
    </w:p>
    <w:p w14:paraId="19E2C824" w14:textId="77777777" w:rsidR="009C353B" w:rsidRDefault="00000000">
      <w:pPr>
        <w:spacing w:line="440" w:lineRule="exact"/>
        <w:ind w:firstLineChars="200" w:firstLine="480"/>
        <w:jc w:val="left"/>
        <w:rPr>
          <w:rFonts w:ascii="Times New Roman" w:hint="eastAsia"/>
          <w:szCs w:val="28"/>
        </w:rPr>
      </w:pPr>
      <w:r>
        <w:rPr>
          <w:rFonts w:ascii="Times New Roman" w:hAnsi="Times New Roman" w:hint="eastAsia"/>
          <w:snapToGrid w:val="0"/>
          <w:kern w:val="0"/>
          <w:szCs w:val="24"/>
        </w:rPr>
        <w:t>（</w:t>
      </w:r>
      <w:r>
        <w:rPr>
          <w:rFonts w:ascii="Times New Roman" w:hAnsi="Times New Roman" w:hint="eastAsia"/>
          <w:snapToGrid w:val="0"/>
          <w:kern w:val="0"/>
          <w:szCs w:val="24"/>
        </w:rPr>
        <w:t>1</w:t>
      </w:r>
      <w:r>
        <w:rPr>
          <w:rFonts w:ascii="Times New Roman" w:hAnsi="Times New Roman" w:hint="eastAsia"/>
          <w:snapToGrid w:val="0"/>
          <w:kern w:val="0"/>
          <w:szCs w:val="24"/>
        </w:rPr>
        <w:t>）矿区规划范围</w:t>
      </w:r>
      <w:r>
        <w:rPr>
          <w:rFonts w:ascii="Times New Roman" w:hAnsi="Times New Roman"/>
          <w:snapToGrid w:val="0"/>
          <w:kern w:val="0"/>
          <w:szCs w:val="24"/>
        </w:rPr>
        <w:t>增加</w:t>
      </w:r>
      <w:r>
        <w:rPr>
          <w:rFonts w:ascii="Times New Roman" w:hAnsi="Times New Roman"/>
          <w:snapToGrid w:val="0"/>
          <w:kern w:val="0"/>
          <w:szCs w:val="24"/>
        </w:rPr>
        <w:t>28</w:t>
      </w:r>
      <w:r>
        <w:rPr>
          <w:rFonts w:ascii="Times New Roman" w:hAnsi="Times New Roman" w:hint="eastAsia"/>
          <w:snapToGrid w:val="0"/>
          <w:kern w:val="0"/>
          <w:szCs w:val="24"/>
        </w:rPr>
        <w:t>km</w:t>
      </w:r>
      <w:r>
        <w:rPr>
          <w:rFonts w:ascii="Times New Roman" w:hAnsi="Times New Roman" w:hint="eastAsia"/>
          <w:snapToGrid w:val="0"/>
          <w:kern w:val="0"/>
          <w:szCs w:val="24"/>
          <w:vertAlign w:val="superscript"/>
        </w:rPr>
        <w:t>2</w:t>
      </w:r>
      <w:r>
        <w:rPr>
          <w:rFonts w:ascii="Times New Roman" w:hAnsi="Times New Roman" w:hint="eastAsia"/>
          <w:snapToGrid w:val="0"/>
          <w:kern w:val="0"/>
          <w:szCs w:val="24"/>
        </w:rPr>
        <w:t>——矿区规划范围由</w:t>
      </w:r>
      <w:r>
        <w:rPr>
          <w:rFonts w:ascii="Times New Roman" w:hAnsi="Times New Roman"/>
          <w:snapToGrid w:val="0"/>
          <w:kern w:val="0"/>
          <w:szCs w:val="24"/>
        </w:rPr>
        <w:t>58</w:t>
      </w:r>
      <w:r>
        <w:rPr>
          <w:rFonts w:ascii="Times New Roman" w:hAnsi="Times New Roman" w:hint="eastAsia"/>
          <w:snapToGrid w:val="0"/>
          <w:kern w:val="0"/>
          <w:szCs w:val="24"/>
        </w:rPr>
        <w:t>km</w:t>
      </w:r>
      <w:r>
        <w:rPr>
          <w:rFonts w:ascii="Times New Roman" w:hAnsi="Times New Roman" w:hint="eastAsia"/>
          <w:snapToGrid w:val="0"/>
          <w:kern w:val="0"/>
          <w:szCs w:val="24"/>
          <w:vertAlign w:val="superscript"/>
        </w:rPr>
        <w:t>2</w:t>
      </w:r>
      <w:r>
        <w:rPr>
          <w:rFonts w:ascii="Times New Roman" w:hAnsi="Times New Roman" w:hint="eastAsia"/>
          <w:snapToGrid w:val="0"/>
          <w:kern w:val="0"/>
          <w:szCs w:val="24"/>
        </w:rPr>
        <w:t>扩大到</w:t>
      </w:r>
      <w:r>
        <w:rPr>
          <w:rFonts w:ascii="Times New Roman" w:hAnsi="Times New Roman"/>
          <w:szCs w:val="28"/>
        </w:rPr>
        <w:t>86km</w:t>
      </w:r>
      <w:r>
        <w:rPr>
          <w:rFonts w:ascii="Times New Roman" w:hAnsi="Times New Roman"/>
          <w:szCs w:val="28"/>
          <w:vertAlign w:val="superscript"/>
        </w:rPr>
        <w:t>2</w:t>
      </w:r>
      <w:r>
        <w:rPr>
          <w:rFonts w:ascii="Times New Roman" w:hint="eastAsia"/>
          <w:szCs w:val="28"/>
        </w:rPr>
        <w:t>。</w:t>
      </w:r>
      <w:r>
        <w:rPr>
          <w:rFonts w:ascii="Times New Roman" w:hAnsi="Times New Roman" w:hint="eastAsia"/>
          <w:snapToGrid w:val="0"/>
          <w:kern w:val="0"/>
          <w:szCs w:val="24"/>
        </w:rPr>
        <w:t>其中四个规划井田面积由</w:t>
      </w:r>
      <w:r>
        <w:rPr>
          <w:rFonts w:ascii="Times New Roman" w:hAnsi="Times New Roman"/>
          <w:snapToGrid w:val="0"/>
          <w:kern w:val="0"/>
          <w:szCs w:val="24"/>
        </w:rPr>
        <w:t>58</w:t>
      </w:r>
      <w:r>
        <w:rPr>
          <w:rFonts w:ascii="Times New Roman" w:hAnsi="Times New Roman" w:hint="eastAsia"/>
          <w:snapToGrid w:val="0"/>
          <w:kern w:val="0"/>
          <w:szCs w:val="24"/>
        </w:rPr>
        <w:t>km</w:t>
      </w:r>
      <w:r>
        <w:rPr>
          <w:rFonts w:ascii="Times New Roman" w:hAnsi="Times New Roman" w:hint="eastAsia"/>
          <w:snapToGrid w:val="0"/>
          <w:kern w:val="0"/>
          <w:szCs w:val="24"/>
          <w:vertAlign w:val="superscript"/>
        </w:rPr>
        <w:t>2</w:t>
      </w:r>
      <w:r>
        <w:rPr>
          <w:rFonts w:ascii="Times New Roman" w:hAnsi="Times New Roman" w:hint="eastAsia"/>
          <w:snapToGrid w:val="0"/>
          <w:kern w:val="0"/>
          <w:szCs w:val="24"/>
        </w:rPr>
        <w:t>扩大到</w:t>
      </w:r>
      <w:r>
        <w:rPr>
          <w:rFonts w:ascii="Times New Roman" w:hAnsi="Times New Roman" w:hint="eastAsia"/>
          <w:szCs w:val="28"/>
        </w:rPr>
        <w:t>66.438</w:t>
      </w:r>
      <w:r>
        <w:rPr>
          <w:rFonts w:ascii="Times New Roman" w:hAnsi="Times New Roman"/>
          <w:szCs w:val="28"/>
        </w:rPr>
        <w:t>km</w:t>
      </w:r>
      <w:r>
        <w:rPr>
          <w:rFonts w:ascii="Times New Roman" w:hAnsi="Times New Roman"/>
          <w:szCs w:val="28"/>
          <w:vertAlign w:val="superscript"/>
        </w:rPr>
        <w:t>2</w:t>
      </w:r>
      <w:r>
        <w:rPr>
          <w:rFonts w:ascii="Times New Roman" w:hint="eastAsia"/>
          <w:szCs w:val="28"/>
        </w:rPr>
        <w:t>，各煤矿井田面积略有增减；新增三个后备区面积约</w:t>
      </w:r>
      <w:r>
        <w:rPr>
          <w:rFonts w:ascii="Times New Roman" w:hint="eastAsia"/>
          <w:szCs w:val="28"/>
        </w:rPr>
        <w:t>1</w:t>
      </w:r>
      <w:r>
        <w:rPr>
          <w:rFonts w:ascii="Times New Roman"/>
          <w:szCs w:val="28"/>
        </w:rPr>
        <w:t>9.684</w:t>
      </w:r>
      <w:r>
        <w:rPr>
          <w:rFonts w:ascii="Times New Roman" w:hAnsi="Times New Roman"/>
          <w:szCs w:val="28"/>
        </w:rPr>
        <w:t xml:space="preserve"> km</w:t>
      </w:r>
      <w:r>
        <w:rPr>
          <w:rFonts w:ascii="Times New Roman" w:hAnsi="Times New Roman"/>
          <w:szCs w:val="28"/>
          <w:vertAlign w:val="superscript"/>
        </w:rPr>
        <w:t>2</w:t>
      </w:r>
      <w:r>
        <w:rPr>
          <w:rFonts w:ascii="Times New Roman" w:hint="eastAsia"/>
          <w:szCs w:val="28"/>
        </w:rPr>
        <w:t>；</w:t>
      </w:r>
    </w:p>
    <w:p w14:paraId="2C24BAA3" w14:textId="77777777" w:rsidR="009C353B" w:rsidRDefault="00000000">
      <w:pPr>
        <w:spacing w:line="440" w:lineRule="exact"/>
        <w:ind w:firstLineChars="200" w:firstLine="480"/>
        <w:jc w:val="left"/>
        <w:rPr>
          <w:rFonts w:ascii="Times New Roman" w:hAnsi="Times New Roman"/>
          <w:snapToGrid w:val="0"/>
          <w:kern w:val="0"/>
          <w:szCs w:val="24"/>
        </w:rPr>
      </w:pPr>
      <w:r>
        <w:rPr>
          <w:rFonts w:ascii="Times New Roman" w:hint="eastAsia"/>
          <w:szCs w:val="28"/>
        </w:rPr>
        <w:t>（</w:t>
      </w:r>
      <w:r>
        <w:rPr>
          <w:rFonts w:ascii="Times New Roman" w:hint="eastAsia"/>
          <w:szCs w:val="28"/>
        </w:rPr>
        <w:t>2</w:t>
      </w:r>
      <w:r>
        <w:rPr>
          <w:rFonts w:ascii="Times New Roman" w:hint="eastAsia"/>
          <w:szCs w:val="28"/>
        </w:rPr>
        <w:t>）</w:t>
      </w:r>
      <w:r>
        <w:rPr>
          <w:rFonts w:ascii="Times New Roman" w:hAnsi="Times New Roman" w:hint="eastAsia"/>
          <w:snapToGrid w:val="0"/>
          <w:kern w:val="0"/>
          <w:szCs w:val="24"/>
        </w:rPr>
        <w:t>规模增加——煤炭开发总规模由原</w:t>
      </w:r>
      <w:r>
        <w:rPr>
          <w:rFonts w:ascii="Times New Roman" w:hAnsi="Times New Roman"/>
          <w:snapToGrid w:val="0"/>
          <w:kern w:val="0"/>
          <w:szCs w:val="24"/>
        </w:rPr>
        <w:t>6.0</w:t>
      </w:r>
      <w:r>
        <w:rPr>
          <w:rFonts w:ascii="Times New Roman" w:hAnsi="Times New Roman" w:hint="eastAsia"/>
          <w:snapToGrid w:val="0"/>
          <w:kern w:val="0"/>
          <w:szCs w:val="24"/>
        </w:rPr>
        <w:t>Mt/a</w:t>
      </w:r>
      <w:r>
        <w:rPr>
          <w:rFonts w:ascii="Times New Roman" w:hAnsi="Times New Roman" w:hint="eastAsia"/>
          <w:snapToGrid w:val="0"/>
          <w:kern w:val="0"/>
          <w:szCs w:val="24"/>
        </w:rPr>
        <w:t>增加到</w:t>
      </w:r>
      <w:r>
        <w:rPr>
          <w:rFonts w:ascii="Times New Roman" w:hAnsi="Times New Roman"/>
          <w:snapToGrid w:val="0"/>
          <w:kern w:val="0"/>
          <w:szCs w:val="24"/>
        </w:rPr>
        <w:t>9.20</w:t>
      </w:r>
      <w:r>
        <w:rPr>
          <w:rFonts w:ascii="Times New Roman" w:hAnsi="Times New Roman" w:hint="eastAsia"/>
          <w:snapToGrid w:val="0"/>
          <w:kern w:val="0"/>
          <w:szCs w:val="24"/>
        </w:rPr>
        <w:t>Mt/a</w:t>
      </w:r>
      <w:r>
        <w:rPr>
          <w:rFonts w:ascii="Times New Roman" w:hAnsi="Times New Roman" w:hint="eastAsia"/>
          <w:snapToGrid w:val="0"/>
          <w:kern w:val="0"/>
          <w:szCs w:val="24"/>
        </w:rPr>
        <w:t>；选煤厂规模由原来的</w:t>
      </w:r>
      <w:r>
        <w:rPr>
          <w:rFonts w:ascii="Times New Roman" w:hAnsi="Times New Roman"/>
          <w:snapToGrid w:val="0"/>
          <w:kern w:val="0"/>
          <w:szCs w:val="24"/>
        </w:rPr>
        <w:t>4.8</w:t>
      </w:r>
      <w:r>
        <w:rPr>
          <w:rFonts w:ascii="Times New Roman" w:hAnsi="Times New Roman" w:hint="eastAsia"/>
          <w:snapToGrid w:val="0"/>
          <w:kern w:val="0"/>
          <w:szCs w:val="24"/>
        </w:rPr>
        <w:t>Mt/a</w:t>
      </w:r>
      <w:r>
        <w:rPr>
          <w:rFonts w:ascii="Times New Roman" w:hAnsi="Times New Roman" w:hint="eastAsia"/>
          <w:snapToGrid w:val="0"/>
          <w:kern w:val="0"/>
          <w:szCs w:val="24"/>
        </w:rPr>
        <w:t>增加到</w:t>
      </w:r>
      <w:r>
        <w:rPr>
          <w:rFonts w:ascii="Times New Roman" w:hAnsi="Times New Roman"/>
          <w:snapToGrid w:val="0"/>
          <w:kern w:val="0"/>
          <w:szCs w:val="24"/>
        </w:rPr>
        <w:t>16.0</w:t>
      </w:r>
      <w:r>
        <w:rPr>
          <w:rFonts w:ascii="Times New Roman" w:hAnsi="Times New Roman" w:hint="eastAsia"/>
          <w:snapToGrid w:val="0"/>
          <w:kern w:val="0"/>
          <w:szCs w:val="24"/>
        </w:rPr>
        <w:t>Mt/a</w:t>
      </w:r>
      <w:r>
        <w:rPr>
          <w:rFonts w:ascii="Times New Roman" w:hAnsi="Times New Roman" w:hint="eastAsia"/>
          <w:snapToGrid w:val="0"/>
          <w:kern w:val="0"/>
          <w:szCs w:val="24"/>
        </w:rPr>
        <w:t>；</w:t>
      </w:r>
    </w:p>
    <w:p w14:paraId="1818C37A" w14:textId="77777777" w:rsidR="009C353B" w:rsidRDefault="00000000">
      <w:pPr>
        <w:spacing w:line="440" w:lineRule="exact"/>
        <w:ind w:firstLineChars="200" w:firstLine="480"/>
        <w:jc w:val="left"/>
        <w:rPr>
          <w:rFonts w:ascii="Times New Roman" w:hAnsi="Times New Roman"/>
          <w:snapToGrid w:val="0"/>
          <w:kern w:val="0"/>
          <w:szCs w:val="24"/>
        </w:rPr>
      </w:pPr>
      <w:r>
        <w:rPr>
          <w:rFonts w:ascii="Times New Roman" w:hAnsi="Times New Roman" w:hint="eastAsia"/>
          <w:snapToGrid w:val="0"/>
          <w:kern w:val="0"/>
          <w:szCs w:val="24"/>
        </w:rPr>
        <w:t>（</w:t>
      </w:r>
      <w:r>
        <w:rPr>
          <w:rFonts w:ascii="Times New Roman" w:hAnsi="Times New Roman" w:hint="eastAsia"/>
          <w:snapToGrid w:val="0"/>
          <w:kern w:val="0"/>
          <w:szCs w:val="24"/>
        </w:rPr>
        <w:t>3</w:t>
      </w:r>
      <w:r>
        <w:rPr>
          <w:rFonts w:ascii="Times New Roman" w:hAnsi="Times New Roman" w:hint="eastAsia"/>
          <w:snapToGrid w:val="0"/>
          <w:kern w:val="0"/>
          <w:szCs w:val="24"/>
        </w:rPr>
        <w:t>）丁家梁煤矿井田范围调整——将丁家梁西侧甜水河勘查区合并调入丁家梁井田，原丁家梁井田中因鸭子荡水库压覆部分调出丁家梁井田。丁家梁井田</w:t>
      </w:r>
      <w:r>
        <w:rPr>
          <w:rFonts w:ascii="Times New Roman" w:eastAsiaTheme="minorEastAsia" w:hAnsi="Times New Roman" w:hint="eastAsia"/>
          <w:snapToGrid w:val="0"/>
          <w:spacing w:val="-10"/>
          <w:kern w:val="0"/>
          <w:szCs w:val="24"/>
        </w:rPr>
        <w:t>面积增加</w:t>
      </w:r>
      <w:r>
        <w:rPr>
          <w:rFonts w:ascii="Times New Roman" w:eastAsiaTheme="minorEastAsia" w:hAnsi="Times New Roman"/>
          <w:snapToGrid w:val="0"/>
          <w:spacing w:val="-10"/>
          <w:kern w:val="0"/>
          <w:szCs w:val="24"/>
        </w:rPr>
        <w:t>11.205</w:t>
      </w:r>
      <w:r>
        <w:rPr>
          <w:rFonts w:ascii="Times New Roman" w:eastAsiaTheme="minorEastAsia" w:hAnsi="Times New Roman" w:hint="eastAsia"/>
          <w:snapToGrid w:val="0"/>
          <w:spacing w:val="-10"/>
          <w:kern w:val="0"/>
          <w:szCs w:val="24"/>
        </w:rPr>
        <w:t>km</w:t>
      </w:r>
      <w:r>
        <w:rPr>
          <w:rFonts w:ascii="Times New Roman" w:eastAsiaTheme="minorEastAsia" w:hAnsi="Times New Roman"/>
          <w:snapToGrid w:val="0"/>
          <w:spacing w:val="-10"/>
          <w:kern w:val="0"/>
          <w:szCs w:val="24"/>
          <w:vertAlign w:val="superscript"/>
        </w:rPr>
        <w:t>2</w:t>
      </w:r>
      <w:r>
        <w:rPr>
          <w:rFonts w:ascii="Times New Roman" w:hAnsi="Times New Roman" w:hint="eastAsia"/>
          <w:snapToGrid w:val="0"/>
          <w:kern w:val="0"/>
          <w:szCs w:val="24"/>
        </w:rPr>
        <w:t>。</w:t>
      </w:r>
    </w:p>
    <w:p w14:paraId="090FE502" w14:textId="77777777" w:rsidR="009C353B" w:rsidRDefault="00000000">
      <w:pPr>
        <w:spacing w:line="440" w:lineRule="exact"/>
        <w:ind w:firstLineChars="200" w:firstLine="480"/>
        <w:jc w:val="left"/>
        <w:rPr>
          <w:rFonts w:ascii="Times New Roman" w:hAnsi="Times New Roman"/>
          <w:snapToGrid w:val="0"/>
          <w:kern w:val="0"/>
          <w:szCs w:val="24"/>
        </w:rPr>
      </w:pPr>
      <w:r>
        <w:rPr>
          <w:rFonts w:ascii="Times New Roman" w:hAnsi="Times New Roman" w:hint="eastAsia"/>
          <w:snapToGrid w:val="0"/>
          <w:kern w:val="0"/>
          <w:szCs w:val="24"/>
        </w:rPr>
        <w:t>本次</w:t>
      </w:r>
      <w:r>
        <w:rPr>
          <w:rFonts w:ascii="Times New Roman" w:hAnsi="Times New Roman"/>
          <w:snapToGrid w:val="0"/>
          <w:kern w:val="0"/>
          <w:szCs w:val="24"/>
        </w:rPr>
        <w:t>总体</w:t>
      </w:r>
      <w:r>
        <w:rPr>
          <w:rFonts w:ascii="Times New Roman" w:hAnsi="Times New Roman" w:hint="eastAsia"/>
          <w:snapToGrid w:val="0"/>
          <w:kern w:val="0"/>
          <w:szCs w:val="24"/>
        </w:rPr>
        <w:t>规划（修编）与原总体规划的范围变化及井</w:t>
      </w:r>
      <w:r>
        <w:rPr>
          <w:rFonts w:ascii="Times New Roman" w:hAnsi="Times New Roman"/>
          <w:snapToGrid w:val="0"/>
          <w:kern w:val="0"/>
          <w:szCs w:val="24"/>
        </w:rPr>
        <w:t>田划分</w:t>
      </w:r>
      <w:r>
        <w:rPr>
          <w:rFonts w:ascii="Times New Roman" w:hAnsi="Times New Roman" w:hint="eastAsia"/>
          <w:snapToGrid w:val="0"/>
          <w:kern w:val="0"/>
          <w:szCs w:val="24"/>
        </w:rPr>
        <w:t>对比见图</w:t>
      </w:r>
      <w:r>
        <w:rPr>
          <w:rFonts w:ascii="Times New Roman" w:hAnsi="Times New Roman"/>
          <w:snapToGrid w:val="0"/>
          <w:kern w:val="0"/>
          <w:szCs w:val="24"/>
        </w:rPr>
        <w:t>2.2-5</w:t>
      </w:r>
      <w:r>
        <w:rPr>
          <w:rFonts w:ascii="Times New Roman" w:hAnsi="Times New Roman" w:hint="eastAsia"/>
          <w:snapToGrid w:val="0"/>
          <w:kern w:val="0"/>
          <w:szCs w:val="24"/>
        </w:rPr>
        <w:t>。</w:t>
      </w:r>
    </w:p>
    <w:p w14:paraId="41D12E5B" w14:textId="77777777" w:rsidR="009C353B" w:rsidRDefault="00000000">
      <w:pPr>
        <w:spacing w:line="440" w:lineRule="exact"/>
        <w:ind w:firstLineChars="200" w:firstLine="480"/>
        <w:jc w:val="left"/>
        <w:rPr>
          <w:rFonts w:ascii="Times New Roman" w:hAnsi="Times New Roman"/>
          <w:snapToGrid w:val="0"/>
          <w:kern w:val="0"/>
        </w:rPr>
      </w:pPr>
      <w:r>
        <w:rPr>
          <w:rFonts w:ascii="Times New Roman" w:hAnsi="Times New Roman" w:hint="eastAsia"/>
          <w:snapToGrid w:val="0"/>
          <w:kern w:val="0"/>
          <w:szCs w:val="24"/>
        </w:rPr>
        <w:t>本次规划主要调整内容</w:t>
      </w:r>
      <w:r>
        <w:rPr>
          <w:rFonts w:ascii="Times New Roman" w:hAnsi="Times New Roman" w:hint="eastAsia"/>
          <w:snapToGrid w:val="0"/>
          <w:kern w:val="0"/>
        </w:rPr>
        <w:t>详见表</w:t>
      </w:r>
      <w:r>
        <w:rPr>
          <w:rFonts w:ascii="Times New Roman" w:hAnsi="Times New Roman" w:hint="eastAsia"/>
          <w:snapToGrid w:val="0"/>
          <w:kern w:val="0"/>
        </w:rPr>
        <w:t>2.2-2</w:t>
      </w:r>
      <w:r>
        <w:rPr>
          <w:rFonts w:ascii="Times New Roman" w:hAnsi="Times New Roman" w:hint="eastAsia"/>
          <w:snapToGrid w:val="0"/>
          <w:kern w:val="0"/>
        </w:rPr>
        <w:t>。</w:t>
      </w:r>
    </w:p>
    <w:p w14:paraId="10EC2E7B" w14:textId="77777777" w:rsidR="009C353B" w:rsidRDefault="009C353B">
      <w:pPr>
        <w:spacing w:line="440" w:lineRule="exact"/>
        <w:ind w:firstLineChars="200" w:firstLine="480"/>
        <w:jc w:val="left"/>
        <w:rPr>
          <w:rFonts w:ascii="Times New Roman" w:hAnsi="Times New Roman"/>
          <w:snapToGrid w:val="0"/>
          <w:kern w:val="0"/>
        </w:rPr>
      </w:pPr>
    </w:p>
    <w:p w14:paraId="4FBFDADB" w14:textId="77777777" w:rsidR="009C353B" w:rsidRDefault="009C353B">
      <w:pPr>
        <w:spacing w:line="440" w:lineRule="exact"/>
        <w:ind w:firstLineChars="200" w:firstLine="480"/>
        <w:jc w:val="left"/>
        <w:rPr>
          <w:rFonts w:ascii="Times New Roman" w:hAnsi="Times New Roman"/>
          <w:snapToGrid w:val="0"/>
          <w:kern w:val="0"/>
        </w:rPr>
      </w:pPr>
    </w:p>
    <w:p w14:paraId="0E3BE9EA" w14:textId="77777777" w:rsidR="009C353B" w:rsidRDefault="009C353B">
      <w:pPr>
        <w:spacing w:line="440" w:lineRule="exact"/>
        <w:ind w:firstLineChars="200" w:firstLine="480"/>
        <w:jc w:val="left"/>
        <w:rPr>
          <w:rFonts w:ascii="Times New Roman" w:hAnsi="Times New Roman"/>
          <w:snapToGrid w:val="0"/>
          <w:kern w:val="0"/>
        </w:rPr>
      </w:pPr>
    </w:p>
    <w:p w14:paraId="2B896E21" w14:textId="77777777" w:rsidR="009C353B" w:rsidRDefault="009C353B">
      <w:pPr>
        <w:spacing w:line="440" w:lineRule="exact"/>
        <w:ind w:firstLineChars="200" w:firstLine="480"/>
        <w:jc w:val="left"/>
        <w:rPr>
          <w:rFonts w:ascii="Times New Roman" w:hAnsi="Times New Roman"/>
          <w:snapToGrid w:val="0"/>
          <w:kern w:val="0"/>
        </w:rPr>
      </w:pPr>
    </w:p>
    <w:p w14:paraId="5252C3B3" w14:textId="77777777" w:rsidR="009C353B" w:rsidRDefault="009C353B">
      <w:pPr>
        <w:spacing w:line="440" w:lineRule="exact"/>
        <w:ind w:firstLineChars="200" w:firstLine="480"/>
        <w:jc w:val="left"/>
        <w:rPr>
          <w:rFonts w:ascii="Times New Roman" w:hAnsi="Times New Roman"/>
          <w:snapToGrid w:val="0"/>
          <w:kern w:val="0"/>
        </w:rPr>
      </w:pPr>
    </w:p>
    <w:p w14:paraId="4C2A9074" w14:textId="77777777" w:rsidR="009C353B" w:rsidRDefault="00000000">
      <w:pPr>
        <w:snapToGrid w:val="0"/>
        <w:spacing w:line="440" w:lineRule="exact"/>
        <w:jc w:val="center"/>
        <w:rPr>
          <w:rFonts w:hint="eastAsia"/>
          <w:b/>
          <w:snapToGrid w:val="0"/>
          <w:kern w:val="0"/>
          <w:szCs w:val="24"/>
        </w:rPr>
      </w:pPr>
      <w:r>
        <w:rPr>
          <w:rFonts w:hint="eastAsia"/>
          <w:b/>
          <w:snapToGrid w:val="0"/>
          <w:kern w:val="0"/>
          <w:szCs w:val="24"/>
        </w:rPr>
        <w:t>本次规划与</w:t>
      </w:r>
      <w:r>
        <w:rPr>
          <w:b/>
          <w:snapToGrid w:val="0"/>
          <w:kern w:val="0"/>
          <w:szCs w:val="24"/>
        </w:rPr>
        <w:t>原规划</w:t>
      </w:r>
      <w:r>
        <w:rPr>
          <w:rFonts w:hint="eastAsia"/>
          <w:b/>
          <w:snapToGrid w:val="0"/>
          <w:kern w:val="0"/>
          <w:szCs w:val="24"/>
        </w:rPr>
        <w:t>主要调整内容对比表</w:t>
      </w:r>
    </w:p>
    <w:p w14:paraId="17F49799" w14:textId="77777777" w:rsidR="009C353B" w:rsidRDefault="00000000">
      <w:pPr>
        <w:pStyle w:val="affffd"/>
        <w:spacing w:line="440" w:lineRule="exact"/>
        <w:rPr>
          <w:rFonts w:ascii="Times New Roman" w:hint="eastAsia"/>
        </w:rPr>
      </w:pPr>
      <w:r>
        <w:rPr>
          <w:rFonts w:ascii="Times New Roman" w:hint="eastAsia"/>
        </w:rPr>
        <w:t>表</w:t>
      </w:r>
      <w:r>
        <w:rPr>
          <w:rFonts w:ascii="Times New Roman" w:hint="eastAsia"/>
        </w:rPr>
        <w:t>2.2-2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0"/>
        <w:gridCol w:w="828"/>
        <w:gridCol w:w="1380"/>
        <w:gridCol w:w="1681"/>
        <w:gridCol w:w="1602"/>
        <w:gridCol w:w="3203"/>
      </w:tblGrid>
      <w:tr w:rsidR="009C353B" w14:paraId="3A061288" w14:textId="77777777">
        <w:trPr>
          <w:trHeight w:val="540"/>
        </w:trPr>
        <w:tc>
          <w:tcPr>
            <w:tcW w:w="225" w:type="pct"/>
            <w:tcMar>
              <w:left w:w="28" w:type="dxa"/>
              <w:right w:w="28" w:type="dxa"/>
            </w:tcMar>
            <w:vAlign w:val="center"/>
          </w:tcPr>
          <w:p w14:paraId="1D6879D0"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snapToGrid w:val="0"/>
                <w:kern w:val="0"/>
                <w:sz w:val="21"/>
              </w:rPr>
              <w:t>序号</w:t>
            </w:r>
          </w:p>
        </w:tc>
        <w:tc>
          <w:tcPr>
            <w:tcW w:w="1213" w:type="pct"/>
            <w:gridSpan w:val="2"/>
            <w:vAlign w:val="center"/>
          </w:tcPr>
          <w:p w14:paraId="4C15E100"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snapToGrid w:val="0"/>
                <w:kern w:val="0"/>
                <w:sz w:val="21"/>
              </w:rPr>
              <w:t>项目</w:t>
            </w:r>
          </w:p>
        </w:tc>
        <w:tc>
          <w:tcPr>
            <w:tcW w:w="923" w:type="pct"/>
            <w:vAlign w:val="center"/>
          </w:tcPr>
          <w:p w14:paraId="7E659EEE"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hint="eastAsia"/>
                <w:snapToGrid w:val="0"/>
                <w:kern w:val="0"/>
                <w:sz w:val="21"/>
              </w:rPr>
              <w:t>横城</w:t>
            </w:r>
            <w:r>
              <w:rPr>
                <w:rFonts w:ascii="Times New Roman" w:eastAsiaTheme="minorEastAsia" w:hAnsi="Times New Roman"/>
                <w:snapToGrid w:val="0"/>
                <w:kern w:val="0"/>
                <w:sz w:val="21"/>
              </w:rPr>
              <w:t>矿区</w:t>
            </w:r>
          </w:p>
          <w:p w14:paraId="1B8EF9D0"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snapToGrid w:val="0"/>
                <w:kern w:val="0"/>
                <w:sz w:val="21"/>
              </w:rPr>
              <w:t>总体规划</w:t>
            </w:r>
          </w:p>
          <w:p w14:paraId="57126306"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snapToGrid w:val="0"/>
                <w:kern w:val="0"/>
                <w:sz w:val="21"/>
              </w:rPr>
              <w:t>（</w:t>
            </w:r>
            <w:r>
              <w:rPr>
                <w:rFonts w:ascii="Times New Roman" w:eastAsiaTheme="minorEastAsia" w:hAnsi="Times New Roman"/>
                <w:snapToGrid w:val="0"/>
                <w:kern w:val="0"/>
                <w:sz w:val="21"/>
              </w:rPr>
              <w:t>2004</w:t>
            </w:r>
            <w:r>
              <w:rPr>
                <w:rFonts w:ascii="Times New Roman" w:eastAsiaTheme="minorEastAsia" w:hAnsi="Times New Roman"/>
                <w:snapToGrid w:val="0"/>
                <w:kern w:val="0"/>
                <w:sz w:val="21"/>
              </w:rPr>
              <w:t>年）</w:t>
            </w:r>
          </w:p>
        </w:tc>
        <w:tc>
          <w:tcPr>
            <w:tcW w:w="880" w:type="pct"/>
            <w:vAlign w:val="center"/>
          </w:tcPr>
          <w:p w14:paraId="776DBB70"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hint="eastAsia"/>
                <w:snapToGrid w:val="0"/>
                <w:kern w:val="0"/>
                <w:sz w:val="21"/>
              </w:rPr>
              <w:t>横城</w:t>
            </w:r>
            <w:r>
              <w:rPr>
                <w:rFonts w:ascii="Times New Roman" w:eastAsiaTheme="minorEastAsia" w:hAnsi="Times New Roman"/>
                <w:snapToGrid w:val="0"/>
                <w:kern w:val="0"/>
                <w:sz w:val="21"/>
              </w:rPr>
              <w:t>矿区总体规划</w:t>
            </w:r>
            <w:r>
              <w:rPr>
                <w:rFonts w:ascii="Times New Roman" w:eastAsiaTheme="minorEastAsia" w:hAnsi="Times New Roman" w:hint="eastAsia"/>
                <w:snapToGrid w:val="0"/>
                <w:kern w:val="0"/>
                <w:sz w:val="21"/>
              </w:rPr>
              <w:t>（修编）</w:t>
            </w:r>
          </w:p>
          <w:p w14:paraId="47BCA4DC"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snapToGrid w:val="0"/>
                <w:kern w:val="0"/>
                <w:sz w:val="21"/>
              </w:rPr>
              <w:t>（</w:t>
            </w:r>
            <w:r>
              <w:rPr>
                <w:rFonts w:ascii="Times New Roman" w:eastAsiaTheme="minorEastAsia" w:hAnsi="Times New Roman"/>
                <w:snapToGrid w:val="0"/>
                <w:kern w:val="0"/>
                <w:sz w:val="21"/>
              </w:rPr>
              <w:t>2020</w:t>
            </w:r>
            <w:r>
              <w:rPr>
                <w:rFonts w:ascii="Times New Roman" w:eastAsiaTheme="minorEastAsia" w:hAnsi="Times New Roman"/>
                <w:snapToGrid w:val="0"/>
                <w:kern w:val="0"/>
                <w:sz w:val="21"/>
              </w:rPr>
              <w:t>年）</w:t>
            </w:r>
          </w:p>
        </w:tc>
        <w:tc>
          <w:tcPr>
            <w:tcW w:w="1759" w:type="pct"/>
            <w:vAlign w:val="center"/>
          </w:tcPr>
          <w:p w14:paraId="2B0D586D"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snapToGrid w:val="0"/>
                <w:kern w:val="0"/>
                <w:sz w:val="21"/>
              </w:rPr>
              <w:t>主要变化情况</w:t>
            </w:r>
          </w:p>
        </w:tc>
      </w:tr>
      <w:tr w:rsidR="009C353B" w14:paraId="700A7716" w14:textId="77777777">
        <w:trPr>
          <w:trHeight w:val="375"/>
        </w:trPr>
        <w:tc>
          <w:tcPr>
            <w:tcW w:w="225" w:type="pct"/>
            <w:tcMar>
              <w:left w:w="28" w:type="dxa"/>
              <w:right w:w="28" w:type="dxa"/>
            </w:tcMar>
            <w:vAlign w:val="center"/>
          </w:tcPr>
          <w:p w14:paraId="1601C972"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snapToGrid w:val="0"/>
                <w:kern w:val="0"/>
                <w:sz w:val="21"/>
              </w:rPr>
              <w:t>1</w:t>
            </w:r>
          </w:p>
        </w:tc>
        <w:tc>
          <w:tcPr>
            <w:tcW w:w="1213" w:type="pct"/>
            <w:gridSpan w:val="2"/>
            <w:vAlign w:val="center"/>
          </w:tcPr>
          <w:p w14:paraId="5D99CC51"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snapToGrid w:val="0"/>
                <w:spacing w:val="-10"/>
                <w:kern w:val="0"/>
                <w:sz w:val="21"/>
              </w:rPr>
              <w:t>矿区规划面积</w:t>
            </w:r>
            <w:r>
              <w:rPr>
                <w:rFonts w:ascii="Times New Roman" w:eastAsiaTheme="minorEastAsia" w:hAnsi="Times New Roman"/>
                <w:snapToGrid w:val="0"/>
                <w:spacing w:val="-10"/>
                <w:kern w:val="0"/>
                <w:sz w:val="21"/>
              </w:rPr>
              <w:t xml:space="preserve"> </w:t>
            </w:r>
          </w:p>
        </w:tc>
        <w:tc>
          <w:tcPr>
            <w:tcW w:w="923" w:type="pct"/>
            <w:vAlign w:val="center"/>
          </w:tcPr>
          <w:p w14:paraId="70401837"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snapToGrid w:val="0"/>
                <w:spacing w:val="-10"/>
                <w:kern w:val="0"/>
                <w:sz w:val="21"/>
              </w:rPr>
              <w:t>58km</w:t>
            </w:r>
            <w:r>
              <w:rPr>
                <w:rFonts w:ascii="Times New Roman" w:eastAsiaTheme="minorEastAsia" w:hAnsi="Times New Roman"/>
                <w:snapToGrid w:val="0"/>
                <w:spacing w:val="-10"/>
                <w:kern w:val="0"/>
                <w:sz w:val="21"/>
                <w:vertAlign w:val="superscript"/>
              </w:rPr>
              <w:t>2</w:t>
            </w:r>
          </w:p>
        </w:tc>
        <w:tc>
          <w:tcPr>
            <w:tcW w:w="880" w:type="pct"/>
            <w:vAlign w:val="center"/>
          </w:tcPr>
          <w:p w14:paraId="65EDD92F"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snapToGrid w:val="0"/>
                <w:spacing w:val="-10"/>
                <w:kern w:val="0"/>
                <w:sz w:val="21"/>
              </w:rPr>
              <w:t>86km</w:t>
            </w:r>
            <w:r>
              <w:rPr>
                <w:rFonts w:ascii="Times New Roman" w:eastAsiaTheme="minorEastAsia" w:hAnsi="Times New Roman"/>
                <w:snapToGrid w:val="0"/>
                <w:spacing w:val="-10"/>
                <w:kern w:val="0"/>
                <w:sz w:val="21"/>
                <w:vertAlign w:val="superscript"/>
              </w:rPr>
              <w:t>2</w:t>
            </w:r>
          </w:p>
        </w:tc>
        <w:tc>
          <w:tcPr>
            <w:tcW w:w="1759" w:type="pct"/>
            <w:vAlign w:val="center"/>
          </w:tcPr>
          <w:p w14:paraId="70B1CCCB" w14:textId="77777777" w:rsidR="009C353B" w:rsidRDefault="00000000">
            <w:pPr>
              <w:snapToGrid w:val="0"/>
              <w:jc w:val="left"/>
              <w:rPr>
                <w:rFonts w:ascii="Times New Roman" w:eastAsiaTheme="minorEastAsia" w:hAnsi="Times New Roman"/>
                <w:snapToGrid w:val="0"/>
                <w:spacing w:val="-10"/>
                <w:kern w:val="0"/>
                <w:sz w:val="21"/>
              </w:rPr>
            </w:pPr>
            <w:r>
              <w:rPr>
                <w:rFonts w:ascii="Times New Roman" w:eastAsiaTheme="minorEastAsia" w:hAnsi="Times New Roman"/>
                <w:snapToGrid w:val="0"/>
                <w:spacing w:val="-10"/>
                <w:kern w:val="0"/>
                <w:sz w:val="21"/>
              </w:rPr>
              <w:t>规划面积增加</w:t>
            </w:r>
            <w:r>
              <w:rPr>
                <w:rFonts w:ascii="Times New Roman" w:eastAsiaTheme="minorEastAsia" w:hAnsi="Times New Roman"/>
                <w:snapToGrid w:val="0"/>
                <w:spacing w:val="-10"/>
                <w:kern w:val="0"/>
                <w:sz w:val="21"/>
              </w:rPr>
              <w:t>28 km</w:t>
            </w:r>
            <w:r>
              <w:rPr>
                <w:rFonts w:ascii="Times New Roman" w:eastAsiaTheme="minorEastAsia" w:hAnsi="Times New Roman"/>
                <w:snapToGrid w:val="0"/>
                <w:spacing w:val="-10"/>
                <w:kern w:val="0"/>
                <w:sz w:val="21"/>
                <w:vertAlign w:val="superscript"/>
              </w:rPr>
              <w:t>2</w:t>
            </w:r>
          </w:p>
        </w:tc>
      </w:tr>
      <w:tr w:rsidR="009C353B" w14:paraId="1F686DBD" w14:textId="77777777">
        <w:trPr>
          <w:trHeight w:val="264"/>
        </w:trPr>
        <w:tc>
          <w:tcPr>
            <w:tcW w:w="225" w:type="pct"/>
            <w:vMerge w:val="restart"/>
            <w:tcMar>
              <w:left w:w="28" w:type="dxa"/>
              <w:right w:w="28" w:type="dxa"/>
            </w:tcMar>
            <w:vAlign w:val="center"/>
          </w:tcPr>
          <w:p w14:paraId="5C878432"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snapToGrid w:val="0"/>
                <w:kern w:val="0"/>
                <w:sz w:val="21"/>
              </w:rPr>
              <w:t>2</w:t>
            </w:r>
          </w:p>
        </w:tc>
        <w:tc>
          <w:tcPr>
            <w:tcW w:w="455" w:type="pct"/>
            <w:vMerge w:val="restart"/>
            <w:vAlign w:val="center"/>
          </w:tcPr>
          <w:p w14:paraId="55E76015"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snapToGrid w:val="0"/>
                <w:spacing w:val="-10"/>
                <w:kern w:val="0"/>
                <w:sz w:val="21"/>
              </w:rPr>
              <w:t>矿区总</w:t>
            </w:r>
          </w:p>
          <w:p w14:paraId="285DF161"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snapToGrid w:val="0"/>
                <w:spacing w:val="-10"/>
                <w:kern w:val="0"/>
                <w:sz w:val="21"/>
              </w:rPr>
              <w:t>规模</w:t>
            </w:r>
          </w:p>
        </w:tc>
        <w:tc>
          <w:tcPr>
            <w:tcW w:w="758" w:type="pct"/>
            <w:vAlign w:val="center"/>
          </w:tcPr>
          <w:p w14:paraId="3701D15C"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snapToGrid w:val="0"/>
                <w:spacing w:val="-10"/>
                <w:kern w:val="0"/>
                <w:sz w:val="21"/>
              </w:rPr>
              <w:t>煤炭开采</w:t>
            </w:r>
          </w:p>
        </w:tc>
        <w:tc>
          <w:tcPr>
            <w:tcW w:w="923" w:type="pct"/>
            <w:vAlign w:val="center"/>
          </w:tcPr>
          <w:p w14:paraId="5BC975F6"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snapToGrid w:val="0"/>
                <w:spacing w:val="-10"/>
                <w:kern w:val="0"/>
                <w:sz w:val="21"/>
              </w:rPr>
              <w:t>6.0Mt/a</w:t>
            </w:r>
          </w:p>
        </w:tc>
        <w:tc>
          <w:tcPr>
            <w:tcW w:w="880" w:type="pct"/>
            <w:vAlign w:val="center"/>
          </w:tcPr>
          <w:p w14:paraId="5ABF3967"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snapToGrid w:val="0"/>
                <w:spacing w:val="-10"/>
                <w:kern w:val="0"/>
                <w:sz w:val="21"/>
              </w:rPr>
              <w:t>9.2Mt/a</w:t>
            </w:r>
          </w:p>
        </w:tc>
        <w:tc>
          <w:tcPr>
            <w:tcW w:w="1759" w:type="pct"/>
            <w:vAlign w:val="center"/>
          </w:tcPr>
          <w:p w14:paraId="750A18DB" w14:textId="77777777" w:rsidR="009C353B" w:rsidRDefault="00000000">
            <w:pPr>
              <w:snapToGrid w:val="0"/>
              <w:jc w:val="left"/>
              <w:rPr>
                <w:rFonts w:ascii="Times New Roman" w:eastAsiaTheme="minorEastAsia" w:hAnsi="Times New Roman"/>
                <w:snapToGrid w:val="0"/>
                <w:spacing w:val="-10"/>
                <w:kern w:val="0"/>
                <w:sz w:val="21"/>
              </w:rPr>
            </w:pPr>
            <w:r>
              <w:rPr>
                <w:rFonts w:ascii="Times New Roman" w:eastAsiaTheme="minorEastAsia" w:hAnsi="Times New Roman" w:hint="eastAsia"/>
                <w:snapToGrid w:val="0"/>
                <w:spacing w:val="-10"/>
                <w:kern w:val="0"/>
                <w:sz w:val="21"/>
              </w:rPr>
              <w:t>增加</w:t>
            </w:r>
            <w:r>
              <w:rPr>
                <w:rFonts w:ascii="Times New Roman" w:eastAsiaTheme="minorEastAsia" w:hAnsi="Times New Roman"/>
                <w:snapToGrid w:val="0"/>
                <w:spacing w:val="-10"/>
                <w:kern w:val="0"/>
                <w:sz w:val="21"/>
              </w:rPr>
              <w:t>3.2Mt/a</w:t>
            </w:r>
          </w:p>
        </w:tc>
      </w:tr>
      <w:tr w:rsidR="009C353B" w14:paraId="7B419A18" w14:textId="77777777">
        <w:trPr>
          <w:trHeight w:val="264"/>
        </w:trPr>
        <w:tc>
          <w:tcPr>
            <w:tcW w:w="225" w:type="pct"/>
            <w:vMerge/>
            <w:tcMar>
              <w:left w:w="28" w:type="dxa"/>
              <w:right w:w="28" w:type="dxa"/>
            </w:tcMar>
            <w:vAlign w:val="center"/>
          </w:tcPr>
          <w:p w14:paraId="0446BFF5" w14:textId="77777777" w:rsidR="009C353B" w:rsidRDefault="009C353B">
            <w:pPr>
              <w:snapToGrid w:val="0"/>
              <w:jc w:val="center"/>
              <w:rPr>
                <w:rFonts w:ascii="Times New Roman" w:eastAsiaTheme="minorEastAsia" w:hAnsi="Times New Roman"/>
                <w:snapToGrid w:val="0"/>
                <w:kern w:val="0"/>
                <w:sz w:val="21"/>
              </w:rPr>
            </w:pPr>
          </w:p>
        </w:tc>
        <w:tc>
          <w:tcPr>
            <w:tcW w:w="455" w:type="pct"/>
            <w:vMerge/>
            <w:vAlign w:val="center"/>
          </w:tcPr>
          <w:p w14:paraId="293EDABE" w14:textId="77777777" w:rsidR="009C353B" w:rsidRDefault="009C353B">
            <w:pPr>
              <w:snapToGrid w:val="0"/>
              <w:jc w:val="center"/>
              <w:rPr>
                <w:rFonts w:ascii="Times New Roman" w:eastAsiaTheme="minorEastAsia" w:hAnsi="Times New Roman"/>
                <w:snapToGrid w:val="0"/>
                <w:spacing w:val="-10"/>
                <w:kern w:val="0"/>
                <w:sz w:val="21"/>
              </w:rPr>
            </w:pPr>
          </w:p>
        </w:tc>
        <w:tc>
          <w:tcPr>
            <w:tcW w:w="758" w:type="pct"/>
            <w:vAlign w:val="center"/>
          </w:tcPr>
          <w:p w14:paraId="6B5A8276"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hint="eastAsia"/>
                <w:snapToGrid w:val="0"/>
                <w:spacing w:val="-10"/>
                <w:kern w:val="0"/>
                <w:sz w:val="21"/>
              </w:rPr>
              <w:t>选煤厂</w:t>
            </w:r>
          </w:p>
        </w:tc>
        <w:tc>
          <w:tcPr>
            <w:tcW w:w="923" w:type="pct"/>
            <w:vAlign w:val="center"/>
          </w:tcPr>
          <w:p w14:paraId="0A4BE819"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snapToGrid w:val="0"/>
                <w:spacing w:val="-10"/>
                <w:kern w:val="0"/>
                <w:sz w:val="21"/>
              </w:rPr>
              <w:t>4.8Mt/a</w:t>
            </w:r>
          </w:p>
        </w:tc>
        <w:tc>
          <w:tcPr>
            <w:tcW w:w="880" w:type="pct"/>
            <w:vAlign w:val="center"/>
          </w:tcPr>
          <w:p w14:paraId="1D13CB0B"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snapToGrid w:val="0"/>
                <w:spacing w:val="-10"/>
                <w:kern w:val="0"/>
                <w:sz w:val="21"/>
              </w:rPr>
              <w:t>16.0Mt/a</w:t>
            </w:r>
          </w:p>
        </w:tc>
        <w:tc>
          <w:tcPr>
            <w:tcW w:w="1759" w:type="pct"/>
            <w:vAlign w:val="center"/>
          </w:tcPr>
          <w:p w14:paraId="1B61352C" w14:textId="77777777" w:rsidR="009C353B" w:rsidRDefault="00000000">
            <w:pPr>
              <w:snapToGrid w:val="0"/>
              <w:jc w:val="left"/>
              <w:rPr>
                <w:rFonts w:ascii="Times New Roman" w:eastAsiaTheme="minorEastAsia" w:hAnsi="Times New Roman"/>
                <w:snapToGrid w:val="0"/>
                <w:spacing w:val="-10"/>
                <w:kern w:val="0"/>
                <w:sz w:val="21"/>
              </w:rPr>
            </w:pPr>
            <w:r>
              <w:rPr>
                <w:rFonts w:ascii="Times New Roman" w:eastAsiaTheme="minorEastAsia" w:hAnsi="Times New Roman" w:hint="eastAsia"/>
                <w:snapToGrid w:val="0"/>
                <w:spacing w:val="-10"/>
                <w:kern w:val="0"/>
                <w:sz w:val="21"/>
              </w:rPr>
              <w:t>增加</w:t>
            </w:r>
            <w:r>
              <w:rPr>
                <w:rFonts w:ascii="Times New Roman" w:eastAsiaTheme="minorEastAsia" w:hAnsi="Times New Roman"/>
                <w:snapToGrid w:val="0"/>
                <w:spacing w:val="-10"/>
                <w:kern w:val="0"/>
                <w:sz w:val="21"/>
              </w:rPr>
              <w:t>11.2Mt/a</w:t>
            </w:r>
          </w:p>
        </w:tc>
      </w:tr>
      <w:tr w:rsidR="009C353B" w14:paraId="4E068B4F" w14:textId="77777777">
        <w:trPr>
          <w:trHeight w:val="144"/>
        </w:trPr>
        <w:tc>
          <w:tcPr>
            <w:tcW w:w="225" w:type="pct"/>
            <w:vMerge w:val="restart"/>
            <w:tcMar>
              <w:left w:w="28" w:type="dxa"/>
              <w:right w:w="28" w:type="dxa"/>
            </w:tcMar>
            <w:vAlign w:val="center"/>
          </w:tcPr>
          <w:p w14:paraId="1EC18501"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hint="eastAsia"/>
                <w:snapToGrid w:val="0"/>
                <w:kern w:val="0"/>
                <w:sz w:val="21"/>
              </w:rPr>
              <w:t>3</w:t>
            </w:r>
          </w:p>
        </w:tc>
        <w:tc>
          <w:tcPr>
            <w:tcW w:w="455" w:type="pct"/>
            <w:vMerge w:val="restart"/>
            <w:vAlign w:val="center"/>
          </w:tcPr>
          <w:p w14:paraId="01183BA1"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hint="eastAsia"/>
                <w:snapToGrid w:val="0"/>
                <w:spacing w:val="-10"/>
                <w:kern w:val="0"/>
                <w:sz w:val="21"/>
              </w:rPr>
              <w:t>规划矿井</w:t>
            </w:r>
          </w:p>
        </w:tc>
        <w:tc>
          <w:tcPr>
            <w:tcW w:w="758" w:type="pct"/>
            <w:vAlign w:val="center"/>
          </w:tcPr>
          <w:p w14:paraId="19B42ED0"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hAnsi="Times New Roman" w:hint="eastAsia"/>
                <w:kern w:val="0"/>
                <w:sz w:val="21"/>
                <w:szCs w:val="21"/>
              </w:rPr>
              <w:t>马莲台煤矿</w:t>
            </w:r>
          </w:p>
        </w:tc>
        <w:tc>
          <w:tcPr>
            <w:tcW w:w="923" w:type="pct"/>
            <w:vAlign w:val="center"/>
          </w:tcPr>
          <w:p w14:paraId="30749232"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hAnsi="Times New Roman"/>
                <w:kern w:val="0"/>
                <w:sz w:val="21"/>
                <w:szCs w:val="21"/>
              </w:rPr>
              <w:t>2.4</w:t>
            </w:r>
            <w:r>
              <w:rPr>
                <w:rFonts w:ascii="Times New Roman" w:eastAsiaTheme="minorEastAsia" w:hAnsi="Times New Roman"/>
                <w:snapToGrid w:val="0"/>
                <w:spacing w:val="-10"/>
                <w:kern w:val="0"/>
                <w:sz w:val="21"/>
              </w:rPr>
              <w:t xml:space="preserve"> Mt/a</w:t>
            </w:r>
          </w:p>
        </w:tc>
        <w:tc>
          <w:tcPr>
            <w:tcW w:w="880" w:type="pct"/>
            <w:vAlign w:val="center"/>
          </w:tcPr>
          <w:p w14:paraId="031942B9"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hAnsi="Times New Roman"/>
                <w:kern w:val="0"/>
                <w:sz w:val="21"/>
                <w:szCs w:val="21"/>
              </w:rPr>
              <w:t>3.6</w:t>
            </w:r>
            <w:r>
              <w:rPr>
                <w:rFonts w:ascii="Times New Roman" w:eastAsiaTheme="minorEastAsia" w:hAnsi="Times New Roman"/>
                <w:snapToGrid w:val="0"/>
                <w:spacing w:val="-10"/>
                <w:kern w:val="0"/>
                <w:sz w:val="21"/>
              </w:rPr>
              <w:t xml:space="preserve"> Mt/a</w:t>
            </w:r>
          </w:p>
        </w:tc>
        <w:tc>
          <w:tcPr>
            <w:tcW w:w="1759" w:type="pct"/>
            <w:vAlign w:val="center"/>
          </w:tcPr>
          <w:p w14:paraId="7B217806" w14:textId="77777777" w:rsidR="009C353B" w:rsidRDefault="00000000">
            <w:pPr>
              <w:snapToGrid w:val="0"/>
              <w:jc w:val="left"/>
              <w:rPr>
                <w:rFonts w:ascii="Times New Roman" w:eastAsiaTheme="minorEastAsia" w:hAnsi="Times New Roman"/>
                <w:snapToGrid w:val="0"/>
                <w:spacing w:val="-10"/>
                <w:kern w:val="0"/>
                <w:sz w:val="21"/>
              </w:rPr>
            </w:pPr>
            <w:r>
              <w:rPr>
                <w:rFonts w:ascii="Times New Roman" w:eastAsiaTheme="minorEastAsia" w:hAnsi="Times New Roman" w:hint="eastAsia"/>
                <w:snapToGrid w:val="0"/>
                <w:spacing w:val="-10"/>
                <w:kern w:val="0"/>
                <w:sz w:val="21"/>
              </w:rPr>
              <w:t>规划规模与核定生产能力一致</w:t>
            </w:r>
            <w:r>
              <w:rPr>
                <w:rFonts w:ascii="Times New Roman" w:hAnsi="Times New Roman"/>
                <w:kern w:val="0"/>
                <w:sz w:val="21"/>
                <w:szCs w:val="21"/>
              </w:rPr>
              <w:t>3.6</w:t>
            </w:r>
            <w:r>
              <w:rPr>
                <w:rFonts w:ascii="Times New Roman" w:eastAsiaTheme="minorEastAsia" w:hAnsi="Times New Roman"/>
                <w:snapToGrid w:val="0"/>
                <w:spacing w:val="-10"/>
                <w:kern w:val="0"/>
                <w:sz w:val="21"/>
              </w:rPr>
              <w:t xml:space="preserve"> Mt/a</w:t>
            </w:r>
            <w:r>
              <w:rPr>
                <w:rFonts w:ascii="Times New Roman" w:eastAsiaTheme="minorEastAsia" w:hAnsi="Times New Roman" w:hint="eastAsia"/>
                <w:snapToGrid w:val="0"/>
                <w:spacing w:val="-10"/>
                <w:kern w:val="0"/>
                <w:sz w:val="21"/>
              </w:rPr>
              <w:t>，</w:t>
            </w:r>
            <w:r>
              <w:rPr>
                <w:rFonts w:ascii="Times New Roman" w:eastAsiaTheme="minorEastAsia" w:hAnsi="Times New Roman" w:hint="eastAsia"/>
                <w:snapToGrid w:val="0"/>
                <w:spacing w:val="-10"/>
                <w:kern w:val="0"/>
                <w:sz w:val="21"/>
                <w:szCs w:val="21"/>
              </w:rPr>
              <w:t>井田面积增加</w:t>
            </w:r>
            <w:r>
              <w:rPr>
                <w:rFonts w:ascii="Times New Roman" w:eastAsiaTheme="minorEastAsia" w:hAnsi="Times New Roman" w:hint="eastAsia"/>
                <w:snapToGrid w:val="0"/>
                <w:spacing w:val="-10"/>
                <w:kern w:val="0"/>
                <w:sz w:val="21"/>
                <w:szCs w:val="21"/>
              </w:rPr>
              <w:t>1</w:t>
            </w:r>
            <w:r>
              <w:rPr>
                <w:rFonts w:ascii="Times New Roman" w:eastAsiaTheme="minorEastAsia" w:hAnsi="Times New Roman"/>
                <w:snapToGrid w:val="0"/>
                <w:spacing w:val="-10"/>
                <w:kern w:val="0"/>
                <w:sz w:val="21"/>
                <w:szCs w:val="21"/>
              </w:rPr>
              <w:t>.113</w:t>
            </w:r>
            <w:r>
              <w:rPr>
                <w:rFonts w:ascii="Times New Roman" w:eastAsiaTheme="minorEastAsia" w:hAnsi="Times New Roman" w:hint="eastAsia"/>
                <w:snapToGrid w:val="0"/>
                <w:spacing w:val="-10"/>
                <w:kern w:val="0"/>
                <w:sz w:val="21"/>
                <w:szCs w:val="21"/>
              </w:rPr>
              <w:t>km</w:t>
            </w:r>
            <w:r>
              <w:rPr>
                <w:rFonts w:ascii="Times New Roman" w:eastAsiaTheme="minorEastAsia" w:hAnsi="Times New Roman"/>
                <w:snapToGrid w:val="0"/>
                <w:spacing w:val="-10"/>
                <w:kern w:val="0"/>
                <w:sz w:val="21"/>
                <w:szCs w:val="21"/>
                <w:vertAlign w:val="superscript"/>
              </w:rPr>
              <w:t>2</w:t>
            </w:r>
          </w:p>
        </w:tc>
      </w:tr>
      <w:tr w:rsidR="009C353B" w14:paraId="4E56AE9B" w14:textId="77777777">
        <w:trPr>
          <w:trHeight w:val="144"/>
        </w:trPr>
        <w:tc>
          <w:tcPr>
            <w:tcW w:w="225" w:type="pct"/>
            <w:vMerge/>
            <w:tcMar>
              <w:left w:w="28" w:type="dxa"/>
              <w:right w:w="28" w:type="dxa"/>
            </w:tcMar>
            <w:vAlign w:val="center"/>
          </w:tcPr>
          <w:p w14:paraId="6C1B3814" w14:textId="77777777" w:rsidR="009C353B" w:rsidRDefault="009C353B">
            <w:pPr>
              <w:snapToGrid w:val="0"/>
              <w:jc w:val="center"/>
              <w:rPr>
                <w:rFonts w:ascii="Times New Roman" w:eastAsiaTheme="minorEastAsia" w:hAnsi="Times New Roman"/>
                <w:snapToGrid w:val="0"/>
                <w:kern w:val="0"/>
                <w:sz w:val="21"/>
              </w:rPr>
            </w:pPr>
          </w:p>
        </w:tc>
        <w:tc>
          <w:tcPr>
            <w:tcW w:w="455" w:type="pct"/>
            <w:vMerge/>
            <w:vAlign w:val="center"/>
          </w:tcPr>
          <w:p w14:paraId="6B43440F" w14:textId="77777777" w:rsidR="009C353B" w:rsidRDefault="009C353B">
            <w:pPr>
              <w:snapToGrid w:val="0"/>
              <w:jc w:val="center"/>
              <w:rPr>
                <w:rFonts w:ascii="Times New Roman" w:eastAsiaTheme="minorEastAsia" w:hAnsi="Times New Roman"/>
                <w:snapToGrid w:val="0"/>
                <w:spacing w:val="-10"/>
                <w:kern w:val="0"/>
                <w:sz w:val="21"/>
              </w:rPr>
            </w:pPr>
          </w:p>
        </w:tc>
        <w:tc>
          <w:tcPr>
            <w:tcW w:w="758" w:type="pct"/>
            <w:vAlign w:val="center"/>
          </w:tcPr>
          <w:p w14:paraId="0E96E9C4" w14:textId="77777777" w:rsidR="009C353B" w:rsidRDefault="00000000">
            <w:pPr>
              <w:snapToGrid w:val="0"/>
              <w:jc w:val="center"/>
              <w:rPr>
                <w:rFonts w:ascii="Times New Roman" w:eastAsiaTheme="minorEastAsia" w:hAnsi="Times New Roman"/>
                <w:kern w:val="0"/>
                <w:sz w:val="21"/>
                <w:szCs w:val="21"/>
              </w:rPr>
            </w:pPr>
            <w:r>
              <w:rPr>
                <w:rFonts w:ascii="Times New Roman" w:hAnsi="Times New Roman" w:hint="eastAsia"/>
                <w:kern w:val="0"/>
                <w:sz w:val="21"/>
                <w:szCs w:val="21"/>
              </w:rPr>
              <w:t>任家庄煤矿</w:t>
            </w:r>
          </w:p>
        </w:tc>
        <w:tc>
          <w:tcPr>
            <w:tcW w:w="923" w:type="pct"/>
            <w:vAlign w:val="center"/>
          </w:tcPr>
          <w:p w14:paraId="4E92B07C" w14:textId="77777777" w:rsidR="009C353B" w:rsidRDefault="00000000">
            <w:pPr>
              <w:snapToGrid w:val="0"/>
              <w:jc w:val="center"/>
              <w:rPr>
                <w:rFonts w:ascii="Times New Roman" w:eastAsiaTheme="minorEastAsia" w:hAnsi="Times New Roman"/>
                <w:kern w:val="0"/>
                <w:sz w:val="21"/>
                <w:szCs w:val="21"/>
              </w:rPr>
            </w:pPr>
            <w:r>
              <w:rPr>
                <w:rFonts w:ascii="Times New Roman" w:hAnsi="Times New Roman"/>
                <w:kern w:val="0"/>
                <w:sz w:val="21"/>
                <w:szCs w:val="21"/>
              </w:rPr>
              <w:t>2.4</w:t>
            </w:r>
            <w:r>
              <w:rPr>
                <w:rFonts w:ascii="Times New Roman" w:eastAsiaTheme="minorEastAsia" w:hAnsi="Times New Roman"/>
                <w:snapToGrid w:val="0"/>
                <w:spacing w:val="-10"/>
                <w:kern w:val="0"/>
                <w:sz w:val="21"/>
              </w:rPr>
              <w:t xml:space="preserve"> Mt/a</w:t>
            </w:r>
          </w:p>
        </w:tc>
        <w:tc>
          <w:tcPr>
            <w:tcW w:w="880" w:type="pct"/>
            <w:vAlign w:val="center"/>
          </w:tcPr>
          <w:p w14:paraId="6C896C4C" w14:textId="77777777" w:rsidR="009C353B" w:rsidRDefault="00000000">
            <w:pPr>
              <w:snapToGrid w:val="0"/>
              <w:jc w:val="center"/>
              <w:rPr>
                <w:rFonts w:ascii="Times New Roman" w:eastAsiaTheme="minorEastAsia" w:hAnsi="Times New Roman"/>
                <w:bCs/>
                <w:kern w:val="0"/>
                <w:sz w:val="21"/>
                <w:szCs w:val="21"/>
              </w:rPr>
            </w:pPr>
            <w:r>
              <w:rPr>
                <w:rFonts w:ascii="Times New Roman" w:hAnsi="Times New Roman"/>
                <w:kern w:val="0"/>
                <w:sz w:val="21"/>
                <w:szCs w:val="21"/>
              </w:rPr>
              <w:t>3.6</w:t>
            </w:r>
            <w:r>
              <w:rPr>
                <w:rFonts w:ascii="Times New Roman" w:eastAsiaTheme="minorEastAsia" w:hAnsi="Times New Roman"/>
                <w:snapToGrid w:val="0"/>
                <w:spacing w:val="-10"/>
                <w:kern w:val="0"/>
                <w:sz w:val="21"/>
              </w:rPr>
              <w:t>Mt/a</w:t>
            </w:r>
          </w:p>
        </w:tc>
        <w:tc>
          <w:tcPr>
            <w:tcW w:w="1759" w:type="pct"/>
            <w:vAlign w:val="center"/>
          </w:tcPr>
          <w:p w14:paraId="6F0C84FC" w14:textId="77777777" w:rsidR="009C353B" w:rsidRDefault="00000000">
            <w:pPr>
              <w:snapToGrid w:val="0"/>
              <w:jc w:val="left"/>
              <w:rPr>
                <w:rFonts w:ascii="Times New Roman" w:eastAsiaTheme="minorEastAsia" w:hAnsi="Times New Roman"/>
                <w:bCs/>
                <w:kern w:val="0"/>
                <w:sz w:val="21"/>
                <w:szCs w:val="21"/>
              </w:rPr>
            </w:pPr>
            <w:r>
              <w:rPr>
                <w:rFonts w:ascii="Times New Roman" w:eastAsiaTheme="minorEastAsia" w:hAnsi="Times New Roman" w:hint="eastAsia"/>
                <w:snapToGrid w:val="0"/>
                <w:spacing w:val="-10"/>
                <w:kern w:val="0"/>
                <w:sz w:val="21"/>
              </w:rPr>
              <w:t>规划规模与核定生产能力一致</w:t>
            </w:r>
            <w:r>
              <w:rPr>
                <w:rFonts w:ascii="Times New Roman" w:hAnsi="Times New Roman"/>
                <w:kern w:val="0"/>
                <w:sz w:val="21"/>
                <w:szCs w:val="21"/>
              </w:rPr>
              <w:t>3.6</w:t>
            </w:r>
            <w:r>
              <w:rPr>
                <w:rFonts w:ascii="Times New Roman" w:eastAsiaTheme="minorEastAsia" w:hAnsi="Times New Roman"/>
                <w:snapToGrid w:val="0"/>
                <w:spacing w:val="-10"/>
                <w:kern w:val="0"/>
                <w:sz w:val="21"/>
              </w:rPr>
              <w:t xml:space="preserve"> Mt/a</w:t>
            </w:r>
            <w:r>
              <w:rPr>
                <w:rFonts w:ascii="Times New Roman" w:eastAsiaTheme="minorEastAsia" w:hAnsi="Times New Roman" w:hint="eastAsia"/>
                <w:snapToGrid w:val="0"/>
                <w:spacing w:val="-10"/>
                <w:kern w:val="0"/>
                <w:sz w:val="21"/>
              </w:rPr>
              <w:t>，</w:t>
            </w:r>
            <w:r>
              <w:rPr>
                <w:rFonts w:ascii="Times New Roman" w:eastAsiaTheme="minorEastAsia" w:hAnsi="Times New Roman" w:hint="eastAsia"/>
                <w:snapToGrid w:val="0"/>
                <w:spacing w:val="-10"/>
                <w:kern w:val="0"/>
                <w:sz w:val="21"/>
                <w:szCs w:val="21"/>
              </w:rPr>
              <w:t>井田面积减少</w:t>
            </w:r>
            <w:r>
              <w:rPr>
                <w:rFonts w:ascii="Times New Roman" w:eastAsiaTheme="minorEastAsia" w:hAnsi="Times New Roman"/>
                <w:snapToGrid w:val="0"/>
                <w:spacing w:val="-10"/>
                <w:kern w:val="0"/>
                <w:sz w:val="21"/>
                <w:szCs w:val="21"/>
              </w:rPr>
              <w:t>5.132</w:t>
            </w:r>
            <w:r>
              <w:rPr>
                <w:rFonts w:ascii="Times New Roman" w:eastAsiaTheme="minorEastAsia" w:hAnsi="Times New Roman" w:hint="eastAsia"/>
                <w:snapToGrid w:val="0"/>
                <w:spacing w:val="-10"/>
                <w:kern w:val="0"/>
                <w:sz w:val="21"/>
                <w:szCs w:val="21"/>
              </w:rPr>
              <w:t>km</w:t>
            </w:r>
            <w:r>
              <w:rPr>
                <w:rFonts w:ascii="Times New Roman" w:eastAsiaTheme="minorEastAsia" w:hAnsi="Times New Roman"/>
                <w:snapToGrid w:val="0"/>
                <w:spacing w:val="-10"/>
                <w:kern w:val="0"/>
                <w:sz w:val="21"/>
                <w:szCs w:val="21"/>
                <w:vertAlign w:val="superscript"/>
              </w:rPr>
              <w:t>2</w:t>
            </w:r>
          </w:p>
        </w:tc>
      </w:tr>
      <w:tr w:rsidR="009C353B" w14:paraId="3BEAAB79" w14:textId="77777777">
        <w:trPr>
          <w:trHeight w:val="144"/>
        </w:trPr>
        <w:tc>
          <w:tcPr>
            <w:tcW w:w="225" w:type="pct"/>
            <w:vMerge/>
            <w:tcMar>
              <w:left w:w="28" w:type="dxa"/>
              <w:right w:w="28" w:type="dxa"/>
            </w:tcMar>
            <w:vAlign w:val="center"/>
          </w:tcPr>
          <w:p w14:paraId="6E756246" w14:textId="77777777" w:rsidR="009C353B" w:rsidRDefault="009C353B">
            <w:pPr>
              <w:snapToGrid w:val="0"/>
              <w:jc w:val="center"/>
              <w:rPr>
                <w:rFonts w:ascii="Times New Roman" w:eastAsiaTheme="minorEastAsia" w:hAnsi="Times New Roman"/>
                <w:snapToGrid w:val="0"/>
                <w:kern w:val="0"/>
                <w:sz w:val="21"/>
              </w:rPr>
            </w:pPr>
          </w:p>
        </w:tc>
        <w:tc>
          <w:tcPr>
            <w:tcW w:w="455" w:type="pct"/>
            <w:vMerge/>
            <w:vAlign w:val="center"/>
          </w:tcPr>
          <w:p w14:paraId="2847FBD6" w14:textId="77777777" w:rsidR="009C353B" w:rsidRDefault="009C353B">
            <w:pPr>
              <w:snapToGrid w:val="0"/>
              <w:jc w:val="center"/>
              <w:rPr>
                <w:rFonts w:ascii="Times New Roman" w:eastAsiaTheme="minorEastAsia" w:hAnsi="Times New Roman"/>
                <w:snapToGrid w:val="0"/>
                <w:spacing w:val="-10"/>
                <w:kern w:val="0"/>
                <w:sz w:val="21"/>
              </w:rPr>
            </w:pPr>
          </w:p>
        </w:tc>
        <w:tc>
          <w:tcPr>
            <w:tcW w:w="758" w:type="pct"/>
            <w:vAlign w:val="center"/>
          </w:tcPr>
          <w:p w14:paraId="6C950380" w14:textId="77777777" w:rsidR="009C353B" w:rsidRDefault="00000000">
            <w:pPr>
              <w:snapToGrid w:val="0"/>
              <w:jc w:val="center"/>
              <w:rPr>
                <w:rFonts w:ascii="Times New Roman" w:eastAsiaTheme="minorEastAsia" w:hAnsi="Times New Roman"/>
                <w:bCs/>
                <w:kern w:val="0"/>
                <w:sz w:val="21"/>
                <w:szCs w:val="21"/>
              </w:rPr>
            </w:pPr>
            <w:r>
              <w:rPr>
                <w:rFonts w:ascii="Times New Roman" w:hAnsi="Times New Roman" w:hint="eastAsia"/>
                <w:kern w:val="0"/>
                <w:sz w:val="21"/>
                <w:szCs w:val="21"/>
              </w:rPr>
              <w:t>红石湾煤矿</w:t>
            </w:r>
          </w:p>
        </w:tc>
        <w:tc>
          <w:tcPr>
            <w:tcW w:w="923" w:type="pct"/>
            <w:vAlign w:val="center"/>
          </w:tcPr>
          <w:p w14:paraId="2BB43FA2" w14:textId="77777777" w:rsidR="009C353B" w:rsidRDefault="00000000">
            <w:pPr>
              <w:snapToGrid w:val="0"/>
              <w:jc w:val="center"/>
              <w:rPr>
                <w:rFonts w:ascii="Times New Roman" w:eastAsiaTheme="minorEastAsia" w:hAnsi="Times New Roman"/>
                <w:bCs/>
                <w:kern w:val="0"/>
                <w:sz w:val="21"/>
                <w:szCs w:val="21"/>
              </w:rPr>
            </w:pPr>
            <w:r>
              <w:rPr>
                <w:rFonts w:ascii="Times New Roman" w:hAnsi="Times New Roman" w:hint="eastAsia"/>
                <w:kern w:val="0"/>
                <w:sz w:val="21"/>
                <w:szCs w:val="21"/>
              </w:rPr>
              <w:t>0</w:t>
            </w:r>
            <w:r>
              <w:rPr>
                <w:rFonts w:ascii="Times New Roman" w:hAnsi="Times New Roman"/>
                <w:kern w:val="0"/>
                <w:sz w:val="21"/>
                <w:szCs w:val="21"/>
              </w:rPr>
              <w:t>.6</w:t>
            </w:r>
            <w:r>
              <w:rPr>
                <w:rFonts w:ascii="Times New Roman" w:eastAsiaTheme="minorEastAsia" w:hAnsi="Times New Roman"/>
                <w:snapToGrid w:val="0"/>
                <w:spacing w:val="-10"/>
                <w:kern w:val="0"/>
                <w:sz w:val="21"/>
              </w:rPr>
              <w:t xml:space="preserve"> Mt/a</w:t>
            </w:r>
          </w:p>
        </w:tc>
        <w:tc>
          <w:tcPr>
            <w:tcW w:w="880" w:type="pct"/>
            <w:vAlign w:val="center"/>
          </w:tcPr>
          <w:p w14:paraId="3CFA06B0" w14:textId="77777777" w:rsidR="009C353B" w:rsidRDefault="00000000">
            <w:pPr>
              <w:snapToGrid w:val="0"/>
              <w:jc w:val="center"/>
              <w:rPr>
                <w:rFonts w:ascii="Times New Roman" w:eastAsiaTheme="minorEastAsia" w:hAnsi="Times New Roman"/>
                <w:bCs/>
                <w:kern w:val="0"/>
                <w:sz w:val="21"/>
                <w:szCs w:val="21"/>
              </w:rPr>
            </w:pPr>
            <w:r>
              <w:rPr>
                <w:rFonts w:ascii="Times New Roman" w:hAnsi="Times New Roman"/>
                <w:kern w:val="0"/>
                <w:sz w:val="21"/>
                <w:szCs w:val="21"/>
              </w:rPr>
              <w:t>1.1</w:t>
            </w:r>
            <w:r>
              <w:rPr>
                <w:rFonts w:ascii="Times New Roman" w:eastAsiaTheme="minorEastAsia" w:hAnsi="Times New Roman"/>
                <w:snapToGrid w:val="0"/>
                <w:spacing w:val="-10"/>
                <w:kern w:val="0"/>
                <w:sz w:val="21"/>
              </w:rPr>
              <w:t xml:space="preserve"> Mt/a</w:t>
            </w:r>
          </w:p>
        </w:tc>
        <w:tc>
          <w:tcPr>
            <w:tcW w:w="1759" w:type="pct"/>
            <w:vAlign w:val="center"/>
          </w:tcPr>
          <w:p w14:paraId="5EDF69CC" w14:textId="77777777" w:rsidR="009C353B" w:rsidRDefault="00000000">
            <w:pPr>
              <w:snapToGrid w:val="0"/>
              <w:jc w:val="left"/>
              <w:rPr>
                <w:rFonts w:ascii="Times New Roman" w:eastAsiaTheme="minorEastAsia" w:hAnsi="Times New Roman"/>
                <w:bCs/>
                <w:kern w:val="0"/>
                <w:sz w:val="21"/>
                <w:szCs w:val="21"/>
              </w:rPr>
            </w:pPr>
            <w:r>
              <w:rPr>
                <w:rFonts w:ascii="Times New Roman" w:eastAsiaTheme="minorEastAsia" w:hAnsi="Times New Roman" w:hint="eastAsia"/>
                <w:snapToGrid w:val="0"/>
                <w:spacing w:val="-10"/>
                <w:kern w:val="0"/>
                <w:sz w:val="21"/>
              </w:rPr>
              <w:t>规划规模与核定生产能力一致</w:t>
            </w:r>
            <w:r>
              <w:rPr>
                <w:rFonts w:ascii="Times New Roman" w:hAnsi="Times New Roman"/>
                <w:kern w:val="0"/>
                <w:sz w:val="21"/>
                <w:szCs w:val="21"/>
              </w:rPr>
              <w:t>1.1</w:t>
            </w:r>
            <w:r>
              <w:rPr>
                <w:rFonts w:ascii="Times New Roman" w:eastAsiaTheme="minorEastAsia" w:hAnsi="Times New Roman"/>
                <w:snapToGrid w:val="0"/>
                <w:spacing w:val="-10"/>
                <w:kern w:val="0"/>
                <w:sz w:val="21"/>
              </w:rPr>
              <w:t xml:space="preserve"> Mt/a</w:t>
            </w:r>
            <w:r>
              <w:rPr>
                <w:rFonts w:ascii="Times New Roman" w:eastAsiaTheme="minorEastAsia" w:hAnsi="Times New Roman" w:hint="eastAsia"/>
                <w:snapToGrid w:val="0"/>
                <w:spacing w:val="-10"/>
                <w:kern w:val="0"/>
                <w:sz w:val="21"/>
              </w:rPr>
              <w:t>，</w:t>
            </w:r>
            <w:r>
              <w:rPr>
                <w:rFonts w:ascii="Times New Roman" w:eastAsiaTheme="minorEastAsia" w:hAnsi="Times New Roman" w:hint="eastAsia"/>
                <w:snapToGrid w:val="0"/>
                <w:spacing w:val="-10"/>
                <w:kern w:val="0"/>
                <w:sz w:val="21"/>
                <w:szCs w:val="21"/>
              </w:rPr>
              <w:t>井田面积增加</w:t>
            </w:r>
            <w:r>
              <w:rPr>
                <w:rFonts w:ascii="Times New Roman" w:eastAsiaTheme="minorEastAsia" w:hAnsi="Times New Roman" w:hint="eastAsia"/>
                <w:snapToGrid w:val="0"/>
                <w:spacing w:val="-10"/>
                <w:kern w:val="0"/>
                <w:sz w:val="21"/>
                <w:szCs w:val="21"/>
              </w:rPr>
              <w:t>1</w:t>
            </w:r>
            <w:r>
              <w:rPr>
                <w:rFonts w:ascii="Times New Roman" w:eastAsiaTheme="minorEastAsia" w:hAnsi="Times New Roman"/>
                <w:snapToGrid w:val="0"/>
                <w:spacing w:val="-10"/>
                <w:kern w:val="0"/>
                <w:sz w:val="21"/>
                <w:szCs w:val="21"/>
              </w:rPr>
              <w:t>.2522</w:t>
            </w:r>
            <w:r>
              <w:rPr>
                <w:rFonts w:ascii="Times New Roman" w:eastAsiaTheme="minorEastAsia" w:hAnsi="Times New Roman" w:hint="eastAsia"/>
                <w:snapToGrid w:val="0"/>
                <w:spacing w:val="-10"/>
                <w:kern w:val="0"/>
                <w:sz w:val="21"/>
                <w:szCs w:val="21"/>
              </w:rPr>
              <w:t>km</w:t>
            </w:r>
            <w:r>
              <w:rPr>
                <w:rFonts w:ascii="Times New Roman" w:eastAsiaTheme="minorEastAsia" w:hAnsi="Times New Roman"/>
                <w:snapToGrid w:val="0"/>
                <w:spacing w:val="-10"/>
                <w:kern w:val="0"/>
                <w:sz w:val="21"/>
                <w:szCs w:val="21"/>
                <w:vertAlign w:val="superscript"/>
              </w:rPr>
              <w:t>2</w:t>
            </w:r>
          </w:p>
        </w:tc>
      </w:tr>
      <w:tr w:rsidR="009C353B" w14:paraId="729F1C11" w14:textId="77777777">
        <w:trPr>
          <w:trHeight w:val="144"/>
        </w:trPr>
        <w:tc>
          <w:tcPr>
            <w:tcW w:w="225" w:type="pct"/>
            <w:vMerge/>
            <w:tcMar>
              <w:left w:w="28" w:type="dxa"/>
              <w:right w:w="28" w:type="dxa"/>
            </w:tcMar>
            <w:vAlign w:val="center"/>
          </w:tcPr>
          <w:p w14:paraId="34C11E2B" w14:textId="77777777" w:rsidR="009C353B" w:rsidRDefault="009C353B">
            <w:pPr>
              <w:snapToGrid w:val="0"/>
              <w:jc w:val="center"/>
              <w:rPr>
                <w:rFonts w:ascii="Times New Roman" w:eastAsiaTheme="minorEastAsia" w:hAnsi="Times New Roman"/>
                <w:snapToGrid w:val="0"/>
                <w:kern w:val="0"/>
                <w:sz w:val="21"/>
              </w:rPr>
            </w:pPr>
          </w:p>
        </w:tc>
        <w:tc>
          <w:tcPr>
            <w:tcW w:w="455" w:type="pct"/>
            <w:vMerge/>
            <w:vAlign w:val="center"/>
          </w:tcPr>
          <w:p w14:paraId="6FAF2FF5" w14:textId="77777777" w:rsidR="009C353B" w:rsidRDefault="009C353B">
            <w:pPr>
              <w:snapToGrid w:val="0"/>
              <w:jc w:val="center"/>
              <w:rPr>
                <w:rFonts w:ascii="Times New Roman" w:eastAsiaTheme="minorEastAsia" w:hAnsi="Times New Roman"/>
                <w:snapToGrid w:val="0"/>
                <w:spacing w:val="-10"/>
                <w:kern w:val="0"/>
                <w:sz w:val="21"/>
              </w:rPr>
            </w:pPr>
          </w:p>
        </w:tc>
        <w:tc>
          <w:tcPr>
            <w:tcW w:w="758" w:type="pct"/>
            <w:vAlign w:val="center"/>
          </w:tcPr>
          <w:p w14:paraId="2ECFD020" w14:textId="77777777" w:rsidR="009C353B" w:rsidRDefault="00000000">
            <w:pPr>
              <w:widowControl/>
              <w:snapToGrid w:val="0"/>
              <w:jc w:val="center"/>
              <w:rPr>
                <w:rFonts w:ascii="Times New Roman" w:eastAsiaTheme="minorEastAsia" w:hAnsi="Times New Roman"/>
                <w:bCs/>
                <w:kern w:val="0"/>
                <w:sz w:val="21"/>
                <w:szCs w:val="21"/>
              </w:rPr>
            </w:pPr>
            <w:r>
              <w:rPr>
                <w:rFonts w:ascii="Times New Roman" w:hAnsi="Times New Roman" w:hint="eastAsia"/>
                <w:kern w:val="0"/>
                <w:sz w:val="21"/>
                <w:szCs w:val="21"/>
              </w:rPr>
              <w:t>丁家梁煤矿</w:t>
            </w:r>
          </w:p>
        </w:tc>
        <w:tc>
          <w:tcPr>
            <w:tcW w:w="923" w:type="pct"/>
            <w:vAlign w:val="center"/>
          </w:tcPr>
          <w:p w14:paraId="75703ADB" w14:textId="77777777" w:rsidR="009C353B" w:rsidRDefault="00000000">
            <w:pPr>
              <w:widowControl/>
              <w:snapToGrid w:val="0"/>
              <w:jc w:val="center"/>
              <w:rPr>
                <w:rFonts w:ascii="Times New Roman" w:eastAsiaTheme="minorEastAsia" w:hAnsi="Times New Roman"/>
                <w:bCs/>
                <w:kern w:val="0"/>
                <w:sz w:val="21"/>
                <w:szCs w:val="21"/>
              </w:rPr>
            </w:pPr>
            <w:r>
              <w:rPr>
                <w:rFonts w:ascii="Times New Roman" w:hAnsi="Times New Roman"/>
                <w:kern w:val="0"/>
                <w:sz w:val="21"/>
                <w:szCs w:val="21"/>
              </w:rPr>
              <w:t>0.6</w:t>
            </w:r>
            <w:r>
              <w:rPr>
                <w:rFonts w:ascii="Times New Roman" w:eastAsiaTheme="minorEastAsia" w:hAnsi="Times New Roman"/>
                <w:snapToGrid w:val="0"/>
                <w:spacing w:val="-10"/>
                <w:kern w:val="0"/>
                <w:sz w:val="21"/>
              </w:rPr>
              <w:t xml:space="preserve"> Mt/a</w:t>
            </w:r>
          </w:p>
        </w:tc>
        <w:tc>
          <w:tcPr>
            <w:tcW w:w="880" w:type="pct"/>
            <w:vAlign w:val="center"/>
          </w:tcPr>
          <w:p w14:paraId="6D8EDE97" w14:textId="77777777" w:rsidR="009C353B" w:rsidRDefault="00000000">
            <w:pPr>
              <w:widowControl/>
              <w:snapToGrid w:val="0"/>
              <w:jc w:val="center"/>
              <w:rPr>
                <w:rFonts w:ascii="Times New Roman" w:eastAsiaTheme="minorEastAsia" w:hAnsi="Times New Roman"/>
                <w:bCs/>
                <w:kern w:val="0"/>
                <w:sz w:val="21"/>
                <w:szCs w:val="21"/>
              </w:rPr>
            </w:pPr>
            <w:r>
              <w:rPr>
                <w:rFonts w:ascii="Times New Roman" w:hAnsi="Times New Roman"/>
                <w:kern w:val="0"/>
                <w:sz w:val="21"/>
                <w:szCs w:val="21"/>
              </w:rPr>
              <w:t>0.9</w:t>
            </w:r>
            <w:r>
              <w:rPr>
                <w:rFonts w:ascii="Times New Roman" w:eastAsiaTheme="minorEastAsia" w:hAnsi="Times New Roman"/>
                <w:snapToGrid w:val="0"/>
                <w:spacing w:val="-10"/>
                <w:kern w:val="0"/>
                <w:sz w:val="21"/>
              </w:rPr>
              <w:t>Mt/a</w:t>
            </w:r>
          </w:p>
        </w:tc>
        <w:tc>
          <w:tcPr>
            <w:tcW w:w="1759" w:type="pct"/>
            <w:vAlign w:val="center"/>
          </w:tcPr>
          <w:p w14:paraId="1CFE2A96" w14:textId="77777777" w:rsidR="009C353B" w:rsidRDefault="00000000">
            <w:pPr>
              <w:widowControl/>
              <w:snapToGrid w:val="0"/>
              <w:jc w:val="left"/>
              <w:rPr>
                <w:rFonts w:ascii="Times New Roman" w:eastAsiaTheme="minorEastAsia" w:hAnsi="Times New Roman"/>
                <w:kern w:val="0"/>
                <w:sz w:val="21"/>
                <w:szCs w:val="21"/>
              </w:rPr>
            </w:pPr>
            <w:r>
              <w:rPr>
                <w:rFonts w:ascii="Times New Roman" w:eastAsiaTheme="minorEastAsia" w:hAnsi="Times New Roman" w:hint="eastAsia"/>
                <w:snapToGrid w:val="0"/>
                <w:spacing w:val="-10"/>
                <w:kern w:val="0"/>
                <w:sz w:val="21"/>
              </w:rPr>
              <w:t>在建，规划规模增加</w:t>
            </w:r>
            <w:r>
              <w:rPr>
                <w:rFonts w:ascii="Times New Roman" w:hAnsi="Times New Roman"/>
                <w:kern w:val="0"/>
                <w:sz w:val="21"/>
                <w:szCs w:val="21"/>
              </w:rPr>
              <w:t>0.3</w:t>
            </w:r>
            <w:r>
              <w:rPr>
                <w:rFonts w:ascii="Times New Roman" w:eastAsiaTheme="minorEastAsia" w:hAnsi="Times New Roman"/>
                <w:snapToGrid w:val="0"/>
                <w:spacing w:val="-10"/>
                <w:kern w:val="0"/>
                <w:sz w:val="21"/>
              </w:rPr>
              <w:t xml:space="preserve"> Mt/a</w:t>
            </w:r>
          </w:p>
          <w:p w14:paraId="5DB48D57" w14:textId="77777777" w:rsidR="009C353B" w:rsidRDefault="00000000">
            <w:pPr>
              <w:widowControl/>
              <w:snapToGrid w:val="0"/>
              <w:jc w:val="left"/>
              <w:rPr>
                <w:rFonts w:ascii="Times New Roman" w:eastAsiaTheme="minorEastAsia" w:hAnsi="Times New Roman"/>
                <w:bCs/>
                <w:kern w:val="0"/>
                <w:sz w:val="21"/>
                <w:szCs w:val="21"/>
              </w:rPr>
            </w:pPr>
            <w:r>
              <w:rPr>
                <w:rFonts w:ascii="Times New Roman" w:eastAsiaTheme="minorEastAsia" w:hAnsi="Times New Roman" w:hint="eastAsia"/>
                <w:snapToGrid w:val="0"/>
                <w:spacing w:val="-10"/>
                <w:kern w:val="0"/>
                <w:sz w:val="21"/>
                <w:szCs w:val="21"/>
              </w:rPr>
              <w:t>井田面积增加</w:t>
            </w:r>
            <w:r>
              <w:rPr>
                <w:rFonts w:ascii="Times New Roman" w:eastAsiaTheme="minorEastAsia" w:hAnsi="Times New Roman"/>
                <w:snapToGrid w:val="0"/>
                <w:spacing w:val="-10"/>
                <w:kern w:val="0"/>
                <w:sz w:val="21"/>
                <w:szCs w:val="21"/>
              </w:rPr>
              <w:t>11.205</w:t>
            </w:r>
            <w:r>
              <w:rPr>
                <w:rFonts w:ascii="Times New Roman" w:eastAsiaTheme="minorEastAsia" w:hAnsi="Times New Roman" w:hint="eastAsia"/>
                <w:snapToGrid w:val="0"/>
                <w:spacing w:val="-10"/>
                <w:kern w:val="0"/>
                <w:sz w:val="21"/>
                <w:szCs w:val="21"/>
              </w:rPr>
              <w:t>km</w:t>
            </w:r>
            <w:r>
              <w:rPr>
                <w:rFonts w:ascii="Times New Roman" w:eastAsiaTheme="minorEastAsia" w:hAnsi="Times New Roman"/>
                <w:snapToGrid w:val="0"/>
                <w:spacing w:val="-10"/>
                <w:kern w:val="0"/>
                <w:sz w:val="21"/>
                <w:szCs w:val="21"/>
                <w:vertAlign w:val="superscript"/>
              </w:rPr>
              <w:t>2</w:t>
            </w:r>
          </w:p>
        </w:tc>
      </w:tr>
      <w:tr w:rsidR="009C353B" w14:paraId="538EEF11" w14:textId="77777777">
        <w:trPr>
          <w:trHeight w:val="144"/>
        </w:trPr>
        <w:tc>
          <w:tcPr>
            <w:tcW w:w="225" w:type="pct"/>
            <w:vMerge w:val="restart"/>
            <w:tcMar>
              <w:left w:w="28" w:type="dxa"/>
              <w:right w:w="28" w:type="dxa"/>
            </w:tcMar>
            <w:vAlign w:val="center"/>
          </w:tcPr>
          <w:p w14:paraId="5D04B3BB"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hint="eastAsia"/>
                <w:snapToGrid w:val="0"/>
                <w:kern w:val="0"/>
                <w:sz w:val="21"/>
              </w:rPr>
              <w:t>4</w:t>
            </w:r>
          </w:p>
        </w:tc>
        <w:tc>
          <w:tcPr>
            <w:tcW w:w="455" w:type="pct"/>
            <w:vMerge w:val="restart"/>
            <w:vAlign w:val="center"/>
          </w:tcPr>
          <w:p w14:paraId="186FFB02"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hint="eastAsia"/>
                <w:snapToGrid w:val="0"/>
                <w:spacing w:val="-10"/>
                <w:kern w:val="0"/>
                <w:sz w:val="21"/>
              </w:rPr>
              <w:t>规划选煤厂</w:t>
            </w:r>
          </w:p>
        </w:tc>
        <w:tc>
          <w:tcPr>
            <w:tcW w:w="758" w:type="pct"/>
            <w:vAlign w:val="center"/>
          </w:tcPr>
          <w:p w14:paraId="1AFD28B0" w14:textId="77777777" w:rsidR="009C353B" w:rsidRDefault="00000000">
            <w:pPr>
              <w:snapToGrid w:val="0"/>
              <w:jc w:val="center"/>
              <w:rPr>
                <w:rFonts w:ascii="Times New Roman" w:eastAsiaTheme="minorEastAsia" w:hAnsi="Times New Roman"/>
                <w:kern w:val="0"/>
                <w:sz w:val="21"/>
                <w:szCs w:val="21"/>
              </w:rPr>
            </w:pPr>
            <w:r>
              <w:rPr>
                <w:rFonts w:ascii="Times New Roman" w:hAnsi="Times New Roman" w:hint="eastAsia"/>
                <w:kern w:val="0"/>
                <w:sz w:val="21"/>
                <w:szCs w:val="21"/>
              </w:rPr>
              <w:t>马莲台选煤厂</w:t>
            </w:r>
          </w:p>
        </w:tc>
        <w:tc>
          <w:tcPr>
            <w:tcW w:w="923" w:type="pct"/>
            <w:vAlign w:val="center"/>
          </w:tcPr>
          <w:p w14:paraId="7D0E9ACF"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hAnsi="Times New Roman"/>
                <w:kern w:val="0"/>
                <w:sz w:val="21"/>
                <w:szCs w:val="21"/>
              </w:rPr>
              <w:t>2.4</w:t>
            </w:r>
            <w:r>
              <w:rPr>
                <w:rFonts w:ascii="Times New Roman" w:eastAsiaTheme="minorEastAsia" w:hAnsi="Times New Roman"/>
                <w:snapToGrid w:val="0"/>
                <w:spacing w:val="-10"/>
                <w:kern w:val="0"/>
                <w:sz w:val="21"/>
              </w:rPr>
              <w:t xml:space="preserve"> Mt/a</w:t>
            </w:r>
          </w:p>
        </w:tc>
        <w:tc>
          <w:tcPr>
            <w:tcW w:w="880" w:type="pct"/>
            <w:vAlign w:val="center"/>
          </w:tcPr>
          <w:p w14:paraId="34560437" w14:textId="77777777" w:rsidR="009C353B" w:rsidRDefault="00000000">
            <w:pPr>
              <w:snapToGrid w:val="0"/>
              <w:jc w:val="center"/>
              <w:rPr>
                <w:rFonts w:ascii="Times New Roman" w:eastAsiaTheme="minorEastAsia" w:hAnsi="Times New Roman"/>
                <w:bCs/>
                <w:kern w:val="0"/>
                <w:sz w:val="21"/>
                <w:szCs w:val="21"/>
              </w:rPr>
            </w:pPr>
            <w:r>
              <w:rPr>
                <w:rFonts w:ascii="Times New Roman" w:hAnsi="Times New Roman"/>
                <w:kern w:val="0"/>
                <w:sz w:val="21"/>
                <w:szCs w:val="21"/>
              </w:rPr>
              <w:t>10.0</w:t>
            </w:r>
            <w:r>
              <w:rPr>
                <w:rFonts w:ascii="Times New Roman" w:eastAsiaTheme="minorEastAsia" w:hAnsi="Times New Roman"/>
                <w:snapToGrid w:val="0"/>
                <w:spacing w:val="-10"/>
                <w:kern w:val="0"/>
                <w:sz w:val="21"/>
              </w:rPr>
              <w:t xml:space="preserve"> Mt/a</w:t>
            </w:r>
          </w:p>
        </w:tc>
        <w:tc>
          <w:tcPr>
            <w:tcW w:w="1759" w:type="pct"/>
            <w:vAlign w:val="center"/>
          </w:tcPr>
          <w:p w14:paraId="62EC8620" w14:textId="77777777" w:rsidR="009C353B" w:rsidRDefault="00000000">
            <w:pPr>
              <w:snapToGrid w:val="0"/>
              <w:jc w:val="left"/>
              <w:rPr>
                <w:rFonts w:ascii="Times New Roman" w:hAnsi="Times New Roman"/>
                <w:kern w:val="0"/>
                <w:sz w:val="21"/>
                <w:szCs w:val="21"/>
              </w:rPr>
            </w:pPr>
            <w:r>
              <w:rPr>
                <w:rFonts w:ascii="Times New Roman" w:hAnsi="Times New Roman" w:hint="eastAsia"/>
                <w:kern w:val="0"/>
                <w:sz w:val="21"/>
                <w:szCs w:val="21"/>
              </w:rPr>
              <w:t>规划规模与现状一致</w:t>
            </w:r>
            <w:r>
              <w:rPr>
                <w:rFonts w:ascii="Times New Roman" w:hAnsi="Times New Roman"/>
                <w:kern w:val="0"/>
                <w:sz w:val="21"/>
                <w:szCs w:val="21"/>
              </w:rPr>
              <w:t>10.0</w:t>
            </w:r>
            <w:r>
              <w:rPr>
                <w:rFonts w:ascii="Times New Roman" w:eastAsiaTheme="minorEastAsia" w:hAnsi="Times New Roman"/>
                <w:snapToGrid w:val="0"/>
                <w:spacing w:val="-10"/>
                <w:kern w:val="0"/>
                <w:sz w:val="21"/>
              </w:rPr>
              <w:t xml:space="preserve"> Mt/a</w:t>
            </w:r>
          </w:p>
          <w:p w14:paraId="26E252CB" w14:textId="77777777" w:rsidR="009C353B" w:rsidRDefault="00000000">
            <w:pPr>
              <w:snapToGrid w:val="0"/>
              <w:jc w:val="left"/>
              <w:rPr>
                <w:rFonts w:ascii="Times New Roman" w:eastAsiaTheme="minorEastAsia" w:hAnsi="Times New Roman"/>
                <w:bCs/>
                <w:kern w:val="0"/>
                <w:sz w:val="21"/>
                <w:szCs w:val="21"/>
              </w:rPr>
            </w:pPr>
            <w:r>
              <w:rPr>
                <w:rFonts w:ascii="Times New Roman" w:hAnsi="Times New Roman" w:hint="eastAsia"/>
                <w:kern w:val="0"/>
                <w:sz w:val="21"/>
                <w:szCs w:val="21"/>
              </w:rPr>
              <w:t>群矿型选煤厂，洗选马莲台、丁家梁煤矿及部分外购煤</w:t>
            </w:r>
          </w:p>
        </w:tc>
      </w:tr>
      <w:tr w:rsidR="009C353B" w14:paraId="6AE89615" w14:textId="77777777">
        <w:trPr>
          <w:trHeight w:val="144"/>
        </w:trPr>
        <w:tc>
          <w:tcPr>
            <w:tcW w:w="225" w:type="pct"/>
            <w:vMerge/>
            <w:tcMar>
              <w:left w:w="28" w:type="dxa"/>
              <w:right w:w="28" w:type="dxa"/>
            </w:tcMar>
            <w:vAlign w:val="center"/>
          </w:tcPr>
          <w:p w14:paraId="2D76374B" w14:textId="77777777" w:rsidR="009C353B" w:rsidRDefault="009C353B">
            <w:pPr>
              <w:snapToGrid w:val="0"/>
              <w:jc w:val="center"/>
              <w:rPr>
                <w:rFonts w:ascii="Times New Roman" w:eastAsiaTheme="minorEastAsia" w:hAnsi="Times New Roman"/>
                <w:snapToGrid w:val="0"/>
                <w:kern w:val="0"/>
                <w:sz w:val="21"/>
              </w:rPr>
            </w:pPr>
          </w:p>
        </w:tc>
        <w:tc>
          <w:tcPr>
            <w:tcW w:w="455" w:type="pct"/>
            <w:vMerge/>
            <w:vAlign w:val="center"/>
          </w:tcPr>
          <w:p w14:paraId="2B34031A" w14:textId="77777777" w:rsidR="009C353B" w:rsidRDefault="009C353B">
            <w:pPr>
              <w:snapToGrid w:val="0"/>
              <w:jc w:val="center"/>
              <w:rPr>
                <w:rFonts w:ascii="Times New Roman" w:eastAsiaTheme="minorEastAsia" w:hAnsi="Times New Roman"/>
                <w:snapToGrid w:val="0"/>
                <w:spacing w:val="-10"/>
                <w:kern w:val="0"/>
                <w:sz w:val="21"/>
              </w:rPr>
            </w:pPr>
          </w:p>
        </w:tc>
        <w:tc>
          <w:tcPr>
            <w:tcW w:w="758" w:type="pct"/>
            <w:vAlign w:val="center"/>
          </w:tcPr>
          <w:p w14:paraId="0567C188" w14:textId="77777777" w:rsidR="009C353B" w:rsidRDefault="00000000">
            <w:pPr>
              <w:snapToGrid w:val="0"/>
              <w:jc w:val="center"/>
              <w:rPr>
                <w:rFonts w:ascii="Times New Roman" w:hAnsi="Times New Roman"/>
                <w:kern w:val="0"/>
                <w:sz w:val="21"/>
                <w:szCs w:val="21"/>
              </w:rPr>
            </w:pPr>
            <w:r>
              <w:rPr>
                <w:rFonts w:ascii="Times New Roman" w:hAnsi="Times New Roman" w:hint="eastAsia"/>
                <w:kern w:val="0"/>
                <w:sz w:val="21"/>
                <w:szCs w:val="21"/>
              </w:rPr>
              <w:t>任家庄选煤厂</w:t>
            </w:r>
          </w:p>
        </w:tc>
        <w:tc>
          <w:tcPr>
            <w:tcW w:w="923" w:type="pct"/>
            <w:vAlign w:val="center"/>
          </w:tcPr>
          <w:p w14:paraId="78784403" w14:textId="77777777" w:rsidR="009C353B" w:rsidRDefault="00000000">
            <w:pPr>
              <w:snapToGrid w:val="0"/>
              <w:jc w:val="center"/>
              <w:rPr>
                <w:rFonts w:ascii="Times New Roman" w:hAnsi="Times New Roman"/>
                <w:kern w:val="0"/>
                <w:sz w:val="21"/>
                <w:szCs w:val="21"/>
              </w:rPr>
            </w:pPr>
            <w:r>
              <w:rPr>
                <w:rFonts w:ascii="Times New Roman" w:hAnsi="Times New Roman"/>
                <w:kern w:val="0"/>
                <w:sz w:val="21"/>
                <w:szCs w:val="21"/>
              </w:rPr>
              <w:t>2.4</w:t>
            </w:r>
            <w:r>
              <w:rPr>
                <w:rFonts w:ascii="Times New Roman" w:eastAsiaTheme="minorEastAsia" w:hAnsi="Times New Roman"/>
                <w:snapToGrid w:val="0"/>
                <w:spacing w:val="-10"/>
                <w:kern w:val="0"/>
                <w:sz w:val="21"/>
              </w:rPr>
              <w:t xml:space="preserve"> Mt/a</w:t>
            </w:r>
          </w:p>
        </w:tc>
        <w:tc>
          <w:tcPr>
            <w:tcW w:w="880" w:type="pct"/>
            <w:vAlign w:val="center"/>
          </w:tcPr>
          <w:p w14:paraId="38D61D7A" w14:textId="77777777" w:rsidR="009C353B" w:rsidRDefault="00000000">
            <w:pPr>
              <w:snapToGrid w:val="0"/>
              <w:jc w:val="center"/>
              <w:rPr>
                <w:rFonts w:ascii="Times New Roman" w:hAnsi="Times New Roman"/>
                <w:kern w:val="0"/>
                <w:sz w:val="21"/>
                <w:szCs w:val="21"/>
              </w:rPr>
            </w:pPr>
            <w:r>
              <w:rPr>
                <w:rFonts w:ascii="Times New Roman" w:hAnsi="Times New Roman"/>
                <w:kern w:val="0"/>
                <w:sz w:val="21"/>
                <w:szCs w:val="21"/>
              </w:rPr>
              <w:t>4.8</w:t>
            </w:r>
            <w:r>
              <w:rPr>
                <w:rFonts w:ascii="Times New Roman" w:eastAsiaTheme="minorEastAsia" w:hAnsi="Times New Roman"/>
                <w:snapToGrid w:val="0"/>
                <w:spacing w:val="-10"/>
                <w:kern w:val="0"/>
                <w:sz w:val="21"/>
              </w:rPr>
              <w:t>Mt/a</w:t>
            </w:r>
          </w:p>
        </w:tc>
        <w:tc>
          <w:tcPr>
            <w:tcW w:w="1759" w:type="pct"/>
            <w:vAlign w:val="center"/>
          </w:tcPr>
          <w:p w14:paraId="0935AADD" w14:textId="77777777" w:rsidR="009C353B" w:rsidRDefault="00000000">
            <w:pPr>
              <w:snapToGrid w:val="0"/>
              <w:jc w:val="left"/>
              <w:rPr>
                <w:rFonts w:ascii="Times New Roman" w:eastAsiaTheme="minorEastAsia" w:hAnsi="Times New Roman"/>
                <w:bCs/>
                <w:kern w:val="0"/>
                <w:sz w:val="21"/>
                <w:szCs w:val="21"/>
              </w:rPr>
            </w:pPr>
            <w:r>
              <w:rPr>
                <w:rFonts w:ascii="Times New Roman" w:hAnsi="Times New Roman" w:hint="eastAsia"/>
                <w:kern w:val="0"/>
                <w:sz w:val="21"/>
                <w:szCs w:val="21"/>
              </w:rPr>
              <w:t>规划规模与现状一致</w:t>
            </w:r>
            <w:r>
              <w:rPr>
                <w:rFonts w:ascii="Times New Roman" w:eastAsiaTheme="minorEastAsia" w:hAnsi="Times New Roman" w:hint="eastAsia"/>
                <w:snapToGrid w:val="0"/>
                <w:spacing w:val="-10"/>
                <w:kern w:val="0"/>
                <w:sz w:val="21"/>
              </w:rPr>
              <w:t>4</w:t>
            </w:r>
            <w:r>
              <w:rPr>
                <w:rFonts w:ascii="Times New Roman" w:eastAsiaTheme="minorEastAsia" w:hAnsi="Times New Roman"/>
                <w:snapToGrid w:val="0"/>
                <w:spacing w:val="-10"/>
                <w:kern w:val="0"/>
                <w:sz w:val="21"/>
              </w:rPr>
              <w:t>.8</w:t>
            </w:r>
            <w:r>
              <w:rPr>
                <w:rFonts w:ascii="Times New Roman" w:eastAsiaTheme="minorEastAsia" w:hAnsi="Times New Roman"/>
                <w:kern w:val="0"/>
                <w:sz w:val="21"/>
                <w:szCs w:val="21"/>
              </w:rPr>
              <w:t>Mt/a</w:t>
            </w:r>
          </w:p>
        </w:tc>
      </w:tr>
      <w:tr w:rsidR="009C353B" w14:paraId="670A844B" w14:textId="77777777">
        <w:trPr>
          <w:trHeight w:val="144"/>
        </w:trPr>
        <w:tc>
          <w:tcPr>
            <w:tcW w:w="225" w:type="pct"/>
            <w:vMerge/>
            <w:tcMar>
              <w:left w:w="28" w:type="dxa"/>
              <w:right w:w="28" w:type="dxa"/>
            </w:tcMar>
            <w:vAlign w:val="center"/>
          </w:tcPr>
          <w:p w14:paraId="77D28D80" w14:textId="77777777" w:rsidR="009C353B" w:rsidRDefault="009C353B">
            <w:pPr>
              <w:snapToGrid w:val="0"/>
              <w:jc w:val="center"/>
              <w:rPr>
                <w:rFonts w:ascii="Times New Roman" w:eastAsiaTheme="minorEastAsia" w:hAnsi="Times New Roman"/>
                <w:snapToGrid w:val="0"/>
                <w:kern w:val="0"/>
                <w:sz w:val="21"/>
              </w:rPr>
            </w:pPr>
          </w:p>
        </w:tc>
        <w:tc>
          <w:tcPr>
            <w:tcW w:w="455" w:type="pct"/>
            <w:vMerge/>
            <w:vAlign w:val="center"/>
          </w:tcPr>
          <w:p w14:paraId="638B5AAA" w14:textId="77777777" w:rsidR="009C353B" w:rsidRDefault="009C353B">
            <w:pPr>
              <w:snapToGrid w:val="0"/>
              <w:jc w:val="center"/>
              <w:rPr>
                <w:rFonts w:ascii="Times New Roman" w:eastAsiaTheme="minorEastAsia" w:hAnsi="Times New Roman"/>
                <w:snapToGrid w:val="0"/>
                <w:spacing w:val="-10"/>
                <w:kern w:val="0"/>
                <w:sz w:val="21"/>
              </w:rPr>
            </w:pPr>
          </w:p>
        </w:tc>
        <w:tc>
          <w:tcPr>
            <w:tcW w:w="758" w:type="pct"/>
            <w:vAlign w:val="center"/>
          </w:tcPr>
          <w:p w14:paraId="74220CA3" w14:textId="77777777" w:rsidR="009C353B" w:rsidRDefault="00000000">
            <w:pPr>
              <w:snapToGrid w:val="0"/>
              <w:jc w:val="center"/>
              <w:rPr>
                <w:rFonts w:ascii="Times New Roman" w:hAnsi="Times New Roman"/>
                <w:kern w:val="0"/>
                <w:sz w:val="21"/>
                <w:szCs w:val="21"/>
              </w:rPr>
            </w:pPr>
            <w:r>
              <w:rPr>
                <w:rFonts w:ascii="Times New Roman" w:hAnsi="Times New Roman" w:hint="eastAsia"/>
                <w:kern w:val="0"/>
                <w:sz w:val="21"/>
                <w:szCs w:val="21"/>
              </w:rPr>
              <w:t>红石湾选煤厂</w:t>
            </w:r>
          </w:p>
        </w:tc>
        <w:tc>
          <w:tcPr>
            <w:tcW w:w="923" w:type="pct"/>
            <w:vAlign w:val="center"/>
          </w:tcPr>
          <w:p w14:paraId="594BC419" w14:textId="77777777" w:rsidR="009C353B" w:rsidRDefault="00000000">
            <w:pPr>
              <w:snapToGrid w:val="0"/>
              <w:jc w:val="center"/>
              <w:rPr>
                <w:rFonts w:ascii="Times New Roman" w:hAnsi="Times New Roman"/>
                <w:kern w:val="0"/>
                <w:sz w:val="21"/>
                <w:szCs w:val="21"/>
              </w:rPr>
            </w:pPr>
            <w:r>
              <w:rPr>
                <w:rFonts w:ascii="Times New Roman" w:hAnsi="Times New Roman" w:hint="eastAsia"/>
                <w:kern w:val="0"/>
                <w:sz w:val="21"/>
                <w:szCs w:val="21"/>
              </w:rPr>
              <w:t>——</w:t>
            </w:r>
          </w:p>
        </w:tc>
        <w:tc>
          <w:tcPr>
            <w:tcW w:w="880" w:type="pct"/>
            <w:vAlign w:val="center"/>
          </w:tcPr>
          <w:p w14:paraId="4AAEC8BA" w14:textId="77777777" w:rsidR="009C353B" w:rsidRDefault="00000000">
            <w:pPr>
              <w:snapToGrid w:val="0"/>
              <w:jc w:val="center"/>
              <w:rPr>
                <w:rFonts w:ascii="Times New Roman" w:hAnsi="Times New Roman"/>
                <w:kern w:val="0"/>
                <w:sz w:val="21"/>
                <w:szCs w:val="21"/>
              </w:rPr>
            </w:pPr>
            <w:r>
              <w:rPr>
                <w:rFonts w:ascii="Times New Roman" w:hAnsi="Times New Roman"/>
                <w:kern w:val="0"/>
                <w:sz w:val="21"/>
                <w:szCs w:val="21"/>
              </w:rPr>
              <w:t>1.2</w:t>
            </w:r>
            <w:r>
              <w:rPr>
                <w:rFonts w:ascii="Times New Roman" w:eastAsiaTheme="minorEastAsia" w:hAnsi="Times New Roman"/>
                <w:snapToGrid w:val="0"/>
                <w:spacing w:val="-10"/>
                <w:kern w:val="0"/>
                <w:sz w:val="21"/>
              </w:rPr>
              <w:t xml:space="preserve"> Mt/a</w:t>
            </w:r>
          </w:p>
        </w:tc>
        <w:tc>
          <w:tcPr>
            <w:tcW w:w="1759" w:type="pct"/>
            <w:vAlign w:val="center"/>
          </w:tcPr>
          <w:p w14:paraId="2E5752A6" w14:textId="77777777" w:rsidR="009C353B" w:rsidRDefault="00000000">
            <w:pPr>
              <w:snapToGrid w:val="0"/>
              <w:jc w:val="left"/>
              <w:rPr>
                <w:rFonts w:ascii="Times New Roman" w:eastAsiaTheme="minorEastAsia" w:hAnsi="Times New Roman"/>
                <w:bCs/>
                <w:kern w:val="0"/>
                <w:sz w:val="21"/>
                <w:szCs w:val="21"/>
              </w:rPr>
            </w:pPr>
            <w:r>
              <w:rPr>
                <w:rFonts w:ascii="Times New Roman" w:hAnsi="Times New Roman" w:hint="eastAsia"/>
                <w:kern w:val="0"/>
                <w:sz w:val="21"/>
                <w:szCs w:val="21"/>
              </w:rPr>
              <w:t>规划规模与现状一致</w:t>
            </w:r>
            <w:r>
              <w:rPr>
                <w:rFonts w:ascii="Times New Roman" w:eastAsiaTheme="minorEastAsia" w:hAnsi="Times New Roman"/>
                <w:snapToGrid w:val="0"/>
                <w:spacing w:val="-10"/>
                <w:kern w:val="0"/>
                <w:sz w:val="21"/>
              </w:rPr>
              <w:t>1.2</w:t>
            </w:r>
            <w:r>
              <w:rPr>
                <w:rFonts w:ascii="Times New Roman" w:eastAsiaTheme="minorEastAsia" w:hAnsi="Times New Roman"/>
                <w:kern w:val="0"/>
                <w:sz w:val="21"/>
                <w:szCs w:val="21"/>
              </w:rPr>
              <w:t>Mt/a</w:t>
            </w:r>
          </w:p>
        </w:tc>
      </w:tr>
      <w:tr w:rsidR="009C353B" w14:paraId="2233C94A" w14:textId="77777777">
        <w:trPr>
          <w:trHeight w:val="144"/>
        </w:trPr>
        <w:tc>
          <w:tcPr>
            <w:tcW w:w="225" w:type="pct"/>
            <w:vMerge/>
            <w:tcMar>
              <w:left w:w="28" w:type="dxa"/>
              <w:right w:w="28" w:type="dxa"/>
            </w:tcMar>
            <w:vAlign w:val="center"/>
          </w:tcPr>
          <w:p w14:paraId="198210DB" w14:textId="77777777" w:rsidR="009C353B" w:rsidRDefault="009C353B">
            <w:pPr>
              <w:snapToGrid w:val="0"/>
              <w:jc w:val="center"/>
              <w:rPr>
                <w:rFonts w:ascii="Times New Roman" w:eastAsiaTheme="minorEastAsia" w:hAnsi="Times New Roman"/>
                <w:snapToGrid w:val="0"/>
                <w:kern w:val="0"/>
                <w:sz w:val="21"/>
              </w:rPr>
            </w:pPr>
          </w:p>
        </w:tc>
        <w:tc>
          <w:tcPr>
            <w:tcW w:w="455" w:type="pct"/>
            <w:vMerge/>
            <w:vAlign w:val="center"/>
          </w:tcPr>
          <w:p w14:paraId="2DCD72B5" w14:textId="77777777" w:rsidR="009C353B" w:rsidRDefault="009C353B">
            <w:pPr>
              <w:snapToGrid w:val="0"/>
              <w:jc w:val="center"/>
              <w:rPr>
                <w:rFonts w:ascii="Times New Roman" w:eastAsiaTheme="minorEastAsia" w:hAnsi="Times New Roman"/>
                <w:snapToGrid w:val="0"/>
                <w:spacing w:val="-10"/>
                <w:kern w:val="0"/>
                <w:sz w:val="21"/>
              </w:rPr>
            </w:pPr>
          </w:p>
        </w:tc>
        <w:tc>
          <w:tcPr>
            <w:tcW w:w="758" w:type="pct"/>
            <w:vAlign w:val="center"/>
          </w:tcPr>
          <w:p w14:paraId="3DB658BB" w14:textId="77777777" w:rsidR="009C353B" w:rsidRDefault="00000000">
            <w:pPr>
              <w:snapToGrid w:val="0"/>
              <w:jc w:val="center"/>
              <w:rPr>
                <w:rFonts w:ascii="Times New Roman" w:hAnsi="Times New Roman"/>
                <w:kern w:val="0"/>
                <w:sz w:val="21"/>
                <w:szCs w:val="21"/>
              </w:rPr>
            </w:pPr>
            <w:r>
              <w:rPr>
                <w:rFonts w:ascii="Times New Roman" w:hAnsi="Times New Roman" w:hint="eastAsia"/>
                <w:kern w:val="0"/>
                <w:sz w:val="21"/>
                <w:szCs w:val="21"/>
              </w:rPr>
              <w:t>丁家梁选煤厂</w:t>
            </w:r>
          </w:p>
        </w:tc>
        <w:tc>
          <w:tcPr>
            <w:tcW w:w="923" w:type="pct"/>
            <w:vAlign w:val="center"/>
          </w:tcPr>
          <w:p w14:paraId="1776C2A5" w14:textId="77777777" w:rsidR="009C353B" w:rsidRDefault="00000000">
            <w:pPr>
              <w:snapToGrid w:val="0"/>
              <w:jc w:val="center"/>
              <w:rPr>
                <w:rFonts w:ascii="Times New Roman" w:hAnsi="Times New Roman"/>
                <w:kern w:val="0"/>
                <w:sz w:val="21"/>
                <w:szCs w:val="21"/>
              </w:rPr>
            </w:pPr>
            <w:r>
              <w:rPr>
                <w:rFonts w:ascii="Times New Roman" w:hAnsi="Times New Roman" w:hint="eastAsia"/>
                <w:kern w:val="0"/>
                <w:sz w:val="21"/>
                <w:szCs w:val="21"/>
              </w:rPr>
              <w:t>——</w:t>
            </w:r>
          </w:p>
        </w:tc>
        <w:tc>
          <w:tcPr>
            <w:tcW w:w="880" w:type="pct"/>
            <w:vAlign w:val="center"/>
          </w:tcPr>
          <w:p w14:paraId="4215FD12" w14:textId="77777777" w:rsidR="009C353B" w:rsidRDefault="00000000">
            <w:pPr>
              <w:snapToGrid w:val="0"/>
              <w:jc w:val="center"/>
              <w:rPr>
                <w:rFonts w:ascii="Times New Roman" w:hAnsi="Times New Roman"/>
                <w:kern w:val="0"/>
                <w:sz w:val="21"/>
                <w:szCs w:val="21"/>
              </w:rPr>
            </w:pPr>
            <w:r>
              <w:rPr>
                <w:rFonts w:ascii="Times New Roman" w:hAnsi="Times New Roman" w:hint="eastAsia"/>
                <w:kern w:val="0"/>
                <w:sz w:val="21"/>
                <w:szCs w:val="21"/>
              </w:rPr>
              <w:t>——</w:t>
            </w:r>
          </w:p>
        </w:tc>
        <w:tc>
          <w:tcPr>
            <w:tcW w:w="1759" w:type="pct"/>
            <w:vAlign w:val="center"/>
          </w:tcPr>
          <w:p w14:paraId="609A802B" w14:textId="77777777" w:rsidR="009C353B" w:rsidRDefault="00000000">
            <w:pPr>
              <w:snapToGrid w:val="0"/>
              <w:jc w:val="left"/>
              <w:rPr>
                <w:rFonts w:ascii="Times New Roman" w:eastAsiaTheme="minorEastAsia" w:hAnsi="Times New Roman"/>
                <w:bCs/>
                <w:kern w:val="0"/>
                <w:sz w:val="21"/>
                <w:szCs w:val="21"/>
              </w:rPr>
            </w:pPr>
            <w:r>
              <w:rPr>
                <w:rFonts w:ascii="Times New Roman" w:hAnsi="Times New Roman" w:hint="eastAsia"/>
                <w:kern w:val="0"/>
                <w:sz w:val="21"/>
                <w:szCs w:val="21"/>
              </w:rPr>
              <w:t>——</w:t>
            </w:r>
          </w:p>
        </w:tc>
      </w:tr>
      <w:tr w:rsidR="009C353B" w14:paraId="4432B151" w14:textId="77777777">
        <w:trPr>
          <w:trHeight w:val="144"/>
        </w:trPr>
        <w:tc>
          <w:tcPr>
            <w:tcW w:w="225" w:type="pct"/>
            <w:vMerge w:val="restart"/>
            <w:tcMar>
              <w:left w:w="28" w:type="dxa"/>
              <w:right w:w="28" w:type="dxa"/>
            </w:tcMar>
            <w:vAlign w:val="center"/>
          </w:tcPr>
          <w:p w14:paraId="37BDE34A" w14:textId="77777777" w:rsidR="009C353B" w:rsidRDefault="00000000">
            <w:pPr>
              <w:snapToGrid w:val="0"/>
              <w:jc w:val="center"/>
              <w:rPr>
                <w:rFonts w:ascii="Times New Roman" w:eastAsiaTheme="minorEastAsia" w:hAnsi="Times New Roman"/>
                <w:snapToGrid w:val="0"/>
                <w:kern w:val="0"/>
                <w:sz w:val="21"/>
              </w:rPr>
            </w:pPr>
            <w:r>
              <w:rPr>
                <w:rFonts w:ascii="Times New Roman" w:eastAsiaTheme="minorEastAsia" w:hAnsi="Times New Roman"/>
                <w:snapToGrid w:val="0"/>
                <w:kern w:val="0"/>
                <w:sz w:val="21"/>
              </w:rPr>
              <w:t>5</w:t>
            </w:r>
          </w:p>
        </w:tc>
        <w:tc>
          <w:tcPr>
            <w:tcW w:w="455" w:type="pct"/>
            <w:vMerge w:val="restart"/>
            <w:vAlign w:val="center"/>
          </w:tcPr>
          <w:p w14:paraId="0AC56BB2" w14:textId="77777777" w:rsidR="009C353B" w:rsidRDefault="00000000">
            <w:pPr>
              <w:snapToGrid w:val="0"/>
              <w:jc w:val="center"/>
              <w:rPr>
                <w:rFonts w:ascii="Times New Roman" w:eastAsiaTheme="minorEastAsia" w:hAnsi="Times New Roman"/>
                <w:snapToGrid w:val="0"/>
                <w:spacing w:val="-10"/>
                <w:kern w:val="0"/>
                <w:sz w:val="21"/>
              </w:rPr>
            </w:pPr>
            <w:r>
              <w:rPr>
                <w:rFonts w:ascii="Times New Roman" w:eastAsiaTheme="minorEastAsia" w:hAnsi="Times New Roman" w:hint="eastAsia"/>
                <w:kern w:val="0"/>
                <w:sz w:val="21"/>
                <w:szCs w:val="21"/>
              </w:rPr>
              <w:t>后备</w:t>
            </w:r>
            <w:r>
              <w:rPr>
                <w:rFonts w:ascii="Times New Roman" w:eastAsiaTheme="minorEastAsia" w:hAnsi="Times New Roman"/>
                <w:kern w:val="0"/>
                <w:sz w:val="21"/>
                <w:szCs w:val="21"/>
              </w:rPr>
              <w:t>区</w:t>
            </w:r>
          </w:p>
        </w:tc>
        <w:tc>
          <w:tcPr>
            <w:tcW w:w="758" w:type="pct"/>
            <w:vAlign w:val="center"/>
          </w:tcPr>
          <w:p w14:paraId="52C14F06" w14:textId="77777777" w:rsidR="009C353B" w:rsidRDefault="00000000">
            <w:pPr>
              <w:snapToGrid w:val="0"/>
              <w:jc w:val="center"/>
              <w:rPr>
                <w:rFonts w:ascii="Times New Roman" w:eastAsiaTheme="minorEastAsia" w:hAnsi="Times New Roman"/>
                <w:kern w:val="0"/>
                <w:sz w:val="21"/>
                <w:szCs w:val="21"/>
              </w:rPr>
            </w:pPr>
            <w:r>
              <w:rPr>
                <w:rFonts w:ascii="Times New Roman" w:hAnsi="Times New Roman" w:hint="eastAsia"/>
                <w:kern w:val="0"/>
                <w:sz w:val="21"/>
                <w:szCs w:val="21"/>
              </w:rPr>
              <w:t>马莲台煤矿后备区</w:t>
            </w:r>
          </w:p>
        </w:tc>
        <w:tc>
          <w:tcPr>
            <w:tcW w:w="923" w:type="pct"/>
            <w:vAlign w:val="center"/>
          </w:tcPr>
          <w:p w14:paraId="5D017E55" w14:textId="77777777" w:rsidR="009C353B" w:rsidRDefault="00000000">
            <w:pPr>
              <w:snapToGrid w:val="0"/>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880" w:type="pct"/>
            <w:vAlign w:val="center"/>
          </w:tcPr>
          <w:p w14:paraId="1D5864F6" w14:textId="77777777" w:rsidR="009C353B" w:rsidRDefault="00000000">
            <w:pPr>
              <w:snapToGrid w:val="0"/>
              <w:jc w:val="center"/>
              <w:rPr>
                <w:rFonts w:ascii="Times New Roman" w:eastAsiaTheme="minorEastAsia" w:hAnsi="Times New Roman"/>
                <w:bCs/>
                <w:kern w:val="0"/>
                <w:sz w:val="21"/>
                <w:szCs w:val="21"/>
              </w:rPr>
            </w:pPr>
            <w:r>
              <w:rPr>
                <w:rFonts w:ascii="Times New Roman" w:eastAsiaTheme="minorEastAsia" w:hAnsi="Times New Roman"/>
                <w:kern w:val="0"/>
                <w:sz w:val="21"/>
                <w:szCs w:val="21"/>
              </w:rPr>
              <w:t>一个深部煤层</w:t>
            </w:r>
            <w:r>
              <w:rPr>
                <w:rFonts w:ascii="Times New Roman" w:eastAsiaTheme="minorEastAsia" w:hAnsi="Times New Roman"/>
                <w:bCs/>
                <w:kern w:val="0"/>
                <w:sz w:val="21"/>
                <w:szCs w:val="21"/>
              </w:rPr>
              <w:t>规划勘查区</w:t>
            </w:r>
          </w:p>
        </w:tc>
        <w:tc>
          <w:tcPr>
            <w:tcW w:w="1759" w:type="pct"/>
            <w:vAlign w:val="center"/>
          </w:tcPr>
          <w:p w14:paraId="6326024A" w14:textId="77777777" w:rsidR="009C353B" w:rsidRDefault="00000000">
            <w:pPr>
              <w:snapToGrid w:val="0"/>
              <w:jc w:val="left"/>
              <w:rPr>
                <w:rFonts w:ascii="Times New Roman" w:eastAsiaTheme="minorEastAsia" w:hAnsi="Times New Roman"/>
                <w:bCs/>
                <w:kern w:val="0"/>
                <w:sz w:val="21"/>
                <w:szCs w:val="21"/>
              </w:rPr>
            </w:pPr>
            <w:r>
              <w:rPr>
                <w:rFonts w:ascii="Times New Roman" w:eastAsiaTheme="minorEastAsia" w:hAnsi="Times New Roman"/>
                <w:bCs/>
                <w:kern w:val="0"/>
                <w:sz w:val="21"/>
                <w:szCs w:val="21"/>
              </w:rPr>
              <w:t>增加后备区</w:t>
            </w:r>
            <w:r>
              <w:rPr>
                <w:rFonts w:ascii="Times New Roman" w:eastAsiaTheme="minorEastAsia" w:hAnsi="Times New Roman" w:hint="eastAsia"/>
                <w:bCs/>
                <w:kern w:val="0"/>
                <w:sz w:val="21"/>
                <w:szCs w:val="21"/>
              </w:rPr>
              <w:t>，</w:t>
            </w:r>
            <w:r>
              <w:rPr>
                <w:rFonts w:ascii="Times New Roman" w:eastAsiaTheme="minorEastAsia" w:hAnsi="Times New Roman"/>
                <w:bCs/>
                <w:kern w:val="0"/>
                <w:sz w:val="21"/>
                <w:szCs w:val="21"/>
              </w:rPr>
              <w:t>面积</w:t>
            </w:r>
            <w:r>
              <w:rPr>
                <w:rFonts w:ascii="Times New Roman" w:eastAsiaTheme="minorEastAsia" w:hAnsi="Times New Roman"/>
                <w:bCs/>
                <w:kern w:val="0"/>
                <w:sz w:val="21"/>
                <w:szCs w:val="21"/>
              </w:rPr>
              <w:t>2.119km²</w:t>
            </w:r>
          </w:p>
        </w:tc>
      </w:tr>
      <w:tr w:rsidR="009C353B" w14:paraId="5FAACDD1" w14:textId="77777777">
        <w:trPr>
          <w:trHeight w:val="144"/>
        </w:trPr>
        <w:tc>
          <w:tcPr>
            <w:tcW w:w="225" w:type="pct"/>
            <w:vMerge/>
            <w:tcMar>
              <w:left w:w="28" w:type="dxa"/>
              <w:right w:w="28" w:type="dxa"/>
            </w:tcMar>
            <w:vAlign w:val="center"/>
          </w:tcPr>
          <w:p w14:paraId="67C9417F" w14:textId="77777777" w:rsidR="009C353B" w:rsidRDefault="009C353B">
            <w:pPr>
              <w:snapToGrid w:val="0"/>
              <w:jc w:val="center"/>
              <w:rPr>
                <w:rFonts w:ascii="Times New Roman" w:eastAsiaTheme="minorEastAsia" w:hAnsi="Times New Roman"/>
                <w:snapToGrid w:val="0"/>
                <w:kern w:val="0"/>
                <w:sz w:val="21"/>
              </w:rPr>
            </w:pPr>
          </w:p>
        </w:tc>
        <w:tc>
          <w:tcPr>
            <w:tcW w:w="455" w:type="pct"/>
            <w:vMerge/>
            <w:vAlign w:val="center"/>
          </w:tcPr>
          <w:p w14:paraId="2EE29382" w14:textId="77777777" w:rsidR="009C353B" w:rsidRDefault="009C353B">
            <w:pPr>
              <w:snapToGrid w:val="0"/>
              <w:jc w:val="center"/>
              <w:rPr>
                <w:rFonts w:ascii="Times New Roman" w:eastAsiaTheme="minorEastAsia" w:hAnsi="Times New Roman"/>
                <w:kern w:val="0"/>
                <w:sz w:val="21"/>
                <w:szCs w:val="21"/>
              </w:rPr>
            </w:pPr>
          </w:p>
        </w:tc>
        <w:tc>
          <w:tcPr>
            <w:tcW w:w="758" w:type="pct"/>
            <w:vAlign w:val="center"/>
          </w:tcPr>
          <w:p w14:paraId="4541AB0F" w14:textId="77777777" w:rsidR="009C353B" w:rsidRDefault="00000000">
            <w:pPr>
              <w:snapToGrid w:val="0"/>
              <w:jc w:val="center"/>
              <w:rPr>
                <w:rFonts w:ascii="Times New Roman" w:eastAsiaTheme="minorEastAsia" w:hAnsi="Times New Roman"/>
                <w:kern w:val="0"/>
                <w:sz w:val="21"/>
                <w:szCs w:val="21"/>
              </w:rPr>
            </w:pPr>
            <w:r>
              <w:rPr>
                <w:rFonts w:ascii="Times New Roman" w:hAnsi="Times New Roman" w:hint="eastAsia"/>
                <w:kern w:val="0"/>
                <w:sz w:val="21"/>
                <w:szCs w:val="21"/>
              </w:rPr>
              <w:t>红石湾煤矿后备区</w:t>
            </w:r>
          </w:p>
        </w:tc>
        <w:tc>
          <w:tcPr>
            <w:tcW w:w="923" w:type="pct"/>
            <w:vAlign w:val="center"/>
          </w:tcPr>
          <w:p w14:paraId="034C2735" w14:textId="77777777" w:rsidR="009C353B" w:rsidRDefault="00000000">
            <w:pPr>
              <w:snapToGrid w:val="0"/>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880" w:type="pct"/>
            <w:vAlign w:val="center"/>
          </w:tcPr>
          <w:p w14:paraId="1B88DE0B" w14:textId="77777777" w:rsidR="009C353B" w:rsidRDefault="00000000">
            <w:pPr>
              <w:snapToGrid w:val="0"/>
              <w:jc w:val="center"/>
              <w:rPr>
                <w:rFonts w:ascii="Times New Roman" w:eastAsiaTheme="minorEastAsia" w:hAnsi="Times New Roman"/>
                <w:kern w:val="0"/>
                <w:sz w:val="21"/>
                <w:szCs w:val="21"/>
              </w:rPr>
            </w:pPr>
            <w:r>
              <w:rPr>
                <w:rFonts w:ascii="Times New Roman" w:eastAsiaTheme="minorEastAsia" w:hAnsi="Times New Roman"/>
                <w:kern w:val="0"/>
                <w:sz w:val="21"/>
                <w:szCs w:val="21"/>
              </w:rPr>
              <w:t>一个深部煤层</w:t>
            </w:r>
            <w:r>
              <w:rPr>
                <w:rFonts w:ascii="Times New Roman" w:eastAsiaTheme="minorEastAsia" w:hAnsi="Times New Roman"/>
                <w:bCs/>
                <w:kern w:val="0"/>
                <w:sz w:val="21"/>
                <w:szCs w:val="21"/>
              </w:rPr>
              <w:t>规划勘查区</w:t>
            </w:r>
          </w:p>
        </w:tc>
        <w:tc>
          <w:tcPr>
            <w:tcW w:w="1759" w:type="pct"/>
            <w:vAlign w:val="center"/>
          </w:tcPr>
          <w:p w14:paraId="6CBB11E7" w14:textId="77777777" w:rsidR="009C353B" w:rsidRDefault="00000000">
            <w:pPr>
              <w:snapToGrid w:val="0"/>
              <w:jc w:val="left"/>
              <w:rPr>
                <w:rFonts w:ascii="Times New Roman" w:eastAsiaTheme="minorEastAsia" w:hAnsi="Times New Roman"/>
                <w:bCs/>
                <w:kern w:val="0"/>
                <w:sz w:val="21"/>
                <w:szCs w:val="21"/>
              </w:rPr>
            </w:pPr>
            <w:r>
              <w:rPr>
                <w:rFonts w:ascii="Times New Roman" w:eastAsiaTheme="minorEastAsia" w:hAnsi="Times New Roman"/>
                <w:bCs/>
                <w:kern w:val="0"/>
                <w:sz w:val="21"/>
                <w:szCs w:val="21"/>
              </w:rPr>
              <w:t>增加后备区</w:t>
            </w:r>
            <w:r>
              <w:rPr>
                <w:rFonts w:ascii="Times New Roman" w:eastAsiaTheme="minorEastAsia" w:hAnsi="Times New Roman" w:hint="eastAsia"/>
                <w:bCs/>
                <w:kern w:val="0"/>
                <w:sz w:val="21"/>
                <w:szCs w:val="21"/>
              </w:rPr>
              <w:t>，</w:t>
            </w:r>
            <w:r>
              <w:rPr>
                <w:rFonts w:ascii="Times New Roman" w:eastAsiaTheme="minorEastAsia" w:hAnsi="Times New Roman"/>
                <w:bCs/>
                <w:kern w:val="0"/>
                <w:sz w:val="21"/>
                <w:szCs w:val="21"/>
              </w:rPr>
              <w:t>面积</w:t>
            </w:r>
            <w:r>
              <w:rPr>
                <w:rFonts w:ascii="Times New Roman" w:eastAsiaTheme="minorEastAsia" w:hAnsi="Times New Roman"/>
                <w:bCs/>
                <w:kern w:val="0"/>
                <w:sz w:val="21"/>
                <w:szCs w:val="21"/>
              </w:rPr>
              <w:t>13.676km²</w:t>
            </w:r>
          </w:p>
        </w:tc>
      </w:tr>
      <w:tr w:rsidR="009C353B" w14:paraId="776A797B" w14:textId="77777777">
        <w:trPr>
          <w:trHeight w:val="144"/>
        </w:trPr>
        <w:tc>
          <w:tcPr>
            <w:tcW w:w="225" w:type="pct"/>
            <w:vMerge/>
            <w:tcMar>
              <w:left w:w="28" w:type="dxa"/>
              <w:right w:w="28" w:type="dxa"/>
            </w:tcMar>
            <w:vAlign w:val="center"/>
          </w:tcPr>
          <w:p w14:paraId="36A6B15B" w14:textId="77777777" w:rsidR="009C353B" w:rsidRDefault="009C353B">
            <w:pPr>
              <w:snapToGrid w:val="0"/>
              <w:jc w:val="center"/>
              <w:rPr>
                <w:rFonts w:ascii="Times New Roman" w:eastAsiaTheme="minorEastAsia" w:hAnsi="Times New Roman"/>
                <w:snapToGrid w:val="0"/>
                <w:kern w:val="0"/>
                <w:sz w:val="21"/>
              </w:rPr>
            </w:pPr>
          </w:p>
        </w:tc>
        <w:tc>
          <w:tcPr>
            <w:tcW w:w="455" w:type="pct"/>
            <w:vMerge/>
            <w:vAlign w:val="center"/>
          </w:tcPr>
          <w:p w14:paraId="33EEAF26" w14:textId="77777777" w:rsidR="009C353B" w:rsidRDefault="009C353B">
            <w:pPr>
              <w:snapToGrid w:val="0"/>
              <w:jc w:val="center"/>
              <w:rPr>
                <w:rFonts w:ascii="Times New Roman" w:eastAsiaTheme="minorEastAsia" w:hAnsi="Times New Roman"/>
                <w:kern w:val="0"/>
                <w:sz w:val="21"/>
                <w:szCs w:val="21"/>
              </w:rPr>
            </w:pPr>
          </w:p>
        </w:tc>
        <w:tc>
          <w:tcPr>
            <w:tcW w:w="758" w:type="pct"/>
            <w:vAlign w:val="center"/>
          </w:tcPr>
          <w:p w14:paraId="66C21C65" w14:textId="77777777" w:rsidR="009C353B" w:rsidRDefault="00000000">
            <w:pPr>
              <w:snapToGrid w:val="0"/>
              <w:jc w:val="center"/>
              <w:rPr>
                <w:rFonts w:ascii="Times New Roman" w:eastAsiaTheme="minorEastAsia" w:hAnsi="Times New Roman"/>
                <w:kern w:val="0"/>
                <w:sz w:val="21"/>
                <w:szCs w:val="21"/>
              </w:rPr>
            </w:pPr>
            <w:r>
              <w:rPr>
                <w:rFonts w:ascii="Times New Roman" w:hAnsi="Times New Roman" w:hint="eastAsia"/>
                <w:kern w:val="0"/>
                <w:sz w:val="21"/>
                <w:szCs w:val="21"/>
              </w:rPr>
              <w:t>任家庄煤矿后备区</w:t>
            </w:r>
          </w:p>
        </w:tc>
        <w:tc>
          <w:tcPr>
            <w:tcW w:w="923" w:type="pct"/>
            <w:vAlign w:val="center"/>
          </w:tcPr>
          <w:p w14:paraId="3FC8357E" w14:textId="77777777" w:rsidR="009C353B" w:rsidRDefault="00000000">
            <w:pPr>
              <w:snapToGrid w:val="0"/>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880" w:type="pct"/>
            <w:vAlign w:val="center"/>
          </w:tcPr>
          <w:p w14:paraId="7EB904B4" w14:textId="77777777" w:rsidR="009C353B" w:rsidRDefault="00000000">
            <w:pPr>
              <w:snapToGrid w:val="0"/>
              <w:jc w:val="center"/>
              <w:rPr>
                <w:rFonts w:ascii="Times New Roman" w:eastAsiaTheme="minorEastAsia" w:hAnsi="Times New Roman"/>
                <w:kern w:val="0"/>
                <w:sz w:val="21"/>
                <w:szCs w:val="21"/>
              </w:rPr>
            </w:pPr>
            <w:r>
              <w:rPr>
                <w:rFonts w:ascii="Times New Roman" w:eastAsiaTheme="minorEastAsia" w:hAnsi="Times New Roman"/>
                <w:kern w:val="0"/>
                <w:sz w:val="21"/>
                <w:szCs w:val="21"/>
              </w:rPr>
              <w:t>一个深部煤层</w:t>
            </w:r>
            <w:r>
              <w:rPr>
                <w:rFonts w:ascii="Times New Roman" w:eastAsiaTheme="minorEastAsia" w:hAnsi="Times New Roman"/>
                <w:bCs/>
                <w:kern w:val="0"/>
                <w:sz w:val="21"/>
                <w:szCs w:val="21"/>
              </w:rPr>
              <w:t>规划勘查区</w:t>
            </w:r>
          </w:p>
        </w:tc>
        <w:tc>
          <w:tcPr>
            <w:tcW w:w="1759" w:type="pct"/>
            <w:vAlign w:val="center"/>
          </w:tcPr>
          <w:p w14:paraId="1AF656BE" w14:textId="77777777" w:rsidR="009C353B" w:rsidRDefault="00000000">
            <w:pPr>
              <w:snapToGrid w:val="0"/>
              <w:jc w:val="left"/>
              <w:rPr>
                <w:rFonts w:ascii="Times New Roman" w:eastAsiaTheme="minorEastAsia" w:hAnsi="Times New Roman"/>
                <w:bCs/>
                <w:kern w:val="0"/>
                <w:sz w:val="21"/>
                <w:szCs w:val="21"/>
              </w:rPr>
            </w:pPr>
            <w:r>
              <w:rPr>
                <w:rFonts w:ascii="Times New Roman" w:eastAsiaTheme="minorEastAsia" w:hAnsi="Times New Roman"/>
                <w:bCs/>
                <w:kern w:val="0"/>
                <w:sz w:val="21"/>
                <w:szCs w:val="21"/>
              </w:rPr>
              <w:t>增加后备区</w:t>
            </w:r>
            <w:r>
              <w:rPr>
                <w:rFonts w:ascii="Times New Roman" w:eastAsiaTheme="minorEastAsia" w:hAnsi="Times New Roman" w:hint="eastAsia"/>
                <w:bCs/>
                <w:kern w:val="0"/>
                <w:sz w:val="21"/>
                <w:szCs w:val="21"/>
              </w:rPr>
              <w:t>，</w:t>
            </w:r>
            <w:r>
              <w:rPr>
                <w:rFonts w:ascii="Times New Roman" w:eastAsiaTheme="minorEastAsia" w:hAnsi="Times New Roman"/>
                <w:bCs/>
                <w:kern w:val="0"/>
                <w:sz w:val="21"/>
                <w:szCs w:val="21"/>
              </w:rPr>
              <w:t>面积</w:t>
            </w:r>
            <w:r>
              <w:rPr>
                <w:rFonts w:ascii="Times New Roman" w:eastAsiaTheme="minorEastAsia" w:hAnsi="Times New Roman"/>
                <w:bCs/>
                <w:kern w:val="0"/>
                <w:sz w:val="21"/>
                <w:szCs w:val="21"/>
              </w:rPr>
              <w:t>17.79km²</w:t>
            </w:r>
          </w:p>
        </w:tc>
      </w:tr>
    </w:tbl>
    <w:p w14:paraId="4AC3684E" w14:textId="77777777" w:rsidR="009C353B" w:rsidRDefault="00000000">
      <w:pPr>
        <w:pStyle w:val="3"/>
        <w:adjustRightInd w:val="0"/>
        <w:snapToGrid w:val="0"/>
        <w:spacing w:before="0" w:after="0" w:line="440" w:lineRule="exact"/>
        <w:rPr>
          <w:rFonts w:ascii="Times New Roman" w:hint="eastAsia"/>
        </w:rPr>
      </w:pPr>
      <w:bookmarkStart w:id="64" w:name="_Toc59189826"/>
      <w:bookmarkEnd w:id="61"/>
      <w:r>
        <w:rPr>
          <w:rFonts w:ascii="Times New Roman" w:hAnsi="Times New Roman"/>
          <w:sz w:val="24"/>
        </w:rPr>
        <w:t>2.2.</w:t>
      </w:r>
      <w:r>
        <w:rPr>
          <w:rFonts w:ascii="Times New Roman" w:hAnsi="Times New Roman" w:hint="eastAsia"/>
          <w:sz w:val="24"/>
        </w:rPr>
        <w:t>3</w:t>
      </w:r>
      <w:r>
        <w:rPr>
          <w:rFonts w:ascii="Times New Roman" w:hAnsi="Times New Roman"/>
          <w:sz w:val="24"/>
        </w:rPr>
        <w:t xml:space="preserve"> </w:t>
      </w:r>
      <w:r>
        <w:rPr>
          <w:rFonts w:ascii="Times New Roman" w:hAnsi="Times New Roman" w:hint="eastAsia"/>
          <w:sz w:val="24"/>
        </w:rPr>
        <w:t>本次修编矿环境保护目标主要变化情况</w:t>
      </w:r>
    </w:p>
    <w:p w14:paraId="458565A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对比原批复总体规划，本次</w:t>
      </w:r>
      <w:r>
        <w:rPr>
          <w:rFonts w:ascii="Times New Roman"/>
        </w:rPr>
        <w:t>修编的矿区总体</w:t>
      </w:r>
      <w:r>
        <w:rPr>
          <w:rFonts w:ascii="Times New Roman" w:hint="eastAsia"/>
        </w:rPr>
        <w:t>规划环境保护目标变化情况见表</w:t>
      </w:r>
      <w:r>
        <w:rPr>
          <w:rFonts w:ascii="Times New Roman" w:hint="eastAsia"/>
        </w:rPr>
        <w:t>2.2-3</w:t>
      </w:r>
      <w:r>
        <w:rPr>
          <w:rFonts w:ascii="Times New Roman" w:hint="eastAsia"/>
        </w:rPr>
        <w:t>。</w:t>
      </w:r>
      <w:r>
        <w:rPr>
          <w:rFonts w:ascii="Times New Roman"/>
        </w:rPr>
        <w:t xml:space="preserve"> </w:t>
      </w:r>
    </w:p>
    <w:p w14:paraId="2999B865" w14:textId="77777777" w:rsidR="009C353B" w:rsidRDefault="00000000">
      <w:pPr>
        <w:adjustRightInd w:val="0"/>
        <w:snapToGrid w:val="0"/>
        <w:spacing w:line="440" w:lineRule="exact"/>
        <w:jc w:val="center"/>
        <w:rPr>
          <w:rFonts w:ascii="Times New Roman" w:hint="eastAsia"/>
          <w:b/>
        </w:rPr>
      </w:pPr>
      <w:r>
        <w:rPr>
          <w:rFonts w:ascii="Times New Roman" w:hint="eastAsia"/>
          <w:b/>
        </w:rPr>
        <w:t>本次规划与</w:t>
      </w:r>
      <w:r>
        <w:rPr>
          <w:rFonts w:ascii="Times New Roman"/>
          <w:b/>
        </w:rPr>
        <w:t>原规划</w:t>
      </w:r>
      <w:r>
        <w:rPr>
          <w:rFonts w:ascii="Times New Roman" w:hint="eastAsia"/>
          <w:b/>
        </w:rPr>
        <w:t>环境保护目标变化情况对比表</w:t>
      </w:r>
    </w:p>
    <w:p w14:paraId="0943D6C8" w14:textId="77777777" w:rsidR="009C353B" w:rsidRDefault="00000000">
      <w:pPr>
        <w:pStyle w:val="affffd"/>
        <w:spacing w:line="440" w:lineRule="exact"/>
        <w:rPr>
          <w:rFonts w:ascii="Times New Roman" w:hint="eastAsia"/>
        </w:rPr>
      </w:pPr>
      <w:r>
        <w:rPr>
          <w:rFonts w:ascii="Times New Roman" w:hint="eastAsia"/>
        </w:rPr>
        <w:t>表</w:t>
      </w:r>
      <w:r>
        <w:rPr>
          <w:rFonts w:ascii="Times New Roman" w:hint="eastAsia"/>
        </w:rPr>
        <w:t>2.2-3</w:t>
      </w:r>
    </w:p>
    <w:tbl>
      <w:tblPr>
        <w:tblStyle w:val="afffb"/>
        <w:tblW w:w="5000" w:type="pct"/>
        <w:jc w:val="center"/>
        <w:tblLook w:val="04A0" w:firstRow="1" w:lastRow="0" w:firstColumn="1" w:lastColumn="0" w:noHBand="0" w:noVBand="1"/>
      </w:tblPr>
      <w:tblGrid>
        <w:gridCol w:w="972"/>
        <w:gridCol w:w="3017"/>
        <w:gridCol w:w="3065"/>
        <w:gridCol w:w="2233"/>
      </w:tblGrid>
      <w:tr w:rsidR="009C353B" w14:paraId="51334225" w14:textId="77777777">
        <w:trPr>
          <w:jc w:val="center"/>
        </w:trPr>
        <w:tc>
          <w:tcPr>
            <w:tcW w:w="972" w:type="dxa"/>
            <w:vAlign w:val="center"/>
          </w:tcPr>
          <w:p w14:paraId="0A937334" w14:textId="77777777" w:rsidR="009C353B" w:rsidRDefault="00000000">
            <w:pPr>
              <w:rPr>
                <w:rFonts w:hint="eastAsia"/>
                <w:b/>
                <w:sz w:val="21"/>
                <w:szCs w:val="21"/>
              </w:rPr>
            </w:pPr>
            <w:r>
              <w:rPr>
                <w:rFonts w:hint="eastAsia"/>
                <w:b/>
                <w:bCs/>
                <w:sz w:val="21"/>
                <w:szCs w:val="21"/>
              </w:rPr>
              <w:t>煤矿</w:t>
            </w:r>
          </w:p>
        </w:tc>
        <w:tc>
          <w:tcPr>
            <w:tcW w:w="3017" w:type="dxa"/>
            <w:vAlign w:val="center"/>
          </w:tcPr>
          <w:p w14:paraId="55B73C60" w14:textId="77777777" w:rsidR="009C353B" w:rsidRDefault="00000000">
            <w:pPr>
              <w:rPr>
                <w:rFonts w:hint="eastAsia"/>
                <w:b/>
                <w:sz w:val="21"/>
                <w:szCs w:val="21"/>
              </w:rPr>
            </w:pPr>
            <w:r>
              <w:rPr>
                <w:rFonts w:hint="eastAsia"/>
                <w:b/>
                <w:bCs/>
                <w:sz w:val="21"/>
                <w:szCs w:val="21"/>
              </w:rPr>
              <w:t>总规（</w:t>
            </w:r>
            <w:r>
              <w:rPr>
                <w:b/>
                <w:bCs/>
                <w:sz w:val="21"/>
                <w:szCs w:val="21"/>
              </w:rPr>
              <w:t>2004</w:t>
            </w:r>
            <w:r>
              <w:rPr>
                <w:rFonts w:hint="eastAsia"/>
                <w:b/>
                <w:bCs/>
                <w:sz w:val="21"/>
                <w:szCs w:val="21"/>
              </w:rPr>
              <w:t>年）</w:t>
            </w:r>
          </w:p>
          <w:p w14:paraId="71940856" w14:textId="77777777" w:rsidR="009C353B" w:rsidRDefault="00000000">
            <w:pPr>
              <w:rPr>
                <w:rFonts w:hint="eastAsia"/>
                <w:b/>
                <w:sz w:val="21"/>
                <w:szCs w:val="21"/>
              </w:rPr>
            </w:pPr>
            <w:r>
              <w:rPr>
                <w:rFonts w:hint="eastAsia"/>
                <w:b/>
                <w:bCs/>
                <w:sz w:val="21"/>
                <w:szCs w:val="21"/>
              </w:rPr>
              <w:t>涉及的环境敏感保护目标</w:t>
            </w:r>
          </w:p>
        </w:tc>
        <w:tc>
          <w:tcPr>
            <w:tcW w:w="3065" w:type="dxa"/>
            <w:vAlign w:val="center"/>
          </w:tcPr>
          <w:p w14:paraId="5710C6CC" w14:textId="77777777" w:rsidR="009C353B" w:rsidRDefault="00000000">
            <w:pPr>
              <w:rPr>
                <w:rFonts w:hint="eastAsia"/>
                <w:b/>
                <w:sz w:val="21"/>
                <w:szCs w:val="21"/>
              </w:rPr>
            </w:pPr>
            <w:r>
              <w:rPr>
                <w:rFonts w:hint="eastAsia"/>
                <w:b/>
                <w:bCs/>
                <w:sz w:val="21"/>
                <w:szCs w:val="21"/>
              </w:rPr>
              <w:t>总规（</w:t>
            </w:r>
            <w:r>
              <w:rPr>
                <w:b/>
                <w:bCs/>
                <w:sz w:val="21"/>
                <w:szCs w:val="21"/>
              </w:rPr>
              <w:t>2020</w:t>
            </w:r>
            <w:r>
              <w:rPr>
                <w:rFonts w:hint="eastAsia"/>
                <w:b/>
                <w:bCs/>
                <w:sz w:val="21"/>
                <w:szCs w:val="21"/>
              </w:rPr>
              <w:t>年）</w:t>
            </w:r>
          </w:p>
          <w:p w14:paraId="39A76E2E" w14:textId="77777777" w:rsidR="009C353B" w:rsidRDefault="00000000">
            <w:pPr>
              <w:rPr>
                <w:rFonts w:hint="eastAsia"/>
                <w:b/>
                <w:sz w:val="21"/>
                <w:szCs w:val="21"/>
              </w:rPr>
            </w:pPr>
            <w:r>
              <w:rPr>
                <w:rFonts w:hint="eastAsia"/>
                <w:b/>
                <w:bCs/>
                <w:sz w:val="21"/>
                <w:szCs w:val="21"/>
              </w:rPr>
              <w:t>涉及的环境敏感保护目标</w:t>
            </w:r>
          </w:p>
        </w:tc>
        <w:tc>
          <w:tcPr>
            <w:tcW w:w="2233" w:type="dxa"/>
            <w:vAlign w:val="center"/>
          </w:tcPr>
          <w:p w14:paraId="673AAE07" w14:textId="77777777" w:rsidR="009C353B" w:rsidRDefault="00000000">
            <w:pPr>
              <w:rPr>
                <w:rFonts w:hint="eastAsia"/>
                <w:b/>
                <w:sz w:val="21"/>
                <w:szCs w:val="21"/>
              </w:rPr>
            </w:pPr>
            <w:r>
              <w:rPr>
                <w:rFonts w:hint="eastAsia"/>
                <w:b/>
                <w:bCs/>
                <w:sz w:val="21"/>
                <w:szCs w:val="21"/>
              </w:rPr>
              <w:t>保护目标变化情况</w:t>
            </w:r>
          </w:p>
        </w:tc>
      </w:tr>
      <w:tr w:rsidR="009C353B" w14:paraId="4874EC94" w14:textId="77777777">
        <w:trPr>
          <w:jc w:val="center"/>
        </w:trPr>
        <w:tc>
          <w:tcPr>
            <w:tcW w:w="972" w:type="dxa"/>
            <w:vAlign w:val="center"/>
          </w:tcPr>
          <w:p w14:paraId="367D6C18" w14:textId="77777777" w:rsidR="009C353B" w:rsidRDefault="00000000">
            <w:pPr>
              <w:rPr>
                <w:rFonts w:hint="eastAsia"/>
                <w:b/>
                <w:sz w:val="21"/>
                <w:szCs w:val="21"/>
              </w:rPr>
            </w:pPr>
            <w:r>
              <w:rPr>
                <w:rFonts w:hint="eastAsia"/>
                <w:b/>
                <w:bCs/>
                <w:sz w:val="21"/>
                <w:szCs w:val="21"/>
              </w:rPr>
              <w:t>马莲台</w:t>
            </w:r>
          </w:p>
        </w:tc>
        <w:tc>
          <w:tcPr>
            <w:tcW w:w="3017" w:type="dxa"/>
            <w:vAlign w:val="center"/>
          </w:tcPr>
          <w:p w14:paraId="04A8A8B8" w14:textId="77777777" w:rsidR="009C353B" w:rsidRDefault="00000000">
            <w:pPr>
              <w:rPr>
                <w:rFonts w:hint="eastAsia"/>
                <w:sz w:val="21"/>
                <w:szCs w:val="21"/>
              </w:rPr>
            </w:pPr>
            <w:r>
              <w:rPr>
                <w:rFonts w:hint="eastAsia"/>
                <w:sz w:val="21"/>
                <w:szCs w:val="21"/>
              </w:rPr>
              <w:t>明长城（相邻无重叠）</w:t>
            </w:r>
          </w:p>
        </w:tc>
        <w:tc>
          <w:tcPr>
            <w:tcW w:w="3065" w:type="dxa"/>
            <w:vAlign w:val="center"/>
          </w:tcPr>
          <w:p w14:paraId="555D3FB5" w14:textId="77777777" w:rsidR="009C353B" w:rsidRDefault="00000000">
            <w:pPr>
              <w:rPr>
                <w:rFonts w:hint="eastAsia"/>
                <w:sz w:val="21"/>
                <w:szCs w:val="21"/>
              </w:rPr>
            </w:pPr>
            <w:r>
              <w:rPr>
                <w:rFonts w:hint="eastAsia"/>
                <w:sz w:val="21"/>
                <w:szCs w:val="21"/>
              </w:rPr>
              <w:t>明长城（相邻无重叠）</w:t>
            </w:r>
          </w:p>
        </w:tc>
        <w:tc>
          <w:tcPr>
            <w:tcW w:w="2233" w:type="dxa"/>
            <w:vAlign w:val="center"/>
          </w:tcPr>
          <w:p w14:paraId="7561EAAD" w14:textId="77777777" w:rsidR="009C353B" w:rsidRDefault="00000000">
            <w:pPr>
              <w:rPr>
                <w:rFonts w:hint="eastAsia"/>
                <w:sz w:val="21"/>
                <w:szCs w:val="21"/>
              </w:rPr>
            </w:pPr>
            <w:r>
              <w:rPr>
                <w:rFonts w:hint="eastAsia"/>
                <w:bCs/>
                <w:sz w:val="21"/>
                <w:szCs w:val="21"/>
              </w:rPr>
              <w:t>不变</w:t>
            </w:r>
          </w:p>
        </w:tc>
      </w:tr>
      <w:tr w:rsidR="009C353B" w14:paraId="4B463894" w14:textId="77777777">
        <w:trPr>
          <w:jc w:val="center"/>
        </w:trPr>
        <w:tc>
          <w:tcPr>
            <w:tcW w:w="972" w:type="dxa"/>
            <w:vAlign w:val="center"/>
          </w:tcPr>
          <w:p w14:paraId="48A4BBD0" w14:textId="77777777" w:rsidR="009C353B" w:rsidRDefault="00000000">
            <w:pPr>
              <w:rPr>
                <w:rFonts w:hint="eastAsia"/>
                <w:b/>
                <w:sz w:val="21"/>
                <w:szCs w:val="21"/>
              </w:rPr>
            </w:pPr>
            <w:r>
              <w:rPr>
                <w:rFonts w:hint="eastAsia"/>
                <w:b/>
                <w:bCs/>
                <w:sz w:val="21"/>
                <w:szCs w:val="21"/>
              </w:rPr>
              <w:t>红石湾</w:t>
            </w:r>
          </w:p>
        </w:tc>
        <w:tc>
          <w:tcPr>
            <w:tcW w:w="3017" w:type="dxa"/>
            <w:vAlign w:val="center"/>
          </w:tcPr>
          <w:p w14:paraId="72C5F06D" w14:textId="77777777" w:rsidR="009C353B" w:rsidRDefault="00000000">
            <w:pPr>
              <w:rPr>
                <w:rFonts w:hint="eastAsia"/>
                <w:sz w:val="21"/>
                <w:szCs w:val="21"/>
              </w:rPr>
            </w:pPr>
            <w:r>
              <w:rPr>
                <w:rFonts w:hint="eastAsia"/>
                <w:sz w:val="21"/>
                <w:szCs w:val="21"/>
              </w:rPr>
              <w:t>水洞沟（与建设控制地带重叠）</w:t>
            </w:r>
          </w:p>
          <w:p w14:paraId="2EA58BF2" w14:textId="77777777" w:rsidR="009C353B" w:rsidRDefault="00000000">
            <w:pPr>
              <w:rPr>
                <w:rFonts w:hint="eastAsia"/>
                <w:sz w:val="21"/>
                <w:szCs w:val="21"/>
              </w:rPr>
            </w:pPr>
            <w:r>
              <w:rPr>
                <w:rFonts w:hint="eastAsia"/>
                <w:sz w:val="21"/>
                <w:szCs w:val="21"/>
              </w:rPr>
              <w:t>红山堡（无重叠）</w:t>
            </w:r>
          </w:p>
          <w:p w14:paraId="1FF6909E" w14:textId="77777777" w:rsidR="009C353B" w:rsidRDefault="00000000">
            <w:pPr>
              <w:rPr>
                <w:rFonts w:hint="eastAsia"/>
                <w:sz w:val="21"/>
                <w:szCs w:val="21"/>
              </w:rPr>
            </w:pPr>
            <w:r>
              <w:rPr>
                <w:rFonts w:hint="eastAsia"/>
                <w:sz w:val="21"/>
                <w:szCs w:val="21"/>
              </w:rPr>
              <w:t>明长城（无重叠）</w:t>
            </w:r>
          </w:p>
        </w:tc>
        <w:tc>
          <w:tcPr>
            <w:tcW w:w="3065" w:type="dxa"/>
            <w:vAlign w:val="center"/>
          </w:tcPr>
          <w:p w14:paraId="5116BEBC" w14:textId="77777777" w:rsidR="009C353B" w:rsidRDefault="00000000">
            <w:pPr>
              <w:rPr>
                <w:rFonts w:hint="eastAsia"/>
                <w:sz w:val="21"/>
                <w:szCs w:val="21"/>
              </w:rPr>
            </w:pPr>
            <w:r>
              <w:rPr>
                <w:rFonts w:hint="eastAsia"/>
                <w:sz w:val="21"/>
                <w:szCs w:val="21"/>
              </w:rPr>
              <w:t>水洞沟（与建设控制地带重叠）</w:t>
            </w:r>
          </w:p>
          <w:p w14:paraId="70A01B1E" w14:textId="77777777" w:rsidR="009C353B" w:rsidRDefault="00000000">
            <w:pPr>
              <w:rPr>
                <w:rFonts w:hint="eastAsia"/>
                <w:sz w:val="21"/>
                <w:szCs w:val="21"/>
              </w:rPr>
            </w:pPr>
            <w:r>
              <w:rPr>
                <w:rFonts w:hint="eastAsia"/>
                <w:sz w:val="21"/>
                <w:szCs w:val="21"/>
              </w:rPr>
              <w:t>红山堡（无重叠）</w:t>
            </w:r>
          </w:p>
          <w:p w14:paraId="493D5285" w14:textId="77777777" w:rsidR="009C353B" w:rsidRDefault="00000000">
            <w:pPr>
              <w:rPr>
                <w:rFonts w:hint="eastAsia"/>
                <w:sz w:val="21"/>
                <w:szCs w:val="21"/>
              </w:rPr>
            </w:pPr>
            <w:r>
              <w:rPr>
                <w:rFonts w:hint="eastAsia"/>
                <w:sz w:val="21"/>
                <w:szCs w:val="21"/>
              </w:rPr>
              <w:t>明长城（无重叠）</w:t>
            </w:r>
          </w:p>
        </w:tc>
        <w:tc>
          <w:tcPr>
            <w:tcW w:w="2233" w:type="dxa"/>
            <w:vAlign w:val="center"/>
          </w:tcPr>
          <w:p w14:paraId="5093A5A3" w14:textId="77777777" w:rsidR="009C353B" w:rsidRDefault="00000000">
            <w:pPr>
              <w:rPr>
                <w:rFonts w:hint="eastAsia"/>
                <w:sz w:val="21"/>
                <w:szCs w:val="21"/>
              </w:rPr>
            </w:pPr>
            <w:r>
              <w:rPr>
                <w:rFonts w:hint="eastAsia"/>
                <w:bCs/>
                <w:sz w:val="21"/>
                <w:szCs w:val="21"/>
              </w:rPr>
              <w:t>不变</w:t>
            </w:r>
          </w:p>
        </w:tc>
      </w:tr>
      <w:tr w:rsidR="009C353B" w14:paraId="40D7F650" w14:textId="77777777">
        <w:trPr>
          <w:jc w:val="center"/>
        </w:trPr>
        <w:tc>
          <w:tcPr>
            <w:tcW w:w="972" w:type="dxa"/>
            <w:vAlign w:val="center"/>
          </w:tcPr>
          <w:p w14:paraId="5FF561DA" w14:textId="77777777" w:rsidR="009C353B" w:rsidRDefault="00000000">
            <w:pPr>
              <w:rPr>
                <w:rFonts w:hint="eastAsia"/>
                <w:b/>
                <w:sz w:val="21"/>
                <w:szCs w:val="21"/>
              </w:rPr>
            </w:pPr>
            <w:r>
              <w:rPr>
                <w:rFonts w:hint="eastAsia"/>
                <w:b/>
                <w:bCs/>
                <w:sz w:val="21"/>
                <w:szCs w:val="21"/>
              </w:rPr>
              <w:t>任家庄</w:t>
            </w:r>
          </w:p>
        </w:tc>
        <w:tc>
          <w:tcPr>
            <w:tcW w:w="3017" w:type="dxa"/>
            <w:vAlign w:val="center"/>
          </w:tcPr>
          <w:p w14:paraId="63B7CB19" w14:textId="77777777" w:rsidR="009C353B" w:rsidRDefault="00000000">
            <w:pPr>
              <w:rPr>
                <w:rFonts w:hint="eastAsia"/>
                <w:sz w:val="21"/>
                <w:szCs w:val="21"/>
              </w:rPr>
            </w:pPr>
            <w:r>
              <w:rPr>
                <w:rFonts w:hint="eastAsia"/>
                <w:sz w:val="21"/>
                <w:szCs w:val="21"/>
              </w:rPr>
              <w:t>白芨滩保护区（部分重叠）</w:t>
            </w:r>
          </w:p>
        </w:tc>
        <w:tc>
          <w:tcPr>
            <w:tcW w:w="3065" w:type="dxa"/>
            <w:vAlign w:val="center"/>
          </w:tcPr>
          <w:p w14:paraId="1CF7754C" w14:textId="77777777" w:rsidR="009C353B" w:rsidRDefault="00000000">
            <w:pPr>
              <w:rPr>
                <w:rFonts w:hint="eastAsia"/>
                <w:sz w:val="21"/>
                <w:szCs w:val="21"/>
              </w:rPr>
            </w:pPr>
            <w:r>
              <w:rPr>
                <w:rFonts w:hint="eastAsia"/>
                <w:sz w:val="21"/>
                <w:szCs w:val="21"/>
              </w:rPr>
              <w:t>白芨滩保护区（相邻无重叠）</w:t>
            </w:r>
          </w:p>
        </w:tc>
        <w:tc>
          <w:tcPr>
            <w:tcW w:w="2233" w:type="dxa"/>
            <w:vAlign w:val="center"/>
          </w:tcPr>
          <w:p w14:paraId="5C5B97B6" w14:textId="77777777" w:rsidR="009C353B" w:rsidRDefault="00000000">
            <w:pPr>
              <w:rPr>
                <w:rFonts w:hint="eastAsia"/>
                <w:sz w:val="21"/>
                <w:szCs w:val="21"/>
              </w:rPr>
            </w:pPr>
            <w:r>
              <w:rPr>
                <w:rFonts w:hint="eastAsia"/>
                <w:bCs/>
                <w:sz w:val="21"/>
                <w:szCs w:val="21"/>
              </w:rPr>
              <w:t>将井田重叠部分从保护区调出，无重叠</w:t>
            </w:r>
          </w:p>
        </w:tc>
      </w:tr>
      <w:tr w:rsidR="009C353B" w14:paraId="4B141098" w14:textId="77777777">
        <w:trPr>
          <w:jc w:val="center"/>
        </w:trPr>
        <w:tc>
          <w:tcPr>
            <w:tcW w:w="972" w:type="dxa"/>
            <w:vAlign w:val="center"/>
          </w:tcPr>
          <w:p w14:paraId="381122B2" w14:textId="77777777" w:rsidR="009C353B" w:rsidRDefault="00000000">
            <w:pPr>
              <w:rPr>
                <w:rFonts w:hint="eastAsia"/>
                <w:b/>
                <w:sz w:val="21"/>
                <w:szCs w:val="21"/>
              </w:rPr>
            </w:pPr>
            <w:r>
              <w:rPr>
                <w:rFonts w:hint="eastAsia"/>
                <w:b/>
                <w:bCs/>
                <w:sz w:val="21"/>
                <w:szCs w:val="21"/>
              </w:rPr>
              <w:t>丁家梁</w:t>
            </w:r>
          </w:p>
        </w:tc>
        <w:tc>
          <w:tcPr>
            <w:tcW w:w="3017" w:type="dxa"/>
            <w:vAlign w:val="center"/>
          </w:tcPr>
          <w:p w14:paraId="046CD305" w14:textId="77777777" w:rsidR="009C353B" w:rsidRDefault="00000000">
            <w:pPr>
              <w:rPr>
                <w:rFonts w:hint="eastAsia"/>
                <w:sz w:val="21"/>
                <w:szCs w:val="21"/>
              </w:rPr>
            </w:pPr>
            <w:r>
              <w:rPr>
                <w:rFonts w:hint="eastAsia"/>
                <w:sz w:val="21"/>
                <w:szCs w:val="21"/>
              </w:rPr>
              <w:t>2004年水库未建</w:t>
            </w:r>
          </w:p>
        </w:tc>
        <w:tc>
          <w:tcPr>
            <w:tcW w:w="3065" w:type="dxa"/>
            <w:vAlign w:val="center"/>
          </w:tcPr>
          <w:p w14:paraId="5DE81DD0" w14:textId="77777777" w:rsidR="009C353B" w:rsidRDefault="00000000">
            <w:pPr>
              <w:rPr>
                <w:rFonts w:hint="eastAsia"/>
                <w:sz w:val="21"/>
                <w:szCs w:val="21"/>
              </w:rPr>
            </w:pPr>
            <w:r>
              <w:rPr>
                <w:rFonts w:hint="eastAsia"/>
                <w:sz w:val="21"/>
                <w:szCs w:val="21"/>
              </w:rPr>
              <w:t>鸭子荡水库（相邻无重叠）</w:t>
            </w:r>
          </w:p>
          <w:p w14:paraId="2CCC9AD7" w14:textId="77777777" w:rsidR="009C353B" w:rsidRDefault="00000000">
            <w:pPr>
              <w:rPr>
                <w:rFonts w:hint="eastAsia"/>
                <w:sz w:val="21"/>
                <w:szCs w:val="21"/>
              </w:rPr>
            </w:pPr>
            <w:r>
              <w:rPr>
                <w:rFonts w:hint="eastAsia"/>
                <w:sz w:val="21"/>
                <w:szCs w:val="21"/>
              </w:rPr>
              <w:t>白芨滩保护区（相邻无重叠）</w:t>
            </w:r>
          </w:p>
        </w:tc>
        <w:tc>
          <w:tcPr>
            <w:tcW w:w="2233" w:type="dxa"/>
            <w:vAlign w:val="center"/>
          </w:tcPr>
          <w:p w14:paraId="405D019F" w14:textId="77777777" w:rsidR="009C353B" w:rsidRDefault="00000000">
            <w:pPr>
              <w:rPr>
                <w:rFonts w:hint="eastAsia"/>
                <w:sz w:val="21"/>
                <w:szCs w:val="21"/>
              </w:rPr>
            </w:pPr>
            <w:r>
              <w:rPr>
                <w:rFonts w:hint="eastAsia"/>
                <w:bCs/>
                <w:sz w:val="21"/>
                <w:szCs w:val="21"/>
              </w:rPr>
              <w:t>增加鸭子荡水库、白芨滩保护区</w:t>
            </w:r>
          </w:p>
        </w:tc>
      </w:tr>
      <w:tr w:rsidR="009C353B" w14:paraId="72A0D0D4" w14:textId="77777777">
        <w:trPr>
          <w:jc w:val="center"/>
        </w:trPr>
        <w:tc>
          <w:tcPr>
            <w:tcW w:w="9287" w:type="dxa"/>
            <w:gridSpan w:val="4"/>
          </w:tcPr>
          <w:p w14:paraId="5BCD7D45" w14:textId="77777777" w:rsidR="009C353B" w:rsidRDefault="00000000">
            <w:pPr>
              <w:rPr>
                <w:rFonts w:hint="eastAsia"/>
                <w:sz w:val="21"/>
                <w:szCs w:val="21"/>
              </w:rPr>
            </w:pPr>
            <w:r>
              <w:rPr>
                <w:rFonts w:hint="eastAsia"/>
                <w:bCs/>
                <w:sz w:val="21"/>
                <w:szCs w:val="21"/>
              </w:rPr>
              <w:t>说明</w:t>
            </w:r>
            <w:r>
              <w:rPr>
                <w:bCs/>
                <w:sz w:val="21"/>
                <w:szCs w:val="21"/>
              </w:rPr>
              <w:t>1</w:t>
            </w:r>
            <w:r>
              <w:rPr>
                <w:rFonts w:hint="eastAsia"/>
                <w:bCs/>
                <w:sz w:val="21"/>
                <w:szCs w:val="21"/>
              </w:rPr>
              <w:t>：</w:t>
            </w:r>
            <w:r>
              <w:rPr>
                <w:bCs/>
                <w:sz w:val="21"/>
                <w:szCs w:val="21"/>
              </w:rPr>
              <w:t>2004</w:t>
            </w:r>
            <w:r>
              <w:rPr>
                <w:rFonts w:hint="eastAsia"/>
                <w:bCs/>
                <w:sz w:val="21"/>
                <w:szCs w:val="21"/>
              </w:rPr>
              <w:t>年规划审批至今已有</w:t>
            </w:r>
            <w:r>
              <w:rPr>
                <w:bCs/>
                <w:sz w:val="21"/>
                <w:szCs w:val="21"/>
              </w:rPr>
              <w:t>17</w:t>
            </w:r>
            <w:r>
              <w:rPr>
                <w:rFonts w:hint="eastAsia"/>
                <w:bCs/>
                <w:sz w:val="21"/>
                <w:szCs w:val="21"/>
              </w:rPr>
              <w:t>年，目前矿区涉及的线性工程（如公路、铁路、输气管线、高线输电线路等）在</w:t>
            </w:r>
            <w:r>
              <w:rPr>
                <w:bCs/>
                <w:sz w:val="21"/>
                <w:szCs w:val="21"/>
              </w:rPr>
              <w:t>2004</w:t>
            </w:r>
            <w:r>
              <w:rPr>
                <w:rFonts w:hint="eastAsia"/>
                <w:bCs/>
                <w:sz w:val="21"/>
                <w:szCs w:val="21"/>
              </w:rPr>
              <w:t>年均未建设。</w:t>
            </w:r>
          </w:p>
          <w:p w14:paraId="754BA90A" w14:textId="77777777" w:rsidR="009C353B" w:rsidRDefault="00000000">
            <w:pPr>
              <w:rPr>
                <w:rFonts w:hint="eastAsia"/>
                <w:sz w:val="21"/>
                <w:szCs w:val="21"/>
              </w:rPr>
            </w:pPr>
            <w:r>
              <w:rPr>
                <w:rFonts w:hint="eastAsia"/>
                <w:bCs/>
                <w:sz w:val="21"/>
                <w:szCs w:val="21"/>
              </w:rPr>
              <w:t>说明</w:t>
            </w:r>
            <w:r>
              <w:rPr>
                <w:bCs/>
                <w:sz w:val="21"/>
                <w:szCs w:val="21"/>
              </w:rPr>
              <w:t>2</w:t>
            </w:r>
            <w:r>
              <w:rPr>
                <w:rFonts w:hint="eastAsia"/>
                <w:bCs/>
                <w:sz w:val="21"/>
                <w:szCs w:val="21"/>
              </w:rPr>
              <w:t>：鸭子荡水库——</w:t>
            </w:r>
            <w:r>
              <w:rPr>
                <w:bCs/>
                <w:sz w:val="21"/>
                <w:szCs w:val="21"/>
              </w:rPr>
              <w:t>2005</w:t>
            </w:r>
            <w:r>
              <w:rPr>
                <w:rFonts w:hint="eastAsia"/>
                <w:bCs/>
                <w:sz w:val="21"/>
                <w:szCs w:val="21"/>
              </w:rPr>
              <w:t>年</w:t>
            </w:r>
            <w:r>
              <w:rPr>
                <w:bCs/>
                <w:sz w:val="21"/>
                <w:szCs w:val="21"/>
              </w:rPr>
              <w:t>6</w:t>
            </w:r>
            <w:r>
              <w:rPr>
                <w:rFonts w:hint="eastAsia"/>
                <w:bCs/>
                <w:sz w:val="21"/>
                <w:szCs w:val="21"/>
              </w:rPr>
              <w:t>月水源工程建成蓄水，</w:t>
            </w:r>
            <w:r>
              <w:rPr>
                <w:bCs/>
                <w:sz w:val="21"/>
                <w:szCs w:val="21"/>
              </w:rPr>
              <w:t>2006</w:t>
            </w:r>
            <w:r>
              <w:rPr>
                <w:rFonts w:hint="eastAsia"/>
                <w:bCs/>
                <w:sz w:val="21"/>
                <w:szCs w:val="21"/>
              </w:rPr>
              <w:t>年</w:t>
            </w:r>
            <w:r>
              <w:rPr>
                <w:bCs/>
                <w:sz w:val="21"/>
                <w:szCs w:val="21"/>
              </w:rPr>
              <w:t>5</w:t>
            </w:r>
            <w:r>
              <w:rPr>
                <w:rFonts w:hint="eastAsia"/>
                <w:bCs/>
                <w:sz w:val="21"/>
                <w:szCs w:val="21"/>
              </w:rPr>
              <w:t>月净配水厂建成投入使用，</w:t>
            </w:r>
            <w:r>
              <w:rPr>
                <w:bCs/>
                <w:sz w:val="21"/>
                <w:szCs w:val="21"/>
              </w:rPr>
              <w:t>2006</w:t>
            </w:r>
            <w:r>
              <w:rPr>
                <w:rFonts w:hint="eastAsia"/>
                <w:bCs/>
                <w:sz w:val="21"/>
                <w:szCs w:val="21"/>
              </w:rPr>
              <w:t>年</w:t>
            </w:r>
            <w:r>
              <w:rPr>
                <w:bCs/>
                <w:sz w:val="21"/>
                <w:szCs w:val="21"/>
              </w:rPr>
              <w:t>12</w:t>
            </w:r>
            <w:r>
              <w:rPr>
                <w:rFonts w:hint="eastAsia"/>
                <w:bCs/>
                <w:sz w:val="21"/>
                <w:szCs w:val="21"/>
              </w:rPr>
              <w:t>月宁东供水工程通过竣工验收。一期工程设计总库容</w:t>
            </w:r>
            <w:r>
              <w:rPr>
                <w:bCs/>
                <w:sz w:val="21"/>
                <w:szCs w:val="21"/>
              </w:rPr>
              <w:t>2053</w:t>
            </w:r>
            <w:r>
              <w:rPr>
                <w:rFonts w:hint="eastAsia"/>
                <w:bCs/>
                <w:sz w:val="21"/>
                <w:szCs w:val="21"/>
              </w:rPr>
              <w:t>万</w:t>
            </w:r>
            <w:r>
              <w:rPr>
                <w:bCs/>
                <w:sz w:val="21"/>
                <w:szCs w:val="21"/>
              </w:rPr>
              <w:t>m</w:t>
            </w:r>
            <w:r>
              <w:rPr>
                <w:bCs/>
                <w:sz w:val="21"/>
                <w:szCs w:val="21"/>
                <w:vertAlign w:val="superscript"/>
              </w:rPr>
              <w:t>3</w:t>
            </w:r>
            <w:r>
              <w:rPr>
                <w:rFonts w:hint="eastAsia"/>
                <w:bCs/>
                <w:sz w:val="21"/>
                <w:szCs w:val="21"/>
              </w:rPr>
              <w:t>，调节库容</w:t>
            </w:r>
            <w:r>
              <w:rPr>
                <w:bCs/>
                <w:sz w:val="21"/>
                <w:szCs w:val="21"/>
              </w:rPr>
              <w:t>1200</w:t>
            </w:r>
            <w:r>
              <w:rPr>
                <w:rFonts w:hint="eastAsia"/>
                <w:bCs/>
                <w:sz w:val="21"/>
                <w:szCs w:val="21"/>
              </w:rPr>
              <w:t>万</w:t>
            </w:r>
            <w:r>
              <w:rPr>
                <w:bCs/>
                <w:sz w:val="21"/>
                <w:szCs w:val="21"/>
              </w:rPr>
              <w:t>m</w:t>
            </w:r>
            <w:r>
              <w:rPr>
                <w:bCs/>
                <w:sz w:val="21"/>
                <w:szCs w:val="21"/>
                <w:vertAlign w:val="superscript"/>
              </w:rPr>
              <w:t>3</w:t>
            </w:r>
            <w:r>
              <w:rPr>
                <w:rFonts w:hint="eastAsia"/>
                <w:bCs/>
                <w:sz w:val="21"/>
                <w:szCs w:val="21"/>
              </w:rPr>
              <w:t>。</w:t>
            </w:r>
          </w:p>
        </w:tc>
      </w:tr>
    </w:tbl>
    <w:p w14:paraId="1E7839F2" w14:textId="77777777" w:rsidR="009C353B" w:rsidRDefault="00000000">
      <w:pPr>
        <w:pStyle w:val="2"/>
        <w:snapToGrid w:val="0"/>
        <w:spacing w:line="440" w:lineRule="exact"/>
        <w:rPr>
          <w:rFonts w:ascii="Times New Roman" w:eastAsia="宋体" w:hAnsi="Times New Roman"/>
          <w:b/>
          <w:sz w:val="28"/>
        </w:rPr>
      </w:pPr>
      <w:r>
        <w:rPr>
          <w:rFonts w:ascii="Times New Roman" w:eastAsia="宋体" w:hAnsi="Times New Roman"/>
          <w:b/>
          <w:sz w:val="28"/>
        </w:rPr>
        <w:t xml:space="preserve">2.3 </w:t>
      </w:r>
      <w:r>
        <w:rPr>
          <w:rFonts w:ascii="Times New Roman" w:eastAsia="宋体" w:hAnsi="Times New Roman" w:hint="eastAsia"/>
          <w:b/>
          <w:sz w:val="28"/>
        </w:rPr>
        <w:t>本次</w:t>
      </w:r>
      <w:r>
        <w:rPr>
          <w:rFonts w:ascii="Times New Roman" w:eastAsia="宋体" w:hAnsi="Times New Roman"/>
          <w:b/>
          <w:sz w:val="28"/>
        </w:rPr>
        <w:t>规划方案概况</w:t>
      </w:r>
      <w:bookmarkEnd w:id="57"/>
      <w:bookmarkEnd w:id="64"/>
    </w:p>
    <w:p w14:paraId="0553C62B"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2.3.1 </w:t>
      </w:r>
      <w:r>
        <w:rPr>
          <w:rFonts w:ascii="Times New Roman"/>
          <w:sz w:val="24"/>
        </w:rPr>
        <w:t>矿区规划名称与规划范围</w:t>
      </w:r>
    </w:p>
    <w:p w14:paraId="79E61D82"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1</w:t>
      </w:r>
      <w:r>
        <w:rPr>
          <w:rFonts w:ascii="Times New Roman"/>
          <w:b/>
        </w:rPr>
        <w:t>）规划名称</w:t>
      </w:r>
    </w:p>
    <w:p w14:paraId="0C0705C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宁夏回族自治区横城</w:t>
      </w:r>
      <w:r>
        <w:rPr>
          <w:rFonts w:ascii="Times New Roman"/>
        </w:rPr>
        <w:t>矿区总体规划</w:t>
      </w:r>
      <w:r>
        <w:rPr>
          <w:rFonts w:ascii="Times New Roman" w:hint="eastAsia"/>
        </w:rPr>
        <w:t>（修编）</w:t>
      </w:r>
    </w:p>
    <w:p w14:paraId="04757F62"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2</w:t>
      </w:r>
      <w:r>
        <w:rPr>
          <w:rFonts w:ascii="Times New Roman"/>
          <w:b/>
        </w:rPr>
        <w:t>）规划范围</w:t>
      </w:r>
    </w:p>
    <w:p w14:paraId="2AA48F2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宁夏回族自治区横城</w:t>
      </w:r>
      <w:r>
        <w:rPr>
          <w:rFonts w:ascii="Times New Roman"/>
        </w:rPr>
        <w:t>矿区总体规划</w:t>
      </w:r>
      <w:r>
        <w:rPr>
          <w:rFonts w:ascii="Times New Roman" w:hint="eastAsia"/>
        </w:rPr>
        <w:t>修编后规划</w:t>
      </w:r>
      <w:r>
        <w:rPr>
          <w:rFonts w:ascii="Times New Roman"/>
          <w:szCs w:val="28"/>
        </w:rPr>
        <w:t>总面积</w:t>
      </w:r>
      <w:r>
        <w:rPr>
          <w:rFonts w:ascii="Times New Roman" w:hAnsi="Times New Roman"/>
          <w:szCs w:val="28"/>
        </w:rPr>
        <w:t>86km</w:t>
      </w:r>
      <w:r>
        <w:rPr>
          <w:rFonts w:ascii="Times New Roman" w:hAnsi="Times New Roman"/>
          <w:szCs w:val="28"/>
          <w:vertAlign w:val="superscript"/>
        </w:rPr>
        <w:t>2</w:t>
      </w:r>
      <w:r>
        <w:rPr>
          <w:rFonts w:ascii="Times New Roman"/>
          <w:szCs w:val="28"/>
        </w:rPr>
        <w:t>，</w:t>
      </w:r>
      <w:r>
        <w:rPr>
          <w:rFonts w:ascii="Times New Roman" w:hint="eastAsia"/>
          <w:szCs w:val="28"/>
        </w:rPr>
        <w:t>包括西区和东区两大部分，西区由红石湾煤矿及后备区、任家庄煤矿及后备区、丁家梁煤矿组成，东区为马莲台煤矿及后备区组成的</w:t>
      </w:r>
      <w:r>
        <w:rPr>
          <w:rFonts w:ascii="Times New Roman"/>
          <w:szCs w:val="28"/>
        </w:rPr>
        <w:t>。</w:t>
      </w:r>
      <w:r>
        <w:rPr>
          <w:rFonts w:ascii="Times New Roman"/>
          <w:szCs w:val="24"/>
        </w:rPr>
        <w:t>本次</w:t>
      </w:r>
      <w:r>
        <w:rPr>
          <w:rFonts w:ascii="Times New Roman" w:hint="eastAsia"/>
          <w:szCs w:val="24"/>
        </w:rPr>
        <w:t>修改</w:t>
      </w:r>
      <w:r>
        <w:rPr>
          <w:rFonts w:ascii="Times New Roman"/>
          <w:szCs w:val="24"/>
        </w:rPr>
        <w:t>总体规划范围</w:t>
      </w:r>
      <w:r>
        <w:rPr>
          <w:rFonts w:ascii="Times New Roman" w:hint="eastAsia"/>
          <w:szCs w:val="24"/>
        </w:rPr>
        <w:t>参</w:t>
      </w:r>
      <w:r>
        <w:rPr>
          <w:rFonts w:ascii="Times New Roman"/>
          <w:szCs w:val="24"/>
        </w:rPr>
        <w:t>见图</w:t>
      </w:r>
      <w:r>
        <w:rPr>
          <w:rFonts w:ascii="Times New Roman" w:hAnsi="Times New Roman" w:hint="eastAsia"/>
          <w:szCs w:val="24"/>
        </w:rPr>
        <w:t>2.</w:t>
      </w:r>
      <w:r>
        <w:rPr>
          <w:rFonts w:ascii="Times New Roman" w:hAnsi="Times New Roman"/>
          <w:szCs w:val="24"/>
        </w:rPr>
        <w:t>2</w:t>
      </w:r>
      <w:r>
        <w:rPr>
          <w:rFonts w:ascii="Times New Roman" w:hAnsi="Times New Roman" w:hint="eastAsia"/>
          <w:szCs w:val="24"/>
        </w:rPr>
        <w:t>-</w:t>
      </w:r>
      <w:r>
        <w:rPr>
          <w:rFonts w:ascii="Times New Roman" w:hAnsi="Times New Roman"/>
          <w:szCs w:val="24"/>
        </w:rPr>
        <w:t>5</w:t>
      </w:r>
      <w:r>
        <w:rPr>
          <w:rFonts w:ascii="Times New Roman" w:hAnsi="Times New Roman" w:hint="eastAsia"/>
          <w:szCs w:val="24"/>
        </w:rPr>
        <w:t>。</w:t>
      </w:r>
    </w:p>
    <w:p w14:paraId="06144F4B"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2.3.</w:t>
      </w:r>
      <w:r>
        <w:rPr>
          <w:rFonts w:ascii="Times New Roman" w:hAnsi="Times New Roman" w:hint="eastAsia"/>
          <w:sz w:val="24"/>
        </w:rPr>
        <w:t>2</w:t>
      </w:r>
      <w:r>
        <w:rPr>
          <w:rFonts w:ascii="Times New Roman" w:hAnsi="Times New Roman"/>
          <w:sz w:val="24"/>
        </w:rPr>
        <w:t xml:space="preserve"> </w:t>
      </w:r>
      <w:r>
        <w:rPr>
          <w:rFonts w:ascii="Times New Roman"/>
          <w:sz w:val="24"/>
        </w:rPr>
        <w:t>矿区</w:t>
      </w:r>
      <w:r>
        <w:rPr>
          <w:rFonts w:ascii="Times New Roman" w:hint="eastAsia"/>
          <w:sz w:val="24"/>
        </w:rPr>
        <w:t>规划目标</w:t>
      </w:r>
    </w:p>
    <w:p w14:paraId="5432A359"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1</w:t>
      </w:r>
      <w:r>
        <w:rPr>
          <w:rFonts w:ascii="Times New Roman"/>
          <w:b/>
        </w:rPr>
        <w:t>）矿区总体</w:t>
      </w:r>
      <w:r>
        <w:rPr>
          <w:rFonts w:ascii="Times New Roman" w:hint="eastAsia"/>
          <w:b/>
        </w:rPr>
        <w:t>开发</w:t>
      </w:r>
      <w:r>
        <w:rPr>
          <w:rFonts w:ascii="Times New Roman"/>
          <w:b/>
        </w:rPr>
        <w:t>规模</w:t>
      </w:r>
    </w:p>
    <w:p w14:paraId="35B1628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1</w:t>
      </w:r>
      <w:r>
        <w:rPr>
          <w:rFonts w:ascii="Times New Roman"/>
        </w:rPr>
        <w:t>）煤炭</w:t>
      </w:r>
      <w:r>
        <w:rPr>
          <w:rFonts w:ascii="Times New Roman" w:hint="eastAsia"/>
        </w:rPr>
        <w:t>开采</w:t>
      </w:r>
      <w:r>
        <w:rPr>
          <w:rFonts w:ascii="Times New Roman"/>
        </w:rPr>
        <w:t>：</w:t>
      </w:r>
      <w:r>
        <w:rPr>
          <w:rFonts w:ascii="Times New Roman" w:hint="eastAsia"/>
        </w:rPr>
        <w:t>共规划</w:t>
      </w:r>
      <w:r>
        <w:rPr>
          <w:rFonts w:ascii="Times New Roman"/>
        </w:rPr>
        <w:t>4</w:t>
      </w:r>
      <w:r>
        <w:rPr>
          <w:rFonts w:ascii="Times New Roman" w:hint="eastAsia"/>
        </w:rPr>
        <w:t>个煤矿，</w:t>
      </w:r>
      <w:r>
        <w:rPr>
          <w:rFonts w:ascii="Times New Roman"/>
        </w:rPr>
        <w:t>原煤生产能力到</w:t>
      </w:r>
      <w:r>
        <w:rPr>
          <w:rFonts w:ascii="Times New Roman" w:hAnsi="Times New Roman"/>
        </w:rPr>
        <w:t>2022</w:t>
      </w:r>
      <w:r>
        <w:rPr>
          <w:rFonts w:ascii="Times New Roman"/>
        </w:rPr>
        <w:t>年达到</w:t>
      </w:r>
      <w:r>
        <w:rPr>
          <w:rFonts w:ascii="Times New Roman" w:hAnsi="Times New Roman"/>
        </w:rPr>
        <w:t>9.20Mt/a</w:t>
      </w:r>
      <w:r>
        <w:rPr>
          <w:rFonts w:ascii="Times New Roman"/>
        </w:rPr>
        <w:t>。</w:t>
      </w:r>
    </w:p>
    <w:p w14:paraId="711D9CAC"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rPr>
        <w:t>2</w:t>
      </w:r>
      <w:r>
        <w:rPr>
          <w:rFonts w:ascii="Times New Roman"/>
        </w:rPr>
        <w:t>）煤炭</w:t>
      </w:r>
      <w:r>
        <w:rPr>
          <w:rFonts w:ascii="Times New Roman"/>
          <w:bCs/>
        </w:rPr>
        <w:t>洗选：</w:t>
      </w:r>
      <w:r>
        <w:rPr>
          <w:rFonts w:ascii="Times New Roman" w:hint="eastAsia"/>
          <w:bCs/>
        </w:rPr>
        <w:t>矿区已建设</w:t>
      </w:r>
      <w:r>
        <w:rPr>
          <w:rFonts w:ascii="Times New Roman" w:hint="eastAsia"/>
          <w:bCs/>
        </w:rPr>
        <w:t>3</w:t>
      </w:r>
      <w:r>
        <w:rPr>
          <w:rFonts w:ascii="Times New Roman" w:hint="eastAsia"/>
          <w:bCs/>
        </w:rPr>
        <w:t>座选煤厂，</w:t>
      </w:r>
      <w:r>
        <w:rPr>
          <w:rFonts w:ascii="Times New Roman"/>
        </w:rPr>
        <w:t>原煤</w:t>
      </w:r>
      <w:r>
        <w:rPr>
          <w:rFonts w:ascii="Times New Roman" w:hint="eastAsia"/>
        </w:rPr>
        <w:t>洗选</w:t>
      </w:r>
      <w:r>
        <w:rPr>
          <w:rFonts w:ascii="Times New Roman"/>
        </w:rPr>
        <w:t>能力达到</w:t>
      </w:r>
      <w:r>
        <w:rPr>
          <w:rFonts w:ascii="Times New Roman" w:hAnsi="Times New Roman"/>
        </w:rPr>
        <w:t>16.0Mt/a</w:t>
      </w:r>
      <w:r>
        <w:rPr>
          <w:rFonts w:ascii="Times New Roman" w:hAnsi="Times New Roman" w:hint="eastAsia"/>
        </w:rPr>
        <w:t>，</w:t>
      </w:r>
      <w:r>
        <w:rPr>
          <w:rFonts w:hint="eastAsia"/>
        </w:rPr>
        <w:t>其中任家庄选煤厂、红石湾选煤厂为矿井型选煤厂，马莲台选煤厂为群矿型选煤厂（洗选马莲台矿井、丁家梁矿井的原煤和外购煤）</w:t>
      </w:r>
      <w:r>
        <w:rPr>
          <w:rFonts w:ascii="Times New Roman"/>
        </w:rPr>
        <w:t>。</w:t>
      </w:r>
    </w:p>
    <w:p w14:paraId="18106534"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b/>
        </w:rPr>
        <w:t>2</w:t>
      </w:r>
      <w:r>
        <w:rPr>
          <w:rFonts w:ascii="Times New Roman"/>
          <w:b/>
        </w:rPr>
        <w:t>）目标用户</w:t>
      </w:r>
    </w:p>
    <w:p w14:paraId="480732F6"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szCs w:val="24"/>
        </w:rPr>
        <w:t>矿区位于宁东基地</w:t>
      </w:r>
      <w:r>
        <w:rPr>
          <w:rFonts w:ascii="Times New Roman" w:hint="eastAsia"/>
          <w:szCs w:val="24"/>
        </w:rPr>
        <w:t>，</w:t>
      </w:r>
      <w:r>
        <w:rPr>
          <w:rFonts w:ascii="Times New Roman"/>
          <w:szCs w:val="24"/>
        </w:rPr>
        <w:t>本矿区生产的煤炭产品主要供</w:t>
      </w:r>
      <w:r>
        <w:rPr>
          <w:rFonts w:ascii="Times New Roman" w:hint="eastAsia"/>
          <w:szCs w:val="24"/>
        </w:rPr>
        <w:t>应宁东</w:t>
      </w:r>
      <w:r>
        <w:rPr>
          <w:rFonts w:hint="eastAsia"/>
        </w:rPr>
        <w:t>能源化工</w:t>
      </w:r>
      <w:r>
        <w:rPr>
          <w:rFonts w:ascii="Times New Roman" w:hint="eastAsia"/>
          <w:szCs w:val="24"/>
        </w:rPr>
        <w:t>基地</w:t>
      </w:r>
      <w:r>
        <w:rPr>
          <w:rFonts w:ascii="Times New Roman"/>
          <w:szCs w:val="24"/>
        </w:rPr>
        <w:t>作为动力煤、化工煤。本矿区煤炭产品目标用户主要用户为</w:t>
      </w:r>
      <w:r>
        <w:rPr>
          <w:rFonts w:ascii="Times New Roman" w:hint="eastAsia"/>
          <w:szCs w:val="24"/>
        </w:rPr>
        <w:t>宁东煤化工基地内焦化厂、煤制甲醇厂等用户。据统计，宁东能源化工基地现有</w:t>
      </w:r>
      <w:r>
        <w:rPr>
          <w:rFonts w:ascii="Times New Roman" w:hint="eastAsia"/>
          <w:szCs w:val="24"/>
        </w:rPr>
        <w:t>400</w:t>
      </w:r>
      <w:r>
        <w:rPr>
          <w:rFonts w:ascii="Times New Roman" w:hint="eastAsia"/>
          <w:szCs w:val="24"/>
        </w:rPr>
        <w:t>万</w:t>
      </w:r>
      <w:r>
        <w:rPr>
          <w:rFonts w:ascii="Times New Roman" w:hint="eastAsia"/>
          <w:szCs w:val="24"/>
        </w:rPr>
        <w:t>t/a</w:t>
      </w:r>
      <w:r>
        <w:rPr>
          <w:rFonts w:ascii="Times New Roman" w:hint="eastAsia"/>
          <w:szCs w:val="24"/>
        </w:rPr>
        <w:t>焦化厂、</w:t>
      </w:r>
      <w:r>
        <w:rPr>
          <w:rFonts w:ascii="Times New Roman" w:hint="eastAsia"/>
          <w:szCs w:val="24"/>
        </w:rPr>
        <w:t>180</w:t>
      </w:r>
      <w:r>
        <w:rPr>
          <w:rFonts w:ascii="Times New Roman" w:hint="eastAsia"/>
          <w:szCs w:val="24"/>
        </w:rPr>
        <w:t>万</w:t>
      </w:r>
      <w:r>
        <w:rPr>
          <w:rFonts w:ascii="Times New Roman" w:hint="eastAsia"/>
          <w:szCs w:val="24"/>
        </w:rPr>
        <w:t>t/a</w:t>
      </w:r>
      <w:r>
        <w:rPr>
          <w:rFonts w:ascii="Times New Roman" w:hint="eastAsia"/>
          <w:szCs w:val="24"/>
        </w:rPr>
        <w:t>煤制甲醇企业和灵州矸石电厂（</w:t>
      </w:r>
      <w:r>
        <w:rPr>
          <w:rFonts w:ascii="Times New Roman" w:hint="eastAsia"/>
          <w:szCs w:val="24"/>
        </w:rPr>
        <w:t>2</w:t>
      </w:r>
      <w:r>
        <w:rPr>
          <w:rFonts w:ascii="Times New Roman" w:hint="eastAsia"/>
          <w:szCs w:val="24"/>
        </w:rPr>
        <w:t>×</w:t>
      </w:r>
      <w:r>
        <w:rPr>
          <w:rFonts w:ascii="Times New Roman" w:hint="eastAsia"/>
          <w:szCs w:val="24"/>
        </w:rPr>
        <w:t>135MW</w:t>
      </w:r>
      <w:r>
        <w:rPr>
          <w:rFonts w:ascii="Times New Roman" w:hint="eastAsia"/>
          <w:szCs w:val="24"/>
        </w:rPr>
        <w:t>），计划</w:t>
      </w:r>
      <w:r>
        <w:rPr>
          <w:rFonts w:ascii="Times New Roman" w:hint="eastAsia"/>
          <w:szCs w:val="24"/>
        </w:rPr>
        <w:t>2020</w:t>
      </w:r>
      <w:r>
        <w:rPr>
          <w:rFonts w:ascii="Times New Roman" w:hint="eastAsia"/>
          <w:szCs w:val="24"/>
        </w:rPr>
        <w:t>年新建</w:t>
      </w:r>
      <w:r>
        <w:rPr>
          <w:rFonts w:ascii="Times New Roman" w:hint="eastAsia"/>
          <w:szCs w:val="24"/>
        </w:rPr>
        <w:t>600</w:t>
      </w:r>
      <w:r>
        <w:rPr>
          <w:rFonts w:ascii="Times New Roman" w:hint="eastAsia"/>
          <w:szCs w:val="24"/>
        </w:rPr>
        <w:t>万</w:t>
      </w:r>
      <w:r>
        <w:rPr>
          <w:rFonts w:ascii="Times New Roman" w:hint="eastAsia"/>
          <w:szCs w:val="24"/>
        </w:rPr>
        <w:t>t/a</w:t>
      </w:r>
      <w:r>
        <w:rPr>
          <w:rFonts w:ascii="Times New Roman" w:hint="eastAsia"/>
          <w:szCs w:val="24"/>
        </w:rPr>
        <w:t>煤制甲醇项目和宝丰低热值煤综合利用电厂（</w:t>
      </w:r>
      <w:r>
        <w:rPr>
          <w:rFonts w:ascii="Times New Roman" w:hint="eastAsia"/>
          <w:szCs w:val="24"/>
        </w:rPr>
        <w:t>2</w:t>
      </w:r>
      <w:r>
        <w:rPr>
          <w:rFonts w:ascii="Times New Roman" w:hint="eastAsia"/>
          <w:szCs w:val="24"/>
        </w:rPr>
        <w:t>×</w:t>
      </w:r>
      <w:r>
        <w:rPr>
          <w:rFonts w:ascii="Times New Roman" w:hint="eastAsia"/>
          <w:szCs w:val="24"/>
        </w:rPr>
        <w:t>350MW</w:t>
      </w:r>
      <w:r>
        <w:rPr>
          <w:rFonts w:ascii="Times New Roman" w:hint="eastAsia"/>
          <w:szCs w:val="24"/>
        </w:rPr>
        <w:t>），建成后年需精煤量为</w:t>
      </w:r>
      <w:r>
        <w:rPr>
          <w:rFonts w:ascii="Times New Roman" w:hint="eastAsia"/>
          <w:szCs w:val="24"/>
        </w:rPr>
        <w:t>590</w:t>
      </w:r>
      <w:r>
        <w:rPr>
          <w:rFonts w:ascii="Times New Roman" w:hint="eastAsia"/>
          <w:szCs w:val="24"/>
        </w:rPr>
        <w:t>万</w:t>
      </w:r>
      <w:r>
        <w:rPr>
          <w:rFonts w:ascii="Times New Roman" w:hint="eastAsia"/>
          <w:szCs w:val="24"/>
        </w:rPr>
        <w:t>t</w:t>
      </w:r>
      <w:r>
        <w:rPr>
          <w:rFonts w:ascii="Times New Roman" w:hint="eastAsia"/>
          <w:szCs w:val="24"/>
        </w:rPr>
        <w:t>、中煤</w:t>
      </w:r>
      <w:r>
        <w:rPr>
          <w:rFonts w:ascii="Times New Roman" w:hint="eastAsia"/>
          <w:szCs w:val="24"/>
        </w:rPr>
        <w:t>581</w:t>
      </w:r>
      <w:r>
        <w:rPr>
          <w:rFonts w:ascii="Times New Roman" w:hint="eastAsia"/>
          <w:szCs w:val="24"/>
        </w:rPr>
        <w:t>万</w:t>
      </w:r>
      <w:r>
        <w:rPr>
          <w:rFonts w:ascii="Times New Roman" w:hint="eastAsia"/>
          <w:szCs w:val="24"/>
        </w:rPr>
        <w:t>t</w:t>
      </w:r>
      <w:r>
        <w:rPr>
          <w:rFonts w:ascii="Times New Roman" w:hint="eastAsia"/>
          <w:szCs w:val="24"/>
        </w:rPr>
        <w:t>。目前，宝丰能源循环经济园区项目用煤仍需大量外购补充，横城矿区生产煤炭可全部就地转化利用。</w:t>
      </w:r>
    </w:p>
    <w:p w14:paraId="573AF49D"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2.3</w:t>
      </w:r>
      <w:r>
        <w:rPr>
          <w:rFonts w:ascii="Times New Roman" w:hAnsi="Times New Roman" w:hint="eastAsia"/>
          <w:sz w:val="24"/>
        </w:rPr>
        <w:t>.3</w:t>
      </w:r>
      <w:r>
        <w:rPr>
          <w:rFonts w:ascii="Times New Roman" w:hAnsi="Times New Roman"/>
          <w:sz w:val="24"/>
        </w:rPr>
        <w:t xml:space="preserve"> </w:t>
      </w:r>
      <w:r>
        <w:rPr>
          <w:rFonts w:ascii="Times New Roman"/>
          <w:sz w:val="24"/>
        </w:rPr>
        <w:t>规划区煤炭资源赋存情况</w:t>
      </w:r>
    </w:p>
    <w:p w14:paraId="0BC6FE6F"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.3</w:t>
      </w:r>
      <w:r>
        <w:rPr>
          <w:rFonts w:ascii="Times New Roman" w:eastAsia="宋体" w:hAnsi="Times New Roman"/>
          <w:sz w:val="24"/>
        </w:rPr>
        <w:t xml:space="preserve">.1 </w:t>
      </w:r>
      <w:r>
        <w:rPr>
          <w:rFonts w:ascii="Times New Roman" w:eastAsia="宋体" w:hAnsi="宋体"/>
          <w:sz w:val="24"/>
        </w:rPr>
        <w:t>煤田地层及矿区构造</w:t>
      </w:r>
    </w:p>
    <w:p w14:paraId="6C1BA22B"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1</w:t>
      </w:r>
      <w:r>
        <w:rPr>
          <w:rFonts w:ascii="Times New Roman"/>
          <w:b/>
        </w:rPr>
        <w:t>）地层</w:t>
      </w:r>
    </w:p>
    <w:p w14:paraId="7B292E26" w14:textId="77777777" w:rsidR="009C353B" w:rsidRDefault="00000000">
      <w:pPr>
        <w:topLinePunct/>
        <w:adjustRightInd w:val="0"/>
        <w:snapToGrid w:val="0"/>
        <w:spacing w:line="440" w:lineRule="exact"/>
        <w:ind w:firstLineChars="200" w:firstLine="480"/>
        <w:jc w:val="left"/>
        <w:rPr>
          <w:rFonts w:ascii="Times New Roman" w:hint="eastAsia"/>
          <w:snapToGrid w:val="0"/>
          <w:szCs w:val="28"/>
        </w:rPr>
      </w:pPr>
      <w:r>
        <w:rPr>
          <w:rFonts w:ascii="Times New Roman" w:hint="eastAsia"/>
          <w:snapToGrid w:val="0"/>
          <w:szCs w:val="28"/>
        </w:rPr>
        <w:t>横城矿区地层区划属华北地层区（Ⅲ</w:t>
      </w:r>
      <w:r>
        <w:rPr>
          <w:rFonts w:ascii="Times New Roman"/>
          <w:snapToGrid w:val="0"/>
          <w:szCs w:val="28"/>
        </w:rPr>
        <w:t>4)</w:t>
      </w:r>
      <w:r>
        <w:rPr>
          <w:rFonts w:ascii="Times New Roman" w:hint="eastAsia"/>
          <w:snapToGrid w:val="0"/>
          <w:szCs w:val="28"/>
        </w:rPr>
        <w:t>、鄂尔多斯</w:t>
      </w:r>
      <w:r>
        <w:rPr>
          <w:rFonts w:ascii="Times New Roman"/>
          <w:snapToGrid w:val="0"/>
          <w:szCs w:val="28"/>
        </w:rPr>
        <w:t>西缘</w:t>
      </w:r>
      <w:r>
        <w:rPr>
          <w:rFonts w:ascii="Times New Roman" w:hint="eastAsia"/>
          <w:snapToGrid w:val="0"/>
          <w:szCs w:val="28"/>
        </w:rPr>
        <w:t>地层分区（Ⅲ</w:t>
      </w:r>
      <w:r>
        <w:rPr>
          <w:rFonts w:ascii="Times New Roman"/>
          <w:snapToGrid w:val="0"/>
          <w:szCs w:val="28"/>
        </w:rPr>
        <w:t>41)</w:t>
      </w:r>
      <w:r>
        <w:rPr>
          <w:rFonts w:ascii="Times New Roman" w:hint="eastAsia"/>
          <w:snapToGrid w:val="0"/>
          <w:szCs w:val="28"/>
        </w:rPr>
        <w:t>、桌子山—青龙山地层小区（Ⅲ</w:t>
      </w:r>
      <w:r>
        <w:rPr>
          <w:rFonts w:ascii="Times New Roman"/>
          <w:snapToGrid w:val="0"/>
          <w:szCs w:val="28"/>
        </w:rPr>
        <w:t>41-2)</w:t>
      </w:r>
      <w:r>
        <w:rPr>
          <w:rFonts w:ascii="Times New Roman" w:hint="eastAsia"/>
          <w:snapToGrid w:val="0"/>
          <w:szCs w:val="28"/>
        </w:rPr>
        <w:t>。该地层小区（Ⅲ</w:t>
      </w:r>
      <w:r>
        <w:rPr>
          <w:rFonts w:ascii="Times New Roman"/>
          <w:snapToGrid w:val="0"/>
          <w:szCs w:val="28"/>
        </w:rPr>
        <w:t>41-2)</w:t>
      </w:r>
      <w:r>
        <w:rPr>
          <w:rFonts w:ascii="Times New Roman" w:hint="eastAsia"/>
          <w:snapToGrid w:val="0"/>
          <w:szCs w:val="28"/>
        </w:rPr>
        <w:t>位于</w:t>
      </w:r>
      <w:r>
        <w:rPr>
          <w:rFonts w:ascii="Times New Roman"/>
          <w:snapToGrid w:val="0"/>
          <w:szCs w:val="28"/>
        </w:rPr>
        <w:t>贺兰山地层小区东侧，东与鄂尔多斯盆地分区盐池</w:t>
      </w:r>
      <w:r>
        <w:rPr>
          <w:rFonts w:ascii="Times New Roman"/>
          <w:snapToGrid w:val="0"/>
          <w:szCs w:val="28"/>
        </w:rPr>
        <w:t>-</w:t>
      </w:r>
      <w:r>
        <w:rPr>
          <w:rFonts w:ascii="Times New Roman"/>
          <w:snapToGrid w:val="0"/>
          <w:szCs w:val="28"/>
        </w:rPr>
        <w:t>环县地层小区为邻，向北、</w:t>
      </w:r>
      <w:r>
        <w:rPr>
          <w:rFonts w:ascii="Times New Roman" w:hint="eastAsia"/>
          <w:snapToGrid w:val="0"/>
          <w:szCs w:val="28"/>
        </w:rPr>
        <w:t>向南</w:t>
      </w:r>
      <w:r>
        <w:rPr>
          <w:rFonts w:ascii="Times New Roman"/>
          <w:snapToGrid w:val="0"/>
          <w:szCs w:val="28"/>
        </w:rPr>
        <w:t>分别延入内蒙古自治区和甘肃</w:t>
      </w:r>
      <w:r>
        <w:rPr>
          <w:rFonts w:ascii="Times New Roman" w:hint="eastAsia"/>
          <w:snapToGrid w:val="0"/>
          <w:szCs w:val="28"/>
        </w:rPr>
        <w:t>省境内</w:t>
      </w:r>
      <w:r>
        <w:rPr>
          <w:rFonts w:ascii="Times New Roman"/>
          <w:snapToGrid w:val="0"/>
          <w:szCs w:val="28"/>
        </w:rPr>
        <w:t>。</w:t>
      </w:r>
      <w:r>
        <w:rPr>
          <w:rFonts w:ascii="Times New Roman" w:hint="eastAsia"/>
          <w:snapToGrid w:val="0"/>
          <w:szCs w:val="28"/>
        </w:rPr>
        <w:t>为古生代～中生代早期凹陷区。</w:t>
      </w:r>
      <w:r>
        <w:rPr>
          <w:rFonts w:ascii="Times New Roman"/>
          <w:snapToGrid w:val="0"/>
          <w:szCs w:val="28"/>
        </w:rPr>
        <w:t>1:20</w:t>
      </w:r>
      <w:r>
        <w:rPr>
          <w:rFonts w:ascii="Times New Roman" w:hint="eastAsia"/>
          <w:snapToGrid w:val="0"/>
          <w:szCs w:val="28"/>
        </w:rPr>
        <w:t>万银川幅区域上主要发育地层为奥陶系、石炭系上统、二叠系、白垩系、古近系和第四系，其中石炭系太原组和二叠系山西组为主要含煤地层。</w:t>
      </w:r>
    </w:p>
    <w:p w14:paraId="75DC629C" w14:textId="77777777" w:rsidR="009C353B" w:rsidRDefault="00000000">
      <w:pPr>
        <w:topLinePunct/>
        <w:adjustRightInd w:val="0"/>
        <w:snapToGrid w:val="0"/>
        <w:spacing w:line="440" w:lineRule="exact"/>
        <w:ind w:firstLineChars="200" w:firstLine="480"/>
        <w:jc w:val="left"/>
        <w:rPr>
          <w:rFonts w:ascii="Times New Roman" w:hint="eastAsia"/>
          <w:snapToGrid w:val="0"/>
          <w:szCs w:val="28"/>
        </w:rPr>
      </w:pPr>
      <w:r>
        <w:rPr>
          <w:rFonts w:ascii="Times New Roman"/>
          <w:snapToGrid w:val="0"/>
          <w:szCs w:val="28"/>
        </w:rPr>
        <w:t>矿区地层综合柱状图见图</w:t>
      </w:r>
      <w:r>
        <w:rPr>
          <w:rFonts w:ascii="Times New Roman"/>
          <w:snapToGrid w:val="0"/>
          <w:szCs w:val="28"/>
        </w:rPr>
        <w:t>2.3-1</w:t>
      </w:r>
      <w:r>
        <w:rPr>
          <w:rFonts w:ascii="Times New Roman"/>
          <w:snapToGrid w:val="0"/>
          <w:szCs w:val="28"/>
        </w:rPr>
        <w:t>。</w:t>
      </w:r>
    </w:p>
    <w:p w14:paraId="22BFEFC9"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2</w:t>
      </w:r>
      <w:r>
        <w:rPr>
          <w:rFonts w:ascii="Times New Roman"/>
          <w:b/>
        </w:rPr>
        <w:t>）矿区构造</w:t>
      </w:r>
    </w:p>
    <w:p w14:paraId="385EC843" w14:textId="77777777" w:rsidR="009C353B" w:rsidRDefault="00000000">
      <w:pPr>
        <w:topLinePunct/>
        <w:adjustRightInd w:val="0"/>
        <w:snapToGrid w:val="0"/>
        <w:spacing w:line="440" w:lineRule="exact"/>
        <w:ind w:firstLineChars="200" w:firstLine="480"/>
        <w:jc w:val="left"/>
        <w:rPr>
          <w:rFonts w:ascii="Times New Roman" w:hint="eastAsia"/>
          <w:snapToGrid w:val="0"/>
          <w:szCs w:val="28"/>
        </w:rPr>
      </w:pPr>
      <w:r>
        <w:rPr>
          <w:rFonts w:ascii="Times New Roman" w:hint="eastAsia"/>
          <w:snapToGrid w:val="0"/>
          <w:szCs w:val="28"/>
        </w:rPr>
        <w:t>横城矿区位于鄂尔多斯盆地西缘，区内地层与华北地层区基本相似，自古生界至新生界均有沉积，缺失奥陶系上统至石炭系下统地层，沉积厚度因受祁连褶皱带的影响而比华北地台区大。</w:t>
      </w:r>
    </w:p>
    <w:p w14:paraId="27358ECE" w14:textId="77777777" w:rsidR="009C353B" w:rsidRDefault="00000000">
      <w:pPr>
        <w:topLinePunct/>
        <w:adjustRightInd w:val="0"/>
        <w:snapToGrid w:val="0"/>
        <w:spacing w:line="440" w:lineRule="exact"/>
        <w:ind w:firstLineChars="200" w:firstLine="480"/>
        <w:jc w:val="left"/>
        <w:rPr>
          <w:rFonts w:ascii="Times New Roman" w:hint="eastAsia"/>
          <w:snapToGrid w:val="0"/>
          <w:szCs w:val="28"/>
        </w:rPr>
      </w:pPr>
      <w:r>
        <w:rPr>
          <w:rFonts w:ascii="Times New Roman" w:hint="eastAsia"/>
          <w:snapToGrid w:val="0"/>
          <w:szCs w:val="28"/>
        </w:rPr>
        <w:t>横城</w:t>
      </w:r>
      <w:r>
        <w:rPr>
          <w:rFonts w:ascii="Times New Roman"/>
          <w:snapToGrid w:val="0"/>
          <w:szCs w:val="28"/>
        </w:rPr>
        <w:t>矿区</w:t>
      </w:r>
      <w:r>
        <w:rPr>
          <w:rFonts w:ascii="Times New Roman" w:hint="eastAsia"/>
          <w:snapToGrid w:val="0"/>
          <w:szCs w:val="28"/>
        </w:rPr>
        <w:t>褶皱轴向均近南北，且多为丁家梁隆起状背斜所控制而变化其轴向，褶皱均为不对称褶皱，褶皱轴面均东倾。自西向东主要褶皱有三道沟背斜、黄草沟向斜、黄草沟背斜、沙沟向斜、甜水河背斜、丁家梁背斜、马莲台向斜、苦草凹背斜、双庙向斜、张家窑背斜。褶皱两翼伴生落差大于</w:t>
      </w:r>
      <w:r>
        <w:rPr>
          <w:rFonts w:ascii="Times New Roman"/>
          <w:snapToGrid w:val="0"/>
          <w:szCs w:val="28"/>
        </w:rPr>
        <w:t>30</w:t>
      </w:r>
      <w:r>
        <w:rPr>
          <w:rFonts w:ascii="Times New Roman" w:hint="eastAsia"/>
          <w:snapToGrid w:val="0"/>
          <w:szCs w:val="28"/>
        </w:rPr>
        <w:t>m</w:t>
      </w:r>
      <w:r>
        <w:rPr>
          <w:rFonts w:ascii="Times New Roman" w:hint="eastAsia"/>
          <w:snapToGrid w:val="0"/>
          <w:szCs w:val="28"/>
        </w:rPr>
        <w:t>的断层有</w:t>
      </w:r>
      <w:r>
        <w:rPr>
          <w:rFonts w:ascii="Times New Roman"/>
          <w:snapToGrid w:val="0"/>
          <w:szCs w:val="28"/>
        </w:rPr>
        <w:t>24</w:t>
      </w:r>
      <w:r>
        <w:rPr>
          <w:rFonts w:ascii="Times New Roman" w:hint="eastAsia"/>
          <w:snapToGrid w:val="0"/>
          <w:szCs w:val="28"/>
        </w:rPr>
        <w:t>条。综合确定横城</w:t>
      </w:r>
      <w:r>
        <w:rPr>
          <w:rFonts w:ascii="Times New Roman"/>
          <w:snapToGrid w:val="0"/>
          <w:szCs w:val="28"/>
        </w:rPr>
        <w:t>矿区</w:t>
      </w:r>
      <w:r>
        <w:rPr>
          <w:rFonts w:ascii="Times New Roman" w:hint="eastAsia"/>
          <w:snapToGrid w:val="0"/>
          <w:szCs w:val="28"/>
        </w:rPr>
        <w:t>的构造复杂程度为中等构造类型。</w:t>
      </w:r>
    </w:p>
    <w:p w14:paraId="4CB42DDB" w14:textId="77777777" w:rsidR="009C353B" w:rsidRDefault="00000000">
      <w:pPr>
        <w:topLinePunct/>
        <w:adjustRightInd w:val="0"/>
        <w:snapToGrid w:val="0"/>
        <w:spacing w:line="440" w:lineRule="exact"/>
        <w:ind w:firstLineChars="200" w:firstLine="480"/>
        <w:jc w:val="left"/>
        <w:rPr>
          <w:rFonts w:ascii="Times New Roman" w:hint="eastAsia"/>
          <w:snapToGrid w:val="0"/>
          <w:szCs w:val="28"/>
        </w:rPr>
      </w:pPr>
      <w:r>
        <w:rPr>
          <w:rFonts w:ascii="Times New Roman" w:hint="eastAsia"/>
          <w:snapToGrid w:val="0"/>
          <w:szCs w:val="28"/>
        </w:rPr>
        <w:t>横城矿区大地</w:t>
      </w:r>
      <w:r>
        <w:rPr>
          <w:rFonts w:ascii="Times New Roman"/>
          <w:snapToGrid w:val="0"/>
          <w:szCs w:val="28"/>
        </w:rPr>
        <w:t>构造</w:t>
      </w:r>
      <w:r>
        <w:rPr>
          <w:rFonts w:ascii="Times New Roman" w:hint="eastAsia"/>
          <w:snapToGrid w:val="0"/>
          <w:szCs w:val="28"/>
        </w:rPr>
        <w:t>位置</w:t>
      </w:r>
      <w:r>
        <w:rPr>
          <w:rFonts w:ascii="Times New Roman"/>
          <w:snapToGrid w:val="0"/>
          <w:szCs w:val="28"/>
        </w:rPr>
        <w:t>及构造</w:t>
      </w:r>
      <w:r>
        <w:rPr>
          <w:rFonts w:ascii="Times New Roman" w:hint="eastAsia"/>
          <w:snapToGrid w:val="0"/>
          <w:szCs w:val="28"/>
        </w:rPr>
        <w:t>单元</w:t>
      </w:r>
      <w:r>
        <w:rPr>
          <w:rFonts w:ascii="Times New Roman"/>
          <w:snapToGrid w:val="0"/>
          <w:szCs w:val="28"/>
        </w:rPr>
        <w:t>划分</w:t>
      </w:r>
      <w:r>
        <w:rPr>
          <w:rFonts w:ascii="Times New Roman"/>
          <w:snapToGrid w:val="0"/>
          <w:szCs w:val="28"/>
        </w:rPr>
        <w:t>/</w:t>
      </w:r>
      <w:r>
        <w:rPr>
          <w:rFonts w:ascii="Times New Roman" w:hint="eastAsia"/>
          <w:szCs w:val="28"/>
        </w:rPr>
        <w:t>构造纲要图</w:t>
      </w:r>
      <w:r>
        <w:rPr>
          <w:rFonts w:ascii="Times New Roman"/>
          <w:szCs w:val="28"/>
        </w:rPr>
        <w:t>见图</w:t>
      </w:r>
      <w:r>
        <w:rPr>
          <w:rFonts w:ascii="Times New Roman"/>
          <w:szCs w:val="28"/>
        </w:rPr>
        <w:t>2.3-2</w:t>
      </w:r>
      <w:r>
        <w:rPr>
          <w:rFonts w:ascii="Times New Roman"/>
          <w:szCs w:val="28"/>
        </w:rPr>
        <w:t>。</w:t>
      </w:r>
    </w:p>
    <w:p w14:paraId="37500D2A" w14:textId="77777777" w:rsidR="009C353B" w:rsidRDefault="00000000">
      <w:pPr>
        <w:pStyle w:val="40"/>
        <w:adjustRightInd w:val="0"/>
        <w:snapToGrid w:val="0"/>
        <w:spacing w:before="0" w:after="0" w:line="440" w:lineRule="exact"/>
        <w:rPr>
          <w:rFonts w:ascii="Times New Roman" w:eastAsia="宋体" w:hAnsi="宋体" w:hint="eastAsia"/>
          <w:sz w:val="24"/>
        </w:rPr>
      </w:pPr>
      <w:r>
        <w:rPr>
          <w:rFonts w:ascii="Times New Roman" w:eastAsia="宋体" w:hAnsi="Times New Roman"/>
          <w:sz w:val="24"/>
        </w:rPr>
        <w:t>2.3</w:t>
      </w:r>
      <w:r>
        <w:rPr>
          <w:rFonts w:ascii="Times New Roman" w:eastAsia="宋体" w:hAnsi="Times New Roman" w:hint="eastAsia"/>
          <w:sz w:val="24"/>
        </w:rPr>
        <w:t>.3</w:t>
      </w:r>
      <w:r>
        <w:rPr>
          <w:rFonts w:ascii="Times New Roman" w:eastAsia="宋体" w:hAnsi="Times New Roman"/>
          <w:sz w:val="24"/>
        </w:rPr>
        <w:t xml:space="preserve">.2 </w:t>
      </w:r>
      <w:r>
        <w:rPr>
          <w:rFonts w:ascii="Times New Roman" w:eastAsia="宋体" w:hAnsi="宋体" w:hint="eastAsia"/>
          <w:sz w:val="24"/>
        </w:rPr>
        <w:t>矿区</w:t>
      </w:r>
      <w:r>
        <w:rPr>
          <w:rFonts w:ascii="Times New Roman" w:eastAsia="宋体" w:hAnsi="宋体"/>
          <w:sz w:val="24"/>
        </w:rPr>
        <w:t>煤层</w:t>
      </w:r>
    </w:p>
    <w:p w14:paraId="1515DF99" w14:textId="77777777" w:rsidR="009C353B" w:rsidRDefault="00000000">
      <w:pPr>
        <w:adjustRightInd w:val="0"/>
        <w:snapToGrid w:val="0"/>
        <w:spacing w:line="440" w:lineRule="exact"/>
        <w:ind w:firstLineChars="200" w:firstLine="482"/>
        <w:rPr>
          <w:rFonts w:ascii="Times New Roman" w:hint="eastAsia"/>
          <w:b/>
        </w:rPr>
      </w:pPr>
      <w:bookmarkStart w:id="65" w:name="_Toc244054404"/>
      <w:bookmarkStart w:id="66" w:name="_Toc354731943"/>
      <w:r>
        <w:rPr>
          <w:rFonts w:ascii="Times New Roman" w:hint="eastAsia"/>
          <w:b/>
        </w:rPr>
        <w:t>（</w:t>
      </w:r>
      <w:r>
        <w:rPr>
          <w:rFonts w:ascii="Times New Roman" w:hint="eastAsia"/>
          <w:b/>
        </w:rPr>
        <w:t>1</w:t>
      </w:r>
      <w:r>
        <w:rPr>
          <w:rFonts w:ascii="Times New Roman" w:hint="eastAsia"/>
          <w:b/>
        </w:rPr>
        <w:t>）含煤性</w:t>
      </w:r>
      <w:bookmarkEnd w:id="65"/>
      <w:bookmarkEnd w:id="66"/>
    </w:p>
    <w:p w14:paraId="032FB42C"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横城矿区含煤地层主要为山西组和太原组</w:t>
      </w:r>
      <w:r>
        <w:rPr>
          <w:rFonts w:ascii="Times New Roman" w:hAnsi="Times New Roman" w:hint="eastAsia"/>
          <w:szCs w:val="24"/>
        </w:rPr>
        <w:t>。</w:t>
      </w:r>
    </w:p>
    <w:p w14:paraId="581FA951"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从地层的含煤性上看，矿区分布的煤层多达</w:t>
      </w:r>
      <w:r>
        <w:rPr>
          <w:rFonts w:ascii="Times New Roman" w:hAnsi="Times New Roman" w:hint="eastAsia"/>
          <w:szCs w:val="24"/>
        </w:rPr>
        <w:t>12</w:t>
      </w:r>
      <w:r>
        <w:rPr>
          <w:rFonts w:ascii="Times New Roman" w:hAnsi="Times New Roman"/>
          <w:szCs w:val="24"/>
        </w:rPr>
        <w:t>层。就整个矿区来看，达到可采且分布稳定的煤层有</w:t>
      </w:r>
      <w:r>
        <w:rPr>
          <w:rFonts w:ascii="Times New Roman" w:hAnsi="Times New Roman" w:hint="eastAsia"/>
          <w:szCs w:val="24"/>
        </w:rPr>
        <w:t>5</w:t>
      </w:r>
      <w:r>
        <w:rPr>
          <w:rFonts w:ascii="Times New Roman" w:hAnsi="Times New Roman"/>
          <w:szCs w:val="24"/>
        </w:rPr>
        <w:t>层，分别是山西组的一、三、五煤层，太原组的八、九煤层。</w:t>
      </w:r>
    </w:p>
    <w:p w14:paraId="51AF5E25"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1</w:t>
      </w:r>
      <w:r>
        <w:rPr>
          <w:rFonts w:ascii="Times New Roman" w:hAnsi="Times New Roman" w:hint="eastAsia"/>
          <w:szCs w:val="24"/>
        </w:rPr>
        <w:t>）</w:t>
      </w:r>
      <w:r>
        <w:rPr>
          <w:rFonts w:ascii="Times New Roman" w:hAnsi="Times New Roman" w:hint="eastAsia"/>
          <w:szCs w:val="24"/>
        </w:rPr>
        <w:t xml:space="preserve"> </w:t>
      </w:r>
      <w:r>
        <w:rPr>
          <w:rFonts w:ascii="Times New Roman" w:hAnsi="Times New Roman"/>
          <w:szCs w:val="24"/>
        </w:rPr>
        <w:t>一煤</w:t>
      </w:r>
    </w:p>
    <w:p w14:paraId="4FBB9A7E"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位于山西组顶部</w:t>
      </w:r>
      <w:r>
        <w:rPr>
          <w:rFonts w:ascii="Times New Roman" w:hAnsi="Times New Roman" w:hint="eastAsia"/>
          <w:szCs w:val="24"/>
        </w:rPr>
        <w:t>，是主要可采煤层。</w:t>
      </w:r>
      <w:r>
        <w:rPr>
          <w:rFonts w:ascii="Times New Roman" w:hAnsi="Times New Roman"/>
          <w:szCs w:val="24"/>
        </w:rPr>
        <w:t>部分地区煤层直接顶板是下石盒子组最底部砂岩（即是与山西组分界岩层）。部分地区由于沉积时振荡作用，该层煤之上尚有粉砂岩、泥岩和煤线存在。</w:t>
      </w:r>
    </w:p>
    <w:p w14:paraId="6B22A093"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马莲台井田</w:t>
      </w:r>
      <w:r>
        <w:rPr>
          <w:rFonts w:ascii="Times New Roman" w:hAnsi="Times New Roman" w:hint="eastAsia"/>
          <w:szCs w:val="24"/>
        </w:rPr>
        <w:t>一煤，煤层厚度</w:t>
      </w:r>
      <w:r>
        <w:rPr>
          <w:rFonts w:ascii="Times New Roman" w:hAnsi="Times New Roman" w:hint="eastAsia"/>
          <w:szCs w:val="24"/>
        </w:rPr>
        <w:t>0.38</w:t>
      </w:r>
      <w:r>
        <w:rPr>
          <w:rFonts w:ascii="Times New Roman" w:hAnsi="Times New Roman" w:hint="eastAsia"/>
          <w:szCs w:val="24"/>
        </w:rPr>
        <w:t>～</w:t>
      </w:r>
      <w:r>
        <w:rPr>
          <w:rFonts w:ascii="Times New Roman" w:hAnsi="Times New Roman" w:hint="eastAsia"/>
          <w:szCs w:val="24"/>
        </w:rPr>
        <w:t>5.71m</w:t>
      </w:r>
      <w:r>
        <w:rPr>
          <w:rFonts w:ascii="Times New Roman" w:hAnsi="Times New Roman" w:hint="eastAsia"/>
          <w:szCs w:val="24"/>
        </w:rPr>
        <w:t>，平均厚度</w:t>
      </w:r>
      <w:r>
        <w:rPr>
          <w:rFonts w:ascii="Times New Roman" w:hAnsi="Times New Roman" w:hint="eastAsia"/>
          <w:szCs w:val="24"/>
        </w:rPr>
        <w:t>2.15m</w:t>
      </w:r>
      <w:r>
        <w:rPr>
          <w:rFonts w:ascii="Times New Roman" w:hAnsi="Times New Roman" w:hint="eastAsia"/>
          <w:szCs w:val="24"/>
        </w:rPr>
        <w:t>。可采厚度</w:t>
      </w:r>
      <w:r>
        <w:rPr>
          <w:rFonts w:ascii="Times New Roman" w:hAnsi="Times New Roman" w:hint="eastAsia"/>
          <w:szCs w:val="24"/>
        </w:rPr>
        <w:t>0.83</w:t>
      </w:r>
      <w:r>
        <w:rPr>
          <w:rFonts w:ascii="Times New Roman" w:hAnsi="Times New Roman" w:hint="eastAsia"/>
          <w:szCs w:val="24"/>
        </w:rPr>
        <w:t>～</w:t>
      </w:r>
      <w:r>
        <w:rPr>
          <w:rFonts w:ascii="Times New Roman" w:hAnsi="Times New Roman" w:hint="eastAsia"/>
          <w:szCs w:val="24"/>
        </w:rPr>
        <w:t>4.52m</w:t>
      </w:r>
      <w:r>
        <w:rPr>
          <w:rFonts w:ascii="Times New Roman" w:hAnsi="Times New Roman" w:hint="eastAsia"/>
          <w:szCs w:val="24"/>
        </w:rPr>
        <w:t>，平均可采厚度</w:t>
      </w:r>
      <w:r>
        <w:rPr>
          <w:rFonts w:ascii="Times New Roman" w:hAnsi="Times New Roman" w:hint="eastAsia"/>
          <w:szCs w:val="24"/>
        </w:rPr>
        <w:t>1.96m</w:t>
      </w:r>
      <w:r>
        <w:rPr>
          <w:rFonts w:ascii="Times New Roman" w:hAnsi="Times New Roman" w:hint="eastAsia"/>
          <w:szCs w:val="24"/>
        </w:rPr>
        <w:t>，属中厚煤层。有</w:t>
      </w:r>
      <w:r>
        <w:rPr>
          <w:rFonts w:ascii="Times New Roman" w:hAnsi="Times New Roman" w:hint="eastAsia"/>
          <w:szCs w:val="24"/>
        </w:rPr>
        <w:t>0</w:t>
      </w:r>
      <w:r>
        <w:rPr>
          <w:rFonts w:ascii="Times New Roman" w:hAnsi="Times New Roman" w:hint="eastAsia"/>
          <w:szCs w:val="24"/>
        </w:rPr>
        <w:t>～</w:t>
      </w:r>
      <w:r>
        <w:rPr>
          <w:rFonts w:ascii="Times New Roman" w:hAnsi="Times New Roman" w:hint="eastAsia"/>
          <w:szCs w:val="24"/>
        </w:rPr>
        <w:t>4</w:t>
      </w:r>
      <w:r>
        <w:rPr>
          <w:rFonts w:ascii="Times New Roman" w:hAnsi="Times New Roman" w:hint="eastAsia"/>
          <w:szCs w:val="24"/>
        </w:rPr>
        <w:t>层夹矸，一般</w:t>
      </w:r>
      <w:r>
        <w:rPr>
          <w:rFonts w:ascii="Times New Roman" w:hAnsi="Times New Roman" w:hint="eastAsia"/>
          <w:szCs w:val="24"/>
        </w:rPr>
        <w:t>0</w:t>
      </w: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层夹矸，结构简单，厚度变化较小，属稳定的全区可采煤层。顶板疏松为泥岩、炭质泥岩、粉砂岩、粗中细粒砂岩，底板为砂质泥岩、泥岩、粉砂岩、细粒砂岩。</w:t>
      </w:r>
    </w:p>
    <w:p w14:paraId="2A770836"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红石湾井田</w:t>
      </w:r>
      <w:r>
        <w:rPr>
          <w:rFonts w:ascii="Times New Roman" w:hAnsi="Times New Roman" w:hint="eastAsia"/>
          <w:szCs w:val="24"/>
        </w:rPr>
        <w:t>一煤</w:t>
      </w:r>
      <w:r>
        <w:rPr>
          <w:rFonts w:ascii="Times New Roman" w:hAnsi="Times New Roman"/>
          <w:szCs w:val="24"/>
        </w:rPr>
        <w:t>，</w:t>
      </w:r>
      <w:r>
        <w:rPr>
          <w:rFonts w:ascii="Times New Roman" w:hAnsi="Times New Roman" w:hint="eastAsia"/>
          <w:szCs w:val="24"/>
        </w:rPr>
        <w:t>煤层厚度</w:t>
      </w:r>
      <w:r>
        <w:rPr>
          <w:rFonts w:ascii="Times New Roman" w:hAnsi="Times New Roman" w:hint="eastAsia"/>
          <w:szCs w:val="24"/>
        </w:rPr>
        <w:t>0.</w:t>
      </w:r>
      <w:r>
        <w:rPr>
          <w:rFonts w:ascii="Times New Roman" w:hAnsi="Times New Roman"/>
          <w:szCs w:val="24"/>
        </w:rPr>
        <w:t>38</w:t>
      </w:r>
      <w:r>
        <w:rPr>
          <w:rFonts w:ascii="Times New Roman" w:hAnsi="Times New Roman" w:hint="eastAsia"/>
          <w:szCs w:val="24"/>
        </w:rPr>
        <w:t>～</w:t>
      </w:r>
      <w:r>
        <w:rPr>
          <w:rFonts w:ascii="Times New Roman" w:hAnsi="Times New Roman" w:hint="eastAsia"/>
          <w:szCs w:val="24"/>
        </w:rPr>
        <w:t>3.</w:t>
      </w:r>
      <w:r>
        <w:rPr>
          <w:rFonts w:ascii="Times New Roman" w:hAnsi="Times New Roman"/>
          <w:szCs w:val="24"/>
        </w:rPr>
        <w:t>05</w:t>
      </w:r>
      <w:r>
        <w:rPr>
          <w:rFonts w:ascii="Times New Roman" w:hAnsi="Times New Roman" w:hint="eastAsia"/>
          <w:szCs w:val="24"/>
        </w:rPr>
        <w:t>m</w:t>
      </w:r>
      <w:r>
        <w:rPr>
          <w:rFonts w:ascii="Times New Roman" w:hAnsi="Times New Roman" w:hint="eastAsia"/>
          <w:szCs w:val="24"/>
        </w:rPr>
        <w:t>，平均厚度</w:t>
      </w:r>
      <w:r>
        <w:rPr>
          <w:rFonts w:ascii="Times New Roman" w:hAnsi="Times New Roman" w:hint="eastAsia"/>
          <w:szCs w:val="24"/>
        </w:rPr>
        <w:t>1.</w:t>
      </w:r>
      <w:r>
        <w:rPr>
          <w:rFonts w:ascii="Times New Roman" w:hAnsi="Times New Roman"/>
          <w:szCs w:val="24"/>
        </w:rPr>
        <w:t>43</w:t>
      </w:r>
      <w:r>
        <w:rPr>
          <w:rFonts w:ascii="Times New Roman" w:hAnsi="Times New Roman" w:hint="eastAsia"/>
          <w:szCs w:val="24"/>
        </w:rPr>
        <w:t>m</w:t>
      </w:r>
      <w:r>
        <w:rPr>
          <w:rFonts w:ascii="Times New Roman" w:hAnsi="Times New Roman" w:hint="eastAsia"/>
          <w:szCs w:val="24"/>
        </w:rPr>
        <w:t>。可采煤层厚度为</w:t>
      </w:r>
      <w:r>
        <w:rPr>
          <w:rFonts w:ascii="Times New Roman" w:hAnsi="Times New Roman" w:hint="eastAsia"/>
          <w:szCs w:val="24"/>
        </w:rPr>
        <w:t>0.</w:t>
      </w:r>
      <w:r>
        <w:rPr>
          <w:rFonts w:ascii="Times New Roman" w:hAnsi="Times New Roman"/>
          <w:szCs w:val="24"/>
        </w:rPr>
        <w:t>7</w:t>
      </w:r>
      <w:r>
        <w:rPr>
          <w:rFonts w:ascii="Times New Roman" w:hAnsi="Times New Roman" w:hint="eastAsia"/>
          <w:szCs w:val="24"/>
        </w:rPr>
        <w:t>3</w:t>
      </w:r>
      <w:r>
        <w:rPr>
          <w:rFonts w:ascii="Times New Roman" w:hAnsi="Times New Roman" w:hint="eastAsia"/>
          <w:szCs w:val="24"/>
        </w:rPr>
        <w:t>～</w:t>
      </w:r>
      <w:r>
        <w:rPr>
          <w:rFonts w:ascii="Times New Roman" w:hAnsi="Times New Roman" w:hint="eastAsia"/>
          <w:szCs w:val="24"/>
        </w:rPr>
        <w:t>3.</w:t>
      </w:r>
      <w:r>
        <w:rPr>
          <w:rFonts w:ascii="Times New Roman" w:hAnsi="Times New Roman"/>
          <w:szCs w:val="24"/>
        </w:rPr>
        <w:t>05</w:t>
      </w:r>
      <w:r>
        <w:rPr>
          <w:rFonts w:ascii="Times New Roman" w:hAnsi="Times New Roman" w:hint="eastAsia"/>
          <w:szCs w:val="24"/>
        </w:rPr>
        <w:t>m</w:t>
      </w:r>
      <w:r>
        <w:rPr>
          <w:rFonts w:ascii="Times New Roman" w:hAnsi="Times New Roman" w:hint="eastAsia"/>
          <w:szCs w:val="24"/>
        </w:rPr>
        <w:t>，平均可采厚度</w:t>
      </w:r>
      <w:r>
        <w:rPr>
          <w:rFonts w:ascii="Times New Roman" w:hAnsi="Times New Roman" w:hint="eastAsia"/>
          <w:szCs w:val="24"/>
        </w:rPr>
        <w:t>1.5</w:t>
      </w:r>
      <w:r>
        <w:rPr>
          <w:rFonts w:ascii="Times New Roman" w:hAnsi="Times New Roman"/>
          <w:szCs w:val="24"/>
        </w:rPr>
        <w:t>1</w:t>
      </w:r>
      <w:r>
        <w:rPr>
          <w:rFonts w:ascii="Times New Roman" w:hAnsi="Times New Roman" w:hint="eastAsia"/>
          <w:szCs w:val="24"/>
        </w:rPr>
        <w:t>m</w:t>
      </w:r>
      <w:r>
        <w:rPr>
          <w:rFonts w:ascii="Times New Roman" w:hAnsi="Times New Roman" w:hint="eastAsia"/>
          <w:szCs w:val="24"/>
        </w:rPr>
        <w:t>。为薄～中厚煤层，厚度虽有一定的变化但规律不明显，煤层结构简单，多为单一煤层，局部含</w:t>
      </w:r>
      <w:r>
        <w:rPr>
          <w:rFonts w:ascii="Times New Roman" w:hAnsi="Times New Roman" w:hint="eastAsia"/>
          <w:szCs w:val="24"/>
        </w:rPr>
        <w:t>1-2</w:t>
      </w:r>
      <w:r>
        <w:rPr>
          <w:rFonts w:ascii="Times New Roman" w:hAnsi="Times New Roman" w:hint="eastAsia"/>
          <w:szCs w:val="24"/>
        </w:rPr>
        <w:t>层夹矸。煤层对比可靠，大部可采，属稳定煤层。煤层顶板岩性以粗粒砂岩、细粒砂岩为主，粉砂岩次之，岩性粒度自煤层顶板向上逐渐变细，由粗粒砂岩、细粒砂岩逐渐过渡为泥岩、粘土岩；底板岩性多为细砂岩及泥岩，岩层厚度稳定，之下岩性粒度逐渐变粗与二煤顶板接触。</w:t>
      </w:r>
    </w:p>
    <w:p w14:paraId="3382CD2B"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任家庄井田</w:t>
      </w:r>
      <w:r>
        <w:rPr>
          <w:rFonts w:ascii="Times New Roman" w:hAnsi="Times New Roman" w:hint="eastAsia"/>
          <w:szCs w:val="24"/>
        </w:rPr>
        <w:t>一煤</w:t>
      </w:r>
      <w:r>
        <w:rPr>
          <w:rFonts w:ascii="Times New Roman" w:hAnsi="Times New Roman"/>
          <w:szCs w:val="24"/>
        </w:rPr>
        <w:t>，</w:t>
      </w:r>
      <w:r>
        <w:rPr>
          <w:rFonts w:ascii="Times New Roman" w:hAnsi="Times New Roman" w:hint="eastAsia"/>
          <w:szCs w:val="24"/>
        </w:rPr>
        <w:t>煤层厚度</w:t>
      </w:r>
      <w:r>
        <w:rPr>
          <w:rFonts w:ascii="Times New Roman" w:hAnsi="Times New Roman" w:hint="eastAsia"/>
          <w:szCs w:val="24"/>
        </w:rPr>
        <w:t>0.26-4.19m</w:t>
      </w:r>
      <w:r>
        <w:rPr>
          <w:rFonts w:ascii="Times New Roman" w:hAnsi="Times New Roman" w:hint="eastAsia"/>
          <w:szCs w:val="24"/>
        </w:rPr>
        <w:t>，平均厚度</w:t>
      </w:r>
      <w:r>
        <w:rPr>
          <w:rFonts w:ascii="Times New Roman" w:hAnsi="Times New Roman" w:hint="eastAsia"/>
          <w:szCs w:val="24"/>
        </w:rPr>
        <w:t>1.38m</w:t>
      </w:r>
      <w:r>
        <w:rPr>
          <w:rFonts w:ascii="Times New Roman" w:hAnsi="Times New Roman" w:hint="eastAsia"/>
          <w:szCs w:val="24"/>
        </w:rPr>
        <w:t>。可采厚度</w:t>
      </w:r>
      <w:r>
        <w:rPr>
          <w:rFonts w:ascii="Times New Roman" w:hAnsi="Times New Roman" w:hint="eastAsia"/>
          <w:szCs w:val="24"/>
        </w:rPr>
        <w:t>0.70</w:t>
      </w:r>
      <w:r>
        <w:rPr>
          <w:rFonts w:ascii="Times New Roman" w:hAnsi="Times New Roman" w:hint="eastAsia"/>
          <w:szCs w:val="24"/>
        </w:rPr>
        <w:t>～</w:t>
      </w:r>
      <w:r>
        <w:rPr>
          <w:rFonts w:ascii="Times New Roman" w:hAnsi="Times New Roman" w:hint="eastAsia"/>
          <w:szCs w:val="24"/>
        </w:rPr>
        <w:t>3.10m</w:t>
      </w:r>
      <w:r>
        <w:rPr>
          <w:rFonts w:ascii="Times New Roman" w:hAnsi="Times New Roman" w:hint="eastAsia"/>
          <w:szCs w:val="24"/>
        </w:rPr>
        <w:t>，平均可采厚度</w:t>
      </w:r>
      <w:r>
        <w:rPr>
          <w:rFonts w:ascii="Times New Roman" w:hAnsi="Times New Roman" w:hint="eastAsia"/>
          <w:szCs w:val="24"/>
        </w:rPr>
        <w:t>1.39m</w:t>
      </w:r>
      <w:r>
        <w:rPr>
          <w:rFonts w:ascii="Times New Roman" w:hAnsi="Times New Roman"/>
          <w:szCs w:val="24"/>
        </w:rPr>
        <w:t>。</w:t>
      </w:r>
      <w:r>
        <w:rPr>
          <w:rFonts w:ascii="Times New Roman" w:hAnsi="Times New Roman" w:hint="eastAsia"/>
          <w:szCs w:val="24"/>
        </w:rPr>
        <w:t>煤层为薄</w:t>
      </w:r>
      <w:r>
        <w:rPr>
          <w:rFonts w:ascii="Times New Roman" w:hAnsi="Times New Roman" w:hint="eastAsia"/>
          <w:szCs w:val="24"/>
        </w:rPr>
        <w:t>-</w:t>
      </w:r>
      <w:r>
        <w:rPr>
          <w:rFonts w:ascii="Times New Roman" w:hAnsi="Times New Roman" w:hint="eastAsia"/>
          <w:szCs w:val="24"/>
        </w:rPr>
        <w:t>中厚煤层，含有</w:t>
      </w:r>
      <w:r>
        <w:rPr>
          <w:rFonts w:ascii="Times New Roman" w:hAnsi="Times New Roman" w:hint="eastAsia"/>
          <w:szCs w:val="24"/>
        </w:rPr>
        <w:t>1-3</w:t>
      </w:r>
      <w:r>
        <w:rPr>
          <w:rFonts w:ascii="Times New Roman" w:hAnsi="Times New Roman" w:hint="eastAsia"/>
          <w:szCs w:val="24"/>
        </w:rPr>
        <w:t>层泥岩夹矸，大部分为一层夹矸，结构简单煤层。煤层对比可靠，大部可采，属稳定煤层。煤层顶板多为粉砂岩、粗砂岩和泥岩，底板多为粉砂岩、泥岩。</w:t>
      </w:r>
    </w:p>
    <w:p w14:paraId="3C05C463"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丁家梁井田</w:t>
      </w:r>
      <w:r>
        <w:rPr>
          <w:rFonts w:ascii="Times New Roman" w:hAnsi="Times New Roman" w:hint="eastAsia"/>
          <w:szCs w:val="24"/>
        </w:rPr>
        <w:t>（东部）一煤</w:t>
      </w:r>
      <w:r>
        <w:rPr>
          <w:rFonts w:ascii="Times New Roman" w:hAnsi="Times New Roman"/>
          <w:szCs w:val="24"/>
        </w:rPr>
        <w:t>，</w:t>
      </w:r>
      <w:r>
        <w:rPr>
          <w:rFonts w:ascii="Times New Roman" w:hAnsi="Times New Roman" w:hint="eastAsia"/>
          <w:szCs w:val="24"/>
        </w:rPr>
        <w:t>煤层厚度</w:t>
      </w:r>
      <w:r>
        <w:rPr>
          <w:rFonts w:ascii="Times New Roman" w:hAnsi="Times New Roman"/>
          <w:szCs w:val="24"/>
        </w:rPr>
        <w:t>0</w:t>
      </w:r>
      <w:r>
        <w:rPr>
          <w:rFonts w:ascii="Times New Roman" w:hAnsi="Times New Roman"/>
          <w:szCs w:val="24"/>
        </w:rPr>
        <w:t>～</w:t>
      </w:r>
      <w:r>
        <w:rPr>
          <w:rFonts w:ascii="Times New Roman" w:hAnsi="Times New Roman"/>
          <w:szCs w:val="24"/>
        </w:rPr>
        <w:t>3.43m</w:t>
      </w:r>
      <w:r>
        <w:rPr>
          <w:rFonts w:ascii="Times New Roman" w:hAnsi="Times New Roman"/>
          <w:szCs w:val="24"/>
        </w:rPr>
        <w:t>，平均煤厚</w:t>
      </w:r>
      <w:r>
        <w:rPr>
          <w:rFonts w:ascii="Times New Roman" w:hAnsi="Times New Roman"/>
          <w:szCs w:val="24"/>
        </w:rPr>
        <w:t>1.56m</w:t>
      </w:r>
      <w:r>
        <w:rPr>
          <w:rFonts w:ascii="Times New Roman" w:hAnsi="Times New Roman"/>
          <w:szCs w:val="24"/>
        </w:rPr>
        <w:t>。</w:t>
      </w:r>
      <w:r>
        <w:rPr>
          <w:rFonts w:ascii="Times New Roman" w:hAnsi="Times New Roman" w:hint="eastAsia"/>
          <w:szCs w:val="24"/>
        </w:rPr>
        <w:t>可采厚度</w:t>
      </w:r>
      <w:r>
        <w:rPr>
          <w:rFonts w:ascii="Times New Roman" w:hAnsi="Times New Roman" w:hint="eastAsia"/>
          <w:szCs w:val="24"/>
        </w:rPr>
        <w:t>0.90</w:t>
      </w:r>
      <w:r>
        <w:rPr>
          <w:rFonts w:ascii="Times New Roman" w:hAnsi="Times New Roman" w:hint="eastAsia"/>
          <w:szCs w:val="24"/>
        </w:rPr>
        <w:t>—</w:t>
      </w:r>
      <w:r>
        <w:rPr>
          <w:rFonts w:ascii="Times New Roman" w:hAnsi="Times New Roman" w:hint="eastAsia"/>
          <w:szCs w:val="24"/>
        </w:rPr>
        <w:t>3.43m</w:t>
      </w:r>
      <w:r>
        <w:rPr>
          <w:rFonts w:ascii="Times New Roman" w:hAnsi="Times New Roman" w:hint="eastAsia"/>
          <w:szCs w:val="24"/>
        </w:rPr>
        <w:t>，平均</w:t>
      </w:r>
      <w:r>
        <w:rPr>
          <w:rFonts w:ascii="Times New Roman" w:hAnsi="Times New Roman" w:hint="eastAsia"/>
          <w:szCs w:val="24"/>
        </w:rPr>
        <w:t>1.83m</w:t>
      </w:r>
      <w:r>
        <w:rPr>
          <w:rFonts w:ascii="Times New Roman" w:hAnsi="Times New Roman" w:hint="eastAsia"/>
          <w:szCs w:val="24"/>
        </w:rPr>
        <w:t>。</w:t>
      </w:r>
      <w:r>
        <w:rPr>
          <w:rFonts w:ascii="Times New Roman" w:hAnsi="Times New Roman"/>
          <w:szCs w:val="24"/>
        </w:rPr>
        <w:t>厚度</w:t>
      </w:r>
      <w:r>
        <w:rPr>
          <w:rFonts w:ascii="Times New Roman" w:hAnsi="Times New Roman"/>
          <w:szCs w:val="24"/>
        </w:rPr>
        <w:t>1.63</w:t>
      </w:r>
      <w:r>
        <w:rPr>
          <w:rFonts w:ascii="Times New Roman" w:hAnsi="Times New Roman"/>
          <w:szCs w:val="24"/>
        </w:rPr>
        <w:t>～</w:t>
      </w:r>
      <w:r>
        <w:rPr>
          <w:rFonts w:ascii="Times New Roman" w:hAnsi="Times New Roman"/>
          <w:szCs w:val="24"/>
        </w:rPr>
        <w:t>1.86m</w:t>
      </w:r>
      <w:r>
        <w:rPr>
          <w:rFonts w:ascii="Times New Roman" w:hAnsi="Times New Roman"/>
          <w:szCs w:val="24"/>
        </w:rPr>
        <w:t>，煤层结构简单，局部含一层夹矸</w:t>
      </w:r>
      <w:r>
        <w:rPr>
          <w:rFonts w:ascii="Times New Roman" w:hAnsi="Times New Roman" w:hint="eastAsia"/>
          <w:szCs w:val="24"/>
        </w:rPr>
        <w:t>，</w:t>
      </w:r>
      <w:r>
        <w:rPr>
          <w:rFonts w:ascii="Times New Roman" w:hAnsi="Times New Roman"/>
          <w:szCs w:val="24"/>
        </w:rPr>
        <w:t>对比可靠，</w:t>
      </w:r>
      <w:r>
        <w:rPr>
          <w:rFonts w:ascii="Times New Roman" w:hAnsi="Times New Roman" w:hint="eastAsia"/>
          <w:szCs w:val="24"/>
        </w:rPr>
        <w:t>大部可采，属</w:t>
      </w:r>
      <w:r>
        <w:rPr>
          <w:rFonts w:ascii="Times New Roman" w:hAnsi="Times New Roman"/>
          <w:szCs w:val="24"/>
        </w:rPr>
        <w:t>较</w:t>
      </w:r>
      <w:r>
        <w:rPr>
          <w:rFonts w:ascii="Times New Roman" w:hAnsi="Times New Roman" w:hint="eastAsia"/>
          <w:szCs w:val="24"/>
        </w:rPr>
        <w:t>稳定煤层。</w:t>
      </w:r>
      <w:r>
        <w:rPr>
          <w:rFonts w:ascii="Times New Roman" w:hAnsi="Times New Roman"/>
          <w:szCs w:val="24"/>
        </w:rPr>
        <w:t>丁家梁井田</w:t>
      </w:r>
      <w:r>
        <w:rPr>
          <w:rFonts w:ascii="Times New Roman" w:hAnsi="Times New Roman" w:hint="eastAsia"/>
          <w:szCs w:val="24"/>
        </w:rPr>
        <w:t>（西部）一煤，煤层厚度</w:t>
      </w:r>
      <w:r>
        <w:rPr>
          <w:rFonts w:ascii="Times New Roman" w:hAnsi="Times New Roman" w:hint="eastAsia"/>
          <w:szCs w:val="24"/>
        </w:rPr>
        <w:t>0-2.32m</w:t>
      </w:r>
      <w:r>
        <w:rPr>
          <w:rFonts w:ascii="Times New Roman" w:hAnsi="Times New Roman" w:hint="eastAsia"/>
          <w:szCs w:val="24"/>
        </w:rPr>
        <w:t>，平均厚度</w:t>
      </w:r>
      <w:r>
        <w:rPr>
          <w:rFonts w:ascii="Times New Roman" w:hAnsi="Times New Roman" w:hint="eastAsia"/>
          <w:szCs w:val="24"/>
        </w:rPr>
        <w:t>1.32m</w:t>
      </w:r>
      <w:r>
        <w:rPr>
          <w:rFonts w:ascii="Times New Roman" w:hAnsi="Times New Roman" w:hint="eastAsia"/>
          <w:szCs w:val="24"/>
        </w:rPr>
        <w:t>。煤层可采厚度</w:t>
      </w:r>
      <w:r>
        <w:rPr>
          <w:rFonts w:ascii="Times New Roman" w:hAnsi="Times New Roman" w:hint="eastAsia"/>
          <w:szCs w:val="24"/>
        </w:rPr>
        <w:t>0.77</w:t>
      </w:r>
      <w:r>
        <w:rPr>
          <w:rFonts w:ascii="Times New Roman" w:hAnsi="Times New Roman" w:hint="eastAsia"/>
          <w:szCs w:val="24"/>
        </w:rPr>
        <w:t>～</w:t>
      </w:r>
      <w:r>
        <w:rPr>
          <w:rFonts w:ascii="Times New Roman" w:hAnsi="Times New Roman" w:hint="eastAsia"/>
          <w:szCs w:val="24"/>
        </w:rPr>
        <w:t>2.32m</w:t>
      </w:r>
      <w:r>
        <w:rPr>
          <w:rFonts w:ascii="Times New Roman" w:hAnsi="Times New Roman" w:hint="eastAsia"/>
          <w:szCs w:val="24"/>
        </w:rPr>
        <w:t>，平均可采厚度</w:t>
      </w:r>
      <w:r>
        <w:rPr>
          <w:rFonts w:ascii="Times New Roman" w:hAnsi="Times New Roman" w:hint="eastAsia"/>
          <w:szCs w:val="24"/>
        </w:rPr>
        <w:t>1.51m</w:t>
      </w:r>
      <w:r>
        <w:rPr>
          <w:rFonts w:ascii="Times New Roman" w:hAnsi="Times New Roman" w:hint="eastAsia"/>
          <w:szCs w:val="24"/>
        </w:rPr>
        <w:t>；该煤层为局部个别点含</w:t>
      </w:r>
      <w:r>
        <w:rPr>
          <w:rFonts w:ascii="Times New Roman" w:hAnsi="Times New Roman" w:hint="eastAsia"/>
          <w:szCs w:val="24"/>
        </w:rPr>
        <w:t>1</w:t>
      </w:r>
      <w:r>
        <w:rPr>
          <w:rFonts w:ascii="Times New Roman" w:hAnsi="Times New Roman" w:hint="eastAsia"/>
          <w:szCs w:val="24"/>
        </w:rPr>
        <w:t>层夹矸的结构简单煤层，该煤层为薄</w:t>
      </w:r>
      <w:r>
        <w:rPr>
          <w:rFonts w:ascii="Times New Roman" w:hAnsi="Times New Roman" w:hint="eastAsia"/>
          <w:szCs w:val="24"/>
        </w:rPr>
        <w:t>-</w:t>
      </w:r>
      <w:r>
        <w:rPr>
          <w:rFonts w:ascii="Times New Roman" w:hAnsi="Times New Roman" w:hint="eastAsia"/>
          <w:szCs w:val="24"/>
        </w:rPr>
        <w:t>中厚煤层，厚度变化小，全区可采，属较稳定煤层。煤层顶、底板多为粉砂岩、泥岩。</w:t>
      </w:r>
    </w:p>
    <w:p w14:paraId="444BD4AB"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2</w:t>
      </w:r>
      <w:r>
        <w:rPr>
          <w:rFonts w:ascii="Times New Roman" w:hAnsi="Times New Roman" w:hint="eastAsia"/>
          <w:szCs w:val="24"/>
        </w:rPr>
        <w:t>）</w:t>
      </w:r>
      <w:r>
        <w:rPr>
          <w:rFonts w:ascii="Times New Roman" w:hAnsi="Times New Roman"/>
          <w:szCs w:val="24"/>
        </w:rPr>
        <w:t>三煤</w:t>
      </w:r>
    </w:p>
    <w:p w14:paraId="2C2A81A2"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第三煤层位于山西组上部，是主要可采煤层。</w:t>
      </w:r>
    </w:p>
    <w:p w14:paraId="75BBF1B3"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马莲台井田</w:t>
      </w:r>
      <w:r>
        <w:rPr>
          <w:rFonts w:ascii="Times New Roman" w:hAnsi="Times New Roman" w:hint="eastAsia"/>
          <w:szCs w:val="24"/>
        </w:rPr>
        <w:t>三煤，煤层厚度</w:t>
      </w:r>
      <w:r>
        <w:rPr>
          <w:rFonts w:ascii="Times New Roman" w:hAnsi="Times New Roman" w:hint="eastAsia"/>
          <w:szCs w:val="24"/>
        </w:rPr>
        <w:t>0.26</w:t>
      </w:r>
      <w:r>
        <w:rPr>
          <w:rFonts w:ascii="Times New Roman" w:hAnsi="Times New Roman" w:hint="eastAsia"/>
          <w:szCs w:val="24"/>
        </w:rPr>
        <w:t>～</w:t>
      </w:r>
      <w:r>
        <w:rPr>
          <w:rFonts w:ascii="Times New Roman" w:hAnsi="Times New Roman" w:hint="eastAsia"/>
          <w:szCs w:val="24"/>
        </w:rPr>
        <w:t>3.81m</w:t>
      </w:r>
      <w:r>
        <w:rPr>
          <w:rFonts w:ascii="Times New Roman" w:hAnsi="Times New Roman" w:hint="eastAsia"/>
          <w:szCs w:val="24"/>
        </w:rPr>
        <w:t>，平均厚</w:t>
      </w:r>
      <w:r>
        <w:rPr>
          <w:rFonts w:ascii="Times New Roman" w:hAnsi="Times New Roman" w:hint="eastAsia"/>
          <w:szCs w:val="24"/>
        </w:rPr>
        <w:t>1.95m</w:t>
      </w:r>
      <w:r>
        <w:rPr>
          <w:rFonts w:ascii="Times New Roman" w:hAnsi="Times New Roman" w:hint="eastAsia"/>
          <w:szCs w:val="24"/>
        </w:rPr>
        <w:t>。可采厚度</w:t>
      </w:r>
      <w:r>
        <w:rPr>
          <w:rFonts w:ascii="Times New Roman" w:hAnsi="Times New Roman" w:hint="eastAsia"/>
          <w:szCs w:val="24"/>
        </w:rPr>
        <w:t>0.74</w:t>
      </w:r>
      <w:r>
        <w:rPr>
          <w:rFonts w:ascii="Times New Roman" w:hAnsi="Times New Roman" w:hint="eastAsia"/>
          <w:szCs w:val="24"/>
        </w:rPr>
        <w:t>～</w:t>
      </w:r>
      <w:r>
        <w:rPr>
          <w:rFonts w:ascii="Times New Roman" w:hAnsi="Times New Roman" w:hint="eastAsia"/>
          <w:szCs w:val="24"/>
        </w:rPr>
        <w:t>3.81m</w:t>
      </w:r>
      <w:r>
        <w:rPr>
          <w:rFonts w:ascii="Times New Roman" w:hAnsi="Times New Roman" w:hint="eastAsia"/>
          <w:szCs w:val="24"/>
        </w:rPr>
        <w:t>，平均可采厚度</w:t>
      </w:r>
      <w:r>
        <w:rPr>
          <w:rFonts w:ascii="Times New Roman" w:hAnsi="Times New Roman" w:hint="eastAsia"/>
          <w:szCs w:val="24"/>
        </w:rPr>
        <w:t>1.92m</w:t>
      </w:r>
      <w:r>
        <w:rPr>
          <w:rFonts w:ascii="Times New Roman" w:hAnsi="Times New Roman" w:hint="eastAsia"/>
          <w:szCs w:val="24"/>
        </w:rPr>
        <w:t>。属中厚煤层，有</w:t>
      </w:r>
      <w:r>
        <w:rPr>
          <w:rFonts w:ascii="Times New Roman" w:hAnsi="Times New Roman" w:hint="eastAsia"/>
          <w:szCs w:val="24"/>
        </w:rPr>
        <w:t>0</w:t>
      </w: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层夹矸，一般</w:t>
      </w:r>
      <w:r>
        <w:rPr>
          <w:rFonts w:ascii="Times New Roman" w:hAnsi="Times New Roman" w:hint="eastAsia"/>
          <w:szCs w:val="24"/>
        </w:rPr>
        <w:t>0</w:t>
      </w: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层夹矸，结构简单，</w:t>
      </w:r>
      <w:r>
        <w:rPr>
          <w:rFonts w:ascii="Times New Roman" w:hAnsi="Times New Roman"/>
          <w:szCs w:val="24"/>
        </w:rPr>
        <w:t>厚度南北薄，中间厚</w:t>
      </w:r>
      <w:r>
        <w:rPr>
          <w:rFonts w:ascii="Times New Roman" w:hAnsi="Times New Roman" w:hint="eastAsia"/>
          <w:szCs w:val="24"/>
        </w:rPr>
        <w:t>，</w:t>
      </w:r>
      <w:r>
        <w:rPr>
          <w:rFonts w:ascii="Times New Roman" w:hAnsi="Times New Roman"/>
          <w:szCs w:val="24"/>
        </w:rPr>
        <w:t>总体</w:t>
      </w:r>
      <w:r>
        <w:rPr>
          <w:rFonts w:ascii="Times New Roman" w:hAnsi="Times New Roman" w:hint="eastAsia"/>
          <w:szCs w:val="24"/>
        </w:rPr>
        <w:t>变化小</w:t>
      </w:r>
      <w:r>
        <w:rPr>
          <w:rFonts w:ascii="Times New Roman" w:hAnsi="Times New Roman"/>
          <w:szCs w:val="24"/>
        </w:rPr>
        <w:t>。</w:t>
      </w:r>
      <w:r>
        <w:rPr>
          <w:rFonts w:ascii="Times New Roman" w:hAnsi="Times New Roman" w:hint="eastAsia"/>
          <w:szCs w:val="24"/>
        </w:rPr>
        <w:t>全区可采，属稳定煤层。煤层顶板疏松为泥岩、炭质泥岩、砂泥岩、粉砂岩，底板为细砂岩、粉砂岩、泥岩、砂质泥岩。</w:t>
      </w:r>
    </w:p>
    <w:p w14:paraId="463455AA"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在红石湾井田</w:t>
      </w:r>
      <w:r>
        <w:rPr>
          <w:rFonts w:ascii="Times New Roman" w:hAnsi="Times New Roman" w:hint="eastAsia"/>
          <w:szCs w:val="24"/>
        </w:rPr>
        <w:t>三煤，煤层厚度</w:t>
      </w:r>
      <w:r>
        <w:rPr>
          <w:rFonts w:ascii="Times New Roman" w:hAnsi="Times New Roman"/>
          <w:szCs w:val="24"/>
        </w:rPr>
        <w:t>0.11</w:t>
      </w:r>
      <w:r>
        <w:rPr>
          <w:rFonts w:ascii="Times New Roman" w:hAnsi="Times New Roman" w:hint="eastAsia"/>
          <w:szCs w:val="24"/>
        </w:rPr>
        <w:t>～</w:t>
      </w:r>
      <w:r>
        <w:rPr>
          <w:rFonts w:ascii="Times New Roman" w:hAnsi="Times New Roman"/>
          <w:szCs w:val="24"/>
        </w:rPr>
        <w:t>3.97m</w:t>
      </w:r>
      <w:r>
        <w:rPr>
          <w:rFonts w:ascii="Times New Roman" w:hAnsi="Times New Roman" w:hint="eastAsia"/>
          <w:szCs w:val="24"/>
        </w:rPr>
        <w:t>，平均厚度</w:t>
      </w:r>
      <w:r>
        <w:rPr>
          <w:rFonts w:ascii="Times New Roman" w:hAnsi="Times New Roman"/>
          <w:szCs w:val="24"/>
        </w:rPr>
        <w:t>1.94m</w:t>
      </w:r>
      <w:r>
        <w:rPr>
          <w:rFonts w:ascii="Times New Roman" w:hAnsi="Times New Roman" w:hint="eastAsia"/>
          <w:szCs w:val="24"/>
        </w:rPr>
        <w:t>。可采煤层厚度为</w:t>
      </w:r>
      <w:r>
        <w:rPr>
          <w:rFonts w:ascii="Times New Roman" w:hAnsi="Times New Roman"/>
          <w:szCs w:val="24"/>
        </w:rPr>
        <w:t>0.74</w:t>
      </w:r>
      <w:r>
        <w:rPr>
          <w:rFonts w:ascii="Times New Roman" w:hAnsi="Times New Roman" w:hint="eastAsia"/>
          <w:szCs w:val="24"/>
        </w:rPr>
        <w:t>～</w:t>
      </w:r>
      <w:r>
        <w:rPr>
          <w:rFonts w:ascii="Times New Roman" w:hAnsi="Times New Roman"/>
          <w:szCs w:val="24"/>
        </w:rPr>
        <w:t>3.97m</w:t>
      </w:r>
      <w:r>
        <w:rPr>
          <w:rFonts w:ascii="Times New Roman" w:hAnsi="Times New Roman" w:hint="eastAsia"/>
          <w:szCs w:val="24"/>
        </w:rPr>
        <w:t>，平均可采厚度</w:t>
      </w:r>
      <w:r>
        <w:rPr>
          <w:rFonts w:ascii="Times New Roman" w:hAnsi="Times New Roman"/>
          <w:szCs w:val="24"/>
        </w:rPr>
        <w:t>2.20m</w:t>
      </w:r>
      <w:r>
        <w:rPr>
          <w:rFonts w:ascii="Times New Roman" w:hAnsi="Times New Roman" w:hint="eastAsia"/>
          <w:szCs w:val="24"/>
        </w:rPr>
        <w:t>，为薄～中厚煤层。局部含</w:t>
      </w:r>
      <w:r>
        <w:rPr>
          <w:rFonts w:ascii="Times New Roman" w:hAnsi="Times New Roman" w:hint="eastAsia"/>
          <w:szCs w:val="24"/>
        </w:rPr>
        <w:t>1-2</w:t>
      </w:r>
      <w:r>
        <w:rPr>
          <w:rFonts w:ascii="Times New Roman" w:hAnsi="Times New Roman" w:hint="eastAsia"/>
          <w:szCs w:val="24"/>
        </w:rPr>
        <w:t>层夹矸，结构简单。对比可靠，大部可采，</w:t>
      </w:r>
      <w:r>
        <w:rPr>
          <w:rFonts w:ascii="Times New Roman" w:hAnsi="Times New Roman"/>
          <w:szCs w:val="24"/>
        </w:rPr>
        <w:t>属</w:t>
      </w:r>
      <w:r>
        <w:rPr>
          <w:rFonts w:ascii="Times New Roman" w:hAnsi="Times New Roman" w:hint="eastAsia"/>
          <w:szCs w:val="24"/>
        </w:rPr>
        <w:t>稳定煤层。煤层顶板岩性以粗粒砂岩、细粒砂岩为主，粉砂岩次之，岩性粒度自煤层顶板向上逐渐变细，由细砂岩、粗砂岩逐渐过渡为泥岩，局部可见厚约</w:t>
      </w:r>
      <w:r>
        <w:rPr>
          <w:rFonts w:ascii="Times New Roman" w:hAnsi="Times New Roman" w:hint="eastAsia"/>
          <w:szCs w:val="24"/>
        </w:rPr>
        <w:t>0.30</w:t>
      </w:r>
      <w:r>
        <w:rPr>
          <w:rFonts w:ascii="Times New Roman" w:hAnsi="Times New Roman" w:hint="eastAsia"/>
          <w:szCs w:val="24"/>
        </w:rPr>
        <w:t>～</w:t>
      </w:r>
      <w:r>
        <w:rPr>
          <w:rFonts w:ascii="Times New Roman" w:hAnsi="Times New Roman" w:hint="eastAsia"/>
          <w:szCs w:val="24"/>
        </w:rPr>
        <w:t>1.00m</w:t>
      </w:r>
      <w:r>
        <w:rPr>
          <w:rFonts w:ascii="Times New Roman" w:hAnsi="Times New Roman" w:hint="eastAsia"/>
          <w:szCs w:val="24"/>
        </w:rPr>
        <w:t>的泥岩伪顶；底板岩性多为粉砂岩及泥岩，岩层厚度稳定，之下岩性粒度逐渐变细与四煤顶板接触。</w:t>
      </w:r>
    </w:p>
    <w:p w14:paraId="60C73B7D"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任家庄井田</w:t>
      </w:r>
      <w:r>
        <w:rPr>
          <w:rFonts w:ascii="Times New Roman" w:hAnsi="Times New Roman" w:hint="eastAsia"/>
          <w:szCs w:val="24"/>
        </w:rPr>
        <w:t>三煤，煤层厚度</w:t>
      </w:r>
      <w:r>
        <w:rPr>
          <w:rFonts w:ascii="Times New Roman" w:hAnsi="Times New Roman" w:hint="eastAsia"/>
          <w:szCs w:val="24"/>
        </w:rPr>
        <w:t>0.90-6.17m</w:t>
      </w:r>
      <w:r>
        <w:rPr>
          <w:rFonts w:ascii="Times New Roman" w:hAnsi="Times New Roman" w:hint="eastAsia"/>
          <w:szCs w:val="24"/>
        </w:rPr>
        <w:t>，平均厚度</w:t>
      </w:r>
      <w:r>
        <w:rPr>
          <w:rFonts w:ascii="Times New Roman" w:hAnsi="Times New Roman" w:hint="eastAsia"/>
          <w:szCs w:val="24"/>
        </w:rPr>
        <w:t>3.09m</w:t>
      </w:r>
      <w:r>
        <w:rPr>
          <w:rFonts w:ascii="Times New Roman" w:hAnsi="Times New Roman" w:hint="eastAsia"/>
          <w:szCs w:val="24"/>
        </w:rPr>
        <w:t>。煤层可采厚度</w:t>
      </w:r>
      <w:r>
        <w:rPr>
          <w:rFonts w:ascii="Times New Roman" w:hAnsi="Times New Roman" w:hint="eastAsia"/>
          <w:szCs w:val="24"/>
        </w:rPr>
        <w:t>0.88</w:t>
      </w:r>
      <w:r>
        <w:rPr>
          <w:rFonts w:ascii="Times New Roman" w:hAnsi="Times New Roman" w:hint="eastAsia"/>
          <w:szCs w:val="24"/>
        </w:rPr>
        <w:t>～</w:t>
      </w:r>
      <w:r>
        <w:rPr>
          <w:rFonts w:ascii="Times New Roman" w:hAnsi="Times New Roman" w:hint="eastAsia"/>
          <w:szCs w:val="24"/>
        </w:rPr>
        <w:t>5.94m</w:t>
      </w:r>
      <w:r>
        <w:rPr>
          <w:rFonts w:ascii="Times New Roman" w:hAnsi="Times New Roman" w:hint="eastAsia"/>
          <w:szCs w:val="24"/>
        </w:rPr>
        <w:t>，平均可采厚度</w:t>
      </w:r>
      <w:r>
        <w:rPr>
          <w:rFonts w:ascii="Times New Roman" w:hAnsi="Times New Roman" w:hint="eastAsia"/>
          <w:szCs w:val="24"/>
        </w:rPr>
        <w:t>3.01m</w:t>
      </w:r>
      <w:r>
        <w:rPr>
          <w:rFonts w:ascii="Times New Roman" w:hAnsi="Times New Roman" w:hint="eastAsia"/>
          <w:szCs w:val="24"/>
        </w:rPr>
        <w:t>，为薄</w:t>
      </w:r>
      <w:r>
        <w:rPr>
          <w:rFonts w:ascii="Times New Roman" w:hAnsi="Times New Roman" w:hint="eastAsia"/>
          <w:szCs w:val="24"/>
        </w:rPr>
        <w:t>-</w:t>
      </w:r>
      <w:r>
        <w:rPr>
          <w:rFonts w:ascii="Times New Roman" w:hAnsi="Times New Roman" w:hint="eastAsia"/>
          <w:szCs w:val="24"/>
        </w:rPr>
        <w:t>厚煤层。</w:t>
      </w:r>
      <w:r>
        <w:rPr>
          <w:rFonts w:ascii="Times New Roman" w:hAnsi="Times New Roman"/>
          <w:szCs w:val="24"/>
        </w:rPr>
        <w:t>煤层结构简单不含夹矸，</w:t>
      </w:r>
      <w:r>
        <w:rPr>
          <w:rFonts w:ascii="Times New Roman" w:hAnsi="Times New Roman" w:hint="eastAsia"/>
          <w:szCs w:val="24"/>
        </w:rPr>
        <w:t>煤层厚度变化较小，全区可采，属稳定煤层。</w:t>
      </w:r>
      <w:r>
        <w:rPr>
          <w:rFonts w:ascii="Times New Roman" w:hAnsi="Times New Roman"/>
          <w:szCs w:val="24"/>
        </w:rPr>
        <w:t>煤层直接顶板以粉砂岩、泥岩为主，其次为中砂岩和细砂岩；煤层底板主要为粉砂岩、泥岩，其次为细砂岩。</w:t>
      </w:r>
    </w:p>
    <w:p w14:paraId="5642175B"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丁家梁井田</w:t>
      </w:r>
      <w:r>
        <w:rPr>
          <w:rFonts w:ascii="Times New Roman" w:hAnsi="Times New Roman" w:hint="eastAsia"/>
          <w:szCs w:val="24"/>
        </w:rPr>
        <w:t>（东部）三煤，煤层厚度</w:t>
      </w:r>
      <w:r>
        <w:rPr>
          <w:rFonts w:ascii="Times New Roman" w:hAnsi="Times New Roman"/>
          <w:szCs w:val="24"/>
        </w:rPr>
        <w:t>0.72</w:t>
      </w:r>
      <w:r>
        <w:rPr>
          <w:rFonts w:ascii="Times New Roman" w:hAnsi="Times New Roman"/>
          <w:szCs w:val="24"/>
        </w:rPr>
        <w:t>～</w:t>
      </w:r>
      <w:r>
        <w:rPr>
          <w:rFonts w:ascii="Times New Roman" w:hAnsi="Times New Roman"/>
          <w:szCs w:val="24"/>
        </w:rPr>
        <w:t>6.34m</w:t>
      </w:r>
      <w:r>
        <w:rPr>
          <w:rFonts w:ascii="Times New Roman" w:hAnsi="Times New Roman"/>
          <w:szCs w:val="24"/>
        </w:rPr>
        <w:t>，平均煤厚</w:t>
      </w:r>
      <w:r>
        <w:rPr>
          <w:rFonts w:ascii="Times New Roman" w:hAnsi="Times New Roman"/>
          <w:szCs w:val="24"/>
        </w:rPr>
        <w:t>2.75m</w:t>
      </w:r>
      <w:r>
        <w:rPr>
          <w:rFonts w:ascii="Times New Roman" w:hAnsi="Times New Roman" w:hint="eastAsia"/>
          <w:szCs w:val="24"/>
        </w:rPr>
        <w:t>。煤层可采厚度</w:t>
      </w:r>
      <w:r>
        <w:rPr>
          <w:rFonts w:ascii="Times New Roman" w:hAnsi="Times New Roman" w:hint="eastAsia"/>
          <w:szCs w:val="24"/>
        </w:rPr>
        <w:t>0.72</w:t>
      </w:r>
      <w:r>
        <w:rPr>
          <w:rFonts w:ascii="Times New Roman" w:hAnsi="Times New Roman" w:hint="eastAsia"/>
          <w:szCs w:val="24"/>
        </w:rPr>
        <w:t>—</w:t>
      </w:r>
      <w:r>
        <w:rPr>
          <w:rFonts w:ascii="Times New Roman" w:hAnsi="Times New Roman" w:hint="eastAsia"/>
          <w:szCs w:val="24"/>
        </w:rPr>
        <w:t>5.22m</w:t>
      </w:r>
      <w:r>
        <w:rPr>
          <w:rFonts w:ascii="Times New Roman" w:hAnsi="Times New Roman" w:hint="eastAsia"/>
          <w:szCs w:val="24"/>
        </w:rPr>
        <w:t>，平均可采厚度</w:t>
      </w:r>
      <w:r>
        <w:rPr>
          <w:rFonts w:ascii="Times New Roman" w:hAnsi="Times New Roman" w:hint="eastAsia"/>
          <w:szCs w:val="24"/>
        </w:rPr>
        <w:t>2.50m</w:t>
      </w:r>
      <w:r>
        <w:rPr>
          <w:rFonts w:ascii="Times New Roman" w:hAnsi="Times New Roman" w:hint="eastAsia"/>
          <w:szCs w:val="24"/>
        </w:rPr>
        <w:t>。</w:t>
      </w:r>
      <w:r>
        <w:rPr>
          <w:rFonts w:ascii="Times New Roman" w:hAnsi="Times New Roman"/>
          <w:szCs w:val="24"/>
        </w:rPr>
        <w:t>煤层结构较简单，含一层夹矸，局部含</w:t>
      </w:r>
      <w:r>
        <w:rPr>
          <w:rFonts w:ascii="Times New Roman" w:hAnsi="Times New Roman"/>
          <w:szCs w:val="24"/>
        </w:rPr>
        <w:t>2</w:t>
      </w:r>
      <w:r>
        <w:rPr>
          <w:rFonts w:ascii="Times New Roman" w:hAnsi="Times New Roman"/>
          <w:szCs w:val="24"/>
        </w:rPr>
        <w:t>～</w:t>
      </w:r>
      <w:r>
        <w:rPr>
          <w:rFonts w:ascii="Times New Roman" w:hAnsi="Times New Roman"/>
          <w:szCs w:val="24"/>
        </w:rPr>
        <w:t>3</w:t>
      </w:r>
      <w:r>
        <w:rPr>
          <w:rFonts w:ascii="Times New Roman" w:hAnsi="Times New Roman"/>
          <w:szCs w:val="24"/>
        </w:rPr>
        <w:t>层夹矸。对比可靠，全区可采</w:t>
      </w:r>
      <w:r>
        <w:rPr>
          <w:rFonts w:ascii="Times New Roman" w:hAnsi="Times New Roman" w:hint="eastAsia"/>
          <w:szCs w:val="24"/>
        </w:rPr>
        <w:t>，属</w:t>
      </w:r>
      <w:r>
        <w:rPr>
          <w:rFonts w:ascii="Times New Roman" w:hAnsi="Times New Roman"/>
          <w:szCs w:val="24"/>
        </w:rPr>
        <w:t>稳定煤层</w:t>
      </w:r>
      <w:r>
        <w:rPr>
          <w:rFonts w:ascii="Times New Roman" w:hAnsi="Times New Roman" w:hint="eastAsia"/>
          <w:szCs w:val="24"/>
        </w:rPr>
        <w:t>。</w:t>
      </w:r>
      <w:r>
        <w:rPr>
          <w:rFonts w:ascii="Times New Roman" w:hAnsi="Times New Roman"/>
          <w:szCs w:val="24"/>
        </w:rPr>
        <w:t>丁家梁井田</w:t>
      </w:r>
      <w:r>
        <w:rPr>
          <w:rFonts w:ascii="Times New Roman" w:hAnsi="Times New Roman" w:hint="eastAsia"/>
          <w:szCs w:val="24"/>
        </w:rPr>
        <w:t>（西部）三煤，煤层厚度</w:t>
      </w:r>
      <w:r>
        <w:rPr>
          <w:rFonts w:ascii="Times New Roman" w:hAnsi="Times New Roman" w:hint="eastAsia"/>
          <w:szCs w:val="24"/>
        </w:rPr>
        <w:t>0.95-5.22m</w:t>
      </w:r>
      <w:r>
        <w:rPr>
          <w:rFonts w:ascii="Times New Roman" w:hAnsi="Times New Roman" w:hint="eastAsia"/>
          <w:szCs w:val="24"/>
        </w:rPr>
        <w:t>，平均厚度</w:t>
      </w:r>
      <w:r>
        <w:rPr>
          <w:rFonts w:ascii="Times New Roman" w:hAnsi="Times New Roman" w:hint="eastAsia"/>
          <w:szCs w:val="24"/>
        </w:rPr>
        <w:t>2.32m</w:t>
      </w:r>
      <w:r>
        <w:rPr>
          <w:rFonts w:ascii="Times New Roman" w:hAnsi="Times New Roman" w:hint="eastAsia"/>
          <w:szCs w:val="24"/>
        </w:rPr>
        <w:t>。可采厚度</w:t>
      </w:r>
      <w:r>
        <w:rPr>
          <w:rFonts w:ascii="Times New Roman" w:hAnsi="Times New Roman" w:hint="eastAsia"/>
          <w:szCs w:val="24"/>
        </w:rPr>
        <w:t>0.95</w:t>
      </w:r>
      <w:r>
        <w:rPr>
          <w:rFonts w:ascii="Times New Roman" w:hAnsi="Times New Roman" w:hint="eastAsia"/>
          <w:szCs w:val="24"/>
        </w:rPr>
        <w:t>～</w:t>
      </w:r>
      <w:r>
        <w:rPr>
          <w:rFonts w:ascii="Times New Roman" w:hAnsi="Times New Roman" w:hint="eastAsia"/>
          <w:szCs w:val="24"/>
        </w:rPr>
        <w:t>5.22m</w:t>
      </w:r>
      <w:r>
        <w:rPr>
          <w:rFonts w:ascii="Times New Roman" w:hAnsi="Times New Roman" w:hint="eastAsia"/>
          <w:szCs w:val="24"/>
        </w:rPr>
        <w:t>，平均可采厚度</w:t>
      </w:r>
      <w:r>
        <w:rPr>
          <w:rFonts w:ascii="Times New Roman" w:hAnsi="Times New Roman" w:hint="eastAsia"/>
          <w:szCs w:val="24"/>
        </w:rPr>
        <w:t>2.19m</w:t>
      </w:r>
      <w:r>
        <w:rPr>
          <w:rFonts w:ascii="Times New Roman" w:hAnsi="Times New Roman" w:hint="eastAsia"/>
          <w:szCs w:val="24"/>
        </w:rPr>
        <w:t>，</w:t>
      </w:r>
      <w:r>
        <w:rPr>
          <w:rFonts w:ascii="Times New Roman" w:hAnsi="Times New Roman"/>
          <w:szCs w:val="24"/>
        </w:rPr>
        <w:t>为</w:t>
      </w:r>
      <w:r>
        <w:rPr>
          <w:rFonts w:ascii="Times New Roman" w:hAnsi="Times New Roman" w:hint="eastAsia"/>
          <w:szCs w:val="24"/>
        </w:rPr>
        <w:t>中厚煤层。煤层含夹矸</w:t>
      </w:r>
      <w:r>
        <w:rPr>
          <w:rFonts w:ascii="Times New Roman" w:hAnsi="Times New Roman" w:hint="eastAsia"/>
          <w:szCs w:val="24"/>
        </w:rPr>
        <w:t>0-3</w:t>
      </w:r>
      <w:r>
        <w:rPr>
          <w:rFonts w:ascii="Times New Roman" w:hAnsi="Times New Roman" w:hint="eastAsia"/>
          <w:szCs w:val="24"/>
        </w:rPr>
        <w:t>层，一般</w:t>
      </w:r>
      <w:r>
        <w:rPr>
          <w:rFonts w:ascii="Times New Roman" w:hAnsi="Times New Roman" w:hint="eastAsia"/>
          <w:szCs w:val="24"/>
        </w:rPr>
        <w:t>0-1</w:t>
      </w:r>
      <w:r>
        <w:rPr>
          <w:rFonts w:ascii="Times New Roman" w:hAnsi="Times New Roman" w:hint="eastAsia"/>
          <w:szCs w:val="24"/>
        </w:rPr>
        <w:t>层，结构简单。厚度变化小，全区可采，属稳定煤层。煤层顶、底板多为砂岩、泥岩。</w:t>
      </w:r>
    </w:p>
    <w:p w14:paraId="4086DBF2"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3</w:t>
      </w:r>
      <w:r>
        <w:rPr>
          <w:rFonts w:ascii="Times New Roman" w:hAnsi="Times New Roman" w:hint="eastAsia"/>
          <w:szCs w:val="24"/>
        </w:rPr>
        <w:t>）</w:t>
      </w:r>
      <w:r>
        <w:rPr>
          <w:rFonts w:ascii="Times New Roman" w:hAnsi="Times New Roman"/>
          <w:szCs w:val="24"/>
        </w:rPr>
        <w:t>五煤</w:t>
      </w:r>
    </w:p>
    <w:p w14:paraId="10B09D3F"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位于山西组下部，是主要</w:t>
      </w:r>
      <w:r>
        <w:rPr>
          <w:rFonts w:ascii="Times New Roman" w:hAnsi="Times New Roman" w:hint="eastAsia"/>
          <w:szCs w:val="24"/>
        </w:rPr>
        <w:t>可采煤层</w:t>
      </w:r>
      <w:r>
        <w:rPr>
          <w:rFonts w:ascii="Times New Roman" w:hAnsi="Times New Roman"/>
          <w:szCs w:val="24"/>
        </w:rPr>
        <w:t>。</w:t>
      </w:r>
    </w:p>
    <w:p w14:paraId="628D348E"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马莲台井田</w:t>
      </w:r>
      <w:r>
        <w:rPr>
          <w:rFonts w:ascii="Times New Roman" w:hAnsi="Times New Roman" w:hint="eastAsia"/>
          <w:szCs w:val="24"/>
        </w:rPr>
        <w:t>五煤，煤层厚度</w:t>
      </w:r>
      <w:r>
        <w:rPr>
          <w:rFonts w:ascii="Times New Roman" w:hAnsi="Times New Roman" w:hint="eastAsia"/>
          <w:szCs w:val="24"/>
        </w:rPr>
        <w:t>0.28</w:t>
      </w:r>
      <w:r>
        <w:rPr>
          <w:rFonts w:ascii="Times New Roman" w:hAnsi="Times New Roman" w:hint="eastAsia"/>
          <w:szCs w:val="24"/>
        </w:rPr>
        <w:t>～</w:t>
      </w:r>
      <w:r>
        <w:rPr>
          <w:rFonts w:ascii="Times New Roman" w:hAnsi="Times New Roman" w:hint="eastAsia"/>
          <w:szCs w:val="24"/>
        </w:rPr>
        <w:t>5.98m</w:t>
      </w:r>
      <w:r>
        <w:rPr>
          <w:rFonts w:ascii="Times New Roman" w:hAnsi="Times New Roman" w:hint="eastAsia"/>
          <w:szCs w:val="24"/>
        </w:rPr>
        <w:t>，平均厚</w:t>
      </w:r>
      <w:r>
        <w:rPr>
          <w:rFonts w:ascii="Times New Roman" w:hAnsi="Times New Roman" w:hint="eastAsia"/>
          <w:szCs w:val="24"/>
        </w:rPr>
        <w:t>3.17m</w:t>
      </w:r>
      <w:r>
        <w:rPr>
          <w:rFonts w:ascii="Times New Roman" w:hAnsi="Times New Roman" w:hint="eastAsia"/>
          <w:szCs w:val="24"/>
        </w:rPr>
        <w:t>，可采厚度</w:t>
      </w:r>
      <w:r>
        <w:rPr>
          <w:rFonts w:ascii="Times New Roman" w:hAnsi="Times New Roman" w:hint="eastAsia"/>
          <w:szCs w:val="24"/>
        </w:rPr>
        <w:t>0.78</w:t>
      </w:r>
      <w:r>
        <w:rPr>
          <w:rFonts w:ascii="Times New Roman" w:hAnsi="Times New Roman" w:hint="eastAsia"/>
          <w:szCs w:val="24"/>
        </w:rPr>
        <w:t>～</w:t>
      </w:r>
      <w:r>
        <w:rPr>
          <w:rFonts w:ascii="Times New Roman" w:hAnsi="Times New Roman" w:hint="eastAsia"/>
          <w:szCs w:val="24"/>
        </w:rPr>
        <w:t>5.22m</w:t>
      </w:r>
      <w:r>
        <w:rPr>
          <w:rFonts w:ascii="Times New Roman" w:hAnsi="Times New Roman" w:hint="eastAsia"/>
          <w:szCs w:val="24"/>
        </w:rPr>
        <w:t>，平均厚</w:t>
      </w:r>
      <w:r>
        <w:rPr>
          <w:rFonts w:ascii="Times New Roman" w:hAnsi="Times New Roman" w:hint="eastAsia"/>
          <w:szCs w:val="24"/>
        </w:rPr>
        <w:t>2.80m</w:t>
      </w:r>
      <w:r>
        <w:rPr>
          <w:rFonts w:ascii="Times New Roman" w:hAnsi="Times New Roman" w:hint="eastAsia"/>
          <w:szCs w:val="24"/>
        </w:rPr>
        <w:t>，中厚煤层。有</w:t>
      </w:r>
      <w:r>
        <w:rPr>
          <w:rFonts w:ascii="Times New Roman" w:hAnsi="Times New Roman" w:hint="eastAsia"/>
          <w:szCs w:val="24"/>
        </w:rPr>
        <w:t>0</w:t>
      </w:r>
      <w:r>
        <w:rPr>
          <w:rFonts w:ascii="Times New Roman" w:hAnsi="Times New Roman" w:hint="eastAsia"/>
          <w:szCs w:val="24"/>
        </w:rPr>
        <w:t>～</w:t>
      </w:r>
      <w:r>
        <w:rPr>
          <w:rFonts w:ascii="Times New Roman" w:hAnsi="Times New Roman" w:hint="eastAsia"/>
          <w:szCs w:val="24"/>
        </w:rPr>
        <w:t>4</w:t>
      </w:r>
      <w:r>
        <w:rPr>
          <w:rFonts w:ascii="Times New Roman" w:hAnsi="Times New Roman" w:hint="eastAsia"/>
          <w:szCs w:val="24"/>
        </w:rPr>
        <w:t>层夹矸，一般含</w:t>
      </w:r>
      <w:r>
        <w:rPr>
          <w:rFonts w:ascii="Times New Roman" w:hAnsi="Times New Roman" w:hint="eastAsia"/>
          <w:szCs w:val="24"/>
        </w:rPr>
        <w:t>1</w:t>
      </w: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层，结构简单，厚度变化较小，全区可采，属稳定煤层。煤层顶板为泥岩、砂质泥岩、粉砂岩、中细粒砂岩，底板为砂质泥岩、粉砂岩、粗中细粒砂岩。</w:t>
      </w:r>
    </w:p>
    <w:p w14:paraId="5E260E0A"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红石湾井田</w:t>
      </w:r>
      <w:r>
        <w:rPr>
          <w:rFonts w:ascii="Times New Roman" w:hAnsi="Times New Roman" w:hint="eastAsia"/>
          <w:szCs w:val="24"/>
        </w:rPr>
        <w:t>五煤，煤层厚度</w:t>
      </w:r>
      <w:r>
        <w:rPr>
          <w:rFonts w:ascii="Times New Roman" w:hAnsi="Times New Roman"/>
          <w:szCs w:val="24"/>
        </w:rPr>
        <w:t>0.12</w:t>
      </w:r>
      <w:r>
        <w:rPr>
          <w:rFonts w:ascii="Times New Roman" w:hAnsi="Times New Roman" w:hint="eastAsia"/>
          <w:szCs w:val="24"/>
        </w:rPr>
        <w:t>～</w:t>
      </w:r>
      <w:r>
        <w:rPr>
          <w:rFonts w:ascii="Times New Roman" w:hAnsi="Times New Roman"/>
          <w:szCs w:val="24"/>
        </w:rPr>
        <w:t>5.95</w:t>
      </w:r>
      <w:r>
        <w:rPr>
          <w:rFonts w:ascii="Times New Roman" w:hAnsi="Times New Roman" w:hint="eastAsia"/>
          <w:szCs w:val="24"/>
        </w:rPr>
        <w:t>m</w:t>
      </w:r>
      <w:r>
        <w:rPr>
          <w:rFonts w:ascii="Times New Roman" w:hAnsi="Times New Roman" w:hint="eastAsia"/>
          <w:szCs w:val="24"/>
        </w:rPr>
        <w:t>，平均厚度</w:t>
      </w:r>
      <w:r>
        <w:rPr>
          <w:rFonts w:ascii="Times New Roman" w:hAnsi="Times New Roman" w:hint="eastAsia"/>
          <w:szCs w:val="24"/>
        </w:rPr>
        <w:t>3.</w:t>
      </w:r>
      <w:r>
        <w:rPr>
          <w:rFonts w:ascii="Times New Roman" w:hAnsi="Times New Roman"/>
          <w:szCs w:val="24"/>
        </w:rPr>
        <w:t>62</w:t>
      </w:r>
      <w:r>
        <w:rPr>
          <w:rFonts w:ascii="Times New Roman" w:hAnsi="Times New Roman" w:hint="eastAsia"/>
          <w:szCs w:val="24"/>
        </w:rPr>
        <w:t>m</w:t>
      </w:r>
      <w:r>
        <w:rPr>
          <w:rFonts w:ascii="Times New Roman" w:hAnsi="Times New Roman" w:hint="eastAsia"/>
          <w:szCs w:val="24"/>
        </w:rPr>
        <w:t>，可采煤层厚度为</w:t>
      </w:r>
      <w:r>
        <w:rPr>
          <w:rFonts w:ascii="Times New Roman" w:hAnsi="Times New Roman"/>
          <w:szCs w:val="24"/>
        </w:rPr>
        <w:t>0.89</w:t>
      </w:r>
      <w:r>
        <w:rPr>
          <w:rFonts w:ascii="Times New Roman" w:hAnsi="Times New Roman" w:hint="eastAsia"/>
          <w:szCs w:val="24"/>
        </w:rPr>
        <w:t>～</w:t>
      </w:r>
      <w:r>
        <w:rPr>
          <w:rFonts w:ascii="Times New Roman" w:hAnsi="Times New Roman"/>
          <w:szCs w:val="24"/>
        </w:rPr>
        <w:t>5.95</w:t>
      </w:r>
      <w:r>
        <w:rPr>
          <w:rFonts w:ascii="Times New Roman" w:hAnsi="Times New Roman" w:hint="eastAsia"/>
          <w:szCs w:val="24"/>
        </w:rPr>
        <w:t>m</w:t>
      </w:r>
      <w:r>
        <w:rPr>
          <w:rFonts w:ascii="Times New Roman" w:hAnsi="Times New Roman" w:hint="eastAsia"/>
          <w:szCs w:val="24"/>
        </w:rPr>
        <w:t>，平均可采厚度</w:t>
      </w:r>
      <w:r>
        <w:rPr>
          <w:rFonts w:ascii="Times New Roman" w:hAnsi="Times New Roman"/>
          <w:szCs w:val="24"/>
        </w:rPr>
        <w:t>3.88</w:t>
      </w:r>
      <w:r>
        <w:rPr>
          <w:rFonts w:ascii="Times New Roman" w:hAnsi="Times New Roman" w:hint="eastAsia"/>
          <w:szCs w:val="24"/>
        </w:rPr>
        <w:t>m</w:t>
      </w:r>
      <w:r>
        <w:rPr>
          <w:rFonts w:ascii="Times New Roman" w:hAnsi="Times New Roman" w:hint="eastAsia"/>
          <w:szCs w:val="24"/>
        </w:rPr>
        <w:t>，为中厚～厚煤层。煤层一般含</w:t>
      </w:r>
      <w:r>
        <w:rPr>
          <w:rFonts w:ascii="Times New Roman" w:hAnsi="Times New Roman" w:hint="eastAsia"/>
          <w:szCs w:val="24"/>
        </w:rPr>
        <w:t>1</w:t>
      </w:r>
      <w:r>
        <w:rPr>
          <w:rFonts w:ascii="Times New Roman" w:hAnsi="Times New Roman" w:hint="eastAsia"/>
          <w:szCs w:val="24"/>
        </w:rPr>
        <w:t>层夹矸，局部含</w:t>
      </w:r>
      <w:r>
        <w:rPr>
          <w:rFonts w:ascii="Times New Roman" w:hAnsi="Times New Roman" w:hint="eastAsia"/>
          <w:szCs w:val="24"/>
        </w:rPr>
        <w:t>2</w:t>
      </w: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层夹矸，对比可靠，大部可采，</w:t>
      </w:r>
      <w:r>
        <w:rPr>
          <w:rFonts w:ascii="Times New Roman" w:hAnsi="Times New Roman"/>
          <w:szCs w:val="24"/>
        </w:rPr>
        <w:t>属</w:t>
      </w:r>
      <w:r>
        <w:rPr>
          <w:rFonts w:ascii="Times New Roman" w:hAnsi="Times New Roman" w:hint="eastAsia"/>
          <w:szCs w:val="24"/>
        </w:rPr>
        <w:t>稳定煤层。煤层顶板岩性细粒砂岩、粉砂岩为主，粉砂质泥岩次之，岩粒度自煤层顶板向上逐渐变细，由细砂岩、粉砂岩逐渐过渡为泥岩，局部可见厚约</w:t>
      </w:r>
      <w:r>
        <w:rPr>
          <w:rFonts w:ascii="Times New Roman" w:hAnsi="Times New Roman" w:hint="eastAsia"/>
          <w:szCs w:val="24"/>
        </w:rPr>
        <w:t>0.20</w:t>
      </w:r>
      <w:r>
        <w:rPr>
          <w:rFonts w:ascii="Times New Roman" w:hAnsi="Times New Roman" w:hint="eastAsia"/>
          <w:szCs w:val="24"/>
        </w:rPr>
        <w:t>～</w:t>
      </w:r>
      <w:r>
        <w:rPr>
          <w:rFonts w:ascii="Times New Roman" w:hAnsi="Times New Roman" w:hint="eastAsia"/>
          <w:szCs w:val="24"/>
        </w:rPr>
        <w:t>0.50m</w:t>
      </w:r>
      <w:r>
        <w:rPr>
          <w:rFonts w:ascii="Times New Roman" w:hAnsi="Times New Roman" w:hint="eastAsia"/>
          <w:szCs w:val="24"/>
        </w:rPr>
        <w:t>的泥岩伪顶；底板岩性多为粉砂岩及泥岩，岩层厚度稳定。</w:t>
      </w:r>
    </w:p>
    <w:p w14:paraId="74F58965"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任家庄井田</w:t>
      </w:r>
      <w:r>
        <w:rPr>
          <w:rFonts w:ascii="Times New Roman" w:hAnsi="Times New Roman" w:hint="eastAsia"/>
          <w:szCs w:val="24"/>
        </w:rPr>
        <w:t>五煤，煤层厚度</w:t>
      </w:r>
      <w:r>
        <w:rPr>
          <w:rFonts w:ascii="Times New Roman" w:hAnsi="Times New Roman" w:hint="eastAsia"/>
          <w:szCs w:val="24"/>
        </w:rPr>
        <w:t>2.17-11.51m</w:t>
      </w:r>
      <w:r>
        <w:rPr>
          <w:rFonts w:ascii="Times New Roman" w:hAnsi="Times New Roman" w:hint="eastAsia"/>
          <w:szCs w:val="24"/>
        </w:rPr>
        <w:t>，平均厚度</w:t>
      </w:r>
      <w:r>
        <w:rPr>
          <w:rFonts w:ascii="Times New Roman" w:hAnsi="Times New Roman" w:hint="eastAsia"/>
          <w:szCs w:val="24"/>
        </w:rPr>
        <w:t>5.33m</w:t>
      </w:r>
      <w:r>
        <w:rPr>
          <w:rFonts w:ascii="Times New Roman" w:hAnsi="Times New Roman" w:hint="eastAsia"/>
          <w:szCs w:val="24"/>
        </w:rPr>
        <w:t>，可采厚度</w:t>
      </w:r>
      <w:r>
        <w:rPr>
          <w:rFonts w:ascii="Times New Roman" w:hAnsi="Times New Roman" w:hint="eastAsia"/>
          <w:szCs w:val="24"/>
        </w:rPr>
        <w:t>1.98</w:t>
      </w:r>
      <w:r>
        <w:rPr>
          <w:rFonts w:ascii="Times New Roman" w:hAnsi="Times New Roman" w:hint="eastAsia"/>
          <w:szCs w:val="24"/>
        </w:rPr>
        <w:t>～</w:t>
      </w:r>
      <w:r>
        <w:rPr>
          <w:rFonts w:ascii="Times New Roman" w:hAnsi="Times New Roman" w:hint="eastAsia"/>
          <w:szCs w:val="24"/>
        </w:rPr>
        <w:t>11.51m</w:t>
      </w:r>
      <w:r>
        <w:rPr>
          <w:rFonts w:ascii="Times New Roman" w:hAnsi="Times New Roman" w:hint="eastAsia"/>
          <w:szCs w:val="24"/>
        </w:rPr>
        <w:t>，平均可采厚度</w:t>
      </w:r>
      <w:r>
        <w:rPr>
          <w:rFonts w:ascii="Times New Roman" w:hAnsi="Times New Roman" w:hint="eastAsia"/>
          <w:szCs w:val="24"/>
        </w:rPr>
        <w:t>5.16m</w:t>
      </w:r>
      <w:r>
        <w:rPr>
          <w:rFonts w:ascii="Times New Roman" w:hAnsi="Times New Roman" w:hint="eastAsia"/>
          <w:szCs w:val="24"/>
        </w:rPr>
        <w:t>。煤层为中厚</w:t>
      </w:r>
      <w:r>
        <w:rPr>
          <w:rFonts w:ascii="Times New Roman" w:hAnsi="Times New Roman" w:hint="eastAsia"/>
          <w:szCs w:val="24"/>
        </w:rPr>
        <w:t>-</w:t>
      </w:r>
      <w:r>
        <w:rPr>
          <w:rFonts w:ascii="Times New Roman" w:hAnsi="Times New Roman" w:hint="eastAsia"/>
          <w:szCs w:val="24"/>
        </w:rPr>
        <w:t>厚煤层，厚度变化较小，结构简单，全区可采，属稳定煤层。煤层顶板多为粉砂岩和泥岩，底板多为泥岩和粉砂岩。</w:t>
      </w:r>
    </w:p>
    <w:p w14:paraId="0AA4D9E3"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丁家梁井田</w:t>
      </w:r>
      <w:r>
        <w:rPr>
          <w:rFonts w:ascii="Times New Roman" w:hAnsi="Times New Roman" w:hint="eastAsia"/>
          <w:szCs w:val="24"/>
        </w:rPr>
        <w:t>（东部）五煤，煤层厚度</w:t>
      </w:r>
      <w:r>
        <w:rPr>
          <w:rFonts w:ascii="Times New Roman" w:hAnsi="Times New Roman"/>
          <w:szCs w:val="24"/>
        </w:rPr>
        <w:t>3.30</w:t>
      </w:r>
      <w:r>
        <w:rPr>
          <w:rFonts w:ascii="Times New Roman" w:hAnsi="Times New Roman"/>
          <w:szCs w:val="24"/>
        </w:rPr>
        <w:t>～</w:t>
      </w:r>
      <w:r>
        <w:rPr>
          <w:rFonts w:ascii="Times New Roman" w:hAnsi="Times New Roman"/>
          <w:szCs w:val="24"/>
        </w:rPr>
        <w:t>7.93m</w:t>
      </w:r>
      <w:r>
        <w:rPr>
          <w:rFonts w:ascii="Times New Roman" w:hAnsi="Times New Roman"/>
          <w:szCs w:val="24"/>
        </w:rPr>
        <w:t>，平均煤厚</w:t>
      </w:r>
      <w:r>
        <w:rPr>
          <w:rFonts w:ascii="Times New Roman" w:hAnsi="Times New Roman"/>
          <w:szCs w:val="24"/>
        </w:rPr>
        <w:t>4.46m</w:t>
      </w:r>
      <w:r>
        <w:rPr>
          <w:rFonts w:ascii="Times New Roman" w:hAnsi="Times New Roman"/>
          <w:szCs w:val="24"/>
        </w:rPr>
        <w:t>，</w:t>
      </w:r>
      <w:r>
        <w:rPr>
          <w:rFonts w:ascii="Times New Roman" w:hAnsi="Times New Roman" w:hint="eastAsia"/>
          <w:szCs w:val="24"/>
        </w:rPr>
        <w:t>可采厚度</w:t>
      </w:r>
      <w:r>
        <w:rPr>
          <w:rFonts w:ascii="Times New Roman" w:hAnsi="Times New Roman" w:hint="eastAsia"/>
          <w:szCs w:val="24"/>
        </w:rPr>
        <w:t>2.85</w:t>
      </w:r>
      <w:r>
        <w:rPr>
          <w:rFonts w:ascii="Times New Roman" w:hAnsi="Times New Roman" w:hint="eastAsia"/>
          <w:szCs w:val="24"/>
        </w:rPr>
        <w:t>—</w:t>
      </w:r>
      <w:r>
        <w:rPr>
          <w:rFonts w:ascii="Times New Roman" w:hAnsi="Times New Roman" w:hint="eastAsia"/>
          <w:szCs w:val="24"/>
        </w:rPr>
        <w:t>7.93m</w:t>
      </w:r>
      <w:r>
        <w:rPr>
          <w:rFonts w:ascii="Times New Roman" w:hAnsi="Times New Roman" w:hint="eastAsia"/>
          <w:szCs w:val="24"/>
        </w:rPr>
        <w:t>，平均</w:t>
      </w:r>
      <w:r>
        <w:rPr>
          <w:rFonts w:ascii="Times New Roman" w:hAnsi="Times New Roman" w:hint="eastAsia"/>
          <w:szCs w:val="24"/>
        </w:rPr>
        <w:t>4.14m</w:t>
      </w:r>
      <w:r>
        <w:rPr>
          <w:rFonts w:ascii="Times New Roman" w:hAnsi="Times New Roman" w:hint="eastAsia"/>
          <w:szCs w:val="24"/>
        </w:rPr>
        <w:t>。</w:t>
      </w:r>
      <w:r>
        <w:rPr>
          <w:rFonts w:ascii="Times New Roman" w:hAnsi="Times New Roman"/>
          <w:szCs w:val="24"/>
        </w:rPr>
        <w:t>煤层以厚煤层为主，局部为薄、中厚煤层；结构简单，含一层夹矸，局部含</w:t>
      </w:r>
      <w:r>
        <w:rPr>
          <w:rFonts w:ascii="Times New Roman" w:hAnsi="Times New Roman"/>
          <w:szCs w:val="24"/>
        </w:rPr>
        <w:t>2</w:t>
      </w:r>
      <w:r>
        <w:rPr>
          <w:rFonts w:ascii="Times New Roman" w:hAnsi="Times New Roman"/>
          <w:szCs w:val="24"/>
        </w:rPr>
        <w:t>～</w:t>
      </w:r>
      <w:r>
        <w:rPr>
          <w:rFonts w:ascii="Times New Roman" w:hAnsi="Times New Roman"/>
          <w:szCs w:val="24"/>
        </w:rPr>
        <w:t>3</w:t>
      </w:r>
      <w:r>
        <w:rPr>
          <w:rFonts w:ascii="Times New Roman" w:hAnsi="Times New Roman"/>
          <w:szCs w:val="24"/>
        </w:rPr>
        <w:t>层夹矸。对比可靠，全区可采</w:t>
      </w:r>
      <w:r>
        <w:rPr>
          <w:rFonts w:ascii="Times New Roman" w:hAnsi="Times New Roman" w:hint="eastAsia"/>
          <w:szCs w:val="24"/>
        </w:rPr>
        <w:t>，</w:t>
      </w:r>
      <w:r>
        <w:rPr>
          <w:rFonts w:ascii="Times New Roman" w:hAnsi="Times New Roman"/>
          <w:szCs w:val="24"/>
        </w:rPr>
        <w:t>属稳定煤层</w:t>
      </w:r>
      <w:r>
        <w:rPr>
          <w:rFonts w:ascii="Times New Roman" w:hAnsi="Times New Roman" w:hint="eastAsia"/>
          <w:szCs w:val="24"/>
        </w:rPr>
        <w:t>。</w:t>
      </w:r>
      <w:r>
        <w:rPr>
          <w:rFonts w:ascii="Times New Roman" w:hAnsi="Times New Roman"/>
          <w:szCs w:val="24"/>
        </w:rPr>
        <w:t>丁家梁井田</w:t>
      </w:r>
      <w:r>
        <w:rPr>
          <w:rFonts w:ascii="Times New Roman" w:hAnsi="Times New Roman" w:hint="eastAsia"/>
          <w:szCs w:val="24"/>
        </w:rPr>
        <w:t>（西部）五煤，煤层厚度</w:t>
      </w:r>
      <w:r>
        <w:rPr>
          <w:rFonts w:ascii="Times New Roman" w:hAnsi="Times New Roman" w:hint="eastAsia"/>
          <w:szCs w:val="24"/>
        </w:rPr>
        <w:t>1.29-12.27m</w:t>
      </w:r>
      <w:r>
        <w:rPr>
          <w:rFonts w:ascii="Times New Roman" w:hAnsi="Times New Roman" w:hint="eastAsia"/>
          <w:szCs w:val="24"/>
        </w:rPr>
        <w:t>，平均厚度</w:t>
      </w:r>
      <w:r>
        <w:rPr>
          <w:rFonts w:ascii="Times New Roman" w:hAnsi="Times New Roman" w:hint="eastAsia"/>
          <w:szCs w:val="24"/>
        </w:rPr>
        <w:t>5.31m</w:t>
      </w:r>
      <w:r>
        <w:rPr>
          <w:rFonts w:ascii="Times New Roman" w:hAnsi="Times New Roman" w:hint="eastAsia"/>
          <w:szCs w:val="24"/>
        </w:rPr>
        <w:t>，可采煤层厚度</w:t>
      </w:r>
      <w:r>
        <w:rPr>
          <w:rFonts w:ascii="Times New Roman" w:hAnsi="Times New Roman" w:hint="eastAsia"/>
          <w:szCs w:val="24"/>
        </w:rPr>
        <w:t>1.14-9.25m</w:t>
      </w:r>
      <w:r>
        <w:rPr>
          <w:rFonts w:ascii="Times New Roman" w:hAnsi="Times New Roman" w:hint="eastAsia"/>
          <w:szCs w:val="24"/>
        </w:rPr>
        <w:t>，平均可采厚度</w:t>
      </w:r>
      <w:r>
        <w:rPr>
          <w:rFonts w:ascii="Times New Roman" w:hAnsi="Times New Roman" w:hint="eastAsia"/>
          <w:szCs w:val="24"/>
        </w:rPr>
        <w:t>4.77m</w:t>
      </w:r>
      <w:r>
        <w:rPr>
          <w:rFonts w:ascii="Times New Roman" w:hAnsi="Times New Roman" w:hint="eastAsia"/>
          <w:szCs w:val="24"/>
        </w:rPr>
        <w:t>，以厚煤层为主。结构较简单，全区可采，属稳定煤层。煤层顶、底板多为砂岩，有泥岩炭质泥岩伪顶和伪底。</w:t>
      </w:r>
    </w:p>
    <w:p w14:paraId="7147860B"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4</w:t>
      </w:r>
      <w:r>
        <w:rPr>
          <w:rFonts w:ascii="Times New Roman" w:hAnsi="Times New Roman" w:hint="eastAsia"/>
          <w:szCs w:val="24"/>
        </w:rPr>
        <w:t>）</w:t>
      </w:r>
      <w:r>
        <w:rPr>
          <w:rFonts w:ascii="Times New Roman" w:hAnsi="Times New Roman"/>
          <w:szCs w:val="24"/>
        </w:rPr>
        <w:t>八煤</w:t>
      </w:r>
    </w:p>
    <w:p w14:paraId="5FEE571E"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位于太原组中上部，层位稳定，基本上均可采。</w:t>
      </w:r>
    </w:p>
    <w:p w14:paraId="5591154E"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马莲台井田</w:t>
      </w:r>
      <w:r>
        <w:rPr>
          <w:rFonts w:ascii="Times New Roman" w:hAnsi="Times New Roman" w:hint="eastAsia"/>
          <w:szCs w:val="24"/>
        </w:rPr>
        <w:t>八煤，煤层厚度</w:t>
      </w:r>
      <w:r>
        <w:rPr>
          <w:rFonts w:ascii="Times New Roman" w:hAnsi="Times New Roman" w:hint="eastAsia"/>
          <w:szCs w:val="24"/>
        </w:rPr>
        <w:t>0.36</w:t>
      </w:r>
      <w:r>
        <w:rPr>
          <w:rFonts w:ascii="Times New Roman" w:hAnsi="Times New Roman" w:hint="eastAsia"/>
          <w:szCs w:val="24"/>
        </w:rPr>
        <w:t>～</w:t>
      </w:r>
      <w:r>
        <w:rPr>
          <w:rFonts w:ascii="Times New Roman" w:hAnsi="Times New Roman" w:hint="eastAsia"/>
          <w:szCs w:val="24"/>
        </w:rPr>
        <w:t>2.25m</w:t>
      </w:r>
      <w:r>
        <w:rPr>
          <w:rFonts w:ascii="Times New Roman" w:hAnsi="Times New Roman" w:hint="eastAsia"/>
          <w:szCs w:val="24"/>
        </w:rPr>
        <w:t>，平均厚度</w:t>
      </w:r>
      <w:r>
        <w:rPr>
          <w:rFonts w:ascii="Times New Roman" w:hAnsi="Times New Roman" w:hint="eastAsia"/>
          <w:szCs w:val="24"/>
        </w:rPr>
        <w:t>1.38m</w:t>
      </w:r>
      <w:r>
        <w:rPr>
          <w:rFonts w:ascii="Times New Roman" w:hAnsi="Times New Roman"/>
          <w:szCs w:val="24"/>
        </w:rPr>
        <w:t>，</w:t>
      </w:r>
      <w:r>
        <w:rPr>
          <w:rFonts w:ascii="Times New Roman" w:hAnsi="Times New Roman" w:hint="eastAsia"/>
          <w:szCs w:val="24"/>
        </w:rPr>
        <w:t>可采厚度</w:t>
      </w:r>
      <w:r>
        <w:rPr>
          <w:rFonts w:ascii="Times New Roman" w:hAnsi="Times New Roman" w:hint="eastAsia"/>
          <w:szCs w:val="24"/>
        </w:rPr>
        <w:t>0.70</w:t>
      </w:r>
      <w:r>
        <w:rPr>
          <w:rFonts w:ascii="Times New Roman" w:hAnsi="Times New Roman" w:hint="eastAsia"/>
          <w:szCs w:val="24"/>
        </w:rPr>
        <w:t>～</w:t>
      </w:r>
      <w:r>
        <w:rPr>
          <w:rFonts w:ascii="Times New Roman" w:hAnsi="Times New Roman" w:hint="eastAsia"/>
          <w:szCs w:val="24"/>
        </w:rPr>
        <w:t>1.90m</w:t>
      </w:r>
      <w:r>
        <w:rPr>
          <w:rFonts w:ascii="Times New Roman" w:hAnsi="Times New Roman" w:hint="eastAsia"/>
          <w:szCs w:val="24"/>
        </w:rPr>
        <w:t>，平均可采厚度</w:t>
      </w:r>
      <w:r>
        <w:rPr>
          <w:rFonts w:ascii="Times New Roman" w:hAnsi="Times New Roman" w:hint="eastAsia"/>
          <w:szCs w:val="24"/>
        </w:rPr>
        <w:t>1.13m</w:t>
      </w:r>
      <w:r>
        <w:rPr>
          <w:rFonts w:ascii="Times New Roman" w:hAnsi="Times New Roman" w:hint="eastAsia"/>
          <w:szCs w:val="24"/>
        </w:rPr>
        <w:t>，属薄煤层。有</w:t>
      </w:r>
      <w:r>
        <w:rPr>
          <w:rFonts w:ascii="Times New Roman" w:hAnsi="Times New Roman" w:hint="eastAsia"/>
          <w:szCs w:val="24"/>
        </w:rPr>
        <w:t>1</w:t>
      </w: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层夹矸，一般含</w:t>
      </w:r>
      <w:r>
        <w:rPr>
          <w:rFonts w:ascii="Times New Roman" w:hAnsi="Times New Roman" w:hint="eastAsia"/>
          <w:szCs w:val="24"/>
        </w:rPr>
        <w:t>1</w:t>
      </w:r>
      <w:r>
        <w:rPr>
          <w:rFonts w:ascii="Times New Roman" w:hAnsi="Times New Roman" w:hint="eastAsia"/>
          <w:szCs w:val="24"/>
        </w:rPr>
        <w:t>层，结构简单，局部可采，属不稳定煤层。煤层顶板为泥岩、砂质泥岩、中、细砂岩、粉砂岩。底板为泥岩、粉砂岩、砂质泥岩、细粒砂岩。</w:t>
      </w:r>
    </w:p>
    <w:p w14:paraId="39EB3165"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红石湾井田</w:t>
      </w:r>
      <w:r>
        <w:rPr>
          <w:rFonts w:ascii="Times New Roman" w:hAnsi="Times New Roman" w:hint="eastAsia"/>
          <w:szCs w:val="24"/>
        </w:rPr>
        <w:t>八煤，煤层厚度</w:t>
      </w:r>
      <w:r>
        <w:rPr>
          <w:rFonts w:ascii="Times New Roman" w:hAnsi="Times New Roman" w:hint="eastAsia"/>
          <w:szCs w:val="24"/>
        </w:rPr>
        <w:t>0.24</w:t>
      </w:r>
      <w:r>
        <w:rPr>
          <w:rFonts w:ascii="Times New Roman" w:hAnsi="Times New Roman" w:hint="eastAsia"/>
          <w:szCs w:val="24"/>
        </w:rPr>
        <w:t>～</w:t>
      </w:r>
      <w:r>
        <w:rPr>
          <w:rFonts w:ascii="Times New Roman" w:hAnsi="Times New Roman" w:hint="eastAsia"/>
          <w:szCs w:val="24"/>
        </w:rPr>
        <w:t>1.3</w:t>
      </w:r>
      <w:r>
        <w:rPr>
          <w:rFonts w:ascii="Times New Roman" w:hAnsi="Times New Roman"/>
          <w:szCs w:val="24"/>
        </w:rPr>
        <w:t>9</w:t>
      </w:r>
      <w:r>
        <w:rPr>
          <w:rFonts w:ascii="Times New Roman" w:hAnsi="Times New Roman" w:hint="eastAsia"/>
          <w:szCs w:val="24"/>
        </w:rPr>
        <w:t>m</w:t>
      </w:r>
      <w:r>
        <w:rPr>
          <w:rFonts w:ascii="Times New Roman" w:hAnsi="Times New Roman" w:hint="eastAsia"/>
          <w:szCs w:val="24"/>
        </w:rPr>
        <w:t>，平均厚度</w:t>
      </w:r>
      <w:r>
        <w:rPr>
          <w:rFonts w:ascii="Times New Roman" w:hAnsi="Times New Roman" w:hint="eastAsia"/>
          <w:szCs w:val="24"/>
        </w:rPr>
        <w:t>0.</w:t>
      </w:r>
      <w:r>
        <w:rPr>
          <w:rFonts w:ascii="Times New Roman" w:hAnsi="Times New Roman"/>
          <w:szCs w:val="24"/>
        </w:rPr>
        <w:t>93</w:t>
      </w:r>
      <w:r>
        <w:rPr>
          <w:rFonts w:ascii="Times New Roman" w:hAnsi="Times New Roman" w:hint="eastAsia"/>
          <w:szCs w:val="24"/>
        </w:rPr>
        <w:t>m</w:t>
      </w:r>
      <w:r>
        <w:rPr>
          <w:rFonts w:ascii="Times New Roman" w:hAnsi="Times New Roman" w:hint="eastAsia"/>
          <w:szCs w:val="24"/>
        </w:rPr>
        <w:t>，可采厚度</w:t>
      </w:r>
      <w:r>
        <w:rPr>
          <w:rFonts w:ascii="Times New Roman" w:hAnsi="Times New Roman" w:hint="eastAsia"/>
          <w:szCs w:val="24"/>
        </w:rPr>
        <w:t>0.</w:t>
      </w:r>
      <w:r>
        <w:rPr>
          <w:rFonts w:ascii="Times New Roman" w:hAnsi="Times New Roman"/>
          <w:szCs w:val="24"/>
        </w:rPr>
        <w:t>89</w:t>
      </w:r>
      <w:r>
        <w:rPr>
          <w:rFonts w:ascii="Times New Roman" w:hAnsi="Times New Roman" w:hint="eastAsia"/>
          <w:szCs w:val="24"/>
        </w:rPr>
        <w:t>～</w:t>
      </w:r>
      <w:r>
        <w:rPr>
          <w:rFonts w:ascii="Times New Roman" w:hAnsi="Times New Roman" w:hint="eastAsia"/>
          <w:szCs w:val="24"/>
        </w:rPr>
        <w:t>1.3</w:t>
      </w:r>
      <w:r>
        <w:rPr>
          <w:rFonts w:ascii="Times New Roman" w:hAnsi="Times New Roman"/>
          <w:szCs w:val="24"/>
        </w:rPr>
        <w:t>9</w:t>
      </w:r>
      <w:r>
        <w:rPr>
          <w:rFonts w:ascii="Times New Roman" w:hAnsi="Times New Roman" w:hint="eastAsia"/>
          <w:szCs w:val="24"/>
        </w:rPr>
        <w:t>m</w:t>
      </w:r>
      <w:r>
        <w:rPr>
          <w:rFonts w:ascii="Times New Roman" w:hAnsi="Times New Roman" w:hint="eastAsia"/>
          <w:szCs w:val="24"/>
        </w:rPr>
        <w:t>，平均可采厚度</w:t>
      </w:r>
      <w:r>
        <w:rPr>
          <w:rFonts w:ascii="Times New Roman" w:hAnsi="Times New Roman"/>
          <w:szCs w:val="24"/>
        </w:rPr>
        <w:t>1.19</w:t>
      </w:r>
      <w:r>
        <w:rPr>
          <w:rFonts w:ascii="Times New Roman" w:hAnsi="Times New Roman" w:hint="eastAsia"/>
          <w:szCs w:val="24"/>
        </w:rPr>
        <w:t>m</w:t>
      </w:r>
      <w:r>
        <w:rPr>
          <w:rFonts w:ascii="Times New Roman" w:hAnsi="Times New Roman" w:hint="eastAsia"/>
          <w:szCs w:val="24"/>
        </w:rPr>
        <w:t>，为薄煤层。煤层结构简单，局部含</w:t>
      </w:r>
      <w:r>
        <w:rPr>
          <w:rFonts w:ascii="Times New Roman" w:hAnsi="Times New Roman" w:hint="eastAsia"/>
          <w:szCs w:val="24"/>
        </w:rPr>
        <w:t>1</w:t>
      </w:r>
      <w:r>
        <w:rPr>
          <w:rFonts w:ascii="Times New Roman" w:hAnsi="Times New Roman" w:hint="eastAsia"/>
          <w:szCs w:val="24"/>
        </w:rPr>
        <w:t>层夹矸。对比可靠，局部可采，</w:t>
      </w:r>
      <w:r>
        <w:rPr>
          <w:rFonts w:ascii="Times New Roman" w:hAnsi="Times New Roman"/>
          <w:szCs w:val="24"/>
        </w:rPr>
        <w:t>属不稳</w:t>
      </w:r>
      <w:r>
        <w:rPr>
          <w:rFonts w:ascii="Times New Roman" w:hAnsi="Times New Roman" w:hint="eastAsia"/>
          <w:szCs w:val="24"/>
        </w:rPr>
        <w:t>定煤层。煤层顶板岩性细粒砂岩、粉砂岩为主，粉砂质泥岩次之，底板岩性多为粉砂岩及泥岩，岩层厚度稳定。</w:t>
      </w:r>
    </w:p>
    <w:p w14:paraId="0ED2C44A"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任家庄井田</w:t>
      </w:r>
      <w:r>
        <w:rPr>
          <w:rFonts w:ascii="Times New Roman" w:hAnsi="Times New Roman" w:hint="eastAsia"/>
          <w:szCs w:val="24"/>
        </w:rPr>
        <w:t>八煤，煤层厚度</w:t>
      </w:r>
      <w:r>
        <w:rPr>
          <w:rFonts w:ascii="Times New Roman" w:hAnsi="Times New Roman" w:hint="eastAsia"/>
          <w:szCs w:val="24"/>
        </w:rPr>
        <w:t>0.34-2.50m</w:t>
      </w:r>
      <w:r>
        <w:rPr>
          <w:rFonts w:ascii="Times New Roman" w:hAnsi="Times New Roman" w:hint="eastAsia"/>
          <w:szCs w:val="24"/>
        </w:rPr>
        <w:t>，平均厚度</w:t>
      </w:r>
      <w:r>
        <w:rPr>
          <w:rFonts w:ascii="Times New Roman" w:hAnsi="Times New Roman" w:hint="eastAsia"/>
          <w:szCs w:val="24"/>
        </w:rPr>
        <w:t>1.36m</w:t>
      </w:r>
      <w:r>
        <w:rPr>
          <w:rFonts w:ascii="Times New Roman" w:hAnsi="Times New Roman"/>
          <w:szCs w:val="24"/>
        </w:rPr>
        <w:t>，</w:t>
      </w:r>
      <w:r>
        <w:rPr>
          <w:rFonts w:ascii="Times New Roman" w:hAnsi="Times New Roman" w:hint="eastAsia"/>
          <w:szCs w:val="24"/>
        </w:rPr>
        <w:t>煤层可采厚度</w:t>
      </w:r>
      <w:r>
        <w:rPr>
          <w:rFonts w:ascii="Times New Roman" w:hAnsi="Times New Roman" w:hint="eastAsia"/>
          <w:szCs w:val="24"/>
        </w:rPr>
        <w:t>0.66-1.56m</w:t>
      </w:r>
      <w:r>
        <w:rPr>
          <w:rFonts w:ascii="Times New Roman" w:hAnsi="Times New Roman" w:hint="eastAsia"/>
          <w:szCs w:val="24"/>
        </w:rPr>
        <w:t>，平均厚度</w:t>
      </w:r>
      <w:r>
        <w:rPr>
          <w:rFonts w:ascii="Times New Roman" w:hAnsi="Times New Roman" w:hint="eastAsia"/>
          <w:szCs w:val="24"/>
        </w:rPr>
        <w:t>1.03m</w:t>
      </w:r>
      <w:r>
        <w:rPr>
          <w:rFonts w:ascii="Times New Roman" w:hAnsi="Times New Roman" w:hint="eastAsia"/>
          <w:szCs w:val="24"/>
        </w:rPr>
        <w:t>。该煤层为薄</w:t>
      </w:r>
      <w:r>
        <w:rPr>
          <w:rFonts w:ascii="Times New Roman" w:hAnsi="Times New Roman" w:hint="eastAsia"/>
          <w:szCs w:val="24"/>
        </w:rPr>
        <w:t>-</w:t>
      </w:r>
      <w:r>
        <w:rPr>
          <w:rFonts w:ascii="Times New Roman" w:hAnsi="Times New Roman" w:hint="eastAsia"/>
          <w:szCs w:val="24"/>
        </w:rPr>
        <w:t>中厚煤层，厚度变化较小，结构简单，大部可采，属较稳定煤层。煤层顶板多为泥岩和粉砂岩，少量中砂岩和细砂岩，底板多为细砂岩和粉砂岩。</w:t>
      </w:r>
    </w:p>
    <w:p w14:paraId="46C10121"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丁家梁井田</w:t>
      </w:r>
      <w:r>
        <w:rPr>
          <w:rFonts w:ascii="Times New Roman" w:hAnsi="Times New Roman" w:hint="eastAsia"/>
          <w:szCs w:val="24"/>
        </w:rPr>
        <w:t>（东部）八煤，煤层厚度</w:t>
      </w:r>
      <w:r>
        <w:rPr>
          <w:rFonts w:ascii="Times New Roman" w:hAnsi="Times New Roman"/>
          <w:szCs w:val="24"/>
        </w:rPr>
        <w:t>0.77</w:t>
      </w:r>
      <w:r>
        <w:rPr>
          <w:rFonts w:ascii="Times New Roman" w:hAnsi="Times New Roman"/>
          <w:szCs w:val="24"/>
        </w:rPr>
        <w:t>～</w:t>
      </w:r>
      <w:r>
        <w:rPr>
          <w:rFonts w:ascii="Times New Roman" w:hAnsi="Times New Roman"/>
          <w:szCs w:val="24"/>
        </w:rPr>
        <w:t>4.69m</w:t>
      </w:r>
      <w:r>
        <w:rPr>
          <w:rFonts w:ascii="Times New Roman" w:hAnsi="Times New Roman"/>
          <w:szCs w:val="24"/>
        </w:rPr>
        <w:t>，平均煤厚</w:t>
      </w:r>
      <w:r>
        <w:rPr>
          <w:rFonts w:ascii="Times New Roman" w:hAnsi="Times New Roman"/>
          <w:szCs w:val="24"/>
        </w:rPr>
        <w:t>1.60m</w:t>
      </w:r>
      <w:r>
        <w:rPr>
          <w:rFonts w:ascii="Times New Roman" w:hAnsi="Times New Roman" w:hint="eastAsia"/>
          <w:szCs w:val="24"/>
        </w:rPr>
        <w:t>，可采厚度</w:t>
      </w:r>
      <w:r>
        <w:rPr>
          <w:rFonts w:ascii="Times New Roman" w:hAnsi="Times New Roman" w:hint="eastAsia"/>
          <w:szCs w:val="24"/>
        </w:rPr>
        <w:t>0.73</w:t>
      </w:r>
      <w:r>
        <w:rPr>
          <w:rFonts w:ascii="Times New Roman" w:hAnsi="Times New Roman" w:hint="eastAsia"/>
          <w:szCs w:val="24"/>
        </w:rPr>
        <w:t>—</w:t>
      </w:r>
      <w:r>
        <w:rPr>
          <w:rFonts w:ascii="Times New Roman" w:hAnsi="Times New Roman" w:hint="eastAsia"/>
          <w:szCs w:val="24"/>
        </w:rPr>
        <w:t>4.49m</w:t>
      </w:r>
      <w:r>
        <w:rPr>
          <w:rFonts w:ascii="Times New Roman" w:hAnsi="Times New Roman" w:hint="eastAsia"/>
          <w:szCs w:val="24"/>
        </w:rPr>
        <w:t>，平均</w:t>
      </w:r>
      <w:r>
        <w:rPr>
          <w:rFonts w:ascii="Times New Roman" w:hAnsi="Times New Roman" w:hint="eastAsia"/>
          <w:szCs w:val="24"/>
        </w:rPr>
        <w:t>1.31m</w:t>
      </w:r>
      <w:r>
        <w:rPr>
          <w:rFonts w:ascii="Times New Roman" w:hAnsi="Times New Roman"/>
          <w:szCs w:val="24"/>
        </w:rPr>
        <w:t>。煤层以</w:t>
      </w:r>
      <w:r>
        <w:rPr>
          <w:rFonts w:ascii="Times New Roman" w:hAnsi="Times New Roman" w:hint="eastAsia"/>
          <w:szCs w:val="24"/>
        </w:rPr>
        <w:t>中厚煤</w:t>
      </w:r>
      <w:r>
        <w:rPr>
          <w:rFonts w:ascii="Times New Roman" w:hAnsi="Times New Roman"/>
          <w:szCs w:val="24"/>
        </w:rPr>
        <w:t>层为主，局部为</w:t>
      </w:r>
      <w:r>
        <w:rPr>
          <w:rFonts w:ascii="Times New Roman" w:hAnsi="Times New Roman" w:hint="eastAsia"/>
          <w:szCs w:val="24"/>
        </w:rPr>
        <w:t>薄</w:t>
      </w:r>
      <w:r>
        <w:rPr>
          <w:rFonts w:ascii="Times New Roman" w:hAnsi="Times New Roman"/>
          <w:szCs w:val="24"/>
        </w:rPr>
        <w:t>、厚煤层。结构简单，含一层夹矸，局部含</w:t>
      </w:r>
      <w:r>
        <w:rPr>
          <w:rFonts w:ascii="Times New Roman" w:hAnsi="Times New Roman"/>
          <w:szCs w:val="24"/>
        </w:rPr>
        <w:t>2</w:t>
      </w:r>
      <w:r>
        <w:rPr>
          <w:rFonts w:ascii="Times New Roman" w:hAnsi="Times New Roman"/>
          <w:szCs w:val="24"/>
        </w:rPr>
        <w:t>层夹矸。对比可靠，全区可采</w:t>
      </w:r>
      <w:r>
        <w:rPr>
          <w:rFonts w:ascii="Times New Roman" w:hAnsi="Times New Roman" w:hint="eastAsia"/>
          <w:szCs w:val="24"/>
        </w:rPr>
        <w:t>，属</w:t>
      </w:r>
      <w:r>
        <w:rPr>
          <w:rFonts w:ascii="Times New Roman" w:hAnsi="Times New Roman"/>
          <w:szCs w:val="24"/>
        </w:rPr>
        <w:t>稳定煤层</w:t>
      </w:r>
      <w:r>
        <w:rPr>
          <w:rFonts w:ascii="Times New Roman" w:hAnsi="Times New Roman" w:hint="eastAsia"/>
          <w:szCs w:val="24"/>
        </w:rPr>
        <w:t>。</w:t>
      </w:r>
      <w:r>
        <w:rPr>
          <w:rFonts w:ascii="Times New Roman" w:hAnsi="Times New Roman"/>
          <w:szCs w:val="24"/>
        </w:rPr>
        <w:t>丁家梁井田</w:t>
      </w:r>
      <w:r>
        <w:rPr>
          <w:rFonts w:ascii="Times New Roman" w:hAnsi="Times New Roman" w:hint="eastAsia"/>
          <w:szCs w:val="24"/>
        </w:rPr>
        <w:t>（西部）八煤，煤层厚度</w:t>
      </w:r>
      <w:r>
        <w:rPr>
          <w:rFonts w:ascii="Times New Roman" w:hAnsi="Times New Roman" w:hint="eastAsia"/>
          <w:szCs w:val="24"/>
        </w:rPr>
        <w:t>0.00-1.55m</w:t>
      </w:r>
      <w:r>
        <w:rPr>
          <w:rFonts w:ascii="Times New Roman" w:hAnsi="Times New Roman" w:hint="eastAsia"/>
          <w:szCs w:val="24"/>
        </w:rPr>
        <w:t>，平均厚度</w:t>
      </w:r>
      <w:r>
        <w:rPr>
          <w:rFonts w:ascii="Times New Roman" w:hAnsi="Times New Roman" w:hint="eastAsia"/>
          <w:szCs w:val="24"/>
        </w:rPr>
        <w:t>0.49m</w:t>
      </w:r>
      <w:r>
        <w:rPr>
          <w:rFonts w:ascii="Times New Roman" w:hAnsi="Times New Roman" w:hint="eastAsia"/>
          <w:szCs w:val="24"/>
        </w:rPr>
        <w:t>，可采厚度</w:t>
      </w:r>
      <w:r>
        <w:rPr>
          <w:rFonts w:ascii="Times New Roman" w:hAnsi="Times New Roman" w:hint="eastAsia"/>
          <w:szCs w:val="24"/>
        </w:rPr>
        <w:t>0.73</w:t>
      </w:r>
      <w:r>
        <w:rPr>
          <w:rFonts w:ascii="Times New Roman" w:hAnsi="Times New Roman" w:hint="eastAsia"/>
          <w:szCs w:val="24"/>
        </w:rPr>
        <w:t>～</w:t>
      </w:r>
      <w:r>
        <w:rPr>
          <w:rFonts w:ascii="Times New Roman" w:hAnsi="Times New Roman" w:hint="eastAsia"/>
          <w:szCs w:val="24"/>
        </w:rPr>
        <w:t>1.55m</w:t>
      </w:r>
      <w:r>
        <w:rPr>
          <w:rFonts w:ascii="Times New Roman" w:hAnsi="Times New Roman" w:hint="eastAsia"/>
          <w:szCs w:val="24"/>
        </w:rPr>
        <w:t>，平均可采厚度</w:t>
      </w:r>
      <w:r>
        <w:rPr>
          <w:rFonts w:ascii="Times New Roman" w:hAnsi="Times New Roman" w:hint="eastAsia"/>
          <w:szCs w:val="24"/>
        </w:rPr>
        <w:t>0.92m</w:t>
      </w:r>
      <w:r>
        <w:rPr>
          <w:rFonts w:ascii="Times New Roman" w:hAnsi="Times New Roman" w:hint="eastAsia"/>
          <w:szCs w:val="24"/>
        </w:rPr>
        <w:t>。该煤层可采点分布零散，属不可采煤层。</w:t>
      </w:r>
    </w:p>
    <w:p w14:paraId="75553C4E"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5</w:t>
      </w:r>
      <w:r>
        <w:rPr>
          <w:rFonts w:ascii="Times New Roman" w:hAnsi="Times New Roman" w:hint="eastAsia"/>
          <w:szCs w:val="24"/>
        </w:rPr>
        <w:t>）</w:t>
      </w:r>
      <w:r>
        <w:rPr>
          <w:rFonts w:ascii="Times New Roman" w:hAnsi="Times New Roman"/>
          <w:szCs w:val="24"/>
        </w:rPr>
        <w:t>九煤</w:t>
      </w:r>
    </w:p>
    <w:p w14:paraId="61F77D10"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位于太原组中下部，厚度很大，夹矸多，是主要</w:t>
      </w:r>
      <w:r>
        <w:rPr>
          <w:rFonts w:ascii="Times New Roman" w:hAnsi="Times New Roman" w:hint="eastAsia"/>
          <w:szCs w:val="24"/>
        </w:rPr>
        <w:t>可采</w:t>
      </w:r>
      <w:r>
        <w:rPr>
          <w:rFonts w:ascii="Times New Roman" w:hAnsi="Times New Roman"/>
          <w:szCs w:val="24"/>
        </w:rPr>
        <w:t>煤层。</w:t>
      </w:r>
    </w:p>
    <w:p w14:paraId="6E85AB0C"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马莲台井田</w:t>
      </w:r>
      <w:r>
        <w:rPr>
          <w:rFonts w:ascii="Times New Roman" w:hAnsi="Times New Roman" w:hint="eastAsia"/>
          <w:szCs w:val="24"/>
        </w:rPr>
        <w:t>九煤，煤层厚度</w:t>
      </w:r>
      <w:r>
        <w:rPr>
          <w:rFonts w:ascii="Times New Roman" w:hAnsi="Times New Roman" w:hint="eastAsia"/>
          <w:szCs w:val="24"/>
        </w:rPr>
        <w:t>0.75</w:t>
      </w:r>
      <w:r>
        <w:rPr>
          <w:rFonts w:ascii="Times New Roman" w:hAnsi="Times New Roman" w:hint="eastAsia"/>
          <w:szCs w:val="24"/>
        </w:rPr>
        <w:t>～</w:t>
      </w:r>
      <w:r>
        <w:rPr>
          <w:rFonts w:ascii="Times New Roman" w:hAnsi="Times New Roman" w:hint="eastAsia"/>
          <w:szCs w:val="24"/>
        </w:rPr>
        <w:t>6.71m</w:t>
      </w:r>
      <w:r>
        <w:rPr>
          <w:rFonts w:ascii="Times New Roman" w:hAnsi="Times New Roman" w:hint="eastAsia"/>
          <w:szCs w:val="24"/>
        </w:rPr>
        <w:t>，平均厚度</w:t>
      </w:r>
      <w:r>
        <w:rPr>
          <w:rFonts w:ascii="Times New Roman" w:hAnsi="Times New Roman" w:hint="eastAsia"/>
          <w:szCs w:val="24"/>
        </w:rPr>
        <w:t>4.61m</w:t>
      </w:r>
      <w:r>
        <w:rPr>
          <w:rFonts w:ascii="Times New Roman" w:hAnsi="Times New Roman"/>
          <w:szCs w:val="24"/>
        </w:rPr>
        <w:t>，</w:t>
      </w:r>
      <w:r>
        <w:rPr>
          <w:rFonts w:ascii="Times New Roman" w:hAnsi="Times New Roman" w:hint="eastAsia"/>
          <w:szCs w:val="24"/>
        </w:rPr>
        <w:t>可采厚度</w:t>
      </w:r>
      <w:r>
        <w:rPr>
          <w:rFonts w:ascii="Times New Roman" w:hAnsi="Times New Roman" w:hint="eastAsia"/>
          <w:szCs w:val="24"/>
        </w:rPr>
        <w:t>0.75</w:t>
      </w:r>
      <w:r>
        <w:rPr>
          <w:rFonts w:ascii="Times New Roman" w:hAnsi="Times New Roman" w:hint="eastAsia"/>
          <w:szCs w:val="24"/>
        </w:rPr>
        <w:t>～</w:t>
      </w:r>
      <w:r>
        <w:rPr>
          <w:rFonts w:ascii="Times New Roman" w:hAnsi="Times New Roman" w:hint="eastAsia"/>
          <w:szCs w:val="24"/>
        </w:rPr>
        <w:t>5.87m</w:t>
      </w:r>
      <w:r>
        <w:rPr>
          <w:rFonts w:ascii="Times New Roman" w:hAnsi="Times New Roman" w:hint="eastAsia"/>
          <w:szCs w:val="24"/>
        </w:rPr>
        <w:t>，平均可采厚度</w:t>
      </w:r>
      <w:r>
        <w:rPr>
          <w:rFonts w:ascii="Times New Roman" w:hAnsi="Times New Roman" w:hint="eastAsia"/>
          <w:szCs w:val="24"/>
        </w:rPr>
        <w:t>3.73m</w:t>
      </w:r>
      <w:r>
        <w:rPr>
          <w:rFonts w:ascii="Times New Roman" w:hAnsi="Times New Roman" w:hint="eastAsia"/>
          <w:szCs w:val="24"/>
        </w:rPr>
        <w:t>，属厚煤层。有</w:t>
      </w:r>
      <w:r>
        <w:rPr>
          <w:rFonts w:ascii="Times New Roman" w:hAnsi="Times New Roman" w:hint="eastAsia"/>
          <w:szCs w:val="24"/>
        </w:rPr>
        <w:t>0</w:t>
      </w:r>
      <w:r>
        <w:rPr>
          <w:rFonts w:ascii="Times New Roman" w:hAnsi="Times New Roman" w:hint="eastAsia"/>
          <w:szCs w:val="24"/>
        </w:rPr>
        <w:t>～</w:t>
      </w:r>
      <w:r>
        <w:rPr>
          <w:rFonts w:ascii="Times New Roman" w:hAnsi="Times New Roman" w:hint="eastAsia"/>
          <w:szCs w:val="24"/>
        </w:rPr>
        <w:t>6</w:t>
      </w:r>
      <w:r>
        <w:rPr>
          <w:rFonts w:ascii="Times New Roman" w:hAnsi="Times New Roman" w:hint="eastAsia"/>
          <w:szCs w:val="24"/>
        </w:rPr>
        <w:t>层夹矸，一般含</w:t>
      </w:r>
      <w:r>
        <w:rPr>
          <w:rFonts w:ascii="Times New Roman" w:hAnsi="Times New Roman" w:hint="eastAsia"/>
          <w:szCs w:val="24"/>
        </w:rPr>
        <w:t>2</w:t>
      </w: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层，结构较简单，厚度总体变化较小，全区可采，属稳定煤层。煤层顶板疏松为泥岩、砂质泥岩、粉砂岩、石灰岩，底板为泥岩、炭质泥岩、粉砂岩、砂质泥岩、中细粒砂岩。</w:t>
      </w:r>
    </w:p>
    <w:p w14:paraId="18FFDC34"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红石湾井田</w:t>
      </w:r>
      <w:r>
        <w:rPr>
          <w:rFonts w:ascii="Times New Roman" w:hAnsi="Times New Roman" w:hint="eastAsia"/>
          <w:szCs w:val="24"/>
        </w:rPr>
        <w:t>九煤，煤层厚度</w:t>
      </w:r>
      <w:r>
        <w:rPr>
          <w:rFonts w:ascii="Times New Roman" w:hAnsi="Times New Roman"/>
          <w:szCs w:val="24"/>
        </w:rPr>
        <w:t>1.10</w:t>
      </w:r>
      <w:r>
        <w:rPr>
          <w:rFonts w:ascii="Times New Roman" w:hAnsi="Times New Roman" w:hint="eastAsia"/>
          <w:szCs w:val="24"/>
        </w:rPr>
        <w:t>～</w:t>
      </w:r>
      <w:r>
        <w:rPr>
          <w:rFonts w:ascii="Times New Roman" w:hAnsi="Times New Roman" w:hint="eastAsia"/>
          <w:szCs w:val="24"/>
        </w:rPr>
        <w:t>9.</w:t>
      </w:r>
      <w:r>
        <w:rPr>
          <w:rFonts w:ascii="Times New Roman" w:hAnsi="Times New Roman"/>
          <w:szCs w:val="24"/>
        </w:rPr>
        <w:t>1</w:t>
      </w:r>
      <w:r>
        <w:rPr>
          <w:rFonts w:ascii="Times New Roman" w:hAnsi="Times New Roman" w:hint="eastAsia"/>
          <w:szCs w:val="24"/>
        </w:rPr>
        <w:t>9m</w:t>
      </w:r>
      <w:r>
        <w:rPr>
          <w:rFonts w:ascii="Times New Roman" w:hAnsi="Times New Roman" w:hint="eastAsia"/>
          <w:szCs w:val="24"/>
        </w:rPr>
        <w:t>，平均厚度</w:t>
      </w:r>
      <w:r>
        <w:rPr>
          <w:rFonts w:ascii="Times New Roman" w:hAnsi="Times New Roman"/>
          <w:szCs w:val="24"/>
        </w:rPr>
        <w:t>5.27</w:t>
      </w:r>
      <w:r>
        <w:rPr>
          <w:rFonts w:ascii="Times New Roman" w:hAnsi="Times New Roman" w:hint="eastAsia"/>
          <w:szCs w:val="24"/>
        </w:rPr>
        <w:t>m</w:t>
      </w:r>
      <w:r>
        <w:rPr>
          <w:rFonts w:ascii="Times New Roman" w:hAnsi="Times New Roman" w:hint="eastAsia"/>
          <w:szCs w:val="24"/>
        </w:rPr>
        <w:t>。为厚～特厚煤层，煤层一般含</w:t>
      </w:r>
      <w:r>
        <w:rPr>
          <w:rFonts w:ascii="Times New Roman" w:hAnsi="Times New Roman" w:hint="eastAsia"/>
          <w:szCs w:val="24"/>
        </w:rPr>
        <w:t>1</w:t>
      </w:r>
      <w:r>
        <w:rPr>
          <w:rFonts w:ascii="Times New Roman" w:hAnsi="Times New Roman" w:hint="eastAsia"/>
          <w:szCs w:val="24"/>
        </w:rPr>
        <w:t>～</w:t>
      </w:r>
      <w:r>
        <w:rPr>
          <w:rFonts w:ascii="Times New Roman" w:hAnsi="Times New Roman" w:hint="eastAsia"/>
          <w:szCs w:val="24"/>
        </w:rPr>
        <w:t>5</w:t>
      </w:r>
      <w:r>
        <w:rPr>
          <w:rFonts w:ascii="Times New Roman" w:hAnsi="Times New Roman" w:hint="eastAsia"/>
          <w:szCs w:val="24"/>
        </w:rPr>
        <w:t>层夹矸，对比可靠，大部可采，属稳定煤层。煤层顶板岩性以灰岩和泥岩为主，岩性粒度自煤层顶板向上逐渐变细；底板岩性多为粉砂岩及泥岩，岩层厚度稳定，之下岩性粒度逐渐变细与十煤顶板接触。</w:t>
      </w:r>
    </w:p>
    <w:p w14:paraId="2AAF7FA6"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任家庄井田</w:t>
      </w:r>
      <w:r>
        <w:rPr>
          <w:rFonts w:ascii="Times New Roman" w:hAnsi="Times New Roman" w:hint="eastAsia"/>
          <w:szCs w:val="24"/>
        </w:rPr>
        <w:t>九煤，煤层厚度</w:t>
      </w:r>
      <w:r>
        <w:rPr>
          <w:rFonts w:ascii="Times New Roman" w:hAnsi="Times New Roman" w:hint="eastAsia"/>
          <w:szCs w:val="24"/>
        </w:rPr>
        <w:t>1.77-9.10m</w:t>
      </w:r>
      <w:r>
        <w:rPr>
          <w:rFonts w:ascii="Times New Roman" w:hAnsi="Times New Roman" w:hint="eastAsia"/>
          <w:szCs w:val="24"/>
        </w:rPr>
        <w:t>，平均厚度</w:t>
      </w:r>
      <w:r>
        <w:rPr>
          <w:rFonts w:ascii="Times New Roman" w:hAnsi="Times New Roman" w:hint="eastAsia"/>
          <w:szCs w:val="24"/>
        </w:rPr>
        <w:t>6.35m</w:t>
      </w:r>
      <w:r>
        <w:rPr>
          <w:rFonts w:ascii="Times New Roman" w:hAnsi="Times New Roman" w:hint="eastAsia"/>
          <w:szCs w:val="24"/>
        </w:rPr>
        <w:t>，可采厚度</w:t>
      </w:r>
      <w:r>
        <w:rPr>
          <w:rFonts w:ascii="Times New Roman" w:hAnsi="Times New Roman" w:hint="eastAsia"/>
          <w:szCs w:val="24"/>
        </w:rPr>
        <w:t>1.77-6.53m</w:t>
      </w:r>
      <w:r>
        <w:rPr>
          <w:rFonts w:ascii="Times New Roman" w:hAnsi="Times New Roman" w:hint="eastAsia"/>
          <w:szCs w:val="24"/>
        </w:rPr>
        <w:t>，平均厚度</w:t>
      </w:r>
      <w:r>
        <w:rPr>
          <w:rFonts w:ascii="Times New Roman" w:hAnsi="Times New Roman" w:hint="eastAsia"/>
          <w:szCs w:val="24"/>
        </w:rPr>
        <w:t>5.17m</w:t>
      </w:r>
      <w:r>
        <w:rPr>
          <w:rFonts w:ascii="Times New Roman" w:hAnsi="Times New Roman" w:hint="eastAsia"/>
          <w:szCs w:val="24"/>
        </w:rPr>
        <w:t>。该煤层为中厚</w:t>
      </w:r>
      <w:r>
        <w:rPr>
          <w:rFonts w:ascii="Times New Roman" w:hAnsi="Times New Roman" w:hint="eastAsia"/>
          <w:szCs w:val="24"/>
        </w:rPr>
        <w:t>-</w:t>
      </w:r>
      <w:r>
        <w:rPr>
          <w:rFonts w:ascii="Times New Roman" w:hAnsi="Times New Roman" w:hint="eastAsia"/>
          <w:szCs w:val="24"/>
        </w:rPr>
        <w:t>厚煤层，厚度变化较小，结构较简单，全区可采，属稳定煤层。煤层顶板绝大部分为石灰岩，偶尔为泥岩，底板多为泥岩和粉砂岩。</w:t>
      </w:r>
    </w:p>
    <w:p w14:paraId="29C0C518"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丁家梁井田</w:t>
      </w:r>
      <w:r>
        <w:rPr>
          <w:rFonts w:ascii="Times New Roman" w:hAnsi="Times New Roman" w:hint="eastAsia"/>
          <w:szCs w:val="24"/>
        </w:rPr>
        <w:t>（东部）九煤，煤层厚度</w:t>
      </w:r>
      <w:r>
        <w:rPr>
          <w:rFonts w:ascii="Times New Roman" w:hAnsi="Times New Roman"/>
          <w:szCs w:val="24"/>
        </w:rPr>
        <w:t>1.46</w:t>
      </w:r>
      <w:r>
        <w:rPr>
          <w:rFonts w:ascii="Times New Roman" w:hAnsi="Times New Roman"/>
          <w:szCs w:val="24"/>
        </w:rPr>
        <w:t>～</w:t>
      </w:r>
      <w:r>
        <w:rPr>
          <w:rFonts w:ascii="Times New Roman" w:hAnsi="Times New Roman"/>
          <w:szCs w:val="24"/>
        </w:rPr>
        <w:t>6.51m</w:t>
      </w:r>
      <w:r>
        <w:rPr>
          <w:rFonts w:ascii="Times New Roman" w:hAnsi="Times New Roman"/>
          <w:szCs w:val="24"/>
        </w:rPr>
        <w:t>，平均煤厚</w:t>
      </w:r>
      <w:r>
        <w:rPr>
          <w:rFonts w:ascii="Times New Roman" w:hAnsi="Times New Roman"/>
          <w:szCs w:val="24"/>
        </w:rPr>
        <w:t>4.21m</w:t>
      </w:r>
      <w:r>
        <w:rPr>
          <w:rFonts w:ascii="Times New Roman" w:hAnsi="Times New Roman"/>
          <w:szCs w:val="24"/>
        </w:rPr>
        <w:t>，</w:t>
      </w:r>
      <w:r>
        <w:rPr>
          <w:rFonts w:ascii="Times New Roman" w:hAnsi="Times New Roman" w:hint="eastAsia"/>
          <w:szCs w:val="24"/>
        </w:rPr>
        <w:t>可采厚度</w:t>
      </w:r>
      <w:r>
        <w:rPr>
          <w:rFonts w:ascii="Times New Roman" w:hAnsi="Times New Roman" w:hint="eastAsia"/>
          <w:szCs w:val="24"/>
        </w:rPr>
        <w:t>1.46</w:t>
      </w:r>
      <w:r>
        <w:rPr>
          <w:rFonts w:ascii="Times New Roman" w:hAnsi="Times New Roman" w:hint="eastAsia"/>
          <w:szCs w:val="24"/>
        </w:rPr>
        <w:t>—</w:t>
      </w:r>
      <w:r>
        <w:rPr>
          <w:rFonts w:ascii="Times New Roman" w:hAnsi="Times New Roman" w:hint="eastAsia"/>
          <w:szCs w:val="24"/>
        </w:rPr>
        <w:t>5.78m</w:t>
      </w:r>
      <w:r>
        <w:rPr>
          <w:rFonts w:ascii="Times New Roman" w:hAnsi="Times New Roman" w:hint="eastAsia"/>
          <w:szCs w:val="24"/>
        </w:rPr>
        <w:t>，平均</w:t>
      </w:r>
      <w:r>
        <w:rPr>
          <w:rFonts w:ascii="Times New Roman" w:hAnsi="Times New Roman" w:hint="eastAsia"/>
          <w:szCs w:val="24"/>
        </w:rPr>
        <w:t>3.49m</w:t>
      </w:r>
      <w:r>
        <w:rPr>
          <w:rFonts w:ascii="Times New Roman" w:hAnsi="Times New Roman" w:hint="eastAsia"/>
          <w:szCs w:val="24"/>
        </w:rPr>
        <w:t>。</w:t>
      </w:r>
      <w:r>
        <w:rPr>
          <w:rFonts w:ascii="Times New Roman" w:hAnsi="Times New Roman"/>
          <w:szCs w:val="24"/>
        </w:rPr>
        <w:t>煤层以厚煤层为主，局部为</w:t>
      </w:r>
      <w:r>
        <w:rPr>
          <w:rFonts w:ascii="Times New Roman" w:hAnsi="Times New Roman" w:hint="eastAsia"/>
          <w:szCs w:val="24"/>
        </w:rPr>
        <w:t>中</w:t>
      </w:r>
      <w:r>
        <w:rPr>
          <w:rFonts w:ascii="Times New Roman" w:hAnsi="Times New Roman"/>
          <w:szCs w:val="24"/>
        </w:rPr>
        <w:t>厚煤层</w:t>
      </w:r>
      <w:r>
        <w:rPr>
          <w:rFonts w:ascii="Times New Roman" w:hAnsi="Times New Roman" w:hint="eastAsia"/>
          <w:szCs w:val="24"/>
        </w:rPr>
        <w:t>，</w:t>
      </w:r>
      <w:r>
        <w:rPr>
          <w:rFonts w:ascii="Times New Roman" w:hAnsi="Times New Roman"/>
          <w:szCs w:val="24"/>
        </w:rPr>
        <w:t>结构复杂，一般含</w:t>
      </w:r>
      <w:r>
        <w:rPr>
          <w:rFonts w:ascii="Times New Roman" w:hAnsi="Times New Roman"/>
          <w:szCs w:val="24"/>
        </w:rPr>
        <w:t>1</w:t>
      </w:r>
      <w:r>
        <w:rPr>
          <w:rFonts w:ascii="Times New Roman" w:hAnsi="Times New Roman"/>
          <w:szCs w:val="24"/>
        </w:rPr>
        <w:t>～</w:t>
      </w:r>
      <w:r>
        <w:rPr>
          <w:rFonts w:ascii="Times New Roman" w:hAnsi="Times New Roman"/>
          <w:szCs w:val="24"/>
        </w:rPr>
        <w:t>3</w:t>
      </w:r>
      <w:r>
        <w:rPr>
          <w:rFonts w:ascii="Times New Roman" w:hAnsi="Times New Roman"/>
          <w:szCs w:val="24"/>
        </w:rPr>
        <w:t>层夹矸，局部含</w:t>
      </w:r>
      <w:r>
        <w:rPr>
          <w:rFonts w:ascii="Times New Roman" w:hAnsi="Times New Roman"/>
          <w:szCs w:val="24"/>
        </w:rPr>
        <w:t>4</w:t>
      </w:r>
      <w:r>
        <w:rPr>
          <w:rFonts w:ascii="Times New Roman" w:hAnsi="Times New Roman"/>
          <w:szCs w:val="24"/>
        </w:rPr>
        <w:t>～</w:t>
      </w:r>
      <w:r>
        <w:rPr>
          <w:rFonts w:ascii="Times New Roman" w:hAnsi="Times New Roman"/>
          <w:szCs w:val="24"/>
        </w:rPr>
        <w:t>6</w:t>
      </w:r>
      <w:r>
        <w:rPr>
          <w:rFonts w:ascii="Times New Roman" w:hAnsi="Times New Roman"/>
          <w:szCs w:val="24"/>
        </w:rPr>
        <w:t>层夹矸。对比可靠，全区可采</w:t>
      </w:r>
      <w:r>
        <w:rPr>
          <w:rFonts w:ascii="Times New Roman" w:hAnsi="Times New Roman" w:hint="eastAsia"/>
          <w:szCs w:val="24"/>
        </w:rPr>
        <w:t>，</w:t>
      </w:r>
      <w:r>
        <w:rPr>
          <w:rFonts w:ascii="Times New Roman" w:hAnsi="Times New Roman"/>
          <w:szCs w:val="24"/>
        </w:rPr>
        <w:t>属</w:t>
      </w:r>
      <w:r>
        <w:rPr>
          <w:rFonts w:ascii="Times New Roman" w:hAnsi="Times New Roman" w:hint="eastAsia"/>
          <w:szCs w:val="24"/>
        </w:rPr>
        <w:t>较</w:t>
      </w:r>
      <w:r>
        <w:rPr>
          <w:rFonts w:ascii="Times New Roman" w:hAnsi="Times New Roman"/>
          <w:szCs w:val="24"/>
        </w:rPr>
        <w:t>稳定煤层。丁家梁井田</w:t>
      </w:r>
      <w:r>
        <w:rPr>
          <w:rFonts w:ascii="Times New Roman" w:hAnsi="Times New Roman" w:hint="eastAsia"/>
          <w:szCs w:val="24"/>
        </w:rPr>
        <w:t>（西部）九煤，煤层厚度</w:t>
      </w:r>
      <w:r>
        <w:rPr>
          <w:rFonts w:ascii="Times New Roman" w:hAnsi="Times New Roman" w:hint="eastAsia"/>
          <w:szCs w:val="24"/>
        </w:rPr>
        <w:t>2.27-7.88m</w:t>
      </w:r>
      <w:r>
        <w:rPr>
          <w:rFonts w:ascii="Times New Roman" w:hAnsi="Times New Roman" w:hint="eastAsia"/>
          <w:szCs w:val="24"/>
        </w:rPr>
        <w:t>，平均厚度</w:t>
      </w:r>
      <w:r>
        <w:rPr>
          <w:rFonts w:ascii="Times New Roman" w:hAnsi="Times New Roman" w:hint="eastAsia"/>
          <w:szCs w:val="24"/>
        </w:rPr>
        <w:t>4.79m</w:t>
      </w:r>
      <w:r>
        <w:rPr>
          <w:rFonts w:ascii="Times New Roman" w:hAnsi="Times New Roman" w:hint="eastAsia"/>
          <w:szCs w:val="24"/>
        </w:rPr>
        <w:t>，可采厚度</w:t>
      </w:r>
      <w:r>
        <w:rPr>
          <w:rFonts w:ascii="Times New Roman" w:hAnsi="Times New Roman" w:hint="eastAsia"/>
          <w:szCs w:val="24"/>
        </w:rPr>
        <w:t>2.27-7.88m</w:t>
      </w:r>
      <w:r>
        <w:rPr>
          <w:rFonts w:ascii="Times New Roman" w:hAnsi="Times New Roman" w:hint="eastAsia"/>
          <w:szCs w:val="24"/>
        </w:rPr>
        <w:t>，平均厚度</w:t>
      </w:r>
      <w:r>
        <w:rPr>
          <w:rFonts w:ascii="Times New Roman" w:hAnsi="Times New Roman" w:hint="eastAsia"/>
          <w:szCs w:val="24"/>
        </w:rPr>
        <w:t>4.79m</w:t>
      </w:r>
      <w:r>
        <w:rPr>
          <w:rFonts w:ascii="Times New Roman" w:hAnsi="Times New Roman" w:hint="eastAsia"/>
          <w:szCs w:val="24"/>
        </w:rPr>
        <w:t>。结构复杂，含夹矸</w:t>
      </w:r>
      <w:r>
        <w:rPr>
          <w:rFonts w:ascii="Times New Roman" w:hAnsi="Times New Roman" w:hint="eastAsia"/>
          <w:szCs w:val="24"/>
        </w:rPr>
        <w:t>0-7</w:t>
      </w:r>
      <w:r>
        <w:rPr>
          <w:rFonts w:ascii="Times New Roman" w:hAnsi="Times New Roman" w:hint="eastAsia"/>
          <w:szCs w:val="24"/>
        </w:rPr>
        <w:t>层，夹矸岩性多为泥岩、炭质泥岩，夹矸层数的变化呈由北向南增多的总体变化趋势。以厚煤层占绝大部分，厚度变化较小，全区可采，属较稳定煤层。煤层顶板为灰岩，普遍存在</w:t>
      </w:r>
      <w:r>
        <w:rPr>
          <w:rFonts w:ascii="Times New Roman" w:hAnsi="Times New Roman" w:hint="eastAsia"/>
          <w:szCs w:val="24"/>
        </w:rPr>
        <w:t>0.10-0.15m</w:t>
      </w:r>
      <w:r>
        <w:rPr>
          <w:rFonts w:ascii="Times New Roman" w:hAnsi="Times New Roman" w:hint="eastAsia"/>
          <w:szCs w:val="24"/>
        </w:rPr>
        <w:t>的泥岩伪顶；底板多为粉砂岩，其次为泥岩、细砂岩。</w:t>
      </w:r>
    </w:p>
    <w:p w14:paraId="6355EFA0" w14:textId="77777777" w:rsidR="009C353B" w:rsidRDefault="00000000">
      <w:pPr>
        <w:adjustRightInd w:val="0"/>
        <w:snapToGrid w:val="0"/>
        <w:spacing w:line="440" w:lineRule="exact"/>
        <w:ind w:firstLineChars="200" w:firstLine="482"/>
        <w:rPr>
          <w:rFonts w:ascii="Times New Roman" w:hint="eastAsia"/>
          <w:b/>
        </w:rPr>
      </w:pPr>
      <w:bookmarkStart w:id="67" w:name="_Toc354731944"/>
      <w:bookmarkStart w:id="68" w:name="_Toc244054405"/>
      <w:r>
        <w:rPr>
          <w:rFonts w:ascii="Times New Roman" w:hint="eastAsia"/>
          <w:b/>
        </w:rPr>
        <w:t>（</w:t>
      </w:r>
      <w:r>
        <w:rPr>
          <w:rFonts w:ascii="Times New Roman" w:hint="eastAsia"/>
          <w:b/>
        </w:rPr>
        <w:t>2</w:t>
      </w:r>
      <w:r>
        <w:rPr>
          <w:rFonts w:ascii="Times New Roman" w:hint="eastAsia"/>
          <w:b/>
        </w:rPr>
        <w:t>）可采煤层</w:t>
      </w:r>
      <w:bookmarkEnd w:id="67"/>
      <w:bookmarkEnd w:id="68"/>
    </w:p>
    <w:p w14:paraId="72D6B905"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整个矿区来看，达到可采且分布稳定的煤层有</w:t>
      </w:r>
      <w:r>
        <w:rPr>
          <w:rFonts w:ascii="Times New Roman" w:hAnsi="Times New Roman" w:hint="eastAsia"/>
          <w:szCs w:val="24"/>
        </w:rPr>
        <w:t>5</w:t>
      </w:r>
      <w:r>
        <w:rPr>
          <w:rFonts w:ascii="Times New Roman" w:hAnsi="Times New Roman"/>
          <w:szCs w:val="24"/>
        </w:rPr>
        <w:t>层，分别是山西组的一、三、五煤层，太原组的八、九煤层</w:t>
      </w:r>
      <w:r>
        <w:rPr>
          <w:rFonts w:ascii="Times New Roman" w:hAnsi="Times New Roman" w:hint="eastAsia"/>
          <w:szCs w:val="24"/>
        </w:rPr>
        <w:t>。</w:t>
      </w:r>
    </w:p>
    <w:p w14:paraId="3284E43C"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1</w:t>
      </w:r>
      <w:r>
        <w:rPr>
          <w:rFonts w:ascii="Times New Roman" w:hAnsi="Times New Roman"/>
          <w:szCs w:val="24"/>
        </w:rPr>
        <w:t>）</w:t>
      </w:r>
      <w:r>
        <w:rPr>
          <w:rFonts w:ascii="Times New Roman" w:hAnsi="Times New Roman" w:hint="eastAsia"/>
          <w:szCs w:val="24"/>
        </w:rPr>
        <w:t>二叠系山西</w:t>
      </w:r>
      <w:r>
        <w:rPr>
          <w:rFonts w:ascii="Times New Roman" w:hAnsi="Times New Roman"/>
          <w:szCs w:val="24"/>
        </w:rPr>
        <w:t>组可采煤层</w:t>
      </w:r>
    </w:p>
    <w:p w14:paraId="2F34AF89"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hint="eastAsia"/>
          <w:szCs w:val="24"/>
        </w:rPr>
        <w:t>山西</w:t>
      </w:r>
      <w:r>
        <w:rPr>
          <w:rFonts w:ascii="Times New Roman" w:hAnsi="Times New Roman"/>
          <w:szCs w:val="24"/>
        </w:rPr>
        <w:t>组可采煤层编号由上至下依次为</w:t>
      </w:r>
      <w:r>
        <w:rPr>
          <w:rFonts w:ascii="Times New Roman" w:hAnsi="Times New Roman" w:hint="eastAsia"/>
          <w:szCs w:val="24"/>
        </w:rPr>
        <w:t>一、二、三、四、五、六，</w:t>
      </w:r>
      <w:r>
        <w:rPr>
          <w:rFonts w:ascii="Times New Roman" w:hAnsi="Times New Roman"/>
          <w:szCs w:val="24"/>
        </w:rPr>
        <w:t>达到可采且分布稳定的煤层有</w:t>
      </w:r>
      <w:r>
        <w:rPr>
          <w:rFonts w:ascii="Times New Roman" w:hAnsi="Times New Roman"/>
          <w:szCs w:val="24"/>
        </w:rPr>
        <w:t>3</w:t>
      </w:r>
      <w:r>
        <w:rPr>
          <w:rFonts w:ascii="Times New Roman" w:hAnsi="Times New Roman"/>
          <w:szCs w:val="24"/>
        </w:rPr>
        <w:t>层，分别是一、三、五</w:t>
      </w:r>
      <w:r>
        <w:rPr>
          <w:rFonts w:ascii="Times New Roman" w:hAnsi="Times New Roman" w:hint="eastAsia"/>
          <w:szCs w:val="24"/>
        </w:rPr>
        <w:t>煤层，详细</w:t>
      </w:r>
      <w:r>
        <w:rPr>
          <w:rFonts w:ascii="Times New Roman" w:hAnsi="Times New Roman"/>
          <w:szCs w:val="24"/>
        </w:rPr>
        <w:t>见表</w:t>
      </w:r>
      <w:r>
        <w:rPr>
          <w:rFonts w:ascii="Times New Roman" w:hAnsi="Times New Roman" w:hint="eastAsia"/>
          <w:szCs w:val="24"/>
        </w:rPr>
        <w:t>2.3</w:t>
      </w:r>
      <w:r>
        <w:rPr>
          <w:rFonts w:ascii="Times New Roman" w:hAnsi="Times New Roman"/>
          <w:szCs w:val="24"/>
        </w:rPr>
        <w:t>-1</w:t>
      </w:r>
      <w:r>
        <w:rPr>
          <w:rFonts w:ascii="Times New Roman" w:hAnsi="Times New Roman"/>
          <w:szCs w:val="24"/>
        </w:rPr>
        <w:t>。</w:t>
      </w:r>
    </w:p>
    <w:p w14:paraId="133ED72A"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hint="eastAsia"/>
          <w:szCs w:val="24"/>
        </w:rPr>
        <w:t>2</w:t>
      </w:r>
      <w:r>
        <w:rPr>
          <w:rFonts w:ascii="Times New Roman" w:hAnsi="Times New Roman"/>
          <w:szCs w:val="24"/>
        </w:rPr>
        <w:t>）</w:t>
      </w:r>
      <w:r>
        <w:rPr>
          <w:rFonts w:ascii="Times New Roman" w:hAnsi="Times New Roman" w:hint="eastAsia"/>
          <w:szCs w:val="24"/>
        </w:rPr>
        <w:t>石炭系太原</w:t>
      </w:r>
      <w:r>
        <w:rPr>
          <w:rFonts w:ascii="Times New Roman" w:hAnsi="Times New Roman"/>
          <w:szCs w:val="24"/>
        </w:rPr>
        <w:t>组可采煤层</w:t>
      </w:r>
    </w:p>
    <w:p w14:paraId="6CD1292B"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hint="eastAsia"/>
          <w:szCs w:val="24"/>
        </w:rPr>
        <w:t>太原</w:t>
      </w:r>
      <w:r>
        <w:rPr>
          <w:rFonts w:ascii="Times New Roman" w:hAnsi="Times New Roman"/>
          <w:szCs w:val="24"/>
        </w:rPr>
        <w:t>组含可采煤层编号由上至下依次为</w:t>
      </w:r>
      <w:r>
        <w:rPr>
          <w:rFonts w:ascii="Times New Roman" w:hAnsi="Times New Roman" w:hint="eastAsia"/>
          <w:szCs w:val="24"/>
        </w:rPr>
        <w:t>七、八、九、十、十一、十二，</w:t>
      </w:r>
      <w:r>
        <w:rPr>
          <w:rFonts w:ascii="Times New Roman" w:hAnsi="Times New Roman"/>
          <w:szCs w:val="24"/>
        </w:rPr>
        <w:t>达到可采且分布稳定的煤层有</w:t>
      </w:r>
      <w:r>
        <w:rPr>
          <w:rFonts w:ascii="Times New Roman" w:hAnsi="Times New Roman"/>
          <w:szCs w:val="24"/>
        </w:rPr>
        <w:t>2</w:t>
      </w:r>
      <w:r>
        <w:rPr>
          <w:rFonts w:ascii="Times New Roman" w:hAnsi="Times New Roman"/>
          <w:szCs w:val="24"/>
        </w:rPr>
        <w:t>层，分别是</w:t>
      </w:r>
      <w:r>
        <w:rPr>
          <w:rFonts w:ascii="Times New Roman" w:hAnsi="Times New Roman" w:hint="eastAsia"/>
          <w:szCs w:val="24"/>
        </w:rPr>
        <w:t>八、九煤层，详细</w:t>
      </w:r>
      <w:r>
        <w:rPr>
          <w:rFonts w:ascii="Times New Roman" w:hAnsi="Times New Roman"/>
          <w:szCs w:val="24"/>
        </w:rPr>
        <w:t>见表</w:t>
      </w:r>
      <w:r>
        <w:rPr>
          <w:rFonts w:ascii="Times New Roman" w:hAnsi="Times New Roman" w:hint="eastAsia"/>
          <w:szCs w:val="24"/>
        </w:rPr>
        <w:t>2.3</w:t>
      </w:r>
      <w:r>
        <w:rPr>
          <w:rFonts w:ascii="Times New Roman" w:hAnsi="Times New Roman"/>
          <w:szCs w:val="24"/>
        </w:rPr>
        <w:t>-1</w:t>
      </w:r>
      <w:r>
        <w:rPr>
          <w:rFonts w:ascii="Times New Roman" w:hAnsi="Times New Roman"/>
          <w:szCs w:val="24"/>
        </w:rPr>
        <w:t>。</w:t>
      </w:r>
    </w:p>
    <w:p w14:paraId="2F253854" w14:textId="77777777" w:rsidR="009C353B" w:rsidRDefault="009C353B">
      <w:pPr>
        <w:adjustRightInd w:val="0"/>
        <w:snapToGrid w:val="0"/>
        <w:spacing w:line="440" w:lineRule="exact"/>
        <w:ind w:firstLineChars="200" w:firstLine="480"/>
        <w:jc w:val="left"/>
        <w:rPr>
          <w:rFonts w:ascii="Times New Roman" w:hint="eastAsia"/>
          <w:szCs w:val="28"/>
        </w:rPr>
        <w:sectPr w:rsidR="009C353B">
          <w:headerReference w:type="default" r:id="rId15"/>
          <w:pgSz w:w="11907" w:h="16840"/>
          <w:pgMar w:top="1701" w:right="1418" w:bottom="1247" w:left="1418" w:header="1134" w:footer="851" w:gutter="0"/>
          <w:paperSrc w:first="7" w:other="7"/>
          <w:cols w:space="720"/>
          <w:docGrid w:linePitch="312"/>
        </w:sectPr>
      </w:pPr>
    </w:p>
    <w:p w14:paraId="41EEC2F6" w14:textId="77777777" w:rsidR="009C353B" w:rsidRDefault="00000000">
      <w:pPr>
        <w:adjustRightInd w:val="0"/>
        <w:snapToGrid w:val="0"/>
        <w:spacing w:line="529" w:lineRule="exact"/>
        <w:jc w:val="center"/>
        <w:rPr>
          <w:rFonts w:ascii="Times New Roman" w:hAnsi="Times New Roman"/>
          <w:b/>
          <w:szCs w:val="24"/>
        </w:rPr>
      </w:pPr>
      <w:r>
        <w:rPr>
          <w:rFonts w:ascii="Times New Roman" w:hAnsi="Times New Roman" w:hint="eastAsia"/>
          <w:b/>
          <w:szCs w:val="24"/>
        </w:rPr>
        <w:t>矿区</w:t>
      </w:r>
      <w:r>
        <w:rPr>
          <w:rFonts w:ascii="Times New Roman" w:hAnsi="Times New Roman"/>
          <w:b/>
          <w:szCs w:val="24"/>
        </w:rPr>
        <w:t>可采煤层特征表</w:t>
      </w:r>
    </w:p>
    <w:p w14:paraId="7FBA260A" w14:textId="77777777" w:rsidR="009C353B" w:rsidRDefault="00000000">
      <w:pPr>
        <w:pStyle w:val="affffd"/>
        <w:spacing w:line="440" w:lineRule="exact"/>
        <w:rPr>
          <w:rFonts w:ascii="Times New Roman" w:hint="eastAsia"/>
        </w:rPr>
      </w:pPr>
      <w:r>
        <w:rPr>
          <w:rFonts w:ascii="Times New Roman"/>
        </w:rPr>
        <w:t>表</w:t>
      </w:r>
      <w:r>
        <w:rPr>
          <w:rFonts w:ascii="Times New Roman" w:hint="eastAsia"/>
        </w:rPr>
        <w:t>2.3-</w:t>
      </w:r>
      <w:r>
        <w:rPr>
          <w:rFonts w:ascii="Times New Roman"/>
        </w:rPr>
        <w:t>1</w:t>
      </w:r>
    </w:p>
    <w:tbl>
      <w:tblPr>
        <w:tblW w:w="50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
        <w:gridCol w:w="314"/>
        <w:gridCol w:w="265"/>
        <w:gridCol w:w="793"/>
        <w:gridCol w:w="881"/>
        <w:gridCol w:w="547"/>
        <w:gridCol w:w="436"/>
        <w:gridCol w:w="240"/>
        <w:gridCol w:w="895"/>
        <w:gridCol w:w="1009"/>
        <w:gridCol w:w="576"/>
        <w:gridCol w:w="433"/>
        <w:gridCol w:w="285"/>
        <w:gridCol w:w="864"/>
        <w:gridCol w:w="1155"/>
        <w:gridCol w:w="576"/>
        <w:gridCol w:w="721"/>
        <w:gridCol w:w="431"/>
        <w:gridCol w:w="1152"/>
        <w:gridCol w:w="1152"/>
        <w:gridCol w:w="579"/>
        <w:gridCol w:w="713"/>
      </w:tblGrid>
      <w:tr w:rsidR="009C353B" w14:paraId="5EABC054" w14:textId="77777777">
        <w:trPr>
          <w:cantSplit/>
          <w:trHeight w:val="247"/>
          <w:jc w:val="center"/>
        </w:trPr>
        <w:tc>
          <w:tcPr>
            <w:tcW w:w="84" w:type="pct"/>
            <w:vMerge w:val="restart"/>
            <w:shd w:val="clear" w:color="auto" w:fill="auto"/>
            <w:noWrap/>
            <w:vAlign w:val="center"/>
          </w:tcPr>
          <w:p w14:paraId="2352433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含</w:t>
            </w:r>
          </w:p>
          <w:p w14:paraId="25E8AED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w:t>
            </w:r>
          </w:p>
          <w:p w14:paraId="6A88CB4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组</w:t>
            </w:r>
          </w:p>
        </w:tc>
        <w:tc>
          <w:tcPr>
            <w:tcW w:w="110" w:type="pct"/>
            <w:vMerge w:val="restart"/>
            <w:shd w:val="clear" w:color="auto" w:fill="auto"/>
            <w:noWrap/>
            <w:vAlign w:val="center"/>
          </w:tcPr>
          <w:p w14:paraId="1CEBDDE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序</w:t>
            </w:r>
          </w:p>
          <w:p w14:paraId="1FABCE3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号</w:t>
            </w:r>
          </w:p>
        </w:tc>
        <w:tc>
          <w:tcPr>
            <w:tcW w:w="1024" w:type="pct"/>
            <w:gridSpan w:val="5"/>
            <w:shd w:val="clear" w:color="auto" w:fill="auto"/>
            <w:noWrap/>
            <w:vAlign w:val="center"/>
          </w:tcPr>
          <w:p w14:paraId="1D12E6C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马莲台煤矿</w:t>
            </w:r>
          </w:p>
        </w:tc>
        <w:tc>
          <w:tcPr>
            <w:tcW w:w="1106" w:type="pct"/>
            <w:gridSpan w:val="5"/>
            <w:shd w:val="clear" w:color="auto" w:fill="auto"/>
            <w:noWrap/>
            <w:vAlign w:val="center"/>
          </w:tcPr>
          <w:p w14:paraId="792C2F1D"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kern w:val="0"/>
                <w:sz w:val="15"/>
                <w:szCs w:val="15"/>
              </w:rPr>
              <w:t>任家庄煤矿</w:t>
            </w:r>
          </w:p>
        </w:tc>
        <w:tc>
          <w:tcPr>
            <w:tcW w:w="1263" w:type="pct"/>
            <w:gridSpan w:val="5"/>
            <w:shd w:val="clear" w:color="auto" w:fill="auto"/>
            <w:noWrap/>
            <w:vAlign w:val="center"/>
          </w:tcPr>
          <w:p w14:paraId="2F186F09"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红石湾煤矿</w:t>
            </w:r>
          </w:p>
        </w:tc>
        <w:tc>
          <w:tcPr>
            <w:tcW w:w="1413" w:type="pct"/>
            <w:gridSpan w:val="5"/>
          </w:tcPr>
          <w:p w14:paraId="57687DB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丁家梁煤矿</w:t>
            </w:r>
          </w:p>
        </w:tc>
      </w:tr>
      <w:tr w:rsidR="009C353B" w14:paraId="71861846" w14:textId="77777777">
        <w:trPr>
          <w:cantSplit/>
          <w:trHeight w:val="778"/>
          <w:jc w:val="center"/>
        </w:trPr>
        <w:tc>
          <w:tcPr>
            <w:tcW w:w="84" w:type="pct"/>
            <w:vMerge/>
            <w:vAlign w:val="center"/>
          </w:tcPr>
          <w:p w14:paraId="7DFE311A" w14:textId="77777777" w:rsidR="009C353B" w:rsidRDefault="009C353B">
            <w:pPr>
              <w:widowControl/>
              <w:snapToGrid w:val="0"/>
              <w:ind w:leftChars="-50" w:left="-120" w:rightChars="-50" w:right="-120"/>
              <w:jc w:val="center"/>
              <w:rPr>
                <w:rFonts w:cs="宋体" w:hint="eastAsia"/>
                <w:b/>
                <w:bCs/>
                <w:kern w:val="0"/>
                <w:sz w:val="15"/>
                <w:szCs w:val="15"/>
              </w:rPr>
            </w:pPr>
          </w:p>
        </w:tc>
        <w:tc>
          <w:tcPr>
            <w:tcW w:w="110" w:type="pct"/>
            <w:vMerge/>
            <w:vAlign w:val="center"/>
          </w:tcPr>
          <w:p w14:paraId="1BAEA371" w14:textId="77777777" w:rsidR="009C353B" w:rsidRDefault="009C353B">
            <w:pPr>
              <w:widowControl/>
              <w:snapToGrid w:val="0"/>
              <w:ind w:leftChars="-50" w:left="-120" w:rightChars="-50" w:right="-120"/>
              <w:jc w:val="center"/>
              <w:rPr>
                <w:rFonts w:cs="宋体" w:hint="eastAsia"/>
                <w:b/>
                <w:bCs/>
                <w:kern w:val="0"/>
                <w:sz w:val="15"/>
                <w:szCs w:val="15"/>
              </w:rPr>
            </w:pPr>
          </w:p>
        </w:tc>
        <w:tc>
          <w:tcPr>
            <w:tcW w:w="93" w:type="pct"/>
            <w:shd w:val="clear" w:color="auto" w:fill="auto"/>
            <w:vAlign w:val="center"/>
          </w:tcPr>
          <w:p w14:paraId="15C0D63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w:t>
            </w:r>
          </w:p>
          <w:p w14:paraId="21E7676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层      编</w:t>
            </w:r>
          </w:p>
          <w:p w14:paraId="4576CFA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号</w:t>
            </w:r>
          </w:p>
        </w:tc>
        <w:tc>
          <w:tcPr>
            <w:tcW w:w="278" w:type="pct"/>
            <w:shd w:val="clear" w:color="auto" w:fill="auto"/>
            <w:vAlign w:val="center"/>
          </w:tcPr>
          <w:p w14:paraId="7A0A2A50"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煤层厚度</w:t>
            </w:r>
          </w:p>
          <w:p w14:paraId="730632AD" w14:textId="77777777" w:rsidR="009C353B" w:rsidRDefault="00000000">
            <w:pPr>
              <w:widowControl/>
              <w:snapToGrid w:val="0"/>
              <w:ind w:leftChars="-50" w:left="-120" w:rightChars="-50" w:right="-120"/>
              <w:jc w:val="center"/>
              <w:rPr>
                <w:rFonts w:cs="宋体" w:hint="eastAsia"/>
                <w:b/>
                <w:bCs/>
                <w:kern w:val="0"/>
                <w:sz w:val="15"/>
                <w:szCs w:val="15"/>
              </w:rPr>
            </w:pPr>
            <w:r>
              <w:rPr>
                <w:position w:val="-26"/>
              </w:rPr>
              <w:object w:dxaOrig="840" w:dyaOrig="345" w14:anchorId="572CFE85">
                <v:shape id="_x0000_i1026" type="#_x0000_t75" style="width:42pt;height:17.45pt" o:ole="">
                  <v:imagedata r:id="rId16" o:title=""/>
                </v:shape>
                <o:OLEObject Type="Embed" ProgID="Equation.3" ShapeID="_x0000_i1026" DrawAspect="Content" ObjectID="_1826209125" r:id="rId17"/>
              </w:object>
            </w:r>
          </w:p>
        </w:tc>
        <w:tc>
          <w:tcPr>
            <w:tcW w:w="309" w:type="pct"/>
            <w:shd w:val="clear" w:color="auto" w:fill="auto"/>
            <w:vAlign w:val="center"/>
          </w:tcPr>
          <w:p w14:paraId="4FD2FB2D"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煤层间距</w:t>
            </w:r>
          </w:p>
          <w:p w14:paraId="6BFACF94" w14:textId="77777777" w:rsidR="009C353B" w:rsidRDefault="00000000">
            <w:pPr>
              <w:widowControl/>
              <w:snapToGrid w:val="0"/>
              <w:ind w:leftChars="-50" w:left="-120" w:rightChars="-50" w:right="-120"/>
              <w:jc w:val="center"/>
              <w:rPr>
                <w:rFonts w:cs="宋体" w:hint="eastAsia"/>
                <w:b/>
                <w:bCs/>
                <w:kern w:val="0"/>
                <w:sz w:val="15"/>
                <w:szCs w:val="15"/>
              </w:rPr>
            </w:pPr>
            <w:r>
              <w:rPr>
                <w:position w:val="-26"/>
              </w:rPr>
              <w:object w:dxaOrig="840" w:dyaOrig="345" w14:anchorId="742D0E61">
                <v:shape id="_x0000_i1027" type="#_x0000_t75" style="width:42pt;height:17.45pt" o:ole="">
                  <v:imagedata r:id="rId16" o:title=""/>
                </v:shape>
                <o:OLEObject Type="Embed" ProgID="Equation.3" ShapeID="_x0000_i1027" DrawAspect="Content" ObjectID="_1826209126" r:id="rId18"/>
              </w:object>
            </w:r>
          </w:p>
        </w:tc>
        <w:tc>
          <w:tcPr>
            <w:tcW w:w="192" w:type="pct"/>
            <w:shd w:val="clear" w:color="auto" w:fill="auto"/>
            <w:vAlign w:val="center"/>
          </w:tcPr>
          <w:p w14:paraId="0FFA3FA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w:t>
            </w:r>
          </w:p>
          <w:p w14:paraId="0E67B57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可采性</w:t>
            </w:r>
          </w:p>
        </w:tc>
        <w:tc>
          <w:tcPr>
            <w:tcW w:w="153" w:type="pct"/>
            <w:shd w:val="clear" w:color="auto" w:fill="auto"/>
            <w:vAlign w:val="center"/>
          </w:tcPr>
          <w:p w14:paraId="3BA975FD"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稳定</w:t>
            </w:r>
          </w:p>
          <w:p w14:paraId="6F2049F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程度</w:t>
            </w:r>
          </w:p>
        </w:tc>
        <w:tc>
          <w:tcPr>
            <w:tcW w:w="84" w:type="pct"/>
            <w:shd w:val="clear" w:color="auto" w:fill="auto"/>
            <w:vAlign w:val="center"/>
          </w:tcPr>
          <w:p w14:paraId="44C3825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w:t>
            </w:r>
          </w:p>
          <w:p w14:paraId="1B6D3BF9"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层</w:t>
            </w:r>
          </w:p>
          <w:p w14:paraId="48A2818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编</w:t>
            </w:r>
          </w:p>
          <w:p w14:paraId="1D50934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号</w:t>
            </w:r>
          </w:p>
        </w:tc>
        <w:tc>
          <w:tcPr>
            <w:tcW w:w="314" w:type="pct"/>
            <w:shd w:val="clear" w:color="auto" w:fill="auto"/>
            <w:vAlign w:val="center"/>
          </w:tcPr>
          <w:p w14:paraId="372EE635"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煤层厚度</w:t>
            </w:r>
          </w:p>
        </w:tc>
        <w:tc>
          <w:tcPr>
            <w:tcW w:w="354" w:type="pct"/>
            <w:shd w:val="clear" w:color="auto" w:fill="auto"/>
            <w:vAlign w:val="center"/>
          </w:tcPr>
          <w:p w14:paraId="1D4249C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煤层间距</w:t>
            </w:r>
          </w:p>
        </w:tc>
        <w:tc>
          <w:tcPr>
            <w:tcW w:w="202" w:type="pct"/>
            <w:shd w:val="clear" w:color="auto" w:fill="auto"/>
            <w:vAlign w:val="center"/>
          </w:tcPr>
          <w:p w14:paraId="131659C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w:t>
            </w:r>
          </w:p>
          <w:p w14:paraId="5B7ED705"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可采性</w:t>
            </w:r>
          </w:p>
        </w:tc>
        <w:tc>
          <w:tcPr>
            <w:tcW w:w="152" w:type="pct"/>
            <w:shd w:val="clear" w:color="auto" w:fill="auto"/>
            <w:vAlign w:val="center"/>
          </w:tcPr>
          <w:p w14:paraId="2C0BCFB5"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稳定</w:t>
            </w:r>
          </w:p>
          <w:p w14:paraId="5C2C1404"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程度</w:t>
            </w:r>
          </w:p>
        </w:tc>
        <w:tc>
          <w:tcPr>
            <w:tcW w:w="100" w:type="pct"/>
            <w:shd w:val="clear" w:color="auto" w:fill="auto"/>
            <w:vAlign w:val="center"/>
          </w:tcPr>
          <w:p w14:paraId="2208BF50"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w:t>
            </w:r>
          </w:p>
          <w:p w14:paraId="44A01C15"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层</w:t>
            </w:r>
          </w:p>
          <w:p w14:paraId="4D621810"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编</w:t>
            </w:r>
          </w:p>
          <w:p w14:paraId="4741EDC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号</w:t>
            </w:r>
          </w:p>
        </w:tc>
        <w:tc>
          <w:tcPr>
            <w:tcW w:w="303" w:type="pct"/>
            <w:shd w:val="clear" w:color="auto" w:fill="auto"/>
            <w:vAlign w:val="center"/>
          </w:tcPr>
          <w:p w14:paraId="474B2469"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煤层厚度</w:t>
            </w:r>
          </w:p>
        </w:tc>
        <w:tc>
          <w:tcPr>
            <w:tcW w:w="405" w:type="pct"/>
            <w:shd w:val="clear" w:color="auto" w:fill="auto"/>
            <w:vAlign w:val="center"/>
          </w:tcPr>
          <w:p w14:paraId="28C0B06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煤层间距</w:t>
            </w:r>
          </w:p>
        </w:tc>
        <w:tc>
          <w:tcPr>
            <w:tcW w:w="202" w:type="pct"/>
            <w:shd w:val="clear" w:color="auto" w:fill="auto"/>
            <w:vAlign w:val="center"/>
          </w:tcPr>
          <w:p w14:paraId="033D2F1A"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煤层可采性</w:t>
            </w:r>
          </w:p>
        </w:tc>
        <w:tc>
          <w:tcPr>
            <w:tcW w:w="253" w:type="pct"/>
            <w:shd w:val="clear" w:color="auto" w:fill="auto"/>
            <w:vAlign w:val="center"/>
          </w:tcPr>
          <w:p w14:paraId="5D44A254"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稳定程度</w:t>
            </w:r>
          </w:p>
        </w:tc>
        <w:tc>
          <w:tcPr>
            <w:tcW w:w="151" w:type="pct"/>
            <w:vAlign w:val="center"/>
          </w:tcPr>
          <w:p w14:paraId="2D145EF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w:t>
            </w:r>
          </w:p>
          <w:p w14:paraId="018BEA2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层</w:t>
            </w:r>
          </w:p>
          <w:p w14:paraId="6FA3558D"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编</w:t>
            </w:r>
          </w:p>
          <w:p w14:paraId="6815EB92"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号</w:t>
            </w:r>
          </w:p>
        </w:tc>
        <w:tc>
          <w:tcPr>
            <w:tcW w:w="404" w:type="pct"/>
            <w:vAlign w:val="center"/>
          </w:tcPr>
          <w:p w14:paraId="2BFB344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煤层厚度</w:t>
            </w:r>
          </w:p>
        </w:tc>
        <w:tc>
          <w:tcPr>
            <w:tcW w:w="404" w:type="pct"/>
            <w:vAlign w:val="center"/>
          </w:tcPr>
          <w:p w14:paraId="5F1070E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煤层间距</w:t>
            </w:r>
          </w:p>
        </w:tc>
        <w:tc>
          <w:tcPr>
            <w:tcW w:w="203" w:type="pct"/>
            <w:vAlign w:val="center"/>
          </w:tcPr>
          <w:p w14:paraId="14C7950D"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煤层可采性</w:t>
            </w:r>
          </w:p>
        </w:tc>
        <w:tc>
          <w:tcPr>
            <w:tcW w:w="250" w:type="pct"/>
            <w:vAlign w:val="center"/>
          </w:tcPr>
          <w:p w14:paraId="47ADCC5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稳定程度</w:t>
            </w:r>
          </w:p>
        </w:tc>
      </w:tr>
      <w:tr w:rsidR="009C353B" w14:paraId="6EF7D1DC" w14:textId="77777777">
        <w:trPr>
          <w:cantSplit/>
          <w:trHeight w:val="519"/>
          <w:jc w:val="center"/>
        </w:trPr>
        <w:tc>
          <w:tcPr>
            <w:tcW w:w="84" w:type="pct"/>
            <w:vMerge w:val="restart"/>
            <w:shd w:val="clear" w:color="auto" w:fill="auto"/>
            <w:noWrap/>
            <w:vAlign w:val="center"/>
          </w:tcPr>
          <w:p w14:paraId="405E255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山</w:t>
            </w:r>
          </w:p>
          <w:p w14:paraId="76CC95B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西</w:t>
            </w:r>
          </w:p>
          <w:p w14:paraId="2199408A"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组</w:t>
            </w:r>
          </w:p>
        </w:tc>
        <w:tc>
          <w:tcPr>
            <w:tcW w:w="110" w:type="pct"/>
            <w:shd w:val="clear" w:color="auto" w:fill="auto"/>
            <w:vAlign w:val="center"/>
          </w:tcPr>
          <w:p w14:paraId="0F4DAFB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1</w:t>
            </w:r>
          </w:p>
        </w:tc>
        <w:tc>
          <w:tcPr>
            <w:tcW w:w="93" w:type="pct"/>
            <w:shd w:val="clear" w:color="auto" w:fill="auto"/>
            <w:vAlign w:val="center"/>
          </w:tcPr>
          <w:p w14:paraId="325A170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一</w:t>
            </w:r>
          </w:p>
        </w:tc>
        <w:tc>
          <w:tcPr>
            <w:tcW w:w="278" w:type="pct"/>
            <w:shd w:val="clear" w:color="auto" w:fill="auto"/>
            <w:vAlign w:val="center"/>
          </w:tcPr>
          <w:p w14:paraId="45325FCE" w14:textId="77777777" w:rsidR="009C353B" w:rsidRDefault="00000000">
            <w:pPr>
              <w:snapToGrid w:val="0"/>
              <w:ind w:leftChars="-50" w:left="-120" w:rightChars="-50" w:right="-120"/>
              <w:jc w:val="center"/>
              <w:rPr>
                <w:rFonts w:cs="宋体" w:hint="eastAsia"/>
                <w:b/>
                <w:bCs/>
                <w:kern w:val="0"/>
                <w:sz w:val="15"/>
                <w:szCs w:val="15"/>
                <w:u w:val="single"/>
              </w:rPr>
            </w:pPr>
            <w:r>
              <w:rPr>
                <w:b/>
                <w:bCs/>
                <w:position w:val="-24"/>
              </w:rPr>
              <w:object w:dxaOrig="855" w:dyaOrig="375" w14:anchorId="7F8D85D0">
                <v:shape id="_x0000_i1028" type="#_x0000_t75" style="width:42.55pt;height:18.55pt" o:ole="">
                  <v:imagedata r:id="rId19" o:title=""/>
                </v:shape>
                <o:OLEObject Type="Embed" ProgID="Equation.3" ShapeID="_x0000_i1028" DrawAspect="Content" ObjectID="_1826209127" r:id="rId20"/>
              </w:object>
            </w:r>
          </w:p>
        </w:tc>
        <w:tc>
          <w:tcPr>
            <w:tcW w:w="309" w:type="pct"/>
            <w:vAlign w:val="center"/>
          </w:tcPr>
          <w:p w14:paraId="389229C5" w14:textId="77777777" w:rsidR="009C353B" w:rsidRDefault="00000000">
            <w:pPr>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192" w:type="pct"/>
            <w:shd w:val="clear" w:color="auto" w:fill="auto"/>
            <w:vAlign w:val="center"/>
          </w:tcPr>
          <w:p w14:paraId="5A592C6D"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全区可采</w:t>
            </w:r>
          </w:p>
        </w:tc>
        <w:tc>
          <w:tcPr>
            <w:tcW w:w="153" w:type="pct"/>
            <w:shd w:val="clear" w:color="auto" w:fill="auto"/>
            <w:vAlign w:val="center"/>
          </w:tcPr>
          <w:p w14:paraId="2A0A44D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84" w:type="pct"/>
            <w:shd w:val="clear" w:color="auto" w:fill="auto"/>
            <w:vAlign w:val="center"/>
          </w:tcPr>
          <w:p w14:paraId="66FFAD84"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一</w:t>
            </w:r>
          </w:p>
        </w:tc>
        <w:tc>
          <w:tcPr>
            <w:tcW w:w="314" w:type="pct"/>
            <w:shd w:val="clear" w:color="auto" w:fill="auto"/>
            <w:vAlign w:val="center"/>
          </w:tcPr>
          <w:p w14:paraId="79B090BE" w14:textId="77777777" w:rsidR="009C353B" w:rsidRDefault="00000000">
            <w:pPr>
              <w:snapToGrid w:val="0"/>
              <w:ind w:leftChars="-50" w:left="-120" w:rightChars="-50" w:right="-120"/>
              <w:jc w:val="center"/>
              <w:rPr>
                <w:rFonts w:cs="宋体" w:hint="eastAsia"/>
                <w:b/>
                <w:bCs/>
                <w:kern w:val="0"/>
                <w:sz w:val="15"/>
                <w:szCs w:val="15"/>
                <w:u w:val="single"/>
              </w:rPr>
            </w:pPr>
            <w:r>
              <w:rPr>
                <w:position w:val="-24"/>
              </w:rPr>
              <w:object w:dxaOrig="870" w:dyaOrig="435" w14:anchorId="73537006">
                <v:shape id="_x0000_i1029" type="#_x0000_t75" style="width:43.65pt;height:21.8pt" o:ole="">
                  <v:imagedata r:id="rId21" o:title=""/>
                </v:shape>
                <o:OLEObject Type="Embed" ProgID="Equation.3" ShapeID="_x0000_i1029" DrawAspect="Content" ObjectID="_1826209128" r:id="rId22"/>
              </w:object>
            </w:r>
          </w:p>
        </w:tc>
        <w:tc>
          <w:tcPr>
            <w:tcW w:w="354" w:type="pct"/>
            <w:shd w:val="clear" w:color="auto" w:fill="auto"/>
            <w:vAlign w:val="center"/>
          </w:tcPr>
          <w:p w14:paraId="05ADC98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202" w:type="pct"/>
            <w:shd w:val="clear" w:color="auto" w:fill="auto"/>
            <w:vAlign w:val="center"/>
          </w:tcPr>
          <w:p w14:paraId="7719074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全井田基本可采</w:t>
            </w:r>
          </w:p>
        </w:tc>
        <w:tc>
          <w:tcPr>
            <w:tcW w:w="152" w:type="pct"/>
            <w:shd w:val="clear" w:color="auto" w:fill="auto"/>
            <w:vAlign w:val="center"/>
          </w:tcPr>
          <w:p w14:paraId="1639E4D9"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00" w:type="pct"/>
            <w:shd w:val="clear" w:color="auto" w:fill="auto"/>
            <w:noWrap/>
            <w:vAlign w:val="center"/>
          </w:tcPr>
          <w:p w14:paraId="460D2496"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一</w:t>
            </w:r>
          </w:p>
        </w:tc>
        <w:tc>
          <w:tcPr>
            <w:tcW w:w="303" w:type="pct"/>
            <w:shd w:val="clear" w:color="auto" w:fill="auto"/>
            <w:noWrap/>
            <w:vAlign w:val="center"/>
          </w:tcPr>
          <w:p w14:paraId="01415A79"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855" w:dyaOrig="375" w14:anchorId="62FD92EF">
                <v:shape id="_x0000_i1030" type="#_x0000_t75" style="width:42.55pt;height:18.55pt" o:ole="">
                  <v:imagedata r:id="rId23" o:title=""/>
                </v:shape>
                <o:OLEObject Type="Embed" ProgID="Equation.3" ShapeID="_x0000_i1030" DrawAspect="Content" ObjectID="_1826209129" r:id="rId24"/>
              </w:object>
            </w:r>
          </w:p>
        </w:tc>
        <w:tc>
          <w:tcPr>
            <w:tcW w:w="405" w:type="pct"/>
            <w:shd w:val="clear" w:color="auto" w:fill="auto"/>
            <w:noWrap/>
            <w:vAlign w:val="center"/>
          </w:tcPr>
          <w:p w14:paraId="43388E7A" w14:textId="77777777" w:rsidR="009C353B" w:rsidRDefault="00000000">
            <w:pPr>
              <w:widowControl/>
              <w:snapToGrid w:val="0"/>
              <w:ind w:rightChars="-50" w:right="-120"/>
              <w:jc w:val="center"/>
              <w:rPr>
                <w:rFonts w:cs="宋体" w:hint="eastAsia"/>
                <w:b/>
                <w:kern w:val="0"/>
                <w:sz w:val="15"/>
                <w:szCs w:val="15"/>
              </w:rPr>
            </w:pPr>
            <w:r>
              <w:rPr>
                <w:rFonts w:cs="宋体" w:hint="eastAsia"/>
                <w:b/>
                <w:bCs/>
                <w:kern w:val="0"/>
                <w:sz w:val="15"/>
                <w:szCs w:val="15"/>
              </w:rPr>
              <w:t>/</w:t>
            </w:r>
          </w:p>
        </w:tc>
        <w:tc>
          <w:tcPr>
            <w:tcW w:w="202" w:type="pct"/>
            <w:shd w:val="clear" w:color="auto" w:fill="auto"/>
            <w:noWrap/>
            <w:vAlign w:val="center"/>
          </w:tcPr>
          <w:p w14:paraId="6BBEB2D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基本全井田可采</w:t>
            </w:r>
          </w:p>
        </w:tc>
        <w:tc>
          <w:tcPr>
            <w:tcW w:w="253" w:type="pct"/>
            <w:shd w:val="clear" w:color="auto" w:fill="auto"/>
            <w:vAlign w:val="center"/>
          </w:tcPr>
          <w:p w14:paraId="0DDFC33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51" w:type="pct"/>
            <w:vAlign w:val="center"/>
          </w:tcPr>
          <w:p w14:paraId="5C50D80A"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一</w:t>
            </w:r>
          </w:p>
        </w:tc>
        <w:tc>
          <w:tcPr>
            <w:tcW w:w="404" w:type="pct"/>
            <w:vAlign w:val="center"/>
          </w:tcPr>
          <w:p w14:paraId="247CE747" w14:textId="77777777" w:rsidR="009C353B" w:rsidRDefault="00000000">
            <w:pPr>
              <w:widowControl/>
              <w:snapToGrid w:val="0"/>
              <w:ind w:leftChars="-50" w:left="-120" w:rightChars="-50" w:right="-120"/>
              <w:jc w:val="center"/>
              <w:rPr>
                <w:rFonts w:cs="宋体" w:hint="eastAsia"/>
                <w:b/>
                <w:bCs/>
                <w:kern w:val="0"/>
                <w:sz w:val="15"/>
                <w:szCs w:val="15"/>
              </w:rPr>
            </w:pPr>
            <w:r>
              <w:rPr>
                <w:position w:val="-24"/>
                <w:szCs w:val="24"/>
              </w:rPr>
              <w:object w:dxaOrig="795" w:dyaOrig="435" w14:anchorId="34FAC54C">
                <v:shape id="_x0000_i1031" type="#_x0000_t75" style="width:39.8pt;height:21.8pt" o:ole="">
                  <v:imagedata r:id="rId25" o:title=""/>
                </v:shape>
                <o:OLEObject Type="Embed" ProgID="Equation.3" ShapeID="_x0000_i1031" DrawAspect="Content" ObjectID="_1826209130" r:id="rId26"/>
              </w:object>
            </w:r>
          </w:p>
        </w:tc>
        <w:tc>
          <w:tcPr>
            <w:tcW w:w="404" w:type="pct"/>
            <w:vAlign w:val="center"/>
          </w:tcPr>
          <w:p w14:paraId="66C15AF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203" w:type="pct"/>
            <w:vAlign w:val="center"/>
          </w:tcPr>
          <w:p w14:paraId="22CCB810"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全区可采</w:t>
            </w:r>
          </w:p>
        </w:tc>
        <w:tc>
          <w:tcPr>
            <w:tcW w:w="250" w:type="pct"/>
            <w:vAlign w:val="center"/>
          </w:tcPr>
          <w:p w14:paraId="22BE05F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r>
      <w:tr w:rsidR="009C353B" w14:paraId="539D7741" w14:textId="77777777">
        <w:trPr>
          <w:cantSplit/>
          <w:trHeight w:val="357"/>
          <w:jc w:val="center"/>
        </w:trPr>
        <w:tc>
          <w:tcPr>
            <w:tcW w:w="84" w:type="pct"/>
            <w:vMerge/>
            <w:vAlign w:val="center"/>
          </w:tcPr>
          <w:p w14:paraId="343ACBCD" w14:textId="77777777" w:rsidR="009C353B" w:rsidRDefault="009C353B">
            <w:pPr>
              <w:widowControl/>
              <w:snapToGrid w:val="0"/>
              <w:ind w:leftChars="-50" w:left="-120" w:rightChars="-50" w:right="-120"/>
              <w:jc w:val="center"/>
              <w:rPr>
                <w:rFonts w:cs="宋体" w:hint="eastAsia"/>
                <w:b/>
                <w:bCs/>
                <w:kern w:val="0"/>
                <w:sz w:val="15"/>
                <w:szCs w:val="15"/>
              </w:rPr>
            </w:pPr>
          </w:p>
        </w:tc>
        <w:tc>
          <w:tcPr>
            <w:tcW w:w="110" w:type="pct"/>
            <w:shd w:val="clear" w:color="auto" w:fill="auto"/>
            <w:vAlign w:val="center"/>
          </w:tcPr>
          <w:p w14:paraId="4EA93A15"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2</w:t>
            </w:r>
          </w:p>
        </w:tc>
        <w:tc>
          <w:tcPr>
            <w:tcW w:w="93" w:type="pct"/>
            <w:shd w:val="clear" w:color="auto" w:fill="auto"/>
            <w:vAlign w:val="center"/>
          </w:tcPr>
          <w:p w14:paraId="4D2623D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二</w:t>
            </w:r>
          </w:p>
        </w:tc>
        <w:tc>
          <w:tcPr>
            <w:tcW w:w="278" w:type="pct"/>
            <w:shd w:val="clear" w:color="auto" w:fill="auto"/>
            <w:vAlign w:val="center"/>
          </w:tcPr>
          <w:p w14:paraId="4B393A95" w14:textId="77777777" w:rsidR="009C353B" w:rsidRDefault="00000000">
            <w:pPr>
              <w:snapToGrid w:val="0"/>
              <w:ind w:leftChars="-50" w:left="-120" w:rightChars="-50" w:right="-120"/>
              <w:jc w:val="center"/>
              <w:rPr>
                <w:rFonts w:cs="宋体" w:hint="eastAsia"/>
                <w:b/>
                <w:bCs/>
                <w:kern w:val="0"/>
                <w:sz w:val="15"/>
                <w:szCs w:val="15"/>
                <w:u w:val="single"/>
              </w:rPr>
            </w:pPr>
            <w:r>
              <w:rPr>
                <w:rFonts w:cs="宋体" w:hint="eastAsia"/>
                <w:b/>
                <w:bCs/>
                <w:kern w:val="0"/>
                <w:sz w:val="15"/>
                <w:szCs w:val="15"/>
              </w:rPr>
              <w:t>/</w:t>
            </w:r>
          </w:p>
        </w:tc>
        <w:tc>
          <w:tcPr>
            <w:tcW w:w="309" w:type="pct"/>
            <w:vAlign w:val="center"/>
          </w:tcPr>
          <w:p w14:paraId="6D89334D" w14:textId="77777777" w:rsidR="009C353B" w:rsidRDefault="00000000">
            <w:pPr>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192" w:type="pct"/>
            <w:shd w:val="clear" w:color="auto" w:fill="auto"/>
            <w:vAlign w:val="center"/>
          </w:tcPr>
          <w:p w14:paraId="4382149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153" w:type="pct"/>
            <w:shd w:val="clear" w:color="auto" w:fill="auto"/>
            <w:vAlign w:val="center"/>
          </w:tcPr>
          <w:p w14:paraId="705DF725"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84" w:type="pct"/>
            <w:shd w:val="clear" w:color="auto" w:fill="auto"/>
            <w:vAlign w:val="center"/>
          </w:tcPr>
          <w:p w14:paraId="5FDF290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二</w:t>
            </w:r>
          </w:p>
        </w:tc>
        <w:tc>
          <w:tcPr>
            <w:tcW w:w="314" w:type="pct"/>
            <w:shd w:val="clear" w:color="auto" w:fill="auto"/>
            <w:vAlign w:val="center"/>
          </w:tcPr>
          <w:p w14:paraId="0F368CB3" w14:textId="77777777" w:rsidR="009C353B" w:rsidRDefault="00000000">
            <w:pPr>
              <w:snapToGrid w:val="0"/>
              <w:ind w:leftChars="-50" w:left="-120" w:rightChars="-50" w:right="-120"/>
              <w:jc w:val="center"/>
              <w:rPr>
                <w:rFonts w:cs="宋体" w:hint="eastAsia"/>
                <w:b/>
                <w:bCs/>
                <w:kern w:val="0"/>
                <w:sz w:val="15"/>
                <w:szCs w:val="15"/>
                <w:u w:val="single"/>
              </w:rPr>
            </w:pPr>
            <w:r>
              <w:rPr>
                <w:position w:val="-24"/>
                <w:szCs w:val="24"/>
              </w:rPr>
              <w:object w:dxaOrig="645" w:dyaOrig="360" w14:anchorId="136FD2B9">
                <v:shape id="_x0000_i1032" type="#_x0000_t75" style="width:32.2pt;height:18pt" o:ole="">
                  <v:imagedata r:id="rId27" o:title=""/>
                </v:shape>
                <o:OLEObject Type="Embed" ProgID="Equation.3" ShapeID="_x0000_i1032" DrawAspect="Content" ObjectID="_1826209131" r:id="rId28"/>
              </w:object>
            </w:r>
          </w:p>
        </w:tc>
        <w:tc>
          <w:tcPr>
            <w:tcW w:w="354" w:type="pct"/>
            <w:shd w:val="clear" w:color="auto" w:fill="auto"/>
            <w:vAlign w:val="center"/>
          </w:tcPr>
          <w:p w14:paraId="3AC0729D"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202" w:type="pct"/>
            <w:shd w:val="clear" w:color="auto" w:fill="auto"/>
            <w:vAlign w:val="center"/>
          </w:tcPr>
          <w:p w14:paraId="03F9C4B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偶达可采范围孤立</w:t>
            </w:r>
          </w:p>
        </w:tc>
        <w:tc>
          <w:tcPr>
            <w:tcW w:w="152" w:type="pct"/>
            <w:shd w:val="clear" w:color="auto" w:fill="auto"/>
            <w:vAlign w:val="center"/>
          </w:tcPr>
          <w:p w14:paraId="1FFD0FA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c>
          <w:tcPr>
            <w:tcW w:w="100" w:type="pct"/>
            <w:shd w:val="clear" w:color="auto" w:fill="auto"/>
            <w:noWrap/>
            <w:vAlign w:val="center"/>
          </w:tcPr>
          <w:p w14:paraId="4A4E4BB7"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二</w:t>
            </w:r>
          </w:p>
        </w:tc>
        <w:tc>
          <w:tcPr>
            <w:tcW w:w="303" w:type="pct"/>
            <w:shd w:val="clear" w:color="auto" w:fill="auto"/>
            <w:noWrap/>
            <w:vAlign w:val="center"/>
          </w:tcPr>
          <w:p w14:paraId="38BB8159"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645" w:dyaOrig="480" w14:anchorId="43F3BC14">
                <v:shape id="_x0000_i1033" type="#_x0000_t75" style="width:32.2pt;height:24pt" o:ole="">
                  <v:imagedata r:id="rId29" o:title=""/>
                </v:shape>
                <o:OLEObject Type="Embed" ProgID="Equation.3" ShapeID="_x0000_i1033" DrawAspect="Content" ObjectID="_1826209132" r:id="rId30"/>
              </w:object>
            </w:r>
          </w:p>
        </w:tc>
        <w:tc>
          <w:tcPr>
            <w:tcW w:w="405" w:type="pct"/>
            <w:shd w:val="clear" w:color="auto" w:fill="auto"/>
            <w:noWrap/>
            <w:vAlign w:val="center"/>
          </w:tcPr>
          <w:p w14:paraId="0C5E1352"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w:t>
            </w:r>
          </w:p>
        </w:tc>
        <w:tc>
          <w:tcPr>
            <w:tcW w:w="202" w:type="pct"/>
            <w:shd w:val="clear" w:color="auto" w:fill="auto"/>
            <w:noWrap/>
            <w:vAlign w:val="center"/>
          </w:tcPr>
          <w:p w14:paraId="1017D80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偶达可采范围孤立</w:t>
            </w:r>
          </w:p>
        </w:tc>
        <w:tc>
          <w:tcPr>
            <w:tcW w:w="253" w:type="pct"/>
            <w:shd w:val="clear" w:color="auto" w:fill="auto"/>
            <w:vAlign w:val="center"/>
          </w:tcPr>
          <w:p w14:paraId="7DC84B74"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51" w:type="pct"/>
            <w:vAlign w:val="center"/>
          </w:tcPr>
          <w:p w14:paraId="08038E1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二</w:t>
            </w:r>
          </w:p>
        </w:tc>
        <w:tc>
          <w:tcPr>
            <w:tcW w:w="404" w:type="pct"/>
            <w:vAlign w:val="center"/>
          </w:tcPr>
          <w:p w14:paraId="0B6EC008"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645" w:dyaOrig="435" w14:anchorId="78831FEE">
                <v:shape id="_x0000_i1034" type="#_x0000_t75" style="width:32.2pt;height:21.8pt" o:ole="">
                  <v:imagedata r:id="rId31" o:title=""/>
                </v:shape>
                <o:OLEObject Type="Embed" ProgID="Equation.3" ShapeID="_x0000_i1034" DrawAspect="Content" ObjectID="_1826209133" r:id="rId32"/>
              </w:object>
            </w:r>
          </w:p>
        </w:tc>
        <w:tc>
          <w:tcPr>
            <w:tcW w:w="404" w:type="pct"/>
            <w:vAlign w:val="center"/>
          </w:tcPr>
          <w:p w14:paraId="32C9A4CF"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870" w:dyaOrig="435" w14:anchorId="596CF767">
                <v:shape id="_x0000_i1035" type="#_x0000_t75" style="width:43.65pt;height:21.8pt" o:ole="">
                  <v:imagedata r:id="rId33" o:title=""/>
                </v:shape>
                <o:OLEObject Type="Embed" ProgID="Equation.3" ShapeID="_x0000_i1035" DrawAspect="Content" ObjectID="_1826209134" r:id="rId34"/>
              </w:object>
            </w:r>
          </w:p>
        </w:tc>
        <w:tc>
          <w:tcPr>
            <w:tcW w:w="203" w:type="pct"/>
            <w:vAlign w:val="center"/>
          </w:tcPr>
          <w:p w14:paraId="7CC471F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偶达可采范围孤立</w:t>
            </w:r>
          </w:p>
        </w:tc>
        <w:tc>
          <w:tcPr>
            <w:tcW w:w="250" w:type="pct"/>
            <w:vAlign w:val="center"/>
          </w:tcPr>
          <w:p w14:paraId="1755DA1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r>
      <w:tr w:rsidR="009C353B" w14:paraId="0A7128F4" w14:textId="77777777">
        <w:trPr>
          <w:cantSplit/>
          <w:trHeight w:val="504"/>
          <w:jc w:val="center"/>
        </w:trPr>
        <w:tc>
          <w:tcPr>
            <w:tcW w:w="84" w:type="pct"/>
            <w:vMerge/>
            <w:vAlign w:val="center"/>
          </w:tcPr>
          <w:p w14:paraId="5AF4E7F5" w14:textId="77777777" w:rsidR="009C353B" w:rsidRDefault="009C353B">
            <w:pPr>
              <w:widowControl/>
              <w:snapToGrid w:val="0"/>
              <w:ind w:leftChars="-50" w:left="-120" w:rightChars="-50" w:right="-120"/>
              <w:jc w:val="center"/>
              <w:rPr>
                <w:rFonts w:cs="宋体" w:hint="eastAsia"/>
                <w:b/>
                <w:bCs/>
                <w:kern w:val="0"/>
                <w:sz w:val="15"/>
                <w:szCs w:val="15"/>
              </w:rPr>
            </w:pPr>
          </w:p>
        </w:tc>
        <w:tc>
          <w:tcPr>
            <w:tcW w:w="110" w:type="pct"/>
            <w:shd w:val="clear" w:color="auto" w:fill="auto"/>
            <w:vAlign w:val="center"/>
          </w:tcPr>
          <w:p w14:paraId="007378B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3</w:t>
            </w:r>
          </w:p>
        </w:tc>
        <w:tc>
          <w:tcPr>
            <w:tcW w:w="93" w:type="pct"/>
            <w:shd w:val="clear" w:color="auto" w:fill="auto"/>
            <w:vAlign w:val="center"/>
          </w:tcPr>
          <w:p w14:paraId="68EA2492"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三</w:t>
            </w:r>
          </w:p>
        </w:tc>
        <w:tc>
          <w:tcPr>
            <w:tcW w:w="278" w:type="pct"/>
            <w:shd w:val="clear" w:color="auto" w:fill="auto"/>
            <w:vAlign w:val="center"/>
          </w:tcPr>
          <w:p w14:paraId="7989E20F" w14:textId="77777777" w:rsidR="009C353B" w:rsidRDefault="00000000">
            <w:pPr>
              <w:snapToGrid w:val="0"/>
              <w:ind w:leftChars="-50" w:left="-120" w:rightChars="-50" w:right="-120"/>
              <w:jc w:val="center"/>
              <w:rPr>
                <w:rFonts w:cs="宋体" w:hint="eastAsia"/>
                <w:b/>
                <w:bCs/>
                <w:kern w:val="0"/>
                <w:sz w:val="15"/>
                <w:szCs w:val="15"/>
                <w:u w:val="single"/>
              </w:rPr>
            </w:pPr>
            <w:r>
              <w:rPr>
                <w:b/>
                <w:bCs/>
                <w:position w:val="-24"/>
              </w:rPr>
              <w:object w:dxaOrig="855" w:dyaOrig="435" w14:anchorId="445C13B1">
                <v:shape id="_x0000_i1036" type="#_x0000_t75" style="width:42.55pt;height:21.8pt" o:ole="">
                  <v:imagedata r:id="rId35" o:title=""/>
                </v:shape>
                <o:OLEObject Type="Embed" ProgID="Equation.3" ShapeID="_x0000_i1036" DrawAspect="Content" ObjectID="_1826209135" r:id="rId36"/>
              </w:object>
            </w:r>
          </w:p>
        </w:tc>
        <w:tc>
          <w:tcPr>
            <w:tcW w:w="309" w:type="pct"/>
            <w:vAlign w:val="center"/>
          </w:tcPr>
          <w:p w14:paraId="39B249C4" w14:textId="77777777" w:rsidR="009C353B" w:rsidRDefault="00000000">
            <w:pPr>
              <w:snapToGrid w:val="0"/>
              <w:ind w:leftChars="-50" w:left="-120" w:rightChars="-50" w:right="-120"/>
              <w:jc w:val="center"/>
              <w:rPr>
                <w:rFonts w:cs="宋体" w:hint="eastAsia"/>
                <w:b/>
                <w:bCs/>
                <w:kern w:val="0"/>
                <w:sz w:val="15"/>
                <w:szCs w:val="15"/>
              </w:rPr>
            </w:pPr>
            <w:r>
              <w:rPr>
                <w:b/>
                <w:bCs/>
                <w:position w:val="-24"/>
              </w:rPr>
              <w:object w:dxaOrig="885" w:dyaOrig="435" w14:anchorId="1B6C4F03">
                <v:shape id="_x0000_i1037" type="#_x0000_t75" style="width:44.2pt;height:21.8pt" o:ole="">
                  <v:imagedata r:id="rId37" o:title=""/>
                </v:shape>
                <o:OLEObject Type="Embed" ProgID="Equation.3" ShapeID="_x0000_i1037" DrawAspect="Content" ObjectID="_1826209136" r:id="rId38"/>
              </w:object>
            </w:r>
          </w:p>
        </w:tc>
        <w:tc>
          <w:tcPr>
            <w:tcW w:w="192" w:type="pct"/>
            <w:shd w:val="clear" w:color="auto" w:fill="auto"/>
            <w:vAlign w:val="center"/>
          </w:tcPr>
          <w:p w14:paraId="07C4C8D6"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全区可采</w:t>
            </w:r>
          </w:p>
        </w:tc>
        <w:tc>
          <w:tcPr>
            <w:tcW w:w="153" w:type="pct"/>
            <w:shd w:val="clear" w:color="auto" w:fill="auto"/>
            <w:vAlign w:val="center"/>
          </w:tcPr>
          <w:p w14:paraId="23596B0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84" w:type="pct"/>
            <w:shd w:val="clear" w:color="auto" w:fill="auto"/>
            <w:vAlign w:val="center"/>
          </w:tcPr>
          <w:p w14:paraId="386C72C4"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三</w:t>
            </w:r>
          </w:p>
        </w:tc>
        <w:tc>
          <w:tcPr>
            <w:tcW w:w="314" w:type="pct"/>
            <w:shd w:val="clear" w:color="auto" w:fill="auto"/>
            <w:vAlign w:val="center"/>
          </w:tcPr>
          <w:p w14:paraId="337BA704" w14:textId="77777777" w:rsidR="009C353B" w:rsidRDefault="00000000">
            <w:pPr>
              <w:widowControl/>
              <w:snapToGrid w:val="0"/>
              <w:ind w:leftChars="-50" w:left="-120" w:rightChars="-50" w:right="-120"/>
              <w:jc w:val="center"/>
              <w:rPr>
                <w:rFonts w:cs="宋体" w:hint="eastAsia"/>
                <w:b/>
                <w:bCs/>
                <w:kern w:val="0"/>
                <w:sz w:val="15"/>
                <w:szCs w:val="15"/>
                <w:u w:val="single"/>
              </w:rPr>
            </w:pPr>
            <w:r>
              <w:rPr>
                <w:position w:val="-24"/>
                <w:szCs w:val="24"/>
              </w:rPr>
              <w:object w:dxaOrig="765" w:dyaOrig="375" w14:anchorId="251FD42C">
                <v:shape id="_x0000_i1038" type="#_x0000_t75" style="width:38.2pt;height:18.55pt" o:ole="">
                  <v:imagedata r:id="rId39" o:title=""/>
                </v:shape>
                <o:OLEObject Type="Embed" ProgID="Equation.3" ShapeID="_x0000_i1038" DrawAspect="Content" ObjectID="_1826209137" r:id="rId40"/>
              </w:object>
            </w:r>
          </w:p>
        </w:tc>
        <w:tc>
          <w:tcPr>
            <w:tcW w:w="354" w:type="pct"/>
            <w:shd w:val="clear" w:color="auto" w:fill="auto"/>
            <w:vAlign w:val="center"/>
          </w:tcPr>
          <w:p w14:paraId="29C307D1"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675" w:dyaOrig="435" w14:anchorId="511B6AA9">
                <v:shape id="_x0000_i1039" type="#_x0000_t75" style="width:33.8pt;height:21.8pt" o:ole="">
                  <v:imagedata r:id="rId41" o:title=""/>
                </v:shape>
                <o:OLEObject Type="Embed" ProgID="Equation.3" ShapeID="_x0000_i1039" DrawAspect="Content" ObjectID="_1826209138" r:id="rId42"/>
              </w:object>
            </w:r>
          </w:p>
        </w:tc>
        <w:tc>
          <w:tcPr>
            <w:tcW w:w="202" w:type="pct"/>
            <w:shd w:val="clear" w:color="auto" w:fill="auto"/>
            <w:vAlign w:val="center"/>
          </w:tcPr>
          <w:p w14:paraId="3A0F9BB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全井田可采</w:t>
            </w:r>
          </w:p>
        </w:tc>
        <w:tc>
          <w:tcPr>
            <w:tcW w:w="152" w:type="pct"/>
            <w:shd w:val="clear" w:color="auto" w:fill="auto"/>
            <w:vAlign w:val="center"/>
          </w:tcPr>
          <w:p w14:paraId="03D59D9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稳定</w:t>
            </w:r>
          </w:p>
        </w:tc>
        <w:tc>
          <w:tcPr>
            <w:tcW w:w="100" w:type="pct"/>
            <w:shd w:val="clear" w:color="auto" w:fill="auto"/>
            <w:noWrap/>
            <w:vAlign w:val="center"/>
          </w:tcPr>
          <w:p w14:paraId="350A6E3C"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三</w:t>
            </w:r>
          </w:p>
        </w:tc>
        <w:tc>
          <w:tcPr>
            <w:tcW w:w="303" w:type="pct"/>
            <w:shd w:val="clear" w:color="auto" w:fill="auto"/>
            <w:noWrap/>
            <w:vAlign w:val="center"/>
          </w:tcPr>
          <w:p w14:paraId="6C33D43A"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862" w:dyaOrig="443" w14:anchorId="23D7A499">
                <v:shape id="_x0000_i1040" type="#_x0000_t75" style="width:43.1pt;height:22.35pt" o:ole="">
                  <v:imagedata r:id="rId43" o:title=""/>
                </v:shape>
                <o:OLEObject Type="Embed" ProgID="Equation.3" ShapeID="_x0000_i1040" DrawAspect="Content" ObjectID="_1826209139" r:id="rId44"/>
              </w:object>
            </w:r>
          </w:p>
        </w:tc>
        <w:tc>
          <w:tcPr>
            <w:tcW w:w="405" w:type="pct"/>
            <w:shd w:val="clear" w:color="auto" w:fill="auto"/>
            <w:noWrap/>
            <w:vAlign w:val="center"/>
          </w:tcPr>
          <w:p w14:paraId="1B61AC82"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591" w:dyaOrig="382" w14:anchorId="22D234D6">
                <v:shape id="_x0000_i1041" type="#_x0000_t75" style="width:29.45pt;height:19.1pt" o:ole="">
                  <v:imagedata r:id="rId45" o:title=""/>
                </v:shape>
                <o:OLEObject Type="Embed" ProgID="Equation.3" ShapeID="_x0000_i1041" DrawAspect="Content" ObjectID="_1826209140" r:id="rId46"/>
              </w:object>
            </w:r>
          </w:p>
        </w:tc>
        <w:tc>
          <w:tcPr>
            <w:tcW w:w="202" w:type="pct"/>
            <w:shd w:val="clear" w:color="auto" w:fill="auto"/>
            <w:noWrap/>
            <w:vAlign w:val="center"/>
          </w:tcPr>
          <w:p w14:paraId="0D23BF6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全井田可采</w:t>
            </w:r>
          </w:p>
        </w:tc>
        <w:tc>
          <w:tcPr>
            <w:tcW w:w="253" w:type="pct"/>
            <w:shd w:val="clear" w:color="auto" w:fill="auto"/>
            <w:vAlign w:val="center"/>
          </w:tcPr>
          <w:p w14:paraId="2F71E95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稳定</w:t>
            </w:r>
          </w:p>
        </w:tc>
        <w:tc>
          <w:tcPr>
            <w:tcW w:w="151" w:type="pct"/>
            <w:vAlign w:val="center"/>
          </w:tcPr>
          <w:p w14:paraId="4012A206"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三</w:t>
            </w:r>
          </w:p>
        </w:tc>
        <w:tc>
          <w:tcPr>
            <w:tcW w:w="404" w:type="pct"/>
            <w:vAlign w:val="center"/>
          </w:tcPr>
          <w:p w14:paraId="25DEA915"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788" w:dyaOrig="443" w14:anchorId="7541B282">
                <v:shape id="_x0000_i1042" type="#_x0000_t75" style="width:39.25pt;height:22.35pt" o:ole="">
                  <v:imagedata r:id="rId47" o:title=""/>
                </v:shape>
                <o:OLEObject Type="Embed" ProgID="Equation.3" ShapeID="_x0000_i1042" DrawAspect="Content" ObjectID="_1826209141" r:id="rId48"/>
              </w:object>
            </w:r>
          </w:p>
        </w:tc>
        <w:tc>
          <w:tcPr>
            <w:tcW w:w="404" w:type="pct"/>
            <w:vAlign w:val="center"/>
          </w:tcPr>
          <w:p w14:paraId="6A09497E"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862" w:dyaOrig="443" w14:anchorId="746A0AFA">
                <v:shape id="_x0000_i1043" type="#_x0000_t75" style="width:43.1pt;height:22.35pt" o:ole="">
                  <v:imagedata r:id="rId49" o:title=""/>
                </v:shape>
                <o:OLEObject Type="Embed" ProgID="Equation.3" ShapeID="_x0000_i1043" DrawAspect="Content" ObjectID="_1826209142" r:id="rId50"/>
              </w:object>
            </w:r>
          </w:p>
        </w:tc>
        <w:tc>
          <w:tcPr>
            <w:tcW w:w="203" w:type="pct"/>
            <w:vAlign w:val="center"/>
          </w:tcPr>
          <w:p w14:paraId="01554FD4"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全区可采</w:t>
            </w:r>
          </w:p>
        </w:tc>
        <w:tc>
          <w:tcPr>
            <w:tcW w:w="250" w:type="pct"/>
            <w:vAlign w:val="center"/>
          </w:tcPr>
          <w:p w14:paraId="40E41E74"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r>
      <w:tr w:rsidR="009C353B" w14:paraId="6A31D121" w14:textId="77777777">
        <w:trPr>
          <w:cantSplit/>
          <w:trHeight w:val="584"/>
          <w:jc w:val="center"/>
        </w:trPr>
        <w:tc>
          <w:tcPr>
            <w:tcW w:w="84" w:type="pct"/>
            <w:vMerge/>
            <w:vAlign w:val="center"/>
          </w:tcPr>
          <w:p w14:paraId="323CCB4B" w14:textId="77777777" w:rsidR="009C353B" w:rsidRDefault="009C353B">
            <w:pPr>
              <w:widowControl/>
              <w:snapToGrid w:val="0"/>
              <w:ind w:leftChars="-50" w:left="-120" w:rightChars="-50" w:right="-120"/>
              <w:jc w:val="center"/>
              <w:rPr>
                <w:rFonts w:cs="宋体" w:hint="eastAsia"/>
                <w:b/>
                <w:bCs/>
                <w:kern w:val="0"/>
                <w:sz w:val="15"/>
                <w:szCs w:val="15"/>
              </w:rPr>
            </w:pPr>
          </w:p>
        </w:tc>
        <w:tc>
          <w:tcPr>
            <w:tcW w:w="110" w:type="pct"/>
            <w:shd w:val="clear" w:color="auto" w:fill="auto"/>
            <w:vAlign w:val="center"/>
          </w:tcPr>
          <w:p w14:paraId="614FCDF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4</w:t>
            </w:r>
          </w:p>
        </w:tc>
        <w:tc>
          <w:tcPr>
            <w:tcW w:w="93" w:type="pct"/>
            <w:shd w:val="clear" w:color="auto" w:fill="auto"/>
            <w:vAlign w:val="center"/>
          </w:tcPr>
          <w:p w14:paraId="4D9E69A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四</w:t>
            </w:r>
          </w:p>
        </w:tc>
        <w:tc>
          <w:tcPr>
            <w:tcW w:w="278" w:type="pct"/>
            <w:shd w:val="clear" w:color="auto" w:fill="auto"/>
            <w:vAlign w:val="center"/>
          </w:tcPr>
          <w:p w14:paraId="514735F4" w14:textId="77777777" w:rsidR="009C353B" w:rsidRDefault="00000000">
            <w:pPr>
              <w:snapToGrid w:val="0"/>
              <w:ind w:leftChars="-50" w:left="-120" w:rightChars="-50" w:right="-120"/>
              <w:jc w:val="center"/>
              <w:rPr>
                <w:rFonts w:cs="宋体" w:hint="eastAsia"/>
                <w:b/>
                <w:bCs/>
                <w:kern w:val="0"/>
                <w:sz w:val="15"/>
                <w:szCs w:val="15"/>
                <w:u w:val="single"/>
              </w:rPr>
            </w:pPr>
            <w:r>
              <w:rPr>
                <w:rFonts w:cs="宋体" w:hint="eastAsia"/>
                <w:b/>
                <w:bCs/>
                <w:kern w:val="0"/>
                <w:sz w:val="15"/>
                <w:szCs w:val="15"/>
              </w:rPr>
              <w:t>/</w:t>
            </w:r>
          </w:p>
        </w:tc>
        <w:tc>
          <w:tcPr>
            <w:tcW w:w="309" w:type="pct"/>
            <w:shd w:val="clear" w:color="auto" w:fill="auto"/>
            <w:vAlign w:val="center"/>
          </w:tcPr>
          <w:p w14:paraId="33EDC422" w14:textId="77777777" w:rsidR="009C353B" w:rsidRDefault="00000000">
            <w:pPr>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192" w:type="pct"/>
            <w:shd w:val="clear" w:color="auto" w:fill="auto"/>
            <w:vAlign w:val="center"/>
          </w:tcPr>
          <w:p w14:paraId="438A14C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153" w:type="pct"/>
            <w:shd w:val="clear" w:color="auto" w:fill="auto"/>
            <w:vAlign w:val="center"/>
          </w:tcPr>
          <w:p w14:paraId="234D157A"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84" w:type="pct"/>
            <w:shd w:val="clear" w:color="auto" w:fill="auto"/>
            <w:vAlign w:val="center"/>
          </w:tcPr>
          <w:p w14:paraId="5F3DBFB6"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四</w:t>
            </w:r>
          </w:p>
        </w:tc>
        <w:tc>
          <w:tcPr>
            <w:tcW w:w="314" w:type="pct"/>
            <w:shd w:val="clear" w:color="auto" w:fill="auto"/>
            <w:vAlign w:val="center"/>
          </w:tcPr>
          <w:p w14:paraId="5EF09384" w14:textId="77777777" w:rsidR="009C353B" w:rsidRDefault="00000000">
            <w:pPr>
              <w:widowControl/>
              <w:snapToGrid w:val="0"/>
              <w:ind w:leftChars="-50" w:left="-120" w:rightChars="-50" w:right="-120"/>
              <w:jc w:val="center"/>
              <w:rPr>
                <w:rFonts w:cs="宋体" w:hint="eastAsia"/>
                <w:b/>
                <w:bCs/>
                <w:kern w:val="0"/>
                <w:sz w:val="15"/>
                <w:szCs w:val="15"/>
                <w:u w:val="single"/>
              </w:rPr>
            </w:pPr>
            <w:r>
              <w:rPr>
                <w:position w:val="-24"/>
                <w:szCs w:val="24"/>
              </w:rPr>
              <w:object w:dxaOrig="652" w:dyaOrig="480" w14:anchorId="23340C70">
                <v:shape id="_x0000_i1044" type="#_x0000_t75" style="width:32.75pt;height:24pt" o:ole="">
                  <v:imagedata r:id="rId51" o:title=""/>
                </v:shape>
                <o:OLEObject Type="Embed" ProgID="Equation.3" ShapeID="_x0000_i1044" DrawAspect="Content" ObjectID="_1826209143" r:id="rId52"/>
              </w:object>
            </w:r>
          </w:p>
        </w:tc>
        <w:tc>
          <w:tcPr>
            <w:tcW w:w="354" w:type="pct"/>
            <w:shd w:val="clear" w:color="auto" w:fill="auto"/>
            <w:vAlign w:val="center"/>
          </w:tcPr>
          <w:p w14:paraId="4E580618"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480" w:dyaOrig="443" w14:anchorId="1ECDE2A8">
                <v:shape id="_x0000_i1045" type="#_x0000_t75" style="width:24pt;height:22.35pt" o:ole="">
                  <v:imagedata r:id="rId53" o:title=""/>
                </v:shape>
                <o:OLEObject Type="Embed" ProgID="Equation.3" ShapeID="_x0000_i1045" DrawAspect="Content" ObjectID="_1826209144" r:id="rId54"/>
              </w:object>
            </w:r>
          </w:p>
        </w:tc>
        <w:tc>
          <w:tcPr>
            <w:tcW w:w="202" w:type="pct"/>
            <w:shd w:val="clear" w:color="auto" w:fill="auto"/>
            <w:vAlign w:val="center"/>
          </w:tcPr>
          <w:p w14:paraId="21EEAA1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井田内大部可采</w:t>
            </w:r>
          </w:p>
        </w:tc>
        <w:tc>
          <w:tcPr>
            <w:tcW w:w="152" w:type="pct"/>
            <w:shd w:val="clear" w:color="auto" w:fill="auto"/>
            <w:vAlign w:val="center"/>
          </w:tcPr>
          <w:p w14:paraId="5BFF6F32"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00" w:type="pct"/>
            <w:shd w:val="clear" w:color="auto" w:fill="auto"/>
            <w:noWrap/>
            <w:vAlign w:val="center"/>
          </w:tcPr>
          <w:p w14:paraId="7159B843"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四</w:t>
            </w:r>
          </w:p>
        </w:tc>
        <w:tc>
          <w:tcPr>
            <w:tcW w:w="303" w:type="pct"/>
            <w:shd w:val="clear" w:color="auto" w:fill="auto"/>
            <w:noWrap/>
            <w:vAlign w:val="center"/>
          </w:tcPr>
          <w:p w14:paraId="19FEE026"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652" w:dyaOrig="443" w14:anchorId="5B7D02D3">
                <v:shape id="_x0000_i1046" type="#_x0000_t75" style="width:32.75pt;height:22.35pt" o:ole="">
                  <v:imagedata r:id="rId55" o:title=""/>
                </v:shape>
                <o:OLEObject Type="Embed" ProgID="Equation.3" ShapeID="_x0000_i1046" DrawAspect="Content" ObjectID="_1826209145" r:id="rId56"/>
              </w:object>
            </w:r>
          </w:p>
        </w:tc>
        <w:tc>
          <w:tcPr>
            <w:tcW w:w="405" w:type="pct"/>
            <w:shd w:val="clear" w:color="auto" w:fill="auto"/>
            <w:noWrap/>
            <w:vAlign w:val="center"/>
          </w:tcPr>
          <w:p w14:paraId="61E9C461"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443" w:dyaOrig="382" w14:anchorId="65E2308B">
                <v:shape id="_x0000_i1047" type="#_x0000_t75" style="width:22.35pt;height:19.1pt" o:ole="">
                  <v:imagedata r:id="rId57" o:title=""/>
                </v:shape>
                <o:OLEObject Type="Embed" ProgID="Equation.3" ShapeID="_x0000_i1047" DrawAspect="Content" ObjectID="_1826209146" r:id="rId58"/>
              </w:object>
            </w:r>
          </w:p>
        </w:tc>
        <w:tc>
          <w:tcPr>
            <w:tcW w:w="202" w:type="pct"/>
            <w:shd w:val="clear" w:color="auto" w:fill="auto"/>
            <w:noWrap/>
            <w:vAlign w:val="center"/>
          </w:tcPr>
          <w:p w14:paraId="601FAE6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局部可采范围孤立</w:t>
            </w:r>
          </w:p>
        </w:tc>
        <w:tc>
          <w:tcPr>
            <w:tcW w:w="253" w:type="pct"/>
            <w:shd w:val="clear" w:color="auto" w:fill="auto"/>
            <w:vAlign w:val="center"/>
          </w:tcPr>
          <w:p w14:paraId="3A71A3B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c>
          <w:tcPr>
            <w:tcW w:w="151" w:type="pct"/>
            <w:vAlign w:val="center"/>
          </w:tcPr>
          <w:p w14:paraId="34A2939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四</w:t>
            </w:r>
          </w:p>
        </w:tc>
        <w:tc>
          <w:tcPr>
            <w:tcW w:w="404" w:type="pct"/>
            <w:vAlign w:val="center"/>
          </w:tcPr>
          <w:p w14:paraId="5C043E0D"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652" w:dyaOrig="443" w14:anchorId="316D20CF">
                <v:shape id="_x0000_i1048" type="#_x0000_t75" style="width:32.75pt;height:22.35pt" o:ole="">
                  <v:imagedata r:id="rId59" o:title=""/>
                </v:shape>
                <o:OLEObject Type="Embed" ProgID="Equation.3" ShapeID="_x0000_i1048" DrawAspect="Content" ObjectID="_1826209147" r:id="rId60"/>
              </w:object>
            </w:r>
          </w:p>
        </w:tc>
        <w:tc>
          <w:tcPr>
            <w:tcW w:w="404" w:type="pct"/>
            <w:vAlign w:val="center"/>
          </w:tcPr>
          <w:p w14:paraId="29CD55C9" w14:textId="77777777" w:rsidR="009C353B" w:rsidRDefault="00000000">
            <w:pPr>
              <w:widowControl/>
              <w:snapToGrid w:val="0"/>
              <w:ind w:leftChars="-50" w:left="-120" w:rightChars="-50" w:right="-120"/>
              <w:jc w:val="center"/>
              <w:rPr>
                <w:rFonts w:cs="宋体" w:hint="eastAsia"/>
                <w:b/>
                <w:bCs/>
                <w:kern w:val="0"/>
                <w:sz w:val="15"/>
                <w:szCs w:val="15"/>
              </w:rPr>
            </w:pPr>
            <w:r>
              <w:rPr>
                <w:position w:val="-28"/>
                <w:sz w:val="18"/>
              </w:rPr>
              <w:object w:dxaOrig="480" w:dyaOrig="480" w14:anchorId="429076A5">
                <v:shape id="_x0000_i1049" type="#_x0000_t75" style="width:24pt;height:24pt" o:ole="">
                  <v:imagedata r:id="rId61" o:title=""/>
                </v:shape>
                <o:OLEObject Type="Embed" ProgID="Equation.3" ShapeID="_x0000_i1049" DrawAspect="Content" ObjectID="_1826209148" r:id="rId62"/>
              </w:object>
            </w:r>
          </w:p>
        </w:tc>
        <w:tc>
          <w:tcPr>
            <w:tcW w:w="203" w:type="pct"/>
            <w:vAlign w:val="center"/>
          </w:tcPr>
          <w:p w14:paraId="4560CA6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局部可采范围孤立</w:t>
            </w:r>
          </w:p>
        </w:tc>
        <w:tc>
          <w:tcPr>
            <w:tcW w:w="250" w:type="pct"/>
            <w:vAlign w:val="center"/>
          </w:tcPr>
          <w:p w14:paraId="2D42793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r>
      <w:tr w:rsidR="009C353B" w14:paraId="37F42178" w14:textId="77777777">
        <w:trPr>
          <w:cantSplit/>
          <w:trHeight w:val="495"/>
          <w:jc w:val="center"/>
        </w:trPr>
        <w:tc>
          <w:tcPr>
            <w:tcW w:w="84" w:type="pct"/>
            <w:vMerge/>
            <w:vAlign w:val="center"/>
          </w:tcPr>
          <w:p w14:paraId="1430D321" w14:textId="77777777" w:rsidR="009C353B" w:rsidRDefault="009C353B">
            <w:pPr>
              <w:widowControl/>
              <w:snapToGrid w:val="0"/>
              <w:ind w:leftChars="-50" w:left="-120" w:rightChars="-50" w:right="-120"/>
              <w:jc w:val="center"/>
              <w:rPr>
                <w:rFonts w:cs="宋体" w:hint="eastAsia"/>
                <w:b/>
                <w:bCs/>
                <w:kern w:val="0"/>
                <w:sz w:val="15"/>
                <w:szCs w:val="15"/>
              </w:rPr>
            </w:pPr>
          </w:p>
        </w:tc>
        <w:tc>
          <w:tcPr>
            <w:tcW w:w="110" w:type="pct"/>
            <w:shd w:val="clear" w:color="auto" w:fill="auto"/>
            <w:vAlign w:val="center"/>
          </w:tcPr>
          <w:p w14:paraId="3020614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5</w:t>
            </w:r>
          </w:p>
        </w:tc>
        <w:tc>
          <w:tcPr>
            <w:tcW w:w="93" w:type="pct"/>
            <w:shd w:val="clear" w:color="auto" w:fill="auto"/>
            <w:vAlign w:val="center"/>
          </w:tcPr>
          <w:p w14:paraId="65415EF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五</w:t>
            </w:r>
          </w:p>
        </w:tc>
        <w:tc>
          <w:tcPr>
            <w:tcW w:w="278" w:type="pct"/>
            <w:shd w:val="clear" w:color="auto" w:fill="auto"/>
            <w:vAlign w:val="center"/>
          </w:tcPr>
          <w:p w14:paraId="17E46EEA" w14:textId="77777777" w:rsidR="009C353B" w:rsidRDefault="00000000">
            <w:pPr>
              <w:snapToGrid w:val="0"/>
              <w:ind w:leftChars="-50" w:left="-120" w:rightChars="-50" w:right="-120"/>
              <w:jc w:val="center"/>
              <w:rPr>
                <w:rFonts w:cs="宋体" w:hint="eastAsia"/>
                <w:b/>
                <w:bCs/>
                <w:kern w:val="0"/>
                <w:sz w:val="15"/>
                <w:szCs w:val="15"/>
                <w:u w:val="single"/>
              </w:rPr>
            </w:pPr>
            <w:r>
              <w:rPr>
                <w:b/>
                <w:bCs/>
                <w:position w:val="-24"/>
              </w:rPr>
              <w:object w:dxaOrig="763" w:dyaOrig="382" w14:anchorId="3B2482CA">
                <v:shape id="_x0000_i1050" type="#_x0000_t75" style="width:38.2pt;height:19.1pt" o:ole="">
                  <v:imagedata r:id="rId63" o:title=""/>
                </v:shape>
                <o:OLEObject Type="Embed" ProgID="Equation.3" ShapeID="_x0000_i1050" DrawAspect="Content" ObjectID="_1826209149" r:id="rId64"/>
              </w:object>
            </w:r>
          </w:p>
        </w:tc>
        <w:tc>
          <w:tcPr>
            <w:tcW w:w="309" w:type="pct"/>
            <w:shd w:val="clear" w:color="auto" w:fill="auto"/>
            <w:vAlign w:val="center"/>
          </w:tcPr>
          <w:p w14:paraId="317FCA4B" w14:textId="77777777" w:rsidR="009C353B" w:rsidRDefault="00000000">
            <w:pPr>
              <w:snapToGrid w:val="0"/>
              <w:ind w:leftChars="-50" w:left="-120" w:rightChars="-50" w:right="-120"/>
              <w:jc w:val="center"/>
              <w:rPr>
                <w:rFonts w:cs="宋体" w:hint="eastAsia"/>
                <w:b/>
                <w:bCs/>
                <w:kern w:val="0"/>
                <w:sz w:val="15"/>
                <w:szCs w:val="15"/>
              </w:rPr>
            </w:pPr>
            <w:r>
              <w:rPr>
                <w:b/>
                <w:bCs/>
                <w:position w:val="-24"/>
              </w:rPr>
              <w:object w:dxaOrig="788" w:dyaOrig="382" w14:anchorId="02BA59FA">
                <v:shape id="_x0000_i1051" type="#_x0000_t75" style="width:39.25pt;height:19.1pt" o:ole="">
                  <v:imagedata r:id="rId65" o:title=""/>
                </v:shape>
                <o:OLEObject Type="Embed" ProgID="Equation.3" ShapeID="_x0000_i1051" DrawAspect="Content" ObjectID="_1826209150" r:id="rId66"/>
              </w:object>
            </w:r>
          </w:p>
        </w:tc>
        <w:tc>
          <w:tcPr>
            <w:tcW w:w="192" w:type="pct"/>
            <w:shd w:val="clear" w:color="auto" w:fill="auto"/>
            <w:vAlign w:val="center"/>
          </w:tcPr>
          <w:p w14:paraId="0E807D6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全区可采</w:t>
            </w:r>
          </w:p>
        </w:tc>
        <w:tc>
          <w:tcPr>
            <w:tcW w:w="153" w:type="pct"/>
            <w:shd w:val="clear" w:color="auto" w:fill="auto"/>
            <w:vAlign w:val="center"/>
          </w:tcPr>
          <w:p w14:paraId="7258CB29"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稳定</w:t>
            </w:r>
          </w:p>
        </w:tc>
        <w:tc>
          <w:tcPr>
            <w:tcW w:w="84" w:type="pct"/>
            <w:shd w:val="clear" w:color="auto" w:fill="auto"/>
            <w:vAlign w:val="center"/>
          </w:tcPr>
          <w:p w14:paraId="5376DAC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五</w:t>
            </w:r>
          </w:p>
        </w:tc>
        <w:tc>
          <w:tcPr>
            <w:tcW w:w="314" w:type="pct"/>
            <w:shd w:val="clear" w:color="auto" w:fill="auto"/>
            <w:vAlign w:val="center"/>
          </w:tcPr>
          <w:p w14:paraId="11B4F4DE" w14:textId="77777777" w:rsidR="009C353B" w:rsidRDefault="00000000">
            <w:pPr>
              <w:widowControl/>
              <w:snapToGrid w:val="0"/>
              <w:ind w:leftChars="-50" w:left="-120" w:rightChars="-50" w:right="-120"/>
              <w:jc w:val="center"/>
              <w:rPr>
                <w:rFonts w:cs="宋体" w:hint="eastAsia"/>
                <w:b/>
                <w:bCs/>
                <w:kern w:val="0"/>
                <w:sz w:val="15"/>
                <w:szCs w:val="15"/>
                <w:u w:val="single"/>
              </w:rPr>
            </w:pPr>
            <w:r>
              <w:rPr>
                <w:position w:val="-24"/>
                <w:szCs w:val="24"/>
              </w:rPr>
              <w:object w:dxaOrig="837" w:dyaOrig="382" w14:anchorId="421A7016">
                <v:shape id="_x0000_i1052" type="#_x0000_t75" style="width:42pt;height:19.1pt" o:ole="">
                  <v:imagedata r:id="rId67" o:title=""/>
                </v:shape>
                <o:OLEObject Type="Embed" ProgID="Equation.3" ShapeID="_x0000_i1052" DrawAspect="Content" ObjectID="_1826209151" r:id="rId68"/>
              </w:object>
            </w:r>
          </w:p>
        </w:tc>
        <w:tc>
          <w:tcPr>
            <w:tcW w:w="354" w:type="pct"/>
            <w:shd w:val="clear" w:color="auto" w:fill="auto"/>
            <w:vAlign w:val="center"/>
          </w:tcPr>
          <w:p w14:paraId="6622AEEE"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382" w:dyaOrig="443" w14:anchorId="0B4AD28A">
                <v:shape id="_x0000_i1053" type="#_x0000_t75" style="width:19.1pt;height:22.35pt" o:ole="">
                  <v:imagedata r:id="rId69" o:title=""/>
                </v:shape>
                <o:OLEObject Type="Embed" ProgID="Equation.3" ShapeID="_x0000_i1053" DrawAspect="Content" ObjectID="_1826209152" r:id="rId70"/>
              </w:object>
            </w:r>
          </w:p>
        </w:tc>
        <w:tc>
          <w:tcPr>
            <w:tcW w:w="202" w:type="pct"/>
            <w:shd w:val="clear" w:color="auto" w:fill="auto"/>
            <w:vAlign w:val="center"/>
          </w:tcPr>
          <w:p w14:paraId="5B9DC8D6"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全井田可采</w:t>
            </w:r>
          </w:p>
        </w:tc>
        <w:tc>
          <w:tcPr>
            <w:tcW w:w="152" w:type="pct"/>
            <w:shd w:val="clear" w:color="auto" w:fill="auto"/>
            <w:vAlign w:val="center"/>
          </w:tcPr>
          <w:p w14:paraId="4F2E948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00" w:type="pct"/>
            <w:shd w:val="clear" w:color="auto" w:fill="auto"/>
            <w:noWrap/>
            <w:vAlign w:val="center"/>
          </w:tcPr>
          <w:p w14:paraId="4905EB1F"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五</w:t>
            </w:r>
          </w:p>
        </w:tc>
        <w:tc>
          <w:tcPr>
            <w:tcW w:w="303" w:type="pct"/>
            <w:shd w:val="clear" w:color="auto" w:fill="auto"/>
            <w:noWrap/>
            <w:vAlign w:val="center"/>
          </w:tcPr>
          <w:p w14:paraId="0319CE72"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849" w:dyaOrig="382" w14:anchorId="507BBABE">
                <v:shape id="_x0000_i1054" type="#_x0000_t75" style="width:42.55pt;height:19.1pt" o:ole="">
                  <v:imagedata r:id="rId71" o:title=""/>
                </v:shape>
                <o:OLEObject Type="Embed" ProgID="Equation.3" ShapeID="_x0000_i1054" DrawAspect="Content" ObjectID="_1826209153" r:id="rId72"/>
              </w:object>
            </w:r>
          </w:p>
        </w:tc>
        <w:tc>
          <w:tcPr>
            <w:tcW w:w="405" w:type="pct"/>
            <w:shd w:val="clear" w:color="auto" w:fill="auto"/>
            <w:noWrap/>
            <w:vAlign w:val="center"/>
          </w:tcPr>
          <w:p w14:paraId="10119826"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480" w:dyaOrig="443" w14:anchorId="35B7F739">
                <v:shape id="_x0000_i1055" type="#_x0000_t75" style="width:24pt;height:22.35pt" o:ole="">
                  <v:imagedata r:id="rId73" o:title=""/>
                </v:shape>
                <o:OLEObject Type="Embed" ProgID="Equation.3" ShapeID="_x0000_i1055" DrawAspect="Content" ObjectID="_1826209154" r:id="rId74"/>
              </w:object>
            </w:r>
          </w:p>
        </w:tc>
        <w:tc>
          <w:tcPr>
            <w:tcW w:w="202" w:type="pct"/>
            <w:shd w:val="clear" w:color="auto" w:fill="auto"/>
            <w:noWrap/>
            <w:vAlign w:val="center"/>
          </w:tcPr>
          <w:p w14:paraId="0E06AE25"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全井田可采</w:t>
            </w:r>
          </w:p>
        </w:tc>
        <w:tc>
          <w:tcPr>
            <w:tcW w:w="253" w:type="pct"/>
            <w:shd w:val="clear" w:color="auto" w:fill="auto"/>
            <w:vAlign w:val="center"/>
          </w:tcPr>
          <w:p w14:paraId="31537EB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51" w:type="pct"/>
            <w:vAlign w:val="center"/>
          </w:tcPr>
          <w:p w14:paraId="6B31BC19"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五</w:t>
            </w:r>
          </w:p>
        </w:tc>
        <w:tc>
          <w:tcPr>
            <w:tcW w:w="404" w:type="pct"/>
            <w:vAlign w:val="center"/>
          </w:tcPr>
          <w:p w14:paraId="6E0A080F"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862" w:dyaOrig="443" w14:anchorId="6D940445">
                <v:shape id="_x0000_i1056" type="#_x0000_t75" style="width:43.1pt;height:22.35pt" o:ole="">
                  <v:imagedata r:id="rId75" o:title=""/>
                </v:shape>
                <o:OLEObject Type="Embed" ProgID="Equation.3" ShapeID="_x0000_i1056" DrawAspect="Content" ObjectID="_1826209155" r:id="rId76"/>
              </w:object>
            </w:r>
          </w:p>
        </w:tc>
        <w:tc>
          <w:tcPr>
            <w:tcW w:w="404" w:type="pct"/>
            <w:vAlign w:val="center"/>
          </w:tcPr>
          <w:p w14:paraId="11E426C1"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788" w:dyaOrig="443" w14:anchorId="6274BE9B">
                <v:shape id="_x0000_i1057" type="#_x0000_t75" style="width:39.25pt;height:22.35pt" o:ole="">
                  <v:imagedata r:id="rId77" o:title=""/>
                </v:shape>
                <o:OLEObject Type="Embed" ProgID="Equation.3" ShapeID="_x0000_i1057" DrawAspect="Content" ObjectID="_1826209156" r:id="rId78"/>
              </w:object>
            </w:r>
          </w:p>
        </w:tc>
        <w:tc>
          <w:tcPr>
            <w:tcW w:w="203" w:type="pct"/>
            <w:vAlign w:val="center"/>
          </w:tcPr>
          <w:p w14:paraId="78AF84F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全区可采</w:t>
            </w:r>
          </w:p>
        </w:tc>
        <w:tc>
          <w:tcPr>
            <w:tcW w:w="250" w:type="pct"/>
            <w:vAlign w:val="center"/>
          </w:tcPr>
          <w:p w14:paraId="008CE32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稳定</w:t>
            </w:r>
          </w:p>
        </w:tc>
      </w:tr>
      <w:tr w:rsidR="009C353B" w14:paraId="341DAABE" w14:textId="77777777">
        <w:trPr>
          <w:cantSplit/>
          <w:trHeight w:val="559"/>
          <w:jc w:val="center"/>
        </w:trPr>
        <w:tc>
          <w:tcPr>
            <w:tcW w:w="84" w:type="pct"/>
            <w:vMerge/>
            <w:vAlign w:val="center"/>
          </w:tcPr>
          <w:p w14:paraId="2BB4D68E" w14:textId="77777777" w:rsidR="009C353B" w:rsidRDefault="009C353B">
            <w:pPr>
              <w:widowControl/>
              <w:snapToGrid w:val="0"/>
              <w:ind w:leftChars="-50" w:left="-120" w:rightChars="-50" w:right="-120"/>
              <w:jc w:val="center"/>
              <w:rPr>
                <w:rFonts w:cs="宋体" w:hint="eastAsia"/>
                <w:b/>
                <w:bCs/>
                <w:kern w:val="0"/>
                <w:sz w:val="15"/>
                <w:szCs w:val="15"/>
              </w:rPr>
            </w:pPr>
          </w:p>
        </w:tc>
        <w:tc>
          <w:tcPr>
            <w:tcW w:w="110" w:type="pct"/>
            <w:shd w:val="clear" w:color="auto" w:fill="auto"/>
            <w:vAlign w:val="center"/>
          </w:tcPr>
          <w:p w14:paraId="5397E259"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6</w:t>
            </w:r>
          </w:p>
        </w:tc>
        <w:tc>
          <w:tcPr>
            <w:tcW w:w="93" w:type="pct"/>
            <w:shd w:val="clear" w:color="auto" w:fill="auto"/>
            <w:vAlign w:val="center"/>
          </w:tcPr>
          <w:p w14:paraId="04D3453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六</w:t>
            </w:r>
          </w:p>
        </w:tc>
        <w:tc>
          <w:tcPr>
            <w:tcW w:w="278" w:type="pct"/>
            <w:shd w:val="clear" w:color="auto" w:fill="auto"/>
            <w:vAlign w:val="center"/>
          </w:tcPr>
          <w:p w14:paraId="38139431" w14:textId="77777777" w:rsidR="009C353B" w:rsidRDefault="00000000">
            <w:pPr>
              <w:snapToGrid w:val="0"/>
              <w:ind w:leftChars="-50" w:left="-120" w:rightChars="-50" w:right="-120"/>
              <w:jc w:val="center"/>
              <w:rPr>
                <w:rFonts w:cs="宋体" w:hint="eastAsia"/>
                <w:b/>
                <w:bCs/>
                <w:kern w:val="0"/>
                <w:sz w:val="15"/>
                <w:szCs w:val="15"/>
                <w:u w:val="single"/>
              </w:rPr>
            </w:pPr>
            <w:r>
              <w:rPr>
                <w:rFonts w:cs="宋体" w:hint="eastAsia"/>
                <w:b/>
                <w:bCs/>
                <w:kern w:val="0"/>
                <w:sz w:val="15"/>
                <w:szCs w:val="15"/>
              </w:rPr>
              <w:t>/</w:t>
            </w:r>
          </w:p>
        </w:tc>
        <w:tc>
          <w:tcPr>
            <w:tcW w:w="309" w:type="pct"/>
            <w:shd w:val="clear" w:color="auto" w:fill="auto"/>
            <w:vAlign w:val="center"/>
          </w:tcPr>
          <w:p w14:paraId="6228F8A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192" w:type="pct"/>
            <w:shd w:val="clear" w:color="auto" w:fill="auto"/>
            <w:vAlign w:val="center"/>
          </w:tcPr>
          <w:p w14:paraId="58D7611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153" w:type="pct"/>
            <w:shd w:val="clear" w:color="auto" w:fill="auto"/>
            <w:vAlign w:val="center"/>
          </w:tcPr>
          <w:p w14:paraId="59B40A44" w14:textId="77777777" w:rsidR="009C353B" w:rsidRDefault="009C353B">
            <w:pPr>
              <w:widowControl/>
              <w:snapToGrid w:val="0"/>
              <w:ind w:leftChars="-50" w:left="-120" w:rightChars="-50" w:right="-120"/>
              <w:jc w:val="center"/>
              <w:rPr>
                <w:rFonts w:cs="宋体" w:hint="eastAsia"/>
                <w:b/>
                <w:bCs/>
                <w:kern w:val="0"/>
                <w:sz w:val="15"/>
                <w:szCs w:val="15"/>
              </w:rPr>
            </w:pPr>
          </w:p>
        </w:tc>
        <w:tc>
          <w:tcPr>
            <w:tcW w:w="84" w:type="pct"/>
            <w:shd w:val="clear" w:color="auto" w:fill="auto"/>
            <w:vAlign w:val="center"/>
          </w:tcPr>
          <w:p w14:paraId="6AFAAFE9"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六</w:t>
            </w:r>
          </w:p>
        </w:tc>
        <w:tc>
          <w:tcPr>
            <w:tcW w:w="314" w:type="pct"/>
            <w:shd w:val="clear" w:color="auto" w:fill="auto"/>
            <w:noWrap/>
            <w:vAlign w:val="center"/>
          </w:tcPr>
          <w:p w14:paraId="2E3B7C5A"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542" w:dyaOrig="382" w14:anchorId="33C11DBF">
                <v:shape id="_x0000_i1058" type="#_x0000_t75" style="width:27.25pt;height:19.1pt" o:ole="">
                  <v:imagedata r:id="rId79" o:title=""/>
                </v:shape>
                <o:OLEObject Type="Embed" ProgID="Equation.3" ShapeID="_x0000_i1058" DrawAspect="Content" ObjectID="_1826209157" r:id="rId80"/>
              </w:object>
            </w:r>
          </w:p>
        </w:tc>
        <w:tc>
          <w:tcPr>
            <w:tcW w:w="354" w:type="pct"/>
            <w:shd w:val="clear" w:color="auto" w:fill="auto"/>
            <w:vAlign w:val="center"/>
          </w:tcPr>
          <w:p w14:paraId="3B1E422A"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443" w:dyaOrig="382" w14:anchorId="129EEF46">
                <v:shape id="_x0000_i1059" type="#_x0000_t75" style="width:22.35pt;height:19.1pt" o:ole="">
                  <v:imagedata r:id="rId81" o:title=""/>
                </v:shape>
                <o:OLEObject Type="Embed" ProgID="Equation.3" ShapeID="_x0000_i1059" DrawAspect="Content" ObjectID="_1826209158" r:id="rId82"/>
              </w:object>
            </w:r>
          </w:p>
        </w:tc>
        <w:tc>
          <w:tcPr>
            <w:tcW w:w="202" w:type="pct"/>
            <w:shd w:val="clear" w:color="auto" w:fill="auto"/>
            <w:vAlign w:val="center"/>
          </w:tcPr>
          <w:p w14:paraId="12DD2B50"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基本全井田可采</w:t>
            </w:r>
          </w:p>
        </w:tc>
        <w:tc>
          <w:tcPr>
            <w:tcW w:w="152" w:type="pct"/>
            <w:shd w:val="clear" w:color="auto" w:fill="auto"/>
            <w:vAlign w:val="center"/>
          </w:tcPr>
          <w:p w14:paraId="49D35EA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00" w:type="pct"/>
            <w:shd w:val="clear" w:color="auto" w:fill="auto"/>
            <w:noWrap/>
            <w:vAlign w:val="center"/>
          </w:tcPr>
          <w:p w14:paraId="4CE3D8AE"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六</w:t>
            </w:r>
          </w:p>
        </w:tc>
        <w:tc>
          <w:tcPr>
            <w:tcW w:w="303" w:type="pct"/>
            <w:shd w:val="clear" w:color="auto" w:fill="auto"/>
            <w:noWrap/>
            <w:vAlign w:val="center"/>
          </w:tcPr>
          <w:p w14:paraId="5BFC7023"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578" w:dyaOrig="443" w14:anchorId="764DFD75">
                <v:shape id="_x0000_i1060" type="#_x0000_t75" style="width:28.9pt;height:22.35pt" o:ole="">
                  <v:imagedata r:id="rId83" o:title=""/>
                </v:shape>
                <o:OLEObject Type="Embed" ProgID="Equation.3" ShapeID="_x0000_i1060" DrawAspect="Content" ObjectID="_1826209159" r:id="rId84"/>
              </w:object>
            </w:r>
          </w:p>
        </w:tc>
        <w:tc>
          <w:tcPr>
            <w:tcW w:w="405" w:type="pct"/>
            <w:shd w:val="clear" w:color="auto" w:fill="auto"/>
            <w:noWrap/>
            <w:vAlign w:val="center"/>
          </w:tcPr>
          <w:p w14:paraId="7E66E240"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652" w:dyaOrig="443" w14:anchorId="29017814">
                <v:shape id="_x0000_i1061" type="#_x0000_t75" style="width:32.75pt;height:22.35pt" o:ole="">
                  <v:imagedata r:id="rId85" o:title=""/>
                </v:shape>
                <o:OLEObject Type="Embed" ProgID="Equation.3" ShapeID="_x0000_i1061" DrawAspect="Content" ObjectID="_1826209160" r:id="rId86"/>
              </w:object>
            </w:r>
          </w:p>
        </w:tc>
        <w:tc>
          <w:tcPr>
            <w:tcW w:w="202" w:type="pct"/>
            <w:shd w:val="clear" w:color="auto" w:fill="auto"/>
            <w:noWrap/>
            <w:vAlign w:val="center"/>
          </w:tcPr>
          <w:p w14:paraId="4C02B4E6"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大部地区可采</w:t>
            </w:r>
          </w:p>
        </w:tc>
        <w:tc>
          <w:tcPr>
            <w:tcW w:w="253" w:type="pct"/>
            <w:shd w:val="clear" w:color="auto" w:fill="auto"/>
            <w:vAlign w:val="center"/>
          </w:tcPr>
          <w:p w14:paraId="1EE2BAF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51" w:type="pct"/>
            <w:vAlign w:val="center"/>
          </w:tcPr>
          <w:p w14:paraId="7B2A6BCA"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六</w:t>
            </w:r>
          </w:p>
        </w:tc>
        <w:tc>
          <w:tcPr>
            <w:tcW w:w="404" w:type="pct"/>
            <w:vAlign w:val="center"/>
          </w:tcPr>
          <w:p w14:paraId="25762616"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404" w:type="pct"/>
            <w:vAlign w:val="center"/>
          </w:tcPr>
          <w:p w14:paraId="409FDDA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203" w:type="pct"/>
            <w:vAlign w:val="center"/>
          </w:tcPr>
          <w:p w14:paraId="50072A55"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c>
          <w:tcPr>
            <w:tcW w:w="250" w:type="pct"/>
            <w:vAlign w:val="center"/>
          </w:tcPr>
          <w:p w14:paraId="3DEFD07A"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w:t>
            </w:r>
          </w:p>
        </w:tc>
      </w:tr>
      <w:tr w:rsidR="009C353B" w14:paraId="7BDCE099" w14:textId="77777777">
        <w:trPr>
          <w:cantSplit/>
          <w:trHeight w:val="452"/>
          <w:jc w:val="center"/>
        </w:trPr>
        <w:tc>
          <w:tcPr>
            <w:tcW w:w="84" w:type="pct"/>
            <w:vMerge w:val="restart"/>
            <w:vAlign w:val="center"/>
          </w:tcPr>
          <w:p w14:paraId="712C0D5E" w14:textId="77777777" w:rsidR="009C353B" w:rsidRDefault="00000000">
            <w:pPr>
              <w:snapToGrid w:val="0"/>
              <w:ind w:leftChars="-50" w:left="-120" w:rightChars="-50" w:right="-120"/>
              <w:jc w:val="center"/>
              <w:rPr>
                <w:rFonts w:cs="宋体" w:hint="eastAsia"/>
                <w:b/>
                <w:bCs/>
                <w:kern w:val="0"/>
                <w:sz w:val="15"/>
                <w:szCs w:val="15"/>
              </w:rPr>
            </w:pPr>
            <w:r>
              <w:rPr>
                <w:rFonts w:cs="宋体" w:hint="eastAsia"/>
                <w:b/>
                <w:bCs/>
                <w:kern w:val="0"/>
                <w:sz w:val="15"/>
                <w:szCs w:val="15"/>
              </w:rPr>
              <w:t>太</w:t>
            </w:r>
          </w:p>
          <w:p w14:paraId="4209C0E4" w14:textId="77777777" w:rsidR="009C353B" w:rsidRDefault="00000000">
            <w:pPr>
              <w:snapToGrid w:val="0"/>
              <w:ind w:leftChars="-50" w:left="-120" w:rightChars="-50" w:right="-120"/>
              <w:jc w:val="center"/>
              <w:rPr>
                <w:rFonts w:cs="宋体" w:hint="eastAsia"/>
                <w:b/>
                <w:bCs/>
                <w:kern w:val="0"/>
                <w:sz w:val="15"/>
                <w:szCs w:val="15"/>
              </w:rPr>
            </w:pPr>
            <w:r>
              <w:rPr>
                <w:rFonts w:cs="宋体" w:hint="eastAsia"/>
                <w:b/>
                <w:bCs/>
                <w:kern w:val="0"/>
                <w:sz w:val="15"/>
                <w:szCs w:val="15"/>
              </w:rPr>
              <w:t>原</w:t>
            </w:r>
          </w:p>
          <w:p w14:paraId="0B39BA7B" w14:textId="77777777" w:rsidR="009C353B" w:rsidRDefault="00000000">
            <w:pPr>
              <w:snapToGrid w:val="0"/>
              <w:ind w:leftChars="-50" w:left="-120" w:rightChars="-50" w:right="-120"/>
              <w:jc w:val="center"/>
              <w:rPr>
                <w:rFonts w:cs="宋体" w:hint="eastAsia"/>
                <w:b/>
                <w:bCs/>
                <w:kern w:val="0"/>
                <w:sz w:val="15"/>
                <w:szCs w:val="15"/>
              </w:rPr>
            </w:pPr>
            <w:r>
              <w:rPr>
                <w:rFonts w:cs="宋体" w:hint="eastAsia"/>
                <w:b/>
                <w:bCs/>
                <w:kern w:val="0"/>
                <w:sz w:val="15"/>
                <w:szCs w:val="15"/>
              </w:rPr>
              <w:t>组</w:t>
            </w:r>
          </w:p>
        </w:tc>
        <w:tc>
          <w:tcPr>
            <w:tcW w:w="110" w:type="pct"/>
            <w:shd w:val="clear" w:color="auto" w:fill="auto"/>
            <w:vAlign w:val="center"/>
          </w:tcPr>
          <w:p w14:paraId="40B3B762"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7</w:t>
            </w:r>
          </w:p>
        </w:tc>
        <w:tc>
          <w:tcPr>
            <w:tcW w:w="93" w:type="pct"/>
            <w:shd w:val="clear" w:color="auto" w:fill="auto"/>
            <w:vAlign w:val="center"/>
          </w:tcPr>
          <w:p w14:paraId="498EF50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七</w:t>
            </w:r>
          </w:p>
        </w:tc>
        <w:tc>
          <w:tcPr>
            <w:tcW w:w="278" w:type="pct"/>
            <w:shd w:val="clear" w:color="auto" w:fill="auto"/>
            <w:vAlign w:val="center"/>
          </w:tcPr>
          <w:p w14:paraId="0C5A0F5E" w14:textId="77777777" w:rsidR="009C353B" w:rsidRDefault="00000000">
            <w:pPr>
              <w:widowControl/>
              <w:snapToGrid w:val="0"/>
              <w:ind w:leftChars="-50" w:left="-120" w:rightChars="-50" w:right="-120"/>
              <w:jc w:val="center"/>
              <w:rPr>
                <w:rFonts w:cs="宋体" w:hint="eastAsia"/>
                <w:b/>
                <w:bCs/>
                <w:kern w:val="0"/>
                <w:sz w:val="15"/>
                <w:szCs w:val="15"/>
                <w:u w:val="single"/>
              </w:rPr>
            </w:pPr>
            <w:r>
              <w:rPr>
                <w:b/>
                <w:bCs/>
                <w:position w:val="-24"/>
              </w:rPr>
              <w:object w:dxaOrig="578" w:dyaOrig="443" w14:anchorId="3868536F">
                <v:shape id="_x0000_i1062" type="#_x0000_t75" style="width:28.9pt;height:22.35pt" o:ole="">
                  <v:imagedata r:id="rId87" o:title=""/>
                </v:shape>
                <o:OLEObject Type="Embed" ProgID="Equation.3" ShapeID="_x0000_i1062" DrawAspect="Content" ObjectID="_1826209161" r:id="rId88"/>
              </w:object>
            </w:r>
          </w:p>
        </w:tc>
        <w:tc>
          <w:tcPr>
            <w:tcW w:w="309" w:type="pct"/>
            <w:shd w:val="clear" w:color="auto" w:fill="auto"/>
            <w:noWrap/>
            <w:vAlign w:val="center"/>
          </w:tcPr>
          <w:p w14:paraId="760C411E" w14:textId="77777777" w:rsidR="009C353B" w:rsidRDefault="00000000">
            <w:pPr>
              <w:widowControl/>
              <w:snapToGrid w:val="0"/>
              <w:ind w:leftChars="-50" w:left="-120" w:rightChars="-50" w:right="-120"/>
              <w:jc w:val="center"/>
              <w:rPr>
                <w:rFonts w:cs="宋体" w:hint="eastAsia"/>
                <w:b/>
                <w:kern w:val="0"/>
                <w:sz w:val="15"/>
                <w:szCs w:val="15"/>
              </w:rPr>
            </w:pPr>
            <w:r>
              <w:rPr>
                <w:b/>
                <w:bCs/>
                <w:position w:val="-24"/>
              </w:rPr>
              <w:object w:dxaOrig="837" w:dyaOrig="382" w14:anchorId="15559DB2">
                <v:shape id="_x0000_i1063" type="#_x0000_t75" style="width:42pt;height:19.1pt" o:ole="">
                  <v:imagedata r:id="rId89" o:title=""/>
                </v:shape>
                <o:OLEObject Type="Embed" ProgID="Equation.3" ShapeID="_x0000_i1063" DrawAspect="Content" ObjectID="_1826209162" r:id="rId90"/>
              </w:object>
            </w:r>
          </w:p>
        </w:tc>
        <w:tc>
          <w:tcPr>
            <w:tcW w:w="192" w:type="pct"/>
            <w:shd w:val="clear" w:color="auto" w:fill="auto"/>
            <w:vAlign w:val="center"/>
          </w:tcPr>
          <w:p w14:paraId="4F2B1009"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全区不可采</w:t>
            </w:r>
          </w:p>
        </w:tc>
        <w:tc>
          <w:tcPr>
            <w:tcW w:w="153" w:type="pct"/>
            <w:shd w:val="clear" w:color="auto" w:fill="auto"/>
            <w:vAlign w:val="center"/>
          </w:tcPr>
          <w:p w14:paraId="4213181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84" w:type="pct"/>
            <w:shd w:val="clear" w:color="auto" w:fill="auto"/>
            <w:vAlign w:val="center"/>
          </w:tcPr>
          <w:p w14:paraId="718FF6A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七</w:t>
            </w:r>
          </w:p>
        </w:tc>
        <w:tc>
          <w:tcPr>
            <w:tcW w:w="314" w:type="pct"/>
            <w:shd w:val="clear" w:color="auto" w:fill="auto"/>
            <w:vAlign w:val="center"/>
          </w:tcPr>
          <w:p w14:paraId="3AF57B3F" w14:textId="77777777" w:rsidR="009C353B" w:rsidRDefault="00000000">
            <w:pPr>
              <w:widowControl/>
              <w:snapToGrid w:val="0"/>
              <w:ind w:leftChars="-50" w:left="-120" w:rightChars="-50" w:right="-120"/>
              <w:jc w:val="center"/>
              <w:rPr>
                <w:rFonts w:cs="宋体" w:hint="eastAsia"/>
                <w:b/>
                <w:bCs/>
                <w:kern w:val="0"/>
                <w:sz w:val="15"/>
                <w:szCs w:val="15"/>
                <w:u w:val="single"/>
              </w:rPr>
            </w:pPr>
            <w:r>
              <w:rPr>
                <w:position w:val="-24"/>
                <w:szCs w:val="24"/>
              </w:rPr>
              <w:object w:dxaOrig="542" w:dyaOrig="382" w14:anchorId="108F7D60">
                <v:shape id="_x0000_i1064" type="#_x0000_t75" style="width:27.25pt;height:19.1pt" o:ole="">
                  <v:imagedata r:id="rId91" o:title=""/>
                </v:shape>
                <o:OLEObject Type="Embed" ProgID="Equation.3" ShapeID="_x0000_i1064" DrawAspect="Content" ObjectID="_1826209163" r:id="rId92"/>
              </w:object>
            </w:r>
          </w:p>
        </w:tc>
        <w:tc>
          <w:tcPr>
            <w:tcW w:w="354" w:type="pct"/>
            <w:shd w:val="clear" w:color="auto" w:fill="auto"/>
            <w:noWrap/>
            <w:vAlign w:val="center"/>
          </w:tcPr>
          <w:p w14:paraId="7685E3FE"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443" w:dyaOrig="443" w14:anchorId="6BC978D4">
                <v:shape id="_x0000_i1065" type="#_x0000_t75" style="width:22.35pt;height:22.35pt" o:ole="">
                  <v:imagedata r:id="rId93" o:title=""/>
                </v:shape>
                <o:OLEObject Type="Embed" ProgID="Equation.3" ShapeID="_x0000_i1065" DrawAspect="Content" ObjectID="_1826209164" r:id="rId94"/>
              </w:object>
            </w:r>
          </w:p>
        </w:tc>
        <w:tc>
          <w:tcPr>
            <w:tcW w:w="202" w:type="pct"/>
            <w:shd w:val="clear" w:color="auto" w:fill="auto"/>
            <w:vAlign w:val="center"/>
          </w:tcPr>
          <w:p w14:paraId="09888BC0"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局部可采孤立</w:t>
            </w:r>
          </w:p>
        </w:tc>
        <w:tc>
          <w:tcPr>
            <w:tcW w:w="152" w:type="pct"/>
            <w:shd w:val="clear" w:color="auto" w:fill="auto"/>
            <w:vAlign w:val="center"/>
          </w:tcPr>
          <w:p w14:paraId="5665FD9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c>
          <w:tcPr>
            <w:tcW w:w="100" w:type="pct"/>
            <w:shd w:val="clear" w:color="auto" w:fill="auto"/>
            <w:noWrap/>
            <w:vAlign w:val="center"/>
          </w:tcPr>
          <w:p w14:paraId="21BF916F"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七</w:t>
            </w:r>
          </w:p>
        </w:tc>
        <w:tc>
          <w:tcPr>
            <w:tcW w:w="303" w:type="pct"/>
            <w:shd w:val="clear" w:color="auto" w:fill="auto"/>
            <w:noWrap/>
            <w:vAlign w:val="center"/>
          </w:tcPr>
          <w:p w14:paraId="4D3B0C8A"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542" w:dyaOrig="382" w14:anchorId="2B2D5C9F">
                <v:shape id="_x0000_i1066" type="#_x0000_t75" style="width:27.25pt;height:19.1pt" o:ole="">
                  <v:imagedata r:id="rId95" o:title=""/>
                </v:shape>
                <o:OLEObject Type="Embed" ProgID="Equation.3" ShapeID="_x0000_i1066" DrawAspect="Content" ObjectID="_1826209165" r:id="rId96"/>
              </w:object>
            </w:r>
          </w:p>
        </w:tc>
        <w:tc>
          <w:tcPr>
            <w:tcW w:w="405" w:type="pct"/>
            <w:shd w:val="clear" w:color="auto" w:fill="auto"/>
            <w:noWrap/>
            <w:vAlign w:val="center"/>
          </w:tcPr>
          <w:p w14:paraId="6D5CF354"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480" w:dyaOrig="443" w14:anchorId="06470021">
                <v:shape id="_x0000_i1067" type="#_x0000_t75" style="width:24pt;height:22.35pt" o:ole="">
                  <v:imagedata r:id="rId97" o:title=""/>
                </v:shape>
                <o:OLEObject Type="Embed" ProgID="Equation.3" ShapeID="_x0000_i1067" DrawAspect="Content" ObjectID="_1826209166" r:id="rId98"/>
              </w:object>
            </w:r>
          </w:p>
        </w:tc>
        <w:tc>
          <w:tcPr>
            <w:tcW w:w="202" w:type="pct"/>
            <w:shd w:val="clear" w:color="auto" w:fill="auto"/>
            <w:noWrap/>
            <w:vAlign w:val="center"/>
          </w:tcPr>
          <w:p w14:paraId="21EFDE9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孤零局部可采</w:t>
            </w:r>
          </w:p>
        </w:tc>
        <w:tc>
          <w:tcPr>
            <w:tcW w:w="253" w:type="pct"/>
            <w:shd w:val="clear" w:color="auto" w:fill="auto"/>
            <w:vAlign w:val="center"/>
          </w:tcPr>
          <w:p w14:paraId="0A3C2C0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c>
          <w:tcPr>
            <w:tcW w:w="151" w:type="pct"/>
            <w:vAlign w:val="center"/>
          </w:tcPr>
          <w:p w14:paraId="417250E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七</w:t>
            </w:r>
          </w:p>
        </w:tc>
        <w:tc>
          <w:tcPr>
            <w:tcW w:w="404" w:type="pct"/>
            <w:vAlign w:val="center"/>
          </w:tcPr>
          <w:p w14:paraId="59967C84"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849" w:dyaOrig="443" w14:anchorId="6CDCA696">
                <v:shape id="_x0000_i1068" type="#_x0000_t75" style="width:42.55pt;height:22.35pt" o:ole="">
                  <v:imagedata r:id="rId99" o:title=""/>
                </v:shape>
                <o:OLEObject Type="Embed" ProgID="Equation.3" ShapeID="_x0000_i1068" DrawAspect="Content" ObjectID="_1826209167" r:id="rId100"/>
              </w:object>
            </w:r>
          </w:p>
        </w:tc>
        <w:tc>
          <w:tcPr>
            <w:tcW w:w="404" w:type="pct"/>
            <w:vAlign w:val="center"/>
          </w:tcPr>
          <w:p w14:paraId="7D33C28B"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898" w:dyaOrig="443" w14:anchorId="67EFB5F6">
                <v:shape id="_x0000_i1069" type="#_x0000_t75" style="width:44.75pt;height:22.35pt" o:ole="">
                  <v:imagedata r:id="rId101" o:title=""/>
                </v:shape>
                <o:OLEObject Type="Embed" ProgID="Equation.3" ShapeID="_x0000_i1069" DrawAspect="Content" ObjectID="_1826209168" r:id="rId102"/>
              </w:object>
            </w:r>
          </w:p>
        </w:tc>
        <w:tc>
          <w:tcPr>
            <w:tcW w:w="203" w:type="pct"/>
            <w:vAlign w:val="center"/>
          </w:tcPr>
          <w:p w14:paraId="45BB529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全区不可采</w:t>
            </w:r>
          </w:p>
        </w:tc>
        <w:tc>
          <w:tcPr>
            <w:tcW w:w="250" w:type="pct"/>
            <w:vAlign w:val="center"/>
          </w:tcPr>
          <w:p w14:paraId="3E5C740D"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稳定</w:t>
            </w:r>
          </w:p>
        </w:tc>
      </w:tr>
      <w:tr w:rsidR="009C353B" w14:paraId="50C0AE72" w14:textId="77777777">
        <w:trPr>
          <w:cantSplit/>
          <w:trHeight w:val="504"/>
          <w:jc w:val="center"/>
        </w:trPr>
        <w:tc>
          <w:tcPr>
            <w:tcW w:w="84" w:type="pct"/>
            <w:vMerge/>
            <w:vAlign w:val="center"/>
          </w:tcPr>
          <w:p w14:paraId="63A15187" w14:textId="77777777" w:rsidR="009C353B" w:rsidRDefault="009C353B">
            <w:pPr>
              <w:widowControl/>
              <w:snapToGrid w:val="0"/>
              <w:ind w:leftChars="-50" w:left="-120" w:rightChars="-50" w:right="-120"/>
              <w:jc w:val="center"/>
              <w:rPr>
                <w:rFonts w:cs="宋体" w:hint="eastAsia"/>
                <w:b/>
                <w:bCs/>
                <w:kern w:val="0"/>
                <w:sz w:val="15"/>
                <w:szCs w:val="15"/>
              </w:rPr>
            </w:pPr>
          </w:p>
        </w:tc>
        <w:tc>
          <w:tcPr>
            <w:tcW w:w="110" w:type="pct"/>
            <w:shd w:val="clear" w:color="auto" w:fill="auto"/>
            <w:vAlign w:val="center"/>
          </w:tcPr>
          <w:p w14:paraId="3EC1A34D"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8</w:t>
            </w:r>
          </w:p>
        </w:tc>
        <w:tc>
          <w:tcPr>
            <w:tcW w:w="93" w:type="pct"/>
            <w:shd w:val="clear" w:color="auto" w:fill="auto"/>
            <w:vAlign w:val="center"/>
          </w:tcPr>
          <w:p w14:paraId="25A29319"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八</w:t>
            </w:r>
          </w:p>
        </w:tc>
        <w:tc>
          <w:tcPr>
            <w:tcW w:w="278" w:type="pct"/>
            <w:shd w:val="clear" w:color="auto" w:fill="auto"/>
            <w:vAlign w:val="center"/>
          </w:tcPr>
          <w:p w14:paraId="68F1DC8D" w14:textId="77777777" w:rsidR="009C353B" w:rsidRDefault="00000000">
            <w:pPr>
              <w:widowControl/>
              <w:snapToGrid w:val="0"/>
              <w:ind w:leftChars="-50" w:left="-120" w:rightChars="-50" w:right="-120"/>
              <w:jc w:val="center"/>
              <w:rPr>
                <w:rFonts w:cs="宋体" w:hint="eastAsia"/>
                <w:b/>
                <w:bCs/>
                <w:kern w:val="0"/>
                <w:sz w:val="15"/>
                <w:szCs w:val="15"/>
                <w:u w:val="single"/>
              </w:rPr>
            </w:pPr>
            <w:r>
              <w:rPr>
                <w:b/>
                <w:bCs/>
                <w:position w:val="-24"/>
              </w:rPr>
              <w:object w:dxaOrig="849" w:dyaOrig="382" w14:anchorId="722486BD">
                <v:shape id="_x0000_i1070" type="#_x0000_t75" style="width:42.55pt;height:19.1pt" o:ole="">
                  <v:imagedata r:id="rId103" o:title=""/>
                </v:shape>
                <o:OLEObject Type="Embed" ProgID="Equation.3" ShapeID="_x0000_i1070" DrawAspect="Content" ObjectID="_1826209169" r:id="rId104"/>
              </w:object>
            </w:r>
          </w:p>
        </w:tc>
        <w:tc>
          <w:tcPr>
            <w:tcW w:w="309" w:type="pct"/>
            <w:shd w:val="clear" w:color="auto" w:fill="auto"/>
            <w:vAlign w:val="center"/>
          </w:tcPr>
          <w:p w14:paraId="21A70F73" w14:textId="77777777" w:rsidR="009C353B" w:rsidRDefault="00000000">
            <w:pPr>
              <w:widowControl/>
              <w:snapToGrid w:val="0"/>
              <w:ind w:leftChars="-50" w:left="-120" w:rightChars="-50" w:right="-120"/>
              <w:jc w:val="center"/>
              <w:rPr>
                <w:rFonts w:cs="宋体" w:hint="eastAsia"/>
                <w:b/>
                <w:bCs/>
                <w:kern w:val="0"/>
                <w:sz w:val="15"/>
                <w:szCs w:val="15"/>
              </w:rPr>
            </w:pPr>
            <w:r>
              <w:rPr>
                <w:b/>
                <w:bCs/>
                <w:position w:val="-24"/>
              </w:rPr>
              <w:object w:dxaOrig="862" w:dyaOrig="382" w14:anchorId="7E5201D5">
                <v:shape id="_x0000_i1071" type="#_x0000_t75" style="width:43.1pt;height:19.1pt" o:ole="">
                  <v:imagedata r:id="rId105" o:title=""/>
                </v:shape>
                <o:OLEObject Type="Embed" ProgID="Equation.3" ShapeID="_x0000_i1071" DrawAspect="Content" ObjectID="_1826209170" r:id="rId106"/>
              </w:object>
            </w:r>
          </w:p>
        </w:tc>
        <w:tc>
          <w:tcPr>
            <w:tcW w:w="192" w:type="pct"/>
            <w:shd w:val="clear" w:color="auto" w:fill="auto"/>
            <w:vAlign w:val="center"/>
          </w:tcPr>
          <w:p w14:paraId="21087CC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全区可采</w:t>
            </w:r>
          </w:p>
        </w:tc>
        <w:tc>
          <w:tcPr>
            <w:tcW w:w="153" w:type="pct"/>
            <w:shd w:val="clear" w:color="auto" w:fill="auto"/>
            <w:vAlign w:val="center"/>
          </w:tcPr>
          <w:p w14:paraId="5DA7BB8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84" w:type="pct"/>
            <w:shd w:val="clear" w:color="auto" w:fill="auto"/>
            <w:vAlign w:val="center"/>
          </w:tcPr>
          <w:p w14:paraId="06D11C35"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八</w:t>
            </w:r>
          </w:p>
        </w:tc>
        <w:tc>
          <w:tcPr>
            <w:tcW w:w="314" w:type="pct"/>
            <w:shd w:val="clear" w:color="auto" w:fill="auto"/>
            <w:vAlign w:val="center"/>
          </w:tcPr>
          <w:p w14:paraId="1F33D6A7" w14:textId="77777777" w:rsidR="009C353B" w:rsidRDefault="00000000">
            <w:pPr>
              <w:widowControl/>
              <w:snapToGrid w:val="0"/>
              <w:ind w:leftChars="-50" w:left="-120" w:rightChars="-50" w:right="-120"/>
              <w:jc w:val="center"/>
              <w:rPr>
                <w:rFonts w:cs="宋体" w:hint="eastAsia"/>
                <w:b/>
                <w:bCs/>
                <w:kern w:val="0"/>
                <w:sz w:val="15"/>
                <w:szCs w:val="15"/>
                <w:u w:val="single"/>
              </w:rPr>
            </w:pPr>
            <w:r>
              <w:rPr>
                <w:position w:val="-24"/>
                <w:szCs w:val="24"/>
              </w:rPr>
              <w:object w:dxaOrig="751" w:dyaOrig="382" w14:anchorId="2B1D4E47">
                <v:shape id="_x0000_i1072" type="#_x0000_t75" style="width:37.65pt;height:19.1pt" o:ole="">
                  <v:imagedata r:id="rId107" o:title=""/>
                </v:shape>
                <o:OLEObject Type="Embed" ProgID="Equation.3" ShapeID="_x0000_i1072" DrawAspect="Content" ObjectID="_1826209171" r:id="rId108"/>
              </w:object>
            </w:r>
          </w:p>
        </w:tc>
        <w:tc>
          <w:tcPr>
            <w:tcW w:w="354" w:type="pct"/>
            <w:shd w:val="clear" w:color="auto" w:fill="auto"/>
            <w:vAlign w:val="center"/>
          </w:tcPr>
          <w:p w14:paraId="22BE7D64"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480" w:dyaOrig="443" w14:anchorId="1E50C40D">
                <v:shape id="_x0000_i1073" type="#_x0000_t75" style="width:24pt;height:22.35pt" o:ole="">
                  <v:imagedata r:id="rId109" o:title=""/>
                </v:shape>
                <o:OLEObject Type="Embed" ProgID="Equation.3" ShapeID="_x0000_i1073" DrawAspect="Content" ObjectID="_1826209172" r:id="rId110"/>
              </w:object>
            </w:r>
          </w:p>
        </w:tc>
        <w:tc>
          <w:tcPr>
            <w:tcW w:w="202" w:type="pct"/>
            <w:shd w:val="clear" w:color="auto" w:fill="auto"/>
            <w:vAlign w:val="center"/>
          </w:tcPr>
          <w:p w14:paraId="00DD2C1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大部可采</w:t>
            </w:r>
          </w:p>
        </w:tc>
        <w:tc>
          <w:tcPr>
            <w:tcW w:w="152" w:type="pct"/>
            <w:shd w:val="clear" w:color="auto" w:fill="auto"/>
            <w:vAlign w:val="center"/>
          </w:tcPr>
          <w:p w14:paraId="3FF02745"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00" w:type="pct"/>
            <w:shd w:val="clear" w:color="auto" w:fill="auto"/>
            <w:noWrap/>
            <w:vAlign w:val="center"/>
          </w:tcPr>
          <w:p w14:paraId="7B1F6A84"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八</w:t>
            </w:r>
          </w:p>
        </w:tc>
        <w:tc>
          <w:tcPr>
            <w:tcW w:w="303" w:type="pct"/>
            <w:shd w:val="clear" w:color="auto" w:fill="auto"/>
            <w:noWrap/>
            <w:vAlign w:val="center"/>
          </w:tcPr>
          <w:p w14:paraId="7F463732"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788" w:dyaOrig="443" w14:anchorId="1B7DDA6D">
                <v:shape id="_x0000_i1074" type="#_x0000_t75" style="width:39.25pt;height:22.35pt" o:ole="">
                  <v:imagedata r:id="rId111" o:title=""/>
                </v:shape>
                <o:OLEObject Type="Embed" ProgID="Equation.3" ShapeID="_x0000_i1074" DrawAspect="Content" ObjectID="_1826209173" r:id="rId112"/>
              </w:object>
            </w:r>
          </w:p>
        </w:tc>
        <w:tc>
          <w:tcPr>
            <w:tcW w:w="405" w:type="pct"/>
            <w:shd w:val="clear" w:color="auto" w:fill="auto"/>
            <w:noWrap/>
            <w:vAlign w:val="center"/>
          </w:tcPr>
          <w:p w14:paraId="43C07313"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480" w:dyaOrig="382" w14:anchorId="463147D0">
                <v:shape id="_x0000_i1075" type="#_x0000_t75" style="width:24pt;height:19.1pt" o:ole="">
                  <v:imagedata r:id="rId113" o:title=""/>
                </v:shape>
                <o:OLEObject Type="Embed" ProgID="Equation.3" ShapeID="_x0000_i1075" DrawAspect="Content" ObjectID="_1826209174" r:id="rId114"/>
              </w:object>
            </w:r>
          </w:p>
        </w:tc>
        <w:tc>
          <w:tcPr>
            <w:tcW w:w="202" w:type="pct"/>
            <w:shd w:val="clear" w:color="auto" w:fill="auto"/>
            <w:noWrap/>
            <w:vAlign w:val="center"/>
          </w:tcPr>
          <w:p w14:paraId="490B67C2"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大部可采</w:t>
            </w:r>
          </w:p>
        </w:tc>
        <w:tc>
          <w:tcPr>
            <w:tcW w:w="253" w:type="pct"/>
            <w:shd w:val="clear" w:color="auto" w:fill="auto"/>
            <w:vAlign w:val="center"/>
          </w:tcPr>
          <w:p w14:paraId="55985EB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51" w:type="pct"/>
            <w:vAlign w:val="center"/>
          </w:tcPr>
          <w:p w14:paraId="5177234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八</w:t>
            </w:r>
          </w:p>
        </w:tc>
        <w:tc>
          <w:tcPr>
            <w:tcW w:w="404" w:type="pct"/>
            <w:vAlign w:val="center"/>
          </w:tcPr>
          <w:p w14:paraId="6291DBA5"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788" w:dyaOrig="382" w14:anchorId="6B9CC396">
                <v:shape id="_x0000_i1076" type="#_x0000_t75" style="width:39.25pt;height:19.1pt" o:ole="">
                  <v:imagedata r:id="rId115" o:title=""/>
                </v:shape>
                <o:OLEObject Type="Embed" ProgID="Equation.3" ShapeID="_x0000_i1076" DrawAspect="Content" ObjectID="_1826209175" r:id="rId116"/>
              </w:object>
            </w:r>
          </w:p>
        </w:tc>
        <w:tc>
          <w:tcPr>
            <w:tcW w:w="404" w:type="pct"/>
            <w:vAlign w:val="center"/>
          </w:tcPr>
          <w:p w14:paraId="10A43C42"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886" w:dyaOrig="382" w14:anchorId="78084734">
                <v:shape id="_x0000_i1077" type="#_x0000_t75" style="width:44.2pt;height:19.1pt" o:ole="">
                  <v:imagedata r:id="rId117" o:title=""/>
                </v:shape>
                <o:OLEObject Type="Embed" ProgID="Equation.3" ShapeID="_x0000_i1077" DrawAspect="Content" ObjectID="_1826209176" r:id="rId118"/>
              </w:object>
            </w:r>
          </w:p>
        </w:tc>
        <w:tc>
          <w:tcPr>
            <w:tcW w:w="203" w:type="pct"/>
            <w:vAlign w:val="center"/>
          </w:tcPr>
          <w:p w14:paraId="07A8785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全区可采</w:t>
            </w:r>
          </w:p>
        </w:tc>
        <w:tc>
          <w:tcPr>
            <w:tcW w:w="250" w:type="pct"/>
            <w:vAlign w:val="center"/>
          </w:tcPr>
          <w:p w14:paraId="651E26B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r>
      <w:tr w:rsidR="009C353B" w14:paraId="2DC882BA" w14:textId="77777777">
        <w:trPr>
          <w:cantSplit/>
          <w:trHeight w:val="504"/>
          <w:jc w:val="center"/>
        </w:trPr>
        <w:tc>
          <w:tcPr>
            <w:tcW w:w="84" w:type="pct"/>
            <w:vMerge/>
            <w:vAlign w:val="center"/>
          </w:tcPr>
          <w:p w14:paraId="0AF13571" w14:textId="77777777" w:rsidR="009C353B" w:rsidRDefault="009C353B">
            <w:pPr>
              <w:widowControl/>
              <w:snapToGrid w:val="0"/>
              <w:ind w:leftChars="-50" w:left="-120" w:rightChars="-50" w:right="-120"/>
              <w:jc w:val="center"/>
              <w:rPr>
                <w:rFonts w:cs="宋体" w:hint="eastAsia"/>
                <w:b/>
                <w:bCs/>
                <w:kern w:val="0"/>
                <w:sz w:val="15"/>
                <w:szCs w:val="15"/>
              </w:rPr>
            </w:pPr>
          </w:p>
        </w:tc>
        <w:tc>
          <w:tcPr>
            <w:tcW w:w="110" w:type="pct"/>
            <w:shd w:val="clear" w:color="auto" w:fill="auto"/>
            <w:vAlign w:val="center"/>
          </w:tcPr>
          <w:p w14:paraId="629BE459"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9</w:t>
            </w:r>
          </w:p>
        </w:tc>
        <w:tc>
          <w:tcPr>
            <w:tcW w:w="93" w:type="pct"/>
            <w:shd w:val="clear" w:color="auto" w:fill="auto"/>
            <w:vAlign w:val="center"/>
          </w:tcPr>
          <w:p w14:paraId="1194224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九</w:t>
            </w:r>
          </w:p>
        </w:tc>
        <w:tc>
          <w:tcPr>
            <w:tcW w:w="278" w:type="pct"/>
            <w:shd w:val="clear" w:color="auto" w:fill="auto"/>
            <w:vAlign w:val="center"/>
          </w:tcPr>
          <w:p w14:paraId="7AF469AA" w14:textId="77777777" w:rsidR="009C353B" w:rsidRDefault="00000000">
            <w:pPr>
              <w:snapToGrid w:val="0"/>
              <w:ind w:leftChars="-50" w:left="-120" w:rightChars="-50" w:right="-120"/>
              <w:jc w:val="center"/>
              <w:rPr>
                <w:rFonts w:cs="宋体" w:hint="eastAsia"/>
                <w:b/>
                <w:bCs/>
                <w:kern w:val="0"/>
                <w:sz w:val="15"/>
                <w:szCs w:val="15"/>
                <w:u w:val="single"/>
              </w:rPr>
            </w:pPr>
            <w:r>
              <w:rPr>
                <w:b/>
                <w:bCs/>
                <w:position w:val="-24"/>
              </w:rPr>
              <w:object w:dxaOrig="763" w:dyaOrig="382" w14:anchorId="70A07D84">
                <v:shape id="_x0000_i1078" type="#_x0000_t75" style="width:38.2pt;height:19.1pt" o:ole="">
                  <v:imagedata r:id="rId119" o:title=""/>
                </v:shape>
                <o:OLEObject Type="Embed" ProgID="Equation.3" ShapeID="_x0000_i1078" DrawAspect="Content" ObjectID="_1826209177" r:id="rId120"/>
              </w:object>
            </w:r>
          </w:p>
        </w:tc>
        <w:tc>
          <w:tcPr>
            <w:tcW w:w="309" w:type="pct"/>
            <w:shd w:val="clear" w:color="auto" w:fill="auto"/>
            <w:vAlign w:val="center"/>
          </w:tcPr>
          <w:p w14:paraId="0D869778" w14:textId="77777777" w:rsidR="009C353B" w:rsidRDefault="00000000">
            <w:pPr>
              <w:widowControl/>
              <w:snapToGrid w:val="0"/>
              <w:ind w:leftChars="-50" w:left="-120" w:rightChars="-50" w:right="-120"/>
              <w:jc w:val="center"/>
              <w:rPr>
                <w:rFonts w:cs="宋体" w:hint="eastAsia"/>
                <w:b/>
                <w:bCs/>
                <w:kern w:val="0"/>
                <w:sz w:val="15"/>
                <w:szCs w:val="15"/>
              </w:rPr>
            </w:pPr>
            <w:r>
              <w:rPr>
                <w:b/>
                <w:bCs/>
                <w:position w:val="-24"/>
              </w:rPr>
              <w:object w:dxaOrig="849" w:dyaOrig="382" w14:anchorId="57FC12E2">
                <v:shape id="_x0000_i1079" type="#_x0000_t75" style="width:42.55pt;height:19.1pt" o:ole="">
                  <v:imagedata r:id="rId121" o:title=""/>
                </v:shape>
                <o:OLEObject Type="Embed" ProgID="Equation.3" ShapeID="_x0000_i1079" DrawAspect="Content" ObjectID="_1826209178" r:id="rId122"/>
              </w:object>
            </w:r>
          </w:p>
        </w:tc>
        <w:tc>
          <w:tcPr>
            <w:tcW w:w="192" w:type="pct"/>
            <w:shd w:val="clear" w:color="auto" w:fill="auto"/>
            <w:vAlign w:val="center"/>
          </w:tcPr>
          <w:p w14:paraId="7F6DA20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全区可采</w:t>
            </w:r>
          </w:p>
        </w:tc>
        <w:tc>
          <w:tcPr>
            <w:tcW w:w="153" w:type="pct"/>
            <w:shd w:val="clear" w:color="auto" w:fill="auto"/>
            <w:vAlign w:val="center"/>
          </w:tcPr>
          <w:p w14:paraId="2BEE7CD4"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84" w:type="pct"/>
            <w:shd w:val="clear" w:color="auto" w:fill="auto"/>
            <w:noWrap/>
            <w:vAlign w:val="center"/>
          </w:tcPr>
          <w:p w14:paraId="77379C2A"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九</w:t>
            </w:r>
          </w:p>
        </w:tc>
        <w:tc>
          <w:tcPr>
            <w:tcW w:w="314" w:type="pct"/>
            <w:shd w:val="clear" w:color="auto" w:fill="auto"/>
            <w:vAlign w:val="center"/>
          </w:tcPr>
          <w:p w14:paraId="2B6EFE94" w14:textId="77777777" w:rsidR="009C353B" w:rsidRDefault="00000000">
            <w:pPr>
              <w:widowControl/>
              <w:snapToGrid w:val="0"/>
              <w:ind w:leftChars="-50" w:left="-120" w:rightChars="-50" w:right="-120"/>
              <w:jc w:val="center"/>
              <w:rPr>
                <w:rFonts w:cs="宋体" w:hint="eastAsia"/>
                <w:b/>
                <w:bCs/>
                <w:kern w:val="0"/>
                <w:sz w:val="15"/>
                <w:szCs w:val="15"/>
              </w:rPr>
            </w:pPr>
            <w:r>
              <w:rPr>
                <w:position w:val="-24"/>
                <w:szCs w:val="24"/>
              </w:rPr>
              <w:object w:dxaOrig="849" w:dyaOrig="382" w14:anchorId="7C6D5186">
                <v:shape id="_x0000_i1080" type="#_x0000_t75" style="width:42.55pt;height:19.1pt" o:ole="">
                  <v:imagedata r:id="rId123" o:title=""/>
                </v:shape>
                <o:OLEObject Type="Embed" ProgID="Equation.3" ShapeID="_x0000_i1080" DrawAspect="Content" ObjectID="_1826209179" r:id="rId124"/>
              </w:object>
            </w:r>
          </w:p>
        </w:tc>
        <w:tc>
          <w:tcPr>
            <w:tcW w:w="354" w:type="pct"/>
            <w:shd w:val="clear" w:color="auto" w:fill="auto"/>
            <w:vAlign w:val="center"/>
          </w:tcPr>
          <w:p w14:paraId="5C294F67"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578" w:dyaOrig="443" w14:anchorId="08DD7154">
                <v:shape id="_x0000_i1081" type="#_x0000_t75" style="width:28.9pt;height:22.35pt" o:ole="">
                  <v:imagedata r:id="rId125" o:title=""/>
                </v:shape>
                <o:OLEObject Type="Embed" ProgID="Equation.3" ShapeID="_x0000_i1081" DrawAspect="Content" ObjectID="_1826209180" r:id="rId126"/>
              </w:object>
            </w:r>
          </w:p>
        </w:tc>
        <w:tc>
          <w:tcPr>
            <w:tcW w:w="202" w:type="pct"/>
            <w:shd w:val="clear" w:color="auto" w:fill="auto"/>
            <w:vAlign w:val="center"/>
          </w:tcPr>
          <w:p w14:paraId="37D801E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全井田可采</w:t>
            </w:r>
          </w:p>
        </w:tc>
        <w:tc>
          <w:tcPr>
            <w:tcW w:w="152" w:type="pct"/>
            <w:shd w:val="clear" w:color="auto" w:fill="auto"/>
            <w:vAlign w:val="center"/>
          </w:tcPr>
          <w:p w14:paraId="74CCD7F2"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00" w:type="pct"/>
            <w:shd w:val="clear" w:color="auto" w:fill="auto"/>
            <w:noWrap/>
            <w:vAlign w:val="center"/>
          </w:tcPr>
          <w:p w14:paraId="71855C7E"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九</w:t>
            </w:r>
          </w:p>
        </w:tc>
        <w:tc>
          <w:tcPr>
            <w:tcW w:w="303" w:type="pct"/>
            <w:shd w:val="clear" w:color="auto" w:fill="auto"/>
            <w:noWrap/>
            <w:vAlign w:val="center"/>
          </w:tcPr>
          <w:p w14:paraId="243A3819"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862" w:dyaOrig="382" w14:anchorId="32514981">
                <v:shape id="_x0000_i1082" type="#_x0000_t75" style="width:43.1pt;height:19.1pt" o:ole="">
                  <v:imagedata r:id="rId127" o:title=""/>
                </v:shape>
                <o:OLEObject Type="Embed" ProgID="Equation.3" ShapeID="_x0000_i1082" DrawAspect="Content" ObjectID="_1826209181" r:id="rId128"/>
              </w:object>
            </w:r>
          </w:p>
        </w:tc>
        <w:tc>
          <w:tcPr>
            <w:tcW w:w="405" w:type="pct"/>
            <w:shd w:val="clear" w:color="auto" w:fill="auto"/>
            <w:noWrap/>
            <w:vAlign w:val="center"/>
          </w:tcPr>
          <w:p w14:paraId="6886E754"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578" w:dyaOrig="443" w14:anchorId="737DB739">
                <v:shape id="_x0000_i1083" type="#_x0000_t75" style="width:28.9pt;height:22.35pt" o:ole="">
                  <v:imagedata r:id="rId129" o:title=""/>
                </v:shape>
                <o:OLEObject Type="Embed" ProgID="Equation.3" ShapeID="_x0000_i1083" DrawAspect="Content" ObjectID="_1826209182" r:id="rId130"/>
              </w:object>
            </w:r>
          </w:p>
        </w:tc>
        <w:tc>
          <w:tcPr>
            <w:tcW w:w="202" w:type="pct"/>
            <w:shd w:val="clear" w:color="auto" w:fill="auto"/>
            <w:noWrap/>
            <w:vAlign w:val="center"/>
          </w:tcPr>
          <w:p w14:paraId="1A656FF6"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全井田可采</w:t>
            </w:r>
          </w:p>
        </w:tc>
        <w:tc>
          <w:tcPr>
            <w:tcW w:w="253" w:type="pct"/>
            <w:shd w:val="clear" w:color="auto" w:fill="auto"/>
            <w:vAlign w:val="center"/>
          </w:tcPr>
          <w:p w14:paraId="4085002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51" w:type="pct"/>
            <w:vAlign w:val="center"/>
          </w:tcPr>
          <w:p w14:paraId="4964364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九</w:t>
            </w:r>
          </w:p>
        </w:tc>
        <w:tc>
          <w:tcPr>
            <w:tcW w:w="404" w:type="pct"/>
            <w:vAlign w:val="center"/>
          </w:tcPr>
          <w:p w14:paraId="24824424"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849" w:dyaOrig="443" w14:anchorId="38EAEBFC">
                <v:shape id="_x0000_i1084" type="#_x0000_t75" style="width:42.55pt;height:22.35pt" o:ole="">
                  <v:imagedata r:id="rId131" o:title=""/>
                </v:shape>
                <o:OLEObject Type="Embed" ProgID="Equation.3" ShapeID="_x0000_i1084" DrawAspect="Content" ObjectID="_1826209183" r:id="rId132"/>
              </w:object>
            </w:r>
          </w:p>
        </w:tc>
        <w:tc>
          <w:tcPr>
            <w:tcW w:w="404" w:type="pct"/>
            <w:vAlign w:val="center"/>
          </w:tcPr>
          <w:p w14:paraId="347CDB77"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985" w:dyaOrig="443" w14:anchorId="276BFA24">
                <v:shape id="_x0000_i1085" type="#_x0000_t75" style="width:49.1pt;height:22.35pt" o:ole="">
                  <v:imagedata r:id="rId133" o:title=""/>
                </v:shape>
                <o:OLEObject Type="Embed" ProgID="Equation.3" ShapeID="_x0000_i1085" DrawAspect="Content" ObjectID="_1826209184" r:id="rId134"/>
              </w:object>
            </w:r>
          </w:p>
        </w:tc>
        <w:tc>
          <w:tcPr>
            <w:tcW w:w="203" w:type="pct"/>
            <w:vAlign w:val="center"/>
          </w:tcPr>
          <w:p w14:paraId="34FC3B86"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全区可采</w:t>
            </w:r>
          </w:p>
        </w:tc>
        <w:tc>
          <w:tcPr>
            <w:tcW w:w="250" w:type="pct"/>
            <w:vAlign w:val="center"/>
          </w:tcPr>
          <w:p w14:paraId="4B844E9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稳定</w:t>
            </w:r>
          </w:p>
        </w:tc>
      </w:tr>
      <w:tr w:rsidR="009C353B" w14:paraId="756717A2" w14:textId="77777777">
        <w:trPr>
          <w:cantSplit/>
          <w:trHeight w:val="504"/>
          <w:jc w:val="center"/>
        </w:trPr>
        <w:tc>
          <w:tcPr>
            <w:tcW w:w="84" w:type="pct"/>
            <w:vMerge/>
            <w:vAlign w:val="center"/>
          </w:tcPr>
          <w:p w14:paraId="004BDB10" w14:textId="77777777" w:rsidR="009C353B" w:rsidRDefault="009C353B">
            <w:pPr>
              <w:widowControl/>
              <w:snapToGrid w:val="0"/>
              <w:ind w:leftChars="-50" w:left="-120" w:rightChars="-50" w:right="-120"/>
              <w:jc w:val="center"/>
              <w:rPr>
                <w:rFonts w:cs="宋体" w:hint="eastAsia"/>
                <w:b/>
                <w:bCs/>
                <w:kern w:val="0"/>
                <w:sz w:val="15"/>
                <w:szCs w:val="15"/>
              </w:rPr>
            </w:pPr>
          </w:p>
        </w:tc>
        <w:tc>
          <w:tcPr>
            <w:tcW w:w="110" w:type="pct"/>
            <w:shd w:val="clear" w:color="auto" w:fill="auto"/>
            <w:vAlign w:val="center"/>
          </w:tcPr>
          <w:p w14:paraId="791F9ED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10</w:t>
            </w:r>
          </w:p>
        </w:tc>
        <w:tc>
          <w:tcPr>
            <w:tcW w:w="93" w:type="pct"/>
            <w:shd w:val="clear" w:color="auto" w:fill="auto"/>
            <w:vAlign w:val="center"/>
          </w:tcPr>
          <w:p w14:paraId="4D1DC0DA"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十</w:t>
            </w:r>
          </w:p>
        </w:tc>
        <w:tc>
          <w:tcPr>
            <w:tcW w:w="278" w:type="pct"/>
            <w:vAlign w:val="center"/>
          </w:tcPr>
          <w:p w14:paraId="097C4124" w14:textId="77777777" w:rsidR="009C353B" w:rsidRDefault="00000000">
            <w:pPr>
              <w:snapToGrid w:val="0"/>
              <w:ind w:leftChars="-50" w:left="-120" w:rightChars="-50" w:right="-120"/>
              <w:jc w:val="center"/>
              <w:rPr>
                <w:rFonts w:cs="宋体" w:hint="eastAsia"/>
                <w:b/>
                <w:bCs/>
                <w:kern w:val="0"/>
                <w:sz w:val="15"/>
                <w:szCs w:val="15"/>
                <w:u w:val="single"/>
              </w:rPr>
            </w:pPr>
            <w:r>
              <w:rPr>
                <w:b/>
                <w:bCs/>
                <w:position w:val="-24"/>
              </w:rPr>
              <w:object w:dxaOrig="578" w:dyaOrig="443" w14:anchorId="7467F783">
                <v:shape id="_x0000_i1086" type="#_x0000_t75" style="width:28.9pt;height:22.35pt" o:ole="">
                  <v:imagedata r:id="rId135" o:title=""/>
                </v:shape>
                <o:OLEObject Type="Embed" ProgID="Equation.3" ShapeID="_x0000_i1086" DrawAspect="Content" ObjectID="_1826209185" r:id="rId136"/>
              </w:object>
            </w:r>
          </w:p>
        </w:tc>
        <w:tc>
          <w:tcPr>
            <w:tcW w:w="309" w:type="pct"/>
            <w:shd w:val="clear" w:color="auto" w:fill="auto"/>
            <w:vAlign w:val="center"/>
          </w:tcPr>
          <w:p w14:paraId="7EDBC2AA" w14:textId="77777777" w:rsidR="009C353B" w:rsidRDefault="00000000">
            <w:pPr>
              <w:widowControl/>
              <w:snapToGrid w:val="0"/>
              <w:ind w:leftChars="-50" w:left="-120" w:rightChars="-50" w:right="-120"/>
              <w:jc w:val="center"/>
              <w:rPr>
                <w:rFonts w:cs="宋体" w:hint="eastAsia"/>
                <w:b/>
                <w:bCs/>
                <w:kern w:val="0"/>
                <w:sz w:val="15"/>
                <w:szCs w:val="15"/>
              </w:rPr>
            </w:pPr>
            <w:r>
              <w:rPr>
                <w:b/>
                <w:bCs/>
                <w:position w:val="-24"/>
              </w:rPr>
              <w:object w:dxaOrig="689" w:dyaOrig="382" w14:anchorId="538F64E2">
                <v:shape id="_x0000_i1087" type="#_x0000_t75" style="width:34.35pt;height:19.1pt" o:ole="">
                  <v:imagedata r:id="rId137" o:title=""/>
                </v:shape>
                <o:OLEObject Type="Embed" ProgID="Equation.3" ShapeID="_x0000_i1087" DrawAspect="Content" ObjectID="_1826209186" r:id="rId138"/>
              </w:object>
            </w:r>
          </w:p>
        </w:tc>
        <w:tc>
          <w:tcPr>
            <w:tcW w:w="192" w:type="pct"/>
            <w:shd w:val="clear" w:color="auto" w:fill="auto"/>
            <w:vAlign w:val="center"/>
          </w:tcPr>
          <w:p w14:paraId="4FC7E3A0"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全区不可采</w:t>
            </w:r>
          </w:p>
        </w:tc>
        <w:tc>
          <w:tcPr>
            <w:tcW w:w="153" w:type="pct"/>
            <w:shd w:val="clear" w:color="auto" w:fill="auto"/>
            <w:vAlign w:val="center"/>
          </w:tcPr>
          <w:p w14:paraId="4274524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84" w:type="pct"/>
            <w:shd w:val="clear" w:color="auto" w:fill="auto"/>
            <w:vAlign w:val="center"/>
          </w:tcPr>
          <w:p w14:paraId="03866AB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十</w:t>
            </w:r>
          </w:p>
        </w:tc>
        <w:tc>
          <w:tcPr>
            <w:tcW w:w="314" w:type="pct"/>
            <w:shd w:val="clear" w:color="auto" w:fill="auto"/>
            <w:noWrap/>
            <w:vAlign w:val="center"/>
          </w:tcPr>
          <w:p w14:paraId="56B94D17" w14:textId="77777777" w:rsidR="009C353B" w:rsidRDefault="00000000">
            <w:pPr>
              <w:widowControl/>
              <w:snapToGrid w:val="0"/>
              <w:ind w:leftChars="-50" w:left="-120" w:rightChars="-50" w:right="-120"/>
              <w:jc w:val="center"/>
              <w:rPr>
                <w:rFonts w:cs="宋体" w:hint="eastAsia"/>
                <w:b/>
                <w:bCs/>
                <w:kern w:val="0"/>
                <w:sz w:val="15"/>
                <w:szCs w:val="15"/>
              </w:rPr>
            </w:pPr>
            <w:r>
              <w:rPr>
                <w:position w:val="-24"/>
                <w:szCs w:val="24"/>
              </w:rPr>
              <w:object w:dxaOrig="542" w:dyaOrig="382" w14:anchorId="3F1E1B87">
                <v:shape id="_x0000_i1088" type="#_x0000_t75" style="width:27.25pt;height:19.1pt" o:ole="">
                  <v:imagedata r:id="rId139" o:title=""/>
                </v:shape>
                <o:OLEObject Type="Embed" ProgID="Equation.3" ShapeID="_x0000_i1088" DrawAspect="Content" ObjectID="_1826209187" r:id="rId140"/>
              </w:object>
            </w:r>
          </w:p>
        </w:tc>
        <w:tc>
          <w:tcPr>
            <w:tcW w:w="354" w:type="pct"/>
            <w:shd w:val="clear" w:color="auto" w:fill="auto"/>
            <w:noWrap/>
            <w:vAlign w:val="center"/>
          </w:tcPr>
          <w:p w14:paraId="1DCF5E4C"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443" w:dyaOrig="443" w14:anchorId="0112D354">
                <v:shape id="_x0000_i1089" type="#_x0000_t75" style="width:22.35pt;height:22.35pt" o:ole="">
                  <v:imagedata r:id="rId141" o:title=""/>
                </v:shape>
                <o:OLEObject Type="Embed" ProgID="Equation.3" ShapeID="_x0000_i1089" DrawAspect="Content" ObjectID="_1826209188" r:id="rId142"/>
              </w:object>
            </w:r>
          </w:p>
        </w:tc>
        <w:tc>
          <w:tcPr>
            <w:tcW w:w="202" w:type="pct"/>
            <w:shd w:val="clear" w:color="auto" w:fill="auto"/>
            <w:vAlign w:val="center"/>
          </w:tcPr>
          <w:p w14:paraId="3761558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8勘探线北可采</w:t>
            </w:r>
          </w:p>
        </w:tc>
        <w:tc>
          <w:tcPr>
            <w:tcW w:w="152" w:type="pct"/>
            <w:shd w:val="clear" w:color="auto" w:fill="auto"/>
            <w:vAlign w:val="center"/>
          </w:tcPr>
          <w:p w14:paraId="2C1A5C8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00" w:type="pct"/>
            <w:shd w:val="clear" w:color="auto" w:fill="auto"/>
            <w:noWrap/>
            <w:vAlign w:val="center"/>
          </w:tcPr>
          <w:p w14:paraId="0A5B9982"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十</w:t>
            </w:r>
          </w:p>
        </w:tc>
        <w:tc>
          <w:tcPr>
            <w:tcW w:w="303" w:type="pct"/>
            <w:shd w:val="clear" w:color="auto" w:fill="auto"/>
            <w:noWrap/>
            <w:vAlign w:val="center"/>
          </w:tcPr>
          <w:p w14:paraId="771CBF21"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542" w:dyaOrig="382" w14:anchorId="4A41E35B">
                <v:shape id="_x0000_i1090" type="#_x0000_t75" style="width:27.25pt;height:19.1pt" o:ole="">
                  <v:imagedata r:id="rId143" o:title=""/>
                </v:shape>
                <o:OLEObject Type="Embed" ProgID="Equation.3" ShapeID="_x0000_i1090" DrawAspect="Content" ObjectID="_1826209189" r:id="rId144"/>
              </w:object>
            </w:r>
          </w:p>
        </w:tc>
        <w:tc>
          <w:tcPr>
            <w:tcW w:w="405" w:type="pct"/>
            <w:shd w:val="clear" w:color="auto" w:fill="auto"/>
            <w:noWrap/>
            <w:vAlign w:val="center"/>
          </w:tcPr>
          <w:p w14:paraId="24DD49F4"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652" w:dyaOrig="480" w14:anchorId="5CBBE97B">
                <v:shape id="_x0000_i1091" type="#_x0000_t75" style="width:32.75pt;height:24pt" o:ole="">
                  <v:imagedata r:id="rId145" o:title=""/>
                </v:shape>
                <o:OLEObject Type="Embed" ProgID="Equation.3" ShapeID="_x0000_i1091" DrawAspect="Content" ObjectID="_1826209190" r:id="rId146"/>
              </w:object>
            </w:r>
          </w:p>
        </w:tc>
        <w:tc>
          <w:tcPr>
            <w:tcW w:w="202" w:type="pct"/>
            <w:shd w:val="clear" w:color="auto" w:fill="auto"/>
            <w:noWrap/>
            <w:vAlign w:val="center"/>
          </w:tcPr>
          <w:p w14:paraId="586ADDF2"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大部可采</w:t>
            </w:r>
          </w:p>
        </w:tc>
        <w:tc>
          <w:tcPr>
            <w:tcW w:w="253" w:type="pct"/>
            <w:shd w:val="clear" w:color="auto" w:fill="auto"/>
            <w:vAlign w:val="center"/>
          </w:tcPr>
          <w:p w14:paraId="16D1719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c>
          <w:tcPr>
            <w:tcW w:w="151" w:type="pct"/>
            <w:vAlign w:val="center"/>
          </w:tcPr>
          <w:p w14:paraId="7C00990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十</w:t>
            </w:r>
          </w:p>
        </w:tc>
        <w:tc>
          <w:tcPr>
            <w:tcW w:w="404" w:type="pct"/>
            <w:vAlign w:val="center"/>
          </w:tcPr>
          <w:p w14:paraId="3DFBB18E"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542" w:dyaOrig="382" w14:anchorId="2FF90DAB">
                <v:shape id="_x0000_i1092" type="#_x0000_t75" style="width:27.25pt;height:19.1pt" o:ole="">
                  <v:imagedata r:id="rId147" o:title=""/>
                </v:shape>
                <o:OLEObject Type="Embed" ProgID="Equation.3" ShapeID="_x0000_i1092" DrawAspect="Content" ObjectID="_1826209191" r:id="rId148"/>
              </w:object>
            </w:r>
          </w:p>
        </w:tc>
        <w:tc>
          <w:tcPr>
            <w:tcW w:w="404" w:type="pct"/>
            <w:vAlign w:val="center"/>
          </w:tcPr>
          <w:p w14:paraId="7BD772EB"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862" w:dyaOrig="443" w14:anchorId="008E27E0">
                <v:shape id="_x0000_i1093" type="#_x0000_t75" style="width:43.1pt;height:22.35pt" o:ole="">
                  <v:imagedata r:id="rId149" o:title=""/>
                </v:shape>
                <o:OLEObject Type="Embed" ProgID="Equation.3" ShapeID="_x0000_i1093" DrawAspect="Content" ObjectID="_1826209192" r:id="rId150"/>
              </w:object>
            </w:r>
          </w:p>
        </w:tc>
        <w:tc>
          <w:tcPr>
            <w:tcW w:w="203" w:type="pct"/>
            <w:vAlign w:val="center"/>
          </w:tcPr>
          <w:p w14:paraId="1360958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全区不可采</w:t>
            </w:r>
          </w:p>
        </w:tc>
        <w:tc>
          <w:tcPr>
            <w:tcW w:w="250" w:type="pct"/>
            <w:vAlign w:val="center"/>
          </w:tcPr>
          <w:p w14:paraId="7B548B0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较稳定</w:t>
            </w:r>
          </w:p>
        </w:tc>
      </w:tr>
      <w:tr w:rsidR="009C353B" w14:paraId="3BE553A9" w14:textId="77777777">
        <w:trPr>
          <w:cantSplit/>
          <w:trHeight w:val="504"/>
          <w:jc w:val="center"/>
        </w:trPr>
        <w:tc>
          <w:tcPr>
            <w:tcW w:w="84" w:type="pct"/>
            <w:vMerge/>
            <w:vAlign w:val="center"/>
          </w:tcPr>
          <w:p w14:paraId="0F029EC3" w14:textId="77777777" w:rsidR="009C353B" w:rsidRDefault="009C353B">
            <w:pPr>
              <w:widowControl/>
              <w:snapToGrid w:val="0"/>
              <w:ind w:leftChars="-50" w:left="-120" w:rightChars="-50" w:right="-120"/>
              <w:jc w:val="center"/>
              <w:rPr>
                <w:rFonts w:cs="宋体" w:hint="eastAsia"/>
                <w:b/>
                <w:bCs/>
                <w:kern w:val="0"/>
                <w:sz w:val="15"/>
                <w:szCs w:val="15"/>
              </w:rPr>
            </w:pPr>
          </w:p>
        </w:tc>
        <w:tc>
          <w:tcPr>
            <w:tcW w:w="110" w:type="pct"/>
            <w:shd w:val="clear" w:color="auto" w:fill="auto"/>
            <w:vAlign w:val="center"/>
          </w:tcPr>
          <w:p w14:paraId="72914A85"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11</w:t>
            </w:r>
          </w:p>
        </w:tc>
        <w:tc>
          <w:tcPr>
            <w:tcW w:w="93" w:type="pct"/>
            <w:shd w:val="clear" w:color="auto" w:fill="auto"/>
            <w:vAlign w:val="center"/>
          </w:tcPr>
          <w:p w14:paraId="4AE4CC8C"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十一</w:t>
            </w:r>
          </w:p>
        </w:tc>
        <w:tc>
          <w:tcPr>
            <w:tcW w:w="278" w:type="pct"/>
            <w:vAlign w:val="center"/>
          </w:tcPr>
          <w:p w14:paraId="4687F6FE" w14:textId="77777777" w:rsidR="009C353B" w:rsidRDefault="00000000">
            <w:pPr>
              <w:snapToGrid w:val="0"/>
              <w:ind w:rightChars="-50" w:right="-120"/>
              <w:jc w:val="left"/>
              <w:rPr>
                <w:rFonts w:cs="宋体" w:hint="eastAsia"/>
                <w:b/>
                <w:bCs/>
                <w:kern w:val="0"/>
                <w:sz w:val="15"/>
                <w:szCs w:val="15"/>
                <w:u w:val="single"/>
              </w:rPr>
            </w:pPr>
            <w:r>
              <w:rPr>
                <w:b/>
                <w:bCs/>
                <w:position w:val="-24"/>
              </w:rPr>
              <w:object w:dxaOrig="652" w:dyaOrig="443" w14:anchorId="689C6C2D">
                <v:shape id="_x0000_i1094" type="#_x0000_t75" style="width:32.75pt;height:22.35pt" o:ole="">
                  <v:imagedata r:id="rId151" o:title=""/>
                </v:shape>
                <o:OLEObject Type="Embed" ProgID="Equation.3" ShapeID="_x0000_i1094" DrawAspect="Content" ObjectID="_1826209193" r:id="rId152"/>
              </w:object>
            </w:r>
          </w:p>
        </w:tc>
        <w:tc>
          <w:tcPr>
            <w:tcW w:w="309" w:type="pct"/>
            <w:shd w:val="clear" w:color="auto" w:fill="auto"/>
            <w:vAlign w:val="center"/>
          </w:tcPr>
          <w:p w14:paraId="691B49D5" w14:textId="77777777" w:rsidR="009C353B" w:rsidRDefault="00000000">
            <w:pPr>
              <w:widowControl/>
              <w:snapToGrid w:val="0"/>
              <w:ind w:leftChars="-50" w:left="-120" w:rightChars="-50" w:right="-120"/>
              <w:jc w:val="center"/>
              <w:rPr>
                <w:rFonts w:cs="宋体" w:hint="eastAsia"/>
                <w:b/>
                <w:bCs/>
                <w:kern w:val="0"/>
                <w:sz w:val="15"/>
                <w:szCs w:val="15"/>
              </w:rPr>
            </w:pPr>
            <w:r>
              <w:rPr>
                <w:b/>
                <w:bCs/>
                <w:position w:val="-24"/>
              </w:rPr>
              <w:object w:dxaOrig="862" w:dyaOrig="382" w14:anchorId="53EEF634">
                <v:shape id="_x0000_i1095" type="#_x0000_t75" style="width:43.1pt;height:19.1pt" o:ole="">
                  <v:imagedata r:id="rId153" o:title=""/>
                </v:shape>
                <o:OLEObject Type="Embed" ProgID="Equation.3" ShapeID="_x0000_i1095" DrawAspect="Content" ObjectID="_1826209194" r:id="rId154"/>
              </w:object>
            </w:r>
          </w:p>
        </w:tc>
        <w:tc>
          <w:tcPr>
            <w:tcW w:w="192" w:type="pct"/>
            <w:shd w:val="clear" w:color="auto" w:fill="auto"/>
            <w:vAlign w:val="center"/>
          </w:tcPr>
          <w:p w14:paraId="56EC6F3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全区不可采</w:t>
            </w:r>
          </w:p>
        </w:tc>
        <w:tc>
          <w:tcPr>
            <w:tcW w:w="153" w:type="pct"/>
            <w:shd w:val="clear" w:color="auto" w:fill="auto"/>
            <w:vAlign w:val="center"/>
          </w:tcPr>
          <w:p w14:paraId="4774182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c>
          <w:tcPr>
            <w:tcW w:w="84" w:type="pct"/>
            <w:shd w:val="clear" w:color="auto" w:fill="auto"/>
            <w:vAlign w:val="center"/>
          </w:tcPr>
          <w:p w14:paraId="4BCE80D4"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十一</w:t>
            </w:r>
          </w:p>
        </w:tc>
        <w:tc>
          <w:tcPr>
            <w:tcW w:w="314" w:type="pct"/>
            <w:shd w:val="clear" w:color="auto" w:fill="auto"/>
            <w:noWrap/>
            <w:vAlign w:val="center"/>
          </w:tcPr>
          <w:p w14:paraId="4C3132DC" w14:textId="77777777" w:rsidR="009C353B" w:rsidRDefault="00000000">
            <w:pPr>
              <w:widowControl/>
              <w:snapToGrid w:val="0"/>
              <w:ind w:leftChars="-50" w:left="-120" w:rightChars="-50" w:right="-120"/>
              <w:jc w:val="center"/>
              <w:rPr>
                <w:rFonts w:cs="宋体" w:hint="eastAsia"/>
                <w:b/>
                <w:bCs/>
                <w:kern w:val="0"/>
                <w:sz w:val="15"/>
                <w:szCs w:val="15"/>
              </w:rPr>
            </w:pPr>
            <w:r>
              <w:rPr>
                <w:position w:val="-24"/>
                <w:szCs w:val="24"/>
              </w:rPr>
              <w:object w:dxaOrig="652" w:dyaOrig="443" w14:anchorId="116817DD">
                <v:shape id="_x0000_i1096" type="#_x0000_t75" style="width:32.75pt;height:22.35pt" o:ole="">
                  <v:imagedata r:id="rId155" o:title=""/>
                </v:shape>
                <o:OLEObject Type="Embed" ProgID="Equation.3" ShapeID="_x0000_i1096" DrawAspect="Content" ObjectID="_1826209195" r:id="rId156"/>
              </w:object>
            </w:r>
          </w:p>
        </w:tc>
        <w:tc>
          <w:tcPr>
            <w:tcW w:w="354" w:type="pct"/>
            <w:shd w:val="clear" w:color="auto" w:fill="auto"/>
            <w:noWrap/>
            <w:vAlign w:val="center"/>
          </w:tcPr>
          <w:p w14:paraId="167906B4"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443" w:dyaOrig="480" w14:anchorId="61682D22">
                <v:shape id="_x0000_i1097" type="#_x0000_t75" style="width:22.35pt;height:24pt" o:ole="">
                  <v:imagedata r:id="rId157" o:title=""/>
                </v:shape>
                <o:OLEObject Type="Embed" ProgID="Equation.3" ShapeID="_x0000_i1097" DrawAspect="Content" ObjectID="_1826209196" r:id="rId158"/>
              </w:object>
            </w:r>
          </w:p>
        </w:tc>
        <w:tc>
          <w:tcPr>
            <w:tcW w:w="202" w:type="pct"/>
            <w:shd w:val="clear" w:color="auto" w:fill="auto"/>
            <w:vAlign w:val="center"/>
          </w:tcPr>
          <w:p w14:paraId="3C02E6A1"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不可采</w:t>
            </w:r>
          </w:p>
        </w:tc>
        <w:tc>
          <w:tcPr>
            <w:tcW w:w="152" w:type="pct"/>
            <w:shd w:val="clear" w:color="auto" w:fill="auto"/>
            <w:vAlign w:val="center"/>
          </w:tcPr>
          <w:p w14:paraId="56569404"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c>
          <w:tcPr>
            <w:tcW w:w="100" w:type="pct"/>
            <w:shd w:val="clear" w:color="auto" w:fill="auto"/>
            <w:noWrap/>
            <w:vAlign w:val="center"/>
          </w:tcPr>
          <w:p w14:paraId="52793C03"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十一</w:t>
            </w:r>
          </w:p>
        </w:tc>
        <w:tc>
          <w:tcPr>
            <w:tcW w:w="303" w:type="pct"/>
            <w:shd w:val="clear" w:color="auto" w:fill="auto"/>
            <w:noWrap/>
            <w:vAlign w:val="center"/>
          </w:tcPr>
          <w:p w14:paraId="100021C6"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603" w:dyaOrig="480" w14:anchorId="749865DD">
                <v:shape id="_x0000_i1098" type="#_x0000_t75" style="width:30pt;height:24pt" o:ole="">
                  <v:imagedata r:id="rId159" o:title=""/>
                </v:shape>
                <o:OLEObject Type="Embed" ProgID="Equation.3" ShapeID="_x0000_i1098" DrawAspect="Content" ObjectID="_1826209197" r:id="rId160"/>
              </w:object>
            </w:r>
          </w:p>
        </w:tc>
        <w:tc>
          <w:tcPr>
            <w:tcW w:w="405" w:type="pct"/>
            <w:shd w:val="clear" w:color="auto" w:fill="auto"/>
            <w:noWrap/>
            <w:vAlign w:val="center"/>
          </w:tcPr>
          <w:p w14:paraId="701C64DF" w14:textId="77777777" w:rsidR="009C353B" w:rsidRDefault="00000000">
            <w:pPr>
              <w:widowControl/>
              <w:snapToGrid w:val="0"/>
              <w:ind w:leftChars="-50" w:left="-120" w:rightChars="-50" w:right="-120"/>
              <w:jc w:val="center"/>
              <w:rPr>
                <w:rFonts w:cs="宋体" w:hint="eastAsia"/>
                <w:b/>
                <w:kern w:val="0"/>
                <w:sz w:val="15"/>
                <w:szCs w:val="15"/>
              </w:rPr>
            </w:pPr>
            <w:r>
              <w:rPr>
                <w:position w:val="-24"/>
                <w:sz w:val="18"/>
              </w:rPr>
              <w:object w:dxaOrig="542" w:dyaOrig="382" w14:anchorId="1588BA6F">
                <v:shape id="_x0000_i1099" type="#_x0000_t75" style="width:27.25pt;height:19.1pt" o:ole="">
                  <v:imagedata r:id="rId161" o:title=""/>
                </v:shape>
                <o:OLEObject Type="Embed" ProgID="Equation.3" ShapeID="_x0000_i1099" DrawAspect="Content" ObjectID="_1826209198" r:id="rId162"/>
              </w:object>
            </w:r>
          </w:p>
        </w:tc>
        <w:tc>
          <w:tcPr>
            <w:tcW w:w="202" w:type="pct"/>
            <w:shd w:val="clear" w:color="auto" w:fill="auto"/>
            <w:noWrap/>
            <w:vAlign w:val="center"/>
          </w:tcPr>
          <w:p w14:paraId="0C56A4D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偶达可采</w:t>
            </w:r>
          </w:p>
        </w:tc>
        <w:tc>
          <w:tcPr>
            <w:tcW w:w="253" w:type="pct"/>
            <w:shd w:val="clear" w:color="auto" w:fill="auto"/>
            <w:vAlign w:val="center"/>
          </w:tcPr>
          <w:p w14:paraId="72FEA03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c>
          <w:tcPr>
            <w:tcW w:w="151" w:type="pct"/>
            <w:vAlign w:val="center"/>
          </w:tcPr>
          <w:p w14:paraId="2D56906B"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十一</w:t>
            </w:r>
          </w:p>
        </w:tc>
        <w:tc>
          <w:tcPr>
            <w:tcW w:w="404" w:type="pct"/>
            <w:vAlign w:val="center"/>
          </w:tcPr>
          <w:p w14:paraId="6CEF1257"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542" w:dyaOrig="443" w14:anchorId="39650493">
                <v:shape id="_x0000_i1100" type="#_x0000_t75" style="width:27.25pt;height:22.35pt" o:ole="">
                  <v:imagedata r:id="rId163" o:title=""/>
                </v:shape>
                <o:OLEObject Type="Embed" ProgID="Equation.3" ShapeID="_x0000_i1100" DrawAspect="Content" ObjectID="_1826209199" r:id="rId164"/>
              </w:object>
            </w:r>
          </w:p>
        </w:tc>
        <w:tc>
          <w:tcPr>
            <w:tcW w:w="404" w:type="pct"/>
            <w:vAlign w:val="center"/>
          </w:tcPr>
          <w:p w14:paraId="2A9F79A9"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862" w:dyaOrig="443" w14:anchorId="736D437B">
                <v:shape id="_x0000_i1101" type="#_x0000_t75" style="width:43.1pt;height:22.35pt" o:ole="">
                  <v:imagedata r:id="rId165" o:title=""/>
                </v:shape>
                <o:OLEObject Type="Embed" ProgID="Equation.3" ShapeID="_x0000_i1101" DrawAspect="Content" ObjectID="_1826209200" r:id="rId166"/>
              </w:object>
            </w:r>
          </w:p>
        </w:tc>
        <w:tc>
          <w:tcPr>
            <w:tcW w:w="203" w:type="pct"/>
            <w:vAlign w:val="center"/>
          </w:tcPr>
          <w:p w14:paraId="430B0B2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全区不可采</w:t>
            </w:r>
          </w:p>
        </w:tc>
        <w:tc>
          <w:tcPr>
            <w:tcW w:w="250" w:type="pct"/>
            <w:vAlign w:val="center"/>
          </w:tcPr>
          <w:p w14:paraId="19B7D14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r>
      <w:tr w:rsidR="009C353B" w14:paraId="4555FF20" w14:textId="77777777">
        <w:trPr>
          <w:cantSplit/>
          <w:trHeight w:val="504"/>
          <w:jc w:val="center"/>
        </w:trPr>
        <w:tc>
          <w:tcPr>
            <w:tcW w:w="84" w:type="pct"/>
            <w:vMerge/>
            <w:vAlign w:val="center"/>
          </w:tcPr>
          <w:p w14:paraId="67C74851" w14:textId="77777777" w:rsidR="009C353B" w:rsidRDefault="009C353B">
            <w:pPr>
              <w:widowControl/>
              <w:snapToGrid w:val="0"/>
              <w:ind w:leftChars="-50" w:left="-120" w:rightChars="-50" w:right="-120"/>
              <w:jc w:val="center"/>
              <w:rPr>
                <w:rFonts w:cs="宋体" w:hint="eastAsia"/>
                <w:b/>
                <w:bCs/>
                <w:kern w:val="0"/>
                <w:sz w:val="15"/>
                <w:szCs w:val="15"/>
              </w:rPr>
            </w:pPr>
          </w:p>
        </w:tc>
        <w:tc>
          <w:tcPr>
            <w:tcW w:w="110" w:type="pct"/>
            <w:vAlign w:val="center"/>
          </w:tcPr>
          <w:p w14:paraId="632E480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1</w:t>
            </w:r>
            <w:r>
              <w:rPr>
                <w:rFonts w:cs="宋体"/>
                <w:b/>
                <w:bCs/>
                <w:kern w:val="0"/>
                <w:sz w:val="15"/>
                <w:szCs w:val="15"/>
              </w:rPr>
              <w:t>2</w:t>
            </w:r>
          </w:p>
        </w:tc>
        <w:tc>
          <w:tcPr>
            <w:tcW w:w="93" w:type="pct"/>
            <w:vAlign w:val="center"/>
          </w:tcPr>
          <w:p w14:paraId="018E375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十二</w:t>
            </w:r>
          </w:p>
        </w:tc>
        <w:tc>
          <w:tcPr>
            <w:tcW w:w="278" w:type="pct"/>
            <w:vAlign w:val="center"/>
          </w:tcPr>
          <w:p w14:paraId="47EEF088" w14:textId="77777777" w:rsidR="009C353B" w:rsidRDefault="00000000">
            <w:pPr>
              <w:widowControl/>
              <w:snapToGrid w:val="0"/>
              <w:ind w:leftChars="-50" w:left="-120" w:rightChars="-50" w:right="-120"/>
              <w:jc w:val="center"/>
              <w:rPr>
                <w:rFonts w:cs="宋体" w:hint="eastAsia"/>
                <w:b/>
                <w:bCs/>
                <w:kern w:val="0"/>
                <w:sz w:val="15"/>
                <w:szCs w:val="15"/>
              </w:rPr>
            </w:pPr>
            <w:r>
              <w:rPr>
                <w:b/>
                <w:bCs/>
                <w:position w:val="-24"/>
              </w:rPr>
              <w:object w:dxaOrig="578" w:dyaOrig="443" w14:anchorId="41C2BBD9">
                <v:shape id="_x0000_i1102" type="#_x0000_t75" style="width:28.9pt;height:22.35pt" o:ole="">
                  <v:imagedata r:id="rId167" o:title=""/>
                </v:shape>
                <o:OLEObject Type="Embed" ProgID="Equation.3" ShapeID="_x0000_i1102" DrawAspect="Content" ObjectID="_1826209201" r:id="rId168"/>
              </w:object>
            </w:r>
          </w:p>
        </w:tc>
        <w:tc>
          <w:tcPr>
            <w:tcW w:w="309" w:type="pct"/>
            <w:shd w:val="clear" w:color="auto" w:fill="auto"/>
            <w:vAlign w:val="center"/>
          </w:tcPr>
          <w:p w14:paraId="348E7404" w14:textId="77777777" w:rsidR="009C353B" w:rsidRDefault="00000000">
            <w:pPr>
              <w:widowControl/>
              <w:snapToGrid w:val="0"/>
              <w:ind w:leftChars="-50" w:left="-120" w:rightChars="-50" w:right="-120"/>
              <w:jc w:val="center"/>
              <w:rPr>
                <w:rFonts w:cs="宋体" w:hint="eastAsia"/>
                <w:b/>
                <w:bCs/>
                <w:kern w:val="0"/>
                <w:sz w:val="15"/>
                <w:szCs w:val="15"/>
                <w:u w:val="single"/>
              </w:rPr>
            </w:pPr>
            <w:r>
              <w:rPr>
                <w:b/>
                <w:bCs/>
                <w:position w:val="-24"/>
              </w:rPr>
              <w:object w:dxaOrig="763" w:dyaOrig="382" w14:anchorId="66AD388A">
                <v:shape id="_x0000_i1103" type="#_x0000_t75" style="width:38.2pt;height:19.1pt" o:ole="">
                  <v:imagedata r:id="rId169" o:title=""/>
                </v:shape>
                <o:OLEObject Type="Embed" ProgID="Equation.3" ShapeID="_x0000_i1103" DrawAspect="Content" ObjectID="_1826209202" r:id="rId170"/>
              </w:object>
            </w:r>
          </w:p>
        </w:tc>
        <w:tc>
          <w:tcPr>
            <w:tcW w:w="192" w:type="pct"/>
            <w:vAlign w:val="center"/>
          </w:tcPr>
          <w:p w14:paraId="58057DE4"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全区不可采</w:t>
            </w:r>
          </w:p>
        </w:tc>
        <w:tc>
          <w:tcPr>
            <w:tcW w:w="153" w:type="pct"/>
            <w:vAlign w:val="center"/>
          </w:tcPr>
          <w:p w14:paraId="65BB75C2"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c>
          <w:tcPr>
            <w:tcW w:w="84" w:type="pct"/>
            <w:shd w:val="clear" w:color="auto" w:fill="auto"/>
            <w:vAlign w:val="center"/>
          </w:tcPr>
          <w:p w14:paraId="63A17CD3"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十二</w:t>
            </w:r>
          </w:p>
        </w:tc>
        <w:tc>
          <w:tcPr>
            <w:tcW w:w="314" w:type="pct"/>
            <w:shd w:val="clear" w:color="auto" w:fill="auto"/>
            <w:noWrap/>
            <w:vAlign w:val="center"/>
          </w:tcPr>
          <w:p w14:paraId="453E9354"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578" w:dyaOrig="443" w14:anchorId="1E5EF5A1">
                <v:shape id="_x0000_i1104" type="#_x0000_t75" style="width:28.9pt;height:22.35pt" o:ole="">
                  <v:imagedata r:id="rId171" o:title=""/>
                </v:shape>
                <o:OLEObject Type="Embed" ProgID="Equation.3" ShapeID="_x0000_i1104" DrawAspect="Content" ObjectID="_1826209203" r:id="rId172"/>
              </w:object>
            </w:r>
          </w:p>
        </w:tc>
        <w:tc>
          <w:tcPr>
            <w:tcW w:w="354" w:type="pct"/>
            <w:shd w:val="clear" w:color="auto" w:fill="auto"/>
            <w:noWrap/>
            <w:vAlign w:val="center"/>
          </w:tcPr>
          <w:p w14:paraId="0CA6CDD8"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w:t>
            </w:r>
          </w:p>
        </w:tc>
        <w:tc>
          <w:tcPr>
            <w:tcW w:w="202" w:type="pct"/>
            <w:vAlign w:val="center"/>
          </w:tcPr>
          <w:p w14:paraId="76338027"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偶达可采</w:t>
            </w:r>
          </w:p>
        </w:tc>
        <w:tc>
          <w:tcPr>
            <w:tcW w:w="152" w:type="pct"/>
            <w:vAlign w:val="center"/>
          </w:tcPr>
          <w:p w14:paraId="30C84A36"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c>
          <w:tcPr>
            <w:tcW w:w="100" w:type="pct"/>
            <w:shd w:val="clear" w:color="auto" w:fill="auto"/>
            <w:noWrap/>
            <w:vAlign w:val="center"/>
          </w:tcPr>
          <w:p w14:paraId="0ED3BEC8"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十二</w:t>
            </w:r>
          </w:p>
        </w:tc>
        <w:tc>
          <w:tcPr>
            <w:tcW w:w="303" w:type="pct"/>
            <w:shd w:val="clear" w:color="auto" w:fill="auto"/>
            <w:noWrap/>
            <w:vAlign w:val="center"/>
          </w:tcPr>
          <w:p w14:paraId="6C4AA4DE" w14:textId="77777777" w:rsidR="009C353B" w:rsidRDefault="00000000">
            <w:pPr>
              <w:widowControl/>
              <w:snapToGrid w:val="0"/>
              <w:ind w:leftChars="-50" w:left="-120" w:rightChars="-50" w:right="-120"/>
              <w:jc w:val="center"/>
              <w:rPr>
                <w:rFonts w:cs="宋体" w:hint="eastAsia"/>
                <w:b/>
                <w:kern w:val="0"/>
                <w:sz w:val="15"/>
                <w:szCs w:val="15"/>
              </w:rPr>
            </w:pPr>
            <w:r>
              <w:rPr>
                <w:position w:val="-24"/>
                <w:szCs w:val="24"/>
              </w:rPr>
              <w:object w:dxaOrig="677" w:dyaOrig="480" w14:anchorId="3C01DFC1">
                <v:shape id="_x0000_i1105" type="#_x0000_t75" style="width:33.8pt;height:24pt" o:ole="">
                  <v:imagedata r:id="rId173" o:title=""/>
                </v:shape>
                <o:OLEObject Type="Embed" ProgID="Equation.3" ShapeID="_x0000_i1105" DrawAspect="Content" ObjectID="_1826209204" r:id="rId174"/>
              </w:object>
            </w:r>
          </w:p>
        </w:tc>
        <w:tc>
          <w:tcPr>
            <w:tcW w:w="405" w:type="pct"/>
            <w:shd w:val="clear" w:color="auto" w:fill="auto"/>
            <w:noWrap/>
            <w:vAlign w:val="center"/>
          </w:tcPr>
          <w:p w14:paraId="06A3CAEB" w14:textId="77777777" w:rsidR="009C353B" w:rsidRDefault="00000000">
            <w:pPr>
              <w:widowControl/>
              <w:snapToGrid w:val="0"/>
              <w:ind w:leftChars="-50" w:left="-120" w:rightChars="-50" w:right="-120"/>
              <w:jc w:val="center"/>
              <w:rPr>
                <w:rFonts w:cs="宋体" w:hint="eastAsia"/>
                <w:b/>
                <w:kern w:val="0"/>
                <w:sz w:val="15"/>
                <w:szCs w:val="15"/>
              </w:rPr>
            </w:pPr>
            <w:r>
              <w:rPr>
                <w:rFonts w:cs="宋体" w:hint="eastAsia"/>
                <w:b/>
                <w:bCs/>
                <w:kern w:val="0"/>
                <w:sz w:val="15"/>
                <w:szCs w:val="15"/>
              </w:rPr>
              <w:t>/</w:t>
            </w:r>
          </w:p>
        </w:tc>
        <w:tc>
          <w:tcPr>
            <w:tcW w:w="202" w:type="pct"/>
            <w:shd w:val="clear" w:color="auto" w:fill="auto"/>
            <w:noWrap/>
            <w:vAlign w:val="center"/>
          </w:tcPr>
          <w:p w14:paraId="54AC4CFF"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孤零局部可采</w:t>
            </w:r>
          </w:p>
        </w:tc>
        <w:tc>
          <w:tcPr>
            <w:tcW w:w="253" w:type="pct"/>
            <w:vAlign w:val="center"/>
          </w:tcPr>
          <w:p w14:paraId="7112B23E"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c>
          <w:tcPr>
            <w:tcW w:w="151" w:type="pct"/>
            <w:vAlign w:val="center"/>
          </w:tcPr>
          <w:p w14:paraId="754CEC0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十二</w:t>
            </w:r>
          </w:p>
        </w:tc>
        <w:tc>
          <w:tcPr>
            <w:tcW w:w="404" w:type="pct"/>
            <w:vAlign w:val="center"/>
          </w:tcPr>
          <w:p w14:paraId="2307E452"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603" w:dyaOrig="480" w14:anchorId="2EF1C6C8">
                <v:shape id="_x0000_i1106" type="#_x0000_t75" style="width:30pt;height:24pt" o:ole="">
                  <v:imagedata r:id="rId175" o:title=""/>
                </v:shape>
                <o:OLEObject Type="Embed" ProgID="Equation.3" ShapeID="_x0000_i1106" DrawAspect="Content" ObjectID="_1826209205" r:id="rId176"/>
              </w:object>
            </w:r>
          </w:p>
        </w:tc>
        <w:tc>
          <w:tcPr>
            <w:tcW w:w="404" w:type="pct"/>
            <w:vAlign w:val="center"/>
          </w:tcPr>
          <w:p w14:paraId="00CEE98C" w14:textId="77777777" w:rsidR="009C353B" w:rsidRDefault="00000000">
            <w:pPr>
              <w:widowControl/>
              <w:snapToGrid w:val="0"/>
              <w:ind w:leftChars="-50" w:left="-120" w:rightChars="-50" w:right="-120"/>
              <w:jc w:val="center"/>
              <w:rPr>
                <w:rFonts w:cs="宋体" w:hint="eastAsia"/>
                <w:b/>
                <w:bCs/>
                <w:kern w:val="0"/>
                <w:sz w:val="15"/>
                <w:szCs w:val="15"/>
              </w:rPr>
            </w:pPr>
            <w:r>
              <w:rPr>
                <w:position w:val="-24"/>
                <w:sz w:val="18"/>
              </w:rPr>
              <w:object w:dxaOrig="1034" w:dyaOrig="443" w14:anchorId="0C63AE11">
                <v:shape id="_x0000_i1107" type="#_x0000_t75" style="width:51.8pt;height:22.35pt" o:ole="">
                  <v:imagedata r:id="rId177" o:title=""/>
                </v:shape>
                <o:OLEObject Type="Embed" ProgID="Equation.3" ShapeID="_x0000_i1107" DrawAspect="Content" ObjectID="_1826209206" r:id="rId178"/>
              </w:object>
            </w:r>
          </w:p>
        </w:tc>
        <w:tc>
          <w:tcPr>
            <w:tcW w:w="203" w:type="pct"/>
            <w:vAlign w:val="center"/>
          </w:tcPr>
          <w:p w14:paraId="1CE2457A"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全区不可采</w:t>
            </w:r>
          </w:p>
        </w:tc>
        <w:tc>
          <w:tcPr>
            <w:tcW w:w="250" w:type="pct"/>
            <w:vAlign w:val="center"/>
          </w:tcPr>
          <w:p w14:paraId="2F9013D8" w14:textId="77777777" w:rsidR="009C353B" w:rsidRDefault="00000000">
            <w:pPr>
              <w:widowControl/>
              <w:snapToGrid w:val="0"/>
              <w:ind w:leftChars="-50" w:left="-120" w:rightChars="-50" w:right="-120"/>
              <w:jc w:val="center"/>
              <w:rPr>
                <w:rFonts w:cs="宋体" w:hint="eastAsia"/>
                <w:b/>
                <w:bCs/>
                <w:kern w:val="0"/>
                <w:sz w:val="15"/>
                <w:szCs w:val="15"/>
              </w:rPr>
            </w:pPr>
            <w:r>
              <w:rPr>
                <w:rFonts w:cs="宋体" w:hint="eastAsia"/>
                <w:b/>
                <w:bCs/>
                <w:kern w:val="0"/>
                <w:sz w:val="15"/>
                <w:szCs w:val="15"/>
              </w:rPr>
              <w:t>不稳定</w:t>
            </w:r>
          </w:p>
        </w:tc>
      </w:tr>
    </w:tbl>
    <w:p w14:paraId="0F2952EB" w14:textId="77777777" w:rsidR="009C353B" w:rsidRDefault="009C353B">
      <w:pPr>
        <w:tabs>
          <w:tab w:val="left" w:pos="1008"/>
        </w:tabs>
        <w:rPr>
          <w:rFonts w:ascii="Times New Roman" w:hint="eastAsia"/>
          <w:szCs w:val="28"/>
        </w:rPr>
        <w:sectPr w:rsidR="009C353B">
          <w:headerReference w:type="default" r:id="rId179"/>
          <w:pgSz w:w="16840" w:h="11907" w:orient="landscape"/>
          <w:pgMar w:top="1701" w:right="1418" w:bottom="1418" w:left="1418" w:header="1134" w:footer="851" w:gutter="0"/>
          <w:paperSrc w:first="7" w:other="7"/>
          <w:cols w:space="720"/>
          <w:docGrid w:linePitch="326"/>
        </w:sectPr>
      </w:pPr>
    </w:p>
    <w:p w14:paraId="3F5ECCE6"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2.3.3.3</w:t>
      </w:r>
      <w:r>
        <w:rPr>
          <w:rFonts w:ascii="Times New Roman" w:eastAsia="宋体" w:hAnsi="Times New Roman"/>
          <w:sz w:val="24"/>
        </w:rPr>
        <w:t xml:space="preserve"> </w:t>
      </w:r>
      <w:r>
        <w:rPr>
          <w:rFonts w:ascii="Times New Roman" w:eastAsia="宋体" w:hAnsi="Times New Roman" w:hint="eastAsia"/>
          <w:sz w:val="24"/>
        </w:rPr>
        <w:t>矿区煤类、</w:t>
      </w:r>
      <w:r>
        <w:rPr>
          <w:rFonts w:ascii="Times New Roman" w:eastAsia="宋体" w:hAnsi="Times New Roman"/>
          <w:sz w:val="24"/>
        </w:rPr>
        <w:t>煤质</w:t>
      </w:r>
      <w:r>
        <w:rPr>
          <w:rFonts w:ascii="Times New Roman" w:eastAsia="宋体" w:hAnsi="Times New Roman" w:hint="eastAsia"/>
          <w:sz w:val="24"/>
        </w:rPr>
        <w:t>及工业用途</w:t>
      </w:r>
    </w:p>
    <w:p w14:paraId="32E770FE" w14:textId="77777777" w:rsidR="009C353B" w:rsidRDefault="00000000">
      <w:pPr>
        <w:adjustRightInd w:val="0"/>
        <w:snapToGrid w:val="0"/>
        <w:spacing w:line="440" w:lineRule="exact"/>
        <w:ind w:firstLineChars="196" w:firstLine="470"/>
        <w:rPr>
          <w:rFonts w:ascii="Times New Roman" w:hint="eastAsia"/>
          <w:bCs/>
          <w:szCs w:val="24"/>
        </w:rPr>
      </w:pPr>
      <w:r>
        <w:rPr>
          <w:rFonts w:ascii="Times New Roman" w:hint="eastAsia"/>
          <w:bCs/>
          <w:szCs w:val="24"/>
        </w:rPr>
        <w:t>（</w:t>
      </w:r>
      <w:r>
        <w:rPr>
          <w:rFonts w:ascii="Times New Roman" w:hint="eastAsia"/>
          <w:bCs/>
          <w:szCs w:val="24"/>
        </w:rPr>
        <w:t>1</w:t>
      </w:r>
      <w:r>
        <w:rPr>
          <w:rFonts w:ascii="Times New Roman" w:hint="eastAsia"/>
          <w:bCs/>
          <w:szCs w:val="24"/>
        </w:rPr>
        <w:t>）</w:t>
      </w:r>
      <w:r>
        <w:rPr>
          <w:rFonts w:ascii="Times New Roman"/>
          <w:bCs/>
          <w:szCs w:val="24"/>
        </w:rPr>
        <w:t>煤类</w:t>
      </w:r>
    </w:p>
    <w:p w14:paraId="73E68727" w14:textId="77777777" w:rsidR="009C353B" w:rsidRDefault="00000000">
      <w:pPr>
        <w:adjustRightInd w:val="0"/>
        <w:snapToGrid w:val="0"/>
        <w:spacing w:line="440" w:lineRule="exact"/>
        <w:ind w:firstLineChars="196" w:firstLine="470"/>
        <w:rPr>
          <w:rFonts w:hint="eastAsia"/>
        </w:rPr>
      </w:pPr>
      <w:r>
        <w:rPr>
          <w:rFonts w:ascii="Times New Roman" w:hAnsi="Times New Roman" w:hint="eastAsia"/>
          <w:szCs w:val="24"/>
        </w:rPr>
        <w:t>根据《中国煤炭分类国家标准》</w:t>
      </w:r>
      <w:r>
        <w:rPr>
          <w:rFonts w:ascii="Times New Roman" w:hAnsi="Times New Roman"/>
          <w:szCs w:val="24"/>
        </w:rPr>
        <w:t>(GB/T5751-2009)</w:t>
      </w:r>
      <w:r>
        <w:rPr>
          <w:rFonts w:ascii="Times New Roman" w:hAnsi="Times New Roman" w:hint="eastAsia"/>
          <w:szCs w:val="24"/>
        </w:rPr>
        <w:t>，以体现煤化程度的浮煤干燥无灰基挥发分</w:t>
      </w:r>
      <w:r>
        <w:rPr>
          <w:rFonts w:ascii="Times New Roman" w:hAnsi="Times New Roman"/>
          <w:szCs w:val="24"/>
        </w:rPr>
        <w:t>(V</w:t>
      </w:r>
      <w:r>
        <w:rPr>
          <w:rFonts w:ascii="Times New Roman" w:hAnsi="Times New Roman"/>
          <w:szCs w:val="24"/>
          <w:vertAlign w:val="subscript"/>
        </w:rPr>
        <w:t>daf</w:t>
      </w:r>
      <w:r>
        <w:rPr>
          <w:rFonts w:ascii="Times New Roman" w:hAnsi="Times New Roman"/>
          <w:szCs w:val="24"/>
        </w:rPr>
        <w:t>)</w:t>
      </w:r>
      <w:r>
        <w:rPr>
          <w:rFonts w:ascii="Times New Roman" w:hAnsi="Times New Roman" w:hint="eastAsia"/>
          <w:szCs w:val="24"/>
        </w:rPr>
        <w:t>产率、粘结指数</w:t>
      </w:r>
      <w:r>
        <w:rPr>
          <w:rFonts w:ascii="Times New Roman" w:hAnsi="Times New Roman"/>
          <w:szCs w:val="24"/>
        </w:rPr>
        <w:t>(G)</w:t>
      </w:r>
      <w:r>
        <w:rPr>
          <w:rFonts w:ascii="Times New Roman" w:hAnsi="Times New Roman" w:hint="eastAsia"/>
          <w:szCs w:val="24"/>
        </w:rPr>
        <w:t>、胶质层厚度</w:t>
      </w:r>
      <w:r>
        <w:rPr>
          <w:rFonts w:ascii="Times New Roman" w:hAnsi="Times New Roman"/>
          <w:szCs w:val="24"/>
        </w:rPr>
        <w:t>(Y)</w:t>
      </w:r>
      <w:r>
        <w:rPr>
          <w:rFonts w:ascii="Times New Roman" w:hAnsi="Times New Roman" w:hint="eastAsia"/>
          <w:szCs w:val="24"/>
        </w:rPr>
        <w:t>和奥亚膨胀度</w:t>
      </w:r>
      <w:r>
        <w:rPr>
          <w:rFonts w:ascii="Times New Roman" w:hAnsi="Times New Roman"/>
          <w:szCs w:val="24"/>
        </w:rPr>
        <w:t>(b)</w:t>
      </w:r>
      <w:r>
        <w:rPr>
          <w:rFonts w:ascii="Times New Roman" w:hAnsi="Times New Roman" w:hint="eastAsia"/>
          <w:szCs w:val="24"/>
        </w:rPr>
        <w:t>为依据，确定各本区可采煤层的煤类。横城矿区中北部各矿（红石湾、任家庄、马莲台）煤类</w:t>
      </w:r>
      <w:r>
        <w:rPr>
          <w:rFonts w:ascii="Times New Roman" w:hAnsi="Times New Roman"/>
          <w:szCs w:val="24"/>
        </w:rPr>
        <w:t>以气煤为主</w:t>
      </w:r>
      <w:r>
        <w:rPr>
          <w:rFonts w:ascii="Times New Roman" w:hAnsi="Times New Roman" w:hint="eastAsia"/>
          <w:szCs w:val="24"/>
        </w:rPr>
        <w:t>，在红石湾煤矿南部、深部及任家庄煤矿六煤层以下，有少量</w:t>
      </w:r>
      <w:r>
        <w:rPr>
          <w:rFonts w:ascii="Times New Roman" w:hAnsi="Times New Roman"/>
          <w:szCs w:val="24"/>
        </w:rPr>
        <w:t>1/3</w:t>
      </w:r>
      <w:r>
        <w:rPr>
          <w:rFonts w:ascii="Times New Roman" w:hAnsi="Times New Roman" w:hint="eastAsia"/>
          <w:szCs w:val="24"/>
        </w:rPr>
        <w:t>焦煤、肥煤见煤点（</w:t>
      </w:r>
      <w:r>
        <w:rPr>
          <w:rFonts w:ascii="Times New Roman" w:hAnsi="Times New Roman"/>
          <w:szCs w:val="24"/>
        </w:rPr>
        <w:t>1/3JM</w:t>
      </w:r>
      <w:r>
        <w:rPr>
          <w:rFonts w:ascii="Times New Roman" w:hAnsi="Times New Roman" w:hint="eastAsia"/>
          <w:szCs w:val="24"/>
        </w:rPr>
        <w:t xml:space="preserve"> </w:t>
      </w:r>
      <w:r>
        <w:rPr>
          <w:rFonts w:ascii="Times New Roman" w:hAnsi="Times New Roman" w:hint="eastAsia"/>
          <w:szCs w:val="24"/>
        </w:rPr>
        <w:t>、</w:t>
      </w:r>
      <w:r>
        <w:rPr>
          <w:rFonts w:ascii="Times New Roman" w:hAnsi="Times New Roman" w:hint="eastAsia"/>
          <w:szCs w:val="24"/>
        </w:rPr>
        <w:t>FM</w:t>
      </w:r>
      <w:r>
        <w:rPr>
          <w:rFonts w:ascii="Times New Roman" w:hAnsi="Times New Roman" w:hint="eastAsia"/>
          <w:szCs w:val="24"/>
        </w:rPr>
        <w:t>）。横城矿区南部（丁家梁）煤类，</w:t>
      </w:r>
      <w:r>
        <w:rPr>
          <w:rFonts w:ascii="Times New Roman" w:hAnsi="Times New Roman" w:hint="eastAsia"/>
          <w:szCs w:val="24"/>
        </w:rPr>
        <w:t>1</w:t>
      </w:r>
      <w:r>
        <w:rPr>
          <w:rFonts w:ascii="Times New Roman" w:hAnsi="Times New Roman" w:hint="eastAsia"/>
          <w:szCs w:val="24"/>
        </w:rPr>
        <w:t>煤为</w:t>
      </w:r>
      <w:r>
        <w:rPr>
          <w:rFonts w:ascii="Times New Roman" w:hAnsi="Times New Roman"/>
          <w:szCs w:val="24"/>
        </w:rPr>
        <w:t>气煤</w:t>
      </w: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煤以下煤类比较复杂，各煤层煤类从</w:t>
      </w:r>
      <w:r>
        <w:rPr>
          <w:rFonts w:ascii="Times New Roman" w:hAnsi="Times New Roman"/>
          <w:szCs w:val="24"/>
        </w:rPr>
        <w:t>气</w:t>
      </w:r>
      <w:r>
        <w:rPr>
          <w:rFonts w:ascii="Times New Roman" w:hAnsi="Times New Roman" w:hint="eastAsia"/>
          <w:szCs w:val="24"/>
        </w:rPr>
        <w:t>肥</w:t>
      </w:r>
      <w:r>
        <w:rPr>
          <w:rFonts w:ascii="Times New Roman" w:hAnsi="Times New Roman"/>
          <w:szCs w:val="24"/>
        </w:rPr>
        <w:t>煤</w:t>
      </w:r>
      <w:r>
        <w:rPr>
          <w:rFonts w:ascii="Times New Roman" w:hAnsi="Times New Roman" w:hint="eastAsia"/>
          <w:szCs w:val="24"/>
        </w:rPr>
        <w:t>～</w:t>
      </w:r>
      <w:r>
        <w:rPr>
          <w:rFonts w:ascii="Times New Roman" w:hAnsi="Times New Roman"/>
          <w:szCs w:val="24"/>
        </w:rPr>
        <w:t>1/3</w:t>
      </w:r>
      <w:r>
        <w:rPr>
          <w:rFonts w:ascii="Times New Roman" w:hAnsi="Times New Roman" w:hint="eastAsia"/>
          <w:szCs w:val="24"/>
        </w:rPr>
        <w:t>焦煤都有出现，总体上矿区从北向南煤的变质程度逐渐变高，垂向上由上至下煤的变质程度也有变高的趋势</w:t>
      </w:r>
      <w:r>
        <w:rPr>
          <w:rFonts w:ascii="Times New Roman" w:hAnsi="Times New Roman"/>
          <w:szCs w:val="24"/>
        </w:rPr>
        <w:t>。</w:t>
      </w:r>
    </w:p>
    <w:p w14:paraId="6DDBDCED" w14:textId="77777777" w:rsidR="009C353B" w:rsidRDefault="00000000">
      <w:pPr>
        <w:adjustRightInd w:val="0"/>
        <w:snapToGrid w:val="0"/>
        <w:spacing w:line="440" w:lineRule="exact"/>
        <w:ind w:firstLineChars="196" w:firstLine="470"/>
        <w:rPr>
          <w:rFonts w:ascii="Times New Roman" w:hint="eastAsia"/>
          <w:bCs/>
          <w:szCs w:val="24"/>
        </w:rPr>
      </w:pPr>
      <w:r>
        <w:rPr>
          <w:rFonts w:ascii="Times New Roman" w:hint="eastAsia"/>
          <w:bCs/>
          <w:szCs w:val="24"/>
        </w:rPr>
        <w:t>（</w:t>
      </w:r>
      <w:r>
        <w:rPr>
          <w:rFonts w:ascii="Times New Roman" w:hint="eastAsia"/>
          <w:bCs/>
          <w:szCs w:val="24"/>
        </w:rPr>
        <w:t>2</w:t>
      </w:r>
      <w:r>
        <w:rPr>
          <w:rFonts w:ascii="Times New Roman" w:hint="eastAsia"/>
          <w:bCs/>
          <w:szCs w:val="24"/>
        </w:rPr>
        <w:t>）</w:t>
      </w:r>
      <w:r>
        <w:rPr>
          <w:rFonts w:ascii="Times New Roman"/>
          <w:bCs/>
          <w:szCs w:val="24"/>
        </w:rPr>
        <w:t>煤质</w:t>
      </w:r>
    </w:p>
    <w:p w14:paraId="26B75062" w14:textId="77777777" w:rsidR="009C353B" w:rsidRDefault="00000000">
      <w:pPr>
        <w:adjustRightInd w:val="0"/>
        <w:snapToGrid w:val="0"/>
        <w:spacing w:line="440" w:lineRule="exact"/>
        <w:ind w:firstLineChars="196" w:firstLine="470"/>
        <w:rPr>
          <w:rFonts w:ascii="Times New Roman" w:hAnsi="Times New Roman"/>
          <w:bCs/>
          <w:szCs w:val="24"/>
        </w:rPr>
      </w:pPr>
      <w:r>
        <w:rPr>
          <w:rFonts w:ascii="Times New Roman" w:hint="eastAsia"/>
          <w:bCs/>
          <w:szCs w:val="24"/>
        </w:rPr>
        <w:t>矿区主要可采煤层煤质特征见表</w:t>
      </w:r>
      <w:r>
        <w:rPr>
          <w:rFonts w:ascii="Times New Roman" w:hint="eastAsia"/>
          <w:bCs/>
          <w:szCs w:val="24"/>
        </w:rPr>
        <w:t>2.3-</w:t>
      </w:r>
      <w:r>
        <w:rPr>
          <w:rFonts w:ascii="Times New Roman"/>
          <w:bCs/>
          <w:szCs w:val="24"/>
        </w:rPr>
        <w:t>2</w:t>
      </w:r>
      <w:r>
        <w:rPr>
          <w:rFonts w:ascii="Times New Roman" w:hint="eastAsia"/>
          <w:bCs/>
          <w:szCs w:val="24"/>
        </w:rPr>
        <w:t>。</w:t>
      </w:r>
    </w:p>
    <w:p w14:paraId="619382CF"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hint="eastAsia"/>
          <w:szCs w:val="24"/>
        </w:rPr>
        <w:t>横城矿区所产原煤为中等变质程度，煤类从</w:t>
      </w:r>
      <w:r>
        <w:rPr>
          <w:rFonts w:ascii="Times New Roman" w:hAnsi="Times New Roman"/>
          <w:szCs w:val="24"/>
        </w:rPr>
        <w:t>气煤</w:t>
      </w:r>
      <w:r>
        <w:rPr>
          <w:rFonts w:ascii="Times New Roman" w:hAnsi="Times New Roman" w:hint="eastAsia"/>
          <w:szCs w:val="24"/>
        </w:rPr>
        <w:t>～</w:t>
      </w:r>
      <w:r>
        <w:rPr>
          <w:rFonts w:ascii="Times New Roman" w:hAnsi="Times New Roman"/>
          <w:szCs w:val="24"/>
        </w:rPr>
        <w:t>1/3</w:t>
      </w:r>
      <w:r>
        <w:rPr>
          <w:rFonts w:ascii="Times New Roman" w:hAnsi="Times New Roman" w:hint="eastAsia"/>
          <w:szCs w:val="24"/>
        </w:rPr>
        <w:t>焦煤都有分布，具有水分低、粘结性较强、中高挥发分，中高发热量～高发热量，煤灰熔点较高，是良好的炼焦用煤和炼焦配煤，也可以作为动力用煤、气化用煤和化工用煤等，还可用作气化和低温干馏等工业的原料。</w:t>
      </w:r>
    </w:p>
    <w:p w14:paraId="730E3CC7"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hint="eastAsia"/>
          <w:szCs w:val="24"/>
        </w:rPr>
        <w:t>（</w:t>
      </w:r>
      <w:r>
        <w:rPr>
          <w:rFonts w:ascii="Times New Roman" w:hAnsi="Times New Roman"/>
          <w:szCs w:val="24"/>
        </w:rPr>
        <w:t>3</w:t>
      </w:r>
      <w:r>
        <w:rPr>
          <w:rFonts w:ascii="Times New Roman" w:hAnsi="Times New Roman" w:hint="eastAsia"/>
          <w:szCs w:val="24"/>
        </w:rPr>
        <w:t>）</w:t>
      </w:r>
      <w:r>
        <w:rPr>
          <w:rFonts w:ascii="Times New Roman" w:hAnsi="Times New Roman"/>
          <w:szCs w:val="24"/>
        </w:rPr>
        <w:t>有害元素</w:t>
      </w:r>
    </w:p>
    <w:p w14:paraId="043E889F" w14:textId="77777777" w:rsidR="009C353B" w:rsidRDefault="00000000">
      <w:pPr>
        <w:spacing w:line="440" w:lineRule="exact"/>
        <w:ind w:firstLineChars="200" w:firstLine="480"/>
        <w:jc w:val="left"/>
        <w:rPr>
          <w:rFonts w:ascii="Times New Roman" w:hAnsi="Times New Roman"/>
          <w:bCs/>
          <w:szCs w:val="24"/>
        </w:rPr>
      </w:pPr>
      <w:r>
        <w:rPr>
          <w:rFonts w:cs="宋体" w:hint="eastAsia"/>
          <w:bCs/>
          <w:szCs w:val="24"/>
        </w:rPr>
        <w:t>1）</w:t>
      </w:r>
      <w:r>
        <w:rPr>
          <w:rFonts w:ascii="Times New Roman" w:hAnsi="Times New Roman"/>
          <w:bCs/>
          <w:szCs w:val="24"/>
        </w:rPr>
        <w:t>硫（</w:t>
      </w:r>
      <w:r>
        <w:rPr>
          <w:rFonts w:ascii="Times New Roman" w:hAnsi="Times New Roman"/>
          <w:bCs/>
          <w:szCs w:val="24"/>
        </w:rPr>
        <w:t>S</w:t>
      </w:r>
      <w:r>
        <w:rPr>
          <w:rFonts w:ascii="Times New Roman" w:hAnsi="Times New Roman"/>
          <w:bCs/>
          <w:szCs w:val="24"/>
          <w:vertAlign w:val="subscript"/>
        </w:rPr>
        <w:t>t,d</w:t>
      </w:r>
      <w:r>
        <w:rPr>
          <w:rFonts w:ascii="Times New Roman" w:hAnsi="Times New Roman"/>
          <w:bCs/>
          <w:szCs w:val="24"/>
        </w:rPr>
        <w:t>原煤）</w:t>
      </w:r>
    </w:p>
    <w:p w14:paraId="6E0BE5A5"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hint="eastAsia"/>
          <w:szCs w:val="24"/>
        </w:rPr>
        <w:t>横城矿区原煤全硫（</w:t>
      </w:r>
      <w:r>
        <w:rPr>
          <w:rFonts w:ascii="Times New Roman" w:hAnsi="Times New Roman" w:hint="eastAsia"/>
          <w:szCs w:val="24"/>
        </w:rPr>
        <w:t>S</w:t>
      </w:r>
      <w:r>
        <w:rPr>
          <w:rFonts w:ascii="Times New Roman" w:hAnsi="Times New Roman" w:hint="eastAsia"/>
          <w:szCs w:val="24"/>
          <w:vertAlign w:val="subscript"/>
        </w:rPr>
        <w:t>t</w:t>
      </w:r>
      <w:r>
        <w:rPr>
          <w:rFonts w:ascii="Times New Roman" w:hAnsi="Times New Roman" w:hint="eastAsia"/>
          <w:szCs w:val="24"/>
          <w:vertAlign w:val="subscript"/>
        </w:rPr>
        <w:t>，</w:t>
      </w:r>
      <w:r>
        <w:rPr>
          <w:rFonts w:ascii="Times New Roman" w:hAnsi="Times New Roman" w:hint="eastAsia"/>
          <w:szCs w:val="24"/>
          <w:vertAlign w:val="subscript"/>
        </w:rPr>
        <w:t>d</w:t>
      </w:r>
      <w:r>
        <w:rPr>
          <w:rFonts w:ascii="Times New Roman" w:hAnsi="Times New Roman" w:hint="eastAsia"/>
          <w:szCs w:val="24"/>
        </w:rPr>
        <w:t>）含量为</w:t>
      </w:r>
      <w:r>
        <w:rPr>
          <w:rFonts w:ascii="Times New Roman" w:hAnsi="Times New Roman"/>
          <w:szCs w:val="24"/>
        </w:rPr>
        <w:t>0.20</w:t>
      </w:r>
      <w:r>
        <w:rPr>
          <w:rFonts w:ascii="Times New Roman" w:hAnsi="Times New Roman" w:hint="eastAsia"/>
          <w:szCs w:val="24"/>
        </w:rPr>
        <w:t>～</w:t>
      </w:r>
      <w:r>
        <w:rPr>
          <w:rFonts w:ascii="Times New Roman" w:hAnsi="Times New Roman"/>
          <w:szCs w:val="24"/>
        </w:rPr>
        <w:t>8.97</w:t>
      </w:r>
      <w:r>
        <w:rPr>
          <w:rFonts w:ascii="Times New Roman" w:hAnsi="Times New Roman" w:hint="eastAsia"/>
          <w:szCs w:val="24"/>
        </w:rPr>
        <w:t>%</w:t>
      </w:r>
      <w:r>
        <w:rPr>
          <w:rFonts w:ascii="Times New Roman" w:hAnsi="Times New Roman" w:hint="eastAsia"/>
          <w:szCs w:val="24"/>
        </w:rPr>
        <w:t>，各可采煤层平均为</w:t>
      </w:r>
      <w:r>
        <w:rPr>
          <w:rFonts w:ascii="Times New Roman" w:hAnsi="Times New Roman" w:hint="eastAsia"/>
          <w:szCs w:val="24"/>
        </w:rPr>
        <w:t>0.</w:t>
      </w:r>
      <w:r>
        <w:rPr>
          <w:rFonts w:ascii="Times New Roman" w:hAnsi="Times New Roman"/>
          <w:szCs w:val="24"/>
        </w:rPr>
        <w:t>43</w:t>
      </w:r>
      <w:r>
        <w:rPr>
          <w:rFonts w:ascii="Times New Roman" w:hAnsi="Times New Roman" w:hint="eastAsia"/>
          <w:szCs w:val="24"/>
        </w:rPr>
        <w:t>～</w:t>
      </w:r>
      <w:r>
        <w:rPr>
          <w:rFonts w:ascii="Times New Roman" w:hAnsi="Times New Roman"/>
          <w:szCs w:val="24"/>
        </w:rPr>
        <w:t>6.06</w:t>
      </w:r>
      <w:r>
        <w:rPr>
          <w:rFonts w:ascii="Times New Roman" w:hAnsi="Times New Roman" w:hint="eastAsia"/>
          <w:szCs w:val="24"/>
        </w:rPr>
        <w:t>%</w:t>
      </w:r>
      <w:r>
        <w:rPr>
          <w:rFonts w:ascii="Times New Roman" w:hAnsi="Times New Roman" w:hint="eastAsia"/>
          <w:szCs w:val="24"/>
        </w:rPr>
        <w:t>。各可采煤层浮煤全硫含量平均为</w:t>
      </w:r>
      <w:r>
        <w:rPr>
          <w:rFonts w:ascii="Times New Roman" w:hAnsi="Times New Roman" w:hint="eastAsia"/>
          <w:szCs w:val="24"/>
        </w:rPr>
        <w:t>0.</w:t>
      </w:r>
      <w:r>
        <w:rPr>
          <w:rFonts w:ascii="Times New Roman" w:hAnsi="Times New Roman"/>
          <w:szCs w:val="24"/>
        </w:rPr>
        <w:t>42</w:t>
      </w:r>
      <w:r>
        <w:rPr>
          <w:rFonts w:ascii="Times New Roman" w:hAnsi="Times New Roman" w:hint="eastAsia"/>
          <w:szCs w:val="24"/>
        </w:rPr>
        <w:t>～</w:t>
      </w:r>
      <w:r>
        <w:rPr>
          <w:rFonts w:ascii="Times New Roman" w:hAnsi="Times New Roman"/>
          <w:szCs w:val="24"/>
        </w:rPr>
        <w:t>3.21</w:t>
      </w:r>
      <w:r>
        <w:rPr>
          <w:rFonts w:ascii="Times New Roman" w:hAnsi="Times New Roman" w:hint="eastAsia"/>
          <w:szCs w:val="24"/>
        </w:rPr>
        <w:t>%</w:t>
      </w:r>
      <w:r>
        <w:rPr>
          <w:rFonts w:ascii="Times New Roman" w:hAnsi="Times New Roman" w:hint="eastAsia"/>
          <w:szCs w:val="24"/>
        </w:rPr>
        <w:t>。平面上除丁家梁西侧区域外，各矿硫含量均较高，垂向上横城矿区各矿随着煤层埋深增加硫含量增大，矿区可采煤层一般一～五煤以特低～中硫煤层为主，八～十煤一般以中高～高硫煤为主（分级标准：</w:t>
      </w:r>
      <w:r>
        <w:rPr>
          <w:rFonts w:ascii="Times New Roman" w:hAnsi="Times New Roman" w:hint="eastAsia"/>
          <w:szCs w:val="24"/>
        </w:rPr>
        <w:t>GB/T15224.2-20</w:t>
      </w:r>
      <w:r>
        <w:rPr>
          <w:rFonts w:ascii="Times New Roman" w:hAnsi="Times New Roman"/>
          <w:szCs w:val="24"/>
        </w:rPr>
        <w:t>10</w:t>
      </w:r>
      <w:r>
        <w:rPr>
          <w:rFonts w:ascii="Times New Roman" w:hAnsi="Times New Roman" w:hint="eastAsia"/>
          <w:szCs w:val="24"/>
        </w:rPr>
        <w:t>），变化规律明显，符合煤层沉积环境变化一般特点。</w:t>
      </w:r>
    </w:p>
    <w:p w14:paraId="5975D962" w14:textId="77777777" w:rsidR="009C353B" w:rsidRDefault="00000000">
      <w:pPr>
        <w:spacing w:line="440" w:lineRule="exact"/>
        <w:ind w:firstLineChars="200" w:firstLine="480"/>
        <w:jc w:val="left"/>
        <w:rPr>
          <w:rFonts w:ascii="Times New Roman" w:hAnsi="Times New Roman"/>
          <w:bCs/>
          <w:szCs w:val="24"/>
        </w:rPr>
      </w:pPr>
      <w:r>
        <w:rPr>
          <w:rFonts w:cs="宋体" w:hint="eastAsia"/>
          <w:bCs/>
          <w:szCs w:val="24"/>
        </w:rPr>
        <w:t>2）</w:t>
      </w:r>
      <w:r>
        <w:rPr>
          <w:rFonts w:ascii="Times New Roman" w:hAnsi="Times New Roman"/>
          <w:bCs/>
          <w:szCs w:val="24"/>
        </w:rPr>
        <w:t>磷（</w:t>
      </w:r>
      <w:r>
        <w:rPr>
          <w:rFonts w:ascii="Times New Roman" w:hAnsi="Times New Roman"/>
          <w:bCs/>
          <w:szCs w:val="24"/>
        </w:rPr>
        <w:t>P</w:t>
      </w:r>
      <w:r>
        <w:rPr>
          <w:rFonts w:ascii="Times New Roman" w:hAnsi="Times New Roman"/>
          <w:bCs/>
          <w:szCs w:val="24"/>
          <w:vertAlign w:val="subscript"/>
        </w:rPr>
        <w:t>d</w:t>
      </w:r>
      <w:r>
        <w:rPr>
          <w:rFonts w:ascii="Times New Roman" w:hAnsi="Times New Roman"/>
          <w:bCs/>
          <w:szCs w:val="24"/>
        </w:rPr>
        <w:t>原煤）</w:t>
      </w:r>
    </w:p>
    <w:p w14:paraId="19217AEB"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hint="eastAsia"/>
          <w:szCs w:val="24"/>
        </w:rPr>
        <w:t>矿区各可采煤层原煤磷分含量一般平均为</w:t>
      </w:r>
      <w:r>
        <w:rPr>
          <w:rFonts w:ascii="Times New Roman" w:hAnsi="Times New Roman" w:hint="eastAsia"/>
          <w:szCs w:val="24"/>
        </w:rPr>
        <w:t>0.</w:t>
      </w:r>
      <w:r>
        <w:rPr>
          <w:rFonts w:ascii="Times New Roman" w:hAnsi="Times New Roman"/>
          <w:szCs w:val="24"/>
        </w:rPr>
        <w:t>004</w:t>
      </w:r>
      <w:r>
        <w:rPr>
          <w:rFonts w:ascii="Times New Roman" w:hAnsi="Times New Roman" w:hint="eastAsia"/>
          <w:szCs w:val="24"/>
        </w:rPr>
        <w:t>～</w:t>
      </w:r>
      <w:r>
        <w:rPr>
          <w:rFonts w:ascii="Times New Roman" w:hAnsi="Times New Roman" w:hint="eastAsia"/>
          <w:szCs w:val="24"/>
        </w:rPr>
        <w:t>0.</w:t>
      </w:r>
      <w:r>
        <w:rPr>
          <w:rFonts w:ascii="Times New Roman" w:hAnsi="Times New Roman"/>
          <w:szCs w:val="24"/>
        </w:rPr>
        <w:t>050</w:t>
      </w:r>
      <w:r>
        <w:rPr>
          <w:rFonts w:ascii="Times New Roman" w:hAnsi="Times New Roman" w:hint="eastAsia"/>
          <w:szCs w:val="24"/>
        </w:rPr>
        <w:t>%</w:t>
      </w:r>
      <w:r>
        <w:rPr>
          <w:rFonts w:ascii="Times New Roman" w:hAnsi="Times New Roman" w:hint="eastAsia"/>
          <w:szCs w:val="24"/>
        </w:rPr>
        <w:t>，按</w:t>
      </w:r>
      <w:r>
        <w:rPr>
          <w:rFonts w:ascii="Times New Roman" w:hAnsi="Times New Roman"/>
          <w:szCs w:val="24"/>
        </w:rPr>
        <w:t>MT/T562-2006</w:t>
      </w:r>
      <w:r>
        <w:rPr>
          <w:rFonts w:ascii="Times New Roman" w:hAnsi="Times New Roman" w:hint="eastAsia"/>
          <w:szCs w:val="24"/>
        </w:rPr>
        <w:t>标准分级，属特低磷分和低磷分煤层。并以低磷分煤层为主，浮煤磷分含量一般平均为</w:t>
      </w:r>
      <w:r>
        <w:rPr>
          <w:rFonts w:ascii="Times New Roman" w:hAnsi="Times New Roman" w:hint="eastAsia"/>
          <w:szCs w:val="24"/>
        </w:rPr>
        <w:t>0.</w:t>
      </w:r>
      <w:r>
        <w:rPr>
          <w:rFonts w:ascii="Times New Roman" w:hAnsi="Times New Roman"/>
          <w:szCs w:val="24"/>
        </w:rPr>
        <w:t>003</w:t>
      </w:r>
      <w:r>
        <w:rPr>
          <w:rFonts w:ascii="Times New Roman" w:hAnsi="Times New Roman" w:hint="eastAsia"/>
          <w:szCs w:val="24"/>
        </w:rPr>
        <w:t>～</w:t>
      </w:r>
      <w:r>
        <w:rPr>
          <w:rFonts w:ascii="Times New Roman" w:hAnsi="Times New Roman" w:hint="eastAsia"/>
          <w:szCs w:val="24"/>
        </w:rPr>
        <w:t>0.0</w:t>
      </w:r>
      <w:r>
        <w:rPr>
          <w:rFonts w:ascii="Times New Roman" w:hAnsi="Times New Roman"/>
          <w:szCs w:val="24"/>
        </w:rPr>
        <w:t>50</w:t>
      </w:r>
      <w:r>
        <w:rPr>
          <w:rFonts w:ascii="Times New Roman" w:hAnsi="Times New Roman" w:hint="eastAsia"/>
          <w:szCs w:val="24"/>
        </w:rPr>
        <w:t>%</w:t>
      </w:r>
      <w:r>
        <w:rPr>
          <w:rFonts w:ascii="Times New Roman" w:hAnsi="Times New Roman" w:hint="eastAsia"/>
          <w:szCs w:val="24"/>
        </w:rPr>
        <w:t>，脱磷率一般在</w:t>
      </w:r>
      <w:r>
        <w:rPr>
          <w:rFonts w:ascii="Times New Roman" w:hAnsi="Times New Roman"/>
          <w:szCs w:val="24"/>
        </w:rPr>
        <w:t>40</w:t>
      </w:r>
      <w:r>
        <w:rPr>
          <w:rFonts w:ascii="Times New Roman" w:hAnsi="Times New Roman" w:hint="eastAsia"/>
          <w:szCs w:val="24"/>
        </w:rPr>
        <w:t>%</w:t>
      </w:r>
      <w:r>
        <w:rPr>
          <w:rFonts w:ascii="Times New Roman" w:hAnsi="Times New Roman" w:hint="eastAsia"/>
          <w:szCs w:val="24"/>
        </w:rPr>
        <w:t>左右</w:t>
      </w:r>
      <w:r>
        <w:rPr>
          <w:rFonts w:ascii="Times New Roman" w:hAnsi="Times New Roman"/>
          <w:szCs w:val="24"/>
        </w:rPr>
        <w:t>。</w:t>
      </w:r>
    </w:p>
    <w:p w14:paraId="34753594" w14:textId="77777777" w:rsidR="009C353B" w:rsidRDefault="00000000">
      <w:pPr>
        <w:spacing w:line="440" w:lineRule="exact"/>
        <w:ind w:firstLineChars="200" w:firstLine="480"/>
        <w:jc w:val="left"/>
        <w:rPr>
          <w:rFonts w:ascii="Times New Roman" w:hAnsi="Times New Roman"/>
          <w:bCs/>
          <w:szCs w:val="24"/>
        </w:rPr>
      </w:pPr>
      <w:r>
        <w:rPr>
          <w:rFonts w:cs="宋体" w:hint="eastAsia"/>
          <w:bCs/>
          <w:szCs w:val="24"/>
        </w:rPr>
        <w:t>3）</w:t>
      </w:r>
      <w:r>
        <w:rPr>
          <w:rFonts w:ascii="Times New Roman" w:hAnsi="Times New Roman"/>
          <w:bCs/>
          <w:szCs w:val="24"/>
        </w:rPr>
        <w:t>氯（</w:t>
      </w:r>
      <w:r>
        <w:rPr>
          <w:rFonts w:ascii="Times New Roman" w:hAnsi="Times New Roman"/>
          <w:bCs/>
          <w:szCs w:val="24"/>
        </w:rPr>
        <w:t>Cl</w:t>
      </w:r>
      <w:r>
        <w:rPr>
          <w:rFonts w:ascii="Times New Roman" w:hAnsi="Times New Roman"/>
          <w:bCs/>
          <w:szCs w:val="24"/>
          <w:vertAlign w:val="subscript"/>
        </w:rPr>
        <w:t>d</w:t>
      </w:r>
      <w:r>
        <w:rPr>
          <w:rFonts w:ascii="Times New Roman" w:hAnsi="Times New Roman"/>
          <w:bCs/>
          <w:szCs w:val="24"/>
        </w:rPr>
        <w:t>原煤）</w:t>
      </w:r>
    </w:p>
    <w:p w14:paraId="0F954F0D"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hint="eastAsia"/>
          <w:szCs w:val="24"/>
        </w:rPr>
        <w:t>各可采煤层原煤氯含量一般平均为</w:t>
      </w:r>
      <w:r>
        <w:rPr>
          <w:rFonts w:ascii="Times New Roman" w:hAnsi="Times New Roman" w:hint="eastAsia"/>
          <w:szCs w:val="24"/>
        </w:rPr>
        <w:t>0.0</w:t>
      </w:r>
      <w:r>
        <w:rPr>
          <w:rFonts w:ascii="Times New Roman" w:hAnsi="Times New Roman"/>
          <w:szCs w:val="24"/>
        </w:rPr>
        <w:t>40</w:t>
      </w:r>
      <w:r>
        <w:rPr>
          <w:rFonts w:ascii="Times New Roman" w:hAnsi="Times New Roman" w:hint="eastAsia"/>
          <w:szCs w:val="24"/>
        </w:rPr>
        <w:t>～</w:t>
      </w:r>
      <w:r>
        <w:rPr>
          <w:rFonts w:ascii="Times New Roman" w:hAnsi="Times New Roman" w:hint="eastAsia"/>
          <w:szCs w:val="24"/>
        </w:rPr>
        <w:t>0.</w:t>
      </w:r>
      <w:r>
        <w:rPr>
          <w:rFonts w:ascii="Times New Roman" w:hAnsi="Times New Roman"/>
          <w:szCs w:val="24"/>
        </w:rPr>
        <w:t>130</w:t>
      </w:r>
      <w:r>
        <w:rPr>
          <w:rFonts w:ascii="Times New Roman" w:hAnsi="Times New Roman" w:hint="eastAsia"/>
          <w:szCs w:val="24"/>
        </w:rPr>
        <w:t>%</w:t>
      </w:r>
      <w:r>
        <w:rPr>
          <w:rFonts w:ascii="Times New Roman" w:hAnsi="Times New Roman" w:hint="eastAsia"/>
          <w:szCs w:val="24"/>
        </w:rPr>
        <w:t>，按</w:t>
      </w:r>
      <w:r>
        <w:rPr>
          <w:rFonts w:ascii="Times New Roman" w:hAnsi="Times New Roman"/>
          <w:szCs w:val="24"/>
        </w:rPr>
        <w:t>GB/T20475.2-2006</w:t>
      </w:r>
      <w:r>
        <w:rPr>
          <w:rFonts w:ascii="Times New Roman" w:hAnsi="Times New Roman" w:hint="eastAsia"/>
          <w:szCs w:val="24"/>
        </w:rPr>
        <w:t>标准分级，矿区煤矿各煤层均属低氯煤层。</w:t>
      </w:r>
    </w:p>
    <w:p w14:paraId="6E0668DB" w14:textId="77777777" w:rsidR="009C353B" w:rsidRDefault="00000000">
      <w:pPr>
        <w:spacing w:line="440" w:lineRule="exact"/>
        <w:ind w:firstLineChars="200" w:firstLine="480"/>
        <w:jc w:val="left"/>
        <w:rPr>
          <w:rFonts w:ascii="Times New Roman" w:hAnsi="Times New Roman"/>
          <w:bCs/>
          <w:szCs w:val="24"/>
        </w:rPr>
      </w:pPr>
      <w:r>
        <w:rPr>
          <w:rFonts w:cs="宋体" w:hint="eastAsia"/>
          <w:bCs/>
          <w:szCs w:val="24"/>
        </w:rPr>
        <w:t>4）</w:t>
      </w:r>
      <w:r>
        <w:rPr>
          <w:rFonts w:ascii="Times New Roman" w:hAnsi="Times New Roman"/>
          <w:bCs/>
          <w:szCs w:val="24"/>
        </w:rPr>
        <w:t>砷（</w:t>
      </w:r>
      <w:r>
        <w:rPr>
          <w:rFonts w:ascii="Times New Roman" w:hAnsi="Times New Roman"/>
          <w:bCs/>
          <w:szCs w:val="24"/>
        </w:rPr>
        <w:t>Asd</w:t>
      </w:r>
      <w:r>
        <w:rPr>
          <w:rFonts w:ascii="Times New Roman" w:hAnsi="Times New Roman"/>
          <w:bCs/>
          <w:szCs w:val="24"/>
        </w:rPr>
        <w:t>原煤）</w:t>
      </w:r>
    </w:p>
    <w:p w14:paraId="06F1902D"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hint="eastAsia"/>
          <w:szCs w:val="24"/>
        </w:rPr>
        <w:t>各可采煤层原煤砷含量一般平均为</w:t>
      </w:r>
      <w:r>
        <w:rPr>
          <w:rFonts w:ascii="Times New Roman" w:hAnsi="Times New Roman"/>
          <w:szCs w:val="24"/>
        </w:rPr>
        <w:t>0.50</w:t>
      </w:r>
      <w:r>
        <w:rPr>
          <w:rFonts w:ascii="Times New Roman" w:hAnsi="Times New Roman" w:hint="eastAsia"/>
          <w:szCs w:val="24"/>
        </w:rPr>
        <w:t>～</w:t>
      </w:r>
      <w:r>
        <w:rPr>
          <w:rFonts w:ascii="Times New Roman" w:hAnsi="Times New Roman"/>
          <w:szCs w:val="24"/>
        </w:rPr>
        <w:t>5.0</w:t>
      </w:r>
      <w:r>
        <w:rPr>
          <w:rFonts w:ascii="Times New Roman" w:hAnsi="Times New Roman" w:hint="eastAsia"/>
          <w:szCs w:val="24"/>
        </w:rPr>
        <w:t>µg/g</w:t>
      </w:r>
      <w:r>
        <w:rPr>
          <w:rFonts w:ascii="Times New Roman" w:hAnsi="Times New Roman" w:hint="eastAsia"/>
          <w:szCs w:val="24"/>
        </w:rPr>
        <w:t>，按</w:t>
      </w:r>
      <w:r>
        <w:rPr>
          <w:rFonts w:ascii="Times New Roman" w:hAnsi="Times New Roman" w:hint="eastAsia"/>
          <w:szCs w:val="24"/>
        </w:rPr>
        <w:t>MT/T803-1999</w:t>
      </w:r>
      <w:r>
        <w:rPr>
          <w:rFonts w:ascii="Times New Roman" w:hAnsi="Times New Roman" w:hint="eastAsia"/>
          <w:szCs w:val="24"/>
        </w:rPr>
        <w:t>标准分级，除丁家梁井田包含二级含砷煤外，其余各矿砷含量均属一级含砷煤，浮煤砷含量一般平均为</w:t>
      </w:r>
      <w:r>
        <w:rPr>
          <w:rFonts w:ascii="Times New Roman" w:hAnsi="Times New Roman"/>
          <w:szCs w:val="24"/>
        </w:rPr>
        <w:t>0.1</w:t>
      </w:r>
      <w:r>
        <w:rPr>
          <w:rFonts w:ascii="Times New Roman" w:hAnsi="Times New Roman" w:hint="eastAsia"/>
          <w:szCs w:val="24"/>
        </w:rPr>
        <w:t>～</w:t>
      </w:r>
      <w:r>
        <w:rPr>
          <w:rFonts w:ascii="Times New Roman" w:hAnsi="Times New Roman"/>
          <w:szCs w:val="24"/>
        </w:rPr>
        <w:t>2.1</w:t>
      </w:r>
      <w:r>
        <w:rPr>
          <w:rFonts w:ascii="Times New Roman" w:hAnsi="Times New Roman" w:hint="eastAsia"/>
          <w:szCs w:val="24"/>
        </w:rPr>
        <w:t xml:space="preserve">µg/g </w:t>
      </w:r>
      <w:r>
        <w:rPr>
          <w:rFonts w:ascii="Times New Roman" w:hAnsi="Times New Roman" w:hint="eastAsia"/>
          <w:szCs w:val="24"/>
        </w:rPr>
        <w:t>。矿区各可采煤层砷含量较低，符合酿造食品加工业用煤砷含量不得超过</w:t>
      </w:r>
      <w:r>
        <w:rPr>
          <w:rFonts w:ascii="Times New Roman" w:hAnsi="Times New Roman"/>
          <w:szCs w:val="24"/>
        </w:rPr>
        <w:t>8µg/g</w:t>
      </w:r>
      <w:r>
        <w:rPr>
          <w:rFonts w:ascii="Times New Roman" w:hAnsi="Times New Roman" w:hint="eastAsia"/>
          <w:szCs w:val="24"/>
        </w:rPr>
        <w:t>的要求。</w:t>
      </w:r>
    </w:p>
    <w:p w14:paraId="7C34B023" w14:textId="77777777" w:rsidR="009C353B" w:rsidRDefault="009C353B">
      <w:pPr>
        <w:adjustRightInd w:val="0"/>
        <w:snapToGrid w:val="0"/>
        <w:spacing w:line="529" w:lineRule="exact"/>
        <w:ind w:firstLineChars="200" w:firstLine="480"/>
        <w:jc w:val="left"/>
        <w:rPr>
          <w:rFonts w:ascii="Times New Roman" w:hAnsi="Times New Roman"/>
          <w:bCs/>
          <w:snapToGrid w:val="0"/>
          <w:kern w:val="0"/>
          <w:szCs w:val="28"/>
        </w:rPr>
        <w:sectPr w:rsidR="009C353B">
          <w:headerReference w:type="default" r:id="rId180"/>
          <w:pgSz w:w="11907" w:h="16840"/>
          <w:pgMar w:top="1701" w:right="1418" w:bottom="1418" w:left="1418" w:header="1134" w:footer="851" w:gutter="0"/>
          <w:paperSrc w:first="7" w:other="7"/>
          <w:cols w:space="720"/>
          <w:docGrid w:linePitch="312"/>
        </w:sectPr>
      </w:pPr>
    </w:p>
    <w:p w14:paraId="0C562BD9" w14:textId="77777777" w:rsidR="009C353B" w:rsidRDefault="00000000">
      <w:pPr>
        <w:spacing w:line="336" w:lineRule="auto"/>
        <w:jc w:val="center"/>
        <w:rPr>
          <w:rFonts w:hint="eastAsia"/>
          <w:b/>
          <w:spacing w:val="-4"/>
          <w:szCs w:val="24"/>
        </w:rPr>
      </w:pPr>
      <w:r>
        <w:rPr>
          <w:rFonts w:hint="eastAsia"/>
          <w:b/>
          <w:spacing w:val="-4"/>
          <w:szCs w:val="24"/>
        </w:rPr>
        <w:t>横城矿区主要可采煤层主要煤质指标汇总表</w:t>
      </w:r>
    </w:p>
    <w:p w14:paraId="60DCE47E" w14:textId="77777777" w:rsidR="009C353B" w:rsidRDefault="00000000">
      <w:pPr>
        <w:pStyle w:val="affffd"/>
        <w:spacing w:line="440" w:lineRule="exact"/>
        <w:ind w:firstLineChars="100" w:firstLine="240"/>
        <w:rPr>
          <w:rFonts w:ascii="Times New Roman" w:hint="eastAsia"/>
        </w:rPr>
      </w:pPr>
      <w:r>
        <w:rPr>
          <w:rFonts w:ascii="Times New Roman"/>
        </w:rPr>
        <w:t>表</w:t>
      </w:r>
      <w:r>
        <w:rPr>
          <w:rFonts w:ascii="Times New Roman"/>
        </w:rPr>
        <w:t>2.3-2</w:t>
      </w:r>
    </w:p>
    <w:tbl>
      <w:tblP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1470"/>
        <w:gridCol w:w="1554"/>
        <w:gridCol w:w="1638"/>
        <w:gridCol w:w="1932"/>
        <w:gridCol w:w="1638"/>
        <w:gridCol w:w="1638"/>
        <w:gridCol w:w="1512"/>
        <w:gridCol w:w="1512"/>
      </w:tblGrid>
      <w:tr w:rsidR="009C353B" w14:paraId="64ED4CAC" w14:textId="77777777">
        <w:trPr>
          <w:cantSplit/>
          <w:trHeight w:hRule="exact" w:val="977"/>
          <w:jc w:val="center"/>
        </w:trPr>
        <w:tc>
          <w:tcPr>
            <w:tcW w:w="714" w:type="dxa"/>
            <w:vMerge w:val="restart"/>
            <w:vAlign w:val="center"/>
          </w:tcPr>
          <w:p w14:paraId="1536AC9D" w14:textId="77777777" w:rsidR="009C353B" w:rsidRDefault="00000000">
            <w:pPr>
              <w:pStyle w:val="afd"/>
              <w:ind w:firstLineChars="0" w:firstLine="0"/>
              <w:jc w:val="center"/>
              <w:rPr>
                <w:rFonts w:ascii="Times New Roman" w:eastAsiaTheme="minorEastAsia" w:hAnsi="Times New Roman"/>
                <w:bCs/>
                <w:sz w:val="20"/>
              </w:rPr>
            </w:pPr>
            <w:r>
              <w:rPr>
                <w:rFonts w:ascii="Times New Roman" w:eastAsiaTheme="minorEastAsia" w:hAnsi="Times New Roman"/>
                <w:bCs/>
                <w:sz w:val="20"/>
              </w:rPr>
              <w:t>煤层</w:t>
            </w:r>
          </w:p>
          <w:p w14:paraId="6D88B9A8" w14:textId="77777777" w:rsidR="009C353B" w:rsidRDefault="00000000">
            <w:pPr>
              <w:pStyle w:val="afd"/>
              <w:ind w:firstLineChars="0" w:firstLine="0"/>
              <w:jc w:val="center"/>
              <w:rPr>
                <w:rFonts w:ascii="Times New Roman" w:eastAsiaTheme="minorEastAsia" w:hAnsi="Times New Roman"/>
                <w:bCs/>
                <w:sz w:val="20"/>
              </w:rPr>
            </w:pPr>
            <w:r>
              <w:rPr>
                <w:rFonts w:ascii="Times New Roman" w:eastAsiaTheme="minorEastAsia" w:hAnsi="Times New Roman"/>
                <w:bCs/>
                <w:sz w:val="20"/>
              </w:rPr>
              <w:t>编号</w:t>
            </w:r>
          </w:p>
        </w:tc>
        <w:tc>
          <w:tcPr>
            <w:tcW w:w="8232" w:type="dxa"/>
            <w:gridSpan w:val="5"/>
            <w:vAlign w:val="center"/>
          </w:tcPr>
          <w:p w14:paraId="31474BD5" w14:textId="77777777" w:rsidR="009C353B" w:rsidRDefault="00000000">
            <w:pPr>
              <w:pStyle w:val="afd"/>
              <w:ind w:firstLineChars="0" w:firstLine="0"/>
              <w:jc w:val="center"/>
              <w:rPr>
                <w:rFonts w:ascii="Times New Roman" w:eastAsiaTheme="minorEastAsia" w:hAnsi="Times New Roman"/>
                <w:bCs/>
                <w:sz w:val="20"/>
              </w:rPr>
            </w:pPr>
            <w:r>
              <w:rPr>
                <w:rFonts w:ascii="Times New Roman" w:eastAsiaTheme="minorEastAsia" w:hAnsi="Times New Roman"/>
                <w:bCs/>
                <w:sz w:val="20"/>
              </w:rPr>
              <w:t>原煤工业分析</w:t>
            </w:r>
            <w:r>
              <w:rPr>
                <w:rFonts w:ascii="Times New Roman" w:eastAsiaTheme="minorEastAsia" w:hAnsi="Times New Roman"/>
                <w:bCs/>
                <w:sz w:val="20"/>
              </w:rPr>
              <w:t xml:space="preserve"> %</w:t>
            </w:r>
          </w:p>
        </w:tc>
        <w:tc>
          <w:tcPr>
            <w:tcW w:w="4662" w:type="dxa"/>
            <w:gridSpan w:val="3"/>
            <w:vAlign w:val="center"/>
          </w:tcPr>
          <w:p w14:paraId="1734F024" w14:textId="77777777" w:rsidR="009C353B" w:rsidRDefault="00000000">
            <w:pPr>
              <w:pStyle w:val="afd"/>
              <w:ind w:firstLineChars="0" w:firstLine="0"/>
              <w:jc w:val="center"/>
              <w:rPr>
                <w:rFonts w:ascii="Times New Roman" w:eastAsiaTheme="minorEastAsia" w:hAnsi="Times New Roman"/>
                <w:bCs/>
                <w:sz w:val="20"/>
              </w:rPr>
            </w:pPr>
            <w:r>
              <w:rPr>
                <w:rFonts w:ascii="Times New Roman" w:eastAsiaTheme="minorEastAsia" w:hAnsi="Times New Roman"/>
                <w:bCs/>
                <w:sz w:val="20"/>
              </w:rPr>
              <w:t>硫分组成</w:t>
            </w:r>
          </w:p>
        </w:tc>
      </w:tr>
      <w:tr w:rsidR="009C353B" w14:paraId="002D04CF" w14:textId="77777777">
        <w:trPr>
          <w:cantSplit/>
          <w:trHeight w:hRule="exact" w:val="870"/>
          <w:jc w:val="center"/>
        </w:trPr>
        <w:tc>
          <w:tcPr>
            <w:tcW w:w="714" w:type="dxa"/>
            <w:vMerge/>
            <w:vAlign w:val="center"/>
          </w:tcPr>
          <w:p w14:paraId="7EA35A24" w14:textId="77777777" w:rsidR="009C353B" w:rsidRDefault="009C353B">
            <w:pPr>
              <w:pStyle w:val="afd"/>
              <w:ind w:firstLineChars="0" w:firstLine="0"/>
              <w:jc w:val="center"/>
              <w:rPr>
                <w:rFonts w:ascii="Times New Roman" w:eastAsiaTheme="minorEastAsia" w:hAnsi="Times New Roman"/>
                <w:bCs/>
                <w:sz w:val="20"/>
              </w:rPr>
            </w:pPr>
          </w:p>
        </w:tc>
        <w:tc>
          <w:tcPr>
            <w:tcW w:w="1470" w:type="dxa"/>
            <w:vAlign w:val="center"/>
          </w:tcPr>
          <w:p w14:paraId="5BC61A5A" w14:textId="77777777" w:rsidR="009C353B" w:rsidRDefault="00000000">
            <w:pPr>
              <w:pStyle w:val="afd"/>
              <w:ind w:firstLineChars="0" w:firstLine="0"/>
              <w:jc w:val="center"/>
              <w:rPr>
                <w:rFonts w:ascii="Times New Roman" w:eastAsiaTheme="minorEastAsia" w:hAnsi="Times New Roman"/>
                <w:bCs/>
                <w:sz w:val="20"/>
              </w:rPr>
            </w:pPr>
            <w:r>
              <w:rPr>
                <w:rFonts w:ascii="Times New Roman" w:eastAsiaTheme="minorEastAsia" w:hAnsi="Times New Roman"/>
                <w:bCs/>
                <w:sz w:val="20"/>
              </w:rPr>
              <w:t>M</w:t>
            </w:r>
            <w:r>
              <w:rPr>
                <w:rFonts w:ascii="Times New Roman" w:eastAsiaTheme="minorEastAsia" w:hAnsi="Times New Roman"/>
                <w:bCs/>
                <w:sz w:val="20"/>
                <w:vertAlign w:val="subscript"/>
              </w:rPr>
              <w:t xml:space="preserve"> ad</w:t>
            </w:r>
          </w:p>
        </w:tc>
        <w:tc>
          <w:tcPr>
            <w:tcW w:w="1554" w:type="dxa"/>
            <w:vAlign w:val="center"/>
          </w:tcPr>
          <w:p w14:paraId="59EDD186" w14:textId="77777777" w:rsidR="009C353B" w:rsidRDefault="00000000">
            <w:pPr>
              <w:pStyle w:val="afd"/>
              <w:ind w:firstLineChars="0" w:firstLine="0"/>
              <w:jc w:val="center"/>
              <w:rPr>
                <w:rFonts w:ascii="Times New Roman" w:eastAsiaTheme="minorEastAsia" w:hAnsi="Times New Roman"/>
                <w:bCs/>
                <w:sz w:val="20"/>
              </w:rPr>
            </w:pPr>
            <w:r>
              <w:rPr>
                <w:rFonts w:ascii="Times New Roman" w:eastAsiaTheme="minorEastAsia" w:hAnsi="Times New Roman"/>
                <w:bCs/>
                <w:sz w:val="20"/>
              </w:rPr>
              <w:t>A</w:t>
            </w:r>
            <w:r>
              <w:rPr>
                <w:rFonts w:ascii="Times New Roman" w:eastAsiaTheme="minorEastAsia" w:hAnsi="Times New Roman"/>
                <w:bCs/>
                <w:sz w:val="20"/>
                <w:vertAlign w:val="subscript"/>
              </w:rPr>
              <w:t xml:space="preserve"> d</w:t>
            </w:r>
          </w:p>
        </w:tc>
        <w:tc>
          <w:tcPr>
            <w:tcW w:w="1638" w:type="dxa"/>
            <w:vAlign w:val="center"/>
          </w:tcPr>
          <w:p w14:paraId="138BF1ED" w14:textId="77777777" w:rsidR="009C353B" w:rsidRDefault="00000000">
            <w:pPr>
              <w:pStyle w:val="afd"/>
              <w:ind w:firstLineChars="0" w:firstLine="0"/>
              <w:jc w:val="center"/>
              <w:rPr>
                <w:rFonts w:ascii="Times New Roman" w:eastAsiaTheme="minorEastAsia" w:hAnsi="Times New Roman"/>
                <w:bCs/>
                <w:sz w:val="20"/>
              </w:rPr>
            </w:pPr>
            <w:r>
              <w:rPr>
                <w:rFonts w:ascii="Times New Roman" w:eastAsiaTheme="minorEastAsia" w:hAnsi="Times New Roman"/>
                <w:bCs/>
                <w:sz w:val="20"/>
              </w:rPr>
              <w:t>Q</w:t>
            </w:r>
            <w:r>
              <w:rPr>
                <w:rFonts w:ascii="Times New Roman" w:eastAsiaTheme="minorEastAsia" w:hAnsi="Times New Roman"/>
                <w:bCs/>
                <w:sz w:val="20"/>
                <w:vertAlign w:val="subscript"/>
              </w:rPr>
              <w:t xml:space="preserve"> gr.d  </w:t>
            </w:r>
            <w:r>
              <w:rPr>
                <w:rFonts w:ascii="Times New Roman" w:eastAsiaTheme="minorEastAsia" w:hAnsi="Times New Roman"/>
                <w:bCs/>
                <w:sz w:val="20"/>
              </w:rPr>
              <w:t>MJ/kg</w:t>
            </w:r>
          </w:p>
        </w:tc>
        <w:tc>
          <w:tcPr>
            <w:tcW w:w="1932" w:type="dxa"/>
            <w:vAlign w:val="center"/>
          </w:tcPr>
          <w:p w14:paraId="7ACCC851" w14:textId="77777777" w:rsidR="009C353B" w:rsidRDefault="00000000">
            <w:pPr>
              <w:pStyle w:val="afd"/>
              <w:ind w:firstLineChars="0" w:firstLine="0"/>
              <w:jc w:val="center"/>
              <w:rPr>
                <w:rFonts w:ascii="Times New Roman" w:eastAsiaTheme="minorEastAsia" w:hAnsi="Times New Roman"/>
                <w:bCs/>
                <w:sz w:val="20"/>
                <w:vertAlign w:val="subscript"/>
              </w:rPr>
            </w:pPr>
            <w:r>
              <w:rPr>
                <w:rFonts w:ascii="Times New Roman" w:eastAsiaTheme="minorEastAsia" w:hAnsi="Times New Roman"/>
                <w:bCs/>
                <w:sz w:val="20"/>
              </w:rPr>
              <w:t>P</w:t>
            </w:r>
            <w:r>
              <w:rPr>
                <w:rFonts w:ascii="Times New Roman" w:eastAsiaTheme="minorEastAsia" w:hAnsi="Times New Roman"/>
                <w:bCs/>
                <w:sz w:val="20"/>
                <w:vertAlign w:val="subscript"/>
              </w:rPr>
              <w:t>ad</w:t>
            </w:r>
          </w:p>
        </w:tc>
        <w:tc>
          <w:tcPr>
            <w:tcW w:w="1638" w:type="dxa"/>
            <w:vAlign w:val="center"/>
          </w:tcPr>
          <w:p w14:paraId="1D2DC69C" w14:textId="77777777" w:rsidR="009C353B" w:rsidRDefault="00000000">
            <w:pPr>
              <w:pStyle w:val="afd"/>
              <w:ind w:firstLineChars="0" w:firstLine="0"/>
              <w:jc w:val="center"/>
              <w:rPr>
                <w:rFonts w:ascii="Times New Roman" w:eastAsiaTheme="minorEastAsia" w:hAnsi="Times New Roman"/>
                <w:bCs/>
                <w:sz w:val="20"/>
                <w:vertAlign w:val="subscript"/>
              </w:rPr>
            </w:pPr>
            <w:r>
              <w:rPr>
                <w:rFonts w:ascii="Times New Roman" w:eastAsiaTheme="minorEastAsia" w:hAnsi="Times New Roman"/>
                <w:bCs/>
                <w:sz w:val="20"/>
              </w:rPr>
              <w:t>S</w:t>
            </w:r>
            <w:r>
              <w:rPr>
                <w:rFonts w:ascii="Times New Roman" w:eastAsiaTheme="minorEastAsia" w:hAnsi="Times New Roman"/>
                <w:bCs/>
                <w:sz w:val="20"/>
                <w:vertAlign w:val="subscript"/>
              </w:rPr>
              <w:t>t.d</w:t>
            </w:r>
          </w:p>
        </w:tc>
        <w:tc>
          <w:tcPr>
            <w:tcW w:w="1638" w:type="dxa"/>
            <w:vAlign w:val="center"/>
          </w:tcPr>
          <w:p w14:paraId="002919D4" w14:textId="77777777" w:rsidR="009C353B" w:rsidRDefault="00000000">
            <w:pPr>
              <w:pStyle w:val="afd"/>
              <w:ind w:firstLineChars="0" w:firstLine="0"/>
              <w:jc w:val="center"/>
              <w:rPr>
                <w:rFonts w:ascii="Times New Roman" w:eastAsiaTheme="minorEastAsia" w:hAnsi="Times New Roman"/>
                <w:bCs/>
                <w:sz w:val="20"/>
              </w:rPr>
            </w:pPr>
            <w:r>
              <w:rPr>
                <w:rFonts w:ascii="Times New Roman" w:eastAsiaTheme="minorEastAsia" w:hAnsi="Times New Roman"/>
                <w:bCs/>
                <w:sz w:val="20"/>
              </w:rPr>
              <w:t>硫酸盐硫</w:t>
            </w:r>
          </w:p>
        </w:tc>
        <w:tc>
          <w:tcPr>
            <w:tcW w:w="1512" w:type="dxa"/>
            <w:vAlign w:val="center"/>
          </w:tcPr>
          <w:p w14:paraId="43D0949C" w14:textId="77777777" w:rsidR="009C353B" w:rsidRDefault="00000000">
            <w:pPr>
              <w:pStyle w:val="afd"/>
              <w:ind w:firstLineChars="0" w:firstLine="0"/>
              <w:jc w:val="center"/>
              <w:rPr>
                <w:rFonts w:ascii="Times New Roman" w:eastAsiaTheme="minorEastAsia" w:hAnsi="Times New Roman"/>
                <w:bCs/>
                <w:sz w:val="20"/>
              </w:rPr>
            </w:pPr>
            <w:r>
              <w:rPr>
                <w:rFonts w:ascii="Times New Roman" w:eastAsiaTheme="minorEastAsia" w:hAnsi="Times New Roman"/>
                <w:bCs/>
                <w:sz w:val="20"/>
              </w:rPr>
              <w:t>黄铁矿硫</w:t>
            </w:r>
          </w:p>
        </w:tc>
        <w:tc>
          <w:tcPr>
            <w:tcW w:w="1512" w:type="dxa"/>
            <w:vAlign w:val="center"/>
          </w:tcPr>
          <w:p w14:paraId="33E20029" w14:textId="77777777" w:rsidR="009C353B" w:rsidRDefault="00000000">
            <w:pPr>
              <w:pStyle w:val="afd"/>
              <w:ind w:firstLineChars="0" w:firstLine="0"/>
              <w:jc w:val="center"/>
              <w:rPr>
                <w:rFonts w:ascii="Times New Roman" w:eastAsiaTheme="minorEastAsia" w:hAnsi="Times New Roman"/>
                <w:bCs/>
                <w:sz w:val="20"/>
              </w:rPr>
            </w:pPr>
            <w:r>
              <w:rPr>
                <w:rFonts w:ascii="Times New Roman" w:eastAsiaTheme="minorEastAsia" w:hAnsi="Times New Roman"/>
                <w:bCs/>
                <w:sz w:val="20"/>
              </w:rPr>
              <w:t>有机硫</w:t>
            </w:r>
          </w:p>
        </w:tc>
      </w:tr>
      <w:tr w:rsidR="009C353B" w14:paraId="01C54F1E" w14:textId="77777777">
        <w:trPr>
          <w:cantSplit/>
          <w:trHeight w:val="400"/>
          <w:jc w:val="center"/>
        </w:trPr>
        <w:tc>
          <w:tcPr>
            <w:tcW w:w="714" w:type="dxa"/>
            <w:vAlign w:val="center"/>
          </w:tcPr>
          <w:p w14:paraId="5A1E197E"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一</w:t>
            </w:r>
          </w:p>
        </w:tc>
        <w:tc>
          <w:tcPr>
            <w:tcW w:w="1470" w:type="dxa"/>
            <w:vAlign w:val="center"/>
          </w:tcPr>
          <w:p w14:paraId="4FC4DBA1"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1.06-2.61</w:t>
            </w:r>
          </w:p>
          <w:p w14:paraId="4E2A8415"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1.60</w:t>
            </w:r>
          </w:p>
        </w:tc>
        <w:tc>
          <w:tcPr>
            <w:tcW w:w="1554" w:type="dxa"/>
            <w:vAlign w:val="center"/>
          </w:tcPr>
          <w:p w14:paraId="5019F63D"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15.35-36.03</w:t>
            </w:r>
          </w:p>
          <w:p w14:paraId="0F086F7C"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25.99</w:t>
            </w:r>
          </w:p>
        </w:tc>
        <w:tc>
          <w:tcPr>
            <w:tcW w:w="1638" w:type="dxa"/>
            <w:vAlign w:val="center"/>
          </w:tcPr>
          <w:p w14:paraId="51A99C0C"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17.45-28.59</w:t>
            </w:r>
          </w:p>
          <w:p w14:paraId="72D45472"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23.24</w:t>
            </w:r>
          </w:p>
        </w:tc>
        <w:tc>
          <w:tcPr>
            <w:tcW w:w="1932" w:type="dxa"/>
            <w:vAlign w:val="center"/>
          </w:tcPr>
          <w:p w14:paraId="56B87C51"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0.003-0.0642</w:t>
            </w:r>
          </w:p>
          <w:p w14:paraId="7E8626A2"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0.03</w:t>
            </w:r>
          </w:p>
        </w:tc>
        <w:tc>
          <w:tcPr>
            <w:tcW w:w="1638" w:type="dxa"/>
            <w:vAlign w:val="center"/>
          </w:tcPr>
          <w:p w14:paraId="7B8514AD"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u w:val="single"/>
              </w:rPr>
              <w:t>0.28-0.32</w:t>
            </w:r>
          </w:p>
          <w:p w14:paraId="3B772C8E"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0.48</w:t>
            </w:r>
          </w:p>
        </w:tc>
        <w:tc>
          <w:tcPr>
            <w:tcW w:w="1638" w:type="dxa"/>
            <w:vAlign w:val="center"/>
          </w:tcPr>
          <w:p w14:paraId="65F5193A"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0-0.01</w:t>
            </w:r>
          </w:p>
          <w:p w14:paraId="06D5B784"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0.01</w:t>
            </w:r>
          </w:p>
        </w:tc>
        <w:tc>
          <w:tcPr>
            <w:tcW w:w="1512" w:type="dxa"/>
            <w:vAlign w:val="center"/>
          </w:tcPr>
          <w:p w14:paraId="4FEDF694"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0-0.42</w:t>
            </w:r>
          </w:p>
          <w:p w14:paraId="77196B5F"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0.42</w:t>
            </w:r>
          </w:p>
        </w:tc>
        <w:tc>
          <w:tcPr>
            <w:tcW w:w="1512" w:type="dxa"/>
            <w:vAlign w:val="center"/>
          </w:tcPr>
          <w:p w14:paraId="25391306"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0.31-0.46</w:t>
            </w:r>
          </w:p>
          <w:p w14:paraId="199B9C3B"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0.39</w:t>
            </w:r>
          </w:p>
        </w:tc>
      </w:tr>
      <w:tr w:rsidR="009C353B" w14:paraId="3F8AB45E" w14:textId="77777777">
        <w:trPr>
          <w:cantSplit/>
          <w:trHeight w:val="400"/>
          <w:jc w:val="center"/>
        </w:trPr>
        <w:tc>
          <w:tcPr>
            <w:tcW w:w="714" w:type="dxa"/>
            <w:vAlign w:val="center"/>
          </w:tcPr>
          <w:p w14:paraId="0978D08C"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三</w:t>
            </w:r>
          </w:p>
        </w:tc>
        <w:tc>
          <w:tcPr>
            <w:tcW w:w="1470" w:type="dxa"/>
            <w:vAlign w:val="center"/>
          </w:tcPr>
          <w:p w14:paraId="7AE54980"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u w:val="single"/>
              </w:rPr>
              <w:t>0.82-9.80</w:t>
            </w:r>
          </w:p>
          <w:p w14:paraId="49419EA3"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1.70</w:t>
            </w:r>
          </w:p>
        </w:tc>
        <w:tc>
          <w:tcPr>
            <w:tcW w:w="1554" w:type="dxa"/>
            <w:vAlign w:val="center"/>
          </w:tcPr>
          <w:p w14:paraId="756FBA8A"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12.69-39.49</w:t>
            </w:r>
          </w:p>
          <w:p w14:paraId="5A542C7A"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25.76</w:t>
            </w:r>
          </w:p>
        </w:tc>
        <w:tc>
          <w:tcPr>
            <w:tcW w:w="1638" w:type="dxa"/>
            <w:vAlign w:val="center"/>
          </w:tcPr>
          <w:p w14:paraId="6A3B3755"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18.97-31.69</w:t>
            </w:r>
          </w:p>
          <w:p w14:paraId="7CC6B11C"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23.51</w:t>
            </w:r>
          </w:p>
        </w:tc>
        <w:tc>
          <w:tcPr>
            <w:tcW w:w="1932" w:type="dxa"/>
            <w:vAlign w:val="center"/>
          </w:tcPr>
          <w:p w14:paraId="6D857B53"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0.0057-0.0972</w:t>
            </w:r>
          </w:p>
          <w:p w14:paraId="34D91E9B"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0.0493</w:t>
            </w:r>
          </w:p>
        </w:tc>
        <w:tc>
          <w:tcPr>
            <w:tcW w:w="1638" w:type="dxa"/>
            <w:vAlign w:val="center"/>
          </w:tcPr>
          <w:p w14:paraId="0877F91A"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0.35-2.15</w:t>
            </w:r>
          </w:p>
          <w:p w14:paraId="7D9C1749"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0.85</w:t>
            </w:r>
          </w:p>
        </w:tc>
        <w:tc>
          <w:tcPr>
            <w:tcW w:w="1638" w:type="dxa"/>
            <w:vAlign w:val="center"/>
          </w:tcPr>
          <w:p w14:paraId="6836383D"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0-0.55</w:t>
            </w:r>
          </w:p>
          <w:p w14:paraId="03186B95"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0.10</w:t>
            </w:r>
          </w:p>
        </w:tc>
        <w:tc>
          <w:tcPr>
            <w:tcW w:w="1512" w:type="dxa"/>
            <w:vAlign w:val="center"/>
          </w:tcPr>
          <w:p w14:paraId="5AE3EA6D"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0.07-1.06</w:t>
            </w:r>
          </w:p>
          <w:p w14:paraId="74A53362"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0.72</w:t>
            </w:r>
          </w:p>
        </w:tc>
        <w:tc>
          <w:tcPr>
            <w:tcW w:w="1512" w:type="dxa"/>
            <w:vAlign w:val="center"/>
          </w:tcPr>
          <w:p w14:paraId="00B13B01"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0.31-0.65</w:t>
            </w:r>
          </w:p>
          <w:p w14:paraId="2A314758"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0.45</w:t>
            </w:r>
          </w:p>
        </w:tc>
      </w:tr>
      <w:tr w:rsidR="009C353B" w14:paraId="04585C1E" w14:textId="77777777">
        <w:trPr>
          <w:cantSplit/>
          <w:trHeight w:val="400"/>
          <w:jc w:val="center"/>
        </w:trPr>
        <w:tc>
          <w:tcPr>
            <w:tcW w:w="714" w:type="dxa"/>
            <w:vAlign w:val="center"/>
          </w:tcPr>
          <w:p w14:paraId="47363E5F"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五</w:t>
            </w:r>
          </w:p>
        </w:tc>
        <w:tc>
          <w:tcPr>
            <w:tcW w:w="1470" w:type="dxa"/>
            <w:vAlign w:val="center"/>
          </w:tcPr>
          <w:p w14:paraId="070397EF"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0.69-2.59</w:t>
            </w:r>
          </w:p>
          <w:p w14:paraId="2FE86200"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1.56</w:t>
            </w:r>
          </w:p>
        </w:tc>
        <w:tc>
          <w:tcPr>
            <w:tcW w:w="1554" w:type="dxa"/>
            <w:vAlign w:val="center"/>
          </w:tcPr>
          <w:p w14:paraId="010459FE"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17.90-36.27</w:t>
            </w:r>
          </w:p>
          <w:p w14:paraId="1EFD1D66"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21.46</w:t>
            </w:r>
          </w:p>
        </w:tc>
        <w:tc>
          <w:tcPr>
            <w:tcW w:w="1638" w:type="dxa"/>
            <w:vAlign w:val="center"/>
          </w:tcPr>
          <w:p w14:paraId="6F5D8767"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19.87-28.88</w:t>
            </w:r>
          </w:p>
          <w:p w14:paraId="72206C58"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22.12</w:t>
            </w:r>
          </w:p>
        </w:tc>
        <w:tc>
          <w:tcPr>
            <w:tcW w:w="1932" w:type="dxa"/>
            <w:vAlign w:val="center"/>
          </w:tcPr>
          <w:p w14:paraId="60E9602E"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0.001-0.0963</w:t>
            </w:r>
          </w:p>
          <w:p w14:paraId="741BBA6C"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0.0294</w:t>
            </w:r>
          </w:p>
        </w:tc>
        <w:tc>
          <w:tcPr>
            <w:tcW w:w="1638" w:type="dxa"/>
            <w:vAlign w:val="center"/>
          </w:tcPr>
          <w:p w14:paraId="66CBA8C9"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0.43-3.56</w:t>
            </w:r>
          </w:p>
          <w:p w14:paraId="2E17020F"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1.20</w:t>
            </w:r>
          </w:p>
        </w:tc>
        <w:tc>
          <w:tcPr>
            <w:tcW w:w="1638" w:type="dxa"/>
            <w:vAlign w:val="center"/>
          </w:tcPr>
          <w:p w14:paraId="43B6C786"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0.01-1.48</w:t>
            </w:r>
          </w:p>
          <w:p w14:paraId="561143DC"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0.13</w:t>
            </w:r>
          </w:p>
        </w:tc>
        <w:tc>
          <w:tcPr>
            <w:tcW w:w="1512" w:type="dxa"/>
            <w:vAlign w:val="center"/>
          </w:tcPr>
          <w:p w14:paraId="6F652324"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0.01-2.93</w:t>
            </w:r>
          </w:p>
          <w:p w14:paraId="1601FC37"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0.81</w:t>
            </w:r>
          </w:p>
        </w:tc>
        <w:tc>
          <w:tcPr>
            <w:tcW w:w="1512" w:type="dxa"/>
            <w:vAlign w:val="center"/>
          </w:tcPr>
          <w:p w14:paraId="65357F41"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0.46-0.77</w:t>
            </w:r>
          </w:p>
          <w:p w14:paraId="505FC012"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0.60</w:t>
            </w:r>
          </w:p>
        </w:tc>
      </w:tr>
      <w:tr w:rsidR="009C353B" w14:paraId="5D466584" w14:textId="77777777">
        <w:trPr>
          <w:cantSplit/>
          <w:trHeight w:val="400"/>
          <w:jc w:val="center"/>
        </w:trPr>
        <w:tc>
          <w:tcPr>
            <w:tcW w:w="714" w:type="dxa"/>
            <w:vAlign w:val="center"/>
          </w:tcPr>
          <w:p w14:paraId="4CD29BC0"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八</w:t>
            </w:r>
          </w:p>
        </w:tc>
        <w:tc>
          <w:tcPr>
            <w:tcW w:w="1470" w:type="dxa"/>
            <w:vAlign w:val="center"/>
          </w:tcPr>
          <w:p w14:paraId="46ADFF13"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0.70-14.03</w:t>
            </w:r>
          </w:p>
          <w:p w14:paraId="1C1F4C14"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1.61</w:t>
            </w:r>
          </w:p>
        </w:tc>
        <w:tc>
          <w:tcPr>
            <w:tcW w:w="1554" w:type="dxa"/>
            <w:vAlign w:val="center"/>
          </w:tcPr>
          <w:p w14:paraId="77B65C60"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6.60-34.91</w:t>
            </w:r>
          </w:p>
          <w:p w14:paraId="2A02C929"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20.83</w:t>
            </w:r>
          </w:p>
        </w:tc>
        <w:tc>
          <w:tcPr>
            <w:tcW w:w="1638" w:type="dxa"/>
            <w:vAlign w:val="center"/>
          </w:tcPr>
          <w:p w14:paraId="47EBEE27"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20.40-32.73</w:t>
            </w:r>
          </w:p>
          <w:p w14:paraId="411C3A37"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26.39</w:t>
            </w:r>
          </w:p>
        </w:tc>
        <w:tc>
          <w:tcPr>
            <w:tcW w:w="1932" w:type="dxa"/>
            <w:vAlign w:val="center"/>
          </w:tcPr>
          <w:p w14:paraId="72F226F8"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0.002-0.6548</w:t>
            </w:r>
          </w:p>
          <w:p w14:paraId="4ECDF3E0"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0.0329</w:t>
            </w:r>
          </w:p>
        </w:tc>
        <w:tc>
          <w:tcPr>
            <w:tcW w:w="1638" w:type="dxa"/>
            <w:vAlign w:val="center"/>
          </w:tcPr>
          <w:p w14:paraId="4E11B4E9"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0.89-5.18</w:t>
            </w:r>
          </w:p>
          <w:p w14:paraId="18563500"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2.53</w:t>
            </w:r>
          </w:p>
        </w:tc>
        <w:tc>
          <w:tcPr>
            <w:tcW w:w="1638" w:type="dxa"/>
            <w:vAlign w:val="center"/>
          </w:tcPr>
          <w:p w14:paraId="3E3BF91F"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0-2.49</w:t>
            </w:r>
          </w:p>
          <w:p w14:paraId="1DD0F5FA"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0.35</w:t>
            </w:r>
          </w:p>
        </w:tc>
        <w:tc>
          <w:tcPr>
            <w:tcW w:w="1512" w:type="dxa"/>
            <w:vAlign w:val="center"/>
          </w:tcPr>
          <w:p w14:paraId="747937E2"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0-2.90</w:t>
            </w:r>
          </w:p>
          <w:p w14:paraId="6961BE8D"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1.22</w:t>
            </w:r>
          </w:p>
        </w:tc>
        <w:tc>
          <w:tcPr>
            <w:tcW w:w="1512" w:type="dxa"/>
            <w:vAlign w:val="center"/>
          </w:tcPr>
          <w:p w14:paraId="65D82553"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0.90-2.03</w:t>
            </w:r>
          </w:p>
          <w:p w14:paraId="301CD5E4"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1.19</w:t>
            </w:r>
          </w:p>
        </w:tc>
      </w:tr>
      <w:tr w:rsidR="009C353B" w14:paraId="3C4AEAF4" w14:textId="77777777">
        <w:trPr>
          <w:cantSplit/>
          <w:trHeight w:val="400"/>
          <w:jc w:val="center"/>
        </w:trPr>
        <w:tc>
          <w:tcPr>
            <w:tcW w:w="714" w:type="dxa"/>
            <w:vAlign w:val="center"/>
          </w:tcPr>
          <w:p w14:paraId="70B1630D"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九</w:t>
            </w:r>
          </w:p>
        </w:tc>
        <w:tc>
          <w:tcPr>
            <w:tcW w:w="1470" w:type="dxa"/>
            <w:vAlign w:val="center"/>
          </w:tcPr>
          <w:p w14:paraId="6031CB5A"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0.73-1.63</w:t>
            </w:r>
          </w:p>
          <w:p w14:paraId="71532F9B"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1.16</w:t>
            </w:r>
          </w:p>
        </w:tc>
        <w:tc>
          <w:tcPr>
            <w:tcW w:w="1554" w:type="dxa"/>
            <w:vAlign w:val="center"/>
          </w:tcPr>
          <w:p w14:paraId="1F564D70"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3.83-29.31</w:t>
            </w:r>
          </w:p>
          <w:p w14:paraId="4CE58C8A"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15.58</w:t>
            </w:r>
          </w:p>
        </w:tc>
        <w:tc>
          <w:tcPr>
            <w:tcW w:w="1638" w:type="dxa"/>
            <w:vAlign w:val="center"/>
          </w:tcPr>
          <w:p w14:paraId="1D4D7595"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23.11-33.66</w:t>
            </w:r>
          </w:p>
          <w:p w14:paraId="3FA49ABD"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28.51</w:t>
            </w:r>
          </w:p>
        </w:tc>
        <w:tc>
          <w:tcPr>
            <w:tcW w:w="1932" w:type="dxa"/>
            <w:vAlign w:val="center"/>
          </w:tcPr>
          <w:p w14:paraId="28D114AF"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0.00-0.0294</w:t>
            </w:r>
          </w:p>
          <w:p w14:paraId="7813571C"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0.0034</w:t>
            </w:r>
          </w:p>
        </w:tc>
        <w:tc>
          <w:tcPr>
            <w:tcW w:w="1638" w:type="dxa"/>
            <w:vAlign w:val="center"/>
          </w:tcPr>
          <w:p w14:paraId="1901CFB3"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1.97-4.41</w:t>
            </w:r>
          </w:p>
          <w:p w14:paraId="7589C9AF"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3.16</w:t>
            </w:r>
          </w:p>
        </w:tc>
        <w:tc>
          <w:tcPr>
            <w:tcW w:w="1638" w:type="dxa"/>
            <w:vAlign w:val="center"/>
          </w:tcPr>
          <w:p w14:paraId="420B3F9A"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0-1.10</w:t>
            </w:r>
          </w:p>
          <w:p w14:paraId="4493C8B1"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0.16</w:t>
            </w:r>
          </w:p>
        </w:tc>
        <w:tc>
          <w:tcPr>
            <w:tcW w:w="1512" w:type="dxa"/>
            <w:vAlign w:val="center"/>
          </w:tcPr>
          <w:p w14:paraId="74870EA8"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0-2.77</w:t>
            </w:r>
          </w:p>
          <w:p w14:paraId="7C4A337F"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0.69</w:t>
            </w:r>
          </w:p>
        </w:tc>
        <w:tc>
          <w:tcPr>
            <w:tcW w:w="1512" w:type="dxa"/>
            <w:vAlign w:val="center"/>
          </w:tcPr>
          <w:p w14:paraId="45A681B4" w14:textId="77777777" w:rsidR="009C353B" w:rsidRDefault="00000000">
            <w:pPr>
              <w:pStyle w:val="afd"/>
              <w:spacing w:line="240" w:lineRule="atLeast"/>
              <w:ind w:firstLineChars="0" w:firstLine="0"/>
              <w:jc w:val="center"/>
              <w:rPr>
                <w:rFonts w:ascii="Times New Roman" w:eastAsiaTheme="minorEastAsia" w:hAnsi="Times New Roman"/>
                <w:bCs/>
                <w:sz w:val="20"/>
                <w:u w:val="single"/>
              </w:rPr>
            </w:pPr>
            <w:r>
              <w:rPr>
                <w:rFonts w:ascii="Times New Roman" w:eastAsiaTheme="minorEastAsia" w:hAnsi="Times New Roman"/>
                <w:bCs/>
                <w:sz w:val="20"/>
                <w:u w:val="single"/>
              </w:rPr>
              <w:t>0.93-3.31</w:t>
            </w:r>
          </w:p>
          <w:p w14:paraId="1FCAA5E4" w14:textId="77777777" w:rsidR="009C353B" w:rsidRDefault="00000000">
            <w:pPr>
              <w:pStyle w:val="afd"/>
              <w:spacing w:line="240" w:lineRule="atLeast"/>
              <w:ind w:firstLineChars="0" w:firstLine="0"/>
              <w:jc w:val="center"/>
              <w:rPr>
                <w:rFonts w:ascii="Times New Roman" w:eastAsiaTheme="minorEastAsia" w:hAnsi="Times New Roman"/>
                <w:bCs/>
                <w:sz w:val="20"/>
              </w:rPr>
            </w:pPr>
            <w:r>
              <w:rPr>
                <w:rFonts w:ascii="Times New Roman" w:eastAsiaTheme="minorEastAsia" w:hAnsi="Times New Roman"/>
                <w:bCs/>
                <w:sz w:val="20"/>
              </w:rPr>
              <w:t>2.49</w:t>
            </w:r>
          </w:p>
        </w:tc>
      </w:tr>
    </w:tbl>
    <w:p w14:paraId="2124654A" w14:textId="77777777" w:rsidR="009C353B" w:rsidRDefault="009C353B">
      <w:pPr>
        <w:pStyle w:val="affffd"/>
        <w:spacing w:line="440" w:lineRule="exact"/>
        <w:rPr>
          <w:rFonts w:ascii="Times New Roman" w:hAnsi="Times New Roman"/>
        </w:rPr>
        <w:sectPr w:rsidR="009C353B">
          <w:headerReference w:type="default" r:id="rId181"/>
          <w:pgSz w:w="16840" w:h="11907" w:orient="landscape"/>
          <w:pgMar w:top="1701" w:right="1418" w:bottom="1418" w:left="1418" w:header="1134" w:footer="851" w:gutter="0"/>
          <w:paperSrc w:first="7" w:other="7"/>
          <w:cols w:space="720"/>
          <w:docGrid w:linePitch="326"/>
        </w:sectPr>
      </w:pPr>
    </w:p>
    <w:p w14:paraId="0C4E88C6" w14:textId="77777777" w:rsidR="009C353B" w:rsidRDefault="00000000">
      <w:pPr>
        <w:pStyle w:val="40"/>
        <w:adjustRightInd w:val="0"/>
        <w:snapToGrid w:val="0"/>
        <w:spacing w:before="0" w:after="0" w:line="440" w:lineRule="exact"/>
        <w:rPr>
          <w:rFonts w:ascii="Times New Roman" w:eastAsia="宋体" w:hAnsi="Times New Roman"/>
        </w:rPr>
      </w:pPr>
      <w:r>
        <w:rPr>
          <w:rFonts w:ascii="Times New Roman" w:eastAsia="宋体" w:hAnsi="Times New Roman"/>
          <w:sz w:val="24"/>
        </w:rPr>
        <w:t>2.3</w:t>
      </w:r>
      <w:r>
        <w:rPr>
          <w:rFonts w:ascii="Times New Roman" w:eastAsia="宋体" w:hAnsi="Times New Roman" w:hint="eastAsia"/>
          <w:sz w:val="24"/>
        </w:rPr>
        <w:t>.3.4</w:t>
      </w:r>
      <w:r>
        <w:rPr>
          <w:rFonts w:ascii="Times New Roman" w:eastAsia="宋体" w:hAnsi="Times New Roman"/>
          <w:sz w:val="24"/>
        </w:rPr>
        <w:t xml:space="preserve"> </w:t>
      </w:r>
      <w:r>
        <w:rPr>
          <w:rFonts w:ascii="Times New Roman" w:eastAsia="宋体" w:hAnsi="宋体"/>
          <w:sz w:val="24"/>
        </w:rPr>
        <w:t>矿区勘查程度及储量</w:t>
      </w:r>
    </w:p>
    <w:p w14:paraId="3BE1D2F2"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1</w:t>
      </w:r>
      <w:r>
        <w:rPr>
          <w:rFonts w:ascii="Times New Roman"/>
          <w:b/>
        </w:rPr>
        <w:t>）矿区勘查程度</w:t>
      </w:r>
    </w:p>
    <w:p w14:paraId="61665E89" w14:textId="77777777" w:rsidR="009C353B" w:rsidRDefault="00000000">
      <w:pPr>
        <w:pStyle w:val="afffff"/>
        <w:spacing w:line="440" w:lineRule="exact"/>
        <w:jc w:val="left"/>
        <w:rPr>
          <w:rFonts w:ascii="Times New Roman" w:hint="eastAsia"/>
          <w:b/>
        </w:rPr>
      </w:pPr>
      <w:r>
        <w:rPr>
          <w:rFonts w:ascii="Times New Roman" w:hint="eastAsia"/>
          <w:kern w:val="0"/>
        </w:rPr>
        <w:t>矿区</w:t>
      </w:r>
      <w:r>
        <w:rPr>
          <w:rFonts w:ascii="Times New Roman"/>
          <w:kern w:val="0"/>
        </w:rPr>
        <w:t>规划区完成勘探面积</w:t>
      </w:r>
      <w:r>
        <w:rPr>
          <w:rFonts w:ascii="Times New Roman" w:hint="eastAsia"/>
          <w:kern w:val="0"/>
        </w:rPr>
        <w:t>68.69</w:t>
      </w:r>
      <w:r>
        <w:rPr>
          <w:rFonts w:ascii="Times New Roman"/>
          <w:kern w:val="0"/>
        </w:rPr>
        <w:t>km</w:t>
      </w:r>
      <w:r>
        <w:rPr>
          <w:rFonts w:ascii="Times New Roman"/>
          <w:kern w:val="0"/>
          <w:vertAlign w:val="superscript"/>
        </w:rPr>
        <w:t>2</w:t>
      </w:r>
      <w:r>
        <w:rPr>
          <w:rFonts w:ascii="Times New Roman" w:hint="eastAsia"/>
          <w:kern w:val="0"/>
        </w:rPr>
        <w:t>（煤层底板标高</w:t>
      </w:r>
      <w:r>
        <w:rPr>
          <w:rFonts w:ascii="Times New Roman" w:hint="eastAsia"/>
          <w:kern w:val="0"/>
        </w:rPr>
        <w:t>+500m</w:t>
      </w:r>
      <w:r>
        <w:rPr>
          <w:rFonts w:ascii="Times New Roman" w:hint="eastAsia"/>
          <w:kern w:val="0"/>
        </w:rPr>
        <w:t>以浅的区域）</w:t>
      </w:r>
      <w:r>
        <w:rPr>
          <w:rFonts w:ascii="Times New Roman"/>
          <w:kern w:val="0"/>
        </w:rPr>
        <w:t>，详查及以上区域面积占规划区含煤区域的</w:t>
      </w:r>
      <w:r>
        <w:rPr>
          <w:rFonts w:ascii="Times New Roman" w:hint="eastAsia"/>
          <w:kern w:val="0"/>
        </w:rPr>
        <w:t>74.8</w:t>
      </w:r>
      <w:r>
        <w:rPr>
          <w:rFonts w:ascii="Times New Roman"/>
          <w:kern w:val="0"/>
        </w:rPr>
        <w:t>%</w:t>
      </w:r>
      <w:r>
        <w:rPr>
          <w:rFonts w:ascii="Times New Roman" w:hint="eastAsia"/>
        </w:rPr>
        <w:t>，</w:t>
      </w:r>
      <w:r>
        <w:rPr>
          <w:rFonts w:ascii="Times New Roman"/>
        </w:rPr>
        <w:t>详</w:t>
      </w:r>
      <w:r>
        <w:rPr>
          <w:rFonts w:ascii="Times New Roman" w:hint="eastAsia"/>
        </w:rPr>
        <w:t>见</w:t>
      </w:r>
      <w:r>
        <w:rPr>
          <w:rFonts w:ascii="Times New Roman"/>
        </w:rPr>
        <w:t>表</w:t>
      </w:r>
      <w:r>
        <w:rPr>
          <w:rFonts w:ascii="Times New Roman" w:hint="eastAsia"/>
        </w:rPr>
        <w:t>2.3</w:t>
      </w:r>
      <w:r>
        <w:rPr>
          <w:rFonts w:ascii="Times New Roman"/>
        </w:rPr>
        <w:t>-3</w:t>
      </w:r>
      <w:r>
        <w:rPr>
          <w:rFonts w:ascii="Times New Roman"/>
        </w:rPr>
        <w:t>。</w:t>
      </w:r>
      <w:r>
        <w:rPr>
          <w:rFonts w:ascii="Times New Roman"/>
          <w:kern w:val="0"/>
        </w:rPr>
        <w:t>矿区勘查程度见图</w:t>
      </w:r>
      <w:r>
        <w:rPr>
          <w:rFonts w:ascii="Times New Roman" w:hAnsi="Times New Roman"/>
          <w:kern w:val="0"/>
        </w:rPr>
        <w:t>2.3-3</w:t>
      </w:r>
      <w:r>
        <w:rPr>
          <w:rFonts w:ascii="Times New Roman"/>
          <w:kern w:val="0"/>
        </w:rPr>
        <w:t>。</w:t>
      </w:r>
    </w:p>
    <w:p w14:paraId="2F4598B2" w14:textId="77777777" w:rsidR="009C353B" w:rsidRDefault="00000000">
      <w:pPr>
        <w:pStyle w:val="afffff"/>
        <w:spacing w:line="440" w:lineRule="exact"/>
        <w:ind w:firstLineChars="0" w:firstLine="0"/>
        <w:jc w:val="center"/>
        <w:rPr>
          <w:rFonts w:ascii="Times New Roman" w:hint="eastAsia"/>
        </w:rPr>
      </w:pPr>
      <w:r>
        <w:rPr>
          <w:rFonts w:ascii="Times New Roman"/>
          <w:b/>
        </w:rPr>
        <w:t>矿区勘查程度</w:t>
      </w:r>
    </w:p>
    <w:p w14:paraId="1BFF9FDC" w14:textId="77777777" w:rsidR="009C353B" w:rsidRDefault="00000000">
      <w:pPr>
        <w:pStyle w:val="affffd"/>
        <w:spacing w:line="440" w:lineRule="exact"/>
        <w:rPr>
          <w:rFonts w:ascii="Times New Roman" w:hint="eastAsia"/>
        </w:rPr>
      </w:pPr>
      <w:r>
        <w:rPr>
          <w:rFonts w:ascii="Times New Roman"/>
        </w:rPr>
        <w:t>表</w:t>
      </w:r>
      <w:r>
        <w:rPr>
          <w:rFonts w:ascii="Times New Roman"/>
        </w:rPr>
        <w:t>2.3-3</w:t>
      </w:r>
    </w:p>
    <w:tbl>
      <w:tblPr>
        <w:tblW w:w="8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1"/>
        <w:gridCol w:w="2458"/>
        <w:gridCol w:w="4630"/>
      </w:tblGrid>
      <w:tr w:rsidR="009C353B" w14:paraId="7A67992F" w14:textId="77777777">
        <w:trPr>
          <w:trHeight w:val="434"/>
        </w:trPr>
        <w:tc>
          <w:tcPr>
            <w:tcW w:w="4359" w:type="dxa"/>
            <w:gridSpan w:val="2"/>
            <w:vAlign w:val="center"/>
          </w:tcPr>
          <w:p w14:paraId="38A4816E" w14:textId="77777777" w:rsidR="009C353B" w:rsidRDefault="00000000">
            <w:pPr>
              <w:widowControl/>
              <w:jc w:val="center"/>
              <w:rPr>
                <w:rFonts w:ascii="Times New Roman" w:hAnsi="Times New Roman"/>
                <w:kern w:val="0"/>
                <w:sz w:val="21"/>
                <w:szCs w:val="21"/>
              </w:rPr>
            </w:pPr>
            <w:r>
              <w:rPr>
                <w:rFonts w:ascii="Times New Roman" w:hint="eastAsia"/>
                <w:sz w:val="21"/>
                <w:szCs w:val="21"/>
              </w:rPr>
              <w:t>名称</w:t>
            </w:r>
          </w:p>
        </w:tc>
        <w:tc>
          <w:tcPr>
            <w:tcW w:w="4630" w:type="dxa"/>
            <w:vAlign w:val="center"/>
          </w:tcPr>
          <w:p w14:paraId="1A062FE1" w14:textId="77777777" w:rsidR="009C353B" w:rsidRDefault="00000000">
            <w:pPr>
              <w:widowControl/>
              <w:jc w:val="center"/>
              <w:rPr>
                <w:rFonts w:ascii="Times New Roman" w:hAnsi="Times New Roman"/>
                <w:kern w:val="0"/>
                <w:sz w:val="21"/>
                <w:szCs w:val="21"/>
              </w:rPr>
            </w:pPr>
            <w:r>
              <w:rPr>
                <w:rFonts w:ascii="Times New Roman" w:hint="eastAsia"/>
                <w:sz w:val="21"/>
                <w:szCs w:val="21"/>
              </w:rPr>
              <w:t>勘查</w:t>
            </w:r>
            <w:r>
              <w:rPr>
                <w:rFonts w:ascii="Times New Roman"/>
                <w:sz w:val="21"/>
                <w:szCs w:val="21"/>
              </w:rPr>
              <w:t>程度</w:t>
            </w:r>
          </w:p>
        </w:tc>
      </w:tr>
      <w:tr w:rsidR="009C353B" w14:paraId="5379337C" w14:textId="77777777">
        <w:trPr>
          <w:trHeight w:val="347"/>
        </w:trPr>
        <w:tc>
          <w:tcPr>
            <w:tcW w:w="4359" w:type="dxa"/>
            <w:gridSpan w:val="2"/>
            <w:vAlign w:val="center"/>
          </w:tcPr>
          <w:p w14:paraId="736CA718" w14:textId="77777777" w:rsidR="009C353B" w:rsidRDefault="00000000">
            <w:pPr>
              <w:widowControl/>
              <w:jc w:val="center"/>
              <w:rPr>
                <w:rFonts w:ascii="Times New Roman" w:hAnsi="Times New Roman"/>
                <w:kern w:val="0"/>
                <w:sz w:val="21"/>
                <w:szCs w:val="21"/>
              </w:rPr>
            </w:pPr>
            <w:r>
              <w:rPr>
                <w:rFonts w:ascii="Times New Roman" w:hint="eastAsia"/>
                <w:sz w:val="21"/>
                <w:szCs w:val="21"/>
              </w:rPr>
              <w:t>马莲台煤矿</w:t>
            </w:r>
          </w:p>
        </w:tc>
        <w:tc>
          <w:tcPr>
            <w:tcW w:w="4630" w:type="dxa"/>
            <w:vAlign w:val="center"/>
          </w:tcPr>
          <w:p w14:paraId="2A5329D9" w14:textId="77777777" w:rsidR="009C353B" w:rsidRDefault="00000000">
            <w:pPr>
              <w:widowControl/>
              <w:jc w:val="center"/>
              <w:rPr>
                <w:rFonts w:ascii="Times New Roman" w:hAnsi="Times New Roman"/>
                <w:kern w:val="0"/>
                <w:sz w:val="21"/>
                <w:szCs w:val="21"/>
              </w:rPr>
            </w:pPr>
            <w:r>
              <w:rPr>
                <w:rFonts w:ascii="Times New Roman" w:hint="eastAsia"/>
                <w:sz w:val="21"/>
                <w:szCs w:val="21"/>
              </w:rPr>
              <w:t>勘探</w:t>
            </w:r>
          </w:p>
        </w:tc>
      </w:tr>
      <w:tr w:rsidR="009C353B" w14:paraId="42CA423D" w14:textId="77777777">
        <w:trPr>
          <w:trHeight w:val="347"/>
        </w:trPr>
        <w:tc>
          <w:tcPr>
            <w:tcW w:w="4359" w:type="dxa"/>
            <w:gridSpan w:val="2"/>
            <w:vAlign w:val="center"/>
          </w:tcPr>
          <w:p w14:paraId="6BB90B17" w14:textId="77777777" w:rsidR="009C353B" w:rsidRDefault="00000000">
            <w:pPr>
              <w:widowControl/>
              <w:jc w:val="center"/>
              <w:rPr>
                <w:rFonts w:ascii="Times New Roman" w:hAnsi="Times New Roman"/>
                <w:kern w:val="0"/>
                <w:sz w:val="21"/>
                <w:szCs w:val="21"/>
              </w:rPr>
            </w:pPr>
            <w:r>
              <w:rPr>
                <w:rFonts w:ascii="Times New Roman" w:hint="eastAsia"/>
                <w:sz w:val="21"/>
                <w:szCs w:val="21"/>
              </w:rPr>
              <w:t>任家庄煤矿</w:t>
            </w:r>
          </w:p>
        </w:tc>
        <w:tc>
          <w:tcPr>
            <w:tcW w:w="4630" w:type="dxa"/>
            <w:vAlign w:val="center"/>
          </w:tcPr>
          <w:p w14:paraId="34EB528A" w14:textId="77777777" w:rsidR="009C353B" w:rsidRDefault="00000000">
            <w:pPr>
              <w:widowControl/>
              <w:jc w:val="center"/>
              <w:rPr>
                <w:rFonts w:ascii="Times New Roman" w:hAnsi="Times New Roman"/>
                <w:kern w:val="0"/>
                <w:sz w:val="21"/>
                <w:szCs w:val="21"/>
              </w:rPr>
            </w:pPr>
            <w:r>
              <w:rPr>
                <w:rFonts w:ascii="Times New Roman" w:hint="eastAsia"/>
                <w:sz w:val="21"/>
                <w:szCs w:val="21"/>
              </w:rPr>
              <w:t>勘探</w:t>
            </w:r>
          </w:p>
        </w:tc>
      </w:tr>
      <w:tr w:rsidR="009C353B" w14:paraId="3BCC92E2" w14:textId="77777777">
        <w:trPr>
          <w:trHeight w:val="347"/>
        </w:trPr>
        <w:tc>
          <w:tcPr>
            <w:tcW w:w="4359" w:type="dxa"/>
            <w:gridSpan w:val="2"/>
            <w:vAlign w:val="center"/>
          </w:tcPr>
          <w:p w14:paraId="645BEA49" w14:textId="77777777" w:rsidR="009C353B" w:rsidRDefault="00000000">
            <w:pPr>
              <w:widowControl/>
              <w:jc w:val="center"/>
              <w:rPr>
                <w:rFonts w:ascii="Times New Roman" w:hAnsi="Times New Roman"/>
                <w:kern w:val="0"/>
                <w:sz w:val="21"/>
                <w:szCs w:val="21"/>
              </w:rPr>
            </w:pPr>
            <w:r>
              <w:rPr>
                <w:rFonts w:ascii="Times New Roman" w:hint="eastAsia"/>
                <w:sz w:val="21"/>
                <w:szCs w:val="21"/>
              </w:rPr>
              <w:t>红石湾煤矿</w:t>
            </w:r>
          </w:p>
        </w:tc>
        <w:tc>
          <w:tcPr>
            <w:tcW w:w="4630" w:type="dxa"/>
            <w:vAlign w:val="center"/>
          </w:tcPr>
          <w:p w14:paraId="3537E157" w14:textId="77777777" w:rsidR="009C353B" w:rsidRDefault="00000000">
            <w:pPr>
              <w:widowControl/>
              <w:jc w:val="center"/>
              <w:rPr>
                <w:rFonts w:ascii="Times New Roman" w:hAnsi="Times New Roman"/>
                <w:kern w:val="0"/>
                <w:sz w:val="21"/>
                <w:szCs w:val="21"/>
              </w:rPr>
            </w:pPr>
            <w:r>
              <w:rPr>
                <w:rFonts w:ascii="Times New Roman" w:hint="eastAsia"/>
                <w:sz w:val="21"/>
                <w:szCs w:val="21"/>
              </w:rPr>
              <w:t>勘探</w:t>
            </w:r>
          </w:p>
        </w:tc>
      </w:tr>
      <w:tr w:rsidR="009C353B" w14:paraId="0E78E3FC" w14:textId="77777777">
        <w:trPr>
          <w:trHeight w:val="347"/>
        </w:trPr>
        <w:tc>
          <w:tcPr>
            <w:tcW w:w="1901" w:type="dxa"/>
            <w:vMerge w:val="restart"/>
            <w:vAlign w:val="center"/>
          </w:tcPr>
          <w:p w14:paraId="322BBE7F" w14:textId="77777777" w:rsidR="009C353B" w:rsidRDefault="00000000">
            <w:pPr>
              <w:widowControl/>
              <w:jc w:val="center"/>
              <w:rPr>
                <w:rFonts w:ascii="Times New Roman" w:hAnsi="Times New Roman"/>
                <w:kern w:val="0"/>
                <w:sz w:val="21"/>
                <w:szCs w:val="21"/>
              </w:rPr>
            </w:pPr>
            <w:r>
              <w:rPr>
                <w:rFonts w:ascii="Times New Roman" w:hint="eastAsia"/>
                <w:sz w:val="21"/>
                <w:szCs w:val="21"/>
              </w:rPr>
              <w:t>丁家梁煤矿</w:t>
            </w:r>
          </w:p>
        </w:tc>
        <w:tc>
          <w:tcPr>
            <w:tcW w:w="2458" w:type="dxa"/>
            <w:vAlign w:val="center"/>
          </w:tcPr>
          <w:p w14:paraId="5337D22C" w14:textId="77777777" w:rsidR="009C353B" w:rsidRDefault="00000000">
            <w:pPr>
              <w:widowControl/>
              <w:jc w:val="center"/>
              <w:rPr>
                <w:rFonts w:ascii="Times New Roman" w:hAnsi="Times New Roman"/>
                <w:kern w:val="0"/>
                <w:sz w:val="21"/>
                <w:szCs w:val="21"/>
              </w:rPr>
            </w:pPr>
            <w:r>
              <w:rPr>
                <w:rFonts w:ascii="Times New Roman" w:hint="eastAsia"/>
                <w:sz w:val="21"/>
                <w:szCs w:val="21"/>
              </w:rPr>
              <w:t>原丁家梁井田</w:t>
            </w:r>
          </w:p>
        </w:tc>
        <w:tc>
          <w:tcPr>
            <w:tcW w:w="4630" w:type="dxa"/>
            <w:vAlign w:val="center"/>
          </w:tcPr>
          <w:p w14:paraId="1F86B921" w14:textId="77777777" w:rsidR="009C353B" w:rsidRDefault="00000000">
            <w:pPr>
              <w:widowControl/>
              <w:jc w:val="center"/>
              <w:rPr>
                <w:rFonts w:ascii="Times New Roman" w:hAnsi="Times New Roman"/>
                <w:kern w:val="0"/>
                <w:sz w:val="21"/>
                <w:szCs w:val="21"/>
              </w:rPr>
            </w:pPr>
            <w:r>
              <w:rPr>
                <w:rFonts w:ascii="Times New Roman" w:hint="eastAsia"/>
                <w:sz w:val="21"/>
                <w:szCs w:val="21"/>
              </w:rPr>
              <w:t>勘探</w:t>
            </w:r>
          </w:p>
        </w:tc>
      </w:tr>
      <w:tr w:rsidR="009C353B" w14:paraId="0D0F62CA" w14:textId="77777777">
        <w:trPr>
          <w:trHeight w:val="347"/>
        </w:trPr>
        <w:tc>
          <w:tcPr>
            <w:tcW w:w="1901" w:type="dxa"/>
            <w:vMerge/>
            <w:vAlign w:val="center"/>
          </w:tcPr>
          <w:p w14:paraId="4ECEE87A" w14:textId="77777777" w:rsidR="009C353B" w:rsidRDefault="009C353B">
            <w:pPr>
              <w:widowControl/>
              <w:jc w:val="center"/>
              <w:rPr>
                <w:rFonts w:ascii="Times New Roman" w:hint="eastAsia"/>
                <w:sz w:val="21"/>
                <w:szCs w:val="21"/>
              </w:rPr>
            </w:pPr>
          </w:p>
        </w:tc>
        <w:tc>
          <w:tcPr>
            <w:tcW w:w="2458" w:type="dxa"/>
            <w:vAlign w:val="center"/>
          </w:tcPr>
          <w:p w14:paraId="72B9776B" w14:textId="77777777" w:rsidR="009C353B" w:rsidRDefault="00000000">
            <w:pPr>
              <w:widowControl/>
              <w:jc w:val="center"/>
              <w:rPr>
                <w:rFonts w:ascii="Times New Roman" w:hint="eastAsia"/>
                <w:sz w:val="21"/>
                <w:szCs w:val="21"/>
              </w:rPr>
            </w:pPr>
            <w:r>
              <w:rPr>
                <w:rFonts w:ascii="Times New Roman" w:hint="eastAsia"/>
                <w:sz w:val="21"/>
                <w:szCs w:val="21"/>
              </w:rPr>
              <w:t>原甜水河井田</w:t>
            </w:r>
          </w:p>
        </w:tc>
        <w:tc>
          <w:tcPr>
            <w:tcW w:w="4630" w:type="dxa"/>
            <w:vAlign w:val="center"/>
          </w:tcPr>
          <w:p w14:paraId="502741AD" w14:textId="77777777" w:rsidR="009C353B" w:rsidRDefault="00000000">
            <w:pPr>
              <w:widowControl/>
              <w:jc w:val="center"/>
              <w:rPr>
                <w:rFonts w:ascii="Times New Roman" w:hint="eastAsia"/>
                <w:sz w:val="21"/>
                <w:szCs w:val="21"/>
              </w:rPr>
            </w:pPr>
            <w:r>
              <w:rPr>
                <w:rFonts w:ascii="Times New Roman" w:hint="eastAsia"/>
                <w:sz w:val="21"/>
                <w:szCs w:val="21"/>
              </w:rPr>
              <w:t>勘探</w:t>
            </w:r>
          </w:p>
        </w:tc>
      </w:tr>
      <w:tr w:rsidR="009C353B" w14:paraId="5FD7EB9A" w14:textId="77777777">
        <w:trPr>
          <w:trHeight w:val="347"/>
        </w:trPr>
        <w:tc>
          <w:tcPr>
            <w:tcW w:w="4359" w:type="dxa"/>
            <w:gridSpan w:val="2"/>
            <w:vAlign w:val="center"/>
          </w:tcPr>
          <w:p w14:paraId="224DAA2A" w14:textId="77777777" w:rsidR="009C353B" w:rsidRDefault="00000000">
            <w:pPr>
              <w:widowControl/>
              <w:jc w:val="center"/>
              <w:rPr>
                <w:rFonts w:ascii="Times New Roman" w:hAnsi="Times New Roman"/>
                <w:kern w:val="0"/>
                <w:sz w:val="21"/>
                <w:szCs w:val="21"/>
              </w:rPr>
            </w:pPr>
            <w:r>
              <w:rPr>
                <w:rFonts w:ascii="Times New Roman" w:hint="eastAsia"/>
                <w:sz w:val="21"/>
                <w:szCs w:val="21"/>
              </w:rPr>
              <w:t>马莲台煤矿后备区</w:t>
            </w:r>
          </w:p>
        </w:tc>
        <w:tc>
          <w:tcPr>
            <w:tcW w:w="4630" w:type="dxa"/>
            <w:vAlign w:val="center"/>
          </w:tcPr>
          <w:p w14:paraId="1885CB60" w14:textId="77777777" w:rsidR="009C353B" w:rsidRDefault="00000000">
            <w:pPr>
              <w:widowControl/>
              <w:jc w:val="center"/>
              <w:rPr>
                <w:rFonts w:ascii="Times New Roman" w:hAnsi="Times New Roman"/>
                <w:kern w:val="0"/>
                <w:sz w:val="21"/>
                <w:szCs w:val="21"/>
              </w:rPr>
            </w:pPr>
            <w:r>
              <w:rPr>
                <w:sz w:val="21"/>
                <w:szCs w:val="21"/>
              </w:rPr>
              <w:t>普查</w:t>
            </w:r>
          </w:p>
        </w:tc>
      </w:tr>
      <w:tr w:rsidR="009C353B" w14:paraId="38C9C2BB" w14:textId="77777777">
        <w:trPr>
          <w:trHeight w:val="347"/>
        </w:trPr>
        <w:tc>
          <w:tcPr>
            <w:tcW w:w="4359" w:type="dxa"/>
            <w:gridSpan w:val="2"/>
            <w:vAlign w:val="center"/>
          </w:tcPr>
          <w:p w14:paraId="797668F4" w14:textId="77777777" w:rsidR="009C353B" w:rsidRDefault="00000000">
            <w:pPr>
              <w:widowControl/>
              <w:jc w:val="center"/>
              <w:rPr>
                <w:rFonts w:ascii="Times New Roman" w:hAnsi="Times New Roman"/>
                <w:kern w:val="0"/>
                <w:sz w:val="21"/>
                <w:szCs w:val="21"/>
              </w:rPr>
            </w:pPr>
            <w:r>
              <w:rPr>
                <w:rFonts w:ascii="Times New Roman" w:hint="eastAsia"/>
                <w:sz w:val="21"/>
                <w:szCs w:val="21"/>
              </w:rPr>
              <w:t>任家庄煤矿后备区</w:t>
            </w:r>
          </w:p>
        </w:tc>
        <w:tc>
          <w:tcPr>
            <w:tcW w:w="4630" w:type="dxa"/>
            <w:vAlign w:val="center"/>
          </w:tcPr>
          <w:p w14:paraId="4EA55C10" w14:textId="77777777" w:rsidR="009C353B" w:rsidRDefault="00000000">
            <w:pPr>
              <w:widowControl/>
              <w:jc w:val="center"/>
              <w:rPr>
                <w:rFonts w:ascii="Times New Roman" w:hAnsi="Times New Roman"/>
                <w:kern w:val="0"/>
                <w:sz w:val="21"/>
                <w:szCs w:val="21"/>
              </w:rPr>
            </w:pPr>
            <w:r>
              <w:rPr>
                <w:sz w:val="21"/>
                <w:szCs w:val="21"/>
              </w:rPr>
              <w:t>普查</w:t>
            </w:r>
          </w:p>
        </w:tc>
      </w:tr>
      <w:tr w:rsidR="009C353B" w14:paraId="46AD8C50" w14:textId="77777777">
        <w:trPr>
          <w:trHeight w:val="347"/>
        </w:trPr>
        <w:tc>
          <w:tcPr>
            <w:tcW w:w="4359" w:type="dxa"/>
            <w:gridSpan w:val="2"/>
            <w:vAlign w:val="center"/>
          </w:tcPr>
          <w:p w14:paraId="2F404F82" w14:textId="77777777" w:rsidR="009C353B" w:rsidRDefault="00000000">
            <w:pPr>
              <w:widowControl/>
              <w:jc w:val="center"/>
              <w:rPr>
                <w:rFonts w:ascii="Times New Roman" w:hAnsi="Times New Roman"/>
                <w:kern w:val="0"/>
                <w:sz w:val="21"/>
                <w:szCs w:val="21"/>
              </w:rPr>
            </w:pPr>
            <w:r>
              <w:rPr>
                <w:rFonts w:ascii="Times New Roman" w:hint="eastAsia"/>
                <w:sz w:val="21"/>
                <w:szCs w:val="21"/>
              </w:rPr>
              <w:t>红石湾煤矿后备区</w:t>
            </w:r>
          </w:p>
        </w:tc>
        <w:tc>
          <w:tcPr>
            <w:tcW w:w="4630" w:type="dxa"/>
            <w:vAlign w:val="center"/>
          </w:tcPr>
          <w:p w14:paraId="51370452" w14:textId="77777777" w:rsidR="009C353B" w:rsidRDefault="00000000">
            <w:pPr>
              <w:widowControl/>
              <w:jc w:val="center"/>
              <w:rPr>
                <w:rFonts w:ascii="Times New Roman" w:hAnsi="Times New Roman"/>
                <w:kern w:val="0"/>
                <w:sz w:val="21"/>
                <w:szCs w:val="21"/>
              </w:rPr>
            </w:pPr>
            <w:r>
              <w:rPr>
                <w:sz w:val="21"/>
                <w:szCs w:val="21"/>
              </w:rPr>
              <w:t>普查</w:t>
            </w:r>
          </w:p>
        </w:tc>
      </w:tr>
    </w:tbl>
    <w:p w14:paraId="0AECC0B1" w14:textId="77777777" w:rsidR="009C353B" w:rsidRDefault="009C353B">
      <w:pPr>
        <w:adjustRightInd w:val="0"/>
        <w:snapToGrid w:val="0"/>
        <w:spacing w:line="440" w:lineRule="exact"/>
        <w:ind w:firstLineChars="200" w:firstLine="482"/>
        <w:rPr>
          <w:rFonts w:ascii="Times New Roman" w:hint="eastAsia"/>
          <w:b/>
        </w:rPr>
      </w:pPr>
    </w:p>
    <w:p w14:paraId="37A901CB"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2</w:t>
      </w:r>
      <w:r>
        <w:rPr>
          <w:rFonts w:ascii="Times New Roman"/>
          <w:b/>
        </w:rPr>
        <w:t>）储量</w:t>
      </w:r>
    </w:p>
    <w:p w14:paraId="69B6AB20"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rPr>
        <w:t>总规已将超过</w:t>
      </w:r>
      <w:r>
        <w:rPr>
          <w:rFonts w:ascii="Times New Roman" w:hAnsi="Times New Roman"/>
        </w:rPr>
        <w:t>3%</w:t>
      </w:r>
      <w:r>
        <w:rPr>
          <w:rFonts w:ascii="Times New Roman" w:hAnsi="Times New Roman"/>
        </w:rPr>
        <w:t>高硫煤资源扣除，扣除后横城矿区范围内共有资源总量</w:t>
      </w:r>
      <w:r>
        <w:rPr>
          <w:rFonts w:ascii="Times New Roman" w:hAnsi="Times New Roman"/>
        </w:rPr>
        <w:t>2037.29Mt</w:t>
      </w:r>
      <w:r>
        <w:rPr>
          <w:rFonts w:ascii="Times New Roman" w:hAnsi="Times New Roman"/>
        </w:rPr>
        <w:t>，横城矿区共有地质储量</w:t>
      </w:r>
      <w:r>
        <w:rPr>
          <w:rFonts w:ascii="Times New Roman" w:hAnsi="Times New Roman"/>
        </w:rPr>
        <w:t>1020.17Mt</w:t>
      </w:r>
      <w:r>
        <w:rPr>
          <w:rFonts w:ascii="Times New Roman" w:hAnsi="Times New Roman"/>
        </w:rPr>
        <w:t>，可采储量</w:t>
      </w:r>
      <w:r>
        <w:rPr>
          <w:rFonts w:ascii="Times New Roman" w:hAnsi="Times New Roman"/>
        </w:rPr>
        <w:t>466.68 Mt</w:t>
      </w:r>
      <w:r>
        <w:rPr>
          <w:rFonts w:ascii="Times New Roman" w:hAnsi="Times New Roman"/>
        </w:rPr>
        <w:t>。</w:t>
      </w:r>
    </w:p>
    <w:p w14:paraId="1FCFD76C"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2.3.3.5</w:t>
      </w:r>
      <w:r>
        <w:rPr>
          <w:rFonts w:ascii="Times New Roman" w:eastAsia="宋体" w:hAnsi="宋体"/>
          <w:sz w:val="24"/>
        </w:rPr>
        <w:t>瓦斯、煤尘及煤的自燃</w:t>
      </w:r>
    </w:p>
    <w:p w14:paraId="03881A30" w14:textId="77777777" w:rsidR="009C353B" w:rsidRDefault="00000000">
      <w:pPr>
        <w:adjustRightInd w:val="0"/>
        <w:snapToGrid w:val="0"/>
        <w:spacing w:line="440" w:lineRule="exact"/>
        <w:ind w:firstLineChars="200" w:firstLine="480"/>
        <w:jc w:val="left"/>
        <w:rPr>
          <w:rFonts w:ascii="Times New Roman" w:hint="eastAsia"/>
          <w:szCs w:val="28"/>
        </w:rPr>
      </w:pPr>
      <w:r>
        <w:t>根据勘查、勘探报告提供的煤层瓦斯含量并结合临近生产矿井实际瓦斯涌出数据，矿区内各煤层瓦斯含量普遍偏低，</w:t>
      </w:r>
      <w:r>
        <w:rPr>
          <w:rFonts w:hint="eastAsia"/>
        </w:rPr>
        <w:t>除丁家梁矿井外均为低瓦斯矿井。</w:t>
      </w:r>
      <w:r>
        <w:rPr>
          <w:rFonts w:ascii="Times New Roman" w:hint="eastAsia"/>
          <w:szCs w:val="28"/>
        </w:rPr>
        <w:t>各煤层瓦斯含量普遍较低，但不排除局部地区瓦斯积聚。</w:t>
      </w:r>
    </w:p>
    <w:p w14:paraId="17614FA6" w14:textId="77777777" w:rsidR="009C353B" w:rsidRDefault="00000000">
      <w:pPr>
        <w:adjustRightInd w:val="0"/>
        <w:snapToGrid w:val="0"/>
        <w:spacing w:line="440" w:lineRule="exact"/>
        <w:ind w:firstLineChars="200" w:firstLine="480"/>
        <w:jc w:val="left"/>
        <w:rPr>
          <w:rFonts w:ascii="Times New Roman" w:hint="eastAsia"/>
          <w:szCs w:val="28"/>
        </w:rPr>
      </w:pPr>
      <w:r>
        <w:rPr>
          <w:rFonts w:hint="eastAsia"/>
        </w:rPr>
        <w:t>横城矿区各煤矿煤尘爆炸性测试试验结果表明，各可采煤层均属有爆炸性危险的煤层。横城矿区各煤矿自燃倾向测试试验结果表明，各可采煤层均属自燃级。</w:t>
      </w:r>
    </w:p>
    <w:p w14:paraId="0B394D3A"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2.3</w:t>
      </w:r>
      <w:r>
        <w:rPr>
          <w:rFonts w:ascii="Times New Roman" w:hAnsi="Times New Roman" w:hint="eastAsia"/>
          <w:sz w:val="24"/>
        </w:rPr>
        <w:t>.4</w:t>
      </w:r>
      <w:r>
        <w:rPr>
          <w:rFonts w:ascii="Times New Roman" w:hAnsi="Times New Roman"/>
          <w:sz w:val="24"/>
        </w:rPr>
        <w:t xml:space="preserve"> </w:t>
      </w:r>
      <w:r>
        <w:rPr>
          <w:rFonts w:ascii="Times New Roman"/>
          <w:sz w:val="24"/>
        </w:rPr>
        <w:t>煤矿建设规划</w:t>
      </w:r>
    </w:p>
    <w:p w14:paraId="30546D35"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.4</w:t>
      </w:r>
      <w:r>
        <w:rPr>
          <w:rFonts w:ascii="Times New Roman" w:eastAsia="宋体" w:hAnsi="Times New Roman"/>
          <w:sz w:val="24"/>
        </w:rPr>
        <w:t xml:space="preserve">.1 </w:t>
      </w:r>
      <w:r>
        <w:rPr>
          <w:rFonts w:ascii="Times New Roman" w:eastAsia="宋体" w:hAnsi="宋体" w:hint="eastAsia"/>
          <w:sz w:val="24"/>
        </w:rPr>
        <w:t>井</w:t>
      </w:r>
      <w:r>
        <w:rPr>
          <w:rFonts w:ascii="Times New Roman" w:eastAsia="宋体" w:hAnsi="宋体"/>
          <w:sz w:val="24"/>
        </w:rPr>
        <w:t>田划分方案及开拓方式</w:t>
      </w:r>
    </w:p>
    <w:p w14:paraId="31EE5A8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矿区规划</w:t>
      </w:r>
      <w:r>
        <w:rPr>
          <w:rFonts w:ascii="Times New Roman"/>
        </w:rPr>
        <w:t>4</w:t>
      </w:r>
      <w:r>
        <w:rPr>
          <w:rFonts w:ascii="Times New Roman" w:hint="eastAsia"/>
        </w:rPr>
        <w:t>个煤矿，均为井工矿。并规划</w:t>
      </w:r>
      <w:r>
        <w:rPr>
          <w:rFonts w:ascii="Times New Roman" w:hint="eastAsia"/>
        </w:rPr>
        <w:t>3</w:t>
      </w:r>
      <w:r>
        <w:rPr>
          <w:rFonts w:ascii="Times New Roman" w:hint="eastAsia"/>
        </w:rPr>
        <w:t>个后备区。</w:t>
      </w:r>
      <w:r>
        <w:rPr>
          <w:rFonts w:ascii="Times New Roman"/>
        </w:rPr>
        <w:t>矿区规划</w:t>
      </w:r>
      <w:r>
        <w:rPr>
          <w:rFonts w:ascii="Times New Roman" w:hint="eastAsia"/>
        </w:rPr>
        <w:t>井</w:t>
      </w:r>
      <w:r>
        <w:rPr>
          <w:rFonts w:ascii="Times New Roman"/>
        </w:rPr>
        <w:t>田划分方案见图</w:t>
      </w:r>
      <w:r>
        <w:rPr>
          <w:rFonts w:ascii="Times New Roman" w:hAnsi="Times New Roman"/>
        </w:rPr>
        <w:t>2.2-5</w:t>
      </w:r>
      <w:r>
        <w:rPr>
          <w:rFonts w:ascii="Times New Roman"/>
        </w:rPr>
        <w:t>，开拓、开采方式特征汇总见表</w:t>
      </w:r>
      <w:r>
        <w:rPr>
          <w:rFonts w:ascii="Times New Roman" w:hAnsi="Times New Roman"/>
        </w:rPr>
        <w:t>2.3-4</w:t>
      </w:r>
      <w:r>
        <w:rPr>
          <w:rFonts w:ascii="Times New Roman"/>
        </w:rPr>
        <w:t>。</w:t>
      </w:r>
    </w:p>
    <w:p w14:paraId="2012CEF2" w14:textId="77777777" w:rsidR="009C353B" w:rsidRDefault="009C353B">
      <w:pPr>
        <w:adjustRightInd w:val="0"/>
        <w:snapToGrid w:val="0"/>
        <w:spacing w:line="440" w:lineRule="exact"/>
        <w:ind w:firstLineChars="200" w:firstLine="480"/>
        <w:rPr>
          <w:rFonts w:ascii="Times New Roman" w:hint="eastAsia"/>
        </w:rPr>
        <w:sectPr w:rsidR="009C353B">
          <w:headerReference w:type="default" r:id="rId182"/>
          <w:pgSz w:w="11907" w:h="16840"/>
          <w:pgMar w:top="1418" w:right="1701" w:bottom="1418" w:left="1418" w:header="960" w:footer="1000" w:gutter="0"/>
          <w:paperSrc w:first="7" w:other="7"/>
          <w:cols w:space="720"/>
          <w:docGrid w:linePitch="326"/>
        </w:sectPr>
      </w:pPr>
    </w:p>
    <w:p w14:paraId="0C99E9B7" w14:textId="77777777" w:rsidR="009C353B" w:rsidRDefault="009C353B">
      <w:pPr>
        <w:adjustRightInd w:val="0"/>
        <w:snapToGrid w:val="0"/>
        <w:spacing w:line="440" w:lineRule="exact"/>
        <w:ind w:firstLineChars="200" w:firstLine="480"/>
        <w:rPr>
          <w:rFonts w:ascii="Times New Roman" w:hint="eastAsia"/>
        </w:rPr>
      </w:pPr>
    </w:p>
    <w:p w14:paraId="07A7D61E" w14:textId="77777777" w:rsidR="009C353B" w:rsidRDefault="00000000">
      <w:pPr>
        <w:tabs>
          <w:tab w:val="left" w:pos="4140"/>
        </w:tabs>
        <w:adjustRightInd w:val="0"/>
        <w:snapToGrid w:val="0"/>
        <w:jc w:val="center"/>
        <w:rPr>
          <w:rFonts w:ascii="Times New Roman" w:hAnsi="Times New Roman"/>
          <w:b/>
          <w:bCs/>
        </w:rPr>
      </w:pPr>
      <w:r>
        <w:rPr>
          <w:rFonts w:ascii="Times New Roman"/>
          <w:b/>
          <w:bCs/>
        </w:rPr>
        <w:t>井田</w:t>
      </w:r>
      <w:r>
        <w:rPr>
          <w:rFonts w:ascii="Times New Roman" w:hint="eastAsia"/>
          <w:b/>
          <w:bCs/>
        </w:rPr>
        <w:t>划分</w:t>
      </w:r>
      <w:r>
        <w:rPr>
          <w:rFonts w:ascii="Times New Roman"/>
          <w:b/>
          <w:bCs/>
        </w:rPr>
        <w:t>特征表</w:t>
      </w:r>
    </w:p>
    <w:p w14:paraId="4CCDFF0F" w14:textId="77777777" w:rsidR="009C353B" w:rsidRDefault="00000000">
      <w:pPr>
        <w:pStyle w:val="affffd"/>
        <w:spacing w:line="440" w:lineRule="exact"/>
        <w:rPr>
          <w:rFonts w:ascii="Times New Roman" w:hint="eastAsia"/>
        </w:rPr>
      </w:pPr>
      <w:r>
        <w:rPr>
          <w:rFonts w:ascii="Times New Roman"/>
        </w:rPr>
        <w:t>表</w:t>
      </w:r>
      <w:r>
        <w:rPr>
          <w:rFonts w:ascii="Times New Roman"/>
        </w:rPr>
        <w:t>2.3-4</w:t>
      </w:r>
    </w:p>
    <w:tbl>
      <w:tblPr>
        <w:tblW w:w="52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7"/>
        <w:gridCol w:w="1270"/>
        <w:gridCol w:w="1270"/>
        <w:gridCol w:w="1273"/>
        <w:gridCol w:w="1270"/>
        <w:gridCol w:w="1410"/>
        <w:gridCol w:w="1130"/>
        <w:gridCol w:w="908"/>
        <w:gridCol w:w="2549"/>
        <w:gridCol w:w="952"/>
        <w:gridCol w:w="1159"/>
      </w:tblGrid>
      <w:tr w:rsidR="009C353B" w14:paraId="103F794D" w14:textId="77777777">
        <w:trPr>
          <w:trHeight w:val="300"/>
          <w:jc w:val="center"/>
        </w:trPr>
        <w:tc>
          <w:tcPr>
            <w:tcW w:w="482" w:type="pct"/>
            <w:vMerge w:val="restart"/>
            <w:shd w:val="clear" w:color="auto" w:fill="auto"/>
            <w:vAlign w:val="center"/>
          </w:tcPr>
          <w:p w14:paraId="15BECB34" w14:textId="77777777" w:rsidR="009C353B" w:rsidRDefault="00000000">
            <w:pPr>
              <w:snapToGrid w:val="0"/>
              <w:jc w:val="center"/>
              <w:rPr>
                <w:rFonts w:ascii="Times New Roman" w:hAnsi="Times New Roman"/>
                <w:bCs/>
                <w:kern w:val="0"/>
                <w:sz w:val="21"/>
                <w:szCs w:val="21"/>
              </w:rPr>
            </w:pPr>
            <w:bookmarkStart w:id="69" w:name="_Hlk49277991"/>
            <w:r>
              <w:rPr>
                <w:rFonts w:ascii="Times New Roman" w:hAnsi="Times New Roman"/>
                <w:bCs/>
                <w:kern w:val="0"/>
                <w:sz w:val="21"/>
                <w:szCs w:val="21"/>
              </w:rPr>
              <w:t>矿井名称</w:t>
            </w:r>
          </w:p>
        </w:tc>
        <w:tc>
          <w:tcPr>
            <w:tcW w:w="1306" w:type="pct"/>
            <w:gridSpan w:val="3"/>
            <w:shd w:val="clear" w:color="auto" w:fill="auto"/>
            <w:vAlign w:val="center"/>
          </w:tcPr>
          <w:p w14:paraId="53863AD1"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井</w:t>
            </w:r>
            <w:r>
              <w:rPr>
                <w:rFonts w:ascii="Times New Roman" w:hAnsi="Times New Roman" w:hint="eastAsia"/>
                <w:bCs/>
                <w:kern w:val="0"/>
                <w:sz w:val="21"/>
                <w:szCs w:val="21"/>
              </w:rPr>
              <w:t>田</w:t>
            </w:r>
            <w:r>
              <w:rPr>
                <w:rFonts w:ascii="Times New Roman" w:hAnsi="Times New Roman"/>
                <w:bCs/>
                <w:kern w:val="0"/>
                <w:sz w:val="21"/>
                <w:szCs w:val="21"/>
              </w:rPr>
              <w:t>尺寸</w:t>
            </w:r>
          </w:p>
        </w:tc>
        <w:tc>
          <w:tcPr>
            <w:tcW w:w="918" w:type="pct"/>
            <w:gridSpan w:val="2"/>
            <w:shd w:val="clear" w:color="auto" w:fill="auto"/>
            <w:vAlign w:val="center"/>
          </w:tcPr>
          <w:p w14:paraId="5F8B5537"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储</w:t>
            </w:r>
            <w:r>
              <w:rPr>
                <w:rFonts w:ascii="Times New Roman" w:hAnsi="Times New Roman"/>
                <w:bCs/>
                <w:kern w:val="0"/>
                <w:sz w:val="21"/>
                <w:szCs w:val="21"/>
              </w:rPr>
              <w:t xml:space="preserve">  </w:t>
            </w:r>
            <w:r>
              <w:rPr>
                <w:rFonts w:ascii="Times New Roman" w:hAnsi="Times New Roman"/>
                <w:bCs/>
                <w:kern w:val="0"/>
                <w:sz w:val="21"/>
                <w:szCs w:val="21"/>
              </w:rPr>
              <w:t>量（</w:t>
            </w:r>
            <w:r>
              <w:rPr>
                <w:rFonts w:ascii="Times New Roman" w:hAnsi="Times New Roman"/>
                <w:bCs/>
                <w:kern w:val="0"/>
                <w:sz w:val="21"/>
                <w:szCs w:val="21"/>
              </w:rPr>
              <w:t>Mt</w:t>
            </w:r>
            <w:r>
              <w:rPr>
                <w:rFonts w:ascii="Times New Roman" w:hAnsi="Times New Roman"/>
                <w:bCs/>
                <w:kern w:val="0"/>
                <w:sz w:val="21"/>
                <w:szCs w:val="21"/>
              </w:rPr>
              <w:t>）</w:t>
            </w:r>
          </w:p>
        </w:tc>
        <w:tc>
          <w:tcPr>
            <w:tcW w:w="387" w:type="pct"/>
            <w:vMerge w:val="restart"/>
            <w:shd w:val="clear" w:color="auto" w:fill="auto"/>
            <w:vAlign w:val="center"/>
          </w:tcPr>
          <w:p w14:paraId="7F511164"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规划</w:t>
            </w:r>
            <w:r>
              <w:rPr>
                <w:rFonts w:ascii="Times New Roman" w:hAnsi="Times New Roman"/>
                <w:bCs/>
                <w:kern w:val="0"/>
                <w:sz w:val="21"/>
                <w:szCs w:val="21"/>
              </w:rPr>
              <w:t>生产能力</w:t>
            </w:r>
          </w:p>
          <w:p w14:paraId="6415378A" w14:textId="77777777" w:rsidR="009C353B" w:rsidRDefault="00000000">
            <w:pPr>
              <w:snapToGrid w:val="0"/>
              <w:rPr>
                <w:rFonts w:ascii="Times New Roman" w:hAnsi="Times New Roman"/>
                <w:bCs/>
                <w:kern w:val="0"/>
                <w:sz w:val="21"/>
                <w:szCs w:val="21"/>
              </w:rPr>
            </w:pPr>
            <w:r>
              <w:rPr>
                <w:rFonts w:ascii="Times New Roman" w:hAnsi="Times New Roman" w:hint="eastAsia"/>
                <w:bCs/>
                <w:kern w:val="0"/>
                <w:sz w:val="21"/>
                <w:szCs w:val="21"/>
              </w:rPr>
              <w:t>(</w:t>
            </w:r>
            <w:r>
              <w:rPr>
                <w:rFonts w:ascii="Times New Roman" w:hAnsi="Times New Roman"/>
                <w:bCs/>
                <w:kern w:val="0"/>
                <w:sz w:val="21"/>
                <w:szCs w:val="21"/>
              </w:rPr>
              <w:t>Mt/a</w:t>
            </w:r>
            <w:r>
              <w:rPr>
                <w:rFonts w:ascii="Times New Roman" w:hAnsi="Times New Roman" w:hint="eastAsia"/>
                <w:bCs/>
                <w:kern w:val="0"/>
                <w:sz w:val="21"/>
                <w:szCs w:val="21"/>
              </w:rPr>
              <w:t>)</w:t>
            </w:r>
          </w:p>
        </w:tc>
        <w:tc>
          <w:tcPr>
            <w:tcW w:w="311" w:type="pct"/>
            <w:vMerge w:val="restart"/>
            <w:shd w:val="clear" w:color="auto" w:fill="auto"/>
            <w:vAlign w:val="center"/>
          </w:tcPr>
          <w:p w14:paraId="1D00A00C"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设计服务年限</w:t>
            </w:r>
          </w:p>
          <w:p w14:paraId="3C08A9F3" w14:textId="77777777" w:rsidR="009C353B" w:rsidRDefault="00000000">
            <w:pPr>
              <w:snapToGrid w:val="0"/>
              <w:jc w:val="center"/>
              <w:rPr>
                <w:rFonts w:ascii="Times New Roman" w:hAnsi="Times New Roman"/>
                <w:bCs/>
                <w:kern w:val="0"/>
                <w:sz w:val="21"/>
                <w:szCs w:val="21"/>
              </w:rPr>
            </w:pPr>
            <w:r>
              <w:rPr>
                <w:rFonts w:ascii="Times New Roman" w:hAnsi="Times New Roman"/>
                <w:bCs/>
                <w:kern w:val="0"/>
                <w:sz w:val="21"/>
                <w:szCs w:val="21"/>
              </w:rPr>
              <w:t>（</w:t>
            </w:r>
            <w:r>
              <w:rPr>
                <w:rFonts w:ascii="Times New Roman" w:hAnsi="Times New Roman"/>
                <w:bCs/>
                <w:kern w:val="0"/>
                <w:sz w:val="21"/>
                <w:szCs w:val="21"/>
              </w:rPr>
              <w:t>a</w:t>
            </w:r>
            <w:r>
              <w:rPr>
                <w:rFonts w:ascii="Times New Roman" w:hAnsi="Times New Roman"/>
                <w:bCs/>
                <w:kern w:val="0"/>
                <w:sz w:val="21"/>
                <w:szCs w:val="21"/>
              </w:rPr>
              <w:t>）</w:t>
            </w:r>
          </w:p>
        </w:tc>
        <w:tc>
          <w:tcPr>
            <w:tcW w:w="873" w:type="pct"/>
            <w:vMerge w:val="restart"/>
            <w:shd w:val="clear" w:color="auto" w:fill="auto"/>
            <w:vAlign w:val="center"/>
          </w:tcPr>
          <w:p w14:paraId="336CB4F5"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工艺或开发方式</w:t>
            </w:r>
          </w:p>
        </w:tc>
        <w:tc>
          <w:tcPr>
            <w:tcW w:w="326" w:type="pct"/>
            <w:vMerge w:val="restart"/>
            <w:shd w:val="clear" w:color="auto" w:fill="auto"/>
            <w:vAlign w:val="center"/>
          </w:tcPr>
          <w:p w14:paraId="6C66E122"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规划达产时间</w:t>
            </w:r>
          </w:p>
        </w:tc>
        <w:tc>
          <w:tcPr>
            <w:tcW w:w="397" w:type="pct"/>
            <w:vMerge w:val="restart"/>
            <w:shd w:val="clear" w:color="auto" w:fill="auto"/>
            <w:vAlign w:val="center"/>
          </w:tcPr>
          <w:p w14:paraId="41D7D627" w14:textId="77777777" w:rsidR="009C353B" w:rsidRDefault="00000000">
            <w:pPr>
              <w:snapToGrid w:val="0"/>
              <w:jc w:val="center"/>
              <w:rPr>
                <w:rFonts w:ascii="Times New Roman" w:hAnsi="Times New Roman"/>
                <w:bCs/>
                <w:kern w:val="0"/>
                <w:sz w:val="21"/>
                <w:szCs w:val="21"/>
              </w:rPr>
            </w:pPr>
            <w:r>
              <w:rPr>
                <w:rFonts w:ascii="Times New Roman" w:hAnsi="Times New Roman"/>
                <w:bCs/>
                <w:kern w:val="0"/>
                <w:sz w:val="21"/>
                <w:szCs w:val="21"/>
              </w:rPr>
              <w:t>备注</w:t>
            </w:r>
          </w:p>
        </w:tc>
      </w:tr>
      <w:tr w:rsidR="009C353B" w14:paraId="362F7D97" w14:textId="77777777">
        <w:trPr>
          <w:trHeight w:val="611"/>
          <w:jc w:val="center"/>
        </w:trPr>
        <w:tc>
          <w:tcPr>
            <w:tcW w:w="482" w:type="pct"/>
            <w:vMerge/>
            <w:shd w:val="clear" w:color="auto" w:fill="auto"/>
            <w:vAlign w:val="center"/>
          </w:tcPr>
          <w:p w14:paraId="6E1D3E5C" w14:textId="77777777" w:rsidR="009C353B" w:rsidRDefault="009C353B">
            <w:pPr>
              <w:widowControl/>
              <w:snapToGrid w:val="0"/>
              <w:jc w:val="center"/>
              <w:rPr>
                <w:rFonts w:ascii="Times New Roman" w:hAnsi="Times New Roman"/>
                <w:bCs/>
                <w:kern w:val="0"/>
                <w:sz w:val="21"/>
                <w:szCs w:val="21"/>
              </w:rPr>
            </w:pPr>
          </w:p>
        </w:tc>
        <w:tc>
          <w:tcPr>
            <w:tcW w:w="435" w:type="pct"/>
            <w:shd w:val="clear" w:color="auto" w:fill="auto"/>
            <w:vAlign w:val="center"/>
          </w:tcPr>
          <w:p w14:paraId="72EE42E2"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长</w:t>
            </w:r>
          </w:p>
          <w:p w14:paraId="3988D4DC" w14:textId="77777777" w:rsidR="009C353B" w:rsidRDefault="00000000">
            <w:pPr>
              <w:snapToGrid w:val="0"/>
              <w:jc w:val="center"/>
              <w:rPr>
                <w:rFonts w:ascii="Times New Roman" w:hAnsi="Times New Roman"/>
                <w:bCs/>
                <w:kern w:val="0"/>
                <w:sz w:val="21"/>
                <w:szCs w:val="21"/>
              </w:rPr>
            </w:pPr>
            <w:r>
              <w:rPr>
                <w:rFonts w:ascii="Times New Roman" w:hAnsi="Times New Roman"/>
                <w:bCs/>
                <w:kern w:val="0"/>
                <w:sz w:val="21"/>
                <w:szCs w:val="21"/>
              </w:rPr>
              <w:t>（</w:t>
            </w:r>
            <w:r>
              <w:rPr>
                <w:rFonts w:ascii="Times New Roman" w:hAnsi="Times New Roman"/>
                <w:bCs/>
                <w:kern w:val="0"/>
                <w:sz w:val="21"/>
                <w:szCs w:val="21"/>
              </w:rPr>
              <w:t>km</w:t>
            </w:r>
            <w:r>
              <w:rPr>
                <w:rFonts w:ascii="Times New Roman" w:hAnsi="Times New Roman"/>
                <w:bCs/>
                <w:kern w:val="0"/>
                <w:sz w:val="21"/>
                <w:szCs w:val="21"/>
              </w:rPr>
              <w:t>）</w:t>
            </w:r>
          </w:p>
        </w:tc>
        <w:tc>
          <w:tcPr>
            <w:tcW w:w="435" w:type="pct"/>
            <w:shd w:val="clear" w:color="auto" w:fill="auto"/>
            <w:vAlign w:val="center"/>
          </w:tcPr>
          <w:p w14:paraId="515AC008"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宽</w:t>
            </w:r>
          </w:p>
          <w:p w14:paraId="2185D105" w14:textId="77777777" w:rsidR="009C353B" w:rsidRDefault="00000000">
            <w:pPr>
              <w:snapToGrid w:val="0"/>
              <w:jc w:val="center"/>
              <w:rPr>
                <w:rFonts w:ascii="Times New Roman" w:hAnsi="Times New Roman"/>
                <w:bCs/>
                <w:kern w:val="0"/>
                <w:sz w:val="21"/>
                <w:szCs w:val="21"/>
              </w:rPr>
            </w:pPr>
            <w:r>
              <w:rPr>
                <w:rFonts w:ascii="Times New Roman" w:hAnsi="Times New Roman"/>
                <w:bCs/>
                <w:kern w:val="0"/>
                <w:sz w:val="21"/>
                <w:szCs w:val="21"/>
              </w:rPr>
              <w:t>(km)</w:t>
            </w:r>
          </w:p>
        </w:tc>
        <w:tc>
          <w:tcPr>
            <w:tcW w:w="436" w:type="pct"/>
            <w:shd w:val="clear" w:color="auto" w:fill="auto"/>
            <w:vAlign w:val="center"/>
          </w:tcPr>
          <w:p w14:paraId="25B065B0"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面</w:t>
            </w:r>
            <w:r>
              <w:rPr>
                <w:rFonts w:ascii="Times New Roman" w:hAnsi="Times New Roman"/>
                <w:bCs/>
                <w:kern w:val="0"/>
                <w:sz w:val="21"/>
                <w:szCs w:val="21"/>
              </w:rPr>
              <w:t xml:space="preserve">  </w:t>
            </w:r>
            <w:r>
              <w:rPr>
                <w:rFonts w:ascii="Times New Roman" w:hAnsi="Times New Roman"/>
                <w:bCs/>
                <w:kern w:val="0"/>
                <w:sz w:val="21"/>
                <w:szCs w:val="21"/>
              </w:rPr>
              <w:t>积</w:t>
            </w:r>
          </w:p>
          <w:p w14:paraId="7B39E59A" w14:textId="77777777" w:rsidR="009C353B" w:rsidRDefault="00000000">
            <w:pPr>
              <w:snapToGrid w:val="0"/>
              <w:jc w:val="center"/>
              <w:rPr>
                <w:rFonts w:ascii="Times New Roman" w:hAnsi="Times New Roman"/>
                <w:bCs/>
                <w:kern w:val="0"/>
                <w:sz w:val="21"/>
                <w:szCs w:val="21"/>
              </w:rPr>
            </w:pPr>
            <w:r>
              <w:rPr>
                <w:rFonts w:ascii="Times New Roman" w:hAnsi="Times New Roman"/>
                <w:bCs/>
                <w:kern w:val="0"/>
                <w:sz w:val="21"/>
                <w:szCs w:val="21"/>
              </w:rPr>
              <w:t>（</w:t>
            </w:r>
            <w:r>
              <w:rPr>
                <w:rFonts w:ascii="Times New Roman" w:hAnsi="Times New Roman"/>
                <w:bCs/>
                <w:kern w:val="0"/>
                <w:sz w:val="21"/>
                <w:szCs w:val="21"/>
              </w:rPr>
              <w:t>km²</w:t>
            </w:r>
            <w:r>
              <w:rPr>
                <w:rFonts w:ascii="Times New Roman" w:hAnsi="Times New Roman"/>
                <w:bCs/>
                <w:kern w:val="0"/>
                <w:sz w:val="21"/>
                <w:szCs w:val="21"/>
              </w:rPr>
              <w:t>）</w:t>
            </w:r>
          </w:p>
        </w:tc>
        <w:tc>
          <w:tcPr>
            <w:tcW w:w="435" w:type="pct"/>
            <w:shd w:val="clear" w:color="auto" w:fill="auto"/>
            <w:vAlign w:val="center"/>
          </w:tcPr>
          <w:p w14:paraId="772A4EE3"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井田资源量</w:t>
            </w:r>
          </w:p>
        </w:tc>
        <w:tc>
          <w:tcPr>
            <w:tcW w:w="483" w:type="pct"/>
            <w:shd w:val="clear" w:color="auto" w:fill="auto"/>
            <w:vAlign w:val="center"/>
          </w:tcPr>
          <w:p w14:paraId="2D2143BE"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可采</w:t>
            </w:r>
            <w:r>
              <w:rPr>
                <w:rFonts w:ascii="Times New Roman" w:hAnsi="Times New Roman" w:hint="eastAsia"/>
                <w:bCs/>
                <w:kern w:val="0"/>
                <w:sz w:val="21"/>
                <w:szCs w:val="21"/>
              </w:rPr>
              <w:t>储</w:t>
            </w:r>
            <w:r>
              <w:rPr>
                <w:rFonts w:ascii="Times New Roman" w:hAnsi="Times New Roman"/>
                <w:bCs/>
                <w:kern w:val="0"/>
                <w:sz w:val="21"/>
                <w:szCs w:val="21"/>
              </w:rPr>
              <w:t>量</w:t>
            </w:r>
          </w:p>
        </w:tc>
        <w:tc>
          <w:tcPr>
            <w:tcW w:w="387" w:type="pct"/>
            <w:vMerge/>
            <w:shd w:val="clear" w:color="auto" w:fill="auto"/>
            <w:vAlign w:val="center"/>
          </w:tcPr>
          <w:p w14:paraId="70308B70" w14:textId="77777777" w:rsidR="009C353B" w:rsidRDefault="009C353B">
            <w:pPr>
              <w:widowControl/>
              <w:snapToGrid w:val="0"/>
              <w:rPr>
                <w:rFonts w:ascii="Times New Roman" w:hAnsi="Times New Roman"/>
                <w:bCs/>
                <w:kern w:val="0"/>
                <w:sz w:val="21"/>
                <w:szCs w:val="21"/>
              </w:rPr>
            </w:pPr>
          </w:p>
        </w:tc>
        <w:tc>
          <w:tcPr>
            <w:tcW w:w="311" w:type="pct"/>
            <w:vMerge/>
            <w:shd w:val="clear" w:color="auto" w:fill="auto"/>
            <w:vAlign w:val="center"/>
          </w:tcPr>
          <w:p w14:paraId="11624977" w14:textId="77777777" w:rsidR="009C353B" w:rsidRDefault="009C353B">
            <w:pPr>
              <w:widowControl/>
              <w:snapToGrid w:val="0"/>
              <w:jc w:val="center"/>
              <w:rPr>
                <w:rFonts w:ascii="Times New Roman" w:hAnsi="Times New Roman"/>
                <w:bCs/>
                <w:kern w:val="0"/>
                <w:sz w:val="21"/>
                <w:szCs w:val="21"/>
              </w:rPr>
            </w:pPr>
          </w:p>
        </w:tc>
        <w:tc>
          <w:tcPr>
            <w:tcW w:w="873" w:type="pct"/>
            <w:vMerge/>
            <w:vAlign w:val="center"/>
          </w:tcPr>
          <w:p w14:paraId="02A924CA" w14:textId="77777777" w:rsidR="009C353B" w:rsidRDefault="009C353B">
            <w:pPr>
              <w:widowControl/>
              <w:snapToGrid w:val="0"/>
              <w:jc w:val="center"/>
              <w:rPr>
                <w:rFonts w:ascii="Times New Roman" w:hAnsi="Times New Roman"/>
                <w:bCs/>
                <w:kern w:val="0"/>
                <w:sz w:val="21"/>
                <w:szCs w:val="21"/>
              </w:rPr>
            </w:pPr>
          </w:p>
        </w:tc>
        <w:tc>
          <w:tcPr>
            <w:tcW w:w="326" w:type="pct"/>
            <w:vMerge/>
            <w:vAlign w:val="center"/>
          </w:tcPr>
          <w:p w14:paraId="2DF50298" w14:textId="77777777" w:rsidR="009C353B" w:rsidRDefault="009C353B">
            <w:pPr>
              <w:widowControl/>
              <w:snapToGrid w:val="0"/>
              <w:jc w:val="center"/>
              <w:rPr>
                <w:rFonts w:ascii="Times New Roman" w:hAnsi="Times New Roman"/>
                <w:bCs/>
                <w:kern w:val="0"/>
                <w:sz w:val="21"/>
                <w:szCs w:val="21"/>
              </w:rPr>
            </w:pPr>
          </w:p>
        </w:tc>
        <w:tc>
          <w:tcPr>
            <w:tcW w:w="397" w:type="pct"/>
            <w:vMerge/>
            <w:vAlign w:val="center"/>
          </w:tcPr>
          <w:p w14:paraId="2B715751" w14:textId="77777777" w:rsidR="009C353B" w:rsidRDefault="009C353B">
            <w:pPr>
              <w:widowControl/>
              <w:snapToGrid w:val="0"/>
              <w:jc w:val="center"/>
              <w:rPr>
                <w:rFonts w:ascii="Times New Roman" w:hAnsi="Times New Roman"/>
                <w:bCs/>
                <w:kern w:val="0"/>
                <w:sz w:val="21"/>
                <w:szCs w:val="21"/>
              </w:rPr>
            </w:pPr>
          </w:p>
        </w:tc>
      </w:tr>
      <w:tr w:rsidR="009C353B" w14:paraId="5AF368D8" w14:textId="77777777">
        <w:trPr>
          <w:trHeight w:val="300"/>
          <w:jc w:val="center"/>
        </w:trPr>
        <w:tc>
          <w:tcPr>
            <w:tcW w:w="482" w:type="pct"/>
            <w:shd w:val="clear" w:color="auto" w:fill="auto"/>
            <w:vAlign w:val="center"/>
          </w:tcPr>
          <w:p w14:paraId="56F1E86A"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马莲台煤矿</w:t>
            </w:r>
          </w:p>
        </w:tc>
        <w:tc>
          <w:tcPr>
            <w:tcW w:w="435" w:type="pct"/>
            <w:shd w:val="clear" w:color="auto" w:fill="auto"/>
            <w:vAlign w:val="center"/>
          </w:tcPr>
          <w:p w14:paraId="196E0D31"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2.5</w:t>
            </w:r>
            <w:r>
              <w:rPr>
                <w:rFonts w:ascii="Times New Roman" w:hAnsi="Times New Roman"/>
                <w:bCs/>
                <w:kern w:val="0"/>
                <w:sz w:val="21"/>
                <w:szCs w:val="21"/>
              </w:rPr>
              <w:t>～</w:t>
            </w:r>
            <w:r>
              <w:rPr>
                <w:rFonts w:ascii="Times New Roman" w:hAnsi="Times New Roman"/>
                <w:bCs/>
                <w:kern w:val="0"/>
                <w:sz w:val="21"/>
                <w:szCs w:val="21"/>
              </w:rPr>
              <w:t>6.7</w:t>
            </w:r>
          </w:p>
        </w:tc>
        <w:tc>
          <w:tcPr>
            <w:tcW w:w="435" w:type="pct"/>
            <w:shd w:val="clear" w:color="auto" w:fill="auto"/>
            <w:vAlign w:val="center"/>
          </w:tcPr>
          <w:p w14:paraId="2DFCCCBF"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0</w:t>
            </w:r>
            <w:r>
              <w:rPr>
                <w:rFonts w:ascii="Times New Roman" w:hAnsi="Times New Roman"/>
                <w:bCs/>
                <w:kern w:val="0"/>
                <w:sz w:val="21"/>
                <w:szCs w:val="21"/>
              </w:rPr>
              <w:t>～</w:t>
            </w:r>
            <w:r>
              <w:rPr>
                <w:rFonts w:ascii="Times New Roman" w:hAnsi="Times New Roman"/>
                <w:bCs/>
                <w:kern w:val="0"/>
                <w:sz w:val="21"/>
                <w:szCs w:val="21"/>
              </w:rPr>
              <w:t>6.1</w:t>
            </w:r>
          </w:p>
        </w:tc>
        <w:tc>
          <w:tcPr>
            <w:tcW w:w="436" w:type="pct"/>
            <w:shd w:val="clear" w:color="auto" w:fill="auto"/>
            <w:vAlign w:val="center"/>
          </w:tcPr>
          <w:p w14:paraId="56477ADA"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24.713</w:t>
            </w:r>
          </w:p>
        </w:tc>
        <w:tc>
          <w:tcPr>
            <w:tcW w:w="435" w:type="pct"/>
            <w:shd w:val="clear" w:color="auto" w:fill="auto"/>
            <w:vAlign w:val="center"/>
          </w:tcPr>
          <w:p w14:paraId="0F40D145"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2</w:t>
            </w:r>
            <w:r>
              <w:rPr>
                <w:rFonts w:ascii="Times New Roman" w:hAnsi="Times New Roman"/>
                <w:bCs/>
                <w:kern w:val="0"/>
                <w:sz w:val="21"/>
                <w:szCs w:val="21"/>
              </w:rPr>
              <w:t>31.73</w:t>
            </w:r>
          </w:p>
        </w:tc>
        <w:tc>
          <w:tcPr>
            <w:tcW w:w="483" w:type="pct"/>
            <w:shd w:val="clear" w:color="auto" w:fill="auto"/>
            <w:vAlign w:val="center"/>
          </w:tcPr>
          <w:p w14:paraId="44A8EFE6"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1</w:t>
            </w:r>
            <w:r>
              <w:rPr>
                <w:rFonts w:ascii="Times New Roman" w:hAnsi="Times New Roman"/>
                <w:bCs/>
                <w:kern w:val="0"/>
                <w:sz w:val="21"/>
                <w:szCs w:val="21"/>
              </w:rPr>
              <w:t>45.00</w:t>
            </w:r>
          </w:p>
        </w:tc>
        <w:tc>
          <w:tcPr>
            <w:tcW w:w="387" w:type="pct"/>
            <w:shd w:val="clear" w:color="auto" w:fill="auto"/>
            <w:vAlign w:val="center"/>
          </w:tcPr>
          <w:p w14:paraId="20082E5D"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3.60</w:t>
            </w:r>
          </w:p>
        </w:tc>
        <w:tc>
          <w:tcPr>
            <w:tcW w:w="311" w:type="pct"/>
            <w:shd w:val="clear" w:color="auto" w:fill="auto"/>
            <w:vAlign w:val="center"/>
          </w:tcPr>
          <w:p w14:paraId="74E75729"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28.8</w:t>
            </w:r>
          </w:p>
        </w:tc>
        <w:tc>
          <w:tcPr>
            <w:tcW w:w="873" w:type="pct"/>
            <w:shd w:val="clear" w:color="auto" w:fill="auto"/>
            <w:vAlign w:val="center"/>
          </w:tcPr>
          <w:p w14:paraId="6A07B4A1"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走向长壁综合机械化采煤法，全部冒落法管理顶板</w:t>
            </w:r>
          </w:p>
        </w:tc>
        <w:tc>
          <w:tcPr>
            <w:tcW w:w="326" w:type="pct"/>
            <w:shd w:val="clear" w:color="auto" w:fill="auto"/>
            <w:vAlign w:val="center"/>
          </w:tcPr>
          <w:p w14:paraId="44A984B1"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已达产</w:t>
            </w:r>
          </w:p>
        </w:tc>
        <w:tc>
          <w:tcPr>
            <w:tcW w:w="397" w:type="pct"/>
            <w:shd w:val="clear" w:color="auto" w:fill="auto"/>
            <w:vAlign w:val="center"/>
          </w:tcPr>
          <w:p w14:paraId="36544BF9"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已达产</w:t>
            </w:r>
          </w:p>
        </w:tc>
      </w:tr>
      <w:tr w:rsidR="009C353B" w14:paraId="62D65558" w14:textId="77777777">
        <w:trPr>
          <w:trHeight w:val="300"/>
          <w:jc w:val="center"/>
        </w:trPr>
        <w:tc>
          <w:tcPr>
            <w:tcW w:w="482" w:type="pct"/>
            <w:shd w:val="clear" w:color="auto" w:fill="auto"/>
            <w:vAlign w:val="center"/>
          </w:tcPr>
          <w:p w14:paraId="470A1B0F"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任家庄煤矿</w:t>
            </w:r>
          </w:p>
        </w:tc>
        <w:tc>
          <w:tcPr>
            <w:tcW w:w="435" w:type="pct"/>
            <w:shd w:val="clear" w:color="auto" w:fill="auto"/>
            <w:vAlign w:val="center"/>
          </w:tcPr>
          <w:p w14:paraId="69BCDA33"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11.5</w:t>
            </w:r>
          </w:p>
        </w:tc>
        <w:tc>
          <w:tcPr>
            <w:tcW w:w="435" w:type="pct"/>
            <w:shd w:val="clear" w:color="auto" w:fill="auto"/>
            <w:vAlign w:val="center"/>
          </w:tcPr>
          <w:p w14:paraId="0D0BC8DF"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1.0</w:t>
            </w:r>
            <w:r>
              <w:rPr>
                <w:rFonts w:ascii="Times New Roman" w:hAnsi="Times New Roman"/>
                <w:bCs/>
                <w:kern w:val="0"/>
                <w:sz w:val="21"/>
                <w:szCs w:val="21"/>
              </w:rPr>
              <w:t>～</w:t>
            </w:r>
            <w:r>
              <w:rPr>
                <w:rFonts w:ascii="Times New Roman" w:hAnsi="Times New Roman"/>
                <w:bCs/>
                <w:kern w:val="0"/>
                <w:sz w:val="21"/>
                <w:szCs w:val="21"/>
              </w:rPr>
              <w:t>2.6</w:t>
            </w:r>
          </w:p>
        </w:tc>
        <w:tc>
          <w:tcPr>
            <w:tcW w:w="436" w:type="pct"/>
            <w:shd w:val="clear" w:color="auto" w:fill="auto"/>
            <w:vAlign w:val="center"/>
          </w:tcPr>
          <w:p w14:paraId="1825CD89"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17.567</w:t>
            </w:r>
          </w:p>
        </w:tc>
        <w:tc>
          <w:tcPr>
            <w:tcW w:w="435" w:type="pct"/>
            <w:shd w:val="clear" w:color="auto" w:fill="auto"/>
            <w:vAlign w:val="center"/>
          </w:tcPr>
          <w:p w14:paraId="7D4AAEEC"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4</w:t>
            </w:r>
            <w:r>
              <w:rPr>
                <w:rFonts w:ascii="Times New Roman" w:hAnsi="Times New Roman"/>
                <w:bCs/>
                <w:kern w:val="0"/>
                <w:sz w:val="21"/>
                <w:szCs w:val="21"/>
              </w:rPr>
              <w:t>20.63</w:t>
            </w:r>
          </w:p>
        </w:tc>
        <w:tc>
          <w:tcPr>
            <w:tcW w:w="483" w:type="pct"/>
            <w:shd w:val="clear" w:color="auto" w:fill="auto"/>
            <w:vAlign w:val="center"/>
          </w:tcPr>
          <w:p w14:paraId="35258FBE"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1</w:t>
            </w:r>
            <w:r>
              <w:rPr>
                <w:rFonts w:ascii="Times New Roman" w:hAnsi="Times New Roman"/>
                <w:bCs/>
                <w:kern w:val="0"/>
                <w:sz w:val="21"/>
                <w:szCs w:val="21"/>
              </w:rPr>
              <w:t>47.58</w:t>
            </w:r>
          </w:p>
        </w:tc>
        <w:tc>
          <w:tcPr>
            <w:tcW w:w="387" w:type="pct"/>
            <w:shd w:val="clear" w:color="auto" w:fill="auto"/>
            <w:vAlign w:val="center"/>
          </w:tcPr>
          <w:p w14:paraId="7D08372C"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3.60</w:t>
            </w:r>
          </w:p>
        </w:tc>
        <w:tc>
          <w:tcPr>
            <w:tcW w:w="311" w:type="pct"/>
            <w:shd w:val="clear" w:color="auto" w:fill="auto"/>
            <w:vAlign w:val="center"/>
          </w:tcPr>
          <w:p w14:paraId="3F399A4E"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29.3</w:t>
            </w:r>
          </w:p>
        </w:tc>
        <w:tc>
          <w:tcPr>
            <w:tcW w:w="873" w:type="pct"/>
            <w:shd w:val="clear" w:color="auto" w:fill="auto"/>
            <w:vAlign w:val="center"/>
          </w:tcPr>
          <w:p w14:paraId="1FE17DFA"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三煤、五煤均采用长臂综合机械化采煤法，薄煤层（一、四、六）采用薄煤层滚筒采煤机综采，全部冒落法管理顶板</w:t>
            </w:r>
          </w:p>
        </w:tc>
        <w:tc>
          <w:tcPr>
            <w:tcW w:w="326" w:type="pct"/>
            <w:shd w:val="clear" w:color="auto" w:fill="auto"/>
            <w:vAlign w:val="center"/>
          </w:tcPr>
          <w:p w14:paraId="28AA98EB"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已达产</w:t>
            </w:r>
          </w:p>
        </w:tc>
        <w:tc>
          <w:tcPr>
            <w:tcW w:w="397" w:type="pct"/>
            <w:shd w:val="clear" w:color="auto" w:fill="auto"/>
            <w:vAlign w:val="center"/>
          </w:tcPr>
          <w:p w14:paraId="33B93295"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已达产</w:t>
            </w:r>
          </w:p>
        </w:tc>
      </w:tr>
      <w:tr w:rsidR="009C353B" w14:paraId="65B8E996" w14:textId="77777777">
        <w:trPr>
          <w:trHeight w:val="300"/>
          <w:jc w:val="center"/>
        </w:trPr>
        <w:tc>
          <w:tcPr>
            <w:tcW w:w="482" w:type="pct"/>
            <w:shd w:val="clear" w:color="auto" w:fill="auto"/>
            <w:vAlign w:val="center"/>
          </w:tcPr>
          <w:p w14:paraId="5394FB4B"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红石湾煤矿</w:t>
            </w:r>
          </w:p>
        </w:tc>
        <w:tc>
          <w:tcPr>
            <w:tcW w:w="435" w:type="pct"/>
            <w:shd w:val="clear" w:color="auto" w:fill="auto"/>
            <w:vAlign w:val="center"/>
          </w:tcPr>
          <w:p w14:paraId="15793C6C"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4.5</w:t>
            </w:r>
          </w:p>
        </w:tc>
        <w:tc>
          <w:tcPr>
            <w:tcW w:w="435" w:type="pct"/>
            <w:shd w:val="clear" w:color="auto" w:fill="auto"/>
            <w:vAlign w:val="center"/>
          </w:tcPr>
          <w:p w14:paraId="670FBC58"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1.47</w:t>
            </w:r>
          </w:p>
        </w:tc>
        <w:tc>
          <w:tcPr>
            <w:tcW w:w="436" w:type="pct"/>
            <w:shd w:val="clear" w:color="auto" w:fill="auto"/>
            <w:vAlign w:val="center"/>
          </w:tcPr>
          <w:p w14:paraId="61B97640"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6.6522</w:t>
            </w:r>
          </w:p>
        </w:tc>
        <w:tc>
          <w:tcPr>
            <w:tcW w:w="435" w:type="pct"/>
            <w:shd w:val="clear" w:color="auto" w:fill="auto"/>
            <w:vAlign w:val="center"/>
          </w:tcPr>
          <w:p w14:paraId="22FA5FE0"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104.25</w:t>
            </w:r>
          </w:p>
        </w:tc>
        <w:tc>
          <w:tcPr>
            <w:tcW w:w="483" w:type="pct"/>
            <w:shd w:val="clear" w:color="auto" w:fill="auto"/>
            <w:vAlign w:val="center"/>
          </w:tcPr>
          <w:p w14:paraId="7A3CDA0E"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43.36</w:t>
            </w:r>
          </w:p>
        </w:tc>
        <w:tc>
          <w:tcPr>
            <w:tcW w:w="387" w:type="pct"/>
            <w:shd w:val="clear" w:color="auto" w:fill="auto"/>
            <w:vAlign w:val="center"/>
          </w:tcPr>
          <w:p w14:paraId="0B864872"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1.10</w:t>
            </w:r>
          </w:p>
        </w:tc>
        <w:tc>
          <w:tcPr>
            <w:tcW w:w="311" w:type="pct"/>
            <w:shd w:val="clear" w:color="auto" w:fill="auto"/>
            <w:vAlign w:val="center"/>
          </w:tcPr>
          <w:p w14:paraId="3995EC8B"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28.2</w:t>
            </w:r>
          </w:p>
        </w:tc>
        <w:tc>
          <w:tcPr>
            <w:tcW w:w="873" w:type="pct"/>
            <w:shd w:val="clear" w:color="auto" w:fill="auto"/>
            <w:vAlign w:val="center"/>
          </w:tcPr>
          <w:p w14:paraId="47A07400"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走向长壁综合机械化采煤法，全部冒落法管理顶板</w:t>
            </w:r>
          </w:p>
        </w:tc>
        <w:tc>
          <w:tcPr>
            <w:tcW w:w="326" w:type="pct"/>
            <w:shd w:val="clear" w:color="auto" w:fill="auto"/>
            <w:vAlign w:val="center"/>
          </w:tcPr>
          <w:p w14:paraId="718F063A"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已达产</w:t>
            </w:r>
          </w:p>
        </w:tc>
        <w:tc>
          <w:tcPr>
            <w:tcW w:w="397" w:type="pct"/>
            <w:shd w:val="clear" w:color="auto" w:fill="auto"/>
            <w:vAlign w:val="center"/>
          </w:tcPr>
          <w:p w14:paraId="16EEE44C"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已达产</w:t>
            </w:r>
          </w:p>
        </w:tc>
      </w:tr>
      <w:tr w:rsidR="009C353B" w14:paraId="2E2E7DB6" w14:textId="77777777">
        <w:trPr>
          <w:trHeight w:val="300"/>
          <w:jc w:val="center"/>
        </w:trPr>
        <w:tc>
          <w:tcPr>
            <w:tcW w:w="482" w:type="pct"/>
            <w:shd w:val="clear" w:color="auto" w:fill="auto"/>
            <w:vAlign w:val="center"/>
          </w:tcPr>
          <w:p w14:paraId="01E5FF41"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丁家梁矿井</w:t>
            </w:r>
          </w:p>
        </w:tc>
        <w:tc>
          <w:tcPr>
            <w:tcW w:w="435" w:type="pct"/>
            <w:shd w:val="clear" w:color="auto" w:fill="auto"/>
            <w:vAlign w:val="center"/>
          </w:tcPr>
          <w:p w14:paraId="6F7E1955"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1.6</w:t>
            </w:r>
            <w:r>
              <w:rPr>
                <w:rFonts w:ascii="Times New Roman" w:hAnsi="Times New Roman"/>
                <w:bCs/>
                <w:kern w:val="0"/>
                <w:sz w:val="21"/>
                <w:szCs w:val="21"/>
              </w:rPr>
              <w:t>～</w:t>
            </w:r>
            <w:r>
              <w:rPr>
                <w:rFonts w:ascii="Times New Roman" w:hAnsi="Times New Roman"/>
                <w:bCs/>
                <w:kern w:val="0"/>
                <w:sz w:val="21"/>
                <w:szCs w:val="21"/>
              </w:rPr>
              <w:t>4.6</w:t>
            </w:r>
          </w:p>
        </w:tc>
        <w:tc>
          <w:tcPr>
            <w:tcW w:w="435" w:type="pct"/>
            <w:shd w:val="clear" w:color="auto" w:fill="auto"/>
            <w:vAlign w:val="center"/>
          </w:tcPr>
          <w:p w14:paraId="539EBEFA"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1.64</w:t>
            </w:r>
            <w:r>
              <w:rPr>
                <w:rFonts w:ascii="Times New Roman" w:hAnsi="Times New Roman"/>
                <w:bCs/>
                <w:kern w:val="0"/>
                <w:sz w:val="21"/>
                <w:szCs w:val="21"/>
              </w:rPr>
              <w:t>～</w:t>
            </w:r>
            <w:r>
              <w:rPr>
                <w:rFonts w:ascii="Times New Roman" w:hAnsi="Times New Roman"/>
                <w:bCs/>
                <w:kern w:val="0"/>
                <w:sz w:val="21"/>
                <w:szCs w:val="21"/>
              </w:rPr>
              <w:t>5.9</w:t>
            </w:r>
          </w:p>
        </w:tc>
        <w:tc>
          <w:tcPr>
            <w:tcW w:w="436" w:type="pct"/>
            <w:shd w:val="clear" w:color="auto" w:fill="auto"/>
            <w:vAlign w:val="center"/>
          </w:tcPr>
          <w:p w14:paraId="0C11595C"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19.56</w:t>
            </w:r>
          </w:p>
        </w:tc>
        <w:tc>
          <w:tcPr>
            <w:tcW w:w="435" w:type="pct"/>
            <w:shd w:val="clear" w:color="auto" w:fill="auto"/>
            <w:vAlign w:val="center"/>
          </w:tcPr>
          <w:p w14:paraId="109DDE6A"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263.56</w:t>
            </w:r>
          </w:p>
        </w:tc>
        <w:tc>
          <w:tcPr>
            <w:tcW w:w="483" w:type="pct"/>
            <w:shd w:val="clear" w:color="auto" w:fill="auto"/>
            <w:vAlign w:val="center"/>
          </w:tcPr>
          <w:p w14:paraId="136A40A2"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130.74</w:t>
            </w:r>
          </w:p>
        </w:tc>
        <w:tc>
          <w:tcPr>
            <w:tcW w:w="387" w:type="pct"/>
            <w:shd w:val="clear" w:color="auto" w:fill="auto"/>
            <w:vAlign w:val="center"/>
          </w:tcPr>
          <w:p w14:paraId="6E3E3C33"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0.9</w:t>
            </w:r>
          </w:p>
        </w:tc>
        <w:tc>
          <w:tcPr>
            <w:tcW w:w="311" w:type="pct"/>
            <w:shd w:val="clear" w:color="auto" w:fill="auto"/>
            <w:vAlign w:val="center"/>
          </w:tcPr>
          <w:p w14:paraId="649856F4"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103.8</w:t>
            </w:r>
          </w:p>
        </w:tc>
        <w:tc>
          <w:tcPr>
            <w:tcW w:w="873" w:type="pct"/>
            <w:shd w:val="clear" w:color="auto" w:fill="auto"/>
            <w:vAlign w:val="center"/>
          </w:tcPr>
          <w:p w14:paraId="434CB42B"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走向长壁综合机械化采煤法，全部冒落法管理顶板</w:t>
            </w:r>
          </w:p>
        </w:tc>
        <w:tc>
          <w:tcPr>
            <w:tcW w:w="326" w:type="pct"/>
            <w:shd w:val="clear" w:color="auto" w:fill="auto"/>
            <w:vAlign w:val="center"/>
          </w:tcPr>
          <w:p w14:paraId="70A8B42E"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2022</w:t>
            </w:r>
          </w:p>
        </w:tc>
        <w:tc>
          <w:tcPr>
            <w:tcW w:w="397" w:type="pct"/>
            <w:shd w:val="clear" w:color="auto" w:fill="auto"/>
            <w:vAlign w:val="center"/>
          </w:tcPr>
          <w:p w14:paraId="13152B65"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在建</w:t>
            </w:r>
          </w:p>
        </w:tc>
      </w:tr>
      <w:tr w:rsidR="009C353B" w14:paraId="445920DE" w14:textId="77777777">
        <w:trPr>
          <w:trHeight w:val="355"/>
          <w:jc w:val="center"/>
        </w:trPr>
        <w:tc>
          <w:tcPr>
            <w:tcW w:w="1788" w:type="pct"/>
            <w:gridSpan w:val="4"/>
            <w:shd w:val="clear" w:color="auto" w:fill="auto"/>
            <w:vAlign w:val="center"/>
          </w:tcPr>
          <w:p w14:paraId="4899758D"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合</w:t>
            </w:r>
            <w:r>
              <w:rPr>
                <w:rFonts w:ascii="Times New Roman" w:hAnsi="Times New Roman"/>
                <w:bCs/>
                <w:kern w:val="0"/>
                <w:sz w:val="21"/>
                <w:szCs w:val="21"/>
              </w:rPr>
              <w:t xml:space="preserve">    </w:t>
            </w:r>
            <w:r>
              <w:rPr>
                <w:rFonts w:ascii="Times New Roman" w:hAnsi="Times New Roman"/>
                <w:bCs/>
                <w:kern w:val="0"/>
                <w:sz w:val="21"/>
                <w:szCs w:val="21"/>
              </w:rPr>
              <w:t>计</w:t>
            </w:r>
          </w:p>
        </w:tc>
        <w:tc>
          <w:tcPr>
            <w:tcW w:w="435" w:type="pct"/>
            <w:shd w:val="clear" w:color="auto" w:fill="auto"/>
            <w:vAlign w:val="center"/>
          </w:tcPr>
          <w:p w14:paraId="423F722C"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1020.17</w:t>
            </w:r>
          </w:p>
        </w:tc>
        <w:tc>
          <w:tcPr>
            <w:tcW w:w="483" w:type="pct"/>
            <w:shd w:val="clear" w:color="auto" w:fill="auto"/>
            <w:vAlign w:val="center"/>
          </w:tcPr>
          <w:p w14:paraId="170BD48F"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466.68</w:t>
            </w:r>
          </w:p>
        </w:tc>
        <w:tc>
          <w:tcPr>
            <w:tcW w:w="387" w:type="pct"/>
            <w:shd w:val="clear" w:color="auto" w:fill="auto"/>
            <w:vAlign w:val="center"/>
          </w:tcPr>
          <w:p w14:paraId="3BE62BDF" w14:textId="77777777" w:rsidR="009C353B" w:rsidRDefault="009C353B">
            <w:pPr>
              <w:widowControl/>
              <w:snapToGrid w:val="0"/>
              <w:jc w:val="center"/>
              <w:rPr>
                <w:rFonts w:ascii="Times New Roman" w:hAnsi="Times New Roman"/>
                <w:bCs/>
                <w:kern w:val="0"/>
                <w:sz w:val="21"/>
                <w:szCs w:val="21"/>
              </w:rPr>
            </w:pPr>
          </w:p>
        </w:tc>
        <w:tc>
          <w:tcPr>
            <w:tcW w:w="311" w:type="pct"/>
            <w:shd w:val="clear" w:color="auto" w:fill="auto"/>
            <w:vAlign w:val="center"/>
          </w:tcPr>
          <w:p w14:paraId="082DCD27" w14:textId="77777777" w:rsidR="009C353B" w:rsidRDefault="009C353B">
            <w:pPr>
              <w:widowControl/>
              <w:snapToGrid w:val="0"/>
              <w:jc w:val="center"/>
              <w:rPr>
                <w:rFonts w:ascii="Times New Roman" w:hAnsi="Times New Roman"/>
                <w:bCs/>
                <w:kern w:val="0"/>
                <w:sz w:val="21"/>
                <w:szCs w:val="21"/>
              </w:rPr>
            </w:pPr>
          </w:p>
        </w:tc>
        <w:tc>
          <w:tcPr>
            <w:tcW w:w="873" w:type="pct"/>
            <w:shd w:val="clear" w:color="auto" w:fill="auto"/>
            <w:vAlign w:val="center"/>
          </w:tcPr>
          <w:p w14:paraId="6023FB0D" w14:textId="77777777" w:rsidR="009C353B" w:rsidRDefault="009C353B">
            <w:pPr>
              <w:widowControl/>
              <w:snapToGrid w:val="0"/>
              <w:jc w:val="center"/>
              <w:rPr>
                <w:rFonts w:ascii="Times New Roman" w:hAnsi="Times New Roman"/>
                <w:bCs/>
                <w:kern w:val="0"/>
                <w:sz w:val="21"/>
                <w:szCs w:val="21"/>
              </w:rPr>
            </w:pPr>
          </w:p>
        </w:tc>
        <w:tc>
          <w:tcPr>
            <w:tcW w:w="326" w:type="pct"/>
            <w:shd w:val="clear" w:color="auto" w:fill="auto"/>
            <w:vAlign w:val="center"/>
          </w:tcPr>
          <w:p w14:paraId="5F63102A" w14:textId="77777777" w:rsidR="009C353B" w:rsidRDefault="009C353B">
            <w:pPr>
              <w:widowControl/>
              <w:snapToGrid w:val="0"/>
              <w:jc w:val="center"/>
              <w:rPr>
                <w:rFonts w:ascii="Times New Roman" w:hAnsi="Times New Roman"/>
                <w:bCs/>
                <w:kern w:val="0"/>
                <w:sz w:val="21"/>
                <w:szCs w:val="21"/>
              </w:rPr>
            </w:pPr>
          </w:p>
        </w:tc>
        <w:tc>
          <w:tcPr>
            <w:tcW w:w="397" w:type="pct"/>
            <w:shd w:val="clear" w:color="auto" w:fill="auto"/>
            <w:vAlign w:val="center"/>
          </w:tcPr>
          <w:p w14:paraId="7670116B" w14:textId="77777777" w:rsidR="009C353B" w:rsidRDefault="009C353B">
            <w:pPr>
              <w:widowControl/>
              <w:snapToGrid w:val="0"/>
              <w:jc w:val="center"/>
              <w:rPr>
                <w:rFonts w:ascii="Times New Roman" w:hAnsi="Times New Roman"/>
                <w:bCs/>
                <w:kern w:val="0"/>
                <w:sz w:val="21"/>
                <w:szCs w:val="21"/>
              </w:rPr>
            </w:pPr>
          </w:p>
        </w:tc>
      </w:tr>
      <w:tr w:rsidR="009C353B" w14:paraId="7DDF07C7" w14:textId="77777777">
        <w:trPr>
          <w:trHeight w:val="431"/>
          <w:jc w:val="center"/>
        </w:trPr>
        <w:tc>
          <w:tcPr>
            <w:tcW w:w="1788" w:type="pct"/>
            <w:gridSpan w:val="4"/>
            <w:shd w:val="clear" w:color="auto" w:fill="auto"/>
            <w:vAlign w:val="center"/>
          </w:tcPr>
          <w:p w14:paraId="2A4ECD2D"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后备区</w:t>
            </w:r>
          </w:p>
        </w:tc>
        <w:tc>
          <w:tcPr>
            <w:tcW w:w="435" w:type="pct"/>
            <w:shd w:val="clear" w:color="auto" w:fill="auto"/>
            <w:vAlign w:val="center"/>
          </w:tcPr>
          <w:p w14:paraId="2C21F9BC"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尚未探明</w:t>
            </w:r>
          </w:p>
        </w:tc>
        <w:tc>
          <w:tcPr>
            <w:tcW w:w="483" w:type="pct"/>
            <w:shd w:val="clear" w:color="auto" w:fill="auto"/>
            <w:vAlign w:val="center"/>
          </w:tcPr>
          <w:p w14:paraId="2E767897" w14:textId="77777777" w:rsidR="009C353B" w:rsidRDefault="009C353B">
            <w:pPr>
              <w:widowControl/>
              <w:snapToGrid w:val="0"/>
              <w:jc w:val="center"/>
              <w:rPr>
                <w:rFonts w:ascii="Times New Roman" w:hAnsi="Times New Roman"/>
                <w:bCs/>
                <w:kern w:val="0"/>
                <w:sz w:val="21"/>
                <w:szCs w:val="21"/>
              </w:rPr>
            </w:pPr>
          </w:p>
        </w:tc>
        <w:tc>
          <w:tcPr>
            <w:tcW w:w="387" w:type="pct"/>
            <w:shd w:val="clear" w:color="auto" w:fill="auto"/>
            <w:vAlign w:val="center"/>
          </w:tcPr>
          <w:p w14:paraId="11FD03C9" w14:textId="77777777" w:rsidR="009C353B" w:rsidRDefault="009C353B">
            <w:pPr>
              <w:widowControl/>
              <w:snapToGrid w:val="0"/>
              <w:jc w:val="center"/>
              <w:rPr>
                <w:rFonts w:ascii="Times New Roman" w:hAnsi="Times New Roman"/>
                <w:bCs/>
                <w:kern w:val="0"/>
                <w:sz w:val="21"/>
                <w:szCs w:val="21"/>
              </w:rPr>
            </w:pPr>
          </w:p>
        </w:tc>
        <w:tc>
          <w:tcPr>
            <w:tcW w:w="311" w:type="pct"/>
            <w:shd w:val="clear" w:color="auto" w:fill="auto"/>
            <w:vAlign w:val="center"/>
          </w:tcPr>
          <w:p w14:paraId="32870213" w14:textId="77777777" w:rsidR="009C353B" w:rsidRDefault="009C353B">
            <w:pPr>
              <w:widowControl/>
              <w:snapToGrid w:val="0"/>
              <w:jc w:val="center"/>
              <w:rPr>
                <w:rFonts w:ascii="Times New Roman" w:hAnsi="Times New Roman"/>
                <w:bCs/>
                <w:kern w:val="0"/>
                <w:sz w:val="21"/>
                <w:szCs w:val="21"/>
              </w:rPr>
            </w:pPr>
          </w:p>
        </w:tc>
        <w:tc>
          <w:tcPr>
            <w:tcW w:w="873" w:type="pct"/>
            <w:shd w:val="clear" w:color="auto" w:fill="auto"/>
            <w:vAlign w:val="center"/>
          </w:tcPr>
          <w:p w14:paraId="00675465" w14:textId="77777777" w:rsidR="009C353B" w:rsidRDefault="009C353B">
            <w:pPr>
              <w:widowControl/>
              <w:snapToGrid w:val="0"/>
              <w:jc w:val="center"/>
              <w:rPr>
                <w:rFonts w:ascii="Times New Roman" w:hAnsi="Times New Roman"/>
                <w:bCs/>
                <w:kern w:val="0"/>
                <w:sz w:val="21"/>
                <w:szCs w:val="21"/>
              </w:rPr>
            </w:pPr>
          </w:p>
        </w:tc>
        <w:tc>
          <w:tcPr>
            <w:tcW w:w="326" w:type="pct"/>
            <w:shd w:val="clear" w:color="auto" w:fill="auto"/>
            <w:vAlign w:val="center"/>
          </w:tcPr>
          <w:p w14:paraId="171D50BB" w14:textId="77777777" w:rsidR="009C353B" w:rsidRDefault="009C353B">
            <w:pPr>
              <w:widowControl/>
              <w:snapToGrid w:val="0"/>
              <w:jc w:val="center"/>
              <w:rPr>
                <w:rFonts w:ascii="Times New Roman" w:hAnsi="Times New Roman"/>
                <w:bCs/>
                <w:kern w:val="0"/>
                <w:sz w:val="21"/>
                <w:szCs w:val="21"/>
              </w:rPr>
            </w:pPr>
          </w:p>
        </w:tc>
        <w:tc>
          <w:tcPr>
            <w:tcW w:w="397" w:type="pct"/>
            <w:shd w:val="clear" w:color="auto" w:fill="auto"/>
            <w:vAlign w:val="center"/>
          </w:tcPr>
          <w:p w14:paraId="5AAEC597" w14:textId="77777777" w:rsidR="009C353B" w:rsidRDefault="009C353B">
            <w:pPr>
              <w:widowControl/>
              <w:snapToGrid w:val="0"/>
              <w:jc w:val="center"/>
              <w:rPr>
                <w:rFonts w:ascii="Times New Roman" w:hAnsi="Times New Roman"/>
                <w:bCs/>
                <w:kern w:val="0"/>
                <w:sz w:val="21"/>
                <w:szCs w:val="21"/>
              </w:rPr>
            </w:pPr>
          </w:p>
        </w:tc>
      </w:tr>
      <w:tr w:rsidR="009C353B" w14:paraId="59305D93" w14:textId="77777777">
        <w:trPr>
          <w:trHeight w:val="537"/>
          <w:jc w:val="center"/>
        </w:trPr>
        <w:tc>
          <w:tcPr>
            <w:tcW w:w="1788" w:type="pct"/>
            <w:gridSpan w:val="4"/>
            <w:shd w:val="clear" w:color="auto" w:fill="auto"/>
            <w:vAlign w:val="center"/>
          </w:tcPr>
          <w:p w14:paraId="703A4C1C"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总资源量</w:t>
            </w:r>
          </w:p>
        </w:tc>
        <w:tc>
          <w:tcPr>
            <w:tcW w:w="435" w:type="pct"/>
            <w:shd w:val="clear" w:color="auto" w:fill="auto"/>
            <w:vAlign w:val="center"/>
          </w:tcPr>
          <w:p w14:paraId="0786C0E4"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1020.17</w:t>
            </w:r>
          </w:p>
        </w:tc>
        <w:tc>
          <w:tcPr>
            <w:tcW w:w="483" w:type="pct"/>
            <w:shd w:val="clear" w:color="auto" w:fill="auto"/>
            <w:vAlign w:val="center"/>
          </w:tcPr>
          <w:p w14:paraId="57A2A1E6" w14:textId="77777777" w:rsidR="009C353B" w:rsidRDefault="00000000">
            <w:pPr>
              <w:widowControl/>
              <w:snapToGrid w:val="0"/>
              <w:jc w:val="center"/>
              <w:rPr>
                <w:rFonts w:ascii="Times New Roman" w:hAnsi="Times New Roman"/>
                <w:bCs/>
                <w:kern w:val="0"/>
                <w:sz w:val="21"/>
                <w:szCs w:val="21"/>
              </w:rPr>
            </w:pPr>
            <w:r>
              <w:rPr>
                <w:rFonts w:ascii="Times New Roman" w:hAnsi="Times New Roman"/>
                <w:bCs/>
                <w:kern w:val="0"/>
                <w:sz w:val="21"/>
                <w:szCs w:val="21"/>
              </w:rPr>
              <w:t>466.68</w:t>
            </w:r>
          </w:p>
        </w:tc>
        <w:tc>
          <w:tcPr>
            <w:tcW w:w="387" w:type="pct"/>
            <w:shd w:val="clear" w:color="auto" w:fill="auto"/>
            <w:vAlign w:val="center"/>
          </w:tcPr>
          <w:p w14:paraId="1529E1CE" w14:textId="77777777" w:rsidR="009C353B" w:rsidRDefault="009C353B">
            <w:pPr>
              <w:widowControl/>
              <w:snapToGrid w:val="0"/>
              <w:jc w:val="center"/>
              <w:rPr>
                <w:rFonts w:ascii="Times New Roman" w:hAnsi="Times New Roman"/>
                <w:bCs/>
                <w:kern w:val="0"/>
                <w:sz w:val="21"/>
                <w:szCs w:val="21"/>
              </w:rPr>
            </w:pPr>
          </w:p>
        </w:tc>
        <w:tc>
          <w:tcPr>
            <w:tcW w:w="311" w:type="pct"/>
            <w:shd w:val="clear" w:color="auto" w:fill="auto"/>
            <w:vAlign w:val="center"/>
          </w:tcPr>
          <w:p w14:paraId="02C848DF" w14:textId="77777777" w:rsidR="009C353B" w:rsidRDefault="009C353B">
            <w:pPr>
              <w:widowControl/>
              <w:snapToGrid w:val="0"/>
              <w:jc w:val="center"/>
              <w:rPr>
                <w:rFonts w:ascii="Times New Roman" w:hAnsi="Times New Roman"/>
                <w:bCs/>
                <w:kern w:val="0"/>
                <w:sz w:val="21"/>
                <w:szCs w:val="21"/>
              </w:rPr>
            </w:pPr>
          </w:p>
        </w:tc>
        <w:tc>
          <w:tcPr>
            <w:tcW w:w="873" w:type="pct"/>
            <w:shd w:val="clear" w:color="auto" w:fill="auto"/>
            <w:vAlign w:val="center"/>
          </w:tcPr>
          <w:p w14:paraId="58A04CDB" w14:textId="77777777" w:rsidR="009C353B" w:rsidRDefault="009C353B">
            <w:pPr>
              <w:widowControl/>
              <w:snapToGrid w:val="0"/>
              <w:jc w:val="center"/>
              <w:rPr>
                <w:rFonts w:ascii="Times New Roman" w:hAnsi="Times New Roman"/>
                <w:bCs/>
                <w:kern w:val="0"/>
                <w:sz w:val="21"/>
                <w:szCs w:val="21"/>
              </w:rPr>
            </w:pPr>
          </w:p>
        </w:tc>
        <w:tc>
          <w:tcPr>
            <w:tcW w:w="326" w:type="pct"/>
            <w:shd w:val="clear" w:color="auto" w:fill="auto"/>
            <w:vAlign w:val="center"/>
          </w:tcPr>
          <w:p w14:paraId="18B15018" w14:textId="77777777" w:rsidR="009C353B" w:rsidRDefault="009C353B">
            <w:pPr>
              <w:widowControl/>
              <w:snapToGrid w:val="0"/>
              <w:jc w:val="center"/>
              <w:rPr>
                <w:rFonts w:ascii="Times New Roman" w:hAnsi="Times New Roman"/>
                <w:bCs/>
                <w:kern w:val="0"/>
                <w:sz w:val="21"/>
                <w:szCs w:val="21"/>
              </w:rPr>
            </w:pPr>
          </w:p>
        </w:tc>
        <w:tc>
          <w:tcPr>
            <w:tcW w:w="397" w:type="pct"/>
            <w:shd w:val="clear" w:color="auto" w:fill="auto"/>
            <w:vAlign w:val="center"/>
          </w:tcPr>
          <w:p w14:paraId="655A6DBA" w14:textId="77777777" w:rsidR="009C353B" w:rsidRDefault="009C353B">
            <w:pPr>
              <w:widowControl/>
              <w:snapToGrid w:val="0"/>
              <w:jc w:val="center"/>
              <w:rPr>
                <w:rFonts w:ascii="Times New Roman" w:hAnsi="Times New Roman"/>
                <w:bCs/>
                <w:kern w:val="0"/>
                <w:sz w:val="21"/>
                <w:szCs w:val="21"/>
              </w:rPr>
            </w:pPr>
          </w:p>
        </w:tc>
      </w:tr>
      <w:bookmarkEnd w:id="69"/>
    </w:tbl>
    <w:p w14:paraId="2F82A48C" w14:textId="77777777" w:rsidR="009C353B" w:rsidRDefault="009C353B">
      <w:pPr>
        <w:pStyle w:val="04"/>
        <w:ind w:firstLine="482"/>
        <w:jc w:val="center"/>
      </w:pPr>
    </w:p>
    <w:p w14:paraId="41EF6806" w14:textId="77777777" w:rsidR="009C353B" w:rsidRDefault="009C353B">
      <w:pPr>
        <w:adjustRightInd w:val="0"/>
        <w:snapToGrid w:val="0"/>
        <w:spacing w:line="440" w:lineRule="exact"/>
        <w:rPr>
          <w:rFonts w:ascii="Times New Roman" w:hint="eastAsia"/>
        </w:rPr>
        <w:sectPr w:rsidR="009C353B">
          <w:headerReference w:type="default" r:id="rId183"/>
          <w:pgSz w:w="16840" w:h="11907" w:orient="landscape"/>
          <w:pgMar w:top="1418" w:right="1418" w:bottom="1418" w:left="1701" w:header="960" w:footer="1000" w:gutter="0"/>
          <w:paperSrc w:first="7" w:other="7"/>
          <w:cols w:space="720"/>
          <w:docGrid w:linePitch="326"/>
        </w:sectPr>
      </w:pPr>
    </w:p>
    <w:p w14:paraId="18768DDE"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.4.2</w:t>
      </w:r>
      <w:r>
        <w:rPr>
          <w:rFonts w:ascii="Times New Roman" w:eastAsia="宋体" w:hAnsi="Times New Roman"/>
          <w:sz w:val="24"/>
        </w:rPr>
        <w:t xml:space="preserve"> </w:t>
      </w:r>
      <w:r>
        <w:rPr>
          <w:rFonts w:ascii="Times New Roman" w:eastAsia="宋体" w:hAnsi="宋体"/>
          <w:sz w:val="24"/>
        </w:rPr>
        <w:t>建设计划</w:t>
      </w:r>
    </w:p>
    <w:p w14:paraId="172D2F67" w14:textId="77777777" w:rsidR="009C353B" w:rsidRDefault="00000000">
      <w:pPr>
        <w:adjustRightInd w:val="0"/>
        <w:snapToGrid w:val="0"/>
        <w:spacing w:line="440" w:lineRule="exact"/>
        <w:rPr>
          <w:rFonts w:ascii="Times New Roman" w:hAnsi="Times New Roman"/>
          <w:szCs w:val="28"/>
        </w:rPr>
      </w:pPr>
      <w:r>
        <w:rPr>
          <w:rFonts w:ascii="Times New Roman" w:hAnsi="Times New Roman"/>
        </w:rPr>
        <w:t xml:space="preserve">    </w:t>
      </w:r>
      <w:r>
        <w:rPr>
          <w:rFonts w:ascii="Times New Roman"/>
          <w:szCs w:val="28"/>
        </w:rPr>
        <w:t>规划</w:t>
      </w:r>
      <w:r>
        <w:rPr>
          <w:rFonts w:ascii="Times New Roman" w:hAnsi="Times New Roman"/>
          <w:szCs w:val="28"/>
        </w:rPr>
        <w:t>2022</w:t>
      </w:r>
      <w:r>
        <w:rPr>
          <w:rFonts w:ascii="Times New Roman"/>
          <w:szCs w:val="28"/>
        </w:rPr>
        <w:t>年达到设计矿区规模。</w:t>
      </w:r>
    </w:p>
    <w:p w14:paraId="3B804D46"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szCs w:val="28"/>
        </w:rPr>
        <w:t>矿区达到规划建设规模的时间从</w:t>
      </w:r>
      <w:r>
        <w:rPr>
          <w:rFonts w:ascii="Times New Roman" w:hAnsi="Times New Roman"/>
          <w:szCs w:val="28"/>
        </w:rPr>
        <w:t>2022</w:t>
      </w:r>
      <w:r>
        <w:rPr>
          <w:rFonts w:ascii="Times New Roman"/>
          <w:szCs w:val="28"/>
        </w:rPr>
        <w:t>年开始，矿区</w:t>
      </w:r>
      <w:r>
        <w:rPr>
          <w:rFonts w:ascii="Times New Roman" w:hAnsi="Times New Roman"/>
          <w:szCs w:val="28"/>
        </w:rPr>
        <w:t>2020</w:t>
      </w:r>
      <w:r>
        <w:rPr>
          <w:rFonts w:ascii="Times New Roman"/>
          <w:szCs w:val="28"/>
        </w:rPr>
        <w:t>年～</w:t>
      </w:r>
      <w:r>
        <w:rPr>
          <w:rFonts w:ascii="Times New Roman" w:hAnsi="Times New Roman"/>
          <w:szCs w:val="28"/>
        </w:rPr>
        <w:t>2022</w:t>
      </w:r>
      <w:r>
        <w:rPr>
          <w:rFonts w:ascii="Times New Roman"/>
          <w:szCs w:val="28"/>
        </w:rPr>
        <w:t>年为递增期，</w:t>
      </w:r>
      <w:r>
        <w:rPr>
          <w:rFonts w:ascii="Times New Roman" w:hAnsi="Times New Roman"/>
          <w:szCs w:val="28"/>
        </w:rPr>
        <w:t>2023</w:t>
      </w:r>
      <w:r>
        <w:rPr>
          <w:rFonts w:ascii="Times New Roman"/>
          <w:szCs w:val="28"/>
        </w:rPr>
        <w:t>年～</w:t>
      </w:r>
      <w:r>
        <w:rPr>
          <w:rFonts w:ascii="Times New Roman" w:hAnsi="Times New Roman"/>
          <w:szCs w:val="28"/>
        </w:rPr>
        <w:t>2048</w:t>
      </w:r>
      <w:r>
        <w:rPr>
          <w:rFonts w:ascii="Times New Roman"/>
          <w:szCs w:val="28"/>
        </w:rPr>
        <w:t>年为均衡期，</w:t>
      </w:r>
      <w:r>
        <w:rPr>
          <w:rFonts w:ascii="Times New Roman" w:hAnsi="Times New Roman"/>
          <w:szCs w:val="28"/>
        </w:rPr>
        <w:t>2049</w:t>
      </w:r>
      <w:r>
        <w:rPr>
          <w:rFonts w:ascii="Times New Roman"/>
          <w:szCs w:val="28"/>
        </w:rPr>
        <w:t>年～</w:t>
      </w:r>
      <w:r>
        <w:rPr>
          <w:rFonts w:ascii="Times New Roman" w:hAnsi="Times New Roman"/>
          <w:szCs w:val="28"/>
        </w:rPr>
        <w:t>2125</w:t>
      </w:r>
      <w:r>
        <w:rPr>
          <w:rFonts w:ascii="Times New Roman"/>
          <w:szCs w:val="28"/>
        </w:rPr>
        <w:t>年递减期。</w:t>
      </w:r>
      <w:r>
        <w:rPr>
          <w:rFonts w:ascii="Times New Roman" w:hAnsi="Times New Roman"/>
          <w:szCs w:val="28"/>
        </w:rPr>
        <w:t>2022</w:t>
      </w:r>
      <w:r>
        <w:rPr>
          <w:rFonts w:ascii="Times New Roman"/>
          <w:szCs w:val="28"/>
        </w:rPr>
        <w:t>年矿区达到建设规模</w:t>
      </w:r>
      <w:r>
        <w:rPr>
          <w:rFonts w:ascii="Times New Roman" w:hAnsi="Times New Roman"/>
          <w:szCs w:val="28"/>
        </w:rPr>
        <w:t>9.20Mt/a</w:t>
      </w:r>
      <w:r>
        <w:rPr>
          <w:rFonts w:ascii="Times New Roman"/>
          <w:szCs w:val="28"/>
        </w:rPr>
        <w:t>（其中</w:t>
      </w:r>
      <w:r>
        <w:rPr>
          <w:rFonts w:ascii="Times New Roman" w:hint="eastAsia"/>
        </w:rPr>
        <w:t>马莲台煤矿</w:t>
      </w:r>
      <w:r>
        <w:rPr>
          <w:rFonts w:ascii="Times New Roman"/>
        </w:rPr>
        <w:t>3.60Mt/a</w:t>
      </w:r>
      <w:r>
        <w:rPr>
          <w:rFonts w:ascii="Times New Roman" w:hint="eastAsia"/>
        </w:rPr>
        <w:t>，任家庄煤矿</w:t>
      </w:r>
      <w:r>
        <w:rPr>
          <w:rFonts w:ascii="Times New Roman"/>
        </w:rPr>
        <w:t>3.60Mt/a</w:t>
      </w:r>
      <w:r>
        <w:rPr>
          <w:rFonts w:ascii="Times New Roman" w:hint="eastAsia"/>
        </w:rPr>
        <w:t>，红石湾煤矿</w:t>
      </w:r>
      <w:r>
        <w:rPr>
          <w:rFonts w:ascii="Times New Roman"/>
        </w:rPr>
        <w:t>1.10Mt/a</w:t>
      </w:r>
      <w:r>
        <w:rPr>
          <w:rFonts w:ascii="Times New Roman" w:hint="eastAsia"/>
        </w:rPr>
        <w:t>，丁家梁煤矿</w:t>
      </w:r>
      <w:r>
        <w:rPr>
          <w:rFonts w:ascii="Times New Roman"/>
        </w:rPr>
        <w:t>0.9</w:t>
      </w:r>
      <w:r>
        <w:rPr>
          <w:rFonts w:ascii="Times New Roman" w:hAnsi="Times New Roman"/>
          <w:szCs w:val="28"/>
        </w:rPr>
        <w:t>Mt/a</w:t>
      </w:r>
      <w:r>
        <w:rPr>
          <w:rFonts w:ascii="Times New Roman"/>
          <w:szCs w:val="28"/>
        </w:rPr>
        <w:t>）。</w:t>
      </w:r>
      <w:r>
        <w:rPr>
          <w:rFonts w:ascii="Times New Roman"/>
          <w:snapToGrid w:val="0"/>
          <w:kern w:val="0"/>
        </w:rPr>
        <w:t>矿区产量均衡生产时间为</w:t>
      </w:r>
      <w:r>
        <w:rPr>
          <w:rFonts w:ascii="Times New Roman" w:hAnsi="Times New Roman"/>
          <w:snapToGrid w:val="0"/>
          <w:kern w:val="0"/>
        </w:rPr>
        <w:t>28a</w:t>
      </w:r>
      <w:r>
        <w:rPr>
          <w:rFonts w:ascii="Times New Roman"/>
          <w:snapToGrid w:val="0"/>
          <w:kern w:val="0"/>
        </w:rPr>
        <w:t>。矿区建设顺序及产量增长规划见表</w:t>
      </w:r>
      <w:r>
        <w:rPr>
          <w:rFonts w:ascii="Times New Roman" w:hAnsi="Times New Roman"/>
          <w:szCs w:val="24"/>
        </w:rPr>
        <w:t>2.3-5</w:t>
      </w:r>
      <w:r>
        <w:rPr>
          <w:rFonts w:ascii="Times New Roman"/>
          <w:szCs w:val="24"/>
        </w:rPr>
        <w:t>。</w:t>
      </w:r>
    </w:p>
    <w:p w14:paraId="44213B83" w14:textId="77777777" w:rsidR="009C353B" w:rsidRDefault="00000000">
      <w:pPr>
        <w:spacing w:line="440" w:lineRule="exact"/>
        <w:jc w:val="center"/>
        <w:rPr>
          <w:rFonts w:ascii="Times New Roman" w:hint="eastAsia"/>
          <w:b/>
          <w:szCs w:val="24"/>
        </w:rPr>
      </w:pPr>
      <w:r>
        <w:rPr>
          <w:rFonts w:ascii="Times New Roman"/>
          <w:b/>
          <w:szCs w:val="24"/>
        </w:rPr>
        <w:t>矿区产量逐年递增计划表</w:t>
      </w:r>
    </w:p>
    <w:p w14:paraId="49F4FC90" w14:textId="77777777" w:rsidR="009C353B" w:rsidRDefault="00000000">
      <w:pPr>
        <w:adjustRightInd w:val="0"/>
        <w:snapToGrid w:val="0"/>
        <w:spacing w:line="440" w:lineRule="exact"/>
        <w:ind w:firstLineChars="200" w:firstLine="480"/>
        <w:rPr>
          <w:rFonts w:ascii="Times New Roman" w:hint="eastAsia"/>
        </w:rPr>
      </w:pPr>
      <w:r>
        <w:rPr>
          <w:rFonts w:ascii="Times New Roman"/>
        </w:rPr>
        <w:t>表</w:t>
      </w:r>
      <w:r>
        <w:rPr>
          <w:rFonts w:ascii="Times New Roman"/>
        </w:rPr>
        <w:t>2.3-5</w:t>
      </w:r>
    </w:p>
    <w:tbl>
      <w:tblPr>
        <w:tblW w:w="5000" w:type="pct"/>
        <w:jc w:val="center"/>
        <w:tblLook w:val="04A0" w:firstRow="1" w:lastRow="0" w:firstColumn="1" w:lastColumn="0" w:noHBand="0" w:noVBand="1"/>
      </w:tblPr>
      <w:tblGrid>
        <w:gridCol w:w="1647"/>
        <w:gridCol w:w="979"/>
        <w:gridCol w:w="896"/>
        <w:gridCol w:w="1646"/>
        <w:gridCol w:w="827"/>
        <w:gridCol w:w="1646"/>
        <w:gridCol w:w="1646"/>
      </w:tblGrid>
      <w:tr w:rsidR="009C353B" w14:paraId="7EE7676F" w14:textId="77777777">
        <w:trPr>
          <w:trHeight w:val="550"/>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689F056" w14:textId="77777777" w:rsidR="009C353B" w:rsidRDefault="00000000">
            <w:pPr>
              <w:pStyle w:val="01"/>
              <w:rPr>
                <w:rFonts w:ascii="Times New Roman" w:hAnsi="Times New Roman"/>
              </w:rPr>
            </w:pPr>
            <w:r>
              <w:rPr>
                <w:rFonts w:ascii="Times New Roman" w:hAnsi="Times New Roman"/>
                <w:lang w:bidi="ar"/>
              </w:rPr>
              <w:t>矿井名称</w:t>
            </w:r>
          </w:p>
        </w:tc>
        <w:tc>
          <w:tcPr>
            <w:tcW w:w="0" w:type="auto"/>
            <w:vMerge w:val="restart"/>
            <w:tcBorders>
              <w:top w:val="single" w:sz="4" w:space="0" w:color="auto"/>
              <w:left w:val="nil"/>
              <w:bottom w:val="single" w:sz="4" w:space="0" w:color="auto"/>
              <w:right w:val="single" w:sz="4" w:space="0" w:color="auto"/>
            </w:tcBorders>
            <w:shd w:val="clear" w:color="auto" w:fill="FFFFFF"/>
            <w:vAlign w:val="center"/>
          </w:tcPr>
          <w:p w14:paraId="04D5ECC9" w14:textId="77777777" w:rsidR="009C353B" w:rsidRDefault="00000000">
            <w:pPr>
              <w:pStyle w:val="01"/>
              <w:rPr>
                <w:rFonts w:ascii="Times New Roman" w:hAnsi="Times New Roman"/>
              </w:rPr>
            </w:pPr>
            <w:r>
              <w:rPr>
                <w:rFonts w:ascii="Times New Roman" w:hAnsi="Times New Roman"/>
                <w:lang w:bidi="ar"/>
              </w:rPr>
              <w:t>规划</w:t>
            </w:r>
          </w:p>
          <w:p w14:paraId="1DE990D2" w14:textId="77777777" w:rsidR="009C353B" w:rsidRDefault="00000000">
            <w:pPr>
              <w:pStyle w:val="01"/>
              <w:rPr>
                <w:rFonts w:ascii="Times New Roman" w:hAnsi="Times New Roman"/>
              </w:rPr>
            </w:pPr>
            <w:r>
              <w:rPr>
                <w:rFonts w:ascii="Times New Roman" w:hAnsi="Times New Roman"/>
                <w:lang w:bidi="ar"/>
              </w:rPr>
              <w:t>能力</w:t>
            </w:r>
          </w:p>
          <w:p w14:paraId="24658BCD" w14:textId="77777777" w:rsidR="009C353B" w:rsidRDefault="00000000">
            <w:pPr>
              <w:pStyle w:val="01"/>
              <w:rPr>
                <w:rFonts w:ascii="Times New Roman" w:hAnsi="Times New Roman"/>
              </w:rPr>
            </w:pPr>
            <w:r>
              <w:rPr>
                <w:rFonts w:ascii="Times New Roman" w:hAnsi="Times New Roman"/>
                <w:lang w:bidi="ar"/>
              </w:rPr>
              <w:t>(Mt/a)</w:t>
            </w:r>
          </w:p>
        </w:tc>
        <w:tc>
          <w:tcPr>
            <w:tcW w:w="0" w:type="auto"/>
            <w:vMerge w:val="restart"/>
            <w:tcBorders>
              <w:top w:val="single" w:sz="4" w:space="0" w:color="auto"/>
              <w:left w:val="nil"/>
              <w:bottom w:val="single" w:sz="4" w:space="0" w:color="auto"/>
              <w:right w:val="single" w:sz="4" w:space="0" w:color="auto"/>
            </w:tcBorders>
            <w:shd w:val="clear" w:color="auto" w:fill="FFFFFF"/>
            <w:vAlign w:val="center"/>
          </w:tcPr>
          <w:p w14:paraId="66B10432" w14:textId="77777777" w:rsidR="009C353B" w:rsidRDefault="00000000">
            <w:pPr>
              <w:pStyle w:val="01"/>
              <w:rPr>
                <w:rFonts w:ascii="Times New Roman" w:hAnsi="Times New Roman"/>
              </w:rPr>
            </w:pPr>
            <w:r>
              <w:rPr>
                <w:rFonts w:ascii="Times New Roman" w:hAnsi="Times New Roman"/>
                <w:lang w:bidi="ar"/>
              </w:rPr>
              <w:t>服务</w:t>
            </w:r>
          </w:p>
          <w:p w14:paraId="2FFAF25E" w14:textId="77777777" w:rsidR="009C353B" w:rsidRDefault="00000000">
            <w:pPr>
              <w:pStyle w:val="01"/>
              <w:rPr>
                <w:rFonts w:ascii="Times New Roman" w:hAnsi="Times New Roman"/>
              </w:rPr>
            </w:pPr>
            <w:r>
              <w:rPr>
                <w:rFonts w:ascii="Times New Roman" w:hAnsi="Times New Roman"/>
                <w:lang w:bidi="ar"/>
              </w:rPr>
              <w:t>年限</w:t>
            </w:r>
          </w:p>
          <w:p w14:paraId="4930D1D2" w14:textId="77777777" w:rsidR="009C353B" w:rsidRDefault="00000000">
            <w:pPr>
              <w:pStyle w:val="01"/>
              <w:rPr>
                <w:rFonts w:ascii="Times New Roman" w:hAnsi="Times New Roman"/>
              </w:rPr>
            </w:pPr>
            <w:r>
              <w:rPr>
                <w:rFonts w:ascii="Times New Roman" w:hAnsi="Times New Roman"/>
                <w:lang w:bidi="ar"/>
              </w:rPr>
              <w:t>(a)</w:t>
            </w:r>
          </w:p>
        </w:tc>
        <w:tc>
          <w:tcPr>
            <w:tcW w:w="0" w:type="auto"/>
            <w:gridSpan w:val="4"/>
            <w:tcBorders>
              <w:top w:val="single" w:sz="4" w:space="0" w:color="auto"/>
              <w:bottom w:val="single" w:sz="4" w:space="0" w:color="auto"/>
              <w:right w:val="single" w:sz="4" w:space="0" w:color="auto"/>
            </w:tcBorders>
            <w:shd w:val="clear" w:color="auto" w:fill="auto"/>
            <w:vAlign w:val="center"/>
          </w:tcPr>
          <w:p w14:paraId="70EE3EAD" w14:textId="77777777" w:rsidR="009C353B" w:rsidRDefault="00000000">
            <w:pPr>
              <w:pStyle w:val="01"/>
              <w:rPr>
                <w:rFonts w:ascii="Times New Roman" w:hAnsi="Times New Roman"/>
              </w:rPr>
            </w:pPr>
            <w:r>
              <w:rPr>
                <w:rFonts w:ascii="Times New Roman" w:hAnsi="Times New Roman"/>
              </w:rPr>
              <w:t>时间（年）</w:t>
            </w:r>
          </w:p>
        </w:tc>
      </w:tr>
      <w:tr w:rsidR="009C353B" w14:paraId="540A94F6" w14:textId="77777777">
        <w:trPr>
          <w:trHeight w:val="270"/>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0E77FF72" w14:textId="77777777" w:rsidR="009C353B" w:rsidRDefault="009C353B">
            <w:pPr>
              <w:pStyle w:val="01"/>
              <w:rPr>
                <w:rFonts w:ascii="Times New Roman" w:hAnsi="Times New Roman"/>
              </w:rPr>
            </w:pPr>
          </w:p>
        </w:tc>
        <w:tc>
          <w:tcPr>
            <w:tcW w:w="0" w:type="auto"/>
            <w:vMerge/>
            <w:tcBorders>
              <w:top w:val="single" w:sz="4" w:space="0" w:color="auto"/>
              <w:left w:val="nil"/>
              <w:bottom w:val="single" w:sz="4" w:space="0" w:color="auto"/>
              <w:right w:val="single" w:sz="4" w:space="0" w:color="auto"/>
            </w:tcBorders>
            <w:shd w:val="clear" w:color="auto" w:fill="FFFFFF"/>
            <w:vAlign w:val="center"/>
          </w:tcPr>
          <w:p w14:paraId="2C8F5E1B" w14:textId="77777777" w:rsidR="009C353B" w:rsidRDefault="009C353B">
            <w:pPr>
              <w:pStyle w:val="01"/>
              <w:rPr>
                <w:rFonts w:ascii="Times New Roman" w:hAnsi="Times New Roman"/>
              </w:rPr>
            </w:pPr>
          </w:p>
        </w:tc>
        <w:tc>
          <w:tcPr>
            <w:tcW w:w="0" w:type="auto"/>
            <w:vMerge/>
            <w:tcBorders>
              <w:top w:val="single" w:sz="4" w:space="0" w:color="auto"/>
              <w:left w:val="nil"/>
              <w:bottom w:val="single" w:sz="4" w:space="0" w:color="auto"/>
              <w:right w:val="single" w:sz="4" w:space="0" w:color="auto"/>
            </w:tcBorders>
            <w:shd w:val="clear" w:color="auto" w:fill="FFFFFF"/>
            <w:vAlign w:val="center"/>
          </w:tcPr>
          <w:p w14:paraId="1319F34D" w14:textId="77777777" w:rsidR="009C353B" w:rsidRDefault="009C353B">
            <w:pPr>
              <w:pStyle w:val="01"/>
              <w:rPr>
                <w:rFonts w:ascii="Times New Roman" w:hAnsi="Times New Roman"/>
              </w:rPr>
            </w:pPr>
          </w:p>
        </w:tc>
        <w:tc>
          <w:tcPr>
            <w:tcW w:w="0" w:type="auto"/>
            <w:tcBorders>
              <w:top w:val="nil"/>
              <w:left w:val="nil"/>
              <w:bottom w:val="single" w:sz="4" w:space="0" w:color="auto"/>
              <w:right w:val="single" w:sz="4" w:space="0" w:color="auto"/>
            </w:tcBorders>
            <w:shd w:val="clear" w:color="auto" w:fill="FFFFFF"/>
            <w:vAlign w:val="center"/>
          </w:tcPr>
          <w:p w14:paraId="65977B01" w14:textId="77777777" w:rsidR="009C353B" w:rsidRDefault="00000000">
            <w:pPr>
              <w:pStyle w:val="01"/>
              <w:rPr>
                <w:rFonts w:ascii="Times New Roman" w:hAnsi="Times New Roman"/>
              </w:rPr>
            </w:pPr>
            <w:r>
              <w:rPr>
                <w:rFonts w:ascii="Times New Roman" w:hAnsi="Times New Roman"/>
                <w:lang w:bidi="ar"/>
              </w:rPr>
              <w:t>2020</w:t>
            </w:r>
            <w:r>
              <w:rPr>
                <w:rFonts w:ascii="Times New Roman" w:hAnsi="Times New Roman"/>
                <w:lang w:bidi="ar"/>
              </w:rPr>
              <w:t>～</w:t>
            </w:r>
            <w:r>
              <w:rPr>
                <w:rFonts w:ascii="Times New Roman" w:hAnsi="Times New Roman"/>
                <w:lang w:bidi="ar"/>
              </w:rPr>
              <w:t>2021</w:t>
            </w:r>
          </w:p>
        </w:tc>
        <w:tc>
          <w:tcPr>
            <w:tcW w:w="0" w:type="auto"/>
            <w:tcBorders>
              <w:top w:val="nil"/>
              <w:left w:val="nil"/>
              <w:bottom w:val="single" w:sz="4" w:space="0" w:color="auto"/>
              <w:right w:val="single" w:sz="4" w:space="0" w:color="auto"/>
            </w:tcBorders>
            <w:shd w:val="clear" w:color="auto" w:fill="FFFFFF"/>
            <w:vAlign w:val="center"/>
          </w:tcPr>
          <w:p w14:paraId="7F56D1BE" w14:textId="77777777" w:rsidR="009C353B" w:rsidRDefault="00000000">
            <w:pPr>
              <w:pStyle w:val="01"/>
              <w:rPr>
                <w:rFonts w:ascii="Times New Roman" w:hAnsi="Times New Roman"/>
              </w:rPr>
            </w:pPr>
            <w:r>
              <w:rPr>
                <w:rFonts w:ascii="Times New Roman" w:hAnsi="Times New Roman"/>
                <w:lang w:bidi="ar"/>
              </w:rPr>
              <w:t>2022</w:t>
            </w:r>
          </w:p>
        </w:tc>
        <w:tc>
          <w:tcPr>
            <w:tcW w:w="0" w:type="auto"/>
            <w:tcBorders>
              <w:top w:val="nil"/>
              <w:left w:val="nil"/>
              <w:bottom w:val="single" w:sz="4" w:space="0" w:color="auto"/>
              <w:right w:val="single" w:sz="4" w:space="0" w:color="auto"/>
            </w:tcBorders>
            <w:shd w:val="clear" w:color="auto" w:fill="FFFFFF"/>
            <w:vAlign w:val="center"/>
          </w:tcPr>
          <w:p w14:paraId="40B953F2" w14:textId="77777777" w:rsidR="009C353B" w:rsidRDefault="00000000">
            <w:pPr>
              <w:pStyle w:val="01"/>
              <w:rPr>
                <w:rFonts w:ascii="Times New Roman" w:hAnsi="Times New Roman"/>
              </w:rPr>
            </w:pPr>
            <w:r>
              <w:rPr>
                <w:rFonts w:ascii="Times New Roman" w:hAnsi="Times New Roman"/>
                <w:lang w:bidi="ar"/>
              </w:rPr>
              <w:t>2023</w:t>
            </w:r>
            <w:r>
              <w:rPr>
                <w:rFonts w:ascii="Times New Roman" w:hAnsi="Times New Roman"/>
                <w:lang w:bidi="ar"/>
              </w:rPr>
              <w:t>～</w:t>
            </w:r>
            <w:r>
              <w:rPr>
                <w:rFonts w:ascii="Times New Roman" w:hAnsi="Times New Roman"/>
                <w:lang w:bidi="ar"/>
              </w:rPr>
              <w:t>2048</w:t>
            </w:r>
          </w:p>
        </w:tc>
        <w:tc>
          <w:tcPr>
            <w:tcW w:w="0" w:type="auto"/>
            <w:tcBorders>
              <w:top w:val="nil"/>
              <w:left w:val="nil"/>
              <w:bottom w:val="single" w:sz="4" w:space="0" w:color="auto"/>
              <w:right w:val="single" w:sz="4" w:space="0" w:color="auto"/>
            </w:tcBorders>
            <w:shd w:val="clear" w:color="auto" w:fill="FFFFFF"/>
            <w:vAlign w:val="center"/>
          </w:tcPr>
          <w:p w14:paraId="20D63060" w14:textId="77777777" w:rsidR="009C353B" w:rsidRDefault="00000000">
            <w:pPr>
              <w:pStyle w:val="01"/>
              <w:rPr>
                <w:rFonts w:ascii="Times New Roman" w:hAnsi="Times New Roman"/>
              </w:rPr>
            </w:pPr>
            <w:r>
              <w:rPr>
                <w:rFonts w:ascii="Times New Roman" w:hAnsi="Times New Roman"/>
                <w:lang w:bidi="ar"/>
              </w:rPr>
              <w:t>2049</w:t>
            </w:r>
            <w:r>
              <w:rPr>
                <w:rFonts w:ascii="Times New Roman" w:hAnsi="Times New Roman"/>
                <w:lang w:bidi="ar"/>
              </w:rPr>
              <w:t>～</w:t>
            </w:r>
            <w:r>
              <w:rPr>
                <w:rFonts w:ascii="Times New Roman" w:hAnsi="Times New Roman"/>
                <w:lang w:bidi="ar"/>
              </w:rPr>
              <w:t>2125</w:t>
            </w:r>
          </w:p>
        </w:tc>
      </w:tr>
      <w:tr w:rsidR="009C353B" w14:paraId="4258A77E" w14:textId="77777777">
        <w:trPr>
          <w:trHeight w:val="425"/>
          <w:jc w:val="center"/>
        </w:trPr>
        <w:tc>
          <w:tcPr>
            <w:tcW w:w="0" w:type="auto"/>
            <w:tcBorders>
              <w:top w:val="nil"/>
              <w:left w:val="single" w:sz="4" w:space="0" w:color="auto"/>
              <w:bottom w:val="single" w:sz="4" w:space="0" w:color="auto"/>
              <w:right w:val="single" w:sz="4" w:space="0" w:color="auto"/>
            </w:tcBorders>
            <w:shd w:val="clear" w:color="auto" w:fill="FFFFFF"/>
            <w:vAlign w:val="center"/>
          </w:tcPr>
          <w:p w14:paraId="35018326" w14:textId="77777777" w:rsidR="009C353B" w:rsidRDefault="00000000">
            <w:pPr>
              <w:pStyle w:val="01"/>
              <w:rPr>
                <w:rFonts w:ascii="Times New Roman" w:hAnsi="Times New Roman"/>
              </w:rPr>
            </w:pPr>
            <w:r>
              <w:rPr>
                <w:rFonts w:ascii="Times New Roman" w:hAnsi="Times New Roman"/>
                <w:lang w:bidi="ar"/>
              </w:rPr>
              <w:t>马莲台矿井</w:t>
            </w:r>
          </w:p>
        </w:tc>
        <w:tc>
          <w:tcPr>
            <w:tcW w:w="0" w:type="auto"/>
            <w:tcBorders>
              <w:top w:val="nil"/>
              <w:left w:val="nil"/>
              <w:bottom w:val="single" w:sz="4" w:space="0" w:color="auto"/>
              <w:right w:val="single" w:sz="4" w:space="0" w:color="auto"/>
            </w:tcBorders>
            <w:shd w:val="clear" w:color="auto" w:fill="FFFFFF"/>
            <w:vAlign w:val="center"/>
          </w:tcPr>
          <w:p w14:paraId="16112438" w14:textId="77777777" w:rsidR="009C353B" w:rsidRDefault="00000000">
            <w:pPr>
              <w:pStyle w:val="01"/>
              <w:rPr>
                <w:rFonts w:ascii="Times New Roman" w:hAnsi="Times New Roman"/>
              </w:rPr>
            </w:pPr>
            <w:r>
              <w:rPr>
                <w:rFonts w:ascii="Times New Roman" w:hAnsi="Times New Roman"/>
                <w:lang w:bidi="ar"/>
              </w:rPr>
              <w:t>3.60</w:t>
            </w:r>
          </w:p>
        </w:tc>
        <w:tc>
          <w:tcPr>
            <w:tcW w:w="0" w:type="auto"/>
            <w:tcBorders>
              <w:top w:val="nil"/>
              <w:left w:val="nil"/>
              <w:bottom w:val="single" w:sz="4" w:space="0" w:color="auto"/>
              <w:right w:val="single" w:sz="4" w:space="0" w:color="auto"/>
            </w:tcBorders>
            <w:shd w:val="clear" w:color="auto" w:fill="FFFFFF"/>
            <w:vAlign w:val="center"/>
          </w:tcPr>
          <w:p w14:paraId="2AA742E6" w14:textId="77777777" w:rsidR="009C353B" w:rsidRDefault="00000000">
            <w:pPr>
              <w:pStyle w:val="01"/>
              <w:rPr>
                <w:rFonts w:ascii="Times New Roman" w:hAnsi="Times New Roman"/>
              </w:rPr>
            </w:pPr>
            <w:r>
              <w:rPr>
                <w:rFonts w:ascii="Times New Roman" w:hAnsi="Times New Roman"/>
                <w:lang w:bidi="ar"/>
              </w:rPr>
              <w:t>28.8</w:t>
            </w:r>
          </w:p>
        </w:tc>
        <w:tc>
          <w:tcPr>
            <w:tcW w:w="0" w:type="auto"/>
            <w:tcBorders>
              <w:top w:val="nil"/>
              <w:left w:val="nil"/>
              <w:bottom w:val="single" w:sz="4" w:space="0" w:color="auto"/>
              <w:right w:val="single" w:sz="4" w:space="0" w:color="auto"/>
            </w:tcBorders>
            <w:shd w:val="clear" w:color="auto" w:fill="FFFFFF"/>
            <w:vAlign w:val="center"/>
          </w:tcPr>
          <w:p w14:paraId="6DBE4120" w14:textId="77777777" w:rsidR="009C353B" w:rsidRDefault="00000000">
            <w:pPr>
              <w:pStyle w:val="01"/>
              <w:rPr>
                <w:rFonts w:ascii="Times New Roman" w:hAnsi="Times New Roman"/>
              </w:rPr>
            </w:pPr>
            <w:r>
              <w:rPr>
                <w:rFonts w:ascii="Times New Roman" w:hAnsi="Times New Roman"/>
                <w:lang w:bidi="ar"/>
              </w:rPr>
              <w:t>3.60</w:t>
            </w:r>
          </w:p>
        </w:tc>
        <w:tc>
          <w:tcPr>
            <w:tcW w:w="0" w:type="auto"/>
            <w:tcBorders>
              <w:top w:val="nil"/>
              <w:left w:val="nil"/>
              <w:bottom w:val="single" w:sz="4" w:space="0" w:color="auto"/>
              <w:right w:val="single" w:sz="4" w:space="0" w:color="auto"/>
            </w:tcBorders>
            <w:shd w:val="clear" w:color="auto" w:fill="FFFFFF"/>
            <w:vAlign w:val="center"/>
          </w:tcPr>
          <w:p w14:paraId="36D56515" w14:textId="77777777" w:rsidR="009C353B" w:rsidRDefault="00000000">
            <w:pPr>
              <w:pStyle w:val="01"/>
              <w:rPr>
                <w:rFonts w:ascii="Times New Roman" w:hAnsi="Times New Roman"/>
              </w:rPr>
            </w:pPr>
            <w:r>
              <w:rPr>
                <w:rFonts w:ascii="Times New Roman" w:hAnsi="Times New Roman"/>
                <w:lang w:bidi="ar"/>
              </w:rPr>
              <w:t>3.60</w:t>
            </w:r>
          </w:p>
        </w:tc>
        <w:tc>
          <w:tcPr>
            <w:tcW w:w="0" w:type="auto"/>
            <w:tcBorders>
              <w:top w:val="nil"/>
              <w:left w:val="nil"/>
              <w:bottom w:val="single" w:sz="4" w:space="0" w:color="auto"/>
              <w:right w:val="single" w:sz="4" w:space="0" w:color="auto"/>
            </w:tcBorders>
            <w:shd w:val="clear" w:color="auto" w:fill="FFFFFF"/>
            <w:vAlign w:val="center"/>
          </w:tcPr>
          <w:p w14:paraId="3393A53B" w14:textId="77777777" w:rsidR="009C353B" w:rsidRDefault="00000000">
            <w:pPr>
              <w:pStyle w:val="01"/>
              <w:rPr>
                <w:rFonts w:ascii="Times New Roman" w:hAnsi="Times New Roman"/>
              </w:rPr>
            </w:pPr>
            <w:r>
              <w:rPr>
                <w:rFonts w:ascii="Times New Roman" w:hAnsi="Times New Roman"/>
                <w:lang w:bidi="ar"/>
              </w:rPr>
              <w:t>3.60</w:t>
            </w:r>
          </w:p>
        </w:tc>
        <w:tc>
          <w:tcPr>
            <w:tcW w:w="0" w:type="auto"/>
            <w:tcBorders>
              <w:top w:val="nil"/>
              <w:left w:val="nil"/>
              <w:bottom w:val="single" w:sz="4" w:space="0" w:color="auto"/>
              <w:right w:val="single" w:sz="4" w:space="0" w:color="auto"/>
            </w:tcBorders>
            <w:shd w:val="clear" w:color="auto" w:fill="FFFFFF"/>
            <w:noWrap/>
            <w:vAlign w:val="center"/>
          </w:tcPr>
          <w:p w14:paraId="423690AA" w14:textId="77777777" w:rsidR="009C353B" w:rsidRDefault="00000000">
            <w:pPr>
              <w:pStyle w:val="01"/>
              <w:rPr>
                <w:rFonts w:ascii="Times New Roman" w:hAnsi="Times New Roman"/>
              </w:rPr>
            </w:pPr>
            <w:r>
              <w:rPr>
                <w:rFonts w:ascii="Times New Roman" w:hAnsi="Times New Roman" w:hint="eastAsia"/>
              </w:rPr>
              <w:t>——</w:t>
            </w:r>
          </w:p>
        </w:tc>
      </w:tr>
      <w:tr w:rsidR="009C353B" w14:paraId="4BE26D22" w14:textId="77777777">
        <w:trPr>
          <w:trHeight w:val="425"/>
          <w:jc w:val="center"/>
        </w:trPr>
        <w:tc>
          <w:tcPr>
            <w:tcW w:w="0" w:type="auto"/>
            <w:tcBorders>
              <w:top w:val="nil"/>
              <w:left w:val="single" w:sz="4" w:space="0" w:color="auto"/>
              <w:bottom w:val="single" w:sz="4" w:space="0" w:color="auto"/>
              <w:right w:val="single" w:sz="4" w:space="0" w:color="auto"/>
            </w:tcBorders>
            <w:shd w:val="clear" w:color="auto" w:fill="FFFFFF"/>
            <w:vAlign w:val="center"/>
          </w:tcPr>
          <w:p w14:paraId="5E1E6F87" w14:textId="77777777" w:rsidR="009C353B" w:rsidRDefault="00000000">
            <w:pPr>
              <w:pStyle w:val="01"/>
              <w:rPr>
                <w:rFonts w:ascii="Times New Roman" w:hAnsi="Times New Roman"/>
              </w:rPr>
            </w:pPr>
            <w:r>
              <w:rPr>
                <w:rFonts w:ascii="Times New Roman" w:hAnsi="Times New Roman"/>
                <w:lang w:bidi="ar"/>
              </w:rPr>
              <w:t>任家庄矿井</w:t>
            </w:r>
          </w:p>
        </w:tc>
        <w:tc>
          <w:tcPr>
            <w:tcW w:w="0" w:type="auto"/>
            <w:tcBorders>
              <w:top w:val="nil"/>
              <w:left w:val="nil"/>
              <w:bottom w:val="single" w:sz="4" w:space="0" w:color="auto"/>
              <w:right w:val="single" w:sz="4" w:space="0" w:color="auto"/>
            </w:tcBorders>
            <w:shd w:val="clear" w:color="auto" w:fill="FFFFFF"/>
            <w:vAlign w:val="center"/>
          </w:tcPr>
          <w:p w14:paraId="50A97751" w14:textId="77777777" w:rsidR="009C353B" w:rsidRDefault="00000000">
            <w:pPr>
              <w:pStyle w:val="01"/>
              <w:rPr>
                <w:rFonts w:ascii="Times New Roman" w:hAnsi="Times New Roman"/>
              </w:rPr>
            </w:pPr>
            <w:r>
              <w:rPr>
                <w:rFonts w:ascii="Times New Roman" w:hAnsi="Times New Roman"/>
                <w:lang w:bidi="ar"/>
              </w:rPr>
              <w:t>3.60</w:t>
            </w:r>
          </w:p>
        </w:tc>
        <w:tc>
          <w:tcPr>
            <w:tcW w:w="0" w:type="auto"/>
            <w:tcBorders>
              <w:top w:val="nil"/>
              <w:left w:val="nil"/>
              <w:bottom w:val="single" w:sz="4" w:space="0" w:color="auto"/>
              <w:right w:val="single" w:sz="4" w:space="0" w:color="auto"/>
            </w:tcBorders>
            <w:shd w:val="clear" w:color="auto" w:fill="FFFFFF"/>
            <w:vAlign w:val="center"/>
          </w:tcPr>
          <w:p w14:paraId="10534023" w14:textId="77777777" w:rsidR="009C353B" w:rsidRDefault="00000000">
            <w:pPr>
              <w:pStyle w:val="01"/>
              <w:rPr>
                <w:rFonts w:ascii="Times New Roman" w:hAnsi="Times New Roman"/>
              </w:rPr>
            </w:pPr>
            <w:r>
              <w:rPr>
                <w:rFonts w:ascii="Times New Roman" w:hAnsi="Times New Roman"/>
                <w:lang w:bidi="ar"/>
              </w:rPr>
              <w:t>29.3</w:t>
            </w:r>
          </w:p>
        </w:tc>
        <w:tc>
          <w:tcPr>
            <w:tcW w:w="0" w:type="auto"/>
            <w:tcBorders>
              <w:top w:val="nil"/>
              <w:left w:val="nil"/>
              <w:bottom w:val="single" w:sz="4" w:space="0" w:color="auto"/>
              <w:right w:val="single" w:sz="4" w:space="0" w:color="auto"/>
            </w:tcBorders>
            <w:shd w:val="clear" w:color="auto" w:fill="FFFFFF"/>
            <w:vAlign w:val="center"/>
          </w:tcPr>
          <w:p w14:paraId="64D02CCB" w14:textId="77777777" w:rsidR="009C353B" w:rsidRDefault="00000000">
            <w:pPr>
              <w:pStyle w:val="01"/>
              <w:rPr>
                <w:rFonts w:ascii="Times New Roman" w:hAnsi="Times New Roman"/>
              </w:rPr>
            </w:pPr>
            <w:r>
              <w:rPr>
                <w:rFonts w:ascii="Times New Roman" w:hAnsi="Times New Roman"/>
                <w:lang w:bidi="ar"/>
              </w:rPr>
              <w:t>3.60</w:t>
            </w:r>
          </w:p>
        </w:tc>
        <w:tc>
          <w:tcPr>
            <w:tcW w:w="0" w:type="auto"/>
            <w:tcBorders>
              <w:top w:val="nil"/>
              <w:left w:val="nil"/>
              <w:bottom w:val="single" w:sz="4" w:space="0" w:color="auto"/>
              <w:right w:val="single" w:sz="4" w:space="0" w:color="auto"/>
            </w:tcBorders>
            <w:shd w:val="clear" w:color="auto" w:fill="FFFFFF"/>
            <w:vAlign w:val="center"/>
          </w:tcPr>
          <w:p w14:paraId="21535CC9" w14:textId="77777777" w:rsidR="009C353B" w:rsidRDefault="00000000">
            <w:pPr>
              <w:pStyle w:val="01"/>
              <w:rPr>
                <w:rFonts w:ascii="Times New Roman" w:hAnsi="Times New Roman"/>
              </w:rPr>
            </w:pPr>
            <w:r>
              <w:rPr>
                <w:rFonts w:ascii="Times New Roman" w:hAnsi="Times New Roman"/>
                <w:lang w:bidi="ar"/>
              </w:rPr>
              <w:t>3.60</w:t>
            </w:r>
          </w:p>
        </w:tc>
        <w:tc>
          <w:tcPr>
            <w:tcW w:w="0" w:type="auto"/>
            <w:tcBorders>
              <w:top w:val="nil"/>
              <w:left w:val="nil"/>
              <w:bottom w:val="single" w:sz="4" w:space="0" w:color="auto"/>
              <w:right w:val="single" w:sz="4" w:space="0" w:color="auto"/>
            </w:tcBorders>
            <w:shd w:val="clear" w:color="auto" w:fill="FFFFFF"/>
            <w:vAlign w:val="center"/>
          </w:tcPr>
          <w:p w14:paraId="161B5A39" w14:textId="77777777" w:rsidR="009C353B" w:rsidRDefault="00000000">
            <w:pPr>
              <w:pStyle w:val="01"/>
              <w:rPr>
                <w:rFonts w:ascii="Times New Roman" w:hAnsi="Times New Roman"/>
              </w:rPr>
            </w:pPr>
            <w:r>
              <w:rPr>
                <w:rFonts w:ascii="Times New Roman" w:hAnsi="Times New Roman"/>
                <w:lang w:bidi="ar"/>
              </w:rPr>
              <w:t>3.60</w:t>
            </w:r>
          </w:p>
        </w:tc>
        <w:tc>
          <w:tcPr>
            <w:tcW w:w="0" w:type="auto"/>
            <w:tcBorders>
              <w:top w:val="nil"/>
              <w:left w:val="nil"/>
              <w:bottom w:val="single" w:sz="4" w:space="0" w:color="auto"/>
              <w:right w:val="single" w:sz="4" w:space="0" w:color="auto"/>
            </w:tcBorders>
            <w:shd w:val="clear" w:color="auto" w:fill="FFFFFF"/>
            <w:noWrap/>
            <w:vAlign w:val="center"/>
          </w:tcPr>
          <w:p w14:paraId="3260EFF6" w14:textId="77777777" w:rsidR="009C353B" w:rsidRDefault="00000000">
            <w:pPr>
              <w:pStyle w:val="01"/>
              <w:rPr>
                <w:rFonts w:ascii="Times New Roman" w:hAnsi="Times New Roman"/>
              </w:rPr>
            </w:pPr>
            <w:r>
              <w:rPr>
                <w:rFonts w:ascii="Times New Roman" w:hAnsi="Times New Roman" w:hint="eastAsia"/>
              </w:rPr>
              <w:t>——</w:t>
            </w:r>
          </w:p>
        </w:tc>
      </w:tr>
      <w:tr w:rsidR="009C353B" w14:paraId="56C11E33" w14:textId="77777777">
        <w:trPr>
          <w:trHeight w:val="425"/>
          <w:jc w:val="center"/>
        </w:trPr>
        <w:tc>
          <w:tcPr>
            <w:tcW w:w="0" w:type="auto"/>
            <w:tcBorders>
              <w:top w:val="nil"/>
              <w:left w:val="single" w:sz="4" w:space="0" w:color="auto"/>
              <w:bottom w:val="single" w:sz="4" w:space="0" w:color="auto"/>
              <w:right w:val="single" w:sz="4" w:space="0" w:color="auto"/>
            </w:tcBorders>
            <w:shd w:val="clear" w:color="auto" w:fill="FFFFFF"/>
            <w:vAlign w:val="center"/>
          </w:tcPr>
          <w:p w14:paraId="4881971B" w14:textId="77777777" w:rsidR="009C353B" w:rsidRDefault="00000000">
            <w:pPr>
              <w:pStyle w:val="01"/>
              <w:rPr>
                <w:rFonts w:ascii="Times New Roman" w:hAnsi="Times New Roman"/>
              </w:rPr>
            </w:pPr>
            <w:r>
              <w:rPr>
                <w:rFonts w:ascii="Times New Roman" w:hAnsi="Times New Roman"/>
                <w:lang w:bidi="ar"/>
              </w:rPr>
              <w:t>红石湾矿井</w:t>
            </w:r>
          </w:p>
        </w:tc>
        <w:tc>
          <w:tcPr>
            <w:tcW w:w="0" w:type="auto"/>
            <w:tcBorders>
              <w:top w:val="nil"/>
              <w:left w:val="nil"/>
              <w:bottom w:val="single" w:sz="4" w:space="0" w:color="auto"/>
              <w:right w:val="single" w:sz="4" w:space="0" w:color="auto"/>
            </w:tcBorders>
            <w:shd w:val="clear" w:color="auto" w:fill="FFFFFF"/>
            <w:vAlign w:val="center"/>
          </w:tcPr>
          <w:p w14:paraId="2E8EB3E9" w14:textId="77777777" w:rsidR="009C353B" w:rsidRDefault="00000000">
            <w:pPr>
              <w:pStyle w:val="01"/>
              <w:rPr>
                <w:rFonts w:ascii="Times New Roman" w:hAnsi="Times New Roman"/>
              </w:rPr>
            </w:pPr>
            <w:r>
              <w:rPr>
                <w:rFonts w:ascii="Times New Roman" w:hAnsi="Times New Roman"/>
                <w:lang w:bidi="ar"/>
              </w:rPr>
              <w:t>1.10</w:t>
            </w:r>
          </w:p>
        </w:tc>
        <w:tc>
          <w:tcPr>
            <w:tcW w:w="0" w:type="auto"/>
            <w:tcBorders>
              <w:top w:val="nil"/>
              <w:left w:val="nil"/>
              <w:bottom w:val="single" w:sz="4" w:space="0" w:color="auto"/>
              <w:right w:val="single" w:sz="4" w:space="0" w:color="auto"/>
            </w:tcBorders>
            <w:shd w:val="clear" w:color="auto" w:fill="FFFFFF"/>
            <w:vAlign w:val="center"/>
          </w:tcPr>
          <w:p w14:paraId="3398C7F7" w14:textId="77777777" w:rsidR="009C353B" w:rsidRDefault="00000000">
            <w:pPr>
              <w:pStyle w:val="01"/>
              <w:rPr>
                <w:rFonts w:ascii="Times New Roman" w:hAnsi="Times New Roman"/>
              </w:rPr>
            </w:pPr>
            <w:r>
              <w:rPr>
                <w:rFonts w:ascii="Times New Roman" w:hAnsi="Times New Roman"/>
                <w:lang w:bidi="ar"/>
              </w:rPr>
              <w:t>28.2</w:t>
            </w:r>
          </w:p>
        </w:tc>
        <w:tc>
          <w:tcPr>
            <w:tcW w:w="0" w:type="auto"/>
            <w:tcBorders>
              <w:top w:val="nil"/>
              <w:left w:val="nil"/>
              <w:bottom w:val="single" w:sz="4" w:space="0" w:color="auto"/>
              <w:right w:val="single" w:sz="4" w:space="0" w:color="auto"/>
            </w:tcBorders>
            <w:shd w:val="clear" w:color="auto" w:fill="FFFFFF"/>
            <w:vAlign w:val="center"/>
          </w:tcPr>
          <w:p w14:paraId="073C0BCD" w14:textId="77777777" w:rsidR="009C353B" w:rsidRDefault="00000000">
            <w:pPr>
              <w:pStyle w:val="01"/>
              <w:rPr>
                <w:rFonts w:ascii="Times New Roman" w:hAnsi="Times New Roman"/>
              </w:rPr>
            </w:pPr>
            <w:r>
              <w:rPr>
                <w:rFonts w:ascii="Times New Roman" w:hAnsi="Times New Roman"/>
                <w:lang w:bidi="ar"/>
              </w:rPr>
              <w:t>1.10</w:t>
            </w:r>
          </w:p>
        </w:tc>
        <w:tc>
          <w:tcPr>
            <w:tcW w:w="0" w:type="auto"/>
            <w:tcBorders>
              <w:top w:val="nil"/>
              <w:left w:val="nil"/>
              <w:bottom w:val="single" w:sz="4" w:space="0" w:color="auto"/>
              <w:right w:val="single" w:sz="4" w:space="0" w:color="auto"/>
            </w:tcBorders>
            <w:shd w:val="clear" w:color="auto" w:fill="FFFFFF"/>
            <w:vAlign w:val="center"/>
          </w:tcPr>
          <w:p w14:paraId="259D6C60" w14:textId="77777777" w:rsidR="009C353B" w:rsidRDefault="00000000">
            <w:pPr>
              <w:pStyle w:val="01"/>
              <w:rPr>
                <w:rFonts w:ascii="Times New Roman" w:hAnsi="Times New Roman"/>
              </w:rPr>
            </w:pPr>
            <w:r>
              <w:rPr>
                <w:rFonts w:ascii="Times New Roman" w:hAnsi="Times New Roman"/>
                <w:lang w:bidi="ar"/>
              </w:rPr>
              <w:t>1.10</w:t>
            </w:r>
          </w:p>
        </w:tc>
        <w:tc>
          <w:tcPr>
            <w:tcW w:w="0" w:type="auto"/>
            <w:tcBorders>
              <w:top w:val="nil"/>
              <w:left w:val="nil"/>
              <w:bottom w:val="single" w:sz="4" w:space="0" w:color="auto"/>
              <w:right w:val="single" w:sz="4" w:space="0" w:color="auto"/>
            </w:tcBorders>
            <w:shd w:val="clear" w:color="auto" w:fill="FFFFFF"/>
            <w:vAlign w:val="center"/>
          </w:tcPr>
          <w:p w14:paraId="23535B7E" w14:textId="77777777" w:rsidR="009C353B" w:rsidRDefault="00000000">
            <w:pPr>
              <w:pStyle w:val="01"/>
              <w:rPr>
                <w:rFonts w:ascii="Times New Roman" w:hAnsi="Times New Roman"/>
              </w:rPr>
            </w:pPr>
            <w:r>
              <w:rPr>
                <w:rFonts w:ascii="Times New Roman" w:hAnsi="Times New Roman"/>
                <w:lang w:bidi="ar"/>
              </w:rPr>
              <w:t>1.10</w:t>
            </w:r>
          </w:p>
        </w:tc>
        <w:tc>
          <w:tcPr>
            <w:tcW w:w="0" w:type="auto"/>
            <w:tcBorders>
              <w:top w:val="nil"/>
              <w:left w:val="nil"/>
              <w:bottom w:val="single" w:sz="4" w:space="0" w:color="auto"/>
              <w:right w:val="single" w:sz="4" w:space="0" w:color="auto"/>
            </w:tcBorders>
            <w:shd w:val="clear" w:color="auto" w:fill="FFFFFF"/>
            <w:noWrap/>
            <w:vAlign w:val="center"/>
          </w:tcPr>
          <w:p w14:paraId="4FE9C897" w14:textId="77777777" w:rsidR="009C353B" w:rsidRDefault="00000000">
            <w:pPr>
              <w:pStyle w:val="01"/>
              <w:rPr>
                <w:rFonts w:ascii="Times New Roman" w:hAnsi="Times New Roman"/>
              </w:rPr>
            </w:pPr>
            <w:r>
              <w:rPr>
                <w:rFonts w:ascii="Times New Roman" w:hAnsi="Times New Roman" w:hint="eastAsia"/>
              </w:rPr>
              <w:t>——</w:t>
            </w:r>
          </w:p>
        </w:tc>
      </w:tr>
      <w:tr w:rsidR="009C353B" w14:paraId="3770BE48" w14:textId="77777777">
        <w:trPr>
          <w:trHeight w:val="425"/>
          <w:jc w:val="center"/>
        </w:trPr>
        <w:tc>
          <w:tcPr>
            <w:tcW w:w="0" w:type="auto"/>
            <w:tcBorders>
              <w:top w:val="nil"/>
              <w:left w:val="single" w:sz="4" w:space="0" w:color="auto"/>
              <w:bottom w:val="single" w:sz="4" w:space="0" w:color="auto"/>
              <w:right w:val="single" w:sz="4" w:space="0" w:color="auto"/>
            </w:tcBorders>
            <w:shd w:val="clear" w:color="auto" w:fill="FFFFFF"/>
            <w:vAlign w:val="center"/>
          </w:tcPr>
          <w:p w14:paraId="49B06018" w14:textId="77777777" w:rsidR="009C353B" w:rsidRDefault="00000000">
            <w:pPr>
              <w:pStyle w:val="01"/>
              <w:rPr>
                <w:rFonts w:ascii="Times New Roman" w:hAnsi="Times New Roman"/>
              </w:rPr>
            </w:pPr>
            <w:r>
              <w:rPr>
                <w:rFonts w:ascii="Times New Roman" w:hAnsi="Times New Roman"/>
                <w:lang w:bidi="ar"/>
              </w:rPr>
              <w:t>丁家梁矿井</w:t>
            </w:r>
          </w:p>
        </w:tc>
        <w:tc>
          <w:tcPr>
            <w:tcW w:w="0" w:type="auto"/>
            <w:tcBorders>
              <w:top w:val="nil"/>
              <w:left w:val="nil"/>
              <w:bottom w:val="single" w:sz="4" w:space="0" w:color="auto"/>
              <w:right w:val="single" w:sz="4" w:space="0" w:color="auto"/>
            </w:tcBorders>
            <w:shd w:val="clear" w:color="auto" w:fill="FFFFFF"/>
            <w:vAlign w:val="center"/>
          </w:tcPr>
          <w:p w14:paraId="0E636332" w14:textId="77777777" w:rsidR="009C353B" w:rsidRDefault="00000000">
            <w:pPr>
              <w:pStyle w:val="01"/>
              <w:rPr>
                <w:rFonts w:ascii="Times New Roman" w:hAnsi="Times New Roman"/>
              </w:rPr>
            </w:pPr>
            <w:r>
              <w:rPr>
                <w:rFonts w:ascii="Times New Roman" w:hAnsi="Times New Roman"/>
                <w:lang w:bidi="ar"/>
              </w:rPr>
              <w:t>0.90</w:t>
            </w:r>
          </w:p>
        </w:tc>
        <w:tc>
          <w:tcPr>
            <w:tcW w:w="0" w:type="auto"/>
            <w:tcBorders>
              <w:top w:val="nil"/>
              <w:left w:val="nil"/>
              <w:bottom w:val="single" w:sz="4" w:space="0" w:color="auto"/>
              <w:right w:val="single" w:sz="4" w:space="0" w:color="auto"/>
            </w:tcBorders>
            <w:shd w:val="clear" w:color="auto" w:fill="FFFFFF"/>
            <w:vAlign w:val="center"/>
          </w:tcPr>
          <w:p w14:paraId="15E12CEA" w14:textId="77777777" w:rsidR="009C353B" w:rsidRDefault="00000000">
            <w:pPr>
              <w:pStyle w:val="01"/>
              <w:rPr>
                <w:rFonts w:ascii="Times New Roman" w:hAnsi="Times New Roman"/>
              </w:rPr>
            </w:pPr>
            <w:r>
              <w:rPr>
                <w:rFonts w:ascii="Times New Roman" w:hAnsi="Times New Roman"/>
                <w:lang w:bidi="ar"/>
              </w:rPr>
              <w:t>103.8</w:t>
            </w:r>
          </w:p>
        </w:tc>
        <w:tc>
          <w:tcPr>
            <w:tcW w:w="0" w:type="auto"/>
            <w:tcBorders>
              <w:top w:val="nil"/>
              <w:left w:val="nil"/>
              <w:bottom w:val="single" w:sz="4" w:space="0" w:color="auto"/>
              <w:right w:val="single" w:sz="4" w:space="0" w:color="auto"/>
            </w:tcBorders>
            <w:shd w:val="clear" w:color="auto" w:fill="FFFFFF"/>
            <w:vAlign w:val="center"/>
          </w:tcPr>
          <w:p w14:paraId="7A84C5E0" w14:textId="77777777" w:rsidR="009C353B" w:rsidRDefault="00000000">
            <w:pPr>
              <w:pStyle w:val="01"/>
              <w:rPr>
                <w:rFonts w:ascii="Times New Roman" w:hAnsi="Times New Roman"/>
              </w:rPr>
            </w:pPr>
            <w:r>
              <w:rPr>
                <w:rFonts w:ascii="Times New Roman" w:hAnsi="Times New Roman" w:hint="eastAsia"/>
              </w:rPr>
              <w:t>——</w:t>
            </w:r>
          </w:p>
        </w:tc>
        <w:tc>
          <w:tcPr>
            <w:tcW w:w="0" w:type="auto"/>
            <w:tcBorders>
              <w:top w:val="nil"/>
              <w:left w:val="nil"/>
              <w:bottom w:val="single" w:sz="4" w:space="0" w:color="auto"/>
              <w:right w:val="single" w:sz="4" w:space="0" w:color="auto"/>
            </w:tcBorders>
            <w:shd w:val="clear" w:color="auto" w:fill="FFFFFF"/>
            <w:vAlign w:val="center"/>
          </w:tcPr>
          <w:p w14:paraId="52A81D68" w14:textId="77777777" w:rsidR="009C353B" w:rsidRDefault="00000000">
            <w:pPr>
              <w:pStyle w:val="01"/>
              <w:rPr>
                <w:rFonts w:ascii="Times New Roman" w:hAnsi="Times New Roman"/>
              </w:rPr>
            </w:pPr>
            <w:r>
              <w:rPr>
                <w:rFonts w:ascii="Times New Roman" w:hAnsi="Times New Roman"/>
                <w:lang w:bidi="ar"/>
              </w:rPr>
              <w:t>0.90</w:t>
            </w:r>
          </w:p>
        </w:tc>
        <w:tc>
          <w:tcPr>
            <w:tcW w:w="0" w:type="auto"/>
            <w:tcBorders>
              <w:top w:val="nil"/>
              <w:left w:val="nil"/>
              <w:bottom w:val="single" w:sz="4" w:space="0" w:color="auto"/>
              <w:right w:val="single" w:sz="4" w:space="0" w:color="auto"/>
            </w:tcBorders>
            <w:shd w:val="clear" w:color="auto" w:fill="FFFFFF"/>
            <w:vAlign w:val="center"/>
          </w:tcPr>
          <w:p w14:paraId="167D0283" w14:textId="77777777" w:rsidR="009C353B" w:rsidRDefault="00000000">
            <w:pPr>
              <w:pStyle w:val="01"/>
              <w:rPr>
                <w:rFonts w:ascii="Times New Roman" w:hAnsi="Times New Roman"/>
              </w:rPr>
            </w:pPr>
            <w:r>
              <w:rPr>
                <w:rFonts w:ascii="Times New Roman" w:hAnsi="Times New Roman"/>
                <w:lang w:bidi="ar"/>
              </w:rPr>
              <w:t>0.90</w:t>
            </w:r>
          </w:p>
        </w:tc>
        <w:tc>
          <w:tcPr>
            <w:tcW w:w="0" w:type="auto"/>
            <w:tcBorders>
              <w:top w:val="nil"/>
              <w:left w:val="nil"/>
              <w:bottom w:val="single" w:sz="4" w:space="0" w:color="auto"/>
              <w:right w:val="single" w:sz="4" w:space="0" w:color="auto"/>
            </w:tcBorders>
            <w:shd w:val="clear" w:color="auto" w:fill="FFFFFF"/>
            <w:noWrap/>
            <w:vAlign w:val="center"/>
          </w:tcPr>
          <w:p w14:paraId="54D62C5D" w14:textId="77777777" w:rsidR="009C353B" w:rsidRDefault="00000000">
            <w:pPr>
              <w:pStyle w:val="01"/>
              <w:rPr>
                <w:rFonts w:ascii="Times New Roman" w:hAnsi="Times New Roman"/>
              </w:rPr>
            </w:pPr>
            <w:r>
              <w:rPr>
                <w:rFonts w:ascii="Times New Roman" w:hAnsi="Times New Roman"/>
                <w:lang w:bidi="ar"/>
              </w:rPr>
              <w:t>0.90</w:t>
            </w:r>
          </w:p>
        </w:tc>
      </w:tr>
      <w:tr w:rsidR="009C353B" w14:paraId="02CD3024" w14:textId="77777777">
        <w:trPr>
          <w:trHeight w:val="425"/>
          <w:jc w:val="center"/>
        </w:trPr>
        <w:tc>
          <w:tcPr>
            <w:tcW w:w="0" w:type="auto"/>
            <w:tcBorders>
              <w:top w:val="nil"/>
              <w:left w:val="single" w:sz="4" w:space="0" w:color="auto"/>
              <w:bottom w:val="single" w:sz="4" w:space="0" w:color="auto"/>
              <w:right w:val="single" w:sz="4" w:space="0" w:color="auto"/>
            </w:tcBorders>
            <w:shd w:val="clear" w:color="auto" w:fill="FFFFFF"/>
            <w:vAlign w:val="center"/>
          </w:tcPr>
          <w:p w14:paraId="7B40A978" w14:textId="77777777" w:rsidR="009C353B" w:rsidRDefault="00000000">
            <w:pPr>
              <w:pStyle w:val="01"/>
              <w:rPr>
                <w:rFonts w:ascii="Times New Roman" w:hAnsi="Times New Roman"/>
              </w:rPr>
            </w:pPr>
            <w:r>
              <w:rPr>
                <w:rFonts w:ascii="Times New Roman" w:hAnsi="Times New Roman"/>
                <w:lang w:bidi="ar"/>
              </w:rPr>
              <w:t>矿区总计</w:t>
            </w:r>
          </w:p>
        </w:tc>
        <w:tc>
          <w:tcPr>
            <w:tcW w:w="0" w:type="auto"/>
            <w:tcBorders>
              <w:top w:val="nil"/>
              <w:left w:val="nil"/>
              <w:bottom w:val="single" w:sz="4" w:space="0" w:color="auto"/>
              <w:right w:val="single" w:sz="4" w:space="0" w:color="auto"/>
            </w:tcBorders>
            <w:shd w:val="clear" w:color="auto" w:fill="FFFFFF"/>
            <w:vAlign w:val="center"/>
          </w:tcPr>
          <w:p w14:paraId="7AB24E36" w14:textId="77777777" w:rsidR="009C353B" w:rsidRDefault="00000000">
            <w:pPr>
              <w:pStyle w:val="01"/>
              <w:rPr>
                <w:rFonts w:ascii="Times New Roman" w:hAnsi="Times New Roman"/>
              </w:rPr>
            </w:pPr>
            <w:r>
              <w:rPr>
                <w:rFonts w:ascii="Times New Roman" w:hAnsi="Times New Roman"/>
                <w:lang w:bidi="ar"/>
              </w:rPr>
              <w:t>9.20</w:t>
            </w:r>
          </w:p>
        </w:tc>
        <w:tc>
          <w:tcPr>
            <w:tcW w:w="0" w:type="auto"/>
            <w:tcBorders>
              <w:top w:val="nil"/>
              <w:left w:val="nil"/>
              <w:bottom w:val="single" w:sz="4" w:space="0" w:color="auto"/>
              <w:right w:val="single" w:sz="4" w:space="0" w:color="auto"/>
            </w:tcBorders>
            <w:shd w:val="clear" w:color="auto" w:fill="FFFFFF"/>
            <w:vAlign w:val="center"/>
          </w:tcPr>
          <w:p w14:paraId="256F63EE" w14:textId="77777777" w:rsidR="009C353B" w:rsidRDefault="00000000">
            <w:pPr>
              <w:pStyle w:val="01"/>
              <w:rPr>
                <w:rFonts w:ascii="Times New Roman" w:hAnsi="Times New Roman"/>
              </w:rPr>
            </w:pPr>
            <w:r>
              <w:rPr>
                <w:rFonts w:ascii="Times New Roman" w:hAnsi="Times New Roman" w:hint="eastAsia"/>
              </w:rPr>
              <w:t>——</w:t>
            </w:r>
          </w:p>
        </w:tc>
        <w:tc>
          <w:tcPr>
            <w:tcW w:w="0" w:type="auto"/>
            <w:tcBorders>
              <w:top w:val="nil"/>
              <w:left w:val="nil"/>
              <w:bottom w:val="single" w:sz="4" w:space="0" w:color="auto"/>
              <w:right w:val="single" w:sz="4" w:space="0" w:color="auto"/>
            </w:tcBorders>
            <w:shd w:val="clear" w:color="auto" w:fill="FFFFFF"/>
            <w:vAlign w:val="center"/>
          </w:tcPr>
          <w:p w14:paraId="3D59741B" w14:textId="77777777" w:rsidR="009C353B" w:rsidRDefault="00000000">
            <w:pPr>
              <w:pStyle w:val="01"/>
              <w:rPr>
                <w:rFonts w:ascii="Times New Roman" w:hAnsi="Times New Roman"/>
              </w:rPr>
            </w:pPr>
            <w:r>
              <w:rPr>
                <w:rFonts w:ascii="Times New Roman" w:hAnsi="Times New Roman"/>
                <w:lang w:bidi="ar"/>
              </w:rPr>
              <w:t>8.30</w:t>
            </w:r>
          </w:p>
        </w:tc>
        <w:tc>
          <w:tcPr>
            <w:tcW w:w="0" w:type="auto"/>
            <w:tcBorders>
              <w:top w:val="nil"/>
              <w:left w:val="nil"/>
              <w:bottom w:val="single" w:sz="4" w:space="0" w:color="auto"/>
              <w:right w:val="single" w:sz="4" w:space="0" w:color="auto"/>
            </w:tcBorders>
            <w:shd w:val="clear" w:color="auto" w:fill="FFFFFF"/>
            <w:vAlign w:val="center"/>
          </w:tcPr>
          <w:p w14:paraId="2BC81710" w14:textId="77777777" w:rsidR="009C353B" w:rsidRDefault="00000000">
            <w:pPr>
              <w:pStyle w:val="01"/>
              <w:rPr>
                <w:rFonts w:ascii="Times New Roman" w:hAnsi="Times New Roman"/>
              </w:rPr>
            </w:pPr>
            <w:r>
              <w:rPr>
                <w:rFonts w:ascii="Times New Roman" w:hAnsi="Times New Roman"/>
                <w:lang w:bidi="ar"/>
              </w:rPr>
              <w:t>9.20</w:t>
            </w:r>
          </w:p>
        </w:tc>
        <w:tc>
          <w:tcPr>
            <w:tcW w:w="0" w:type="auto"/>
            <w:tcBorders>
              <w:top w:val="nil"/>
              <w:left w:val="nil"/>
              <w:bottom w:val="single" w:sz="4" w:space="0" w:color="auto"/>
              <w:right w:val="single" w:sz="4" w:space="0" w:color="auto"/>
            </w:tcBorders>
            <w:shd w:val="clear" w:color="auto" w:fill="FFFFFF"/>
            <w:vAlign w:val="center"/>
          </w:tcPr>
          <w:p w14:paraId="36297FD4" w14:textId="77777777" w:rsidR="009C353B" w:rsidRDefault="00000000">
            <w:pPr>
              <w:pStyle w:val="01"/>
              <w:rPr>
                <w:rFonts w:ascii="Times New Roman" w:hAnsi="Times New Roman"/>
              </w:rPr>
            </w:pPr>
            <w:r>
              <w:rPr>
                <w:rFonts w:ascii="Times New Roman" w:hAnsi="Times New Roman"/>
                <w:lang w:bidi="ar"/>
              </w:rPr>
              <w:t>9.20</w:t>
            </w:r>
          </w:p>
        </w:tc>
        <w:tc>
          <w:tcPr>
            <w:tcW w:w="0" w:type="auto"/>
            <w:tcBorders>
              <w:top w:val="nil"/>
              <w:left w:val="nil"/>
              <w:bottom w:val="single" w:sz="4" w:space="0" w:color="auto"/>
              <w:right w:val="single" w:sz="4" w:space="0" w:color="auto"/>
            </w:tcBorders>
            <w:shd w:val="clear" w:color="auto" w:fill="FFFFFF"/>
            <w:vAlign w:val="center"/>
          </w:tcPr>
          <w:p w14:paraId="7119B8A3" w14:textId="77777777" w:rsidR="009C353B" w:rsidRDefault="00000000">
            <w:pPr>
              <w:pStyle w:val="01"/>
              <w:rPr>
                <w:rFonts w:ascii="Times New Roman" w:hAnsi="Times New Roman"/>
              </w:rPr>
            </w:pPr>
            <w:r>
              <w:rPr>
                <w:rFonts w:ascii="Times New Roman" w:hAnsi="Times New Roman"/>
                <w:lang w:bidi="ar"/>
              </w:rPr>
              <w:t>0.90</w:t>
            </w:r>
          </w:p>
        </w:tc>
      </w:tr>
    </w:tbl>
    <w:p w14:paraId="14BC9059" w14:textId="77777777" w:rsidR="009C353B" w:rsidRDefault="009C353B">
      <w:pPr>
        <w:adjustRightInd w:val="0"/>
        <w:snapToGrid w:val="0"/>
        <w:spacing w:line="440" w:lineRule="exact"/>
        <w:ind w:firstLineChars="200" w:firstLine="480"/>
        <w:rPr>
          <w:rFonts w:ascii="Times New Roman" w:hAnsi="Times New Roman"/>
        </w:rPr>
      </w:pPr>
    </w:p>
    <w:p w14:paraId="20FA73D0"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2.3.5</w:t>
      </w:r>
      <w:r>
        <w:rPr>
          <w:rFonts w:ascii="Times New Roman" w:hAnsi="Times New Roman"/>
          <w:sz w:val="24"/>
        </w:rPr>
        <w:t xml:space="preserve"> </w:t>
      </w:r>
      <w:r>
        <w:rPr>
          <w:rFonts w:ascii="Times New Roman"/>
          <w:sz w:val="24"/>
        </w:rPr>
        <w:t>选煤厂建设规划</w:t>
      </w:r>
    </w:p>
    <w:p w14:paraId="4339B600" w14:textId="77777777" w:rsidR="009C353B" w:rsidRDefault="00000000">
      <w:pPr>
        <w:adjustRightInd w:val="0"/>
        <w:snapToGrid w:val="0"/>
        <w:spacing w:line="440" w:lineRule="exact"/>
        <w:ind w:firstLineChars="200" w:firstLine="480"/>
        <w:rPr>
          <w:rFonts w:ascii="Times New Roman" w:hAnsi="Times New Roman"/>
          <w:szCs w:val="28"/>
        </w:rPr>
      </w:pPr>
      <w:r>
        <w:rPr>
          <w:rFonts w:ascii="Times New Roman" w:hAnsi="Times New Roman"/>
          <w:szCs w:val="28"/>
        </w:rPr>
        <w:t>现有马莲台选煤厂（</w:t>
      </w:r>
      <w:r>
        <w:rPr>
          <w:rFonts w:ascii="Times New Roman" w:hAnsi="Times New Roman"/>
          <w:szCs w:val="28"/>
        </w:rPr>
        <w:t>10.0Mt/a</w:t>
      </w:r>
      <w:r>
        <w:rPr>
          <w:rFonts w:ascii="Times New Roman" w:hAnsi="Times New Roman"/>
          <w:szCs w:val="28"/>
        </w:rPr>
        <w:t>，洗选</w:t>
      </w:r>
      <w:r>
        <w:rPr>
          <w:rFonts w:ascii="Times New Roman" w:hAnsi="Times New Roman"/>
        </w:rPr>
        <w:t>马莲台矿井、丁家梁矿井的原煤和外购煤</w:t>
      </w:r>
      <w:r>
        <w:rPr>
          <w:rFonts w:ascii="Times New Roman" w:hAnsi="Times New Roman"/>
          <w:szCs w:val="28"/>
        </w:rPr>
        <w:t>）、任家庄选煤厂（</w:t>
      </w:r>
      <w:r>
        <w:rPr>
          <w:rFonts w:ascii="Times New Roman" w:hAnsi="Times New Roman"/>
          <w:szCs w:val="28"/>
        </w:rPr>
        <w:t>4.8Mt/a</w:t>
      </w:r>
      <w:r>
        <w:rPr>
          <w:rFonts w:ascii="Times New Roman" w:hAnsi="Times New Roman"/>
          <w:szCs w:val="28"/>
        </w:rPr>
        <w:t>）和红石湾选煤厂（</w:t>
      </w:r>
      <w:r>
        <w:rPr>
          <w:rFonts w:ascii="Times New Roman" w:hAnsi="Times New Roman"/>
          <w:szCs w:val="28"/>
        </w:rPr>
        <w:t>1.2Mt/a</w:t>
      </w:r>
      <w:r>
        <w:rPr>
          <w:rFonts w:ascii="Times New Roman" w:hAnsi="Times New Roman"/>
          <w:szCs w:val="28"/>
        </w:rPr>
        <w:t>）各一座，</w:t>
      </w:r>
      <w:r>
        <w:rPr>
          <w:rFonts w:ascii="Times New Roman" w:hAnsi="Times New Roman"/>
        </w:rPr>
        <w:t>总规模</w:t>
      </w:r>
      <w:r>
        <w:rPr>
          <w:rFonts w:ascii="Times New Roman" w:hAnsi="Times New Roman"/>
        </w:rPr>
        <w:t>16.00Mt/a</w:t>
      </w:r>
      <w:r>
        <w:rPr>
          <w:rFonts w:ascii="Times New Roman" w:hAnsi="Times New Roman"/>
        </w:rPr>
        <w:t>。选煤厂规模可满足矿区煤炭洗选要求，</w:t>
      </w:r>
      <w:r>
        <w:rPr>
          <w:rFonts w:ascii="Times New Roman" w:hAnsi="Times New Roman"/>
          <w:szCs w:val="28"/>
        </w:rPr>
        <w:t>本次规划不再规划新建选煤厂。</w:t>
      </w:r>
    </w:p>
    <w:p w14:paraId="1807E3C3" w14:textId="77777777" w:rsidR="009C353B" w:rsidRDefault="00000000">
      <w:pPr>
        <w:adjustRightInd w:val="0"/>
        <w:snapToGrid w:val="0"/>
        <w:spacing w:line="440" w:lineRule="exact"/>
        <w:ind w:firstLineChars="200" w:firstLine="480"/>
        <w:rPr>
          <w:rFonts w:ascii="Times New Roman" w:hAnsi="Times New Roman"/>
          <w:szCs w:val="28"/>
        </w:rPr>
      </w:pPr>
      <w:r>
        <w:rPr>
          <w:rFonts w:ascii="Times New Roman" w:hAnsi="Times New Roman"/>
          <w:szCs w:val="28"/>
        </w:rPr>
        <w:t>煤炭分选加工工程一览表见表</w:t>
      </w:r>
      <w:r>
        <w:rPr>
          <w:rFonts w:ascii="Times New Roman" w:hAnsi="Times New Roman"/>
          <w:szCs w:val="28"/>
        </w:rPr>
        <w:t>2.3-6</w:t>
      </w:r>
      <w:r>
        <w:rPr>
          <w:rFonts w:ascii="Times New Roman" w:hAnsi="Times New Roman"/>
          <w:szCs w:val="28"/>
        </w:rPr>
        <w:t>。</w:t>
      </w:r>
    </w:p>
    <w:p w14:paraId="01B96771" w14:textId="77777777" w:rsidR="009C353B" w:rsidRDefault="009C353B">
      <w:pPr>
        <w:adjustRightInd w:val="0"/>
        <w:snapToGrid w:val="0"/>
        <w:spacing w:line="440" w:lineRule="exact"/>
        <w:ind w:firstLineChars="200" w:firstLine="480"/>
        <w:rPr>
          <w:rFonts w:ascii="Times New Roman" w:hAnsi="Times New Roman"/>
          <w:szCs w:val="28"/>
        </w:rPr>
      </w:pPr>
    </w:p>
    <w:p w14:paraId="40C204FC" w14:textId="77777777" w:rsidR="009C353B" w:rsidRDefault="009C353B">
      <w:pPr>
        <w:adjustRightInd w:val="0"/>
        <w:snapToGrid w:val="0"/>
        <w:spacing w:line="440" w:lineRule="exact"/>
        <w:ind w:firstLineChars="200" w:firstLine="480"/>
        <w:rPr>
          <w:rFonts w:ascii="Times New Roman" w:hAnsi="Times New Roman"/>
          <w:szCs w:val="28"/>
        </w:rPr>
      </w:pPr>
    </w:p>
    <w:p w14:paraId="6E461475" w14:textId="77777777" w:rsidR="009C353B" w:rsidRDefault="009C353B">
      <w:pPr>
        <w:adjustRightInd w:val="0"/>
        <w:snapToGrid w:val="0"/>
        <w:spacing w:line="440" w:lineRule="exact"/>
        <w:ind w:firstLineChars="200" w:firstLine="480"/>
        <w:rPr>
          <w:rFonts w:ascii="Times New Roman" w:hAnsi="Times New Roman"/>
          <w:szCs w:val="28"/>
        </w:rPr>
      </w:pPr>
    </w:p>
    <w:p w14:paraId="118BC657" w14:textId="77777777" w:rsidR="009C353B" w:rsidRDefault="009C353B">
      <w:pPr>
        <w:adjustRightInd w:val="0"/>
        <w:snapToGrid w:val="0"/>
        <w:spacing w:line="440" w:lineRule="exact"/>
        <w:ind w:firstLineChars="200" w:firstLine="480"/>
        <w:rPr>
          <w:rFonts w:ascii="Times New Roman" w:hAnsi="Times New Roman"/>
          <w:szCs w:val="28"/>
        </w:rPr>
      </w:pPr>
    </w:p>
    <w:p w14:paraId="3A44B892" w14:textId="77777777" w:rsidR="009C353B" w:rsidRDefault="009C353B">
      <w:pPr>
        <w:adjustRightInd w:val="0"/>
        <w:snapToGrid w:val="0"/>
        <w:spacing w:line="440" w:lineRule="exact"/>
        <w:ind w:firstLineChars="200" w:firstLine="480"/>
        <w:rPr>
          <w:rFonts w:ascii="Times New Roman" w:hAnsi="Times New Roman"/>
          <w:szCs w:val="28"/>
        </w:rPr>
      </w:pPr>
    </w:p>
    <w:p w14:paraId="79697F05" w14:textId="77777777" w:rsidR="009C353B" w:rsidRDefault="009C353B">
      <w:pPr>
        <w:adjustRightInd w:val="0"/>
        <w:snapToGrid w:val="0"/>
        <w:spacing w:line="440" w:lineRule="exact"/>
        <w:ind w:firstLineChars="200" w:firstLine="480"/>
        <w:rPr>
          <w:rFonts w:ascii="Times New Roman" w:hAnsi="Times New Roman"/>
          <w:szCs w:val="28"/>
        </w:rPr>
      </w:pPr>
    </w:p>
    <w:p w14:paraId="5F3AD5AE" w14:textId="77777777" w:rsidR="009C353B" w:rsidRDefault="009C353B">
      <w:pPr>
        <w:adjustRightInd w:val="0"/>
        <w:snapToGrid w:val="0"/>
        <w:spacing w:line="440" w:lineRule="exact"/>
        <w:ind w:firstLineChars="200" w:firstLine="480"/>
        <w:rPr>
          <w:rFonts w:ascii="Times New Roman" w:hAnsi="Times New Roman"/>
          <w:szCs w:val="28"/>
        </w:rPr>
      </w:pPr>
    </w:p>
    <w:p w14:paraId="6F245F95" w14:textId="77777777" w:rsidR="009C353B" w:rsidRDefault="009C353B">
      <w:pPr>
        <w:adjustRightInd w:val="0"/>
        <w:snapToGrid w:val="0"/>
        <w:spacing w:line="440" w:lineRule="exact"/>
        <w:ind w:firstLineChars="200" w:firstLine="480"/>
        <w:rPr>
          <w:rFonts w:ascii="Times New Roman" w:hAnsi="Times New Roman"/>
          <w:szCs w:val="28"/>
        </w:rPr>
      </w:pPr>
    </w:p>
    <w:p w14:paraId="6173BC21" w14:textId="77777777" w:rsidR="009C353B" w:rsidRDefault="009C353B">
      <w:pPr>
        <w:adjustRightInd w:val="0"/>
        <w:snapToGrid w:val="0"/>
        <w:spacing w:line="440" w:lineRule="exact"/>
        <w:ind w:firstLineChars="200" w:firstLine="480"/>
        <w:rPr>
          <w:rFonts w:ascii="Times New Roman" w:hAnsi="Times New Roman"/>
          <w:szCs w:val="28"/>
        </w:rPr>
      </w:pPr>
    </w:p>
    <w:p w14:paraId="3005387F" w14:textId="77777777" w:rsidR="009C353B" w:rsidRDefault="00000000">
      <w:pPr>
        <w:spacing w:line="440" w:lineRule="exact"/>
        <w:jc w:val="center"/>
        <w:rPr>
          <w:rFonts w:ascii="Times New Roman" w:hAnsi="Times New Roman"/>
          <w:b/>
          <w:szCs w:val="24"/>
        </w:rPr>
      </w:pPr>
      <w:r>
        <w:rPr>
          <w:rFonts w:ascii="Times New Roman"/>
          <w:b/>
          <w:szCs w:val="24"/>
        </w:rPr>
        <w:t>煤炭分选加工工程一览表</w:t>
      </w:r>
    </w:p>
    <w:p w14:paraId="5355394D" w14:textId="77777777" w:rsidR="009C353B" w:rsidRDefault="00000000">
      <w:pPr>
        <w:pStyle w:val="affffd"/>
        <w:spacing w:line="440" w:lineRule="exact"/>
        <w:rPr>
          <w:rFonts w:ascii="Times New Roman" w:hint="eastAsia"/>
        </w:rPr>
      </w:pPr>
      <w:r>
        <w:rPr>
          <w:rFonts w:ascii="Times New Roman"/>
        </w:rPr>
        <w:t>表</w:t>
      </w:r>
      <w:r>
        <w:rPr>
          <w:rFonts w:ascii="Times New Roman"/>
        </w:rPr>
        <w:t>2.3-6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33"/>
        <w:gridCol w:w="602"/>
        <w:gridCol w:w="1015"/>
        <w:gridCol w:w="1072"/>
        <w:gridCol w:w="5234"/>
        <w:gridCol w:w="871"/>
      </w:tblGrid>
      <w:tr w:rsidR="009C353B" w14:paraId="51D7BAD9" w14:textId="77777777">
        <w:trPr>
          <w:jc w:val="center"/>
        </w:trPr>
        <w:tc>
          <w:tcPr>
            <w:tcW w:w="0" w:type="auto"/>
            <w:vMerge w:val="restart"/>
            <w:vAlign w:val="center"/>
          </w:tcPr>
          <w:p w14:paraId="07841EA9" w14:textId="77777777" w:rsidR="009C353B" w:rsidRDefault="00000000">
            <w:pPr>
              <w:snapToGrid w:val="0"/>
              <w:jc w:val="center"/>
              <w:rPr>
                <w:rFonts w:ascii="Times New Roman" w:hAnsi="Times New Roman"/>
                <w:sz w:val="21"/>
                <w:szCs w:val="21"/>
              </w:rPr>
            </w:pPr>
            <w:r>
              <w:rPr>
                <w:rFonts w:ascii="Times New Roman" w:hint="eastAsia"/>
                <w:sz w:val="21"/>
                <w:szCs w:val="21"/>
              </w:rPr>
              <w:t>序号</w:t>
            </w:r>
          </w:p>
        </w:tc>
        <w:tc>
          <w:tcPr>
            <w:tcW w:w="0" w:type="auto"/>
            <w:vMerge w:val="restart"/>
            <w:vAlign w:val="center"/>
          </w:tcPr>
          <w:p w14:paraId="7298EB25" w14:textId="77777777" w:rsidR="009C353B" w:rsidRDefault="00000000">
            <w:pPr>
              <w:snapToGrid w:val="0"/>
              <w:jc w:val="center"/>
              <w:rPr>
                <w:rFonts w:ascii="Times New Roman" w:hAnsi="Times New Roman"/>
                <w:sz w:val="21"/>
                <w:szCs w:val="21"/>
              </w:rPr>
            </w:pPr>
            <w:r>
              <w:rPr>
                <w:rFonts w:ascii="Times New Roman"/>
                <w:sz w:val="21"/>
                <w:szCs w:val="21"/>
              </w:rPr>
              <w:t>选煤厂名称</w:t>
            </w:r>
          </w:p>
        </w:tc>
        <w:tc>
          <w:tcPr>
            <w:tcW w:w="0" w:type="auto"/>
            <w:vMerge w:val="restart"/>
            <w:vAlign w:val="center"/>
          </w:tcPr>
          <w:p w14:paraId="6F81DBA8" w14:textId="77777777" w:rsidR="009C353B" w:rsidRDefault="00000000">
            <w:pPr>
              <w:widowControl/>
              <w:snapToGrid w:val="0"/>
              <w:jc w:val="center"/>
              <w:rPr>
                <w:rFonts w:ascii="Times New Roman" w:hAnsi="Times New Roman"/>
                <w:sz w:val="21"/>
                <w:szCs w:val="21"/>
              </w:rPr>
            </w:pPr>
            <w:r>
              <w:rPr>
                <w:rFonts w:ascii="Times New Roman"/>
                <w:sz w:val="21"/>
                <w:szCs w:val="21"/>
              </w:rPr>
              <w:t>规划生产能力</w:t>
            </w:r>
          </w:p>
          <w:p w14:paraId="63D4A78D" w14:textId="77777777" w:rsidR="009C353B" w:rsidRDefault="00000000">
            <w:pPr>
              <w:widowControl/>
              <w:snapToGrid w:val="0"/>
              <w:jc w:val="center"/>
              <w:rPr>
                <w:rFonts w:ascii="Times New Roman" w:hAnsi="Times New Roman"/>
                <w:sz w:val="21"/>
                <w:szCs w:val="21"/>
              </w:rPr>
            </w:pPr>
            <w:r>
              <w:rPr>
                <w:rFonts w:ascii="Times New Roman"/>
                <w:sz w:val="21"/>
                <w:szCs w:val="21"/>
              </w:rPr>
              <w:t>（</w:t>
            </w:r>
            <w:r>
              <w:rPr>
                <w:rFonts w:ascii="Times New Roman" w:hAnsi="Times New Roman"/>
                <w:sz w:val="21"/>
                <w:szCs w:val="21"/>
              </w:rPr>
              <w:t>Mt/a</w:t>
            </w:r>
            <w:r>
              <w:rPr>
                <w:rFonts w:ascii="Times New Roman"/>
                <w:sz w:val="21"/>
                <w:szCs w:val="21"/>
              </w:rPr>
              <w:t>）</w:t>
            </w:r>
          </w:p>
        </w:tc>
        <w:tc>
          <w:tcPr>
            <w:tcW w:w="0" w:type="auto"/>
            <w:gridSpan w:val="2"/>
            <w:vAlign w:val="center"/>
          </w:tcPr>
          <w:p w14:paraId="702CBF3C" w14:textId="77777777" w:rsidR="009C353B" w:rsidRDefault="00000000">
            <w:pPr>
              <w:snapToGrid w:val="0"/>
              <w:jc w:val="center"/>
              <w:rPr>
                <w:rFonts w:ascii="Times New Roman" w:hAnsi="Times New Roman"/>
                <w:sz w:val="21"/>
                <w:szCs w:val="21"/>
              </w:rPr>
            </w:pPr>
            <w:r>
              <w:rPr>
                <w:rFonts w:ascii="Times New Roman"/>
                <w:sz w:val="21"/>
                <w:szCs w:val="21"/>
              </w:rPr>
              <w:t>加工原则</w:t>
            </w:r>
          </w:p>
        </w:tc>
        <w:tc>
          <w:tcPr>
            <w:tcW w:w="0" w:type="auto"/>
            <w:vMerge w:val="restart"/>
            <w:vAlign w:val="center"/>
          </w:tcPr>
          <w:p w14:paraId="7FB15A07" w14:textId="77777777" w:rsidR="009C353B" w:rsidRDefault="00000000">
            <w:pPr>
              <w:snapToGrid w:val="0"/>
              <w:jc w:val="center"/>
              <w:rPr>
                <w:rFonts w:ascii="Times New Roman" w:hAnsi="Times New Roman"/>
                <w:sz w:val="21"/>
                <w:szCs w:val="21"/>
              </w:rPr>
            </w:pPr>
            <w:r>
              <w:rPr>
                <w:rFonts w:ascii="Times New Roman"/>
                <w:sz w:val="21"/>
                <w:szCs w:val="21"/>
              </w:rPr>
              <w:t>厂址</w:t>
            </w:r>
          </w:p>
        </w:tc>
      </w:tr>
      <w:tr w:rsidR="009C353B" w14:paraId="56E5643A" w14:textId="77777777">
        <w:trPr>
          <w:jc w:val="center"/>
        </w:trPr>
        <w:tc>
          <w:tcPr>
            <w:tcW w:w="0" w:type="auto"/>
            <w:vMerge/>
            <w:vAlign w:val="center"/>
          </w:tcPr>
          <w:p w14:paraId="5C27FDDB" w14:textId="77777777" w:rsidR="009C353B" w:rsidRDefault="009C353B">
            <w:pPr>
              <w:snapToGrid w:val="0"/>
              <w:jc w:val="center"/>
              <w:rPr>
                <w:rFonts w:ascii="Times New Roman" w:hAnsi="Times New Roman"/>
                <w:sz w:val="21"/>
                <w:szCs w:val="21"/>
              </w:rPr>
            </w:pPr>
          </w:p>
        </w:tc>
        <w:tc>
          <w:tcPr>
            <w:tcW w:w="0" w:type="auto"/>
            <w:vMerge/>
            <w:vAlign w:val="center"/>
          </w:tcPr>
          <w:p w14:paraId="0542B166" w14:textId="77777777" w:rsidR="009C353B" w:rsidRDefault="009C353B">
            <w:pPr>
              <w:widowControl/>
              <w:snapToGrid w:val="0"/>
              <w:jc w:val="center"/>
              <w:rPr>
                <w:rFonts w:ascii="Times New Roman" w:hAnsi="Times New Roman"/>
                <w:sz w:val="21"/>
                <w:szCs w:val="21"/>
              </w:rPr>
            </w:pPr>
          </w:p>
        </w:tc>
        <w:tc>
          <w:tcPr>
            <w:tcW w:w="0" w:type="auto"/>
            <w:vMerge/>
            <w:vAlign w:val="center"/>
          </w:tcPr>
          <w:p w14:paraId="6A9C4CAD" w14:textId="77777777" w:rsidR="009C353B" w:rsidRDefault="009C353B">
            <w:pPr>
              <w:widowControl/>
              <w:snapToGrid w:val="0"/>
              <w:jc w:val="center"/>
              <w:rPr>
                <w:rFonts w:ascii="Times New Roman" w:hAnsi="Times New Roman"/>
                <w:sz w:val="21"/>
                <w:szCs w:val="21"/>
              </w:rPr>
            </w:pPr>
          </w:p>
        </w:tc>
        <w:tc>
          <w:tcPr>
            <w:tcW w:w="0" w:type="auto"/>
            <w:vAlign w:val="center"/>
          </w:tcPr>
          <w:p w14:paraId="093672A6" w14:textId="77777777" w:rsidR="009C353B" w:rsidRDefault="00000000">
            <w:pPr>
              <w:snapToGrid w:val="0"/>
              <w:jc w:val="center"/>
              <w:rPr>
                <w:rFonts w:ascii="Times New Roman" w:hAnsi="Times New Roman"/>
                <w:sz w:val="21"/>
                <w:szCs w:val="21"/>
              </w:rPr>
            </w:pPr>
            <w:r>
              <w:rPr>
                <w:rFonts w:ascii="Times New Roman"/>
                <w:sz w:val="21"/>
                <w:szCs w:val="21"/>
              </w:rPr>
              <w:t>分选深度（</w:t>
            </w:r>
            <w:r>
              <w:rPr>
                <w:rFonts w:ascii="Times New Roman" w:hAnsi="Times New Roman"/>
                <w:sz w:val="21"/>
                <w:szCs w:val="21"/>
              </w:rPr>
              <w:t>mm</w:t>
            </w:r>
            <w:r>
              <w:rPr>
                <w:rFonts w:ascii="Times New Roman"/>
                <w:sz w:val="21"/>
                <w:szCs w:val="21"/>
              </w:rPr>
              <w:t>）</w:t>
            </w:r>
          </w:p>
        </w:tc>
        <w:tc>
          <w:tcPr>
            <w:tcW w:w="0" w:type="auto"/>
            <w:vAlign w:val="center"/>
          </w:tcPr>
          <w:p w14:paraId="08D91011" w14:textId="77777777" w:rsidR="009C353B" w:rsidRDefault="00000000">
            <w:pPr>
              <w:snapToGrid w:val="0"/>
              <w:jc w:val="center"/>
              <w:rPr>
                <w:rFonts w:ascii="Times New Roman" w:hAnsi="Times New Roman"/>
                <w:sz w:val="21"/>
                <w:szCs w:val="21"/>
              </w:rPr>
            </w:pPr>
            <w:r>
              <w:rPr>
                <w:rFonts w:ascii="Times New Roman"/>
                <w:sz w:val="21"/>
                <w:szCs w:val="21"/>
              </w:rPr>
              <w:t>选煤方法</w:t>
            </w:r>
          </w:p>
        </w:tc>
        <w:tc>
          <w:tcPr>
            <w:tcW w:w="0" w:type="auto"/>
            <w:vMerge/>
            <w:vAlign w:val="center"/>
          </w:tcPr>
          <w:p w14:paraId="0A4A13C7" w14:textId="77777777" w:rsidR="009C353B" w:rsidRDefault="009C353B">
            <w:pPr>
              <w:widowControl/>
              <w:snapToGrid w:val="0"/>
              <w:jc w:val="center"/>
              <w:rPr>
                <w:rFonts w:ascii="Times New Roman" w:hAnsi="Times New Roman"/>
                <w:sz w:val="21"/>
                <w:szCs w:val="21"/>
              </w:rPr>
            </w:pPr>
          </w:p>
        </w:tc>
      </w:tr>
      <w:tr w:rsidR="009C353B" w14:paraId="49D7E355" w14:textId="77777777">
        <w:trPr>
          <w:jc w:val="center"/>
        </w:trPr>
        <w:tc>
          <w:tcPr>
            <w:tcW w:w="0" w:type="auto"/>
            <w:vAlign w:val="center"/>
          </w:tcPr>
          <w:p w14:paraId="3942E1FB"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1</w:t>
            </w:r>
          </w:p>
        </w:tc>
        <w:tc>
          <w:tcPr>
            <w:tcW w:w="0" w:type="auto"/>
            <w:vAlign w:val="center"/>
          </w:tcPr>
          <w:p w14:paraId="55E43D03"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任家庄</w:t>
            </w:r>
            <w:r>
              <w:rPr>
                <w:rFonts w:ascii="Times New Roman"/>
                <w:sz w:val="21"/>
                <w:szCs w:val="21"/>
              </w:rPr>
              <w:t>选煤厂</w:t>
            </w:r>
          </w:p>
        </w:tc>
        <w:tc>
          <w:tcPr>
            <w:tcW w:w="0" w:type="auto"/>
            <w:vAlign w:val="center"/>
          </w:tcPr>
          <w:p w14:paraId="30058C55" w14:textId="77777777" w:rsidR="009C353B" w:rsidRDefault="00000000">
            <w:pPr>
              <w:snapToGrid w:val="0"/>
              <w:jc w:val="center"/>
              <w:rPr>
                <w:rFonts w:ascii="Times New Roman" w:hAnsi="Times New Roman"/>
                <w:sz w:val="21"/>
                <w:szCs w:val="21"/>
              </w:rPr>
            </w:pPr>
            <w:r>
              <w:rPr>
                <w:rFonts w:ascii="Times New Roman" w:hAnsi="Times New Roman"/>
                <w:sz w:val="21"/>
                <w:szCs w:val="21"/>
              </w:rPr>
              <w:t>4.8</w:t>
            </w:r>
          </w:p>
        </w:tc>
        <w:tc>
          <w:tcPr>
            <w:tcW w:w="0" w:type="auto"/>
            <w:vAlign w:val="center"/>
          </w:tcPr>
          <w:p w14:paraId="5FE57676" w14:textId="77777777" w:rsidR="009C353B" w:rsidRDefault="00000000">
            <w:pPr>
              <w:widowControl/>
              <w:snapToGrid w:val="0"/>
              <w:jc w:val="center"/>
              <w:rPr>
                <w:rFonts w:ascii="Times New Roman" w:hAnsi="Times New Roman"/>
                <w:sz w:val="21"/>
                <w:szCs w:val="21"/>
              </w:rPr>
            </w:pPr>
            <w:r>
              <w:rPr>
                <w:rFonts w:ascii="Times New Roman" w:hAnsi="Times New Roman" w:hint="eastAsia"/>
                <w:sz w:val="21"/>
                <w:szCs w:val="21"/>
              </w:rPr>
              <w:t>0</w:t>
            </w:r>
          </w:p>
        </w:tc>
        <w:tc>
          <w:tcPr>
            <w:tcW w:w="0" w:type="auto"/>
            <w:vAlign w:val="center"/>
          </w:tcPr>
          <w:p w14:paraId="00FE880E" w14:textId="77777777" w:rsidR="009C353B" w:rsidRDefault="00000000">
            <w:pPr>
              <w:widowControl/>
              <w:snapToGrid w:val="0"/>
              <w:jc w:val="left"/>
              <w:rPr>
                <w:rFonts w:ascii="Times New Roman" w:hAnsi="Times New Roman"/>
                <w:sz w:val="21"/>
                <w:szCs w:val="21"/>
              </w:rPr>
            </w:pPr>
            <w:r>
              <w:rPr>
                <w:rFonts w:ascii="Times New Roman" w:hAnsi="Times New Roman" w:hint="eastAsia"/>
                <w:sz w:val="21"/>
                <w:szCs w:val="21"/>
              </w:rPr>
              <w:t>原煤分级破碎到</w:t>
            </w:r>
            <w:r>
              <w:rPr>
                <w:rFonts w:ascii="Times New Roman" w:hAnsi="Times New Roman"/>
                <w:sz w:val="21"/>
                <w:szCs w:val="21"/>
              </w:rPr>
              <w:t>50mm</w:t>
            </w:r>
            <w:r>
              <w:rPr>
                <w:rFonts w:ascii="Times New Roman" w:hAnsi="Times New Roman" w:hint="eastAsia"/>
                <w:sz w:val="21"/>
                <w:szCs w:val="21"/>
              </w:rPr>
              <w:t>以下，</w:t>
            </w:r>
            <w:r>
              <w:rPr>
                <w:rFonts w:ascii="Times New Roman" w:hAnsi="Times New Roman"/>
                <w:sz w:val="21"/>
                <w:szCs w:val="21"/>
              </w:rPr>
              <w:t>50-1mm</w:t>
            </w:r>
            <w:r>
              <w:rPr>
                <w:rFonts w:ascii="Times New Roman" w:hAnsi="Times New Roman" w:hint="eastAsia"/>
                <w:sz w:val="21"/>
                <w:szCs w:val="21"/>
              </w:rPr>
              <w:t>入三产品无压重介旋流器分选、</w:t>
            </w:r>
            <w:r>
              <w:rPr>
                <w:rFonts w:ascii="Times New Roman" w:hAnsi="Times New Roman"/>
                <w:sz w:val="21"/>
                <w:szCs w:val="21"/>
              </w:rPr>
              <w:t>1-0.25mmTBS</w:t>
            </w:r>
            <w:r>
              <w:rPr>
                <w:rFonts w:ascii="Times New Roman" w:hAnsi="Times New Roman" w:hint="eastAsia"/>
                <w:sz w:val="21"/>
                <w:szCs w:val="21"/>
              </w:rPr>
              <w:t>粗煤泥分选、</w:t>
            </w:r>
            <w:r>
              <w:rPr>
                <w:rFonts w:ascii="Times New Roman" w:hAnsi="Times New Roman"/>
                <w:sz w:val="21"/>
                <w:szCs w:val="21"/>
              </w:rPr>
              <w:t>0.25-0mm</w:t>
            </w:r>
            <w:r>
              <w:rPr>
                <w:rFonts w:ascii="Times New Roman" w:hAnsi="Times New Roman" w:hint="eastAsia"/>
                <w:sz w:val="21"/>
                <w:szCs w:val="21"/>
              </w:rPr>
              <w:t>浮选、细煤泥浓缩压滤的联合选煤工艺</w:t>
            </w:r>
          </w:p>
        </w:tc>
        <w:tc>
          <w:tcPr>
            <w:tcW w:w="0" w:type="auto"/>
            <w:vAlign w:val="center"/>
          </w:tcPr>
          <w:p w14:paraId="3FB625E0" w14:textId="77777777" w:rsidR="009C353B" w:rsidRDefault="00000000">
            <w:pPr>
              <w:snapToGrid w:val="0"/>
              <w:jc w:val="center"/>
              <w:rPr>
                <w:rFonts w:ascii="Times New Roman" w:hAnsi="Times New Roman"/>
                <w:sz w:val="21"/>
                <w:szCs w:val="21"/>
              </w:rPr>
            </w:pPr>
            <w:r>
              <w:rPr>
                <w:rFonts w:ascii="Times New Roman" w:hAnsi="Times New Roman" w:hint="eastAsia"/>
                <w:bCs/>
                <w:kern w:val="0"/>
                <w:sz w:val="21"/>
                <w:szCs w:val="21"/>
              </w:rPr>
              <w:t>任家庄</w:t>
            </w:r>
            <w:r>
              <w:rPr>
                <w:rFonts w:ascii="Times New Roman"/>
                <w:sz w:val="21"/>
                <w:szCs w:val="21"/>
              </w:rPr>
              <w:t>矿井</w:t>
            </w:r>
            <w:r>
              <w:rPr>
                <w:rFonts w:ascii="Times New Roman" w:hAnsi="Times New Roman"/>
                <w:sz w:val="21"/>
                <w:szCs w:val="21"/>
              </w:rPr>
              <w:t>工业场地内</w:t>
            </w:r>
          </w:p>
        </w:tc>
      </w:tr>
      <w:tr w:rsidR="009C353B" w14:paraId="643F61D0" w14:textId="77777777">
        <w:trPr>
          <w:jc w:val="center"/>
        </w:trPr>
        <w:tc>
          <w:tcPr>
            <w:tcW w:w="0" w:type="auto"/>
            <w:vAlign w:val="center"/>
          </w:tcPr>
          <w:p w14:paraId="7A391AD4" w14:textId="77777777" w:rsidR="009C353B" w:rsidRDefault="00000000">
            <w:pPr>
              <w:snapToGrid w:val="0"/>
              <w:jc w:val="center"/>
              <w:rPr>
                <w:rFonts w:ascii="Times New Roman" w:hAnsi="Times New Roman"/>
                <w:sz w:val="21"/>
                <w:szCs w:val="21"/>
              </w:rPr>
            </w:pPr>
            <w:r>
              <w:rPr>
                <w:rFonts w:ascii="Times New Roman" w:hAnsi="Times New Roman"/>
                <w:sz w:val="21"/>
                <w:szCs w:val="21"/>
              </w:rPr>
              <w:t>2</w:t>
            </w:r>
          </w:p>
        </w:tc>
        <w:tc>
          <w:tcPr>
            <w:tcW w:w="0" w:type="auto"/>
            <w:vAlign w:val="center"/>
          </w:tcPr>
          <w:p w14:paraId="7BC726E1" w14:textId="77777777" w:rsidR="009C353B" w:rsidRDefault="00000000">
            <w:pPr>
              <w:widowControl/>
              <w:snapToGrid w:val="0"/>
              <w:jc w:val="center"/>
              <w:rPr>
                <w:rFonts w:ascii="Times New Roman" w:hAnsi="Times New Roman"/>
                <w:bCs/>
                <w:kern w:val="0"/>
                <w:sz w:val="21"/>
                <w:szCs w:val="21"/>
              </w:rPr>
            </w:pPr>
            <w:r>
              <w:rPr>
                <w:rFonts w:ascii="Times New Roman" w:hAnsi="Times New Roman" w:hint="eastAsia"/>
                <w:bCs/>
                <w:kern w:val="0"/>
                <w:sz w:val="21"/>
                <w:szCs w:val="21"/>
              </w:rPr>
              <w:t>红石湾</w:t>
            </w:r>
            <w:r>
              <w:rPr>
                <w:rFonts w:ascii="Times New Roman"/>
                <w:sz w:val="21"/>
                <w:szCs w:val="21"/>
              </w:rPr>
              <w:t>选煤厂</w:t>
            </w:r>
          </w:p>
        </w:tc>
        <w:tc>
          <w:tcPr>
            <w:tcW w:w="0" w:type="auto"/>
            <w:vAlign w:val="center"/>
          </w:tcPr>
          <w:p w14:paraId="222B8D49" w14:textId="77777777" w:rsidR="009C353B" w:rsidRDefault="00000000">
            <w:pPr>
              <w:snapToGrid w:val="0"/>
              <w:jc w:val="center"/>
              <w:rPr>
                <w:rFonts w:ascii="Times New Roman" w:hAnsi="Times New Roman"/>
                <w:sz w:val="21"/>
                <w:szCs w:val="21"/>
              </w:rPr>
            </w:pPr>
            <w:r>
              <w:rPr>
                <w:rFonts w:ascii="Times New Roman" w:hAnsi="Times New Roman"/>
                <w:sz w:val="21"/>
                <w:szCs w:val="21"/>
              </w:rPr>
              <w:t>1.2</w:t>
            </w:r>
          </w:p>
        </w:tc>
        <w:tc>
          <w:tcPr>
            <w:tcW w:w="0" w:type="auto"/>
            <w:vAlign w:val="center"/>
          </w:tcPr>
          <w:p w14:paraId="7BD7F39F" w14:textId="77777777" w:rsidR="009C353B" w:rsidRDefault="00000000">
            <w:pPr>
              <w:widowControl/>
              <w:snapToGrid w:val="0"/>
              <w:jc w:val="center"/>
              <w:rPr>
                <w:rFonts w:ascii="Times New Roman" w:hAnsi="Times New Roman"/>
                <w:sz w:val="21"/>
                <w:szCs w:val="21"/>
              </w:rPr>
            </w:pPr>
            <w:r>
              <w:rPr>
                <w:rFonts w:ascii="Times New Roman" w:hAnsi="Times New Roman" w:hint="eastAsia"/>
                <w:sz w:val="21"/>
                <w:szCs w:val="21"/>
              </w:rPr>
              <w:t>0</w:t>
            </w:r>
          </w:p>
        </w:tc>
        <w:tc>
          <w:tcPr>
            <w:tcW w:w="0" w:type="auto"/>
            <w:vAlign w:val="center"/>
          </w:tcPr>
          <w:p w14:paraId="26AA0D41" w14:textId="77777777" w:rsidR="009C353B" w:rsidRDefault="00000000">
            <w:pPr>
              <w:widowControl/>
              <w:snapToGrid w:val="0"/>
              <w:jc w:val="left"/>
              <w:rPr>
                <w:rFonts w:ascii="Times New Roman" w:hAnsi="Times New Roman"/>
                <w:sz w:val="21"/>
                <w:szCs w:val="21"/>
              </w:rPr>
            </w:pPr>
            <w:r>
              <w:rPr>
                <w:rFonts w:ascii="Times New Roman" w:hAnsi="Times New Roman" w:hint="eastAsia"/>
                <w:sz w:val="21"/>
                <w:szCs w:val="21"/>
              </w:rPr>
              <w:t>原煤分级破碎到</w:t>
            </w:r>
            <w:r>
              <w:rPr>
                <w:rFonts w:ascii="Times New Roman" w:hAnsi="Times New Roman"/>
                <w:sz w:val="21"/>
                <w:szCs w:val="21"/>
              </w:rPr>
              <w:t>50mm</w:t>
            </w:r>
            <w:r>
              <w:rPr>
                <w:rFonts w:ascii="Times New Roman" w:hAnsi="Times New Roman" w:hint="eastAsia"/>
                <w:sz w:val="21"/>
                <w:szCs w:val="21"/>
              </w:rPr>
              <w:t>以下，</w:t>
            </w:r>
            <w:r>
              <w:rPr>
                <w:rFonts w:ascii="Times New Roman" w:hAnsi="Times New Roman"/>
                <w:sz w:val="21"/>
                <w:szCs w:val="21"/>
              </w:rPr>
              <w:t>50-1mm</w:t>
            </w:r>
            <w:r>
              <w:rPr>
                <w:rFonts w:ascii="Times New Roman" w:hAnsi="Times New Roman" w:hint="eastAsia"/>
                <w:sz w:val="21"/>
                <w:szCs w:val="21"/>
              </w:rPr>
              <w:t>入三产品无压重介旋流器分选、</w:t>
            </w:r>
            <w:r>
              <w:rPr>
                <w:rFonts w:ascii="Times New Roman" w:hAnsi="Times New Roman"/>
                <w:sz w:val="21"/>
                <w:szCs w:val="21"/>
              </w:rPr>
              <w:t>1-0.25mmTBS</w:t>
            </w:r>
            <w:r>
              <w:rPr>
                <w:rFonts w:ascii="Times New Roman" w:hAnsi="Times New Roman" w:hint="eastAsia"/>
                <w:sz w:val="21"/>
                <w:szCs w:val="21"/>
              </w:rPr>
              <w:t>粗煤泥分选、</w:t>
            </w:r>
            <w:r>
              <w:rPr>
                <w:rFonts w:ascii="Times New Roman" w:hAnsi="Times New Roman"/>
                <w:sz w:val="21"/>
                <w:szCs w:val="21"/>
              </w:rPr>
              <w:t>0.25-0mm</w:t>
            </w:r>
            <w:r>
              <w:rPr>
                <w:rFonts w:ascii="Times New Roman" w:hAnsi="Times New Roman" w:hint="eastAsia"/>
                <w:sz w:val="21"/>
                <w:szCs w:val="21"/>
              </w:rPr>
              <w:t>浮选、细煤泥浓缩压滤的联合选煤工艺</w:t>
            </w:r>
          </w:p>
        </w:tc>
        <w:tc>
          <w:tcPr>
            <w:tcW w:w="0" w:type="auto"/>
            <w:vAlign w:val="center"/>
          </w:tcPr>
          <w:p w14:paraId="64CB3F11" w14:textId="77777777" w:rsidR="009C353B" w:rsidRDefault="00000000">
            <w:pPr>
              <w:snapToGrid w:val="0"/>
              <w:jc w:val="center"/>
              <w:rPr>
                <w:rFonts w:ascii="Times New Roman" w:hAnsi="Times New Roman"/>
                <w:sz w:val="21"/>
                <w:szCs w:val="21"/>
              </w:rPr>
            </w:pPr>
            <w:r>
              <w:rPr>
                <w:rFonts w:ascii="Times New Roman" w:hAnsi="Times New Roman" w:hint="eastAsia"/>
                <w:bCs/>
                <w:kern w:val="0"/>
                <w:sz w:val="21"/>
                <w:szCs w:val="21"/>
              </w:rPr>
              <w:t>红石湾</w:t>
            </w:r>
            <w:r>
              <w:rPr>
                <w:rFonts w:ascii="Times New Roman"/>
                <w:sz w:val="21"/>
                <w:szCs w:val="21"/>
              </w:rPr>
              <w:t>矿井</w:t>
            </w:r>
            <w:r>
              <w:rPr>
                <w:rFonts w:ascii="Times New Roman" w:hAnsi="Times New Roman"/>
                <w:sz w:val="21"/>
                <w:szCs w:val="21"/>
              </w:rPr>
              <w:t>工业场地内</w:t>
            </w:r>
          </w:p>
        </w:tc>
      </w:tr>
      <w:tr w:rsidR="009C353B" w14:paraId="4DEE1349" w14:textId="77777777">
        <w:trPr>
          <w:jc w:val="center"/>
        </w:trPr>
        <w:tc>
          <w:tcPr>
            <w:tcW w:w="0" w:type="auto"/>
            <w:vAlign w:val="center"/>
          </w:tcPr>
          <w:p w14:paraId="6E986551"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3</w:t>
            </w:r>
          </w:p>
        </w:tc>
        <w:tc>
          <w:tcPr>
            <w:tcW w:w="0" w:type="auto"/>
            <w:vAlign w:val="center"/>
          </w:tcPr>
          <w:p w14:paraId="6773BED2" w14:textId="77777777" w:rsidR="009C353B" w:rsidRDefault="00000000">
            <w:pPr>
              <w:snapToGrid w:val="0"/>
              <w:jc w:val="center"/>
              <w:rPr>
                <w:rFonts w:ascii="Times New Roman" w:hAnsi="Times New Roman"/>
                <w:bCs/>
                <w:kern w:val="0"/>
                <w:sz w:val="21"/>
                <w:szCs w:val="21"/>
              </w:rPr>
            </w:pPr>
            <w:r>
              <w:rPr>
                <w:rFonts w:ascii="Times New Roman" w:hAnsi="Times New Roman" w:hint="eastAsia"/>
                <w:sz w:val="21"/>
                <w:szCs w:val="21"/>
              </w:rPr>
              <w:t>马莲台</w:t>
            </w:r>
            <w:r>
              <w:rPr>
                <w:rFonts w:ascii="Times New Roman" w:hAnsi="Times New Roman"/>
                <w:sz w:val="21"/>
                <w:szCs w:val="21"/>
              </w:rPr>
              <w:t>选煤厂</w:t>
            </w:r>
          </w:p>
        </w:tc>
        <w:tc>
          <w:tcPr>
            <w:tcW w:w="0" w:type="auto"/>
            <w:vAlign w:val="center"/>
          </w:tcPr>
          <w:p w14:paraId="5E6C7BCB" w14:textId="77777777" w:rsidR="009C353B" w:rsidRDefault="00000000">
            <w:pPr>
              <w:snapToGrid w:val="0"/>
              <w:jc w:val="center"/>
              <w:rPr>
                <w:rFonts w:ascii="Times New Roman" w:hAnsi="Times New Roman"/>
                <w:sz w:val="21"/>
                <w:szCs w:val="21"/>
              </w:rPr>
            </w:pPr>
            <w:r>
              <w:rPr>
                <w:rFonts w:ascii="Times New Roman" w:hAnsi="Times New Roman"/>
                <w:sz w:val="21"/>
                <w:szCs w:val="21"/>
              </w:rPr>
              <w:t>10.0</w:t>
            </w:r>
          </w:p>
        </w:tc>
        <w:tc>
          <w:tcPr>
            <w:tcW w:w="0" w:type="auto"/>
            <w:vAlign w:val="center"/>
          </w:tcPr>
          <w:p w14:paraId="02D5FE1B" w14:textId="77777777" w:rsidR="009C353B" w:rsidRDefault="00000000">
            <w:pPr>
              <w:widowControl/>
              <w:snapToGrid w:val="0"/>
              <w:jc w:val="center"/>
              <w:rPr>
                <w:rFonts w:ascii="Times New Roman" w:hAnsi="Times New Roman"/>
                <w:sz w:val="21"/>
                <w:szCs w:val="21"/>
              </w:rPr>
            </w:pPr>
            <w:r>
              <w:rPr>
                <w:rFonts w:ascii="Times New Roman" w:hAnsi="Times New Roman" w:hint="eastAsia"/>
                <w:sz w:val="21"/>
                <w:szCs w:val="21"/>
              </w:rPr>
              <w:t>0</w:t>
            </w:r>
          </w:p>
        </w:tc>
        <w:tc>
          <w:tcPr>
            <w:tcW w:w="0" w:type="auto"/>
            <w:vAlign w:val="center"/>
          </w:tcPr>
          <w:p w14:paraId="6681FFBD" w14:textId="77777777" w:rsidR="009C353B" w:rsidRDefault="00000000">
            <w:pPr>
              <w:widowControl/>
              <w:snapToGrid w:val="0"/>
              <w:jc w:val="left"/>
              <w:rPr>
                <w:rFonts w:ascii="Times New Roman" w:hAnsi="Times New Roman"/>
                <w:sz w:val="21"/>
                <w:szCs w:val="21"/>
              </w:rPr>
            </w:pPr>
            <w:r>
              <w:rPr>
                <w:rFonts w:ascii="Times New Roman" w:hAnsi="Times New Roman" w:hint="eastAsia"/>
                <w:sz w:val="21"/>
                <w:szCs w:val="21"/>
              </w:rPr>
              <w:t>原煤分级破碎到</w:t>
            </w:r>
            <w:r>
              <w:rPr>
                <w:rFonts w:ascii="Times New Roman" w:hAnsi="Times New Roman"/>
                <w:sz w:val="21"/>
                <w:szCs w:val="21"/>
              </w:rPr>
              <w:t>50mm</w:t>
            </w:r>
            <w:r>
              <w:rPr>
                <w:rFonts w:ascii="Times New Roman" w:hAnsi="Times New Roman" w:hint="eastAsia"/>
                <w:sz w:val="21"/>
                <w:szCs w:val="21"/>
              </w:rPr>
              <w:t>以下，</w:t>
            </w:r>
            <w:r>
              <w:rPr>
                <w:rFonts w:ascii="Times New Roman" w:hAnsi="Times New Roman"/>
                <w:sz w:val="21"/>
                <w:szCs w:val="21"/>
              </w:rPr>
              <w:t>50-0.25mm</w:t>
            </w:r>
            <w:r>
              <w:rPr>
                <w:rFonts w:ascii="Times New Roman" w:hAnsi="Times New Roman" w:hint="eastAsia"/>
                <w:sz w:val="21"/>
                <w:szCs w:val="21"/>
              </w:rPr>
              <w:t>入三产品无压重介旋流器分选、</w:t>
            </w:r>
            <w:r>
              <w:rPr>
                <w:rFonts w:ascii="Times New Roman" w:hAnsi="Times New Roman"/>
                <w:sz w:val="21"/>
                <w:szCs w:val="21"/>
              </w:rPr>
              <w:t>0.25-0mm</w:t>
            </w:r>
            <w:r>
              <w:rPr>
                <w:rFonts w:ascii="Times New Roman" w:hAnsi="Times New Roman" w:hint="eastAsia"/>
                <w:sz w:val="21"/>
                <w:szCs w:val="21"/>
              </w:rPr>
              <w:t>浮选、粗煤泥直接回收、细煤泥压滤的联合选煤工艺</w:t>
            </w:r>
          </w:p>
        </w:tc>
        <w:tc>
          <w:tcPr>
            <w:tcW w:w="0" w:type="auto"/>
            <w:vAlign w:val="center"/>
          </w:tcPr>
          <w:p w14:paraId="243CDCC4" w14:textId="77777777" w:rsidR="009C353B" w:rsidRDefault="00000000">
            <w:pPr>
              <w:snapToGrid w:val="0"/>
              <w:jc w:val="center"/>
              <w:rPr>
                <w:rFonts w:ascii="Times New Roman" w:hAnsi="Times New Roman"/>
                <w:bCs/>
                <w:kern w:val="0"/>
                <w:sz w:val="21"/>
                <w:szCs w:val="21"/>
              </w:rPr>
            </w:pPr>
            <w:r>
              <w:rPr>
                <w:rFonts w:ascii="Times New Roman" w:hAnsi="Times New Roman" w:hint="eastAsia"/>
                <w:bCs/>
                <w:kern w:val="0"/>
                <w:sz w:val="21"/>
                <w:szCs w:val="21"/>
              </w:rPr>
              <w:t>临河工业园区内</w:t>
            </w:r>
          </w:p>
        </w:tc>
      </w:tr>
      <w:tr w:rsidR="009C353B" w14:paraId="06E48589" w14:textId="77777777">
        <w:trPr>
          <w:trHeight w:val="395"/>
          <w:jc w:val="center"/>
        </w:trPr>
        <w:tc>
          <w:tcPr>
            <w:tcW w:w="0" w:type="auto"/>
            <w:vAlign w:val="center"/>
          </w:tcPr>
          <w:p w14:paraId="4166A752" w14:textId="77777777" w:rsidR="009C353B" w:rsidRDefault="009C353B">
            <w:pPr>
              <w:snapToGrid w:val="0"/>
              <w:jc w:val="center"/>
              <w:rPr>
                <w:rFonts w:ascii="Times New Roman" w:hAnsi="Times New Roman"/>
                <w:sz w:val="21"/>
                <w:szCs w:val="21"/>
              </w:rPr>
            </w:pPr>
          </w:p>
        </w:tc>
        <w:tc>
          <w:tcPr>
            <w:tcW w:w="0" w:type="auto"/>
            <w:vAlign w:val="center"/>
          </w:tcPr>
          <w:p w14:paraId="1A2DB96D" w14:textId="77777777" w:rsidR="009C353B" w:rsidRDefault="00000000">
            <w:pPr>
              <w:snapToGrid w:val="0"/>
              <w:rPr>
                <w:rFonts w:ascii="Times New Roman" w:hAnsi="Times New Roman"/>
                <w:sz w:val="21"/>
                <w:szCs w:val="21"/>
              </w:rPr>
            </w:pPr>
            <w:r>
              <w:rPr>
                <w:rFonts w:ascii="Times New Roman" w:hAnsi="Times New Roman" w:hint="eastAsia"/>
                <w:sz w:val="21"/>
                <w:szCs w:val="21"/>
              </w:rPr>
              <w:t>合计</w:t>
            </w:r>
          </w:p>
        </w:tc>
        <w:tc>
          <w:tcPr>
            <w:tcW w:w="0" w:type="auto"/>
            <w:vAlign w:val="center"/>
          </w:tcPr>
          <w:p w14:paraId="672F4CC2" w14:textId="77777777" w:rsidR="009C353B" w:rsidRDefault="00000000">
            <w:pPr>
              <w:snapToGrid w:val="0"/>
              <w:jc w:val="center"/>
              <w:rPr>
                <w:rFonts w:ascii="Times New Roman" w:hAnsi="Times New Roman"/>
                <w:sz w:val="21"/>
                <w:szCs w:val="21"/>
              </w:rPr>
            </w:pPr>
            <w:r>
              <w:rPr>
                <w:rFonts w:ascii="Times New Roman" w:hAnsi="Times New Roman"/>
                <w:sz w:val="21"/>
                <w:szCs w:val="21"/>
              </w:rPr>
              <w:t>16.0</w:t>
            </w:r>
          </w:p>
        </w:tc>
        <w:tc>
          <w:tcPr>
            <w:tcW w:w="0" w:type="auto"/>
            <w:vAlign w:val="center"/>
          </w:tcPr>
          <w:p w14:paraId="1CA0973B" w14:textId="77777777" w:rsidR="009C353B" w:rsidRDefault="009C353B">
            <w:pPr>
              <w:widowControl/>
              <w:snapToGrid w:val="0"/>
              <w:jc w:val="center"/>
              <w:rPr>
                <w:rFonts w:ascii="Times New Roman" w:hAnsi="Times New Roman"/>
                <w:sz w:val="21"/>
                <w:szCs w:val="21"/>
              </w:rPr>
            </w:pPr>
          </w:p>
        </w:tc>
        <w:tc>
          <w:tcPr>
            <w:tcW w:w="0" w:type="auto"/>
            <w:vAlign w:val="center"/>
          </w:tcPr>
          <w:p w14:paraId="57D6635C" w14:textId="77777777" w:rsidR="009C353B" w:rsidRDefault="009C353B">
            <w:pPr>
              <w:snapToGrid w:val="0"/>
              <w:jc w:val="center"/>
              <w:rPr>
                <w:rFonts w:ascii="Times New Roman" w:hAnsi="Times New Roman"/>
                <w:sz w:val="21"/>
                <w:szCs w:val="21"/>
              </w:rPr>
            </w:pPr>
          </w:p>
        </w:tc>
        <w:tc>
          <w:tcPr>
            <w:tcW w:w="0" w:type="auto"/>
            <w:vAlign w:val="center"/>
          </w:tcPr>
          <w:p w14:paraId="56AEB1B6" w14:textId="77777777" w:rsidR="009C353B" w:rsidRDefault="009C353B">
            <w:pPr>
              <w:snapToGrid w:val="0"/>
              <w:jc w:val="center"/>
              <w:rPr>
                <w:rFonts w:ascii="Times New Roman" w:hAnsi="Times New Roman"/>
                <w:sz w:val="21"/>
                <w:szCs w:val="21"/>
              </w:rPr>
            </w:pPr>
          </w:p>
        </w:tc>
      </w:tr>
    </w:tbl>
    <w:p w14:paraId="07E39A43" w14:textId="77777777" w:rsidR="009C353B" w:rsidRDefault="009C353B">
      <w:pPr>
        <w:tabs>
          <w:tab w:val="left" w:pos="7937"/>
        </w:tabs>
        <w:jc w:val="left"/>
        <w:rPr>
          <w:rFonts w:ascii="仿宋_GB2312" w:hint="eastAsia"/>
          <w:b/>
          <w:bCs/>
          <w:szCs w:val="28"/>
        </w:rPr>
      </w:pPr>
    </w:p>
    <w:p w14:paraId="41A1A660"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2.3</w:t>
      </w:r>
      <w:r>
        <w:rPr>
          <w:rFonts w:ascii="Times New Roman" w:hAnsi="Times New Roman" w:hint="eastAsia"/>
          <w:sz w:val="24"/>
        </w:rPr>
        <w:t>.</w:t>
      </w:r>
      <w:r>
        <w:rPr>
          <w:rFonts w:ascii="Times New Roman" w:hAnsi="Times New Roman"/>
          <w:sz w:val="24"/>
        </w:rPr>
        <w:t xml:space="preserve">6 </w:t>
      </w:r>
      <w:r>
        <w:rPr>
          <w:rFonts w:ascii="Times New Roman"/>
          <w:sz w:val="24"/>
        </w:rPr>
        <w:t>矿区地面设施规划</w:t>
      </w:r>
    </w:p>
    <w:p w14:paraId="717886E4"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w:t>
      </w:r>
      <w:r>
        <w:rPr>
          <w:rFonts w:ascii="Times New Roman" w:eastAsia="宋体" w:hAnsi="Times New Roman"/>
          <w:sz w:val="24"/>
        </w:rPr>
        <w:t xml:space="preserve">6.1 </w:t>
      </w:r>
      <w:r>
        <w:rPr>
          <w:rFonts w:ascii="Times New Roman" w:eastAsia="宋体" w:hAnsi="宋体"/>
          <w:sz w:val="24"/>
        </w:rPr>
        <w:t>矿区地面总布置</w:t>
      </w:r>
    </w:p>
    <w:p w14:paraId="37DBC6C0" w14:textId="77777777" w:rsidR="009C353B" w:rsidRDefault="00000000">
      <w:pPr>
        <w:adjustRightInd w:val="0"/>
        <w:snapToGrid w:val="0"/>
        <w:spacing w:line="440" w:lineRule="exact"/>
        <w:ind w:firstLineChars="200" w:firstLine="480"/>
        <w:rPr>
          <w:rFonts w:ascii="Times New Roman" w:hint="eastAsia"/>
          <w:szCs w:val="24"/>
          <w:lang w:val="zh-CN"/>
        </w:rPr>
      </w:pPr>
      <w:r>
        <w:rPr>
          <w:rFonts w:ascii="Times New Roman" w:hint="eastAsia"/>
          <w:szCs w:val="24"/>
          <w:lang w:val="zh-CN"/>
        </w:rPr>
        <w:t>矿区地面总布置将生产、生产服务和生活服务设施按三条线安排，从管理体制和布置上分开，使矿区、矿井成为单一的生产单位。</w:t>
      </w:r>
      <w:r>
        <w:rPr>
          <w:rFonts w:ascii="Times New Roman" w:hint="eastAsia"/>
          <w:szCs w:val="24"/>
          <w:lang w:val="zh-CN"/>
        </w:rPr>
        <w:cr/>
        <w:t xml:space="preserve">   </w:t>
      </w:r>
      <w:r>
        <w:rPr>
          <w:rFonts w:ascii="Times New Roman" w:hint="eastAsia"/>
          <w:szCs w:val="24"/>
          <w:lang w:val="zh-CN"/>
        </w:rPr>
        <w:t>（</w:t>
      </w:r>
      <w:r>
        <w:rPr>
          <w:rFonts w:ascii="Times New Roman" w:hint="eastAsia"/>
          <w:szCs w:val="24"/>
          <w:lang w:val="zh-CN"/>
        </w:rPr>
        <w:t>1</w:t>
      </w:r>
      <w:r>
        <w:rPr>
          <w:rFonts w:ascii="Times New Roman" w:hint="eastAsia"/>
          <w:szCs w:val="24"/>
          <w:lang w:val="zh-CN"/>
        </w:rPr>
        <w:t>）生产线——包括四对矿井</w:t>
      </w:r>
    </w:p>
    <w:p w14:paraId="05647936" w14:textId="77777777" w:rsidR="009C353B" w:rsidRDefault="00000000">
      <w:pPr>
        <w:adjustRightInd w:val="0"/>
        <w:snapToGrid w:val="0"/>
        <w:spacing w:line="440" w:lineRule="exact"/>
        <w:ind w:firstLineChars="200" w:firstLine="480"/>
        <w:rPr>
          <w:rFonts w:ascii="Times New Roman" w:hint="eastAsia"/>
          <w:szCs w:val="24"/>
          <w:lang w:val="zh-CN"/>
        </w:rPr>
      </w:pPr>
      <w:r>
        <w:rPr>
          <w:rFonts w:ascii="Times New Roman" w:hint="eastAsia"/>
          <w:szCs w:val="24"/>
          <w:lang w:val="zh-CN"/>
        </w:rPr>
        <w:t>横城矿区包括四对矿井即任家庄矿井、红石湾矿井、马莲台矿井和丁家梁矿井，各个矿井均配套建设选煤厂。任家庄矿井及选煤厂工业场地位于银古公路以西约</w:t>
      </w:r>
      <w:r>
        <w:rPr>
          <w:rFonts w:ascii="Times New Roman" w:hint="eastAsia"/>
          <w:szCs w:val="24"/>
          <w:lang w:val="zh-CN"/>
        </w:rPr>
        <w:t>2</w:t>
      </w:r>
      <w:r>
        <w:rPr>
          <w:rFonts w:ascii="Times New Roman" w:hint="eastAsia"/>
          <w:szCs w:val="24"/>
          <w:lang w:val="zh-CN"/>
        </w:rPr>
        <w:t>公里的榆树沟附近，矿井设计规模</w:t>
      </w:r>
      <w:r>
        <w:rPr>
          <w:rFonts w:ascii="Times New Roman" w:hint="eastAsia"/>
          <w:szCs w:val="24"/>
        </w:rPr>
        <w:t>3.60</w:t>
      </w:r>
      <w:r>
        <w:rPr>
          <w:rFonts w:ascii="Times New Roman" w:hint="eastAsia"/>
          <w:szCs w:val="24"/>
          <w:lang w:val="zh-CN"/>
        </w:rPr>
        <w:t>Mt/a</w:t>
      </w:r>
      <w:r>
        <w:rPr>
          <w:rFonts w:ascii="Times New Roman" w:hint="eastAsia"/>
          <w:szCs w:val="24"/>
          <w:lang w:val="zh-CN"/>
        </w:rPr>
        <w:t>，井口标高为</w:t>
      </w:r>
      <w:r>
        <w:rPr>
          <w:rFonts w:ascii="Times New Roman" w:hint="eastAsia"/>
          <w:szCs w:val="24"/>
          <w:lang w:val="zh-CN"/>
        </w:rPr>
        <w:t>1</w:t>
      </w:r>
      <w:r>
        <w:rPr>
          <w:rFonts w:ascii="Times New Roman"/>
          <w:szCs w:val="24"/>
          <w:lang w:val="zh-CN"/>
        </w:rPr>
        <w:t>330m</w:t>
      </w:r>
      <w:r>
        <w:rPr>
          <w:rFonts w:ascii="Times New Roman"/>
          <w:szCs w:val="24"/>
          <w:lang w:val="zh-CN"/>
        </w:rPr>
        <w:t>，</w:t>
      </w:r>
      <w:r>
        <w:rPr>
          <w:rFonts w:ascii="Times New Roman" w:hint="eastAsia"/>
          <w:szCs w:val="24"/>
          <w:lang w:val="zh-CN"/>
        </w:rPr>
        <w:t>占地</w:t>
      </w:r>
      <w:r>
        <w:rPr>
          <w:rFonts w:ascii="Times New Roman" w:hint="eastAsia"/>
          <w:szCs w:val="24"/>
          <w:lang w:val="zh-CN"/>
        </w:rPr>
        <w:t>24.36</w:t>
      </w:r>
      <w:r>
        <w:rPr>
          <w:rFonts w:ascii="Times New Roman" w:hint="eastAsia"/>
          <w:szCs w:val="24"/>
          <w:lang w:val="zh-CN"/>
        </w:rPr>
        <w:t>公顷。红石湾矿井及选煤厂工业场地位于银古公路的沙沟附近，矿井设计规模</w:t>
      </w:r>
      <w:r>
        <w:rPr>
          <w:rFonts w:ascii="Times New Roman" w:hint="eastAsia"/>
          <w:szCs w:val="24"/>
        </w:rPr>
        <w:t>1.10</w:t>
      </w:r>
      <w:r>
        <w:rPr>
          <w:rFonts w:ascii="Times New Roman" w:hint="eastAsia"/>
          <w:szCs w:val="24"/>
          <w:lang w:val="zh-CN"/>
        </w:rPr>
        <w:t>Mt/a</w:t>
      </w:r>
      <w:r>
        <w:rPr>
          <w:rFonts w:ascii="Times New Roman" w:hint="eastAsia"/>
          <w:szCs w:val="24"/>
          <w:lang w:val="zh-CN"/>
        </w:rPr>
        <w:t>，井口标高为</w:t>
      </w:r>
      <w:r>
        <w:rPr>
          <w:rFonts w:ascii="Times New Roman" w:hint="eastAsia"/>
          <w:szCs w:val="24"/>
          <w:lang w:val="zh-CN"/>
        </w:rPr>
        <w:t>1225</w:t>
      </w:r>
      <w:r>
        <w:rPr>
          <w:rFonts w:ascii="Times New Roman"/>
          <w:szCs w:val="24"/>
          <w:lang w:val="zh-CN"/>
        </w:rPr>
        <w:t>m</w:t>
      </w:r>
      <w:r>
        <w:rPr>
          <w:rFonts w:ascii="Times New Roman"/>
          <w:szCs w:val="24"/>
          <w:lang w:val="zh-CN"/>
        </w:rPr>
        <w:t>，</w:t>
      </w:r>
      <w:r>
        <w:rPr>
          <w:rFonts w:ascii="Times New Roman" w:hint="eastAsia"/>
          <w:szCs w:val="24"/>
          <w:lang w:val="zh-CN"/>
        </w:rPr>
        <w:t>占地</w:t>
      </w:r>
      <w:r>
        <w:rPr>
          <w:rFonts w:ascii="Times New Roman" w:hint="eastAsia"/>
          <w:szCs w:val="24"/>
        </w:rPr>
        <w:t>13.50</w:t>
      </w:r>
      <w:r>
        <w:rPr>
          <w:rFonts w:ascii="Times New Roman" w:hint="eastAsia"/>
          <w:szCs w:val="24"/>
          <w:lang w:val="zh-CN"/>
        </w:rPr>
        <w:t>公顷。马莲台矿井及选煤厂工业场地位于银古公路以东约</w:t>
      </w:r>
      <w:r>
        <w:rPr>
          <w:rFonts w:ascii="Times New Roman" w:hint="eastAsia"/>
          <w:szCs w:val="24"/>
          <w:lang w:val="zh-CN"/>
        </w:rPr>
        <w:t>2</w:t>
      </w:r>
      <w:r>
        <w:rPr>
          <w:rFonts w:ascii="Times New Roman" w:hint="eastAsia"/>
          <w:szCs w:val="24"/>
          <w:lang w:val="zh-CN"/>
        </w:rPr>
        <w:t>公里的马莲台</w:t>
      </w:r>
      <w:r>
        <w:rPr>
          <w:rFonts w:ascii="Times New Roman"/>
          <w:szCs w:val="24"/>
          <w:lang w:val="zh-CN"/>
        </w:rPr>
        <w:t>，</w:t>
      </w:r>
      <w:r>
        <w:rPr>
          <w:rFonts w:ascii="Times New Roman" w:hint="eastAsia"/>
          <w:szCs w:val="24"/>
          <w:lang w:val="zh-CN"/>
        </w:rPr>
        <w:t>该处地形开阔但冲沟发育。矿井设计规模</w:t>
      </w:r>
      <w:r>
        <w:rPr>
          <w:rFonts w:ascii="Times New Roman" w:hint="eastAsia"/>
          <w:szCs w:val="24"/>
        </w:rPr>
        <w:t>3.60</w:t>
      </w:r>
      <w:r>
        <w:rPr>
          <w:rFonts w:ascii="Times New Roman" w:hint="eastAsia"/>
          <w:szCs w:val="24"/>
          <w:lang w:val="zh-CN"/>
        </w:rPr>
        <w:t>Mt/a</w:t>
      </w:r>
      <w:r>
        <w:rPr>
          <w:rFonts w:ascii="Times New Roman" w:hint="eastAsia"/>
          <w:szCs w:val="24"/>
          <w:lang w:val="zh-CN"/>
        </w:rPr>
        <w:t>，井口标高为</w:t>
      </w:r>
      <w:r>
        <w:rPr>
          <w:rFonts w:ascii="Times New Roman" w:hint="eastAsia"/>
          <w:szCs w:val="24"/>
          <w:lang w:val="zh-CN"/>
        </w:rPr>
        <w:t>1240</w:t>
      </w:r>
      <w:r>
        <w:rPr>
          <w:rFonts w:ascii="Times New Roman"/>
          <w:szCs w:val="24"/>
          <w:lang w:val="zh-CN"/>
        </w:rPr>
        <w:t>m</w:t>
      </w:r>
      <w:r>
        <w:rPr>
          <w:rFonts w:ascii="Times New Roman"/>
          <w:szCs w:val="24"/>
          <w:lang w:val="zh-CN"/>
        </w:rPr>
        <w:t>，</w:t>
      </w:r>
      <w:r>
        <w:rPr>
          <w:rFonts w:ascii="Times New Roman" w:hint="eastAsia"/>
          <w:szCs w:val="24"/>
          <w:lang w:val="zh-CN"/>
        </w:rPr>
        <w:t>占地</w:t>
      </w:r>
      <w:r>
        <w:rPr>
          <w:rFonts w:ascii="Times New Roman" w:hint="eastAsia"/>
          <w:szCs w:val="24"/>
        </w:rPr>
        <w:t>21</w:t>
      </w:r>
      <w:r>
        <w:rPr>
          <w:rFonts w:ascii="Times New Roman" w:hint="eastAsia"/>
          <w:szCs w:val="24"/>
          <w:lang w:val="zh-CN"/>
        </w:rPr>
        <w:t>.0</w:t>
      </w:r>
      <w:r>
        <w:rPr>
          <w:rFonts w:ascii="Times New Roman" w:hint="eastAsia"/>
          <w:szCs w:val="24"/>
          <w:lang w:val="zh-CN"/>
        </w:rPr>
        <w:t>公顷。丁家梁矿井及选煤厂工业场地位于银古公路以西约</w:t>
      </w:r>
      <w:r>
        <w:rPr>
          <w:rFonts w:ascii="Times New Roman" w:hint="eastAsia"/>
          <w:szCs w:val="24"/>
          <w:lang w:val="zh-CN"/>
        </w:rPr>
        <w:t>1</w:t>
      </w:r>
      <w:r>
        <w:rPr>
          <w:rFonts w:ascii="Times New Roman" w:hint="eastAsia"/>
          <w:szCs w:val="24"/>
          <w:lang w:val="zh-CN"/>
        </w:rPr>
        <w:t>公里，鸭子荡调节水库南侧，矿井设计规模</w:t>
      </w:r>
      <w:r>
        <w:rPr>
          <w:rFonts w:ascii="Times New Roman" w:hint="eastAsia"/>
          <w:szCs w:val="24"/>
          <w:lang w:val="zh-CN"/>
        </w:rPr>
        <w:t>1.80Mt/a</w:t>
      </w:r>
      <w:r>
        <w:rPr>
          <w:rFonts w:ascii="Times New Roman" w:hint="eastAsia"/>
          <w:szCs w:val="24"/>
          <w:lang w:val="zh-CN"/>
        </w:rPr>
        <w:t>，井口标高为</w:t>
      </w:r>
      <w:r>
        <w:rPr>
          <w:rFonts w:ascii="Times New Roman" w:hint="eastAsia"/>
          <w:szCs w:val="24"/>
          <w:lang w:val="zh-CN"/>
        </w:rPr>
        <w:t>1260</w:t>
      </w:r>
      <w:r>
        <w:rPr>
          <w:rFonts w:ascii="Times New Roman"/>
          <w:szCs w:val="24"/>
          <w:lang w:val="zh-CN"/>
        </w:rPr>
        <w:t>m</w:t>
      </w:r>
      <w:r>
        <w:rPr>
          <w:rFonts w:ascii="Times New Roman"/>
          <w:szCs w:val="24"/>
          <w:lang w:val="zh-CN"/>
        </w:rPr>
        <w:t>，</w:t>
      </w:r>
      <w:r>
        <w:rPr>
          <w:rFonts w:ascii="Times New Roman" w:hint="eastAsia"/>
          <w:szCs w:val="24"/>
          <w:lang w:val="zh-CN"/>
        </w:rPr>
        <w:t>占地</w:t>
      </w:r>
      <w:r>
        <w:rPr>
          <w:rFonts w:ascii="Times New Roman" w:hint="eastAsia"/>
          <w:szCs w:val="24"/>
        </w:rPr>
        <w:t>13</w:t>
      </w:r>
      <w:r>
        <w:rPr>
          <w:rFonts w:ascii="Times New Roman" w:hint="eastAsia"/>
          <w:szCs w:val="24"/>
          <w:lang w:val="zh-CN"/>
        </w:rPr>
        <w:t>.0</w:t>
      </w:r>
      <w:r>
        <w:rPr>
          <w:rFonts w:ascii="Times New Roman" w:hint="eastAsia"/>
          <w:szCs w:val="24"/>
          <w:lang w:val="zh-CN"/>
        </w:rPr>
        <w:t>公顷。</w:t>
      </w:r>
    </w:p>
    <w:p w14:paraId="7A8ACEB3" w14:textId="77777777" w:rsidR="009C353B" w:rsidRDefault="00000000">
      <w:pPr>
        <w:adjustRightInd w:val="0"/>
        <w:snapToGrid w:val="0"/>
        <w:spacing w:line="440" w:lineRule="exact"/>
        <w:ind w:firstLineChars="200" w:firstLine="480"/>
        <w:rPr>
          <w:rFonts w:ascii="Times New Roman" w:hint="eastAsia"/>
          <w:szCs w:val="24"/>
          <w:lang w:val="zh-CN"/>
        </w:rPr>
      </w:pPr>
      <w:r>
        <w:rPr>
          <w:rFonts w:ascii="Times New Roman" w:hint="eastAsia"/>
          <w:szCs w:val="24"/>
          <w:lang w:val="zh-CN"/>
        </w:rPr>
        <w:t>（</w:t>
      </w:r>
      <w:r>
        <w:rPr>
          <w:rFonts w:ascii="Times New Roman" w:hint="eastAsia"/>
          <w:szCs w:val="24"/>
          <w:lang w:val="zh-CN"/>
        </w:rPr>
        <w:t>2</w:t>
      </w:r>
      <w:r>
        <w:rPr>
          <w:rFonts w:ascii="Times New Roman" w:hint="eastAsia"/>
          <w:szCs w:val="24"/>
          <w:lang w:val="zh-CN"/>
        </w:rPr>
        <w:t>）生产服务设施——矿区辅助及附属企业</w:t>
      </w:r>
    </w:p>
    <w:p w14:paraId="3A28B12C" w14:textId="77777777" w:rsidR="009C353B" w:rsidRDefault="00000000">
      <w:pPr>
        <w:adjustRightInd w:val="0"/>
        <w:snapToGrid w:val="0"/>
        <w:spacing w:line="440" w:lineRule="exact"/>
        <w:ind w:firstLineChars="200" w:firstLine="480"/>
        <w:rPr>
          <w:rFonts w:ascii="Times New Roman" w:hint="eastAsia"/>
          <w:szCs w:val="24"/>
          <w:lang w:val="zh-CN"/>
        </w:rPr>
      </w:pPr>
      <w:r>
        <w:rPr>
          <w:rFonts w:ascii="Times New Roman" w:hint="eastAsia"/>
          <w:szCs w:val="24"/>
          <w:lang w:val="zh-CN"/>
        </w:rPr>
        <w:t>为了适应矿区煤炭生产和矿井建设需要，结合矿区总布置，在矿区内集中配套建设了为矿井服务的辅助及附属企业及设施，该部分设施近期利用并扩建设在古窑子的灵武矿区辅助企业区。</w:t>
      </w:r>
      <w:r>
        <w:rPr>
          <w:rFonts w:ascii="Times New Roman" w:hint="eastAsia"/>
          <w:szCs w:val="24"/>
          <w:lang w:val="zh-CN"/>
        </w:rPr>
        <w:cr/>
        <w:t xml:space="preserve"> </w:t>
      </w:r>
      <w:r>
        <w:rPr>
          <w:rFonts w:ascii="Times New Roman"/>
          <w:szCs w:val="24"/>
          <w:lang w:val="zh-CN"/>
        </w:rPr>
        <w:t xml:space="preserve">   </w:t>
      </w:r>
      <w:r>
        <w:rPr>
          <w:rFonts w:ascii="Times New Roman" w:hint="eastAsia"/>
          <w:szCs w:val="24"/>
          <w:lang w:val="zh-CN"/>
        </w:rPr>
        <w:t>根据矿区配套建设的需要，在已建成的古窑子辅助企业区内规划本矿区的部分辅助企业，其中包括机电修理厂、机电设备租赁站、中心试验站、总器材库、总坑木场、矿区消防站、矿山救护大队（布置在任家庄矿井工业场地内）等。辅助企业及设施均布置在规划区南部，既考虑初期又照顾后期，也考虑整个矿区服务的合理性，以便有利于统一管理。</w:t>
      </w:r>
    </w:p>
    <w:p w14:paraId="4621C079" w14:textId="77777777" w:rsidR="009C353B" w:rsidRDefault="00000000">
      <w:pPr>
        <w:adjustRightInd w:val="0"/>
        <w:snapToGrid w:val="0"/>
        <w:spacing w:line="440" w:lineRule="exact"/>
        <w:ind w:firstLineChars="200" w:firstLine="480"/>
        <w:rPr>
          <w:rFonts w:ascii="Times New Roman" w:hint="eastAsia"/>
          <w:szCs w:val="24"/>
          <w:lang w:val="zh-CN"/>
        </w:rPr>
      </w:pPr>
      <w:r>
        <w:rPr>
          <w:rFonts w:ascii="Times New Roman" w:hint="eastAsia"/>
          <w:szCs w:val="24"/>
          <w:lang w:val="zh-CN"/>
        </w:rPr>
        <w:t>（</w:t>
      </w:r>
      <w:r>
        <w:rPr>
          <w:rFonts w:ascii="Times New Roman" w:hint="eastAsia"/>
          <w:szCs w:val="24"/>
          <w:lang w:val="zh-CN"/>
        </w:rPr>
        <w:t>3</w:t>
      </w:r>
      <w:r>
        <w:rPr>
          <w:rFonts w:ascii="Times New Roman" w:hint="eastAsia"/>
          <w:szCs w:val="24"/>
          <w:lang w:val="zh-CN"/>
        </w:rPr>
        <w:t>）生活服务线</w:t>
      </w:r>
    </w:p>
    <w:p w14:paraId="17E1B37B" w14:textId="77777777" w:rsidR="009C353B" w:rsidRDefault="00000000">
      <w:pPr>
        <w:adjustRightInd w:val="0"/>
        <w:snapToGrid w:val="0"/>
        <w:spacing w:line="440" w:lineRule="exact"/>
        <w:ind w:firstLineChars="200" w:firstLine="480"/>
        <w:rPr>
          <w:rFonts w:ascii="Times New Roman" w:hint="eastAsia"/>
          <w:szCs w:val="24"/>
          <w:lang w:val="zh-CN"/>
        </w:rPr>
      </w:pPr>
      <w:r>
        <w:rPr>
          <w:rFonts w:ascii="Times New Roman" w:hAnsi="Times New Roman"/>
          <w:bCs/>
          <w:szCs w:val="24"/>
        </w:rPr>
        <w:t>本次</w:t>
      </w:r>
      <w:r>
        <w:rPr>
          <w:rFonts w:ascii="Times New Roman" w:hAnsi="Times New Roman" w:hint="eastAsia"/>
          <w:bCs/>
          <w:szCs w:val="24"/>
        </w:rPr>
        <w:t>横城矿区</w:t>
      </w:r>
      <w:r>
        <w:rPr>
          <w:rFonts w:ascii="Times New Roman" w:hAnsi="Times New Roman"/>
          <w:bCs/>
          <w:szCs w:val="24"/>
        </w:rPr>
        <w:t>规划矿区行政公共设施位于</w:t>
      </w:r>
      <w:r>
        <w:rPr>
          <w:rFonts w:ascii="Times New Roman" w:hAnsi="Times New Roman" w:hint="eastAsia"/>
          <w:bCs/>
          <w:szCs w:val="24"/>
        </w:rPr>
        <w:t>宁东镇</w:t>
      </w:r>
      <w:r>
        <w:rPr>
          <w:rFonts w:ascii="Times New Roman" w:hAnsi="Times New Roman"/>
          <w:bCs/>
          <w:szCs w:val="24"/>
        </w:rPr>
        <w:t>，居住区设</w:t>
      </w:r>
      <w:r>
        <w:rPr>
          <w:rFonts w:ascii="Times New Roman" w:hAnsi="Times New Roman" w:hint="eastAsia"/>
          <w:bCs/>
          <w:szCs w:val="24"/>
        </w:rPr>
        <w:t>在银川市</w:t>
      </w:r>
      <w:r>
        <w:rPr>
          <w:rFonts w:ascii="Times New Roman" w:hAnsi="Times New Roman"/>
          <w:bCs/>
          <w:szCs w:val="24"/>
        </w:rPr>
        <w:t>。</w:t>
      </w:r>
    </w:p>
    <w:p w14:paraId="48AF4123" w14:textId="77777777" w:rsidR="009C353B" w:rsidRDefault="00000000">
      <w:pPr>
        <w:adjustRightInd w:val="0"/>
        <w:snapToGrid w:val="0"/>
        <w:spacing w:line="440" w:lineRule="exact"/>
        <w:ind w:firstLineChars="200" w:firstLine="480"/>
        <w:rPr>
          <w:rFonts w:ascii="Times New Roman" w:hint="eastAsia"/>
          <w:szCs w:val="24"/>
          <w:lang w:val="zh-CN"/>
        </w:rPr>
      </w:pPr>
      <w:r>
        <w:rPr>
          <w:rFonts w:ascii="Times New Roman" w:hint="eastAsia"/>
          <w:szCs w:val="24"/>
          <w:lang w:val="zh-CN"/>
        </w:rPr>
        <w:t>规划区行政、文教、医疗设施的建设遵循“有利生产，方便生活”的原则统一规划，并充分发挥原灵武矿务局中心区现有设施的作用。中心区是整个矿区的政治、经济和文化中心。该区位于银古公路、灵盐公路交汇处的黎家新庄，地势平坦开阔，交通便利。本区是原灵武矿务局矿区配套建设的中心区，设置有矿区行政、公共福利设施及单身区等。该区建设发展空间大，条件优越。本次规划将本矿区的所有行政、公共福利设施及单身宿舍和职工临时居住区均集中设于该区。</w:t>
      </w:r>
    </w:p>
    <w:p w14:paraId="0662B230"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本次规划的居住区设在银川市。居住区的布置既考虑到居住功能本身的要求，同时还从小社会矛盾的角度来考虑它的其它功能如邻里交往、学习、文化和精神各种活动的要求，最大限度的方便居住购物、休闲等要求，力争创造良好的生活空间。在中心区设置有单身小楼，并配备相应的生活服务设施。</w:t>
      </w:r>
    </w:p>
    <w:p w14:paraId="135A8015"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rPr>
        <w:t>横城矿区地面总布置见图</w:t>
      </w:r>
      <w:r>
        <w:rPr>
          <w:rFonts w:ascii="Times New Roman" w:hAnsi="Times New Roman"/>
        </w:rPr>
        <w:t>2.3-5</w:t>
      </w:r>
      <w:r>
        <w:rPr>
          <w:rFonts w:ascii="Times New Roman"/>
        </w:rPr>
        <w:t>。</w:t>
      </w:r>
    </w:p>
    <w:p w14:paraId="11F0524A" w14:textId="77777777" w:rsidR="009C353B" w:rsidRDefault="00000000">
      <w:pPr>
        <w:pStyle w:val="afffff"/>
        <w:spacing w:line="440" w:lineRule="exact"/>
        <w:ind w:firstLine="450"/>
        <w:rPr>
          <w:rFonts w:ascii="Times New Roman" w:hAnsi="Times New Roman"/>
          <w:b/>
        </w:rPr>
      </w:pPr>
      <w:r>
        <w:rPr>
          <w:rFonts w:ascii="Times New Roman" w:hAnsi="Times New Roman"/>
          <w:b/>
        </w:rPr>
        <w:t>（</w:t>
      </w:r>
      <w:r>
        <w:rPr>
          <w:rFonts w:ascii="Times New Roman" w:hAnsi="Times New Roman"/>
          <w:b/>
        </w:rPr>
        <w:t>4</w:t>
      </w:r>
      <w:r>
        <w:rPr>
          <w:rFonts w:ascii="Times New Roman" w:hAnsi="Times New Roman"/>
          <w:b/>
        </w:rPr>
        <w:t>）临时排矸场地</w:t>
      </w:r>
    </w:p>
    <w:p w14:paraId="4B919E40"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szCs w:val="24"/>
        </w:rPr>
        <w:t>本矿区</w:t>
      </w:r>
      <w:r>
        <w:rPr>
          <w:rFonts w:ascii="Times New Roman" w:hint="eastAsia"/>
          <w:szCs w:val="24"/>
        </w:rPr>
        <w:t>现生产矿井——</w:t>
      </w:r>
      <w:r>
        <w:rPr>
          <w:rFonts w:ascii="Times New Roman"/>
          <w:szCs w:val="24"/>
        </w:rPr>
        <w:t>马莲台矿井、任家庄矿井和红石湾矿井</w:t>
      </w:r>
      <w:r>
        <w:rPr>
          <w:rFonts w:ascii="Times New Roman" w:hint="eastAsia"/>
          <w:szCs w:val="24"/>
        </w:rPr>
        <w:t>。其中任家庄煤矿</w:t>
      </w:r>
      <w:r>
        <w:rPr>
          <w:rFonts w:ascii="Times New Roman"/>
          <w:szCs w:val="24"/>
        </w:rPr>
        <w:t>临时矸石场地</w:t>
      </w:r>
      <w:r>
        <w:rPr>
          <w:rFonts w:ascii="Times New Roman" w:hint="eastAsia"/>
          <w:szCs w:val="24"/>
        </w:rPr>
        <w:t>已服务期满，并覆土绿化完毕；</w:t>
      </w:r>
      <w:r>
        <w:rPr>
          <w:rFonts w:ascii="Times New Roman"/>
          <w:szCs w:val="24"/>
        </w:rPr>
        <w:t>红石湾</w:t>
      </w:r>
      <w:r>
        <w:rPr>
          <w:rFonts w:ascii="Times New Roman" w:hint="eastAsia"/>
          <w:szCs w:val="24"/>
        </w:rPr>
        <w:t>煤矿</w:t>
      </w:r>
      <w:r>
        <w:rPr>
          <w:rFonts w:ascii="Times New Roman"/>
          <w:szCs w:val="24"/>
        </w:rPr>
        <w:t>临时矸石场地</w:t>
      </w:r>
      <w:r>
        <w:rPr>
          <w:rFonts w:ascii="Times New Roman" w:hint="eastAsia"/>
          <w:szCs w:val="24"/>
        </w:rPr>
        <w:t>部分覆土绿化完毕，剩余部分正在使用中；马</w:t>
      </w:r>
      <w:r>
        <w:rPr>
          <w:rFonts w:ascii="Times New Roman"/>
          <w:szCs w:val="24"/>
        </w:rPr>
        <w:t>莲台</w:t>
      </w:r>
      <w:r>
        <w:rPr>
          <w:rFonts w:ascii="Times New Roman" w:hint="eastAsia"/>
          <w:szCs w:val="24"/>
        </w:rPr>
        <w:t>煤矿</w:t>
      </w:r>
      <w:r>
        <w:rPr>
          <w:rFonts w:ascii="Times New Roman"/>
          <w:szCs w:val="24"/>
        </w:rPr>
        <w:t>临时矸石场地</w:t>
      </w:r>
      <w:r>
        <w:rPr>
          <w:rFonts w:ascii="Times New Roman" w:hint="eastAsia"/>
          <w:szCs w:val="24"/>
        </w:rPr>
        <w:t>部分覆土绿化完毕，剩余部分正在使用中，且马</w:t>
      </w:r>
      <w:r>
        <w:rPr>
          <w:rFonts w:ascii="Times New Roman"/>
          <w:szCs w:val="24"/>
        </w:rPr>
        <w:t>莲台</w:t>
      </w:r>
      <w:r>
        <w:rPr>
          <w:rFonts w:ascii="Times New Roman" w:hint="eastAsia"/>
          <w:szCs w:val="24"/>
        </w:rPr>
        <w:t>煤矿接续排矸场地正在建设中。</w:t>
      </w:r>
    </w:p>
    <w:p w14:paraId="2C70CE06"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在建</w:t>
      </w:r>
      <w:r>
        <w:rPr>
          <w:rFonts w:ascii="Times New Roman"/>
          <w:szCs w:val="24"/>
        </w:rPr>
        <w:t>丁家梁矿井</w:t>
      </w:r>
      <w:r>
        <w:rPr>
          <w:rFonts w:ascii="Times New Roman" w:hint="eastAsia"/>
          <w:szCs w:val="24"/>
        </w:rPr>
        <w:t>——生产设施等已基本建成，尚未投入运行。</w:t>
      </w:r>
      <w:r>
        <w:rPr>
          <w:rFonts w:ascii="Times New Roman"/>
          <w:szCs w:val="24"/>
        </w:rPr>
        <w:t>建井期间矸石运至</w:t>
      </w:r>
      <w:r>
        <w:rPr>
          <w:rFonts w:ascii="Times New Roman" w:hint="eastAsia"/>
          <w:szCs w:val="24"/>
        </w:rPr>
        <w:t>工广西侧</w:t>
      </w:r>
      <w:r>
        <w:rPr>
          <w:rFonts w:ascii="Times New Roman"/>
          <w:szCs w:val="24"/>
        </w:rPr>
        <w:t>临时排矸场</w:t>
      </w:r>
      <w:r>
        <w:rPr>
          <w:rFonts w:ascii="Times New Roman" w:hint="eastAsia"/>
          <w:szCs w:val="24"/>
        </w:rPr>
        <w:t>地。</w:t>
      </w:r>
    </w:p>
    <w:p w14:paraId="7E9C8EAC" w14:textId="77777777" w:rsidR="009C353B" w:rsidRDefault="00000000">
      <w:pPr>
        <w:pStyle w:val="afffff"/>
        <w:spacing w:line="440" w:lineRule="exact"/>
        <w:ind w:firstLine="450"/>
        <w:rPr>
          <w:rFonts w:ascii="Times New Roman" w:hAnsi="Times New Roman"/>
          <w:b/>
        </w:rPr>
      </w:pPr>
      <w:r>
        <w:rPr>
          <w:rFonts w:ascii="Times New Roman" w:hAnsi="Times New Roman"/>
          <w:b/>
        </w:rPr>
        <w:t>（</w:t>
      </w:r>
      <w:r>
        <w:rPr>
          <w:rFonts w:ascii="Times New Roman" w:hAnsi="Times New Roman"/>
          <w:b/>
        </w:rPr>
        <w:t>5</w:t>
      </w:r>
      <w:r>
        <w:rPr>
          <w:rFonts w:ascii="Times New Roman" w:hAnsi="Times New Roman"/>
          <w:b/>
        </w:rPr>
        <w:t>）矿区占地</w:t>
      </w:r>
    </w:p>
    <w:p w14:paraId="571A5C29" w14:textId="77777777" w:rsidR="009C353B" w:rsidRDefault="00000000">
      <w:pPr>
        <w:adjustRightInd w:val="0"/>
        <w:snapToGrid w:val="0"/>
        <w:spacing w:line="440" w:lineRule="exact"/>
        <w:ind w:firstLine="480"/>
        <w:jc w:val="left"/>
        <w:rPr>
          <w:rFonts w:ascii="Times New Roman" w:hAnsi="Times New Roman"/>
          <w:szCs w:val="28"/>
        </w:rPr>
      </w:pPr>
      <w:r>
        <w:rPr>
          <w:rFonts w:ascii="Times New Roman" w:hAnsi="Times New Roman" w:hint="eastAsia"/>
          <w:szCs w:val="28"/>
        </w:rPr>
        <w:t>本规划矿区达产时用地汇总表见</w:t>
      </w:r>
      <w:r>
        <w:rPr>
          <w:rFonts w:ascii="Times New Roman" w:hAnsi="Times New Roman" w:hint="eastAsia"/>
          <w:szCs w:val="28"/>
        </w:rPr>
        <w:t>2.3-</w:t>
      </w:r>
      <w:r>
        <w:rPr>
          <w:rFonts w:ascii="Times New Roman" w:hAnsi="Times New Roman"/>
          <w:szCs w:val="28"/>
        </w:rPr>
        <w:t>7</w:t>
      </w:r>
      <w:r>
        <w:rPr>
          <w:rFonts w:ascii="Times New Roman" w:hAnsi="Times New Roman"/>
          <w:szCs w:val="28"/>
        </w:rPr>
        <w:t>。</w:t>
      </w:r>
    </w:p>
    <w:p w14:paraId="294E7E84" w14:textId="77777777" w:rsidR="009C353B" w:rsidRDefault="009C353B">
      <w:pPr>
        <w:adjustRightInd w:val="0"/>
        <w:snapToGrid w:val="0"/>
        <w:spacing w:line="440" w:lineRule="exact"/>
        <w:ind w:firstLine="480"/>
        <w:jc w:val="left"/>
        <w:rPr>
          <w:rFonts w:ascii="Times New Roman" w:hAnsi="Times New Roman"/>
          <w:szCs w:val="28"/>
        </w:rPr>
      </w:pPr>
    </w:p>
    <w:p w14:paraId="43585DD4" w14:textId="77777777" w:rsidR="009C353B" w:rsidRDefault="009C353B">
      <w:pPr>
        <w:adjustRightInd w:val="0"/>
        <w:snapToGrid w:val="0"/>
        <w:spacing w:line="440" w:lineRule="exact"/>
        <w:ind w:firstLine="480"/>
        <w:jc w:val="left"/>
        <w:rPr>
          <w:rFonts w:ascii="Times New Roman" w:hAnsi="Times New Roman"/>
          <w:szCs w:val="28"/>
        </w:rPr>
      </w:pPr>
    </w:p>
    <w:p w14:paraId="3014599F" w14:textId="77777777" w:rsidR="009C353B" w:rsidRDefault="009C353B">
      <w:pPr>
        <w:adjustRightInd w:val="0"/>
        <w:snapToGrid w:val="0"/>
        <w:spacing w:line="440" w:lineRule="exact"/>
        <w:ind w:firstLine="480"/>
        <w:jc w:val="left"/>
        <w:rPr>
          <w:rFonts w:ascii="Times New Roman" w:hAnsi="Times New Roman"/>
          <w:szCs w:val="28"/>
        </w:rPr>
      </w:pPr>
    </w:p>
    <w:p w14:paraId="17BEE6CE" w14:textId="77777777" w:rsidR="009C353B" w:rsidRDefault="009C353B">
      <w:pPr>
        <w:adjustRightInd w:val="0"/>
        <w:snapToGrid w:val="0"/>
        <w:spacing w:line="440" w:lineRule="exact"/>
        <w:ind w:firstLine="480"/>
        <w:jc w:val="left"/>
        <w:rPr>
          <w:rFonts w:ascii="Times New Roman" w:hAnsi="Times New Roman"/>
          <w:szCs w:val="28"/>
        </w:rPr>
      </w:pPr>
    </w:p>
    <w:p w14:paraId="11A92F9A" w14:textId="77777777" w:rsidR="009C353B" w:rsidRDefault="00000000">
      <w:pPr>
        <w:adjustRightInd w:val="0"/>
        <w:snapToGrid w:val="0"/>
        <w:spacing w:line="440" w:lineRule="exact"/>
        <w:jc w:val="center"/>
        <w:rPr>
          <w:rFonts w:ascii="Times New Roman" w:hAnsi="Times New Roman"/>
          <w:b/>
        </w:rPr>
      </w:pPr>
      <w:bookmarkStart w:id="70" w:name="_Hlk48380204"/>
      <w:r>
        <w:rPr>
          <w:rFonts w:ascii="Times New Roman" w:hint="eastAsia"/>
          <w:b/>
        </w:rPr>
        <w:t>达产时矿区</w:t>
      </w:r>
      <w:r>
        <w:rPr>
          <w:rFonts w:ascii="Times New Roman"/>
          <w:b/>
        </w:rPr>
        <w:t>规划</w:t>
      </w:r>
      <w:r>
        <w:rPr>
          <w:rFonts w:ascii="Times New Roman" w:hint="eastAsia"/>
          <w:b/>
        </w:rPr>
        <w:t>占地一览表</w:t>
      </w:r>
    </w:p>
    <w:p w14:paraId="2293D45B" w14:textId="77777777" w:rsidR="009C353B" w:rsidRDefault="00000000">
      <w:pPr>
        <w:pStyle w:val="affffd"/>
        <w:spacing w:line="440" w:lineRule="exact"/>
        <w:ind w:firstLineChars="50" w:firstLine="120"/>
        <w:rPr>
          <w:rFonts w:ascii="Times New Roman" w:hint="eastAsia"/>
        </w:rPr>
      </w:pPr>
      <w:r>
        <w:rPr>
          <w:rFonts w:ascii="Times New Roman"/>
        </w:rPr>
        <w:t>表</w:t>
      </w:r>
      <w:r>
        <w:rPr>
          <w:rFonts w:ascii="Times New Roman"/>
        </w:rPr>
        <w:t>2.3-7</w:t>
      </w:r>
    </w:p>
    <w:tbl>
      <w:tblPr>
        <w:tblW w:w="486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7"/>
        <w:gridCol w:w="2692"/>
        <w:gridCol w:w="1016"/>
        <w:gridCol w:w="1990"/>
        <w:gridCol w:w="2693"/>
      </w:tblGrid>
      <w:tr w:rsidR="009C353B" w14:paraId="46465048" w14:textId="77777777">
        <w:trPr>
          <w:trHeight w:val="686"/>
          <w:jc w:val="center"/>
        </w:trPr>
        <w:tc>
          <w:tcPr>
            <w:tcW w:w="358" w:type="pct"/>
            <w:vAlign w:val="center"/>
          </w:tcPr>
          <w:p w14:paraId="1C465D62"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序号</w:t>
            </w:r>
          </w:p>
        </w:tc>
        <w:tc>
          <w:tcPr>
            <w:tcW w:w="1489" w:type="pct"/>
            <w:vAlign w:val="center"/>
          </w:tcPr>
          <w:p w14:paraId="52794687"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项目名称</w:t>
            </w:r>
          </w:p>
        </w:tc>
        <w:tc>
          <w:tcPr>
            <w:tcW w:w="562" w:type="pct"/>
            <w:vAlign w:val="center"/>
          </w:tcPr>
          <w:p w14:paraId="11937F4A"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单位</w:t>
            </w:r>
          </w:p>
        </w:tc>
        <w:tc>
          <w:tcPr>
            <w:tcW w:w="1101" w:type="pct"/>
            <w:shd w:val="clear" w:color="auto" w:fill="auto"/>
            <w:vAlign w:val="center"/>
          </w:tcPr>
          <w:p w14:paraId="6286EFFB"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工业场地占地面积</w:t>
            </w:r>
          </w:p>
        </w:tc>
        <w:tc>
          <w:tcPr>
            <w:tcW w:w="1490" w:type="pct"/>
            <w:shd w:val="clear" w:color="auto" w:fill="auto"/>
            <w:vAlign w:val="center"/>
          </w:tcPr>
          <w:p w14:paraId="6DB14F91"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备注</w:t>
            </w:r>
          </w:p>
        </w:tc>
      </w:tr>
      <w:tr w:rsidR="009C353B" w14:paraId="3ADB1635" w14:textId="77777777">
        <w:trPr>
          <w:trHeight w:val="338"/>
          <w:jc w:val="center"/>
        </w:trPr>
        <w:tc>
          <w:tcPr>
            <w:tcW w:w="358" w:type="pct"/>
            <w:vAlign w:val="center"/>
          </w:tcPr>
          <w:p w14:paraId="1282B57F"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一</w:t>
            </w:r>
          </w:p>
        </w:tc>
        <w:tc>
          <w:tcPr>
            <w:tcW w:w="1489" w:type="pct"/>
            <w:vAlign w:val="center"/>
          </w:tcPr>
          <w:p w14:paraId="3B798CB9"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矿井</w:t>
            </w:r>
          </w:p>
        </w:tc>
        <w:tc>
          <w:tcPr>
            <w:tcW w:w="562" w:type="pct"/>
            <w:vAlign w:val="center"/>
          </w:tcPr>
          <w:p w14:paraId="411868E7" w14:textId="77777777" w:rsidR="009C353B" w:rsidRDefault="009C353B">
            <w:pPr>
              <w:snapToGrid w:val="0"/>
              <w:jc w:val="center"/>
              <w:rPr>
                <w:rFonts w:ascii="Times New Roman" w:hAnsi="Times New Roman"/>
                <w:sz w:val="21"/>
                <w:szCs w:val="21"/>
              </w:rPr>
            </w:pPr>
          </w:p>
        </w:tc>
        <w:tc>
          <w:tcPr>
            <w:tcW w:w="1101" w:type="pct"/>
            <w:vAlign w:val="center"/>
          </w:tcPr>
          <w:p w14:paraId="607D3BA2" w14:textId="77777777" w:rsidR="009C353B" w:rsidRDefault="009C353B">
            <w:pPr>
              <w:snapToGrid w:val="0"/>
              <w:jc w:val="center"/>
              <w:rPr>
                <w:rFonts w:ascii="Times New Roman" w:hAnsi="Times New Roman"/>
                <w:sz w:val="21"/>
                <w:szCs w:val="21"/>
              </w:rPr>
            </w:pPr>
          </w:p>
        </w:tc>
        <w:tc>
          <w:tcPr>
            <w:tcW w:w="1490" w:type="pct"/>
            <w:vAlign w:val="center"/>
          </w:tcPr>
          <w:p w14:paraId="3F65AE43" w14:textId="77777777" w:rsidR="009C353B" w:rsidRDefault="009C353B">
            <w:pPr>
              <w:snapToGrid w:val="0"/>
              <w:jc w:val="center"/>
              <w:rPr>
                <w:rFonts w:ascii="Times New Roman" w:hAnsi="Times New Roman"/>
                <w:sz w:val="21"/>
                <w:szCs w:val="21"/>
              </w:rPr>
            </w:pPr>
          </w:p>
        </w:tc>
      </w:tr>
      <w:tr w:rsidR="009C353B" w14:paraId="75892AFB" w14:textId="77777777">
        <w:trPr>
          <w:trHeight w:val="338"/>
          <w:jc w:val="center"/>
        </w:trPr>
        <w:tc>
          <w:tcPr>
            <w:tcW w:w="358" w:type="pct"/>
            <w:vAlign w:val="center"/>
          </w:tcPr>
          <w:p w14:paraId="01EFCF3E" w14:textId="77777777" w:rsidR="009C353B" w:rsidRDefault="00000000">
            <w:pPr>
              <w:snapToGrid w:val="0"/>
              <w:jc w:val="center"/>
              <w:rPr>
                <w:rFonts w:ascii="Times New Roman" w:hAnsi="Times New Roman"/>
                <w:sz w:val="21"/>
                <w:szCs w:val="21"/>
              </w:rPr>
            </w:pPr>
            <w:r>
              <w:rPr>
                <w:rFonts w:ascii="Times New Roman" w:hAnsi="Times New Roman"/>
                <w:sz w:val="21"/>
                <w:szCs w:val="21"/>
              </w:rPr>
              <w:t>1</w:t>
            </w:r>
          </w:p>
        </w:tc>
        <w:tc>
          <w:tcPr>
            <w:tcW w:w="1489" w:type="pct"/>
            <w:vAlign w:val="center"/>
          </w:tcPr>
          <w:p w14:paraId="67EE24C9" w14:textId="77777777" w:rsidR="009C353B" w:rsidRDefault="00000000">
            <w:pPr>
              <w:snapToGrid w:val="0"/>
              <w:jc w:val="center"/>
              <w:rPr>
                <w:rFonts w:ascii="Times New Roman" w:hAnsi="Times New Roman"/>
                <w:sz w:val="21"/>
                <w:szCs w:val="21"/>
              </w:rPr>
            </w:pPr>
            <w:r>
              <w:rPr>
                <w:rFonts w:ascii="Times New Roman" w:hAnsi="Times New Roman" w:hint="eastAsia"/>
                <w:bCs/>
                <w:kern w:val="0"/>
                <w:sz w:val="21"/>
                <w:szCs w:val="21"/>
              </w:rPr>
              <w:t>马莲台煤矿及</w:t>
            </w:r>
            <w:r>
              <w:rPr>
                <w:rFonts w:ascii="Times New Roman"/>
                <w:sz w:val="21"/>
                <w:szCs w:val="21"/>
              </w:rPr>
              <w:t>选煤厂</w:t>
            </w:r>
          </w:p>
        </w:tc>
        <w:tc>
          <w:tcPr>
            <w:tcW w:w="562" w:type="pct"/>
            <w:vAlign w:val="center"/>
          </w:tcPr>
          <w:p w14:paraId="360613C1" w14:textId="77777777" w:rsidR="009C353B" w:rsidRDefault="00000000">
            <w:pPr>
              <w:snapToGrid w:val="0"/>
              <w:jc w:val="center"/>
              <w:rPr>
                <w:rFonts w:ascii="Times New Roman" w:hAnsi="Times New Roman"/>
                <w:sz w:val="21"/>
                <w:szCs w:val="21"/>
              </w:rPr>
            </w:pPr>
            <w:r>
              <w:rPr>
                <w:rFonts w:ascii="Times New Roman" w:hAnsi="Times New Roman"/>
                <w:sz w:val="21"/>
                <w:szCs w:val="21"/>
              </w:rPr>
              <w:t>hm²</w:t>
            </w:r>
          </w:p>
        </w:tc>
        <w:tc>
          <w:tcPr>
            <w:tcW w:w="1101" w:type="pct"/>
            <w:vAlign w:val="center"/>
          </w:tcPr>
          <w:p w14:paraId="2230B0B3" w14:textId="77777777" w:rsidR="009C353B" w:rsidRDefault="00000000">
            <w:pPr>
              <w:snapToGrid w:val="0"/>
              <w:jc w:val="center"/>
              <w:rPr>
                <w:rFonts w:ascii="Times New Roman" w:hAnsi="Times New Roman"/>
                <w:sz w:val="21"/>
                <w:szCs w:val="21"/>
              </w:rPr>
            </w:pPr>
            <w:r>
              <w:rPr>
                <w:rFonts w:ascii="Times New Roman" w:hAnsi="Times New Roman"/>
                <w:sz w:val="21"/>
                <w:szCs w:val="21"/>
              </w:rPr>
              <w:t>21.0</w:t>
            </w:r>
          </w:p>
        </w:tc>
        <w:tc>
          <w:tcPr>
            <w:tcW w:w="1490" w:type="pct"/>
            <w:vAlign w:val="center"/>
          </w:tcPr>
          <w:p w14:paraId="40F797D9"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其中既有</w:t>
            </w:r>
            <w:r>
              <w:rPr>
                <w:rFonts w:ascii="Times New Roman" w:hAnsi="Times New Roman"/>
                <w:sz w:val="21"/>
                <w:szCs w:val="21"/>
              </w:rPr>
              <w:t>38.0</w:t>
            </w:r>
          </w:p>
        </w:tc>
      </w:tr>
      <w:tr w:rsidR="009C353B" w14:paraId="7CCFFA81" w14:textId="77777777">
        <w:trPr>
          <w:trHeight w:val="338"/>
          <w:jc w:val="center"/>
        </w:trPr>
        <w:tc>
          <w:tcPr>
            <w:tcW w:w="358" w:type="pct"/>
            <w:vAlign w:val="center"/>
          </w:tcPr>
          <w:p w14:paraId="2A42E681" w14:textId="77777777" w:rsidR="009C353B" w:rsidRDefault="00000000">
            <w:pPr>
              <w:snapToGrid w:val="0"/>
              <w:jc w:val="center"/>
              <w:rPr>
                <w:rFonts w:ascii="Times New Roman" w:hAnsi="Times New Roman"/>
                <w:sz w:val="21"/>
                <w:szCs w:val="21"/>
              </w:rPr>
            </w:pPr>
            <w:r>
              <w:rPr>
                <w:rFonts w:ascii="Times New Roman" w:hAnsi="Times New Roman"/>
                <w:sz w:val="21"/>
                <w:szCs w:val="21"/>
              </w:rPr>
              <w:t>2</w:t>
            </w:r>
          </w:p>
        </w:tc>
        <w:tc>
          <w:tcPr>
            <w:tcW w:w="1489" w:type="pct"/>
            <w:vAlign w:val="center"/>
          </w:tcPr>
          <w:p w14:paraId="6391BE80" w14:textId="77777777" w:rsidR="009C353B" w:rsidRDefault="00000000">
            <w:pPr>
              <w:snapToGrid w:val="0"/>
              <w:jc w:val="center"/>
              <w:rPr>
                <w:rFonts w:ascii="Times New Roman" w:hAnsi="Times New Roman"/>
                <w:sz w:val="21"/>
                <w:szCs w:val="21"/>
              </w:rPr>
            </w:pPr>
            <w:r>
              <w:rPr>
                <w:rFonts w:ascii="Times New Roman" w:hAnsi="Times New Roman" w:hint="eastAsia"/>
                <w:bCs/>
                <w:kern w:val="0"/>
                <w:sz w:val="21"/>
                <w:szCs w:val="21"/>
              </w:rPr>
              <w:t>任家庄煤矿及</w:t>
            </w:r>
            <w:r>
              <w:rPr>
                <w:rFonts w:ascii="Times New Roman"/>
                <w:sz w:val="21"/>
                <w:szCs w:val="21"/>
              </w:rPr>
              <w:t>选煤厂</w:t>
            </w:r>
          </w:p>
        </w:tc>
        <w:tc>
          <w:tcPr>
            <w:tcW w:w="562" w:type="pct"/>
            <w:vAlign w:val="center"/>
          </w:tcPr>
          <w:p w14:paraId="694613F5" w14:textId="77777777" w:rsidR="009C353B" w:rsidRDefault="00000000">
            <w:pPr>
              <w:snapToGrid w:val="0"/>
              <w:jc w:val="center"/>
              <w:rPr>
                <w:rFonts w:ascii="Times New Roman" w:hAnsi="Times New Roman"/>
                <w:sz w:val="21"/>
                <w:szCs w:val="21"/>
              </w:rPr>
            </w:pPr>
            <w:r>
              <w:rPr>
                <w:rFonts w:ascii="Times New Roman" w:hAnsi="Times New Roman"/>
                <w:sz w:val="21"/>
                <w:szCs w:val="21"/>
              </w:rPr>
              <w:t>hm²</w:t>
            </w:r>
          </w:p>
        </w:tc>
        <w:tc>
          <w:tcPr>
            <w:tcW w:w="1101" w:type="pct"/>
            <w:vAlign w:val="center"/>
          </w:tcPr>
          <w:p w14:paraId="40788794" w14:textId="77777777" w:rsidR="009C353B" w:rsidRDefault="00000000">
            <w:pPr>
              <w:snapToGrid w:val="0"/>
              <w:jc w:val="center"/>
              <w:rPr>
                <w:rFonts w:ascii="Times New Roman" w:hAnsi="Times New Roman"/>
                <w:sz w:val="21"/>
                <w:szCs w:val="21"/>
              </w:rPr>
            </w:pPr>
            <w:r>
              <w:rPr>
                <w:rFonts w:ascii="Times New Roman" w:hAnsi="Times New Roman"/>
                <w:sz w:val="21"/>
                <w:szCs w:val="21"/>
              </w:rPr>
              <w:t>13.5</w:t>
            </w:r>
          </w:p>
        </w:tc>
        <w:tc>
          <w:tcPr>
            <w:tcW w:w="1490" w:type="pct"/>
            <w:vAlign w:val="center"/>
          </w:tcPr>
          <w:p w14:paraId="6AF60FFB"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其中既有</w:t>
            </w:r>
            <w:r>
              <w:rPr>
                <w:rFonts w:ascii="Times New Roman" w:hAnsi="Times New Roman"/>
                <w:sz w:val="21"/>
                <w:szCs w:val="21"/>
              </w:rPr>
              <w:t>25.3</w:t>
            </w:r>
          </w:p>
        </w:tc>
      </w:tr>
      <w:tr w:rsidR="009C353B" w14:paraId="3C3FFF17" w14:textId="77777777">
        <w:trPr>
          <w:trHeight w:val="338"/>
          <w:jc w:val="center"/>
        </w:trPr>
        <w:tc>
          <w:tcPr>
            <w:tcW w:w="358" w:type="pct"/>
            <w:vAlign w:val="center"/>
          </w:tcPr>
          <w:p w14:paraId="51CA1D79" w14:textId="77777777" w:rsidR="009C353B" w:rsidRDefault="00000000">
            <w:pPr>
              <w:snapToGrid w:val="0"/>
              <w:jc w:val="center"/>
              <w:rPr>
                <w:rFonts w:ascii="Times New Roman" w:hAnsi="Times New Roman"/>
                <w:sz w:val="21"/>
                <w:szCs w:val="21"/>
              </w:rPr>
            </w:pPr>
            <w:r>
              <w:rPr>
                <w:rFonts w:ascii="Times New Roman" w:hAnsi="Times New Roman"/>
                <w:sz w:val="21"/>
                <w:szCs w:val="21"/>
              </w:rPr>
              <w:t>3</w:t>
            </w:r>
          </w:p>
        </w:tc>
        <w:tc>
          <w:tcPr>
            <w:tcW w:w="1489" w:type="pct"/>
            <w:vAlign w:val="center"/>
          </w:tcPr>
          <w:p w14:paraId="51D9997A" w14:textId="77777777" w:rsidR="009C353B" w:rsidRDefault="00000000">
            <w:pPr>
              <w:snapToGrid w:val="0"/>
              <w:jc w:val="center"/>
              <w:rPr>
                <w:rFonts w:ascii="Times New Roman" w:hAnsi="Times New Roman"/>
                <w:sz w:val="21"/>
                <w:szCs w:val="21"/>
              </w:rPr>
            </w:pPr>
            <w:r>
              <w:rPr>
                <w:rFonts w:ascii="Times New Roman" w:hAnsi="Times New Roman" w:hint="eastAsia"/>
                <w:bCs/>
                <w:kern w:val="0"/>
                <w:sz w:val="21"/>
                <w:szCs w:val="21"/>
              </w:rPr>
              <w:t>红石湾煤矿及</w:t>
            </w:r>
            <w:r>
              <w:rPr>
                <w:rFonts w:ascii="Times New Roman"/>
                <w:sz w:val="21"/>
                <w:szCs w:val="21"/>
              </w:rPr>
              <w:t>选煤厂</w:t>
            </w:r>
          </w:p>
        </w:tc>
        <w:tc>
          <w:tcPr>
            <w:tcW w:w="562" w:type="pct"/>
            <w:vAlign w:val="center"/>
          </w:tcPr>
          <w:p w14:paraId="23E1B417" w14:textId="77777777" w:rsidR="009C353B" w:rsidRDefault="00000000">
            <w:pPr>
              <w:snapToGrid w:val="0"/>
              <w:jc w:val="center"/>
              <w:rPr>
                <w:rFonts w:ascii="Times New Roman" w:hAnsi="Times New Roman"/>
                <w:sz w:val="21"/>
                <w:szCs w:val="21"/>
              </w:rPr>
            </w:pPr>
            <w:r>
              <w:rPr>
                <w:rFonts w:ascii="Times New Roman" w:hAnsi="Times New Roman"/>
                <w:sz w:val="21"/>
                <w:szCs w:val="21"/>
              </w:rPr>
              <w:t>hm²</w:t>
            </w:r>
          </w:p>
        </w:tc>
        <w:tc>
          <w:tcPr>
            <w:tcW w:w="1101" w:type="pct"/>
            <w:vAlign w:val="center"/>
          </w:tcPr>
          <w:p w14:paraId="24C696DF" w14:textId="77777777" w:rsidR="009C353B" w:rsidRDefault="00000000">
            <w:pPr>
              <w:snapToGrid w:val="0"/>
              <w:jc w:val="center"/>
              <w:rPr>
                <w:rFonts w:ascii="Times New Roman" w:hAnsi="Times New Roman"/>
                <w:sz w:val="21"/>
                <w:szCs w:val="21"/>
              </w:rPr>
            </w:pPr>
            <w:r>
              <w:rPr>
                <w:rFonts w:ascii="Times New Roman" w:hAnsi="Times New Roman"/>
                <w:sz w:val="21"/>
                <w:szCs w:val="21"/>
              </w:rPr>
              <w:t>24.36</w:t>
            </w:r>
          </w:p>
        </w:tc>
        <w:tc>
          <w:tcPr>
            <w:tcW w:w="1490" w:type="pct"/>
            <w:vAlign w:val="center"/>
          </w:tcPr>
          <w:p w14:paraId="7196AB8C"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其中既有</w:t>
            </w:r>
            <w:r>
              <w:rPr>
                <w:rFonts w:ascii="Times New Roman" w:hAnsi="Times New Roman"/>
                <w:sz w:val="21"/>
                <w:szCs w:val="21"/>
              </w:rPr>
              <w:t>26.36</w:t>
            </w:r>
          </w:p>
        </w:tc>
      </w:tr>
      <w:tr w:rsidR="009C353B" w14:paraId="27633F84" w14:textId="77777777">
        <w:trPr>
          <w:trHeight w:val="338"/>
          <w:jc w:val="center"/>
        </w:trPr>
        <w:tc>
          <w:tcPr>
            <w:tcW w:w="358" w:type="pct"/>
            <w:vAlign w:val="center"/>
          </w:tcPr>
          <w:p w14:paraId="7E29D81D" w14:textId="77777777" w:rsidR="009C353B" w:rsidRDefault="00000000">
            <w:pPr>
              <w:snapToGrid w:val="0"/>
              <w:jc w:val="center"/>
              <w:rPr>
                <w:rFonts w:ascii="Times New Roman" w:hAnsi="Times New Roman"/>
                <w:sz w:val="21"/>
                <w:szCs w:val="21"/>
              </w:rPr>
            </w:pPr>
            <w:r>
              <w:rPr>
                <w:rFonts w:ascii="Times New Roman" w:hAnsi="Times New Roman"/>
                <w:sz w:val="21"/>
                <w:szCs w:val="21"/>
              </w:rPr>
              <w:t>4</w:t>
            </w:r>
          </w:p>
        </w:tc>
        <w:tc>
          <w:tcPr>
            <w:tcW w:w="1489" w:type="pct"/>
            <w:vAlign w:val="center"/>
          </w:tcPr>
          <w:p w14:paraId="2654CAAC" w14:textId="77777777" w:rsidR="009C353B" w:rsidRDefault="00000000">
            <w:pPr>
              <w:snapToGrid w:val="0"/>
              <w:jc w:val="center"/>
              <w:rPr>
                <w:rFonts w:ascii="Times New Roman" w:hAnsi="Times New Roman"/>
                <w:sz w:val="21"/>
                <w:szCs w:val="21"/>
              </w:rPr>
            </w:pPr>
            <w:r>
              <w:rPr>
                <w:rFonts w:ascii="Times New Roman" w:hAnsi="Times New Roman" w:hint="eastAsia"/>
                <w:bCs/>
                <w:kern w:val="0"/>
                <w:sz w:val="21"/>
                <w:szCs w:val="21"/>
              </w:rPr>
              <w:t>丁家梁煤矿</w:t>
            </w:r>
          </w:p>
        </w:tc>
        <w:tc>
          <w:tcPr>
            <w:tcW w:w="562" w:type="pct"/>
            <w:vAlign w:val="center"/>
          </w:tcPr>
          <w:p w14:paraId="1DEFDEF6" w14:textId="77777777" w:rsidR="009C353B" w:rsidRDefault="00000000">
            <w:pPr>
              <w:snapToGrid w:val="0"/>
              <w:jc w:val="center"/>
              <w:rPr>
                <w:rFonts w:ascii="Times New Roman" w:hAnsi="Times New Roman"/>
                <w:sz w:val="21"/>
                <w:szCs w:val="21"/>
              </w:rPr>
            </w:pPr>
            <w:r>
              <w:rPr>
                <w:rFonts w:ascii="Times New Roman" w:hAnsi="Times New Roman"/>
                <w:sz w:val="21"/>
                <w:szCs w:val="21"/>
              </w:rPr>
              <w:t>hm²</w:t>
            </w:r>
          </w:p>
        </w:tc>
        <w:tc>
          <w:tcPr>
            <w:tcW w:w="1101" w:type="pct"/>
            <w:vAlign w:val="center"/>
          </w:tcPr>
          <w:p w14:paraId="164938DE" w14:textId="77777777" w:rsidR="009C353B" w:rsidRDefault="00000000">
            <w:pPr>
              <w:snapToGrid w:val="0"/>
              <w:jc w:val="center"/>
              <w:rPr>
                <w:rFonts w:ascii="Times New Roman" w:hAnsi="Times New Roman"/>
                <w:sz w:val="21"/>
                <w:szCs w:val="21"/>
              </w:rPr>
            </w:pPr>
            <w:r>
              <w:rPr>
                <w:rFonts w:ascii="Times New Roman" w:hAnsi="Times New Roman"/>
                <w:sz w:val="21"/>
                <w:szCs w:val="21"/>
              </w:rPr>
              <w:t>13.0</w:t>
            </w:r>
          </w:p>
        </w:tc>
        <w:tc>
          <w:tcPr>
            <w:tcW w:w="1490" w:type="pct"/>
            <w:vAlign w:val="center"/>
          </w:tcPr>
          <w:p w14:paraId="12176AA7"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w:t>
            </w:r>
          </w:p>
        </w:tc>
      </w:tr>
      <w:tr w:rsidR="009C353B" w14:paraId="34859D8C" w14:textId="77777777">
        <w:trPr>
          <w:trHeight w:val="338"/>
          <w:jc w:val="center"/>
        </w:trPr>
        <w:tc>
          <w:tcPr>
            <w:tcW w:w="1846" w:type="pct"/>
            <w:gridSpan w:val="2"/>
            <w:vAlign w:val="center"/>
          </w:tcPr>
          <w:p w14:paraId="2588834C"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小计</w:t>
            </w:r>
          </w:p>
        </w:tc>
        <w:tc>
          <w:tcPr>
            <w:tcW w:w="562" w:type="pct"/>
            <w:vAlign w:val="center"/>
          </w:tcPr>
          <w:p w14:paraId="0121B402" w14:textId="77777777" w:rsidR="009C353B" w:rsidRDefault="00000000">
            <w:pPr>
              <w:snapToGrid w:val="0"/>
              <w:jc w:val="center"/>
              <w:rPr>
                <w:rFonts w:ascii="Times New Roman" w:hAnsi="Times New Roman"/>
                <w:sz w:val="21"/>
                <w:szCs w:val="21"/>
              </w:rPr>
            </w:pPr>
            <w:r>
              <w:rPr>
                <w:rFonts w:ascii="Times New Roman" w:hAnsi="Times New Roman"/>
                <w:sz w:val="21"/>
                <w:szCs w:val="21"/>
              </w:rPr>
              <w:t>hm²</w:t>
            </w:r>
          </w:p>
        </w:tc>
        <w:tc>
          <w:tcPr>
            <w:tcW w:w="1101" w:type="pct"/>
            <w:vAlign w:val="center"/>
          </w:tcPr>
          <w:p w14:paraId="05036974" w14:textId="77777777" w:rsidR="009C353B" w:rsidRDefault="00000000">
            <w:pPr>
              <w:snapToGrid w:val="0"/>
              <w:jc w:val="center"/>
              <w:rPr>
                <w:rFonts w:ascii="Times New Roman" w:hAnsi="Times New Roman"/>
                <w:sz w:val="21"/>
                <w:szCs w:val="21"/>
              </w:rPr>
            </w:pPr>
            <w:r>
              <w:rPr>
                <w:rFonts w:ascii="Times New Roman" w:hAnsi="Times New Roman"/>
                <w:sz w:val="21"/>
                <w:szCs w:val="21"/>
              </w:rPr>
              <w:t>71.86</w:t>
            </w:r>
          </w:p>
        </w:tc>
        <w:tc>
          <w:tcPr>
            <w:tcW w:w="1490" w:type="pct"/>
            <w:vAlign w:val="center"/>
          </w:tcPr>
          <w:p w14:paraId="6EF12782"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其中既有</w:t>
            </w:r>
            <w:r>
              <w:rPr>
                <w:rFonts w:ascii="Times New Roman" w:hAnsi="Times New Roman"/>
                <w:sz w:val="21"/>
                <w:szCs w:val="21"/>
              </w:rPr>
              <w:t>87.79</w:t>
            </w:r>
          </w:p>
        </w:tc>
      </w:tr>
      <w:tr w:rsidR="009C353B" w14:paraId="3FC2EC40" w14:textId="77777777">
        <w:trPr>
          <w:trHeight w:val="338"/>
          <w:jc w:val="center"/>
        </w:trPr>
        <w:tc>
          <w:tcPr>
            <w:tcW w:w="358" w:type="pct"/>
            <w:vAlign w:val="center"/>
          </w:tcPr>
          <w:p w14:paraId="04F9CD11"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二</w:t>
            </w:r>
          </w:p>
        </w:tc>
        <w:tc>
          <w:tcPr>
            <w:tcW w:w="1489" w:type="pct"/>
            <w:vAlign w:val="center"/>
          </w:tcPr>
          <w:p w14:paraId="7E3CCA68"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辅助附属企业</w:t>
            </w:r>
          </w:p>
        </w:tc>
        <w:tc>
          <w:tcPr>
            <w:tcW w:w="562" w:type="pct"/>
            <w:vAlign w:val="center"/>
          </w:tcPr>
          <w:p w14:paraId="7D2DF1B0" w14:textId="77777777" w:rsidR="009C353B" w:rsidRDefault="00000000">
            <w:pPr>
              <w:snapToGrid w:val="0"/>
              <w:jc w:val="center"/>
              <w:rPr>
                <w:rFonts w:ascii="Times New Roman" w:hAnsi="Times New Roman"/>
                <w:sz w:val="21"/>
                <w:szCs w:val="21"/>
              </w:rPr>
            </w:pPr>
            <w:r>
              <w:rPr>
                <w:rFonts w:ascii="Times New Roman" w:hAnsi="Times New Roman"/>
                <w:sz w:val="21"/>
                <w:szCs w:val="21"/>
              </w:rPr>
              <w:t>hm²</w:t>
            </w:r>
          </w:p>
        </w:tc>
        <w:tc>
          <w:tcPr>
            <w:tcW w:w="1101" w:type="pct"/>
            <w:vAlign w:val="center"/>
          </w:tcPr>
          <w:p w14:paraId="669DDB28" w14:textId="77777777" w:rsidR="009C353B" w:rsidRDefault="00000000">
            <w:pPr>
              <w:snapToGrid w:val="0"/>
              <w:jc w:val="center"/>
              <w:rPr>
                <w:rFonts w:ascii="Times New Roman" w:hAnsi="Times New Roman"/>
                <w:sz w:val="21"/>
                <w:szCs w:val="21"/>
              </w:rPr>
            </w:pPr>
            <w:r>
              <w:rPr>
                <w:rFonts w:ascii="Times New Roman" w:hAnsi="Times New Roman"/>
                <w:sz w:val="21"/>
                <w:szCs w:val="21"/>
              </w:rPr>
              <w:t>12.05</w:t>
            </w:r>
          </w:p>
        </w:tc>
        <w:tc>
          <w:tcPr>
            <w:tcW w:w="1490" w:type="pct"/>
            <w:vAlign w:val="center"/>
          </w:tcPr>
          <w:p w14:paraId="50ED6EDD"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其中既有</w:t>
            </w:r>
            <w:r>
              <w:rPr>
                <w:rFonts w:ascii="Times New Roman" w:hAnsi="Times New Roman"/>
                <w:sz w:val="21"/>
                <w:szCs w:val="21"/>
              </w:rPr>
              <w:t>12.05</w:t>
            </w:r>
          </w:p>
        </w:tc>
      </w:tr>
      <w:tr w:rsidR="009C353B" w14:paraId="78EF8582" w14:textId="77777777">
        <w:trPr>
          <w:trHeight w:val="338"/>
          <w:jc w:val="center"/>
        </w:trPr>
        <w:tc>
          <w:tcPr>
            <w:tcW w:w="358" w:type="pct"/>
            <w:vAlign w:val="center"/>
          </w:tcPr>
          <w:p w14:paraId="33EE3688"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三</w:t>
            </w:r>
          </w:p>
        </w:tc>
        <w:tc>
          <w:tcPr>
            <w:tcW w:w="1489" w:type="pct"/>
            <w:vAlign w:val="center"/>
          </w:tcPr>
          <w:p w14:paraId="54AECCBB"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行政及其他设施</w:t>
            </w:r>
          </w:p>
        </w:tc>
        <w:tc>
          <w:tcPr>
            <w:tcW w:w="562" w:type="pct"/>
            <w:vAlign w:val="center"/>
          </w:tcPr>
          <w:p w14:paraId="50F10D28" w14:textId="77777777" w:rsidR="009C353B" w:rsidRDefault="00000000">
            <w:pPr>
              <w:snapToGrid w:val="0"/>
              <w:jc w:val="center"/>
              <w:rPr>
                <w:rFonts w:ascii="Times New Roman" w:hAnsi="Times New Roman"/>
                <w:sz w:val="21"/>
                <w:szCs w:val="21"/>
              </w:rPr>
            </w:pPr>
            <w:r>
              <w:rPr>
                <w:rFonts w:ascii="Times New Roman" w:hAnsi="Times New Roman"/>
                <w:sz w:val="21"/>
                <w:szCs w:val="21"/>
              </w:rPr>
              <w:t>hm²</w:t>
            </w:r>
          </w:p>
        </w:tc>
        <w:tc>
          <w:tcPr>
            <w:tcW w:w="1101" w:type="pct"/>
            <w:vAlign w:val="center"/>
          </w:tcPr>
          <w:p w14:paraId="4A928E99" w14:textId="77777777" w:rsidR="009C353B" w:rsidRDefault="00000000">
            <w:pPr>
              <w:snapToGrid w:val="0"/>
              <w:jc w:val="center"/>
              <w:rPr>
                <w:rFonts w:ascii="Times New Roman" w:hAnsi="Times New Roman"/>
                <w:sz w:val="21"/>
                <w:szCs w:val="21"/>
              </w:rPr>
            </w:pPr>
            <w:r>
              <w:rPr>
                <w:rFonts w:ascii="Times New Roman" w:hAnsi="Times New Roman"/>
                <w:sz w:val="21"/>
                <w:szCs w:val="21"/>
              </w:rPr>
              <w:t>111.14</w:t>
            </w:r>
          </w:p>
        </w:tc>
        <w:tc>
          <w:tcPr>
            <w:tcW w:w="1490" w:type="pct"/>
            <w:vAlign w:val="center"/>
          </w:tcPr>
          <w:p w14:paraId="73755FF7"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包括矸石场、中心区</w:t>
            </w:r>
          </w:p>
        </w:tc>
      </w:tr>
      <w:tr w:rsidR="009C353B" w14:paraId="0B1B057D" w14:textId="77777777">
        <w:trPr>
          <w:trHeight w:val="338"/>
          <w:jc w:val="center"/>
        </w:trPr>
        <w:tc>
          <w:tcPr>
            <w:tcW w:w="358" w:type="pct"/>
            <w:vAlign w:val="center"/>
          </w:tcPr>
          <w:p w14:paraId="17E1B2F5"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四</w:t>
            </w:r>
          </w:p>
        </w:tc>
        <w:tc>
          <w:tcPr>
            <w:tcW w:w="1489" w:type="pct"/>
            <w:vAlign w:val="center"/>
          </w:tcPr>
          <w:p w14:paraId="489B15AE"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丁家梁联络公路</w:t>
            </w:r>
          </w:p>
        </w:tc>
        <w:tc>
          <w:tcPr>
            <w:tcW w:w="562" w:type="pct"/>
            <w:vAlign w:val="center"/>
          </w:tcPr>
          <w:p w14:paraId="009B824A" w14:textId="77777777" w:rsidR="009C353B" w:rsidRDefault="00000000">
            <w:pPr>
              <w:snapToGrid w:val="0"/>
              <w:jc w:val="center"/>
              <w:rPr>
                <w:rFonts w:ascii="Times New Roman" w:hAnsi="Times New Roman"/>
                <w:sz w:val="21"/>
                <w:szCs w:val="21"/>
              </w:rPr>
            </w:pPr>
            <w:r>
              <w:rPr>
                <w:rFonts w:ascii="Times New Roman" w:hAnsi="Times New Roman"/>
                <w:sz w:val="21"/>
                <w:szCs w:val="21"/>
              </w:rPr>
              <w:t>hm²</w:t>
            </w:r>
          </w:p>
        </w:tc>
        <w:tc>
          <w:tcPr>
            <w:tcW w:w="1101" w:type="pct"/>
            <w:vAlign w:val="center"/>
          </w:tcPr>
          <w:p w14:paraId="68E20EB2" w14:textId="77777777" w:rsidR="009C353B" w:rsidRDefault="00000000">
            <w:pPr>
              <w:snapToGrid w:val="0"/>
              <w:jc w:val="center"/>
              <w:rPr>
                <w:rFonts w:ascii="Times New Roman" w:hAnsi="Times New Roman"/>
                <w:sz w:val="21"/>
                <w:szCs w:val="21"/>
              </w:rPr>
            </w:pPr>
            <w:r>
              <w:rPr>
                <w:rFonts w:ascii="Times New Roman" w:hAnsi="Times New Roman"/>
                <w:sz w:val="21"/>
                <w:szCs w:val="21"/>
              </w:rPr>
              <w:t>7.5</w:t>
            </w:r>
          </w:p>
        </w:tc>
        <w:tc>
          <w:tcPr>
            <w:tcW w:w="1490" w:type="pct"/>
            <w:vAlign w:val="center"/>
          </w:tcPr>
          <w:p w14:paraId="435ABD3F"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新建公路，已建成</w:t>
            </w:r>
          </w:p>
        </w:tc>
      </w:tr>
      <w:tr w:rsidR="009C353B" w14:paraId="59642106" w14:textId="77777777">
        <w:trPr>
          <w:trHeight w:val="338"/>
          <w:jc w:val="center"/>
        </w:trPr>
        <w:tc>
          <w:tcPr>
            <w:tcW w:w="1846" w:type="pct"/>
            <w:gridSpan w:val="2"/>
            <w:vAlign w:val="center"/>
          </w:tcPr>
          <w:p w14:paraId="26AE3998"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总</w:t>
            </w:r>
            <w:r>
              <w:rPr>
                <w:rFonts w:ascii="Times New Roman" w:hAnsi="Times New Roman"/>
                <w:sz w:val="21"/>
                <w:szCs w:val="21"/>
              </w:rPr>
              <w:t xml:space="preserve"> </w:t>
            </w:r>
            <w:r>
              <w:rPr>
                <w:rFonts w:ascii="Times New Roman" w:hAnsi="Times New Roman" w:hint="eastAsia"/>
                <w:sz w:val="21"/>
                <w:szCs w:val="21"/>
              </w:rPr>
              <w:t>计</w:t>
            </w:r>
          </w:p>
        </w:tc>
        <w:tc>
          <w:tcPr>
            <w:tcW w:w="562" w:type="pct"/>
            <w:vAlign w:val="center"/>
          </w:tcPr>
          <w:p w14:paraId="04E44401" w14:textId="77777777" w:rsidR="009C353B" w:rsidRDefault="009C353B">
            <w:pPr>
              <w:snapToGrid w:val="0"/>
              <w:jc w:val="center"/>
              <w:rPr>
                <w:rFonts w:ascii="Times New Roman" w:hAnsi="Times New Roman"/>
                <w:sz w:val="21"/>
                <w:szCs w:val="21"/>
              </w:rPr>
            </w:pPr>
          </w:p>
        </w:tc>
        <w:tc>
          <w:tcPr>
            <w:tcW w:w="1101" w:type="pct"/>
            <w:vAlign w:val="center"/>
          </w:tcPr>
          <w:p w14:paraId="44118E4A" w14:textId="77777777" w:rsidR="009C353B" w:rsidRDefault="00000000">
            <w:pPr>
              <w:snapToGrid w:val="0"/>
              <w:jc w:val="center"/>
              <w:rPr>
                <w:rFonts w:ascii="Times New Roman" w:hAnsi="Times New Roman"/>
                <w:sz w:val="21"/>
                <w:szCs w:val="21"/>
              </w:rPr>
            </w:pPr>
            <w:r>
              <w:rPr>
                <w:rFonts w:ascii="Times New Roman" w:hAnsi="Times New Roman"/>
                <w:sz w:val="21"/>
                <w:szCs w:val="21"/>
              </w:rPr>
              <w:t>202.555</w:t>
            </w:r>
          </w:p>
        </w:tc>
        <w:tc>
          <w:tcPr>
            <w:tcW w:w="1490" w:type="pct"/>
            <w:vAlign w:val="center"/>
          </w:tcPr>
          <w:p w14:paraId="708C8200"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其中既有</w:t>
            </w:r>
            <w:r>
              <w:rPr>
                <w:rFonts w:ascii="Times New Roman" w:hAnsi="Times New Roman"/>
                <w:sz w:val="21"/>
                <w:szCs w:val="21"/>
              </w:rPr>
              <w:t>195.055</w:t>
            </w:r>
          </w:p>
        </w:tc>
      </w:tr>
    </w:tbl>
    <w:bookmarkEnd w:id="70"/>
    <w:p w14:paraId="7153DA17"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2.3.</w:t>
      </w:r>
      <w:r>
        <w:rPr>
          <w:rFonts w:ascii="Times New Roman" w:eastAsia="宋体" w:hAnsi="Times New Roman"/>
          <w:sz w:val="24"/>
        </w:rPr>
        <w:t xml:space="preserve">6.2 </w:t>
      </w:r>
      <w:r>
        <w:rPr>
          <w:rFonts w:ascii="Times New Roman" w:eastAsia="宋体" w:hAnsi="宋体"/>
          <w:sz w:val="24"/>
        </w:rPr>
        <w:t>矿区防洪排涝</w:t>
      </w:r>
    </w:p>
    <w:p w14:paraId="38E2885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本矿区内没有大的河流。在矿区北部有水洞沟，在矿区东南部有大河子沟，均自东向西流入黄河，水质较差不能饮用。区内其他小的冲沟，平时干枯无水，唯雨季有水，且多为洪水。</w:t>
      </w:r>
    </w:p>
    <w:p w14:paraId="6594248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本矿区防洪设计依据《煤炭企业矿井设计规范》防洪标准：大型矿井工业场地设计频率为</w:t>
      </w:r>
      <w:r>
        <w:rPr>
          <w:rFonts w:ascii="Times New Roman" w:hint="eastAsia"/>
        </w:rPr>
        <w:t>1/100</w:t>
      </w:r>
      <w:r>
        <w:rPr>
          <w:rFonts w:ascii="Times New Roman" w:hint="eastAsia"/>
        </w:rPr>
        <w:t>，井口设计频率</w:t>
      </w:r>
      <w:r>
        <w:rPr>
          <w:rFonts w:ascii="Times New Roman" w:hint="eastAsia"/>
        </w:rPr>
        <w:t>1/100</w:t>
      </w:r>
      <w:r>
        <w:rPr>
          <w:rFonts w:ascii="Times New Roman" w:hint="eastAsia"/>
        </w:rPr>
        <w:t>，校核频率</w:t>
      </w:r>
      <w:r>
        <w:rPr>
          <w:rFonts w:ascii="Times New Roman" w:hint="eastAsia"/>
        </w:rPr>
        <w:t>1/300</w:t>
      </w:r>
      <w:r>
        <w:rPr>
          <w:rFonts w:ascii="Times New Roman" w:hint="eastAsia"/>
        </w:rPr>
        <w:t>。</w:t>
      </w:r>
    </w:p>
    <w:p w14:paraId="7F4A231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本次规划已建及在建矿井工业场地，地势均较高，不受洪水威胁，矿区防洪设计以防暴雨后山洪为主。本阶段矿区内所有场地标高均高于邻近山沟或低洼处</w:t>
      </w:r>
      <w:r>
        <w:rPr>
          <w:rFonts w:ascii="Times New Roman" w:hint="eastAsia"/>
        </w:rPr>
        <w:t>5</w:t>
      </w:r>
      <w:r>
        <w:rPr>
          <w:rFonts w:ascii="Times New Roman" w:hint="eastAsia"/>
        </w:rPr>
        <w:t>～</w:t>
      </w:r>
      <w:r>
        <w:rPr>
          <w:rFonts w:ascii="Times New Roman" w:hint="eastAsia"/>
        </w:rPr>
        <w:t>6m</w:t>
      </w:r>
      <w:r>
        <w:rPr>
          <w:rFonts w:ascii="Times New Roman" w:hint="eastAsia"/>
        </w:rPr>
        <w:t>，能满足防洪设计规范的要求。</w:t>
      </w:r>
      <w:r>
        <w:rPr>
          <w:rFonts w:ascii="Times New Roman" w:hint="eastAsia"/>
        </w:rPr>
        <w:cr/>
        <w:t xml:space="preserve">   </w:t>
      </w:r>
    </w:p>
    <w:p w14:paraId="5A31E1BB" w14:textId="77777777" w:rsidR="009C353B" w:rsidRDefault="00000000">
      <w:pPr>
        <w:pStyle w:val="3"/>
        <w:adjustRightInd w:val="0"/>
        <w:spacing w:before="0" w:after="0" w:line="440" w:lineRule="exact"/>
        <w:rPr>
          <w:rFonts w:ascii="Times New Roman" w:hAnsi="Times New Roman"/>
          <w:sz w:val="24"/>
        </w:rPr>
      </w:pPr>
      <w:r>
        <w:rPr>
          <w:rFonts w:ascii="Times New Roman" w:hAnsi="Times New Roman"/>
          <w:sz w:val="24"/>
        </w:rPr>
        <w:t>2.3</w:t>
      </w:r>
      <w:r>
        <w:rPr>
          <w:rFonts w:ascii="Times New Roman" w:hAnsi="Times New Roman" w:hint="eastAsia"/>
          <w:sz w:val="24"/>
        </w:rPr>
        <w:t>.</w:t>
      </w:r>
      <w:r>
        <w:rPr>
          <w:rFonts w:ascii="Times New Roman" w:hAnsi="Times New Roman"/>
          <w:sz w:val="24"/>
        </w:rPr>
        <w:t xml:space="preserve">7 </w:t>
      </w:r>
      <w:r>
        <w:rPr>
          <w:rFonts w:ascii="Times New Roman"/>
          <w:sz w:val="24"/>
        </w:rPr>
        <w:t>矿区地面运输</w:t>
      </w:r>
    </w:p>
    <w:p w14:paraId="46ADA6D0" w14:textId="77777777" w:rsidR="009C353B" w:rsidRDefault="00000000">
      <w:pPr>
        <w:pStyle w:val="40"/>
        <w:adjustRightInd w:val="0"/>
        <w:spacing w:before="0" w:after="0" w:line="440" w:lineRule="exact"/>
        <w:rPr>
          <w:rFonts w:ascii="Times New Roman" w:eastAsia="宋体" w:hAnsi="宋体" w:hint="eastAsia"/>
          <w:sz w:val="24"/>
        </w:rPr>
      </w:pPr>
      <w:r>
        <w:rPr>
          <w:rFonts w:ascii="Times New Roman" w:eastAsia="宋体" w:hAnsi="Times New Roman"/>
          <w:sz w:val="24"/>
        </w:rPr>
        <w:t>2.3</w:t>
      </w:r>
      <w:r>
        <w:rPr>
          <w:rFonts w:ascii="Times New Roman" w:eastAsia="宋体" w:hAnsi="Times New Roman" w:hint="eastAsia"/>
          <w:sz w:val="24"/>
        </w:rPr>
        <w:t>.</w:t>
      </w:r>
      <w:r>
        <w:rPr>
          <w:rFonts w:ascii="Times New Roman" w:eastAsia="宋体" w:hAnsi="Times New Roman"/>
          <w:sz w:val="24"/>
        </w:rPr>
        <w:t>7.1</w:t>
      </w:r>
      <w:r>
        <w:rPr>
          <w:rFonts w:ascii="Times New Roman" w:eastAsia="宋体" w:hAnsi="宋体"/>
          <w:sz w:val="24"/>
        </w:rPr>
        <w:t>公路</w:t>
      </w:r>
    </w:p>
    <w:p w14:paraId="0EE5584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）矿区现有公路</w:t>
      </w:r>
    </w:p>
    <w:p w14:paraId="0F783FB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煤炭主要用户为宁东能源重化工基地及临河综合工业园区，距矿区内各个选煤厂距离较近，平均</w:t>
      </w:r>
      <w:r>
        <w:rPr>
          <w:rFonts w:ascii="Times New Roman" w:hint="eastAsia"/>
        </w:rPr>
        <w:t>10km</w:t>
      </w:r>
      <w:r>
        <w:rPr>
          <w:rFonts w:ascii="Times New Roman" w:hint="eastAsia"/>
        </w:rPr>
        <w:t>左右，矿区内各矿井至工业园区现有公路网完善，满足现有生产运输需求。</w:t>
      </w:r>
    </w:p>
    <w:p w14:paraId="132FF6A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另外，矿区建设有通至宁东能源化工基地的铁路专用线，</w:t>
      </w:r>
      <w:r>
        <w:rPr>
          <w:rFonts w:ascii="Times New Roman"/>
        </w:rPr>
        <w:t>本次规划推荐</w:t>
      </w:r>
      <w:r>
        <w:rPr>
          <w:rFonts w:ascii="Times New Roman" w:hint="eastAsia"/>
        </w:rPr>
        <w:t>红石湾和任家庄</w:t>
      </w:r>
      <w:r>
        <w:rPr>
          <w:rFonts w:ascii="Times New Roman"/>
        </w:rPr>
        <w:t>矿井采用</w:t>
      </w:r>
      <w:r>
        <w:rPr>
          <w:rFonts w:ascii="Times New Roman" w:hint="eastAsia"/>
        </w:rPr>
        <w:t>铁路专用线运输，马莲台和丁家梁采用公路</w:t>
      </w:r>
      <w:r>
        <w:rPr>
          <w:rFonts w:ascii="Times New Roman"/>
        </w:rPr>
        <w:t>运输。</w:t>
      </w:r>
    </w:p>
    <w:p w14:paraId="3215B1CB" w14:textId="77777777" w:rsidR="009C353B" w:rsidRDefault="00000000">
      <w:pPr>
        <w:adjustRightInd w:val="0"/>
        <w:snapToGrid w:val="0"/>
        <w:spacing w:line="440" w:lineRule="exact"/>
        <w:ind w:firstLine="570"/>
        <w:rPr>
          <w:rFonts w:ascii="Times New Roman" w:hAnsi="Times New Roman"/>
        </w:rPr>
      </w:pPr>
      <w:r>
        <w:rPr>
          <w:rFonts w:ascii="Times New Roman"/>
        </w:rPr>
        <w:t>（</w:t>
      </w:r>
      <w:r>
        <w:rPr>
          <w:rFonts w:ascii="Times New Roman" w:hAnsi="Times New Roman"/>
        </w:rPr>
        <w:t>2</w:t>
      </w:r>
      <w:r>
        <w:rPr>
          <w:rFonts w:ascii="Times New Roman"/>
        </w:rPr>
        <w:t>）新建公路</w:t>
      </w:r>
    </w:p>
    <w:p w14:paraId="055285C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本次新规划丁家梁矿井，规划建设一条道路，即丁家梁矿联络道路。该道路起点与东黎公路相连，向西直至丁家梁矿井工业场地，道路全长</w:t>
      </w:r>
      <w:r>
        <w:rPr>
          <w:rFonts w:ascii="Times New Roman" w:hint="eastAsia"/>
        </w:rPr>
        <w:t>7.00</w:t>
      </w:r>
      <w:r>
        <w:rPr>
          <w:rFonts w:ascii="Times New Roman"/>
        </w:rPr>
        <w:t>km</w:t>
      </w:r>
      <w:r>
        <w:rPr>
          <w:rFonts w:ascii="Times New Roman" w:hint="eastAsia"/>
        </w:rPr>
        <w:t>。该道路按平原微丘区二级厂外道路标准建设，主要担负矿井的整个矿区的内外联系的作用。道路投资丁家梁计入矿井。</w:t>
      </w:r>
      <w:r>
        <w:rPr>
          <w:rFonts w:ascii="Times New Roman"/>
        </w:rPr>
        <w:t>矿区规划道路名称及主要技术标准见表</w:t>
      </w:r>
      <w:r>
        <w:rPr>
          <w:rFonts w:ascii="Times New Roman" w:hAnsi="Times New Roman" w:hint="eastAsia"/>
        </w:rPr>
        <w:t>2.3-</w:t>
      </w:r>
      <w:r>
        <w:rPr>
          <w:rFonts w:ascii="Times New Roman" w:hAnsi="Times New Roman"/>
        </w:rPr>
        <w:t>8</w:t>
      </w:r>
      <w:r>
        <w:rPr>
          <w:rFonts w:ascii="Times New Roman"/>
        </w:rPr>
        <w:t>。</w:t>
      </w:r>
    </w:p>
    <w:p w14:paraId="49E2CC47" w14:textId="77777777" w:rsidR="009C353B" w:rsidRDefault="00000000">
      <w:pPr>
        <w:adjustRightInd w:val="0"/>
        <w:snapToGrid w:val="0"/>
        <w:spacing w:line="440" w:lineRule="exact"/>
        <w:jc w:val="center"/>
        <w:rPr>
          <w:rFonts w:ascii="Times New Roman" w:hint="eastAsia"/>
          <w:b/>
          <w:bCs/>
          <w:spacing w:val="-6"/>
        </w:rPr>
      </w:pPr>
      <w:r>
        <w:rPr>
          <w:rFonts w:ascii="Times New Roman"/>
          <w:b/>
          <w:bCs/>
        </w:rPr>
        <w:t>矿区</w:t>
      </w:r>
      <w:r>
        <w:rPr>
          <w:rFonts w:ascii="Times New Roman"/>
          <w:b/>
          <w:bCs/>
          <w:spacing w:val="-6"/>
        </w:rPr>
        <w:t>规划道路名称及标准表</w:t>
      </w:r>
    </w:p>
    <w:p w14:paraId="1CC3A759" w14:textId="77777777" w:rsidR="009C353B" w:rsidRDefault="00000000">
      <w:pPr>
        <w:pStyle w:val="affffd"/>
        <w:spacing w:line="440" w:lineRule="exact"/>
        <w:ind w:firstLineChars="50" w:firstLine="120"/>
        <w:rPr>
          <w:rFonts w:ascii="Times New Roman" w:hint="eastAsia"/>
        </w:rPr>
      </w:pPr>
      <w:r>
        <w:rPr>
          <w:rFonts w:ascii="Times New Roman"/>
        </w:rPr>
        <w:t>表</w:t>
      </w:r>
      <w:r>
        <w:rPr>
          <w:rFonts w:ascii="Times New Roman" w:hint="eastAsia"/>
        </w:rPr>
        <w:t>2.3-</w:t>
      </w:r>
      <w:r>
        <w:rPr>
          <w:rFonts w:ascii="Times New Roman"/>
        </w:rPr>
        <w:t>8</w:t>
      </w:r>
    </w:p>
    <w:tbl>
      <w:tblPr>
        <w:tblW w:w="9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52"/>
        <w:gridCol w:w="1562"/>
        <w:gridCol w:w="992"/>
        <w:gridCol w:w="992"/>
        <w:gridCol w:w="851"/>
        <w:gridCol w:w="992"/>
        <w:gridCol w:w="823"/>
      </w:tblGrid>
      <w:tr w:rsidR="009C353B" w14:paraId="070D0F8E" w14:textId="77777777">
        <w:trPr>
          <w:trHeight w:val="340"/>
          <w:jc w:val="center"/>
        </w:trPr>
        <w:tc>
          <w:tcPr>
            <w:tcW w:w="2852" w:type="dxa"/>
            <w:shd w:val="clear" w:color="auto" w:fill="auto"/>
            <w:vAlign w:val="center"/>
          </w:tcPr>
          <w:p w14:paraId="18F7B5DC" w14:textId="77777777" w:rsidR="009C353B" w:rsidRDefault="00000000">
            <w:pPr>
              <w:widowControl/>
              <w:snapToGrid w:val="0"/>
              <w:jc w:val="center"/>
              <w:rPr>
                <w:rFonts w:ascii="Times New Roman" w:hint="eastAsia"/>
                <w:kern w:val="0"/>
                <w:sz w:val="21"/>
                <w:szCs w:val="21"/>
              </w:rPr>
            </w:pPr>
            <w:r>
              <w:rPr>
                <w:rFonts w:ascii="Times New Roman" w:hint="eastAsia"/>
                <w:kern w:val="0"/>
                <w:sz w:val="21"/>
                <w:szCs w:val="21"/>
              </w:rPr>
              <w:t>公路名称</w:t>
            </w:r>
          </w:p>
        </w:tc>
        <w:tc>
          <w:tcPr>
            <w:tcW w:w="1562" w:type="dxa"/>
            <w:shd w:val="clear" w:color="auto" w:fill="auto"/>
            <w:vAlign w:val="center"/>
          </w:tcPr>
          <w:p w14:paraId="7208790F" w14:textId="77777777" w:rsidR="009C353B" w:rsidRDefault="00000000">
            <w:pPr>
              <w:widowControl/>
              <w:snapToGrid w:val="0"/>
              <w:jc w:val="center"/>
              <w:rPr>
                <w:rFonts w:ascii="Times New Roman" w:hAnsi="Times New Roman"/>
                <w:kern w:val="0"/>
                <w:sz w:val="21"/>
                <w:szCs w:val="21"/>
              </w:rPr>
            </w:pPr>
            <w:r>
              <w:rPr>
                <w:rFonts w:ascii="Times New Roman" w:hAnsi="Times New Roman" w:hint="eastAsia"/>
                <w:kern w:val="0"/>
                <w:sz w:val="21"/>
                <w:szCs w:val="21"/>
              </w:rPr>
              <w:t>道路</w:t>
            </w:r>
            <w:r>
              <w:rPr>
                <w:rFonts w:ascii="Times New Roman" w:hAnsi="Times New Roman" w:hint="eastAsia"/>
                <w:kern w:val="0"/>
                <w:sz w:val="21"/>
                <w:szCs w:val="21"/>
              </w:rPr>
              <w:t xml:space="preserve">  </w:t>
            </w:r>
            <w:r>
              <w:rPr>
                <w:rFonts w:ascii="Times New Roman" w:hAnsi="Times New Roman" w:hint="eastAsia"/>
                <w:kern w:val="0"/>
                <w:sz w:val="21"/>
                <w:szCs w:val="21"/>
              </w:rPr>
              <w:t>等级</w:t>
            </w:r>
          </w:p>
        </w:tc>
        <w:tc>
          <w:tcPr>
            <w:tcW w:w="992" w:type="dxa"/>
            <w:shd w:val="clear" w:color="auto" w:fill="auto"/>
            <w:vAlign w:val="center"/>
          </w:tcPr>
          <w:p w14:paraId="4A1920DF" w14:textId="77777777" w:rsidR="009C353B" w:rsidRDefault="00000000">
            <w:pPr>
              <w:widowControl/>
              <w:snapToGrid w:val="0"/>
              <w:jc w:val="center"/>
              <w:rPr>
                <w:rFonts w:ascii="Times New Roman" w:hAnsi="Times New Roman"/>
                <w:kern w:val="0"/>
                <w:sz w:val="21"/>
                <w:szCs w:val="21"/>
              </w:rPr>
            </w:pPr>
            <w:r>
              <w:rPr>
                <w:rFonts w:ascii="Times New Roman" w:hAnsi="Times New Roman" w:hint="eastAsia"/>
                <w:kern w:val="0"/>
                <w:sz w:val="21"/>
                <w:szCs w:val="21"/>
              </w:rPr>
              <w:t>路基宽度</w:t>
            </w:r>
            <w:r>
              <w:rPr>
                <w:rFonts w:ascii="Times New Roman" w:hAnsi="Times New Roman" w:hint="eastAsia"/>
                <w:kern w:val="0"/>
                <w:sz w:val="21"/>
                <w:szCs w:val="21"/>
              </w:rPr>
              <w:t>(m)</w:t>
            </w:r>
          </w:p>
        </w:tc>
        <w:tc>
          <w:tcPr>
            <w:tcW w:w="992" w:type="dxa"/>
            <w:shd w:val="clear" w:color="auto" w:fill="auto"/>
            <w:vAlign w:val="center"/>
          </w:tcPr>
          <w:p w14:paraId="410EDE8F" w14:textId="77777777" w:rsidR="009C353B" w:rsidRDefault="00000000">
            <w:pPr>
              <w:widowControl/>
              <w:snapToGrid w:val="0"/>
              <w:jc w:val="center"/>
              <w:rPr>
                <w:rFonts w:ascii="Times New Roman" w:hAnsi="Times New Roman"/>
                <w:kern w:val="0"/>
                <w:sz w:val="21"/>
                <w:szCs w:val="21"/>
              </w:rPr>
            </w:pPr>
            <w:r>
              <w:rPr>
                <w:rFonts w:ascii="Times New Roman" w:hAnsi="Times New Roman" w:hint="eastAsia"/>
                <w:kern w:val="0"/>
                <w:sz w:val="21"/>
                <w:szCs w:val="21"/>
              </w:rPr>
              <w:t>路面宽度</w:t>
            </w:r>
            <w:r>
              <w:rPr>
                <w:rFonts w:ascii="Times New Roman" w:hAnsi="Times New Roman" w:hint="eastAsia"/>
                <w:kern w:val="0"/>
                <w:sz w:val="21"/>
                <w:szCs w:val="21"/>
              </w:rPr>
              <w:t>(m)</w:t>
            </w:r>
          </w:p>
        </w:tc>
        <w:tc>
          <w:tcPr>
            <w:tcW w:w="851" w:type="dxa"/>
            <w:shd w:val="clear" w:color="auto" w:fill="auto"/>
            <w:vAlign w:val="center"/>
          </w:tcPr>
          <w:p w14:paraId="727CDBBA" w14:textId="77777777" w:rsidR="009C353B" w:rsidRDefault="00000000">
            <w:pPr>
              <w:widowControl/>
              <w:snapToGrid w:val="0"/>
              <w:jc w:val="center"/>
              <w:rPr>
                <w:rFonts w:ascii="Times New Roman" w:hAnsi="Times New Roman"/>
                <w:kern w:val="0"/>
                <w:sz w:val="21"/>
                <w:szCs w:val="21"/>
              </w:rPr>
            </w:pPr>
            <w:r>
              <w:rPr>
                <w:rFonts w:ascii="Times New Roman" w:hAnsi="Times New Roman" w:hint="eastAsia"/>
                <w:kern w:val="0"/>
                <w:sz w:val="21"/>
                <w:szCs w:val="21"/>
              </w:rPr>
              <w:t>路面</w:t>
            </w:r>
            <w:r>
              <w:rPr>
                <w:rFonts w:ascii="Times New Roman" w:hAnsi="Times New Roman" w:hint="eastAsia"/>
                <w:kern w:val="0"/>
                <w:sz w:val="21"/>
                <w:szCs w:val="21"/>
              </w:rPr>
              <w:t xml:space="preserve">  </w:t>
            </w:r>
            <w:r>
              <w:rPr>
                <w:rFonts w:ascii="Times New Roman" w:hAnsi="Times New Roman" w:hint="eastAsia"/>
                <w:kern w:val="0"/>
                <w:sz w:val="21"/>
                <w:szCs w:val="21"/>
              </w:rPr>
              <w:t>类型</w:t>
            </w:r>
          </w:p>
        </w:tc>
        <w:tc>
          <w:tcPr>
            <w:tcW w:w="992" w:type="dxa"/>
            <w:shd w:val="clear" w:color="auto" w:fill="auto"/>
            <w:vAlign w:val="center"/>
          </w:tcPr>
          <w:p w14:paraId="3B066F39" w14:textId="77777777" w:rsidR="009C353B" w:rsidRDefault="00000000">
            <w:pPr>
              <w:widowControl/>
              <w:snapToGrid w:val="0"/>
              <w:jc w:val="center"/>
              <w:rPr>
                <w:rFonts w:ascii="Times New Roman" w:hAnsi="Times New Roman"/>
                <w:kern w:val="0"/>
                <w:sz w:val="21"/>
                <w:szCs w:val="21"/>
              </w:rPr>
            </w:pPr>
            <w:r>
              <w:rPr>
                <w:rFonts w:ascii="Times New Roman" w:hAnsi="Times New Roman" w:hint="eastAsia"/>
                <w:kern w:val="0"/>
                <w:sz w:val="21"/>
                <w:szCs w:val="21"/>
              </w:rPr>
              <w:t>长度</w:t>
            </w:r>
            <w:r>
              <w:rPr>
                <w:rFonts w:ascii="Times New Roman" w:hAnsi="Times New Roman" w:hint="eastAsia"/>
                <w:kern w:val="0"/>
                <w:sz w:val="21"/>
                <w:szCs w:val="21"/>
              </w:rPr>
              <w:t>(km)</w:t>
            </w:r>
          </w:p>
        </w:tc>
        <w:tc>
          <w:tcPr>
            <w:tcW w:w="823" w:type="dxa"/>
            <w:shd w:val="clear" w:color="auto" w:fill="auto"/>
            <w:vAlign w:val="center"/>
          </w:tcPr>
          <w:p w14:paraId="00E5B2E8" w14:textId="77777777" w:rsidR="009C353B" w:rsidRDefault="00000000">
            <w:pPr>
              <w:widowControl/>
              <w:snapToGrid w:val="0"/>
              <w:jc w:val="center"/>
              <w:rPr>
                <w:rFonts w:ascii="Times New Roman" w:hAnsi="Times New Roman"/>
                <w:kern w:val="0"/>
                <w:sz w:val="21"/>
                <w:szCs w:val="21"/>
              </w:rPr>
            </w:pPr>
            <w:r>
              <w:rPr>
                <w:rFonts w:ascii="Times New Roman" w:hAnsi="Times New Roman" w:hint="eastAsia"/>
                <w:kern w:val="0"/>
                <w:sz w:val="21"/>
                <w:szCs w:val="21"/>
              </w:rPr>
              <w:t>用地</w:t>
            </w:r>
            <w:r>
              <w:rPr>
                <w:rFonts w:ascii="Times New Roman" w:hAnsi="Times New Roman" w:hint="eastAsia"/>
                <w:kern w:val="0"/>
                <w:sz w:val="21"/>
                <w:szCs w:val="21"/>
              </w:rPr>
              <w:t>(hm</w:t>
            </w:r>
            <w:r>
              <w:rPr>
                <w:rFonts w:ascii="Times New Roman" w:hAnsi="Times New Roman" w:hint="eastAsia"/>
                <w:kern w:val="0"/>
                <w:sz w:val="21"/>
                <w:szCs w:val="21"/>
              </w:rPr>
              <w:t>²</w:t>
            </w:r>
            <w:r>
              <w:rPr>
                <w:rFonts w:ascii="Times New Roman" w:hAnsi="Times New Roman" w:hint="eastAsia"/>
                <w:kern w:val="0"/>
                <w:sz w:val="21"/>
                <w:szCs w:val="21"/>
              </w:rPr>
              <w:t>)</w:t>
            </w:r>
          </w:p>
        </w:tc>
      </w:tr>
      <w:tr w:rsidR="009C353B" w14:paraId="5C4E31F4" w14:textId="77777777">
        <w:trPr>
          <w:trHeight w:val="340"/>
          <w:jc w:val="center"/>
        </w:trPr>
        <w:tc>
          <w:tcPr>
            <w:tcW w:w="2852" w:type="dxa"/>
            <w:shd w:val="clear" w:color="auto" w:fill="auto"/>
            <w:vAlign w:val="center"/>
          </w:tcPr>
          <w:p w14:paraId="1B1A6094" w14:textId="77777777" w:rsidR="009C353B" w:rsidRDefault="00000000">
            <w:pPr>
              <w:widowControl/>
              <w:snapToGrid w:val="0"/>
              <w:jc w:val="center"/>
              <w:rPr>
                <w:rFonts w:ascii="Times New Roman" w:hint="eastAsia"/>
                <w:kern w:val="0"/>
                <w:sz w:val="21"/>
                <w:szCs w:val="21"/>
              </w:rPr>
            </w:pPr>
            <w:r>
              <w:rPr>
                <w:rFonts w:ascii="Times New Roman" w:hint="eastAsia"/>
                <w:kern w:val="0"/>
                <w:sz w:val="21"/>
                <w:szCs w:val="21"/>
              </w:rPr>
              <w:t>丁家梁煤矿联络道路</w:t>
            </w:r>
          </w:p>
        </w:tc>
        <w:tc>
          <w:tcPr>
            <w:tcW w:w="1562" w:type="dxa"/>
            <w:shd w:val="clear" w:color="auto" w:fill="auto"/>
            <w:vAlign w:val="center"/>
          </w:tcPr>
          <w:p w14:paraId="5DF7D043" w14:textId="77777777" w:rsidR="009C353B" w:rsidRDefault="00000000">
            <w:pPr>
              <w:widowControl/>
              <w:snapToGrid w:val="0"/>
              <w:jc w:val="center"/>
              <w:rPr>
                <w:rFonts w:ascii="Times New Roman" w:hAnsi="Times New Roman"/>
                <w:kern w:val="0"/>
                <w:sz w:val="21"/>
                <w:szCs w:val="21"/>
              </w:rPr>
            </w:pPr>
            <w:r>
              <w:rPr>
                <w:rFonts w:ascii="Times New Roman" w:hint="eastAsia"/>
                <w:kern w:val="0"/>
                <w:sz w:val="21"/>
                <w:szCs w:val="21"/>
              </w:rPr>
              <w:t>平原微丘区三级厂外道路</w:t>
            </w:r>
          </w:p>
        </w:tc>
        <w:tc>
          <w:tcPr>
            <w:tcW w:w="992" w:type="dxa"/>
            <w:shd w:val="clear" w:color="auto" w:fill="auto"/>
            <w:vAlign w:val="center"/>
          </w:tcPr>
          <w:p w14:paraId="06FD8F45" w14:textId="77777777" w:rsidR="009C353B" w:rsidRDefault="00000000">
            <w:pPr>
              <w:widowControl/>
              <w:snapToGrid w:val="0"/>
              <w:jc w:val="center"/>
              <w:rPr>
                <w:rFonts w:ascii="Times New Roman" w:hAnsi="Times New Roman"/>
                <w:kern w:val="0"/>
                <w:sz w:val="21"/>
                <w:szCs w:val="21"/>
              </w:rPr>
            </w:pPr>
            <w:r>
              <w:rPr>
                <w:rFonts w:ascii="Times New Roman" w:hAnsi="Times New Roman"/>
                <w:kern w:val="0"/>
                <w:sz w:val="21"/>
                <w:szCs w:val="21"/>
              </w:rPr>
              <w:t>12</w:t>
            </w:r>
          </w:p>
        </w:tc>
        <w:tc>
          <w:tcPr>
            <w:tcW w:w="992" w:type="dxa"/>
            <w:shd w:val="clear" w:color="auto" w:fill="auto"/>
            <w:vAlign w:val="center"/>
          </w:tcPr>
          <w:p w14:paraId="486DFBAB" w14:textId="77777777" w:rsidR="009C353B" w:rsidRDefault="00000000">
            <w:pPr>
              <w:widowControl/>
              <w:snapToGrid w:val="0"/>
              <w:jc w:val="center"/>
              <w:rPr>
                <w:rFonts w:ascii="Times New Roman" w:hAnsi="Times New Roman"/>
                <w:kern w:val="0"/>
                <w:sz w:val="21"/>
                <w:szCs w:val="21"/>
              </w:rPr>
            </w:pPr>
            <w:r>
              <w:rPr>
                <w:rFonts w:ascii="Times New Roman" w:hAnsi="Times New Roman"/>
                <w:kern w:val="0"/>
                <w:sz w:val="21"/>
                <w:szCs w:val="21"/>
              </w:rPr>
              <w:t>9</w:t>
            </w:r>
          </w:p>
        </w:tc>
        <w:tc>
          <w:tcPr>
            <w:tcW w:w="851" w:type="dxa"/>
            <w:shd w:val="clear" w:color="auto" w:fill="auto"/>
            <w:vAlign w:val="center"/>
          </w:tcPr>
          <w:p w14:paraId="3E5CB267" w14:textId="77777777" w:rsidR="009C353B" w:rsidRDefault="00000000">
            <w:pPr>
              <w:widowControl/>
              <w:snapToGrid w:val="0"/>
              <w:jc w:val="center"/>
              <w:rPr>
                <w:rFonts w:ascii="Times New Roman" w:hAnsi="Times New Roman"/>
                <w:kern w:val="0"/>
                <w:sz w:val="21"/>
                <w:szCs w:val="21"/>
              </w:rPr>
            </w:pPr>
            <w:r>
              <w:rPr>
                <w:rFonts w:ascii="Times New Roman" w:hAnsi="Times New Roman" w:hint="eastAsia"/>
                <w:kern w:val="0"/>
                <w:sz w:val="21"/>
                <w:szCs w:val="21"/>
              </w:rPr>
              <w:t>沥青砼</w:t>
            </w:r>
          </w:p>
        </w:tc>
        <w:tc>
          <w:tcPr>
            <w:tcW w:w="992" w:type="dxa"/>
            <w:shd w:val="clear" w:color="auto" w:fill="auto"/>
            <w:vAlign w:val="center"/>
          </w:tcPr>
          <w:p w14:paraId="0534E6BF" w14:textId="77777777" w:rsidR="009C353B" w:rsidRDefault="00000000">
            <w:pPr>
              <w:widowControl/>
              <w:snapToGrid w:val="0"/>
              <w:jc w:val="center"/>
              <w:rPr>
                <w:rFonts w:ascii="Times New Roman" w:hAnsi="Times New Roman"/>
                <w:kern w:val="0"/>
                <w:sz w:val="21"/>
                <w:szCs w:val="21"/>
              </w:rPr>
            </w:pPr>
            <w:r>
              <w:rPr>
                <w:rFonts w:ascii="Times New Roman" w:hAnsi="Times New Roman"/>
                <w:kern w:val="0"/>
                <w:sz w:val="21"/>
                <w:szCs w:val="21"/>
              </w:rPr>
              <w:t>7.00</w:t>
            </w:r>
          </w:p>
        </w:tc>
        <w:tc>
          <w:tcPr>
            <w:tcW w:w="823" w:type="dxa"/>
            <w:shd w:val="clear" w:color="auto" w:fill="auto"/>
            <w:vAlign w:val="center"/>
          </w:tcPr>
          <w:p w14:paraId="5984F23F" w14:textId="77777777" w:rsidR="009C353B" w:rsidRDefault="00000000">
            <w:pPr>
              <w:widowControl/>
              <w:snapToGrid w:val="0"/>
              <w:jc w:val="center"/>
              <w:rPr>
                <w:rFonts w:ascii="Times New Roman" w:hAnsi="Times New Roman"/>
                <w:kern w:val="0"/>
                <w:sz w:val="21"/>
                <w:szCs w:val="21"/>
              </w:rPr>
            </w:pPr>
            <w:r>
              <w:rPr>
                <w:rFonts w:ascii="Times New Roman" w:hAnsi="Times New Roman"/>
                <w:kern w:val="0"/>
                <w:sz w:val="21"/>
                <w:szCs w:val="21"/>
              </w:rPr>
              <w:t>7.5</w:t>
            </w:r>
          </w:p>
        </w:tc>
      </w:tr>
    </w:tbl>
    <w:p w14:paraId="3EDF3A07" w14:textId="77777777" w:rsidR="009C353B" w:rsidRDefault="009C353B">
      <w:pPr>
        <w:adjustRightInd w:val="0"/>
        <w:snapToGrid w:val="0"/>
        <w:spacing w:line="440" w:lineRule="exact"/>
        <w:ind w:firstLineChars="192" w:firstLine="461"/>
        <w:rPr>
          <w:rFonts w:ascii="Times New Roman" w:hint="eastAsia"/>
        </w:rPr>
      </w:pPr>
    </w:p>
    <w:p w14:paraId="14C1F6F6"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2.3</w:t>
      </w:r>
      <w:r>
        <w:rPr>
          <w:rFonts w:ascii="Times New Roman" w:hAnsi="Times New Roman" w:hint="eastAsia"/>
          <w:sz w:val="24"/>
        </w:rPr>
        <w:t>.</w:t>
      </w:r>
      <w:r>
        <w:rPr>
          <w:rFonts w:ascii="Times New Roman" w:hAnsi="Times New Roman"/>
          <w:sz w:val="24"/>
        </w:rPr>
        <w:t xml:space="preserve">8 </w:t>
      </w:r>
      <w:r>
        <w:rPr>
          <w:rFonts w:ascii="Times New Roman"/>
          <w:sz w:val="24"/>
        </w:rPr>
        <w:t>矿区供电、供热规划</w:t>
      </w:r>
    </w:p>
    <w:p w14:paraId="702BFBBA"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w:t>
      </w:r>
      <w:r>
        <w:rPr>
          <w:rFonts w:ascii="Times New Roman" w:eastAsia="宋体" w:hAnsi="Times New Roman"/>
          <w:sz w:val="24"/>
        </w:rPr>
        <w:t xml:space="preserve">8.1 </w:t>
      </w:r>
      <w:r>
        <w:rPr>
          <w:rFonts w:ascii="Times New Roman" w:eastAsia="宋体" w:hAnsi="宋体"/>
          <w:sz w:val="24"/>
        </w:rPr>
        <w:t>矿区供电规划</w:t>
      </w:r>
    </w:p>
    <w:p w14:paraId="62650FE5" w14:textId="77777777" w:rsidR="009C353B" w:rsidRDefault="00000000">
      <w:pPr>
        <w:adjustRightInd w:val="0"/>
        <w:snapToGrid w:val="0"/>
        <w:spacing w:line="440" w:lineRule="exact"/>
        <w:ind w:firstLine="570"/>
        <w:rPr>
          <w:rFonts w:ascii="Times New Roman" w:hint="eastAsia"/>
        </w:rPr>
      </w:pPr>
      <w:r>
        <w:rPr>
          <w:rFonts w:ascii="Times New Roman" w:hint="eastAsia"/>
        </w:rPr>
        <w:t>（</w:t>
      </w:r>
      <w:r>
        <w:rPr>
          <w:rFonts w:ascii="Times New Roman" w:hint="eastAsia"/>
        </w:rPr>
        <w:t>1</w:t>
      </w:r>
      <w:r>
        <w:rPr>
          <w:rFonts w:ascii="Times New Roman" w:hint="eastAsia"/>
        </w:rPr>
        <w:t>）</w:t>
      </w:r>
      <w:r>
        <w:rPr>
          <w:rFonts w:ascii="Times New Roman"/>
        </w:rPr>
        <w:t>矿区</w:t>
      </w:r>
      <w:r>
        <w:rPr>
          <w:rFonts w:ascii="Times New Roman" w:hint="eastAsia"/>
        </w:rPr>
        <w:t>供电现状</w:t>
      </w:r>
    </w:p>
    <w:p w14:paraId="5A1FB1CF" w14:textId="77777777" w:rsidR="009C353B" w:rsidRDefault="00000000">
      <w:pPr>
        <w:adjustRightInd w:val="0"/>
        <w:snapToGrid w:val="0"/>
        <w:spacing w:line="440" w:lineRule="exact"/>
        <w:ind w:firstLine="570"/>
        <w:rPr>
          <w:rFonts w:ascii="Times New Roman" w:hint="eastAsia"/>
        </w:rPr>
      </w:pPr>
      <w:r>
        <w:rPr>
          <w:rFonts w:ascii="Times New Roman" w:hint="eastAsia"/>
        </w:rPr>
        <w:t>目前，任家庄</w:t>
      </w:r>
      <w:r>
        <w:rPr>
          <w:rFonts w:ascii="Times New Roman"/>
        </w:rPr>
        <w:t>矿井</w:t>
      </w:r>
      <w:r>
        <w:rPr>
          <w:rFonts w:ascii="Times New Roman" w:hint="eastAsia"/>
        </w:rPr>
        <w:t>110/35/10kV</w:t>
      </w:r>
      <w:r>
        <w:rPr>
          <w:rFonts w:ascii="Times New Roman"/>
        </w:rPr>
        <w:t>供电工程均已建成运行</w:t>
      </w:r>
      <w:r>
        <w:rPr>
          <w:rFonts w:ascii="Times New Roman" w:hint="eastAsia"/>
        </w:rPr>
        <w:t>，马莲台</w:t>
      </w:r>
      <w:r>
        <w:rPr>
          <w:rFonts w:ascii="Times New Roman"/>
        </w:rPr>
        <w:t>矿井、</w:t>
      </w:r>
      <w:r>
        <w:rPr>
          <w:rFonts w:ascii="Times New Roman" w:hint="eastAsia"/>
        </w:rPr>
        <w:t>红石湾</w:t>
      </w:r>
      <w:r>
        <w:rPr>
          <w:rFonts w:ascii="Times New Roman"/>
        </w:rPr>
        <w:t>矿井和</w:t>
      </w:r>
      <w:r>
        <w:rPr>
          <w:rFonts w:ascii="Times New Roman" w:hint="eastAsia"/>
        </w:rPr>
        <w:t>丁家梁</w:t>
      </w:r>
      <w:r>
        <w:rPr>
          <w:rFonts w:ascii="Times New Roman"/>
        </w:rPr>
        <w:t>矿井的</w:t>
      </w:r>
      <w:r>
        <w:rPr>
          <w:rFonts w:ascii="Times New Roman" w:hint="eastAsia"/>
        </w:rPr>
        <w:t>35</w:t>
      </w:r>
      <w:r>
        <w:rPr>
          <w:rFonts w:ascii="Times New Roman"/>
        </w:rPr>
        <w:t>kV</w:t>
      </w:r>
      <w:r>
        <w:rPr>
          <w:rFonts w:ascii="Times New Roman"/>
        </w:rPr>
        <w:t>供电工程均已建成运行。</w:t>
      </w:r>
    </w:p>
    <w:p w14:paraId="0CF54871" w14:textId="77777777" w:rsidR="009C353B" w:rsidRDefault="00000000">
      <w:pPr>
        <w:adjustRightInd w:val="0"/>
        <w:snapToGrid w:val="0"/>
        <w:spacing w:line="440" w:lineRule="exact"/>
        <w:ind w:firstLine="570"/>
        <w:rPr>
          <w:rFonts w:ascii="Times New Roman" w:hint="eastAsia"/>
        </w:rPr>
      </w:pPr>
      <w:r>
        <w:rPr>
          <w:rFonts w:ascii="Times New Roman" w:hint="eastAsia"/>
        </w:rPr>
        <w:t>任家庄</w:t>
      </w:r>
      <w:r>
        <w:rPr>
          <w:rFonts w:ascii="Times New Roman" w:hint="eastAsia"/>
        </w:rPr>
        <w:t>110/35/10kV</w:t>
      </w:r>
      <w:r>
        <w:rPr>
          <w:rFonts w:ascii="Times New Roman" w:hint="eastAsia"/>
        </w:rPr>
        <w:t>变电所电源引自</w:t>
      </w:r>
      <w:r>
        <w:rPr>
          <w:rFonts w:ascii="Times New Roman" w:hint="eastAsia"/>
        </w:rPr>
        <w:t>330/220/110kV</w:t>
      </w:r>
      <w:r>
        <w:rPr>
          <w:rFonts w:ascii="Times New Roman" w:hint="eastAsia"/>
        </w:rPr>
        <w:t>马跑泉变电所。红石湾、马莲台</w:t>
      </w:r>
      <w:r>
        <w:rPr>
          <w:rFonts w:ascii="Times New Roman" w:hint="eastAsia"/>
        </w:rPr>
        <w:t>35/10kV</w:t>
      </w:r>
      <w:r>
        <w:rPr>
          <w:rFonts w:ascii="Times New Roman" w:hint="eastAsia"/>
        </w:rPr>
        <w:t>变电所两回电源均引自任家庄</w:t>
      </w:r>
      <w:r>
        <w:rPr>
          <w:rFonts w:ascii="Times New Roman" w:hint="eastAsia"/>
        </w:rPr>
        <w:t>110/35/10kV</w:t>
      </w:r>
      <w:r>
        <w:rPr>
          <w:rFonts w:ascii="Times New Roman" w:hint="eastAsia"/>
        </w:rPr>
        <w:t>变电所。丁家梁矿井</w:t>
      </w:r>
      <w:r>
        <w:rPr>
          <w:rFonts w:ascii="Times New Roman" w:hint="eastAsia"/>
        </w:rPr>
        <w:t>35/10kV</w:t>
      </w:r>
      <w:r>
        <w:rPr>
          <w:rFonts w:ascii="Times New Roman" w:hint="eastAsia"/>
        </w:rPr>
        <w:t>变电所已建成尚未投入使用，一回</w:t>
      </w:r>
      <w:r>
        <w:rPr>
          <w:rFonts w:ascii="Times New Roman" w:hint="eastAsia"/>
        </w:rPr>
        <w:t>35kV</w:t>
      </w:r>
      <w:r>
        <w:rPr>
          <w:rFonts w:ascii="Times New Roman" w:hint="eastAsia"/>
        </w:rPr>
        <w:t>电源引自任家庄</w:t>
      </w:r>
      <w:r>
        <w:rPr>
          <w:rFonts w:ascii="Times New Roman" w:hint="eastAsia"/>
        </w:rPr>
        <w:t>110kV</w:t>
      </w:r>
      <w:r>
        <w:rPr>
          <w:rFonts w:ascii="Times New Roman" w:hint="eastAsia"/>
        </w:rPr>
        <w:t>变电所，另一回</w:t>
      </w:r>
      <w:r>
        <w:rPr>
          <w:rFonts w:ascii="Times New Roman" w:hint="eastAsia"/>
        </w:rPr>
        <w:t>35kV</w:t>
      </w:r>
      <w:r>
        <w:rPr>
          <w:rFonts w:ascii="Times New Roman" w:hint="eastAsia"/>
        </w:rPr>
        <w:t>电源引自磁窑堡</w:t>
      </w:r>
      <w:r>
        <w:rPr>
          <w:rFonts w:ascii="Times New Roman" w:hint="eastAsia"/>
        </w:rPr>
        <w:t>110kV</w:t>
      </w:r>
      <w:r>
        <w:rPr>
          <w:rFonts w:ascii="Times New Roman" w:hint="eastAsia"/>
        </w:rPr>
        <w:t>变电所。</w:t>
      </w:r>
    </w:p>
    <w:p w14:paraId="38E8BC4A" w14:textId="77777777" w:rsidR="009C353B" w:rsidRDefault="00000000">
      <w:pPr>
        <w:adjustRightInd w:val="0"/>
        <w:snapToGrid w:val="0"/>
        <w:spacing w:line="440" w:lineRule="exact"/>
        <w:ind w:firstLine="570"/>
        <w:rPr>
          <w:rFonts w:ascii="Times New Roman" w:hint="eastAsia"/>
        </w:rPr>
      </w:pPr>
      <w:r>
        <w:rPr>
          <w:rFonts w:ascii="Times New Roman" w:hint="eastAsia"/>
        </w:rPr>
        <w:t>（</w:t>
      </w:r>
      <w:r>
        <w:rPr>
          <w:rFonts w:ascii="Times New Roman" w:hint="eastAsia"/>
        </w:rPr>
        <w:t>2</w:t>
      </w:r>
      <w:r>
        <w:rPr>
          <w:rFonts w:ascii="Times New Roman" w:hint="eastAsia"/>
        </w:rPr>
        <w:t>）矿区供电负荷</w:t>
      </w:r>
    </w:p>
    <w:p w14:paraId="538C4749" w14:textId="77777777" w:rsidR="009C353B" w:rsidRDefault="00000000">
      <w:pPr>
        <w:adjustRightInd w:val="0"/>
        <w:snapToGrid w:val="0"/>
        <w:spacing w:line="440" w:lineRule="exact"/>
        <w:ind w:firstLine="570"/>
        <w:rPr>
          <w:rFonts w:ascii="Times New Roman" w:hint="eastAsia"/>
        </w:rPr>
      </w:pPr>
      <w:r>
        <w:rPr>
          <w:rFonts w:ascii="Times New Roman"/>
        </w:rPr>
        <w:t>横城矿区总体规划达产规模为</w:t>
      </w:r>
      <w:r>
        <w:rPr>
          <w:rFonts w:ascii="Times New Roman"/>
        </w:rPr>
        <w:t>9.20Mt/a</w:t>
      </w:r>
      <w:r>
        <w:rPr>
          <w:rFonts w:ascii="Times New Roman"/>
        </w:rPr>
        <w:t>时，矿区规划</w:t>
      </w:r>
      <w:r>
        <w:rPr>
          <w:rFonts w:ascii="Times New Roman" w:hint="eastAsia"/>
        </w:rPr>
        <w:t>各煤矿</w:t>
      </w:r>
      <w:r>
        <w:rPr>
          <w:rFonts w:ascii="Times New Roman"/>
        </w:rPr>
        <w:t>用电总负荷达</w:t>
      </w:r>
      <w:r>
        <w:rPr>
          <w:rFonts w:ascii="Times New Roman"/>
        </w:rPr>
        <w:t>52.959</w:t>
      </w:r>
      <w:r>
        <w:rPr>
          <w:rFonts w:ascii="Times New Roman" w:hint="eastAsia"/>
        </w:rPr>
        <w:t>M</w:t>
      </w:r>
      <w:r>
        <w:rPr>
          <w:rFonts w:ascii="Times New Roman"/>
        </w:rPr>
        <w:t>W</w:t>
      </w:r>
      <w:r>
        <w:rPr>
          <w:rFonts w:ascii="Times New Roman"/>
        </w:rPr>
        <w:t>。</w:t>
      </w:r>
    </w:p>
    <w:p w14:paraId="4797A4A5" w14:textId="77777777" w:rsidR="009C353B" w:rsidRDefault="00000000">
      <w:pPr>
        <w:adjustRightInd w:val="0"/>
        <w:snapToGrid w:val="0"/>
        <w:spacing w:line="440" w:lineRule="exact"/>
        <w:ind w:firstLine="570"/>
        <w:rPr>
          <w:rFonts w:ascii="Times New Roman" w:hint="eastAsia"/>
        </w:rPr>
      </w:pPr>
      <w:r>
        <w:rPr>
          <w:rFonts w:ascii="Times New Roman" w:hint="eastAsia"/>
        </w:rPr>
        <w:t>（</w:t>
      </w:r>
      <w:r>
        <w:rPr>
          <w:rFonts w:ascii="Times New Roman" w:hint="eastAsia"/>
        </w:rPr>
        <w:t>3</w:t>
      </w:r>
      <w:r>
        <w:rPr>
          <w:rFonts w:ascii="Times New Roman" w:hint="eastAsia"/>
        </w:rPr>
        <w:t>）矿区供电规划</w:t>
      </w:r>
    </w:p>
    <w:p w14:paraId="1F9421B7" w14:textId="77777777" w:rsidR="009C353B" w:rsidRDefault="00000000">
      <w:pPr>
        <w:adjustRightInd w:val="0"/>
        <w:snapToGrid w:val="0"/>
        <w:spacing w:line="440" w:lineRule="exact"/>
        <w:ind w:firstLine="570"/>
        <w:rPr>
          <w:rFonts w:ascii="Times New Roman" w:hint="eastAsia"/>
        </w:rPr>
      </w:pPr>
      <w:r>
        <w:rPr>
          <w:rFonts w:ascii="Times New Roman" w:hint="eastAsia"/>
        </w:rPr>
        <w:t>本矿区周边电网完善，装机容量充足，且供电距离短（最远</w:t>
      </w:r>
      <w:r>
        <w:rPr>
          <w:rFonts w:ascii="Times New Roman" w:hint="eastAsia"/>
        </w:rPr>
        <w:t>8.6km</w:t>
      </w:r>
      <w:r>
        <w:rPr>
          <w:rFonts w:ascii="Times New Roman" w:hint="eastAsia"/>
        </w:rPr>
        <w:t>）。各矿井均建成供电系统。</w:t>
      </w:r>
    </w:p>
    <w:p w14:paraId="10DE1FCF" w14:textId="77777777" w:rsidR="009C353B" w:rsidRDefault="00000000">
      <w:pPr>
        <w:adjustRightInd w:val="0"/>
        <w:snapToGrid w:val="0"/>
        <w:spacing w:line="440" w:lineRule="exact"/>
        <w:ind w:firstLine="570"/>
        <w:rPr>
          <w:rFonts w:ascii="Times New Roman" w:hint="eastAsia"/>
        </w:rPr>
      </w:pPr>
      <w:r>
        <w:rPr>
          <w:rFonts w:ascii="Times New Roman"/>
        </w:rPr>
        <w:t>矿区规模达到</w:t>
      </w:r>
      <w:r>
        <w:rPr>
          <w:rFonts w:ascii="Times New Roman"/>
        </w:rPr>
        <w:t>9.20Mt/a</w:t>
      </w:r>
      <w:r>
        <w:rPr>
          <w:rFonts w:ascii="Times New Roman"/>
        </w:rPr>
        <w:t>时，</w:t>
      </w:r>
      <w:r>
        <w:rPr>
          <w:rFonts w:ascii="Times New Roman" w:hint="eastAsia"/>
        </w:rPr>
        <w:t>马莲台</w:t>
      </w:r>
      <w:r>
        <w:rPr>
          <w:rFonts w:ascii="Times New Roman"/>
        </w:rPr>
        <w:t>矿井、</w:t>
      </w:r>
      <w:r>
        <w:rPr>
          <w:rFonts w:ascii="Times New Roman" w:hint="eastAsia"/>
        </w:rPr>
        <w:t>红石湾</w:t>
      </w:r>
      <w:r>
        <w:rPr>
          <w:rFonts w:ascii="Times New Roman"/>
        </w:rPr>
        <w:t>矿井、</w:t>
      </w:r>
      <w:r>
        <w:rPr>
          <w:rFonts w:ascii="Times New Roman" w:hint="eastAsia"/>
        </w:rPr>
        <w:t>任家庄</w:t>
      </w:r>
      <w:r>
        <w:rPr>
          <w:rFonts w:ascii="Times New Roman"/>
        </w:rPr>
        <w:t>和</w:t>
      </w:r>
      <w:r>
        <w:rPr>
          <w:rFonts w:ascii="Times New Roman" w:hint="eastAsia"/>
        </w:rPr>
        <w:t>丁家梁</w:t>
      </w:r>
      <w:r>
        <w:rPr>
          <w:rFonts w:ascii="Times New Roman"/>
        </w:rPr>
        <w:t>矿井</w:t>
      </w:r>
      <w:r>
        <w:rPr>
          <w:rFonts w:ascii="Times New Roman" w:hint="eastAsia"/>
        </w:rPr>
        <w:t>供电维持现状不变，可满足各规划矿井生产需求。</w:t>
      </w:r>
    </w:p>
    <w:p w14:paraId="3476EFC3"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2.3.</w:t>
      </w:r>
      <w:r>
        <w:rPr>
          <w:rFonts w:ascii="Times New Roman" w:eastAsia="宋体" w:hAnsi="Times New Roman"/>
          <w:sz w:val="24"/>
        </w:rPr>
        <w:t xml:space="preserve">8.2 </w:t>
      </w:r>
      <w:r>
        <w:rPr>
          <w:rFonts w:ascii="Times New Roman" w:eastAsia="宋体" w:hAnsi="宋体"/>
          <w:sz w:val="24"/>
        </w:rPr>
        <w:t>矿区供热规划</w:t>
      </w:r>
    </w:p>
    <w:p w14:paraId="51D8E215" w14:textId="77777777" w:rsidR="009C353B" w:rsidRDefault="00000000">
      <w:pPr>
        <w:adjustRightInd w:val="0"/>
        <w:snapToGrid w:val="0"/>
        <w:spacing w:line="440" w:lineRule="exact"/>
        <w:ind w:firstLine="570"/>
        <w:rPr>
          <w:rFonts w:ascii="Times New Roman" w:hint="eastAsia"/>
        </w:rPr>
      </w:pPr>
      <w:r>
        <w:rPr>
          <w:rFonts w:ascii="Times New Roman"/>
        </w:rPr>
        <w:t>（</w:t>
      </w:r>
      <w:r>
        <w:rPr>
          <w:rFonts w:ascii="Times New Roman"/>
        </w:rPr>
        <w:t>1</w:t>
      </w:r>
      <w:r>
        <w:rPr>
          <w:rFonts w:ascii="Times New Roman"/>
        </w:rPr>
        <w:t>）现有供热情况</w:t>
      </w:r>
    </w:p>
    <w:p w14:paraId="08661C18" w14:textId="77777777" w:rsidR="009C353B" w:rsidRDefault="00000000">
      <w:pPr>
        <w:adjustRightInd w:val="0"/>
        <w:snapToGrid w:val="0"/>
        <w:spacing w:line="440" w:lineRule="exact"/>
        <w:ind w:firstLine="570"/>
        <w:rPr>
          <w:rFonts w:ascii="Times New Roman" w:hint="eastAsia"/>
        </w:rPr>
      </w:pPr>
      <w:r>
        <w:rPr>
          <w:rFonts w:ascii="Times New Roman" w:hint="eastAsia"/>
        </w:rPr>
        <w:t>马莲台矿井位于临河工业园区内，供热由宁夏宝丰能源集团股份有限公司甲醇厂</w:t>
      </w:r>
      <w:r>
        <w:rPr>
          <w:rFonts w:ascii="Times New Roman"/>
        </w:rPr>
        <w:t>5</w:t>
      </w:r>
      <w:r>
        <w:rPr>
          <w:rFonts w:ascii="Times New Roman" w:hint="eastAsia"/>
        </w:rPr>
        <w:t>×</w:t>
      </w:r>
      <w:r>
        <w:rPr>
          <w:rFonts w:ascii="Times New Roman"/>
        </w:rPr>
        <w:t>25MW</w:t>
      </w:r>
      <w:r>
        <w:rPr>
          <w:rFonts w:ascii="Times New Roman" w:hint="eastAsia"/>
        </w:rPr>
        <w:t>自备热电站供给。</w:t>
      </w:r>
    </w:p>
    <w:p w14:paraId="50507DBD" w14:textId="77777777" w:rsidR="009C353B" w:rsidRDefault="00000000">
      <w:pPr>
        <w:adjustRightInd w:val="0"/>
        <w:snapToGrid w:val="0"/>
        <w:spacing w:line="440" w:lineRule="exact"/>
        <w:ind w:firstLine="570"/>
        <w:rPr>
          <w:rFonts w:ascii="Times New Roman" w:hint="eastAsia"/>
        </w:rPr>
      </w:pPr>
      <w:r>
        <w:rPr>
          <w:rFonts w:ascii="Times New Roman" w:hint="eastAsia"/>
        </w:rPr>
        <w:t>红石湾矿井采用银川中科环保电力有限公司生活垃圾焚烧发电厂余热，通过管道引至矿井，经换热站将热能送至各用热环节。矿井建设</w:t>
      </w:r>
      <w:r>
        <w:rPr>
          <w:rFonts w:ascii="Times New Roman" w:hint="eastAsia"/>
        </w:rPr>
        <w:t>1</w:t>
      </w:r>
      <w:r>
        <w:rPr>
          <w:rFonts w:ascii="Times New Roman" w:hint="eastAsia"/>
        </w:rPr>
        <w:t>条</w:t>
      </w:r>
      <w:r>
        <w:rPr>
          <w:rFonts w:ascii="Times New Roman" w:hint="eastAsia"/>
        </w:rPr>
        <w:t>2200m</w:t>
      </w:r>
      <w:r>
        <w:rPr>
          <w:rFonts w:ascii="Times New Roman" w:hint="eastAsia"/>
        </w:rPr>
        <w:t>蒸汽输送管线，在锅炉房安装</w:t>
      </w:r>
      <w:r>
        <w:rPr>
          <w:rFonts w:ascii="Times New Roman" w:hint="eastAsia"/>
        </w:rPr>
        <w:t>500</w:t>
      </w:r>
      <w:r>
        <w:rPr>
          <w:rFonts w:ascii="Times New Roman" w:hint="eastAsia"/>
        </w:rPr>
        <w:t>卧式波节管式换热器</w:t>
      </w:r>
      <w:r>
        <w:rPr>
          <w:rFonts w:ascii="Times New Roman" w:hint="eastAsia"/>
        </w:rPr>
        <w:t>1</w:t>
      </w:r>
      <w:r>
        <w:rPr>
          <w:rFonts w:ascii="Times New Roman" w:hint="eastAsia"/>
        </w:rPr>
        <w:t>台。生活垃圾焚烧发电厂工业场地西南侧约</w:t>
      </w:r>
      <w:r>
        <w:rPr>
          <w:rFonts w:ascii="Times New Roman" w:hint="eastAsia"/>
        </w:rPr>
        <w:t>2km</w:t>
      </w:r>
      <w:r>
        <w:rPr>
          <w:rFonts w:ascii="Times New Roman" w:hint="eastAsia"/>
        </w:rPr>
        <w:t>。</w:t>
      </w:r>
    </w:p>
    <w:p w14:paraId="3AF49E44" w14:textId="77777777" w:rsidR="009C353B" w:rsidRDefault="00000000">
      <w:pPr>
        <w:adjustRightInd w:val="0"/>
        <w:snapToGrid w:val="0"/>
        <w:spacing w:line="440" w:lineRule="exact"/>
        <w:ind w:firstLine="570"/>
        <w:rPr>
          <w:rFonts w:ascii="Times New Roman" w:hint="eastAsia"/>
        </w:rPr>
      </w:pPr>
      <w:r>
        <w:rPr>
          <w:rFonts w:ascii="Times New Roman" w:hint="eastAsia"/>
        </w:rPr>
        <w:t>任家庄矿井设置燃气锅炉房作为矿井供热热源，燃料采用场地外管道天然气</w:t>
      </w:r>
      <w:r>
        <w:rPr>
          <w:rFonts w:ascii="Times New Roman"/>
        </w:rPr>
        <w:t>。</w:t>
      </w:r>
      <w:r>
        <w:rPr>
          <w:rFonts w:ascii="Times New Roman" w:hint="eastAsia"/>
        </w:rPr>
        <w:t>主</w:t>
      </w:r>
      <w:r>
        <w:rPr>
          <w:rFonts w:ascii="Times New Roman"/>
        </w:rPr>
        <w:t>工业</w:t>
      </w:r>
      <w:r>
        <w:rPr>
          <w:rFonts w:ascii="Times New Roman" w:hint="eastAsia"/>
        </w:rPr>
        <w:t>场地设</w:t>
      </w:r>
      <w:r>
        <w:rPr>
          <w:rFonts w:ascii="Times New Roman" w:hint="eastAsia"/>
        </w:rPr>
        <w:t>2</w:t>
      </w:r>
      <w:r>
        <w:rPr>
          <w:rFonts w:ascii="Times New Roman" w:hint="eastAsia"/>
        </w:rPr>
        <w:t>台</w:t>
      </w:r>
      <w:r>
        <w:rPr>
          <w:rFonts w:ascii="Times New Roman" w:hint="eastAsia"/>
        </w:rPr>
        <w:t>20t/h</w:t>
      </w:r>
      <w:r>
        <w:rPr>
          <w:rFonts w:ascii="Times New Roman" w:hint="eastAsia"/>
        </w:rPr>
        <w:t>燃气锅炉，副立井</w:t>
      </w:r>
      <w:r>
        <w:rPr>
          <w:rFonts w:ascii="Times New Roman"/>
        </w:rPr>
        <w:t>场地</w:t>
      </w:r>
      <w:r>
        <w:rPr>
          <w:rFonts w:ascii="Times New Roman" w:hint="eastAsia"/>
        </w:rPr>
        <w:t>设</w:t>
      </w:r>
      <w:r>
        <w:rPr>
          <w:rFonts w:ascii="Times New Roman" w:hint="eastAsia"/>
        </w:rPr>
        <w:t>4</w:t>
      </w:r>
      <w:r>
        <w:rPr>
          <w:rFonts w:ascii="Times New Roman" w:hint="eastAsia"/>
        </w:rPr>
        <w:t>台</w:t>
      </w:r>
      <w:r>
        <w:rPr>
          <w:rFonts w:ascii="Times New Roman" w:hint="eastAsia"/>
        </w:rPr>
        <w:t>4t/h</w:t>
      </w:r>
      <w:r>
        <w:rPr>
          <w:rFonts w:ascii="Times New Roman" w:hint="eastAsia"/>
        </w:rPr>
        <w:t>燃气</w:t>
      </w:r>
      <w:r>
        <w:rPr>
          <w:rFonts w:ascii="Times New Roman"/>
        </w:rPr>
        <w:t>锅炉，解决矿井工业场地及选煤厂采暖、洗浴、井筒防冻等的用热需求</w:t>
      </w:r>
      <w:r>
        <w:rPr>
          <w:rFonts w:ascii="Times New Roman" w:hint="eastAsia"/>
        </w:rPr>
        <w:t>。</w:t>
      </w:r>
    </w:p>
    <w:p w14:paraId="5568720A" w14:textId="77777777" w:rsidR="009C353B" w:rsidRDefault="00000000">
      <w:pPr>
        <w:adjustRightInd w:val="0"/>
        <w:snapToGrid w:val="0"/>
        <w:spacing w:line="440" w:lineRule="exact"/>
        <w:ind w:firstLine="570"/>
        <w:rPr>
          <w:rFonts w:ascii="Times New Roman" w:hint="eastAsia"/>
        </w:rPr>
      </w:pPr>
      <w:r>
        <w:rPr>
          <w:rFonts w:ascii="Times New Roman"/>
        </w:rPr>
        <w:t>矿区辅助生产区及居住区</w:t>
      </w:r>
      <w:r>
        <w:rPr>
          <w:rFonts w:ascii="Times New Roman" w:hint="eastAsia"/>
        </w:rPr>
        <w:t>均设在宁东镇，并依托宁东镇现有设施予以解决。</w:t>
      </w:r>
    </w:p>
    <w:p w14:paraId="22EBD395" w14:textId="77777777" w:rsidR="009C353B" w:rsidRDefault="00000000">
      <w:pPr>
        <w:adjustRightInd w:val="0"/>
        <w:snapToGrid w:val="0"/>
        <w:spacing w:line="440" w:lineRule="exact"/>
        <w:ind w:firstLine="570"/>
        <w:rPr>
          <w:rFonts w:ascii="Times New Roman" w:hint="eastAsia"/>
        </w:rPr>
      </w:pPr>
      <w:r>
        <w:rPr>
          <w:rFonts w:ascii="Times New Roman"/>
        </w:rPr>
        <w:t>（</w:t>
      </w:r>
      <w:r>
        <w:rPr>
          <w:rFonts w:ascii="Times New Roman"/>
        </w:rPr>
        <w:t>2</w:t>
      </w:r>
      <w:r>
        <w:rPr>
          <w:rFonts w:ascii="Times New Roman"/>
        </w:rPr>
        <w:t>）规划</w:t>
      </w:r>
      <w:r>
        <w:rPr>
          <w:rFonts w:ascii="Times New Roman" w:hint="eastAsia"/>
        </w:rPr>
        <w:t>供热</w:t>
      </w:r>
      <w:r>
        <w:rPr>
          <w:rFonts w:ascii="Times New Roman"/>
        </w:rPr>
        <w:t>负荷</w:t>
      </w:r>
    </w:p>
    <w:p w14:paraId="4C20CED3" w14:textId="77777777" w:rsidR="009C353B" w:rsidRDefault="00000000">
      <w:pPr>
        <w:adjustRightInd w:val="0"/>
        <w:snapToGrid w:val="0"/>
        <w:spacing w:line="440" w:lineRule="exact"/>
        <w:ind w:firstLine="570"/>
        <w:rPr>
          <w:rFonts w:ascii="Times New Roman" w:hint="eastAsia"/>
        </w:rPr>
      </w:pPr>
      <w:r>
        <w:rPr>
          <w:rFonts w:ascii="Times New Roman"/>
        </w:rPr>
        <w:t>矿区</w:t>
      </w:r>
      <w:r>
        <w:rPr>
          <w:rFonts w:ascii="Times New Roman" w:hint="eastAsia"/>
        </w:rPr>
        <w:t>规划</w:t>
      </w:r>
      <w:r>
        <w:rPr>
          <w:rFonts w:ascii="Times New Roman"/>
        </w:rPr>
        <w:t>各矿、居住区</w:t>
      </w:r>
      <w:r>
        <w:rPr>
          <w:rFonts w:ascii="Times New Roman" w:hint="eastAsia"/>
        </w:rPr>
        <w:t>、辅助企业区等供</w:t>
      </w:r>
      <w:r>
        <w:rPr>
          <w:rFonts w:ascii="Times New Roman"/>
        </w:rPr>
        <w:t>热</w:t>
      </w:r>
      <w:r>
        <w:rPr>
          <w:rFonts w:ascii="Times New Roman" w:hint="eastAsia"/>
        </w:rPr>
        <w:t>总</w:t>
      </w:r>
      <w:r>
        <w:rPr>
          <w:rFonts w:ascii="Times New Roman"/>
        </w:rPr>
        <w:t>负荷</w:t>
      </w:r>
      <w:r>
        <w:rPr>
          <w:rFonts w:ascii="Times New Roman" w:hint="eastAsia"/>
        </w:rPr>
        <w:t>为</w:t>
      </w:r>
      <w:r>
        <w:rPr>
          <w:rFonts w:ascii="Times New Roman"/>
        </w:rPr>
        <w:t>103.6</w:t>
      </w:r>
      <w:r>
        <w:rPr>
          <w:rFonts w:ascii="Times New Roman" w:hint="eastAsia"/>
        </w:rPr>
        <w:t>MW</w:t>
      </w:r>
      <w:r>
        <w:rPr>
          <w:rFonts w:ascii="Times New Roman" w:hint="eastAsia"/>
        </w:rPr>
        <w:t>，详</w:t>
      </w:r>
      <w:r>
        <w:rPr>
          <w:rFonts w:ascii="Times New Roman"/>
        </w:rPr>
        <w:t>见表</w:t>
      </w:r>
      <w:r>
        <w:rPr>
          <w:rFonts w:ascii="Times New Roman" w:hint="eastAsia"/>
        </w:rPr>
        <w:t>2.3-</w:t>
      </w:r>
      <w:r>
        <w:rPr>
          <w:rFonts w:ascii="Times New Roman"/>
        </w:rPr>
        <w:t>9</w:t>
      </w:r>
      <w:r>
        <w:rPr>
          <w:rFonts w:ascii="Times New Roman"/>
        </w:rPr>
        <w:t>。</w:t>
      </w:r>
    </w:p>
    <w:p w14:paraId="21AB4A5F" w14:textId="77777777" w:rsidR="009C353B" w:rsidRDefault="00000000">
      <w:pPr>
        <w:adjustRightInd w:val="0"/>
        <w:snapToGrid w:val="0"/>
        <w:spacing w:line="440" w:lineRule="exact"/>
        <w:ind w:firstLine="570"/>
        <w:rPr>
          <w:rFonts w:ascii="Times New Roman" w:hint="eastAsia"/>
        </w:rPr>
      </w:pPr>
      <w:r>
        <w:rPr>
          <w:rFonts w:ascii="Times New Roman" w:hint="eastAsia"/>
        </w:rPr>
        <w:t>（</w:t>
      </w:r>
      <w:r>
        <w:rPr>
          <w:rFonts w:ascii="Times New Roman" w:hint="eastAsia"/>
        </w:rPr>
        <w:t>3</w:t>
      </w:r>
      <w:r>
        <w:rPr>
          <w:rFonts w:ascii="Times New Roman" w:hint="eastAsia"/>
        </w:rPr>
        <w:t>）</w:t>
      </w:r>
      <w:r>
        <w:rPr>
          <w:rFonts w:ascii="Times New Roman"/>
        </w:rPr>
        <w:t>供热</w:t>
      </w:r>
      <w:r>
        <w:rPr>
          <w:rFonts w:ascii="Times New Roman" w:hint="eastAsia"/>
        </w:rPr>
        <w:t>规划</w:t>
      </w:r>
    </w:p>
    <w:p w14:paraId="4350F08F" w14:textId="77777777" w:rsidR="009C353B" w:rsidRDefault="00000000">
      <w:pPr>
        <w:adjustRightInd w:val="0"/>
        <w:snapToGrid w:val="0"/>
        <w:spacing w:line="440" w:lineRule="exact"/>
        <w:ind w:firstLine="570"/>
        <w:rPr>
          <w:rFonts w:ascii="Times New Roman" w:hint="eastAsia"/>
        </w:rPr>
      </w:pPr>
      <w:r>
        <w:rPr>
          <w:rFonts w:ascii="Times New Roman" w:hint="eastAsia"/>
        </w:rPr>
        <w:t>马莲台矿井、红石湾矿井、任家庄</w:t>
      </w:r>
      <w:r>
        <w:rPr>
          <w:rFonts w:ascii="Times New Roman"/>
        </w:rPr>
        <w:t>矿井</w:t>
      </w:r>
      <w:r>
        <w:rPr>
          <w:rFonts w:ascii="Times New Roman" w:hint="eastAsia"/>
        </w:rPr>
        <w:t>保持现状供热方式不变。</w:t>
      </w:r>
    </w:p>
    <w:p w14:paraId="132973D2" w14:textId="77777777" w:rsidR="009C353B" w:rsidRDefault="00000000">
      <w:pPr>
        <w:adjustRightInd w:val="0"/>
        <w:snapToGrid w:val="0"/>
        <w:spacing w:line="440" w:lineRule="exact"/>
        <w:ind w:firstLine="570"/>
        <w:rPr>
          <w:rFonts w:ascii="Times New Roman" w:hint="eastAsia"/>
        </w:rPr>
      </w:pPr>
      <w:r>
        <w:rPr>
          <w:rFonts w:ascii="Times New Roman" w:hint="eastAsia"/>
        </w:rPr>
        <w:t>丁家梁矿井建设燃气锅炉房一座，内设两台</w:t>
      </w:r>
      <w:r>
        <w:rPr>
          <w:rFonts w:ascii="Times New Roman" w:hint="eastAsia"/>
        </w:rPr>
        <w:t>1</w:t>
      </w:r>
      <w:r>
        <w:rPr>
          <w:rFonts w:ascii="Times New Roman"/>
        </w:rPr>
        <w:t>0</w:t>
      </w:r>
      <w:r>
        <w:rPr>
          <w:rFonts w:ascii="Times New Roman" w:hint="eastAsia"/>
        </w:rPr>
        <w:t>t</w:t>
      </w:r>
      <w:r>
        <w:rPr>
          <w:rFonts w:ascii="Times New Roman"/>
        </w:rPr>
        <w:t>/h</w:t>
      </w:r>
      <w:r>
        <w:rPr>
          <w:rFonts w:ascii="Times New Roman" w:hint="eastAsia"/>
        </w:rPr>
        <w:t>的燃气锅炉，为矿井供热。</w:t>
      </w:r>
    </w:p>
    <w:p w14:paraId="384CF8E9" w14:textId="77777777" w:rsidR="009C353B" w:rsidRDefault="00000000">
      <w:pPr>
        <w:adjustRightInd w:val="0"/>
        <w:snapToGrid w:val="0"/>
        <w:spacing w:line="440" w:lineRule="exact"/>
        <w:ind w:firstLine="570"/>
        <w:rPr>
          <w:rFonts w:ascii="Times New Roman" w:hint="eastAsia"/>
        </w:rPr>
      </w:pPr>
      <w:r>
        <w:rPr>
          <w:rFonts w:ascii="Times New Roman"/>
        </w:rPr>
        <w:t>供热规划方案见表</w:t>
      </w:r>
      <w:r>
        <w:rPr>
          <w:rFonts w:ascii="Times New Roman"/>
        </w:rPr>
        <w:t>2.3-9</w:t>
      </w:r>
      <w:r>
        <w:rPr>
          <w:rFonts w:ascii="Times New Roman"/>
        </w:rPr>
        <w:t>。</w:t>
      </w:r>
    </w:p>
    <w:p w14:paraId="7BF5D044" w14:textId="77777777" w:rsidR="009C353B" w:rsidRDefault="00000000">
      <w:pPr>
        <w:pStyle w:val="af9"/>
        <w:adjustRightInd w:val="0"/>
        <w:snapToGrid w:val="0"/>
        <w:spacing w:after="0" w:line="440" w:lineRule="exact"/>
        <w:ind w:leftChars="0" w:left="0"/>
        <w:jc w:val="center"/>
        <w:rPr>
          <w:rFonts w:ascii="Times New Roman" w:hAnsi="Times New Roman"/>
          <w:b/>
          <w:bCs/>
          <w:sz w:val="24"/>
          <w:szCs w:val="24"/>
        </w:rPr>
      </w:pPr>
      <w:r>
        <w:rPr>
          <w:rFonts w:ascii="Times New Roman"/>
          <w:b/>
          <w:bCs/>
          <w:sz w:val="24"/>
          <w:szCs w:val="24"/>
        </w:rPr>
        <w:t>供热规划表</w:t>
      </w:r>
    </w:p>
    <w:p w14:paraId="2043C7CD" w14:textId="77777777" w:rsidR="009C353B" w:rsidRDefault="00000000">
      <w:pPr>
        <w:pStyle w:val="affffd"/>
        <w:spacing w:line="440" w:lineRule="exact"/>
        <w:rPr>
          <w:rFonts w:ascii="Times New Roman" w:hint="eastAsia"/>
        </w:rPr>
      </w:pPr>
      <w:r>
        <w:rPr>
          <w:rFonts w:ascii="Times New Roman"/>
        </w:rPr>
        <w:t>表</w:t>
      </w:r>
      <w:r>
        <w:rPr>
          <w:rFonts w:ascii="Times New Roman"/>
        </w:rPr>
        <w:t>2.3-9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669"/>
        <w:gridCol w:w="1682"/>
        <w:gridCol w:w="1543"/>
        <w:gridCol w:w="2662"/>
        <w:gridCol w:w="1122"/>
        <w:gridCol w:w="1507"/>
      </w:tblGrid>
      <w:tr w:rsidR="009C353B" w14:paraId="78C05D62" w14:textId="77777777">
        <w:trPr>
          <w:cantSplit/>
          <w:trHeight w:val="374"/>
        </w:trPr>
        <w:tc>
          <w:tcPr>
            <w:tcW w:w="675" w:type="dxa"/>
            <w:shd w:val="clear" w:color="auto" w:fill="auto"/>
            <w:vAlign w:val="center"/>
          </w:tcPr>
          <w:p w14:paraId="6354CA21"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序号</w:t>
            </w:r>
          </w:p>
        </w:tc>
        <w:tc>
          <w:tcPr>
            <w:tcW w:w="1701" w:type="dxa"/>
            <w:shd w:val="clear" w:color="auto" w:fill="auto"/>
            <w:vAlign w:val="center"/>
          </w:tcPr>
          <w:p w14:paraId="46DB38D7"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int="eastAsia"/>
                <w:szCs w:val="21"/>
              </w:rPr>
              <w:t>项目名称</w:t>
            </w:r>
          </w:p>
        </w:tc>
        <w:tc>
          <w:tcPr>
            <w:tcW w:w="1560" w:type="dxa"/>
            <w:vAlign w:val="center"/>
          </w:tcPr>
          <w:p w14:paraId="63207CAD"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Ansi="Times New Roman" w:hint="eastAsia"/>
                <w:szCs w:val="21"/>
              </w:rPr>
              <w:t>供热负荷</w:t>
            </w:r>
            <w:r>
              <w:rPr>
                <w:rFonts w:ascii="Times New Roman" w:hAnsi="Times New Roman" w:hint="eastAsia"/>
                <w:szCs w:val="21"/>
              </w:rPr>
              <w:t>MW</w:t>
            </w:r>
          </w:p>
        </w:tc>
        <w:tc>
          <w:tcPr>
            <w:tcW w:w="2693" w:type="dxa"/>
            <w:vAlign w:val="center"/>
          </w:tcPr>
          <w:p w14:paraId="705BDA40"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int="eastAsia"/>
                <w:szCs w:val="21"/>
              </w:rPr>
              <w:t>供热热源</w:t>
            </w:r>
          </w:p>
        </w:tc>
        <w:tc>
          <w:tcPr>
            <w:tcW w:w="1134" w:type="dxa"/>
            <w:shd w:val="clear" w:color="auto" w:fill="auto"/>
            <w:vAlign w:val="center"/>
          </w:tcPr>
          <w:p w14:paraId="0ED0CE8D"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供热距离</w:t>
            </w:r>
          </w:p>
        </w:tc>
        <w:tc>
          <w:tcPr>
            <w:tcW w:w="1524" w:type="dxa"/>
            <w:vAlign w:val="center"/>
          </w:tcPr>
          <w:p w14:paraId="7B90B017"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备注</w:t>
            </w:r>
          </w:p>
        </w:tc>
      </w:tr>
      <w:tr w:rsidR="009C353B" w14:paraId="51F88BA8" w14:textId="77777777">
        <w:trPr>
          <w:cantSplit/>
          <w:trHeight w:val="312"/>
        </w:trPr>
        <w:tc>
          <w:tcPr>
            <w:tcW w:w="675" w:type="dxa"/>
            <w:shd w:val="clear" w:color="auto" w:fill="auto"/>
            <w:vAlign w:val="center"/>
          </w:tcPr>
          <w:p w14:paraId="06CB82B3"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一</w:t>
            </w:r>
          </w:p>
        </w:tc>
        <w:tc>
          <w:tcPr>
            <w:tcW w:w="1701" w:type="dxa"/>
            <w:shd w:val="clear" w:color="auto" w:fill="auto"/>
            <w:vAlign w:val="center"/>
          </w:tcPr>
          <w:p w14:paraId="4861B783" w14:textId="77777777" w:rsidR="009C353B" w:rsidRDefault="00000000">
            <w:pPr>
              <w:pStyle w:val="af9"/>
              <w:adjustRightInd w:val="0"/>
              <w:snapToGrid w:val="0"/>
              <w:spacing w:after="0" w:line="240" w:lineRule="atLeast"/>
              <w:ind w:leftChars="0"/>
              <w:jc w:val="left"/>
              <w:rPr>
                <w:rFonts w:ascii="Times New Roman" w:hint="eastAsia"/>
                <w:szCs w:val="21"/>
              </w:rPr>
            </w:pPr>
            <w:r>
              <w:rPr>
                <w:rFonts w:ascii="Times New Roman" w:hint="eastAsia"/>
                <w:szCs w:val="21"/>
              </w:rPr>
              <w:t>矿井</w:t>
            </w:r>
          </w:p>
        </w:tc>
        <w:tc>
          <w:tcPr>
            <w:tcW w:w="1560" w:type="dxa"/>
            <w:vAlign w:val="center"/>
          </w:tcPr>
          <w:p w14:paraId="67C9F60D" w14:textId="77777777" w:rsidR="009C353B" w:rsidRDefault="009C353B">
            <w:pPr>
              <w:pStyle w:val="af9"/>
              <w:adjustRightInd w:val="0"/>
              <w:snapToGrid w:val="0"/>
              <w:spacing w:after="0" w:line="240" w:lineRule="atLeast"/>
              <w:ind w:leftChars="0" w:left="0"/>
              <w:jc w:val="center"/>
              <w:rPr>
                <w:rFonts w:ascii="Times New Roman" w:hint="eastAsia"/>
                <w:szCs w:val="21"/>
              </w:rPr>
            </w:pPr>
          </w:p>
        </w:tc>
        <w:tc>
          <w:tcPr>
            <w:tcW w:w="2693" w:type="dxa"/>
            <w:vAlign w:val="center"/>
          </w:tcPr>
          <w:p w14:paraId="49F14C47" w14:textId="77777777" w:rsidR="009C353B" w:rsidRDefault="009C353B">
            <w:pPr>
              <w:pStyle w:val="af9"/>
              <w:adjustRightInd w:val="0"/>
              <w:snapToGrid w:val="0"/>
              <w:spacing w:after="0" w:line="240" w:lineRule="atLeast"/>
              <w:ind w:leftChars="0" w:left="0"/>
              <w:jc w:val="center"/>
              <w:rPr>
                <w:rFonts w:ascii="Times New Roman" w:hint="eastAsia"/>
                <w:szCs w:val="21"/>
              </w:rPr>
            </w:pPr>
          </w:p>
        </w:tc>
        <w:tc>
          <w:tcPr>
            <w:tcW w:w="1134" w:type="dxa"/>
            <w:shd w:val="clear" w:color="auto" w:fill="auto"/>
            <w:vAlign w:val="center"/>
          </w:tcPr>
          <w:p w14:paraId="49082DCA" w14:textId="77777777" w:rsidR="009C353B" w:rsidRDefault="009C353B">
            <w:pPr>
              <w:pStyle w:val="af9"/>
              <w:adjustRightInd w:val="0"/>
              <w:snapToGrid w:val="0"/>
              <w:spacing w:after="0" w:line="240" w:lineRule="atLeast"/>
              <w:ind w:leftChars="0" w:left="0"/>
              <w:jc w:val="center"/>
              <w:rPr>
                <w:rFonts w:ascii="Times New Roman" w:hAnsi="Times New Roman"/>
                <w:szCs w:val="21"/>
              </w:rPr>
            </w:pPr>
          </w:p>
        </w:tc>
        <w:tc>
          <w:tcPr>
            <w:tcW w:w="1524" w:type="dxa"/>
            <w:vAlign w:val="center"/>
          </w:tcPr>
          <w:p w14:paraId="59D16ABC" w14:textId="77777777" w:rsidR="009C353B" w:rsidRDefault="009C353B">
            <w:pPr>
              <w:pStyle w:val="af9"/>
              <w:adjustRightInd w:val="0"/>
              <w:snapToGrid w:val="0"/>
              <w:spacing w:after="0" w:line="240" w:lineRule="atLeast"/>
              <w:ind w:leftChars="0" w:left="0"/>
              <w:jc w:val="center"/>
              <w:rPr>
                <w:rFonts w:ascii="Times New Roman" w:hAnsi="Times New Roman"/>
                <w:szCs w:val="21"/>
              </w:rPr>
            </w:pPr>
          </w:p>
        </w:tc>
      </w:tr>
      <w:tr w:rsidR="009C353B" w14:paraId="39B6E4AA" w14:textId="77777777">
        <w:trPr>
          <w:cantSplit/>
          <w:trHeight w:val="312"/>
        </w:trPr>
        <w:tc>
          <w:tcPr>
            <w:tcW w:w="675" w:type="dxa"/>
            <w:shd w:val="clear" w:color="auto" w:fill="auto"/>
            <w:vAlign w:val="center"/>
          </w:tcPr>
          <w:p w14:paraId="4712924F"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1</w:t>
            </w:r>
          </w:p>
        </w:tc>
        <w:tc>
          <w:tcPr>
            <w:tcW w:w="1701" w:type="dxa"/>
            <w:shd w:val="clear" w:color="auto" w:fill="auto"/>
            <w:vAlign w:val="center"/>
          </w:tcPr>
          <w:p w14:paraId="2E83B838"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Style w:val="font21"/>
                <w:rFonts w:ascii="Arial Narrow" w:hAnsi="Arial Narrow" w:hint="default"/>
                <w:color w:val="auto"/>
              </w:rPr>
              <w:t>马莲台</w:t>
            </w:r>
            <w:r>
              <w:t>矿井</w:t>
            </w:r>
          </w:p>
        </w:tc>
        <w:tc>
          <w:tcPr>
            <w:tcW w:w="1560" w:type="dxa"/>
            <w:vAlign w:val="center"/>
          </w:tcPr>
          <w:p w14:paraId="0E3EF5D1"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int="eastAsia"/>
                <w:szCs w:val="21"/>
              </w:rPr>
              <w:t>34.5</w:t>
            </w:r>
          </w:p>
        </w:tc>
        <w:tc>
          <w:tcPr>
            <w:tcW w:w="2693" w:type="dxa"/>
            <w:vAlign w:val="center"/>
          </w:tcPr>
          <w:p w14:paraId="2069129E"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int="eastAsia"/>
              </w:rPr>
              <w:t>宁夏宝丰能源集团股份有限公司甲醇厂</w:t>
            </w:r>
            <w:r>
              <w:rPr>
                <w:rFonts w:ascii="Times New Roman"/>
              </w:rPr>
              <w:t>5</w:t>
            </w:r>
            <w:r>
              <w:rPr>
                <w:rFonts w:ascii="Times New Roman" w:hint="eastAsia"/>
              </w:rPr>
              <w:t>×</w:t>
            </w:r>
            <w:r>
              <w:rPr>
                <w:rFonts w:ascii="Times New Roman"/>
              </w:rPr>
              <w:t>25MW</w:t>
            </w:r>
            <w:r>
              <w:rPr>
                <w:rFonts w:ascii="Times New Roman" w:hint="eastAsia"/>
              </w:rPr>
              <w:t>自备热电站</w:t>
            </w:r>
          </w:p>
        </w:tc>
        <w:tc>
          <w:tcPr>
            <w:tcW w:w="1134" w:type="dxa"/>
            <w:shd w:val="clear" w:color="auto" w:fill="auto"/>
            <w:vAlign w:val="center"/>
          </w:tcPr>
          <w:p w14:paraId="79FBFA02"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szCs w:val="21"/>
              </w:rPr>
              <w:t>3</w:t>
            </w:r>
            <w:r>
              <w:rPr>
                <w:rFonts w:ascii="Times New Roman" w:hint="eastAsia"/>
                <w:szCs w:val="21"/>
              </w:rPr>
              <w:t>km</w:t>
            </w:r>
          </w:p>
        </w:tc>
        <w:tc>
          <w:tcPr>
            <w:tcW w:w="1524" w:type="dxa"/>
            <w:vAlign w:val="center"/>
          </w:tcPr>
          <w:p w14:paraId="52B30AEC"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t>生产矿井</w:t>
            </w:r>
          </w:p>
        </w:tc>
      </w:tr>
      <w:tr w:rsidR="009C353B" w14:paraId="2AEAC5FA" w14:textId="77777777">
        <w:trPr>
          <w:cantSplit/>
          <w:trHeight w:val="312"/>
        </w:trPr>
        <w:tc>
          <w:tcPr>
            <w:tcW w:w="675" w:type="dxa"/>
            <w:shd w:val="clear" w:color="auto" w:fill="auto"/>
            <w:vAlign w:val="center"/>
          </w:tcPr>
          <w:p w14:paraId="386F1AEF"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2</w:t>
            </w:r>
          </w:p>
        </w:tc>
        <w:tc>
          <w:tcPr>
            <w:tcW w:w="1701" w:type="dxa"/>
            <w:shd w:val="clear" w:color="auto" w:fill="auto"/>
            <w:vAlign w:val="center"/>
          </w:tcPr>
          <w:p w14:paraId="1969201D"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Style w:val="font21"/>
                <w:rFonts w:ascii="Arial Narrow" w:hAnsi="Arial Narrow" w:hint="default"/>
                <w:color w:val="auto"/>
              </w:rPr>
              <w:t>任家庄</w:t>
            </w:r>
            <w:r>
              <w:t>矿井</w:t>
            </w:r>
          </w:p>
        </w:tc>
        <w:tc>
          <w:tcPr>
            <w:tcW w:w="1560" w:type="dxa"/>
            <w:vAlign w:val="center"/>
          </w:tcPr>
          <w:p w14:paraId="7101B17A"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int="eastAsia"/>
                <w:szCs w:val="21"/>
              </w:rPr>
              <w:t>33.4</w:t>
            </w:r>
          </w:p>
        </w:tc>
        <w:tc>
          <w:tcPr>
            <w:tcW w:w="2693" w:type="dxa"/>
            <w:vAlign w:val="center"/>
          </w:tcPr>
          <w:p w14:paraId="69029752"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int="eastAsia"/>
                <w:szCs w:val="21"/>
              </w:rPr>
              <w:t>场地内现有燃气锅炉房</w:t>
            </w:r>
          </w:p>
        </w:tc>
        <w:tc>
          <w:tcPr>
            <w:tcW w:w="1134" w:type="dxa"/>
            <w:shd w:val="clear" w:color="auto" w:fill="auto"/>
            <w:vAlign w:val="center"/>
          </w:tcPr>
          <w:p w14:paraId="23740453"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int="eastAsia"/>
                <w:szCs w:val="21"/>
              </w:rPr>
              <w:t>——</w:t>
            </w:r>
          </w:p>
        </w:tc>
        <w:tc>
          <w:tcPr>
            <w:tcW w:w="1524" w:type="dxa"/>
            <w:vAlign w:val="center"/>
          </w:tcPr>
          <w:p w14:paraId="34D6AE55"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t>生产矿井</w:t>
            </w:r>
          </w:p>
        </w:tc>
      </w:tr>
      <w:tr w:rsidR="009C353B" w14:paraId="4B75A170" w14:textId="77777777">
        <w:trPr>
          <w:cantSplit/>
          <w:trHeight w:val="312"/>
        </w:trPr>
        <w:tc>
          <w:tcPr>
            <w:tcW w:w="675" w:type="dxa"/>
            <w:shd w:val="clear" w:color="auto" w:fill="auto"/>
            <w:vAlign w:val="center"/>
          </w:tcPr>
          <w:p w14:paraId="0BB9CC29"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3</w:t>
            </w:r>
          </w:p>
        </w:tc>
        <w:tc>
          <w:tcPr>
            <w:tcW w:w="1701" w:type="dxa"/>
            <w:shd w:val="clear" w:color="auto" w:fill="auto"/>
            <w:vAlign w:val="center"/>
          </w:tcPr>
          <w:p w14:paraId="71D9E72E"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Style w:val="font21"/>
                <w:rFonts w:ascii="Arial Narrow" w:hAnsi="Arial Narrow" w:hint="default"/>
                <w:color w:val="auto"/>
              </w:rPr>
              <w:t>红石湾</w:t>
            </w:r>
            <w:r>
              <w:t>矿井</w:t>
            </w:r>
          </w:p>
        </w:tc>
        <w:tc>
          <w:tcPr>
            <w:tcW w:w="1560" w:type="dxa"/>
            <w:vAlign w:val="center"/>
          </w:tcPr>
          <w:p w14:paraId="4F86C8F2"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int="eastAsia"/>
                <w:szCs w:val="21"/>
              </w:rPr>
              <w:t>16.7</w:t>
            </w:r>
          </w:p>
        </w:tc>
        <w:tc>
          <w:tcPr>
            <w:tcW w:w="2693" w:type="dxa"/>
            <w:vAlign w:val="center"/>
          </w:tcPr>
          <w:p w14:paraId="00D7C1DC" w14:textId="77777777" w:rsidR="009C353B" w:rsidRDefault="00000000">
            <w:pPr>
              <w:pStyle w:val="af9"/>
              <w:adjustRightInd w:val="0"/>
              <w:snapToGrid w:val="0"/>
              <w:spacing w:after="0" w:line="240" w:lineRule="atLeast"/>
              <w:ind w:leftChars="0" w:left="0"/>
              <w:jc w:val="center"/>
              <w:rPr>
                <w:rFonts w:ascii="Times New Roman" w:hint="eastAsia"/>
                <w:szCs w:val="21"/>
              </w:rPr>
            </w:pPr>
            <w:bookmarkStart w:id="71" w:name="_Hlk46131470"/>
            <w:r>
              <w:rPr>
                <w:rFonts w:ascii="Times New Roman" w:hint="eastAsia"/>
              </w:rPr>
              <w:t>银川中科环保电力有限公司生活垃圾焚烧发电厂余热</w:t>
            </w:r>
            <w:bookmarkEnd w:id="71"/>
          </w:p>
        </w:tc>
        <w:tc>
          <w:tcPr>
            <w:tcW w:w="1134" w:type="dxa"/>
            <w:shd w:val="clear" w:color="auto" w:fill="auto"/>
            <w:vAlign w:val="center"/>
          </w:tcPr>
          <w:p w14:paraId="7034D582"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szCs w:val="21"/>
              </w:rPr>
              <w:t>2</w:t>
            </w:r>
            <w:r>
              <w:rPr>
                <w:rFonts w:ascii="Times New Roman" w:hint="eastAsia"/>
                <w:szCs w:val="21"/>
              </w:rPr>
              <w:t>km</w:t>
            </w:r>
          </w:p>
        </w:tc>
        <w:tc>
          <w:tcPr>
            <w:tcW w:w="1524" w:type="dxa"/>
            <w:vAlign w:val="center"/>
          </w:tcPr>
          <w:p w14:paraId="35EFCC19"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hint="eastAsia"/>
              </w:rPr>
              <w:t>生产</w:t>
            </w:r>
            <w:r>
              <w:t>矿井</w:t>
            </w:r>
          </w:p>
        </w:tc>
      </w:tr>
      <w:tr w:rsidR="009C353B" w14:paraId="6A221046" w14:textId="77777777">
        <w:trPr>
          <w:cantSplit/>
          <w:trHeight w:val="312"/>
        </w:trPr>
        <w:tc>
          <w:tcPr>
            <w:tcW w:w="675" w:type="dxa"/>
            <w:shd w:val="clear" w:color="auto" w:fill="auto"/>
            <w:vAlign w:val="center"/>
          </w:tcPr>
          <w:p w14:paraId="7ABF3507"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4</w:t>
            </w:r>
          </w:p>
        </w:tc>
        <w:tc>
          <w:tcPr>
            <w:tcW w:w="1701" w:type="dxa"/>
            <w:shd w:val="clear" w:color="auto" w:fill="auto"/>
            <w:vAlign w:val="center"/>
          </w:tcPr>
          <w:p w14:paraId="14624A9A"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hint="eastAsia"/>
              </w:rPr>
              <w:t>丁家梁</w:t>
            </w:r>
            <w:r>
              <w:t>矿井</w:t>
            </w:r>
          </w:p>
        </w:tc>
        <w:tc>
          <w:tcPr>
            <w:tcW w:w="1560" w:type="dxa"/>
            <w:vAlign w:val="center"/>
          </w:tcPr>
          <w:p w14:paraId="19D4AF91"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szCs w:val="21"/>
              </w:rPr>
              <w:t>13.7</w:t>
            </w:r>
          </w:p>
        </w:tc>
        <w:tc>
          <w:tcPr>
            <w:tcW w:w="2693" w:type="dxa"/>
            <w:vAlign w:val="center"/>
          </w:tcPr>
          <w:p w14:paraId="0F601B4E"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int="eastAsia"/>
                <w:szCs w:val="21"/>
              </w:rPr>
              <w:t>场地内设燃气锅炉房</w:t>
            </w:r>
          </w:p>
        </w:tc>
        <w:tc>
          <w:tcPr>
            <w:tcW w:w="1134" w:type="dxa"/>
            <w:shd w:val="clear" w:color="auto" w:fill="auto"/>
            <w:vAlign w:val="center"/>
          </w:tcPr>
          <w:p w14:paraId="750439B4"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int="eastAsia"/>
                <w:szCs w:val="21"/>
              </w:rPr>
              <w:t>——</w:t>
            </w:r>
          </w:p>
        </w:tc>
        <w:tc>
          <w:tcPr>
            <w:tcW w:w="1524" w:type="dxa"/>
            <w:vAlign w:val="center"/>
          </w:tcPr>
          <w:p w14:paraId="3E269B56"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t>在建矿井</w:t>
            </w:r>
          </w:p>
        </w:tc>
      </w:tr>
      <w:tr w:rsidR="009C353B" w14:paraId="63693990" w14:textId="77777777">
        <w:trPr>
          <w:cantSplit/>
          <w:trHeight w:val="312"/>
        </w:trPr>
        <w:tc>
          <w:tcPr>
            <w:tcW w:w="675" w:type="dxa"/>
            <w:shd w:val="clear" w:color="auto" w:fill="auto"/>
            <w:vAlign w:val="center"/>
          </w:tcPr>
          <w:p w14:paraId="37D74C0F" w14:textId="77777777" w:rsidR="009C353B" w:rsidRDefault="009C353B">
            <w:pPr>
              <w:pStyle w:val="af9"/>
              <w:adjustRightInd w:val="0"/>
              <w:snapToGrid w:val="0"/>
              <w:spacing w:after="0" w:line="240" w:lineRule="atLeast"/>
              <w:ind w:leftChars="0" w:left="0"/>
              <w:jc w:val="center"/>
              <w:rPr>
                <w:rFonts w:ascii="Times New Roman" w:hAnsi="Times New Roman"/>
                <w:szCs w:val="21"/>
              </w:rPr>
            </w:pPr>
          </w:p>
        </w:tc>
        <w:tc>
          <w:tcPr>
            <w:tcW w:w="1701" w:type="dxa"/>
            <w:shd w:val="clear" w:color="auto" w:fill="auto"/>
            <w:vAlign w:val="center"/>
          </w:tcPr>
          <w:p w14:paraId="598DB43D" w14:textId="77777777" w:rsidR="009C353B" w:rsidRDefault="00000000">
            <w:pPr>
              <w:pStyle w:val="af9"/>
              <w:adjustRightInd w:val="0"/>
              <w:snapToGrid w:val="0"/>
              <w:spacing w:after="0" w:line="240" w:lineRule="atLeast"/>
              <w:ind w:leftChars="0" w:left="0"/>
              <w:jc w:val="center"/>
              <w:rPr>
                <w:rFonts w:hint="eastAsia"/>
              </w:rPr>
            </w:pPr>
            <w:r>
              <w:rPr>
                <w:rFonts w:hint="eastAsia"/>
              </w:rPr>
              <w:t>小计</w:t>
            </w:r>
          </w:p>
        </w:tc>
        <w:tc>
          <w:tcPr>
            <w:tcW w:w="1560" w:type="dxa"/>
            <w:vAlign w:val="center"/>
          </w:tcPr>
          <w:p w14:paraId="2C486B5E"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szCs w:val="21"/>
              </w:rPr>
              <w:t>98.3</w:t>
            </w:r>
          </w:p>
        </w:tc>
        <w:tc>
          <w:tcPr>
            <w:tcW w:w="2693" w:type="dxa"/>
            <w:vAlign w:val="center"/>
          </w:tcPr>
          <w:p w14:paraId="714BBB81" w14:textId="77777777" w:rsidR="009C353B" w:rsidRDefault="009C353B">
            <w:pPr>
              <w:pStyle w:val="af9"/>
              <w:adjustRightInd w:val="0"/>
              <w:snapToGrid w:val="0"/>
              <w:spacing w:after="0" w:line="240" w:lineRule="atLeast"/>
              <w:ind w:leftChars="0" w:left="0"/>
              <w:jc w:val="center"/>
              <w:rPr>
                <w:rFonts w:ascii="Times New Roman" w:hint="eastAsia"/>
                <w:szCs w:val="21"/>
              </w:rPr>
            </w:pPr>
          </w:p>
        </w:tc>
        <w:tc>
          <w:tcPr>
            <w:tcW w:w="1134" w:type="dxa"/>
            <w:shd w:val="clear" w:color="auto" w:fill="auto"/>
            <w:vAlign w:val="center"/>
          </w:tcPr>
          <w:p w14:paraId="01653336" w14:textId="77777777" w:rsidR="009C353B" w:rsidRDefault="009C353B">
            <w:pPr>
              <w:pStyle w:val="af9"/>
              <w:adjustRightInd w:val="0"/>
              <w:snapToGrid w:val="0"/>
              <w:spacing w:after="0" w:line="240" w:lineRule="atLeast"/>
              <w:ind w:leftChars="0" w:left="0"/>
              <w:jc w:val="center"/>
              <w:rPr>
                <w:rFonts w:ascii="Times New Roman" w:hAnsi="Times New Roman"/>
                <w:szCs w:val="21"/>
              </w:rPr>
            </w:pPr>
          </w:p>
        </w:tc>
        <w:tc>
          <w:tcPr>
            <w:tcW w:w="1524" w:type="dxa"/>
            <w:vAlign w:val="center"/>
          </w:tcPr>
          <w:p w14:paraId="226A4F19" w14:textId="77777777" w:rsidR="009C353B" w:rsidRDefault="009C353B">
            <w:pPr>
              <w:pStyle w:val="af9"/>
              <w:adjustRightInd w:val="0"/>
              <w:snapToGrid w:val="0"/>
              <w:spacing w:after="0" w:line="240" w:lineRule="atLeast"/>
              <w:ind w:leftChars="0" w:left="0"/>
              <w:jc w:val="center"/>
              <w:rPr>
                <w:rFonts w:ascii="Times New Roman" w:hAnsi="Times New Roman"/>
                <w:szCs w:val="21"/>
              </w:rPr>
            </w:pPr>
          </w:p>
        </w:tc>
      </w:tr>
      <w:tr w:rsidR="009C353B" w14:paraId="5D2516C4" w14:textId="77777777">
        <w:trPr>
          <w:cantSplit/>
          <w:trHeight w:val="312"/>
        </w:trPr>
        <w:tc>
          <w:tcPr>
            <w:tcW w:w="675" w:type="dxa"/>
            <w:shd w:val="clear" w:color="auto" w:fill="auto"/>
            <w:vAlign w:val="center"/>
          </w:tcPr>
          <w:p w14:paraId="56D23997"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二</w:t>
            </w:r>
          </w:p>
        </w:tc>
        <w:tc>
          <w:tcPr>
            <w:tcW w:w="1701" w:type="dxa"/>
            <w:shd w:val="clear" w:color="auto" w:fill="auto"/>
            <w:vAlign w:val="center"/>
          </w:tcPr>
          <w:p w14:paraId="59F84A25" w14:textId="77777777" w:rsidR="009C353B" w:rsidRDefault="00000000">
            <w:pPr>
              <w:pStyle w:val="af9"/>
              <w:adjustRightInd w:val="0"/>
              <w:snapToGrid w:val="0"/>
              <w:spacing w:after="0" w:line="240" w:lineRule="atLeast"/>
              <w:ind w:leftChars="0" w:left="0"/>
              <w:jc w:val="center"/>
              <w:rPr>
                <w:rFonts w:hint="eastAsia"/>
              </w:rPr>
            </w:pPr>
            <w:r>
              <w:t>矿区辅助</w:t>
            </w:r>
            <w:r>
              <w:rPr>
                <w:rFonts w:hint="eastAsia"/>
              </w:rPr>
              <w:t>企业</w:t>
            </w:r>
            <w:r>
              <w:t>区</w:t>
            </w:r>
          </w:p>
        </w:tc>
        <w:tc>
          <w:tcPr>
            <w:tcW w:w="1560" w:type="dxa"/>
            <w:vAlign w:val="center"/>
          </w:tcPr>
          <w:p w14:paraId="254143B0"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szCs w:val="21"/>
              </w:rPr>
              <w:t>4.7</w:t>
            </w:r>
          </w:p>
        </w:tc>
        <w:tc>
          <w:tcPr>
            <w:tcW w:w="2693" w:type="dxa"/>
            <w:vAlign w:val="center"/>
          </w:tcPr>
          <w:p w14:paraId="53CE6D09" w14:textId="77777777" w:rsidR="009C353B" w:rsidRDefault="009C353B">
            <w:pPr>
              <w:pStyle w:val="af9"/>
              <w:adjustRightInd w:val="0"/>
              <w:snapToGrid w:val="0"/>
              <w:spacing w:after="0" w:line="240" w:lineRule="atLeast"/>
              <w:ind w:leftChars="0" w:left="0"/>
              <w:jc w:val="center"/>
              <w:rPr>
                <w:rFonts w:ascii="Times New Roman" w:hint="eastAsia"/>
                <w:szCs w:val="21"/>
              </w:rPr>
            </w:pPr>
          </w:p>
        </w:tc>
        <w:tc>
          <w:tcPr>
            <w:tcW w:w="1134" w:type="dxa"/>
            <w:shd w:val="clear" w:color="auto" w:fill="auto"/>
            <w:vAlign w:val="center"/>
          </w:tcPr>
          <w:p w14:paraId="3139D1A8"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w:t>
            </w:r>
          </w:p>
        </w:tc>
        <w:tc>
          <w:tcPr>
            <w:tcW w:w="1524" w:type="dxa"/>
            <w:vAlign w:val="center"/>
          </w:tcPr>
          <w:p w14:paraId="122CD647"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hint="eastAsia"/>
              </w:rPr>
              <w:t>由</w:t>
            </w:r>
            <w:r>
              <w:t>宁东镇</w:t>
            </w:r>
            <w:r>
              <w:rPr>
                <w:rFonts w:hint="eastAsia"/>
              </w:rPr>
              <w:t>市政</w:t>
            </w:r>
            <w:r>
              <w:t>供热解决</w:t>
            </w:r>
          </w:p>
        </w:tc>
      </w:tr>
      <w:tr w:rsidR="009C353B" w14:paraId="02E590E7" w14:textId="77777777">
        <w:trPr>
          <w:cantSplit/>
          <w:trHeight w:val="312"/>
        </w:trPr>
        <w:tc>
          <w:tcPr>
            <w:tcW w:w="675" w:type="dxa"/>
            <w:shd w:val="clear" w:color="auto" w:fill="auto"/>
            <w:vAlign w:val="center"/>
          </w:tcPr>
          <w:p w14:paraId="72E74726"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三</w:t>
            </w:r>
          </w:p>
        </w:tc>
        <w:tc>
          <w:tcPr>
            <w:tcW w:w="1701" w:type="dxa"/>
            <w:shd w:val="clear" w:color="auto" w:fill="auto"/>
            <w:vAlign w:val="center"/>
          </w:tcPr>
          <w:p w14:paraId="2DA176DD"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int="eastAsia"/>
                <w:szCs w:val="21"/>
              </w:rPr>
              <w:t>矿居住区</w:t>
            </w:r>
          </w:p>
        </w:tc>
        <w:tc>
          <w:tcPr>
            <w:tcW w:w="1560" w:type="dxa"/>
            <w:vAlign w:val="center"/>
          </w:tcPr>
          <w:p w14:paraId="2659D214"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szCs w:val="21"/>
              </w:rPr>
              <w:t>0.6</w:t>
            </w:r>
          </w:p>
        </w:tc>
        <w:tc>
          <w:tcPr>
            <w:tcW w:w="2693" w:type="dxa"/>
            <w:vAlign w:val="center"/>
          </w:tcPr>
          <w:p w14:paraId="5EDD2247" w14:textId="77777777" w:rsidR="009C353B" w:rsidRDefault="009C353B">
            <w:pPr>
              <w:pStyle w:val="af9"/>
              <w:adjustRightInd w:val="0"/>
              <w:snapToGrid w:val="0"/>
              <w:spacing w:after="0" w:line="240" w:lineRule="atLeast"/>
              <w:ind w:leftChars="0" w:left="0"/>
              <w:jc w:val="center"/>
              <w:rPr>
                <w:rFonts w:ascii="Times New Roman" w:hint="eastAsia"/>
                <w:szCs w:val="21"/>
              </w:rPr>
            </w:pPr>
          </w:p>
        </w:tc>
        <w:tc>
          <w:tcPr>
            <w:tcW w:w="1134" w:type="dxa"/>
            <w:shd w:val="clear" w:color="auto" w:fill="auto"/>
            <w:vAlign w:val="center"/>
          </w:tcPr>
          <w:p w14:paraId="6478F5E7"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ascii="Times New Roman" w:hAnsi="Times New Roman" w:hint="eastAsia"/>
                <w:szCs w:val="21"/>
              </w:rPr>
              <w:t>——</w:t>
            </w:r>
          </w:p>
        </w:tc>
        <w:tc>
          <w:tcPr>
            <w:tcW w:w="1524" w:type="dxa"/>
            <w:vAlign w:val="center"/>
          </w:tcPr>
          <w:p w14:paraId="0F7E7F47" w14:textId="77777777" w:rsidR="009C353B" w:rsidRDefault="00000000">
            <w:pPr>
              <w:pStyle w:val="af9"/>
              <w:adjustRightInd w:val="0"/>
              <w:snapToGrid w:val="0"/>
              <w:spacing w:after="0" w:line="240" w:lineRule="atLeast"/>
              <w:ind w:leftChars="0" w:left="0"/>
              <w:jc w:val="center"/>
              <w:rPr>
                <w:rFonts w:ascii="Times New Roman" w:hAnsi="Times New Roman"/>
                <w:szCs w:val="21"/>
              </w:rPr>
            </w:pPr>
            <w:r>
              <w:rPr>
                <w:rFonts w:hint="eastAsia"/>
              </w:rPr>
              <w:t>由</w:t>
            </w:r>
            <w:r>
              <w:t>宁东镇</w:t>
            </w:r>
            <w:r>
              <w:rPr>
                <w:rFonts w:hint="eastAsia"/>
              </w:rPr>
              <w:t>市政</w:t>
            </w:r>
            <w:r>
              <w:t>供热解决</w:t>
            </w:r>
          </w:p>
        </w:tc>
      </w:tr>
      <w:tr w:rsidR="009C353B" w14:paraId="106BE5E2" w14:textId="77777777">
        <w:trPr>
          <w:cantSplit/>
          <w:trHeight w:val="312"/>
        </w:trPr>
        <w:tc>
          <w:tcPr>
            <w:tcW w:w="2376" w:type="dxa"/>
            <w:gridSpan w:val="2"/>
            <w:shd w:val="clear" w:color="auto" w:fill="auto"/>
            <w:vAlign w:val="center"/>
          </w:tcPr>
          <w:p w14:paraId="3BF493AF"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int="eastAsia"/>
                <w:szCs w:val="21"/>
              </w:rPr>
              <w:t>合计</w:t>
            </w:r>
          </w:p>
        </w:tc>
        <w:tc>
          <w:tcPr>
            <w:tcW w:w="1560" w:type="dxa"/>
            <w:vAlign w:val="center"/>
          </w:tcPr>
          <w:p w14:paraId="30D26909" w14:textId="77777777" w:rsidR="009C353B" w:rsidRDefault="00000000">
            <w:pPr>
              <w:pStyle w:val="af9"/>
              <w:adjustRightInd w:val="0"/>
              <w:snapToGrid w:val="0"/>
              <w:spacing w:after="0" w:line="240" w:lineRule="atLeast"/>
              <w:ind w:leftChars="0" w:left="0"/>
              <w:jc w:val="center"/>
              <w:rPr>
                <w:rFonts w:ascii="Times New Roman" w:hint="eastAsia"/>
                <w:szCs w:val="21"/>
              </w:rPr>
            </w:pPr>
            <w:r>
              <w:rPr>
                <w:rFonts w:ascii="Times New Roman" w:hint="eastAsia"/>
                <w:szCs w:val="21"/>
              </w:rPr>
              <w:t>1</w:t>
            </w:r>
            <w:r>
              <w:rPr>
                <w:rFonts w:ascii="Times New Roman"/>
                <w:szCs w:val="21"/>
              </w:rPr>
              <w:t>03.6</w:t>
            </w:r>
          </w:p>
        </w:tc>
        <w:tc>
          <w:tcPr>
            <w:tcW w:w="2693" w:type="dxa"/>
            <w:vAlign w:val="center"/>
          </w:tcPr>
          <w:p w14:paraId="13143B30" w14:textId="77777777" w:rsidR="009C353B" w:rsidRDefault="009C353B">
            <w:pPr>
              <w:pStyle w:val="af9"/>
              <w:adjustRightInd w:val="0"/>
              <w:snapToGrid w:val="0"/>
              <w:spacing w:after="0" w:line="240" w:lineRule="atLeast"/>
              <w:ind w:leftChars="0" w:left="0"/>
              <w:jc w:val="center"/>
              <w:rPr>
                <w:rFonts w:ascii="Times New Roman" w:hint="eastAsia"/>
                <w:szCs w:val="21"/>
              </w:rPr>
            </w:pPr>
          </w:p>
        </w:tc>
        <w:tc>
          <w:tcPr>
            <w:tcW w:w="1134" w:type="dxa"/>
            <w:shd w:val="clear" w:color="auto" w:fill="auto"/>
            <w:vAlign w:val="center"/>
          </w:tcPr>
          <w:p w14:paraId="0A2F6DC4" w14:textId="77777777" w:rsidR="009C353B" w:rsidRDefault="009C353B">
            <w:pPr>
              <w:pStyle w:val="af9"/>
              <w:adjustRightInd w:val="0"/>
              <w:snapToGrid w:val="0"/>
              <w:spacing w:after="0" w:line="240" w:lineRule="atLeast"/>
              <w:ind w:leftChars="0" w:left="0"/>
              <w:jc w:val="center"/>
              <w:rPr>
                <w:rFonts w:ascii="Times New Roman" w:hAnsi="Times New Roman"/>
                <w:szCs w:val="21"/>
              </w:rPr>
            </w:pPr>
          </w:p>
        </w:tc>
        <w:tc>
          <w:tcPr>
            <w:tcW w:w="1524" w:type="dxa"/>
            <w:vAlign w:val="center"/>
          </w:tcPr>
          <w:p w14:paraId="5892BD10" w14:textId="77777777" w:rsidR="009C353B" w:rsidRDefault="009C353B">
            <w:pPr>
              <w:pStyle w:val="af9"/>
              <w:adjustRightInd w:val="0"/>
              <w:snapToGrid w:val="0"/>
              <w:spacing w:after="0" w:line="240" w:lineRule="atLeast"/>
              <w:ind w:leftChars="0" w:left="0"/>
              <w:jc w:val="center"/>
              <w:rPr>
                <w:rFonts w:hint="eastAsia"/>
              </w:rPr>
            </w:pPr>
          </w:p>
        </w:tc>
      </w:tr>
    </w:tbl>
    <w:p w14:paraId="165EC521" w14:textId="77777777" w:rsidR="009C353B" w:rsidRDefault="00000000">
      <w:pPr>
        <w:pStyle w:val="3"/>
        <w:adjustRightInd w:val="0"/>
        <w:snapToGrid w:val="0"/>
        <w:spacing w:before="100" w:beforeAutospacing="1" w:after="0" w:line="440" w:lineRule="exact"/>
        <w:rPr>
          <w:rFonts w:ascii="Times New Roman" w:hAnsi="Times New Roman"/>
          <w:sz w:val="24"/>
        </w:rPr>
      </w:pPr>
      <w:bookmarkStart w:id="72" w:name="_Hlk47922510"/>
      <w:r>
        <w:rPr>
          <w:rFonts w:ascii="Times New Roman" w:hAnsi="Times New Roman"/>
          <w:sz w:val="24"/>
        </w:rPr>
        <w:t>2.3</w:t>
      </w:r>
      <w:r>
        <w:rPr>
          <w:rFonts w:ascii="Times New Roman" w:hAnsi="Times New Roman" w:hint="eastAsia"/>
          <w:sz w:val="24"/>
        </w:rPr>
        <w:t>.</w:t>
      </w:r>
      <w:r>
        <w:rPr>
          <w:rFonts w:ascii="Times New Roman" w:hAnsi="Times New Roman"/>
          <w:sz w:val="24"/>
        </w:rPr>
        <w:t xml:space="preserve">9 </w:t>
      </w:r>
      <w:r>
        <w:rPr>
          <w:rFonts w:ascii="Times New Roman"/>
          <w:sz w:val="24"/>
        </w:rPr>
        <w:t>矿区给、排水规划</w:t>
      </w:r>
    </w:p>
    <w:p w14:paraId="4CBD350A"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w:t>
      </w:r>
      <w:r>
        <w:rPr>
          <w:rFonts w:ascii="Times New Roman" w:eastAsia="宋体" w:hAnsi="Times New Roman"/>
          <w:sz w:val="24"/>
        </w:rPr>
        <w:t xml:space="preserve">9.1 </w:t>
      </w:r>
      <w:r>
        <w:rPr>
          <w:rFonts w:ascii="Times New Roman" w:eastAsia="宋体" w:hAnsi="宋体"/>
          <w:sz w:val="24"/>
        </w:rPr>
        <w:t>矿区规划用水量</w:t>
      </w:r>
    </w:p>
    <w:p w14:paraId="11A8A75D" w14:textId="77777777" w:rsidR="009C353B" w:rsidRDefault="00000000">
      <w:pPr>
        <w:adjustRightInd w:val="0"/>
        <w:snapToGrid w:val="0"/>
        <w:spacing w:line="440" w:lineRule="exact"/>
        <w:ind w:firstLineChars="200" w:firstLine="480"/>
        <w:rPr>
          <w:rFonts w:ascii="Times New Roman" w:hint="eastAsia"/>
          <w:szCs w:val="28"/>
        </w:rPr>
      </w:pPr>
      <w:r>
        <w:rPr>
          <w:rFonts w:ascii="Times New Roman" w:hint="eastAsia"/>
          <w:szCs w:val="28"/>
        </w:rPr>
        <w:t>横城</w:t>
      </w:r>
      <w:r>
        <w:rPr>
          <w:rFonts w:ascii="Times New Roman"/>
          <w:szCs w:val="28"/>
        </w:rPr>
        <w:t>矿区规划达产年总用水量约为</w:t>
      </w:r>
      <w:r>
        <w:rPr>
          <w:rFonts w:ascii="Times New Roman" w:hAnsi="Times New Roman" w:hint="eastAsia"/>
          <w:szCs w:val="28"/>
        </w:rPr>
        <w:t>13607</w:t>
      </w:r>
      <w:r>
        <w:rPr>
          <w:rFonts w:ascii="Times New Roman" w:hAnsi="Times New Roman"/>
          <w:szCs w:val="28"/>
        </w:rPr>
        <w:t>.0m</w:t>
      </w:r>
      <w:r>
        <w:rPr>
          <w:rFonts w:ascii="Times New Roman" w:hAnsi="Times New Roman"/>
          <w:szCs w:val="28"/>
          <w:vertAlign w:val="superscript"/>
        </w:rPr>
        <w:t>3</w:t>
      </w:r>
      <w:r>
        <w:rPr>
          <w:rFonts w:ascii="Times New Roman" w:hAnsi="Times New Roman"/>
          <w:szCs w:val="28"/>
        </w:rPr>
        <w:t>/d</w:t>
      </w:r>
      <w:r>
        <w:rPr>
          <w:rFonts w:ascii="Times New Roman" w:hint="eastAsia"/>
          <w:szCs w:val="28"/>
        </w:rPr>
        <w:t>。其中，</w:t>
      </w:r>
      <w:r>
        <w:rPr>
          <w:rFonts w:ascii="Times New Roman"/>
          <w:szCs w:val="28"/>
        </w:rPr>
        <w:t>生产用水量为</w:t>
      </w:r>
      <w:r>
        <w:rPr>
          <w:rFonts w:ascii="Times New Roman" w:hint="eastAsia"/>
          <w:szCs w:val="28"/>
        </w:rPr>
        <w:t>13211</w:t>
      </w:r>
      <w:r>
        <w:rPr>
          <w:rFonts w:ascii="Times New Roman"/>
          <w:szCs w:val="28"/>
        </w:rPr>
        <w:t>.0m</w:t>
      </w:r>
      <w:r>
        <w:rPr>
          <w:rFonts w:ascii="Times New Roman"/>
          <w:szCs w:val="28"/>
          <w:vertAlign w:val="superscript"/>
        </w:rPr>
        <w:t>3</w:t>
      </w:r>
      <w:r>
        <w:rPr>
          <w:rFonts w:ascii="Times New Roman"/>
          <w:szCs w:val="28"/>
        </w:rPr>
        <w:t>/d</w:t>
      </w:r>
      <w:r>
        <w:rPr>
          <w:rFonts w:ascii="Times New Roman"/>
          <w:szCs w:val="28"/>
        </w:rPr>
        <w:t>，生活用水量为</w:t>
      </w:r>
      <w:r>
        <w:rPr>
          <w:rFonts w:ascii="Times New Roman"/>
          <w:szCs w:val="28"/>
        </w:rPr>
        <w:t>3</w:t>
      </w:r>
      <w:r>
        <w:rPr>
          <w:rFonts w:ascii="Times New Roman" w:hint="eastAsia"/>
          <w:szCs w:val="28"/>
        </w:rPr>
        <w:t>96</w:t>
      </w:r>
      <w:r>
        <w:rPr>
          <w:rFonts w:ascii="Times New Roman"/>
          <w:szCs w:val="28"/>
        </w:rPr>
        <w:t>.0m</w:t>
      </w:r>
      <w:r>
        <w:rPr>
          <w:rFonts w:ascii="Times New Roman"/>
          <w:szCs w:val="28"/>
          <w:vertAlign w:val="superscript"/>
        </w:rPr>
        <w:t>3</w:t>
      </w:r>
      <w:r>
        <w:rPr>
          <w:rFonts w:ascii="Times New Roman"/>
          <w:szCs w:val="28"/>
        </w:rPr>
        <w:t>/d</w:t>
      </w:r>
      <w:r>
        <w:rPr>
          <w:rFonts w:ascii="Times New Roman"/>
          <w:szCs w:val="28"/>
        </w:rPr>
        <w:t>。</w:t>
      </w:r>
    </w:p>
    <w:p w14:paraId="0E294F63" w14:textId="77777777" w:rsidR="009C353B" w:rsidRDefault="00000000">
      <w:pPr>
        <w:adjustRightInd w:val="0"/>
        <w:snapToGrid w:val="0"/>
        <w:spacing w:line="440" w:lineRule="exact"/>
        <w:ind w:firstLineChars="200" w:firstLine="480"/>
        <w:rPr>
          <w:rFonts w:ascii="Times New Roman" w:hint="eastAsia"/>
          <w:szCs w:val="28"/>
        </w:rPr>
      </w:pPr>
      <w:r>
        <w:rPr>
          <w:rFonts w:ascii="Times New Roman"/>
          <w:szCs w:val="28"/>
        </w:rPr>
        <w:t>各</w:t>
      </w:r>
      <w:r>
        <w:rPr>
          <w:rFonts w:ascii="Times New Roman" w:hint="eastAsia"/>
          <w:szCs w:val="28"/>
        </w:rPr>
        <w:t>矿井</w:t>
      </w:r>
      <w:r>
        <w:rPr>
          <w:rFonts w:ascii="Times New Roman"/>
          <w:szCs w:val="28"/>
        </w:rPr>
        <w:t>工业场地</w:t>
      </w:r>
      <w:r>
        <w:rPr>
          <w:rFonts w:ascii="Times New Roman" w:hint="eastAsia"/>
          <w:szCs w:val="28"/>
        </w:rPr>
        <w:t>均分别设置</w:t>
      </w:r>
      <w:r>
        <w:rPr>
          <w:rFonts w:ascii="Times New Roman"/>
          <w:szCs w:val="28"/>
        </w:rPr>
        <w:t>井下排水处理站和生活污水处理站各一座，对井下排水和生活污水进行处理复用。</w:t>
      </w:r>
      <w:r>
        <w:rPr>
          <w:rFonts w:ascii="Times New Roman" w:hint="eastAsia"/>
          <w:szCs w:val="28"/>
        </w:rPr>
        <w:t>生活污水</w:t>
      </w:r>
      <w:r>
        <w:rPr>
          <w:rFonts w:ascii="Times New Roman"/>
          <w:szCs w:val="28"/>
        </w:rPr>
        <w:t>总处理水量约为</w:t>
      </w:r>
      <w:r>
        <w:rPr>
          <w:rFonts w:ascii="Times New Roman"/>
          <w:szCs w:val="28"/>
        </w:rPr>
        <w:t>376.3m</w:t>
      </w:r>
      <w:r>
        <w:rPr>
          <w:rFonts w:ascii="Times New Roman"/>
          <w:szCs w:val="28"/>
          <w:vertAlign w:val="superscript"/>
        </w:rPr>
        <w:t>3</w:t>
      </w:r>
      <w:r>
        <w:rPr>
          <w:rFonts w:ascii="Times New Roman"/>
          <w:szCs w:val="28"/>
        </w:rPr>
        <w:t>/d</w:t>
      </w:r>
      <w:r>
        <w:rPr>
          <w:rFonts w:ascii="Times New Roman"/>
          <w:szCs w:val="28"/>
        </w:rPr>
        <w:t>，经处理后可回用水量为</w:t>
      </w:r>
      <w:r>
        <w:rPr>
          <w:rFonts w:ascii="Times New Roman"/>
          <w:szCs w:val="28"/>
        </w:rPr>
        <w:t>300.96m</w:t>
      </w:r>
      <w:r>
        <w:rPr>
          <w:rFonts w:ascii="Times New Roman"/>
          <w:szCs w:val="28"/>
          <w:vertAlign w:val="superscript"/>
        </w:rPr>
        <w:t>3</w:t>
      </w:r>
      <w:r>
        <w:rPr>
          <w:rFonts w:ascii="Times New Roman"/>
          <w:szCs w:val="28"/>
        </w:rPr>
        <w:t>/d</w:t>
      </w:r>
      <w:r>
        <w:rPr>
          <w:rFonts w:ascii="Times New Roman" w:hint="eastAsia"/>
          <w:szCs w:val="28"/>
        </w:rPr>
        <w:t>。矿井排水总处理量</w:t>
      </w:r>
      <w:r>
        <w:rPr>
          <w:rFonts w:ascii="Times New Roman"/>
          <w:szCs w:val="28"/>
        </w:rPr>
        <w:t>约为</w:t>
      </w:r>
      <w:r>
        <w:rPr>
          <w:rFonts w:ascii="Times New Roman"/>
          <w:szCs w:val="28"/>
        </w:rPr>
        <w:t>31056m</w:t>
      </w:r>
      <w:r>
        <w:rPr>
          <w:rFonts w:ascii="Times New Roman"/>
          <w:szCs w:val="28"/>
          <w:vertAlign w:val="superscript"/>
        </w:rPr>
        <w:t>3</w:t>
      </w:r>
      <w:r>
        <w:rPr>
          <w:rFonts w:ascii="Times New Roman"/>
          <w:szCs w:val="28"/>
        </w:rPr>
        <w:t>/d</w:t>
      </w:r>
      <w:r>
        <w:rPr>
          <w:rFonts w:ascii="Times New Roman"/>
          <w:szCs w:val="28"/>
        </w:rPr>
        <w:t>，经处理后可回用水量为</w:t>
      </w:r>
      <w:r>
        <w:rPr>
          <w:rFonts w:ascii="Times New Roman" w:hint="eastAsia"/>
          <w:szCs w:val="28"/>
        </w:rPr>
        <w:t>15528</w:t>
      </w:r>
      <w:r>
        <w:rPr>
          <w:rFonts w:ascii="Times New Roman"/>
          <w:szCs w:val="28"/>
        </w:rPr>
        <w:t>m</w:t>
      </w:r>
      <w:r>
        <w:rPr>
          <w:rFonts w:ascii="Times New Roman"/>
          <w:szCs w:val="28"/>
          <w:vertAlign w:val="superscript"/>
        </w:rPr>
        <w:t>3</w:t>
      </w:r>
      <w:r>
        <w:rPr>
          <w:rFonts w:ascii="Times New Roman"/>
          <w:szCs w:val="28"/>
        </w:rPr>
        <w:t>/d</w:t>
      </w:r>
      <w:r>
        <w:rPr>
          <w:rFonts w:ascii="Times New Roman"/>
          <w:szCs w:val="28"/>
        </w:rPr>
        <w:t>（为确保水源的可靠性，考虑水处理站自用水量、管网系统漏损水量，矿井排水可回用水量按照排水量的</w:t>
      </w:r>
      <w:r>
        <w:rPr>
          <w:rFonts w:ascii="Times New Roman"/>
          <w:szCs w:val="28"/>
        </w:rPr>
        <w:t>50%</w:t>
      </w:r>
      <w:r>
        <w:rPr>
          <w:rFonts w:ascii="Times New Roman"/>
          <w:szCs w:val="28"/>
        </w:rPr>
        <w:t>计，生活污水可回用水量按照生活污水量的</w:t>
      </w:r>
      <w:r>
        <w:rPr>
          <w:rFonts w:ascii="Times New Roman"/>
          <w:szCs w:val="28"/>
        </w:rPr>
        <w:t>80%</w:t>
      </w:r>
      <w:r>
        <w:rPr>
          <w:rFonts w:ascii="Times New Roman"/>
          <w:szCs w:val="28"/>
        </w:rPr>
        <w:t>计）。矿区各矿井的日用消防供水水源</w:t>
      </w:r>
      <w:r>
        <w:rPr>
          <w:rFonts w:ascii="Times New Roman" w:hint="eastAsia"/>
          <w:szCs w:val="28"/>
        </w:rPr>
        <w:t>取自宁东能源重化工基地及生态供水工程（鸭子荡水库）</w:t>
      </w:r>
      <w:r>
        <w:rPr>
          <w:rFonts w:ascii="Times New Roman"/>
          <w:szCs w:val="28"/>
        </w:rPr>
        <w:t>。</w:t>
      </w:r>
    </w:p>
    <w:p w14:paraId="61D75012" w14:textId="77777777" w:rsidR="009C353B" w:rsidRDefault="00000000">
      <w:pPr>
        <w:adjustRightInd w:val="0"/>
        <w:snapToGrid w:val="0"/>
        <w:spacing w:line="440" w:lineRule="exact"/>
        <w:ind w:firstLineChars="200" w:firstLine="480"/>
        <w:rPr>
          <w:rFonts w:ascii="Times New Roman" w:hint="eastAsia"/>
          <w:szCs w:val="28"/>
        </w:rPr>
      </w:pPr>
      <w:r>
        <w:rPr>
          <w:rFonts w:ascii="Times New Roman"/>
          <w:szCs w:val="28"/>
        </w:rPr>
        <w:t>矿区采用分质供水系统，分为生活用水及生产用水。生活用水量为</w:t>
      </w:r>
      <w:r>
        <w:rPr>
          <w:rFonts w:ascii="Times New Roman" w:hAnsi="Times New Roman" w:hint="eastAsia"/>
          <w:szCs w:val="28"/>
        </w:rPr>
        <w:t>396</w:t>
      </w:r>
      <w:r>
        <w:rPr>
          <w:rFonts w:ascii="Times New Roman" w:hAnsi="Times New Roman"/>
          <w:szCs w:val="28"/>
        </w:rPr>
        <w:t>m</w:t>
      </w:r>
      <w:r>
        <w:rPr>
          <w:rFonts w:ascii="Times New Roman" w:hAnsi="Times New Roman"/>
          <w:szCs w:val="28"/>
          <w:vertAlign w:val="superscript"/>
        </w:rPr>
        <w:t>3</w:t>
      </w:r>
      <w:r>
        <w:rPr>
          <w:rFonts w:ascii="Times New Roman" w:hAnsi="Times New Roman"/>
          <w:szCs w:val="28"/>
        </w:rPr>
        <w:t>/d</w:t>
      </w:r>
      <w:r>
        <w:rPr>
          <w:rFonts w:ascii="Times New Roman"/>
          <w:szCs w:val="28"/>
        </w:rPr>
        <w:t>，包括：</w:t>
      </w:r>
      <w:r>
        <w:rPr>
          <w:rFonts w:ascii="Times New Roman" w:hint="eastAsia"/>
          <w:szCs w:val="28"/>
        </w:rPr>
        <w:t>煤矿</w:t>
      </w:r>
      <w:r>
        <w:rPr>
          <w:rFonts w:ascii="Times New Roman"/>
          <w:szCs w:val="28"/>
        </w:rPr>
        <w:t>生活用水</w:t>
      </w:r>
      <w:r>
        <w:rPr>
          <w:rFonts w:ascii="Times New Roman" w:hAnsi="Times New Roman" w:hint="eastAsia"/>
          <w:szCs w:val="28"/>
        </w:rPr>
        <w:t>346</w:t>
      </w:r>
      <w:r>
        <w:rPr>
          <w:rFonts w:ascii="Times New Roman" w:hAnsi="Times New Roman"/>
          <w:snapToGrid w:val="0"/>
          <w:kern w:val="0"/>
          <w:szCs w:val="28"/>
        </w:rPr>
        <w:t>m</w:t>
      </w:r>
      <w:r>
        <w:rPr>
          <w:rFonts w:ascii="Times New Roman" w:hAnsi="Times New Roman"/>
          <w:snapToGrid w:val="0"/>
          <w:kern w:val="0"/>
          <w:szCs w:val="28"/>
          <w:vertAlign w:val="superscript"/>
        </w:rPr>
        <w:t>3</w:t>
      </w:r>
      <w:r>
        <w:rPr>
          <w:rFonts w:ascii="Times New Roman" w:hAnsi="Times New Roman"/>
          <w:snapToGrid w:val="0"/>
          <w:kern w:val="0"/>
          <w:szCs w:val="28"/>
        </w:rPr>
        <w:t>/d</w:t>
      </w:r>
      <w:r>
        <w:rPr>
          <w:rFonts w:ascii="Times New Roman"/>
          <w:szCs w:val="28"/>
        </w:rPr>
        <w:t>、</w:t>
      </w:r>
      <w:r>
        <w:rPr>
          <w:rFonts w:ascii="Times New Roman" w:hint="eastAsia"/>
          <w:szCs w:val="28"/>
        </w:rPr>
        <w:t>选煤厂生活用水</w:t>
      </w:r>
      <w:r>
        <w:rPr>
          <w:rFonts w:ascii="Times New Roman" w:hAnsi="Times New Roman" w:hint="eastAsia"/>
          <w:szCs w:val="28"/>
        </w:rPr>
        <w:t>5</w:t>
      </w:r>
      <w:r>
        <w:rPr>
          <w:rFonts w:ascii="Times New Roman" w:hAnsi="Times New Roman"/>
          <w:szCs w:val="28"/>
        </w:rPr>
        <w:t>0</w:t>
      </w:r>
      <w:r>
        <w:rPr>
          <w:rFonts w:ascii="Times New Roman" w:hAnsi="Times New Roman"/>
          <w:snapToGrid w:val="0"/>
          <w:kern w:val="0"/>
          <w:szCs w:val="28"/>
        </w:rPr>
        <w:t>m</w:t>
      </w:r>
      <w:r>
        <w:rPr>
          <w:rFonts w:ascii="Times New Roman" w:hAnsi="Times New Roman"/>
          <w:snapToGrid w:val="0"/>
          <w:kern w:val="0"/>
          <w:szCs w:val="28"/>
          <w:vertAlign w:val="superscript"/>
        </w:rPr>
        <w:t>3</w:t>
      </w:r>
      <w:r>
        <w:rPr>
          <w:rFonts w:ascii="Times New Roman" w:hAnsi="Times New Roman"/>
          <w:snapToGrid w:val="0"/>
          <w:kern w:val="0"/>
          <w:szCs w:val="28"/>
        </w:rPr>
        <w:t>/d</w:t>
      </w:r>
      <w:r>
        <w:rPr>
          <w:rFonts w:ascii="Times New Roman"/>
          <w:szCs w:val="28"/>
        </w:rPr>
        <w:t>。矿区企业生产用水量为</w:t>
      </w:r>
      <w:r>
        <w:rPr>
          <w:rFonts w:ascii="Times New Roman" w:hAnsi="Times New Roman" w:hint="eastAsia"/>
          <w:szCs w:val="28"/>
        </w:rPr>
        <w:t>13211</w:t>
      </w:r>
      <w:r>
        <w:rPr>
          <w:rFonts w:ascii="Times New Roman" w:hAnsi="Times New Roman"/>
          <w:szCs w:val="28"/>
        </w:rPr>
        <w:t>m</w:t>
      </w:r>
      <w:r>
        <w:rPr>
          <w:rFonts w:ascii="Times New Roman" w:hAnsi="Times New Roman"/>
          <w:szCs w:val="28"/>
          <w:vertAlign w:val="superscript"/>
        </w:rPr>
        <w:t>3</w:t>
      </w:r>
      <w:r>
        <w:rPr>
          <w:rFonts w:ascii="Times New Roman" w:hAnsi="Times New Roman"/>
          <w:szCs w:val="28"/>
        </w:rPr>
        <w:t>/d</w:t>
      </w:r>
      <w:r>
        <w:rPr>
          <w:rFonts w:ascii="Times New Roman"/>
          <w:szCs w:val="28"/>
        </w:rPr>
        <w:t>，包括：煤</w:t>
      </w:r>
      <w:r>
        <w:rPr>
          <w:rFonts w:ascii="Times New Roman" w:hint="eastAsia"/>
          <w:szCs w:val="28"/>
        </w:rPr>
        <w:t>矿</w:t>
      </w:r>
      <w:r>
        <w:rPr>
          <w:rFonts w:ascii="Times New Roman"/>
          <w:szCs w:val="28"/>
        </w:rPr>
        <w:t>生产用水量</w:t>
      </w:r>
      <w:r>
        <w:rPr>
          <w:rFonts w:ascii="Times New Roman" w:hAnsi="Times New Roman" w:hint="eastAsia"/>
          <w:szCs w:val="21"/>
        </w:rPr>
        <w:t>8362</w:t>
      </w:r>
      <w:r>
        <w:rPr>
          <w:rFonts w:ascii="Times New Roman" w:hAnsi="Times New Roman"/>
          <w:szCs w:val="28"/>
        </w:rPr>
        <w:t>m</w:t>
      </w:r>
      <w:r>
        <w:rPr>
          <w:rFonts w:ascii="Times New Roman" w:hAnsi="Times New Roman"/>
          <w:snapToGrid w:val="0"/>
          <w:kern w:val="0"/>
          <w:szCs w:val="28"/>
          <w:vertAlign w:val="superscript"/>
        </w:rPr>
        <w:t>3</w:t>
      </w:r>
      <w:r>
        <w:rPr>
          <w:rFonts w:ascii="Times New Roman" w:hAnsi="Times New Roman"/>
          <w:snapToGrid w:val="0"/>
          <w:kern w:val="0"/>
          <w:szCs w:val="28"/>
        </w:rPr>
        <w:t>/d</w:t>
      </w:r>
      <w:r>
        <w:rPr>
          <w:rFonts w:ascii="Times New Roman" w:hint="eastAsia"/>
          <w:snapToGrid w:val="0"/>
          <w:kern w:val="0"/>
          <w:szCs w:val="28"/>
        </w:rPr>
        <w:t>，</w:t>
      </w:r>
      <w:r>
        <w:rPr>
          <w:rFonts w:ascii="Times New Roman" w:hint="eastAsia"/>
          <w:szCs w:val="28"/>
        </w:rPr>
        <w:t>选煤厂</w:t>
      </w:r>
      <w:r>
        <w:rPr>
          <w:rFonts w:ascii="Times New Roman"/>
          <w:szCs w:val="28"/>
        </w:rPr>
        <w:t>生</w:t>
      </w:r>
      <w:r>
        <w:rPr>
          <w:rFonts w:ascii="Times New Roman" w:hint="eastAsia"/>
          <w:szCs w:val="28"/>
        </w:rPr>
        <w:t>产</w:t>
      </w:r>
      <w:r>
        <w:rPr>
          <w:rFonts w:ascii="Times New Roman"/>
          <w:szCs w:val="28"/>
        </w:rPr>
        <w:t>用水</w:t>
      </w:r>
      <w:r>
        <w:rPr>
          <w:rFonts w:ascii="Times New Roman" w:hAnsi="Times New Roman" w:hint="eastAsia"/>
          <w:szCs w:val="28"/>
        </w:rPr>
        <w:t>4849</w:t>
      </w:r>
      <w:r>
        <w:rPr>
          <w:rFonts w:ascii="Times New Roman" w:hAnsi="Times New Roman"/>
          <w:snapToGrid w:val="0"/>
          <w:kern w:val="0"/>
          <w:szCs w:val="28"/>
        </w:rPr>
        <w:t>m</w:t>
      </w:r>
      <w:r>
        <w:rPr>
          <w:rFonts w:ascii="Times New Roman" w:hAnsi="Times New Roman"/>
          <w:snapToGrid w:val="0"/>
          <w:kern w:val="0"/>
          <w:szCs w:val="28"/>
          <w:vertAlign w:val="superscript"/>
        </w:rPr>
        <w:t>3</w:t>
      </w:r>
      <w:r>
        <w:rPr>
          <w:rFonts w:ascii="Times New Roman" w:hAnsi="Times New Roman"/>
          <w:snapToGrid w:val="0"/>
          <w:kern w:val="0"/>
          <w:szCs w:val="28"/>
        </w:rPr>
        <w:t>/d</w:t>
      </w:r>
      <w:r>
        <w:rPr>
          <w:rFonts w:ascii="Times New Roman"/>
          <w:szCs w:val="28"/>
        </w:rPr>
        <w:t>。</w:t>
      </w:r>
    </w:p>
    <w:p w14:paraId="1C27AAD7" w14:textId="77777777" w:rsidR="009C353B" w:rsidRDefault="00000000">
      <w:pPr>
        <w:adjustRightInd w:val="0"/>
        <w:snapToGrid w:val="0"/>
        <w:spacing w:line="440" w:lineRule="exact"/>
        <w:ind w:firstLineChars="200" w:firstLine="480"/>
        <w:rPr>
          <w:rFonts w:ascii="Times New Roman" w:hAnsi="Times New Roman"/>
          <w:snapToGrid w:val="0"/>
          <w:kern w:val="0"/>
          <w:szCs w:val="28"/>
        </w:rPr>
      </w:pPr>
      <w:r>
        <w:rPr>
          <w:rFonts w:ascii="Times New Roman"/>
          <w:szCs w:val="28"/>
        </w:rPr>
        <w:t>矿区辅助企业</w:t>
      </w:r>
      <w:r>
        <w:rPr>
          <w:rFonts w:ascii="Times New Roman" w:hint="eastAsia"/>
          <w:szCs w:val="28"/>
        </w:rPr>
        <w:t>、</w:t>
      </w:r>
      <w:r>
        <w:rPr>
          <w:rFonts w:ascii="Times New Roman"/>
          <w:snapToGrid w:val="0"/>
          <w:kern w:val="0"/>
          <w:szCs w:val="28"/>
        </w:rPr>
        <w:t>居住区建于</w:t>
      </w:r>
      <w:r>
        <w:rPr>
          <w:rFonts w:ascii="Times New Roman" w:hint="eastAsia"/>
          <w:snapToGrid w:val="0"/>
          <w:kern w:val="0"/>
          <w:szCs w:val="28"/>
        </w:rPr>
        <w:t>宁东</w:t>
      </w:r>
      <w:r>
        <w:rPr>
          <w:rFonts w:ascii="Times New Roman"/>
          <w:snapToGrid w:val="0"/>
          <w:kern w:val="0"/>
          <w:szCs w:val="28"/>
        </w:rPr>
        <w:t>镇内，由</w:t>
      </w:r>
      <w:r>
        <w:rPr>
          <w:rFonts w:ascii="Times New Roman" w:hint="eastAsia"/>
          <w:snapToGrid w:val="0"/>
          <w:kern w:val="0"/>
          <w:szCs w:val="28"/>
        </w:rPr>
        <w:t>宁东</w:t>
      </w:r>
      <w:r>
        <w:rPr>
          <w:rFonts w:ascii="Times New Roman"/>
          <w:snapToGrid w:val="0"/>
          <w:kern w:val="0"/>
          <w:szCs w:val="28"/>
        </w:rPr>
        <w:t>镇供水系统保证其用水，不纳入本次矿区规划系统内。详见生产及生活用水量估算表</w:t>
      </w:r>
      <w:r>
        <w:rPr>
          <w:rFonts w:ascii="Times New Roman" w:hAnsi="Times New Roman" w:hint="eastAsia"/>
          <w:snapToGrid w:val="0"/>
          <w:kern w:val="0"/>
          <w:szCs w:val="28"/>
        </w:rPr>
        <w:t>2.3-</w:t>
      </w:r>
      <w:r>
        <w:rPr>
          <w:rFonts w:ascii="Times New Roman" w:hAnsi="Times New Roman"/>
          <w:snapToGrid w:val="0"/>
          <w:kern w:val="0"/>
          <w:szCs w:val="28"/>
        </w:rPr>
        <w:t>10</w:t>
      </w:r>
      <w:r>
        <w:rPr>
          <w:rFonts w:ascii="Times New Roman"/>
          <w:snapToGrid w:val="0"/>
          <w:kern w:val="0"/>
          <w:szCs w:val="28"/>
        </w:rPr>
        <w:t>。</w:t>
      </w:r>
    </w:p>
    <w:p w14:paraId="38D1CDF3" w14:textId="77777777" w:rsidR="009C353B" w:rsidRDefault="00000000">
      <w:pPr>
        <w:adjustRightInd w:val="0"/>
        <w:snapToGrid w:val="0"/>
        <w:spacing w:line="440" w:lineRule="exact"/>
        <w:ind w:firstLineChars="800" w:firstLine="1920"/>
        <w:rPr>
          <w:rFonts w:ascii="Times New Roman" w:hint="eastAsia"/>
          <w:b/>
        </w:rPr>
      </w:pPr>
      <w:r>
        <w:rPr>
          <w:rFonts w:ascii="Times New Roman" w:hAnsi="Times New Roman"/>
        </w:rPr>
        <w:t xml:space="preserve"> </w:t>
      </w:r>
      <w:r>
        <w:rPr>
          <w:rFonts w:ascii="Times New Roman" w:hAnsi="Times New Roman"/>
          <w:b/>
        </w:rPr>
        <w:t xml:space="preserve"> </w:t>
      </w:r>
      <w:r>
        <w:rPr>
          <w:rFonts w:ascii="Times New Roman"/>
          <w:b/>
        </w:rPr>
        <w:t>矿区达产</w:t>
      </w:r>
      <w:r>
        <w:rPr>
          <w:rFonts w:ascii="Times New Roman" w:hint="eastAsia"/>
          <w:b/>
        </w:rPr>
        <w:t>时</w:t>
      </w:r>
      <w:r>
        <w:rPr>
          <w:rFonts w:ascii="Times New Roman"/>
          <w:b/>
        </w:rPr>
        <w:t>生产及生活用水量</w:t>
      </w:r>
      <w:r>
        <w:rPr>
          <w:rFonts w:ascii="Times New Roman" w:hint="eastAsia"/>
          <w:b/>
        </w:rPr>
        <w:t>一览</w:t>
      </w:r>
      <w:r>
        <w:rPr>
          <w:rFonts w:ascii="Times New Roman"/>
          <w:b/>
        </w:rPr>
        <w:t>表</w:t>
      </w:r>
    </w:p>
    <w:p w14:paraId="63D6C6EE" w14:textId="77777777" w:rsidR="009C353B" w:rsidRDefault="00000000">
      <w:pPr>
        <w:pStyle w:val="affffd"/>
        <w:spacing w:line="440" w:lineRule="exact"/>
        <w:ind w:firstLineChars="50" w:firstLine="120"/>
        <w:rPr>
          <w:rFonts w:ascii="Times New Roman" w:hint="eastAsia"/>
        </w:rPr>
      </w:pPr>
      <w:r>
        <w:rPr>
          <w:rFonts w:ascii="Times New Roman"/>
        </w:rPr>
        <w:t>表</w:t>
      </w:r>
      <w:r>
        <w:rPr>
          <w:rFonts w:ascii="Times New Roman" w:hint="eastAsia"/>
        </w:rPr>
        <w:t>2.3-</w:t>
      </w:r>
      <w:r>
        <w:rPr>
          <w:rFonts w:ascii="Times New Roman"/>
        </w:rPr>
        <w:t>10</w:t>
      </w:r>
    </w:p>
    <w:tbl>
      <w:tblPr>
        <w:tblW w:w="90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8"/>
        <w:gridCol w:w="2574"/>
        <w:gridCol w:w="1218"/>
        <w:gridCol w:w="1761"/>
        <w:gridCol w:w="1216"/>
        <w:gridCol w:w="1396"/>
      </w:tblGrid>
      <w:tr w:rsidR="009C353B" w14:paraId="2EE705B3" w14:textId="77777777">
        <w:trPr>
          <w:trHeight w:val="340"/>
          <w:jc w:val="center"/>
        </w:trPr>
        <w:tc>
          <w:tcPr>
            <w:tcW w:w="868" w:type="dxa"/>
            <w:vAlign w:val="center"/>
          </w:tcPr>
          <w:p w14:paraId="419A88A1" w14:textId="77777777" w:rsidR="009C353B" w:rsidRDefault="00000000">
            <w:pPr>
              <w:snapToGrid w:val="0"/>
              <w:jc w:val="center"/>
              <w:rPr>
                <w:rFonts w:ascii="Times New Roman" w:hAnsi="Times New Roman"/>
                <w:sz w:val="21"/>
                <w:szCs w:val="21"/>
              </w:rPr>
            </w:pPr>
            <w:bookmarkStart w:id="73" w:name="_Hlk45808391"/>
            <w:r>
              <w:rPr>
                <w:rFonts w:ascii="Times New Roman" w:hAnsi="Times New Roman"/>
                <w:sz w:val="21"/>
                <w:szCs w:val="21"/>
              </w:rPr>
              <w:t>序号</w:t>
            </w:r>
          </w:p>
        </w:tc>
        <w:tc>
          <w:tcPr>
            <w:tcW w:w="2574" w:type="dxa"/>
            <w:vAlign w:val="center"/>
          </w:tcPr>
          <w:p w14:paraId="60785F1B" w14:textId="77777777" w:rsidR="009C353B" w:rsidRDefault="00000000">
            <w:pPr>
              <w:snapToGrid w:val="0"/>
              <w:jc w:val="center"/>
              <w:rPr>
                <w:rFonts w:ascii="Times New Roman" w:hAnsi="Times New Roman"/>
                <w:sz w:val="21"/>
                <w:szCs w:val="21"/>
              </w:rPr>
            </w:pPr>
            <w:r>
              <w:rPr>
                <w:rFonts w:ascii="Times New Roman" w:hAnsi="Times New Roman"/>
                <w:sz w:val="21"/>
                <w:szCs w:val="21"/>
              </w:rPr>
              <w:t>用水项目</w:t>
            </w:r>
          </w:p>
        </w:tc>
        <w:tc>
          <w:tcPr>
            <w:tcW w:w="1218" w:type="dxa"/>
            <w:vAlign w:val="center"/>
          </w:tcPr>
          <w:p w14:paraId="04E567C1" w14:textId="77777777" w:rsidR="009C353B" w:rsidRDefault="00000000">
            <w:pPr>
              <w:snapToGrid w:val="0"/>
              <w:jc w:val="center"/>
              <w:rPr>
                <w:rFonts w:ascii="Times New Roman" w:hAnsi="Times New Roman"/>
                <w:sz w:val="21"/>
                <w:szCs w:val="21"/>
              </w:rPr>
            </w:pPr>
            <w:r>
              <w:rPr>
                <w:rFonts w:ascii="Times New Roman" w:hAnsi="Times New Roman"/>
                <w:sz w:val="21"/>
                <w:szCs w:val="21"/>
              </w:rPr>
              <w:t>规模</w:t>
            </w:r>
          </w:p>
        </w:tc>
        <w:tc>
          <w:tcPr>
            <w:tcW w:w="1761" w:type="dxa"/>
            <w:vAlign w:val="center"/>
          </w:tcPr>
          <w:p w14:paraId="6FC9FB87" w14:textId="77777777" w:rsidR="009C353B" w:rsidRDefault="00000000">
            <w:pPr>
              <w:snapToGrid w:val="0"/>
              <w:jc w:val="center"/>
              <w:rPr>
                <w:rFonts w:ascii="Times New Roman" w:hAnsi="Times New Roman"/>
                <w:sz w:val="21"/>
                <w:szCs w:val="21"/>
              </w:rPr>
            </w:pPr>
            <w:r>
              <w:rPr>
                <w:rFonts w:ascii="Times New Roman" w:hAnsi="Times New Roman"/>
                <w:sz w:val="21"/>
                <w:szCs w:val="21"/>
              </w:rPr>
              <w:t>用水标准</w:t>
            </w:r>
          </w:p>
        </w:tc>
        <w:tc>
          <w:tcPr>
            <w:tcW w:w="1216" w:type="dxa"/>
            <w:vAlign w:val="center"/>
          </w:tcPr>
          <w:p w14:paraId="32C34E86" w14:textId="77777777" w:rsidR="009C353B" w:rsidRDefault="00000000">
            <w:pPr>
              <w:snapToGrid w:val="0"/>
              <w:jc w:val="center"/>
              <w:rPr>
                <w:rFonts w:ascii="Times New Roman" w:hAnsi="Times New Roman"/>
                <w:sz w:val="21"/>
                <w:szCs w:val="21"/>
              </w:rPr>
            </w:pPr>
            <w:r>
              <w:rPr>
                <w:rFonts w:ascii="Times New Roman" w:hAnsi="Times New Roman"/>
                <w:sz w:val="21"/>
                <w:szCs w:val="21"/>
              </w:rPr>
              <w:t>用水量</w:t>
            </w:r>
          </w:p>
          <w:p w14:paraId="09A8347D" w14:textId="77777777" w:rsidR="009C353B" w:rsidRDefault="00000000">
            <w:pPr>
              <w:snapToGrid w:val="0"/>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w:t>
            </w:r>
          </w:p>
        </w:tc>
        <w:tc>
          <w:tcPr>
            <w:tcW w:w="1396" w:type="dxa"/>
            <w:vAlign w:val="center"/>
          </w:tcPr>
          <w:p w14:paraId="14F24FAB" w14:textId="77777777" w:rsidR="009C353B" w:rsidRDefault="00000000">
            <w:pPr>
              <w:snapToGrid w:val="0"/>
              <w:jc w:val="center"/>
              <w:rPr>
                <w:rFonts w:ascii="Times New Roman" w:hAnsi="Times New Roman"/>
                <w:sz w:val="21"/>
                <w:szCs w:val="21"/>
              </w:rPr>
            </w:pPr>
            <w:r>
              <w:rPr>
                <w:rFonts w:ascii="Times New Roman" w:hAnsi="Times New Roman"/>
                <w:sz w:val="21"/>
                <w:szCs w:val="21"/>
              </w:rPr>
              <w:t>备注</w:t>
            </w:r>
          </w:p>
        </w:tc>
      </w:tr>
      <w:tr w:rsidR="009C353B" w14:paraId="509DFB73" w14:textId="77777777">
        <w:trPr>
          <w:trHeight w:val="340"/>
          <w:jc w:val="center"/>
        </w:trPr>
        <w:tc>
          <w:tcPr>
            <w:tcW w:w="868" w:type="dxa"/>
            <w:vAlign w:val="center"/>
          </w:tcPr>
          <w:p w14:paraId="6FD26ECE" w14:textId="77777777" w:rsidR="009C353B" w:rsidRDefault="00000000">
            <w:pPr>
              <w:snapToGrid w:val="0"/>
              <w:jc w:val="center"/>
              <w:rPr>
                <w:rFonts w:ascii="Times New Roman" w:hAnsi="Times New Roman"/>
                <w:sz w:val="21"/>
                <w:szCs w:val="21"/>
              </w:rPr>
            </w:pPr>
            <w:r>
              <w:rPr>
                <w:rFonts w:ascii="Times New Roman" w:hAnsi="Times New Roman"/>
                <w:sz w:val="21"/>
                <w:szCs w:val="21"/>
              </w:rPr>
              <w:t>一</w:t>
            </w:r>
          </w:p>
        </w:tc>
        <w:tc>
          <w:tcPr>
            <w:tcW w:w="2574" w:type="dxa"/>
            <w:vAlign w:val="center"/>
          </w:tcPr>
          <w:p w14:paraId="76F1B950" w14:textId="77777777" w:rsidR="009C353B" w:rsidRDefault="00000000">
            <w:pPr>
              <w:snapToGrid w:val="0"/>
              <w:jc w:val="left"/>
              <w:rPr>
                <w:rFonts w:ascii="Times New Roman" w:hAnsi="Times New Roman"/>
                <w:sz w:val="21"/>
                <w:szCs w:val="21"/>
              </w:rPr>
            </w:pPr>
            <w:r>
              <w:rPr>
                <w:rFonts w:ascii="Times New Roman" w:hAnsi="Times New Roman"/>
                <w:sz w:val="21"/>
                <w:szCs w:val="21"/>
              </w:rPr>
              <w:t>矿区生活用水</w:t>
            </w:r>
          </w:p>
        </w:tc>
        <w:tc>
          <w:tcPr>
            <w:tcW w:w="1218" w:type="dxa"/>
            <w:vAlign w:val="center"/>
          </w:tcPr>
          <w:p w14:paraId="325F223B" w14:textId="77777777" w:rsidR="009C353B" w:rsidRDefault="009C353B">
            <w:pPr>
              <w:snapToGrid w:val="0"/>
              <w:jc w:val="center"/>
              <w:rPr>
                <w:rFonts w:ascii="Times New Roman" w:hAnsi="Times New Roman"/>
                <w:sz w:val="21"/>
                <w:szCs w:val="21"/>
              </w:rPr>
            </w:pPr>
          </w:p>
        </w:tc>
        <w:tc>
          <w:tcPr>
            <w:tcW w:w="1761" w:type="dxa"/>
            <w:vAlign w:val="center"/>
          </w:tcPr>
          <w:p w14:paraId="06B10821" w14:textId="77777777" w:rsidR="009C353B" w:rsidRDefault="009C353B">
            <w:pPr>
              <w:snapToGrid w:val="0"/>
              <w:jc w:val="center"/>
              <w:rPr>
                <w:rFonts w:ascii="Times New Roman" w:hAnsi="Times New Roman"/>
                <w:sz w:val="21"/>
                <w:szCs w:val="21"/>
              </w:rPr>
            </w:pPr>
          </w:p>
        </w:tc>
        <w:tc>
          <w:tcPr>
            <w:tcW w:w="1216" w:type="dxa"/>
            <w:vAlign w:val="center"/>
          </w:tcPr>
          <w:p w14:paraId="50919388" w14:textId="77777777" w:rsidR="009C353B" w:rsidRDefault="009C353B">
            <w:pPr>
              <w:snapToGrid w:val="0"/>
              <w:jc w:val="center"/>
              <w:rPr>
                <w:rFonts w:ascii="Times New Roman" w:hAnsi="Times New Roman"/>
                <w:sz w:val="21"/>
                <w:szCs w:val="21"/>
              </w:rPr>
            </w:pPr>
          </w:p>
        </w:tc>
        <w:tc>
          <w:tcPr>
            <w:tcW w:w="1396" w:type="dxa"/>
            <w:vAlign w:val="center"/>
          </w:tcPr>
          <w:p w14:paraId="7BD5B56C" w14:textId="77777777" w:rsidR="009C353B" w:rsidRDefault="009C353B">
            <w:pPr>
              <w:snapToGrid w:val="0"/>
              <w:jc w:val="center"/>
              <w:rPr>
                <w:rFonts w:ascii="Times New Roman" w:hAnsi="Times New Roman"/>
                <w:sz w:val="21"/>
                <w:szCs w:val="21"/>
              </w:rPr>
            </w:pPr>
          </w:p>
        </w:tc>
      </w:tr>
      <w:tr w:rsidR="009C353B" w14:paraId="6C4142BF" w14:textId="77777777">
        <w:trPr>
          <w:trHeight w:val="340"/>
          <w:jc w:val="center"/>
        </w:trPr>
        <w:tc>
          <w:tcPr>
            <w:tcW w:w="868" w:type="dxa"/>
            <w:vAlign w:val="center"/>
          </w:tcPr>
          <w:p w14:paraId="57C4577F" w14:textId="77777777" w:rsidR="009C353B" w:rsidRDefault="00000000">
            <w:pPr>
              <w:snapToGrid w:val="0"/>
              <w:jc w:val="center"/>
              <w:rPr>
                <w:rFonts w:ascii="Times New Roman" w:hAnsi="Times New Roman"/>
                <w:sz w:val="21"/>
                <w:szCs w:val="21"/>
              </w:rPr>
            </w:pPr>
            <w:r>
              <w:rPr>
                <w:rFonts w:ascii="Times New Roman" w:hAnsi="Times New Roman"/>
                <w:sz w:val="21"/>
                <w:szCs w:val="21"/>
              </w:rPr>
              <w:t>1</w:t>
            </w:r>
          </w:p>
        </w:tc>
        <w:tc>
          <w:tcPr>
            <w:tcW w:w="2574" w:type="dxa"/>
            <w:vAlign w:val="center"/>
          </w:tcPr>
          <w:p w14:paraId="225D927B" w14:textId="77777777" w:rsidR="009C353B" w:rsidRDefault="00000000">
            <w:pPr>
              <w:snapToGrid w:val="0"/>
              <w:jc w:val="left"/>
              <w:rPr>
                <w:rFonts w:ascii="Times New Roman" w:hAnsi="Times New Roman"/>
                <w:sz w:val="21"/>
                <w:szCs w:val="21"/>
              </w:rPr>
            </w:pPr>
            <w:r>
              <w:rPr>
                <w:rFonts w:ascii="Times New Roman" w:hAnsi="Times New Roman"/>
                <w:sz w:val="21"/>
                <w:szCs w:val="21"/>
              </w:rPr>
              <w:t>马莲台矿井</w:t>
            </w:r>
            <w:r>
              <w:rPr>
                <w:rFonts w:ascii="Times New Roman" w:hAnsi="Times New Roman" w:hint="eastAsia"/>
                <w:sz w:val="21"/>
                <w:szCs w:val="21"/>
              </w:rPr>
              <w:t>及选煤厂</w:t>
            </w:r>
          </w:p>
        </w:tc>
        <w:tc>
          <w:tcPr>
            <w:tcW w:w="1218" w:type="dxa"/>
            <w:vAlign w:val="center"/>
          </w:tcPr>
          <w:p w14:paraId="7AC94F5F"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1218</w:t>
            </w:r>
            <w:r>
              <w:rPr>
                <w:rFonts w:ascii="Times New Roman" w:hAnsi="Times New Roman" w:hint="eastAsia"/>
                <w:kern w:val="0"/>
                <w:sz w:val="21"/>
                <w:szCs w:val="21"/>
              </w:rPr>
              <w:t>人</w:t>
            </w:r>
          </w:p>
        </w:tc>
        <w:tc>
          <w:tcPr>
            <w:tcW w:w="1761" w:type="dxa"/>
            <w:vAlign w:val="center"/>
          </w:tcPr>
          <w:p w14:paraId="17F6F5C9" w14:textId="77777777" w:rsidR="009C353B" w:rsidRDefault="00000000">
            <w:pPr>
              <w:snapToGrid w:val="0"/>
              <w:jc w:val="center"/>
              <w:rPr>
                <w:rFonts w:ascii="Times New Roman" w:hAnsi="Times New Roman"/>
                <w:sz w:val="21"/>
                <w:szCs w:val="21"/>
              </w:rPr>
            </w:pPr>
            <w:r>
              <w:rPr>
                <w:rFonts w:ascii="Times New Roman" w:hAnsi="Times New Roman"/>
                <w:sz w:val="21"/>
                <w:szCs w:val="21"/>
              </w:rPr>
              <w:t>95L/</w:t>
            </w:r>
            <w:r>
              <w:rPr>
                <w:rFonts w:ascii="Times New Roman" w:hAnsi="Times New Roman"/>
                <w:sz w:val="21"/>
                <w:szCs w:val="21"/>
              </w:rPr>
              <w:t>人</w:t>
            </w:r>
            <w:r>
              <w:rPr>
                <w:rFonts w:ascii="Times New Roman" w:hAnsi="Times New Roman"/>
                <w:sz w:val="21"/>
                <w:szCs w:val="21"/>
              </w:rPr>
              <w:t>.</w:t>
            </w:r>
            <w:r>
              <w:rPr>
                <w:rFonts w:ascii="Times New Roman" w:hAnsi="Times New Roman" w:hint="eastAsia"/>
                <w:sz w:val="21"/>
                <w:szCs w:val="21"/>
              </w:rPr>
              <w:t>d</w:t>
            </w:r>
          </w:p>
        </w:tc>
        <w:tc>
          <w:tcPr>
            <w:tcW w:w="1216" w:type="dxa"/>
            <w:vAlign w:val="center"/>
          </w:tcPr>
          <w:p w14:paraId="783FE6AC"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118</w:t>
            </w:r>
            <w:r>
              <w:rPr>
                <w:rFonts w:ascii="Times New Roman" w:hAnsi="Times New Roman"/>
                <w:sz w:val="21"/>
                <w:szCs w:val="21"/>
              </w:rPr>
              <w:t>.0</w:t>
            </w:r>
          </w:p>
        </w:tc>
        <w:tc>
          <w:tcPr>
            <w:tcW w:w="1396" w:type="dxa"/>
            <w:vAlign w:val="center"/>
          </w:tcPr>
          <w:p w14:paraId="46815FB3" w14:textId="77777777" w:rsidR="009C353B" w:rsidRDefault="009C353B">
            <w:pPr>
              <w:snapToGrid w:val="0"/>
              <w:jc w:val="center"/>
              <w:rPr>
                <w:rFonts w:ascii="Times New Roman" w:hAnsi="Times New Roman"/>
                <w:sz w:val="21"/>
                <w:szCs w:val="21"/>
              </w:rPr>
            </w:pPr>
          </w:p>
        </w:tc>
      </w:tr>
      <w:tr w:rsidR="009C353B" w14:paraId="388FC4F1" w14:textId="77777777">
        <w:trPr>
          <w:trHeight w:val="340"/>
          <w:jc w:val="center"/>
        </w:trPr>
        <w:tc>
          <w:tcPr>
            <w:tcW w:w="868" w:type="dxa"/>
            <w:vAlign w:val="center"/>
          </w:tcPr>
          <w:p w14:paraId="1EAA88BC" w14:textId="77777777" w:rsidR="009C353B" w:rsidRDefault="00000000">
            <w:pPr>
              <w:snapToGrid w:val="0"/>
              <w:jc w:val="center"/>
              <w:rPr>
                <w:rFonts w:ascii="Times New Roman" w:hAnsi="Times New Roman"/>
                <w:sz w:val="21"/>
                <w:szCs w:val="21"/>
              </w:rPr>
            </w:pPr>
            <w:r>
              <w:rPr>
                <w:rFonts w:ascii="Times New Roman" w:hAnsi="Times New Roman"/>
                <w:sz w:val="21"/>
                <w:szCs w:val="21"/>
              </w:rPr>
              <w:t>2</w:t>
            </w:r>
          </w:p>
        </w:tc>
        <w:tc>
          <w:tcPr>
            <w:tcW w:w="2574" w:type="dxa"/>
            <w:vAlign w:val="center"/>
          </w:tcPr>
          <w:p w14:paraId="0F4C44C7" w14:textId="77777777" w:rsidR="009C353B" w:rsidRDefault="00000000">
            <w:pPr>
              <w:snapToGrid w:val="0"/>
              <w:jc w:val="left"/>
              <w:rPr>
                <w:rFonts w:ascii="Times New Roman" w:hAnsi="Times New Roman"/>
                <w:sz w:val="21"/>
                <w:szCs w:val="21"/>
              </w:rPr>
            </w:pPr>
            <w:r>
              <w:rPr>
                <w:rFonts w:ascii="Times New Roman" w:hAnsi="Times New Roman"/>
                <w:sz w:val="21"/>
                <w:szCs w:val="21"/>
              </w:rPr>
              <w:t>任家庄矿井</w:t>
            </w:r>
            <w:r>
              <w:rPr>
                <w:rFonts w:ascii="Times New Roman" w:hAnsi="Times New Roman" w:hint="eastAsia"/>
                <w:sz w:val="21"/>
                <w:szCs w:val="21"/>
              </w:rPr>
              <w:t>及选煤厂</w:t>
            </w:r>
          </w:p>
        </w:tc>
        <w:tc>
          <w:tcPr>
            <w:tcW w:w="1218" w:type="dxa"/>
            <w:vAlign w:val="center"/>
          </w:tcPr>
          <w:p w14:paraId="7BF74DC5"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1634</w:t>
            </w:r>
            <w:r>
              <w:rPr>
                <w:rFonts w:ascii="Times New Roman" w:hAnsi="Times New Roman" w:hint="eastAsia"/>
                <w:kern w:val="0"/>
                <w:sz w:val="21"/>
                <w:szCs w:val="21"/>
              </w:rPr>
              <w:t>人</w:t>
            </w:r>
          </w:p>
        </w:tc>
        <w:tc>
          <w:tcPr>
            <w:tcW w:w="1761" w:type="dxa"/>
            <w:vAlign w:val="center"/>
          </w:tcPr>
          <w:p w14:paraId="596F89B5" w14:textId="77777777" w:rsidR="009C353B" w:rsidRDefault="00000000">
            <w:pPr>
              <w:snapToGrid w:val="0"/>
              <w:jc w:val="center"/>
              <w:rPr>
                <w:rFonts w:ascii="Times New Roman" w:hAnsi="Times New Roman"/>
                <w:sz w:val="21"/>
                <w:szCs w:val="21"/>
              </w:rPr>
            </w:pPr>
            <w:r>
              <w:rPr>
                <w:rFonts w:ascii="Times New Roman" w:hAnsi="Times New Roman"/>
                <w:sz w:val="21"/>
                <w:szCs w:val="21"/>
              </w:rPr>
              <w:t>95L/</w:t>
            </w:r>
            <w:r>
              <w:rPr>
                <w:rFonts w:ascii="Times New Roman" w:hAnsi="Times New Roman"/>
                <w:sz w:val="21"/>
                <w:szCs w:val="21"/>
              </w:rPr>
              <w:t>人</w:t>
            </w:r>
            <w:r>
              <w:rPr>
                <w:rFonts w:ascii="Times New Roman" w:hAnsi="Times New Roman"/>
                <w:sz w:val="21"/>
                <w:szCs w:val="21"/>
              </w:rPr>
              <w:t>.</w:t>
            </w:r>
            <w:r>
              <w:rPr>
                <w:rFonts w:ascii="Times New Roman" w:hAnsi="Times New Roman" w:hint="eastAsia"/>
                <w:sz w:val="21"/>
                <w:szCs w:val="21"/>
              </w:rPr>
              <w:t xml:space="preserve"> d</w:t>
            </w:r>
          </w:p>
        </w:tc>
        <w:tc>
          <w:tcPr>
            <w:tcW w:w="1216" w:type="dxa"/>
            <w:vAlign w:val="center"/>
          </w:tcPr>
          <w:p w14:paraId="2702CA6F"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134</w:t>
            </w:r>
            <w:r>
              <w:rPr>
                <w:rFonts w:ascii="Times New Roman" w:hAnsi="Times New Roman"/>
                <w:sz w:val="21"/>
                <w:szCs w:val="21"/>
              </w:rPr>
              <w:t>.0</w:t>
            </w:r>
          </w:p>
        </w:tc>
        <w:tc>
          <w:tcPr>
            <w:tcW w:w="1396" w:type="dxa"/>
            <w:vAlign w:val="center"/>
          </w:tcPr>
          <w:p w14:paraId="311CCA75" w14:textId="77777777" w:rsidR="009C353B" w:rsidRDefault="009C353B">
            <w:pPr>
              <w:snapToGrid w:val="0"/>
              <w:jc w:val="center"/>
              <w:rPr>
                <w:rFonts w:ascii="Times New Roman" w:hAnsi="Times New Roman"/>
                <w:sz w:val="21"/>
                <w:szCs w:val="21"/>
              </w:rPr>
            </w:pPr>
          </w:p>
        </w:tc>
      </w:tr>
      <w:tr w:rsidR="009C353B" w14:paraId="7E70AF60" w14:textId="77777777">
        <w:trPr>
          <w:trHeight w:val="340"/>
          <w:jc w:val="center"/>
        </w:trPr>
        <w:tc>
          <w:tcPr>
            <w:tcW w:w="868" w:type="dxa"/>
            <w:vAlign w:val="center"/>
          </w:tcPr>
          <w:p w14:paraId="7E83349A" w14:textId="77777777" w:rsidR="009C353B" w:rsidRDefault="00000000">
            <w:pPr>
              <w:snapToGrid w:val="0"/>
              <w:jc w:val="center"/>
              <w:rPr>
                <w:rFonts w:ascii="Times New Roman" w:hAnsi="Times New Roman"/>
                <w:sz w:val="21"/>
                <w:szCs w:val="21"/>
              </w:rPr>
            </w:pPr>
            <w:r>
              <w:rPr>
                <w:rFonts w:ascii="Times New Roman" w:hAnsi="Times New Roman"/>
                <w:sz w:val="21"/>
                <w:szCs w:val="21"/>
              </w:rPr>
              <w:t>3</w:t>
            </w:r>
          </w:p>
        </w:tc>
        <w:tc>
          <w:tcPr>
            <w:tcW w:w="2574" w:type="dxa"/>
            <w:vAlign w:val="center"/>
          </w:tcPr>
          <w:p w14:paraId="0A85FD19" w14:textId="77777777" w:rsidR="009C353B" w:rsidRDefault="00000000">
            <w:pPr>
              <w:snapToGrid w:val="0"/>
              <w:jc w:val="left"/>
              <w:rPr>
                <w:rFonts w:ascii="Times New Roman" w:hAnsi="Times New Roman"/>
                <w:sz w:val="21"/>
                <w:szCs w:val="21"/>
              </w:rPr>
            </w:pPr>
            <w:r>
              <w:rPr>
                <w:rFonts w:ascii="Times New Roman" w:hAnsi="Times New Roman"/>
                <w:sz w:val="21"/>
                <w:szCs w:val="21"/>
              </w:rPr>
              <w:t>红石湾矿井</w:t>
            </w:r>
            <w:r>
              <w:rPr>
                <w:rFonts w:ascii="Times New Roman" w:hAnsi="Times New Roman" w:hint="eastAsia"/>
                <w:sz w:val="21"/>
                <w:szCs w:val="21"/>
              </w:rPr>
              <w:t>及选煤厂</w:t>
            </w:r>
          </w:p>
        </w:tc>
        <w:tc>
          <w:tcPr>
            <w:tcW w:w="1218" w:type="dxa"/>
            <w:vAlign w:val="center"/>
          </w:tcPr>
          <w:p w14:paraId="514B5304" w14:textId="77777777" w:rsidR="009C353B" w:rsidRDefault="00000000">
            <w:pPr>
              <w:snapToGrid w:val="0"/>
              <w:jc w:val="center"/>
              <w:rPr>
                <w:rFonts w:ascii="Times New Roman" w:hAnsi="Times New Roman"/>
                <w:kern w:val="0"/>
                <w:sz w:val="21"/>
                <w:szCs w:val="21"/>
              </w:rPr>
            </w:pPr>
            <w:r>
              <w:rPr>
                <w:rFonts w:ascii="Times New Roman" w:hAnsi="Times New Roman" w:hint="eastAsia"/>
                <w:kern w:val="0"/>
                <w:sz w:val="21"/>
                <w:szCs w:val="21"/>
              </w:rPr>
              <w:t>978</w:t>
            </w:r>
            <w:r>
              <w:rPr>
                <w:rFonts w:ascii="Times New Roman" w:hAnsi="Times New Roman" w:hint="eastAsia"/>
                <w:kern w:val="0"/>
                <w:sz w:val="21"/>
                <w:szCs w:val="21"/>
              </w:rPr>
              <w:t>人</w:t>
            </w:r>
          </w:p>
        </w:tc>
        <w:tc>
          <w:tcPr>
            <w:tcW w:w="1761" w:type="dxa"/>
            <w:vAlign w:val="center"/>
          </w:tcPr>
          <w:p w14:paraId="51BC9D5D" w14:textId="77777777" w:rsidR="009C353B" w:rsidRDefault="00000000">
            <w:pPr>
              <w:snapToGrid w:val="0"/>
              <w:jc w:val="center"/>
              <w:rPr>
                <w:rFonts w:ascii="Times New Roman" w:hAnsi="Times New Roman"/>
                <w:sz w:val="21"/>
                <w:szCs w:val="21"/>
              </w:rPr>
            </w:pPr>
            <w:r>
              <w:rPr>
                <w:rFonts w:ascii="Times New Roman" w:hAnsi="Times New Roman"/>
                <w:sz w:val="21"/>
                <w:szCs w:val="21"/>
              </w:rPr>
              <w:t>95L/</w:t>
            </w:r>
            <w:r>
              <w:rPr>
                <w:rFonts w:ascii="Times New Roman" w:hAnsi="Times New Roman"/>
                <w:sz w:val="21"/>
                <w:szCs w:val="21"/>
              </w:rPr>
              <w:t>人</w:t>
            </w:r>
            <w:r>
              <w:rPr>
                <w:rFonts w:ascii="Times New Roman" w:hAnsi="Times New Roman"/>
                <w:sz w:val="21"/>
                <w:szCs w:val="21"/>
              </w:rPr>
              <w:t>.</w:t>
            </w:r>
            <w:r>
              <w:rPr>
                <w:rFonts w:ascii="Times New Roman" w:hAnsi="Times New Roman" w:hint="eastAsia"/>
                <w:sz w:val="21"/>
                <w:szCs w:val="21"/>
              </w:rPr>
              <w:t xml:space="preserve"> d</w:t>
            </w:r>
          </w:p>
        </w:tc>
        <w:tc>
          <w:tcPr>
            <w:tcW w:w="1216" w:type="dxa"/>
            <w:vAlign w:val="center"/>
          </w:tcPr>
          <w:p w14:paraId="4BEDDB9D"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96</w:t>
            </w:r>
            <w:r>
              <w:rPr>
                <w:rFonts w:ascii="Times New Roman" w:hAnsi="Times New Roman"/>
                <w:sz w:val="21"/>
                <w:szCs w:val="21"/>
              </w:rPr>
              <w:t>.0</w:t>
            </w:r>
          </w:p>
        </w:tc>
        <w:tc>
          <w:tcPr>
            <w:tcW w:w="1396" w:type="dxa"/>
            <w:vAlign w:val="center"/>
          </w:tcPr>
          <w:p w14:paraId="7F0F0646" w14:textId="77777777" w:rsidR="009C353B" w:rsidRDefault="009C353B">
            <w:pPr>
              <w:snapToGrid w:val="0"/>
              <w:jc w:val="center"/>
              <w:rPr>
                <w:rFonts w:ascii="Times New Roman" w:hAnsi="Times New Roman"/>
                <w:sz w:val="21"/>
                <w:szCs w:val="21"/>
              </w:rPr>
            </w:pPr>
          </w:p>
        </w:tc>
      </w:tr>
      <w:tr w:rsidR="009C353B" w14:paraId="1BF672CE" w14:textId="77777777">
        <w:trPr>
          <w:trHeight w:val="340"/>
          <w:jc w:val="center"/>
        </w:trPr>
        <w:tc>
          <w:tcPr>
            <w:tcW w:w="868" w:type="dxa"/>
            <w:vAlign w:val="center"/>
          </w:tcPr>
          <w:p w14:paraId="4404F122" w14:textId="77777777" w:rsidR="009C353B" w:rsidRDefault="00000000">
            <w:pPr>
              <w:snapToGrid w:val="0"/>
              <w:jc w:val="center"/>
              <w:rPr>
                <w:rFonts w:ascii="Times New Roman" w:hAnsi="Times New Roman"/>
                <w:sz w:val="21"/>
                <w:szCs w:val="21"/>
              </w:rPr>
            </w:pPr>
            <w:r>
              <w:rPr>
                <w:rFonts w:ascii="Times New Roman" w:hAnsi="Times New Roman"/>
                <w:sz w:val="21"/>
                <w:szCs w:val="21"/>
              </w:rPr>
              <w:t>4</w:t>
            </w:r>
          </w:p>
        </w:tc>
        <w:tc>
          <w:tcPr>
            <w:tcW w:w="2574" w:type="dxa"/>
            <w:vAlign w:val="center"/>
          </w:tcPr>
          <w:p w14:paraId="0CA3778D"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丁家梁</w:t>
            </w:r>
            <w:r>
              <w:rPr>
                <w:rFonts w:ascii="Times New Roman" w:hAnsi="Times New Roman"/>
                <w:sz w:val="21"/>
                <w:szCs w:val="21"/>
              </w:rPr>
              <w:t>矿井</w:t>
            </w:r>
          </w:p>
        </w:tc>
        <w:tc>
          <w:tcPr>
            <w:tcW w:w="1218" w:type="dxa"/>
            <w:vAlign w:val="center"/>
          </w:tcPr>
          <w:p w14:paraId="762E19A9"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500</w:t>
            </w:r>
            <w:r>
              <w:rPr>
                <w:rFonts w:ascii="Times New Roman" w:hAnsi="Times New Roman" w:hint="eastAsia"/>
                <w:kern w:val="0"/>
                <w:sz w:val="21"/>
                <w:szCs w:val="21"/>
              </w:rPr>
              <w:t>人</w:t>
            </w:r>
          </w:p>
        </w:tc>
        <w:tc>
          <w:tcPr>
            <w:tcW w:w="1761" w:type="dxa"/>
            <w:vAlign w:val="center"/>
          </w:tcPr>
          <w:p w14:paraId="619B667F" w14:textId="77777777" w:rsidR="009C353B" w:rsidRDefault="00000000">
            <w:pPr>
              <w:snapToGrid w:val="0"/>
              <w:jc w:val="center"/>
              <w:rPr>
                <w:rFonts w:ascii="Times New Roman" w:hAnsi="Times New Roman"/>
                <w:sz w:val="21"/>
                <w:szCs w:val="21"/>
              </w:rPr>
            </w:pPr>
            <w:r>
              <w:rPr>
                <w:rFonts w:ascii="Times New Roman" w:hAnsi="Times New Roman"/>
                <w:sz w:val="21"/>
                <w:szCs w:val="21"/>
              </w:rPr>
              <w:t>95L/</w:t>
            </w:r>
            <w:r>
              <w:rPr>
                <w:rFonts w:ascii="Times New Roman" w:hAnsi="Times New Roman"/>
                <w:sz w:val="21"/>
                <w:szCs w:val="21"/>
              </w:rPr>
              <w:t>人</w:t>
            </w:r>
            <w:r>
              <w:rPr>
                <w:rFonts w:ascii="Times New Roman" w:hAnsi="Times New Roman"/>
                <w:sz w:val="21"/>
                <w:szCs w:val="21"/>
              </w:rPr>
              <w:t>.</w:t>
            </w:r>
            <w:r>
              <w:rPr>
                <w:rFonts w:ascii="Times New Roman" w:hAnsi="Times New Roman" w:hint="eastAsia"/>
                <w:sz w:val="21"/>
                <w:szCs w:val="21"/>
              </w:rPr>
              <w:t xml:space="preserve"> d</w:t>
            </w:r>
          </w:p>
        </w:tc>
        <w:tc>
          <w:tcPr>
            <w:tcW w:w="1216" w:type="dxa"/>
            <w:vAlign w:val="center"/>
          </w:tcPr>
          <w:p w14:paraId="21B80AF4"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48</w:t>
            </w:r>
            <w:r>
              <w:rPr>
                <w:rFonts w:ascii="Times New Roman" w:hAnsi="Times New Roman"/>
                <w:sz w:val="21"/>
                <w:szCs w:val="21"/>
              </w:rPr>
              <w:t>.0</w:t>
            </w:r>
          </w:p>
        </w:tc>
        <w:tc>
          <w:tcPr>
            <w:tcW w:w="1396" w:type="dxa"/>
            <w:vAlign w:val="center"/>
          </w:tcPr>
          <w:p w14:paraId="2C88ECF0" w14:textId="77777777" w:rsidR="009C353B" w:rsidRDefault="009C353B">
            <w:pPr>
              <w:snapToGrid w:val="0"/>
              <w:jc w:val="center"/>
              <w:rPr>
                <w:rFonts w:ascii="Times New Roman" w:hAnsi="Times New Roman"/>
                <w:sz w:val="21"/>
                <w:szCs w:val="21"/>
              </w:rPr>
            </w:pPr>
          </w:p>
        </w:tc>
      </w:tr>
      <w:tr w:rsidR="009C353B" w14:paraId="3DC07CF8" w14:textId="77777777">
        <w:trPr>
          <w:trHeight w:val="340"/>
          <w:jc w:val="center"/>
        </w:trPr>
        <w:tc>
          <w:tcPr>
            <w:tcW w:w="868" w:type="dxa"/>
            <w:vAlign w:val="center"/>
          </w:tcPr>
          <w:p w14:paraId="589F047A" w14:textId="77777777" w:rsidR="009C353B" w:rsidRDefault="009C353B">
            <w:pPr>
              <w:snapToGrid w:val="0"/>
              <w:jc w:val="center"/>
              <w:rPr>
                <w:rFonts w:ascii="Times New Roman" w:hAnsi="Times New Roman"/>
                <w:sz w:val="21"/>
                <w:szCs w:val="21"/>
              </w:rPr>
            </w:pPr>
          </w:p>
        </w:tc>
        <w:tc>
          <w:tcPr>
            <w:tcW w:w="2574" w:type="dxa"/>
            <w:vAlign w:val="center"/>
          </w:tcPr>
          <w:p w14:paraId="677BACA3" w14:textId="77777777" w:rsidR="009C353B" w:rsidRDefault="00000000">
            <w:pPr>
              <w:snapToGrid w:val="0"/>
              <w:jc w:val="left"/>
              <w:rPr>
                <w:rFonts w:ascii="Times New Roman" w:hAnsi="Times New Roman"/>
                <w:kern w:val="0"/>
                <w:sz w:val="21"/>
                <w:szCs w:val="21"/>
              </w:rPr>
            </w:pPr>
            <w:r>
              <w:rPr>
                <w:rFonts w:ascii="Times New Roman" w:hAnsi="Times New Roman"/>
                <w:kern w:val="0"/>
                <w:sz w:val="21"/>
                <w:szCs w:val="21"/>
              </w:rPr>
              <w:t>小计</w:t>
            </w:r>
          </w:p>
        </w:tc>
        <w:tc>
          <w:tcPr>
            <w:tcW w:w="1218" w:type="dxa"/>
            <w:vAlign w:val="center"/>
          </w:tcPr>
          <w:p w14:paraId="0E9ACDC6" w14:textId="77777777" w:rsidR="009C353B" w:rsidRDefault="00000000">
            <w:pPr>
              <w:snapToGrid w:val="0"/>
              <w:jc w:val="center"/>
              <w:rPr>
                <w:rFonts w:ascii="Times New Roman" w:hAnsi="Times New Roman"/>
                <w:kern w:val="0"/>
                <w:sz w:val="21"/>
                <w:szCs w:val="21"/>
              </w:rPr>
            </w:pPr>
            <w:r>
              <w:rPr>
                <w:rFonts w:ascii="Times New Roman" w:hAnsi="Times New Roman"/>
                <w:kern w:val="0"/>
                <w:sz w:val="21"/>
                <w:szCs w:val="21"/>
              </w:rPr>
              <w:t>4</w:t>
            </w:r>
            <w:r>
              <w:rPr>
                <w:rFonts w:ascii="Times New Roman" w:hAnsi="Times New Roman" w:hint="eastAsia"/>
                <w:kern w:val="0"/>
                <w:sz w:val="21"/>
                <w:szCs w:val="21"/>
              </w:rPr>
              <w:t>33</w:t>
            </w:r>
            <w:r>
              <w:rPr>
                <w:rFonts w:ascii="Times New Roman" w:hAnsi="Times New Roman"/>
                <w:kern w:val="0"/>
                <w:sz w:val="21"/>
                <w:szCs w:val="21"/>
              </w:rPr>
              <w:t>0</w:t>
            </w:r>
            <w:r>
              <w:rPr>
                <w:rFonts w:ascii="Times New Roman" w:hAnsi="Times New Roman" w:hint="eastAsia"/>
                <w:kern w:val="0"/>
                <w:sz w:val="21"/>
                <w:szCs w:val="21"/>
              </w:rPr>
              <w:t>人</w:t>
            </w:r>
          </w:p>
        </w:tc>
        <w:tc>
          <w:tcPr>
            <w:tcW w:w="1761" w:type="dxa"/>
            <w:vAlign w:val="center"/>
          </w:tcPr>
          <w:p w14:paraId="63D4CF43" w14:textId="77777777" w:rsidR="009C353B" w:rsidRDefault="009C353B">
            <w:pPr>
              <w:snapToGrid w:val="0"/>
              <w:jc w:val="center"/>
              <w:rPr>
                <w:rFonts w:ascii="Times New Roman" w:hAnsi="Times New Roman"/>
                <w:sz w:val="21"/>
                <w:szCs w:val="21"/>
              </w:rPr>
            </w:pPr>
          </w:p>
        </w:tc>
        <w:tc>
          <w:tcPr>
            <w:tcW w:w="1216" w:type="dxa"/>
            <w:vAlign w:val="center"/>
          </w:tcPr>
          <w:p w14:paraId="76202F3A"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396</w:t>
            </w:r>
            <w:r>
              <w:rPr>
                <w:rFonts w:ascii="Times New Roman" w:hAnsi="Times New Roman"/>
                <w:sz w:val="21"/>
                <w:szCs w:val="21"/>
              </w:rPr>
              <w:t>.0</w:t>
            </w:r>
          </w:p>
        </w:tc>
        <w:tc>
          <w:tcPr>
            <w:tcW w:w="1396" w:type="dxa"/>
            <w:vAlign w:val="center"/>
          </w:tcPr>
          <w:p w14:paraId="4BC0C7DE" w14:textId="77777777" w:rsidR="009C353B" w:rsidRDefault="009C353B">
            <w:pPr>
              <w:snapToGrid w:val="0"/>
              <w:jc w:val="center"/>
              <w:rPr>
                <w:rFonts w:ascii="Times New Roman" w:hAnsi="Times New Roman"/>
                <w:sz w:val="21"/>
                <w:szCs w:val="21"/>
              </w:rPr>
            </w:pPr>
          </w:p>
        </w:tc>
      </w:tr>
      <w:tr w:rsidR="009C353B" w14:paraId="4AB207AB" w14:textId="77777777">
        <w:trPr>
          <w:trHeight w:val="340"/>
          <w:jc w:val="center"/>
        </w:trPr>
        <w:tc>
          <w:tcPr>
            <w:tcW w:w="868" w:type="dxa"/>
            <w:vAlign w:val="center"/>
          </w:tcPr>
          <w:p w14:paraId="1C871076" w14:textId="77777777" w:rsidR="009C353B" w:rsidRDefault="00000000">
            <w:pPr>
              <w:snapToGrid w:val="0"/>
              <w:jc w:val="center"/>
              <w:rPr>
                <w:rFonts w:ascii="Times New Roman" w:hAnsi="Times New Roman"/>
                <w:sz w:val="21"/>
                <w:szCs w:val="21"/>
              </w:rPr>
            </w:pPr>
            <w:r>
              <w:rPr>
                <w:rFonts w:ascii="Times New Roman" w:hAnsi="Times New Roman"/>
                <w:sz w:val="21"/>
                <w:szCs w:val="21"/>
              </w:rPr>
              <w:t>二</w:t>
            </w:r>
          </w:p>
        </w:tc>
        <w:tc>
          <w:tcPr>
            <w:tcW w:w="2574" w:type="dxa"/>
            <w:vAlign w:val="center"/>
          </w:tcPr>
          <w:p w14:paraId="048F3498" w14:textId="77777777" w:rsidR="009C353B" w:rsidRDefault="00000000">
            <w:pPr>
              <w:snapToGrid w:val="0"/>
              <w:jc w:val="left"/>
              <w:rPr>
                <w:rFonts w:ascii="Times New Roman" w:hAnsi="Times New Roman"/>
                <w:sz w:val="21"/>
                <w:szCs w:val="21"/>
              </w:rPr>
            </w:pPr>
            <w:r>
              <w:rPr>
                <w:rFonts w:ascii="Times New Roman" w:hAnsi="Times New Roman"/>
                <w:sz w:val="21"/>
                <w:szCs w:val="21"/>
              </w:rPr>
              <w:t>矿区生产用水</w:t>
            </w:r>
          </w:p>
        </w:tc>
        <w:tc>
          <w:tcPr>
            <w:tcW w:w="1218" w:type="dxa"/>
            <w:vAlign w:val="center"/>
          </w:tcPr>
          <w:p w14:paraId="04E167C4" w14:textId="77777777" w:rsidR="009C353B" w:rsidRDefault="009C353B">
            <w:pPr>
              <w:snapToGrid w:val="0"/>
              <w:jc w:val="center"/>
              <w:rPr>
                <w:rFonts w:ascii="Times New Roman" w:hAnsi="Times New Roman"/>
                <w:sz w:val="21"/>
                <w:szCs w:val="21"/>
              </w:rPr>
            </w:pPr>
          </w:p>
        </w:tc>
        <w:tc>
          <w:tcPr>
            <w:tcW w:w="1761" w:type="dxa"/>
            <w:vAlign w:val="center"/>
          </w:tcPr>
          <w:p w14:paraId="565674B0" w14:textId="77777777" w:rsidR="009C353B" w:rsidRDefault="009C353B">
            <w:pPr>
              <w:snapToGrid w:val="0"/>
              <w:jc w:val="center"/>
              <w:rPr>
                <w:rFonts w:ascii="Times New Roman" w:hAnsi="Times New Roman"/>
                <w:sz w:val="21"/>
                <w:szCs w:val="21"/>
              </w:rPr>
            </w:pPr>
          </w:p>
        </w:tc>
        <w:tc>
          <w:tcPr>
            <w:tcW w:w="1216" w:type="dxa"/>
            <w:vAlign w:val="center"/>
          </w:tcPr>
          <w:p w14:paraId="4DC75D67" w14:textId="77777777" w:rsidR="009C353B" w:rsidRDefault="009C353B">
            <w:pPr>
              <w:snapToGrid w:val="0"/>
              <w:jc w:val="center"/>
              <w:rPr>
                <w:rFonts w:ascii="Times New Roman" w:hAnsi="Times New Roman"/>
                <w:sz w:val="21"/>
                <w:szCs w:val="21"/>
              </w:rPr>
            </w:pPr>
          </w:p>
        </w:tc>
        <w:tc>
          <w:tcPr>
            <w:tcW w:w="1396" w:type="dxa"/>
            <w:vAlign w:val="center"/>
          </w:tcPr>
          <w:p w14:paraId="74570D9C" w14:textId="77777777" w:rsidR="009C353B" w:rsidRDefault="009C353B">
            <w:pPr>
              <w:snapToGrid w:val="0"/>
              <w:jc w:val="center"/>
              <w:rPr>
                <w:rFonts w:ascii="Times New Roman" w:hAnsi="Times New Roman"/>
                <w:sz w:val="21"/>
                <w:szCs w:val="21"/>
              </w:rPr>
            </w:pPr>
          </w:p>
        </w:tc>
      </w:tr>
      <w:tr w:rsidR="009C353B" w14:paraId="03F398AC" w14:textId="77777777">
        <w:trPr>
          <w:trHeight w:val="340"/>
          <w:jc w:val="center"/>
        </w:trPr>
        <w:tc>
          <w:tcPr>
            <w:tcW w:w="868" w:type="dxa"/>
            <w:vMerge w:val="restart"/>
            <w:vAlign w:val="center"/>
          </w:tcPr>
          <w:p w14:paraId="2ADCF77A" w14:textId="77777777" w:rsidR="009C353B" w:rsidRDefault="00000000">
            <w:pPr>
              <w:snapToGrid w:val="0"/>
              <w:jc w:val="center"/>
              <w:rPr>
                <w:rFonts w:ascii="Times New Roman" w:hAnsi="Times New Roman"/>
                <w:sz w:val="21"/>
                <w:szCs w:val="21"/>
              </w:rPr>
            </w:pPr>
            <w:r>
              <w:rPr>
                <w:rFonts w:ascii="Times New Roman" w:hAnsi="Times New Roman"/>
                <w:sz w:val="21"/>
                <w:szCs w:val="21"/>
              </w:rPr>
              <w:t>1</w:t>
            </w:r>
          </w:p>
        </w:tc>
        <w:tc>
          <w:tcPr>
            <w:tcW w:w="2574" w:type="dxa"/>
            <w:vAlign w:val="center"/>
          </w:tcPr>
          <w:p w14:paraId="7A0EBA51" w14:textId="77777777" w:rsidR="009C353B" w:rsidRDefault="00000000">
            <w:pPr>
              <w:snapToGrid w:val="0"/>
              <w:jc w:val="left"/>
              <w:rPr>
                <w:rFonts w:ascii="Times New Roman" w:hAnsi="Times New Roman"/>
                <w:sz w:val="21"/>
                <w:szCs w:val="21"/>
              </w:rPr>
            </w:pPr>
            <w:r>
              <w:rPr>
                <w:rFonts w:ascii="Times New Roman" w:hAnsi="Times New Roman"/>
                <w:sz w:val="21"/>
                <w:szCs w:val="21"/>
              </w:rPr>
              <w:t>马莲台矿井</w:t>
            </w:r>
          </w:p>
        </w:tc>
        <w:tc>
          <w:tcPr>
            <w:tcW w:w="1218" w:type="dxa"/>
            <w:vAlign w:val="center"/>
          </w:tcPr>
          <w:p w14:paraId="220E9BB4" w14:textId="77777777" w:rsidR="009C353B" w:rsidRDefault="00000000">
            <w:pPr>
              <w:snapToGrid w:val="0"/>
              <w:jc w:val="center"/>
              <w:rPr>
                <w:rFonts w:ascii="Times New Roman" w:hAnsi="Times New Roman"/>
                <w:sz w:val="21"/>
                <w:szCs w:val="21"/>
              </w:rPr>
            </w:pPr>
            <w:r>
              <w:rPr>
                <w:rFonts w:ascii="Times New Roman" w:hAnsi="Times New Roman"/>
                <w:sz w:val="21"/>
                <w:szCs w:val="21"/>
              </w:rPr>
              <w:t>3.6Mt/a</w:t>
            </w:r>
          </w:p>
        </w:tc>
        <w:tc>
          <w:tcPr>
            <w:tcW w:w="1761" w:type="dxa"/>
            <w:vAlign w:val="center"/>
          </w:tcPr>
          <w:p w14:paraId="25781FFC" w14:textId="77777777" w:rsidR="009C353B" w:rsidRDefault="00000000">
            <w:pPr>
              <w:snapToGrid w:val="0"/>
              <w:jc w:val="center"/>
              <w:rPr>
                <w:rFonts w:ascii="Times New Roman" w:hAnsi="Times New Roman"/>
                <w:sz w:val="21"/>
                <w:szCs w:val="21"/>
              </w:rPr>
            </w:pPr>
            <w:r>
              <w:rPr>
                <w:rFonts w:ascii="Times New Roman" w:hAnsi="Times New Roman"/>
                <w:sz w:val="21"/>
                <w:szCs w:val="21"/>
              </w:rPr>
              <w:t>0.3 m</w:t>
            </w:r>
            <w:r>
              <w:rPr>
                <w:rFonts w:ascii="Times New Roman" w:hAnsi="Times New Roman"/>
                <w:sz w:val="21"/>
                <w:szCs w:val="21"/>
                <w:vertAlign w:val="superscript"/>
              </w:rPr>
              <w:t>3</w:t>
            </w:r>
            <w:r>
              <w:rPr>
                <w:rFonts w:ascii="Times New Roman" w:hAnsi="Times New Roman"/>
                <w:sz w:val="21"/>
                <w:szCs w:val="21"/>
              </w:rPr>
              <w:t>/t.</w:t>
            </w:r>
            <w:r>
              <w:rPr>
                <w:rFonts w:ascii="Times New Roman" w:hAnsi="Times New Roman"/>
                <w:sz w:val="21"/>
                <w:szCs w:val="21"/>
              </w:rPr>
              <w:t>煤</w:t>
            </w:r>
          </w:p>
        </w:tc>
        <w:tc>
          <w:tcPr>
            <w:tcW w:w="1216" w:type="dxa"/>
            <w:vAlign w:val="center"/>
          </w:tcPr>
          <w:p w14:paraId="0C6FC6FD" w14:textId="77777777" w:rsidR="009C353B" w:rsidRDefault="00000000">
            <w:pPr>
              <w:snapToGrid w:val="0"/>
              <w:jc w:val="center"/>
              <w:rPr>
                <w:rFonts w:ascii="Times New Roman" w:hAnsi="Times New Roman"/>
                <w:sz w:val="21"/>
                <w:szCs w:val="21"/>
              </w:rPr>
            </w:pPr>
            <w:r>
              <w:rPr>
                <w:rFonts w:ascii="Times New Roman" w:hAnsi="Times New Roman"/>
                <w:sz w:val="21"/>
                <w:szCs w:val="21"/>
              </w:rPr>
              <w:t>3272.0</w:t>
            </w:r>
          </w:p>
        </w:tc>
        <w:tc>
          <w:tcPr>
            <w:tcW w:w="1396" w:type="dxa"/>
            <w:vAlign w:val="center"/>
          </w:tcPr>
          <w:p w14:paraId="3731937B" w14:textId="77777777" w:rsidR="009C353B" w:rsidRDefault="009C353B">
            <w:pPr>
              <w:snapToGrid w:val="0"/>
              <w:jc w:val="center"/>
              <w:rPr>
                <w:rFonts w:ascii="Times New Roman" w:hAnsi="Times New Roman"/>
                <w:sz w:val="21"/>
                <w:szCs w:val="21"/>
              </w:rPr>
            </w:pPr>
          </w:p>
        </w:tc>
      </w:tr>
      <w:tr w:rsidR="009C353B" w14:paraId="2B6AE7DA" w14:textId="77777777">
        <w:trPr>
          <w:trHeight w:val="340"/>
          <w:jc w:val="center"/>
        </w:trPr>
        <w:tc>
          <w:tcPr>
            <w:tcW w:w="868" w:type="dxa"/>
            <w:vMerge/>
            <w:vAlign w:val="center"/>
          </w:tcPr>
          <w:p w14:paraId="3334C0CC" w14:textId="77777777" w:rsidR="009C353B" w:rsidRDefault="009C353B">
            <w:pPr>
              <w:snapToGrid w:val="0"/>
              <w:jc w:val="center"/>
              <w:rPr>
                <w:rFonts w:ascii="Times New Roman" w:hAnsi="Times New Roman"/>
                <w:sz w:val="21"/>
                <w:szCs w:val="21"/>
              </w:rPr>
            </w:pPr>
          </w:p>
        </w:tc>
        <w:tc>
          <w:tcPr>
            <w:tcW w:w="2574" w:type="dxa"/>
            <w:vAlign w:val="center"/>
          </w:tcPr>
          <w:p w14:paraId="09D52270" w14:textId="77777777" w:rsidR="009C353B" w:rsidRDefault="00000000">
            <w:pPr>
              <w:snapToGrid w:val="0"/>
              <w:jc w:val="left"/>
              <w:rPr>
                <w:rFonts w:ascii="Times New Roman" w:hAnsi="Times New Roman"/>
                <w:sz w:val="21"/>
                <w:szCs w:val="21"/>
              </w:rPr>
            </w:pPr>
            <w:r>
              <w:rPr>
                <w:rFonts w:ascii="Times New Roman" w:hAnsi="Times New Roman"/>
                <w:sz w:val="21"/>
                <w:szCs w:val="21"/>
              </w:rPr>
              <w:t>马莲台</w:t>
            </w:r>
            <w:r>
              <w:rPr>
                <w:rFonts w:ascii="Times New Roman" w:hAnsi="Times New Roman" w:hint="eastAsia"/>
                <w:sz w:val="21"/>
                <w:szCs w:val="21"/>
              </w:rPr>
              <w:t>选煤厂</w:t>
            </w:r>
          </w:p>
        </w:tc>
        <w:tc>
          <w:tcPr>
            <w:tcW w:w="1218" w:type="dxa"/>
            <w:vAlign w:val="center"/>
          </w:tcPr>
          <w:p w14:paraId="5096CB5F"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1.0</w:t>
            </w:r>
            <w:r>
              <w:rPr>
                <w:rFonts w:ascii="Times New Roman" w:hAnsi="Times New Roman"/>
                <w:sz w:val="21"/>
                <w:szCs w:val="21"/>
              </w:rPr>
              <w:t xml:space="preserve"> Mt/a</w:t>
            </w:r>
          </w:p>
        </w:tc>
        <w:tc>
          <w:tcPr>
            <w:tcW w:w="1761" w:type="dxa"/>
            <w:vAlign w:val="center"/>
          </w:tcPr>
          <w:p w14:paraId="4404ED8D" w14:textId="77777777" w:rsidR="009C353B" w:rsidRDefault="00000000">
            <w:pPr>
              <w:snapToGrid w:val="0"/>
              <w:jc w:val="center"/>
              <w:rPr>
                <w:rFonts w:ascii="Times New Roman" w:hAnsi="Times New Roman"/>
                <w:sz w:val="21"/>
                <w:szCs w:val="21"/>
              </w:rPr>
            </w:pPr>
            <w:r>
              <w:rPr>
                <w:rFonts w:ascii="Times New Roman" w:hAnsi="Times New Roman"/>
                <w:sz w:val="21"/>
                <w:szCs w:val="21"/>
              </w:rPr>
              <w:t>0.1 m</w:t>
            </w:r>
            <w:r>
              <w:rPr>
                <w:rFonts w:ascii="Times New Roman" w:hAnsi="Times New Roman"/>
                <w:sz w:val="21"/>
                <w:szCs w:val="21"/>
                <w:vertAlign w:val="superscript"/>
              </w:rPr>
              <w:t>3</w:t>
            </w:r>
            <w:r>
              <w:rPr>
                <w:rFonts w:ascii="Times New Roman" w:hAnsi="Times New Roman"/>
                <w:sz w:val="21"/>
                <w:szCs w:val="21"/>
              </w:rPr>
              <w:t>/t.</w:t>
            </w:r>
            <w:r>
              <w:rPr>
                <w:rFonts w:ascii="Times New Roman" w:hAnsi="Times New Roman"/>
                <w:sz w:val="21"/>
                <w:szCs w:val="21"/>
              </w:rPr>
              <w:t>煤</w:t>
            </w:r>
          </w:p>
        </w:tc>
        <w:tc>
          <w:tcPr>
            <w:tcW w:w="1216" w:type="dxa"/>
            <w:vAlign w:val="center"/>
          </w:tcPr>
          <w:p w14:paraId="0C1A2599"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3030</w:t>
            </w:r>
            <w:r>
              <w:rPr>
                <w:rFonts w:ascii="Times New Roman" w:hAnsi="Times New Roman"/>
                <w:sz w:val="21"/>
                <w:szCs w:val="21"/>
              </w:rPr>
              <w:t>.0</w:t>
            </w:r>
          </w:p>
        </w:tc>
        <w:tc>
          <w:tcPr>
            <w:tcW w:w="1396" w:type="dxa"/>
            <w:vAlign w:val="center"/>
          </w:tcPr>
          <w:p w14:paraId="62211D38" w14:textId="77777777" w:rsidR="009C353B" w:rsidRDefault="009C353B">
            <w:pPr>
              <w:snapToGrid w:val="0"/>
              <w:jc w:val="center"/>
              <w:rPr>
                <w:rFonts w:ascii="Times New Roman" w:hAnsi="Times New Roman"/>
                <w:sz w:val="21"/>
                <w:szCs w:val="21"/>
              </w:rPr>
            </w:pPr>
          </w:p>
        </w:tc>
      </w:tr>
      <w:tr w:rsidR="009C353B" w14:paraId="525C87BC" w14:textId="77777777">
        <w:trPr>
          <w:trHeight w:val="340"/>
          <w:jc w:val="center"/>
        </w:trPr>
        <w:tc>
          <w:tcPr>
            <w:tcW w:w="868" w:type="dxa"/>
            <w:vMerge w:val="restart"/>
            <w:vAlign w:val="center"/>
          </w:tcPr>
          <w:p w14:paraId="3F4D6F5C" w14:textId="77777777" w:rsidR="009C353B" w:rsidRDefault="00000000">
            <w:pPr>
              <w:snapToGrid w:val="0"/>
              <w:jc w:val="center"/>
              <w:rPr>
                <w:rFonts w:ascii="Times New Roman" w:hAnsi="Times New Roman"/>
                <w:sz w:val="21"/>
                <w:szCs w:val="21"/>
              </w:rPr>
            </w:pPr>
            <w:r>
              <w:rPr>
                <w:rFonts w:ascii="Times New Roman" w:hAnsi="Times New Roman"/>
                <w:sz w:val="21"/>
                <w:szCs w:val="21"/>
              </w:rPr>
              <w:t>2</w:t>
            </w:r>
          </w:p>
        </w:tc>
        <w:tc>
          <w:tcPr>
            <w:tcW w:w="2574" w:type="dxa"/>
            <w:vAlign w:val="center"/>
          </w:tcPr>
          <w:p w14:paraId="18B5FC1C" w14:textId="77777777" w:rsidR="009C353B" w:rsidRDefault="00000000">
            <w:pPr>
              <w:snapToGrid w:val="0"/>
              <w:jc w:val="left"/>
              <w:rPr>
                <w:rFonts w:ascii="Times New Roman" w:hAnsi="Times New Roman"/>
                <w:sz w:val="21"/>
                <w:szCs w:val="21"/>
              </w:rPr>
            </w:pPr>
            <w:r>
              <w:rPr>
                <w:rFonts w:ascii="Times New Roman" w:hAnsi="Times New Roman"/>
                <w:sz w:val="21"/>
                <w:szCs w:val="21"/>
              </w:rPr>
              <w:t>任家庄矿井</w:t>
            </w:r>
          </w:p>
        </w:tc>
        <w:tc>
          <w:tcPr>
            <w:tcW w:w="1218" w:type="dxa"/>
            <w:vAlign w:val="center"/>
          </w:tcPr>
          <w:p w14:paraId="18956FED" w14:textId="77777777" w:rsidR="009C353B" w:rsidRDefault="00000000">
            <w:pPr>
              <w:snapToGrid w:val="0"/>
              <w:jc w:val="center"/>
              <w:rPr>
                <w:rFonts w:ascii="Times New Roman" w:hAnsi="Times New Roman"/>
                <w:sz w:val="21"/>
                <w:szCs w:val="21"/>
              </w:rPr>
            </w:pPr>
            <w:r>
              <w:rPr>
                <w:rFonts w:ascii="Times New Roman" w:hAnsi="Times New Roman"/>
                <w:sz w:val="21"/>
                <w:szCs w:val="21"/>
              </w:rPr>
              <w:t>3.6Mt/a</w:t>
            </w:r>
          </w:p>
        </w:tc>
        <w:tc>
          <w:tcPr>
            <w:tcW w:w="1761" w:type="dxa"/>
            <w:vAlign w:val="center"/>
          </w:tcPr>
          <w:p w14:paraId="37F3A1F4" w14:textId="77777777" w:rsidR="009C353B" w:rsidRDefault="00000000">
            <w:pPr>
              <w:snapToGrid w:val="0"/>
              <w:jc w:val="center"/>
              <w:rPr>
                <w:rFonts w:ascii="Times New Roman" w:hAnsi="Times New Roman"/>
                <w:sz w:val="21"/>
                <w:szCs w:val="21"/>
              </w:rPr>
            </w:pPr>
            <w:r>
              <w:rPr>
                <w:rFonts w:ascii="Times New Roman" w:hAnsi="Times New Roman"/>
                <w:sz w:val="21"/>
                <w:szCs w:val="21"/>
              </w:rPr>
              <w:t>0.3m</w:t>
            </w:r>
            <w:r>
              <w:rPr>
                <w:rFonts w:ascii="Times New Roman" w:hAnsi="Times New Roman"/>
                <w:sz w:val="21"/>
                <w:szCs w:val="21"/>
                <w:vertAlign w:val="superscript"/>
              </w:rPr>
              <w:t>3</w:t>
            </w:r>
            <w:r>
              <w:rPr>
                <w:rFonts w:ascii="Times New Roman" w:hAnsi="Times New Roman"/>
                <w:sz w:val="21"/>
                <w:szCs w:val="21"/>
              </w:rPr>
              <w:t>/t.</w:t>
            </w:r>
            <w:r>
              <w:rPr>
                <w:rFonts w:ascii="Times New Roman" w:hAnsi="Times New Roman"/>
                <w:sz w:val="21"/>
                <w:szCs w:val="21"/>
              </w:rPr>
              <w:t>煤</w:t>
            </w:r>
          </w:p>
        </w:tc>
        <w:tc>
          <w:tcPr>
            <w:tcW w:w="1216" w:type="dxa"/>
            <w:vAlign w:val="center"/>
          </w:tcPr>
          <w:p w14:paraId="1898D2BA" w14:textId="77777777" w:rsidR="009C353B" w:rsidRDefault="00000000">
            <w:pPr>
              <w:snapToGrid w:val="0"/>
              <w:jc w:val="center"/>
              <w:rPr>
                <w:rFonts w:ascii="Times New Roman" w:hAnsi="Times New Roman"/>
                <w:sz w:val="21"/>
                <w:szCs w:val="21"/>
              </w:rPr>
            </w:pPr>
            <w:r>
              <w:rPr>
                <w:rFonts w:ascii="Times New Roman" w:hAnsi="Times New Roman"/>
                <w:sz w:val="21"/>
                <w:szCs w:val="21"/>
              </w:rPr>
              <w:t>3272.0</w:t>
            </w:r>
          </w:p>
        </w:tc>
        <w:tc>
          <w:tcPr>
            <w:tcW w:w="1396" w:type="dxa"/>
            <w:vAlign w:val="center"/>
          </w:tcPr>
          <w:p w14:paraId="39D8EF2E" w14:textId="77777777" w:rsidR="009C353B" w:rsidRDefault="009C353B">
            <w:pPr>
              <w:snapToGrid w:val="0"/>
              <w:jc w:val="center"/>
              <w:rPr>
                <w:rFonts w:ascii="Times New Roman" w:hAnsi="Times New Roman"/>
                <w:sz w:val="21"/>
                <w:szCs w:val="21"/>
              </w:rPr>
            </w:pPr>
          </w:p>
        </w:tc>
      </w:tr>
      <w:tr w:rsidR="009C353B" w14:paraId="1EED240C" w14:textId="77777777">
        <w:trPr>
          <w:trHeight w:val="5"/>
          <w:jc w:val="center"/>
        </w:trPr>
        <w:tc>
          <w:tcPr>
            <w:tcW w:w="868" w:type="dxa"/>
            <w:vMerge/>
            <w:vAlign w:val="center"/>
          </w:tcPr>
          <w:p w14:paraId="42D010D6" w14:textId="77777777" w:rsidR="009C353B" w:rsidRDefault="009C353B">
            <w:pPr>
              <w:snapToGrid w:val="0"/>
              <w:jc w:val="center"/>
              <w:rPr>
                <w:rFonts w:ascii="Times New Roman" w:hAnsi="Times New Roman"/>
                <w:sz w:val="21"/>
                <w:szCs w:val="21"/>
              </w:rPr>
            </w:pPr>
          </w:p>
        </w:tc>
        <w:tc>
          <w:tcPr>
            <w:tcW w:w="2574" w:type="dxa"/>
            <w:vAlign w:val="center"/>
          </w:tcPr>
          <w:p w14:paraId="4322BDE7"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任家庄选煤厂</w:t>
            </w:r>
          </w:p>
        </w:tc>
        <w:tc>
          <w:tcPr>
            <w:tcW w:w="1218" w:type="dxa"/>
            <w:vAlign w:val="center"/>
          </w:tcPr>
          <w:p w14:paraId="26DC30CB"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4.8</w:t>
            </w:r>
            <w:r>
              <w:rPr>
                <w:rFonts w:ascii="Times New Roman" w:hAnsi="Times New Roman"/>
                <w:sz w:val="21"/>
                <w:szCs w:val="21"/>
              </w:rPr>
              <w:t xml:space="preserve"> Mt/a</w:t>
            </w:r>
          </w:p>
        </w:tc>
        <w:tc>
          <w:tcPr>
            <w:tcW w:w="1761" w:type="dxa"/>
            <w:vAlign w:val="center"/>
          </w:tcPr>
          <w:p w14:paraId="6848A878" w14:textId="77777777" w:rsidR="009C353B" w:rsidRDefault="00000000">
            <w:pPr>
              <w:snapToGrid w:val="0"/>
              <w:jc w:val="center"/>
              <w:rPr>
                <w:rFonts w:ascii="Times New Roman" w:hAnsi="Times New Roman"/>
                <w:sz w:val="21"/>
                <w:szCs w:val="21"/>
              </w:rPr>
            </w:pPr>
            <w:r>
              <w:rPr>
                <w:rFonts w:ascii="Times New Roman" w:hAnsi="Times New Roman"/>
                <w:sz w:val="21"/>
                <w:szCs w:val="21"/>
              </w:rPr>
              <w:t>0.1 m</w:t>
            </w:r>
            <w:r>
              <w:rPr>
                <w:rFonts w:ascii="Times New Roman" w:hAnsi="Times New Roman"/>
                <w:sz w:val="21"/>
                <w:szCs w:val="21"/>
                <w:vertAlign w:val="superscript"/>
              </w:rPr>
              <w:t>3</w:t>
            </w:r>
            <w:r>
              <w:rPr>
                <w:rFonts w:ascii="Times New Roman" w:hAnsi="Times New Roman"/>
                <w:sz w:val="21"/>
                <w:szCs w:val="21"/>
              </w:rPr>
              <w:t>/t.</w:t>
            </w:r>
            <w:r>
              <w:rPr>
                <w:rFonts w:ascii="Times New Roman" w:hAnsi="Times New Roman"/>
                <w:sz w:val="21"/>
                <w:szCs w:val="21"/>
              </w:rPr>
              <w:t>煤</w:t>
            </w:r>
          </w:p>
        </w:tc>
        <w:tc>
          <w:tcPr>
            <w:tcW w:w="1216" w:type="dxa"/>
            <w:vAlign w:val="center"/>
          </w:tcPr>
          <w:p w14:paraId="467403CC"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1455</w:t>
            </w:r>
            <w:r>
              <w:rPr>
                <w:rFonts w:ascii="Times New Roman" w:hAnsi="Times New Roman"/>
                <w:sz w:val="21"/>
                <w:szCs w:val="21"/>
              </w:rPr>
              <w:t>.0</w:t>
            </w:r>
          </w:p>
        </w:tc>
        <w:tc>
          <w:tcPr>
            <w:tcW w:w="1396" w:type="dxa"/>
            <w:vAlign w:val="center"/>
          </w:tcPr>
          <w:p w14:paraId="6BC27AC7" w14:textId="77777777" w:rsidR="009C353B" w:rsidRDefault="009C353B">
            <w:pPr>
              <w:snapToGrid w:val="0"/>
              <w:jc w:val="center"/>
              <w:rPr>
                <w:rFonts w:ascii="Times New Roman" w:hAnsi="Times New Roman"/>
                <w:sz w:val="21"/>
                <w:szCs w:val="21"/>
              </w:rPr>
            </w:pPr>
          </w:p>
        </w:tc>
      </w:tr>
      <w:tr w:rsidR="009C353B" w14:paraId="60DE0F70" w14:textId="77777777">
        <w:trPr>
          <w:trHeight w:val="340"/>
          <w:jc w:val="center"/>
        </w:trPr>
        <w:tc>
          <w:tcPr>
            <w:tcW w:w="868" w:type="dxa"/>
            <w:vMerge w:val="restart"/>
            <w:vAlign w:val="center"/>
          </w:tcPr>
          <w:p w14:paraId="0A8CAEAA" w14:textId="77777777" w:rsidR="009C353B" w:rsidRDefault="00000000">
            <w:pPr>
              <w:snapToGrid w:val="0"/>
              <w:jc w:val="center"/>
              <w:rPr>
                <w:rFonts w:ascii="Times New Roman" w:hAnsi="Times New Roman"/>
                <w:sz w:val="21"/>
                <w:szCs w:val="21"/>
              </w:rPr>
            </w:pPr>
            <w:r>
              <w:rPr>
                <w:rFonts w:ascii="Times New Roman" w:hAnsi="Times New Roman"/>
                <w:sz w:val="21"/>
                <w:szCs w:val="21"/>
              </w:rPr>
              <w:t>3</w:t>
            </w:r>
          </w:p>
        </w:tc>
        <w:tc>
          <w:tcPr>
            <w:tcW w:w="2574" w:type="dxa"/>
            <w:vAlign w:val="center"/>
          </w:tcPr>
          <w:p w14:paraId="52155C1D" w14:textId="77777777" w:rsidR="009C353B" w:rsidRDefault="00000000">
            <w:pPr>
              <w:snapToGrid w:val="0"/>
              <w:jc w:val="left"/>
              <w:rPr>
                <w:rFonts w:ascii="Times New Roman" w:hAnsi="Times New Roman"/>
                <w:sz w:val="21"/>
                <w:szCs w:val="21"/>
              </w:rPr>
            </w:pPr>
            <w:r>
              <w:rPr>
                <w:rFonts w:ascii="Times New Roman" w:hAnsi="Times New Roman"/>
                <w:sz w:val="21"/>
                <w:szCs w:val="21"/>
              </w:rPr>
              <w:t>红石湾矿井</w:t>
            </w:r>
          </w:p>
        </w:tc>
        <w:tc>
          <w:tcPr>
            <w:tcW w:w="1218" w:type="dxa"/>
            <w:vAlign w:val="center"/>
          </w:tcPr>
          <w:p w14:paraId="187BB2C2" w14:textId="77777777" w:rsidR="009C353B" w:rsidRDefault="00000000">
            <w:pPr>
              <w:snapToGrid w:val="0"/>
              <w:jc w:val="center"/>
              <w:rPr>
                <w:rFonts w:ascii="Times New Roman" w:hAnsi="Times New Roman"/>
                <w:sz w:val="21"/>
                <w:szCs w:val="21"/>
              </w:rPr>
            </w:pPr>
            <w:r>
              <w:rPr>
                <w:rFonts w:ascii="Times New Roman" w:hAnsi="Times New Roman"/>
                <w:sz w:val="21"/>
                <w:szCs w:val="21"/>
              </w:rPr>
              <w:t>1.1Mt/a</w:t>
            </w:r>
          </w:p>
        </w:tc>
        <w:tc>
          <w:tcPr>
            <w:tcW w:w="1761" w:type="dxa"/>
            <w:vAlign w:val="center"/>
          </w:tcPr>
          <w:p w14:paraId="5C85775E" w14:textId="77777777" w:rsidR="009C353B" w:rsidRDefault="00000000">
            <w:pPr>
              <w:snapToGrid w:val="0"/>
              <w:jc w:val="center"/>
              <w:rPr>
                <w:rFonts w:ascii="Times New Roman" w:hAnsi="Times New Roman"/>
                <w:sz w:val="21"/>
                <w:szCs w:val="21"/>
              </w:rPr>
            </w:pPr>
            <w:r>
              <w:rPr>
                <w:rFonts w:ascii="Times New Roman" w:hAnsi="Times New Roman"/>
                <w:sz w:val="21"/>
                <w:szCs w:val="21"/>
              </w:rPr>
              <w:t>0.3m</w:t>
            </w:r>
            <w:r>
              <w:rPr>
                <w:rFonts w:ascii="Times New Roman" w:hAnsi="Times New Roman"/>
                <w:sz w:val="21"/>
                <w:szCs w:val="21"/>
                <w:vertAlign w:val="superscript"/>
              </w:rPr>
              <w:t>3</w:t>
            </w:r>
            <w:r>
              <w:rPr>
                <w:rFonts w:ascii="Times New Roman" w:hAnsi="Times New Roman"/>
                <w:sz w:val="21"/>
                <w:szCs w:val="21"/>
              </w:rPr>
              <w:t>/t.</w:t>
            </w:r>
            <w:r>
              <w:rPr>
                <w:rFonts w:ascii="Times New Roman" w:hAnsi="Times New Roman"/>
                <w:sz w:val="21"/>
                <w:szCs w:val="21"/>
              </w:rPr>
              <w:t>煤</w:t>
            </w:r>
          </w:p>
        </w:tc>
        <w:tc>
          <w:tcPr>
            <w:tcW w:w="1216" w:type="dxa"/>
            <w:vAlign w:val="center"/>
          </w:tcPr>
          <w:p w14:paraId="07414883" w14:textId="77777777" w:rsidR="009C353B" w:rsidRDefault="00000000">
            <w:pPr>
              <w:snapToGrid w:val="0"/>
              <w:jc w:val="center"/>
              <w:rPr>
                <w:rFonts w:ascii="Times New Roman" w:hAnsi="Times New Roman"/>
                <w:sz w:val="21"/>
                <w:szCs w:val="21"/>
              </w:rPr>
            </w:pPr>
            <w:r>
              <w:rPr>
                <w:rFonts w:ascii="Times New Roman" w:hAnsi="Times New Roman"/>
                <w:sz w:val="21"/>
                <w:szCs w:val="21"/>
              </w:rPr>
              <w:t>1000.0</w:t>
            </w:r>
          </w:p>
        </w:tc>
        <w:tc>
          <w:tcPr>
            <w:tcW w:w="1396" w:type="dxa"/>
            <w:vAlign w:val="center"/>
          </w:tcPr>
          <w:p w14:paraId="6E878AA0" w14:textId="77777777" w:rsidR="009C353B" w:rsidRDefault="009C353B">
            <w:pPr>
              <w:snapToGrid w:val="0"/>
              <w:jc w:val="center"/>
              <w:rPr>
                <w:rFonts w:ascii="Times New Roman" w:hAnsi="Times New Roman"/>
                <w:sz w:val="21"/>
                <w:szCs w:val="21"/>
              </w:rPr>
            </w:pPr>
          </w:p>
        </w:tc>
      </w:tr>
      <w:tr w:rsidR="009C353B" w14:paraId="0172FDAE" w14:textId="77777777">
        <w:trPr>
          <w:trHeight w:val="340"/>
          <w:jc w:val="center"/>
        </w:trPr>
        <w:tc>
          <w:tcPr>
            <w:tcW w:w="868" w:type="dxa"/>
            <w:vMerge/>
            <w:vAlign w:val="center"/>
          </w:tcPr>
          <w:p w14:paraId="42032A82" w14:textId="77777777" w:rsidR="009C353B" w:rsidRDefault="009C353B">
            <w:pPr>
              <w:snapToGrid w:val="0"/>
              <w:jc w:val="center"/>
              <w:rPr>
                <w:rFonts w:ascii="Times New Roman" w:hAnsi="Times New Roman"/>
                <w:sz w:val="21"/>
                <w:szCs w:val="21"/>
              </w:rPr>
            </w:pPr>
          </w:p>
        </w:tc>
        <w:tc>
          <w:tcPr>
            <w:tcW w:w="2574" w:type="dxa"/>
            <w:vAlign w:val="center"/>
          </w:tcPr>
          <w:p w14:paraId="0E828982"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红石湾选煤厂</w:t>
            </w:r>
          </w:p>
        </w:tc>
        <w:tc>
          <w:tcPr>
            <w:tcW w:w="1218" w:type="dxa"/>
            <w:vAlign w:val="center"/>
          </w:tcPr>
          <w:p w14:paraId="40E1F042" w14:textId="77777777" w:rsidR="009C353B" w:rsidRDefault="00000000">
            <w:pPr>
              <w:snapToGrid w:val="0"/>
              <w:jc w:val="center"/>
              <w:rPr>
                <w:rFonts w:ascii="Times New Roman" w:hAnsi="Times New Roman"/>
                <w:sz w:val="21"/>
                <w:szCs w:val="21"/>
              </w:rPr>
            </w:pPr>
            <w:r>
              <w:rPr>
                <w:rFonts w:ascii="Times New Roman" w:hAnsi="Times New Roman"/>
                <w:sz w:val="21"/>
                <w:szCs w:val="21"/>
              </w:rPr>
              <w:t>1</w:t>
            </w:r>
            <w:r>
              <w:rPr>
                <w:rFonts w:ascii="Times New Roman" w:hAnsi="Times New Roman" w:hint="eastAsia"/>
                <w:sz w:val="21"/>
                <w:szCs w:val="21"/>
              </w:rPr>
              <w:t>2</w:t>
            </w:r>
            <w:r>
              <w:rPr>
                <w:rFonts w:ascii="Times New Roman" w:hAnsi="Times New Roman"/>
                <w:sz w:val="21"/>
                <w:szCs w:val="21"/>
              </w:rPr>
              <w:t>Mt/a</w:t>
            </w:r>
          </w:p>
        </w:tc>
        <w:tc>
          <w:tcPr>
            <w:tcW w:w="1761" w:type="dxa"/>
            <w:vAlign w:val="center"/>
          </w:tcPr>
          <w:p w14:paraId="36CAD803" w14:textId="77777777" w:rsidR="009C353B" w:rsidRDefault="00000000">
            <w:pPr>
              <w:snapToGrid w:val="0"/>
              <w:jc w:val="center"/>
              <w:rPr>
                <w:rFonts w:ascii="Times New Roman" w:hAnsi="Times New Roman"/>
                <w:sz w:val="21"/>
                <w:szCs w:val="21"/>
              </w:rPr>
            </w:pPr>
            <w:r>
              <w:rPr>
                <w:rFonts w:ascii="Times New Roman" w:hAnsi="Times New Roman"/>
                <w:sz w:val="21"/>
                <w:szCs w:val="21"/>
              </w:rPr>
              <w:t>0.1 m</w:t>
            </w:r>
            <w:r>
              <w:rPr>
                <w:rFonts w:ascii="Times New Roman" w:hAnsi="Times New Roman"/>
                <w:sz w:val="21"/>
                <w:szCs w:val="21"/>
                <w:vertAlign w:val="superscript"/>
              </w:rPr>
              <w:t>3</w:t>
            </w:r>
            <w:r>
              <w:rPr>
                <w:rFonts w:ascii="Times New Roman" w:hAnsi="Times New Roman"/>
                <w:sz w:val="21"/>
                <w:szCs w:val="21"/>
              </w:rPr>
              <w:t>/t.</w:t>
            </w:r>
            <w:r>
              <w:rPr>
                <w:rFonts w:ascii="Times New Roman" w:hAnsi="Times New Roman"/>
                <w:sz w:val="21"/>
                <w:szCs w:val="21"/>
              </w:rPr>
              <w:t>煤</w:t>
            </w:r>
          </w:p>
        </w:tc>
        <w:tc>
          <w:tcPr>
            <w:tcW w:w="1216" w:type="dxa"/>
            <w:vAlign w:val="center"/>
          </w:tcPr>
          <w:p w14:paraId="1ECDC23C"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364</w:t>
            </w:r>
            <w:r>
              <w:rPr>
                <w:rFonts w:ascii="Times New Roman" w:hAnsi="Times New Roman"/>
                <w:sz w:val="21"/>
                <w:szCs w:val="21"/>
              </w:rPr>
              <w:t>.0</w:t>
            </w:r>
          </w:p>
        </w:tc>
        <w:tc>
          <w:tcPr>
            <w:tcW w:w="1396" w:type="dxa"/>
            <w:vAlign w:val="center"/>
          </w:tcPr>
          <w:p w14:paraId="56A134CA" w14:textId="77777777" w:rsidR="009C353B" w:rsidRDefault="009C353B">
            <w:pPr>
              <w:snapToGrid w:val="0"/>
              <w:jc w:val="center"/>
              <w:rPr>
                <w:rFonts w:ascii="Times New Roman" w:hAnsi="Times New Roman"/>
                <w:sz w:val="21"/>
                <w:szCs w:val="21"/>
              </w:rPr>
            </w:pPr>
          </w:p>
        </w:tc>
      </w:tr>
      <w:tr w:rsidR="009C353B" w14:paraId="7AC72EE9" w14:textId="77777777">
        <w:trPr>
          <w:trHeight w:val="340"/>
          <w:jc w:val="center"/>
        </w:trPr>
        <w:tc>
          <w:tcPr>
            <w:tcW w:w="868" w:type="dxa"/>
            <w:vAlign w:val="center"/>
          </w:tcPr>
          <w:p w14:paraId="337ABCF3" w14:textId="77777777" w:rsidR="009C353B" w:rsidRDefault="00000000">
            <w:pPr>
              <w:snapToGrid w:val="0"/>
              <w:jc w:val="center"/>
              <w:rPr>
                <w:rFonts w:ascii="Times New Roman" w:hAnsi="Times New Roman"/>
                <w:sz w:val="21"/>
                <w:szCs w:val="21"/>
              </w:rPr>
            </w:pPr>
            <w:r>
              <w:rPr>
                <w:rFonts w:ascii="Times New Roman" w:hAnsi="Times New Roman"/>
                <w:sz w:val="21"/>
                <w:szCs w:val="21"/>
              </w:rPr>
              <w:t>4</w:t>
            </w:r>
          </w:p>
        </w:tc>
        <w:tc>
          <w:tcPr>
            <w:tcW w:w="2574" w:type="dxa"/>
            <w:vAlign w:val="center"/>
          </w:tcPr>
          <w:p w14:paraId="06AF8DB9"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丁家梁</w:t>
            </w:r>
            <w:r>
              <w:rPr>
                <w:rFonts w:ascii="Times New Roman" w:hAnsi="Times New Roman"/>
                <w:sz w:val="21"/>
                <w:szCs w:val="21"/>
              </w:rPr>
              <w:t>矿井</w:t>
            </w:r>
          </w:p>
        </w:tc>
        <w:tc>
          <w:tcPr>
            <w:tcW w:w="1218" w:type="dxa"/>
            <w:vAlign w:val="center"/>
          </w:tcPr>
          <w:p w14:paraId="17DCB037"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0.9</w:t>
            </w:r>
            <w:r>
              <w:rPr>
                <w:rFonts w:ascii="Times New Roman" w:hAnsi="Times New Roman"/>
                <w:sz w:val="21"/>
                <w:szCs w:val="21"/>
              </w:rPr>
              <w:t>Mt/a</w:t>
            </w:r>
          </w:p>
        </w:tc>
        <w:tc>
          <w:tcPr>
            <w:tcW w:w="1761" w:type="dxa"/>
            <w:vAlign w:val="center"/>
          </w:tcPr>
          <w:p w14:paraId="0860DA14" w14:textId="77777777" w:rsidR="009C353B" w:rsidRDefault="00000000">
            <w:pPr>
              <w:snapToGrid w:val="0"/>
              <w:jc w:val="center"/>
              <w:rPr>
                <w:rFonts w:ascii="Times New Roman" w:hAnsi="Times New Roman"/>
                <w:sz w:val="21"/>
                <w:szCs w:val="21"/>
              </w:rPr>
            </w:pPr>
            <w:r>
              <w:rPr>
                <w:rFonts w:ascii="Times New Roman" w:hAnsi="Times New Roman"/>
                <w:sz w:val="21"/>
                <w:szCs w:val="21"/>
              </w:rPr>
              <w:t>0.3m</w:t>
            </w:r>
            <w:r>
              <w:rPr>
                <w:rFonts w:ascii="Times New Roman" w:hAnsi="Times New Roman"/>
                <w:sz w:val="21"/>
                <w:szCs w:val="21"/>
                <w:vertAlign w:val="superscript"/>
              </w:rPr>
              <w:t>3</w:t>
            </w:r>
            <w:r>
              <w:rPr>
                <w:rFonts w:ascii="Times New Roman" w:hAnsi="Times New Roman"/>
                <w:sz w:val="21"/>
                <w:szCs w:val="21"/>
              </w:rPr>
              <w:t>/t.</w:t>
            </w:r>
            <w:r>
              <w:rPr>
                <w:rFonts w:ascii="Times New Roman" w:hAnsi="Times New Roman"/>
                <w:sz w:val="21"/>
                <w:szCs w:val="21"/>
              </w:rPr>
              <w:t>煤</w:t>
            </w:r>
          </w:p>
        </w:tc>
        <w:tc>
          <w:tcPr>
            <w:tcW w:w="1216" w:type="dxa"/>
            <w:vAlign w:val="center"/>
          </w:tcPr>
          <w:p w14:paraId="069AF3EB"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818</w:t>
            </w:r>
            <w:r>
              <w:rPr>
                <w:rFonts w:ascii="Times New Roman" w:hAnsi="Times New Roman"/>
                <w:sz w:val="21"/>
                <w:szCs w:val="21"/>
              </w:rPr>
              <w:t>.0</w:t>
            </w:r>
          </w:p>
        </w:tc>
        <w:tc>
          <w:tcPr>
            <w:tcW w:w="1396" w:type="dxa"/>
            <w:vAlign w:val="center"/>
          </w:tcPr>
          <w:p w14:paraId="018C3483" w14:textId="77777777" w:rsidR="009C353B" w:rsidRDefault="009C353B">
            <w:pPr>
              <w:snapToGrid w:val="0"/>
              <w:jc w:val="center"/>
              <w:rPr>
                <w:rFonts w:ascii="Times New Roman" w:hAnsi="Times New Roman"/>
                <w:sz w:val="21"/>
                <w:szCs w:val="21"/>
              </w:rPr>
            </w:pPr>
          </w:p>
        </w:tc>
      </w:tr>
      <w:tr w:rsidR="009C353B" w14:paraId="16E931DD" w14:textId="77777777">
        <w:trPr>
          <w:trHeight w:val="340"/>
          <w:jc w:val="center"/>
        </w:trPr>
        <w:tc>
          <w:tcPr>
            <w:tcW w:w="868" w:type="dxa"/>
            <w:vAlign w:val="center"/>
          </w:tcPr>
          <w:p w14:paraId="465F945F" w14:textId="77777777" w:rsidR="009C353B" w:rsidRDefault="009C353B">
            <w:pPr>
              <w:snapToGrid w:val="0"/>
              <w:jc w:val="center"/>
              <w:rPr>
                <w:rFonts w:ascii="Times New Roman" w:hAnsi="Times New Roman"/>
                <w:sz w:val="21"/>
                <w:szCs w:val="21"/>
              </w:rPr>
            </w:pPr>
          </w:p>
        </w:tc>
        <w:tc>
          <w:tcPr>
            <w:tcW w:w="2574" w:type="dxa"/>
            <w:vAlign w:val="center"/>
          </w:tcPr>
          <w:p w14:paraId="5BCBE789"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小</w:t>
            </w:r>
            <w:r>
              <w:rPr>
                <w:rFonts w:ascii="Times New Roman" w:hAnsi="Times New Roman"/>
                <w:sz w:val="21"/>
                <w:szCs w:val="21"/>
              </w:rPr>
              <w:t>计</w:t>
            </w:r>
          </w:p>
        </w:tc>
        <w:tc>
          <w:tcPr>
            <w:tcW w:w="1218" w:type="dxa"/>
            <w:vAlign w:val="center"/>
          </w:tcPr>
          <w:p w14:paraId="387E699B" w14:textId="77777777" w:rsidR="009C353B" w:rsidRDefault="009C353B">
            <w:pPr>
              <w:snapToGrid w:val="0"/>
              <w:jc w:val="center"/>
              <w:rPr>
                <w:rFonts w:ascii="Times New Roman" w:hAnsi="Times New Roman"/>
                <w:sz w:val="21"/>
                <w:szCs w:val="21"/>
              </w:rPr>
            </w:pPr>
          </w:p>
        </w:tc>
        <w:tc>
          <w:tcPr>
            <w:tcW w:w="1761" w:type="dxa"/>
            <w:vAlign w:val="center"/>
          </w:tcPr>
          <w:p w14:paraId="64A63C4B" w14:textId="77777777" w:rsidR="009C353B" w:rsidRDefault="009C353B">
            <w:pPr>
              <w:snapToGrid w:val="0"/>
              <w:jc w:val="center"/>
              <w:rPr>
                <w:rFonts w:ascii="Times New Roman" w:hAnsi="Times New Roman"/>
                <w:sz w:val="21"/>
                <w:szCs w:val="21"/>
              </w:rPr>
            </w:pPr>
          </w:p>
        </w:tc>
        <w:tc>
          <w:tcPr>
            <w:tcW w:w="1216" w:type="dxa"/>
            <w:vAlign w:val="center"/>
          </w:tcPr>
          <w:p w14:paraId="5863F30B"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13211</w:t>
            </w:r>
            <w:r>
              <w:rPr>
                <w:rFonts w:ascii="Times New Roman" w:hAnsi="Times New Roman"/>
                <w:sz w:val="21"/>
                <w:szCs w:val="21"/>
              </w:rPr>
              <w:t>.0</w:t>
            </w:r>
          </w:p>
        </w:tc>
        <w:tc>
          <w:tcPr>
            <w:tcW w:w="1396" w:type="dxa"/>
            <w:vAlign w:val="center"/>
          </w:tcPr>
          <w:p w14:paraId="0D6FD91F" w14:textId="77777777" w:rsidR="009C353B" w:rsidRDefault="009C353B">
            <w:pPr>
              <w:snapToGrid w:val="0"/>
              <w:jc w:val="center"/>
              <w:rPr>
                <w:rFonts w:ascii="Times New Roman" w:hAnsi="Times New Roman"/>
                <w:sz w:val="21"/>
                <w:szCs w:val="21"/>
              </w:rPr>
            </w:pPr>
          </w:p>
        </w:tc>
      </w:tr>
      <w:tr w:rsidR="009C353B" w14:paraId="7758B7F4" w14:textId="77777777">
        <w:trPr>
          <w:trHeight w:val="340"/>
          <w:jc w:val="center"/>
        </w:trPr>
        <w:tc>
          <w:tcPr>
            <w:tcW w:w="868" w:type="dxa"/>
            <w:vAlign w:val="center"/>
          </w:tcPr>
          <w:p w14:paraId="0B2A9639" w14:textId="77777777" w:rsidR="009C353B" w:rsidRDefault="009C353B">
            <w:pPr>
              <w:snapToGrid w:val="0"/>
              <w:jc w:val="center"/>
              <w:rPr>
                <w:rFonts w:ascii="Times New Roman" w:hAnsi="Times New Roman"/>
                <w:sz w:val="21"/>
                <w:szCs w:val="21"/>
              </w:rPr>
            </w:pPr>
          </w:p>
        </w:tc>
        <w:tc>
          <w:tcPr>
            <w:tcW w:w="2574" w:type="dxa"/>
            <w:vAlign w:val="center"/>
          </w:tcPr>
          <w:p w14:paraId="7BD1BF40" w14:textId="77777777" w:rsidR="009C353B" w:rsidRDefault="00000000">
            <w:pPr>
              <w:snapToGrid w:val="0"/>
              <w:jc w:val="left"/>
              <w:rPr>
                <w:rFonts w:ascii="Times New Roman" w:hAnsi="Times New Roman"/>
                <w:sz w:val="21"/>
                <w:szCs w:val="21"/>
              </w:rPr>
            </w:pPr>
            <w:r>
              <w:rPr>
                <w:rFonts w:ascii="Times New Roman" w:hAnsi="Times New Roman"/>
                <w:sz w:val="21"/>
                <w:szCs w:val="21"/>
              </w:rPr>
              <w:t>一、二总计</w:t>
            </w:r>
          </w:p>
        </w:tc>
        <w:tc>
          <w:tcPr>
            <w:tcW w:w="1218" w:type="dxa"/>
            <w:vAlign w:val="center"/>
          </w:tcPr>
          <w:p w14:paraId="38A30372" w14:textId="77777777" w:rsidR="009C353B" w:rsidRDefault="009C353B">
            <w:pPr>
              <w:snapToGrid w:val="0"/>
              <w:jc w:val="center"/>
              <w:rPr>
                <w:rFonts w:ascii="Times New Roman" w:hAnsi="Times New Roman"/>
                <w:sz w:val="21"/>
                <w:szCs w:val="21"/>
              </w:rPr>
            </w:pPr>
          </w:p>
        </w:tc>
        <w:tc>
          <w:tcPr>
            <w:tcW w:w="1761" w:type="dxa"/>
            <w:vAlign w:val="center"/>
          </w:tcPr>
          <w:p w14:paraId="60C7F65E" w14:textId="77777777" w:rsidR="009C353B" w:rsidRDefault="009C353B">
            <w:pPr>
              <w:snapToGrid w:val="0"/>
              <w:jc w:val="center"/>
              <w:rPr>
                <w:rFonts w:ascii="Times New Roman" w:hAnsi="Times New Roman"/>
                <w:sz w:val="21"/>
                <w:szCs w:val="21"/>
              </w:rPr>
            </w:pPr>
          </w:p>
        </w:tc>
        <w:tc>
          <w:tcPr>
            <w:tcW w:w="1216" w:type="dxa"/>
            <w:vAlign w:val="center"/>
          </w:tcPr>
          <w:p w14:paraId="724358B3"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13607</w:t>
            </w:r>
            <w:r>
              <w:rPr>
                <w:rFonts w:ascii="Times New Roman" w:hAnsi="Times New Roman"/>
                <w:sz w:val="21"/>
                <w:szCs w:val="21"/>
              </w:rPr>
              <w:t>.0</w:t>
            </w:r>
          </w:p>
        </w:tc>
        <w:tc>
          <w:tcPr>
            <w:tcW w:w="1396" w:type="dxa"/>
            <w:vAlign w:val="center"/>
          </w:tcPr>
          <w:p w14:paraId="1CAEC217" w14:textId="77777777" w:rsidR="009C353B" w:rsidRDefault="009C353B">
            <w:pPr>
              <w:snapToGrid w:val="0"/>
              <w:jc w:val="center"/>
              <w:rPr>
                <w:rFonts w:ascii="Times New Roman" w:hAnsi="Times New Roman"/>
                <w:sz w:val="21"/>
                <w:szCs w:val="21"/>
              </w:rPr>
            </w:pPr>
          </w:p>
        </w:tc>
      </w:tr>
    </w:tbl>
    <w:bookmarkEnd w:id="73"/>
    <w:p w14:paraId="21961669"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2.3.</w:t>
      </w:r>
      <w:r>
        <w:rPr>
          <w:rFonts w:ascii="Times New Roman" w:eastAsia="宋体" w:hAnsi="Times New Roman"/>
          <w:sz w:val="24"/>
        </w:rPr>
        <w:t>9</w:t>
      </w:r>
      <w:r>
        <w:rPr>
          <w:rFonts w:ascii="Times New Roman" w:eastAsia="宋体" w:hAnsi="Times New Roman" w:hint="eastAsia"/>
          <w:sz w:val="24"/>
        </w:rPr>
        <w:t>.2</w:t>
      </w:r>
      <w:r>
        <w:rPr>
          <w:rFonts w:ascii="Times New Roman" w:eastAsia="宋体" w:hAnsi="Times New Roman"/>
          <w:sz w:val="24"/>
        </w:rPr>
        <w:t xml:space="preserve"> </w:t>
      </w:r>
      <w:r>
        <w:rPr>
          <w:rFonts w:ascii="Times New Roman" w:eastAsia="宋体" w:hAnsi="Times New Roman"/>
          <w:sz w:val="24"/>
        </w:rPr>
        <w:t>供水</w:t>
      </w:r>
      <w:r>
        <w:rPr>
          <w:rFonts w:ascii="Times New Roman" w:eastAsia="宋体" w:hAnsi="Times New Roman" w:hint="eastAsia"/>
          <w:sz w:val="24"/>
        </w:rPr>
        <w:t>水源</w:t>
      </w:r>
    </w:p>
    <w:p w14:paraId="15E67CE9" w14:textId="77777777" w:rsidR="009C353B" w:rsidRDefault="00000000">
      <w:pPr>
        <w:pStyle w:val="zh"/>
        <w:adjustRightInd w:val="0"/>
        <w:snapToGrid w:val="0"/>
        <w:spacing w:line="440" w:lineRule="exact"/>
        <w:rPr>
          <w:rFonts w:ascii="Times New Roman" w:eastAsia="宋体" w:hAnsi="Times New Roman"/>
          <w:b w:val="0"/>
          <w:color w:val="auto"/>
          <w:sz w:val="24"/>
          <w:szCs w:val="24"/>
        </w:rPr>
      </w:pPr>
      <w:r>
        <w:rPr>
          <w:rFonts w:ascii="Times New Roman" w:eastAsia="宋体" w:hAnsi="Times New Roman" w:hint="eastAsia"/>
          <w:b w:val="0"/>
          <w:color w:val="auto"/>
          <w:sz w:val="24"/>
          <w:szCs w:val="24"/>
        </w:rPr>
        <w:t>（</w:t>
      </w:r>
      <w:r>
        <w:rPr>
          <w:rFonts w:ascii="Times New Roman" w:eastAsia="宋体" w:hAnsi="Times New Roman" w:hint="eastAsia"/>
          <w:b w:val="0"/>
          <w:color w:val="auto"/>
          <w:sz w:val="24"/>
          <w:szCs w:val="24"/>
        </w:rPr>
        <w:t>1</w:t>
      </w:r>
      <w:r>
        <w:rPr>
          <w:rFonts w:ascii="Times New Roman" w:eastAsia="宋体" w:hAnsi="Times New Roman" w:hint="eastAsia"/>
          <w:b w:val="0"/>
          <w:color w:val="auto"/>
          <w:sz w:val="24"/>
          <w:szCs w:val="24"/>
        </w:rPr>
        <w:t>）供水水源</w:t>
      </w:r>
    </w:p>
    <w:p w14:paraId="4652A40D" w14:textId="77777777" w:rsidR="009C353B" w:rsidRDefault="00000000">
      <w:pPr>
        <w:pStyle w:val="zh"/>
        <w:adjustRightInd w:val="0"/>
        <w:snapToGrid w:val="0"/>
        <w:spacing w:line="440" w:lineRule="exact"/>
        <w:rPr>
          <w:rFonts w:ascii="Times New Roman" w:eastAsia="宋体" w:hAnsi="Times New Roman"/>
          <w:b w:val="0"/>
          <w:color w:val="auto"/>
          <w:sz w:val="24"/>
          <w:szCs w:val="24"/>
        </w:rPr>
      </w:pPr>
      <w:r>
        <w:rPr>
          <w:rFonts w:ascii="Times New Roman" w:eastAsia="宋体" w:hAnsi="Times New Roman"/>
          <w:b w:val="0"/>
          <w:color w:val="auto"/>
          <w:sz w:val="24"/>
          <w:szCs w:val="24"/>
        </w:rPr>
        <w:t>本次规划矿区生产用水供水水源优先选择</w:t>
      </w:r>
      <w:r>
        <w:rPr>
          <w:rFonts w:ascii="Times New Roman" w:eastAsia="宋体" w:hAnsi="Times New Roman" w:hint="eastAsia"/>
          <w:b w:val="0"/>
          <w:color w:val="auto"/>
          <w:sz w:val="24"/>
          <w:szCs w:val="24"/>
        </w:rPr>
        <w:t>生产、生活污废水及井下排水，余量送至电厂或煤化工园区作为其生产用水；生活水源自鸭子荡水库净水站供水，用于各矿生活用水。</w:t>
      </w:r>
    </w:p>
    <w:p w14:paraId="6B6C6368" w14:textId="77777777" w:rsidR="009C353B" w:rsidRDefault="00000000">
      <w:pPr>
        <w:pStyle w:val="zh"/>
        <w:adjustRightInd w:val="0"/>
        <w:snapToGrid w:val="0"/>
        <w:spacing w:line="440" w:lineRule="exact"/>
        <w:rPr>
          <w:rFonts w:ascii="Times New Roman" w:eastAsia="宋体" w:hAnsi="Times New Roman"/>
          <w:b w:val="0"/>
          <w:color w:val="auto"/>
          <w:sz w:val="24"/>
          <w:szCs w:val="24"/>
        </w:rPr>
      </w:pPr>
      <w:r>
        <w:rPr>
          <w:rFonts w:ascii="Times New Roman" w:eastAsia="宋体" w:hAnsi="Times New Roman"/>
          <w:b w:val="0"/>
          <w:color w:val="auto"/>
          <w:sz w:val="24"/>
          <w:szCs w:val="24"/>
        </w:rPr>
        <w:t>1</w:t>
      </w:r>
      <w:r>
        <w:rPr>
          <w:rFonts w:ascii="Times New Roman" w:eastAsia="宋体" w:hAnsi="Times New Roman"/>
          <w:b w:val="0"/>
          <w:color w:val="auto"/>
          <w:sz w:val="24"/>
          <w:szCs w:val="24"/>
        </w:rPr>
        <w:t>）</w:t>
      </w:r>
      <w:r>
        <w:rPr>
          <w:rFonts w:ascii="Times New Roman" w:eastAsia="宋体" w:hAnsi="Times New Roman" w:hint="eastAsia"/>
          <w:b w:val="0"/>
          <w:color w:val="auto"/>
          <w:sz w:val="24"/>
          <w:szCs w:val="24"/>
        </w:rPr>
        <w:t>鸭子荡水库</w:t>
      </w:r>
    </w:p>
    <w:p w14:paraId="382E8112" w14:textId="77777777" w:rsidR="009C353B" w:rsidRDefault="00000000">
      <w:pPr>
        <w:pStyle w:val="zh"/>
        <w:adjustRightInd w:val="0"/>
        <w:snapToGrid w:val="0"/>
        <w:spacing w:line="440" w:lineRule="exact"/>
        <w:rPr>
          <w:rFonts w:ascii="Times New Roman" w:eastAsia="宋体" w:hAnsi="Times New Roman"/>
          <w:b w:val="0"/>
          <w:color w:val="auto"/>
          <w:sz w:val="24"/>
          <w:szCs w:val="24"/>
        </w:rPr>
      </w:pPr>
      <w:r>
        <w:rPr>
          <w:rFonts w:ascii="Times New Roman" w:eastAsia="宋体" w:hAnsi="Times New Roman" w:hint="eastAsia"/>
          <w:b w:val="0"/>
          <w:color w:val="auto"/>
          <w:sz w:val="24"/>
          <w:szCs w:val="24"/>
        </w:rPr>
        <w:t>鸭子荡水库位于宁夏银川灵武市境内，该水库为宁东能源重化工基地及宁东镇生态移民供水工程，为经由人工筑坝抽取黄河水而形成的引水型水库。由水源工程和净配水工程两部分组成，位于灵武市东部的大河子沟支流</w:t>
      </w:r>
      <w:r>
        <w:rPr>
          <w:rFonts w:ascii="Times New Roman" w:eastAsia="宋体" w:hAnsi="Times New Roman" w:hint="eastAsia"/>
          <w:b w:val="0"/>
          <w:color w:val="auto"/>
          <w:sz w:val="24"/>
          <w:szCs w:val="24"/>
        </w:rPr>
        <w:t>-</w:t>
      </w:r>
      <w:r>
        <w:rPr>
          <w:rFonts w:ascii="Times New Roman" w:eastAsia="宋体" w:hAnsi="Times New Roman" w:hint="eastAsia"/>
          <w:b w:val="0"/>
          <w:color w:val="auto"/>
          <w:sz w:val="24"/>
          <w:szCs w:val="24"/>
        </w:rPr>
        <w:t>挂井子沟，是宁东地区工业及生活供水水源，水库补给源为黄河水和大气降雨。该工程于</w:t>
      </w:r>
      <w:r>
        <w:rPr>
          <w:rFonts w:ascii="Times New Roman" w:eastAsia="宋体" w:hAnsi="Times New Roman" w:hint="eastAsia"/>
          <w:b w:val="0"/>
          <w:color w:val="auto"/>
          <w:sz w:val="24"/>
          <w:szCs w:val="24"/>
        </w:rPr>
        <w:t>2003</w:t>
      </w:r>
      <w:r>
        <w:rPr>
          <w:rFonts w:ascii="Times New Roman" w:eastAsia="宋体" w:hAnsi="Times New Roman" w:hint="eastAsia"/>
          <w:b w:val="0"/>
          <w:color w:val="auto"/>
          <w:sz w:val="24"/>
          <w:szCs w:val="24"/>
        </w:rPr>
        <w:t>年</w:t>
      </w:r>
      <w:r>
        <w:rPr>
          <w:rFonts w:ascii="Times New Roman" w:eastAsia="宋体" w:hAnsi="Times New Roman" w:hint="eastAsia"/>
          <w:b w:val="0"/>
          <w:color w:val="auto"/>
          <w:sz w:val="24"/>
          <w:szCs w:val="24"/>
        </w:rPr>
        <w:t>12</w:t>
      </w:r>
      <w:r>
        <w:rPr>
          <w:rFonts w:ascii="Times New Roman" w:eastAsia="宋体" w:hAnsi="Times New Roman" w:hint="eastAsia"/>
          <w:b w:val="0"/>
          <w:color w:val="auto"/>
          <w:sz w:val="24"/>
          <w:szCs w:val="24"/>
        </w:rPr>
        <w:t>月</w:t>
      </w:r>
      <w:r>
        <w:rPr>
          <w:rFonts w:ascii="Times New Roman" w:eastAsia="宋体" w:hAnsi="Times New Roman" w:hint="eastAsia"/>
          <w:b w:val="0"/>
          <w:color w:val="auto"/>
          <w:sz w:val="24"/>
          <w:szCs w:val="24"/>
        </w:rPr>
        <w:t>28</w:t>
      </w:r>
      <w:r>
        <w:rPr>
          <w:rFonts w:ascii="Times New Roman" w:eastAsia="宋体" w:hAnsi="Times New Roman" w:hint="eastAsia"/>
          <w:b w:val="0"/>
          <w:color w:val="auto"/>
          <w:sz w:val="24"/>
          <w:szCs w:val="24"/>
        </w:rPr>
        <w:t>日开工建设，</w:t>
      </w:r>
      <w:r>
        <w:rPr>
          <w:rFonts w:ascii="Times New Roman" w:eastAsia="宋体" w:hAnsi="Times New Roman" w:hint="eastAsia"/>
          <w:b w:val="0"/>
          <w:color w:val="auto"/>
          <w:sz w:val="24"/>
          <w:szCs w:val="24"/>
        </w:rPr>
        <w:t>2005</w:t>
      </w:r>
      <w:r>
        <w:rPr>
          <w:rFonts w:ascii="Times New Roman" w:eastAsia="宋体" w:hAnsi="Times New Roman" w:hint="eastAsia"/>
          <w:b w:val="0"/>
          <w:color w:val="auto"/>
          <w:sz w:val="24"/>
          <w:szCs w:val="24"/>
        </w:rPr>
        <w:t>年</w:t>
      </w:r>
      <w:r>
        <w:rPr>
          <w:rFonts w:ascii="Times New Roman" w:eastAsia="宋体" w:hAnsi="Times New Roman" w:hint="eastAsia"/>
          <w:b w:val="0"/>
          <w:color w:val="auto"/>
          <w:sz w:val="24"/>
          <w:szCs w:val="24"/>
        </w:rPr>
        <w:t>6</w:t>
      </w:r>
      <w:r>
        <w:rPr>
          <w:rFonts w:ascii="Times New Roman" w:eastAsia="宋体" w:hAnsi="Times New Roman" w:hint="eastAsia"/>
          <w:b w:val="0"/>
          <w:color w:val="auto"/>
          <w:sz w:val="24"/>
          <w:szCs w:val="24"/>
        </w:rPr>
        <w:t>月水源工程建成蓄水，</w:t>
      </w:r>
      <w:r>
        <w:rPr>
          <w:rFonts w:ascii="Times New Roman" w:eastAsia="宋体" w:hAnsi="Times New Roman" w:hint="eastAsia"/>
          <w:b w:val="0"/>
          <w:color w:val="auto"/>
          <w:sz w:val="24"/>
          <w:szCs w:val="24"/>
        </w:rPr>
        <w:t>2006</w:t>
      </w:r>
      <w:r>
        <w:rPr>
          <w:rFonts w:ascii="Times New Roman" w:eastAsia="宋体" w:hAnsi="Times New Roman" w:hint="eastAsia"/>
          <w:b w:val="0"/>
          <w:color w:val="auto"/>
          <w:sz w:val="24"/>
          <w:szCs w:val="24"/>
        </w:rPr>
        <w:t>年</w:t>
      </w:r>
      <w:r>
        <w:rPr>
          <w:rFonts w:ascii="Times New Roman" w:eastAsia="宋体" w:hAnsi="Times New Roman" w:hint="eastAsia"/>
          <w:b w:val="0"/>
          <w:color w:val="auto"/>
          <w:sz w:val="24"/>
          <w:szCs w:val="24"/>
        </w:rPr>
        <w:t>5</w:t>
      </w:r>
      <w:r>
        <w:rPr>
          <w:rFonts w:ascii="Times New Roman" w:eastAsia="宋体" w:hAnsi="Times New Roman" w:hint="eastAsia"/>
          <w:b w:val="0"/>
          <w:color w:val="auto"/>
          <w:sz w:val="24"/>
          <w:szCs w:val="24"/>
        </w:rPr>
        <w:t>月净配水厂建成投入使用，</w:t>
      </w:r>
      <w:r>
        <w:rPr>
          <w:rFonts w:ascii="Times New Roman" w:eastAsia="宋体" w:hAnsi="Times New Roman" w:hint="eastAsia"/>
          <w:b w:val="0"/>
          <w:color w:val="auto"/>
          <w:sz w:val="24"/>
          <w:szCs w:val="24"/>
        </w:rPr>
        <w:t>2006</w:t>
      </w:r>
      <w:r>
        <w:rPr>
          <w:rFonts w:ascii="Times New Roman" w:eastAsia="宋体" w:hAnsi="Times New Roman" w:hint="eastAsia"/>
          <w:b w:val="0"/>
          <w:color w:val="auto"/>
          <w:sz w:val="24"/>
          <w:szCs w:val="24"/>
        </w:rPr>
        <w:t>年</w:t>
      </w:r>
      <w:r>
        <w:rPr>
          <w:rFonts w:ascii="Times New Roman" w:eastAsia="宋体" w:hAnsi="Times New Roman" w:hint="eastAsia"/>
          <w:b w:val="0"/>
          <w:color w:val="auto"/>
          <w:sz w:val="24"/>
          <w:szCs w:val="24"/>
        </w:rPr>
        <w:t>12</w:t>
      </w:r>
      <w:r>
        <w:rPr>
          <w:rFonts w:ascii="Times New Roman" w:eastAsia="宋体" w:hAnsi="Times New Roman" w:hint="eastAsia"/>
          <w:b w:val="0"/>
          <w:color w:val="auto"/>
          <w:sz w:val="24"/>
          <w:szCs w:val="24"/>
        </w:rPr>
        <w:t>月宁东供水工程通过竣工验收。目前水库地域总面积</w:t>
      </w:r>
      <w:r>
        <w:rPr>
          <w:rFonts w:ascii="Times New Roman" w:eastAsia="宋体" w:hAnsi="Times New Roman" w:hint="eastAsia"/>
          <w:b w:val="0"/>
          <w:color w:val="auto"/>
          <w:sz w:val="24"/>
          <w:szCs w:val="24"/>
        </w:rPr>
        <w:t>1470hm</w:t>
      </w:r>
      <w:r>
        <w:rPr>
          <w:rFonts w:ascii="Times New Roman" w:eastAsia="宋体" w:hAnsi="Times New Roman" w:hint="eastAsia"/>
          <w:b w:val="0"/>
          <w:color w:val="auto"/>
          <w:sz w:val="24"/>
          <w:szCs w:val="24"/>
          <w:vertAlign w:val="superscript"/>
        </w:rPr>
        <w:t>2</w:t>
      </w:r>
      <w:r>
        <w:rPr>
          <w:rFonts w:ascii="Times New Roman" w:eastAsia="宋体" w:hAnsi="Times New Roman" w:hint="eastAsia"/>
          <w:b w:val="0"/>
          <w:color w:val="auto"/>
          <w:sz w:val="24"/>
          <w:szCs w:val="24"/>
        </w:rPr>
        <w:t>，水域面积</w:t>
      </w:r>
      <w:r>
        <w:rPr>
          <w:rFonts w:ascii="Times New Roman" w:eastAsia="宋体" w:hAnsi="Times New Roman" w:hint="eastAsia"/>
          <w:b w:val="0"/>
          <w:color w:val="auto"/>
          <w:sz w:val="24"/>
          <w:szCs w:val="24"/>
        </w:rPr>
        <w:t>300hm</w:t>
      </w:r>
      <w:r>
        <w:rPr>
          <w:rFonts w:ascii="Times New Roman" w:eastAsia="宋体" w:hAnsi="Times New Roman" w:hint="eastAsia"/>
          <w:b w:val="0"/>
          <w:color w:val="auto"/>
          <w:sz w:val="24"/>
          <w:szCs w:val="24"/>
          <w:vertAlign w:val="superscript"/>
        </w:rPr>
        <w:t>2</w:t>
      </w:r>
      <w:r>
        <w:rPr>
          <w:rFonts w:ascii="Times New Roman" w:eastAsia="宋体" w:hAnsi="Times New Roman" w:hint="eastAsia"/>
          <w:b w:val="0"/>
          <w:color w:val="auto"/>
          <w:sz w:val="24"/>
          <w:szCs w:val="24"/>
        </w:rPr>
        <w:t>；最大库容</w:t>
      </w:r>
      <w:r>
        <w:rPr>
          <w:rFonts w:ascii="Times New Roman" w:eastAsia="宋体" w:hAnsi="Times New Roman" w:hint="eastAsia"/>
          <w:b w:val="0"/>
          <w:color w:val="auto"/>
          <w:sz w:val="24"/>
          <w:szCs w:val="24"/>
        </w:rPr>
        <w:t>2400</w:t>
      </w:r>
      <w:r>
        <w:rPr>
          <w:rFonts w:ascii="Times New Roman" w:eastAsia="宋体" w:hAnsi="Times New Roman" w:hint="eastAsia"/>
          <w:b w:val="0"/>
          <w:color w:val="auto"/>
          <w:sz w:val="24"/>
          <w:szCs w:val="24"/>
        </w:rPr>
        <w:t>万</w:t>
      </w:r>
      <w:r>
        <w:rPr>
          <w:rFonts w:ascii="Times New Roman" w:eastAsia="宋体" w:hAnsi="Times New Roman" w:hint="eastAsia"/>
          <w:b w:val="0"/>
          <w:color w:val="auto"/>
          <w:sz w:val="24"/>
          <w:szCs w:val="24"/>
        </w:rPr>
        <w:t>m</w:t>
      </w:r>
      <w:r>
        <w:rPr>
          <w:rFonts w:ascii="Times New Roman" w:eastAsia="宋体" w:hAnsi="Times New Roman" w:hint="eastAsia"/>
          <w:b w:val="0"/>
          <w:color w:val="auto"/>
          <w:sz w:val="24"/>
          <w:szCs w:val="24"/>
          <w:vertAlign w:val="superscript"/>
        </w:rPr>
        <w:t>3</w:t>
      </w:r>
      <w:r>
        <w:rPr>
          <w:rFonts w:ascii="Times New Roman" w:eastAsia="宋体" w:hAnsi="Times New Roman" w:hint="eastAsia"/>
          <w:b w:val="0"/>
          <w:color w:val="auto"/>
          <w:sz w:val="24"/>
          <w:szCs w:val="24"/>
        </w:rPr>
        <w:t>，最小库容</w:t>
      </w:r>
      <w:r>
        <w:rPr>
          <w:rFonts w:ascii="Times New Roman" w:eastAsia="宋体" w:hAnsi="Times New Roman" w:hint="eastAsia"/>
          <w:b w:val="0"/>
          <w:color w:val="auto"/>
          <w:sz w:val="24"/>
          <w:szCs w:val="24"/>
        </w:rPr>
        <w:t>1500</w:t>
      </w:r>
      <w:r>
        <w:rPr>
          <w:rFonts w:ascii="Times New Roman" w:eastAsia="宋体" w:hAnsi="Times New Roman" w:hint="eastAsia"/>
          <w:b w:val="0"/>
          <w:color w:val="auto"/>
          <w:sz w:val="24"/>
          <w:szCs w:val="24"/>
        </w:rPr>
        <w:t>万</w:t>
      </w:r>
      <w:r>
        <w:rPr>
          <w:rFonts w:ascii="Times New Roman" w:eastAsia="宋体" w:hAnsi="Times New Roman" w:hint="eastAsia"/>
          <w:b w:val="0"/>
          <w:color w:val="auto"/>
          <w:sz w:val="24"/>
          <w:szCs w:val="24"/>
        </w:rPr>
        <w:t>m</w:t>
      </w:r>
      <w:r>
        <w:rPr>
          <w:rFonts w:ascii="Times New Roman" w:eastAsia="宋体" w:hAnsi="Times New Roman" w:hint="eastAsia"/>
          <w:b w:val="0"/>
          <w:color w:val="auto"/>
          <w:sz w:val="24"/>
          <w:szCs w:val="24"/>
          <w:vertAlign w:val="superscript"/>
        </w:rPr>
        <w:t>3</w:t>
      </w:r>
      <w:r>
        <w:rPr>
          <w:rFonts w:ascii="Times New Roman" w:eastAsia="宋体" w:hAnsi="Times New Roman" w:hint="eastAsia"/>
          <w:b w:val="0"/>
          <w:color w:val="auto"/>
          <w:sz w:val="24"/>
          <w:szCs w:val="24"/>
        </w:rPr>
        <w:t>；最高水位海拔高程</w:t>
      </w:r>
      <w:r>
        <w:rPr>
          <w:rFonts w:ascii="Times New Roman" w:eastAsia="宋体" w:hAnsi="Times New Roman" w:hint="eastAsia"/>
          <w:b w:val="0"/>
          <w:color w:val="auto"/>
          <w:sz w:val="24"/>
          <w:szCs w:val="24"/>
        </w:rPr>
        <w:t>1249.50m</w:t>
      </w:r>
      <w:r>
        <w:rPr>
          <w:rFonts w:ascii="Times New Roman" w:eastAsia="宋体" w:hAnsi="Times New Roman" w:hint="eastAsia"/>
          <w:b w:val="0"/>
          <w:color w:val="auto"/>
          <w:sz w:val="24"/>
          <w:szCs w:val="24"/>
        </w:rPr>
        <w:t>，最低水位海拔高程</w:t>
      </w:r>
      <w:r>
        <w:rPr>
          <w:rFonts w:ascii="Times New Roman" w:eastAsia="宋体" w:hAnsi="Times New Roman" w:hint="eastAsia"/>
          <w:b w:val="0"/>
          <w:color w:val="auto"/>
          <w:sz w:val="24"/>
          <w:szCs w:val="24"/>
        </w:rPr>
        <w:t>1245.80m</w:t>
      </w:r>
      <w:r>
        <w:rPr>
          <w:rFonts w:ascii="Times New Roman" w:eastAsia="宋体" w:hAnsi="Times New Roman" w:hint="eastAsia"/>
          <w:b w:val="0"/>
          <w:color w:val="auto"/>
          <w:sz w:val="24"/>
          <w:szCs w:val="24"/>
        </w:rPr>
        <w:t>。</w:t>
      </w:r>
      <w:r>
        <w:rPr>
          <w:rFonts w:ascii="Times New Roman" w:eastAsia="宋体" w:hAnsi="Times New Roman"/>
          <w:b w:val="0"/>
          <w:color w:val="auto"/>
          <w:sz w:val="24"/>
          <w:szCs w:val="24"/>
        </w:rPr>
        <w:t>水库具体情况见表</w:t>
      </w:r>
      <w:r>
        <w:rPr>
          <w:rFonts w:ascii="Times New Roman" w:eastAsia="宋体" w:hAnsi="Times New Roman"/>
          <w:b w:val="0"/>
          <w:color w:val="auto"/>
          <w:sz w:val="24"/>
          <w:szCs w:val="24"/>
        </w:rPr>
        <w:t>2.3</w:t>
      </w:r>
      <w:r>
        <w:rPr>
          <w:rFonts w:ascii="Times New Roman" w:eastAsia="宋体" w:hAnsi="Times New Roman" w:hint="eastAsia"/>
          <w:b w:val="0"/>
          <w:color w:val="auto"/>
          <w:sz w:val="24"/>
          <w:szCs w:val="24"/>
        </w:rPr>
        <w:t>-</w:t>
      </w:r>
      <w:r>
        <w:rPr>
          <w:rFonts w:ascii="Times New Roman" w:eastAsia="宋体" w:hAnsi="Times New Roman"/>
          <w:b w:val="0"/>
          <w:color w:val="auto"/>
          <w:sz w:val="24"/>
          <w:szCs w:val="24"/>
        </w:rPr>
        <w:t>11</w:t>
      </w:r>
      <w:r>
        <w:rPr>
          <w:rFonts w:ascii="Times New Roman" w:eastAsia="宋体" w:hAnsi="Times New Roman"/>
          <w:b w:val="0"/>
          <w:color w:val="auto"/>
          <w:sz w:val="24"/>
          <w:szCs w:val="24"/>
        </w:rPr>
        <w:t>。</w:t>
      </w:r>
    </w:p>
    <w:p w14:paraId="6B1A65C7" w14:textId="77777777" w:rsidR="009C353B" w:rsidRDefault="00000000">
      <w:pPr>
        <w:adjustRightInd w:val="0"/>
        <w:snapToGrid w:val="0"/>
        <w:spacing w:line="440" w:lineRule="exact"/>
        <w:jc w:val="center"/>
        <w:rPr>
          <w:rFonts w:ascii="Times New Roman" w:hAnsi="Times New Roman"/>
          <w:b/>
          <w:szCs w:val="24"/>
        </w:rPr>
      </w:pPr>
      <w:r>
        <w:rPr>
          <w:rFonts w:hint="eastAsia"/>
        </w:rPr>
        <w:t xml:space="preserve"> </w:t>
      </w:r>
      <w:r>
        <w:rPr>
          <w:rFonts w:ascii="Times New Roman"/>
          <w:b/>
          <w:szCs w:val="24"/>
        </w:rPr>
        <w:t xml:space="preserve"> </w:t>
      </w:r>
      <w:r>
        <w:rPr>
          <w:rFonts w:ascii="Times New Roman" w:hint="eastAsia"/>
          <w:b/>
          <w:szCs w:val="24"/>
        </w:rPr>
        <w:t>鸭子荡</w:t>
      </w:r>
      <w:r>
        <w:rPr>
          <w:rFonts w:ascii="Times New Roman"/>
          <w:b/>
          <w:szCs w:val="24"/>
        </w:rPr>
        <w:t>水库情况一览表</w:t>
      </w:r>
    </w:p>
    <w:p w14:paraId="6EBF861E" w14:textId="77777777" w:rsidR="009C353B" w:rsidRDefault="00000000">
      <w:pPr>
        <w:pStyle w:val="affffd"/>
        <w:spacing w:line="440" w:lineRule="exact"/>
        <w:rPr>
          <w:rFonts w:hint="eastAsia"/>
        </w:rPr>
      </w:pPr>
      <w:r>
        <w:rPr>
          <w:rFonts w:ascii="Times New Roman"/>
        </w:rPr>
        <w:t>表</w:t>
      </w:r>
      <w:r>
        <w:rPr>
          <w:rFonts w:ascii="Times New Roman"/>
        </w:rPr>
        <w:t xml:space="preserve">2.3-11   </w:t>
      </w:r>
      <w: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575"/>
        <w:gridCol w:w="1572"/>
        <w:gridCol w:w="1559"/>
        <w:gridCol w:w="2420"/>
        <w:gridCol w:w="2001"/>
      </w:tblGrid>
      <w:tr w:rsidR="009C353B" w14:paraId="216E8F5A" w14:textId="77777777">
        <w:trPr>
          <w:trHeight w:val="397"/>
          <w:jc w:val="center"/>
        </w:trPr>
        <w:tc>
          <w:tcPr>
            <w:tcW w:w="1575" w:type="dxa"/>
            <w:vAlign w:val="center"/>
          </w:tcPr>
          <w:p w14:paraId="44890C6F" w14:textId="77777777" w:rsidR="009C353B" w:rsidRDefault="00000000">
            <w:pPr>
              <w:pStyle w:val="01"/>
              <w:rPr>
                <w:rFonts w:ascii="Times New Roman" w:hAnsi="Times New Roman"/>
              </w:rPr>
            </w:pPr>
            <w:r>
              <w:rPr>
                <w:rFonts w:ascii="Times New Roman" w:hAnsi="Times New Roman"/>
              </w:rPr>
              <w:t>水库名称</w:t>
            </w:r>
          </w:p>
        </w:tc>
        <w:tc>
          <w:tcPr>
            <w:tcW w:w="1572" w:type="dxa"/>
            <w:vAlign w:val="center"/>
          </w:tcPr>
          <w:p w14:paraId="58AEC894" w14:textId="77777777" w:rsidR="009C353B" w:rsidRDefault="00000000">
            <w:pPr>
              <w:pStyle w:val="01"/>
              <w:rPr>
                <w:rFonts w:ascii="Times New Roman" w:hAnsi="Times New Roman"/>
              </w:rPr>
            </w:pPr>
            <w:r>
              <w:rPr>
                <w:rFonts w:ascii="Times New Roman" w:hAnsi="Times New Roman"/>
              </w:rPr>
              <w:t>地理位置</w:t>
            </w:r>
          </w:p>
        </w:tc>
        <w:tc>
          <w:tcPr>
            <w:tcW w:w="1559" w:type="dxa"/>
            <w:vAlign w:val="center"/>
          </w:tcPr>
          <w:p w14:paraId="4451AFD4" w14:textId="77777777" w:rsidR="009C353B" w:rsidRDefault="00000000">
            <w:pPr>
              <w:pStyle w:val="01"/>
              <w:rPr>
                <w:rFonts w:ascii="Times New Roman" w:hAnsi="Times New Roman"/>
              </w:rPr>
            </w:pPr>
            <w:r>
              <w:rPr>
                <w:rFonts w:ascii="Times New Roman" w:hAnsi="Times New Roman"/>
              </w:rPr>
              <w:t>库容</w:t>
            </w:r>
          </w:p>
          <w:p w14:paraId="0CD33E99" w14:textId="77777777" w:rsidR="009C353B" w:rsidRDefault="00000000">
            <w:pPr>
              <w:pStyle w:val="01"/>
              <w:rPr>
                <w:rFonts w:ascii="Times New Roman" w:hAnsi="Times New Roman"/>
              </w:rPr>
            </w:pPr>
            <w:r>
              <w:rPr>
                <w:rFonts w:ascii="Times New Roman" w:hAnsi="Times New Roman"/>
              </w:rPr>
              <w:t>（万</w:t>
            </w:r>
            <w:r>
              <w:rPr>
                <w:rFonts w:ascii="Times New Roman" w:hAnsi="Times New Roman"/>
              </w:rPr>
              <w:t>m</w:t>
            </w:r>
            <w:r>
              <w:rPr>
                <w:rFonts w:ascii="Times New Roman" w:hAnsi="Times New Roman"/>
                <w:vertAlign w:val="superscript"/>
              </w:rPr>
              <w:t>3</w:t>
            </w:r>
            <w:r>
              <w:rPr>
                <w:rFonts w:ascii="Times New Roman" w:hAnsi="Times New Roman"/>
              </w:rPr>
              <w:t>）</w:t>
            </w:r>
          </w:p>
        </w:tc>
        <w:tc>
          <w:tcPr>
            <w:tcW w:w="2420" w:type="dxa"/>
            <w:vAlign w:val="center"/>
          </w:tcPr>
          <w:p w14:paraId="1F151A3F" w14:textId="77777777" w:rsidR="009C353B" w:rsidRDefault="00000000">
            <w:pPr>
              <w:pStyle w:val="01"/>
              <w:rPr>
                <w:rFonts w:ascii="Times New Roman" w:hAnsi="Times New Roman"/>
              </w:rPr>
            </w:pPr>
            <w:r>
              <w:rPr>
                <w:rFonts w:ascii="Times New Roman" w:hAnsi="Times New Roman"/>
              </w:rPr>
              <w:t>功能</w:t>
            </w:r>
          </w:p>
        </w:tc>
        <w:tc>
          <w:tcPr>
            <w:tcW w:w="2001" w:type="dxa"/>
            <w:vAlign w:val="center"/>
          </w:tcPr>
          <w:p w14:paraId="079CB23D" w14:textId="77777777" w:rsidR="009C353B" w:rsidRDefault="00000000">
            <w:pPr>
              <w:pStyle w:val="01"/>
              <w:rPr>
                <w:rFonts w:ascii="Times New Roman" w:hAnsi="Times New Roman"/>
              </w:rPr>
            </w:pPr>
            <w:r>
              <w:rPr>
                <w:rFonts w:ascii="Times New Roman" w:hAnsi="Times New Roman"/>
              </w:rPr>
              <w:t>与矿区位置关系</w:t>
            </w:r>
          </w:p>
        </w:tc>
        <w:bookmarkStart w:id="74" w:name="OLE_LINK46"/>
        <w:bookmarkStart w:id="75" w:name="OLE_LINK47"/>
      </w:tr>
      <w:tr w:rsidR="009C353B" w14:paraId="46B99993" w14:textId="77777777">
        <w:trPr>
          <w:trHeight w:val="397"/>
          <w:jc w:val="center"/>
        </w:trPr>
        <w:tc>
          <w:tcPr>
            <w:tcW w:w="1575" w:type="dxa"/>
            <w:vAlign w:val="center"/>
          </w:tcPr>
          <w:p w14:paraId="297E2439" w14:textId="77777777" w:rsidR="009C353B" w:rsidRDefault="00000000">
            <w:pPr>
              <w:pStyle w:val="01"/>
              <w:rPr>
                <w:rFonts w:ascii="Times New Roman" w:hAnsi="Times New Roman"/>
              </w:rPr>
            </w:pPr>
            <w:r>
              <w:rPr>
                <w:rFonts w:ascii="Times New Roman" w:hAnsi="Times New Roman"/>
              </w:rPr>
              <w:t>鸭子荡水库</w:t>
            </w:r>
          </w:p>
        </w:tc>
        <w:tc>
          <w:tcPr>
            <w:tcW w:w="1572" w:type="dxa"/>
            <w:vAlign w:val="center"/>
          </w:tcPr>
          <w:p w14:paraId="67405ED8" w14:textId="77777777" w:rsidR="009C353B" w:rsidRDefault="00000000">
            <w:pPr>
              <w:pStyle w:val="01"/>
              <w:rPr>
                <w:rFonts w:ascii="Times New Roman" w:hAnsi="Times New Roman"/>
              </w:rPr>
            </w:pPr>
            <w:r>
              <w:rPr>
                <w:rFonts w:ascii="Times New Roman" w:hAnsi="Times New Roman"/>
              </w:rPr>
              <w:t>宁东镇</w:t>
            </w:r>
          </w:p>
        </w:tc>
        <w:tc>
          <w:tcPr>
            <w:tcW w:w="1559" w:type="dxa"/>
            <w:vAlign w:val="center"/>
          </w:tcPr>
          <w:p w14:paraId="2B8370E4" w14:textId="77777777" w:rsidR="009C353B" w:rsidRDefault="00000000">
            <w:pPr>
              <w:pStyle w:val="01"/>
              <w:rPr>
                <w:rFonts w:ascii="Times New Roman" w:hAnsi="Times New Roman"/>
              </w:rPr>
            </w:pPr>
            <w:r>
              <w:rPr>
                <w:rFonts w:ascii="Times New Roman" w:hAnsi="Times New Roman"/>
              </w:rPr>
              <w:t>2400</w:t>
            </w:r>
          </w:p>
        </w:tc>
        <w:tc>
          <w:tcPr>
            <w:tcW w:w="2420" w:type="dxa"/>
            <w:vAlign w:val="center"/>
          </w:tcPr>
          <w:p w14:paraId="6C8EAE4C" w14:textId="77777777" w:rsidR="009C353B" w:rsidRDefault="00000000">
            <w:pPr>
              <w:pStyle w:val="01"/>
              <w:rPr>
                <w:rFonts w:ascii="Times New Roman" w:hAnsi="Times New Roman"/>
              </w:rPr>
            </w:pPr>
            <w:r>
              <w:rPr>
                <w:rFonts w:ascii="Times New Roman" w:hAnsi="Times New Roman"/>
              </w:rPr>
              <w:t>宁东镇生产、生活用水</w:t>
            </w:r>
          </w:p>
        </w:tc>
        <w:tc>
          <w:tcPr>
            <w:tcW w:w="2001" w:type="dxa"/>
            <w:vAlign w:val="center"/>
          </w:tcPr>
          <w:p w14:paraId="38C180C9" w14:textId="77777777" w:rsidR="009C353B" w:rsidRDefault="00000000">
            <w:pPr>
              <w:pStyle w:val="01"/>
              <w:rPr>
                <w:rFonts w:ascii="Times New Roman" w:hAnsi="Times New Roman"/>
              </w:rPr>
            </w:pPr>
            <w:r>
              <w:rPr>
                <w:rFonts w:ascii="Times New Roman" w:hAnsi="Times New Roman"/>
              </w:rPr>
              <w:t>矿区南部</w:t>
            </w:r>
          </w:p>
          <w:p w14:paraId="72767D80" w14:textId="77777777" w:rsidR="009C353B" w:rsidRDefault="00000000">
            <w:pPr>
              <w:pStyle w:val="01"/>
              <w:rPr>
                <w:rFonts w:ascii="Times New Roman" w:hAnsi="Times New Roman"/>
              </w:rPr>
            </w:pPr>
            <w:r>
              <w:rPr>
                <w:rFonts w:ascii="Times New Roman" w:hAnsi="Times New Roman"/>
              </w:rPr>
              <w:t>丁家梁井田东北侧</w:t>
            </w:r>
          </w:p>
        </w:tc>
      </w:tr>
    </w:tbl>
    <w:bookmarkEnd w:id="74"/>
    <w:bookmarkEnd w:id="75"/>
    <w:p w14:paraId="594582D4" w14:textId="77777777" w:rsidR="009C353B" w:rsidRDefault="00000000">
      <w:pPr>
        <w:pStyle w:val="zh"/>
        <w:adjustRightInd w:val="0"/>
        <w:snapToGrid w:val="0"/>
        <w:spacing w:line="440" w:lineRule="exact"/>
        <w:rPr>
          <w:rFonts w:ascii="Times New Roman" w:eastAsia="宋体" w:hAnsi="Times New Roman"/>
          <w:b w:val="0"/>
          <w:color w:val="auto"/>
          <w:sz w:val="24"/>
          <w:szCs w:val="24"/>
        </w:rPr>
      </w:pPr>
      <w:r>
        <w:rPr>
          <w:rFonts w:ascii="Times New Roman" w:eastAsia="宋体" w:hAnsi="Times New Roman"/>
          <w:b w:val="0"/>
          <w:color w:val="auto"/>
          <w:sz w:val="24"/>
          <w:szCs w:val="24"/>
        </w:rPr>
        <w:t>2</w:t>
      </w:r>
      <w:r>
        <w:rPr>
          <w:rFonts w:ascii="Times New Roman" w:eastAsia="宋体" w:hAnsi="Times New Roman"/>
          <w:b w:val="0"/>
          <w:color w:val="auto"/>
          <w:sz w:val="24"/>
          <w:szCs w:val="24"/>
        </w:rPr>
        <w:t>）矿区井下排水</w:t>
      </w:r>
    </w:p>
    <w:p w14:paraId="5AB8E478" w14:textId="77777777" w:rsidR="009C353B" w:rsidRDefault="00000000">
      <w:pPr>
        <w:pStyle w:val="zh"/>
        <w:adjustRightInd w:val="0"/>
        <w:snapToGrid w:val="0"/>
        <w:spacing w:line="440" w:lineRule="exact"/>
        <w:rPr>
          <w:rFonts w:ascii="Times New Roman" w:eastAsia="宋体" w:hAnsi="Times New Roman"/>
          <w:b w:val="0"/>
          <w:color w:val="auto"/>
          <w:sz w:val="24"/>
          <w:szCs w:val="24"/>
        </w:rPr>
      </w:pPr>
      <w:r>
        <w:rPr>
          <w:rFonts w:ascii="Times New Roman" w:eastAsia="宋体" w:hAnsi="Times New Roman"/>
          <w:b w:val="0"/>
          <w:color w:val="auto"/>
          <w:sz w:val="24"/>
          <w:szCs w:val="24"/>
        </w:rPr>
        <w:t>各矿井下排水经处理后作为生产用水水源，</w:t>
      </w:r>
      <w:r>
        <w:rPr>
          <w:rFonts w:ascii="Times New Roman" w:eastAsia="宋体" w:hAnsi="Times New Roman" w:hint="eastAsia"/>
          <w:b w:val="0"/>
          <w:color w:val="auto"/>
          <w:sz w:val="24"/>
          <w:szCs w:val="24"/>
        </w:rPr>
        <w:t>矿区</w:t>
      </w:r>
      <w:r>
        <w:rPr>
          <w:rFonts w:ascii="Times New Roman" w:eastAsia="宋体" w:hAnsi="Times New Roman"/>
          <w:b w:val="0"/>
          <w:color w:val="auto"/>
          <w:sz w:val="24"/>
          <w:szCs w:val="24"/>
        </w:rPr>
        <w:t>达产时</w:t>
      </w:r>
      <w:r>
        <w:rPr>
          <w:rFonts w:ascii="Times New Roman" w:eastAsia="宋体" w:hAnsi="Times New Roman" w:hint="eastAsia"/>
          <w:b w:val="0"/>
          <w:color w:val="auto"/>
          <w:sz w:val="24"/>
          <w:szCs w:val="24"/>
        </w:rPr>
        <w:t>井下排</w:t>
      </w:r>
      <w:r>
        <w:rPr>
          <w:rFonts w:ascii="Times New Roman" w:eastAsia="宋体" w:hAnsi="Times New Roman"/>
          <w:b w:val="0"/>
          <w:color w:val="auto"/>
          <w:sz w:val="24"/>
          <w:szCs w:val="24"/>
        </w:rPr>
        <w:t>水总量为</w:t>
      </w:r>
      <w:r>
        <w:rPr>
          <w:rFonts w:ascii="Times New Roman" w:eastAsia="宋体" w:hAnsi="Times New Roman"/>
          <w:b w:val="0"/>
          <w:color w:val="auto"/>
          <w:sz w:val="24"/>
          <w:szCs w:val="24"/>
        </w:rPr>
        <w:t>31056</w:t>
      </w:r>
      <w:r>
        <w:rPr>
          <w:rFonts w:ascii="Times New Roman" w:eastAsia="宋体" w:hAnsi="Times New Roman" w:hint="eastAsia"/>
          <w:b w:val="0"/>
          <w:color w:val="auto"/>
          <w:sz w:val="24"/>
          <w:szCs w:val="24"/>
        </w:rPr>
        <w:t>m</w:t>
      </w:r>
      <w:r>
        <w:rPr>
          <w:rFonts w:ascii="Times New Roman" w:eastAsia="宋体" w:hAnsi="Times New Roman" w:hint="eastAsia"/>
          <w:b w:val="0"/>
          <w:color w:val="auto"/>
          <w:sz w:val="24"/>
          <w:szCs w:val="24"/>
          <w:vertAlign w:val="superscript"/>
        </w:rPr>
        <w:t>3</w:t>
      </w:r>
      <w:r>
        <w:rPr>
          <w:rFonts w:ascii="Times New Roman" w:eastAsia="宋体" w:hAnsi="Times New Roman" w:hint="eastAsia"/>
          <w:b w:val="0"/>
          <w:color w:val="auto"/>
          <w:sz w:val="24"/>
          <w:szCs w:val="24"/>
        </w:rPr>
        <w:t>/d</w:t>
      </w:r>
      <w:r>
        <w:rPr>
          <w:rFonts w:ascii="Times New Roman" w:eastAsia="宋体" w:hAnsi="Times New Roman" w:hint="eastAsia"/>
          <w:b w:val="0"/>
          <w:color w:val="auto"/>
          <w:sz w:val="24"/>
          <w:szCs w:val="24"/>
        </w:rPr>
        <w:t>，</w:t>
      </w:r>
      <w:r>
        <w:rPr>
          <w:rFonts w:ascii="Times New Roman" w:eastAsia="宋体" w:hAnsi="Times New Roman"/>
          <w:b w:val="0"/>
          <w:color w:val="auto"/>
          <w:sz w:val="24"/>
          <w:szCs w:val="24"/>
        </w:rPr>
        <w:t>详见表</w:t>
      </w:r>
      <w:r>
        <w:rPr>
          <w:rFonts w:ascii="Times New Roman" w:eastAsia="宋体" w:hAnsi="Times New Roman" w:hint="eastAsia"/>
          <w:b w:val="0"/>
          <w:color w:val="auto"/>
          <w:sz w:val="24"/>
          <w:szCs w:val="24"/>
        </w:rPr>
        <w:t>2.3-</w:t>
      </w:r>
      <w:r>
        <w:rPr>
          <w:rFonts w:ascii="Times New Roman" w:eastAsia="宋体" w:hAnsi="Times New Roman"/>
          <w:b w:val="0"/>
          <w:color w:val="auto"/>
          <w:sz w:val="24"/>
          <w:szCs w:val="24"/>
        </w:rPr>
        <w:t>12</w:t>
      </w:r>
      <w:r>
        <w:rPr>
          <w:rFonts w:ascii="Times New Roman" w:eastAsia="宋体" w:hAnsi="Times New Roman"/>
          <w:b w:val="0"/>
          <w:color w:val="auto"/>
          <w:sz w:val="24"/>
          <w:szCs w:val="24"/>
        </w:rPr>
        <w:t>。</w:t>
      </w:r>
    </w:p>
    <w:p w14:paraId="0221A730" w14:textId="77777777" w:rsidR="009C353B" w:rsidRDefault="00000000">
      <w:pPr>
        <w:adjustRightInd w:val="0"/>
        <w:snapToGrid w:val="0"/>
        <w:spacing w:line="440" w:lineRule="exact"/>
        <w:jc w:val="center"/>
        <w:rPr>
          <w:rFonts w:ascii="Times New Roman" w:hint="eastAsia"/>
          <w:b/>
          <w:szCs w:val="24"/>
        </w:rPr>
      </w:pPr>
      <w:r>
        <w:rPr>
          <w:rFonts w:ascii="Times New Roman" w:hAnsi="Times New Roman"/>
          <w:szCs w:val="24"/>
        </w:rPr>
        <w:t xml:space="preserve"> </w:t>
      </w:r>
      <w:bookmarkStart w:id="76" w:name="_Hlk45808454"/>
      <w:r>
        <w:rPr>
          <w:rFonts w:ascii="Times New Roman" w:hAnsi="Times New Roman"/>
          <w:szCs w:val="24"/>
        </w:rPr>
        <w:t xml:space="preserve"> </w:t>
      </w:r>
      <w:r>
        <w:rPr>
          <w:rFonts w:ascii="Times New Roman"/>
          <w:b/>
          <w:szCs w:val="24"/>
        </w:rPr>
        <w:t>各矿井下排水量</w:t>
      </w:r>
      <w:r>
        <w:rPr>
          <w:rFonts w:ascii="Times New Roman" w:hint="eastAsia"/>
          <w:b/>
          <w:szCs w:val="24"/>
        </w:rPr>
        <w:t>及水处理站规模一览表</w:t>
      </w:r>
    </w:p>
    <w:p w14:paraId="60179CE0" w14:textId="77777777" w:rsidR="009C353B" w:rsidRDefault="00000000">
      <w:pPr>
        <w:pStyle w:val="affffd"/>
        <w:spacing w:line="440" w:lineRule="exact"/>
        <w:rPr>
          <w:rFonts w:hint="eastAsia"/>
        </w:rPr>
      </w:pPr>
      <w:r>
        <w:rPr>
          <w:rFonts w:ascii="Times New Roman"/>
        </w:rPr>
        <w:t>表</w:t>
      </w:r>
      <w:r>
        <w:rPr>
          <w:rFonts w:ascii="Times New Roman" w:hint="eastAsia"/>
        </w:rPr>
        <w:t>2.3-</w:t>
      </w:r>
      <w:r>
        <w:rPr>
          <w:rFonts w:ascii="Times New Roman"/>
        </w:rPr>
        <w:t>12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1743"/>
        <w:gridCol w:w="1883"/>
        <w:gridCol w:w="1883"/>
        <w:gridCol w:w="2024"/>
        <w:gridCol w:w="1185"/>
      </w:tblGrid>
      <w:tr w:rsidR="009C353B" w14:paraId="33AC882A" w14:textId="77777777">
        <w:trPr>
          <w:trHeight w:val="397"/>
          <w:tblHeader/>
          <w:jc w:val="center"/>
        </w:trPr>
        <w:tc>
          <w:tcPr>
            <w:tcW w:w="539" w:type="dxa"/>
            <w:vAlign w:val="center"/>
          </w:tcPr>
          <w:p w14:paraId="04EA1F50" w14:textId="77777777" w:rsidR="009C353B" w:rsidRDefault="00000000">
            <w:pPr>
              <w:pStyle w:val="01"/>
              <w:rPr>
                <w:rFonts w:ascii="Times New Roman" w:hAnsi="Times New Roman"/>
              </w:rPr>
            </w:pPr>
            <w:r>
              <w:rPr>
                <w:rFonts w:ascii="Times New Roman" w:hAnsi="Times New Roman"/>
              </w:rPr>
              <w:t>序号</w:t>
            </w:r>
          </w:p>
        </w:tc>
        <w:tc>
          <w:tcPr>
            <w:tcW w:w="1650" w:type="dxa"/>
            <w:vAlign w:val="center"/>
          </w:tcPr>
          <w:p w14:paraId="24BFF3B1" w14:textId="77777777" w:rsidR="009C353B" w:rsidRDefault="00000000">
            <w:pPr>
              <w:pStyle w:val="01"/>
              <w:rPr>
                <w:rFonts w:ascii="Times New Roman" w:hAnsi="Times New Roman"/>
              </w:rPr>
            </w:pPr>
            <w:r>
              <w:rPr>
                <w:rFonts w:ascii="Times New Roman" w:hAnsi="Times New Roman"/>
              </w:rPr>
              <w:t>用</w:t>
            </w:r>
            <w:r>
              <w:rPr>
                <w:rFonts w:ascii="Times New Roman" w:hAnsi="Times New Roman"/>
              </w:rPr>
              <w:t xml:space="preserve"> </w:t>
            </w:r>
            <w:r>
              <w:rPr>
                <w:rFonts w:ascii="Times New Roman" w:hAnsi="Times New Roman"/>
              </w:rPr>
              <w:t>水</w:t>
            </w:r>
            <w:r>
              <w:rPr>
                <w:rFonts w:ascii="Times New Roman" w:hAnsi="Times New Roman"/>
              </w:rPr>
              <w:t xml:space="preserve"> </w:t>
            </w:r>
            <w:r>
              <w:rPr>
                <w:rFonts w:ascii="Times New Roman" w:hAnsi="Times New Roman"/>
              </w:rPr>
              <w:t>项</w:t>
            </w:r>
            <w:r>
              <w:rPr>
                <w:rFonts w:ascii="Times New Roman" w:hAnsi="Times New Roman"/>
              </w:rPr>
              <w:t xml:space="preserve"> </w:t>
            </w:r>
            <w:r>
              <w:rPr>
                <w:rFonts w:ascii="Times New Roman" w:hAnsi="Times New Roman"/>
              </w:rPr>
              <w:t>目</w:t>
            </w:r>
          </w:p>
        </w:tc>
        <w:tc>
          <w:tcPr>
            <w:tcW w:w="1782" w:type="dxa"/>
            <w:vAlign w:val="center"/>
          </w:tcPr>
          <w:p w14:paraId="72F4868B" w14:textId="77777777" w:rsidR="009C353B" w:rsidRDefault="00000000">
            <w:pPr>
              <w:pStyle w:val="01"/>
              <w:rPr>
                <w:rFonts w:ascii="Times New Roman" w:hAnsi="Times New Roman"/>
              </w:rPr>
            </w:pPr>
            <w:r>
              <w:rPr>
                <w:rFonts w:ascii="Times New Roman" w:hAnsi="Times New Roman"/>
              </w:rPr>
              <w:t>矿井规模</w:t>
            </w:r>
          </w:p>
          <w:p w14:paraId="29DA7A02" w14:textId="77777777" w:rsidR="009C353B" w:rsidRDefault="00000000">
            <w:pPr>
              <w:pStyle w:val="01"/>
              <w:rPr>
                <w:rFonts w:ascii="Times New Roman" w:hAnsi="Times New Roman"/>
              </w:rPr>
            </w:pPr>
            <w:r>
              <w:rPr>
                <w:rFonts w:ascii="Times New Roman" w:hAnsi="Times New Roman"/>
              </w:rPr>
              <w:t>Mt/a</w:t>
            </w:r>
          </w:p>
        </w:tc>
        <w:tc>
          <w:tcPr>
            <w:tcW w:w="1782" w:type="dxa"/>
            <w:vAlign w:val="center"/>
          </w:tcPr>
          <w:p w14:paraId="3D876DC7" w14:textId="77777777" w:rsidR="009C353B" w:rsidRDefault="00000000">
            <w:pPr>
              <w:pStyle w:val="01"/>
              <w:rPr>
                <w:rFonts w:ascii="Times New Roman" w:hAnsi="Times New Roman"/>
              </w:rPr>
            </w:pPr>
            <w:r>
              <w:rPr>
                <w:rFonts w:ascii="Times New Roman" w:hAnsi="Times New Roman"/>
              </w:rPr>
              <w:t>井下排水量</w:t>
            </w:r>
          </w:p>
          <w:p w14:paraId="0F8B36F9" w14:textId="77777777" w:rsidR="009C353B" w:rsidRDefault="00000000">
            <w:pPr>
              <w:pStyle w:val="01"/>
              <w:rPr>
                <w:rFonts w:ascii="Times New Roman" w:hAnsi="Times New Roman"/>
              </w:rPr>
            </w:pPr>
            <w:r>
              <w:rPr>
                <w:rFonts w:ascii="Times New Roman" w:hAnsi="Times New Roman"/>
              </w:rPr>
              <w:t>m</w:t>
            </w:r>
            <w:r>
              <w:rPr>
                <w:rFonts w:ascii="Times New Roman" w:hAnsi="Times New Roman"/>
                <w:vertAlign w:val="superscript"/>
              </w:rPr>
              <w:t>3</w:t>
            </w:r>
            <w:r>
              <w:rPr>
                <w:rFonts w:ascii="Times New Roman" w:hAnsi="Times New Roman"/>
              </w:rPr>
              <w:t>/d</w:t>
            </w:r>
          </w:p>
        </w:tc>
        <w:tc>
          <w:tcPr>
            <w:tcW w:w="1915" w:type="dxa"/>
            <w:vAlign w:val="center"/>
          </w:tcPr>
          <w:p w14:paraId="6AC8B377" w14:textId="77777777" w:rsidR="009C353B" w:rsidRDefault="00000000">
            <w:pPr>
              <w:pStyle w:val="01"/>
              <w:rPr>
                <w:rFonts w:ascii="Times New Roman" w:hAnsi="Times New Roman"/>
              </w:rPr>
            </w:pPr>
            <w:r>
              <w:rPr>
                <w:rFonts w:ascii="Times New Roman" w:hAnsi="Times New Roman"/>
              </w:rPr>
              <w:t>井下水</w:t>
            </w:r>
          </w:p>
          <w:p w14:paraId="3099C13C" w14:textId="77777777" w:rsidR="009C353B" w:rsidRDefault="00000000">
            <w:pPr>
              <w:pStyle w:val="01"/>
              <w:rPr>
                <w:rFonts w:ascii="Times New Roman" w:hAnsi="Times New Roman"/>
              </w:rPr>
            </w:pPr>
            <w:r>
              <w:rPr>
                <w:rFonts w:ascii="Times New Roman" w:hAnsi="Times New Roman"/>
              </w:rPr>
              <w:t>处理站规模</w:t>
            </w:r>
          </w:p>
          <w:p w14:paraId="1596EEF2" w14:textId="77777777" w:rsidR="009C353B" w:rsidRDefault="00000000">
            <w:pPr>
              <w:pStyle w:val="01"/>
              <w:rPr>
                <w:rFonts w:ascii="Times New Roman" w:hAnsi="Times New Roman"/>
              </w:rPr>
            </w:pPr>
            <w:r>
              <w:rPr>
                <w:rFonts w:ascii="Times New Roman" w:hAnsi="Times New Roman"/>
              </w:rPr>
              <w:t>m</w:t>
            </w:r>
            <w:r>
              <w:rPr>
                <w:rFonts w:ascii="Times New Roman" w:hAnsi="Times New Roman"/>
                <w:vertAlign w:val="superscript"/>
              </w:rPr>
              <w:t>3</w:t>
            </w:r>
            <w:r>
              <w:rPr>
                <w:rFonts w:ascii="Times New Roman" w:hAnsi="Times New Roman"/>
              </w:rPr>
              <w:t>/d</w:t>
            </w:r>
          </w:p>
        </w:tc>
        <w:tc>
          <w:tcPr>
            <w:tcW w:w="1121" w:type="dxa"/>
            <w:vAlign w:val="center"/>
          </w:tcPr>
          <w:p w14:paraId="5A596CB7" w14:textId="77777777" w:rsidR="009C353B" w:rsidRDefault="00000000">
            <w:pPr>
              <w:pStyle w:val="01"/>
              <w:rPr>
                <w:rFonts w:ascii="Times New Roman" w:hAnsi="Times New Roman"/>
              </w:rPr>
            </w:pPr>
            <w:r>
              <w:rPr>
                <w:rFonts w:ascii="Times New Roman" w:hAnsi="Times New Roman"/>
              </w:rPr>
              <w:t>备</w:t>
            </w:r>
            <w:r>
              <w:rPr>
                <w:rFonts w:ascii="Times New Roman" w:hAnsi="Times New Roman"/>
              </w:rPr>
              <w:t xml:space="preserve">  </w:t>
            </w:r>
            <w:r>
              <w:rPr>
                <w:rFonts w:ascii="Times New Roman" w:hAnsi="Times New Roman"/>
              </w:rPr>
              <w:t>注</w:t>
            </w:r>
          </w:p>
        </w:tc>
      </w:tr>
      <w:tr w:rsidR="009C353B" w14:paraId="03B5B382" w14:textId="77777777">
        <w:trPr>
          <w:trHeight w:val="397"/>
          <w:jc w:val="center"/>
        </w:trPr>
        <w:tc>
          <w:tcPr>
            <w:tcW w:w="539" w:type="dxa"/>
            <w:vAlign w:val="center"/>
          </w:tcPr>
          <w:p w14:paraId="7CF08B5F" w14:textId="77777777" w:rsidR="009C353B" w:rsidRDefault="00000000">
            <w:pPr>
              <w:pStyle w:val="01"/>
              <w:rPr>
                <w:rFonts w:ascii="Times New Roman" w:hAnsi="Times New Roman"/>
              </w:rPr>
            </w:pPr>
            <w:r>
              <w:rPr>
                <w:rFonts w:ascii="Times New Roman" w:hAnsi="Times New Roman"/>
              </w:rPr>
              <w:t>1</w:t>
            </w:r>
          </w:p>
        </w:tc>
        <w:tc>
          <w:tcPr>
            <w:tcW w:w="1650" w:type="dxa"/>
            <w:vAlign w:val="center"/>
          </w:tcPr>
          <w:p w14:paraId="331FACBB" w14:textId="77777777" w:rsidR="009C353B" w:rsidRDefault="00000000">
            <w:pPr>
              <w:pStyle w:val="01"/>
              <w:rPr>
                <w:rFonts w:ascii="Times New Roman" w:hAnsi="Times New Roman"/>
              </w:rPr>
            </w:pPr>
            <w:r>
              <w:rPr>
                <w:rStyle w:val="font21"/>
                <w:rFonts w:ascii="Times New Roman" w:hAnsi="Times New Roman" w:hint="default"/>
                <w:color w:val="auto"/>
              </w:rPr>
              <w:t>马莲台</w:t>
            </w:r>
            <w:r>
              <w:rPr>
                <w:rFonts w:ascii="Times New Roman" w:hAnsi="Times New Roman"/>
              </w:rPr>
              <w:t>矿井</w:t>
            </w:r>
          </w:p>
        </w:tc>
        <w:tc>
          <w:tcPr>
            <w:tcW w:w="1782" w:type="dxa"/>
            <w:vAlign w:val="center"/>
          </w:tcPr>
          <w:p w14:paraId="61324717" w14:textId="77777777" w:rsidR="009C353B" w:rsidRDefault="00000000">
            <w:pPr>
              <w:pStyle w:val="01"/>
              <w:rPr>
                <w:rFonts w:ascii="Times New Roman" w:hAnsi="Times New Roman"/>
              </w:rPr>
            </w:pPr>
            <w:r>
              <w:rPr>
                <w:rFonts w:ascii="Times New Roman" w:hAnsi="Times New Roman"/>
                <w:lang w:bidi="ar"/>
              </w:rPr>
              <w:t>3.60</w:t>
            </w:r>
          </w:p>
        </w:tc>
        <w:tc>
          <w:tcPr>
            <w:tcW w:w="1782" w:type="dxa"/>
            <w:vAlign w:val="center"/>
          </w:tcPr>
          <w:p w14:paraId="60DE304B" w14:textId="77777777" w:rsidR="009C353B" w:rsidRDefault="00000000">
            <w:pPr>
              <w:pStyle w:val="01"/>
              <w:rPr>
                <w:rFonts w:ascii="Times New Roman" w:hAnsi="Times New Roman"/>
              </w:rPr>
            </w:pPr>
            <w:r>
              <w:rPr>
                <w:rFonts w:ascii="Times New Roman" w:hAnsi="Times New Roman"/>
              </w:rPr>
              <w:t>7728</w:t>
            </w:r>
            <w:r>
              <w:rPr>
                <w:rFonts w:ascii="Times New Roman" w:hAnsi="Times New Roman"/>
              </w:rPr>
              <w:t>～</w:t>
            </w:r>
            <w:r>
              <w:rPr>
                <w:rFonts w:ascii="Times New Roman" w:hAnsi="Times New Roman"/>
              </w:rPr>
              <w:t>15744</w:t>
            </w:r>
          </w:p>
        </w:tc>
        <w:tc>
          <w:tcPr>
            <w:tcW w:w="1915" w:type="dxa"/>
            <w:vAlign w:val="center"/>
          </w:tcPr>
          <w:p w14:paraId="46EF9F83" w14:textId="77777777" w:rsidR="009C353B" w:rsidRDefault="00000000">
            <w:pPr>
              <w:pStyle w:val="01"/>
              <w:rPr>
                <w:rFonts w:ascii="Times New Roman" w:hAnsi="Times New Roman"/>
              </w:rPr>
            </w:pPr>
            <w:r>
              <w:rPr>
                <w:rFonts w:ascii="Times New Roman" w:hAnsi="Times New Roman"/>
              </w:rPr>
              <w:t>16000</w:t>
            </w:r>
          </w:p>
        </w:tc>
        <w:tc>
          <w:tcPr>
            <w:tcW w:w="1121" w:type="dxa"/>
            <w:vAlign w:val="center"/>
          </w:tcPr>
          <w:p w14:paraId="71C73E80" w14:textId="77777777" w:rsidR="009C353B" w:rsidRDefault="00000000">
            <w:pPr>
              <w:pStyle w:val="01"/>
              <w:rPr>
                <w:rFonts w:ascii="Times New Roman" w:hAnsi="Times New Roman"/>
              </w:rPr>
            </w:pPr>
            <w:r>
              <w:rPr>
                <w:rFonts w:ascii="Times New Roman" w:hAnsi="Times New Roman"/>
              </w:rPr>
              <w:t>生产</w:t>
            </w:r>
          </w:p>
        </w:tc>
      </w:tr>
      <w:tr w:rsidR="009C353B" w14:paraId="1C840014" w14:textId="77777777">
        <w:trPr>
          <w:trHeight w:val="397"/>
          <w:jc w:val="center"/>
        </w:trPr>
        <w:tc>
          <w:tcPr>
            <w:tcW w:w="539" w:type="dxa"/>
            <w:vAlign w:val="center"/>
          </w:tcPr>
          <w:p w14:paraId="6CB43134" w14:textId="77777777" w:rsidR="009C353B" w:rsidRDefault="00000000">
            <w:pPr>
              <w:pStyle w:val="01"/>
              <w:rPr>
                <w:rFonts w:ascii="Times New Roman" w:hAnsi="Times New Roman"/>
              </w:rPr>
            </w:pPr>
            <w:r>
              <w:rPr>
                <w:rFonts w:ascii="Times New Roman" w:hAnsi="Times New Roman"/>
              </w:rPr>
              <w:t>2</w:t>
            </w:r>
          </w:p>
        </w:tc>
        <w:tc>
          <w:tcPr>
            <w:tcW w:w="1650" w:type="dxa"/>
            <w:vAlign w:val="center"/>
          </w:tcPr>
          <w:p w14:paraId="57D093D2" w14:textId="77777777" w:rsidR="009C353B" w:rsidRDefault="00000000">
            <w:pPr>
              <w:pStyle w:val="01"/>
              <w:rPr>
                <w:rFonts w:ascii="Times New Roman" w:hAnsi="Times New Roman"/>
              </w:rPr>
            </w:pPr>
            <w:r>
              <w:rPr>
                <w:rFonts w:ascii="Times New Roman" w:hAnsi="Times New Roman"/>
              </w:rPr>
              <w:t>任家庄矿井</w:t>
            </w:r>
          </w:p>
        </w:tc>
        <w:tc>
          <w:tcPr>
            <w:tcW w:w="1782" w:type="dxa"/>
            <w:vAlign w:val="center"/>
          </w:tcPr>
          <w:p w14:paraId="77C3C9E9" w14:textId="77777777" w:rsidR="009C353B" w:rsidRDefault="00000000">
            <w:pPr>
              <w:pStyle w:val="01"/>
              <w:rPr>
                <w:rFonts w:ascii="Times New Roman" w:hAnsi="Times New Roman"/>
              </w:rPr>
            </w:pPr>
            <w:r>
              <w:rPr>
                <w:rFonts w:ascii="Times New Roman" w:hAnsi="Times New Roman"/>
                <w:lang w:bidi="ar"/>
              </w:rPr>
              <w:t>3.60</w:t>
            </w:r>
          </w:p>
        </w:tc>
        <w:tc>
          <w:tcPr>
            <w:tcW w:w="1782" w:type="dxa"/>
            <w:vAlign w:val="center"/>
          </w:tcPr>
          <w:p w14:paraId="2D25DBB1" w14:textId="77777777" w:rsidR="009C353B" w:rsidRDefault="00000000">
            <w:pPr>
              <w:pStyle w:val="01"/>
              <w:rPr>
                <w:rFonts w:ascii="Times New Roman" w:hAnsi="Times New Roman"/>
              </w:rPr>
            </w:pPr>
            <w:r>
              <w:rPr>
                <w:rFonts w:ascii="Times New Roman" w:hAnsi="Times New Roman"/>
              </w:rPr>
              <w:t>10704</w:t>
            </w:r>
            <w:r>
              <w:rPr>
                <w:rFonts w:ascii="Times New Roman" w:hAnsi="Times New Roman"/>
              </w:rPr>
              <w:t>～</w:t>
            </w:r>
            <w:r>
              <w:rPr>
                <w:rFonts w:ascii="Times New Roman" w:hAnsi="Times New Roman"/>
              </w:rPr>
              <w:t>16512</w:t>
            </w:r>
          </w:p>
        </w:tc>
        <w:tc>
          <w:tcPr>
            <w:tcW w:w="1915" w:type="dxa"/>
            <w:vAlign w:val="center"/>
          </w:tcPr>
          <w:p w14:paraId="2069EC72" w14:textId="77777777" w:rsidR="009C353B" w:rsidRDefault="00000000">
            <w:pPr>
              <w:pStyle w:val="01"/>
              <w:rPr>
                <w:rFonts w:ascii="Times New Roman" w:hAnsi="Times New Roman"/>
              </w:rPr>
            </w:pPr>
            <w:r>
              <w:rPr>
                <w:rFonts w:ascii="Times New Roman" w:hAnsi="Times New Roman"/>
              </w:rPr>
              <w:t>16500</w:t>
            </w:r>
          </w:p>
        </w:tc>
        <w:tc>
          <w:tcPr>
            <w:tcW w:w="1121" w:type="dxa"/>
            <w:vAlign w:val="center"/>
          </w:tcPr>
          <w:p w14:paraId="1AA08E69" w14:textId="77777777" w:rsidR="009C353B" w:rsidRDefault="00000000">
            <w:pPr>
              <w:pStyle w:val="01"/>
              <w:rPr>
                <w:rFonts w:ascii="Times New Roman" w:hAnsi="Times New Roman"/>
              </w:rPr>
            </w:pPr>
            <w:r>
              <w:rPr>
                <w:rFonts w:ascii="Times New Roman" w:hAnsi="Times New Roman"/>
              </w:rPr>
              <w:t>生产</w:t>
            </w:r>
          </w:p>
        </w:tc>
      </w:tr>
      <w:tr w:rsidR="009C353B" w14:paraId="0278B838" w14:textId="77777777">
        <w:trPr>
          <w:trHeight w:val="397"/>
          <w:jc w:val="center"/>
        </w:trPr>
        <w:tc>
          <w:tcPr>
            <w:tcW w:w="539" w:type="dxa"/>
            <w:vAlign w:val="center"/>
          </w:tcPr>
          <w:p w14:paraId="0F03C002" w14:textId="77777777" w:rsidR="009C353B" w:rsidRDefault="00000000">
            <w:pPr>
              <w:pStyle w:val="01"/>
              <w:rPr>
                <w:rFonts w:ascii="Times New Roman" w:hAnsi="Times New Roman"/>
              </w:rPr>
            </w:pPr>
            <w:r>
              <w:rPr>
                <w:rFonts w:ascii="Times New Roman" w:hAnsi="Times New Roman"/>
              </w:rPr>
              <w:t>3</w:t>
            </w:r>
          </w:p>
        </w:tc>
        <w:tc>
          <w:tcPr>
            <w:tcW w:w="1650" w:type="dxa"/>
            <w:vAlign w:val="center"/>
          </w:tcPr>
          <w:p w14:paraId="1DE9BDCF" w14:textId="77777777" w:rsidR="009C353B" w:rsidRDefault="00000000">
            <w:pPr>
              <w:pStyle w:val="01"/>
              <w:rPr>
                <w:rFonts w:ascii="Times New Roman" w:hAnsi="Times New Roman"/>
              </w:rPr>
            </w:pPr>
            <w:r>
              <w:rPr>
                <w:rFonts w:ascii="Times New Roman" w:hAnsi="Times New Roman"/>
              </w:rPr>
              <w:t>红石湾矿井</w:t>
            </w:r>
          </w:p>
        </w:tc>
        <w:tc>
          <w:tcPr>
            <w:tcW w:w="1782" w:type="dxa"/>
            <w:vAlign w:val="center"/>
          </w:tcPr>
          <w:p w14:paraId="2B2360B4" w14:textId="77777777" w:rsidR="009C353B" w:rsidRDefault="00000000">
            <w:pPr>
              <w:pStyle w:val="01"/>
              <w:rPr>
                <w:rFonts w:ascii="Times New Roman" w:hAnsi="Times New Roman"/>
              </w:rPr>
            </w:pPr>
            <w:r>
              <w:rPr>
                <w:rFonts w:ascii="Times New Roman" w:hAnsi="Times New Roman"/>
                <w:lang w:bidi="ar"/>
              </w:rPr>
              <w:t>1.10</w:t>
            </w:r>
          </w:p>
        </w:tc>
        <w:tc>
          <w:tcPr>
            <w:tcW w:w="1782" w:type="dxa"/>
            <w:vAlign w:val="center"/>
          </w:tcPr>
          <w:p w14:paraId="07419D34" w14:textId="77777777" w:rsidR="009C353B" w:rsidRDefault="00000000">
            <w:pPr>
              <w:pStyle w:val="01"/>
              <w:rPr>
                <w:rFonts w:ascii="Times New Roman" w:hAnsi="Times New Roman"/>
              </w:rPr>
            </w:pPr>
            <w:r>
              <w:rPr>
                <w:rFonts w:ascii="Times New Roman" w:hAnsi="Times New Roman"/>
              </w:rPr>
              <w:t>6120</w:t>
            </w:r>
            <w:r>
              <w:rPr>
                <w:rFonts w:ascii="Times New Roman" w:hAnsi="Times New Roman"/>
              </w:rPr>
              <w:t>～</w:t>
            </w:r>
            <w:r>
              <w:rPr>
                <w:rFonts w:ascii="Times New Roman" w:hAnsi="Times New Roman"/>
              </w:rPr>
              <w:t>7344</w:t>
            </w:r>
          </w:p>
        </w:tc>
        <w:tc>
          <w:tcPr>
            <w:tcW w:w="1915" w:type="dxa"/>
            <w:vAlign w:val="center"/>
          </w:tcPr>
          <w:p w14:paraId="7B389620" w14:textId="77777777" w:rsidR="009C353B" w:rsidRDefault="00000000">
            <w:pPr>
              <w:pStyle w:val="01"/>
              <w:rPr>
                <w:rFonts w:ascii="Times New Roman" w:hAnsi="Times New Roman"/>
              </w:rPr>
            </w:pPr>
            <w:r>
              <w:rPr>
                <w:rFonts w:ascii="Times New Roman" w:hAnsi="Times New Roman"/>
              </w:rPr>
              <w:t>7500</w:t>
            </w:r>
          </w:p>
        </w:tc>
        <w:tc>
          <w:tcPr>
            <w:tcW w:w="1121" w:type="dxa"/>
            <w:vAlign w:val="center"/>
          </w:tcPr>
          <w:p w14:paraId="44E43958" w14:textId="77777777" w:rsidR="009C353B" w:rsidRDefault="00000000">
            <w:pPr>
              <w:pStyle w:val="01"/>
              <w:rPr>
                <w:rFonts w:ascii="Times New Roman" w:hAnsi="Times New Roman"/>
              </w:rPr>
            </w:pPr>
            <w:r>
              <w:rPr>
                <w:rFonts w:ascii="Times New Roman" w:hAnsi="Times New Roman"/>
              </w:rPr>
              <w:t>生产</w:t>
            </w:r>
          </w:p>
        </w:tc>
      </w:tr>
      <w:tr w:rsidR="009C353B" w14:paraId="04B88A70" w14:textId="77777777">
        <w:trPr>
          <w:trHeight w:val="397"/>
          <w:jc w:val="center"/>
        </w:trPr>
        <w:tc>
          <w:tcPr>
            <w:tcW w:w="539" w:type="dxa"/>
            <w:vAlign w:val="center"/>
          </w:tcPr>
          <w:p w14:paraId="6C3FE840" w14:textId="77777777" w:rsidR="009C353B" w:rsidRDefault="00000000">
            <w:pPr>
              <w:pStyle w:val="01"/>
              <w:rPr>
                <w:rFonts w:ascii="Times New Roman" w:hAnsi="Times New Roman"/>
              </w:rPr>
            </w:pPr>
            <w:r>
              <w:rPr>
                <w:rFonts w:ascii="Times New Roman" w:hAnsi="Times New Roman"/>
              </w:rPr>
              <w:t>4</w:t>
            </w:r>
          </w:p>
        </w:tc>
        <w:tc>
          <w:tcPr>
            <w:tcW w:w="1650" w:type="dxa"/>
            <w:vAlign w:val="center"/>
          </w:tcPr>
          <w:p w14:paraId="6ABDCA06" w14:textId="77777777" w:rsidR="009C353B" w:rsidRDefault="00000000">
            <w:pPr>
              <w:pStyle w:val="01"/>
              <w:rPr>
                <w:rFonts w:ascii="Times New Roman" w:hAnsi="Times New Roman"/>
              </w:rPr>
            </w:pPr>
            <w:r>
              <w:rPr>
                <w:rFonts w:ascii="Times New Roman" w:hAnsi="Times New Roman"/>
                <w:lang w:bidi="ar"/>
              </w:rPr>
              <w:t>丁家梁矿井</w:t>
            </w:r>
          </w:p>
        </w:tc>
        <w:tc>
          <w:tcPr>
            <w:tcW w:w="1782" w:type="dxa"/>
            <w:vAlign w:val="center"/>
          </w:tcPr>
          <w:p w14:paraId="0DFC32CE" w14:textId="77777777" w:rsidR="009C353B" w:rsidRDefault="00000000">
            <w:pPr>
              <w:pStyle w:val="01"/>
              <w:rPr>
                <w:rFonts w:ascii="Times New Roman" w:hAnsi="Times New Roman"/>
              </w:rPr>
            </w:pPr>
            <w:r>
              <w:rPr>
                <w:rFonts w:ascii="Times New Roman" w:hAnsi="Times New Roman"/>
                <w:lang w:bidi="ar"/>
              </w:rPr>
              <w:t>0.90</w:t>
            </w:r>
          </w:p>
        </w:tc>
        <w:tc>
          <w:tcPr>
            <w:tcW w:w="1782" w:type="dxa"/>
            <w:vAlign w:val="center"/>
          </w:tcPr>
          <w:p w14:paraId="1F35CE86" w14:textId="77777777" w:rsidR="009C353B" w:rsidRDefault="00000000">
            <w:pPr>
              <w:pStyle w:val="01"/>
              <w:rPr>
                <w:rFonts w:ascii="Times New Roman" w:hAnsi="Times New Roman"/>
              </w:rPr>
            </w:pPr>
            <w:r>
              <w:rPr>
                <w:rFonts w:ascii="Times New Roman" w:hAnsi="Times New Roman"/>
              </w:rPr>
              <w:t>6504</w:t>
            </w:r>
            <w:r>
              <w:rPr>
                <w:rFonts w:ascii="Times New Roman" w:hAnsi="Times New Roman"/>
              </w:rPr>
              <w:t>～</w:t>
            </w:r>
            <w:r>
              <w:rPr>
                <w:rFonts w:ascii="Times New Roman" w:hAnsi="Times New Roman"/>
              </w:rPr>
              <w:t>7800</w:t>
            </w:r>
          </w:p>
        </w:tc>
        <w:tc>
          <w:tcPr>
            <w:tcW w:w="1915" w:type="dxa"/>
            <w:vAlign w:val="center"/>
          </w:tcPr>
          <w:p w14:paraId="6E409B4E" w14:textId="77777777" w:rsidR="009C353B" w:rsidRDefault="00000000">
            <w:pPr>
              <w:pStyle w:val="01"/>
              <w:rPr>
                <w:rFonts w:ascii="Times New Roman" w:hAnsi="Times New Roman"/>
              </w:rPr>
            </w:pPr>
            <w:r>
              <w:rPr>
                <w:rFonts w:ascii="Times New Roman" w:hAnsi="Times New Roman"/>
              </w:rPr>
              <w:t>8000</w:t>
            </w:r>
          </w:p>
        </w:tc>
        <w:tc>
          <w:tcPr>
            <w:tcW w:w="1121" w:type="dxa"/>
            <w:vAlign w:val="center"/>
          </w:tcPr>
          <w:p w14:paraId="3F92FB1E" w14:textId="77777777" w:rsidR="009C353B" w:rsidRDefault="00000000">
            <w:pPr>
              <w:pStyle w:val="01"/>
              <w:rPr>
                <w:rFonts w:ascii="Times New Roman" w:hAnsi="Times New Roman"/>
                <w:szCs w:val="24"/>
              </w:rPr>
            </w:pPr>
            <w:r>
              <w:rPr>
                <w:rFonts w:ascii="Times New Roman" w:hAnsi="Times New Roman"/>
              </w:rPr>
              <w:t>在建</w:t>
            </w:r>
          </w:p>
        </w:tc>
      </w:tr>
      <w:tr w:rsidR="009C353B" w14:paraId="60AAF424" w14:textId="77777777">
        <w:trPr>
          <w:trHeight w:val="397"/>
          <w:jc w:val="center"/>
        </w:trPr>
        <w:tc>
          <w:tcPr>
            <w:tcW w:w="539" w:type="dxa"/>
            <w:vAlign w:val="center"/>
          </w:tcPr>
          <w:p w14:paraId="36A3AAAD" w14:textId="77777777" w:rsidR="009C353B" w:rsidRDefault="00000000">
            <w:pPr>
              <w:pStyle w:val="01"/>
              <w:rPr>
                <w:rFonts w:ascii="Times New Roman" w:hAnsi="Times New Roman"/>
              </w:rPr>
            </w:pPr>
            <w:r>
              <w:rPr>
                <w:rFonts w:ascii="Times New Roman" w:hAnsi="Times New Roman"/>
              </w:rPr>
              <w:t>5</w:t>
            </w:r>
          </w:p>
        </w:tc>
        <w:tc>
          <w:tcPr>
            <w:tcW w:w="1650" w:type="dxa"/>
            <w:vAlign w:val="center"/>
          </w:tcPr>
          <w:p w14:paraId="3FD78D55" w14:textId="77777777" w:rsidR="009C353B" w:rsidRDefault="00000000">
            <w:pPr>
              <w:pStyle w:val="01"/>
              <w:rPr>
                <w:rFonts w:ascii="Times New Roman" w:hAnsi="Times New Roman"/>
              </w:rPr>
            </w:pPr>
            <w:r>
              <w:rPr>
                <w:rFonts w:ascii="Times New Roman" w:hAnsi="Times New Roman"/>
              </w:rPr>
              <w:t>合</w:t>
            </w:r>
            <w:r>
              <w:rPr>
                <w:rFonts w:ascii="Times New Roman" w:hAnsi="Times New Roman"/>
              </w:rPr>
              <w:t xml:space="preserve">   </w:t>
            </w:r>
            <w:r>
              <w:rPr>
                <w:rFonts w:ascii="Times New Roman" w:hAnsi="Times New Roman"/>
              </w:rPr>
              <w:t>计</w:t>
            </w:r>
          </w:p>
        </w:tc>
        <w:tc>
          <w:tcPr>
            <w:tcW w:w="1782" w:type="dxa"/>
            <w:vAlign w:val="center"/>
          </w:tcPr>
          <w:p w14:paraId="4B55D197" w14:textId="77777777" w:rsidR="009C353B" w:rsidRDefault="00000000">
            <w:pPr>
              <w:pStyle w:val="01"/>
              <w:rPr>
                <w:rFonts w:ascii="Times New Roman" w:hAnsi="Times New Roman"/>
              </w:rPr>
            </w:pPr>
            <w:r>
              <w:rPr>
                <w:rFonts w:ascii="Times New Roman" w:hAnsi="Times New Roman"/>
              </w:rPr>
              <w:t>9.20</w:t>
            </w:r>
          </w:p>
        </w:tc>
        <w:tc>
          <w:tcPr>
            <w:tcW w:w="1782" w:type="dxa"/>
            <w:vAlign w:val="center"/>
          </w:tcPr>
          <w:p w14:paraId="36567449" w14:textId="77777777" w:rsidR="009C353B" w:rsidRDefault="00000000">
            <w:pPr>
              <w:pStyle w:val="01"/>
              <w:rPr>
                <w:rFonts w:ascii="Times New Roman" w:hAnsi="Times New Roman"/>
              </w:rPr>
            </w:pPr>
            <w:r>
              <w:rPr>
                <w:rFonts w:ascii="Times New Roman" w:hAnsi="Times New Roman"/>
              </w:rPr>
              <w:t>31056</w:t>
            </w:r>
            <w:r>
              <w:rPr>
                <w:rFonts w:ascii="Times New Roman" w:hAnsi="Times New Roman"/>
              </w:rPr>
              <w:t>～</w:t>
            </w:r>
            <w:r>
              <w:rPr>
                <w:rFonts w:ascii="Times New Roman" w:hAnsi="Times New Roman"/>
              </w:rPr>
              <w:t>47400</w:t>
            </w:r>
          </w:p>
        </w:tc>
        <w:tc>
          <w:tcPr>
            <w:tcW w:w="1915" w:type="dxa"/>
            <w:vAlign w:val="center"/>
          </w:tcPr>
          <w:p w14:paraId="2DB7D39C" w14:textId="77777777" w:rsidR="009C353B" w:rsidRDefault="00000000">
            <w:pPr>
              <w:pStyle w:val="01"/>
              <w:rPr>
                <w:rFonts w:ascii="Times New Roman" w:hAnsi="Times New Roman"/>
              </w:rPr>
            </w:pPr>
            <w:r>
              <w:rPr>
                <w:rFonts w:ascii="Times New Roman" w:hAnsi="Times New Roman"/>
              </w:rPr>
              <w:t>48000</w:t>
            </w:r>
          </w:p>
        </w:tc>
        <w:tc>
          <w:tcPr>
            <w:tcW w:w="1121" w:type="dxa"/>
            <w:vAlign w:val="center"/>
          </w:tcPr>
          <w:p w14:paraId="003DDF44" w14:textId="77777777" w:rsidR="009C353B" w:rsidRDefault="009C353B">
            <w:pPr>
              <w:pStyle w:val="01"/>
              <w:rPr>
                <w:rFonts w:ascii="Times New Roman" w:hAnsi="Times New Roman"/>
              </w:rPr>
            </w:pPr>
          </w:p>
        </w:tc>
      </w:tr>
    </w:tbl>
    <w:p w14:paraId="1964EB03" w14:textId="77777777" w:rsidR="009C353B" w:rsidRDefault="009C353B">
      <w:pPr>
        <w:adjustRightInd w:val="0"/>
        <w:snapToGrid w:val="0"/>
        <w:spacing w:line="440" w:lineRule="exact"/>
        <w:ind w:firstLineChars="200" w:firstLine="480"/>
        <w:jc w:val="left"/>
        <w:rPr>
          <w:rFonts w:ascii="Times New Roman" w:hAnsi="Times New Roman"/>
          <w:szCs w:val="28"/>
        </w:rPr>
      </w:pPr>
    </w:p>
    <w:p w14:paraId="4F98A376" w14:textId="77777777" w:rsidR="009C353B" w:rsidRDefault="00000000">
      <w:pPr>
        <w:adjustRightInd w:val="0"/>
        <w:snapToGrid w:val="0"/>
        <w:spacing w:line="440" w:lineRule="exact"/>
        <w:ind w:firstLineChars="200" w:firstLine="480"/>
        <w:jc w:val="left"/>
        <w:rPr>
          <w:rFonts w:ascii="Times New Roman" w:hAnsi="Times New Roman"/>
          <w:szCs w:val="28"/>
        </w:rPr>
      </w:pPr>
      <w:r>
        <w:rPr>
          <w:rFonts w:ascii="Times New Roman" w:hAnsi="Times New Roman"/>
          <w:szCs w:val="28"/>
        </w:rPr>
        <w:t>3</w:t>
      </w:r>
      <w:r>
        <w:rPr>
          <w:rFonts w:ascii="Times New Roman"/>
          <w:szCs w:val="28"/>
        </w:rPr>
        <w:t>）生产、生活污废水</w:t>
      </w:r>
    </w:p>
    <w:p w14:paraId="2DC3C9BF" w14:textId="77777777" w:rsidR="009C353B" w:rsidRDefault="00000000">
      <w:pPr>
        <w:adjustRightInd w:val="0"/>
        <w:snapToGrid w:val="0"/>
        <w:spacing w:line="440" w:lineRule="exact"/>
        <w:ind w:firstLineChars="200" w:firstLine="480"/>
        <w:rPr>
          <w:rFonts w:ascii="Times New Roman" w:hint="eastAsia"/>
          <w:szCs w:val="28"/>
        </w:rPr>
      </w:pPr>
      <w:r>
        <w:rPr>
          <w:rFonts w:ascii="Times New Roman" w:hint="eastAsia"/>
          <w:szCs w:val="28"/>
        </w:rPr>
        <w:t>矿区</w:t>
      </w:r>
      <w:r>
        <w:rPr>
          <w:rFonts w:ascii="Times New Roman"/>
          <w:szCs w:val="28"/>
        </w:rPr>
        <w:t>生产、生活污废水</w:t>
      </w:r>
      <w:r>
        <w:rPr>
          <w:rFonts w:ascii="Times New Roman" w:hint="eastAsia"/>
          <w:szCs w:val="28"/>
        </w:rPr>
        <w:t>总量</w:t>
      </w:r>
      <w:r>
        <w:rPr>
          <w:rFonts w:ascii="Times New Roman"/>
          <w:szCs w:val="28"/>
        </w:rPr>
        <w:t>为</w:t>
      </w:r>
      <w:r>
        <w:rPr>
          <w:rFonts w:ascii="Times New Roman"/>
          <w:szCs w:val="28"/>
        </w:rPr>
        <w:t>376.2</w:t>
      </w:r>
      <w:r>
        <w:rPr>
          <w:rFonts w:ascii="Times New Roman" w:hint="eastAsia"/>
          <w:szCs w:val="24"/>
        </w:rPr>
        <w:t>m</w:t>
      </w:r>
      <w:r>
        <w:rPr>
          <w:rFonts w:ascii="Times New Roman" w:hint="eastAsia"/>
          <w:szCs w:val="24"/>
          <w:vertAlign w:val="superscript"/>
        </w:rPr>
        <w:t>3</w:t>
      </w:r>
      <w:r>
        <w:rPr>
          <w:rFonts w:ascii="Times New Roman" w:hint="eastAsia"/>
          <w:szCs w:val="24"/>
        </w:rPr>
        <w:t>/d</w:t>
      </w:r>
      <w:r>
        <w:rPr>
          <w:rFonts w:ascii="Times New Roman" w:hint="eastAsia"/>
          <w:szCs w:val="24"/>
        </w:rPr>
        <w:t>（见</w:t>
      </w:r>
      <w:r>
        <w:rPr>
          <w:rFonts w:ascii="Times New Roman"/>
          <w:szCs w:val="24"/>
        </w:rPr>
        <w:t>表</w:t>
      </w:r>
      <w:r>
        <w:rPr>
          <w:rFonts w:ascii="Times New Roman" w:hAnsi="Times New Roman" w:hint="eastAsia"/>
        </w:rPr>
        <w:t>2.3-</w:t>
      </w:r>
      <w:r>
        <w:rPr>
          <w:rFonts w:ascii="Times New Roman" w:hAnsi="Times New Roman"/>
        </w:rPr>
        <w:t>13</w:t>
      </w:r>
      <w:r>
        <w:rPr>
          <w:rFonts w:ascii="Times New Roman"/>
          <w:szCs w:val="24"/>
        </w:rPr>
        <w:t>）</w:t>
      </w:r>
      <w:r>
        <w:rPr>
          <w:rFonts w:ascii="Times New Roman" w:hint="eastAsia"/>
          <w:szCs w:val="24"/>
        </w:rPr>
        <w:t>，</w:t>
      </w:r>
      <w:r>
        <w:rPr>
          <w:rFonts w:ascii="Times New Roman"/>
          <w:szCs w:val="28"/>
        </w:rPr>
        <w:t>处理后作为生产</w:t>
      </w:r>
      <w:r>
        <w:rPr>
          <w:rFonts w:ascii="Times New Roman" w:hint="eastAsia"/>
          <w:szCs w:val="28"/>
        </w:rPr>
        <w:t>用水</w:t>
      </w:r>
      <w:r>
        <w:rPr>
          <w:rFonts w:ascii="Times New Roman"/>
          <w:szCs w:val="28"/>
        </w:rPr>
        <w:t>。</w:t>
      </w:r>
    </w:p>
    <w:p w14:paraId="4B1F8319" w14:textId="77777777" w:rsidR="009C353B" w:rsidRDefault="009C353B">
      <w:pPr>
        <w:adjustRightInd w:val="0"/>
        <w:snapToGrid w:val="0"/>
        <w:spacing w:line="440" w:lineRule="exact"/>
        <w:ind w:firstLineChars="200" w:firstLine="480"/>
        <w:rPr>
          <w:rFonts w:ascii="Times New Roman" w:hint="eastAsia"/>
          <w:szCs w:val="28"/>
        </w:rPr>
      </w:pPr>
    </w:p>
    <w:p w14:paraId="12F52057" w14:textId="77777777" w:rsidR="009C353B" w:rsidRDefault="009C353B">
      <w:pPr>
        <w:adjustRightInd w:val="0"/>
        <w:snapToGrid w:val="0"/>
        <w:spacing w:line="440" w:lineRule="exact"/>
        <w:ind w:firstLineChars="200" w:firstLine="480"/>
        <w:rPr>
          <w:rFonts w:ascii="Times New Roman" w:hint="eastAsia"/>
          <w:szCs w:val="28"/>
        </w:rPr>
      </w:pPr>
    </w:p>
    <w:p w14:paraId="60E65D4E" w14:textId="77777777" w:rsidR="009C353B" w:rsidRDefault="009C353B">
      <w:pPr>
        <w:adjustRightInd w:val="0"/>
        <w:snapToGrid w:val="0"/>
        <w:spacing w:line="440" w:lineRule="exact"/>
        <w:ind w:firstLineChars="200" w:firstLine="480"/>
        <w:rPr>
          <w:rFonts w:ascii="Times New Roman" w:hint="eastAsia"/>
          <w:szCs w:val="28"/>
        </w:rPr>
      </w:pPr>
    </w:p>
    <w:p w14:paraId="00965FEB" w14:textId="77777777" w:rsidR="009C353B" w:rsidRDefault="00000000">
      <w:pPr>
        <w:adjustRightInd w:val="0"/>
        <w:snapToGrid w:val="0"/>
        <w:spacing w:line="440" w:lineRule="exact"/>
        <w:ind w:firstLineChars="200" w:firstLine="482"/>
        <w:jc w:val="center"/>
        <w:rPr>
          <w:rFonts w:ascii="Times New Roman" w:hAnsi="Times New Roman"/>
          <w:b/>
          <w:szCs w:val="28"/>
        </w:rPr>
      </w:pPr>
      <w:r>
        <w:rPr>
          <w:rFonts w:ascii="Times New Roman" w:hAnsi="Times New Roman" w:hint="eastAsia"/>
          <w:b/>
          <w:szCs w:val="28"/>
        </w:rPr>
        <w:t>矿区达产时生活</w:t>
      </w:r>
      <w:r>
        <w:rPr>
          <w:rFonts w:ascii="Times New Roman" w:hAnsi="Times New Roman"/>
          <w:b/>
          <w:szCs w:val="28"/>
        </w:rPr>
        <w:t>污水</w:t>
      </w:r>
      <w:r>
        <w:rPr>
          <w:rFonts w:ascii="Times New Roman" w:hAnsi="Times New Roman" w:hint="eastAsia"/>
          <w:b/>
          <w:szCs w:val="28"/>
        </w:rPr>
        <w:t>排水量及水处理站规模一览表</w:t>
      </w:r>
    </w:p>
    <w:p w14:paraId="23EA6109" w14:textId="77777777" w:rsidR="009C353B" w:rsidRDefault="00000000">
      <w:pPr>
        <w:pStyle w:val="affffd"/>
        <w:spacing w:line="440" w:lineRule="exact"/>
        <w:rPr>
          <w:rFonts w:ascii="Times New Roman" w:hint="eastAsia"/>
        </w:rPr>
      </w:pPr>
      <w:r>
        <w:rPr>
          <w:rFonts w:ascii="Times New Roman" w:hint="eastAsia"/>
        </w:rPr>
        <w:t>表</w:t>
      </w:r>
      <w:r>
        <w:rPr>
          <w:rFonts w:ascii="Times New Roman" w:hint="eastAsia"/>
        </w:rPr>
        <w:t>2.3-</w:t>
      </w:r>
      <w:r>
        <w:rPr>
          <w:rFonts w:ascii="Times New Roman"/>
        </w:rPr>
        <w:t>13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2427"/>
        <w:gridCol w:w="1198"/>
        <w:gridCol w:w="1798"/>
        <w:gridCol w:w="2248"/>
        <w:gridCol w:w="1047"/>
      </w:tblGrid>
      <w:tr w:rsidR="009C353B" w14:paraId="4E775796" w14:textId="77777777">
        <w:trPr>
          <w:trHeight w:val="397"/>
          <w:tblHeader/>
          <w:jc w:val="center"/>
        </w:trPr>
        <w:tc>
          <w:tcPr>
            <w:tcW w:w="555" w:type="dxa"/>
            <w:vAlign w:val="center"/>
          </w:tcPr>
          <w:p w14:paraId="7199659E" w14:textId="77777777" w:rsidR="009C353B" w:rsidRDefault="00000000">
            <w:pPr>
              <w:pStyle w:val="01"/>
              <w:rPr>
                <w:rFonts w:ascii="Times New Roman" w:hAnsi="Times New Roman"/>
              </w:rPr>
            </w:pPr>
            <w:r>
              <w:rPr>
                <w:rFonts w:ascii="Times New Roman" w:hAnsi="Times New Roman"/>
              </w:rPr>
              <w:t>序号</w:t>
            </w:r>
          </w:p>
        </w:tc>
        <w:tc>
          <w:tcPr>
            <w:tcW w:w="2368" w:type="dxa"/>
            <w:vAlign w:val="center"/>
          </w:tcPr>
          <w:p w14:paraId="24DC5174" w14:textId="77777777" w:rsidR="009C353B" w:rsidRDefault="00000000">
            <w:pPr>
              <w:pStyle w:val="01"/>
              <w:rPr>
                <w:rFonts w:ascii="Times New Roman" w:hAnsi="Times New Roman"/>
              </w:rPr>
            </w:pPr>
            <w:r>
              <w:rPr>
                <w:rFonts w:ascii="Times New Roman" w:hAnsi="Times New Roman"/>
              </w:rPr>
              <w:t>用</w:t>
            </w:r>
            <w:r>
              <w:rPr>
                <w:rFonts w:ascii="Times New Roman" w:hAnsi="Times New Roman"/>
              </w:rPr>
              <w:t xml:space="preserve"> </w:t>
            </w:r>
            <w:r>
              <w:rPr>
                <w:rFonts w:ascii="Times New Roman" w:hAnsi="Times New Roman"/>
              </w:rPr>
              <w:t>水</w:t>
            </w:r>
            <w:r>
              <w:rPr>
                <w:rFonts w:ascii="Times New Roman" w:hAnsi="Times New Roman"/>
              </w:rPr>
              <w:t xml:space="preserve"> </w:t>
            </w:r>
            <w:r>
              <w:rPr>
                <w:rFonts w:ascii="Times New Roman" w:hAnsi="Times New Roman"/>
              </w:rPr>
              <w:t>项</w:t>
            </w:r>
            <w:r>
              <w:rPr>
                <w:rFonts w:ascii="Times New Roman" w:hAnsi="Times New Roman"/>
              </w:rPr>
              <w:t xml:space="preserve"> </w:t>
            </w:r>
            <w:r>
              <w:rPr>
                <w:rFonts w:ascii="Times New Roman" w:hAnsi="Times New Roman"/>
              </w:rPr>
              <w:t>目</w:t>
            </w:r>
          </w:p>
        </w:tc>
        <w:tc>
          <w:tcPr>
            <w:tcW w:w="1169" w:type="dxa"/>
            <w:vAlign w:val="center"/>
          </w:tcPr>
          <w:p w14:paraId="332D925A" w14:textId="77777777" w:rsidR="009C353B" w:rsidRDefault="00000000">
            <w:pPr>
              <w:pStyle w:val="01"/>
              <w:rPr>
                <w:rFonts w:ascii="Times New Roman" w:hAnsi="Times New Roman"/>
              </w:rPr>
            </w:pPr>
            <w:r>
              <w:rPr>
                <w:rFonts w:ascii="Times New Roman" w:hAnsi="Times New Roman"/>
              </w:rPr>
              <w:t>矿井规模</w:t>
            </w:r>
          </w:p>
          <w:p w14:paraId="76545DE9" w14:textId="77777777" w:rsidR="009C353B" w:rsidRDefault="00000000">
            <w:pPr>
              <w:pStyle w:val="01"/>
              <w:rPr>
                <w:rFonts w:ascii="Times New Roman" w:hAnsi="Times New Roman"/>
              </w:rPr>
            </w:pPr>
            <w:r>
              <w:rPr>
                <w:rFonts w:ascii="Times New Roman" w:hAnsi="Times New Roman"/>
              </w:rPr>
              <w:t>Mt/a</w:t>
            </w:r>
          </w:p>
        </w:tc>
        <w:tc>
          <w:tcPr>
            <w:tcW w:w="1754" w:type="dxa"/>
            <w:vAlign w:val="center"/>
          </w:tcPr>
          <w:p w14:paraId="1DA39DF8" w14:textId="77777777" w:rsidR="009C353B" w:rsidRDefault="00000000">
            <w:pPr>
              <w:pStyle w:val="01"/>
              <w:rPr>
                <w:rFonts w:ascii="Times New Roman" w:hAnsi="Times New Roman"/>
              </w:rPr>
            </w:pPr>
            <w:r>
              <w:rPr>
                <w:rFonts w:ascii="Times New Roman" w:hAnsi="Times New Roman"/>
              </w:rPr>
              <w:t>生活污水排水量</w:t>
            </w:r>
          </w:p>
          <w:p w14:paraId="28F00358" w14:textId="77777777" w:rsidR="009C353B" w:rsidRDefault="00000000">
            <w:pPr>
              <w:pStyle w:val="01"/>
              <w:rPr>
                <w:rFonts w:ascii="Times New Roman" w:hAnsi="Times New Roman"/>
              </w:rPr>
            </w:pPr>
            <w:r>
              <w:rPr>
                <w:rFonts w:ascii="Times New Roman" w:hAnsi="Times New Roman"/>
              </w:rPr>
              <w:t>m</w:t>
            </w:r>
            <w:r>
              <w:rPr>
                <w:rFonts w:ascii="Times New Roman" w:hAnsi="Times New Roman"/>
                <w:vertAlign w:val="superscript"/>
              </w:rPr>
              <w:t>3</w:t>
            </w:r>
            <w:r>
              <w:rPr>
                <w:rFonts w:ascii="Times New Roman" w:hAnsi="Times New Roman"/>
              </w:rPr>
              <w:t>/d</w:t>
            </w:r>
          </w:p>
        </w:tc>
        <w:tc>
          <w:tcPr>
            <w:tcW w:w="2193" w:type="dxa"/>
            <w:vAlign w:val="center"/>
          </w:tcPr>
          <w:p w14:paraId="1ABD0F0D" w14:textId="77777777" w:rsidR="009C353B" w:rsidRDefault="00000000">
            <w:pPr>
              <w:pStyle w:val="01"/>
              <w:rPr>
                <w:rFonts w:ascii="Times New Roman" w:hAnsi="Times New Roman"/>
              </w:rPr>
            </w:pPr>
            <w:r>
              <w:rPr>
                <w:rFonts w:ascii="Times New Roman" w:hAnsi="Times New Roman"/>
              </w:rPr>
              <w:t>生活污水处理站规模</w:t>
            </w:r>
          </w:p>
          <w:p w14:paraId="61F73585" w14:textId="77777777" w:rsidR="009C353B" w:rsidRDefault="00000000">
            <w:pPr>
              <w:pStyle w:val="01"/>
              <w:rPr>
                <w:rFonts w:ascii="Times New Roman" w:hAnsi="Times New Roman"/>
              </w:rPr>
            </w:pPr>
            <w:r>
              <w:rPr>
                <w:rFonts w:ascii="Times New Roman" w:hAnsi="Times New Roman"/>
              </w:rPr>
              <w:t>m</w:t>
            </w:r>
            <w:r>
              <w:rPr>
                <w:rFonts w:ascii="Times New Roman" w:hAnsi="Times New Roman"/>
                <w:vertAlign w:val="superscript"/>
              </w:rPr>
              <w:t>3</w:t>
            </w:r>
            <w:r>
              <w:rPr>
                <w:rFonts w:ascii="Times New Roman" w:hAnsi="Times New Roman"/>
              </w:rPr>
              <w:t>/d</w:t>
            </w:r>
          </w:p>
        </w:tc>
        <w:tc>
          <w:tcPr>
            <w:tcW w:w="1022" w:type="dxa"/>
            <w:vAlign w:val="center"/>
          </w:tcPr>
          <w:p w14:paraId="63CD1A50" w14:textId="77777777" w:rsidR="009C353B" w:rsidRDefault="00000000">
            <w:pPr>
              <w:pStyle w:val="01"/>
              <w:rPr>
                <w:rFonts w:ascii="Times New Roman" w:hAnsi="Times New Roman"/>
              </w:rPr>
            </w:pPr>
            <w:r>
              <w:rPr>
                <w:rFonts w:ascii="Times New Roman" w:hAnsi="Times New Roman"/>
              </w:rPr>
              <w:t>备</w:t>
            </w:r>
            <w:r>
              <w:rPr>
                <w:rFonts w:ascii="Times New Roman" w:hAnsi="Times New Roman"/>
              </w:rPr>
              <w:t xml:space="preserve">  </w:t>
            </w:r>
            <w:r>
              <w:rPr>
                <w:rFonts w:ascii="Times New Roman" w:hAnsi="Times New Roman"/>
              </w:rPr>
              <w:t>注</w:t>
            </w:r>
          </w:p>
        </w:tc>
      </w:tr>
      <w:tr w:rsidR="009C353B" w14:paraId="05E0BD75" w14:textId="77777777">
        <w:trPr>
          <w:trHeight w:val="397"/>
          <w:tblHeader/>
          <w:jc w:val="center"/>
        </w:trPr>
        <w:tc>
          <w:tcPr>
            <w:tcW w:w="555" w:type="dxa"/>
            <w:vAlign w:val="center"/>
          </w:tcPr>
          <w:p w14:paraId="5367FE3E" w14:textId="77777777" w:rsidR="009C353B" w:rsidRDefault="00000000">
            <w:pPr>
              <w:pStyle w:val="01"/>
              <w:rPr>
                <w:rFonts w:ascii="Times New Roman" w:hAnsi="Times New Roman"/>
              </w:rPr>
            </w:pPr>
            <w:r>
              <w:rPr>
                <w:rFonts w:ascii="Times New Roman" w:hAnsi="Times New Roman" w:hint="eastAsia"/>
              </w:rPr>
              <w:t>一</w:t>
            </w:r>
          </w:p>
        </w:tc>
        <w:tc>
          <w:tcPr>
            <w:tcW w:w="2368" w:type="dxa"/>
            <w:vAlign w:val="center"/>
          </w:tcPr>
          <w:p w14:paraId="579167D0" w14:textId="77777777" w:rsidR="009C353B" w:rsidRDefault="00000000">
            <w:pPr>
              <w:pStyle w:val="01"/>
              <w:rPr>
                <w:rFonts w:ascii="Times New Roman" w:hAnsi="Times New Roman"/>
              </w:rPr>
            </w:pPr>
            <w:r>
              <w:rPr>
                <w:rFonts w:hAnsi="宋体" w:hint="eastAsia"/>
              </w:rPr>
              <w:t>煤炭企业</w:t>
            </w:r>
          </w:p>
        </w:tc>
        <w:tc>
          <w:tcPr>
            <w:tcW w:w="1169" w:type="dxa"/>
            <w:vAlign w:val="center"/>
          </w:tcPr>
          <w:p w14:paraId="004887DC" w14:textId="77777777" w:rsidR="009C353B" w:rsidRDefault="009C353B">
            <w:pPr>
              <w:pStyle w:val="01"/>
              <w:rPr>
                <w:rFonts w:ascii="Times New Roman" w:hAnsi="Times New Roman"/>
              </w:rPr>
            </w:pPr>
          </w:p>
        </w:tc>
        <w:tc>
          <w:tcPr>
            <w:tcW w:w="1754" w:type="dxa"/>
            <w:vAlign w:val="center"/>
          </w:tcPr>
          <w:p w14:paraId="7990A89C" w14:textId="77777777" w:rsidR="009C353B" w:rsidRDefault="009C353B">
            <w:pPr>
              <w:pStyle w:val="01"/>
              <w:rPr>
                <w:rFonts w:ascii="Times New Roman" w:hAnsi="Times New Roman"/>
              </w:rPr>
            </w:pPr>
          </w:p>
        </w:tc>
        <w:tc>
          <w:tcPr>
            <w:tcW w:w="2193" w:type="dxa"/>
            <w:vAlign w:val="center"/>
          </w:tcPr>
          <w:p w14:paraId="3DA15086" w14:textId="77777777" w:rsidR="009C353B" w:rsidRDefault="009C353B">
            <w:pPr>
              <w:pStyle w:val="01"/>
              <w:rPr>
                <w:rFonts w:ascii="Times New Roman" w:hAnsi="Times New Roman"/>
              </w:rPr>
            </w:pPr>
          </w:p>
        </w:tc>
        <w:tc>
          <w:tcPr>
            <w:tcW w:w="1022" w:type="dxa"/>
            <w:vAlign w:val="center"/>
          </w:tcPr>
          <w:p w14:paraId="709B0376" w14:textId="77777777" w:rsidR="009C353B" w:rsidRDefault="009C353B">
            <w:pPr>
              <w:pStyle w:val="01"/>
              <w:rPr>
                <w:rFonts w:ascii="Times New Roman" w:hAnsi="Times New Roman"/>
              </w:rPr>
            </w:pPr>
          </w:p>
        </w:tc>
      </w:tr>
      <w:tr w:rsidR="009C353B" w14:paraId="68C19CED" w14:textId="77777777">
        <w:trPr>
          <w:trHeight w:val="397"/>
          <w:jc w:val="center"/>
        </w:trPr>
        <w:tc>
          <w:tcPr>
            <w:tcW w:w="555" w:type="dxa"/>
            <w:vAlign w:val="center"/>
          </w:tcPr>
          <w:p w14:paraId="19D0E116" w14:textId="77777777" w:rsidR="009C353B" w:rsidRDefault="00000000">
            <w:pPr>
              <w:pStyle w:val="01"/>
              <w:rPr>
                <w:rFonts w:ascii="Times New Roman" w:hAnsi="Times New Roman"/>
              </w:rPr>
            </w:pPr>
            <w:r>
              <w:rPr>
                <w:rFonts w:ascii="Times New Roman" w:hAnsi="Times New Roman"/>
              </w:rPr>
              <w:t>1</w:t>
            </w:r>
          </w:p>
        </w:tc>
        <w:tc>
          <w:tcPr>
            <w:tcW w:w="2368" w:type="dxa"/>
            <w:vAlign w:val="center"/>
          </w:tcPr>
          <w:p w14:paraId="7D57C994" w14:textId="77777777" w:rsidR="009C353B" w:rsidRDefault="00000000">
            <w:pPr>
              <w:pStyle w:val="01"/>
              <w:rPr>
                <w:rFonts w:ascii="Times New Roman" w:hAnsi="Times New Roman"/>
              </w:rPr>
            </w:pPr>
            <w:r>
              <w:rPr>
                <w:rStyle w:val="font21"/>
                <w:rFonts w:ascii="Times New Roman" w:hAnsi="Times New Roman" w:hint="default"/>
                <w:color w:val="auto"/>
              </w:rPr>
              <w:t>马莲台</w:t>
            </w:r>
            <w:r>
              <w:rPr>
                <w:rFonts w:ascii="Times New Roman" w:hAnsi="Times New Roman"/>
              </w:rPr>
              <w:t>矿井及选煤厂</w:t>
            </w:r>
          </w:p>
        </w:tc>
        <w:tc>
          <w:tcPr>
            <w:tcW w:w="1169" w:type="dxa"/>
            <w:vAlign w:val="center"/>
          </w:tcPr>
          <w:p w14:paraId="2BDD22A3" w14:textId="77777777" w:rsidR="009C353B" w:rsidRDefault="00000000">
            <w:pPr>
              <w:pStyle w:val="01"/>
              <w:rPr>
                <w:rFonts w:ascii="Times New Roman" w:hAnsi="Times New Roman"/>
              </w:rPr>
            </w:pPr>
            <w:r>
              <w:rPr>
                <w:rFonts w:ascii="Times New Roman" w:hAnsi="Times New Roman"/>
              </w:rPr>
              <w:t>3.60</w:t>
            </w:r>
          </w:p>
        </w:tc>
        <w:tc>
          <w:tcPr>
            <w:tcW w:w="1754" w:type="dxa"/>
            <w:vAlign w:val="center"/>
          </w:tcPr>
          <w:p w14:paraId="5D868208" w14:textId="77777777" w:rsidR="009C353B" w:rsidRDefault="00000000">
            <w:pPr>
              <w:pStyle w:val="01"/>
              <w:rPr>
                <w:rFonts w:ascii="Times New Roman" w:hAnsi="Times New Roman"/>
              </w:rPr>
            </w:pPr>
            <w:r>
              <w:rPr>
                <w:rFonts w:ascii="Times New Roman" w:hAnsi="Times New Roman"/>
              </w:rPr>
              <w:t>96.9</w:t>
            </w:r>
          </w:p>
        </w:tc>
        <w:tc>
          <w:tcPr>
            <w:tcW w:w="2193" w:type="dxa"/>
            <w:vAlign w:val="center"/>
          </w:tcPr>
          <w:p w14:paraId="0C375D4D" w14:textId="77777777" w:rsidR="009C353B" w:rsidRDefault="00000000">
            <w:pPr>
              <w:pStyle w:val="01"/>
              <w:rPr>
                <w:rFonts w:ascii="Times New Roman" w:hAnsi="Times New Roman"/>
              </w:rPr>
            </w:pPr>
            <w:r>
              <w:rPr>
                <w:rFonts w:ascii="Times New Roman" w:hAnsi="Times New Roman"/>
              </w:rPr>
              <w:t>150</w:t>
            </w:r>
          </w:p>
        </w:tc>
        <w:tc>
          <w:tcPr>
            <w:tcW w:w="1022" w:type="dxa"/>
            <w:vAlign w:val="center"/>
          </w:tcPr>
          <w:p w14:paraId="43031822" w14:textId="77777777" w:rsidR="009C353B" w:rsidRDefault="00000000">
            <w:pPr>
              <w:pStyle w:val="01"/>
              <w:rPr>
                <w:rFonts w:ascii="Times New Roman" w:hAnsi="Times New Roman"/>
              </w:rPr>
            </w:pPr>
            <w:r>
              <w:rPr>
                <w:rFonts w:ascii="Times New Roman" w:hAnsi="Times New Roman"/>
              </w:rPr>
              <w:t>已建</w:t>
            </w:r>
          </w:p>
        </w:tc>
      </w:tr>
      <w:tr w:rsidR="009C353B" w14:paraId="1D9166B1" w14:textId="77777777">
        <w:trPr>
          <w:trHeight w:val="397"/>
          <w:jc w:val="center"/>
        </w:trPr>
        <w:tc>
          <w:tcPr>
            <w:tcW w:w="555" w:type="dxa"/>
            <w:vAlign w:val="center"/>
          </w:tcPr>
          <w:p w14:paraId="66AE225C" w14:textId="77777777" w:rsidR="009C353B" w:rsidRDefault="00000000">
            <w:pPr>
              <w:pStyle w:val="01"/>
              <w:rPr>
                <w:rFonts w:ascii="Times New Roman" w:hAnsi="Times New Roman"/>
              </w:rPr>
            </w:pPr>
            <w:r>
              <w:rPr>
                <w:rFonts w:ascii="Times New Roman" w:hAnsi="Times New Roman"/>
              </w:rPr>
              <w:t>2</w:t>
            </w:r>
          </w:p>
        </w:tc>
        <w:tc>
          <w:tcPr>
            <w:tcW w:w="2368" w:type="dxa"/>
            <w:vAlign w:val="center"/>
          </w:tcPr>
          <w:p w14:paraId="416923B3" w14:textId="77777777" w:rsidR="009C353B" w:rsidRDefault="00000000">
            <w:pPr>
              <w:pStyle w:val="01"/>
              <w:rPr>
                <w:rFonts w:ascii="Times New Roman" w:hAnsi="Times New Roman"/>
              </w:rPr>
            </w:pPr>
            <w:r>
              <w:rPr>
                <w:rFonts w:ascii="Times New Roman" w:hAnsi="Times New Roman"/>
              </w:rPr>
              <w:t>任家庄矿井及选煤厂</w:t>
            </w:r>
          </w:p>
        </w:tc>
        <w:tc>
          <w:tcPr>
            <w:tcW w:w="1169" w:type="dxa"/>
            <w:vAlign w:val="center"/>
          </w:tcPr>
          <w:p w14:paraId="798B62AA" w14:textId="77777777" w:rsidR="009C353B" w:rsidRDefault="00000000">
            <w:pPr>
              <w:pStyle w:val="01"/>
              <w:rPr>
                <w:rFonts w:ascii="Times New Roman" w:hAnsi="Times New Roman"/>
              </w:rPr>
            </w:pPr>
            <w:r>
              <w:rPr>
                <w:rFonts w:ascii="Times New Roman" w:hAnsi="Times New Roman"/>
              </w:rPr>
              <w:t>3.60</w:t>
            </w:r>
          </w:p>
        </w:tc>
        <w:tc>
          <w:tcPr>
            <w:tcW w:w="1754" w:type="dxa"/>
            <w:vAlign w:val="center"/>
          </w:tcPr>
          <w:p w14:paraId="73550F63" w14:textId="77777777" w:rsidR="009C353B" w:rsidRDefault="00000000">
            <w:pPr>
              <w:pStyle w:val="01"/>
              <w:rPr>
                <w:rFonts w:ascii="Times New Roman" w:hAnsi="Times New Roman"/>
              </w:rPr>
            </w:pPr>
            <w:r>
              <w:rPr>
                <w:rFonts w:ascii="Times New Roman" w:hAnsi="Times New Roman"/>
              </w:rPr>
              <w:t>113.2</w:t>
            </w:r>
          </w:p>
        </w:tc>
        <w:tc>
          <w:tcPr>
            <w:tcW w:w="2193" w:type="dxa"/>
            <w:vAlign w:val="center"/>
          </w:tcPr>
          <w:p w14:paraId="213C3E14" w14:textId="77777777" w:rsidR="009C353B" w:rsidRDefault="00000000">
            <w:pPr>
              <w:pStyle w:val="01"/>
              <w:rPr>
                <w:rFonts w:ascii="Times New Roman" w:hAnsi="Times New Roman"/>
              </w:rPr>
            </w:pPr>
            <w:r>
              <w:rPr>
                <w:rFonts w:ascii="Times New Roman" w:hAnsi="Times New Roman"/>
              </w:rPr>
              <w:t>150</w:t>
            </w:r>
          </w:p>
        </w:tc>
        <w:tc>
          <w:tcPr>
            <w:tcW w:w="1022" w:type="dxa"/>
            <w:vAlign w:val="center"/>
          </w:tcPr>
          <w:p w14:paraId="1F265B83" w14:textId="77777777" w:rsidR="009C353B" w:rsidRDefault="00000000">
            <w:pPr>
              <w:pStyle w:val="01"/>
              <w:rPr>
                <w:rFonts w:ascii="Times New Roman" w:hAnsi="Times New Roman"/>
              </w:rPr>
            </w:pPr>
            <w:r>
              <w:rPr>
                <w:rFonts w:ascii="Times New Roman" w:hAnsi="Times New Roman"/>
              </w:rPr>
              <w:t>已建</w:t>
            </w:r>
          </w:p>
        </w:tc>
      </w:tr>
      <w:tr w:rsidR="009C353B" w14:paraId="2CAF9650" w14:textId="77777777">
        <w:trPr>
          <w:trHeight w:val="397"/>
          <w:jc w:val="center"/>
        </w:trPr>
        <w:tc>
          <w:tcPr>
            <w:tcW w:w="555" w:type="dxa"/>
            <w:vAlign w:val="center"/>
          </w:tcPr>
          <w:p w14:paraId="6E1D4D52" w14:textId="77777777" w:rsidR="009C353B" w:rsidRDefault="00000000">
            <w:pPr>
              <w:pStyle w:val="01"/>
              <w:rPr>
                <w:rFonts w:ascii="Times New Roman" w:hAnsi="Times New Roman"/>
              </w:rPr>
            </w:pPr>
            <w:r>
              <w:rPr>
                <w:rFonts w:ascii="Times New Roman" w:hAnsi="Times New Roman"/>
              </w:rPr>
              <w:t>3</w:t>
            </w:r>
          </w:p>
        </w:tc>
        <w:tc>
          <w:tcPr>
            <w:tcW w:w="2368" w:type="dxa"/>
            <w:vAlign w:val="center"/>
          </w:tcPr>
          <w:p w14:paraId="752C2564" w14:textId="77777777" w:rsidR="009C353B" w:rsidRDefault="00000000">
            <w:pPr>
              <w:pStyle w:val="01"/>
              <w:rPr>
                <w:rFonts w:ascii="Times New Roman" w:hAnsi="Times New Roman"/>
              </w:rPr>
            </w:pPr>
            <w:r>
              <w:rPr>
                <w:rFonts w:ascii="Times New Roman" w:hAnsi="Times New Roman"/>
              </w:rPr>
              <w:t>红石湾矿井及选煤厂</w:t>
            </w:r>
          </w:p>
        </w:tc>
        <w:tc>
          <w:tcPr>
            <w:tcW w:w="1169" w:type="dxa"/>
            <w:vAlign w:val="center"/>
          </w:tcPr>
          <w:p w14:paraId="39A36F08" w14:textId="77777777" w:rsidR="009C353B" w:rsidRDefault="00000000">
            <w:pPr>
              <w:pStyle w:val="01"/>
              <w:rPr>
                <w:rFonts w:ascii="Times New Roman" w:hAnsi="Times New Roman"/>
              </w:rPr>
            </w:pPr>
            <w:r>
              <w:rPr>
                <w:rFonts w:ascii="Times New Roman" w:hAnsi="Times New Roman"/>
              </w:rPr>
              <w:t>1.10</w:t>
            </w:r>
          </w:p>
        </w:tc>
        <w:tc>
          <w:tcPr>
            <w:tcW w:w="1754" w:type="dxa"/>
            <w:vAlign w:val="center"/>
          </w:tcPr>
          <w:p w14:paraId="4DE74991" w14:textId="77777777" w:rsidR="009C353B" w:rsidRDefault="00000000">
            <w:pPr>
              <w:pStyle w:val="01"/>
              <w:rPr>
                <w:rFonts w:ascii="Times New Roman" w:hAnsi="Times New Roman"/>
              </w:rPr>
            </w:pPr>
            <w:r>
              <w:rPr>
                <w:rFonts w:ascii="Times New Roman" w:hAnsi="Times New Roman"/>
              </w:rPr>
              <w:t>75.2</w:t>
            </w:r>
          </w:p>
        </w:tc>
        <w:tc>
          <w:tcPr>
            <w:tcW w:w="2193" w:type="dxa"/>
            <w:vAlign w:val="center"/>
          </w:tcPr>
          <w:p w14:paraId="3CFE1A57" w14:textId="77777777" w:rsidR="009C353B" w:rsidRDefault="00000000">
            <w:pPr>
              <w:pStyle w:val="01"/>
              <w:rPr>
                <w:rFonts w:ascii="Times New Roman" w:hAnsi="Times New Roman"/>
              </w:rPr>
            </w:pPr>
            <w:r>
              <w:rPr>
                <w:rFonts w:ascii="Times New Roman" w:hAnsi="Times New Roman"/>
              </w:rPr>
              <w:t>150</w:t>
            </w:r>
          </w:p>
        </w:tc>
        <w:tc>
          <w:tcPr>
            <w:tcW w:w="1022" w:type="dxa"/>
            <w:vAlign w:val="center"/>
          </w:tcPr>
          <w:p w14:paraId="7B454D33" w14:textId="77777777" w:rsidR="009C353B" w:rsidRDefault="00000000">
            <w:pPr>
              <w:pStyle w:val="01"/>
              <w:rPr>
                <w:rFonts w:ascii="Times New Roman" w:hAnsi="Times New Roman"/>
              </w:rPr>
            </w:pPr>
            <w:r>
              <w:rPr>
                <w:rFonts w:ascii="Times New Roman" w:hAnsi="Times New Roman"/>
              </w:rPr>
              <w:t>已建</w:t>
            </w:r>
          </w:p>
        </w:tc>
      </w:tr>
      <w:tr w:rsidR="009C353B" w14:paraId="7F74F35B" w14:textId="77777777">
        <w:trPr>
          <w:trHeight w:val="397"/>
          <w:jc w:val="center"/>
        </w:trPr>
        <w:tc>
          <w:tcPr>
            <w:tcW w:w="555" w:type="dxa"/>
            <w:vAlign w:val="center"/>
          </w:tcPr>
          <w:p w14:paraId="67264D68" w14:textId="77777777" w:rsidR="009C353B" w:rsidRDefault="00000000">
            <w:pPr>
              <w:pStyle w:val="01"/>
              <w:rPr>
                <w:rFonts w:ascii="Times New Roman" w:hAnsi="Times New Roman"/>
              </w:rPr>
            </w:pPr>
            <w:r>
              <w:rPr>
                <w:rFonts w:ascii="Times New Roman" w:hAnsi="Times New Roman"/>
              </w:rPr>
              <w:t>4</w:t>
            </w:r>
          </w:p>
        </w:tc>
        <w:tc>
          <w:tcPr>
            <w:tcW w:w="2368" w:type="dxa"/>
            <w:vAlign w:val="center"/>
          </w:tcPr>
          <w:p w14:paraId="43748086" w14:textId="77777777" w:rsidR="009C353B" w:rsidRDefault="00000000">
            <w:pPr>
              <w:pStyle w:val="01"/>
              <w:rPr>
                <w:rFonts w:ascii="Times New Roman" w:hAnsi="Times New Roman"/>
              </w:rPr>
            </w:pPr>
            <w:r>
              <w:rPr>
                <w:rFonts w:ascii="Times New Roman" w:hAnsi="Times New Roman"/>
              </w:rPr>
              <w:t>丁家梁矿井</w:t>
            </w:r>
          </w:p>
        </w:tc>
        <w:tc>
          <w:tcPr>
            <w:tcW w:w="1169" w:type="dxa"/>
            <w:vAlign w:val="center"/>
          </w:tcPr>
          <w:p w14:paraId="6773642D" w14:textId="77777777" w:rsidR="009C353B" w:rsidRDefault="00000000">
            <w:pPr>
              <w:pStyle w:val="01"/>
              <w:rPr>
                <w:rFonts w:ascii="Times New Roman" w:hAnsi="Times New Roman"/>
              </w:rPr>
            </w:pPr>
            <w:r>
              <w:rPr>
                <w:rFonts w:ascii="Times New Roman" w:hAnsi="Times New Roman"/>
              </w:rPr>
              <w:t>0.90</w:t>
            </w:r>
          </w:p>
        </w:tc>
        <w:tc>
          <w:tcPr>
            <w:tcW w:w="1754" w:type="dxa"/>
            <w:vAlign w:val="center"/>
          </w:tcPr>
          <w:p w14:paraId="50D707D6" w14:textId="77777777" w:rsidR="009C353B" w:rsidRDefault="00000000">
            <w:pPr>
              <w:pStyle w:val="01"/>
              <w:rPr>
                <w:rFonts w:ascii="Times New Roman" w:hAnsi="Times New Roman"/>
              </w:rPr>
            </w:pPr>
            <w:r>
              <w:rPr>
                <w:rFonts w:ascii="Times New Roman" w:hAnsi="Times New Roman"/>
              </w:rPr>
              <w:t>45.6</w:t>
            </w:r>
          </w:p>
        </w:tc>
        <w:tc>
          <w:tcPr>
            <w:tcW w:w="2193" w:type="dxa"/>
            <w:vAlign w:val="center"/>
          </w:tcPr>
          <w:p w14:paraId="64546F63" w14:textId="77777777" w:rsidR="009C353B" w:rsidRDefault="00000000">
            <w:pPr>
              <w:pStyle w:val="01"/>
              <w:rPr>
                <w:rFonts w:ascii="Times New Roman" w:hAnsi="Times New Roman"/>
              </w:rPr>
            </w:pPr>
            <w:r>
              <w:rPr>
                <w:rFonts w:ascii="Times New Roman" w:hAnsi="Times New Roman"/>
              </w:rPr>
              <w:t>100</w:t>
            </w:r>
          </w:p>
        </w:tc>
        <w:tc>
          <w:tcPr>
            <w:tcW w:w="1022" w:type="dxa"/>
            <w:vAlign w:val="center"/>
          </w:tcPr>
          <w:p w14:paraId="16421038" w14:textId="77777777" w:rsidR="009C353B" w:rsidRDefault="00000000">
            <w:pPr>
              <w:pStyle w:val="01"/>
              <w:rPr>
                <w:rFonts w:ascii="Times New Roman" w:hAnsi="Times New Roman"/>
              </w:rPr>
            </w:pPr>
            <w:r>
              <w:rPr>
                <w:rFonts w:ascii="Times New Roman" w:hAnsi="Times New Roman"/>
              </w:rPr>
              <w:t>在建</w:t>
            </w:r>
          </w:p>
        </w:tc>
      </w:tr>
      <w:tr w:rsidR="009C353B" w14:paraId="147F05CB" w14:textId="77777777">
        <w:trPr>
          <w:trHeight w:val="397"/>
          <w:jc w:val="center"/>
        </w:trPr>
        <w:tc>
          <w:tcPr>
            <w:tcW w:w="555" w:type="dxa"/>
            <w:vAlign w:val="center"/>
          </w:tcPr>
          <w:p w14:paraId="44A8E10B" w14:textId="77777777" w:rsidR="009C353B" w:rsidRDefault="009C353B">
            <w:pPr>
              <w:pStyle w:val="01"/>
              <w:rPr>
                <w:rFonts w:ascii="Times New Roman" w:hAnsi="Times New Roman"/>
              </w:rPr>
            </w:pPr>
          </w:p>
        </w:tc>
        <w:tc>
          <w:tcPr>
            <w:tcW w:w="2368" w:type="dxa"/>
            <w:vAlign w:val="center"/>
          </w:tcPr>
          <w:p w14:paraId="1DCE4DEC" w14:textId="77777777" w:rsidR="009C353B" w:rsidRDefault="00000000">
            <w:pPr>
              <w:pStyle w:val="01"/>
              <w:rPr>
                <w:rFonts w:ascii="Times New Roman" w:hAnsi="Times New Roman"/>
              </w:rPr>
            </w:pPr>
            <w:r>
              <w:rPr>
                <w:rFonts w:ascii="Times New Roman" w:hAnsi="Times New Roman" w:hint="eastAsia"/>
              </w:rPr>
              <w:t>合计</w:t>
            </w:r>
          </w:p>
        </w:tc>
        <w:tc>
          <w:tcPr>
            <w:tcW w:w="1169" w:type="dxa"/>
            <w:vAlign w:val="center"/>
          </w:tcPr>
          <w:p w14:paraId="0E9011EE" w14:textId="77777777" w:rsidR="009C353B" w:rsidRDefault="00000000">
            <w:pPr>
              <w:pStyle w:val="01"/>
              <w:rPr>
                <w:rFonts w:ascii="Times New Roman" w:hAnsi="Times New Roman"/>
              </w:rPr>
            </w:pPr>
            <w:r>
              <w:rPr>
                <w:rFonts w:ascii="Times New Roman" w:hAnsi="Times New Roman"/>
              </w:rPr>
              <w:t>9.20</w:t>
            </w:r>
          </w:p>
        </w:tc>
        <w:tc>
          <w:tcPr>
            <w:tcW w:w="1754" w:type="dxa"/>
            <w:vAlign w:val="center"/>
          </w:tcPr>
          <w:p w14:paraId="480C9DF8" w14:textId="77777777" w:rsidR="009C353B" w:rsidRDefault="00000000">
            <w:pPr>
              <w:pStyle w:val="01"/>
              <w:rPr>
                <w:rFonts w:ascii="Times New Roman" w:hAnsi="Times New Roman"/>
              </w:rPr>
            </w:pPr>
            <w:r>
              <w:rPr>
                <w:rFonts w:ascii="Times New Roman" w:hAnsi="Times New Roman"/>
              </w:rPr>
              <w:t>376.2</w:t>
            </w:r>
          </w:p>
        </w:tc>
        <w:tc>
          <w:tcPr>
            <w:tcW w:w="2193" w:type="dxa"/>
            <w:vAlign w:val="center"/>
          </w:tcPr>
          <w:p w14:paraId="27150A03" w14:textId="77777777" w:rsidR="009C353B" w:rsidRDefault="00000000">
            <w:pPr>
              <w:pStyle w:val="01"/>
              <w:rPr>
                <w:rFonts w:ascii="Times New Roman" w:hAnsi="Times New Roman"/>
              </w:rPr>
            </w:pPr>
            <w:r>
              <w:rPr>
                <w:rFonts w:ascii="Times New Roman" w:hAnsi="Times New Roman"/>
              </w:rPr>
              <w:t>550</w:t>
            </w:r>
          </w:p>
        </w:tc>
        <w:tc>
          <w:tcPr>
            <w:tcW w:w="1022" w:type="dxa"/>
            <w:vAlign w:val="center"/>
          </w:tcPr>
          <w:p w14:paraId="6D2DE38A" w14:textId="77777777" w:rsidR="009C353B" w:rsidRDefault="009C353B">
            <w:pPr>
              <w:pStyle w:val="01"/>
              <w:rPr>
                <w:rFonts w:ascii="Times New Roman" w:hAnsi="Times New Roman"/>
              </w:rPr>
            </w:pPr>
          </w:p>
        </w:tc>
      </w:tr>
    </w:tbl>
    <w:p w14:paraId="680DFC82" w14:textId="77777777" w:rsidR="009C353B" w:rsidRDefault="00000000">
      <w:pPr>
        <w:adjustRightInd w:val="0"/>
        <w:snapToGrid w:val="0"/>
        <w:spacing w:line="440" w:lineRule="exact"/>
        <w:ind w:firstLineChars="200" w:firstLine="420"/>
        <w:rPr>
          <w:rFonts w:ascii="Times New Roman" w:hint="eastAsia"/>
          <w:sz w:val="21"/>
          <w:szCs w:val="21"/>
        </w:rPr>
      </w:pPr>
      <w:r>
        <w:rPr>
          <w:sz w:val="21"/>
          <w:szCs w:val="21"/>
        </w:rPr>
        <w:t>注：辅助企业设于宁东镇，且本次规划的辅助企业为既有，故生活污水排入宁东镇生活污水</w:t>
      </w:r>
      <w:r>
        <w:rPr>
          <w:rFonts w:hint="eastAsia"/>
          <w:sz w:val="21"/>
          <w:szCs w:val="21"/>
        </w:rPr>
        <w:t>处理</w:t>
      </w:r>
      <w:r>
        <w:rPr>
          <w:sz w:val="21"/>
          <w:szCs w:val="21"/>
        </w:rPr>
        <w:t>站，规划不进行论述。</w:t>
      </w:r>
    </w:p>
    <w:p w14:paraId="7B9CF72B" w14:textId="77777777" w:rsidR="009C353B" w:rsidRDefault="00000000">
      <w:pPr>
        <w:adjustRightInd w:val="0"/>
        <w:snapToGrid w:val="0"/>
        <w:spacing w:line="440" w:lineRule="exact"/>
        <w:ind w:firstLineChars="200" w:firstLine="480"/>
        <w:rPr>
          <w:rFonts w:ascii="Times New Roman" w:hint="eastAsia"/>
          <w:szCs w:val="28"/>
        </w:rPr>
      </w:pPr>
      <w:r>
        <w:rPr>
          <w:rFonts w:ascii="Times New Roman" w:hint="eastAsia"/>
          <w:szCs w:val="28"/>
        </w:rPr>
        <w:t>（</w:t>
      </w:r>
      <w:r>
        <w:rPr>
          <w:rFonts w:ascii="Times New Roman" w:hint="eastAsia"/>
          <w:szCs w:val="28"/>
        </w:rPr>
        <w:t>2</w:t>
      </w:r>
      <w:r>
        <w:rPr>
          <w:rFonts w:ascii="Times New Roman" w:hint="eastAsia"/>
          <w:szCs w:val="28"/>
        </w:rPr>
        <w:t>）</w:t>
      </w:r>
      <w:r>
        <w:rPr>
          <w:rFonts w:ascii="Times New Roman"/>
          <w:szCs w:val="28"/>
        </w:rPr>
        <w:t>供水规划</w:t>
      </w:r>
    </w:p>
    <w:bookmarkEnd w:id="76"/>
    <w:p w14:paraId="4FC314B2" w14:textId="77777777" w:rsidR="009C353B" w:rsidRDefault="00000000">
      <w:pPr>
        <w:adjustRightInd w:val="0"/>
        <w:snapToGrid w:val="0"/>
        <w:spacing w:line="440" w:lineRule="exact"/>
        <w:ind w:firstLineChars="200" w:firstLine="480"/>
        <w:rPr>
          <w:rFonts w:ascii="Times New Roman" w:hint="eastAsia"/>
          <w:szCs w:val="28"/>
        </w:rPr>
      </w:pPr>
      <w:r>
        <w:rPr>
          <w:rFonts w:ascii="Times New Roman" w:hint="eastAsia"/>
          <w:szCs w:val="28"/>
        </w:rPr>
        <w:t>矿区采用分质给水系统，分为生活用水供水系统及生产用水供水系统。矿区生活用水采用集中供水方式，矿区生产用水采用就地转化、用污排净的供水方式。</w:t>
      </w:r>
    </w:p>
    <w:p w14:paraId="09FDD60C" w14:textId="77777777" w:rsidR="009C353B" w:rsidRDefault="00000000">
      <w:pPr>
        <w:adjustRightInd w:val="0"/>
        <w:snapToGrid w:val="0"/>
        <w:spacing w:line="440" w:lineRule="exact"/>
        <w:ind w:firstLineChars="200" w:firstLine="480"/>
        <w:rPr>
          <w:rFonts w:ascii="Times New Roman" w:hint="eastAsia"/>
          <w:szCs w:val="28"/>
        </w:rPr>
      </w:pPr>
      <w:r>
        <w:rPr>
          <w:rFonts w:ascii="Times New Roman" w:hint="eastAsia"/>
          <w:szCs w:val="28"/>
        </w:rPr>
        <w:t>矿区生产、生活用水水源采用鸭子荡水库供水。鸭子荡水库设净水厂及配水厂，净水厂采取分质供水，供煤矿生产用水采用混凝</w:t>
      </w:r>
      <w:r>
        <w:rPr>
          <w:rFonts w:ascii="Times New Roman"/>
          <w:szCs w:val="28"/>
        </w:rPr>
        <w:t>-</w:t>
      </w:r>
      <w:r>
        <w:rPr>
          <w:rFonts w:ascii="Times New Roman" w:hint="eastAsia"/>
          <w:szCs w:val="28"/>
        </w:rPr>
        <w:t>沉淀一级处理工艺</w:t>
      </w:r>
      <w:r>
        <w:rPr>
          <w:rFonts w:ascii="Times New Roman"/>
          <w:szCs w:val="28"/>
        </w:rPr>
        <w:t>，</w:t>
      </w:r>
      <w:r>
        <w:rPr>
          <w:rFonts w:ascii="Times New Roman" w:hint="eastAsia"/>
          <w:szCs w:val="28"/>
        </w:rPr>
        <w:t>供生活用水采用絮凝沉淀</w:t>
      </w:r>
      <w:r>
        <w:rPr>
          <w:rFonts w:ascii="Times New Roman" w:hint="eastAsia"/>
          <w:szCs w:val="28"/>
        </w:rPr>
        <w:t>+</w:t>
      </w:r>
      <w:r>
        <w:rPr>
          <w:rFonts w:ascii="Times New Roman" w:hint="eastAsia"/>
          <w:szCs w:val="28"/>
        </w:rPr>
        <w:t>双层滤料过滤处理工艺，</w:t>
      </w:r>
      <w:r>
        <w:rPr>
          <w:rFonts w:ascii="Times New Roman"/>
          <w:szCs w:val="28"/>
        </w:rPr>
        <w:t>处理后向各矿供水，各矿设置二次加压供水设施。</w:t>
      </w:r>
    </w:p>
    <w:p w14:paraId="6A09349E" w14:textId="77777777" w:rsidR="009C353B" w:rsidRDefault="00000000">
      <w:pPr>
        <w:adjustRightInd w:val="0"/>
        <w:snapToGrid w:val="0"/>
        <w:spacing w:line="440" w:lineRule="exact"/>
        <w:ind w:firstLineChars="200" w:firstLine="480"/>
        <w:rPr>
          <w:rFonts w:ascii="Times New Roman" w:hint="eastAsia"/>
          <w:szCs w:val="28"/>
        </w:rPr>
      </w:pPr>
      <w:r>
        <w:rPr>
          <w:rFonts w:ascii="Times New Roman" w:hint="eastAsia"/>
          <w:szCs w:val="28"/>
        </w:rPr>
        <w:t>本矿处理后的生活污水或井下排水部分回用于矿区生产，本地区井下排水量较大，除本矿复用后，余量输送至宁东煤化工园区。</w:t>
      </w:r>
    </w:p>
    <w:p w14:paraId="7E347C51" w14:textId="77777777" w:rsidR="009C353B" w:rsidRDefault="00000000">
      <w:pPr>
        <w:adjustRightInd w:val="0"/>
        <w:snapToGrid w:val="0"/>
        <w:spacing w:line="440" w:lineRule="exact"/>
        <w:ind w:firstLineChars="200" w:firstLine="480"/>
        <w:rPr>
          <w:rFonts w:ascii="Times New Roman" w:hint="eastAsia"/>
          <w:szCs w:val="28"/>
        </w:rPr>
      </w:pPr>
      <w:r>
        <w:rPr>
          <w:rFonts w:ascii="Times New Roman"/>
          <w:szCs w:val="28"/>
        </w:rPr>
        <w:t>（</w:t>
      </w:r>
      <w:r>
        <w:rPr>
          <w:rFonts w:ascii="Times New Roman"/>
          <w:szCs w:val="28"/>
        </w:rPr>
        <w:t>3</w:t>
      </w:r>
      <w:r>
        <w:rPr>
          <w:rFonts w:ascii="Times New Roman"/>
          <w:szCs w:val="28"/>
        </w:rPr>
        <w:t>）矿区</w:t>
      </w:r>
      <w:r>
        <w:rPr>
          <w:rFonts w:ascii="Times New Roman" w:hint="eastAsia"/>
          <w:szCs w:val="28"/>
        </w:rPr>
        <w:t>水量</w:t>
      </w:r>
      <w:r>
        <w:rPr>
          <w:rFonts w:ascii="Times New Roman"/>
          <w:szCs w:val="28"/>
        </w:rPr>
        <w:t>供需平衡情况</w:t>
      </w:r>
    </w:p>
    <w:p w14:paraId="3E923759"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szCs w:val="28"/>
        </w:rPr>
        <w:t>达产年</w:t>
      </w:r>
      <w:r>
        <w:rPr>
          <w:rFonts w:ascii="Times New Roman" w:hint="eastAsia"/>
          <w:szCs w:val="28"/>
        </w:rPr>
        <w:t>矿区生活</w:t>
      </w:r>
      <w:r>
        <w:rPr>
          <w:rFonts w:ascii="Times New Roman"/>
          <w:szCs w:val="28"/>
        </w:rPr>
        <w:t>用水总需水量为</w:t>
      </w:r>
      <w:r>
        <w:rPr>
          <w:rFonts w:ascii="Times New Roman" w:hint="eastAsia"/>
          <w:szCs w:val="28"/>
        </w:rPr>
        <w:t>396</w:t>
      </w:r>
      <w:r>
        <w:rPr>
          <w:rFonts w:ascii="Times New Roman" w:hint="eastAsia"/>
          <w:szCs w:val="24"/>
        </w:rPr>
        <w:t>m</w:t>
      </w:r>
      <w:r>
        <w:rPr>
          <w:rFonts w:ascii="Times New Roman" w:hint="eastAsia"/>
          <w:szCs w:val="24"/>
          <w:vertAlign w:val="superscript"/>
        </w:rPr>
        <w:t>3</w:t>
      </w:r>
      <w:r>
        <w:rPr>
          <w:rFonts w:ascii="Times New Roman" w:hint="eastAsia"/>
          <w:szCs w:val="24"/>
        </w:rPr>
        <w:t>/d</w:t>
      </w:r>
      <w:r>
        <w:rPr>
          <w:rFonts w:ascii="Times New Roman" w:hint="eastAsia"/>
          <w:szCs w:val="24"/>
        </w:rPr>
        <w:t>，</w:t>
      </w:r>
      <w:r>
        <w:rPr>
          <w:rFonts w:ascii="Times New Roman"/>
          <w:szCs w:val="24"/>
        </w:rPr>
        <w:t>煤炭企业</w:t>
      </w:r>
      <w:r>
        <w:rPr>
          <w:rFonts w:ascii="Times New Roman" w:hint="eastAsia"/>
          <w:szCs w:val="24"/>
        </w:rPr>
        <w:t>生产用水</w:t>
      </w:r>
      <w:r>
        <w:rPr>
          <w:rFonts w:ascii="Times New Roman"/>
          <w:szCs w:val="24"/>
        </w:rPr>
        <w:t>需水量为</w:t>
      </w:r>
      <w:r>
        <w:rPr>
          <w:rFonts w:ascii="Times New Roman" w:hint="eastAsia"/>
          <w:szCs w:val="24"/>
        </w:rPr>
        <w:t>13211m</w:t>
      </w:r>
      <w:r>
        <w:rPr>
          <w:rFonts w:ascii="Times New Roman" w:hint="eastAsia"/>
          <w:szCs w:val="24"/>
          <w:vertAlign w:val="superscript"/>
        </w:rPr>
        <w:t>3</w:t>
      </w:r>
      <w:r>
        <w:rPr>
          <w:rFonts w:ascii="Times New Roman" w:hint="eastAsia"/>
          <w:szCs w:val="24"/>
        </w:rPr>
        <w:t>/d</w:t>
      </w:r>
      <w:r>
        <w:rPr>
          <w:rFonts w:ascii="Times New Roman" w:hint="eastAsia"/>
          <w:szCs w:val="24"/>
        </w:rPr>
        <w:t>，</w:t>
      </w:r>
      <w:r>
        <w:rPr>
          <w:rFonts w:ascii="Times New Roman"/>
          <w:szCs w:val="24"/>
        </w:rPr>
        <w:t>矿区用水主要为企业生产用水</w:t>
      </w:r>
      <w:r>
        <w:rPr>
          <w:rFonts w:ascii="Times New Roman" w:hint="eastAsia"/>
          <w:szCs w:val="24"/>
        </w:rPr>
        <w:t>。</w:t>
      </w:r>
    </w:p>
    <w:p w14:paraId="0A6217FE"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矿区</w:t>
      </w:r>
      <w:r>
        <w:rPr>
          <w:rFonts w:ascii="Times New Roman"/>
          <w:szCs w:val="24"/>
        </w:rPr>
        <w:t>水源地</w:t>
      </w:r>
      <w:r>
        <w:rPr>
          <w:rFonts w:ascii="Times New Roman" w:hint="eastAsia"/>
          <w:szCs w:val="24"/>
        </w:rPr>
        <w:t>鸭子荡水库净水厂供水</w:t>
      </w:r>
      <w:r>
        <w:rPr>
          <w:rFonts w:ascii="Times New Roman"/>
          <w:szCs w:val="24"/>
        </w:rPr>
        <w:t>能力为</w:t>
      </w:r>
      <w:r>
        <w:rPr>
          <w:rFonts w:ascii="Times New Roman" w:hint="eastAsia"/>
          <w:szCs w:val="24"/>
        </w:rPr>
        <w:t>2</w:t>
      </w:r>
      <w:r>
        <w:rPr>
          <w:rFonts w:ascii="Times New Roman"/>
          <w:szCs w:val="24"/>
        </w:rPr>
        <w:t>4</w:t>
      </w:r>
      <w:r>
        <w:rPr>
          <w:rFonts w:ascii="Times New Roman" w:hint="eastAsia"/>
          <w:szCs w:val="24"/>
        </w:rPr>
        <w:t xml:space="preserve">00 </w:t>
      </w:r>
      <w:r>
        <w:rPr>
          <w:rFonts w:ascii="Times New Roman" w:hint="eastAsia"/>
          <w:szCs w:val="24"/>
        </w:rPr>
        <w:t>万</w:t>
      </w:r>
      <w:r>
        <w:rPr>
          <w:rFonts w:ascii="Times New Roman" w:hint="eastAsia"/>
          <w:szCs w:val="24"/>
        </w:rPr>
        <w:t>m</w:t>
      </w:r>
      <w:r>
        <w:rPr>
          <w:rFonts w:ascii="Times New Roman" w:hint="eastAsia"/>
          <w:szCs w:val="24"/>
          <w:vertAlign w:val="superscript"/>
        </w:rPr>
        <w:t>3</w:t>
      </w:r>
      <w:r>
        <w:rPr>
          <w:rFonts w:ascii="Times New Roman" w:hint="eastAsia"/>
          <w:szCs w:val="24"/>
        </w:rPr>
        <w:t>/a</w:t>
      </w:r>
      <w:r>
        <w:rPr>
          <w:rFonts w:ascii="Times New Roman" w:hint="eastAsia"/>
          <w:szCs w:val="24"/>
        </w:rPr>
        <w:t>，可</w:t>
      </w:r>
      <w:r>
        <w:rPr>
          <w:rFonts w:ascii="Times New Roman"/>
          <w:szCs w:val="24"/>
        </w:rPr>
        <w:t>满足生活用水需求</w:t>
      </w:r>
      <w:r>
        <w:rPr>
          <w:rFonts w:ascii="Times New Roman" w:hint="eastAsia"/>
          <w:szCs w:val="24"/>
        </w:rPr>
        <w:t>。</w:t>
      </w:r>
    </w:p>
    <w:p w14:paraId="703F29C3" w14:textId="77777777" w:rsidR="009C353B" w:rsidRDefault="00000000">
      <w:pPr>
        <w:adjustRightInd w:val="0"/>
        <w:snapToGrid w:val="0"/>
        <w:spacing w:line="440" w:lineRule="exact"/>
        <w:ind w:firstLineChars="200" w:firstLine="480"/>
        <w:rPr>
          <w:rFonts w:ascii="Times New Roman" w:hAnsi="Times New Roman"/>
          <w:szCs w:val="28"/>
        </w:rPr>
      </w:pPr>
      <w:r>
        <w:rPr>
          <w:rFonts w:ascii="Times New Roman"/>
          <w:szCs w:val="24"/>
        </w:rPr>
        <w:t>矿区矿井水总量为</w:t>
      </w:r>
      <w:r>
        <w:rPr>
          <w:rFonts w:ascii="Times New Roman"/>
          <w:szCs w:val="24"/>
        </w:rPr>
        <w:t>31056</w:t>
      </w:r>
      <w:r>
        <w:rPr>
          <w:rFonts w:ascii="Times New Roman" w:hint="eastAsia"/>
          <w:szCs w:val="24"/>
        </w:rPr>
        <w:t xml:space="preserve"> m</w:t>
      </w:r>
      <w:r>
        <w:rPr>
          <w:rFonts w:ascii="Times New Roman" w:hint="eastAsia"/>
          <w:szCs w:val="24"/>
          <w:vertAlign w:val="superscript"/>
        </w:rPr>
        <w:t>3</w:t>
      </w:r>
      <w:r>
        <w:rPr>
          <w:rFonts w:ascii="Times New Roman" w:hint="eastAsia"/>
          <w:szCs w:val="24"/>
        </w:rPr>
        <w:t>/d</w:t>
      </w:r>
      <w:r>
        <w:rPr>
          <w:rFonts w:ascii="Times New Roman" w:hint="eastAsia"/>
          <w:szCs w:val="24"/>
        </w:rPr>
        <w:t>，按</w:t>
      </w:r>
      <w:r>
        <w:rPr>
          <w:rFonts w:ascii="Times New Roman" w:hint="eastAsia"/>
          <w:szCs w:val="24"/>
        </w:rPr>
        <w:t>0.</w:t>
      </w:r>
      <w:r>
        <w:rPr>
          <w:rFonts w:ascii="Times New Roman"/>
          <w:szCs w:val="24"/>
        </w:rPr>
        <w:t>5</w:t>
      </w:r>
      <w:r>
        <w:rPr>
          <w:rFonts w:ascii="Times New Roman" w:hint="eastAsia"/>
          <w:szCs w:val="24"/>
        </w:rPr>
        <w:t>折算</w:t>
      </w:r>
      <w:r>
        <w:rPr>
          <w:rFonts w:ascii="Times New Roman"/>
          <w:szCs w:val="24"/>
        </w:rPr>
        <w:t>，可供水量为</w:t>
      </w:r>
      <w:r>
        <w:rPr>
          <w:rFonts w:ascii="Times New Roman"/>
          <w:szCs w:val="24"/>
        </w:rPr>
        <w:t>15528</w:t>
      </w:r>
      <w:r>
        <w:rPr>
          <w:rFonts w:ascii="Times New Roman" w:hint="eastAsia"/>
          <w:szCs w:val="24"/>
        </w:rPr>
        <w:t>m</w:t>
      </w:r>
      <w:r>
        <w:rPr>
          <w:rFonts w:ascii="Times New Roman" w:hint="eastAsia"/>
          <w:szCs w:val="24"/>
          <w:vertAlign w:val="superscript"/>
        </w:rPr>
        <w:t>3</w:t>
      </w:r>
      <w:r>
        <w:rPr>
          <w:rFonts w:ascii="Times New Roman" w:hint="eastAsia"/>
          <w:szCs w:val="24"/>
        </w:rPr>
        <w:t>/d</w:t>
      </w:r>
      <w:r>
        <w:rPr>
          <w:rFonts w:ascii="Times New Roman" w:hint="eastAsia"/>
          <w:szCs w:val="24"/>
        </w:rPr>
        <w:t>，生活</w:t>
      </w:r>
      <w:r>
        <w:rPr>
          <w:rFonts w:ascii="Times New Roman"/>
          <w:szCs w:val="24"/>
        </w:rPr>
        <w:t>污水产生总量为</w:t>
      </w:r>
      <w:r>
        <w:rPr>
          <w:rFonts w:ascii="Times New Roman"/>
          <w:szCs w:val="24"/>
        </w:rPr>
        <w:t>376.2</w:t>
      </w:r>
      <w:r>
        <w:rPr>
          <w:rFonts w:ascii="Times New Roman" w:hint="eastAsia"/>
          <w:szCs w:val="24"/>
        </w:rPr>
        <w:t>m</w:t>
      </w:r>
      <w:r>
        <w:rPr>
          <w:rFonts w:ascii="Times New Roman" w:hint="eastAsia"/>
          <w:szCs w:val="24"/>
          <w:vertAlign w:val="superscript"/>
        </w:rPr>
        <w:t>3</w:t>
      </w:r>
      <w:r>
        <w:rPr>
          <w:rFonts w:ascii="Times New Roman" w:hint="eastAsia"/>
          <w:szCs w:val="24"/>
        </w:rPr>
        <w:t>/d</w:t>
      </w:r>
      <w:r>
        <w:rPr>
          <w:rFonts w:ascii="Times New Roman" w:hint="eastAsia"/>
          <w:szCs w:val="24"/>
        </w:rPr>
        <w:t>，按</w:t>
      </w:r>
      <w:r>
        <w:rPr>
          <w:rFonts w:ascii="Times New Roman" w:hint="eastAsia"/>
          <w:szCs w:val="24"/>
        </w:rPr>
        <w:t>0.</w:t>
      </w:r>
      <w:r>
        <w:rPr>
          <w:rFonts w:ascii="Times New Roman"/>
          <w:szCs w:val="24"/>
        </w:rPr>
        <w:t>8</w:t>
      </w:r>
      <w:r>
        <w:rPr>
          <w:rFonts w:ascii="Times New Roman" w:hint="eastAsia"/>
          <w:szCs w:val="24"/>
        </w:rPr>
        <w:t>折算</w:t>
      </w:r>
      <w:r>
        <w:rPr>
          <w:rFonts w:ascii="Times New Roman"/>
          <w:szCs w:val="24"/>
        </w:rPr>
        <w:t>，可供水量为</w:t>
      </w:r>
      <w:r>
        <w:rPr>
          <w:rFonts w:ascii="Times New Roman"/>
          <w:szCs w:val="24"/>
        </w:rPr>
        <w:t>300.96</w:t>
      </w:r>
      <w:r>
        <w:rPr>
          <w:rFonts w:ascii="Times New Roman" w:hint="eastAsia"/>
          <w:szCs w:val="24"/>
        </w:rPr>
        <w:t>m</w:t>
      </w:r>
      <w:r>
        <w:rPr>
          <w:rFonts w:ascii="Times New Roman" w:hint="eastAsia"/>
          <w:szCs w:val="24"/>
          <w:vertAlign w:val="superscript"/>
        </w:rPr>
        <w:t>3</w:t>
      </w:r>
      <w:r>
        <w:rPr>
          <w:rFonts w:ascii="Times New Roman" w:hint="eastAsia"/>
          <w:szCs w:val="24"/>
        </w:rPr>
        <w:t>/d</w:t>
      </w:r>
      <w:r>
        <w:rPr>
          <w:rFonts w:ascii="Times New Roman" w:hint="eastAsia"/>
          <w:szCs w:val="24"/>
        </w:rPr>
        <w:t>。处理</w:t>
      </w:r>
      <w:r>
        <w:rPr>
          <w:rFonts w:ascii="Times New Roman"/>
          <w:szCs w:val="24"/>
        </w:rPr>
        <w:t>后</w:t>
      </w:r>
      <w:r>
        <w:rPr>
          <w:rFonts w:ascii="Times New Roman" w:hint="eastAsia"/>
          <w:szCs w:val="24"/>
        </w:rPr>
        <w:t>生产生活污、废水可</w:t>
      </w:r>
      <w:r>
        <w:rPr>
          <w:rFonts w:ascii="Times New Roman"/>
          <w:szCs w:val="24"/>
        </w:rPr>
        <w:t>供总量为</w:t>
      </w:r>
      <w:r>
        <w:rPr>
          <w:rFonts w:ascii="Times New Roman"/>
          <w:szCs w:val="24"/>
        </w:rPr>
        <w:t>15828.96</w:t>
      </w:r>
      <w:r>
        <w:rPr>
          <w:rFonts w:ascii="Times New Roman" w:hint="eastAsia"/>
          <w:szCs w:val="24"/>
        </w:rPr>
        <w:t xml:space="preserve"> m</w:t>
      </w:r>
      <w:r>
        <w:rPr>
          <w:rFonts w:ascii="Times New Roman" w:hint="eastAsia"/>
          <w:szCs w:val="24"/>
          <w:vertAlign w:val="superscript"/>
        </w:rPr>
        <w:t>3</w:t>
      </w:r>
      <w:r>
        <w:rPr>
          <w:rFonts w:ascii="Times New Roman" w:hint="eastAsia"/>
          <w:szCs w:val="24"/>
        </w:rPr>
        <w:t>/d</w:t>
      </w:r>
      <w:r>
        <w:rPr>
          <w:rFonts w:ascii="Times New Roman" w:hint="eastAsia"/>
          <w:szCs w:val="24"/>
        </w:rPr>
        <w:t>，供给</w:t>
      </w:r>
      <w:r>
        <w:rPr>
          <w:rFonts w:ascii="Times New Roman"/>
          <w:szCs w:val="24"/>
        </w:rPr>
        <w:t>矿区</w:t>
      </w:r>
      <w:r>
        <w:rPr>
          <w:rFonts w:ascii="Times New Roman" w:hint="eastAsia"/>
          <w:szCs w:val="24"/>
        </w:rPr>
        <w:t>煤炭</w:t>
      </w:r>
      <w:r>
        <w:rPr>
          <w:rFonts w:ascii="Times New Roman"/>
          <w:szCs w:val="24"/>
        </w:rPr>
        <w:t>企业生产</w:t>
      </w:r>
      <w:r>
        <w:rPr>
          <w:rFonts w:ascii="Times New Roman" w:hint="eastAsia"/>
          <w:szCs w:val="24"/>
        </w:rPr>
        <w:t>需水量</w:t>
      </w:r>
      <w:r>
        <w:rPr>
          <w:rFonts w:ascii="Times New Roman" w:hint="eastAsia"/>
          <w:szCs w:val="24"/>
        </w:rPr>
        <w:t>13211m</w:t>
      </w:r>
      <w:r>
        <w:rPr>
          <w:rFonts w:ascii="Times New Roman" w:hint="eastAsia"/>
          <w:szCs w:val="24"/>
          <w:vertAlign w:val="superscript"/>
        </w:rPr>
        <w:t>3</w:t>
      </w:r>
      <w:r>
        <w:rPr>
          <w:rFonts w:ascii="Times New Roman" w:hint="eastAsia"/>
          <w:szCs w:val="24"/>
        </w:rPr>
        <w:t>/d</w:t>
      </w:r>
      <w:r>
        <w:rPr>
          <w:rFonts w:ascii="Times New Roman" w:hint="eastAsia"/>
          <w:szCs w:val="24"/>
        </w:rPr>
        <w:t>后</w:t>
      </w:r>
      <w:r>
        <w:rPr>
          <w:rFonts w:ascii="Times New Roman"/>
          <w:szCs w:val="24"/>
        </w:rPr>
        <w:t>还有</w:t>
      </w:r>
      <w:r>
        <w:rPr>
          <w:rFonts w:ascii="Times New Roman" w:hint="eastAsia"/>
          <w:szCs w:val="24"/>
        </w:rPr>
        <w:t>2617</w:t>
      </w:r>
      <w:r>
        <w:rPr>
          <w:rFonts w:ascii="Times New Roman"/>
          <w:szCs w:val="24"/>
        </w:rPr>
        <w:t>.96</w:t>
      </w:r>
      <w:r>
        <w:rPr>
          <w:rFonts w:ascii="Times New Roman" w:hint="eastAsia"/>
          <w:szCs w:val="24"/>
        </w:rPr>
        <w:t xml:space="preserve"> m</w:t>
      </w:r>
      <w:r>
        <w:rPr>
          <w:rFonts w:ascii="Times New Roman" w:hint="eastAsia"/>
          <w:szCs w:val="24"/>
          <w:vertAlign w:val="superscript"/>
        </w:rPr>
        <w:t>3</w:t>
      </w:r>
      <w:r>
        <w:rPr>
          <w:rFonts w:ascii="Times New Roman" w:hint="eastAsia"/>
          <w:szCs w:val="24"/>
        </w:rPr>
        <w:t>/d</w:t>
      </w:r>
      <w:r>
        <w:rPr>
          <w:rFonts w:ascii="Times New Roman" w:hint="eastAsia"/>
          <w:szCs w:val="24"/>
        </w:rPr>
        <w:t>剩余</w:t>
      </w:r>
      <w:r>
        <w:rPr>
          <w:rFonts w:ascii="Times New Roman"/>
          <w:szCs w:val="24"/>
        </w:rPr>
        <w:t>，</w:t>
      </w:r>
      <w:r>
        <w:rPr>
          <w:rFonts w:ascii="Times New Roman" w:hint="eastAsia"/>
          <w:szCs w:val="24"/>
        </w:rPr>
        <w:t>可</w:t>
      </w:r>
      <w:r>
        <w:rPr>
          <w:rFonts w:ascii="Times New Roman"/>
          <w:szCs w:val="24"/>
        </w:rPr>
        <w:t>供给</w:t>
      </w:r>
      <w:r>
        <w:rPr>
          <w:rFonts w:ascii="Times New Roman" w:hint="eastAsia"/>
          <w:szCs w:val="24"/>
        </w:rPr>
        <w:t>煤化工园区</w:t>
      </w:r>
      <w:r>
        <w:rPr>
          <w:rFonts w:ascii="Times New Roman"/>
          <w:szCs w:val="24"/>
        </w:rPr>
        <w:t>生产用水</w:t>
      </w:r>
      <w:r>
        <w:rPr>
          <w:rFonts w:ascii="Times New Roman" w:hint="eastAsia"/>
          <w:szCs w:val="24"/>
        </w:rPr>
        <w:t>。</w:t>
      </w:r>
      <w:r>
        <w:rPr>
          <w:rFonts w:ascii="Times New Roman"/>
          <w:szCs w:val="28"/>
        </w:rPr>
        <w:t>水源可供</w:t>
      </w:r>
      <w:r>
        <w:rPr>
          <w:rFonts w:ascii="Times New Roman" w:hint="eastAsia"/>
          <w:szCs w:val="28"/>
        </w:rPr>
        <w:t>水总量为</w:t>
      </w:r>
      <w:r>
        <w:rPr>
          <w:rFonts w:ascii="Times New Roman"/>
          <w:szCs w:val="28"/>
        </w:rPr>
        <w:t>供水能力及用水需求详见表</w:t>
      </w:r>
      <w:r>
        <w:rPr>
          <w:rFonts w:ascii="Times New Roman" w:hAnsi="Times New Roman"/>
          <w:szCs w:val="28"/>
        </w:rPr>
        <w:t>2.3-14</w:t>
      </w:r>
      <w:r>
        <w:rPr>
          <w:rFonts w:ascii="Times New Roman" w:hAnsi="Times New Roman" w:hint="eastAsia"/>
          <w:szCs w:val="28"/>
        </w:rPr>
        <w:t>。</w:t>
      </w:r>
    </w:p>
    <w:p w14:paraId="42320A69" w14:textId="77777777" w:rsidR="009C353B" w:rsidRDefault="009C353B">
      <w:pPr>
        <w:adjustRightInd w:val="0"/>
        <w:snapToGrid w:val="0"/>
        <w:spacing w:line="440" w:lineRule="exact"/>
        <w:ind w:firstLineChars="200" w:firstLine="480"/>
        <w:rPr>
          <w:rFonts w:ascii="Times New Roman" w:hAnsi="Times New Roman"/>
          <w:szCs w:val="28"/>
        </w:rPr>
      </w:pPr>
    </w:p>
    <w:p w14:paraId="14C63FA1" w14:textId="77777777" w:rsidR="009C353B" w:rsidRDefault="009C353B">
      <w:pPr>
        <w:adjustRightInd w:val="0"/>
        <w:snapToGrid w:val="0"/>
        <w:spacing w:line="440" w:lineRule="exact"/>
        <w:ind w:firstLineChars="200" w:firstLine="480"/>
        <w:rPr>
          <w:rFonts w:ascii="Times New Roman" w:hAnsi="Times New Roman"/>
          <w:szCs w:val="28"/>
        </w:rPr>
      </w:pPr>
    </w:p>
    <w:p w14:paraId="1483C308" w14:textId="77777777" w:rsidR="009C353B" w:rsidRDefault="009C353B">
      <w:pPr>
        <w:adjustRightInd w:val="0"/>
        <w:snapToGrid w:val="0"/>
        <w:spacing w:line="440" w:lineRule="exact"/>
        <w:ind w:firstLineChars="200" w:firstLine="480"/>
        <w:rPr>
          <w:rFonts w:ascii="Times New Roman" w:hAnsi="Times New Roman"/>
          <w:szCs w:val="28"/>
        </w:rPr>
      </w:pPr>
    </w:p>
    <w:p w14:paraId="1DDDBE95" w14:textId="77777777" w:rsidR="009C353B" w:rsidRDefault="009C353B">
      <w:pPr>
        <w:adjustRightInd w:val="0"/>
        <w:snapToGrid w:val="0"/>
        <w:spacing w:line="440" w:lineRule="exact"/>
        <w:ind w:firstLineChars="200" w:firstLine="480"/>
        <w:rPr>
          <w:rFonts w:ascii="Times New Roman" w:hAnsi="Times New Roman"/>
          <w:szCs w:val="28"/>
        </w:rPr>
      </w:pPr>
    </w:p>
    <w:p w14:paraId="5EE52834" w14:textId="77777777" w:rsidR="009C353B" w:rsidRDefault="00000000">
      <w:pPr>
        <w:spacing w:line="440" w:lineRule="exact"/>
        <w:jc w:val="center"/>
        <w:rPr>
          <w:rFonts w:ascii="Times New Roman" w:hAnsi="Times New Roman"/>
          <w:b/>
        </w:rPr>
      </w:pPr>
      <w:r>
        <w:rPr>
          <w:rFonts w:ascii="Times New Roman"/>
          <w:b/>
        </w:rPr>
        <w:t>达产年水源供水能力及用水需求一览表</w:t>
      </w:r>
    </w:p>
    <w:p w14:paraId="18443713" w14:textId="77777777" w:rsidR="009C353B" w:rsidRDefault="00000000">
      <w:pPr>
        <w:pStyle w:val="affffd"/>
        <w:spacing w:line="440" w:lineRule="exact"/>
        <w:rPr>
          <w:rFonts w:ascii="Times New Roman" w:hint="eastAsia"/>
        </w:rPr>
      </w:pPr>
      <w:r>
        <w:rPr>
          <w:rFonts w:ascii="Times New Roman"/>
        </w:rPr>
        <w:t>表</w:t>
      </w:r>
      <w:r>
        <w:rPr>
          <w:rFonts w:ascii="Times New Roman"/>
        </w:rPr>
        <w:t>2.3-14</w:t>
      </w:r>
    </w:p>
    <w:tbl>
      <w:tblPr>
        <w:tblW w:w="91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5"/>
        <w:gridCol w:w="1842"/>
        <w:gridCol w:w="941"/>
        <w:gridCol w:w="1229"/>
        <w:gridCol w:w="1248"/>
        <w:gridCol w:w="936"/>
        <w:gridCol w:w="1175"/>
        <w:gridCol w:w="1323"/>
      </w:tblGrid>
      <w:tr w:rsidR="009C353B" w14:paraId="092CCBC6" w14:textId="77777777">
        <w:trPr>
          <w:trHeight w:val="481"/>
          <w:jc w:val="center"/>
        </w:trPr>
        <w:tc>
          <w:tcPr>
            <w:tcW w:w="475" w:type="dxa"/>
            <w:vAlign w:val="center"/>
          </w:tcPr>
          <w:p w14:paraId="0C0181C3" w14:textId="77777777" w:rsidR="009C353B" w:rsidRDefault="00000000">
            <w:pPr>
              <w:pStyle w:val="2fe"/>
              <w:snapToGrid w:val="0"/>
              <w:spacing w:line="240" w:lineRule="auto"/>
              <w:ind w:firstLine="0"/>
              <w:jc w:val="center"/>
              <w:rPr>
                <w:sz w:val="21"/>
                <w:szCs w:val="21"/>
              </w:rPr>
            </w:pPr>
            <w:bookmarkStart w:id="77" w:name="_Hlk45809090"/>
            <w:r>
              <w:rPr>
                <w:rFonts w:hAnsi="宋体"/>
                <w:sz w:val="21"/>
                <w:szCs w:val="21"/>
              </w:rPr>
              <w:t>序号</w:t>
            </w:r>
          </w:p>
        </w:tc>
        <w:tc>
          <w:tcPr>
            <w:tcW w:w="1842" w:type="dxa"/>
            <w:vAlign w:val="center"/>
          </w:tcPr>
          <w:p w14:paraId="30DBCF9C" w14:textId="77777777" w:rsidR="009C353B" w:rsidRDefault="00000000">
            <w:pPr>
              <w:pStyle w:val="2fe"/>
              <w:snapToGrid w:val="0"/>
              <w:spacing w:line="240" w:lineRule="auto"/>
              <w:ind w:firstLine="0"/>
              <w:jc w:val="center"/>
              <w:rPr>
                <w:sz w:val="21"/>
                <w:szCs w:val="21"/>
              </w:rPr>
            </w:pPr>
            <w:r>
              <w:rPr>
                <w:rFonts w:hAnsi="宋体"/>
                <w:sz w:val="21"/>
                <w:szCs w:val="21"/>
              </w:rPr>
              <w:t>用水项</w:t>
            </w:r>
          </w:p>
        </w:tc>
        <w:tc>
          <w:tcPr>
            <w:tcW w:w="941" w:type="dxa"/>
            <w:vAlign w:val="center"/>
          </w:tcPr>
          <w:p w14:paraId="7BB86F3B" w14:textId="77777777" w:rsidR="009C353B" w:rsidRDefault="00000000">
            <w:pPr>
              <w:pStyle w:val="2fe"/>
              <w:snapToGrid w:val="0"/>
              <w:spacing w:line="240" w:lineRule="auto"/>
              <w:ind w:firstLine="0"/>
              <w:jc w:val="center"/>
              <w:rPr>
                <w:sz w:val="21"/>
                <w:szCs w:val="21"/>
              </w:rPr>
            </w:pPr>
            <w:r>
              <w:rPr>
                <w:rFonts w:hAnsi="宋体"/>
                <w:sz w:val="21"/>
                <w:szCs w:val="21"/>
              </w:rPr>
              <w:t>用水量</w:t>
            </w:r>
          </w:p>
          <w:p w14:paraId="6D902949" w14:textId="77777777" w:rsidR="009C353B" w:rsidRDefault="00000000">
            <w:pPr>
              <w:pStyle w:val="2fe"/>
              <w:snapToGrid w:val="0"/>
              <w:spacing w:line="240" w:lineRule="auto"/>
              <w:ind w:firstLine="0"/>
              <w:jc w:val="center"/>
              <w:rPr>
                <w:sz w:val="21"/>
                <w:szCs w:val="21"/>
              </w:rPr>
            </w:pPr>
            <w:r>
              <w:rPr>
                <w:sz w:val="21"/>
                <w:szCs w:val="21"/>
              </w:rPr>
              <w:t>(m</w:t>
            </w:r>
            <w:r>
              <w:rPr>
                <w:sz w:val="21"/>
                <w:szCs w:val="21"/>
                <w:vertAlign w:val="superscript"/>
              </w:rPr>
              <w:t>3</w:t>
            </w:r>
            <w:r>
              <w:rPr>
                <w:sz w:val="21"/>
                <w:szCs w:val="21"/>
              </w:rPr>
              <w:t>/d)</w:t>
            </w:r>
          </w:p>
        </w:tc>
        <w:tc>
          <w:tcPr>
            <w:tcW w:w="5911" w:type="dxa"/>
            <w:gridSpan w:val="5"/>
            <w:vAlign w:val="center"/>
          </w:tcPr>
          <w:p w14:paraId="4E8CC34A" w14:textId="77777777" w:rsidR="009C353B" w:rsidRDefault="00000000">
            <w:pPr>
              <w:pStyle w:val="2fe"/>
              <w:snapToGrid w:val="0"/>
              <w:spacing w:line="240" w:lineRule="auto"/>
              <w:ind w:firstLine="0"/>
              <w:jc w:val="center"/>
              <w:rPr>
                <w:b/>
                <w:sz w:val="21"/>
                <w:szCs w:val="21"/>
              </w:rPr>
            </w:pPr>
            <w:r>
              <w:rPr>
                <w:b/>
                <w:sz w:val="21"/>
                <w:szCs w:val="21"/>
              </w:rPr>
              <w:t>供水能力（</w:t>
            </w:r>
            <w:r>
              <w:rPr>
                <w:b/>
                <w:sz w:val="21"/>
                <w:szCs w:val="21"/>
              </w:rPr>
              <w:t>m</w:t>
            </w:r>
            <w:r>
              <w:rPr>
                <w:b/>
                <w:sz w:val="21"/>
                <w:szCs w:val="21"/>
                <w:vertAlign w:val="superscript"/>
              </w:rPr>
              <w:t>3</w:t>
            </w:r>
            <w:r>
              <w:rPr>
                <w:b/>
                <w:sz w:val="21"/>
                <w:szCs w:val="21"/>
              </w:rPr>
              <w:t>/d</w:t>
            </w:r>
            <w:r>
              <w:rPr>
                <w:b/>
                <w:sz w:val="21"/>
                <w:szCs w:val="21"/>
              </w:rPr>
              <w:t>）</w:t>
            </w:r>
          </w:p>
        </w:tc>
      </w:tr>
      <w:tr w:rsidR="009C353B" w14:paraId="7C524838" w14:textId="77777777">
        <w:trPr>
          <w:trHeight w:val="398"/>
          <w:jc w:val="center"/>
        </w:trPr>
        <w:tc>
          <w:tcPr>
            <w:tcW w:w="9169" w:type="dxa"/>
            <w:gridSpan w:val="8"/>
            <w:vAlign w:val="center"/>
          </w:tcPr>
          <w:p w14:paraId="16920EE6" w14:textId="77777777" w:rsidR="009C353B" w:rsidRDefault="00000000">
            <w:pPr>
              <w:pStyle w:val="2fe"/>
              <w:snapToGrid w:val="0"/>
              <w:spacing w:line="240" w:lineRule="auto"/>
              <w:ind w:firstLine="0"/>
              <w:jc w:val="center"/>
              <w:rPr>
                <w:rFonts w:hAnsi="宋体" w:hint="eastAsia"/>
                <w:b/>
                <w:sz w:val="21"/>
                <w:szCs w:val="21"/>
              </w:rPr>
            </w:pPr>
            <w:r>
              <w:rPr>
                <w:rFonts w:hAnsi="宋体"/>
                <w:b/>
                <w:sz w:val="21"/>
                <w:szCs w:val="21"/>
              </w:rPr>
              <w:t>生活水源及供水能力（</w:t>
            </w:r>
            <w:r>
              <w:rPr>
                <w:b/>
                <w:sz w:val="21"/>
                <w:szCs w:val="21"/>
              </w:rPr>
              <w:t>m</w:t>
            </w:r>
            <w:r>
              <w:rPr>
                <w:b/>
                <w:sz w:val="21"/>
                <w:szCs w:val="21"/>
                <w:vertAlign w:val="superscript"/>
              </w:rPr>
              <w:t>3</w:t>
            </w:r>
            <w:r>
              <w:rPr>
                <w:b/>
                <w:sz w:val="21"/>
                <w:szCs w:val="21"/>
              </w:rPr>
              <w:t>/d</w:t>
            </w:r>
            <w:r>
              <w:rPr>
                <w:rFonts w:hAnsi="宋体"/>
                <w:b/>
                <w:sz w:val="21"/>
                <w:szCs w:val="21"/>
              </w:rPr>
              <w:t>）</w:t>
            </w:r>
          </w:p>
        </w:tc>
      </w:tr>
      <w:tr w:rsidR="009C353B" w14:paraId="33EC2ABA" w14:textId="77777777">
        <w:trPr>
          <w:trHeight w:val="260"/>
          <w:jc w:val="center"/>
        </w:trPr>
        <w:tc>
          <w:tcPr>
            <w:tcW w:w="475" w:type="dxa"/>
            <w:vAlign w:val="center"/>
          </w:tcPr>
          <w:p w14:paraId="7BA99529" w14:textId="77777777" w:rsidR="009C353B" w:rsidRDefault="00000000">
            <w:pPr>
              <w:pStyle w:val="2fe"/>
              <w:snapToGrid w:val="0"/>
              <w:spacing w:line="240" w:lineRule="auto"/>
              <w:ind w:firstLine="0"/>
              <w:jc w:val="center"/>
              <w:rPr>
                <w:sz w:val="21"/>
                <w:szCs w:val="21"/>
              </w:rPr>
            </w:pPr>
            <w:r>
              <w:rPr>
                <w:rFonts w:hAnsi="宋体"/>
                <w:sz w:val="21"/>
                <w:szCs w:val="21"/>
              </w:rPr>
              <w:t>一</w:t>
            </w:r>
          </w:p>
        </w:tc>
        <w:tc>
          <w:tcPr>
            <w:tcW w:w="1842" w:type="dxa"/>
            <w:vAlign w:val="center"/>
          </w:tcPr>
          <w:p w14:paraId="33CC39CF" w14:textId="77777777" w:rsidR="009C353B" w:rsidRDefault="00000000">
            <w:pPr>
              <w:pStyle w:val="2fe"/>
              <w:snapToGrid w:val="0"/>
              <w:spacing w:line="240" w:lineRule="auto"/>
              <w:ind w:firstLine="0"/>
              <w:jc w:val="center"/>
              <w:rPr>
                <w:sz w:val="21"/>
                <w:szCs w:val="21"/>
              </w:rPr>
            </w:pPr>
            <w:r>
              <w:rPr>
                <w:rFonts w:hAnsi="宋体"/>
                <w:sz w:val="21"/>
                <w:szCs w:val="21"/>
              </w:rPr>
              <w:t>居住区生活用水</w:t>
            </w:r>
          </w:p>
        </w:tc>
        <w:tc>
          <w:tcPr>
            <w:tcW w:w="941" w:type="dxa"/>
            <w:vAlign w:val="center"/>
          </w:tcPr>
          <w:p w14:paraId="3CD2940A" w14:textId="77777777" w:rsidR="009C353B" w:rsidRDefault="00000000">
            <w:pPr>
              <w:pStyle w:val="2fe"/>
              <w:snapToGrid w:val="0"/>
              <w:spacing w:line="240" w:lineRule="auto"/>
              <w:ind w:firstLine="0"/>
              <w:jc w:val="center"/>
              <w:rPr>
                <w:sz w:val="21"/>
                <w:szCs w:val="21"/>
              </w:rPr>
            </w:pPr>
            <w:r>
              <w:rPr>
                <w:rFonts w:hint="eastAsia"/>
                <w:sz w:val="21"/>
                <w:szCs w:val="21"/>
              </w:rPr>
              <w:t>—</w:t>
            </w:r>
          </w:p>
        </w:tc>
        <w:tc>
          <w:tcPr>
            <w:tcW w:w="5911" w:type="dxa"/>
            <w:gridSpan w:val="5"/>
            <w:vAlign w:val="center"/>
          </w:tcPr>
          <w:p w14:paraId="7586154D" w14:textId="77777777" w:rsidR="009C353B" w:rsidRDefault="00000000">
            <w:pPr>
              <w:pStyle w:val="2fe"/>
              <w:snapToGrid w:val="0"/>
              <w:spacing w:line="240" w:lineRule="auto"/>
              <w:ind w:firstLine="0"/>
              <w:jc w:val="center"/>
              <w:rPr>
                <w:sz w:val="21"/>
                <w:szCs w:val="21"/>
              </w:rPr>
            </w:pPr>
            <w:r>
              <w:rPr>
                <w:rFonts w:hAnsi="宋体" w:hint="eastAsia"/>
                <w:sz w:val="21"/>
                <w:szCs w:val="21"/>
              </w:rPr>
              <w:t>宁东镇供水系统</w:t>
            </w:r>
          </w:p>
        </w:tc>
      </w:tr>
      <w:tr w:rsidR="009C353B" w14:paraId="78891F76" w14:textId="77777777">
        <w:trPr>
          <w:trHeight w:val="509"/>
          <w:jc w:val="center"/>
        </w:trPr>
        <w:tc>
          <w:tcPr>
            <w:tcW w:w="475" w:type="dxa"/>
            <w:vAlign w:val="center"/>
          </w:tcPr>
          <w:p w14:paraId="062FEFE0" w14:textId="77777777" w:rsidR="009C353B" w:rsidRDefault="00000000">
            <w:pPr>
              <w:pStyle w:val="2fe"/>
              <w:snapToGrid w:val="0"/>
              <w:spacing w:line="240" w:lineRule="auto"/>
              <w:ind w:firstLine="0"/>
              <w:jc w:val="center"/>
              <w:rPr>
                <w:sz w:val="21"/>
                <w:szCs w:val="21"/>
              </w:rPr>
            </w:pPr>
            <w:r>
              <w:rPr>
                <w:sz w:val="21"/>
                <w:szCs w:val="21"/>
              </w:rPr>
              <w:t>二</w:t>
            </w:r>
          </w:p>
        </w:tc>
        <w:tc>
          <w:tcPr>
            <w:tcW w:w="1842" w:type="dxa"/>
            <w:vAlign w:val="center"/>
          </w:tcPr>
          <w:p w14:paraId="781210BB" w14:textId="77777777" w:rsidR="009C353B" w:rsidRDefault="00000000">
            <w:pPr>
              <w:pStyle w:val="2fe"/>
              <w:snapToGrid w:val="0"/>
              <w:spacing w:line="240" w:lineRule="auto"/>
              <w:ind w:firstLine="0"/>
              <w:jc w:val="center"/>
              <w:rPr>
                <w:sz w:val="21"/>
                <w:szCs w:val="21"/>
              </w:rPr>
            </w:pPr>
            <w:r>
              <w:rPr>
                <w:rFonts w:hAnsi="宋体"/>
                <w:sz w:val="21"/>
                <w:szCs w:val="21"/>
              </w:rPr>
              <w:t>矿区辅助企业综合用水</w:t>
            </w:r>
          </w:p>
        </w:tc>
        <w:tc>
          <w:tcPr>
            <w:tcW w:w="941" w:type="dxa"/>
            <w:vAlign w:val="center"/>
          </w:tcPr>
          <w:p w14:paraId="6818C427" w14:textId="77777777" w:rsidR="009C353B" w:rsidRDefault="00000000">
            <w:pPr>
              <w:pStyle w:val="2fe"/>
              <w:snapToGrid w:val="0"/>
              <w:spacing w:line="240" w:lineRule="auto"/>
              <w:ind w:firstLine="0"/>
              <w:jc w:val="center"/>
              <w:rPr>
                <w:sz w:val="21"/>
                <w:szCs w:val="21"/>
              </w:rPr>
            </w:pPr>
            <w:r>
              <w:rPr>
                <w:rFonts w:hint="eastAsia"/>
                <w:sz w:val="21"/>
                <w:szCs w:val="21"/>
              </w:rPr>
              <w:t>2</w:t>
            </w:r>
            <w:r>
              <w:rPr>
                <w:sz w:val="21"/>
                <w:szCs w:val="21"/>
              </w:rPr>
              <w:t>92</w:t>
            </w:r>
          </w:p>
        </w:tc>
        <w:tc>
          <w:tcPr>
            <w:tcW w:w="5911" w:type="dxa"/>
            <w:gridSpan w:val="5"/>
            <w:vAlign w:val="center"/>
          </w:tcPr>
          <w:p w14:paraId="1929ED81" w14:textId="77777777" w:rsidR="009C353B" w:rsidRDefault="00000000">
            <w:pPr>
              <w:pStyle w:val="2fe"/>
              <w:snapToGrid w:val="0"/>
              <w:spacing w:line="240" w:lineRule="auto"/>
              <w:ind w:firstLine="0"/>
              <w:jc w:val="center"/>
              <w:rPr>
                <w:sz w:val="21"/>
                <w:szCs w:val="21"/>
              </w:rPr>
            </w:pPr>
            <w:r>
              <w:rPr>
                <w:rFonts w:hAnsi="宋体" w:hint="eastAsia"/>
                <w:sz w:val="21"/>
                <w:szCs w:val="21"/>
              </w:rPr>
              <w:t>宁东镇古窑子区供水（矿区辅助企业位于宁东镇，各企业用水不计入本次规划）</w:t>
            </w:r>
          </w:p>
        </w:tc>
      </w:tr>
      <w:tr w:rsidR="009C353B" w14:paraId="5A3D7E17" w14:textId="77777777">
        <w:trPr>
          <w:trHeight w:val="271"/>
          <w:jc w:val="center"/>
        </w:trPr>
        <w:tc>
          <w:tcPr>
            <w:tcW w:w="475" w:type="dxa"/>
            <w:vAlign w:val="center"/>
          </w:tcPr>
          <w:p w14:paraId="3F88FB83" w14:textId="77777777" w:rsidR="009C353B" w:rsidRDefault="00000000">
            <w:pPr>
              <w:pStyle w:val="2fe"/>
              <w:snapToGrid w:val="0"/>
              <w:spacing w:line="240" w:lineRule="auto"/>
              <w:ind w:firstLine="0"/>
              <w:jc w:val="center"/>
              <w:rPr>
                <w:sz w:val="21"/>
                <w:szCs w:val="21"/>
              </w:rPr>
            </w:pPr>
            <w:r>
              <w:rPr>
                <w:sz w:val="21"/>
                <w:szCs w:val="21"/>
              </w:rPr>
              <w:t>三</w:t>
            </w:r>
          </w:p>
        </w:tc>
        <w:tc>
          <w:tcPr>
            <w:tcW w:w="1842" w:type="dxa"/>
            <w:vAlign w:val="center"/>
          </w:tcPr>
          <w:p w14:paraId="05259DFF" w14:textId="77777777" w:rsidR="009C353B" w:rsidRDefault="00000000">
            <w:pPr>
              <w:pStyle w:val="2fe"/>
              <w:snapToGrid w:val="0"/>
              <w:spacing w:line="240" w:lineRule="auto"/>
              <w:ind w:firstLine="0"/>
              <w:jc w:val="center"/>
              <w:rPr>
                <w:rFonts w:hAnsi="宋体" w:hint="eastAsia"/>
                <w:sz w:val="21"/>
                <w:szCs w:val="21"/>
              </w:rPr>
            </w:pPr>
            <w:r>
              <w:rPr>
                <w:rFonts w:hAnsi="宋体"/>
                <w:sz w:val="21"/>
                <w:szCs w:val="21"/>
              </w:rPr>
              <w:t>各矿生活用水</w:t>
            </w:r>
          </w:p>
        </w:tc>
        <w:tc>
          <w:tcPr>
            <w:tcW w:w="941" w:type="dxa"/>
            <w:vAlign w:val="center"/>
          </w:tcPr>
          <w:p w14:paraId="0F2AE51B" w14:textId="77777777" w:rsidR="009C353B" w:rsidRDefault="00000000">
            <w:pPr>
              <w:pStyle w:val="2fe"/>
              <w:snapToGrid w:val="0"/>
              <w:spacing w:line="240" w:lineRule="auto"/>
              <w:ind w:firstLine="0"/>
              <w:jc w:val="center"/>
              <w:rPr>
                <w:sz w:val="21"/>
                <w:szCs w:val="21"/>
              </w:rPr>
            </w:pPr>
            <w:r>
              <w:rPr>
                <w:rFonts w:hint="eastAsia"/>
                <w:sz w:val="21"/>
                <w:szCs w:val="21"/>
              </w:rPr>
              <w:t>396</w:t>
            </w:r>
          </w:p>
        </w:tc>
        <w:tc>
          <w:tcPr>
            <w:tcW w:w="5911" w:type="dxa"/>
            <w:gridSpan w:val="5"/>
            <w:vAlign w:val="center"/>
          </w:tcPr>
          <w:p w14:paraId="7BA3E963"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鸭子荡水库</w:t>
            </w:r>
            <w:r>
              <w:rPr>
                <w:rFonts w:hAnsi="宋体"/>
                <w:sz w:val="21"/>
                <w:szCs w:val="21"/>
              </w:rPr>
              <w:t>净水厂</w:t>
            </w:r>
            <w:r>
              <w:rPr>
                <w:sz w:val="21"/>
                <w:szCs w:val="21"/>
              </w:rPr>
              <w:t>(2400</w:t>
            </w:r>
            <w:r>
              <w:rPr>
                <w:rFonts w:hint="eastAsia"/>
                <w:sz w:val="21"/>
                <w:szCs w:val="21"/>
              </w:rPr>
              <w:t>万</w:t>
            </w:r>
            <w:r>
              <w:rPr>
                <w:sz w:val="21"/>
                <w:szCs w:val="21"/>
              </w:rPr>
              <w:t>m</w:t>
            </w:r>
            <w:r>
              <w:rPr>
                <w:sz w:val="21"/>
                <w:szCs w:val="21"/>
                <w:vertAlign w:val="superscript"/>
              </w:rPr>
              <w:t>3</w:t>
            </w:r>
            <w:r>
              <w:rPr>
                <w:sz w:val="21"/>
                <w:szCs w:val="21"/>
              </w:rPr>
              <w:t>/</w:t>
            </w:r>
            <w:r>
              <w:rPr>
                <w:rFonts w:hint="eastAsia"/>
                <w:sz w:val="21"/>
                <w:szCs w:val="21"/>
              </w:rPr>
              <w:t>a)</w:t>
            </w:r>
          </w:p>
        </w:tc>
      </w:tr>
      <w:tr w:rsidR="009C353B" w14:paraId="1CDDE21D" w14:textId="77777777">
        <w:trPr>
          <w:trHeight w:val="434"/>
          <w:jc w:val="center"/>
        </w:trPr>
        <w:tc>
          <w:tcPr>
            <w:tcW w:w="9169" w:type="dxa"/>
            <w:gridSpan w:val="8"/>
            <w:vAlign w:val="center"/>
          </w:tcPr>
          <w:p w14:paraId="041B0D67" w14:textId="77777777" w:rsidR="009C353B" w:rsidRDefault="00000000">
            <w:pPr>
              <w:pStyle w:val="2fe"/>
              <w:snapToGrid w:val="0"/>
              <w:spacing w:line="240" w:lineRule="auto"/>
              <w:ind w:firstLine="0"/>
              <w:jc w:val="center"/>
              <w:rPr>
                <w:b/>
                <w:sz w:val="21"/>
                <w:szCs w:val="21"/>
              </w:rPr>
            </w:pPr>
            <w:r>
              <w:rPr>
                <w:rFonts w:hAnsi="宋体"/>
                <w:b/>
                <w:sz w:val="21"/>
                <w:szCs w:val="21"/>
              </w:rPr>
              <w:t>生产水源及供水能力（</w:t>
            </w:r>
            <w:r>
              <w:rPr>
                <w:b/>
                <w:sz w:val="21"/>
                <w:szCs w:val="21"/>
              </w:rPr>
              <w:t>m</w:t>
            </w:r>
            <w:r>
              <w:rPr>
                <w:b/>
                <w:sz w:val="21"/>
                <w:szCs w:val="21"/>
                <w:vertAlign w:val="superscript"/>
              </w:rPr>
              <w:t>3</w:t>
            </w:r>
            <w:r>
              <w:rPr>
                <w:b/>
                <w:sz w:val="21"/>
                <w:szCs w:val="21"/>
              </w:rPr>
              <w:t>/d</w:t>
            </w:r>
            <w:r>
              <w:rPr>
                <w:rFonts w:hAnsi="宋体"/>
                <w:b/>
                <w:sz w:val="21"/>
                <w:szCs w:val="21"/>
              </w:rPr>
              <w:t>）</w:t>
            </w:r>
          </w:p>
        </w:tc>
      </w:tr>
      <w:tr w:rsidR="009C353B" w14:paraId="3B4DF363" w14:textId="77777777">
        <w:trPr>
          <w:trHeight w:val="283"/>
          <w:jc w:val="center"/>
        </w:trPr>
        <w:tc>
          <w:tcPr>
            <w:tcW w:w="475" w:type="dxa"/>
            <w:vMerge w:val="restart"/>
            <w:vAlign w:val="center"/>
          </w:tcPr>
          <w:p w14:paraId="07384722" w14:textId="77777777" w:rsidR="009C353B" w:rsidRDefault="009C353B">
            <w:pPr>
              <w:pStyle w:val="2fe"/>
              <w:snapToGrid w:val="0"/>
              <w:spacing w:line="240" w:lineRule="auto"/>
              <w:ind w:firstLine="0"/>
              <w:jc w:val="center"/>
              <w:rPr>
                <w:sz w:val="21"/>
                <w:szCs w:val="21"/>
              </w:rPr>
            </w:pPr>
          </w:p>
        </w:tc>
        <w:tc>
          <w:tcPr>
            <w:tcW w:w="1842" w:type="dxa"/>
            <w:vMerge w:val="restart"/>
            <w:vAlign w:val="center"/>
          </w:tcPr>
          <w:p w14:paraId="150D999A" w14:textId="77777777" w:rsidR="009C353B" w:rsidRDefault="00000000">
            <w:pPr>
              <w:pStyle w:val="2fe"/>
              <w:snapToGrid w:val="0"/>
              <w:spacing w:line="240" w:lineRule="auto"/>
              <w:ind w:firstLine="0"/>
              <w:jc w:val="center"/>
              <w:rPr>
                <w:sz w:val="21"/>
                <w:szCs w:val="21"/>
              </w:rPr>
            </w:pPr>
            <w:r>
              <w:rPr>
                <w:rFonts w:hAnsi="宋体" w:hint="eastAsia"/>
                <w:sz w:val="21"/>
                <w:szCs w:val="21"/>
              </w:rPr>
              <w:t>各矿</w:t>
            </w:r>
            <w:r>
              <w:rPr>
                <w:rFonts w:hAnsi="宋体"/>
                <w:sz w:val="21"/>
                <w:szCs w:val="21"/>
              </w:rPr>
              <w:t>生产用水</w:t>
            </w:r>
          </w:p>
        </w:tc>
        <w:tc>
          <w:tcPr>
            <w:tcW w:w="941" w:type="dxa"/>
            <w:vMerge w:val="restart"/>
            <w:vAlign w:val="center"/>
          </w:tcPr>
          <w:p w14:paraId="45CA6FE7" w14:textId="77777777" w:rsidR="009C353B" w:rsidRDefault="00000000">
            <w:pPr>
              <w:pStyle w:val="2fe"/>
              <w:snapToGrid w:val="0"/>
              <w:spacing w:line="240" w:lineRule="auto"/>
              <w:ind w:firstLine="0"/>
              <w:jc w:val="center"/>
              <w:rPr>
                <w:rFonts w:hAnsi="宋体" w:hint="eastAsia"/>
                <w:sz w:val="21"/>
                <w:szCs w:val="21"/>
              </w:rPr>
            </w:pPr>
            <w:r>
              <w:rPr>
                <w:rFonts w:hAnsi="宋体"/>
                <w:sz w:val="21"/>
                <w:szCs w:val="21"/>
              </w:rPr>
              <w:t>用水量</w:t>
            </w:r>
          </w:p>
          <w:p w14:paraId="0233CB49" w14:textId="77777777" w:rsidR="009C353B" w:rsidRDefault="00000000">
            <w:pPr>
              <w:pStyle w:val="2fe"/>
              <w:snapToGrid w:val="0"/>
              <w:spacing w:line="240" w:lineRule="auto"/>
              <w:ind w:firstLine="0"/>
              <w:jc w:val="center"/>
              <w:rPr>
                <w:sz w:val="21"/>
                <w:szCs w:val="21"/>
              </w:rPr>
            </w:pPr>
            <w:r>
              <w:rPr>
                <w:rFonts w:hAnsi="宋体"/>
                <w:sz w:val="21"/>
                <w:szCs w:val="21"/>
              </w:rPr>
              <w:t>(m</w:t>
            </w:r>
            <w:r>
              <w:rPr>
                <w:rFonts w:hAnsi="宋体"/>
                <w:sz w:val="21"/>
                <w:szCs w:val="21"/>
                <w:vertAlign w:val="superscript"/>
              </w:rPr>
              <w:t>3</w:t>
            </w:r>
            <w:r>
              <w:rPr>
                <w:rFonts w:hAnsi="宋体"/>
                <w:sz w:val="21"/>
                <w:szCs w:val="21"/>
              </w:rPr>
              <w:t>/d)</w:t>
            </w:r>
          </w:p>
        </w:tc>
        <w:tc>
          <w:tcPr>
            <w:tcW w:w="2477" w:type="dxa"/>
            <w:gridSpan w:val="2"/>
            <w:vAlign w:val="center"/>
          </w:tcPr>
          <w:p w14:paraId="180A653F" w14:textId="77777777" w:rsidR="009C353B" w:rsidRDefault="00000000">
            <w:pPr>
              <w:pStyle w:val="2fe"/>
              <w:snapToGrid w:val="0"/>
              <w:spacing w:line="240" w:lineRule="auto"/>
              <w:ind w:firstLine="0"/>
              <w:jc w:val="center"/>
              <w:rPr>
                <w:sz w:val="21"/>
                <w:szCs w:val="21"/>
              </w:rPr>
            </w:pPr>
            <w:r>
              <w:rPr>
                <w:rFonts w:hAnsi="宋体"/>
                <w:sz w:val="21"/>
                <w:szCs w:val="21"/>
              </w:rPr>
              <w:t>井下排水</w:t>
            </w:r>
          </w:p>
        </w:tc>
        <w:tc>
          <w:tcPr>
            <w:tcW w:w="2111" w:type="dxa"/>
            <w:gridSpan w:val="2"/>
            <w:vAlign w:val="center"/>
          </w:tcPr>
          <w:p w14:paraId="61DADE6E" w14:textId="77777777" w:rsidR="009C353B" w:rsidRDefault="00000000">
            <w:pPr>
              <w:pStyle w:val="2fe"/>
              <w:snapToGrid w:val="0"/>
              <w:spacing w:line="240" w:lineRule="auto"/>
              <w:ind w:firstLine="0"/>
              <w:jc w:val="center"/>
              <w:rPr>
                <w:sz w:val="21"/>
                <w:szCs w:val="21"/>
              </w:rPr>
            </w:pPr>
            <w:r>
              <w:rPr>
                <w:rFonts w:hAnsi="宋体"/>
                <w:sz w:val="21"/>
                <w:szCs w:val="21"/>
              </w:rPr>
              <w:t>生活污水</w:t>
            </w:r>
          </w:p>
        </w:tc>
        <w:tc>
          <w:tcPr>
            <w:tcW w:w="1323" w:type="dxa"/>
            <w:vMerge w:val="restart"/>
            <w:vAlign w:val="center"/>
          </w:tcPr>
          <w:p w14:paraId="249409D0" w14:textId="77777777" w:rsidR="009C353B" w:rsidRDefault="00000000">
            <w:pPr>
              <w:pStyle w:val="2fe"/>
              <w:snapToGrid w:val="0"/>
              <w:spacing w:line="240" w:lineRule="auto"/>
              <w:ind w:firstLine="0"/>
              <w:jc w:val="center"/>
              <w:rPr>
                <w:sz w:val="21"/>
                <w:szCs w:val="21"/>
              </w:rPr>
            </w:pPr>
            <w:r>
              <w:rPr>
                <w:rFonts w:hAnsi="宋体"/>
                <w:sz w:val="21"/>
                <w:szCs w:val="21"/>
              </w:rPr>
              <w:t>复用水</w:t>
            </w:r>
          </w:p>
          <w:p w14:paraId="5E4940F6" w14:textId="77777777" w:rsidR="009C353B" w:rsidRDefault="00000000">
            <w:pPr>
              <w:pStyle w:val="2fe"/>
              <w:snapToGrid w:val="0"/>
              <w:spacing w:line="240" w:lineRule="auto"/>
              <w:ind w:firstLine="0"/>
              <w:jc w:val="center"/>
              <w:rPr>
                <w:sz w:val="21"/>
                <w:szCs w:val="21"/>
              </w:rPr>
            </w:pPr>
            <w:r>
              <w:rPr>
                <w:rFonts w:hAnsi="宋体"/>
                <w:sz w:val="21"/>
                <w:szCs w:val="21"/>
              </w:rPr>
              <w:t>总可利用量</w:t>
            </w:r>
          </w:p>
        </w:tc>
      </w:tr>
      <w:tr w:rsidR="009C353B" w14:paraId="6C3BDF95" w14:textId="77777777">
        <w:trPr>
          <w:trHeight w:val="401"/>
          <w:jc w:val="center"/>
        </w:trPr>
        <w:tc>
          <w:tcPr>
            <w:tcW w:w="475" w:type="dxa"/>
            <w:vMerge/>
            <w:vAlign w:val="center"/>
          </w:tcPr>
          <w:p w14:paraId="387EE486" w14:textId="77777777" w:rsidR="009C353B" w:rsidRDefault="009C353B">
            <w:pPr>
              <w:pStyle w:val="2fe"/>
              <w:snapToGrid w:val="0"/>
              <w:spacing w:line="240" w:lineRule="auto"/>
              <w:ind w:firstLine="0"/>
              <w:jc w:val="center"/>
              <w:rPr>
                <w:sz w:val="21"/>
                <w:szCs w:val="21"/>
              </w:rPr>
            </w:pPr>
          </w:p>
        </w:tc>
        <w:tc>
          <w:tcPr>
            <w:tcW w:w="1842" w:type="dxa"/>
            <w:vMerge/>
            <w:vAlign w:val="center"/>
          </w:tcPr>
          <w:p w14:paraId="7711AE0F" w14:textId="77777777" w:rsidR="009C353B" w:rsidRDefault="009C353B">
            <w:pPr>
              <w:pStyle w:val="2fe"/>
              <w:snapToGrid w:val="0"/>
              <w:spacing w:line="240" w:lineRule="auto"/>
              <w:ind w:firstLine="0"/>
              <w:jc w:val="center"/>
              <w:rPr>
                <w:sz w:val="21"/>
                <w:szCs w:val="21"/>
              </w:rPr>
            </w:pPr>
          </w:p>
        </w:tc>
        <w:tc>
          <w:tcPr>
            <w:tcW w:w="941" w:type="dxa"/>
            <w:vMerge/>
            <w:vAlign w:val="center"/>
          </w:tcPr>
          <w:p w14:paraId="7C4F7D4A" w14:textId="77777777" w:rsidR="009C353B" w:rsidRDefault="009C353B">
            <w:pPr>
              <w:pStyle w:val="2fe"/>
              <w:snapToGrid w:val="0"/>
              <w:spacing w:line="240" w:lineRule="auto"/>
              <w:ind w:firstLine="0"/>
              <w:jc w:val="center"/>
              <w:rPr>
                <w:sz w:val="21"/>
                <w:szCs w:val="21"/>
              </w:rPr>
            </w:pPr>
          </w:p>
        </w:tc>
        <w:tc>
          <w:tcPr>
            <w:tcW w:w="1229" w:type="dxa"/>
            <w:vAlign w:val="center"/>
          </w:tcPr>
          <w:p w14:paraId="10868C3A" w14:textId="77777777" w:rsidR="009C353B" w:rsidRDefault="00000000">
            <w:pPr>
              <w:pStyle w:val="2fe"/>
              <w:snapToGrid w:val="0"/>
              <w:spacing w:line="240" w:lineRule="auto"/>
              <w:ind w:firstLine="0"/>
              <w:jc w:val="center"/>
              <w:rPr>
                <w:sz w:val="21"/>
                <w:szCs w:val="21"/>
              </w:rPr>
            </w:pPr>
            <w:r>
              <w:rPr>
                <w:rFonts w:hAnsi="宋体"/>
                <w:sz w:val="21"/>
                <w:szCs w:val="21"/>
              </w:rPr>
              <w:t>产生量</w:t>
            </w:r>
          </w:p>
        </w:tc>
        <w:tc>
          <w:tcPr>
            <w:tcW w:w="1248" w:type="dxa"/>
            <w:vAlign w:val="center"/>
          </w:tcPr>
          <w:p w14:paraId="14BE48CB" w14:textId="77777777" w:rsidR="009C353B" w:rsidRDefault="00000000">
            <w:pPr>
              <w:pStyle w:val="2fe"/>
              <w:snapToGrid w:val="0"/>
              <w:spacing w:line="240" w:lineRule="auto"/>
              <w:ind w:firstLine="0"/>
              <w:rPr>
                <w:sz w:val="21"/>
                <w:szCs w:val="21"/>
              </w:rPr>
            </w:pPr>
            <w:r>
              <w:rPr>
                <w:rFonts w:hAnsi="宋体"/>
                <w:sz w:val="21"/>
                <w:szCs w:val="21"/>
              </w:rPr>
              <w:t>可利用量</w:t>
            </w:r>
          </w:p>
        </w:tc>
        <w:tc>
          <w:tcPr>
            <w:tcW w:w="936" w:type="dxa"/>
            <w:vAlign w:val="center"/>
          </w:tcPr>
          <w:p w14:paraId="62FB3E4E" w14:textId="77777777" w:rsidR="009C353B" w:rsidRDefault="00000000">
            <w:pPr>
              <w:pStyle w:val="2fe"/>
              <w:snapToGrid w:val="0"/>
              <w:spacing w:line="240" w:lineRule="auto"/>
              <w:ind w:firstLine="0"/>
              <w:jc w:val="center"/>
              <w:rPr>
                <w:sz w:val="21"/>
                <w:szCs w:val="21"/>
              </w:rPr>
            </w:pPr>
            <w:r>
              <w:rPr>
                <w:rFonts w:hAnsi="宋体" w:hint="eastAsia"/>
                <w:sz w:val="21"/>
                <w:szCs w:val="21"/>
              </w:rPr>
              <w:t>产生</w:t>
            </w:r>
            <w:r>
              <w:rPr>
                <w:rFonts w:hAnsi="宋体"/>
                <w:sz w:val="21"/>
                <w:szCs w:val="21"/>
              </w:rPr>
              <w:t>量</w:t>
            </w:r>
          </w:p>
        </w:tc>
        <w:tc>
          <w:tcPr>
            <w:tcW w:w="1175" w:type="dxa"/>
            <w:vAlign w:val="center"/>
          </w:tcPr>
          <w:p w14:paraId="5B9216C4" w14:textId="77777777" w:rsidR="009C353B" w:rsidRDefault="00000000">
            <w:pPr>
              <w:pStyle w:val="2fe"/>
              <w:snapToGrid w:val="0"/>
              <w:spacing w:line="240" w:lineRule="auto"/>
              <w:ind w:firstLine="0"/>
              <w:rPr>
                <w:sz w:val="21"/>
                <w:szCs w:val="21"/>
              </w:rPr>
            </w:pPr>
            <w:r>
              <w:rPr>
                <w:rFonts w:hAnsi="宋体"/>
                <w:sz w:val="21"/>
                <w:szCs w:val="21"/>
              </w:rPr>
              <w:t>可利用量</w:t>
            </w:r>
          </w:p>
        </w:tc>
        <w:tc>
          <w:tcPr>
            <w:tcW w:w="1323" w:type="dxa"/>
            <w:vMerge/>
            <w:vAlign w:val="center"/>
          </w:tcPr>
          <w:p w14:paraId="0E8054A4" w14:textId="77777777" w:rsidR="009C353B" w:rsidRDefault="009C353B">
            <w:pPr>
              <w:pStyle w:val="2fe"/>
              <w:snapToGrid w:val="0"/>
              <w:spacing w:line="240" w:lineRule="auto"/>
              <w:ind w:firstLine="0"/>
              <w:jc w:val="center"/>
              <w:rPr>
                <w:sz w:val="21"/>
                <w:szCs w:val="21"/>
              </w:rPr>
            </w:pPr>
          </w:p>
        </w:tc>
      </w:tr>
      <w:tr w:rsidR="009C353B" w14:paraId="0A2D2144" w14:textId="77777777">
        <w:trPr>
          <w:trHeight w:val="481"/>
          <w:jc w:val="center"/>
        </w:trPr>
        <w:tc>
          <w:tcPr>
            <w:tcW w:w="475" w:type="dxa"/>
            <w:vAlign w:val="center"/>
          </w:tcPr>
          <w:p w14:paraId="4FFD4652" w14:textId="77777777" w:rsidR="009C353B" w:rsidRDefault="00000000">
            <w:pPr>
              <w:pStyle w:val="2fe"/>
              <w:snapToGrid w:val="0"/>
              <w:spacing w:line="240" w:lineRule="auto"/>
              <w:ind w:firstLine="0"/>
              <w:jc w:val="center"/>
              <w:rPr>
                <w:sz w:val="21"/>
                <w:szCs w:val="21"/>
              </w:rPr>
            </w:pPr>
            <w:r>
              <w:rPr>
                <w:sz w:val="21"/>
                <w:szCs w:val="21"/>
              </w:rPr>
              <w:t>1</w:t>
            </w:r>
          </w:p>
        </w:tc>
        <w:tc>
          <w:tcPr>
            <w:tcW w:w="1842" w:type="dxa"/>
            <w:vAlign w:val="center"/>
          </w:tcPr>
          <w:p w14:paraId="427FA6E8" w14:textId="77777777" w:rsidR="009C353B" w:rsidRDefault="00000000">
            <w:pPr>
              <w:pStyle w:val="2fe"/>
              <w:snapToGrid w:val="0"/>
              <w:spacing w:line="240" w:lineRule="auto"/>
              <w:ind w:firstLine="0"/>
              <w:jc w:val="center"/>
              <w:rPr>
                <w:sz w:val="21"/>
                <w:szCs w:val="21"/>
              </w:rPr>
            </w:pPr>
            <w:r>
              <w:rPr>
                <w:sz w:val="21"/>
                <w:szCs w:val="21"/>
              </w:rPr>
              <w:t>马莲台矿井</w:t>
            </w:r>
          </w:p>
          <w:p w14:paraId="3632FA6F" w14:textId="77777777" w:rsidR="009C353B" w:rsidRDefault="00000000">
            <w:pPr>
              <w:pStyle w:val="2fe"/>
              <w:snapToGrid w:val="0"/>
              <w:spacing w:line="240" w:lineRule="auto"/>
              <w:ind w:firstLine="0"/>
              <w:jc w:val="center"/>
              <w:rPr>
                <w:sz w:val="21"/>
                <w:szCs w:val="21"/>
              </w:rPr>
            </w:pPr>
            <w:r>
              <w:rPr>
                <w:rFonts w:hint="eastAsia"/>
                <w:sz w:val="21"/>
                <w:szCs w:val="21"/>
              </w:rPr>
              <w:t>及选煤厂</w:t>
            </w:r>
          </w:p>
        </w:tc>
        <w:tc>
          <w:tcPr>
            <w:tcW w:w="941" w:type="dxa"/>
            <w:vAlign w:val="center"/>
          </w:tcPr>
          <w:p w14:paraId="5CBE3A3B" w14:textId="77777777" w:rsidR="009C353B" w:rsidRDefault="00000000">
            <w:pPr>
              <w:pStyle w:val="2fe"/>
              <w:snapToGrid w:val="0"/>
              <w:spacing w:line="240" w:lineRule="auto"/>
              <w:ind w:firstLine="0"/>
              <w:jc w:val="center"/>
              <w:rPr>
                <w:sz w:val="21"/>
                <w:szCs w:val="21"/>
              </w:rPr>
            </w:pPr>
            <w:r>
              <w:rPr>
                <w:rFonts w:hint="eastAsia"/>
                <w:sz w:val="21"/>
                <w:szCs w:val="21"/>
              </w:rPr>
              <w:t>6302</w:t>
            </w:r>
          </w:p>
        </w:tc>
        <w:tc>
          <w:tcPr>
            <w:tcW w:w="1229" w:type="dxa"/>
            <w:vAlign w:val="center"/>
          </w:tcPr>
          <w:p w14:paraId="08CCD556" w14:textId="77777777" w:rsidR="009C353B" w:rsidRDefault="00000000">
            <w:pPr>
              <w:pStyle w:val="2fe"/>
              <w:snapToGrid w:val="0"/>
              <w:spacing w:line="240" w:lineRule="auto"/>
              <w:ind w:firstLine="0"/>
              <w:jc w:val="center"/>
              <w:rPr>
                <w:sz w:val="21"/>
                <w:szCs w:val="21"/>
              </w:rPr>
            </w:pPr>
            <w:r>
              <w:rPr>
                <w:sz w:val="21"/>
                <w:szCs w:val="21"/>
              </w:rPr>
              <w:t>7728</w:t>
            </w:r>
          </w:p>
        </w:tc>
        <w:tc>
          <w:tcPr>
            <w:tcW w:w="1248" w:type="dxa"/>
            <w:vAlign w:val="center"/>
          </w:tcPr>
          <w:p w14:paraId="3520E6EF" w14:textId="77777777" w:rsidR="009C353B" w:rsidRDefault="00000000">
            <w:pPr>
              <w:pStyle w:val="2fe"/>
              <w:snapToGrid w:val="0"/>
              <w:spacing w:line="240" w:lineRule="auto"/>
              <w:ind w:firstLine="0"/>
              <w:jc w:val="center"/>
              <w:rPr>
                <w:sz w:val="21"/>
                <w:szCs w:val="21"/>
              </w:rPr>
            </w:pPr>
            <w:r>
              <w:rPr>
                <w:sz w:val="21"/>
                <w:szCs w:val="21"/>
              </w:rPr>
              <w:t>3864</w:t>
            </w:r>
          </w:p>
        </w:tc>
        <w:tc>
          <w:tcPr>
            <w:tcW w:w="936" w:type="dxa"/>
            <w:vAlign w:val="center"/>
          </w:tcPr>
          <w:p w14:paraId="4A483C7C" w14:textId="77777777" w:rsidR="009C353B" w:rsidRDefault="00000000">
            <w:pPr>
              <w:pStyle w:val="2fe"/>
              <w:snapToGrid w:val="0"/>
              <w:spacing w:line="240" w:lineRule="auto"/>
              <w:ind w:firstLine="0"/>
              <w:jc w:val="center"/>
              <w:rPr>
                <w:sz w:val="21"/>
                <w:szCs w:val="21"/>
              </w:rPr>
            </w:pPr>
            <w:r>
              <w:rPr>
                <w:sz w:val="21"/>
                <w:szCs w:val="21"/>
              </w:rPr>
              <w:t>96.9</w:t>
            </w:r>
          </w:p>
        </w:tc>
        <w:tc>
          <w:tcPr>
            <w:tcW w:w="1175" w:type="dxa"/>
            <w:vAlign w:val="center"/>
          </w:tcPr>
          <w:p w14:paraId="50453CD5" w14:textId="77777777" w:rsidR="009C353B" w:rsidRDefault="00000000">
            <w:pPr>
              <w:pStyle w:val="2fe"/>
              <w:snapToGrid w:val="0"/>
              <w:spacing w:line="240" w:lineRule="auto"/>
              <w:ind w:firstLine="0"/>
              <w:jc w:val="center"/>
              <w:rPr>
                <w:sz w:val="21"/>
                <w:szCs w:val="21"/>
              </w:rPr>
            </w:pPr>
            <w:r>
              <w:rPr>
                <w:sz w:val="21"/>
                <w:szCs w:val="21"/>
              </w:rPr>
              <w:t>77.28</w:t>
            </w:r>
          </w:p>
        </w:tc>
        <w:tc>
          <w:tcPr>
            <w:tcW w:w="1323" w:type="dxa"/>
            <w:vAlign w:val="center"/>
          </w:tcPr>
          <w:p w14:paraId="0B3BA4C7" w14:textId="77777777" w:rsidR="009C353B" w:rsidRDefault="00000000">
            <w:pPr>
              <w:pStyle w:val="2fe"/>
              <w:snapToGrid w:val="0"/>
              <w:spacing w:line="240" w:lineRule="auto"/>
              <w:ind w:firstLine="0"/>
              <w:jc w:val="center"/>
              <w:rPr>
                <w:sz w:val="21"/>
                <w:szCs w:val="21"/>
              </w:rPr>
            </w:pPr>
            <w:r>
              <w:rPr>
                <w:rFonts w:hint="eastAsia"/>
                <w:sz w:val="21"/>
                <w:szCs w:val="21"/>
              </w:rPr>
              <w:t>3941.</w:t>
            </w:r>
            <w:r>
              <w:rPr>
                <w:sz w:val="21"/>
                <w:szCs w:val="21"/>
              </w:rPr>
              <w:t>28</w:t>
            </w:r>
          </w:p>
        </w:tc>
      </w:tr>
      <w:tr w:rsidR="009C353B" w14:paraId="182FBDE9" w14:textId="77777777">
        <w:trPr>
          <w:trHeight w:val="481"/>
          <w:jc w:val="center"/>
        </w:trPr>
        <w:tc>
          <w:tcPr>
            <w:tcW w:w="475" w:type="dxa"/>
            <w:vAlign w:val="center"/>
          </w:tcPr>
          <w:p w14:paraId="0061DF4F" w14:textId="77777777" w:rsidR="009C353B" w:rsidRDefault="00000000">
            <w:pPr>
              <w:pStyle w:val="2fe"/>
              <w:snapToGrid w:val="0"/>
              <w:spacing w:line="240" w:lineRule="auto"/>
              <w:ind w:firstLine="0"/>
              <w:jc w:val="center"/>
              <w:rPr>
                <w:sz w:val="21"/>
                <w:szCs w:val="21"/>
              </w:rPr>
            </w:pPr>
            <w:r>
              <w:rPr>
                <w:sz w:val="21"/>
                <w:szCs w:val="21"/>
              </w:rPr>
              <w:t>2</w:t>
            </w:r>
          </w:p>
        </w:tc>
        <w:tc>
          <w:tcPr>
            <w:tcW w:w="1842" w:type="dxa"/>
            <w:vAlign w:val="center"/>
          </w:tcPr>
          <w:p w14:paraId="45C0969E" w14:textId="77777777" w:rsidR="009C353B" w:rsidRDefault="00000000">
            <w:pPr>
              <w:pStyle w:val="2fe"/>
              <w:snapToGrid w:val="0"/>
              <w:spacing w:line="240" w:lineRule="auto"/>
              <w:ind w:firstLine="0"/>
              <w:jc w:val="center"/>
              <w:rPr>
                <w:sz w:val="21"/>
                <w:szCs w:val="21"/>
              </w:rPr>
            </w:pPr>
            <w:r>
              <w:rPr>
                <w:sz w:val="21"/>
                <w:szCs w:val="21"/>
              </w:rPr>
              <w:t>任家庄矿井</w:t>
            </w:r>
          </w:p>
          <w:p w14:paraId="085EF8BB" w14:textId="77777777" w:rsidR="009C353B" w:rsidRDefault="00000000">
            <w:pPr>
              <w:pStyle w:val="2fe"/>
              <w:snapToGrid w:val="0"/>
              <w:spacing w:line="240" w:lineRule="auto"/>
              <w:ind w:firstLine="0"/>
              <w:jc w:val="center"/>
              <w:rPr>
                <w:sz w:val="21"/>
                <w:szCs w:val="21"/>
              </w:rPr>
            </w:pPr>
            <w:r>
              <w:rPr>
                <w:rFonts w:hint="eastAsia"/>
                <w:sz w:val="21"/>
                <w:szCs w:val="21"/>
              </w:rPr>
              <w:t>及选煤厂</w:t>
            </w:r>
          </w:p>
        </w:tc>
        <w:tc>
          <w:tcPr>
            <w:tcW w:w="941" w:type="dxa"/>
            <w:vAlign w:val="center"/>
          </w:tcPr>
          <w:p w14:paraId="3E78CAD1" w14:textId="77777777" w:rsidR="009C353B" w:rsidRDefault="00000000">
            <w:pPr>
              <w:pStyle w:val="2fe"/>
              <w:snapToGrid w:val="0"/>
              <w:spacing w:line="240" w:lineRule="auto"/>
              <w:ind w:firstLine="0"/>
              <w:jc w:val="center"/>
              <w:rPr>
                <w:sz w:val="21"/>
                <w:szCs w:val="21"/>
              </w:rPr>
            </w:pPr>
            <w:r>
              <w:rPr>
                <w:rFonts w:hint="eastAsia"/>
                <w:sz w:val="21"/>
                <w:szCs w:val="21"/>
              </w:rPr>
              <w:t>4727</w:t>
            </w:r>
          </w:p>
        </w:tc>
        <w:tc>
          <w:tcPr>
            <w:tcW w:w="1229" w:type="dxa"/>
            <w:vAlign w:val="center"/>
          </w:tcPr>
          <w:p w14:paraId="3B098633" w14:textId="77777777" w:rsidR="009C353B" w:rsidRDefault="00000000">
            <w:pPr>
              <w:pStyle w:val="2fe"/>
              <w:snapToGrid w:val="0"/>
              <w:spacing w:line="240" w:lineRule="auto"/>
              <w:ind w:firstLine="0"/>
              <w:jc w:val="center"/>
              <w:rPr>
                <w:sz w:val="21"/>
                <w:szCs w:val="21"/>
              </w:rPr>
            </w:pPr>
            <w:r>
              <w:rPr>
                <w:sz w:val="21"/>
                <w:szCs w:val="21"/>
              </w:rPr>
              <w:t>10704</w:t>
            </w:r>
          </w:p>
        </w:tc>
        <w:tc>
          <w:tcPr>
            <w:tcW w:w="1248" w:type="dxa"/>
            <w:vAlign w:val="center"/>
          </w:tcPr>
          <w:p w14:paraId="776E16EF" w14:textId="77777777" w:rsidR="009C353B" w:rsidRDefault="00000000">
            <w:pPr>
              <w:pStyle w:val="2fe"/>
              <w:snapToGrid w:val="0"/>
              <w:spacing w:line="240" w:lineRule="auto"/>
              <w:ind w:firstLine="0"/>
              <w:jc w:val="center"/>
              <w:rPr>
                <w:sz w:val="21"/>
                <w:szCs w:val="21"/>
              </w:rPr>
            </w:pPr>
            <w:r>
              <w:rPr>
                <w:sz w:val="21"/>
                <w:szCs w:val="21"/>
              </w:rPr>
              <w:t>5352</w:t>
            </w:r>
          </w:p>
        </w:tc>
        <w:tc>
          <w:tcPr>
            <w:tcW w:w="936" w:type="dxa"/>
            <w:vAlign w:val="center"/>
          </w:tcPr>
          <w:p w14:paraId="5572C8CE" w14:textId="77777777" w:rsidR="009C353B" w:rsidRDefault="00000000">
            <w:pPr>
              <w:pStyle w:val="2fe"/>
              <w:snapToGrid w:val="0"/>
              <w:spacing w:line="240" w:lineRule="auto"/>
              <w:ind w:firstLine="0"/>
              <w:jc w:val="center"/>
              <w:rPr>
                <w:sz w:val="21"/>
                <w:szCs w:val="21"/>
              </w:rPr>
            </w:pPr>
            <w:r>
              <w:rPr>
                <w:sz w:val="21"/>
                <w:szCs w:val="21"/>
              </w:rPr>
              <w:t>113.2</w:t>
            </w:r>
          </w:p>
        </w:tc>
        <w:tc>
          <w:tcPr>
            <w:tcW w:w="1175" w:type="dxa"/>
            <w:vAlign w:val="center"/>
          </w:tcPr>
          <w:p w14:paraId="2F8E7BF3" w14:textId="77777777" w:rsidR="009C353B" w:rsidRDefault="00000000">
            <w:pPr>
              <w:pStyle w:val="2fe"/>
              <w:snapToGrid w:val="0"/>
              <w:spacing w:line="240" w:lineRule="auto"/>
              <w:ind w:firstLine="0"/>
              <w:jc w:val="center"/>
              <w:rPr>
                <w:sz w:val="21"/>
                <w:szCs w:val="21"/>
              </w:rPr>
            </w:pPr>
            <w:r>
              <w:rPr>
                <w:sz w:val="21"/>
                <w:szCs w:val="21"/>
              </w:rPr>
              <w:t>90.56</w:t>
            </w:r>
          </w:p>
        </w:tc>
        <w:tc>
          <w:tcPr>
            <w:tcW w:w="1323" w:type="dxa"/>
            <w:vAlign w:val="center"/>
          </w:tcPr>
          <w:p w14:paraId="0835EF73" w14:textId="77777777" w:rsidR="009C353B" w:rsidRDefault="00000000">
            <w:pPr>
              <w:pStyle w:val="2fe"/>
              <w:snapToGrid w:val="0"/>
              <w:spacing w:line="240" w:lineRule="auto"/>
              <w:ind w:firstLine="0"/>
              <w:jc w:val="center"/>
              <w:rPr>
                <w:sz w:val="21"/>
                <w:szCs w:val="21"/>
              </w:rPr>
            </w:pPr>
            <w:r>
              <w:rPr>
                <w:rFonts w:hint="eastAsia"/>
                <w:sz w:val="21"/>
                <w:szCs w:val="21"/>
              </w:rPr>
              <w:t>54</w:t>
            </w:r>
            <w:r>
              <w:rPr>
                <w:sz w:val="21"/>
                <w:szCs w:val="21"/>
              </w:rPr>
              <w:t>42.56</w:t>
            </w:r>
          </w:p>
        </w:tc>
      </w:tr>
      <w:tr w:rsidR="009C353B" w14:paraId="54A32D10" w14:textId="77777777">
        <w:trPr>
          <w:trHeight w:val="481"/>
          <w:jc w:val="center"/>
        </w:trPr>
        <w:tc>
          <w:tcPr>
            <w:tcW w:w="475" w:type="dxa"/>
            <w:vAlign w:val="center"/>
          </w:tcPr>
          <w:p w14:paraId="7A9550C8" w14:textId="77777777" w:rsidR="009C353B" w:rsidRDefault="00000000">
            <w:pPr>
              <w:pStyle w:val="2fe"/>
              <w:snapToGrid w:val="0"/>
              <w:spacing w:line="240" w:lineRule="auto"/>
              <w:ind w:firstLine="0"/>
              <w:jc w:val="center"/>
              <w:rPr>
                <w:sz w:val="21"/>
                <w:szCs w:val="21"/>
              </w:rPr>
            </w:pPr>
            <w:r>
              <w:rPr>
                <w:sz w:val="21"/>
                <w:szCs w:val="21"/>
              </w:rPr>
              <w:t>3</w:t>
            </w:r>
          </w:p>
        </w:tc>
        <w:tc>
          <w:tcPr>
            <w:tcW w:w="1842" w:type="dxa"/>
            <w:vAlign w:val="center"/>
          </w:tcPr>
          <w:p w14:paraId="4D491140" w14:textId="77777777" w:rsidR="009C353B" w:rsidRDefault="00000000">
            <w:pPr>
              <w:pStyle w:val="2fe"/>
              <w:snapToGrid w:val="0"/>
              <w:spacing w:line="240" w:lineRule="auto"/>
              <w:ind w:firstLine="0"/>
              <w:jc w:val="center"/>
              <w:rPr>
                <w:sz w:val="21"/>
                <w:szCs w:val="21"/>
              </w:rPr>
            </w:pPr>
            <w:r>
              <w:rPr>
                <w:sz w:val="21"/>
                <w:szCs w:val="21"/>
              </w:rPr>
              <w:t>红石湾矿井</w:t>
            </w:r>
          </w:p>
          <w:p w14:paraId="0727A330" w14:textId="77777777" w:rsidR="009C353B" w:rsidRDefault="00000000">
            <w:pPr>
              <w:pStyle w:val="2fe"/>
              <w:snapToGrid w:val="0"/>
              <w:spacing w:line="240" w:lineRule="auto"/>
              <w:ind w:firstLine="0"/>
              <w:jc w:val="center"/>
              <w:rPr>
                <w:sz w:val="21"/>
                <w:szCs w:val="21"/>
              </w:rPr>
            </w:pPr>
            <w:r>
              <w:rPr>
                <w:rFonts w:hint="eastAsia"/>
                <w:sz w:val="21"/>
                <w:szCs w:val="21"/>
              </w:rPr>
              <w:t>及选煤厂</w:t>
            </w:r>
          </w:p>
        </w:tc>
        <w:tc>
          <w:tcPr>
            <w:tcW w:w="941" w:type="dxa"/>
            <w:vAlign w:val="center"/>
          </w:tcPr>
          <w:p w14:paraId="16AC213C" w14:textId="77777777" w:rsidR="009C353B" w:rsidRDefault="00000000">
            <w:pPr>
              <w:pStyle w:val="2fe"/>
              <w:snapToGrid w:val="0"/>
              <w:spacing w:line="240" w:lineRule="auto"/>
              <w:ind w:firstLine="0"/>
              <w:jc w:val="center"/>
              <w:rPr>
                <w:sz w:val="21"/>
                <w:szCs w:val="21"/>
              </w:rPr>
            </w:pPr>
            <w:r>
              <w:rPr>
                <w:sz w:val="21"/>
                <w:szCs w:val="21"/>
              </w:rPr>
              <w:t>13</w:t>
            </w:r>
            <w:r>
              <w:rPr>
                <w:rFonts w:hint="eastAsia"/>
                <w:sz w:val="21"/>
                <w:szCs w:val="21"/>
              </w:rPr>
              <w:t>64</w:t>
            </w:r>
          </w:p>
        </w:tc>
        <w:tc>
          <w:tcPr>
            <w:tcW w:w="1229" w:type="dxa"/>
            <w:vAlign w:val="center"/>
          </w:tcPr>
          <w:p w14:paraId="6483C87F" w14:textId="77777777" w:rsidR="009C353B" w:rsidRDefault="00000000">
            <w:pPr>
              <w:pStyle w:val="2fe"/>
              <w:snapToGrid w:val="0"/>
              <w:spacing w:line="240" w:lineRule="auto"/>
              <w:ind w:firstLine="0"/>
              <w:jc w:val="center"/>
              <w:rPr>
                <w:sz w:val="21"/>
                <w:szCs w:val="21"/>
              </w:rPr>
            </w:pPr>
            <w:r>
              <w:rPr>
                <w:sz w:val="21"/>
                <w:szCs w:val="21"/>
              </w:rPr>
              <w:t>6120</w:t>
            </w:r>
          </w:p>
        </w:tc>
        <w:tc>
          <w:tcPr>
            <w:tcW w:w="1248" w:type="dxa"/>
            <w:vAlign w:val="center"/>
          </w:tcPr>
          <w:p w14:paraId="2EAF97D7" w14:textId="77777777" w:rsidR="009C353B" w:rsidRDefault="00000000">
            <w:pPr>
              <w:pStyle w:val="2fe"/>
              <w:snapToGrid w:val="0"/>
              <w:spacing w:line="240" w:lineRule="auto"/>
              <w:ind w:firstLine="0"/>
              <w:jc w:val="center"/>
              <w:rPr>
                <w:sz w:val="21"/>
                <w:szCs w:val="21"/>
              </w:rPr>
            </w:pPr>
            <w:r>
              <w:rPr>
                <w:sz w:val="21"/>
                <w:szCs w:val="21"/>
              </w:rPr>
              <w:t>3060</w:t>
            </w:r>
          </w:p>
        </w:tc>
        <w:tc>
          <w:tcPr>
            <w:tcW w:w="936" w:type="dxa"/>
            <w:vAlign w:val="center"/>
          </w:tcPr>
          <w:p w14:paraId="2160D592" w14:textId="77777777" w:rsidR="009C353B" w:rsidRDefault="00000000">
            <w:pPr>
              <w:pStyle w:val="2fe"/>
              <w:snapToGrid w:val="0"/>
              <w:spacing w:line="240" w:lineRule="auto"/>
              <w:ind w:firstLine="0"/>
              <w:jc w:val="center"/>
              <w:rPr>
                <w:sz w:val="21"/>
                <w:szCs w:val="21"/>
              </w:rPr>
            </w:pPr>
            <w:r>
              <w:rPr>
                <w:sz w:val="21"/>
                <w:szCs w:val="21"/>
              </w:rPr>
              <w:t>75.2</w:t>
            </w:r>
          </w:p>
        </w:tc>
        <w:tc>
          <w:tcPr>
            <w:tcW w:w="1175" w:type="dxa"/>
            <w:vAlign w:val="center"/>
          </w:tcPr>
          <w:p w14:paraId="1AEDF9F0" w14:textId="77777777" w:rsidR="009C353B" w:rsidRDefault="00000000">
            <w:pPr>
              <w:pStyle w:val="2fe"/>
              <w:snapToGrid w:val="0"/>
              <w:spacing w:line="240" w:lineRule="auto"/>
              <w:ind w:firstLine="0"/>
              <w:jc w:val="center"/>
              <w:rPr>
                <w:sz w:val="21"/>
                <w:szCs w:val="21"/>
              </w:rPr>
            </w:pPr>
            <w:r>
              <w:rPr>
                <w:sz w:val="21"/>
                <w:szCs w:val="21"/>
              </w:rPr>
              <w:t>60.16</w:t>
            </w:r>
          </w:p>
        </w:tc>
        <w:tc>
          <w:tcPr>
            <w:tcW w:w="1323" w:type="dxa"/>
            <w:vAlign w:val="center"/>
          </w:tcPr>
          <w:p w14:paraId="369A32FF" w14:textId="77777777" w:rsidR="009C353B" w:rsidRDefault="00000000">
            <w:pPr>
              <w:pStyle w:val="2fe"/>
              <w:snapToGrid w:val="0"/>
              <w:spacing w:line="240" w:lineRule="auto"/>
              <w:ind w:firstLine="0"/>
              <w:jc w:val="center"/>
              <w:rPr>
                <w:sz w:val="21"/>
                <w:szCs w:val="21"/>
              </w:rPr>
            </w:pPr>
            <w:r>
              <w:rPr>
                <w:sz w:val="21"/>
                <w:szCs w:val="21"/>
              </w:rPr>
              <w:t>3120.16</w:t>
            </w:r>
          </w:p>
        </w:tc>
      </w:tr>
      <w:tr w:rsidR="009C353B" w14:paraId="62985925" w14:textId="77777777">
        <w:trPr>
          <w:trHeight w:val="362"/>
          <w:jc w:val="center"/>
        </w:trPr>
        <w:tc>
          <w:tcPr>
            <w:tcW w:w="475" w:type="dxa"/>
            <w:vAlign w:val="center"/>
          </w:tcPr>
          <w:p w14:paraId="1304A325" w14:textId="77777777" w:rsidR="009C353B" w:rsidRDefault="00000000">
            <w:pPr>
              <w:pStyle w:val="2fe"/>
              <w:snapToGrid w:val="0"/>
              <w:spacing w:line="240" w:lineRule="auto"/>
              <w:ind w:firstLine="0"/>
              <w:jc w:val="center"/>
              <w:rPr>
                <w:sz w:val="21"/>
                <w:szCs w:val="21"/>
              </w:rPr>
            </w:pPr>
            <w:r>
              <w:rPr>
                <w:sz w:val="21"/>
                <w:szCs w:val="21"/>
              </w:rPr>
              <w:t>4</w:t>
            </w:r>
          </w:p>
        </w:tc>
        <w:tc>
          <w:tcPr>
            <w:tcW w:w="1842" w:type="dxa"/>
            <w:vAlign w:val="center"/>
          </w:tcPr>
          <w:p w14:paraId="33F37E3C" w14:textId="77777777" w:rsidR="009C353B" w:rsidRDefault="00000000">
            <w:pPr>
              <w:pStyle w:val="2fe"/>
              <w:snapToGrid w:val="0"/>
              <w:spacing w:line="240" w:lineRule="auto"/>
              <w:ind w:firstLine="0"/>
              <w:jc w:val="center"/>
              <w:rPr>
                <w:w w:val="80"/>
                <w:sz w:val="21"/>
                <w:szCs w:val="21"/>
              </w:rPr>
            </w:pPr>
            <w:r>
              <w:rPr>
                <w:rFonts w:hint="eastAsia"/>
                <w:sz w:val="21"/>
                <w:szCs w:val="21"/>
              </w:rPr>
              <w:t>丁家梁</w:t>
            </w:r>
            <w:r>
              <w:rPr>
                <w:sz w:val="21"/>
                <w:szCs w:val="21"/>
              </w:rPr>
              <w:t>矿井</w:t>
            </w:r>
          </w:p>
        </w:tc>
        <w:tc>
          <w:tcPr>
            <w:tcW w:w="941" w:type="dxa"/>
            <w:vAlign w:val="center"/>
          </w:tcPr>
          <w:p w14:paraId="1F3E9BB1" w14:textId="77777777" w:rsidR="009C353B" w:rsidRDefault="00000000">
            <w:pPr>
              <w:pStyle w:val="2fe"/>
              <w:snapToGrid w:val="0"/>
              <w:spacing w:line="240" w:lineRule="auto"/>
              <w:ind w:firstLine="0"/>
              <w:jc w:val="center"/>
              <w:rPr>
                <w:sz w:val="21"/>
                <w:szCs w:val="21"/>
              </w:rPr>
            </w:pPr>
            <w:r>
              <w:rPr>
                <w:rFonts w:hint="eastAsia"/>
                <w:sz w:val="21"/>
                <w:szCs w:val="21"/>
              </w:rPr>
              <w:t>818</w:t>
            </w:r>
          </w:p>
        </w:tc>
        <w:tc>
          <w:tcPr>
            <w:tcW w:w="1229" w:type="dxa"/>
            <w:vAlign w:val="center"/>
          </w:tcPr>
          <w:p w14:paraId="3FE78B40" w14:textId="77777777" w:rsidR="009C353B" w:rsidRDefault="00000000">
            <w:pPr>
              <w:pStyle w:val="2fe"/>
              <w:snapToGrid w:val="0"/>
              <w:spacing w:line="240" w:lineRule="auto"/>
              <w:ind w:firstLine="0"/>
              <w:jc w:val="center"/>
              <w:rPr>
                <w:sz w:val="21"/>
                <w:szCs w:val="21"/>
              </w:rPr>
            </w:pPr>
            <w:r>
              <w:rPr>
                <w:sz w:val="21"/>
                <w:szCs w:val="21"/>
              </w:rPr>
              <w:t>6504</w:t>
            </w:r>
          </w:p>
        </w:tc>
        <w:tc>
          <w:tcPr>
            <w:tcW w:w="1248" w:type="dxa"/>
            <w:vAlign w:val="center"/>
          </w:tcPr>
          <w:p w14:paraId="30D5E7B3" w14:textId="77777777" w:rsidR="009C353B" w:rsidRDefault="00000000">
            <w:pPr>
              <w:pStyle w:val="2fe"/>
              <w:snapToGrid w:val="0"/>
              <w:spacing w:line="240" w:lineRule="auto"/>
              <w:ind w:firstLine="0"/>
              <w:jc w:val="center"/>
              <w:rPr>
                <w:sz w:val="21"/>
                <w:szCs w:val="21"/>
              </w:rPr>
            </w:pPr>
            <w:r>
              <w:rPr>
                <w:sz w:val="21"/>
                <w:szCs w:val="21"/>
              </w:rPr>
              <w:t>3252</w:t>
            </w:r>
          </w:p>
        </w:tc>
        <w:tc>
          <w:tcPr>
            <w:tcW w:w="936" w:type="dxa"/>
            <w:vAlign w:val="center"/>
          </w:tcPr>
          <w:p w14:paraId="19268284" w14:textId="77777777" w:rsidR="009C353B" w:rsidRDefault="00000000">
            <w:pPr>
              <w:pStyle w:val="2fe"/>
              <w:snapToGrid w:val="0"/>
              <w:spacing w:line="240" w:lineRule="auto"/>
              <w:ind w:firstLine="0"/>
              <w:jc w:val="center"/>
              <w:rPr>
                <w:sz w:val="21"/>
                <w:szCs w:val="21"/>
              </w:rPr>
            </w:pPr>
            <w:r>
              <w:rPr>
                <w:sz w:val="21"/>
                <w:szCs w:val="21"/>
              </w:rPr>
              <w:t>45.6</w:t>
            </w:r>
          </w:p>
        </w:tc>
        <w:tc>
          <w:tcPr>
            <w:tcW w:w="1175" w:type="dxa"/>
            <w:vAlign w:val="center"/>
          </w:tcPr>
          <w:p w14:paraId="7569B62D" w14:textId="77777777" w:rsidR="009C353B" w:rsidRDefault="00000000">
            <w:pPr>
              <w:pStyle w:val="2fe"/>
              <w:snapToGrid w:val="0"/>
              <w:spacing w:line="240" w:lineRule="auto"/>
              <w:ind w:firstLine="0"/>
              <w:jc w:val="center"/>
              <w:rPr>
                <w:sz w:val="21"/>
                <w:szCs w:val="21"/>
              </w:rPr>
            </w:pPr>
            <w:r>
              <w:rPr>
                <w:sz w:val="21"/>
                <w:szCs w:val="21"/>
              </w:rPr>
              <w:t>36.48</w:t>
            </w:r>
          </w:p>
        </w:tc>
        <w:tc>
          <w:tcPr>
            <w:tcW w:w="1323" w:type="dxa"/>
            <w:vAlign w:val="center"/>
          </w:tcPr>
          <w:p w14:paraId="737ECD56" w14:textId="77777777" w:rsidR="009C353B" w:rsidRDefault="00000000">
            <w:pPr>
              <w:pStyle w:val="2fe"/>
              <w:snapToGrid w:val="0"/>
              <w:spacing w:line="240" w:lineRule="auto"/>
              <w:ind w:firstLine="0"/>
              <w:jc w:val="center"/>
              <w:rPr>
                <w:sz w:val="21"/>
                <w:szCs w:val="21"/>
              </w:rPr>
            </w:pPr>
            <w:r>
              <w:rPr>
                <w:sz w:val="21"/>
                <w:szCs w:val="21"/>
              </w:rPr>
              <w:t>3288.48</w:t>
            </w:r>
          </w:p>
        </w:tc>
      </w:tr>
      <w:tr w:rsidR="009C353B" w14:paraId="30C92C21" w14:textId="77777777">
        <w:trPr>
          <w:trHeight w:val="481"/>
          <w:jc w:val="center"/>
        </w:trPr>
        <w:tc>
          <w:tcPr>
            <w:tcW w:w="475" w:type="dxa"/>
            <w:vAlign w:val="center"/>
          </w:tcPr>
          <w:p w14:paraId="09A0D8DB" w14:textId="77777777" w:rsidR="009C353B" w:rsidRDefault="009C353B">
            <w:pPr>
              <w:pStyle w:val="2fe"/>
              <w:snapToGrid w:val="0"/>
              <w:spacing w:line="240" w:lineRule="auto"/>
              <w:ind w:firstLine="0"/>
              <w:jc w:val="center"/>
              <w:rPr>
                <w:sz w:val="21"/>
                <w:szCs w:val="21"/>
              </w:rPr>
            </w:pPr>
          </w:p>
        </w:tc>
        <w:tc>
          <w:tcPr>
            <w:tcW w:w="1842" w:type="dxa"/>
            <w:vAlign w:val="center"/>
          </w:tcPr>
          <w:p w14:paraId="7AABF90F" w14:textId="77777777" w:rsidR="009C353B" w:rsidRDefault="00000000">
            <w:pPr>
              <w:pStyle w:val="2fe"/>
              <w:snapToGrid w:val="0"/>
              <w:spacing w:line="240" w:lineRule="auto"/>
              <w:ind w:firstLine="0"/>
              <w:jc w:val="center"/>
              <w:rPr>
                <w:kern w:val="0"/>
                <w:sz w:val="21"/>
                <w:szCs w:val="21"/>
              </w:rPr>
            </w:pPr>
            <w:r>
              <w:rPr>
                <w:rFonts w:hAnsi="宋体"/>
                <w:kern w:val="0"/>
                <w:sz w:val="21"/>
                <w:szCs w:val="21"/>
              </w:rPr>
              <w:t>合计</w:t>
            </w:r>
          </w:p>
        </w:tc>
        <w:tc>
          <w:tcPr>
            <w:tcW w:w="941" w:type="dxa"/>
            <w:vAlign w:val="center"/>
          </w:tcPr>
          <w:p w14:paraId="327EBACC" w14:textId="77777777" w:rsidR="009C353B" w:rsidRDefault="00000000">
            <w:pPr>
              <w:pStyle w:val="2fe"/>
              <w:snapToGrid w:val="0"/>
              <w:spacing w:line="240" w:lineRule="auto"/>
              <w:ind w:firstLine="0"/>
              <w:jc w:val="center"/>
              <w:rPr>
                <w:sz w:val="21"/>
                <w:szCs w:val="21"/>
              </w:rPr>
            </w:pPr>
            <w:r>
              <w:rPr>
                <w:rFonts w:hint="eastAsia"/>
                <w:sz w:val="21"/>
                <w:szCs w:val="21"/>
              </w:rPr>
              <w:t>13211</w:t>
            </w:r>
          </w:p>
        </w:tc>
        <w:tc>
          <w:tcPr>
            <w:tcW w:w="1229" w:type="dxa"/>
            <w:vAlign w:val="center"/>
          </w:tcPr>
          <w:p w14:paraId="42D0F1CF" w14:textId="77777777" w:rsidR="009C353B" w:rsidRDefault="00000000">
            <w:pPr>
              <w:pStyle w:val="2fe"/>
              <w:snapToGrid w:val="0"/>
              <w:spacing w:line="240" w:lineRule="auto"/>
              <w:ind w:firstLine="0"/>
              <w:jc w:val="center"/>
              <w:rPr>
                <w:sz w:val="21"/>
                <w:szCs w:val="21"/>
              </w:rPr>
            </w:pPr>
            <w:r>
              <w:rPr>
                <w:sz w:val="21"/>
                <w:szCs w:val="21"/>
              </w:rPr>
              <w:t>31056</w:t>
            </w:r>
          </w:p>
        </w:tc>
        <w:tc>
          <w:tcPr>
            <w:tcW w:w="1248" w:type="dxa"/>
            <w:vAlign w:val="center"/>
          </w:tcPr>
          <w:p w14:paraId="64D979E6" w14:textId="77777777" w:rsidR="009C353B" w:rsidRDefault="00000000">
            <w:pPr>
              <w:pStyle w:val="2fe"/>
              <w:snapToGrid w:val="0"/>
              <w:spacing w:line="240" w:lineRule="auto"/>
              <w:ind w:firstLine="0"/>
              <w:jc w:val="center"/>
              <w:rPr>
                <w:sz w:val="21"/>
                <w:szCs w:val="21"/>
              </w:rPr>
            </w:pPr>
            <w:r>
              <w:rPr>
                <w:sz w:val="21"/>
                <w:szCs w:val="21"/>
              </w:rPr>
              <w:t>15528</w:t>
            </w:r>
          </w:p>
        </w:tc>
        <w:tc>
          <w:tcPr>
            <w:tcW w:w="936" w:type="dxa"/>
            <w:vAlign w:val="center"/>
          </w:tcPr>
          <w:p w14:paraId="06265562" w14:textId="77777777" w:rsidR="009C353B" w:rsidRDefault="00000000">
            <w:pPr>
              <w:pStyle w:val="2fe"/>
              <w:snapToGrid w:val="0"/>
              <w:spacing w:line="240" w:lineRule="auto"/>
              <w:ind w:firstLine="0"/>
              <w:jc w:val="center"/>
              <w:rPr>
                <w:sz w:val="21"/>
                <w:szCs w:val="21"/>
              </w:rPr>
            </w:pPr>
            <w:r>
              <w:rPr>
                <w:rFonts w:hAnsi="宋体"/>
                <w:sz w:val="21"/>
                <w:szCs w:val="21"/>
              </w:rPr>
              <w:t>376.2</w:t>
            </w:r>
          </w:p>
        </w:tc>
        <w:tc>
          <w:tcPr>
            <w:tcW w:w="1175" w:type="dxa"/>
            <w:vAlign w:val="center"/>
          </w:tcPr>
          <w:p w14:paraId="07A64880" w14:textId="77777777" w:rsidR="009C353B" w:rsidRDefault="00000000">
            <w:pPr>
              <w:pStyle w:val="2fe"/>
              <w:snapToGrid w:val="0"/>
              <w:spacing w:line="240" w:lineRule="auto"/>
              <w:ind w:firstLine="0"/>
              <w:jc w:val="center"/>
              <w:rPr>
                <w:sz w:val="21"/>
                <w:szCs w:val="21"/>
              </w:rPr>
            </w:pPr>
            <w:r>
              <w:rPr>
                <w:sz w:val="21"/>
                <w:szCs w:val="21"/>
              </w:rPr>
              <w:t>300.96</w:t>
            </w:r>
          </w:p>
        </w:tc>
        <w:tc>
          <w:tcPr>
            <w:tcW w:w="1323" w:type="dxa"/>
            <w:vAlign w:val="center"/>
          </w:tcPr>
          <w:p w14:paraId="11381D4F" w14:textId="77777777" w:rsidR="009C353B" w:rsidRDefault="00000000">
            <w:pPr>
              <w:pStyle w:val="2fe"/>
              <w:snapToGrid w:val="0"/>
              <w:spacing w:line="240" w:lineRule="auto"/>
              <w:ind w:firstLine="0"/>
              <w:jc w:val="center"/>
              <w:rPr>
                <w:sz w:val="21"/>
                <w:szCs w:val="21"/>
              </w:rPr>
            </w:pPr>
            <w:r>
              <w:rPr>
                <w:sz w:val="21"/>
                <w:szCs w:val="21"/>
              </w:rPr>
              <w:t>15828.96</w:t>
            </w:r>
          </w:p>
        </w:tc>
      </w:tr>
    </w:tbl>
    <w:bookmarkEnd w:id="77"/>
    <w:p w14:paraId="30AEABF5" w14:textId="77777777" w:rsidR="009C353B" w:rsidRDefault="00000000">
      <w:pPr>
        <w:adjustRightInd w:val="0"/>
        <w:snapToGrid w:val="0"/>
        <w:rPr>
          <w:rFonts w:ascii="Times New Roman" w:hAnsi="Times New Roman"/>
          <w:sz w:val="21"/>
          <w:szCs w:val="21"/>
        </w:rPr>
      </w:pPr>
      <w:r>
        <w:rPr>
          <w:rFonts w:ascii="Times New Roman" w:hAnsi="Times New Roman"/>
          <w:sz w:val="21"/>
          <w:szCs w:val="21"/>
        </w:rPr>
        <w:t>注：井下排水做为水源，其供水能力按</w:t>
      </w:r>
      <w:r>
        <w:rPr>
          <w:rFonts w:ascii="Times New Roman" w:hAnsi="Times New Roman"/>
          <w:sz w:val="21"/>
          <w:szCs w:val="21"/>
        </w:rPr>
        <w:t>0.5</w:t>
      </w:r>
      <w:r>
        <w:rPr>
          <w:rFonts w:ascii="Times New Roman" w:hAnsi="Times New Roman"/>
          <w:sz w:val="21"/>
          <w:szCs w:val="21"/>
        </w:rPr>
        <w:t>折算；生活污水做为水源，其供水能力按</w:t>
      </w:r>
      <w:r>
        <w:rPr>
          <w:rFonts w:ascii="Times New Roman" w:hAnsi="Times New Roman"/>
          <w:sz w:val="21"/>
          <w:szCs w:val="21"/>
        </w:rPr>
        <w:t>0.8</w:t>
      </w:r>
      <w:r>
        <w:rPr>
          <w:rFonts w:ascii="Times New Roman" w:hAnsi="Times New Roman"/>
          <w:sz w:val="21"/>
          <w:szCs w:val="21"/>
        </w:rPr>
        <w:t>折算。</w:t>
      </w:r>
    </w:p>
    <w:p w14:paraId="380791CC"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2.</w:t>
      </w:r>
      <w:r>
        <w:rPr>
          <w:rFonts w:ascii="Times New Roman" w:eastAsia="宋体" w:hAnsi="Times New Roman"/>
          <w:sz w:val="24"/>
        </w:rPr>
        <w:t>3</w:t>
      </w:r>
      <w:r>
        <w:rPr>
          <w:rFonts w:ascii="Times New Roman" w:eastAsia="宋体" w:hAnsi="Times New Roman" w:hint="eastAsia"/>
          <w:sz w:val="24"/>
        </w:rPr>
        <w:t>.</w:t>
      </w:r>
      <w:r>
        <w:rPr>
          <w:rFonts w:ascii="Times New Roman" w:eastAsia="宋体" w:hAnsi="Times New Roman"/>
          <w:sz w:val="24"/>
        </w:rPr>
        <w:t>9</w:t>
      </w:r>
      <w:r>
        <w:rPr>
          <w:rFonts w:ascii="Times New Roman" w:eastAsia="宋体" w:hAnsi="Times New Roman" w:hint="eastAsia"/>
          <w:sz w:val="24"/>
        </w:rPr>
        <w:t>.3</w:t>
      </w:r>
      <w:r>
        <w:rPr>
          <w:rFonts w:ascii="Times New Roman" w:eastAsia="宋体" w:hAnsi="Times New Roman"/>
          <w:sz w:val="24"/>
        </w:rPr>
        <w:t xml:space="preserve"> </w:t>
      </w:r>
      <w:r>
        <w:rPr>
          <w:rFonts w:ascii="Times New Roman" w:eastAsia="宋体" w:hAnsi="Times New Roman" w:hint="eastAsia"/>
          <w:sz w:val="24"/>
        </w:rPr>
        <w:t>排水规划</w:t>
      </w:r>
    </w:p>
    <w:p w14:paraId="15711701" w14:textId="77777777" w:rsidR="009C353B" w:rsidRDefault="00000000">
      <w:pPr>
        <w:adjustRightInd w:val="0"/>
        <w:snapToGrid w:val="0"/>
        <w:spacing w:line="440" w:lineRule="exact"/>
        <w:ind w:firstLine="480"/>
        <w:rPr>
          <w:rFonts w:ascii="Times New Roman" w:hint="eastAsia"/>
          <w:szCs w:val="24"/>
        </w:rPr>
      </w:pPr>
      <w:r>
        <w:rPr>
          <w:rFonts w:ascii="Times New Roman"/>
          <w:szCs w:val="24"/>
        </w:rPr>
        <w:t>矿区污废水采取分散处理、集中复用的规划原则。矿区产生的生活污水及生产废水就地处理后，未利用部分输配至</w:t>
      </w:r>
      <w:r>
        <w:rPr>
          <w:rFonts w:ascii="Times New Roman" w:hint="eastAsia"/>
          <w:szCs w:val="24"/>
        </w:rPr>
        <w:t>煤</w:t>
      </w:r>
      <w:r>
        <w:rPr>
          <w:rFonts w:ascii="Times New Roman"/>
          <w:szCs w:val="24"/>
        </w:rPr>
        <w:t>化</w:t>
      </w:r>
      <w:r>
        <w:rPr>
          <w:rFonts w:ascii="Times New Roman" w:hint="eastAsia"/>
          <w:szCs w:val="24"/>
        </w:rPr>
        <w:t>工</w:t>
      </w:r>
      <w:r>
        <w:rPr>
          <w:rFonts w:ascii="Times New Roman"/>
          <w:szCs w:val="24"/>
        </w:rPr>
        <w:t>园</w:t>
      </w:r>
      <w:r>
        <w:rPr>
          <w:rFonts w:ascii="Times New Roman" w:hint="eastAsia"/>
          <w:szCs w:val="24"/>
        </w:rPr>
        <w:t>区</w:t>
      </w:r>
      <w:r>
        <w:rPr>
          <w:rFonts w:ascii="Times New Roman"/>
          <w:szCs w:val="24"/>
        </w:rPr>
        <w:t>作为生产用水。</w:t>
      </w:r>
    </w:p>
    <w:p w14:paraId="2E8C3750" w14:textId="77777777" w:rsidR="009C353B" w:rsidRDefault="00000000">
      <w:pPr>
        <w:adjustRightInd w:val="0"/>
        <w:snapToGrid w:val="0"/>
        <w:spacing w:line="440" w:lineRule="exact"/>
        <w:ind w:firstLine="480"/>
        <w:rPr>
          <w:rFonts w:ascii="Times New Roman" w:hAnsi="Times New Roman"/>
          <w:szCs w:val="24"/>
        </w:rPr>
      </w:pPr>
      <w:r>
        <w:rPr>
          <w:rFonts w:ascii="Times New Roman" w:hint="eastAsia"/>
          <w:szCs w:val="24"/>
        </w:rPr>
        <w:t>矿区</w:t>
      </w:r>
      <w:r>
        <w:rPr>
          <w:rFonts w:ascii="Times New Roman"/>
          <w:szCs w:val="24"/>
        </w:rPr>
        <w:t>井下排水总量为</w:t>
      </w:r>
      <w:r>
        <w:rPr>
          <w:rFonts w:ascii="Times New Roman" w:hint="eastAsia"/>
          <w:szCs w:val="24"/>
        </w:rPr>
        <w:t>31056</w:t>
      </w:r>
      <w:r>
        <w:rPr>
          <w:rFonts w:ascii="Times New Roman"/>
          <w:szCs w:val="24"/>
        </w:rPr>
        <w:t>m</w:t>
      </w:r>
      <w:r>
        <w:rPr>
          <w:rFonts w:ascii="Times New Roman"/>
          <w:szCs w:val="24"/>
          <w:vertAlign w:val="superscript"/>
        </w:rPr>
        <w:t>3</w:t>
      </w:r>
      <w:r>
        <w:rPr>
          <w:rFonts w:ascii="Times New Roman"/>
          <w:szCs w:val="24"/>
        </w:rPr>
        <w:t>/d</w:t>
      </w:r>
      <w:r>
        <w:rPr>
          <w:rFonts w:ascii="Times New Roman" w:hint="eastAsia"/>
          <w:szCs w:val="24"/>
        </w:rPr>
        <w:t>，</w:t>
      </w:r>
      <w:r>
        <w:rPr>
          <w:rFonts w:ascii="Times New Roman"/>
          <w:szCs w:val="24"/>
        </w:rPr>
        <w:t>选煤厂洗煤用水为闭路循环无外排。</w:t>
      </w:r>
      <w:r>
        <w:rPr>
          <w:rFonts w:ascii="Times New Roman" w:hint="eastAsia"/>
          <w:szCs w:val="24"/>
        </w:rPr>
        <w:t>矿区生活污水</w:t>
      </w:r>
      <w:r>
        <w:rPr>
          <w:rFonts w:ascii="Times New Roman"/>
          <w:szCs w:val="24"/>
        </w:rPr>
        <w:t>总</w:t>
      </w:r>
      <w:r>
        <w:rPr>
          <w:rFonts w:ascii="Times New Roman" w:hint="eastAsia"/>
          <w:szCs w:val="24"/>
        </w:rPr>
        <w:t>产生量</w:t>
      </w:r>
      <w:r>
        <w:rPr>
          <w:rFonts w:ascii="Times New Roman"/>
          <w:szCs w:val="24"/>
        </w:rPr>
        <w:t>为</w:t>
      </w:r>
      <w:r>
        <w:rPr>
          <w:rFonts w:ascii="Times New Roman"/>
          <w:szCs w:val="24"/>
        </w:rPr>
        <w:t>376.2m</w:t>
      </w:r>
      <w:r>
        <w:rPr>
          <w:rFonts w:ascii="Times New Roman"/>
          <w:szCs w:val="24"/>
          <w:vertAlign w:val="superscript"/>
        </w:rPr>
        <w:t>3</w:t>
      </w:r>
      <w:r>
        <w:rPr>
          <w:rFonts w:ascii="Times New Roman"/>
          <w:szCs w:val="24"/>
        </w:rPr>
        <w:t>/d</w:t>
      </w:r>
      <w:r>
        <w:rPr>
          <w:rFonts w:ascii="Times New Roman"/>
          <w:szCs w:val="24"/>
        </w:rPr>
        <w:t>（不计辅助企业的排水）</w:t>
      </w:r>
      <w:r>
        <w:rPr>
          <w:rFonts w:ascii="Times New Roman" w:hint="eastAsia"/>
          <w:szCs w:val="24"/>
        </w:rPr>
        <w:t>。</w:t>
      </w:r>
      <w:r>
        <w:rPr>
          <w:rFonts w:ascii="Times New Roman"/>
          <w:szCs w:val="24"/>
        </w:rPr>
        <w:t>矿区总排水量为</w:t>
      </w:r>
      <w:r>
        <w:rPr>
          <w:rFonts w:ascii="Times New Roman" w:hAnsi="Times New Roman"/>
          <w:szCs w:val="24"/>
        </w:rPr>
        <w:t>31432.2m</w:t>
      </w:r>
      <w:r>
        <w:rPr>
          <w:rFonts w:ascii="Times New Roman" w:hAnsi="Times New Roman"/>
          <w:szCs w:val="24"/>
          <w:vertAlign w:val="superscript"/>
        </w:rPr>
        <w:t>3</w:t>
      </w:r>
      <w:r>
        <w:rPr>
          <w:rFonts w:ascii="Times New Roman" w:hAnsi="Times New Roman"/>
          <w:szCs w:val="24"/>
        </w:rPr>
        <w:t>/d</w:t>
      </w:r>
      <w:r>
        <w:rPr>
          <w:rFonts w:ascii="Times New Roman" w:hint="eastAsia"/>
          <w:szCs w:val="24"/>
        </w:rPr>
        <w:t>。</w:t>
      </w:r>
      <w:r>
        <w:rPr>
          <w:rFonts w:ascii="Times New Roman"/>
          <w:szCs w:val="24"/>
        </w:rPr>
        <w:t>矿区排水量详见表</w:t>
      </w:r>
      <w:r>
        <w:rPr>
          <w:rFonts w:ascii="Times New Roman" w:hAnsi="Times New Roman" w:hint="eastAsia"/>
          <w:szCs w:val="24"/>
        </w:rPr>
        <w:t>2.</w:t>
      </w:r>
      <w:r>
        <w:rPr>
          <w:rFonts w:ascii="Times New Roman" w:hAnsi="Times New Roman"/>
          <w:szCs w:val="24"/>
        </w:rPr>
        <w:t>3</w:t>
      </w:r>
      <w:r>
        <w:rPr>
          <w:rFonts w:ascii="Times New Roman" w:hAnsi="Times New Roman" w:hint="eastAsia"/>
          <w:szCs w:val="24"/>
        </w:rPr>
        <w:t>-</w:t>
      </w:r>
      <w:r>
        <w:rPr>
          <w:rFonts w:ascii="Times New Roman" w:hAnsi="Times New Roman"/>
          <w:szCs w:val="24"/>
        </w:rPr>
        <w:t>15</w:t>
      </w:r>
      <w:r>
        <w:rPr>
          <w:rFonts w:ascii="Times New Roman" w:hAnsi="Times New Roman" w:hint="eastAsia"/>
          <w:szCs w:val="24"/>
        </w:rPr>
        <w:t>。</w:t>
      </w:r>
    </w:p>
    <w:p w14:paraId="5432C982" w14:textId="77777777" w:rsidR="009C353B" w:rsidRDefault="00000000">
      <w:pPr>
        <w:jc w:val="center"/>
        <w:rPr>
          <w:rFonts w:ascii="Times New Roman" w:hAnsi="Times New Roman"/>
          <w:b/>
        </w:rPr>
      </w:pPr>
      <w:r>
        <w:rPr>
          <w:rFonts w:ascii="Times New Roman" w:hAnsi="Times New Roman" w:hint="eastAsia"/>
        </w:rPr>
        <w:t xml:space="preserve">  </w:t>
      </w:r>
      <w:r>
        <w:rPr>
          <w:rFonts w:ascii="Times New Roman" w:hAnsi="Times New Roman" w:hint="eastAsia"/>
          <w:b/>
        </w:rPr>
        <w:t>矿区达产时排水量汇总表</w:t>
      </w:r>
    </w:p>
    <w:p w14:paraId="3B696B13" w14:textId="77777777" w:rsidR="009C353B" w:rsidRDefault="00000000">
      <w:pPr>
        <w:pStyle w:val="affffd"/>
        <w:spacing w:line="440" w:lineRule="exact"/>
        <w:rPr>
          <w:rFonts w:ascii="Times New Roman" w:hint="eastAsia"/>
        </w:rPr>
      </w:pPr>
      <w:r>
        <w:rPr>
          <w:rFonts w:ascii="Times New Roman" w:hint="eastAsia"/>
        </w:rPr>
        <w:t>表</w:t>
      </w:r>
      <w:r>
        <w:rPr>
          <w:rFonts w:ascii="Times New Roman" w:hint="eastAsia"/>
        </w:rPr>
        <w:t>2.</w:t>
      </w:r>
      <w:r>
        <w:rPr>
          <w:rFonts w:ascii="Times New Roman"/>
        </w:rPr>
        <w:t>3</w:t>
      </w:r>
      <w:r>
        <w:rPr>
          <w:rFonts w:ascii="Times New Roman" w:hint="eastAsia"/>
        </w:rPr>
        <w:t>-</w:t>
      </w:r>
      <w:r>
        <w:rPr>
          <w:rFonts w:ascii="Times New Roman"/>
        </w:rPr>
        <w:t>15</w:t>
      </w:r>
    </w:p>
    <w:tbl>
      <w:tblPr>
        <w:tblW w:w="89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2388"/>
        <w:gridCol w:w="1282"/>
        <w:gridCol w:w="992"/>
        <w:gridCol w:w="1134"/>
        <w:gridCol w:w="1288"/>
        <w:gridCol w:w="1184"/>
      </w:tblGrid>
      <w:tr w:rsidR="009C353B" w14:paraId="0BD18BEF" w14:textId="77777777">
        <w:trPr>
          <w:trHeight w:val="360"/>
          <w:jc w:val="center"/>
        </w:trPr>
        <w:tc>
          <w:tcPr>
            <w:tcW w:w="720" w:type="dxa"/>
            <w:vAlign w:val="center"/>
          </w:tcPr>
          <w:p w14:paraId="563D927D"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序号</w:t>
            </w:r>
          </w:p>
        </w:tc>
        <w:tc>
          <w:tcPr>
            <w:tcW w:w="2388" w:type="dxa"/>
            <w:vAlign w:val="center"/>
          </w:tcPr>
          <w:p w14:paraId="1329B668"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煤炭企业排水项目</w:t>
            </w:r>
          </w:p>
        </w:tc>
        <w:tc>
          <w:tcPr>
            <w:tcW w:w="1282" w:type="dxa"/>
            <w:vAlign w:val="center"/>
          </w:tcPr>
          <w:p w14:paraId="424763F6"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生活</w:t>
            </w:r>
          </w:p>
          <w:p w14:paraId="47D2A657"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用水量</w:t>
            </w:r>
          </w:p>
          <w:p w14:paraId="77442680"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w:t>
            </w:r>
            <w:r>
              <w:rPr>
                <w:rFonts w:hAnsi="宋体" w:hint="eastAsia"/>
                <w:sz w:val="21"/>
                <w:szCs w:val="21"/>
              </w:rPr>
              <w:t>m</w:t>
            </w:r>
            <w:r>
              <w:rPr>
                <w:rFonts w:hAnsi="宋体" w:hint="eastAsia"/>
                <w:sz w:val="21"/>
                <w:szCs w:val="21"/>
                <w:vertAlign w:val="superscript"/>
              </w:rPr>
              <w:t>3</w:t>
            </w:r>
            <w:r>
              <w:rPr>
                <w:rFonts w:hAnsi="宋体" w:hint="eastAsia"/>
                <w:sz w:val="21"/>
                <w:szCs w:val="21"/>
              </w:rPr>
              <w:t>/d</w:t>
            </w:r>
            <w:r>
              <w:rPr>
                <w:rFonts w:hAnsi="宋体" w:hint="eastAsia"/>
                <w:sz w:val="21"/>
                <w:szCs w:val="21"/>
              </w:rPr>
              <w:t>）</w:t>
            </w:r>
          </w:p>
        </w:tc>
        <w:tc>
          <w:tcPr>
            <w:tcW w:w="992" w:type="dxa"/>
            <w:vAlign w:val="center"/>
          </w:tcPr>
          <w:p w14:paraId="0C8606F9"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折减</w:t>
            </w:r>
          </w:p>
          <w:p w14:paraId="0CC62559"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系数</w:t>
            </w:r>
          </w:p>
        </w:tc>
        <w:tc>
          <w:tcPr>
            <w:tcW w:w="1134" w:type="dxa"/>
            <w:vAlign w:val="center"/>
          </w:tcPr>
          <w:p w14:paraId="28938539"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生活污水产生量</w:t>
            </w:r>
          </w:p>
          <w:p w14:paraId="3E6AB6E5"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w:t>
            </w:r>
            <w:r>
              <w:rPr>
                <w:rFonts w:hAnsi="宋体" w:hint="eastAsia"/>
                <w:sz w:val="21"/>
                <w:szCs w:val="21"/>
              </w:rPr>
              <w:t>m</w:t>
            </w:r>
            <w:r>
              <w:rPr>
                <w:rFonts w:hAnsi="宋体" w:hint="eastAsia"/>
                <w:sz w:val="21"/>
                <w:szCs w:val="21"/>
                <w:vertAlign w:val="superscript"/>
              </w:rPr>
              <w:t>3</w:t>
            </w:r>
            <w:r>
              <w:rPr>
                <w:rFonts w:hAnsi="宋体" w:hint="eastAsia"/>
                <w:sz w:val="21"/>
                <w:szCs w:val="21"/>
              </w:rPr>
              <w:t>/d</w:t>
            </w:r>
            <w:r>
              <w:rPr>
                <w:rFonts w:hAnsi="宋体" w:hint="eastAsia"/>
                <w:sz w:val="21"/>
                <w:szCs w:val="21"/>
              </w:rPr>
              <w:t>）</w:t>
            </w:r>
          </w:p>
        </w:tc>
        <w:tc>
          <w:tcPr>
            <w:tcW w:w="1288" w:type="dxa"/>
            <w:vAlign w:val="center"/>
          </w:tcPr>
          <w:p w14:paraId="1EF74B35"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井下排水量</w:t>
            </w:r>
          </w:p>
          <w:p w14:paraId="100CE5D5"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w:t>
            </w:r>
            <w:r>
              <w:rPr>
                <w:rFonts w:hAnsi="宋体" w:hint="eastAsia"/>
                <w:sz w:val="21"/>
                <w:szCs w:val="21"/>
              </w:rPr>
              <w:t>m</w:t>
            </w:r>
            <w:r>
              <w:rPr>
                <w:rFonts w:hAnsi="宋体" w:hint="eastAsia"/>
                <w:sz w:val="21"/>
                <w:szCs w:val="21"/>
                <w:vertAlign w:val="superscript"/>
              </w:rPr>
              <w:t>3</w:t>
            </w:r>
            <w:r>
              <w:rPr>
                <w:rFonts w:hAnsi="宋体" w:hint="eastAsia"/>
                <w:sz w:val="21"/>
                <w:szCs w:val="21"/>
              </w:rPr>
              <w:t>/d</w:t>
            </w:r>
            <w:r>
              <w:rPr>
                <w:rFonts w:hAnsi="宋体" w:hint="eastAsia"/>
                <w:sz w:val="21"/>
                <w:szCs w:val="21"/>
              </w:rPr>
              <w:t>）</w:t>
            </w:r>
          </w:p>
        </w:tc>
        <w:tc>
          <w:tcPr>
            <w:tcW w:w="1184" w:type="dxa"/>
            <w:vAlign w:val="center"/>
          </w:tcPr>
          <w:p w14:paraId="59D9CAFC"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合计</w:t>
            </w:r>
          </w:p>
          <w:p w14:paraId="134CFEA4"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w:t>
            </w:r>
            <w:r>
              <w:rPr>
                <w:rFonts w:hAnsi="宋体" w:hint="eastAsia"/>
                <w:sz w:val="21"/>
                <w:szCs w:val="21"/>
              </w:rPr>
              <w:t>m</w:t>
            </w:r>
            <w:r>
              <w:rPr>
                <w:rFonts w:hAnsi="宋体" w:hint="eastAsia"/>
                <w:sz w:val="21"/>
                <w:szCs w:val="21"/>
                <w:vertAlign w:val="superscript"/>
              </w:rPr>
              <w:t>3</w:t>
            </w:r>
            <w:r>
              <w:rPr>
                <w:rFonts w:hAnsi="宋体" w:hint="eastAsia"/>
                <w:sz w:val="21"/>
                <w:szCs w:val="21"/>
              </w:rPr>
              <w:t>/d</w:t>
            </w:r>
            <w:r>
              <w:rPr>
                <w:rFonts w:hAnsi="宋体" w:hint="eastAsia"/>
                <w:sz w:val="21"/>
                <w:szCs w:val="21"/>
              </w:rPr>
              <w:t>）</w:t>
            </w:r>
          </w:p>
        </w:tc>
      </w:tr>
      <w:tr w:rsidR="009C353B" w14:paraId="0F9F78E0" w14:textId="77777777">
        <w:trPr>
          <w:trHeight w:val="360"/>
          <w:jc w:val="center"/>
        </w:trPr>
        <w:tc>
          <w:tcPr>
            <w:tcW w:w="720" w:type="dxa"/>
            <w:vAlign w:val="center"/>
          </w:tcPr>
          <w:p w14:paraId="00F205B4"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1</w:t>
            </w:r>
          </w:p>
        </w:tc>
        <w:tc>
          <w:tcPr>
            <w:tcW w:w="2388" w:type="dxa"/>
            <w:vAlign w:val="center"/>
          </w:tcPr>
          <w:p w14:paraId="5FD16E81" w14:textId="77777777" w:rsidR="009C353B" w:rsidRDefault="00000000">
            <w:pPr>
              <w:pStyle w:val="2fe"/>
              <w:snapToGrid w:val="0"/>
              <w:spacing w:line="240" w:lineRule="auto"/>
              <w:ind w:firstLine="0"/>
              <w:rPr>
                <w:rFonts w:hAnsi="宋体" w:hint="eastAsia"/>
                <w:sz w:val="21"/>
                <w:szCs w:val="21"/>
              </w:rPr>
            </w:pPr>
            <w:r>
              <w:rPr>
                <w:sz w:val="21"/>
                <w:szCs w:val="21"/>
              </w:rPr>
              <w:t>马莲台矿井</w:t>
            </w:r>
            <w:r>
              <w:rPr>
                <w:rFonts w:hint="eastAsia"/>
                <w:sz w:val="21"/>
                <w:szCs w:val="21"/>
              </w:rPr>
              <w:t>及选煤厂</w:t>
            </w:r>
          </w:p>
        </w:tc>
        <w:tc>
          <w:tcPr>
            <w:tcW w:w="1282" w:type="dxa"/>
            <w:vAlign w:val="center"/>
          </w:tcPr>
          <w:p w14:paraId="008939D6"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118</w:t>
            </w:r>
          </w:p>
        </w:tc>
        <w:tc>
          <w:tcPr>
            <w:tcW w:w="992" w:type="dxa"/>
            <w:vAlign w:val="center"/>
          </w:tcPr>
          <w:p w14:paraId="2B7C860F"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0.8</w:t>
            </w:r>
          </w:p>
        </w:tc>
        <w:tc>
          <w:tcPr>
            <w:tcW w:w="1134" w:type="dxa"/>
            <w:vAlign w:val="center"/>
          </w:tcPr>
          <w:p w14:paraId="632FB395" w14:textId="77777777" w:rsidR="009C353B" w:rsidRDefault="00000000">
            <w:pPr>
              <w:pStyle w:val="2fe"/>
              <w:snapToGrid w:val="0"/>
              <w:spacing w:line="240" w:lineRule="auto"/>
              <w:ind w:firstLine="0"/>
              <w:jc w:val="center"/>
              <w:rPr>
                <w:sz w:val="21"/>
                <w:szCs w:val="21"/>
              </w:rPr>
            </w:pPr>
            <w:r>
              <w:rPr>
                <w:sz w:val="21"/>
                <w:szCs w:val="21"/>
              </w:rPr>
              <w:t>96.9</w:t>
            </w:r>
          </w:p>
        </w:tc>
        <w:tc>
          <w:tcPr>
            <w:tcW w:w="1288" w:type="dxa"/>
            <w:vAlign w:val="center"/>
          </w:tcPr>
          <w:p w14:paraId="38094112" w14:textId="77777777" w:rsidR="009C353B" w:rsidRDefault="00000000">
            <w:pPr>
              <w:pStyle w:val="2fe"/>
              <w:snapToGrid w:val="0"/>
              <w:spacing w:line="240" w:lineRule="auto"/>
              <w:ind w:firstLine="0"/>
              <w:jc w:val="center"/>
              <w:rPr>
                <w:rFonts w:hAnsi="宋体" w:hint="eastAsia"/>
                <w:sz w:val="21"/>
                <w:szCs w:val="21"/>
              </w:rPr>
            </w:pPr>
            <w:r>
              <w:rPr>
                <w:sz w:val="21"/>
                <w:szCs w:val="21"/>
              </w:rPr>
              <w:t>7728</w:t>
            </w:r>
          </w:p>
        </w:tc>
        <w:tc>
          <w:tcPr>
            <w:tcW w:w="1184" w:type="dxa"/>
            <w:vAlign w:val="center"/>
          </w:tcPr>
          <w:p w14:paraId="56121AEA" w14:textId="77777777" w:rsidR="009C353B" w:rsidRDefault="00000000">
            <w:pPr>
              <w:pStyle w:val="2fe"/>
              <w:snapToGrid w:val="0"/>
              <w:spacing w:line="240" w:lineRule="auto"/>
              <w:ind w:firstLine="0"/>
              <w:jc w:val="center"/>
              <w:rPr>
                <w:sz w:val="21"/>
                <w:szCs w:val="21"/>
              </w:rPr>
            </w:pPr>
            <w:r>
              <w:rPr>
                <w:sz w:val="21"/>
                <w:szCs w:val="21"/>
              </w:rPr>
              <w:t>7824.9</w:t>
            </w:r>
          </w:p>
        </w:tc>
      </w:tr>
      <w:tr w:rsidR="009C353B" w14:paraId="262A3C31" w14:textId="77777777">
        <w:trPr>
          <w:trHeight w:val="360"/>
          <w:jc w:val="center"/>
        </w:trPr>
        <w:tc>
          <w:tcPr>
            <w:tcW w:w="720" w:type="dxa"/>
            <w:vAlign w:val="center"/>
          </w:tcPr>
          <w:p w14:paraId="73ECD222"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2</w:t>
            </w:r>
          </w:p>
        </w:tc>
        <w:tc>
          <w:tcPr>
            <w:tcW w:w="2388" w:type="dxa"/>
            <w:vAlign w:val="center"/>
          </w:tcPr>
          <w:p w14:paraId="5F465B5C" w14:textId="77777777" w:rsidR="009C353B" w:rsidRDefault="00000000">
            <w:pPr>
              <w:pStyle w:val="2fe"/>
              <w:snapToGrid w:val="0"/>
              <w:spacing w:line="240" w:lineRule="auto"/>
              <w:ind w:firstLine="0"/>
              <w:rPr>
                <w:rFonts w:hAnsi="宋体" w:hint="eastAsia"/>
                <w:sz w:val="21"/>
                <w:szCs w:val="21"/>
              </w:rPr>
            </w:pPr>
            <w:r>
              <w:rPr>
                <w:sz w:val="21"/>
                <w:szCs w:val="21"/>
              </w:rPr>
              <w:t>任家庄矿井</w:t>
            </w:r>
            <w:r>
              <w:rPr>
                <w:rFonts w:hint="eastAsia"/>
                <w:sz w:val="21"/>
                <w:szCs w:val="21"/>
              </w:rPr>
              <w:t>及选煤厂</w:t>
            </w:r>
          </w:p>
        </w:tc>
        <w:tc>
          <w:tcPr>
            <w:tcW w:w="1282" w:type="dxa"/>
            <w:vAlign w:val="center"/>
          </w:tcPr>
          <w:p w14:paraId="292BBFC0" w14:textId="77777777" w:rsidR="009C353B" w:rsidRDefault="00000000">
            <w:pPr>
              <w:pStyle w:val="2fe"/>
              <w:snapToGrid w:val="0"/>
              <w:spacing w:line="240" w:lineRule="auto"/>
              <w:ind w:firstLine="0"/>
              <w:jc w:val="center"/>
              <w:rPr>
                <w:rFonts w:hAnsi="宋体" w:hint="eastAsia"/>
                <w:sz w:val="21"/>
                <w:szCs w:val="21"/>
              </w:rPr>
            </w:pPr>
            <w:r>
              <w:rPr>
                <w:rFonts w:hAnsi="宋体"/>
                <w:sz w:val="21"/>
                <w:szCs w:val="21"/>
              </w:rPr>
              <w:t>1</w:t>
            </w:r>
            <w:r>
              <w:rPr>
                <w:rFonts w:hAnsi="宋体" w:hint="eastAsia"/>
                <w:sz w:val="21"/>
                <w:szCs w:val="21"/>
              </w:rPr>
              <w:t>34</w:t>
            </w:r>
          </w:p>
        </w:tc>
        <w:tc>
          <w:tcPr>
            <w:tcW w:w="992" w:type="dxa"/>
            <w:vAlign w:val="center"/>
          </w:tcPr>
          <w:p w14:paraId="0E67EEBD"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0.8</w:t>
            </w:r>
          </w:p>
        </w:tc>
        <w:tc>
          <w:tcPr>
            <w:tcW w:w="1134" w:type="dxa"/>
            <w:vAlign w:val="center"/>
          </w:tcPr>
          <w:p w14:paraId="443E6ECC" w14:textId="77777777" w:rsidR="009C353B" w:rsidRDefault="00000000">
            <w:pPr>
              <w:pStyle w:val="2fe"/>
              <w:snapToGrid w:val="0"/>
              <w:spacing w:line="240" w:lineRule="auto"/>
              <w:ind w:firstLine="0"/>
              <w:jc w:val="center"/>
              <w:rPr>
                <w:sz w:val="21"/>
                <w:szCs w:val="21"/>
              </w:rPr>
            </w:pPr>
            <w:r>
              <w:rPr>
                <w:sz w:val="21"/>
                <w:szCs w:val="21"/>
              </w:rPr>
              <w:t>113.2</w:t>
            </w:r>
          </w:p>
        </w:tc>
        <w:tc>
          <w:tcPr>
            <w:tcW w:w="1288" w:type="dxa"/>
            <w:vAlign w:val="center"/>
          </w:tcPr>
          <w:p w14:paraId="2A2D7369" w14:textId="77777777" w:rsidR="009C353B" w:rsidRDefault="00000000">
            <w:pPr>
              <w:pStyle w:val="2fe"/>
              <w:snapToGrid w:val="0"/>
              <w:spacing w:line="240" w:lineRule="auto"/>
              <w:ind w:firstLine="0"/>
              <w:jc w:val="center"/>
              <w:rPr>
                <w:rFonts w:hAnsi="宋体" w:hint="eastAsia"/>
                <w:sz w:val="21"/>
                <w:szCs w:val="21"/>
              </w:rPr>
            </w:pPr>
            <w:r>
              <w:rPr>
                <w:sz w:val="21"/>
                <w:szCs w:val="21"/>
              </w:rPr>
              <w:t>10704</w:t>
            </w:r>
          </w:p>
        </w:tc>
        <w:tc>
          <w:tcPr>
            <w:tcW w:w="1184" w:type="dxa"/>
            <w:vAlign w:val="center"/>
          </w:tcPr>
          <w:p w14:paraId="2CB13AD1" w14:textId="77777777" w:rsidR="009C353B" w:rsidRDefault="00000000">
            <w:pPr>
              <w:pStyle w:val="2fe"/>
              <w:snapToGrid w:val="0"/>
              <w:spacing w:line="240" w:lineRule="auto"/>
              <w:ind w:firstLine="0"/>
              <w:jc w:val="center"/>
              <w:rPr>
                <w:sz w:val="21"/>
                <w:szCs w:val="21"/>
              </w:rPr>
            </w:pPr>
            <w:r>
              <w:rPr>
                <w:sz w:val="21"/>
                <w:szCs w:val="21"/>
              </w:rPr>
              <w:t>10817.2</w:t>
            </w:r>
          </w:p>
        </w:tc>
      </w:tr>
      <w:tr w:rsidR="009C353B" w14:paraId="483E22EF" w14:textId="77777777">
        <w:trPr>
          <w:trHeight w:val="360"/>
          <w:jc w:val="center"/>
        </w:trPr>
        <w:tc>
          <w:tcPr>
            <w:tcW w:w="720" w:type="dxa"/>
            <w:vAlign w:val="center"/>
          </w:tcPr>
          <w:p w14:paraId="3D53FC97"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3</w:t>
            </w:r>
          </w:p>
        </w:tc>
        <w:tc>
          <w:tcPr>
            <w:tcW w:w="2388" w:type="dxa"/>
            <w:vAlign w:val="center"/>
          </w:tcPr>
          <w:p w14:paraId="5A0E100F" w14:textId="77777777" w:rsidR="009C353B" w:rsidRDefault="00000000">
            <w:pPr>
              <w:pStyle w:val="2fe"/>
              <w:snapToGrid w:val="0"/>
              <w:spacing w:line="240" w:lineRule="auto"/>
              <w:ind w:firstLine="0"/>
              <w:rPr>
                <w:rFonts w:hAnsi="宋体" w:hint="eastAsia"/>
                <w:sz w:val="21"/>
                <w:szCs w:val="21"/>
              </w:rPr>
            </w:pPr>
            <w:r>
              <w:rPr>
                <w:sz w:val="21"/>
                <w:szCs w:val="21"/>
              </w:rPr>
              <w:t>红石湾矿井</w:t>
            </w:r>
            <w:r>
              <w:rPr>
                <w:rFonts w:hint="eastAsia"/>
                <w:sz w:val="21"/>
                <w:szCs w:val="21"/>
              </w:rPr>
              <w:t>及选煤厂</w:t>
            </w:r>
          </w:p>
        </w:tc>
        <w:tc>
          <w:tcPr>
            <w:tcW w:w="1282" w:type="dxa"/>
            <w:vAlign w:val="center"/>
          </w:tcPr>
          <w:p w14:paraId="688AFC2B"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96</w:t>
            </w:r>
          </w:p>
        </w:tc>
        <w:tc>
          <w:tcPr>
            <w:tcW w:w="992" w:type="dxa"/>
            <w:vAlign w:val="center"/>
          </w:tcPr>
          <w:p w14:paraId="36F8ECF7"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0.8</w:t>
            </w:r>
          </w:p>
        </w:tc>
        <w:tc>
          <w:tcPr>
            <w:tcW w:w="1134" w:type="dxa"/>
            <w:vAlign w:val="center"/>
          </w:tcPr>
          <w:p w14:paraId="06A7966D" w14:textId="77777777" w:rsidR="009C353B" w:rsidRDefault="00000000">
            <w:pPr>
              <w:pStyle w:val="2fe"/>
              <w:snapToGrid w:val="0"/>
              <w:spacing w:line="240" w:lineRule="auto"/>
              <w:ind w:firstLine="0"/>
              <w:jc w:val="center"/>
              <w:rPr>
                <w:sz w:val="21"/>
                <w:szCs w:val="21"/>
              </w:rPr>
            </w:pPr>
            <w:r>
              <w:rPr>
                <w:sz w:val="21"/>
                <w:szCs w:val="21"/>
              </w:rPr>
              <w:t>75.2</w:t>
            </w:r>
          </w:p>
        </w:tc>
        <w:tc>
          <w:tcPr>
            <w:tcW w:w="1288" w:type="dxa"/>
            <w:vAlign w:val="center"/>
          </w:tcPr>
          <w:p w14:paraId="66428D24" w14:textId="77777777" w:rsidR="009C353B" w:rsidRDefault="00000000">
            <w:pPr>
              <w:pStyle w:val="2fe"/>
              <w:snapToGrid w:val="0"/>
              <w:spacing w:line="240" w:lineRule="auto"/>
              <w:ind w:firstLine="0"/>
              <w:jc w:val="center"/>
              <w:rPr>
                <w:rFonts w:hAnsi="宋体" w:hint="eastAsia"/>
                <w:sz w:val="21"/>
                <w:szCs w:val="21"/>
              </w:rPr>
            </w:pPr>
            <w:r>
              <w:rPr>
                <w:sz w:val="21"/>
                <w:szCs w:val="21"/>
              </w:rPr>
              <w:t>6120</w:t>
            </w:r>
          </w:p>
        </w:tc>
        <w:tc>
          <w:tcPr>
            <w:tcW w:w="1184" w:type="dxa"/>
            <w:vAlign w:val="center"/>
          </w:tcPr>
          <w:p w14:paraId="222D8B1A" w14:textId="77777777" w:rsidR="009C353B" w:rsidRDefault="00000000">
            <w:pPr>
              <w:pStyle w:val="2fe"/>
              <w:snapToGrid w:val="0"/>
              <w:spacing w:line="240" w:lineRule="auto"/>
              <w:ind w:firstLine="0"/>
              <w:jc w:val="center"/>
              <w:rPr>
                <w:sz w:val="21"/>
                <w:szCs w:val="21"/>
              </w:rPr>
            </w:pPr>
            <w:r>
              <w:rPr>
                <w:sz w:val="21"/>
                <w:szCs w:val="21"/>
              </w:rPr>
              <w:t>6195.2</w:t>
            </w:r>
          </w:p>
        </w:tc>
      </w:tr>
      <w:tr w:rsidR="009C353B" w14:paraId="1889EE6D" w14:textId="77777777">
        <w:trPr>
          <w:trHeight w:val="360"/>
          <w:jc w:val="center"/>
        </w:trPr>
        <w:tc>
          <w:tcPr>
            <w:tcW w:w="720" w:type="dxa"/>
            <w:vAlign w:val="center"/>
          </w:tcPr>
          <w:p w14:paraId="12CF1766"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4</w:t>
            </w:r>
          </w:p>
        </w:tc>
        <w:tc>
          <w:tcPr>
            <w:tcW w:w="2388" w:type="dxa"/>
            <w:vAlign w:val="center"/>
          </w:tcPr>
          <w:p w14:paraId="2DC15F1A" w14:textId="77777777" w:rsidR="009C353B" w:rsidRDefault="00000000">
            <w:pPr>
              <w:pStyle w:val="2fe"/>
              <w:snapToGrid w:val="0"/>
              <w:spacing w:line="240" w:lineRule="auto"/>
              <w:ind w:firstLine="0"/>
              <w:rPr>
                <w:rFonts w:hAnsi="宋体" w:hint="eastAsia"/>
                <w:sz w:val="21"/>
                <w:szCs w:val="21"/>
              </w:rPr>
            </w:pPr>
            <w:r>
              <w:rPr>
                <w:rFonts w:hint="eastAsia"/>
                <w:sz w:val="21"/>
                <w:szCs w:val="21"/>
              </w:rPr>
              <w:t>丁家梁</w:t>
            </w:r>
            <w:r>
              <w:rPr>
                <w:sz w:val="21"/>
                <w:szCs w:val="21"/>
              </w:rPr>
              <w:t>矿井</w:t>
            </w:r>
          </w:p>
        </w:tc>
        <w:tc>
          <w:tcPr>
            <w:tcW w:w="1282" w:type="dxa"/>
            <w:vAlign w:val="center"/>
          </w:tcPr>
          <w:p w14:paraId="6E6A2103"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48</w:t>
            </w:r>
          </w:p>
        </w:tc>
        <w:tc>
          <w:tcPr>
            <w:tcW w:w="992" w:type="dxa"/>
            <w:vAlign w:val="center"/>
          </w:tcPr>
          <w:p w14:paraId="7881759C"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0.8</w:t>
            </w:r>
          </w:p>
        </w:tc>
        <w:tc>
          <w:tcPr>
            <w:tcW w:w="1134" w:type="dxa"/>
            <w:vAlign w:val="center"/>
          </w:tcPr>
          <w:p w14:paraId="1989D5E3" w14:textId="77777777" w:rsidR="009C353B" w:rsidRDefault="00000000">
            <w:pPr>
              <w:pStyle w:val="2fe"/>
              <w:snapToGrid w:val="0"/>
              <w:spacing w:line="240" w:lineRule="auto"/>
              <w:ind w:firstLine="0"/>
              <w:jc w:val="center"/>
              <w:rPr>
                <w:sz w:val="21"/>
                <w:szCs w:val="21"/>
              </w:rPr>
            </w:pPr>
            <w:r>
              <w:rPr>
                <w:sz w:val="21"/>
                <w:szCs w:val="21"/>
              </w:rPr>
              <w:t>45.6</w:t>
            </w:r>
          </w:p>
        </w:tc>
        <w:tc>
          <w:tcPr>
            <w:tcW w:w="1288" w:type="dxa"/>
            <w:vAlign w:val="center"/>
          </w:tcPr>
          <w:p w14:paraId="57DF34D0" w14:textId="77777777" w:rsidR="009C353B" w:rsidRDefault="00000000">
            <w:pPr>
              <w:pStyle w:val="2fe"/>
              <w:snapToGrid w:val="0"/>
              <w:spacing w:line="240" w:lineRule="auto"/>
              <w:ind w:firstLine="0"/>
              <w:jc w:val="center"/>
              <w:rPr>
                <w:rFonts w:hAnsi="宋体" w:hint="eastAsia"/>
                <w:sz w:val="21"/>
                <w:szCs w:val="21"/>
              </w:rPr>
            </w:pPr>
            <w:r>
              <w:rPr>
                <w:sz w:val="21"/>
                <w:szCs w:val="21"/>
              </w:rPr>
              <w:t>6504</w:t>
            </w:r>
          </w:p>
        </w:tc>
        <w:tc>
          <w:tcPr>
            <w:tcW w:w="1184" w:type="dxa"/>
            <w:vAlign w:val="center"/>
          </w:tcPr>
          <w:p w14:paraId="28F9F71D" w14:textId="77777777" w:rsidR="009C353B" w:rsidRDefault="00000000">
            <w:pPr>
              <w:pStyle w:val="2fe"/>
              <w:snapToGrid w:val="0"/>
              <w:spacing w:line="240" w:lineRule="auto"/>
              <w:ind w:firstLine="0"/>
              <w:jc w:val="center"/>
              <w:rPr>
                <w:sz w:val="21"/>
                <w:szCs w:val="21"/>
              </w:rPr>
            </w:pPr>
            <w:r>
              <w:rPr>
                <w:sz w:val="21"/>
                <w:szCs w:val="21"/>
              </w:rPr>
              <w:t>6549.6</w:t>
            </w:r>
          </w:p>
        </w:tc>
      </w:tr>
      <w:tr w:rsidR="009C353B" w14:paraId="0790991E" w14:textId="77777777">
        <w:trPr>
          <w:trHeight w:val="360"/>
          <w:jc w:val="center"/>
        </w:trPr>
        <w:tc>
          <w:tcPr>
            <w:tcW w:w="720" w:type="dxa"/>
            <w:vAlign w:val="center"/>
          </w:tcPr>
          <w:p w14:paraId="7E8C8BBC" w14:textId="77777777" w:rsidR="009C353B" w:rsidRDefault="009C353B">
            <w:pPr>
              <w:pStyle w:val="2fe"/>
              <w:snapToGrid w:val="0"/>
              <w:spacing w:line="240" w:lineRule="auto"/>
              <w:ind w:firstLine="0"/>
              <w:jc w:val="center"/>
              <w:rPr>
                <w:rFonts w:hAnsi="宋体" w:hint="eastAsia"/>
                <w:sz w:val="21"/>
                <w:szCs w:val="21"/>
              </w:rPr>
            </w:pPr>
          </w:p>
        </w:tc>
        <w:tc>
          <w:tcPr>
            <w:tcW w:w="2388" w:type="dxa"/>
            <w:vAlign w:val="center"/>
          </w:tcPr>
          <w:p w14:paraId="70D997B7" w14:textId="77777777" w:rsidR="009C353B" w:rsidRDefault="00000000">
            <w:pPr>
              <w:pStyle w:val="2fe"/>
              <w:snapToGrid w:val="0"/>
              <w:spacing w:line="240" w:lineRule="auto"/>
              <w:ind w:firstLine="0"/>
              <w:rPr>
                <w:rFonts w:hAnsi="宋体" w:hint="eastAsia"/>
                <w:sz w:val="21"/>
                <w:szCs w:val="21"/>
              </w:rPr>
            </w:pPr>
            <w:r>
              <w:rPr>
                <w:rFonts w:hAnsi="宋体" w:hint="eastAsia"/>
                <w:sz w:val="21"/>
                <w:szCs w:val="21"/>
              </w:rPr>
              <w:t>合计</w:t>
            </w:r>
          </w:p>
        </w:tc>
        <w:tc>
          <w:tcPr>
            <w:tcW w:w="1282" w:type="dxa"/>
            <w:vAlign w:val="center"/>
          </w:tcPr>
          <w:p w14:paraId="669E4163" w14:textId="77777777" w:rsidR="009C353B" w:rsidRDefault="00000000">
            <w:pPr>
              <w:pStyle w:val="2fe"/>
              <w:snapToGrid w:val="0"/>
              <w:spacing w:line="240" w:lineRule="auto"/>
              <w:ind w:firstLine="0"/>
              <w:jc w:val="center"/>
              <w:rPr>
                <w:rFonts w:hAnsi="宋体" w:hint="eastAsia"/>
                <w:sz w:val="21"/>
                <w:szCs w:val="21"/>
              </w:rPr>
            </w:pPr>
            <w:r>
              <w:rPr>
                <w:rFonts w:hAnsi="宋体" w:hint="eastAsia"/>
                <w:sz w:val="21"/>
                <w:szCs w:val="21"/>
              </w:rPr>
              <w:t>396</w:t>
            </w:r>
          </w:p>
        </w:tc>
        <w:tc>
          <w:tcPr>
            <w:tcW w:w="992" w:type="dxa"/>
            <w:vAlign w:val="center"/>
          </w:tcPr>
          <w:p w14:paraId="603F612F" w14:textId="77777777" w:rsidR="009C353B" w:rsidRDefault="009C353B">
            <w:pPr>
              <w:pStyle w:val="2fe"/>
              <w:snapToGrid w:val="0"/>
              <w:spacing w:line="240" w:lineRule="auto"/>
              <w:ind w:firstLine="0"/>
              <w:jc w:val="center"/>
              <w:rPr>
                <w:rFonts w:hAnsi="宋体" w:hint="eastAsia"/>
                <w:sz w:val="21"/>
                <w:szCs w:val="21"/>
              </w:rPr>
            </w:pPr>
          </w:p>
        </w:tc>
        <w:tc>
          <w:tcPr>
            <w:tcW w:w="1134" w:type="dxa"/>
            <w:vAlign w:val="center"/>
          </w:tcPr>
          <w:p w14:paraId="7A802954" w14:textId="77777777" w:rsidR="009C353B" w:rsidRDefault="00000000">
            <w:pPr>
              <w:pStyle w:val="2fe"/>
              <w:snapToGrid w:val="0"/>
              <w:spacing w:line="240" w:lineRule="auto"/>
              <w:ind w:firstLine="0"/>
              <w:jc w:val="center"/>
              <w:rPr>
                <w:rFonts w:hAnsi="宋体" w:hint="eastAsia"/>
                <w:sz w:val="21"/>
                <w:szCs w:val="21"/>
              </w:rPr>
            </w:pPr>
            <w:r>
              <w:rPr>
                <w:rFonts w:hAnsi="宋体"/>
                <w:sz w:val="21"/>
                <w:szCs w:val="21"/>
              </w:rPr>
              <w:t>376.2</w:t>
            </w:r>
          </w:p>
        </w:tc>
        <w:tc>
          <w:tcPr>
            <w:tcW w:w="1288" w:type="dxa"/>
            <w:vAlign w:val="center"/>
          </w:tcPr>
          <w:p w14:paraId="21BE72E1" w14:textId="77777777" w:rsidR="009C353B" w:rsidRDefault="00000000">
            <w:pPr>
              <w:pStyle w:val="2fe"/>
              <w:snapToGrid w:val="0"/>
              <w:spacing w:line="240" w:lineRule="auto"/>
              <w:ind w:firstLine="0"/>
              <w:jc w:val="center"/>
              <w:rPr>
                <w:rFonts w:hAnsi="宋体" w:hint="eastAsia"/>
                <w:sz w:val="21"/>
                <w:szCs w:val="21"/>
              </w:rPr>
            </w:pPr>
            <w:r>
              <w:rPr>
                <w:rFonts w:hAnsi="宋体"/>
                <w:sz w:val="21"/>
                <w:szCs w:val="21"/>
              </w:rPr>
              <w:t>31056</w:t>
            </w:r>
          </w:p>
        </w:tc>
        <w:tc>
          <w:tcPr>
            <w:tcW w:w="1184" w:type="dxa"/>
            <w:vAlign w:val="center"/>
          </w:tcPr>
          <w:p w14:paraId="2249E2DA" w14:textId="77777777" w:rsidR="009C353B" w:rsidRDefault="00000000">
            <w:pPr>
              <w:pStyle w:val="2fe"/>
              <w:snapToGrid w:val="0"/>
              <w:spacing w:line="240" w:lineRule="auto"/>
              <w:ind w:firstLine="0"/>
              <w:jc w:val="center"/>
              <w:rPr>
                <w:sz w:val="21"/>
                <w:szCs w:val="21"/>
              </w:rPr>
            </w:pPr>
            <w:r>
              <w:rPr>
                <w:sz w:val="21"/>
                <w:szCs w:val="21"/>
              </w:rPr>
              <w:t>31432.2</w:t>
            </w:r>
          </w:p>
        </w:tc>
      </w:tr>
    </w:tbl>
    <w:bookmarkEnd w:id="72"/>
    <w:p w14:paraId="514ED828" w14:textId="77777777" w:rsidR="009C353B" w:rsidRDefault="00000000">
      <w:pPr>
        <w:adjustRightInd w:val="0"/>
        <w:snapToGrid w:val="0"/>
        <w:spacing w:line="300" w:lineRule="exact"/>
        <w:rPr>
          <w:rFonts w:ascii="仿宋_GB2312" w:hint="eastAsia"/>
          <w:bCs/>
          <w:szCs w:val="28"/>
        </w:rPr>
      </w:pPr>
      <w:r>
        <w:rPr>
          <w:sz w:val="21"/>
          <w:szCs w:val="21"/>
        </w:rPr>
        <w:t>注：辅助企业设于宁东镇，且本次规划的辅助企业为既有，故污</w:t>
      </w:r>
      <w:r>
        <w:rPr>
          <w:rFonts w:hint="eastAsia"/>
          <w:sz w:val="21"/>
          <w:szCs w:val="21"/>
        </w:rPr>
        <w:t>、废</w:t>
      </w:r>
      <w:r>
        <w:rPr>
          <w:sz w:val="21"/>
          <w:szCs w:val="21"/>
        </w:rPr>
        <w:t>水排放量</w:t>
      </w:r>
      <w:r>
        <w:rPr>
          <w:rFonts w:hint="eastAsia"/>
          <w:sz w:val="21"/>
          <w:szCs w:val="21"/>
        </w:rPr>
        <w:t>排入</w:t>
      </w:r>
      <w:r>
        <w:rPr>
          <w:sz w:val="21"/>
          <w:szCs w:val="21"/>
        </w:rPr>
        <w:t>宁东镇现有污水</w:t>
      </w:r>
      <w:r>
        <w:rPr>
          <w:rFonts w:hint="eastAsia"/>
          <w:sz w:val="21"/>
          <w:szCs w:val="21"/>
        </w:rPr>
        <w:t>管网</w:t>
      </w:r>
      <w:r>
        <w:rPr>
          <w:sz w:val="21"/>
          <w:szCs w:val="21"/>
        </w:rPr>
        <w:t>进入镇污水处理站。</w:t>
      </w:r>
    </w:p>
    <w:p w14:paraId="58C76294"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2.3</w:t>
      </w:r>
      <w:r>
        <w:rPr>
          <w:rFonts w:ascii="Times New Roman" w:hAnsi="Times New Roman" w:hint="eastAsia"/>
          <w:sz w:val="24"/>
        </w:rPr>
        <w:t>.1</w:t>
      </w:r>
      <w:r>
        <w:rPr>
          <w:rFonts w:ascii="Times New Roman" w:hAnsi="Times New Roman"/>
          <w:sz w:val="24"/>
        </w:rPr>
        <w:t xml:space="preserve">0 </w:t>
      </w:r>
      <w:r>
        <w:rPr>
          <w:rFonts w:ascii="Times New Roman"/>
          <w:sz w:val="24"/>
        </w:rPr>
        <w:t>环境保护及水土保持规划</w:t>
      </w:r>
    </w:p>
    <w:p w14:paraId="741D9EC1"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.1</w:t>
      </w:r>
      <w:r>
        <w:rPr>
          <w:rFonts w:ascii="Times New Roman" w:eastAsia="宋体" w:hAnsi="Times New Roman"/>
          <w:sz w:val="24"/>
        </w:rPr>
        <w:t xml:space="preserve">0.1 </w:t>
      </w:r>
      <w:r>
        <w:rPr>
          <w:rFonts w:ascii="Times New Roman" w:eastAsia="宋体" w:hAnsi="宋体"/>
          <w:sz w:val="24"/>
        </w:rPr>
        <w:t>空气污染防治规划</w:t>
      </w:r>
    </w:p>
    <w:p w14:paraId="2F604DE5" w14:textId="77777777" w:rsidR="009C353B" w:rsidRDefault="00000000">
      <w:pPr>
        <w:adjustRightInd w:val="0"/>
        <w:snapToGrid w:val="0"/>
        <w:spacing w:line="440" w:lineRule="exact"/>
        <w:ind w:firstLine="480"/>
        <w:rPr>
          <w:rFonts w:ascii="Times New Roman" w:hint="eastAsia"/>
          <w:szCs w:val="24"/>
        </w:rPr>
      </w:pPr>
      <w:r>
        <w:rPr>
          <w:rFonts w:ascii="Times New Roman"/>
          <w:szCs w:val="24"/>
        </w:rPr>
        <w:t>大气环境污染物主要为煤矿</w:t>
      </w:r>
      <w:r>
        <w:rPr>
          <w:rFonts w:ascii="Times New Roman" w:hint="eastAsia"/>
          <w:szCs w:val="24"/>
        </w:rPr>
        <w:t>燃气</w:t>
      </w:r>
      <w:r>
        <w:rPr>
          <w:rFonts w:ascii="Times New Roman"/>
          <w:szCs w:val="24"/>
        </w:rPr>
        <w:t>锅炉产生的</w:t>
      </w:r>
      <w:r>
        <w:rPr>
          <w:rFonts w:ascii="Times New Roman" w:hint="eastAsia"/>
          <w:szCs w:val="24"/>
        </w:rPr>
        <w:t>颗粒物</w:t>
      </w:r>
      <w:r>
        <w:rPr>
          <w:rFonts w:ascii="Times New Roman"/>
          <w:szCs w:val="24"/>
        </w:rPr>
        <w:t>、氮氧化物，生产和运输过程中的扬尘等。</w:t>
      </w:r>
    </w:p>
    <w:p w14:paraId="1C9926BB" w14:textId="77777777" w:rsidR="009C353B" w:rsidRDefault="00000000">
      <w:pPr>
        <w:adjustRightInd w:val="0"/>
        <w:snapToGrid w:val="0"/>
        <w:spacing w:line="440" w:lineRule="exact"/>
        <w:ind w:firstLine="480"/>
        <w:rPr>
          <w:rFonts w:ascii="Times New Roman" w:hint="eastAsia"/>
          <w:szCs w:val="24"/>
        </w:rPr>
      </w:pPr>
      <w:r>
        <w:rPr>
          <w:rFonts w:ascii="Times New Roman" w:hint="eastAsia"/>
          <w:szCs w:val="24"/>
        </w:rPr>
        <w:t>（</w:t>
      </w:r>
      <w:r>
        <w:rPr>
          <w:rFonts w:ascii="Times New Roman" w:hint="eastAsia"/>
          <w:szCs w:val="24"/>
        </w:rPr>
        <w:t>1</w:t>
      </w:r>
      <w:r>
        <w:rPr>
          <w:rFonts w:ascii="Times New Roman" w:hint="eastAsia"/>
          <w:szCs w:val="24"/>
        </w:rPr>
        <w:t>）锅炉房烟气</w:t>
      </w:r>
    </w:p>
    <w:p w14:paraId="3A6F93EC" w14:textId="77777777" w:rsidR="009C353B" w:rsidRDefault="00000000">
      <w:pPr>
        <w:adjustRightInd w:val="0"/>
        <w:snapToGrid w:val="0"/>
        <w:spacing w:line="440" w:lineRule="exact"/>
        <w:ind w:firstLine="480"/>
        <w:rPr>
          <w:rFonts w:ascii="Times New Roman" w:hAnsi="Times New Roman"/>
          <w:szCs w:val="24"/>
        </w:rPr>
      </w:pPr>
      <w:r>
        <w:rPr>
          <w:rFonts w:ascii="Times New Roman" w:hAnsi="Times New Roman"/>
          <w:szCs w:val="24"/>
        </w:rPr>
        <w:t>规划区内马莲台矿井及选煤厂供热热源为</w:t>
      </w:r>
      <w:r>
        <w:rPr>
          <w:rFonts w:ascii="Times New Roman" w:hAnsi="Times New Roman"/>
        </w:rPr>
        <w:t>临河工业园区甲醇厂（</w:t>
      </w:r>
      <w:r>
        <w:rPr>
          <w:rFonts w:ascii="Times New Roman" w:hAnsi="Times New Roman"/>
        </w:rPr>
        <w:t>5×25MW</w:t>
      </w:r>
      <w:r>
        <w:rPr>
          <w:rFonts w:ascii="Times New Roman" w:hAnsi="Times New Roman"/>
        </w:rPr>
        <w:t>）自备热电站</w:t>
      </w:r>
      <w:r>
        <w:rPr>
          <w:rFonts w:ascii="Times New Roman" w:hAnsi="Times New Roman"/>
          <w:szCs w:val="24"/>
        </w:rPr>
        <w:t>，采用电厂余热集中供暖，没有烟气排放，对大气环境无影响。红石湾矿井及选煤厂供热热源</w:t>
      </w:r>
      <w:r>
        <w:rPr>
          <w:rFonts w:ascii="Times New Roman" w:hAnsi="Times New Roman"/>
          <w:szCs w:val="24"/>
        </w:rPr>
        <w:t>2017</w:t>
      </w:r>
      <w:r>
        <w:rPr>
          <w:rFonts w:ascii="Times New Roman" w:hAnsi="Times New Roman"/>
          <w:szCs w:val="24"/>
        </w:rPr>
        <w:t>年已进行改造，由周边生活垃圾焚烧电厂余热供热，没有烟气排放，对大气环境无影响。</w:t>
      </w:r>
    </w:p>
    <w:p w14:paraId="658AA338" w14:textId="77777777" w:rsidR="009C353B" w:rsidRDefault="00000000">
      <w:pPr>
        <w:adjustRightInd w:val="0"/>
        <w:snapToGrid w:val="0"/>
        <w:spacing w:line="440" w:lineRule="exact"/>
        <w:ind w:firstLine="480"/>
        <w:rPr>
          <w:rFonts w:ascii="Times New Roman" w:hAnsi="Times New Roman"/>
          <w:szCs w:val="24"/>
        </w:rPr>
      </w:pPr>
      <w:r>
        <w:rPr>
          <w:rFonts w:ascii="Times New Roman" w:hAnsi="Times New Roman"/>
          <w:szCs w:val="24"/>
        </w:rPr>
        <w:t>任家庄矿井及选煤厂现采暖采用燃气锅炉。规划要求任家庄工业场地锅炉房烟气治理后排放应符合《锅炉大气污染物排放标准》（</w:t>
      </w:r>
      <w:r>
        <w:rPr>
          <w:rFonts w:ascii="Times New Roman" w:hAnsi="Times New Roman"/>
          <w:szCs w:val="24"/>
        </w:rPr>
        <w:t>GB13271—2014</w:t>
      </w:r>
      <w:r>
        <w:rPr>
          <w:rFonts w:ascii="Times New Roman" w:hAnsi="Times New Roman"/>
          <w:szCs w:val="24"/>
        </w:rPr>
        <w:t>）燃气锅炉排放标准。</w:t>
      </w:r>
    </w:p>
    <w:p w14:paraId="12A4770F" w14:textId="77777777" w:rsidR="009C353B" w:rsidRDefault="00000000">
      <w:pPr>
        <w:adjustRightInd w:val="0"/>
        <w:snapToGrid w:val="0"/>
        <w:spacing w:line="440" w:lineRule="exact"/>
        <w:ind w:firstLine="480"/>
        <w:rPr>
          <w:rFonts w:ascii="Times New Roman" w:hAnsi="Times New Roman"/>
          <w:szCs w:val="24"/>
        </w:rPr>
      </w:pPr>
      <w:r>
        <w:rPr>
          <w:rFonts w:ascii="Times New Roman" w:hAnsi="Times New Roman"/>
          <w:szCs w:val="24"/>
        </w:rPr>
        <w:t>丁家梁矿井在建，采暖采用燃气锅炉，规划要求</w:t>
      </w:r>
      <w:r>
        <w:rPr>
          <w:rFonts w:ascii="Times New Roman" w:hAnsi="Times New Roman" w:hint="eastAsia"/>
          <w:szCs w:val="24"/>
        </w:rPr>
        <w:t>丁家梁</w:t>
      </w:r>
      <w:r>
        <w:rPr>
          <w:rFonts w:ascii="Times New Roman" w:hAnsi="Times New Roman"/>
          <w:szCs w:val="24"/>
        </w:rPr>
        <w:t>工业场地锅炉房烟气治理后排放应符合《锅炉大气污染物排放标准》（</w:t>
      </w:r>
      <w:r>
        <w:rPr>
          <w:rFonts w:ascii="Times New Roman" w:hAnsi="Times New Roman"/>
          <w:szCs w:val="24"/>
        </w:rPr>
        <w:t>GB13271—2014</w:t>
      </w:r>
      <w:r>
        <w:rPr>
          <w:rFonts w:ascii="Times New Roman" w:hAnsi="Times New Roman"/>
          <w:szCs w:val="24"/>
        </w:rPr>
        <w:t>）燃气锅炉排放标准。</w:t>
      </w:r>
    </w:p>
    <w:p w14:paraId="4A783A83" w14:textId="77777777" w:rsidR="009C353B" w:rsidRDefault="00000000">
      <w:pPr>
        <w:adjustRightInd w:val="0"/>
        <w:snapToGrid w:val="0"/>
        <w:spacing w:line="440" w:lineRule="exact"/>
        <w:ind w:firstLine="480"/>
        <w:rPr>
          <w:rFonts w:ascii="Times New Roman" w:hint="eastAsia"/>
          <w:szCs w:val="24"/>
        </w:rPr>
      </w:pPr>
      <w:r>
        <w:rPr>
          <w:rFonts w:ascii="Times New Roman" w:hint="eastAsia"/>
          <w:szCs w:val="24"/>
        </w:rPr>
        <w:t>（</w:t>
      </w:r>
      <w:r>
        <w:rPr>
          <w:rFonts w:ascii="Times New Roman" w:hint="eastAsia"/>
          <w:szCs w:val="24"/>
        </w:rPr>
        <w:t>2</w:t>
      </w:r>
      <w:r>
        <w:rPr>
          <w:rFonts w:ascii="Times New Roman" w:hint="eastAsia"/>
          <w:szCs w:val="24"/>
        </w:rPr>
        <w:t>）生产和运输过程中的扬尘</w:t>
      </w:r>
    </w:p>
    <w:p w14:paraId="0169990C" w14:textId="77777777" w:rsidR="009C353B" w:rsidRDefault="00000000">
      <w:pPr>
        <w:adjustRightInd w:val="0"/>
        <w:snapToGrid w:val="0"/>
        <w:spacing w:line="440" w:lineRule="exact"/>
        <w:ind w:firstLine="480"/>
        <w:rPr>
          <w:rFonts w:ascii="Times New Roman" w:hint="eastAsia"/>
          <w:szCs w:val="24"/>
        </w:rPr>
      </w:pPr>
      <w:r>
        <w:rPr>
          <w:rFonts w:ascii="Times New Roman"/>
          <w:szCs w:val="24"/>
        </w:rPr>
        <w:t>运营期对扬尘的控制主要表现在产生粉尘的生产环节应采取洒水降尘或封闭收尘措施，如含水率小于</w:t>
      </w:r>
      <w:r>
        <w:rPr>
          <w:rFonts w:ascii="Times New Roman"/>
          <w:szCs w:val="24"/>
        </w:rPr>
        <w:t>7%</w:t>
      </w:r>
      <w:r>
        <w:rPr>
          <w:rFonts w:ascii="Times New Roman"/>
          <w:szCs w:val="24"/>
        </w:rPr>
        <w:t>的煤炭进行筛选、破碎、转载时设置除尘设备；煤炭产品不露天、不落地，密闭贮运，设置煤仓或封闭式储煤场；临时矸石场应及时推平、碾压、覆土复垦恢复植被，在倾倒、碾压、覆土过程中应注意洒水降尘。</w:t>
      </w:r>
    </w:p>
    <w:p w14:paraId="4B211296" w14:textId="77777777" w:rsidR="009C353B" w:rsidRDefault="00000000">
      <w:pPr>
        <w:adjustRightInd w:val="0"/>
        <w:snapToGrid w:val="0"/>
        <w:spacing w:line="440" w:lineRule="exact"/>
        <w:ind w:firstLine="480"/>
        <w:rPr>
          <w:rFonts w:ascii="Times New Roman" w:hint="eastAsia"/>
          <w:szCs w:val="24"/>
        </w:rPr>
      </w:pPr>
      <w:r>
        <w:rPr>
          <w:rFonts w:ascii="Times New Roman"/>
          <w:szCs w:val="24"/>
        </w:rPr>
        <w:t>建设施工期对于扬尘的控制主要表现在土石方工程施工过程中应严格执行及时回填、易产生扬尘的建筑材料不得随意堆放、道路应定时洒水、大风天气停止土石方施工、运输车辆不得超载并用篷布蒙严盖实等。</w:t>
      </w:r>
    </w:p>
    <w:p w14:paraId="4ED2EB4B"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.1</w:t>
      </w:r>
      <w:r>
        <w:rPr>
          <w:rFonts w:ascii="Times New Roman" w:eastAsia="宋体" w:hAnsi="Times New Roman"/>
          <w:sz w:val="24"/>
        </w:rPr>
        <w:t xml:space="preserve">0.2 </w:t>
      </w:r>
      <w:r>
        <w:rPr>
          <w:rFonts w:ascii="Times New Roman" w:eastAsia="宋体" w:hAnsi="宋体"/>
          <w:sz w:val="24"/>
        </w:rPr>
        <w:t>水污染防治规划</w:t>
      </w:r>
    </w:p>
    <w:p w14:paraId="0C9989A5" w14:textId="77777777" w:rsidR="009C353B" w:rsidRDefault="00000000">
      <w:pPr>
        <w:adjustRightInd w:val="0"/>
        <w:snapToGrid w:val="0"/>
        <w:spacing w:line="440" w:lineRule="exact"/>
        <w:ind w:firstLineChars="200" w:firstLine="480"/>
        <w:rPr>
          <w:rFonts w:hint="eastAsia"/>
        </w:rPr>
      </w:pPr>
      <w:r>
        <w:rPr>
          <w:rFonts w:ascii="Times New Roman" w:hint="eastAsia"/>
        </w:rPr>
        <w:t>（</w:t>
      </w:r>
      <w:r>
        <w:rPr>
          <w:rFonts w:ascii="Times New Roman" w:hint="eastAsia"/>
        </w:rPr>
        <w:t>1</w:t>
      </w:r>
      <w:r>
        <w:rPr>
          <w:rFonts w:ascii="Times New Roman" w:hint="eastAsia"/>
        </w:rPr>
        <w:t>）生产、生活污废水防治措施</w:t>
      </w:r>
    </w:p>
    <w:p w14:paraId="794239E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生活污废水主要为施工期人员和运营期场地人员产生的污水，生产废水主要为矿井涌水、选煤厂生产废水。按照推荐的井田划分方案，矿区规划矿井形成设计能力</w:t>
      </w:r>
      <w:r>
        <w:rPr>
          <w:rFonts w:ascii="Times New Roman"/>
        </w:rPr>
        <w:t>9.20Mt/a</w:t>
      </w:r>
      <w:r>
        <w:rPr>
          <w:rFonts w:ascii="Times New Roman" w:hint="eastAsia"/>
        </w:rPr>
        <w:t>，全矿区生活污水排放量约</w:t>
      </w:r>
      <w:r>
        <w:rPr>
          <w:rFonts w:ascii="Times New Roman"/>
        </w:rPr>
        <w:t>376.2m</w:t>
      </w:r>
      <w:r>
        <w:rPr>
          <w:rFonts w:ascii="Times New Roman"/>
          <w:vertAlign w:val="superscript"/>
        </w:rPr>
        <w:t>3</w:t>
      </w:r>
      <w:r>
        <w:rPr>
          <w:rFonts w:ascii="Times New Roman"/>
        </w:rPr>
        <w:t>/d</w:t>
      </w:r>
      <w:r>
        <w:rPr>
          <w:rFonts w:ascii="Times New Roman" w:hint="eastAsia"/>
        </w:rPr>
        <w:t>，矿井井下排水量为</w:t>
      </w:r>
      <w:r>
        <w:rPr>
          <w:rFonts w:ascii="Times New Roman"/>
        </w:rPr>
        <w:t>31056</w:t>
      </w:r>
      <w:r>
        <w:rPr>
          <w:rFonts w:ascii="Times New Roman" w:hint="eastAsia"/>
        </w:rPr>
        <w:t>～</w:t>
      </w:r>
      <w:r>
        <w:rPr>
          <w:rFonts w:ascii="Times New Roman"/>
        </w:rPr>
        <w:t>47400m</w:t>
      </w:r>
      <w:r>
        <w:rPr>
          <w:rFonts w:ascii="Times New Roman"/>
          <w:vertAlign w:val="superscript"/>
        </w:rPr>
        <w:t>3</w:t>
      </w:r>
      <w:r>
        <w:rPr>
          <w:rFonts w:ascii="Times New Roman"/>
        </w:rPr>
        <w:t>/d</w:t>
      </w:r>
      <w:r>
        <w:rPr>
          <w:rFonts w:ascii="Times New Roman" w:hint="eastAsia"/>
        </w:rPr>
        <w:t>。</w:t>
      </w:r>
    </w:p>
    <w:p w14:paraId="7CB4779B" w14:textId="77777777" w:rsidR="009C353B" w:rsidRDefault="00000000">
      <w:pPr>
        <w:adjustRightInd w:val="0"/>
        <w:snapToGrid w:val="0"/>
        <w:spacing w:line="440" w:lineRule="exact"/>
        <w:ind w:firstLineChars="200" w:firstLine="480"/>
        <w:rPr>
          <w:rFonts w:ascii="Times New Roman" w:hint="eastAsia"/>
        </w:rPr>
      </w:pPr>
      <w:r>
        <w:rPr>
          <w:rFonts w:ascii="Times New Roman"/>
        </w:rPr>
        <w:t>1</w:t>
      </w:r>
      <w:r>
        <w:rPr>
          <w:rFonts w:ascii="Times New Roman" w:hint="eastAsia"/>
        </w:rPr>
        <w:t>）</w:t>
      </w:r>
      <w:r>
        <w:rPr>
          <w:rFonts w:ascii="Times New Roman"/>
        </w:rPr>
        <w:t xml:space="preserve"> </w:t>
      </w:r>
      <w:r>
        <w:rPr>
          <w:rFonts w:ascii="Times New Roman" w:hint="eastAsia"/>
        </w:rPr>
        <w:t>生活污废水的防治措施</w:t>
      </w:r>
    </w:p>
    <w:p w14:paraId="325D7F1A" w14:textId="77777777" w:rsidR="009C353B" w:rsidRDefault="00000000">
      <w:pPr>
        <w:adjustRightInd w:val="0"/>
        <w:snapToGrid w:val="0"/>
        <w:spacing w:line="440" w:lineRule="exact"/>
        <w:ind w:firstLineChars="200" w:firstLine="480"/>
        <w:rPr>
          <w:rFonts w:ascii="Times New Roman" w:hint="eastAsia"/>
        </w:rPr>
      </w:pPr>
      <w:r>
        <w:rPr>
          <w:rFonts w:ascii="Times New Roman"/>
        </w:rPr>
        <w:t>施工期人员产生的污废水严禁漫排，需设移动式生活污水综合处理设备进行处理，处理后的水可用于场地降尘和绿化等；运营期工作人员产生的污废水由各矿井各自处理，在工业场地建生活污水处理站，采用“二级生化或生物接触氧化”等处理工艺进行处理，出水需达到《污水综合排放标准》中一级标准和回用水水质要求，全部回用不外排。</w:t>
      </w:r>
    </w:p>
    <w:p w14:paraId="47E1E3C8" w14:textId="77777777" w:rsidR="009C353B" w:rsidRDefault="00000000">
      <w:pPr>
        <w:adjustRightInd w:val="0"/>
        <w:snapToGrid w:val="0"/>
        <w:spacing w:line="440" w:lineRule="exact"/>
        <w:ind w:firstLineChars="200" w:firstLine="480"/>
        <w:rPr>
          <w:rFonts w:ascii="Times New Roman" w:hint="eastAsia"/>
        </w:rPr>
      </w:pPr>
      <w:r>
        <w:rPr>
          <w:rFonts w:ascii="Times New Roman"/>
        </w:rPr>
        <w:t>2</w:t>
      </w:r>
      <w:r>
        <w:rPr>
          <w:rFonts w:ascii="Times New Roman" w:hint="eastAsia"/>
        </w:rPr>
        <w:t>）</w:t>
      </w:r>
      <w:r>
        <w:rPr>
          <w:rFonts w:ascii="Times New Roman"/>
        </w:rPr>
        <w:t xml:space="preserve"> </w:t>
      </w:r>
      <w:r>
        <w:rPr>
          <w:rFonts w:ascii="Times New Roman" w:hint="eastAsia"/>
        </w:rPr>
        <w:t>生产废水的防治措施</w:t>
      </w:r>
    </w:p>
    <w:p w14:paraId="3FEC599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选煤厂煤泥水必须实现厂内闭路循环不外排，为防止事故状态下外排，选煤厂应设立事故浓缩池，事故浓缩池应与最大的一座工作浓缩池相同。设备选型和煤泥水处理工艺应达到一级闭路循环的要求。</w:t>
      </w:r>
    </w:p>
    <w:p w14:paraId="69366300" w14:textId="77777777" w:rsidR="009C353B" w:rsidRDefault="00000000">
      <w:pPr>
        <w:adjustRightInd w:val="0"/>
        <w:snapToGrid w:val="0"/>
        <w:spacing w:line="440" w:lineRule="exact"/>
        <w:ind w:firstLineChars="200" w:firstLine="480"/>
        <w:rPr>
          <w:rFonts w:ascii="Times New Roman" w:hint="eastAsia"/>
        </w:rPr>
      </w:pPr>
      <w:r>
        <w:rPr>
          <w:rFonts w:ascii="Times New Roman"/>
        </w:rPr>
        <w:t>矿井井下涌水应在各自矿井的工业场地内设井下水处理站进行处理，采用“混凝沉淀</w:t>
      </w:r>
      <w:r>
        <w:rPr>
          <w:rFonts w:ascii="Times New Roman"/>
        </w:rPr>
        <w:t>+</w:t>
      </w:r>
      <w:r>
        <w:rPr>
          <w:rFonts w:ascii="Times New Roman"/>
        </w:rPr>
        <w:t>过滤”等处理工艺和相应的深度处理工艺，使得出水能够达到回用于本矿井生产用水的标准，多余水达到《煤炭工业污染物排放标准》（</w:t>
      </w:r>
      <w:r>
        <w:rPr>
          <w:rFonts w:ascii="Times New Roman"/>
        </w:rPr>
        <w:t>GB20426-2006</w:t>
      </w:r>
      <w:r>
        <w:rPr>
          <w:rFonts w:ascii="Times New Roman"/>
        </w:rPr>
        <w:t>）、《污水综合排放标准》（</w:t>
      </w:r>
      <w:r>
        <w:rPr>
          <w:rFonts w:ascii="Times New Roman"/>
        </w:rPr>
        <w:t>GB8978</w:t>
      </w:r>
      <w:r>
        <w:rPr>
          <w:rFonts w:ascii="Times New Roman"/>
        </w:rPr>
        <w:t>—</w:t>
      </w:r>
      <w:r>
        <w:rPr>
          <w:rFonts w:ascii="Times New Roman"/>
        </w:rPr>
        <w:t>1996</w:t>
      </w:r>
      <w:r>
        <w:rPr>
          <w:rFonts w:ascii="Times New Roman"/>
        </w:rPr>
        <w:t>）水质标准后</w:t>
      </w:r>
      <w:r>
        <w:rPr>
          <w:rFonts w:ascii="Times New Roman" w:hint="eastAsia"/>
        </w:rPr>
        <w:t>，送至临河综合工业园区和宁东煤化工园区。由于规划区矿井排水矿化度高，因此在工业园区内将矿井水与黄河水混合后回用于园区内生产用水，矿井水利用率不低于</w:t>
      </w:r>
      <w:r>
        <w:rPr>
          <w:rFonts w:ascii="Times New Roman"/>
        </w:rPr>
        <w:t>85%</w:t>
      </w:r>
      <w:r>
        <w:rPr>
          <w:rFonts w:ascii="Times New Roman" w:hint="eastAsia"/>
        </w:rPr>
        <w:t>。</w:t>
      </w:r>
    </w:p>
    <w:p w14:paraId="6680F31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2</w:t>
      </w:r>
      <w:r>
        <w:rPr>
          <w:rFonts w:ascii="Times New Roman" w:hint="eastAsia"/>
        </w:rPr>
        <w:t>）水资源保护</w:t>
      </w:r>
    </w:p>
    <w:p w14:paraId="7BFA3EA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加强对水源地的监督管理，禁止所有破坏与水源地保护相关的活动，并应种植水保防护林。</w:t>
      </w:r>
    </w:p>
    <w:p w14:paraId="4A4348B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合理开采和调配生产、生活用水量，实行用污排净的清洁生产原则，并加强提高水的重复利用率以节约水资源。</w:t>
      </w:r>
    </w:p>
    <w:p w14:paraId="1249749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排矸场设防渗措施，设拦矸坝，设截、排水沟将雨水截留引至下游，防止矸石受到雨水浸泡冲刷，将有害因子进入土壤和地下水。</w:t>
      </w:r>
    </w:p>
    <w:p w14:paraId="270B8699"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.1</w:t>
      </w:r>
      <w:r>
        <w:rPr>
          <w:rFonts w:ascii="Times New Roman" w:eastAsia="宋体" w:hAnsi="Times New Roman"/>
          <w:sz w:val="24"/>
        </w:rPr>
        <w:t xml:space="preserve">0.3 </w:t>
      </w:r>
      <w:r>
        <w:rPr>
          <w:rFonts w:ascii="Times New Roman" w:eastAsia="宋体" w:hAnsi="宋体"/>
          <w:sz w:val="24"/>
        </w:rPr>
        <w:t>固体废物处理及综合利用</w:t>
      </w:r>
    </w:p>
    <w:p w14:paraId="0037741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横城矿区规划的</w:t>
      </w:r>
      <w:r>
        <w:rPr>
          <w:rFonts w:ascii="Times New Roman" w:hint="eastAsia"/>
        </w:rPr>
        <w:t>4</w:t>
      </w:r>
      <w:r>
        <w:rPr>
          <w:rFonts w:ascii="Times New Roman" w:hint="eastAsia"/>
        </w:rPr>
        <w:t>个矿井及</w:t>
      </w:r>
      <w:r>
        <w:rPr>
          <w:rFonts w:ascii="Times New Roman" w:hint="eastAsia"/>
        </w:rPr>
        <w:t>3</w:t>
      </w:r>
      <w:r>
        <w:rPr>
          <w:rFonts w:ascii="Times New Roman" w:hint="eastAsia"/>
        </w:rPr>
        <w:t>个选煤厂，其中除丁家梁矿井为在建外，其余矿井及选煤厂均已投产运行，在建丁家梁矿井工业场地平整工作已完成，规划的辅助企业均为已有。固体废弃物主要为掘进矸石、洗选矸石和生产人员的生活垃圾</w:t>
      </w:r>
      <w:r>
        <w:rPr>
          <w:rFonts w:ascii="Times New Roman"/>
        </w:rPr>
        <w:t>。</w:t>
      </w:r>
      <w:r>
        <w:rPr>
          <w:rFonts w:ascii="Times New Roman" w:hint="eastAsia"/>
        </w:rPr>
        <w:t>产生量见表</w:t>
      </w:r>
      <w:r>
        <w:rPr>
          <w:rFonts w:ascii="Times New Roman" w:hint="eastAsia"/>
        </w:rPr>
        <w:t>2.3-16</w:t>
      </w:r>
      <w:r>
        <w:rPr>
          <w:rFonts w:ascii="Times New Roman" w:hint="eastAsia"/>
        </w:rPr>
        <w:t>。</w:t>
      </w:r>
    </w:p>
    <w:p w14:paraId="6A6CC43B" w14:textId="77777777" w:rsidR="009C353B" w:rsidRDefault="00000000">
      <w:pPr>
        <w:jc w:val="center"/>
        <w:rPr>
          <w:rFonts w:ascii="Times New Roman" w:hAnsi="Times New Roman"/>
          <w:b/>
        </w:rPr>
      </w:pPr>
      <w:r>
        <w:rPr>
          <w:rFonts w:ascii="Times New Roman" w:hAnsi="Times New Roman" w:hint="eastAsia"/>
          <w:b/>
        </w:rPr>
        <w:t>矿区固体废弃物产生量一览表</w:t>
      </w:r>
    </w:p>
    <w:p w14:paraId="69B108A3" w14:textId="77777777" w:rsidR="009C353B" w:rsidRDefault="00000000">
      <w:pPr>
        <w:pStyle w:val="affffd"/>
        <w:spacing w:line="440" w:lineRule="exact"/>
        <w:rPr>
          <w:rFonts w:ascii="Times New Roman" w:hint="eastAsia"/>
        </w:rPr>
      </w:pPr>
      <w:r>
        <w:rPr>
          <w:rFonts w:ascii="Times New Roman" w:hint="eastAsia"/>
        </w:rPr>
        <w:t>表</w:t>
      </w:r>
      <w:r>
        <w:rPr>
          <w:rFonts w:ascii="Times New Roman" w:hint="eastAsia"/>
        </w:rPr>
        <w:t>2.3-16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
        <w:gridCol w:w="2781"/>
        <w:gridCol w:w="1872"/>
        <w:gridCol w:w="1296"/>
        <w:gridCol w:w="2376"/>
      </w:tblGrid>
      <w:tr w:rsidR="009C353B" w14:paraId="58B4C305" w14:textId="77777777">
        <w:trPr>
          <w:trHeight w:val="397"/>
          <w:jc w:val="center"/>
        </w:trPr>
        <w:tc>
          <w:tcPr>
            <w:tcW w:w="518" w:type="pct"/>
            <w:vAlign w:val="center"/>
          </w:tcPr>
          <w:p w14:paraId="47A55172" w14:textId="77777777" w:rsidR="009C353B" w:rsidRDefault="00000000">
            <w:pPr>
              <w:pStyle w:val="01"/>
              <w:rPr>
                <w:rFonts w:ascii="Times New Roman" w:eastAsiaTheme="minorEastAsia" w:hAnsi="Times New Roman"/>
              </w:rPr>
            </w:pPr>
            <w:r>
              <w:rPr>
                <w:rFonts w:ascii="Times New Roman" w:eastAsiaTheme="minorEastAsia" w:hAnsi="Times New Roman"/>
              </w:rPr>
              <w:t>序号</w:t>
            </w:r>
          </w:p>
        </w:tc>
        <w:tc>
          <w:tcPr>
            <w:tcW w:w="1497" w:type="pct"/>
            <w:vAlign w:val="center"/>
          </w:tcPr>
          <w:p w14:paraId="2C326266" w14:textId="77777777" w:rsidR="009C353B" w:rsidRDefault="00000000">
            <w:pPr>
              <w:pStyle w:val="01"/>
              <w:rPr>
                <w:rFonts w:ascii="Times New Roman" w:eastAsiaTheme="minorEastAsia" w:hAnsi="Times New Roman"/>
              </w:rPr>
            </w:pPr>
            <w:r>
              <w:rPr>
                <w:rFonts w:ascii="Times New Roman" w:eastAsiaTheme="minorEastAsia" w:hAnsi="Times New Roman"/>
              </w:rPr>
              <w:t>名</w:t>
            </w:r>
            <w:r>
              <w:rPr>
                <w:rFonts w:ascii="Times New Roman" w:eastAsiaTheme="minorEastAsia" w:hAnsi="Times New Roman"/>
              </w:rPr>
              <w:t xml:space="preserve"> </w:t>
            </w:r>
            <w:r>
              <w:rPr>
                <w:rFonts w:ascii="Times New Roman" w:eastAsiaTheme="minorEastAsia" w:hAnsi="Times New Roman"/>
              </w:rPr>
              <w:t>称</w:t>
            </w:r>
          </w:p>
        </w:tc>
        <w:tc>
          <w:tcPr>
            <w:tcW w:w="1008" w:type="pct"/>
            <w:vAlign w:val="center"/>
          </w:tcPr>
          <w:p w14:paraId="23F5B0AF" w14:textId="77777777" w:rsidR="009C353B" w:rsidRDefault="00000000">
            <w:pPr>
              <w:pStyle w:val="01"/>
              <w:rPr>
                <w:rFonts w:ascii="Times New Roman" w:eastAsiaTheme="minorEastAsia" w:hAnsi="Times New Roman"/>
              </w:rPr>
            </w:pPr>
            <w:r>
              <w:rPr>
                <w:rFonts w:ascii="Times New Roman" w:eastAsiaTheme="minorEastAsia" w:hAnsi="Times New Roman"/>
              </w:rPr>
              <w:t>掘进矸石</w:t>
            </w:r>
          </w:p>
        </w:tc>
        <w:tc>
          <w:tcPr>
            <w:tcW w:w="698" w:type="pct"/>
            <w:vAlign w:val="center"/>
          </w:tcPr>
          <w:p w14:paraId="2387E3F2" w14:textId="77777777" w:rsidR="009C353B" w:rsidRDefault="00000000">
            <w:pPr>
              <w:pStyle w:val="01"/>
              <w:rPr>
                <w:rFonts w:ascii="Times New Roman" w:eastAsiaTheme="minorEastAsia" w:hAnsi="Times New Roman"/>
              </w:rPr>
            </w:pPr>
            <w:r>
              <w:rPr>
                <w:rFonts w:ascii="Times New Roman" w:eastAsiaTheme="minorEastAsia" w:hAnsi="Times New Roman"/>
              </w:rPr>
              <w:t>洗选矸石</w:t>
            </w:r>
          </w:p>
        </w:tc>
        <w:tc>
          <w:tcPr>
            <w:tcW w:w="1279" w:type="pct"/>
            <w:vAlign w:val="center"/>
          </w:tcPr>
          <w:p w14:paraId="2F40817F" w14:textId="77777777" w:rsidR="009C353B" w:rsidRDefault="00000000">
            <w:pPr>
              <w:pStyle w:val="01"/>
              <w:rPr>
                <w:rFonts w:ascii="Times New Roman" w:eastAsiaTheme="minorEastAsia" w:hAnsi="Times New Roman"/>
              </w:rPr>
            </w:pPr>
            <w:r>
              <w:rPr>
                <w:rFonts w:ascii="Times New Roman" w:eastAsiaTheme="minorEastAsia" w:hAnsi="Times New Roman"/>
              </w:rPr>
              <w:t>生活垃圾</w:t>
            </w:r>
          </w:p>
        </w:tc>
      </w:tr>
      <w:tr w:rsidR="009C353B" w14:paraId="16E75701" w14:textId="77777777">
        <w:trPr>
          <w:trHeight w:val="397"/>
          <w:jc w:val="center"/>
        </w:trPr>
        <w:tc>
          <w:tcPr>
            <w:tcW w:w="518" w:type="pct"/>
            <w:vAlign w:val="center"/>
          </w:tcPr>
          <w:p w14:paraId="29AA8783" w14:textId="77777777" w:rsidR="009C353B" w:rsidRDefault="00000000">
            <w:pPr>
              <w:pStyle w:val="01"/>
              <w:rPr>
                <w:rFonts w:ascii="Times New Roman" w:eastAsiaTheme="minorEastAsia" w:hAnsi="Times New Roman"/>
              </w:rPr>
            </w:pPr>
            <w:r>
              <w:rPr>
                <w:rFonts w:ascii="Times New Roman" w:eastAsiaTheme="minorEastAsia" w:hAnsi="Times New Roman"/>
              </w:rPr>
              <w:t>1</w:t>
            </w:r>
          </w:p>
        </w:tc>
        <w:tc>
          <w:tcPr>
            <w:tcW w:w="1497" w:type="pct"/>
            <w:vAlign w:val="center"/>
          </w:tcPr>
          <w:p w14:paraId="0E1D6743" w14:textId="77777777" w:rsidR="009C353B" w:rsidRDefault="00000000">
            <w:pPr>
              <w:pStyle w:val="01"/>
              <w:rPr>
                <w:rFonts w:ascii="Times New Roman" w:eastAsiaTheme="minorEastAsia" w:hAnsi="Times New Roman"/>
              </w:rPr>
            </w:pPr>
            <w:r>
              <w:rPr>
                <w:rStyle w:val="152"/>
                <w:rFonts w:ascii="Times New Roman" w:eastAsiaTheme="minorEastAsia" w:hAnsi="Times New Roman" w:hint="default"/>
                <w:color w:val="auto"/>
              </w:rPr>
              <w:t>马莲台矿井及选煤厂</w:t>
            </w:r>
          </w:p>
        </w:tc>
        <w:tc>
          <w:tcPr>
            <w:tcW w:w="1008" w:type="pct"/>
            <w:vAlign w:val="center"/>
          </w:tcPr>
          <w:p w14:paraId="190F316F" w14:textId="77777777" w:rsidR="009C353B" w:rsidRDefault="00000000">
            <w:pPr>
              <w:pStyle w:val="01"/>
              <w:rPr>
                <w:rFonts w:ascii="Times New Roman" w:eastAsiaTheme="minorEastAsia" w:hAnsi="Times New Roman"/>
              </w:rPr>
            </w:pPr>
            <w:r>
              <w:rPr>
                <w:rFonts w:ascii="Times New Roman" w:eastAsiaTheme="minorEastAsia" w:hAnsi="Times New Roman"/>
              </w:rPr>
              <w:t>6</w:t>
            </w:r>
            <w:r>
              <w:rPr>
                <w:rFonts w:ascii="Times New Roman" w:eastAsiaTheme="minorEastAsia" w:hAnsi="Times New Roman"/>
              </w:rPr>
              <w:t>万</w:t>
            </w:r>
            <w:r>
              <w:rPr>
                <w:rFonts w:ascii="Times New Roman" w:eastAsiaTheme="minorEastAsia" w:hAnsi="Times New Roman"/>
              </w:rPr>
              <w:t>t/a</w:t>
            </w:r>
          </w:p>
        </w:tc>
        <w:tc>
          <w:tcPr>
            <w:tcW w:w="698" w:type="pct"/>
            <w:vAlign w:val="center"/>
          </w:tcPr>
          <w:p w14:paraId="76E83CB9" w14:textId="77777777" w:rsidR="009C353B" w:rsidRDefault="00000000">
            <w:pPr>
              <w:pStyle w:val="01"/>
              <w:rPr>
                <w:rFonts w:ascii="Times New Roman" w:eastAsiaTheme="minorEastAsia" w:hAnsi="Times New Roman"/>
              </w:rPr>
            </w:pPr>
            <w:r>
              <w:rPr>
                <w:rFonts w:ascii="Times New Roman" w:eastAsiaTheme="minorEastAsia" w:hAnsi="Times New Roman"/>
              </w:rPr>
              <w:t>311</w:t>
            </w:r>
            <w:r>
              <w:rPr>
                <w:rFonts w:ascii="Times New Roman" w:eastAsiaTheme="minorEastAsia" w:hAnsi="Times New Roman"/>
              </w:rPr>
              <w:t>万</w:t>
            </w:r>
            <w:r>
              <w:rPr>
                <w:rFonts w:ascii="Times New Roman" w:eastAsiaTheme="minorEastAsia" w:hAnsi="Times New Roman"/>
              </w:rPr>
              <w:t>t/a</w:t>
            </w:r>
          </w:p>
        </w:tc>
        <w:tc>
          <w:tcPr>
            <w:tcW w:w="1279" w:type="pct"/>
            <w:vAlign w:val="center"/>
          </w:tcPr>
          <w:p w14:paraId="466E7766" w14:textId="77777777" w:rsidR="009C353B" w:rsidRDefault="00000000">
            <w:pPr>
              <w:pStyle w:val="01"/>
              <w:rPr>
                <w:rFonts w:ascii="Times New Roman" w:eastAsiaTheme="minorEastAsia" w:hAnsi="Times New Roman"/>
              </w:rPr>
            </w:pPr>
            <w:r>
              <w:rPr>
                <w:rFonts w:ascii="Times New Roman" w:eastAsiaTheme="minorEastAsia" w:hAnsi="Times New Roman"/>
              </w:rPr>
              <w:t>444.6t/a</w:t>
            </w:r>
          </w:p>
        </w:tc>
      </w:tr>
      <w:tr w:rsidR="009C353B" w14:paraId="6D3C1544" w14:textId="77777777">
        <w:trPr>
          <w:trHeight w:val="397"/>
          <w:jc w:val="center"/>
        </w:trPr>
        <w:tc>
          <w:tcPr>
            <w:tcW w:w="518" w:type="pct"/>
            <w:vAlign w:val="center"/>
          </w:tcPr>
          <w:p w14:paraId="440177C3" w14:textId="77777777" w:rsidR="009C353B" w:rsidRDefault="00000000">
            <w:pPr>
              <w:pStyle w:val="01"/>
              <w:rPr>
                <w:rFonts w:ascii="Times New Roman" w:eastAsiaTheme="minorEastAsia" w:hAnsi="Times New Roman"/>
              </w:rPr>
            </w:pPr>
            <w:r>
              <w:rPr>
                <w:rFonts w:ascii="Times New Roman" w:eastAsiaTheme="minorEastAsia" w:hAnsi="Times New Roman"/>
              </w:rPr>
              <w:t>2</w:t>
            </w:r>
          </w:p>
        </w:tc>
        <w:tc>
          <w:tcPr>
            <w:tcW w:w="1497" w:type="pct"/>
            <w:vAlign w:val="center"/>
          </w:tcPr>
          <w:p w14:paraId="075C48BD" w14:textId="77777777" w:rsidR="009C353B" w:rsidRDefault="00000000">
            <w:pPr>
              <w:pStyle w:val="01"/>
              <w:rPr>
                <w:rFonts w:ascii="Times New Roman" w:eastAsiaTheme="minorEastAsia" w:hAnsi="Times New Roman"/>
              </w:rPr>
            </w:pPr>
            <w:r>
              <w:rPr>
                <w:rStyle w:val="152"/>
                <w:rFonts w:ascii="Times New Roman" w:eastAsiaTheme="minorEastAsia" w:hAnsi="Times New Roman" w:hint="default"/>
                <w:color w:val="auto"/>
              </w:rPr>
              <w:t>任家庄矿井及选煤厂</w:t>
            </w:r>
          </w:p>
        </w:tc>
        <w:tc>
          <w:tcPr>
            <w:tcW w:w="1008" w:type="pct"/>
            <w:vAlign w:val="center"/>
          </w:tcPr>
          <w:p w14:paraId="7A5F266A" w14:textId="77777777" w:rsidR="009C353B" w:rsidRDefault="00000000">
            <w:pPr>
              <w:pStyle w:val="01"/>
              <w:rPr>
                <w:rFonts w:ascii="Times New Roman" w:eastAsiaTheme="minorEastAsia" w:hAnsi="Times New Roman"/>
              </w:rPr>
            </w:pPr>
            <w:r>
              <w:rPr>
                <w:rFonts w:ascii="Times New Roman" w:eastAsiaTheme="minorEastAsia" w:hAnsi="Times New Roman"/>
              </w:rPr>
              <w:t>6</w:t>
            </w:r>
            <w:r>
              <w:rPr>
                <w:rFonts w:ascii="Times New Roman" w:eastAsiaTheme="minorEastAsia" w:hAnsi="Times New Roman"/>
              </w:rPr>
              <w:t>万</w:t>
            </w:r>
            <w:r>
              <w:rPr>
                <w:rFonts w:ascii="Times New Roman" w:eastAsiaTheme="minorEastAsia" w:hAnsi="Times New Roman"/>
              </w:rPr>
              <w:t>t/a</w:t>
            </w:r>
          </w:p>
        </w:tc>
        <w:tc>
          <w:tcPr>
            <w:tcW w:w="698" w:type="pct"/>
            <w:vAlign w:val="center"/>
          </w:tcPr>
          <w:p w14:paraId="2F51B3B5" w14:textId="77777777" w:rsidR="009C353B" w:rsidRDefault="00000000">
            <w:pPr>
              <w:pStyle w:val="01"/>
              <w:rPr>
                <w:rFonts w:ascii="Times New Roman" w:eastAsiaTheme="minorEastAsia" w:hAnsi="Times New Roman"/>
              </w:rPr>
            </w:pPr>
            <w:r>
              <w:rPr>
                <w:rFonts w:ascii="Times New Roman" w:eastAsiaTheme="minorEastAsia" w:hAnsi="Times New Roman"/>
              </w:rPr>
              <w:t>148</w:t>
            </w:r>
            <w:r>
              <w:rPr>
                <w:rFonts w:ascii="Times New Roman" w:eastAsiaTheme="minorEastAsia" w:hAnsi="Times New Roman"/>
              </w:rPr>
              <w:t>万</w:t>
            </w:r>
            <w:r>
              <w:rPr>
                <w:rFonts w:ascii="Times New Roman" w:eastAsiaTheme="minorEastAsia" w:hAnsi="Times New Roman"/>
              </w:rPr>
              <w:t>t/a</w:t>
            </w:r>
          </w:p>
        </w:tc>
        <w:tc>
          <w:tcPr>
            <w:tcW w:w="1279" w:type="pct"/>
            <w:vAlign w:val="center"/>
          </w:tcPr>
          <w:p w14:paraId="6C6802B0" w14:textId="77777777" w:rsidR="009C353B" w:rsidRDefault="00000000">
            <w:pPr>
              <w:pStyle w:val="01"/>
              <w:rPr>
                <w:rFonts w:ascii="Times New Roman" w:eastAsiaTheme="minorEastAsia" w:hAnsi="Times New Roman"/>
              </w:rPr>
            </w:pPr>
            <w:r>
              <w:rPr>
                <w:rFonts w:ascii="Times New Roman" w:eastAsiaTheme="minorEastAsia" w:hAnsi="Times New Roman"/>
              </w:rPr>
              <w:t>516.1t/a</w:t>
            </w:r>
          </w:p>
        </w:tc>
      </w:tr>
      <w:tr w:rsidR="009C353B" w14:paraId="47CB68E7" w14:textId="77777777">
        <w:trPr>
          <w:trHeight w:val="397"/>
          <w:jc w:val="center"/>
        </w:trPr>
        <w:tc>
          <w:tcPr>
            <w:tcW w:w="518" w:type="pct"/>
            <w:vAlign w:val="center"/>
          </w:tcPr>
          <w:p w14:paraId="3508D14F" w14:textId="77777777" w:rsidR="009C353B" w:rsidRDefault="00000000">
            <w:pPr>
              <w:pStyle w:val="01"/>
              <w:rPr>
                <w:rFonts w:ascii="Times New Roman" w:eastAsiaTheme="minorEastAsia" w:hAnsi="Times New Roman"/>
              </w:rPr>
            </w:pPr>
            <w:r>
              <w:rPr>
                <w:rFonts w:ascii="Times New Roman" w:eastAsiaTheme="minorEastAsia" w:hAnsi="Times New Roman"/>
              </w:rPr>
              <w:t>3</w:t>
            </w:r>
          </w:p>
        </w:tc>
        <w:tc>
          <w:tcPr>
            <w:tcW w:w="1497" w:type="pct"/>
            <w:vAlign w:val="center"/>
          </w:tcPr>
          <w:p w14:paraId="2E528410" w14:textId="77777777" w:rsidR="009C353B" w:rsidRDefault="00000000">
            <w:pPr>
              <w:pStyle w:val="01"/>
              <w:rPr>
                <w:rFonts w:ascii="Times New Roman" w:eastAsiaTheme="minorEastAsia" w:hAnsi="Times New Roman"/>
              </w:rPr>
            </w:pPr>
            <w:r>
              <w:rPr>
                <w:rStyle w:val="152"/>
                <w:rFonts w:ascii="Times New Roman" w:eastAsiaTheme="minorEastAsia" w:hAnsi="Times New Roman" w:hint="default"/>
                <w:color w:val="auto"/>
              </w:rPr>
              <w:t>红石湾矿井及选煤厂</w:t>
            </w:r>
          </w:p>
        </w:tc>
        <w:tc>
          <w:tcPr>
            <w:tcW w:w="1008" w:type="pct"/>
            <w:vAlign w:val="center"/>
          </w:tcPr>
          <w:p w14:paraId="2EA134C7" w14:textId="77777777" w:rsidR="009C353B" w:rsidRDefault="00000000">
            <w:pPr>
              <w:pStyle w:val="01"/>
              <w:rPr>
                <w:rFonts w:ascii="Times New Roman" w:eastAsiaTheme="minorEastAsia" w:hAnsi="Times New Roman"/>
              </w:rPr>
            </w:pPr>
            <w:r>
              <w:rPr>
                <w:rFonts w:ascii="Times New Roman" w:eastAsiaTheme="minorEastAsia" w:hAnsi="Times New Roman"/>
              </w:rPr>
              <w:t>5</w:t>
            </w:r>
            <w:r>
              <w:rPr>
                <w:rFonts w:ascii="Times New Roman" w:eastAsiaTheme="minorEastAsia" w:hAnsi="Times New Roman"/>
              </w:rPr>
              <w:t>万</w:t>
            </w:r>
            <w:r>
              <w:rPr>
                <w:rFonts w:ascii="Times New Roman" w:eastAsiaTheme="minorEastAsia" w:hAnsi="Times New Roman"/>
              </w:rPr>
              <w:t>t/a</w:t>
            </w:r>
          </w:p>
        </w:tc>
        <w:tc>
          <w:tcPr>
            <w:tcW w:w="698" w:type="pct"/>
            <w:vAlign w:val="center"/>
          </w:tcPr>
          <w:p w14:paraId="79727D66" w14:textId="77777777" w:rsidR="009C353B" w:rsidRDefault="00000000">
            <w:pPr>
              <w:pStyle w:val="01"/>
              <w:rPr>
                <w:rFonts w:ascii="Times New Roman" w:eastAsiaTheme="minorEastAsia" w:hAnsi="Times New Roman"/>
              </w:rPr>
            </w:pPr>
            <w:r>
              <w:rPr>
                <w:rFonts w:ascii="Times New Roman" w:eastAsiaTheme="minorEastAsia" w:hAnsi="Times New Roman"/>
              </w:rPr>
              <w:t>36</w:t>
            </w:r>
            <w:r>
              <w:rPr>
                <w:rFonts w:ascii="Times New Roman" w:eastAsiaTheme="minorEastAsia" w:hAnsi="Times New Roman"/>
              </w:rPr>
              <w:t>万</w:t>
            </w:r>
            <w:r>
              <w:rPr>
                <w:rFonts w:ascii="Times New Roman" w:eastAsiaTheme="minorEastAsia" w:hAnsi="Times New Roman"/>
              </w:rPr>
              <w:t>t/a</w:t>
            </w:r>
          </w:p>
        </w:tc>
        <w:tc>
          <w:tcPr>
            <w:tcW w:w="1279" w:type="pct"/>
            <w:vAlign w:val="center"/>
          </w:tcPr>
          <w:p w14:paraId="38419A5B" w14:textId="77777777" w:rsidR="009C353B" w:rsidRDefault="00000000">
            <w:pPr>
              <w:pStyle w:val="01"/>
              <w:rPr>
                <w:rFonts w:ascii="Times New Roman" w:eastAsiaTheme="minorEastAsia" w:hAnsi="Times New Roman"/>
              </w:rPr>
            </w:pPr>
            <w:r>
              <w:rPr>
                <w:rFonts w:ascii="Times New Roman" w:eastAsiaTheme="minorEastAsia" w:hAnsi="Times New Roman"/>
              </w:rPr>
              <w:t>357t/a</w:t>
            </w:r>
          </w:p>
        </w:tc>
      </w:tr>
      <w:tr w:rsidR="009C353B" w14:paraId="67CDB059" w14:textId="77777777">
        <w:trPr>
          <w:trHeight w:val="397"/>
          <w:jc w:val="center"/>
        </w:trPr>
        <w:tc>
          <w:tcPr>
            <w:tcW w:w="518" w:type="pct"/>
            <w:vAlign w:val="center"/>
          </w:tcPr>
          <w:p w14:paraId="61844992" w14:textId="77777777" w:rsidR="009C353B" w:rsidRDefault="00000000">
            <w:pPr>
              <w:pStyle w:val="01"/>
              <w:rPr>
                <w:rFonts w:ascii="Times New Roman" w:eastAsiaTheme="minorEastAsia" w:hAnsi="Times New Roman"/>
              </w:rPr>
            </w:pPr>
            <w:r>
              <w:rPr>
                <w:rFonts w:ascii="Times New Roman" w:eastAsiaTheme="minorEastAsia" w:hAnsi="Times New Roman"/>
              </w:rPr>
              <w:t>4</w:t>
            </w:r>
          </w:p>
        </w:tc>
        <w:tc>
          <w:tcPr>
            <w:tcW w:w="1497" w:type="pct"/>
            <w:vAlign w:val="center"/>
          </w:tcPr>
          <w:p w14:paraId="2B075635" w14:textId="77777777" w:rsidR="009C353B" w:rsidRDefault="00000000">
            <w:pPr>
              <w:pStyle w:val="01"/>
              <w:rPr>
                <w:rStyle w:val="152"/>
                <w:rFonts w:ascii="Times New Roman" w:eastAsiaTheme="minorEastAsia" w:hAnsi="Times New Roman" w:hint="default"/>
                <w:color w:val="auto"/>
              </w:rPr>
            </w:pPr>
            <w:r>
              <w:rPr>
                <w:rStyle w:val="152"/>
                <w:rFonts w:ascii="Times New Roman" w:eastAsiaTheme="minorEastAsia" w:hAnsi="Times New Roman" w:hint="default"/>
                <w:color w:val="auto"/>
              </w:rPr>
              <w:t>丁家梁矿井</w:t>
            </w:r>
          </w:p>
        </w:tc>
        <w:tc>
          <w:tcPr>
            <w:tcW w:w="1008" w:type="pct"/>
            <w:vAlign w:val="center"/>
          </w:tcPr>
          <w:p w14:paraId="538305DF" w14:textId="77777777" w:rsidR="009C353B" w:rsidRDefault="00000000">
            <w:pPr>
              <w:pStyle w:val="01"/>
              <w:rPr>
                <w:rFonts w:ascii="Times New Roman" w:eastAsiaTheme="minorEastAsia" w:hAnsi="Times New Roman"/>
              </w:rPr>
            </w:pPr>
            <w:r>
              <w:rPr>
                <w:rFonts w:ascii="Times New Roman" w:eastAsiaTheme="minorEastAsia" w:hAnsi="Times New Roman"/>
              </w:rPr>
              <w:t>7</w:t>
            </w:r>
            <w:r>
              <w:rPr>
                <w:rFonts w:ascii="Times New Roman" w:eastAsiaTheme="minorEastAsia" w:hAnsi="Times New Roman"/>
              </w:rPr>
              <w:t>万</w:t>
            </w:r>
            <w:r>
              <w:rPr>
                <w:rFonts w:ascii="Times New Roman" w:eastAsiaTheme="minorEastAsia" w:hAnsi="Times New Roman"/>
              </w:rPr>
              <w:t>t/a</w:t>
            </w:r>
          </w:p>
        </w:tc>
        <w:tc>
          <w:tcPr>
            <w:tcW w:w="698" w:type="pct"/>
            <w:vAlign w:val="center"/>
          </w:tcPr>
          <w:p w14:paraId="648514F3" w14:textId="77777777" w:rsidR="009C353B" w:rsidRDefault="00000000">
            <w:pPr>
              <w:pStyle w:val="01"/>
              <w:rPr>
                <w:rFonts w:ascii="Times New Roman" w:eastAsiaTheme="minorEastAsia" w:hAnsi="Times New Roman"/>
              </w:rPr>
            </w:pPr>
            <w:r>
              <w:rPr>
                <w:rFonts w:ascii="Times New Roman" w:eastAsiaTheme="minorEastAsia" w:hAnsi="Times New Roman" w:hint="eastAsia"/>
              </w:rPr>
              <w:t>/</w:t>
            </w:r>
          </w:p>
        </w:tc>
        <w:tc>
          <w:tcPr>
            <w:tcW w:w="1279" w:type="pct"/>
            <w:vAlign w:val="center"/>
          </w:tcPr>
          <w:p w14:paraId="60819F6B" w14:textId="77777777" w:rsidR="009C353B" w:rsidRDefault="00000000">
            <w:pPr>
              <w:pStyle w:val="01"/>
              <w:rPr>
                <w:rFonts w:ascii="Times New Roman" w:eastAsiaTheme="minorEastAsia" w:hAnsi="Times New Roman"/>
              </w:rPr>
            </w:pPr>
            <w:r>
              <w:rPr>
                <w:rFonts w:ascii="Times New Roman" w:eastAsiaTheme="minorEastAsia" w:hAnsi="Times New Roman"/>
              </w:rPr>
              <w:t>182.5t/a</w:t>
            </w:r>
          </w:p>
        </w:tc>
      </w:tr>
      <w:tr w:rsidR="009C353B" w14:paraId="4A9F8CE6" w14:textId="77777777">
        <w:trPr>
          <w:trHeight w:val="397"/>
          <w:jc w:val="center"/>
        </w:trPr>
        <w:tc>
          <w:tcPr>
            <w:tcW w:w="518" w:type="pct"/>
            <w:vAlign w:val="center"/>
          </w:tcPr>
          <w:p w14:paraId="58F3366C" w14:textId="77777777" w:rsidR="009C353B" w:rsidRDefault="00000000">
            <w:pPr>
              <w:pStyle w:val="01"/>
              <w:rPr>
                <w:rFonts w:ascii="Times New Roman" w:eastAsiaTheme="minorEastAsia" w:hAnsi="Times New Roman"/>
              </w:rPr>
            </w:pPr>
            <w:r>
              <w:rPr>
                <w:rFonts w:ascii="Times New Roman" w:eastAsiaTheme="minorEastAsia" w:hAnsi="Times New Roman"/>
              </w:rPr>
              <w:t>5</w:t>
            </w:r>
          </w:p>
        </w:tc>
        <w:tc>
          <w:tcPr>
            <w:tcW w:w="1497" w:type="pct"/>
            <w:vAlign w:val="center"/>
          </w:tcPr>
          <w:p w14:paraId="057BC340" w14:textId="77777777" w:rsidR="009C353B" w:rsidRDefault="00000000">
            <w:pPr>
              <w:pStyle w:val="01"/>
              <w:rPr>
                <w:rStyle w:val="152"/>
                <w:rFonts w:ascii="Times New Roman" w:eastAsiaTheme="minorEastAsia" w:hAnsi="Times New Roman" w:hint="default"/>
                <w:color w:val="auto"/>
              </w:rPr>
            </w:pPr>
            <w:r>
              <w:rPr>
                <w:rStyle w:val="152"/>
                <w:rFonts w:ascii="Times New Roman" w:eastAsiaTheme="minorEastAsia" w:hAnsi="Times New Roman" w:hint="default"/>
                <w:color w:val="auto"/>
              </w:rPr>
              <w:t>辅助企业</w:t>
            </w:r>
          </w:p>
        </w:tc>
        <w:tc>
          <w:tcPr>
            <w:tcW w:w="1008" w:type="pct"/>
            <w:vAlign w:val="center"/>
          </w:tcPr>
          <w:p w14:paraId="77FE24F2" w14:textId="77777777" w:rsidR="009C353B" w:rsidRDefault="00000000">
            <w:pPr>
              <w:pStyle w:val="01"/>
              <w:rPr>
                <w:rFonts w:ascii="Times New Roman" w:eastAsiaTheme="minorEastAsia" w:hAnsi="Times New Roman"/>
              </w:rPr>
            </w:pPr>
            <w:r>
              <w:rPr>
                <w:rFonts w:ascii="Times New Roman" w:eastAsiaTheme="minorEastAsia" w:hAnsi="Times New Roman" w:hint="eastAsia"/>
                <w:lang w:val="en-US"/>
              </w:rPr>
              <w:t>/</w:t>
            </w:r>
          </w:p>
        </w:tc>
        <w:tc>
          <w:tcPr>
            <w:tcW w:w="698" w:type="pct"/>
            <w:vAlign w:val="center"/>
          </w:tcPr>
          <w:p w14:paraId="6BDC48AE" w14:textId="77777777" w:rsidR="009C353B" w:rsidRDefault="00000000">
            <w:pPr>
              <w:pStyle w:val="01"/>
              <w:rPr>
                <w:rFonts w:ascii="Times New Roman" w:eastAsiaTheme="minorEastAsia" w:hAnsi="Times New Roman"/>
              </w:rPr>
            </w:pPr>
            <w:r>
              <w:rPr>
                <w:rFonts w:ascii="Times New Roman" w:eastAsiaTheme="minorEastAsia" w:hAnsi="Times New Roman" w:hint="eastAsia"/>
                <w:lang w:val="en-US"/>
              </w:rPr>
              <w:t>/</w:t>
            </w:r>
          </w:p>
        </w:tc>
        <w:tc>
          <w:tcPr>
            <w:tcW w:w="1279" w:type="pct"/>
            <w:vAlign w:val="center"/>
          </w:tcPr>
          <w:p w14:paraId="7CDD2348" w14:textId="77777777" w:rsidR="009C353B" w:rsidRDefault="00000000">
            <w:pPr>
              <w:pStyle w:val="01"/>
              <w:rPr>
                <w:rFonts w:ascii="Times New Roman" w:eastAsiaTheme="minorEastAsia" w:hAnsi="Times New Roman"/>
              </w:rPr>
            </w:pPr>
            <w:r>
              <w:rPr>
                <w:rFonts w:ascii="Times New Roman" w:eastAsiaTheme="minorEastAsia" w:hAnsi="Times New Roman" w:hint="eastAsia"/>
              </w:rPr>
              <w:t>由宁东镇统一处理，不计入本次规划</w:t>
            </w:r>
          </w:p>
        </w:tc>
      </w:tr>
      <w:tr w:rsidR="009C353B" w14:paraId="662F44EC" w14:textId="77777777">
        <w:trPr>
          <w:trHeight w:val="397"/>
          <w:jc w:val="center"/>
        </w:trPr>
        <w:tc>
          <w:tcPr>
            <w:tcW w:w="518" w:type="pct"/>
            <w:vAlign w:val="center"/>
          </w:tcPr>
          <w:p w14:paraId="65ED2440" w14:textId="77777777" w:rsidR="009C353B" w:rsidRDefault="00000000">
            <w:pPr>
              <w:pStyle w:val="01"/>
              <w:rPr>
                <w:rFonts w:ascii="Times New Roman" w:eastAsiaTheme="minorEastAsia" w:hAnsi="Times New Roman"/>
              </w:rPr>
            </w:pPr>
            <w:r>
              <w:rPr>
                <w:rFonts w:ascii="Times New Roman" w:eastAsiaTheme="minorEastAsia" w:hAnsi="Times New Roman"/>
              </w:rPr>
              <w:t>6</w:t>
            </w:r>
          </w:p>
        </w:tc>
        <w:tc>
          <w:tcPr>
            <w:tcW w:w="1497" w:type="pct"/>
            <w:vAlign w:val="center"/>
          </w:tcPr>
          <w:p w14:paraId="55949D24" w14:textId="77777777" w:rsidR="009C353B" w:rsidRDefault="00000000">
            <w:pPr>
              <w:pStyle w:val="01"/>
              <w:rPr>
                <w:rStyle w:val="152"/>
                <w:rFonts w:ascii="Times New Roman" w:eastAsiaTheme="minorEastAsia" w:hAnsi="Times New Roman" w:hint="default"/>
                <w:color w:val="auto"/>
              </w:rPr>
            </w:pPr>
            <w:r>
              <w:rPr>
                <w:rStyle w:val="152"/>
                <w:rFonts w:ascii="Times New Roman" w:eastAsiaTheme="minorEastAsia" w:hAnsi="Times New Roman" w:hint="default"/>
                <w:color w:val="auto"/>
              </w:rPr>
              <w:t>小计</w:t>
            </w:r>
          </w:p>
        </w:tc>
        <w:tc>
          <w:tcPr>
            <w:tcW w:w="1008" w:type="pct"/>
            <w:vAlign w:val="center"/>
          </w:tcPr>
          <w:p w14:paraId="415D4B84" w14:textId="77777777" w:rsidR="009C353B" w:rsidRDefault="00000000">
            <w:pPr>
              <w:pStyle w:val="01"/>
              <w:rPr>
                <w:rFonts w:ascii="Times New Roman" w:eastAsiaTheme="minorEastAsia" w:hAnsi="Times New Roman"/>
              </w:rPr>
            </w:pPr>
            <w:r>
              <w:rPr>
                <w:rFonts w:ascii="Times New Roman" w:eastAsiaTheme="minorEastAsia" w:hAnsi="Times New Roman"/>
              </w:rPr>
              <w:t>24</w:t>
            </w:r>
            <w:r>
              <w:rPr>
                <w:rFonts w:ascii="Times New Roman" w:eastAsiaTheme="minorEastAsia" w:hAnsi="Times New Roman"/>
              </w:rPr>
              <w:t>万</w:t>
            </w:r>
            <w:r>
              <w:rPr>
                <w:rFonts w:ascii="Times New Roman" w:eastAsiaTheme="minorEastAsia" w:hAnsi="Times New Roman"/>
              </w:rPr>
              <w:t>t/a</w:t>
            </w:r>
          </w:p>
        </w:tc>
        <w:tc>
          <w:tcPr>
            <w:tcW w:w="698" w:type="pct"/>
            <w:vAlign w:val="center"/>
          </w:tcPr>
          <w:p w14:paraId="3326CDD6" w14:textId="77777777" w:rsidR="009C353B" w:rsidRDefault="00000000">
            <w:pPr>
              <w:pStyle w:val="01"/>
              <w:rPr>
                <w:rFonts w:ascii="Times New Roman" w:eastAsiaTheme="minorEastAsia" w:hAnsi="Times New Roman"/>
              </w:rPr>
            </w:pPr>
            <w:r>
              <w:rPr>
                <w:rFonts w:ascii="Times New Roman" w:eastAsiaTheme="minorEastAsia" w:hAnsi="Times New Roman"/>
              </w:rPr>
              <w:t>495</w:t>
            </w:r>
            <w:r>
              <w:rPr>
                <w:rFonts w:ascii="Times New Roman" w:eastAsiaTheme="minorEastAsia" w:hAnsi="Times New Roman"/>
              </w:rPr>
              <w:t>万</w:t>
            </w:r>
            <w:r>
              <w:rPr>
                <w:rFonts w:ascii="Times New Roman" w:eastAsiaTheme="minorEastAsia" w:hAnsi="Times New Roman"/>
              </w:rPr>
              <w:t>t/a</w:t>
            </w:r>
          </w:p>
        </w:tc>
        <w:tc>
          <w:tcPr>
            <w:tcW w:w="1279" w:type="pct"/>
            <w:vAlign w:val="center"/>
          </w:tcPr>
          <w:p w14:paraId="72B35E22" w14:textId="77777777" w:rsidR="009C353B" w:rsidRDefault="00000000">
            <w:pPr>
              <w:pStyle w:val="01"/>
              <w:rPr>
                <w:rFonts w:ascii="Times New Roman" w:eastAsiaTheme="minorEastAsia" w:hAnsi="Times New Roman"/>
              </w:rPr>
            </w:pPr>
            <w:r>
              <w:rPr>
                <w:rFonts w:ascii="Times New Roman" w:eastAsiaTheme="minorEastAsia" w:hAnsi="Times New Roman"/>
              </w:rPr>
              <w:t>1500.2t/a</w:t>
            </w:r>
          </w:p>
        </w:tc>
      </w:tr>
    </w:tbl>
    <w:p w14:paraId="3E73F444" w14:textId="77777777" w:rsidR="009C353B" w:rsidRDefault="00000000">
      <w:pPr>
        <w:adjustRightInd w:val="0"/>
        <w:snapToGrid w:val="0"/>
        <w:spacing w:line="440" w:lineRule="exact"/>
        <w:ind w:firstLineChars="200" w:firstLine="480"/>
        <w:rPr>
          <w:rFonts w:ascii="Times New Roman" w:hint="eastAsia"/>
        </w:rPr>
      </w:pPr>
      <w:r>
        <w:rPr>
          <w:rFonts w:ascii="Times New Roman"/>
        </w:rPr>
        <w:t>注：本次规划的辅助企业为既有，故规划对辅助企业固体废弃物不进行论述。</w:t>
      </w:r>
    </w:p>
    <w:p w14:paraId="016EA91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）矸石</w:t>
      </w:r>
    </w:p>
    <w:p w14:paraId="0D59059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规划的</w:t>
      </w:r>
      <w:r>
        <w:rPr>
          <w:rFonts w:ascii="Times New Roman"/>
        </w:rPr>
        <w:t>马莲台矿井、任家庄矿井和红石湾矿井等生产矿井生产期间</w:t>
      </w:r>
      <w:r>
        <w:rPr>
          <w:rFonts w:ascii="Times New Roman" w:hint="eastAsia"/>
        </w:rPr>
        <w:t>掘进矸石原则上不升井，填</w:t>
      </w:r>
      <w:r>
        <w:rPr>
          <w:rFonts w:ascii="Times New Roman"/>
        </w:rPr>
        <w:t>充井下废弃巷道；丁家梁矿井建井期间矸石运至临时排矸场，生产期掘进矸石原则上不升井，填充井下废弃巷道。矸石充填不畅时可排至地面临时排矸场</w:t>
      </w:r>
      <w:r>
        <w:rPr>
          <w:rFonts w:ascii="Times New Roman" w:hint="eastAsia"/>
        </w:rPr>
        <w:t>，</w:t>
      </w:r>
      <w:r>
        <w:rPr>
          <w:rFonts w:ascii="Times New Roman"/>
        </w:rPr>
        <w:t>或</w:t>
      </w:r>
      <w:r>
        <w:rPr>
          <w:rFonts w:ascii="Times New Roman" w:hint="eastAsia"/>
        </w:rPr>
        <w:t>充填沉陷区</w:t>
      </w:r>
      <w:r>
        <w:rPr>
          <w:rFonts w:ascii="Times New Roman"/>
        </w:rPr>
        <w:t>用于矿区生态治理</w:t>
      </w:r>
      <w:r>
        <w:rPr>
          <w:rFonts w:ascii="Times New Roman" w:hint="eastAsia"/>
        </w:rPr>
        <w:t>，充填井下置换煤柱区煤炭资源等</w:t>
      </w:r>
      <w:r>
        <w:rPr>
          <w:rFonts w:ascii="Times New Roman"/>
        </w:rPr>
        <w:t>。</w:t>
      </w:r>
    </w:p>
    <w:p w14:paraId="2B3904FF" w14:textId="77777777" w:rsidR="009C353B" w:rsidRDefault="00000000">
      <w:pPr>
        <w:adjustRightInd w:val="0"/>
        <w:snapToGrid w:val="0"/>
        <w:spacing w:line="440" w:lineRule="exact"/>
        <w:ind w:firstLineChars="200" w:firstLine="480"/>
        <w:rPr>
          <w:rFonts w:ascii="Times New Roman" w:hint="eastAsia"/>
        </w:rPr>
      </w:pPr>
      <w:r>
        <w:rPr>
          <w:rFonts w:ascii="Times New Roman"/>
        </w:rPr>
        <w:t>规划区规划选煤厂排放矸石</w:t>
      </w:r>
      <w:r>
        <w:rPr>
          <w:rFonts w:ascii="Times New Roman" w:hint="eastAsia"/>
        </w:rPr>
        <w:t>495</w:t>
      </w:r>
      <w:r>
        <w:rPr>
          <w:rFonts w:ascii="Times New Roman"/>
        </w:rPr>
        <w:t>万</w:t>
      </w:r>
      <w:r>
        <w:rPr>
          <w:rFonts w:ascii="Times New Roman"/>
        </w:rPr>
        <w:t>t/a</w:t>
      </w:r>
      <w:r>
        <w:rPr>
          <w:rFonts w:ascii="Times New Roman"/>
        </w:rPr>
        <w:t>，规划区附近规划有宝丰低热值煤综合利用电厂，规划规模为</w:t>
      </w:r>
      <w:r>
        <w:rPr>
          <w:rFonts w:ascii="Times New Roman"/>
        </w:rPr>
        <w:t>2</w:t>
      </w:r>
      <w:r>
        <w:rPr>
          <w:rFonts w:ascii="Times New Roman"/>
        </w:rPr>
        <w:t>×</w:t>
      </w:r>
      <w:r>
        <w:rPr>
          <w:rFonts w:ascii="Times New Roman"/>
        </w:rPr>
        <w:t>350MW</w:t>
      </w:r>
      <w:r>
        <w:rPr>
          <w:rFonts w:ascii="Times New Roman"/>
        </w:rPr>
        <w:t>，低热值煤需求量</w:t>
      </w:r>
      <w:r>
        <w:rPr>
          <w:rFonts w:ascii="Times New Roman"/>
        </w:rPr>
        <w:t>1.28Mt/a</w:t>
      </w:r>
      <w:r>
        <w:rPr>
          <w:rFonts w:ascii="Times New Roman" w:hint="eastAsia"/>
        </w:rPr>
        <w:t>。如发热量满足要求，全部运至灵州矸石电厂（</w:t>
      </w:r>
      <w:r>
        <w:rPr>
          <w:rFonts w:ascii="Times New Roman" w:hint="eastAsia"/>
        </w:rPr>
        <w:t>2</w:t>
      </w:r>
      <w:r>
        <w:rPr>
          <w:rFonts w:ascii="Times New Roman"/>
        </w:rPr>
        <w:t>×</w:t>
      </w:r>
      <w:r>
        <w:rPr>
          <w:rFonts w:ascii="Times New Roman" w:hint="eastAsia"/>
        </w:rPr>
        <w:t>135</w:t>
      </w:r>
      <w:r>
        <w:rPr>
          <w:rFonts w:ascii="Times New Roman"/>
        </w:rPr>
        <w:t>MW</w:t>
      </w:r>
      <w:r>
        <w:rPr>
          <w:rFonts w:ascii="Times New Roman" w:hint="eastAsia"/>
        </w:rPr>
        <w:t>）和宝丰低热值煤综合利用电厂（</w:t>
      </w:r>
      <w:r>
        <w:rPr>
          <w:rFonts w:ascii="Times New Roman" w:hint="eastAsia"/>
        </w:rPr>
        <w:t>2</w:t>
      </w:r>
      <w:r>
        <w:rPr>
          <w:rFonts w:ascii="Times New Roman"/>
        </w:rPr>
        <w:t>×</w:t>
      </w:r>
      <w:r>
        <w:rPr>
          <w:rFonts w:ascii="Times New Roman" w:hint="eastAsia"/>
        </w:rPr>
        <w:t>350</w:t>
      </w:r>
      <w:r>
        <w:rPr>
          <w:rFonts w:ascii="Times New Roman"/>
        </w:rPr>
        <w:t>MW</w:t>
      </w:r>
      <w:r>
        <w:rPr>
          <w:rFonts w:ascii="Times New Roman" w:hint="eastAsia"/>
        </w:rPr>
        <w:t>），其中灵州矸石电厂（</w:t>
      </w:r>
      <w:r>
        <w:rPr>
          <w:rFonts w:ascii="Times New Roman" w:hint="eastAsia"/>
        </w:rPr>
        <w:t>2</w:t>
      </w:r>
      <w:r>
        <w:rPr>
          <w:rFonts w:ascii="Times New Roman"/>
        </w:rPr>
        <w:t>×</w:t>
      </w:r>
      <w:r>
        <w:rPr>
          <w:rFonts w:ascii="Times New Roman" w:hint="eastAsia"/>
        </w:rPr>
        <w:t>135</w:t>
      </w:r>
      <w:r>
        <w:rPr>
          <w:rFonts w:ascii="Times New Roman"/>
        </w:rPr>
        <w:t>MW</w:t>
      </w:r>
      <w:r>
        <w:rPr>
          <w:rFonts w:ascii="Times New Roman" w:hint="eastAsia"/>
        </w:rPr>
        <w:t>）东距丁家梁井田约</w:t>
      </w:r>
      <w:r>
        <w:rPr>
          <w:rFonts w:ascii="Times New Roman" w:hint="eastAsia"/>
        </w:rPr>
        <w:t>2km</w:t>
      </w:r>
      <w:r>
        <w:rPr>
          <w:rFonts w:ascii="Times New Roman" w:hint="eastAsia"/>
        </w:rPr>
        <w:t>，已建成投运；宝丰低热值煤综合利用电厂（</w:t>
      </w:r>
      <w:r>
        <w:rPr>
          <w:rFonts w:ascii="Times New Roman" w:hint="eastAsia"/>
        </w:rPr>
        <w:t>2</w:t>
      </w:r>
      <w:r>
        <w:rPr>
          <w:rFonts w:ascii="Times New Roman"/>
        </w:rPr>
        <w:t>×</w:t>
      </w:r>
      <w:r>
        <w:rPr>
          <w:rFonts w:ascii="Times New Roman" w:hint="eastAsia"/>
        </w:rPr>
        <w:t>350</w:t>
      </w:r>
      <w:r>
        <w:rPr>
          <w:rFonts w:ascii="Times New Roman"/>
        </w:rPr>
        <w:t>MW</w:t>
      </w:r>
      <w:r>
        <w:rPr>
          <w:rFonts w:ascii="Times New Roman" w:hint="eastAsia"/>
        </w:rPr>
        <w:t>）位于红石湾矿井和马莲台矿井之间，处于前期筹建阶段。</w:t>
      </w:r>
      <w:r>
        <w:rPr>
          <w:rFonts w:ascii="Times New Roman"/>
        </w:rPr>
        <w:t>利用不了的</w:t>
      </w:r>
      <w:r>
        <w:rPr>
          <w:rFonts w:ascii="Times New Roman" w:hint="eastAsia"/>
        </w:rPr>
        <w:t>部分可充填沉陷区用于</w:t>
      </w:r>
      <w:r>
        <w:rPr>
          <w:rFonts w:ascii="Times New Roman"/>
        </w:rPr>
        <w:t>矿区生态治理</w:t>
      </w:r>
      <w:r>
        <w:rPr>
          <w:rFonts w:ascii="Times New Roman" w:hint="eastAsia"/>
        </w:rPr>
        <w:t>，充填井下置换煤柱区煤炭资源等。</w:t>
      </w:r>
    </w:p>
    <w:p w14:paraId="4581690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2</w:t>
      </w:r>
      <w:r>
        <w:rPr>
          <w:rFonts w:ascii="Times New Roman" w:hint="eastAsia"/>
        </w:rPr>
        <w:t>）生活垃圾</w:t>
      </w:r>
    </w:p>
    <w:p w14:paraId="10A68D6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规划矿井及选煤厂生活垃圾由各矿收集后，再就近运至宁东镇，由地方垃圾填埋场统一进行无害化处理，处理率达到</w:t>
      </w:r>
      <w:r>
        <w:rPr>
          <w:rFonts w:ascii="Times New Roman" w:hint="eastAsia"/>
        </w:rPr>
        <w:t>100%</w:t>
      </w:r>
      <w:r>
        <w:rPr>
          <w:rFonts w:ascii="Times New Roman" w:hint="eastAsia"/>
        </w:rPr>
        <w:t>。</w:t>
      </w:r>
    </w:p>
    <w:p w14:paraId="608B09B2"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.1</w:t>
      </w:r>
      <w:r>
        <w:rPr>
          <w:rFonts w:ascii="Times New Roman" w:eastAsia="宋体" w:hAnsi="Times New Roman"/>
          <w:sz w:val="24"/>
        </w:rPr>
        <w:t xml:space="preserve">0.4 </w:t>
      </w:r>
      <w:r>
        <w:rPr>
          <w:rFonts w:ascii="Times New Roman" w:eastAsia="宋体" w:hAnsi="宋体"/>
          <w:sz w:val="24"/>
        </w:rPr>
        <w:t>噪声治理规划</w:t>
      </w:r>
    </w:p>
    <w:p w14:paraId="50FFDFBC" w14:textId="77777777" w:rsidR="009C353B" w:rsidRDefault="00000000">
      <w:pPr>
        <w:adjustRightInd w:val="0"/>
        <w:snapToGrid w:val="0"/>
        <w:spacing w:line="440" w:lineRule="exact"/>
        <w:ind w:firstLineChars="200" w:firstLine="480"/>
        <w:rPr>
          <w:rFonts w:ascii="Times New Roman" w:hint="eastAsia"/>
        </w:rPr>
      </w:pPr>
      <w:bookmarkStart w:id="78" w:name="_Toc112035771"/>
      <w:r>
        <w:rPr>
          <w:rFonts w:ascii="Times New Roman"/>
        </w:rPr>
        <w:t>规划区内噪声污染主要包括矿井工业场地内主要设备噪声及铁路、公路运营时的交通噪声。</w:t>
      </w:r>
    </w:p>
    <w:p w14:paraId="0337029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w:t>
      </w:r>
      <w:r>
        <w:rPr>
          <w:rFonts w:ascii="Times New Roman"/>
        </w:rPr>
        <w:t>工业场地噪声主要来自矿井提升机房、压风机房、通风机房</w:t>
      </w:r>
      <w:r>
        <w:rPr>
          <w:rFonts w:ascii="Times New Roman" w:hint="eastAsia"/>
        </w:rPr>
        <w:t>、</w:t>
      </w:r>
      <w:r>
        <w:rPr>
          <w:rFonts w:ascii="Times New Roman"/>
        </w:rPr>
        <w:t>坑木加工房、锅炉房、机修车间；选煤厂主厂房、筛分破碎车间、空压机房等生产环节。应采取消声、吸声、隔声、阻尼措施，降低噪声对环境造成的影响，并符合相应标准要求。拟采取的措施如下：</w:t>
      </w:r>
    </w:p>
    <w:p w14:paraId="706C40A3"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w:t>
      </w:r>
      <w:r>
        <w:rPr>
          <w:rFonts w:ascii="Times New Roman"/>
        </w:rPr>
        <w:t>工艺布置应根据闹静分区的原则进行布置；设备选型应选用符合环保要求的低噪声设备。</w:t>
      </w:r>
    </w:p>
    <w:p w14:paraId="03F893D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2</w:t>
      </w:r>
      <w:r>
        <w:rPr>
          <w:rFonts w:ascii="Times New Roman" w:hint="eastAsia"/>
        </w:rPr>
        <w:t>）</w:t>
      </w:r>
      <w:r>
        <w:rPr>
          <w:rFonts w:ascii="Times New Roman"/>
        </w:rPr>
        <w:t>对设备较大或设备较集中的提升机房、选煤厂筛分破碎车间、选煤厂主厂房等设置隔声值班室，外门、外窗设计隔声型结构。</w:t>
      </w:r>
    </w:p>
    <w:p w14:paraId="724D96B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3</w:t>
      </w:r>
      <w:r>
        <w:rPr>
          <w:rFonts w:ascii="Times New Roman" w:hint="eastAsia"/>
        </w:rPr>
        <w:t>）</w:t>
      </w:r>
      <w:r>
        <w:rPr>
          <w:rFonts w:ascii="Times New Roman"/>
        </w:rPr>
        <w:t>工业场地锅炉房鼓、引风机设置消声器等隔声降噪设备，对矿井通风机应设置消声扩散塔。</w:t>
      </w:r>
    </w:p>
    <w:p w14:paraId="259C005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4</w:t>
      </w:r>
      <w:r>
        <w:rPr>
          <w:rFonts w:ascii="Times New Roman" w:hint="eastAsia"/>
        </w:rPr>
        <w:t>）</w:t>
      </w:r>
      <w:r>
        <w:rPr>
          <w:rFonts w:ascii="Times New Roman"/>
        </w:rPr>
        <w:t>对大功率电机加装隔声罩；块煤、矸石溜槽外周包扎矿棉或泡沫塑料等吸声阻尼材料；各类机械设备的基础均安装橡胶隔振垫；水泵、鼓风机进出口端安装可曲挠合成橡胶软接头。</w:t>
      </w:r>
    </w:p>
    <w:p w14:paraId="6CC5C7D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5</w:t>
      </w:r>
      <w:r>
        <w:rPr>
          <w:rFonts w:ascii="Times New Roman" w:hint="eastAsia"/>
        </w:rPr>
        <w:t>）</w:t>
      </w:r>
      <w:r>
        <w:rPr>
          <w:rFonts w:ascii="Times New Roman"/>
        </w:rPr>
        <w:t>对无法采取防噪措施的作业场所，操作人员工作时佩带耳塞、耳罩或其它个人防护措施。</w:t>
      </w:r>
    </w:p>
    <w:p w14:paraId="7A918DA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2</w:t>
      </w:r>
      <w:r>
        <w:rPr>
          <w:rFonts w:ascii="Times New Roman" w:hint="eastAsia"/>
        </w:rPr>
        <w:t>）</w:t>
      </w:r>
      <w:r>
        <w:rPr>
          <w:rFonts w:ascii="Times New Roman"/>
        </w:rPr>
        <w:t>公路和铁路噪声采取如下措施：</w:t>
      </w:r>
    </w:p>
    <w:p w14:paraId="3CF513C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w:t>
      </w:r>
      <w:r>
        <w:rPr>
          <w:rFonts w:ascii="Times New Roman"/>
        </w:rPr>
        <w:t>线路选线应尽量采取避让措施，使线路远离村庄</w:t>
      </w:r>
      <w:r>
        <w:rPr>
          <w:rFonts w:ascii="Times New Roman"/>
        </w:rPr>
        <w:t>200m</w:t>
      </w:r>
      <w:r>
        <w:rPr>
          <w:rFonts w:ascii="Times New Roman"/>
        </w:rPr>
        <w:t>以上，对于沿线较分散的居民优先采取隔声、吸声等措施，不能满足保护要求时对零散居民实行搬迁，搬迁按当地新农村政策执行。</w:t>
      </w:r>
    </w:p>
    <w:p w14:paraId="2104320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2</w:t>
      </w:r>
      <w:r>
        <w:rPr>
          <w:rFonts w:ascii="Times New Roman" w:hint="eastAsia"/>
        </w:rPr>
        <w:t>）</w:t>
      </w:r>
      <w:r>
        <w:rPr>
          <w:rFonts w:ascii="Times New Roman"/>
        </w:rPr>
        <w:t>车辆经过村庄附近路段时应限制车速，禁止鸣笛。</w:t>
      </w:r>
    </w:p>
    <w:p w14:paraId="38FFF8A1" w14:textId="77777777" w:rsidR="009C353B" w:rsidRDefault="00000000">
      <w:pPr>
        <w:adjustRightInd w:val="0"/>
        <w:snapToGrid w:val="0"/>
        <w:spacing w:line="440" w:lineRule="exact"/>
        <w:ind w:firstLineChars="200" w:firstLine="480"/>
        <w:rPr>
          <w:rFonts w:ascii="Times New Roman" w:hint="eastAsia"/>
        </w:rPr>
      </w:pPr>
      <w:r>
        <w:rPr>
          <w:rFonts w:ascii="Times New Roman"/>
        </w:rPr>
        <w:t>通过采取综合性的降噪措施，保证厂界噪声满足</w:t>
      </w:r>
      <w:r>
        <w:rPr>
          <w:rFonts w:ascii="Times New Roman"/>
        </w:rPr>
        <w:t>GB12348</w:t>
      </w:r>
      <w:r>
        <w:rPr>
          <w:rFonts w:ascii="Times New Roman"/>
        </w:rPr>
        <w:t>—</w:t>
      </w:r>
      <w:r>
        <w:rPr>
          <w:rFonts w:ascii="Times New Roman"/>
        </w:rPr>
        <w:t>2008</w:t>
      </w:r>
      <w:r>
        <w:rPr>
          <w:rFonts w:ascii="Times New Roman"/>
        </w:rPr>
        <w:t>《工业企业厂界噪声标准》中</w:t>
      </w:r>
      <w:r>
        <w:rPr>
          <w:rFonts w:ascii="Times New Roman" w:hint="eastAsia"/>
        </w:rPr>
        <w:t>3</w:t>
      </w:r>
      <w:r>
        <w:rPr>
          <w:rFonts w:ascii="Times New Roman"/>
        </w:rPr>
        <w:t>类标准要求。</w:t>
      </w:r>
    </w:p>
    <w:p w14:paraId="4EF21A45"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.1</w:t>
      </w:r>
      <w:r>
        <w:rPr>
          <w:rFonts w:ascii="Times New Roman" w:eastAsia="宋体" w:hAnsi="Times New Roman"/>
          <w:sz w:val="24"/>
        </w:rPr>
        <w:t>0.5</w:t>
      </w:r>
      <w:bookmarkEnd w:id="78"/>
      <w:r>
        <w:rPr>
          <w:rFonts w:ascii="Times New Roman" w:eastAsia="宋体" w:hAnsi="Times New Roman"/>
          <w:sz w:val="24"/>
        </w:rPr>
        <w:t xml:space="preserve"> </w:t>
      </w:r>
      <w:r>
        <w:rPr>
          <w:rFonts w:ascii="Times New Roman" w:eastAsia="宋体" w:hAnsi="宋体" w:hint="eastAsia"/>
          <w:sz w:val="24"/>
        </w:rPr>
        <w:t>地表沉陷保护措施</w:t>
      </w:r>
    </w:p>
    <w:p w14:paraId="38E6A47B" w14:textId="77777777" w:rsidR="009C353B" w:rsidRDefault="00000000">
      <w:pPr>
        <w:adjustRightInd w:val="0"/>
        <w:snapToGrid w:val="0"/>
        <w:spacing w:line="440" w:lineRule="exact"/>
        <w:ind w:firstLineChars="200" w:firstLine="480"/>
        <w:rPr>
          <w:rFonts w:ascii="Times New Roman" w:hint="eastAsia"/>
        </w:rPr>
      </w:pPr>
      <w:bookmarkStart w:id="79" w:name="_Toc112035770"/>
      <w:r>
        <w:rPr>
          <w:rFonts w:ascii="Times New Roman"/>
        </w:rPr>
        <w:t>煤层开采将引起地表下沉，矿区</w:t>
      </w:r>
      <w:r>
        <w:rPr>
          <w:rFonts w:ascii="Times New Roman" w:hint="eastAsia"/>
        </w:rPr>
        <w:t>内</w:t>
      </w:r>
      <w:r>
        <w:rPr>
          <w:rFonts w:ascii="Times New Roman"/>
        </w:rPr>
        <w:t>地表多为</w:t>
      </w:r>
      <w:r>
        <w:rPr>
          <w:rFonts w:ascii="Times New Roman" w:hint="eastAsia"/>
        </w:rPr>
        <w:t>草地、未利用地、人工林地</w:t>
      </w:r>
      <w:r>
        <w:rPr>
          <w:rFonts w:ascii="Times New Roman"/>
        </w:rPr>
        <w:t>等，</w:t>
      </w:r>
      <w:r>
        <w:rPr>
          <w:rFonts w:ascii="Times New Roman" w:hint="eastAsia"/>
        </w:rPr>
        <w:t>无耕地，无</w:t>
      </w:r>
      <w:r>
        <w:rPr>
          <w:rFonts w:ascii="Times New Roman"/>
        </w:rPr>
        <w:t>村庄</w:t>
      </w:r>
      <w:r>
        <w:rPr>
          <w:rFonts w:ascii="Times New Roman" w:hint="eastAsia"/>
        </w:rPr>
        <w:t>，本矿区</w:t>
      </w:r>
      <w:r>
        <w:rPr>
          <w:rFonts w:ascii="Times New Roman"/>
        </w:rPr>
        <w:t>沉陷影响的主要目标为</w:t>
      </w:r>
      <w:r>
        <w:rPr>
          <w:rFonts w:ascii="Times New Roman" w:hint="eastAsia"/>
        </w:rPr>
        <w:t>：矿区内</w:t>
      </w:r>
      <w:r>
        <w:rPr>
          <w:rFonts w:ascii="Times New Roman"/>
        </w:rPr>
        <w:t>交通基础设施</w:t>
      </w:r>
      <w:r>
        <w:rPr>
          <w:rFonts w:ascii="Times New Roman" w:hint="eastAsia"/>
        </w:rPr>
        <w:t>、</w:t>
      </w:r>
      <w:r>
        <w:rPr>
          <w:rFonts w:ascii="Times New Roman"/>
        </w:rPr>
        <w:t>输电线路</w:t>
      </w:r>
      <w:r>
        <w:rPr>
          <w:rFonts w:ascii="Times New Roman" w:hint="eastAsia"/>
        </w:rPr>
        <w:t>、</w:t>
      </w:r>
      <w:r>
        <w:rPr>
          <w:rFonts w:ascii="Times New Roman"/>
        </w:rPr>
        <w:t>鸭子荡水库</w:t>
      </w:r>
      <w:r>
        <w:rPr>
          <w:rFonts w:ascii="Times New Roman" w:hint="eastAsia"/>
        </w:rPr>
        <w:t>、输水管线等。</w:t>
      </w:r>
      <w:r>
        <w:rPr>
          <w:rFonts w:ascii="Times New Roman"/>
        </w:rPr>
        <w:t>目前各生产矿井地表沉陷主要表现为地表</w:t>
      </w:r>
      <w:r>
        <w:rPr>
          <w:rFonts w:ascii="Times New Roman" w:hint="eastAsia"/>
        </w:rPr>
        <w:t>裂缝，对地形地貌影响较小</w:t>
      </w:r>
      <w:r>
        <w:rPr>
          <w:rFonts w:ascii="Times New Roman"/>
        </w:rPr>
        <w:t>，地面</w:t>
      </w:r>
      <w:r>
        <w:rPr>
          <w:rFonts w:ascii="Times New Roman" w:hint="eastAsia"/>
        </w:rPr>
        <w:t>林草的生长基本无影响，</w:t>
      </w:r>
      <w:r>
        <w:rPr>
          <w:rFonts w:ascii="Times New Roman"/>
        </w:rPr>
        <w:t>矿区内地面重要基础设施均留设了保护煤柱</w:t>
      </w:r>
      <w:r>
        <w:rPr>
          <w:rFonts w:ascii="Times New Roman" w:hint="eastAsia"/>
        </w:rPr>
        <w:t>，</w:t>
      </w:r>
      <w:r>
        <w:rPr>
          <w:rFonts w:ascii="Times New Roman"/>
        </w:rPr>
        <w:t>不受开采沉陷影响</w:t>
      </w:r>
      <w:r>
        <w:rPr>
          <w:rFonts w:ascii="Times New Roman" w:hint="eastAsia"/>
        </w:rPr>
        <w:t>。</w:t>
      </w:r>
    </w:p>
    <w:p w14:paraId="0340CD3E"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.1</w:t>
      </w:r>
      <w:r>
        <w:rPr>
          <w:rFonts w:ascii="Times New Roman" w:eastAsia="宋体" w:hAnsi="Times New Roman"/>
          <w:sz w:val="24"/>
        </w:rPr>
        <w:t xml:space="preserve">0.6 </w:t>
      </w:r>
      <w:r>
        <w:rPr>
          <w:rFonts w:ascii="Times New Roman" w:eastAsia="宋体" w:hAnsi="宋体" w:hint="eastAsia"/>
          <w:sz w:val="24"/>
        </w:rPr>
        <w:t>生态环境保护</w:t>
      </w:r>
    </w:p>
    <w:p w14:paraId="680E6CBB"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规划矿井及选煤厂工业广场占地应严格遵守国家相关规范，不得超标，不占或少占林地、草地，减少对自然植被的破坏，保护野生动植物的生存环境。由于施工临时占用的土地，在施工完成后应及时恢复并覆草绿化，避免土地沙化。</w:t>
      </w:r>
    </w:p>
    <w:p w14:paraId="0C6E3E65"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矿井排水及生活污水处理后回用于各矿生产生活，富余中水可用于工业广场附近植树造林、固沙守土，改善周边环境，剩余水送至神华宁煤集团公司煤化工园区工业废水综合处理厂进行处理后回用于宁东煤化工基地企业生产。</w:t>
      </w:r>
    </w:p>
    <w:p w14:paraId="7C5C67DA"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地表塌陷防治：</w:t>
      </w:r>
    </w:p>
    <w:p w14:paraId="00091B1F"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w:t>
      </w:r>
      <w:r>
        <w:rPr>
          <w:rFonts w:ascii="Times New Roman" w:hint="eastAsia"/>
          <w:szCs w:val="28"/>
        </w:rPr>
        <w:t>1</w:t>
      </w:r>
      <w:r>
        <w:rPr>
          <w:rFonts w:ascii="Times New Roman" w:hint="eastAsia"/>
          <w:szCs w:val="28"/>
        </w:rPr>
        <w:t>）规划煤矿建井的同时应筹建地表岩移观测站，投产后随时观察地表沉陷情况，为地表沉陷的防治积累基础资料。</w:t>
      </w:r>
    </w:p>
    <w:p w14:paraId="786230BA"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w:t>
      </w:r>
      <w:r>
        <w:rPr>
          <w:rFonts w:ascii="Times New Roman" w:hint="eastAsia"/>
          <w:szCs w:val="28"/>
        </w:rPr>
        <w:t>2</w:t>
      </w:r>
      <w:r>
        <w:rPr>
          <w:rFonts w:ascii="Times New Roman" w:hint="eastAsia"/>
          <w:szCs w:val="28"/>
        </w:rPr>
        <w:t>）生产期对位于各井田范围内的矿井工业场地、风井场地、地面生产系统按二级建筑物保护等级留设保护煤柱；井田内的道路、地表水体等按相应保护等级留设保护煤柱。</w:t>
      </w:r>
    </w:p>
    <w:p w14:paraId="69F43FD0"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w:t>
      </w:r>
      <w:r>
        <w:rPr>
          <w:rFonts w:ascii="Times New Roman" w:hint="eastAsia"/>
          <w:szCs w:val="28"/>
        </w:rPr>
        <w:t>3</w:t>
      </w:r>
      <w:r>
        <w:rPr>
          <w:rFonts w:ascii="Times New Roman" w:hint="eastAsia"/>
          <w:szCs w:val="28"/>
        </w:rPr>
        <w:t>）对井田内的村庄，居住相对集中的留设保护煤柱，其余分散住户应考虑搬迁移民。</w:t>
      </w:r>
    </w:p>
    <w:p w14:paraId="5A40F9EF"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w:t>
      </w:r>
      <w:r>
        <w:rPr>
          <w:rFonts w:ascii="Times New Roman" w:hint="eastAsia"/>
          <w:szCs w:val="28"/>
        </w:rPr>
        <w:t>4</w:t>
      </w:r>
      <w:r>
        <w:rPr>
          <w:rFonts w:ascii="Times New Roman" w:hint="eastAsia"/>
          <w:szCs w:val="28"/>
        </w:rPr>
        <w:t>）对受矿井开采塌陷影响的农作物和林木进行补种和扶栽，对塌陷区进行综合整治、充填堵塞裂缝、平整土地，恢复土地使用功能和防止土壤侵蚀。</w:t>
      </w:r>
    </w:p>
    <w:p w14:paraId="09C12AD5"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防沙治沙：</w:t>
      </w:r>
    </w:p>
    <w:p w14:paraId="5294DB29"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防沙治沙的范围主要是：矿区内各矿井、选煤厂排矸场的四周和道路沿线。为防止风沙危害，需设防护绿化带；对各场地周围流动性大、风沙活动比较活跃的沙丘，先打草方格沙障，然后在草方格内植树造林；场地内要求少硬化、多绿化、加强美化的原则进行场区工业及行政办公设施的布置。</w:t>
      </w:r>
    </w:p>
    <w:p w14:paraId="33A88D0F"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水土流失防治：</w:t>
      </w:r>
    </w:p>
    <w:p w14:paraId="64385821"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矿区内各场地雨水利用排水明沟及道路有组织的排至场外，凡场地选择在丘间凹地的，应对场地采取防洪措施，初期雨水设雨水沉淀池处理。在项目建设施工期要合理调配土方，减少土方的排弃量；合理规划取土场和弃土场，在使用完后对其采取一定的工程措施（修筑排水沟、截水沟等）和植物恢复措施；并应避开雨季，以减少地表破坏造成的流失。严禁施工中“滥伐”、“滥烧”现象，并应固定施工便道，减少对植的破坏。搞好场地和排洪沟的绿化工作，减少裸露地面。临时排矸场应根据具体情况修筑拦渣坝和采取其他防洪措施，减少矸石流失。</w:t>
      </w:r>
    </w:p>
    <w:p w14:paraId="6099E877"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szCs w:val="28"/>
        </w:rPr>
        <w:t>绿化：</w:t>
      </w:r>
    </w:p>
    <w:p w14:paraId="0B780E73"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绿化工作在各项目建设初期就应给予足够的重视，并应符合今后扩大生产的规划要求。绿化中应将绿化措施和地面生产系统防尘降噪相结合、和场地美化相结合；树种的选择应适地适树，采用草灌乔植物相搭配的方式对场地、道路两侧等处绿化美化。工业场地绿化系数不应超过</w:t>
      </w:r>
      <w:r>
        <w:rPr>
          <w:rFonts w:ascii="Times New Roman" w:hint="eastAsia"/>
          <w:szCs w:val="28"/>
        </w:rPr>
        <w:t>20%</w:t>
      </w:r>
      <w:r>
        <w:rPr>
          <w:rFonts w:ascii="Times New Roman" w:hint="eastAsia"/>
          <w:szCs w:val="28"/>
        </w:rPr>
        <w:t>，且不宜小于</w:t>
      </w:r>
      <w:r>
        <w:rPr>
          <w:rFonts w:ascii="Times New Roman" w:hint="eastAsia"/>
          <w:szCs w:val="28"/>
        </w:rPr>
        <w:t>15%</w:t>
      </w:r>
      <w:r>
        <w:rPr>
          <w:rFonts w:ascii="Times New Roman" w:hint="eastAsia"/>
          <w:szCs w:val="28"/>
        </w:rPr>
        <w:t>。绿化树种的选择：乔木以杨树、沙枣、榆树为主；灌木以柠条、花棒、杨柴沙柳等为主，半灌木以油蒿为主；草以沙米、沙蒿为主。</w:t>
      </w:r>
    </w:p>
    <w:p w14:paraId="17CF16DD"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2.3</w:t>
      </w:r>
      <w:r>
        <w:rPr>
          <w:rFonts w:ascii="Times New Roman" w:eastAsia="宋体" w:hAnsi="Times New Roman" w:hint="eastAsia"/>
          <w:sz w:val="24"/>
        </w:rPr>
        <w:t>.1</w:t>
      </w:r>
      <w:r>
        <w:rPr>
          <w:rFonts w:ascii="Times New Roman" w:eastAsia="宋体" w:hAnsi="Times New Roman"/>
          <w:sz w:val="24"/>
        </w:rPr>
        <w:t xml:space="preserve">0.7 </w:t>
      </w:r>
      <w:r>
        <w:rPr>
          <w:rFonts w:ascii="Times New Roman" w:eastAsia="宋体" w:hAnsi="宋体" w:hint="eastAsia"/>
          <w:sz w:val="24"/>
        </w:rPr>
        <w:t>水土保持</w:t>
      </w:r>
    </w:p>
    <w:p w14:paraId="7EACE1E4"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矿区水土保持分区：矿区属</w:t>
      </w:r>
      <w:r>
        <w:t>国家级水土流失重点监督区</w:t>
      </w:r>
      <w:r>
        <w:rPr>
          <w:rFonts w:hint="eastAsia"/>
        </w:rPr>
        <w:t>、</w:t>
      </w:r>
      <w:r>
        <w:t>省级水土流失重点监督区</w:t>
      </w:r>
    </w:p>
    <w:p w14:paraId="4962DE37"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int="eastAsia"/>
          <w:szCs w:val="28"/>
        </w:rPr>
        <w:t>（</w:t>
      </w:r>
      <w:r>
        <w:rPr>
          <w:rFonts w:ascii="Times New Roman" w:hint="eastAsia"/>
          <w:szCs w:val="28"/>
        </w:rPr>
        <w:t>1</w:t>
      </w:r>
      <w:r>
        <w:rPr>
          <w:rFonts w:ascii="Times New Roman" w:hint="eastAsia"/>
          <w:szCs w:val="28"/>
        </w:rPr>
        <w:t>）</w:t>
      </w:r>
      <w:r>
        <w:rPr>
          <w:rFonts w:ascii="Times New Roman"/>
          <w:szCs w:val="28"/>
        </w:rPr>
        <w:t>防治目标</w:t>
      </w:r>
    </w:p>
    <w:p w14:paraId="70F3BD84" w14:textId="77777777" w:rsidR="009C353B" w:rsidRDefault="00000000">
      <w:pPr>
        <w:adjustRightInd w:val="0"/>
        <w:snapToGrid w:val="0"/>
        <w:spacing w:line="440" w:lineRule="exact"/>
        <w:ind w:firstLineChars="200" w:firstLine="480"/>
        <w:jc w:val="left"/>
        <w:rPr>
          <w:rFonts w:ascii="Times New Roman" w:hint="eastAsia"/>
          <w:szCs w:val="28"/>
        </w:rPr>
      </w:pPr>
      <w:bookmarkStart w:id="80" w:name="_Hlk48477406"/>
      <w:r>
        <w:rPr>
          <w:rFonts w:ascii="Times New Roman" w:hAnsi="Times New Roman" w:hint="eastAsia"/>
          <w:szCs w:val="28"/>
        </w:rPr>
        <w:t>1</w:t>
      </w:r>
      <w:r>
        <w:rPr>
          <w:rFonts w:ascii="Times New Roman" w:hAnsi="Times New Roman" w:hint="eastAsia"/>
          <w:szCs w:val="28"/>
        </w:rPr>
        <w:t>）</w:t>
      </w:r>
      <w:r>
        <w:rPr>
          <w:rFonts w:ascii="Times New Roman"/>
          <w:szCs w:val="28"/>
        </w:rPr>
        <w:t>扰动土地治理率达到</w:t>
      </w:r>
      <w:r>
        <w:rPr>
          <w:rFonts w:ascii="Times New Roman" w:hint="eastAsia"/>
          <w:szCs w:val="28"/>
        </w:rPr>
        <w:t>9</w:t>
      </w:r>
      <w:r>
        <w:rPr>
          <w:rFonts w:ascii="Times New Roman"/>
          <w:szCs w:val="28"/>
        </w:rPr>
        <w:t>0%</w:t>
      </w:r>
      <w:r>
        <w:rPr>
          <w:rFonts w:ascii="Times New Roman"/>
          <w:szCs w:val="28"/>
        </w:rPr>
        <w:t>。</w:t>
      </w:r>
    </w:p>
    <w:p w14:paraId="51BA737A"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Ansi="Times New Roman"/>
          <w:szCs w:val="28"/>
        </w:rPr>
        <w:t>2</w:t>
      </w:r>
      <w:r>
        <w:rPr>
          <w:rFonts w:ascii="Times New Roman" w:hAnsi="Times New Roman" w:hint="eastAsia"/>
          <w:szCs w:val="28"/>
        </w:rPr>
        <w:t>）</w:t>
      </w:r>
      <w:r>
        <w:rPr>
          <w:rFonts w:ascii="Times New Roman"/>
          <w:szCs w:val="28"/>
        </w:rPr>
        <w:t>水土流失总治理度达到</w:t>
      </w:r>
      <w:r>
        <w:rPr>
          <w:rFonts w:ascii="Times New Roman" w:hint="eastAsia"/>
          <w:szCs w:val="28"/>
        </w:rPr>
        <w:t>85</w:t>
      </w:r>
      <w:r>
        <w:rPr>
          <w:rFonts w:ascii="Times New Roman"/>
          <w:szCs w:val="28"/>
        </w:rPr>
        <w:t>%</w:t>
      </w:r>
      <w:r>
        <w:rPr>
          <w:rFonts w:ascii="Times New Roman"/>
          <w:szCs w:val="28"/>
        </w:rPr>
        <w:t>。</w:t>
      </w:r>
    </w:p>
    <w:p w14:paraId="78ECF957"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Ansi="Times New Roman"/>
          <w:szCs w:val="28"/>
        </w:rPr>
        <w:t>3</w:t>
      </w:r>
      <w:r>
        <w:rPr>
          <w:rFonts w:ascii="Times New Roman" w:hAnsi="Times New Roman" w:hint="eastAsia"/>
          <w:szCs w:val="28"/>
        </w:rPr>
        <w:t>）</w:t>
      </w:r>
      <w:r>
        <w:rPr>
          <w:rFonts w:ascii="Times New Roman"/>
          <w:szCs w:val="28"/>
        </w:rPr>
        <w:t>土壤流失控制比达到</w:t>
      </w:r>
      <w:r>
        <w:rPr>
          <w:rFonts w:ascii="Times New Roman"/>
          <w:szCs w:val="28"/>
        </w:rPr>
        <w:t>0.7</w:t>
      </w:r>
      <w:r>
        <w:rPr>
          <w:rFonts w:ascii="Times New Roman"/>
          <w:szCs w:val="28"/>
        </w:rPr>
        <w:t>。</w:t>
      </w:r>
    </w:p>
    <w:p w14:paraId="36267FA2"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Ansi="Times New Roman"/>
          <w:szCs w:val="28"/>
        </w:rPr>
        <w:t>4</w:t>
      </w:r>
      <w:r>
        <w:rPr>
          <w:rFonts w:ascii="Times New Roman" w:hAnsi="Times New Roman" w:hint="eastAsia"/>
          <w:szCs w:val="28"/>
        </w:rPr>
        <w:t>）</w:t>
      </w:r>
      <w:r>
        <w:rPr>
          <w:rFonts w:ascii="Times New Roman"/>
          <w:szCs w:val="28"/>
        </w:rPr>
        <w:t>拦渣率达到</w:t>
      </w:r>
      <w:r>
        <w:rPr>
          <w:rFonts w:ascii="Times New Roman" w:hint="eastAsia"/>
          <w:szCs w:val="28"/>
        </w:rPr>
        <w:t>98</w:t>
      </w:r>
      <w:r>
        <w:rPr>
          <w:rFonts w:ascii="Times New Roman"/>
          <w:szCs w:val="28"/>
        </w:rPr>
        <w:t>%</w:t>
      </w:r>
      <w:r>
        <w:rPr>
          <w:rFonts w:ascii="Times New Roman"/>
          <w:szCs w:val="28"/>
        </w:rPr>
        <w:t>。</w:t>
      </w:r>
    </w:p>
    <w:p w14:paraId="7DFB3B98"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Ansi="Times New Roman"/>
          <w:szCs w:val="28"/>
        </w:rPr>
        <w:t>5</w:t>
      </w:r>
      <w:r>
        <w:rPr>
          <w:rFonts w:ascii="Times New Roman" w:hAnsi="Times New Roman" w:hint="eastAsia"/>
          <w:szCs w:val="28"/>
        </w:rPr>
        <w:t>）</w:t>
      </w:r>
      <w:r>
        <w:rPr>
          <w:rFonts w:ascii="Times New Roman"/>
          <w:szCs w:val="28"/>
        </w:rPr>
        <w:t>林草覆盖率达到</w:t>
      </w:r>
      <w:r>
        <w:rPr>
          <w:rFonts w:ascii="Times New Roman"/>
          <w:szCs w:val="28"/>
        </w:rPr>
        <w:t>20%</w:t>
      </w:r>
      <w:r>
        <w:rPr>
          <w:rFonts w:ascii="Times New Roman"/>
          <w:szCs w:val="28"/>
        </w:rPr>
        <w:t>。</w:t>
      </w:r>
    </w:p>
    <w:p w14:paraId="2A2A3CF1"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Ansi="Times New Roman"/>
          <w:szCs w:val="28"/>
        </w:rPr>
        <w:t>6</w:t>
      </w:r>
      <w:r>
        <w:rPr>
          <w:rFonts w:ascii="Times New Roman" w:hAnsi="Times New Roman" w:hint="eastAsia"/>
          <w:szCs w:val="28"/>
        </w:rPr>
        <w:t>）沉陷区</w:t>
      </w:r>
      <w:r>
        <w:rPr>
          <w:rFonts w:ascii="Times New Roman"/>
          <w:szCs w:val="28"/>
        </w:rPr>
        <w:t>植被恢复系数达到</w:t>
      </w:r>
      <w:r>
        <w:rPr>
          <w:rFonts w:ascii="Times New Roman"/>
          <w:szCs w:val="28"/>
        </w:rPr>
        <w:t>95%</w:t>
      </w:r>
      <w:r>
        <w:rPr>
          <w:rFonts w:ascii="Times New Roman"/>
          <w:szCs w:val="28"/>
        </w:rPr>
        <w:t>。</w:t>
      </w:r>
    </w:p>
    <w:p w14:paraId="3170B3CE" w14:textId="77777777" w:rsidR="009C353B" w:rsidRDefault="00000000">
      <w:pPr>
        <w:adjustRightInd w:val="0"/>
        <w:snapToGrid w:val="0"/>
        <w:spacing w:line="440" w:lineRule="exact"/>
        <w:ind w:firstLineChars="200" w:firstLine="480"/>
        <w:jc w:val="left"/>
        <w:rPr>
          <w:rFonts w:ascii="Times New Roman" w:hint="eastAsia"/>
          <w:szCs w:val="28"/>
        </w:rPr>
      </w:pPr>
      <w:r>
        <w:rPr>
          <w:rFonts w:ascii="Times New Roman" w:hAnsi="Times New Roman"/>
          <w:szCs w:val="28"/>
        </w:rPr>
        <w:t>7</w:t>
      </w:r>
      <w:r>
        <w:rPr>
          <w:rFonts w:ascii="Times New Roman" w:hAnsi="Times New Roman" w:hint="eastAsia"/>
          <w:szCs w:val="28"/>
        </w:rPr>
        <w:t>）</w:t>
      </w:r>
      <w:r>
        <w:rPr>
          <w:rFonts w:ascii="Times New Roman"/>
          <w:szCs w:val="28"/>
        </w:rPr>
        <w:t>矿区破坏土地治理率或复垦率达到</w:t>
      </w:r>
      <w:r>
        <w:rPr>
          <w:rFonts w:ascii="Times New Roman"/>
          <w:szCs w:val="28"/>
        </w:rPr>
        <w:t>95%</w:t>
      </w:r>
      <w:r>
        <w:rPr>
          <w:rFonts w:ascii="Times New Roman"/>
          <w:szCs w:val="28"/>
        </w:rPr>
        <w:t>以上。</w:t>
      </w:r>
    </w:p>
    <w:bookmarkEnd w:id="80"/>
    <w:p w14:paraId="4BAEBFE6" w14:textId="77777777" w:rsidR="009C353B" w:rsidRDefault="00000000">
      <w:pPr>
        <w:widowControl/>
        <w:adjustRightInd w:val="0"/>
        <w:snapToGrid w:val="0"/>
        <w:spacing w:line="440" w:lineRule="exact"/>
        <w:ind w:firstLine="482"/>
        <w:rPr>
          <w:rFonts w:ascii="Times New Roman" w:hint="eastAsia"/>
          <w:szCs w:val="24"/>
        </w:rPr>
      </w:pPr>
      <w:r>
        <w:rPr>
          <w:rFonts w:ascii="Times New Roman"/>
          <w:szCs w:val="24"/>
        </w:rPr>
        <w:t>（</w:t>
      </w:r>
      <w:r>
        <w:rPr>
          <w:rFonts w:ascii="Times New Roman" w:hint="eastAsia"/>
          <w:szCs w:val="24"/>
        </w:rPr>
        <w:t>2</w:t>
      </w:r>
      <w:r>
        <w:rPr>
          <w:rFonts w:ascii="Times New Roman"/>
          <w:szCs w:val="24"/>
        </w:rPr>
        <w:t>）水土保持治理措施</w:t>
      </w:r>
    </w:p>
    <w:p w14:paraId="0A04C123" w14:textId="77777777" w:rsidR="009C353B" w:rsidRDefault="00000000">
      <w:pPr>
        <w:widowControl/>
        <w:adjustRightInd w:val="0"/>
        <w:snapToGrid w:val="0"/>
        <w:spacing w:line="440" w:lineRule="exact"/>
        <w:ind w:firstLine="482"/>
        <w:rPr>
          <w:rFonts w:ascii="Times New Roman" w:hint="eastAsia"/>
          <w:szCs w:val="24"/>
        </w:rPr>
      </w:pPr>
      <w:r>
        <w:rPr>
          <w:rFonts w:ascii="Times New Roman"/>
          <w:szCs w:val="24"/>
        </w:rPr>
        <w:t>根据矿区水土流失特点</w:t>
      </w:r>
      <w:r>
        <w:rPr>
          <w:rFonts w:ascii="Times New Roman" w:hint="eastAsia"/>
          <w:szCs w:val="24"/>
        </w:rPr>
        <w:t>及</w:t>
      </w:r>
      <w:r>
        <w:rPr>
          <w:rFonts w:ascii="Times New Roman"/>
          <w:szCs w:val="24"/>
        </w:rPr>
        <w:t>工程建设特点，确定矿区水土流失防治措施规划</w:t>
      </w:r>
      <w:r>
        <w:rPr>
          <w:rFonts w:ascii="Times New Roman" w:hint="eastAsia"/>
          <w:szCs w:val="24"/>
        </w:rPr>
        <w:t>如下：</w:t>
      </w:r>
    </w:p>
    <w:p w14:paraId="73720260" w14:textId="77777777" w:rsidR="009C353B" w:rsidRDefault="00000000">
      <w:pPr>
        <w:widowControl/>
        <w:adjustRightInd w:val="0"/>
        <w:snapToGrid w:val="0"/>
        <w:spacing w:line="440" w:lineRule="exact"/>
        <w:ind w:firstLine="482"/>
        <w:rPr>
          <w:rFonts w:ascii="Times New Roman" w:hint="eastAsia"/>
          <w:szCs w:val="24"/>
        </w:rPr>
      </w:pPr>
      <w:r>
        <w:rPr>
          <w:rFonts w:ascii="Times New Roman" w:hint="eastAsia"/>
          <w:szCs w:val="24"/>
        </w:rPr>
        <w:t>1</w:t>
      </w:r>
      <w:r>
        <w:rPr>
          <w:rFonts w:ascii="Times New Roman"/>
          <w:szCs w:val="24"/>
        </w:rPr>
        <w:t>）排矸场的水土流失治理</w:t>
      </w:r>
    </w:p>
    <w:p w14:paraId="77D21296" w14:textId="77777777" w:rsidR="009C353B" w:rsidRDefault="00000000">
      <w:pPr>
        <w:widowControl/>
        <w:adjustRightInd w:val="0"/>
        <w:snapToGrid w:val="0"/>
        <w:spacing w:line="440" w:lineRule="exact"/>
        <w:ind w:firstLine="482"/>
        <w:rPr>
          <w:rFonts w:ascii="Times New Roman" w:hint="eastAsia"/>
          <w:szCs w:val="24"/>
        </w:rPr>
      </w:pPr>
      <w:r>
        <w:rPr>
          <w:rFonts w:ascii="Times New Roman"/>
          <w:szCs w:val="24"/>
        </w:rPr>
        <w:t>矸石堆场的整治必须实行自下而上的分层碾压，改大分层为小分层，与此同时，为了防止降雨在矸石山体内的渗流，造成矸石堆场整体或局部的不稳定性，还必须做好与矸石分层相配套的覆土绿化和防洪排水工程，使矸石堆场呈现梯田化景观。矸石场未堆满前，根据需要可在下游口设计挡矸墙、挡矸坝，对运输道路，做好边坡的防护工作，根据需要设计挡渣墙，实现山、水、田、林、路的统一综合治理。</w:t>
      </w:r>
    </w:p>
    <w:p w14:paraId="511FEC1E" w14:textId="77777777" w:rsidR="009C353B" w:rsidRDefault="00000000">
      <w:pPr>
        <w:widowControl/>
        <w:adjustRightInd w:val="0"/>
        <w:snapToGrid w:val="0"/>
        <w:spacing w:line="440" w:lineRule="exact"/>
        <w:ind w:firstLine="482"/>
        <w:rPr>
          <w:rFonts w:ascii="Times New Roman" w:hint="eastAsia"/>
          <w:szCs w:val="24"/>
        </w:rPr>
      </w:pPr>
      <w:r>
        <w:rPr>
          <w:rFonts w:ascii="Times New Roman" w:hint="eastAsia"/>
          <w:szCs w:val="24"/>
        </w:rPr>
        <w:t>2</w:t>
      </w:r>
      <w:r>
        <w:rPr>
          <w:rFonts w:ascii="Times New Roman"/>
          <w:szCs w:val="24"/>
        </w:rPr>
        <w:t>）采空沉陷区水土流失的防治措施</w:t>
      </w:r>
    </w:p>
    <w:p w14:paraId="50B21CD4" w14:textId="77777777" w:rsidR="009C353B" w:rsidRDefault="00000000">
      <w:pPr>
        <w:widowControl/>
        <w:adjustRightInd w:val="0"/>
        <w:snapToGrid w:val="0"/>
        <w:spacing w:line="440" w:lineRule="exact"/>
        <w:ind w:firstLine="482"/>
        <w:rPr>
          <w:rFonts w:ascii="Times New Roman" w:hint="eastAsia"/>
          <w:szCs w:val="24"/>
        </w:rPr>
      </w:pPr>
      <w:r>
        <w:rPr>
          <w:rFonts w:ascii="Times New Roman"/>
          <w:szCs w:val="24"/>
        </w:rPr>
        <w:t>在开矿采掘前期，要对本区的上覆地层特征、地质构造及影响地表变形的主要因素做全面的调查，据此，制定防治或减轻地表沉陷的措施，科学地指导煤炭生产。对已经造成的地表沉陷，应采取积极有效的措施，进行整治和恢复，以防止对水土资源的进一步破坏。雨水汇集区域形成的沉陷和裂缝，为防止汛期洪水的淹灌和冲刷，可构筑土堤将沉陷区包围起来，疏散来水，减少水土流失。对于地表沉陷的裂缝，发现后应及时用土石填封，不稳定区应反复充填，直至稳定为止。对于农田因沉陷和裂缝造成弃耕的，在地表变形稳定后，结合农田基本建设，重新修造农田进行复垦。</w:t>
      </w:r>
    </w:p>
    <w:p w14:paraId="5C08DA5D" w14:textId="77777777" w:rsidR="009C353B" w:rsidRDefault="00000000">
      <w:pPr>
        <w:widowControl/>
        <w:adjustRightInd w:val="0"/>
        <w:snapToGrid w:val="0"/>
        <w:spacing w:line="440" w:lineRule="exact"/>
        <w:ind w:firstLine="482"/>
        <w:rPr>
          <w:rFonts w:ascii="Times New Roman" w:hint="eastAsia"/>
          <w:szCs w:val="24"/>
        </w:rPr>
      </w:pPr>
      <w:r>
        <w:rPr>
          <w:rFonts w:ascii="Times New Roman" w:hint="eastAsia"/>
          <w:szCs w:val="24"/>
        </w:rPr>
        <w:t>3</w:t>
      </w:r>
      <w:r>
        <w:rPr>
          <w:rFonts w:ascii="Times New Roman" w:hint="eastAsia"/>
          <w:szCs w:val="24"/>
        </w:rPr>
        <w:t>）工业广场水土流失防治措施</w:t>
      </w:r>
    </w:p>
    <w:p w14:paraId="5AAE0A75" w14:textId="77777777" w:rsidR="009C353B" w:rsidRDefault="00000000">
      <w:pPr>
        <w:widowControl/>
        <w:adjustRightInd w:val="0"/>
        <w:snapToGrid w:val="0"/>
        <w:spacing w:line="440" w:lineRule="exact"/>
        <w:ind w:firstLine="482"/>
        <w:rPr>
          <w:rFonts w:ascii="Times New Roman" w:hint="eastAsia"/>
          <w:szCs w:val="24"/>
        </w:rPr>
      </w:pPr>
      <w:r>
        <w:rPr>
          <w:rFonts w:ascii="Times New Roman" w:hint="eastAsia"/>
          <w:szCs w:val="24"/>
        </w:rPr>
        <w:t>矿区内工业厂区水土保持工程需结合主体工程设计，主要布设防护工程、排水工程、厂区绿化美化等措施。</w:t>
      </w:r>
    </w:p>
    <w:p w14:paraId="61D42130" w14:textId="77777777" w:rsidR="009C353B" w:rsidRDefault="00000000">
      <w:pPr>
        <w:widowControl/>
        <w:adjustRightInd w:val="0"/>
        <w:snapToGrid w:val="0"/>
        <w:spacing w:line="440" w:lineRule="exact"/>
        <w:ind w:firstLine="482"/>
        <w:rPr>
          <w:rFonts w:ascii="Times New Roman" w:hint="eastAsia"/>
          <w:szCs w:val="24"/>
        </w:rPr>
      </w:pPr>
      <w:r>
        <w:rPr>
          <w:rFonts w:ascii="Times New Roman" w:hint="eastAsia"/>
          <w:szCs w:val="24"/>
        </w:rPr>
        <w:t>4</w:t>
      </w:r>
      <w:r>
        <w:rPr>
          <w:rFonts w:ascii="Times New Roman" w:hint="eastAsia"/>
          <w:szCs w:val="24"/>
        </w:rPr>
        <w:t>）输水、供热、供电、道路等线性工程水土流失防治措施</w:t>
      </w:r>
    </w:p>
    <w:p w14:paraId="220A23DA" w14:textId="77777777" w:rsidR="009C353B" w:rsidRDefault="00000000">
      <w:pPr>
        <w:widowControl/>
        <w:adjustRightInd w:val="0"/>
        <w:snapToGrid w:val="0"/>
        <w:spacing w:line="440" w:lineRule="exact"/>
        <w:ind w:firstLine="482"/>
        <w:rPr>
          <w:rFonts w:ascii="Times New Roman" w:hint="eastAsia"/>
          <w:szCs w:val="24"/>
        </w:rPr>
      </w:pPr>
      <w:r>
        <w:rPr>
          <w:rFonts w:ascii="Times New Roman" w:hint="eastAsia"/>
          <w:szCs w:val="24"/>
        </w:rPr>
        <w:t>场外道路防治：施工期采取临时防护措施，植物措施和工程措施相结合，路基两侧设置排水沟并进行绿化。</w:t>
      </w:r>
    </w:p>
    <w:p w14:paraId="7A0E2DDF" w14:textId="77777777" w:rsidR="009C353B" w:rsidRDefault="00000000">
      <w:pPr>
        <w:widowControl/>
        <w:adjustRightInd w:val="0"/>
        <w:snapToGrid w:val="0"/>
        <w:spacing w:line="440" w:lineRule="exact"/>
        <w:ind w:firstLine="482"/>
        <w:rPr>
          <w:rFonts w:ascii="Times New Roman" w:hint="eastAsia"/>
          <w:szCs w:val="24"/>
        </w:rPr>
      </w:pPr>
      <w:r>
        <w:rPr>
          <w:rFonts w:ascii="Times New Roman" w:hint="eastAsia"/>
          <w:szCs w:val="24"/>
        </w:rPr>
        <w:t>供排水管线防治：施工期采取临时防护措施，布置开挖地表土壤的保护措施以及防治水土流失的挡护措施，施工结束后将施工临时用地进行平整，种植适宜当地土壤环境的草种</w:t>
      </w:r>
      <w:r>
        <w:rPr>
          <w:rFonts w:ascii="Times New Roman"/>
          <w:szCs w:val="24"/>
        </w:rPr>
        <w:t>。</w:t>
      </w:r>
    </w:p>
    <w:bookmarkEnd w:id="79"/>
    <w:p w14:paraId="0D02AF63"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2.3</w:t>
      </w:r>
      <w:r>
        <w:rPr>
          <w:rFonts w:ascii="Times New Roman" w:hAnsi="Times New Roman" w:hint="eastAsia"/>
          <w:sz w:val="24"/>
        </w:rPr>
        <w:t>.1</w:t>
      </w:r>
      <w:r>
        <w:rPr>
          <w:rFonts w:ascii="Times New Roman" w:hAnsi="Times New Roman"/>
          <w:sz w:val="24"/>
        </w:rPr>
        <w:t xml:space="preserve">1 </w:t>
      </w:r>
      <w:r>
        <w:rPr>
          <w:rFonts w:ascii="Times New Roman" w:hint="eastAsia"/>
          <w:sz w:val="24"/>
        </w:rPr>
        <w:t>矿区主要技术</w:t>
      </w:r>
      <w:r>
        <w:rPr>
          <w:rFonts w:ascii="Times New Roman"/>
          <w:sz w:val="24"/>
        </w:rPr>
        <w:t>经济指标</w:t>
      </w:r>
    </w:p>
    <w:p w14:paraId="3B0F27AE" w14:textId="77777777" w:rsidR="009C353B" w:rsidRDefault="00000000">
      <w:pPr>
        <w:widowControl/>
        <w:adjustRightInd w:val="0"/>
        <w:snapToGrid w:val="0"/>
        <w:spacing w:line="440" w:lineRule="exact"/>
        <w:ind w:firstLine="482"/>
        <w:rPr>
          <w:rFonts w:ascii="Times New Roman" w:hint="eastAsia"/>
          <w:szCs w:val="24"/>
        </w:rPr>
      </w:pPr>
      <w:r>
        <w:rPr>
          <w:rFonts w:ascii="Times New Roman"/>
          <w:szCs w:val="24"/>
        </w:rPr>
        <w:t>矿区</w:t>
      </w:r>
      <w:r>
        <w:rPr>
          <w:rFonts w:ascii="Times New Roman" w:hint="eastAsia"/>
          <w:szCs w:val="24"/>
        </w:rPr>
        <w:t>总体规划主要经济技术指标见</w:t>
      </w:r>
      <w:r>
        <w:rPr>
          <w:rFonts w:ascii="Times New Roman"/>
          <w:szCs w:val="24"/>
        </w:rPr>
        <w:t>表</w:t>
      </w:r>
      <w:r>
        <w:rPr>
          <w:rFonts w:ascii="Times New Roman" w:hAnsi="Times New Roman"/>
          <w:szCs w:val="24"/>
        </w:rPr>
        <w:t>2.3-17</w:t>
      </w:r>
      <w:r>
        <w:rPr>
          <w:rFonts w:ascii="Times New Roman"/>
          <w:szCs w:val="24"/>
        </w:rPr>
        <w:t>。</w:t>
      </w:r>
    </w:p>
    <w:p w14:paraId="4F721953" w14:textId="77777777" w:rsidR="009C353B" w:rsidRDefault="009C353B">
      <w:pPr>
        <w:widowControl/>
        <w:adjustRightInd w:val="0"/>
        <w:snapToGrid w:val="0"/>
        <w:spacing w:line="440" w:lineRule="exact"/>
        <w:ind w:firstLine="482"/>
        <w:rPr>
          <w:rFonts w:ascii="Times New Roman" w:hint="eastAsia"/>
          <w:szCs w:val="24"/>
        </w:rPr>
      </w:pPr>
    </w:p>
    <w:p w14:paraId="67425A32" w14:textId="77777777" w:rsidR="009C353B" w:rsidRDefault="009C353B">
      <w:pPr>
        <w:widowControl/>
        <w:adjustRightInd w:val="0"/>
        <w:snapToGrid w:val="0"/>
        <w:spacing w:line="440" w:lineRule="exact"/>
        <w:ind w:firstLine="482"/>
        <w:rPr>
          <w:rFonts w:ascii="Times New Roman" w:hint="eastAsia"/>
          <w:szCs w:val="24"/>
        </w:rPr>
      </w:pPr>
    </w:p>
    <w:p w14:paraId="778B1038" w14:textId="77777777" w:rsidR="009C353B" w:rsidRDefault="009C353B">
      <w:pPr>
        <w:widowControl/>
        <w:adjustRightInd w:val="0"/>
        <w:snapToGrid w:val="0"/>
        <w:spacing w:line="440" w:lineRule="exact"/>
        <w:ind w:firstLine="482"/>
        <w:rPr>
          <w:rFonts w:ascii="Times New Roman" w:hint="eastAsia"/>
          <w:szCs w:val="24"/>
        </w:rPr>
      </w:pPr>
    </w:p>
    <w:p w14:paraId="2CFA2F4D" w14:textId="77777777" w:rsidR="009C353B" w:rsidRDefault="009C353B">
      <w:pPr>
        <w:widowControl/>
        <w:adjustRightInd w:val="0"/>
        <w:snapToGrid w:val="0"/>
        <w:spacing w:line="440" w:lineRule="exact"/>
        <w:ind w:firstLine="482"/>
        <w:rPr>
          <w:rFonts w:ascii="Times New Roman" w:hint="eastAsia"/>
          <w:szCs w:val="24"/>
        </w:rPr>
      </w:pPr>
    </w:p>
    <w:p w14:paraId="14F579A9" w14:textId="77777777" w:rsidR="009C353B" w:rsidRDefault="009C353B">
      <w:pPr>
        <w:widowControl/>
        <w:adjustRightInd w:val="0"/>
        <w:snapToGrid w:val="0"/>
        <w:spacing w:line="440" w:lineRule="exact"/>
        <w:ind w:firstLine="482"/>
        <w:rPr>
          <w:rFonts w:ascii="Times New Roman" w:hAnsi="Times New Roman"/>
          <w:szCs w:val="24"/>
        </w:rPr>
      </w:pPr>
    </w:p>
    <w:p w14:paraId="28491652" w14:textId="77777777" w:rsidR="009C353B" w:rsidRDefault="00000000">
      <w:pPr>
        <w:tabs>
          <w:tab w:val="left" w:pos="2172"/>
        </w:tabs>
        <w:adjustRightInd w:val="0"/>
        <w:snapToGrid w:val="0"/>
        <w:spacing w:line="440" w:lineRule="exact"/>
        <w:jc w:val="center"/>
        <w:rPr>
          <w:rFonts w:ascii="Times New Roman" w:hAnsi="Times New Roman"/>
          <w:b/>
          <w:bCs/>
          <w:kern w:val="0"/>
        </w:rPr>
      </w:pPr>
      <w:r>
        <w:rPr>
          <w:rFonts w:ascii="Times New Roman" w:hAnsi="Times New Roman"/>
          <w:bCs/>
          <w:kern w:val="0"/>
        </w:rPr>
        <w:t xml:space="preserve">  </w:t>
      </w:r>
      <w:r>
        <w:rPr>
          <w:rFonts w:ascii="Times New Roman"/>
          <w:b/>
          <w:bCs/>
          <w:kern w:val="0"/>
        </w:rPr>
        <w:t>横城矿区主要技术经济指标</w:t>
      </w:r>
      <w:r>
        <w:rPr>
          <w:rFonts w:ascii="Times New Roman" w:hint="eastAsia"/>
          <w:b/>
          <w:bCs/>
          <w:kern w:val="0"/>
        </w:rPr>
        <w:t>一览表</w:t>
      </w:r>
    </w:p>
    <w:p w14:paraId="16EA1E09" w14:textId="77777777" w:rsidR="009C353B" w:rsidRDefault="00000000">
      <w:pPr>
        <w:pStyle w:val="affffd"/>
        <w:spacing w:line="440" w:lineRule="exact"/>
        <w:rPr>
          <w:rFonts w:ascii="Times New Roman" w:hint="eastAsia"/>
        </w:rPr>
      </w:pPr>
      <w:r>
        <w:rPr>
          <w:rFonts w:ascii="Times New Roman"/>
        </w:rPr>
        <w:t>表</w:t>
      </w:r>
      <w:r>
        <w:rPr>
          <w:rFonts w:ascii="Times New Roman"/>
        </w:rPr>
        <w:t>2.3-17</w:t>
      </w:r>
    </w:p>
    <w:tbl>
      <w:tblPr>
        <w:tblW w:w="89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3232"/>
        <w:gridCol w:w="1418"/>
        <w:gridCol w:w="1984"/>
        <w:gridCol w:w="1559"/>
      </w:tblGrid>
      <w:tr w:rsidR="009C353B" w14:paraId="54C4198E" w14:textId="77777777">
        <w:trPr>
          <w:trHeight w:val="340"/>
          <w:tblHeader/>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8EF55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顺序</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67F688" w14:textId="77777777" w:rsidR="009C353B" w:rsidRDefault="00000000">
            <w:pPr>
              <w:widowControl/>
              <w:adjustRightInd w:val="0"/>
              <w:snapToGrid w:val="0"/>
              <w:spacing w:line="240" w:lineRule="atLeast"/>
              <w:jc w:val="center"/>
              <w:rPr>
                <w:rFonts w:ascii="Times New Roman" w:hint="eastAsia"/>
                <w:kern w:val="0"/>
                <w:sz w:val="21"/>
                <w:szCs w:val="21"/>
              </w:rPr>
            </w:pPr>
            <w:r>
              <w:rPr>
                <w:rFonts w:ascii="Times New Roman" w:hint="eastAsia"/>
                <w:kern w:val="0"/>
                <w:sz w:val="21"/>
                <w:szCs w:val="21"/>
              </w:rPr>
              <w:t>指标名称</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69A20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单位</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79286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数量</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10C78C"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备注</w:t>
            </w:r>
          </w:p>
        </w:tc>
      </w:tr>
      <w:tr w:rsidR="009C353B" w14:paraId="33A10FE7"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15324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37AC63"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煤</w:t>
            </w:r>
            <w:r>
              <w:rPr>
                <w:rFonts w:ascii="Times New Roman" w:hAnsi="Times New Roman"/>
                <w:kern w:val="0"/>
                <w:sz w:val="21"/>
                <w:szCs w:val="21"/>
              </w:rPr>
              <w:t xml:space="preserve">  </w:t>
            </w:r>
            <w:r>
              <w:rPr>
                <w:rFonts w:ascii="Times New Roman" w:hAnsi="Times New Roman"/>
                <w:kern w:val="0"/>
                <w:sz w:val="21"/>
                <w:szCs w:val="21"/>
              </w:rPr>
              <w:t>类</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DD0179"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8E4F93"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8F9DA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1/3JM</w:t>
            </w:r>
            <w:r>
              <w:rPr>
                <w:rFonts w:ascii="Times New Roman" w:hAnsi="Times New Roman" w:hint="eastAsia"/>
                <w:kern w:val="0"/>
                <w:sz w:val="21"/>
                <w:szCs w:val="21"/>
              </w:rPr>
              <w:t>、</w:t>
            </w:r>
            <w:r>
              <w:rPr>
                <w:rFonts w:ascii="Times New Roman" w:hAnsi="Times New Roman" w:hint="eastAsia"/>
                <w:kern w:val="0"/>
                <w:sz w:val="21"/>
                <w:szCs w:val="21"/>
              </w:rPr>
              <w:t>QM</w:t>
            </w:r>
            <w:r>
              <w:rPr>
                <w:rFonts w:ascii="Times New Roman" w:hAnsi="Times New Roman" w:hint="eastAsia"/>
                <w:kern w:val="0"/>
                <w:sz w:val="21"/>
                <w:szCs w:val="21"/>
              </w:rPr>
              <w:t>、</w:t>
            </w:r>
            <w:r>
              <w:rPr>
                <w:rFonts w:ascii="Times New Roman" w:hAnsi="Times New Roman" w:hint="eastAsia"/>
                <w:kern w:val="0"/>
                <w:sz w:val="21"/>
                <w:szCs w:val="21"/>
              </w:rPr>
              <w:t>F</w:t>
            </w:r>
            <w:r>
              <w:rPr>
                <w:rFonts w:ascii="Times New Roman" w:hAnsi="Times New Roman"/>
                <w:kern w:val="0"/>
                <w:sz w:val="21"/>
                <w:szCs w:val="21"/>
              </w:rPr>
              <w:t>M</w:t>
            </w:r>
          </w:p>
        </w:tc>
      </w:tr>
      <w:tr w:rsidR="009C353B" w14:paraId="0E2D94E2"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EBD5C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750A5D"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hint="eastAsia"/>
                <w:kern w:val="0"/>
                <w:sz w:val="21"/>
                <w:szCs w:val="21"/>
              </w:rPr>
              <w:t>主要</w:t>
            </w:r>
            <w:r>
              <w:rPr>
                <w:rFonts w:ascii="Times New Roman" w:hAnsi="Times New Roman"/>
                <w:kern w:val="0"/>
                <w:sz w:val="21"/>
                <w:szCs w:val="21"/>
              </w:rPr>
              <w:t>可采煤层层数、厚度</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1B47C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层、</w:t>
            </w:r>
            <w:r>
              <w:rPr>
                <w:rFonts w:ascii="Times New Roman" w:hAnsi="Times New Roman"/>
                <w:kern w:val="0"/>
                <w:sz w:val="21"/>
                <w:szCs w:val="21"/>
              </w:rPr>
              <w:t>m</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9EA89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/0.</w:t>
            </w:r>
            <w:r>
              <w:rPr>
                <w:rFonts w:ascii="Times New Roman" w:hAnsi="Times New Roman" w:hint="eastAsia"/>
                <w:kern w:val="0"/>
                <w:sz w:val="21"/>
                <w:szCs w:val="21"/>
              </w:rPr>
              <w:t>80</w:t>
            </w:r>
            <w:r>
              <w:rPr>
                <w:rFonts w:ascii="Times New Roman" w:hAnsi="Times New Roman"/>
                <w:kern w:val="0"/>
                <w:sz w:val="21"/>
                <w:szCs w:val="21"/>
              </w:rPr>
              <w:t>～</w:t>
            </w:r>
            <w:r>
              <w:rPr>
                <w:rFonts w:ascii="Times New Roman" w:hAnsi="Times New Roman" w:hint="eastAsia"/>
                <w:kern w:val="0"/>
                <w:sz w:val="21"/>
                <w:szCs w:val="21"/>
              </w:rPr>
              <w:t>4.52</w:t>
            </w:r>
            <w:r>
              <w:rPr>
                <w:rFonts w:ascii="Times New Roman" w:hAnsi="Times New Roman"/>
                <w:kern w:val="0"/>
                <w:sz w:val="21"/>
                <w:szCs w:val="21"/>
              </w:rPr>
              <w:t>、</w:t>
            </w:r>
            <w:r>
              <w:rPr>
                <w:rFonts w:ascii="Times New Roman" w:hAnsi="Times New Roman"/>
                <w:kern w:val="0"/>
                <w:sz w:val="21"/>
                <w:szCs w:val="21"/>
              </w:rPr>
              <w:t>0.</w:t>
            </w:r>
            <w:r>
              <w:rPr>
                <w:rFonts w:ascii="Times New Roman" w:hAnsi="Times New Roman" w:hint="eastAsia"/>
                <w:kern w:val="0"/>
                <w:sz w:val="21"/>
                <w:szCs w:val="21"/>
              </w:rPr>
              <w:t>80</w:t>
            </w:r>
            <w:r>
              <w:rPr>
                <w:rFonts w:ascii="Times New Roman" w:hAnsi="Times New Roman"/>
                <w:kern w:val="0"/>
                <w:sz w:val="21"/>
                <w:szCs w:val="21"/>
              </w:rPr>
              <w:t>～</w:t>
            </w:r>
            <w:r>
              <w:rPr>
                <w:rFonts w:ascii="Times New Roman" w:hAnsi="Times New Roman" w:hint="eastAsia"/>
                <w:kern w:val="0"/>
                <w:sz w:val="21"/>
                <w:szCs w:val="21"/>
              </w:rPr>
              <w:t>5.94</w:t>
            </w:r>
            <w:r>
              <w:rPr>
                <w:rFonts w:ascii="Times New Roman" w:hAnsi="Times New Roman"/>
                <w:kern w:val="0"/>
                <w:sz w:val="21"/>
                <w:szCs w:val="21"/>
              </w:rPr>
              <w:t>、</w:t>
            </w:r>
            <w:r>
              <w:rPr>
                <w:rFonts w:ascii="Times New Roman" w:hAnsi="Times New Roman"/>
                <w:kern w:val="0"/>
                <w:sz w:val="21"/>
                <w:szCs w:val="21"/>
              </w:rPr>
              <w:t>0.</w:t>
            </w:r>
            <w:r>
              <w:rPr>
                <w:rFonts w:ascii="Times New Roman" w:hAnsi="Times New Roman" w:hint="eastAsia"/>
                <w:kern w:val="0"/>
                <w:sz w:val="21"/>
                <w:szCs w:val="21"/>
              </w:rPr>
              <w:t>80</w:t>
            </w:r>
            <w:r>
              <w:rPr>
                <w:rFonts w:ascii="Times New Roman" w:hAnsi="Times New Roman"/>
                <w:kern w:val="0"/>
                <w:sz w:val="21"/>
                <w:szCs w:val="21"/>
              </w:rPr>
              <w:t>～</w:t>
            </w:r>
            <w:r>
              <w:rPr>
                <w:rFonts w:ascii="Times New Roman" w:hAnsi="Times New Roman" w:hint="eastAsia"/>
                <w:kern w:val="0"/>
                <w:sz w:val="21"/>
                <w:szCs w:val="21"/>
              </w:rPr>
              <w:t>11.51</w:t>
            </w:r>
            <w:r>
              <w:rPr>
                <w:rFonts w:ascii="Times New Roman" w:hAnsi="Times New Roman"/>
                <w:kern w:val="0"/>
                <w:sz w:val="21"/>
                <w:szCs w:val="21"/>
              </w:rPr>
              <w:t>、</w:t>
            </w:r>
            <w:r>
              <w:rPr>
                <w:rFonts w:ascii="Times New Roman" w:hAnsi="Times New Roman"/>
                <w:kern w:val="0"/>
                <w:sz w:val="21"/>
                <w:szCs w:val="21"/>
              </w:rPr>
              <w:t>0.</w:t>
            </w:r>
            <w:r>
              <w:rPr>
                <w:rFonts w:ascii="Times New Roman" w:hAnsi="Times New Roman" w:hint="eastAsia"/>
                <w:kern w:val="0"/>
                <w:sz w:val="21"/>
                <w:szCs w:val="21"/>
              </w:rPr>
              <w:t>80</w:t>
            </w:r>
            <w:r>
              <w:rPr>
                <w:rFonts w:ascii="Times New Roman" w:hAnsi="Times New Roman"/>
                <w:kern w:val="0"/>
                <w:sz w:val="21"/>
                <w:szCs w:val="21"/>
              </w:rPr>
              <w:t>～</w:t>
            </w:r>
            <w:r>
              <w:rPr>
                <w:rFonts w:ascii="Times New Roman" w:hAnsi="Times New Roman" w:hint="eastAsia"/>
                <w:kern w:val="0"/>
                <w:sz w:val="21"/>
                <w:szCs w:val="21"/>
              </w:rPr>
              <w:t>4.49</w:t>
            </w:r>
            <w:r>
              <w:rPr>
                <w:rFonts w:ascii="Times New Roman" w:hAnsi="Times New Roman"/>
                <w:kern w:val="0"/>
                <w:sz w:val="21"/>
                <w:szCs w:val="21"/>
              </w:rPr>
              <w:t>、</w:t>
            </w:r>
            <w:r>
              <w:rPr>
                <w:rFonts w:ascii="Times New Roman" w:hAnsi="Times New Roman"/>
                <w:kern w:val="0"/>
                <w:sz w:val="21"/>
                <w:szCs w:val="21"/>
              </w:rPr>
              <w:t>0.</w:t>
            </w:r>
            <w:r>
              <w:rPr>
                <w:rFonts w:ascii="Times New Roman" w:hAnsi="Times New Roman" w:hint="eastAsia"/>
                <w:kern w:val="0"/>
                <w:sz w:val="21"/>
                <w:szCs w:val="21"/>
              </w:rPr>
              <w:t>80</w:t>
            </w:r>
            <w:r>
              <w:rPr>
                <w:rFonts w:ascii="Times New Roman" w:hAnsi="Times New Roman"/>
                <w:kern w:val="0"/>
                <w:sz w:val="21"/>
                <w:szCs w:val="21"/>
              </w:rPr>
              <w:t>～</w:t>
            </w:r>
            <w:r>
              <w:rPr>
                <w:rFonts w:ascii="Times New Roman" w:hAnsi="Times New Roman" w:hint="eastAsia"/>
                <w:kern w:val="0"/>
                <w:sz w:val="21"/>
                <w:szCs w:val="21"/>
              </w:rPr>
              <w:t>9.19</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B775C2"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715C199D"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B549E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3</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E0749D"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煤层倾角</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E67B2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kern w:val="0"/>
                <w:sz w:val="21"/>
                <w:szCs w:val="21"/>
              </w:rPr>
              <w:t>°</w:t>
            </w:r>
            <w:r>
              <w:rPr>
                <w:rFonts w:ascii="Times New Roman" w:hAnsi="Times New Roman"/>
                <w:kern w:val="0"/>
                <w:sz w:val="21"/>
                <w:szCs w:val="21"/>
              </w:rPr>
              <w:t>）</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0EA7D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一般</w:t>
            </w:r>
            <w:r>
              <w:rPr>
                <w:rFonts w:ascii="Times New Roman" w:hAnsi="Times New Roman" w:hint="eastAsia"/>
                <w:kern w:val="0"/>
                <w:sz w:val="21"/>
                <w:szCs w:val="21"/>
              </w:rPr>
              <w:t>15</w:t>
            </w:r>
            <w:r>
              <w:rPr>
                <w:rFonts w:ascii="Times New Roman" w:hAnsi="Times New Roman" w:hint="eastAsia"/>
                <w:kern w:val="0"/>
                <w:sz w:val="21"/>
                <w:szCs w:val="21"/>
              </w:rPr>
              <w:t>°～</w:t>
            </w:r>
            <w:r>
              <w:rPr>
                <w:rFonts w:ascii="Times New Roman" w:hAnsi="Times New Roman" w:hint="eastAsia"/>
                <w:kern w:val="0"/>
                <w:sz w:val="21"/>
                <w:szCs w:val="21"/>
              </w:rPr>
              <w:t>25</w:t>
            </w:r>
            <w:r>
              <w:rPr>
                <w:rFonts w:ascii="Times New Roman" w:hAnsi="Times New Roman" w:hint="eastAsia"/>
                <w:kern w:val="0"/>
                <w:sz w:val="21"/>
                <w:szCs w:val="21"/>
              </w:rPr>
              <w:t>°</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4A7AF7"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5E8187D1"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4F8B9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4</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AB7E9F"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矿区地面高程</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254DFC"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2DAD8B"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675DAC"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26F2C608"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445257"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179F49"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最低高程</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467888"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m</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8AB80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1250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C3788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最低高程</w:t>
            </w:r>
          </w:p>
        </w:tc>
      </w:tr>
      <w:tr w:rsidR="009C353B" w14:paraId="12C3EE83"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A3DA3A"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F7BB31"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最高高程</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D4EB4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m</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53615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1400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C9BF7C"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最高高程</w:t>
            </w:r>
          </w:p>
        </w:tc>
      </w:tr>
      <w:tr w:rsidR="009C353B" w14:paraId="63DC3E98"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A1D1D0"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FAD136"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相对高差</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38C46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m</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D2B8A6"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150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0271F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相对高差</w:t>
            </w:r>
          </w:p>
        </w:tc>
      </w:tr>
      <w:tr w:rsidR="009C353B" w14:paraId="4E7DAD4D"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5A29D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5</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039757"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矿区范围</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D1989A"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D84E66"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445BAB"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337B5342"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6E3851"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7350FF"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东西长</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F70AC0"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km</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641F7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3.9</w:t>
            </w:r>
            <w:r>
              <w:rPr>
                <w:rFonts w:ascii="Times New Roman" w:hAnsi="Times New Roman" w:hint="eastAsia"/>
                <w:kern w:val="0"/>
                <w:sz w:val="21"/>
                <w:szCs w:val="21"/>
              </w:rPr>
              <w:t>～</w:t>
            </w:r>
            <w:r>
              <w:rPr>
                <w:rFonts w:ascii="Times New Roman" w:hAnsi="Times New Roman" w:hint="eastAsia"/>
                <w:kern w:val="0"/>
                <w:sz w:val="21"/>
                <w:szCs w:val="21"/>
              </w:rPr>
              <w:t>17.5</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192A5E"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204D0171"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35CF3D"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5C1CD8"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南北宽</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CB6176"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km</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66C14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1.8</w:t>
            </w:r>
            <w:r>
              <w:rPr>
                <w:rFonts w:ascii="Times New Roman" w:hAnsi="Times New Roman" w:hint="eastAsia"/>
                <w:kern w:val="0"/>
                <w:sz w:val="21"/>
                <w:szCs w:val="21"/>
              </w:rPr>
              <w:t>～</w:t>
            </w:r>
            <w:r>
              <w:rPr>
                <w:rFonts w:ascii="Times New Roman" w:hAnsi="Times New Roman" w:hint="eastAsia"/>
                <w:kern w:val="0"/>
                <w:sz w:val="21"/>
                <w:szCs w:val="21"/>
              </w:rPr>
              <w:t>13</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11EA0E"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4001DD2F"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3D042C"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D5E7B2"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面</w:t>
            </w:r>
            <w:r>
              <w:rPr>
                <w:rFonts w:ascii="Times New Roman" w:hAnsi="Times New Roman"/>
                <w:kern w:val="0"/>
                <w:sz w:val="21"/>
                <w:szCs w:val="21"/>
              </w:rPr>
              <w:t xml:space="preserve">  </w:t>
            </w:r>
            <w:r>
              <w:rPr>
                <w:rFonts w:ascii="Times New Roman" w:hAnsi="Times New Roman"/>
                <w:kern w:val="0"/>
                <w:sz w:val="21"/>
                <w:szCs w:val="21"/>
              </w:rPr>
              <w:t>积</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67E1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km</w:t>
            </w:r>
            <w:r>
              <w:rPr>
                <w:rFonts w:ascii="Times New Roman" w:hAnsi="Times New Roman"/>
                <w:kern w:val="0"/>
                <w:sz w:val="21"/>
                <w:szCs w:val="21"/>
                <w:vertAlign w:val="superscript"/>
              </w:rPr>
              <w:t>2</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C01DD0"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86</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4465CB"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1A17F26D"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8F360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6</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17ADB6"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矿区资源总量</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7007CC"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Mt</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E7C726"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2037.29</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CFAC75"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1A40683D"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BC04FC"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7</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17F2A9"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规划范围面积与资源</w:t>
            </w:r>
            <w:r>
              <w:rPr>
                <w:rFonts w:ascii="Times New Roman" w:hAnsi="Times New Roman"/>
                <w:kern w:val="0"/>
                <w:sz w:val="21"/>
                <w:szCs w:val="21"/>
              </w:rPr>
              <w:t>/</w:t>
            </w:r>
            <w:r>
              <w:rPr>
                <w:rFonts w:ascii="Times New Roman" w:hAnsi="Times New Roman"/>
                <w:kern w:val="0"/>
                <w:sz w:val="21"/>
                <w:szCs w:val="21"/>
              </w:rPr>
              <w:t>储量</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C549A9"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A7B36F"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9B7766"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7</w:t>
            </w:r>
          </w:p>
        </w:tc>
      </w:tr>
      <w:tr w:rsidR="009C353B" w14:paraId="021BACB6"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EB9A04"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806B95"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面</w:t>
            </w:r>
            <w:r>
              <w:rPr>
                <w:rFonts w:ascii="Times New Roman" w:hAnsi="Times New Roman"/>
                <w:kern w:val="0"/>
                <w:sz w:val="21"/>
                <w:szCs w:val="21"/>
              </w:rPr>
              <w:t xml:space="preserve">  </w:t>
            </w:r>
            <w:r>
              <w:rPr>
                <w:rFonts w:ascii="Times New Roman" w:hAnsi="Times New Roman"/>
                <w:kern w:val="0"/>
                <w:sz w:val="21"/>
                <w:szCs w:val="21"/>
              </w:rPr>
              <w:t>积</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AC350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km</w:t>
            </w:r>
            <w:r>
              <w:rPr>
                <w:rFonts w:ascii="Times New Roman" w:hAnsi="Times New Roman"/>
                <w:kern w:val="0"/>
                <w:sz w:val="21"/>
                <w:szCs w:val="21"/>
                <w:vertAlign w:val="superscript"/>
              </w:rPr>
              <w:t>2</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7C32B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66.4372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B2DED6"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70CA88CF"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BD640E"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B47828"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hint="eastAsia"/>
                <w:kern w:val="0"/>
                <w:sz w:val="21"/>
                <w:szCs w:val="21"/>
              </w:rPr>
              <w:t>地质</w:t>
            </w:r>
            <w:r>
              <w:rPr>
                <w:rFonts w:ascii="Times New Roman" w:hAnsi="Times New Roman"/>
                <w:kern w:val="0"/>
                <w:sz w:val="21"/>
                <w:szCs w:val="21"/>
              </w:rPr>
              <w:t>资源总量</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7265E0"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Mt</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BB504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1020.17</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0401EB"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38685F68"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EF5188"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178A47"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估算可采储量</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207E4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Mt</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99B51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466.68</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C46BCE"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4047B425"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20DAA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8</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70B8D1"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矿区规模</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6F11B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Mt/a</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06EFD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9.20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2B256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8</w:t>
            </w:r>
          </w:p>
        </w:tc>
      </w:tr>
      <w:tr w:rsidR="009C353B" w14:paraId="31B3DB8D"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D6B85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9</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6AFE0E"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矿区服务年限</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A1431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a</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989C2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103.8</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AC793C"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9</w:t>
            </w:r>
          </w:p>
        </w:tc>
      </w:tr>
      <w:tr w:rsidR="009C353B" w14:paraId="4394CF96"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FA6C9D"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25AC50"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其中：均衡生产年限</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50346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a</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74E3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28</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80D5BF"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094AE1FB"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EC871B"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0</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07F9F1"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矿井数目</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0C51F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个</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B057A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4</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1F77F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0</w:t>
            </w:r>
          </w:p>
        </w:tc>
      </w:tr>
      <w:tr w:rsidR="009C353B" w14:paraId="3DC1ADAF"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CC0F16"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6B7B9B"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斜井开拓矿井</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71E77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个</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CA7BC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FA70AE"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331590CE"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30F0AF"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8E48CF"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hint="eastAsia"/>
                <w:kern w:val="0"/>
                <w:sz w:val="21"/>
                <w:szCs w:val="21"/>
              </w:rPr>
              <w:t>立井</w:t>
            </w:r>
            <w:r>
              <w:rPr>
                <w:rFonts w:ascii="Times New Roman" w:hAnsi="Times New Roman"/>
                <w:kern w:val="0"/>
                <w:sz w:val="21"/>
                <w:szCs w:val="21"/>
              </w:rPr>
              <w:t>开拓矿井</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8C01D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个</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30853B"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73EB46"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165B97C3"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610766"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65C8B7"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hint="eastAsia"/>
                <w:kern w:val="0"/>
                <w:sz w:val="21"/>
                <w:szCs w:val="21"/>
              </w:rPr>
              <w:t>综合</w:t>
            </w:r>
            <w:r>
              <w:rPr>
                <w:rFonts w:ascii="Times New Roman" w:hAnsi="Times New Roman"/>
                <w:kern w:val="0"/>
                <w:sz w:val="21"/>
                <w:szCs w:val="21"/>
              </w:rPr>
              <w:t>开拓矿井</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D20D90"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个</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5F3B8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7BB1AA"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3FD0B13D"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D9C58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1</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7B4335"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矿井总生产能力</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CDEB1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Mt/a</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C0E350"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9.20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DD6DF8"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1</w:t>
            </w:r>
          </w:p>
        </w:tc>
      </w:tr>
      <w:tr w:rsidR="009C353B" w14:paraId="2CECC505"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2C4B99"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5D0FA2"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矿井数目与总生产能力</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2DBEF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个、</w:t>
            </w:r>
            <w:r>
              <w:rPr>
                <w:rFonts w:ascii="Times New Roman" w:hAnsi="Times New Roman"/>
                <w:kern w:val="0"/>
                <w:sz w:val="21"/>
                <w:szCs w:val="21"/>
              </w:rPr>
              <w:t>Mt/a</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05344C"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w:t>
            </w:r>
            <w:r>
              <w:rPr>
                <w:rFonts w:ascii="Times New Roman" w:hAnsi="Times New Roman"/>
                <w:kern w:val="0"/>
                <w:sz w:val="21"/>
                <w:szCs w:val="21"/>
              </w:rPr>
              <w:t>9.20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B42499"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3D623180"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4F169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2</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21E35C"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矿区内勘查区块数目</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1C381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个</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A05A9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3</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C122D5"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7D37747E"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11D97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3</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D05529"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选煤厂数目与总生产能力</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60093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个、</w:t>
            </w:r>
            <w:r>
              <w:rPr>
                <w:rFonts w:ascii="Times New Roman" w:hAnsi="Times New Roman"/>
                <w:kern w:val="0"/>
                <w:sz w:val="21"/>
                <w:szCs w:val="21"/>
              </w:rPr>
              <w:t>Mt/a</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4F7966"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F10AC9"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18AE1B2C"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7CFDCF"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21C7BC"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其中：大型选煤厂数目与总生产能力</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F879D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个、</w:t>
            </w:r>
            <w:r>
              <w:rPr>
                <w:rFonts w:ascii="Times New Roman" w:hAnsi="Times New Roman"/>
                <w:kern w:val="0"/>
                <w:sz w:val="21"/>
                <w:szCs w:val="21"/>
              </w:rPr>
              <w:t>Mt/a</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665750"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3</w:t>
            </w:r>
            <w:r>
              <w:rPr>
                <w:rFonts w:ascii="Times New Roman" w:hAnsi="Times New Roman"/>
                <w:kern w:val="0"/>
                <w:sz w:val="21"/>
                <w:szCs w:val="21"/>
              </w:rPr>
              <w:t>、</w:t>
            </w:r>
            <w:r>
              <w:rPr>
                <w:rFonts w:ascii="Times New Roman" w:hAnsi="Times New Roman"/>
                <w:kern w:val="0"/>
                <w:sz w:val="21"/>
                <w:szCs w:val="21"/>
              </w:rPr>
              <w:t>16.0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3072B9"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08A83F3C"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55131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4</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CB3F36"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商品煤总生产能力</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44E83C"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Mt/a</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8E3C08"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16.0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A1F106"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4B858150"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8EA24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5</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F49AEB"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矿区铁路专用线正线总长度</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E7FF6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km</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3D66E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22.9</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A0D7D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已建成</w:t>
            </w:r>
          </w:p>
        </w:tc>
      </w:tr>
      <w:tr w:rsidR="009C353B" w14:paraId="4F5839CC"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BEBFF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6</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D741C5"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矿区公路总长度</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02F0A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km</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D6A7C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7.0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EE91B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新增已建成</w:t>
            </w:r>
          </w:p>
        </w:tc>
      </w:tr>
      <w:tr w:rsidR="009C353B" w14:paraId="061CECD2"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AE22A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7</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74F8F9"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矿区电力负荷</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80562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MW</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75ED0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52.959</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125393"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13E67DC6"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B5F388"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8</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4C6792"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矿区变电站数目</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2E2A9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个</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25124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5</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3A76A6"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43A99D5C"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73C2A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19</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FEB969"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矿区输电线路总长度</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1BD4F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km</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C5460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64.2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1BFC44"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4C50B99E"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06B866"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21</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DD030F"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矿区总供水量</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CB46C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m</w:t>
            </w:r>
            <w:r>
              <w:rPr>
                <w:rFonts w:ascii="Times New Roman" w:hAnsi="Times New Roman"/>
                <w:kern w:val="0"/>
                <w:sz w:val="21"/>
                <w:szCs w:val="21"/>
                <w:vertAlign w:val="superscript"/>
              </w:rPr>
              <w:t>3</w:t>
            </w:r>
            <w:r>
              <w:rPr>
                <w:rFonts w:ascii="Times New Roman" w:hAnsi="Times New Roman"/>
                <w:kern w:val="0"/>
                <w:sz w:val="21"/>
                <w:szCs w:val="21"/>
              </w:rPr>
              <w:t>/d</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66B1C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30830.8</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BE3052"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46A83B2B"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EDB79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22</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A909D9"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矿区用地总面积</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EBBC8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hm</w:t>
            </w:r>
            <w:r>
              <w:rPr>
                <w:rFonts w:ascii="Times New Roman" w:hAnsi="Times New Roman"/>
                <w:kern w:val="0"/>
                <w:sz w:val="21"/>
                <w:szCs w:val="21"/>
                <w:vertAlign w:val="superscript"/>
              </w:rPr>
              <w:t>2</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AD244B"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202.555</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563E7E"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249BEB98"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F2C0D4"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DC678D"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其中：矿井及选煤厂用地</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7D3A3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hm</w:t>
            </w:r>
            <w:r>
              <w:rPr>
                <w:rFonts w:ascii="Times New Roman" w:hAnsi="Times New Roman"/>
                <w:kern w:val="0"/>
                <w:sz w:val="21"/>
                <w:szCs w:val="21"/>
                <w:vertAlign w:val="superscript"/>
              </w:rPr>
              <w:t>2</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2FB12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71.86</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AB9C66"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7D77B0D6"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A9FE6A"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91D3F7"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hint="eastAsia"/>
                <w:kern w:val="0"/>
                <w:sz w:val="21"/>
                <w:szCs w:val="21"/>
              </w:rPr>
              <w:t>辅助企业</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7D920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hm</w:t>
            </w:r>
            <w:r>
              <w:rPr>
                <w:rFonts w:ascii="Times New Roman" w:hAnsi="Times New Roman"/>
                <w:kern w:val="0"/>
                <w:sz w:val="21"/>
                <w:szCs w:val="21"/>
                <w:vertAlign w:val="superscript"/>
              </w:rPr>
              <w:t>2</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590F8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12.05</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B4C1B2"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7719BB89"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C80683"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AECAB2"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hint="eastAsia"/>
                <w:kern w:val="0"/>
                <w:sz w:val="21"/>
                <w:szCs w:val="21"/>
              </w:rPr>
              <w:t>行政及其他设施</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A2F94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hm</w:t>
            </w:r>
            <w:r>
              <w:rPr>
                <w:rFonts w:ascii="Times New Roman" w:hAnsi="Times New Roman"/>
                <w:kern w:val="0"/>
                <w:sz w:val="21"/>
                <w:szCs w:val="21"/>
                <w:vertAlign w:val="superscript"/>
              </w:rPr>
              <w:t>2</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42519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111.14</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3FFEAC"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0182094F"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3C79AC"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147B8C"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hint="eastAsia"/>
                <w:kern w:val="0"/>
                <w:sz w:val="21"/>
                <w:szCs w:val="21"/>
              </w:rPr>
              <w:t>场外道路：丁家梁矿联络道路</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D48F50"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hm</w:t>
            </w:r>
            <w:r>
              <w:rPr>
                <w:rFonts w:ascii="Times New Roman" w:hAnsi="Times New Roman"/>
                <w:kern w:val="0"/>
                <w:sz w:val="21"/>
                <w:szCs w:val="21"/>
                <w:vertAlign w:val="superscript"/>
              </w:rPr>
              <w:t>2</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8AC7C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7.50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1FF836"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29C0E002"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ABDF6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23</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A786F6"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矿区在籍职工总数</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F13E18"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人</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E7F770"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814</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0C450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新增</w:t>
            </w:r>
          </w:p>
        </w:tc>
      </w:tr>
      <w:tr w:rsidR="009C353B" w14:paraId="77ECDCE6"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5E7BA0"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B98D3B"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其中：矿井在籍职工人数</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6BDDB0"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人</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2466D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680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89AE3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新增</w:t>
            </w:r>
          </w:p>
        </w:tc>
      </w:tr>
      <w:tr w:rsidR="009C353B" w14:paraId="72CDF05A"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E365DB"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C7579A"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选煤厂在籍职人工数</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788F0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人</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12EDF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114</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3FAC9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新增</w:t>
            </w:r>
          </w:p>
        </w:tc>
      </w:tr>
      <w:tr w:rsidR="009C353B" w14:paraId="74187104"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8AAD6C"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2BE479"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矿区配套设施在籍职工人数</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E8C06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人</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2B514B"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DA847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新增</w:t>
            </w:r>
          </w:p>
        </w:tc>
      </w:tr>
      <w:tr w:rsidR="009C353B" w14:paraId="56BF904A"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B4919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24</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429131"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矿区原煤生产全员效率</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C8F33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t/</w:t>
            </w:r>
            <w:r>
              <w:rPr>
                <w:rFonts w:ascii="Times New Roman" w:hAnsi="Times New Roman"/>
                <w:kern w:val="0"/>
                <w:sz w:val="21"/>
                <w:szCs w:val="21"/>
              </w:rPr>
              <w:t>工</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2887D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14.18</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EFEF63"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1D17F6F7"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0F534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25</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FBAACD"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矿区建设总投资</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D4880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万元</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72B99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124573</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46181D"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31C1B25E"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6A20E5"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7CCFC0"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其中：矿井投资及比例</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3ADB6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万元，﹪</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00ED5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122973</w:t>
            </w:r>
            <w:r>
              <w:rPr>
                <w:rFonts w:ascii="Times New Roman" w:hAnsi="Times New Roman"/>
                <w:kern w:val="0"/>
                <w:sz w:val="21"/>
                <w:szCs w:val="21"/>
              </w:rPr>
              <w:t>，</w:t>
            </w:r>
            <w:r>
              <w:rPr>
                <w:rFonts w:ascii="Times New Roman" w:hAnsi="Times New Roman" w:hint="eastAsia"/>
                <w:kern w:val="0"/>
                <w:sz w:val="21"/>
                <w:szCs w:val="21"/>
              </w:rPr>
              <w:t>100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9E0F68"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63974681"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E492B8"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DD7D20"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选煤厂投资及比例</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161E3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万元，﹪</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9161BF"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FA05A"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082A885D"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78AA57"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2B9F86"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hint="eastAsia"/>
                <w:kern w:val="0"/>
                <w:sz w:val="21"/>
                <w:szCs w:val="21"/>
              </w:rPr>
              <w:t>配套</w:t>
            </w:r>
            <w:r>
              <w:rPr>
                <w:rFonts w:ascii="Times New Roman" w:hAnsi="Times New Roman"/>
                <w:kern w:val="0"/>
                <w:sz w:val="21"/>
                <w:szCs w:val="21"/>
              </w:rPr>
              <w:t>设施投资及比例</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93C24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万元，﹪</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91F005"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B1C6F5"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148C4A76"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BE05B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26</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EE2495"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w:t>
            </w:r>
            <w:r>
              <w:rPr>
                <w:rFonts w:ascii="Times New Roman" w:hAnsi="Times New Roman" w:hint="eastAsia"/>
                <w:kern w:val="0"/>
                <w:sz w:val="21"/>
                <w:szCs w:val="21"/>
              </w:rPr>
              <w:t>新增</w:t>
            </w:r>
            <w:r>
              <w:rPr>
                <w:rFonts w:ascii="Times New Roman" w:hAnsi="Times New Roman"/>
                <w:kern w:val="0"/>
                <w:sz w:val="21"/>
                <w:szCs w:val="21"/>
              </w:rPr>
              <w:t>吨煤投资</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FE3F9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元</w:t>
            </w:r>
            <w:r>
              <w:rPr>
                <w:rFonts w:ascii="Times New Roman" w:hAnsi="Times New Roman"/>
                <w:kern w:val="0"/>
                <w:sz w:val="21"/>
                <w:szCs w:val="21"/>
              </w:rPr>
              <w:t>/t</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D99CE8"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1384.1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653418"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38E94B2A"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114281"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3148CF"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其中：</w:t>
            </w:r>
            <w:r>
              <w:rPr>
                <w:rFonts w:ascii="Times New Roman" w:hAnsi="Times New Roman" w:hint="eastAsia"/>
                <w:kern w:val="0"/>
                <w:sz w:val="21"/>
                <w:szCs w:val="21"/>
              </w:rPr>
              <w:t>新增</w:t>
            </w:r>
            <w:r>
              <w:rPr>
                <w:rFonts w:ascii="Times New Roman" w:hAnsi="Times New Roman"/>
                <w:kern w:val="0"/>
                <w:sz w:val="21"/>
                <w:szCs w:val="21"/>
              </w:rPr>
              <w:t>矿井吨煤投资</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C30B9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元</w:t>
            </w:r>
            <w:r>
              <w:rPr>
                <w:rFonts w:ascii="Times New Roman" w:hAnsi="Times New Roman"/>
                <w:kern w:val="0"/>
                <w:sz w:val="21"/>
                <w:szCs w:val="21"/>
              </w:rPr>
              <w:t>/t</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A1346B"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1366.4</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64B10F"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6ED46D8E"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F5655E"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3EC28F"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选煤厂吨煤投资</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BAA1A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元</w:t>
            </w:r>
            <w:r>
              <w:rPr>
                <w:rFonts w:ascii="Times New Roman" w:hAnsi="Times New Roman"/>
                <w:kern w:val="0"/>
                <w:sz w:val="21"/>
                <w:szCs w:val="21"/>
              </w:rPr>
              <w:t>/t</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D80B88"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3F6361"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527BCAF7"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7BE150"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7F964D"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矿区配套设施吨煤投资</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B5D27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元</w:t>
            </w:r>
            <w:r>
              <w:rPr>
                <w:rFonts w:ascii="Times New Roman" w:hAnsi="Times New Roman"/>
                <w:kern w:val="0"/>
                <w:sz w:val="21"/>
                <w:szCs w:val="21"/>
              </w:rPr>
              <w:t>/t</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5774BF"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269DAD"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3596A72F" w14:textId="77777777">
        <w:trPr>
          <w:trHeight w:val="340"/>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264CC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27</w:t>
            </w:r>
          </w:p>
        </w:tc>
        <w:tc>
          <w:tcPr>
            <w:tcW w:w="32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5B7EF3" w14:textId="77777777" w:rsidR="009C353B" w:rsidRDefault="00000000">
            <w:pPr>
              <w:widowControl/>
              <w:adjustRightInd w:val="0"/>
              <w:snapToGrid w:val="0"/>
              <w:spacing w:line="240" w:lineRule="atLeast"/>
              <w:jc w:val="left"/>
              <w:rPr>
                <w:rFonts w:ascii="Times New Roman" w:hAnsi="Times New Roman"/>
                <w:kern w:val="0"/>
                <w:sz w:val="21"/>
                <w:szCs w:val="21"/>
              </w:rPr>
            </w:pPr>
            <w:r>
              <w:rPr>
                <w:rFonts w:ascii="Times New Roman" w:hAnsi="Times New Roman"/>
                <w:kern w:val="0"/>
                <w:sz w:val="21"/>
                <w:szCs w:val="21"/>
              </w:rPr>
              <w:t>矿区建设周期（达到规划规模的时间）</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220D6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a</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696CE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82D79F"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bl>
    <w:p w14:paraId="6F98874B" w14:textId="77777777" w:rsidR="009C353B" w:rsidRDefault="009C353B">
      <w:pPr>
        <w:adjustRightInd w:val="0"/>
        <w:snapToGrid w:val="0"/>
        <w:spacing w:line="440" w:lineRule="exact"/>
        <w:ind w:firstLineChars="200" w:firstLine="562"/>
        <w:rPr>
          <w:rFonts w:ascii="Times New Roman" w:hAnsi="Times New Roman"/>
          <w:b/>
          <w:sz w:val="28"/>
        </w:rPr>
      </w:pPr>
    </w:p>
    <w:p w14:paraId="498B448D" w14:textId="77777777" w:rsidR="009C353B" w:rsidRDefault="00000000">
      <w:pPr>
        <w:pStyle w:val="2"/>
        <w:snapToGrid w:val="0"/>
        <w:spacing w:line="440" w:lineRule="exact"/>
        <w:rPr>
          <w:rFonts w:ascii="Times New Roman" w:eastAsia="宋体" w:hAnsi="Times New Roman"/>
          <w:b/>
          <w:sz w:val="28"/>
        </w:rPr>
      </w:pPr>
      <w:bookmarkStart w:id="81" w:name="_Toc59189827"/>
      <w:r>
        <w:rPr>
          <w:rFonts w:ascii="Times New Roman" w:eastAsia="宋体" w:hAnsi="Times New Roman"/>
          <w:b/>
          <w:sz w:val="28"/>
        </w:rPr>
        <w:t xml:space="preserve">2.4 </w:t>
      </w:r>
      <w:r>
        <w:rPr>
          <w:rFonts w:ascii="Times New Roman" w:eastAsia="宋体" w:hAnsi="Times New Roman"/>
          <w:b/>
          <w:sz w:val="28"/>
        </w:rPr>
        <w:t>规划方案协调性分析</w:t>
      </w:r>
      <w:bookmarkEnd w:id="81"/>
    </w:p>
    <w:p w14:paraId="7ED1BC3F" w14:textId="77777777" w:rsidR="009C353B" w:rsidRDefault="00000000">
      <w:pPr>
        <w:pStyle w:val="3"/>
        <w:spacing w:before="120" w:after="120" w:line="440" w:lineRule="exact"/>
        <w:rPr>
          <w:rFonts w:ascii="Times New Roman" w:hAnsi="Times New Roman"/>
          <w:sz w:val="24"/>
        </w:rPr>
      </w:pPr>
      <w:r>
        <w:rPr>
          <w:rFonts w:ascii="Times New Roman" w:hAnsi="Times New Roman" w:hint="eastAsia"/>
          <w:sz w:val="24"/>
        </w:rPr>
        <w:t xml:space="preserve">2.4.1 </w:t>
      </w:r>
      <w:r>
        <w:rPr>
          <w:rFonts w:ascii="Times New Roman" w:hAnsi="Times New Roman" w:hint="eastAsia"/>
          <w:sz w:val="24"/>
        </w:rPr>
        <w:t>规划方案内部协调性分析</w:t>
      </w:r>
    </w:p>
    <w:p w14:paraId="4F2FB3B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对于本矿区而言，规划方案内部协调性分析主要分析矿区内部采煤与选煤、采煤与运煤、生产区、辅助区与生活区、供电与用电、供暖与用暖、供水与用水以及副产品与综合利用等在规模、能力和建设时序上是否协调一致，是否出现配套环节的空缺或需要中转场地等。分析结果见表</w:t>
      </w:r>
      <w:r>
        <w:rPr>
          <w:rFonts w:ascii="Times New Roman" w:hAnsi="Times New Roman"/>
        </w:rPr>
        <w:t>2.4-1</w:t>
      </w:r>
      <w:r>
        <w:rPr>
          <w:rFonts w:ascii="Times New Roman" w:hAnsi="Times New Roman"/>
        </w:rPr>
        <w:t>。</w:t>
      </w:r>
    </w:p>
    <w:p w14:paraId="740E9D57" w14:textId="77777777" w:rsidR="009C353B" w:rsidRDefault="009C353B">
      <w:pPr>
        <w:adjustRightInd w:val="0"/>
        <w:snapToGrid w:val="0"/>
        <w:spacing w:line="440" w:lineRule="exact"/>
        <w:ind w:firstLineChars="200" w:firstLine="480"/>
        <w:rPr>
          <w:rFonts w:ascii="Times New Roman" w:hAnsi="Times New Roman"/>
        </w:rPr>
      </w:pPr>
    </w:p>
    <w:p w14:paraId="6FB70A57" w14:textId="77777777" w:rsidR="009C353B" w:rsidRDefault="009C353B">
      <w:pPr>
        <w:adjustRightInd w:val="0"/>
        <w:snapToGrid w:val="0"/>
        <w:spacing w:line="440" w:lineRule="exact"/>
        <w:ind w:firstLineChars="200" w:firstLine="480"/>
        <w:rPr>
          <w:rFonts w:ascii="Times New Roman" w:hAnsi="Times New Roman"/>
        </w:rPr>
      </w:pPr>
    </w:p>
    <w:p w14:paraId="5C148FA2" w14:textId="77777777" w:rsidR="009C353B" w:rsidRDefault="009C353B">
      <w:pPr>
        <w:adjustRightInd w:val="0"/>
        <w:snapToGrid w:val="0"/>
        <w:spacing w:line="440" w:lineRule="exact"/>
        <w:ind w:firstLineChars="200" w:firstLine="480"/>
        <w:rPr>
          <w:rFonts w:ascii="Times New Roman" w:hAnsi="Times New Roman"/>
        </w:rPr>
      </w:pPr>
    </w:p>
    <w:p w14:paraId="1BD72693" w14:textId="77777777" w:rsidR="009C353B" w:rsidRDefault="00000000">
      <w:pPr>
        <w:pStyle w:val="affffff0"/>
        <w:adjustRightInd w:val="0"/>
        <w:spacing w:line="440" w:lineRule="exact"/>
        <w:ind w:left="480"/>
        <w:jc w:val="center"/>
        <w:rPr>
          <w:rFonts w:ascii="Times New Roman" w:hAnsi="Times New Roman"/>
          <w:kern w:val="0"/>
        </w:rPr>
      </w:pPr>
      <w:r>
        <w:rPr>
          <w:rFonts w:ascii="Times New Roman" w:hAnsi="Times New Roman"/>
          <w:kern w:val="0"/>
        </w:rPr>
        <w:t>规划方案内部协调性分析结果一览表</w:t>
      </w:r>
    </w:p>
    <w:p w14:paraId="27EF9E62" w14:textId="77777777" w:rsidR="009C353B" w:rsidRDefault="00000000">
      <w:pPr>
        <w:pStyle w:val="affffd"/>
        <w:spacing w:line="440" w:lineRule="exact"/>
        <w:ind w:firstLine="480"/>
        <w:rPr>
          <w:rFonts w:ascii="Times New Roman" w:hAnsi="Times New Roman"/>
        </w:rPr>
      </w:pPr>
      <w:r>
        <w:rPr>
          <w:rFonts w:ascii="Times New Roman" w:hAnsi="Times New Roman"/>
        </w:rPr>
        <w:t>表</w:t>
      </w:r>
      <w:r>
        <w:rPr>
          <w:rFonts w:ascii="Times New Roman" w:hAnsi="Times New Roman"/>
        </w:rPr>
        <w:t>2.4-1</w:t>
      </w:r>
    </w:p>
    <w:tbl>
      <w:tblPr>
        <w:tblW w:w="8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5"/>
        <w:gridCol w:w="1462"/>
        <w:gridCol w:w="1462"/>
        <w:gridCol w:w="1326"/>
      </w:tblGrid>
      <w:tr w:rsidR="009C353B" w14:paraId="1335EB75" w14:textId="77777777">
        <w:trPr>
          <w:trHeight w:val="397"/>
          <w:tblHeader/>
          <w:jc w:val="center"/>
        </w:trPr>
        <w:tc>
          <w:tcPr>
            <w:tcW w:w="4695" w:type="dxa"/>
            <w:vAlign w:val="center"/>
          </w:tcPr>
          <w:p w14:paraId="2E9BEC4C"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项</w:t>
            </w:r>
            <w:r>
              <w:rPr>
                <w:rFonts w:ascii="Times New Roman" w:hAnsi="Times New Roman"/>
                <w:sz w:val="21"/>
                <w:szCs w:val="21"/>
              </w:rPr>
              <w:t xml:space="preserve">    </w:t>
            </w:r>
            <w:r>
              <w:rPr>
                <w:rFonts w:ascii="Times New Roman" w:hAnsi="Times New Roman"/>
                <w:sz w:val="21"/>
                <w:szCs w:val="21"/>
              </w:rPr>
              <w:t>目</w:t>
            </w:r>
          </w:p>
        </w:tc>
        <w:tc>
          <w:tcPr>
            <w:tcW w:w="1462" w:type="dxa"/>
            <w:vAlign w:val="center"/>
          </w:tcPr>
          <w:p w14:paraId="2EC4D928"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规模</w:t>
            </w:r>
          </w:p>
        </w:tc>
        <w:tc>
          <w:tcPr>
            <w:tcW w:w="1462" w:type="dxa"/>
            <w:vAlign w:val="center"/>
          </w:tcPr>
          <w:p w14:paraId="50CB9A30"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能力</w:t>
            </w:r>
          </w:p>
        </w:tc>
        <w:tc>
          <w:tcPr>
            <w:tcW w:w="1326" w:type="dxa"/>
            <w:vAlign w:val="center"/>
          </w:tcPr>
          <w:p w14:paraId="2DE7084B"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建设时序</w:t>
            </w:r>
          </w:p>
        </w:tc>
      </w:tr>
      <w:tr w:rsidR="009C353B" w14:paraId="2BF8CAE3" w14:textId="77777777">
        <w:trPr>
          <w:trHeight w:val="397"/>
          <w:jc w:val="center"/>
        </w:trPr>
        <w:tc>
          <w:tcPr>
            <w:tcW w:w="4695" w:type="dxa"/>
            <w:vAlign w:val="center"/>
          </w:tcPr>
          <w:p w14:paraId="1696A28D"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煤矿与选煤厂</w:t>
            </w:r>
            <w:r>
              <w:rPr>
                <w:rFonts w:ascii="Times New Roman" w:hAnsi="Times New Roman"/>
                <w:sz w:val="21"/>
                <w:szCs w:val="21"/>
              </w:rPr>
              <w:t>/</w:t>
            </w:r>
            <w:r>
              <w:rPr>
                <w:rFonts w:ascii="Times New Roman" w:hAnsi="Times New Roman"/>
                <w:sz w:val="21"/>
                <w:szCs w:val="21"/>
              </w:rPr>
              <w:t>选煤厂</w:t>
            </w:r>
          </w:p>
        </w:tc>
        <w:tc>
          <w:tcPr>
            <w:tcW w:w="1462" w:type="dxa"/>
            <w:vAlign w:val="center"/>
          </w:tcPr>
          <w:p w14:paraId="2BE6B3CC"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462" w:type="dxa"/>
            <w:vAlign w:val="center"/>
          </w:tcPr>
          <w:p w14:paraId="4C8C51E8"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326" w:type="dxa"/>
            <w:vAlign w:val="center"/>
          </w:tcPr>
          <w:p w14:paraId="3E2EFEFB"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r>
      <w:tr w:rsidR="009C353B" w14:paraId="12E02DA0" w14:textId="77777777">
        <w:trPr>
          <w:trHeight w:val="397"/>
          <w:jc w:val="center"/>
        </w:trPr>
        <w:tc>
          <w:tcPr>
            <w:tcW w:w="4695" w:type="dxa"/>
            <w:vAlign w:val="center"/>
          </w:tcPr>
          <w:p w14:paraId="028C28EE"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采煤与运煤</w:t>
            </w:r>
          </w:p>
        </w:tc>
        <w:tc>
          <w:tcPr>
            <w:tcW w:w="1462" w:type="dxa"/>
            <w:vAlign w:val="center"/>
          </w:tcPr>
          <w:p w14:paraId="560AEA5B"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462" w:type="dxa"/>
            <w:vAlign w:val="center"/>
          </w:tcPr>
          <w:p w14:paraId="7BCD923A"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326" w:type="dxa"/>
            <w:vAlign w:val="center"/>
          </w:tcPr>
          <w:p w14:paraId="186FC4DE"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r>
      <w:tr w:rsidR="009C353B" w14:paraId="3D0988D5" w14:textId="77777777">
        <w:trPr>
          <w:trHeight w:val="397"/>
          <w:jc w:val="center"/>
        </w:trPr>
        <w:tc>
          <w:tcPr>
            <w:tcW w:w="4695" w:type="dxa"/>
            <w:vAlign w:val="center"/>
          </w:tcPr>
          <w:p w14:paraId="3D4316B6"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矿区地面总平面布置</w:t>
            </w:r>
          </w:p>
        </w:tc>
        <w:tc>
          <w:tcPr>
            <w:tcW w:w="1462" w:type="dxa"/>
            <w:vAlign w:val="center"/>
          </w:tcPr>
          <w:p w14:paraId="51CB17D0"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462" w:type="dxa"/>
            <w:vAlign w:val="center"/>
          </w:tcPr>
          <w:p w14:paraId="775D5C47"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326" w:type="dxa"/>
            <w:vAlign w:val="center"/>
          </w:tcPr>
          <w:p w14:paraId="53AA0834"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r>
      <w:tr w:rsidR="009C353B" w14:paraId="4FE0FAFD" w14:textId="77777777">
        <w:trPr>
          <w:trHeight w:val="397"/>
          <w:jc w:val="center"/>
        </w:trPr>
        <w:tc>
          <w:tcPr>
            <w:tcW w:w="4695" w:type="dxa"/>
            <w:vAlign w:val="center"/>
          </w:tcPr>
          <w:p w14:paraId="31D33A55"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供电与用电</w:t>
            </w:r>
          </w:p>
        </w:tc>
        <w:tc>
          <w:tcPr>
            <w:tcW w:w="1462" w:type="dxa"/>
            <w:vAlign w:val="center"/>
          </w:tcPr>
          <w:p w14:paraId="0F719863"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462" w:type="dxa"/>
            <w:vAlign w:val="center"/>
          </w:tcPr>
          <w:p w14:paraId="13EFC8B6"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326" w:type="dxa"/>
            <w:vAlign w:val="center"/>
          </w:tcPr>
          <w:p w14:paraId="70F3B12D"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r>
      <w:tr w:rsidR="009C353B" w14:paraId="48FF1EF4" w14:textId="77777777">
        <w:trPr>
          <w:trHeight w:val="397"/>
          <w:jc w:val="center"/>
        </w:trPr>
        <w:tc>
          <w:tcPr>
            <w:tcW w:w="4695" w:type="dxa"/>
            <w:vAlign w:val="center"/>
          </w:tcPr>
          <w:p w14:paraId="0509AEA1"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供暖与用暖</w:t>
            </w:r>
          </w:p>
        </w:tc>
        <w:tc>
          <w:tcPr>
            <w:tcW w:w="1462" w:type="dxa"/>
            <w:vAlign w:val="center"/>
          </w:tcPr>
          <w:p w14:paraId="5F7D0D7C"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462" w:type="dxa"/>
            <w:vAlign w:val="center"/>
          </w:tcPr>
          <w:p w14:paraId="5B7B3453"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326" w:type="dxa"/>
            <w:vAlign w:val="center"/>
          </w:tcPr>
          <w:p w14:paraId="20932BAC"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r>
      <w:tr w:rsidR="009C353B" w14:paraId="434A0B27" w14:textId="77777777">
        <w:trPr>
          <w:trHeight w:val="397"/>
          <w:jc w:val="center"/>
        </w:trPr>
        <w:tc>
          <w:tcPr>
            <w:tcW w:w="4695" w:type="dxa"/>
            <w:vAlign w:val="center"/>
          </w:tcPr>
          <w:p w14:paraId="7E535CB1"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水资源综合利用</w:t>
            </w:r>
          </w:p>
        </w:tc>
        <w:tc>
          <w:tcPr>
            <w:tcW w:w="1462" w:type="dxa"/>
            <w:vAlign w:val="center"/>
          </w:tcPr>
          <w:p w14:paraId="5F17DB46"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462" w:type="dxa"/>
            <w:vAlign w:val="center"/>
          </w:tcPr>
          <w:p w14:paraId="3143F8B4"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326" w:type="dxa"/>
            <w:vAlign w:val="center"/>
          </w:tcPr>
          <w:p w14:paraId="17A8D6ED"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r>
      <w:tr w:rsidR="009C353B" w14:paraId="2921873A" w14:textId="77777777">
        <w:trPr>
          <w:trHeight w:val="397"/>
          <w:jc w:val="center"/>
        </w:trPr>
        <w:tc>
          <w:tcPr>
            <w:tcW w:w="4695" w:type="dxa"/>
            <w:vAlign w:val="center"/>
          </w:tcPr>
          <w:p w14:paraId="0A9AB4D5"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煤矸石与综合利用</w:t>
            </w:r>
          </w:p>
        </w:tc>
        <w:tc>
          <w:tcPr>
            <w:tcW w:w="1462" w:type="dxa"/>
            <w:vAlign w:val="center"/>
          </w:tcPr>
          <w:p w14:paraId="6C1804CD"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462" w:type="dxa"/>
            <w:vAlign w:val="center"/>
          </w:tcPr>
          <w:p w14:paraId="707D19DE"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326" w:type="dxa"/>
            <w:vAlign w:val="center"/>
          </w:tcPr>
          <w:p w14:paraId="0A563AFC"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r>
      <w:tr w:rsidR="009C353B" w14:paraId="7085F1CD" w14:textId="77777777">
        <w:trPr>
          <w:trHeight w:val="397"/>
          <w:jc w:val="center"/>
        </w:trPr>
        <w:tc>
          <w:tcPr>
            <w:tcW w:w="4695" w:type="dxa"/>
            <w:vAlign w:val="center"/>
          </w:tcPr>
          <w:p w14:paraId="064D7FF6"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灰渣与综合利用</w:t>
            </w:r>
          </w:p>
        </w:tc>
        <w:tc>
          <w:tcPr>
            <w:tcW w:w="1462" w:type="dxa"/>
            <w:vAlign w:val="center"/>
          </w:tcPr>
          <w:p w14:paraId="6632A335"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462" w:type="dxa"/>
            <w:vAlign w:val="center"/>
          </w:tcPr>
          <w:p w14:paraId="3FAC13DA"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c>
          <w:tcPr>
            <w:tcW w:w="1326" w:type="dxa"/>
            <w:vAlign w:val="center"/>
          </w:tcPr>
          <w:p w14:paraId="478265BD"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w:t>
            </w:r>
          </w:p>
        </w:tc>
      </w:tr>
    </w:tbl>
    <w:p w14:paraId="5D9A4620" w14:textId="77777777" w:rsidR="009C353B" w:rsidRDefault="00000000">
      <w:pPr>
        <w:spacing w:line="300" w:lineRule="exact"/>
        <w:ind w:firstLineChars="200" w:firstLine="420"/>
        <w:rPr>
          <w:rFonts w:ascii="Times New Roman" w:hAnsi="Times New Roman"/>
          <w:sz w:val="21"/>
          <w:szCs w:val="21"/>
        </w:rPr>
      </w:pPr>
      <w:r>
        <w:rPr>
          <w:rFonts w:ascii="Times New Roman" w:hAnsi="Times New Roman"/>
          <w:sz w:val="21"/>
          <w:szCs w:val="21"/>
        </w:rPr>
        <w:t>注：</w:t>
      </w:r>
      <w:r>
        <w:rPr>
          <w:rFonts w:ascii="Times New Roman" w:hAnsi="Times New Roman"/>
          <w:sz w:val="21"/>
          <w:szCs w:val="21"/>
        </w:rPr>
        <w:t>+++</w:t>
      </w:r>
      <w:r>
        <w:rPr>
          <w:rFonts w:ascii="Times New Roman" w:hAnsi="Times New Roman"/>
          <w:sz w:val="21"/>
          <w:szCs w:val="21"/>
        </w:rPr>
        <w:t>表示协调性较高，</w:t>
      </w:r>
      <w:r>
        <w:rPr>
          <w:rFonts w:ascii="Times New Roman" w:hAnsi="Times New Roman"/>
          <w:sz w:val="21"/>
          <w:szCs w:val="21"/>
        </w:rPr>
        <w:t>++</w:t>
      </w:r>
      <w:r>
        <w:rPr>
          <w:rFonts w:ascii="Times New Roman" w:hAnsi="Times New Roman"/>
          <w:sz w:val="21"/>
          <w:szCs w:val="21"/>
        </w:rPr>
        <w:t>表示协调，</w:t>
      </w:r>
      <w:r>
        <w:rPr>
          <w:rFonts w:ascii="Times New Roman" w:hAnsi="Times New Roman"/>
          <w:sz w:val="21"/>
          <w:szCs w:val="21"/>
        </w:rPr>
        <w:t>+</w:t>
      </w:r>
      <w:r>
        <w:rPr>
          <w:rFonts w:ascii="Times New Roman" w:hAnsi="Times New Roman"/>
          <w:sz w:val="21"/>
          <w:szCs w:val="21"/>
        </w:rPr>
        <w:t>表示协调性较低</w:t>
      </w:r>
    </w:p>
    <w:p w14:paraId="02810ED3" w14:textId="77777777" w:rsidR="009C353B" w:rsidRDefault="00000000">
      <w:pPr>
        <w:adjustRightInd w:val="0"/>
        <w:snapToGrid w:val="0"/>
        <w:spacing w:line="440" w:lineRule="exact"/>
        <w:ind w:firstLine="480"/>
        <w:rPr>
          <w:rFonts w:ascii="Times New Roman" w:hAnsi="Times New Roman"/>
          <w:b/>
          <w:bCs/>
        </w:rPr>
      </w:pPr>
      <w:r>
        <w:rPr>
          <w:rFonts w:ascii="Times New Roman" w:hAnsi="Times New Roman"/>
          <w:b/>
          <w:bCs/>
        </w:rPr>
        <w:t>（</w:t>
      </w:r>
      <w:r>
        <w:rPr>
          <w:rFonts w:ascii="Times New Roman" w:hAnsi="Times New Roman"/>
          <w:b/>
          <w:bCs/>
        </w:rPr>
        <w:t>1</w:t>
      </w:r>
      <w:r>
        <w:rPr>
          <w:rFonts w:ascii="Times New Roman" w:hAnsi="Times New Roman"/>
          <w:b/>
          <w:bCs/>
        </w:rPr>
        <w:t>）煤矿与选煤厂</w:t>
      </w:r>
    </w:p>
    <w:p w14:paraId="2C2255EC"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选煤厂与</w:t>
      </w:r>
      <w:r>
        <w:rPr>
          <w:rFonts w:ascii="Times New Roman" w:hAnsi="Times New Roman" w:hint="eastAsia"/>
        </w:rPr>
        <w:t>煤</w:t>
      </w:r>
      <w:r>
        <w:rPr>
          <w:rFonts w:ascii="Times New Roman" w:hAnsi="Times New Roman"/>
        </w:rPr>
        <w:t>矿配套建设，其处理能力与煤矿规模相当。从预测生产原煤质量过程及结果可知，本区原煤</w:t>
      </w:r>
      <w:r>
        <w:rPr>
          <w:rFonts w:ascii="Times New Roman" w:hAnsi="Times New Roman" w:hint="eastAsia"/>
        </w:rPr>
        <w:t>属中高发热量～高发热量，</w:t>
      </w:r>
      <w:r>
        <w:rPr>
          <w:rFonts w:ascii="Times New Roman" w:hAnsi="Times New Roman"/>
        </w:rPr>
        <w:t>发热量（</w:t>
      </w:r>
      <w:r>
        <w:rPr>
          <w:rFonts w:ascii="Times New Roman" w:hAnsi="Times New Roman"/>
        </w:rPr>
        <w:t>Qnet</w:t>
      </w:r>
      <w:r>
        <w:rPr>
          <w:rFonts w:ascii="Times New Roman" w:hAnsi="Times New Roman"/>
        </w:rPr>
        <w:t>，</w:t>
      </w:r>
      <w:r>
        <w:rPr>
          <w:rFonts w:ascii="Times New Roman" w:hAnsi="Times New Roman" w:hint="eastAsia"/>
        </w:rPr>
        <w:t>d</w:t>
      </w:r>
      <w:r>
        <w:rPr>
          <w:rFonts w:ascii="Times New Roman" w:hAnsi="Times New Roman"/>
        </w:rPr>
        <w:t>）</w:t>
      </w:r>
      <w:r>
        <w:rPr>
          <w:rFonts w:ascii="Times New Roman" w:hAnsi="Times New Roman" w:hint="eastAsia"/>
        </w:rPr>
        <w:t>平均值</w:t>
      </w:r>
      <w:r>
        <w:rPr>
          <w:rFonts w:ascii="Times New Roman" w:hAnsi="Times New Roman"/>
        </w:rPr>
        <w:t>在</w:t>
      </w:r>
      <w:r>
        <w:rPr>
          <w:rFonts w:ascii="Times New Roman" w:hAnsi="Times New Roman"/>
        </w:rPr>
        <w:t>22.06</w:t>
      </w:r>
      <w:r>
        <w:rPr>
          <w:rFonts w:ascii="Times New Roman" w:hAnsi="Times New Roman" w:hint="eastAsia"/>
        </w:rPr>
        <w:t>～</w:t>
      </w:r>
      <w:r>
        <w:rPr>
          <w:rFonts w:ascii="Times New Roman" w:hAnsi="Times New Roman"/>
        </w:rPr>
        <w:t>27.38MJ/kg</w:t>
      </w:r>
      <w:r>
        <w:rPr>
          <w:rFonts w:ascii="Times New Roman" w:hAnsi="Times New Roman" w:hint="eastAsia"/>
        </w:rPr>
        <w:t>，</w:t>
      </w:r>
      <w:r>
        <w:rPr>
          <w:rFonts w:ascii="Times New Roman" w:hAnsi="Times New Roman"/>
        </w:rPr>
        <w:t>通过</w:t>
      </w:r>
      <w:r>
        <w:rPr>
          <w:rFonts w:ascii="Times New Roman" w:hAnsi="Times New Roman" w:hint="eastAsia"/>
        </w:rPr>
        <w:t>洗</w:t>
      </w:r>
      <w:r>
        <w:rPr>
          <w:rFonts w:ascii="Times New Roman" w:hAnsi="Times New Roman"/>
        </w:rPr>
        <w:t>选可以满足</w:t>
      </w:r>
      <w:r>
        <w:rPr>
          <w:rFonts w:ascii="Times New Roman" w:hAnsi="Times New Roman" w:hint="eastAsia"/>
        </w:rPr>
        <w:t>宁东煤化工园区焦化厂</w:t>
      </w:r>
      <w:r>
        <w:rPr>
          <w:rFonts w:ascii="Times New Roman" w:hAnsi="Times New Roman"/>
        </w:rPr>
        <w:t>及煤化工</w:t>
      </w:r>
      <w:r>
        <w:rPr>
          <w:rFonts w:ascii="Times New Roman" w:hAnsi="Times New Roman" w:hint="eastAsia"/>
        </w:rPr>
        <w:t>项目用煤要求</w:t>
      </w:r>
      <w:r>
        <w:rPr>
          <w:rFonts w:ascii="Times New Roman" w:hAnsi="Times New Roman"/>
        </w:rPr>
        <w:t>。符合矿区煤矿实际情况</w:t>
      </w:r>
      <w:r>
        <w:rPr>
          <w:rFonts w:ascii="Times New Roman" w:hAnsi="Times New Roman" w:hint="eastAsia"/>
        </w:rPr>
        <w:t>。</w:t>
      </w:r>
    </w:p>
    <w:p w14:paraId="3C470B17" w14:textId="77777777" w:rsidR="009C353B" w:rsidRDefault="00000000">
      <w:pPr>
        <w:widowControl/>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）采煤与运煤</w:t>
      </w:r>
    </w:p>
    <w:p w14:paraId="0C813F5C" w14:textId="77777777" w:rsidR="009C353B" w:rsidRDefault="00000000">
      <w:pPr>
        <w:adjustRightInd w:val="0"/>
        <w:snapToGrid w:val="0"/>
        <w:spacing w:line="440" w:lineRule="exact"/>
        <w:ind w:firstLineChars="192" w:firstLine="461"/>
        <w:rPr>
          <w:rFonts w:ascii="Times New Roman" w:hAnsi="Times New Roman"/>
          <w:snapToGrid w:val="0"/>
          <w:kern w:val="0"/>
        </w:rPr>
      </w:pPr>
      <w:r>
        <w:rPr>
          <w:rFonts w:ascii="Times New Roman" w:hAnsi="Times New Roman"/>
          <w:snapToGrid w:val="0"/>
          <w:kern w:val="0"/>
        </w:rPr>
        <w:t>本矿区煤炭产品主要作为</w:t>
      </w:r>
      <w:r>
        <w:rPr>
          <w:rFonts w:ascii="Times New Roman" w:hAnsi="Times New Roman" w:hint="eastAsia"/>
        </w:rPr>
        <w:t>焦化厂</w:t>
      </w:r>
      <w:r>
        <w:rPr>
          <w:rFonts w:ascii="Times New Roman" w:hAnsi="Times New Roman"/>
        </w:rPr>
        <w:t>及煤化工</w:t>
      </w:r>
      <w:r>
        <w:rPr>
          <w:rFonts w:ascii="Times New Roman" w:hAnsi="Times New Roman" w:hint="eastAsia"/>
        </w:rPr>
        <w:t>项目用煤</w:t>
      </w:r>
      <w:r>
        <w:rPr>
          <w:rFonts w:ascii="Times New Roman" w:hAnsi="Times New Roman"/>
          <w:snapToGrid w:val="0"/>
          <w:kern w:val="0"/>
        </w:rPr>
        <w:t>，</w:t>
      </w:r>
      <w:r>
        <w:rPr>
          <w:rFonts w:ascii="Times New Roman" w:hAnsi="Times New Roman" w:hint="eastAsia"/>
        </w:rPr>
        <w:t>宁东煤化工园</w:t>
      </w:r>
      <w:r>
        <w:rPr>
          <w:rFonts w:ascii="Times New Roman" w:hAnsi="Times New Roman"/>
          <w:snapToGrid w:val="0"/>
          <w:kern w:val="0"/>
        </w:rPr>
        <w:t>将是本矿区煤的最大用户。主要通过公路外运</w:t>
      </w:r>
      <w:r>
        <w:rPr>
          <w:rFonts w:ascii="Times New Roman" w:hAnsi="Times New Roman" w:hint="eastAsia"/>
          <w:snapToGrid w:val="0"/>
          <w:kern w:val="0"/>
        </w:rPr>
        <w:t>供应</w:t>
      </w:r>
      <w:r>
        <w:rPr>
          <w:rFonts w:ascii="Times New Roman" w:hAnsi="Times New Roman"/>
          <w:snapToGrid w:val="0"/>
          <w:kern w:val="0"/>
        </w:rPr>
        <w:t>煤炭用户。</w:t>
      </w:r>
    </w:p>
    <w:p w14:paraId="55686345" w14:textId="77777777" w:rsidR="009C353B" w:rsidRDefault="00000000">
      <w:pPr>
        <w:adjustRightInd w:val="0"/>
        <w:snapToGrid w:val="0"/>
        <w:spacing w:line="440" w:lineRule="exact"/>
        <w:ind w:firstLineChars="192" w:firstLine="461"/>
        <w:rPr>
          <w:rFonts w:ascii="Times New Roman" w:hAnsi="Times New Roman"/>
        </w:rPr>
      </w:pPr>
      <w:r>
        <w:rPr>
          <w:rFonts w:ascii="Times New Roman" w:hAnsi="Times New Roman"/>
        </w:rPr>
        <w:t>从采煤和运煤协调性来看，根据矿区规划情况，</w:t>
      </w:r>
      <w:r>
        <w:rPr>
          <w:rFonts w:ascii="Times New Roman" w:hAnsi="Times New Roman" w:hint="eastAsia"/>
        </w:rPr>
        <w:t>横城矿区内</w:t>
      </w:r>
      <w:r>
        <w:rPr>
          <w:rFonts w:ascii="Times New Roman" w:hAnsi="Times New Roman"/>
        </w:rPr>
        <w:t>马莲台、任家庄、红石湾</w:t>
      </w:r>
      <w:r>
        <w:rPr>
          <w:rFonts w:ascii="Times New Roman" w:hAnsi="Times New Roman" w:hint="eastAsia"/>
        </w:rPr>
        <w:t>矿井已建投产，矿区内有临河综合工业园、宁东能源重化工基地工业园区，矿区内公路网比较完善，满足现有生产运输需求。本次新规划丁家梁矿井，故需新建一条丁家梁矿联络道路。该道路起点与东黎公路相连，向西直至丁家梁矿井工业场地，道路全长</w:t>
      </w:r>
      <w:r>
        <w:rPr>
          <w:rFonts w:ascii="Times New Roman" w:hAnsi="Times New Roman" w:hint="eastAsia"/>
        </w:rPr>
        <w:t>7.00</w:t>
      </w:r>
      <w:r>
        <w:rPr>
          <w:rFonts w:ascii="Times New Roman" w:hAnsi="Times New Roman"/>
        </w:rPr>
        <w:t>km</w:t>
      </w:r>
      <w:r>
        <w:rPr>
          <w:rFonts w:ascii="Times New Roman" w:hAnsi="Times New Roman" w:hint="eastAsia"/>
        </w:rPr>
        <w:t>，目前已建成。现有及新建道路</w:t>
      </w:r>
      <w:r>
        <w:rPr>
          <w:rFonts w:ascii="Times New Roman" w:hAnsi="Times New Roman"/>
        </w:rPr>
        <w:t>能够满足矿区采煤辅助运输需要。</w:t>
      </w:r>
    </w:p>
    <w:p w14:paraId="20B52669"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3</w:t>
      </w:r>
      <w:r>
        <w:rPr>
          <w:rFonts w:ascii="Times New Roman" w:hAnsi="Times New Roman"/>
          <w:b/>
        </w:rPr>
        <w:t>）矿区地面总布置</w:t>
      </w:r>
    </w:p>
    <w:p w14:paraId="608F438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根据地面总布置的指导思想和原则，矿区地面总布置要按生产、生产服务和生活服务三条线安排。规划行政、文教、医疗设施的建设遵循</w:t>
      </w:r>
      <w:r>
        <w:rPr>
          <w:rFonts w:ascii="Times New Roman" w:hAnsi="Times New Roman"/>
        </w:rPr>
        <w:t>“</w:t>
      </w:r>
      <w:r>
        <w:rPr>
          <w:rFonts w:ascii="Times New Roman" w:hAnsi="Times New Roman"/>
        </w:rPr>
        <w:t>有利生产，依托社会</w:t>
      </w:r>
      <w:r>
        <w:rPr>
          <w:rFonts w:ascii="Times New Roman" w:hAnsi="Times New Roman"/>
        </w:rPr>
        <w:t>”</w:t>
      </w:r>
      <w:r>
        <w:rPr>
          <w:rFonts w:ascii="Times New Roman" w:hAnsi="Times New Roman"/>
        </w:rPr>
        <w:t>的原则，将</w:t>
      </w:r>
      <w:r>
        <w:rPr>
          <w:rFonts w:ascii="Times New Roman" w:hAnsi="Times New Roman" w:hint="eastAsia"/>
        </w:rPr>
        <w:t>居住区</w:t>
      </w:r>
      <w:r>
        <w:rPr>
          <w:rFonts w:ascii="Times New Roman" w:hAnsi="Times New Roman"/>
        </w:rPr>
        <w:t>设在</w:t>
      </w:r>
      <w:r>
        <w:rPr>
          <w:rFonts w:ascii="Times New Roman" w:hAnsi="Times New Roman" w:hint="eastAsia"/>
        </w:rPr>
        <w:t>宁东镇，</w:t>
      </w:r>
      <w:r>
        <w:rPr>
          <w:rFonts w:ascii="Times New Roman" w:hAnsi="Times New Roman"/>
        </w:rPr>
        <w:t>单身宿舍建在各矿工业场地内。</w:t>
      </w:r>
    </w:p>
    <w:p w14:paraId="731EE43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本次矿区规划的布局，做到了从矿区整体出发，全面考虑内部与外部、集中与分散、矿井建设与城镇建设的相互关系，能够较好的与当地城镇规划和其他规划相互衔接，协调发展。总体而言，矿区地面总布置是相互协调的。</w:t>
      </w:r>
    </w:p>
    <w:p w14:paraId="0325FF15" w14:textId="77777777" w:rsidR="009C353B" w:rsidRDefault="00000000">
      <w:pPr>
        <w:adjustRightInd w:val="0"/>
        <w:snapToGrid w:val="0"/>
        <w:spacing w:line="440" w:lineRule="exact"/>
        <w:ind w:firstLineChars="196" w:firstLine="472"/>
        <w:rPr>
          <w:rFonts w:ascii="Times New Roman" w:hAnsi="Times New Roman"/>
          <w:b/>
          <w:szCs w:val="24"/>
        </w:rPr>
      </w:pPr>
      <w:r>
        <w:rPr>
          <w:rFonts w:ascii="Times New Roman" w:hAnsi="Times New Roman"/>
          <w:b/>
          <w:szCs w:val="24"/>
        </w:rPr>
        <w:t>（</w:t>
      </w:r>
      <w:r>
        <w:rPr>
          <w:rFonts w:ascii="Times New Roman" w:hAnsi="Times New Roman"/>
          <w:b/>
          <w:szCs w:val="24"/>
        </w:rPr>
        <w:t>4</w:t>
      </w:r>
      <w:r>
        <w:rPr>
          <w:rFonts w:ascii="Times New Roman" w:hAnsi="Times New Roman"/>
          <w:b/>
          <w:szCs w:val="24"/>
        </w:rPr>
        <w:t>）矿区供电规划</w:t>
      </w:r>
      <w:r>
        <w:rPr>
          <w:rFonts w:ascii="Times New Roman" w:hAnsi="Times New Roman"/>
          <w:b/>
          <w:szCs w:val="24"/>
        </w:rPr>
        <w:t>-</w:t>
      </w:r>
      <w:r>
        <w:rPr>
          <w:rFonts w:ascii="Times New Roman" w:hAnsi="Times New Roman"/>
          <w:b/>
          <w:szCs w:val="24"/>
        </w:rPr>
        <w:t>供电与用电</w:t>
      </w:r>
    </w:p>
    <w:p w14:paraId="63B767B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宁东煤化工区</w:t>
      </w:r>
      <w:r>
        <w:rPr>
          <w:rFonts w:ascii="Times New Roman" w:hAnsi="Times New Roman"/>
        </w:rPr>
        <w:t>已建成灵武电厂、马莲台电厂等，形成装机规模</w:t>
      </w:r>
      <w:r>
        <w:rPr>
          <w:rFonts w:ascii="Times New Roman" w:hAnsi="Times New Roman"/>
        </w:rPr>
        <w:t xml:space="preserve"> 423 </w:t>
      </w:r>
      <w:r>
        <w:rPr>
          <w:rFonts w:ascii="Times New Roman" w:hAnsi="Times New Roman"/>
        </w:rPr>
        <w:t>万千瓦</w:t>
      </w:r>
      <w:r>
        <w:rPr>
          <w:rFonts w:ascii="Times New Roman" w:hAnsi="Times New Roman" w:hint="eastAsia"/>
        </w:rPr>
        <w:t>。矿区周边</w:t>
      </w:r>
      <w:r>
        <w:rPr>
          <w:rFonts w:ascii="Times New Roman" w:hAnsi="Times New Roman"/>
        </w:rPr>
        <w:t>已建成银川东和灵州两座</w:t>
      </w:r>
      <w:r>
        <w:rPr>
          <w:rFonts w:ascii="Times New Roman" w:hAnsi="Times New Roman"/>
        </w:rPr>
        <w:t>750kV</w:t>
      </w:r>
      <w:r>
        <w:rPr>
          <w:rFonts w:ascii="Times New Roman" w:hAnsi="Times New Roman" w:hint="eastAsia"/>
        </w:rPr>
        <w:t>变电所。已建成马跑泉、</w:t>
      </w:r>
      <w:r>
        <w:rPr>
          <w:rFonts w:ascii="Times New Roman" w:hAnsi="Times New Roman"/>
        </w:rPr>
        <w:t>徐家庄、甜水河、甘露和蒋家南</w:t>
      </w:r>
      <w:r>
        <w:rPr>
          <w:rFonts w:ascii="Times New Roman" w:hAnsi="Times New Roman" w:hint="eastAsia"/>
        </w:rPr>
        <w:t>五</w:t>
      </w:r>
      <w:r>
        <w:rPr>
          <w:rFonts w:ascii="Times New Roman" w:hAnsi="Times New Roman"/>
        </w:rPr>
        <w:t>座</w:t>
      </w:r>
      <w:r>
        <w:rPr>
          <w:rFonts w:ascii="Times New Roman" w:hAnsi="Times New Roman"/>
        </w:rPr>
        <w:t xml:space="preserve"> 330kV </w:t>
      </w:r>
      <w:r>
        <w:rPr>
          <w:rFonts w:ascii="Times New Roman" w:hAnsi="Times New Roman" w:hint="eastAsia"/>
        </w:rPr>
        <w:t>变电所</w:t>
      </w:r>
      <w:r>
        <w:rPr>
          <w:rFonts w:ascii="Times New Roman" w:hAnsi="Times New Roman"/>
        </w:rPr>
        <w:t>，</w:t>
      </w:r>
      <w:r>
        <w:rPr>
          <w:rFonts w:ascii="Times New Roman" w:hAnsi="Times New Roman" w:hint="eastAsia"/>
        </w:rPr>
        <w:t>已建成</w:t>
      </w:r>
      <w:r>
        <w:rPr>
          <w:rFonts w:ascii="Times New Roman" w:hAnsi="Times New Roman"/>
        </w:rPr>
        <w:t>磁窑堡、希望、白芨滩、双庙、任家庄、红石湾、西团、新区、黑山、横山、永利、唐庄和庆元</w:t>
      </w:r>
      <w:r>
        <w:rPr>
          <w:rFonts w:ascii="Times New Roman" w:hAnsi="Times New Roman" w:hint="eastAsia"/>
        </w:rPr>
        <w:t>等</w:t>
      </w:r>
      <w:r>
        <w:rPr>
          <w:rFonts w:ascii="Times New Roman" w:hAnsi="Times New Roman"/>
        </w:rPr>
        <w:t>十三座</w:t>
      </w:r>
      <w:r>
        <w:rPr>
          <w:rFonts w:ascii="Times New Roman" w:hAnsi="Times New Roman"/>
        </w:rPr>
        <w:t>110kV</w:t>
      </w:r>
      <w:r>
        <w:rPr>
          <w:rFonts w:ascii="Times New Roman" w:hAnsi="Times New Roman" w:hint="eastAsia"/>
        </w:rPr>
        <w:t>变电所</w:t>
      </w:r>
      <w:r>
        <w:rPr>
          <w:rFonts w:ascii="Times New Roman" w:hAnsi="Times New Roman"/>
        </w:rPr>
        <w:t>，构建了坚强的电网网架结构。</w:t>
      </w:r>
    </w:p>
    <w:p w14:paraId="0E130CA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横城矿区周边电网完善，装机容量充足，且供电距离短（最远</w:t>
      </w:r>
      <w:r>
        <w:rPr>
          <w:rFonts w:ascii="Times New Roman" w:hAnsi="Times New Roman" w:hint="eastAsia"/>
        </w:rPr>
        <w:t>8.6km</w:t>
      </w:r>
      <w:r>
        <w:rPr>
          <w:rFonts w:ascii="Times New Roman" w:hAnsi="Times New Roman" w:hint="eastAsia"/>
        </w:rPr>
        <w:t>）。各矿井均建成供电系统。根据总体规划负荷，校验各矿井送电线路和主变压器容量，除马莲台和红石湾</w:t>
      </w:r>
      <w:r>
        <w:rPr>
          <w:rFonts w:ascii="Times New Roman" w:hAnsi="Times New Roman" w:hint="eastAsia"/>
        </w:rPr>
        <w:t>35kV</w:t>
      </w:r>
      <w:r>
        <w:rPr>
          <w:rFonts w:ascii="Times New Roman" w:hAnsi="Times New Roman" w:hint="eastAsia"/>
        </w:rPr>
        <w:t>变电所需要更换（增容）主变压器外，其余变电所均满足规范要求。</w:t>
      </w:r>
      <w:r>
        <w:rPr>
          <w:rFonts w:ascii="Times New Roman" w:hAnsi="Times New Roman"/>
        </w:rPr>
        <w:t>矿区供电电源能够满足矿区用电需求，矿区供电和用电是相互协调的。</w:t>
      </w:r>
    </w:p>
    <w:p w14:paraId="0BD981D2" w14:textId="77777777" w:rsidR="009C353B" w:rsidRDefault="00000000">
      <w:pPr>
        <w:adjustRightInd w:val="0"/>
        <w:snapToGrid w:val="0"/>
        <w:spacing w:line="440" w:lineRule="exact"/>
        <w:ind w:firstLineChars="196" w:firstLine="472"/>
        <w:rPr>
          <w:rFonts w:ascii="Times New Roman" w:hAnsi="Times New Roman"/>
          <w:b/>
          <w:szCs w:val="24"/>
        </w:rPr>
      </w:pPr>
      <w:r>
        <w:rPr>
          <w:rFonts w:ascii="Times New Roman" w:hAnsi="Times New Roman"/>
          <w:b/>
          <w:szCs w:val="24"/>
        </w:rPr>
        <w:t>（</w:t>
      </w:r>
      <w:r>
        <w:rPr>
          <w:rFonts w:ascii="Times New Roman" w:hAnsi="Times New Roman"/>
          <w:b/>
          <w:szCs w:val="24"/>
        </w:rPr>
        <w:t>5</w:t>
      </w:r>
      <w:r>
        <w:rPr>
          <w:rFonts w:ascii="Times New Roman" w:hAnsi="Times New Roman"/>
          <w:b/>
          <w:szCs w:val="24"/>
        </w:rPr>
        <w:t>）矿区供热规划</w:t>
      </w:r>
    </w:p>
    <w:p w14:paraId="3256014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横城矿区共规划</w:t>
      </w:r>
      <w:r>
        <w:rPr>
          <w:rFonts w:ascii="Times New Roman" w:hAnsi="Times New Roman" w:hint="eastAsia"/>
        </w:rPr>
        <w:t>有</w:t>
      </w:r>
      <w:r>
        <w:rPr>
          <w:rFonts w:ascii="Times New Roman" w:hAnsi="Times New Roman"/>
        </w:rPr>
        <w:t>马莲台、任家庄、红石湾及</w:t>
      </w:r>
      <w:r>
        <w:rPr>
          <w:rFonts w:ascii="Times New Roman" w:hAnsi="Times New Roman" w:hint="eastAsia"/>
        </w:rPr>
        <w:t>丁家梁</w:t>
      </w:r>
      <w:r>
        <w:rPr>
          <w:rFonts w:ascii="Times New Roman" w:hAnsi="Times New Roman" w:hint="eastAsia"/>
        </w:rPr>
        <w:t>4</w:t>
      </w:r>
      <w:r>
        <w:rPr>
          <w:rFonts w:ascii="Times New Roman" w:hAnsi="Times New Roman"/>
        </w:rPr>
        <w:t>个</w:t>
      </w:r>
      <w:r>
        <w:rPr>
          <w:rFonts w:ascii="Times New Roman" w:hAnsi="Times New Roman" w:hint="eastAsia"/>
        </w:rPr>
        <w:t>矿井</w:t>
      </w:r>
      <w:r>
        <w:rPr>
          <w:rFonts w:ascii="Times New Roman" w:hAnsi="Times New Roman"/>
        </w:rPr>
        <w:t>，马莲台、任家庄、红石湾</w:t>
      </w:r>
      <w:r>
        <w:rPr>
          <w:rFonts w:ascii="Times New Roman" w:hAnsi="Times New Roman" w:hint="eastAsia"/>
        </w:rPr>
        <w:t>矿井</w:t>
      </w:r>
      <w:r>
        <w:rPr>
          <w:rFonts w:ascii="Times New Roman" w:hAnsi="Times New Roman"/>
        </w:rPr>
        <w:t>均配套</w:t>
      </w:r>
      <w:r>
        <w:rPr>
          <w:rFonts w:ascii="Times New Roman" w:hAnsi="Times New Roman" w:hint="eastAsia"/>
        </w:rPr>
        <w:t>一座</w:t>
      </w:r>
      <w:r>
        <w:rPr>
          <w:rFonts w:ascii="Times New Roman" w:hAnsi="Times New Roman"/>
        </w:rPr>
        <w:t>选煤厂</w:t>
      </w:r>
      <w:r>
        <w:rPr>
          <w:rFonts w:ascii="Times New Roman" w:hAnsi="Times New Roman" w:hint="eastAsia"/>
        </w:rPr>
        <w:t>。</w:t>
      </w:r>
      <w:r>
        <w:rPr>
          <w:rFonts w:ascii="Times New Roman" w:hAnsi="Times New Roman"/>
        </w:rPr>
        <w:t>矿区辅助生产区及居住区</w:t>
      </w:r>
      <w:r>
        <w:rPr>
          <w:rFonts w:ascii="Times New Roman" w:hAnsi="Times New Roman" w:hint="eastAsia"/>
        </w:rPr>
        <w:t>均设在宁东镇，并依托宁东镇现有设施予以解决。</w:t>
      </w:r>
    </w:p>
    <w:p w14:paraId="287BA5C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w:t>
      </w:r>
      <w:r>
        <w:rPr>
          <w:rFonts w:ascii="Times New Roman" w:hAnsi="Times New Roman" w:hint="eastAsia"/>
        </w:rPr>
        <w:t>矿井</w:t>
      </w:r>
      <w:r>
        <w:rPr>
          <w:rFonts w:ascii="Times New Roman" w:hAnsi="Times New Roman"/>
        </w:rPr>
        <w:t>热负荷为</w:t>
      </w:r>
      <w:r>
        <w:rPr>
          <w:rFonts w:ascii="Times New Roman" w:hAnsi="Times New Roman" w:hint="eastAsia"/>
        </w:rPr>
        <w:t>9</w:t>
      </w:r>
      <w:r>
        <w:rPr>
          <w:rFonts w:ascii="Times New Roman" w:hAnsi="Times New Roman"/>
        </w:rPr>
        <w:t>8.3</w:t>
      </w:r>
      <w:r>
        <w:rPr>
          <w:rFonts w:ascii="Times New Roman" w:hAnsi="Times New Roman" w:hint="eastAsia"/>
        </w:rPr>
        <w:t>M</w:t>
      </w:r>
      <w:r>
        <w:rPr>
          <w:rFonts w:ascii="Times New Roman" w:hAnsi="Times New Roman"/>
        </w:rPr>
        <w:t>W</w:t>
      </w:r>
      <w:r>
        <w:rPr>
          <w:rFonts w:ascii="Times New Roman" w:hAnsi="Times New Roman"/>
        </w:rPr>
        <w:t>。</w:t>
      </w:r>
      <w:r>
        <w:rPr>
          <w:rFonts w:ascii="Times New Roman" w:hAnsi="Times New Roman" w:hint="eastAsia"/>
        </w:rPr>
        <w:t>矿区采取各矿井独立供热方式，各矿热源确定</w:t>
      </w:r>
      <w:r>
        <w:rPr>
          <w:rFonts w:ascii="Times New Roman" w:hAnsi="Times New Roman"/>
        </w:rPr>
        <w:t>以</w:t>
      </w:r>
      <w:r>
        <w:rPr>
          <w:rFonts w:ascii="Times New Roman" w:hAnsi="Times New Roman" w:hint="eastAsia"/>
        </w:rPr>
        <w:t>电厂余热或</w:t>
      </w:r>
      <w:r>
        <w:rPr>
          <w:rFonts w:ascii="Times New Roman" w:hAnsi="Times New Roman"/>
        </w:rPr>
        <w:t>燃气</w:t>
      </w:r>
      <w:r>
        <w:rPr>
          <w:rFonts w:ascii="Times New Roman" w:hAnsi="Times New Roman" w:hint="eastAsia"/>
        </w:rPr>
        <w:t>锅炉房</w:t>
      </w:r>
      <w:r>
        <w:rPr>
          <w:rFonts w:ascii="Times New Roman" w:hAnsi="Times New Roman"/>
        </w:rPr>
        <w:t>为主</w:t>
      </w:r>
      <w:r>
        <w:rPr>
          <w:rFonts w:ascii="Times New Roman" w:hAnsi="Times New Roman" w:hint="eastAsia"/>
        </w:rPr>
        <w:t>、</w:t>
      </w:r>
      <w:r>
        <w:rPr>
          <w:rFonts w:ascii="Times New Roman" w:hAnsi="Times New Roman"/>
        </w:rPr>
        <w:t>新能源</w:t>
      </w:r>
      <w:r>
        <w:rPr>
          <w:rFonts w:ascii="Times New Roman" w:hAnsi="Times New Roman" w:hint="eastAsia"/>
        </w:rPr>
        <w:t>为</w:t>
      </w:r>
      <w:r>
        <w:rPr>
          <w:rFonts w:ascii="Times New Roman" w:hAnsi="Times New Roman"/>
        </w:rPr>
        <w:t>辅</w:t>
      </w:r>
      <w:r>
        <w:rPr>
          <w:rFonts w:ascii="Times New Roman" w:hAnsi="Times New Roman" w:hint="eastAsia"/>
        </w:rPr>
        <w:t>方式</w:t>
      </w:r>
      <w:r>
        <w:rPr>
          <w:rFonts w:ascii="Times New Roman" w:hAnsi="Times New Roman"/>
        </w:rPr>
        <w:t>。</w:t>
      </w:r>
      <w:r>
        <w:rPr>
          <w:rFonts w:ascii="Times New Roman" w:hAnsi="Times New Roman" w:hint="eastAsia"/>
        </w:rPr>
        <w:t>其中：马莲台矿井工业场地至临河工业园区甲醇厂（</w:t>
      </w:r>
      <w:r>
        <w:rPr>
          <w:rFonts w:ascii="Times New Roman" w:hAnsi="Times New Roman" w:hint="eastAsia"/>
        </w:rPr>
        <w:t>5</w:t>
      </w:r>
      <w:r>
        <w:rPr>
          <w:rFonts w:ascii="Times New Roman" w:hAnsi="Times New Roman" w:hint="eastAsia"/>
        </w:rPr>
        <w:t>×</w:t>
      </w:r>
      <w:r>
        <w:rPr>
          <w:rFonts w:ascii="Times New Roman" w:hAnsi="Times New Roman" w:hint="eastAsia"/>
        </w:rPr>
        <w:t>25MW</w:t>
      </w:r>
      <w:r>
        <w:rPr>
          <w:rFonts w:ascii="Times New Roman" w:hAnsi="Times New Roman" w:hint="eastAsia"/>
        </w:rPr>
        <w:t>）自备热电站约</w:t>
      </w:r>
      <w:r>
        <w:rPr>
          <w:rFonts w:ascii="Times New Roman" w:hAnsi="Times New Roman" w:hint="eastAsia"/>
        </w:rPr>
        <w:t>3km</w:t>
      </w:r>
      <w:r>
        <w:rPr>
          <w:rFonts w:ascii="Times New Roman" w:hAnsi="Times New Roman" w:hint="eastAsia"/>
        </w:rPr>
        <w:t>，使用电厂余热进行供热；任家庄矿井设置燃气锅炉房作为矿井供热热源；红石湾矿井工业场地至银川中科环保电力有限公司生活垃圾焚烧发电厂约</w:t>
      </w:r>
      <w:r>
        <w:rPr>
          <w:rFonts w:ascii="Times New Roman" w:hAnsi="Times New Roman" w:hint="eastAsia"/>
        </w:rPr>
        <w:t>2km</w:t>
      </w:r>
      <w:r>
        <w:rPr>
          <w:rFonts w:ascii="Times New Roman" w:hAnsi="Times New Roman" w:hint="eastAsia"/>
        </w:rPr>
        <w:t>，使用电厂余热进行供热；丁家梁矿井</w:t>
      </w:r>
      <w:r>
        <w:rPr>
          <w:rFonts w:ascii="Times New Roman" w:hAnsi="Times New Roman"/>
        </w:rPr>
        <w:t>工业场地</w:t>
      </w:r>
      <w:r>
        <w:rPr>
          <w:rFonts w:ascii="Times New Roman" w:hAnsi="Times New Roman" w:hint="eastAsia"/>
        </w:rPr>
        <w:t>确定设置燃气锅炉房一座，作为矿井供热热源。</w:t>
      </w:r>
    </w:p>
    <w:p w14:paraId="2A94C5B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矿区辅助生产区及居住区</w:t>
      </w:r>
      <w:r>
        <w:rPr>
          <w:rFonts w:ascii="Times New Roman" w:hAnsi="Times New Roman" w:hint="eastAsia"/>
        </w:rPr>
        <w:t>热负荷</w:t>
      </w:r>
      <w:r>
        <w:rPr>
          <w:rFonts w:ascii="Times New Roman" w:hAnsi="Times New Roman" w:hint="eastAsia"/>
        </w:rPr>
        <w:t>5.3MW</w:t>
      </w:r>
      <w:r>
        <w:rPr>
          <w:rFonts w:ascii="Times New Roman" w:hAnsi="Times New Roman" w:hint="eastAsia"/>
        </w:rPr>
        <w:t>，</w:t>
      </w:r>
      <w:r>
        <w:rPr>
          <w:rFonts w:ascii="Times New Roman" w:hAnsi="Times New Roman"/>
        </w:rPr>
        <w:t>辅助生产区及居住区设在宁东镇，依托</w:t>
      </w:r>
      <w:r>
        <w:rPr>
          <w:rFonts w:ascii="Times New Roman" w:hAnsi="Times New Roman" w:hint="eastAsia"/>
        </w:rPr>
        <w:t>市政</w:t>
      </w:r>
      <w:r>
        <w:rPr>
          <w:rFonts w:ascii="Times New Roman" w:hAnsi="Times New Roman"/>
        </w:rPr>
        <w:t>集中供热设施解决。矿区供暖与用暖是相互协调的。</w:t>
      </w:r>
    </w:p>
    <w:p w14:paraId="28713327" w14:textId="77777777" w:rsidR="009C353B" w:rsidRDefault="00000000">
      <w:pPr>
        <w:adjustRightInd w:val="0"/>
        <w:snapToGrid w:val="0"/>
        <w:spacing w:line="440" w:lineRule="exact"/>
        <w:ind w:firstLineChars="196" w:firstLine="472"/>
        <w:rPr>
          <w:rFonts w:ascii="Times New Roman" w:hAnsi="Times New Roman"/>
          <w:b/>
          <w:szCs w:val="24"/>
        </w:rPr>
      </w:pPr>
      <w:r>
        <w:rPr>
          <w:rFonts w:ascii="Times New Roman" w:hAnsi="Times New Roman"/>
          <w:b/>
          <w:szCs w:val="24"/>
        </w:rPr>
        <w:t>（</w:t>
      </w:r>
      <w:r>
        <w:rPr>
          <w:rFonts w:ascii="Times New Roman" w:hAnsi="Times New Roman"/>
          <w:b/>
          <w:szCs w:val="24"/>
        </w:rPr>
        <w:t>6</w:t>
      </w:r>
      <w:r>
        <w:rPr>
          <w:rFonts w:ascii="Times New Roman" w:hAnsi="Times New Roman"/>
          <w:b/>
          <w:szCs w:val="24"/>
        </w:rPr>
        <w:t>）矿区水资源综合利用</w:t>
      </w:r>
    </w:p>
    <w:p w14:paraId="19C431D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从矿井排水综合利用和矿区水源分配来看，综合利用矿井井下排水及生活污水。</w:t>
      </w:r>
    </w:p>
    <w:p w14:paraId="16B7DFD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bCs/>
          <w:kern w:val="0"/>
          <w:szCs w:val="24"/>
        </w:rPr>
        <w:t>矿区给排水规划方案明确了规划需水量及水源，排水去向，本次环评本着节水以及充分利用矿井水、生活污水的原则，对矿区给排水重新进行了供需平衡核算，详细内容见</w:t>
      </w:r>
      <w:r>
        <w:rPr>
          <w:rFonts w:ascii="Times New Roman" w:hAnsi="Times New Roman"/>
          <w:bCs/>
          <w:kern w:val="0"/>
          <w:szCs w:val="24"/>
        </w:rPr>
        <w:t>7.1</w:t>
      </w:r>
      <w:r>
        <w:rPr>
          <w:rFonts w:ascii="Times New Roman" w:hAnsi="Times New Roman"/>
          <w:bCs/>
          <w:kern w:val="0"/>
          <w:szCs w:val="24"/>
        </w:rPr>
        <w:t>水资源承载力分析章节。</w:t>
      </w:r>
    </w:p>
    <w:p w14:paraId="271213F1" w14:textId="77777777" w:rsidR="009C353B" w:rsidRDefault="00000000">
      <w:pPr>
        <w:adjustRightInd w:val="0"/>
        <w:snapToGrid w:val="0"/>
        <w:spacing w:line="440" w:lineRule="exact"/>
        <w:ind w:firstLineChars="196" w:firstLine="472"/>
        <w:rPr>
          <w:rFonts w:ascii="Times New Roman" w:hAnsi="Times New Roman"/>
          <w:b/>
          <w:szCs w:val="24"/>
        </w:rPr>
      </w:pPr>
      <w:r>
        <w:rPr>
          <w:rFonts w:ascii="Times New Roman" w:hAnsi="Times New Roman"/>
          <w:b/>
          <w:szCs w:val="24"/>
        </w:rPr>
        <w:t>（</w:t>
      </w:r>
      <w:r>
        <w:rPr>
          <w:rFonts w:ascii="Times New Roman" w:hAnsi="Times New Roman"/>
          <w:b/>
          <w:szCs w:val="24"/>
        </w:rPr>
        <w:t>7</w:t>
      </w:r>
      <w:r>
        <w:rPr>
          <w:rFonts w:ascii="Times New Roman" w:hAnsi="Times New Roman"/>
          <w:b/>
          <w:szCs w:val="24"/>
        </w:rPr>
        <w:t>）煤矸石综合利用的协调性分析</w:t>
      </w:r>
    </w:p>
    <w:p w14:paraId="7B93D52C" w14:textId="77777777" w:rsidR="009C353B" w:rsidRDefault="00000000">
      <w:pPr>
        <w:adjustRightInd w:val="0"/>
        <w:snapToGrid w:val="0"/>
        <w:spacing w:line="440" w:lineRule="exact"/>
        <w:ind w:firstLineChars="200" w:firstLine="480"/>
        <w:rPr>
          <w:rFonts w:ascii="Times New Roman" w:hAnsi="Times New Roman"/>
          <w:bCs/>
          <w:kern w:val="0"/>
          <w:szCs w:val="24"/>
        </w:rPr>
      </w:pPr>
      <w:r>
        <w:rPr>
          <w:rFonts w:ascii="Times New Roman" w:hAnsi="Times New Roman"/>
          <w:bCs/>
          <w:kern w:val="0"/>
          <w:szCs w:val="24"/>
        </w:rPr>
        <w:t>关于煤矸石综合利用，矿区规划方案提出</w:t>
      </w:r>
      <w:r>
        <w:rPr>
          <w:rFonts w:ascii="Times New Roman" w:hAnsi="Times New Roman" w:hint="eastAsia"/>
          <w:bCs/>
          <w:kern w:val="0"/>
          <w:szCs w:val="24"/>
        </w:rPr>
        <w:t>：规划的</w:t>
      </w:r>
      <w:r>
        <w:rPr>
          <w:rFonts w:ascii="Times New Roman" w:hAnsi="Times New Roman"/>
          <w:bCs/>
          <w:kern w:val="0"/>
          <w:szCs w:val="24"/>
        </w:rPr>
        <w:t>马莲台矿井、任家庄矿井和红石湾矿井生产期间</w:t>
      </w:r>
      <w:r>
        <w:rPr>
          <w:rFonts w:ascii="Times New Roman" w:hAnsi="Times New Roman" w:hint="eastAsia"/>
          <w:bCs/>
          <w:kern w:val="0"/>
          <w:szCs w:val="24"/>
        </w:rPr>
        <w:t>掘进矸石原则上不升井，填</w:t>
      </w:r>
      <w:r>
        <w:rPr>
          <w:rFonts w:ascii="Times New Roman" w:hAnsi="Times New Roman"/>
          <w:bCs/>
          <w:kern w:val="0"/>
          <w:szCs w:val="24"/>
        </w:rPr>
        <w:t>充井下废弃巷道；丁家梁矿井建井期间矸石运至临时排矸场，生产期掘进矸石原则上不升井，填充井下废弃巷道。矸石充填不畅时可排至地面临时排矸场，用于矿区塌陷区治理</w:t>
      </w:r>
      <w:r>
        <w:rPr>
          <w:rFonts w:ascii="Times New Roman" w:hint="eastAsia"/>
        </w:rPr>
        <w:t>，后期或以矸石置换井下煤柱</w:t>
      </w:r>
      <w:r>
        <w:rPr>
          <w:rFonts w:ascii="Times New Roman" w:hAnsi="Times New Roman"/>
          <w:bCs/>
          <w:kern w:val="0"/>
          <w:szCs w:val="24"/>
        </w:rPr>
        <w:t>。</w:t>
      </w:r>
    </w:p>
    <w:p w14:paraId="7165E3E8" w14:textId="77777777" w:rsidR="009C353B" w:rsidRDefault="00000000">
      <w:pPr>
        <w:adjustRightInd w:val="0"/>
        <w:snapToGrid w:val="0"/>
        <w:spacing w:line="440" w:lineRule="exact"/>
        <w:ind w:firstLineChars="200" w:firstLine="480"/>
        <w:rPr>
          <w:rFonts w:ascii="Times New Roman" w:hAnsi="Times New Roman"/>
          <w:bCs/>
          <w:kern w:val="0"/>
          <w:szCs w:val="24"/>
        </w:rPr>
      </w:pPr>
      <w:r>
        <w:rPr>
          <w:rFonts w:ascii="Times New Roman" w:hAnsi="Times New Roman"/>
          <w:bCs/>
          <w:kern w:val="0"/>
          <w:szCs w:val="24"/>
        </w:rPr>
        <w:t>规划区规划选煤厂排放矸</w:t>
      </w:r>
      <w:r>
        <w:rPr>
          <w:rFonts w:ascii="Times New Roman" w:hAnsi="Times New Roman" w:hint="eastAsia"/>
          <w:bCs/>
          <w:kern w:val="0"/>
          <w:szCs w:val="24"/>
        </w:rPr>
        <w:t>495</w:t>
      </w:r>
      <w:r>
        <w:rPr>
          <w:rFonts w:ascii="Times New Roman" w:hAnsi="Times New Roman"/>
          <w:bCs/>
          <w:kern w:val="0"/>
          <w:szCs w:val="24"/>
        </w:rPr>
        <w:t>万</w:t>
      </w:r>
      <w:r>
        <w:rPr>
          <w:rFonts w:ascii="Times New Roman" w:hAnsi="Times New Roman"/>
          <w:bCs/>
          <w:kern w:val="0"/>
          <w:szCs w:val="24"/>
        </w:rPr>
        <w:t>t/a</w:t>
      </w:r>
      <w:r>
        <w:rPr>
          <w:rFonts w:ascii="Times New Roman" w:hAnsi="Times New Roman" w:hint="eastAsia"/>
          <w:bCs/>
          <w:kern w:val="0"/>
          <w:szCs w:val="24"/>
        </w:rPr>
        <w:t>。</w:t>
      </w:r>
      <w:r>
        <w:rPr>
          <w:rFonts w:ascii="Times New Roman" w:hAnsi="Times New Roman"/>
          <w:bCs/>
          <w:kern w:val="0"/>
          <w:szCs w:val="24"/>
        </w:rPr>
        <w:t>规划矿区附近</w:t>
      </w:r>
      <w:r>
        <w:rPr>
          <w:rFonts w:ascii="Times New Roman" w:hAnsi="Times New Roman" w:hint="eastAsia"/>
          <w:bCs/>
          <w:kern w:val="0"/>
          <w:szCs w:val="24"/>
        </w:rPr>
        <w:t>有灵州矸石电厂（</w:t>
      </w:r>
      <w:r>
        <w:rPr>
          <w:rFonts w:ascii="Times New Roman" w:hAnsi="Times New Roman" w:hint="eastAsia"/>
          <w:bCs/>
          <w:kern w:val="0"/>
          <w:szCs w:val="24"/>
        </w:rPr>
        <w:t>2</w:t>
      </w:r>
      <w:r>
        <w:rPr>
          <w:rFonts w:ascii="Times New Roman" w:hAnsi="Times New Roman" w:hint="eastAsia"/>
          <w:bCs/>
          <w:kern w:val="0"/>
          <w:szCs w:val="24"/>
        </w:rPr>
        <w:t>×</w:t>
      </w:r>
      <w:r>
        <w:rPr>
          <w:rFonts w:ascii="Times New Roman" w:hAnsi="Times New Roman" w:hint="eastAsia"/>
          <w:bCs/>
          <w:kern w:val="0"/>
          <w:szCs w:val="24"/>
        </w:rPr>
        <w:t>135MW</w:t>
      </w:r>
      <w:r>
        <w:rPr>
          <w:rFonts w:ascii="Times New Roman" w:hAnsi="Times New Roman" w:hint="eastAsia"/>
          <w:bCs/>
          <w:kern w:val="0"/>
          <w:szCs w:val="24"/>
        </w:rPr>
        <w:t>）矸石年需求量</w:t>
      </w:r>
      <w:r>
        <w:rPr>
          <w:rFonts w:ascii="Times New Roman" w:hAnsi="Times New Roman" w:hint="eastAsia"/>
          <w:bCs/>
          <w:kern w:val="0"/>
          <w:szCs w:val="24"/>
        </w:rPr>
        <w:t>80</w:t>
      </w:r>
      <w:r>
        <w:rPr>
          <w:rFonts w:ascii="Times New Roman" w:hAnsi="Times New Roman"/>
          <w:bCs/>
          <w:kern w:val="0"/>
          <w:szCs w:val="24"/>
        </w:rPr>
        <w:t>万</w:t>
      </w:r>
      <w:r>
        <w:rPr>
          <w:rFonts w:ascii="Times New Roman" w:hAnsi="Times New Roman"/>
          <w:bCs/>
          <w:kern w:val="0"/>
          <w:szCs w:val="24"/>
        </w:rPr>
        <w:t>t/a</w:t>
      </w:r>
      <w:r>
        <w:rPr>
          <w:rFonts w:ascii="Times New Roman" w:hAnsi="Times New Roman" w:hint="eastAsia"/>
          <w:bCs/>
          <w:kern w:val="0"/>
          <w:szCs w:val="24"/>
        </w:rPr>
        <w:t>、以及</w:t>
      </w:r>
      <w:r>
        <w:rPr>
          <w:rFonts w:ascii="Times New Roman" w:hAnsi="Times New Roman"/>
          <w:bCs/>
          <w:kern w:val="0"/>
          <w:szCs w:val="24"/>
        </w:rPr>
        <w:t>规划有宝丰低热值煤综合利用电厂</w:t>
      </w:r>
      <w:r>
        <w:rPr>
          <w:rFonts w:ascii="Times New Roman" w:hAnsi="Times New Roman" w:hint="eastAsia"/>
          <w:bCs/>
          <w:kern w:val="0"/>
          <w:szCs w:val="24"/>
        </w:rPr>
        <w:t>（</w:t>
      </w:r>
      <w:r>
        <w:rPr>
          <w:rFonts w:ascii="Times New Roman" w:hAnsi="Times New Roman"/>
          <w:bCs/>
          <w:kern w:val="0"/>
          <w:szCs w:val="24"/>
        </w:rPr>
        <w:t>2×350MW</w:t>
      </w:r>
      <w:r>
        <w:rPr>
          <w:rFonts w:ascii="Times New Roman" w:hAnsi="Times New Roman" w:hint="eastAsia"/>
          <w:bCs/>
          <w:kern w:val="0"/>
          <w:szCs w:val="24"/>
        </w:rPr>
        <w:t>）矸石</w:t>
      </w:r>
      <w:r>
        <w:rPr>
          <w:rFonts w:ascii="Times New Roman" w:hAnsi="Times New Roman"/>
          <w:bCs/>
          <w:kern w:val="0"/>
          <w:szCs w:val="24"/>
        </w:rPr>
        <w:t>需求量</w:t>
      </w:r>
      <w:r>
        <w:rPr>
          <w:rFonts w:ascii="Times New Roman" w:hAnsi="Times New Roman" w:hint="eastAsia"/>
          <w:bCs/>
          <w:kern w:val="0"/>
          <w:szCs w:val="24"/>
        </w:rPr>
        <w:t>300</w:t>
      </w:r>
      <w:r>
        <w:rPr>
          <w:rFonts w:ascii="Times New Roman" w:hAnsi="Times New Roman" w:hint="eastAsia"/>
          <w:bCs/>
          <w:kern w:val="0"/>
          <w:szCs w:val="24"/>
        </w:rPr>
        <w:t>万</w:t>
      </w:r>
      <w:r>
        <w:rPr>
          <w:rFonts w:ascii="Times New Roman" w:hAnsi="Times New Roman"/>
          <w:bCs/>
          <w:kern w:val="0"/>
          <w:szCs w:val="24"/>
        </w:rPr>
        <w:t>t/a</w:t>
      </w:r>
      <w:r>
        <w:rPr>
          <w:rFonts w:ascii="Times New Roman" w:hAnsi="Times New Roman"/>
          <w:bCs/>
          <w:kern w:val="0"/>
          <w:szCs w:val="24"/>
        </w:rPr>
        <w:t>，可送至</w:t>
      </w:r>
      <w:r>
        <w:rPr>
          <w:rFonts w:ascii="Times New Roman" w:hAnsi="Times New Roman" w:hint="eastAsia"/>
          <w:bCs/>
          <w:kern w:val="0"/>
          <w:szCs w:val="24"/>
        </w:rPr>
        <w:t>灵州矸石电厂、</w:t>
      </w:r>
      <w:r>
        <w:rPr>
          <w:rFonts w:ascii="Times New Roman" w:hAnsi="Times New Roman"/>
          <w:bCs/>
          <w:kern w:val="0"/>
          <w:szCs w:val="24"/>
        </w:rPr>
        <w:t>宝丰低热值煤综合利用电厂综合利用。利用不了的</w:t>
      </w:r>
      <w:r>
        <w:rPr>
          <w:rFonts w:ascii="Times New Roman" w:hint="eastAsia"/>
        </w:rPr>
        <w:t>，</w:t>
      </w:r>
      <w:r>
        <w:rPr>
          <w:rFonts w:ascii="Times New Roman"/>
        </w:rPr>
        <w:t>或</w:t>
      </w:r>
      <w:r>
        <w:rPr>
          <w:rFonts w:ascii="Times New Roman" w:hint="eastAsia"/>
        </w:rPr>
        <w:t>充填沉陷区</w:t>
      </w:r>
      <w:r>
        <w:rPr>
          <w:rFonts w:ascii="Times New Roman"/>
        </w:rPr>
        <w:t>用于矿区生态治理</w:t>
      </w:r>
      <w:r>
        <w:rPr>
          <w:rFonts w:ascii="Times New Roman" w:hint="eastAsia"/>
        </w:rPr>
        <w:t>，后期或以矸石置换井下煤柱</w:t>
      </w:r>
      <w:r>
        <w:rPr>
          <w:rFonts w:ascii="Times New Roman" w:hAnsi="Times New Roman"/>
          <w:bCs/>
          <w:kern w:val="0"/>
          <w:szCs w:val="24"/>
        </w:rPr>
        <w:t>。矿区</w:t>
      </w:r>
      <w:r>
        <w:rPr>
          <w:rFonts w:ascii="Times New Roman" w:hAnsi="Times New Roman" w:hint="eastAsia"/>
          <w:bCs/>
          <w:kern w:val="0"/>
          <w:szCs w:val="24"/>
        </w:rPr>
        <w:t>矸石产生与利用</w:t>
      </w:r>
      <w:r>
        <w:rPr>
          <w:rFonts w:ascii="Times New Roman" w:hAnsi="Times New Roman"/>
          <w:bCs/>
          <w:kern w:val="0"/>
          <w:szCs w:val="24"/>
        </w:rPr>
        <w:t>是</w:t>
      </w:r>
      <w:r>
        <w:rPr>
          <w:rFonts w:ascii="Times New Roman" w:hAnsi="Times New Roman" w:hint="eastAsia"/>
          <w:bCs/>
          <w:kern w:val="0"/>
          <w:szCs w:val="24"/>
        </w:rPr>
        <w:t>基本</w:t>
      </w:r>
      <w:r>
        <w:rPr>
          <w:rFonts w:ascii="Times New Roman" w:hAnsi="Times New Roman"/>
          <w:bCs/>
          <w:kern w:val="0"/>
          <w:szCs w:val="24"/>
        </w:rPr>
        <w:t>协调的。</w:t>
      </w:r>
    </w:p>
    <w:p w14:paraId="6CE51CE9" w14:textId="77777777" w:rsidR="009C353B" w:rsidRDefault="00000000">
      <w:pPr>
        <w:pStyle w:val="3"/>
        <w:spacing w:before="120" w:after="120" w:line="440" w:lineRule="exact"/>
        <w:rPr>
          <w:rFonts w:ascii="Times New Roman" w:hAnsi="Times New Roman"/>
          <w:sz w:val="24"/>
        </w:rPr>
      </w:pPr>
      <w:r>
        <w:rPr>
          <w:rFonts w:ascii="Times New Roman" w:hAnsi="Times New Roman" w:hint="eastAsia"/>
          <w:sz w:val="24"/>
        </w:rPr>
        <w:t xml:space="preserve">2.4.2 </w:t>
      </w:r>
      <w:r>
        <w:rPr>
          <w:rFonts w:ascii="Times New Roman" w:hAnsi="Times New Roman" w:hint="eastAsia"/>
          <w:sz w:val="24"/>
        </w:rPr>
        <w:t>规划方案外部协调性分析</w:t>
      </w:r>
    </w:p>
    <w:p w14:paraId="2C930A8F" w14:textId="77777777" w:rsidR="009C353B" w:rsidRDefault="00000000">
      <w:pPr>
        <w:adjustRightInd w:val="0"/>
        <w:snapToGrid w:val="0"/>
        <w:spacing w:line="440" w:lineRule="exact"/>
        <w:ind w:firstLineChars="200" w:firstLine="480"/>
        <w:rPr>
          <w:rFonts w:ascii="Times New Roman" w:hint="eastAsia"/>
        </w:rPr>
      </w:pPr>
      <w:r>
        <w:rPr>
          <w:rFonts w:ascii="Times New Roman"/>
        </w:rPr>
        <w:t>规划方案协调性分析主要是对矿区规划方案与相关政策、法规和规划的协调性进行分析，其目的是从总体上明确该矿区规划方案的合理性与限制性。规划方案协调性分析涉及的主要政策、法规和规划见下表</w:t>
      </w:r>
      <w:r>
        <w:rPr>
          <w:rFonts w:ascii="Times New Roman" w:hint="eastAsia"/>
        </w:rPr>
        <w:t>2.</w:t>
      </w:r>
      <w:r>
        <w:rPr>
          <w:rFonts w:ascii="Times New Roman"/>
        </w:rPr>
        <w:t>4</w:t>
      </w:r>
      <w:r>
        <w:rPr>
          <w:rFonts w:ascii="Times New Roman" w:hint="eastAsia"/>
        </w:rPr>
        <w:t>-</w:t>
      </w:r>
      <w:r>
        <w:rPr>
          <w:rFonts w:ascii="Times New Roman"/>
        </w:rPr>
        <w:t>2</w:t>
      </w:r>
      <w:r>
        <w:rPr>
          <w:rFonts w:ascii="Times New Roman"/>
        </w:rPr>
        <w:t>。</w:t>
      </w:r>
    </w:p>
    <w:p w14:paraId="2008E9C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rPr>
        <w:t>分析，规划方案</w:t>
      </w:r>
      <w:r>
        <w:rPr>
          <w:rFonts w:ascii="Times New Roman" w:hint="eastAsia"/>
        </w:rPr>
        <w:t>总体</w:t>
      </w:r>
      <w:r>
        <w:rPr>
          <w:rFonts w:ascii="Times New Roman"/>
        </w:rPr>
        <w:t>上与相关政策、规划基本是协调的</w:t>
      </w:r>
      <w:r>
        <w:rPr>
          <w:rFonts w:ascii="Times New Roman" w:hint="eastAsia"/>
        </w:rPr>
        <w:t>。</w:t>
      </w:r>
    </w:p>
    <w:p w14:paraId="10FDBC0F" w14:textId="77777777" w:rsidR="009C353B" w:rsidRDefault="009C353B">
      <w:pPr>
        <w:rPr>
          <w:rFonts w:hint="eastAsia"/>
        </w:rPr>
        <w:sectPr w:rsidR="009C353B">
          <w:headerReference w:type="default" r:id="rId184"/>
          <w:pgSz w:w="11907" w:h="16840"/>
          <w:pgMar w:top="1701" w:right="1418" w:bottom="1418" w:left="1418" w:header="1134" w:footer="851" w:gutter="0"/>
          <w:paperSrc w:first="7" w:other="7"/>
          <w:cols w:space="720"/>
          <w:docGrid w:linePitch="312"/>
        </w:sectPr>
      </w:pPr>
    </w:p>
    <w:p w14:paraId="71243E79" w14:textId="77777777" w:rsidR="009C353B" w:rsidRDefault="00000000">
      <w:pPr>
        <w:pStyle w:val="affffff0"/>
        <w:adjustRightInd w:val="0"/>
        <w:spacing w:line="440" w:lineRule="exact"/>
        <w:jc w:val="center"/>
        <w:rPr>
          <w:rFonts w:ascii="Times New Roman" w:hAnsi="Times New Roman"/>
          <w:kern w:val="0"/>
        </w:rPr>
      </w:pPr>
      <w:r>
        <w:rPr>
          <w:rFonts w:ascii="Times New Roman"/>
          <w:kern w:val="0"/>
        </w:rPr>
        <w:t>规划方案协调性分析所涉及的主要政策、法规和规划</w:t>
      </w:r>
    </w:p>
    <w:p w14:paraId="167D9C8C" w14:textId="77777777" w:rsidR="009C353B" w:rsidRDefault="00000000">
      <w:pPr>
        <w:pStyle w:val="affffd"/>
        <w:spacing w:line="440" w:lineRule="exact"/>
        <w:rPr>
          <w:rFonts w:ascii="Times New Roman" w:hint="eastAsia"/>
        </w:rPr>
      </w:pPr>
      <w:r>
        <w:rPr>
          <w:rFonts w:ascii="Times New Roman"/>
        </w:rPr>
        <w:t>表</w:t>
      </w:r>
      <w:r>
        <w:rPr>
          <w:rFonts w:ascii="Times New Roman"/>
        </w:rPr>
        <w:t>2.4-2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6"/>
        <w:gridCol w:w="2144"/>
        <w:gridCol w:w="6570"/>
        <w:gridCol w:w="3352"/>
        <w:gridCol w:w="942"/>
      </w:tblGrid>
      <w:tr w:rsidR="009C353B" w14:paraId="0114CC89" w14:textId="77777777">
        <w:trPr>
          <w:trHeight w:val="340"/>
          <w:tblHeader/>
          <w:jc w:val="center"/>
        </w:trPr>
        <w:tc>
          <w:tcPr>
            <w:tcW w:w="359" w:type="pct"/>
            <w:vAlign w:val="center"/>
          </w:tcPr>
          <w:p w14:paraId="6BEB729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层次</w:t>
            </w:r>
          </w:p>
        </w:tc>
        <w:tc>
          <w:tcPr>
            <w:tcW w:w="765" w:type="pct"/>
            <w:vAlign w:val="center"/>
          </w:tcPr>
          <w:p w14:paraId="4298BD0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名称</w:t>
            </w:r>
          </w:p>
        </w:tc>
        <w:tc>
          <w:tcPr>
            <w:tcW w:w="2344" w:type="pct"/>
            <w:vAlign w:val="center"/>
          </w:tcPr>
          <w:p w14:paraId="7897FD1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相关内容和要求</w:t>
            </w:r>
          </w:p>
        </w:tc>
        <w:tc>
          <w:tcPr>
            <w:tcW w:w="1196" w:type="pct"/>
            <w:vAlign w:val="center"/>
          </w:tcPr>
          <w:p w14:paraId="79D670B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本规划</w:t>
            </w:r>
          </w:p>
        </w:tc>
        <w:tc>
          <w:tcPr>
            <w:tcW w:w="336" w:type="pct"/>
            <w:vAlign w:val="center"/>
          </w:tcPr>
          <w:p w14:paraId="32AF106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符合性</w:t>
            </w:r>
          </w:p>
        </w:tc>
      </w:tr>
      <w:tr w:rsidR="009C353B" w14:paraId="1F90C779" w14:textId="77777777">
        <w:trPr>
          <w:trHeight w:val="340"/>
          <w:jc w:val="center"/>
        </w:trPr>
        <w:tc>
          <w:tcPr>
            <w:tcW w:w="359" w:type="pct"/>
            <w:vMerge w:val="restart"/>
            <w:vAlign w:val="center"/>
          </w:tcPr>
          <w:p w14:paraId="15F74F1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国家、行业</w:t>
            </w:r>
          </w:p>
          <w:p w14:paraId="4BA18BA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层次</w:t>
            </w:r>
          </w:p>
        </w:tc>
        <w:tc>
          <w:tcPr>
            <w:tcW w:w="765" w:type="pct"/>
            <w:vAlign w:val="center"/>
          </w:tcPr>
          <w:p w14:paraId="0F7785C3"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中国国民经济和社会发展十</w:t>
            </w:r>
            <w:r>
              <w:rPr>
                <w:rFonts w:ascii="Times New Roman" w:hAnsi="Times New Roman" w:hint="eastAsia"/>
                <w:sz w:val="21"/>
                <w:szCs w:val="21"/>
              </w:rPr>
              <w:t>三</w:t>
            </w:r>
            <w:r>
              <w:rPr>
                <w:rFonts w:ascii="Times New Roman" w:hAnsi="Times New Roman"/>
                <w:sz w:val="21"/>
                <w:szCs w:val="21"/>
              </w:rPr>
              <w:t>个五年规划纲要</w:t>
            </w:r>
            <w:r>
              <w:rPr>
                <w:rFonts w:ascii="Times New Roman" w:hAnsi="Times New Roman" w:hint="eastAsia"/>
                <w:sz w:val="21"/>
                <w:szCs w:val="21"/>
              </w:rPr>
              <w:t>》</w:t>
            </w:r>
          </w:p>
        </w:tc>
        <w:tc>
          <w:tcPr>
            <w:tcW w:w="2344" w:type="pct"/>
            <w:vAlign w:val="center"/>
          </w:tcPr>
          <w:p w14:paraId="77533DD6" w14:textId="77777777" w:rsidR="009C353B" w:rsidRDefault="00000000">
            <w:pPr>
              <w:adjustRightInd w:val="0"/>
              <w:snapToGrid w:val="0"/>
              <w:spacing w:line="240" w:lineRule="atLeast"/>
              <w:ind w:rightChars="50" w:right="120"/>
              <w:rPr>
                <w:rFonts w:ascii="Times New Roman" w:hAnsi="Times New Roman"/>
                <w:sz w:val="21"/>
                <w:szCs w:val="21"/>
              </w:rPr>
            </w:pPr>
            <w:r>
              <w:rPr>
                <w:rFonts w:hint="eastAsia"/>
                <w:sz w:val="21"/>
                <w:szCs w:val="21"/>
                <w:shd w:val="clear" w:color="auto" w:fill="FFFFFF"/>
              </w:rPr>
              <w:t>优化建设国家综合能源基地，大力推进煤炭清洁高效利用。限制东部、控制中部和东北、优化西部地区煤炭资源开发，推进大型煤炭基地绿色化开采和改造，鼓励采用新技术发展煤电。</w:t>
            </w:r>
          </w:p>
        </w:tc>
        <w:tc>
          <w:tcPr>
            <w:tcW w:w="1196" w:type="pct"/>
            <w:vAlign w:val="center"/>
          </w:tcPr>
          <w:p w14:paraId="4F783D31"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横城</w:t>
            </w:r>
            <w:r>
              <w:rPr>
                <w:rFonts w:ascii="Times New Roman" w:hAnsi="Times New Roman"/>
                <w:sz w:val="21"/>
                <w:szCs w:val="21"/>
              </w:rPr>
              <w:t>矿区属于我国大型煤炭基地</w:t>
            </w:r>
            <w:r>
              <w:rPr>
                <w:rFonts w:ascii="Times New Roman" w:hAnsi="Times New Roman" w:hint="eastAsia"/>
                <w:sz w:val="21"/>
                <w:szCs w:val="21"/>
              </w:rPr>
              <w:t>宁</w:t>
            </w:r>
            <w:r>
              <w:rPr>
                <w:rFonts w:ascii="Times New Roman" w:hAnsi="Times New Roman"/>
                <w:sz w:val="21"/>
                <w:szCs w:val="21"/>
              </w:rPr>
              <w:t>东基地，</w:t>
            </w:r>
            <w:bookmarkStart w:id="82" w:name="_Hlk49169202"/>
            <w:r>
              <w:rPr>
                <w:rFonts w:ascii="Times New Roman" w:hAnsi="Times New Roman"/>
                <w:sz w:val="21"/>
                <w:szCs w:val="21"/>
              </w:rPr>
              <w:t>是我国</w:t>
            </w:r>
            <w:r>
              <w:rPr>
                <w:rFonts w:ascii="Times New Roman" w:hAnsi="Times New Roman" w:hint="eastAsia"/>
                <w:sz w:val="21"/>
                <w:szCs w:val="21"/>
              </w:rPr>
              <w:t>西部</w:t>
            </w:r>
            <w:r>
              <w:rPr>
                <w:rFonts w:ascii="Times New Roman" w:hAnsi="Times New Roman"/>
                <w:sz w:val="21"/>
                <w:szCs w:val="21"/>
              </w:rPr>
              <w:t>地区能源发展总体战略的重要组成部分</w:t>
            </w:r>
            <w:bookmarkEnd w:id="82"/>
            <w:r>
              <w:rPr>
                <w:rFonts w:ascii="Times New Roman" w:hAnsi="Times New Roman" w:hint="eastAsia"/>
                <w:sz w:val="21"/>
                <w:szCs w:val="21"/>
              </w:rPr>
              <w:t>。</w:t>
            </w:r>
          </w:p>
        </w:tc>
        <w:tc>
          <w:tcPr>
            <w:tcW w:w="336" w:type="pct"/>
            <w:vAlign w:val="center"/>
          </w:tcPr>
          <w:p w14:paraId="52D063C8"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4C78A17A" w14:textId="77777777">
        <w:trPr>
          <w:trHeight w:val="340"/>
          <w:jc w:val="center"/>
        </w:trPr>
        <w:tc>
          <w:tcPr>
            <w:tcW w:w="359" w:type="pct"/>
            <w:vMerge/>
            <w:vAlign w:val="center"/>
          </w:tcPr>
          <w:p w14:paraId="1041424E"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3299598B"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Ansi="Times New Roman"/>
                <w:sz w:val="21"/>
                <w:szCs w:val="21"/>
              </w:rPr>
              <w:t>《产业结构调整指导目录（</w:t>
            </w:r>
            <w:r>
              <w:rPr>
                <w:rFonts w:ascii="Times New Roman" w:hAnsi="Times New Roman"/>
                <w:sz w:val="21"/>
                <w:szCs w:val="21"/>
              </w:rPr>
              <w:t>2019</w:t>
            </w:r>
            <w:r>
              <w:rPr>
                <w:rFonts w:ascii="Times New Roman" w:hAnsi="Times New Roman"/>
                <w:sz w:val="21"/>
                <w:szCs w:val="21"/>
              </w:rPr>
              <w:t>年本）》</w:t>
            </w:r>
          </w:p>
        </w:tc>
        <w:tc>
          <w:tcPr>
            <w:tcW w:w="2344" w:type="pct"/>
            <w:vAlign w:val="center"/>
          </w:tcPr>
          <w:p w14:paraId="400CED9B"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横城矿区规划项目均不属于</w:t>
            </w:r>
            <w:r>
              <w:rPr>
                <w:rFonts w:ascii="Times New Roman" w:hAnsi="Times New Roman"/>
                <w:sz w:val="21"/>
                <w:szCs w:val="21"/>
              </w:rPr>
              <w:t>《产业结构调整指导目录（</w:t>
            </w:r>
            <w:r>
              <w:rPr>
                <w:rFonts w:ascii="Times New Roman" w:hAnsi="Times New Roman"/>
                <w:sz w:val="21"/>
                <w:szCs w:val="21"/>
              </w:rPr>
              <w:t>2019</w:t>
            </w:r>
            <w:r>
              <w:rPr>
                <w:rFonts w:ascii="Times New Roman" w:hAnsi="Times New Roman"/>
                <w:sz w:val="21"/>
                <w:szCs w:val="21"/>
              </w:rPr>
              <w:t>年本）》</w:t>
            </w:r>
            <w:r>
              <w:rPr>
                <w:rFonts w:ascii="Times New Roman" w:hAnsi="Times New Roman" w:hint="eastAsia"/>
                <w:sz w:val="21"/>
                <w:szCs w:val="21"/>
              </w:rPr>
              <w:t>的限制类和禁止类项目。</w:t>
            </w:r>
          </w:p>
        </w:tc>
        <w:tc>
          <w:tcPr>
            <w:tcW w:w="1196" w:type="pct"/>
            <w:vAlign w:val="center"/>
          </w:tcPr>
          <w:p w14:paraId="4B04316B"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横城矿区规划项目为煤矿及选煤厂，均不属于</w:t>
            </w:r>
            <w:r>
              <w:rPr>
                <w:rFonts w:ascii="Times New Roman" w:hAnsi="Times New Roman"/>
                <w:sz w:val="21"/>
                <w:szCs w:val="21"/>
              </w:rPr>
              <w:t>《产业结构调整指导目录（</w:t>
            </w:r>
            <w:r>
              <w:rPr>
                <w:rFonts w:ascii="Times New Roman" w:hAnsi="Times New Roman"/>
                <w:sz w:val="21"/>
                <w:szCs w:val="21"/>
              </w:rPr>
              <w:t>2019</w:t>
            </w:r>
            <w:r>
              <w:rPr>
                <w:rFonts w:ascii="Times New Roman" w:hAnsi="Times New Roman"/>
                <w:sz w:val="21"/>
                <w:szCs w:val="21"/>
              </w:rPr>
              <w:t>年本）》</w:t>
            </w:r>
            <w:r>
              <w:rPr>
                <w:rFonts w:ascii="Times New Roman" w:hAnsi="Times New Roman" w:hint="eastAsia"/>
                <w:sz w:val="21"/>
                <w:szCs w:val="21"/>
              </w:rPr>
              <w:t>的限制类和禁止类项目。</w:t>
            </w:r>
          </w:p>
        </w:tc>
        <w:tc>
          <w:tcPr>
            <w:tcW w:w="336" w:type="pct"/>
            <w:vAlign w:val="center"/>
          </w:tcPr>
          <w:p w14:paraId="7AE8B51A"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6B74E99C" w14:textId="77777777">
        <w:trPr>
          <w:trHeight w:val="340"/>
          <w:jc w:val="center"/>
        </w:trPr>
        <w:tc>
          <w:tcPr>
            <w:tcW w:w="359" w:type="pct"/>
            <w:vMerge/>
            <w:vAlign w:val="center"/>
          </w:tcPr>
          <w:p w14:paraId="4AD7A90D"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4E7D287F"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Ansi="Times New Roman"/>
                <w:sz w:val="21"/>
                <w:szCs w:val="21"/>
              </w:rPr>
              <w:t>《全国主体功能区规划》（国发〔</w:t>
            </w:r>
            <w:r>
              <w:rPr>
                <w:rFonts w:ascii="Times New Roman" w:hAnsi="Times New Roman"/>
                <w:sz w:val="21"/>
                <w:szCs w:val="21"/>
              </w:rPr>
              <w:t>2010</w:t>
            </w:r>
            <w:r>
              <w:rPr>
                <w:rFonts w:ascii="Times New Roman" w:hAnsi="Times New Roman"/>
                <w:sz w:val="21"/>
                <w:szCs w:val="21"/>
              </w:rPr>
              <w:t>〕</w:t>
            </w:r>
            <w:r>
              <w:rPr>
                <w:rFonts w:ascii="Times New Roman" w:hAnsi="Times New Roman"/>
                <w:sz w:val="21"/>
                <w:szCs w:val="21"/>
              </w:rPr>
              <w:t>46</w:t>
            </w:r>
            <w:r>
              <w:rPr>
                <w:rFonts w:ascii="Times New Roman" w:hAnsi="Times New Roman"/>
                <w:sz w:val="21"/>
                <w:szCs w:val="21"/>
              </w:rPr>
              <w:t>号）</w:t>
            </w:r>
          </w:p>
        </w:tc>
        <w:tc>
          <w:tcPr>
            <w:tcW w:w="2344" w:type="pct"/>
            <w:vAlign w:val="center"/>
          </w:tcPr>
          <w:p w14:paraId="328762A2" w14:textId="77777777" w:rsidR="009C353B" w:rsidRDefault="00000000">
            <w:pPr>
              <w:adjustRightInd w:val="0"/>
              <w:snapToGrid w:val="0"/>
              <w:spacing w:line="240" w:lineRule="atLeast"/>
              <w:ind w:rightChars="50" w:right="120"/>
              <w:rPr>
                <w:rFonts w:ascii="Times New Roman" w:hint="eastAsia"/>
                <w:kern w:val="0"/>
                <w:sz w:val="21"/>
                <w:szCs w:val="21"/>
              </w:rPr>
            </w:pPr>
            <w:r>
              <w:rPr>
                <w:rFonts w:ascii="Times New Roman" w:hint="eastAsia"/>
                <w:kern w:val="0"/>
                <w:sz w:val="21"/>
                <w:szCs w:val="21"/>
              </w:rPr>
              <w:t>规划区位于</w:t>
            </w:r>
            <w:r>
              <w:rPr>
                <w:rFonts w:ascii="Times New Roman"/>
                <w:kern w:val="0"/>
                <w:sz w:val="21"/>
                <w:szCs w:val="21"/>
              </w:rPr>
              <w:t>《全国主体功能区规划》</w:t>
            </w:r>
            <w:r>
              <w:rPr>
                <w:rFonts w:ascii="Times New Roman" w:hint="eastAsia"/>
                <w:kern w:val="0"/>
                <w:sz w:val="21"/>
                <w:szCs w:val="21"/>
              </w:rPr>
              <w:t>定位的宁夏沿黄经济区，要求：加强宁东能源化工基地建设，建成全国重要的大型煤炭基地、“西电东送”火电基地、煤化工产业基地和循环经济示范区。</w:t>
            </w:r>
          </w:p>
        </w:tc>
        <w:tc>
          <w:tcPr>
            <w:tcW w:w="1196" w:type="pct"/>
            <w:vAlign w:val="center"/>
          </w:tcPr>
          <w:p w14:paraId="0EDFBA2B"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bCs/>
                <w:sz w:val="21"/>
                <w:szCs w:val="21"/>
              </w:rPr>
              <w:t>横城矿区位于全国主体功能区划中宁夏沿黄经济区，</w:t>
            </w:r>
            <w:r>
              <w:rPr>
                <w:rFonts w:ascii="Times New Roman" w:hAnsi="Times New Roman"/>
                <w:sz w:val="21"/>
                <w:szCs w:val="21"/>
              </w:rPr>
              <w:t>矿区建设符合经济区建设要求</w:t>
            </w:r>
            <w:r>
              <w:rPr>
                <w:rFonts w:ascii="Times New Roman" w:hAnsi="Times New Roman" w:hint="eastAsia"/>
                <w:sz w:val="21"/>
                <w:szCs w:val="21"/>
              </w:rPr>
              <w:t>。</w:t>
            </w:r>
          </w:p>
        </w:tc>
        <w:tc>
          <w:tcPr>
            <w:tcW w:w="336" w:type="pct"/>
            <w:vAlign w:val="center"/>
          </w:tcPr>
          <w:p w14:paraId="37F5CAE1"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0F952F0E" w14:textId="77777777">
        <w:trPr>
          <w:trHeight w:val="340"/>
          <w:jc w:val="center"/>
        </w:trPr>
        <w:tc>
          <w:tcPr>
            <w:tcW w:w="359" w:type="pct"/>
            <w:vMerge/>
            <w:vAlign w:val="center"/>
          </w:tcPr>
          <w:p w14:paraId="7F32F7A2"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61530CB1"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Ansi="Times New Roman"/>
                <w:sz w:val="21"/>
                <w:szCs w:val="21"/>
              </w:rPr>
              <w:t>《全国生态功能区划》（修编版），（</w:t>
            </w:r>
            <w:r>
              <w:rPr>
                <w:rFonts w:ascii="Times New Roman" w:hAnsi="Times New Roman"/>
                <w:sz w:val="21"/>
                <w:szCs w:val="21"/>
              </w:rPr>
              <w:t>2015.11</w:t>
            </w:r>
            <w:r>
              <w:rPr>
                <w:rFonts w:ascii="Times New Roman" w:hAnsi="Times New Roman"/>
                <w:sz w:val="21"/>
                <w:szCs w:val="21"/>
              </w:rPr>
              <w:t>）</w:t>
            </w:r>
          </w:p>
        </w:tc>
        <w:tc>
          <w:tcPr>
            <w:tcW w:w="2344" w:type="pct"/>
            <w:vAlign w:val="center"/>
          </w:tcPr>
          <w:p w14:paraId="4A1AD278" w14:textId="77777777" w:rsidR="009C353B" w:rsidRDefault="00000000">
            <w:pPr>
              <w:adjustRightInd w:val="0"/>
              <w:snapToGrid w:val="0"/>
              <w:spacing w:line="240" w:lineRule="atLeast"/>
              <w:ind w:rightChars="50" w:right="120"/>
              <w:rPr>
                <w:rFonts w:ascii="Times New Roman" w:hint="eastAsia"/>
                <w:kern w:val="0"/>
                <w:sz w:val="21"/>
                <w:szCs w:val="21"/>
              </w:rPr>
            </w:pPr>
            <w:r>
              <w:rPr>
                <w:rFonts w:ascii="Times New Roman"/>
                <w:kern w:val="0"/>
                <w:sz w:val="21"/>
                <w:szCs w:val="21"/>
              </w:rPr>
              <w:t>规划区属于</w:t>
            </w:r>
            <w:r>
              <w:rPr>
                <w:rFonts w:ascii="Times New Roman" w:hint="eastAsia"/>
                <w:kern w:val="0"/>
                <w:sz w:val="21"/>
                <w:szCs w:val="21"/>
              </w:rPr>
              <w:t>全国重要生态功能区，横城矿区</w:t>
            </w:r>
            <w:r>
              <w:rPr>
                <w:rFonts w:ascii="Times New Roman"/>
                <w:kern w:val="0"/>
                <w:sz w:val="21"/>
                <w:szCs w:val="21"/>
              </w:rPr>
              <w:t>位于该区划“</w:t>
            </w:r>
            <w:r>
              <w:rPr>
                <w:rFonts w:ascii="Times New Roman"/>
                <w:kern w:val="0"/>
                <w:sz w:val="21"/>
                <w:szCs w:val="21"/>
              </w:rPr>
              <w:t>I-04</w:t>
            </w:r>
            <w:r>
              <w:rPr>
                <w:rFonts w:ascii="Times New Roman" w:hint="eastAsia"/>
                <w:kern w:val="0"/>
                <w:sz w:val="21"/>
                <w:szCs w:val="21"/>
              </w:rPr>
              <w:t>防风固沙</w:t>
            </w:r>
            <w:r>
              <w:rPr>
                <w:rFonts w:ascii="Times New Roman"/>
                <w:kern w:val="0"/>
                <w:sz w:val="21"/>
                <w:szCs w:val="21"/>
              </w:rPr>
              <w:t>功能区”内的“</w:t>
            </w:r>
            <w:r>
              <w:rPr>
                <w:rFonts w:ascii="Times New Roman"/>
                <w:kern w:val="0"/>
                <w:sz w:val="21"/>
                <w:szCs w:val="21"/>
              </w:rPr>
              <w:t>I-04-10</w:t>
            </w:r>
            <w:r>
              <w:rPr>
                <w:rFonts w:ascii="Times New Roman" w:hint="eastAsia"/>
                <w:kern w:val="0"/>
                <w:sz w:val="21"/>
                <w:szCs w:val="21"/>
              </w:rPr>
              <w:t>鄂尔多斯高原西南部防风固沙功能区</w:t>
            </w:r>
            <w:r>
              <w:rPr>
                <w:rFonts w:ascii="Times New Roman"/>
                <w:kern w:val="0"/>
                <w:sz w:val="21"/>
                <w:szCs w:val="21"/>
              </w:rPr>
              <w:t>”。</w:t>
            </w:r>
            <w:r>
              <w:rPr>
                <w:rFonts w:ascii="Times New Roman"/>
                <w:kern w:val="0"/>
                <w:sz w:val="21"/>
                <w:szCs w:val="21"/>
              </w:rPr>
              <w:t xml:space="preserve"> </w:t>
            </w:r>
          </w:p>
          <w:p w14:paraId="02091C37" w14:textId="77777777" w:rsidR="009C353B" w:rsidRDefault="00000000">
            <w:pPr>
              <w:adjustRightInd w:val="0"/>
              <w:snapToGrid w:val="0"/>
              <w:spacing w:line="240" w:lineRule="atLeast"/>
              <w:ind w:rightChars="50" w:right="120"/>
              <w:rPr>
                <w:rFonts w:ascii="Times New Roman" w:hint="eastAsia"/>
                <w:kern w:val="0"/>
                <w:sz w:val="21"/>
                <w:szCs w:val="21"/>
              </w:rPr>
            </w:pPr>
            <w:r>
              <w:rPr>
                <w:rFonts w:ascii="Times New Roman"/>
                <w:kern w:val="0"/>
                <w:sz w:val="21"/>
                <w:szCs w:val="21"/>
              </w:rPr>
              <w:t>该区的主要生态问题是：人类对草地资源的过度</w:t>
            </w:r>
            <w:r>
              <w:rPr>
                <w:rFonts w:ascii="Times New Roman" w:hint="eastAsia"/>
                <w:kern w:val="0"/>
                <w:sz w:val="21"/>
                <w:szCs w:val="21"/>
              </w:rPr>
              <w:t>利</w:t>
            </w:r>
            <w:r>
              <w:rPr>
                <w:rFonts w:ascii="Times New Roman"/>
                <w:kern w:val="0"/>
                <w:sz w:val="21"/>
                <w:szCs w:val="21"/>
              </w:rPr>
              <w:t>用，矿产资源的开发导致草地生态系统的严重退化，草地生物量和生产力下降、</w:t>
            </w:r>
            <w:r>
              <w:rPr>
                <w:rFonts w:ascii="Times New Roman" w:hint="eastAsia"/>
                <w:kern w:val="0"/>
                <w:sz w:val="21"/>
                <w:szCs w:val="21"/>
              </w:rPr>
              <w:t>土</w:t>
            </w:r>
            <w:r>
              <w:rPr>
                <w:rFonts w:ascii="Times New Roman"/>
                <w:kern w:val="0"/>
                <w:sz w:val="21"/>
                <w:szCs w:val="21"/>
              </w:rPr>
              <w:t>地沙化</w:t>
            </w:r>
            <w:r>
              <w:rPr>
                <w:rFonts w:ascii="Times New Roman" w:hint="eastAsia"/>
                <w:kern w:val="0"/>
                <w:sz w:val="21"/>
                <w:szCs w:val="21"/>
              </w:rPr>
              <w:t>程度</w:t>
            </w:r>
            <w:r>
              <w:rPr>
                <w:rFonts w:ascii="Times New Roman"/>
                <w:kern w:val="0"/>
                <w:sz w:val="21"/>
                <w:szCs w:val="21"/>
              </w:rPr>
              <w:t>加重，并对当地乃至周边地区居民生产生活带来危害。</w:t>
            </w:r>
          </w:p>
        </w:tc>
        <w:tc>
          <w:tcPr>
            <w:tcW w:w="1196" w:type="pct"/>
            <w:vAlign w:val="center"/>
          </w:tcPr>
          <w:p w14:paraId="328C1C8F"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bCs/>
                <w:sz w:val="21"/>
                <w:szCs w:val="21"/>
              </w:rPr>
              <w:t>规划</w:t>
            </w:r>
            <w:r>
              <w:rPr>
                <w:rFonts w:ascii="Times New Roman" w:hAnsi="Times New Roman" w:hint="eastAsia"/>
                <w:bCs/>
                <w:sz w:val="21"/>
                <w:szCs w:val="21"/>
              </w:rPr>
              <w:t>未提出</w:t>
            </w:r>
            <w:r>
              <w:rPr>
                <w:rFonts w:ascii="Times New Roman" w:hAnsi="Times New Roman"/>
                <w:bCs/>
                <w:sz w:val="21"/>
                <w:szCs w:val="21"/>
              </w:rPr>
              <w:t>具体生态</w:t>
            </w:r>
            <w:r>
              <w:rPr>
                <w:rFonts w:ascii="Times New Roman" w:hAnsi="Times New Roman" w:hint="eastAsia"/>
                <w:bCs/>
                <w:sz w:val="21"/>
                <w:szCs w:val="21"/>
              </w:rPr>
              <w:t>保护措施</w:t>
            </w:r>
            <w:r>
              <w:rPr>
                <w:rFonts w:ascii="Times New Roman" w:hAnsi="Times New Roman"/>
                <w:bCs/>
                <w:sz w:val="21"/>
                <w:szCs w:val="21"/>
              </w:rPr>
              <w:t>，本环评将根据该生态功能区的特点</w:t>
            </w:r>
            <w:r>
              <w:rPr>
                <w:rFonts w:ascii="Times New Roman" w:hAnsi="Times New Roman" w:hint="eastAsia"/>
                <w:bCs/>
                <w:sz w:val="21"/>
                <w:szCs w:val="21"/>
              </w:rPr>
              <w:t>提出保护</w:t>
            </w:r>
            <w:r>
              <w:rPr>
                <w:rFonts w:ascii="Times New Roman" w:hAnsi="Times New Roman"/>
                <w:bCs/>
                <w:sz w:val="21"/>
                <w:szCs w:val="21"/>
              </w:rPr>
              <w:t>措施。</w:t>
            </w:r>
          </w:p>
        </w:tc>
        <w:tc>
          <w:tcPr>
            <w:tcW w:w="336" w:type="pct"/>
            <w:vAlign w:val="center"/>
          </w:tcPr>
          <w:p w14:paraId="443064BB"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4C4BF87F" w14:textId="77777777">
        <w:trPr>
          <w:trHeight w:val="340"/>
          <w:jc w:val="center"/>
        </w:trPr>
        <w:tc>
          <w:tcPr>
            <w:tcW w:w="359" w:type="pct"/>
            <w:vMerge/>
            <w:vAlign w:val="center"/>
          </w:tcPr>
          <w:p w14:paraId="693AECBF"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1499523A"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Ansi="Times New Roman"/>
                <w:sz w:val="21"/>
                <w:szCs w:val="21"/>
              </w:rPr>
              <w:t>《煤炭产业政策》</w:t>
            </w:r>
          </w:p>
        </w:tc>
        <w:tc>
          <w:tcPr>
            <w:tcW w:w="2344" w:type="pct"/>
            <w:vAlign w:val="center"/>
          </w:tcPr>
          <w:p w14:paraId="58F431B1" w14:textId="77777777" w:rsidR="009C353B" w:rsidRDefault="00000000">
            <w:pPr>
              <w:adjustRightInd w:val="0"/>
              <w:snapToGrid w:val="0"/>
              <w:spacing w:line="240" w:lineRule="atLeast"/>
              <w:ind w:rightChars="50" w:right="120"/>
              <w:rPr>
                <w:rFonts w:ascii="Times New Roman" w:hint="eastAsia"/>
                <w:kern w:val="0"/>
                <w:sz w:val="21"/>
                <w:szCs w:val="21"/>
              </w:rPr>
            </w:pPr>
            <w:r>
              <w:rPr>
                <w:rFonts w:ascii="Times New Roman"/>
                <w:kern w:val="0"/>
                <w:sz w:val="21"/>
                <w:szCs w:val="21"/>
              </w:rPr>
              <w:t>加快煤炭资源整合，形成以合理开发、强化节约、循环利用为重点，生产安全、环境友好、协调发展的煤炭资源开发利用体系</w:t>
            </w:r>
            <w:r>
              <w:rPr>
                <w:rFonts w:ascii="Times New Roman" w:hint="eastAsia"/>
                <w:kern w:val="0"/>
                <w:sz w:val="21"/>
                <w:szCs w:val="21"/>
              </w:rPr>
              <w:t>。</w:t>
            </w:r>
          </w:p>
          <w:p w14:paraId="2B233D1A"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sz w:val="21"/>
                <w:szCs w:val="21"/>
              </w:rPr>
              <w:t>新建大中型煤矿应当配套建设相应规模选煤厂</w:t>
            </w:r>
            <w:r>
              <w:rPr>
                <w:rFonts w:ascii="Times New Roman" w:hint="eastAsia"/>
                <w:sz w:val="21"/>
                <w:szCs w:val="21"/>
              </w:rPr>
              <w:t>；</w:t>
            </w:r>
            <w:r>
              <w:rPr>
                <w:rFonts w:ascii="Times New Roman"/>
                <w:kern w:val="0"/>
                <w:sz w:val="21"/>
                <w:szCs w:val="21"/>
              </w:rPr>
              <w:t>新建、改扩建矿井规模不低于</w:t>
            </w:r>
            <w:r>
              <w:rPr>
                <w:rFonts w:ascii="Times New Roman" w:hAnsi="Times New Roman"/>
                <w:kern w:val="0"/>
                <w:sz w:val="21"/>
                <w:szCs w:val="21"/>
              </w:rPr>
              <w:t>30</w:t>
            </w:r>
            <w:r>
              <w:rPr>
                <w:rFonts w:ascii="Times New Roman"/>
                <w:kern w:val="0"/>
                <w:sz w:val="21"/>
                <w:szCs w:val="21"/>
              </w:rPr>
              <w:t>万</w:t>
            </w:r>
            <w:r>
              <w:rPr>
                <w:rFonts w:ascii="Times New Roman" w:hAnsi="Times New Roman"/>
                <w:kern w:val="0"/>
                <w:sz w:val="21"/>
                <w:szCs w:val="21"/>
              </w:rPr>
              <w:t>t/a</w:t>
            </w:r>
            <w:r>
              <w:rPr>
                <w:rFonts w:ascii="Times New Roman" w:hAnsi="Times New Roman" w:hint="eastAsia"/>
                <w:kern w:val="0"/>
                <w:sz w:val="21"/>
                <w:szCs w:val="21"/>
              </w:rPr>
              <w:t>；</w:t>
            </w:r>
            <w:r>
              <w:rPr>
                <w:rFonts w:ascii="Times New Roman"/>
                <w:sz w:val="21"/>
                <w:szCs w:val="21"/>
              </w:rPr>
              <w:t>鼓励企业利用煤矸石、低热值煤发电、供热，利用煤矸石生产建材产品、井下充填、复垦造田和筑路等，综合利用矿井水，发展循环经济</w:t>
            </w:r>
            <w:r>
              <w:rPr>
                <w:rFonts w:ascii="Times New Roman" w:hint="eastAsia"/>
                <w:sz w:val="21"/>
                <w:szCs w:val="21"/>
              </w:rPr>
              <w:t>。</w:t>
            </w:r>
          </w:p>
        </w:tc>
        <w:tc>
          <w:tcPr>
            <w:tcW w:w="1196" w:type="pct"/>
            <w:vAlign w:val="center"/>
          </w:tcPr>
          <w:p w14:paraId="01EBD435" w14:textId="77777777" w:rsidR="009C353B" w:rsidRDefault="00000000">
            <w:pPr>
              <w:adjustRightInd w:val="0"/>
              <w:snapToGrid w:val="0"/>
              <w:spacing w:line="240" w:lineRule="atLeast"/>
              <w:rPr>
                <w:rFonts w:ascii="Times New Roman" w:hAnsi="Times New Roman"/>
                <w:sz w:val="21"/>
                <w:szCs w:val="21"/>
              </w:rPr>
            </w:pPr>
            <w:r>
              <w:rPr>
                <w:rFonts w:ascii="Times New Roman" w:hint="eastAsia"/>
                <w:sz w:val="21"/>
                <w:szCs w:val="21"/>
              </w:rPr>
              <w:t>矿区</w:t>
            </w:r>
            <w:r>
              <w:rPr>
                <w:rFonts w:ascii="Times New Roman"/>
                <w:sz w:val="21"/>
                <w:szCs w:val="21"/>
              </w:rPr>
              <w:t>内煤矿均配套建设相应选煤厂。新建</w:t>
            </w:r>
            <w:r>
              <w:rPr>
                <w:rFonts w:ascii="Times New Roman" w:hint="eastAsia"/>
                <w:sz w:val="21"/>
                <w:szCs w:val="21"/>
              </w:rPr>
              <w:t>丁家梁</w:t>
            </w:r>
            <w:r>
              <w:rPr>
                <w:rFonts w:ascii="Times New Roman"/>
                <w:sz w:val="21"/>
                <w:szCs w:val="21"/>
              </w:rPr>
              <w:t>矿井规模</w:t>
            </w:r>
            <w:r>
              <w:rPr>
                <w:rFonts w:ascii="Times New Roman" w:hAnsi="Times New Roman" w:hint="eastAsia"/>
                <w:sz w:val="21"/>
                <w:szCs w:val="21"/>
              </w:rPr>
              <w:t>90</w:t>
            </w:r>
            <w:r>
              <w:rPr>
                <w:rFonts w:ascii="Times New Roman"/>
                <w:sz w:val="21"/>
                <w:szCs w:val="21"/>
              </w:rPr>
              <w:t>万吨／年。规划方案提出</w:t>
            </w:r>
            <w:r>
              <w:rPr>
                <w:rFonts w:ascii="Times New Roman" w:hint="eastAsia"/>
                <w:sz w:val="21"/>
                <w:szCs w:val="21"/>
              </w:rPr>
              <w:t>供给矸石电厂等综合利用措施；规划提出</w:t>
            </w:r>
            <w:r>
              <w:rPr>
                <w:rFonts w:ascii="Times New Roman"/>
                <w:sz w:val="21"/>
                <w:szCs w:val="21"/>
              </w:rPr>
              <w:t>矿井水</w:t>
            </w:r>
            <w:r>
              <w:rPr>
                <w:rFonts w:ascii="Times New Roman" w:hint="eastAsia"/>
                <w:sz w:val="21"/>
                <w:szCs w:val="21"/>
              </w:rPr>
              <w:t>处理后回用于生产补充用水综合利用措施</w:t>
            </w:r>
            <w:r>
              <w:rPr>
                <w:rFonts w:ascii="Times New Roman"/>
                <w:sz w:val="21"/>
                <w:szCs w:val="21"/>
              </w:rPr>
              <w:t>。</w:t>
            </w:r>
          </w:p>
        </w:tc>
        <w:tc>
          <w:tcPr>
            <w:tcW w:w="336" w:type="pct"/>
            <w:vAlign w:val="center"/>
          </w:tcPr>
          <w:p w14:paraId="4F38ACDA"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19281CDF" w14:textId="77777777">
        <w:trPr>
          <w:trHeight w:val="340"/>
          <w:jc w:val="center"/>
        </w:trPr>
        <w:tc>
          <w:tcPr>
            <w:tcW w:w="359" w:type="pct"/>
            <w:vMerge/>
            <w:vAlign w:val="center"/>
          </w:tcPr>
          <w:p w14:paraId="1988EDB1"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351352B4"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Ansi="Times New Roman" w:hint="eastAsia"/>
                <w:sz w:val="21"/>
                <w:szCs w:val="21"/>
              </w:rPr>
              <w:t>《煤炭工业发展“十三五”规划》</w:t>
            </w:r>
          </w:p>
        </w:tc>
        <w:tc>
          <w:tcPr>
            <w:tcW w:w="2344" w:type="pct"/>
            <w:vAlign w:val="center"/>
          </w:tcPr>
          <w:p w14:paraId="41588E18"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int="eastAsia"/>
                <w:kern w:val="0"/>
                <w:sz w:val="21"/>
                <w:szCs w:val="21"/>
              </w:rPr>
              <w:t>全国煤炭开发总体布局是压缩东部、限制中部和东北、优化西部</w:t>
            </w:r>
            <w:r>
              <w:rPr>
                <w:rFonts w:ascii="Times New Roman"/>
                <w:kern w:val="0"/>
                <w:sz w:val="21"/>
                <w:szCs w:val="21"/>
              </w:rPr>
              <w:t>……，</w:t>
            </w:r>
            <w:r>
              <w:rPr>
                <w:rFonts w:ascii="Times New Roman" w:hint="eastAsia"/>
                <w:kern w:val="0"/>
                <w:sz w:val="21"/>
                <w:szCs w:val="21"/>
              </w:rPr>
              <w:t>西部地区资源丰富，开采条件好，生态环境脆弱，加大资源开发与生态环境保护统筹协调力度，结合煤电和煤炭深加工项目用煤需要，配套建设一体化煤矿。宁东基地开发强度大，控制煤炭生产规模，以就地转化为主，重点满足宁东</w:t>
            </w:r>
            <w:r>
              <w:rPr>
                <w:rFonts w:ascii="Times New Roman" w:hint="eastAsia"/>
                <w:kern w:val="0"/>
                <w:sz w:val="21"/>
                <w:szCs w:val="21"/>
              </w:rPr>
              <w:t>-</w:t>
            </w:r>
            <w:r>
              <w:rPr>
                <w:rFonts w:ascii="Times New Roman" w:hint="eastAsia"/>
                <w:kern w:val="0"/>
                <w:sz w:val="21"/>
                <w:szCs w:val="21"/>
              </w:rPr>
              <w:t>浙江输电通道和宁东煤制油等新增用煤需求。</w:t>
            </w:r>
          </w:p>
        </w:tc>
        <w:tc>
          <w:tcPr>
            <w:tcW w:w="1196" w:type="pct"/>
            <w:vAlign w:val="center"/>
          </w:tcPr>
          <w:p w14:paraId="7D500C3A"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sz w:val="21"/>
                <w:szCs w:val="21"/>
              </w:rPr>
              <w:t>矿区</w:t>
            </w:r>
            <w:r>
              <w:rPr>
                <w:rFonts w:ascii="Times New Roman" w:hAnsi="Times New Roman" w:hint="eastAsia"/>
                <w:sz w:val="21"/>
                <w:szCs w:val="21"/>
              </w:rPr>
              <w:t>各矿井煤炭产品主要供给宁东煤化工园区，以就地转化为主。</w:t>
            </w:r>
          </w:p>
        </w:tc>
        <w:tc>
          <w:tcPr>
            <w:tcW w:w="336" w:type="pct"/>
            <w:vAlign w:val="center"/>
          </w:tcPr>
          <w:p w14:paraId="02F2014A"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270ED0E4" w14:textId="77777777">
        <w:trPr>
          <w:trHeight w:val="340"/>
          <w:jc w:val="center"/>
        </w:trPr>
        <w:tc>
          <w:tcPr>
            <w:tcW w:w="359" w:type="pct"/>
            <w:vMerge/>
            <w:vAlign w:val="center"/>
          </w:tcPr>
          <w:p w14:paraId="32E85834"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168C8E6C"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Ansi="Times New Roman"/>
                <w:sz w:val="21"/>
                <w:szCs w:val="21"/>
              </w:rPr>
              <w:t>《国家大型煤炭基地</w:t>
            </w:r>
            <w:r>
              <w:rPr>
                <w:rFonts w:ascii="Times New Roman" w:hAnsi="Times New Roman" w:hint="eastAsia"/>
                <w:sz w:val="21"/>
                <w:szCs w:val="21"/>
              </w:rPr>
              <w:t>宁</w:t>
            </w:r>
            <w:r>
              <w:rPr>
                <w:rFonts w:ascii="Times New Roman" w:hAnsi="Times New Roman"/>
                <w:sz w:val="21"/>
                <w:szCs w:val="21"/>
              </w:rPr>
              <w:t>东基地总体规划》</w:t>
            </w:r>
          </w:p>
        </w:tc>
        <w:tc>
          <w:tcPr>
            <w:tcW w:w="2344" w:type="pct"/>
            <w:vAlign w:val="center"/>
          </w:tcPr>
          <w:p w14:paraId="29407C4F"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宁夏以宁东煤田为基础，建设宁东能源重化工基地，宁东基地同时担负向西北、华东、中南地区供给煤炭的功能</w:t>
            </w:r>
          </w:p>
        </w:tc>
        <w:tc>
          <w:tcPr>
            <w:tcW w:w="1196" w:type="pct"/>
            <w:vAlign w:val="center"/>
          </w:tcPr>
          <w:p w14:paraId="29EDA995"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sz w:val="21"/>
                <w:szCs w:val="21"/>
              </w:rPr>
              <w:t>矿区规划</w:t>
            </w:r>
            <w:r>
              <w:rPr>
                <w:rFonts w:ascii="Times New Roman" w:hAnsi="Times New Roman" w:hint="eastAsia"/>
                <w:sz w:val="21"/>
                <w:szCs w:val="21"/>
              </w:rPr>
              <w:t>煤炭开采规模</w:t>
            </w:r>
            <w:r>
              <w:rPr>
                <w:rFonts w:ascii="Times New Roman" w:hAnsi="Times New Roman"/>
                <w:sz w:val="21"/>
                <w:szCs w:val="21"/>
              </w:rPr>
              <w:t>9.20Mt/a</w:t>
            </w:r>
            <w:r>
              <w:rPr>
                <w:rFonts w:ascii="Times New Roman" w:hAnsi="Times New Roman" w:hint="eastAsia"/>
                <w:sz w:val="21"/>
                <w:szCs w:val="21"/>
              </w:rPr>
              <w:t>，</w:t>
            </w:r>
            <w:r>
              <w:rPr>
                <w:rFonts w:ascii="Times New Roman" w:hAnsi="Times New Roman"/>
                <w:sz w:val="21"/>
                <w:szCs w:val="21"/>
              </w:rPr>
              <w:t>产业定位</w:t>
            </w:r>
            <w:r>
              <w:rPr>
                <w:rFonts w:ascii="Times New Roman" w:hAnsi="Times New Roman" w:hint="eastAsia"/>
                <w:sz w:val="21"/>
                <w:szCs w:val="21"/>
              </w:rPr>
              <w:t>为向宁东煤化工园区供给生产用煤，</w:t>
            </w:r>
            <w:r>
              <w:rPr>
                <w:rFonts w:ascii="Times New Roman" w:hAnsi="Times New Roman"/>
                <w:sz w:val="21"/>
                <w:szCs w:val="21"/>
              </w:rPr>
              <w:t>与国家大型煤炭基地建设规划的要求是一致的。</w:t>
            </w:r>
          </w:p>
        </w:tc>
        <w:tc>
          <w:tcPr>
            <w:tcW w:w="336" w:type="pct"/>
            <w:vAlign w:val="center"/>
          </w:tcPr>
          <w:p w14:paraId="1D8F8C87"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395F2061" w14:textId="77777777">
        <w:trPr>
          <w:trHeight w:val="340"/>
          <w:jc w:val="center"/>
        </w:trPr>
        <w:tc>
          <w:tcPr>
            <w:tcW w:w="359" w:type="pct"/>
            <w:vMerge/>
            <w:vAlign w:val="center"/>
          </w:tcPr>
          <w:p w14:paraId="7E7076FE"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3B91E902"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Ansi="Times New Roman"/>
                <w:sz w:val="21"/>
                <w:szCs w:val="21"/>
              </w:rPr>
              <w:t>《关于促进黄河中上游能源化工区重点产业与环境保护协调发展的指导意见》</w:t>
            </w:r>
            <w:r>
              <w:rPr>
                <w:rFonts w:ascii="Times New Roman" w:hAnsi="Times New Roman" w:hint="eastAsia"/>
                <w:sz w:val="21"/>
                <w:szCs w:val="21"/>
              </w:rPr>
              <w:t>环函〔</w:t>
            </w:r>
            <w:r>
              <w:rPr>
                <w:rFonts w:ascii="Times New Roman" w:hAnsi="Times New Roman"/>
                <w:sz w:val="21"/>
                <w:szCs w:val="21"/>
              </w:rPr>
              <w:t>2011</w:t>
            </w:r>
            <w:r>
              <w:rPr>
                <w:rFonts w:ascii="Times New Roman" w:hAnsi="Times New Roman"/>
                <w:sz w:val="21"/>
                <w:szCs w:val="21"/>
              </w:rPr>
              <w:t>〕</w:t>
            </w:r>
            <w:r>
              <w:rPr>
                <w:rFonts w:ascii="Times New Roman" w:hAnsi="Times New Roman"/>
                <w:sz w:val="21"/>
                <w:szCs w:val="21"/>
              </w:rPr>
              <w:t>182</w:t>
            </w:r>
            <w:r>
              <w:rPr>
                <w:rFonts w:ascii="Times New Roman" w:hAnsi="Times New Roman"/>
                <w:sz w:val="21"/>
                <w:szCs w:val="21"/>
              </w:rPr>
              <w:t>号</w:t>
            </w:r>
          </w:p>
        </w:tc>
        <w:tc>
          <w:tcPr>
            <w:tcW w:w="2344" w:type="pct"/>
            <w:vAlign w:val="center"/>
          </w:tcPr>
          <w:p w14:paraId="67A4B995"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sz w:val="21"/>
                <w:szCs w:val="21"/>
              </w:rPr>
              <w:t>优化重点产业布局。河套内新兴产业区</w:t>
            </w:r>
            <w:r>
              <w:rPr>
                <w:rFonts w:ascii="Times New Roman" w:hAnsi="Times New Roman"/>
                <w:sz w:val="21"/>
                <w:szCs w:val="21"/>
              </w:rPr>
              <w:t>(</w:t>
            </w:r>
            <w:r>
              <w:rPr>
                <w:rFonts w:ascii="Times New Roman" w:hAnsi="Times New Roman"/>
                <w:sz w:val="21"/>
                <w:szCs w:val="21"/>
              </w:rPr>
              <w:t>即鄂尔多斯、榆林、宁东地区</w:t>
            </w:r>
            <w:r>
              <w:rPr>
                <w:rFonts w:ascii="Times New Roman" w:hAnsi="Times New Roman"/>
                <w:sz w:val="21"/>
                <w:szCs w:val="21"/>
              </w:rPr>
              <w:t>)</w:t>
            </w:r>
            <w:r>
              <w:rPr>
                <w:rFonts w:ascii="Times New Roman" w:hAnsi="Times New Roman"/>
                <w:sz w:val="21"/>
                <w:szCs w:val="21"/>
              </w:rPr>
              <w:t>重点发</w:t>
            </w:r>
            <w:r>
              <w:rPr>
                <w:rFonts w:ascii="Times New Roman" w:hAnsi="Times New Roman" w:hint="eastAsia"/>
                <w:sz w:val="21"/>
                <w:szCs w:val="21"/>
              </w:rPr>
              <w:t>展煤炭开采、煤电、煤化工等产业，以新型能源重化产业区作为发展方向。</w:t>
            </w:r>
          </w:p>
          <w:p w14:paraId="35706A63"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改善区域生态功能。加强生态建设力度，促进区域生态功能改善。确保受保护湿地面积、自然保护区面积不减少。</w:t>
            </w:r>
          </w:p>
          <w:p w14:paraId="34AE28F7"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sz w:val="21"/>
                <w:szCs w:val="21"/>
              </w:rPr>
              <w:t>合理开发水资源。以确保区域生态用水为前提，优先利用非常规水源，合理开</w:t>
            </w:r>
            <w:r>
              <w:rPr>
                <w:rFonts w:ascii="Times New Roman" w:hAnsi="Times New Roman" w:hint="eastAsia"/>
                <w:sz w:val="21"/>
                <w:szCs w:val="21"/>
              </w:rPr>
              <w:t>采地下水，控制地表水取用，调配区域水资源，保障水资源消耗总量不突破红线，维护区域生态安全。</w:t>
            </w:r>
          </w:p>
          <w:p w14:paraId="18664CC5"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工业固体废物综合利用率不低于</w:t>
            </w:r>
            <w:r>
              <w:rPr>
                <w:rFonts w:ascii="Times New Roman" w:hAnsi="Times New Roman"/>
                <w:sz w:val="21"/>
                <w:szCs w:val="21"/>
              </w:rPr>
              <w:t>72%</w:t>
            </w:r>
            <w:r>
              <w:rPr>
                <w:rFonts w:ascii="Times New Roman" w:hAnsi="Times New Roman"/>
                <w:sz w:val="21"/>
                <w:szCs w:val="21"/>
              </w:rPr>
              <w:t>。新增煤炭项目矿井水利用率</w:t>
            </w:r>
            <w:r>
              <w:rPr>
                <w:rFonts w:ascii="Times New Roman" w:hAnsi="Times New Roman" w:hint="eastAsia"/>
                <w:sz w:val="21"/>
                <w:szCs w:val="21"/>
              </w:rPr>
              <w:t>应达到</w:t>
            </w:r>
            <w:r>
              <w:rPr>
                <w:rFonts w:ascii="Times New Roman" w:hAnsi="Times New Roman"/>
                <w:sz w:val="21"/>
                <w:szCs w:val="21"/>
              </w:rPr>
              <w:t>90%</w:t>
            </w:r>
            <w:r>
              <w:rPr>
                <w:rFonts w:ascii="Times New Roman" w:hAnsi="Times New Roman"/>
                <w:sz w:val="21"/>
                <w:szCs w:val="21"/>
              </w:rPr>
              <w:t>以上。</w:t>
            </w:r>
          </w:p>
        </w:tc>
        <w:tc>
          <w:tcPr>
            <w:tcW w:w="1196" w:type="pct"/>
            <w:vAlign w:val="center"/>
          </w:tcPr>
          <w:p w14:paraId="279BEE85"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矿区属宁东地区宁</w:t>
            </w:r>
            <w:r>
              <w:rPr>
                <w:rFonts w:ascii="Times New Roman" w:hAnsi="Times New Roman"/>
                <w:sz w:val="21"/>
                <w:szCs w:val="21"/>
              </w:rPr>
              <w:t>东煤炭基地</w:t>
            </w:r>
            <w:r>
              <w:rPr>
                <w:rFonts w:ascii="Times New Roman" w:hAnsi="Times New Roman" w:hint="eastAsia"/>
                <w:sz w:val="21"/>
                <w:szCs w:val="21"/>
              </w:rPr>
              <w:t>，规划原煤全部用于基地内煤化工、煤电等产业。</w:t>
            </w:r>
          </w:p>
          <w:p w14:paraId="241A2CB3"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矿区井田、工业场地全部位于白芨滩自然保护区之外，且保护区面积不减少。</w:t>
            </w:r>
            <w:r>
              <w:rPr>
                <w:rFonts w:ascii="Times New Roman" w:hAnsi="Times New Roman"/>
                <w:sz w:val="21"/>
                <w:szCs w:val="21"/>
              </w:rPr>
              <w:t>参考本次评价计算的沉陷影响</w:t>
            </w:r>
            <w:r>
              <w:rPr>
                <w:rFonts w:ascii="Times New Roman" w:hAnsi="Times New Roman" w:hint="eastAsia"/>
                <w:sz w:val="21"/>
                <w:szCs w:val="21"/>
              </w:rPr>
              <w:t>半径</w:t>
            </w:r>
            <w:r>
              <w:rPr>
                <w:rFonts w:ascii="Times New Roman" w:hAnsi="Times New Roman"/>
                <w:sz w:val="21"/>
                <w:szCs w:val="21"/>
              </w:rPr>
              <w:t>对自然保护区留设保护煤柱</w:t>
            </w:r>
            <w:r>
              <w:rPr>
                <w:rFonts w:ascii="Times New Roman" w:hAnsi="Times New Roman" w:hint="eastAsia"/>
                <w:sz w:val="21"/>
                <w:szCs w:val="21"/>
              </w:rPr>
              <w:t>。</w:t>
            </w:r>
            <w:r>
              <w:rPr>
                <w:rFonts w:ascii="Times New Roman" w:hAnsi="Times New Roman"/>
                <w:sz w:val="21"/>
                <w:szCs w:val="21"/>
              </w:rPr>
              <w:t>确保</w:t>
            </w:r>
            <w:r>
              <w:rPr>
                <w:rFonts w:ascii="Times New Roman" w:hAnsi="Times New Roman" w:hint="eastAsia"/>
                <w:sz w:val="21"/>
                <w:szCs w:val="21"/>
              </w:rPr>
              <w:t>正常生产</w:t>
            </w:r>
            <w:r>
              <w:rPr>
                <w:rFonts w:ascii="Times New Roman" w:hAnsi="Times New Roman"/>
                <w:sz w:val="21"/>
                <w:szCs w:val="21"/>
              </w:rPr>
              <w:t>不影响自然保护区。</w:t>
            </w:r>
          </w:p>
          <w:p w14:paraId="1B319457"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矿区各矿生产用水优先利用经处理后达标的矿井水及生活污水。矿井水及生活污水全部回用不外排。</w:t>
            </w:r>
          </w:p>
          <w:p w14:paraId="581481C1"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煤矸石、低热值煤和劣质煤供给周边低热值煤电厂，利用不畅时可充填沉陷区用于矿区生态治理，后期或以矸石置换井下煤柱，全部回用，</w:t>
            </w:r>
            <w:r>
              <w:rPr>
                <w:rFonts w:ascii="Times New Roman" w:hAnsi="Times New Roman"/>
                <w:sz w:val="21"/>
                <w:szCs w:val="21"/>
              </w:rPr>
              <w:t>处置率达到</w:t>
            </w:r>
            <w:r>
              <w:rPr>
                <w:rFonts w:ascii="Times New Roman" w:hAnsi="Times New Roman"/>
                <w:sz w:val="21"/>
                <w:szCs w:val="21"/>
              </w:rPr>
              <w:t>100%</w:t>
            </w:r>
            <w:r>
              <w:rPr>
                <w:rFonts w:ascii="Times New Roman" w:hAnsi="Times New Roman"/>
                <w:sz w:val="21"/>
                <w:szCs w:val="21"/>
              </w:rPr>
              <w:t>、综合利用率达到</w:t>
            </w:r>
            <w:r>
              <w:rPr>
                <w:rFonts w:ascii="Times New Roman" w:hAnsi="Times New Roman"/>
                <w:sz w:val="21"/>
                <w:szCs w:val="21"/>
              </w:rPr>
              <w:t>100%</w:t>
            </w:r>
            <w:r>
              <w:rPr>
                <w:rFonts w:ascii="Times New Roman" w:hAnsi="Times New Roman" w:hint="eastAsia"/>
                <w:sz w:val="21"/>
                <w:szCs w:val="21"/>
              </w:rPr>
              <w:t>。</w:t>
            </w:r>
          </w:p>
        </w:tc>
        <w:tc>
          <w:tcPr>
            <w:tcW w:w="336" w:type="pct"/>
            <w:vAlign w:val="center"/>
          </w:tcPr>
          <w:p w14:paraId="25C2B324"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28270436" w14:textId="77777777">
        <w:trPr>
          <w:trHeight w:val="340"/>
          <w:jc w:val="center"/>
        </w:trPr>
        <w:tc>
          <w:tcPr>
            <w:tcW w:w="359" w:type="pct"/>
            <w:vMerge/>
            <w:vAlign w:val="center"/>
          </w:tcPr>
          <w:p w14:paraId="1169FAD7"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29C8B62A"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《黄河流域生态保护和高质量发展规划纲要》（保密文件，未公开）</w:t>
            </w:r>
          </w:p>
        </w:tc>
        <w:tc>
          <w:tcPr>
            <w:tcW w:w="2344" w:type="pct"/>
            <w:vAlign w:val="center"/>
          </w:tcPr>
          <w:p w14:paraId="14013B9B"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黄河是中华民族的母亲河，要把黄河流域生态保护和高质量发展作为事关中华民族伟大复兴的千秋大计，贯彻新发展理念，遵循自然规律和客观规律，统筹推进山水林田湖草沙综合治理、系统治理、源头治理，改善黄河流域生态环境，优化水资源配置，促进全流域高质量发展，改善人民群众生活，保护传承弘扬黄河文化，让黄河成为造福人民的幸福河。</w:t>
            </w:r>
          </w:p>
          <w:p w14:paraId="0E5874B1"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要因地制宜、分类施策、尊重规律，改善黄河流域生态环境。要大力推进黄河水资源集约节约利用，把水资源作为最大的刚性约束，以节约用水扩大发展空间。</w:t>
            </w:r>
          </w:p>
        </w:tc>
        <w:tc>
          <w:tcPr>
            <w:tcW w:w="1196" w:type="pct"/>
            <w:vAlign w:val="center"/>
          </w:tcPr>
          <w:p w14:paraId="7281536F"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矿区总体规划提出矿井水处理及回用，对开采沉陷区进行生态恢复</w:t>
            </w:r>
          </w:p>
        </w:tc>
        <w:tc>
          <w:tcPr>
            <w:tcW w:w="336" w:type="pct"/>
            <w:vAlign w:val="center"/>
          </w:tcPr>
          <w:p w14:paraId="666ABECF"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sz w:val="21"/>
                <w:szCs w:val="21"/>
              </w:rPr>
              <w:t>符合</w:t>
            </w:r>
          </w:p>
        </w:tc>
      </w:tr>
      <w:tr w:rsidR="009C353B" w14:paraId="2CEE16AE" w14:textId="77777777">
        <w:trPr>
          <w:trHeight w:val="340"/>
          <w:jc w:val="center"/>
        </w:trPr>
        <w:tc>
          <w:tcPr>
            <w:tcW w:w="359" w:type="pct"/>
            <w:vMerge/>
            <w:vAlign w:val="center"/>
          </w:tcPr>
          <w:p w14:paraId="7BD94C80"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5A58D63D"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Ansi="Times New Roman" w:hint="eastAsia"/>
                <w:sz w:val="21"/>
                <w:szCs w:val="21"/>
              </w:rPr>
              <w:t>能源发展战略行动计划（</w:t>
            </w:r>
            <w:r>
              <w:rPr>
                <w:rFonts w:ascii="Times New Roman" w:hAnsi="Times New Roman"/>
                <w:sz w:val="21"/>
                <w:szCs w:val="21"/>
              </w:rPr>
              <w:t>2014-2020</w:t>
            </w:r>
            <w:r>
              <w:rPr>
                <w:rFonts w:ascii="Times New Roman" w:hAnsi="Times New Roman"/>
                <w:sz w:val="21"/>
                <w:szCs w:val="21"/>
              </w:rPr>
              <w:t>年）</w:t>
            </w:r>
            <w:r>
              <w:rPr>
                <w:rFonts w:ascii="Times New Roman" w:hAnsi="Times New Roman" w:hint="eastAsia"/>
                <w:sz w:val="21"/>
                <w:szCs w:val="21"/>
              </w:rPr>
              <w:t>（国办发〔</w:t>
            </w:r>
            <w:r>
              <w:rPr>
                <w:rFonts w:ascii="Times New Roman" w:hAnsi="Times New Roman"/>
                <w:sz w:val="21"/>
                <w:szCs w:val="21"/>
              </w:rPr>
              <w:t>2014</w:t>
            </w:r>
            <w:r>
              <w:rPr>
                <w:rFonts w:ascii="Times New Roman" w:hAnsi="Times New Roman"/>
                <w:sz w:val="21"/>
                <w:szCs w:val="21"/>
              </w:rPr>
              <w:t>〕</w:t>
            </w:r>
            <w:r>
              <w:rPr>
                <w:rFonts w:ascii="Times New Roman" w:hAnsi="Times New Roman"/>
                <w:sz w:val="21"/>
                <w:szCs w:val="21"/>
              </w:rPr>
              <w:t>31</w:t>
            </w:r>
            <w:r>
              <w:rPr>
                <w:rFonts w:ascii="Times New Roman" w:hAnsi="Times New Roman"/>
                <w:sz w:val="21"/>
                <w:szCs w:val="21"/>
              </w:rPr>
              <w:t>号）</w:t>
            </w:r>
          </w:p>
        </w:tc>
        <w:tc>
          <w:tcPr>
            <w:tcW w:w="2344" w:type="pct"/>
            <w:vAlign w:val="center"/>
          </w:tcPr>
          <w:p w14:paraId="1D1FD939"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sz w:val="21"/>
                <w:szCs w:val="21"/>
              </w:rPr>
              <w:t>提高煤炭清洁利用水平。</w:t>
            </w:r>
            <w:r>
              <w:rPr>
                <w:rFonts w:ascii="Times New Roman" w:hAnsi="Times New Roman" w:hint="eastAsia"/>
                <w:sz w:val="21"/>
                <w:szCs w:val="21"/>
              </w:rPr>
              <w:t>制定和实施煤炭清洁高效利用规划，积极推进煤炭分级分质梯级利用，加大煤炭洗选比重，鼓励煤矸石等低热值煤和劣质煤就地清洁转化利用。</w:t>
            </w:r>
          </w:p>
        </w:tc>
        <w:tc>
          <w:tcPr>
            <w:tcW w:w="1196" w:type="pct"/>
            <w:vAlign w:val="center"/>
          </w:tcPr>
          <w:p w14:paraId="69DD2B3C"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矿区属宁</w:t>
            </w:r>
            <w:r>
              <w:rPr>
                <w:rFonts w:ascii="Times New Roman" w:hAnsi="Times New Roman"/>
                <w:sz w:val="21"/>
                <w:szCs w:val="21"/>
              </w:rPr>
              <w:t>东煤炭基地</w:t>
            </w:r>
            <w:r>
              <w:rPr>
                <w:rFonts w:ascii="Times New Roman" w:hAnsi="Times New Roman" w:hint="eastAsia"/>
                <w:sz w:val="21"/>
                <w:szCs w:val="21"/>
              </w:rPr>
              <w:t>，规划原煤全部洗选加工，煤矸石等低热值煤和劣质煤供给周边低热值煤电厂，利用不畅时可充填沉陷区用于矿区生态治理，后期或以矸石置换井下煤柱</w:t>
            </w:r>
            <w:r>
              <w:rPr>
                <w:rFonts w:ascii="Times New Roman" w:hAnsi="Times New Roman"/>
                <w:sz w:val="21"/>
                <w:szCs w:val="21"/>
              </w:rPr>
              <w:t>。</w:t>
            </w:r>
          </w:p>
        </w:tc>
        <w:tc>
          <w:tcPr>
            <w:tcW w:w="336" w:type="pct"/>
            <w:vAlign w:val="center"/>
          </w:tcPr>
          <w:p w14:paraId="64D07A3B"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731C61D3" w14:textId="77777777">
        <w:trPr>
          <w:trHeight w:val="340"/>
          <w:jc w:val="center"/>
        </w:trPr>
        <w:tc>
          <w:tcPr>
            <w:tcW w:w="359" w:type="pct"/>
            <w:vMerge/>
            <w:vAlign w:val="center"/>
          </w:tcPr>
          <w:p w14:paraId="44E8E49B"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3596EE84"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Ansi="Times New Roman"/>
                <w:sz w:val="21"/>
                <w:szCs w:val="21"/>
              </w:rPr>
              <w:t>《矿山生态环境保护与污染防治技术政策》</w:t>
            </w:r>
          </w:p>
        </w:tc>
        <w:tc>
          <w:tcPr>
            <w:tcW w:w="2344" w:type="pct"/>
            <w:vAlign w:val="center"/>
          </w:tcPr>
          <w:p w14:paraId="7A49207B"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kern w:val="0"/>
                <w:sz w:val="21"/>
                <w:szCs w:val="21"/>
              </w:rPr>
              <w:t>限制在生态功能保护区和自然保护区（过渡区）内开采矿产资源。生态功能保护区内的开采活动必须符合当地的环境功能区规划，并按规定进行控制性开采，开采活动不得影响本功能区内的主导生态功能。禁止新建煤层含硫量大于</w:t>
            </w:r>
            <w:r>
              <w:rPr>
                <w:rFonts w:ascii="Times New Roman" w:hAnsi="Times New Roman"/>
                <w:kern w:val="0"/>
                <w:sz w:val="21"/>
                <w:szCs w:val="21"/>
              </w:rPr>
              <w:t>3%</w:t>
            </w:r>
            <w:r>
              <w:rPr>
                <w:rFonts w:ascii="Times New Roman"/>
                <w:kern w:val="0"/>
                <w:sz w:val="21"/>
                <w:szCs w:val="21"/>
              </w:rPr>
              <w:t>的煤矿。限制在地质灾害易发区、水土流失严重等生态脆弱区内开采矿产资源。</w:t>
            </w:r>
          </w:p>
        </w:tc>
        <w:tc>
          <w:tcPr>
            <w:tcW w:w="1196" w:type="pct"/>
            <w:vAlign w:val="center"/>
          </w:tcPr>
          <w:p w14:paraId="6270096A" w14:textId="77777777" w:rsidR="009C353B" w:rsidRDefault="00000000">
            <w:pPr>
              <w:adjustRightInd w:val="0"/>
              <w:snapToGrid w:val="0"/>
              <w:spacing w:line="240" w:lineRule="atLeast"/>
              <w:ind w:rightChars="50" w:right="120"/>
              <w:rPr>
                <w:rFonts w:ascii="Arial Narrow" w:hAnsi="Arial Narrow"/>
              </w:rPr>
            </w:pPr>
            <w:r>
              <w:rPr>
                <w:rFonts w:ascii="Times New Roman" w:hAnsi="Times New Roman" w:hint="eastAsia"/>
                <w:sz w:val="21"/>
                <w:szCs w:val="21"/>
              </w:rPr>
              <w:t>矿区不属于</w:t>
            </w:r>
            <w:r>
              <w:rPr>
                <w:rFonts w:ascii="Times New Roman" w:hAnsi="Times New Roman"/>
                <w:sz w:val="21"/>
                <w:szCs w:val="21"/>
              </w:rPr>
              <w:t>生态功能保护区和自然保护区</w:t>
            </w:r>
            <w:r>
              <w:rPr>
                <w:rFonts w:ascii="Times New Roman" w:hAnsi="Times New Roman" w:hint="eastAsia"/>
                <w:sz w:val="21"/>
                <w:szCs w:val="21"/>
              </w:rPr>
              <w:t>，矿区不属于生态脆弱区。矿区丁家梁矿井</w:t>
            </w:r>
            <w:r>
              <w:rPr>
                <w:rFonts w:ascii="Times New Roman" w:hAnsi="Times New Roman"/>
                <w:sz w:val="21"/>
                <w:szCs w:val="21"/>
              </w:rPr>
              <w:t>八、九、九上煤层全硫均值大于</w:t>
            </w:r>
            <w:r>
              <w:rPr>
                <w:rFonts w:ascii="Times New Roman" w:hAnsi="Times New Roman" w:hint="eastAsia"/>
                <w:sz w:val="21"/>
                <w:szCs w:val="21"/>
              </w:rPr>
              <w:t>3.0</w:t>
            </w:r>
            <w:r>
              <w:rPr>
                <w:rFonts w:ascii="Times New Roman" w:hAnsi="Times New Roman"/>
                <w:sz w:val="21"/>
                <w:szCs w:val="21"/>
              </w:rPr>
              <w:t>%</w:t>
            </w:r>
            <w:r>
              <w:rPr>
                <w:rFonts w:ascii="Times New Roman" w:hAnsi="Times New Roman"/>
                <w:sz w:val="21"/>
                <w:szCs w:val="21"/>
              </w:rPr>
              <w:t>，属高硫煤</w:t>
            </w:r>
            <w:r>
              <w:rPr>
                <w:rFonts w:ascii="Times New Roman" w:hAnsi="Times New Roman" w:hint="eastAsia"/>
                <w:sz w:val="21"/>
                <w:szCs w:val="21"/>
              </w:rPr>
              <w:t>，从矿区煤炭资源里扣除。</w:t>
            </w:r>
          </w:p>
        </w:tc>
        <w:tc>
          <w:tcPr>
            <w:tcW w:w="336" w:type="pct"/>
            <w:vAlign w:val="center"/>
          </w:tcPr>
          <w:p w14:paraId="7F2615B9"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5649A1B2" w14:textId="77777777">
        <w:trPr>
          <w:trHeight w:val="2723"/>
          <w:jc w:val="center"/>
        </w:trPr>
        <w:tc>
          <w:tcPr>
            <w:tcW w:w="359" w:type="pct"/>
            <w:vMerge/>
            <w:vAlign w:val="center"/>
          </w:tcPr>
          <w:p w14:paraId="22E1D32A"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4C6EC14F" w14:textId="77777777" w:rsidR="009C353B" w:rsidRDefault="00000000">
            <w:pPr>
              <w:topLinePunct/>
              <w:adjustRightInd w:val="0"/>
              <w:snapToGrid w:val="0"/>
              <w:spacing w:line="240" w:lineRule="atLeast"/>
              <w:textAlignment w:val="baseline"/>
              <w:rPr>
                <w:rFonts w:ascii="Times New Roman" w:hint="eastAsia"/>
                <w:bCs/>
                <w:sz w:val="21"/>
              </w:rPr>
            </w:pPr>
            <w:r>
              <w:rPr>
                <w:rFonts w:ascii="Times New Roman" w:hint="eastAsia"/>
                <w:bCs/>
                <w:sz w:val="21"/>
              </w:rPr>
              <w:t>《能源行业加强大气污染防治工作方案》（</w:t>
            </w:r>
            <w:r>
              <w:rPr>
                <w:rFonts w:ascii="Times New Roman"/>
                <w:bCs/>
                <w:sz w:val="21"/>
              </w:rPr>
              <w:t>发改能源〔</w:t>
            </w:r>
            <w:r>
              <w:rPr>
                <w:rFonts w:ascii="Times New Roman"/>
                <w:bCs/>
                <w:sz w:val="21"/>
              </w:rPr>
              <w:t>2</w:t>
            </w:r>
            <w:r>
              <w:rPr>
                <w:rFonts w:ascii="Times New Roman" w:hint="eastAsia"/>
                <w:bCs/>
                <w:sz w:val="21"/>
              </w:rPr>
              <w:t>014</w:t>
            </w:r>
            <w:r>
              <w:rPr>
                <w:rFonts w:ascii="Times New Roman"/>
                <w:bCs/>
                <w:sz w:val="21"/>
              </w:rPr>
              <w:t>〕</w:t>
            </w:r>
            <w:r>
              <w:rPr>
                <w:rFonts w:ascii="Times New Roman" w:hint="eastAsia"/>
                <w:bCs/>
                <w:sz w:val="21"/>
              </w:rPr>
              <w:t>506</w:t>
            </w:r>
            <w:r>
              <w:rPr>
                <w:rFonts w:ascii="Times New Roman" w:hint="eastAsia"/>
                <w:bCs/>
                <w:sz w:val="21"/>
              </w:rPr>
              <w:t>号</w:t>
            </w:r>
            <w:r>
              <w:rPr>
                <w:rFonts w:ascii="Times New Roman"/>
                <w:bCs/>
                <w:sz w:val="21"/>
              </w:rPr>
              <w:t>）</w:t>
            </w:r>
          </w:p>
        </w:tc>
        <w:tc>
          <w:tcPr>
            <w:tcW w:w="2344" w:type="pct"/>
            <w:vAlign w:val="center"/>
          </w:tcPr>
          <w:p w14:paraId="4FFABF60" w14:textId="77777777" w:rsidR="009C353B" w:rsidRDefault="00000000">
            <w:pPr>
              <w:topLinePunct/>
              <w:adjustRightInd w:val="0"/>
              <w:snapToGrid w:val="0"/>
              <w:spacing w:line="240" w:lineRule="atLeast"/>
              <w:textAlignment w:val="baseline"/>
              <w:rPr>
                <w:rFonts w:ascii="Times New Roman" w:hint="eastAsia"/>
                <w:bCs/>
                <w:sz w:val="21"/>
              </w:rPr>
            </w:pPr>
            <w:r>
              <w:rPr>
                <w:rFonts w:ascii="Times New Roman" w:hint="eastAsia"/>
                <w:bCs/>
                <w:sz w:val="21"/>
              </w:rPr>
              <w:t>“</w:t>
            </w:r>
            <w:r>
              <w:rPr>
                <w:rFonts w:ascii="Times New Roman"/>
                <w:bCs/>
                <w:sz w:val="21"/>
              </w:rPr>
              <w:t>加大火电、石化和燃煤锅炉污染治理力度</w:t>
            </w:r>
            <w:r>
              <w:rPr>
                <w:rFonts w:ascii="Times New Roman" w:hint="eastAsia"/>
                <w:bCs/>
                <w:sz w:val="21"/>
              </w:rPr>
              <w:t>”，“</w:t>
            </w:r>
            <w:r>
              <w:rPr>
                <w:rFonts w:ascii="Times New Roman"/>
                <w:bCs/>
                <w:sz w:val="21"/>
              </w:rPr>
              <w:t>大中型煤矿配套建设选煤厂，提高煤炭洗选率。完善煤</w:t>
            </w:r>
            <w:r>
              <w:rPr>
                <w:rFonts w:ascii="Times New Roman"/>
                <w:bCs/>
                <w:sz w:val="21"/>
              </w:rPr>
              <w:t xml:space="preserve"> </w:t>
            </w:r>
            <w:r>
              <w:rPr>
                <w:rFonts w:ascii="Times New Roman"/>
                <w:bCs/>
                <w:sz w:val="21"/>
              </w:rPr>
              <w:t>炭产品质量和利用技术装备标准，制定煤炭质量管理办</w:t>
            </w:r>
            <w:r>
              <w:rPr>
                <w:rFonts w:ascii="Times New Roman"/>
                <w:bCs/>
                <w:sz w:val="21"/>
              </w:rPr>
              <w:t xml:space="preserve"> </w:t>
            </w:r>
            <w:r>
              <w:rPr>
                <w:rFonts w:ascii="Times New Roman"/>
                <w:bCs/>
                <w:sz w:val="21"/>
              </w:rPr>
              <w:t>法，限制高硫分高灰分煤炭的开采和异地利用</w:t>
            </w:r>
            <w:r>
              <w:rPr>
                <w:rFonts w:ascii="Times New Roman" w:hint="eastAsia"/>
                <w:bCs/>
                <w:sz w:val="21"/>
              </w:rPr>
              <w:t>”“各种煤堆、料堆实现全密闭储存或建设防风抑尘设施。加快运煤列车及装卸设施的全封闭改造，减少运输过程中的原煤损耗和煤尘污染。在储存、装卸、运输过程中应采取有效防尘措施，控制扬尘污染。”</w:t>
            </w:r>
          </w:p>
        </w:tc>
        <w:tc>
          <w:tcPr>
            <w:tcW w:w="1196" w:type="pct"/>
            <w:vAlign w:val="center"/>
          </w:tcPr>
          <w:p w14:paraId="618CB13F" w14:textId="77777777" w:rsidR="009C353B" w:rsidRDefault="00000000">
            <w:pPr>
              <w:topLinePunct/>
              <w:adjustRightInd w:val="0"/>
              <w:snapToGrid w:val="0"/>
              <w:spacing w:line="240" w:lineRule="atLeast"/>
              <w:textAlignment w:val="baseline"/>
              <w:rPr>
                <w:rFonts w:ascii="Times New Roman" w:hint="eastAsia"/>
                <w:bCs/>
                <w:sz w:val="21"/>
              </w:rPr>
            </w:pPr>
            <w:r>
              <w:rPr>
                <w:rFonts w:ascii="Times New Roman" w:hint="eastAsia"/>
                <w:bCs/>
                <w:sz w:val="21"/>
              </w:rPr>
              <w:t>矿区各煤矿均未设置燃煤锅炉；</w:t>
            </w:r>
            <w:r>
              <w:rPr>
                <w:rFonts w:ascii="Times New Roman" w:hAnsi="Times New Roman" w:hint="eastAsia"/>
                <w:sz w:val="21"/>
                <w:szCs w:val="21"/>
              </w:rPr>
              <w:t>原煤全部洗选加工；</w:t>
            </w:r>
            <w:r>
              <w:rPr>
                <w:rFonts w:ascii="Times New Roman" w:hint="eastAsia"/>
                <w:bCs/>
                <w:sz w:val="21"/>
              </w:rPr>
              <w:t>场</w:t>
            </w:r>
            <w:r>
              <w:rPr>
                <w:rFonts w:ascii="Times New Roman"/>
                <w:bCs/>
                <w:sz w:val="21"/>
              </w:rPr>
              <w:t>内煤炭</w:t>
            </w:r>
            <w:r>
              <w:rPr>
                <w:rFonts w:ascii="Times New Roman" w:hint="eastAsia"/>
                <w:bCs/>
                <w:sz w:val="21"/>
              </w:rPr>
              <w:t>转运采用</w:t>
            </w:r>
            <w:r>
              <w:rPr>
                <w:rFonts w:ascii="Times New Roman"/>
                <w:bCs/>
                <w:sz w:val="21"/>
              </w:rPr>
              <w:t>封闭式输煤栈桥、储存</w:t>
            </w:r>
            <w:r>
              <w:rPr>
                <w:rFonts w:ascii="Times New Roman" w:hint="eastAsia"/>
                <w:bCs/>
                <w:sz w:val="21"/>
              </w:rPr>
              <w:t>采用</w:t>
            </w:r>
            <w:r>
              <w:rPr>
                <w:rFonts w:ascii="Times New Roman"/>
                <w:bCs/>
                <w:sz w:val="21"/>
              </w:rPr>
              <w:t>封闭式煤仓，并设洒水抑</w:t>
            </w:r>
            <w:r>
              <w:rPr>
                <w:rFonts w:ascii="Times New Roman" w:hint="eastAsia"/>
                <w:bCs/>
                <w:sz w:val="21"/>
              </w:rPr>
              <w:t>尘</w:t>
            </w:r>
            <w:r>
              <w:rPr>
                <w:rFonts w:ascii="Times New Roman"/>
                <w:bCs/>
                <w:sz w:val="21"/>
              </w:rPr>
              <w:t>设施。</w:t>
            </w:r>
          </w:p>
          <w:p w14:paraId="6D78A2E3" w14:textId="77777777" w:rsidR="009C353B" w:rsidRDefault="00000000">
            <w:pPr>
              <w:topLinePunct/>
              <w:adjustRightInd w:val="0"/>
              <w:snapToGrid w:val="0"/>
              <w:spacing w:line="240" w:lineRule="atLeast"/>
              <w:textAlignment w:val="baseline"/>
              <w:rPr>
                <w:rFonts w:ascii="Times New Roman" w:hint="eastAsia"/>
                <w:bCs/>
                <w:sz w:val="21"/>
              </w:rPr>
            </w:pPr>
            <w:r>
              <w:rPr>
                <w:rFonts w:ascii="Times New Roman" w:hint="eastAsia"/>
                <w:bCs/>
                <w:sz w:val="21"/>
              </w:rPr>
              <w:t>矿区</w:t>
            </w:r>
            <w:r>
              <w:rPr>
                <w:rFonts w:ascii="Times New Roman"/>
                <w:bCs/>
                <w:sz w:val="21"/>
              </w:rPr>
              <w:t>规划</w:t>
            </w:r>
            <w:r>
              <w:rPr>
                <w:rFonts w:ascii="Times New Roman" w:hint="eastAsia"/>
                <w:bCs/>
                <w:sz w:val="21"/>
              </w:rPr>
              <w:t>利用</w:t>
            </w:r>
            <w:r>
              <w:rPr>
                <w:rFonts w:ascii="Times New Roman"/>
                <w:bCs/>
                <w:sz w:val="21"/>
              </w:rPr>
              <w:t>丰富的煤炭资源，</w:t>
            </w:r>
            <w:r>
              <w:rPr>
                <w:rFonts w:ascii="Times New Roman" w:hint="eastAsia"/>
                <w:bCs/>
                <w:sz w:val="21"/>
              </w:rPr>
              <w:t>供给附近宁东</w:t>
            </w:r>
            <w:r>
              <w:rPr>
                <w:rFonts w:ascii="Times New Roman"/>
                <w:bCs/>
                <w:sz w:val="21"/>
              </w:rPr>
              <w:t>煤化工</w:t>
            </w:r>
            <w:r>
              <w:rPr>
                <w:rFonts w:ascii="Times New Roman" w:hint="eastAsia"/>
                <w:bCs/>
                <w:sz w:val="21"/>
              </w:rPr>
              <w:t>园区</w:t>
            </w:r>
            <w:r>
              <w:rPr>
                <w:rFonts w:ascii="Times New Roman"/>
                <w:bCs/>
                <w:sz w:val="21"/>
              </w:rPr>
              <w:t>，建设煤、化一体化循环经济产业链</w:t>
            </w:r>
            <w:r>
              <w:rPr>
                <w:rFonts w:ascii="Times New Roman" w:hint="eastAsia"/>
                <w:bCs/>
                <w:sz w:val="21"/>
              </w:rPr>
              <w:t>，就地利用。</w:t>
            </w:r>
          </w:p>
        </w:tc>
        <w:tc>
          <w:tcPr>
            <w:tcW w:w="336" w:type="pct"/>
            <w:vAlign w:val="center"/>
          </w:tcPr>
          <w:p w14:paraId="480DD8F9"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hint="eastAsia"/>
                <w:sz w:val="21"/>
                <w:szCs w:val="21"/>
              </w:rPr>
              <w:t>符合</w:t>
            </w:r>
          </w:p>
        </w:tc>
      </w:tr>
      <w:tr w:rsidR="009C353B" w14:paraId="20928A42" w14:textId="77777777">
        <w:trPr>
          <w:trHeight w:val="1895"/>
          <w:jc w:val="center"/>
        </w:trPr>
        <w:tc>
          <w:tcPr>
            <w:tcW w:w="359" w:type="pct"/>
            <w:vMerge w:val="restart"/>
            <w:vAlign w:val="center"/>
          </w:tcPr>
          <w:p w14:paraId="61CD105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区域、省级层次</w:t>
            </w:r>
          </w:p>
        </w:tc>
        <w:tc>
          <w:tcPr>
            <w:tcW w:w="765" w:type="pct"/>
            <w:vAlign w:val="center"/>
          </w:tcPr>
          <w:p w14:paraId="12F7C76C" w14:textId="77777777" w:rsidR="009C353B" w:rsidRDefault="00000000">
            <w:pPr>
              <w:topLinePunct/>
              <w:adjustRightInd w:val="0"/>
              <w:snapToGrid w:val="0"/>
              <w:spacing w:line="240" w:lineRule="atLeast"/>
              <w:textAlignment w:val="baseline"/>
              <w:rPr>
                <w:rFonts w:ascii="Times New Roman" w:hint="eastAsia"/>
                <w:bCs/>
                <w:sz w:val="21"/>
              </w:rPr>
            </w:pPr>
            <w:r>
              <w:rPr>
                <w:rFonts w:ascii="Times New Roman" w:hint="eastAsia"/>
                <w:bCs/>
                <w:sz w:val="21"/>
              </w:rPr>
              <w:t>《宁夏灵武白芨滩国家级自然保护区总体规划（</w:t>
            </w:r>
            <w:r>
              <w:rPr>
                <w:rFonts w:ascii="Times New Roman" w:hint="eastAsia"/>
                <w:bCs/>
                <w:sz w:val="21"/>
              </w:rPr>
              <w:t>201</w:t>
            </w:r>
            <w:r>
              <w:rPr>
                <w:rFonts w:ascii="Times New Roman"/>
                <w:bCs/>
                <w:sz w:val="21"/>
              </w:rPr>
              <w:t>4</w:t>
            </w:r>
            <w:r>
              <w:rPr>
                <w:rFonts w:ascii="Times New Roman" w:hint="eastAsia"/>
                <w:bCs/>
                <w:sz w:val="21"/>
              </w:rPr>
              <w:t>-202</w:t>
            </w:r>
            <w:r>
              <w:rPr>
                <w:rFonts w:ascii="Times New Roman"/>
                <w:bCs/>
                <w:sz w:val="21"/>
              </w:rPr>
              <w:t>3</w:t>
            </w:r>
            <w:r>
              <w:rPr>
                <w:rFonts w:ascii="Times New Roman" w:hint="eastAsia"/>
                <w:bCs/>
                <w:sz w:val="21"/>
              </w:rPr>
              <w:t>）》</w:t>
            </w:r>
          </w:p>
        </w:tc>
        <w:tc>
          <w:tcPr>
            <w:tcW w:w="2344" w:type="pct"/>
            <w:vAlign w:val="center"/>
          </w:tcPr>
          <w:p w14:paraId="46AA4576" w14:textId="77777777" w:rsidR="009C353B" w:rsidRDefault="00000000">
            <w:pPr>
              <w:topLinePunct/>
              <w:adjustRightInd w:val="0"/>
              <w:snapToGrid w:val="0"/>
              <w:spacing w:line="240" w:lineRule="atLeast"/>
              <w:textAlignment w:val="baseline"/>
              <w:rPr>
                <w:rFonts w:ascii="Times New Roman" w:hint="eastAsia"/>
                <w:bCs/>
                <w:sz w:val="21"/>
              </w:rPr>
            </w:pPr>
            <w:r>
              <w:rPr>
                <w:rFonts w:ascii="Times New Roman" w:hint="eastAsia"/>
                <w:bCs/>
                <w:sz w:val="21"/>
              </w:rPr>
              <w:t>白芨滩自然保护区，是以保护我国自然保护区中面积最大的天然柠条、猫头刺、沙冬青植物群落，珍稀濒危动植物和极端脆弱的荒漠生态系统及黄河上中游的生态环境为宗旨，集资源保护、科学研究、生态旅游于一体的自然保护区。</w:t>
            </w:r>
          </w:p>
          <w:p w14:paraId="0D37A7CC" w14:textId="77777777" w:rsidR="009C353B" w:rsidRDefault="00000000">
            <w:pPr>
              <w:topLinePunct/>
              <w:adjustRightInd w:val="0"/>
              <w:snapToGrid w:val="0"/>
              <w:spacing w:line="240" w:lineRule="atLeast"/>
              <w:textAlignment w:val="baseline"/>
              <w:rPr>
                <w:rFonts w:ascii="Times New Roman" w:hint="eastAsia"/>
                <w:bCs/>
                <w:sz w:val="21"/>
              </w:rPr>
            </w:pPr>
            <w:r>
              <w:rPr>
                <w:rFonts w:ascii="Times New Roman" w:hint="eastAsia"/>
                <w:bCs/>
                <w:sz w:val="21"/>
              </w:rPr>
              <w:t>通过采取形式多样的保护措施，最大限度地保护好区内自然环境、自然资源和自然景观，使其免遭破坏和污染，维护区域荒漠生态系统的稳定性和整体性；保护野生物种的遗传多样性；探索保护与利用协调发展的有效途径，为科学地保护自然资源、实施可持续发展战略提供样板、最终达到和实现人与自然和谐相处的目的。</w:t>
            </w:r>
          </w:p>
        </w:tc>
        <w:tc>
          <w:tcPr>
            <w:tcW w:w="1196" w:type="pct"/>
            <w:vAlign w:val="center"/>
          </w:tcPr>
          <w:p w14:paraId="2B2CEE1D" w14:textId="77777777" w:rsidR="009C353B" w:rsidRDefault="00000000">
            <w:pPr>
              <w:topLinePunct/>
              <w:adjustRightInd w:val="0"/>
              <w:snapToGrid w:val="0"/>
              <w:spacing w:line="240" w:lineRule="atLeast"/>
              <w:textAlignment w:val="baseline"/>
              <w:rPr>
                <w:rFonts w:ascii="Times New Roman" w:hint="eastAsia"/>
                <w:bCs/>
                <w:sz w:val="21"/>
              </w:rPr>
            </w:pPr>
            <w:r>
              <w:rPr>
                <w:rFonts w:ascii="Times New Roman" w:hint="eastAsia"/>
                <w:bCs/>
                <w:sz w:val="21"/>
              </w:rPr>
              <w:t>矿区规划面积</w:t>
            </w:r>
            <w:r>
              <w:rPr>
                <w:rFonts w:ascii="Times New Roman"/>
                <w:bCs/>
                <w:sz w:val="21"/>
              </w:rPr>
              <w:t>86km</w:t>
            </w:r>
            <w:r>
              <w:rPr>
                <w:rFonts w:ascii="Times New Roman"/>
                <w:bCs/>
                <w:sz w:val="21"/>
                <w:vertAlign w:val="superscript"/>
              </w:rPr>
              <w:t>2</w:t>
            </w:r>
            <w:r>
              <w:rPr>
                <w:rFonts w:ascii="Times New Roman"/>
                <w:bCs/>
                <w:sz w:val="21"/>
              </w:rPr>
              <w:t>，</w:t>
            </w:r>
            <w:r>
              <w:rPr>
                <w:rFonts w:ascii="Times New Roman" w:hint="eastAsia"/>
                <w:bCs/>
                <w:sz w:val="21"/>
              </w:rPr>
              <w:t>与保护区没有重叠。</w:t>
            </w:r>
          </w:p>
        </w:tc>
        <w:tc>
          <w:tcPr>
            <w:tcW w:w="336" w:type="pct"/>
            <w:vAlign w:val="center"/>
          </w:tcPr>
          <w:p w14:paraId="75B7A06E"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hint="eastAsia"/>
                <w:sz w:val="21"/>
                <w:szCs w:val="21"/>
              </w:rPr>
              <w:t>符合</w:t>
            </w:r>
          </w:p>
        </w:tc>
      </w:tr>
      <w:tr w:rsidR="009C353B" w14:paraId="2A79036F" w14:textId="77777777">
        <w:trPr>
          <w:trHeight w:val="1579"/>
          <w:jc w:val="center"/>
        </w:trPr>
        <w:tc>
          <w:tcPr>
            <w:tcW w:w="359" w:type="pct"/>
            <w:vMerge/>
            <w:vAlign w:val="center"/>
          </w:tcPr>
          <w:p w14:paraId="30CEC7D7"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07D54FFC" w14:textId="77777777" w:rsidR="009C353B" w:rsidRDefault="00000000">
            <w:pPr>
              <w:topLinePunct/>
              <w:adjustRightInd w:val="0"/>
              <w:snapToGrid w:val="0"/>
              <w:spacing w:line="240" w:lineRule="atLeast"/>
              <w:textAlignment w:val="baseline"/>
              <w:rPr>
                <w:rFonts w:ascii="Times New Roman" w:hint="eastAsia"/>
                <w:sz w:val="21"/>
                <w:szCs w:val="21"/>
              </w:rPr>
            </w:pPr>
            <w:r>
              <w:rPr>
                <w:rFonts w:ascii="Times New Roman" w:hint="eastAsia"/>
                <w:bCs/>
                <w:sz w:val="21"/>
              </w:rPr>
              <w:t>《宁夏回族自治区国民经济和社会发展第十三个五年规划纲要》（修订本）</w:t>
            </w:r>
          </w:p>
        </w:tc>
        <w:tc>
          <w:tcPr>
            <w:tcW w:w="2344" w:type="pct"/>
            <w:vAlign w:val="center"/>
          </w:tcPr>
          <w:p w14:paraId="1D6A37F6" w14:textId="77777777" w:rsidR="009C353B" w:rsidRDefault="00000000">
            <w:pPr>
              <w:topLinePunct/>
              <w:adjustRightInd w:val="0"/>
              <w:snapToGrid w:val="0"/>
              <w:spacing w:line="240" w:lineRule="atLeast"/>
              <w:textAlignment w:val="baseline"/>
              <w:rPr>
                <w:rFonts w:ascii="Times New Roman" w:hint="eastAsia"/>
                <w:bCs/>
                <w:sz w:val="21"/>
              </w:rPr>
            </w:pPr>
            <w:r>
              <w:rPr>
                <w:rFonts w:ascii="Times New Roman" w:hint="eastAsia"/>
                <w:bCs/>
                <w:sz w:val="21"/>
              </w:rPr>
              <w:t>建设国家级宁东现代煤化工基地。统筹能源、水资源和环境容量，高效清洁利用煤炭资源，重点发展煤制油、煤制烯烃，实施煤制油领跑者计划，建成</w:t>
            </w:r>
            <w:r>
              <w:rPr>
                <w:rFonts w:ascii="Times New Roman" w:hint="eastAsia"/>
                <w:bCs/>
                <w:sz w:val="21"/>
              </w:rPr>
              <w:t>400</w:t>
            </w:r>
            <w:r>
              <w:rPr>
                <w:rFonts w:ascii="Times New Roman" w:hint="eastAsia"/>
                <w:bCs/>
                <w:sz w:val="21"/>
              </w:rPr>
              <w:t>万吨煤炭间接液化示范项目，争取开工建设二期</w:t>
            </w:r>
            <w:r>
              <w:rPr>
                <w:rFonts w:ascii="Times New Roman" w:hint="eastAsia"/>
                <w:bCs/>
                <w:sz w:val="21"/>
              </w:rPr>
              <w:t>400</w:t>
            </w:r>
            <w:r>
              <w:rPr>
                <w:rFonts w:ascii="Times New Roman" w:hint="eastAsia"/>
                <w:bCs/>
                <w:sz w:val="21"/>
              </w:rPr>
              <w:t>万吨，打造世界煤制油高地，把宁东基地建设成为千万吨级大型现代煤化工基地；</w:t>
            </w:r>
            <w:r>
              <w:rPr>
                <w:rFonts w:ascii="Times New Roman"/>
                <w:bCs/>
                <w:sz w:val="21"/>
              </w:rPr>
              <w:t>……</w:t>
            </w:r>
            <w:r>
              <w:rPr>
                <w:rFonts w:ascii="Times New Roman" w:hint="eastAsia"/>
                <w:bCs/>
                <w:sz w:val="21"/>
              </w:rPr>
              <w:t>调整优化煤炭生产结构。压缩无烟煤、炼焦煤产量，适度扩大电力化工用煤产能。探索推广充填开采、保水开采等绿色采煤技术，建成一批智能化、现代化矿井。推进宁东现有煤矿产业技术升级，推广运用数字化矿山信息技术，实现采掘、洗选智能化管理。支持发电、化工企业通过收购、参股等方式参与煤矿建设生产，推动煤电、煤化联营。到</w:t>
            </w:r>
            <w:r>
              <w:rPr>
                <w:rFonts w:ascii="Times New Roman" w:hint="eastAsia"/>
                <w:bCs/>
                <w:sz w:val="21"/>
              </w:rPr>
              <w:t>2020</w:t>
            </w:r>
            <w:r>
              <w:rPr>
                <w:rFonts w:ascii="Times New Roman" w:hint="eastAsia"/>
                <w:bCs/>
                <w:sz w:val="21"/>
              </w:rPr>
              <w:t>年，形成宁东亿吨级现代化煤炭生产能力。</w:t>
            </w:r>
          </w:p>
        </w:tc>
        <w:tc>
          <w:tcPr>
            <w:tcW w:w="1196" w:type="pct"/>
            <w:vAlign w:val="center"/>
          </w:tcPr>
          <w:p w14:paraId="0EF1A1CD" w14:textId="77777777" w:rsidR="009C353B" w:rsidRDefault="00000000">
            <w:pPr>
              <w:topLinePunct/>
              <w:adjustRightInd w:val="0"/>
              <w:snapToGrid w:val="0"/>
              <w:spacing w:line="240" w:lineRule="atLeast"/>
              <w:textAlignment w:val="baseline"/>
              <w:rPr>
                <w:rFonts w:ascii="Times New Roman" w:hint="eastAsia"/>
                <w:bCs/>
                <w:sz w:val="21"/>
              </w:rPr>
            </w:pPr>
            <w:r>
              <w:rPr>
                <w:rFonts w:ascii="Times New Roman" w:hint="eastAsia"/>
                <w:bCs/>
                <w:sz w:val="21"/>
              </w:rPr>
              <w:t>横城矿区为宁东基地主力矿区之一，煤炭主要为就地转化，供给</w:t>
            </w:r>
            <w:r>
              <w:rPr>
                <w:rFonts w:ascii="Times New Roman"/>
                <w:bCs/>
                <w:sz w:val="21"/>
              </w:rPr>
              <w:t>宁东能源化工基地</w:t>
            </w:r>
            <w:r>
              <w:rPr>
                <w:rFonts w:ascii="Times New Roman" w:hint="eastAsia"/>
                <w:bCs/>
                <w:sz w:val="21"/>
              </w:rPr>
              <w:t>。</w:t>
            </w:r>
          </w:p>
        </w:tc>
        <w:tc>
          <w:tcPr>
            <w:tcW w:w="336" w:type="pct"/>
            <w:vAlign w:val="center"/>
          </w:tcPr>
          <w:p w14:paraId="66D8E93F" w14:textId="77777777" w:rsidR="009C353B" w:rsidRDefault="00000000">
            <w:pPr>
              <w:adjustRightInd w:val="0"/>
              <w:snapToGrid w:val="0"/>
              <w:spacing w:line="240" w:lineRule="atLeast"/>
              <w:ind w:rightChars="50" w:right="120"/>
              <w:jc w:val="center"/>
              <w:rPr>
                <w:rFonts w:ascii="Times New Roman" w:hint="eastAsia"/>
                <w:sz w:val="21"/>
                <w:szCs w:val="21"/>
              </w:rPr>
            </w:pPr>
            <w:r>
              <w:rPr>
                <w:rFonts w:ascii="Times New Roman" w:hint="eastAsia"/>
                <w:sz w:val="21"/>
                <w:szCs w:val="21"/>
              </w:rPr>
              <w:t>符合</w:t>
            </w:r>
          </w:p>
        </w:tc>
      </w:tr>
      <w:tr w:rsidR="009C353B" w14:paraId="4A5CFA08" w14:textId="77777777">
        <w:trPr>
          <w:trHeight w:val="340"/>
          <w:jc w:val="center"/>
        </w:trPr>
        <w:tc>
          <w:tcPr>
            <w:tcW w:w="359" w:type="pct"/>
            <w:vMerge/>
            <w:vAlign w:val="center"/>
          </w:tcPr>
          <w:p w14:paraId="7F85823A"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3FE1E128"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int="eastAsia"/>
                <w:sz w:val="21"/>
                <w:szCs w:val="21"/>
              </w:rPr>
              <w:t>《宁夏回族</w:t>
            </w:r>
            <w:r>
              <w:rPr>
                <w:rFonts w:ascii="Times New Roman"/>
                <w:sz w:val="21"/>
                <w:szCs w:val="21"/>
              </w:rPr>
              <w:t>自治区</w:t>
            </w:r>
            <w:r>
              <w:rPr>
                <w:rFonts w:ascii="Times New Roman" w:hint="eastAsia"/>
                <w:sz w:val="21"/>
                <w:szCs w:val="21"/>
              </w:rPr>
              <w:t>主体功能区规划》</w:t>
            </w:r>
          </w:p>
        </w:tc>
        <w:tc>
          <w:tcPr>
            <w:tcW w:w="2344" w:type="pct"/>
            <w:vAlign w:val="center"/>
          </w:tcPr>
          <w:p w14:paraId="57879F8F"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矿区位于灵武市宁东镇，属于宁夏重点开发区中国家级重点开发区的沿黄经济区（含宁东能源化工基地），功能地位为现代产业聚集区。</w:t>
            </w:r>
          </w:p>
        </w:tc>
        <w:tc>
          <w:tcPr>
            <w:tcW w:w="1196" w:type="pct"/>
            <w:vAlign w:val="center"/>
          </w:tcPr>
          <w:p w14:paraId="09011D99"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int="eastAsia"/>
                <w:sz w:val="21"/>
                <w:szCs w:val="21"/>
              </w:rPr>
              <w:t>矿区位于国家级重点开发区，符合自治区主体功能区划。</w:t>
            </w:r>
            <w:r>
              <w:rPr>
                <w:rFonts w:ascii="Times New Roman" w:hAnsi="Times New Roman" w:hint="eastAsia"/>
                <w:sz w:val="21"/>
                <w:szCs w:val="21"/>
              </w:rPr>
              <w:t>具体见图</w:t>
            </w:r>
            <w:r>
              <w:rPr>
                <w:rFonts w:ascii="Times New Roman" w:hAnsi="Times New Roman" w:hint="eastAsia"/>
                <w:sz w:val="21"/>
                <w:szCs w:val="21"/>
              </w:rPr>
              <w:t>2</w:t>
            </w:r>
            <w:r>
              <w:rPr>
                <w:rFonts w:ascii="Times New Roman" w:hAnsi="Times New Roman"/>
                <w:sz w:val="21"/>
                <w:szCs w:val="21"/>
              </w:rPr>
              <w:t>.4</w:t>
            </w:r>
            <w:r>
              <w:rPr>
                <w:rFonts w:ascii="Times New Roman" w:hAnsi="Times New Roman" w:hint="eastAsia"/>
                <w:sz w:val="21"/>
                <w:szCs w:val="21"/>
              </w:rPr>
              <w:t>-</w:t>
            </w:r>
            <w:r>
              <w:rPr>
                <w:rFonts w:ascii="Times New Roman" w:hAnsi="Times New Roman"/>
                <w:sz w:val="21"/>
                <w:szCs w:val="21"/>
              </w:rPr>
              <w:t>1</w:t>
            </w:r>
          </w:p>
        </w:tc>
        <w:tc>
          <w:tcPr>
            <w:tcW w:w="336" w:type="pct"/>
            <w:vAlign w:val="center"/>
          </w:tcPr>
          <w:p w14:paraId="0AD93899"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18B4ED20" w14:textId="77777777">
        <w:trPr>
          <w:trHeight w:val="340"/>
          <w:jc w:val="center"/>
        </w:trPr>
        <w:tc>
          <w:tcPr>
            <w:tcW w:w="359" w:type="pct"/>
            <w:vMerge/>
            <w:vAlign w:val="center"/>
          </w:tcPr>
          <w:p w14:paraId="6BF0E470"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13788D3C" w14:textId="77777777" w:rsidR="009C353B" w:rsidRDefault="00000000">
            <w:pPr>
              <w:adjustRightInd w:val="0"/>
              <w:snapToGrid w:val="0"/>
              <w:spacing w:line="240" w:lineRule="atLeast"/>
              <w:ind w:leftChars="50" w:left="120" w:rightChars="50" w:right="120"/>
              <w:rPr>
                <w:rFonts w:ascii="Times New Roman" w:hint="eastAsia"/>
                <w:sz w:val="21"/>
                <w:szCs w:val="21"/>
              </w:rPr>
            </w:pPr>
            <w:bookmarkStart w:id="83" w:name="_Hlk47640167"/>
            <w:r>
              <w:rPr>
                <w:rFonts w:ascii="Times New Roman" w:hint="eastAsia"/>
                <w:sz w:val="21"/>
                <w:szCs w:val="21"/>
              </w:rPr>
              <w:t>《宁夏回族自治区生态功能区划》</w:t>
            </w:r>
            <w:bookmarkEnd w:id="83"/>
          </w:p>
        </w:tc>
        <w:tc>
          <w:tcPr>
            <w:tcW w:w="2344" w:type="pct"/>
            <w:vAlign w:val="center"/>
          </w:tcPr>
          <w:p w14:paraId="12CEE3AF"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Ansi="Times New Roman" w:hint="eastAsia"/>
                <w:sz w:val="21"/>
                <w:szCs w:val="21"/>
              </w:rPr>
              <w:t>横城矿区中马莲台属于</w:t>
            </w:r>
            <w:r>
              <w:rPr>
                <w:rFonts w:ascii="Times New Roman" w:hAnsi="Times New Roman" w:hint="eastAsia"/>
                <w:sz w:val="21"/>
                <w:szCs w:val="21"/>
              </w:rPr>
              <w:t>I</w:t>
            </w:r>
            <w:r>
              <w:rPr>
                <w:rFonts w:ascii="Times New Roman" w:hAnsi="Times New Roman"/>
                <w:sz w:val="21"/>
                <w:szCs w:val="21"/>
              </w:rPr>
              <w:t>I1-2</w:t>
            </w:r>
            <w:r>
              <w:rPr>
                <w:rFonts w:ascii="Times New Roman" w:hAnsi="Times New Roman"/>
                <w:sz w:val="21"/>
                <w:szCs w:val="21"/>
              </w:rPr>
              <w:t>灵盐中北部防沙治沙生态功能区</w:t>
            </w:r>
            <w:r>
              <w:rPr>
                <w:rFonts w:ascii="Times New Roman" w:hAnsi="Times New Roman" w:hint="eastAsia"/>
                <w:sz w:val="21"/>
                <w:szCs w:val="21"/>
              </w:rPr>
              <w:t>，其他矿井属于</w:t>
            </w:r>
            <w:r>
              <w:rPr>
                <w:rFonts w:ascii="Times New Roman" w:hAnsi="Times New Roman"/>
                <w:sz w:val="21"/>
                <w:szCs w:val="21"/>
              </w:rPr>
              <w:t>II1</w:t>
            </w:r>
            <w:r>
              <w:rPr>
                <w:rFonts w:ascii="Times New Roman" w:hAnsi="Times New Roman" w:hint="eastAsia"/>
                <w:sz w:val="21"/>
                <w:szCs w:val="21"/>
              </w:rPr>
              <w:t>-</w:t>
            </w:r>
            <w:r>
              <w:rPr>
                <w:rFonts w:ascii="Times New Roman" w:hAnsi="Times New Roman"/>
                <w:sz w:val="21"/>
                <w:szCs w:val="21"/>
              </w:rPr>
              <w:t>3</w:t>
            </w:r>
            <w:r>
              <w:rPr>
                <w:rFonts w:ascii="Times New Roman" w:hAnsi="Times New Roman"/>
                <w:sz w:val="21"/>
                <w:szCs w:val="21"/>
              </w:rPr>
              <w:t>白芨滩柠条及沙生植被自然保护生态功能区</w:t>
            </w:r>
            <w:r>
              <w:rPr>
                <w:rFonts w:ascii="Times New Roman" w:hAnsi="Times New Roman" w:hint="eastAsia"/>
                <w:sz w:val="21"/>
                <w:szCs w:val="21"/>
              </w:rPr>
              <w:t>。</w:t>
            </w:r>
            <w:r>
              <w:rPr>
                <w:rFonts w:ascii="Times New Roman" w:hAnsi="Times New Roman"/>
                <w:sz w:val="21"/>
                <w:szCs w:val="21"/>
              </w:rPr>
              <w:t>白芨滩柠条及沙生植被自然保护生态功能区生态保护的主要方向为以保护荒漠草原生态系统及其动植物资源等生物多样性为目标，加强对区内自然资源和自然环境的保护管理，搞好水土保持的同时，严禁放牧，尽快恢复植被。灵盐中北部防沙治沙生态功能区生态保护主要</w:t>
            </w:r>
            <w:r>
              <w:rPr>
                <w:rFonts w:ascii="Times New Roman" w:hAnsi="Times New Roman" w:hint="eastAsia"/>
                <w:sz w:val="21"/>
                <w:szCs w:val="21"/>
              </w:rPr>
              <w:t>关注沙漠化控制，保护方向为采取生物措施和工程措施遏制土地沙化，飞播适合沙生的林草种子增加植被覆盖，发展以甘草、苦豆子、麻黄、黄芪等沙生药材与黄沙蒿、沙米等牧草相结合的立体防风固沙系统。</w:t>
            </w:r>
          </w:p>
        </w:tc>
        <w:tc>
          <w:tcPr>
            <w:tcW w:w="1196" w:type="pct"/>
            <w:vAlign w:val="center"/>
          </w:tcPr>
          <w:p w14:paraId="26015C7C"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横城矿区与白芨滩自然保护区不重合，在边界采取留设保护煤柱的措施后，地下煤炭开采工作基本不会对白芨滩自然保护区的生态系统和动植物资源产生影响；马莲台矿井开采多年，已对井田上方的沉陷区进行生态整治，对裂缝进行了充填，</w:t>
            </w:r>
            <w:r>
              <w:rPr>
                <w:rFonts w:ascii="Times New Roman"/>
                <w:sz w:val="21"/>
                <w:szCs w:val="21"/>
              </w:rPr>
              <w:t>回填后撒播草籽，草籽品种包括柠条、猫头刺、蒿类等。</w:t>
            </w:r>
          </w:p>
        </w:tc>
        <w:tc>
          <w:tcPr>
            <w:tcW w:w="336" w:type="pct"/>
            <w:vAlign w:val="center"/>
          </w:tcPr>
          <w:p w14:paraId="1D45C575"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46CC9F6D" w14:textId="77777777">
        <w:trPr>
          <w:trHeight w:val="340"/>
          <w:jc w:val="center"/>
        </w:trPr>
        <w:tc>
          <w:tcPr>
            <w:tcW w:w="359" w:type="pct"/>
            <w:vMerge/>
            <w:vAlign w:val="center"/>
          </w:tcPr>
          <w:p w14:paraId="6FF9B35F"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5963400B" w14:textId="77777777" w:rsidR="009C353B" w:rsidRDefault="00000000">
            <w:pPr>
              <w:adjustRightInd w:val="0"/>
              <w:snapToGrid w:val="0"/>
              <w:spacing w:line="240" w:lineRule="atLeast"/>
              <w:ind w:leftChars="50" w:left="120" w:rightChars="50" w:right="120"/>
              <w:rPr>
                <w:rFonts w:ascii="Times New Roman" w:hint="eastAsia"/>
                <w:sz w:val="21"/>
                <w:szCs w:val="21"/>
              </w:rPr>
            </w:pPr>
            <w:bookmarkStart w:id="84" w:name="_Hlk47640177"/>
            <w:r>
              <w:rPr>
                <w:rFonts w:ascii="Times New Roman" w:hint="eastAsia"/>
                <w:sz w:val="21"/>
                <w:szCs w:val="21"/>
              </w:rPr>
              <w:t>《宁夏回族自治区能源发展“十三五”规划》</w:t>
            </w:r>
            <w:bookmarkEnd w:id="84"/>
          </w:p>
        </w:tc>
        <w:tc>
          <w:tcPr>
            <w:tcW w:w="2344" w:type="pct"/>
            <w:vAlign w:val="center"/>
          </w:tcPr>
          <w:p w14:paraId="4F9CBBA3"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能源生产总量进一步增加。一次能源生产总量达到</w:t>
            </w:r>
            <w:r>
              <w:rPr>
                <w:rFonts w:ascii="Times New Roman" w:hint="eastAsia"/>
                <w:sz w:val="21"/>
                <w:szCs w:val="21"/>
              </w:rPr>
              <w:t>7500</w:t>
            </w:r>
            <w:r>
              <w:rPr>
                <w:rFonts w:ascii="Times New Roman" w:hint="eastAsia"/>
                <w:sz w:val="21"/>
                <w:szCs w:val="21"/>
              </w:rPr>
              <w:t>万吨标准煤左右，其中煤炭产量</w:t>
            </w:r>
            <w:r>
              <w:rPr>
                <w:rFonts w:ascii="Times New Roman" w:hint="eastAsia"/>
                <w:sz w:val="21"/>
                <w:szCs w:val="21"/>
              </w:rPr>
              <w:t>1</w:t>
            </w:r>
            <w:r>
              <w:rPr>
                <w:rFonts w:ascii="Times New Roman" w:hint="eastAsia"/>
                <w:sz w:val="21"/>
                <w:szCs w:val="21"/>
              </w:rPr>
              <w:t>亿吨左右</w:t>
            </w:r>
            <w:r>
              <w:rPr>
                <w:rFonts w:ascii="Times New Roman"/>
                <w:sz w:val="21"/>
                <w:szCs w:val="21"/>
              </w:rPr>
              <w:t>……</w:t>
            </w:r>
            <w:r>
              <w:rPr>
                <w:rFonts w:ascii="Times New Roman" w:hint="eastAsia"/>
                <w:sz w:val="21"/>
                <w:szCs w:val="21"/>
              </w:rPr>
              <w:t>，</w:t>
            </w:r>
            <w:r>
              <w:rPr>
                <w:rFonts w:ascii="Times New Roman"/>
                <w:sz w:val="21"/>
                <w:szCs w:val="21"/>
              </w:rPr>
              <w:t>的原则，在充分利用现有煤矿产能的基础上，以市场为导向，重点围绕宁东基地电力外送和现代煤化工项目用煤需要，按照减量置换原则配套建设一批煤</w:t>
            </w:r>
            <w:r>
              <w:rPr>
                <w:rFonts w:ascii="Times New Roman"/>
                <w:sz w:val="21"/>
                <w:szCs w:val="21"/>
              </w:rPr>
              <w:t>-</w:t>
            </w:r>
            <w:r>
              <w:rPr>
                <w:rFonts w:ascii="Times New Roman"/>
                <w:sz w:val="21"/>
                <w:szCs w:val="21"/>
              </w:rPr>
              <w:t>化、煤</w:t>
            </w:r>
            <w:r>
              <w:rPr>
                <w:rFonts w:ascii="Times New Roman"/>
                <w:sz w:val="21"/>
                <w:szCs w:val="21"/>
              </w:rPr>
              <w:t>-</w:t>
            </w:r>
            <w:r>
              <w:rPr>
                <w:rFonts w:ascii="Times New Roman"/>
                <w:sz w:val="21"/>
                <w:szCs w:val="21"/>
              </w:rPr>
              <w:t>电</w:t>
            </w:r>
            <w:r>
              <w:rPr>
                <w:rFonts w:ascii="Times New Roman"/>
                <w:sz w:val="21"/>
                <w:szCs w:val="21"/>
              </w:rPr>
              <w:t>-</w:t>
            </w:r>
            <w:r>
              <w:rPr>
                <w:rFonts w:ascii="Times New Roman"/>
                <w:sz w:val="21"/>
                <w:szCs w:val="21"/>
              </w:rPr>
              <w:t>铝一体化煤矿，稳步提高宁东煤炭基地煤炭产能，到</w:t>
            </w:r>
            <w:r>
              <w:rPr>
                <w:rFonts w:ascii="Times New Roman"/>
                <w:sz w:val="21"/>
                <w:szCs w:val="21"/>
              </w:rPr>
              <w:t>2020</w:t>
            </w:r>
            <w:r>
              <w:rPr>
                <w:rFonts w:ascii="Times New Roman"/>
                <w:sz w:val="21"/>
                <w:szCs w:val="21"/>
              </w:rPr>
              <w:t>年，宁东形成</w:t>
            </w:r>
            <w:r>
              <w:rPr>
                <w:rFonts w:ascii="Times New Roman"/>
                <w:sz w:val="21"/>
                <w:szCs w:val="21"/>
              </w:rPr>
              <w:t>1</w:t>
            </w:r>
            <w:r>
              <w:rPr>
                <w:rFonts w:ascii="Times New Roman"/>
                <w:sz w:val="21"/>
                <w:szCs w:val="21"/>
              </w:rPr>
              <w:t>亿吨煤炭产能，建成亿吨级大型煤炭基地……</w:t>
            </w:r>
            <w:r>
              <w:rPr>
                <w:rFonts w:ascii="Times New Roman" w:hint="eastAsia"/>
                <w:sz w:val="21"/>
                <w:szCs w:val="21"/>
              </w:rPr>
              <w:t>，</w:t>
            </w:r>
            <w:r>
              <w:rPr>
                <w:rFonts w:ascii="Times New Roman"/>
                <w:sz w:val="21"/>
                <w:szCs w:val="21"/>
              </w:rPr>
              <w:t>提高原煤入选比例，加强煤炭洗选加工，完善地面配套洗煤厂建设，升级改造现有煤矿洗选设施，原煤洗选比率达到</w:t>
            </w:r>
            <w:r>
              <w:rPr>
                <w:rFonts w:ascii="Times New Roman"/>
                <w:sz w:val="21"/>
                <w:szCs w:val="21"/>
              </w:rPr>
              <w:t>90%</w:t>
            </w:r>
            <w:r>
              <w:rPr>
                <w:rFonts w:ascii="Times New Roman"/>
                <w:sz w:val="21"/>
                <w:szCs w:val="21"/>
              </w:rPr>
              <w:t>以上。大力发展矿区循环经济，提高矿井水、煤矸石、煤泥、煤矿瓦斯等综合利用水平，构建煤基循环经济产业链。</w:t>
            </w:r>
          </w:p>
        </w:tc>
        <w:tc>
          <w:tcPr>
            <w:tcW w:w="1196" w:type="pct"/>
            <w:vAlign w:val="center"/>
          </w:tcPr>
          <w:p w14:paraId="4AD74DA8"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bCs/>
                <w:sz w:val="21"/>
              </w:rPr>
              <w:t>矿区为宁东基地主力矿区之一，煤炭主要为就地转化，供给宁东煤化工业园区、临河工业园区；</w:t>
            </w:r>
            <w:r>
              <w:rPr>
                <w:rFonts w:ascii="Times New Roman" w:hAnsi="Times New Roman" w:hint="eastAsia"/>
                <w:sz w:val="21"/>
                <w:szCs w:val="21"/>
              </w:rPr>
              <w:t>规划原煤全部洗选加工，煤矸石、低热值煤和劣质煤供给周边低热值煤电厂，利用不畅时可充填沉陷区用于矿区生态治理，后期或以矸石置换井下煤柱</w:t>
            </w:r>
            <w:r>
              <w:rPr>
                <w:rFonts w:ascii="Times New Roman" w:hAnsi="Times New Roman"/>
                <w:sz w:val="21"/>
                <w:szCs w:val="21"/>
              </w:rPr>
              <w:t>。</w:t>
            </w:r>
          </w:p>
        </w:tc>
        <w:tc>
          <w:tcPr>
            <w:tcW w:w="336" w:type="pct"/>
            <w:vAlign w:val="center"/>
          </w:tcPr>
          <w:p w14:paraId="40CB0005" w14:textId="77777777" w:rsidR="009C353B" w:rsidRDefault="00000000">
            <w:pPr>
              <w:adjustRightInd w:val="0"/>
              <w:snapToGrid w:val="0"/>
              <w:spacing w:line="240" w:lineRule="atLeast"/>
              <w:ind w:rightChars="50" w:right="120"/>
              <w:jc w:val="center"/>
              <w:rPr>
                <w:rFonts w:ascii="Times New Roman" w:hint="eastAsia"/>
                <w:sz w:val="21"/>
                <w:szCs w:val="21"/>
              </w:rPr>
            </w:pPr>
            <w:r>
              <w:rPr>
                <w:rFonts w:ascii="Times New Roman" w:hint="eastAsia"/>
                <w:sz w:val="21"/>
                <w:szCs w:val="21"/>
              </w:rPr>
              <w:t>符合</w:t>
            </w:r>
          </w:p>
        </w:tc>
      </w:tr>
      <w:tr w:rsidR="009C353B" w14:paraId="0C2C558C" w14:textId="77777777">
        <w:trPr>
          <w:trHeight w:val="340"/>
          <w:jc w:val="center"/>
        </w:trPr>
        <w:tc>
          <w:tcPr>
            <w:tcW w:w="359" w:type="pct"/>
            <w:vMerge/>
            <w:vAlign w:val="center"/>
          </w:tcPr>
          <w:p w14:paraId="330CE9BF"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1170135D" w14:textId="77777777" w:rsidR="009C353B" w:rsidRDefault="00000000">
            <w:pPr>
              <w:adjustRightInd w:val="0"/>
              <w:snapToGrid w:val="0"/>
              <w:spacing w:line="240" w:lineRule="atLeast"/>
              <w:ind w:leftChars="50" w:left="120" w:rightChars="50" w:right="120"/>
              <w:rPr>
                <w:rFonts w:ascii="Times New Roman" w:hint="eastAsia"/>
                <w:sz w:val="21"/>
                <w:szCs w:val="21"/>
              </w:rPr>
            </w:pPr>
            <w:r>
              <w:rPr>
                <w:rFonts w:ascii="Times New Roman" w:hint="eastAsia"/>
                <w:sz w:val="21"/>
                <w:szCs w:val="21"/>
              </w:rPr>
              <w:t>《宁夏回族自治区矿产资源总体规划（</w:t>
            </w:r>
            <w:r>
              <w:rPr>
                <w:rFonts w:ascii="Times New Roman" w:hint="eastAsia"/>
                <w:sz w:val="21"/>
                <w:szCs w:val="21"/>
              </w:rPr>
              <w:t>2</w:t>
            </w:r>
            <w:r>
              <w:rPr>
                <w:rFonts w:ascii="Times New Roman"/>
                <w:sz w:val="21"/>
                <w:szCs w:val="21"/>
              </w:rPr>
              <w:t>016</w:t>
            </w:r>
            <w:r>
              <w:rPr>
                <w:rFonts w:ascii="Times New Roman" w:hint="eastAsia"/>
                <w:sz w:val="21"/>
                <w:szCs w:val="21"/>
              </w:rPr>
              <w:t>-</w:t>
            </w:r>
            <w:r>
              <w:rPr>
                <w:rFonts w:ascii="Times New Roman"/>
                <w:sz w:val="21"/>
                <w:szCs w:val="21"/>
              </w:rPr>
              <w:t>2020</w:t>
            </w:r>
            <w:r>
              <w:rPr>
                <w:rFonts w:ascii="Times New Roman" w:hint="eastAsia"/>
                <w:sz w:val="21"/>
                <w:szCs w:val="21"/>
              </w:rPr>
              <w:t>年）》</w:t>
            </w:r>
          </w:p>
        </w:tc>
        <w:tc>
          <w:tcPr>
            <w:tcW w:w="2344" w:type="pct"/>
            <w:vAlign w:val="center"/>
          </w:tcPr>
          <w:p w14:paraId="13A39B7F"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规划期划定</w:t>
            </w:r>
            <w:r>
              <w:rPr>
                <w:rFonts w:ascii="Times New Roman" w:hint="eastAsia"/>
                <w:sz w:val="21"/>
                <w:szCs w:val="21"/>
              </w:rPr>
              <w:t>1</w:t>
            </w:r>
            <w:r>
              <w:rPr>
                <w:rFonts w:ascii="Times New Roman"/>
                <w:sz w:val="21"/>
                <w:szCs w:val="21"/>
              </w:rPr>
              <w:t>7</w:t>
            </w:r>
            <w:r>
              <w:rPr>
                <w:rFonts w:ascii="Times New Roman" w:hint="eastAsia"/>
                <w:sz w:val="21"/>
                <w:szCs w:val="21"/>
              </w:rPr>
              <w:t>个重点矿区，其中煤炭重点矿区</w:t>
            </w:r>
            <w:r>
              <w:rPr>
                <w:rFonts w:ascii="Times New Roman" w:hint="eastAsia"/>
                <w:sz w:val="21"/>
                <w:szCs w:val="21"/>
              </w:rPr>
              <w:t>1</w:t>
            </w:r>
            <w:r>
              <w:rPr>
                <w:rFonts w:ascii="Times New Roman"/>
                <w:sz w:val="21"/>
                <w:szCs w:val="21"/>
              </w:rPr>
              <w:t>1</w:t>
            </w:r>
            <w:r>
              <w:rPr>
                <w:rFonts w:ascii="Times New Roman" w:hint="eastAsia"/>
                <w:sz w:val="21"/>
                <w:szCs w:val="21"/>
              </w:rPr>
              <w:t>个，其中包含横城矿区。宁东基地煤炭资源开发利用重大工程，预期成效：宁东煤炭基地煤矿区矿井产能预计达到</w:t>
            </w:r>
            <w:r>
              <w:rPr>
                <w:rFonts w:ascii="Times New Roman" w:hint="eastAsia"/>
                <w:sz w:val="21"/>
                <w:szCs w:val="21"/>
              </w:rPr>
              <w:t>9</w:t>
            </w:r>
            <w:r>
              <w:rPr>
                <w:rFonts w:ascii="Times New Roman"/>
                <w:sz w:val="21"/>
                <w:szCs w:val="21"/>
              </w:rPr>
              <w:t>660</w:t>
            </w:r>
            <w:r>
              <w:rPr>
                <w:rFonts w:ascii="Times New Roman" w:hint="eastAsia"/>
                <w:sz w:val="21"/>
                <w:szCs w:val="21"/>
              </w:rPr>
              <w:t>万吨。</w:t>
            </w:r>
          </w:p>
        </w:tc>
        <w:tc>
          <w:tcPr>
            <w:tcW w:w="1196" w:type="pct"/>
            <w:vAlign w:val="center"/>
          </w:tcPr>
          <w:p w14:paraId="06912045" w14:textId="77777777" w:rsidR="009C353B" w:rsidRDefault="00000000">
            <w:pPr>
              <w:adjustRightInd w:val="0"/>
              <w:snapToGrid w:val="0"/>
              <w:spacing w:line="240" w:lineRule="atLeast"/>
              <w:ind w:rightChars="50" w:right="120"/>
              <w:rPr>
                <w:rFonts w:ascii="Times New Roman" w:hint="eastAsia"/>
                <w:bCs/>
                <w:sz w:val="21"/>
              </w:rPr>
            </w:pPr>
            <w:r>
              <w:rPr>
                <w:rFonts w:ascii="Times New Roman" w:hint="eastAsia"/>
                <w:bCs/>
                <w:sz w:val="21"/>
              </w:rPr>
              <w:t>横城矿区属于矿产资源开发的重点地区宁东煤田；属于</w:t>
            </w:r>
            <w:r>
              <w:rPr>
                <w:rFonts w:ascii="Times New Roman" w:hint="eastAsia"/>
                <w:bCs/>
                <w:sz w:val="21"/>
              </w:rPr>
              <w:t>1</w:t>
            </w:r>
            <w:r>
              <w:rPr>
                <w:rFonts w:ascii="Times New Roman"/>
                <w:bCs/>
                <w:sz w:val="21"/>
              </w:rPr>
              <w:t>1</w:t>
            </w:r>
            <w:r>
              <w:rPr>
                <w:rFonts w:ascii="Times New Roman" w:hint="eastAsia"/>
                <w:bCs/>
                <w:sz w:val="21"/>
              </w:rPr>
              <w:t>个煤炭重点矿区。不属于实施保护性开采的矿产地；不属于矿山地质环境重点治理区。</w:t>
            </w:r>
          </w:p>
        </w:tc>
        <w:tc>
          <w:tcPr>
            <w:tcW w:w="336" w:type="pct"/>
            <w:vAlign w:val="center"/>
          </w:tcPr>
          <w:p w14:paraId="088FB556" w14:textId="77777777" w:rsidR="009C353B" w:rsidRDefault="00000000">
            <w:pPr>
              <w:adjustRightInd w:val="0"/>
              <w:snapToGrid w:val="0"/>
              <w:spacing w:line="240" w:lineRule="atLeast"/>
              <w:ind w:rightChars="50" w:right="120"/>
              <w:jc w:val="center"/>
              <w:rPr>
                <w:rFonts w:ascii="Times New Roman" w:hint="eastAsia"/>
                <w:sz w:val="21"/>
                <w:szCs w:val="21"/>
              </w:rPr>
            </w:pPr>
            <w:r>
              <w:rPr>
                <w:rFonts w:ascii="Times New Roman" w:hAnsi="Times New Roman" w:hint="eastAsia"/>
                <w:sz w:val="21"/>
                <w:szCs w:val="21"/>
              </w:rPr>
              <w:t>符合</w:t>
            </w:r>
          </w:p>
        </w:tc>
      </w:tr>
      <w:tr w:rsidR="009C353B" w14:paraId="24AB54BD" w14:textId="77777777">
        <w:trPr>
          <w:trHeight w:val="1063"/>
          <w:jc w:val="center"/>
        </w:trPr>
        <w:tc>
          <w:tcPr>
            <w:tcW w:w="359" w:type="pct"/>
            <w:vMerge/>
            <w:vAlign w:val="center"/>
          </w:tcPr>
          <w:p w14:paraId="1BDAA345"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2DB64584" w14:textId="77777777" w:rsidR="009C353B" w:rsidRDefault="00000000">
            <w:pPr>
              <w:adjustRightInd w:val="0"/>
              <w:snapToGrid w:val="0"/>
              <w:spacing w:line="240" w:lineRule="atLeast"/>
              <w:ind w:leftChars="50" w:left="120" w:rightChars="50" w:right="120"/>
              <w:rPr>
                <w:rFonts w:ascii="Times New Roman" w:hAnsi="Times New Roman"/>
                <w:sz w:val="21"/>
                <w:szCs w:val="21"/>
              </w:rPr>
            </w:pPr>
            <w:r>
              <w:rPr>
                <w:rFonts w:ascii="Times New Roman" w:hint="eastAsia"/>
                <w:sz w:val="21"/>
                <w:szCs w:val="21"/>
              </w:rPr>
              <w:t>《宁夏回族自治区环境保护“十三五”规划》</w:t>
            </w:r>
          </w:p>
        </w:tc>
        <w:tc>
          <w:tcPr>
            <w:tcW w:w="2344" w:type="pct"/>
            <w:vAlign w:val="center"/>
          </w:tcPr>
          <w:p w14:paraId="44959C50"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主动将宁东能源化工基地纳入重点行业大气污染物特别排放限值执行范围。</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深入推进燃煤锅炉整治。</w:t>
            </w:r>
            <w:r>
              <w:rPr>
                <w:rFonts w:ascii="Times New Roman" w:hAnsi="Times New Roman"/>
                <w:sz w:val="21"/>
                <w:szCs w:val="21"/>
              </w:rPr>
              <w:t>2018</w:t>
            </w:r>
            <w:r>
              <w:rPr>
                <w:rFonts w:ascii="Times New Roman" w:hAnsi="Times New Roman"/>
                <w:sz w:val="21"/>
                <w:szCs w:val="21"/>
              </w:rPr>
              <w:t>年银川市城市建成区以内基本淘汰燃煤锅炉（热电联产、调峰和应急保障锅炉除外），其他地级市城市建成区以内基本淘汰低于</w:t>
            </w:r>
            <w:r>
              <w:rPr>
                <w:rFonts w:ascii="Times New Roman" w:hAnsi="Times New Roman"/>
                <w:sz w:val="21"/>
                <w:szCs w:val="21"/>
              </w:rPr>
              <w:t>20</w:t>
            </w:r>
            <w:r>
              <w:rPr>
                <w:rFonts w:ascii="Times New Roman" w:hAnsi="Times New Roman"/>
                <w:sz w:val="21"/>
                <w:szCs w:val="21"/>
              </w:rPr>
              <w:t>蒸吨</w:t>
            </w:r>
            <w:r>
              <w:rPr>
                <w:rFonts w:ascii="Times New Roman" w:hAnsi="Times New Roman"/>
                <w:sz w:val="21"/>
                <w:szCs w:val="21"/>
              </w:rPr>
              <w:t>/</w:t>
            </w:r>
            <w:r>
              <w:rPr>
                <w:rFonts w:ascii="Times New Roman" w:hAnsi="Times New Roman"/>
                <w:sz w:val="21"/>
                <w:szCs w:val="21"/>
              </w:rPr>
              <w:t>小时的燃煤锅炉。</w:t>
            </w:r>
            <w:r>
              <w:rPr>
                <w:rFonts w:ascii="Times New Roman" w:hAnsi="Times New Roman"/>
                <w:sz w:val="21"/>
                <w:szCs w:val="21"/>
              </w:rPr>
              <w:t>2020</w:t>
            </w:r>
            <w:r>
              <w:rPr>
                <w:rFonts w:ascii="Times New Roman" w:hAnsi="Times New Roman"/>
                <w:sz w:val="21"/>
                <w:szCs w:val="21"/>
              </w:rPr>
              <w:t>年各地级市城市建成区淘汰供暖和工业燃煤锅炉，各县（市、区）城市建成区全部淘汰低于</w:t>
            </w:r>
            <w:r>
              <w:rPr>
                <w:rFonts w:ascii="Times New Roman" w:hAnsi="Times New Roman"/>
                <w:sz w:val="21"/>
                <w:szCs w:val="21"/>
              </w:rPr>
              <w:t>20</w:t>
            </w:r>
            <w:r>
              <w:rPr>
                <w:rFonts w:ascii="Times New Roman" w:hAnsi="Times New Roman"/>
                <w:sz w:val="21"/>
                <w:szCs w:val="21"/>
              </w:rPr>
              <w:t>蒸吨</w:t>
            </w:r>
            <w:r>
              <w:rPr>
                <w:rFonts w:ascii="Times New Roman" w:hAnsi="Times New Roman"/>
                <w:sz w:val="21"/>
                <w:szCs w:val="21"/>
              </w:rPr>
              <w:t>/</w:t>
            </w:r>
            <w:r>
              <w:rPr>
                <w:rFonts w:ascii="Times New Roman" w:hAnsi="Times New Roman"/>
                <w:sz w:val="21"/>
                <w:szCs w:val="21"/>
              </w:rPr>
              <w:t>小时的燃煤锅炉。全区</w:t>
            </w:r>
            <w:r>
              <w:rPr>
                <w:rFonts w:ascii="Times New Roman" w:hAnsi="Times New Roman"/>
                <w:sz w:val="21"/>
                <w:szCs w:val="21"/>
              </w:rPr>
              <w:t>20</w:t>
            </w:r>
            <w:r>
              <w:rPr>
                <w:rFonts w:ascii="Times New Roman" w:hAnsi="Times New Roman"/>
                <w:sz w:val="21"/>
                <w:szCs w:val="21"/>
              </w:rPr>
              <w:t>蒸吨</w:t>
            </w:r>
            <w:r>
              <w:rPr>
                <w:rFonts w:ascii="Times New Roman" w:hAnsi="Times New Roman"/>
                <w:sz w:val="21"/>
                <w:szCs w:val="21"/>
              </w:rPr>
              <w:t>/</w:t>
            </w:r>
            <w:r>
              <w:rPr>
                <w:rFonts w:ascii="Times New Roman" w:hAnsi="Times New Roman"/>
                <w:sz w:val="21"/>
                <w:szCs w:val="21"/>
              </w:rPr>
              <w:t>小时以上燃煤锅炉完成脱硫、脱硝、除尘改造，并安装烟气在线监测系统，达到特别排放限值要求。</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对工业企业堆场实施规范化全封闭管理，易产生扬尘的物料堆场采取封闭式库仓，不具备封闭式库仓改造条件的，应设置不低于料堆高度的严密围挡，且采取覆盖措施有效控制扬尘污染。</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 xml:space="preserve"> “</w:t>
            </w:r>
            <w:r>
              <w:rPr>
                <w:rFonts w:ascii="Times New Roman" w:hAnsi="Times New Roman"/>
                <w:sz w:val="21"/>
                <w:szCs w:val="21"/>
              </w:rPr>
              <w:t>鸭子荡水库银川市控制单元。控制断面：鸭子荡水库，涉及区县灵武市，水质维持在</w:t>
            </w:r>
            <w:r>
              <w:rPr>
                <w:rFonts w:ascii="Times New Roman" w:hAnsi="Times New Roman" w:hint="eastAsia"/>
                <w:sz w:val="21"/>
                <w:szCs w:val="21"/>
              </w:rPr>
              <w:t>Ⅲ</w:t>
            </w:r>
            <w:r>
              <w:rPr>
                <w:rFonts w:ascii="Times New Roman" w:hAnsi="Times New Roman"/>
                <w:sz w:val="21"/>
                <w:szCs w:val="21"/>
              </w:rPr>
              <w:t>类。</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加强对矿山、油田等矿产资源开采活动影响区域内未利用地的环境监管，严防矿产资源开发污染土壤。</w:t>
            </w:r>
            <w:r>
              <w:rPr>
                <w:rFonts w:ascii="Times New Roman" w:hAnsi="Times New Roman"/>
                <w:sz w:val="21"/>
                <w:szCs w:val="21"/>
              </w:rPr>
              <w:t>”</w:t>
            </w:r>
            <w:r>
              <w:rPr>
                <w:rFonts w:ascii="Times New Roman" w:hAnsi="Times New Roman" w:hint="eastAsia"/>
                <w:sz w:val="21"/>
                <w:szCs w:val="21"/>
              </w:rPr>
              <w:t>，“</w:t>
            </w:r>
            <w:r>
              <w:rPr>
                <w:rFonts w:ascii="Times New Roman" w:hAnsi="Times New Roman"/>
                <w:sz w:val="21"/>
                <w:szCs w:val="21"/>
              </w:rPr>
              <w:t>到</w:t>
            </w:r>
            <w:r>
              <w:rPr>
                <w:rFonts w:ascii="Times New Roman" w:hAnsi="Times New Roman"/>
                <w:sz w:val="21"/>
                <w:szCs w:val="21"/>
              </w:rPr>
              <w:t>2020</w:t>
            </w:r>
            <w:r>
              <w:rPr>
                <w:rFonts w:ascii="Times New Roman" w:hAnsi="Times New Roman"/>
                <w:sz w:val="21"/>
                <w:szCs w:val="21"/>
              </w:rPr>
              <w:t>年全区工业固体废物处置率达到</w:t>
            </w:r>
            <w:r>
              <w:rPr>
                <w:rFonts w:ascii="Times New Roman" w:hAnsi="Times New Roman"/>
                <w:sz w:val="21"/>
                <w:szCs w:val="21"/>
              </w:rPr>
              <w:t>100%</w:t>
            </w:r>
            <w:r>
              <w:rPr>
                <w:rFonts w:ascii="Times New Roman" w:hAnsi="Times New Roman"/>
                <w:sz w:val="21"/>
                <w:szCs w:val="21"/>
              </w:rPr>
              <w:t>、综合利用率达到</w:t>
            </w:r>
            <w:r>
              <w:rPr>
                <w:rFonts w:ascii="Times New Roman" w:hAnsi="Times New Roman"/>
                <w:sz w:val="21"/>
                <w:szCs w:val="21"/>
              </w:rPr>
              <w:t>80%</w:t>
            </w:r>
            <w:r>
              <w:rPr>
                <w:rFonts w:ascii="Times New Roman" w:hAnsi="Times New Roman"/>
                <w:sz w:val="21"/>
                <w:szCs w:val="21"/>
              </w:rPr>
              <w:t>以上。</w:t>
            </w:r>
            <w:r>
              <w:rPr>
                <w:rFonts w:ascii="Times New Roman" w:hAnsi="Times New Roman" w:hint="eastAsia"/>
                <w:sz w:val="21"/>
                <w:szCs w:val="21"/>
              </w:rPr>
              <w:t>”</w:t>
            </w:r>
          </w:p>
        </w:tc>
        <w:tc>
          <w:tcPr>
            <w:tcW w:w="1196" w:type="pct"/>
            <w:vAlign w:val="center"/>
          </w:tcPr>
          <w:p w14:paraId="3A9A8E37"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矿区无燃煤锅炉，采取燃气锅炉及电厂供热；对矿井水和生产生活污水全部进行综合利用；煤矸石等低热值煤和劣质煤供给周边低热值煤电厂，利用不畅时可充填沉陷区用于矿区生态治理，后期或以矸石置换井下煤柱，全部回用，</w:t>
            </w:r>
            <w:r>
              <w:rPr>
                <w:rFonts w:ascii="Times New Roman" w:hAnsi="Times New Roman"/>
                <w:sz w:val="21"/>
                <w:szCs w:val="21"/>
              </w:rPr>
              <w:t>处置率达到</w:t>
            </w:r>
            <w:r>
              <w:rPr>
                <w:rFonts w:ascii="Times New Roman" w:hAnsi="Times New Roman"/>
                <w:sz w:val="21"/>
                <w:szCs w:val="21"/>
              </w:rPr>
              <w:t>100%</w:t>
            </w:r>
            <w:r>
              <w:rPr>
                <w:rFonts w:ascii="Times New Roman" w:hAnsi="Times New Roman"/>
                <w:sz w:val="21"/>
                <w:szCs w:val="21"/>
              </w:rPr>
              <w:t>、综合利用率达到</w:t>
            </w:r>
            <w:r>
              <w:rPr>
                <w:rFonts w:ascii="Times New Roman" w:hAnsi="Times New Roman"/>
                <w:sz w:val="21"/>
                <w:szCs w:val="21"/>
              </w:rPr>
              <w:t>100%</w:t>
            </w:r>
            <w:r>
              <w:rPr>
                <w:rFonts w:ascii="Times New Roman" w:hAnsi="Times New Roman" w:hint="eastAsia"/>
                <w:sz w:val="21"/>
                <w:szCs w:val="21"/>
              </w:rPr>
              <w:t>；</w:t>
            </w:r>
            <w:r>
              <w:rPr>
                <w:rFonts w:ascii="Times New Roman" w:hAnsi="Times New Roman" w:hint="eastAsia"/>
                <w:sz w:val="21"/>
                <w:szCs w:val="21"/>
              </w:rPr>
              <w:t xml:space="preserve"> </w:t>
            </w:r>
            <w:r>
              <w:rPr>
                <w:rFonts w:ascii="Times New Roman" w:hAnsi="Times New Roman" w:hint="eastAsia"/>
                <w:sz w:val="21"/>
                <w:szCs w:val="21"/>
              </w:rPr>
              <w:t>矿区开发过程中的生态恢复和保护等没有提出有针对性的具体要求和措施，环评提出了有针对性的环境保护要求、措施和规划调整建议等</w:t>
            </w:r>
          </w:p>
        </w:tc>
        <w:tc>
          <w:tcPr>
            <w:tcW w:w="336" w:type="pct"/>
            <w:vAlign w:val="center"/>
          </w:tcPr>
          <w:p w14:paraId="564EB610"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基本符合</w:t>
            </w:r>
          </w:p>
        </w:tc>
      </w:tr>
      <w:tr w:rsidR="009C353B" w14:paraId="01C48B2E" w14:textId="77777777">
        <w:trPr>
          <w:trHeight w:val="1219"/>
          <w:jc w:val="center"/>
        </w:trPr>
        <w:tc>
          <w:tcPr>
            <w:tcW w:w="359" w:type="pct"/>
            <w:vMerge/>
            <w:vAlign w:val="center"/>
          </w:tcPr>
          <w:p w14:paraId="5BDE90BA"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04632703" w14:textId="77777777" w:rsidR="009C353B" w:rsidRDefault="00000000">
            <w:pPr>
              <w:adjustRightInd w:val="0"/>
              <w:snapToGrid w:val="0"/>
              <w:spacing w:line="240" w:lineRule="atLeast"/>
              <w:ind w:leftChars="50" w:left="120" w:rightChars="50" w:right="120"/>
              <w:rPr>
                <w:rFonts w:ascii="Times New Roman" w:hint="eastAsia"/>
                <w:sz w:val="21"/>
                <w:szCs w:val="21"/>
              </w:rPr>
            </w:pPr>
            <w:bookmarkStart w:id="85" w:name="_Hlk47640239"/>
            <w:r>
              <w:rPr>
                <w:rFonts w:ascii="Times New Roman" w:hint="eastAsia"/>
                <w:szCs w:val="21"/>
              </w:rPr>
              <w:t>《</w:t>
            </w:r>
            <w:r>
              <w:rPr>
                <w:rFonts w:ascii="Times New Roman" w:hint="eastAsia"/>
                <w:sz w:val="21"/>
                <w:szCs w:val="21"/>
              </w:rPr>
              <w:t>宁夏回族自治区国家重点生态功能区产业准入负面清单（试行版）</w:t>
            </w:r>
            <w:r>
              <w:rPr>
                <w:rFonts w:ascii="Times New Roman" w:hint="eastAsia"/>
                <w:szCs w:val="21"/>
              </w:rPr>
              <w:t>》</w:t>
            </w:r>
            <w:bookmarkEnd w:id="85"/>
          </w:p>
        </w:tc>
        <w:tc>
          <w:tcPr>
            <w:tcW w:w="2344" w:type="pct"/>
            <w:vAlign w:val="center"/>
          </w:tcPr>
          <w:p w14:paraId="6ADC3FBB"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该清单主要针对宁夏回族自治区国家重点生态功能区，列出产业准入负面清单项目及管控要求。涉及</w:t>
            </w:r>
            <w:r>
              <w:rPr>
                <w:rFonts w:ascii="Times New Roman" w:hAnsi="Times New Roman" w:hint="eastAsia"/>
                <w:sz w:val="21"/>
                <w:szCs w:val="21"/>
              </w:rPr>
              <w:t>8</w:t>
            </w:r>
            <w:r>
              <w:rPr>
                <w:rFonts w:ascii="Times New Roman" w:hAnsi="Times New Roman" w:hint="eastAsia"/>
                <w:sz w:val="21"/>
                <w:szCs w:val="21"/>
              </w:rPr>
              <w:t>个县分别是：泾源县、西吉县、隆德县、彭阳县、同心县、海原县、红寺堡区、盐池县。</w:t>
            </w:r>
          </w:p>
        </w:tc>
        <w:tc>
          <w:tcPr>
            <w:tcW w:w="1196" w:type="pct"/>
            <w:vAlign w:val="center"/>
          </w:tcPr>
          <w:p w14:paraId="1E85D821"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横城矿区位于灵武市宁东镇，不属于宁夏回族自治区国家重点生态功能区</w:t>
            </w:r>
          </w:p>
        </w:tc>
        <w:tc>
          <w:tcPr>
            <w:tcW w:w="336" w:type="pct"/>
            <w:vAlign w:val="center"/>
          </w:tcPr>
          <w:p w14:paraId="0FC132BF"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4493A5C8" w14:textId="77777777">
        <w:trPr>
          <w:trHeight w:val="1219"/>
          <w:jc w:val="center"/>
        </w:trPr>
        <w:tc>
          <w:tcPr>
            <w:tcW w:w="359" w:type="pct"/>
            <w:vMerge/>
            <w:vAlign w:val="center"/>
          </w:tcPr>
          <w:p w14:paraId="6C1C0341"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09B5C084" w14:textId="77777777" w:rsidR="009C353B" w:rsidRDefault="00000000">
            <w:pPr>
              <w:adjustRightInd w:val="0"/>
              <w:snapToGrid w:val="0"/>
              <w:spacing w:line="240" w:lineRule="atLeast"/>
              <w:ind w:leftChars="50" w:left="120" w:rightChars="50" w:right="120"/>
              <w:rPr>
                <w:rFonts w:ascii="Times New Roman" w:hint="eastAsia"/>
                <w:sz w:val="21"/>
                <w:szCs w:val="21"/>
              </w:rPr>
            </w:pPr>
            <w:bookmarkStart w:id="86" w:name="_Hlk47640318"/>
            <w:r>
              <w:rPr>
                <w:rFonts w:ascii="Times New Roman" w:hint="eastAsia"/>
                <w:sz w:val="21"/>
                <w:szCs w:val="21"/>
              </w:rPr>
              <w:t>自治区人民政府关于发布宁夏回族自治区生态保护红线的通知</w:t>
            </w:r>
            <w:r>
              <w:rPr>
                <w:rFonts w:ascii="Times New Roman" w:hint="eastAsia"/>
                <w:sz w:val="21"/>
                <w:szCs w:val="21"/>
              </w:rPr>
              <w:t xml:space="preserve"> </w:t>
            </w:r>
            <w:r>
              <w:rPr>
                <w:rFonts w:ascii="Times New Roman" w:hint="eastAsia"/>
                <w:sz w:val="21"/>
                <w:szCs w:val="21"/>
              </w:rPr>
              <w:t>宁政发〔</w:t>
            </w:r>
            <w:r>
              <w:rPr>
                <w:rFonts w:ascii="Times New Roman" w:hint="eastAsia"/>
                <w:sz w:val="21"/>
                <w:szCs w:val="21"/>
              </w:rPr>
              <w:t>2018</w:t>
            </w:r>
            <w:r>
              <w:rPr>
                <w:rFonts w:ascii="Times New Roman" w:hint="eastAsia"/>
                <w:sz w:val="21"/>
                <w:szCs w:val="21"/>
              </w:rPr>
              <w:t>〕</w:t>
            </w:r>
            <w:r>
              <w:rPr>
                <w:rFonts w:ascii="Times New Roman" w:hint="eastAsia"/>
                <w:sz w:val="21"/>
                <w:szCs w:val="21"/>
              </w:rPr>
              <w:t>23</w:t>
            </w:r>
            <w:r>
              <w:rPr>
                <w:rFonts w:ascii="Times New Roman" w:hint="eastAsia"/>
                <w:sz w:val="21"/>
                <w:szCs w:val="21"/>
              </w:rPr>
              <w:t>号</w:t>
            </w:r>
            <w:bookmarkEnd w:id="86"/>
          </w:p>
        </w:tc>
        <w:tc>
          <w:tcPr>
            <w:tcW w:w="2344" w:type="pct"/>
            <w:vAlign w:val="center"/>
          </w:tcPr>
          <w:p w14:paraId="1CA741BA"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根据文件要求：横城矿区西侧属罗山—白芨滩生物多样性维护、防风固沙生态保护红线，位于宁夏回族自治区中部，属于生物多样性维护、防风固沙重要区，主要分布在灵武市、利通区、红寺堡区、同心县、盐池县。生态系统类型为荒漠草原、森林生态系统。</w:t>
            </w:r>
          </w:p>
        </w:tc>
        <w:tc>
          <w:tcPr>
            <w:tcW w:w="1196" w:type="pct"/>
            <w:vAlign w:val="center"/>
          </w:tcPr>
          <w:p w14:paraId="579131C5"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横城矿区规划范围位于罗山—白芨滩生物多样性维护、防风固沙生态保护红线之外，不涉及该红线划定范围，具体见图</w:t>
            </w:r>
            <w:r>
              <w:rPr>
                <w:rFonts w:ascii="Times New Roman" w:hAnsi="Times New Roman" w:hint="eastAsia"/>
                <w:sz w:val="21"/>
                <w:szCs w:val="21"/>
              </w:rPr>
              <w:t>2</w:t>
            </w:r>
            <w:r>
              <w:rPr>
                <w:rFonts w:ascii="Times New Roman" w:hAnsi="Times New Roman"/>
                <w:sz w:val="21"/>
                <w:szCs w:val="21"/>
              </w:rPr>
              <w:t>.4</w:t>
            </w:r>
            <w:r>
              <w:rPr>
                <w:rFonts w:ascii="Times New Roman" w:hAnsi="Times New Roman" w:hint="eastAsia"/>
                <w:sz w:val="21"/>
                <w:szCs w:val="21"/>
              </w:rPr>
              <w:t>-</w:t>
            </w:r>
            <w:r>
              <w:rPr>
                <w:rFonts w:ascii="Times New Roman" w:hAnsi="Times New Roman"/>
                <w:sz w:val="21"/>
                <w:szCs w:val="21"/>
              </w:rPr>
              <w:t>2</w:t>
            </w:r>
          </w:p>
        </w:tc>
        <w:tc>
          <w:tcPr>
            <w:tcW w:w="336" w:type="pct"/>
            <w:vAlign w:val="center"/>
          </w:tcPr>
          <w:p w14:paraId="782F2B0E"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r>
              <w:rPr>
                <w:rFonts w:ascii="Times New Roman" w:hAnsi="Times New Roman" w:hint="eastAsia"/>
                <w:sz w:val="21"/>
                <w:szCs w:val="21"/>
              </w:rPr>
              <w:t xml:space="preserve"> </w:t>
            </w:r>
          </w:p>
        </w:tc>
      </w:tr>
      <w:tr w:rsidR="009C353B" w14:paraId="4954E8B6" w14:textId="77777777">
        <w:trPr>
          <w:trHeight w:val="1219"/>
          <w:jc w:val="center"/>
        </w:trPr>
        <w:tc>
          <w:tcPr>
            <w:tcW w:w="359" w:type="pct"/>
            <w:vMerge/>
            <w:vAlign w:val="center"/>
          </w:tcPr>
          <w:p w14:paraId="6F4BC07F"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4824B5FB" w14:textId="77777777" w:rsidR="009C353B" w:rsidRDefault="00000000">
            <w:pPr>
              <w:adjustRightInd w:val="0"/>
              <w:snapToGrid w:val="0"/>
              <w:spacing w:line="240" w:lineRule="atLeast"/>
              <w:ind w:leftChars="50" w:left="120" w:rightChars="50" w:right="120"/>
              <w:rPr>
                <w:rFonts w:ascii="Times New Roman" w:hint="eastAsia"/>
                <w:sz w:val="21"/>
                <w:szCs w:val="21"/>
              </w:rPr>
            </w:pPr>
            <w:r>
              <w:rPr>
                <w:rFonts w:ascii="Times New Roman" w:hint="eastAsia"/>
                <w:sz w:val="21"/>
                <w:szCs w:val="21"/>
              </w:rPr>
              <w:t>宁夏回族自治区人民政府关于实施</w:t>
            </w:r>
          </w:p>
          <w:p w14:paraId="4366431D" w14:textId="77777777" w:rsidR="009C353B" w:rsidRDefault="00000000">
            <w:pPr>
              <w:adjustRightInd w:val="0"/>
              <w:snapToGrid w:val="0"/>
              <w:spacing w:line="240" w:lineRule="atLeast"/>
              <w:ind w:leftChars="50" w:left="120" w:rightChars="50" w:right="120"/>
              <w:rPr>
                <w:rFonts w:ascii="Times New Roman" w:hint="eastAsia"/>
                <w:sz w:val="21"/>
                <w:szCs w:val="21"/>
              </w:rPr>
            </w:pPr>
            <w:r>
              <w:rPr>
                <w:rFonts w:ascii="Times New Roman" w:hint="eastAsia"/>
                <w:sz w:val="21"/>
                <w:szCs w:val="21"/>
              </w:rPr>
              <w:t>“三线一单”生态环境分区管控的意见</w:t>
            </w:r>
          </w:p>
        </w:tc>
        <w:tc>
          <w:tcPr>
            <w:tcW w:w="2344" w:type="pct"/>
            <w:vAlign w:val="center"/>
          </w:tcPr>
          <w:p w14:paraId="45297CB6"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sz w:val="21"/>
                <w:szCs w:val="21"/>
              </w:rPr>
              <w:t>到</w:t>
            </w:r>
            <w:r>
              <w:rPr>
                <w:rFonts w:ascii="Times New Roman" w:hAnsi="Times New Roman"/>
                <w:sz w:val="21"/>
                <w:szCs w:val="21"/>
              </w:rPr>
              <w:t>2025</w:t>
            </w:r>
            <w:r>
              <w:rPr>
                <w:rFonts w:ascii="Times New Roman" w:hAnsi="Times New Roman"/>
                <w:sz w:val="21"/>
                <w:szCs w:val="21"/>
              </w:rPr>
              <w:t>年，全区生态环境质量总体改善，主要污染物排放总量持续降低，环境风险有效管控，建立较为完善的生态环境分区管控体系，生态环境治理体系和治理能力现代化水平显著提升，黄河流域生态保护和高质量发展先行区建设取得阶段性成果。到</w:t>
            </w:r>
            <w:r>
              <w:rPr>
                <w:rFonts w:ascii="Times New Roman" w:hAnsi="Times New Roman"/>
                <w:sz w:val="21"/>
                <w:szCs w:val="21"/>
              </w:rPr>
              <w:t>2035</w:t>
            </w:r>
            <w:r>
              <w:rPr>
                <w:rFonts w:ascii="Times New Roman" w:hAnsi="Times New Roman"/>
                <w:sz w:val="21"/>
                <w:szCs w:val="21"/>
              </w:rPr>
              <w:t>年，全区生态环境质量实现根本好转，节约资源和保护生态环境的空间格局、产业结构、生产生活方式总体形成，建立完善的生态环境分区管控体系，黄河流域生态保护和高质量发展先行区建设取得重大战略成果。</w:t>
            </w:r>
          </w:p>
          <w:p w14:paraId="63A22F67"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sz w:val="21"/>
                <w:szCs w:val="21"/>
              </w:rPr>
              <w:t>将自治区行政区域从生态环境保护角度划分为优先保护单元、重点管控单元、一般管控单元三类环境管控单元</w:t>
            </w:r>
            <w:r>
              <w:rPr>
                <w:rFonts w:ascii="Times New Roman" w:hAnsi="Times New Roman" w:hint="eastAsia"/>
                <w:sz w:val="21"/>
                <w:szCs w:val="21"/>
              </w:rPr>
              <w:t>。</w:t>
            </w:r>
            <w:r>
              <w:rPr>
                <w:rFonts w:ascii="Times New Roman" w:hAnsi="Times New Roman"/>
                <w:sz w:val="21"/>
                <w:szCs w:val="21"/>
              </w:rPr>
              <w:t>重点管控单元主要涉及城镇和工业园区等人口密集、资源开发强度大且污染物排放强度高的区域，以优化空间和产业布局、强化底线约束为导向，突出污染物排放控制和环境风险防控，不断提升资源利用效率，稳步改善生态环境质量。</w:t>
            </w:r>
          </w:p>
        </w:tc>
        <w:tc>
          <w:tcPr>
            <w:tcW w:w="1196" w:type="pct"/>
            <w:vAlign w:val="center"/>
          </w:tcPr>
          <w:p w14:paraId="600161BA" w14:textId="77777777" w:rsidR="009C353B" w:rsidRDefault="00000000">
            <w:pPr>
              <w:adjustRightInd w:val="0"/>
              <w:snapToGrid w:val="0"/>
              <w:spacing w:line="240" w:lineRule="atLeast"/>
              <w:ind w:rightChars="50" w:right="120"/>
              <w:rPr>
                <w:rFonts w:ascii="Times New Roman" w:hAnsi="Times New Roman"/>
                <w:sz w:val="21"/>
                <w:szCs w:val="21"/>
              </w:rPr>
            </w:pPr>
            <w:r>
              <w:rPr>
                <w:rFonts w:ascii="Times New Roman" w:hAnsi="Times New Roman" w:hint="eastAsia"/>
                <w:sz w:val="21"/>
                <w:szCs w:val="21"/>
              </w:rPr>
              <w:t>横城矿区位于宁东基地，属</w:t>
            </w:r>
            <w:r>
              <w:rPr>
                <w:rFonts w:ascii="Times New Roman" w:hAnsi="Times New Roman"/>
                <w:sz w:val="21"/>
                <w:szCs w:val="21"/>
              </w:rPr>
              <w:t>重点管控单元</w:t>
            </w:r>
            <w:r>
              <w:rPr>
                <w:rFonts w:ascii="Times New Roman" w:hAnsi="Times New Roman" w:hint="eastAsia"/>
                <w:sz w:val="21"/>
                <w:szCs w:val="21"/>
              </w:rPr>
              <w:t>，本规划突出污染控制，注重生态环境保护，结合实际提出空间布局优化调整建议。可满足重点管控单元的要求。</w:t>
            </w:r>
          </w:p>
        </w:tc>
        <w:tc>
          <w:tcPr>
            <w:tcW w:w="336" w:type="pct"/>
            <w:vAlign w:val="center"/>
          </w:tcPr>
          <w:p w14:paraId="300EF835"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782D012C" w14:textId="77777777">
        <w:trPr>
          <w:trHeight w:val="274"/>
          <w:jc w:val="center"/>
        </w:trPr>
        <w:tc>
          <w:tcPr>
            <w:tcW w:w="359" w:type="pct"/>
            <w:vMerge/>
            <w:vAlign w:val="center"/>
          </w:tcPr>
          <w:p w14:paraId="597077B1"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4AAC9884" w14:textId="77777777" w:rsidR="009C353B" w:rsidRDefault="00000000">
            <w:pPr>
              <w:adjustRightInd w:val="0"/>
              <w:snapToGrid w:val="0"/>
              <w:spacing w:line="240" w:lineRule="atLeast"/>
              <w:ind w:leftChars="50" w:left="120" w:rightChars="50" w:right="120"/>
              <w:rPr>
                <w:rFonts w:ascii="Times New Roman" w:hAnsi="Times New Roman"/>
                <w:sz w:val="21"/>
                <w:szCs w:val="21"/>
              </w:rPr>
            </w:pPr>
            <w:bookmarkStart w:id="87" w:name="_Hlk47640337"/>
            <w:r>
              <w:rPr>
                <w:rFonts w:ascii="Times New Roman" w:hAnsi="Times New Roman" w:hint="eastAsia"/>
                <w:sz w:val="21"/>
                <w:szCs w:val="21"/>
              </w:rPr>
              <w:t>银川市打赢蓝天保卫战三年行动计划</w:t>
            </w:r>
            <w:r>
              <w:rPr>
                <w:rFonts w:ascii="Times New Roman" w:hAnsi="Times New Roman"/>
                <w:sz w:val="21"/>
                <w:szCs w:val="21"/>
              </w:rPr>
              <w:t> </w:t>
            </w:r>
            <w:r>
              <w:rPr>
                <w:rFonts w:ascii="Times New Roman" w:hAnsi="Times New Roman" w:hint="eastAsia"/>
                <w:sz w:val="21"/>
                <w:szCs w:val="21"/>
              </w:rPr>
              <w:t>（</w:t>
            </w:r>
            <w:r>
              <w:rPr>
                <w:rFonts w:ascii="Times New Roman" w:hAnsi="Times New Roman"/>
                <w:sz w:val="21"/>
                <w:szCs w:val="21"/>
              </w:rPr>
              <w:t>2018</w:t>
            </w:r>
            <w:r>
              <w:rPr>
                <w:rFonts w:ascii="Times New Roman" w:hAnsi="Times New Roman" w:hint="eastAsia"/>
                <w:sz w:val="21"/>
                <w:szCs w:val="21"/>
              </w:rPr>
              <w:t>年</w:t>
            </w:r>
            <w:r>
              <w:rPr>
                <w:rFonts w:ascii="Times New Roman" w:hAnsi="Times New Roman"/>
                <w:sz w:val="21"/>
                <w:szCs w:val="21"/>
              </w:rPr>
              <w:t>—2020</w:t>
            </w:r>
            <w:r>
              <w:rPr>
                <w:rFonts w:ascii="Times New Roman" w:hAnsi="Times New Roman" w:hint="eastAsia"/>
                <w:sz w:val="21"/>
                <w:szCs w:val="21"/>
              </w:rPr>
              <w:t>年）、</w:t>
            </w:r>
            <w:r>
              <w:rPr>
                <w:rFonts w:ascii="Times New Roman" w:hAnsi="Times New Roman" w:hint="eastAsia"/>
                <w:sz w:val="21"/>
                <w:szCs w:val="21"/>
              </w:rPr>
              <w:t>2019</w:t>
            </w:r>
            <w:r>
              <w:rPr>
                <w:rFonts w:ascii="Times New Roman" w:hAnsi="Times New Roman" w:hint="eastAsia"/>
                <w:sz w:val="21"/>
                <w:szCs w:val="21"/>
              </w:rPr>
              <w:t>年度银川市打赢蓝天保卫战实施方案</w:t>
            </w:r>
            <w:bookmarkEnd w:id="87"/>
          </w:p>
        </w:tc>
        <w:tc>
          <w:tcPr>
            <w:tcW w:w="2344" w:type="pct"/>
            <w:vAlign w:val="center"/>
          </w:tcPr>
          <w:p w14:paraId="5A63EA46"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“全面执行二氧化硫、氮氧化物、颗粒物特别排放限值。”“对物料运输、装卸、转移和工艺过程等无组织排放实施深度治理，</w:t>
            </w:r>
            <w:r>
              <w:rPr>
                <w:rFonts w:ascii="Times New Roman"/>
                <w:sz w:val="21"/>
                <w:szCs w:val="21"/>
              </w:rPr>
              <w:t>2020</w:t>
            </w:r>
            <w:r>
              <w:rPr>
                <w:rFonts w:ascii="Times New Roman" w:hint="eastAsia"/>
                <w:sz w:val="21"/>
                <w:szCs w:val="21"/>
              </w:rPr>
              <w:t>年底前基本完成。加强堆场扬尘污染治理。组织对工业企业大型料堆、工业固体废弃物堆场进行全面排查并建立清单，制定堆场扬尘整治计划，实行</w:t>
            </w:r>
            <w:r>
              <w:rPr>
                <w:rFonts w:ascii="Times New Roman"/>
                <w:sz w:val="21"/>
                <w:szCs w:val="21"/>
              </w:rPr>
              <w:t>“</w:t>
            </w:r>
            <w:r>
              <w:rPr>
                <w:rFonts w:ascii="Times New Roman" w:hint="eastAsia"/>
                <w:sz w:val="21"/>
                <w:szCs w:val="21"/>
              </w:rPr>
              <w:t>一企一策</w:t>
            </w:r>
            <w:r>
              <w:rPr>
                <w:rFonts w:ascii="Times New Roman"/>
                <w:sz w:val="21"/>
                <w:szCs w:val="21"/>
              </w:rPr>
              <w:t>”</w:t>
            </w:r>
            <w:r>
              <w:rPr>
                <w:rFonts w:ascii="Times New Roman" w:hint="eastAsia"/>
                <w:sz w:val="21"/>
                <w:szCs w:val="21"/>
              </w:rPr>
              <w:t>。”“新建燃气锅炉要同步实现低氮改造，</w:t>
            </w:r>
            <w:r>
              <w:rPr>
                <w:rFonts w:ascii="Times New Roman"/>
                <w:sz w:val="21"/>
                <w:szCs w:val="21"/>
              </w:rPr>
              <w:t>2020</w:t>
            </w:r>
            <w:r>
              <w:rPr>
                <w:rFonts w:ascii="Times New Roman" w:hint="eastAsia"/>
                <w:sz w:val="21"/>
                <w:szCs w:val="21"/>
              </w:rPr>
              <w:t>年底前，完成城市建成区现有燃气锅炉低氮燃烧改造。”</w:t>
            </w:r>
          </w:p>
        </w:tc>
        <w:tc>
          <w:tcPr>
            <w:tcW w:w="1196" w:type="pct"/>
            <w:vAlign w:val="center"/>
          </w:tcPr>
          <w:p w14:paraId="461F75F7"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任家庄矿井完成锅炉房改造，全部改为燃气锅炉，且设置低氮燃烧，可满足《锅炉大气污染物排放标准》表</w:t>
            </w:r>
            <w:r>
              <w:rPr>
                <w:rFonts w:ascii="Times New Roman" w:hint="eastAsia"/>
                <w:sz w:val="21"/>
                <w:szCs w:val="21"/>
              </w:rPr>
              <w:t>3</w:t>
            </w:r>
            <w:r>
              <w:rPr>
                <w:rFonts w:ascii="Times New Roman" w:hint="eastAsia"/>
                <w:sz w:val="21"/>
                <w:szCs w:val="21"/>
              </w:rPr>
              <w:t>燃气锅炉特别排放限值；红石湾由垃圾焚烧电厂供热、马莲台矿井由园区电站供热不设锅炉房。丁家梁设燃气锅炉房，低氮燃烧。</w:t>
            </w:r>
          </w:p>
        </w:tc>
        <w:tc>
          <w:tcPr>
            <w:tcW w:w="336" w:type="pct"/>
            <w:vAlign w:val="center"/>
          </w:tcPr>
          <w:p w14:paraId="3FFD6C35"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5BFA1508" w14:textId="77777777">
        <w:trPr>
          <w:trHeight w:val="1362"/>
          <w:jc w:val="center"/>
        </w:trPr>
        <w:tc>
          <w:tcPr>
            <w:tcW w:w="359" w:type="pct"/>
            <w:vMerge/>
            <w:vAlign w:val="center"/>
          </w:tcPr>
          <w:p w14:paraId="7192DF9B"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2A99296F" w14:textId="77777777" w:rsidR="009C353B" w:rsidRDefault="00000000">
            <w:pPr>
              <w:adjustRightInd w:val="0"/>
              <w:snapToGrid w:val="0"/>
              <w:spacing w:line="240" w:lineRule="atLeast"/>
              <w:ind w:leftChars="50" w:left="120" w:rightChars="50" w:right="120"/>
              <w:rPr>
                <w:rFonts w:ascii="Times New Roman" w:hAnsi="Times New Roman"/>
                <w:sz w:val="21"/>
                <w:szCs w:val="21"/>
              </w:rPr>
            </w:pPr>
            <w:bookmarkStart w:id="88" w:name="_Hlk47640973"/>
            <w:r>
              <w:rPr>
                <w:rFonts w:ascii="Times New Roman" w:hAnsi="Times New Roman" w:hint="eastAsia"/>
                <w:sz w:val="21"/>
                <w:szCs w:val="21"/>
              </w:rPr>
              <w:t>银川市推进净土保卫战三年行动方案（</w:t>
            </w:r>
            <w:r>
              <w:rPr>
                <w:rFonts w:ascii="Times New Roman" w:hAnsi="Times New Roman" w:hint="eastAsia"/>
                <w:sz w:val="21"/>
                <w:szCs w:val="21"/>
              </w:rPr>
              <w:t>2018</w:t>
            </w:r>
            <w:r>
              <w:rPr>
                <w:rFonts w:ascii="Times New Roman" w:hAnsi="Times New Roman" w:hint="eastAsia"/>
                <w:sz w:val="21"/>
                <w:szCs w:val="21"/>
              </w:rPr>
              <w:t>—</w:t>
            </w:r>
            <w:r>
              <w:rPr>
                <w:rFonts w:ascii="Times New Roman" w:hAnsi="Times New Roman" w:hint="eastAsia"/>
                <w:sz w:val="21"/>
                <w:szCs w:val="21"/>
              </w:rPr>
              <w:t>2020</w:t>
            </w:r>
            <w:r>
              <w:rPr>
                <w:rFonts w:ascii="Times New Roman" w:hAnsi="Times New Roman" w:hint="eastAsia"/>
                <w:sz w:val="21"/>
                <w:szCs w:val="21"/>
              </w:rPr>
              <w:t>年）</w:t>
            </w:r>
            <w:bookmarkEnd w:id="88"/>
          </w:p>
        </w:tc>
        <w:tc>
          <w:tcPr>
            <w:tcW w:w="2344" w:type="pct"/>
            <w:vAlign w:val="center"/>
          </w:tcPr>
          <w:p w14:paraId="50D73EFF"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 xml:space="preserve"> </w:t>
            </w:r>
            <w:r>
              <w:rPr>
                <w:rFonts w:ascii="Times New Roman" w:hint="eastAsia"/>
                <w:sz w:val="21"/>
                <w:szCs w:val="21"/>
              </w:rPr>
              <w:t>“明确监管重点，重点监测土壤中镉、汞、砷、铅、铬等重金属和多环芳烃、石油烃等有机污染物”，“严厉打击非法排放有毒有害污染物、违法违规存放危险化学品、非法处置危险废物、不正常使用污染治理设施”，“认真落实《自治区资源综合利用企业示范创建实施方案（</w:t>
            </w:r>
            <w:r>
              <w:rPr>
                <w:rFonts w:ascii="Times New Roman" w:hint="eastAsia"/>
                <w:sz w:val="21"/>
                <w:szCs w:val="21"/>
              </w:rPr>
              <w:t>2018</w:t>
            </w:r>
            <w:r>
              <w:rPr>
                <w:rFonts w:ascii="Times New Roman" w:hint="eastAsia"/>
                <w:sz w:val="21"/>
                <w:szCs w:val="21"/>
              </w:rPr>
              <w:t>—</w:t>
            </w:r>
            <w:r>
              <w:rPr>
                <w:rFonts w:ascii="Times New Roman" w:hint="eastAsia"/>
                <w:sz w:val="21"/>
                <w:szCs w:val="21"/>
              </w:rPr>
              <w:t>2020</w:t>
            </w:r>
            <w:r>
              <w:rPr>
                <w:rFonts w:ascii="Times New Roman" w:hint="eastAsia"/>
                <w:sz w:val="21"/>
                <w:szCs w:val="21"/>
              </w:rPr>
              <w:t>年）》，通过示范引导，加快消纳粉煤灰、脱硫石膏、煤矸石等大宗工业固废”，“对危险废物、医疗废物、重量在</w:t>
            </w:r>
            <w:r>
              <w:rPr>
                <w:rFonts w:ascii="Times New Roman" w:hint="eastAsia"/>
                <w:sz w:val="21"/>
                <w:szCs w:val="21"/>
              </w:rPr>
              <w:t>100</w:t>
            </w:r>
            <w:r>
              <w:rPr>
                <w:rFonts w:ascii="Times New Roman" w:hint="eastAsia"/>
                <w:sz w:val="21"/>
                <w:szCs w:val="21"/>
              </w:rPr>
              <w:t>吨以上的一般工业固体废物和体积在</w:t>
            </w:r>
            <w:r>
              <w:rPr>
                <w:rFonts w:ascii="Times New Roman" w:hint="eastAsia"/>
                <w:sz w:val="21"/>
                <w:szCs w:val="21"/>
              </w:rPr>
              <w:t>500</w:t>
            </w:r>
            <w:r>
              <w:rPr>
                <w:rFonts w:ascii="Times New Roman" w:hint="eastAsia"/>
                <w:sz w:val="21"/>
                <w:szCs w:val="21"/>
              </w:rPr>
              <w:t>立方米以上的生活垃圾，要按职责分工，制定“一点一策”整改工作方案并有序实施。开展工业固体废物贮存处置场所环境综合整治，以尾矿、煤矸石、工业副产石膏、粉煤灰、冶炼渣、电石渣、铬渣、砷渣，以及脱硫、脱硝、除尘产生的固体废物堆存场所为重点，规范全市固体废物堆存场所的建设、贮存、处置，完善防扬散、防流失、防渗漏等设施。”</w:t>
            </w:r>
          </w:p>
        </w:tc>
        <w:tc>
          <w:tcPr>
            <w:tcW w:w="1196" w:type="pct"/>
            <w:vAlign w:val="center"/>
          </w:tcPr>
          <w:p w14:paraId="6C9894E6"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横城矿区现有生产矿井危险废物排放量较小，均交由有资质的危废处理公司处置；煤矸石</w:t>
            </w:r>
            <w:r>
              <w:rPr>
                <w:rFonts w:ascii="Times New Roman"/>
                <w:sz w:val="21"/>
                <w:szCs w:val="21"/>
              </w:rPr>
              <w:t>原则上不升井，填充井下废弃巷道。</w:t>
            </w:r>
            <w:r>
              <w:rPr>
                <w:rFonts w:ascii="Times New Roman" w:hint="eastAsia"/>
                <w:sz w:val="21"/>
                <w:szCs w:val="21"/>
              </w:rPr>
              <w:t>洗选矸石全部送至</w:t>
            </w:r>
            <w:r>
              <w:rPr>
                <w:rFonts w:ascii="Times New Roman"/>
                <w:sz w:val="21"/>
                <w:szCs w:val="21"/>
              </w:rPr>
              <w:t>规划区附近</w:t>
            </w:r>
            <w:r>
              <w:rPr>
                <w:rFonts w:ascii="Times New Roman" w:hint="eastAsia"/>
                <w:sz w:val="21"/>
                <w:szCs w:val="21"/>
              </w:rPr>
              <w:t>的灵州矸石电厂、</w:t>
            </w:r>
            <w:r>
              <w:rPr>
                <w:rFonts w:ascii="Times New Roman"/>
                <w:sz w:val="21"/>
                <w:szCs w:val="21"/>
              </w:rPr>
              <w:t>宝丰低热值煤综合利用电厂，</w:t>
            </w:r>
            <w:r>
              <w:rPr>
                <w:rFonts w:ascii="Times New Roman" w:hAnsi="Times New Roman" w:hint="eastAsia"/>
                <w:sz w:val="21"/>
                <w:szCs w:val="21"/>
              </w:rPr>
              <w:t>利用不畅时可充填沉陷区用于矿区生态治理，后期或以矸石置换井下煤柱</w:t>
            </w:r>
            <w:r>
              <w:rPr>
                <w:rFonts w:ascii="Times New Roman" w:hAnsi="Times New Roman"/>
                <w:sz w:val="21"/>
                <w:szCs w:val="21"/>
              </w:rPr>
              <w:t>。</w:t>
            </w:r>
          </w:p>
        </w:tc>
        <w:tc>
          <w:tcPr>
            <w:tcW w:w="336" w:type="pct"/>
            <w:vAlign w:val="center"/>
          </w:tcPr>
          <w:p w14:paraId="34953AB6"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0AD83D8E" w14:textId="77777777">
        <w:trPr>
          <w:trHeight w:val="354"/>
          <w:jc w:val="center"/>
        </w:trPr>
        <w:tc>
          <w:tcPr>
            <w:tcW w:w="359" w:type="pct"/>
            <w:vMerge/>
            <w:vAlign w:val="center"/>
          </w:tcPr>
          <w:p w14:paraId="2405C799"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0CC6FD72" w14:textId="77777777" w:rsidR="009C353B" w:rsidRDefault="00000000">
            <w:pPr>
              <w:adjustRightInd w:val="0"/>
              <w:snapToGrid w:val="0"/>
              <w:spacing w:line="240" w:lineRule="atLeast"/>
              <w:ind w:leftChars="50" w:left="120" w:rightChars="50" w:right="120"/>
              <w:rPr>
                <w:rFonts w:ascii="Times New Roman" w:hAnsi="Times New Roman"/>
                <w:sz w:val="21"/>
                <w:szCs w:val="21"/>
              </w:rPr>
            </w:pPr>
            <w:bookmarkStart w:id="89" w:name="_Hlk47640986"/>
            <w:r>
              <w:rPr>
                <w:rFonts w:ascii="Times New Roman" w:hAnsi="Times New Roman" w:hint="eastAsia"/>
                <w:sz w:val="21"/>
                <w:szCs w:val="21"/>
              </w:rPr>
              <w:t>2019</w:t>
            </w:r>
            <w:r>
              <w:rPr>
                <w:rFonts w:ascii="Times New Roman" w:hAnsi="Times New Roman" w:hint="eastAsia"/>
                <w:sz w:val="21"/>
                <w:szCs w:val="21"/>
              </w:rPr>
              <w:t>年度银川市生态立市战略实施方案</w:t>
            </w:r>
            <w:bookmarkEnd w:id="89"/>
          </w:p>
        </w:tc>
        <w:tc>
          <w:tcPr>
            <w:tcW w:w="2344" w:type="pct"/>
            <w:vAlign w:val="center"/>
          </w:tcPr>
          <w:p w14:paraId="48F5AF1E"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“守护好白芨滩自然保护区生态环境，构建“黄金河岸”生态廊道”，“加大对贺兰山、白芨滩国家级自然保护区的保护力度。对保护区森林资源及生物多样性进行严格保护。”“</w:t>
            </w:r>
            <w:r>
              <w:rPr>
                <w:rFonts w:ascii="Times New Roman" w:hint="eastAsia"/>
                <w:sz w:val="21"/>
                <w:szCs w:val="21"/>
              </w:rPr>
              <w:t>2019</w:t>
            </w:r>
            <w:r>
              <w:rPr>
                <w:rFonts w:ascii="Times New Roman" w:hint="eastAsia"/>
                <w:sz w:val="21"/>
                <w:szCs w:val="21"/>
              </w:rPr>
              <w:t>年工业用水重复利用率达到</w:t>
            </w:r>
            <w:r>
              <w:rPr>
                <w:rFonts w:ascii="Times New Roman" w:hint="eastAsia"/>
                <w:sz w:val="21"/>
                <w:szCs w:val="21"/>
              </w:rPr>
              <w:t>85%</w:t>
            </w:r>
            <w:r>
              <w:rPr>
                <w:rFonts w:ascii="Times New Roman" w:hint="eastAsia"/>
                <w:sz w:val="21"/>
                <w:szCs w:val="21"/>
              </w:rPr>
              <w:t>以上。”“确保工业危险废物规范化处理利用率稳定达到</w:t>
            </w:r>
            <w:r>
              <w:rPr>
                <w:rFonts w:ascii="Times New Roman" w:hint="eastAsia"/>
                <w:sz w:val="21"/>
                <w:szCs w:val="21"/>
              </w:rPr>
              <w:t>100%</w:t>
            </w:r>
            <w:r>
              <w:rPr>
                <w:rFonts w:ascii="Times New Roman" w:hint="eastAsia"/>
                <w:sz w:val="21"/>
                <w:szCs w:val="21"/>
              </w:rPr>
              <w:t>。”</w:t>
            </w:r>
          </w:p>
        </w:tc>
        <w:tc>
          <w:tcPr>
            <w:tcW w:w="1196" w:type="pct"/>
            <w:vAlign w:val="center"/>
          </w:tcPr>
          <w:p w14:paraId="144BEE4A"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矿区与白芨滩自然保护区无重叠，煤炭开采不会对其产生较大影响；矿区矿井水及生活污水全部回用，不外排；工业危险废物全部交有资质的危废处置企业进行处置，规范化处理利用率可达到</w:t>
            </w:r>
            <w:r>
              <w:rPr>
                <w:rFonts w:ascii="Times New Roman" w:hint="eastAsia"/>
                <w:sz w:val="21"/>
                <w:szCs w:val="21"/>
              </w:rPr>
              <w:t>100%</w:t>
            </w:r>
            <w:r>
              <w:rPr>
                <w:rFonts w:ascii="Times New Roman" w:hint="eastAsia"/>
                <w:sz w:val="21"/>
                <w:szCs w:val="21"/>
              </w:rPr>
              <w:t>。</w:t>
            </w:r>
          </w:p>
        </w:tc>
        <w:tc>
          <w:tcPr>
            <w:tcW w:w="336" w:type="pct"/>
            <w:vAlign w:val="center"/>
          </w:tcPr>
          <w:p w14:paraId="40013EEF"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54BD036A" w14:textId="77777777">
        <w:trPr>
          <w:trHeight w:val="841"/>
          <w:jc w:val="center"/>
        </w:trPr>
        <w:tc>
          <w:tcPr>
            <w:tcW w:w="359" w:type="pct"/>
            <w:vMerge/>
            <w:vAlign w:val="center"/>
          </w:tcPr>
          <w:p w14:paraId="24BE2530"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2DA5698C" w14:textId="77777777" w:rsidR="009C353B" w:rsidRDefault="00000000">
            <w:pPr>
              <w:adjustRightInd w:val="0"/>
              <w:snapToGrid w:val="0"/>
              <w:spacing w:line="240" w:lineRule="atLeast"/>
              <w:ind w:leftChars="50" w:left="120" w:rightChars="50" w:right="120"/>
              <w:rPr>
                <w:rFonts w:ascii="Times New Roman" w:hAnsi="Times New Roman"/>
                <w:sz w:val="21"/>
                <w:szCs w:val="21"/>
              </w:rPr>
            </w:pPr>
            <w:bookmarkStart w:id="90" w:name="_Hlk47640998"/>
            <w:r>
              <w:rPr>
                <w:rFonts w:ascii="Times New Roman" w:hAnsi="Times New Roman" w:hint="eastAsia"/>
                <w:sz w:val="21"/>
                <w:szCs w:val="21"/>
              </w:rPr>
              <w:t>《灵武市国民经济和社会发展第十三个五年规划纲要》（修订本）</w:t>
            </w:r>
            <w:r>
              <w:rPr>
                <w:rFonts w:ascii="Times New Roman" w:hAnsi="Times New Roman" w:hint="eastAsia"/>
                <w:sz w:val="21"/>
                <w:szCs w:val="21"/>
              </w:rPr>
              <w:t>2</w:t>
            </w:r>
            <w:r>
              <w:rPr>
                <w:rFonts w:ascii="Times New Roman" w:hAnsi="Times New Roman"/>
                <w:sz w:val="21"/>
                <w:szCs w:val="21"/>
              </w:rPr>
              <w:t>018</w:t>
            </w:r>
            <w:r>
              <w:rPr>
                <w:rFonts w:ascii="Times New Roman" w:hAnsi="Times New Roman" w:hint="eastAsia"/>
                <w:sz w:val="21"/>
                <w:szCs w:val="21"/>
              </w:rPr>
              <w:t>年</w:t>
            </w:r>
            <w:r>
              <w:rPr>
                <w:rFonts w:ascii="Times New Roman" w:hAnsi="Times New Roman" w:hint="eastAsia"/>
                <w:sz w:val="21"/>
                <w:szCs w:val="21"/>
              </w:rPr>
              <w:t>9</w:t>
            </w:r>
            <w:r>
              <w:rPr>
                <w:rFonts w:ascii="Times New Roman" w:hAnsi="Times New Roman" w:hint="eastAsia"/>
                <w:sz w:val="21"/>
                <w:szCs w:val="21"/>
              </w:rPr>
              <w:t>月</w:t>
            </w:r>
            <w:bookmarkEnd w:id="90"/>
          </w:p>
        </w:tc>
        <w:tc>
          <w:tcPr>
            <w:tcW w:w="2344" w:type="pct"/>
            <w:vAlign w:val="center"/>
          </w:tcPr>
          <w:p w14:paraId="3DCEE1CC"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规划主要任务：“优化提升煤电化接续产业。</w:t>
            </w:r>
            <w:r>
              <w:rPr>
                <w:rFonts w:ascii="Times New Roman"/>
                <w:sz w:val="21"/>
                <w:szCs w:val="21"/>
              </w:rPr>
              <w:t>立足宁东能源化工基地，以煤化工等产业链为主导，打造以石油加工为主的化工产业集群……</w:t>
            </w:r>
            <w:r>
              <w:rPr>
                <w:rFonts w:ascii="Times New Roman" w:hint="eastAsia"/>
                <w:sz w:val="21"/>
                <w:szCs w:val="21"/>
              </w:rPr>
              <w:t>，（</w:t>
            </w:r>
            <w:r>
              <w:rPr>
                <w:rFonts w:ascii="Times New Roman" w:hint="eastAsia"/>
                <w:sz w:val="21"/>
                <w:szCs w:val="21"/>
              </w:rPr>
              <w:t>1</w:t>
            </w:r>
            <w:r>
              <w:rPr>
                <w:rFonts w:ascii="Times New Roman" w:hint="eastAsia"/>
                <w:sz w:val="21"/>
                <w:szCs w:val="21"/>
              </w:rPr>
              <w:t>）煤炭及洗选加工：……任家庄煤矿扩建项目</w:t>
            </w:r>
            <w:r>
              <w:rPr>
                <w:rFonts w:ascii="Times New Roman"/>
                <w:sz w:val="21"/>
                <w:szCs w:val="21"/>
              </w:rPr>
              <w:t>；</w:t>
            </w:r>
            <w:r>
              <w:rPr>
                <w:rFonts w:ascii="Times New Roman" w:hint="eastAsia"/>
                <w:sz w:val="21"/>
                <w:szCs w:val="21"/>
              </w:rPr>
              <w:t>甜水河煤矿、双马二矿等</w:t>
            </w:r>
            <w:r>
              <w:rPr>
                <w:rFonts w:ascii="Times New Roman"/>
                <w:sz w:val="21"/>
                <w:szCs w:val="21"/>
              </w:rPr>
              <w:t>煤矿新建项目</w:t>
            </w:r>
            <w:r>
              <w:rPr>
                <w:rFonts w:ascii="Times New Roman" w:hint="eastAsia"/>
                <w:sz w:val="21"/>
                <w:szCs w:val="21"/>
              </w:rPr>
              <w:t>”，“对自然保护区和重要湿地依法实施强制性保护，维护自然生态的原真性、完整性。”</w:t>
            </w:r>
          </w:p>
        </w:tc>
        <w:tc>
          <w:tcPr>
            <w:tcW w:w="1196" w:type="pct"/>
            <w:vAlign w:val="center"/>
          </w:tcPr>
          <w:p w14:paraId="44B922F4"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横城矿区共个</w:t>
            </w:r>
            <w:r>
              <w:rPr>
                <w:rFonts w:ascii="Times New Roman" w:hint="eastAsia"/>
                <w:sz w:val="21"/>
                <w:szCs w:val="21"/>
              </w:rPr>
              <w:t>4</w:t>
            </w:r>
            <w:r>
              <w:rPr>
                <w:rFonts w:ascii="Times New Roman" w:hint="eastAsia"/>
                <w:sz w:val="21"/>
                <w:szCs w:val="21"/>
              </w:rPr>
              <w:t>煤矿，所开采原煤主要供给对象为</w:t>
            </w:r>
            <w:r>
              <w:rPr>
                <w:rFonts w:ascii="Times New Roman"/>
                <w:sz w:val="21"/>
                <w:szCs w:val="21"/>
              </w:rPr>
              <w:t>宁东能源化工基地</w:t>
            </w:r>
            <w:r>
              <w:rPr>
                <w:rFonts w:ascii="Times New Roman" w:hint="eastAsia"/>
                <w:sz w:val="21"/>
                <w:szCs w:val="21"/>
              </w:rPr>
              <w:t>；任家庄煤矿为横城矿区重要组成部分，本次规划修编将甜水河勘查区合并入丁家梁煤矿井田开发。</w:t>
            </w:r>
          </w:p>
        </w:tc>
        <w:tc>
          <w:tcPr>
            <w:tcW w:w="336" w:type="pct"/>
            <w:vAlign w:val="center"/>
          </w:tcPr>
          <w:p w14:paraId="0D7ECE4C"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70CA0D9F" w14:textId="77777777">
        <w:trPr>
          <w:trHeight w:val="1124"/>
          <w:jc w:val="center"/>
        </w:trPr>
        <w:tc>
          <w:tcPr>
            <w:tcW w:w="359" w:type="pct"/>
            <w:vMerge/>
            <w:vAlign w:val="center"/>
          </w:tcPr>
          <w:p w14:paraId="7238D01F"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08953492" w14:textId="77777777" w:rsidR="009C353B" w:rsidRDefault="00000000">
            <w:pPr>
              <w:adjustRightInd w:val="0"/>
              <w:snapToGrid w:val="0"/>
              <w:spacing w:line="240" w:lineRule="atLeast"/>
              <w:ind w:leftChars="50" w:left="120" w:rightChars="50" w:right="120"/>
              <w:rPr>
                <w:rFonts w:ascii="Times New Roman" w:hAnsi="Times New Roman"/>
                <w:sz w:val="21"/>
                <w:szCs w:val="21"/>
              </w:rPr>
            </w:pPr>
            <w:bookmarkStart w:id="91" w:name="_Hlk47641024"/>
            <w:r>
              <w:rPr>
                <w:rFonts w:ascii="Times New Roman" w:hint="eastAsia"/>
                <w:sz w:val="21"/>
                <w:szCs w:val="21"/>
              </w:rPr>
              <w:t>《灵武市环境保护“十三五”规划》</w:t>
            </w:r>
            <w:bookmarkEnd w:id="91"/>
          </w:p>
        </w:tc>
        <w:tc>
          <w:tcPr>
            <w:tcW w:w="2344" w:type="pct"/>
            <w:vAlign w:val="center"/>
          </w:tcPr>
          <w:p w14:paraId="5F0E6987"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严格实施污染物排放总量控制”，“加强集中式饮用水水源地的保护”，“加大对固体废物产生量大、严重破坏生态环境的煤炭及其他非金属资源开采企业的监管，减少矸石、尾矿等的产生量”，“切实做好白芨滩国家级自然保护区的生态保护，建成荒漠地区生物多样性保护的示范基地。合理规划公路、铁路等线性工程走廊，不得穿越保护区的核心区和缓冲区。保护区周围的工矿企业“三废”要完全达标排放，在保护区与工业活动密集地区建立防护隔离带，预防地表沉陷对生态保护区的不利影响。”</w:t>
            </w:r>
          </w:p>
        </w:tc>
        <w:tc>
          <w:tcPr>
            <w:tcW w:w="1196" w:type="pct"/>
            <w:vAlign w:val="center"/>
          </w:tcPr>
          <w:p w14:paraId="46F34B7D"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任家庄矿井完成锅炉房改造，全部改为燃气锅炉，且设置低氮燃烧，可满足《锅炉大气污染物排放标准》表</w:t>
            </w:r>
            <w:r>
              <w:rPr>
                <w:rFonts w:ascii="Times New Roman" w:hint="eastAsia"/>
                <w:sz w:val="21"/>
                <w:szCs w:val="21"/>
              </w:rPr>
              <w:t>3</w:t>
            </w:r>
            <w:r>
              <w:rPr>
                <w:rFonts w:ascii="Times New Roman" w:hint="eastAsia"/>
                <w:sz w:val="21"/>
                <w:szCs w:val="21"/>
              </w:rPr>
              <w:t>燃气锅炉特别排放限值；红石湾由垃圾焚烧电铲厂供热、马莲台矿井由园区电站供热不设锅炉房；矿区矿井水及生活污水全部回用，不外排；鸭子荡水库坝址轴线下游</w:t>
            </w:r>
            <w:r>
              <w:rPr>
                <w:rFonts w:ascii="Times New Roman" w:hint="eastAsia"/>
                <w:sz w:val="21"/>
                <w:szCs w:val="21"/>
              </w:rPr>
              <w:t>1</w:t>
            </w:r>
            <w:r>
              <w:rPr>
                <w:rFonts w:ascii="Times New Roman"/>
                <w:sz w:val="21"/>
                <w:szCs w:val="21"/>
              </w:rPr>
              <w:t>.8</w:t>
            </w:r>
            <w:r>
              <w:rPr>
                <w:rFonts w:ascii="Times New Roman" w:hint="eastAsia"/>
                <w:sz w:val="21"/>
                <w:szCs w:val="21"/>
              </w:rPr>
              <w:t>km</w:t>
            </w:r>
            <w:r>
              <w:rPr>
                <w:rFonts w:ascii="Times New Roman" w:hint="eastAsia"/>
                <w:sz w:val="21"/>
                <w:szCs w:val="21"/>
              </w:rPr>
              <w:t>按要求暂不开发；矿区与白芨滩自然保护区无重叠</w:t>
            </w:r>
          </w:p>
        </w:tc>
        <w:tc>
          <w:tcPr>
            <w:tcW w:w="336" w:type="pct"/>
            <w:vAlign w:val="center"/>
          </w:tcPr>
          <w:p w14:paraId="7EA3E661"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2752A56B" w14:textId="77777777">
        <w:trPr>
          <w:trHeight w:val="989"/>
          <w:jc w:val="center"/>
        </w:trPr>
        <w:tc>
          <w:tcPr>
            <w:tcW w:w="359" w:type="pct"/>
            <w:vMerge/>
            <w:vAlign w:val="center"/>
          </w:tcPr>
          <w:p w14:paraId="12798CAB"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5C1631FE" w14:textId="77777777" w:rsidR="009C353B" w:rsidRDefault="00000000">
            <w:pPr>
              <w:adjustRightInd w:val="0"/>
              <w:snapToGrid w:val="0"/>
              <w:spacing w:line="240" w:lineRule="atLeast"/>
              <w:ind w:leftChars="50" w:left="120" w:rightChars="50" w:right="120"/>
              <w:rPr>
                <w:rFonts w:ascii="Times New Roman" w:hint="eastAsia"/>
                <w:sz w:val="21"/>
                <w:szCs w:val="21"/>
              </w:rPr>
            </w:pPr>
            <w:bookmarkStart w:id="92" w:name="_Hlk47641064"/>
            <w:r>
              <w:rPr>
                <w:rFonts w:ascii="Times New Roman" w:hint="eastAsia"/>
                <w:sz w:val="21"/>
                <w:szCs w:val="21"/>
              </w:rPr>
              <w:t>《灵武市水利发展“十三五”规划》</w:t>
            </w:r>
            <w:bookmarkEnd w:id="92"/>
          </w:p>
        </w:tc>
        <w:tc>
          <w:tcPr>
            <w:tcW w:w="2344" w:type="pct"/>
            <w:vAlign w:val="center"/>
          </w:tcPr>
          <w:p w14:paraId="5A88CE1D" w14:textId="77777777" w:rsidR="009C353B" w:rsidRDefault="00000000">
            <w:pPr>
              <w:adjustRightInd w:val="0"/>
              <w:snapToGrid w:val="0"/>
              <w:spacing w:line="240" w:lineRule="atLeast"/>
              <w:ind w:leftChars="50" w:left="120" w:rightChars="50" w:right="120"/>
              <w:rPr>
                <w:rFonts w:ascii="Times New Roman" w:hint="eastAsia"/>
                <w:sz w:val="21"/>
                <w:szCs w:val="21"/>
              </w:rPr>
            </w:pPr>
            <w:r>
              <w:rPr>
                <w:rFonts w:ascii="Times New Roman" w:hint="eastAsia"/>
                <w:sz w:val="21"/>
                <w:szCs w:val="21"/>
              </w:rPr>
              <w:t>“强化矿山、工厂“三废”污染防治和资源综合利用”，“进一步加强对灵武城市水源地、农村集中式饮用水水源地及其保护区的监测、管理和保护，确保水源地水资源的可持续利用”</w:t>
            </w:r>
          </w:p>
        </w:tc>
        <w:tc>
          <w:tcPr>
            <w:tcW w:w="1196" w:type="pct"/>
            <w:vAlign w:val="center"/>
          </w:tcPr>
          <w:p w14:paraId="4D581D81"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矿区矿井水、生活污水均综合利用不外排；鸭子荡水库坝址轴线下游</w:t>
            </w:r>
            <w:r>
              <w:rPr>
                <w:rFonts w:ascii="Times New Roman" w:hint="eastAsia"/>
                <w:sz w:val="21"/>
                <w:szCs w:val="21"/>
              </w:rPr>
              <w:t>1</w:t>
            </w:r>
            <w:r>
              <w:rPr>
                <w:rFonts w:ascii="Times New Roman"/>
                <w:sz w:val="21"/>
                <w:szCs w:val="21"/>
              </w:rPr>
              <w:t>.8</w:t>
            </w:r>
            <w:r>
              <w:rPr>
                <w:rFonts w:ascii="Times New Roman" w:hint="eastAsia"/>
                <w:sz w:val="21"/>
                <w:szCs w:val="21"/>
              </w:rPr>
              <w:t>km</w:t>
            </w:r>
            <w:r>
              <w:rPr>
                <w:rFonts w:ascii="Times New Roman" w:hint="eastAsia"/>
                <w:sz w:val="21"/>
                <w:szCs w:val="21"/>
              </w:rPr>
              <w:t>按要求暂不开发</w:t>
            </w:r>
          </w:p>
        </w:tc>
        <w:tc>
          <w:tcPr>
            <w:tcW w:w="336" w:type="pct"/>
            <w:vAlign w:val="center"/>
          </w:tcPr>
          <w:p w14:paraId="4870B814"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r w:rsidR="009C353B" w14:paraId="39310BA9" w14:textId="77777777">
        <w:trPr>
          <w:trHeight w:val="346"/>
          <w:jc w:val="center"/>
        </w:trPr>
        <w:tc>
          <w:tcPr>
            <w:tcW w:w="359" w:type="pct"/>
            <w:vMerge/>
            <w:vAlign w:val="center"/>
          </w:tcPr>
          <w:p w14:paraId="28A0BEA8" w14:textId="77777777" w:rsidR="009C353B" w:rsidRDefault="009C353B">
            <w:pPr>
              <w:adjustRightInd w:val="0"/>
              <w:snapToGrid w:val="0"/>
              <w:spacing w:line="240" w:lineRule="atLeast"/>
              <w:jc w:val="center"/>
              <w:rPr>
                <w:rFonts w:ascii="Times New Roman" w:hAnsi="Times New Roman"/>
                <w:sz w:val="21"/>
                <w:szCs w:val="21"/>
              </w:rPr>
            </w:pPr>
          </w:p>
        </w:tc>
        <w:tc>
          <w:tcPr>
            <w:tcW w:w="765" w:type="pct"/>
            <w:vAlign w:val="center"/>
          </w:tcPr>
          <w:p w14:paraId="39BF0321" w14:textId="77777777" w:rsidR="009C353B" w:rsidRDefault="00000000">
            <w:pPr>
              <w:adjustRightInd w:val="0"/>
              <w:snapToGrid w:val="0"/>
              <w:spacing w:line="240" w:lineRule="atLeast"/>
              <w:ind w:rightChars="50" w:right="120"/>
              <w:rPr>
                <w:rFonts w:ascii="Times New Roman" w:hint="eastAsia"/>
                <w:sz w:val="21"/>
                <w:szCs w:val="21"/>
              </w:rPr>
            </w:pPr>
            <w:bookmarkStart w:id="93" w:name="_Hlk47641096"/>
            <w:r>
              <w:rPr>
                <w:rFonts w:ascii="Times New Roman" w:hint="eastAsia"/>
                <w:sz w:val="21"/>
                <w:szCs w:val="21"/>
              </w:rPr>
              <w:t>《灵武市工业发展“十三五”规划》</w:t>
            </w:r>
            <w:bookmarkEnd w:id="93"/>
          </w:p>
        </w:tc>
        <w:tc>
          <w:tcPr>
            <w:tcW w:w="2344" w:type="pct"/>
            <w:vAlign w:val="center"/>
          </w:tcPr>
          <w:p w14:paraId="6FE7E97E"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w:t>
            </w:r>
            <w:r>
              <w:rPr>
                <w:rFonts w:ascii="Times New Roman" w:hint="eastAsia"/>
                <w:sz w:val="21"/>
                <w:szCs w:val="21"/>
              </w:rPr>
              <w:t>2020</w:t>
            </w:r>
            <w:r>
              <w:rPr>
                <w:rFonts w:ascii="Times New Roman" w:hint="eastAsia"/>
                <w:sz w:val="21"/>
                <w:szCs w:val="21"/>
              </w:rPr>
              <w:t>年底，工业废水排放达标率达到</w:t>
            </w:r>
            <w:r>
              <w:rPr>
                <w:rFonts w:ascii="Times New Roman" w:hint="eastAsia"/>
                <w:sz w:val="21"/>
                <w:szCs w:val="21"/>
              </w:rPr>
              <w:t>100 %</w:t>
            </w:r>
            <w:r>
              <w:rPr>
                <w:rFonts w:ascii="Times New Roman" w:hint="eastAsia"/>
                <w:sz w:val="21"/>
                <w:szCs w:val="21"/>
              </w:rPr>
              <w:t>，工业废气排放处理率达到</w:t>
            </w:r>
            <w:r>
              <w:rPr>
                <w:rFonts w:ascii="Times New Roman" w:hint="eastAsia"/>
                <w:sz w:val="21"/>
                <w:szCs w:val="21"/>
              </w:rPr>
              <w:t>100%</w:t>
            </w:r>
            <w:r>
              <w:rPr>
                <w:rFonts w:ascii="Times New Roman" w:hint="eastAsia"/>
                <w:sz w:val="21"/>
                <w:szCs w:val="21"/>
              </w:rPr>
              <w:t>，工业固体废物综合利用率达到</w:t>
            </w:r>
            <w:r>
              <w:rPr>
                <w:rFonts w:ascii="Times New Roman" w:hint="eastAsia"/>
                <w:sz w:val="21"/>
                <w:szCs w:val="21"/>
              </w:rPr>
              <w:t>65%</w:t>
            </w:r>
            <w:r>
              <w:rPr>
                <w:rFonts w:ascii="Times New Roman" w:hint="eastAsia"/>
                <w:sz w:val="21"/>
                <w:szCs w:val="21"/>
              </w:rPr>
              <w:t>以上，</w:t>
            </w:r>
            <w:r>
              <w:rPr>
                <w:rFonts w:ascii="Times New Roman"/>
                <w:sz w:val="21"/>
                <w:szCs w:val="21"/>
              </w:rPr>
              <w:t>……</w:t>
            </w:r>
            <w:r>
              <w:rPr>
                <w:rFonts w:ascii="Times New Roman" w:hint="eastAsia"/>
                <w:sz w:val="21"/>
                <w:szCs w:val="21"/>
              </w:rPr>
              <w:t>全面完成自治区、银川市下达的节能减排目标任务”，“力争到</w:t>
            </w:r>
            <w:r>
              <w:rPr>
                <w:rFonts w:ascii="Times New Roman" w:hint="eastAsia"/>
                <w:sz w:val="21"/>
                <w:szCs w:val="21"/>
              </w:rPr>
              <w:t>2020</w:t>
            </w:r>
            <w:r>
              <w:rPr>
                <w:rFonts w:ascii="Times New Roman" w:hint="eastAsia"/>
                <w:sz w:val="21"/>
                <w:szCs w:val="21"/>
              </w:rPr>
              <w:t>年，宁东基地</w:t>
            </w:r>
            <w:r>
              <w:rPr>
                <w:rFonts w:ascii="Times New Roman" w:hint="eastAsia"/>
                <w:sz w:val="21"/>
                <w:szCs w:val="21"/>
              </w:rPr>
              <w:t>(</w:t>
            </w:r>
            <w:r>
              <w:rPr>
                <w:rFonts w:ascii="Times New Roman" w:hint="eastAsia"/>
                <w:sz w:val="21"/>
                <w:szCs w:val="21"/>
              </w:rPr>
              <w:t>灵武辖区</w:t>
            </w:r>
            <w:r>
              <w:rPr>
                <w:rFonts w:ascii="Times New Roman" w:hint="eastAsia"/>
                <w:sz w:val="21"/>
                <w:szCs w:val="21"/>
              </w:rPr>
              <w:t>)</w:t>
            </w:r>
            <w:r>
              <w:rPr>
                <w:rFonts w:ascii="Times New Roman" w:hint="eastAsia"/>
                <w:sz w:val="21"/>
                <w:szCs w:val="21"/>
              </w:rPr>
              <w:t>形成煤炭生产能力</w:t>
            </w:r>
            <w:r>
              <w:rPr>
                <w:rFonts w:ascii="Times New Roman" w:hint="eastAsia"/>
                <w:sz w:val="21"/>
                <w:szCs w:val="21"/>
              </w:rPr>
              <w:t>1.1</w:t>
            </w:r>
            <w:r>
              <w:rPr>
                <w:rFonts w:ascii="Times New Roman" w:hint="eastAsia"/>
                <w:sz w:val="21"/>
                <w:szCs w:val="21"/>
              </w:rPr>
              <w:t>亿吨</w:t>
            </w:r>
            <w:r>
              <w:rPr>
                <w:rFonts w:ascii="Times New Roman"/>
                <w:sz w:val="21"/>
                <w:szCs w:val="21"/>
              </w:rPr>
              <w:t>……</w:t>
            </w:r>
            <w:r>
              <w:rPr>
                <w:rFonts w:ascii="Times New Roman" w:hint="eastAsia"/>
                <w:sz w:val="21"/>
                <w:szCs w:val="21"/>
              </w:rPr>
              <w:t>”</w:t>
            </w:r>
          </w:p>
        </w:tc>
        <w:tc>
          <w:tcPr>
            <w:tcW w:w="1196" w:type="pct"/>
            <w:vAlign w:val="center"/>
          </w:tcPr>
          <w:p w14:paraId="2EF5852E" w14:textId="77777777" w:rsidR="009C353B" w:rsidRDefault="00000000">
            <w:pPr>
              <w:adjustRightInd w:val="0"/>
              <w:snapToGrid w:val="0"/>
              <w:spacing w:line="240" w:lineRule="atLeast"/>
              <w:ind w:rightChars="50" w:right="120"/>
              <w:rPr>
                <w:rFonts w:ascii="Times New Roman" w:hint="eastAsia"/>
                <w:sz w:val="21"/>
                <w:szCs w:val="21"/>
              </w:rPr>
            </w:pPr>
            <w:r>
              <w:rPr>
                <w:rFonts w:ascii="Times New Roman" w:hint="eastAsia"/>
                <w:sz w:val="21"/>
                <w:szCs w:val="21"/>
              </w:rPr>
              <w:t>矿区规划无燃煤锅炉，采取燃气锅炉及电厂供热；对矿井水和生产生活污水全部进行处理，工业废水排放达标率可达</w:t>
            </w:r>
            <w:r>
              <w:rPr>
                <w:rFonts w:ascii="Times New Roman" w:hint="eastAsia"/>
                <w:sz w:val="21"/>
                <w:szCs w:val="21"/>
              </w:rPr>
              <w:t>100 %</w:t>
            </w:r>
            <w:r>
              <w:rPr>
                <w:rFonts w:ascii="Times New Roman" w:hint="eastAsia"/>
                <w:sz w:val="21"/>
                <w:szCs w:val="21"/>
              </w:rPr>
              <w:t>；煤矸石、低热值煤和劣质煤供给周边矸石电厂、低热值煤电厂，全部回用，</w:t>
            </w:r>
            <w:r>
              <w:rPr>
                <w:rFonts w:ascii="Times New Roman"/>
                <w:sz w:val="21"/>
                <w:szCs w:val="21"/>
              </w:rPr>
              <w:t>综合利用率达到</w:t>
            </w:r>
            <w:r>
              <w:rPr>
                <w:rFonts w:ascii="Times New Roman"/>
                <w:sz w:val="21"/>
                <w:szCs w:val="21"/>
              </w:rPr>
              <w:t>100%</w:t>
            </w:r>
            <w:r>
              <w:rPr>
                <w:rFonts w:ascii="Times New Roman" w:hint="eastAsia"/>
                <w:sz w:val="21"/>
                <w:szCs w:val="21"/>
              </w:rPr>
              <w:t>；</w:t>
            </w:r>
          </w:p>
        </w:tc>
        <w:tc>
          <w:tcPr>
            <w:tcW w:w="336" w:type="pct"/>
            <w:vAlign w:val="center"/>
          </w:tcPr>
          <w:p w14:paraId="1C02F9AC" w14:textId="77777777" w:rsidR="009C353B" w:rsidRDefault="00000000">
            <w:pPr>
              <w:adjustRightInd w:val="0"/>
              <w:snapToGrid w:val="0"/>
              <w:spacing w:line="240" w:lineRule="atLeast"/>
              <w:ind w:rightChars="50" w:right="120"/>
              <w:jc w:val="center"/>
              <w:rPr>
                <w:rFonts w:ascii="Times New Roman" w:hAnsi="Times New Roman"/>
                <w:sz w:val="21"/>
                <w:szCs w:val="21"/>
              </w:rPr>
            </w:pPr>
            <w:r>
              <w:rPr>
                <w:rFonts w:ascii="Times New Roman" w:hAnsi="Times New Roman" w:hint="eastAsia"/>
                <w:sz w:val="21"/>
                <w:szCs w:val="21"/>
              </w:rPr>
              <w:t>符合</w:t>
            </w:r>
          </w:p>
        </w:tc>
      </w:tr>
    </w:tbl>
    <w:p w14:paraId="29991382" w14:textId="77777777" w:rsidR="009C353B" w:rsidRDefault="009C353B">
      <w:pPr>
        <w:rPr>
          <w:rFonts w:hint="eastAsia"/>
        </w:rPr>
        <w:sectPr w:rsidR="009C353B">
          <w:headerReference w:type="default" r:id="rId185"/>
          <w:pgSz w:w="16840" w:h="11907" w:orient="landscape"/>
          <w:pgMar w:top="1701" w:right="1418" w:bottom="1418" w:left="1418" w:header="1134" w:footer="851" w:gutter="0"/>
          <w:paperSrc w:first="7" w:other="7"/>
          <w:cols w:space="720"/>
          <w:docGrid w:linePitch="326"/>
        </w:sectPr>
      </w:pPr>
    </w:p>
    <w:p w14:paraId="708E3625" w14:textId="77777777" w:rsidR="009C353B" w:rsidRDefault="00000000">
      <w:pPr>
        <w:pStyle w:val="3"/>
        <w:spacing w:before="120" w:after="120" w:line="440" w:lineRule="exact"/>
        <w:rPr>
          <w:rFonts w:ascii="Times New Roman" w:hAnsi="Times New Roman"/>
          <w:sz w:val="24"/>
        </w:rPr>
      </w:pPr>
      <w:bookmarkStart w:id="94" w:name="_Toc247104437"/>
      <w:bookmarkStart w:id="95" w:name="_Toc255477092"/>
      <w:bookmarkStart w:id="96" w:name="_Toc308776792"/>
      <w:bookmarkStart w:id="97" w:name="_Toc163440983"/>
      <w:r>
        <w:rPr>
          <w:rFonts w:ascii="Times New Roman" w:hAnsi="Times New Roman"/>
          <w:sz w:val="24"/>
        </w:rPr>
        <w:t xml:space="preserve">2.4.3 </w:t>
      </w:r>
      <w:r>
        <w:rPr>
          <w:rFonts w:ascii="Times New Roman" w:hAnsi="Times New Roman" w:hint="eastAsia"/>
          <w:sz w:val="24"/>
        </w:rPr>
        <w:t>与《宁东能源化工基地</w:t>
      </w:r>
      <w:r>
        <w:rPr>
          <w:rFonts w:ascii="Times New Roman" w:hAnsi="Times New Roman" w:hint="eastAsia"/>
          <w:sz w:val="24"/>
        </w:rPr>
        <w:t xml:space="preserve"> </w:t>
      </w:r>
      <w:r>
        <w:rPr>
          <w:rFonts w:ascii="Times New Roman" w:hAnsi="Times New Roman" w:hint="eastAsia"/>
          <w:sz w:val="24"/>
        </w:rPr>
        <w:t>“十三五”开发总体规划》、《宁东基地现代煤化工产业示范区总体规划》的</w:t>
      </w:r>
      <w:r>
        <w:rPr>
          <w:rFonts w:ascii="Times New Roman" w:hAnsi="Times New Roman"/>
          <w:sz w:val="24"/>
        </w:rPr>
        <w:t>协调性分析</w:t>
      </w:r>
    </w:p>
    <w:p w14:paraId="1AC01411" w14:textId="77777777" w:rsidR="009C353B" w:rsidRDefault="00000000">
      <w:pPr>
        <w:adjustRightInd w:val="0"/>
        <w:snapToGrid w:val="0"/>
        <w:spacing w:line="440" w:lineRule="exact"/>
        <w:ind w:firstLineChars="200" w:firstLine="480"/>
        <w:rPr>
          <w:rFonts w:ascii="Times New Roman" w:hAnsi="Times New Roman"/>
          <w:szCs w:val="28"/>
        </w:rPr>
      </w:pPr>
      <w:r>
        <w:rPr>
          <w:rFonts w:ascii="Times New Roman" w:hAnsi="Times New Roman" w:hint="eastAsia"/>
          <w:szCs w:val="28"/>
        </w:rPr>
        <w:t>（</w:t>
      </w:r>
      <w:r>
        <w:rPr>
          <w:rFonts w:ascii="Times New Roman" w:hAnsi="Times New Roman" w:hint="eastAsia"/>
          <w:szCs w:val="28"/>
        </w:rPr>
        <w:t>1</w:t>
      </w:r>
      <w:r>
        <w:rPr>
          <w:rFonts w:ascii="Times New Roman" w:hAnsi="Times New Roman" w:hint="eastAsia"/>
          <w:szCs w:val="28"/>
        </w:rPr>
        <w:t>）</w:t>
      </w:r>
      <w:r>
        <w:rPr>
          <w:rFonts w:ascii="Times New Roman" w:hAnsi="Times New Roman" w:hint="eastAsia"/>
        </w:rPr>
        <w:t>宁东能源化工基地“十三五”开发总体</w:t>
      </w:r>
      <w:r>
        <w:rPr>
          <w:rFonts w:ascii="Times New Roman" w:hAnsi="Times New Roman" w:hint="eastAsia"/>
          <w:szCs w:val="28"/>
        </w:rPr>
        <w:t>规划</w:t>
      </w:r>
      <w:r>
        <w:rPr>
          <w:rFonts w:ascii="Times New Roman" w:hAnsi="Times New Roman"/>
          <w:szCs w:val="28"/>
        </w:rPr>
        <w:t>概况</w:t>
      </w:r>
      <w:r>
        <w:rPr>
          <w:rFonts w:ascii="Times New Roman" w:hAnsi="Times New Roman"/>
          <w:szCs w:val="28"/>
        </w:rPr>
        <w:t xml:space="preserve"> </w:t>
      </w:r>
    </w:p>
    <w:p w14:paraId="55CE95EF"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hint="eastAsia"/>
        </w:rPr>
        <w:t>宁东能源化工基地（以下简称“宁东基地”）是国务院批准的国家重点开发区，是国家重要的大型煤炭生产基地、“西电东送”火电基地、煤化工产业基地和循环经济示范区，</w:t>
      </w:r>
      <w:r>
        <w:rPr>
          <w:rFonts w:ascii="Times New Roman" w:hAnsi="Times New Roman" w:hint="eastAsia"/>
          <w:szCs w:val="28"/>
        </w:rPr>
        <w:t>也是国内最大的煤制油生产基地，最重要的煤制烯烃基地，</w:t>
      </w:r>
      <w:r>
        <w:rPr>
          <w:rFonts w:ascii="Times New Roman" w:hAnsi="Times New Roman" w:hint="eastAsia"/>
        </w:rPr>
        <w:t>同时也是国家能源“金三角”重要一极和自治区“一号工程”。</w:t>
      </w:r>
      <w:r>
        <w:rPr>
          <w:rFonts w:ascii="Times New Roman" w:hAnsi="Times New Roman" w:hint="eastAsia"/>
          <w:szCs w:val="28"/>
        </w:rPr>
        <w:t>宁东基地在煤化工产业发展方面取得了实质进展——国家能源集团宁煤煤间接液化示范项目是全球单体规模最大的煤制油工程，设计规模为</w:t>
      </w:r>
      <w:r>
        <w:rPr>
          <w:rFonts w:ascii="Times New Roman" w:hAnsi="Times New Roman"/>
          <w:szCs w:val="28"/>
        </w:rPr>
        <w:t>405</w:t>
      </w:r>
      <w:r>
        <w:rPr>
          <w:rFonts w:ascii="Times New Roman" w:hAnsi="Times New Roman"/>
          <w:szCs w:val="28"/>
        </w:rPr>
        <w:t>万</w:t>
      </w:r>
      <w:r>
        <w:rPr>
          <w:rFonts w:ascii="Times New Roman" w:hAnsi="Times New Roman"/>
          <w:szCs w:val="28"/>
        </w:rPr>
        <w:t>t/a</w:t>
      </w:r>
      <w:r>
        <w:rPr>
          <w:rFonts w:ascii="Times New Roman" w:hAnsi="Times New Roman"/>
          <w:szCs w:val="28"/>
        </w:rPr>
        <w:t>；最主要的煤制烯烃基地之一，已形成煤制烯烃产能为</w:t>
      </w:r>
      <w:r>
        <w:rPr>
          <w:rFonts w:ascii="Times New Roman" w:hAnsi="Times New Roman"/>
          <w:szCs w:val="28"/>
        </w:rPr>
        <w:t>160</w:t>
      </w:r>
      <w:r>
        <w:rPr>
          <w:rFonts w:ascii="Times New Roman" w:hAnsi="Times New Roman" w:hint="eastAsia"/>
          <w:szCs w:val="28"/>
        </w:rPr>
        <w:t>万</w:t>
      </w:r>
      <w:r>
        <w:rPr>
          <w:rFonts w:ascii="Times New Roman" w:hAnsi="Times New Roman"/>
          <w:szCs w:val="28"/>
        </w:rPr>
        <w:t>t/a</w:t>
      </w:r>
      <w:r>
        <w:rPr>
          <w:rFonts w:ascii="Times New Roman" w:hAnsi="Times New Roman"/>
          <w:szCs w:val="28"/>
        </w:rPr>
        <w:t>，占全国煤</w:t>
      </w:r>
      <w:r>
        <w:rPr>
          <w:rFonts w:ascii="Times New Roman" w:hAnsi="Times New Roman"/>
          <w:szCs w:val="28"/>
        </w:rPr>
        <w:t>(</w:t>
      </w:r>
      <w:r>
        <w:rPr>
          <w:rFonts w:ascii="Times New Roman" w:hAnsi="Times New Roman"/>
          <w:szCs w:val="28"/>
        </w:rPr>
        <w:t>或甲醇</w:t>
      </w:r>
      <w:r>
        <w:rPr>
          <w:rFonts w:ascii="Times New Roman" w:hAnsi="Times New Roman"/>
          <w:szCs w:val="28"/>
        </w:rPr>
        <w:t>)</w:t>
      </w:r>
      <w:r>
        <w:rPr>
          <w:rFonts w:ascii="Times New Roman" w:hAnsi="Times New Roman"/>
          <w:szCs w:val="28"/>
        </w:rPr>
        <w:t>制烯烃总产能的</w:t>
      </w:r>
      <w:r>
        <w:rPr>
          <w:rFonts w:ascii="Times New Roman" w:hAnsi="Times New Roman"/>
          <w:szCs w:val="28"/>
        </w:rPr>
        <w:t>15.2%</w:t>
      </w:r>
      <w:r>
        <w:rPr>
          <w:rFonts w:ascii="Times New Roman" w:hAnsi="Times New Roman"/>
          <w:szCs w:val="28"/>
        </w:rPr>
        <w:t>，</w:t>
      </w:r>
      <w:r>
        <w:rPr>
          <w:rFonts w:ascii="Times New Roman" w:hAnsi="Times New Roman" w:hint="eastAsia"/>
          <w:szCs w:val="28"/>
        </w:rPr>
        <w:t>国家能源集团</w:t>
      </w:r>
      <w:r>
        <w:rPr>
          <w:rFonts w:ascii="Times New Roman" w:hAnsi="Times New Roman"/>
          <w:szCs w:val="28"/>
        </w:rPr>
        <w:t>宁煤煤基烯烃</w:t>
      </w:r>
      <w:r>
        <w:rPr>
          <w:rFonts w:ascii="Times New Roman" w:hAnsi="Times New Roman"/>
          <w:szCs w:val="28"/>
        </w:rPr>
        <w:t>(MTP)</w:t>
      </w:r>
      <w:r>
        <w:rPr>
          <w:rFonts w:ascii="Times New Roman" w:hAnsi="Times New Roman" w:hint="eastAsia"/>
          <w:szCs w:val="28"/>
        </w:rPr>
        <w:t>是世界首套以煤为原料，通过煤气化制甲醇、甲醇转化制丙烯、丙烯聚合工艺路线生产聚丙烯塑料的大型煤化工项目；日投煤量</w:t>
      </w:r>
      <w:r>
        <w:rPr>
          <w:rFonts w:ascii="Times New Roman" w:hAnsi="Times New Roman"/>
          <w:szCs w:val="28"/>
        </w:rPr>
        <w:t>2200t</w:t>
      </w:r>
      <w:r>
        <w:rPr>
          <w:rFonts w:ascii="Times New Roman" w:hAnsi="Times New Roman"/>
          <w:szCs w:val="28"/>
        </w:rPr>
        <w:t>的干煤粉加压气化炉</w:t>
      </w:r>
      <w:r>
        <w:rPr>
          <w:rFonts w:ascii="Times New Roman" w:hAnsi="Times New Roman"/>
          <w:szCs w:val="28"/>
        </w:rPr>
        <w:t>(“</w:t>
      </w:r>
      <w:r>
        <w:rPr>
          <w:rFonts w:ascii="Times New Roman" w:hAnsi="Times New Roman"/>
          <w:szCs w:val="28"/>
        </w:rPr>
        <w:t>神</w:t>
      </w:r>
      <w:r>
        <w:rPr>
          <w:rFonts w:ascii="Times New Roman" w:hAnsi="Times New Roman" w:hint="eastAsia"/>
          <w:szCs w:val="28"/>
        </w:rPr>
        <w:t>宁炉”</w:t>
      </w:r>
      <w:r>
        <w:rPr>
          <w:rFonts w:ascii="Times New Roman" w:hAnsi="Times New Roman"/>
          <w:szCs w:val="28"/>
        </w:rPr>
        <w:t>)</w:t>
      </w:r>
      <w:r>
        <w:rPr>
          <w:rFonts w:ascii="Times New Roman" w:hAnsi="Times New Roman"/>
          <w:szCs w:val="28"/>
        </w:rPr>
        <w:t>是宁煤研制的具有自主知识产权的气化装置，各项技术指标均处于国际</w:t>
      </w:r>
      <w:r>
        <w:rPr>
          <w:rFonts w:ascii="Times New Roman" w:hAnsi="Times New Roman" w:hint="eastAsia"/>
          <w:szCs w:val="28"/>
        </w:rPr>
        <w:t>领先水平。</w:t>
      </w:r>
      <w:r>
        <w:rPr>
          <w:rFonts w:ascii="Times New Roman" w:hAnsi="Times New Roman" w:hint="eastAsia"/>
          <w:szCs w:val="28"/>
        </w:rPr>
        <w:t>20</w:t>
      </w:r>
      <w:r>
        <w:rPr>
          <w:rFonts w:ascii="Times New Roman" w:hAnsi="Times New Roman"/>
          <w:szCs w:val="28"/>
        </w:rPr>
        <w:t>17</w:t>
      </w:r>
      <w:r>
        <w:rPr>
          <w:rFonts w:ascii="Times New Roman" w:hAnsi="Times New Roman" w:hint="eastAsia"/>
          <w:szCs w:val="28"/>
        </w:rPr>
        <w:t>年</w:t>
      </w:r>
      <w:r>
        <w:rPr>
          <w:rFonts w:ascii="Times New Roman" w:hAnsi="Times New Roman"/>
          <w:szCs w:val="28"/>
        </w:rPr>
        <w:t>3</w:t>
      </w:r>
      <w:r>
        <w:rPr>
          <w:rFonts w:ascii="Times New Roman" w:hAnsi="Times New Roman" w:hint="eastAsia"/>
          <w:szCs w:val="28"/>
        </w:rPr>
        <w:t>月宁夏回族自治区宁东能源化工基地管理委员会编制完成了《宁东能源化工基地</w:t>
      </w:r>
      <w:r>
        <w:rPr>
          <w:rFonts w:ascii="Times New Roman" w:hAnsi="Times New Roman" w:hint="eastAsia"/>
          <w:szCs w:val="28"/>
        </w:rPr>
        <w:t xml:space="preserve"> </w:t>
      </w:r>
      <w:r>
        <w:rPr>
          <w:rFonts w:ascii="Times New Roman" w:hAnsi="Times New Roman" w:hint="eastAsia"/>
          <w:szCs w:val="28"/>
        </w:rPr>
        <w:t>“十三五”开发总体规划》，</w:t>
      </w:r>
      <w:r>
        <w:rPr>
          <w:rFonts w:ascii="Times New Roman" w:hAnsi="Times New Roman" w:hint="eastAsia"/>
          <w:szCs w:val="28"/>
        </w:rPr>
        <w:t>2</w:t>
      </w:r>
      <w:r>
        <w:rPr>
          <w:rFonts w:ascii="Times New Roman" w:hAnsi="Times New Roman"/>
          <w:szCs w:val="28"/>
        </w:rPr>
        <w:t>017</w:t>
      </w:r>
      <w:r>
        <w:rPr>
          <w:rFonts w:ascii="Times New Roman" w:hAnsi="Times New Roman" w:hint="eastAsia"/>
          <w:szCs w:val="28"/>
        </w:rPr>
        <w:t>年</w:t>
      </w:r>
      <w:r>
        <w:rPr>
          <w:rFonts w:ascii="Times New Roman" w:hAnsi="Times New Roman" w:hint="eastAsia"/>
          <w:szCs w:val="28"/>
        </w:rPr>
        <w:t>3</w:t>
      </w:r>
      <w:r>
        <w:rPr>
          <w:rFonts w:ascii="Times New Roman" w:hAnsi="Times New Roman" w:hint="eastAsia"/>
          <w:szCs w:val="28"/>
        </w:rPr>
        <w:t>月，宁夏回族自治区人民政府以</w:t>
      </w:r>
      <w:r>
        <w:rPr>
          <w:rFonts w:ascii="Times New Roman" w:hAnsi="Times New Roman"/>
          <w:szCs w:val="28"/>
        </w:rPr>
        <w:t>宁政函〔</w:t>
      </w:r>
      <w:r>
        <w:rPr>
          <w:rFonts w:ascii="Times New Roman" w:hAnsi="Times New Roman"/>
          <w:szCs w:val="28"/>
        </w:rPr>
        <w:t>2017</w:t>
      </w:r>
      <w:r>
        <w:rPr>
          <w:rFonts w:ascii="Times New Roman" w:hAnsi="Times New Roman"/>
          <w:szCs w:val="28"/>
        </w:rPr>
        <w:t>〕</w:t>
      </w:r>
      <w:r>
        <w:rPr>
          <w:rFonts w:ascii="Times New Roman" w:hAnsi="Times New Roman"/>
          <w:szCs w:val="28"/>
        </w:rPr>
        <w:t>25</w:t>
      </w:r>
      <w:r>
        <w:rPr>
          <w:rFonts w:ascii="Times New Roman" w:hAnsi="Times New Roman"/>
          <w:szCs w:val="28"/>
        </w:rPr>
        <w:t>号</w:t>
      </w:r>
      <w:r>
        <w:rPr>
          <w:rFonts w:ascii="Times New Roman" w:hAnsi="Times New Roman" w:hint="eastAsia"/>
          <w:szCs w:val="28"/>
        </w:rPr>
        <w:t>《自治区人民政府关于宁东能源化工基地“十三五”开发总体规划的批复》对规划</w:t>
      </w:r>
      <w:r>
        <w:rPr>
          <w:rFonts w:ascii="Times New Roman" w:hAnsi="Times New Roman"/>
          <w:szCs w:val="28"/>
        </w:rPr>
        <w:t>进行了批复。</w:t>
      </w:r>
      <w:r>
        <w:rPr>
          <w:rFonts w:ascii="Times New Roman" w:hAnsi="Times New Roman" w:hint="eastAsia"/>
          <w:szCs w:val="28"/>
        </w:rPr>
        <w:t>201</w:t>
      </w:r>
      <w:r>
        <w:rPr>
          <w:rFonts w:ascii="Times New Roman" w:hAnsi="Times New Roman"/>
          <w:szCs w:val="28"/>
        </w:rPr>
        <w:t>9</w:t>
      </w:r>
      <w:r>
        <w:rPr>
          <w:rFonts w:ascii="Times New Roman" w:hAnsi="Times New Roman" w:hint="eastAsia"/>
          <w:szCs w:val="28"/>
        </w:rPr>
        <w:t>年</w:t>
      </w:r>
      <w:r>
        <w:rPr>
          <w:rFonts w:ascii="Times New Roman" w:hAnsi="Times New Roman" w:hint="eastAsia"/>
          <w:szCs w:val="28"/>
        </w:rPr>
        <w:t>9</w:t>
      </w:r>
      <w:r>
        <w:rPr>
          <w:rFonts w:ascii="Times New Roman" w:hAnsi="Times New Roman" w:hint="eastAsia"/>
          <w:szCs w:val="28"/>
        </w:rPr>
        <w:t>月，宁夏回族自治区石油化工环境科学研究院股份有限公司编制完成了《宁东能源化工基地“十三五”开发总体规划环境影响报告书》。报告书要求：“宁东基地十三五期间不新增煤炭产能”，“到</w:t>
      </w:r>
      <w:r>
        <w:rPr>
          <w:rFonts w:ascii="Times New Roman" w:hAnsi="Times New Roman" w:hint="eastAsia"/>
          <w:szCs w:val="28"/>
        </w:rPr>
        <w:t>2</w:t>
      </w:r>
      <w:r>
        <w:rPr>
          <w:rFonts w:ascii="Times New Roman" w:hAnsi="Times New Roman"/>
          <w:szCs w:val="28"/>
        </w:rPr>
        <w:t>020</w:t>
      </w:r>
      <w:r>
        <w:rPr>
          <w:rFonts w:ascii="Times New Roman" w:hAnsi="Times New Roman" w:hint="eastAsia"/>
          <w:szCs w:val="28"/>
        </w:rPr>
        <w:t>年，基地污废水</w:t>
      </w:r>
      <w:r>
        <w:rPr>
          <w:rFonts w:ascii="Times New Roman" w:hAnsi="Times New Roman" w:hint="eastAsia"/>
          <w:szCs w:val="28"/>
        </w:rPr>
        <w:t xml:space="preserve"> </w:t>
      </w:r>
      <w:r>
        <w:rPr>
          <w:rFonts w:ascii="Times New Roman" w:hAnsi="Times New Roman" w:hint="eastAsia"/>
          <w:szCs w:val="28"/>
        </w:rPr>
        <w:t>“零排放””，“</w:t>
      </w:r>
      <w:r>
        <w:rPr>
          <w:rFonts w:ascii="Times New Roman" w:hAnsi="Times New Roman" w:hint="eastAsia"/>
          <w:szCs w:val="28"/>
        </w:rPr>
        <w:t>2</w:t>
      </w:r>
      <w:r>
        <w:rPr>
          <w:rFonts w:ascii="Times New Roman" w:hAnsi="Times New Roman"/>
          <w:szCs w:val="28"/>
        </w:rPr>
        <w:t>020</w:t>
      </w:r>
      <w:r>
        <w:rPr>
          <w:rFonts w:ascii="Times New Roman" w:hAnsi="Times New Roman" w:hint="eastAsia"/>
          <w:szCs w:val="28"/>
        </w:rPr>
        <w:t>年一般固废综合利用率</w:t>
      </w:r>
      <w:r>
        <w:rPr>
          <w:rFonts w:ascii="Times New Roman" w:hAnsi="Times New Roman" w:hint="eastAsia"/>
          <w:szCs w:val="28"/>
        </w:rPr>
        <w:t>8</w:t>
      </w:r>
      <w:r>
        <w:rPr>
          <w:rFonts w:ascii="Times New Roman" w:hAnsi="Times New Roman"/>
          <w:szCs w:val="28"/>
        </w:rPr>
        <w:t>0</w:t>
      </w:r>
      <w:r>
        <w:rPr>
          <w:rFonts w:ascii="Times New Roman" w:hAnsi="Times New Roman" w:hint="eastAsia"/>
          <w:szCs w:val="28"/>
        </w:rPr>
        <w:t>%</w:t>
      </w:r>
      <w:r>
        <w:rPr>
          <w:rFonts w:ascii="Times New Roman" w:hAnsi="Times New Roman" w:hint="eastAsia"/>
          <w:szCs w:val="28"/>
        </w:rPr>
        <w:t>，危险废物综合安全处置率到</w:t>
      </w:r>
      <w:r>
        <w:rPr>
          <w:rFonts w:ascii="Times New Roman" w:hAnsi="Times New Roman" w:hint="eastAsia"/>
          <w:szCs w:val="28"/>
        </w:rPr>
        <w:t>1</w:t>
      </w:r>
      <w:r>
        <w:rPr>
          <w:rFonts w:ascii="Times New Roman" w:hAnsi="Times New Roman"/>
          <w:szCs w:val="28"/>
        </w:rPr>
        <w:t>00</w:t>
      </w:r>
      <w:r>
        <w:rPr>
          <w:rFonts w:ascii="Times New Roman" w:hAnsi="Times New Roman" w:hint="eastAsia"/>
          <w:szCs w:val="28"/>
        </w:rPr>
        <w:t>%</w:t>
      </w:r>
      <w:r>
        <w:rPr>
          <w:rFonts w:ascii="Times New Roman" w:hAnsi="Times New Roman" w:hint="eastAsia"/>
          <w:szCs w:val="28"/>
        </w:rPr>
        <w:t>”，“到</w:t>
      </w:r>
      <w:r>
        <w:rPr>
          <w:rFonts w:ascii="Times New Roman" w:hAnsi="Times New Roman" w:hint="eastAsia"/>
          <w:szCs w:val="28"/>
        </w:rPr>
        <w:t>2</w:t>
      </w:r>
      <w:r>
        <w:rPr>
          <w:rFonts w:ascii="Times New Roman" w:hAnsi="Times New Roman"/>
          <w:szCs w:val="28"/>
        </w:rPr>
        <w:t>020</w:t>
      </w:r>
      <w:r>
        <w:rPr>
          <w:rFonts w:ascii="Times New Roman" w:hAnsi="Times New Roman" w:hint="eastAsia"/>
          <w:szCs w:val="28"/>
        </w:rPr>
        <w:t>年规划项目不能再占用黄河</w:t>
      </w:r>
      <w:r>
        <w:rPr>
          <w:rFonts w:ascii="Times New Roman" w:hAnsi="Times New Roman" w:hint="eastAsia"/>
          <w:szCs w:val="28"/>
        </w:rPr>
        <w:t>2</w:t>
      </w:r>
      <w:r>
        <w:rPr>
          <w:rFonts w:ascii="Times New Roman" w:hAnsi="Times New Roman" w:hint="eastAsia"/>
          <w:szCs w:val="28"/>
        </w:rPr>
        <w:t>亿立方米用水指标，应优先使用中水及区域矿井水”等等。</w:t>
      </w:r>
    </w:p>
    <w:p w14:paraId="715ACFC8" w14:textId="77777777" w:rsidR="009C353B" w:rsidRDefault="00000000">
      <w:pPr>
        <w:adjustRightInd w:val="0"/>
        <w:snapToGrid w:val="0"/>
        <w:spacing w:line="440" w:lineRule="exact"/>
        <w:ind w:firstLineChars="200" w:firstLine="480"/>
        <w:rPr>
          <w:rFonts w:ascii="Times New Roman" w:hAnsi="Times New Roman"/>
          <w:szCs w:val="28"/>
        </w:rPr>
      </w:pPr>
      <w:r>
        <w:rPr>
          <w:rFonts w:ascii="Times New Roman" w:hAnsi="Times New Roman" w:hint="eastAsia"/>
        </w:rPr>
        <w:t>宁东基地</w:t>
      </w:r>
      <w:r>
        <w:rPr>
          <w:rFonts w:ascii="Times New Roman" w:hAnsi="Times New Roman" w:hint="eastAsia"/>
          <w:szCs w:val="28"/>
        </w:rPr>
        <w:t>位于宁夏回族自治区灵武市，根据</w:t>
      </w:r>
      <w:r>
        <w:rPr>
          <w:rFonts w:ascii="Times New Roman" w:hAnsi="Times New Roman"/>
          <w:szCs w:val="28"/>
        </w:rPr>
        <w:t>该规划，</w:t>
      </w:r>
      <w:r>
        <w:rPr>
          <w:rFonts w:ascii="Times New Roman" w:hAnsi="Times New Roman" w:hint="eastAsia"/>
          <w:szCs w:val="28"/>
        </w:rPr>
        <w:t>宁东基地</w:t>
      </w:r>
      <w:r>
        <w:rPr>
          <w:rFonts w:ascii="Times New Roman" w:hAnsi="Times New Roman"/>
          <w:szCs w:val="28"/>
        </w:rPr>
        <w:t>规划范围包括总体规划</w:t>
      </w:r>
      <w:r>
        <w:rPr>
          <w:rFonts w:ascii="Times New Roman" w:hAnsi="Times New Roman"/>
          <w:szCs w:val="28"/>
        </w:rPr>
        <w:t>(</w:t>
      </w:r>
      <w:r>
        <w:rPr>
          <w:rFonts w:ascii="Times New Roman" w:hAnsi="Times New Roman"/>
          <w:szCs w:val="28"/>
        </w:rPr>
        <w:t>国家发改委批复范围</w:t>
      </w:r>
      <w:r>
        <w:rPr>
          <w:rFonts w:ascii="Times New Roman" w:hAnsi="Times New Roman"/>
          <w:szCs w:val="28"/>
        </w:rPr>
        <w:t>)</w:t>
      </w:r>
      <w:r>
        <w:rPr>
          <w:rFonts w:ascii="Times New Roman" w:hAnsi="Times New Roman"/>
          <w:szCs w:val="28"/>
        </w:rPr>
        <w:t>范围</w:t>
      </w:r>
      <w:r>
        <w:rPr>
          <w:rFonts w:ascii="Times New Roman" w:hAnsi="Times New Roman" w:hint="eastAsia"/>
          <w:szCs w:val="28"/>
        </w:rPr>
        <w:t>（含横城矿区在内的</w:t>
      </w:r>
      <w:r>
        <w:rPr>
          <w:rFonts w:ascii="Times New Roman" w:hAnsi="Times New Roman" w:hint="eastAsia"/>
          <w:szCs w:val="28"/>
        </w:rPr>
        <w:t>8</w:t>
      </w:r>
      <w:r>
        <w:rPr>
          <w:rFonts w:ascii="Times New Roman" w:hAnsi="Times New Roman" w:hint="eastAsia"/>
          <w:szCs w:val="28"/>
        </w:rPr>
        <w:t>个矿区）</w:t>
      </w:r>
      <w:r>
        <w:rPr>
          <w:rFonts w:ascii="Times New Roman" w:hAnsi="Times New Roman"/>
          <w:szCs w:val="28"/>
        </w:rPr>
        <w:t>及红墩子矿区，总面积约</w:t>
      </w:r>
      <w:r>
        <w:rPr>
          <w:rFonts w:ascii="Times New Roman" w:hAnsi="Times New Roman"/>
          <w:szCs w:val="28"/>
        </w:rPr>
        <w:t>3500km</w:t>
      </w:r>
      <w:r>
        <w:rPr>
          <w:rFonts w:ascii="Times New Roman" w:hAnsi="Times New Roman"/>
          <w:szCs w:val="28"/>
          <w:vertAlign w:val="superscript"/>
        </w:rPr>
        <w:t>2</w:t>
      </w:r>
      <w:r>
        <w:rPr>
          <w:rFonts w:ascii="Times New Roman" w:hAnsi="Times New Roman"/>
          <w:szCs w:val="28"/>
        </w:rPr>
        <w:t>，其中宁东基地核心区</w:t>
      </w:r>
      <w:r>
        <w:rPr>
          <w:rFonts w:ascii="Times New Roman" w:hAnsi="Times New Roman"/>
          <w:szCs w:val="28"/>
        </w:rPr>
        <w:t>(</w:t>
      </w:r>
      <w:r>
        <w:rPr>
          <w:rFonts w:ascii="Times New Roman" w:hAnsi="Times New Roman"/>
          <w:szCs w:val="28"/>
        </w:rPr>
        <w:t>包括宁东镇、煤化工园区和临河综合项目区</w:t>
      </w:r>
      <w:r>
        <w:rPr>
          <w:rFonts w:ascii="Times New Roman" w:hAnsi="Times New Roman"/>
          <w:szCs w:val="28"/>
        </w:rPr>
        <w:t>A</w:t>
      </w:r>
      <w:r>
        <w:rPr>
          <w:rFonts w:ascii="Times New Roman" w:hAnsi="Times New Roman"/>
          <w:szCs w:val="28"/>
        </w:rPr>
        <w:t>、</w:t>
      </w:r>
      <w:r>
        <w:rPr>
          <w:rFonts w:ascii="Times New Roman" w:hAnsi="Times New Roman"/>
          <w:szCs w:val="28"/>
        </w:rPr>
        <w:t>B</w:t>
      </w:r>
      <w:r>
        <w:rPr>
          <w:rFonts w:ascii="Times New Roman" w:hAnsi="Times New Roman"/>
          <w:szCs w:val="28"/>
        </w:rPr>
        <w:t>区</w:t>
      </w:r>
      <w:r>
        <w:rPr>
          <w:rFonts w:ascii="Times New Roman" w:hAnsi="Times New Roman"/>
          <w:szCs w:val="28"/>
        </w:rPr>
        <w:t>)</w:t>
      </w:r>
      <w:r>
        <w:rPr>
          <w:rFonts w:ascii="Times New Roman" w:hAnsi="Times New Roman"/>
          <w:szCs w:val="28"/>
        </w:rPr>
        <w:t>规划面积约</w:t>
      </w:r>
      <w:r>
        <w:rPr>
          <w:rFonts w:ascii="Times New Roman" w:hAnsi="Times New Roman"/>
          <w:szCs w:val="28"/>
        </w:rPr>
        <w:t>800km</w:t>
      </w:r>
      <w:r>
        <w:rPr>
          <w:rFonts w:ascii="Times New Roman" w:hAnsi="Times New Roman"/>
          <w:szCs w:val="28"/>
          <w:vertAlign w:val="superscript"/>
        </w:rPr>
        <w:t>2</w:t>
      </w:r>
      <w:r>
        <w:rPr>
          <w:rFonts w:ascii="Times New Roman" w:hAnsi="Times New Roman"/>
          <w:szCs w:val="28"/>
        </w:rPr>
        <w:t>，</w:t>
      </w:r>
      <w:r>
        <w:rPr>
          <w:rFonts w:ascii="Times New Roman" w:hAnsi="Times New Roman" w:hint="eastAsia"/>
          <w:szCs w:val="28"/>
        </w:rPr>
        <w:t>总体</w:t>
      </w:r>
      <w:r>
        <w:rPr>
          <w:rFonts w:ascii="Times New Roman" w:hAnsi="Times New Roman"/>
          <w:szCs w:val="28"/>
        </w:rPr>
        <w:t>规划在</w:t>
      </w:r>
      <w:r>
        <w:rPr>
          <w:rFonts w:ascii="Times New Roman" w:hAnsi="Times New Roman"/>
          <w:szCs w:val="28"/>
        </w:rPr>
        <w:t>3500km</w:t>
      </w:r>
      <w:r>
        <w:rPr>
          <w:rFonts w:ascii="Times New Roman" w:hAnsi="Times New Roman" w:hint="eastAsia"/>
          <w:szCs w:val="28"/>
          <w:vertAlign w:val="superscript"/>
        </w:rPr>
        <w:t>2</w:t>
      </w:r>
      <w:r>
        <w:rPr>
          <w:rFonts w:ascii="Times New Roman" w:hAnsi="Times New Roman"/>
          <w:szCs w:val="28"/>
        </w:rPr>
        <w:t>范围内重点规划煤炭、电力产业和工业园区及铁路、公路等重大基础设施；</w:t>
      </w:r>
      <w:r>
        <w:rPr>
          <w:rFonts w:ascii="Times New Roman" w:hAnsi="Times New Roman"/>
          <w:szCs w:val="28"/>
        </w:rPr>
        <w:t>800km</w:t>
      </w:r>
      <w:r>
        <w:rPr>
          <w:rFonts w:ascii="Times New Roman" w:hAnsi="Times New Roman"/>
          <w:szCs w:val="28"/>
          <w:vertAlign w:val="superscript"/>
        </w:rPr>
        <w:t>2</w:t>
      </w:r>
      <w:r>
        <w:rPr>
          <w:rFonts w:ascii="Times New Roman" w:hAnsi="Times New Roman"/>
          <w:szCs w:val="28"/>
        </w:rPr>
        <w:t>范围内重点规划工业园区、生态环保、安全生产、新型城镇化</w:t>
      </w:r>
      <w:r>
        <w:rPr>
          <w:rFonts w:ascii="Times New Roman" w:hAnsi="Times New Roman" w:hint="eastAsia"/>
          <w:szCs w:val="28"/>
        </w:rPr>
        <w:t>和公用基础设施等。</w:t>
      </w:r>
      <w:r>
        <w:rPr>
          <w:rFonts w:ascii="Times New Roman" w:hAnsi="Times New Roman" w:hint="eastAsia"/>
        </w:rPr>
        <w:t>宁东能源化工基地边界与</w:t>
      </w:r>
      <w:r>
        <w:rPr>
          <w:rFonts w:ascii="Times New Roman" w:hAnsi="Times New Roman"/>
        </w:rPr>
        <w:t>横城矿区</w:t>
      </w:r>
      <w:r>
        <w:rPr>
          <w:rFonts w:ascii="Times New Roman" w:hAnsi="Times New Roman" w:hint="eastAsia"/>
        </w:rPr>
        <w:t>紧邻</w:t>
      </w:r>
      <w:r>
        <w:rPr>
          <w:rFonts w:ascii="Times New Roman" w:hAnsi="Times New Roman"/>
        </w:rPr>
        <w:t>，</w:t>
      </w:r>
      <w:r>
        <w:rPr>
          <w:rFonts w:ascii="Times New Roman" w:hAnsi="Times New Roman" w:hint="eastAsia"/>
          <w:szCs w:val="28"/>
        </w:rPr>
        <w:t>矿区</w:t>
      </w:r>
      <w:r>
        <w:rPr>
          <w:rFonts w:ascii="Times New Roman" w:hAnsi="Times New Roman"/>
        </w:rPr>
        <w:t>与</w:t>
      </w:r>
      <w:r>
        <w:rPr>
          <w:rFonts w:ascii="Times New Roman" w:hAnsi="Times New Roman" w:hint="eastAsia"/>
        </w:rPr>
        <w:t>宁东能源化工基地</w:t>
      </w:r>
      <w:r>
        <w:rPr>
          <w:rFonts w:ascii="Times New Roman" w:hAnsi="Times New Roman"/>
        </w:rPr>
        <w:t>的位置关系见图</w:t>
      </w:r>
      <w:r>
        <w:rPr>
          <w:rFonts w:ascii="Times New Roman" w:hAnsi="Times New Roman"/>
        </w:rPr>
        <w:t>2.4</w:t>
      </w:r>
      <w:r>
        <w:rPr>
          <w:rFonts w:ascii="Times New Roman" w:hAnsi="Times New Roman" w:hint="eastAsia"/>
        </w:rPr>
        <w:t>-</w:t>
      </w:r>
      <w:r>
        <w:rPr>
          <w:rFonts w:ascii="Times New Roman" w:hAnsi="Times New Roman"/>
        </w:rPr>
        <w:t>3</w:t>
      </w:r>
      <w:r>
        <w:rPr>
          <w:rFonts w:ascii="Times New Roman" w:hAnsi="Times New Roman" w:hint="eastAsia"/>
          <w:szCs w:val="28"/>
        </w:rPr>
        <w:t>。</w:t>
      </w:r>
    </w:p>
    <w:p w14:paraId="43E2235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1</w:t>
      </w:r>
      <w:r>
        <w:rPr>
          <w:rFonts w:ascii="Times New Roman" w:hAnsi="Times New Roman" w:hint="eastAsia"/>
        </w:rPr>
        <w:t>）关于宁东能源化工基地煤炭用户</w:t>
      </w:r>
    </w:p>
    <w:p w14:paraId="5571B76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煤炭产业是宁东能源化工基地的基础产业，横城矿区</w:t>
      </w:r>
      <w:r>
        <w:rPr>
          <w:rFonts w:ascii="Times New Roman" w:hAnsi="Times New Roman"/>
        </w:rPr>
        <w:t>是</w:t>
      </w:r>
      <w:r>
        <w:rPr>
          <w:rFonts w:ascii="Times New Roman" w:hAnsi="Times New Roman" w:hint="eastAsia"/>
        </w:rPr>
        <w:t>宁东能源化工基地内主要煤炭供应矿区之一，可有效提高宁东能源化工基地煤炭产业整体产能，为宁东能源化工基地提供优质原料，宁东煤化工基地主要煤炭用户煤炭需求量见表</w:t>
      </w:r>
      <w:r>
        <w:rPr>
          <w:rFonts w:ascii="Times New Roman" w:hAnsi="Times New Roman" w:hint="eastAsia"/>
        </w:rPr>
        <w:t>2.</w:t>
      </w:r>
      <w:r>
        <w:rPr>
          <w:rFonts w:ascii="Times New Roman" w:hAnsi="Times New Roman"/>
        </w:rPr>
        <w:t>4</w:t>
      </w:r>
      <w:r>
        <w:rPr>
          <w:rFonts w:ascii="Times New Roman" w:hAnsi="Times New Roman" w:hint="eastAsia"/>
        </w:rPr>
        <w:t>-</w:t>
      </w:r>
      <w:r>
        <w:rPr>
          <w:rFonts w:ascii="Times New Roman" w:hAnsi="Times New Roman"/>
        </w:rPr>
        <w:t>3</w:t>
      </w:r>
      <w:r>
        <w:rPr>
          <w:rFonts w:ascii="Times New Roman" w:hAnsi="Times New Roman" w:hint="eastAsia"/>
        </w:rPr>
        <w:t>。</w:t>
      </w:r>
    </w:p>
    <w:p w14:paraId="069620F2" w14:textId="77777777" w:rsidR="009C353B" w:rsidRDefault="00000000">
      <w:pPr>
        <w:pStyle w:val="04"/>
        <w:ind w:firstLine="482"/>
        <w:jc w:val="center"/>
      </w:pPr>
      <w:r>
        <w:rPr>
          <w:rFonts w:hint="eastAsia"/>
        </w:rPr>
        <w:t>宁东煤化工基地主要煤炭用户煤炭需求量预测表</w:t>
      </w:r>
    </w:p>
    <w:p w14:paraId="487AA9AC" w14:textId="77777777" w:rsidR="009C353B" w:rsidRDefault="00000000">
      <w:pPr>
        <w:pStyle w:val="affffd"/>
        <w:spacing w:line="440" w:lineRule="exact"/>
        <w:rPr>
          <w:rFonts w:ascii="Times New Roman" w:hint="eastAsia"/>
        </w:rPr>
      </w:pPr>
      <w:r>
        <w:rPr>
          <w:rFonts w:ascii="Times New Roman" w:hint="eastAsia"/>
        </w:rPr>
        <w:t>表</w:t>
      </w:r>
      <w:r>
        <w:rPr>
          <w:rFonts w:ascii="Times New Roman" w:hint="eastAsia"/>
        </w:rPr>
        <w:t>2.</w:t>
      </w:r>
      <w:r>
        <w:rPr>
          <w:rFonts w:ascii="Times New Roman"/>
        </w:rPr>
        <w:t>4</w:t>
      </w:r>
      <w:r>
        <w:rPr>
          <w:rFonts w:ascii="Times New Roman" w:hint="eastAsia"/>
        </w:rPr>
        <w:t>-</w:t>
      </w:r>
      <w:r>
        <w:rPr>
          <w:rFonts w:ascii="Times New Roman"/>
        </w:rPr>
        <w:t>3</w:t>
      </w:r>
    </w:p>
    <w:tbl>
      <w:tblPr>
        <w:tblW w:w="50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81"/>
        <w:gridCol w:w="442"/>
        <w:gridCol w:w="425"/>
        <w:gridCol w:w="2361"/>
        <w:gridCol w:w="873"/>
        <w:gridCol w:w="1107"/>
        <w:gridCol w:w="693"/>
        <w:gridCol w:w="832"/>
        <w:gridCol w:w="795"/>
        <w:gridCol w:w="1135"/>
      </w:tblGrid>
      <w:tr w:rsidR="009C353B" w14:paraId="497751C1" w14:textId="77777777">
        <w:trPr>
          <w:trHeight w:val="340"/>
          <w:jc w:val="center"/>
        </w:trPr>
        <w:tc>
          <w:tcPr>
            <w:tcW w:w="2060" w:type="pct"/>
            <w:gridSpan w:val="4"/>
            <w:vMerge w:val="restart"/>
            <w:shd w:val="clear" w:color="auto" w:fill="auto"/>
            <w:vAlign w:val="center"/>
          </w:tcPr>
          <w:p w14:paraId="24CC097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用</w:t>
            </w:r>
            <w:r>
              <w:rPr>
                <w:rFonts w:ascii="Times New Roman" w:hAnsi="Times New Roman" w:hint="eastAsia"/>
                <w:sz w:val="21"/>
                <w:szCs w:val="21"/>
              </w:rPr>
              <w:t xml:space="preserve">  </w:t>
            </w:r>
            <w:r>
              <w:rPr>
                <w:rFonts w:ascii="Times New Roman" w:hAnsi="Times New Roman" w:hint="eastAsia"/>
                <w:sz w:val="21"/>
                <w:szCs w:val="21"/>
              </w:rPr>
              <w:t>户</w:t>
            </w:r>
          </w:p>
        </w:tc>
        <w:tc>
          <w:tcPr>
            <w:tcW w:w="1446" w:type="pct"/>
            <w:gridSpan w:val="3"/>
            <w:shd w:val="clear" w:color="auto" w:fill="auto"/>
            <w:vAlign w:val="center"/>
          </w:tcPr>
          <w:p w14:paraId="42932BB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建设规模</w:t>
            </w:r>
          </w:p>
        </w:tc>
        <w:tc>
          <w:tcPr>
            <w:tcW w:w="880" w:type="pct"/>
            <w:gridSpan w:val="2"/>
            <w:shd w:val="clear" w:color="auto" w:fill="auto"/>
            <w:vAlign w:val="center"/>
          </w:tcPr>
          <w:p w14:paraId="2300C20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煤炭需求量（</w:t>
            </w:r>
            <w:r>
              <w:rPr>
                <w:rFonts w:ascii="Times New Roman" w:hAnsi="Times New Roman"/>
                <w:sz w:val="21"/>
                <w:szCs w:val="21"/>
              </w:rPr>
              <w:t>Mt/a)</w:t>
            </w:r>
          </w:p>
        </w:tc>
        <w:tc>
          <w:tcPr>
            <w:tcW w:w="614" w:type="pct"/>
            <w:vMerge w:val="restart"/>
            <w:shd w:val="clear" w:color="auto" w:fill="auto"/>
            <w:vAlign w:val="center"/>
          </w:tcPr>
          <w:p w14:paraId="6F20695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备注</w:t>
            </w:r>
          </w:p>
        </w:tc>
      </w:tr>
      <w:tr w:rsidR="009C353B" w14:paraId="45257EE1" w14:textId="77777777">
        <w:trPr>
          <w:trHeight w:val="340"/>
          <w:jc w:val="center"/>
        </w:trPr>
        <w:tc>
          <w:tcPr>
            <w:tcW w:w="2060" w:type="pct"/>
            <w:gridSpan w:val="4"/>
            <w:vMerge/>
            <w:shd w:val="clear" w:color="auto" w:fill="auto"/>
            <w:vAlign w:val="center"/>
          </w:tcPr>
          <w:p w14:paraId="018836DA" w14:textId="77777777" w:rsidR="009C353B" w:rsidRDefault="009C353B">
            <w:pPr>
              <w:adjustRightInd w:val="0"/>
              <w:snapToGrid w:val="0"/>
              <w:spacing w:line="240" w:lineRule="atLeast"/>
              <w:jc w:val="center"/>
              <w:rPr>
                <w:rFonts w:ascii="Times New Roman" w:hAnsi="Times New Roman"/>
                <w:sz w:val="21"/>
                <w:szCs w:val="21"/>
              </w:rPr>
            </w:pPr>
          </w:p>
        </w:tc>
        <w:tc>
          <w:tcPr>
            <w:tcW w:w="472" w:type="pct"/>
            <w:shd w:val="clear" w:color="auto" w:fill="auto"/>
            <w:vAlign w:val="center"/>
          </w:tcPr>
          <w:p w14:paraId="61AD059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单位</w:t>
            </w:r>
          </w:p>
        </w:tc>
        <w:tc>
          <w:tcPr>
            <w:tcW w:w="599" w:type="pct"/>
            <w:shd w:val="clear" w:color="auto" w:fill="auto"/>
            <w:vAlign w:val="center"/>
          </w:tcPr>
          <w:p w14:paraId="45BC34C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规模</w:t>
            </w:r>
          </w:p>
        </w:tc>
        <w:tc>
          <w:tcPr>
            <w:tcW w:w="375" w:type="pct"/>
            <w:shd w:val="clear" w:color="auto" w:fill="auto"/>
            <w:vAlign w:val="center"/>
          </w:tcPr>
          <w:p w14:paraId="6041305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装机总容量</w:t>
            </w:r>
          </w:p>
        </w:tc>
        <w:tc>
          <w:tcPr>
            <w:tcW w:w="450" w:type="pct"/>
            <w:shd w:val="clear" w:color="auto" w:fill="auto"/>
            <w:vAlign w:val="center"/>
          </w:tcPr>
          <w:p w14:paraId="3FE99F4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目前</w:t>
            </w:r>
          </w:p>
        </w:tc>
        <w:tc>
          <w:tcPr>
            <w:tcW w:w="430" w:type="pct"/>
            <w:shd w:val="clear" w:color="auto" w:fill="auto"/>
            <w:vAlign w:val="center"/>
          </w:tcPr>
          <w:p w14:paraId="0091314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未来几年新增</w:t>
            </w:r>
          </w:p>
        </w:tc>
        <w:tc>
          <w:tcPr>
            <w:tcW w:w="614" w:type="pct"/>
            <w:vMerge/>
            <w:shd w:val="clear" w:color="auto" w:fill="auto"/>
            <w:vAlign w:val="center"/>
          </w:tcPr>
          <w:p w14:paraId="5D1D3921"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176FB33A" w14:textId="77777777">
        <w:trPr>
          <w:trHeight w:val="340"/>
          <w:jc w:val="center"/>
        </w:trPr>
        <w:tc>
          <w:tcPr>
            <w:tcW w:w="314" w:type="pct"/>
            <w:vMerge w:val="restart"/>
            <w:shd w:val="clear" w:color="auto" w:fill="auto"/>
            <w:vAlign w:val="center"/>
          </w:tcPr>
          <w:p w14:paraId="4A81658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宁东</w:t>
            </w:r>
          </w:p>
          <w:p w14:paraId="6120426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能源</w:t>
            </w:r>
          </w:p>
          <w:p w14:paraId="2D9F83B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化工</w:t>
            </w:r>
          </w:p>
          <w:p w14:paraId="5B8DD73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基地</w:t>
            </w:r>
          </w:p>
        </w:tc>
        <w:tc>
          <w:tcPr>
            <w:tcW w:w="239" w:type="pct"/>
            <w:vMerge w:val="restart"/>
            <w:shd w:val="clear" w:color="auto" w:fill="auto"/>
            <w:vAlign w:val="center"/>
          </w:tcPr>
          <w:p w14:paraId="6B85D52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核心</w:t>
            </w:r>
          </w:p>
          <w:p w14:paraId="084F559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区</w:t>
            </w:r>
          </w:p>
        </w:tc>
        <w:tc>
          <w:tcPr>
            <w:tcW w:w="230" w:type="pct"/>
            <w:shd w:val="clear" w:color="auto" w:fill="auto"/>
            <w:vAlign w:val="center"/>
          </w:tcPr>
          <w:p w14:paraId="6694726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一</w:t>
            </w:r>
          </w:p>
        </w:tc>
        <w:tc>
          <w:tcPr>
            <w:tcW w:w="1277" w:type="pct"/>
            <w:shd w:val="clear" w:color="auto" w:fill="auto"/>
            <w:vAlign w:val="center"/>
          </w:tcPr>
          <w:p w14:paraId="67F6AC3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电厂项目</w:t>
            </w:r>
          </w:p>
        </w:tc>
        <w:tc>
          <w:tcPr>
            <w:tcW w:w="472" w:type="pct"/>
            <w:shd w:val="clear" w:color="auto" w:fill="auto"/>
            <w:vAlign w:val="center"/>
          </w:tcPr>
          <w:p w14:paraId="7D3AAEE5" w14:textId="77777777" w:rsidR="009C353B" w:rsidRDefault="009C353B">
            <w:pPr>
              <w:adjustRightInd w:val="0"/>
              <w:snapToGrid w:val="0"/>
              <w:spacing w:line="240" w:lineRule="atLeast"/>
              <w:jc w:val="center"/>
              <w:rPr>
                <w:rFonts w:ascii="Times New Roman" w:hAnsi="Times New Roman"/>
                <w:sz w:val="21"/>
                <w:szCs w:val="21"/>
              </w:rPr>
            </w:pPr>
          </w:p>
        </w:tc>
        <w:tc>
          <w:tcPr>
            <w:tcW w:w="599" w:type="pct"/>
            <w:shd w:val="clear" w:color="auto" w:fill="auto"/>
            <w:vAlign w:val="center"/>
          </w:tcPr>
          <w:p w14:paraId="4F54885E" w14:textId="77777777" w:rsidR="009C353B" w:rsidRDefault="009C353B">
            <w:pPr>
              <w:adjustRightInd w:val="0"/>
              <w:snapToGrid w:val="0"/>
              <w:spacing w:line="240" w:lineRule="atLeast"/>
              <w:jc w:val="center"/>
              <w:rPr>
                <w:rFonts w:ascii="Times New Roman" w:hAnsi="Times New Roman"/>
                <w:sz w:val="21"/>
                <w:szCs w:val="21"/>
              </w:rPr>
            </w:pPr>
          </w:p>
        </w:tc>
        <w:tc>
          <w:tcPr>
            <w:tcW w:w="375" w:type="pct"/>
            <w:shd w:val="clear" w:color="auto" w:fill="auto"/>
            <w:vAlign w:val="center"/>
          </w:tcPr>
          <w:p w14:paraId="79005DAE"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1E16CCC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16.14</w:t>
            </w:r>
          </w:p>
        </w:tc>
        <w:tc>
          <w:tcPr>
            <w:tcW w:w="430" w:type="pct"/>
            <w:shd w:val="clear" w:color="auto" w:fill="auto"/>
            <w:vAlign w:val="center"/>
          </w:tcPr>
          <w:p w14:paraId="6BB9DB5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7.30</w:t>
            </w:r>
          </w:p>
        </w:tc>
        <w:tc>
          <w:tcPr>
            <w:tcW w:w="614" w:type="pct"/>
            <w:shd w:val="clear" w:color="auto" w:fill="auto"/>
            <w:vAlign w:val="center"/>
          </w:tcPr>
          <w:p w14:paraId="54212AB1"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7BE11AF6" w14:textId="77777777">
        <w:trPr>
          <w:trHeight w:val="340"/>
          <w:jc w:val="center"/>
        </w:trPr>
        <w:tc>
          <w:tcPr>
            <w:tcW w:w="314" w:type="pct"/>
            <w:vMerge/>
            <w:shd w:val="clear" w:color="auto" w:fill="auto"/>
            <w:vAlign w:val="center"/>
          </w:tcPr>
          <w:p w14:paraId="333B7344"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0AC1BE37"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45AAF48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p>
        </w:tc>
        <w:tc>
          <w:tcPr>
            <w:tcW w:w="1277" w:type="pct"/>
            <w:shd w:val="clear" w:color="auto" w:fill="auto"/>
            <w:vAlign w:val="center"/>
          </w:tcPr>
          <w:p w14:paraId="4A73FA3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马莲台电厂</w:t>
            </w:r>
          </w:p>
        </w:tc>
        <w:tc>
          <w:tcPr>
            <w:tcW w:w="472" w:type="pct"/>
            <w:shd w:val="clear" w:color="auto" w:fill="auto"/>
            <w:vAlign w:val="center"/>
          </w:tcPr>
          <w:p w14:paraId="5E53170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34A640F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33</w:t>
            </w:r>
          </w:p>
        </w:tc>
        <w:tc>
          <w:tcPr>
            <w:tcW w:w="375" w:type="pct"/>
            <w:shd w:val="clear" w:color="auto" w:fill="auto"/>
            <w:vAlign w:val="center"/>
          </w:tcPr>
          <w:p w14:paraId="691798D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66</w:t>
            </w:r>
          </w:p>
        </w:tc>
        <w:tc>
          <w:tcPr>
            <w:tcW w:w="450" w:type="pct"/>
            <w:shd w:val="clear" w:color="auto" w:fill="auto"/>
            <w:vAlign w:val="center"/>
          </w:tcPr>
          <w:p w14:paraId="494EC6F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1.21</w:t>
            </w:r>
          </w:p>
        </w:tc>
        <w:tc>
          <w:tcPr>
            <w:tcW w:w="430" w:type="pct"/>
            <w:shd w:val="clear" w:color="auto" w:fill="auto"/>
            <w:vAlign w:val="center"/>
          </w:tcPr>
          <w:p w14:paraId="6E33FCA5" w14:textId="77777777" w:rsidR="009C353B" w:rsidRDefault="009C353B">
            <w:pPr>
              <w:adjustRightInd w:val="0"/>
              <w:snapToGrid w:val="0"/>
              <w:spacing w:line="240" w:lineRule="atLeast"/>
              <w:jc w:val="center"/>
              <w:rPr>
                <w:rFonts w:ascii="Times New Roman" w:hAnsi="Times New Roman"/>
                <w:sz w:val="21"/>
                <w:szCs w:val="21"/>
              </w:rPr>
            </w:pPr>
          </w:p>
        </w:tc>
        <w:tc>
          <w:tcPr>
            <w:tcW w:w="614" w:type="pct"/>
            <w:shd w:val="clear" w:color="auto" w:fill="auto"/>
            <w:vAlign w:val="center"/>
          </w:tcPr>
          <w:p w14:paraId="5B703D00"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7C3789A8" w14:textId="77777777">
        <w:trPr>
          <w:trHeight w:val="340"/>
          <w:jc w:val="center"/>
        </w:trPr>
        <w:tc>
          <w:tcPr>
            <w:tcW w:w="314" w:type="pct"/>
            <w:vMerge/>
            <w:shd w:val="clear" w:color="auto" w:fill="auto"/>
            <w:vAlign w:val="center"/>
          </w:tcPr>
          <w:p w14:paraId="05D45A23"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3E92B37A"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1CFC231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p>
        </w:tc>
        <w:tc>
          <w:tcPr>
            <w:tcW w:w="1277" w:type="pct"/>
            <w:shd w:val="clear" w:color="auto" w:fill="auto"/>
            <w:vAlign w:val="center"/>
          </w:tcPr>
          <w:p w14:paraId="0FDB060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水洞沟电厂</w:t>
            </w:r>
          </w:p>
        </w:tc>
        <w:tc>
          <w:tcPr>
            <w:tcW w:w="472" w:type="pct"/>
            <w:shd w:val="clear" w:color="auto" w:fill="auto"/>
            <w:vAlign w:val="center"/>
          </w:tcPr>
          <w:p w14:paraId="6083A1E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34E7B0F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66</w:t>
            </w:r>
          </w:p>
        </w:tc>
        <w:tc>
          <w:tcPr>
            <w:tcW w:w="375" w:type="pct"/>
            <w:shd w:val="clear" w:color="auto" w:fill="auto"/>
            <w:vAlign w:val="center"/>
          </w:tcPr>
          <w:p w14:paraId="377D434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132</w:t>
            </w:r>
          </w:p>
        </w:tc>
        <w:tc>
          <w:tcPr>
            <w:tcW w:w="450" w:type="pct"/>
            <w:shd w:val="clear" w:color="auto" w:fill="auto"/>
            <w:vAlign w:val="center"/>
          </w:tcPr>
          <w:p w14:paraId="5B8B008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2.42</w:t>
            </w:r>
          </w:p>
        </w:tc>
        <w:tc>
          <w:tcPr>
            <w:tcW w:w="430" w:type="pct"/>
            <w:shd w:val="clear" w:color="auto" w:fill="auto"/>
            <w:vAlign w:val="center"/>
          </w:tcPr>
          <w:p w14:paraId="7EA090BC" w14:textId="77777777" w:rsidR="009C353B" w:rsidRDefault="009C353B">
            <w:pPr>
              <w:adjustRightInd w:val="0"/>
              <w:snapToGrid w:val="0"/>
              <w:spacing w:line="240" w:lineRule="atLeast"/>
              <w:jc w:val="center"/>
              <w:rPr>
                <w:rFonts w:ascii="Times New Roman" w:hAnsi="Times New Roman"/>
                <w:sz w:val="21"/>
                <w:szCs w:val="21"/>
              </w:rPr>
            </w:pPr>
          </w:p>
        </w:tc>
        <w:tc>
          <w:tcPr>
            <w:tcW w:w="614" w:type="pct"/>
            <w:shd w:val="clear" w:color="auto" w:fill="auto"/>
            <w:vAlign w:val="center"/>
          </w:tcPr>
          <w:p w14:paraId="70DD7DFF"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6B2157A9" w14:textId="77777777">
        <w:trPr>
          <w:trHeight w:val="340"/>
          <w:jc w:val="center"/>
        </w:trPr>
        <w:tc>
          <w:tcPr>
            <w:tcW w:w="314" w:type="pct"/>
            <w:vMerge/>
            <w:shd w:val="clear" w:color="auto" w:fill="auto"/>
            <w:vAlign w:val="center"/>
          </w:tcPr>
          <w:p w14:paraId="79A8F321"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618437FD"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2864E09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w:t>
            </w:r>
          </w:p>
        </w:tc>
        <w:tc>
          <w:tcPr>
            <w:tcW w:w="1277" w:type="pct"/>
            <w:shd w:val="clear" w:color="auto" w:fill="auto"/>
            <w:vAlign w:val="center"/>
          </w:tcPr>
          <w:p w14:paraId="4109E2F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枣泉电厂</w:t>
            </w:r>
          </w:p>
        </w:tc>
        <w:tc>
          <w:tcPr>
            <w:tcW w:w="472" w:type="pct"/>
            <w:shd w:val="clear" w:color="auto" w:fill="auto"/>
            <w:vAlign w:val="center"/>
          </w:tcPr>
          <w:p w14:paraId="3355083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6028910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66</w:t>
            </w:r>
          </w:p>
        </w:tc>
        <w:tc>
          <w:tcPr>
            <w:tcW w:w="375" w:type="pct"/>
            <w:shd w:val="clear" w:color="auto" w:fill="auto"/>
            <w:vAlign w:val="center"/>
          </w:tcPr>
          <w:p w14:paraId="0F4F8C3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132</w:t>
            </w:r>
          </w:p>
        </w:tc>
        <w:tc>
          <w:tcPr>
            <w:tcW w:w="450" w:type="pct"/>
            <w:shd w:val="clear" w:color="auto" w:fill="auto"/>
            <w:vAlign w:val="center"/>
          </w:tcPr>
          <w:p w14:paraId="79C3AE76" w14:textId="77777777" w:rsidR="009C353B" w:rsidRDefault="009C353B">
            <w:pPr>
              <w:adjustRightInd w:val="0"/>
              <w:snapToGrid w:val="0"/>
              <w:spacing w:line="240" w:lineRule="atLeast"/>
              <w:jc w:val="center"/>
              <w:rPr>
                <w:rFonts w:ascii="Times New Roman" w:hAnsi="Times New Roman"/>
                <w:sz w:val="21"/>
                <w:szCs w:val="21"/>
              </w:rPr>
            </w:pPr>
          </w:p>
        </w:tc>
        <w:tc>
          <w:tcPr>
            <w:tcW w:w="430" w:type="pct"/>
            <w:shd w:val="clear" w:color="auto" w:fill="auto"/>
            <w:vAlign w:val="center"/>
          </w:tcPr>
          <w:p w14:paraId="6308EEC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2.42</w:t>
            </w:r>
          </w:p>
        </w:tc>
        <w:tc>
          <w:tcPr>
            <w:tcW w:w="614" w:type="pct"/>
            <w:shd w:val="clear" w:color="auto" w:fill="auto"/>
            <w:vAlign w:val="center"/>
          </w:tcPr>
          <w:p w14:paraId="68BE6479"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在建</w:t>
            </w:r>
          </w:p>
        </w:tc>
      </w:tr>
      <w:tr w:rsidR="009C353B" w14:paraId="12E5611B" w14:textId="77777777">
        <w:trPr>
          <w:trHeight w:val="340"/>
          <w:jc w:val="center"/>
        </w:trPr>
        <w:tc>
          <w:tcPr>
            <w:tcW w:w="314" w:type="pct"/>
            <w:vMerge/>
            <w:shd w:val="clear" w:color="auto" w:fill="auto"/>
            <w:vAlign w:val="center"/>
          </w:tcPr>
          <w:p w14:paraId="792CE933"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4AFB3EA4"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239EEFD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w:t>
            </w:r>
          </w:p>
        </w:tc>
        <w:tc>
          <w:tcPr>
            <w:tcW w:w="1277" w:type="pct"/>
            <w:shd w:val="clear" w:color="auto" w:fill="auto"/>
            <w:vAlign w:val="center"/>
          </w:tcPr>
          <w:p w14:paraId="236327C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鸳鸯湖电厂</w:t>
            </w:r>
          </w:p>
        </w:tc>
        <w:tc>
          <w:tcPr>
            <w:tcW w:w="472" w:type="pct"/>
            <w:shd w:val="clear" w:color="auto" w:fill="auto"/>
            <w:vAlign w:val="center"/>
          </w:tcPr>
          <w:p w14:paraId="2DF8D02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3D558AF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66+</w:t>
            </w:r>
          </w:p>
          <w:p w14:paraId="15C0B45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100</w:t>
            </w:r>
          </w:p>
        </w:tc>
        <w:tc>
          <w:tcPr>
            <w:tcW w:w="375" w:type="pct"/>
            <w:shd w:val="clear" w:color="auto" w:fill="auto"/>
            <w:vAlign w:val="center"/>
          </w:tcPr>
          <w:p w14:paraId="1CD3578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332</w:t>
            </w:r>
          </w:p>
        </w:tc>
        <w:tc>
          <w:tcPr>
            <w:tcW w:w="450" w:type="pct"/>
            <w:shd w:val="clear" w:color="auto" w:fill="auto"/>
            <w:vAlign w:val="center"/>
          </w:tcPr>
          <w:p w14:paraId="72D2B64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2.42</w:t>
            </w:r>
          </w:p>
        </w:tc>
        <w:tc>
          <w:tcPr>
            <w:tcW w:w="430" w:type="pct"/>
            <w:shd w:val="clear" w:color="auto" w:fill="auto"/>
            <w:vAlign w:val="center"/>
          </w:tcPr>
          <w:p w14:paraId="18A7BDE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3.60</w:t>
            </w:r>
          </w:p>
        </w:tc>
        <w:tc>
          <w:tcPr>
            <w:tcW w:w="614" w:type="pct"/>
            <w:shd w:val="clear" w:color="auto" w:fill="auto"/>
            <w:vAlign w:val="center"/>
          </w:tcPr>
          <w:p w14:paraId="762C0C6B"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239EF138" w14:textId="77777777">
        <w:trPr>
          <w:trHeight w:val="340"/>
          <w:jc w:val="center"/>
        </w:trPr>
        <w:tc>
          <w:tcPr>
            <w:tcW w:w="314" w:type="pct"/>
            <w:vMerge/>
            <w:shd w:val="clear" w:color="auto" w:fill="auto"/>
            <w:vAlign w:val="center"/>
          </w:tcPr>
          <w:p w14:paraId="04CB0295"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7B2EC353"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4C08460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w:t>
            </w:r>
          </w:p>
        </w:tc>
        <w:tc>
          <w:tcPr>
            <w:tcW w:w="1277" w:type="pct"/>
            <w:shd w:val="clear" w:color="auto" w:fill="auto"/>
            <w:vAlign w:val="center"/>
          </w:tcPr>
          <w:p w14:paraId="7472822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宁东自备热电厂</w:t>
            </w:r>
          </w:p>
        </w:tc>
        <w:tc>
          <w:tcPr>
            <w:tcW w:w="472" w:type="pct"/>
            <w:shd w:val="clear" w:color="auto" w:fill="auto"/>
            <w:vAlign w:val="center"/>
          </w:tcPr>
          <w:p w14:paraId="67F7302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10FF7E9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33</w:t>
            </w:r>
          </w:p>
        </w:tc>
        <w:tc>
          <w:tcPr>
            <w:tcW w:w="375" w:type="pct"/>
            <w:shd w:val="clear" w:color="auto" w:fill="auto"/>
            <w:vAlign w:val="center"/>
          </w:tcPr>
          <w:p w14:paraId="34A9588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66</w:t>
            </w:r>
          </w:p>
        </w:tc>
        <w:tc>
          <w:tcPr>
            <w:tcW w:w="450" w:type="pct"/>
            <w:shd w:val="clear" w:color="auto" w:fill="auto"/>
            <w:vAlign w:val="center"/>
          </w:tcPr>
          <w:p w14:paraId="5FB6FB4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1.21</w:t>
            </w:r>
          </w:p>
        </w:tc>
        <w:tc>
          <w:tcPr>
            <w:tcW w:w="430" w:type="pct"/>
            <w:shd w:val="clear" w:color="auto" w:fill="auto"/>
            <w:vAlign w:val="center"/>
          </w:tcPr>
          <w:p w14:paraId="09D3B043" w14:textId="77777777" w:rsidR="009C353B" w:rsidRDefault="009C353B">
            <w:pPr>
              <w:adjustRightInd w:val="0"/>
              <w:snapToGrid w:val="0"/>
              <w:spacing w:line="240" w:lineRule="atLeast"/>
              <w:jc w:val="center"/>
              <w:rPr>
                <w:rFonts w:ascii="Times New Roman" w:hAnsi="Times New Roman"/>
                <w:sz w:val="21"/>
                <w:szCs w:val="21"/>
              </w:rPr>
            </w:pPr>
          </w:p>
        </w:tc>
        <w:tc>
          <w:tcPr>
            <w:tcW w:w="614" w:type="pct"/>
            <w:shd w:val="clear" w:color="auto" w:fill="auto"/>
            <w:vAlign w:val="center"/>
          </w:tcPr>
          <w:p w14:paraId="191DB469"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3D39C4EF" w14:textId="77777777">
        <w:trPr>
          <w:trHeight w:val="340"/>
          <w:jc w:val="center"/>
        </w:trPr>
        <w:tc>
          <w:tcPr>
            <w:tcW w:w="314" w:type="pct"/>
            <w:vMerge/>
            <w:shd w:val="clear" w:color="auto" w:fill="auto"/>
            <w:vAlign w:val="center"/>
          </w:tcPr>
          <w:p w14:paraId="2398B95A"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350B7A87"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146855C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w:t>
            </w:r>
          </w:p>
        </w:tc>
        <w:tc>
          <w:tcPr>
            <w:tcW w:w="1277" w:type="pct"/>
            <w:shd w:val="clear" w:color="auto" w:fill="auto"/>
            <w:vAlign w:val="center"/>
          </w:tcPr>
          <w:p w14:paraId="01B05B4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灵州矸石电厂</w:t>
            </w:r>
          </w:p>
        </w:tc>
        <w:tc>
          <w:tcPr>
            <w:tcW w:w="472" w:type="pct"/>
            <w:shd w:val="clear" w:color="auto" w:fill="auto"/>
            <w:vAlign w:val="center"/>
          </w:tcPr>
          <w:p w14:paraId="65A9DF3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40E65FC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13.5</w:t>
            </w:r>
          </w:p>
        </w:tc>
        <w:tc>
          <w:tcPr>
            <w:tcW w:w="375" w:type="pct"/>
            <w:shd w:val="clear" w:color="auto" w:fill="auto"/>
            <w:vAlign w:val="center"/>
          </w:tcPr>
          <w:p w14:paraId="60F5821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27</w:t>
            </w:r>
          </w:p>
        </w:tc>
        <w:tc>
          <w:tcPr>
            <w:tcW w:w="450" w:type="pct"/>
            <w:shd w:val="clear" w:color="auto" w:fill="auto"/>
            <w:vAlign w:val="center"/>
          </w:tcPr>
          <w:p w14:paraId="458C0DD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0.50</w:t>
            </w:r>
          </w:p>
        </w:tc>
        <w:tc>
          <w:tcPr>
            <w:tcW w:w="430" w:type="pct"/>
            <w:shd w:val="clear" w:color="auto" w:fill="auto"/>
            <w:vAlign w:val="center"/>
          </w:tcPr>
          <w:p w14:paraId="28FC8D89" w14:textId="77777777" w:rsidR="009C353B" w:rsidRDefault="009C353B">
            <w:pPr>
              <w:adjustRightInd w:val="0"/>
              <w:snapToGrid w:val="0"/>
              <w:spacing w:line="240" w:lineRule="atLeast"/>
              <w:jc w:val="center"/>
              <w:rPr>
                <w:rFonts w:ascii="Times New Roman" w:hAnsi="Times New Roman"/>
                <w:sz w:val="21"/>
                <w:szCs w:val="21"/>
              </w:rPr>
            </w:pPr>
          </w:p>
        </w:tc>
        <w:tc>
          <w:tcPr>
            <w:tcW w:w="614" w:type="pct"/>
            <w:shd w:val="clear" w:color="auto" w:fill="auto"/>
            <w:vAlign w:val="center"/>
          </w:tcPr>
          <w:p w14:paraId="7BCE87B9"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7BC81CF1" w14:textId="77777777">
        <w:trPr>
          <w:trHeight w:val="340"/>
          <w:jc w:val="center"/>
        </w:trPr>
        <w:tc>
          <w:tcPr>
            <w:tcW w:w="314" w:type="pct"/>
            <w:vMerge/>
            <w:shd w:val="clear" w:color="auto" w:fill="auto"/>
            <w:vAlign w:val="center"/>
          </w:tcPr>
          <w:p w14:paraId="6C44E10F"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297AED4B"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6BEE1F0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7</w:t>
            </w:r>
          </w:p>
        </w:tc>
        <w:tc>
          <w:tcPr>
            <w:tcW w:w="1277" w:type="pct"/>
            <w:shd w:val="clear" w:color="auto" w:fill="auto"/>
            <w:vAlign w:val="center"/>
          </w:tcPr>
          <w:p w14:paraId="29282B2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灵武电厂</w:t>
            </w:r>
          </w:p>
        </w:tc>
        <w:tc>
          <w:tcPr>
            <w:tcW w:w="472" w:type="pct"/>
            <w:shd w:val="clear" w:color="auto" w:fill="auto"/>
            <w:vAlign w:val="center"/>
          </w:tcPr>
          <w:p w14:paraId="050C3D3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4195AD8A"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66+</w:t>
            </w:r>
          </w:p>
          <w:p w14:paraId="262F6E5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110</w:t>
            </w:r>
          </w:p>
        </w:tc>
        <w:tc>
          <w:tcPr>
            <w:tcW w:w="375" w:type="pct"/>
            <w:shd w:val="clear" w:color="auto" w:fill="auto"/>
            <w:vAlign w:val="center"/>
          </w:tcPr>
          <w:p w14:paraId="04A7AB1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352</w:t>
            </w:r>
          </w:p>
        </w:tc>
        <w:tc>
          <w:tcPr>
            <w:tcW w:w="450" w:type="pct"/>
            <w:shd w:val="clear" w:color="auto" w:fill="auto"/>
            <w:vAlign w:val="center"/>
          </w:tcPr>
          <w:p w14:paraId="2F5C25E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6.45</w:t>
            </w:r>
          </w:p>
        </w:tc>
        <w:tc>
          <w:tcPr>
            <w:tcW w:w="430" w:type="pct"/>
            <w:shd w:val="clear" w:color="auto" w:fill="auto"/>
            <w:vAlign w:val="center"/>
          </w:tcPr>
          <w:p w14:paraId="7D276C8D" w14:textId="77777777" w:rsidR="009C353B" w:rsidRDefault="009C353B">
            <w:pPr>
              <w:adjustRightInd w:val="0"/>
              <w:snapToGrid w:val="0"/>
              <w:spacing w:line="240" w:lineRule="atLeast"/>
              <w:jc w:val="center"/>
              <w:rPr>
                <w:rFonts w:ascii="Times New Roman" w:hAnsi="Times New Roman"/>
                <w:sz w:val="21"/>
                <w:szCs w:val="21"/>
              </w:rPr>
            </w:pPr>
          </w:p>
        </w:tc>
        <w:tc>
          <w:tcPr>
            <w:tcW w:w="614" w:type="pct"/>
            <w:shd w:val="clear" w:color="auto" w:fill="auto"/>
            <w:vAlign w:val="center"/>
          </w:tcPr>
          <w:p w14:paraId="6C7C68A9"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34BEF8A8" w14:textId="77777777">
        <w:trPr>
          <w:trHeight w:val="340"/>
          <w:jc w:val="center"/>
        </w:trPr>
        <w:tc>
          <w:tcPr>
            <w:tcW w:w="314" w:type="pct"/>
            <w:vMerge/>
            <w:shd w:val="clear" w:color="auto" w:fill="auto"/>
            <w:vAlign w:val="center"/>
          </w:tcPr>
          <w:p w14:paraId="470B4C00"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176F7EFC"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2B673B0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8</w:t>
            </w:r>
          </w:p>
        </w:tc>
        <w:tc>
          <w:tcPr>
            <w:tcW w:w="1277" w:type="pct"/>
            <w:shd w:val="clear" w:color="auto" w:fill="auto"/>
            <w:vAlign w:val="center"/>
          </w:tcPr>
          <w:p w14:paraId="324F445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甜水河变电站</w:t>
            </w:r>
          </w:p>
        </w:tc>
        <w:tc>
          <w:tcPr>
            <w:tcW w:w="472" w:type="pct"/>
            <w:shd w:val="clear" w:color="auto" w:fill="auto"/>
            <w:vAlign w:val="center"/>
          </w:tcPr>
          <w:p w14:paraId="25FDB98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11C3A73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hint="eastAsia"/>
                <w:sz w:val="21"/>
                <w:szCs w:val="21"/>
              </w:rPr>
              <w:t>×</w:t>
            </w:r>
            <w:r>
              <w:rPr>
                <w:rFonts w:ascii="Times New Roman" w:hAnsi="Times New Roman" w:hint="eastAsia"/>
                <w:sz w:val="21"/>
                <w:szCs w:val="21"/>
              </w:rPr>
              <w:t>35</w:t>
            </w:r>
          </w:p>
        </w:tc>
        <w:tc>
          <w:tcPr>
            <w:tcW w:w="375" w:type="pct"/>
            <w:shd w:val="clear" w:color="auto" w:fill="auto"/>
            <w:vAlign w:val="center"/>
          </w:tcPr>
          <w:p w14:paraId="19F3D3A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105</w:t>
            </w:r>
          </w:p>
        </w:tc>
        <w:tc>
          <w:tcPr>
            <w:tcW w:w="450" w:type="pct"/>
            <w:shd w:val="clear" w:color="auto" w:fill="auto"/>
            <w:vAlign w:val="center"/>
          </w:tcPr>
          <w:p w14:paraId="3A0ACD1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1.93</w:t>
            </w:r>
          </w:p>
        </w:tc>
        <w:tc>
          <w:tcPr>
            <w:tcW w:w="430" w:type="pct"/>
            <w:shd w:val="clear" w:color="auto" w:fill="auto"/>
            <w:vAlign w:val="center"/>
          </w:tcPr>
          <w:p w14:paraId="4B6A99A9" w14:textId="77777777" w:rsidR="009C353B" w:rsidRDefault="009C353B">
            <w:pPr>
              <w:adjustRightInd w:val="0"/>
              <w:snapToGrid w:val="0"/>
              <w:spacing w:line="240" w:lineRule="atLeast"/>
              <w:jc w:val="center"/>
              <w:rPr>
                <w:rFonts w:ascii="Times New Roman" w:hAnsi="Times New Roman"/>
                <w:sz w:val="21"/>
                <w:szCs w:val="21"/>
              </w:rPr>
            </w:pPr>
          </w:p>
        </w:tc>
        <w:tc>
          <w:tcPr>
            <w:tcW w:w="614" w:type="pct"/>
            <w:shd w:val="clear" w:color="auto" w:fill="auto"/>
            <w:vAlign w:val="center"/>
          </w:tcPr>
          <w:p w14:paraId="5395CBF9"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0AB609A8" w14:textId="77777777">
        <w:trPr>
          <w:trHeight w:val="340"/>
          <w:jc w:val="center"/>
        </w:trPr>
        <w:tc>
          <w:tcPr>
            <w:tcW w:w="314" w:type="pct"/>
            <w:vMerge/>
            <w:shd w:val="clear" w:color="auto" w:fill="auto"/>
            <w:vAlign w:val="center"/>
          </w:tcPr>
          <w:p w14:paraId="1D561FC6"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0C0DA123"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01EB63A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9</w:t>
            </w:r>
          </w:p>
        </w:tc>
        <w:tc>
          <w:tcPr>
            <w:tcW w:w="1277" w:type="pct"/>
            <w:shd w:val="clear" w:color="auto" w:fill="auto"/>
            <w:vAlign w:val="center"/>
          </w:tcPr>
          <w:p w14:paraId="3E5AD064" w14:textId="77777777" w:rsidR="009C353B" w:rsidRDefault="00000000">
            <w:pPr>
              <w:adjustRightInd w:val="0"/>
              <w:snapToGrid w:val="0"/>
              <w:spacing w:line="240" w:lineRule="atLeast"/>
              <w:jc w:val="center"/>
              <w:rPr>
                <w:rFonts w:ascii="Times New Roman" w:hAnsi="Times New Roman"/>
                <w:w w:val="90"/>
                <w:sz w:val="21"/>
                <w:szCs w:val="21"/>
              </w:rPr>
            </w:pPr>
            <w:r>
              <w:rPr>
                <w:rFonts w:ascii="Times New Roman" w:hAnsi="Times New Roman" w:hint="eastAsia"/>
                <w:w w:val="90"/>
                <w:sz w:val="21"/>
                <w:szCs w:val="21"/>
              </w:rPr>
              <w:t>宝丰低热值煤综合利用电厂</w:t>
            </w:r>
          </w:p>
        </w:tc>
        <w:tc>
          <w:tcPr>
            <w:tcW w:w="472" w:type="pct"/>
            <w:shd w:val="clear" w:color="auto" w:fill="auto"/>
            <w:vAlign w:val="center"/>
          </w:tcPr>
          <w:p w14:paraId="3CF9543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441F875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35</w:t>
            </w:r>
          </w:p>
        </w:tc>
        <w:tc>
          <w:tcPr>
            <w:tcW w:w="375" w:type="pct"/>
            <w:shd w:val="clear" w:color="auto" w:fill="auto"/>
            <w:vAlign w:val="center"/>
          </w:tcPr>
          <w:p w14:paraId="0897B62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70</w:t>
            </w:r>
          </w:p>
        </w:tc>
        <w:tc>
          <w:tcPr>
            <w:tcW w:w="450" w:type="pct"/>
            <w:shd w:val="clear" w:color="auto" w:fill="auto"/>
            <w:vAlign w:val="center"/>
          </w:tcPr>
          <w:p w14:paraId="3F349E36" w14:textId="77777777" w:rsidR="009C353B" w:rsidRDefault="009C353B">
            <w:pPr>
              <w:adjustRightInd w:val="0"/>
              <w:snapToGrid w:val="0"/>
              <w:spacing w:line="240" w:lineRule="atLeast"/>
              <w:jc w:val="center"/>
              <w:rPr>
                <w:rFonts w:ascii="Times New Roman" w:hAnsi="Times New Roman"/>
                <w:sz w:val="21"/>
                <w:szCs w:val="21"/>
              </w:rPr>
            </w:pPr>
          </w:p>
        </w:tc>
        <w:tc>
          <w:tcPr>
            <w:tcW w:w="430" w:type="pct"/>
            <w:shd w:val="clear" w:color="auto" w:fill="auto"/>
            <w:vAlign w:val="center"/>
          </w:tcPr>
          <w:p w14:paraId="60A64A7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1.28</w:t>
            </w:r>
          </w:p>
        </w:tc>
        <w:tc>
          <w:tcPr>
            <w:tcW w:w="614" w:type="pct"/>
            <w:shd w:val="clear" w:color="auto" w:fill="auto"/>
            <w:vAlign w:val="center"/>
          </w:tcPr>
          <w:p w14:paraId="6684AB8C"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规划</w:t>
            </w:r>
          </w:p>
        </w:tc>
      </w:tr>
      <w:tr w:rsidR="009C353B" w14:paraId="3BB2570D" w14:textId="77777777">
        <w:trPr>
          <w:trHeight w:val="340"/>
          <w:jc w:val="center"/>
        </w:trPr>
        <w:tc>
          <w:tcPr>
            <w:tcW w:w="314" w:type="pct"/>
            <w:vMerge/>
            <w:shd w:val="clear" w:color="auto" w:fill="auto"/>
            <w:vAlign w:val="center"/>
          </w:tcPr>
          <w:p w14:paraId="049D25D0"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1BC03D62"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38FFA18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二</w:t>
            </w:r>
          </w:p>
        </w:tc>
        <w:tc>
          <w:tcPr>
            <w:tcW w:w="1277" w:type="pct"/>
            <w:shd w:val="clear" w:color="auto" w:fill="auto"/>
            <w:vAlign w:val="center"/>
          </w:tcPr>
          <w:p w14:paraId="41E3C7F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煤化工项目</w:t>
            </w:r>
          </w:p>
        </w:tc>
        <w:tc>
          <w:tcPr>
            <w:tcW w:w="472" w:type="pct"/>
            <w:shd w:val="clear" w:color="auto" w:fill="auto"/>
            <w:vAlign w:val="center"/>
          </w:tcPr>
          <w:p w14:paraId="5A7A994E" w14:textId="77777777" w:rsidR="009C353B" w:rsidRDefault="009C353B">
            <w:pPr>
              <w:adjustRightInd w:val="0"/>
              <w:snapToGrid w:val="0"/>
              <w:spacing w:line="240" w:lineRule="atLeast"/>
              <w:jc w:val="center"/>
              <w:rPr>
                <w:rFonts w:ascii="Times New Roman" w:hAnsi="Times New Roman"/>
                <w:sz w:val="21"/>
                <w:szCs w:val="21"/>
              </w:rPr>
            </w:pPr>
          </w:p>
        </w:tc>
        <w:tc>
          <w:tcPr>
            <w:tcW w:w="599" w:type="pct"/>
            <w:shd w:val="clear" w:color="auto" w:fill="auto"/>
            <w:vAlign w:val="center"/>
          </w:tcPr>
          <w:p w14:paraId="2C5831FC" w14:textId="77777777" w:rsidR="009C353B" w:rsidRDefault="009C353B">
            <w:pPr>
              <w:adjustRightInd w:val="0"/>
              <w:snapToGrid w:val="0"/>
              <w:spacing w:line="240" w:lineRule="atLeast"/>
              <w:jc w:val="center"/>
              <w:rPr>
                <w:rFonts w:ascii="Times New Roman" w:hAnsi="Times New Roman"/>
                <w:sz w:val="21"/>
                <w:szCs w:val="21"/>
              </w:rPr>
            </w:pPr>
          </w:p>
        </w:tc>
        <w:tc>
          <w:tcPr>
            <w:tcW w:w="375" w:type="pct"/>
            <w:shd w:val="clear" w:color="auto" w:fill="auto"/>
            <w:vAlign w:val="center"/>
          </w:tcPr>
          <w:p w14:paraId="4E82528F"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78A612C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64.88</w:t>
            </w:r>
          </w:p>
        </w:tc>
        <w:tc>
          <w:tcPr>
            <w:tcW w:w="430" w:type="pct"/>
            <w:shd w:val="clear" w:color="auto" w:fill="auto"/>
            <w:vAlign w:val="center"/>
          </w:tcPr>
          <w:p w14:paraId="162AA26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37.50</w:t>
            </w:r>
          </w:p>
        </w:tc>
        <w:tc>
          <w:tcPr>
            <w:tcW w:w="614" w:type="pct"/>
            <w:shd w:val="clear" w:color="auto" w:fill="auto"/>
            <w:vAlign w:val="center"/>
          </w:tcPr>
          <w:p w14:paraId="7CA40720" w14:textId="77777777" w:rsidR="009C353B" w:rsidRDefault="009C353B">
            <w:pPr>
              <w:adjustRightInd w:val="0"/>
              <w:snapToGrid w:val="0"/>
              <w:spacing w:line="240" w:lineRule="atLeast"/>
              <w:rPr>
                <w:rFonts w:ascii="Times New Roman" w:hAnsi="Times New Roman"/>
                <w:sz w:val="21"/>
                <w:szCs w:val="21"/>
              </w:rPr>
            </w:pPr>
          </w:p>
        </w:tc>
      </w:tr>
      <w:tr w:rsidR="009C353B" w14:paraId="653FFC0C" w14:textId="77777777">
        <w:trPr>
          <w:trHeight w:val="340"/>
          <w:jc w:val="center"/>
        </w:trPr>
        <w:tc>
          <w:tcPr>
            <w:tcW w:w="314" w:type="pct"/>
            <w:vMerge/>
            <w:shd w:val="clear" w:color="auto" w:fill="auto"/>
            <w:vAlign w:val="center"/>
          </w:tcPr>
          <w:p w14:paraId="43C27473"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15FA3ABE"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3BAC522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p>
        </w:tc>
        <w:tc>
          <w:tcPr>
            <w:tcW w:w="1277" w:type="pct"/>
            <w:shd w:val="clear" w:color="auto" w:fill="auto"/>
            <w:vAlign w:val="center"/>
          </w:tcPr>
          <w:p w14:paraId="5CD7A44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煤炭间接液化</w:t>
            </w:r>
          </w:p>
        </w:tc>
        <w:tc>
          <w:tcPr>
            <w:tcW w:w="472" w:type="pct"/>
            <w:shd w:val="clear" w:color="auto" w:fill="auto"/>
            <w:vAlign w:val="center"/>
          </w:tcPr>
          <w:p w14:paraId="57C67EB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万</w:t>
            </w:r>
            <w:r>
              <w:rPr>
                <w:rFonts w:ascii="Times New Roman" w:hAnsi="Times New Roman" w:hint="eastAsia"/>
                <w:sz w:val="21"/>
                <w:szCs w:val="21"/>
              </w:rPr>
              <w:t>t/a</w:t>
            </w:r>
          </w:p>
        </w:tc>
        <w:tc>
          <w:tcPr>
            <w:tcW w:w="599" w:type="pct"/>
            <w:shd w:val="clear" w:color="auto" w:fill="auto"/>
            <w:vAlign w:val="center"/>
          </w:tcPr>
          <w:p w14:paraId="74F8893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400</w:t>
            </w:r>
          </w:p>
        </w:tc>
        <w:tc>
          <w:tcPr>
            <w:tcW w:w="375" w:type="pct"/>
            <w:shd w:val="clear" w:color="auto" w:fill="auto"/>
            <w:vAlign w:val="center"/>
          </w:tcPr>
          <w:p w14:paraId="7DB53FDF"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2D604B1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28.92</w:t>
            </w:r>
          </w:p>
        </w:tc>
        <w:tc>
          <w:tcPr>
            <w:tcW w:w="430" w:type="pct"/>
            <w:shd w:val="clear" w:color="auto" w:fill="auto"/>
            <w:vAlign w:val="center"/>
          </w:tcPr>
          <w:p w14:paraId="622CAB2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14.46</w:t>
            </w:r>
          </w:p>
        </w:tc>
        <w:tc>
          <w:tcPr>
            <w:tcW w:w="614" w:type="pct"/>
            <w:shd w:val="clear" w:color="auto" w:fill="auto"/>
            <w:vAlign w:val="center"/>
          </w:tcPr>
          <w:p w14:paraId="66AF1185"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2708F353" w14:textId="77777777">
        <w:trPr>
          <w:trHeight w:val="340"/>
          <w:jc w:val="center"/>
        </w:trPr>
        <w:tc>
          <w:tcPr>
            <w:tcW w:w="314" w:type="pct"/>
            <w:vMerge/>
            <w:shd w:val="clear" w:color="auto" w:fill="auto"/>
            <w:vAlign w:val="center"/>
          </w:tcPr>
          <w:p w14:paraId="62B5454E"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5F309F38"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6759180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p>
        </w:tc>
        <w:tc>
          <w:tcPr>
            <w:tcW w:w="1277" w:type="pct"/>
            <w:shd w:val="clear" w:color="auto" w:fill="auto"/>
            <w:vAlign w:val="center"/>
          </w:tcPr>
          <w:p w14:paraId="5FFBF24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煤基二甲醚</w:t>
            </w:r>
          </w:p>
        </w:tc>
        <w:tc>
          <w:tcPr>
            <w:tcW w:w="472" w:type="pct"/>
            <w:shd w:val="clear" w:color="auto" w:fill="auto"/>
            <w:vAlign w:val="center"/>
          </w:tcPr>
          <w:p w14:paraId="5F8B566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Mt/a</w:t>
            </w:r>
          </w:p>
        </w:tc>
        <w:tc>
          <w:tcPr>
            <w:tcW w:w="599" w:type="pct"/>
            <w:shd w:val="clear" w:color="auto" w:fill="auto"/>
            <w:vAlign w:val="center"/>
          </w:tcPr>
          <w:p w14:paraId="7F7F875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1.2</w:t>
            </w:r>
          </w:p>
        </w:tc>
        <w:tc>
          <w:tcPr>
            <w:tcW w:w="375" w:type="pct"/>
            <w:shd w:val="clear" w:color="auto" w:fill="auto"/>
            <w:vAlign w:val="center"/>
          </w:tcPr>
          <w:p w14:paraId="5A78C69C"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666847F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2.72</w:t>
            </w:r>
          </w:p>
        </w:tc>
        <w:tc>
          <w:tcPr>
            <w:tcW w:w="430" w:type="pct"/>
            <w:shd w:val="clear" w:color="auto" w:fill="auto"/>
            <w:vAlign w:val="center"/>
          </w:tcPr>
          <w:p w14:paraId="499E44F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2.72</w:t>
            </w:r>
          </w:p>
        </w:tc>
        <w:tc>
          <w:tcPr>
            <w:tcW w:w="614" w:type="pct"/>
            <w:shd w:val="clear" w:color="auto" w:fill="auto"/>
            <w:vAlign w:val="center"/>
          </w:tcPr>
          <w:p w14:paraId="57C7CCCF"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6A86C244" w14:textId="77777777">
        <w:trPr>
          <w:trHeight w:val="340"/>
          <w:jc w:val="center"/>
        </w:trPr>
        <w:tc>
          <w:tcPr>
            <w:tcW w:w="314" w:type="pct"/>
            <w:vMerge/>
            <w:shd w:val="clear" w:color="auto" w:fill="auto"/>
            <w:vAlign w:val="center"/>
          </w:tcPr>
          <w:p w14:paraId="1D6B6DA1"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3D596EFD"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2B03ADE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w:t>
            </w:r>
          </w:p>
        </w:tc>
        <w:tc>
          <w:tcPr>
            <w:tcW w:w="1277" w:type="pct"/>
            <w:shd w:val="clear" w:color="auto" w:fill="auto"/>
            <w:vAlign w:val="center"/>
          </w:tcPr>
          <w:p w14:paraId="4733A0D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甲醇</w:t>
            </w:r>
          </w:p>
        </w:tc>
        <w:tc>
          <w:tcPr>
            <w:tcW w:w="472" w:type="pct"/>
            <w:shd w:val="clear" w:color="auto" w:fill="auto"/>
            <w:vAlign w:val="center"/>
          </w:tcPr>
          <w:p w14:paraId="22AEC9E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Mt/a</w:t>
            </w:r>
          </w:p>
        </w:tc>
        <w:tc>
          <w:tcPr>
            <w:tcW w:w="599" w:type="pct"/>
            <w:shd w:val="clear" w:color="auto" w:fill="auto"/>
            <w:vAlign w:val="center"/>
          </w:tcPr>
          <w:p w14:paraId="26845C5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7.8</w:t>
            </w:r>
          </w:p>
        </w:tc>
        <w:tc>
          <w:tcPr>
            <w:tcW w:w="375" w:type="pct"/>
            <w:shd w:val="clear" w:color="auto" w:fill="auto"/>
            <w:vAlign w:val="center"/>
          </w:tcPr>
          <w:p w14:paraId="3ED64826"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3D9AA08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1.34</w:t>
            </w:r>
          </w:p>
        </w:tc>
        <w:tc>
          <w:tcPr>
            <w:tcW w:w="430" w:type="pct"/>
            <w:shd w:val="clear" w:color="auto" w:fill="auto"/>
            <w:vAlign w:val="center"/>
          </w:tcPr>
          <w:p w14:paraId="700D939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4.47</w:t>
            </w:r>
          </w:p>
        </w:tc>
        <w:tc>
          <w:tcPr>
            <w:tcW w:w="614" w:type="pct"/>
            <w:shd w:val="clear" w:color="auto" w:fill="auto"/>
            <w:vAlign w:val="center"/>
          </w:tcPr>
          <w:p w14:paraId="53E3F04E"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0E86687E" w14:textId="77777777">
        <w:trPr>
          <w:trHeight w:val="340"/>
          <w:jc w:val="center"/>
        </w:trPr>
        <w:tc>
          <w:tcPr>
            <w:tcW w:w="314" w:type="pct"/>
            <w:vMerge/>
            <w:shd w:val="clear" w:color="auto" w:fill="auto"/>
            <w:vAlign w:val="center"/>
          </w:tcPr>
          <w:p w14:paraId="4ED7940D"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3F579F66"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1F8ADC6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w:t>
            </w:r>
          </w:p>
        </w:tc>
        <w:tc>
          <w:tcPr>
            <w:tcW w:w="1277" w:type="pct"/>
            <w:shd w:val="clear" w:color="auto" w:fill="auto"/>
            <w:vAlign w:val="center"/>
          </w:tcPr>
          <w:p w14:paraId="2D35444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煤制烯烃</w:t>
            </w:r>
          </w:p>
        </w:tc>
        <w:tc>
          <w:tcPr>
            <w:tcW w:w="472" w:type="pct"/>
            <w:shd w:val="clear" w:color="auto" w:fill="auto"/>
            <w:vAlign w:val="center"/>
          </w:tcPr>
          <w:p w14:paraId="6F89968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万</w:t>
            </w:r>
            <w:r>
              <w:rPr>
                <w:rFonts w:ascii="Times New Roman" w:hAnsi="Times New Roman" w:hint="eastAsia"/>
                <w:sz w:val="21"/>
                <w:szCs w:val="21"/>
              </w:rPr>
              <w:t>t/a</w:t>
            </w:r>
          </w:p>
        </w:tc>
        <w:tc>
          <w:tcPr>
            <w:tcW w:w="599" w:type="pct"/>
            <w:shd w:val="clear" w:color="auto" w:fill="auto"/>
            <w:vAlign w:val="center"/>
          </w:tcPr>
          <w:p w14:paraId="0C61D75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400</w:t>
            </w:r>
          </w:p>
        </w:tc>
        <w:tc>
          <w:tcPr>
            <w:tcW w:w="375" w:type="pct"/>
            <w:shd w:val="clear" w:color="auto" w:fill="auto"/>
            <w:vAlign w:val="center"/>
          </w:tcPr>
          <w:p w14:paraId="208E49DF"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0DB4A4C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26.00</w:t>
            </w:r>
          </w:p>
        </w:tc>
        <w:tc>
          <w:tcPr>
            <w:tcW w:w="430" w:type="pct"/>
            <w:shd w:val="clear" w:color="auto" w:fill="auto"/>
            <w:vAlign w:val="center"/>
          </w:tcPr>
          <w:p w14:paraId="6621A1E2" w14:textId="77777777" w:rsidR="009C353B" w:rsidRDefault="009C353B">
            <w:pPr>
              <w:adjustRightInd w:val="0"/>
              <w:snapToGrid w:val="0"/>
              <w:spacing w:line="240" w:lineRule="atLeast"/>
              <w:jc w:val="center"/>
              <w:rPr>
                <w:rFonts w:ascii="Times New Roman" w:hAnsi="Times New Roman"/>
                <w:sz w:val="21"/>
                <w:szCs w:val="21"/>
              </w:rPr>
            </w:pPr>
          </w:p>
        </w:tc>
        <w:tc>
          <w:tcPr>
            <w:tcW w:w="614" w:type="pct"/>
            <w:shd w:val="clear" w:color="auto" w:fill="auto"/>
            <w:vAlign w:val="center"/>
          </w:tcPr>
          <w:p w14:paraId="334C3B29"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3FCF2A60" w14:textId="77777777">
        <w:trPr>
          <w:trHeight w:val="340"/>
          <w:jc w:val="center"/>
        </w:trPr>
        <w:tc>
          <w:tcPr>
            <w:tcW w:w="314" w:type="pct"/>
            <w:vMerge/>
            <w:shd w:val="clear" w:color="auto" w:fill="auto"/>
            <w:vAlign w:val="center"/>
          </w:tcPr>
          <w:p w14:paraId="55636005"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60678D23"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7F9E521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w:t>
            </w:r>
          </w:p>
        </w:tc>
        <w:tc>
          <w:tcPr>
            <w:tcW w:w="1277" w:type="pct"/>
            <w:shd w:val="clear" w:color="auto" w:fill="auto"/>
            <w:vAlign w:val="center"/>
          </w:tcPr>
          <w:p w14:paraId="77BFA55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煤制烯烃（临河园区）</w:t>
            </w:r>
          </w:p>
        </w:tc>
        <w:tc>
          <w:tcPr>
            <w:tcW w:w="472" w:type="pct"/>
            <w:shd w:val="clear" w:color="auto" w:fill="auto"/>
            <w:vAlign w:val="center"/>
          </w:tcPr>
          <w:p w14:paraId="0E3750A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万</w:t>
            </w:r>
            <w:r>
              <w:rPr>
                <w:rFonts w:ascii="Times New Roman" w:hAnsi="Times New Roman" w:hint="eastAsia"/>
                <w:sz w:val="21"/>
                <w:szCs w:val="21"/>
              </w:rPr>
              <w:t>t/a</w:t>
            </w:r>
          </w:p>
        </w:tc>
        <w:tc>
          <w:tcPr>
            <w:tcW w:w="599" w:type="pct"/>
            <w:shd w:val="clear" w:color="auto" w:fill="auto"/>
            <w:vAlign w:val="center"/>
          </w:tcPr>
          <w:p w14:paraId="7B1ED4B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180</w:t>
            </w:r>
          </w:p>
        </w:tc>
        <w:tc>
          <w:tcPr>
            <w:tcW w:w="375" w:type="pct"/>
            <w:shd w:val="clear" w:color="auto" w:fill="auto"/>
            <w:vAlign w:val="center"/>
          </w:tcPr>
          <w:p w14:paraId="68D432F8"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2FB44BE8" w14:textId="77777777" w:rsidR="009C353B" w:rsidRDefault="009C353B">
            <w:pPr>
              <w:adjustRightInd w:val="0"/>
              <w:snapToGrid w:val="0"/>
              <w:spacing w:line="240" w:lineRule="atLeast"/>
              <w:jc w:val="center"/>
              <w:rPr>
                <w:rFonts w:ascii="Times New Roman" w:hAnsi="Times New Roman"/>
                <w:sz w:val="21"/>
                <w:szCs w:val="21"/>
              </w:rPr>
            </w:pPr>
          </w:p>
        </w:tc>
        <w:tc>
          <w:tcPr>
            <w:tcW w:w="430" w:type="pct"/>
            <w:shd w:val="clear" w:color="auto" w:fill="auto"/>
            <w:vAlign w:val="center"/>
          </w:tcPr>
          <w:p w14:paraId="32D0C7C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10.35</w:t>
            </w:r>
          </w:p>
        </w:tc>
        <w:tc>
          <w:tcPr>
            <w:tcW w:w="614" w:type="pct"/>
            <w:shd w:val="clear" w:color="auto" w:fill="auto"/>
            <w:vAlign w:val="center"/>
          </w:tcPr>
          <w:p w14:paraId="0E8C84CB" w14:textId="77777777" w:rsidR="009C353B" w:rsidRDefault="00000000">
            <w:pPr>
              <w:adjustRightInd w:val="0"/>
              <w:snapToGrid w:val="0"/>
              <w:spacing w:line="240" w:lineRule="exact"/>
              <w:rPr>
                <w:rFonts w:ascii="Times New Roman" w:hAnsi="Times New Roman"/>
                <w:sz w:val="21"/>
                <w:szCs w:val="21"/>
              </w:rPr>
            </w:pPr>
            <w:r>
              <w:rPr>
                <w:rFonts w:ascii="Times New Roman" w:hAnsi="Times New Roman"/>
                <w:sz w:val="21"/>
                <w:szCs w:val="21"/>
              </w:rPr>
              <w:t>目前</w:t>
            </w:r>
            <w:r>
              <w:rPr>
                <w:rFonts w:ascii="Times New Roman" w:hAnsi="Times New Roman" w:hint="eastAsia"/>
                <w:sz w:val="21"/>
                <w:szCs w:val="21"/>
              </w:rPr>
              <w:t>1</w:t>
            </w:r>
            <w:r>
              <w:rPr>
                <w:rFonts w:ascii="Times New Roman" w:hAnsi="Times New Roman"/>
                <w:sz w:val="21"/>
                <w:szCs w:val="21"/>
              </w:rPr>
              <w:t>20</w:t>
            </w:r>
            <w:r>
              <w:rPr>
                <w:rFonts w:ascii="Times New Roman" w:hAnsi="Times New Roman" w:hint="eastAsia"/>
                <w:sz w:val="21"/>
                <w:szCs w:val="21"/>
              </w:rPr>
              <w:t>万</w:t>
            </w:r>
            <w:r>
              <w:rPr>
                <w:rFonts w:ascii="Times New Roman" w:hAnsi="Times New Roman" w:hint="eastAsia"/>
                <w:sz w:val="21"/>
                <w:szCs w:val="21"/>
              </w:rPr>
              <w:t>t/a</w:t>
            </w:r>
            <w:r>
              <w:rPr>
                <w:rFonts w:ascii="Times New Roman" w:hAnsi="Times New Roman" w:hint="eastAsia"/>
                <w:sz w:val="21"/>
                <w:szCs w:val="21"/>
              </w:rPr>
              <w:t>已建成投运，三期</w:t>
            </w:r>
            <w:r>
              <w:rPr>
                <w:rFonts w:ascii="Times New Roman" w:hAnsi="Times New Roman" w:hint="eastAsia"/>
                <w:sz w:val="21"/>
                <w:szCs w:val="21"/>
              </w:rPr>
              <w:t>6</w:t>
            </w:r>
            <w:r>
              <w:rPr>
                <w:rFonts w:ascii="Times New Roman" w:hAnsi="Times New Roman"/>
                <w:sz w:val="21"/>
                <w:szCs w:val="21"/>
              </w:rPr>
              <w:t>0</w:t>
            </w:r>
            <w:r>
              <w:rPr>
                <w:rFonts w:ascii="Times New Roman" w:hAnsi="Times New Roman" w:hint="eastAsia"/>
                <w:sz w:val="21"/>
                <w:szCs w:val="21"/>
              </w:rPr>
              <w:t>万</w:t>
            </w:r>
            <w:r>
              <w:rPr>
                <w:rFonts w:ascii="Times New Roman" w:hAnsi="Times New Roman" w:hint="eastAsia"/>
                <w:sz w:val="21"/>
                <w:szCs w:val="21"/>
              </w:rPr>
              <w:t>t/a</w:t>
            </w:r>
            <w:r>
              <w:rPr>
                <w:rFonts w:ascii="Times New Roman" w:hAnsi="Times New Roman" w:hint="eastAsia"/>
                <w:sz w:val="21"/>
                <w:szCs w:val="21"/>
              </w:rPr>
              <w:t>在建</w:t>
            </w:r>
          </w:p>
        </w:tc>
      </w:tr>
      <w:tr w:rsidR="009C353B" w14:paraId="5DF65B5D" w14:textId="77777777">
        <w:trPr>
          <w:trHeight w:val="340"/>
          <w:jc w:val="center"/>
        </w:trPr>
        <w:tc>
          <w:tcPr>
            <w:tcW w:w="314" w:type="pct"/>
            <w:vMerge/>
            <w:shd w:val="clear" w:color="auto" w:fill="auto"/>
            <w:vAlign w:val="center"/>
          </w:tcPr>
          <w:p w14:paraId="09997B6C"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602089D7"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5B54F25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w:t>
            </w:r>
          </w:p>
        </w:tc>
        <w:tc>
          <w:tcPr>
            <w:tcW w:w="1277" w:type="pct"/>
            <w:shd w:val="clear" w:color="auto" w:fill="auto"/>
            <w:vAlign w:val="center"/>
          </w:tcPr>
          <w:p w14:paraId="64E2E44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煤制烯烃（煤化工园区）</w:t>
            </w:r>
          </w:p>
        </w:tc>
        <w:tc>
          <w:tcPr>
            <w:tcW w:w="472" w:type="pct"/>
            <w:shd w:val="clear" w:color="auto" w:fill="auto"/>
            <w:vAlign w:val="center"/>
          </w:tcPr>
          <w:p w14:paraId="6F5B5ED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万</w:t>
            </w:r>
            <w:r>
              <w:rPr>
                <w:rFonts w:ascii="Times New Roman" w:hAnsi="Times New Roman" w:hint="eastAsia"/>
                <w:sz w:val="21"/>
                <w:szCs w:val="21"/>
              </w:rPr>
              <w:t>t/a</w:t>
            </w:r>
          </w:p>
        </w:tc>
        <w:tc>
          <w:tcPr>
            <w:tcW w:w="599" w:type="pct"/>
            <w:shd w:val="clear" w:color="auto" w:fill="auto"/>
            <w:vAlign w:val="center"/>
          </w:tcPr>
          <w:p w14:paraId="1F53288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70</w:t>
            </w:r>
          </w:p>
        </w:tc>
        <w:tc>
          <w:tcPr>
            <w:tcW w:w="375" w:type="pct"/>
            <w:shd w:val="clear" w:color="auto" w:fill="auto"/>
            <w:vAlign w:val="center"/>
          </w:tcPr>
          <w:p w14:paraId="54471178"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4576128B" w14:textId="77777777" w:rsidR="009C353B" w:rsidRDefault="009C353B">
            <w:pPr>
              <w:adjustRightInd w:val="0"/>
              <w:snapToGrid w:val="0"/>
              <w:spacing w:line="240" w:lineRule="atLeast"/>
              <w:jc w:val="center"/>
              <w:rPr>
                <w:rFonts w:ascii="Times New Roman" w:hAnsi="Times New Roman"/>
                <w:sz w:val="21"/>
                <w:szCs w:val="21"/>
              </w:rPr>
            </w:pPr>
          </w:p>
        </w:tc>
        <w:tc>
          <w:tcPr>
            <w:tcW w:w="430" w:type="pct"/>
            <w:shd w:val="clear" w:color="auto" w:fill="auto"/>
            <w:vAlign w:val="center"/>
          </w:tcPr>
          <w:p w14:paraId="5DB2323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4.68</w:t>
            </w:r>
          </w:p>
        </w:tc>
        <w:tc>
          <w:tcPr>
            <w:tcW w:w="614" w:type="pct"/>
            <w:shd w:val="clear" w:color="auto" w:fill="auto"/>
            <w:vAlign w:val="center"/>
          </w:tcPr>
          <w:p w14:paraId="183C5786"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规划</w:t>
            </w:r>
          </w:p>
        </w:tc>
      </w:tr>
      <w:tr w:rsidR="009C353B" w14:paraId="61097363" w14:textId="77777777">
        <w:trPr>
          <w:trHeight w:val="340"/>
          <w:jc w:val="center"/>
        </w:trPr>
        <w:tc>
          <w:tcPr>
            <w:tcW w:w="314" w:type="pct"/>
            <w:vMerge/>
            <w:shd w:val="clear" w:color="auto" w:fill="auto"/>
            <w:vAlign w:val="center"/>
          </w:tcPr>
          <w:p w14:paraId="4F1BD4A7"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79B9EAA6"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6C6BD64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7</w:t>
            </w:r>
          </w:p>
        </w:tc>
        <w:tc>
          <w:tcPr>
            <w:tcW w:w="1277" w:type="pct"/>
            <w:shd w:val="clear" w:color="auto" w:fill="auto"/>
            <w:vAlign w:val="center"/>
          </w:tcPr>
          <w:p w14:paraId="0008DBF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煤制乙二醇</w:t>
            </w:r>
          </w:p>
        </w:tc>
        <w:tc>
          <w:tcPr>
            <w:tcW w:w="472" w:type="pct"/>
            <w:shd w:val="clear" w:color="auto" w:fill="auto"/>
            <w:vAlign w:val="center"/>
          </w:tcPr>
          <w:p w14:paraId="6EEBF2D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万</w:t>
            </w:r>
            <w:r>
              <w:rPr>
                <w:rFonts w:ascii="Times New Roman" w:hAnsi="Times New Roman" w:hint="eastAsia"/>
                <w:sz w:val="21"/>
                <w:szCs w:val="21"/>
              </w:rPr>
              <w:t>t/a</w:t>
            </w:r>
          </w:p>
        </w:tc>
        <w:tc>
          <w:tcPr>
            <w:tcW w:w="599" w:type="pct"/>
            <w:shd w:val="clear" w:color="auto" w:fill="auto"/>
            <w:vAlign w:val="center"/>
          </w:tcPr>
          <w:p w14:paraId="6CD006F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40</w:t>
            </w:r>
          </w:p>
        </w:tc>
        <w:tc>
          <w:tcPr>
            <w:tcW w:w="375" w:type="pct"/>
            <w:shd w:val="clear" w:color="auto" w:fill="auto"/>
            <w:vAlign w:val="center"/>
          </w:tcPr>
          <w:p w14:paraId="03A7DF5E"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5A30BE16" w14:textId="77777777" w:rsidR="009C353B" w:rsidRDefault="009C353B">
            <w:pPr>
              <w:adjustRightInd w:val="0"/>
              <w:snapToGrid w:val="0"/>
              <w:spacing w:line="240" w:lineRule="atLeast"/>
              <w:jc w:val="center"/>
              <w:rPr>
                <w:rFonts w:ascii="Times New Roman" w:hAnsi="Times New Roman"/>
                <w:sz w:val="21"/>
                <w:szCs w:val="21"/>
              </w:rPr>
            </w:pPr>
          </w:p>
        </w:tc>
        <w:tc>
          <w:tcPr>
            <w:tcW w:w="430" w:type="pct"/>
            <w:shd w:val="clear" w:color="auto" w:fill="auto"/>
            <w:vAlign w:val="center"/>
          </w:tcPr>
          <w:p w14:paraId="1AF940E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0.82</w:t>
            </w:r>
          </w:p>
        </w:tc>
        <w:tc>
          <w:tcPr>
            <w:tcW w:w="614" w:type="pct"/>
            <w:shd w:val="clear" w:color="auto" w:fill="auto"/>
            <w:vAlign w:val="center"/>
          </w:tcPr>
          <w:p w14:paraId="673B17B5"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在建</w:t>
            </w:r>
          </w:p>
        </w:tc>
      </w:tr>
      <w:tr w:rsidR="009C353B" w14:paraId="1B3A22B8" w14:textId="77777777">
        <w:trPr>
          <w:trHeight w:val="340"/>
          <w:jc w:val="center"/>
        </w:trPr>
        <w:tc>
          <w:tcPr>
            <w:tcW w:w="314" w:type="pct"/>
            <w:vMerge/>
            <w:shd w:val="clear" w:color="auto" w:fill="auto"/>
            <w:vAlign w:val="center"/>
          </w:tcPr>
          <w:p w14:paraId="429C87BD"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0A103149"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2A3F65E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8</w:t>
            </w:r>
          </w:p>
        </w:tc>
        <w:tc>
          <w:tcPr>
            <w:tcW w:w="1277" w:type="pct"/>
            <w:shd w:val="clear" w:color="auto" w:fill="auto"/>
            <w:vAlign w:val="center"/>
          </w:tcPr>
          <w:p w14:paraId="5D354B7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焦化厂</w:t>
            </w:r>
          </w:p>
        </w:tc>
        <w:tc>
          <w:tcPr>
            <w:tcW w:w="472" w:type="pct"/>
            <w:shd w:val="clear" w:color="auto" w:fill="auto"/>
            <w:vAlign w:val="center"/>
          </w:tcPr>
          <w:p w14:paraId="609C504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万</w:t>
            </w:r>
            <w:r>
              <w:rPr>
                <w:rFonts w:ascii="Times New Roman" w:hAnsi="Times New Roman" w:hint="eastAsia"/>
                <w:sz w:val="21"/>
                <w:szCs w:val="21"/>
              </w:rPr>
              <w:t>t/a</w:t>
            </w:r>
          </w:p>
        </w:tc>
        <w:tc>
          <w:tcPr>
            <w:tcW w:w="599" w:type="pct"/>
            <w:shd w:val="clear" w:color="auto" w:fill="auto"/>
            <w:vAlign w:val="center"/>
          </w:tcPr>
          <w:p w14:paraId="67C04A9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400</w:t>
            </w:r>
          </w:p>
        </w:tc>
        <w:tc>
          <w:tcPr>
            <w:tcW w:w="375" w:type="pct"/>
            <w:shd w:val="clear" w:color="auto" w:fill="auto"/>
            <w:vAlign w:val="center"/>
          </w:tcPr>
          <w:p w14:paraId="56F9A545"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424626E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5.90</w:t>
            </w:r>
          </w:p>
        </w:tc>
        <w:tc>
          <w:tcPr>
            <w:tcW w:w="430" w:type="pct"/>
            <w:shd w:val="clear" w:color="auto" w:fill="auto"/>
            <w:vAlign w:val="center"/>
          </w:tcPr>
          <w:p w14:paraId="18502A4A" w14:textId="77777777" w:rsidR="009C353B" w:rsidRDefault="009C353B">
            <w:pPr>
              <w:adjustRightInd w:val="0"/>
              <w:snapToGrid w:val="0"/>
              <w:spacing w:line="240" w:lineRule="atLeast"/>
              <w:jc w:val="center"/>
              <w:rPr>
                <w:rFonts w:ascii="Times New Roman" w:hAnsi="Times New Roman"/>
                <w:sz w:val="21"/>
                <w:szCs w:val="21"/>
              </w:rPr>
            </w:pPr>
          </w:p>
        </w:tc>
        <w:tc>
          <w:tcPr>
            <w:tcW w:w="614" w:type="pct"/>
            <w:shd w:val="clear" w:color="auto" w:fill="auto"/>
            <w:vAlign w:val="center"/>
          </w:tcPr>
          <w:p w14:paraId="56732AB4"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01BF9625" w14:textId="77777777">
        <w:trPr>
          <w:trHeight w:val="340"/>
          <w:jc w:val="center"/>
        </w:trPr>
        <w:tc>
          <w:tcPr>
            <w:tcW w:w="314" w:type="pct"/>
            <w:vMerge/>
            <w:shd w:val="clear" w:color="auto" w:fill="auto"/>
            <w:vAlign w:val="center"/>
          </w:tcPr>
          <w:p w14:paraId="2052B2D4"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1FA33B85" w14:textId="77777777" w:rsidR="009C353B" w:rsidRDefault="009C353B">
            <w:pPr>
              <w:adjustRightInd w:val="0"/>
              <w:snapToGrid w:val="0"/>
              <w:spacing w:line="240" w:lineRule="atLeast"/>
              <w:rPr>
                <w:rFonts w:ascii="Times New Roman" w:hAnsi="Times New Roman"/>
                <w:sz w:val="21"/>
                <w:szCs w:val="21"/>
              </w:rPr>
            </w:pPr>
          </w:p>
        </w:tc>
        <w:tc>
          <w:tcPr>
            <w:tcW w:w="1507" w:type="pct"/>
            <w:gridSpan w:val="2"/>
            <w:shd w:val="clear" w:color="auto" w:fill="auto"/>
            <w:vAlign w:val="center"/>
          </w:tcPr>
          <w:p w14:paraId="542F224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小计</w:t>
            </w:r>
          </w:p>
        </w:tc>
        <w:tc>
          <w:tcPr>
            <w:tcW w:w="472" w:type="pct"/>
            <w:shd w:val="clear" w:color="auto" w:fill="auto"/>
            <w:vAlign w:val="center"/>
          </w:tcPr>
          <w:p w14:paraId="2F41CF49" w14:textId="77777777" w:rsidR="009C353B" w:rsidRDefault="009C353B">
            <w:pPr>
              <w:adjustRightInd w:val="0"/>
              <w:snapToGrid w:val="0"/>
              <w:spacing w:line="240" w:lineRule="atLeast"/>
              <w:jc w:val="center"/>
              <w:rPr>
                <w:rFonts w:ascii="Times New Roman" w:hAnsi="Times New Roman"/>
                <w:sz w:val="21"/>
                <w:szCs w:val="21"/>
              </w:rPr>
            </w:pPr>
          </w:p>
        </w:tc>
        <w:tc>
          <w:tcPr>
            <w:tcW w:w="599" w:type="pct"/>
            <w:shd w:val="clear" w:color="auto" w:fill="auto"/>
            <w:vAlign w:val="center"/>
          </w:tcPr>
          <w:p w14:paraId="0AB9FBCA" w14:textId="77777777" w:rsidR="009C353B" w:rsidRDefault="009C353B">
            <w:pPr>
              <w:adjustRightInd w:val="0"/>
              <w:snapToGrid w:val="0"/>
              <w:spacing w:line="240" w:lineRule="atLeast"/>
              <w:jc w:val="center"/>
              <w:rPr>
                <w:rFonts w:ascii="Times New Roman" w:hAnsi="Times New Roman"/>
                <w:sz w:val="21"/>
                <w:szCs w:val="21"/>
              </w:rPr>
            </w:pPr>
          </w:p>
        </w:tc>
        <w:tc>
          <w:tcPr>
            <w:tcW w:w="375" w:type="pct"/>
            <w:shd w:val="clear" w:color="auto" w:fill="auto"/>
            <w:vAlign w:val="center"/>
          </w:tcPr>
          <w:p w14:paraId="1BFD26D0"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59C6B66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81.02</w:t>
            </w:r>
          </w:p>
        </w:tc>
        <w:tc>
          <w:tcPr>
            <w:tcW w:w="430" w:type="pct"/>
            <w:shd w:val="clear" w:color="auto" w:fill="auto"/>
            <w:vAlign w:val="center"/>
          </w:tcPr>
          <w:p w14:paraId="37507A2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44.80</w:t>
            </w:r>
          </w:p>
        </w:tc>
        <w:tc>
          <w:tcPr>
            <w:tcW w:w="614" w:type="pct"/>
            <w:shd w:val="clear" w:color="auto" w:fill="auto"/>
            <w:vAlign w:val="center"/>
          </w:tcPr>
          <w:p w14:paraId="256A800F" w14:textId="77777777" w:rsidR="009C353B" w:rsidRDefault="009C353B">
            <w:pPr>
              <w:adjustRightInd w:val="0"/>
              <w:snapToGrid w:val="0"/>
              <w:spacing w:line="240" w:lineRule="atLeast"/>
              <w:rPr>
                <w:rFonts w:ascii="Times New Roman" w:hAnsi="Times New Roman"/>
                <w:sz w:val="21"/>
                <w:szCs w:val="21"/>
              </w:rPr>
            </w:pPr>
          </w:p>
        </w:tc>
      </w:tr>
      <w:tr w:rsidR="009C353B" w14:paraId="526F130A" w14:textId="77777777">
        <w:trPr>
          <w:trHeight w:val="340"/>
          <w:jc w:val="center"/>
        </w:trPr>
        <w:tc>
          <w:tcPr>
            <w:tcW w:w="314" w:type="pct"/>
            <w:vMerge/>
            <w:shd w:val="clear" w:color="auto" w:fill="auto"/>
            <w:vAlign w:val="center"/>
          </w:tcPr>
          <w:p w14:paraId="2DEFC2FD" w14:textId="77777777" w:rsidR="009C353B" w:rsidRDefault="009C353B">
            <w:pPr>
              <w:adjustRightInd w:val="0"/>
              <w:snapToGrid w:val="0"/>
              <w:spacing w:line="240" w:lineRule="atLeast"/>
              <w:rPr>
                <w:rFonts w:ascii="Times New Roman" w:hAnsi="Times New Roman"/>
                <w:sz w:val="21"/>
                <w:szCs w:val="21"/>
              </w:rPr>
            </w:pPr>
          </w:p>
        </w:tc>
        <w:tc>
          <w:tcPr>
            <w:tcW w:w="239" w:type="pct"/>
            <w:vMerge w:val="restart"/>
            <w:shd w:val="clear" w:color="auto" w:fill="auto"/>
            <w:vAlign w:val="center"/>
          </w:tcPr>
          <w:p w14:paraId="62182A91"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核心</w:t>
            </w:r>
          </w:p>
          <w:p w14:paraId="5425F888"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区外</w:t>
            </w:r>
          </w:p>
        </w:tc>
        <w:tc>
          <w:tcPr>
            <w:tcW w:w="230" w:type="pct"/>
            <w:shd w:val="clear" w:color="auto" w:fill="auto"/>
            <w:vAlign w:val="center"/>
          </w:tcPr>
          <w:p w14:paraId="4FBC5CE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一</w:t>
            </w:r>
          </w:p>
        </w:tc>
        <w:tc>
          <w:tcPr>
            <w:tcW w:w="1277" w:type="pct"/>
            <w:shd w:val="clear" w:color="auto" w:fill="auto"/>
            <w:vAlign w:val="center"/>
          </w:tcPr>
          <w:p w14:paraId="084538E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电厂项目</w:t>
            </w:r>
          </w:p>
        </w:tc>
        <w:tc>
          <w:tcPr>
            <w:tcW w:w="472" w:type="pct"/>
            <w:shd w:val="clear" w:color="auto" w:fill="auto"/>
            <w:vAlign w:val="center"/>
          </w:tcPr>
          <w:p w14:paraId="62A3C83C" w14:textId="77777777" w:rsidR="009C353B" w:rsidRDefault="009C353B">
            <w:pPr>
              <w:adjustRightInd w:val="0"/>
              <w:snapToGrid w:val="0"/>
              <w:spacing w:line="240" w:lineRule="atLeast"/>
              <w:jc w:val="center"/>
              <w:rPr>
                <w:rFonts w:ascii="Times New Roman" w:hAnsi="Times New Roman"/>
                <w:sz w:val="21"/>
                <w:szCs w:val="21"/>
              </w:rPr>
            </w:pPr>
          </w:p>
        </w:tc>
        <w:tc>
          <w:tcPr>
            <w:tcW w:w="599" w:type="pct"/>
            <w:shd w:val="clear" w:color="auto" w:fill="auto"/>
            <w:vAlign w:val="center"/>
          </w:tcPr>
          <w:p w14:paraId="40457DFD" w14:textId="77777777" w:rsidR="009C353B" w:rsidRDefault="009C353B">
            <w:pPr>
              <w:adjustRightInd w:val="0"/>
              <w:snapToGrid w:val="0"/>
              <w:spacing w:line="240" w:lineRule="atLeast"/>
              <w:jc w:val="center"/>
              <w:rPr>
                <w:rFonts w:ascii="Times New Roman" w:hAnsi="Times New Roman"/>
                <w:sz w:val="21"/>
                <w:szCs w:val="21"/>
              </w:rPr>
            </w:pPr>
          </w:p>
        </w:tc>
        <w:tc>
          <w:tcPr>
            <w:tcW w:w="375" w:type="pct"/>
            <w:shd w:val="clear" w:color="auto" w:fill="auto"/>
            <w:vAlign w:val="center"/>
          </w:tcPr>
          <w:p w14:paraId="44FF24BB"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0B31014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1.21</w:t>
            </w:r>
          </w:p>
        </w:tc>
        <w:tc>
          <w:tcPr>
            <w:tcW w:w="430" w:type="pct"/>
            <w:shd w:val="clear" w:color="auto" w:fill="auto"/>
            <w:vAlign w:val="center"/>
          </w:tcPr>
          <w:p w14:paraId="720A2D5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12.14</w:t>
            </w:r>
          </w:p>
        </w:tc>
        <w:tc>
          <w:tcPr>
            <w:tcW w:w="614" w:type="pct"/>
            <w:shd w:val="clear" w:color="auto" w:fill="auto"/>
            <w:vAlign w:val="center"/>
          </w:tcPr>
          <w:p w14:paraId="0B7995A8" w14:textId="77777777" w:rsidR="009C353B" w:rsidRDefault="009C353B">
            <w:pPr>
              <w:adjustRightInd w:val="0"/>
              <w:snapToGrid w:val="0"/>
              <w:spacing w:line="240" w:lineRule="atLeast"/>
              <w:rPr>
                <w:rFonts w:ascii="Times New Roman" w:hAnsi="Times New Roman"/>
                <w:sz w:val="21"/>
                <w:szCs w:val="21"/>
              </w:rPr>
            </w:pPr>
          </w:p>
        </w:tc>
      </w:tr>
      <w:tr w:rsidR="009C353B" w14:paraId="0794BF3B" w14:textId="77777777">
        <w:trPr>
          <w:trHeight w:val="340"/>
          <w:jc w:val="center"/>
        </w:trPr>
        <w:tc>
          <w:tcPr>
            <w:tcW w:w="314" w:type="pct"/>
            <w:vMerge/>
            <w:shd w:val="clear" w:color="auto" w:fill="auto"/>
            <w:vAlign w:val="center"/>
          </w:tcPr>
          <w:p w14:paraId="0A3A4BA4"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7974805B"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056D229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p>
        </w:tc>
        <w:tc>
          <w:tcPr>
            <w:tcW w:w="1277" w:type="pct"/>
            <w:shd w:val="clear" w:color="auto" w:fill="auto"/>
            <w:vAlign w:val="center"/>
          </w:tcPr>
          <w:p w14:paraId="46D4B45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国华电厂</w:t>
            </w:r>
          </w:p>
        </w:tc>
        <w:tc>
          <w:tcPr>
            <w:tcW w:w="472" w:type="pct"/>
            <w:shd w:val="clear" w:color="auto" w:fill="auto"/>
            <w:vAlign w:val="center"/>
          </w:tcPr>
          <w:p w14:paraId="6916BA3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27F245D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33+2</w:t>
            </w:r>
            <w:r>
              <w:rPr>
                <w:rFonts w:ascii="Times New Roman" w:hAnsi="Times New Roman" w:hint="eastAsia"/>
                <w:sz w:val="21"/>
                <w:szCs w:val="21"/>
              </w:rPr>
              <w:t>×</w:t>
            </w:r>
            <w:r>
              <w:rPr>
                <w:rFonts w:ascii="Times New Roman" w:hAnsi="Times New Roman" w:hint="eastAsia"/>
                <w:sz w:val="21"/>
                <w:szCs w:val="21"/>
              </w:rPr>
              <w:t>66</w:t>
            </w:r>
          </w:p>
        </w:tc>
        <w:tc>
          <w:tcPr>
            <w:tcW w:w="375" w:type="pct"/>
            <w:shd w:val="clear" w:color="auto" w:fill="auto"/>
            <w:vAlign w:val="center"/>
          </w:tcPr>
          <w:p w14:paraId="146F1B7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138</w:t>
            </w:r>
          </w:p>
        </w:tc>
        <w:tc>
          <w:tcPr>
            <w:tcW w:w="450" w:type="pct"/>
            <w:shd w:val="clear" w:color="auto" w:fill="auto"/>
            <w:vAlign w:val="center"/>
          </w:tcPr>
          <w:p w14:paraId="057E229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1.21</w:t>
            </w:r>
          </w:p>
        </w:tc>
        <w:tc>
          <w:tcPr>
            <w:tcW w:w="430" w:type="pct"/>
            <w:shd w:val="clear" w:color="auto" w:fill="auto"/>
            <w:vAlign w:val="center"/>
          </w:tcPr>
          <w:p w14:paraId="5302AE3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2.42</w:t>
            </w:r>
          </w:p>
        </w:tc>
        <w:tc>
          <w:tcPr>
            <w:tcW w:w="614" w:type="pct"/>
            <w:shd w:val="clear" w:color="auto" w:fill="auto"/>
            <w:vAlign w:val="center"/>
          </w:tcPr>
          <w:p w14:paraId="28E22AE8"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7A3F7E58" w14:textId="77777777">
        <w:trPr>
          <w:trHeight w:val="340"/>
          <w:jc w:val="center"/>
        </w:trPr>
        <w:tc>
          <w:tcPr>
            <w:tcW w:w="314" w:type="pct"/>
            <w:vMerge/>
            <w:shd w:val="clear" w:color="auto" w:fill="auto"/>
            <w:vAlign w:val="center"/>
          </w:tcPr>
          <w:p w14:paraId="7078EFB4"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6A90D236"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50DD4B5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w:t>
            </w:r>
          </w:p>
        </w:tc>
        <w:tc>
          <w:tcPr>
            <w:tcW w:w="1277" w:type="pct"/>
            <w:shd w:val="clear" w:color="auto" w:fill="auto"/>
            <w:vAlign w:val="center"/>
          </w:tcPr>
          <w:p w14:paraId="54A02DC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方家庄电厂</w:t>
            </w:r>
          </w:p>
        </w:tc>
        <w:tc>
          <w:tcPr>
            <w:tcW w:w="472" w:type="pct"/>
            <w:shd w:val="clear" w:color="auto" w:fill="auto"/>
            <w:vAlign w:val="center"/>
          </w:tcPr>
          <w:p w14:paraId="20084D8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799437D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100</w:t>
            </w:r>
          </w:p>
        </w:tc>
        <w:tc>
          <w:tcPr>
            <w:tcW w:w="375" w:type="pct"/>
            <w:shd w:val="clear" w:color="auto" w:fill="auto"/>
            <w:vAlign w:val="center"/>
          </w:tcPr>
          <w:p w14:paraId="4630467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200</w:t>
            </w:r>
          </w:p>
        </w:tc>
        <w:tc>
          <w:tcPr>
            <w:tcW w:w="450" w:type="pct"/>
            <w:shd w:val="clear" w:color="auto" w:fill="auto"/>
            <w:vAlign w:val="center"/>
          </w:tcPr>
          <w:p w14:paraId="450B5490" w14:textId="77777777" w:rsidR="009C353B" w:rsidRDefault="009C353B">
            <w:pPr>
              <w:adjustRightInd w:val="0"/>
              <w:snapToGrid w:val="0"/>
              <w:spacing w:line="240" w:lineRule="atLeast"/>
              <w:jc w:val="center"/>
              <w:rPr>
                <w:rFonts w:ascii="Times New Roman" w:hAnsi="Times New Roman"/>
                <w:sz w:val="21"/>
                <w:szCs w:val="21"/>
              </w:rPr>
            </w:pPr>
          </w:p>
        </w:tc>
        <w:tc>
          <w:tcPr>
            <w:tcW w:w="430" w:type="pct"/>
            <w:shd w:val="clear" w:color="auto" w:fill="auto"/>
            <w:vAlign w:val="center"/>
          </w:tcPr>
          <w:p w14:paraId="5EB7E74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3.60</w:t>
            </w:r>
          </w:p>
        </w:tc>
        <w:tc>
          <w:tcPr>
            <w:tcW w:w="614" w:type="pct"/>
            <w:shd w:val="clear" w:color="auto" w:fill="auto"/>
            <w:vAlign w:val="center"/>
          </w:tcPr>
          <w:p w14:paraId="5030C69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7B68CCC3" w14:textId="77777777">
        <w:trPr>
          <w:trHeight w:val="340"/>
          <w:jc w:val="center"/>
        </w:trPr>
        <w:tc>
          <w:tcPr>
            <w:tcW w:w="314" w:type="pct"/>
            <w:vMerge/>
            <w:shd w:val="clear" w:color="auto" w:fill="auto"/>
            <w:vAlign w:val="center"/>
          </w:tcPr>
          <w:p w14:paraId="70DF00F5"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3634B51C"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1F14C1A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3</w:t>
            </w:r>
          </w:p>
        </w:tc>
        <w:tc>
          <w:tcPr>
            <w:tcW w:w="1277" w:type="pct"/>
            <w:shd w:val="clear" w:color="auto" w:fill="auto"/>
            <w:vAlign w:val="center"/>
          </w:tcPr>
          <w:p w14:paraId="7A54D16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永利电厂</w:t>
            </w:r>
          </w:p>
        </w:tc>
        <w:tc>
          <w:tcPr>
            <w:tcW w:w="472" w:type="pct"/>
            <w:shd w:val="clear" w:color="auto" w:fill="auto"/>
            <w:vAlign w:val="center"/>
          </w:tcPr>
          <w:p w14:paraId="22F2DBD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59E8F5E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66</w:t>
            </w:r>
          </w:p>
        </w:tc>
        <w:tc>
          <w:tcPr>
            <w:tcW w:w="375" w:type="pct"/>
            <w:shd w:val="clear" w:color="auto" w:fill="auto"/>
            <w:vAlign w:val="center"/>
          </w:tcPr>
          <w:p w14:paraId="592EE2E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132</w:t>
            </w:r>
          </w:p>
        </w:tc>
        <w:tc>
          <w:tcPr>
            <w:tcW w:w="450" w:type="pct"/>
            <w:shd w:val="clear" w:color="auto" w:fill="auto"/>
            <w:vAlign w:val="center"/>
          </w:tcPr>
          <w:p w14:paraId="76C4A4E4" w14:textId="77777777" w:rsidR="009C353B" w:rsidRDefault="009C353B">
            <w:pPr>
              <w:adjustRightInd w:val="0"/>
              <w:snapToGrid w:val="0"/>
              <w:spacing w:line="240" w:lineRule="atLeast"/>
              <w:jc w:val="center"/>
              <w:rPr>
                <w:rFonts w:ascii="Times New Roman" w:hAnsi="Times New Roman"/>
                <w:sz w:val="21"/>
                <w:szCs w:val="21"/>
              </w:rPr>
            </w:pPr>
          </w:p>
        </w:tc>
        <w:tc>
          <w:tcPr>
            <w:tcW w:w="430" w:type="pct"/>
            <w:shd w:val="clear" w:color="auto" w:fill="auto"/>
            <w:vAlign w:val="center"/>
          </w:tcPr>
          <w:p w14:paraId="70F6B64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2.42</w:t>
            </w:r>
          </w:p>
        </w:tc>
        <w:tc>
          <w:tcPr>
            <w:tcW w:w="614" w:type="pct"/>
            <w:shd w:val="clear" w:color="auto" w:fill="auto"/>
            <w:vAlign w:val="center"/>
          </w:tcPr>
          <w:p w14:paraId="43BB16DC"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04C88B8E" w14:textId="77777777">
        <w:trPr>
          <w:trHeight w:val="340"/>
          <w:jc w:val="center"/>
        </w:trPr>
        <w:tc>
          <w:tcPr>
            <w:tcW w:w="314" w:type="pct"/>
            <w:vMerge/>
            <w:shd w:val="clear" w:color="auto" w:fill="auto"/>
            <w:vAlign w:val="center"/>
          </w:tcPr>
          <w:p w14:paraId="7E8442AE"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32FF1881"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7F5BDA1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4</w:t>
            </w:r>
          </w:p>
        </w:tc>
        <w:tc>
          <w:tcPr>
            <w:tcW w:w="1277" w:type="pct"/>
            <w:shd w:val="clear" w:color="auto" w:fill="auto"/>
            <w:vAlign w:val="center"/>
          </w:tcPr>
          <w:p w14:paraId="01CB6ECB" w14:textId="77777777" w:rsidR="009C353B" w:rsidRDefault="00000000">
            <w:pPr>
              <w:adjustRightInd w:val="0"/>
              <w:snapToGrid w:val="0"/>
              <w:spacing w:line="240" w:lineRule="atLeast"/>
              <w:jc w:val="center"/>
              <w:rPr>
                <w:rFonts w:ascii="Times New Roman" w:hAnsi="Times New Roman"/>
                <w:w w:val="90"/>
                <w:sz w:val="21"/>
                <w:szCs w:val="21"/>
              </w:rPr>
            </w:pPr>
            <w:r>
              <w:rPr>
                <w:rFonts w:ascii="Times New Roman" w:hAnsi="Times New Roman" w:hint="eastAsia"/>
                <w:w w:val="90"/>
                <w:sz w:val="21"/>
                <w:szCs w:val="21"/>
              </w:rPr>
              <w:t>庆华低热值煤综合利用电厂</w:t>
            </w:r>
          </w:p>
        </w:tc>
        <w:tc>
          <w:tcPr>
            <w:tcW w:w="472" w:type="pct"/>
            <w:shd w:val="clear" w:color="auto" w:fill="auto"/>
            <w:vAlign w:val="center"/>
          </w:tcPr>
          <w:p w14:paraId="746616B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0B827AC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35</w:t>
            </w:r>
          </w:p>
        </w:tc>
        <w:tc>
          <w:tcPr>
            <w:tcW w:w="375" w:type="pct"/>
            <w:shd w:val="clear" w:color="auto" w:fill="auto"/>
            <w:vAlign w:val="center"/>
          </w:tcPr>
          <w:p w14:paraId="27ADA88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70</w:t>
            </w:r>
          </w:p>
        </w:tc>
        <w:tc>
          <w:tcPr>
            <w:tcW w:w="450" w:type="pct"/>
            <w:shd w:val="clear" w:color="auto" w:fill="auto"/>
            <w:vAlign w:val="center"/>
          </w:tcPr>
          <w:p w14:paraId="4C26C9F0" w14:textId="77777777" w:rsidR="009C353B" w:rsidRDefault="009C353B">
            <w:pPr>
              <w:adjustRightInd w:val="0"/>
              <w:snapToGrid w:val="0"/>
              <w:spacing w:line="240" w:lineRule="atLeast"/>
              <w:jc w:val="center"/>
              <w:rPr>
                <w:rFonts w:ascii="Times New Roman" w:hAnsi="Times New Roman"/>
                <w:sz w:val="21"/>
                <w:szCs w:val="21"/>
              </w:rPr>
            </w:pPr>
          </w:p>
        </w:tc>
        <w:tc>
          <w:tcPr>
            <w:tcW w:w="430" w:type="pct"/>
            <w:shd w:val="clear" w:color="auto" w:fill="auto"/>
            <w:vAlign w:val="center"/>
          </w:tcPr>
          <w:p w14:paraId="071DCAF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1.28</w:t>
            </w:r>
          </w:p>
        </w:tc>
        <w:tc>
          <w:tcPr>
            <w:tcW w:w="614" w:type="pct"/>
            <w:shd w:val="clear" w:color="auto" w:fill="auto"/>
            <w:vAlign w:val="center"/>
          </w:tcPr>
          <w:p w14:paraId="1CFF2F5C"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规划</w:t>
            </w:r>
          </w:p>
        </w:tc>
      </w:tr>
      <w:tr w:rsidR="009C353B" w14:paraId="31E06531" w14:textId="77777777">
        <w:trPr>
          <w:trHeight w:val="340"/>
          <w:jc w:val="center"/>
        </w:trPr>
        <w:tc>
          <w:tcPr>
            <w:tcW w:w="314" w:type="pct"/>
            <w:vMerge/>
            <w:shd w:val="clear" w:color="auto" w:fill="auto"/>
            <w:vAlign w:val="center"/>
          </w:tcPr>
          <w:p w14:paraId="1C9E83BB"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083058CE" w14:textId="77777777" w:rsidR="009C353B" w:rsidRDefault="009C353B">
            <w:pPr>
              <w:adjustRightInd w:val="0"/>
              <w:snapToGrid w:val="0"/>
              <w:spacing w:line="240" w:lineRule="atLeast"/>
              <w:rPr>
                <w:rFonts w:ascii="Times New Roman" w:hAnsi="Times New Roman"/>
                <w:sz w:val="21"/>
                <w:szCs w:val="21"/>
              </w:rPr>
            </w:pPr>
          </w:p>
        </w:tc>
        <w:tc>
          <w:tcPr>
            <w:tcW w:w="230" w:type="pct"/>
            <w:shd w:val="clear" w:color="auto" w:fill="auto"/>
            <w:vAlign w:val="center"/>
          </w:tcPr>
          <w:p w14:paraId="41CB8F5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w:t>
            </w:r>
          </w:p>
        </w:tc>
        <w:tc>
          <w:tcPr>
            <w:tcW w:w="1277" w:type="pct"/>
            <w:shd w:val="clear" w:color="auto" w:fill="auto"/>
            <w:vAlign w:val="center"/>
          </w:tcPr>
          <w:p w14:paraId="3946881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银星电厂</w:t>
            </w:r>
          </w:p>
        </w:tc>
        <w:tc>
          <w:tcPr>
            <w:tcW w:w="472" w:type="pct"/>
            <w:shd w:val="clear" w:color="auto" w:fill="auto"/>
            <w:vAlign w:val="center"/>
          </w:tcPr>
          <w:p w14:paraId="61DEEC5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10MW</w:t>
            </w:r>
          </w:p>
        </w:tc>
        <w:tc>
          <w:tcPr>
            <w:tcW w:w="599" w:type="pct"/>
            <w:shd w:val="clear" w:color="auto" w:fill="auto"/>
            <w:vAlign w:val="center"/>
          </w:tcPr>
          <w:p w14:paraId="401E6CC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hint="eastAsia"/>
                <w:sz w:val="21"/>
                <w:szCs w:val="21"/>
              </w:rPr>
              <w:t>×</w:t>
            </w:r>
            <w:r>
              <w:rPr>
                <w:rFonts w:ascii="Times New Roman" w:hAnsi="Times New Roman" w:hint="eastAsia"/>
                <w:sz w:val="21"/>
                <w:szCs w:val="21"/>
              </w:rPr>
              <w:t>66</w:t>
            </w:r>
          </w:p>
        </w:tc>
        <w:tc>
          <w:tcPr>
            <w:tcW w:w="375" w:type="pct"/>
            <w:shd w:val="clear" w:color="auto" w:fill="auto"/>
            <w:vAlign w:val="center"/>
          </w:tcPr>
          <w:p w14:paraId="6A3EC7B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132</w:t>
            </w:r>
          </w:p>
        </w:tc>
        <w:tc>
          <w:tcPr>
            <w:tcW w:w="450" w:type="pct"/>
            <w:shd w:val="clear" w:color="auto" w:fill="auto"/>
            <w:vAlign w:val="center"/>
          </w:tcPr>
          <w:p w14:paraId="058143CD" w14:textId="77777777" w:rsidR="009C353B" w:rsidRDefault="009C353B">
            <w:pPr>
              <w:adjustRightInd w:val="0"/>
              <w:snapToGrid w:val="0"/>
              <w:spacing w:line="240" w:lineRule="atLeast"/>
              <w:jc w:val="center"/>
              <w:rPr>
                <w:rFonts w:ascii="Times New Roman" w:hAnsi="Times New Roman"/>
                <w:sz w:val="21"/>
                <w:szCs w:val="21"/>
              </w:rPr>
            </w:pPr>
          </w:p>
        </w:tc>
        <w:tc>
          <w:tcPr>
            <w:tcW w:w="430" w:type="pct"/>
            <w:shd w:val="clear" w:color="auto" w:fill="auto"/>
            <w:vAlign w:val="center"/>
          </w:tcPr>
          <w:p w14:paraId="4B12D46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2.42</w:t>
            </w:r>
          </w:p>
        </w:tc>
        <w:tc>
          <w:tcPr>
            <w:tcW w:w="614" w:type="pct"/>
            <w:shd w:val="clear" w:color="auto" w:fill="auto"/>
            <w:vAlign w:val="center"/>
          </w:tcPr>
          <w:p w14:paraId="2C6B77D1"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已有</w:t>
            </w:r>
          </w:p>
        </w:tc>
      </w:tr>
      <w:tr w:rsidR="009C353B" w14:paraId="7AD42C87" w14:textId="77777777">
        <w:trPr>
          <w:trHeight w:val="340"/>
          <w:jc w:val="center"/>
        </w:trPr>
        <w:tc>
          <w:tcPr>
            <w:tcW w:w="314" w:type="pct"/>
            <w:vMerge/>
            <w:shd w:val="clear" w:color="auto" w:fill="auto"/>
            <w:vAlign w:val="center"/>
          </w:tcPr>
          <w:p w14:paraId="0896E198" w14:textId="77777777" w:rsidR="009C353B" w:rsidRDefault="009C353B">
            <w:pPr>
              <w:adjustRightInd w:val="0"/>
              <w:snapToGrid w:val="0"/>
              <w:spacing w:line="240" w:lineRule="atLeast"/>
              <w:rPr>
                <w:rFonts w:ascii="Times New Roman" w:hAnsi="Times New Roman"/>
                <w:sz w:val="21"/>
                <w:szCs w:val="21"/>
              </w:rPr>
            </w:pPr>
          </w:p>
        </w:tc>
        <w:tc>
          <w:tcPr>
            <w:tcW w:w="239" w:type="pct"/>
            <w:vMerge/>
            <w:shd w:val="clear" w:color="auto" w:fill="auto"/>
            <w:vAlign w:val="center"/>
          </w:tcPr>
          <w:p w14:paraId="1F594110" w14:textId="77777777" w:rsidR="009C353B" w:rsidRDefault="009C353B">
            <w:pPr>
              <w:adjustRightInd w:val="0"/>
              <w:snapToGrid w:val="0"/>
              <w:spacing w:line="240" w:lineRule="atLeast"/>
              <w:rPr>
                <w:rFonts w:ascii="Times New Roman" w:hAnsi="Times New Roman"/>
                <w:sz w:val="21"/>
                <w:szCs w:val="21"/>
              </w:rPr>
            </w:pPr>
          </w:p>
        </w:tc>
        <w:tc>
          <w:tcPr>
            <w:tcW w:w="1507" w:type="pct"/>
            <w:gridSpan w:val="2"/>
            <w:shd w:val="clear" w:color="auto" w:fill="auto"/>
            <w:vAlign w:val="center"/>
          </w:tcPr>
          <w:p w14:paraId="3E21C92C"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小计</w:t>
            </w:r>
          </w:p>
        </w:tc>
        <w:tc>
          <w:tcPr>
            <w:tcW w:w="472" w:type="pct"/>
            <w:shd w:val="clear" w:color="auto" w:fill="auto"/>
            <w:vAlign w:val="center"/>
          </w:tcPr>
          <w:p w14:paraId="312F65F7" w14:textId="77777777" w:rsidR="009C353B" w:rsidRDefault="009C353B">
            <w:pPr>
              <w:adjustRightInd w:val="0"/>
              <w:snapToGrid w:val="0"/>
              <w:spacing w:line="240" w:lineRule="atLeast"/>
              <w:jc w:val="center"/>
              <w:rPr>
                <w:rFonts w:ascii="Times New Roman" w:hAnsi="Times New Roman"/>
                <w:sz w:val="21"/>
                <w:szCs w:val="21"/>
              </w:rPr>
            </w:pPr>
          </w:p>
        </w:tc>
        <w:tc>
          <w:tcPr>
            <w:tcW w:w="599" w:type="pct"/>
            <w:shd w:val="clear" w:color="auto" w:fill="auto"/>
            <w:vAlign w:val="center"/>
          </w:tcPr>
          <w:p w14:paraId="02678B6D" w14:textId="77777777" w:rsidR="009C353B" w:rsidRDefault="009C353B">
            <w:pPr>
              <w:adjustRightInd w:val="0"/>
              <w:snapToGrid w:val="0"/>
              <w:spacing w:line="240" w:lineRule="atLeast"/>
              <w:jc w:val="center"/>
              <w:rPr>
                <w:rFonts w:ascii="Times New Roman" w:hAnsi="Times New Roman"/>
                <w:sz w:val="21"/>
                <w:szCs w:val="21"/>
              </w:rPr>
            </w:pPr>
          </w:p>
        </w:tc>
        <w:tc>
          <w:tcPr>
            <w:tcW w:w="375" w:type="pct"/>
            <w:shd w:val="clear" w:color="auto" w:fill="auto"/>
            <w:vAlign w:val="center"/>
          </w:tcPr>
          <w:p w14:paraId="595C8E24"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4EC5E81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1.21</w:t>
            </w:r>
          </w:p>
        </w:tc>
        <w:tc>
          <w:tcPr>
            <w:tcW w:w="430" w:type="pct"/>
            <w:shd w:val="clear" w:color="auto" w:fill="auto"/>
            <w:vAlign w:val="center"/>
          </w:tcPr>
          <w:p w14:paraId="196602F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12.14</w:t>
            </w:r>
          </w:p>
        </w:tc>
        <w:tc>
          <w:tcPr>
            <w:tcW w:w="614" w:type="pct"/>
            <w:shd w:val="clear" w:color="auto" w:fill="auto"/>
            <w:vAlign w:val="center"/>
          </w:tcPr>
          <w:p w14:paraId="798B94B0" w14:textId="77777777" w:rsidR="009C353B" w:rsidRDefault="009C353B">
            <w:pPr>
              <w:adjustRightInd w:val="0"/>
              <w:snapToGrid w:val="0"/>
              <w:spacing w:line="240" w:lineRule="atLeast"/>
              <w:rPr>
                <w:rFonts w:ascii="Times New Roman" w:hAnsi="Times New Roman"/>
                <w:sz w:val="21"/>
                <w:szCs w:val="21"/>
              </w:rPr>
            </w:pPr>
          </w:p>
        </w:tc>
      </w:tr>
      <w:tr w:rsidR="009C353B" w14:paraId="0740D581" w14:textId="77777777">
        <w:trPr>
          <w:trHeight w:val="340"/>
          <w:jc w:val="center"/>
        </w:trPr>
        <w:tc>
          <w:tcPr>
            <w:tcW w:w="2060" w:type="pct"/>
            <w:gridSpan w:val="4"/>
            <w:shd w:val="clear" w:color="auto" w:fill="auto"/>
            <w:vAlign w:val="center"/>
          </w:tcPr>
          <w:p w14:paraId="38BD3C5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合计</w:t>
            </w:r>
          </w:p>
        </w:tc>
        <w:tc>
          <w:tcPr>
            <w:tcW w:w="472" w:type="pct"/>
            <w:shd w:val="clear" w:color="auto" w:fill="auto"/>
            <w:vAlign w:val="center"/>
          </w:tcPr>
          <w:p w14:paraId="4EC0B4D7" w14:textId="77777777" w:rsidR="009C353B" w:rsidRDefault="009C353B">
            <w:pPr>
              <w:adjustRightInd w:val="0"/>
              <w:snapToGrid w:val="0"/>
              <w:spacing w:line="240" w:lineRule="atLeast"/>
              <w:jc w:val="center"/>
              <w:rPr>
                <w:rFonts w:ascii="Times New Roman" w:hAnsi="Times New Roman"/>
                <w:sz w:val="21"/>
                <w:szCs w:val="21"/>
              </w:rPr>
            </w:pPr>
          </w:p>
        </w:tc>
        <w:tc>
          <w:tcPr>
            <w:tcW w:w="599" w:type="pct"/>
            <w:shd w:val="clear" w:color="auto" w:fill="auto"/>
            <w:vAlign w:val="center"/>
          </w:tcPr>
          <w:p w14:paraId="51E670C6" w14:textId="77777777" w:rsidR="009C353B" w:rsidRDefault="009C353B">
            <w:pPr>
              <w:adjustRightInd w:val="0"/>
              <w:snapToGrid w:val="0"/>
              <w:spacing w:line="240" w:lineRule="atLeast"/>
              <w:jc w:val="center"/>
              <w:rPr>
                <w:rFonts w:ascii="Times New Roman" w:hAnsi="Times New Roman"/>
                <w:sz w:val="21"/>
                <w:szCs w:val="21"/>
              </w:rPr>
            </w:pPr>
          </w:p>
        </w:tc>
        <w:tc>
          <w:tcPr>
            <w:tcW w:w="375" w:type="pct"/>
            <w:shd w:val="clear" w:color="auto" w:fill="auto"/>
            <w:vAlign w:val="center"/>
          </w:tcPr>
          <w:p w14:paraId="10813F83" w14:textId="77777777" w:rsidR="009C353B" w:rsidRDefault="009C353B">
            <w:pPr>
              <w:adjustRightInd w:val="0"/>
              <w:snapToGrid w:val="0"/>
              <w:spacing w:line="240" w:lineRule="atLeast"/>
              <w:jc w:val="center"/>
              <w:rPr>
                <w:rFonts w:ascii="Times New Roman" w:hAnsi="Times New Roman"/>
                <w:sz w:val="21"/>
                <w:szCs w:val="21"/>
              </w:rPr>
            </w:pPr>
          </w:p>
        </w:tc>
        <w:tc>
          <w:tcPr>
            <w:tcW w:w="450" w:type="pct"/>
            <w:shd w:val="clear" w:color="auto" w:fill="auto"/>
            <w:vAlign w:val="center"/>
          </w:tcPr>
          <w:p w14:paraId="496E476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82.23</w:t>
            </w:r>
          </w:p>
        </w:tc>
        <w:tc>
          <w:tcPr>
            <w:tcW w:w="430" w:type="pct"/>
            <w:shd w:val="clear" w:color="auto" w:fill="auto"/>
            <w:vAlign w:val="center"/>
          </w:tcPr>
          <w:p w14:paraId="26B6FB5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56.94</w:t>
            </w:r>
          </w:p>
        </w:tc>
        <w:tc>
          <w:tcPr>
            <w:tcW w:w="614" w:type="pct"/>
            <w:shd w:val="clear" w:color="auto" w:fill="auto"/>
          </w:tcPr>
          <w:p w14:paraId="54D4EACE" w14:textId="77777777" w:rsidR="009C353B" w:rsidRDefault="009C353B">
            <w:pPr>
              <w:adjustRightInd w:val="0"/>
              <w:snapToGrid w:val="0"/>
              <w:spacing w:line="240" w:lineRule="atLeast"/>
              <w:rPr>
                <w:rFonts w:ascii="Times New Roman" w:hAnsi="Times New Roman"/>
                <w:sz w:val="21"/>
                <w:szCs w:val="21"/>
              </w:rPr>
            </w:pPr>
          </w:p>
        </w:tc>
      </w:tr>
    </w:tbl>
    <w:p w14:paraId="5D4B6238"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hint="eastAsia"/>
          <w:szCs w:val="28"/>
        </w:rPr>
        <w:t>从上表可以看出，仅对宁东煤化工基地主要需煤用户进行统计，</w:t>
      </w:r>
      <w:r>
        <w:rPr>
          <w:rFonts w:ascii="Times New Roman" w:hAnsi="Times New Roman" w:hint="eastAsia"/>
          <w:szCs w:val="28"/>
        </w:rPr>
        <w:t>2</w:t>
      </w:r>
      <w:r>
        <w:rPr>
          <w:rFonts w:ascii="Times New Roman" w:hAnsi="Times New Roman"/>
          <w:szCs w:val="28"/>
        </w:rPr>
        <w:t>017</w:t>
      </w:r>
      <w:r>
        <w:rPr>
          <w:rFonts w:ascii="Times New Roman" w:hAnsi="Times New Roman" w:hint="eastAsia"/>
          <w:szCs w:val="28"/>
        </w:rPr>
        <w:t>年用户煤炭需求量目前为</w:t>
      </w:r>
      <w:r>
        <w:rPr>
          <w:rFonts w:ascii="Times New Roman" w:hAnsi="Times New Roman" w:hint="eastAsia"/>
          <w:szCs w:val="28"/>
        </w:rPr>
        <w:t>8223</w:t>
      </w:r>
      <w:r>
        <w:rPr>
          <w:rFonts w:ascii="Times New Roman" w:hAnsi="Times New Roman" w:hint="eastAsia"/>
          <w:szCs w:val="28"/>
        </w:rPr>
        <w:t>万</w:t>
      </w:r>
      <w:r>
        <w:rPr>
          <w:rFonts w:ascii="Times New Roman" w:hAnsi="Times New Roman" w:hint="eastAsia"/>
          <w:szCs w:val="28"/>
        </w:rPr>
        <w:t>t</w:t>
      </w:r>
      <w:r>
        <w:rPr>
          <w:rFonts w:ascii="Times New Roman" w:hAnsi="Times New Roman" w:hint="eastAsia"/>
          <w:szCs w:val="28"/>
        </w:rPr>
        <w:t>，未来</w:t>
      </w:r>
      <w:r>
        <w:rPr>
          <w:rFonts w:ascii="Times New Roman" w:hAnsi="Times New Roman" w:hint="eastAsia"/>
          <w:szCs w:val="28"/>
        </w:rPr>
        <w:t>3-5</w:t>
      </w:r>
      <w:r>
        <w:rPr>
          <w:rFonts w:ascii="Times New Roman" w:hAnsi="Times New Roman" w:hint="eastAsia"/>
          <w:szCs w:val="28"/>
        </w:rPr>
        <w:t>年增加</w:t>
      </w:r>
      <w:r>
        <w:rPr>
          <w:rFonts w:ascii="Times New Roman" w:hAnsi="Times New Roman" w:hint="eastAsia"/>
          <w:szCs w:val="28"/>
        </w:rPr>
        <w:t>5694</w:t>
      </w:r>
      <w:r>
        <w:rPr>
          <w:rFonts w:ascii="Times New Roman" w:hAnsi="Times New Roman" w:hint="eastAsia"/>
          <w:szCs w:val="28"/>
        </w:rPr>
        <w:t>万</w:t>
      </w:r>
      <w:r>
        <w:rPr>
          <w:rFonts w:ascii="Times New Roman" w:hAnsi="Times New Roman" w:hint="eastAsia"/>
          <w:szCs w:val="28"/>
        </w:rPr>
        <w:t>t</w:t>
      </w:r>
      <w:r>
        <w:rPr>
          <w:rFonts w:ascii="Times New Roman" w:hAnsi="Times New Roman" w:hint="eastAsia"/>
          <w:szCs w:val="28"/>
        </w:rPr>
        <w:t>，达到</w:t>
      </w:r>
      <w:r>
        <w:rPr>
          <w:rFonts w:ascii="Times New Roman" w:hAnsi="Times New Roman" w:hint="eastAsia"/>
          <w:szCs w:val="28"/>
        </w:rPr>
        <w:t>13917</w:t>
      </w:r>
      <w:r>
        <w:rPr>
          <w:rFonts w:ascii="Times New Roman" w:hAnsi="Times New Roman" w:hint="eastAsia"/>
          <w:szCs w:val="28"/>
        </w:rPr>
        <w:t>万</w:t>
      </w:r>
      <w:r>
        <w:rPr>
          <w:rFonts w:ascii="Times New Roman" w:hAnsi="Times New Roman" w:hint="eastAsia"/>
          <w:szCs w:val="28"/>
        </w:rPr>
        <w:t>t</w:t>
      </w:r>
      <w:r>
        <w:rPr>
          <w:rFonts w:ascii="Times New Roman" w:hAnsi="Times New Roman" w:hint="eastAsia"/>
          <w:szCs w:val="28"/>
        </w:rPr>
        <w:t>。根据调查，宁东基地核心区附近有三个矿区，分别为灵武矿区、横城矿区和鸳鸯湖矿区，现有生产矿井</w:t>
      </w:r>
      <w:r>
        <w:rPr>
          <w:rFonts w:ascii="Times New Roman" w:hAnsi="Times New Roman" w:hint="eastAsia"/>
          <w:szCs w:val="28"/>
        </w:rPr>
        <w:t>11</w:t>
      </w:r>
      <w:r>
        <w:rPr>
          <w:rFonts w:ascii="Times New Roman" w:hAnsi="Times New Roman" w:hint="eastAsia"/>
          <w:szCs w:val="28"/>
        </w:rPr>
        <w:t>对，</w:t>
      </w:r>
      <w:r>
        <w:rPr>
          <w:rFonts w:ascii="Times New Roman" w:hAnsi="Times New Roman" w:hint="eastAsia"/>
          <w:szCs w:val="28"/>
        </w:rPr>
        <w:t>2019</w:t>
      </w:r>
      <w:r>
        <w:rPr>
          <w:rFonts w:ascii="Times New Roman" w:hAnsi="Times New Roman" w:hint="eastAsia"/>
          <w:szCs w:val="28"/>
        </w:rPr>
        <w:t>年实际生产能力不足</w:t>
      </w:r>
      <w:r>
        <w:rPr>
          <w:rFonts w:ascii="Times New Roman" w:hAnsi="Times New Roman" w:hint="eastAsia"/>
          <w:szCs w:val="28"/>
        </w:rPr>
        <w:t>7350</w:t>
      </w:r>
      <w:r>
        <w:rPr>
          <w:rFonts w:ascii="Times New Roman" w:hAnsi="Times New Roman" w:hint="eastAsia"/>
          <w:szCs w:val="28"/>
        </w:rPr>
        <w:t>万</w:t>
      </w:r>
      <w:r>
        <w:rPr>
          <w:rFonts w:ascii="Times New Roman" w:hAnsi="Times New Roman"/>
          <w:szCs w:val="28"/>
        </w:rPr>
        <w:t>t</w:t>
      </w:r>
      <w:r>
        <w:rPr>
          <w:rFonts w:ascii="Times New Roman" w:hAnsi="Times New Roman" w:hint="eastAsia"/>
          <w:szCs w:val="28"/>
        </w:rPr>
        <w:t>（其中灵武矿区生产</w:t>
      </w:r>
      <w:r>
        <w:rPr>
          <w:rFonts w:ascii="Times New Roman" w:hAnsi="Times New Roman" w:hint="eastAsia"/>
          <w:szCs w:val="28"/>
        </w:rPr>
        <w:t>2620</w:t>
      </w:r>
      <w:r>
        <w:rPr>
          <w:rFonts w:ascii="Times New Roman" w:hAnsi="Times New Roman" w:hint="eastAsia"/>
          <w:szCs w:val="28"/>
        </w:rPr>
        <w:t>万</w:t>
      </w:r>
      <w:r>
        <w:rPr>
          <w:rFonts w:ascii="Times New Roman" w:hAnsi="Times New Roman"/>
          <w:szCs w:val="28"/>
        </w:rPr>
        <w:t>t</w:t>
      </w:r>
      <w:r>
        <w:rPr>
          <w:rFonts w:ascii="Times New Roman" w:hAnsi="Times New Roman" w:hint="eastAsia"/>
          <w:szCs w:val="28"/>
        </w:rPr>
        <w:t>，横城矿区生产</w:t>
      </w:r>
      <w:r>
        <w:rPr>
          <w:rFonts w:ascii="Times New Roman" w:hAnsi="Times New Roman" w:hint="eastAsia"/>
          <w:szCs w:val="28"/>
        </w:rPr>
        <w:t>8</w:t>
      </w:r>
      <w:r>
        <w:rPr>
          <w:rFonts w:ascii="Times New Roman" w:hAnsi="Times New Roman"/>
          <w:szCs w:val="28"/>
        </w:rPr>
        <w:t>3</w:t>
      </w:r>
      <w:r>
        <w:rPr>
          <w:rFonts w:ascii="Times New Roman" w:hAnsi="Times New Roman" w:hint="eastAsia"/>
          <w:szCs w:val="28"/>
        </w:rPr>
        <w:t>0</w:t>
      </w:r>
      <w:r>
        <w:rPr>
          <w:rFonts w:ascii="Times New Roman" w:hAnsi="Times New Roman" w:hint="eastAsia"/>
          <w:szCs w:val="28"/>
        </w:rPr>
        <w:t>万</w:t>
      </w:r>
      <w:r>
        <w:rPr>
          <w:rFonts w:ascii="Times New Roman" w:hAnsi="Times New Roman"/>
          <w:szCs w:val="28"/>
        </w:rPr>
        <w:t>t</w:t>
      </w:r>
      <w:r>
        <w:rPr>
          <w:rFonts w:ascii="Times New Roman" w:hAnsi="Times New Roman"/>
          <w:szCs w:val="28"/>
        </w:rPr>
        <w:t>，</w:t>
      </w:r>
      <w:r>
        <w:rPr>
          <w:rFonts w:ascii="Times New Roman" w:hAnsi="Times New Roman" w:hint="eastAsia"/>
          <w:szCs w:val="28"/>
        </w:rPr>
        <w:t>鸳鸯湖矿区生产</w:t>
      </w:r>
      <w:r>
        <w:rPr>
          <w:rFonts w:ascii="Times New Roman" w:hAnsi="Times New Roman" w:hint="eastAsia"/>
          <w:szCs w:val="28"/>
        </w:rPr>
        <w:t>3900</w:t>
      </w:r>
      <w:r>
        <w:rPr>
          <w:rFonts w:ascii="Times New Roman" w:hAnsi="Times New Roman" w:hint="eastAsia"/>
          <w:szCs w:val="28"/>
        </w:rPr>
        <w:t>万</w:t>
      </w:r>
      <w:r>
        <w:rPr>
          <w:rFonts w:ascii="Times New Roman" w:hAnsi="Times New Roman"/>
          <w:szCs w:val="28"/>
        </w:rPr>
        <w:t>t</w:t>
      </w:r>
      <w:r>
        <w:rPr>
          <w:rFonts w:ascii="Times New Roman" w:hAnsi="Times New Roman" w:hint="eastAsia"/>
          <w:szCs w:val="28"/>
        </w:rPr>
        <w:t>），远不能满足宁东基地煤炭的需求。</w:t>
      </w:r>
    </w:p>
    <w:p w14:paraId="3003EC91"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hint="eastAsia"/>
          <w:szCs w:val="28"/>
        </w:rPr>
        <w:t>2</w:t>
      </w:r>
      <w:r>
        <w:rPr>
          <w:rFonts w:ascii="Times New Roman" w:hAnsi="Times New Roman" w:hint="eastAsia"/>
          <w:szCs w:val="28"/>
        </w:rPr>
        <w:t>）</w:t>
      </w:r>
      <w:r>
        <w:rPr>
          <w:rFonts w:ascii="Times New Roman" w:hAnsi="Times New Roman"/>
          <w:szCs w:val="28"/>
        </w:rPr>
        <w:t>关于宁东能源化工基地</w:t>
      </w:r>
      <w:r>
        <w:rPr>
          <w:rFonts w:ascii="Times New Roman" w:hAnsi="Times New Roman" w:hint="eastAsia"/>
          <w:szCs w:val="28"/>
        </w:rPr>
        <w:t>“十三五”</w:t>
      </w:r>
      <w:r>
        <w:rPr>
          <w:rFonts w:ascii="Times New Roman" w:hAnsi="Times New Roman"/>
          <w:szCs w:val="28"/>
        </w:rPr>
        <w:t>煤炭产能规模</w:t>
      </w:r>
    </w:p>
    <w:p w14:paraId="21973192"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szCs w:val="28"/>
        </w:rPr>
        <w:t>《宁东能源化工基地</w:t>
      </w:r>
      <w:r>
        <w:rPr>
          <w:rFonts w:ascii="Times New Roman" w:hAnsi="Times New Roman"/>
          <w:szCs w:val="28"/>
        </w:rPr>
        <w:t>“</w:t>
      </w:r>
      <w:r>
        <w:rPr>
          <w:rFonts w:ascii="Times New Roman" w:hAnsi="Times New Roman"/>
          <w:szCs w:val="28"/>
        </w:rPr>
        <w:t>十三五</w:t>
      </w:r>
      <w:r>
        <w:rPr>
          <w:rFonts w:ascii="Times New Roman" w:hAnsi="Times New Roman"/>
          <w:szCs w:val="28"/>
        </w:rPr>
        <w:t>”</w:t>
      </w:r>
      <w:r>
        <w:rPr>
          <w:rFonts w:ascii="Times New Roman" w:hAnsi="Times New Roman"/>
          <w:szCs w:val="28"/>
        </w:rPr>
        <w:t>开发总体规划》</w:t>
      </w:r>
      <w:r>
        <w:rPr>
          <w:rFonts w:ascii="Times New Roman" w:hAnsi="Times New Roman" w:hint="eastAsia"/>
          <w:szCs w:val="28"/>
        </w:rPr>
        <w:t>提出：“</w:t>
      </w:r>
      <w:r>
        <w:rPr>
          <w:rFonts w:ascii="Times New Roman" w:hAnsi="Times New Roman"/>
          <w:szCs w:val="28"/>
        </w:rPr>
        <w:t>建成国家重要的煤炭生产基地。科学规划煤炭开发利用规模，根据市场需求合理安排矿井建设进度，到</w:t>
      </w:r>
      <w:r>
        <w:rPr>
          <w:rFonts w:ascii="Times New Roman" w:hAnsi="Times New Roman"/>
          <w:szCs w:val="28"/>
        </w:rPr>
        <w:t xml:space="preserve"> 2020 </w:t>
      </w:r>
      <w:r>
        <w:rPr>
          <w:rFonts w:ascii="Times New Roman" w:hAnsi="Times New Roman"/>
          <w:szCs w:val="28"/>
        </w:rPr>
        <w:t>年煤炭产能达到</w:t>
      </w:r>
      <w:r>
        <w:rPr>
          <w:rFonts w:ascii="Times New Roman" w:hAnsi="Times New Roman"/>
          <w:szCs w:val="28"/>
        </w:rPr>
        <w:t xml:space="preserve"> 1 </w:t>
      </w:r>
      <w:r>
        <w:rPr>
          <w:rFonts w:ascii="Times New Roman" w:hAnsi="Times New Roman"/>
          <w:szCs w:val="28"/>
        </w:rPr>
        <w:t>亿吨以上。</w:t>
      </w:r>
      <w:r>
        <w:rPr>
          <w:rFonts w:ascii="Times New Roman" w:hAnsi="Times New Roman" w:hint="eastAsia"/>
          <w:szCs w:val="28"/>
        </w:rPr>
        <w:t>”</w:t>
      </w:r>
    </w:p>
    <w:p w14:paraId="40557F09"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szCs w:val="28"/>
        </w:rPr>
        <w:t>《宁东能源化工基地</w:t>
      </w:r>
      <w:r>
        <w:rPr>
          <w:rFonts w:ascii="Times New Roman" w:hAnsi="Times New Roman"/>
          <w:szCs w:val="28"/>
        </w:rPr>
        <w:t>“</w:t>
      </w:r>
      <w:r>
        <w:rPr>
          <w:rFonts w:ascii="Times New Roman" w:hAnsi="Times New Roman"/>
          <w:szCs w:val="28"/>
        </w:rPr>
        <w:t>十三五</w:t>
      </w:r>
      <w:r>
        <w:rPr>
          <w:rFonts w:ascii="Times New Roman" w:hAnsi="Times New Roman"/>
          <w:szCs w:val="28"/>
        </w:rPr>
        <w:t>”</w:t>
      </w:r>
      <w:r>
        <w:rPr>
          <w:rFonts w:ascii="Times New Roman" w:hAnsi="Times New Roman"/>
          <w:szCs w:val="28"/>
        </w:rPr>
        <w:t>开发总体规划环境影响报告书》中统计的宁东基地煤矿涉及规模为</w:t>
      </w:r>
      <w:r>
        <w:rPr>
          <w:rFonts w:ascii="Times New Roman" w:hAnsi="Times New Roman" w:hint="eastAsia"/>
          <w:szCs w:val="28"/>
        </w:rPr>
        <w:t>9</w:t>
      </w:r>
      <w:r>
        <w:rPr>
          <w:rFonts w:ascii="Times New Roman" w:hAnsi="Times New Roman"/>
          <w:szCs w:val="28"/>
        </w:rPr>
        <w:t>155</w:t>
      </w:r>
      <w:r>
        <w:rPr>
          <w:rFonts w:ascii="Times New Roman" w:hAnsi="Times New Roman"/>
          <w:szCs w:val="28"/>
        </w:rPr>
        <w:t>万</w:t>
      </w:r>
      <w:r>
        <w:rPr>
          <w:rFonts w:ascii="Times New Roman" w:hAnsi="Times New Roman"/>
          <w:szCs w:val="28"/>
        </w:rPr>
        <w:t>t/a</w:t>
      </w:r>
      <w:r>
        <w:rPr>
          <w:rFonts w:ascii="Times New Roman" w:hAnsi="Times New Roman" w:hint="eastAsia"/>
          <w:szCs w:val="28"/>
        </w:rPr>
        <w:t>，</w:t>
      </w:r>
      <w:r>
        <w:rPr>
          <w:rFonts w:ascii="Times New Roman" w:hAnsi="Times New Roman" w:hint="eastAsia"/>
          <w:szCs w:val="28"/>
        </w:rPr>
        <w:t>2</w:t>
      </w:r>
      <w:r>
        <w:rPr>
          <w:rFonts w:ascii="Times New Roman" w:hAnsi="Times New Roman"/>
          <w:szCs w:val="28"/>
        </w:rPr>
        <w:t>017</w:t>
      </w:r>
      <w:r>
        <w:rPr>
          <w:rFonts w:ascii="Times New Roman" w:hAnsi="Times New Roman"/>
          <w:szCs w:val="28"/>
        </w:rPr>
        <w:t>年</w:t>
      </w:r>
      <w:r>
        <w:rPr>
          <w:rFonts w:ascii="Times New Roman" w:hAnsi="Times New Roman" w:hint="eastAsia"/>
          <w:szCs w:val="28"/>
        </w:rPr>
        <w:t>（报告书编制阶段）现状实际产能为</w:t>
      </w:r>
      <w:r>
        <w:rPr>
          <w:rFonts w:ascii="Times New Roman" w:hAnsi="Times New Roman" w:hint="eastAsia"/>
          <w:szCs w:val="28"/>
        </w:rPr>
        <w:t>8</w:t>
      </w:r>
      <w:r>
        <w:rPr>
          <w:rFonts w:ascii="Times New Roman" w:hAnsi="Times New Roman"/>
          <w:szCs w:val="28"/>
        </w:rPr>
        <w:t>680</w:t>
      </w:r>
      <w:r>
        <w:rPr>
          <w:rFonts w:ascii="Times New Roman" w:hAnsi="Times New Roman"/>
          <w:szCs w:val="28"/>
        </w:rPr>
        <w:t>万</w:t>
      </w:r>
      <w:r>
        <w:rPr>
          <w:rFonts w:ascii="Times New Roman" w:hAnsi="Times New Roman"/>
          <w:szCs w:val="28"/>
        </w:rPr>
        <w:t>t/a</w:t>
      </w:r>
      <w:r>
        <w:rPr>
          <w:rFonts w:ascii="Times New Roman" w:hAnsi="Times New Roman" w:hint="eastAsia"/>
          <w:szCs w:val="28"/>
        </w:rPr>
        <w:t>，</w:t>
      </w:r>
      <w:r>
        <w:rPr>
          <w:rFonts w:ascii="Times New Roman" w:hAnsi="Times New Roman"/>
          <w:szCs w:val="28"/>
        </w:rPr>
        <w:t>详见表</w:t>
      </w:r>
      <w:r>
        <w:rPr>
          <w:rFonts w:ascii="Times New Roman" w:hAnsi="Times New Roman" w:hint="eastAsia"/>
          <w:szCs w:val="28"/>
        </w:rPr>
        <w:t>2</w:t>
      </w:r>
      <w:r>
        <w:rPr>
          <w:rFonts w:ascii="Times New Roman" w:hAnsi="Times New Roman"/>
          <w:szCs w:val="28"/>
        </w:rPr>
        <w:t>.4</w:t>
      </w:r>
      <w:r>
        <w:rPr>
          <w:rFonts w:ascii="Times New Roman" w:hAnsi="Times New Roman" w:hint="eastAsia"/>
          <w:szCs w:val="28"/>
        </w:rPr>
        <w:t>-</w:t>
      </w:r>
      <w:r>
        <w:rPr>
          <w:rFonts w:ascii="Times New Roman" w:hAnsi="Times New Roman"/>
          <w:szCs w:val="28"/>
        </w:rPr>
        <w:t>4</w:t>
      </w:r>
      <w:r>
        <w:rPr>
          <w:rFonts w:ascii="Times New Roman" w:hAnsi="Times New Roman" w:hint="eastAsia"/>
          <w:szCs w:val="28"/>
        </w:rPr>
        <w:t>。</w:t>
      </w:r>
      <w:r>
        <w:rPr>
          <w:rFonts w:ascii="Times New Roman" w:hAnsi="Times New Roman"/>
          <w:szCs w:val="28"/>
        </w:rPr>
        <w:t>《宁东能源化工基地</w:t>
      </w:r>
      <w:r>
        <w:rPr>
          <w:rFonts w:ascii="Times New Roman" w:hAnsi="Times New Roman"/>
          <w:szCs w:val="28"/>
        </w:rPr>
        <w:t>“</w:t>
      </w:r>
      <w:r>
        <w:rPr>
          <w:rFonts w:ascii="Times New Roman" w:hAnsi="Times New Roman"/>
          <w:szCs w:val="28"/>
        </w:rPr>
        <w:t>十三五</w:t>
      </w:r>
      <w:r>
        <w:rPr>
          <w:rFonts w:ascii="Times New Roman" w:hAnsi="Times New Roman"/>
          <w:szCs w:val="28"/>
        </w:rPr>
        <w:t>”</w:t>
      </w:r>
      <w:r>
        <w:rPr>
          <w:rFonts w:ascii="Times New Roman" w:hAnsi="Times New Roman"/>
          <w:szCs w:val="28"/>
        </w:rPr>
        <w:t>开发总体规划环境影响报告书》基于环境承载力的发展情景提出煤炭规划规模为</w:t>
      </w:r>
      <w:r>
        <w:rPr>
          <w:rFonts w:ascii="Times New Roman" w:hAnsi="Times New Roman" w:hint="eastAsia"/>
          <w:szCs w:val="28"/>
        </w:rPr>
        <w:t>1</w:t>
      </w:r>
      <w:r>
        <w:rPr>
          <w:rFonts w:ascii="Times New Roman" w:hAnsi="Times New Roman" w:hint="eastAsia"/>
          <w:szCs w:val="28"/>
        </w:rPr>
        <w:t>亿吨。</w:t>
      </w:r>
    </w:p>
    <w:p w14:paraId="2AF763AC"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szCs w:val="28"/>
        </w:rPr>
        <w:t>目前</w:t>
      </w:r>
      <w:r>
        <w:rPr>
          <w:rFonts w:ascii="Times New Roman" w:hAnsi="Times New Roman" w:hint="eastAsia"/>
          <w:szCs w:val="28"/>
        </w:rPr>
        <w:t>，</w:t>
      </w:r>
      <w:r>
        <w:rPr>
          <w:rFonts w:ascii="Times New Roman" w:hAnsi="Times New Roman"/>
          <w:szCs w:val="28"/>
        </w:rPr>
        <w:t>宁东能源化工基地中矿区总体规划已批复的</w:t>
      </w:r>
      <w:r>
        <w:rPr>
          <w:rFonts w:ascii="Times New Roman" w:hAnsi="Times New Roman"/>
          <w:szCs w:val="28"/>
        </w:rPr>
        <w:t>7</w:t>
      </w:r>
      <w:r>
        <w:rPr>
          <w:rFonts w:ascii="Times New Roman" w:hAnsi="Times New Roman" w:hint="eastAsia"/>
          <w:szCs w:val="28"/>
        </w:rPr>
        <w:t>个矿区规划规模为</w:t>
      </w:r>
      <w:r>
        <w:rPr>
          <w:rFonts w:ascii="Times New Roman" w:hAnsi="Times New Roman"/>
          <w:szCs w:val="28"/>
        </w:rPr>
        <w:t>9735</w:t>
      </w:r>
      <w:r>
        <w:rPr>
          <w:rFonts w:ascii="Times New Roman" w:hAnsi="Times New Roman"/>
          <w:szCs w:val="28"/>
        </w:rPr>
        <w:t>万</w:t>
      </w:r>
      <w:r>
        <w:rPr>
          <w:rFonts w:ascii="Times New Roman" w:hAnsi="Times New Roman" w:hint="eastAsia"/>
          <w:szCs w:val="28"/>
        </w:rPr>
        <w:t>t</w:t>
      </w:r>
      <w:r>
        <w:rPr>
          <w:rFonts w:ascii="Times New Roman" w:hAnsi="Times New Roman"/>
          <w:szCs w:val="28"/>
        </w:rPr>
        <w:t>/a</w:t>
      </w:r>
      <w:r>
        <w:rPr>
          <w:rFonts w:ascii="Times New Roman" w:hAnsi="Times New Roman" w:hint="eastAsia"/>
          <w:szCs w:val="28"/>
        </w:rPr>
        <w:t>（</w:t>
      </w:r>
      <w:r>
        <w:rPr>
          <w:rFonts w:ascii="Times New Roman" w:hAnsi="Times New Roman"/>
          <w:szCs w:val="28"/>
        </w:rPr>
        <w:t>四股泉为地方规划矿区</w:t>
      </w:r>
      <w:r>
        <w:rPr>
          <w:rFonts w:ascii="Times New Roman" w:hAnsi="Times New Roman" w:hint="eastAsia"/>
          <w:szCs w:val="28"/>
        </w:rPr>
        <w:t>，</w:t>
      </w:r>
      <w:r>
        <w:rPr>
          <w:rFonts w:ascii="Times New Roman" w:hAnsi="Times New Roman"/>
          <w:szCs w:val="28"/>
        </w:rPr>
        <w:t>不包含</w:t>
      </w:r>
      <w:r>
        <w:rPr>
          <w:rFonts w:ascii="Times New Roman" w:hAnsi="Times New Roman" w:hint="eastAsia"/>
          <w:szCs w:val="28"/>
        </w:rPr>
        <w:t>）。目前</w:t>
      </w:r>
      <w:r>
        <w:rPr>
          <w:rFonts w:ascii="Times New Roman" w:hAnsi="Times New Roman"/>
          <w:szCs w:val="28"/>
        </w:rPr>
        <w:t>，</w:t>
      </w:r>
      <w:r>
        <w:rPr>
          <w:rFonts w:ascii="Times New Roman" w:hAnsi="Times New Roman"/>
          <w:szCs w:val="28"/>
        </w:rPr>
        <w:t>7</w:t>
      </w:r>
      <w:r>
        <w:rPr>
          <w:rFonts w:ascii="Times New Roman" w:hAnsi="Times New Roman" w:hint="eastAsia"/>
          <w:szCs w:val="28"/>
        </w:rPr>
        <w:t>个矿区</w:t>
      </w:r>
      <w:r>
        <w:rPr>
          <w:rFonts w:ascii="Times New Roman" w:hAnsi="Times New Roman"/>
          <w:szCs w:val="28"/>
        </w:rPr>
        <w:t>煤炭实际产能为</w:t>
      </w:r>
      <w:r>
        <w:rPr>
          <w:rFonts w:ascii="Times New Roman" w:hAnsi="Times New Roman"/>
          <w:szCs w:val="28"/>
        </w:rPr>
        <w:t>9440</w:t>
      </w:r>
      <w:r>
        <w:rPr>
          <w:rFonts w:ascii="Times New Roman" w:hAnsi="Times New Roman"/>
          <w:szCs w:val="28"/>
        </w:rPr>
        <w:t>万</w:t>
      </w:r>
      <w:r>
        <w:rPr>
          <w:rFonts w:ascii="Times New Roman" w:hAnsi="Times New Roman"/>
          <w:szCs w:val="28"/>
        </w:rPr>
        <w:t>t/a</w:t>
      </w:r>
      <w:r>
        <w:rPr>
          <w:rFonts w:ascii="Times New Roman" w:hAnsi="Times New Roman" w:hint="eastAsia"/>
          <w:szCs w:val="28"/>
        </w:rPr>
        <w:t>，算上地方规划矿区四股泉矿区及其他地方独立矿井，</w:t>
      </w:r>
      <w:r>
        <w:rPr>
          <w:rFonts w:ascii="Times New Roman" w:hAnsi="Times New Roman"/>
          <w:szCs w:val="28"/>
        </w:rPr>
        <w:t>煤炭实际产能为</w:t>
      </w:r>
      <w:r>
        <w:rPr>
          <w:rFonts w:ascii="Times New Roman" w:hAnsi="Times New Roman"/>
          <w:szCs w:val="28"/>
        </w:rPr>
        <w:t>9755</w:t>
      </w:r>
      <w:r>
        <w:rPr>
          <w:rFonts w:ascii="Times New Roman" w:hAnsi="Times New Roman"/>
          <w:szCs w:val="28"/>
        </w:rPr>
        <w:t>万</w:t>
      </w:r>
      <w:r>
        <w:rPr>
          <w:rFonts w:ascii="Times New Roman" w:hAnsi="Times New Roman"/>
          <w:szCs w:val="28"/>
        </w:rPr>
        <w:t>t/a</w:t>
      </w:r>
      <w:r>
        <w:rPr>
          <w:rFonts w:ascii="Times New Roman" w:hAnsi="Times New Roman" w:hint="eastAsia"/>
          <w:szCs w:val="28"/>
        </w:rPr>
        <w:t>，</w:t>
      </w:r>
      <w:r>
        <w:rPr>
          <w:rFonts w:ascii="Times New Roman" w:hAnsi="Times New Roman"/>
          <w:szCs w:val="28"/>
        </w:rPr>
        <w:t>未达到</w:t>
      </w:r>
      <w:r>
        <w:rPr>
          <w:rFonts w:ascii="Times New Roman" w:hAnsi="Times New Roman"/>
          <w:szCs w:val="28"/>
        </w:rPr>
        <w:t>1</w:t>
      </w:r>
      <w:r>
        <w:rPr>
          <w:rFonts w:ascii="Times New Roman" w:hAnsi="Times New Roman"/>
          <w:szCs w:val="28"/>
        </w:rPr>
        <w:t>亿</w:t>
      </w:r>
      <w:r>
        <w:rPr>
          <w:rFonts w:ascii="Times New Roman" w:hAnsi="Times New Roman"/>
          <w:szCs w:val="28"/>
        </w:rPr>
        <w:t>t/a</w:t>
      </w:r>
      <w:r>
        <w:rPr>
          <w:rFonts w:ascii="Times New Roman" w:hAnsi="Times New Roman"/>
          <w:szCs w:val="28"/>
        </w:rPr>
        <w:t>规模</w:t>
      </w:r>
      <w:r>
        <w:rPr>
          <w:rFonts w:ascii="Times New Roman" w:hAnsi="Times New Roman" w:hint="eastAsia"/>
          <w:szCs w:val="28"/>
        </w:rPr>
        <w:t>，</w:t>
      </w:r>
      <w:r>
        <w:rPr>
          <w:rFonts w:ascii="Times New Roman" w:hAnsi="Times New Roman"/>
          <w:szCs w:val="28"/>
        </w:rPr>
        <w:t>加上规划的丁家梁煤矿</w:t>
      </w:r>
      <w:r>
        <w:rPr>
          <w:rFonts w:ascii="Times New Roman" w:hAnsi="Times New Roman" w:hint="eastAsia"/>
          <w:szCs w:val="28"/>
        </w:rPr>
        <w:t>9</w:t>
      </w:r>
      <w:r>
        <w:rPr>
          <w:rFonts w:ascii="Times New Roman" w:hAnsi="Times New Roman"/>
          <w:szCs w:val="28"/>
        </w:rPr>
        <w:t>0</w:t>
      </w:r>
      <w:r>
        <w:rPr>
          <w:rFonts w:ascii="Times New Roman" w:hAnsi="Times New Roman"/>
          <w:szCs w:val="28"/>
        </w:rPr>
        <w:t>万吨</w:t>
      </w:r>
      <w:r>
        <w:rPr>
          <w:rFonts w:ascii="Times New Roman" w:hAnsi="Times New Roman" w:hint="eastAsia"/>
          <w:szCs w:val="28"/>
        </w:rPr>
        <w:t>，也未超过</w:t>
      </w:r>
      <w:r>
        <w:rPr>
          <w:rFonts w:ascii="Times New Roman" w:hAnsi="Times New Roman"/>
          <w:szCs w:val="28"/>
        </w:rPr>
        <w:t>。宁东能源化工基地中各矿区规模情况具体见表</w:t>
      </w:r>
      <w:r>
        <w:rPr>
          <w:rFonts w:ascii="Times New Roman" w:hAnsi="Times New Roman"/>
          <w:szCs w:val="28"/>
        </w:rPr>
        <w:t>2.4</w:t>
      </w:r>
      <w:r>
        <w:rPr>
          <w:rFonts w:ascii="Times New Roman" w:hAnsi="Times New Roman" w:hint="eastAsia"/>
          <w:szCs w:val="28"/>
        </w:rPr>
        <w:t>-</w:t>
      </w:r>
      <w:r>
        <w:rPr>
          <w:rFonts w:ascii="Times New Roman" w:hAnsi="Times New Roman"/>
          <w:szCs w:val="28"/>
        </w:rPr>
        <w:t>5</w:t>
      </w:r>
      <w:r>
        <w:rPr>
          <w:rFonts w:ascii="Times New Roman" w:hAnsi="Times New Roman" w:hint="eastAsia"/>
          <w:szCs w:val="28"/>
        </w:rPr>
        <w:t>，各矿区分布情况见图</w:t>
      </w:r>
      <w:r>
        <w:rPr>
          <w:rFonts w:ascii="Times New Roman" w:hAnsi="Times New Roman" w:hint="eastAsia"/>
          <w:szCs w:val="28"/>
        </w:rPr>
        <w:t>2</w:t>
      </w:r>
      <w:r>
        <w:rPr>
          <w:rFonts w:ascii="Times New Roman" w:hAnsi="Times New Roman"/>
          <w:szCs w:val="28"/>
        </w:rPr>
        <w:t>.4</w:t>
      </w:r>
      <w:r>
        <w:rPr>
          <w:rFonts w:ascii="Times New Roman" w:hAnsi="Times New Roman" w:hint="eastAsia"/>
          <w:szCs w:val="28"/>
        </w:rPr>
        <w:t>-</w:t>
      </w:r>
      <w:r>
        <w:rPr>
          <w:rFonts w:ascii="Times New Roman" w:hAnsi="Times New Roman"/>
          <w:szCs w:val="28"/>
        </w:rPr>
        <w:t>4</w:t>
      </w:r>
      <w:r>
        <w:rPr>
          <w:rFonts w:ascii="Times New Roman" w:hAnsi="Times New Roman"/>
          <w:szCs w:val="28"/>
        </w:rPr>
        <w:t>。</w:t>
      </w:r>
    </w:p>
    <w:p w14:paraId="6FB78A6F"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szCs w:val="28"/>
        </w:rPr>
        <w:t>目前统计的宁东基地实际产能</w:t>
      </w:r>
      <w:r>
        <w:rPr>
          <w:rFonts w:ascii="Times New Roman" w:hAnsi="Times New Roman" w:hint="eastAsia"/>
          <w:szCs w:val="28"/>
        </w:rPr>
        <w:t>9755</w:t>
      </w:r>
      <w:r>
        <w:rPr>
          <w:rFonts w:ascii="Times New Roman" w:hAnsi="Times New Roman"/>
          <w:szCs w:val="28"/>
        </w:rPr>
        <w:t>万</w:t>
      </w:r>
      <w:r>
        <w:rPr>
          <w:rFonts w:ascii="Times New Roman" w:hAnsi="Times New Roman"/>
          <w:szCs w:val="28"/>
        </w:rPr>
        <w:t>t/a</w:t>
      </w:r>
      <w:r>
        <w:rPr>
          <w:rFonts w:ascii="Times New Roman" w:hAnsi="Times New Roman"/>
          <w:szCs w:val="28"/>
        </w:rPr>
        <w:t>与《宁东能源化工基地</w:t>
      </w:r>
      <w:r>
        <w:rPr>
          <w:rFonts w:ascii="Times New Roman" w:hAnsi="Times New Roman"/>
          <w:szCs w:val="28"/>
        </w:rPr>
        <w:t>“</w:t>
      </w:r>
      <w:r>
        <w:rPr>
          <w:rFonts w:ascii="Times New Roman" w:hAnsi="Times New Roman"/>
          <w:szCs w:val="28"/>
        </w:rPr>
        <w:t>十三五</w:t>
      </w:r>
      <w:r>
        <w:rPr>
          <w:rFonts w:ascii="Times New Roman" w:hAnsi="Times New Roman"/>
          <w:szCs w:val="28"/>
        </w:rPr>
        <w:t>”</w:t>
      </w:r>
      <w:r>
        <w:rPr>
          <w:rFonts w:ascii="Times New Roman" w:hAnsi="Times New Roman"/>
          <w:szCs w:val="28"/>
        </w:rPr>
        <w:t>开发总体规划环境影响报告书》中</w:t>
      </w:r>
      <w:r>
        <w:rPr>
          <w:rFonts w:ascii="Times New Roman" w:hAnsi="Times New Roman" w:hint="eastAsia"/>
          <w:szCs w:val="28"/>
        </w:rPr>
        <w:t>2</w:t>
      </w:r>
      <w:r>
        <w:rPr>
          <w:rFonts w:ascii="Times New Roman" w:hAnsi="Times New Roman"/>
          <w:szCs w:val="28"/>
        </w:rPr>
        <w:t>017</w:t>
      </w:r>
      <w:r>
        <w:rPr>
          <w:rFonts w:ascii="Times New Roman" w:hAnsi="Times New Roman"/>
          <w:szCs w:val="28"/>
        </w:rPr>
        <w:t>年</w:t>
      </w:r>
      <w:r>
        <w:rPr>
          <w:rFonts w:ascii="Times New Roman" w:hAnsi="Times New Roman" w:hint="eastAsia"/>
          <w:szCs w:val="28"/>
        </w:rPr>
        <w:t>（报告书编制阶段）现状实际产能</w:t>
      </w:r>
      <w:r>
        <w:rPr>
          <w:rFonts w:ascii="Times New Roman" w:hAnsi="Times New Roman" w:hint="eastAsia"/>
          <w:szCs w:val="28"/>
        </w:rPr>
        <w:t>8</w:t>
      </w:r>
      <w:r>
        <w:rPr>
          <w:rFonts w:ascii="Times New Roman" w:hAnsi="Times New Roman"/>
          <w:szCs w:val="28"/>
        </w:rPr>
        <w:t>680</w:t>
      </w:r>
      <w:r>
        <w:rPr>
          <w:rFonts w:ascii="Times New Roman" w:hAnsi="Times New Roman"/>
          <w:szCs w:val="28"/>
        </w:rPr>
        <w:t>万</w:t>
      </w:r>
      <w:r>
        <w:rPr>
          <w:rFonts w:ascii="Times New Roman" w:hAnsi="Times New Roman"/>
          <w:szCs w:val="28"/>
        </w:rPr>
        <w:t>t/a</w:t>
      </w:r>
      <w:r>
        <w:rPr>
          <w:rFonts w:ascii="Times New Roman" w:hAnsi="Times New Roman"/>
          <w:szCs w:val="28"/>
        </w:rPr>
        <w:t>的差异的主要原因是不同时间各矿情况有所变化</w:t>
      </w:r>
      <w:r>
        <w:rPr>
          <w:rFonts w:ascii="Times New Roman" w:hAnsi="Times New Roman" w:hint="eastAsia"/>
          <w:szCs w:val="28"/>
        </w:rPr>
        <w:t>。</w:t>
      </w:r>
    </w:p>
    <w:p w14:paraId="6F46B311" w14:textId="77777777" w:rsidR="009C353B" w:rsidRDefault="009C353B">
      <w:pPr>
        <w:adjustRightInd w:val="0"/>
        <w:snapToGrid w:val="0"/>
        <w:spacing w:line="440" w:lineRule="exact"/>
        <w:ind w:firstLineChars="200" w:firstLine="480"/>
        <w:rPr>
          <w:rFonts w:ascii="Times New Roman" w:hAnsi="Times New Roman"/>
        </w:rPr>
        <w:sectPr w:rsidR="009C353B">
          <w:headerReference w:type="default" r:id="rId186"/>
          <w:pgSz w:w="11907" w:h="16840"/>
          <w:pgMar w:top="1701" w:right="1418" w:bottom="1418" w:left="1418" w:header="1134" w:footer="851" w:gutter="0"/>
          <w:paperSrc w:first="7" w:other="7"/>
          <w:cols w:space="720"/>
          <w:docGrid w:linePitch="312"/>
        </w:sectPr>
      </w:pPr>
    </w:p>
    <w:p w14:paraId="06507F00" w14:textId="77777777" w:rsidR="009C353B" w:rsidRDefault="009C353B">
      <w:pPr>
        <w:adjustRightInd w:val="0"/>
        <w:snapToGrid w:val="0"/>
        <w:spacing w:line="440" w:lineRule="exact"/>
        <w:ind w:firstLineChars="200" w:firstLine="480"/>
        <w:rPr>
          <w:rFonts w:ascii="Times New Roman" w:hAnsi="Times New Roman"/>
        </w:rPr>
      </w:pPr>
    </w:p>
    <w:p w14:paraId="5924E529" w14:textId="77777777" w:rsidR="009C353B" w:rsidRDefault="00000000">
      <w:pPr>
        <w:pStyle w:val="04"/>
        <w:ind w:firstLine="482"/>
        <w:jc w:val="center"/>
      </w:pPr>
      <w:r>
        <w:rPr>
          <w:rFonts w:hint="eastAsia"/>
        </w:rPr>
        <w:t>《宁东能源化工基地“十三五”开发总体规划环境影响报告书》中统计的宁东基地煤矿规模</w:t>
      </w:r>
    </w:p>
    <w:p w14:paraId="77783EA4" w14:textId="77777777" w:rsidR="009C353B" w:rsidRDefault="00000000">
      <w:pPr>
        <w:pStyle w:val="affffd"/>
        <w:spacing w:line="440" w:lineRule="exact"/>
        <w:rPr>
          <w:rFonts w:ascii="Times New Roman" w:hint="eastAsia"/>
        </w:rPr>
      </w:pPr>
      <w:r>
        <w:rPr>
          <w:rFonts w:ascii="Times New Roman" w:hint="eastAsia"/>
        </w:rPr>
        <w:t>表</w:t>
      </w:r>
      <w:r>
        <w:rPr>
          <w:rFonts w:ascii="Times New Roman" w:hint="eastAsia"/>
        </w:rPr>
        <w:t>2.</w:t>
      </w:r>
      <w:r>
        <w:rPr>
          <w:rFonts w:ascii="Times New Roman"/>
        </w:rPr>
        <w:t>4</w:t>
      </w:r>
      <w:r>
        <w:rPr>
          <w:rFonts w:ascii="Times New Roman" w:hint="eastAsia"/>
        </w:rPr>
        <w:t>-</w:t>
      </w:r>
      <w:r>
        <w:rPr>
          <w:rFonts w:ascii="Times New Roman"/>
        </w:rPr>
        <w:t>4</w:t>
      </w:r>
    </w:p>
    <w:p w14:paraId="5B08173B" w14:textId="77777777" w:rsidR="009C353B" w:rsidRDefault="00000000">
      <w:pPr>
        <w:autoSpaceDE w:val="0"/>
        <w:autoSpaceDN w:val="0"/>
        <w:adjustRightInd w:val="0"/>
        <w:snapToGrid w:val="0"/>
        <w:spacing w:line="360" w:lineRule="auto"/>
        <w:jc w:val="center"/>
        <w:rPr>
          <w:rFonts w:ascii="Times New Roman" w:hAnsi="Times New Roman"/>
          <w:szCs w:val="28"/>
        </w:rPr>
      </w:pPr>
      <w:r>
        <w:rPr>
          <w:b/>
          <w:noProof/>
          <w:sz w:val="28"/>
          <w:szCs w:val="28"/>
        </w:rPr>
        <w:drawing>
          <wp:inline distT="0" distB="0" distL="0" distR="0" wp14:anchorId="6719799F" wp14:editId="575BB27C">
            <wp:extent cx="8623935" cy="4572000"/>
            <wp:effectExtent l="0" t="0" r="571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187">
                      <a:extLst>
                        <a:ext uri="{28A0092B-C50C-407E-A947-70E740481C1C}">
                          <a14:useLocalDpi xmlns:a14="http://schemas.microsoft.com/office/drawing/2010/main" val="0"/>
                        </a:ext>
                      </a:extLst>
                    </a:blip>
                    <a:srcRect t="497"/>
                    <a:stretch>
                      <a:fillRect/>
                    </a:stretch>
                  </pic:blipFill>
                  <pic:spPr>
                    <a:xfrm>
                      <a:off x="0" y="0"/>
                      <a:ext cx="8623935" cy="4572000"/>
                    </a:xfrm>
                    <a:prstGeom prst="rect">
                      <a:avLst/>
                    </a:prstGeom>
                    <a:noFill/>
                    <a:ln>
                      <a:noFill/>
                    </a:ln>
                  </pic:spPr>
                </pic:pic>
              </a:graphicData>
            </a:graphic>
          </wp:inline>
        </w:drawing>
      </w:r>
    </w:p>
    <w:p w14:paraId="607023CC" w14:textId="77777777" w:rsidR="009C353B" w:rsidRDefault="00000000">
      <w:pPr>
        <w:pStyle w:val="04"/>
        <w:ind w:firstLine="482"/>
        <w:jc w:val="center"/>
      </w:pPr>
      <w:r>
        <w:t>横城矿区周边宁东基地矿区规划</w:t>
      </w:r>
      <w:r>
        <w:rPr>
          <w:rFonts w:hint="eastAsia"/>
        </w:rPr>
        <w:t>批复及现状规模情况表</w:t>
      </w:r>
    </w:p>
    <w:p w14:paraId="491A427E" w14:textId="77777777" w:rsidR="009C353B" w:rsidRDefault="00000000">
      <w:pPr>
        <w:pStyle w:val="affffd"/>
        <w:spacing w:line="440" w:lineRule="exact"/>
        <w:rPr>
          <w:rFonts w:ascii="Times New Roman" w:hint="eastAsia"/>
        </w:rPr>
      </w:pPr>
      <w:r>
        <w:rPr>
          <w:rFonts w:ascii="Times New Roman" w:hint="eastAsia"/>
        </w:rPr>
        <w:t>表</w:t>
      </w:r>
      <w:r>
        <w:rPr>
          <w:rFonts w:ascii="Times New Roman" w:hint="eastAsia"/>
        </w:rPr>
        <w:t>2.</w:t>
      </w:r>
      <w:r>
        <w:rPr>
          <w:rFonts w:ascii="Times New Roman"/>
        </w:rPr>
        <w:t>4</w:t>
      </w:r>
      <w:r>
        <w:rPr>
          <w:rFonts w:ascii="Times New Roman" w:hint="eastAsia"/>
        </w:rPr>
        <w:t>-</w:t>
      </w:r>
      <w:r>
        <w:rPr>
          <w:rFonts w:ascii="Times New Roman"/>
        </w:rPr>
        <w:t>5</w:t>
      </w:r>
    </w:p>
    <w:tbl>
      <w:tblPr>
        <w:tblW w:w="14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6"/>
        <w:gridCol w:w="1415"/>
        <w:gridCol w:w="1805"/>
        <w:gridCol w:w="1316"/>
        <w:gridCol w:w="1134"/>
        <w:gridCol w:w="709"/>
        <w:gridCol w:w="1559"/>
        <w:gridCol w:w="709"/>
        <w:gridCol w:w="992"/>
        <w:gridCol w:w="851"/>
        <w:gridCol w:w="1410"/>
        <w:gridCol w:w="709"/>
        <w:gridCol w:w="931"/>
      </w:tblGrid>
      <w:tr w:rsidR="009C353B" w14:paraId="3600B40B" w14:textId="77777777">
        <w:trPr>
          <w:trHeight w:val="393"/>
          <w:jc w:val="center"/>
        </w:trPr>
        <w:tc>
          <w:tcPr>
            <w:tcW w:w="716" w:type="dxa"/>
            <w:vMerge w:val="restart"/>
            <w:shd w:val="clear" w:color="auto" w:fill="auto"/>
            <w:vAlign w:val="center"/>
          </w:tcPr>
          <w:p w14:paraId="0F75BF8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煤炭基地名称</w:t>
            </w:r>
          </w:p>
        </w:tc>
        <w:tc>
          <w:tcPr>
            <w:tcW w:w="1415" w:type="dxa"/>
            <w:vMerge w:val="restart"/>
            <w:shd w:val="clear" w:color="auto" w:fill="auto"/>
            <w:vAlign w:val="center"/>
          </w:tcPr>
          <w:p w14:paraId="334088A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主要矿区</w:t>
            </w:r>
          </w:p>
        </w:tc>
        <w:tc>
          <w:tcPr>
            <w:tcW w:w="1805" w:type="dxa"/>
            <w:vMerge w:val="restart"/>
            <w:shd w:val="clear" w:color="auto" w:fill="auto"/>
            <w:vAlign w:val="center"/>
          </w:tcPr>
          <w:p w14:paraId="4DC6A7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总体规划审批情况</w:t>
            </w:r>
          </w:p>
        </w:tc>
        <w:tc>
          <w:tcPr>
            <w:tcW w:w="1316" w:type="dxa"/>
            <w:vMerge w:val="restart"/>
            <w:shd w:val="clear" w:color="auto" w:fill="auto"/>
            <w:vAlign w:val="center"/>
          </w:tcPr>
          <w:p w14:paraId="591CCA6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规划环评审批情况</w:t>
            </w:r>
          </w:p>
        </w:tc>
        <w:tc>
          <w:tcPr>
            <w:tcW w:w="1134" w:type="dxa"/>
            <w:vMerge w:val="restart"/>
            <w:shd w:val="clear" w:color="auto" w:fill="auto"/>
            <w:vAlign w:val="center"/>
          </w:tcPr>
          <w:p w14:paraId="408ECB9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批复规模（</w:t>
            </w:r>
            <w:r>
              <w:rPr>
                <w:rFonts w:ascii="Times New Roman" w:eastAsiaTheme="minorEastAsia" w:hAnsi="Times New Roman"/>
                <w:kern w:val="0"/>
                <w:sz w:val="21"/>
                <w:szCs w:val="21"/>
              </w:rPr>
              <w:t>Mt/a</w:t>
            </w:r>
            <w:r>
              <w:rPr>
                <w:rFonts w:ascii="Times New Roman" w:eastAsiaTheme="minorEastAsia" w:hAnsi="Times New Roman"/>
                <w:kern w:val="0"/>
                <w:sz w:val="21"/>
                <w:szCs w:val="21"/>
              </w:rPr>
              <w:t>）</w:t>
            </w:r>
          </w:p>
        </w:tc>
        <w:tc>
          <w:tcPr>
            <w:tcW w:w="2268" w:type="dxa"/>
            <w:gridSpan w:val="2"/>
            <w:vMerge w:val="restart"/>
            <w:shd w:val="clear" w:color="auto" w:fill="auto"/>
            <w:vAlign w:val="center"/>
          </w:tcPr>
          <w:p w14:paraId="4124E30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各矿区内规划矿井数量</w:t>
            </w:r>
          </w:p>
        </w:tc>
        <w:tc>
          <w:tcPr>
            <w:tcW w:w="1701" w:type="dxa"/>
            <w:gridSpan w:val="2"/>
            <w:vMerge w:val="restart"/>
            <w:shd w:val="clear" w:color="auto" w:fill="auto"/>
            <w:vAlign w:val="center"/>
          </w:tcPr>
          <w:p w14:paraId="3F2568F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现状规模</w:t>
            </w:r>
          </w:p>
          <w:p w14:paraId="1938B023"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r>
              <w:rPr>
                <w:rFonts w:ascii="Times New Roman" w:eastAsiaTheme="minorEastAsia" w:hAnsi="Times New Roman"/>
                <w:kern w:val="0"/>
                <w:sz w:val="21"/>
                <w:szCs w:val="21"/>
              </w:rPr>
              <w:t>Mt/a</w:t>
            </w:r>
            <w:r>
              <w:rPr>
                <w:rFonts w:ascii="Times New Roman" w:eastAsiaTheme="minorEastAsia" w:hAnsi="Times New Roman"/>
                <w:kern w:val="0"/>
                <w:sz w:val="21"/>
                <w:szCs w:val="21"/>
              </w:rPr>
              <w:t>）</w:t>
            </w:r>
          </w:p>
        </w:tc>
        <w:tc>
          <w:tcPr>
            <w:tcW w:w="2261" w:type="dxa"/>
            <w:gridSpan w:val="2"/>
            <w:shd w:val="clear" w:color="auto" w:fill="auto"/>
            <w:vAlign w:val="center"/>
          </w:tcPr>
          <w:p w14:paraId="2EC9F17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已建矿井</w:t>
            </w:r>
          </w:p>
        </w:tc>
        <w:tc>
          <w:tcPr>
            <w:tcW w:w="1640" w:type="dxa"/>
            <w:gridSpan w:val="2"/>
            <w:shd w:val="clear" w:color="auto" w:fill="auto"/>
            <w:vAlign w:val="center"/>
          </w:tcPr>
          <w:p w14:paraId="1441A91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在建矿井</w:t>
            </w:r>
          </w:p>
        </w:tc>
      </w:tr>
      <w:tr w:rsidR="009C353B" w14:paraId="3D7BE1C8" w14:textId="77777777">
        <w:trPr>
          <w:trHeight w:val="660"/>
          <w:jc w:val="center"/>
        </w:trPr>
        <w:tc>
          <w:tcPr>
            <w:tcW w:w="716" w:type="dxa"/>
            <w:vMerge/>
            <w:vAlign w:val="center"/>
          </w:tcPr>
          <w:p w14:paraId="5407D7EC" w14:textId="77777777" w:rsidR="009C353B" w:rsidRDefault="009C353B">
            <w:pPr>
              <w:widowControl/>
              <w:jc w:val="left"/>
              <w:rPr>
                <w:rFonts w:ascii="Times New Roman" w:eastAsiaTheme="minorEastAsia" w:hAnsi="Times New Roman"/>
                <w:kern w:val="0"/>
                <w:sz w:val="21"/>
                <w:szCs w:val="21"/>
              </w:rPr>
            </w:pPr>
          </w:p>
        </w:tc>
        <w:tc>
          <w:tcPr>
            <w:tcW w:w="1415" w:type="dxa"/>
            <w:vMerge/>
            <w:vAlign w:val="center"/>
          </w:tcPr>
          <w:p w14:paraId="4BF34EFA" w14:textId="77777777" w:rsidR="009C353B" w:rsidRDefault="009C353B">
            <w:pPr>
              <w:widowControl/>
              <w:jc w:val="left"/>
              <w:rPr>
                <w:rFonts w:ascii="Times New Roman" w:eastAsiaTheme="minorEastAsia" w:hAnsi="Times New Roman"/>
                <w:kern w:val="0"/>
                <w:sz w:val="21"/>
                <w:szCs w:val="21"/>
              </w:rPr>
            </w:pPr>
          </w:p>
        </w:tc>
        <w:tc>
          <w:tcPr>
            <w:tcW w:w="1805" w:type="dxa"/>
            <w:vMerge/>
            <w:vAlign w:val="center"/>
          </w:tcPr>
          <w:p w14:paraId="5029A948" w14:textId="77777777" w:rsidR="009C353B" w:rsidRDefault="009C353B">
            <w:pPr>
              <w:widowControl/>
              <w:jc w:val="left"/>
              <w:rPr>
                <w:rFonts w:ascii="Times New Roman" w:eastAsiaTheme="minorEastAsia" w:hAnsi="Times New Roman"/>
                <w:kern w:val="0"/>
                <w:sz w:val="21"/>
                <w:szCs w:val="21"/>
              </w:rPr>
            </w:pPr>
          </w:p>
        </w:tc>
        <w:tc>
          <w:tcPr>
            <w:tcW w:w="1316" w:type="dxa"/>
            <w:vMerge/>
            <w:vAlign w:val="center"/>
          </w:tcPr>
          <w:p w14:paraId="69500E8A" w14:textId="77777777" w:rsidR="009C353B" w:rsidRDefault="009C353B">
            <w:pPr>
              <w:widowControl/>
              <w:jc w:val="left"/>
              <w:rPr>
                <w:rFonts w:ascii="Times New Roman" w:eastAsiaTheme="minorEastAsia" w:hAnsi="Times New Roman"/>
                <w:kern w:val="0"/>
                <w:sz w:val="21"/>
                <w:szCs w:val="21"/>
              </w:rPr>
            </w:pPr>
          </w:p>
        </w:tc>
        <w:tc>
          <w:tcPr>
            <w:tcW w:w="1134" w:type="dxa"/>
            <w:vMerge/>
            <w:shd w:val="clear" w:color="auto" w:fill="auto"/>
            <w:vAlign w:val="center"/>
          </w:tcPr>
          <w:p w14:paraId="3F4AA6BD" w14:textId="77777777" w:rsidR="009C353B" w:rsidRDefault="009C353B">
            <w:pPr>
              <w:widowControl/>
              <w:jc w:val="center"/>
              <w:rPr>
                <w:rFonts w:ascii="Times New Roman" w:eastAsiaTheme="minorEastAsia" w:hAnsi="Times New Roman"/>
                <w:kern w:val="0"/>
                <w:sz w:val="21"/>
                <w:szCs w:val="21"/>
              </w:rPr>
            </w:pPr>
          </w:p>
        </w:tc>
        <w:tc>
          <w:tcPr>
            <w:tcW w:w="2268" w:type="dxa"/>
            <w:gridSpan w:val="2"/>
            <w:vMerge/>
            <w:vAlign w:val="center"/>
          </w:tcPr>
          <w:p w14:paraId="2DEB7C00" w14:textId="77777777" w:rsidR="009C353B" w:rsidRDefault="009C353B">
            <w:pPr>
              <w:widowControl/>
              <w:jc w:val="left"/>
              <w:rPr>
                <w:rFonts w:ascii="Times New Roman" w:eastAsiaTheme="minorEastAsia" w:hAnsi="Times New Roman"/>
                <w:kern w:val="0"/>
                <w:sz w:val="21"/>
                <w:szCs w:val="21"/>
              </w:rPr>
            </w:pPr>
          </w:p>
        </w:tc>
        <w:tc>
          <w:tcPr>
            <w:tcW w:w="1701" w:type="dxa"/>
            <w:gridSpan w:val="2"/>
            <w:vMerge/>
            <w:shd w:val="clear" w:color="auto" w:fill="auto"/>
            <w:vAlign w:val="center"/>
          </w:tcPr>
          <w:p w14:paraId="3E00CF96" w14:textId="77777777" w:rsidR="009C353B" w:rsidRDefault="009C353B">
            <w:pPr>
              <w:widowControl/>
              <w:jc w:val="center"/>
              <w:rPr>
                <w:rFonts w:ascii="Times New Roman" w:eastAsiaTheme="minorEastAsia" w:hAnsi="Times New Roman"/>
                <w:kern w:val="0"/>
                <w:sz w:val="21"/>
                <w:szCs w:val="21"/>
              </w:rPr>
            </w:pPr>
          </w:p>
        </w:tc>
        <w:tc>
          <w:tcPr>
            <w:tcW w:w="851" w:type="dxa"/>
            <w:shd w:val="clear" w:color="auto" w:fill="auto"/>
            <w:vAlign w:val="center"/>
          </w:tcPr>
          <w:p w14:paraId="4028813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数量</w:t>
            </w:r>
          </w:p>
        </w:tc>
        <w:tc>
          <w:tcPr>
            <w:tcW w:w="1410" w:type="dxa"/>
            <w:shd w:val="clear" w:color="auto" w:fill="auto"/>
            <w:vAlign w:val="center"/>
          </w:tcPr>
          <w:p w14:paraId="6CF0E42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规模</w:t>
            </w:r>
          </w:p>
        </w:tc>
        <w:tc>
          <w:tcPr>
            <w:tcW w:w="709" w:type="dxa"/>
            <w:shd w:val="clear" w:color="auto" w:fill="auto"/>
            <w:vAlign w:val="center"/>
          </w:tcPr>
          <w:p w14:paraId="706DA49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数量</w:t>
            </w:r>
          </w:p>
        </w:tc>
        <w:tc>
          <w:tcPr>
            <w:tcW w:w="931" w:type="dxa"/>
            <w:shd w:val="clear" w:color="auto" w:fill="auto"/>
            <w:vAlign w:val="center"/>
          </w:tcPr>
          <w:p w14:paraId="394F97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规模</w:t>
            </w:r>
          </w:p>
        </w:tc>
      </w:tr>
      <w:tr w:rsidR="009C353B" w14:paraId="4D7A52A4" w14:textId="77777777">
        <w:trPr>
          <w:trHeight w:val="393"/>
          <w:jc w:val="center"/>
        </w:trPr>
        <w:tc>
          <w:tcPr>
            <w:tcW w:w="716" w:type="dxa"/>
            <w:vMerge w:val="restart"/>
            <w:shd w:val="clear" w:color="auto" w:fill="auto"/>
            <w:vAlign w:val="center"/>
          </w:tcPr>
          <w:p w14:paraId="54918621" w14:textId="77777777" w:rsidR="009C353B" w:rsidRDefault="009C353B">
            <w:pPr>
              <w:widowControl/>
              <w:jc w:val="center"/>
              <w:rPr>
                <w:rFonts w:ascii="Times New Roman" w:eastAsiaTheme="minorEastAsia" w:hAnsi="Times New Roman"/>
                <w:kern w:val="0"/>
                <w:sz w:val="21"/>
                <w:szCs w:val="21"/>
              </w:rPr>
            </w:pPr>
          </w:p>
          <w:p w14:paraId="6DD37CF9" w14:textId="77777777" w:rsidR="009C353B" w:rsidRDefault="009C353B">
            <w:pPr>
              <w:widowControl/>
              <w:jc w:val="center"/>
              <w:rPr>
                <w:rFonts w:ascii="Times New Roman" w:eastAsiaTheme="minorEastAsia" w:hAnsi="Times New Roman"/>
                <w:kern w:val="0"/>
                <w:sz w:val="21"/>
                <w:szCs w:val="21"/>
              </w:rPr>
            </w:pPr>
          </w:p>
          <w:p w14:paraId="656E4641" w14:textId="77777777" w:rsidR="009C353B" w:rsidRDefault="009C353B">
            <w:pPr>
              <w:widowControl/>
              <w:jc w:val="center"/>
              <w:rPr>
                <w:rFonts w:ascii="Times New Roman" w:eastAsiaTheme="minorEastAsia" w:hAnsi="Times New Roman"/>
                <w:kern w:val="0"/>
                <w:sz w:val="21"/>
                <w:szCs w:val="21"/>
              </w:rPr>
            </w:pPr>
          </w:p>
        </w:tc>
        <w:tc>
          <w:tcPr>
            <w:tcW w:w="1415" w:type="dxa"/>
            <w:vMerge w:val="restart"/>
            <w:shd w:val="clear" w:color="auto" w:fill="auto"/>
            <w:vAlign w:val="center"/>
          </w:tcPr>
          <w:p w14:paraId="528A17B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b/>
                <w:bCs/>
                <w:kern w:val="0"/>
                <w:sz w:val="21"/>
                <w:szCs w:val="21"/>
              </w:rPr>
              <w:t>马家滩矿区</w:t>
            </w:r>
          </w:p>
        </w:tc>
        <w:tc>
          <w:tcPr>
            <w:tcW w:w="1805" w:type="dxa"/>
            <w:vMerge w:val="restart"/>
            <w:shd w:val="clear" w:color="auto" w:fill="auto"/>
            <w:vAlign w:val="center"/>
          </w:tcPr>
          <w:p w14:paraId="16BD654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发改能源【</w:t>
            </w:r>
            <w:r>
              <w:rPr>
                <w:rFonts w:ascii="Times New Roman" w:eastAsiaTheme="minorEastAsia" w:hAnsi="Times New Roman"/>
                <w:kern w:val="0"/>
                <w:sz w:val="21"/>
                <w:szCs w:val="21"/>
              </w:rPr>
              <w:t>2010</w:t>
            </w:r>
            <w:r>
              <w:rPr>
                <w:rFonts w:ascii="Times New Roman" w:eastAsiaTheme="minorEastAsia" w:hAnsi="Times New Roman"/>
                <w:kern w:val="0"/>
                <w:sz w:val="21"/>
                <w:szCs w:val="21"/>
              </w:rPr>
              <w:t>】</w:t>
            </w:r>
            <w:r>
              <w:rPr>
                <w:rFonts w:ascii="Times New Roman" w:eastAsiaTheme="minorEastAsia" w:hAnsi="Times New Roman"/>
                <w:kern w:val="0"/>
                <w:sz w:val="21"/>
                <w:szCs w:val="21"/>
              </w:rPr>
              <w:t>284</w:t>
            </w:r>
            <w:r>
              <w:rPr>
                <w:rFonts w:ascii="Times New Roman" w:eastAsiaTheme="minorEastAsia" w:hAnsi="Times New Roman"/>
                <w:kern w:val="0"/>
                <w:sz w:val="21"/>
                <w:szCs w:val="21"/>
              </w:rPr>
              <w:t>号</w:t>
            </w:r>
          </w:p>
        </w:tc>
        <w:tc>
          <w:tcPr>
            <w:tcW w:w="1316" w:type="dxa"/>
            <w:vMerge w:val="restart"/>
            <w:shd w:val="clear" w:color="auto" w:fill="auto"/>
            <w:vAlign w:val="center"/>
          </w:tcPr>
          <w:p w14:paraId="7AE2664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环审【</w:t>
            </w:r>
            <w:r>
              <w:rPr>
                <w:rFonts w:ascii="Times New Roman" w:eastAsiaTheme="minorEastAsia" w:hAnsi="Times New Roman"/>
                <w:kern w:val="0"/>
                <w:sz w:val="21"/>
                <w:szCs w:val="21"/>
              </w:rPr>
              <w:t>2009</w:t>
            </w:r>
            <w:r>
              <w:rPr>
                <w:rFonts w:ascii="Times New Roman" w:eastAsiaTheme="minorEastAsia" w:hAnsi="Times New Roman"/>
                <w:kern w:val="0"/>
                <w:sz w:val="21"/>
                <w:szCs w:val="21"/>
              </w:rPr>
              <w:t>】</w:t>
            </w:r>
            <w:r>
              <w:rPr>
                <w:rFonts w:ascii="Times New Roman" w:eastAsiaTheme="minorEastAsia" w:hAnsi="Times New Roman"/>
                <w:kern w:val="0"/>
                <w:sz w:val="21"/>
                <w:szCs w:val="21"/>
              </w:rPr>
              <w:t>350</w:t>
            </w:r>
            <w:r>
              <w:rPr>
                <w:rFonts w:ascii="Times New Roman" w:eastAsiaTheme="minorEastAsia" w:hAnsi="Times New Roman"/>
                <w:kern w:val="0"/>
                <w:sz w:val="21"/>
                <w:szCs w:val="21"/>
              </w:rPr>
              <w:t>号</w:t>
            </w:r>
          </w:p>
        </w:tc>
        <w:tc>
          <w:tcPr>
            <w:tcW w:w="1134" w:type="dxa"/>
            <w:vMerge w:val="restart"/>
            <w:shd w:val="clear" w:color="auto" w:fill="auto"/>
            <w:vAlign w:val="center"/>
          </w:tcPr>
          <w:p w14:paraId="5A7A685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17.5</w:t>
            </w:r>
          </w:p>
        </w:tc>
        <w:tc>
          <w:tcPr>
            <w:tcW w:w="709" w:type="dxa"/>
            <w:vMerge w:val="restart"/>
            <w:shd w:val="clear" w:color="auto" w:fill="auto"/>
            <w:vAlign w:val="center"/>
          </w:tcPr>
          <w:p w14:paraId="2501B47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1559" w:type="dxa"/>
            <w:shd w:val="clear" w:color="auto" w:fill="auto"/>
            <w:vAlign w:val="center"/>
          </w:tcPr>
          <w:p w14:paraId="4D73F691"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金凤</w:t>
            </w:r>
          </w:p>
        </w:tc>
        <w:tc>
          <w:tcPr>
            <w:tcW w:w="709" w:type="dxa"/>
            <w:vMerge w:val="restart"/>
            <w:shd w:val="clear" w:color="auto" w:fill="auto"/>
            <w:vAlign w:val="center"/>
          </w:tcPr>
          <w:p w14:paraId="74C6F64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w:t>
            </w:r>
          </w:p>
        </w:tc>
        <w:tc>
          <w:tcPr>
            <w:tcW w:w="992" w:type="dxa"/>
            <w:shd w:val="clear" w:color="auto" w:fill="auto"/>
            <w:vAlign w:val="center"/>
          </w:tcPr>
          <w:p w14:paraId="0FE23D29"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851" w:type="dxa"/>
            <w:vMerge w:val="restart"/>
            <w:shd w:val="clear" w:color="auto" w:fill="auto"/>
            <w:vAlign w:val="center"/>
          </w:tcPr>
          <w:p w14:paraId="7551190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1410" w:type="dxa"/>
            <w:vMerge w:val="restart"/>
            <w:shd w:val="clear" w:color="auto" w:fill="auto"/>
            <w:vAlign w:val="center"/>
          </w:tcPr>
          <w:p w14:paraId="433AC25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 xml:space="preserve">已计入现状规模　</w:t>
            </w:r>
          </w:p>
        </w:tc>
        <w:tc>
          <w:tcPr>
            <w:tcW w:w="709" w:type="dxa"/>
            <w:vMerge w:val="restart"/>
            <w:shd w:val="clear" w:color="auto" w:fill="auto"/>
            <w:vAlign w:val="center"/>
          </w:tcPr>
          <w:p w14:paraId="403D791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p>
        </w:tc>
        <w:tc>
          <w:tcPr>
            <w:tcW w:w="931" w:type="dxa"/>
            <w:vMerge w:val="restart"/>
            <w:shd w:val="clear" w:color="auto" w:fill="auto"/>
            <w:vAlign w:val="center"/>
          </w:tcPr>
          <w:p w14:paraId="115A3A4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r>
              <w:rPr>
                <w:rFonts w:ascii="Times New Roman" w:eastAsiaTheme="minorEastAsia" w:hAnsi="Times New Roman"/>
                <w:kern w:val="0"/>
                <w:sz w:val="21"/>
                <w:szCs w:val="21"/>
              </w:rPr>
              <w:t xml:space="preserve">　</w:t>
            </w:r>
          </w:p>
        </w:tc>
      </w:tr>
      <w:tr w:rsidR="009C353B" w14:paraId="37E8743A" w14:textId="77777777">
        <w:trPr>
          <w:trHeight w:val="393"/>
          <w:jc w:val="center"/>
        </w:trPr>
        <w:tc>
          <w:tcPr>
            <w:tcW w:w="716" w:type="dxa"/>
            <w:vMerge/>
            <w:shd w:val="clear" w:color="auto" w:fill="auto"/>
            <w:vAlign w:val="center"/>
          </w:tcPr>
          <w:p w14:paraId="68C134CB" w14:textId="77777777" w:rsidR="009C353B" w:rsidRDefault="009C353B">
            <w:pPr>
              <w:widowControl/>
              <w:jc w:val="center"/>
              <w:rPr>
                <w:rFonts w:ascii="Times New Roman" w:eastAsiaTheme="minorEastAsia" w:hAnsi="Times New Roman"/>
                <w:kern w:val="0"/>
                <w:sz w:val="21"/>
                <w:szCs w:val="21"/>
              </w:rPr>
            </w:pPr>
          </w:p>
        </w:tc>
        <w:tc>
          <w:tcPr>
            <w:tcW w:w="1415" w:type="dxa"/>
            <w:vMerge/>
            <w:shd w:val="clear" w:color="auto" w:fill="auto"/>
            <w:vAlign w:val="center"/>
          </w:tcPr>
          <w:p w14:paraId="57133A11"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17A794B7"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1300F199"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26412824"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2CADB157"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1E791C4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双马一井</w:t>
            </w:r>
          </w:p>
        </w:tc>
        <w:tc>
          <w:tcPr>
            <w:tcW w:w="709" w:type="dxa"/>
            <w:vMerge/>
            <w:shd w:val="clear" w:color="auto" w:fill="auto"/>
            <w:vAlign w:val="center"/>
          </w:tcPr>
          <w:p w14:paraId="273F19E0"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3AD07BCB"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851" w:type="dxa"/>
            <w:vMerge/>
            <w:shd w:val="clear" w:color="auto" w:fill="auto"/>
            <w:vAlign w:val="center"/>
          </w:tcPr>
          <w:p w14:paraId="6B29F748"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44006B82"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5F2938DC"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4B773992" w14:textId="77777777" w:rsidR="009C353B" w:rsidRDefault="009C353B">
            <w:pPr>
              <w:widowControl/>
              <w:jc w:val="center"/>
              <w:rPr>
                <w:rFonts w:ascii="Times New Roman" w:eastAsiaTheme="minorEastAsia" w:hAnsi="Times New Roman"/>
                <w:kern w:val="0"/>
                <w:sz w:val="21"/>
                <w:szCs w:val="21"/>
              </w:rPr>
            </w:pPr>
          </w:p>
        </w:tc>
      </w:tr>
      <w:tr w:rsidR="009C353B" w14:paraId="1A0E2E34" w14:textId="77777777">
        <w:trPr>
          <w:trHeight w:val="393"/>
          <w:jc w:val="center"/>
        </w:trPr>
        <w:tc>
          <w:tcPr>
            <w:tcW w:w="716" w:type="dxa"/>
            <w:vMerge/>
            <w:shd w:val="clear" w:color="auto" w:fill="auto"/>
            <w:vAlign w:val="center"/>
          </w:tcPr>
          <w:p w14:paraId="6BBF94E8" w14:textId="77777777" w:rsidR="009C353B" w:rsidRDefault="009C353B">
            <w:pPr>
              <w:widowControl/>
              <w:jc w:val="center"/>
              <w:rPr>
                <w:rFonts w:ascii="Times New Roman" w:eastAsiaTheme="minorEastAsia" w:hAnsi="Times New Roman"/>
                <w:kern w:val="0"/>
                <w:sz w:val="21"/>
                <w:szCs w:val="21"/>
              </w:rPr>
            </w:pPr>
          </w:p>
        </w:tc>
        <w:tc>
          <w:tcPr>
            <w:tcW w:w="1415" w:type="dxa"/>
            <w:vMerge/>
            <w:shd w:val="clear" w:color="auto" w:fill="auto"/>
            <w:vAlign w:val="center"/>
          </w:tcPr>
          <w:p w14:paraId="2FC07F32"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06DC5ED5"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4F2ED7A9"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531456C5"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4E519E61"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2C35CEC6"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金家渠</w:t>
            </w:r>
          </w:p>
        </w:tc>
        <w:tc>
          <w:tcPr>
            <w:tcW w:w="709" w:type="dxa"/>
            <w:vMerge/>
            <w:shd w:val="clear" w:color="auto" w:fill="auto"/>
            <w:vAlign w:val="center"/>
          </w:tcPr>
          <w:p w14:paraId="274A4C1C"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6856A144"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851" w:type="dxa"/>
            <w:vMerge/>
            <w:shd w:val="clear" w:color="auto" w:fill="auto"/>
            <w:vAlign w:val="center"/>
          </w:tcPr>
          <w:p w14:paraId="5E759866"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60647411"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08C5A96A"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2200F6F1" w14:textId="77777777" w:rsidR="009C353B" w:rsidRDefault="009C353B">
            <w:pPr>
              <w:widowControl/>
              <w:jc w:val="center"/>
              <w:rPr>
                <w:rFonts w:ascii="Times New Roman" w:eastAsiaTheme="minorEastAsia" w:hAnsi="Times New Roman"/>
                <w:kern w:val="0"/>
                <w:sz w:val="21"/>
                <w:szCs w:val="21"/>
              </w:rPr>
            </w:pPr>
          </w:p>
        </w:tc>
      </w:tr>
      <w:tr w:rsidR="009C353B" w14:paraId="45F5ADB6" w14:textId="77777777">
        <w:trPr>
          <w:trHeight w:val="393"/>
          <w:jc w:val="center"/>
        </w:trPr>
        <w:tc>
          <w:tcPr>
            <w:tcW w:w="716" w:type="dxa"/>
            <w:vMerge/>
            <w:shd w:val="clear" w:color="auto" w:fill="auto"/>
            <w:vAlign w:val="center"/>
          </w:tcPr>
          <w:p w14:paraId="2D0F52A4" w14:textId="77777777" w:rsidR="009C353B" w:rsidRDefault="009C353B">
            <w:pPr>
              <w:widowControl/>
              <w:jc w:val="center"/>
              <w:rPr>
                <w:rFonts w:ascii="Times New Roman" w:eastAsiaTheme="minorEastAsia" w:hAnsi="Times New Roman"/>
                <w:kern w:val="0"/>
                <w:sz w:val="21"/>
                <w:szCs w:val="21"/>
              </w:rPr>
            </w:pPr>
          </w:p>
        </w:tc>
        <w:tc>
          <w:tcPr>
            <w:tcW w:w="1415" w:type="dxa"/>
            <w:vMerge/>
            <w:shd w:val="clear" w:color="auto" w:fill="auto"/>
            <w:vAlign w:val="center"/>
          </w:tcPr>
          <w:p w14:paraId="3FE21793"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5FAF2C81"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5E4B435A"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0863C285"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762A0E3A"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4670C3D3"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贺家瑶</w:t>
            </w:r>
          </w:p>
        </w:tc>
        <w:tc>
          <w:tcPr>
            <w:tcW w:w="709" w:type="dxa"/>
            <w:vMerge/>
            <w:shd w:val="clear" w:color="auto" w:fill="auto"/>
            <w:vAlign w:val="center"/>
          </w:tcPr>
          <w:p w14:paraId="6F15601F"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221589BD"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shd w:val="clear" w:color="auto" w:fill="auto"/>
            <w:vAlign w:val="center"/>
          </w:tcPr>
          <w:p w14:paraId="2F51D088" w14:textId="77777777" w:rsidR="009C353B" w:rsidRDefault="009C353B">
            <w:pPr>
              <w:widowControl/>
              <w:jc w:val="center"/>
              <w:rPr>
                <w:rFonts w:ascii="Times New Roman" w:eastAsiaTheme="minorEastAsia" w:hAnsi="Times New Roman"/>
                <w:kern w:val="0"/>
                <w:sz w:val="21"/>
                <w:szCs w:val="21"/>
              </w:rPr>
            </w:pPr>
          </w:p>
        </w:tc>
        <w:tc>
          <w:tcPr>
            <w:tcW w:w="1410" w:type="dxa"/>
            <w:shd w:val="clear" w:color="auto" w:fill="auto"/>
            <w:vAlign w:val="center"/>
          </w:tcPr>
          <w:p w14:paraId="70B9C613"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vAlign w:val="center"/>
          </w:tcPr>
          <w:p w14:paraId="21F0AA7C" w14:textId="77777777" w:rsidR="009C353B" w:rsidRDefault="009C353B">
            <w:pPr>
              <w:widowControl/>
              <w:jc w:val="center"/>
              <w:rPr>
                <w:rFonts w:ascii="Times New Roman" w:eastAsiaTheme="minorEastAsia" w:hAnsi="Times New Roman"/>
                <w:kern w:val="0"/>
                <w:sz w:val="21"/>
                <w:szCs w:val="21"/>
              </w:rPr>
            </w:pPr>
          </w:p>
        </w:tc>
        <w:tc>
          <w:tcPr>
            <w:tcW w:w="931" w:type="dxa"/>
            <w:shd w:val="clear" w:color="auto" w:fill="auto"/>
            <w:vAlign w:val="center"/>
          </w:tcPr>
          <w:p w14:paraId="28C919F6" w14:textId="77777777" w:rsidR="009C353B" w:rsidRDefault="009C353B">
            <w:pPr>
              <w:widowControl/>
              <w:jc w:val="center"/>
              <w:rPr>
                <w:rFonts w:ascii="Times New Roman" w:eastAsiaTheme="minorEastAsia" w:hAnsi="Times New Roman"/>
                <w:kern w:val="0"/>
                <w:sz w:val="21"/>
                <w:szCs w:val="21"/>
              </w:rPr>
            </w:pPr>
          </w:p>
        </w:tc>
      </w:tr>
      <w:tr w:rsidR="009C353B" w14:paraId="318A7EAF" w14:textId="77777777">
        <w:trPr>
          <w:trHeight w:val="393"/>
          <w:jc w:val="center"/>
        </w:trPr>
        <w:tc>
          <w:tcPr>
            <w:tcW w:w="716" w:type="dxa"/>
            <w:vMerge/>
            <w:shd w:val="clear" w:color="auto" w:fill="auto"/>
            <w:vAlign w:val="center"/>
          </w:tcPr>
          <w:p w14:paraId="7D15F38F" w14:textId="77777777" w:rsidR="009C353B" w:rsidRDefault="009C353B">
            <w:pPr>
              <w:widowControl/>
              <w:jc w:val="center"/>
              <w:rPr>
                <w:rFonts w:ascii="Times New Roman" w:eastAsiaTheme="minorEastAsia" w:hAnsi="Times New Roman"/>
                <w:kern w:val="0"/>
                <w:sz w:val="21"/>
                <w:szCs w:val="21"/>
              </w:rPr>
            </w:pPr>
          </w:p>
        </w:tc>
        <w:tc>
          <w:tcPr>
            <w:tcW w:w="1415" w:type="dxa"/>
            <w:vMerge/>
            <w:shd w:val="clear" w:color="auto" w:fill="auto"/>
            <w:vAlign w:val="center"/>
          </w:tcPr>
          <w:p w14:paraId="4E2DA9FD"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48DF1E42"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3298B187"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26DF62EF"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62E32AF6"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3FF40BC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双马二井</w:t>
            </w:r>
          </w:p>
        </w:tc>
        <w:tc>
          <w:tcPr>
            <w:tcW w:w="709" w:type="dxa"/>
            <w:vMerge/>
            <w:shd w:val="clear" w:color="auto" w:fill="auto"/>
            <w:vAlign w:val="center"/>
          </w:tcPr>
          <w:p w14:paraId="107517DB"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7720ED5E"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shd w:val="clear" w:color="auto" w:fill="auto"/>
            <w:vAlign w:val="center"/>
          </w:tcPr>
          <w:p w14:paraId="453F33EC" w14:textId="77777777" w:rsidR="009C353B" w:rsidRDefault="009C353B">
            <w:pPr>
              <w:widowControl/>
              <w:jc w:val="center"/>
              <w:rPr>
                <w:rFonts w:ascii="Times New Roman" w:eastAsiaTheme="minorEastAsia" w:hAnsi="Times New Roman"/>
                <w:kern w:val="0"/>
                <w:sz w:val="21"/>
                <w:szCs w:val="21"/>
              </w:rPr>
            </w:pPr>
          </w:p>
        </w:tc>
        <w:tc>
          <w:tcPr>
            <w:tcW w:w="1410" w:type="dxa"/>
            <w:shd w:val="clear" w:color="auto" w:fill="auto"/>
            <w:vAlign w:val="center"/>
          </w:tcPr>
          <w:p w14:paraId="24B7B97B"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vAlign w:val="center"/>
          </w:tcPr>
          <w:p w14:paraId="375367DF" w14:textId="77777777" w:rsidR="009C353B" w:rsidRDefault="009C353B">
            <w:pPr>
              <w:widowControl/>
              <w:jc w:val="center"/>
              <w:rPr>
                <w:rFonts w:ascii="Times New Roman" w:eastAsiaTheme="minorEastAsia" w:hAnsi="Times New Roman"/>
                <w:kern w:val="0"/>
                <w:sz w:val="21"/>
                <w:szCs w:val="21"/>
              </w:rPr>
            </w:pPr>
          </w:p>
        </w:tc>
        <w:tc>
          <w:tcPr>
            <w:tcW w:w="931" w:type="dxa"/>
            <w:shd w:val="clear" w:color="auto" w:fill="auto"/>
            <w:vAlign w:val="center"/>
          </w:tcPr>
          <w:p w14:paraId="15C494BB" w14:textId="77777777" w:rsidR="009C353B" w:rsidRDefault="009C353B">
            <w:pPr>
              <w:widowControl/>
              <w:jc w:val="center"/>
              <w:rPr>
                <w:rFonts w:ascii="Times New Roman" w:eastAsiaTheme="minorEastAsia" w:hAnsi="Times New Roman"/>
                <w:kern w:val="0"/>
                <w:sz w:val="21"/>
                <w:szCs w:val="21"/>
              </w:rPr>
            </w:pPr>
          </w:p>
        </w:tc>
      </w:tr>
      <w:tr w:rsidR="009C353B" w14:paraId="43B2ECBC" w14:textId="77777777">
        <w:trPr>
          <w:trHeight w:val="393"/>
          <w:jc w:val="center"/>
        </w:trPr>
        <w:tc>
          <w:tcPr>
            <w:tcW w:w="716" w:type="dxa"/>
            <w:vMerge/>
            <w:vAlign w:val="center"/>
          </w:tcPr>
          <w:p w14:paraId="292AD49F" w14:textId="77777777" w:rsidR="009C353B" w:rsidRDefault="009C353B">
            <w:pPr>
              <w:widowControl/>
              <w:jc w:val="left"/>
              <w:rPr>
                <w:rFonts w:ascii="Times New Roman" w:eastAsiaTheme="minorEastAsia" w:hAnsi="Times New Roman"/>
                <w:kern w:val="0"/>
                <w:sz w:val="21"/>
                <w:szCs w:val="21"/>
              </w:rPr>
            </w:pPr>
          </w:p>
        </w:tc>
        <w:tc>
          <w:tcPr>
            <w:tcW w:w="1415" w:type="dxa"/>
            <w:vMerge w:val="restart"/>
            <w:shd w:val="clear" w:color="auto" w:fill="auto"/>
            <w:vAlign w:val="center"/>
          </w:tcPr>
          <w:p w14:paraId="6B2B917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b/>
                <w:bCs/>
                <w:kern w:val="0"/>
                <w:sz w:val="21"/>
                <w:szCs w:val="21"/>
              </w:rPr>
              <w:t>灵武矿区</w:t>
            </w:r>
          </w:p>
        </w:tc>
        <w:tc>
          <w:tcPr>
            <w:tcW w:w="1805" w:type="dxa"/>
            <w:vMerge w:val="restart"/>
            <w:shd w:val="clear" w:color="auto" w:fill="auto"/>
            <w:vAlign w:val="center"/>
          </w:tcPr>
          <w:p w14:paraId="01780A1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计建设【</w:t>
            </w:r>
            <w:r>
              <w:rPr>
                <w:rFonts w:ascii="Times New Roman" w:eastAsiaTheme="minorEastAsia" w:hAnsi="Times New Roman"/>
                <w:kern w:val="0"/>
                <w:sz w:val="21"/>
                <w:szCs w:val="21"/>
              </w:rPr>
              <w:t>1990</w:t>
            </w:r>
            <w:r>
              <w:rPr>
                <w:rFonts w:ascii="Times New Roman" w:eastAsiaTheme="minorEastAsia" w:hAnsi="Times New Roman"/>
                <w:kern w:val="0"/>
                <w:sz w:val="21"/>
                <w:szCs w:val="21"/>
              </w:rPr>
              <w:t>】</w:t>
            </w:r>
            <w:r>
              <w:rPr>
                <w:rFonts w:ascii="Times New Roman" w:eastAsiaTheme="minorEastAsia" w:hAnsi="Times New Roman"/>
                <w:kern w:val="0"/>
                <w:sz w:val="21"/>
                <w:szCs w:val="21"/>
              </w:rPr>
              <w:t>1239</w:t>
            </w:r>
            <w:r>
              <w:rPr>
                <w:rFonts w:ascii="Times New Roman" w:eastAsiaTheme="minorEastAsia" w:hAnsi="Times New Roman"/>
                <w:kern w:val="0"/>
                <w:sz w:val="21"/>
                <w:szCs w:val="21"/>
              </w:rPr>
              <w:t>号</w:t>
            </w:r>
          </w:p>
        </w:tc>
        <w:tc>
          <w:tcPr>
            <w:tcW w:w="1316" w:type="dxa"/>
            <w:vMerge w:val="restart"/>
            <w:shd w:val="clear" w:color="auto" w:fill="auto"/>
            <w:vAlign w:val="center"/>
          </w:tcPr>
          <w:p w14:paraId="75283DC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无</w:t>
            </w:r>
          </w:p>
        </w:tc>
        <w:tc>
          <w:tcPr>
            <w:tcW w:w="1134" w:type="dxa"/>
            <w:vMerge w:val="restart"/>
            <w:shd w:val="clear" w:color="auto" w:fill="auto"/>
            <w:vAlign w:val="center"/>
          </w:tcPr>
          <w:p w14:paraId="23D67C7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10.4</w:t>
            </w:r>
          </w:p>
        </w:tc>
        <w:tc>
          <w:tcPr>
            <w:tcW w:w="709" w:type="dxa"/>
            <w:vMerge w:val="restart"/>
            <w:shd w:val="clear" w:color="auto" w:fill="auto"/>
            <w:vAlign w:val="center"/>
          </w:tcPr>
          <w:p w14:paraId="7672CF8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1559" w:type="dxa"/>
            <w:shd w:val="clear" w:color="auto" w:fill="auto"/>
            <w:vAlign w:val="center"/>
          </w:tcPr>
          <w:p w14:paraId="2D915600"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羊场湾</w:t>
            </w:r>
          </w:p>
        </w:tc>
        <w:tc>
          <w:tcPr>
            <w:tcW w:w="709" w:type="dxa"/>
            <w:vMerge w:val="restart"/>
            <w:shd w:val="clear" w:color="auto" w:fill="auto"/>
            <w:vAlign w:val="center"/>
          </w:tcPr>
          <w:p w14:paraId="3B9D088E"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23.9</w:t>
            </w:r>
          </w:p>
        </w:tc>
        <w:tc>
          <w:tcPr>
            <w:tcW w:w="992" w:type="dxa"/>
            <w:shd w:val="clear" w:color="auto" w:fill="auto"/>
            <w:vAlign w:val="center"/>
          </w:tcPr>
          <w:p w14:paraId="125DFF2A"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w:t>
            </w:r>
          </w:p>
        </w:tc>
        <w:tc>
          <w:tcPr>
            <w:tcW w:w="851" w:type="dxa"/>
            <w:vMerge w:val="restart"/>
            <w:shd w:val="clear" w:color="auto" w:fill="auto"/>
            <w:vAlign w:val="center"/>
          </w:tcPr>
          <w:p w14:paraId="3B129DF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1410" w:type="dxa"/>
            <w:vMerge w:val="restart"/>
            <w:shd w:val="clear" w:color="auto" w:fill="auto"/>
            <w:vAlign w:val="center"/>
          </w:tcPr>
          <w:p w14:paraId="5443C16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已计入现状规模</w:t>
            </w:r>
          </w:p>
        </w:tc>
        <w:tc>
          <w:tcPr>
            <w:tcW w:w="709" w:type="dxa"/>
            <w:vMerge w:val="restart"/>
            <w:shd w:val="clear" w:color="auto" w:fill="auto"/>
            <w:vAlign w:val="center"/>
          </w:tcPr>
          <w:p w14:paraId="4660A6F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p>
        </w:tc>
        <w:tc>
          <w:tcPr>
            <w:tcW w:w="931" w:type="dxa"/>
            <w:vMerge w:val="restart"/>
            <w:shd w:val="clear" w:color="auto" w:fill="auto"/>
            <w:vAlign w:val="center"/>
          </w:tcPr>
          <w:p w14:paraId="04F19A2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p>
        </w:tc>
      </w:tr>
      <w:tr w:rsidR="009C353B" w14:paraId="7E4E4A50" w14:textId="77777777">
        <w:trPr>
          <w:trHeight w:val="393"/>
          <w:jc w:val="center"/>
        </w:trPr>
        <w:tc>
          <w:tcPr>
            <w:tcW w:w="716" w:type="dxa"/>
            <w:vMerge/>
            <w:vAlign w:val="center"/>
          </w:tcPr>
          <w:p w14:paraId="4230AEBB"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60AC0BE1"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4350AFAC"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097039C5"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3164FDB4"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0A65B2A4"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7A8305A8"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枣泉</w:t>
            </w:r>
          </w:p>
        </w:tc>
        <w:tc>
          <w:tcPr>
            <w:tcW w:w="709" w:type="dxa"/>
            <w:vMerge/>
            <w:shd w:val="clear" w:color="auto" w:fill="auto"/>
            <w:vAlign w:val="center"/>
          </w:tcPr>
          <w:p w14:paraId="0F7CF432" w14:textId="77777777" w:rsidR="009C353B" w:rsidRDefault="009C353B">
            <w:pPr>
              <w:jc w:val="center"/>
              <w:rPr>
                <w:rFonts w:ascii="Times New Roman" w:eastAsiaTheme="minorEastAsia" w:hAnsi="Times New Roman"/>
                <w:kern w:val="0"/>
                <w:sz w:val="21"/>
                <w:szCs w:val="21"/>
              </w:rPr>
            </w:pPr>
          </w:p>
        </w:tc>
        <w:tc>
          <w:tcPr>
            <w:tcW w:w="992" w:type="dxa"/>
            <w:shd w:val="clear" w:color="auto" w:fill="auto"/>
            <w:vAlign w:val="center"/>
          </w:tcPr>
          <w:p w14:paraId="47B0E6E0"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8</w:t>
            </w:r>
          </w:p>
        </w:tc>
        <w:tc>
          <w:tcPr>
            <w:tcW w:w="851" w:type="dxa"/>
            <w:vMerge/>
            <w:shd w:val="clear" w:color="auto" w:fill="auto"/>
            <w:vAlign w:val="center"/>
          </w:tcPr>
          <w:p w14:paraId="6895E881"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5A05817E"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20459671"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28A93476" w14:textId="77777777" w:rsidR="009C353B" w:rsidRDefault="009C353B">
            <w:pPr>
              <w:widowControl/>
              <w:jc w:val="center"/>
              <w:rPr>
                <w:rFonts w:ascii="Times New Roman" w:eastAsiaTheme="minorEastAsia" w:hAnsi="Times New Roman"/>
                <w:kern w:val="0"/>
                <w:sz w:val="21"/>
                <w:szCs w:val="21"/>
              </w:rPr>
            </w:pPr>
          </w:p>
        </w:tc>
      </w:tr>
      <w:tr w:rsidR="009C353B" w14:paraId="40CE2860" w14:textId="77777777">
        <w:trPr>
          <w:trHeight w:val="393"/>
          <w:jc w:val="center"/>
        </w:trPr>
        <w:tc>
          <w:tcPr>
            <w:tcW w:w="716" w:type="dxa"/>
            <w:vMerge/>
            <w:vAlign w:val="center"/>
          </w:tcPr>
          <w:p w14:paraId="1C85C8CA"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5374AC3F"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3E00D5F0"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411C24FD"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6FC3DEB7"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48440665"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74B62A87"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灵新</w:t>
            </w:r>
          </w:p>
        </w:tc>
        <w:tc>
          <w:tcPr>
            <w:tcW w:w="709" w:type="dxa"/>
            <w:vMerge/>
            <w:shd w:val="clear" w:color="auto" w:fill="auto"/>
            <w:vAlign w:val="center"/>
          </w:tcPr>
          <w:p w14:paraId="0B8A7515" w14:textId="77777777" w:rsidR="009C353B" w:rsidRDefault="009C353B">
            <w:pPr>
              <w:jc w:val="center"/>
              <w:rPr>
                <w:rFonts w:ascii="Times New Roman" w:eastAsiaTheme="minorEastAsia" w:hAnsi="Times New Roman"/>
                <w:kern w:val="0"/>
                <w:sz w:val="21"/>
                <w:szCs w:val="21"/>
              </w:rPr>
            </w:pPr>
          </w:p>
        </w:tc>
        <w:tc>
          <w:tcPr>
            <w:tcW w:w="992" w:type="dxa"/>
            <w:shd w:val="clear" w:color="auto" w:fill="auto"/>
            <w:vAlign w:val="center"/>
          </w:tcPr>
          <w:p w14:paraId="59BA59CE"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3.9</w:t>
            </w:r>
          </w:p>
        </w:tc>
        <w:tc>
          <w:tcPr>
            <w:tcW w:w="851" w:type="dxa"/>
            <w:vMerge/>
            <w:shd w:val="clear" w:color="auto" w:fill="auto"/>
            <w:vAlign w:val="center"/>
          </w:tcPr>
          <w:p w14:paraId="5D140FFF"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65B69382"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2845D551"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1A155E44" w14:textId="77777777" w:rsidR="009C353B" w:rsidRDefault="009C353B">
            <w:pPr>
              <w:widowControl/>
              <w:jc w:val="center"/>
              <w:rPr>
                <w:rFonts w:ascii="Times New Roman" w:eastAsiaTheme="minorEastAsia" w:hAnsi="Times New Roman"/>
                <w:kern w:val="0"/>
                <w:sz w:val="21"/>
                <w:szCs w:val="21"/>
              </w:rPr>
            </w:pPr>
          </w:p>
        </w:tc>
      </w:tr>
      <w:tr w:rsidR="009C353B" w14:paraId="61048CD6" w14:textId="77777777">
        <w:trPr>
          <w:trHeight w:val="393"/>
          <w:jc w:val="center"/>
        </w:trPr>
        <w:tc>
          <w:tcPr>
            <w:tcW w:w="716" w:type="dxa"/>
            <w:vMerge/>
            <w:vAlign w:val="center"/>
          </w:tcPr>
          <w:p w14:paraId="3FEFC444"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6C4932ED"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4F33A036"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0A962A09"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3DD75CC2"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0A0E4EE1"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61F4BD64"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英子梁</w:t>
            </w:r>
          </w:p>
        </w:tc>
        <w:tc>
          <w:tcPr>
            <w:tcW w:w="709" w:type="dxa"/>
            <w:vMerge/>
            <w:shd w:val="clear" w:color="auto" w:fill="auto"/>
            <w:vAlign w:val="center"/>
          </w:tcPr>
          <w:p w14:paraId="05129340"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34A7C3A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shd w:val="clear" w:color="auto" w:fill="auto"/>
            <w:vAlign w:val="center"/>
          </w:tcPr>
          <w:p w14:paraId="2308FF56" w14:textId="77777777" w:rsidR="009C353B" w:rsidRDefault="009C353B">
            <w:pPr>
              <w:widowControl/>
              <w:jc w:val="center"/>
              <w:rPr>
                <w:rFonts w:ascii="Times New Roman" w:eastAsiaTheme="minorEastAsia" w:hAnsi="Times New Roman"/>
                <w:kern w:val="0"/>
                <w:sz w:val="21"/>
                <w:szCs w:val="21"/>
              </w:rPr>
            </w:pPr>
          </w:p>
        </w:tc>
        <w:tc>
          <w:tcPr>
            <w:tcW w:w="1410" w:type="dxa"/>
            <w:shd w:val="clear" w:color="auto" w:fill="auto"/>
            <w:vAlign w:val="center"/>
          </w:tcPr>
          <w:p w14:paraId="2B3845C8"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vAlign w:val="center"/>
          </w:tcPr>
          <w:p w14:paraId="28D9E4B2" w14:textId="77777777" w:rsidR="009C353B" w:rsidRDefault="009C353B">
            <w:pPr>
              <w:widowControl/>
              <w:jc w:val="center"/>
              <w:rPr>
                <w:rFonts w:ascii="Times New Roman" w:eastAsiaTheme="minorEastAsia" w:hAnsi="Times New Roman"/>
                <w:kern w:val="0"/>
                <w:sz w:val="21"/>
                <w:szCs w:val="21"/>
              </w:rPr>
            </w:pPr>
          </w:p>
        </w:tc>
        <w:tc>
          <w:tcPr>
            <w:tcW w:w="931" w:type="dxa"/>
            <w:shd w:val="clear" w:color="auto" w:fill="auto"/>
            <w:vAlign w:val="center"/>
          </w:tcPr>
          <w:p w14:paraId="4A274EBD" w14:textId="77777777" w:rsidR="009C353B" w:rsidRDefault="009C353B">
            <w:pPr>
              <w:widowControl/>
              <w:jc w:val="center"/>
              <w:rPr>
                <w:rFonts w:ascii="Times New Roman" w:eastAsiaTheme="minorEastAsia" w:hAnsi="Times New Roman"/>
                <w:kern w:val="0"/>
                <w:sz w:val="21"/>
                <w:szCs w:val="21"/>
              </w:rPr>
            </w:pPr>
          </w:p>
        </w:tc>
      </w:tr>
      <w:tr w:rsidR="009C353B" w14:paraId="1D32CD68" w14:textId="77777777">
        <w:trPr>
          <w:trHeight w:val="393"/>
          <w:jc w:val="center"/>
        </w:trPr>
        <w:tc>
          <w:tcPr>
            <w:tcW w:w="716" w:type="dxa"/>
            <w:vMerge/>
            <w:vAlign w:val="center"/>
          </w:tcPr>
          <w:p w14:paraId="069BE854" w14:textId="77777777" w:rsidR="009C353B" w:rsidRDefault="009C353B">
            <w:pPr>
              <w:widowControl/>
              <w:jc w:val="left"/>
              <w:rPr>
                <w:rFonts w:ascii="Times New Roman" w:eastAsiaTheme="minorEastAsia" w:hAnsi="Times New Roman"/>
                <w:kern w:val="0"/>
                <w:sz w:val="21"/>
                <w:szCs w:val="21"/>
              </w:rPr>
            </w:pPr>
          </w:p>
        </w:tc>
        <w:tc>
          <w:tcPr>
            <w:tcW w:w="1415" w:type="dxa"/>
            <w:vMerge w:val="restart"/>
            <w:shd w:val="clear" w:color="auto" w:fill="auto"/>
            <w:vAlign w:val="center"/>
          </w:tcPr>
          <w:p w14:paraId="262C984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b/>
                <w:bCs/>
                <w:kern w:val="0"/>
                <w:sz w:val="21"/>
                <w:szCs w:val="21"/>
              </w:rPr>
              <w:t>鸳鸯湖矿区</w:t>
            </w:r>
          </w:p>
        </w:tc>
        <w:tc>
          <w:tcPr>
            <w:tcW w:w="1805" w:type="dxa"/>
            <w:vMerge w:val="restart"/>
            <w:shd w:val="clear" w:color="auto" w:fill="auto"/>
            <w:vAlign w:val="center"/>
          </w:tcPr>
          <w:p w14:paraId="17DB041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发改能源【</w:t>
            </w:r>
            <w:r>
              <w:rPr>
                <w:rFonts w:ascii="Times New Roman" w:eastAsiaTheme="minorEastAsia" w:hAnsi="Times New Roman"/>
                <w:kern w:val="0"/>
                <w:sz w:val="21"/>
                <w:szCs w:val="21"/>
              </w:rPr>
              <w:t>2004</w:t>
            </w:r>
            <w:r>
              <w:rPr>
                <w:rFonts w:ascii="Times New Roman" w:eastAsiaTheme="minorEastAsia" w:hAnsi="Times New Roman"/>
                <w:kern w:val="0"/>
                <w:sz w:val="21"/>
                <w:szCs w:val="21"/>
              </w:rPr>
              <w:t>】</w:t>
            </w:r>
            <w:r>
              <w:rPr>
                <w:rFonts w:ascii="Times New Roman" w:eastAsiaTheme="minorEastAsia" w:hAnsi="Times New Roman"/>
                <w:kern w:val="0"/>
                <w:sz w:val="21"/>
                <w:szCs w:val="21"/>
              </w:rPr>
              <w:t>867</w:t>
            </w:r>
            <w:r>
              <w:rPr>
                <w:rFonts w:ascii="Times New Roman" w:eastAsiaTheme="minorEastAsia" w:hAnsi="Times New Roman"/>
                <w:kern w:val="0"/>
                <w:sz w:val="21"/>
                <w:szCs w:val="21"/>
              </w:rPr>
              <w:t>号</w:t>
            </w:r>
          </w:p>
        </w:tc>
        <w:tc>
          <w:tcPr>
            <w:tcW w:w="1316" w:type="dxa"/>
            <w:vMerge w:val="restart"/>
            <w:shd w:val="clear" w:color="auto" w:fill="auto"/>
            <w:vAlign w:val="center"/>
          </w:tcPr>
          <w:p w14:paraId="4838721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环审【</w:t>
            </w:r>
            <w:r>
              <w:rPr>
                <w:rFonts w:ascii="Times New Roman" w:eastAsiaTheme="minorEastAsia" w:hAnsi="Times New Roman"/>
                <w:kern w:val="0"/>
                <w:sz w:val="21"/>
                <w:szCs w:val="21"/>
              </w:rPr>
              <w:t>2007</w:t>
            </w:r>
            <w:r>
              <w:rPr>
                <w:rFonts w:ascii="Times New Roman" w:eastAsiaTheme="minorEastAsia" w:hAnsi="Times New Roman"/>
                <w:kern w:val="0"/>
                <w:sz w:val="21"/>
                <w:szCs w:val="21"/>
              </w:rPr>
              <w:t>】</w:t>
            </w:r>
            <w:r>
              <w:rPr>
                <w:rFonts w:ascii="Times New Roman" w:eastAsiaTheme="minorEastAsia" w:hAnsi="Times New Roman"/>
                <w:kern w:val="0"/>
                <w:sz w:val="21"/>
                <w:szCs w:val="21"/>
              </w:rPr>
              <w:t>548</w:t>
            </w:r>
            <w:r>
              <w:rPr>
                <w:rFonts w:ascii="Times New Roman" w:eastAsiaTheme="minorEastAsia" w:hAnsi="Times New Roman"/>
                <w:kern w:val="0"/>
                <w:sz w:val="21"/>
                <w:szCs w:val="21"/>
              </w:rPr>
              <w:t>号</w:t>
            </w:r>
          </w:p>
        </w:tc>
        <w:tc>
          <w:tcPr>
            <w:tcW w:w="1134" w:type="dxa"/>
            <w:vMerge w:val="restart"/>
            <w:shd w:val="clear" w:color="auto" w:fill="auto"/>
            <w:vAlign w:val="center"/>
          </w:tcPr>
          <w:p w14:paraId="387ED69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44</w:t>
            </w:r>
          </w:p>
        </w:tc>
        <w:tc>
          <w:tcPr>
            <w:tcW w:w="709" w:type="dxa"/>
            <w:vMerge w:val="restart"/>
            <w:shd w:val="clear" w:color="auto" w:fill="auto"/>
            <w:vAlign w:val="center"/>
          </w:tcPr>
          <w:p w14:paraId="74FB5C0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1559" w:type="dxa"/>
            <w:shd w:val="clear" w:color="auto" w:fill="auto"/>
            <w:vAlign w:val="center"/>
          </w:tcPr>
          <w:p w14:paraId="6A07994B"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清水营</w:t>
            </w:r>
          </w:p>
        </w:tc>
        <w:tc>
          <w:tcPr>
            <w:tcW w:w="709" w:type="dxa"/>
            <w:vMerge w:val="restart"/>
            <w:shd w:val="clear" w:color="auto" w:fill="auto"/>
            <w:vAlign w:val="center"/>
          </w:tcPr>
          <w:p w14:paraId="4090B72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39</w:t>
            </w:r>
          </w:p>
        </w:tc>
        <w:tc>
          <w:tcPr>
            <w:tcW w:w="992" w:type="dxa"/>
            <w:shd w:val="clear" w:color="auto" w:fill="auto"/>
            <w:vAlign w:val="center"/>
          </w:tcPr>
          <w:p w14:paraId="0AD00687"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851" w:type="dxa"/>
            <w:vMerge w:val="restart"/>
            <w:shd w:val="clear" w:color="auto" w:fill="auto"/>
            <w:vAlign w:val="center"/>
          </w:tcPr>
          <w:p w14:paraId="69971FF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1410" w:type="dxa"/>
            <w:vMerge w:val="restart"/>
            <w:shd w:val="clear" w:color="auto" w:fill="auto"/>
            <w:vAlign w:val="center"/>
          </w:tcPr>
          <w:p w14:paraId="65B2260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已计入现状规模</w:t>
            </w:r>
          </w:p>
        </w:tc>
        <w:tc>
          <w:tcPr>
            <w:tcW w:w="709" w:type="dxa"/>
            <w:vMerge w:val="restart"/>
            <w:shd w:val="clear" w:color="auto" w:fill="auto"/>
            <w:vAlign w:val="center"/>
          </w:tcPr>
          <w:p w14:paraId="7E6A294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p>
        </w:tc>
        <w:tc>
          <w:tcPr>
            <w:tcW w:w="931" w:type="dxa"/>
            <w:vMerge w:val="restart"/>
            <w:shd w:val="clear" w:color="auto" w:fill="auto"/>
            <w:vAlign w:val="center"/>
          </w:tcPr>
          <w:p w14:paraId="49BE1B8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r>
              <w:rPr>
                <w:rFonts w:ascii="Times New Roman" w:eastAsiaTheme="minorEastAsia" w:hAnsi="Times New Roman"/>
                <w:kern w:val="0"/>
                <w:sz w:val="21"/>
                <w:szCs w:val="21"/>
              </w:rPr>
              <w:t xml:space="preserve">　</w:t>
            </w:r>
          </w:p>
        </w:tc>
      </w:tr>
      <w:tr w:rsidR="009C353B" w14:paraId="273B4F3A" w14:textId="77777777">
        <w:trPr>
          <w:trHeight w:val="393"/>
          <w:jc w:val="center"/>
        </w:trPr>
        <w:tc>
          <w:tcPr>
            <w:tcW w:w="716" w:type="dxa"/>
            <w:vMerge/>
            <w:vAlign w:val="center"/>
          </w:tcPr>
          <w:p w14:paraId="40FECD92"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0A213C20"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380C422F"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4953E582"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32987D4D"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1F0BBAFB"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2010F804"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梅花井</w:t>
            </w:r>
          </w:p>
        </w:tc>
        <w:tc>
          <w:tcPr>
            <w:tcW w:w="709" w:type="dxa"/>
            <w:vMerge/>
            <w:shd w:val="clear" w:color="auto" w:fill="auto"/>
            <w:vAlign w:val="center"/>
          </w:tcPr>
          <w:p w14:paraId="46077A35"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27E82B68"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w:t>
            </w:r>
          </w:p>
        </w:tc>
        <w:tc>
          <w:tcPr>
            <w:tcW w:w="851" w:type="dxa"/>
            <w:vMerge/>
            <w:shd w:val="clear" w:color="auto" w:fill="auto"/>
            <w:vAlign w:val="center"/>
          </w:tcPr>
          <w:p w14:paraId="10D5FAB1"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7BFF1DD5"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052863CD"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798966D7" w14:textId="77777777" w:rsidR="009C353B" w:rsidRDefault="009C353B">
            <w:pPr>
              <w:widowControl/>
              <w:jc w:val="center"/>
              <w:rPr>
                <w:rFonts w:ascii="Times New Roman" w:eastAsiaTheme="minorEastAsia" w:hAnsi="Times New Roman"/>
                <w:kern w:val="0"/>
                <w:sz w:val="21"/>
                <w:szCs w:val="21"/>
              </w:rPr>
            </w:pPr>
          </w:p>
        </w:tc>
      </w:tr>
      <w:tr w:rsidR="009C353B" w14:paraId="7A15C806" w14:textId="77777777">
        <w:trPr>
          <w:trHeight w:val="393"/>
          <w:jc w:val="center"/>
        </w:trPr>
        <w:tc>
          <w:tcPr>
            <w:tcW w:w="716" w:type="dxa"/>
            <w:vMerge/>
            <w:vAlign w:val="center"/>
          </w:tcPr>
          <w:p w14:paraId="295B2722"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28F90CA2"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75666F0D"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75BF3B82"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445AD8BF"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6C39EE3A"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057514EB"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石槽村</w:t>
            </w:r>
          </w:p>
        </w:tc>
        <w:tc>
          <w:tcPr>
            <w:tcW w:w="709" w:type="dxa"/>
            <w:vMerge/>
            <w:shd w:val="clear" w:color="auto" w:fill="auto"/>
            <w:vAlign w:val="center"/>
          </w:tcPr>
          <w:p w14:paraId="77B039EF"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3EAB795D"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6</w:t>
            </w:r>
          </w:p>
        </w:tc>
        <w:tc>
          <w:tcPr>
            <w:tcW w:w="851" w:type="dxa"/>
            <w:vMerge/>
            <w:shd w:val="clear" w:color="auto" w:fill="auto"/>
            <w:vAlign w:val="center"/>
          </w:tcPr>
          <w:p w14:paraId="535BC238"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0236CB98"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0B2D3341"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6013FE75" w14:textId="77777777" w:rsidR="009C353B" w:rsidRDefault="009C353B">
            <w:pPr>
              <w:widowControl/>
              <w:jc w:val="center"/>
              <w:rPr>
                <w:rFonts w:ascii="Times New Roman" w:eastAsiaTheme="minorEastAsia" w:hAnsi="Times New Roman"/>
                <w:kern w:val="0"/>
                <w:sz w:val="21"/>
                <w:szCs w:val="21"/>
              </w:rPr>
            </w:pPr>
          </w:p>
        </w:tc>
      </w:tr>
      <w:tr w:rsidR="009C353B" w14:paraId="17C12A3E" w14:textId="77777777">
        <w:trPr>
          <w:trHeight w:val="393"/>
          <w:jc w:val="center"/>
        </w:trPr>
        <w:tc>
          <w:tcPr>
            <w:tcW w:w="716" w:type="dxa"/>
            <w:vMerge/>
            <w:vAlign w:val="center"/>
          </w:tcPr>
          <w:p w14:paraId="30A796ED"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2855C89B"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7DFDB939"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09B7B486"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6795330C"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61D4404E"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26B3CE39"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麦垛山</w:t>
            </w:r>
          </w:p>
        </w:tc>
        <w:tc>
          <w:tcPr>
            <w:tcW w:w="709" w:type="dxa"/>
            <w:vMerge/>
            <w:shd w:val="clear" w:color="auto" w:fill="auto"/>
            <w:vAlign w:val="center"/>
          </w:tcPr>
          <w:p w14:paraId="5AFB2B09"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70AED94D"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8</w:t>
            </w:r>
          </w:p>
        </w:tc>
        <w:tc>
          <w:tcPr>
            <w:tcW w:w="851" w:type="dxa"/>
            <w:vMerge/>
            <w:shd w:val="clear" w:color="auto" w:fill="auto"/>
            <w:vAlign w:val="center"/>
          </w:tcPr>
          <w:p w14:paraId="7ED3416D"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0981E684"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5775096E"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3FF792A2" w14:textId="77777777" w:rsidR="009C353B" w:rsidRDefault="009C353B">
            <w:pPr>
              <w:widowControl/>
              <w:jc w:val="center"/>
              <w:rPr>
                <w:rFonts w:ascii="Times New Roman" w:eastAsiaTheme="minorEastAsia" w:hAnsi="Times New Roman"/>
                <w:kern w:val="0"/>
                <w:sz w:val="21"/>
                <w:szCs w:val="21"/>
              </w:rPr>
            </w:pPr>
          </w:p>
        </w:tc>
      </w:tr>
      <w:tr w:rsidR="009C353B" w14:paraId="643D557C" w14:textId="77777777">
        <w:trPr>
          <w:trHeight w:val="393"/>
          <w:jc w:val="center"/>
        </w:trPr>
        <w:tc>
          <w:tcPr>
            <w:tcW w:w="716" w:type="dxa"/>
            <w:vMerge/>
            <w:vAlign w:val="center"/>
          </w:tcPr>
          <w:p w14:paraId="687E5ABF"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526C4380"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1E6677D8"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5C1053FD"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7972E56D"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47D8829B"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58173F76"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红柳</w:t>
            </w:r>
          </w:p>
        </w:tc>
        <w:tc>
          <w:tcPr>
            <w:tcW w:w="709" w:type="dxa"/>
            <w:vMerge/>
            <w:shd w:val="clear" w:color="auto" w:fill="auto"/>
            <w:vAlign w:val="center"/>
          </w:tcPr>
          <w:p w14:paraId="0EEA72D4"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5343E424"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8</w:t>
            </w:r>
          </w:p>
        </w:tc>
        <w:tc>
          <w:tcPr>
            <w:tcW w:w="851" w:type="dxa"/>
            <w:vMerge/>
            <w:shd w:val="clear" w:color="auto" w:fill="auto"/>
            <w:vAlign w:val="center"/>
          </w:tcPr>
          <w:p w14:paraId="6E940A99"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40678166"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5DDBFC98"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5B764B8D" w14:textId="77777777" w:rsidR="009C353B" w:rsidRDefault="009C353B">
            <w:pPr>
              <w:widowControl/>
              <w:jc w:val="center"/>
              <w:rPr>
                <w:rFonts w:ascii="Times New Roman" w:eastAsiaTheme="minorEastAsia" w:hAnsi="Times New Roman"/>
                <w:kern w:val="0"/>
                <w:sz w:val="21"/>
                <w:szCs w:val="21"/>
              </w:rPr>
            </w:pPr>
          </w:p>
        </w:tc>
      </w:tr>
      <w:tr w:rsidR="009C353B" w14:paraId="2F99D43B" w14:textId="77777777">
        <w:trPr>
          <w:trHeight w:val="393"/>
          <w:jc w:val="center"/>
        </w:trPr>
        <w:tc>
          <w:tcPr>
            <w:tcW w:w="716" w:type="dxa"/>
            <w:vMerge/>
            <w:vAlign w:val="center"/>
          </w:tcPr>
          <w:p w14:paraId="20055A27" w14:textId="77777777" w:rsidR="009C353B" w:rsidRDefault="009C353B">
            <w:pPr>
              <w:widowControl/>
              <w:jc w:val="left"/>
              <w:rPr>
                <w:rFonts w:ascii="Times New Roman" w:eastAsiaTheme="minorEastAsia" w:hAnsi="Times New Roman"/>
                <w:kern w:val="0"/>
                <w:sz w:val="21"/>
                <w:szCs w:val="21"/>
              </w:rPr>
            </w:pPr>
          </w:p>
        </w:tc>
        <w:tc>
          <w:tcPr>
            <w:tcW w:w="1415" w:type="dxa"/>
            <w:vMerge w:val="restart"/>
            <w:shd w:val="clear" w:color="auto" w:fill="auto"/>
            <w:vAlign w:val="center"/>
          </w:tcPr>
          <w:p w14:paraId="0860576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b/>
                <w:bCs/>
                <w:kern w:val="0"/>
                <w:sz w:val="21"/>
                <w:szCs w:val="21"/>
              </w:rPr>
              <w:t>积家井矿区</w:t>
            </w:r>
          </w:p>
        </w:tc>
        <w:tc>
          <w:tcPr>
            <w:tcW w:w="1805" w:type="dxa"/>
            <w:vMerge w:val="restart"/>
            <w:shd w:val="clear" w:color="auto" w:fill="auto"/>
            <w:vAlign w:val="center"/>
          </w:tcPr>
          <w:p w14:paraId="7306881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发改能源【</w:t>
            </w:r>
            <w:r>
              <w:rPr>
                <w:rFonts w:ascii="Times New Roman" w:eastAsiaTheme="minorEastAsia" w:hAnsi="Times New Roman"/>
                <w:kern w:val="0"/>
                <w:sz w:val="21"/>
                <w:szCs w:val="21"/>
              </w:rPr>
              <w:t>2009</w:t>
            </w:r>
            <w:r>
              <w:rPr>
                <w:rFonts w:ascii="Times New Roman" w:eastAsiaTheme="minorEastAsia" w:hAnsi="Times New Roman"/>
                <w:kern w:val="0"/>
                <w:sz w:val="21"/>
                <w:szCs w:val="21"/>
              </w:rPr>
              <w:t>】</w:t>
            </w:r>
            <w:r>
              <w:rPr>
                <w:rFonts w:ascii="Times New Roman" w:eastAsiaTheme="minorEastAsia" w:hAnsi="Times New Roman"/>
                <w:kern w:val="0"/>
                <w:sz w:val="21"/>
                <w:szCs w:val="21"/>
              </w:rPr>
              <w:t>2857</w:t>
            </w:r>
            <w:r>
              <w:rPr>
                <w:rFonts w:ascii="Times New Roman" w:eastAsiaTheme="minorEastAsia" w:hAnsi="Times New Roman"/>
                <w:kern w:val="0"/>
                <w:sz w:val="21"/>
                <w:szCs w:val="21"/>
              </w:rPr>
              <w:t>号</w:t>
            </w:r>
          </w:p>
        </w:tc>
        <w:tc>
          <w:tcPr>
            <w:tcW w:w="1316" w:type="dxa"/>
            <w:vMerge w:val="restart"/>
            <w:shd w:val="clear" w:color="auto" w:fill="auto"/>
            <w:vAlign w:val="center"/>
          </w:tcPr>
          <w:p w14:paraId="5CA10ED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环审【</w:t>
            </w:r>
            <w:r>
              <w:rPr>
                <w:rFonts w:ascii="Times New Roman" w:eastAsiaTheme="minorEastAsia" w:hAnsi="Times New Roman"/>
                <w:kern w:val="0"/>
                <w:sz w:val="21"/>
                <w:szCs w:val="21"/>
              </w:rPr>
              <w:t>2009</w:t>
            </w:r>
            <w:r>
              <w:rPr>
                <w:rFonts w:ascii="Times New Roman" w:eastAsiaTheme="minorEastAsia" w:hAnsi="Times New Roman"/>
                <w:kern w:val="0"/>
                <w:sz w:val="21"/>
                <w:szCs w:val="21"/>
              </w:rPr>
              <w:t>】</w:t>
            </w:r>
            <w:r>
              <w:rPr>
                <w:rFonts w:ascii="Times New Roman" w:eastAsiaTheme="minorEastAsia" w:hAnsi="Times New Roman"/>
                <w:kern w:val="0"/>
                <w:sz w:val="21"/>
                <w:szCs w:val="21"/>
              </w:rPr>
              <w:t>347</w:t>
            </w:r>
            <w:r>
              <w:rPr>
                <w:rFonts w:ascii="Times New Roman" w:eastAsiaTheme="minorEastAsia" w:hAnsi="Times New Roman"/>
                <w:kern w:val="0"/>
                <w:sz w:val="21"/>
                <w:szCs w:val="21"/>
              </w:rPr>
              <w:t>号</w:t>
            </w:r>
          </w:p>
        </w:tc>
        <w:tc>
          <w:tcPr>
            <w:tcW w:w="1134" w:type="dxa"/>
            <w:vMerge w:val="restart"/>
            <w:shd w:val="clear" w:color="auto" w:fill="auto"/>
            <w:vAlign w:val="center"/>
          </w:tcPr>
          <w:p w14:paraId="29C21DA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12.1</w:t>
            </w:r>
          </w:p>
        </w:tc>
        <w:tc>
          <w:tcPr>
            <w:tcW w:w="709" w:type="dxa"/>
            <w:vMerge w:val="restart"/>
            <w:shd w:val="clear" w:color="auto" w:fill="auto"/>
            <w:vAlign w:val="center"/>
          </w:tcPr>
          <w:p w14:paraId="16F84C3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w:t>
            </w:r>
          </w:p>
        </w:tc>
        <w:tc>
          <w:tcPr>
            <w:tcW w:w="1559" w:type="dxa"/>
            <w:shd w:val="clear" w:color="auto" w:fill="auto"/>
            <w:vAlign w:val="center"/>
          </w:tcPr>
          <w:p w14:paraId="4E90847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银星一井</w:t>
            </w:r>
          </w:p>
        </w:tc>
        <w:tc>
          <w:tcPr>
            <w:tcW w:w="709" w:type="dxa"/>
            <w:vMerge w:val="restart"/>
            <w:shd w:val="clear" w:color="auto" w:fill="auto"/>
            <w:vAlign w:val="center"/>
          </w:tcPr>
          <w:p w14:paraId="1936A2B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w:t>
            </w:r>
          </w:p>
        </w:tc>
        <w:tc>
          <w:tcPr>
            <w:tcW w:w="992" w:type="dxa"/>
            <w:shd w:val="clear" w:color="auto" w:fill="auto"/>
            <w:vAlign w:val="center"/>
          </w:tcPr>
          <w:p w14:paraId="600C5BDB"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851" w:type="dxa"/>
            <w:vMerge w:val="restart"/>
            <w:shd w:val="clear" w:color="auto" w:fill="auto"/>
            <w:vAlign w:val="center"/>
          </w:tcPr>
          <w:p w14:paraId="552CCE8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c>
          <w:tcPr>
            <w:tcW w:w="1410" w:type="dxa"/>
            <w:vMerge w:val="restart"/>
            <w:shd w:val="clear" w:color="auto" w:fill="auto"/>
            <w:vAlign w:val="center"/>
          </w:tcPr>
          <w:p w14:paraId="32FCE9F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 xml:space="preserve">已计入现状规模　</w:t>
            </w:r>
          </w:p>
        </w:tc>
        <w:tc>
          <w:tcPr>
            <w:tcW w:w="709" w:type="dxa"/>
            <w:vMerge w:val="restart"/>
            <w:shd w:val="clear" w:color="auto" w:fill="auto"/>
            <w:vAlign w:val="center"/>
          </w:tcPr>
          <w:p w14:paraId="2BA7798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931" w:type="dxa"/>
            <w:vMerge w:val="restart"/>
            <w:shd w:val="clear" w:color="auto" w:fill="auto"/>
            <w:vAlign w:val="center"/>
          </w:tcPr>
          <w:p w14:paraId="52EED62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2B4EF060" w14:textId="77777777">
        <w:trPr>
          <w:trHeight w:val="393"/>
          <w:jc w:val="center"/>
        </w:trPr>
        <w:tc>
          <w:tcPr>
            <w:tcW w:w="716" w:type="dxa"/>
            <w:vMerge/>
            <w:vAlign w:val="center"/>
          </w:tcPr>
          <w:p w14:paraId="3B6FBB44"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487005C1"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0C99A617"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7D85862F"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0679C45F"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086F1767"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28E1884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宋新庄</w:t>
            </w:r>
          </w:p>
        </w:tc>
        <w:tc>
          <w:tcPr>
            <w:tcW w:w="709" w:type="dxa"/>
            <w:vMerge/>
            <w:shd w:val="clear" w:color="auto" w:fill="auto"/>
            <w:vAlign w:val="center"/>
          </w:tcPr>
          <w:p w14:paraId="6F3719E2"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2FE8F57A"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w:t>
            </w:r>
          </w:p>
        </w:tc>
        <w:tc>
          <w:tcPr>
            <w:tcW w:w="851" w:type="dxa"/>
            <w:vMerge/>
            <w:shd w:val="clear" w:color="auto" w:fill="auto"/>
            <w:vAlign w:val="center"/>
          </w:tcPr>
          <w:p w14:paraId="171E2543"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7A8829F1"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54BE0201"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185FB928" w14:textId="77777777" w:rsidR="009C353B" w:rsidRDefault="009C353B">
            <w:pPr>
              <w:widowControl/>
              <w:jc w:val="center"/>
              <w:rPr>
                <w:rFonts w:ascii="Times New Roman" w:eastAsiaTheme="minorEastAsia" w:hAnsi="Times New Roman"/>
                <w:kern w:val="0"/>
                <w:sz w:val="21"/>
                <w:szCs w:val="21"/>
              </w:rPr>
            </w:pPr>
          </w:p>
        </w:tc>
      </w:tr>
      <w:tr w:rsidR="009C353B" w14:paraId="260A2E04" w14:textId="77777777">
        <w:trPr>
          <w:trHeight w:val="393"/>
          <w:jc w:val="center"/>
        </w:trPr>
        <w:tc>
          <w:tcPr>
            <w:tcW w:w="716" w:type="dxa"/>
            <w:vMerge/>
            <w:vAlign w:val="center"/>
          </w:tcPr>
          <w:p w14:paraId="0E68593C"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54341BC7"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6E1A77FC"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0879DE75"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4657F529"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37650AC0"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3A5A2DF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银星二井</w:t>
            </w:r>
          </w:p>
        </w:tc>
        <w:tc>
          <w:tcPr>
            <w:tcW w:w="709" w:type="dxa"/>
            <w:vMerge/>
            <w:shd w:val="clear" w:color="auto" w:fill="auto"/>
            <w:vAlign w:val="center"/>
          </w:tcPr>
          <w:p w14:paraId="30A1F169"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4FB7281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1.8</w:t>
            </w:r>
          </w:p>
        </w:tc>
        <w:tc>
          <w:tcPr>
            <w:tcW w:w="851" w:type="dxa"/>
            <w:shd w:val="clear" w:color="auto" w:fill="auto"/>
            <w:vAlign w:val="center"/>
          </w:tcPr>
          <w:p w14:paraId="4089666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10" w:type="dxa"/>
            <w:shd w:val="clear" w:color="auto" w:fill="auto"/>
            <w:vAlign w:val="center"/>
          </w:tcPr>
          <w:p w14:paraId="722B314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vAlign w:val="center"/>
          </w:tcPr>
          <w:p w14:paraId="7E0F184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931" w:type="dxa"/>
            <w:shd w:val="clear" w:color="auto" w:fill="auto"/>
            <w:vAlign w:val="center"/>
          </w:tcPr>
          <w:p w14:paraId="2424778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已计入现状规模</w:t>
            </w:r>
          </w:p>
        </w:tc>
      </w:tr>
      <w:tr w:rsidR="009C353B" w14:paraId="2F847B63" w14:textId="77777777">
        <w:trPr>
          <w:trHeight w:val="393"/>
          <w:jc w:val="center"/>
        </w:trPr>
        <w:tc>
          <w:tcPr>
            <w:tcW w:w="716" w:type="dxa"/>
            <w:vMerge/>
            <w:vAlign w:val="center"/>
          </w:tcPr>
          <w:p w14:paraId="6F941D3A"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203228BE"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3F51BF70"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3E2A114A"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6EE62968"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0ECF7FB5"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4962FF3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月儿湾</w:t>
            </w:r>
          </w:p>
        </w:tc>
        <w:tc>
          <w:tcPr>
            <w:tcW w:w="709" w:type="dxa"/>
            <w:vMerge/>
            <w:shd w:val="clear" w:color="auto" w:fill="auto"/>
            <w:vAlign w:val="center"/>
          </w:tcPr>
          <w:p w14:paraId="75E5F795"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1258131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shd w:val="clear" w:color="auto" w:fill="auto"/>
            <w:vAlign w:val="center"/>
          </w:tcPr>
          <w:p w14:paraId="57E0BB29" w14:textId="77777777" w:rsidR="009C353B" w:rsidRDefault="009C353B">
            <w:pPr>
              <w:widowControl/>
              <w:jc w:val="center"/>
              <w:rPr>
                <w:rFonts w:ascii="Times New Roman" w:eastAsiaTheme="minorEastAsia" w:hAnsi="Times New Roman"/>
                <w:kern w:val="0"/>
                <w:sz w:val="21"/>
                <w:szCs w:val="21"/>
              </w:rPr>
            </w:pPr>
          </w:p>
        </w:tc>
        <w:tc>
          <w:tcPr>
            <w:tcW w:w="1410" w:type="dxa"/>
            <w:shd w:val="clear" w:color="auto" w:fill="auto"/>
            <w:vAlign w:val="center"/>
          </w:tcPr>
          <w:p w14:paraId="6378E604"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vAlign w:val="center"/>
          </w:tcPr>
          <w:p w14:paraId="301D044A" w14:textId="77777777" w:rsidR="009C353B" w:rsidRDefault="009C353B">
            <w:pPr>
              <w:widowControl/>
              <w:jc w:val="center"/>
              <w:rPr>
                <w:rFonts w:ascii="Times New Roman" w:eastAsiaTheme="minorEastAsia" w:hAnsi="Times New Roman"/>
                <w:kern w:val="0"/>
                <w:sz w:val="21"/>
                <w:szCs w:val="21"/>
              </w:rPr>
            </w:pPr>
          </w:p>
        </w:tc>
        <w:tc>
          <w:tcPr>
            <w:tcW w:w="931" w:type="dxa"/>
            <w:shd w:val="clear" w:color="auto" w:fill="auto"/>
            <w:vAlign w:val="center"/>
          </w:tcPr>
          <w:p w14:paraId="643A66BE" w14:textId="77777777" w:rsidR="009C353B" w:rsidRDefault="009C353B">
            <w:pPr>
              <w:widowControl/>
              <w:jc w:val="center"/>
              <w:rPr>
                <w:rFonts w:ascii="Times New Roman" w:eastAsiaTheme="minorEastAsia" w:hAnsi="Times New Roman"/>
                <w:kern w:val="0"/>
                <w:sz w:val="21"/>
                <w:szCs w:val="21"/>
              </w:rPr>
            </w:pPr>
          </w:p>
        </w:tc>
      </w:tr>
      <w:tr w:rsidR="009C353B" w14:paraId="1108728F" w14:textId="77777777">
        <w:trPr>
          <w:trHeight w:val="393"/>
          <w:jc w:val="center"/>
        </w:trPr>
        <w:tc>
          <w:tcPr>
            <w:tcW w:w="716" w:type="dxa"/>
            <w:vMerge/>
            <w:vAlign w:val="center"/>
          </w:tcPr>
          <w:p w14:paraId="087E622E"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738930AF"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711DAFB1"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1AEA1EE7"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22B0324D"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5C867828"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2DBC7B9C"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新乔</w:t>
            </w:r>
          </w:p>
        </w:tc>
        <w:tc>
          <w:tcPr>
            <w:tcW w:w="709" w:type="dxa"/>
            <w:vMerge/>
            <w:shd w:val="clear" w:color="auto" w:fill="auto"/>
            <w:vAlign w:val="center"/>
          </w:tcPr>
          <w:p w14:paraId="32DEEAC9"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2CE1F61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shd w:val="clear" w:color="auto" w:fill="auto"/>
            <w:vAlign w:val="center"/>
          </w:tcPr>
          <w:p w14:paraId="73A9A3DE" w14:textId="77777777" w:rsidR="009C353B" w:rsidRDefault="009C353B">
            <w:pPr>
              <w:widowControl/>
              <w:jc w:val="center"/>
              <w:rPr>
                <w:rFonts w:ascii="Times New Roman" w:eastAsiaTheme="minorEastAsia" w:hAnsi="Times New Roman"/>
                <w:kern w:val="0"/>
                <w:sz w:val="21"/>
                <w:szCs w:val="21"/>
              </w:rPr>
            </w:pPr>
          </w:p>
        </w:tc>
        <w:tc>
          <w:tcPr>
            <w:tcW w:w="1410" w:type="dxa"/>
            <w:shd w:val="clear" w:color="auto" w:fill="auto"/>
            <w:vAlign w:val="center"/>
          </w:tcPr>
          <w:p w14:paraId="4E00769B"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vAlign w:val="center"/>
          </w:tcPr>
          <w:p w14:paraId="02D2F500" w14:textId="77777777" w:rsidR="009C353B" w:rsidRDefault="009C353B">
            <w:pPr>
              <w:widowControl/>
              <w:jc w:val="center"/>
              <w:rPr>
                <w:rFonts w:ascii="Times New Roman" w:eastAsiaTheme="minorEastAsia" w:hAnsi="Times New Roman"/>
                <w:kern w:val="0"/>
                <w:sz w:val="21"/>
                <w:szCs w:val="21"/>
              </w:rPr>
            </w:pPr>
          </w:p>
        </w:tc>
        <w:tc>
          <w:tcPr>
            <w:tcW w:w="931" w:type="dxa"/>
            <w:shd w:val="clear" w:color="auto" w:fill="auto"/>
            <w:vAlign w:val="center"/>
          </w:tcPr>
          <w:p w14:paraId="720DA88F" w14:textId="77777777" w:rsidR="009C353B" w:rsidRDefault="009C353B">
            <w:pPr>
              <w:widowControl/>
              <w:jc w:val="center"/>
              <w:rPr>
                <w:rFonts w:ascii="Times New Roman" w:eastAsiaTheme="minorEastAsia" w:hAnsi="Times New Roman"/>
                <w:kern w:val="0"/>
                <w:sz w:val="21"/>
                <w:szCs w:val="21"/>
              </w:rPr>
            </w:pPr>
          </w:p>
        </w:tc>
      </w:tr>
      <w:tr w:rsidR="009C353B" w14:paraId="7865EF72" w14:textId="77777777">
        <w:trPr>
          <w:trHeight w:val="393"/>
          <w:jc w:val="center"/>
        </w:trPr>
        <w:tc>
          <w:tcPr>
            <w:tcW w:w="716" w:type="dxa"/>
            <w:vMerge/>
            <w:vAlign w:val="center"/>
          </w:tcPr>
          <w:p w14:paraId="0C1FA50E"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350BBA0B"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1DECF511"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26824214"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6E2DB5E1"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6AA776EA"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3589EAB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李家坝</w:t>
            </w:r>
          </w:p>
        </w:tc>
        <w:tc>
          <w:tcPr>
            <w:tcW w:w="709" w:type="dxa"/>
            <w:vMerge/>
            <w:shd w:val="clear" w:color="auto" w:fill="auto"/>
            <w:vAlign w:val="center"/>
          </w:tcPr>
          <w:p w14:paraId="06FE440D"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63856AD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已关停</w:t>
            </w:r>
          </w:p>
        </w:tc>
        <w:tc>
          <w:tcPr>
            <w:tcW w:w="851" w:type="dxa"/>
            <w:shd w:val="clear" w:color="auto" w:fill="auto"/>
            <w:vAlign w:val="center"/>
          </w:tcPr>
          <w:p w14:paraId="10604B7E" w14:textId="77777777" w:rsidR="009C353B" w:rsidRDefault="009C353B">
            <w:pPr>
              <w:widowControl/>
              <w:jc w:val="center"/>
              <w:rPr>
                <w:rFonts w:ascii="Times New Roman" w:eastAsiaTheme="minorEastAsia" w:hAnsi="Times New Roman"/>
                <w:kern w:val="0"/>
                <w:sz w:val="21"/>
                <w:szCs w:val="21"/>
              </w:rPr>
            </w:pPr>
          </w:p>
        </w:tc>
        <w:tc>
          <w:tcPr>
            <w:tcW w:w="1410" w:type="dxa"/>
            <w:shd w:val="clear" w:color="auto" w:fill="auto"/>
            <w:vAlign w:val="center"/>
          </w:tcPr>
          <w:p w14:paraId="593CD9A5"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vAlign w:val="center"/>
          </w:tcPr>
          <w:p w14:paraId="0E76639D" w14:textId="77777777" w:rsidR="009C353B" w:rsidRDefault="009C353B">
            <w:pPr>
              <w:widowControl/>
              <w:jc w:val="center"/>
              <w:rPr>
                <w:rFonts w:ascii="Times New Roman" w:eastAsiaTheme="minorEastAsia" w:hAnsi="Times New Roman"/>
                <w:kern w:val="0"/>
                <w:sz w:val="21"/>
                <w:szCs w:val="21"/>
              </w:rPr>
            </w:pPr>
          </w:p>
        </w:tc>
        <w:tc>
          <w:tcPr>
            <w:tcW w:w="931" w:type="dxa"/>
            <w:shd w:val="clear" w:color="auto" w:fill="auto"/>
            <w:vAlign w:val="center"/>
          </w:tcPr>
          <w:p w14:paraId="6ED83B40" w14:textId="77777777" w:rsidR="009C353B" w:rsidRDefault="009C353B">
            <w:pPr>
              <w:widowControl/>
              <w:jc w:val="center"/>
              <w:rPr>
                <w:rFonts w:ascii="Times New Roman" w:eastAsiaTheme="minorEastAsia" w:hAnsi="Times New Roman"/>
                <w:kern w:val="0"/>
                <w:sz w:val="21"/>
                <w:szCs w:val="21"/>
              </w:rPr>
            </w:pPr>
          </w:p>
        </w:tc>
      </w:tr>
      <w:tr w:rsidR="009C353B" w14:paraId="3BBAAD7C" w14:textId="77777777">
        <w:trPr>
          <w:trHeight w:val="393"/>
          <w:jc w:val="center"/>
        </w:trPr>
        <w:tc>
          <w:tcPr>
            <w:tcW w:w="716" w:type="dxa"/>
            <w:vMerge/>
            <w:vAlign w:val="center"/>
          </w:tcPr>
          <w:p w14:paraId="799FE983" w14:textId="77777777" w:rsidR="009C353B" w:rsidRDefault="009C353B">
            <w:pPr>
              <w:widowControl/>
              <w:jc w:val="left"/>
              <w:rPr>
                <w:rFonts w:ascii="Times New Roman" w:eastAsiaTheme="minorEastAsia" w:hAnsi="Times New Roman"/>
                <w:kern w:val="0"/>
                <w:sz w:val="21"/>
                <w:szCs w:val="21"/>
              </w:rPr>
            </w:pPr>
          </w:p>
        </w:tc>
        <w:tc>
          <w:tcPr>
            <w:tcW w:w="1415" w:type="dxa"/>
            <w:vMerge w:val="restart"/>
            <w:shd w:val="clear" w:color="auto" w:fill="auto"/>
            <w:vAlign w:val="center"/>
          </w:tcPr>
          <w:p w14:paraId="06CE459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b/>
                <w:bCs/>
                <w:kern w:val="0"/>
                <w:sz w:val="21"/>
                <w:szCs w:val="21"/>
              </w:rPr>
              <w:t>韦州矿区</w:t>
            </w:r>
          </w:p>
        </w:tc>
        <w:tc>
          <w:tcPr>
            <w:tcW w:w="1805" w:type="dxa"/>
            <w:vMerge w:val="restart"/>
            <w:shd w:val="clear" w:color="auto" w:fill="auto"/>
            <w:vAlign w:val="center"/>
          </w:tcPr>
          <w:p w14:paraId="3250AD9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发改能源【</w:t>
            </w:r>
            <w:r>
              <w:rPr>
                <w:rFonts w:ascii="Times New Roman" w:eastAsiaTheme="minorEastAsia" w:hAnsi="Times New Roman"/>
                <w:kern w:val="0"/>
                <w:sz w:val="21"/>
                <w:szCs w:val="21"/>
              </w:rPr>
              <w:t>2006</w:t>
            </w:r>
            <w:r>
              <w:rPr>
                <w:rFonts w:ascii="Times New Roman" w:eastAsiaTheme="minorEastAsia" w:hAnsi="Times New Roman"/>
                <w:kern w:val="0"/>
                <w:sz w:val="21"/>
                <w:szCs w:val="21"/>
              </w:rPr>
              <w:t>】</w:t>
            </w:r>
            <w:r>
              <w:rPr>
                <w:rFonts w:ascii="Times New Roman" w:eastAsiaTheme="minorEastAsia" w:hAnsi="Times New Roman"/>
                <w:kern w:val="0"/>
                <w:sz w:val="21"/>
                <w:szCs w:val="21"/>
              </w:rPr>
              <w:t>645</w:t>
            </w:r>
            <w:r>
              <w:rPr>
                <w:rFonts w:ascii="Times New Roman" w:eastAsiaTheme="minorEastAsia" w:hAnsi="Times New Roman"/>
                <w:kern w:val="0"/>
                <w:sz w:val="21"/>
                <w:szCs w:val="21"/>
              </w:rPr>
              <w:t>号</w:t>
            </w:r>
          </w:p>
        </w:tc>
        <w:tc>
          <w:tcPr>
            <w:tcW w:w="1316" w:type="dxa"/>
            <w:vMerge w:val="restart"/>
            <w:shd w:val="clear" w:color="auto" w:fill="auto"/>
            <w:vAlign w:val="center"/>
          </w:tcPr>
          <w:p w14:paraId="5C1F42E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无</w:t>
            </w:r>
          </w:p>
        </w:tc>
        <w:tc>
          <w:tcPr>
            <w:tcW w:w="1134" w:type="dxa"/>
            <w:vMerge w:val="restart"/>
            <w:shd w:val="clear" w:color="auto" w:fill="auto"/>
            <w:vAlign w:val="center"/>
          </w:tcPr>
          <w:p w14:paraId="36559C3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4.5</w:t>
            </w:r>
          </w:p>
        </w:tc>
        <w:tc>
          <w:tcPr>
            <w:tcW w:w="709" w:type="dxa"/>
            <w:vMerge w:val="restart"/>
            <w:shd w:val="clear" w:color="auto" w:fill="auto"/>
            <w:vAlign w:val="center"/>
          </w:tcPr>
          <w:p w14:paraId="0D56A1B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w:t>
            </w:r>
          </w:p>
        </w:tc>
        <w:tc>
          <w:tcPr>
            <w:tcW w:w="1559" w:type="dxa"/>
            <w:shd w:val="clear" w:color="auto" w:fill="auto"/>
            <w:vAlign w:val="center"/>
          </w:tcPr>
          <w:p w14:paraId="4F873BCE"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永安</w:t>
            </w:r>
          </w:p>
        </w:tc>
        <w:tc>
          <w:tcPr>
            <w:tcW w:w="709" w:type="dxa"/>
            <w:vMerge w:val="restart"/>
            <w:shd w:val="clear" w:color="auto" w:fill="auto"/>
            <w:vAlign w:val="center"/>
          </w:tcPr>
          <w:p w14:paraId="120E228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4.2</w:t>
            </w:r>
          </w:p>
        </w:tc>
        <w:tc>
          <w:tcPr>
            <w:tcW w:w="992" w:type="dxa"/>
            <w:shd w:val="clear" w:color="auto" w:fill="auto"/>
            <w:vAlign w:val="center"/>
          </w:tcPr>
          <w:p w14:paraId="434E9271"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w:t>
            </w:r>
          </w:p>
        </w:tc>
        <w:tc>
          <w:tcPr>
            <w:tcW w:w="851" w:type="dxa"/>
            <w:vMerge w:val="restart"/>
            <w:shd w:val="clear" w:color="auto" w:fill="auto"/>
            <w:vAlign w:val="center"/>
          </w:tcPr>
          <w:p w14:paraId="3854E24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c>
          <w:tcPr>
            <w:tcW w:w="1410" w:type="dxa"/>
            <w:vMerge w:val="restart"/>
            <w:shd w:val="clear" w:color="auto" w:fill="auto"/>
            <w:vAlign w:val="center"/>
          </w:tcPr>
          <w:p w14:paraId="2B788BF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 xml:space="preserve">已计入现状规模　</w:t>
            </w:r>
          </w:p>
        </w:tc>
        <w:tc>
          <w:tcPr>
            <w:tcW w:w="709" w:type="dxa"/>
            <w:vMerge w:val="restart"/>
            <w:shd w:val="clear" w:color="auto" w:fill="auto"/>
            <w:vAlign w:val="center"/>
          </w:tcPr>
          <w:p w14:paraId="4A9F417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c>
          <w:tcPr>
            <w:tcW w:w="931" w:type="dxa"/>
            <w:vMerge w:val="restart"/>
            <w:shd w:val="clear" w:color="auto" w:fill="auto"/>
            <w:vAlign w:val="center"/>
          </w:tcPr>
          <w:p w14:paraId="5A9FB39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韦一、永安停建，已计入现状规模</w:t>
            </w:r>
          </w:p>
        </w:tc>
      </w:tr>
      <w:tr w:rsidR="009C353B" w14:paraId="45F2FE38" w14:textId="77777777">
        <w:trPr>
          <w:trHeight w:val="393"/>
          <w:jc w:val="center"/>
        </w:trPr>
        <w:tc>
          <w:tcPr>
            <w:tcW w:w="716" w:type="dxa"/>
            <w:vMerge/>
            <w:vAlign w:val="center"/>
          </w:tcPr>
          <w:p w14:paraId="039E35E8"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6786C02C"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37874F59"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5CFBCA5E"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428F6B77"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131A7C9D"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7A2B5857"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新发</w:t>
            </w:r>
          </w:p>
        </w:tc>
        <w:tc>
          <w:tcPr>
            <w:tcW w:w="709" w:type="dxa"/>
            <w:vMerge/>
            <w:shd w:val="clear" w:color="auto" w:fill="auto"/>
            <w:vAlign w:val="center"/>
          </w:tcPr>
          <w:p w14:paraId="6BE9027B"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651112B5"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w:t>
            </w:r>
          </w:p>
        </w:tc>
        <w:tc>
          <w:tcPr>
            <w:tcW w:w="851" w:type="dxa"/>
            <w:vMerge/>
            <w:shd w:val="clear" w:color="auto" w:fill="auto"/>
            <w:vAlign w:val="center"/>
          </w:tcPr>
          <w:p w14:paraId="5B07847E"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4A72AE57"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2C970DE8"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39FD5001" w14:textId="77777777" w:rsidR="009C353B" w:rsidRDefault="009C353B">
            <w:pPr>
              <w:widowControl/>
              <w:jc w:val="center"/>
              <w:rPr>
                <w:rFonts w:ascii="Times New Roman" w:eastAsiaTheme="minorEastAsia" w:hAnsi="Times New Roman"/>
                <w:kern w:val="0"/>
                <w:sz w:val="21"/>
                <w:szCs w:val="21"/>
              </w:rPr>
            </w:pPr>
          </w:p>
        </w:tc>
      </w:tr>
      <w:tr w:rsidR="009C353B" w14:paraId="31D87F2E" w14:textId="77777777">
        <w:trPr>
          <w:trHeight w:val="393"/>
          <w:jc w:val="center"/>
        </w:trPr>
        <w:tc>
          <w:tcPr>
            <w:tcW w:w="716" w:type="dxa"/>
            <w:vMerge/>
            <w:vAlign w:val="center"/>
          </w:tcPr>
          <w:p w14:paraId="160F8B9B"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6D6B63F1"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4BE5FBF4"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50FF8C97"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76C16B99"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7549B840"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282E7034"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韦一</w:t>
            </w:r>
          </w:p>
        </w:tc>
        <w:tc>
          <w:tcPr>
            <w:tcW w:w="709" w:type="dxa"/>
            <w:vMerge/>
            <w:shd w:val="clear" w:color="auto" w:fill="auto"/>
            <w:vAlign w:val="center"/>
          </w:tcPr>
          <w:p w14:paraId="18934599"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64E1B5BA"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0.9</w:t>
            </w:r>
          </w:p>
        </w:tc>
        <w:tc>
          <w:tcPr>
            <w:tcW w:w="851" w:type="dxa"/>
            <w:vMerge/>
            <w:shd w:val="clear" w:color="auto" w:fill="auto"/>
            <w:vAlign w:val="center"/>
          </w:tcPr>
          <w:p w14:paraId="420594C9"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6B29B24B"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39A9C7D4"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4163EF1A" w14:textId="77777777" w:rsidR="009C353B" w:rsidRDefault="009C353B">
            <w:pPr>
              <w:widowControl/>
              <w:jc w:val="center"/>
              <w:rPr>
                <w:rFonts w:ascii="Times New Roman" w:eastAsiaTheme="minorEastAsia" w:hAnsi="Times New Roman"/>
                <w:kern w:val="0"/>
                <w:sz w:val="21"/>
                <w:szCs w:val="21"/>
              </w:rPr>
            </w:pPr>
          </w:p>
        </w:tc>
      </w:tr>
      <w:tr w:rsidR="009C353B" w14:paraId="4F25665E" w14:textId="77777777">
        <w:trPr>
          <w:trHeight w:val="393"/>
          <w:jc w:val="center"/>
        </w:trPr>
        <w:tc>
          <w:tcPr>
            <w:tcW w:w="716" w:type="dxa"/>
            <w:vMerge/>
            <w:vAlign w:val="center"/>
          </w:tcPr>
          <w:p w14:paraId="5993CD2B"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1632D313"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36D83B52"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20689434"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670A5971"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131639FE"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56BB7500"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韦二</w:t>
            </w:r>
          </w:p>
        </w:tc>
        <w:tc>
          <w:tcPr>
            <w:tcW w:w="709" w:type="dxa"/>
            <w:vMerge/>
            <w:shd w:val="clear" w:color="auto" w:fill="auto"/>
            <w:vAlign w:val="center"/>
          </w:tcPr>
          <w:p w14:paraId="708475E3"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24AB6D18"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1.5</w:t>
            </w:r>
          </w:p>
        </w:tc>
        <w:tc>
          <w:tcPr>
            <w:tcW w:w="851" w:type="dxa"/>
            <w:vMerge/>
            <w:shd w:val="clear" w:color="auto" w:fill="auto"/>
            <w:vAlign w:val="center"/>
          </w:tcPr>
          <w:p w14:paraId="5F84ED49"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098FF2DF"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72651752"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2B3C9B7A" w14:textId="77777777" w:rsidR="009C353B" w:rsidRDefault="009C353B">
            <w:pPr>
              <w:widowControl/>
              <w:jc w:val="center"/>
              <w:rPr>
                <w:rFonts w:ascii="Times New Roman" w:eastAsiaTheme="minorEastAsia" w:hAnsi="Times New Roman"/>
                <w:kern w:val="0"/>
                <w:sz w:val="21"/>
                <w:szCs w:val="21"/>
              </w:rPr>
            </w:pPr>
          </w:p>
        </w:tc>
      </w:tr>
      <w:tr w:rsidR="009C353B" w14:paraId="6EE5088B" w14:textId="77777777">
        <w:trPr>
          <w:trHeight w:val="393"/>
          <w:jc w:val="center"/>
        </w:trPr>
        <w:tc>
          <w:tcPr>
            <w:tcW w:w="716" w:type="dxa"/>
            <w:vMerge/>
            <w:vAlign w:val="center"/>
          </w:tcPr>
          <w:p w14:paraId="68D51630"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51C11ACF"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782E5C33"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25940B09"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3B783182"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0D102EE2"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40E341BC"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韦三</w:t>
            </w:r>
          </w:p>
        </w:tc>
        <w:tc>
          <w:tcPr>
            <w:tcW w:w="709" w:type="dxa"/>
            <w:vMerge/>
            <w:shd w:val="clear" w:color="auto" w:fill="auto"/>
            <w:vAlign w:val="center"/>
          </w:tcPr>
          <w:p w14:paraId="695D9486"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4617C09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shd w:val="clear" w:color="auto" w:fill="auto"/>
            <w:vAlign w:val="center"/>
          </w:tcPr>
          <w:p w14:paraId="1844D1AD" w14:textId="77777777" w:rsidR="009C353B" w:rsidRDefault="009C353B">
            <w:pPr>
              <w:widowControl/>
              <w:jc w:val="center"/>
              <w:rPr>
                <w:rFonts w:ascii="Times New Roman" w:eastAsiaTheme="minorEastAsia" w:hAnsi="Times New Roman"/>
                <w:kern w:val="0"/>
                <w:sz w:val="21"/>
                <w:szCs w:val="21"/>
              </w:rPr>
            </w:pPr>
          </w:p>
        </w:tc>
        <w:tc>
          <w:tcPr>
            <w:tcW w:w="1410" w:type="dxa"/>
            <w:shd w:val="clear" w:color="auto" w:fill="auto"/>
            <w:vAlign w:val="center"/>
          </w:tcPr>
          <w:p w14:paraId="232CABBF"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vAlign w:val="center"/>
          </w:tcPr>
          <w:p w14:paraId="03C58652" w14:textId="77777777" w:rsidR="009C353B" w:rsidRDefault="009C353B">
            <w:pPr>
              <w:widowControl/>
              <w:jc w:val="center"/>
              <w:rPr>
                <w:rFonts w:ascii="Times New Roman" w:eastAsiaTheme="minorEastAsia" w:hAnsi="Times New Roman"/>
                <w:kern w:val="0"/>
                <w:sz w:val="21"/>
                <w:szCs w:val="21"/>
              </w:rPr>
            </w:pPr>
          </w:p>
        </w:tc>
        <w:tc>
          <w:tcPr>
            <w:tcW w:w="931" w:type="dxa"/>
            <w:shd w:val="clear" w:color="auto" w:fill="auto"/>
            <w:vAlign w:val="center"/>
          </w:tcPr>
          <w:p w14:paraId="4BBEB9A7" w14:textId="77777777" w:rsidR="009C353B" w:rsidRDefault="009C353B">
            <w:pPr>
              <w:widowControl/>
              <w:jc w:val="center"/>
              <w:rPr>
                <w:rFonts w:ascii="Times New Roman" w:eastAsiaTheme="minorEastAsia" w:hAnsi="Times New Roman"/>
                <w:kern w:val="0"/>
                <w:sz w:val="21"/>
                <w:szCs w:val="21"/>
              </w:rPr>
            </w:pPr>
          </w:p>
        </w:tc>
      </w:tr>
      <w:tr w:rsidR="009C353B" w14:paraId="3BDA729F" w14:textId="77777777">
        <w:trPr>
          <w:trHeight w:val="393"/>
          <w:jc w:val="center"/>
        </w:trPr>
        <w:tc>
          <w:tcPr>
            <w:tcW w:w="716" w:type="dxa"/>
            <w:vMerge/>
            <w:vAlign w:val="center"/>
          </w:tcPr>
          <w:p w14:paraId="6385A445"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18FBDAF0"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110AE3EF"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69D70AE2"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79C96FBE"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3FD0BE97"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462C765B"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韦四</w:t>
            </w:r>
          </w:p>
        </w:tc>
        <w:tc>
          <w:tcPr>
            <w:tcW w:w="709" w:type="dxa"/>
            <w:vMerge/>
            <w:shd w:val="clear" w:color="auto" w:fill="auto"/>
            <w:vAlign w:val="center"/>
          </w:tcPr>
          <w:p w14:paraId="32C5502F"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56A1EDB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shd w:val="clear" w:color="auto" w:fill="auto"/>
            <w:vAlign w:val="center"/>
          </w:tcPr>
          <w:p w14:paraId="1D299319" w14:textId="77777777" w:rsidR="009C353B" w:rsidRDefault="009C353B">
            <w:pPr>
              <w:widowControl/>
              <w:jc w:val="center"/>
              <w:rPr>
                <w:rFonts w:ascii="Times New Roman" w:eastAsiaTheme="minorEastAsia" w:hAnsi="Times New Roman"/>
                <w:kern w:val="0"/>
                <w:sz w:val="21"/>
                <w:szCs w:val="21"/>
              </w:rPr>
            </w:pPr>
          </w:p>
        </w:tc>
        <w:tc>
          <w:tcPr>
            <w:tcW w:w="1410" w:type="dxa"/>
            <w:shd w:val="clear" w:color="auto" w:fill="auto"/>
            <w:vAlign w:val="center"/>
          </w:tcPr>
          <w:p w14:paraId="5EFCE518"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vAlign w:val="center"/>
          </w:tcPr>
          <w:p w14:paraId="26EDC0B5" w14:textId="77777777" w:rsidR="009C353B" w:rsidRDefault="009C353B">
            <w:pPr>
              <w:widowControl/>
              <w:jc w:val="center"/>
              <w:rPr>
                <w:rFonts w:ascii="Times New Roman" w:eastAsiaTheme="minorEastAsia" w:hAnsi="Times New Roman"/>
                <w:kern w:val="0"/>
                <w:sz w:val="21"/>
                <w:szCs w:val="21"/>
              </w:rPr>
            </w:pPr>
          </w:p>
        </w:tc>
        <w:tc>
          <w:tcPr>
            <w:tcW w:w="931" w:type="dxa"/>
            <w:shd w:val="clear" w:color="auto" w:fill="auto"/>
            <w:vAlign w:val="center"/>
          </w:tcPr>
          <w:p w14:paraId="0A06A451" w14:textId="77777777" w:rsidR="009C353B" w:rsidRDefault="009C353B">
            <w:pPr>
              <w:widowControl/>
              <w:jc w:val="center"/>
              <w:rPr>
                <w:rFonts w:ascii="Times New Roman" w:eastAsiaTheme="minorEastAsia" w:hAnsi="Times New Roman"/>
                <w:kern w:val="0"/>
                <w:sz w:val="21"/>
                <w:szCs w:val="21"/>
              </w:rPr>
            </w:pPr>
          </w:p>
        </w:tc>
      </w:tr>
      <w:tr w:rsidR="009C353B" w14:paraId="0A59341C" w14:textId="77777777">
        <w:trPr>
          <w:trHeight w:val="393"/>
          <w:jc w:val="center"/>
        </w:trPr>
        <w:tc>
          <w:tcPr>
            <w:tcW w:w="716" w:type="dxa"/>
            <w:vMerge/>
            <w:vAlign w:val="center"/>
          </w:tcPr>
          <w:p w14:paraId="466C0445"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38ECA1FC"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690F0EFF"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01BF2D4C"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1E397C3A"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1E5F78B8"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4FA6E570"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韦五</w:t>
            </w:r>
          </w:p>
        </w:tc>
        <w:tc>
          <w:tcPr>
            <w:tcW w:w="709" w:type="dxa"/>
            <w:vMerge/>
            <w:shd w:val="clear" w:color="auto" w:fill="auto"/>
            <w:vAlign w:val="center"/>
          </w:tcPr>
          <w:p w14:paraId="50BCD52D"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774AF0D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shd w:val="clear" w:color="auto" w:fill="auto"/>
            <w:vAlign w:val="center"/>
          </w:tcPr>
          <w:p w14:paraId="11076678" w14:textId="77777777" w:rsidR="009C353B" w:rsidRDefault="009C353B">
            <w:pPr>
              <w:widowControl/>
              <w:jc w:val="center"/>
              <w:rPr>
                <w:rFonts w:ascii="Times New Roman" w:eastAsiaTheme="minorEastAsia" w:hAnsi="Times New Roman"/>
                <w:kern w:val="0"/>
                <w:sz w:val="21"/>
                <w:szCs w:val="21"/>
              </w:rPr>
            </w:pPr>
          </w:p>
        </w:tc>
        <w:tc>
          <w:tcPr>
            <w:tcW w:w="1410" w:type="dxa"/>
            <w:shd w:val="clear" w:color="auto" w:fill="auto"/>
            <w:vAlign w:val="center"/>
          </w:tcPr>
          <w:p w14:paraId="63F2B9C5"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vAlign w:val="center"/>
          </w:tcPr>
          <w:p w14:paraId="71CDB2E6" w14:textId="77777777" w:rsidR="009C353B" w:rsidRDefault="009C353B">
            <w:pPr>
              <w:widowControl/>
              <w:jc w:val="center"/>
              <w:rPr>
                <w:rFonts w:ascii="Times New Roman" w:eastAsiaTheme="minorEastAsia" w:hAnsi="Times New Roman"/>
                <w:kern w:val="0"/>
                <w:sz w:val="21"/>
                <w:szCs w:val="21"/>
              </w:rPr>
            </w:pPr>
          </w:p>
        </w:tc>
        <w:tc>
          <w:tcPr>
            <w:tcW w:w="931" w:type="dxa"/>
            <w:shd w:val="clear" w:color="auto" w:fill="auto"/>
            <w:vAlign w:val="center"/>
          </w:tcPr>
          <w:p w14:paraId="7B5516D0" w14:textId="77777777" w:rsidR="009C353B" w:rsidRDefault="009C353B">
            <w:pPr>
              <w:widowControl/>
              <w:jc w:val="center"/>
              <w:rPr>
                <w:rFonts w:ascii="Times New Roman" w:eastAsiaTheme="minorEastAsia" w:hAnsi="Times New Roman"/>
                <w:kern w:val="0"/>
                <w:sz w:val="21"/>
                <w:szCs w:val="21"/>
              </w:rPr>
            </w:pPr>
          </w:p>
        </w:tc>
      </w:tr>
      <w:tr w:rsidR="009C353B" w14:paraId="45936FC6" w14:textId="77777777">
        <w:trPr>
          <w:trHeight w:val="393"/>
          <w:jc w:val="center"/>
        </w:trPr>
        <w:tc>
          <w:tcPr>
            <w:tcW w:w="716" w:type="dxa"/>
            <w:vMerge/>
            <w:vAlign w:val="center"/>
          </w:tcPr>
          <w:p w14:paraId="1B30C41B" w14:textId="77777777" w:rsidR="009C353B" w:rsidRDefault="009C353B">
            <w:pPr>
              <w:widowControl/>
              <w:jc w:val="left"/>
              <w:rPr>
                <w:rFonts w:ascii="Times New Roman" w:eastAsiaTheme="minorEastAsia" w:hAnsi="Times New Roman"/>
                <w:kern w:val="0"/>
                <w:sz w:val="21"/>
                <w:szCs w:val="21"/>
              </w:rPr>
            </w:pPr>
          </w:p>
        </w:tc>
        <w:tc>
          <w:tcPr>
            <w:tcW w:w="1415" w:type="dxa"/>
            <w:vMerge w:val="restart"/>
            <w:shd w:val="clear" w:color="auto" w:fill="auto"/>
            <w:vAlign w:val="center"/>
          </w:tcPr>
          <w:p w14:paraId="38E0008C"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萌城矿区</w:t>
            </w:r>
          </w:p>
        </w:tc>
        <w:tc>
          <w:tcPr>
            <w:tcW w:w="1805" w:type="dxa"/>
            <w:vMerge w:val="restart"/>
            <w:shd w:val="clear" w:color="auto" w:fill="auto"/>
            <w:vAlign w:val="center"/>
          </w:tcPr>
          <w:p w14:paraId="0481D24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宁发改审发〔</w:t>
            </w:r>
            <w:r>
              <w:rPr>
                <w:rFonts w:ascii="Times New Roman" w:eastAsiaTheme="minorEastAsia" w:hAnsi="Times New Roman"/>
                <w:kern w:val="0"/>
                <w:sz w:val="21"/>
                <w:szCs w:val="21"/>
              </w:rPr>
              <w:t>2012</w:t>
            </w:r>
            <w:r>
              <w:rPr>
                <w:rFonts w:ascii="Times New Roman" w:eastAsiaTheme="minorEastAsia" w:hAnsi="Times New Roman"/>
                <w:kern w:val="0"/>
                <w:sz w:val="21"/>
                <w:szCs w:val="21"/>
              </w:rPr>
              <w:t>〕</w:t>
            </w:r>
            <w:r>
              <w:rPr>
                <w:rFonts w:ascii="Times New Roman" w:eastAsiaTheme="minorEastAsia" w:hAnsi="Times New Roman"/>
                <w:kern w:val="0"/>
                <w:sz w:val="21"/>
                <w:szCs w:val="21"/>
              </w:rPr>
              <w:t>773</w:t>
            </w:r>
            <w:r>
              <w:rPr>
                <w:rFonts w:ascii="Times New Roman" w:eastAsiaTheme="minorEastAsia" w:hAnsi="Times New Roman"/>
                <w:kern w:val="0"/>
                <w:sz w:val="21"/>
                <w:szCs w:val="21"/>
              </w:rPr>
              <w:t>号</w:t>
            </w:r>
          </w:p>
        </w:tc>
        <w:tc>
          <w:tcPr>
            <w:tcW w:w="1316" w:type="dxa"/>
            <w:vMerge w:val="restart"/>
            <w:shd w:val="clear" w:color="auto" w:fill="auto"/>
            <w:vAlign w:val="center"/>
          </w:tcPr>
          <w:p w14:paraId="036DACD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宁环函〔</w:t>
            </w:r>
            <w:r>
              <w:rPr>
                <w:rFonts w:ascii="Times New Roman" w:eastAsiaTheme="minorEastAsia" w:hAnsi="Times New Roman"/>
                <w:kern w:val="0"/>
                <w:sz w:val="21"/>
                <w:szCs w:val="21"/>
              </w:rPr>
              <w:t>2014</w:t>
            </w:r>
            <w:r>
              <w:rPr>
                <w:rFonts w:ascii="Times New Roman" w:eastAsiaTheme="minorEastAsia" w:hAnsi="Times New Roman"/>
                <w:kern w:val="0"/>
                <w:sz w:val="21"/>
                <w:szCs w:val="21"/>
              </w:rPr>
              <w:t>〕</w:t>
            </w:r>
            <w:r>
              <w:rPr>
                <w:rFonts w:ascii="Times New Roman" w:eastAsiaTheme="minorEastAsia" w:hAnsi="Times New Roman"/>
                <w:kern w:val="0"/>
                <w:sz w:val="21"/>
                <w:szCs w:val="21"/>
              </w:rPr>
              <w:t>499</w:t>
            </w:r>
            <w:r>
              <w:rPr>
                <w:rFonts w:ascii="Times New Roman" w:eastAsiaTheme="minorEastAsia" w:hAnsi="Times New Roman"/>
                <w:kern w:val="0"/>
                <w:sz w:val="21"/>
                <w:szCs w:val="21"/>
              </w:rPr>
              <w:t>号</w:t>
            </w:r>
          </w:p>
        </w:tc>
        <w:tc>
          <w:tcPr>
            <w:tcW w:w="1134" w:type="dxa"/>
            <w:vMerge w:val="restart"/>
            <w:shd w:val="clear" w:color="auto" w:fill="auto"/>
            <w:vAlign w:val="center"/>
          </w:tcPr>
          <w:p w14:paraId="218C77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2.85</w:t>
            </w:r>
          </w:p>
        </w:tc>
        <w:tc>
          <w:tcPr>
            <w:tcW w:w="709" w:type="dxa"/>
            <w:vMerge w:val="restart"/>
            <w:shd w:val="clear" w:color="auto" w:fill="auto"/>
            <w:vAlign w:val="center"/>
          </w:tcPr>
          <w:p w14:paraId="24E1349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1559" w:type="dxa"/>
            <w:shd w:val="clear" w:color="auto" w:fill="auto"/>
            <w:vAlign w:val="center"/>
          </w:tcPr>
          <w:p w14:paraId="6EAC0E06"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惠安</w:t>
            </w:r>
          </w:p>
        </w:tc>
        <w:tc>
          <w:tcPr>
            <w:tcW w:w="709" w:type="dxa"/>
            <w:vMerge w:val="restart"/>
            <w:shd w:val="clear" w:color="auto" w:fill="auto"/>
            <w:vAlign w:val="center"/>
          </w:tcPr>
          <w:p w14:paraId="59A2F5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p>
        </w:tc>
        <w:tc>
          <w:tcPr>
            <w:tcW w:w="992" w:type="dxa"/>
            <w:shd w:val="clear" w:color="auto" w:fill="auto"/>
            <w:vAlign w:val="center"/>
          </w:tcPr>
          <w:p w14:paraId="5BB938EF"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vMerge w:val="restart"/>
            <w:shd w:val="clear" w:color="auto" w:fill="auto"/>
            <w:vAlign w:val="center"/>
          </w:tcPr>
          <w:p w14:paraId="6BC9FF4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p>
        </w:tc>
        <w:tc>
          <w:tcPr>
            <w:tcW w:w="1410" w:type="dxa"/>
            <w:vMerge w:val="restart"/>
            <w:shd w:val="clear" w:color="auto" w:fill="auto"/>
            <w:vAlign w:val="center"/>
          </w:tcPr>
          <w:p w14:paraId="3F53AB4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 xml:space="preserve">已计入现状规模　</w:t>
            </w:r>
          </w:p>
        </w:tc>
        <w:tc>
          <w:tcPr>
            <w:tcW w:w="709" w:type="dxa"/>
            <w:vMerge w:val="restart"/>
            <w:shd w:val="clear" w:color="auto" w:fill="auto"/>
            <w:vAlign w:val="center"/>
          </w:tcPr>
          <w:p w14:paraId="07DD895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p>
        </w:tc>
        <w:tc>
          <w:tcPr>
            <w:tcW w:w="931" w:type="dxa"/>
            <w:vMerge w:val="restart"/>
            <w:shd w:val="clear" w:color="auto" w:fill="auto"/>
            <w:vAlign w:val="center"/>
          </w:tcPr>
          <w:p w14:paraId="58EADFA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r>
              <w:rPr>
                <w:rFonts w:ascii="Times New Roman" w:eastAsiaTheme="minorEastAsia" w:hAnsi="Times New Roman"/>
                <w:kern w:val="0"/>
                <w:sz w:val="21"/>
                <w:szCs w:val="21"/>
              </w:rPr>
              <w:t xml:space="preserve">　</w:t>
            </w:r>
          </w:p>
        </w:tc>
      </w:tr>
      <w:tr w:rsidR="009C353B" w14:paraId="6A72C10B" w14:textId="77777777">
        <w:trPr>
          <w:trHeight w:val="393"/>
          <w:jc w:val="center"/>
        </w:trPr>
        <w:tc>
          <w:tcPr>
            <w:tcW w:w="716" w:type="dxa"/>
            <w:vMerge/>
            <w:vAlign w:val="center"/>
          </w:tcPr>
          <w:p w14:paraId="4433D1CD"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13047B45" w14:textId="77777777" w:rsidR="009C353B" w:rsidRDefault="009C353B">
            <w:pPr>
              <w:widowControl/>
              <w:jc w:val="center"/>
              <w:rPr>
                <w:rFonts w:ascii="Times New Roman" w:eastAsiaTheme="minorEastAsia" w:hAnsi="Times New Roman"/>
                <w:b/>
                <w:bCs/>
                <w:kern w:val="0"/>
                <w:sz w:val="21"/>
                <w:szCs w:val="21"/>
              </w:rPr>
            </w:pPr>
          </w:p>
        </w:tc>
        <w:tc>
          <w:tcPr>
            <w:tcW w:w="1805" w:type="dxa"/>
            <w:vMerge/>
            <w:shd w:val="clear" w:color="auto" w:fill="auto"/>
            <w:vAlign w:val="center"/>
          </w:tcPr>
          <w:p w14:paraId="2DF9B8B8"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60303C97"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35914D37"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224C0116"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58D2751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宋家红沟</w:t>
            </w:r>
          </w:p>
        </w:tc>
        <w:tc>
          <w:tcPr>
            <w:tcW w:w="709" w:type="dxa"/>
            <w:vMerge/>
            <w:shd w:val="clear" w:color="auto" w:fill="auto"/>
            <w:vAlign w:val="center"/>
          </w:tcPr>
          <w:p w14:paraId="1CE3EEB8"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6F49D51E"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vMerge/>
            <w:shd w:val="clear" w:color="auto" w:fill="auto"/>
            <w:vAlign w:val="center"/>
          </w:tcPr>
          <w:p w14:paraId="7E81DCA7"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56FADD24"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71028C43"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09CBCC8C" w14:textId="77777777" w:rsidR="009C353B" w:rsidRDefault="009C353B">
            <w:pPr>
              <w:widowControl/>
              <w:jc w:val="center"/>
              <w:rPr>
                <w:rFonts w:ascii="Times New Roman" w:eastAsiaTheme="minorEastAsia" w:hAnsi="Times New Roman"/>
                <w:kern w:val="0"/>
                <w:sz w:val="21"/>
                <w:szCs w:val="21"/>
              </w:rPr>
            </w:pPr>
          </w:p>
        </w:tc>
      </w:tr>
      <w:tr w:rsidR="009C353B" w14:paraId="778224C2" w14:textId="77777777">
        <w:trPr>
          <w:trHeight w:val="393"/>
          <w:jc w:val="center"/>
        </w:trPr>
        <w:tc>
          <w:tcPr>
            <w:tcW w:w="716" w:type="dxa"/>
            <w:vMerge/>
            <w:vAlign w:val="center"/>
          </w:tcPr>
          <w:p w14:paraId="4F64A6F3"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63659DF4" w14:textId="77777777" w:rsidR="009C353B" w:rsidRDefault="009C353B">
            <w:pPr>
              <w:widowControl/>
              <w:jc w:val="center"/>
              <w:rPr>
                <w:rFonts w:ascii="Times New Roman" w:eastAsiaTheme="minorEastAsia" w:hAnsi="Times New Roman"/>
                <w:b/>
                <w:bCs/>
                <w:kern w:val="0"/>
                <w:sz w:val="21"/>
                <w:szCs w:val="21"/>
              </w:rPr>
            </w:pPr>
          </w:p>
        </w:tc>
        <w:tc>
          <w:tcPr>
            <w:tcW w:w="1805" w:type="dxa"/>
            <w:vMerge/>
            <w:shd w:val="clear" w:color="auto" w:fill="auto"/>
            <w:vAlign w:val="center"/>
          </w:tcPr>
          <w:p w14:paraId="4C698623"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074BC728"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0124063A"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5E0F977D"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17338E0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曹家湾</w:t>
            </w:r>
          </w:p>
        </w:tc>
        <w:tc>
          <w:tcPr>
            <w:tcW w:w="709" w:type="dxa"/>
            <w:vMerge/>
            <w:shd w:val="clear" w:color="auto" w:fill="auto"/>
            <w:vAlign w:val="center"/>
          </w:tcPr>
          <w:p w14:paraId="2FDB510B"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0BC0F1EF"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vMerge/>
            <w:shd w:val="clear" w:color="auto" w:fill="auto"/>
            <w:vAlign w:val="center"/>
          </w:tcPr>
          <w:p w14:paraId="040E16A0"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2B869F77"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66A05991"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3098F880" w14:textId="77777777" w:rsidR="009C353B" w:rsidRDefault="009C353B">
            <w:pPr>
              <w:widowControl/>
              <w:jc w:val="center"/>
              <w:rPr>
                <w:rFonts w:ascii="Times New Roman" w:eastAsiaTheme="minorEastAsia" w:hAnsi="Times New Roman"/>
                <w:kern w:val="0"/>
                <w:sz w:val="21"/>
                <w:szCs w:val="21"/>
              </w:rPr>
            </w:pPr>
          </w:p>
        </w:tc>
      </w:tr>
      <w:tr w:rsidR="009C353B" w14:paraId="18333DF3" w14:textId="77777777">
        <w:trPr>
          <w:trHeight w:val="393"/>
          <w:jc w:val="center"/>
        </w:trPr>
        <w:tc>
          <w:tcPr>
            <w:tcW w:w="716" w:type="dxa"/>
            <w:vMerge/>
            <w:vAlign w:val="center"/>
          </w:tcPr>
          <w:p w14:paraId="56C913A5"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7B0393CE" w14:textId="77777777" w:rsidR="009C353B" w:rsidRDefault="009C353B">
            <w:pPr>
              <w:widowControl/>
              <w:jc w:val="center"/>
              <w:rPr>
                <w:rFonts w:ascii="Times New Roman" w:eastAsiaTheme="minorEastAsia" w:hAnsi="Times New Roman"/>
                <w:b/>
                <w:bCs/>
                <w:kern w:val="0"/>
                <w:sz w:val="21"/>
                <w:szCs w:val="21"/>
              </w:rPr>
            </w:pPr>
          </w:p>
        </w:tc>
        <w:tc>
          <w:tcPr>
            <w:tcW w:w="1805" w:type="dxa"/>
            <w:vMerge/>
            <w:shd w:val="clear" w:color="auto" w:fill="auto"/>
            <w:vAlign w:val="center"/>
          </w:tcPr>
          <w:p w14:paraId="534A3122"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604BC363"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5593853B"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176B013A"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7F1ACAE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宋儿庄</w:t>
            </w:r>
          </w:p>
        </w:tc>
        <w:tc>
          <w:tcPr>
            <w:tcW w:w="709" w:type="dxa"/>
            <w:vMerge/>
            <w:shd w:val="clear" w:color="auto" w:fill="auto"/>
            <w:vAlign w:val="center"/>
          </w:tcPr>
          <w:p w14:paraId="41E7395E"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5E909434"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未建</w:t>
            </w:r>
          </w:p>
        </w:tc>
        <w:tc>
          <w:tcPr>
            <w:tcW w:w="851" w:type="dxa"/>
            <w:vMerge/>
            <w:shd w:val="clear" w:color="auto" w:fill="auto"/>
            <w:vAlign w:val="center"/>
          </w:tcPr>
          <w:p w14:paraId="6B926C8C"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6B5B3902"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25A6EF33"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1033398B" w14:textId="77777777" w:rsidR="009C353B" w:rsidRDefault="009C353B">
            <w:pPr>
              <w:widowControl/>
              <w:jc w:val="center"/>
              <w:rPr>
                <w:rFonts w:ascii="Times New Roman" w:eastAsiaTheme="minorEastAsia" w:hAnsi="Times New Roman"/>
                <w:kern w:val="0"/>
                <w:sz w:val="21"/>
                <w:szCs w:val="21"/>
              </w:rPr>
            </w:pPr>
          </w:p>
        </w:tc>
      </w:tr>
      <w:tr w:rsidR="009C353B" w14:paraId="2CB8AA1A" w14:textId="77777777">
        <w:trPr>
          <w:trHeight w:val="393"/>
          <w:jc w:val="center"/>
        </w:trPr>
        <w:tc>
          <w:tcPr>
            <w:tcW w:w="716" w:type="dxa"/>
            <w:vMerge/>
            <w:vAlign w:val="center"/>
          </w:tcPr>
          <w:p w14:paraId="00DC4C74" w14:textId="77777777" w:rsidR="009C353B" w:rsidRDefault="009C353B">
            <w:pPr>
              <w:widowControl/>
              <w:jc w:val="left"/>
              <w:rPr>
                <w:rFonts w:ascii="Times New Roman" w:eastAsiaTheme="minorEastAsia" w:hAnsi="Times New Roman"/>
                <w:kern w:val="0"/>
                <w:sz w:val="21"/>
                <w:szCs w:val="21"/>
              </w:rPr>
            </w:pPr>
          </w:p>
        </w:tc>
        <w:tc>
          <w:tcPr>
            <w:tcW w:w="1415" w:type="dxa"/>
            <w:vMerge w:val="restart"/>
            <w:shd w:val="clear" w:color="auto" w:fill="auto"/>
            <w:vAlign w:val="center"/>
          </w:tcPr>
          <w:p w14:paraId="1E6DA1F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b/>
                <w:bCs/>
                <w:kern w:val="0"/>
                <w:sz w:val="21"/>
                <w:szCs w:val="21"/>
              </w:rPr>
              <w:t>横城矿区</w:t>
            </w:r>
          </w:p>
        </w:tc>
        <w:tc>
          <w:tcPr>
            <w:tcW w:w="1805" w:type="dxa"/>
            <w:vMerge w:val="restart"/>
            <w:shd w:val="clear" w:color="auto" w:fill="auto"/>
            <w:vAlign w:val="center"/>
          </w:tcPr>
          <w:p w14:paraId="6EEB071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发改能源【</w:t>
            </w:r>
            <w:r>
              <w:rPr>
                <w:rFonts w:ascii="Times New Roman" w:eastAsiaTheme="minorEastAsia" w:hAnsi="Times New Roman"/>
                <w:kern w:val="0"/>
                <w:sz w:val="21"/>
                <w:szCs w:val="21"/>
              </w:rPr>
              <w:t>2004</w:t>
            </w:r>
            <w:r>
              <w:rPr>
                <w:rFonts w:ascii="Times New Roman" w:eastAsiaTheme="minorEastAsia" w:hAnsi="Times New Roman"/>
                <w:kern w:val="0"/>
                <w:sz w:val="21"/>
                <w:szCs w:val="21"/>
              </w:rPr>
              <w:t>】</w:t>
            </w:r>
            <w:r>
              <w:rPr>
                <w:rFonts w:ascii="Times New Roman" w:eastAsiaTheme="minorEastAsia" w:hAnsi="Times New Roman"/>
                <w:kern w:val="0"/>
                <w:sz w:val="21"/>
                <w:szCs w:val="21"/>
              </w:rPr>
              <w:t>2166</w:t>
            </w:r>
            <w:r>
              <w:rPr>
                <w:rFonts w:ascii="Times New Roman" w:eastAsiaTheme="minorEastAsia" w:hAnsi="Times New Roman"/>
                <w:kern w:val="0"/>
                <w:sz w:val="21"/>
                <w:szCs w:val="21"/>
              </w:rPr>
              <w:t>号</w:t>
            </w:r>
          </w:p>
        </w:tc>
        <w:tc>
          <w:tcPr>
            <w:tcW w:w="1316" w:type="dxa"/>
            <w:vMerge w:val="restart"/>
            <w:shd w:val="clear" w:color="auto" w:fill="auto"/>
            <w:vAlign w:val="center"/>
          </w:tcPr>
          <w:p w14:paraId="497C404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无</w:t>
            </w:r>
          </w:p>
        </w:tc>
        <w:tc>
          <w:tcPr>
            <w:tcW w:w="1134" w:type="dxa"/>
            <w:vMerge w:val="restart"/>
            <w:shd w:val="clear" w:color="auto" w:fill="auto"/>
            <w:vAlign w:val="center"/>
          </w:tcPr>
          <w:p w14:paraId="3EBAE57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w:t>
            </w:r>
          </w:p>
        </w:tc>
        <w:tc>
          <w:tcPr>
            <w:tcW w:w="709" w:type="dxa"/>
            <w:vMerge w:val="restart"/>
            <w:shd w:val="clear" w:color="auto" w:fill="auto"/>
            <w:vAlign w:val="center"/>
          </w:tcPr>
          <w:p w14:paraId="2302FCB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1559" w:type="dxa"/>
            <w:shd w:val="clear" w:color="auto" w:fill="auto"/>
            <w:vAlign w:val="center"/>
          </w:tcPr>
          <w:p w14:paraId="44A618E7"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红石湾</w:t>
            </w:r>
          </w:p>
        </w:tc>
        <w:tc>
          <w:tcPr>
            <w:tcW w:w="709" w:type="dxa"/>
            <w:vMerge w:val="restart"/>
            <w:shd w:val="clear" w:color="auto" w:fill="auto"/>
            <w:vAlign w:val="center"/>
          </w:tcPr>
          <w:p w14:paraId="33162BA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8.3</w:t>
            </w:r>
          </w:p>
        </w:tc>
        <w:tc>
          <w:tcPr>
            <w:tcW w:w="992" w:type="dxa"/>
            <w:shd w:val="clear" w:color="auto" w:fill="auto"/>
            <w:vAlign w:val="center"/>
          </w:tcPr>
          <w:p w14:paraId="7494DE42"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1.1</w:t>
            </w:r>
          </w:p>
        </w:tc>
        <w:tc>
          <w:tcPr>
            <w:tcW w:w="851" w:type="dxa"/>
            <w:vMerge w:val="restart"/>
            <w:shd w:val="clear" w:color="auto" w:fill="auto"/>
            <w:vAlign w:val="center"/>
          </w:tcPr>
          <w:p w14:paraId="0E1F863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1410" w:type="dxa"/>
            <w:vMerge w:val="restart"/>
            <w:shd w:val="clear" w:color="auto" w:fill="auto"/>
            <w:vAlign w:val="center"/>
          </w:tcPr>
          <w:p w14:paraId="6A6C7F6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 xml:space="preserve">已计入现状规模　</w:t>
            </w:r>
          </w:p>
        </w:tc>
        <w:tc>
          <w:tcPr>
            <w:tcW w:w="709" w:type="dxa"/>
            <w:vMerge w:val="restart"/>
            <w:shd w:val="clear" w:color="auto" w:fill="auto"/>
            <w:vAlign w:val="center"/>
          </w:tcPr>
          <w:p w14:paraId="5F5FD48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931" w:type="dxa"/>
            <w:vMerge w:val="restart"/>
            <w:shd w:val="clear" w:color="auto" w:fill="auto"/>
            <w:vAlign w:val="center"/>
          </w:tcPr>
          <w:p w14:paraId="7A69178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0D471BCD" w14:textId="77777777">
        <w:trPr>
          <w:trHeight w:val="393"/>
          <w:jc w:val="center"/>
        </w:trPr>
        <w:tc>
          <w:tcPr>
            <w:tcW w:w="716" w:type="dxa"/>
            <w:vMerge/>
            <w:vAlign w:val="center"/>
          </w:tcPr>
          <w:p w14:paraId="43627E4A"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3493A45E"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1F156891"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135941EB"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62429389"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2F22CD55"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652BF232"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马莲台</w:t>
            </w:r>
          </w:p>
        </w:tc>
        <w:tc>
          <w:tcPr>
            <w:tcW w:w="709" w:type="dxa"/>
            <w:vMerge/>
            <w:shd w:val="clear" w:color="auto" w:fill="auto"/>
            <w:vAlign w:val="center"/>
          </w:tcPr>
          <w:p w14:paraId="61F74A78"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66F0C36B"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3.6</w:t>
            </w:r>
          </w:p>
        </w:tc>
        <w:tc>
          <w:tcPr>
            <w:tcW w:w="851" w:type="dxa"/>
            <w:vMerge/>
            <w:shd w:val="clear" w:color="auto" w:fill="auto"/>
            <w:vAlign w:val="center"/>
          </w:tcPr>
          <w:p w14:paraId="3D85DA4E"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5314B488"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5C5EA936"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368E545C" w14:textId="77777777" w:rsidR="009C353B" w:rsidRDefault="009C353B">
            <w:pPr>
              <w:widowControl/>
              <w:jc w:val="center"/>
              <w:rPr>
                <w:rFonts w:ascii="Times New Roman" w:eastAsiaTheme="minorEastAsia" w:hAnsi="Times New Roman"/>
                <w:kern w:val="0"/>
                <w:sz w:val="21"/>
                <w:szCs w:val="21"/>
              </w:rPr>
            </w:pPr>
          </w:p>
        </w:tc>
      </w:tr>
      <w:tr w:rsidR="009C353B" w14:paraId="16F7D1BB" w14:textId="77777777">
        <w:trPr>
          <w:trHeight w:val="393"/>
          <w:jc w:val="center"/>
        </w:trPr>
        <w:tc>
          <w:tcPr>
            <w:tcW w:w="716" w:type="dxa"/>
            <w:vMerge/>
            <w:vAlign w:val="center"/>
          </w:tcPr>
          <w:p w14:paraId="7C023ACC"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7C968E34"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36DA68E3"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73F69A03"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567F6537"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705AE032"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6957C99C"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任家庄</w:t>
            </w:r>
          </w:p>
        </w:tc>
        <w:tc>
          <w:tcPr>
            <w:tcW w:w="709" w:type="dxa"/>
            <w:vMerge/>
            <w:shd w:val="clear" w:color="auto" w:fill="auto"/>
            <w:vAlign w:val="center"/>
          </w:tcPr>
          <w:p w14:paraId="67DE51CB"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56F4B6B5"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3.6</w:t>
            </w:r>
          </w:p>
        </w:tc>
        <w:tc>
          <w:tcPr>
            <w:tcW w:w="851" w:type="dxa"/>
            <w:vMerge/>
            <w:shd w:val="clear" w:color="auto" w:fill="auto"/>
            <w:vAlign w:val="center"/>
          </w:tcPr>
          <w:p w14:paraId="05120F0E" w14:textId="77777777" w:rsidR="009C353B" w:rsidRDefault="009C353B">
            <w:pPr>
              <w:widowControl/>
              <w:jc w:val="center"/>
              <w:rPr>
                <w:rFonts w:ascii="Times New Roman" w:eastAsiaTheme="minorEastAsia" w:hAnsi="Times New Roman"/>
                <w:kern w:val="0"/>
                <w:sz w:val="21"/>
                <w:szCs w:val="21"/>
              </w:rPr>
            </w:pPr>
          </w:p>
        </w:tc>
        <w:tc>
          <w:tcPr>
            <w:tcW w:w="1410" w:type="dxa"/>
            <w:vMerge/>
            <w:shd w:val="clear" w:color="auto" w:fill="auto"/>
            <w:vAlign w:val="center"/>
          </w:tcPr>
          <w:p w14:paraId="20D842A3"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238123AF"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2C42BA74" w14:textId="77777777" w:rsidR="009C353B" w:rsidRDefault="009C353B">
            <w:pPr>
              <w:widowControl/>
              <w:jc w:val="center"/>
              <w:rPr>
                <w:rFonts w:ascii="Times New Roman" w:eastAsiaTheme="minorEastAsia" w:hAnsi="Times New Roman"/>
                <w:kern w:val="0"/>
                <w:sz w:val="21"/>
                <w:szCs w:val="21"/>
              </w:rPr>
            </w:pPr>
          </w:p>
        </w:tc>
      </w:tr>
      <w:tr w:rsidR="009C353B" w14:paraId="1E0830CC" w14:textId="77777777">
        <w:trPr>
          <w:trHeight w:val="393"/>
          <w:jc w:val="center"/>
        </w:trPr>
        <w:tc>
          <w:tcPr>
            <w:tcW w:w="716" w:type="dxa"/>
            <w:vMerge/>
            <w:vAlign w:val="center"/>
          </w:tcPr>
          <w:p w14:paraId="3C35A164"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707D447B" w14:textId="77777777" w:rsidR="009C353B" w:rsidRDefault="009C353B">
            <w:pPr>
              <w:widowControl/>
              <w:jc w:val="center"/>
              <w:rPr>
                <w:rFonts w:ascii="Times New Roman" w:eastAsiaTheme="minorEastAsia" w:hAnsi="Times New Roman"/>
                <w:kern w:val="0"/>
                <w:sz w:val="21"/>
                <w:szCs w:val="21"/>
              </w:rPr>
            </w:pPr>
          </w:p>
        </w:tc>
        <w:tc>
          <w:tcPr>
            <w:tcW w:w="1805" w:type="dxa"/>
            <w:vMerge/>
            <w:shd w:val="clear" w:color="auto" w:fill="auto"/>
            <w:vAlign w:val="center"/>
          </w:tcPr>
          <w:p w14:paraId="10B903A5" w14:textId="77777777" w:rsidR="009C353B" w:rsidRDefault="009C353B">
            <w:pPr>
              <w:widowControl/>
              <w:jc w:val="center"/>
              <w:rPr>
                <w:rFonts w:ascii="Times New Roman" w:eastAsiaTheme="minorEastAsia" w:hAnsi="Times New Roman"/>
                <w:kern w:val="0"/>
                <w:sz w:val="21"/>
                <w:szCs w:val="21"/>
              </w:rPr>
            </w:pPr>
          </w:p>
        </w:tc>
        <w:tc>
          <w:tcPr>
            <w:tcW w:w="1316" w:type="dxa"/>
            <w:vMerge/>
            <w:shd w:val="clear" w:color="auto" w:fill="auto"/>
            <w:vAlign w:val="center"/>
          </w:tcPr>
          <w:p w14:paraId="24CD8638" w14:textId="77777777" w:rsidR="009C353B" w:rsidRDefault="009C353B">
            <w:pPr>
              <w:widowControl/>
              <w:jc w:val="center"/>
              <w:rPr>
                <w:rFonts w:ascii="Times New Roman" w:eastAsiaTheme="minorEastAsia" w:hAnsi="Times New Roman"/>
                <w:kern w:val="0"/>
                <w:sz w:val="21"/>
                <w:szCs w:val="21"/>
              </w:rPr>
            </w:pPr>
          </w:p>
        </w:tc>
        <w:tc>
          <w:tcPr>
            <w:tcW w:w="1134" w:type="dxa"/>
            <w:vMerge/>
            <w:shd w:val="clear" w:color="auto" w:fill="auto"/>
            <w:vAlign w:val="center"/>
          </w:tcPr>
          <w:p w14:paraId="7BA2CB70" w14:textId="77777777" w:rsidR="009C353B" w:rsidRDefault="009C353B">
            <w:pPr>
              <w:widowControl/>
              <w:jc w:val="center"/>
              <w:rPr>
                <w:rFonts w:ascii="Times New Roman" w:eastAsiaTheme="minorEastAsia" w:hAnsi="Times New Roman"/>
                <w:kern w:val="0"/>
                <w:sz w:val="21"/>
                <w:szCs w:val="21"/>
              </w:rPr>
            </w:pPr>
          </w:p>
        </w:tc>
        <w:tc>
          <w:tcPr>
            <w:tcW w:w="709" w:type="dxa"/>
            <w:vMerge/>
            <w:shd w:val="clear" w:color="auto" w:fill="auto"/>
            <w:vAlign w:val="center"/>
          </w:tcPr>
          <w:p w14:paraId="2F637143" w14:textId="77777777" w:rsidR="009C353B" w:rsidRDefault="009C353B">
            <w:pPr>
              <w:widowControl/>
              <w:jc w:val="center"/>
              <w:rPr>
                <w:rFonts w:ascii="Times New Roman" w:eastAsiaTheme="minorEastAsia" w:hAnsi="Times New Roman"/>
                <w:kern w:val="0"/>
                <w:sz w:val="21"/>
                <w:szCs w:val="21"/>
              </w:rPr>
            </w:pPr>
          </w:p>
        </w:tc>
        <w:tc>
          <w:tcPr>
            <w:tcW w:w="1559" w:type="dxa"/>
            <w:shd w:val="clear" w:color="auto" w:fill="auto"/>
            <w:vAlign w:val="center"/>
          </w:tcPr>
          <w:p w14:paraId="14FCEEA2"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丁家梁</w:t>
            </w:r>
          </w:p>
        </w:tc>
        <w:tc>
          <w:tcPr>
            <w:tcW w:w="709" w:type="dxa"/>
            <w:vMerge/>
            <w:shd w:val="clear" w:color="auto" w:fill="auto"/>
            <w:vAlign w:val="center"/>
          </w:tcPr>
          <w:p w14:paraId="465B87C8" w14:textId="77777777" w:rsidR="009C353B" w:rsidRDefault="009C353B">
            <w:pPr>
              <w:widowControl/>
              <w:jc w:val="center"/>
              <w:rPr>
                <w:rFonts w:ascii="Times New Roman" w:eastAsiaTheme="minorEastAsia" w:hAnsi="Times New Roman"/>
                <w:kern w:val="0"/>
                <w:sz w:val="21"/>
                <w:szCs w:val="21"/>
              </w:rPr>
            </w:pPr>
          </w:p>
        </w:tc>
        <w:tc>
          <w:tcPr>
            <w:tcW w:w="992" w:type="dxa"/>
            <w:shd w:val="clear" w:color="auto" w:fill="auto"/>
            <w:vAlign w:val="center"/>
          </w:tcPr>
          <w:p w14:paraId="4074CFB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0.9</w:t>
            </w:r>
          </w:p>
        </w:tc>
        <w:tc>
          <w:tcPr>
            <w:tcW w:w="851" w:type="dxa"/>
            <w:shd w:val="clear" w:color="auto" w:fill="auto"/>
            <w:vAlign w:val="center"/>
          </w:tcPr>
          <w:p w14:paraId="5C513A9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10" w:type="dxa"/>
            <w:shd w:val="clear" w:color="auto" w:fill="auto"/>
            <w:vAlign w:val="center"/>
          </w:tcPr>
          <w:p w14:paraId="33421CB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vAlign w:val="center"/>
          </w:tcPr>
          <w:p w14:paraId="0A5421C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931" w:type="dxa"/>
            <w:shd w:val="clear" w:color="auto" w:fill="auto"/>
            <w:vAlign w:val="center"/>
          </w:tcPr>
          <w:p w14:paraId="58A0707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停建，未计入现状规模</w:t>
            </w:r>
          </w:p>
        </w:tc>
      </w:tr>
      <w:tr w:rsidR="009C353B" w14:paraId="7BF8516F" w14:textId="77777777">
        <w:trPr>
          <w:trHeight w:val="393"/>
          <w:jc w:val="center"/>
        </w:trPr>
        <w:tc>
          <w:tcPr>
            <w:tcW w:w="716" w:type="dxa"/>
            <w:vMerge/>
            <w:vAlign w:val="center"/>
          </w:tcPr>
          <w:p w14:paraId="3B44BD3A" w14:textId="77777777" w:rsidR="009C353B" w:rsidRDefault="009C353B">
            <w:pPr>
              <w:widowControl/>
              <w:jc w:val="left"/>
              <w:rPr>
                <w:rFonts w:ascii="Times New Roman" w:eastAsiaTheme="minorEastAsia" w:hAnsi="Times New Roman"/>
                <w:kern w:val="0"/>
                <w:sz w:val="21"/>
                <w:szCs w:val="21"/>
              </w:rPr>
            </w:pPr>
          </w:p>
        </w:tc>
        <w:tc>
          <w:tcPr>
            <w:tcW w:w="1415" w:type="dxa"/>
            <w:vMerge w:val="restart"/>
            <w:shd w:val="clear" w:color="auto" w:fill="auto"/>
            <w:vAlign w:val="center"/>
          </w:tcPr>
          <w:p w14:paraId="571C3FF9"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四股泉矿区</w:t>
            </w:r>
          </w:p>
        </w:tc>
        <w:tc>
          <w:tcPr>
            <w:tcW w:w="1805" w:type="dxa"/>
            <w:vMerge w:val="restart"/>
            <w:shd w:val="clear" w:color="auto" w:fill="auto"/>
            <w:vAlign w:val="center"/>
          </w:tcPr>
          <w:p w14:paraId="71CF0E7E"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 xml:space="preserve">　</w:t>
            </w:r>
            <w:r>
              <w:rPr>
                <w:rFonts w:ascii="Times New Roman" w:eastAsiaTheme="minorEastAsia" w:hAnsi="Times New Roman"/>
                <w:kern w:val="0"/>
                <w:sz w:val="21"/>
                <w:szCs w:val="21"/>
              </w:rPr>
              <w:t>无</w:t>
            </w:r>
          </w:p>
        </w:tc>
        <w:tc>
          <w:tcPr>
            <w:tcW w:w="1316" w:type="dxa"/>
            <w:vMerge w:val="restart"/>
            <w:shd w:val="clear" w:color="auto" w:fill="auto"/>
            <w:vAlign w:val="center"/>
          </w:tcPr>
          <w:p w14:paraId="2F6BEC37"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 xml:space="preserve">　</w:t>
            </w:r>
            <w:r>
              <w:rPr>
                <w:rFonts w:ascii="Times New Roman" w:eastAsiaTheme="minorEastAsia" w:hAnsi="Times New Roman"/>
                <w:kern w:val="0"/>
                <w:sz w:val="21"/>
                <w:szCs w:val="21"/>
              </w:rPr>
              <w:t>无</w:t>
            </w:r>
          </w:p>
        </w:tc>
        <w:tc>
          <w:tcPr>
            <w:tcW w:w="1134" w:type="dxa"/>
            <w:vMerge w:val="restart"/>
            <w:shd w:val="clear" w:color="auto" w:fill="auto"/>
            <w:vAlign w:val="center"/>
          </w:tcPr>
          <w:p w14:paraId="5A51B7F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无</w:t>
            </w:r>
          </w:p>
        </w:tc>
        <w:tc>
          <w:tcPr>
            <w:tcW w:w="709" w:type="dxa"/>
            <w:vMerge w:val="restart"/>
            <w:shd w:val="clear" w:color="auto" w:fill="auto"/>
            <w:vAlign w:val="center"/>
          </w:tcPr>
          <w:p w14:paraId="0C0AA11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1559" w:type="dxa"/>
            <w:shd w:val="clear" w:color="auto" w:fill="auto"/>
            <w:vAlign w:val="center"/>
          </w:tcPr>
          <w:p w14:paraId="0ED2076F"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四股泉</w:t>
            </w:r>
          </w:p>
        </w:tc>
        <w:tc>
          <w:tcPr>
            <w:tcW w:w="709" w:type="dxa"/>
            <w:vMerge w:val="restart"/>
            <w:shd w:val="clear" w:color="auto" w:fill="auto"/>
            <w:vAlign w:val="center"/>
          </w:tcPr>
          <w:p w14:paraId="2A73E346"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w:t>
            </w:r>
          </w:p>
        </w:tc>
        <w:tc>
          <w:tcPr>
            <w:tcW w:w="992" w:type="dxa"/>
            <w:shd w:val="clear" w:color="auto" w:fill="auto"/>
            <w:vAlign w:val="center"/>
          </w:tcPr>
          <w:p w14:paraId="3AE2C5E1"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w:t>
            </w:r>
          </w:p>
        </w:tc>
        <w:tc>
          <w:tcPr>
            <w:tcW w:w="851" w:type="dxa"/>
            <w:vMerge w:val="restart"/>
            <w:shd w:val="clear" w:color="auto" w:fill="auto"/>
            <w:vAlign w:val="center"/>
          </w:tcPr>
          <w:p w14:paraId="28CE0D39"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2</w:t>
            </w:r>
            <w:r>
              <w:rPr>
                <w:rFonts w:ascii="Times New Roman" w:eastAsiaTheme="minorEastAsia" w:hAnsi="Times New Roman"/>
                <w:kern w:val="0"/>
                <w:sz w:val="21"/>
                <w:szCs w:val="21"/>
              </w:rPr>
              <w:t>/</w:t>
            </w:r>
          </w:p>
        </w:tc>
        <w:tc>
          <w:tcPr>
            <w:tcW w:w="1410" w:type="dxa"/>
            <w:vMerge w:val="restart"/>
            <w:shd w:val="clear" w:color="auto" w:fill="auto"/>
            <w:vAlign w:val="center"/>
          </w:tcPr>
          <w:p w14:paraId="03DE1E4D"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已计入现状规模</w:t>
            </w:r>
          </w:p>
        </w:tc>
        <w:tc>
          <w:tcPr>
            <w:tcW w:w="709" w:type="dxa"/>
            <w:vMerge w:val="restart"/>
            <w:shd w:val="clear" w:color="auto" w:fill="auto"/>
            <w:vAlign w:val="center"/>
          </w:tcPr>
          <w:p w14:paraId="7B3D143C" w14:textId="77777777" w:rsidR="009C353B" w:rsidRDefault="009C353B">
            <w:pPr>
              <w:widowControl/>
              <w:jc w:val="center"/>
              <w:rPr>
                <w:rFonts w:ascii="Times New Roman" w:eastAsiaTheme="minorEastAsia" w:hAnsi="Times New Roman"/>
                <w:b/>
                <w:bCs/>
                <w:kern w:val="0"/>
                <w:sz w:val="21"/>
                <w:szCs w:val="21"/>
              </w:rPr>
            </w:pPr>
          </w:p>
        </w:tc>
        <w:tc>
          <w:tcPr>
            <w:tcW w:w="931" w:type="dxa"/>
            <w:vMerge w:val="restart"/>
            <w:shd w:val="clear" w:color="auto" w:fill="auto"/>
            <w:vAlign w:val="center"/>
          </w:tcPr>
          <w:p w14:paraId="713E3EB3"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kern w:val="0"/>
                <w:sz w:val="21"/>
                <w:szCs w:val="21"/>
              </w:rPr>
              <w:t>1</w:t>
            </w:r>
            <w:r>
              <w:rPr>
                <w:rFonts w:ascii="Times New Roman" w:eastAsiaTheme="minorEastAsia" w:hAnsi="Times New Roman"/>
                <w:kern w:val="0"/>
                <w:sz w:val="21"/>
                <w:szCs w:val="21"/>
              </w:rPr>
              <w:t>个关闭</w:t>
            </w:r>
          </w:p>
        </w:tc>
      </w:tr>
      <w:tr w:rsidR="009C353B" w14:paraId="62AFA3CB" w14:textId="77777777">
        <w:trPr>
          <w:trHeight w:val="476"/>
          <w:jc w:val="center"/>
        </w:trPr>
        <w:tc>
          <w:tcPr>
            <w:tcW w:w="716" w:type="dxa"/>
            <w:vMerge/>
            <w:tcBorders>
              <w:bottom w:val="single" w:sz="4" w:space="0" w:color="auto"/>
            </w:tcBorders>
            <w:vAlign w:val="center"/>
          </w:tcPr>
          <w:p w14:paraId="00590BA2" w14:textId="77777777" w:rsidR="009C353B" w:rsidRDefault="009C353B">
            <w:pPr>
              <w:widowControl/>
              <w:jc w:val="left"/>
              <w:rPr>
                <w:rFonts w:ascii="Times New Roman" w:eastAsiaTheme="minorEastAsia" w:hAnsi="Times New Roman"/>
                <w:kern w:val="0"/>
                <w:sz w:val="21"/>
                <w:szCs w:val="21"/>
              </w:rPr>
            </w:pPr>
          </w:p>
        </w:tc>
        <w:tc>
          <w:tcPr>
            <w:tcW w:w="1415" w:type="dxa"/>
            <w:vMerge/>
            <w:tcBorders>
              <w:bottom w:val="single" w:sz="4" w:space="0" w:color="auto"/>
            </w:tcBorders>
            <w:shd w:val="clear" w:color="auto" w:fill="auto"/>
            <w:vAlign w:val="center"/>
          </w:tcPr>
          <w:p w14:paraId="73200683" w14:textId="77777777" w:rsidR="009C353B" w:rsidRDefault="009C353B">
            <w:pPr>
              <w:widowControl/>
              <w:jc w:val="center"/>
              <w:rPr>
                <w:rFonts w:ascii="Times New Roman" w:eastAsiaTheme="minorEastAsia" w:hAnsi="Times New Roman"/>
                <w:b/>
                <w:bCs/>
                <w:kern w:val="0"/>
                <w:sz w:val="21"/>
                <w:szCs w:val="21"/>
              </w:rPr>
            </w:pPr>
          </w:p>
        </w:tc>
        <w:tc>
          <w:tcPr>
            <w:tcW w:w="1805" w:type="dxa"/>
            <w:vMerge/>
            <w:tcBorders>
              <w:bottom w:val="single" w:sz="4" w:space="0" w:color="auto"/>
            </w:tcBorders>
            <w:shd w:val="clear" w:color="auto" w:fill="auto"/>
            <w:vAlign w:val="center"/>
          </w:tcPr>
          <w:p w14:paraId="2EA6C66E" w14:textId="77777777" w:rsidR="009C353B" w:rsidRDefault="009C353B">
            <w:pPr>
              <w:widowControl/>
              <w:jc w:val="center"/>
              <w:rPr>
                <w:rFonts w:ascii="Times New Roman" w:eastAsiaTheme="minorEastAsia" w:hAnsi="Times New Roman"/>
                <w:b/>
                <w:bCs/>
                <w:kern w:val="0"/>
                <w:sz w:val="21"/>
                <w:szCs w:val="21"/>
              </w:rPr>
            </w:pPr>
          </w:p>
        </w:tc>
        <w:tc>
          <w:tcPr>
            <w:tcW w:w="1316" w:type="dxa"/>
            <w:vMerge/>
            <w:tcBorders>
              <w:bottom w:val="single" w:sz="4" w:space="0" w:color="auto"/>
            </w:tcBorders>
            <w:shd w:val="clear" w:color="auto" w:fill="auto"/>
            <w:vAlign w:val="center"/>
          </w:tcPr>
          <w:p w14:paraId="4F172EF8" w14:textId="77777777" w:rsidR="009C353B" w:rsidRDefault="009C353B">
            <w:pPr>
              <w:widowControl/>
              <w:jc w:val="center"/>
              <w:rPr>
                <w:rFonts w:ascii="Times New Roman" w:eastAsiaTheme="minorEastAsia" w:hAnsi="Times New Roman"/>
                <w:b/>
                <w:bCs/>
                <w:kern w:val="0"/>
                <w:sz w:val="21"/>
                <w:szCs w:val="21"/>
              </w:rPr>
            </w:pPr>
          </w:p>
        </w:tc>
        <w:tc>
          <w:tcPr>
            <w:tcW w:w="1134" w:type="dxa"/>
            <w:vMerge/>
            <w:tcBorders>
              <w:bottom w:val="single" w:sz="4" w:space="0" w:color="auto"/>
            </w:tcBorders>
            <w:shd w:val="clear" w:color="auto" w:fill="auto"/>
            <w:vAlign w:val="center"/>
          </w:tcPr>
          <w:p w14:paraId="4771C519" w14:textId="77777777" w:rsidR="009C353B" w:rsidRDefault="009C353B">
            <w:pPr>
              <w:widowControl/>
              <w:jc w:val="center"/>
              <w:rPr>
                <w:rFonts w:ascii="Times New Roman" w:eastAsiaTheme="minorEastAsia" w:hAnsi="Times New Roman"/>
                <w:kern w:val="0"/>
                <w:sz w:val="21"/>
                <w:szCs w:val="21"/>
              </w:rPr>
            </w:pPr>
          </w:p>
        </w:tc>
        <w:tc>
          <w:tcPr>
            <w:tcW w:w="709" w:type="dxa"/>
            <w:vMerge/>
            <w:tcBorders>
              <w:bottom w:val="single" w:sz="4" w:space="0" w:color="auto"/>
            </w:tcBorders>
            <w:shd w:val="clear" w:color="auto" w:fill="auto"/>
            <w:vAlign w:val="center"/>
          </w:tcPr>
          <w:p w14:paraId="72A32439" w14:textId="77777777" w:rsidR="009C353B" w:rsidRDefault="009C353B">
            <w:pPr>
              <w:widowControl/>
              <w:jc w:val="center"/>
              <w:rPr>
                <w:rFonts w:ascii="Times New Roman" w:eastAsiaTheme="minorEastAsia" w:hAnsi="Times New Roman"/>
                <w:kern w:val="0"/>
                <w:sz w:val="21"/>
                <w:szCs w:val="21"/>
              </w:rPr>
            </w:pPr>
          </w:p>
        </w:tc>
        <w:tc>
          <w:tcPr>
            <w:tcW w:w="1559" w:type="dxa"/>
            <w:tcBorders>
              <w:bottom w:val="single" w:sz="4" w:space="0" w:color="auto"/>
            </w:tcBorders>
            <w:shd w:val="clear" w:color="auto" w:fill="auto"/>
            <w:vAlign w:val="center"/>
          </w:tcPr>
          <w:p w14:paraId="77B19E3B"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贺陡沟</w:t>
            </w:r>
          </w:p>
        </w:tc>
        <w:tc>
          <w:tcPr>
            <w:tcW w:w="709" w:type="dxa"/>
            <w:vMerge/>
            <w:tcBorders>
              <w:bottom w:val="single" w:sz="4" w:space="0" w:color="auto"/>
            </w:tcBorders>
            <w:shd w:val="clear" w:color="auto" w:fill="auto"/>
            <w:vAlign w:val="center"/>
          </w:tcPr>
          <w:p w14:paraId="741043A1" w14:textId="77777777" w:rsidR="009C353B" w:rsidRDefault="009C353B">
            <w:pPr>
              <w:jc w:val="center"/>
              <w:rPr>
                <w:rFonts w:ascii="Times New Roman" w:eastAsiaTheme="minorEastAsia" w:hAnsi="Times New Roman"/>
                <w:kern w:val="0"/>
                <w:sz w:val="21"/>
                <w:szCs w:val="21"/>
              </w:rPr>
            </w:pPr>
          </w:p>
        </w:tc>
        <w:tc>
          <w:tcPr>
            <w:tcW w:w="992" w:type="dxa"/>
            <w:tcBorders>
              <w:bottom w:val="single" w:sz="4" w:space="0" w:color="auto"/>
            </w:tcBorders>
            <w:shd w:val="clear" w:color="auto" w:fill="auto"/>
            <w:vAlign w:val="center"/>
          </w:tcPr>
          <w:p w14:paraId="2EFF5D9E"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w:t>
            </w:r>
          </w:p>
        </w:tc>
        <w:tc>
          <w:tcPr>
            <w:tcW w:w="851" w:type="dxa"/>
            <w:vMerge/>
            <w:tcBorders>
              <w:bottom w:val="single" w:sz="4" w:space="0" w:color="auto"/>
            </w:tcBorders>
            <w:shd w:val="clear" w:color="auto" w:fill="auto"/>
            <w:vAlign w:val="center"/>
          </w:tcPr>
          <w:p w14:paraId="15B7400E" w14:textId="77777777" w:rsidR="009C353B" w:rsidRDefault="009C353B">
            <w:pPr>
              <w:jc w:val="center"/>
              <w:rPr>
                <w:rFonts w:ascii="Times New Roman" w:eastAsiaTheme="minorEastAsia" w:hAnsi="Times New Roman"/>
                <w:b/>
                <w:bCs/>
                <w:kern w:val="0"/>
                <w:sz w:val="21"/>
                <w:szCs w:val="21"/>
              </w:rPr>
            </w:pPr>
          </w:p>
        </w:tc>
        <w:tc>
          <w:tcPr>
            <w:tcW w:w="1410" w:type="dxa"/>
            <w:vMerge/>
            <w:tcBorders>
              <w:bottom w:val="single" w:sz="4" w:space="0" w:color="auto"/>
            </w:tcBorders>
            <w:shd w:val="clear" w:color="auto" w:fill="auto"/>
            <w:vAlign w:val="center"/>
          </w:tcPr>
          <w:p w14:paraId="322121C4" w14:textId="77777777" w:rsidR="009C353B" w:rsidRDefault="009C353B">
            <w:pPr>
              <w:jc w:val="center"/>
              <w:rPr>
                <w:rFonts w:ascii="Times New Roman" w:eastAsiaTheme="minorEastAsia" w:hAnsi="Times New Roman"/>
                <w:b/>
                <w:bCs/>
                <w:kern w:val="0"/>
                <w:sz w:val="21"/>
                <w:szCs w:val="21"/>
              </w:rPr>
            </w:pPr>
          </w:p>
        </w:tc>
        <w:tc>
          <w:tcPr>
            <w:tcW w:w="709" w:type="dxa"/>
            <w:vMerge/>
            <w:tcBorders>
              <w:bottom w:val="single" w:sz="4" w:space="0" w:color="auto"/>
            </w:tcBorders>
            <w:shd w:val="clear" w:color="auto" w:fill="auto"/>
            <w:vAlign w:val="center"/>
          </w:tcPr>
          <w:p w14:paraId="3C193D63" w14:textId="77777777" w:rsidR="009C353B" w:rsidRDefault="009C353B">
            <w:pPr>
              <w:widowControl/>
              <w:jc w:val="center"/>
              <w:rPr>
                <w:rFonts w:ascii="Times New Roman" w:eastAsiaTheme="minorEastAsia" w:hAnsi="Times New Roman"/>
                <w:b/>
                <w:bCs/>
                <w:kern w:val="0"/>
                <w:sz w:val="21"/>
                <w:szCs w:val="21"/>
              </w:rPr>
            </w:pPr>
          </w:p>
        </w:tc>
        <w:tc>
          <w:tcPr>
            <w:tcW w:w="931" w:type="dxa"/>
            <w:vMerge/>
            <w:tcBorders>
              <w:bottom w:val="single" w:sz="4" w:space="0" w:color="auto"/>
            </w:tcBorders>
            <w:shd w:val="clear" w:color="auto" w:fill="auto"/>
            <w:vAlign w:val="center"/>
          </w:tcPr>
          <w:p w14:paraId="2F54C8FF" w14:textId="77777777" w:rsidR="009C353B" w:rsidRDefault="009C353B">
            <w:pPr>
              <w:widowControl/>
              <w:jc w:val="center"/>
              <w:rPr>
                <w:rFonts w:ascii="Times New Roman" w:eastAsiaTheme="minorEastAsia" w:hAnsi="Times New Roman"/>
                <w:b/>
                <w:bCs/>
                <w:kern w:val="0"/>
                <w:sz w:val="21"/>
                <w:szCs w:val="21"/>
              </w:rPr>
            </w:pPr>
          </w:p>
        </w:tc>
      </w:tr>
      <w:tr w:rsidR="009C353B" w14:paraId="73ECAAB2" w14:textId="77777777">
        <w:trPr>
          <w:trHeight w:val="393"/>
          <w:jc w:val="center"/>
        </w:trPr>
        <w:tc>
          <w:tcPr>
            <w:tcW w:w="716" w:type="dxa"/>
            <w:vMerge/>
            <w:vAlign w:val="center"/>
          </w:tcPr>
          <w:p w14:paraId="072B95B1" w14:textId="77777777" w:rsidR="009C353B" w:rsidRDefault="009C353B">
            <w:pPr>
              <w:widowControl/>
              <w:jc w:val="left"/>
              <w:rPr>
                <w:rFonts w:ascii="Times New Roman" w:eastAsiaTheme="minorEastAsia" w:hAnsi="Times New Roman"/>
                <w:kern w:val="0"/>
                <w:sz w:val="21"/>
                <w:szCs w:val="21"/>
              </w:rPr>
            </w:pPr>
          </w:p>
        </w:tc>
        <w:tc>
          <w:tcPr>
            <w:tcW w:w="1415" w:type="dxa"/>
            <w:vMerge w:val="restart"/>
            <w:shd w:val="clear" w:color="auto" w:fill="auto"/>
            <w:vAlign w:val="center"/>
          </w:tcPr>
          <w:p w14:paraId="2E1A4CD7"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其他地方矿井</w:t>
            </w:r>
          </w:p>
        </w:tc>
        <w:tc>
          <w:tcPr>
            <w:tcW w:w="1805" w:type="dxa"/>
            <w:shd w:val="clear" w:color="auto" w:fill="auto"/>
            <w:vAlign w:val="center"/>
          </w:tcPr>
          <w:p w14:paraId="4202AE05" w14:textId="77777777" w:rsidR="009C353B" w:rsidRDefault="009C353B">
            <w:pPr>
              <w:widowControl/>
              <w:jc w:val="center"/>
              <w:rPr>
                <w:rFonts w:ascii="Times New Roman" w:eastAsiaTheme="minorEastAsia" w:hAnsi="Times New Roman"/>
                <w:b/>
                <w:bCs/>
                <w:kern w:val="0"/>
                <w:sz w:val="21"/>
                <w:szCs w:val="21"/>
              </w:rPr>
            </w:pPr>
          </w:p>
        </w:tc>
        <w:tc>
          <w:tcPr>
            <w:tcW w:w="1316" w:type="dxa"/>
            <w:shd w:val="clear" w:color="auto" w:fill="auto"/>
            <w:vAlign w:val="center"/>
          </w:tcPr>
          <w:p w14:paraId="7BDACE74" w14:textId="77777777" w:rsidR="009C353B" w:rsidRDefault="009C353B">
            <w:pPr>
              <w:widowControl/>
              <w:jc w:val="center"/>
              <w:rPr>
                <w:rFonts w:ascii="Times New Roman" w:eastAsiaTheme="minorEastAsia" w:hAnsi="Times New Roman"/>
                <w:b/>
                <w:bCs/>
                <w:kern w:val="0"/>
                <w:sz w:val="21"/>
                <w:szCs w:val="21"/>
              </w:rPr>
            </w:pPr>
          </w:p>
        </w:tc>
        <w:tc>
          <w:tcPr>
            <w:tcW w:w="1134" w:type="dxa"/>
            <w:shd w:val="clear" w:color="auto" w:fill="auto"/>
            <w:vAlign w:val="center"/>
          </w:tcPr>
          <w:p w14:paraId="142F33C6" w14:textId="77777777" w:rsidR="009C353B" w:rsidRDefault="009C353B">
            <w:pPr>
              <w:widowControl/>
              <w:jc w:val="center"/>
              <w:rPr>
                <w:rFonts w:ascii="Times New Roman" w:eastAsiaTheme="minorEastAsia" w:hAnsi="Times New Roman"/>
                <w:b/>
                <w:bCs/>
                <w:kern w:val="0"/>
                <w:sz w:val="21"/>
                <w:szCs w:val="21"/>
              </w:rPr>
            </w:pPr>
          </w:p>
        </w:tc>
        <w:tc>
          <w:tcPr>
            <w:tcW w:w="709" w:type="dxa"/>
            <w:vMerge w:val="restart"/>
            <w:shd w:val="clear" w:color="auto" w:fill="auto"/>
            <w:vAlign w:val="center"/>
          </w:tcPr>
          <w:p w14:paraId="71E201AD" w14:textId="77777777" w:rsidR="009C353B" w:rsidRDefault="00000000">
            <w:pPr>
              <w:widowControl/>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5</w:t>
            </w:r>
          </w:p>
        </w:tc>
        <w:tc>
          <w:tcPr>
            <w:tcW w:w="1559" w:type="dxa"/>
            <w:shd w:val="clear" w:color="auto" w:fill="auto"/>
            <w:vAlign w:val="center"/>
          </w:tcPr>
          <w:p w14:paraId="06674662" w14:textId="77777777" w:rsidR="009C353B" w:rsidRDefault="00000000">
            <w:pPr>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京盛</w:t>
            </w:r>
          </w:p>
        </w:tc>
        <w:tc>
          <w:tcPr>
            <w:tcW w:w="709" w:type="dxa"/>
            <w:vMerge w:val="restart"/>
            <w:shd w:val="clear" w:color="auto" w:fill="auto"/>
            <w:vAlign w:val="center"/>
          </w:tcPr>
          <w:p w14:paraId="4303CCE2" w14:textId="77777777" w:rsidR="009C353B" w:rsidRDefault="00000000">
            <w:pPr>
              <w:widowControl/>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1.95</w:t>
            </w:r>
          </w:p>
        </w:tc>
        <w:tc>
          <w:tcPr>
            <w:tcW w:w="992" w:type="dxa"/>
            <w:shd w:val="clear" w:color="auto" w:fill="auto"/>
            <w:vAlign w:val="center"/>
          </w:tcPr>
          <w:p w14:paraId="03D7C52F" w14:textId="77777777" w:rsidR="009C353B" w:rsidRDefault="00000000">
            <w:pPr>
              <w:widowControl/>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0.6</w:t>
            </w:r>
          </w:p>
        </w:tc>
        <w:tc>
          <w:tcPr>
            <w:tcW w:w="851" w:type="dxa"/>
            <w:vMerge w:val="restart"/>
            <w:shd w:val="clear" w:color="auto" w:fill="auto"/>
            <w:vAlign w:val="center"/>
          </w:tcPr>
          <w:p w14:paraId="07B44FB4" w14:textId="77777777" w:rsidR="009C353B" w:rsidRDefault="00000000">
            <w:pPr>
              <w:widowControl/>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5</w:t>
            </w:r>
          </w:p>
        </w:tc>
        <w:tc>
          <w:tcPr>
            <w:tcW w:w="1410" w:type="dxa"/>
            <w:vMerge w:val="restart"/>
            <w:shd w:val="clear" w:color="auto" w:fill="auto"/>
            <w:vAlign w:val="center"/>
          </w:tcPr>
          <w:p w14:paraId="2B6265A3" w14:textId="77777777" w:rsidR="009C353B" w:rsidRDefault="00000000">
            <w:pPr>
              <w:widowControl/>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属宁东辖区，但不在上述矿区范围</w:t>
            </w:r>
          </w:p>
        </w:tc>
        <w:tc>
          <w:tcPr>
            <w:tcW w:w="709" w:type="dxa"/>
            <w:vMerge w:val="restart"/>
            <w:shd w:val="clear" w:color="auto" w:fill="auto"/>
            <w:vAlign w:val="center"/>
          </w:tcPr>
          <w:p w14:paraId="78E1EF5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p>
        </w:tc>
        <w:tc>
          <w:tcPr>
            <w:tcW w:w="931" w:type="dxa"/>
            <w:vMerge w:val="restart"/>
            <w:shd w:val="clear" w:color="auto" w:fill="auto"/>
            <w:vAlign w:val="center"/>
          </w:tcPr>
          <w:p w14:paraId="0EA891C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w:t>
            </w:r>
          </w:p>
        </w:tc>
      </w:tr>
      <w:tr w:rsidR="009C353B" w14:paraId="0CF891FD" w14:textId="77777777">
        <w:trPr>
          <w:trHeight w:val="393"/>
          <w:jc w:val="center"/>
        </w:trPr>
        <w:tc>
          <w:tcPr>
            <w:tcW w:w="716" w:type="dxa"/>
            <w:vMerge/>
            <w:vAlign w:val="center"/>
          </w:tcPr>
          <w:p w14:paraId="595D6C18"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7008B141" w14:textId="77777777" w:rsidR="009C353B" w:rsidRDefault="009C353B">
            <w:pPr>
              <w:widowControl/>
              <w:jc w:val="center"/>
              <w:rPr>
                <w:rFonts w:ascii="Times New Roman" w:eastAsiaTheme="minorEastAsia" w:hAnsi="Times New Roman"/>
                <w:b/>
                <w:bCs/>
                <w:kern w:val="0"/>
                <w:sz w:val="21"/>
                <w:szCs w:val="21"/>
              </w:rPr>
            </w:pPr>
          </w:p>
        </w:tc>
        <w:tc>
          <w:tcPr>
            <w:tcW w:w="1805" w:type="dxa"/>
            <w:shd w:val="clear" w:color="auto" w:fill="auto"/>
            <w:vAlign w:val="center"/>
          </w:tcPr>
          <w:p w14:paraId="1884F0F8" w14:textId="77777777" w:rsidR="009C353B" w:rsidRDefault="009C353B">
            <w:pPr>
              <w:widowControl/>
              <w:jc w:val="center"/>
              <w:rPr>
                <w:rFonts w:ascii="Times New Roman" w:eastAsiaTheme="minorEastAsia" w:hAnsi="Times New Roman"/>
                <w:b/>
                <w:bCs/>
                <w:kern w:val="0"/>
                <w:sz w:val="21"/>
                <w:szCs w:val="21"/>
              </w:rPr>
            </w:pPr>
          </w:p>
        </w:tc>
        <w:tc>
          <w:tcPr>
            <w:tcW w:w="1316" w:type="dxa"/>
            <w:shd w:val="clear" w:color="auto" w:fill="auto"/>
            <w:vAlign w:val="center"/>
          </w:tcPr>
          <w:p w14:paraId="3F1D125E" w14:textId="77777777" w:rsidR="009C353B" w:rsidRDefault="009C353B">
            <w:pPr>
              <w:widowControl/>
              <w:jc w:val="center"/>
              <w:rPr>
                <w:rFonts w:ascii="Times New Roman" w:eastAsiaTheme="minorEastAsia" w:hAnsi="Times New Roman"/>
                <w:b/>
                <w:bCs/>
                <w:kern w:val="0"/>
                <w:sz w:val="21"/>
                <w:szCs w:val="21"/>
              </w:rPr>
            </w:pPr>
          </w:p>
        </w:tc>
        <w:tc>
          <w:tcPr>
            <w:tcW w:w="1134" w:type="dxa"/>
            <w:shd w:val="clear" w:color="auto" w:fill="auto"/>
            <w:vAlign w:val="center"/>
          </w:tcPr>
          <w:p w14:paraId="5956636F" w14:textId="77777777" w:rsidR="009C353B" w:rsidRDefault="009C353B">
            <w:pPr>
              <w:widowControl/>
              <w:jc w:val="center"/>
              <w:rPr>
                <w:rFonts w:ascii="Times New Roman" w:eastAsiaTheme="minorEastAsia" w:hAnsi="Times New Roman"/>
                <w:b/>
                <w:bCs/>
                <w:kern w:val="0"/>
                <w:sz w:val="21"/>
                <w:szCs w:val="21"/>
              </w:rPr>
            </w:pPr>
          </w:p>
        </w:tc>
        <w:tc>
          <w:tcPr>
            <w:tcW w:w="709" w:type="dxa"/>
            <w:vMerge/>
            <w:shd w:val="clear" w:color="auto" w:fill="auto"/>
            <w:vAlign w:val="center"/>
          </w:tcPr>
          <w:p w14:paraId="62317782" w14:textId="77777777" w:rsidR="009C353B" w:rsidRDefault="009C353B">
            <w:pPr>
              <w:widowControl/>
              <w:jc w:val="center"/>
              <w:rPr>
                <w:rFonts w:ascii="Times New Roman" w:eastAsiaTheme="minorEastAsia" w:hAnsi="Times New Roman"/>
                <w:bCs/>
                <w:kern w:val="0"/>
                <w:sz w:val="21"/>
                <w:szCs w:val="21"/>
              </w:rPr>
            </w:pPr>
          </w:p>
        </w:tc>
        <w:tc>
          <w:tcPr>
            <w:tcW w:w="1559" w:type="dxa"/>
            <w:shd w:val="clear" w:color="auto" w:fill="auto"/>
            <w:vAlign w:val="center"/>
          </w:tcPr>
          <w:p w14:paraId="1EC29C6E" w14:textId="77777777" w:rsidR="009C353B" w:rsidRDefault="00000000">
            <w:pPr>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羊四</w:t>
            </w:r>
          </w:p>
        </w:tc>
        <w:tc>
          <w:tcPr>
            <w:tcW w:w="709" w:type="dxa"/>
            <w:vMerge/>
            <w:shd w:val="clear" w:color="auto" w:fill="auto"/>
            <w:vAlign w:val="center"/>
          </w:tcPr>
          <w:p w14:paraId="2AF7F883" w14:textId="77777777" w:rsidR="009C353B" w:rsidRDefault="009C353B">
            <w:pPr>
              <w:widowControl/>
              <w:jc w:val="center"/>
              <w:rPr>
                <w:rFonts w:ascii="Times New Roman" w:eastAsiaTheme="minorEastAsia" w:hAnsi="Times New Roman"/>
                <w:bCs/>
                <w:kern w:val="0"/>
                <w:sz w:val="21"/>
                <w:szCs w:val="21"/>
              </w:rPr>
            </w:pPr>
          </w:p>
        </w:tc>
        <w:tc>
          <w:tcPr>
            <w:tcW w:w="992" w:type="dxa"/>
            <w:shd w:val="clear" w:color="auto" w:fill="auto"/>
            <w:vAlign w:val="center"/>
          </w:tcPr>
          <w:p w14:paraId="0605772F" w14:textId="77777777" w:rsidR="009C353B" w:rsidRDefault="00000000">
            <w:pPr>
              <w:widowControl/>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0.45</w:t>
            </w:r>
          </w:p>
        </w:tc>
        <w:tc>
          <w:tcPr>
            <w:tcW w:w="851" w:type="dxa"/>
            <w:vMerge/>
            <w:shd w:val="clear" w:color="auto" w:fill="auto"/>
            <w:vAlign w:val="center"/>
          </w:tcPr>
          <w:p w14:paraId="1ABA0564" w14:textId="77777777" w:rsidR="009C353B" w:rsidRDefault="009C353B">
            <w:pPr>
              <w:widowControl/>
              <w:jc w:val="center"/>
              <w:rPr>
                <w:rFonts w:ascii="Times New Roman" w:eastAsiaTheme="minorEastAsia" w:hAnsi="Times New Roman"/>
                <w:b/>
                <w:bCs/>
                <w:kern w:val="0"/>
                <w:sz w:val="21"/>
                <w:szCs w:val="21"/>
              </w:rPr>
            </w:pPr>
          </w:p>
        </w:tc>
        <w:tc>
          <w:tcPr>
            <w:tcW w:w="1410" w:type="dxa"/>
            <w:vMerge/>
            <w:shd w:val="clear" w:color="auto" w:fill="auto"/>
            <w:vAlign w:val="center"/>
          </w:tcPr>
          <w:p w14:paraId="6D6D9375" w14:textId="77777777" w:rsidR="009C353B" w:rsidRDefault="009C353B">
            <w:pPr>
              <w:widowControl/>
              <w:jc w:val="center"/>
              <w:rPr>
                <w:rFonts w:ascii="Times New Roman" w:eastAsiaTheme="minorEastAsia" w:hAnsi="Times New Roman"/>
                <w:b/>
                <w:bCs/>
                <w:kern w:val="0"/>
                <w:sz w:val="21"/>
                <w:szCs w:val="21"/>
              </w:rPr>
            </w:pPr>
          </w:p>
        </w:tc>
        <w:tc>
          <w:tcPr>
            <w:tcW w:w="709" w:type="dxa"/>
            <w:vMerge/>
            <w:shd w:val="clear" w:color="auto" w:fill="auto"/>
            <w:vAlign w:val="center"/>
          </w:tcPr>
          <w:p w14:paraId="1FBEF04F"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7B15C376" w14:textId="77777777" w:rsidR="009C353B" w:rsidRDefault="009C353B">
            <w:pPr>
              <w:widowControl/>
              <w:jc w:val="center"/>
              <w:rPr>
                <w:rFonts w:ascii="Times New Roman" w:eastAsiaTheme="minorEastAsia" w:hAnsi="Times New Roman"/>
                <w:kern w:val="0"/>
                <w:sz w:val="21"/>
                <w:szCs w:val="21"/>
              </w:rPr>
            </w:pPr>
          </w:p>
        </w:tc>
      </w:tr>
      <w:tr w:rsidR="009C353B" w14:paraId="03177521" w14:textId="77777777">
        <w:trPr>
          <w:trHeight w:val="393"/>
          <w:jc w:val="center"/>
        </w:trPr>
        <w:tc>
          <w:tcPr>
            <w:tcW w:w="716" w:type="dxa"/>
            <w:vMerge/>
            <w:vAlign w:val="center"/>
          </w:tcPr>
          <w:p w14:paraId="37053DCC"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5F209F5D" w14:textId="77777777" w:rsidR="009C353B" w:rsidRDefault="009C353B">
            <w:pPr>
              <w:widowControl/>
              <w:jc w:val="center"/>
              <w:rPr>
                <w:rFonts w:ascii="Times New Roman" w:eastAsiaTheme="minorEastAsia" w:hAnsi="Times New Roman"/>
                <w:b/>
                <w:bCs/>
                <w:kern w:val="0"/>
                <w:sz w:val="21"/>
                <w:szCs w:val="21"/>
              </w:rPr>
            </w:pPr>
          </w:p>
        </w:tc>
        <w:tc>
          <w:tcPr>
            <w:tcW w:w="1805" w:type="dxa"/>
            <w:shd w:val="clear" w:color="auto" w:fill="auto"/>
            <w:vAlign w:val="center"/>
          </w:tcPr>
          <w:p w14:paraId="018E8DFA" w14:textId="77777777" w:rsidR="009C353B" w:rsidRDefault="009C353B">
            <w:pPr>
              <w:widowControl/>
              <w:jc w:val="center"/>
              <w:rPr>
                <w:rFonts w:ascii="Times New Roman" w:eastAsiaTheme="minorEastAsia" w:hAnsi="Times New Roman"/>
                <w:b/>
                <w:bCs/>
                <w:kern w:val="0"/>
                <w:sz w:val="21"/>
                <w:szCs w:val="21"/>
              </w:rPr>
            </w:pPr>
          </w:p>
        </w:tc>
        <w:tc>
          <w:tcPr>
            <w:tcW w:w="1316" w:type="dxa"/>
            <w:shd w:val="clear" w:color="auto" w:fill="auto"/>
            <w:vAlign w:val="center"/>
          </w:tcPr>
          <w:p w14:paraId="54E96578" w14:textId="77777777" w:rsidR="009C353B" w:rsidRDefault="009C353B">
            <w:pPr>
              <w:widowControl/>
              <w:jc w:val="center"/>
              <w:rPr>
                <w:rFonts w:ascii="Times New Roman" w:eastAsiaTheme="minorEastAsia" w:hAnsi="Times New Roman"/>
                <w:b/>
                <w:bCs/>
                <w:kern w:val="0"/>
                <w:sz w:val="21"/>
                <w:szCs w:val="21"/>
              </w:rPr>
            </w:pPr>
          </w:p>
        </w:tc>
        <w:tc>
          <w:tcPr>
            <w:tcW w:w="1134" w:type="dxa"/>
            <w:shd w:val="clear" w:color="auto" w:fill="auto"/>
            <w:vAlign w:val="center"/>
          </w:tcPr>
          <w:p w14:paraId="18E68889" w14:textId="77777777" w:rsidR="009C353B" w:rsidRDefault="009C353B">
            <w:pPr>
              <w:widowControl/>
              <w:jc w:val="center"/>
              <w:rPr>
                <w:rFonts w:ascii="Times New Roman" w:eastAsiaTheme="minorEastAsia" w:hAnsi="Times New Roman"/>
                <w:b/>
                <w:bCs/>
                <w:kern w:val="0"/>
                <w:sz w:val="21"/>
                <w:szCs w:val="21"/>
              </w:rPr>
            </w:pPr>
          </w:p>
        </w:tc>
        <w:tc>
          <w:tcPr>
            <w:tcW w:w="709" w:type="dxa"/>
            <w:vMerge/>
            <w:shd w:val="clear" w:color="auto" w:fill="auto"/>
            <w:vAlign w:val="center"/>
          </w:tcPr>
          <w:p w14:paraId="5F10A9D6" w14:textId="77777777" w:rsidR="009C353B" w:rsidRDefault="009C353B">
            <w:pPr>
              <w:widowControl/>
              <w:jc w:val="center"/>
              <w:rPr>
                <w:rFonts w:ascii="Times New Roman" w:eastAsiaTheme="minorEastAsia" w:hAnsi="Times New Roman"/>
                <w:bCs/>
                <w:kern w:val="0"/>
                <w:sz w:val="21"/>
                <w:szCs w:val="21"/>
              </w:rPr>
            </w:pPr>
          </w:p>
        </w:tc>
        <w:tc>
          <w:tcPr>
            <w:tcW w:w="1559" w:type="dxa"/>
            <w:shd w:val="clear" w:color="auto" w:fill="auto"/>
            <w:vAlign w:val="center"/>
          </w:tcPr>
          <w:p w14:paraId="1D506E2E" w14:textId="77777777" w:rsidR="009C353B" w:rsidRDefault="00000000">
            <w:pPr>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暖泉</w:t>
            </w:r>
          </w:p>
        </w:tc>
        <w:tc>
          <w:tcPr>
            <w:tcW w:w="709" w:type="dxa"/>
            <w:vMerge/>
            <w:shd w:val="clear" w:color="auto" w:fill="auto"/>
            <w:vAlign w:val="center"/>
          </w:tcPr>
          <w:p w14:paraId="319FA2B8" w14:textId="77777777" w:rsidR="009C353B" w:rsidRDefault="009C353B">
            <w:pPr>
              <w:widowControl/>
              <w:jc w:val="center"/>
              <w:rPr>
                <w:rFonts w:ascii="Times New Roman" w:eastAsiaTheme="minorEastAsia" w:hAnsi="Times New Roman"/>
                <w:bCs/>
                <w:kern w:val="0"/>
                <w:sz w:val="21"/>
                <w:szCs w:val="21"/>
              </w:rPr>
            </w:pPr>
          </w:p>
        </w:tc>
        <w:tc>
          <w:tcPr>
            <w:tcW w:w="992" w:type="dxa"/>
            <w:shd w:val="clear" w:color="auto" w:fill="auto"/>
            <w:vAlign w:val="center"/>
          </w:tcPr>
          <w:p w14:paraId="543235AC" w14:textId="77777777" w:rsidR="009C353B" w:rsidRDefault="00000000">
            <w:pPr>
              <w:widowControl/>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0.3</w:t>
            </w:r>
          </w:p>
        </w:tc>
        <w:tc>
          <w:tcPr>
            <w:tcW w:w="851" w:type="dxa"/>
            <w:vMerge/>
            <w:shd w:val="clear" w:color="auto" w:fill="auto"/>
            <w:vAlign w:val="center"/>
          </w:tcPr>
          <w:p w14:paraId="2541F69B" w14:textId="77777777" w:rsidR="009C353B" w:rsidRDefault="009C353B">
            <w:pPr>
              <w:widowControl/>
              <w:jc w:val="center"/>
              <w:rPr>
                <w:rFonts w:ascii="Times New Roman" w:eastAsiaTheme="minorEastAsia" w:hAnsi="Times New Roman"/>
                <w:b/>
                <w:bCs/>
                <w:kern w:val="0"/>
                <w:sz w:val="21"/>
                <w:szCs w:val="21"/>
              </w:rPr>
            </w:pPr>
          </w:p>
        </w:tc>
        <w:tc>
          <w:tcPr>
            <w:tcW w:w="1410" w:type="dxa"/>
            <w:vMerge/>
            <w:shd w:val="clear" w:color="auto" w:fill="auto"/>
            <w:vAlign w:val="center"/>
          </w:tcPr>
          <w:p w14:paraId="6E9E5A18" w14:textId="77777777" w:rsidR="009C353B" w:rsidRDefault="009C353B">
            <w:pPr>
              <w:widowControl/>
              <w:jc w:val="center"/>
              <w:rPr>
                <w:rFonts w:ascii="Times New Roman" w:eastAsiaTheme="minorEastAsia" w:hAnsi="Times New Roman"/>
                <w:b/>
                <w:bCs/>
                <w:kern w:val="0"/>
                <w:sz w:val="21"/>
                <w:szCs w:val="21"/>
              </w:rPr>
            </w:pPr>
          </w:p>
        </w:tc>
        <w:tc>
          <w:tcPr>
            <w:tcW w:w="709" w:type="dxa"/>
            <w:vMerge/>
            <w:shd w:val="clear" w:color="auto" w:fill="auto"/>
            <w:vAlign w:val="center"/>
          </w:tcPr>
          <w:p w14:paraId="4BF336FD"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4C9173E2" w14:textId="77777777" w:rsidR="009C353B" w:rsidRDefault="009C353B">
            <w:pPr>
              <w:widowControl/>
              <w:jc w:val="center"/>
              <w:rPr>
                <w:rFonts w:ascii="Times New Roman" w:eastAsiaTheme="minorEastAsia" w:hAnsi="Times New Roman"/>
                <w:kern w:val="0"/>
                <w:sz w:val="21"/>
                <w:szCs w:val="21"/>
              </w:rPr>
            </w:pPr>
          </w:p>
        </w:tc>
      </w:tr>
      <w:tr w:rsidR="009C353B" w14:paraId="490F696D" w14:textId="77777777">
        <w:trPr>
          <w:trHeight w:val="393"/>
          <w:jc w:val="center"/>
        </w:trPr>
        <w:tc>
          <w:tcPr>
            <w:tcW w:w="716" w:type="dxa"/>
            <w:vMerge/>
            <w:vAlign w:val="center"/>
          </w:tcPr>
          <w:p w14:paraId="35F5262A"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18C5F56D" w14:textId="77777777" w:rsidR="009C353B" w:rsidRDefault="009C353B">
            <w:pPr>
              <w:widowControl/>
              <w:jc w:val="center"/>
              <w:rPr>
                <w:rFonts w:ascii="Times New Roman" w:eastAsiaTheme="minorEastAsia" w:hAnsi="Times New Roman"/>
                <w:b/>
                <w:bCs/>
                <w:kern w:val="0"/>
                <w:sz w:val="21"/>
                <w:szCs w:val="21"/>
              </w:rPr>
            </w:pPr>
          </w:p>
        </w:tc>
        <w:tc>
          <w:tcPr>
            <w:tcW w:w="1805" w:type="dxa"/>
            <w:shd w:val="clear" w:color="auto" w:fill="auto"/>
            <w:vAlign w:val="center"/>
          </w:tcPr>
          <w:p w14:paraId="7D650ABF" w14:textId="77777777" w:rsidR="009C353B" w:rsidRDefault="009C353B">
            <w:pPr>
              <w:widowControl/>
              <w:jc w:val="center"/>
              <w:rPr>
                <w:rFonts w:ascii="Times New Roman" w:eastAsiaTheme="minorEastAsia" w:hAnsi="Times New Roman"/>
                <w:b/>
                <w:bCs/>
                <w:kern w:val="0"/>
                <w:sz w:val="21"/>
                <w:szCs w:val="21"/>
              </w:rPr>
            </w:pPr>
          </w:p>
        </w:tc>
        <w:tc>
          <w:tcPr>
            <w:tcW w:w="1316" w:type="dxa"/>
            <w:shd w:val="clear" w:color="auto" w:fill="auto"/>
            <w:vAlign w:val="center"/>
          </w:tcPr>
          <w:p w14:paraId="285A2B69" w14:textId="77777777" w:rsidR="009C353B" w:rsidRDefault="009C353B">
            <w:pPr>
              <w:widowControl/>
              <w:jc w:val="center"/>
              <w:rPr>
                <w:rFonts w:ascii="Times New Roman" w:eastAsiaTheme="minorEastAsia" w:hAnsi="Times New Roman"/>
                <w:b/>
                <w:bCs/>
                <w:kern w:val="0"/>
                <w:sz w:val="21"/>
                <w:szCs w:val="21"/>
              </w:rPr>
            </w:pPr>
          </w:p>
        </w:tc>
        <w:tc>
          <w:tcPr>
            <w:tcW w:w="1134" w:type="dxa"/>
            <w:shd w:val="clear" w:color="auto" w:fill="auto"/>
            <w:vAlign w:val="center"/>
          </w:tcPr>
          <w:p w14:paraId="264035E2" w14:textId="77777777" w:rsidR="009C353B" w:rsidRDefault="009C353B">
            <w:pPr>
              <w:widowControl/>
              <w:jc w:val="center"/>
              <w:rPr>
                <w:rFonts w:ascii="Times New Roman" w:eastAsiaTheme="minorEastAsia" w:hAnsi="Times New Roman"/>
                <w:b/>
                <w:bCs/>
                <w:kern w:val="0"/>
                <w:sz w:val="21"/>
                <w:szCs w:val="21"/>
              </w:rPr>
            </w:pPr>
          </w:p>
        </w:tc>
        <w:tc>
          <w:tcPr>
            <w:tcW w:w="709" w:type="dxa"/>
            <w:vMerge/>
            <w:shd w:val="clear" w:color="auto" w:fill="auto"/>
            <w:vAlign w:val="center"/>
          </w:tcPr>
          <w:p w14:paraId="085FF7AC" w14:textId="77777777" w:rsidR="009C353B" w:rsidRDefault="009C353B">
            <w:pPr>
              <w:widowControl/>
              <w:jc w:val="center"/>
              <w:rPr>
                <w:rFonts w:ascii="Times New Roman" w:eastAsiaTheme="minorEastAsia" w:hAnsi="Times New Roman"/>
                <w:bCs/>
                <w:kern w:val="0"/>
                <w:sz w:val="21"/>
                <w:szCs w:val="21"/>
              </w:rPr>
            </w:pPr>
          </w:p>
        </w:tc>
        <w:tc>
          <w:tcPr>
            <w:tcW w:w="1559" w:type="dxa"/>
            <w:shd w:val="clear" w:color="auto" w:fill="auto"/>
            <w:vAlign w:val="center"/>
          </w:tcPr>
          <w:p w14:paraId="64AD296B" w14:textId="77777777" w:rsidR="009C353B" w:rsidRDefault="00000000">
            <w:pPr>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福翔</w:t>
            </w:r>
          </w:p>
        </w:tc>
        <w:tc>
          <w:tcPr>
            <w:tcW w:w="709" w:type="dxa"/>
            <w:vMerge/>
            <w:shd w:val="clear" w:color="auto" w:fill="auto"/>
            <w:vAlign w:val="center"/>
          </w:tcPr>
          <w:p w14:paraId="621AE6F4" w14:textId="77777777" w:rsidR="009C353B" w:rsidRDefault="009C353B">
            <w:pPr>
              <w:widowControl/>
              <w:jc w:val="center"/>
              <w:rPr>
                <w:rFonts w:ascii="Times New Roman" w:eastAsiaTheme="minorEastAsia" w:hAnsi="Times New Roman"/>
                <w:bCs/>
                <w:kern w:val="0"/>
                <w:sz w:val="21"/>
                <w:szCs w:val="21"/>
              </w:rPr>
            </w:pPr>
          </w:p>
        </w:tc>
        <w:tc>
          <w:tcPr>
            <w:tcW w:w="992" w:type="dxa"/>
            <w:shd w:val="clear" w:color="auto" w:fill="auto"/>
            <w:vAlign w:val="center"/>
          </w:tcPr>
          <w:p w14:paraId="3D1B0CDC" w14:textId="77777777" w:rsidR="009C353B" w:rsidRDefault="00000000">
            <w:pPr>
              <w:widowControl/>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0.3</w:t>
            </w:r>
          </w:p>
        </w:tc>
        <w:tc>
          <w:tcPr>
            <w:tcW w:w="851" w:type="dxa"/>
            <w:vMerge/>
            <w:shd w:val="clear" w:color="auto" w:fill="auto"/>
            <w:vAlign w:val="center"/>
          </w:tcPr>
          <w:p w14:paraId="51C9352E" w14:textId="77777777" w:rsidR="009C353B" w:rsidRDefault="009C353B">
            <w:pPr>
              <w:widowControl/>
              <w:jc w:val="center"/>
              <w:rPr>
                <w:rFonts w:ascii="Times New Roman" w:eastAsiaTheme="minorEastAsia" w:hAnsi="Times New Roman"/>
                <w:b/>
                <w:bCs/>
                <w:kern w:val="0"/>
                <w:sz w:val="21"/>
                <w:szCs w:val="21"/>
              </w:rPr>
            </w:pPr>
          </w:p>
        </w:tc>
        <w:tc>
          <w:tcPr>
            <w:tcW w:w="1410" w:type="dxa"/>
            <w:vMerge/>
            <w:shd w:val="clear" w:color="auto" w:fill="auto"/>
            <w:vAlign w:val="center"/>
          </w:tcPr>
          <w:p w14:paraId="2F09F6B6" w14:textId="77777777" w:rsidR="009C353B" w:rsidRDefault="009C353B">
            <w:pPr>
              <w:widowControl/>
              <w:jc w:val="center"/>
              <w:rPr>
                <w:rFonts w:ascii="Times New Roman" w:eastAsiaTheme="minorEastAsia" w:hAnsi="Times New Roman"/>
                <w:b/>
                <w:bCs/>
                <w:kern w:val="0"/>
                <w:sz w:val="21"/>
                <w:szCs w:val="21"/>
              </w:rPr>
            </w:pPr>
          </w:p>
        </w:tc>
        <w:tc>
          <w:tcPr>
            <w:tcW w:w="709" w:type="dxa"/>
            <w:vMerge/>
            <w:shd w:val="clear" w:color="auto" w:fill="auto"/>
            <w:vAlign w:val="center"/>
          </w:tcPr>
          <w:p w14:paraId="2C4A6528"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3D177C7C" w14:textId="77777777" w:rsidR="009C353B" w:rsidRDefault="009C353B">
            <w:pPr>
              <w:widowControl/>
              <w:jc w:val="center"/>
              <w:rPr>
                <w:rFonts w:ascii="Times New Roman" w:eastAsiaTheme="minorEastAsia" w:hAnsi="Times New Roman"/>
                <w:kern w:val="0"/>
                <w:sz w:val="21"/>
                <w:szCs w:val="21"/>
              </w:rPr>
            </w:pPr>
          </w:p>
        </w:tc>
      </w:tr>
      <w:tr w:rsidR="009C353B" w14:paraId="0F3100A8" w14:textId="77777777">
        <w:trPr>
          <w:trHeight w:val="393"/>
          <w:jc w:val="center"/>
        </w:trPr>
        <w:tc>
          <w:tcPr>
            <w:tcW w:w="716" w:type="dxa"/>
            <w:vMerge/>
            <w:vAlign w:val="center"/>
          </w:tcPr>
          <w:p w14:paraId="6F4C6644" w14:textId="77777777" w:rsidR="009C353B" w:rsidRDefault="009C353B">
            <w:pPr>
              <w:widowControl/>
              <w:jc w:val="left"/>
              <w:rPr>
                <w:rFonts w:ascii="Times New Roman" w:eastAsiaTheme="minorEastAsia" w:hAnsi="Times New Roman"/>
                <w:kern w:val="0"/>
                <w:sz w:val="21"/>
                <w:szCs w:val="21"/>
              </w:rPr>
            </w:pPr>
          </w:p>
        </w:tc>
        <w:tc>
          <w:tcPr>
            <w:tcW w:w="1415" w:type="dxa"/>
            <w:vMerge/>
            <w:shd w:val="clear" w:color="auto" w:fill="auto"/>
            <w:vAlign w:val="center"/>
          </w:tcPr>
          <w:p w14:paraId="60FC3F94" w14:textId="77777777" w:rsidR="009C353B" w:rsidRDefault="009C353B">
            <w:pPr>
              <w:widowControl/>
              <w:jc w:val="center"/>
              <w:rPr>
                <w:rFonts w:ascii="Times New Roman" w:eastAsiaTheme="minorEastAsia" w:hAnsi="Times New Roman"/>
                <w:b/>
                <w:bCs/>
                <w:kern w:val="0"/>
                <w:sz w:val="21"/>
                <w:szCs w:val="21"/>
              </w:rPr>
            </w:pPr>
          </w:p>
        </w:tc>
        <w:tc>
          <w:tcPr>
            <w:tcW w:w="1805" w:type="dxa"/>
            <w:shd w:val="clear" w:color="auto" w:fill="auto"/>
            <w:vAlign w:val="center"/>
          </w:tcPr>
          <w:p w14:paraId="481FFACA" w14:textId="77777777" w:rsidR="009C353B" w:rsidRDefault="009C353B">
            <w:pPr>
              <w:widowControl/>
              <w:jc w:val="center"/>
              <w:rPr>
                <w:rFonts w:ascii="Times New Roman" w:eastAsiaTheme="minorEastAsia" w:hAnsi="Times New Roman"/>
                <w:b/>
                <w:bCs/>
                <w:kern w:val="0"/>
                <w:sz w:val="21"/>
                <w:szCs w:val="21"/>
              </w:rPr>
            </w:pPr>
          </w:p>
        </w:tc>
        <w:tc>
          <w:tcPr>
            <w:tcW w:w="1316" w:type="dxa"/>
            <w:shd w:val="clear" w:color="auto" w:fill="auto"/>
            <w:vAlign w:val="center"/>
          </w:tcPr>
          <w:p w14:paraId="0DE4F20D" w14:textId="77777777" w:rsidR="009C353B" w:rsidRDefault="009C353B">
            <w:pPr>
              <w:widowControl/>
              <w:jc w:val="center"/>
              <w:rPr>
                <w:rFonts w:ascii="Times New Roman" w:eastAsiaTheme="minorEastAsia" w:hAnsi="Times New Roman"/>
                <w:b/>
                <w:bCs/>
                <w:kern w:val="0"/>
                <w:sz w:val="21"/>
                <w:szCs w:val="21"/>
              </w:rPr>
            </w:pPr>
          </w:p>
        </w:tc>
        <w:tc>
          <w:tcPr>
            <w:tcW w:w="1134" w:type="dxa"/>
            <w:shd w:val="clear" w:color="auto" w:fill="auto"/>
            <w:vAlign w:val="center"/>
          </w:tcPr>
          <w:p w14:paraId="232687F5" w14:textId="77777777" w:rsidR="009C353B" w:rsidRDefault="009C353B">
            <w:pPr>
              <w:widowControl/>
              <w:jc w:val="center"/>
              <w:rPr>
                <w:rFonts w:ascii="Times New Roman" w:eastAsiaTheme="minorEastAsia" w:hAnsi="Times New Roman"/>
                <w:b/>
                <w:bCs/>
                <w:kern w:val="0"/>
                <w:sz w:val="21"/>
                <w:szCs w:val="21"/>
              </w:rPr>
            </w:pPr>
          </w:p>
        </w:tc>
        <w:tc>
          <w:tcPr>
            <w:tcW w:w="709" w:type="dxa"/>
            <w:vMerge/>
            <w:shd w:val="clear" w:color="auto" w:fill="auto"/>
            <w:vAlign w:val="center"/>
          </w:tcPr>
          <w:p w14:paraId="183A946E" w14:textId="77777777" w:rsidR="009C353B" w:rsidRDefault="009C353B">
            <w:pPr>
              <w:widowControl/>
              <w:jc w:val="center"/>
              <w:rPr>
                <w:rFonts w:ascii="Times New Roman" w:eastAsiaTheme="minorEastAsia" w:hAnsi="Times New Roman"/>
                <w:bCs/>
                <w:kern w:val="0"/>
                <w:sz w:val="21"/>
                <w:szCs w:val="21"/>
              </w:rPr>
            </w:pPr>
          </w:p>
        </w:tc>
        <w:tc>
          <w:tcPr>
            <w:tcW w:w="1559" w:type="dxa"/>
            <w:shd w:val="clear" w:color="auto" w:fill="auto"/>
            <w:vAlign w:val="center"/>
          </w:tcPr>
          <w:p w14:paraId="1A5CEBF2" w14:textId="77777777" w:rsidR="009C353B" w:rsidRDefault="00000000">
            <w:pPr>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小泉</w:t>
            </w:r>
          </w:p>
        </w:tc>
        <w:tc>
          <w:tcPr>
            <w:tcW w:w="709" w:type="dxa"/>
            <w:vMerge/>
            <w:shd w:val="clear" w:color="auto" w:fill="auto"/>
            <w:vAlign w:val="center"/>
          </w:tcPr>
          <w:p w14:paraId="79D46E4A" w14:textId="77777777" w:rsidR="009C353B" w:rsidRDefault="009C353B">
            <w:pPr>
              <w:widowControl/>
              <w:jc w:val="center"/>
              <w:rPr>
                <w:rFonts w:ascii="Times New Roman" w:eastAsiaTheme="minorEastAsia" w:hAnsi="Times New Roman"/>
                <w:bCs/>
                <w:kern w:val="0"/>
                <w:sz w:val="21"/>
                <w:szCs w:val="21"/>
              </w:rPr>
            </w:pPr>
          </w:p>
        </w:tc>
        <w:tc>
          <w:tcPr>
            <w:tcW w:w="992" w:type="dxa"/>
            <w:shd w:val="clear" w:color="auto" w:fill="auto"/>
            <w:vAlign w:val="center"/>
          </w:tcPr>
          <w:p w14:paraId="659802BE" w14:textId="77777777" w:rsidR="009C353B" w:rsidRDefault="00000000">
            <w:pPr>
              <w:widowControl/>
              <w:jc w:val="center"/>
              <w:rPr>
                <w:rFonts w:ascii="Times New Roman" w:eastAsiaTheme="minorEastAsia" w:hAnsi="Times New Roman"/>
                <w:bCs/>
                <w:kern w:val="0"/>
                <w:sz w:val="21"/>
                <w:szCs w:val="21"/>
              </w:rPr>
            </w:pPr>
            <w:r>
              <w:rPr>
                <w:rFonts w:ascii="Times New Roman" w:eastAsiaTheme="minorEastAsia" w:hAnsi="Times New Roman"/>
                <w:bCs/>
                <w:kern w:val="0"/>
                <w:sz w:val="21"/>
                <w:szCs w:val="21"/>
              </w:rPr>
              <w:t>0.3</w:t>
            </w:r>
          </w:p>
        </w:tc>
        <w:tc>
          <w:tcPr>
            <w:tcW w:w="851" w:type="dxa"/>
            <w:vMerge/>
            <w:shd w:val="clear" w:color="auto" w:fill="auto"/>
            <w:vAlign w:val="center"/>
          </w:tcPr>
          <w:p w14:paraId="13AE2897" w14:textId="77777777" w:rsidR="009C353B" w:rsidRDefault="009C353B">
            <w:pPr>
              <w:widowControl/>
              <w:jc w:val="center"/>
              <w:rPr>
                <w:rFonts w:ascii="Times New Roman" w:eastAsiaTheme="minorEastAsia" w:hAnsi="Times New Roman"/>
                <w:b/>
                <w:bCs/>
                <w:kern w:val="0"/>
                <w:sz w:val="21"/>
                <w:szCs w:val="21"/>
              </w:rPr>
            </w:pPr>
          </w:p>
        </w:tc>
        <w:tc>
          <w:tcPr>
            <w:tcW w:w="1410" w:type="dxa"/>
            <w:vMerge/>
            <w:shd w:val="clear" w:color="auto" w:fill="auto"/>
            <w:vAlign w:val="center"/>
          </w:tcPr>
          <w:p w14:paraId="1B57DC1C" w14:textId="77777777" w:rsidR="009C353B" w:rsidRDefault="009C353B">
            <w:pPr>
              <w:widowControl/>
              <w:jc w:val="center"/>
              <w:rPr>
                <w:rFonts w:ascii="Times New Roman" w:eastAsiaTheme="minorEastAsia" w:hAnsi="Times New Roman"/>
                <w:b/>
                <w:bCs/>
                <w:kern w:val="0"/>
                <w:sz w:val="21"/>
                <w:szCs w:val="21"/>
              </w:rPr>
            </w:pPr>
          </w:p>
        </w:tc>
        <w:tc>
          <w:tcPr>
            <w:tcW w:w="709" w:type="dxa"/>
            <w:vMerge/>
            <w:shd w:val="clear" w:color="auto" w:fill="auto"/>
            <w:vAlign w:val="center"/>
          </w:tcPr>
          <w:p w14:paraId="14A3DAF1" w14:textId="77777777" w:rsidR="009C353B" w:rsidRDefault="009C353B">
            <w:pPr>
              <w:widowControl/>
              <w:jc w:val="center"/>
              <w:rPr>
                <w:rFonts w:ascii="Times New Roman" w:eastAsiaTheme="minorEastAsia" w:hAnsi="Times New Roman"/>
                <w:kern w:val="0"/>
                <w:sz w:val="21"/>
                <w:szCs w:val="21"/>
              </w:rPr>
            </w:pPr>
          </w:p>
        </w:tc>
        <w:tc>
          <w:tcPr>
            <w:tcW w:w="931" w:type="dxa"/>
            <w:vMerge/>
            <w:shd w:val="clear" w:color="auto" w:fill="auto"/>
            <w:vAlign w:val="center"/>
          </w:tcPr>
          <w:p w14:paraId="6D130EF0" w14:textId="77777777" w:rsidR="009C353B" w:rsidRDefault="009C353B">
            <w:pPr>
              <w:widowControl/>
              <w:jc w:val="center"/>
              <w:rPr>
                <w:rFonts w:ascii="Times New Roman" w:eastAsiaTheme="minorEastAsia" w:hAnsi="Times New Roman"/>
                <w:kern w:val="0"/>
                <w:sz w:val="21"/>
                <w:szCs w:val="21"/>
              </w:rPr>
            </w:pPr>
          </w:p>
        </w:tc>
      </w:tr>
      <w:tr w:rsidR="009C353B" w14:paraId="4366EC19" w14:textId="77777777">
        <w:trPr>
          <w:trHeight w:val="393"/>
          <w:jc w:val="center"/>
        </w:trPr>
        <w:tc>
          <w:tcPr>
            <w:tcW w:w="3936" w:type="dxa"/>
            <w:gridSpan w:val="3"/>
            <w:shd w:val="clear" w:color="auto" w:fill="auto"/>
            <w:noWrap/>
            <w:vAlign w:val="center"/>
          </w:tcPr>
          <w:p w14:paraId="65F2DD0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b/>
                <w:bCs/>
                <w:kern w:val="0"/>
                <w:sz w:val="21"/>
                <w:szCs w:val="21"/>
              </w:rPr>
              <w:t>合计</w:t>
            </w:r>
          </w:p>
        </w:tc>
        <w:tc>
          <w:tcPr>
            <w:tcW w:w="1316" w:type="dxa"/>
            <w:shd w:val="clear" w:color="auto" w:fill="auto"/>
            <w:noWrap/>
            <w:vAlign w:val="center"/>
          </w:tcPr>
          <w:p w14:paraId="311772D9" w14:textId="77777777" w:rsidR="009C353B" w:rsidRDefault="009C353B">
            <w:pPr>
              <w:widowControl/>
              <w:jc w:val="left"/>
              <w:rPr>
                <w:rFonts w:ascii="Times New Roman" w:eastAsiaTheme="minorEastAsia" w:hAnsi="Times New Roman"/>
                <w:kern w:val="0"/>
                <w:sz w:val="21"/>
                <w:szCs w:val="21"/>
              </w:rPr>
            </w:pPr>
          </w:p>
        </w:tc>
        <w:tc>
          <w:tcPr>
            <w:tcW w:w="1134" w:type="dxa"/>
            <w:shd w:val="clear" w:color="auto" w:fill="auto"/>
            <w:noWrap/>
            <w:vAlign w:val="center"/>
          </w:tcPr>
          <w:p w14:paraId="6B9DC5F9" w14:textId="77777777" w:rsidR="009C353B" w:rsidRDefault="00000000">
            <w:pPr>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97.35</w:t>
            </w:r>
          </w:p>
        </w:tc>
        <w:tc>
          <w:tcPr>
            <w:tcW w:w="2268" w:type="dxa"/>
            <w:gridSpan w:val="2"/>
            <w:shd w:val="clear" w:color="auto" w:fill="auto"/>
            <w:noWrap/>
            <w:vAlign w:val="center"/>
          </w:tcPr>
          <w:p w14:paraId="1EC0C4D0" w14:textId="77777777" w:rsidR="009C353B" w:rsidRDefault="00000000">
            <w:pPr>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43</w:t>
            </w:r>
            <w:r>
              <w:rPr>
                <w:rFonts w:ascii="Times New Roman" w:eastAsiaTheme="minorEastAsia" w:hAnsi="Times New Roman"/>
                <w:b/>
                <w:bCs/>
                <w:kern w:val="0"/>
                <w:sz w:val="21"/>
                <w:szCs w:val="21"/>
              </w:rPr>
              <w:t>个</w:t>
            </w:r>
          </w:p>
        </w:tc>
        <w:tc>
          <w:tcPr>
            <w:tcW w:w="1701" w:type="dxa"/>
            <w:gridSpan w:val="2"/>
            <w:shd w:val="clear" w:color="auto" w:fill="auto"/>
            <w:noWrap/>
            <w:vAlign w:val="center"/>
          </w:tcPr>
          <w:p w14:paraId="644B3401" w14:textId="77777777" w:rsidR="009C353B" w:rsidRDefault="00000000">
            <w:pPr>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94.4</w:t>
            </w:r>
            <w:r>
              <w:rPr>
                <w:rFonts w:ascii="Times New Roman" w:eastAsiaTheme="minorEastAsia" w:hAnsi="Times New Roman"/>
                <w:b/>
                <w:bCs/>
                <w:kern w:val="0"/>
                <w:sz w:val="21"/>
                <w:szCs w:val="21"/>
              </w:rPr>
              <w:t>（</w:t>
            </w:r>
            <w:r>
              <w:rPr>
                <w:rFonts w:ascii="Times New Roman" w:eastAsiaTheme="minorEastAsia" w:hAnsi="Times New Roman"/>
                <w:b/>
                <w:bCs/>
                <w:kern w:val="0"/>
                <w:sz w:val="21"/>
                <w:szCs w:val="21"/>
              </w:rPr>
              <w:t>97.55</w:t>
            </w:r>
            <w:r>
              <w:rPr>
                <w:rFonts w:ascii="Times New Roman" w:eastAsiaTheme="minorEastAsia" w:hAnsi="Times New Roman"/>
                <w:b/>
                <w:bCs/>
                <w:kern w:val="0"/>
                <w:sz w:val="21"/>
                <w:szCs w:val="21"/>
              </w:rPr>
              <w:t>含地方矿）</w:t>
            </w:r>
          </w:p>
        </w:tc>
        <w:tc>
          <w:tcPr>
            <w:tcW w:w="851" w:type="dxa"/>
            <w:shd w:val="clear" w:color="auto" w:fill="auto"/>
            <w:noWrap/>
            <w:vAlign w:val="center"/>
          </w:tcPr>
          <w:p w14:paraId="3416FF67" w14:textId="77777777" w:rsidR="009C353B" w:rsidRDefault="00000000">
            <w:pPr>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25</w:t>
            </w:r>
            <w:r>
              <w:rPr>
                <w:rFonts w:ascii="Times New Roman" w:eastAsiaTheme="minorEastAsia" w:hAnsi="Times New Roman"/>
                <w:b/>
                <w:bCs/>
                <w:kern w:val="0"/>
                <w:sz w:val="21"/>
                <w:szCs w:val="21"/>
              </w:rPr>
              <w:t>个</w:t>
            </w:r>
          </w:p>
        </w:tc>
        <w:tc>
          <w:tcPr>
            <w:tcW w:w="1410" w:type="dxa"/>
            <w:shd w:val="clear" w:color="auto" w:fill="auto"/>
            <w:noWrap/>
            <w:vAlign w:val="center"/>
          </w:tcPr>
          <w:p w14:paraId="7150E19D" w14:textId="77777777" w:rsidR="009C353B" w:rsidRDefault="009C353B">
            <w:pPr>
              <w:jc w:val="center"/>
              <w:rPr>
                <w:rFonts w:ascii="Times New Roman" w:eastAsiaTheme="minorEastAsia" w:hAnsi="Times New Roman"/>
                <w:b/>
                <w:bCs/>
                <w:kern w:val="0"/>
                <w:sz w:val="21"/>
                <w:szCs w:val="21"/>
              </w:rPr>
            </w:pPr>
          </w:p>
        </w:tc>
        <w:tc>
          <w:tcPr>
            <w:tcW w:w="709" w:type="dxa"/>
            <w:shd w:val="clear" w:color="auto" w:fill="auto"/>
            <w:noWrap/>
            <w:vAlign w:val="center"/>
          </w:tcPr>
          <w:p w14:paraId="46EC4403" w14:textId="77777777" w:rsidR="009C353B" w:rsidRDefault="00000000">
            <w:pPr>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3</w:t>
            </w:r>
            <w:r>
              <w:rPr>
                <w:rFonts w:ascii="Times New Roman" w:eastAsiaTheme="minorEastAsia" w:hAnsi="Times New Roman"/>
                <w:b/>
                <w:bCs/>
                <w:kern w:val="0"/>
                <w:sz w:val="21"/>
                <w:szCs w:val="21"/>
              </w:rPr>
              <w:t>个</w:t>
            </w:r>
          </w:p>
        </w:tc>
        <w:tc>
          <w:tcPr>
            <w:tcW w:w="931" w:type="dxa"/>
            <w:shd w:val="clear" w:color="auto" w:fill="auto"/>
            <w:noWrap/>
            <w:vAlign w:val="center"/>
          </w:tcPr>
          <w:p w14:paraId="70FA0A38" w14:textId="77777777" w:rsidR="009C353B" w:rsidRDefault="009C353B">
            <w:pPr>
              <w:widowControl/>
              <w:jc w:val="center"/>
              <w:rPr>
                <w:rFonts w:ascii="Times New Roman" w:eastAsiaTheme="minorEastAsia" w:hAnsi="Times New Roman"/>
                <w:b/>
                <w:bCs/>
                <w:kern w:val="0"/>
                <w:sz w:val="21"/>
                <w:szCs w:val="21"/>
              </w:rPr>
            </w:pPr>
          </w:p>
        </w:tc>
      </w:tr>
    </w:tbl>
    <w:p w14:paraId="5E7C4855" w14:textId="77777777" w:rsidR="009C353B" w:rsidRDefault="009C353B">
      <w:pPr>
        <w:autoSpaceDE w:val="0"/>
        <w:autoSpaceDN w:val="0"/>
        <w:adjustRightInd w:val="0"/>
        <w:snapToGrid w:val="0"/>
        <w:spacing w:line="440" w:lineRule="exact"/>
        <w:ind w:firstLineChars="200" w:firstLine="480"/>
        <w:jc w:val="left"/>
        <w:rPr>
          <w:rFonts w:ascii="Times New Roman" w:hAnsi="Times New Roman"/>
          <w:szCs w:val="28"/>
        </w:rPr>
      </w:pPr>
    </w:p>
    <w:p w14:paraId="60EFC922" w14:textId="77777777" w:rsidR="009C353B" w:rsidRDefault="009C353B">
      <w:pPr>
        <w:autoSpaceDE w:val="0"/>
        <w:autoSpaceDN w:val="0"/>
        <w:adjustRightInd w:val="0"/>
        <w:snapToGrid w:val="0"/>
        <w:spacing w:line="440" w:lineRule="exact"/>
        <w:ind w:firstLineChars="200" w:firstLine="480"/>
        <w:jc w:val="left"/>
        <w:rPr>
          <w:rFonts w:ascii="Times New Roman" w:hAnsi="Times New Roman"/>
          <w:szCs w:val="28"/>
        </w:rPr>
      </w:pPr>
    </w:p>
    <w:p w14:paraId="6A03F889" w14:textId="77777777" w:rsidR="009C353B" w:rsidRDefault="009C353B">
      <w:pPr>
        <w:autoSpaceDE w:val="0"/>
        <w:autoSpaceDN w:val="0"/>
        <w:adjustRightInd w:val="0"/>
        <w:snapToGrid w:val="0"/>
        <w:spacing w:line="440" w:lineRule="exact"/>
        <w:ind w:firstLineChars="200" w:firstLine="480"/>
        <w:jc w:val="left"/>
        <w:rPr>
          <w:rFonts w:ascii="Times New Roman" w:hAnsi="Times New Roman"/>
          <w:szCs w:val="28"/>
        </w:rPr>
        <w:sectPr w:rsidR="009C353B">
          <w:pgSz w:w="16840" w:h="11907" w:orient="landscape"/>
          <w:pgMar w:top="1418" w:right="1418" w:bottom="1418" w:left="1701" w:header="1134" w:footer="851" w:gutter="0"/>
          <w:paperSrc w:first="7" w:other="7"/>
          <w:cols w:space="720"/>
          <w:docGrid w:linePitch="326"/>
        </w:sectPr>
      </w:pPr>
    </w:p>
    <w:p w14:paraId="3562A225"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hint="eastAsia"/>
          <w:szCs w:val="28"/>
        </w:rPr>
        <w:t>3</w:t>
      </w:r>
      <w:r>
        <w:rPr>
          <w:rFonts w:ascii="Times New Roman" w:hAnsi="Times New Roman" w:hint="eastAsia"/>
          <w:szCs w:val="28"/>
        </w:rPr>
        <w:t>）关于污染治理等</w:t>
      </w:r>
    </w:p>
    <w:p w14:paraId="23F34161"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hint="eastAsia"/>
          <w:szCs w:val="28"/>
        </w:rPr>
        <w:t>横城矿区总体规划修编后，污废水不外排，煤矸石及危险废物处置率可达</w:t>
      </w:r>
      <w:r>
        <w:rPr>
          <w:rFonts w:ascii="Times New Roman" w:hAnsi="Times New Roman" w:hint="eastAsia"/>
          <w:szCs w:val="28"/>
        </w:rPr>
        <w:t>1</w:t>
      </w:r>
      <w:r>
        <w:rPr>
          <w:rFonts w:ascii="Times New Roman" w:hAnsi="Times New Roman"/>
          <w:szCs w:val="28"/>
        </w:rPr>
        <w:t>00</w:t>
      </w:r>
      <w:r>
        <w:rPr>
          <w:rFonts w:ascii="Times New Roman" w:hAnsi="Times New Roman" w:hint="eastAsia"/>
          <w:szCs w:val="28"/>
        </w:rPr>
        <w:t>%</w:t>
      </w:r>
      <w:r>
        <w:rPr>
          <w:rFonts w:ascii="Times New Roman" w:hAnsi="Times New Roman" w:hint="eastAsia"/>
          <w:szCs w:val="28"/>
        </w:rPr>
        <w:t>，</w:t>
      </w:r>
    </w:p>
    <w:p w14:paraId="461FFB35"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hint="eastAsia"/>
          <w:szCs w:val="28"/>
        </w:rPr>
        <w:t>符合《宁东能源化工基地“十三五”开发总体规划》及《规划环评》要求。</w:t>
      </w:r>
    </w:p>
    <w:p w14:paraId="53F4F958"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hint="eastAsia"/>
          <w:szCs w:val="28"/>
        </w:rPr>
        <w:t>（</w:t>
      </w:r>
      <w:r>
        <w:rPr>
          <w:rFonts w:ascii="Times New Roman" w:hAnsi="Times New Roman" w:hint="eastAsia"/>
          <w:szCs w:val="28"/>
        </w:rPr>
        <w:t>2</w:t>
      </w:r>
      <w:r>
        <w:rPr>
          <w:rFonts w:ascii="Times New Roman" w:hAnsi="Times New Roman" w:hint="eastAsia"/>
          <w:szCs w:val="28"/>
        </w:rPr>
        <w:t>）</w:t>
      </w:r>
      <w:r>
        <w:rPr>
          <w:rFonts w:ascii="Times New Roman" w:hAnsi="Times New Roman" w:hint="eastAsia"/>
        </w:rPr>
        <w:t>宁东基地现代煤化工产业示范区</w:t>
      </w:r>
      <w:r>
        <w:rPr>
          <w:rFonts w:ascii="Times New Roman" w:hAnsi="Times New Roman" w:hint="eastAsia"/>
          <w:szCs w:val="28"/>
        </w:rPr>
        <w:t>规划概况</w:t>
      </w:r>
    </w:p>
    <w:p w14:paraId="780E7DAE"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hint="eastAsia"/>
          <w:szCs w:val="28"/>
        </w:rPr>
        <w:t>为推动现代煤化工产业创新发展，拓展石油化工原料来源，形成与传统石化产业互为补充、协调发展的产业格局，贯彻落实《石化产业规划布局方案》和《关于石化产业调结构促转型增效益的指导意见》的工作部署，国家发改委和工信部</w:t>
      </w:r>
      <w:r>
        <w:rPr>
          <w:rFonts w:ascii="Times New Roman" w:hAnsi="Times New Roman"/>
          <w:szCs w:val="28"/>
        </w:rPr>
        <w:t>2017</w:t>
      </w:r>
      <w:r>
        <w:rPr>
          <w:rFonts w:ascii="Times New Roman" w:hAnsi="Times New Roman"/>
          <w:szCs w:val="28"/>
        </w:rPr>
        <w:t>年联合发布了《现代煤化工产业创新发展布局方案》。该方案提出规划布局</w:t>
      </w:r>
      <w:r>
        <w:rPr>
          <w:rFonts w:ascii="Times New Roman" w:hAnsi="Times New Roman" w:hint="eastAsia"/>
          <w:szCs w:val="28"/>
        </w:rPr>
        <w:t>内蒙古鄂尔多斯、陕西榆林、宁夏宁东、新疆准东</w:t>
      </w:r>
      <w:r>
        <w:rPr>
          <w:rFonts w:ascii="Times New Roman" w:hAnsi="Times New Roman"/>
          <w:szCs w:val="28"/>
        </w:rPr>
        <w:t>4</w:t>
      </w:r>
      <w:r>
        <w:rPr>
          <w:rFonts w:ascii="Times New Roman" w:hAnsi="Times New Roman"/>
          <w:szCs w:val="28"/>
        </w:rPr>
        <w:t>个现代煤化工产业示范区，</w:t>
      </w:r>
      <w:r>
        <w:rPr>
          <w:rFonts w:ascii="Times New Roman" w:hAnsi="Times New Roman" w:hint="eastAsia"/>
          <w:szCs w:val="28"/>
        </w:rPr>
        <w:t>推动产业集聚发展，逐步形成世界一流的现代煤化工产业示范区。宁东基地现代煤化工产业示范区（</w:t>
      </w:r>
      <w:r>
        <w:rPr>
          <w:rFonts w:ascii="Times New Roman" w:hAnsi="Times New Roman"/>
          <w:szCs w:val="28"/>
        </w:rPr>
        <w:t>简称：宁东示范区</w:t>
      </w:r>
      <w:r>
        <w:rPr>
          <w:rFonts w:ascii="Times New Roman" w:hAnsi="Times New Roman" w:hint="eastAsia"/>
          <w:szCs w:val="28"/>
        </w:rPr>
        <w:t>）</w:t>
      </w:r>
      <w:r>
        <w:rPr>
          <w:rFonts w:ascii="Times New Roman" w:hAnsi="Times New Roman"/>
          <w:szCs w:val="28"/>
        </w:rPr>
        <w:t>“</w:t>
      </w:r>
      <w:r>
        <w:rPr>
          <w:rFonts w:ascii="Times New Roman" w:hAnsi="Times New Roman"/>
          <w:szCs w:val="28"/>
        </w:rPr>
        <w:t>十三五</w:t>
      </w:r>
      <w:r>
        <w:rPr>
          <w:rFonts w:ascii="Times New Roman" w:hAnsi="Times New Roman"/>
          <w:szCs w:val="28"/>
        </w:rPr>
        <w:t>”</w:t>
      </w:r>
      <w:r>
        <w:rPr>
          <w:rFonts w:ascii="Times New Roman" w:hAnsi="Times New Roman"/>
          <w:szCs w:val="28"/>
        </w:rPr>
        <w:t>期间新增煤炭转化量总量须控</w:t>
      </w:r>
      <w:r>
        <w:rPr>
          <w:rFonts w:ascii="Times New Roman" w:hAnsi="Times New Roman" w:hint="eastAsia"/>
          <w:szCs w:val="28"/>
        </w:rPr>
        <w:t>制在</w:t>
      </w:r>
      <w:r>
        <w:rPr>
          <w:rFonts w:ascii="Times New Roman" w:hAnsi="Times New Roman"/>
          <w:szCs w:val="28"/>
        </w:rPr>
        <w:t>2000</w:t>
      </w:r>
      <w:r>
        <w:rPr>
          <w:rFonts w:ascii="Times New Roman" w:hAnsi="Times New Roman"/>
          <w:szCs w:val="28"/>
        </w:rPr>
        <w:t>万吨以内</w:t>
      </w:r>
      <w:r>
        <w:rPr>
          <w:rFonts w:ascii="Times New Roman" w:hAnsi="Times New Roman"/>
          <w:szCs w:val="28"/>
        </w:rPr>
        <w:t>(</w:t>
      </w:r>
      <w:r>
        <w:rPr>
          <w:rFonts w:ascii="Times New Roman" w:hAnsi="Times New Roman"/>
          <w:szCs w:val="28"/>
        </w:rPr>
        <w:t>不含煤制油、煤制气等煤质燃料</w:t>
      </w:r>
      <w:r>
        <w:rPr>
          <w:rFonts w:ascii="Times New Roman" w:hAnsi="Times New Roman"/>
          <w:szCs w:val="28"/>
        </w:rPr>
        <w:t>)</w:t>
      </w:r>
      <w:r>
        <w:rPr>
          <w:rFonts w:ascii="Times New Roman" w:hAnsi="Times New Roman"/>
          <w:szCs w:val="28"/>
        </w:rPr>
        <w:t>。</w:t>
      </w:r>
    </w:p>
    <w:p w14:paraId="5EF87ECF"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hint="eastAsia"/>
        </w:rPr>
        <w:t>《宁东基地现代煤化工产业示范区总体</w:t>
      </w:r>
      <w:r>
        <w:rPr>
          <w:rFonts w:ascii="Times New Roman" w:hAnsi="Times New Roman" w:hint="eastAsia"/>
          <w:szCs w:val="28"/>
        </w:rPr>
        <w:t>规划</w:t>
      </w:r>
      <w:r>
        <w:rPr>
          <w:rFonts w:ascii="Times New Roman" w:hAnsi="Times New Roman" w:hint="eastAsia"/>
        </w:rPr>
        <w:t>》编制完成后，开展了规划环评工作。</w:t>
      </w:r>
      <w:r>
        <w:rPr>
          <w:rFonts w:ascii="Times New Roman" w:hAnsi="Times New Roman" w:hint="eastAsia"/>
        </w:rPr>
        <w:t>2</w:t>
      </w:r>
      <w:r>
        <w:rPr>
          <w:rFonts w:ascii="Times New Roman" w:hAnsi="Times New Roman"/>
        </w:rPr>
        <w:t>019</w:t>
      </w:r>
      <w:r>
        <w:rPr>
          <w:rFonts w:ascii="Times New Roman" w:hAnsi="Times New Roman" w:hint="eastAsia"/>
        </w:rPr>
        <w:t>年</w:t>
      </w:r>
      <w:r>
        <w:rPr>
          <w:rFonts w:ascii="Times New Roman" w:hAnsi="Times New Roman" w:hint="eastAsia"/>
        </w:rPr>
        <w:t>2</w:t>
      </w:r>
      <w:r>
        <w:rPr>
          <w:rFonts w:ascii="Times New Roman" w:hAnsi="Times New Roman" w:hint="eastAsia"/>
        </w:rPr>
        <w:t>月宁夏回族自治区生态环境厅以宁环环评函〔</w:t>
      </w:r>
      <w:r>
        <w:rPr>
          <w:rFonts w:ascii="Times New Roman" w:hAnsi="Times New Roman" w:hint="eastAsia"/>
        </w:rPr>
        <w:t>201</w:t>
      </w:r>
      <w:r>
        <w:rPr>
          <w:rFonts w:ascii="Times New Roman" w:hAnsi="Times New Roman"/>
        </w:rPr>
        <w:t>9</w:t>
      </w:r>
      <w:r>
        <w:rPr>
          <w:rFonts w:ascii="Times New Roman" w:hAnsi="Times New Roman" w:hint="eastAsia"/>
        </w:rPr>
        <w:t>〕</w:t>
      </w:r>
      <w:r>
        <w:rPr>
          <w:rFonts w:ascii="Times New Roman" w:hAnsi="Times New Roman"/>
        </w:rPr>
        <w:t>104</w:t>
      </w:r>
      <w:r>
        <w:rPr>
          <w:rFonts w:ascii="Times New Roman" w:hAnsi="Times New Roman" w:hint="eastAsia"/>
        </w:rPr>
        <w:t>号《关于宁东能源化工基地现代煤化工产业示范区总体规划环境影响报告书的批复》批复了此项目环评文件。</w:t>
      </w:r>
      <w:r>
        <w:rPr>
          <w:rFonts w:ascii="Times New Roman" w:hAnsi="Times New Roman" w:hint="eastAsia"/>
        </w:rPr>
        <w:t>2</w:t>
      </w:r>
      <w:r>
        <w:rPr>
          <w:rFonts w:ascii="Times New Roman" w:hAnsi="Times New Roman"/>
        </w:rPr>
        <w:t>019</w:t>
      </w:r>
      <w:r>
        <w:rPr>
          <w:rFonts w:ascii="Times New Roman" w:hAnsi="Times New Roman" w:hint="eastAsia"/>
        </w:rPr>
        <w:t>年</w:t>
      </w:r>
      <w:r>
        <w:rPr>
          <w:rFonts w:ascii="Times New Roman" w:hAnsi="Times New Roman" w:hint="eastAsia"/>
        </w:rPr>
        <w:t>5</w:t>
      </w:r>
      <w:r>
        <w:rPr>
          <w:rFonts w:ascii="Times New Roman" w:hAnsi="Times New Roman" w:hint="eastAsia"/>
        </w:rPr>
        <w:t>月，宁夏回族自治区人民政府以宁政函〔</w:t>
      </w:r>
      <w:r>
        <w:rPr>
          <w:rFonts w:ascii="Times New Roman" w:hAnsi="Times New Roman" w:hint="eastAsia"/>
        </w:rPr>
        <w:t>201</w:t>
      </w:r>
      <w:r>
        <w:rPr>
          <w:rFonts w:ascii="Times New Roman" w:hAnsi="Times New Roman"/>
        </w:rPr>
        <w:t>9</w:t>
      </w:r>
      <w:r>
        <w:rPr>
          <w:rFonts w:ascii="Times New Roman" w:hAnsi="Times New Roman" w:hint="eastAsia"/>
        </w:rPr>
        <w:t>〕</w:t>
      </w:r>
      <w:r>
        <w:rPr>
          <w:rFonts w:ascii="Times New Roman" w:hAnsi="Times New Roman" w:hint="eastAsia"/>
        </w:rPr>
        <w:t>49</w:t>
      </w:r>
      <w:r>
        <w:rPr>
          <w:rFonts w:ascii="Times New Roman" w:hAnsi="Times New Roman" w:hint="eastAsia"/>
        </w:rPr>
        <w:t>号《关于宁东能源化工基地现代煤化工产业示范区总体规划的批复》对宁东示范区总体规划作出了批复。</w:t>
      </w:r>
    </w:p>
    <w:p w14:paraId="7E25BC1D"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szCs w:val="28"/>
        </w:rPr>
      </w:pPr>
      <w:r>
        <w:rPr>
          <w:rFonts w:ascii="Times New Roman" w:hAnsi="Times New Roman" w:hint="eastAsia"/>
          <w:szCs w:val="28"/>
        </w:rPr>
        <w:t>宁东示范区位于宁夏宁东能源化工基地</w:t>
      </w:r>
      <w:r>
        <w:rPr>
          <w:rFonts w:ascii="Times New Roman" w:hAnsi="Times New Roman"/>
          <w:szCs w:val="28"/>
        </w:rPr>
        <w:t>(</w:t>
      </w:r>
      <w:r>
        <w:rPr>
          <w:rFonts w:ascii="Times New Roman" w:hAnsi="Times New Roman"/>
          <w:szCs w:val="28"/>
        </w:rPr>
        <w:t>简称：宁东</w:t>
      </w:r>
      <w:r>
        <w:rPr>
          <w:rFonts w:ascii="Times New Roman" w:hAnsi="Times New Roman" w:hint="eastAsia"/>
          <w:szCs w:val="28"/>
        </w:rPr>
        <w:t>基地</w:t>
      </w:r>
      <w:r>
        <w:rPr>
          <w:rFonts w:ascii="Times New Roman" w:hAnsi="Times New Roman"/>
          <w:szCs w:val="28"/>
        </w:rPr>
        <w:t>)</w:t>
      </w:r>
      <w:r>
        <w:rPr>
          <w:rFonts w:ascii="Times New Roman" w:hAnsi="Times New Roman" w:hint="eastAsia"/>
          <w:szCs w:val="28"/>
        </w:rPr>
        <w:t>内，由临河综合工业园区</w:t>
      </w:r>
      <w:r>
        <w:rPr>
          <w:rFonts w:ascii="Times New Roman" w:hAnsi="Times New Roman"/>
          <w:szCs w:val="28"/>
        </w:rPr>
        <w:t>A</w:t>
      </w:r>
      <w:r>
        <w:rPr>
          <w:rFonts w:ascii="Times New Roman" w:hAnsi="Times New Roman"/>
          <w:szCs w:val="28"/>
        </w:rPr>
        <w:t>区、煤化工园区组成</w:t>
      </w:r>
      <w:r>
        <w:rPr>
          <w:rFonts w:ascii="Times New Roman" w:hAnsi="Times New Roman" w:hint="eastAsia"/>
          <w:szCs w:val="28"/>
        </w:rPr>
        <w:t>，规划面积</w:t>
      </w:r>
      <w:r>
        <w:rPr>
          <w:rFonts w:ascii="Times New Roman" w:hAnsi="Times New Roman"/>
          <w:szCs w:val="28"/>
        </w:rPr>
        <w:t>62.84km</w:t>
      </w:r>
      <w:r>
        <w:rPr>
          <w:rFonts w:ascii="Times New Roman" w:hAnsi="Times New Roman"/>
          <w:szCs w:val="28"/>
          <w:vertAlign w:val="superscript"/>
        </w:rPr>
        <w:t>2</w:t>
      </w:r>
      <w:r>
        <w:rPr>
          <w:rFonts w:ascii="Times New Roman" w:hAnsi="Times New Roman" w:hint="eastAsia"/>
          <w:szCs w:val="28"/>
        </w:rPr>
        <w:t>。主要规划了煤制烯烃、煤制乙二醇等以及下游产业等项目。宁东示范区位于横城矿区井田边界</w:t>
      </w:r>
      <w:r>
        <w:rPr>
          <w:rFonts w:ascii="Times New Roman" w:hAnsi="Times New Roman"/>
        </w:rPr>
        <w:t>外</w:t>
      </w:r>
      <w:r>
        <w:rPr>
          <w:rFonts w:ascii="Times New Roman" w:hAnsi="Times New Roman" w:hint="eastAsia"/>
        </w:rPr>
        <w:t>，与矿区紧邻，</w:t>
      </w:r>
      <w:r>
        <w:rPr>
          <w:rFonts w:ascii="Times New Roman" w:hAnsi="Times New Roman" w:hint="eastAsia"/>
          <w:szCs w:val="28"/>
        </w:rPr>
        <w:t>矿区</w:t>
      </w:r>
      <w:r>
        <w:rPr>
          <w:rFonts w:ascii="Times New Roman" w:hAnsi="Times New Roman"/>
        </w:rPr>
        <w:t>与</w:t>
      </w:r>
      <w:r>
        <w:rPr>
          <w:rFonts w:ascii="Times New Roman" w:hAnsi="Times New Roman" w:hint="eastAsia"/>
        </w:rPr>
        <w:t>宁东示范区</w:t>
      </w:r>
      <w:r>
        <w:rPr>
          <w:rFonts w:ascii="Times New Roman" w:hAnsi="Times New Roman"/>
        </w:rPr>
        <w:t>的位置关系见图</w:t>
      </w:r>
      <w:r>
        <w:rPr>
          <w:rFonts w:ascii="Times New Roman" w:hAnsi="Times New Roman"/>
        </w:rPr>
        <w:t>2.4</w:t>
      </w:r>
      <w:r>
        <w:rPr>
          <w:rFonts w:ascii="Times New Roman" w:hAnsi="Times New Roman" w:hint="eastAsia"/>
        </w:rPr>
        <w:t>-</w:t>
      </w:r>
      <w:r>
        <w:rPr>
          <w:rFonts w:ascii="Times New Roman" w:hAnsi="Times New Roman"/>
        </w:rPr>
        <w:t>3</w:t>
      </w:r>
      <w:r>
        <w:rPr>
          <w:rFonts w:ascii="Times New Roman" w:hAnsi="Times New Roman" w:hint="eastAsia"/>
          <w:szCs w:val="28"/>
        </w:rPr>
        <w:t>。规划总体目标为建成世界一流的现代煤化工示范区。</w:t>
      </w:r>
    </w:p>
    <w:p w14:paraId="08AE9A7A" w14:textId="77777777" w:rsidR="009C353B" w:rsidRDefault="00000000">
      <w:pPr>
        <w:adjustRightInd w:val="0"/>
        <w:snapToGrid w:val="0"/>
        <w:spacing w:line="440" w:lineRule="exact"/>
        <w:ind w:firstLine="556"/>
        <w:jc w:val="left"/>
        <w:rPr>
          <w:rFonts w:ascii="Times New Roman" w:hAnsi="Times New Roman"/>
          <w:szCs w:val="28"/>
        </w:rPr>
      </w:pPr>
      <w:r>
        <w:rPr>
          <w:rFonts w:ascii="Times New Roman" w:hAnsi="Times New Roman" w:hint="eastAsia"/>
          <w:szCs w:val="28"/>
        </w:rPr>
        <w:t>根据</w:t>
      </w:r>
      <w:r>
        <w:rPr>
          <w:rFonts w:ascii="Times New Roman" w:hAnsi="Times New Roman"/>
          <w:szCs w:val="28"/>
        </w:rPr>
        <w:t>该规划，</w:t>
      </w:r>
      <w:r>
        <w:rPr>
          <w:rFonts w:ascii="Times New Roman" w:hAnsi="Times New Roman" w:hint="eastAsia"/>
          <w:szCs w:val="28"/>
        </w:rPr>
        <w:t>规划近期（</w:t>
      </w:r>
      <w:r>
        <w:rPr>
          <w:rFonts w:ascii="Times New Roman" w:hAnsi="Times New Roman" w:hint="eastAsia"/>
          <w:szCs w:val="28"/>
        </w:rPr>
        <w:t>201</w:t>
      </w:r>
      <w:r>
        <w:rPr>
          <w:rFonts w:ascii="Times New Roman" w:hAnsi="Times New Roman"/>
          <w:szCs w:val="28"/>
        </w:rPr>
        <w:t>7</w:t>
      </w:r>
      <w:r>
        <w:rPr>
          <w:rFonts w:ascii="Times New Roman" w:hAnsi="Times New Roman" w:hint="eastAsia"/>
          <w:szCs w:val="28"/>
        </w:rPr>
        <w:t>-2020</w:t>
      </w:r>
      <w:r>
        <w:rPr>
          <w:rFonts w:ascii="Times New Roman" w:hAnsi="Times New Roman" w:hint="eastAsia"/>
          <w:szCs w:val="28"/>
        </w:rPr>
        <w:t>年）宁东示范区需煤量</w:t>
      </w:r>
      <w:r>
        <w:rPr>
          <w:rFonts w:ascii="Times New Roman" w:hAnsi="Times New Roman" w:hint="eastAsia"/>
          <w:szCs w:val="28"/>
        </w:rPr>
        <w:t>2</w:t>
      </w:r>
      <w:r>
        <w:rPr>
          <w:rFonts w:ascii="Times New Roman" w:hAnsi="Times New Roman"/>
          <w:szCs w:val="28"/>
        </w:rPr>
        <w:t>100.9</w:t>
      </w:r>
      <w:r>
        <w:rPr>
          <w:rFonts w:ascii="Times New Roman" w:hAnsi="Times New Roman" w:hint="eastAsia"/>
          <w:szCs w:val="28"/>
        </w:rPr>
        <w:t>万</w:t>
      </w:r>
      <w:r>
        <w:rPr>
          <w:rFonts w:ascii="Times New Roman" w:hAnsi="Times New Roman" w:hint="eastAsia"/>
          <w:szCs w:val="28"/>
        </w:rPr>
        <w:t>t/a</w:t>
      </w:r>
      <w:r>
        <w:rPr>
          <w:rFonts w:ascii="Times New Roman" w:hAnsi="Times New Roman" w:hint="eastAsia"/>
          <w:szCs w:val="28"/>
        </w:rPr>
        <w:t>，规划远期（</w:t>
      </w:r>
      <w:r>
        <w:rPr>
          <w:rFonts w:ascii="Times New Roman" w:hAnsi="Times New Roman" w:hint="eastAsia"/>
          <w:szCs w:val="28"/>
        </w:rPr>
        <w:t>201</w:t>
      </w:r>
      <w:r>
        <w:rPr>
          <w:rFonts w:ascii="Times New Roman" w:hAnsi="Times New Roman"/>
          <w:szCs w:val="28"/>
        </w:rPr>
        <w:t>7</w:t>
      </w:r>
      <w:r>
        <w:rPr>
          <w:rFonts w:ascii="Times New Roman" w:hAnsi="Times New Roman" w:hint="eastAsia"/>
          <w:szCs w:val="28"/>
        </w:rPr>
        <w:t>-2020</w:t>
      </w:r>
      <w:r>
        <w:rPr>
          <w:rFonts w:ascii="Times New Roman" w:hAnsi="Times New Roman" w:hint="eastAsia"/>
          <w:szCs w:val="28"/>
        </w:rPr>
        <w:t>年）需煤量</w:t>
      </w:r>
      <w:r>
        <w:rPr>
          <w:rFonts w:ascii="Times New Roman" w:hAnsi="Times New Roman" w:hint="eastAsia"/>
          <w:szCs w:val="28"/>
        </w:rPr>
        <w:t>2</w:t>
      </w:r>
      <w:r>
        <w:rPr>
          <w:rFonts w:ascii="Times New Roman" w:hAnsi="Times New Roman"/>
          <w:szCs w:val="28"/>
        </w:rPr>
        <w:t>434.1</w:t>
      </w:r>
      <w:r>
        <w:rPr>
          <w:rFonts w:ascii="Times New Roman" w:hAnsi="Times New Roman" w:hint="eastAsia"/>
          <w:szCs w:val="28"/>
        </w:rPr>
        <w:t>万</w:t>
      </w:r>
      <w:r>
        <w:rPr>
          <w:rFonts w:ascii="Times New Roman" w:hAnsi="Times New Roman" w:hint="eastAsia"/>
          <w:szCs w:val="28"/>
        </w:rPr>
        <w:t>t/a</w:t>
      </w:r>
      <w:r>
        <w:rPr>
          <w:rFonts w:ascii="Times New Roman" w:hAnsi="Times New Roman" w:hint="eastAsia"/>
          <w:szCs w:val="28"/>
        </w:rPr>
        <w:t>。横城矿区煤炭主要供给临河综合工业园区</w:t>
      </w:r>
      <w:r>
        <w:rPr>
          <w:rFonts w:ascii="Times New Roman" w:hAnsi="Times New Roman"/>
          <w:szCs w:val="28"/>
        </w:rPr>
        <w:t>A</w:t>
      </w:r>
      <w:r>
        <w:rPr>
          <w:rFonts w:ascii="Times New Roman" w:hAnsi="Times New Roman" w:hint="eastAsia"/>
          <w:szCs w:val="28"/>
        </w:rPr>
        <w:t>、</w:t>
      </w:r>
      <w:r>
        <w:rPr>
          <w:rFonts w:ascii="Times New Roman" w:hAnsi="Times New Roman" w:hint="eastAsia"/>
          <w:szCs w:val="28"/>
        </w:rPr>
        <w:t>B</w:t>
      </w:r>
      <w:r>
        <w:rPr>
          <w:rFonts w:ascii="Times New Roman" w:hAnsi="Times New Roman"/>
          <w:szCs w:val="28"/>
        </w:rPr>
        <w:t>区</w:t>
      </w:r>
      <w:r>
        <w:rPr>
          <w:rFonts w:ascii="Times New Roman" w:hAnsi="Times New Roman" w:hint="eastAsia"/>
          <w:szCs w:val="28"/>
        </w:rPr>
        <w:t>和</w:t>
      </w:r>
      <w:r>
        <w:rPr>
          <w:rFonts w:ascii="Times New Roman" w:hAnsi="Times New Roman"/>
          <w:szCs w:val="28"/>
        </w:rPr>
        <w:t>煤化工园区</w:t>
      </w:r>
      <w:r>
        <w:rPr>
          <w:rFonts w:ascii="Times New Roman" w:hAnsi="Times New Roman" w:hint="eastAsia"/>
          <w:szCs w:val="28"/>
        </w:rPr>
        <w:t>，符合《</w:t>
      </w:r>
      <w:r>
        <w:rPr>
          <w:rFonts w:ascii="Times New Roman" w:hAnsi="Times New Roman" w:hint="eastAsia"/>
        </w:rPr>
        <w:t>宁东能源化工基地现代煤化工产业示范区总体规划</w:t>
      </w:r>
      <w:r>
        <w:rPr>
          <w:rFonts w:ascii="Times New Roman" w:hAnsi="Times New Roman" w:hint="eastAsia"/>
          <w:szCs w:val="28"/>
        </w:rPr>
        <w:t>》用煤需求。</w:t>
      </w:r>
    </w:p>
    <w:p w14:paraId="2D68EA33" w14:textId="77777777" w:rsidR="009C353B" w:rsidRDefault="00000000">
      <w:pPr>
        <w:adjustRightInd w:val="0"/>
        <w:snapToGrid w:val="0"/>
        <w:spacing w:line="440" w:lineRule="exact"/>
        <w:ind w:firstLine="556"/>
        <w:jc w:val="left"/>
        <w:rPr>
          <w:rFonts w:ascii="Times New Roman" w:hAnsi="Times New Roman"/>
          <w:szCs w:val="28"/>
        </w:rPr>
      </w:pPr>
      <w:r>
        <w:rPr>
          <w:rFonts w:ascii="Times New Roman" w:hAnsi="Times New Roman" w:hint="eastAsia"/>
          <w:szCs w:val="28"/>
        </w:rPr>
        <w:t>（</w:t>
      </w:r>
      <w:r>
        <w:rPr>
          <w:rFonts w:ascii="Times New Roman" w:hAnsi="Times New Roman" w:hint="eastAsia"/>
          <w:szCs w:val="28"/>
        </w:rPr>
        <w:t>3</w:t>
      </w:r>
      <w:r>
        <w:rPr>
          <w:rFonts w:ascii="Times New Roman" w:hAnsi="Times New Roman" w:hint="eastAsia"/>
          <w:szCs w:val="28"/>
        </w:rPr>
        <w:t>）《宁东能源化工基地</w:t>
      </w:r>
      <w:r>
        <w:rPr>
          <w:rFonts w:ascii="Times New Roman" w:hAnsi="Times New Roman" w:hint="eastAsia"/>
          <w:szCs w:val="28"/>
        </w:rPr>
        <w:t xml:space="preserve"> </w:t>
      </w:r>
      <w:r>
        <w:rPr>
          <w:rFonts w:ascii="Times New Roman" w:hAnsi="Times New Roman" w:hint="eastAsia"/>
          <w:szCs w:val="28"/>
        </w:rPr>
        <w:t>“十三五”开发总体规划》、《宁东基地现代煤化工产业示范区总体规划》之间</w:t>
      </w:r>
      <w:r>
        <w:rPr>
          <w:rFonts w:ascii="Times New Roman" w:hAnsi="Times New Roman"/>
          <w:szCs w:val="28"/>
        </w:rPr>
        <w:t>的关系</w:t>
      </w:r>
    </w:p>
    <w:p w14:paraId="2CED82FE" w14:textId="77777777" w:rsidR="009C353B" w:rsidRDefault="00000000">
      <w:pPr>
        <w:adjustRightInd w:val="0"/>
        <w:snapToGrid w:val="0"/>
        <w:spacing w:line="440" w:lineRule="exact"/>
        <w:ind w:firstLine="556"/>
        <w:jc w:val="left"/>
        <w:rPr>
          <w:rFonts w:ascii="Times New Roman" w:hAnsi="Times New Roman"/>
          <w:szCs w:val="28"/>
        </w:rPr>
      </w:pPr>
      <w:r>
        <w:rPr>
          <w:rFonts w:ascii="Times New Roman" w:hAnsi="Times New Roman" w:hint="eastAsia"/>
          <w:szCs w:val="28"/>
        </w:rPr>
        <w:t>从位置关系看，</w:t>
      </w:r>
      <w:r>
        <w:rPr>
          <w:rFonts w:ascii="Times New Roman" w:hAnsi="Times New Roman"/>
          <w:szCs w:val="28"/>
        </w:rPr>
        <w:t>宁东示范区</w:t>
      </w:r>
      <w:r>
        <w:rPr>
          <w:rFonts w:ascii="Times New Roman" w:hAnsi="Times New Roman" w:hint="eastAsia"/>
          <w:szCs w:val="28"/>
        </w:rPr>
        <w:t>位于宁东能源基地规划范围内。从</w:t>
      </w:r>
      <w:r>
        <w:rPr>
          <w:rFonts w:ascii="Times New Roman" w:hAnsi="Times New Roman"/>
          <w:szCs w:val="28"/>
        </w:rPr>
        <w:t>规划内容看，</w:t>
      </w:r>
      <w:r>
        <w:rPr>
          <w:rFonts w:ascii="Times New Roman" w:hAnsi="Times New Roman" w:hint="eastAsia"/>
          <w:szCs w:val="28"/>
        </w:rPr>
        <w:t>《宁东能源化工基地</w:t>
      </w:r>
      <w:r>
        <w:rPr>
          <w:rFonts w:ascii="Times New Roman" w:hAnsi="Times New Roman" w:hint="eastAsia"/>
          <w:szCs w:val="28"/>
        </w:rPr>
        <w:t xml:space="preserve"> </w:t>
      </w:r>
      <w:r>
        <w:rPr>
          <w:rFonts w:ascii="Times New Roman" w:hAnsi="Times New Roman" w:hint="eastAsia"/>
          <w:szCs w:val="28"/>
        </w:rPr>
        <w:t>“十三五”开发总体规划》</w:t>
      </w:r>
      <w:r>
        <w:rPr>
          <w:rFonts w:ascii="Times New Roman" w:hAnsi="Times New Roman"/>
          <w:szCs w:val="28"/>
        </w:rPr>
        <w:t>基本涵盖</w:t>
      </w:r>
      <w:r>
        <w:rPr>
          <w:rFonts w:ascii="Times New Roman" w:hAnsi="Times New Roman" w:hint="eastAsia"/>
          <w:szCs w:val="28"/>
        </w:rPr>
        <w:t>《宁东基地现代煤化工产业示范区总体规划》项目内容，仅具体项目规模略有调整。</w:t>
      </w:r>
    </w:p>
    <w:p w14:paraId="2EC7034C" w14:textId="77777777" w:rsidR="009C353B" w:rsidRDefault="00000000">
      <w:pPr>
        <w:adjustRightInd w:val="0"/>
        <w:snapToGrid w:val="0"/>
        <w:spacing w:line="440" w:lineRule="exact"/>
        <w:ind w:firstLine="556"/>
        <w:jc w:val="left"/>
        <w:rPr>
          <w:rFonts w:ascii="Times New Roman" w:hAnsi="Times New Roman"/>
          <w:szCs w:val="28"/>
        </w:rPr>
      </w:pPr>
      <w:r>
        <w:rPr>
          <w:rFonts w:ascii="Times New Roman" w:hAnsi="Times New Roman" w:hint="eastAsia"/>
          <w:szCs w:val="28"/>
        </w:rPr>
        <w:t>（</w:t>
      </w:r>
      <w:r>
        <w:rPr>
          <w:rFonts w:ascii="Times New Roman" w:hAnsi="Times New Roman" w:hint="eastAsia"/>
          <w:szCs w:val="28"/>
        </w:rPr>
        <w:t>4</w:t>
      </w:r>
      <w:r>
        <w:rPr>
          <w:rFonts w:ascii="Times New Roman" w:hAnsi="Times New Roman" w:hint="eastAsia"/>
          <w:szCs w:val="28"/>
        </w:rPr>
        <w:t>）矿区</w:t>
      </w:r>
      <w:r>
        <w:rPr>
          <w:rFonts w:ascii="Times New Roman" w:hAnsi="Times New Roman"/>
          <w:szCs w:val="28"/>
        </w:rPr>
        <w:t>总体规划与</w:t>
      </w:r>
      <w:r>
        <w:rPr>
          <w:rFonts w:ascii="Times New Roman" w:hAnsi="Times New Roman" w:hint="eastAsia"/>
          <w:szCs w:val="28"/>
        </w:rPr>
        <w:t>《宁东能源化工基地</w:t>
      </w:r>
      <w:r>
        <w:rPr>
          <w:rFonts w:ascii="Times New Roman" w:hAnsi="Times New Roman" w:hint="eastAsia"/>
          <w:szCs w:val="28"/>
        </w:rPr>
        <w:t xml:space="preserve"> </w:t>
      </w:r>
      <w:r>
        <w:rPr>
          <w:rFonts w:ascii="Times New Roman" w:hAnsi="Times New Roman" w:hint="eastAsia"/>
          <w:szCs w:val="28"/>
        </w:rPr>
        <w:t>“十三五”开发总体规划》、《宁东基地现代煤化工产业示范区总体规划》的协调性</w:t>
      </w:r>
      <w:r>
        <w:rPr>
          <w:rFonts w:ascii="Times New Roman" w:hAnsi="Times New Roman"/>
          <w:szCs w:val="28"/>
        </w:rPr>
        <w:t>分析</w:t>
      </w:r>
    </w:p>
    <w:p w14:paraId="23D636DB" w14:textId="77777777" w:rsidR="009C353B" w:rsidRDefault="00000000">
      <w:pPr>
        <w:adjustRightInd w:val="0"/>
        <w:snapToGrid w:val="0"/>
        <w:spacing w:line="440" w:lineRule="exact"/>
        <w:ind w:firstLine="556"/>
        <w:jc w:val="left"/>
        <w:rPr>
          <w:rFonts w:ascii="Times New Roman" w:hAnsi="Times New Roman"/>
          <w:szCs w:val="28"/>
        </w:rPr>
      </w:pPr>
      <w:r>
        <w:rPr>
          <w:rFonts w:ascii="Times New Roman" w:hAnsi="Times New Roman" w:hint="eastAsia"/>
          <w:szCs w:val="28"/>
        </w:rPr>
        <w:t>本次矿区</w:t>
      </w:r>
      <w:r>
        <w:rPr>
          <w:rFonts w:ascii="Times New Roman" w:hAnsi="Times New Roman"/>
          <w:szCs w:val="28"/>
        </w:rPr>
        <w:t>总体规划</w:t>
      </w:r>
      <w:r>
        <w:rPr>
          <w:rFonts w:ascii="Times New Roman" w:hAnsi="Times New Roman" w:hint="eastAsia"/>
          <w:szCs w:val="28"/>
        </w:rPr>
        <w:t>修编</w:t>
      </w:r>
      <w:r>
        <w:rPr>
          <w:rFonts w:ascii="Times New Roman" w:hAnsi="Times New Roman"/>
          <w:szCs w:val="28"/>
        </w:rPr>
        <w:t>时已紧密结合</w:t>
      </w:r>
      <w:r>
        <w:rPr>
          <w:rFonts w:ascii="Times New Roman" w:hAnsi="Times New Roman" w:hint="eastAsia"/>
          <w:szCs w:val="28"/>
        </w:rPr>
        <w:t>《宁东能源化工基地</w:t>
      </w:r>
      <w:r>
        <w:rPr>
          <w:rFonts w:ascii="Times New Roman" w:hAnsi="Times New Roman" w:hint="eastAsia"/>
          <w:szCs w:val="28"/>
        </w:rPr>
        <w:t xml:space="preserve"> </w:t>
      </w:r>
      <w:r>
        <w:rPr>
          <w:rFonts w:ascii="Times New Roman" w:hAnsi="Times New Roman" w:hint="eastAsia"/>
          <w:szCs w:val="28"/>
        </w:rPr>
        <w:t>“十三五”开发总体规划》、《宁东基地现代煤化工产业示范区总体规划》进行编制</w:t>
      </w:r>
      <w:r>
        <w:rPr>
          <w:rFonts w:ascii="Times New Roman" w:hAnsi="Times New Roman"/>
          <w:szCs w:val="28"/>
        </w:rPr>
        <w:t>，</w:t>
      </w:r>
      <w:r>
        <w:rPr>
          <w:rFonts w:ascii="Times New Roman" w:hAnsi="Times New Roman" w:hint="eastAsia"/>
          <w:szCs w:val="28"/>
        </w:rPr>
        <w:t>充分</w:t>
      </w:r>
      <w:r>
        <w:rPr>
          <w:rFonts w:ascii="Times New Roman" w:hAnsi="Times New Roman"/>
          <w:szCs w:val="28"/>
        </w:rPr>
        <w:t>考虑了</w:t>
      </w:r>
      <w:r>
        <w:rPr>
          <w:rFonts w:ascii="Times New Roman" w:hAnsi="Times New Roman" w:hint="eastAsia"/>
          <w:szCs w:val="28"/>
        </w:rPr>
        <w:t>宁东基地内</w:t>
      </w:r>
      <w:r>
        <w:rPr>
          <w:rFonts w:ascii="Times New Roman" w:hAnsi="Times New Roman"/>
          <w:szCs w:val="28"/>
        </w:rPr>
        <w:t>煤电化</w:t>
      </w:r>
      <w:r>
        <w:rPr>
          <w:rFonts w:ascii="Times New Roman" w:hAnsi="Times New Roman" w:hint="eastAsia"/>
          <w:szCs w:val="28"/>
        </w:rPr>
        <w:t>项目</w:t>
      </w:r>
      <w:r>
        <w:rPr>
          <w:rFonts w:ascii="Times New Roman" w:hAnsi="Times New Roman"/>
          <w:szCs w:val="28"/>
        </w:rPr>
        <w:t>与矿区煤炭开发项目的对接</w:t>
      </w:r>
      <w:r>
        <w:rPr>
          <w:rFonts w:ascii="Times New Roman" w:hAnsi="Times New Roman" w:hint="eastAsia"/>
          <w:szCs w:val="28"/>
        </w:rPr>
        <w:t>，如煤炭的</w:t>
      </w:r>
      <w:r>
        <w:rPr>
          <w:rFonts w:ascii="Times New Roman" w:hAnsi="Times New Roman"/>
          <w:szCs w:val="28"/>
        </w:rPr>
        <w:t>开发规模、去向</w:t>
      </w:r>
      <w:r>
        <w:rPr>
          <w:rFonts w:ascii="Times New Roman" w:hAnsi="Times New Roman" w:hint="eastAsia"/>
          <w:szCs w:val="28"/>
        </w:rPr>
        <w:t>、</w:t>
      </w:r>
      <w:r>
        <w:rPr>
          <w:rFonts w:ascii="Times New Roman" w:hAnsi="Times New Roman"/>
          <w:szCs w:val="28"/>
        </w:rPr>
        <w:t>地面总体布置等，两者之间是协调的。</w:t>
      </w:r>
    </w:p>
    <w:p w14:paraId="6C032488" w14:textId="77777777" w:rsidR="009C353B" w:rsidRDefault="00000000">
      <w:pPr>
        <w:adjustRightInd w:val="0"/>
        <w:snapToGrid w:val="0"/>
        <w:spacing w:line="440" w:lineRule="exact"/>
        <w:ind w:firstLine="556"/>
        <w:jc w:val="left"/>
        <w:rPr>
          <w:rFonts w:hint="eastAsia"/>
        </w:rPr>
      </w:pPr>
      <w:r>
        <w:rPr>
          <w:rFonts w:hint="eastAsia"/>
        </w:rPr>
        <w:t>作为距离宁东基地以及宁东示范区最近的矿区，煤炭产品不需要长距离运输，直接就地转化，</w:t>
      </w:r>
      <w:r>
        <w:t>开发本矿区是缓解</w:t>
      </w:r>
      <w:r>
        <w:rPr>
          <w:rFonts w:hint="eastAsia"/>
        </w:rPr>
        <w:t>宁东能源化工基地</w:t>
      </w:r>
      <w:r>
        <w:t>能源供给紧张的紧迫需要。</w:t>
      </w:r>
      <w:r>
        <w:rPr>
          <w:rFonts w:hint="eastAsia"/>
        </w:rPr>
        <w:t>它的开发建设对进一步缓解宁东煤化工基地的</w:t>
      </w:r>
      <w:r>
        <w:t>能源供应紧张，</w:t>
      </w:r>
      <w:r>
        <w:rPr>
          <w:rFonts w:hint="eastAsia"/>
        </w:rPr>
        <w:t>特别是临河综合项目区的能源供应紧张，</w:t>
      </w:r>
      <w:r>
        <w:t>促进</w:t>
      </w:r>
      <w:r>
        <w:rPr>
          <w:rFonts w:hint="eastAsia"/>
        </w:rPr>
        <w:t>宁东基地</w:t>
      </w:r>
      <w:r>
        <w:t>的开发建设具有十分重要的战略意义。两者之间是</w:t>
      </w:r>
      <w:r>
        <w:rPr>
          <w:rFonts w:hint="eastAsia"/>
        </w:rPr>
        <w:t>基本</w:t>
      </w:r>
      <w:r>
        <w:t>协调的。</w:t>
      </w:r>
    </w:p>
    <w:p w14:paraId="4F9D5F5B" w14:textId="77777777" w:rsidR="009C353B" w:rsidRDefault="00000000">
      <w:pPr>
        <w:pStyle w:val="3"/>
        <w:spacing w:before="120" w:after="120" w:line="440" w:lineRule="exact"/>
        <w:rPr>
          <w:rFonts w:ascii="Times New Roman" w:hAnsi="Times New Roman"/>
          <w:sz w:val="24"/>
        </w:rPr>
      </w:pPr>
      <w:r>
        <w:rPr>
          <w:rFonts w:ascii="Times New Roman" w:hAnsi="Times New Roman"/>
          <w:sz w:val="24"/>
        </w:rPr>
        <w:t>2.4</w:t>
      </w:r>
      <w:r>
        <w:rPr>
          <w:rFonts w:ascii="Times New Roman" w:hAnsi="Times New Roman" w:hint="eastAsia"/>
          <w:sz w:val="24"/>
        </w:rPr>
        <w:t>.</w:t>
      </w:r>
      <w:r>
        <w:rPr>
          <w:rFonts w:ascii="Times New Roman" w:hAnsi="Times New Roman"/>
          <w:sz w:val="24"/>
        </w:rPr>
        <w:t xml:space="preserve">4 </w:t>
      </w:r>
      <w:r>
        <w:rPr>
          <w:rFonts w:ascii="Times New Roman" w:hAnsi="Times New Roman" w:hint="eastAsia"/>
          <w:sz w:val="24"/>
        </w:rPr>
        <w:t>规划</w:t>
      </w:r>
      <w:r>
        <w:rPr>
          <w:rFonts w:ascii="Times New Roman" w:hAnsi="Times New Roman"/>
          <w:sz w:val="24"/>
        </w:rPr>
        <w:t>方案存在</w:t>
      </w:r>
      <w:bookmarkEnd w:id="94"/>
      <w:bookmarkEnd w:id="95"/>
      <w:bookmarkEnd w:id="96"/>
      <w:r>
        <w:rPr>
          <w:rFonts w:ascii="Times New Roman" w:hAnsi="Times New Roman" w:hint="eastAsia"/>
          <w:sz w:val="24"/>
        </w:rPr>
        <w:t>的问题和不足</w:t>
      </w:r>
    </w:p>
    <w:p w14:paraId="635FF9E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根据前述</w:t>
      </w:r>
      <w:r>
        <w:rPr>
          <w:rFonts w:ascii="Times New Roman"/>
        </w:rPr>
        <w:t>分析，</w:t>
      </w:r>
      <w:r>
        <w:rPr>
          <w:rFonts w:ascii="Times New Roman" w:hint="eastAsia"/>
        </w:rPr>
        <w:t>矿区</w:t>
      </w:r>
      <w:r>
        <w:rPr>
          <w:rFonts w:ascii="Times New Roman"/>
        </w:rPr>
        <w:t>总体规划基本符合国家和地方的相关政策、法规与规划，规划方案</w:t>
      </w:r>
      <w:r>
        <w:rPr>
          <w:rFonts w:ascii="Times New Roman" w:hint="eastAsia"/>
        </w:rPr>
        <w:t>总体</w:t>
      </w:r>
      <w:r>
        <w:rPr>
          <w:rFonts w:ascii="Times New Roman"/>
        </w:rPr>
        <w:t>上与相关政策、规划基本是协调的，但也存在</w:t>
      </w:r>
      <w:r>
        <w:rPr>
          <w:rFonts w:ascii="Times New Roman" w:hint="eastAsia"/>
        </w:rPr>
        <w:t>一些</w:t>
      </w:r>
      <w:r>
        <w:rPr>
          <w:rFonts w:ascii="Times New Roman"/>
        </w:rPr>
        <w:t>问题和</w:t>
      </w:r>
      <w:r>
        <w:rPr>
          <w:rFonts w:ascii="Times New Roman" w:hint="eastAsia"/>
        </w:rPr>
        <w:t>不足，</w:t>
      </w:r>
      <w:r>
        <w:rPr>
          <w:rFonts w:ascii="Times New Roman"/>
        </w:rPr>
        <w:t>主要表现在：</w:t>
      </w:r>
    </w:p>
    <w:p w14:paraId="7402F692"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）规划</w:t>
      </w:r>
      <w:r>
        <w:rPr>
          <w:rFonts w:ascii="Times New Roman"/>
        </w:rPr>
        <w:t>布局上</w:t>
      </w:r>
      <w:r>
        <w:rPr>
          <w:rFonts w:ascii="Times New Roman" w:hint="eastAsia"/>
        </w:rPr>
        <w:t>，矿区</w:t>
      </w:r>
      <w:r>
        <w:rPr>
          <w:rFonts w:ascii="Times New Roman"/>
        </w:rPr>
        <w:t>西侧</w:t>
      </w:r>
      <w:r>
        <w:rPr>
          <w:rFonts w:ascii="Times New Roman" w:hint="eastAsia"/>
        </w:rPr>
        <w:t>任家庄、红石湾、丁家梁煤矿井田</w:t>
      </w:r>
      <w:r>
        <w:rPr>
          <w:rFonts w:ascii="Times New Roman"/>
        </w:rPr>
        <w:t>边界距离</w:t>
      </w:r>
      <w:r>
        <w:rPr>
          <w:rFonts w:ascii="Times New Roman" w:hint="eastAsia"/>
        </w:rPr>
        <w:t>白芨滩</w:t>
      </w:r>
      <w:r>
        <w:rPr>
          <w:rFonts w:ascii="Times New Roman"/>
        </w:rPr>
        <w:t>国家级自然保护区距离较近</w:t>
      </w:r>
      <w:r>
        <w:rPr>
          <w:rFonts w:ascii="Times New Roman" w:hint="eastAsia"/>
        </w:rPr>
        <w:t>，其中任家庄距离最近仅约</w:t>
      </w:r>
      <w:r>
        <w:rPr>
          <w:rFonts w:ascii="Times New Roman" w:hint="eastAsia"/>
        </w:rPr>
        <w:t>92m</w:t>
      </w:r>
      <w:r>
        <w:rPr>
          <w:rFonts w:ascii="Times New Roman" w:hint="eastAsia"/>
        </w:rPr>
        <w:t>。矿区规划</w:t>
      </w:r>
      <w:r>
        <w:rPr>
          <w:rFonts w:ascii="Times New Roman"/>
        </w:rPr>
        <w:t>后备区范围与临河工业园区和宁东煤化工园区有部分重叠。</w:t>
      </w:r>
    </w:p>
    <w:p w14:paraId="30BA2F3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2</w:t>
      </w:r>
      <w:r>
        <w:rPr>
          <w:rFonts w:ascii="Times New Roman" w:hint="eastAsia"/>
        </w:rPr>
        <w:t>）</w:t>
      </w:r>
      <w:r>
        <w:rPr>
          <w:rFonts w:ascii="Times New Roman"/>
        </w:rPr>
        <w:t>在</w:t>
      </w:r>
      <w:r>
        <w:rPr>
          <w:rFonts w:ascii="Times New Roman" w:hint="eastAsia"/>
        </w:rPr>
        <w:t>生态环境保护方面</w:t>
      </w:r>
      <w:r>
        <w:rPr>
          <w:rFonts w:ascii="Times New Roman"/>
        </w:rPr>
        <w:t>存在一定的环境缺陷问题，归纳总结如表</w:t>
      </w:r>
      <w:r>
        <w:rPr>
          <w:rFonts w:ascii="Times New Roman" w:hAnsi="Times New Roman"/>
        </w:rPr>
        <w:t>2.4-6</w:t>
      </w:r>
      <w:r>
        <w:rPr>
          <w:rFonts w:ascii="Times New Roman"/>
        </w:rPr>
        <w:t>所示。</w:t>
      </w:r>
    </w:p>
    <w:p w14:paraId="71B1DAF1" w14:textId="77777777" w:rsidR="009C353B" w:rsidRDefault="00000000">
      <w:pPr>
        <w:adjustRightInd w:val="0"/>
        <w:snapToGrid w:val="0"/>
        <w:spacing w:line="440" w:lineRule="exact"/>
        <w:jc w:val="center"/>
        <w:rPr>
          <w:rFonts w:ascii="Times New Roman" w:hAnsi="Times New Roman"/>
          <w:b/>
        </w:rPr>
      </w:pPr>
      <w:r>
        <w:rPr>
          <w:rFonts w:ascii="Times New Roman" w:hint="eastAsia"/>
          <w:b/>
        </w:rPr>
        <w:t>规</w:t>
      </w:r>
      <w:r>
        <w:rPr>
          <w:rFonts w:ascii="Times New Roman"/>
          <w:b/>
        </w:rPr>
        <w:t>划方案</w:t>
      </w:r>
      <w:r>
        <w:rPr>
          <w:rFonts w:ascii="Times New Roman" w:hint="eastAsia"/>
          <w:b/>
        </w:rPr>
        <w:t>存在</w:t>
      </w:r>
      <w:r>
        <w:rPr>
          <w:rFonts w:ascii="Times New Roman"/>
          <w:b/>
        </w:rPr>
        <w:t>的主要</w:t>
      </w:r>
      <w:r>
        <w:rPr>
          <w:rFonts w:ascii="Times New Roman" w:hint="eastAsia"/>
          <w:b/>
        </w:rPr>
        <w:t>问题、</w:t>
      </w:r>
      <w:r>
        <w:rPr>
          <w:rFonts w:ascii="Times New Roman"/>
          <w:b/>
        </w:rPr>
        <w:t>缺陷及建议一览表</w:t>
      </w:r>
    </w:p>
    <w:p w14:paraId="4F2955D2" w14:textId="77777777" w:rsidR="009C353B" w:rsidRDefault="00000000">
      <w:pPr>
        <w:pStyle w:val="affffd"/>
        <w:spacing w:line="440" w:lineRule="exact"/>
        <w:rPr>
          <w:rFonts w:ascii="Times New Roman" w:hint="eastAsia"/>
        </w:rPr>
      </w:pPr>
      <w:r>
        <w:rPr>
          <w:rFonts w:ascii="Times New Roman"/>
        </w:rPr>
        <w:t>表</w:t>
      </w:r>
      <w:r>
        <w:rPr>
          <w:rFonts w:ascii="Times New Roman"/>
        </w:rPr>
        <w:t>2.4-6</w:t>
      </w: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27"/>
        <w:gridCol w:w="2467"/>
        <w:gridCol w:w="3119"/>
        <w:gridCol w:w="3067"/>
      </w:tblGrid>
      <w:tr w:rsidR="009C353B" w14:paraId="78428608" w14:textId="77777777">
        <w:trPr>
          <w:cantSplit/>
          <w:trHeight w:val="390"/>
          <w:jc w:val="center"/>
        </w:trPr>
        <w:tc>
          <w:tcPr>
            <w:tcW w:w="627" w:type="dxa"/>
            <w:shd w:val="clear" w:color="auto" w:fill="FFFFFF"/>
            <w:tcMar>
              <w:left w:w="57" w:type="dxa"/>
              <w:right w:w="57" w:type="dxa"/>
            </w:tcMar>
            <w:vAlign w:val="center"/>
          </w:tcPr>
          <w:p w14:paraId="7FCE464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序号</w:t>
            </w:r>
          </w:p>
        </w:tc>
        <w:tc>
          <w:tcPr>
            <w:tcW w:w="2467" w:type="dxa"/>
            <w:shd w:val="clear" w:color="auto" w:fill="FFFFFF"/>
            <w:tcMar>
              <w:left w:w="57" w:type="dxa"/>
              <w:right w:w="57" w:type="dxa"/>
            </w:tcMar>
            <w:vAlign w:val="center"/>
          </w:tcPr>
          <w:p w14:paraId="276C298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缺陷</w:t>
            </w:r>
          </w:p>
        </w:tc>
        <w:tc>
          <w:tcPr>
            <w:tcW w:w="3119" w:type="dxa"/>
            <w:shd w:val="clear" w:color="auto" w:fill="FFFFFF"/>
            <w:tcMar>
              <w:left w:w="57" w:type="dxa"/>
              <w:right w:w="57" w:type="dxa"/>
            </w:tcMar>
            <w:vAlign w:val="center"/>
          </w:tcPr>
          <w:p w14:paraId="7B82F2F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依据</w:t>
            </w:r>
          </w:p>
        </w:tc>
        <w:tc>
          <w:tcPr>
            <w:tcW w:w="3067" w:type="dxa"/>
            <w:shd w:val="clear" w:color="auto" w:fill="FFFFFF"/>
            <w:tcMar>
              <w:left w:w="57" w:type="dxa"/>
              <w:right w:w="57" w:type="dxa"/>
            </w:tcMar>
            <w:vAlign w:val="center"/>
          </w:tcPr>
          <w:p w14:paraId="69AEF6E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环评建议</w:t>
            </w:r>
          </w:p>
        </w:tc>
      </w:tr>
      <w:tr w:rsidR="009C353B" w14:paraId="71A4DDA2" w14:textId="77777777">
        <w:trPr>
          <w:cantSplit/>
          <w:jc w:val="center"/>
        </w:trPr>
        <w:tc>
          <w:tcPr>
            <w:tcW w:w="627" w:type="dxa"/>
            <w:shd w:val="clear" w:color="auto" w:fill="FFFFFF"/>
            <w:tcMar>
              <w:left w:w="57" w:type="dxa"/>
              <w:right w:w="57" w:type="dxa"/>
            </w:tcMar>
            <w:vAlign w:val="center"/>
          </w:tcPr>
          <w:p w14:paraId="2B1CCEC1"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sz w:val="21"/>
                <w:szCs w:val="21"/>
              </w:rPr>
              <w:t>1</w:t>
            </w:r>
          </w:p>
        </w:tc>
        <w:tc>
          <w:tcPr>
            <w:tcW w:w="2467" w:type="dxa"/>
            <w:shd w:val="clear" w:color="auto" w:fill="FFFFFF"/>
            <w:tcMar>
              <w:left w:w="57" w:type="dxa"/>
              <w:right w:w="57" w:type="dxa"/>
            </w:tcMar>
            <w:vAlign w:val="center"/>
          </w:tcPr>
          <w:p w14:paraId="0B3480AF"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矿区西边界距离白芨滩国家级</w:t>
            </w:r>
            <w:r>
              <w:rPr>
                <w:rFonts w:ascii="Times New Roman"/>
                <w:sz w:val="21"/>
                <w:szCs w:val="21"/>
              </w:rPr>
              <w:t>自然保护区</w:t>
            </w:r>
            <w:r>
              <w:rPr>
                <w:rFonts w:ascii="Times New Roman" w:hint="eastAsia"/>
                <w:sz w:val="21"/>
                <w:szCs w:val="21"/>
              </w:rPr>
              <w:t>边界最近距离</w:t>
            </w:r>
            <w:r>
              <w:rPr>
                <w:rFonts w:ascii="Times New Roman" w:hint="eastAsia"/>
                <w:sz w:val="21"/>
                <w:szCs w:val="21"/>
              </w:rPr>
              <w:t>92m</w:t>
            </w:r>
            <w:r>
              <w:rPr>
                <w:rFonts w:ascii="Times New Roman" w:hint="eastAsia"/>
                <w:sz w:val="21"/>
                <w:szCs w:val="21"/>
              </w:rPr>
              <w:t>，规划未对矿区开发可能对白芨滩国家级</w:t>
            </w:r>
            <w:r>
              <w:rPr>
                <w:rFonts w:ascii="Times New Roman"/>
                <w:sz w:val="21"/>
                <w:szCs w:val="21"/>
              </w:rPr>
              <w:t>自然保护区</w:t>
            </w:r>
            <w:r>
              <w:rPr>
                <w:rFonts w:ascii="Times New Roman" w:hint="eastAsia"/>
                <w:sz w:val="21"/>
                <w:szCs w:val="21"/>
              </w:rPr>
              <w:t>产生的影响进行分析并提出相应的保护要求</w:t>
            </w:r>
          </w:p>
        </w:tc>
        <w:tc>
          <w:tcPr>
            <w:tcW w:w="3119" w:type="dxa"/>
            <w:shd w:val="clear" w:color="auto" w:fill="FFFFFF"/>
            <w:tcMar>
              <w:left w:w="57" w:type="dxa"/>
              <w:right w:w="57" w:type="dxa"/>
            </w:tcMar>
            <w:vAlign w:val="center"/>
          </w:tcPr>
          <w:p w14:paraId="78396062" w14:textId="77777777" w:rsidR="009C353B" w:rsidRDefault="00000000">
            <w:pPr>
              <w:adjustRightInd w:val="0"/>
              <w:snapToGrid w:val="0"/>
              <w:spacing w:line="240" w:lineRule="atLeast"/>
              <w:jc w:val="left"/>
              <w:rPr>
                <w:rFonts w:ascii="Times New Roman" w:hint="eastAsia"/>
                <w:sz w:val="21"/>
                <w:szCs w:val="21"/>
              </w:rPr>
            </w:pPr>
            <w:r>
              <w:rPr>
                <w:rFonts w:ascii="Times New Roman" w:hint="eastAsia"/>
                <w:sz w:val="21"/>
                <w:szCs w:val="21"/>
              </w:rPr>
              <w:t>白芨滩国家级</w:t>
            </w:r>
            <w:r>
              <w:rPr>
                <w:rFonts w:ascii="Times New Roman"/>
                <w:sz w:val="21"/>
                <w:szCs w:val="21"/>
              </w:rPr>
              <w:t>自然保护区总体规划</w:t>
            </w:r>
          </w:p>
        </w:tc>
        <w:tc>
          <w:tcPr>
            <w:tcW w:w="3067" w:type="dxa"/>
            <w:shd w:val="clear" w:color="auto" w:fill="FFFFFF"/>
            <w:tcMar>
              <w:left w:w="57" w:type="dxa"/>
              <w:right w:w="57" w:type="dxa"/>
            </w:tcMar>
            <w:vAlign w:val="center"/>
          </w:tcPr>
          <w:p w14:paraId="4C339340" w14:textId="77777777" w:rsidR="009C353B" w:rsidRDefault="00000000">
            <w:pPr>
              <w:adjustRightInd w:val="0"/>
              <w:snapToGrid w:val="0"/>
              <w:spacing w:line="240" w:lineRule="atLeast"/>
              <w:jc w:val="left"/>
              <w:rPr>
                <w:rFonts w:ascii="Times New Roman" w:hint="eastAsia"/>
                <w:sz w:val="21"/>
                <w:szCs w:val="21"/>
              </w:rPr>
            </w:pPr>
            <w:r>
              <w:rPr>
                <w:rFonts w:ascii="Times New Roman" w:hint="eastAsia"/>
                <w:sz w:val="21"/>
                <w:szCs w:val="21"/>
              </w:rPr>
              <w:t>深入分析矿区开发方案，</w:t>
            </w:r>
            <w:r>
              <w:rPr>
                <w:rFonts w:ascii="Times New Roman"/>
                <w:sz w:val="21"/>
                <w:szCs w:val="21"/>
              </w:rPr>
              <w:t>提出减缓或消除不良环境影响的措施</w:t>
            </w:r>
            <w:r>
              <w:rPr>
                <w:rFonts w:ascii="Times New Roman" w:hint="eastAsia"/>
                <w:sz w:val="21"/>
                <w:szCs w:val="21"/>
              </w:rPr>
              <w:t>，确保矿区煤矿开发不对白芨滩国家级</w:t>
            </w:r>
            <w:r>
              <w:rPr>
                <w:rFonts w:ascii="Times New Roman"/>
                <w:sz w:val="21"/>
                <w:szCs w:val="21"/>
              </w:rPr>
              <w:t>自然保护区</w:t>
            </w:r>
            <w:r>
              <w:rPr>
                <w:rFonts w:ascii="Times New Roman" w:hint="eastAsia"/>
                <w:sz w:val="21"/>
                <w:szCs w:val="21"/>
              </w:rPr>
              <w:t>产生不良影响。</w:t>
            </w:r>
          </w:p>
        </w:tc>
      </w:tr>
      <w:tr w:rsidR="009C353B" w14:paraId="45DA3D73" w14:textId="77777777">
        <w:trPr>
          <w:cantSplit/>
          <w:jc w:val="center"/>
        </w:trPr>
        <w:tc>
          <w:tcPr>
            <w:tcW w:w="627" w:type="dxa"/>
            <w:tcMar>
              <w:left w:w="57" w:type="dxa"/>
              <w:right w:w="57" w:type="dxa"/>
            </w:tcMar>
            <w:vAlign w:val="center"/>
          </w:tcPr>
          <w:p w14:paraId="5CD7727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w:t>
            </w:r>
          </w:p>
        </w:tc>
        <w:tc>
          <w:tcPr>
            <w:tcW w:w="2467" w:type="dxa"/>
            <w:tcMar>
              <w:left w:w="57" w:type="dxa"/>
              <w:right w:w="57" w:type="dxa"/>
            </w:tcMar>
            <w:vAlign w:val="center"/>
          </w:tcPr>
          <w:p w14:paraId="504ECDD7" w14:textId="77777777" w:rsidR="009C353B" w:rsidRDefault="00000000">
            <w:pPr>
              <w:adjustRightInd w:val="0"/>
              <w:snapToGrid w:val="0"/>
              <w:spacing w:line="240" w:lineRule="atLeast"/>
              <w:rPr>
                <w:rFonts w:ascii="Times New Roman" w:hAnsi="Times New Roman"/>
                <w:sz w:val="21"/>
                <w:szCs w:val="21"/>
              </w:rPr>
            </w:pPr>
            <w:r>
              <w:rPr>
                <w:rFonts w:ascii="Times New Roman" w:hint="eastAsia"/>
                <w:sz w:val="21"/>
                <w:szCs w:val="21"/>
              </w:rPr>
              <w:t>矿区</w:t>
            </w:r>
            <w:r>
              <w:rPr>
                <w:rFonts w:ascii="Times New Roman"/>
                <w:sz w:val="21"/>
                <w:szCs w:val="21"/>
              </w:rPr>
              <w:t>开发可能加重</w:t>
            </w:r>
            <w:r>
              <w:rPr>
                <w:rFonts w:ascii="Times New Roman" w:hint="eastAsia"/>
                <w:sz w:val="21"/>
                <w:szCs w:val="21"/>
              </w:rPr>
              <w:t>当地的土壤沙化，荒漠草原进一步退化</w:t>
            </w:r>
            <w:r>
              <w:rPr>
                <w:rFonts w:ascii="Times New Roman"/>
                <w:sz w:val="21"/>
                <w:szCs w:val="21"/>
              </w:rPr>
              <w:t>，总体规划没有提出明确的</w:t>
            </w:r>
            <w:r>
              <w:rPr>
                <w:rFonts w:ascii="Times New Roman" w:hint="eastAsia"/>
                <w:sz w:val="21"/>
                <w:szCs w:val="21"/>
              </w:rPr>
              <w:t>生态</w:t>
            </w:r>
            <w:r>
              <w:rPr>
                <w:rFonts w:ascii="Times New Roman"/>
                <w:sz w:val="21"/>
                <w:szCs w:val="21"/>
              </w:rPr>
              <w:t>环境保护</w:t>
            </w:r>
            <w:r>
              <w:rPr>
                <w:rFonts w:ascii="Times New Roman" w:hint="eastAsia"/>
                <w:sz w:val="21"/>
                <w:szCs w:val="21"/>
              </w:rPr>
              <w:t>措施</w:t>
            </w:r>
          </w:p>
        </w:tc>
        <w:tc>
          <w:tcPr>
            <w:tcW w:w="3119" w:type="dxa"/>
            <w:tcMar>
              <w:left w:w="57" w:type="dxa"/>
              <w:right w:w="57" w:type="dxa"/>
            </w:tcMar>
            <w:vAlign w:val="center"/>
          </w:tcPr>
          <w:p w14:paraId="7A3B9B0D" w14:textId="77777777" w:rsidR="009C353B" w:rsidRDefault="00000000">
            <w:pPr>
              <w:adjustRightInd w:val="0"/>
              <w:snapToGrid w:val="0"/>
              <w:spacing w:line="240" w:lineRule="atLeast"/>
              <w:jc w:val="left"/>
              <w:rPr>
                <w:rFonts w:ascii="Times New Roman" w:hAnsi="Times New Roman"/>
                <w:sz w:val="21"/>
                <w:szCs w:val="21"/>
              </w:rPr>
            </w:pPr>
            <w:r>
              <w:rPr>
                <w:rFonts w:ascii="Times New Roman" w:hint="eastAsia"/>
                <w:sz w:val="21"/>
                <w:szCs w:val="21"/>
              </w:rPr>
              <w:t>矿区位于鄂尔多斯高原西南部防风固沙功能区</w:t>
            </w:r>
            <w:r>
              <w:rPr>
                <w:rFonts w:ascii="Times New Roman"/>
                <w:sz w:val="21"/>
                <w:szCs w:val="21"/>
              </w:rPr>
              <w:t>”。</w:t>
            </w:r>
            <w:r>
              <w:rPr>
                <w:rFonts w:ascii="Times New Roman" w:hint="eastAsia"/>
                <w:sz w:val="21"/>
                <w:szCs w:val="21"/>
              </w:rPr>
              <w:t>横城矿区中马莲台属于</w:t>
            </w:r>
            <w:r>
              <w:rPr>
                <w:rFonts w:ascii="Times New Roman" w:hint="eastAsia"/>
                <w:sz w:val="21"/>
                <w:szCs w:val="21"/>
              </w:rPr>
              <w:t>I</w:t>
            </w:r>
            <w:r>
              <w:rPr>
                <w:rFonts w:ascii="Times New Roman"/>
                <w:sz w:val="21"/>
                <w:szCs w:val="21"/>
              </w:rPr>
              <w:t>I1-2</w:t>
            </w:r>
            <w:r>
              <w:rPr>
                <w:rFonts w:ascii="Times New Roman"/>
                <w:sz w:val="21"/>
                <w:szCs w:val="21"/>
              </w:rPr>
              <w:t>灵盐中北部防沙治沙生态功能区</w:t>
            </w:r>
            <w:r>
              <w:rPr>
                <w:rFonts w:ascii="Times New Roman" w:hint="eastAsia"/>
                <w:sz w:val="21"/>
                <w:szCs w:val="21"/>
              </w:rPr>
              <w:t>，其他矿井属于</w:t>
            </w:r>
            <w:r>
              <w:rPr>
                <w:rFonts w:ascii="Times New Roman"/>
                <w:sz w:val="21"/>
                <w:szCs w:val="21"/>
              </w:rPr>
              <w:t>II1</w:t>
            </w:r>
            <w:r>
              <w:rPr>
                <w:rFonts w:ascii="Times New Roman" w:hint="eastAsia"/>
                <w:sz w:val="21"/>
                <w:szCs w:val="21"/>
              </w:rPr>
              <w:t>-</w:t>
            </w:r>
            <w:r>
              <w:rPr>
                <w:rFonts w:ascii="Times New Roman"/>
                <w:sz w:val="21"/>
                <w:szCs w:val="21"/>
              </w:rPr>
              <w:t>3</w:t>
            </w:r>
            <w:r>
              <w:rPr>
                <w:rFonts w:ascii="Times New Roman"/>
                <w:sz w:val="21"/>
                <w:szCs w:val="21"/>
              </w:rPr>
              <w:t>白芨滩柠条及沙生植被自然保护生态功能区，</w:t>
            </w:r>
            <w:r>
              <w:rPr>
                <w:rFonts w:ascii="Times New Roman" w:hint="eastAsia"/>
                <w:sz w:val="21"/>
                <w:szCs w:val="21"/>
              </w:rPr>
              <w:t>该区域</w:t>
            </w:r>
            <w:r>
              <w:rPr>
                <w:rFonts w:ascii="Times New Roman"/>
                <w:sz w:val="21"/>
                <w:szCs w:val="21"/>
              </w:rPr>
              <w:t>土壤质地粗疏，</w:t>
            </w:r>
            <w:r>
              <w:rPr>
                <w:rFonts w:ascii="Times New Roman" w:hint="eastAsia"/>
                <w:sz w:val="21"/>
                <w:szCs w:val="21"/>
              </w:rPr>
              <w:t>易沙化，</w:t>
            </w:r>
            <w:r>
              <w:rPr>
                <w:rFonts w:ascii="Times New Roman"/>
                <w:sz w:val="21"/>
                <w:szCs w:val="21"/>
              </w:rPr>
              <w:t>多大风天气，</w:t>
            </w:r>
            <w:r>
              <w:rPr>
                <w:rFonts w:ascii="Times New Roman" w:hint="eastAsia"/>
                <w:sz w:val="21"/>
                <w:szCs w:val="21"/>
              </w:rPr>
              <w:t>荒漠</w:t>
            </w:r>
            <w:r>
              <w:rPr>
                <w:rFonts w:ascii="Times New Roman"/>
                <w:sz w:val="21"/>
                <w:szCs w:val="21"/>
              </w:rPr>
              <w:t>草原生态系统脆弱。</w:t>
            </w:r>
          </w:p>
        </w:tc>
        <w:tc>
          <w:tcPr>
            <w:tcW w:w="3067" w:type="dxa"/>
            <w:tcMar>
              <w:left w:w="57" w:type="dxa"/>
              <w:right w:w="57" w:type="dxa"/>
            </w:tcMar>
          </w:tcPr>
          <w:p w14:paraId="5BB83BC8" w14:textId="77777777" w:rsidR="009C353B" w:rsidRDefault="00000000">
            <w:pPr>
              <w:adjustRightInd w:val="0"/>
              <w:snapToGrid w:val="0"/>
              <w:spacing w:line="240" w:lineRule="atLeast"/>
              <w:rPr>
                <w:rFonts w:ascii="Times New Roman" w:hAnsi="Times New Roman"/>
                <w:sz w:val="21"/>
                <w:szCs w:val="21"/>
              </w:rPr>
            </w:pPr>
            <w:r>
              <w:rPr>
                <w:rFonts w:ascii="Times New Roman"/>
                <w:sz w:val="21"/>
                <w:szCs w:val="21"/>
              </w:rPr>
              <w:t>根据当地的</w:t>
            </w:r>
            <w:r>
              <w:rPr>
                <w:rFonts w:ascii="Times New Roman" w:hint="eastAsia"/>
                <w:sz w:val="21"/>
                <w:szCs w:val="21"/>
              </w:rPr>
              <w:t>生态功能区划</w:t>
            </w:r>
            <w:r>
              <w:rPr>
                <w:rFonts w:ascii="Times New Roman"/>
                <w:sz w:val="21"/>
                <w:szCs w:val="21"/>
              </w:rPr>
              <w:t>，完善</w:t>
            </w:r>
            <w:r>
              <w:rPr>
                <w:rFonts w:ascii="Times New Roman" w:hint="eastAsia"/>
                <w:sz w:val="21"/>
                <w:szCs w:val="21"/>
              </w:rPr>
              <w:t>矿区</w:t>
            </w:r>
            <w:r>
              <w:rPr>
                <w:rFonts w:ascii="Times New Roman"/>
                <w:sz w:val="21"/>
                <w:szCs w:val="21"/>
              </w:rPr>
              <w:t>开发的</w:t>
            </w:r>
            <w:r>
              <w:rPr>
                <w:rFonts w:ascii="Times New Roman" w:hint="eastAsia"/>
                <w:sz w:val="21"/>
                <w:szCs w:val="21"/>
              </w:rPr>
              <w:t>生态环境整治</w:t>
            </w:r>
            <w:r>
              <w:rPr>
                <w:rFonts w:ascii="Times New Roman"/>
                <w:sz w:val="21"/>
                <w:szCs w:val="21"/>
              </w:rPr>
              <w:t>措施，通过工程措施、林草措施，做到生产建设与</w:t>
            </w:r>
            <w:r>
              <w:rPr>
                <w:rFonts w:ascii="Times New Roman" w:hint="eastAsia"/>
                <w:sz w:val="21"/>
                <w:szCs w:val="21"/>
              </w:rPr>
              <w:t>生态保护</w:t>
            </w:r>
            <w:r>
              <w:rPr>
                <w:rFonts w:ascii="Times New Roman"/>
                <w:sz w:val="21"/>
                <w:szCs w:val="21"/>
              </w:rPr>
              <w:t>同步发展。在技术、资金、政策等方面给予建议。</w:t>
            </w:r>
          </w:p>
        </w:tc>
      </w:tr>
      <w:tr w:rsidR="009C353B" w14:paraId="4E43BEB5" w14:textId="77777777">
        <w:trPr>
          <w:cantSplit/>
          <w:jc w:val="center"/>
        </w:trPr>
        <w:tc>
          <w:tcPr>
            <w:tcW w:w="627" w:type="dxa"/>
            <w:tcMar>
              <w:left w:w="57" w:type="dxa"/>
              <w:right w:w="57" w:type="dxa"/>
            </w:tcMar>
            <w:vAlign w:val="center"/>
          </w:tcPr>
          <w:p w14:paraId="60743DC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w:t>
            </w:r>
          </w:p>
        </w:tc>
        <w:tc>
          <w:tcPr>
            <w:tcW w:w="2467" w:type="dxa"/>
            <w:tcMar>
              <w:left w:w="57" w:type="dxa"/>
              <w:right w:w="57" w:type="dxa"/>
            </w:tcMar>
            <w:vAlign w:val="center"/>
          </w:tcPr>
          <w:p w14:paraId="6673667E" w14:textId="77777777" w:rsidR="009C353B" w:rsidRDefault="00000000">
            <w:pPr>
              <w:adjustRightInd w:val="0"/>
              <w:snapToGrid w:val="0"/>
              <w:spacing w:line="240" w:lineRule="atLeast"/>
              <w:rPr>
                <w:rFonts w:ascii="Times New Roman" w:hint="eastAsia"/>
                <w:sz w:val="21"/>
                <w:szCs w:val="21"/>
              </w:rPr>
            </w:pPr>
            <w:r>
              <w:rPr>
                <w:rFonts w:ascii="Times New Roman" w:hint="eastAsia"/>
                <w:bCs/>
                <w:sz w:val="21"/>
                <w:szCs w:val="21"/>
              </w:rPr>
              <w:t>本次规划修编新增</w:t>
            </w:r>
            <w:r>
              <w:rPr>
                <w:rFonts w:ascii="Times New Roman" w:hint="eastAsia"/>
                <w:bCs/>
                <w:sz w:val="21"/>
                <w:szCs w:val="21"/>
              </w:rPr>
              <w:t>3</w:t>
            </w:r>
            <w:r>
              <w:rPr>
                <w:rFonts w:ascii="Times New Roman" w:hint="eastAsia"/>
                <w:bCs/>
                <w:sz w:val="21"/>
                <w:szCs w:val="21"/>
              </w:rPr>
              <w:t>个后备区，分别为马莲台后备区、红石湾后备区、任家庄后备区，这</w:t>
            </w:r>
            <w:r>
              <w:rPr>
                <w:rFonts w:ascii="Times New Roman" w:hint="eastAsia"/>
                <w:bCs/>
                <w:sz w:val="21"/>
                <w:szCs w:val="21"/>
              </w:rPr>
              <w:t>3</w:t>
            </w:r>
            <w:r>
              <w:rPr>
                <w:rFonts w:ascii="Times New Roman" w:hint="eastAsia"/>
                <w:bCs/>
                <w:sz w:val="21"/>
                <w:szCs w:val="21"/>
              </w:rPr>
              <w:t>个后备区范围与临河工业园区和宁东煤化工园区有部分重叠</w:t>
            </w:r>
            <w:r>
              <w:rPr>
                <w:rFonts w:ascii="Times New Roman" w:hint="eastAsia"/>
                <w:sz w:val="21"/>
                <w:szCs w:val="21"/>
              </w:rPr>
              <w:t xml:space="preserve"> </w:t>
            </w:r>
          </w:p>
        </w:tc>
        <w:tc>
          <w:tcPr>
            <w:tcW w:w="3119" w:type="dxa"/>
            <w:tcMar>
              <w:left w:w="57" w:type="dxa"/>
              <w:right w:w="57" w:type="dxa"/>
            </w:tcMar>
            <w:vAlign w:val="center"/>
          </w:tcPr>
          <w:p w14:paraId="742FD021" w14:textId="77777777" w:rsidR="009C353B" w:rsidRDefault="00000000">
            <w:pPr>
              <w:adjustRightInd w:val="0"/>
              <w:snapToGrid w:val="0"/>
              <w:spacing w:line="240" w:lineRule="atLeast"/>
              <w:jc w:val="left"/>
              <w:rPr>
                <w:rFonts w:ascii="Times New Roman" w:hint="eastAsia"/>
                <w:sz w:val="21"/>
                <w:szCs w:val="21"/>
              </w:rPr>
            </w:pPr>
            <w:r>
              <w:rPr>
                <w:rFonts w:ascii="Times New Roman" w:hint="eastAsia"/>
                <w:sz w:val="21"/>
                <w:szCs w:val="21"/>
              </w:rPr>
              <w:t>工业园区总体规划</w:t>
            </w:r>
          </w:p>
        </w:tc>
        <w:tc>
          <w:tcPr>
            <w:tcW w:w="3067" w:type="dxa"/>
            <w:tcMar>
              <w:left w:w="57" w:type="dxa"/>
              <w:right w:w="57" w:type="dxa"/>
            </w:tcMar>
          </w:tcPr>
          <w:p w14:paraId="69507274" w14:textId="77777777" w:rsidR="009C353B" w:rsidRDefault="00000000">
            <w:pPr>
              <w:adjustRightInd w:val="0"/>
              <w:snapToGrid w:val="0"/>
              <w:spacing w:line="240" w:lineRule="atLeast"/>
              <w:rPr>
                <w:rFonts w:ascii="Times New Roman" w:hint="eastAsia"/>
                <w:sz w:val="21"/>
                <w:szCs w:val="21"/>
              </w:rPr>
            </w:pPr>
            <w:r>
              <w:rPr>
                <w:rFonts w:ascii="Times New Roman" w:hint="eastAsia"/>
                <w:bCs/>
                <w:sz w:val="21"/>
                <w:szCs w:val="21"/>
              </w:rPr>
              <w:t>建议对后备区资源开采方式进行优化调整，根据地面设施保护要求采取充填开采等保护性开采方式</w:t>
            </w:r>
          </w:p>
        </w:tc>
      </w:tr>
      <w:bookmarkEnd w:id="97"/>
    </w:tbl>
    <w:p w14:paraId="17F7F52E" w14:textId="77777777" w:rsidR="009C353B" w:rsidRDefault="009C353B">
      <w:pPr>
        <w:autoSpaceDE w:val="0"/>
        <w:autoSpaceDN w:val="0"/>
        <w:adjustRightInd w:val="0"/>
        <w:snapToGrid w:val="0"/>
        <w:spacing w:line="440" w:lineRule="exact"/>
        <w:ind w:firstLineChars="200" w:firstLine="480"/>
        <w:jc w:val="left"/>
        <w:rPr>
          <w:rFonts w:ascii="Times New Roman" w:hint="eastAsia"/>
        </w:rPr>
      </w:pPr>
    </w:p>
    <w:p w14:paraId="1E85ADDF" w14:textId="77777777" w:rsidR="009C353B" w:rsidRDefault="009C353B">
      <w:pPr>
        <w:adjustRightInd w:val="0"/>
        <w:snapToGrid w:val="0"/>
        <w:spacing w:line="529" w:lineRule="exact"/>
        <w:rPr>
          <w:rFonts w:ascii="Times New Roman" w:hAnsi="Times New Roman"/>
        </w:rPr>
        <w:sectPr w:rsidR="009C353B">
          <w:pgSz w:w="11907" w:h="16840"/>
          <w:pgMar w:top="1701" w:right="1418" w:bottom="1418" w:left="1418" w:header="1134" w:footer="851" w:gutter="0"/>
          <w:paperSrc w:first="7" w:other="7"/>
          <w:cols w:space="720"/>
          <w:docGrid w:linePitch="312"/>
        </w:sectPr>
      </w:pPr>
    </w:p>
    <w:p w14:paraId="096BF46B" w14:textId="77777777" w:rsidR="009C353B" w:rsidRDefault="00000000">
      <w:pPr>
        <w:pStyle w:val="1"/>
        <w:pageBreakBefore/>
        <w:spacing w:before="100" w:beforeAutospacing="1" w:after="100" w:afterAutospacing="1" w:line="578" w:lineRule="atLeast"/>
        <w:ind w:firstLine="723"/>
        <w:jc w:val="center"/>
        <w:rPr>
          <w:rFonts w:ascii="Times New Roman" w:hAnsi="Times New Roman"/>
          <w:sz w:val="36"/>
        </w:rPr>
      </w:pPr>
      <w:bookmarkStart w:id="98" w:name="_Toc168281206"/>
      <w:bookmarkStart w:id="99" w:name="_Toc163444142"/>
      <w:bookmarkStart w:id="100" w:name="_Toc168280770"/>
      <w:bookmarkStart w:id="101" w:name="_Toc59189828"/>
      <w:bookmarkStart w:id="102" w:name="_Toc163440985"/>
      <w:r>
        <w:rPr>
          <w:rFonts w:ascii="Times New Roman" w:hAnsi="Times New Roman"/>
          <w:sz w:val="36"/>
        </w:rPr>
        <w:t xml:space="preserve">3 </w:t>
      </w:r>
      <w:bookmarkEnd w:id="98"/>
      <w:bookmarkEnd w:id="99"/>
      <w:bookmarkEnd w:id="100"/>
      <w:r>
        <w:rPr>
          <w:rFonts w:ascii="Times New Roman"/>
          <w:sz w:val="36"/>
        </w:rPr>
        <w:t>区域自然和社会经济概况</w:t>
      </w:r>
      <w:bookmarkEnd w:id="101"/>
    </w:p>
    <w:p w14:paraId="0D8C6D63" w14:textId="77777777" w:rsidR="009C353B" w:rsidRDefault="00000000">
      <w:pPr>
        <w:pStyle w:val="2"/>
        <w:snapToGrid w:val="0"/>
        <w:spacing w:line="440" w:lineRule="exact"/>
        <w:rPr>
          <w:rFonts w:ascii="Times New Roman" w:eastAsia="宋体" w:hAnsi="Times New Roman"/>
          <w:b/>
          <w:sz w:val="28"/>
        </w:rPr>
      </w:pPr>
      <w:bookmarkStart w:id="103" w:name="_Toc168280772"/>
      <w:bookmarkStart w:id="104" w:name="_Toc59189829"/>
      <w:r>
        <w:rPr>
          <w:rFonts w:ascii="Times New Roman" w:eastAsia="宋体" w:hAnsi="Times New Roman"/>
          <w:b/>
          <w:sz w:val="28"/>
        </w:rPr>
        <w:t xml:space="preserve">3.1 </w:t>
      </w:r>
      <w:r>
        <w:rPr>
          <w:rFonts w:ascii="Times New Roman" w:eastAsia="宋体" w:hAnsi="Times New Roman"/>
          <w:b/>
          <w:sz w:val="28"/>
        </w:rPr>
        <w:t>自然环境</w:t>
      </w:r>
      <w:bookmarkEnd w:id="103"/>
      <w:r>
        <w:rPr>
          <w:rFonts w:ascii="Times New Roman" w:eastAsia="宋体" w:hAnsi="Times New Roman"/>
          <w:b/>
          <w:sz w:val="28"/>
        </w:rPr>
        <w:t>概况</w:t>
      </w:r>
      <w:bookmarkEnd w:id="104"/>
    </w:p>
    <w:p w14:paraId="5F4D3180"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3.1.1 </w:t>
      </w:r>
      <w:r>
        <w:rPr>
          <w:rFonts w:ascii="Times New Roman" w:hAnsi="Times New Roman"/>
          <w:sz w:val="24"/>
        </w:rPr>
        <w:t>地形地貌</w:t>
      </w:r>
    </w:p>
    <w:p w14:paraId="2F70E0B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横城矿区</w:t>
      </w:r>
      <w:r>
        <w:rPr>
          <w:rFonts w:ascii="Times New Roman" w:hAnsi="Times New Roman"/>
        </w:rPr>
        <w:t>位于</w:t>
      </w:r>
      <w:r>
        <w:rPr>
          <w:rFonts w:ascii="Times New Roman" w:hAnsi="Times New Roman" w:hint="eastAsia"/>
        </w:rPr>
        <w:t>鄂尔多斯盆地的西部边缘</w:t>
      </w:r>
      <w:r>
        <w:rPr>
          <w:rFonts w:ascii="Times New Roman" w:hAnsi="Times New Roman"/>
        </w:rPr>
        <w:t>陶灵</w:t>
      </w:r>
      <w:r>
        <w:rPr>
          <w:rFonts w:ascii="Times New Roman" w:hAnsi="Times New Roman" w:hint="eastAsia"/>
        </w:rPr>
        <w:t>盐台地，区内大部属低缓的沙漠</w:t>
      </w:r>
      <w:r>
        <w:rPr>
          <w:rFonts w:ascii="Times New Roman" w:hAnsi="Times New Roman"/>
        </w:rPr>
        <w:t>—</w:t>
      </w:r>
      <w:r>
        <w:rPr>
          <w:rFonts w:ascii="Times New Roman" w:hAnsi="Times New Roman" w:hint="eastAsia"/>
        </w:rPr>
        <w:t>半沙漠丘陵地带，地势呈南高北低状，地形低缓平坦，起伏不大。</w:t>
      </w:r>
      <w:r>
        <w:rPr>
          <w:rFonts w:ascii="Times New Roman" w:hAnsi="Times New Roman"/>
        </w:rPr>
        <w:t>按地貌单元的成因，将本区地貌</w:t>
      </w:r>
      <w:r>
        <w:rPr>
          <w:rFonts w:ascii="Times New Roman" w:hAnsi="Times New Roman" w:hint="eastAsia"/>
        </w:rPr>
        <w:t>细</w:t>
      </w:r>
      <w:r>
        <w:rPr>
          <w:rFonts w:ascii="Times New Roman" w:hAnsi="Times New Roman"/>
        </w:rPr>
        <w:t>划分为沟谷地貌和风沙地貌</w:t>
      </w:r>
      <w:r>
        <w:rPr>
          <w:rFonts w:ascii="Times New Roman" w:hAnsi="Times New Roman" w:hint="eastAsia"/>
        </w:rPr>
        <w:t>两</w:t>
      </w:r>
      <w:r>
        <w:rPr>
          <w:rFonts w:ascii="Times New Roman" w:hAnsi="Times New Roman"/>
        </w:rPr>
        <w:t>类</w:t>
      </w:r>
      <w:r>
        <w:rPr>
          <w:rFonts w:ascii="Times New Roman" w:hAnsi="Times New Roman" w:hint="eastAsia"/>
        </w:rPr>
        <w:t>。</w:t>
      </w:r>
    </w:p>
    <w:p w14:paraId="186A289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rPr>
        <w:t>1</w:t>
      </w:r>
      <w:r>
        <w:rPr>
          <w:rFonts w:ascii="Times New Roman" w:hAnsi="Times New Roman" w:hint="eastAsia"/>
        </w:rPr>
        <w:t>）沟谷地貌：主要位于矿区北部，地形高低起伏，为典型的红土冲沟地貌，沟壑较发育（图</w:t>
      </w:r>
      <w:r>
        <w:rPr>
          <w:rFonts w:ascii="Times New Roman" w:hAnsi="Times New Roman"/>
        </w:rPr>
        <w:t>3</w:t>
      </w:r>
      <w:r>
        <w:rPr>
          <w:rFonts w:ascii="Times New Roman" w:hAnsi="Times New Roman" w:hint="eastAsia"/>
        </w:rPr>
        <w:t>.1-</w:t>
      </w:r>
      <w:r>
        <w:rPr>
          <w:rFonts w:ascii="Times New Roman" w:hAnsi="Times New Roman"/>
        </w:rPr>
        <w:t>1</w:t>
      </w:r>
      <w:r>
        <w:rPr>
          <w:rFonts w:ascii="Times New Roman" w:hAnsi="Times New Roman" w:hint="eastAsia"/>
        </w:rPr>
        <w:t>）。</w:t>
      </w:r>
    </w:p>
    <w:p w14:paraId="3BA52890" w14:textId="77777777" w:rsidR="009C353B" w:rsidRDefault="009C353B">
      <w:pPr>
        <w:adjustRightInd w:val="0"/>
        <w:snapToGrid w:val="0"/>
        <w:spacing w:line="440" w:lineRule="exact"/>
        <w:ind w:firstLineChars="200" w:firstLine="480"/>
        <w:rPr>
          <w:rFonts w:ascii="Times New Roman" w:hAnsi="Times New Roman"/>
        </w:rPr>
      </w:pPr>
    </w:p>
    <w:p w14:paraId="4A11FD1F" w14:textId="77777777" w:rsidR="009C353B" w:rsidRDefault="00000000">
      <w:pPr>
        <w:jc w:val="center"/>
        <w:rPr>
          <w:rFonts w:hint="eastAsia"/>
        </w:rPr>
      </w:pPr>
      <w:r>
        <w:rPr>
          <w:noProof/>
        </w:rPr>
        <w:drawing>
          <wp:inline distT="0" distB="0" distL="0" distR="0" wp14:anchorId="73DB2432" wp14:editId="39089A9C">
            <wp:extent cx="5347335" cy="3364865"/>
            <wp:effectExtent l="19050" t="19050" r="24765" b="26035"/>
            <wp:docPr id="1" name="图片 1" descr="IMG_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9577"/>
                    <pic:cNvPicPr>
                      <a:picLocks noChangeAspect="1" noChangeArrowheads="1"/>
                    </pic:cNvPicPr>
                  </pic:nvPicPr>
                  <pic:blipFill>
                    <a:blip r:embed="rId188">
                      <a:extLst>
                        <a:ext uri="{28A0092B-C50C-407E-A947-70E740481C1C}">
                          <a14:useLocalDpi xmlns:a14="http://schemas.microsoft.com/office/drawing/2010/main" val="0"/>
                        </a:ext>
                      </a:extLst>
                    </a:blip>
                    <a:srcRect b="5367"/>
                    <a:stretch>
                      <a:fillRect/>
                    </a:stretch>
                  </pic:blipFill>
                  <pic:spPr>
                    <a:xfrm>
                      <a:off x="0" y="0"/>
                      <a:ext cx="5347335" cy="3364865"/>
                    </a:xfrm>
                    <a:prstGeom prst="rect">
                      <a:avLst/>
                    </a:prstGeom>
                    <a:noFill/>
                    <a:ln w="6350" cmpd="sng">
                      <a:solidFill>
                        <a:srgbClr val="000000"/>
                      </a:solidFill>
                      <a:miter lim="800000"/>
                      <a:headEnd/>
                      <a:tailEnd/>
                    </a:ln>
                    <a:effectLst/>
                  </pic:spPr>
                </pic:pic>
              </a:graphicData>
            </a:graphic>
          </wp:inline>
        </w:drawing>
      </w:r>
    </w:p>
    <w:p w14:paraId="2F285BD0" w14:textId="77777777" w:rsidR="009C353B" w:rsidRDefault="00000000">
      <w:pPr>
        <w:pStyle w:val="05"/>
        <w:spacing w:line="240" w:lineRule="auto"/>
      </w:pPr>
      <w:r>
        <w:rPr>
          <w:rFonts w:hint="eastAsia"/>
        </w:rPr>
        <w:t>图</w:t>
      </w:r>
      <w:r>
        <w:t>3</w:t>
      </w:r>
      <w:r>
        <w:rPr>
          <w:rFonts w:hint="eastAsia"/>
        </w:rPr>
        <w:t>.1-</w:t>
      </w:r>
      <w:r>
        <w:t>1</w:t>
      </w:r>
      <w:r>
        <w:rPr>
          <w:rFonts w:hint="eastAsia"/>
        </w:rPr>
        <w:t xml:space="preserve">  </w:t>
      </w:r>
      <w:r>
        <w:rPr>
          <w:rFonts w:hint="eastAsia"/>
        </w:rPr>
        <w:t>沟谷地貌</w:t>
      </w:r>
    </w:p>
    <w:p w14:paraId="3A571454" w14:textId="77777777" w:rsidR="009C353B" w:rsidRDefault="009C353B">
      <w:pPr>
        <w:pStyle w:val="05"/>
        <w:spacing w:line="240" w:lineRule="auto"/>
      </w:pPr>
    </w:p>
    <w:p w14:paraId="39B3A53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）风沙地貌：主要位于矿区南部，约占矿区面积的</w:t>
      </w:r>
      <w:r>
        <w:rPr>
          <w:rFonts w:ascii="Times New Roman" w:hAnsi="Times New Roman" w:hint="eastAsia"/>
        </w:rPr>
        <w:t>1/</w:t>
      </w:r>
      <w:r>
        <w:rPr>
          <w:rFonts w:ascii="Times New Roman" w:hAnsi="Times New Roman"/>
        </w:rPr>
        <w:t>6</w:t>
      </w:r>
      <w:r>
        <w:rPr>
          <w:rFonts w:ascii="Times New Roman" w:hAnsi="Times New Roman" w:hint="eastAsia"/>
        </w:rPr>
        <w:t>，组成物质是第四系黄色沙质黄土、亚粘土、粉沙、细沙及中粗沙。风沙地貌分为风沙滩地和风成沙丘地貌。风沙滩地较为平坦，粒度较细，常为农业耕作区，部分地段四周被沙丘所包围。沙丘形态各异，大小不等，呈链状分布，高度</w:t>
      </w:r>
      <w:r>
        <w:rPr>
          <w:rFonts w:ascii="Times New Roman" w:hAnsi="Times New Roman" w:hint="eastAsia"/>
        </w:rPr>
        <w:t>1</w:t>
      </w:r>
      <w:r>
        <w:rPr>
          <w:rFonts w:ascii="Times New Roman" w:hAnsi="Times New Roman" w:hint="eastAsia"/>
        </w:rPr>
        <w:t>～</w:t>
      </w:r>
      <w:r>
        <w:rPr>
          <w:rFonts w:ascii="Times New Roman" w:hAnsi="Times New Roman" w:hint="eastAsia"/>
        </w:rPr>
        <w:t>3m</w:t>
      </w:r>
      <w:r>
        <w:rPr>
          <w:rFonts w:ascii="Times New Roman" w:hAnsi="Times New Roman" w:hint="eastAsia"/>
        </w:rPr>
        <w:t>。风沙地貌以半固定和固定沙为主，植被覆盖较好，且大部植被物固定，地势平坦开阔（见图</w:t>
      </w:r>
      <w:r>
        <w:rPr>
          <w:rFonts w:ascii="Times New Roman" w:hAnsi="Times New Roman"/>
        </w:rPr>
        <w:t>3</w:t>
      </w:r>
      <w:r>
        <w:rPr>
          <w:rFonts w:ascii="Times New Roman" w:hAnsi="Times New Roman" w:hint="eastAsia"/>
        </w:rPr>
        <w:t>.1-</w:t>
      </w:r>
      <w:r>
        <w:rPr>
          <w:rFonts w:ascii="Times New Roman" w:hAnsi="Times New Roman"/>
        </w:rPr>
        <w:t>2</w:t>
      </w:r>
      <w:r>
        <w:rPr>
          <w:rFonts w:ascii="Times New Roman" w:hAnsi="Times New Roman" w:hint="eastAsia"/>
        </w:rPr>
        <w:t>）。</w:t>
      </w:r>
    </w:p>
    <w:p w14:paraId="3BD632DB" w14:textId="77777777" w:rsidR="009C353B" w:rsidRDefault="00000000">
      <w:pPr>
        <w:jc w:val="center"/>
        <w:rPr>
          <w:rFonts w:ascii="Arial Narrow" w:hAnsi="Arial Narrow"/>
          <w:szCs w:val="24"/>
        </w:rPr>
      </w:pPr>
      <w:r>
        <w:rPr>
          <w:noProof/>
        </w:rPr>
        <w:drawing>
          <wp:inline distT="0" distB="0" distL="0" distR="0" wp14:anchorId="1A2023AC" wp14:editId="5E053E85">
            <wp:extent cx="5281295" cy="3160395"/>
            <wp:effectExtent l="19050" t="19050" r="14605" b="209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89">
                      <a:extLst>
                        <a:ext uri="{28A0092B-C50C-407E-A947-70E740481C1C}">
                          <a14:useLocalDpi xmlns:a14="http://schemas.microsoft.com/office/drawing/2010/main" val="0"/>
                        </a:ext>
                      </a:extLst>
                    </a:blip>
                    <a:srcRect b="11339"/>
                    <a:stretch>
                      <a:fillRect/>
                    </a:stretch>
                  </pic:blipFill>
                  <pic:spPr>
                    <a:xfrm>
                      <a:off x="0" y="0"/>
                      <a:ext cx="5281295" cy="3160395"/>
                    </a:xfrm>
                    <a:prstGeom prst="rect">
                      <a:avLst/>
                    </a:prstGeom>
                    <a:noFill/>
                    <a:ln w="6350" cmpd="sng">
                      <a:solidFill>
                        <a:srgbClr val="000000"/>
                      </a:solidFill>
                      <a:miter lim="800000"/>
                      <a:headEnd/>
                      <a:tailEnd/>
                    </a:ln>
                    <a:effectLst/>
                  </pic:spPr>
                </pic:pic>
              </a:graphicData>
            </a:graphic>
          </wp:inline>
        </w:drawing>
      </w:r>
    </w:p>
    <w:p w14:paraId="2369C969" w14:textId="77777777" w:rsidR="009C353B" w:rsidRDefault="00000000">
      <w:pPr>
        <w:pStyle w:val="05"/>
        <w:spacing w:line="240" w:lineRule="auto"/>
      </w:pPr>
      <w:r>
        <w:rPr>
          <w:rFonts w:hint="eastAsia"/>
        </w:rPr>
        <w:t>图</w:t>
      </w:r>
      <w:r>
        <w:t>3</w:t>
      </w:r>
      <w:r>
        <w:rPr>
          <w:rFonts w:hint="eastAsia"/>
        </w:rPr>
        <w:t>.1-</w:t>
      </w:r>
      <w:r>
        <w:t>2</w:t>
      </w:r>
      <w:r>
        <w:rPr>
          <w:rFonts w:hint="eastAsia"/>
        </w:rPr>
        <w:t xml:space="preserve">  </w:t>
      </w:r>
      <w:r>
        <w:rPr>
          <w:rFonts w:hint="eastAsia"/>
        </w:rPr>
        <w:t>风成沙丘地貌</w:t>
      </w:r>
    </w:p>
    <w:p w14:paraId="2C60906C" w14:textId="77777777" w:rsidR="009C353B" w:rsidRDefault="009C353B">
      <w:pPr>
        <w:pStyle w:val="05"/>
        <w:spacing w:line="240" w:lineRule="auto"/>
      </w:pPr>
    </w:p>
    <w:p w14:paraId="0F913975"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3.1.2 </w:t>
      </w:r>
      <w:r>
        <w:rPr>
          <w:rFonts w:ascii="Times New Roman" w:hAnsi="Times New Roman"/>
          <w:sz w:val="24"/>
        </w:rPr>
        <w:t>气候、气象</w:t>
      </w:r>
    </w:p>
    <w:p w14:paraId="5155F62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横城矿区属于中温带半干旱沙漠大陆性季风气候区。气候特点是：冬长夏短，春秋季多风沙，冷热多变，温差悬殊，干旱少雨，年降水量小，蒸发量大，日照时数长。据灵武市气象站观测资料，本区多风沙，少降雨，昼夜温差大，春季多沙暴。多年平均气温为</w:t>
      </w:r>
      <w:r>
        <w:rPr>
          <w:rFonts w:ascii="Times New Roman" w:hAnsi="Times New Roman"/>
        </w:rPr>
        <w:t>8.8</w:t>
      </w:r>
      <w:r>
        <w:rPr>
          <w:rFonts w:ascii="Times New Roman" w:hAnsi="Times New Roman" w:hint="eastAsia"/>
        </w:rPr>
        <w:t>℃，降水集中在</w:t>
      </w:r>
      <w:r>
        <w:rPr>
          <w:rFonts w:ascii="Times New Roman" w:hAnsi="Times New Roman"/>
        </w:rPr>
        <w:t>7-9</w:t>
      </w:r>
      <w:r>
        <w:rPr>
          <w:rFonts w:ascii="Times New Roman" w:hAnsi="Times New Roman" w:hint="eastAsia"/>
        </w:rPr>
        <w:t>月，年最大降水量为</w:t>
      </w:r>
      <w:r>
        <w:rPr>
          <w:rFonts w:ascii="Times New Roman" w:hAnsi="Times New Roman"/>
        </w:rPr>
        <w:t>352.4mm</w:t>
      </w:r>
      <w:r>
        <w:rPr>
          <w:rFonts w:ascii="Times New Roman" w:hAnsi="Times New Roman" w:hint="eastAsia"/>
        </w:rPr>
        <w:t>（</w:t>
      </w:r>
      <w:r>
        <w:rPr>
          <w:rFonts w:ascii="Times New Roman" w:hAnsi="Times New Roman"/>
        </w:rPr>
        <w:t>1964</w:t>
      </w:r>
      <w:r>
        <w:rPr>
          <w:rFonts w:ascii="Times New Roman" w:hAnsi="Times New Roman" w:hint="eastAsia"/>
        </w:rPr>
        <w:t>年），年最小降水量仅为</w:t>
      </w:r>
      <w:r>
        <w:rPr>
          <w:rFonts w:ascii="Times New Roman" w:hAnsi="Times New Roman"/>
        </w:rPr>
        <w:t>80.1mm</w:t>
      </w:r>
      <w:r>
        <w:rPr>
          <w:rFonts w:ascii="Times New Roman" w:hAnsi="Times New Roman" w:hint="eastAsia"/>
        </w:rPr>
        <w:t>（</w:t>
      </w:r>
      <w:r>
        <w:rPr>
          <w:rFonts w:ascii="Times New Roman" w:hAnsi="Times New Roman"/>
        </w:rPr>
        <w:t>1980</w:t>
      </w:r>
      <w:r>
        <w:rPr>
          <w:rFonts w:ascii="Times New Roman" w:hAnsi="Times New Roman" w:hint="eastAsia"/>
        </w:rPr>
        <w:t>年），年最大蒸发量</w:t>
      </w:r>
      <w:r>
        <w:rPr>
          <w:rFonts w:ascii="Times New Roman" w:hAnsi="Times New Roman"/>
        </w:rPr>
        <w:t>2304.1mm</w:t>
      </w:r>
      <w:r>
        <w:rPr>
          <w:rFonts w:ascii="Times New Roman" w:hAnsi="Times New Roman" w:hint="eastAsia"/>
        </w:rPr>
        <w:t>（</w:t>
      </w:r>
      <w:r>
        <w:rPr>
          <w:rFonts w:ascii="Times New Roman" w:hAnsi="Times New Roman"/>
        </w:rPr>
        <w:t>1953</w:t>
      </w:r>
      <w:r>
        <w:rPr>
          <w:rFonts w:ascii="Times New Roman" w:hAnsi="Times New Roman" w:hint="eastAsia"/>
        </w:rPr>
        <w:t>年），为年最大降水量的</w:t>
      </w:r>
      <w:r>
        <w:rPr>
          <w:rFonts w:ascii="Times New Roman" w:hAnsi="Times New Roman"/>
        </w:rPr>
        <w:t>6</w:t>
      </w:r>
      <w:r>
        <w:rPr>
          <w:rFonts w:ascii="Times New Roman" w:hAnsi="Times New Roman" w:hint="eastAsia"/>
        </w:rPr>
        <w:t>倍及最小降水量的</w:t>
      </w:r>
      <w:r>
        <w:rPr>
          <w:rFonts w:ascii="Times New Roman" w:hAnsi="Times New Roman"/>
        </w:rPr>
        <w:t>29</w:t>
      </w:r>
      <w:r>
        <w:rPr>
          <w:rFonts w:ascii="Times New Roman" w:hAnsi="Times New Roman" w:hint="eastAsia"/>
        </w:rPr>
        <w:t>倍，年最小蒸发量</w:t>
      </w:r>
      <w:r>
        <w:rPr>
          <w:rFonts w:ascii="Times New Roman" w:hAnsi="Times New Roman"/>
        </w:rPr>
        <w:t>1508.8mm</w:t>
      </w:r>
      <w:r>
        <w:rPr>
          <w:rFonts w:ascii="Times New Roman" w:hAnsi="Times New Roman" w:hint="eastAsia"/>
        </w:rPr>
        <w:t>（</w:t>
      </w:r>
      <w:r>
        <w:rPr>
          <w:rFonts w:ascii="Times New Roman" w:hAnsi="Times New Roman"/>
        </w:rPr>
        <w:t>1988</w:t>
      </w:r>
      <w:r>
        <w:rPr>
          <w:rFonts w:ascii="Times New Roman" w:hAnsi="Times New Roman" w:hint="eastAsia"/>
        </w:rPr>
        <w:t>年）；最大冻土深度</w:t>
      </w:r>
      <w:r>
        <w:rPr>
          <w:rFonts w:ascii="Times New Roman" w:hAnsi="Times New Roman"/>
        </w:rPr>
        <w:t>1.09m</w:t>
      </w:r>
      <w:r>
        <w:rPr>
          <w:rFonts w:ascii="Times New Roman" w:hAnsi="Times New Roman" w:hint="eastAsia"/>
        </w:rPr>
        <w:t>（</w:t>
      </w:r>
      <w:r>
        <w:rPr>
          <w:rFonts w:ascii="Times New Roman" w:hAnsi="Times New Roman"/>
        </w:rPr>
        <w:t>1968</w:t>
      </w:r>
      <w:r>
        <w:rPr>
          <w:rFonts w:ascii="Times New Roman" w:hAnsi="Times New Roman" w:hint="eastAsia"/>
        </w:rPr>
        <w:t>年），最小冻土深度为</w:t>
      </w:r>
      <w:r>
        <w:rPr>
          <w:rFonts w:ascii="Times New Roman" w:hAnsi="Times New Roman"/>
        </w:rPr>
        <w:t>0.50m</w:t>
      </w:r>
      <w:r>
        <w:rPr>
          <w:rFonts w:ascii="Times New Roman" w:hAnsi="Times New Roman" w:hint="eastAsia"/>
        </w:rPr>
        <w:t>，一般为</w:t>
      </w:r>
      <w:r>
        <w:rPr>
          <w:rFonts w:ascii="Times New Roman" w:hAnsi="Times New Roman"/>
        </w:rPr>
        <w:t>0.70-0.90m</w:t>
      </w:r>
      <w:r>
        <w:rPr>
          <w:rFonts w:ascii="Times New Roman" w:hAnsi="Times New Roman" w:hint="eastAsia"/>
        </w:rPr>
        <w:t>，相对湿度为</w:t>
      </w:r>
      <w:r>
        <w:rPr>
          <w:rFonts w:ascii="Times New Roman" w:hAnsi="Times New Roman"/>
        </w:rPr>
        <w:t>5.2</w:t>
      </w:r>
      <w:r>
        <w:rPr>
          <w:rFonts w:ascii="Times New Roman" w:hAnsi="Times New Roman" w:hint="eastAsia"/>
        </w:rPr>
        <w:t>～</w:t>
      </w:r>
      <w:r>
        <w:rPr>
          <w:rFonts w:ascii="Times New Roman" w:hAnsi="Times New Roman"/>
        </w:rPr>
        <w:t>6.4%</w:t>
      </w:r>
      <w:r>
        <w:rPr>
          <w:rFonts w:ascii="Times New Roman" w:hAnsi="Times New Roman" w:hint="eastAsia"/>
        </w:rPr>
        <w:t>。</w:t>
      </w:r>
    </w:p>
    <w:p w14:paraId="69D0F5EE" w14:textId="77777777" w:rsidR="009C353B" w:rsidRDefault="00000000">
      <w:pPr>
        <w:adjustRightInd w:val="0"/>
        <w:snapToGrid w:val="0"/>
        <w:spacing w:line="440" w:lineRule="exact"/>
        <w:ind w:firstLine="560"/>
        <w:rPr>
          <w:rFonts w:ascii="Times New Roman" w:hint="eastAsia"/>
        </w:rPr>
      </w:pPr>
      <w:r>
        <w:rPr>
          <w:rFonts w:ascii="Times New Roman" w:hAnsi="Times New Roman"/>
        </w:rPr>
        <w:t>灵武气象站是距离</w:t>
      </w:r>
      <w:r>
        <w:rPr>
          <w:rFonts w:ascii="Times New Roman" w:hAnsi="Times New Roman" w:hint="eastAsia"/>
        </w:rPr>
        <w:t>矿区</w:t>
      </w:r>
      <w:r>
        <w:rPr>
          <w:rFonts w:ascii="Times New Roman" w:hAnsi="Times New Roman"/>
        </w:rPr>
        <w:t>最近的国家气象站，根据灵武气象站</w:t>
      </w:r>
      <w:r>
        <w:rPr>
          <w:rFonts w:ascii="Times New Roman" w:hAnsi="Times New Roman" w:hint="eastAsia"/>
        </w:rPr>
        <w:t>多年</w:t>
      </w:r>
      <w:r>
        <w:rPr>
          <w:rFonts w:ascii="Times New Roman" w:hAnsi="Times New Roman"/>
        </w:rPr>
        <w:t>气象统计资料，灵武市多年平均气温</w:t>
      </w:r>
      <w:r>
        <w:rPr>
          <w:rFonts w:ascii="Times New Roman" w:hAnsi="Times New Roman"/>
        </w:rPr>
        <w:t>9.8</w:t>
      </w:r>
      <w:r>
        <w:rPr>
          <w:rFonts w:ascii="Times New Roman" w:hAnsi="Times New Roman" w:hint="eastAsia"/>
        </w:rPr>
        <w:t>℃</w:t>
      </w:r>
      <w:r>
        <w:rPr>
          <w:rFonts w:ascii="Times New Roman" w:hAnsi="Times New Roman"/>
        </w:rPr>
        <w:t>，多年平均降水量</w:t>
      </w:r>
      <w:r>
        <w:rPr>
          <w:rFonts w:ascii="Times New Roman" w:hAnsi="Times New Roman"/>
        </w:rPr>
        <w:t>200.6mm</w:t>
      </w:r>
      <w:r>
        <w:rPr>
          <w:rFonts w:ascii="Times New Roman" w:hAnsi="Times New Roman"/>
        </w:rPr>
        <w:t>，多年降水量最大值为</w:t>
      </w:r>
      <w:r>
        <w:rPr>
          <w:rFonts w:ascii="Times New Roman" w:hAnsi="Times New Roman"/>
        </w:rPr>
        <w:t>2016</w:t>
      </w:r>
      <w:r>
        <w:rPr>
          <w:rFonts w:ascii="Times New Roman" w:hAnsi="Times New Roman"/>
        </w:rPr>
        <w:t>年的</w:t>
      </w:r>
      <w:r>
        <w:rPr>
          <w:rFonts w:ascii="Times New Roman" w:hAnsi="Times New Roman"/>
        </w:rPr>
        <w:t>2644mm</w:t>
      </w:r>
      <w:r>
        <w:rPr>
          <w:rFonts w:ascii="Times New Roman" w:hAnsi="Times New Roman"/>
        </w:rPr>
        <w:t>，多年平均风速</w:t>
      </w:r>
      <w:r>
        <w:rPr>
          <w:rFonts w:ascii="Times New Roman" w:hAnsi="Times New Roman"/>
        </w:rPr>
        <w:t>2.7ms</w:t>
      </w:r>
      <w:r>
        <w:rPr>
          <w:rFonts w:ascii="Times New Roman" w:hAnsi="Times New Roman"/>
        </w:rPr>
        <w:t>，多年主导风向为</w:t>
      </w:r>
      <w:r>
        <w:rPr>
          <w:rFonts w:ascii="Times New Roman" w:hAnsi="Times New Roman" w:hint="eastAsia"/>
        </w:rPr>
        <w:t>SS</w:t>
      </w:r>
      <w:r>
        <w:rPr>
          <w:rFonts w:ascii="Times New Roman" w:hAnsi="Times New Roman"/>
        </w:rPr>
        <w:t xml:space="preserve">E </w:t>
      </w:r>
      <w:r>
        <w:rPr>
          <w:rFonts w:ascii="Times New Roman" w:hAnsi="Times New Roman"/>
        </w:rPr>
        <w:t>风向频率</w:t>
      </w:r>
      <w:r>
        <w:rPr>
          <w:rFonts w:ascii="Times New Roman" w:hAnsi="Times New Roman"/>
        </w:rPr>
        <w:t>11.7%</w:t>
      </w:r>
      <w:r>
        <w:rPr>
          <w:rFonts w:ascii="Times New Roman" w:hAnsi="Times New Roman" w:hint="eastAsia"/>
        </w:rPr>
        <w:t>。</w:t>
      </w:r>
    </w:p>
    <w:p w14:paraId="10779B68"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 xml:space="preserve">3.1.3 </w:t>
      </w:r>
      <w:r>
        <w:rPr>
          <w:rFonts w:ascii="Times New Roman" w:hAnsi="Times New Roman" w:hint="eastAsia"/>
          <w:sz w:val="24"/>
        </w:rPr>
        <w:t>矿区水文地质</w:t>
      </w:r>
    </w:p>
    <w:p w14:paraId="5791A67E"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1</w:t>
      </w:r>
      <w:r>
        <w:rPr>
          <w:rFonts w:ascii="Times New Roman"/>
        </w:rPr>
        <w:t>）地表水</w:t>
      </w:r>
    </w:p>
    <w:p w14:paraId="09AD151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矿区地貌形态为三面较高，北部低平而开阔的簸箕状，其南部与东部为冲刷侵蚀丘陵地貌，西侧马鞍山地形较高，南北高差</w:t>
      </w:r>
      <w:r>
        <w:rPr>
          <w:rFonts w:ascii="Times New Roman" w:hAnsi="Times New Roman"/>
        </w:rPr>
        <w:t>20</w:t>
      </w:r>
      <w:r>
        <w:rPr>
          <w:rFonts w:ascii="Times New Roman" w:hAnsi="Times New Roman"/>
        </w:rPr>
        <w:t>～</w:t>
      </w:r>
      <w:r>
        <w:rPr>
          <w:rFonts w:ascii="Times New Roman" w:hAnsi="Times New Roman"/>
        </w:rPr>
        <w:t>30m</w:t>
      </w:r>
      <w:r>
        <w:rPr>
          <w:rFonts w:ascii="Times New Roman" w:hAnsi="Times New Roman"/>
        </w:rPr>
        <w:t>，向北倾伏。区内较大的冲沟</w:t>
      </w:r>
      <w:r>
        <w:rPr>
          <w:rFonts w:ascii="Times New Roman" w:hAnsi="Times New Roman" w:hint="eastAsia"/>
        </w:rPr>
        <w:t>、地表径流及水体</w:t>
      </w:r>
      <w:r>
        <w:rPr>
          <w:rFonts w:ascii="Times New Roman" w:hAnsi="Times New Roman"/>
        </w:rPr>
        <w:t>有：</w:t>
      </w:r>
      <w:r>
        <w:rPr>
          <w:rFonts w:ascii="Times New Roman" w:hAnsi="Times New Roman" w:hint="eastAsia"/>
          <w:szCs w:val="28"/>
        </w:rPr>
        <w:t>矿区北</w:t>
      </w:r>
      <w:r>
        <w:rPr>
          <w:rFonts w:ascii="Times New Roman" w:hAnsi="Times New Roman"/>
          <w:szCs w:val="28"/>
        </w:rPr>
        <w:t>侧</w:t>
      </w:r>
      <w:r>
        <w:rPr>
          <w:rFonts w:ascii="Times New Roman" w:hAnsi="Times New Roman" w:hint="eastAsia"/>
          <w:szCs w:val="28"/>
        </w:rPr>
        <w:t>边界处</w:t>
      </w:r>
      <w:r>
        <w:rPr>
          <w:rFonts w:ascii="Times New Roman" w:hAnsi="Times New Roman"/>
          <w:szCs w:val="28"/>
        </w:rPr>
        <w:t>的</w:t>
      </w:r>
      <w:r>
        <w:rPr>
          <w:rFonts w:ascii="Times New Roman" w:hAnsi="Times New Roman" w:hint="eastAsia"/>
          <w:szCs w:val="28"/>
        </w:rPr>
        <w:t>水洞沟（又称边沟）</w:t>
      </w:r>
      <w:r>
        <w:rPr>
          <w:rFonts w:ascii="Times New Roman" w:hAnsi="Times New Roman"/>
          <w:szCs w:val="28"/>
        </w:rPr>
        <w:t>，</w:t>
      </w:r>
      <w:r>
        <w:rPr>
          <w:rFonts w:ascii="Times New Roman" w:hAnsi="Times New Roman" w:hint="eastAsia"/>
          <w:szCs w:val="28"/>
        </w:rPr>
        <w:t>和位于矿区南侧边界处的大河子沟（又称西天河），以及</w:t>
      </w:r>
      <w:r>
        <w:rPr>
          <w:rFonts w:ascii="Times New Roman" w:hAnsi="Times New Roman"/>
        </w:rPr>
        <w:t>沙沟</w:t>
      </w:r>
      <w:r>
        <w:rPr>
          <w:rFonts w:ascii="Times New Roman" w:hAnsi="Times New Roman" w:hint="eastAsia"/>
        </w:rPr>
        <w:t>、</w:t>
      </w:r>
      <w:r>
        <w:rPr>
          <w:rFonts w:ascii="Times New Roman" w:hAnsi="Times New Roman"/>
        </w:rPr>
        <w:t>刮井子沟</w:t>
      </w:r>
      <w:r>
        <w:rPr>
          <w:rFonts w:ascii="Times New Roman" w:hAnsi="Times New Roman" w:hint="eastAsia"/>
        </w:rPr>
        <w:t>。</w:t>
      </w:r>
    </w:p>
    <w:p w14:paraId="500E69EB" w14:textId="77777777" w:rsidR="009C353B" w:rsidRDefault="00000000">
      <w:pPr>
        <w:adjustRightInd w:val="0"/>
        <w:snapToGrid w:val="0"/>
        <w:spacing w:line="440" w:lineRule="exact"/>
        <w:ind w:firstLine="561"/>
        <w:rPr>
          <w:rFonts w:ascii="Times New Roman" w:hAnsi="Times New Roman"/>
          <w:szCs w:val="28"/>
        </w:rPr>
      </w:pPr>
      <w:r>
        <w:rPr>
          <w:rFonts w:ascii="Times New Roman" w:hAnsi="Times New Roman" w:hint="eastAsia"/>
          <w:szCs w:val="28"/>
        </w:rPr>
        <w:t>水洞沟（又称边沟）：</w:t>
      </w:r>
      <w:r>
        <w:rPr>
          <w:rFonts w:ascii="Times New Roman" w:hAnsi="Times New Roman"/>
          <w:szCs w:val="28"/>
        </w:rPr>
        <w:t>东起清水营、西汇黄河，沟深、谷阔，两壁陡竣，沟深</w:t>
      </w:r>
      <w:r>
        <w:rPr>
          <w:rFonts w:ascii="Times New Roman" w:hAnsi="Times New Roman"/>
          <w:szCs w:val="28"/>
        </w:rPr>
        <w:t>7</w:t>
      </w:r>
      <w:r>
        <w:rPr>
          <w:rFonts w:ascii="Times New Roman" w:hAnsi="Times New Roman"/>
          <w:szCs w:val="28"/>
        </w:rPr>
        <w:t>～</w:t>
      </w:r>
      <w:r>
        <w:rPr>
          <w:rFonts w:ascii="Times New Roman" w:hAnsi="Times New Roman"/>
          <w:szCs w:val="28"/>
        </w:rPr>
        <w:t>18m</w:t>
      </w:r>
      <w:r>
        <w:rPr>
          <w:rFonts w:ascii="Times New Roman" w:hAnsi="Times New Roman"/>
          <w:szCs w:val="28"/>
        </w:rPr>
        <w:t>，宽</w:t>
      </w:r>
      <w:r>
        <w:rPr>
          <w:rFonts w:ascii="Times New Roman" w:hAnsi="Times New Roman"/>
          <w:szCs w:val="28"/>
        </w:rPr>
        <w:t>20</w:t>
      </w:r>
      <w:r>
        <w:rPr>
          <w:rFonts w:ascii="Times New Roman" w:hAnsi="Times New Roman"/>
          <w:szCs w:val="28"/>
        </w:rPr>
        <w:t>～</w:t>
      </w:r>
      <w:r>
        <w:rPr>
          <w:rFonts w:ascii="Times New Roman" w:hAnsi="Times New Roman"/>
          <w:szCs w:val="28"/>
        </w:rPr>
        <w:t>50m</w:t>
      </w:r>
      <w:r>
        <w:rPr>
          <w:rFonts w:ascii="Times New Roman" w:hAnsi="Times New Roman"/>
          <w:szCs w:val="28"/>
        </w:rPr>
        <w:t>，主要为第四系冲洪积物。由于沟谷深切，两岸第四系潜水沿侵蚀基准面溢出，形成地下水补给地表水，汇集成常年地表水流，由东往西潜入山前汇入黄河。</w:t>
      </w:r>
    </w:p>
    <w:p w14:paraId="54024B6A" w14:textId="77777777" w:rsidR="009C353B" w:rsidRDefault="00000000">
      <w:pPr>
        <w:adjustRightInd w:val="0"/>
        <w:snapToGrid w:val="0"/>
        <w:spacing w:line="440" w:lineRule="exact"/>
        <w:ind w:firstLine="561"/>
        <w:rPr>
          <w:rFonts w:ascii="Times New Roman" w:hAnsi="Times New Roman"/>
          <w:szCs w:val="28"/>
        </w:rPr>
      </w:pPr>
      <w:r>
        <w:rPr>
          <w:rFonts w:ascii="Times New Roman" w:hAnsi="Times New Roman" w:hint="eastAsia"/>
          <w:szCs w:val="28"/>
        </w:rPr>
        <w:t>大河子沟（又称西天河）：是矿区南部具有常年性地表流水的沟谷，也是地表水、浅层地下水的主要排泄通道。大河子沟平均流量</w:t>
      </w:r>
      <w:r>
        <w:rPr>
          <w:rFonts w:ascii="Times New Roman" w:hAnsi="Times New Roman" w:hint="eastAsia"/>
          <w:szCs w:val="28"/>
        </w:rPr>
        <w:t>1.73m</w:t>
      </w:r>
      <w:r>
        <w:rPr>
          <w:rFonts w:ascii="Times New Roman" w:hAnsi="Times New Roman" w:hint="eastAsia"/>
          <w:szCs w:val="28"/>
          <w:vertAlign w:val="superscript"/>
        </w:rPr>
        <w:t>3</w:t>
      </w:r>
      <w:r>
        <w:rPr>
          <w:rFonts w:ascii="Times New Roman" w:hAnsi="Times New Roman" w:hint="eastAsia"/>
          <w:szCs w:val="28"/>
        </w:rPr>
        <w:t>/s</w:t>
      </w:r>
      <w:r>
        <w:rPr>
          <w:rFonts w:ascii="Times New Roman" w:hAnsi="Times New Roman" w:hint="eastAsia"/>
          <w:szCs w:val="28"/>
        </w:rPr>
        <w:t>，水质较差，进入矿区一带矿化度</w:t>
      </w:r>
      <w:r>
        <w:rPr>
          <w:rFonts w:ascii="Times New Roman" w:hAnsi="Times New Roman" w:hint="eastAsia"/>
          <w:szCs w:val="28"/>
        </w:rPr>
        <w:t>3g/L</w:t>
      </w:r>
      <w:r>
        <w:rPr>
          <w:rFonts w:ascii="Times New Roman" w:hAnsi="Times New Roman" w:hint="eastAsia"/>
          <w:szCs w:val="28"/>
        </w:rPr>
        <w:t>左右，属</w:t>
      </w:r>
      <w:r>
        <w:rPr>
          <w:rFonts w:ascii="Times New Roman" w:hAnsi="Times New Roman"/>
          <w:szCs w:val="28"/>
        </w:rPr>
        <w:t>C</w:t>
      </w:r>
      <w:r>
        <w:rPr>
          <w:rFonts w:ascii="Times New Roman" w:hAnsi="Times New Roman" w:hint="eastAsia"/>
          <w:szCs w:val="28"/>
        </w:rPr>
        <w:t>l.</w:t>
      </w:r>
      <w:r>
        <w:rPr>
          <w:rFonts w:ascii="Times New Roman" w:hAnsi="Times New Roman"/>
          <w:szCs w:val="28"/>
        </w:rPr>
        <w:t>SO</w:t>
      </w:r>
      <w:r>
        <w:rPr>
          <w:rFonts w:ascii="Times New Roman" w:hAnsi="Times New Roman"/>
          <w:szCs w:val="28"/>
          <w:vertAlign w:val="subscript"/>
        </w:rPr>
        <w:t>4</w:t>
      </w:r>
      <w:r>
        <w:rPr>
          <w:rFonts w:ascii="Times New Roman" w:hAnsi="Times New Roman"/>
          <w:szCs w:val="28"/>
          <w:vertAlign w:val="superscript"/>
        </w:rPr>
        <w:t>-</w:t>
      </w:r>
      <w:r>
        <w:rPr>
          <w:rFonts w:ascii="Times New Roman" w:hAnsi="Times New Roman"/>
          <w:szCs w:val="28"/>
        </w:rPr>
        <w:t>Na</w:t>
      </w:r>
      <w:r>
        <w:rPr>
          <w:rFonts w:ascii="Times New Roman" w:hAnsi="Times New Roman" w:hint="eastAsia"/>
          <w:szCs w:val="28"/>
        </w:rPr>
        <w:t>型水。</w:t>
      </w:r>
    </w:p>
    <w:p w14:paraId="771402B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沙沟：西起马鞍山，北汇边沟，沟深</w:t>
      </w:r>
      <w:r>
        <w:rPr>
          <w:rFonts w:ascii="Times New Roman" w:hAnsi="Times New Roman"/>
        </w:rPr>
        <w:t>5</w:t>
      </w:r>
      <w:r>
        <w:rPr>
          <w:rFonts w:ascii="Times New Roman" w:hAnsi="Times New Roman"/>
        </w:rPr>
        <w:t>～</w:t>
      </w:r>
      <w:r>
        <w:rPr>
          <w:rFonts w:ascii="Times New Roman" w:hAnsi="Times New Roman"/>
        </w:rPr>
        <w:t>10m</w:t>
      </w:r>
      <w:r>
        <w:rPr>
          <w:rFonts w:ascii="Times New Roman" w:hAnsi="Times New Roman"/>
        </w:rPr>
        <w:t>，沟宽</w:t>
      </w:r>
      <w:r>
        <w:rPr>
          <w:rFonts w:ascii="Times New Roman" w:hAnsi="Times New Roman"/>
        </w:rPr>
        <w:t>5</w:t>
      </w:r>
      <w:r>
        <w:rPr>
          <w:rFonts w:ascii="Times New Roman" w:hAnsi="Times New Roman"/>
        </w:rPr>
        <w:t>～</w:t>
      </w:r>
      <w:r>
        <w:rPr>
          <w:rFonts w:ascii="Times New Roman" w:hAnsi="Times New Roman"/>
        </w:rPr>
        <w:t>20m</w:t>
      </w:r>
      <w:r>
        <w:rPr>
          <w:rFonts w:ascii="Times New Roman" w:hAnsi="Times New Roman"/>
        </w:rPr>
        <w:t>，谷底为冲积物</w:t>
      </w:r>
      <w:r>
        <w:rPr>
          <w:rFonts w:ascii="Times New Roman" w:hAnsi="Times New Roman" w:hint="eastAsia"/>
        </w:rPr>
        <w:t>，</w:t>
      </w:r>
      <w:r>
        <w:rPr>
          <w:rFonts w:ascii="Times New Roman" w:hAnsi="Times New Roman"/>
        </w:rPr>
        <w:t>无常年流水</w:t>
      </w:r>
      <w:r>
        <w:rPr>
          <w:rFonts w:ascii="Times New Roman" w:hAnsi="Times New Roman" w:hint="eastAsia"/>
        </w:rPr>
        <w:t>。</w:t>
      </w:r>
    </w:p>
    <w:p w14:paraId="55B80A5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刮井子沟</w:t>
      </w:r>
      <w:r>
        <w:rPr>
          <w:rFonts w:ascii="Times New Roman" w:hAnsi="Times New Roman" w:hint="eastAsia"/>
        </w:rPr>
        <w:t>：</w:t>
      </w:r>
      <w:r>
        <w:rPr>
          <w:rFonts w:ascii="Times New Roman" w:hAnsi="Times New Roman"/>
        </w:rPr>
        <w:t>北起鸭子档，南汇大河子沟，上游窄陡而下游宽阔，谷宽</w:t>
      </w:r>
      <w:r>
        <w:rPr>
          <w:rFonts w:ascii="Times New Roman" w:hAnsi="Times New Roman"/>
        </w:rPr>
        <w:t>10</w:t>
      </w:r>
      <w:r>
        <w:rPr>
          <w:rFonts w:ascii="Times New Roman" w:hAnsi="Times New Roman"/>
        </w:rPr>
        <w:t>～</w:t>
      </w:r>
      <w:r>
        <w:rPr>
          <w:rFonts w:ascii="Times New Roman" w:hAnsi="Times New Roman"/>
        </w:rPr>
        <w:t>30m</w:t>
      </w:r>
      <w:r>
        <w:rPr>
          <w:rFonts w:ascii="Times New Roman" w:hAnsi="Times New Roman"/>
        </w:rPr>
        <w:t>，深</w:t>
      </w:r>
      <w:r>
        <w:rPr>
          <w:rFonts w:ascii="Times New Roman" w:hAnsi="Times New Roman"/>
        </w:rPr>
        <w:t>3</w:t>
      </w:r>
      <w:r>
        <w:rPr>
          <w:rFonts w:ascii="Times New Roman" w:hAnsi="Times New Roman"/>
        </w:rPr>
        <w:t>～</w:t>
      </w:r>
      <w:r>
        <w:rPr>
          <w:rFonts w:ascii="Times New Roman" w:hAnsi="Times New Roman"/>
        </w:rPr>
        <w:t>7m</w:t>
      </w:r>
      <w:r>
        <w:rPr>
          <w:rFonts w:ascii="Times New Roman" w:hAnsi="Times New Roman"/>
        </w:rPr>
        <w:t>，谷底为冲洪积沙，无常年流水</w:t>
      </w:r>
      <w:r>
        <w:rPr>
          <w:rFonts w:ascii="Times New Roman" w:hAnsi="Times New Roman" w:hint="eastAsia"/>
        </w:rPr>
        <w:t>。</w:t>
      </w:r>
    </w:p>
    <w:p w14:paraId="1071240A" w14:textId="77777777" w:rsidR="009C353B" w:rsidRDefault="00000000">
      <w:pPr>
        <w:adjustRightInd w:val="0"/>
        <w:snapToGrid w:val="0"/>
        <w:spacing w:line="440" w:lineRule="exact"/>
        <w:ind w:firstLine="561"/>
        <w:rPr>
          <w:rFonts w:ascii="Times New Roman" w:hAnsi="Times New Roman"/>
        </w:rPr>
      </w:pPr>
      <w:r>
        <w:rPr>
          <w:rFonts w:ascii="Times New Roman" w:hint="eastAsia"/>
        </w:rPr>
        <w:t>区域地表水</w:t>
      </w:r>
      <w:r>
        <w:rPr>
          <w:rFonts w:ascii="Times New Roman"/>
        </w:rPr>
        <w:t>系图</w:t>
      </w:r>
      <w:r>
        <w:rPr>
          <w:rFonts w:ascii="Times New Roman" w:hint="eastAsia"/>
        </w:rPr>
        <w:t>见</w:t>
      </w:r>
      <w:r>
        <w:rPr>
          <w:rFonts w:ascii="Times New Roman"/>
        </w:rPr>
        <w:t>图</w:t>
      </w:r>
      <w:r>
        <w:rPr>
          <w:rFonts w:ascii="Times New Roman" w:hAnsi="Times New Roman"/>
        </w:rPr>
        <w:t>3.1-</w:t>
      </w:r>
      <w:r>
        <w:rPr>
          <w:rFonts w:ascii="Times New Roman" w:hAnsi="Times New Roman" w:hint="eastAsia"/>
        </w:rPr>
        <w:t>3</w:t>
      </w:r>
      <w:r>
        <w:rPr>
          <w:rFonts w:ascii="Times New Roman"/>
        </w:rPr>
        <w:t>。</w:t>
      </w:r>
    </w:p>
    <w:p w14:paraId="5F806035"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2</w:t>
      </w:r>
      <w:r>
        <w:rPr>
          <w:rFonts w:ascii="Times New Roman"/>
        </w:rPr>
        <w:t>）地下水</w:t>
      </w:r>
    </w:p>
    <w:p w14:paraId="5AF7C38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根据含水层的岩石类型及空间分布特征可将矿区的地下水类型分为</w:t>
      </w:r>
      <w:r>
        <w:rPr>
          <w:rFonts w:ascii="Times New Roman" w:hAnsi="Times New Roman" w:hint="eastAsia"/>
        </w:rPr>
        <w:t>松散岩类孔隙水、碎屑岩类孔隙裂隙水两大类型。其中松散岩类孔隙水为潜水，碎屑岩类孔隙裂隙水具承压性</w:t>
      </w:r>
      <w:r>
        <w:rPr>
          <w:rFonts w:ascii="Times New Roman" w:hAnsi="Times New Roman"/>
        </w:rPr>
        <w:t>。</w:t>
      </w:r>
    </w:p>
    <w:p w14:paraId="6E149F3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含（隔）水层</w:t>
      </w:r>
      <w:r>
        <w:rPr>
          <w:rFonts w:ascii="Times New Roman" w:hAnsi="Times New Roman" w:hint="eastAsia"/>
        </w:rPr>
        <w:t>主要有：第四系松散岩类孔隙潜水含水岩组、古近系清水营组孔隙裂隙承压水含水岩组、白垩系保安群砾岩孔隙裂隙承压含水岩组水、二叠系石千峰群、石盒子组砂岩层间裂隙承压水含水岩组、二叠系下统山西组砂岩裂隙孔隙含水层组、石炭系上统―二叠系下统太原组砂岩裂隙孔隙含水层组、石炭系上统羊虎沟组砂岩层间裂隙承压水、奥陶系下统马家沟组灰岩承压含水层。</w:t>
      </w:r>
    </w:p>
    <w:p w14:paraId="282D731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隔水层主要有：古近系粘土隔水层、下石盒子组粉砂岩泥岩隔水层、石炭系上统羊虎沟组砂泥岩段隔水层。</w:t>
      </w:r>
    </w:p>
    <w:p w14:paraId="72A4753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地下水在经水平径流及浅层—深层垂向交替，最终向区域最低侵蚀基准面（矿区各个沟谷</w:t>
      </w:r>
      <w:r>
        <w:rPr>
          <w:rFonts w:ascii="Times New Roman" w:hAnsi="Times New Roman" w:hint="eastAsia"/>
        </w:rPr>
        <w:t xml:space="preserve"> </w:t>
      </w:r>
      <w:r>
        <w:rPr>
          <w:rFonts w:ascii="Times New Roman" w:hAnsi="Times New Roman" w:hint="eastAsia"/>
        </w:rPr>
        <w:t>）排泄。矿区地下水补给源主要有大气降水入渗补给，地表水入渗补给，林地灌溉水入渗补给和侧向径流补给。排泄项有矿井疏排水和侧向径流排泄。</w:t>
      </w:r>
    </w:p>
    <w:p w14:paraId="2A32C775"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3.1.</w:t>
      </w:r>
      <w:r>
        <w:rPr>
          <w:rFonts w:ascii="Times New Roman" w:hAnsi="Times New Roman" w:hint="eastAsia"/>
          <w:sz w:val="24"/>
        </w:rPr>
        <w:t>4</w:t>
      </w:r>
      <w:r>
        <w:rPr>
          <w:rFonts w:ascii="Times New Roman" w:hAnsi="Times New Roman"/>
          <w:sz w:val="24"/>
        </w:rPr>
        <w:t xml:space="preserve"> </w:t>
      </w:r>
      <w:r>
        <w:rPr>
          <w:rFonts w:ascii="Times New Roman" w:hAnsi="Times New Roman"/>
          <w:sz w:val="24"/>
        </w:rPr>
        <w:t>土壤</w:t>
      </w:r>
    </w:p>
    <w:p w14:paraId="791A97C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横城</w:t>
      </w:r>
      <w:r>
        <w:rPr>
          <w:rFonts w:ascii="Times New Roman" w:hAnsi="Times New Roman"/>
        </w:rPr>
        <w:t>矿区</w:t>
      </w:r>
      <w:r>
        <w:rPr>
          <w:rFonts w:ascii="Times New Roman" w:hAnsi="Times New Roman" w:hint="eastAsia"/>
        </w:rPr>
        <w:t>所在区域</w:t>
      </w:r>
      <w:r>
        <w:rPr>
          <w:rFonts w:ascii="Times New Roman" w:hAnsi="Times New Roman"/>
        </w:rPr>
        <w:t>位于毛</w:t>
      </w:r>
      <w:r>
        <w:rPr>
          <w:rFonts w:ascii="Times New Roman" w:hAnsi="Times New Roman" w:hint="eastAsia"/>
        </w:rPr>
        <w:t>乌</w:t>
      </w:r>
      <w:r>
        <w:rPr>
          <w:rFonts w:ascii="Times New Roman" w:hAnsi="Times New Roman"/>
        </w:rPr>
        <w:t>素沙地西南外缘，属荒漠，半荒漠地带，主要为沙地和荒漠草原，土壤类型主要是淡灰钙土和风沙土、山地灰钙土</w:t>
      </w:r>
      <w:r>
        <w:rPr>
          <w:rFonts w:ascii="Times New Roman" w:hAnsi="Times New Roman" w:hint="eastAsia"/>
        </w:rPr>
        <w:t>还分布有小面积的潮土，</w:t>
      </w:r>
      <w:r>
        <w:rPr>
          <w:rFonts w:ascii="Times New Roman" w:hAnsi="Times New Roman"/>
        </w:rPr>
        <w:t>含盐量高，有机质含量低</w:t>
      </w:r>
      <w:r>
        <w:rPr>
          <w:rFonts w:ascii="Times New Roman" w:hAnsi="Times New Roman" w:hint="eastAsia"/>
        </w:rPr>
        <w:t>。</w:t>
      </w:r>
    </w:p>
    <w:p w14:paraId="0C3CFFE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淡灰钙土是在干早气候和荒漠草原植被下形成的地带性土壤，成土过程的主特点是弱腐殖质积累和淋溶电解作用强。荒漠原植被生长稀流，累计生物量低。风沙土分为流动风沙土</w:t>
      </w:r>
      <w:r>
        <w:rPr>
          <w:rFonts w:ascii="Times New Roman" w:hAnsi="Times New Roman" w:hint="eastAsia"/>
        </w:rPr>
        <w:t>、</w:t>
      </w:r>
      <w:r>
        <w:rPr>
          <w:rFonts w:ascii="Times New Roman" w:hAnsi="Times New Roman"/>
        </w:rPr>
        <w:t>半固定风沙土和固定风沙土三种，其表土具有</w:t>
      </w:r>
      <w:r>
        <w:rPr>
          <w:rFonts w:ascii="Times New Roman" w:hAnsi="Times New Roman"/>
        </w:rPr>
        <w:t>30m</w:t>
      </w:r>
      <w:r>
        <w:rPr>
          <w:rFonts w:ascii="Times New Roman" w:hAnsi="Times New Roman"/>
        </w:rPr>
        <w:t>和大于</w:t>
      </w:r>
      <w:r>
        <w:rPr>
          <w:rFonts w:ascii="Times New Roman" w:hAnsi="Times New Roman"/>
        </w:rPr>
        <w:t>30m</w:t>
      </w:r>
      <w:r>
        <w:rPr>
          <w:rFonts w:ascii="Times New Roman" w:hAnsi="Times New Roman"/>
        </w:rPr>
        <w:t>比较松散的沙土层</w:t>
      </w:r>
      <w:r>
        <w:rPr>
          <w:rFonts w:ascii="Times New Roman" w:hAnsi="Times New Roman" w:hint="eastAsia"/>
        </w:rPr>
        <w:t>。</w:t>
      </w:r>
    </w:p>
    <w:p w14:paraId="1B317E9C"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3.1.5 </w:t>
      </w:r>
      <w:r>
        <w:rPr>
          <w:rFonts w:ascii="Times New Roman" w:hAnsi="Times New Roman" w:hint="eastAsia"/>
          <w:sz w:val="24"/>
        </w:rPr>
        <w:t>植被与动物</w:t>
      </w:r>
    </w:p>
    <w:p w14:paraId="54D2E3A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rPr>
        <w:t>动物</w:t>
      </w:r>
    </w:p>
    <w:p w14:paraId="3974C50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w:t>
      </w:r>
      <w:r>
        <w:rPr>
          <w:rFonts w:ascii="Times New Roman" w:hAnsi="Times New Roman"/>
        </w:rPr>
        <w:t>所在区域在动物地理区划中属古北界蒙新区东部草原亚区。野生动物组成与结构较简单，共有约</w:t>
      </w:r>
      <w:r>
        <w:rPr>
          <w:rFonts w:ascii="Times New Roman" w:hAnsi="Times New Roman"/>
        </w:rPr>
        <w:t>50</w:t>
      </w:r>
      <w:r>
        <w:rPr>
          <w:rFonts w:ascii="Times New Roman" w:hAnsi="Times New Roman"/>
        </w:rPr>
        <w:t>多种，隶属于</w:t>
      </w:r>
      <w:r>
        <w:rPr>
          <w:rFonts w:ascii="Times New Roman" w:hAnsi="Times New Roman"/>
        </w:rPr>
        <w:t>15</w:t>
      </w:r>
      <w:r>
        <w:rPr>
          <w:rFonts w:ascii="Times New Roman" w:hAnsi="Times New Roman"/>
        </w:rPr>
        <w:t>目</w:t>
      </w:r>
      <w:r>
        <w:rPr>
          <w:rFonts w:ascii="Times New Roman" w:hAnsi="Times New Roman"/>
        </w:rPr>
        <w:t>27</w:t>
      </w:r>
      <w:r>
        <w:rPr>
          <w:rFonts w:ascii="Times New Roman" w:hAnsi="Times New Roman"/>
        </w:rPr>
        <w:t>科，其中兽类</w:t>
      </w:r>
      <w:r>
        <w:rPr>
          <w:rFonts w:ascii="Times New Roman" w:hAnsi="Times New Roman"/>
        </w:rPr>
        <w:t>4</w:t>
      </w:r>
      <w:r>
        <w:rPr>
          <w:rFonts w:ascii="Times New Roman" w:hAnsi="Times New Roman"/>
        </w:rPr>
        <w:t>目</w:t>
      </w:r>
      <w:r>
        <w:rPr>
          <w:rFonts w:ascii="Times New Roman" w:hAnsi="Times New Roman"/>
        </w:rPr>
        <w:t>8</w:t>
      </w:r>
      <w:r>
        <w:rPr>
          <w:rFonts w:ascii="Times New Roman" w:hAnsi="Times New Roman"/>
        </w:rPr>
        <w:t>科，鸟类</w:t>
      </w:r>
      <w:r>
        <w:rPr>
          <w:rFonts w:ascii="Times New Roman" w:hAnsi="Times New Roman"/>
        </w:rPr>
        <w:t>8</w:t>
      </w:r>
      <w:r>
        <w:rPr>
          <w:rFonts w:ascii="Times New Roman" w:hAnsi="Times New Roman"/>
        </w:rPr>
        <w:t>目</w:t>
      </w:r>
      <w:r>
        <w:rPr>
          <w:rFonts w:ascii="Times New Roman" w:hAnsi="Times New Roman"/>
        </w:rPr>
        <w:t>15</w:t>
      </w:r>
      <w:r>
        <w:rPr>
          <w:rFonts w:ascii="Times New Roman" w:hAnsi="Times New Roman"/>
        </w:rPr>
        <w:t>科，爬行类</w:t>
      </w:r>
      <w:r>
        <w:rPr>
          <w:rFonts w:ascii="Times New Roman" w:hAnsi="Times New Roman"/>
        </w:rPr>
        <w:t>2</w:t>
      </w:r>
      <w:r>
        <w:rPr>
          <w:rFonts w:ascii="Times New Roman" w:hAnsi="Times New Roman"/>
        </w:rPr>
        <w:t>日</w:t>
      </w:r>
      <w:r>
        <w:rPr>
          <w:rFonts w:ascii="Times New Roman" w:hAnsi="Times New Roman"/>
        </w:rPr>
        <w:t>2</w:t>
      </w:r>
      <w:r>
        <w:rPr>
          <w:rFonts w:ascii="Times New Roman" w:hAnsi="Times New Roman"/>
        </w:rPr>
        <w:t>科，两栖类</w:t>
      </w:r>
      <w:r>
        <w:rPr>
          <w:rFonts w:ascii="Times New Roman" w:hAnsi="Times New Roman"/>
        </w:rPr>
        <w:t>1</w:t>
      </w:r>
      <w:r>
        <w:rPr>
          <w:rFonts w:ascii="Times New Roman" w:hAnsi="Times New Roman"/>
        </w:rPr>
        <w:t>目</w:t>
      </w:r>
      <w:r>
        <w:rPr>
          <w:rFonts w:ascii="Times New Roman" w:hAnsi="Times New Roman"/>
        </w:rPr>
        <w:t>2</w:t>
      </w:r>
      <w:r>
        <w:rPr>
          <w:rFonts w:ascii="Times New Roman" w:hAnsi="Times New Roman"/>
        </w:rPr>
        <w:t>科。</w:t>
      </w:r>
      <w:r>
        <w:rPr>
          <w:rFonts w:hint="eastAsia"/>
          <w:szCs w:val="21"/>
        </w:rPr>
        <w:t>由于横城矿区开发历史久远，时间长，区内人类活动频繁，并且矿区内线性工程广布，野生动物原活动范围被切割，生境破碎化严重。目前</w:t>
      </w:r>
      <w:r>
        <w:rPr>
          <w:rFonts w:ascii="Times New Roman" w:hAnsi="Times New Roman" w:hint="eastAsia"/>
        </w:rPr>
        <w:t>矿区内</w:t>
      </w:r>
      <w:r>
        <w:rPr>
          <w:rFonts w:ascii="Times New Roman" w:hAnsi="Times New Roman"/>
        </w:rPr>
        <w:t>的野生动物</w:t>
      </w:r>
      <w:r>
        <w:rPr>
          <w:rFonts w:ascii="Times New Roman" w:hAnsi="Times New Roman" w:hint="eastAsia"/>
        </w:rPr>
        <w:t>不常见</w:t>
      </w:r>
      <w:r>
        <w:rPr>
          <w:rFonts w:ascii="Times New Roman" w:hAnsi="Times New Roman"/>
        </w:rPr>
        <w:t>。</w:t>
      </w:r>
    </w:p>
    <w:p w14:paraId="4FB86AD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植物</w:t>
      </w:r>
    </w:p>
    <w:p w14:paraId="70E6F81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天然植被类型为温带荒漠类型中的</w:t>
      </w:r>
      <w:r>
        <w:rPr>
          <w:rFonts w:ascii="Times New Roman" w:hAnsi="Times New Roman" w:hint="eastAsia"/>
        </w:rPr>
        <w:t>旱</w:t>
      </w:r>
      <w:r>
        <w:rPr>
          <w:rFonts w:ascii="Times New Roman" w:hAnsi="Times New Roman"/>
        </w:rPr>
        <w:t>生植物，主要以红砂、珍珠</w:t>
      </w:r>
      <w:r>
        <w:rPr>
          <w:rFonts w:ascii="Times New Roman" w:hAnsi="Times New Roman"/>
        </w:rPr>
        <w:t xml:space="preserve"> </w:t>
      </w:r>
      <w:r>
        <w:rPr>
          <w:rFonts w:ascii="Times New Roman" w:hAnsi="Times New Roman"/>
        </w:rPr>
        <w:t>甘草、苦豆子、猫头刺、沙蒿等一年生或多年生</w:t>
      </w:r>
      <w:r>
        <w:rPr>
          <w:rFonts w:ascii="Times New Roman" w:hAnsi="Times New Roman" w:hint="eastAsia"/>
        </w:rPr>
        <w:t>旱</w:t>
      </w:r>
      <w:r>
        <w:rPr>
          <w:rFonts w:ascii="Times New Roman" w:hAnsi="Times New Roman"/>
        </w:rPr>
        <w:t>生或超旱生的灌木、半灌木或草本植物为主，植被分布稀少且不均匀。人工植被主要以杨树、沙枣、柠条、花棒、杨柴、沙柳等为主。区域生态类型共分为灌草地、沙地两类，草地生态系统类型为草原向荒漠</w:t>
      </w:r>
      <w:r>
        <w:rPr>
          <w:rFonts w:ascii="Times New Roman" w:hAnsi="Times New Roman" w:hint="eastAsia"/>
        </w:rPr>
        <w:t>过渡</w:t>
      </w:r>
      <w:r>
        <w:rPr>
          <w:rFonts w:ascii="Times New Roman" w:hAnsi="Times New Roman"/>
        </w:rPr>
        <w:t>的类型，主要包括川青锦鸡、木霸王、骆驼蓬、隐子草等；沙地生态系统由固定、半固定沙丘，少量的小灌木、小半灌木植被构成，主要包括油蒿、沙米、木蓼、刺蓬等。项目所在区域的植被类型主要为沙生荒漠草原植被，植被盖度</w:t>
      </w:r>
      <w:r>
        <w:rPr>
          <w:rFonts w:ascii="Times New Roman" w:hAnsi="Times New Roman"/>
        </w:rPr>
        <w:t>12~68%</w:t>
      </w:r>
      <w:r>
        <w:rPr>
          <w:rFonts w:ascii="Times New Roman" w:hAnsi="Times New Roman"/>
        </w:rPr>
        <w:t>，群落类型主要包括川青锦鸡儿</w:t>
      </w:r>
      <w:r>
        <w:rPr>
          <w:rFonts w:ascii="Times New Roman" w:hAnsi="Times New Roman"/>
        </w:rPr>
        <w:t>-</w:t>
      </w:r>
      <w:r>
        <w:rPr>
          <w:rFonts w:ascii="Times New Roman" w:hAnsi="Times New Roman"/>
        </w:rPr>
        <w:t>杂类草、川青锦鸡儿</w:t>
      </w:r>
      <w:r>
        <w:rPr>
          <w:rFonts w:ascii="Times New Roman" w:hAnsi="Times New Roman"/>
        </w:rPr>
        <w:t xml:space="preserve"> </w:t>
      </w:r>
      <w:r>
        <w:rPr>
          <w:rFonts w:ascii="Times New Roman" w:hAnsi="Times New Roman"/>
        </w:rPr>
        <w:t>木霸王、沙蒿</w:t>
      </w:r>
      <w:r>
        <w:rPr>
          <w:rFonts w:ascii="Times New Roman" w:hAnsi="Times New Roman"/>
        </w:rPr>
        <w:t>-</w:t>
      </w:r>
      <w:r>
        <w:rPr>
          <w:rFonts w:ascii="Times New Roman" w:hAnsi="Times New Roman"/>
        </w:rPr>
        <w:t>沙米、沙嵩杂类草、猫头刺</w:t>
      </w:r>
      <w:r>
        <w:rPr>
          <w:rFonts w:ascii="Times New Roman" w:hAnsi="Times New Roman"/>
        </w:rPr>
        <w:t>+</w:t>
      </w:r>
      <w:r>
        <w:rPr>
          <w:rFonts w:ascii="Times New Roman" w:hAnsi="Times New Roman"/>
        </w:rPr>
        <w:t>隐子草荒漠草原、沙蒿和甘草等群落</w:t>
      </w:r>
      <w:r>
        <w:rPr>
          <w:rFonts w:ascii="Times New Roman" w:hAnsi="Times New Roman" w:hint="eastAsia"/>
        </w:rPr>
        <w:t>。</w:t>
      </w:r>
      <w:r>
        <w:rPr>
          <w:rFonts w:ascii="Times New Roman" w:hAnsi="Times New Roman"/>
        </w:rPr>
        <w:t>宁夏十分重视全区的生态保护与建设，在开发建设过程中，按照国家生态建设要求，不断加大对宁东生态建设投入力度，遂步扩大造林规模，</w:t>
      </w:r>
      <w:r>
        <w:rPr>
          <w:rFonts w:ascii="Times New Roman" w:hAnsi="Times New Roman" w:hint="eastAsia"/>
        </w:rPr>
        <w:t>矿区所在区域</w:t>
      </w:r>
      <w:r>
        <w:rPr>
          <w:rFonts w:ascii="Times New Roman" w:hAnsi="Times New Roman"/>
        </w:rPr>
        <w:t>的生态环境得到了极大改善</w:t>
      </w:r>
      <w:r>
        <w:rPr>
          <w:rFonts w:ascii="Times New Roman" w:hAnsi="Times New Roman" w:hint="eastAsia"/>
        </w:rPr>
        <w:t>。</w:t>
      </w:r>
    </w:p>
    <w:p w14:paraId="67C88995"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3.1.6 </w:t>
      </w:r>
      <w:r>
        <w:rPr>
          <w:rFonts w:ascii="Times New Roman" w:hAnsi="Times New Roman" w:hint="eastAsia"/>
          <w:sz w:val="24"/>
        </w:rPr>
        <w:t>地震</w:t>
      </w:r>
    </w:p>
    <w:p w14:paraId="1353037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据</w:t>
      </w:r>
      <w:r>
        <w:rPr>
          <w:rFonts w:ascii="Times New Roman" w:hAnsi="Times New Roman"/>
        </w:rPr>
        <w:t>2015</w:t>
      </w:r>
      <w:r>
        <w:rPr>
          <w:rFonts w:ascii="Times New Roman" w:hAnsi="Times New Roman"/>
        </w:rPr>
        <w:t>年国家地震局颁布的《中国地震动参数区划图》（</w:t>
      </w:r>
      <w:r>
        <w:rPr>
          <w:rFonts w:ascii="Times New Roman" w:hAnsi="Times New Roman"/>
        </w:rPr>
        <w:t>GB18306-2015</w:t>
      </w:r>
      <w:r>
        <w:rPr>
          <w:rFonts w:ascii="Times New Roman" w:hAnsi="Times New Roman"/>
        </w:rPr>
        <w:t>），本区抗震设防裂度为</w:t>
      </w:r>
      <w:r>
        <w:rPr>
          <w:rFonts w:ascii="Times New Roman" w:hAnsi="Times New Roman" w:hint="eastAsia"/>
        </w:rPr>
        <w:t>Ⅶ</w:t>
      </w:r>
      <w:r>
        <w:rPr>
          <w:rFonts w:ascii="Times New Roman" w:hAnsi="Times New Roman"/>
        </w:rPr>
        <w:t>度，基本地震动峰值加速度为</w:t>
      </w:r>
      <w:r>
        <w:rPr>
          <w:rFonts w:ascii="Times New Roman" w:hAnsi="Times New Roman"/>
        </w:rPr>
        <w:t>0.</w:t>
      </w:r>
      <w:r>
        <w:rPr>
          <w:rFonts w:ascii="Times New Roman" w:hAnsi="Times New Roman" w:hint="eastAsia"/>
        </w:rPr>
        <w:t>15</w:t>
      </w:r>
      <w:r>
        <w:rPr>
          <w:rFonts w:ascii="Times New Roman" w:hAnsi="Times New Roman"/>
        </w:rPr>
        <w:t>g</w:t>
      </w:r>
      <w:r>
        <w:rPr>
          <w:rFonts w:ascii="Times New Roman" w:hAnsi="Times New Roman"/>
        </w:rPr>
        <w:t>。</w:t>
      </w:r>
    </w:p>
    <w:p w14:paraId="72B84950" w14:textId="77777777" w:rsidR="009C353B" w:rsidRDefault="00000000">
      <w:pPr>
        <w:pStyle w:val="2"/>
        <w:snapToGrid w:val="0"/>
        <w:spacing w:line="440" w:lineRule="exact"/>
        <w:rPr>
          <w:rFonts w:ascii="Times New Roman" w:eastAsia="宋体" w:hAnsi="Times New Roman"/>
          <w:b/>
          <w:sz w:val="28"/>
        </w:rPr>
      </w:pPr>
      <w:bookmarkStart w:id="105" w:name="_Toc255477095"/>
      <w:bookmarkStart w:id="106" w:name="_Toc247104440"/>
      <w:bookmarkStart w:id="107" w:name="_Toc59189830"/>
      <w:r>
        <w:rPr>
          <w:rFonts w:ascii="Times New Roman" w:eastAsia="宋体" w:hAnsi="Times New Roman"/>
          <w:b/>
          <w:sz w:val="28"/>
        </w:rPr>
        <w:t xml:space="preserve">3.2 </w:t>
      </w:r>
      <w:r>
        <w:rPr>
          <w:rFonts w:ascii="Times New Roman" w:eastAsia="宋体" w:hAnsi="Times New Roman"/>
          <w:b/>
          <w:sz w:val="28"/>
        </w:rPr>
        <w:t>社会经济概况</w:t>
      </w:r>
      <w:bookmarkEnd w:id="105"/>
      <w:bookmarkEnd w:id="106"/>
      <w:bookmarkEnd w:id="107"/>
    </w:p>
    <w:p w14:paraId="22E1698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横城矿区地处灵武市临河镇宁东基地。</w:t>
      </w:r>
    </w:p>
    <w:p w14:paraId="3C9AA72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根据《灵武市</w:t>
      </w:r>
      <w:r>
        <w:rPr>
          <w:rFonts w:ascii="Times New Roman" w:hAnsi="Times New Roman" w:hint="eastAsia"/>
        </w:rPr>
        <w:t>2019</w:t>
      </w:r>
      <w:r>
        <w:rPr>
          <w:rFonts w:ascii="Times New Roman" w:hAnsi="Times New Roman" w:hint="eastAsia"/>
        </w:rPr>
        <w:t>年国民经济和社会发展统计公报》，灵武市</w:t>
      </w:r>
      <w:r>
        <w:rPr>
          <w:rFonts w:ascii="Times New Roman" w:hAnsi="Times New Roman" w:hint="eastAsia"/>
        </w:rPr>
        <w:t>2019</w:t>
      </w:r>
      <w:r>
        <w:rPr>
          <w:rFonts w:ascii="Times New Roman" w:hAnsi="Times New Roman" w:hint="eastAsia"/>
        </w:rPr>
        <w:t>年年末全市常住总人口</w:t>
      </w:r>
      <w:r>
        <w:rPr>
          <w:rFonts w:ascii="Times New Roman" w:hAnsi="Times New Roman" w:hint="eastAsia"/>
        </w:rPr>
        <w:t>29.6</w:t>
      </w:r>
      <w:r>
        <w:rPr>
          <w:rFonts w:ascii="Times New Roman" w:hAnsi="Times New Roman" w:hint="eastAsia"/>
        </w:rPr>
        <w:t>万人，同比增长</w:t>
      </w:r>
      <w:r>
        <w:rPr>
          <w:rFonts w:ascii="Times New Roman" w:hAnsi="Times New Roman" w:hint="eastAsia"/>
        </w:rPr>
        <w:t>0.4</w:t>
      </w:r>
      <w:r>
        <w:rPr>
          <w:rFonts w:ascii="Times New Roman" w:hAnsi="Times New Roman" w:hint="eastAsia"/>
        </w:rPr>
        <w:t>％。其中回族人口</w:t>
      </w:r>
      <w:r>
        <w:rPr>
          <w:rFonts w:ascii="Times New Roman" w:hAnsi="Times New Roman" w:hint="eastAsia"/>
        </w:rPr>
        <w:t>15.68</w:t>
      </w:r>
      <w:r>
        <w:rPr>
          <w:rFonts w:ascii="Times New Roman" w:hAnsi="Times New Roman" w:hint="eastAsia"/>
        </w:rPr>
        <w:t>万人，占总人口</w:t>
      </w:r>
      <w:r>
        <w:rPr>
          <w:rFonts w:ascii="Times New Roman" w:hAnsi="Times New Roman" w:hint="eastAsia"/>
        </w:rPr>
        <w:t>52.9%</w:t>
      </w:r>
      <w:r>
        <w:rPr>
          <w:rFonts w:ascii="Times New Roman" w:hAnsi="Times New Roman" w:hint="eastAsia"/>
        </w:rPr>
        <w:t>；汉族人口</w:t>
      </w:r>
      <w:r>
        <w:rPr>
          <w:rFonts w:ascii="Times New Roman" w:hAnsi="Times New Roman" w:hint="eastAsia"/>
        </w:rPr>
        <w:t>13.83</w:t>
      </w:r>
      <w:r>
        <w:rPr>
          <w:rFonts w:ascii="Times New Roman" w:hAnsi="Times New Roman" w:hint="eastAsia"/>
        </w:rPr>
        <w:t>万人，占总人口</w:t>
      </w:r>
      <w:r>
        <w:rPr>
          <w:rFonts w:ascii="Times New Roman" w:hAnsi="Times New Roman" w:hint="eastAsia"/>
        </w:rPr>
        <w:t>46.7%</w:t>
      </w:r>
      <w:r>
        <w:rPr>
          <w:rFonts w:ascii="Times New Roman" w:hAnsi="Times New Roman" w:hint="eastAsia"/>
        </w:rPr>
        <w:t>。城镇人口</w:t>
      </w:r>
      <w:r>
        <w:rPr>
          <w:rFonts w:ascii="Times New Roman" w:hAnsi="Times New Roman" w:hint="eastAsia"/>
        </w:rPr>
        <w:t>17.24</w:t>
      </w:r>
      <w:r>
        <w:rPr>
          <w:rFonts w:ascii="Times New Roman" w:hAnsi="Times New Roman" w:hint="eastAsia"/>
        </w:rPr>
        <w:t>万人，乡村人口</w:t>
      </w:r>
      <w:r>
        <w:rPr>
          <w:rFonts w:ascii="Times New Roman" w:hAnsi="Times New Roman" w:hint="eastAsia"/>
        </w:rPr>
        <w:t>12.37</w:t>
      </w:r>
      <w:r>
        <w:rPr>
          <w:rFonts w:ascii="Times New Roman" w:hAnsi="Times New Roman" w:hint="eastAsia"/>
        </w:rPr>
        <w:t>万人。全市实现地区生产总值</w:t>
      </w:r>
      <w:r>
        <w:rPr>
          <w:rFonts w:ascii="Times New Roman" w:hAnsi="Times New Roman" w:hint="eastAsia"/>
        </w:rPr>
        <w:t>517.4</w:t>
      </w:r>
      <w:r>
        <w:rPr>
          <w:rFonts w:ascii="Times New Roman" w:hAnsi="Times New Roman" w:hint="eastAsia"/>
        </w:rPr>
        <w:t>亿元，按可比价格计算，同比增长</w:t>
      </w:r>
      <w:r>
        <w:rPr>
          <w:rFonts w:ascii="Times New Roman" w:hAnsi="Times New Roman" w:hint="eastAsia"/>
        </w:rPr>
        <w:t>6.4%</w:t>
      </w:r>
      <w:r>
        <w:rPr>
          <w:rFonts w:ascii="Times New Roman" w:hAnsi="Times New Roman" w:hint="eastAsia"/>
        </w:rPr>
        <w:t>。分产业看，第一产业实现增加值</w:t>
      </w:r>
      <w:r>
        <w:rPr>
          <w:rFonts w:ascii="Times New Roman" w:hAnsi="Times New Roman" w:hint="eastAsia"/>
        </w:rPr>
        <w:t>11.3</w:t>
      </w:r>
      <w:r>
        <w:rPr>
          <w:rFonts w:ascii="Times New Roman" w:hAnsi="Times New Roman" w:hint="eastAsia"/>
        </w:rPr>
        <w:t>亿元，同比增长</w:t>
      </w:r>
      <w:r>
        <w:rPr>
          <w:rFonts w:ascii="Times New Roman" w:hAnsi="Times New Roman" w:hint="eastAsia"/>
        </w:rPr>
        <w:t>3.0%</w:t>
      </w:r>
      <w:r>
        <w:rPr>
          <w:rFonts w:ascii="Times New Roman" w:hAnsi="Times New Roman" w:hint="eastAsia"/>
        </w:rPr>
        <w:t>；第二产业实现增加值</w:t>
      </w:r>
      <w:r>
        <w:rPr>
          <w:rFonts w:ascii="Times New Roman" w:hAnsi="Times New Roman" w:hint="eastAsia"/>
        </w:rPr>
        <w:t>430.3</w:t>
      </w:r>
      <w:r>
        <w:rPr>
          <w:rFonts w:ascii="Times New Roman" w:hAnsi="Times New Roman" w:hint="eastAsia"/>
        </w:rPr>
        <w:t>亿元，同比增长</w:t>
      </w:r>
      <w:r>
        <w:rPr>
          <w:rFonts w:ascii="Times New Roman" w:hAnsi="Times New Roman" w:hint="eastAsia"/>
        </w:rPr>
        <w:t>7.5%</w:t>
      </w:r>
      <w:r>
        <w:rPr>
          <w:rFonts w:ascii="Times New Roman" w:hAnsi="Times New Roman" w:hint="eastAsia"/>
        </w:rPr>
        <w:t>；第三产业实现增加值</w:t>
      </w:r>
      <w:r>
        <w:rPr>
          <w:rFonts w:ascii="Times New Roman" w:hAnsi="Times New Roman" w:hint="eastAsia"/>
        </w:rPr>
        <w:t>75.8</w:t>
      </w:r>
      <w:r>
        <w:rPr>
          <w:rFonts w:ascii="Times New Roman" w:hAnsi="Times New Roman" w:hint="eastAsia"/>
        </w:rPr>
        <w:t>亿元，同比增长</w:t>
      </w:r>
      <w:r>
        <w:rPr>
          <w:rFonts w:ascii="Times New Roman" w:hAnsi="Times New Roman" w:hint="eastAsia"/>
        </w:rPr>
        <w:t>0.6%</w:t>
      </w:r>
      <w:r>
        <w:rPr>
          <w:rFonts w:ascii="Times New Roman" w:hAnsi="Times New Roman" w:hint="eastAsia"/>
        </w:rPr>
        <w:t>。按常住人口计算，人均地区生产总值</w:t>
      </w:r>
      <w:r>
        <w:rPr>
          <w:rFonts w:ascii="Times New Roman" w:hAnsi="Times New Roman" w:hint="eastAsia"/>
        </w:rPr>
        <w:t>175033</w:t>
      </w:r>
      <w:r>
        <w:rPr>
          <w:rFonts w:ascii="Times New Roman" w:hAnsi="Times New Roman" w:hint="eastAsia"/>
        </w:rPr>
        <w:t>元。三次产业结构为</w:t>
      </w:r>
      <w:r>
        <w:rPr>
          <w:rFonts w:ascii="Times New Roman" w:hAnsi="Times New Roman" w:hint="eastAsia"/>
        </w:rPr>
        <w:t>2.2</w:t>
      </w:r>
      <w:r>
        <w:rPr>
          <w:rFonts w:ascii="Times New Roman" w:hAnsi="Times New Roman" w:hint="eastAsia"/>
        </w:rPr>
        <w:t>：</w:t>
      </w:r>
      <w:r>
        <w:rPr>
          <w:rFonts w:ascii="Times New Roman" w:hAnsi="Times New Roman" w:hint="eastAsia"/>
        </w:rPr>
        <w:t>83.2</w:t>
      </w:r>
      <w:r>
        <w:rPr>
          <w:rFonts w:ascii="Times New Roman" w:hAnsi="Times New Roman" w:hint="eastAsia"/>
        </w:rPr>
        <w:t>：</w:t>
      </w:r>
      <w:r>
        <w:rPr>
          <w:rFonts w:ascii="Times New Roman" w:hAnsi="Times New Roman" w:hint="eastAsia"/>
        </w:rPr>
        <w:t>14.6</w:t>
      </w:r>
      <w:r>
        <w:rPr>
          <w:rFonts w:ascii="Times New Roman" w:hAnsi="Times New Roman" w:hint="eastAsia"/>
        </w:rPr>
        <w:t>。</w:t>
      </w:r>
    </w:p>
    <w:p w14:paraId="140A683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临河镇位于灵武市北端，北依长城与陶乐相邻，西与首府银川隔河相望，东接磁窑堡镇，黄河流经全镇</w:t>
      </w:r>
      <w:r>
        <w:rPr>
          <w:rFonts w:ascii="Times New Roman" w:hint="eastAsia"/>
        </w:rPr>
        <w:t>21</w:t>
      </w:r>
      <w:r>
        <w:rPr>
          <w:rFonts w:ascii="Times New Roman" w:hint="eastAsia"/>
        </w:rPr>
        <w:t>公里。耕地面积</w:t>
      </w:r>
      <w:r>
        <w:rPr>
          <w:rFonts w:ascii="Times New Roman" w:hint="eastAsia"/>
        </w:rPr>
        <w:t>1.35</w:t>
      </w:r>
      <w:r>
        <w:rPr>
          <w:rFonts w:ascii="Times New Roman" w:hint="eastAsia"/>
        </w:rPr>
        <w:t>万亩，草原面积</w:t>
      </w:r>
      <w:r>
        <w:rPr>
          <w:rFonts w:ascii="Times New Roman" w:hint="eastAsia"/>
        </w:rPr>
        <w:t>72</w:t>
      </w:r>
      <w:r>
        <w:rPr>
          <w:rFonts w:ascii="Times New Roman" w:hint="eastAsia"/>
        </w:rPr>
        <w:t>万亩，辖</w:t>
      </w:r>
      <w:r>
        <w:rPr>
          <w:rFonts w:ascii="Times New Roman" w:hint="eastAsia"/>
        </w:rPr>
        <w:t>7</w:t>
      </w:r>
      <w:r>
        <w:rPr>
          <w:rFonts w:ascii="Times New Roman" w:hint="eastAsia"/>
        </w:rPr>
        <w:t>个行政村、</w:t>
      </w:r>
      <w:r>
        <w:rPr>
          <w:rFonts w:ascii="Times New Roman" w:hint="eastAsia"/>
        </w:rPr>
        <w:t>28</w:t>
      </w:r>
      <w:r>
        <w:rPr>
          <w:rFonts w:ascii="Times New Roman" w:hint="eastAsia"/>
        </w:rPr>
        <w:t>个村民小组，总人口</w:t>
      </w:r>
      <w:r>
        <w:rPr>
          <w:rFonts w:ascii="Times New Roman" w:hint="eastAsia"/>
        </w:rPr>
        <w:t>0.8</w:t>
      </w:r>
      <w:r>
        <w:rPr>
          <w:rFonts w:ascii="Times New Roman" w:hint="eastAsia"/>
        </w:rPr>
        <w:t>万人。</w:t>
      </w:r>
    </w:p>
    <w:p w14:paraId="6E4CEDE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横城矿区属于宁东基地，</w:t>
      </w:r>
      <w:r>
        <w:rPr>
          <w:rFonts w:ascii="Times New Roman"/>
        </w:rPr>
        <w:t>2017</w:t>
      </w:r>
      <w:r>
        <w:rPr>
          <w:rFonts w:ascii="Times New Roman"/>
        </w:rPr>
        <w:t>年宁东基地实现地区生产总值</w:t>
      </w:r>
      <w:r>
        <w:rPr>
          <w:rFonts w:ascii="Times New Roman"/>
        </w:rPr>
        <w:t>409.1</w:t>
      </w:r>
      <w:r>
        <w:rPr>
          <w:rFonts w:ascii="Times New Roman"/>
        </w:rPr>
        <w:t>亿元，其中第一产业</w:t>
      </w:r>
      <w:r>
        <w:rPr>
          <w:rFonts w:ascii="Times New Roman"/>
        </w:rPr>
        <w:t>5.6</w:t>
      </w:r>
      <w:r>
        <w:rPr>
          <w:rFonts w:ascii="Times New Roman"/>
        </w:rPr>
        <w:t>亿元，第二产业</w:t>
      </w:r>
      <w:r>
        <w:rPr>
          <w:rFonts w:ascii="Times New Roman"/>
        </w:rPr>
        <w:t>389.6</w:t>
      </w:r>
      <w:r>
        <w:rPr>
          <w:rFonts w:ascii="Times New Roman"/>
        </w:rPr>
        <w:t>亿元，第三产业</w:t>
      </w:r>
      <w:r>
        <w:rPr>
          <w:rFonts w:ascii="Times New Roman"/>
        </w:rPr>
        <w:t>13.9</w:t>
      </w:r>
      <w:r>
        <w:rPr>
          <w:rFonts w:ascii="Times New Roman"/>
        </w:rPr>
        <w:t>亿元。三次产业地区生产总值构成为</w:t>
      </w:r>
      <w:r>
        <w:rPr>
          <w:rFonts w:ascii="Times New Roman"/>
        </w:rPr>
        <w:t xml:space="preserve"> 1.36%:95.23%:3.41% 2017</w:t>
      </w:r>
      <w:r>
        <w:rPr>
          <w:rFonts w:ascii="Times New Roman"/>
        </w:rPr>
        <w:t>年宁东基地实现工业总产值</w:t>
      </w:r>
      <w:r>
        <w:rPr>
          <w:rFonts w:ascii="Times New Roman"/>
        </w:rPr>
        <w:t>1174.5</w:t>
      </w:r>
      <w:r>
        <w:rPr>
          <w:rFonts w:ascii="Times New Roman"/>
        </w:rPr>
        <w:t>亿元，主导产业实现工业总产值</w:t>
      </w:r>
      <w:r>
        <w:rPr>
          <w:rFonts w:ascii="Times New Roman"/>
        </w:rPr>
        <w:t xml:space="preserve"> 1032.9</w:t>
      </w:r>
      <w:r>
        <w:rPr>
          <w:rFonts w:ascii="Times New Roman"/>
        </w:rPr>
        <w:t>亿元，其中煤炭行业工业总产值</w:t>
      </w:r>
      <w:r>
        <w:rPr>
          <w:rFonts w:ascii="Times New Roman"/>
        </w:rPr>
        <w:t>222.2</w:t>
      </w:r>
      <w:r>
        <w:rPr>
          <w:rFonts w:ascii="Times New Roman"/>
        </w:rPr>
        <w:t>亿元，电力行业工业总产值</w:t>
      </w:r>
      <w:r>
        <w:rPr>
          <w:rFonts w:ascii="Times New Roman"/>
        </w:rPr>
        <w:t xml:space="preserve">223.5 </w:t>
      </w:r>
      <w:r>
        <w:rPr>
          <w:rFonts w:ascii="Times New Roman"/>
        </w:rPr>
        <w:t>亿元，化工行业工业总产值</w:t>
      </w:r>
      <w:r>
        <w:rPr>
          <w:rFonts w:ascii="Times New Roman"/>
        </w:rPr>
        <w:t>587.2</w:t>
      </w:r>
      <w:r>
        <w:rPr>
          <w:rFonts w:ascii="Times New Roman"/>
        </w:rPr>
        <w:t>亿元</w:t>
      </w:r>
      <w:r>
        <w:rPr>
          <w:rFonts w:ascii="Times New Roman" w:hint="eastAsia"/>
        </w:rPr>
        <w:t>，</w:t>
      </w:r>
      <w:r>
        <w:rPr>
          <w:rFonts w:ascii="Times New Roman"/>
        </w:rPr>
        <w:t>非主导产业实现工业总产值</w:t>
      </w:r>
      <w:r>
        <w:rPr>
          <w:rFonts w:ascii="Times New Roman"/>
        </w:rPr>
        <w:t>141.6</w:t>
      </w:r>
      <w:r>
        <w:rPr>
          <w:rFonts w:ascii="Times New Roman"/>
        </w:rPr>
        <w:t>亿元，其中有色金属行业工业总产值</w:t>
      </w:r>
      <w:r>
        <w:rPr>
          <w:rFonts w:ascii="Times New Roman"/>
        </w:rPr>
        <w:t>111.7</w:t>
      </w:r>
      <w:r>
        <w:rPr>
          <w:rFonts w:ascii="Times New Roman"/>
        </w:rPr>
        <w:t>亿元，建材行业工业总产值</w:t>
      </w:r>
      <w:r>
        <w:rPr>
          <w:rFonts w:ascii="Times New Roman"/>
        </w:rPr>
        <w:t>13.5</w:t>
      </w:r>
      <w:r>
        <w:rPr>
          <w:rFonts w:ascii="Times New Roman"/>
        </w:rPr>
        <w:t>亿元，其他行业工业总产值</w:t>
      </w:r>
      <w:r>
        <w:rPr>
          <w:rFonts w:ascii="Times New Roman"/>
        </w:rPr>
        <w:t>16.4</w:t>
      </w:r>
      <w:r>
        <w:rPr>
          <w:rFonts w:ascii="Times New Roman"/>
        </w:rPr>
        <w:t>亿元。</w:t>
      </w:r>
      <w:r>
        <w:rPr>
          <w:rFonts w:ascii="Times New Roman"/>
        </w:rPr>
        <w:t>2017</w:t>
      </w:r>
      <w:r>
        <w:rPr>
          <w:rFonts w:ascii="Times New Roman"/>
        </w:rPr>
        <w:t>年宁东基地实现工业增加值</w:t>
      </w:r>
      <w:r>
        <w:rPr>
          <w:rFonts w:ascii="Times New Roman"/>
        </w:rPr>
        <w:t>369.8</w:t>
      </w:r>
      <w:r>
        <w:rPr>
          <w:rFonts w:ascii="Times New Roman"/>
        </w:rPr>
        <w:t>亿元，主导产业实现工业增加值</w:t>
      </w:r>
      <w:r>
        <w:rPr>
          <w:rFonts w:ascii="Times New Roman"/>
        </w:rPr>
        <w:t xml:space="preserve">340.4 </w:t>
      </w:r>
      <w:r>
        <w:rPr>
          <w:rFonts w:ascii="Times New Roman"/>
        </w:rPr>
        <w:t>亿元，其中煤炭行业工业增加值</w:t>
      </w:r>
      <w:r>
        <w:rPr>
          <w:rFonts w:ascii="Times New Roman"/>
        </w:rPr>
        <w:t>96.1</w:t>
      </w:r>
      <w:r>
        <w:rPr>
          <w:rFonts w:ascii="Times New Roman"/>
        </w:rPr>
        <w:t>亿元，电力行业工业增加值</w:t>
      </w:r>
      <w:r>
        <w:rPr>
          <w:rFonts w:ascii="Times New Roman"/>
        </w:rPr>
        <w:t>79.4</w:t>
      </w:r>
      <w:r>
        <w:rPr>
          <w:rFonts w:ascii="Times New Roman"/>
        </w:rPr>
        <w:t>亿元，化工行业工业增加值</w:t>
      </w:r>
      <w:r>
        <w:rPr>
          <w:rFonts w:ascii="Times New Roman"/>
        </w:rPr>
        <w:t>164.9</w:t>
      </w:r>
      <w:r>
        <w:rPr>
          <w:rFonts w:ascii="Times New Roman"/>
        </w:rPr>
        <w:t>亿元。非主导产业实现工业增加值</w:t>
      </w:r>
      <w:r>
        <w:rPr>
          <w:rFonts w:ascii="Times New Roman"/>
        </w:rPr>
        <w:t>29.3</w:t>
      </w:r>
      <w:r>
        <w:rPr>
          <w:rFonts w:ascii="Times New Roman"/>
        </w:rPr>
        <w:t>亿元，其中有色金属行业工业增加值</w:t>
      </w:r>
      <w:r>
        <w:rPr>
          <w:rFonts w:ascii="Times New Roman"/>
        </w:rPr>
        <w:t>21.1</w:t>
      </w:r>
      <w:r>
        <w:rPr>
          <w:rFonts w:ascii="Times New Roman"/>
        </w:rPr>
        <w:t>亿元，建材行业工业增加值</w:t>
      </w:r>
      <w:r>
        <w:rPr>
          <w:rFonts w:ascii="Times New Roman"/>
        </w:rPr>
        <w:t>2.8</w:t>
      </w:r>
      <w:r>
        <w:rPr>
          <w:rFonts w:ascii="Times New Roman"/>
        </w:rPr>
        <w:t>亿元，其他行业工业增加值</w:t>
      </w:r>
      <w:r>
        <w:rPr>
          <w:rFonts w:ascii="Times New Roman"/>
        </w:rPr>
        <w:t>5.4</w:t>
      </w:r>
      <w:r>
        <w:rPr>
          <w:rFonts w:ascii="Times New Roman"/>
        </w:rPr>
        <w:t>亿元</w:t>
      </w:r>
      <w:r>
        <w:rPr>
          <w:rFonts w:ascii="Times New Roman" w:hint="eastAsia"/>
        </w:rPr>
        <w:t>。</w:t>
      </w:r>
    </w:p>
    <w:p w14:paraId="184FB4A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宁东基地的交通运输网由公路、铁路组成，目前已形成了四通八达的综合交通网络。宁东基地以西</w:t>
      </w:r>
      <w:r>
        <w:rPr>
          <w:rFonts w:ascii="Times New Roman" w:hAnsi="Times New Roman"/>
        </w:rPr>
        <w:t>70km</w:t>
      </w:r>
      <w:r>
        <w:rPr>
          <w:rFonts w:ascii="Times New Roman" w:hAnsi="Times New Roman"/>
        </w:rPr>
        <w:t>处有包</w:t>
      </w:r>
      <w:r>
        <w:rPr>
          <w:rFonts w:ascii="Times New Roman" w:hAnsi="Times New Roman"/>
        </w:rPr>
        <w:t>(</w:t>
      </w:r>
      <w:r>
        <w:rPr>
          <w:rFonts w:ascii="Times New Roman" w:hAnsi="Times New Roman"/>
        </w:rPr>
        <w:t>头</w:t>
      </w:r>
      <w:r>
        <w:rPr>
          <w:rFonts w:ascii="Times New Roman" w:hAnsi="Times New Roman"/>
        </w:rPr>
        <w:t>)</w:t>
      </w:r>
      <w:r>
        <w:rPr>
          <w:rFonts w:ascii="Times New Roman" w:hAnsi="Times New Roman"/>
        </w:rPr>
        <w:t>兰</w:t>
      </w:r>
      <w:r>
        <w:rPr>
          <w:rFonts w:ascii="Times New Roman" w:hAnsi="Times New Roman"/>
        </w:rPr>
        <w:t>(</w:t>
      </w:r>
      <w:r>
        <w:rPr>
          <w:rFonts w:ascii="Times New Roman" w:hAnsi="Times New Roman"/>
        </w:rPr>
        <w:t>州</w:t>
      </w:r>
      <w:r>
        <w:rPr>
          <w:rFonts w:ascii="Times New Roman" w:hAnsi="Times New Roman"/>
        </w:rPr>
        <w:t>)</w:t>
      </w:r>
      <w:r>
        <w:rPr>
          <w:rFonts w:ascii="Times New Roman" w:hAnsi="Times New Roman"/>
        </w:rPr>
        <w:t>电气化铁路。宝</w:t>
      </w:r>
      <w:r>
        <w:rPr>
          <w:rFonts w:ascii="Times New Roman" w:hAnsi="Times New Roman"/>
        </w:rPr>
        <w:t>(</w:t>
      </w:r>
      <w:r>
        <w:rPr>
          <w:rFonts w:ascii="Times New Roman" w:hAnsi="Times New Roman"/>
        </w:rPr>
        <w:t>鸡</w:t>
      </w:r>
      <w:r>
        <w:rPr>
          <w:rFonts w:ascii="Times New Roman" w:hAnsi="Times New Roman"/>
        </w:rPr>
        <w:t>)</w:t>
      </w:r>
      <w:r>
        <w:rPr>
          <w:rFonts w:ascii="Times New Roman" w:hAnsi="Times New Roman"/>
        </w:rPr>
        <w:t>中</w:t>
      </w:r>
      <w:r>
        <w:rPr>
          <w:rFonts w:ascii="Times New Roman" w:hAnsi="Times New Roman"/>
        </w:rPr>
        <w:t>(</w:t>
      </w:r>
      <w:r>
        <w:rPr>
          <w:rFonts w:ascii="Times New Roman" w:hAnsi="Times New Roman"/>
        </w:rPr>
        <w:t>卫</w:t>
      </w:r>
      <w:r>
        <w:rPr>
          <w:rFonts w:ascii="Times New Roman" w:hAnsi="Times New Roman"/>
        </w:rPr>
        <w:t xml:space="preserve">) </w:t>
      </w:r>
      <w:r>
        <w:rPr>
          <w:rFonts w:ascii="Times New Roman" w:hAnsi="Times New Roman"/>
        </w:rPr>
        <w:t>电气化铁路在宁东基地以南通过，太中</w:t>
      </w:r>
      <w:r>
        <w:rPr>
          <w:rFonts w:ascii="Times New Roman" w:hAnsi="Times New Roman"/>
        </w:rPr>
        <w:t>(</w:t>
      </w:r>
      <w:r>
        <w:rPr>
          <w:rFonts w:ascii="Times New Roman" w:hAnsi="Times New Roman"/>
        </w:rPr>
        <w:t>银</w:t>
      </w:r>
      <w:r>
        <w:rPr>
          <w:rFonts w:ascii="Times New Roman" w:hAnsi="Times New Roman"/>
        </w:rPr>
        <w:t>)</w:t>
      </w:r>
      <w:r>
        <w:rPr>
          <w:rFonts w:ascii="Times New Roman" w:hAnsi="Times New Roman"/>
        </w:rPr>
        <w:t>铁路银川联络线从基地北部地区经过，正线从南部地区通过。宁东基地内已建成大古地方铁路，是宁夏经济发展特别是宁东基地的交通命脉，各工业园区铁路专用线通过大古铁路支线与国铁包兰线和太中银线连通。基地内的公路主要有：青银公路</w:t>
      </w:r>
      <w:r>
        <w:rPr>
          <w:rFonts w:ascii="Times New Roman" w:hAnsi="Times New Roman"/>
        </w:rPr>
        <w:t>(GZ35</w:t>
      </w:r>
      <w:r>
        <w:rPr>
          <w:rFonts w:ascii="Times New Roman" w:hAnsi="Times New Roman"/>
        </w:rPr>
        <w:t>，青岛一银川</w:t>
      </w:r>
      <w:r>
        <w:rPr>
          <w:rFonts w:ascii="Times New Roman" w:hAnsi="Times New Roman"/>
        </w:rPr>
        <w:t>)</w:t>
      </w:r>
      <w:r>
        <w:rPr>
          <w:rFonts w:ascii="Times New Roman" w:hAnsi="Times New Roman"/>
        </w:rPr>
        <w:t>、银古辅道</w:t>
      </w:r>
      <w:r>
        <w:rPr>
          <w:rFonts w:ascii="Times New Roman" w:hAnsi="Times New Roman"/>
        </w:rPr>
        <w:t>(</w:t>
      </w:r>
      <w:r>
        <w:rPr>
          <w:rFonts w:ascii="Times New Roman" w:hAnsi="Times New Roman"/>
        </w:rPr>
        <w:t>横山堡一跑马泉</w:t>
      </w:r>
      <w:r>
        <w:rPr>
          <w:rFonts w:ascii="Times New Roman" w:hAnsi="Times New Roman"/>
        </w:rPr>
        <w:t>)</w:t>
      </w:r>
      <w:r>
        <w:rPr>
          <w:rFonts w:ascii="Times New Roman" w:hAnsi="Times New Roman"/>
        </w:rPr>
        <w:t>、国道</w:t>
      </w:r>
      <w:r>
        <w:rPr>
          <w:rFonts w:ascii="Times New Roman" w:hAnsi="Times New Roman"/>
        </w:rPr>
        <w:t>307</w:t>
      </w:r>
      <w:r>
        <w:rPr>
          <w:rFonts w:ascii="Times New Roman" w:hAnsi="Times New Roman"/>
        </w:rPr>
        <w:t>、国道</w:t>
      </w:r>
      <w:r>
        <w:rPr>
          <w:rFonts w:ascii="Times New Roman" w:hAnsi="Times New Roman"/>
        </w:rPr>
        <w:t>211</w:t>
      </w:r>
      <w:r>
        <w:rPr>
          <w:rFonts w:ascii="Times New Roman" w:hAnsi="Times New Roman"/>
        </w:rPr>
        <w:t>、省道</w:t>
      </w:r>
      <w:r>
        <w:rPr>
          <w:rFonts w:ascii="Times New Roman" w:hAnsi="Times New Roman"/>
        </w:rPr>
        <w:t>302</w:t>
      </w:r>
      <w:r>
        <w:rPr>
          <w:rFonts w:ascii="Times New Roman" w:hAnsi="Times New Roman"/>
        </w:rPr>
        <w:t>、省道</w:t>
      </w:r>
      <w:r>
        <w:rPr>
          <w:rFonts w:ascii="Times New Roman" w:hAnsi="Times New Roman"/>
        </w:rPr>
        <w:t>203</w:t>
      </w:r>
      <w:r>
        <w:rPr>
          <w:rFonts w:ascii="Times New Roman" w:hAnsi="Times New Roman"/>
        </w:rPr>
        <w:t>及羊枣路、冯鸳路、下白路、石马路、狼南路、磁马路、惠安堡至大水坑等专用线</w:t>
      </w:r>
      <w:r>
        <w:rPr>
          <w:rFonts w:ascii="Times New Roman" w:hAnsi="Times New Roman" w:hint="eastAsia"/>
        </w:rPr>
        <w:t>，</w:t>
      </w:r>
      <w:r>
        <w:rPr>
          <w:rFonts w:ascii="Times New Roman" w:hAnsi="Times New Roman"/>
        </w:rPr>
        <w:t>宁东基地内已经建成的铁路专用线有四条，即烯烃专用线，甲醇专用线，煤</w:t>
      </w:r>
      <w:r>
        <w:rPr>
          <w:rFonts w:ascii="Times New Roman" w:hAnsi="Times New Roman"/>
        </w:rPr>
        <w:t xml:space="preserve"> </w:t>
      </w:r>
      <w:r>
        <w:rPr>
          <w:rFonts w:ascii="Times New Roman" w:hAnsi="Times New Roman"/>
        </w:rPr>
        <w:t>制油装车站专用线、上化线</w:t>
      </w:r>
      <w:r>
        <w:rPr>
          <w:rFonts w:ascii="Times New Roman" w:hAnsi="Times New Roman"/>
        </w:rPr>
        <w:t>(</w:t>
      </w:r>
      <w:r>
        <w:rPr>
          <w:rFonts w:ascii="Times New Roman" w:hAnsi="Times New Roman"/>
        </w:rPr>
        <w:t>化工基地站至新上海庙专用线</w:t>
      </w:r>
      <w:r>
        <w:rPr>
          <w:rFonts w:ascii="Times New Roman" w:hAnsi="Times New Roman"/>
        </w:rPr>
        <w:t>)</w:t>
      </w:r>
      <w:r>
        <w:rPr>
          <w:rFonts w:ascii="Times New Roman" w:hAnsi="Times New Roman"/>
        </w:rPr>
        <w:t>，可为各企业服务的铁路站有配煤中心、园区站及长城站</w:t>
      </w:r>
      <w:r>
        <w:rPr>
          <w:rFonts w:ascii="Times New Roman" w:hAnsi="Times New Roman" w:hint="eastAsia"/>
        </w:rPr>
        <w:t>。</w:t>
      </w:r>
    </w:p>
    <w:p w14:paraId="44D2165A" w14:textId="77777777" w:rsidR="009C353B" w:rsidRDefault="00000000">
      <w:pPr>
        <w:pStyle w:val="2"/>
        <w:snapToGrid w:val="0"/>
        <w:spacing w:line="440" w:lineRule="exact"/>
        <w:rPr>
          <w:rFonts w:ascii="Times New Roman" w:eastAsia="宋体" w:hAnsi="Times New Roman"/>
          <w:b/>
          <w:sz w:val="28"/>
        </w:rPr>
      </w:pPr>
      <w:bookmarkStart w:id="108" w:name="_Toc59189831"/>
      <w:bookmarkStart w:id="109" w:name="_Toc168280774"/>
      <w:bookmarkStart w:id="110" w:name="_Toc168281208"/>
      <w:r>
        <w:rPr>
          <w:rFonts w:ascii="Times New Roman" w:eastAsia="宋体" w:hAnsi="Times New Roman"/>
          <w:b/>
          <w:sz w:val="28"/>
        </w:rPr>
        <w:t xml:space="preserve">3.3 </w:t>
      </w:r>
      <w:r>
        <w:rPr>
          <w:rFonts w:ascii="Times New Roman" w:eastAsia="宋体" w:hAnsi="Times New Roman"/>
          <w:b/>
          <w:sz w:val="28"/>
        </w:rPr>
        <w:t>矿区环境质量现状调查与评价</w:t>
      </w:r>
      <w:bookmarkEnd w:id="108"/>
      <w:bookmarkEnd w:id="109"/>
      <w:bookmarkEnd w:id="110"/>
    </w:p>
    <w:p w14:paraId="4AB05090"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本矿区</w:t>
      </w:r>
      <w:r>
        <w:rPr>
          <w:rFonts w:ascii="Times New Roman" w:hint="eastAsia"/>
        </w:rPr>
        <w:t>有三个生产矿井</w:t>
      </w:r>
      <w:r>
        <w:rPr>
          <w:rFonts w:ascii="Times New Roman" w:hint="eastAsia"/>
        </w:rPr>
        <w:t>(</w:t>
      </w:r>
      <w:r>
        <w:rPr>
          <w:rFonts w:ascii="Times New Roman" w:hint="eastAsia"/>
        </w:rPr>
        <w:t>马莲台、红石湾、任家庄矿井</w:t>
      </w:r>
      <w:r>
        <w:rPr>
          <w:rFonts w:ascii="Times New Roman" w:hint="eastAsia"/>
        </w:rPr>
        <w:t>)</w:t>
      </w:r>
      <w:r>
        <w:rPr>
          <w:rFonts w:ascii="Times New Roman" w:hint="eastAsia"/>
        </w:rPr>
        <w:t>，一个在建矿井（丁家梁矿井）。</w:t>
      </w:r>
      <w:r>
        <w:rPr>
          <w:rFonts w:ascii="Times New Roman"/>
        </w:rPr>
        <w:t>为充分了解横城矿区及周边的环境质量现状，本次评价收集该区</w:t>
      </w:r>
      <w:r>
        <w:rPr>
          <w:rFonts w:ascii="Times New Roman" w:hint="eastAsia"/>
        </w:rPr>
        <w:t>环境空气</w:t>
      </w:r>
      <w:r>
        <w:rPr>
          <w:rFonts w:ascii="Times New Roman"/>
        </w:rPr>
        <w:t>质量现状数据</w:t>
      </w:r>
      <w:r>
        <w:rPr>
          <w:rFonts w:ascii="Times New Roman" w:hint="eastAsia"/>
        </w:rPr>
        <w:t>，</w:t>
      </w:r>
      <w:r>
        <w:rPr>
          <w:rFonts w:ascii="Times New Roman"/>
        </w:rPr>
        <w:t>同时</w:t>
      </w:r>
      <w:r>
        <w:rPr>
          <w:rFonts w:ascii="Times New Roman"/>
          <w:lang w:val="zh-CN"/>
        </w:rPr>
        <w:t>委托</w:t>
      </w:r>
      <w:r>
        <w:rPr>
          <w:rFonts w:ascii="Times New Roman" w:hint="eastAsia"/>
          <w:lang w:val="zh-CN"/>
        </w:rPr>
        <w:t>宁夏京诚检测技术有限公司</w:t>
      </w:r>
      <w:r>
        <w:rPr>
          <w:rFonts w:ascii="Times New Roman"/>
          <w:lang w:val="zh-CN"/>
        </w:rPr>
        <w:t>对评价区</w:t>
      </w:r>
      <w:r>
        <w:rPr>
          <w:rFonts w:ascii="Times New Roman" w:hint="eastAsia"/>
          <w:lang w:val="zh-CN"/>
        </w:rPr>
        <w:t>地表水、</w:t>
      </w:r>
      <w:r>
        <w:rPr>
          <w:rFonts w:ascii="Times New Roman"/>
          <w:lang w:val="zh-CN"/>
        </w:rPr>
        <w:t>地下水和</w:t>
      </w:r>
      <w:r>
        <w:rPr>
          <w:rFonts w:ascii="Times New Roman" w:hint="eastAsia"/>
          <w:lang w:val="zh-CN"/>
        </w:rPr>
        <w:t>土壤</w:t>
      </w:r>
      <w:r>
        <w:rPr>
          <w:rFonts w:ascii="Times New Roman"/>
          <w:lang w:val="zh-CN"/>
        </w:rPr>
        <w:t>环境质量进行了补充监测</w:t>
      </w:r>
      <w:r>
        <w:rPr>
          <w:rFonts w:ascii="Times New Roman" w:hint="eastAsia"/>
          <w:lang w:val="zh-CN"/>
        </w:rPr>
        <w:t>，</w:t>
      </w:r>
      <w:r>
        <w:rPr>
          <w:rFonts w:ascii="Times New Roman"/>
          <w:lang w:val="zh-CN"/>
        </w:rPr>
        <w:t>监测时间为</w:t>
      </w:r>
      <w:r>
        <w:rPr>
          <w:rFonts w:ascii="Times New Roman" w:hAnsi="Times New Roman"/>
        </w:rPr>
        <w:t>2020</w:t>
      </w:r>
      <w:r>
        <w:rPr>
          <w:rFonts w:ascii="Times New Roman"/>
          <w:lang w:val="zh-CN"/>
        </w:rPr>
        <w:t>年</w:t>
      </w:r>
      <w:r>
        <w:rPr>
          <w:rFonts w:ascii="Times New Roman" w:hAnsi="Times New Roman"/>
        </w:rPr>
        <w:t>7</w:t>
      </w:r>
      <w:r>
        <w:rPr>
          <w:rFonts w:ascii="Times New Roman"/>
          <w:lang w:val="zh-CN"/>
        </w:rPr>
        <w:t>月</w:t>
      </w:r>
      <w:r>
        <w:rPr>
          <w:rFonts w:ascii="Times New Roman" w:hAnsi="Times New Roman"/>
        </w:rPr>
        <w:t>24</w:t>
      </w:r>
      <w:r>
        <w:rPr>
          <w:rFonts w:ascii="Times New Roman" w:hAnsi="Times New Roman" w:hint="eastAsia"/>
        </w:rPr>
        <w:t>日</w:t>
      </w:r>
      <w:r>
        <w:rPr>
          <w:rFonts w:ascii="Times New Roman"/>
          <w:lang w:val="zh-CN"/>
        </w:rPr>
        <w:t>－</w:t>
      </w:r>
      <w:r>
        <w:rPr>
          <w:rFonts w:ascii="Times New Roman" w:hAnsi="Times New Roman"/>
        </w:rPr>
        <w:t>8</w:t>
      </w:r>
      <w:r>
        <w:rPr>
          <w:rFonts w:ascii="Times New Roman"/>
        </w:rPr>
        <w:t>月</w:t>
      </w:r>
      <w:r>
        <w:rPr>
          <w:rFonts w:ascii="Times New Roman" w:hAnsi="Times New Roman"/>
        </w:rPr>
        <w:t>10</w:t>
      </w:r>
      <w:r>
        <w:rPr>
          <w:rFonts w:ascii="Times New Roman"/>
          <w:lang w:val="zh-CN"/>
        </w:rPr>
        <w:t>日</w:t>
      </w:r>
      <w:r>
        <w:rPr>
          <w:rFonts w:ascii="Times New Roman"/>
        </w:rPr>
        <w:t>。</w:t>
      </w:r>
    </w:p>
    <w:p w14:paraId="690F844B" w14:textId="77777777" w:rsidR="009C353B" w:rsidRDefault="00000000">
      <w:pPr>
        <w:pStyle w:val="3"/>
        <w:adjustRightInd w:val="0"/>
        <w:snapToGrid w:val="0"/>
        <w:spacing w:before="0" w:after="0" w:line="440" w:lineRule="exact"/>
        <w:rPr>
          <w:rFonts w:ascii="Times New Roman" w:hint="eastAsia"/>
          <w:sz w:val="24"/>
        </w:rPr>
      </w:pPr>
      <w:bookmarkStart w:id="111" w:name="_Toc168280775"/>
      <w:r>
        <w:rPr>
          <w:rFonts w:ascii="Times New Roman" w:hAnsi="Times New Roman"/>
          <w:sz w:val="24"/>
        </w:rPr>
        <w:t xml:space="preserve">3.3.1 </w:t>
      </w:r>
      <w:r>
        <w:rPr>
          <w:rFonts w:ascii="Times New Roman"/>
          <w:sz w:val="24"/>
        </w:rPr>
        <w:t>环境</w:t>
      </w:r>
      <w:r>
        <w:rPr>
          <w:rFonts w:ascii="Times New Roman" w:hint="eastAsia"/>
          <w:sz w:val="24"/>
        </w:rPr>
        <w:t>空气</w:t>
      </w:r>
      <w:r>
        <w:rPr>
          <w:rFonts w:ascii="Times New Roman"/>
          <w:sz w:val="24"/>
        </w:rPr>
        <w:t>质量状况</w:t>
      </w:r>
      <w:bookmarkEnd w:id="111"/>
    </w:p>
    <w:p w14:paraId="1353253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根据本次评价收集的宁夏</w:t>
      </w:r>
      <w:r>
        <w:rPr>
          <w:rFonts w:ascii="Times New Roman"/>
        </w:rPr>
        <w:t>生态环境状况公报</w:t>
      </w:r>
      <w:r>
        <w:rPr>
          <w:rFonts w:ascii="Times New Roman" w:hint="eastAsia"/>
        </w:rPr>
        <w:t>，宁东</w:t>
      </w:r>
      <w:r>
        <w:rPr>
          <w:rFonts w:ascii="Times New Roman"/>
        </w:rPr>
        <w:t>2019</w:t>
      </w:r>
      <w:r>
        <w:rPr>
          <w:rFonts w:ascii="Times New Roman"/>
        </w:rPr>
        <w:t>年</w:t>
      </w:r>
      <w:r>
        <w:rPr>
          <w:rFonts w:ascii="Times New Roman"/>
        </w:rPr>
        <w:t>6</w:t>
      </w:r>
      <w:r>
        <w:rPr>
          <w:rFonts w:ascii="Times New Roman" w:hint="eastAsia"/>
        </w:rPr>
        <w:t>项基本指标的监测数据见表</w:t>
      </w:r>
      <w:r>
        <w:rPr>
          <w:rFonts w:ascii="Times New Roman"/>
        </w:rPr>
        <w:t>3.3-1</w:t>
      </w:r>
      <w:r>
        <w:rPr>
          <w:rFonts w:ascii="Times New Roman" w:hint="eastAsia"/>
        </w:rPr>
        <w:t>。</w:t>
      </w:r>
    </w:p>
    <w:p w14:paraId="77C84F87" w14:textId="77777777" w:rsidR="009C353B" w:rsidRDefault="00000000">
      <w:pPr>
        <w:pStyle w:val="afffffc"/>
        <w:adjustRightInd w:val="0"/>
        <w:snapToGrid w:val="0"/>
        <w:spacing w:beforeLines="0" w:before="0" w:line="440" w:lineRule="exact"/>
        <w:rPr>
          <w:rFonts w:hint="eastAsia"/>
        </w:rPr>
      </w:pPr>
      <w:r>
        <w:t>环境空气质量现状监测表</w:t>
      </w:r>
    </w:p>
    <w:p w14:paraId="5A9FDAFD" w14:textId="77777777" w:rsidR="009C353B" w:rsidRDefault="00000000">
      <w:pPr>
        <w:pStyle w:val="affffd"/>
        <w:spacing w:line="440" w:lineRule="exact"/>
        <w:rPr>
          <w:rFonts w:ascii="Times New Roman" w:hAnsi="Times New Roman"/>
        </w:rPr>
      </w:pPr>
      <w:r>
        <w:rPr>
          <w:rFonts w:ascii="Times New Roman" w:hAnsi="Times New Roman"/>
        </w:rPr>
        <w:t>表</w:t>
      </w:r>
      <w:r>
        <w:rPr>
          <w:rFonts w:ascii="Times New Roman" w:hAnsi="Times New Roman"/>
        </w:rPr>
        <w:t xml:space="preserve">3.3-1                                      </w:t>
      </w:r>
      <w:r>
        <w:rPr>
          <w:rFonts w:ascii="Times New Roman" w:hAnsi="Times New Roman" w:hint="eastAsia"/>
        </w:rPr>
        <w:t>单位：</w:t>
      </w:r>
      <w:r>
        <w:rPr>
          <w:rFonts w:ascii="Times New Roman" w:hAnsi="Times New Roman"/>
        </w:rPr>
        <w:t>CO</w:t>
      </w:r>
      <w:r>
        <w:rPr>
          <w:rFonts w:ascii="Times New Roman" w:hAnsi="Times New Roman"/>
        </w:rPr>
        <w:t>为</w:t>
      </w:r>
      <w:r>
        <w:rPr>
          <w:rFonts w:ascii="Times New Roman" w:hAnsi="Times New Roman" w:hint="eastAsia"/>
        </w:rPr>
        <w:t>mg/m</w:t>
      </w:r>
      <w:r>
        <w:rPr>
          <w:rFonts w:ascii="Times New Roman" w:hAnsi="Times New Roman" w:hint="eastAsia"/>
          <w:vertAlign w:val="superscript"/>
        </w:rPr>
        <w:t>3</w:t>
      </w:r>
      <w:r>
        <w:rPr>
          <w:rFonts w:ascii="Times New Roman" w:hAnsi="Times New Roman" w:hint="eastAsia"/>
        </w:rPr>
        <w:t>，其余为</w:t>
      </w:r>
      <w:r>
        <w:rPr>
          <w:rFonts w:ascii="Times New Roman" w:hAnsi="Times New Roman" w:hint="eastAsia"/>
        </w:rPr>
        <w:t>ug</w:t>
      </w:r>
      <w:r>
        <w:rPr>
          <w:rFonts w:ascii="Times New Roman" w:hAnsi="Times New Roman"/>
        </w:rPr>
        <w:t>/</w:t>
      </w:r>
      <w:r>
        <w:rPr>
          <w:rFonts w:ascii="Times New Roman" w:hAnsi="Times New Roman" w:hint="eastAsia"/>
        </w:rPr>
        <w:t>m</w:t>
      </w:r>
      <w:r>
        <w:rPr>
          <w:rFonts w:ascii="Times New Roman" w:hAnsi="Times New Roman" w:hint="eastAsia"/>
          <w:vertAlign w:val="superscript"/>
        </w:rPr>
        <w:t>3</w:t>
      </w:r>
    </w:p>
    <w:tbl>
      <w:tblPr>
        <w:tblStyle w:val="afffb"/>
        <w:tblW w:w="5000" w:type="pct"/>
        <w:tblLook w:val="04A0" w:firstRow="1" w:lastRow="0" w:firstColumn="1" w:lastColumn="0" w:noHBand="0" w:noVBand="1"/>
      </w:tblPr>
      <w:tblGrid>
        <w:gridCol w:w="1004"/>
        <w:gridCol w:w="880"/>
        <w:gridCol w:w="1162"/>
        <w:gridCol w:w="1017"/>
        <w:gridCol w:w="1018"/>
        <w:gridCol w:w="1017"/>
        <w:gridCol w:w="1452"/>
        <w:gridCol w:w="1737"/>
      </w:tblGrid>
      <w:tr w:rsidR="009C353B" w14:paraId="02CC4D1E" w14:textId="77777777">
        <w:trPr>
          <w:trHeight w:val="340"/>
        </w:trPr>
        <w:tc>
          <w:tcPr>
            <w:tcW w:w="1884" w:type="dxa"/>
            <w:gridSpan w:val="2"/>
            <w:vMerge w:val="restart"/>
            <w:tcBorders>
              <w:tl2br w:val="single" w:sz="4" w:space="0" w:color="auto"/>
            </w:tcBorders>
            <w:vAlign w:val="center"/>
          </w:tcPr>
          <w:p w14:paraId="41A0F9F2"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 xml:space="preserve"> </w:t>
            </w:r>
            <w:r>
              <w:rPr>
                <w:rFonts w:ascii="Times New Roman"/>
                <w:sz w:val="21"/>
                <w:szCs w:val="21"/>
              </w:rPr>
              <w:t xml:space="preserve">      </w:t>
            </w:r>
            <w:r>
              <w:rPr>
                <w:rFonts w:ascii="Times New Roman" w:hint="eastAsia"/>
                <w:sz w:val="21"/>
                <w:szCs w:val="21"/>
              </w:rPr>
              <w:t>项目</w:t>
            </w:r>
          </w:p>
          <w:p w14:paraId="57A1912E" w14:textId="77777777" w:rsidR="009C353B" w:rsidRDefault="009C353B">
            <w:pPr>
              <w:adjustRightInd w:val="0"/>
              <w:snapToGrid w:val="0"/>
              <w:spacing w:line="240" w:lineRule="atLeast"/>
              <w:jc w:val="center"/>
              <w:rPr>
                <w:rFonts w:ascii="Times New Roman" w:hint="eastAsia"/>
                <w:sz w:val="21"/>
                <w:szCs w:val="21"/>
              </w:rPr>
            </w:pPr>
          </w:p>
          <w:p w14:paraId="6C4B6A80" w14:textId="77777777" w:rsidR="009C353B" w:rsidRDefault="00000000">
            <w:pPr>
              <w:adjustRightInd w:val="0"/>
              <w:snapToGrid w:val="0"/>
              <w:spacing w:line="240" w:lineRule="atLeast"/>
              <w:rPr>
                <w:rFonts w:ascii="Times New Roman" w:hAnsi="Times New Roman"/>
                <w:sz w:val="21"/>
                <w:szCs w:val="21"/>
              </w:rPr>
            </w:pPr>
            <w:r>
              <w:rPr>
                <w:rFonts w:ascii="Times New Roman"/>
                <w:sz w:val="21"/>
                <w:szCs w:val="21"/>
              </w:rPr>
              <w:t>时间</w:t>
            </w:r>
          </w:p>
        </w:tc>
        <w:tc>
          <w:tcPr>
            <w:tcW w:w="7403" w:type="dxa"/>
            <w:gridSpan w:val="6"/>
            <w:vAlign w:val="center"/>
          </w:tcPr>
          <w:p w14:paraId="244193B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int="eastAsia"/>
                <w:sz w:val="21"/>
                <w:szCs w:val="21"/>
              </w:rPr>
              <w:t>银川市环境空气质量监测站</w:t>
            </w:r>
          </w:p>
        </w:tc>
      </w:tr>
      <w:tr w:rsidR="009C353B" w14:paraId="73D05500" w14:textId="77777777">
        <w:trPr>
          <w:trHeight w:val="340"/>
        </w:trPr>
        <w:tc>
          <w:tcPr>
            <w:tcW w:w="1884" w:type="dxa"/>
            <w:gridSpan w:val="2"/>
            <w:vMerge/>
            <w:vAlign w:val="center"/>
          </w:tcPr>
          <w:p w14:paraId="72B71A83" w14:textId="77777777" w:rsidR="009C353B" w:rsidRDefault="009C353B">
            <w:pPr>
              <w:adjustRightInd w:val="0"/>
              <w:snapToGrid w:val="0"/>
              <w:spacing w:line="240" w:lineRule="atLeast"/>
              <w:jc w:val="center"/>
              <w:rPr>
                <w:rFonts w:ascii="Times New Roman" w:hAnsi="Times New Roman"/>
                <w:sz w:val="21"/>
                <w:szCs w:val="21"/>
              </w:rPr>
            </w:pPr>
          </w:p>
        </w:tc>
        <w:tc>
          <w:tcPr>
            <w:tcW w:w="1162" w:type="dxa"/>
            <w:vAlign w:val="center"/>
          </w:tcPr>
          <w:p w14:paraId="758110A5" w14:textId="77777777" w:rsidR="009C353B" w:rsidRDefault="00000000">
            <w:pPr>
              <w:adjustRightInd w:val="0"/>
              <w:snapToGrid w:val="0"/>
              <w:spacing w:line="240" w:lineRule="atLeast"/>
              <w:jc w:val="center"/>
              <w:rPr>
                <w:rFonts w:ascii="Times New Roman" w:hAnsi="Times New Roman"/>
                <w:sz w:val="21"/>
                <w:szCs w:val="21"/>
                <w:vertAlign w:val="subscript"/>
              </w:rPr>
            </w:pPr>
            <w:r>
              <w:rPr>
                <w:rFonts w:ascii="Times New Roman" w:hAnsi="Times New Roman"/>
                <w:sz w:val="21"/>
                <w:szCs w:val="21"/>
              </w:rPr>
              <w:t>PM</w:t>
            </w:r>
            <w:r>
              <w:rPr>
                <w:rFonts w:ascii="Times New Roman" w:hAnsi="Times New Roman"/>
                <w:sz w:val="21"/>
                <w:szCs w:val="21"/>
                <w:vertAlign w:val="subscript"/>
              </w:rPr>
              <w:t>10</w:t>
            </w:r>
          </w:p>
          <w:p w14:paraId="736880D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年平均</w:t>
            </w:r>
          </w:p>
        </w:tc>
        <w:tc>
          <w:tcPr>
            <w:tcW w:w="1017" w:type="dxa"/>
            <w:vAlign w:val="center"/>
          </w:tcPr>
          <w:p w14:paraId="0B240F3A" w14:textId="77777777" w:rsidR="009C353B" w:rsidRDefault="00000000">
            <w:pPr>
              <w:adjustRightInd w:val="0"/>
              <w:snapToGrid w:val="0"/>
              <w:spacing w:line="240" w:lineRule="atLeast"/>
              <w:jc w:val="center"/>
              <w:rPr>
                <w:rFonts w:ascii="Times New Roman" w:hAnsi="Times New Roman"/>
                <w:sz w:val="21"/>
                <w:szCs w:val="21"/>
                <w:vertAlign w:val="subscript"/>
              </w:rPr>
            </w:pPr>
            <w:r>
              <w:rPr>
                <w:rFonts w:ascii="Times New Roman" w:hAnsi="Times New Roman"/>
                <w:sz w:val="21"/>
                <w:szCs w:val="21"/>
              </w:rPr>
              <w:t>PM</w:t>
            </w:r>
            <w:r>
              <w:rPr>
                <w:rFonts w:ascii="Times New Roman" w:hAnsi="Times New Roman"/>
                <w:sz w:val="21"/>
                <w:szCs w:val="21"/>
                <w:vertAlign w:val="subscript"/>
              </w:rPr>
              <w:t>2.5</w:t>
            </w:r>
          </w:p>
          <w:p w14:paraId="0168EA6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年平均</w:t>
            </w:r>
          </w:p>
        </w:tc>
        <w:tc>
          <w:tcPr>
            <w:tcW w:w="1018" w:type="dxa"/>
            <w:vAlign w:val="center"/>
          </w:tcPr>
          <w:p w14:paraId="30F646F1" w14:textId="77777777" w:rsidR="009C353B" w:rsidRDefault="00000000">
            <w:pPr>
              <w:adjustRightInd w:val="0"/>
              <w:snapToGrid w:val="0"/>
              <w:spacing w:line="240" w:lineRule="atLeast"/>
              <w:jc w:val="center"/>
              <w:rPr>
                <w:rFonts w:ascii="Times New Roman" w:hAnsi="Times New Roman"/>
                <w:sz w:val="21"/>
                <w:szCs w:val="21"/>
                <w:vertAlign w:val="subscript"/>
              </w:rPr>
            </w:pPr>
            <w:r>
              <w:rPr>
                <w:rFonts w:ascii="Times New Roman" w:hAnsi="Times New Roman"/>
                <w:sz w:val="21"/>
                <w:szCs w:val="21"/>
              </w:rPr>
              <w:t>SO</w:t>
            </w:r>
            <w:r>
              <w:rPr>
                <w:rFonts w:ascii="Times New Roman" w:hAnsi="Times New Roman"/>
                <w:sz w:val="21"/>
                <w:szCs w:val="21"/>
                <w:vertAlign w:val="subscript"/>
              </w:rPr>
              <w:t>2</w:t>
            </w:r>
          </w:p>
          <w:p w14:paraId="730C623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年平均</w:t>
            </w:r>
          </w:p>
        </w:tc>
        <w:tc>
          <w:tcPr>
            <w:tcW w:w="1017" w:type="dxa"/>
            <w:vAlign w:val="center"/>
          </w:tcPr>
          <w:p w14:paraId="3D21CFEF" w14:textId="77777777" w:rsidR="009C353B" w:rsidRDefault="00000000">
            <w:pPr>
              <w:adjustRightInd w:val="0"/>
              <w:snapToGrid w:val="0"/>
              <w:spacing w:line="240" w:lineRule="atLeast"/>
              <w:jc w:val="center"/>
              <w:rPr>
                <w:rFonts w:ascii="Times New Roman" w:hAnsi="Times New Roman"/>
                <w:sz w:val="21"/>
                <w:szCs w:val="21"/>
                <w:vertAlign w:val="subscript"/>
              </w:rPr>
            </w:pPr>
            <w:r>
              <w:rPr>
                <w:rFonts w:ascii="Times New Roman" w:hAnsi="Times New Roman"/>
                <w:sz w:val="21"/>
                <w:szCs w:val="21"/>
              </w:rPr>
              <w:t>NO</w:t>
            </w:r>
            <w:r>
              <w:rPr>
                <w:rFonts w:ascii="Times New Roman" w:hAnsi="Times New Roman"/>
                <w:sz w:val="21"/>
                <w:szCs w:val="21"/>
                <w:vertAlign w:val="subscript"/>
              </w:rPr>
              <w:t>2</w:t>
            </w:r>
          </w:p>
          <w:p w14:paraId="5532D92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年平均</w:t>
            </w:r>
          </w:p>
        </w:tc>
        <w:tc>
          <w:tcPr>
            <w:tcW w:w="1452" w:type="dxa"/>
            <w:vAlign w:val="center"/>
          </w:tcPr>
          <w:p w14:paraId="1AC21C3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CO</w:t>
            </w:r>
          </w:p>
          <w:p w14:paraId="23C047E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24</w:t>
            </w:r>
            <w:r>
              <w:rPr>
                <w:rFonts w:ascii="Times New Roman" w:hAnsi="Times New Roman"/>
                <w:sz w:val="21"/>
                <w:szCs w:val="21"/>
              </w:rPr>
              <w:t>小时平均</w:t>
            </w:r>
          </w:p>
        </w:tc>
        <w:tc>
          <w:tcPr>
            <w:tcW w:w="1737" w:type="dxa"/>
            <w:vAlign w:val="center"/>
          </w:tcPr>
          <w:p w14:paraId="229393C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O</w:t>
            </w:r>
            <w:r>
              <w:rPr>
                <w:rFonts w:ascii="Times New Roman" w:hAnsi="Times New Roman"/>
                <w:sz w:val="21"/>
                <w:szCs w:val="21"/>
                <w:vertAlign w:val="subscript"/>
              </w:rPr>
              <w:t>3</w:t>
            </w:r>
          </w:p>
          <w:p w14:paraId="1298325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最大</w:t>
            </w:r>
            <w:r>
              <w:rPr>
                <w:rFonts w:ascii="Times New Roman" w:hAnsi="Times New Roman"/>
                <w:sz w:val="21"/>
                <w:szCs w:val="21"/>
              </w:rPr>
              <w:t>8</w:t>
            </w:r>
            <w:r>
              <w:rPr>
                <w:rFonts w:ascii="Times New Roman" w:hAnsi="Times New Roman"/>
                <w:sz w:val="21"/>
                <w:szCs w:val="21"/>
              </w:rPr>
              <w:t>小时平均</w:t>
            </w:r>
          </w:p>
        </w:tc>
      </w:tr>
      <w:tr w:rsidR="009C353B" w14:paraId="201B593A" w14:textId="77777777">
        <w:trPr>
          <w:trHeight w:val="340"/>
        </w:trPr>
        <w:tc>
          <w:tcPr>
            <w:tcW w:w="1884" w:type="dxa"/>
            <w:gridSpan w:val="2"/>
            <w:vAlign w:val="center"/>
          </w:tcPr>
          <w:p w14:paraId="1A59C49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2019</w:t>
            </w:r>
            <w:r>
              <w:rPr>
                <w:rFonts w:ascii="Times New Roman" w:hAnsi="Times New Roman" w:hint="eastAsia"/>
                <w:sz w:val="21"/>
                <w:szCs w:val="21"/>
              </w:rPr>
              <w:t>年</w:t>
            </w:r>
          </w:p>
        </w:tc>
        <w:tc>
          <w:tcPr>
            <w:tcW w:w="1162" w:type="dxa"/>
            <w:vAlign w:val="center"/>
          </w:tcPr>
          <w:p w14:paraId="00D74B0B" w14:textId="77777777" w:rsidR="009C353B" w:rsidRDefault="00000000">
            <w:pPr>
              <w:adjustRightInd w:val="0"/>
              <w:snapToGrid w:val="0"/>
              <w:spacing w:line="240" w:lineRule="atLeast"/>
              <w:jc w:val="center"/>
              <w:rPr>
                <w:rFonts w:ascii="Times New Roman" w:hAnsi="Times New Roman"/>
                <w:b/>
                <w:sz w:val="21"/>
                <w:szCs w:val="21"/>
              </w:rPr>
            </w:pPr>
            <w:r>
              <w:rPr>
                <w:rFonts w:ascii="Times New Roman" w:hAnsi="Times New Roman"/>
                <w:b/>
                <w:sz w:val="21"/>
                <w:szCs w:val="21"/>
              </w:rPr>
              <w:t>83</w:t>
            </w:r>
          </w:p>
        </w:tc>
        <w:tc>
          <w:tcPr>
            <w:tcW w:w="1017" w:type="dxa"/>
            <w:vAlign w:val="center"/>
          </w:tcPr>
          <w:p w14:paraId="5E66A05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29</w:t>
            </w:r>
          </w:p>
        </w:tc>
        <w:tc>
          <w:tcPr>
            <w:tcW w:w="1018" w:type="dxa"/>
            <w:vAlign w:val="center"/>
          </w:tcPr>
          <w:p w14:paraId="2221FE0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23</w:t>
            </w:r>
          </w:p>
        </w:tc>
        <w:tc>
          <w:tcPr>
            <w:tcW w:w="1017" w:type="dxa"/>
            <w:vAlign w:val="center"/>
          </w:tcPr>
          <w:p w14:paraId="0D1C12D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27</w:t>
            </w:r>
          </w:p>
        </w:tc>
        <w:tc>
          <w:tcPr>
            <w:tcW w:w="1452" w:type="dxa"/>
            <w:vAlign w:val="center"/>
          </w:tcPr>
          <w:p w14:paraId="090C6F7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1.1</w:t>
            </w:r>
          </w:p>
        </w:tc>
        <w:tc>
          <w:tcPr>
            <w:tcW w:w="1737" w:type="dxa"/>
            <w:vAlign w:val="center"/>
          </w:tcPr>
          <w:p w14:paraId="3D1D178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147</w:t>
            </w:r>
          </w:p>
        </w:tc>
      </w:tr>
      <w:tr w:rsidR="009C353B" w14:paraId="02D64ECC" w14:textId="77777777">
        <w:trPr>
          <w:trHeight w:val="340"/>
        </w:trPr>
        <w:tc>
          <w:tcPr>
            <w:tcW w:w="1004" w:type="dxa"/>
            <w:vMerge w:val="restart"/>
            <w:vAlign w:val="center"/>
          </w:tcPr>
          <w:p w14:paraId="543AC3B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二级</w:t>
            </w:r>
          </w:p>
          <w:p w14:paraId="6D73EFF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标准</w:t>
            </w:r>
          </w:p>
        </w:tc>
        <w:tc>
          <w:tcPr>
            <w:tcW w:w="880" w:type="dxa"/>
            <w:vAlign w:val="center"/>
          </w:tcPr>
          <w:p w14:paraId="13C8D8E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年平均</w:t>
            </w:r>
          </w:p>
        </w:tc>
        <w:tc>
          <w:tcPr>
            <w:tcW w:w="1162" w:type="dxa"/>
            <w:vAlign w:val="center"/>
          </w:tcPr>
          <w:p w14:paraId="1B36D6F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70</w:t>
            </w:r>
          </w:p>
        </w:tc>
        <w:tc>
          <w:tcPr>
            <w:tcW w:w="1017" w:type="dxa"/>
            <w:vAlign w:val="center"/>
          </w:tcPr>
          <w:p w14:paraId="21E2680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35</w:t>
            </w:r>
          </w:p>
        </w:tc>
        <w:tc>
          <w:tcPr>
            <w:tcW w:w="1018" w:type="dxa"/>
            <w:vAlign w:val="center"/>
          </w:tcPr>
          <w:p w14:paraId="05BE80C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60</w:t>
            </w:r>
          </w:p>
        </w:tc>
        <w:tc>
          <w:tcPr>
            <w:tcW w:w="1017" w:type="dxa"/>
            <w:vAlign w:val="center"/>
          </w:tcPr>
          <w:p w14:paraId="785F4C2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40</w:t>
            </w:r>
          </w:p>
        </w:tc>
        <w:tc>
          <w:tcPr>
            <w:tcW w:w="1452" w:type="dxa"/>
            <w:vAlign w:val="center"/>
          </w:tcPr>
          <w:p w14:paraId="7AF84EC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c>
          <w:tcPr>
            <w:tcW w:w="1737" w:type="dxa"/>
            <w:vAlign w:val="center"/>
          </w:tcPr>
          <w:p w14:paraId="22F3ECF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r>
      <w:tr w:rsidR="009C353B" w14:paraId="13DF4DED" w14:textId="77777777">
        <w:trPr>
          <w:trHeight w:val="340"/>
        </w:trPr>
        <w:tc>
          <w:tcPr>
            <w:tcW w:w="1004" w:type="dxa"/>
            <w:vMerge/>
            <w:vAlign w:val="center"/>
          </w:tcPr>
          <w:p w14:paraId="729988C6" w14:textId="77777777" w:rsidR="009C353B" w:rsidRDefault="009C353B">
            <w:pPr>
              <w:adjustRightInd w:val="0"/>
              <w:snapToGrid w:val="0"/>
              <w:spacing w:line="240" w:lineRule="atLeast"/>
              <w:jc w:val="center"/>
              <w:rPr>
                <w:rFonts w:ascii="Times New Roman" w:hAnsi="Times New Roman"/>
                <w:sz w:val="21"/>
                <w:szCs w:val="21"/>
              </w:rPr>
            </w:pPr>
          </w:p>
        </w:tc>
        <w:tc>
          <w:tcPr>
            <w:tcW w:w="880" w:type="dxa"/>
            <w:vAlign w:val="center"/>
          </w:tcPr>
          <w:p w14:paraId="07211BA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日平均</w:t>
            </w:r>
          </w:p>
        </w:tc>
        <w:tc>
          <w:tcPr>
            <w:tcW w:w="1162" w:type="dxa"/>
            <w:vAlign w:val="center"/>
          </w:tcPr>
          <w:p w14:paraId="1C2DB81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c>
          <w:tcPr>
            <w:tcW w:w="1017" w:type="dxa"/>
            <w:vAlign w:val="center"/>
          </w:tcPr>
          <w:p w14:paraId="20FC4AE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c>
          <w:tcPr>
            <w:tcW w:w="1018" w:type="dxa"/>
            <w:vAlign w:val="center"/>
          </w:tcPr>
          <w:p w14:paraId="09D380F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c>
          <w:tcPr>
            <w:tcW w:w="1017" w:type="dxa"/>
            <w:vAlign w:val="center"/>
          </w:tcPr>
          <w:p w14:paraId="1207BB9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c>
          <w:tcPr>
            <w:tcW w:w="1452" w:type="dxa"/>
            <w:vAlign w:val="center"/>
          </w:tcPr>
          <w:p w14:paraId="4DB4F96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w:t>
            </w:r>
          </w:p>
        </w:tc>
        <w:tc>
          <w:tcPr>
            <w:tcW w:w="1737" w:type="dxa"/>
            <w:vAlign w:val="center"/>
          </w:tcPr>
          <w:p w14:paraId="32D0EB4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160</w:t>
            </w:r>
          </w:p>
        </w:tc>
      </w:tr>
    </w:tbl>
    <w:p w14:paraId="78BD40FB" w14:textId="77777777" w:rsidR="009C353B" w:rsidRDefault="009C353B">
      <w:pPr>
        <w:adjustRightInd w:val="0"/>
        <w:snapToGrid w:val="0"/>
        <w:spacing w:line="440" w:lineRule="exact"/>
        <w:ind w:firstLineChars="200" w:firstLine="480"/>
        <w:rPr>
          <w:rFonts w:ascii="Times New Roman" w:hint="eastAsia"/>
        </w:rPr>
      </w:pPr>
    </w:p>
    <w:p w14:paraId="0F72CCC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以上监测结果表明，</w:t>
      </w:r>
      <w:r>
        <w:rPr>
          <w:rFonts w:ascii="Times New Roman"/>
        </w:rPr>
        <w:t>SO</w:t>
      </w:r>
      <w:r>
        <w:rPr>
          <w:rFonts w:ascii="Times New Roman"/>
          <w:vertAlign w:val="subscript"/>
        </w:rPr>
        <w:t>2</w:t>
      </w:r>
      <w:r>
        <w:rPr>
          <w:rFonts w:ascii="Times New Roman"/>
        </w:rPr>
        <w:t>、</w:t>
      </w:r>
      <w:r>
        <w:rPr>
          <w:rFonts w:ascii="Times New Roman"/>
        </w:rPr>
        <w:t>NO</w:t>
      </w:r>
      <w:r>
        <w:rPr>
          <w:rFonts w:ascii="Times New Roman"/>
          <w:vertAlign w:val="subscript"/>
        </w:rPr>
        <w:t>2</w:t>
      </w:r>
      <w:r>
        <w:rPr>
          <w:rFonts w:ascii="Times New Roman"/>
        </w:rPr>
        <w:t>、</w:t>
      </w:r>
      <w:r>
        <w:rPr>
          <w:rFonts w:ascii="Times New Roman"/>
        </w:rPr>
        <w:t>PM</w:t>
      </w:r>
      <w:r>
        <w:rPr>
          <w:rFonts w:ascii="Times New Roman"/>
          <w:vertAlign w:val="subscript"/>
        </w:rPr>
        <w:t>2.5</w:t>
      </w:r>
      <w:r>
        <w:rPr>
          <w:rFonts w:ascii="Times New Roman" w:hint="eastAsia"/>
        </w:rPr>
        <w:t>、</w:t>
      </w:r>
      <w:r>
        <w:rPr>
          <w:rFonts w:ascii="Times New Roman"/>
        </w:rPr>
        <w:t>CO</w:t>
      </w:r>
      <w:r>
        <w:rPr>
          <w:rFonts w:ascii="Times New Roman" w:hint="eastAsia"/>
        </w:rPr>
        <w:t>、</w:t>
      </w:r>
      <w:r>
        <w:rPr>
          <w:rFonts w:ascii="Times New Roman"/>
        </w:rPr>
        <w:t>O</w:t>
      </w:r>
      <w:r>
        <w:rPr>
          <w:rFonts w:ascii="Times New Roman"/>
          <w:vertAlign w:val="subscript"/>
        </w:rPr>
        <w:t>3</w:t>
      </w:r>
      <w:r>
        <w:rPr>
          <w:rFonts w:ascii="Times New Roman"/>
        </w:rPr>
        <w:t>平均浓度均优于《环境空气质量标准》（</w:t>
      </w:r>
      <w:r>
        <w:rPr>
          <w:rFonts w:ascii="Times New Roman"/>
        </w:rPr>
        <w:t>GB3095-2012</w:t>
      </w:r>
      <w:r>
        <w:rPr>
          <w:rFonts w:ascii="Times New Roman"/>
        </w:rPr>
        <w:t>）中二级标准限值</w:t>
      </w:r>
      <w:r>
        <w:rPr>
          <w:rFonts w:ascii="Times New Roman" w:hint="eastAsia"/>
        </w:rPr>
        <w:t>，</w:t>
      </w:r>
      <w:r>
        <w:rPr>
          <w:rFonts w:ascii="Times New Roman"/>
        </w:rPr>
        <w:t>PM</w:t>
      </w:r>
      <w:r>
        <w:rPr>
          <w:rFonts w:ascii="Times New Roman"/>
          <w:vertAlign w:val="subscript"/>
        </w:rPr>
        <w:t>10</w:t>
      </w:r>
      <w:r>
        <w:rPr>
          <w:rFonts w:ascii="Times New Roman" w:hint="eastAsia"/>
        </w:rPr>
        <w:t>平均</w:t>
      </w:r>
      <w:r>
        <w:rPr>
          <w:rFonts w:ascii="Times New Roman"/>
        </w:rPr>
        <w:t>浓度超标</w:t>
      </w:r>
      <w:r>
        <w:rPr>
          <w:rFonts w:ascii="Times New Roman" w:hint="eastAsia"/>
        </w:rPr>
        <w:t>，</w:t>
      </w:r>
      <w:r>
        <w:rPr>
          <w:rFonts w:ascii="Times New Roman"/>
        </w:rPr>
        <w:t>超标倍数为</w:t>
      </w:r>
      <w:r>
        <w:rPr>
          <w:rFonts w:ascii="Times New Roman" w:hint="eastAsia"/>
        </w:rPr>
        <w:t>0.18</w:t>
      </w:r>
      <w:r>
        <w:rPr>
          <w:rFonts w:ascii="Times New Roman" w:hint="eastAsia"/>
        </w:rPr>
        <w:t>。</w:t>
      </w:r>
    </w:p>
    <w:p w14:paraId="4225CD6C" w14:textId="77777777" w:rsidR="009C353B" w:rsidRDefault="00000000">
      <w:pPr>
        <w:pStyle w:val="3"/>
        <w:adjustRightInd w:val="0"/>
        <w:snapToGrid w:val="0"/>
        <w:spacing w:before="0" w:after="0" w:line="440" w:lineRule="exact"/>
        <w:rPr>
          <w:rFonts w:ascii="Times New Roman" w:hint="eastAsia"/>
          <w:sz w:val="24"/>
        </w:rPr>
      </w:pPr>
      <w:bookmarkStart w:id="112" w:name="_Toc168280776"/>
      <w:r>
        <w:rPr>
          <w:rFonts w:ascii="Times New Roman" w:hAnsi="Times New Roman"/>
          <w:sz w:val="24"/>
        </w:rPr>
        <w:t xml:space="preserve">3.3.2 </w:t>
      </w:r>
      <w:r>
        <w:rPr>
          <w:rFonts w:ascii="Times New Roman"/>
          <w:sz w:val="24"/>
        </w:rPr>
        <w:t>水环境质量状况</w:t>
      </w:r>
      <w:bookmarkEnd w:id="112"/>
    </w:p>
    <w:p w14:paraId="3F4682C0"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 xml:space="preserve">3.3.2.1 </w:t>
      </w:r>
      <w:r>
        <w:rPr>
          <w:rFonts w:ascii="Times New Roman" w:eastAsia="宋体" w:hAnsi="Times New Roman" w:hint="eastAsia"/>
          <w:sz w:val="24"/>
        </w:rPr>
        <w:t>地表水环境质量现状</w:t>
      </w:r>
    </w:p>
    <w:p w14:paraId="0F12C36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本次环评地表水环境质量现状监测布设</w:t>
      </w:r>
      <w:r>
        <w:rPr>
          <w:rFonts w:ascii="Times New Roman"/>
        </w:rPr>
        <w:t>5</w:t>
      </w:r>
      <w:r>
        <w:rPr>
          <w:rFonts w:ascii="Times New Roman" w:hint="eastAsia"/>
        </w:rPr>
        <w:t>个断面，分别对水洞沟、边沟水环境质量现状进行评价。另外，根据宁东环保局提供的宁东基地国控地表水断面鸭子荡水库</w:t>
      </w:r>
      <w:r>
        <w:rPr>
          <w:rFonts w:ascii="Times New Roman" w:hint="eastAsia"/>
        </w:rPr>
        <w:t>2020</w:t>
      </w:r>
      <w:r>
        <w:rPr>
          <w:rFonts w:ascii="Times New Roman" w:hint="eastAsia"/>
        </w:rPr>
        <w:t>年</w:t>
      </w:r>
      <w:r>
        <w:rPr>
          <w:rFonts w:ascii="Times New Roman" w:hint="eastAsia"/>
        </w:rPr>
        <w:t>1</w:t>
      </w:r>
      <w:r>
        <w:rPr>
          <w:rFonts w:ascii="Times New Roman" w:hint="eastAsia"/>
        </w:rPr>
        <w:t>月</w:t>
      </w:r>
      <w:r>
        <w:rPr>
          <w:rFonts w:ascii="Times New Roman" w:hint="eastAsia"/>
        </w:rPr>
        <w:t>~4</w:t>
      </w:r>
      <w:r>
        <w:rPr>
          <w:rFonts w:ascii="Times New Roman" w:hint="eastAsia"/>
        </w:rPr>
        <w:t>月采测数据，来说明鸭子荡水水环境质量现状，详见表</w:t>
      </w:r>
      <w:r>
        <w:rPr>
          <w:rFonts w:ascii="Times New Roman" w:hint="eastAsia"/>
        </w:rPr>
        <w:t>3.</w:t>
      </w:r>
      <w:r>
        <w:rPr>
          <w:rFonts w:ascii="Times New Roman" w:hAnsi="Times New Roman"/>
        </w:rPr>
        <w:t>3-</w:t>
      </w:r>
      <w:r>
        <w:rPr>
          <w:rFonts w:ascii="Times New Roman" w:hAnsi="Times New Roman" w:hint="eastAsia"/>
        </w:rPr>
        <w:t>2</w:t>
      </w:r>
      <w:r>
        <w:rPr>
          <w:rFonts w:ascii="Times New Roman" w:hint="eastAsia"/>
        </w:rPr>
        <w:t>和地表水监测布点</w:t>
      </w:r>
      <w:r>
        <w:rPr>
          <w:rFonts w:ascii="Times New Roman"/>
        </w:rPr>
        <w:t>图</w:t>
      </w:r>
      <w:r>
        <w:rPr>
          <w:rFonts w:ascii="Times New Roman" w:hAnsi="Times New Roman"/>
        </w:rPr>
        <w:t>3.3-1</w:t>
      </w:r>
      <w:r>
        <w:rPr>
          <w:rFonts w:ascii="Times New Roman"/>
        </w:rPr>
        <w:t>。</w:t>
      </w:r>
    </w:p>
    <w:p w14:paraId="5DDF6DCE" w14:textId="77777777" w:rsidR="009C353B" w:rsidRDefault="009C353B">
      <w:pPr>
        <w:adjustRightInd w:val="0"/>
        <w:snapToGrid w:val="0"/>
        <w:spacing w:line="440" w:lineRule="exact"/>
        <w:ind w:firstLineChars="200" w:firstLine="480"/>
        <w:rPr>
          <w:rFonts w:ascii="Times New Roman" w:hint="eastAsia"/>
        </w:rPr>
      </w:pPr>
    </w:p>
    <w:p w14:paraId="5F846FCB" w14:textId="77777777" w:rsidR="009C353B" w:rsidRDefault="009C353B">
      <w:pPr>
        <w:adjustRightInd w:val="0"/>
        <w:snapToGrid w:val="0"/>
        <w:spacing w:line="440" w:lineRule="exact"/>
        <w:ind w:firstLineChars="200" w:firstLine="480"/>
        <w:rPr>
          <w:rFonts w:ascii="Times New Roman" w:hint="eastAsia"/>
        </w:rPr>
      </w:pPr>
    </w:p>
    <w:p w14:paraId="76C1B787" w14:textId="77777777" w:rsidR="009C353B" w:rsidRDefault="009C353B">
      <w:pPr>
        <w:adjustRightInd w:val="0"/>
        <w:snapToGrid w:val="0"/>
        <w:spacing w:line="440" w:lineRule="exact"/>
        <w:ind w:firstLineChars="200" w:firstLine="480"/>
        <w:rPr>
          <w:rFonts w:ascii="Times New Roman" w:hint="eastAsia"/>
        </w:rPr>
      </w:pPr>
    </w:p>
    <w:p w14:paraId="00AAAEC2" w14:textId="77777777" w:rsidR="009C353B" w:rsidRDefault="009C353B">
      <w:pPr>
        <w:adjustRightInd w:val="0"/>
        <w:snapToGrid w:val="0"/>
        <w:spacing w:line="440" w:lineRule="exact"/>
        <w:ind w:firstLineChars="200" w:firstLine="480"/>
        <w:rPr>
          <w:rFonts w:ascii="Times New Roman" w:hint="eastAsia"/>
        </w:rPr>
      </w:pPr>
    </w:p>
    <w:p w14:paraId="2EFEED91" w14:textId="77777777" w:rsidR="009C353B" w:rsidRDefault="009C353B">
      <w:pPr>
        <w:adjustRightInd w:val="0"/>
        <w:snapToGrid w:val="0"/>
        <w:spacing w:line="440" w:lineRule="exact"/>
        <w:ind w:firstLineChars="200" w:firstLine="480"/>
        <w:rPr>
          <w:rFonts w:ascii="Times New Roman" w:hint="eastAsia"/>
        </w:rPr>
      </w:pPr>
    </w:p>
    <w:p w14:paraId="04ECAA26" w14:textId="77777777" w:rsidR="009C353B" w:rsidRDefault="009C353B">
      <w:pPr>
        <w:adjustRightInd w:val="0"/>
        <w:snapToGrid w:val="0"/>
        <w:spacing w:line="440" w:lineRule="exact"/>
        <w:ind w:firstLineChars="200" w:firstLine="480"/>
        <w:rPr>
          <w:rFonts w:ascii="Times New Roman" w:hint="eastAsia"/>
        </w:rPr>
      </w:pPr>
    </w:p>
    <w:p w14:paraId="064823F3" w14:textId="77777777" w:rsidR="009C353B" w:rsidRDefault="009C353B">
      <w:pPr>
        <w:adjustRightInd w:val="0"/>
        <w:snapToGrid w:val="0"/>
        <w:spacing w:line="440" w:lineRule="exact"/>
        <w:ind w:firstLineChars="200" w:firstLine="480"/>
        <w:rPr>
          <w:rFonts w:ascii="Times New Roman" w:hint="eastAsia"/>
        </w:rPr>
      </w:pPr>
    </w:p>
    <w:p w14:paraId="1897DC96" w14:textId="77777777" w:rsidR="009C353B" w:rsidRDefault="009C353B">
      <w:pPr>
        <w:adjustRightInd w:val="0"/>
        <w:snapToGrid w:val="0"/>
        <w:spacing w:line="440" w:lineRule="exact"/>
        <w:ind w:firstLineChars="200" w:firstLine="480"/>
        <w:rPr>
          <w:rFonts w:ascii="Times New Roman" w:hint="eastAsia"/>
        </w:rPr>
      </w:pPr>
    </w:p>
    <w:p w14:paraId="14F62446" w14:textId="77777777" w:rsidR="009C353B" w:rsidRDefault="009C353B">
      <w:pPr>
        <w:adjustRightInd w:val="0"/>
        <w:snapToGrid w:val="0"/>
        <w:spacing w:line="440" w:lineRule="exact"/>
        <w:ind w:firstLineChars="200" w:firstLine="480"/>
        <w:rPr>
          <w:rFonts w:ascii="Times New Roman" w:hint="eastAsia"/>
        </w:rPr>
      </w:pPr>
    </w:p>
    <w:p w14:paraId="41DA4EFC" w14:textId="77777777" w:rsidR="009C353B" w:rsidRDefault="00000000">
      <w:pPr>
        <w:pStyle w:val="affffff0"/>
        <w:adjustRightInd w:val="0"/>
        <w:spacing w:line="440" w:lineRule="exact"/>
        <w:jc w:val="center"/>
        <w:rPr>
          <w:rFonts w:ascii="Times New Roman" w:hAnsi="Times New Roman"/>
        </w:rPr>
      </w:pPr>
      <w:r>
        <w:rPr>
          <w:rFonts w:ascii="Times New Roman" w:hAnsi="Times New Roman"/>
        </w:rPr>
        <w:t>地表水环境现状监测情况一览表</w:t>
      </w:r>
    </w:p>
    <w:p w14:paraId="6F14E88E" w14:textId="77777777" w:rsidR="009C353B" w:rsidRDefault="00000000">
      <w:pPr>
        <w:pStyle w:val="affffd"/>
        <w:spacing w:line="440" w:lineRule="exact"/>
        <w:rPr>
          <w:rFonts w:ascii="Times New Roman" w:hAnsi="Times New Roman"/>
        </w:rPr>
      </w:pPr>
      <w:r>
        <w:rPr>
          <w:rFonts w:ascii="Times New Roman"/>
        </w:rPr>
        <w:t>表</w:t>
      </w:r>
      <w:r>
        <w:rPr>
          <w:rFonts w:ascii="Times New Roman" w:hAnsi="Times New Roman"/>
        </w:rPr>
        <w:t>3.3-</w:t>
      </w:r>
      <w:r>
        <w:rPr>
          <w:rFonts w:ascii="Times New Roman" w:hAnsi="Times New Roman" w:hint="eastAsia"/>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4A0" w:firstRow="1" w:lastRow="0" w:firstColumn="1" w:lastColumn="0" w:noHBand="0" w:noVBand="1"/>
      </w:tblPr>
      <w:tblGrid>
        <w:gridCol w:w="881"/>
        <w:gridCol w:w="2230"/>
        <w:gridCol w:w="1834"/>
        <w:gridCol w:w="2799"/>
        <w:gridCol w:w="1441"/>
      </w:tblGrid>
      <w:tr w:rsidR="009C353B" w14:paraId="0C0AE80D" w14:textId="77777777">
        <w:trPr>
          <w:cantSplit/>
          <w:trHeight w:val="340"/>
          <w:tblHeader/>
          <w:jc w:val="center"/>
        </w:trPr>
        <w:tc>
          <w:tcPr>
            <w:tcW w:w="881" w:type="dxa"/>
            <w:vAlign w:val="center"/>
          </w:tcPr>
          <w:p w14:paraId="102A915D" w14:textId="77777777" w:rsidR="009C353B" w:rsidRDefault="00000000">
            <w:pPr>
              <w:widowControl/>
              <w:topLinePunct/>
              <w:jc w:val="center"/>
              <w:rPr>
                <w:rFonts w:ascii="Times New Roman" w:hAnsi="Times New Roman"/>
                <w:sz w:val="21"/>
                <w:szCs w:val="18"/>
              </w:rPr>
            </w:pPr>
            <w:r>
              <w:rPr>
                <w:rFonts w:ascii="Times New Roman" w:hAnsi="Times New Roman" w:hint="eastAsia"/>
                <w:sz w:val="21"/>
                <w:szCs w:val="18"/>
              </w:rPr>
              <w:t>编号</w:t>
            </w:r>
          </w:p>
        </w:tc>
        <w:tc>
          <w:tcPr>
            <w:tcW w:w="2230" w:type="dxa"/>
          </w:tcPr>
          <w:p w14:paraId="4C176757" w14:textId="77777777" w:rsidR="009C353B" w:rsidRDefault="00000000">
            <w:pPr>
              <w:widowControl/>
              <w:jc w:val="center"/>
              <w:rPr>
                <w:rFonts w:ascii="Times New Roman" w:hAnsi="Times New Roman"/>
                <w:kern w:val="0"/>
                <w:sz w:val="21"/>
                <w:szCs w:val="18"/>
              </w:rPr>
            </w:pPr>
            <w:r>
              <w:rPr>
                <w:rFonts w:ascii="Times New Roman" w:hAnsi="Times New Roman" w:hint="eastAsia"/>
                <w:kern w:val="0"/>
                <w:sz w:val="21"/>
                <w:szCs w:val="18"/>
              </w:rPr>
              <w:t>监测断面</w:t>
            </w:r>
          </w:p>
        </w:tc>
        <w:tc>
          <w:tcPr>
            <w:tcW w:w="1834" w:type="dxa"/>
            <w:vAlign w:val="center"/>
          </w:tcPr>
          <w:p w14:paraId="38E4442E" w14:textId="77777777" w:rsidR="009C353B" w:rsidRDefault="00000000">
            <w:pPr>
              <w:widowControl/>
              <w:jc w:val="center"/>
              <w:rPr>
                <w:rFonts w:ascii="Times New Roman" w:hAnsi="Times New Roman"/>
                <w:kern w:val="0"/>
                <w:sz w:val="21"/>
                <w:szCs w:val="18"/>
              </w:rPr>
            </w:pPr>
            <w:r>
              <w:rPr>
                <w:rFonts w:ascii="Times New Roman" w:hAnsi="Times New Roman" w:hint="eastAsia"/>
                <w:kern w:val="0"/>
                <w:sz w:val="21"/>
                <w:szCs w:val="18"/>
              </w:rPr>
              <w:t>位置</w:t>
            </w:r>
          </w:p>
        </w:tc>
        <w:tc>
          <w:tcPr>
            <w:tcW w:w="2799" w:type="dxa"/>
            <w:vAlign w:val="center"/>
          </w:tcPr>
          <w:p w14:paraId="28186ECE" w14:textId="77777777" w:rsidR="009C353B" w:rsidRDefault="00000000">
            <w:pPr>
              <w:widowControl/>
              <w:jc w:val="center"/>
              <w:rPr>
                <w:rFonts w:ascii="Times New Roman" w:hAnsi="Times New Roman"/>
                <w:kern w:val="0"/>
                <w:sz w:val="21"/>
                <w:szCs w:val="18"/>
              </w:rPr>
            </w:pPr>
            <w:r>
              <w:rPr>
                <w:rFonts w:ascii="Times New Roman" w:hAnsi="Times New Roman"/>
                <w:kern w:val="0"/>
                <w:sz w:val="21"/>
                <w:szCs w:val="18"/>
              </w:rPr>
              <w:t>监测因子</w:t>
            </w:r>
          </w:p>
        </w:tc>
        <w:tc>
          <w:tcPr>
            <w:tcW w:w="1441" w:type="dxa"/>
            <w:vAlign w:val="center"/>
          </w:tcPr>
          <w:p w14:paraId="4C5FA35C" w14:textId="77777777" w:rsidR="009C353B" w:rsidRDefault="00000000">
            <w:pPr>
              <w:widowControl/>
              <w:jc w:val="center"/>
              <w:rPr>
                <w:rFonts w:ascii="Times New Roman" w:hAnsi="Times New Roman"/>
                <w:kern w:val="0"/>
                <w:sz w:val="21"/>
                <w:szCs w:val="18"/>
              </w:rPr>
            </w:pPr>
            <w:r>
              <w:rPr>
                <w:rFonts w:ascii="Times New Roman" w:hAnsi="Times New Roman"/>
                <w:kern w:val="0"/>
                <w:sz w:val="21"/>
                <w:szCs w:val="18"/>
              </w:rPr>
              <w:t>监测日期</w:t>
            </w:r>
          </w:p>
        </w:tc>
      </w:tr>
      <w:tr w:rsidR="009C353B" w14:paraId="69F4C514" w14:textId="77777777">
        <w:trPr>
          <w:cantSplit/>
          <w:trHeight w:val="340"/>
          <w:jc w:val="center"/>
        </w:trPr>
        <w:tc>
          <w:tcPr>
            <w:tcW w:w="881" w:type="dxa"/>
            <w:vAlign w:val="center"/>
          </w:tcPr>
          <w:p w14:paraId="1974F638" w14:textId="77777777" w:rsidR="009C353B" w:rsidRDefault="00000000">
            <w:pPr>
              <w:widowControl/>
              <w:adjustRightInd w:val="0"/>
              <w:snapToGrid w:val="0"/>
              <w:jc w:val="center"/>
              <w:rPr>
                <w:rFonts w:ascii="Times New Roman" w:hAnsi="Times New Roman"/>
                <w:kern w:val="0"/>
                <w:sz w:val="21"/>
                <w:szCs w:val="18"/>
              </w:rPr>
            </w:pPr>
            <w:bookmarkStart w:id="113" w:name="_Hlk48408894"/>
            <w:r>
              <w:rPr>
                <w:rFonts w:ascii="Times New Roman" w:hAnsi="Times New Roman"/>
                <w:kern w:val="0"/>
                <w:sz w:val="21"/>
                <w:szCs w:val="18"/>
              </w:rPr>
              <w:t xml:space="preserve">1# </w:t>
            </w:r>
          </w:p>
        </w:tc>
        <w:tc>
          <w:tcPr>
            <w:tcW w:w="2230" w:type="dxa"/>
          </w:tcPr>
          <w:p w14:paraId="37167E5D" w14:textId="77777777" w:rsidR="009C353B" w:rsidRDefault="00000000">
            <w:pPr>
              <w:jc w:val="center"/>
              <w:rPr>
                <w:rFonts w:ascii="Times New Roman" w:hAnsi="Times New Roman"/>
                <w:sz w:val="21"/>
                <w:szCs w:val="18"/>
              </w:rPr>
            </w:pPr>
            <w:r>
              <w:rPr>
                <w:rFonts w:ascii="Times New Roman" w:hAnsi="Times New Roman"/>
                <w:kern w:val="0"/>
                <w:sz w:val="21"/>
                <w:szCs w:val="18"/>
              </w:rPr>
              <w:t>水洞沟古青高速</w:t>
            </w:r>
            <w:r>
              <w:rPr>
                <w:rFonts w:ascii="Times New Roman" w:hAnsi="Times New Roman"/>
                <w:kern w:val="0"/>
                <w:sz w:val="21"/>
                <w:szCs w:val="18"/>
              </w:rPr>
              <w:t>S12</w:t>
            </w:r>
            <w:r>
              <w:rPr>
                <w:rFonts w:ascii="Times New Roman" w:hAnsi="Times New Roman"/>
                <w:kern w:val="0"/>
                <w:sz w:val="21"/>
                <w:szCs w:val="18"/>
              </w:rPr>
              <w:t>西侧未进马莲台井田前（蒋家窑）</w:t>
            </w:r>
          </w:p>
        </w:tc>
        <w:tc>
          <w:tcPr>
            <w:tcW w:w="1834" w:type="dxa"/>
            <w:shd w:val="clear" w:color="auto" w:fill="auto"/>
            <w:vAlign w:val="center"/>
          </w:tcPr>
          <w:p w14:paraId="74FA7C37" w14:textId="77777777" w:rsidR="009C353B" w:rsidRDefault="00000000">
            <w:pPr>
              <w:jc w:val="center"/>
              <w:rPr>
                <w:rFonts w:ascii="Times New Roman" w:hAnsi="Times New Roman"/>
                <w:spacing w:val="-8"/>
                <w:sz w:val="21"/>
                <w:szCs w:val="18"/>
              </w:rPr>
            </w:pPr>
            <w:r>
              <w:rPr>
                <w:rFonts w:ascii="Times New Roman" w:hAnsi="Times New Roman"/>
                <w:sz w:val="21"/>
                <w:szCs w:val="18"/>
              </w:rPr>
              <w:t>E106°38′23.60″</w:t>
            </w:r>
            <w:r>
              <w:rPr>
                <w:rFonts w:ascii="Times New Roman" w:hAnsi="Times New Roman"/>
                <w:sz w:val="21"/>
                <w:szCs w:val="18"/>
              </w:rPr>
              <w:t>，</w:t>
            </w:r>
            <w:r>
              <w:rPr>
                <w:rFonts w:ascii="Times New Roman" w:hAnsi="Times New Roman"/>
                <w:sz w:val="21"/>
                <w:szCs w:val="18"/>
              </w:rPr>
              <w:t>N38°13′29.88″</w:t>
            </w:r>
          </w:p>
        </w:tc>
        <w:tc>
          <w:tcPr>
            <w:tcW w:w="2799" w:type="dxa"/>
            <w:vMerge w:val="restart"/>
            <w:vAlign w:val="center"/>
          </w:tcPr>
          <w:p w14:paraId="487C404B" w14:textId="77777777" w:rsidR="009C353B" w:rsidRDefault="00000000">
            <w:pPr>
              <w:jc w:val="center"/>
              <w:rPr>
                <w:rFonts w:ascii="Times New Roman" w:hAnsi="Times New Roman"/>
                <w:spacing w:val="-8"/>
                <w:sz w:val="21"/>
                <w:szCs w:val="18"/>
              </w:rPr>
            </w:pPr>
            <w:r>
              <w:rPr>
                <w:rFonts w:ascii="Times New Roman" w:hAnsi="Times New Roman"/>
                <w:spacing w:val="-8"/>
                <w:sz w:val="21"/>
                <w:szCs w:val="18"/>
              </w:rPr>
              <w:t>水温、</w:t>
            </w:r>
            <w:r>
              <w:rPr>
                <w:rFonts w:ascii="Times New Roman" w:hAnsi="Times New Roman"/>
                <w:spacing w:val="-8"/>
                <w:sz w:val="21"/>
                <w:szCs w:val="18"/>
              </w:rPr>
              <w:t>pH</w:t>
            </w:r>
            <w:r>
              <w:rPr>
                <w:rFonts w:ascii="Times New Roman" w:hAnsi="Times New Roman"/>
                <w:spacing w:val="-8"/>
                <w:sz w:val="21"/>
                <w:szCs w:val="18"/>
              </w:rPr>
              <w:t>值、溶解氧、悬浮物、</w:t>
            </w:r>
            <w:r>
              <w:rPr>
                <w:rFonts w:ascii="Times New Roman" w:hAnsi="Times New Roman" w:hint="eastAsia"/>
                <w:spacing w:val="-8"/>
                <w:sz w:val="21"/>
                <w:szCs w:val="18"/>
              </w:rPr>
              <w:t>溶解性总固体、</w:t>
            </w:r>
            <w:r>
              <w:rPr>
                <w:rFonts w:ascii="Times New Roman" w:hAnsi="Times New Roman"/>
                <w:spacing w:val="-8"/>
                <w:sz w:val="21"/>
                <w:szCs w:val="18"/>
              </w:rPr>
              <w:t>总残渣、化学需氧量、五日生化需氧量、高锰酸盐指数、氨氮、总氮、总磷、氟化物、氰化物、硫化物、挥发酚、六价铬、阴离子表面活性剂、石油类、粪大肠菌群、总铬、镉、汞、砷、铅、铁、锰、铜、锌、硒</w:t>
            </w:r>
          </w:p>
        </w:tc>
        <w:tc>
          <w:tcPr>
            <w:tcW w:w="1441" w:type="dxa"/>
            <w:vMerge w:val="restart"/>
            <w:vAlign w:val="center"/>
          </w:tcPr>
          <w:p w14:paraId="61BB4FE4" w14:textId="77777777" w:rsidR="009C353B" w:rsidRDefault="00000000">
            <w:pPr>
              <w:jc w:val="center"/>
              <w:rPr>
                <w:rFonts w:ascii="Times New Roman" w:hAnsi="Times New Roman"/>
                <w:sz w:val="21"/>
                <w:szCs w:val="18"/>
              </w:rPr>
            </w:pPr>
            <w:r>
              <w:rPr>
                <w:rFonts w:ascii="Times New Roman" w:hAnsi="Times New Roman"/>
                <w:sz w:val="21"/>
                <w:szCs w:val="18"/>
              </w:rPr>
              <w:t>2020</w:t>
            </w:r>
            <w:r>
              <w:rPr>
                <w:rFonts w:ascii="Times New Roman" w:hAnsi="Times New Roman"/>
                <w:sz w:val="21"/>
                <w:szCs w:val="18"/>
              </w:rPr>
              <w:t>年</w:t>
            </w:r>
            <w:r>
              <w:rPr>
                <w:rFonts w:ascii="Times New Roman" w:hAnsi="Times New Roman"/>
                <w:sz w:val="21"/>
                <w:szCs w:val="18"/>
              </w:rPr>
              <w:t>8</w:t>
            </w:r>
            <w:r>
              <w:rPr>
                <w:rFonts w:ascii="Times New Roman" w:hAnsi="Times New Roman"/>
                <w:sz w:val="21"/>
                <w:szCs w:val="18"/>
              </w:rPr>
              <w:t>月</w:t>
            </w:r>
            <w:r>
              <w:rPr>
                <w:rFonts w:ascii="Times New Roman" w:hAnsi="Times New Roman"/>
                <w:sz w:val="21"/>
                <w:szCs w:val="18"/>
              </w:rPr>
              <w:t>7</w:t>
            </w:r>
            <w:r>
              <w:rPr>
                <w:rFonts w:ascii="Times New Roman" w:hAnsi="Times New Roman"/>
                <w:sz w:val="21"/>
                <w:szCs w:val="18"/>
              </w:rPr>
              <w:t>～</w:t>
            </w:r>
            <w:r>
              <w:rPr>
                <w:rFonts w:ascii="Times New Roman" w:hAnsi="Times New Roman"/>
                <w:sz w:val="21"/>
                <w:szCs w:val="18"/>
              </w:rPr>
              <w:t>9</w:t>
            </w:r>
            <w:r>
              <w:rPr>
                <w:rFonts w:ascii="Times New Roman" w:hAnsi="Times New Roman"/>
                <w:sz w:val="21"/>
                <w:szCs w:val="18"/>
              </w:rPr>
              <w:t>日</w:t>
            </w:r>
          </w:p>
        </w:tc>
      </w:tr>
      <w:tr w:rsidR="009C353B" w14:paraId="4426ECAB" w14:textId="77777777">
        <w:trPr>
          <w:cantSplit/>
          <w:trHeight w:val="340"/>
          <w:jc w:val="center"/>
        </w:trPr>
        <w:tc>
          <w:tcPr>
            <w:tcW w:w="881" w:type="dxa"/>
            <w:vAlign w:val="center"/>
          </w:tcPr>
          <w:p w14:paraId="6E3975A4" w14:textId="77777777" w:rsidR="009C353B" w:rsidRDefault="00000000">
            <w:pPr>
              <w:jc w:val="center"/>
              <w:rPr>
                <w:rFonts w:ascii="Times New Roman" w:hAnsi="Times New Roman"/>
                <w:sz w:val="21"/>
                <w:szCs w:val="18"/>
              </w:rPr>
            </w:pPr>
            <w:r>
              <w:rPr>
                <w:rFonts w:ascii="Times New Roman" w:hAnsi="Times New Roman"/>
                <w:bCs/>
                <w:sz w:val="21"/>
                <w:szCs w:val="18"/>
              </w:rPr>
              <w:t>2#</w:t>
            </w:r>
            <w:r>
              <w:rPr>
                <w:rFonts w:ascii="Times New Roman" w:hAnsi="Times New Roman"/>
                <w:sz w:val="21"/>
                <w:szCs w:val="18"/>
              </w:rPr>
              <w:t xml:space="preserve"> </w:t>
            </w:r>
          </w:p>
        </w:tc>
        <w:tc>
          <w:tcPr>
            <w:tcW w:w="2230" w:type="dxa"/>
          </w:tcPr>
          <w:p w14:paraId="2D630B91" w14:textId="77777777" w:rsidR="009C353B" w:rsidRDefault="00000000">
            <w:pPr>
              <w:widowControl/>
              <w:jc w:val="center"/>
              <w:rPr>
                <w:rFonts w:ascii="Times New Roman" w:hAnsi="Times New Roman"/>
                <w:sz w:val="21"/>
                <w:szCs w:val="18"/>
              </w:rPr>
            </w:pPr>
            <w:r>
              <w:rPr>
                <w:rFonts w:ascii="Times New Roman" w:hAnsi="Times New Roman"/>
                <w:sz w:val="21"/>
                <w:szCs w:val="18"/>
              </w:rPr>
              <w:t>水洞沟临河工业园区</w:t>
            </w:r>
            <w:r>
              <w:rPr>
                <w:rFonts w:ascii="Times New Roman" w:hAnsi="Times New Roman"/>
                <w:sz w:val="21"/>
                <w:szCs w:val="18"/>
              </w:rPr>
              <w:t>B</w:t>
            </w:r>
            <w:r>
              <w:rPr>
                <w:rFonts w:ascii="Times New Roman" w:hAnsi="Times New Roman"/>
                <w:sz w:val="21"/>
                <w:szCs w:val="18"/>
              </w:rPr>
              <w:t>区北侧（流出马莲台井田后约</w:t>
            </w:r>
            <w:r>
              <w:rPr>
                <w:rFonts w:ascii="Times New Roman" w:hAnsi="Times New Roman"/>
                <w:sz w:val="21"/>
                <w:szCs w:val="18"/>
              </w:rPr>
              <w:t>500m</w:t>
            </w:r>
            <w:r>
              <w:rPr>
                <w:rFonts w:ascii="Times New Roman" w:hAnsi="Times New Roman"/>
                <w:sz w:val="21"/>
                <w:szCs w:val="18"/>
              </w:rPr>
              <w:t>）</w:t>
            </w:r>
          </w:p>
        </w:tc>
        <w:tc>
          <w:tcPr>
            <w:tcW w:w="1834" w:type="dxa"/>
            <w:shd w:val="clear" w:color="auto" w:fill="auto"/>
            <w:vAlign w:val="center"/>
          </w:tcPr>
          <w:p w14:paraId="4BBF7E3C" w14:textId="77777777" w:rsidR="009C353B" w:rsidRDefault="00000000">
            <w:pPr>
              <w:widowControl/>
              <w:jc w:val="center"/>
              <w:rPr>
                <w:rFonts w:ascii="Times New Roman" w:hAnsi="Times New Roman"/>
                <w:sz w:val="21"/>
                <w:szCs w:val="18"/>
              </w:rPr>
            </w:pPr>
            <w:r>
              <w:rPr>
                <w:rFonts w:ascii="Times New Roman" w:hAnsi="Times New Roman"/>
                <w:sz w:val="21"/>
                <w:szCs w:val="18"/>
              </w:rPr>
              <w:t>E106°31′56″</w:t>
            </w:r>
            <w:r>
              <w:rPr>
                <w:rFonts w:ascii="Times New Roman" w:hAnsi="Times New Roman"/>
                <w:sz w:val="21"/>
                <w:szCs w:val="18"/>
              </w:rPr>
              <w:t>，</w:t>
            </w:r>
          </w:p>
          <w:p w14:paraId="0C5AA55B" w14:textId="77777777" w:rsidR="009C353B" w:rsidRDefault="00000000">
            <w:pPr>
              <w:widowControl/>
              <w:jc w:val="center"/>
              <w:rPr>
                <w:rFonts w:ascii="Times New Roman" w:hAnsi="Times New Roman"/>
                <w:kern w:val="0"/>
                <w:sz w:val="21"/>
                <w:szCs w:val="18"/>
              </w:rPr>
            </w:pPr>
            <w:r>
              <w:rPr>
                <w:rFonts w:ascii="Times New Roman" w:hAnsi="Times New Roman"/>
                <w:sz w:val="21"/>
                <w:szCs w:val="18"/>
              </w:rPr>
              <w:t>N38°16′2″</w:t>
            </w:r>
          </w:p>
        </w:tc>
        <w:tc>
          <w:tcPr>
            <w:tcW w:w="2799" w:type="dxa"/>
            <w:vMerge/>
            <w:vAlign w:val="center"/>
          </w:tcPr>
          <w:p w14:paraId="0C865A92" w14:textId="77777777" w:rsidR="009C353B" w:rsidRDefault="009C353B">
            <w:pPr>
              <w:widowControl/>
              <w:jc w:val="center"/>
              <w:rPr>
                <w:rFonts w:ascii="Times New Roman" w:hAnsi="Times New Roman"/>
                <w:kern w:val="0"/>
                <w:sz w:val="21"/>
                <w:szCs w:val="18"/>
              </w:rPr>
            </w:pPr>
          </w:p>
        </w:tc>
        <w:tc>
          <w:tcPr>
            <w:tcW w:w="1441" w:type="dxa"/>
            <w:vMerge/>
            <w:vAlign w:val="center"/>
          </w:tcPr>
          <w:p w14:paraId="194D4398" w14:textId="77777777" w:rsidR="009C353B" w:rsidRDefault="009C353B">
            <w:pPr>
              <w:widowControl/>
              <w:jc w:val="center"/>
              <w:rPr>
                <w:rFonts w:ascii="Times New Roman" w:hAnsi="Times New Roman"/>
                <w:kern w:val="0"/>
                <w:sz w:val="21"/>
                <w:szCs w:val="18"/>
              </w:rPr>
            </w:pPr>
          </w:p>
        </w:tc>
      </w:tr>
      <w:bookmarkEnd w:id="113"/>
      <w:tr w:rsidR="009C353B" w14:paraId="135457A2" w14:textId="77777777">
        <w:trPr>
          <w:cantSplit/>
          <w:trHeight w:val="340"/>
          <w:jc w:val="center"/>
        </w:trPr>
        <w:tc>
          <w:tcPr>
            <w:tcW w:w="881" w:type="dxa"/>
            <w:vAlign w:val="center"/>
          </w:tcPr>
          <w:p w14:paraId="24523CC8" w14:textId="77777777" w:rsidR="009C353B" w:rsidRDefault="00000000">
            <w:pPr>
              <w:widowControl/>
              <w:adjustRightInd w:val="0"/>
              <w:snapToGrid w:val="0"/>
              <w:jc w:val="center"/>
              <w:rPr>
                <w:rFonts w:ascii="Times New Roman" w:hAnsi="Times New Roman"/>
                <w:kern w:val="0"/>
                <w:sz w:val="21"/>
                <w:szCs w:val="18"/>
              </w:rPr>
            </w:pPr>
            <w:r>
              <w:rPr>
                <w:rFonts w:ascii="Times New Roman" w:hAnsi="Times New Roman"/>
                <w:sz w:val="21"/>
                <w:szCs w:val="18"/>
              </w:rPr>
              <w:t>3#</w:t>
            </w:r>
            <w:r>
              <w:rPr>
                <w:rFonts w:ascii="Times New Roman" w:hAnsi="Times New Roman"/>
                <w:kern w:val="0"/>
                <w:sz w:val="21"/>
                <w:szCs w:val="18"/>
              </w:rPr>
              <w:t xml:space="preserve"> </w:t>
            </w:r>
          </w:p>
        </w:tc>
        <w:tc>
          <w:tcPr>
            <w:tcW w:w="2230" w:type="dxa"/>
          </w:tcPr>
          <w:p w14:paraId="01F28446" w14:textId="77777777" w:rsidR="009C353B" w:rsidRDefault="00000000">
            <w:pPr>
              <w:widowControl/>
              <w:jc w:val="center"/>
              <w:rPr>
                <w:rFonts w:ascii="Times New Roman" w:hAnsi="Times New Roman"/>
                <w:sz w:val="21"/>
                <w:szCs w:val="18"/>
              </w:rPr>
            </w:pPr>
            <w:r>
              <w:rPr>
                <w:rFonts w:ascii="Times New Roman" w:hAnsi="Times New Roman"/>
                <w:sz w:val="21"/>
                <w:szCs w:val="18"/>
              </w:rPr>
              <w:t>水洞沟（流出红石湾井田后约</w:t>
            </w:r>
            <w:r>
              <w:rPr>
                <w:rFonts w:ascii="Times New Roman" w:hAnsi="Times New Roman"/>
                <w:sz w:val="21"/>
                <w:szCs w:val="18"/>
              </w:rPr>
              <w:t>500m</w:t>
            </w:r>
            <w:r>
              <w:rPr>
                <w:rFonts w:ascii="Times New Roman" w:hAnsi="Times New Roman"/>
                <w:sz w:val="21"/>
                <w:szCs w:val="18"/>
              </w:rPr>
              <w:t>）</w:t>
            </w:r>
          </w:p>
        </w:tc>
        <w:tc>
          <w:tcPr>
            <w:tcW w:w="1834" w:type="dxa"/>
            <w:shd w:val="clear" w:color="auto" w:fill="auto"/>
            <w:vAlign w:val="center"/>
          </w:tcPr>
          <w:p w14:paraId="4FC92D12" w14:textId="77777777" w:rsidR="009C353B" w:rsidRDefault="00000000">
            <w:pPr>
              <w:widowControl/>
              <w:jc w:val="center"/>
              <w:rPr>
                <w:rFonts w:ascii="Times New Roman" w:hAnsi="Times New Roman"/>
                <w:sz w:val="21"/>
                <w:szCs w:val="18"/>
              </w:rPr>
            </w:pPr>
            <w:r>
              <w:rPr>
                <w:rFonts w:ascii="Times New Roman" w:hAnsi="Times New Roman"/>
                <w:sz w:val="21"/>
                <w:szCs w:val="18"/>
              </w:rPr>
              <w:t>E106°32′21″</w:t>
            </w:r>
            <w:r>
              <w:rPr>
                <w:rFonts w:ascii="Times New Roman" w:hAnsi="Times New Roman"/>
                <w:sz w:val="21"/>
                <w:szCs w:val="18"/>
              </w:rPr>
              <w:t>，</w:t>
            </w:r>
          </w:p>
          <w:p w14:paraId="73D2FBDB" w14:textId="77777777" w:rsidR="009C353B" w:rsidRDefault="00000000">
            <w:pPr>
              <w:widowControl/>
              <w:jc w:val="center"/>
              <w:rPr>
                <w:rFonts w:ascii="Times New Roman" w:hAnsi="Times New Roman"/>
                <w:kern w:val="0"/>
                <w:sz w:val="21"/>
                <w:szCs w:val="18"/>
              </w:rPr>
            </w:pPr>
            <w:r>
              <w:rPr>
                <w:rFonts w:ascii="Times New Roman" w:hAnsi="Times New Roman"/>
                <w:sz w:val="21"/>
                <w:szCs w:val="18"/>
              </w:rPr>
              <w:t>N38°15′57″</w:t>
            </w:r>
          </w:p>
        </w:tc>
        <w:tc>
          <w:tcPr>
            <w:tcW w:w="2799" w:type="dxa"/>
            <w:vMerge/>
            <w:vAlign w:val="center"/>
          </w:tcPr>
          <w:p w14:paraId="0014FC1F" w14:textId="77777777" w:rsidR="009C353B" w:rsidRDefault="009C353B">
            <w:pPr>
              <w:widowControl/>
              <w:jc w:val="center"/>
              <w:rPr>
                <w:rFonts w:ascii="Times New Roman" w:hAnsi="Times New Roman"/>
                <w:kern w:val="0"/>
                <w:sz w:val="21"/>
                <w:szCs w:val="18"/>
              </w:rPr>
            </w:pPr>
          </w:p>
        </w:tc>
        <w:tc>
          <w:tcPr>
            <w:tcW w:w="1441" w:type="dxa"/>
            <w:vMerge/>
            <w:vAlign w:val="center"/>
          </w:tcPr>
          <w:p w14:paraId="4018D29B" w14:textId="77777777" w:rsidR="009C353B" w:rsidRDefault="009C353B">
            <w:pPr>
              <w:widowControl/>
              <w:jc w:val="center"/>
              <w:rPr>
                <w:rFonts w:ascii="Times New Roman" w:hAnsi="Times New Roman"/>
                <w:kern w:val="0"/>
                <w:sz w:val="21"/>
                <w:szCs w:val="18"/>
              </w:rPr>
            </w:pPr>
          </w:p>
        </w:tc>
      </w:tr>
      <w:tr w:rsidR="009C353B" w14:paraId="71F35D7D" w14:textId="77777777">
        <w:trPr>
          <w:cantSplit/>
          <w:trHeight w:val="340"/>
          <w:jc w:val="center"/>
        </w:trPr>
        <w:tc>
          <w:tcPr>
            <w:tcW w:w="881" w:type="dxa"/>
            <w:vAlign w:val="center"/>
          </w:tcPr>
          <w:p w14:paraId="25B2A25E" w14:textId="77777777" w:rsidR="009C353B" w:rsidRDefault="00000000">
            <w:pPr>
              <w:widowControl/>
              <w:adjustRightInd w:val="0"/>
              <w:snapToGrid w:val="0"/>
              <w:jc w:val="center"/>
              <w:rPr>
                <w:rFonts w:ascii="Times New Roman" w:hAnsi="Times New Roman"/>
                <w:kern w:val="0"/>
                <w:sz w:val="21"/>
                <w:szCs w:val="18"/>
              </w:rPr>
            </w:pPr>
            <w:r>
              <w:rPr>
                <w:rFonts w:ascii="Times New Roman" w:hAnsi="Times New Roman"/>
                <w:sz w:val="21"/>
                <w:szCs w:val="18"/>
              </w:rPr>
              <w:t>4#</w:t>
            </w:r>
          </w:p>
        </w:tc>
        <w:tc>
          <w:tcPr>
            <w:tcW w:w="2230" w:type="dxa"/>
            <w:vAlign w:val="center"/>
          </w:tcPr>
          <w:p w14:paraId="510BB2AF" w14:textId="77777777" w:rsidR="009C353B" w:rsidRDefault="00000000">
            <w:pPr>
              <w:widowControl/>
              <w:jc w:val="center"/>
              <w:rPr>
                <w:rFonts w:ascii="Times New Roman" w:hAnsi="Times New Roman"/>
                <w:sz w:val="21"/>
                <w:szCs w:val="18"/>
              </w:rPr>
            </w:pPr>
            <w:r>
              <w:rPr>
                <w:rFonts w:ascii="Times New Roman" w:hAnsi="Times New Roman"/>
                <w:sz w:val="21"/>
                <w:szCs w:val="18"/>
              </w:rPr>
              <w:t>大河子沟</w:t>
            </w:r>
          </w:p>
        </w:tc>
        <w:tc>
          <w:tcPr>
            <w:tcW w:w="1834" w:type="dxa"/>
            <w:shd w:val="clear" w:color="auto" w:fill="auto"/>
            <w:vAlign w:val="center"/>
          </w:tcPr>
          <w:p w14:paraId="48D2C8CD" w14:textId="77777777" w:rsidR="009C353B" w:rsidRDefault="00000000">
            <w:pPr>
              <w:widowControl/>
              <w:jc w:val="center"/>
              <w:rPr>
                <w:rFonts w:ascii="Times New Roman" w:hAnsi="Times New Roman"/>
                <w:kern w:val="0"/>
                <w:sz w:val="21"/>
                <w:szCs w:val="18"/>
              </w:rPr>
            </w:pPr>
            <w:r>
              <w:rPr>
                <w:rFonts w:ascii="Times New Roman" w:hAnsi="Times New Roman"/>
                <w:sz w:val="21"/>
                <w:szCs w:val="18"/>
              </w:rPr>
              <w:t>E106°31′54.04″</w:t>
            </w:r>
            <w:r>
              <w:rPr>
                <w:rFonts w:ascii="Times New Roman" w:hAnsi="Times New Roman"/>
                <w:sz w:val="21"/>
                <w:szCs w:val="18"/>
              </w:rPr>
              <w:t>，</w:t>
            </w:r>
            <w:r>
              <w:rPr>
                <w:rFonts w:ascii="Times New Roman" w:hAnsi="Times New Roman"/>
                <w:sz w:val="21"/>
                <w:szCs w:val="18"/>
              </w:rPr>
              <w:t>N38°7′50.67″</w:t>
            </w:r>
          </w:p>
        </w:tc>
        <w:tc>
          <w:tcPr>
            <w:tcW w:w="2799" w:type="dxa"/>
            <w:vMerge/>
            <w:vAlign w:val="center"/>
          </w:tcPr>
          <w:p w14:paraId="596E4985" w14:textId="77777777" w:rsidR="009C353B" w:rsidRDefault="009C353B">
            <w:pPr>
              <w:widowControl/>
              <w:jc w:val="center"/>
              <w:rPr>
                <w:rFonts w:ascii="Times New Roman" w:hAnsi="Times New Roman"/>
                <w:kern w:val="0"/>
                <w:sz w:val="21"/>
                <w:szCs w:val="18"/>
              </w:rPr>
            </w:pPr>
          </w:p>
        </w:tc>
        <w:tc>
          <w:tcPr>
            <w:tcW w:w="1441" w:type="dxa"/>
            <w:vMerge/>
            <w:vAlign w:val="center"/>
          </w:tcPr>
          <w:p w14:paraId="7707667A" w14:textId="77777777" w:rsidR="009C353B" w:rsidRDefault="009C353B">
            <w:pPr>
              <w:widowControl/>
              <w:jc w:val="center"/>
              <w:rPr>
                <w:rFonts w:ascii="Times New Roman" w:hAnsi="Times New Roman"/>
                <w:kern w:val="0"/>
                <w:sz w:val="21"/>
                <w:szCs w:val="18"/>
              </w:rPr>
            </w:pPr>
          </w:p>
        </w:tc>
      </w:tr>
      <w:tr w:rsidR="009C353B" w14:paraId="7BAEE0EF" w14:textId="77777777">
        <w:trPr>
          <w:cantSplit/>
          <w:trHeight w:val="340"/>
          <w:jc w:val="center"/>
        </w:trPr>
        <w:tc>
          <w:tcPr>
            <w:tcW w:w="881" w:type="dxa"/>
            <w:vAlign w:val="center"/>
          </w:tcPr>
          <w:p w14:paraId="20567854" w14:textId="77777777" w:rsidR="009C353B" w:rsidRDefault="00000000">
            <w:pPr>
              <w:widowControl/>
              <w:adjustRightInd w:val="0"/>
              <w:snapToGrid w:val="0"/>
              <w:jc w:val="center"/>
              <w:rPr>
                <w:rFonts w:ascii="Times New Roman" w:hAnsi="Times New Roman"/>
                <w:kern w:val="0"/>
                <w:sz w:val="21"/>
                <w:szCs w:val="18"/>
              </w:rPr>
            </w:pPr>
            <w:bookmarkStart w:id="114" w:name="_Hlk48408929"/>
            <w:r>
              <w:rPr>
                <w:rFonts w:ascii="Times New Roman" w:hAnsi="Times New Roman"/>
                <w:sz w:val="21"/>
                <w:szCs w:val="18"/>
              </w:rPr>
              <w:t>5#</w:t>
            </w:r>
          </w:p>
        </w:tc>
        <w:tc>
          <w:tcPr>
            <w:tcW w:w="2230" w:type="dxa"/>
            <w:vAlign w:val="center"/>
          </w:tcPr>
          <w:p w14:paraId="3052E1FE" w14:textId="77777777" w:rsidR="009C353B" w:rsidRDefault="00000000">
            <w:pPr>
              <w:widowControl/>
              <w:jc w:val="center"/>
              <w:rPr>
                <w:rFonts w:ascii="Times New Roman" w:hAnsi="Times New Roman"/>
                <w:sz w:val="21"/>
                <w:szCs w:val="18"/>
              </w:rPr>
            </w:pPr>
            <w:r>
              <w:rPr>
                <w:rFonts w:ascii="Times New Roman" w:hAnsi="Times New Roman"/>
                <w:sz w:val="21"/>
                <w:szCs w:val="18"/>
              </w:rPr>
              <w:t>大河子沟</w:t>
            </w:r>
          </w:p>
        </w:tc>
        <w:tc>
          <w:tcPr>
            <w:tcW w:w="1834" w:type="dxa"/>
            <w:shd w:val="clear" w:color="auto" w:fill="auto"/>
            <w:vAlign w:val="center"/>
          </w:tcPr>
          <w:p w14:paraId="76B49EF1" w14:textId="77777777" w:rsidR="009C353B" w:rsidRDefault="00000000">
            <w:pPr>
              <w:widowControl/>
              <w:jc w:val="center"/>
              <w:rPr>
                <w:rFonts w:ascii="Times New Roman" w:hAnsi="Times New Roman"/>
                <w:kern w:val="0"/>
                <w:sz w:val="21"/>
                <w:szCs w:val="18"/>
              </w:rPr>
            </w:pPr>
            <w:r>
              <w:rPr>
                <w:rFonts w:ascii="Times New Roman" w:hAnsi="Times New Roman"/>
                <w:sz w:val="21"/>
                <w:szCs w:val="18"/>
              </w:rPr>
              <w:t>E106°31′18.85″</w:t>
            </w:r>
            <w:r>
              <w:rPr>
                <w:rFonts w:ascii="Times New Roman" w:hAnsi="Times New Roman"/>
                <w:sz w:val="21"/>
                <w:szCs w:val="18"/>
              </w:rPr>
              <w:t>，</w:t>
            </w:r>
            <w:r>
              <w:rPr>
                <w:rFonts w:ascii="Times New Roman" w:hAnsi="Times New Roman"/>
                <w:sz w:val="21"/>
                <w:szCs w:val="18"/>
              </w:rPr>
              <w:t>N38°7′56.84″</w:t>
            </w:r>
          </w:p>
        </w:tc>
        <w:tc>
          <w:tcPr>
            <w:tcW w:w="2799" w:type="dxa"/>
            <w:vMerge/>
            <w:vAlign w:val="center"/>
          </w:tcPr>
          <w:p w14:paraId="0A42834F" w14:textId="77777777" w:rsidR="009C353B" w:rsidRDefault="009C353B">
            <w:pPr>
              <w:widowControl/>
              <w:jc w:val="center"/>
              <w:rPr>
                <w:rFonts w:ascii="Times New Roman" w:hAnsi="Times New Roman"/>
                <w:kern w:val="0"/>
                <w:sz w:val="21"/>
                <w:szCs w:val="18"/>
              </w:rPr>
            </w:pPr>
          </w:p>
        </w:tc>
        <w:tc>
          <w:tcPr>
            <w:tcW w:w="1441" w:type="dxa"/>
            <w:vMerge/>
            <w:vAlign w:val="center"/>
          </w:tcPr>
          <w:p w14:paraId="34B415A3" w14:textId="77777777" w:rsidR="009C353B" w:rsidRDefault="009C353B">
            <w:pPr>
              <w:widowControl/>
              <w:jc w:val="center"/>
              <w:rPr>
                <w:rFonts w:ascii="Times New Roman" w:hAnsi="Times New Roman"/>
                <w:kern w:val="0"/>
                <w:sz w:val="21"/>
                <w:szCs w:val="18"/>
              </w:rPr>
            </w:pPr>
          </w:p>
        </w:tc>
      </w:tr>
      <w:bookmarkEnd w:id="114"/>
      <w:tr w:rsidR="009C353B" w14:paraId="4AD6C1D5" w14:textId="77777777">
        <w:trPr>
          <w:cantSplit/>
          <w:trHeight w:val="340"/>
          <w:jc w:val="center"/>
        </w:trPr>
        <w:tc>
          <w:tcPr>
            <w:tcW w:w="4945" w:type="dxa"/>
            <w:gridSpan w:val="3"/>
            <w:vAlign w:val="center"/>
          </w:tcPr>
          <w:p w14:paraId="7EF81F0A" w14:textId="77777777" w:rsidR="009C353B" w:rsidRDefault="00000000">
            <w:pPr>
              <w:widowControl/>
              <w:jc w:val="center"/>
              <w:rPr>
                <w:rFonts w:ascii="Times New Roman" w:hAnsi="Times New Roman"/>
                <w:sz w:val="21"/>
                <w:szCs w:val="18"/>
              </w:rPr>
            </w:pPr>
            <w:r>
              <w:rPr>
                <w:rFonts w:ascii="Times New Roman" w:hAnsi="Times New Roman" w:hint="eastAsia"/>
                <w:sz w:val="21"/>
                <w:szCs w:val="18"/>
              </w:rPr>
              <w:t>鸭子荡水库</w:t>
            </w:r>
            <w:r>
              <w:rPr>
                <w:rFonts w:ascii="Times New Roman" w:hAnsi="Times New Roman" w:hint="eastAsia"/>
                <w:sz w:val="21"/>
                <w:szCs w:val="18"/>
              </w:rPr>
              <w:t>/</w:t>
            </w:r>
            <w:r>
              <w:rPr>
                <w:rFonts w:ascii="Times New Roman" w:hAnsi="Times New Roman" w:hint="eastAsia"/>
                <w:sz w:val="21"/>
                <w:szCs w:val="18"/>
              </w:rPr>
              <w:t>国控断面</w:t>
            </w:r>
          </w:p>
        </w:tc>
        <w:tc>
          <w:tcPr>
            <w:tcW w:w="2799" w:type="dxa"/>
            <w:vAlign w:val="center"/>
          </w:tcPr>
          <w:p w14:paraId="0FCBCA55" w14:textId="77777777" w:rsidR="009C353B" w:rsidRDefault="00000000">
            <w:pPr>
              <w:widowControl/>
              <w:rPr>
                <w:rFonts w:ascii="Times New Roman" w:hAnsi="Times New Roman"/>
                <w:kern w:val="0"/>
                <w:sz w:val="21"/>
                <w:szCs w:val="18"/>
              </w:rPr>
            </w:pPr>
            <w:r>
              <w:rPr>
                <w:rFonts w:ascii="Times New Roman" w:hAnsi="Times New Roman" w:hint="eastAsia"/>
                <w:kern w:val="0"/>
                <w:sz w:val="21"/>
                <w:szCs w:val="18"/>
              </w:rPr>
              <w:t>电导率</w:t>
            </w:r>
            <w:r>
              <w:rPr>
                <w:rFonts w:ascii="Times New Roman" w:hAnsi="Times New Roman"/>
                <w:kern w:val="0"/>
                <w:sz w:val="21"/>
                <w:szCs w:val="18"/>
              </w:rPr>
              <w:t>、</w:t>
            </w:r>
            <w:r>
              <w:rPr>
                <w:rFonts w:ascii="Times New Roman" w:hAnsi="Times New Roman" w:hint="eastAsia"/>
                <w:kern w:val="0"/>
                <w:sz w:val="21"/>
                <w:szCs w:val="18"/>
              </w:rPr>
              <w:t>水温</w:t>
            </w:r>
            <w:r>
              <w:rPr>
                <w:rFonts w:ascii="Times New Roman" w:hAnsi="Times New Roman"/>
                <w:kern w:val="0"/>
                <w:sz w:val="21"/>
                <w:szCs w:val="18"/>
              </w:rPr>
              <w:t>、</w:t>
            </w:r>
            <w:r>
              <w:rPr>
                <w:rFonts w:ascii="Times New Roman" w:hAnsi="Times New Roman" w:hint="eastAsia"/>
                <w:kern w:val="0"/>
                <w:sz w:val="21"/>
                <w:szCs w:val="18"/>
              </w:rPr>
              <w:t>pH</w:t>
            </w:r>
            <w:r>
              <w:rPr>
                <w:rFonts w:ascii="Times New Roman" w:hAnsi="Times New Roman" w:hint="eastAsia"/>
                <w:kern w:val="0"/>
                <w:sz w:val="21"/>
                <w:szCs w:val="18"/>
              </w:rPr>
              <w:t>值</w:t>
            </w:r>
            <w:r>
              <w:rPr>
                <w:rFonts w:ascii="Times New Roman" w:hAnsi="Times New Roman"/>
                <w:kern w:val="0"/>
                <w:sz w:val="21"/>
                <w:szCs w:val="18"/>
              </w:rPr>
              <w:t>、</w:t>
            </w:r>
            <w:r>
              <w:rPr>
                <w:rFonts w:ascii="Times New Roman" w:hAnsi="Times New Roman" w:hint="eastAsia"/>
                <w:kern w:val="0"/>
                <w:sz w:val="21"/>
                <w:szCs w:val="18"/>
              </w:rPr>
              <w:t>溶解氧、透明度</w:t>
            </w:r>
            <w:r>
              <w:rPr>
                <w:rFonts w:ascii="Times New Roman" w:hAnsi="Times New Roman" w:hint="eastAsia"/>
                <w:kern w:val="0"/>
                <w:sz w:val="21"/>
                <w:szCs w:val="18"/>
              </w:rPr>
              <w:t>)</w:t>
            </w:r>
            <w:r>
              <w:rPr>
                <w:rFonts w:ascii="Times New Roman" w:hAnsi="Times New Roman"/>
                <w:kern w:val="0"/>
                <w:sz w:val="21"/>
                <w:szCs w:val="18"/>
              </w:rPr>
              <w:t>、</w:t>
            </w:r>
            <w:r>
              <w:rPr>
                <w:rFonts w:ascii="Times New Roman" w:hAnsi="Times New Roman"/>
                <w:kern w:val="0"/>
                <w:sz w:val="21"/>
                <w:szCs w:val="18"/>
              </w:rPr>
              <w:t xml:space="preserve">COD </w:t>
            </w:r>
            <w:r>
              <w:rPr>
                <w:rFonts w:ascii="Times New Roman" w:hAnsi="Times New Roman"/>
                <w:kern w:val="0"/>
                <w:sz w:val="21"/>
                <w:szCs w:val="18"/>
                <w:vertAlign w:val="subscript"/>
              </w:rPr>
              <w:t>Mn</w:t>
            </w:r>
            <w:r>
              <w:rPr>
                <w:rFonts w:ascii="Times New Roman" w:hAnsi="Times New Roman"/>
                <w:kern w:val="0"/>
                <w:sz w:val="21"/>
                <w:szCs w:val="18"/>
              </w:rPr>
              <w:t>、</w:t>
            </w:r>
            <w:r>
              <w:rPr>
                <w:rFonts w:ascii="Times New Roman" w:hAnsi="Times New Roman"/>
                <w:kern w:val="0"/>
                <w:sz w:val="21"/>
                <w:szCs w:val="18"/>
              </w:rPr>
              <w:t xml:space="preserve">COD </w:t>
            </w:r>
            <w:r>
              <w:rPr>
                <w:rFonts w:ascii="Times New Roman" w:hAnsi="Times New Roman"/>
                <w:kern w:val="0"/>
                <w:sz w:val="21"/>
                <w:szCs w:val="18"/>
                <w:vertAlign w:val="subscript"/>
              </w:rPr>
              <w:t>Cr</w:t>
            </w:r>
            <w:r>
              <w:rPr>
                <w:rFonts w:ascii="Times New Roman" w:hAnsi="Times New Roman"/>
                <w:kern w:val="0"/>
                <w:sz w:val="21"/>
                <w:szCs w:val="18"/>
              </w:rPr>
              <w:t>、</w:t>
            </w:r>
            <w:r>
              <w:rPr>
                <w:rFonts w:ascii="Times New Roman" w:hAnsi="Times New Roman" w:hint="eastAsia"/>
                <w:kern w:val="0"/>
                <w:sz w:val="21"/>
                <w:szCs w:val="18"/>
              </w:rPr>
              <w:t>氨氮</w:t>
            </w:r>
            <w:r>
              <w:rPr>
                <w:rFonts w:ascii="Times New Roman" w:hAnsi="Times New Roman"/>
                <w:kern w:val="0"/>
                <w:sz w:val="21"/>
                <w:szCs w:val="18"/>
              </w:rPr>
              <w:t>、</w:t>
            </w:r>
            <w:r>
              <w:rPr>
                <w:rFonts w:ascii="Times New Roman" w:hAnsi="Times New Roman" w:hint="eastAsia"/>
                <w:kern w:val="0"/>
                <w:sz w:val="21"/>
                <w:szCs w:val="18"/>
              </w:rPr>
              <w:t>总磷</w:t>
            </w:r>
            <w:r>
              <w:rPr>
                <w:rFonts w:ascii="Times New Roman" w:hAnsi="Times New Roman"/>
                <w:kern w:val="0"/>
                <w:sz w:val="21"/>
                <w:szCs w:val="18"/>
              </w:rPr>
              <w:t>、</w:t>
            </w:r>
            <w:r>
              <w:rPr>
                <w:rFonts w:ascii="Times New Roman" w:hAnsi="Times New Roman" w:hint="eastAsia"/>
                <w:kern w:val="0"/>
                <w:sz w:val="21"/>
                <w:szCs w:val="18"/>
              </w:rPr>
              <w:t>总氮</w:t>
            </w:r>
            <w:r>
              <w:rPr>
                <w:rFonts w:ascii="Times New Roman" w:hAnsi="Times New Roman"/>
                <w:kern w:val="0"/>
                <w:sz w:val="21"/>
                <w:szCs w:val="18"/>
              </w:rPr>
              <w:t>、</w:t>
            </w:r>
            <w:r>
              <w:rPr>
                <w:rFonts w:ascii="Times New Roman" w:hAnsi="Times New Roman" w:hint="eastAsia"/>
                <w:kern w:val="0"/>
                <w:sz w:val="21"/>
                <w:szCs w:val="18"/>
              </w:rPr>
              <w:t>铜</w:t>
            </w:r>
            <w:r>
              <w:rPr>
                <w:rFonts w:ascii="Times New Roman" w:hAnsi="Times New Roman"/>
                <w:kern w:val="0"/>
                <w:sz w:val="21"/>
                <w:szCs w:val="18"/>
              </w:rPr>
              <w:t>、</w:t>
            </w:r>
            <w:r>
              <w:rPr>
                <w:rFonts w:ascii="Times New Roman" w:hAnsi="Times New Roman" w:hint="eastAsia"/>
                <w:kern w:val="0"/>
                <w:sz w:val="21"/>
                <w:szCs w:val="18"/>
              </w:rPr>
              <w:t>锌</w:t>
            </w:r>
            <w:r>
              <w:rPr>
                <w:rFonts w:ascii="Times New Roman" w:hAnsi="Times New Roman"/>
                <w:kern w:val="0"/>
                <w:sz w:val="21"/>
                <w:szCs w:val="18"/>
              </w:rPr>
              <w:t>、</w:t>
            </w:r>
            <w:r>
              <w:rPr>
                <w:rFonts w:ascii="Times New Roman" w:hAnsi="Times New Roman" w:hint="eastAsia"/>
                <w:kern w:val="0"/>
                <w:sz w:val="21"/>
                <w:szCs w:val="18"/>
              </w:rPr>
              <w:t>铅</w:t>
            </w:r>
            <w:r>
              <w:rPr>
                <w:rFonts w:ascii="Times New Roman" w:hAnsi="Times New Roman"/>
                <w:kern w:val="0"/>
                <w:sz w:val="21"/>
                <w:szCs w:val="18"/>
              </w:rPr>
              <w:t>、</w:t>
            </w:r>
            <w:r>
              <w:rPr>
                <w:rFonts w:ascii="Times New Roman" w:hAnsi="Times New Roman" w:hint="eastAsia"/>
                <w:kern w:val="0"/>
                <w:sz w:val="21"/>
                <w:szCs w:val="18"/>
              </w:rPr>
              <w:t>镉</w:t>
            </w:r>
            <w:r>
              <w:rPr>
                <w:rFonts w:ascii="Times New Roman" w:hAnsi="Times New Roman"/>
                <w:kern w:val="0"/>
                <w:sz w:val="21"/>
                <w:szCs w:val="18"/>
              </w:rPr>
              <w:t>、</w:t>
            </w:r>
            <w:r>
              <w:rPr>
                <w:rFonts w:ascii="Times New Roman" w:hAnsi="Times New Roman"/>
                <w:kern w:val="0"/>
                <w:sz w:val="21"/>
                <w:szCs w:val="18"/>
              </w:rPr>
              <w:t>BOD5</w:t>
            </w:r>
            <w:r>
              <w:rPr>
                <w:rFonts w:ascii="Times New Roman" w:hAnsi="Times New Roman"/>
                <w:kern w:val="0"/>
                <w:sz w:val="21"/>
                <w:szCs w:val="18"/>
              </w:rPr>
              <w:t>、</w:t>
            </w:r>
            <w:r>
              <w:rPr>
                <w:rFonts w:ascii="Times New Roman" w:hAnsi="Times New Roman" w:hint="eastAsia"/>
                <w:kern w:val="0"/>
                <w:sz w:val="21"/>
                <w:szCs w:val="18"/>
              </w:rPr>
              <w:t>砷</w:t>
            </w:r>
            <w:r>
              <w:rPr>
                <w:rFonts w:ascii="Times New Roman" w:hAnsi="Times New Roman"/>
                <w:kern w:val="0"/>
                <w:sz w:val="21"/>
                <w:szCs w:val="18"/>
              </w:rPr>
              <w:t>、</w:t>
            </w:r>
            <w:r>
              <w:rPr>
                <w:rFonts w:ascii="Times New Roman" w:hAnsi="Times New Roman" w:hint="eastAsia"/>
                <w:kern w:val="0"/>
                <w:sz w:val="21"/>
                <w:szCs w:val="18"/>
              </w:rPr>
              <w:t>硒</w:t>
            </w:r>
            <w:r>
              <w:rPr>
                <w:rFonts w:ascii="Times New Roman" w:hAnsi="Times New Roman"/>
                <w:kern w:val="0"/>
                <w:sz w:val="21"/>
                <w:szCs w:val="18"/>
              </w:rPr>
              <w:t>、</w:t>
            </w:r>
            <w:r>
              <w:rPr>
                <w:rFonts w:ascii="Times New Roman" w:hAnsi="Times New Roman" w:hint="eastAsia"/>
                <w:kern w:val="0"/>
                <w:sz w:val="21"/>
                <w:szCs w:val="18"/>
              </w:rPr>
              <w:t>汞</w:t>
            </w:r>
            <w:r>
              <w:rPr>
                <w:rFonts w:ascii="Times New Roman" w:hAnsi="Times New Roman"/>
                <w:kern w:val="0"/>
                <w:sz w:val="21"/>
                <w:szCs w:val="18"/>
              </w:rPr>
              <w:t>、</w:t>
            </w:r>
            <w:r>
              <w:rPr>
                <w:rFonts w:ascii="Times New Roman" w:hAnsi="Times New Roman" w:hint="eastAsia"/>
                <w:kern w:val="0"/>
                <w:sz w:val="21"/>
                <w:szCs w:val="18"/>
              </w:rPr>
              <w:t>六价铬</w:t>
            </w:r>
            <w:r>
              <w:rPr>
                <w:rFonts w:ascii="Times New Roman" w:hAnsi="Times New Roman"/>
                <w:kern w:val="0"/>
                <w:sz w:val="21"/>
                <w:szCs w:val="18"/>
              </w:rPr>
              <w:t>、</w:t>
            </w:r>
            <w:r>
              <w:rPr>
                <w:rFonts w:ascii="Times New Roman" w:hAnsi="Times New Roman" w:hint="eastAsia"/>
                <w:kern w:val="0"/>
                <w:sz w:val="21"/>
                <w:szCs w:val="18"/>
              </w:rPr>
              <w:t>氟化物</w:t>
            </w:r>
            <w:r>
              <w:rPr>
                <w:rFonts w:ascii="Times New Roman" w:hAnsi="Times New Roman"/>
                <w:kern w:val="0"/>
                <w:sz w:val="21"/>
                <w:szCs w:val="18"/>
              </w:rPr>
              <w:t>、</w:t>
            </w:r>
            <w:r>
              <w:rPr>
                <w:rFonts w:ascii="Times New Roman" w:hAnsi="Times New Roman" w:hint="eastAsia"/>
                <w:kern w:val="0"/>
                <w:sz w:val="21"/>
                <w:szCs w:val="18"/>
              </w:rPr>
              <w:t>氰化物</w:t>
            </w:r>
            <w:r>
              <w:rPr>
                <w:rFonts w:ascii="Times New Roman" w:hAnsi="Times New Roman"/>
                <w:kern w:val="0"/>
                <w:sz w:val="21"/>
                <w:szCs w:val="18"/>
              </w:rPr>
              <w:t>、</w:t>
            </w:r>
            <w:r>
              <w:rPr>
                <w:rFonts w:ascii="Times New Roman" w:hAnsi="Times New Roman" w:hint="eastAsia"/>
                <w:kern w:val="0"/>
                <w:sz w:val="21"/>
                <w:szCs w:val="18"/>
              </w:rPr>
              <w:t>挥发酚</w:t>
            </w:r>
            <w:r>
              <w:rPr>
                <w:rFonts w:ascii="Times New Roman" w:hAnsi="Times New Roman"/>
                <w:kern w:val="0"/>
                <w:sz w:val="21"/>
                <w:szCs w:val="18"/>
              </w:rPr>
              <w:t>、</w:t>
            </w:r>
            <w:r>
              <w:rPr>
                <w:rFonts w:ascii="Times New Roman" w:hAnsi="Times New Roman" w:hint="eastAsia"/>
                <w:kern w:val="0"/>
                <w:sz w:val="21"/>
                <w:szCs w:val="18"/>
              </w:rPr>
              <w:t>石油类</w:t>
            </w:r>
            <w:r>
              <w:rPr>
                <w:rFonts w:ascii="Times New Roman" w:hAnsi="Times New Roman"/>
                <w:kern w:val="0"/>
                <w:sz w:val="21"/>
                <w:szCs w:val="18"/>
              </w:rPr>
              <w:t>、</w:t>
            </w:r>
            <w:r>
              <w:rPr>
                <w:rFonts w:ascii="Times New Roman" w:hAnsi="Times New Roman" w:hint="eastAsia"/>
                <w:kern w:val="0"/>
                <w:sz w:val="21"/>
                <w:szCs w:val="18"/>
              </w:rPr>
              <w:t>阴离子表面活性剂</w:t>
            </w:r>
            <w:r>
              <w:rPr>
                <w:rFonts w:ascii="Times New Roman" w:hAnsi="Times New Roman"/>
                <w:kern w:val="0"/>
                <w:sz w:val="21"/>
                <w:szCs w:val="18"/>
              </w:rPr>
              <w:t>、</w:t>
            </w:r>
            <w:r>
              <w:rPr>
                <w:rFonts w:ascii="Times New Roman" w:hAnsi="Times New Roman" w:hint="eastAsia"/>
                <w:kern w:val="0"/>
                <w:sz w:val="21"/>
                <w:szCs w:val="18"/>
              </w:rPr>
              <w:t>硫化物</w:t>
            </w:r>
          </w:p>
        </w:tc>
        <w:tc>
          <w:tcPr>
            <w:tcW w:w="1441" w:type="dxa"/>
            <w:vAlign w:val="center"/>
          </w:tcPr>
          <w:p w14:paraId="181DD08F" w14:textId="77777777" w:rsidR="009C353B" w:rsidRDefault="00000000">
            <w:pPr>
              <w:widowControl/>
              <w:rPr>
                <w:rFonts w:ascii="Times New Roman" w:hAnsi="Times New Roman"/>
                <w:kern w:val="0"/>
                <w:sz w:val="21"/>
                <w:szCs w:val="18"/>
              </w:rPr>
            </w:pPr>
            <w:r>
              <w:rPr>
                <w:rFonts w:ascii="Times New Roman" w:hAnsi="Times New Roman"/>
                <w:kern w:val="0"/>
                <w:sz w:val="21"/>
                <w:szCs w:val="18"/>
              </w:rPr>
              <w:t>2020</w:t>
            </w:r>
            <w:r>
              <w:rPr>
                <w:rFonts w:ascii="Times New Roman" w:hAnsi="Times New Roman"/>
                <w:kern w:val="0"/>
                <w:sz w:val="21"/>
                <w:szCs w:val="18"/>
              </w:rPr>
              <w:t>年</w:t>
            </w:r>
            <w:r>
              <w:rPr>
                <w:rFonts w:ascii="Times New Roman" w:hAnsi="Times New Roman"/>
                <w:kern w:val="0"/>
                <w:sz w:val="21"/>
                <w:szCs w:val="18"/>
              </w:rPr>
              <w:t>1</w:t>
            </w:r>
            <w:r>
              <w:rPr>
                <w:rFonts w:ascii="Times New Roman" w:hAnsi="Times New Roman" w:hint="eastAsia"/>
                <w:kern w:val="0"/>
                <w:sz w:val="21"/>
                <w:szCs w:val="18"/>
              </w:rPr>
              <w:t>~4</w:t>
            </w:r>
            <w:r>
              <w:rPr>
                <w:rFonts w:ascii="Times New Roman" w:hAnsi="Times New Roman" w:hint="eastAsia"/>
                <w:kern w:val="0"/>
                <w:sz w:val="21"/>
                <w:szCs w:val="18"/>
              </w:rPr>
              <w:t>月</w:t>
            </w:r>
          </w:p>
        </w:tc>
      </w:tr>
    </w:tbl>
    <w:p w14:paraId="2BD6F7F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地表水环境质量监测结果见表</w:t>
      </w:r>
      <w:r>
        <w:rPr>
          <w:rFonts w:ascii="Times New Roman" w:hAnsi="Times New Roman"/>
        </w:rPr>
        <w:t>3.3-</w:t>
      </w:r>
      <w:r>
        <w:rPr>
          <w:rFonts w:ascii="Times New Roman" w:hAnsi="Times New Roman" w:hint="eastAsia"/>
        </w:rPr>
        <w:t>3</w:t>
      </w:r>
      <w:r>
        <w:rPr>
          <w:rFonts w:ascii="Times New Roman" w:hAnsi="Times New Roman" w:hint="eastAsia"/>
        </w:rPr>
        <w:t>、</w:t>
      </w:r>
      <w:r>
        <w:rPr>
          <w:rFonts w:ascii="Times New Roman" w:hAnsi="Times New Roman" w:hint="eastAsia"/>
        </w:rPr>
        <w:t>3</w:t>
      </w:r>
      <w:r>
        <w:rPr>
          <w:rFonts w:ascii="Times New Roman" w:hAnsi="Times New Roman"/>
        </w:rPr>
        <w:t>.3</w:t>
      </w:r>
      <w:r>
        <w:rPr>
          <w:rFonts w:ascii="Times New Roman" w:hAnsi="Times New Roman" w:hint="eastAsia"/>
        </w:rPr>
        <w:t>-4</w:t>
      </w:r>
      <w:r>
        <w:rPr>
          <w:rFonts w:ascii="Times New Roman" w:hAnsi="Times New Roman"/>
        </w:rPr>
        <w:t>。</w:t>
      </w:r>
    </w:p>
    <w:p w14:paraId="70F2EA82" w14:textId="77777777" w:rsidR="009C353B" w:rsidRDefault="009C353B">
      <w:pPr>
        <w:adjustRightInd w:val="0"/>
        <w:snapToGrid w:val="0"/>
        <w:spacing w:line="440" w:lineRule="exact"/>
        <w:ind w:firstLineChars="200" w:firstLine="480"/>
        <w:rPr>
          <w:rFonts w:ascii="Times New Roman" w:hAnsi="Times New Roman"/>
        </w:rPr>
        <w:sectPr w:rsidR="009C353B">
          <w:headerReference w:type="default" r:id="rId190"/>
          <w:pgSz w:w="11907" w:h="16840"/>
          <w:pgMar w:top="1701" w:right="1418" w:bottom="1418" w:left="1418" w:header="1134" w:footer="851" w:gutter="0"/>
          <w:paperSrc w:first="7" w:other="7"/>
          <w:cols w:space="720"/>
          <w:docGrid w:linePitch="312"/>
        </w:sectPr>
      </w:pPr>
    </w:p>
    <w:p w14:paraId="321B7723" w14:textId="77777777" w:rsidR="009C353B" w:rsidRDefault="00000000">
      <w:pPr>
        <w:spacing w:line="400" w:lineRule="exact"/>
        <w:jc w:val="center"/>
        <w:rPr>
          <w:rFonts w:ascii="Times New Roman" w:hAnsi="Times New Roman"/>
          <w:b/>
        </w:rPr>
      </w:pPr>
      <w:r>
        <w:rPr>
          <w:rFonts w:ascii="Times New Roman" w:hint="eastAsia"/>
          <w:b/>
        </w:rPr>
        <w:t>水洞沟、大河子沟</w:t>
      </w:r>
      <w:r>
        <w:rPr>
          <w:rFonts w:ascii="Times New Roman"/>
          <w:b/>
        </w:rPr>
        <w:t>水环境质量现状监测结果</w:t>
      </w:r>
    </w:p>
    <w:p w14:paraId="62B64192" w14:textId="77777777" w:rsidR="009C353B" w:rsidRDefault="00000000">
      <w:pPr>
        <w:spacing w:line="400" w:lineRule="exact"/>
        <w:outlineLvl w:val="4"/>
        <w:rPr>
          <w:rFonts w:ascii="Times New Roman" w:hAnsi="Times New Roman"/>
        </w:rPr>
      </w:pPr>
      <w:r>
        <w:rPr>
          <w:rFonts w:ascii="Times New Roman"/>
        </w:rPr>
        <w:t>表</w:t>
      </w:r>
      <w:r>
        <w:rPr>
          <w:rFonts w:ascii="Times New Roman" w:hAnsi="Times New Roman"/>
        </w:rPr>
        <w:t>3.3-</w:t>
      </w:r>
      <w:r>
        <w:rPr>
          <w:rFonts w:ascii="Times New Roman" w:hAnsi="Times New Roman" w:hint="eastAsia"/>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709"/>
        <w:gridCol w:w="709"/>
        <w:gridCol w:w="709"/>
        <w:gridCol w:w="708"/>
        <w:gridCol w:w="709"/>
        <w:gridCol w:w="709"/>
        <w:gridCol w:w="682"/>
        <w:gridCol w:w="724"/>
        <w:gridCol w:w="676"/>
        <w:gridCol w:w="676"/>
        <w:gridCol w:w="644"/>
        <w:gridCol w:w="709"/>
        <w:gridCol w:w="708"/>
        <w:gridCol w:w="709"/>
        <w:gridCol w:w="709"/>
        <w:gridCol w:w="709"/>
        <w:gridCol w:w="1383"/>
      </w:tblGrid>
      <w:tr w:rsidR="009C353B" w14:paraId="1E28DDEC" w14:textId="77777777">
        <w:trPr>
          <w:trHeight w:val="340"/>
          <w:tblHeader/>
        </w:trPr>
        <w:tc>
          <w:tcPr>
            <w:tcW w:w="1838" w:type="dxa"/>
            <w:gridSpan w:val="2"/>
            <w:vMerge w:val="restart"/>
            <w:shd w:val="clear" w:color="auto" w:fill="auto"/>
            <w:noWrap/>
            <w:vAlign w:val="center"/>
          </w:tcPr>
          <w:p w14:paraId="04FE5F4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监测断面</w:t>
            </w:r>
          </w:p>
        </w:tc>
        <w:tc>
          <w:tcPr>
            <w:tcW w:w="6302" w:type="dxa"/>
            <w:gridSpan w:val="9"/>
            <w:shd w:val="clear" w:color="auto" w:fill="auto"/>
            <w:noWrap/>
            <w:vAlign w:val="center"/>
          </w:tcPr>
          <w:p w14:paraId="2D9AB79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水洞沟</w:t>
            </w:r>
          </w:p>
        </w:tc>
        <w:tc>
          <w:tcPr>
            <w:tcW w:w="4188" w:type="dxa"/>
            <w:gridSpan w:val="6"/>
            <w:shd w:val="clear" w:color="auto" w:fill="auto"/>
            <w:vAlign w:val="center"/>
          </w:tcPr>
          <w:p w14:paraId="23829C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大河子沟</w:t>
            </w:r>
          </w:p>
        </w:tc>
        <w:tc>
          <w:tcPr>
            <w:tcW w:w="1383" w:type="dxa"/>
            <w:vMerge w:val="restart"/>
            <w:shd w:val="clear" w:color="auto" w:fill="auto"/>
            <w:noWrap/>
            <w:vAlign w:val="center"/>
          </w:tcPr>
          <w:p w14:paraId="64C2BF1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IV</w:t>
            </w:r>
            <w:r>
              <w:rPr>
                <w:rFonts w:ascii="Times New Roman" w:eastAsiaTheme="minorEastAsia" w:hAnsi="Times New Roman"/>
                <w:kern w:val="0"/>
                <w:sz w:val="21"/>
                <w:szCs w:val="21"/>
              </w:rPr>
              <w:t>类标准</w:t>
            </w:r>
          </w:p>
        </w:tc>
      </w:tr>
      <w:tr w:rsidR="009C353B" w14:paraId="2F91CD3E" w14:textId="77777777">
        <w:trPr>
          <w:trHeight w:val="340"/>
          <w:tblHeader/>
        </w:trPr>
        <w:tc>
          <w:tcPr>
            <w:tcW w:w="1838" w:type="dxa"/>
            <w:gridSpan w:val="2"/>
            <w:vMerge/>
            <w:vAlign w:val="center"/>
          </w:tcPr>
          <w:p w14:paraId="20D66C0C"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5CFBBC8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709" w:type="dxa"/>
            <w:shd w:val="clear" w:color="auto" w:fill="auto"/>
            <w:noWrap/>
            <w:vAlign w:val="center"/>
          </w:tcPr>
          <w:p w14:paraId="407BB14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c>
          <w:tcPr>
            <w:tcW w:w="708" w:type="dxa"/>
            <w:shd w:val="clear" w:color="auto" w:fill="auto"/>
            <w:noWrap/>
            <w:vAlign w:val="center"/>
          </w:tcPr>
          <w:p w14:paraId="644BBEE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709" w:type="dxa"/>
            <w:shd w:val="clear" w:color="auto" w:fill="auto"/>
            <w:noWrap/>
            <w:vAlign w:val="center"/>
          </w:tcPr>
          <w:p w14:paraId="48E7E89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709" w:type="dxa"/>
            <w:shd w:val="clear" w:color="auto" w:fill="auto"/>
            <w:noWrap/>
            <w:vAlign w:val="center"/>
          </w:tcPr>
          <w:p w14:paraId="03D354B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c>
          <w:tcPr>
            <w:tcW w:w="682" w:type="dxa"/>
            <w:shd w:val="clear" w:color="auto" w:fill="auto"/>
            <w:noWrap/>
            <w:vAlign w:val="center"/>
          </w:tcPr>
          <w:p w14:paraId="5D665C4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724" w:type="dxa"/>
            <w:shd w:val="clear" w:color="auto" w:fill="auto"/>
            <w:noWrap/>
            <w:vAlign w:val="center"/>
          </w:tcPr>
          <w:p w14:paraId="3AEF018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676" w:type="dxa"/>
            <w:shd w:val="clear" w:color="auto" w:fill="auto"/>
            <w:noWrap/>
            <w:vAlign w:val="center"/>
          </w:tcPr>
          <w:p w14:paraId="7E1AB44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c>
          <w:tcPr>
            <w:tcW w:w="676" w:type="dxa"/>
            <w:shd w:val="clear" w:color="auto" w:fill="auto"/>
            <w:noWrap/>
            <w:vAlign w:val="center"/>
          </w:tcPr>
          <w:p w14:paraId="61828A3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644" w:type="dxa"/>
            <w:shd w:val="clear" w:color="auto" w:fill="auto"/>
            <w:noWrap/>
            <w:vAlign w:val="center"/>
          </w:tcPr>
          <w:p w14:paraId="67FC4C7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709" w:type="dxa"/>
            <w:shd w:val="clear" w:color="auto" w:fill="auto"/>
            <w:noWrap/>
            <w:vAlign w:val="center"/>
          </w:tcPr>
          <w:p w14:paraId="550D98A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708" w:type="dxa"/>
            <w:shd w:val="clear" w:color="auto" w:fill="auto"/>
            <w:noWrap/>
            <w:vAlign w:val="center"/>
          </w:tcPr>
          <w:p w14:paraId="05A6972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709" w:type="dxa"/>
            <w:shd w:val="clear" w:color="auto" w:fill="auto"/>
            <w:noWrap/>
            <w:vAlign w:val="center"/>
          </w:tcPr>
          <w:p w14:paraId="6300EA5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709" w:type="dxa"/>
            <w:shd w:val="clear" w:color="auto" w:fill="auto"/>
            <w:noWrap/>
            <w:vAlign w:val="center"/>
          </w:tcPr>
          <w:p w14:paraId="352AD02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709" w:type="dxa"/>
            <w:shd w:val="clear" w:color="auto" w:fill="auto"/>
            <w:noWrap/>
            <w:vAlign w:val="center"/>
          </w:tcPr>
          <w:p w14:paraId="4680BCD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1383" w:type="dxa"/>
            <w:vMerge/>
            <w:vAlign w:val="center"/>
          </w:tcPr>
          <w:p w14:paraId="53D8646F" w14:textId="77777777" w:rsidR="009C353B" w:rsidRDefault="009C353B">
            <w:pPr>
              <w:widowControl/>
              <w:jc w:val="center"/>
              <w:rPr>
                <w:rFonts w:ascii="Times New Roman" w:eastAsiaTheme="minorEastAsia" w:hAnsi="Times New Roman"/>
                <w:kern w:val="0"/>
                <w:sz w:val="21"/>
                <w:szCs w:val="21"/>
              </w:rPr>
            </w:pPr>
          </w:p>
        </w:tc>
      </w:tr>
      <w:tr w:rsidR="009C353B" w14:paraId="70BBC2A4" w14:textId="77777777">
        <w:trPr>
          <w:trHeight w:val="340"/>
          <w:tblHeader/>
        </w:trPr>
        <w:tc>
          <w:tcPr>
            <w:tcW w:w="1838" w:type="dxa"/>
            <w:gridSpan w:val="2"/>
            <w:shd w:val="clear" w:color="auto" w:fill="auto"/>
            <w:noWrap/>
            <w:vAlign w:val="center"/>
          </w:tcPr>
          <w:p w14:paraId="077B91F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监测时间</w:t>
            </w:r>
          </w:p>
        </w:tc>
        <w:tc>
          <w:tcPr>
            <w:tcW w:w="2126" w:type="dxa"/>
            <w:gridSpan w:val="3"/>
            <w:shd w:val="clear" w:color="auto" w:fill="auto"/>
            <w:noWrap/>
            <w:vAlign w:val="center"/>
          </w:tcPr>
          <w:p w14:paraId="2A9BDE1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2020-8-7</w:t>
            </w:r>
          </w:p>
        </w:tc>
        <w:tc>
          <w:tcPr>
            <w:tcW w:w="2100" w:type="dxa"/>
            <w:gridSpan w:val="3"/>
            <w:shd w:val="clear" w:color="auto" w:fill="auto"/>
            <w:noWrap/>
            <w:vAlign w:val="center"/>
          </w:tcPr>
          <w:p w14:paraId="38A4E48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2020-8-8</w:t>
            </w:r>
          </w:p>
        </w:tc>
        <w:tc>
          <w:tcPr>
            <w:tcW w:w="2076" w:type="dxa"/>
            <w:gridSpan w:val="3"/>
            <w:shd w:val="clear" w:color="auto" w:fill="auto"/>
            <w:noWrap/>
            <w:vAlign w:val="center"/>
          </w:tcPr>
          <w:p w14:paraId="28DF579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2020-8-9</w:t>
            </w:r>
          </w:p>
        </w:tc>
        <w:tc>
          <w:tcPr>
            <w:tcW w:w="1353" w:type="dxa"/>
            <w:gridSpan w:val="2"/>
            <w:shd w:val="clear" w:color="auto" w:fill="auto"/>
            <w:noWrap/>
            <w:vAlign w:val="center"/>
          </w:tcPr>
          <w:p w14:paraId="1B30528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2020-8-7</w:t>
            </w:r>
          </w:p>
        </w:tc>
        <w:tc>
          <w:tcPr>
            <w:tcW w:w="1417" w:type="dxa"/>
            <w:gridSpan w:val="2"/>
            <w:shd w:val="clear" w:color="auto" w:fill="auto"/>
            <w:noWrap/>
            <w:vAlign w:val="center"/>
          </w:tcPr>
          <w:p w14:paraId="27DB365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2020-8-8</w:t>
            </w:r>
          </w:p>
        </w:tc>
        <w:tc>
          <w:tcPr>
            <w:tcW w:w="1418" w:type="dxa"/>
            <w:gridSpan w:val="2"/>
            <w:shd w:val="clear" w:color="auto" w:fill="auto"/>
            <w:noWrap/>
            <w:vAlign w:val="center"/>
          </w:tcPr>
          <w:p w14:paraId="1FBFDED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2020-8-9</w:t>
            </w:r>
          </w:p>
        </w:tc>
        <w:tc>
          <w:tcPr>
            <w:tcW w:w="1383" w:type="dxa"/>
            <w:vMerge/>
            <w:vAlign w:val="center"/>
          </w:tcPr>
          <w:p w14:paraId="1ED51CBA" w14:textId="77777777" w:rsidR="009C353B" w:rsidRDefault="009C353B">
            <w:pPr>
              <w:widowControl/>
              <w:jc w:val="center"/>
              <w:rPr>
                <w:rFonts w:ascii="Times New Roman" w:eastAsiaTheme="minorEastAsia" w:hAnsi="Times New Roman"/>
                <w:kern w:val="0"/>
                <w:sz w:val="21"/>
                <w:szCs w:val="21"/>
              </w:rPr>
            </w:pPr>
          </w:p>
        </w:tc>
      </w:tr>
      <w:tr w:rsidR="009C353B" w14:paraId="25993CA1" w14:textId="77777777">
        <w:trPr>
          <w:cantSplit/>
          <w:trHeight w:val="340"/>
        </w:trPr>
        <w:tc>
          <w:tcPr>
            <w:tcW w:w="1129" w:type="dxa"/>
            <w:shd w:val="clear" w:color="auto" w:fill="auto"/>
            <w:noWrap/>
            <w:vAlign w:val="center"/>
          </w:tcPr>
          <w:p w14:paraId="6E26FAD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水温</w:t>
            </w:r>
            <w:r>
              <w:rPr>
                <w:rFonts w:ascii="Times New Roman" w:eastAsiaTheme="minorEastAsia" w:hAnsi="Times New Roman"/>
                <w:kern w:val="0"/>
                <w:sz w:val="21"/>
                <w:szCs w:val="21"/>
              </w:rPr>
              <w:t>(°C)</w:t>
            </w:r>
          </w:p>
        </w:tc>
        <w:tc>
          <w:tcPr>
            <w:tcW w:w="709" w:type="dxa"/>
            <w:shd w:val="clear" w:color="auto" w:fill="auto"/>
            <w:noWrap/>
            <w:vAlign w:val="center"/>
          </w:tcPr>
          <w:p w14:paraId="6871443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5C52206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23.6</w:t>
            </w:r>
          </w:p>
        </w:tc>
        <w:tc>
          <w:tcPr>
            <w:tcW w:w="709" w:type="dxa"/>
            <w:shd w:val="clear" w:color="auto" w:fill="auto"/>
            <w:noWrap/>
            <w:vAlign w:val="center"/>
          </w:tcPr>
          <w:p w14:paraId="55B130D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22.8</w:t>
            </w:r>
          </w:p>
        </w:tc>
        <w:tc>
          <w:tcPr>
            <w:tcW w:w="708" w:type="dxa"/>
            <w:shd w:val="clear" w:color="auto" w:fill="auto"/>
            <w:noWrap/>
            <w:vAlign w:val="center"/>
          </w:tcPr>
          <w:p w14:paraId="09AC38E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23.4</w:t>
            </w:r>
          </w:p>
        </w:tc>
        <w:tc>
          <w:tcPr>
            <w:tcW w:w="709" w:type="dxa"/>
            <w:shd w:val="clear" w:color="auto" w:fill="auto"/>
            <w:noWrap/>
            <w:vAlign w:val="center"/>
          </w:tcPr>
          <w:p w14:paraId="2F1076C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23.8</w:t>
            </w:r>
          </w:p>
        </w:tc>
        <w:tc>
          <w:tcPr>
            <w:tcW w:w="709" w:type="dxa"/>
            <w:shd w:val="clear" w:color="auto" w:fill="auto"/>
            <w:noWrap/>
            <w:vAlign w:val="center"/>
          </w:tcPr>
          <w:p w14:paraId="25A956E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22.6</w:t>
            </w:r>
          </w:p>
        </w:tc>
        <w:tc>
          <w:tcPr>
            <w:tcW w:w="682" w:type="dxa"/>
            <w:shd w:val="clear" w:color="auto" w:fill="auto"/>
            <w:noWrap/>
            <w:vAlign w:val="center"/>
          </w:tcPr>
          <w:p w14:paraId="6C76E47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22.8</w:t>
            </w:r>
          </w:p>
        </w:tc>
        <w:tc>
          <w:tcPr>
            <w:tcW w:w="724" w:type="dxa"/>
            <w:shd w:val="clear" w:color="auto" w:fill="auto"/>
            <w:noWrap/>
            <w:vAlign w:val="center"/>
          </w:tcPr>
          <w:p w14:paraId="28282E5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23.8</w:t>
            </w:r>
          </w:p>
        </w:tc>
        <w:tc>
          <w:tcPr>
            <w:tcW w:w="676" w:type="dxa"/>
            <w:shd w:val="clear" w:color="auto" w:fill="auto"/>
            <w:noWrap/>
            <w:vAlign w:val="center"/>
          </w:tcPr>
          <w:p w14:paraId="288733A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22.4</w:t>
            </w:r>
          </w:p>
        </w:tc>
        <w:tc>
          <w:tcPr>
            <w:tcW w:w="676" w:type="dxa"/>
            <w:shd w:val="clear" w:color="auto" w:fill="auto"/>
            <w:noWrap/>
            <w:vAlign w:val="center"/>
          </w:tcPr>
          <w:p w14:paraId="65D531E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22.6</w:t>
            </w:r>
          </w:p>
        </w:tc>
        <w:tc>
          <w:tcPr>
            <w:tcW w:w="644" w:type="dxa"/>
            <w:shd w:val="clear" w:color="auto" w:fill="auto"/>
            <w:noWrap/>
            <w:vAlign w:val="center"/>
          </w:tcPr>
          <w:p w14:paraId="3EE9745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24.6</w:t>
            </w:r>
          </w:p>
        </w:tc>
        <w:tc>
          <w:tcPr>
            <w:tcW w:w="709" w:type="dxa"/>
            <w:shd w:val="clear" w:color="auto" w:fill="auto"/>
            <w:noWrap/>
            <w:vAlign w:val="center"/>
          </w:tcPr>
          <w:p w14:paraId="1D220C1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22.8</w:t>
            </w:r>
          </w:p>
        </w:tc>
        <w:tc>
          <w:tcPr>
            <w:tcW w:w="708" w:type="dxa"/>
            <w:shd w:val="clear" w:color="auto" w:fill="auto"/>
            <w:noWrap/>
            <w:vAlign w:val="center"/>
          </w:tcPr>
          <w:p w14:paraId="3E37D02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23.8</w:t>
            </w:r>
          </w:p>
        </w:tc>
        <w:tc>
          <w:tcPr>
            <w:tcW w:w="709" w:type="dxa"/>
            <w:shd w:val="clear" w:color="auto" w:fill="auto"/>
            <w:noWrap/>
            <w:vAlign w:val="center"/>
          </w:tcPr>
          <w:p w14:paraId="7E3998F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22.6</w:t>
            </w:r>
          </w:p>
        </w:tc>
        <w:tc>
          <w:tcPr>
            <w:tcW w:w="709" w:type="dxa"/>
            <w:shd w:val="clear" w:color="auto" w:fill="auto"/>
            <w:noWrap/>
            <w:vAlign w:val="center"/>
          </w:tcPr>
          <w:p w14:paraId="02AF624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23.8</w:t>
            </w:r>
          </w:p>
        </w:tc>
        <w:tc>
          <w:tcPr>
            <w:tcW w:w="709" w:type="dxa"/>
            <w:shd w:val="clear" w:color="auto" w:fill="auto"/>
            <w:noWrap/>
            <w:vAlign w:val="center"/>
          </w:tcPr>
          <w:p w14:paraId="1D59159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22.2</w:t>
            </w:r>
          </w:p>
        </w:tc>
        <w:tc>
          <w:tcPr>
            <w:tcW w:w="1383" w:type="dxa"/>
            <w:shd w:val="clear" w:color="auto" w:fill="auto"/>
            <w:noWrap/>
            <w:vAlign w:val="center"/>
          </w:tcPr>
          <w:p w14:paraId="7D9DB0E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7EF63CC3" w14:textId="77777777">
        <w:trPr>
          <w:cantSplit/>
          <w:trHeight w:val="340"/>
        </w:trPr>
        <w:tc>
          <w:tcPr>
            <w:tcW w:w="1129" w:type="dxa"/>
            <w:vMerge w:val="restart"/>
            <w:shd w:val="clear" w:color="auto" w:fill="auto"/>
            <w:noWrap/>
            <w:vAlign w:val="center"/>
          </w:tcPr>
          <w:p w14:paraId="02B7BFB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值</w:t>
            </w:r>
          </w:p>
        </w:tc>
        <w:tc>
          <w:tcPr>
            <w:tcW w:w="709" w:type="dxa"/>
            <w:shd w:val="clear" w:color="auto" w:fill="auto"/>
            <w:noWrap/>
            <w:vAlign w:val="center"/>
          </w:tcPr>
          <w:p w14:paraId="5E43619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5A02E27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8.59</w:t>
            </w:r>
          </w:p>
        </w:tc>
        <w:tc>
          <w:tcPr>
            <w:tcW w:w="709" w:type="dxa"/>
            <w:shd w:val="clear" w:color="auto" w:fill="auto"/>
            <w:noWrap/>
            <w:vAlign w:val="center"/>
          </w:tcPr>
          <w:p w14:paraId="3BB6406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8.11</w:t>
            </w:r>
          </w:p>
        </w:tc>
        <w:tc>
          <w:tcPr>
            <w:tcW w:w="708" w:type="dxa"/>
            <w:shd w:val="clear" w:color="auto" w:fill="auto"/>
            <w:noWrap/>
            <w:vAlign w:val="center"/>
          </w:tcPr>
          <w:p w14:paraId="59D1751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7.8</w:t>
            </w:r>
          </w:p>
        </w:tc>
        <w:tc>
          <w:tcPr>
            <w:tcW w:w="709" w:type="dxa"/>
            <w:shd w:val="clear" w:color="auto" w:fill="auto"/>
            <w:noWrap/>
            <w:vAlign w:val="center"/>
          </w:tcPr>
          <w:p w14:paraId="53863D7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8.59</w:t>
            </w:r>
          </w:p>
        </w:tc>
        <w:tc>
          <w:tcPr>
            <w:tcW w:w="709" w:type="dxa"/>
            <w:shd w:val="clear" w:color="auto" w:fill="auto"/>
            <w:noWrap/>
            <w:vAlign w:val="center"/>
          </w:tcPr>
          <w:p w14:paraId="5FEFC71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8.12</w:t>
            </w:r>
          </w:p>
        </w:tc>
        <w:tc>
          <w:tcPr>
            <w:tcW w:w="682" w:type="dxa"/>
            <w:shd w:val="clear" w:color="auto" w:fill="auto"/>
            <w:noWrap/>
            <w:vAlign w:val="center"/>
          </w:tcPr>
          <w:p w14:paraId="0CB6335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7.8</w:t>
            </w:r>
          </w:p>
        </w:tc>
        <w:tc>
          <w:tcPr>
            <w:tcW w:w="724" w:type="dxa"/>
            <w:shd w:val="clear" w:color="auto" w:fill="auto"/>
            <w:noWrap/>
            <w:vAlign w:val="center"/>
          </w:tcPr>
          <w:p w14:paraId="44DC9D5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8.58</w:t>
            </w:r>
          </w:p>
        </w:tc>
        <w:tc>
          <w:tcPr>
            <w:tcW w:w="676" w:type="dxa"/>
            <w:shd w:val="clear" w:color="auto" w:fill="auto"/>
            <w:noWrap/>
            <w:vAlign w:val="center"/>
          </w:tcPr>
          <w:p w14:paraId="5E8C314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8.11</w:t>
            </w:r>
          </w:p>
        </w:tc>
        <w:tc>
          <w:tcPr>
            <w:tcW w:w="676" w:type="dxa"/>
            <w:shd w:val="clear" w:color="auto" w:fill="auto"/>
            <w:noWrap/>
            <w:vAlign w:val="center"/>
          </w:tcPr>
          <w:p w14:paraId="434B262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7.81</w:t>
            </w:r>
          </w:p>
        </w:tc>
        <w:tc>
          <w:tcPr>
            <w:tcW w:w="644" w:type="dxa"/>
            <w:shd w:val="clear" w:color="auto" w:fill="auto"/>
            <w:noWrap/>
            <w:vAlign w:val="center"/>
          </w:tcPr>
          <w:p w14:paraId="3503198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8.47</w:t>
            </w:r>
          </w:p>
        </w:tc>
        <w:tc>
          <w:tcPr>
            <w:tcW w:w="709" w:type="dxa"/>
            <w:shd w:val="clear" w:color="auto" w:fill="auto"/>
            <w:noWrap/>
            <w:vAlign w:val="center"/>
          </w:tcPr>
          <w:p w14:paraId="52F64F5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8.63</w:t>
            </w:r>
          </w:p>
        </w:tc>
        <w:tc>
          <w:tcPr>
            <w:tcW w:w="708" w:type="dxa"/>
            <w:shd w:val="clear" w:color="auto" w:fill="auto"/>
            <w:noWrap/>
            <w:vAlign w:val="center"/>
          </w:tcPr>
          <w:p w14:paraId="4E4DAE0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8.46</w:t>
            </w:r>
          </w:p>
        </w:tc>
        <w:tc>
          <w:tcPr>
            <w:tcW w:w="709" w:type="dxa"/>
            <w:shd w:val="clear" w:color="auto" w:fill="auto"/>
            <w:noWrap/>
            <w:vAlign w:val="center"/>
          </w:tcPr>
          <w:p w14:paraId="1519B64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8.62</w:t>
            </w:r>
          </w:p>
        </w:tc>
        <w:tc>
          <w:tcPr>
            <w:tcW w:w="709" w:type="dxa"/>
            <w:shd w:val="clear" w:color="auto" w:fill="auto"/>
            <w:noWrap/>
            <w:vAlign w:val="center"/>
          </w:tcPr>
          <w:p w14:paraId="1671BD8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8.47</w:t>
            </w:r>
          </w:p>
        </w:tc>
        <w:tc>
          <w:tcPr>
            <w:tcW w:w="709" w:type="dxa"/>
            <w:shd w:val="clear" w:color="auto" w:fill="auto"/>
            <w:noWrap/>
            <w:vAlign w:val="center"/>
          </w:tcPr>
          <w:p w14:paraId="248166D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8.64</w:t>
            </w:r>
          </w:p>
        </w:tc>
        <w:tc>
          <w:tcPr>
            <w:tcW w:w="1383" w:type="dxa"/>
            <w:vMerge w:val="restart"/>
            <w:shd w:val="clear" w:color="auto" w:fill="auto"/>
            <w:noWrap/>
            <w:vAlign w:val="center"/>
          </w:tcPr>
          <w:p w14:paraId="1353552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6~9</w:t>
            </w:r>
          </w:p>
        </w:tc>
      </w:tr>
      <w:tr w:rsidR="009C353B" w14:paraId="0FA607E7" w14:textId="77777777">
        <w:trPr>
          <w:cantSplit/>
          <w:trHeight w:val="340"/>
        </w:trPr>
        <w:tc>
          <w:tcPr>
            <w:tcW w:w="1129" w:type="dxa"/>
            <w:vMerge/>
            <w:vAlign w:val="center"/>
          </w:tcPr>
          <w:p w14:paraId="4785FA41"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79DE5B5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6263F12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w:t>
            </w:r>
          </w:p>
        </w:tc>
        <w:tc>
          <w:tcPr>
            <w:tcW w:w="709" w:type="dxa"/>
            <w:shd w:val="clear" w:color="auto" w:fill="auto"/>
            <w:noWrap/>
            <w:vAlign w:val="center"/>
          </w:tcPr>
          <w:p w14:paraId="2F2639A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0.56</w:t>
            </w:r>
          </w:p>
        </w:tc>
        <w:tc>
          <w:tcPr>
            <w:tcW w:w="708" w:type="dxa"/>
            <w:shd w:val="clear" w:color="auto" w:fill="auto"/>
            <w:noWrap/>
            <w:vAlign w:val="center"/>
          </w:tcPr>
          <w:p w14:paraId="687EC47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w:t>
            </w:r>
          </w:p>
        </w:tc>
        <w:tc>
          <w:tcPr>
            <w:tcW w:w="709" w:type="dxa"/>
            <w:shd w:val="clear" w:color="auto" w:fill="auto"/>
            <w:noWrap/>
            <w:vAlign w:val="center"/>
          </w:tcPr>
          <w:p w14:paraId="6244BCC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w:t>
            </w:r>
          </w:p>
        </w:tc>
        <w:tc>
          <w:tcPr>
            <w:tcW w:w="709" w:type="dxa"/>
            <w:shd w:val="clear" w:color="auto" w:fill="auto"/>
            <w:noWrap/>
            <w:vAlign w:val="center"/>
          </w:tcPr>
          <w:p w14:paraId="020C436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0.56</w:t>
            </w:r>
          </w:p>
        </w:tc>
        <w:tc>
          <w:tcPr>
            <w:tcW w:w="682" w:type="dxa"/>
            <w:shd w:val="clear" w:color="auto" w:fill="auto"/>
            <w:noWrap/>
            <w:vAlign w:val="center"/>
          </w:tcPr>
          <w:p w14:paraId="2B82264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w:t>
            </w:r>
          </w:p>
        </w:tc>
        <w:tc>
          <w:tcPr>
            <w:tcW w:w="724" w:type="dxa"/>
            <w:shd w:val="clear" w:color="auto" w:fill="auto"/>
            <w:noWrap/>
            <w:vAlign w:val="center"/>
          </w:tcPr>
          <w:p w14:paraId="3B03283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0.79</w:t>
            </w:r>
          </w:p>
        </w:tc>
        <w:tc>
          <w:tcPr>
            <w:tcW w:w="676" w:type="dxa"/>
            <w:shd w:val="clear" w:color="auto" w:fill="auto"/>
            <w:noWrap/>
            <w:vAlign w:val="center"/>
          </w:tcPr>
          <w:p w14:paraId="0329CBB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0.56</w:t>
            </w:r>
          </w:p>
        </w:tc>
        <w:tc>
          <w:tcPr>
            <w:tcW w:w="676" w:type="dxa"/>
            <w:shd w:val="clear" w:color="auto" w:fill="auto"/>
            <w:noWrap/>
            <w:vAlign w:val="center"/>
          </w:tcPr>
          <w:p w14:paraId="75785B1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0.41</w:t>
            </w:r>
          </w:p>
        </w:tc>
        <w:tc>
          <w:tcPr>
            <w:tcW w:w="644" w:type="dxa"/>
            <w:shd w:val="clear" w:color="auto" w:fill="auto"/>
            <w:noWrap/>
            <w:vAlign w:val="center"/>
          </w:tcPr>
          <w:p w14:paraId="254B124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0.74</w:t>
            </w:r>
          </w:p>
        </w:tc>
        <w:tc>
          <w:tcPr>
            <w:tcW w:w="709" w:type="dxa"/>
            <w:shd w:val="clear" w:color="auto" w:fill="auto"/>
            <w:noWrap/>
            <w:vAlign w:val="center"/>
          </w:tcPr>
          <w:p w14:paraId="4C0993B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0.82</w:t>
            </w:r>
          </w:p>
        </w:tc>
        <w:tc>
          <w:tcPr>
            <w:tcW w:w="708" w:type="dxa"/>
            <w:shd w:val="clear" w:color="auto" w:fill="auto"/>
            <w:noWrap/>
            <w:vAlign w:val="center"/>
          </w:tcPr>
          <w:p w14:paraId="2675F1B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0.73</w:t>
            </w:r>
          </w:p>
        </w:tc>
        <w:tc>
          <w:tcPr>
            <w:tcW w:w="709" w:type="dxa"/>
            <w:shd w:val="clear" w:color="auto" w:fill="auto"/>
            <w:noWrap/>
            <w:vAlign w:val="center"/>
          </w:tcPr>
          <w:p w14:paraId="15C5A49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0.81</w:t>
            </w:r>
          </w:p>
        </w:tc>
        <w:tc>
          <w:tcPr>
            <w:tcW w:w="709" w:type="dxa"/>
            <w:shd w:val="clear" w:color="auto" w:fill="auto"/>
            <w:noWrap/>
            <w:vAlign w:val="center"/>
          </w:tcPr>
          <w:p w14:paraId="5A48CCF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0.74</w:t>
            </w:r>
          </w:p>
        </w:tc>
        <w:tc>
          <w:tcPr>
            <w:tcW w:w="709" w:type="dxa"/>
            <w:shd w:val="clear" w:color="auto" w:fill="auto"/>
            <w:noWrap/>
            <w:vAlign w:val="center"/>
          </w:tcPr>
          <w:p w14:paraId="35EAEBF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0.82</w:t>
            </w:r>
          </w:p>
        </w:tc>
        <w:tc>
          <w:tcPr>
            <w:tcW w:w="1383" w:type="dxa"/>
            <w:vMerge/>
            <w:vAlign w:val="center"/>
          </w:tcPr>
          <w:p w14:paraId="106BB907" w14:textId="77777777" w:rsidR="009C353B" w:rsidRDefault="009C353B">
            <w:pPr>
              <w:widowControl/>
              <w:jc w:val="center"/>
              <w:rPr>
                <w:rFonts w:ascii="Times New Roman" w:eastAsiaTheme="minorEastAsia" w:hAnsi="Times New Roman"/>
                <w:kern w:val="0"/>
                <w:sz w:val="21"/>
                <w:szCs w:val="21"/>
              </w:rPr>
            </w:pPr>
          </w:p>
        </w:tc>
      </w:tr>
      <w:tr w:rsidR="009C353B" w14:paraId="6B158F83" w14:textId="77777777">
        <w:trPr>
          <w:cantSplit/>
          <w:trHeight w:val="340"/>
        </w:trPr>
        <w:tc>
          <w:tcPr>
            <w:tcW w:w="1129" w:type="dxa"/>
            <w:vMerge w:val="restart"/>
            <w:shd w:val="clear" w:color="auto" w:fill="auto"/>
            <w:noWrap/>
            <w:vAlign w:val="center"/>
          </w:tcPr>
          <w:p w14:paraId="6F89F1E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溶解氧</w:t>
            </w:r>
            <w:r>
              <w:rPr>
                <w:rFonts w:ascii="Times New Roman" w:eastAsiaTheme="minorEastAsia" w:hAnsi="Times New Roman"/>
                <w:kern w:val="0"/>
                <w:sz w:val="21"/>
                <w:szCs w:val="21"/>
              </w:rPr>
              <w:t>(mg/L)</w:t>
            </w:r>
          </w:p>
        </w:tc>
        <w:tc>
          <w:tcPr>
            <w:tcW w:w="709" w:type="dxa"/>
            <w:shd w:val="clear" w:color="auto" w:fill="auto"/>
            <w:noWrap/>
            <w:vAlign w:val="center"/>
          </w:tcPr>
          <w:p w14:paraId="1A11DB4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3A14DFD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6.2</w:t>
            </w:r>
          </w:p>
        </w:tc>
        <w:tc>
          <w:tcPr>
            <w:tcW w:w="709" w:type="dxa"/>
            <w:shd w:val="clear" w:color="auto" w:fill="auto"/>
            <w:noWrap/>
            <w:vAlign w:val="center"/>
          </w:tcPr>
          <w:p w14:paraId="4DDD3BA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5.3</w:t>
            </w:r>
          </w:p>
        </w:tc>
        <w:tc>
          <w:tcPr>
            <w:tcW w:w="708" w:type="dxa"/>
            <w:shd w:val="clear" w:color="auto" w:fill="auto"/>
            <w:noWrap/>
            <w:vAlign w:val="center"/>
          </w:tcPr>
          <w:p w14:paraId="3B45BCF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5.1</w:t>
            </w:r>
          </w:p>
        </w:tc>
        <w:tc>
          <w:tcPr>
            <w:tcW w:w="709" w:type="dxa"/>
            <w:shd w:val="clear" w:color="auto" w:fill="auto"/>
            <w:noWrap/>
            <w:vAlign w:val="center"/>
          </w:tcPr>
          <w:p w14:paraId="7D6E7CD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6.4</w:t>
            </w:r>
          </w:p>
        </w:tc>
        <w:tc>
          <w:tcPr>
            <w:tcW w:w="709" w:type="dxa"/>
            <w:shd w:val="clear" w:color="auto" w:fill="auto"/>
            <w:noWrap/>
            <w:vAlign w:val="center"/>
          </w:tcPr>
          <w:p w14:paraId="12B8E1C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5.5</w:t>
            </w:r>
          </w:p>
        </w:tc>
        <w:tc>
          <w:tcPr>
            <w:tcW w:w="682" w:type="dxa"/>
            <w:shd w:val="clear" w:color="auto" w:fill="auto"/>
            <w:noWrap/>
            <w:vAlign w:val="center"/>
          </w:tcPr>
          <w:p w14:paraId="59BB8C9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5.3</w:t>
            </w:r>
          </w:p>
        </w:tc>
        <w:tc>
          <w:tcPr>
            <w:tcW w:w="724" w:type="dxa"/>
            <w:shd w:val="clear" w:color="auto" w:fill="auto"/>
            <w:noWrap/>
            <w:vAlign w:val="center"/>
          </w:tcPr>
          <w:p w14:paraId="0B0DD7F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6.1</w:t>
            </w:r>
          </w:p>
        </w:tc>
        <w:tc>
          <w:tcPr>
            <w:tcW w:w="676" w:type="dxa"/>
            <w:shd w:val="clear" w:color="auto" w:fill="auto"/>
            <w:noWrap/>
            <w:vAlign w:val="center"/>
          </w:tcPr>
          <w:p w14:paraId="2D223D4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5.7</w:t>
            </w:r>
          </w:p>
        </w:tc>
        <w:tc>
          <w:tcPr>
            <w:tcW w:w="676" w:type="dxa"/>
            <w:shd w:val="clear" w:color="auto" w:fill="auto"/>
            <w:noWrap/>
            <w:vAlign w:val="center"/>
          </w:tcPr>
          <w:p w14:paraId="15948E0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5.4</w:t>
            </w:r>
          </w:p>
        </w:tc>
        <w:tc>
          <w:tcPr>
            <w:tcW w:w="644" w:type="dxa"/>
            <w:shd w:val="clear" w:color="auto" w:fill="auto"/>
            <w:noWrap/>
            <w:vAlign w:val="center"/>
          </w:tcPr>
          <w:p w14:paraId="7F196AD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7.2</w:t>
            </w:r>
          </w:p>
        </w:tc>
        <w:tc>
          <w:tcPr>
            <w:tcW w:w="709" w:type="dxa"/>
            <w:shd w:val="clear" w:color="auto" w:fill="auto"/>
            <w:noWrap/>
            <w:vAlign w:val="center"/>
          </w:tcPr>
          <w:p w14:paraId="0D24EB8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7.8</w:t>
            </w:r>
          </w:p>
        </w:tc>
        <w:tc>
          <w:tcPr>
            <w:tcW w:w="708" w:type="dxa"/>
            <w:shd w:val="clear" w:color="auto" w:fill="auto"/>
            <w:noWrap/>
            <w:vAlign w:val="center"/>
          </w:tcPr>
          <w:p w14:paraId="5C6CC56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7.4</w:t>
            </w:r>
          </w:p>
        </w:tc>
        <w:tc>
          <w:tcPr>
            <w:tcW w:w="709" w:type="dxa"/>
            <w:shd w:val="clear" w:color="auto" w:fill="auto"/>
            <w:noWrap/>
            <w:vAlign w:val="center"/>
          </w:tcPr>
          <w:p w14:paraId="53DDEA1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7.6</w:t>
            </w:r>
          </w:p>
        </w:tc>
        <w:tc>
          <w:tcPr>
            <w:tcW w:w="709" w:type="dxa"/>
            <w:shd w:val="clear" w:color="auto" w:fill="auto"/>
            <w:noWrap/>
            <w:vAlign w:val="center"/>
          </w:tcPr>
          <w:p w14:paraId="03696C5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7.1</w:t>
            </w:r>
          </w:p>
        </w:tc>
        <w:tc>
          <w:tcPr>
            <w:tcW w:w="709" w:type="dxa"/>
            <w:shd w:val="clear" w:color="auto" w:fill="auto"/>
            <w:noWrap/>
            <w:vAlign w:val="center"/>
          </w:tcPr>
          <w:p w14:paraId="7E6EEB9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7.3</w:t>
            </w:r>
          </w:p>
        </w:tc>
        <w:tc>
          <w:tcPr>
            <w:tcW w:w="1383" w:type="dxa"/>
            <w:vMerge w:val="restart"/>
            <w:shd w:val="clear" w:color="auto" w:fill="auto"/>
            <w:noWrap/>
            <w:vAlign w:val="center"/>
          </w:tcPr>
          <w:p w14:paraId="005229A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r>
      <w:tr w:rsidR="009C353B" w14:paraId="3A8CD734" w14:textId="77777777">
        <w:trPr>
          <w:cantSplit/>
          <w:trHeight w:val="340"/>
        </w:trPr>
        <w:tc>
          <w:tcPr>
            <w:tcW w:w="1129" w:type="dxa"/>
            <w:vMerge/>
            <w:vAlign w:val="center"/>
          </w:tcPr>
          <w:p w14:paraId="352F813D"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7A7DD18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47DD30F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0.73</w:t>
            </w:r>
          </w:p>
        </w:tc>
        <w:tc>
          <w:tcPr>
            <w:tcW w:w="709" w:type="dxa"/>
            <w:shd w:val="clear" w:color="auto" w:fill="auto"/>
            <w:noWrap/>
            <w:vAlign w:val="center"/>
          </w:tcPr>
          <w:p w14:paraId="0BAC61A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0.62</w:t>
            </w:r>
          </w:p>
        </w:tc>
        <w:tc>
          <w:tcPr>
            <w:tcW w:w="708" w:type="dxa"/>
            <w:shd w:val="clear" w:color="auto" w:fill="auto"/>
            <w:noWrap/>
            <w:vAlign w:val="center"/>
          </w:tcPr>
          <w:p w14:paraId="6F2B090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w:t>
            </w:r>
          </w:p>
        </w:tc>
        <w:tc>
          <w:tcPr>
            <w:tcW w:w="709" w:type="dxa"/>
            <w:shd w:val="clear" w:color="auto" w:fill="auto"/>
            <w:noWrap/>
            <w:vAlign w:val="center"/>
          </w:tcPr>
          <w:p w14:paraId="6107193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0.76</w:t>
            </w:r>
          </w:p>
        </w:tc>
        <w:tc>
          <w:tcPr>
            <w:tcW w:w="709" w:type="dxa"/>
            <w:shd w:val="clear" w:color="auto" w:fill="auto"/>
            <w:noWrap/>
            <w:vAlign w:val="center"/>
          </w:tcPr>
          <w:p w14:paraId="685EC5D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0.64</w:t>
            </w:r>
          </w:p>
        </w:tc>
        <w:tc>
          <w:tcPr>
            <w:tcW w:w="682" w:type="dxa"/>
            <w:shd w:val="clear" w:color="auto" w:fill="auto"/>
            <w:noWrap/>
            <w:vAlign w:val="center"/>
          </w:tcPr>
          <w:p w14:paraId="16D9B7A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0.62</w:t>
            </w:r>
          </w:p>
        </w:tc>
        <w:tc>
          <w:tcPr>
            <w:tcW w:w="724" w:type="dxa"/>
            <w:shd w:val="clear" w:color="auto" w:fill="auto"/>
            <w:noWrap/>
            <w:vAlign w:val="center"/>
          </w:tcPr>
          <w:p w14:paraId="396771F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0.72</w:t>
            </w:r>
          </w:p>
        </w:tc>
        <w:tc>
          <w:tcPr>
            <w:tcW w:w="676" w:type="dxa"/>
            <w:shd w:val="clear" w:color="auto" w:fill="auto"/>
            <w:noWrap/>
            <w:vAlign w:val="center"/>
          </w:tcPr>
          <w:p w14:paraId="508CB51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0.66</w:t>
            </w:r>
          </w:p>
        </w:tc>
        <w:tc>
          <w:tcPr>
            <w:tcW w:w="676" w:type="dxa"/>
            <w:shd w:val="clear" w:color="auto" w:fill="auto"/>
            <w:noWrap/>
            <w:vAlign w:val="center"/>
          </w:tcPr>
          <w:p w14:paraId="410C772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0.63</w:t>
            </w:r>
          </w:p>
        </w:tc>
        <w:tc>
          <w:tcPr>
            <w:tcW w:w="644" w:type="dxa"/>
            <w:shd w:val="clear" w:color="auto" w:fill="auto"/>
            <w:noWrap/>
            <w:vAlign w:val="center"/>
          </w:tcPr>
          <w:p w14:paraId="164391F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0.86</w:t>
            </w:r>
          </w:p>
        </w:tc>
        <w:tc>
          <w:tcPr>
            <w:tcW w:w="709" w:type="dxa"/>
            <w:shd w:val="clear" w:color="auto" w:fill="auto"/>
            <w:noWrap/>
            <w:vAlign w:val="center"/>
          </w:tcPr>
          <w:p w14:paraId="3943B48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0.91</w:t>
            </w:r>
          </w:p>
        </w:tc>
        <w:tc>
          <w:tcPr>
            <w:tcW w:w="708" w:type="dxa"/>
            <w:shd w:val="clear" w:color="auto" w:fill="auto"/>
            <w:noWrap/>
            <w:vAlign w:val="center"/>
          </w:tcPr>
          <w:p w14:paraId="75718C4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0.88</w:t>
            </w:r>
          </w:p>
        </w:tc>
        <w:tc>
          <w:tcPr>
            <w:tcW w:w="709" w:type="dxa"/>
            <w:shd w:val="clear" w:color="auto" w:fill="auto"/>
            <w:noWrap/>
            <w:vAlign w:val="center"/>
          </w:tcPr>
          <w:p w14:paraId="201FC64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0.88</w:t>
            </w:r>
          </w:p>
        </w:tc>
        <w:tc>
          <w:tcPr>
            <w:tcW w:w="709" w:type="dxa"/>
            <w:shd w:val="clear" w:color="auto" w:fill="auto"/>
            <w:noWrap/>
            <w:vAlign w:val="center"/>
          </w:tcPr>
          <w:p w14:paraId="7E06721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0.84</w:t>
            </w:r>
          </w:p>
        </w:tc>
        <w:tc>
          <w:tcPr>
            <w:tcW w:w="709" w:type="dxa"/>
            <w:shd w:val="clear" w:color="auto" w:fill="auto"/>
            <w:noWrap/>
            <w:vAlign w:val="center"/>
          </w:tcPr>
          <w:p w14:paraId="58532C6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0.84</w:t>
            </w:r>
          </w:p>
        </w:tc>
        <w:tc>
          <w:tcPr>
            <w:tcW w:w="1383" w:type="dxa"/>
            <w:vMerge/>
            <w:vAlign w:val="center"/>
          </w:tcPr>
          <w:p w14:paraId="09DB3BAB" w14:textId="77777777" w:rsidR="009C353B" w:rsidRDefault="009C353B">
            <w:pPr>
              <w:widowControl/>
              <w:jc w:val="center"/>
              <w:rPr>
                <w:rFonts w:ascii="Times New Roman" w:eastAsiaTheme="minorEastAsia" w:hAnsi="Times New Roman"/>
                <w:kern w:val="0"/>
                <w:sz w:val="21"/>
                <w:szCs w:val="21"/>
              </w:rPr>
            </w:pPr>
          </w:p>
        </w:tc>
      </w:tr>
      <w:tr w:rsidR="009C353B" w14:paraId="46BE4171" w14:textId="77777777">
        <w:trPr>
          <w:cantSplit/>
          <w:trHeight w:val="340"/>
        </w:trPr>
        <w:tc>
          <w:tcPr>
            <w:tcW w:w="1129" w:type="dxa"/>
            <w:shd w:val="clear" w:color="auto" w:fill="auto"/>
            <w:noWrap/>
            <w:vAlign w:val="center"/>
          </w:tcPr>
          <w:p w14:paraId="4828B5B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悬浮物</w:t>
            </w:r>
            <w:r>
              <w:rPr>
                <w:rFonts w:ascii="Times New Roman" w:eastAsiaTheme="minorEastAsia" w:hAnsi="Times New Roman"/>
                <w:kern w:val="0"/>
                <w:sz w:val="21"/>
                <w:szCs w:val="21"/>
              </w:rPr>
              <w:t>(mg/L)</w:t>
            </w:r>
          </w:p>
        </w:tc>
        <w:tc>
          <w:tcPr>
            <w:tcW w:w="709" w:type="dxa"/>
            <w:shd w:val="clear" w:color="auto" w:fill="auto"/>
            <w:noWrap/>
            <w:vAlign w:val="center"/>
          </w:tcPr>
          <w:p w14:paraId="5CCF0BE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0E09B85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11</w:t>
            </w:r>
          </w:p>
        </w:tc>
        <w:tc>
          <w:tcPr>
            <w:tcW w:w="709" w:type="dxa"/>
            <w:shd w:val="clear" w:color="auto" w:fill="auto"/>
            <w:noWrap/>
            <w:vAlign w:val="center"/>
          </w:tcPr>
          <w:p w14:paraId="25F2171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14</w:t>
            </w:r>
          </w:p>
        </w:tc>
        <w:tc>
          <w:tcPr>
            <w:tcW w:w="708" w:type="dxa"/>
            <w:shd w:val="clear" w:color="auto" w:fill="auto"/>
            <w:noWrap/>
            <w:vAlign w:val="center"/>
          </w:tcPr>
          <w:p w14:paraId="536C57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w:t>
            </w:r>
          </w:p>
        </w:tc>
        <w:tc>
          <w:tcPr>
            <w:tcW w:w="709" w:type="dxa"/>
            <w:shd w:val="clear" w:color="auto" w:fill="auto"/>
            <w:noWrap/>
            <w:vAlign w:val="center"/>
          </w:tcPr>
          <w:p w14:paraId="7E75C3A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14</w:t>
            </w:r>
          </w:p>
        </w:tc>
        <w:tc>
          <w:tcPr>
            <w:tcW w:w="709" w:type="dxa"/>
            <w:shd w:val="clear" w:color="auto" w:fill="auto"/>
            <w:noWrap/>
            <w:vAlign w:val="center"/>
          </w:tcPr>
          <w:p w14:paraId="06E01CD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w:t>
            </w:r>
          </w:p>
        </w:tc>
        <w:tc>
          <w:tcPr>
            <w:tcW w:w="682" w:type="dxa"/>
            <w:shd w:val="clear" w:color="auto" w:fill="auto"/>
            <w:noWrap/>
            <w:vAlign w:val="center"/>
          </w:tcPr>
          <w:p w14:paraId="5EBE192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15</w:t>
            </w:r>
          </w:p>
        </w:tc>
        <w:tc>
          <w:tcPr>
            <w:tcW w:w="724" w:type="dxa"/>
            <w:shd w:val="clear" w:color="auto" w:fill="auto"/>
            <w:noWrap/>
            <w:vAlign w:val="center"/>
          </w:tcPr>
          <w:p w14:paraId="3DD6B7F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13</w:t>
            </w:r>
          </w:p>
        </w:tc>
        <w:tc>
          <w:tcPr>
            <w:tcW w:w="676" w:type="dxa"/>
            <w:shd w:val="clear" w:color="auto" w:fill="auto"/>
            <w:noWrap/>
            <w:vAlign w:val="center"/>
          </w:tcPr>
          <w:p w14:paraId="715D5D2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16</w:t>
            </w:r>
          </w:p>
        </w:tc>
        <w:tc>
          <w:tcPr>
            <w:tcW w:w="676" w:type="dxa"/>
            <w:shd w:val="clear" w:color="auto" w:fill="auto"/>
            <w:noWrap/>
            <w:vAlign w:val="center"/>
          </w:tcPr>
          <w:p w14:paraId="25CC28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17</w:t>
            </w:r>
          </w:p>
        </w:tc>
        <w:tc>
          <w:tcPr>
            <w:tcW w:w="644" w:type="dxa"/>
            <w:shd w:val="clear" w:color="auto" w:fill="auto"/>
            <w:noWrap/>
            <w:vAlign w:val="center"/>
          </w:tcPr>
          <w:p w14:paraId="244A813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17</w:t>
            </w:r>
          </w:p>
        </w:tc>
        <w:tc>
          <w:tcPr>
            <w:tcW w:w="709" w:type="dxa"/>
            <w:shd w:val="clear" w:color="auto" w:fill="auto"/>
            <w:noWrap/>
            <w:vAlign w:val="center"/>
          </w:tcPr>
          <w:p w14:paraId="594CA7A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28</w:t>
            </w:r>
          </w:p>
        </w:tc>
        <w:tc>
          <w:tcPr>
            <w:tcW w:w="708" w:type="dxa"/>
            <w:shd w:val="clear" w:color="auto" w:fill="auto"/>
            <w:noWrap/>
            <w:vAlign w:val="center"/>
          </w:tcPr>
          <w:p w14:paraId="6CC9594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19</w:t>
            </w:r>
          </w:p>
        </w:tc>
        <w:tc>
          <w:tcPr>
            <w:tcW w:w="709" w:type="dxa"/>
            <w:shd w:val="clear" w:color="auto" w:fill="auto"/>
            <w:noWrap/>
            <w:vAlign w:val="center"/>
          </w:tcPr>
          <w:p w14:paraId="037228C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30</w:t>
            </w:r>
          </w:p>
        </w:tc>
        <w:tc>
          <w:tcPr>
            <w:tcW w:w="709" w:type="dxa"/>
            <w:shd w:val="clear" w:color="auto" w:fill="auto"/>
            <w:noWrap/>
            <w:vAlign w:val="center"/>
          </w:tcPr>
          <w:p w14:paraId="4D92E7B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15</w:t>
            </w:r>
          </w:p>
        </w:tc>
        <w:tc>
          <w:tcPr>
            <w:tcW w:w="709" w:type="dxa"/>
            <w:shd w:val="clear" w:color="auto" w:fill="auto"/>
            <w:noWrap/>
            <w:vAlign w:val="center"/>
          </w:tcPr>
          <w:p w14:paraId="17CFD1F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32</w:t>
            </w:r>
          </w:p>
        </w:tc>
        <w:tc>
          <w:tcPr>
            <w:tcW w:w="1383" w:type="dxa"/>
            <w:shd w:val="clear" w:color="auto" w:fill="auto"/>
            <w:noWrap/>
            <w:vAlign w:val="center"/>
          </w:tcPr>
          <w:p w14:paraId="1AB5AD1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23547430" w14:textId="77777777">
        <w:trPr>
          <w:cantSplit/>
          <w:trHeight w:val="340"/>
        </w:trPr>
        <w:tc>
          <w:tcPr>
            <w:tcW w:w="1129" w:type="dxa"/>
            <w:shd w:val="clear" w:color="auto" w:fill="auto"/>
            <w:noWrap/>
            <w:vAlign w:val="center"/>
          </w:tcPr>
          <w:p w14:paraId="0BE1701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溶解性总固体</w:t>
            </w:r>
            <w:r>
              <w:rPr>
                <w:rFonts w:ascii="Times New Roman" w:eastAsiaTheme="minorEastAsia" w:hAnsi="Times New Roman"/>
                <w:kern w:val="0"/>
                <w:sz w:val="21"/>
                <w:szCs w:val="21"/>
              </w:rPr>
              <w:t>(mg/L)</w:t>
            </w:r>
          </w:p>
        </w:tc>
        <w:tc>
          <w:tcPr>
            <w:tcW w:w="709" w:type="dxa"/>
            <w:shd w:val="clear" w:color="auto" w:fill="auto"/>
            <w:noWrap/>
            <w:vAlign w:val="center"/>
          </w:tcPr>
          <w:p w14:paraId="62959BE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vAlign w:val="center"/>
          </w:tcPr>
          <w:p w14:paraId="208B220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6.29×10</w:t>
            </w:r>
            <w:r>
              <w:rPr>
                <w:rFonts w:ascii="Times New Roman" w:eastAsiaTheme="minorEastAsia" w:hAnsi="Times New Roman"/>
                <w:kern w:val="0"/>
                <w:sz w:val="21"/>
                <w:szCs w:val="21"/>
                <w:vertAlign w:val="superscript"/>
              </w:rPr>
              <w:t>3</w:t>
            </w:r>
          </w:p>
        </w:tc>
        <w:tc>
          <w:tcPr>
            <w:tcW w:w="709" w:type="dxa"/>
            <w:shd w:val="clear" w:color="auto" w:fill="auto"/>
            <w:vAlign w:val="center"/>
          </w:tcPr>
          <w:p w14:paraId="14A4F4A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7.58×10</w:t>
            </w:r>
            <w:r>
              <w:rPr>
                <w:rFonts w:ascii="Times New Roman" w:eastAsiaTheme="minorEastAsia" w:hAnsi="Times New Roman"/>
                <w:kern w:val="0"/>
                <w:sz w:val="21"/>
                <w:szCs w:val="21"/>
                <w:vertAlign w:val="superscript"/>
              </w:rPr>
              <w:t>3</w:t>
            </w:r>
          </w:p>
        </w:tc>
        <w:tc>
          <w:tcPr>
            <w:tcW w:w="708" w:type="dxa"/>
            <w:shd w:val="clear" w:color="auto" w:fill="auto"/>
            <w:vAlign w:val="center"/>
          </w:tcPr>
          <w:p w14:paraId="1749A40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9.19×10</w:t>
            </w:r>
            <w:r>
              <w:rPr>
                <w:rFonts w:ascii="Times New Roman" w:eastAsiaTheme="minorEastAsia" w:hAnsi="Times New Roman"/>
                <w:kern w:val="0"/>
                <w:sz w:val="21"/>
                <w:szCs w:val="21"/>
                <w:vertAlign w:val="superscript"/>
              </w:rPr>
              <w:t>3</w:t>
            </w:r>
          </w:p>
        </w:tc>
        <w:tc>
          <w:tcPr>
            <w:tcW w:w="709" w:type="dxa"/>
            <w:shd w:val="clear" w:color="auto" w:fill="auto"/>
            <w:vAlign w:val="center"/>
          </w:tcPr>
          <w:p w14:paraId="7F26445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6.10×10</w:t>
            </w:r>
            <w:r>
              <w:rPr>
                <w:rFonts w:ascii="Times New Roman" w:eastAsiaTheme="minorEastAsia" w:hAnsi="Times New Roman"/>
                <w:kern w:val="0"/>
                <w:sz w:val="21"/>
                <w:szCs w:val="21"/>
                <w:vertAlign w:val="superscript"/>
              </w:rPr>
              <w:t>3</w:t>
            </w:r>
          </w:p>
        </w:tc>
        <w:tc>
          <w:tcPr>
            <w:tcW w:w="709" w:type="dxa"/>
            <w:shd w:val="clear" w:color="auto" w:fill="auto"/>
            <w:vAlign w:val="center"/>
          </w:tcPr>
          <w:p w14:paraId="7A19508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7.65×10</w:t>
            </w:r>
            <w:r>
              <w:rPr>
                <w:rFonts w:ascii="Times New Roman" w:eastAsiaTheme="minorEastAsia" w:hAnsi="Times New Roman"/>
                <w:kern w:val="0"/>
                <w:sz w:val="21"/>
                <w:szCs w:val="21"/>
                <w:vertAlign w:val="superscript"/>
              </w:rPr>
              <w:t>3</w:t>
            </w:r>
          </w:p>
        </w:tc>
        <w:tc>
          <w:tcPr>
            <w:tcW w:w="682" w:type="dxa"/>
            <w:shd w:val="clear" w:color="auto" w:fill="auto"/>
            <w:vAlign w:val="center"/>
          </w:tcPr>
          <w:p w14:paraId="3832C2B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9.10×10</w:t>
            </w:r>
            <w:r>
              <w:rPr>
                <w:rFonts w:ascii="Times New Roman" w:eastAsiaTheme="minorEastAsia" w:hAnsi="Times New Roman"/>
                <w:kern w:val="0"/>
                <w:sz w:val="21"/>
                <w:szCs w:val="21"/>
                <w:vertAlign w:val="superscript"/>
              </w:rPr>
              <w:t>3</w:t>
            </w:r>
          </w:p>
        </w:tc>
        <w:tc>
          <w:tcPr>
            <w:tcW w:w="724" w:type="dxa"/>
            <w:shd w:val="clear" w:color="auto" w:fill="auto"/>
            <w:vAlign w:val="center"/>
          </w:tcPr>
          <w:p w14:paraId="0E652D4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6.16×10</w:t>
            </w:r>
            <w:r>
              <w:rPr>
                <w:rFonts w:ascii="Times New Roman" w:eastAsiaTheme="minorEastAsia" w:hAnsi="Times New Roman"/>
                <w:kern w:val="0"/>
                <w:sz w:val="21"/>
                <w:szCs w:val="21"/>
                <w:vertAlign w:val="superscript"/>
              </w:rPr>
              <w:t>3</w:t>
            </w:r>
          </w:p>
        </w:tc>
        <w:tc>
          <w:tcPr>
            <w:tcW w:w="676" w:type="dxa"/>
            <w:shd w:val="clear" w:color="auto" w:fill="auto"/>
            <w:vAlign w:val="center"/>
          </w:tcPr>
          <w:p w14:paraId="5A865F6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7.61×10</w:t>
            </w:r>
            <w:r>
              <w:rPr>
                <w:rFonts w:ascii="Times New Roman" w:eastAsiaTheme="minorEastAsia" w:hAnsi="Times New Roman"/>
                <w:kern w:val="0"/>
                <w:sz w:val="21"/>
                <w:szCs w:val="21"/>
                <w:vertAlign w:val="superscript"/>
              </w:rPr>
              <w:t>3</w:t>
            </w:r>
          </w:p>
        </w:tc>
        <w:tc>
          <w:tcPr>
            <w:tcW w:w="676" w:type="dxa"/>
            <w:shd w:val="clear" w:color="auto" w:fill="auto"/>
            <w:vAlign w:val="center"/>
          </w:tcPr>
          <w:p w14:paraId="7007844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9.17×10</w:t>
            </w:r>
            <w:r>
              <w:rPr>
                <w:rFonts w:ascii="Times New Roman" w:eastAsiaTheme="minorEastAsia" w:hAnsi="Times New Roman"/>
                <w:kern w:val="0"/>
                <w:sz w:val="21"/>
                <w:szCs w:val="21"/>
                <w:vertAlign w:val="superscript"/>
              </w:rPr>
              <w:t>3</w:t>
            </w:r>
          </w:p>
        </w:tc>
        <w:tc>
          <w:tcPr>
            <w:tcW w:w="644" w:type="dxa"/>
            <w:shd w:val="clear" w:color="auto" w:fill="auto"/>
            <w:vAlign w:val="center"/>
          </w:tcPr>
          <w:p w14:paraId="6B6A940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6.02×10</w:t>
            </w:r>
            <w:r>
              <w:rPr>
                <w:rFonts w:ascii="Times New Roman" w:eastAsiaTheme="minorEastAsia" w:hAnsi="Times New Roman"/>
                <w:kern w:val="0"/>
                <w:sz w:val="21"/>
                <w:szCs w:val="21"/>
                <w:vertAlign w:val="superscript"/>
              </w:rPr>
              <w:t>3</w:t>
            </w:r>
          </w:p>
        </w:tc>
        <w:tc>
          <w:tcPr>
            <w:tcW w:w="709" w:type="dxa"/>
            <w:shd w:val="clear" w:color="auto" w:fill="auto"/>
            <w:vAlign w:val="center"/>
          </w:tcPr>
          <w:p w14:paraId="72BD8A4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6.00×10</w:t>
            </w:r>
            <w:r>
              <w:rPr>
                <w:rFonts w:ascii="Times New Roman" w:eastAsiaTheme="minorEastAsia" w:hAnsi="Times New Roman"/>
                <w:kern w:val="0"/>
                <w:sz w:val="21"/>
                <w:szCs w:val="21"/>
                <w:vertAlign w:val="superscript"/>
              </w:rPr>
              <w:t>3</w:t>
            </w:r>
          </w:p>
        </w:tc>
        <w:tc>
          <w:tcPr>
            <w:tcW w:w="708" w:type="dxa"/>
            <w:shd w:val="clear" w:color="auto" w:fill="auto"/>
            <w:vAlign w:val="center"/>
          </w:tcPr>
          <w:p w14:paraId="6C6FFAB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6.17×10</w:t>
            </w:r>
            <w:r>
              <w:rPr>
                <w:rFonts w:ascii="Times New Roman" w:eastAsiaTheme="minorEastAsia" w:hAnsi="Times New Roman"/>
                <w:kern w:val="0"/>
                <w:sz w:val="21"/>
                <w:szCs w:val="21"/>
                <w:vertAlign w:val="superscript"/>
              </w:rPr>
              <w:t>3</w:t>
            </w:r>
          </w:p>
        </w:tc>
        <w:tc>
          <w:tcPr>
            <w:tcW w:w="709" w:type="dxa"/>
            <w:shd w:val="clear" w:color="auto" w:fill="auto"/>
            <w:vAlign w:val="center"/>
          </w:tcPr>
          <w:p w14:paraId="1EF1849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6.05×10</w:t>
            </w:r>
            <w:r>
              <w:rPr>
                <w:rFonts w:ascii="Times New Roman" w:eastAsiaTheme="minorEastAsia" w:hAnsi="Times New Roman"/>
                <w:kern w:val="0"/>
                <w:sz w:val="21"/>
                <w:szCs w:val="21"/>
                <w:vertAlign w:val="superscript"/>
              </w:rPr>
              <w:t>3</w:t>
            </w:r>
          </w:p>
        </w:tc>
        <w:tc>
          <w:tcPr>
            <w:tcW w:w="709" w:type="dxa"/>
            <w:shd w:val="clear" w:color="auto" w:fill="auto"/>
            <w:vAlign w:val="center"/>
          </w:tcPr>
          <w:p w14:paraId="3277529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6.14×10</w:t>
            </w:r>
            <w:r>
              <w:rPr>
                <w:rFonts w:ascii="Times New Roman" w:eastAsiaTheme="minorEastAsia" w:hAnsi="Times New Roman"/>
                <w:kern w:val="0"/>
                <w:sz w:val="21"/>
                <w:szCs w:val="21"/>
                <w:vertAlign w:val="superscript"/>
              </w:rPr>
              <w:t>3</w:t>
            </w:r>
          </w:p>
        </w:tc>
        <w:tc>
          <w:tcPr>
            <w:tcW w:w="709" w:type="dxa"/>
            <w:shd w:val="clear" w:color="auto" w:fill="auto"/>
            <w:vAlign w:val="center"/>
          </w:tcPr>
          <w:p w14:paraId="26A75EB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6.09×10</w:t>
            </w:r>
            <w:r>
              <w:rPr>
                <w:rFonts w:ascii="Times New Roman" w:eastAsiaTheme="minorEastAsia" w:hAnsi="Times New Roman"/>
                <w:kern w:val="0"/>
                <w:sz w:val="21"/>
                <w:szCs w:val="21"/>
                <w:vertAlign w:val="superscript"/>
              </w:rPr>
              <w:t>3</w:t>
            </w:r>
          </w:p>
        </w:tc>
        <w:tc>
          <w:tcPr>
            <w:tcW w:w="1383" w:type="dxa"/>
            <w:shd w:val="clear" w:color="auto" w:fill="auto"/>
            <w:vAlign w:val="center"/>
          </w:tcPr>
          <w:p w14:paraId="7DEA5F3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74567922" w14:textId="77777777">
        <w:trPr>
          <w:cantSplit/>
          <w:trHeight w:val="340"/>
        </w:trPr>
        <w:tc>
          <w:tcPr>
            <w:tcW w:w="1129" w:type="dxa"/>
            <w:vMerge w:val="restart"/>
            <w:shd w:val="clear" w:color="auto" w:fill="auto"/>
            <w:noWrap/>
            <w:vAlign w:val="center"/>
          </w:tcPr>
          <w:p w14:paraId="79FA24C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化学需氧量</w:t>
            </w:r>
            <w:r>
              <w:rPr>
                <w:rFonts w:ascii="Times New Roman" w:eastAsiaTheme="minorEastAsia" w:hAnsi="Times New Roman"/>
                <w:kern w:val="0"/>
                <w:sz w:val="21"/>
                <w:szCs w:val="21"/>
              </w:rPr>
              <w:t>(mg/L)</w:t>
            </w:r>
          </w:p>
        </w:tc>
        <w:tc>
          <w:tcPr>
            <w:tcW w:w="709" w:type="dxa"/>
            <w:shd w:val="clear" w:color="auto" w:fill="auto"/>
            <w:noWrap/>
            <w:vAlign w:val="center"/>
          </w:tcPr>
          <w:p w14:paraId="0C621A9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2AA22E1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35</w:t>
            </w:r>
          </w:p>
        </w:tc>
        <w:tc>
          <w:tcPr>
            <w:tcW w:w="709" w:type="dxa"/>
            <w:shd w:val="clear" w:color="auto" w:fill="auto"/>
            <w:noWrap/>
            <w:vAlign w:val="center"/>
          </w:tcPr>
          <w:p w14:paraId="2ACE835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44</w:t>
            </w:r>
          </w:p>
        </w:tc>
        <w:tc>
          <w:tcPr>
            <w:tcW w:w="708" w:type="dxa"/>
            <w:shd w:val="clear" w:color="auto" w:fill="auto"/>
            <w:noWrap/>
            <w:vAlign w:val="center"/>
          </w:tcPr>
          <w:p w14:paraId="4F9184C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30</w:t>
            </w:r>
          </w:p>
        </w:tc>
        <w:tc>
          <w:tcPr>
            <w:tcW w:w="709" w:type="dxa"/>
            <w:shd w:val="clear" w:color="auto" w:fill="auto"/>
            <w:noWrap/>
            <w:vAlign w:val="center"/>
          </w:tcPr>
          <w:p w14:paraId="1C9FE73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33</w:t>
            </w:r>
          </w:p>
        </w:tc>
        <w:tc>
          <w:tcPr>
            <w:tcW w:w="709" w:type="dxa"/>
            <w:shd w:val="clear" w:color="auto" w:fill="auto"/>
            <w:noWrap/>
            <w:vAlign w:val="center"/>
          </w:tcPr>
          <w:p w14:paraId="3D76EF4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46</w:t>
            </w:r>
          </w:p>
        </w:tc>
        <w:tc>
          <w:tcPr>
            <w:tcW w:w="682" w:type="dxa"/>
            <w:shd w:val="clear" w:color="auto" w:fill="auto"/>
            <w:noWrap/>
            <w:vAlign w:val="center"/>
          </w:tcPr>
          <w:p w14:paraId="16C6EBD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29</w:t>
            </w:r>
          </w:p>
        </w:tc>
        <w:tc>
          <w:tcPr>
            <w:tcW w:w="724" w:type="dxa"/>
            <w:shd w:val="clear" w:color="auto" w:fill="auto"/>
            <w:noWrap/>
            <w:vAlign w:val="center"/>
          </w:tcPr>
          <w:p w14:paraId="68513CB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32</w:t>
            </w:r>
          </w:p>
        </w:tc>
        <w:tc>
          <w:tcPr>
            <w:tcW w:w="676" w:type="dxa"/>
            <w:shd w:val="clear" w:color="auto" w:fill="auto"/>
            <w:noWrap/>
            <w:vAlign w:val="center"/>
          </w:tcPr>
          <w:p w14:paraId="0F9219A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42</w:t>
            </w:r>
          </w:p>
        </w:tc>
        <w:tc>
          <w:tcPr>
            <w:tcW w:w="676" w:type="dxa"/>
            <w:shd w:val="clear" w:color="auto" w:fill="auto"/>
            <w:noWrap/>
            <w:vAlign w:val="center"/>
          </w:tcPr>
          <w:p w14:paraId="72EE32B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28</w:t>
            </w:r>
          </w:p>
        </w:tc>
        <w:tc>
          <w:tcPr>
            <w:tcW w:w="644" w:type="dxa"/>
            <w:shd w:val="clear" w:color="auto" w:fill="auto"/>
            <w:noWrap/>
            <w:vAlign w:val="center"/>
          </w:tcPr>
          <w:p w14:paraId="371B9E2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24</w:t>
            </w:r>
          </w:p>
        </w:tc>
        <w:tc>
          <w:tcPr>
            <w:tcW w:w="709" w:type="dxa"/>
            <w:shd w:val="clear" w:color="auto" w:fill="auto"/>
            <w:noWrap/>
            <w:vAlign w:val="center"/>
          </w:tcPr>
          <w:p w14:paraId="398ED65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38</w:t>
            </w:r>
          </w:p>
        </w:tc>
        <w:tc>
          <w:tcPr>
            <w:tcW w:w="708" w:type="dxa"/>
            <w:shd w:val="clear" w:color="auto" w:fill="auto"/>
            <w:noWrap/>
            <w:vAlign w:val="center"/>
          </w:tcPr>
          <w:p w14:paraId="37C2C7B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w:t>
            </w:r>
          </w:p>
        </w:tc>
        <w:tc>
          <w:tcPr>
            <w:tcW w:w="709" w:type="dxa"/>
            <w:shd w:val="clear" w:color="auto" w:fill="auto"/>
            <w:noWrap/>
            <w:vAlign w:val="center"/>
          </w:tcPr>
          <w:p w14:paraId="4673883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34</w:t>
            </w:r>
          </w:p>
        </w:tc>
        <w:tc>
          <w:tcPr>
            <w:tcW w:w="709" w:type="dxa"/>
            <w:shd w:val="clear" w:color="auto" w:fill="auto"/>
            <w:noWrap/>
            <w:vAlign w:val="center"/>
          </w:tcPr>
          <w:p w14:paraId="593DD20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25</w:t>
            </w:r>
          </w:p>
        </w:tc>
        <w:tc>
          <w:tcPr>
            <w:tcW w:w="709" w:type="dxa"/>
            <w:shd w:val="clear" w:color="auto" w:fill="auto"/>
            <w:noWrap/>
            <w:vAlign w:val="center"/>
          </w:tcPr>
          <w:p w14:paraId="33AEBF1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32</w:t>
            </w:r>
          </w:p>
        </w:tc>
        <w:tc>
          <w:tcPr>
            <w:tcW w:w="1383" w:type="dxa"/>
            <w:vMerge w:val="restart"/>
            <w:shd w:val="clear" w:color="auto" w:fill="auto"/>
            <w:noWrap/>
            <w:vAlign w:val="center"/>
          </w:tcPr>
          <w:p w14:paraId="51E5B4D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30</w:t>
            </w:r>
          </w:p>
        </w:tc>
      </w:tr>
      <w:tr w:rsidR="009C353B" w14:paraId="7C7784FF" w14:textId="77777777">
        <w:trPr>
          <w:cantSplit/>
          <w:trHeight w:val="340"/>
        </w:trPr>
        <w:tc>
          <w:tcPr>
            <w:tcW w:w="1129" w:type="dxa"/>
            <w:vMerge/>
            <w:vAlign w:val="center"/>
          </w:tcPr>
          <w:p w14:paraId="34720AEF"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161A36C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06B48D32"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1.17</w:t>
            </w:r>
          </w:p>
        </w:tc>
        <w:tc>
          <w:tcPr>
            <w:tcW w:w="709" w:type="dxa"/>
            <w:shd w:val="clear" w:color="auto" w:fill="auto"/>
            <w:noWrap/>
            <w:vAlign w:val="center"/>
          </w:tcPr>
          <w:p w14:paraId="57997847"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1.47</w:t>
            </w:r>
          </w:p>
        </w:tc>
        <w:tc>
          <w:tcPr>
            <w:tcW w:w="708" w:type="dxa"/>
            <w:shd w:val="clear" w:color="auto" w:fill="auto"/>
            <w:noWrap/>
            <w:vAlign w:val="center"/>
          </w:tcPr>
          <w:p w14:paraId="35A80FB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709" w:type="dxa"/>
            <w:shd w:val="clear" w:color="auto" w:fill="auto"/>
            <w:noWrap/>
            <w:vAlign w:val="center"/>
          </w:tcPr>
          <w:p w14:paraId="0B6FA3BE"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1.1</w:t>
            </w:r>
          </w:p>
        </w:tc>
        <w:tc>
          <w:tcPr>
            <w:tcW w:w="709" w:type="dxa"/>
            <w:shd w:val="clear" w:color="auto" w:fill="auto"/>
            <w:noWrap/>
            <w:vAlign w:val="center"/>
          </w:tcPr>
          <w:p w14:paraId="54E975B5"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1.53</w:t>
            </w:r>
          </w:p>
        </w:tc>
        <w:tc>
          <w:tcPr>
            <w:tcW w:w="682" w:type="dxa"/>
            <w:shd w:val="clear" w:color="auto" w:fill="auto"/>
            <w:noWrap/>
            <w:vAlign w:val="center"/>
          </w:tcPr>
          <w:p w14:paraId="1B5577C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0.97</w:t>
            </w:r>
          </w:p>
        </w:tc>
        <w:tc>
          <w:tcPr>
            <w:tcW w:w="724" w:type="dxa"/>
            <w:shd w:val="clear" w:color="auto" w:fill="auto"/>
            <w:noWrap/>
            <w:vAlign w:val="center"/>
          </w:tcPr>
          <w:p w14:paraId="38DFAFCE"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1.07</w:t>
            </w:r>
          </w:p>
        </w:tc>
        <w:tc>
          <w:tcPr>
            <w:tcW w:w="676" w:type="dxa"/>
            <w:shd w:val="clear" w:color="auto" w:fill="auto"/>
            <w:noWrap/>
            <w:vAlign w:val="center"/>
          </w:tcPr>
          <w:p w14:paraId="78684E5F"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1.4</w:t>
            </w:r>
          </w:p>
        </w:tc>
        <w:tc>
          <w:tcPr>
            <w:tcW w:w="676" w:type="dxa"/>
            <w:shd w:val="clear" w:color="auto" w:fill="auto"/>
            <w:noWrap/>
            <w:vAlign w:val="center"/>
          </w:tcPr>
          <w:p w14:paraId="549378D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0.93</w:t>
            </w:r>
          </w:p>
        </w:tc>
        <w:tc>
          <w:tcPr>
            <w:tcW w:w="644" w:type="dxa"/>
            <w:shd w:val="clear" w:color="auto" w:fill="auto"/>
            <w:noWrap/>
            <w:vAlign w:val="center"/>
          </w:tcPr>
          <w:p w14:paraId="389094E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w:t>
            </w:r>
          </w:p>
        </w:tc>
        <w:tc>
          <w:tcPr>
            <w:tcW w:w="709" w:type="dxa"/>
            <w:shd w:val="clear" w:color="auto" w:fill="auto"/>
            <w:noWrap/>
            <w:vAlign w:val="center"/>
          </w:tcPr>
          <w:p w14:paraId="1DADE506"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1.27</w:t>
            </w:r>
          </w:p>
        </w:tc>
        <w:tc>
          <w:tcPr>
            <w:tcW w:w="708" w:type="dxa"/>
            <w:shd w:val="clear" w:color="auto" w:fill="auto"/>
            <w:noWrap/>
            <w:vAlign w:val="center"/>
          </w:tcPr>
          <w:p w14:paraId="3337CF0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0.73</w:t>
            </w:r>
          </w:p>
        </w:tc>
        <w:tc>
          <w:tcPr>
            <w:tcW w:w="709" w:type="dxa"/>
            <w:shd w:val="clear" w:color="auto" w:fill="auto"/>
            <w:noWrap/>
            <w:vAlign w:val="center"/>
          </w:tcPr>
          <w:p w14:paraId="7F0D1933"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1.13</w:t>
            </w:r>
          </w:p>
        </w:tc>
        <w:tc>
          <w:tcPr>
            <w:tcW w:w="709" w:type="dxa"/>
            <w:shd w:val="clear" w:color="auto" w:fill="auto"/>
            <w:noWrap/>
            <w:vAlign w:val="center"/>
          </w:tcPr>
          <w:p w14:paraId="348CB07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0.83</w:t>
            </w:r>
          </w:p>
        </w:tc>
        <w:tc>
          <w:tcPr>
            <w:tcW w:w="709" w:type="dxa"/>
            <w:shd w:val="clear" w:color="auto" w:fill="auto"/>
            <w:noWrap/>
            <w:vAlign w:val="center"/>
          </w:tcPr>
          <w:p w14:paraId="14599CB8"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1.07</w:t>
            </w:r>
          </w:p>
        </w:tc>
        <w:tc>
          <w:tcPr>
            <w:tcW w:w="1383" w:type="dxa"/>
            <w:vMerge/>
            <w:vAlign w:val="center"/>
          </w:tcPr>
          <w:p w14:paraId="4CDE0520" w14:textId="77777777" w:rsidR="009C353B" w:rsidRDefault="009C353B">
            <w:pPr>
              <w:widowControl/>
              <w:jc w:val="center"/>
              <w:rPr>
                <w:rFonts w:ascii="Times New Roman" w:eastAsiaTheme="minorEastAsia" w:hAnsi="Times New Roman"/>
                <w:kern w:val="0"/>
                <w:sz w:val="21"/>
                <w:szCs w:val="21"/>
              </w:rPr>
            </w:pPr>
          </w:p>
        </w:tc>
      </w:tr>
      <w:tr w:rsidR="009C353B" w14:paraId="6F062568" w14:textId="77777777">
        <w:trPr>
          <w:cantSplit/>
          <w:trHeight w:val="340"/>
        </w:trPr>
        <w:tc>
          <w:tcPr>
            <w:tcW w:w="1129" w:type="dxa"/>
            <w:vMerge w:val="restart"/>
            <w:vAlign w:val="center"/>
          </w:tcPr>
          <w:p w14:paraId="10362BD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五日生化需氧量</w:t>
            </w:r>
            <w:r>
              <w:rPr>
                <w:rFonts w:ascii="Times New Roman" w:eastAsiaTheme="minorEastAsia" w:hAnsi="Times New Roman" w:hint="eastAsia"/>
                <w:kern w:val="0"/>
                <w:sz w:val="21"/>
                <w:szCs w:val="21"/>
              </w:rPr>
              <w:t>(mg</w:t>
            </w:r>
            <w:r>
              <w:rPr>
                <w:rFonts w:ascii="Times New Roman" w:eastAsiaTheme="minorEastAsia" w:hAnsi="Times New Roman"/>
                <w:kern w:val="0"/>
                <w:sz w:val="21"/>
                <w:szCs w:val="21"/>
              </w:rPr>
              <w:t>/L)</w:t>
            </w:r>
          </w:p>
        </w:tc>
        <w:tc>
          <w:tcPr>
            <w:tcW w:w="709" w:type="dxa"/>
            <w:shd w:val="clear" w:color="auto" w:fill="auto"/>
            <w:noWrap/>
            <w:vAlign w:val="center"/>
          </w:tcPr>
          <w:p w14:paraId="093BAA1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值</w:t>
            </w:r>
          </w:p>
        </w:tc>
        <w:tc>
          <w:tcPr>
            <w:tcW w:w="709" w:type="dxa"/>
            <w:shd w:val="clear" w:color="auto" w:fill="auto"/>
            <w:noWrap/>
            <w:vAlign w:val="center"/>
          </w:tcPr>
          <w:p w14:paraId="50F94B43"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6.0</w:t>
            </w:r>
          </w:p>
        </w:tc>
        <w:tc>
          <w:tcPr>
            <w:tcW w:w="709" w:type="dxa"/>
            <w:shd w:val="clear" w:color="auto" w:fill="auto"/>
            <w:noWrap/>
            <w:vAlign w:val="center"/>
          </w:tcPr>
          <w:p w14:paraId="06C91C70"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6.7</w:t>
            </w:r>
          </w:p>
        </w:tc>
        <w:tc>
          <w:tcPr>
            <w:tcW w:w="708" w:type="dxa"/>
            <w:shd w:val="clear" w:color="auto" w:fill="auto"/>
            <w:noWrap/>
            <w:vAlign w:val="center"/>
          </w:tcPr>
          <w:p w14:paraId="6C54B90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5.2</w:t>
            </w:r>
          </w:p>
        </w:tc>
        <w:tc>
          <w:tcPr>
            <w:tcW w:w="709" w:type="dxa"/>
            <w:shd w:val="clear" w:color="auto" w:fill="auto"/>
            <w:noWrap/>
            <w:vAlign w:val="center"/>
          </w:tcPr>
          <w:p w14:paraId="094AE7D6"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6.1</w:t>
            </w:r>
          </w:p>
        </w:tc>
        <w:tc>
          <w:tcPr>
            <w:tcW w:w="709" w:type="dxa"/>
            <w:shd w:val="clear" w:color="auto" w:fill="auto"/>
            <w:noWrap/>
            <w:vAlign w:val="center"/>
          </w:tcPr>
          <w:p w14:paraId="19ACA954"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6.8</w:t>
            </w:r>
          </w:p>
        </w:tc>
        <w:tc>
          <w:tcPr>
            <w:tcW w:w="682" w:type="dxa"/>
            <w:shd w:val="clear" w:color="auto" w:fill="auto"/>
            <w:noWrap/>
            <w:vAlign w:val="center"/>
          </w:tcPr>
          <w:p w14:paraId="0FE8B1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5.3</w:t>
            </w:r>
          </w:p>
        </w:tc>
        <w:tc>
          <w:tcPr>
            <w:tcW w:w="724" w:type="dxa"/>
            <w:shd w:val="clear" w:color="auto" w:fill="auto"/>
            <w:noWrap/>
            <w:vAlign w:val="center"/>
          </w:tcPr>
          <w:p w14:paraId="6CFE32E6"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kern w:val="0"/>
                <w:sz w:val="21"/>
                <w:szCs w:val="21"/>
              </w:rPr>
              <w:t>5.8</w:t>
            </w:r>
          </w:p>
        </w:tc>
        <w:tc>
          <w:tcPr>
            <w:tcW w:w="676" w:type="dxa"/>
            <w:shd w:val="clear" w:color="auto" w:fill="auto"/>
            <w:noWrap/>
            <w:vAlign w:val="center"/>
          </w:tcPr>
          <w:p w14:paraId="6EF39A09"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6.5</w:t>
            </w:r>
          </w:p>
        </w:tc>
        <w:tc>
          <w:tcPr>
            <w:tcW w:w="676" w:type="dxa"/>
            <w:shd w:val="clear" w:color="auto" w:fill="auto"/>
            <w:noWrap/>
            <w:vAlign w:val="center"/>
          </w:tcPr>
          <w:p w14:paraId="12694E7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5.0</w:t>
            </w:r>
          </w:p>
        </w:tc>
        <w:tc>
          <w:tcPr>
            <w:tcW w:w="644" w:type="dxa"/>
            <w:shd w:val="clear" w:color="auto" w:fill="auto"/>
            <w:noWrap/>
            <w:vAlign w:val="center"/>
          </w:tcPr>
          <w:p w14:paraId="6CF42D8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4.8</w:t>
            </w:r>
          </w:p>
        </w:tc>
        <w:tc>
          <w:tcPr>
            <w:tcW w:w="709" w:type="dxa"/>
            <w:shd w:val="clear" w:color="auto" w:fill="auto"/>
            <w:noWrap/>
            <w:vAlign w:val="center"/>
          </w:tcPr>
          <w:p w14:paraId="6E838F5F"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6.3</w:t>
            </w:r>
          </w:p>
        </w:tc>
        <w:tc>
          <w:tcPr>
            <w:tcW w:w="708" w:type="dxa"/>
            <w:shd w:val="clear" w:color="auto" w:fill="auto"/>
            <w:noWrap/>
            <w:vAlign w:val="center"/>
          </w:tcPr>
          <w:p w14:paraId="48202F1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4.7</w:t>
            </w:r>
          </w:p>
        </w:tc>
        <w:tc>
          <w:tcPr>
            <w:tcW w:w="709" w:type="dxa"/>
            <w:shd w:val="clear" w:color="auto" w:fill="auto"/>
            <w:noWrap/>
            <w:vAlign w:val="center"/>
          </w:tcPr>
          <w:p w14:paraId="15BC5244"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6.3</w:t>
            </w:r>
          </w:p>
        </w:tc>
        <w:tc>
          <w:tcPr>
            <w:tcW w:w="709" w:type="dxa"/>
            <w:shd w:val="clear" w:color="auto" w:fill="auto"/>
            <w:noWrap/>
            <w:vAlign w:val="center"/>
          </w:tcPr>
          <w:p w14:paraId="74ACAF4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5.3</w:t>
            </w:r>
          </w:p>
        </w:tc>
        <w:tc>
          <w:tcPr>
            <w:tcW w:w="709" w:type="dxa"/>
            <w:shd w:val="clear" w:color="auto" w:fill="auto"/>
            <w:noWrap/>
            <w:vAlign w:val="center"/>
          </w:tcPr>
          <w:p w14:paraId="1FCE0A72"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6.0</w:t>
            </w:r>
          </w:p>
        </w:tc>
        <w:tc>
          <w:tcPr>
            <w:tcW w:w="1383" w:type="dxa"/>
            <w:vMerge w:val="restart"/>
            <w:vAlign w:val="center"/>
          </w:tcPr>
          <w:p w14:paraId="3E73796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6</w:t>
            </w:r>
          </w:p>
        </w:tc>
      </w:tr>
      <w:tr w:rsidR="009C353B" w14:paraId="0E3AFCF4" w14:textId="77777777">
        <w:trPr>
          <w:cantSplit/>
          <w:trHeight w:val="340"/>
        </w:trPr>
        <w:tc>
          <w:tcPr>
            <w:tcW w:w="1129" w:type="dxa"/>
            <w:vMerge/>
            <w:vAlign w:val="center"/>
          </w:tcPr>
          <w:p w14:paraId="59D60CAD"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03B1397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指数</w:t>
            </w:r>
          </w:p>
        </w:tc>
        <w:tc>
          <w:tcPr>
            <w:tcW w:w="709" w:type="dxa"/>
            <w:shd w:val="clear" w:color="auto" w:fill="auto"/>
            <w:noWrap/>
            <w:vAlign w:val="center"/>
          </w:tcPr>
          <w:p w14:paraId="40F6644B"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1</w:t>
            </w:r>
          </w:p>
        </w:tc>
        <w:tc>
          <w:tcPr>
            <w:tcW w:w="709" w:type="dxa"/>
            <w:shd w:val="clear" w:color="auto" w:fill="auto"/>
            <w:noWrap/>
            <w:vAlign w:val="center"/>
          </w:tcPr>
          <w:p w14:paraId="477277D3"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1.12</w:t>
            </w:r>
          </w:p>
        </w:tc>
        <w:tc>
          <w:tcPr>
            <w:tcW w:w="708" w:type="dxa"/>
            <w:shd w:val="clear" w:color="auto" w:fill="auto"/>
            <w:noWrap/>
            <w:vAlign w:val="center"/>
          </w:tcPr>
          <w:p w14:paraId="0D6BA6A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0.87</w:t>
            </w:r>
          </w:p>
        </w:tc>
        <w:tc>
          <w:tcPr>
            <w:tcW w:w="709" w:type="dxa"/>
            <w:shd w:val="clear" w:color="auto" w:fill="auto"/>
            <w:noWrap/>
            <w:vAlign w:val="center"/>
          </w:tcPr>
          <w:p w14:paraId="75E6308F"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1.02</w:t>
            </w:r>
          </w:p>
        </w:tc>
        <w:tc>
          <w:tcPr>
            <w:tcW w:w="709" w:type="dxa"/>
            <w:shd w:val="clear" w:color="auto" w:fill="auto"/>
            <w:noWrap/>
            <w:vAlign w:val="center"/>
          </w:tcPr>
          <w:p w14:paraId="1AE1C581"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1.13</w:t>
            </w:r>
          </w:p>
        </w:tc>
        <w:tc>
          <w:tcPr>
            <w:tcW w:w="682" w:type="dxa"/>
            <w:shd w:val="clear" w:color="auto" w:fill="auto"/>
            <w:noWrap/>
            <w:vAlign w:val="center"/>
          </w:tcPr>
          <w:p w14:paraId="62629A8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0.88</w:t>
            </w:r>
          </w:p>
        </w:tc>
        <w:tc>
          <w:tcPr>
            <w:tcW w:w="724" w:type="dxa"/>
            <w:shd w:val="clear" w:color="auto" w:fill="auto"/>
            <w:noWrap/>
            <w:vAlign w:val="center"/>
          </w:tcPr>
          <w:p w14:paraId="7BCF6E34"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kern w:val="0"/>
                <w:sz w:val="21"/>
                <w:szCs w:val="21"/>
              </w:rPr>
              <w:t>0.97</w:t>
            </w:r>
          </w:p>
        </w:tc>
        <w:tc>
          <w:tcPr>
            <w:tcW w:w="676" w:type="dxa"/>
            <w:shd w:val="clear" w:color="auto" w:fill="auto"/>
            <w:noWrap/>
            <w:vAlign w:val="center"/>
          </w:tcPr>
          <w:p w14:paraId="5FC3CB6E"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1.08</w:t>
            </w:r>
          </w:p>
        </w:tc>
        <w:tc>
          <w:tcPr>
            <w:tcW w:w="676" w:type="dxa"/>
            <w:shd w:val="clear" w:color="auto" w:fill="auto"/>
            <w:noWrap/>
            <w:vAlign w:val="center"/>
          </w:tcPr>
          <w:p w14:paraId="7560359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0.83</w:t>
            </w:r>
          </w:p>
        </w:tc>
        <w:tc>
          <w:tcPr>
            <w:tcW w:w="644" w:type="dxa"/>
            <w:shd w:val="clear" w:color="auto" w:fill="auto"/>
            <w:noWrap/>
            <w:vAlign w:val="center"/>
          </w:tcPr>
          <w:p w14:paraId="06F5D58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0.8</w:t>
            </w:r>
          </w:p>
        </w:tc>
        <w:tc>
          <w:tcPr>
            <w:tcW w:w="709" w:type="dxa"/>
            <w:shd w:val="clear" w:color="auto" w:fill="auto"/>
            <w:noWrap/>
            <w:vAlign w:val="center"/>
          </w:tcPr>
          <w:p w14:paraId="200C66F2"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1.05</w:t>
            </w:r>
          </w:p>
        </w:tc>
        <w:tc>
          <w:tcPr>
            <w:tcW w:w="708" w:type="dxa"/>
            <w:shd w:val="clear" w:color="auto" w:fill="auto"/>
            <w:noWrap/>
            <w:vAlign w:val="center"/>
          </w:tcPr>
          <w:p w14:paraId="16D6046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0.78</w:t>
            </w:r>
          </w:p>
        </w:tc>
        <w:tc>
          <w:tcPr>
            <w:tcW w:w="709" w:type="dxa"/>
            <w:shd w:val="clear" w:color="auto" w:fill="auto"/>
            <w:noWrap/>
            <w:vAlign w:val="center"/>
          </w:tcPr>
          <w:p w14:paraId="2B7440AF"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1.05</w:t>
            </w:r>
          </w:p>
        </w:tc>
        <w:tc>
          <w:tcPr>
            <w:tcW w:w="709" w:type="dxa"/>
            <w:shd w:val="clear" w:color="auto" w:fill="auto"/>
            <w:noWrap/>
            <w:vAlign w:val="center"/>
          </w:tcPr>
          <w:p w14:paraId="25E23BD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0.88</w:t>
            </w:r>
          </w:p>
        </w:tc>
        <w:tc>
          <w:tcPr>
            <w:tcW w:w="709" w:type="dxa"/>
            <w:shd w:val="clear" w:color="auto" w:fill="auto"/>
            <w:noWrap/>
            <w:vAlign w:val="center"/>
          </w:tcPr>
          <w:p w14:paraId="731D63EA"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hint="eastAsia"/>
                <w:b/>
                <w:bCs/>
                <w:kern w:val="0"/>
                <w:sz w:val="21"/>
                <w:szCs w:val="21"/>
              </w:rPr>
              <w:t>1</w:t>
            </w:r>
          </w:p>
        </w:tc>
        <w:tc>
          <w:tcPr>
            <w:tcW w:w="1383" w:type="dxa"/>
            <w:vMerge/>
            <w:vAlign w:val="center"/>
          </w:tcPr>
          <w:p w14:paraId="498F018B" w14:textId="77777777" w:rsidR="009C353B" w:rsidRDefault="009C353B">
            <w:pPr>
              <w:widowControl/>
              <w:jc w:val="center"/>
              <w:rPr>
                <w:rFonts w:ascii="Times New Roman" w:eastAsiaTheme="minorEastAsia" w:hAnsi="Times New Roman"/>
                <w:kern w:val="0"/>
                <w:sz w:val="21"/>
                <w:szCs w:val="21"/>
              </w:rPr>
            </w:pPr>
          </w:p>
        </w:tc>
      </w:tr>
      <w:tr w:rsidR="009C353B" w14:paraId="617E5503" w14:textId="77777777">
        <w:trPr>
          <w:cantSplit/>
          <w:trHeight w:val="340"/>
        </w:trPr>
        <w:tc>
          <w:tcPr>
            <w:tcW w:w="1129" w:type="dxa"/>
            <w:vMerge w:val="restart"/>
            <w:shd w:val="clear" w:color="auto" w:fill="auto"/>
            <w:noWrap/>
            <w:vAlign w:val="center"/>
          </w:tcPr>
          <w:p w14:paraId="0806CCC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高锰酸盐指数</w:t>
            </w:r>
            <w:r>
              <w:rPr>
                <w:rFonts w:ascii="Times New Roman" w:eastAsiaTheme="minorEastAsia" w:hAnsi="Times New Roman"/>
                <w:kern w:val="0"/>
                <w:sz w:val="21"/>
                <w:szCs w:val="21"/>
              </w:rPr>
              <w:t>(mg/L)</w:t>
            </w:r>
          </w:p>
        </w:tc>
        <w:tc>
          <w:tcPr>
            <w:tcW w:w="709" w:type="dxa"/>
            <w:shd w:val="clear" w:color="auto" w:fill="auto"/>
            <w:noWrap/>
            <w:vAlign w:val="center"/>
          </w:tcPr>
          <w:p w14:paraId="07E9866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24D57D5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4.46</w:t>
            </w:r>
          </w:p>
        </w:tc>
        <w:tc>
          <w:tcPr>
            <w:tcW w:w="709" w:type="dxa"/>
            <w:shd w:val="clear" w:color="auto" w:fill="auto"/>
            <w:noWrap/>
            <w:vAlign w:val="center"/>
          </w:tcPr>
          <w:p w14:paraId="2D36A31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4.56</w:t>
            </w:r>
          </w:p>
        </w:tc>
        <w:tc>
          <w:tcPr>
            <w:tcW w:w="708" w:type="dxa"/>
            <w:shd w:val="clear" w:color="auto" w:fill="auto"/>
            <w:noWrap/>
            <w:vAlign w:val="center"/>
          </w:tcPr>
          <w:p w14:paraId="241A6D9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4.38</w:t>
            </w:r>
          </w:p>
        </w:tc>
        <w:tc>
          <w:tcPr>
            <w:tcW w:w="709" w:type="dxa"/>
            <w:shd w:val="clear" w:color="auto" w:fill="auto"/>
            <w:noWrap/>
            <w:vAlign w:val="center"/>
          </w:tcPr>
          <w:p w14:paraId="24EAE5F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4.3</w:t>
            </w:r>
          </w:p>
        </w:tc>
        <w:tc>
          <w:tcPr>
            <w:tcW w:w="709" w:type="dxa"/>
            <w:shd w:val="clear" w:color="auto" w:fill="auto"/>
            <w:noWrap/>
            <w:vAlign w:val="center"/>
          </w:tcPr>
          <w:p w14:paraId="6285F43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4.48</w:t>
            </w:r>
          </w:p>
        </w:tc>
        <w:tc>
          <w:tcPr>
            <w:tcW w:w="682" w:type="dxa"/>
            <w:shd w:val="clear" w:color="auto" w:fill="auto"/>
            <w:noWrap/>
            <w:vAlign w:val="center"/>
          </w:tcPr>
          <w:p w14:paraId="47F71C5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4.32</w:t>
            </w:r>
          </w:p>
        </w:tc>
        <w:tc>
          <w:tcPr>
            <w:tcW w:w="724" w:type="dxa"/>
            <w:shd w:val="clear" w:color="auto" w:fill="auto"/>
            <w:noWrap/>
            <w:vAlign w:val="center"/>
          </w:tcPr>
          <w:p w14:paraId="6E06926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4.07</w:t>
            </w:r>
          </w:p>
        </w:tc>
        <w:tc>
          <w:tcPr>
            <w:tcW w:w="676" w:type="dxa"/>
            <w:shd w:val="clear" w:color="auto" w:fill="auto"/>
            <w:noWrap/>
            <w:vAlign w:val="center"/>
          </w:tcPr>
          <w:p w14:paraId="0D2AD1E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4.2</w:t>
            </w:r>
          </w:p>
        </w:tc>
        <w:tc>
          <w:tcPr>
            <w:tcW w:w="676" w:type="dxa"/>
            <w:shd w:val="clear" w:color="auto" w:fill="auto"/>
            <w:noWrap/>
            <w:vAlign w:val="center"/>
          </w:tcPr>
          <w:p w14:paraId="3EC47BF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4.07</w:t>
            </w:r>
          </w:p>
        </w:tc>
        <w:tc>
          <w:tcPr>
            <w:tcW w:w="644" w:type="dxa"/>
            <w:shd w:val="clear" w:color="auto" w:fill="auto"/>
            <w:noWrap/>
            <w:vAlign w:val="center"/>
          </w:tcPr>
          <w:p w14:paraId="12D3964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4.35</w:t>
            </w:r>
          </w:p>
        </w:tc>
        <w:tc>
          <w:tcPr>
            <w:tcW w:w="709" w:type="dxa"/>
            <w:shd w:val="clear" w:color="auto" w:fill="auto"/>
            <w:noWrap/>
            <w:vAlign w:val="center"/>
          </w:tcPr>
          <w:p w14:paraId="5A3917C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4.4</w:t>
            </w:r>
          </w:p>
        </w:tc>
        <w:tc>
          <w:tcPr>
            <w:tcW w:w="708" w:type="dxa"/>
            <w:shd w:val="clear" w:color="auto" w:fill="auto"/>
            <w:noWrap/>
            <w:vAlign w:val="center"/>
          </w:tcPr>
          <w:p w14:paraId="5B5316E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4.27</w:t>
            </w:r>
          </w:p>
        </w:tc>
        <w:tc>
          <w:tcPr>
            <w:tcW w:w="709" w:type="dxa"/>
            <w:shd w:val="clear" w:color="auto" w:fill="auto"/>
            <w:noWrap/>
            <w:vAlign w:val="center"/>
          </w:tcPr>
          <w:p w14:paraId="1DA23FF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4.2</w:t>
            </w:r>
          </w:p>
        </w:tc>
        <w:tc>
          <w:tcPr>
            <w:tcW w:w="709" w:type="dxa"/>
            <w:shd w:val="clear" w:color="auto" w:fill="auto"/>
            <w:noWrap/>
            <w:vAlign w:val="center"/>
          </w:tcPr>
          <w:p w14:paraId="747C820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4.12</w:t>
            </w:r>
          </w:p>
        </w:tc>
        <w:tc>
          <w:tcPr>
            <w:tcW w:w="709" w:type="dxa"/>
            <w:shd w:val="clear" w:color="auto" w:fill="auto"/>
            <w:noWrap/>
            <w:vAlign w:val="center"/>
          </w:tcPr>
          <w:p w14:paraId="67943EB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4.11</w:t>
            </w:r>
          </w:p>
        </w:tc>
        <w:tc>
          <w:tcPr>
            <w:tcW w:w="1383" w:type="dxa"/>
            <w:vMerge w:val="restart"/>
            <w:shd w:val="clear" w:color="auto" w:fill="auto"/>
            <w:noWrap/>
            <w:vAlign w:val="center"/>
          </w:tcPr>
          <w:p w14:paraId="3D3626E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w:t>
            </w:r>
          </w:p>
        </w:tc>
      </w:tr>
      <w:tr w:rsidR="009C353B" w14:paraId="2B499F21" w14:textId="77777777">
        <w:trPr>
          <w:cantSplit/>
          <w:trHeight w:val="340"/>
        </w:trPr>
        <w:tc>
          <w:tcPr>
            <w:tcW w:w="1129" w:type="dxa"/>
            <w:vMerge/>
            <w:vAlign w:val="center"/>
          </w:tcPr>
          <w:p w14:paraId="469034AC"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2541897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5E448CE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0.45</w:t>
            </w:r>
          </w:p>
        </w:tc>
        <w:tc>
          <w:tcPr>
            <w:tcW w:w="709" w:type="dxa"/>
            <w:shd w:val="clear" w:color="auto" w:fill="auto"/>
            <w:noWrap/>
            <w:vAlign w:val="center"/>
          </w:tcPr>
          <w:p w14:paraId="06DE438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0.46</w:t>
            </w:r>
          </w:p>
        </w:tc>
        <w:tc>
          <w:tcPr>
            <w:tcW w:w="708" w:type="dxa"/>
            <w:shd w:val="clear" w:color="auto" w:fill="auto"/>
            <w:noWrap/>
            <w:vAlign w:val="center"/>
          </w:tcPr>
          <w:p w14:paraId="17D0473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0.44</w:t>
            </w:r>
          </w:p>
        </w:tc>
        <w:tc>
          <w:tcPr>
            <w:tcW w:w="709" w:type="dxa"/>
            <w:shd w:val="clear" w:color="auto" w:fill="auto"/>
            <w:noWrap/>
            <w:vAlign w:val="center"/>
          </w:tcPr>
          <w:p w14:paraId="2C48C7E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0.43</w:t>
            </w:r>
          </w:p>
        </w:tc>
        <w:tc>
          <w:tcPr>
            <w:tcW w:w="709" w:type="dxa"/>
            <w:shd w:val="clear" w:color="auto" w:fill="auto"/>
            <w:noWrap/>
            <w:vAlign w:val="center"/>
          </w:tcPr>
          <w:p w14:paraId="7F2A726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0.45</w:t>
            </w:r>
          </w:p>
        </w:tc>
        <w:tc>
          <w:tcPr>
            <w:tcW w:w="682" w:type="dxa"/>
            <w:shd w:val="clear" w:color="auto" w:fill="auto"/>
            <w:noWrap/>
            <w:vAlign w:val="center"/>
          </w:tcPr>
          <w:p w14:paraId="1A732F0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0.43</w:t>
            </w:r>
          </w:p>
        </w:tc>
        <w:tc>
          <w:tcPr>
            <w:tcW w:w="724" w:type="dxa"/>
            <w:shd w:val="clear" w:color="auto" w:fill="auto"/>
            <w:noWrap/>
            <w:vAlign w:val="center"/>
          </w:tcPr>
          <w:p w14:paraId="4FDF410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0.41</w:t>
            </w:r>
          </w:p>
        </w:tc>
        <w:tc>
          <w:tcPr>
            <w:tcW w:w="676" w:type="dxa"/>
            <w:shd w:val="clear" w:color="auto" w:fill="auto"/>
            <w:noWrap/>
            <w:vAlign w:val="center"/>
          </w:tcPr>
          <w:p w14:paraId="42CFB46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0.42</w:t>
            </w:r>
          </w:p>
        </w:tc>
        <w:tc>
          <w:tcPr>
            <w:tcW w:w="676" w:type="dxa"/>
            <w:shd w:val="clear" w:color="auto" w:fill="auto"/>
            <w:noWrap/>
            <w:vAlign w:val="center"/>
          </w:tcPr>
          <w:p w14:paraId="354929C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0.41</w:t>
            </w:r>
          </w:p>
        </w:tc>
        <w:tc>
          <w:tcPr>
            <w:tcW w:w="644" w:type="dxa"/>
            <w:shd w:val="clear" w:color="auto" w:fill="auto"/>
            <w:noWrap/>
            <w:vAlign w:val="center"/>
          </w:tcPr>
          <w:p w14:paraId="52D4F7B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0.44</w:t>
            </w:r>
          </w:p>
        </w:tc>
        <w:tc>
          <w:tcPr>
            <w:tcW w:w="709" w:type="dxa"/>
            <w:shd w:val="clear" w:color="auto" w:fill="auto"/>
            <w:noWrap/>
            <w:vAlign w:val="center"/>
          </w:tcPr>
          <w:p w14:paraId="4F2FC5F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0.44</w:t>
            </w:r>
          </w:p>
        </w:tc>
        <w:tc>
          <w:tcPr>
            <w:tcW w:w="708" w:type="dxa"/>
            <w:shd w:val="clear" w:color="auto" w:fill="auto"/>
            <w:noWrap/>
            <w:vAlign w:val="center"/>
          </w:tcPr>
          <w:p w14:paraId="76CADEE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0.43</w:t>
            </w:r>
          </w:p>
        </w:tc>
        <w:tc>
          <w:tcPr>
            <w:tcW w:w="709" w:type="dxa"/>
            <w:shd w:val="clear" w:color="auto" w:fill="auto"/>
            <w:noWrap/>
            <w:vAlign w:val="center"/>
          </w:tcPr>
          <w:p w14:paraId="5FD586D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0.42</w:t>
            </w:r>
          </w:p>
        </w:tc>
        <w:tc>
          <w:tcPr>
            <w:tcW w:w="709" w:type="dxa"/>
            <w:shd w:val="clear" w:color="auto" w:fill="auto"/>
            <w:noWrap/>
            <w:vAlign w:val="center"/>
          </w:tcPr>
          <w:p w14:paraId="1DA331B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0.41</w:t>
            </w:r>
          </w:p>
        </w:tc>
        <w:tc>
          <w:tcPr>
            <w:tcW w:w="709" w:type="dxa"/>
            <w:shd w:val="clear" w:color="auto" w:fill="auto"/>
            <w:noWrap/>
            <w:vAlign w:val="center"/>
          </w:tcPr>
          <w:p w14:paraId="18B5F44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0.41</w:t>
            </w:r>
          </w:p>
        </w:tc>
        <w:tc>
          <w:tcPr>
            <w:tcW w:w="1383" w:type="dxa"/>
            <w:vMerge/>
            <w:vAlign w:val="center"/>
          </w:tcPr>
          <w:p w14:paraId="1768D1E9" w14:textId="77777777" w:rsidR="009C353B" w:rsidRDefault="009C353B">
            <w:pPr>
              <w:widowControl/>
              <w:jc w:val="center"/>
              <w:rPr>
                <w:rFonts w:ascii="Times New Roman" w:eastAsiaTheme="minorEastAsia" w:hAnsi="Times New Roman"/>
                <w:kern w:val="0"/>
                <w:sz w:val="21"/>
                <w:szCs w:val="21"/>
              </w:rPr>
            </w:pPr>
          </w:p>
        </w:tc>
      </w:tr>
      <w:tr w:rsidR="009C353B" w14:paraId="35395852" w14:textId="77777777">
        <w:trPr>
          <w:cantSplit/>
          <w:trHeight w:val="340"/>
        </w:trPr>
        <w:tc>
          <w:tcPr>
            <w:tcW w:w="1129" w:type="dxa"/>
            <w:vMerge w:val="restart"/>
            <w:shd w:val="clear" w:color="auto" w:fill="auto"/>
            <w:noWrap/>
            <w:vAlign w:val="center"/>
          </w:tcPr>
          <w:p w14:paraId="426A736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氨氮</w:t>
            </w:r>
            <w:r>
              <w:rPr>
                <w:rFonts w:ascii="Times New Roman" w:eastAsiaTheme="minorEastAsia" w:hAnsi="Times New Roman"/>
                <w:kern w:val="0"/>
                <w:sz w:val="21"/>
                <w:szCs w:val="21"/>
              </w:rPr>
              <w:t>(mg/L)</w:t>
            </w:r>
          </w:p>
        </w:tc>
        <w:tc>
          <w:tcPr>
            <w:tcW w:w="709" w:type="dxa"/>
            <w:shd w:val="clear" w:color="auto" w:fill="auto"/>
            <w:noWrap/>
            <w:vAlign w:val="center"/>
          </w:tcPr>
          <w:p w14:paraId="08DA1C0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3271D15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0.202</w:t>
            </w:r>
          </w:p>
        </w:tc>
        <w:tc>
          <w:tcPr>
            <w:tcW w:w="709" w:type="dxa"/>
            <w:shd w:val="clear" w:color="auto" w:fill="auto"/>
            <w:noWrap/>
            <w:vAlign w:val="center"/>
          </w:tcPr>
          <w:p w14:paraId="5378FB8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0.445</w:t>
            </w:r>
          </w:p>
        </w:tc>
        <w:tc>
          <w:tcPr>
            <w:tcW w:w="708" w:type="dxa"/>
            <w:shd w:val="clear" w:color="auto" w:fill="auto"/>
            <w:noWrap/>
            <w:vAlign w:val="center"/>
          </w:tcPr>
          <w:p w14:paraId="63564CB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0.197</w:t>
            </w:r>
          </w:p>
        </w:tc>
        <w:tc>
          <w:tcPr>
            <w:tcW w:w="709" w:type="dxa"/>
            <w:shd w:val="clear" w:color="auto" w:fill="auto"/>
            <w:noWrap/>
            <w:vAlign w:val="center"/>
          </w:tcPr>
          <w:p w14:paraId="00CA378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0.243</w:t>
            </w:r>
          </w:p>
        </w:tc>
        <w:tc>
          <w:tcPr>
            <w:tcW w:w="709" w:type="dxa"/>
            <w:shd w:val="clear" w:color="auto" w:fill="auto"/>
            <w:noWrap/>
            <w:vAlign w:val="center"/>
          </w:tcPr>
          <w:p w14:paraId="68C0826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0.467</w:t>
            </w:r>
          </w:p>
        </w:tc>
        <w:tc>
          <w:tcPr>
            <w:tcW w:w="682" w:type="dxa"/>
            <w:shd w:val="clear" w:color="auto" w:fill="auto"/>
            <w:noWrap/>
            <w:vAlign w:val="center"/>
          </w:tcPr>
          <w:p w14:paraId="3C5816F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0.213</w:t>
            </w:r>
          </w:p>
        </w:tc>
        <w:tc>
          <w:tcPr>
            <w:tcW w:w="724" w:type="dxa"/>
            <w:shd w:val="clear" w:color="auto" w:fill="auto"/>
            <w:noWrap/>
            <w:vAlign w:val="center"/>
          </w:tcPr>
          <w:p w14:paraId="1A74F93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0.224</w:t>
            </w:r>
          </w:p>
        </w:tc>
        <w:tc>
          <w:tcPr>
            <w:tcW w:w="676" w:type="dxa"/>
            <w:shd w:val="clear" w:color="auto" w:fill="auto"/>
            <w:noWrap/>
            <w:vAlign w:val="center"/>
          </w:tcPr>
          <w:p w14:paraId="1489686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0.478</w:t>
            </w:r>
          </w:p>
        </w:tc>
        <w:tc>
          <w:tcPr>
            <w:tcW w:w="676" w:type="dxa"/>
            <w:shd w:val="clear" w:color="auto" w:fill="auto"/>
            <w:noWrap/>
            <w:vAlign w:val="center"/>
          </w:tcPr>
          <w:p w14:paraId="767724C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0.232</w:t>
            </w:r>
          </w:p>
        </w:tc>
        <w:tc>
          <w:tcPr>
            <w:tcW w:w="644" w:type="dxa"/>
            <w:shd w:val="clear" w:color="auto" w:fill="auto"/>
            <w:noWrap/>
            <w:vAlign w:val="center"/>
          </w:tcPr>
          <w:p w14:paraId="53CC20E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0.232</w:t>
            </w:r>
          </w:p>
        </w:tc>
        <w:tc>
          <w:tcPr>
            <w:tcW w:w="709" w:type="dxa"/>
            <w:shd w:val="clear" w:color="auto" w:fill="auto"/>
            <w:noWrap/>
            <w:vAlign w:val="center"/>
          </w:tcPr>
          <w:p w14:paraId="5916C93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0.372</w:t>
            </w:r>
          </w:p>
        </w:tc>
        <w:tc>
          <w:tcPr>
            <w:tcW w:w="708" w:type="dxa"/>
            <w:shd w:val="clear" w:color="auto" w:fill="auto"/>
            <w:noWrap/>
            <w:vAlign w:val="center"/>
          </w:tcPr>
          <w:p w14:paraId="5A32C6A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0.264</w:t>
            </w:r>
          </w:p>
        </w:tc>
        <w:tc>
          <w:tcPr>
            <w:tcW w:w="709" w:type="dxa"/>
            <w:shd w:val="clear" w:color="auto" w:fill="auto"/>
            <w:noWrap/>
            <w:vAlign w:val="center"/>
          </w:tcPr>
          <w:p w14:paraId="68FCF0C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0.362</w:t>
            </w:r>
          </w:p>
        </w:tc>
        <w:tc>
          <w:tcPr>
            <w:tcW w:w="709" w:type="dxa"/>
            <w:shd w:val="clear" w:color="auto" w:fill="auto"/>
            <w:noWrap/>
            <w:vAlign w:val="center"/>
          </w:tcPr>
          <w:p w14:paraId="4AADEDE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0.248</w:t>
            </w:r>
          </w:p>
        </w:tc>
        <w:tc>
          <w:tcPr>
            <w:tcW w:w="709" w:type="dxa"/>
            <w:shd w:val="clear" w:color="auto" w:fill="auto"/>
            <w:noWrap/>
            <w:vAlign w:val="center"/>
          </w:tcPr>
          <w:p w14:paraId="0D8C176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0.391</w:t>
            </w:r>
          </w:p>
        </w:tc>
        <w:tc>
          <w:tcPr>
            <w:tcW w:w="1383" w:type="dxa"/>
            <w:vMerge w:val="restart"/>
            <w:shd w:val="clear" w:color="auto" w:fill="auto"/>
            <w:noWrap/>
            <w:vAlign w:val="center"/>
          </w:tcPr>
          <w:p w14:paraId="526985A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1.5</w:t>
            </w:r>
          </w:p>
        </w:tc>
      </w:tr>
      <w:tr w:rsidR="009C353B" w14:paraId="4A31CE1B" w14:textId="77777777">
        <w:trPr>
          <w:cantSplit/>
          <w:trHeight w:val="340"/>
        </w:trPr>
        <w:tc>
          <w:tcPr>
            <w:tcW w:w="1129" w:type="dxa"/>
            <w:vMerge/>
            <w:vAlign w:val="center"/>
          </w:tcPr>
          <w:p w14:paraId="73FE16E8"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75C1A94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21890C4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0.13</w:t>
            </w:r>
          </w:p>
        </w:tc>
        <w:tc>
          <w:tcPr>
            <w:tcW w:w="709" w:type="dxa"/>
            <w:shd w:val="clear" w:color="auto" w:fill="auto"/>
            <w:noWrap/>
            <w:vAlign w:val="center"/>
          </w:tcPr>
          <w:p w14:paraId="21A7B0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w:t>
            </w:r>
          </w:p>
        </w:tc>
        <w:tc>
          <w:tcPr>
            <w:tcW w:w="708" w:type="dxa"/>
            <w:shd w:val="clear" w:color="auto" w:fill="auto"/>
            <w:noWrap/>
            <w:vAlign w:val="center"/>
          </w:tcPr>
          <w:p w14:paraId="393AEDA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0.13</w:t>
            </w:r>
          </w:p>
        </w:tc>
        <w:tc>
          <w:tcPr>
            <w:tcW w:w="709" w:type="dxa"/>
            <w:shd w:val="clear" w:color="auto" w:fill="auto"/>
            <w:noWrap/>
            <w:vAlign w:val="center"/>
          </w:tcPr>
          <w:p w14:paraId="24BC080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0.16</w:t>
            </w:r>
          </w:p>
        </w:tc>
        <w:tc>
          <w:tcPr>
            <w:tcW w:w="709" w:type="dxa"/>
            <w:shd w:val="clear" w:color="auto" w:fill="auto"/>
            <w:noWrap/>
            <w:vAlign w:val="center"/>
          </w:tcPr>
          <w:p w14:paraId="5C8D68C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0.31</w:t>
            </w:r>
          </w:p>
        </w:tc>
        <w:tc>
          <w:tcPr>
            <w:tcW w:w="682" w:type="dxa"/>
            <w:shd w:val="clear" w:color="auto" w:fill="auto"/>
            <w:noWrap/>
            <w:vAlign w:val="center"/>
          </w:tcPr>
          <w:p w14:paraId="37FAACB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0.14</w:t>
            </w:r>
          </w:p>
        </w:tc>
        <w:tc>
          <w:tcPr>
            <w:tcW w:w="724" w:type="dxa"/>
            <w:shd w:val="clear" w:color="auto" w:fill="auto"/>
            <w:noWrap/>
            <w:vAlign w:val="center"/>
          </w:tcPr>
          <w:p w14:paraId="26C1727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0.15</w:t>
            </w:r>
          </w:p>
        </w:tc>
        <w:tc>
          <w:tcPr>
            <w:tcW w:w="676" w:type="dxa"/>
            <w:shd w:val="clear" w:color="auto" w:fill="auto"/>
            <w:noWrap/>
            <w:vAlign w:val="center"/>
          </w:tcPr>
          <w:p w14:paraId="6651856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0.32</w:t>
            </w:r>
          </w:p>
        </w:tc>
        <w:tc>
          <w:tcPr>
            <w:tcW w:w="676" w:type="dxa"/>
            <w:shd w:val="clear" w:color="auto" w:fill="auto"/>
            <w:noWrap/>
            <w:vAlign w:val="center"/>
          </w:tcPr>
          <w:p w14:paraId="60781E3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0.15</w:t>
            </w:r>
          </w:p>
        </w:tc>
        <w:tc>
          <w:tcPr>
            <w:tcW w:w="644" w:type="dxa"/>
            <w:shd w:val="clear" w:color="auto" w:fill="auto"/>
            <w:noWrap/>
            <w:vAlign w:val="center"/>
          </w:tcPr>
          <w:p w14:paraId="7B2BA3E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0.15</w:t>
            </w:r>
          </w:p>
        </w:tc>
        <w:tc>
          <w:tcPr>
            <w:tcW w:w="709" w:type="dxa"/>
            <w:shd w:val="clear" w:color="auto" w:fill="auto"/>
            <w:noWrap/>
            <w:vAlign w:val="center"/>
          </w:tcPr>
          <w:p w14:paraId="543BCE2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0.25</w:t>
            </w:r>
          </w:p>
        </w:tc>
        <w:tc>
          <w:tcPr>
            <w:tcW w:w="708" w:type="dxa"/>
            <w:shd w:val="clear" w:color="auto" w:fill="auto"/>
            <w:noWrap/>
            <w:vAlign w:val="center"/>
          </w:tcPr>
          <w:p w14:paraId="1560841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0.18</w:t>
            </w:r>
          </w:p>
        </w:tc>
        <w:tc>
          <w:tcPr>
            <w:tcW w:w="709" w:type="dxa"/>
            <w:shd w:val="clear" w:color="auto" w:fill="auto"/>
            <w:noWrap/>
            <w:vAlign w:val="center"/>
          </w:tcPr>
          <w:p w14:paraId="32B90D2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0.24</w:t>
            </w:r>
          </w:p>
        </w:tc>
        <w:tc>
          <w:tcPr>
            <w:tcW w:w="709" w:type="dxa"/>
            <w:shd w:val="clear" w:color="auto" w:fill="auto"/>
            <w:noWrap/>
            <w:vAlign w:val="center"/>
          </w:tcPr>
          <w:p w14:paraId="00394E2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0.17</w:t>
            </w:r>
          </w:p>
        </w:tc>
        <w:tc>
          <w:tcPr>
            <w:tcW w:w="709" w:type="dxa"/>
            <w:shd w:val="clear" w:color="auto" w:fill="auto"/>
            <w:noWrap/>
            <w:vAlign w:val="center"/>
          </w:tcPr>
          <w:p w14:paraId="3177291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0.26</w:t>
            </w:r>
          </w:p>
        </w:tc>
        <w:tc>
          <w:tcPr>
            <w:tcW w:w="1383" w:type="dxa"/>
            <w:vMerge/>
            <w:vAlign w:val="center"/>
          </w:tcPr>
          <w:p w14:paraId="43706725" w14:textId="77777777" w:rsidR="009C353B" w:rsidRDefault="009C353B">
            <w:pPr>
              <w:widowControl/>
              <w:jc w:val="center"/>
              <w:rPr>
                <w:rFonts w:ascii="Times New Roman" w:eastAsiaTheme="minorEastAsia" w:hAnsi="Times New Roman"/>
                <w:kern w:val="0"/>
                <w:sz w:val="21"/>
                <w:szCs w:val="21"/>
              </w:rPr>
            </w:pPr>
          </w:p>
        </w:tc>
      </w:tr>
      <w:tr w:rsidR="009C353B" w14:paraId="5E03878C" w14:textId="77777777">
        <w:trPr>
          <w:cantSplit/>
          <w:trHeight w:val="340"/>
        </w:trPr>
        <w:tc>
          <w:tcPr>
            <w:tcW w:w="1129" w:type="dxa"/>
            <w:vMerge w:val="restart"/>
            <w:shd w:val="clear" w:color="auto" w:fill="auto"/>
            <w:noWrap/>
            <w:vAlign w:val="center"/>
          </w:tcPr>
          <w:p w14:paraId="73BCCF9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总氮</w:t>
            </w:r>
            <w:r>
              <w:rPr>
                <w:rFonts w:ascii="Times New Roman" w:eastAsiaTheme="minorEastAsia" w:hAnsi="Times New Roman"/>
                <w:kern w:val="0"/>
                <w:sz w:val="21"/>
                <w:szCs w:val="21"/>
              </w:rPr>
              <w:t>(mg/L)</w:t>
            </w:r>
          </w:p>
        </w:tc>
        <w:tc>
          <w:tcPr>
            <w:tcW w:w="709" w:type="dxa"/>
            <w:shd w:val="clear" w:color="auto" w:fill="auto"/>
            <w:noWrap/>
            <w:vAlign w:val="center"/>
          </w:tcPr>
          <w:p w14:paraId="2D743E9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5F91772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0.94</w:t>
            </w:r>
          </w:p>
        </w:tc>
        <w:tc>
          <w:tcPr>
            <w:tcW w:w="709" w:type="dxa"/>
            <w:shd w:val="clear" w:color="auto" w:fill="auto"/>
            <w:noWrap/>
            <w:vAlign w:val="center"/>
          </w:tcPr>
          <w:p w14:paraId="6A93EBC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1.14</w:t>
            </w:r>
          </w:p>
        </w:tc>
        <w:tc>
          <w:tcPr>
            <w:tcW w:w="708" w:type="dxa"/>
            <w:shd w:val="clear" w:color="auto" w:fill="auto"/>
            <w:noWrap/>
            <w:vAlign w:val="center"/>
          </w:tcPr>
          <w:p w14:paraId="47C9136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5.88</w:t>
            </w:r>
          </w:p>
        </w:tc>
        <w:tc>
          <w:tcPr>
            <w:tcW w:w="709" w:type="dxa"/>
            <w:shd w:val="clear" w:color="auto" w:fill="auto"/>
            <w:noWrap/>
            <w:vAlign w:val="center"/>
          </w:tcPr>
          <w:p w14:paraId="07F91AC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0.91</w:t>
            </w:r>
          </w:p>
        </w:tc>
        <w:tc>
          <w:tcPr>
            <w:tcW w:w="709" w:type="dxa"/>
            <w:shd w:val="clear" w:color="auto" w:fill="auto"/>
            <w:noWrap/>
            <w:vAlign w:val="center"/>
          </w:tcPr>
          <w:p w14:paraId="7A85E48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1.16</w:t>
            </w:r>
          </w:p>
        </w:tc>
        <w:tc>
          <w:tcPr>
            <w:tcW w:w="682" w:type="dxa"/>
            <w:shd w:val="clear" w:color="auto" w:fill="auto"/>
            <w:noWrap/>
            <w:vAlign w:val="center"/>
          </w:tcPr>
          <w:p w14:paraId="7D9D799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5.77</w:t>
            </w:r>
          </w:p>
        </w:tc>
        <w:tc>
          <w:tcPr>
            <w:tcW w:w="724" w:type="dxa"/>
            <w:shd w:val="clear" w:color="auto" w:fill="auto"/>
            <w:noWrap/>
            <w:vAlign w:val="center"/>
          </w:tcPr>
          <w:p w14:paraId="1D4D9E3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0.93</w:t>
            </w:r>
          </w:p>
        </w:tc>
        <w:tc>
          <w:tcPr>
            <w:tcW w:w="676" w:type="dxa"/>
            <w:shd w:val="clear" w:color="auto" w:fill="auto"/>
            <w:noWrap/>
            <w:vAlign w:val="center"/>
          </w:tcPr>
          <w:p w14:paraId="45BABB0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1.15</w:t>
            </w:r>
          </w:p>
        </w:tc>
        <w:tc>
          <w:tcPr>
            <w:tcW w:w="676" w:type="dxa"/>
            <w:shd w:val="clear" w:color="auto" w:fill="auto"/>
            <w:noWrap/>
            <w:vAlign w:val="center"/>
          </w:tcPr>
          <w:p w14:paraId="27A5033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5.8</w:t>
            </w:r>
          </w:p>
        </w:tc>
        <w:tc>
          <w:tcPr>
            <w:tcW w:w="644" w:type="dxa"/>
            <w:shd w:val="clear" w:color="auto" w:fill="auto"/>
            <w:noWrap/>
            <w:vAlign w:val="center"/>
          </w:tcPr>
          <w:p w14:paraId="0078ED0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1.18</w:t>
            </w:r>
          </w:p>
        </w:tc>
        <w:tc>
          <w:tcPr>
            <w:tcW w:w="709" w:type="dxa"/>
            <w:shd w:val="clear" w:color="auto" w:fill="auto"/>
            <w:noWrap/>
            <w:vAlign w:val="center"/>
          </w:tcPr>
          <w:p w14:paraId="3A2A318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1.19</w:t>
            </w:r>
          </w:p>
        </w:tc>
        <w:tc>
          <w:tcPr>
            <w:tcW w:w="708" w:type="dxa"/>
            <w:shd w:val="clear" w:color="auto" w:fill="auto"/>
            <w:noWrap/>
            <w:vAlign w:val="center"/>
          </w:tcPr>
          <w:p w14:paraId="7FBA2DC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1.22</w:t>
            </w:r>
          </w:p>
        </w:tc>
        <w:tc>
          <w:tcPr>
            <w:tcW w:w="709" w:type="dxa"/>
            <w:shd w:val="clear" w:color="auto" w:fill="auto"/>
            <w:noWrap/>
            <w:vAlign w:val="center"/>
          </w:tcPr>
          <w:p w14:paraId="247A2F2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1.28</w:t>
            </w:r>
          </w:p>
        </w:tc>
        <w:tc>
          <w:tcPr>
            <w:tcW w:w="709" w:type="dxa"/>
            <w:shd w:val="clear" w:color="auto" w:fill="auto"/>
            <w:noWrap/>
            <w:vAlign w:val="center"/>
          </w:tcPr>
          <w:p w14:paraId="7E6F2C7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1.18</w:t>
            </w:r>
          </w:p>
        </w:tc>
        <w:tc>
          <w:tcPr>
            <w:tcW w:w="709" w:type="dxa"/>
            <w:shd w:val="clear" w:color="auto" w:fill="auto"/>
            <w:noWrap/>
            <w:vAlign w:val="center"/>
          </w:tcPr>
          <w:p w14:paraId="0A0936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1.23</w:t>
            </w:r>
          </w:p>
        </w:tc>
        <w:tc>
          <w:tcPr>
            <w:tcW w:w="1383" w:type="dxa"/>
            <w:vMerge w:val="restart"/>
            <w:shd w:val="clear" w:color="auto" w:fill="auto"/>
            <w:noWrap/>
            <w:vAlign w:val="center"/>
          </w:tcPr>
          <w:p w14:paraId="1E848C3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1.5</w:t>
            </w:r>
          </w:p>
        </w:tc>
      </w:tr>
      <w:tr w:rsidR="009C353B" w14:paraId="53F5DF00" w14:textId="77777777">
        <w:trPr>
          <w:cantSplit/>
          <w:trHeight w:val="340"/>
        </w:trPr>
        <w:tc>
          <w:tcPr>
            <w:tcW w:w="1129" w:type="dxa"/>
            <w:vMerge/>
            <w:vAlign w:val="center"/>
          </w:tcPr>
          <w:p w14:paraId="4873EBD6"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222B52C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731259B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0.63</w:t>
            </w:r>
          </w:p>
        </w:tc>
        <w:tc>
          <w:tcPr>
            <w:tcW w:w="709" w:type="dxa"/>
            <w:shd w:val="clear" w:color="auto" w:fill="auto"/>
            <w:noWrap/>
            <w:vAlign w:val="center"/>
          </w:tcPr>
          <w:p w14:paraId="220832F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0.76</w:t>
            </w:r>
          </w:p>
        </w:tc>
        <w:tc>
          <w:tcPr>
            <w:tcW w:w="708" w:type="dxa"/>
            <w:shd w:val="clear" w:color="auto" w:fill="auto"/>
            <w:noWrap/>
            <w:vAlign w:val="center"/>
          </w:tcPr>
          <w:p w14:paraId="2F973EC3"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3.92</w:t>
            </w:r>
          </w:p>
        </w:tc>
        <w:tc>
          <w:tcPr>
            <w:tcW w:w="709" w:type="dxa"/>
            <w:shd w:val="clear" w:color="auto" w:fill="auto"/>
            <w:noWrap/>
            <w:vAlign w:val="center"/>
          </w:tcPr>
          <w:p w14:paraId="584F984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0.61</w:t>
            </w:r>
          </w:p>
        </w:tc>
        <w:tc>
          <w:tcPr>
            <w:tcW w:w="709" w:type="dxa"/>
            <w:shd w:val="clear" w:color="auto" w:fill="auto"/>
            <w:noWrap/>
            <w:vAlign w:val="center"/>
          </w:tcPr>
          <w:p w14:paraId="0092BD8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0.77</w:t>
            </w:r>
          </w:p>
        </w:tc>
        <w:tc>
          <w:tcPr>
            <w:tcW w:w="682" w:type="dxa"/>
            <w:shd w:val="clear" w:color="auto" w:fill="auto"/>
            <w:noWrap/>
            <w:vAlign w:val="center"/>
          </w:tcPr>
          <w:p w14:paraId="187DD20A"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3.85</w:t>
            </w:r>
          </w:p>
        </w:tc>
        <w:tc>
          <w:tcPr>
            <w:tcW w:w="724" w:type="dxa"/>
            <w:shd w:val="clear" w:color="auto" w:fill="auto"/>
            <w:noWrap/>
            <w:vAlign w:val="center"/>
          </w:tcPr>
          <w:p w14:paraId="2DEF95F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0.62</w:t>
            </w:r>
          </w:p>
        </w:tc>
        <w:tc>
          <w:tcPr>
            <w:tcW w:w="676" w:type="dxa"/>
            <w:shd w:val="clear" w:color="auto" w:fill="auto"/>
            <w:noWrap/>
            <w:vAlign w:val="center"/>
          </w:tcPr>
          <w:p w14:paraId="5B59CD6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0.77</w:t>
            </w:r>
          </w:p>
        </w:tc>
        <w:tc>
          <w:tcPr>
            <w:tcW w:w="676" w:type="dxa"/>
            <w:shd w:val="clear" w:color="auto" w:fill="auto"/>
            <w:noWrap/>
            <w:vAlign w:val="center"/>
          </w:tcPr>
          <w:p w14:paraId="1F2A03B6"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3.87</w:t>
            </w:r>
          </w:p>
        </w:tc>
        <w:tc>
          <w:tcPr>
            <w:tcW w:w="644" w:type="dxa"/>
            <w:shd w:val="clear" w:color="auto" w:fill="auto"/>
            <w:noWrap/>
            <w:vAlign w:val="center"/>
          </w:tcPr>
          <w:p w14:paraId="29DD0EB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0.79</w:t>
            </w:r>
          </w:p>
        </w:tc>
        <w:tc>
          <w:tcPr>
            <w:tcW w:w="709" w:type="dxa"/>
            <w:shd w:val="clear" w:color="auto" w:fill="auto"/>
            <w:noWrap/>
            <w:vAlign w:val="center"/>
          </w:tcPr>
          <w:p w14:paraId="208A8C2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0.79</w:t>
            </w:r>
          </w:p>
        </w:tc>
        <w:tc>
          <w:tcPr>
            <w:tcW w:w="708" w:type="dxa"/>
            <w:shd w:val="clear" w:color="auto" w:fill="auto"/>
            <w:noWrap/>
            <w:vAlign w:val="center"/>
          </w:tcPr>
          <w:p w14:paraId="7E2E74F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0.81</w:t>
            </w:r>
          </w:p>
        </w:tc>
        <w:tc>
          <w:tcPr>
            <w:tcW w:w="709" w:type="dxa"/>
            <w:shd w:val="clear" w:color="auto" w:fill="auto"/>
            <w:noWrap/>
            <w:vAlign w:val="center"/>
          </w:tcPr>
          <w:p w14:paraId="5749798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0.85</w:t>
            </w:r>
          </w:p>
        </w:tc>
        <w:tc>
          <w:tcPr>
            <w:tcW w:w="709" w:type="dxa"/>
            <w:shd w:val="clear" w:color="auto" w:fill="auto"/>
            <w:noWrap/>
            <w:vAlign w:val="center"/>
          </w:tcPr>
          <w:p w14:paraId="38C6FAA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0.79</w:t>
            </w:r>
          </w:p>
        </w:tc>
        <w:tc>
          <w:tcPr>
            <w:tcW w:w="709" w:type="dxa"/>
            <w:shd w:val="clear" w:color="auto" w:fill="auto"/>
            <w:noWrap/>
            <w:vAlign w:val="center"/>
          </w:tcPr>
          <w:p w14:paraId="448A48E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0.82</w:t>
            </w:r>
          </w:p>
        </w:tc>
        <w:tc>
          <w:tcPr>
            <w:tcW w:w="1383" w:type="dxa"/>
            <w:vMerge/>
            <w:vAlign w:val="center"/>
          </w:tcPr>
          <w:p w14:paraId="081CCD1F" w14:textId="77777777" w:rsidR="009C353B" w:rsidRDefault="009C353B">
            <w:pPr>
              <w:widowControl/>
              <w:jc w:val="center"/>
              <w:rPr>
                <w:rFonts w:ascii="Times New Roman" w:eastAsiaTheme="minorEastAsia" w:hAnsi="Times New Roman"/>
                <w:kern w:val="0"/>
                <w:sz w:val="21"/>
                <w:szCs w:val="21"/>
              </w:rPr>
            </w:pPr>
          </w:p>
        </w:tc>
      </w:tr>
      <w:tr w:rsidR="009C353B" w14:paraId="1023227B" w14:textId="77777777">
        <w:trPr>
          <w:cantSplit/>
          <w:trHeight w:val="340"/>
        </w:trPr>
        <w:tc>
          <w:tcPr>
            <w:tcW w:w="1129" w:type="dxa"/>
            <w:vMerge w:val="restart"/>
            <w:shd w:val="clear" w:color="auto" w:fill="auto"/>
            <w:noWrap/>
            <w:vAlign w:val="center"/>
          </w:tcPr>
          <w:p w14:paraId="1A78DA7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总磷</w:t>
            </w:r>
            <w:r>
              <w:rPr>
                <w:rFonts w:ascii="Times New Roman" w:eastAsiaTheme="minorEastAsia" w:hAnsi="Times New Roman"/>
                <w:kern w:val="0"/>
                <w:sz w:val="21"/>
                <w:szCs w:val="21"/>
              </w:rPr>
              <w:t>(mg/L)</w:t>
            </w:r>
          </w:p>
        </w:tc>
        <w:tc>
          <w:tcPr>
            <w:tcW w:w="709" w:type="dxa"/>
            <w:shd w:val="clear" w:color="auto" w:fill="auto"/>
            <w:noWrap/>
            <w:vAlign w:val="center"/>
          </w:tcPr>
          <w:p w14:paraId="2960F9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0860702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76BC7D4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c>
          <w:tcPr>
            <w:tcW w:w="708" w:type="dxa"/>
            <w:shd w:val="clear" w:color="auto" w:fill="auto"/>
            <w:noWrap/>
            <w:vAlign w:val="center"/>
          </w:tcPr>
          <w:p w14:paraId="38202F6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709" w:type="dxa"/>
            <w:shd w:val="clear" w:color="auto" w:fill="auto"/>
            <w:noWrap/>
            <w:vAlign w:val="center"/>
          </w:tcPr>
          <w:p w14:paraId="45C7EF1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709" w:type="dxa"/>
            <w:shd w:val="clear" w:color="auto" w:fill="auto"/>
            <w:noWrap/>
            <w:vAlign w:val="center"/>
          </w:tcPr>
          <w:p w14:paraId="222D242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w:t>
            </w:r>
          </w:p>
        </w:tc>
        <w:tc>
          <w:tcPr>
            <w:tcW w:w="682" w:type="dxa"/>
            <w:shd w:val="clear" w:color="auto" w:fill="auto"/>
            <w:noWrap/>
            <w:vAlign w:val="center"/>
          </w:tcPr>
          <w:p w14:paraId="38D1706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c>
          <w:tcPr>
            <w:tcW w:w="724" w:type="dxa"/>
            <w:shd w:val="clear" w:color="auto" w:fill="auto"/>
            <w:noWrap/>
            <w:vAlign w:val="center"/>
          </w:tcPr>
          <w:p w14:paraId="55D1A64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676" w:type="dxa"/>
            <w:shd w:val="clear" w:color="auto" w:fill="auto"/>
            <w:noWrap/>
            <w:vAlign w:val="center"/>
          </w:tcPr>
          <w:p w14:paraId="66E619C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676" w:type="dxa"/>
            <w:shd w:val="clear" w:color="auto" w:fill="auto"/>
            <w:noWrap/>
            <w:vAlign w:val="center"/>
          </w:tcPr>
          <w:p w14:paraId="247916B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c>
          <w:tcPr>
            <w:tcW w:w="644" w:type="dxa"/>
            <w:shd w:val="clear" w:color="auto" w:fill="auto"/>
            <w:noWrap/>
            <w:vAlign w:val="center"/>
          </w:tcPr>
          <w:p w14:paraId="5469D96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0.08</w:t>
            </w:r>
          </w:p>
        </w:tc>
        <w:tc>
          <w:tcPr>
            <w:tcW w:w="709" w:type="dxa"/>
            <w:shd w:val="clear" w:color="auto" w:fill="auto"/>
            <w:noWrap/>
            <w:vAlign w:val="center"/>
          </w:tcPr>
          <w:p w14:paraId="7BC70E1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0.08</w:t>
            </w:r>
          </w:p>
        </w:tc>
        <w:tc>
          <w:tcPr>
            <w:tcW w:w="708" w:type="dxa"/>
            <w:shd w:val="clear" w:color="auto" w:fill="auto"/>
            <w:noWrap/>
            <w:vAlign w:val="center"/>
          </w:tcPr>
          <w:p w14:paraId="1E74DDA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0.09</w:t>
            </w:r>
          </w:p>
        </w:tc>
        <w:tc>
          <w:tcPr>
            <w:tcW w:w="709" w:type="dxa"/>
            <w:shd w:val="clear" w:color="auto" w:fill="auto"/>
            <w:noWrap/>
            <w:vAlign w:val="center"/>
          </w:tcPr>
          <w:p w14:paraId="046914C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0.11</w:t>
            </w:r>
          </w:p>
        </w:tc>
        <w:tc>
          <w:tcPr>
            <w:tcW w:w="709" w:type="dxa"/>
            <w:shd w:val="clear" w:color="auto" w:fill="auto"/>
            <w:noWrap/>
            <w:vAlign w:val="center"/>
          </w:tcPr>
          <w:p w14:paraId="4E4F1BD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0.08</w:t>
            </w:r>
          </w:p>
        </w:tc>
        <w:tc>
          <w:tcPr>
            <w:tcW w:w="709" w:type="dxa"/>
            <w:shd w:val="clear" w:color="auto" w:fill="auto"/>
            <w:noWrap/>
            <w:vAlign w:val="center"/>
          </w:tcPr>
          <w:p w14:paraId="4BEAEEA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w:t>
            </w:r>
          </w:p>
        </w:tc>
        <w:tc>
          <w:tcPr>
            <w:tcW w:w="1383" w:type="dxa"/>
            <w:vMerge w:val="restart"/>
            <w:shd w:val="clear" w:color="auto" w:fill="auto"/>
            <w:noWrap/>
            <w:vAlign w:val="center"/>
          </w:tcPr>
          <w:p w14:paraId="0ED157D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w:t>
            </w:r>
          </w:p>
        </w:tc>
      </w:tr>
      <w:tr w:rsidR="009C353B" w14:paraId="2527ED38" w14:textId="77777777">
        <w:trPr>
          <w:cantSplit/>
          <w:trHeight w:val="340"/>
        </w:trPr>
        <w:tc>
          <w:tcPr>
            <w:tcW w:w="1129" w:type="dxa"/>
            <w:vMerge/>
            <w:vAlign w:val="center"/>
          </w:tcPr>
          <w:p w14:paraId="2EEE8095"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0EC79AF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1A8FB59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0.07</w:t>
            </w:r>
          </w:p>
        </w:tc>
        <w:tc>
          <w:tcPr>
            <w:tcW w:w="709" w:type="dxa"/>
            <w:shd w:val="clear" w:color="auto" w:fill="auto"/>
            <w:noWrap/>
            <w:vAlign w:val="center"/>
          </w:tcPr>
          <w:p w14:paraId="16372C5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0.17</w:t>
            </w:r>
          </w:p>
        </w:tc>
        <w:tc>
          <w:tcPr>
            <w:tcW w:w="708" w:type="dxa"/>
            <w:shd w:val="clear" w:color="auto" w:fill="auto"/>
            <w:noWrap/>
            <w:vAlign w:val="center"/>
          </w:tcPr>
          <w:p w14:paraId="5DADCDF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0.13</w:t>
            </w:r>
          </w:p>
        </w:tc>
        <w:tc>
          <w:tcPr>
            <w:tcW w:w="709" w:type="dxa"/>
            <w:shd w:val="clear" w:color="auto" w:fill="auto"/>
            <w:noWrap/>
            <w:vAlign w:val="center"/>
          </w:tcPr>
          <w:p w14:paraId="6FC26E7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w:t>
            </w:r>
          </w:p>
        </w:tc>
        <w:tc>
          <w:tcPr>
            <w:tcW w:w="709" w:type="dxa"/>
            <w:shd w:val="clear" w:color="auto" w:fill="auto"/>
            <w:noWrap/>
            <w:vAlign w:val="center"/>
          </w:tcPr>
          <w:p w14:paraId="1113C15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w:t>
            </w:r>
          </w:p>
        </w:tc>
        <w:tc>
          <w:tcPr>
            <w:tcW w:w="682" w:type="dxa"/>
            <w:shd w:val="clear" w:color="auto" w:fill="auto"/>
            <w:noWrap/>
            <w:vAlign w:val="center"/>
          </w:tcPr>
          <w:p w14:paraId="3DEDDE3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0.17</w:t>
            </w:r>
          </w:p>
        </w:tc>
        <w:tc>
          <w:tcPr>
            <w:tcW w:w="724" w:type="dxa"/>
            <w:shd w:val="clear" w:color="auto" w:fill="auto"/>
            <w:noWrap/>
            <w:vAlign w:val="center"/>
          </w:tcPr>
          <w:p w14:paraId="6973684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0.07</w:t>
            </w:r>
          </w:p>
        </w:tc>
        <w:tc>
          <w:tcPr>
            <w:tcW w:w="676" w:type="dxa"/>
            <w:shd w:val="clear" w:color="auto" w:fill="auto"/>
            <w:noWrap/>
            <w:vAlign w:val="center"/>
          </w:tcPr>
          <w:p w14:paraId="0B746CC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0.13</w:t>
            </w:r>
          </w:p>
        </w:tc>
        <w:tc>
          <w:tcPr>
            <w:tcW w:w="676" w:type="dxa"/>
            <w:shd w:val="clear" w:color="auto" w:fill="auto"/>
            <w:noWrap/>
            <w:vAlign w:val="center"/>
          </w:tcPr>
          <w:p w14:paraId="0C7CA60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0.17</w:t>
            </w:r>
          </w:p>
        </w:tc>
        <w:tc>
          <w:tcPr>
            <w:tcW w:w="644" w:type="dxa"/>
            <w:shd w:val="clear" w:color="auto" w:fill="auto"/>
            <w:noWrap/>
            <w:vAlign w:val="center"/>
          </w:tcPr>
          <w:p w14:paraId="24F9BDF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0.27</w:t>
            </w:r>
          </w:p>
        </w:tc>
        <w:tc>
          <w:tcPr>
            <w:tcW w:w="709" w:type="dxa"/>
            <w:shd w:val="clear" w:color="auto" w:fill="auto"/>
            <w:noWrap/>
            <w:vAlign w:val="center"/>
          </w:tcPr>
          <w:p w14:paraId="1BFAB19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0.27</w:t>
            </w:r>
          </w:p>
        </w:tc>
        <w:tc>
          <w:tcPr>
            <w:tcW w:w="708" w:type="dxa"/>
            <w:shd w:val="clear" w:color="auto" w:fill="auto"/>
            <w:noWrap/>
            <w:vAlign w:val="center"/>
          </w:tcPr>
          <w:p w14:paraId="7B7C7C9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w:t>
            </w:r>
          </w:p>
        </w:tc>
        <w:tc>
          <w:tcPr>
            <w:tcW w:w="709" w:type="dxa"/>
            <w:shd w:val="clear" w:color="auto" w:fill="auto"/>
            <w:noWrap/>
            <w:vAlign w:val="center"/>
          </w:tcPr>
          <w:p w14:paraId="71C3D12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0.37</w:t>
            </w:r>
          </w:p>
        </w:tc>
        <w:tc>
          <w:tcPr>
            <w:tcW w:w="709" w:type="dxa"/>
            <w:shd w:val="clear" w:color="auto" w:fill="auto"/>
            <w:noWrap/>
            <w:vAlign w:val="center"/>
          </w:tcPr>
          <w:p w14:paraId="003B45B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0.27</w:t>
            </w:r>
          </w:p>
        </w:tc>
        <w:tc>
          <w:tcPr>
            <w:tcW w:w="709" w:type="dxa"/>
            <w:shd w:val="clear" w:color="auto" w:fill="auto"/>
            <w:noWrap/>
            <w:vAlign w:val="center"/>
          </w:tcPr>
          <w:p w14:paraId="7CED7BA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0.33</w:t>
            </w:r>
          </w:p>
        </w:tc>
        <w:tc>
          <w:tcPr>
            <w:tcW w:w="1383" w:type="dxa"/>
            <w:vMerge/>
            <w:vAlign w:val="center"/>
          </w:tcPr>
          <w:p w14:paraId="3DACB1A5" w14:textId="77777777" w:rsidR="009C353B" w:rsidRDefault="009C353B">
            <w:pPr>
              <w:widowControl/>
              <w:jc w:val="center"/>
              <w:rPr>
                <w:rFonts w:ascii="Times New Roman" w:eastAsiaTheme="minorEastAsia" w:hAnsi="Times New Roman"/>
                <w:kern w:val="0"/>
                <w:sz w:val="21"/>
                <w:szCs w:val="21"/>
              </w:rPr>
            </w:pPr>
          </w:p>
        </w:tc>
      </w:tr>
      <w:tr w:rsidR="009C353B" w14:paraId="3E00C553" w14:textId="77777777">
        <w:trPr>
          <w:cantSplit/>
          <w:trHeight w:val="340"/>
        </w:trPr>
        <w:tc>
          <w:tcPr>
            <w:tcW w:w="1129" w:type="dxa"/>
            <w:vMerge w:val="restart"/>
            <w:shd w:val="clear" w:color="auto" w:fill="auto"/>
            <w:noWrap/>
            <w:vAlign w:val="center"/>
          </w:tcPr>
          <w:p w14:paraId="07C454D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氟化物</w:t>
            </w:r>
            <w:r>
              <w:rPr>
                <w:rFonts w:ascii="Times New Roman" w:eastAsiaTheme="minorEastAsia" w:hAnsi="Times New Roman"/>
                <w:kern w:val="0"/>
                <w:sz w:val="21"/>
                <w:szCs w:val="21"/>
              </w:rPr>
              <w:t>(mg/L)</w:t>
            </w:r>
          </w:p>
        </w:tc>
        <w:tc>
          <w:tcPr>
            <w:tcW w:w="709" w:type="dxa"/>
            <w:shd w:val="clear" w:color="auto" w:fill="auto"/>
            <w:noWrap/>
            <w:vAlign w:val="center"/>
          </w:tcPr>
          <w:p w14:paraId="11F85BC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7FE4E12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2.74</w:t>
            </w:r>
          </w:p>
        </w:tc>
        <w:tc>
          <w:tcPr>
            <w:tcW w:w="709" w:type="dxa"/>
            <w:shd w:val="clear" w:color="auto" w:fill="auto"/>
            <w:noWrap/>
            <w:vAlign w:val="center"/>
          </w:tcPr>
          <w:p w14:paraId="0A9EF13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4.17</w:t>
            </w:r>
          </w:p>
        </w:tc>
        <w:tc>
          <w:tcPr>
            <w:tcW w:w="708" w:type="dxa"/>
            <w:shd w:val="clear" w:color="auto" w:fill="auto"/>
            <w:noWrap/>
            <w:vAlign w:val="center"/>
          </w:tcPr>
          <w:p w14:paraId="0E9950B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4.3</w:t>
            </w:r>
          </w:p>
        </w:tc>
        <w:tc>
          <w:tcPr>
            <w:tcW w:w="709" w:type="dxa"/>
            <w:shd w:val="clear" w:color="auto" w:fill="auto"/>
            <w:noWrap/>
            <w:vAlign w:val="center"/>
          </w:tcPr>
          <w:p w14:paraId="2AB9F54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1.31</w:t>
            </w:r>
          </w:p>
        </w:tc>
        <w:tc>
          <w:tcPr>
            <w:tcW w:w="709" w:type="dxa"/>
            <w:shd w:val="clear" w:color="auto" w:fill="auto"/>
            <w:noWrap/>
            <w:vAlign w:val="center"/>
          </w:tcPr>
          <w:p w14:paraId="3B03E0F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2.55</w:t>
            </w:r>
          </w:p>
        </w:tc>
        <w:tc>
          <w:tcPr>
            <w:tcW w:w="682" w:type="dxa"/>
            <w:shd w:val="clear" w:color="auto" w:fill="auto"/>
            <w:noWrap/>
            <w:vAlign w:val="center"/>
          </w:tcPr>
          <w:p w14:paraId="1ED934D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4.05</w:t>
            </w:r>
          </w:p>
        </w:tc>
        <w:tc>
          <w:tcPr>
            <w:tcW w:w="724" w:type="dxa"/>
            <w:shd w:val="clear" w:color="auto" w:fill="auto"/>
            <w:noWrap/>
            <w:vAlign w:val="center"/>
          </w:tcPr>
          <w:p w14:paraId="0DCD449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1.35</w:t>
            </w:r>
          </w:p>
        </w:tc>
        <w:tc>
          <w:tcPr>
            <w:tcW w:w="676" w:type="dxa"/>
            <w:shd w:val="clear" w:color="auto" w:fill="auto"/>
            <w:noWrap/>
            <w:vAlign w:val="center"/>
          </w:tcPr>
          <w:p w14:paraId="16CE4EC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2.48</w:t>
            </w:r>
          </w:p>
        </w:tc>
        <w:tc>
          <w:tcPr>
            <w:tcW w:w="676" w:type="dxa"/>
            <w:shd w:val="clear" w:color="auto" w:fill="auto"/>
            <w:noWrap/>
            <w:vAlign w:val="center"/>
          </w:tcPr>
          <w:p w14:paraId="03B1A31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4.02</w:t>
            </w:r>
          </w:p>
        </w:tc>
        <w:tc>
          <w:tcPr>
            <w:tcW w:w="644" w:type="dxa"/>
            <w:shd w:val="clear" w:color="auto" w:fill="auto"/>
            <w:noWrap/>
            <w:vAlign w:val="center"/>
          </w:tcPr>
          <w:p w14:paraId="50CA0E3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3.44</w:t>
            </w:r>
          </w:p>
        </w:tc>
        <w:tc>
          <w:tcPr>
            <w:tcW w:w="709" w:type="dxa"/>
            <w:shd w:val="clear" w:color="auto" w:fill="auto"/>
            <w:noWrap/>
            <w:vAlign w:val="center"/>
          </w:tcPr>
          <w:p w14:paraId="7290D0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2.96</w:t>
            </w:r>
          </w:p>
        </w:tc>
        <w:tc>
          <w:tcPr>
            <w:tcW w:w="708" w:type="dxa"/>
            <w:shd w:val="clear" w:color="auto" w:fill="auto"/>
            <w:noWrap/>
            <w:vAlign w:val="center"/>
          </w:tcPr>
          <w:p w14:paraId="38A3C9C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4.18</w:t>
            </w:r>
          </w:p>
        </w:tc>
        <w:tc>
          <w:tcPr>
            <w:tcW w:w="709" w:type="dxa"/>
            <w:shd w:val="clear" w:color="auto" w:fill="auto"/>
            <w:noWrap/>
            <w:vAlign w:val="center"/>
          </w:tcPr>
          <w:p w14:paraId="7E81CF0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2.68</w:t>
            </w:r>
          </w:p>
        </w:tc>
        <w:tc>
          <w:tcPr>
            <w:tcW w:w="709" w:type="dxa"/>
            <w:shd w:val="clear" w:color="auto" w:fill="auto"/>
            <w:noWrap/>
            <w:vAlign w:val="center"/>
          </w:tcPr>
          <w:p w14:paraId="54F1498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4.33</w:t>
            </w:r>
          </w:p>
        </w:tc>
        <w:tc>
          <w:tcPr>
            <w:tcW w:w="709" w:type="dxa"/>
            <w:shd w:val="clear" w:color="auto" w:fill="auto"/>
            <w:noWrap/>
            <w:vAlign w:val="center"/>
          </w:tcPr>
          <w:p w14:paraId="479E297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3.02</w:t>
            </w:r>
          </w:p>
        </w:tc>
        <w:tc>
          <w:tcPr>
            <w:tcW w:w="1383" w:type="dxa"/>
            <w:vMerge w:val="restart"/>
            <w:shd w:val="clear" w:color="auto" w:fill="auto"/>
            <w:noWrap/>
            <w:vAlign w:val="center"/>
          </w:tcPr>
          <w:p w14:paraId="19AA86C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1.5</w:t>
            </w:r>
          </w:p>
        </w:tc>
      </w:tr>
      <w:tr w:rsidR="009C353B" w14:paraId="7B2387DC" w14:textId="77777777">
        <w:trPr>
          <w:cantSplit/>
          <w:trHeight w:val="340"/>
        </w:trPr>
        <w:tc>
          <w:tcPr>
            <w:tcW w:w="1129" w:type="dxa"/>
            <w:vMerge/>
            <w:vAlign w:val="center"/>
          </w:tcPr>
          <w:p w14:paraId="3E9EDCDD"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6F8BF0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669E5B91"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1.83</w:t>
            </w:r>
          </w:p>
        </w:tc>
        <w:tc>
          <w:tcPr>
            <w:tcW w:w="709" w:type="dxa"/>
            <w:shd w:val="clear" w:color="auto" w:fill="auto"/>
            <w:noWrap/>
            <w:vAlign w:val="center"/>
          </w:tcPr>
          <w:p w14:paraId="642BC7C7"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2.78</w:t>
            </w:r>
          </w:p>
        </w:tc>
        <w:tc>
          <w:tcPr>
            <w:tcW w:w="708" w:type="dxa"/>
            <w:shd w:val="clear" w:color="auto" w:fill="auto"/>
            <w:noWrap/>
            <w:vAlign w:val="center"/>
          </w:tcPr>
          <w:p w14:paraId="7E9C1207"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2.87</w:t>
            </w:r>
          </w:p>
        </w:tc>
        <w:tc>
          <w:tcPr>
            <w:tcW w:w="709" w:type="dxa"/>
            <w:shd w:val="clear" w:color="auto" w:fill="auto"/>
            <w:noWrap/>
            <w:vAlign w:val="center"/>
          </w:tcPr>
          <w:p w14:paraId="446C969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0.87</w:t>
            </w:r>
          </w:p>
        </w:tc>
        <w:tc>
          <w:tcPr>
            <w:tcW w:w="709" w:type="dxa"/>
            <w:shd w:val="clear" w:color="auto" w:fill="auto"/>
            <w:noWrap/>
            <w:vAlign w:val="center"/>
          </w:tcPr>
          <w:p w14:paraId="14DA2F65"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1.7</w:t>
            </w:r>
          </w:p>
        </w:tc>
        <w:tc>
          <w:tcPr>
            <w:tcW w:w="682" w:type="dxa"/>
            <w:shd w:val="clear" w:color="auto" w:fill="auto"/>
            <w:noWrap/>
            <w:vAlign w:val="center"/>
          </w:tcPr>
          <w:p w14:paraId="1158F7EE"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2.7</w:t>
            </w:r>
          </w:p>
        </w:tc>
        <w:tc>
          <w:tcPr>
            <w:tcW w:w="724" w:type="dxa"/>
            <w:shd w:val="clear" w:color="auto" w:fill="auto"/>
            <w:noWrap/>
            <w:vAlign w:val="center"/>
          </w:tcPr>
          <w:p w14:paraId="1D2C2ED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0.9</w:t>
            </w:r>
          </w:p>
        </w:tc>
        <w:tc>
          <w:tcPr>
            <w:tcW w:w="676" w:type="dxa"/>
            <w:shd w:val="clear" w:color="auto" w:fill="auto"/>
            <w:noWrap/>
            <w:vAlign w:val="center"/>
          </w:tcPr>
          <w:p w14:paraId="430CDB19"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1.65</w:t>
            </w:r>
          </w:p>
        </w:tc>
        <w:tc>
          <w:tcPr>
            <w:tcW w:w="676" w:type="dxa"/>
            <w:shd w:val="clear" w:color="auto" w:fill="auto"/>
            <w:noWrap/>
            <w:vAlign w:val="center"/>
          </w:tcPr>
          <w:p w14:paraId="5F3E1962"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2.68</w:t>
            </w:r>
          </w:p>
        </w:tc>
        <w:tc>
          <w:tcPr>
            <w:tcW w:w="644" w:type="dxa"/>
            <w:shd w:val="clear" w:color="auto" w:fill="auto"/>
            <w:noWrap/>
            <w:vAlign w:val="center"/>
          </w:tcPr>
          <w:p w14:paraId="6C60B37E"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2.29</w:t>
            </w:r>
          </w:p>
        </w:tc>
        <w:tc>
          <w:tcPr>
            <w:tcW w:w="709" w:type="dxa"/>
            <w:shd w:val="clear" w:color="auto" w:fill="auto"/>
            <w:noWrap/>
            <w:vAlign w:val="center"/>
          </w:tcPr>
          <w:p w14:paraId="54D2E262"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1.97</w:t>
            </w:r>
          </w:p>
        </w:tc>
        <w:tc>
          <w:tcPr>
            <w:tcW w:w="708" w:type="dxa"/>
            <w:shd w:val="clear" w:color="auto" w:fill="auto"/>
            <w:noWrap/>
            <w:vAlign w:val="center"/>
          </w:tcPr>
          <w:p w14:paraId="39439BF3"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2.79</w:t>
            </w:r>
          </w:p>
        </w:tc>
        <w:tc>
          <w:tcPr>
            <w:tcW w:w="709" w:type="dxa"/>
            <w:shd w:val="clear" w:color="auto" w:fill="auto"/>
            <w:noWrap/>
            <w:vAlign w:val="center"/>
          </w:tcPr>
          <w:p w14:paraId="71C284A7"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1.79</w:t>
            </w:r>
          </w:p>
        </w:tc>
        <w:tc>
          <w:tcPr>
            <w:tcW w:w="709" w:type="dxa"/>
            <w:shd w:val="clear" w:color="auto" w:fill="auto"/>
            <w:noWrap/>
            <w:vAlign w:val="center"/>
          </w:tcPr>
          <w:p w14:paraId="4E67F088"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2.89</w:t>
            </w:r>
          </w:p>
        </w:tc>
        <w:tc>
          <w:tcPr>
            <w:tcW w:w="709" w:type="dxa"/>
            <w:shd w:val="clear" w:color="auto" w:fill="auto"/>
            <w:noWrap/>
            <w:vAlign w:val="center"/>
          </w:tcPr>
          <w:p w14:paraId="0483609C" w14:textId="77777777" w:rsidR="009C353B" w:rsidRDefault="00000000">
            <w:pPr>
              <w:widowControl/>
              <w:jc w:val="center"/>
              <w:rPr>
                <w:rFonts w:ascii="Times New Roman" w:eastAsiaTheme="minorEastAsia" w:hAnsi="Times New Roman"/>
                <w:b/>
                <w:bCs/>
                <w:kern w:val="0"/>
                <w:sz w:val="21"/>
                <w:szCs w:val="21"/>
              </w:rPr>
            </w:pPr>
            <w:r>
              <w:rPr>
                <w:rFonts w:ascii="Times New Roman" w:eastAsiaTheme="minorEastAsia" w:hAnsi="Times New Roman"/>
                <w:b/>
                <w:bCs/>
                <w:kern w:val="0"/>
                <w:sz w:val="21"/>
                <w:szCs w:val="21"/>
              </w:rPr>
              <w:t>2.01</w:t>
            </w:r>
          </w:p>
        </w:tc>
        <w:tc>
          <w:tcPr>
            <w:tcW w:w="1383" w:type="dxa"/>
            <w:vMerge/>
            <w:vAlign w:val="center"/>
          </w:tcPr>
          <w:p w14:paraId="3F1DF3EC" w14:textId="77777777" w:rsidR="009C353B" w:rsidRDefault="009C353B">
            <w:pPr>
              <w:widowControl/>
              <w:jc w:val="center"/>
              <w:rPr>
                <w:rFonts w:ascii="Times New Roman" w:eastAsiaTheme="minorEastAsia" w:hAnsi="Times New Roman"/>
                <w:kern w:val="0"/>
                <w:sz w:val="21"/>
                <w:szCs w:val="21"/>
              </w:rPr>
            </w:pPr>
          </w:p>
        </w:tc>
      </w:tr>
      <w:tr w:rsidR="009C353B" w14:paraId="44CAD862" w14:textId="77777777">
        <w:trPr>
          <w:cantSplit/>
          <w:trHeight w:val="340"/>
        </w:trPr>
        <w:tc>
          <w:tcPr>
            <w:tcW w:w="1129" w:type="dxa"/>
            <w:vMerge w:val="restart"/>
            <w:shd w:val="clear" w:color="auto" w:fill="auto"/>
            <w:noWrap/>
            <w:vAlign w:val="center"/>
          </w:tcPr>
          <w:p w14:paraId="1D200F0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氰化物</w:t>
            </w:r>
            <w:r>
              <w:rPr>
                <w:rFonts w:ascii="Times New Roman" w:eastAsiaTheme="minorEastAsia" w:hAnsi="Times New Roman"/>
                <w:kern w:val="0"/>
                <w:sz w:val="21"/>
                <w:szCs w:val="21"/>
              </w:rPr>
              <w:t>(mg/L)</w:t>
            </w:r>
          </w:p>
        </w:tc>
        <w:tc>
          <w:tcPr>
            <w:tcW w:w="709" w:type="dxa"/>
            <w:shd w:val="clear" w:color="auto" w:fill="auto"/>
            <w:noWrap/>
            <w:vAlign w:val="center"/>
          </w:tcPr>
          <w:p w14:paraId="71EDBFE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48E7255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6690EF6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8" w:type="dxa"/>
            <w:shd w:val="clear" w:color="auto" w:fill="auto"/>
            <w:noWrap/>
            <w:vAlign w:val="center"/>
          </w:tcPr>
          <w:p w14:paraId="613CDFA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775C6A4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2F65D52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82" w:type="dxa"/>
            <w:shd w:val="clear" w:color="auto" w:fill="auto"/>
            <w:noWrap/>
            <w:vAlign w:val="center"/>
          </w:tcPr>
          <w:p w14:paraId="70AEE4D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24" w:type="dxa"/>
            <w:shd w:val="clear" w:color="auto" w:fill="auto"/>
            <w:noWrap/>
            <w:vAlign w:val="center"/>
          </w:tcPr>
          <w:p w14:paraId="008E551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76" w:type="dxa"/>
            <w:shd w:val="clear" w:color="auto" w:fill="auto"/>
            <w:noWrap/>
            <w:vAlign w:val="center"/>
          </w:tcPr>
          <w:p w14:paraId="6F6226F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76" w:type="dxa"/>
            <w:shd w:val="clear" w:color="auto" w:fill="auto"/>
            <w:noWrap/>
            <w:vAlign w:val="center"/>
          </w:tcPr>
          <w:p w14:paraId="237CED7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44" w:type="dxa"/>
            <w:shd w:val="clear" w:color="auto" w:fill="auto"/>
            <w:noWrap/>
            <w:vAlign w:val="center"/>
          </w:tcPr>
          <w:p w14:paraId="0AAF455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010453F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8" w:type="dxa"/>
            <w:shd w:val="clear" w:color="auto" w:fill="auto"/>
            <w:noWrap/>
            <w:vAlign w:val="center"/>
          </w:tcPr>
          <w:p w14:paraId="1E16863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612706F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31438FD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07F29D6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1383" w:type="dxa"/>
            <w:vMerge w:val="restart"/>
            <w:shd w:val="clear" w:color="auto" w:fill="auto"/>
            <w:noWrap/>
            <w:vAlign w:val="center"/>
          </w:tcPr>
          <w:p w14:paraId="018E226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w:t>
            </w:r>
          </w:p>
        </w:tc>
      </w:tr>
      <w:tr w:rsidR="009C353B" w14:paraId="691D1A50" w14:textId="77777777">
        <w:trPr>
          <w:cantSplit/>
          <w:trHeight w:val="340"/>
        </w:trPr>
        <w:tc>
          <w:tcPr>
            <w:tcW w:w="1129" w:type="dxa"/>
            <w:vMerge/>
            <w:vAlign w:val="center"/>
          </w:tcPr>
          <w:p w14:paraId="34DBF0F5"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74B7C5A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4925E7D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4E3CE79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118E8C8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24B2527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6811776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82" w:type="dxa"/>
            <w:shd w:val="clear" w:color="auto" w:fill="auto"/>
            <w:noWrap/>
            <w:vAlign w:val="center"/>
          </w:tcPr>
          <w:p w14:paraId="011E15F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24" w:type="dxa"/>
            <w:shd w:val="clear" w:color="auto" w:fill="auto"/>
            <w:noWrap/>
            <w:vAlign w:val="center"/>
          </w:tcPr>
          <w:p w14:paraId="7A3D680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20CC3FA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56B2420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44" w:type="dxa"/>
            <w:shd w:val="clear" w:color="auto" w:fill="auto"/>
            <w:noWrap/>
            <w:vAlign w:val="center"/>
          </w:tcPr>
          <w:p w14:paraId="0F9C036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6F3A44E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29713EC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78817C3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1A86CE0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409AB53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383" w:type="dxa"/>
            <w:vMerge/>
            <w:vAlign w:val="center"/>
          </w:tcPr>
          <w:p w14:paraId="0A25D9B1" w14:textId="77777777" w:rsidR="009C353B" w:rsidRDefault="009C353B">
            <w:pPr>
              <w:widowControl/>
              <w:jc w:val="center"/>
              <w:rPr>
                <w:rFonts w:ascii="Times New Roman" w:eastAsiaTheme="minorEastAsia" w:hAnsi="Times New Roman"/>
                <w:kern w:val="0"/>
                <w:sz w:val="21"/>
                <w:szCs w:val="21"/>
              </w:rPr>
            </w:pPr>
          </w:p>
        </w:tc>
      </w:tr>
      <w:tr w:rsidR="009C353B" w14:paraId="77CA6C8C" w14:textId="77777777">
        <w:trPr>
          <w:cantSplit/>
          <w:trHeight w:val="340"/>
        </w:trPr>
        <w:tc>
          <w:tcPr>
            <w:tcW w:w="1129" w:type="dxa"/>
            <w:vMerge w:val="restart"/>
            <w:shd w:val="clear" w:color="auto" w:fill="auto"/>
            <w:noWrap/>
            <w:vAlign w:val="center"/>
          </w:tcPr>
          <w:p w14:paraId="1C87660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硫化物</w:t>
            </w:r>
            <w:r>
              <w:rPr>
                <w:rFonts w:ascii="Times New Roman" w:eastAsiaTheme="minorEastAsia" w:hAnsi="Times New Roman"/>
                <w:kern w:val="0"/>
                <w:sz w:val="21"/>
                <w:szCs w:val="21"/>
              </w:rPr>
              <w:t>(mg/L)</w:t>
            </w:r>
          </w:p>
        </w:tc>
        <w:tc>
          <w:tcPr>
            <w:tcW w:w="709" w:type="dxa"/>
            <w:shd w:val="clear" w:color="auto" w:fill="auto"/>
            <w:noWrap/>
            <w:vAlign w:val="center"/>
          </w:tcPr>
          <w:p w14:paraId="1162C54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15373CB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709" w:type="dxa"/>
            <w:shd w:val="clear" w:color="auto" w:fill="auto"/>
            <w:noWrap/>
            <w:vAlign w:val="center"/>
          </w:tcPr>
          <w:p w14:paraId="0320FEF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708" w:type="dxa"/>
            <w:shd w:val="clear" w:color="auto" w:fill="auto"/>
            <w:noWrap/>
            <w:vAlign w:val="center"/>
          </w:tcPr>
          <w:p w14:paraId="23E306D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709" w:type="dxa"/>
            <w:shd w:val="clear" w:color="auto" w:fill="auto"/>
            <w:noWrap/>
            <w:vAlign w:val="center"/>
          </w:tcPr>
          <w:p w14:paraId="5789C17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709" w:type="dxa"/>
            <w:shd w:val="clear" w:color="auto" w:fill="auto"/>
            <w:noWrap/>
            <w:vAlign w:val="center"/>
          </w:tcPr>
          <w:p w14:paraId="5ACFE9E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682" w:type="dxa"/>
            <w:shd w:val="clear" w:color="auto" w:fill="auto"/>
            <w:noWrap/>
            <w:vAlign w:val="center"/>
          </w:tcPr>
          <w:p w14:paraId="754CACB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724" w:type="dxa"/>
            <w:shd w:val="clear" w:color="auto" w:fill="auto"/>
            <w:noWrap/>
            <w:vAlign w:val="center"/>
          </w:tcPr>
          <w:p w14:paraId="198BB17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676" w:type="dxa"/>
            <w:shd w:val="clear" w:color="auto" w:fill="auto"/>
            <w:noWrap/>
            <w:vAlign w:val="center"/>
          </w:tcPr>
          <w:p w14:paraId="1F24F8B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676" w:type="dxa"/>
            <w:shd w:val="clear" w:color="auto" w:fill="auto"/>
            <w:noWrap/>
            <w:vAlign w:val="center"/>
          </w:tcPr>
          <w:p w14:paraId="6866DC1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644" w:type="dxa"/>
            <w:shd w:val="clear" w:color="auto" w:fill="auto"/>
            <w:noWrap/>
            <w:vAlign w:val="center"/>
          </w:tcPr>
          <w:p w14:paraId="4D17885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709" w:type="dxa"/>
            <w:shd w:val="clear" w:color="auto" w:fill="auto"/>
            <w:noWrap/>
            <w:vAlign w:val="center"/>
          </w:tcPr>
          <w:p w14:paraId="1AD5A3A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708" w:type="dxa"/>
            <w:shd w:val="clear" w:color="auto" w:fill="auto"/>
            <w:noWrap/>
            <w:vAlign w:val="center"/>
          </w:tcPr>
          <w:p w14:paraId="10F527A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709" w:type="dxa"/>
            <w:shd w:val="clear" w:color="auto" w:fill="auto"/>
            <w:noWrap/>
            <w:vAlign w:val="center"/>
          </w:tcPr>
          <w:p w14:paraId="27FED23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709" w:type="dxa"/>
            <w:shd w:val="clear" w:color="auto" w:fill="auto"/>
            <w:noWrap/>
            <w:vAlign w:val="center"/>
          </w:tcPr>
          <w:p w14:paraId="75D24ED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709" w:type="dxa"/>
            <w:shd w:val="clear" w:color="auto" w:fill="auto"/>
            <w:noWrap/>
            <w:vAlign w:val="center"/>
          </w:tcPr>
          <w:p w14:paraId="2027219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0.005</w:t>
            </w:r>
          </w:p>
        </w:tc>
        <w:tc>
          <w:tcPr>
            <w:tcW w:w="1383" w:type="dxa"/>
            <w:vMerge w:val="restart"/>
            <w:shd w:val="clear" w:color="auto" w:fill="auto"/>
            <w:noWrap/>
            <w:vAlign w:val="center"/>
          </w:tcPr>
          <w:p w14:paraId="18405A0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0.5</w:t>
            </w:r>
          </w:p>
        </w:tc>
      </w:tr>
      <w:tr w:rsidR="009C353B" w14:paraId="03B5CFAA" w14:textId="77777777">
        <w:trPr>
          <w:cantSplit/>
          <w:trHeight w:val="340"/>
        </w:trPr>
        <w:tc>
          <w:tcPr>
            <w:tcW w:w="1129" w:type="dxa"/>
            <w:vMerge/>
            <w:vAlign w:val="center"/>
          </w:tcPr>
          <w:p w14:paraId="2BB324EE"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129C91D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1B945EC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260467B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120C6BA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018B46D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5729065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82" w:type="dxa"/>
            <w:shd w:val="clear" w:color="auto" w:fill="auto"/>
            <w:noWrap/>
            <w:vAlign w:val="center"/>
          </w:tcPr>
          <w:p w14:paraId="5BE4EA7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24" w:type="dxa"/>
            <w:shd w:val="clear" w:color="auto" w:fill="auto"/>
            <w:noWrap/>
            <w:vAlign w:val="center"/>
          </w:tcPr>
          <w:p w14:paraId="780462C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5B4F1E7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055002D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44" w:type="dxa"/>
            <w:shd w:val="clear" w:color="auto" w:fill="auto"/>
            <w:noWrap/>
            <w:vAlign w:val="center"/>
          </w:tcPr>
          <w:p w14:paraId="6988A1A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39AE776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7528A92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33EE101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4EED055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75F3E95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383" w:type="dxa"/>
            <w:vMerge/>
            <w:vAlign w:val="center"/>
          </w:tcPr>
          <w:p w14:paraId="294CD5E1" w14:textId="77777777" w:rsidR="009C353B" w:rsidRDefault="009C353B">
            <w:pPr>
              <w:widowControl/>
              <w:jc w:val="center"/>
              <w:rPr>
                <w:rFonts w:ascii="Times New Roman" w:eastAsiaTheme="minorEastAsia" w:hAnsi="Times New Roman"/>
                <w:kern w:val="0"/>
                <w:sz w:val="21"/>
                <w:szCs w:val="21"/>
              </w:rPr>
            </w:pPr>
          </w:p>
        </w:tc>
      </w:tr>
      <w:tr w:rsidR="009C353B" w14:paraId="380A8D72" w14:textId="77777777">
        <w:trPr>
          <w:cantSplit/>
          <w:trHeight w:val="340"/>
        </w:trPr>
        <w:tc>
          <w:tcPr>
            <w:tcW w:w="1129" w:type="dxa"/>
            <w:vMerge w:val="restart"/>
            <w:shd w:val="clear" w:color="auto" w:fill="auto"/>
            <w:noWrap/>
            <w:vAlign w:val="center"/>
          </w:tcPr>
          <w:p w14:paraId="70EC65B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挥发酚</w:t>
            </w:r>
            <w:r>
              <w:rPr>
                <w:rFonts w:ascii="Times New Roman" w:eastAsiaTheme="minorEastAsia" w:hAnsi="Times New Roman"/>
                <w:kern w:val="0"/>
                <w:sz w:val="21"/>
                <w:szCs w:val="21"/>
              </w:rPr>
              <w:t>(mg/L)</w:t>
            </w:r>
          </w:p>
        </w:tc>
        <w:tc>
          <w:tcPr>
            <w:tcW w:w="709" w:type="dxa"/>
            <w:shd w:val="clear" w:color="auto" w:fill="auto"/>
            <w:noWrap/>
            <w:vAlign w:val="center"/>
          </w:tcPr>
          <w:p w14:paraId="3806860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6D509A1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709" w:type="dxa"/>
            <w:shd w:val="clear" w:color="auto" w:fill="auto"/>
            <w:noWrap/>
            <w:vAlign w:val="center"/>
          </w:tcPr>
          <w:p w14:paraId="4833BB7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708" w:type="dxa"/>
            <w:shd w:val="clear" w:color="auto" w:fill="auto"/>
            <w:noWrap/>
            <w:vAlign w:val="center"/>
          </w:tcPr>
          <w:p w14:paraId="03AAD7A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709" w:type="dxa"/>
            <w:shd w:val="clear" w:color="auto" w:fill="auto"/>
            <w:noWrap/>
            <w:vAlign w:val="center"/>
          </w:tcPr>
          <w:p w14:paraId="4C2040A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709" w:type="dxa"/>
            <w:shd w:val="clear" w:color="auto" w:fill="auto"/>
            <w:noWrap/>
            <w:vAlign w:val="center"/>
          </w:tcPr>
          <w:p w14:paraId="0C5DA48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682" w:type="dxa"/>
            <w:shd w:val="clear" w:color="auto" w:fill="auto"/>
            <w:noWrap/>
            <w:vAlign w:val="center"/>
          </w:tcPr>
          <w:p w14:paraId="7F7DC90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724" w:type="dxa"/>
            <w:shd w:val="clear" w:color="auto" w:fill="auto"/>
            <w:noWrap/>
            <w:vAlign w:val="center"/>
          </w:tcPr>
          <w:p w14:paraId="1795E04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676" w:type="dxa"/>
            <w:shd w:val="clear" w:color="auto" w:fill="auto"/>
            <w:noWrap/>
            <w:vAlign w:val="center"/>
          </w:tcPr>
          <w:p w14:paraId="6BCA737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676" w:type="dxa"/>
            <w:shd w:val="clear" w:color="auto" w:fill="auto"/>
            <w:noWrap/>
            <w:vAlign w:val="center"/>
          </w:tcPr>
          <w:p w14:paraId="50BD5ED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644" w:type="dxa"/>
            <w:shd w:val="clear" w:color="auto" w:fill="auto"/>
            <w:noWrap/>
            <w:vAlign w:val="center"/>
          </w:tcPr>
          <w:p w14:paraId="0BED708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709" w:type="dxa"/>
            <w:shd w:val="clear" w:color="auto" w:fill="auto"/>
            <w:noWrap/>
            <w:vAlign w:val="center"/>
          </w:tcPr>
          <w:p w14:paraId="2F03750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708" w:type="dxa"/>
            <w:shd w:val="clear" w:color="auto" w:fill="auto"/>
            <w:noWrap/>
            <w:vAlign w:val="center"/>
          </w:tcPr>
          <w:p w14:paraId="32ADD3B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709" w:type="dxa"/>
            <w:shd w:val="clear" w:color="auto" w:fill="auto"/>
            <w:noWrap/>
            <w:vAlign w:val="center"/>
          </w:tcPr>
          <w:p w14:paraId="51A0714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709" w:type="dxa"/>
            <w:shd w:val="clear" w:color="auto" w:fill="auto"/>
            <w:noWrap/>
            <w:vAlign w:val="center"/>
          </w:tcPr>
          <w:p w14:paraId="132630B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709" w:type="dxa"/>
            <w:shd w:val="clear" w:color="auto" w:fill="auto"/>
            <w:noWrap/>
            <w:vAlign w:val="center"/>
          </w:tcPr>
          <w:p w14:paraId="3B27D5B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0.001</w:t>
            </w:r>
          </w:p>
        </w:tc>
        <w:tc>
          <w:tcPr>
            <w:tcW w:w="1383" w:type="dxa"/>
            <w:vMerge w:val="restart"/>
            <w:shd w:val="clear" w:color="auto" w:fill="auto"/>
            <w:noWrap/>
            <w:vAlign w:val="center"/>
          </w:tcPr>
          <w:p w14:paraId="023EA34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r>
      <w:tr w:rsidR="009C353B" w14:paraId="10B60BDD" w14:textId="77777777">
        <w:trPr>
          <w:cantSplit/>
          <w:trHeight w:val="340"/>
        </w:trPr>
        <w:tc>
          <w:tcPr>
            <w:tcW w:w="1129" w:type="dxa"/>
            <w:vMerge/>
            <w:vAlign w:val="center"/>
          </w:tcPr>
          <w:p w14:paraId="07E1202B"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629BBC4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0B91F10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78D7F36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0FA1A52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474A01B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7D30B1E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82" w:type="dxa"/>
            <w:shd w:val="clear" w:color="auto" w:fill="auto"/>
            <w:noWrap/>
            <w:vAlign w:val="center"/>
          </w:tcPr>
          <w:p w14:paraId="5026D93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24" w:type="dxa"/>
            <w:shd w:val="clear" w:color="auto" w:fill="auto"/>
            <w:noWrap/>
            <w:vAlign w:val="center"/>
          </w:tcPr>
          <w:p w14:paraId="7D68FB0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3F72739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24CA197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44" w:type="dxa"/>
            <w:shd w:val="clear" w:color="auto" w:fill="auto"/>
            <w:noWrap/>
            <w:vAlign w:val="center"/>
          </w:tcPr>
          <w:p w14:paraId="7840A6E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634ED0B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61AADC1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72CB559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7D9F9B3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6F131FB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383" w:type="dxa"/>
            <w:vMerge/>
            <w:vAlign w:val="center"/>
          </w:tcPr>
          <w:p w14:paraId="4BB598DC" w14:textId="77777777" w:rsidR="009C353B" w:rsidRDefault="009C353B">
            <w:pPr>
              <w:widowControl/>
              <w:jc w:val="center"/>
              <w:rPr>
                <w:rFonts w:ascii="Times New Roman" w:eastAsiaTheme="minorEastAsia" w:hAnsi="Times New Roman"/>
                <w:kern w:val="0"/>
                <w:sz w:val="21"/>
                <w:szCs w:val="21"/>
              </w:rPr>
            </w:pPr>
          </w:p>
        </w:tc>
      </w:tr>
      <w:tr w:rsidR="009C353B" w14:paraId="059187A7" w14:textId="77777777">
        <w:trPr>
          <w:cantSplit/>
          <w:trHeight w:val="340"/>
        </w:trPr>
        <w:tc>
          <w:tcPr>
            <w:tcW w:w="1129" w:type="dxa"/>
            <w:vMerge w:val="restart"/>
            <w:shd w:val="clear" w:color="auto" w:fill="auto"/>
            <w:noWrap/>
            <w:vAlign w:val="center"/>
          </w:tcPr>
          <w:p w14:paraId="32F1CBE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六价铬</w:t>
            </w:r>
            <w:r>
              <w:rPr>
                <w:rFonts w:ascii="Times New Roman" w:eastAsiaTheme="minorEastAsia" w:hAnsi="Times New Roman"/>
                <w:kern w:val="0"/>
                <w:sz w:val="21"/>
                <w:szCs w:val="21"/>
              </w:rPr>
              <w:t>(mg/L)</w:t>
            </w:r>
          </w:p>
        </w:tc>
        <w:tc>
          <w:tcPr>
            <w:tcW w:w="709" w:type="dxa"/>
            <w:shd w:val="clear" w:color="auto" w:fill="auto"/>
            <w:noWrap/>
            <w:vAlign w:val="center"/>
          </w:tcPr>
          <w:p w14:paraId="0127C2E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6D6D8A1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1E574A3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8" w:type="dxa"/>
            <w:shd w:val="clear" w:color="auto" w:fill="auto"/>
            <w:noWrap/>
            <w:vAlign w:val="center"/>
          </w:tcPr>
          <w:p w14:paraId="15C78F8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23D9FC9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7CBB2E4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82" w:type="dxa"/>
            <w:shd w:val="clear" w:color="auto" w:fill="auto"/>
            <w:noWrap/>
            <w:vAlign w:val="center"/>
          </w:tcPr>
          <w:p w14:paraId="33EC21D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24" w:type="dxa"/>
            <w:shd w:val="clear" w:color="auto" w:fill="auto"/>
            <w:noWrap/>
            <w:vAlign w:val="center"/>
          </w:tcPr>
          <w:p w14:paraId="04DAA48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76" w:type="dxa"/>
            <w:shd w:val="clear" w:color="auto" w:fill="auto"/>
            <w:noWrap/>
            <w:vAlign w:val="center"/>
          </w:tcPr>
          <w:p w14:paraId="52E7633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76" w:type="dxa"/>
            <w:shd w:val="clear" w:color="auto" w:fill="auto"/>
            <w:noWrap/>
            <w:vAlign w:val="center"/>
          </w:tcPr>
          <w:p w14:paraId="11D6962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44" w:type="dxa"/>
            <w:shd w:val="clear" w:color="auto" w:fill="auto"/>
            <w:noWrap/>
            <w:vAlign w:val="center"/>
          </w:tcPr>
          <w:p w14:paraId="704AB66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7D44404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8" w:type="dxa"/>
            <w:shd w:val="clear" w:color="auto" w:fill="auto"/>
            <w:noWrap/>
            <w:vAlign w:val="center"/>
          </w:tcPr>
          <w:p w14:paraId="3E6363F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05FF228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27DB303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1ED56BC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1383" w:type="dxa"/>
            <w:vMerge w:val="restart"/>
            <w:shd w:val="clear" w:color="auto" w:fill="auto"/>
            <w:noWrap/>
            <w:vAlign w:val="center"/>
          </w:tcPr>
          <w:p w14:paraId="7C95455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r>
      <w:tr w:rsidR="009C353B" w14:paraId="697D4CA3" w14:textId="77777777">
        <w:trPr>
          <w:cantSplit/>
          <w:trHeight w:val="340"/>
        </w:trPr>
        <w:tc>
          <w:tcPr>
            <w:tcW w:w="1129" w:type="dxa"/>
            <w:vMerge/>
            <w:vAlign w:val="center"/>
          </w:tcPr>
          <w:p w14:paraId="3B0DC6F1"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1A95EB0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0465954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481D823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2F1855C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539EEA0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12845C9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82" w:type="dxa"/>
            <w:shd w:val="clear" w:color="auto" w:fill="auto"/>
            <w:noWrap/>
            <w:vAlign w:val="center"/>
          </w:tcPr>
          <w:p w14:paraId="7ADFFA9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24" w:type="dxa"/>
            <w:shd w:val="clear" w:color="auto" w:fill="auto"/>
            <w:noWrap/>
            <w:vAlign w:val="center"/>
          </w:tcPr>
          <w:p w14:paraId="7D9D83D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1ED7BB3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55367E1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44" w:type="dxa"/>
            <w:shd w:val="clear" w:color="auto" w:fill="auto"/>
            <w:noWrap/>
            <w:vAlign w:val="center"/>
          </w:tcPr>
          <w:p w14:paraId="2690AA1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16D973B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2F38308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19A9B19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1E0E907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2FC948A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383" w:type="dxa"/>
            <w:vMerge/>
            <w:vAlign w:val="center"/>
          </w:tcPr>
          <w:p w14:paraId="57F4E836" w14:textId="77777777" w:rsidR="009C353B" w:rsidRDefault="009C353B">
            <w:pPr>
              <w:widowControl/>
              <w:jc w:val="center"/>
              <w:rPr>
                <w:rFonts w:ascii="Times New Roman" w:eastAsiaTheme="minorEastAsia" w:hAnsi="Times New Roman"/>
                <w:kern w:val="0"/>
                <w:sz w:val="21"/>
                <w:szCs w:val="21"/>
              </w:rPr>
            </w:pPr>
          </w:p>
        </w:tc>
      </w:tr>
      <w:tr w:rsidR="009C353B" w14:paraId="18EF21E7" w14:textId="77777777">
        <w:trPr>
          <w:cantSplit/>
          <w:trHeight w:val="340"/>
        </w:trPr>
        <w:tc>
          <w:tcPr>
            <w:tcW w:w="1129" w:type="dxa"/>
            <w:vMerge w:val="restart"/>
            <w:shd w:val="clear" w:color="auto" w:fill="auto"/>
            <w:noWrap/>
            <w:vAlign w:val="center"/>
          </w:tcPr>
          <w:p w14:paraId="06F1EE1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阴离子表面活性剂</w:t>
            </w:r>
            <w:r>
              <w:rPr>
                <w:rFonts w:ascii="Times New Roman" w:eastAsiaTheme="minorEastAsia" w:hAnsi="Times New Roman"/>
                <w:kern w:val="0"/>
                <w:sz w:val="21"/>
                <w:szCs w:val="21"/>
              </w:rPr>
              <w:t>(mg/L)</w:t>
            </w:r>
          </w:p>
        </w:tc>
        <w:tc>
          <w:tcPr>
            <w:tcW w:w="709" w:type="dxa"/>
            <w:shd w:val="clear" w:color="auto" w:fill="auto"/>
            <w:noWrap/>
            <w:vAlign w:val="center"/>
          </w:tcPr>
          <w:p w14:paraId="0A46EEC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5E41F6C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709" w:type="dxa"/>
            <w:shd w:val="clear" w:color="auto" w:fill="auto"/>
            <w:noWrap/>
            <w:vAlign w:val="center"/>
          </w:tcPr>
          <w:p w14:paraId="23A5A8A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708" w:type="dxa"/>
            <w:shd w:val="clear" w:color="auto" w:fill="auto"/>
            <w:noWrap/>
            <w:vAlign w:val="center"/>
          </w:tcPr>
          <w:p w14:paraId="2544FA5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709" w:type="dxa"/>
            <w:shd w:val="clear" w:color="auto" w:fill="auto"/>
            <w:noWrap/>
            <w:vAlign w:val="center"/>
          </w:tcPr>
          <w:p w14:paraId="6245DC3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709" w:type="dxa"/>
            <w:shd w:val="clear" w:color="auto" w:fill="auto"/>
            <w:noWrap/>
            <w:vAlign w:val="center"/>
          </w:tcPr>
          <w:p w14:paraId="2D1DEB5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682" w:type="dxa"/>
            <w:shd w:val="clear" w:color="auto" w:fill="auto"/>
            <w:noWrap/>
            <w:vAlign w:val="center"/>
          </w:tcPr>
          <w:p w14:paraId="6FD96B3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724" w:type="dxa"/>
            <w:shd w:val="clear" w:color="auto" w:fill="auto"/>
            <w:noWrap/>
            <w:vAlign w:val="center"/>
          </w:tcPr>
          <w:p w14:paraId="02F4548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676" w:type="dxa"/>
            <w:shd w:val="clear" w:color="auto" w:fill="auto"/>
            <w:noWrap/>
            <w:vAlign w:val="center"/>
          </w:tcPr>
          <w:p w14:paraId="725AEC8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676" w:type="dxa"/>
            <w:shd w:val="clear" w:color="auto" w:fill="auto"/>
            <w:noWrap/>
            <w:vAlign w:val="center"/>
          </w:tcPr>
          <w:p w14:paraId="2531913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644" w:type="dxa"/>
            <w:shd w:val="clear" w:color="auto" w:fill="auto"/>
            <w:noWrap/>
            <w:vAlign w:val="center"/>
          </w:tcPr>
          <w:p w14:paraId="799D2AD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709" w:type="dxa"/>
            <w:shd w:val="clear" w:color="auto" w:fill="auto"/>
            <w:noWrap/>
            <w:vAlign w:val="center"/>
          </w:tcPr>
          <w:p w14:paraId="1D828DD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708" w:type="dxa"/>
            <w:shd w:val="clear" w:color="auto" w:fill="auto"/>
            <w:noWrap/>
            <w:vAlign w:val="center"/>
          </w:tcPr>
          <w:p w14:paraId="34877ED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709" w:type="dxa"/>
            <w:shd w:val="clear" w:color="auto" w:fill="auto"/>
            <w:noWrap/>
            <w:vAlign w:val="center"/>
          </w:tcPr>
          <w:p w14:paraId="4D19D7D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709" w:type="dxa"/>
            <w:shd w:val="clear" w:color="auto" w:fill="auto"/>
            <w:noWrap/>
            <w:vAlign w:val="center"/>
          </w:tcPr>
          <w:p w14:paraId="737B50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709" w:type="dxa"/>
            <w:shd w:val="clear" w:color="auto" w:fill="auto"/>
            <w:noWrap/>
            <w:vAlign w:val="center"/>
          </w:tcPr>
          <w:p w14:paraId="5CD459F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0.05</w:t>
            </w:r>
          </w:p>
        </w:tc>
        <w:tc>
          <w:tcPr>
            <w:tcW w:w="1383" w:type="dxa"/>
            <w:vMerge w:val="restart"/>
            <w:shd w:val="clear" w:color="auto" w:fill="auto"/>
            <w:noWrap/>
            <w:vAlign w:val="center"/>
          </w:tcPr>
          <w:p w14:paraId="598D331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w:t>
            </w:r>
          </w:p>
        </w:tc>
      </w:tr>
      <w:tr w:rsidR="009C353B" w14:paraId="0DAB579A" w14:textId="77777777">
        <w:trPr>
          <w:cantSplit/>
          <w:trHeight w:val="340"/>
        </w:trPr>
        <w:tc>
          <w:tcPr>
            <w:tcW w:w="1129" w:type="dxa"/>
            <w:vMerge/>
            <w:vAlign w:val="center"/>
          </w:tcPr>
          <w:p w14:paraId="28F45524"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4072FEB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16A2E55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0244DDD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26FEA95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12B43A1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2725650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82" w:type="dxa"/>
            <w:shd w:val="clear" w:color="auto" w:fill="auto"/>
            <w:noWrap/>
            <w:vAlign w:val="center"/>
          </w:tcPr>
          <w:p w14:paraId="60A10A1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24" w:type="dxa"/>
            <w:shd w:val="clear" w:color="auto" w:fill="auto"/>
            <w:noWrap/>
            <w:vAlign w:val="center"/>
          </w:tcPr>
          <w:p w14:paraId="1D0C102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72D5A50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0928E21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44" w:type="dxa"/>
            <w:shd w:val="clear" w:color="auto" w:fill="auto"/>
            <w:noWrap/>
            <w:vAlign w:val="center"/>
          </w:tcPr>
          <w:p w14:paraId="0076A9E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6361E8E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3E31A14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11058D5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1D0C2D4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7732D5F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383" w:type="dxa"/>
            <w:vMerge/>
            <w:vAlign w:val="center"/>
          </w:tcPr>
          <w:p w14:paraId="74481DC7" w14:textId="77777777" w:rsidR="009C353B" w:rsidRDefault="009C353B">
            <w:pPr>
              <w:widowControl/>
              <w:jc w:val="center"/>
              <w:rPr>
                <w:rFonts w:ascii="Times New Roman" w:eastAsiaTheme="minorEastAsia" w:hAnsi="Times New Roman"/>
                <w:kern w:val="0"/>
                <w:sz w:val="21"/>
                <w:szCs w:val="21"/>
              </w:rPr>
            </w:pPr>
          </w:p>
        </w:tc>
      </w:tr>
      <w:tr w:rsidR="009C353B" w14:paraId="51DE9EEE" w14:textId="77777777">
        <w:trPr>
          <w:cantSplit/>
          <w:trHeight w:val="340"/>
        </w:trPr>
        <w:tc>
          <w:tcPr>
            <w:tcW w:w="1129" w:type="dxa"/>
            <w:vMerge w:val="restart"/>
            <w:shd w:val="clear" w:color="auto" w:fill="auto"/>
            <w:noWrap/>
            <w:vAlign w:val="center"/>
          </w:tcPr>
          <w:p w14:paraId="014C6F9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石油类</w:t>
            </w:r>
            <w:r>
              <w:rPr>
                <w:rFonts w:ascii="Times New Roman" w:eastAsiaTheme="minorEastAsia" w:hAnsi="Times New Roman"/>
                <w:kern w:val="0"/>
                <w:sz w:val="21"/>
                <w:szCs w:val="21"/>
              </w:rPr>
              <w:t>(mg/L)</w:t>
            </w:r>
          </w:p>
        </w:tc>
        <w:tc>
          <w:tcPr>
            <w:tcW w:w="709" w:type="dxa"/>
            <w:shd w:val="clear" w:color="auto" w:fill="auto"/>
            <w:noWrap/>
            <w:vAlign w:val="center"/>
          </w:tcPr>
          <w:p w14:paraId="6C62842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1A745C6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709" w:type="dxa"/>
            <w:shd w:val="clear" w:color="auto" w:fill="auto"/>
            <w:noWrap/>
            <w:vAlign w:val="center"/>
          </w:tcPr>
          <w:p w14:paraId="7D0AB70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708" w:type="dxa"/>
            <w:shd w:val="clear" w:color="auto" w:fill="auto"/>
            <w:noWrap/>
            <w:vAlign w:val="center"/>
          </w:tcPr>
          <w:p w14:paraId="1F1BB9C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709" w:type="dxa"/>
            <w:shd w:val="clear" w:color="auto" w:fill="auto"/>
            <w:noWrap/>
            <w:vAlign w:val="center"/>
          </w:tcPr>
          <w:p w14:paraId="05B27FB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709" w:type="dxa"/>
            <w:shd w:val="clear" w:color="auto" w:fill="auto"/>
            <w:noWrap/>
            <w:vAlign w:val="center"/>
          </w:tcPr>
          <w:p w14:paraId="2BDACF2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682" w:type="dxa"/>
            <w:shd w:val="clear" w:color="auto" w:fill="auto"/>
            <w:noWrap/>
            <w:vAlign w:val="center"/>
          </w:tcPr>
          <w:p w14:paraId="0449B0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724" w:type="dxa"/>
            <w:shd w:val="clear" w:color="auto" w:fill="auto"/>
            <w:noWrap/>
            <w:vAlign w:val="center"/>
          </w:tcPr>
          <w:p w14:paraId="1A0CE9A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676" w:type="dxa"/>
            <w:shd w:val="clear" w:color="auto" w:fill="auto"/>
            <w:noWrap/>
            <w:vAlign w:val="center"/>
          </w:tcPr>
          <w:p w14:paraId="7C6D1DC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676" w:type="dxa"/>
            <w:shd w:val="clear" w:color="auto" w:fill="auto"/>
            <w:noWrap/>
            <w:vAlign w:val="center"/>
          </w:tcPr>
          <w:p w14:paraId="011B971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644" w:type="dxa"/>
            <w:shd w:val="clear" w:color="auto" w:fill="auto"/>
            <w:noWrap/>
            <w:vAlign w:val="center"/>
          </w:tcPr>
          <w:p w14:paraId="1A80DBE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c>
          <w:tcPr>
            <w:tcW w:w="709" w:type="dxa"/>
            <w:shd w:val="clear" w:color="auto" w:fill="auto"/>
            <w:noWrap/>
            <w:vAlign w:val="center"/>
          </w:tcPr>
          <w:p w14:paraId="5C81C2E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708" w:type="dxa"/>
            <w:shd w:val="clear" w:color="auto" w:fill="auto"/>
            <w:noWrap/>
            <w:vAlign w:val="center"/>
          </w:tcPr>
          <w:p w14:paraId="791EF8E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343FF4D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14A088B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c>
          <w:tcPr>
            <w:tcW w:w="709" w:type="dxa"/>
            <w:shd w:val="clear" w:color="auto" w:fill="auto"/>
            <w:noWrap/>
            <w:vAlign w:val="center"/>
          </w:tcPr>
          <w:p w14:paraId="6DA8A4B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1383" w:type="dxa"/>
            <w:vMerge w:val="restart"/>
            <w:shd w:val="clear" w:color="auto" w:fill="auto"/>
            <w:noWrap/>
            <w:vAlign w:val="center"/>
          </w:tcPr>
          <w:p w14:paraId="79C33B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0.5</w:t>
            </w:r>
          </w:p>
        </w:tc>
      </w:tr>
      <w:tr w:rsidR="009C353B" w14:paraId="78393AD5" w14:textId="77777777">
        <w:trPr>
          <w:cantSplit/>
          <w:trHeight w:val="340"/>
        </w:trPr>
        <w:tc>
          <w:tcPr>
            <w:tcW w:w="1129" w:type="dxa"/>
            <w:vMerge/>
            <w:vAlign w:val="center"/>
          </w:tcPr>
          <w:p w14:paraId="6483F457"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35418C5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2EB0C9A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4F35F24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w:t>
            </w:r>
          </w:p>
        </w:tc>
        <w:tc>
          <w:tcPr>
            <w:tcW w:w="708" w:type="dxa"/>
            <w:shd w:val="clear" w:color="auto" w:fill="auto"/>
            <w:noWrap/>
            <w:vAlign w:val="center"/>
          </w:tcPr>
          <w:p w14:paraId="639C4E0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7E696FC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2DF10E7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w:t>
            </w:r>
          </w:p>
        </w:tc>
        <w:tc>
          <w:tcPr>
            <w:tcW w:w="682" w:type="dxa"/>
            <w:shd w:val="clear" w:color="auto" w:fill="auto"/>
            <w:noWrap/>
            <w:vAlign w:val="center"/>
          </w:tcPr>
          <w:p w14:paraId="13C4AC7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24" w:type="dxa"/>
            <w:shd w:val="clear" w:color="auto" w:fill="auto"/>
            <w:noWrap/>
            <w:vAlign w:val="center"/>
          </w:tcPr>
          <w:p w14:paraId="7B1A3FA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3907E5D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676" w:type="dxa"/>
            <w:shd w:val="clear" w:color="auto" w:fill="auto"/>
            <w:noWrap/>
            <w:vAlign w:val="center"/>
          </w:tcPr>
          <w:p w14:paraId="7F0A628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44" w:type="dxa"/>
            <w:shd w:val="clear" w:color="auto" w:fill="auto"/>
            <w:noWrap/>
            <w:vAlign w:val="center"/>
          </w:tcPr>
          <w:p w14:paraId="4C725F3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5ABC4F3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w:t>
            </w:r>
          </w:p>
        </w:tc>
        <w:tc>
          <w:tcPr>
            <w:tcW w:w="708" w:type="dxa"/>
            <w:shd w:val="clear" w:color="auto" w:fill="auto"/>
            <w:noWrap/>
            <w:vAlign w:val="center"/>
          </w:tcPr>
          <w:p w14:paraId="0539048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709" w:type="dxa"/>
            <w:shd w:val="clear" w:color="auto" w:fill="auto"/>
            <w:noWrap/>
            <w:vAlign w:val="center"/>
          </w:tcPr>
          <w:p w14:paraId="77702E7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709" w:type="dxa"/>
            <w:shd w:val="clear" w:color="auto" w:fill="auto"/>
            <w:noWrap/>
            <w:vAlign w:val="center"/>
          </w:tcPr>
          <w:p w14:paraId="25B3B9F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7AF202A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1383" w:type="dxa"/>
            <w:vMerge/>
            <w:vAlign w:val="center"/>
          </w:tcPr>
          <w:p w14:paraId="315DD821" w14:textId="77777777" w:rsidR="009C353B" w:rsidRDefault="009C353B">
            <w:pPr>
              <w:widowControl/>
              <w:jc w:val="center"/>
              <w:rPr>
                <w:rFonts w:ascii="Times New Roman" w:eastAsiaTheme="minorEastAsia" w:hAnsi="Times New Roman"/>
                <w:kern w:val="0"/>
                <w:sz w:val="21"/>
                <w:szCs w:val="21"/>
              </w:rPr>
            </w:pPr>
          </w:p>
        </w:tc>
      </w:tr>
      <w:tr w:rsidR="009C353B" w14:paraId="27301401" w14:textId="77777777">
        <w:trPr>
          <w:cantSplit/>
          <w:trHeight w:val="340"/>
        </w:trPr>
        <w:tc>
          <w:tcPr>
            <w:tcW w:w="1129" w:type="dxa"/>
            <w:vMerge w:val="restart"/>
            <w:shd w:val="clear" w:color="auto" w:fill="auto"/>
            <w:noWrap/>
            <w:vAlign w:val="center"/>
          </w:tcPr>
          <w:p w14:paraId="4692FD3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粪大肠菌群</w:t>
            </w:r>
            <w:r>
              <w:rPr>
                <w:rFonts w:ascii="Times New Roman" w:eastAsiaTheme="minorEastAsia" w:hAnsi="Times New Roman"/>
                <w:kern w:val="0"/>
                <w:sz w:val="21"/>
                <w:szCs w:val="21"/>
              </w:rPr>
              <w:t>(MPN/L)</w:t>
            </w:r>
          </w:p>
        </w:tc>
        <w:tc>
          <w:tcPr>
            <w:tcW w:w="709" w:type="dxa"/>
            <w:shd w:val="clear" w:color="auto" w:fill="auto"/>
            <w:noWrap/>
            <w:vAlign w:val="center"/>
          </w:tcPr>
          <w:p w14:paraId="1008AF9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3845562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80</w:t>
            </w:r>
          </w:p>
        </w:tc>
        <w:tc>
          <w:tcPr>
            <w:tcW w:w="709" w:type="dxa"/>
            <w:shd w:val="clear" w:color="auto" w:fill="auto"/>
            <w:noWrap/>
            <w:vAlign w:val="center"/>
          </w:tcPr>
          <w:p w14:paraId="5706DA4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w:t>
            </w:r>
          </w:p>
        </w:tc>
        <w:tc>
          <w:tcPr>
            <w:tcW w:w="708" w:type="dxa"/>
            <w:shd w:val="clear" w:color="auto" w:fill="auto"/>
            <w:noWrap/>
            <w:vAlign w:val="center"/>
          </w:tcPr>
          <w:p w14:paraId="3CF0B3E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220</w:t>
            </w:r>
          </w:p>
        </w:tc>
        <w:tc>
          <w:tcPr>
            <w:tcW w:w="709" w:type="dxa"/>
            <w:shd w:val="clear" w:color="auto" w:fill="auto"/>
            <w:noWrap/>
            <w:vAlign w:val="center"/>
          </w:tcPr>
          <w:p w14:paraId="7932842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w:t>
            </w:r>
          </w:p>
        </w:tc>
        <w:tc>
          <w:tcPr>
            <w:tcW w:w="709" w:type="dxa"/>
            <w:shd w:val="clear" w:color="auto" w:fill="auto"/>
            <w:noWrap/>
            <w:vAlign w:val="center"/>
          </w:tcPr>
          <w:p w14:paraId="2204A0D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50</w:t>
            </w:r>
          </w:p>
        </w:tc>
        <w:tc>
          <w:tcPr>
            <w:tcW w:w="682" w:type="dxa"/>
            <w:shd w:val="clear" w:color="auto" w:fill="auto"/>
            <w:noWrap/>
            <w:vAlign w:val="center"/>
          </w:tcPr>
          <w:p w14:paraId="269B157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230</w:t>
            </w:r>
          </w:p>
        </w:tc>
        <w:tc>
          <w:tcPr>
            <w:tcW w:w="724" w:type="dxa"/>
            <w:shd w:val="clear" w:color="auto" w:fill="auto"/>
            <w:noWrap/>
            <w:vAlign w:val="center"/>
          </w:tcPr>
          <w:p w14:paraId="269393B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50</w:t>
            </w:r>
          </w:p>
        </w:tc>
        <w:tc>
          <w:tcPr>
            <w:tcW w:w="676" w:type="dxa"/>
            <w:shd w:val="clear" w:color="auto" w:fill="auto"/>
            <w:noWrap/>
            <w:vAlign w:val="center"/>
          </w:tcPr>
          <w:p w14:paraId="06973F6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80</w:t>
            </w:r>
          </w:p>
        </w:tc>
        <w:tc>
          <w:tcPr>
            <w:tcW w:w="676" w:type="dxa"/>
            <w:shd w:val="clear" w:color="auto" w:fill="auto"/>
            <w:noWrap/>
            <w:vAlign w:val="center"/>
          </w:tcPr>
          <w:p w14:paraId="7369384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130</w:t>
            </w:r>
          </w:p>
        </w:tc>
        <w:tc>
          <w:tcPr>
            <w:tcW w:w="644" w:type="dxa"/>
            <w:shd w:val="clear" w:color="auto" w:fill="auto"/>
            <w:noWrap/>
            <w:vAlign w:val="center"/>
          </w:tcPr>
          <w:p w14:paraId="26A0C30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220</w:t>
            </w:r>
          </w:p>
        </w:tc>
        <w:tc>
          <w:tcPr>
            <w:tcW w:w="709" w:type="dxa"/>
            <w:shd w:val="clear" w:color="auto" w:fill="auto"/>
            <w:noWrap/>
            <w:vAlign w:val="center"/>
          </w:tcPr>
          <w:p w14:paraId="006799A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50</w:t>
            </w:r>
          </w:p>
        </w:tc>
        <w:tc>
          <w:tcPr>
            <w:tcW w:w="708" w:type="dxa"/>
            <w:shd w:val="clear" w:color="auto" w:fill="auto"/>
            <w:noWrap/>
            <w:vAlign w:val="center"/>
          </w:tcPr>
          <w:p w14:paraId="217F2E0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330</w:t>
            </w:r>
          </w:p>
        </w:tc>
        <w:tc>
          <w:tcPr>
            <w:tcW w:w="709" w:type="dxa"/>
            <w:shd w:val="clear" w:color="auto" w:fill="auto"/>
            <w:noWrap/>
            <w:vAlign w:val="center"/>
          </w:tcPr>
          <w:p w14:paraId="2716AF5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w:t>
            </w:r>
          </w:p>
        </w:tc>
        <w:tc>
          <w:tcPr>
            <w:tcW w:w="709" w:type="dxa"/>
            <w:shd w:val="clear" w:color="auto" w:fill="auto"/>
            <w:noWrap/>
            <w:vAlign w:val="center"/>
          </w:tcPr>
          <w:p w14:paraId="2C52A10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170</w:t>
            </w:r>
          </w:p>
        </w:tc>
        <w:tc>
          <w:tcPr>
            <w:tcW w:w="709" w:type="dxa"/>
            <w:shd w:val="clear" w:color="auto" w:fill="auto"/>
            <w:noWrap/>
            <w:vAlign w:val="center"/>
          </w:tcPr>
          <w:p w14:paraId="78F8A1B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w:t>
            </w:r>
          </w:p>
        </w:tc>
        <w:tc>
          <w:tcPr>
            <w:tcW w:w="1383" w:type="dxa"/>
            <w:vMerge w:val="restart"/>
            <w:shd w:val="clear" w:color="auto" w:fill="auto"/>
            <w:noWrap/>
            <w:vAlign w:val="center"/>
          </w:tcPr>
          <w:p w14:paraId="75610CA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20000</w:t>
            </w:r>
          </w:p>
        </w:tc>
      </w:tr>
      <w:tr w:rsidR="009C353B" w14:paraId="19825CD6" w14:textId="77777777">
        <w:trPr>
          <w:cantSplit/>
          <w:trHeight w:val="340"/>
        </w:trPr>
        <w:tc>
          <w:tcPr>
            <w:tcW w:w="1129" w:type="dxa"/>
            <w:vMerge/>
            <w:vAlign w:val="center"/>
          </w:tcPr>
          <w:p w14:paraId="7A7C2507"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07A5865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74206B5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w:t>
            </w:r>
          </w:p>
        </w:tc>
        <w:tc>
          <w:tcPr>
            <w:tcW w:w="709" w:type="dxa"/>
            <w:shd w:val="clear" w:color="auto" w:fill="auto"/>
            <w:noWrap/>
            <w:vAlign w:val="center"/>
          </w:tcPr>
          <w:p w14:paraId="1AC29C0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w:t>
            </w:r>
          </w:p>
        </w:tc>
        <w:tc>
          <w:tcPr>
            <w:tcW w:w="708" w:type="dxa"/>
            <w:shd w:val="clear" w:color="auto" w:fill="auto"/>
            <w:noWrap/>
            <w:vAlign w:val="center"/>
          </w:tcPr>
          <w:p w14:paraId="36E7C39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0.011</w:t>
            </w:r>
          </w:p>
        </w:tc>
        <w:tc>
          <w:tcPr>
            <w:tcW w:w="709" w:type="dxa"/>
            <w:shd w:val="clear" w:color="auto" w:fill="auto"/>
            <w:noWrap/>
            <w:vAlign w:val="center"/>
          </w:tcPr>
          <w:p w14:paraId="7446F03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w:t>
            </w:r>
          </w:p>
        </w:tc>
        <w:tc>
          <w:tcPr>
            <w:tcW w:w="709" w:type="dxa"/>
            <w:shd w:val="clear" w:color="auto" w:fill="auto"/>
            <w:noWrap/>
            <w:vAlign w:val="center"/>
          </w:tcPr>
          <w:p w14:paraId="607A339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0.0025</w:t>
            </w:r>
          </w:p>
        </w:tc>
        <w:tc>
          <w:tcPr>
            <w:tcW w:w="682" w:type="dxa"/>
            <w:shd w:val="clear" w:color="auto" w:fill="auto"/>
            <w:noWrap/>
            <w:vAlign w:val="center"/>
          </w:tcPr>
          <w:p w14:paraId="4B19F7F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0.012</w:t>
            </w:r>
          </w:p>
        </w:tc>
        <w:tc>
          <w:tcPr>
            <w:tcW w:w="724" w:type="dxa"/>
            <w:shd w:val="clear" w:color="auto" w:fill="auto"/>
            <w:noWrap/>
            <w:vAlign w:val="center"/>
          </w:tcPr>
          <w:p w14:paraId="3E4A2C2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0.0025</w:t>
            </w:r>
          </w:p>
        </w:tc>
        <w:tc>
          <w:tcPr>
            <w:tcW w:w="676" w:type="dxa"/>
            <w:shd w:val="clear" w:color="auto" w:fill="auto"/>
            <w:noWrap/>
            <w:vAlign w:val="center"/>
          </w:tcPr>
          <w:p w14:paraId="3E8C85D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w:t>
            </w:r>
          </w:p>
        </w:tc>
        <w:tc>
          <w:tcPr>
            <w:tcW w:w="676" w:type="dxa"/>
            <w:shd w:val="clear" w:color="auto" w:fill="auto"/>
            <w:noWrap/>
            <w:vAlign w:val="center"/>
          </w:tcPr>
          <w:p w14:paraId="2FF799B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0.007</w:t>
            </w:r>
          </w:p>
        </w:tc>
        <w:tc>
          <w:tcPr>
            <w:tcW w:w="644" w:type="dxa"/>
            <w:shd w:val="clear" w:color="auto" w:fill="auto"/>
            <w:noWrap/>
            <w:vAlign w:val="center"/>
          </w:tcPr>
          <w:p w14:paraId="48D0F10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0.011</w:t>
            </w:r>
          </w:p>
        </w:tc>
        <w:tc>
          <w:tcPr>
            <w:tcW w:w="709" w:type="dxa"/>
            <w:shd w:val="clear" w:color="auto" w:fill="auto"/>
            <w:noWrap/>
            <w:vAlign w:val="center"/>
          </w:tcPr>
          <w:p w14:paraId="12BC44F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0.0025</w:t>
            </w:r>
          </w:p>
        </w:tc>
        <w:tc>
          <w:tcPr>
            <w:tcW w:w="708" w:type="dxa"/>
            <w:shd w:val="clear" w:color="auto" w:fill="auto"/>
            <w:noWrap/>
            <w:vAlign w:val="center"/>
          </w:tcPr>
          <w:p w14:paraId="5BAE3E8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0.017</w:t>
            </w:r>
          </w:p>
        </w:tc>
        <w:tc>
          <w:tcPr>
            <w:tcW w:w="709" w:type="dxa"/>
            <w:shd w:val="clear" w:color="auto" w:fill="auto"/>
            <w:noWrap/>
            <w:vAlign w:val="center"/>
          </w:tcPr>
          <w:p w14:paraId="46A26F0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w:t>
            </w:r>
          </w:p>
        </w:tc>
        <w:tc>
          <w:tcPr>
            <w:tcW w:w="709" w:type="dxa"/>
            <w:shd w:val="clear" w:color="auto" w:fill="auto"/>
            <w:noWrap/>
            <w:vAlign w:val="center"/>
          </w:tcPr>
          <w:p w14:paraId="608953A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0.009</w:t>
            </w:r>
          </w:p>
        </w:tc>
        <w:tc>
          <w:tcPr>
            <w:tcW w:w="709" w:type="dxa"/>
            <w:shd w:val="clear" w:color="auto" w:fill="auto"/>
            <w:noWrap/>
            <w:vAlign w:val="center"/>
          </w:tcPr>
          <w:p w14:paraId="0F5B02C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w:t>
            </w:r>
          </w:p>
        </w:tc>
        <w:tc>
          <w:tcPr>
            <w:tcW w:w="1383" w:type="dxa"/>
            <w:vMerge/>
            <w:vAlign w:val="center"/>
          </w:tcPr>
          <w:p w14:paraId="3186C00C" w14:textId="77777777" w:rsidR="009C353B" w:rsidRDefault="009C353B">
            <w:pPr>
              <w:widowControl/>
              <w:jc w:val="center"/>
              <w:rPr>
                <w:rFonts w:ascii="Times New Roman" w:eastAsiaTheme="minorEastAsia" w:hAnsi="Times New Roman"/>
                <w:kern w:val="0"/>
                <w:sz w:val="21"/>
                <w:szCs w:val="21"/>
              </w:rPr>
            </w:pPr>
          </w:p>
        </w:tc>
      </w:tr>
      <w:tr w:rsidR="009C353B" w14:paraId="5C1077CD" w14:textId="77777777">
        <w:trPr>
          <w:cantSplit/>
          <w:trHeight w:val="340"/>
        </w:trPr>
        <w:tc>
          <w:tcPr>
            <w:tcW w:w="1129" w:type="dxa"/>
            <w:shd w:val="clear" w:color="auto" w:fill="auto"/>
            <w:noWrap/>
            <w:vAlign w:val="center"/>
          </w:tcPr>
          <w:p w14:paraId="3930345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总铬</w:t>
            </w:r>
            <w:r>
              <w:rPr>
                <w:rFonts w:ascii="Times New Roman" w:eastAsiaTheme="minorEastAsia" w:hAnsi="Times New Roman"/>
                <w:kern w:val="0"/>
                <w:sz w:val="21"/>
                <w:szCs w:val="21"/>
              </w:rPr>
              <w:t>(mg/L)</w:t>
            </w:r>
          </w:p>
        </w:tc>
        <w:tc>
          <w:tcPr>
            <w:tcW w:w="709" w:type="dxa"/>
            <w:shd w:val="clear" w:color="auto" w:fill="auto"/>
            <w:noWrap/>
            <w:vAlign w:val="center"/>
          </w:tcPr>
          <w:p w14:paraId="0955BD9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3956E94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563F1A3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8" w:type="dxa"/>
            <w:shd w:val="clear" w:color="auto" w:fill="auto"/>
            <w:noWrap/>
            <w:vAlign w:val="center"/>
          </w:tcPr>
          <w:p w14:paraId="4DDD5AE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3FF59F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4D04DD3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82" w:type="dxa"/>
            <w:shd w:val="clear" w:color="auto" w:fill="auto"/>
            <w:noWrap/>
            <w:vAlign w:val="center"/>
          </w:tcPr>
          <w:p w14:paraId="4EA6DDC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24" w:type="dxa"/>
            <w:shd w:val="clear" w:color="auto" w:fill="auto"/>
            <w:noWrap/>
            <w:vAlign w:val="center"/>
          </w:tcPr>
          <w:p w14:paraId="7296AC2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76" w:type="dxa"/>
            <w:shd w:val="clear" w:color="auto" w:fill="auto"/>
            <w:noWrap/>
            <w:vAlign w:val="center"/>
          </w:tcPr>
          <w:p w14:paraId="195728F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76" w:type="dxa"/>
            <w:shd w:val="clear" w:color="auto" w:fill="auto"/>
            <w:noWrap/>
            <w:vAlign w:val="center"/>
          </w:tcPr>
          <w:p w14:paraId="3FCC3D1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44" w:type="dxa"/>
            <w:shd w:val="clear" w:color="auto" w:fill="auto"/>
            <w:noWrap/>
            <w:vAlign w:val="center"/>
          </w:tcPr>
          <w:p w14:paraId="194F6FC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177FB40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8" w:type="dxa"/>
            <w:shd w:val="clear" w:color="auto" w:fill="auto"/>
            <w:noWrap/>
            <w:vAlign w:val="center"/>
          </w:tcPr>
          <w:p w14:paraId="192B4E9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2D73822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4353DC1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032F4FB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1383" w:type="dxa"/>
            <w:shd w:val="clear" w:color="auto" w:fill="auto"/>
            <w:noWrap/>
            <w:vAlign w:val="center"/>
          </w:tcPr>
          <w:p w14:paraId="49123F3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0C0BAD63" w14:textId="77777777">
        <w:trPr>
          <w:cantSplit/>
          <w:trHeight w:val="340"/>
        </w:trPr>
        <w:tc>
          <w:tcPr>
            <w:tcW w:w="1129" w:type="dxa"/>
            <w:vMerge w:val="restart"/>
            <w:shd w:val="clear" w:color="auto" w:fill="auto"/>
            <w:noWrap/>
            <w:vAlign w:val="center"/>
          </w:tcPr>
          <w:p w14:paraId="7ED0DB3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镉</w:t>
            </w:r>
            <w:r>
              <w:rPr>
                <w:rFonts w:ascii="Times New Roman" w:eastAsiaTheme="minorEastAsia" w:hAnsi="Times New Roman"/>
                <w:kern w:val="0"/>
                <w:sz w:val="21"/>
                <w:szCs w:val="21"/>
              </w:rPr>
              <w:t>(mg/L)</w:t>
            </w:r>
          </w:p>
        </w:tc>
        <w:tc>
          <w:tcPr>
            <w:tcW w:w="709" w:type="dxa"/>
            <w:shd w:val="clear" w:color="auto" w:fill="auto"/>
            <w:noWrap/>
            <w:vAlign w:val="center"/>
          </w:tcPr>
          <w:p w14:paraId="2D77EFA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6D32C05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0.0001</w:t>
            </w:r>
          </w:p>
        </w:tc>
        <w:tc>
          <w:tcPr>
            <w:tcW w:w="709" w:type="dxa"/>
            <w:shd w:val="clear" w:color="auto" w:fill="auto"/>
            <w:noWrap/>
            <w:vAlign w:val="center"/>
          </w:tcPr>
          <w:p w14:paraId="4F0A03E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0.0001</w:t>
            </w:r>
          </w:p>
        </w:tc>
        <w:tc>
          <w:tcPr>
            <w:tcW w:w="708" w:type="dxa"/>
            <w:shd w:val="clear" w:color="auto" w:fill="auto"/>
            <w:noWrap/>
            <w:vAlign w:val="center"/>
          </w:tcPr>
          <w:p w14:paraId="4E4397C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0.0001</w:t>
            </w:r>
          </w:p>
        </w:tc>
        <w:tc>
          <w:tcPr>
            <w:tcW w:w="709" w:type="dxa"/>
            <w:shd w:val="clear" w:color="auto" w:fill="auto"/>
            <w:noWrap/>
            <w:vAlign w:val="center"/>
          </w:tcPr>
          <w:p w14:paraId="1223246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0.0001</w:t>
            </w:r>
          </w:p>
        </w:tc>
        <w:tc>
          <w:tcPr>
            <w:tcW w:w="709" w:type="dxa"/>
            <w:shd w:val="clear" w:color="auto" w:fill="auto"/>
            <w:noWrap/>
            <w:vAlign w:val="center"/>
          </w:tcPr>
          <w:p w14:paraId="6938859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0.0001</w:t>
            </w:r>
          </w:p>
        </w:tc>
        <w:tc>
          <w:tcPr>
            <w:tcW w:w="682" w:type="dxa"/>
            <w:shd w:val="clear" w:color="auto" w:fill="auto"/>
            <w:noWrap/>
            <w:vAlign w:val="center"/>
          </w:tcPr>
          <w:p w14:paraId="3868F91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0.0002</w:t>
            </w:r>
          </w:p>
        </w:tc>
        <w:tc>
          <w:tcPr>
            <w:tcW w:w="724" w:type="dxa"/>
            <w:shd w:val="clear" w:color="auto" w:fill="auto"/>
            <w:noWrap/>
            <w:vAlign w:val="center"/>
          </w:tcPr>
          <w:p w14:paraId="2E2808D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0.0001</w:t>
            </w:r>
          </w:p>
        </w:tc>
        <w:tc>
          <w:tcPr>
            <w:tcW w:w="676" w:type="dxa"/>
            <w:shd w:val="clear" w:color="auto" w:fill="auto"/>
            <w:noWrap/>
            <w:vAlign w:val="center"/>
          </w:tcPr>
          <w:p w14:paraId="50E92AF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0.0001</w:t>
            </w:r>
          </w:p>
        </w:tc>
        <w:tc>
          <w:tcPr>
            <w:tcW w:w="676" w:type="dxa"/>
            <w:shd w:val="clear" w:color="auto" w:fill="auto"/>
            <w:noWrap/>
            <w:vAlign w:val="center"/>
          </w:tcPr>
          <w:p w14:paraId="1C229C1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0.0002</w:t>
            </w:r>
          </w:p>
        </w:tc>
        <w:tc>
          <w:tcPr>
            <w:tcW w:w="644" w:type="dxa"/>
            <w:shd w:val="clear" w:color="auto" w:fill="auto"/>
            <w:noWrap/>
            <w:vAlign w:val="center"/>
          </w:tcPr>
          <w:p w14:paraId="76CB5EC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0.0001</w:t>
            </w:r>
          </w:p>
        </w:tc>
        <w:tc>
          <w:tcPr>
            <w:tcW w:w="709" w:type="dxa"/>
            <w:shd w:val="clear" w:color="auto" w:fill="auto"/>
            <w:noWrap/>
            <w:vAlign w:val="center"/>
          </w:tcPr>
          <w:p w14:paraId="72FF96C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0.0001</w:t>
            </w:r>
          </w:p>
        </w:tc>
        <w:tc>
          <w:tcPr>
            <w:tcW w:w="708" w:type="dxa"/>
            <w:shd w:val="clear" w:color="auto" w:fill="auto"/>
            <w:noWrap/>
            <w:vAlign w:val="center"/>
          </w:tcPr>
          <w:p w14:paraId="52489A8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0.0001</w:t>
            </w:r>
          </w:p>
        </w:tc>
        <w:tc>
          <w:tcPr>
            <w:tcW w:w="709" w:type="dxa"/>
            <w:shd w:val="clear" w:color="auto" w:fill="auto"/>
            <w:noWrap/>
            <w:vAlign w:val="center"/>
          </w:tcPr>
          <w:p w14:paraId="465CEA1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0.0001</w:t>
            </w:r>
          </w:p>
        </w:tc>
        <w:tc>
          <w:tcPr>
            <w:tcW w:w="709" w:type="dxa"/>
            <w:shd w:val="clear" w:color="auto" w:fill="auto"/>
            <w:noWrap/>
            <w:vAlign w:val="center"/>
          </w:tcPr>
          <w:p w14:paraId="758E0F6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0.0001</w:t>
            </w:r>
          </w:p>
        </w:tc>
        <w:tc>
          <w:tcPr>
            <w:tcW w:w="709" w:type="dxa"/>
            <w:shd w:val="clear" w:color="auto" w:fill="auto"/>
            <w:noWrap/>
            <w:vAlign w:val="center"/>
          </w:tcPr>
          <w:p w14:paraId="65F2F84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0.0001</w:t>
            </w:r>
          </w:p>
        </w:tc>
        <w:tc>
          <w:tcPr>
            <w:tcW w:w="1383" w:type="dxa"/>
            <w:vMerge w:val="restart"/>
            <w:shd w:val="clear" w:color="auto" w:fill="auto"/>
            <w:noWrap/>
            <w:vAlign w:val="center"/>
          </w:tcPr>
          <w:p w14:paraId="352CA03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0.005</w:t>
            </w:r>
          </w:p>
        </w:tc>
      </w:tr>
      <w:tr w:rsidR="009C353B" w14:paraId="22733D9C" w14:textId="77777777">
        <w:trPr>
          <w:cantSplit/>
          <w:trHeight w:val="340"/>
        </w:trPr>
        <w:tc>
          <w:tcPr>
            <w:tcW w:w="1129" w:type="dxa"/>
            <w:vMerge/>
            <w:vAlign w:val="center"/>
          </w:tcPr>
          <w:p w14:paraId="37075A0D"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3016693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66CEF0D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2BFA591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8" w:type="dxa"/>
            <w:shd w:val="clear" w:color="auto" w:fill="auto"/>
            <w:noWrap/>
            <w:vAlign w:val="center"/>
          </w:tcPr>
          <w:p w14:paraId="3E38EAA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288DCE1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632863F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682" w:type="dxa"/>
            <w:shd w:val="clear" w:color="auto" w:fill="auto"/>
            <w:noWrap/>
            <w:vAlign w:val="center"/>
          </w:tcPr>
          <w:p w14:paraId="1F90784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724" w:type="dxa"/>
            <w:shd w:val="clear" w:color="auto" w:fill="auto"/>
            <w:noWrap/>
            <w:vAlign w:val="center"/>
          </w:tcPr>
          <w:p w14:paraId="04637C2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779E089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676" w:type="dxa"/>
            <w:shd w:val="clear" w:color="auto" w:fill="auto"/>
            <w:noWrap/>
            <w:vAlign w:val="center"/>
          </w:tcPr>
          <w:p w14:paraId="04BCFD8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644" w:type="dxa"/>
            <w:shd w:val="clear" w:color="auto" w:fill="auto"/>
            <w:noWrap/>
            <w:vAlign w:val="center"/>
          </w:tcPr>
          <w:p w14:paraId="6155CD3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33AEE69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57D1E5E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2A6CE89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2F22D7D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66C04DA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383" w:type="dxa"/>
            <w:vMerge/>
            <w:vAlign w:val="center"/>
          </w:tcPr>
          <w:p w14:paraId="7A6F7F4A" w14:textId="77777777" w:rsidR="009C353B" w:rsidRDefault="009C353B">
            <w:pPr>
              <w:widowControl/>
              <w:jc w:val="center"/>
              <w:rPr>
                <w:rFonts w:ascii="Times New Roman" w:eastAsiaTheme="minorEastAsia" w:hAnsi="Times New Roman"/>
                <w:kern w:val="0"/>
                <w:sz w:val="21"/>
                <w:szCs w:val="21"/>
              </w:rPr>
            </w:pPr>
          </w:p>
        </w:tc>
      </w:tr>
      <w:tr w:rsidR="009C353B" w14:paraId="3786F5F4" w14:textId="77777777">
        <w:trPr>
          <w:cantSplit/>
          <w:trHeight w:val="340"/>
        </w:trPr>
        <w:tc>
          <w:tcPr>
            <w:tcW w:w="1129" w:type="dxa"/>
            <w:vMerge w:val="restart"/>
            <w:shd w:val="clear" w:color="auto" w:fill="auto"/>
            <w:noWrap/>
            <w:vAlign w:val="center"/>
          </w:tcPr>
          <w:p w14:paraId="3A0F49B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汞</w:t>
            </w:r>
            <w:r>
              <w:rPr>
                <w:rFonts w:ascii="Times New Roman" w:eastAsiaTheme="minorEastAsia" w:hAnsi="Times New Roman"/>
                <w:kern w:val="0"/>
                <w:sz w:val="21"/>
                <w:szCs w:val="21"/>
              </w:rPr>
              <w:t>(mg/L)</w:t>
            </w:r>
          </w:p>
        </w:tc>
        <w:tc>
          <w:tcPr>
            <w:tcW w:w="709" w:type="dxa"/>
            <w:shd w:val="clear" w:color="auto" w:fill="auto"/>
            <w:noWrap/>
            <w:vAlign w:val="center"/>
          </w:tcPr>
          <w:p w14:paraId="778C96B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67801B5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709" w:type="dxa"/>
            <w:shd w:val="clear" w:color="auto" w:fill="auto"/>
            <w:noWrap/>
            <w:vAlign w:val="center"/>
          </w:tcPr>
          <w:p w14:paraId="38A5BF7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708" w:type="dxa"/>
            <w:shd w:val="clear" w:color="auto" w:fill="auto"/>
            <w:noWrap/>
            <w:vAlign w:val="center"/>
          </w:tcPr>
          <w:p w14:paraId="49AFBA9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709" w:type="dxa"/>
            <w:shd w:val="clear" w:color="auto" w:fill="auto"/>
            <w:noWrap/>
            <w:vAlign w:val="center"/>
          </w:tcPr>
          <w:p w14:paraId="7595CB5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709" w:type="dxa"/>
            <w:shd w:val="clear" w:color="auto" w:fill="auto"/>
            <w:noWrap/>
            <w:vAlign w:val="center"/>
          </w:tcPr>
          <w:p w14:paraId="0EA74B1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682" w:type="dxa"/>
            <w:shd w:val="clear" w:color="auto" w:fill="auto"/>
            <w:noWrap/>
            <w:vAlign w:val="center"/>
          </w:tcPr>
          <w:p w14:paraId="42F93E2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724" w:type="dxa"/>
            <w:shd w:val="clear" w:color="auto" w:fill="auto"/>
            <w:noWrap/>
            <w:vAlign w:val="center"/>
          </w:tcPr>
          <w:p w14:paraId="6ED11A0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676" w:type="dxa"/>
            <w:shd w:val="clear" w:color="auto" w:fill="auto"/>
            <w:noWrap/>
            <w:vAlign w:val="center"/>
          </w:tcPr>
          <w:p w14:paraId="66DF840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676" w:type="dxa"/>
            <w:shd w:val="clear" w:color="auto" w:fill="auto"/>
            <w:noWrap/>
            <w:vAlign w:val="center"/>
          </w:tcPr>
          <w:p w14:paraId="27D927D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644" w:type="dxa"/>
            <w:shd w:val="clear" w:color="auto" w:fill="auto"/>
            <w:noWrap/>
            <w:vAlign w:val="center"/>
          </w:tcPr>
          <w:p w14:paraId="50DAED8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709" w:type="dxa"/>
            <w:shd w:val="clear" w:color="auto" w:fill="auto"/>
            <w:noWrap/>
            <w:vAlign w:val="center"/>
          </w:tcPr>
          <w:p w14:paraId="79D810C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708" w:type="dxa"/>
            <w:shd w:val="clear" w:color="auto" w:fill="auto"/>
            <w:noWrap/>
            <w:vAlign w:val="center"/>
          </w:tcPr>
          <w:p w14:paraId="7108012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709" w:type="dxa"/>
            <w:shd w:val="clear" w:color="auto" w:fill="auto"/>
            <w:noWrap/>
            <w:vAlign w:val="center"/>
          </w:tcPr>
          <w:p w14:paraId="5B21EA6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709" w:type="dxa"/>
            <w:shd w:val="clear" w:color="auto" w:fill="auto"/>
            <w:noWrap/>
            <w:vAlign w:val="center"/>
          </w:tcPr>
          <w:p w14:paraId="3F2A16C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709" w:type="dxa"/>
            <w:shd w:val="clear" w:color="auto" w:fill="auto"/>
            <w:noWrap/>
            <w:vAlign w:val="center"/>
          </w:tcPr>
          <w:p w14:paraId="4CB9CF2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0.00004</w:t>
            </w:r>
          </w:p>
        </w:tc>
        <w:tc>
          <w:tcPr>
            <w:tcW w:w="1383" w:type="dxa"/>
            <w:vMerge w:val="restart"/>
            <w:shd w:val="clear" w:color="auto" w:fill="auto"/>
            <w:noWrap/>
            <w:vAlign w:val="center"/>
          </w:tcPr>
          <w:p w14:paraId="0F4DD23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w:t>
            </w:r>
          </w:p>
        </w:tc>
      </w:tr>
      <w:tr w:rsidR="009C353B" w14:paraId="342E1B02" w14:textId="77777777">
        <w:trPr>
          <w:cantSplit/>
          <w:trHeight w:val="340"/>
        </w:trPr>
        <w:tc>
          <w:tcPr>
            <w:tcW w:w="1129" w:type="dxa"/>
            <w:vMerge/>
            <w:vAlign w:val="center"/>
          </w:tcPr>
          <w:p w14:paraId="4F966748"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5805269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58A6959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09C4E1A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61116E7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74C7271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17346E9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82" w:type="dxa"/>
            <w:shd w:val="clear" w:color="auto" w:fill="auto"/>
            <w:noWrap/>
            <w:vAlign w:val="center"/>
          </w:tcPr>
          <w:p w14:paraId="51841FE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24" w:type="dxa"/>
            <w:shd w:val="clear" w:color="auto" w:fill="auto"/>
            <w:noWrap/>
            <w:vAlign w:val="center"/>
          </w:tcPr>
          <w:p w14:paraId="54C7BFF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0E1C870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7773F92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44" w:type="dxa"/>
            <w:shd w:val="clear" w:color="auto" w:fill="auto"/>
            <w:noWrap/>
            <w:vAlign w:val="center"/>
          </w:tcPr>
          <w:p w14:paraId="3729DAB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5BB90D2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6539729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67EF0A1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5863D7E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095E527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383" w:type="dxa"/>
            <w:vMerge/>
            <w:vAlign w:val="center"/>
          </w:tcPr>
          <w:p w14:paraId="028E9D1D" w14:textId="77777777" w:rsidR="009C353B" w:rsidRDefault="009C353B">
            <w:pPr>
              <w:widowControl/>
              <w:jc w:val="center"/>
              <w:rPr>
                <w:rFonts w:ascii="Times New Roman" w:eastAsiaTheme="minorEastAsia" w:hAnsi="Times New Roman"/>
                <w:kern w:val="0"/>
                <w:sz w:val="21"/>
                <w:szCs w:val="21"/>
              </w:rPr>
            </w:pPr>
          </w:p>
        </w:tc>
      </w:tr>
      <w:tr w:rsidR="009C353B" w14:paraId="69F1E760" w14:textId="77777777">
        <w:trPr>
          <w:cantSplit/>
          <w:trHeight w:val="340"/>
        </w:trPr>
        <w:tc>
          <w:tcPr>
            <w:tcW w:w="1129" w:type="dxa"/>
            <w:vMerge w:val="restart"/>
            <w:shd w:val="clear" w:color="auto" w:fill="auto"/>
            <w:noWrap/>
            <w:vAlign w:val="center"/>
          </w:tcPr>
          <w:p w14:paraId="67CEDB6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砷</w:t>
            </w:r>
            <w:r>
              <w:rPr>
                <w:rFonts w:ascii="Times New Roman" w:eastAsiaTheme="minorEastAsia" w:hAnsi="Times New Roman"/>
                <w:kern w:val="0"/>
                <w:sz w:val="21"/>
                <w:szCs w:val="21"/>
              </w:rPr>
              <w:t>(mg/L)</w:t>
            </w:r>
          </w:p>
        </w:tc>
        <w:tc>
          <w:tcPr>
            <w:tcW w:w="709" w:type="dxa"/>
            <w:shd w:val="clear" w:color="auto" w:fill="auto"/>
            <w:noWrap/>
            <w:vAlign w:val="center"/>
          </w:tcPr>
          <w:p w14:paraId="05C4717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5C42852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0.0022</w:t>
            </w:r>
          </w:p>
        </w:tc>
        <w:tc>
          <w:tcPr>
            <w:tcW w:w="709" w:type="dxa"/>
            <w:shd w:val="clear" w:color="auto" w:fill="auto"/>
            <w:noWrap/>
            <w:vAlign w:val="center"/>
          </w:tcPr>
          <w:p w14:paraId="7EFBF51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0.0041</w:t>
            </w:r>
          </w:p>
        </w:tc>
        <w:tc>
          <w:tcPr>
            <w:tcW w:w="708" w:type="dxa"/>
            <w:shd w:val="clear" w:color="auto" w:fill="auto"/>
            <w:noWrap/>
            <w:vAlign w:val="center"/>
          </w:tcPr>
          <w:p w14:paraId="22F6B38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0.0006</w:t>
            </w:r>
          </w:p>
        </w:tc>
        <w:tc>
          <w:tcPr>
            <w:tcW w:w="709" w:type="dxa"/>
            <w:shd w:val="clear" w:color="auto" w:fill="auto"/>
            <w:noWrap/>
            <w:vAlign w:val="center"/>
          </w:tcPr>
          <w:p w14:paraId="6D52D84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0.0023</w:t>
            </w:r>
          </w:p>
        </w:tc>
        <w:tc>
          <w:tcPr>
            <w:tcW w:w="709" w:type="dxa"/>
            <w:shd w:val="clear" w:color="auto" w:fill="auto"/>
            <w:noWrap/>
            <w:vAlign w:val="center"/>
          </w:tcPr>
          <w:p w14:paraId="1E3EF9A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0.0043</w:t>
            </w:r>
          </w:p>
        </w:tc>
        <w:tc>
          <w:tcPr>
            <w:tcW w:w="682" w:type="dxa"/>
            <w:shd w:val="clear" w:color="auto" w:fill="auto"/>
            <w:noWrap/>
            <w:vAlign w:val="center"/>
          </w:tcPr>
          <w:p w14:paraId="70FC2C7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0.0008</w:t>
            </w:r>
          </w:p>
        </w:tc>
        <w:tc>
          <w:tcPr>
            <w:tcW w:w="724" w:type="dxa"/>
            <w:shd w:val="clear" w:color="auto" w:fill="auto"/>
            <w:noWrap/>
            <w:vAlign w:val="center"/>
          </w:tcPr>
          <w:p w14:paraId="1541F4C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0.0026</w:t>
            </w:r>
          </w:p>
        </w:tc>
        <w:tc>
          <w:tcPr>
            <w:tcW w:w="676" w:type="dxa"/>
            <w:shd w:val="clear" w:color="auto" w:fill="auto"/>
            <w:noWrap/>
            <w:vAlign w:val="center"/>
          </w:tcPr>
          <w:p w14:paraId="1E57FE0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0.0048</w:t>
            </w:r>
          </w:p>
        </w:tc>
        <w:tc>
          <w:tcPr>
            <w:tcW w:w="676" w:type="dxa"/>
            <w:shd w:val="clear" w:color="auto" w:fill="auto"/>
            <w:noWrap/>
            <w:vAlign w:val="center"/>
          </w:tcPr>
          <w:p w14:paraId="30B887C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w:t>
            </w:r>
          </w:p>
        </w:tc>
        <w:tc>
          <w:tcPr>
            <w:tcW w:w="644" w:type="dxa"/>
            <w:shd w:val="clear" w:color="auto" w:fill="auto"/>
            <w:noWrap/>
            <w:vAlign w:val="center"/>
          </w:tcPr>
          <w:p w14:paraId="323D396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0.0018</w:t>
            </w:r>
          </w:p>
        </w:tc>
        <w:tc>
          <w:tcPr>
            <w:tcW w:w="709" w:type="dxa"/>
            <w:shd w:val="clear" w:color="auto" w:fill="auto"/>
            <w:noWrap/>
            <w:vAlign w:val="center"/>
          </w:tcPr>
          <w:p w14:paraId="71CFFE0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0.0025</w:t>
            </w:r>
          </w:p>
        </w:tc>
        <w:tc>
          <w:tcPr>
            <w:tcW w:w="708" w:type="dxa"/>
            <w:shd w:val="clear" w:color="auto" w:fill="auto"/>
            <w:noWrap/>
            <w:vAlign w:val="center"/>
          </w:tcPr>
          <w:p w14:paraId="53515C0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0.0021</w:t>
            </w:r>
          </w:p>
        </w:tc>
        <w:tc>
          <w:tcPr>
            <w:tcW w:w="709" w:type="dxa"/>
            <w:shd w:val="clear" w:color="auto" w:fill="auto"/>
            <w:noWrap/>
            <w:vAlign w:val="center"/>
          </w:tcPr>
          <w:p w14:paraId="7344AB1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0.0026</w:t>
            </w:r>
          </w:p>
        </w:tc>
        <w:tc>
          <w:tcPr>
            <w:tcW w:w="709" w:type="dxa"/>
            <w:shd w:val="clear" w:color="auto" w:fill="auto"/>
            <w:noWrap/>
            <w:vAlign w:val="center"/>
          </w:tcPr>
          <w:p w14:paraId="2C64B22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0.0024</w:t>
            </w:r>
          </w:p>
        </w:tc>
        <w:tc>
          <w:tcPr>
            <w:tcW w:w="709" w:type="dxa"/>
            <w:shd w:val="clear" w:color="auto" w:fill="auto"/>
            <w:noWrap/>
            <w:vAlign w:val="center"/>
          </w:tcPr>
          <w:p w14:paraId="2E13548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0.0025</w:t>
            </w:r>
          </w:p>
        </w:tc>
        <w:tc>
          <w:tcPr>
            <w:tcW w:w="1383" w:type="dxa"/>
            <w:vMerge w:val="restart"/>
            <w:shd w:val="clear" w:color="auto" w:fill="auto"/>
            <w:noWrap/>
            <w:vAlign w:val="center"/>
          </w:tcPr>
          <w:p w14:paraId="369E175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w:t>
            </w:r>
          </w:p>
        </w:tc>
      </w:tr>
      <w:tr w:rsidR="009C353B" w14:paraId="27053E50" w14:textId="77777777">
        <w:trPr>
          <w:cantSplit/>
          <w:trHeight w:val="340"/>
        </w:trPr>
        <w:tc>
          <w:tcPr>
            <w:tcW w:w="1129" w:type="dxa"/>
            <w:vMerge/>
            <w:vAlign w:val="center"/>
          </w:tcPr>
          <w:p w14:paraId="0046435E"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2293196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0043783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3767A36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708" w:type="dxa"/>
            <w:shd w:val="clear" w:color="auto" w:fill="auto"/>
            <w:noWrap/>
            <w:vAlign w:val="center"/>
          </w:tcPr>
          <w:p w14:paraId="1DF3B26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c>
          <w:tcPr>
            <w:tcW w:w="709" w:type="dxa"/>
            <w:shd w:val="clear" w:color="auto" w:fill="auto"/>
            <w:noWrap/>
            <w:vAlign w:val="center"/>
          </w:tcPr>
          <w:p w14:paraId="2911074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0D51A03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682" w:type="dxa"/>
            <w:shd w:val="clear" w:color="auto" w:fill="auto"/>
            <w:noWrap/>
            <w:vAlign w:val="center"/>
          </w:tcPr>
          <w:p w14:paraId="0F7C1AE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c>
          <w:tcPr>
            <w:tcW w:w="724" w:type="dxa"/>
            <w:shd w:val="clear" w:color="auto" w:fill="auto"/>
            <w:noWrap/>
            <w:vAlign w:val="center"/>
          </w:tcPr>
          <w:p w14:paraId="2720B6E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676" w:type="dxa"/>
            <w:shd w:val="clear" w:color="auto" w:fill="auto"/>
            <w:noWrap/>
            <w:vAlign w:val="center"/>
          </w:tcPr>
          <w:p w14:paraId="2D14C0F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c>
          <w:tcPr>
            <w:tcW w:w="676" w:type="dxa"/>
            <w:shd w:val="clear" w:color="auto" w:fill="auto"/>
            <w:noWrap/>
            <w:vAlign w:val="center"/>
          </w:tcPr>
          <w:p w14:paraId="103B747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c>
          <w:tcPr>
            <w:tcW w:w="644" w:type="dxa"/>
            <w:shd w:val="clear" w:color="auto" w:fill="auto"/>
            <w:noWrap/>
            <w:vAlign w:val="center"/>
          </w:tcPr>
          <w:p w14:paraId="53EEA2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04E4F88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708" w:type="dxa"/>
            <w:shd w:val="clear" w:color="auto" w:fill="auto"/>
            <w:noWrap/>
            <w:vAlign w:val="center"/>
          </w:tcPr>
          <w:p w14:paraId="5F1F602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51B7D35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709" w:type="dxa"/>
            <w:shd w:val="clear" w:color="auto" w:fill="auto"/>
            <w:noWrap/>
            <w:vAlign w:val="center"/>
          </w:tcPr>
          <w:p w14:paraId="1432918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7305F6B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1383" w:type="dxa"/>
            <w:vMerge/>
            <w:vAlign w:val="center"/>
          </w:tcPr>
          <w:p w14:paraId="46D65199" w14:textId="77777777" w:rsidR="009C353B" w:rsidRDefault="009C353B">
            <w:pPr>
              <w:widowControl/>
              <w:jc w:val="center"/>
              <w:rPr>
                <w:rFonts w:ascii="Times New Roman" w:eastAsiaTheme="minorEastAsia" w:hAnsi="Times New Roman"/>
                <w:kern w:val="0"/>
                <w:sz w:val="21"/>
                <w:szCs w:val="21"/>
              </w:rPr>
            </w:pPr>
          </w:p>
        </w:tc>
      </w:tr>
      <w:tr w:rsidR="009C353B" w14:paraId="6BC765BE" w14:textId="77777777">
        <w:trPr>
          <w:cantSplit/>
          <w:trHeight w:val="340"/>
        </w:trPr>
        <w:tc>
          <w:tcPr>
            <w:tcW w:w="1129" w:type="dxa"/>
            <w:vMerge w:val="restart"/>
            <w:shd w:val="clear" w:color="auto" w:fill="auto"/>
            <w:noWrap/>
            <w:vAlign w:val="center"/>
          </w:tcPr>
          <w:p w14:paraId="0F3453D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铅</w:t>
            </w:r>
            <w:r>
              <w:rPr>
                <w:rFonts w:ascii="Times New Roman" w:eastAsiaTheme="minorEastAsia" w:hAnsi="Times New Roman"/>
                <w:kern w:val="0"/>
                <w:sz w:val="21"/>
                <w:szCs w:val="21"/>
              </w:rPr>
              <w:t>(mg/L)</w:t>
            </w:r>
          </w:p>
        </w:tc>
        <w:tc>
          <w:tcPr>
            <w:tcW w:w="709" w:type="dxa"/>
            <w:shd w:val="clear" w:color="auto" w:fill="auto"/>
            <w:noWrap/>
            <w:vAlign w:val="center"/>
          </w:tcPr>
          <w:p w14:paraId="65810B3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2298FC7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0.0039</w:t>
            </w:r>
          </w:p>
        </w:tc>
        <w:tc>
          <w:tcPr>
            <w:tcW w:w="709" w:type="dxa"/>
            <w:shd w:val="clear" w:color="auto" w:fill="auto"/>
            <w:noWrap/>
            <w:vAlign w:val="center"/>
          </w:tcPr>
          <w:p w14:paraId="621A9B9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0.0069</w:t>
            </w:r>
          </w:p>
        </w:tc>
        <w:tc>
          <w:tcPr>
            <w:tcW w:w="708" w:type="dxa"/>
            <w:shd w:val="clear" w:color="auto" w:fill="auto"/>
            <w:noWrap/>
            <w:vAlign w:val="center"/>
          </w:tcPr>
          <w:p w14:paraId="31CF4CA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0.0047</w:t>
            </w:r>
          </w:p>
        </w:tc>
        <w:tc>
          <w:tcPr>
            <w:tcW w:w="709" w:type="dxa"/>
            <w:shd w:val="clear" w:color="auto" w:fill="auto"/>
            <w:noWrap/>
            <w:vAlign w:val="center"/>
          </w:tcPr>
          <w:p w14:paraId="78BBFB2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0.0047</w:t>
            </w:r>
          </w:p>
        </w:tc>
        <w:tc>
          <w:tcPr>
            <w:tcW w:w="709" w:type="dxa"/>
            <w:shd w:val="clear" w:color="auto" w:fill="auto"/>
            <w:noWrap/>
            <w:vAlign w:val="center"/>
          </w:tcPr>
          <w:p w14:paraId="5E9FF81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0.0054</w:t>
            </w:r>
          </w:p>
        </w:tc>
        <w:tc>
          <w:tcPr>
            <w:tcW w:w="682" w:type="dxa"/>
            <w:shd w:val="clear" w:color="auto" w:fill="auto"/>
            <w:noWrap/>
            <w:vAlign w:val="center"/>
          </w:tcPr>
          <w:p w14:paraId="39FE59A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0.0036</w:t>
            </w:r>
          </w:p>
        </w:tc>
        <w:tc>
          <w:tcPr>
            <w:tcW w:w="724" w:type="dxa"/>
            <w:shd w:val="clear" w:color="auto" w:fill="auto"/>
            <w:noWrap/>
            <w:vAlign w:val="center"/>
          </w:tcPr>
          <w:p w14:paraId="6DC27C2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0.0043</w:t>
            </w:r>
          </w:p>
        </w:tc>
        <w:tc>
          <w:tcPr>
            <w:tcW w:w="676" w:type="dxa"/>
            <w:shd w:val="clear" w:color="auto" w:fill="auto"/>
            <w:noWrap/>
            <w:vAlign w:val="center"/>
          </w:tcPr>
          <w:p w14:paraId="592233F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0.0034</w:t>
            </w:r>
          </w:p>
        </w:tc>
        <w:tc>
          <w:tcPr>
            <w:tcW w:w="676" w:type="dxa"/>
            <w:shd w:val="clear" w:color="auto" w:fill="auto"/>
            <w:noWrap/>
            <w:vAlign w:val="center"/>
          </w:tcPr>
          <w:p w14:paraId="102F98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0.0044</w:t>
            </w:r>
          </w:p>
        </w:tc>
        <w:tc>
          <w:tcPr>
            <w:tcW w:w="644" w:type="dxa"/>
            <w:shd w:val="clear" w:color="auto" w:fill="auto"/>
            <w:noWrap/>
            <w:vAlign w:val="center"/>
          </w:tcPr>
          <w:p w14:paraId="0D0A263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0.003</w:t>
            </w:r>
          </w:p>
        </w:tc>
        <w:tc>
          <w:tcPr>
            <w:tcW w:w="709" w:type="dxa"/>
            <w:shd w:val="clear" w:color="auto" w:fill="auto"/>
            <w:noWrap/>
            <w:vAlign w:val="center"/>
          </w:tcPr>
          <w:p w14:paraId="59690AA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0.0043</w:t>
            </w:r>
          </w:p>
        </w:tc>
        <w:tc>
          <w:tcPr>
            <w:tcW w:w="708" w:type="dxa"/>
            <w:shd w:val="clear" w:color="auto" w:fill="auto"/>
            <w:noWrap/>
            <w:vAlign w:val="center"/>
          </w:tcPr>
          <w:p w14:paraId="2DCBBB5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0.0042</w:t>
            </w:r>
          </w:p>
        </w:tc>
        <w:tc>
          <w:tcPr>
            <w:tcW w:w="709" w:type="dxa"/>
            <w:shd w:val="clear" w:color="auto" w:fill="auto"/>
            <w:noWrap/>
            <w:vAlign w:val="center"/>
          </w:tcPr>
          <w:p w14:paraId="7BDE8AF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w:t>
            </w:r>
          </w:p>
        </w:tc>
        <w:tc>
          <w:tcPr>
            <w:tcW w:w="709" w:type="dxa"/>
            <w:shd w:val="clear" w:color="auto" w:fill="auto"/>
            <w:noWrap/>
            <w:vAlign w:val="center"/>
          </w:tcPr>
          <w:p w14:paraId="2385EC7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0.0049</w:t>
            </w:r>
          </w:p>
        </w:tc>
        <w:tc>
          <w:tcPr>
            <w:tcW w:w="709" w:type="dxa"/>
            <w:shd w:val="clear" w:color="auto" w:fill="auto"/>
            <w:noWrap/>
            <w:vAlign w:val="center"/>
          </w:tcPr>
          <w:p w14:paraId="63CD56B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0.0037</w:t>
            </w:r>
          </w:p>
        </w:tc>
        <w:tc>
          <w:tcPr>
            <w:tcW w:w="1383" w:type="dxa"/>
            <w:vMerge w:val="restart"/>
            <w:shd w:val="clear" w:color="auto" w:fill="auto"/>
            <w:noWrap/>
            <w:vAlign w:val="center"/>
          </w:tcPr>
          <w:p w14:paraId="5783866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r>
      <w:tr w:rsidR="009C353B" w14:paraId="78F87EA7" w14:textId="77777777">
        <w:trPr>
          <w:cantSplit/>
          <w:trHeight w:val="340"/>
        </w:trPr>
        <w:tc>
          <w:tcPr>
            <w:tcW w:w="1129" w:type="dxa"/>
            <w:vMerge/>
            <w:vAlign w:val="center"/>
          </w:tcPr>
          <w:p w14:paraId="5B972BCC"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5178220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08BE361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0.08</w:t>
            </w:r>
          </w:p>
        </w:tc>
        <w:tc>
          <w:tcPr>
            <w:tcW w:w="709" w:type="dxa"/>
            <w:shd w:val="clear" w:color="auto" w:fill="auto"/>
            <w:noWrap/>
            <w:vAlign w:val="center"/>
          </w:tcPr>
          <w:p w14:paraId="042EF2F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0.14</w:t>
            </w:r>
          </w:p>
        </w:tc>
        <w:tc>
          <w:tcPr>
            <w:tcW w:w="708" w:type="dxa"/>
            <w:shd w:val="clear" w:color="auto" w:fill="auto"/>
            <w:noWrap/>
            <w:vAlign w:val="center"/>
          </w:tcPr>
          <w:p w14:paraId="182CC8C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0.09</w:t>
            </w:r>
          </w:p>
        </w:tc>
        <w:tc>
          <w:tcPr>
            <w:tcW w:w="709" w:type="dxa"/>
            <w:shd w:val="clear" w:color="auto" w:fill="auto"/>
            <w:noWrap/>
            <w:vAlign w:val="center"/>
          </w:tcPr>
          <w:p w14:paraId="092021B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0.09</w:t>
            </w:r>
          </w:p>
        </w:tc>
        <w:tc>
          <w:tcPr>
            <w:tcW w:w="709" w:type="dxa"/>
            <w:shd w:val="clear" w:color="auto" w:fill="auto"/>
            <w:noWrap/>
            <w:vAlign w:val="center"/>
          </w:tcPr>
          <w:p w14:paraId="30BB0B2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0.11</w:t>
            </w:r>
          </w:p>
        </w:tc>
        <w:tc>
          <w:tcPr>
            <w:tcW w:w="682" w:type="dxa"/>
            <w:shd w:val="clear" w:color="auto" w:fill="auto"/>
            <w:noWrap/>
            <w:vAlign w:val="center"/>
          </w:tcPr>
          <w:p w14:paraId="12A7B98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0.07</w:t>
            </w:r>
          </w:p>
        </w:tc>
        <w:tc>
          <w:tcPr>
            <w:tcW w:w="724" w:type="dxa"/>
            <w:shd w:val="clear" w:color="auto" w:fill="auto"/>
            <w:noWrap/>
            <w:vAlign w:val="center"/>
          </w:tcPr>
          <w:p w14:paraId="47861CA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0.09</w:t>
            </w:r>
          </w:p>
        </w:tc>
        <w:tc>
          <w:tcPr>
            <w:tcW w:w="676" w:type="dxa"/>
            <w:shd w:val="clear" w:color="auto" w:fill="auto"/>
            <w:noWrap/>
            <w:vAlign w:val="center"/>
          </w:tcPr>
          <w:p w14:paraId="7F0628F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0.07</w:t>
            </w:r>
          </w:p>
        </w:tc>
        <w:tc>
          <w:tcPr>
            <w:tcW w:w="676" w:type="dxa"/>
            <w:shd w:val="clear" w:color="auto" w:fill="auto"/>
            <w:noWrap/>
            <w:vAlign w:val="center"/>
          </w:tcPr>
          <w:p w14:paraId="2A5EF7C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0.09</w:t>
            </w:r>
          </w:p>
        </w:tc>
        <w:tc>
          <w:tcPr>
            <w:tcW w:w="644" w:type="dxa"/>
            <w:shd w:val="clear" w:color="auto" w:fill="auto"/>
            <w:noWrap/>
            <w:vAlign w:val="center"/>
          </w:tcPr>
          <w:p w14:paraId="1853878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w:t>
            </w:r>
          </w:p>
        </w:tc>
        <w:tc>
          <w:tcPr>
            <w:tcW w:w="709" w:type="dxa"/>
            <w:shd w:val="clear" w:color="auto" w:fill="auto"/>
            <w:noWrap/>
            <w:vAlign w:val="center"/>
          </w:tcPr>
          <w:p w14:paraId="5783D6E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0.09</w:t>
            </w:r>
          </w:p>
        </w:tc>
        <w:tc>
          <w:tcPr>
            <w:tcW w:w="708" w:type="dxa"/>
            <w:shd w:val="clear" w:color="auto" w:fill="auto"/>
            <w:noWrap/>
            <w:vAlign w:val="center"/>
          </w:tcPr>
          <w:p w14:paraId="77D956D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0.08</w:t>
            </w:r>
          </w:p>
        </w:tc>
        <w:tc>
          <w:tcPr>
            <w:tcW w:w="709" w:type="dxa"/>
            <w:shd w:val="clear" w:color="auto" w:fill="auto"/>
            <w:noWrap/>
            <w:vAlign w:val="center"/>
          </w:tcPr>
          <w:p w14:paraId="67E4F23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0.08</w:t>
            </w:r>
          </w:p>
        </w:tc>
        <w:tc>
          <w:tcPr>
            <w:tcW w:w="709" w:type="dxa"/>
            <w:shd w:val="clear" w:color="auto" w:fill="auto"/>
            <w:noWrap/>
            <w:vAlign w:val="center"/>
          </w:tcPr>
          <w:p w14:paraId="552CCA5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w:t>
            </w:r>
          </w:p>
        </w:tc>
        <w:tc>
          <w:tcPr>
            <w:tcW w:w="709" w:type="dxa"/>
            <w:shd w:val="clear" w:color="auto" w:fill="auto"/>
            <w:noWrap/>
            <w:vAlign w:val="center"/>
          </w:tcPr>
          <w:p w14:paraId="325C86A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0.07</w:t>
            </w:r>
          </w:p>
        </w:tc>
        <w:tc>
          <w:tcPr>
            <w:tcW w:w="1383" w:type="dxa"/>
            <w:vMerge/>
            <w:vAlign w:val="center"/>
          </w:tcPr>
          <w:p w14:paraId="22A6EDAB" w14:textId="77777777" w:rsidR="009C353B" w:rsidRDefault="009C353B">
            <w:pPr>
              <w:widowControl/>
              <w:jc w:val="center"/>
              <w:rPr>
                <w:rFonts w:ascii="Times New Roman" w:eastAsiaTheme="minorEastAsia" w:hAnsi="Times New Roman"/>
                <w:kern w:val="0"/>
                <w:sz w:val="21"/>
                <w:szCs w:val="21"/>
              </w:rPr>
            </w:pPr>
          </w:p>
        </w:tc>
      </w:tr>
      <w:tr w:rsidR="009C353B" w14:paraId="28C6A481" w14:textId="77777777">
        <w:trPr>
          <w:cantSplit/>
          <w:trHeight w:val="340"/>
        </w:trPr>
        <w:tc>
          <w:tcPr>
            <w:tcW w:w="1129" w:type="dxa"/>
            <w:shd w:val="clear" w:color="auto" w:fill="auto"/>
            <w:noWrap/>
            <w:vAlign w:val="center"/>
          </w:tcPr>
          <w:p w14:paraId="701FBC1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铁</w:t>
            </w:r>
            <w:r>
              <w:rPr>
                <w:rFonts w:ascii="Times New Roman" w:eastAsiaTheme="minorEastAsia" w:hAnsi="Times New Roman"/>
                <w:kern w:val="0"/>
                <w:sz w:val="21"/>
                <w:szCs w:val="21"/>
              </w:rPr>
              <w:t>(mg/L)</w:t>
            </w:r>
          </w:p>
        </w:tc>
        <w:tc>
          <w:tcPr>
            <w:tcW w:w="709" w:type="dxa"/>
            <w:shd w:val="clear" w:color="auto" w:fill="auto"/>
            <w:noWrap/>
            <w:vAlign w:val="center"/>
          </w:tcPr>
          <w:p w14:paraId="0C7F75B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10D4436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709" w:type="dxa"/>
            <w:shd w:val="clear" w:color="auto" w:fill="auto"/>
            <w:noWrap/>
            <w:vAlign w:val="center"/>
          </w:tcPr>
          <w:p w14:paraId="3A2A904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708" w:type="dxa"/>
            <w:shd w:val="clear" w:color="auto" w:fill="auto"/>
            <w:noWrap/>
            <w:vAlign w:val="center"/>
          </w:tcPr>
          <w:p w14:paraId="0DEE913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709" w:type="dxa"/>
            <w:shd w:val="clear" w:color="auto" w:fill="auto"/>
            <w:noWrap/>
            <w:vAlign w:val="center"/>
          </w:tcPr>
          <w:p w14:paraId="1444FFF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709" w:type="dxa"/>
            <w:shd w:val="clear" w:color="auto" w:fill="auto"/>
            <w:noWrap/>
            <w:vAlign w:val="center"/>
          </w:tcPr>
          <w:p w14:paraId="361D31B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682" w:type="dxa"/>
            <w:shd w:val="clear" w:color="auto" w:fill="auto"/>
            <w:noWrap/>
            <w:vAlign w:val="center"/>
          </w:tcPr>
          <w:p w14:paraId="190880F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724" w:type="dxa"/>
            <w:shd w:val="clear" w:color="auto" w:fill="auto"/>
            <w:noWrap/>
            <w:vAlign w:val="center"/>
          </w:tcPr>
          <w:p w14:paraId="76491F0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676" w:type="dxa"/>
            <w:shd w:val="clear" w:color="auto" w:fill="auto"/>
            <w:noWrap/>
            <w:vAlign w:val="center"/>
          </w:tcPr>
          <w:p w14:paraId="6E386DC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676" w:type="dxa"/>
            <w:shd w:val="clear" w:color="auto" w:fill="auto"/>
            <w:noWrap/>
            <w:vAlign w:val="center"/>
          </w:tcPr>
          <w:p w14:paraId="05D8D03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644" w:type="dxa"/>
            <w:shd w:val="clear" w:color="auto" w:fill="auto"/>
            <w:noWrap/>
            <w:vAlign w:val="center"/>
          </w:tcPr>
          <w:p w14:paraId="69B80B1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548D838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708" w:type="dxa"/>
            <w:shd w:val="clear" w:color="auto" w:fill="auto"/>
            <w:noWrap/>
            <w:vAlign w:val="center"/>
          </w:tcPr>
          <w:p w14:paraId="53FB077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605B2A8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709" w:type="dxa"/>
            <w:shd w:val="clear" w:color="auto" w:fill="auto"/>
            <w:noWrap/>
            <w:vAlign w:val="center"/>
          </w:tcPr>
          <w:p w14:paraId="247AD73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09" w:type="dxa"/>
            <w:shd w:val="clear" w:color="auto" w:fill="auto"/>
            <w:noWrap/>
            <w:vAlign w:val="center"/>
          </w:tcPr>
          <w:p w14:paraId="179ECA2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0.01</w:t>
            </w:r>
          </w:p>
        </w:tc>
        <w:tc>
          <w:tcPr>
            <w:tcW w:w="1383" w:type="dxa"/>
            <w:shd w:val="clear" w:color="auto" w:fill="auto"/>
            <w:noWrap/>
            <w:vAlign w:val="center"/>
          </w:tcPr>
          <w:p w14:paraId="41BDC8A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5B84ED6A" w14:textId="77777777">
        <w:trPr>
          <w:cantSplit/>
          <w:trHeight w:val="340"/>
        </w:trPr>
        <w:tc>
          <w:tcPr>
            <w:tcW w:w="1129" w:type="dxa"/>
            <w:shd w:val="clear" w:color="auto" w:fill="auto"/>
            <w:noWrap/>
            <w:vAlign w:val="center"/>
          </w:tcPr>
          <w:p w14:paraId="67A19E6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锰</w:t>
            </w:r>
            <w:r>
              <w:rPr>
                <w:rFonts w:ascii="Times New Roman" w:eastAsiaTheme="minorEastAsia" w:hAnsi="Times New Roman"/>
                <w:kern w:val="0"/>
                <w:sz w:val="21"/>
                <w:szCs w:val="21"/>
              </w:rPr>
              <w:t>(mg/L)</w:t>
            </w:r>
          </w:p>
        </w:tc>
        <w:tc>
          <w:tcPr>
            <w:tcW w:w="709" w:type="dxa"/>
            <w:shd w:val="clear" w:color="auto" w:fill="auto"/>
            <w:noWrap/>
            <w:vAlign w:val="center"/>
          </w:tcPr>
          <w:p w14:paraId="3E4803A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6BC11D1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6A8706F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0.088</w:t>
            </w:r>
          </w:p>
        </w:tc>
        <w:tc>
          <w:tcPr>
            <w:tcW w:w="708" w:type="dxa"/>
            <w:shd w:val="clear" w:color="auto" w:fill="auto"/>
            <w:noWrap/>
            <w:vAlign w:val="center"/>
          </w:tcPr>
          <w:p w14:paraId="5923810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0.021</w:t>
            </w:r>
          </w:p>
        </w:tc>
        <w:tc>
          <w:tcPr>
            <w:tcW w:w="709" w:type="dxa"/>
            <w:shd w:val="clear" w:color="auto" w:fill="auto"/>
            <w:noWrap/>
            <w:vAlign w:val="center"/>
          </w:tcPr>
          <w:p w14:paraId="421AE6E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1D1A011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0.088</w:t>
            </w:r>
          </w:p>
        </w:tc>
        <w:tc>
          <w:tcPr>
            <w:tcW w:w="682" w:type="dxa"/>
            <w:shd w:val="clear" w:color="auto" w:fill="auto"/>
            <w:noWrap/>
            <w:vAlign w:val="center"/>
          </w:tcPr>
          <w:p w14:paraId="09A7C36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724" w:type="dxa"/>
            <w:shd w:val="clear" w:color="auto" w:fill="auto"/>
            <w:noWrap/>
            <w:vAlign w:val="center"/>
          </w:tcPr>
          <w:p w14:paraId="03FFA17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76" w:type="dxa"/>
            <w:shd w:val="clear" w:color="auto" w:fill="auto"/>
            <w:noWrap/>
            <w:vAlign w:val="center"/>
          </w:tcPr>
          <w:p w14:paraId="00E2B07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0.088</w:t>
            </w:r>
          </w:p>
        </w:tc>
        <w:tc>
          <w:tcPr>
            <w:tcW w:w="676" w:type="dxa"/>
            <w:shd w:val="clear" w:color="auto" w:fill="auto"/>
            <w:noWrap/>
            <w:vAlign w:val="center"/>
          </w:tcPr>
          <w:p w14:paraId="1398BBB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0.019</w:t>
            </w:r>
          </w:p>
        </w:tc>
        <w:tc>
          <w:tcPr>
            <w:tcW w:w="644" w:type="dxa"/>
            <w:shd w:val="clear" w:color="auto" w:fill="auto"/>
            <w:noWrap/>
            <w:vAlign w:val="center"/>
          </w:tcPr>
          <w:p w14:paraId="656555C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0.054</w:t>
            </w:r>
          </w:p>
        </w:tc>
        <w:tc>
          <w:tcPr>
            <w:tcW w:w="709" w:type="dxa"/>
            <w:shd w:val="clear" w:color="auto" w:fill="auto"/>
            <w:noWrap/>
            <w:vAlign w:val="center"/>
          </w:tcPr>
          <w:p w14:paraId="7B99C9B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0.006</w:t>
            </w:r>
          </w:p>
        </w:tc>
        <w:tc>
          <w:tcPr>
            <w:tcW w:w="708" w:type="dxa"/>
            <w:shd w:val="clear" w:color="auto" w:fill="auto"/>
            <w:noWrap/>
            <w:vAlign w:val="center"/>
          </w:tcPr>
          <w:p w14:paraId="55DD509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0.053</w:t>
            </w:r>
          </w:p>
        </w:tc>
        <w:tc>
          <w:tcPr>
            <w:tcW w:w="709" w:type="dxa"/>
            <w:shd w:val="clear" w:color="auto" w:fill="auto"/>
            <w:noWrap/>
            <w:vAlign w:val="center"/>
          </w:tcPr>
          <w:p w14:paraId="2669B7A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0.007</w:t>
            </w:r>
          </w:p>
        </w:tc>
        <w:tc>
          <w:tcPr>
            <w:tcW w:w="709" w:type="dxa"/>
            <w:shd w:val="clear" w:color="auto" w:fill="auto"/>
            <w:noWrap/>
            <w:vAlign w:val="center"/>
          </w:tcPr>
          <w:p w14:paraId="40B752B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0.054</w:t>
            </w:r>
          </w:p>
        </w:tc>
        <w:tc>
          <w:tcPr>
            <w:tcW w:w="709" w:type="dxa"/>
            <w:shd w:val="clear" w:color="auto" w:fill="auto"/>
            <w:noWrap/>
            <w:vAlign w:val="center"/>
          </w:tcPr>
          <w:p w14:paraId="53EE0B0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0.006</w:t>
            </w:r>
          </w:p>
        </w:tc>
        <w:tc>
          <w:tcPr>
            <w:tcW w:w="1383" w:type="dxa"/>
            <w:shd w:val="clear" w:color="auto" w:fill="auto"/>
            <w:noWrap/>
            <w:vAlign w:val="center"/>
          </w:tcPr>
          <w:p w14:paraId="6E29FAB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76B26D9C" w14:textId="77777777">
        <w:trPr>
          <w:cantSplit/>
          <w:trHeight w:val="340"/>
        </w:trPr>
        <w:tc>
          <w:tcPr>
            <w:tcW w:w="1129" w:type="dxa"/>
            <w:vMerge w:val="restart"/>
            <w:shd w:val="clear" w:color="auto" w:fill="auto"/>
            <w:noWrap/>
            <w:vAlign w:val="center"/>
          </w:tcPr>
          <w:p w14:paraId="1594E3B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铜</w:t>
            </w:r>
            <w:r>
              <w:rPr>
                <w:rFonts w:ascii="Times New Roman" w:eastAsiaTheme="minorEastAsia" w:hAnsi="Times New Roman"/>
                <w:kern w:val="0"/>
                <w:sz w:val="21"/>
                <w:szCs w:val="21"/>
              </w:rPr>
              <w:t>(mg/L)</w:t>
            </w:r>
          </w:p>
        </w:tc>
        <w:tc>
          <w:tcPr>
            <w:tcW w:w="709" w:type="dxa"/>
            <w:shd w:val="clear" w:color="auto" w:fill="auto"/>
            <w:noWrap/>
            <w:vAlign w:val="center"/>
          </w:tcPr>
          <w:p w14:paraId="0BF1702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48692FC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709" w:type="dxa"/>
            <w:shd w:val="clear" w:color="auto" w:fill="auto"/>
            <w:noWrap/>
            <w:vAlign w:val="center"/>
          </w:tcPr>
          <w:p w14:paraId="065A154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708" w:type="dxa"/>
            <w:shd w:val="clear" w:color="auto" w:fill="auto"/>
            <w:noWrap/>
            <w:vAlign w:val="center"/>
          </w:tcPr>
          <w:p w14:paraId="48EED23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709" w:type="dxa"/>
            <w:shd w:val="clear" w:color="auto" w:fill="auto"/>
            <w:noWrap/>
            <w:vAlign w:val="center"/>
          </w:tcPr>
          <w:p w14:paraId="0D03027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709" w:type="dxa"/>
            <w:shd w:val="clear" w:color="auto" w:fill="auto"/>
            <w:noWrap/>
            <w:vAlign w:val="center"/>
          </w:tcPr>
          <w:p w14:paraId="47814B9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682" w:type="dxa"/>
            <w:shd w:val="clear" w:color="auto" w:fill="auto"/>
            <w:noWrap/>
            <w:vAlign w:val="center"/>
          </w:tcPr>
          <w:p w14:paraId="463DD5F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724" w:type="dxa"/>
            <w:shd w:val="clear" w:color="auto" w:fill="auto"/>
            <w:noWrap/>
            <w:vAlign w:val="center"/>
          </w:tcPr>
          <w:p w14:paraId="4D45629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676" w:type="dxa"/>
            <w:shd w:val="clear" w:color="auto" w:fill="auto"/>
            <w:noWrap/>
            <w:vAlign w:val="center"/>
          </w:tcPr>
          <w:p w14:paraId="79E3B46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676" w:type="dxa"/>
            <w:shd w:val="clear" w:color="auto" w:fill="auto"/>
            <w:noWrap/>
            <w:vAlign w:val="center"/>
          </w:tcPr>
          <w:p w14:paraId="2F8D088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644" w:type="dxa"/>
            <w:shd w:val="clear" w:color="auto" w:fill="auto"/>
            <w:noWrap/>
            <w:vAlign w:val="center"/>
          </w:tcPr>
          <w:p w14:paraId="508CB13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709" w:type="dxa"/>
            <w:shd w:val="clear" w:color="auto" w:fill="auto"/>
            <w:noWrap/>
            <w:vAlign w:val="center"/>
          </w:tcPr>
          <w:p w14:paraId="4076FE6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708" w:type="dxa"/>
            <w:shd w:val="clear" w:color="auto" w:fill="auto"/>
            <w:noWrap/>
            <w:vAlign w:val="center"/>
          </w:tcPr>
          <w:p w14:paraId="300A2EC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709" w:type="dxa"/>
            <w:shd w:val="clear" w:color="auto" w:fill="auto"/>
            <w:noWrap/>
            <w:vAlign w:val="center"/>
          </w:tcPr>
          <w:p w14:paraId="11B04F3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709" w:type="dxa"/>
            <w:shd w:val="clear" w:color="auto" w:fill="auto"/>
            <w:noWrap/>
            <w:vAlign w:val="center"/>
          </w:tcPr>
          <w:p w14:paraId="33DBFE8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709" w:type="dxa"/>
            <w:shd w:val="clear" w:color="auto" w:fill="auto"/>
            <w:noWrap/>
            <w:vAlign w:val="center"/>
          </w:tcPr>
          <w:p w14:paraId="19C012B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0.006</w:t>
            </w:r>
          </w:p>
        </w:tc>
        <w:tc>
          <w:tcPr>
            <w:tcW w:w="1383" w:type="dxa"/>
            <w:vMerge w:val="restart"/>
            <w:shd w:val="clear" w:color="auto" w:fill="auto"/>
            <w:noWrap/>
            <w:vAlign w:val="center"/>
          </w:tcPr>
          <w:p w14:paraId="789B3E5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r>
      <w:tr w:rsidR="009C353B" w14:paraId="44283793" w14:textId="77777777">
        <w:trPr>
          <w:cantSplit/>
          <w:trHeight w:val="340"/>
        </w:trPr>
        <w:tc>
          <w:tcPr>
            <w:tcW w:w="1129" w:type="dxa"/>
            <w:vMerge/>
            <w:vAlign w:val="center"/>
          </w:tcPr>
          <w:p w14:paraId="3623DEE7"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192B06A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22AC14F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3EADBDD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2A59E1F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553D8A6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34F47A6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82" w:type="dxa"/>
            <w:shd w:val="clear" w:color="auto" w:fill="auto"/>
            <w:noWrap/>
            <w:vAlign w:val="center"/>
          </w:tcPr>
          <w:p w14:paraId="2209609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24" w:type="dxa"/>
            <w:shd w:val="clear" w:color="auto" w:fill="auto"/>
            <w:noWrap/>
            <w:vAlign w:val="center"/>
          </w:tcPr>
          <w:p w14:paraId="5CCC700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29F1B1B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383B09F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44" w:type="dxa"/>
            <w:shd w:val="clear" w:color="auto" w:fill="auto"/>
            <w:noWrap/>
            <w:vAlign w:val="center"/>
          </w:tcPr>
          <w:p w14:paraId="4BFA8F8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666090A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219AE88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4ED77F4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3C3A806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2B5D302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383" w:type="dxa"/>
            <w:vMerge/>
            <w:vAlign w:val="center"/>
          </w:tcPr>
          <w:p w14:paraId="310C6916" w14:textId="77777777" w:rsidR="009C353B" w:rsidRDefault="009C353B">
            <w:pPr>
              <w:widowControl/>
              <w:jc w:val="center"/>
              <w:rPr>
                <w:rFonts w:ascii="Times New Roman" w:eastAsiaTheme="minorEastAsia" w:hAnsi="Times New Roman"/>
                <w:kern w:val="0"/>
                <w:sz w:val="21"/>
                <w:szCs w:val="21"/>
              </w:rPr>
            </w:pPr>
          </w:p>
        </w:tc>
      </w:tr>
      <w:tr w:rsidR="009C353B" w14:paraId="32CC3373" w14:textId="77777777">
        <w:trPr>
          <w:cantSplit/>
          <w:trHeight w:val="340"/>
        </w:trPr>
        <w:tc>
          <w:tcPr>
            <w:tcW w:w="1129" w:type="dxa"/>
            <w:vMerge w:val="restart"/>
            <w:shd w:val="clear" w:color="auto" w:fill="auto"/>
            <w:noWrap/>
            <w:vAlign w:val="center"/>
          </w:tcPr>
          <w:p w14:paraId="55E8E04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锌</w:t>
            </w:r>
            <w:r>
              <w:rPr>
                <w:rFonts w:ascii="Times New Roman" w:eastAsiaTheme="minorEastAsia" w:hAnsi="Times New Roman"/>
                <w:kern w:val="0"/>
                <w:sz w:val="21"/>
                <w:szCs w:val="21"/>
              </w:rPr>
              <w:t>(mg/L)</w:t>
            </w:r>
          </w:p>
        </w:tc>
        <w:tc>
          <w:tcPr>
            <w:tcW w:w="709" w:type="dxa"/>
            <w:shd w:val="clear" w:color="auto" w:fill="auto"/>
            <w:noWrap/>
            <w:vAlign w:val="center"/>
          </w:tcPr>
          <w:p w14:paraId="61F1413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7F5F95A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10FCE3C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8" w:type="dxa"/>
            <w:shd w:val="clear" w:color="auto" w:fill="auto"/>
            <w:noWrap/>
            <w:vAlign w:val="center"/>
          </w:tcPr>
          <w:p w14:paraId="50BA7D6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1D693F1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69A6466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82" w:type="dxa"/>
            <w:shd w:val="clear" w:color="auto" w:fill="auto"/>
            <w:noWrap/>
            <w:vAlign w:val="center"/>
          </w:tcPr>
          <w:p w14:paraId="2AE87AB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24" w:type="dxa"/>
            <w:shd w:val="clear" w:color="auto" w:fill="auto"/>
            <w:noWrap/>
            <w:vAlign w:val="center"/>
          </w:tcPr>
          <w:p w14:paraId="33B9BF3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76" w:type="dxa"/>
            <w:shd w:val="clear" w:color="auto" w:fill="auto"/>
            <w:noWrap/>
            <w:vAlign w:val="center"/>
          </w:tcPr>
          <w:p w14:paraId="77EA566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76" w:type="dxa"/>
            <w:shd w:val="clear" w:color="auto" w:fill="auto"/>
            <w:noWrap/>
            <w:vAlign w:val="center"/>
          </w:tcPr>
          <w:p w14:paraId="7402C0E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644" w:type="dxa"/>
            <w:shd w:val="clear" w:color="auto" w:fill="auto"/>
            <w:noWrap/>
            <w:vAlign w:val="center"/>
          </w:tcPr>
          <w:p w14:paraId="28AF635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6B83D3F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8" w:type="dxa"/>
            <w:shd w:val="clear" w:color="auto" w:fill="auto"/>
            <w:noWrap/>
            <w:vAlign w:val="center"/>
          </w:tcPr>
          <w:p w14:paraId="3B672A6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7FD3A24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7505D30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709" w:type="dxa"/>
            <w:shd w:val="clear" w:color="auto" w:fill="auto"/>
            <w:noWrap/>
            <w:vAlign w:val="center"/>
          </w:tcPr>
          <w:p w14:paraId="7B7DFEA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ND 0.004</w:t>
            </w:r>
          </w:p>
        </w:tc>
        <w:tc>
          <w:tcPr>
            <w:tcW w:w="1383" w:type="dxa"/>
            <w:vMerge w:val="restart"/>
            <w:shd w:val="clear" w:color="auto" w:fill="auto"/>
            <w:noWrap/>
            <w:vAlign w:val="center"/>
          </w:tcPr>
          <w:p w14:paraId="2B9FF6C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r>
      <w:tr w:rsidR="009C353B" w14:paraId="2AAEABBE" w14:textId="77777777">
        <w:trPr>
          <w:cantSplit/>
          <w:trHeight w:val="340"/>
        </w:trPr>
        <w:tc>
          <w:tcPr>
            <w:tcW w:w="1129" w:type="dxa"/>
            <w:vMerge/>
            <w:vAlign w:val="center"/>
          </w:tcPr>
          <w:p w14:paraId="5EDE8ADB"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1A81E9B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04F022D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0B757AA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34EE5B3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372F0A7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22B0CF1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82" w:type="dxa"/>
            <w:shd w:val="clear" w:color="auto" w:fill="auto"/>
            <w:noWrap/>
            <w:vAlign w:val="center"/>
          </w:tcPr>
          <w:p w14:paraId="7404B19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24" w:type="dxa"/>
            <w:shd w:val="clear" w:color="auto" w:fill="auto"/>
            <w:noWrap/>
            <w:vAlign w:val="center"/>
          </w:tcPr>
          <w:p w14:paraId="731DD5B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5A9C514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76" w:type="dxa"/>
            <w:shd w:val="clear" w:color="auto" w:fill="auto"/>
            <w:noWrap/>
            <w:vAlign w:val="center"/>
          </w:tcPr>
          <w:p w14:paraId="39E7DB0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644" w:type="dxa"/>
            <w:shd w:val="clear" w:color="auto" w:fill="auto"/>
            <w:noWrap/>
            <w:vAlign w:val="center"/>
          </w:tcPr>
          <w:p w14:paraId="0EC97BA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6299515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8" w:type="dxa"/>
            <w:shd w:val="clear" w:color="auto" w:fill="auto"/>
            <w:noWrap/>
            <w:vAlign w:val="center"/>
          </w:tcPr>
          <w:p w14:paraId="2ED16B3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330BE2B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6A0490D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709" w:type="dxa"/>
            <w:shd w:val="clear" w:color="auto" w:fill="auto"/>
            <w:noWrap/>
            <w:vAlign w:val="center"/>
          </w:tcPr>
          <w:p w14:paraId="4C35819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383" w:type="dxa"/>
            <w:vMerge/>
            <w:vAlign w:val="center"/>
          </w:tcPr>
          <w:p w14:paraId="3BB85C03" w14:textId="77777777" w:rsidR="009C353B" w:rsidRDefault="009C353B">
            <w:pPr>
              <w:widowControl/>
              <w:jc w:val="center"/>
              <w:rPr>
                <w:rFonts w:ascii="Times New Roman" w:eastAsiaTheme="minorEastAsia" w:hAnsi="Times New Roman"/>
                <w:kern w:val="0"/>
                <w:sz w:val="21"/>
                <w:szCs w:val="21"/>
              </w:rPr>
            </w:pPr>
          </w:p>
        </w:tc>
      </w:tr>
      <w:tr w:rsidR="009C353B" w14:paraId="67C7967E" w14:textId="77777777">
        <w:trPr>
          <w:cantSplit/>
          <w:trHeight w:val="340"/>
        </w:trPr>
        <w:tc>
          <w:tcPr>
            <w:tcW w:w="1129" w:type="dxa"/>
            <w:vMerge w:val="restart"/>
            <w:shd w:val="clear" w:color="auto" w:fill="auto"/>
            <w:noWrap/>
            <w:vAlign w:val="center"/>
          </w:tcPr>
          <w:p w14:paraId="09FF6AE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硒</w:t>
            </w:r>
            <w:r>
              <w:rPr>
                <w:rFonts w:ascii="Times New Roman" w:eastAsiaTheme="minorEastAsia" w:hAnsi="Times New Roman"/>
                <w:kern w:val="0"/>
                <w:sz w:val="21"/>
                <w:szCs w:val="21"/>
              </w:rPr>
              <w:t>(mg/L)</w:t>
            </w:r>
          </w:p>
        </w:tc>
        <w:tc>
          <w:tcPr>
            <w:tcW w:w="709" w:type="dxa"/>
            <w:shd w:val="clear" w:color="auto" w:fill="auto"/>
            <w:noWrap/>
            <w:vAlign w:val="center"/>
          </w:tcPr>
          <w:p w14:paraId="26B4A8F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值</w:t>
            </w:r>
          </w:p>
        </w:tc>
        <w:tc>
          <w:tcPr>
            <w:tcW w:w="709" w:type="dxa"/>
            <w:shd w:val="clear" w:color="auto" w:fill="auto"/>
            <w:noWrap/>
            <w:vAlign w:val="center"/>
          </w:tcPr>
          <w:p w14:paraId="7BC3A48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0.0007</w:t>
            </w:r>
          </w:p>
        </w:tc>
        <w:tc>
          <w:tcPr>
            <w:tcW w:w="709" w:type="dxa"/>
            <w:shd w:val="clear" w:color="auto" w:fill="auto"/>
            <w:noWrap/>
            <w:vAlign w:val="center"/>
          </w:tcPr>
          <w:p w14:paraId="1B8CFA1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0.0005</w:t>
            </w:r>
          </w:p>
        </w:tc>
        <w:tc>
          <w:tcPr>
            <w:tcW w:w="708" w:type="dxa"/>
            <w:shd w:val="clear" w:color="auto" w:fill="auto"/>
            <w:noWrap/>
            <w:vAlign w:val="center"/>
          </w:tcPr>
          <w:p w14:paraId="0A61F1E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0.0009</w:t>
            </w:r>
          </w:p>
        </w:tc>
        <w:tc>
          <w:tcPr>
            <w:tcW w:w="709" w:type="dxa"/>
            <w:shd w:val="clear" w:color="auto" w:fill="auto"/>
            <w:noWrap/>
            <w:vAlign w:val="center"/>
          </w:tcPr>
          <w:p w14:paraId="6A893C2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0.0009</w:t>
            </w:r>
          </w:p>
        </w:tc>
        <w:tc>
          <w:tcPr>
            <w:tcW w:w="709" w:type="dxa"/>
            <w:shd w:val="clear" w:color="auto" w:fill="auto"/>
            <w:noWrap/>
            <w:vAlign w:val="center"/>
          </w:tcPr>
          <w:p w14:paraId="2DD6525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0.0006</w:t>
            </w:r>
          </w:p>
        </w:tc>
        <w:tc>
          <w:tcPr>
            <w:tcW w:w="682" w:type="dxa"/>
            <w:shd w:val="clear" w:color="auto" w:fill="auto"/>
            <w:noWrap/>
            <w:vAlign w:val="center"/>
          </w:tcPr>
          <w:p w14:paraId="122235E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0.0012</w:t>
            </w:r>
          </w:p>
        </w:tc>
        <w:tc>
          <w:tcPr>
            <w:tcW w:w="724" w:type="dxa"/>
            <w:shd w:val="clear" w:color="auto" w:fill="auto"/>
            <w:noWrap/>
            <w:vAlign w:val="center"/>
          </w:tcPr>
          <w:p w14:paraId="457A349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0.0011</w:t>
            </w:r>
          </w:p>
        </w:tc>
        <w:tc>
          <w:tcPr>
            <w:tcW w:w="676" w:type="dxa"/>
            <w:shd w:val="clear" w:color="auto" w:fill="auto"/>
            <w:noWrap/>
            <w:vAlign w:val="center"/>
          </w:tcPr>
          <w:p w14:paraId="7C40204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0.0008</w:t>
            </w:r>
          </w:p>
        </w:tc>
        <w:tc>
          <w:tcPr>
            <w:tcW w:w="676" w:type="dxa"/>
            <w:shd w:val="clear" w:color="auto" w:fill="auto"/>
            <w:noWrap/>
            <w:vAlign w:val="center"/>
          </w:tcPr>
          <w:p w14:paraId="4323301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0.0011</w:t>
            </w:r>
          </w:p>
        </w:tc>
        <w:tc>
          <w:tcPr>
            <w:tcW w:w="644" w:type="dxa"/>
            <w:shd w:val="clear" w:color="auto" w:fill="auto"/>
            <w:noWrap/>
            <w:vAlign w:val="center"/>
          </w:tcPr>
          <w:p w14:paraId="37F7C1C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0.0008</w:t>
            </w:r>
          </w:p>
        </w:tc>
        <w:tc>
          <w:tcPr>
            <w:tcW w:w="709" w:type="dxa"/>
            <w:shd w:val="clear" w:color="auto" w:fill="auto"/>
            <w:noWrap/>
            <w:vAlign w:val="center"/>
          </w:tcPr>
          <w:p w14:paraId="36D20C0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0.0008</w:t>
            </w:r>
          </w:p>
        </w:tc>
        <w:tc>
          <w:tcPr>
            <w:tcW w:w="708" w:type="dxa"/>
            <w:shd w:val="clear" w:color="auto" w:fill="auto"/>
            <w:noWrap/>
            <w:vAlign w:val="center"/>
          </w:tcPr>
          <w:p w14:paraId="3324DB8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w:t>
            </w:r>
          </w:p>
        </w:tc>
        <w:tc>
          <w:tcPr>
            <w:tcW w:w="709" w:type="dxa"/>
            <w:shd w:val="clear" w:color="auto" w:fill="auto"/>
            <w:noWrap/>
            <w:vAlign w:val="center"/>
          </w:tcPr>
          <w:p w14:paraId="2806F2E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w:t>
            </w:r>
          </w:p>
        </w:tc>
        <w:tc>
          <w:tcPr>
            <w:tcW w:w="709" w:type="dxa"/>
            <w:shd w:val="clear" w:color="auto" w:fill="auto"/>
            <w:noWrap/>
            <w:vAlign w:val="center"/>
          </w:tcPr>
          <w:p w14:paraId="2DA27E5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0.0011</w:t>
            </w:r>
          </w:p>
        </w:tc>
        <w:tc>
          <w:tcPr>
            <w:tcW w:w="709" w:type="dxa"/>
            <w:shd w:val="clear" w:color="auto" w:fill="auto"/>
            <w:noWrap/>
            <w:vAlign w:val="center"/>
          </w:tcPr>
          <w:p w14:paraId="4DD575F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w:t>
            </w:r>
          </w:p>
        </w:tc>
        <w:tc>
          <w:tcPr>
            <w:tcW w:w="1383" w:type="dxa"/>
            <w:vMerge w:val="restart"/>
            <w:shd w:val="clear" w:color="auto" w:fill="auto"/>
            <w:noWrap/>
            <w:vAlign w:val="center"/>
          </w:tcPr>
          <w:p w14:paraId="111B84F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r>
      <w:tr w:rsidR="009C353B" w14:paraId="5F32A970" w14:textId="77777777">
        <w:trPr>
          <w:cantSplit/>
          <w:trHeight w:val="340"/>
        </w:trPr>
        <w:tc>
          <w:tcPr>
            <w:tcW w:w="1129" w:type="dxa"/>
            <w:vMerge/>
            <w:vAlign w:val="center"/>
          </w:tcPr>
          <w:p w14:paraId="6EE55F86" w14:textId="77777777" w:rsidR="009C353B" w:rsidRDefault="009C353B">
            <w:pPr>
              <w:widowControl/>
              <w:jc w:val="center"/>
              <w:rPr>
                <w:rFonts w:ascii="Times New Roman" w:eastAsiaTheme="minorEastAsia" w:hAnsi="Times New Roman"/>
                <w:kern w:val="0"/>
                <w:sz w:val="21"/>
                <w:szCs w:val="21"/>
              </w:rPr>
            </w:pPr>
          </w:p>
        </w:tc>
        <w:tc>
          <w:tcPr>
            <w:tcW w:w="709" w:type="dxa"/>
            <w:shd w:val="clear" w:color="auto" w:fill="auto"/>
            <w:noWrap/>
            <w:vAlign w:val="center"/>
          </w:tcPr>
          <w:p w14:paraId="708E8C4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指数</w:t>
            </w:r>
          </w:p>
        </w:tc>
        <w:tc>
          <w:tcPr>
            <w:tcW w:w="709" w:type="dxa"/>
            <w:shd w:val="clear" w:color="auto" w:fill="auto"/>
            <w:noWrap/>
            <w:vAlign w:val="center"/>
          </w:tcPr>
          <w:p w14:paraId="27A7FED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709" w:type="dxa"/>
            <w:shd w:val="clear" w:color="auto" w:fill="auto"/>
            <w:noWrap/>
            <w:vAlign w:val="center"/>
          </w:tcPr>
          <w:p w14:paraId="72E78A5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708" w:type="dxa"/>
            <w:shd w:val="clear" w:color="auto" w:fill="auto"/>
            <w:noWrap/>
            <w:vAlign w:val="center"/>
          </w:tcPr>
          <w:p w14:paraId="37B3137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c>
          <w:tcPr>
            <w:tcW w:w="709" w:type="dxa"/>
            <w:shd w:val="clear" w:color="auto" w:fill="auto"/>
            <w:noWrap/>
            <w:vAlign w:val="center"/>
          </w:tcPr>
          <w:p w14:paraId="6BFE400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c>
          <w:tcPr>
            <w:tcW w:w="709" w:type="dxa"/>
            <w:shd w:val="clear" w:color="auto" w:fill="auto"/>
            <w:noWrap/>
            <w:vAlign w:val="center"/>
          </w:tcPr>
          <w:p w14:paraId="13EC16A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682" w:type="dxa"/>
            <w:shd w:val="clear" w:color="auto" w:fill="auto"/>
            <w:noWrap/>
            <w:vAlign w:val="center"/>
          </w:tcPr>
          <w:p w14:paraId="632ED0A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w:t>
            </w:r>
          </w:p>
        </w:tc>
        <w:tc>
          <w:tcPr>
            <w:tcW w:w="724" w:type="dxa"/>
            <w:shd w:val="clear" w:color="auto" w:fill="auto"/>
            <w:noWrap/>
            <w:vAlign w:val="center"/>
          </w:tcPr>
          <w:p w14:paraId="160850E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w:t>
            </w:r>
          </w:p>
        </w:tc>
        <w:tc>
          <w:tcPr>
            <w:tcW w:w="676" w:type="dxa"/>
            <w:shd w:val="clear" w:color="auto" w:fill="auto"/>
            <w:noWrap/>
            <w:vAlign w:val="center"/>
          </w:tcPr>
          <w:p w14:paraId="5815199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676" w:type="dxa"/>
            <w:shd w:val="clear" w:color="auto" w:fill="auto"/>
            <w:noWrap/>
            <w:vAlign w:val="center"/>
          </w:tcPr>
          <w:p w14:paraId="3C82B37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w:t>
            </w:r>
          </w:p>
        </w:tc>
        <w:tc>
          <w:tcPr>
            <w:tcW w:w="644" w:type="dxa"/>
            <w:shd w:val="clear" w:color="auto" w:fill="auto"/>
            <w:noWrap/>
            <w:vAlign w:val="center"/>
          </w:tcPr>
          <w:p w14:paraId="7D2C4D6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709" w:type="dxa"/>
            <w:shd w:val="clear" w:color="auto" w:fill="auto"/>
            <w:noWrap/>
            <w:vAlign w:val="center"/>
          </w:tcPr>
          <w:p w14:paraId="27A31CF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708" w:type="dxa"/>
            <w:shd w:val="clear" w:color="auto" w:fill="auto"/>
            <w:noWrap/>
            <w:vAlign w:val="center"/>
          </w:tcPr>
          <w:p w14:paraId="379B564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c>
          <w:tcPr>
            <w:tcW w:w="709" w:type="dxa"/>
            <w:shd w:val="clear" w:color="auto" w:fill="auto"/>
            <w:noWrap/>
            <w:vAlign w:val="center"/>
          </w:tcPr>
          <w:p w14:paraId="5D4A734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c>
          <w:tcPr>
            <w:tcW w:w="709" w:type="dxa"/>
            <w:shd w:val="clear" w:color="auto" w:fill="auto"/>
            <w:noWrap/>
            <w:vAlign w:val="center"/>
          </w:tcPr>
          <w:p w14:paraId="0C356A8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w:t>
            </w:r>
          </w:p>
        </w:tc>
        <w:tc>
          <w:tcPr>
            <w:tcW w:w="709" w:type="dxa"/>
            <w:shd w:val="clear" w:color="auto" w:fill="auto"/>
            <w:noWrap/>
            <w:vAlign w:val="center"/>
          </w:tcPr>
          <w:p w14:paraId="78454B1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c>
          <w:tcPr>
            <w:tcW w:w="1383" w:type="dxa"/>
            <w:vMerge/>
            <w:vAlign w:val="center"/>
          </w:tcPr>
          <w:p w14:paraId="155E56BF" w14:textId="77777777" w:rsidR="009C353B" w:rsidRDefault="009C353B">
            <w:pPr>
              <w:widowControl/>
              <w:jc w:val="center"/>
              <w:rPr>
                <w:rFonts w:ascii="Times New Roman" w:eastAsiaTheme="minorEastAsia" w:hAnsi="Times New Roman"/>
                <w:kern w:val="0"/>
                <w:sz w:val="21"/>
                <w:szCs w:val="21"/>
              </w:rPr>
            </w:pPr>
          </w:p>
        </w:tc>
      </w:tr>
    </w:tbl>
    <w:p w14:paraId="359B158A" w14:textId="77777777" w:rsidR="009C353B" w:rsidRDefault="009C353B">
      <w:pPr>
        <w:adjustRightInd w:val="0"/>
        <w:snapToGrid w:val="0"/>
        <w:spacing w:line="440" w:lineRule="exact"/>
        <w:ind w:firstLineChars="200" w:firstLine="480"/>
        <w:rPr>
          <w:rFonts w:ascii="Times New Roman" w:hAnsi="Times New Roman"/>
        </w:rPr>
        <w:sectPr w:rsidR="009C353B">
          <w:headerReference w:type="default" r:id="rId191"/>
          <w:pgSz w:w="16840" w:h="11907" w:orient="landscape"/>
          <w:pgMar w:top="1418" w:right="1418" w:bottom="1418" w:left="1701" w:header="1134" w:footer="851" w:gutter="0"/>
          <w:paperSrc w:first="7" w:other="7"/>
          <w:cols w:space="720"/>
          <w:docGrid w:linePitch="326"/>
        </w:sectPr>
      </w:pPr>
    </w:p>
    <w:p w14:paraId="19961F89" w14:textId="77777777" w:rsidR="009C353B" w:rsidRDefault="00000000">
      <w:pPr>
        <w:spacing w:line="400" w:lineRule="exact"/>
        <w:jc w:val="center"/>
        <w:rPr>
          <w:rFonts w:ascii="Times New Roman" w:hAnsi="Times New Roman"/>
          <w:b/>
        </w:rPr>
      </w:pPr>
      <w:r>
        <w:rPr>
          <w:rFonts w:ascii="Times New Roman" w:hint="eastAsia"/>
          <w:b/>
        </w:rPr>
        <w:t>鸭子荡水库</w:t>
      </w:r>
      <w:r>
        <w:rPr>
          <w:rFonts w:ascii="Times New Roman"/>
          <w:b/>
        </w:rPr>
        <w:t>水环境质量现状监测结果</w:t>
      </w:r>
    </w:p>
    <w:p w14:paraId="2F447A6D" w14:textId="77777777" w:rsidR="009C353B" w:rsidRDefault="00000000">
      <w:pPr>
        <w:spacing w:line="400" w:lineRule="exact"/>
        <w:outlineLvl w:val="4"/>
        <w:rPr>
          <w:rFonts w:ascii="Times New Roman" w:hAnsi="Times New Roman"/>
        </w:rPr>
      </w:pPr>
      <w:r>
        <w:rPr>
          <w:rFonts w:ascii="Times New Roman"/>
        </w:rPr>
        <w:t>表</w:t>
      </w:r>
      <w:r>
        <w:rPr>
          <w:rFonts w:ascii="Times New Roman" w:hAnsi="Times New Roman"/>
        </w:rPr>
        <w:t>3.3-</w:t>
      </w:r>
      <w:r>
        <w:rPr>
          <w:rFonts w:ascii="Times New Roman" w:hAnsi="Times New Roman" w:hint="eastAsia"/>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1270"/>
        <w:gridCol w:w="1270"/>
        <w:gridCol w:w="1408"/>
        <w:gridCol w:w="1270"/>
        <w:gridCol w:w="2937"/>
        <w:gridCol w:w="1295"/>
        <w:gridCol w:w="1377"/>
      </w:tblGrid>
      <w:tr w:rsidR="009C353B" w14:paraId="2A8E4ED2" w14:textId="77777777">
        <w:trPr>
          <w:trHeight w:val="340"/>
          <w:tblHeader/>
          <w:jc w:val="center"/>
        </w:trPr>
        <w:tc>
          <w:tcPr>
            <w:tcW w:w="1163" w:type="pct"/>
            <w:shd w:val="clear" w:color="auto" w:fill="auto"/>
            <w:noWrap/>
            <w:vAlign w:val="center"/>
          </w:tcPr>
          <w:p w14:paraId="71196F27" w14:textId="77777777" w:rsidR="009C353B" w:rsidRDefault="00000000">
            <w:pPr>
              <w:widowControl/>
              <w:jc w:val="center"/>
              <w:rPr>
                <w:rFonts w:ascii="Times New Roman" w:hAnsi="Times New Roman"/>
                <w:b/>
                <w:kern w:val="0"/>
                <w:sz w:val="21"/>
                <w:szCs w:val="21"/>
              </w:rPr>
            </w:pPr>
            <w:r>
              <w:rPr>
                <w:rFonts w:ascii="Times New Roman" w:hAnsi="Times New Roman"/>
                <w:b/>
                <w:kern w:val="0"/>
                <w:sz w:val="21"/>
                <w:szCs w:val="21"/>
              </w:rPr>
              <w:t>监测位置</w:t>
            </w:r>
            <w:r>
              <w:rPr>
                <w:rFonts w:ascii="Times New Roman" w:hAnsi="Times New Roman"/>
                <w:b/>
                <w:kern w:val="0"/>
                <w:sz w:val="21"/>
                <w:szCs w:val="21"/>
              </w:rPr>
              <w:t>/</w:t>
            </w:r>
            <w:r>
              <w:rPr>
                <w:rFonts w:ascii="Times New Roman" w:hAnsi="Times New Roman"/>
                <w:b/>
                <w:kern w:val="0"/>
                <w:sz w:val="21"/>
                <w:szCs w:val="21"/>
              </w:rPr>
              <w:t>断面类型</w:t>
            </w:r>
          </w:p>
        </w:tc>
        <w:tc>
          <w:tcPr>
            <w:tcW w:w="1848" w:type="pct"/>
            <w:gridSpan w:val="4"/>
            <w:shd w:val="clear" w:color="auto" w:fill="auto"/>
            <w:noWrap/>
            <w:vAlign w:val="center"/>
          </w:tcPr>
          <w:p w14:paraId="77CA16E9" w14:textId="77777777" w:rsidR="009C353B" w:rsidRDefault="00000000">
            <w:pPr>
              <w:jc w:val="center"/>
              <w:rPr>
                <w:rFonts w:ascii="Times New Roman" w:hAnsi="Times New Roman"/>
                <w:b/>
                <w:kern w:val="0"/>
                <w:sz w:val="21"/>
                <w:szCs w:val="21"/>
              </w:rPr>
            </w:pPr>
            <w:r>
              <w:rPr>
                <w:rFonts w:ascii="Times New Roman" w:hAnsi="Times New Roman"/>
                <w:b/>
                <w:kern w:val="0"/>
                <w:sz w:val="21"/>
                <w:szCs w:val="21"/>
              </w:rPr>
              <w:t>鸭子荡水库</w:t>
            </w:r>
            <w:r>
              <w:rPr>
                <w:rFonts w:ascii="Times New Roman" w:hAnsi="Times New Roman"/>
                <w:b/>
                <w:kern w:val="0"/>
                <w:sz w:val="21"/>
                <w:szCs w:val="21"/>
              </w:rPr>
              <w:t>/</w:t>
            </w:r>
            <w:r>
              <w:rPr>
                <w:rFonts w:ascii="Times New Roman" w:hAnsi="Times New Roman"/>
                <w:b/>
                <w:kern w:val="0"/>
                <w:sz w:val="21"/>
                <w:szCs w:val="21"/>
              </w:rPr>
              <w:t>国控断面</w:t>
            </w:r>
          </w:p>
        </w:tc>
        <w:tc>
          <w:tcPr>
            <w:tcW w:w="1041" w:type="pct"/>
            <w:vMerge w:val="restart"/>
            <w:vAlign w:val="center"/>
          </w:tcPr>
          <w:p w14:paraId="1EDDF0A4" w14:textId="77777777" w:rsidR="009C353B" w:rsidRDefault="00000000">
            <w:pPr>
              <w:jc w:val="center"/>
              <w:rPr>
                <w:rFonts w:ascii="Times New Roman" w:hAnsi="Times New Roman"/>
                <w:b/>
                <w:kern w:val="0"/>
                <w:sz w:val="21"/>
                <w:szCs w:val="21"/>
              </w:rPr>
            </w:pPr>
            <w:r>
              <w:rPr>
                <w:rFonts w:ascii="Times New Roman" w:hAnsi="Times New Roman"/>
                <w:b/>
                <w:kern w:val="0"/>
                <w:sz w:val="21"/>
                <w:szCs w:val="21"/>
              </w:rPr>
              <w:t xml:space="preserve">Ⅰ </w:t>
            </w:r>
            <w:r>
              <w:rPr>
                <w:rFonts w:ascii="Times New Roman" w:hAnsi="Times New Roman"/>
                <w:b/>
                <w:kern w:val="0"/>
                <w:sz w:val="21"/>
                <w:szCs w:val="21"/>
              </w:rPr>
              <w:t>类标准</w:t>
            </w:r>
          </w:p>
        </w:tc>
        <w:tc>
          <w:tcPr>
            <w:tcW w:w="459" w:type="pct"/>
            <w:vMerge w:val="restart"/>
            <w:vAlign w:val="center"/>
          </w:tcPr>
          <w:p w14:paraId="43659121" w14:textId="77777777" w:rsidR="009C353B" w:rsidRDefault="00000000">
            <w:pPr>
              <w:jc w:val="center"/>
              <w:rPr>
                <w:rFonts w:ascii="Times New Roman" w:hAnsi="Times New Roman"/>
                <w:b/>
                <w:kern w:val="0"/>
                <w:sz w:val="21"/>
                <w:szCs w:val="21"/>
              </w:rPr>
            </w:pPr>
            <w:r>
              <w:rPr>
                <w:rFonts w:ascii="Times New Roman" w:hAnsi="Times New Roman"/>
                <w:b/>
                <w:kern w:val="0"/>
                <w:sz w:val="21"/>
                <w:szCs w:val="21"/>
              </w:rPr>
              <w:t xml:space="preserve">Ⅱ </w:t>
            </w:r>
            <w:r>
              <w:rPr>
                <w:rFonts w:ascii="Times New Roman" w:hAnsi="Times New Roman"/>
                <w:b/>
                <w:kern w:val="0"/>
                <w:sz w:val="21"/>
                <w:szCs w:val="21"/>
              </w:rPr>
              <w:t>类标准</w:t>
            </w:r>
          </w:p>
        </w:tc>
        <w:tc>
          <w:tcPr>
            <w:tcW w:w="489" w:type="pct"/>
            <w:vMerge w:val="restart"/>
            <w:shd w:val="clear" w:color="auto" w:fill="auto"/>
            <w:vAlign w:val="center"/>
          </w:tcPr>
          <w:p w14:paraId="2A7D78C1" w14:textId="77777777" w:rsidR="009C353B" w:rsidRDefault="00000000">
            <w:pPr>
              <w:jc w:val="center"/>
              <w:rPr>
                <w:rFonts w:ascii="Times New Roman" w:hAnsi="Times New Roman"/>
                <w:b/>
                <w:kern w:val="0"/>
                <w:sz w:val="21"/>
                <w:szCs w:val="21"/>
              </w:rPr>
            </w:pPr>
            <w:r>
              <w:rPr>
                <w:rFonts w:ascii="Times New Roman" w:hAnsi="Times New Roman"/>
                <w:b/>
                <w:kern w:val="0"/>
                <w:sz w:val="21"/>
                <w:szCs w:val="21"/>
              </w:rPr>
              <w:t xml:space="preserve">Ⅲ </w:t>
            </w:r>
            <w:r>
              <w:rPr>
                <w:rFonts w:ascii="Times New Roman" w:hAnsi="Times New Roman"/>
                <w:b/>
                <w:kern w:val="0"/>
                <w:sz w:val="21"/>
                <w:szCs w:val="21"/>
              </w:rPr>
              <w:t>类标准</w:t>
            </w:r>
          </w:p>
        </w:tc>
      </w:tr>
      <w:tr w:rsidR="009C353B" w14:paraId="74BE26AC" w14:textId="77777777">
        <w:trPr>
          <w:trHeight w:val="340"/>
          <w:tblHeader/>
          <w:jc w:val="center"/>
        </w:trPr>
        <w:tc>
          <w:tcPr>
            <w:tcW w:w="1163" w:type="pct"/>
            <w:shd w:val="clear" w:color="auto" w:fill="auto"/>
            <w:noWrap/>
            <w:vAlign w:val="center"/>
          </w:tcPr>
          <w:p w14:paraId="30728570" w14:textId="77777777" w:rsidR="009C353B" w:rsidRDefault="00000000">
            <w:pPr>
              <w:widowControl/>
              <w:jc w:val="center"/>
              <w:rPr>
                <w:rFonts w:ascii="Times New Roman" w:hAnsi="Times New Roman"/>
                <w:b/>
                <w:kern w:val="0"/>
                <w:sz w:val="21"/>
                <w:szCs w:val="21"/>
              </w:rPr>
            </w:pPr>
            <w:r>
              <w:rPr>
                <w:rFonts w:ascii="Times New Roman" w:hAnsi="Times New Roman" w:hint="eastAsia"/>
                <w:b/>
                <w:kern w:val="0"/>
                <w:sz w:val="21"/>
                <w:szCs w:val="21"/>
              </w:rPr>
              <w:t>采测</w:t>
            </w:r>
            <w:r>
              <w:rPr>
                <w:rFonts w:ascii="Times New Roman" w:hAnsi="Times New Roman"/>
                <w:b/>
                <w:kern w:val="0"/>
                <w:sz w:val="21"/>
                <w:szCs w:val="21"/>
              </w:rPr>
              <w:t>时间</w:t>
            </w:r>
          </w:p>
        </w:tc>
        <w:tc>
          <w:tcPr>
            <w:tcW w:w="450" w:type="pct"/>
            <w:shd w:val="clear" w:color="auto" w:fill="auto"/>
            <w:noWrap/>
            <w:vAlign w:val="center"/>
          </w:tcPr>
          <w:p w14:paraId="3475E78A" w14:textId="77777777" w:rsidR="009C353B" w:rsidRDefault="00000000">
            <w:pPr>
              <w:widowControl/>
              <w:jc w:val="center"/>
              <w:rPr>
                <w:rFonts w:ascii="Times New Roman" w:hAnsi="Times New Roman"/>
                <w:b/>
                <w:kern w:val="0"/>
                <w:sz w:val="21"/>
                <w:szCs w:val="21"/>
              </w:rPr>
            </w:pPr>
            <w:r>
              <w:rPr>
                <w:rFonts w:ascii="Times New Roman" w:hAnsi="Times New Roman"/>
                <w:b/>
                <w:kern w:val="0"/>
                <w:sz w:val="21"/>
                <w:szCs w:val="21"/>
              </w:rPr>
              <w:t>2020/1/3</w:t>
            </w:r>
          </w:p>
        </w:tc>
        <w:tc>
          <w:tcPr>
            <w:tcW w:w="450" w:type="pct"/>
            <w:shd w:val="clear" w:color="auto" w:fill="auto"/>
            <w:noWrap/>
            <w:vAlign w:val="center"/>
          </w:tcPr>
          <w:p w14:paraId="2A406869" w14:textId="77777777" w:rsidR="009C353B" w:rsidRDefault="00000000">
            <w:pPr>
              <w:widowControl/>
              <w:jc w:val="center"/>
              <w:rPr>
                <w:rFonts w:ascii="Times New Roman" w:hAnsi="Times New Roman"/>
                <w:b/>
                <w:kern w:val="0"/>
                <w:sz w:val="21"/>
                <w:szCs w:val="21"/>
              </w:rPr>
            </w:pPr>
            <w:r>
              <w:rPr>
                <w:rFonts w:ascii="Times New Roman" w:hAnsi="Times New Roman"/>
                <w:b/>
                <w:kern w:val="0"/>
                <w:sz w:val="21"/>
                <w:szCs w:val="21"/>
              </w:rPr>
              <w:t>2020/2/2</w:t>
            </w:r>
          </w:p>
        </w:tc>
        <w:tc>
          <w:tcPr>
            <w:tcW w:w="499" w:type="pct"/>
            <w:shd w:val="clear" w:color="auto" w:fill="auto"/>
            <w:noWrap/>
            <w:vAlign w:val="center"/>
          </w:tcPr>
          <w:p w14:paraId="03F23E5E" w14:textId="77777777" w:rsidR="009C353B" w:rsidRDefault="00000000">
            <w:pPr>
              <w:widowControl/>
              <w:jc w:val="center"/>
              <w:rPr>
                <w:rFonts w:ascii="Times New Roman" w:hAnsi="Times New Roman"/>
                <w:b/>
                <w:kern w:val="0"/>
                <w:sz w:val="21"/>
                <w:szCs w:val="21"/>
              </w:rPr>
            </w:pPr>
            <w:r>
              <w:rPr>
                <w:rFonts w:ascii="Times New Roman" w:hAnsi="Times New Roman"/>
                <w:b/>
                <w:kern w:val="0"/>
                <w:sz w:val="21"/>
                <w:szCs w:val="21"/>
              </w:rPr>
              <w:t>2020/3/10</w:t>
            </w:r>
          </w:p>
        </w:tc>
        <w:tc>
          <w:tcPr>
            <w:tcW w:w="450" w:type="pct"/>
            <w:shd w:val="clear" w:color="auto" w:fill="auto"/>
            <w:noWrap/>
            <w:vAlign w:val="center"/>
          </w:tcPr>
          <w:p w14:paraId="7F4F54CA" w14:textId="77777777" w:rsidR="009C353B" w:rsidRDefault="00000000">
            <w:pPr>
              <w:widowControl/>
              <w:jc w:val="center"/>
              <w:rPr>
                <w:rFonts w:ascii="Times New Roman" w:hAnsi="Times New Roman"/>
                <w:b/>
                <w:kern w:val="0"/>
                <w:sz w:val="21"/>
                <w:szCs w:val="21"/>
              </w:rPr>
            </w:pPr>
            <w:r>
              <w:rPr>
                <w:rFonts w:ascii="Times New Roman" w:hAnsi="Times New Roman"/>
                <w:b/>
                <w:kern w:val="0"/>
                <w:sz w:val="21"/>
                <w:szCs w:val="21"/>
              </w:rPr>
              <w:t>2020/4/9</w:t>
            </w:r>
          </w:p>
        </w:tc>
        <w:tc>
          <w:tcPr>
            <w:tcW w:w="1041" w:type="pct"/>
            <w:vMerge/>
            <w:vAlign w:val="center"/>
          </w:tcPr>
          <w:p w14:paraId="2174D5E0" w14:textId="77777777" w:rsidR="009C353B" w:rsidRDefault="009C353B">
            <w:pPr>
              <w:jc w:val="center"/>
              <w:rPr>
                <w:rFonts w:ascii="Times New Roman" w:hAnsi="Times New Roman"/>
                <w:b/>
                <w:kern w:val="0"/>
                <w:sz w:val="21"/>
                <w:szCs w:val="21"/>
              </w:rPr>
            </w:pPr>
          </w:p>
        </w:tc>
        <w:tc>
          <w:tcPr>
            <w:tcW w:w="459" w:type="pct"/>
            <w:vMerge/>
            <w:vAlign w:val="center"/>
          </w:tcPr>
          <w:p w14:paraId="1A3DBC08" w14:textId="77777777" w:rsidR="009C353B" w:rsidRDefault="009C353B">
            <w:pPr>
              <w:jc w:val="center"/>
              <w:rPr>
                <w:rFonts w:ascii="Times New Roman" w:hAnsi="Times New Roman"/>
                <w:b/>
                <w:kern w:val="0"/>
                <w:sz w:val="21"/>
                <w:szCs w:val="21"/>
              </w:rPr>
            </w:pPr>
          </w:p>
        </w:tc>
        <w:tc>
          <w:tcPr>
            <w:tcW w:w="489" w:type="pct"/>
            <w:vMerge/>
            <w:shd w:val="clear" w:color="auto" w:fill="auto"/>
            <w:noWrap/>
            <w:vAlign w:val="center"/>
          </w:tcPr>
          <w:p w14:paraId="4D634796" w14:textId="77777777" w:rsidR="009C353B" w:rsidRDefault="009C353B">
            <w:pPr>
              <w:jc w:val="center"/>
              <w:rPr>
                <w:rFonts w:ascii="Times New Roman" w:hAnsi="Times New Roman"/>
                <w:b/>
                <w:kern w:val="0"/>
                <w:sz w:val="21"/>
                <w:szCs w:val="21"/>
              </w:rPr>
            </w:pPr>
          </w:p>
        </w:tc>
      </w:tr>
      <w:tr w:rsidR="009C353B" w14:paraId="11195FC6" w14:textId="77777777">
        <w:trPr>
          <w:cantSplit/>
          <w:trHeight w:val="340"/>
          <w:jc w:val="center"/>
        </w:trPr>
        <w:tc>
          <w:tcPr>
            <w:tcW w:w="1163" w:type="pct"/>
            <w:shd w:val="clear" w:color="auto" w:fill="auto"/>
            <w:noWrap/>
            <w:vAlign w:val="center"/>
          </w:tcPr>
          <w:p w14:paraId="3DDE84E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电导率</w:t>
            </w:r>
            <w:r>
              <w:rPr>
                <w:rFonts w:ascii="Times New Roman" w:hAnsi="Times New Roman"/>
                <w:kern w:val="0"/>
                <w:sz w:val="21"/>
                <w:szCs w:val="21"/>
              </w:rPr>
              <w:t>(ms/m)</w:t>
            </w:r>
          </w:p>
        </w:tc>
        <w:tc>
          <w:tcPr>
            <w:tcW w:w="450" w:type="pct"/>
            <w:shd w:val="clear" w:color="auto" w:fill="auto"/>
            <w:noWrap/>
            <w:vAlign w:val="center"/>
          </w:tcPr>
          <w:p w14:paraId="1C9C70E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86.2</w:t>
            </w:r>
          </w:p>
        </w:tc>
        <w:tc>
          <w:tcPr>
            <w:tcW w:w="450" w:type="pct"/>
            <w:shd w:val="clear" w:color="auto" w:fill="auto"/>
            <w:noWrap/>
            <w:vAlign w:val="center"/>
          </w:tcPr>
          <w:p w14:paraId="38A3F42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89.2</w:t>
            </w:r>
          </w:p>
        </w:tc>
        <w:tc>
          <w:tcPr>
            <w:tcW w:w="499" w:type="pct"/>
            <w:shd w:val="clear" w:color="auto" w:fill="auto"/>
            <w:noWrap/>
            <w:vAlign w:val="center"/>
          </w:tcPr>
          <w:p w14:paraId="04D9884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98.6</w:t>
            </w:r>
          </w:p>
        </w:tc>
        <w:tc>
          <w:tcPr>
            <w:tcW w:w="450" w:type="pct"/>
            <w:shd w:val="clear" w:color="auto" w:fill="auto"/>
            <w:noWrap/>
            <w:vAlign w:val="center"/>
          </w:tcPr>
          <w:p w14:paraId="284CFF8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81.3</w:t>
            </w:r>
          </w:p>
        </w:tc>
        <w:tc>
          <w:tcPr>
            <w:tcW w:w="1041" w:type="pct"/>
            <w:vAlign w:val="center"/>
          </w:tcPr>
          <w:p w14:paraId="2CF3B6AF"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c>
          <w:tcPr>
            <w:tcW w:w="459" w:type="pct"/>
            <w:vAlign w:val="center"/>
          </w:tcPr>
          <w:p w14:paraId="1CB42CD8"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c>
          <w:tcPr>
            <w:tcW w:w="489" w:type="pct"/>
            <w:shd w:val="clear" w:color="auto" w:fill="auto"/>
            <w:noWrap/>
            <w:vAlign w:val="center"/>
          </w:tcPr>
          <w:p w14:paraId="47292912"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r>
      <w:tr w:rsidR="009C353B" w14:paraId="39029552" w14:textId="77777777">
        <w:trPr>
          <w:cantSplit/>
          <w:trHeight w:val="340"/>
          <w:jc w:val="center"/>
        </w:trPr>
        <w:tc>
          <w:tcPr>
            <w:tcW w:w="1163" w:type="pct"/>
            <w:shd w:val="clear" w:color="auto" w:fill="auto"/>
            <w:noWrap/>
            <w:vAlign w:val="center"/>
          </w:tcPr>
          <w:p w14:paraId="157BE64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水温</w:t>
            </w:r>
            <w:r>
              <w:rPr>
                <w:rFonts w:ascii="Times New Roman" w:hAnsi="Times New Roman"/>
                <w:kern w:val="0"/>
                <w:sz w:val="21"/>
                <w:szCs w:val="21"/>
              </w:rPr>
              <w:t>(℃)</w:t>
            </w:r>
          </w:p>
        </w:tc>
        <w:tc>
          <w:tcPr>
            <w:tcW w:w="450" w:type="pct"/>
            <w:shd w:val="clear" w:color="auto" w:fill="auto"/>
            <w:noWrap/>
            <w:vAlign w:val="center"/>
          </w:tcPr>
          <w:p w14:paraId="4D3EFAB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0.3</w:t>
            </w:r>
          </w:p>
        </w:tc>
        <w:tc>
          <w:tcPr>
            <w:tcW w:w="450" w:type="pct"/>
            <w:shd w:val="clear" w:color="auto" w:fill="auto"/>
            <w:noWrap/>
            <w:vAlign w:val="center"/>
          </w:tcPr>
          <w:p w14:paraId="04259AD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c>
          <w:tcPr>
            <w:tcW w:w="499" w:type="pct"/>
            <w:shd w:val="clear" w:color="auto" w:fill="auto"/>
            <w:noWrap/>
            <w:vAlign w:val="center"/>
          </w:tcPr>
          <w:p w14:paraId="31B2322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7.5</w:t>
            </w:r>
          </w:p>
        </w:tc>
        <w:tc>
          <w:tcPr>
            <w:tcW w:w="450" w:type="pct"/>
            <w:shd w:val="clear" w:color="auto" w:fill="auto"/>
            <w:noWrap/>
            <w:vAlign w:val="center"/>
          </w:tcPr>
          <w:p w14:paraId="1C3BBCC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13.3</w:t>
            </w:r>
          </w:p>
        </w:tc>
        <w:tc>
          <w:tcPr>
            <w:tcW w:w="1041" w:type="pct"/>
            <w:vAlign w:val="center"/>
          </w:tcPr>
          <w:p w14:paraId="3AC6866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459" w:type="pct"/>
            <w:vAlign w:val="center"/>
          </w:tcPr>
          <w:p w14:paraId="6D1FAC6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489" w:type="pct"/>
            <w:shd w:val="clear" w:color="auto" w:fill="auto"/>
            <w:noWrap/>
            <w:vAlign w:val="center"/>
          </w:tcPr>
          <w:p w14:paraId="7326F7F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r>
      <w:tr w:rsidR="009C353B" w14:paraId="0D02844D" w14:textId="77777777">
        <w:trPr>
          <w:cantSplit/>
          <w:trHeight w:val="340"/>
          <w:jc w:val="center"/>
        </w:trPr>
        <w:tc>
          <w:tcPr>
            <w:tcW w:w="1163" w:type="pct"/>
            <w:shd w:val="clear" w:color="auto" w:fill="auto"/>
            <w:noWrap/>
            <w:vAlign w:val="center"/>
          </w:tcPr>
          <w:p w14:paraId="33272A4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pH</w:t>
            </w:r>
            <w:r>
              <w:rPr>
                <w:rFonts w:ascii="Times New Roman" w:hAnsi="Times New Roman"/>
                <w:kern w:val="0"/>
                <w:sz w:val="21"/>
                <w:szCs w:val="21"/>
              </w:rPr>
              <w:t>值</w:t>
            </w:r>
          </w:p>
        </w:tc>
        <w:tc>
          <w:tcPr>
            <w:tcW w:w="450" w:type="pct"/>
            <w:shd w:val="clear" w:color="auto" w:fill="auto"/>
            <w:noWrap/>
            <w:vAlign w:val="center"/>
          </w:tcPr>
          <w:p w14:paraId="008CD3B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8.91</w:t>
            </w:r>
          </w:p>
        </w:tc>
        <w:tc>
          <w:tcPr>
            <w:tcW w:w="450" w:type="pct"/>
            <w:shd w:val="clear" w:color="auto" w:fill="auto"/>
            <w:noWrap/>
            <w:vAlign w:val="center"/>
          </w:tcPr>
          <w:p w14:paraId="35A1B2C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8.08</w:t>
            </w:r>
          </w:p>
        </w:tc>
        <w:tc>
          <w:tcPr>
            <w:tcW w:w="499" w:type="pct"/>
            <w:shd w:val="clear" w:color="auto" w:fill="auto"/>
            <w:noWrap/>
            <w:vAlign w:val="center"/>
          </w:tcPr>
          <w:p w14:paraId="1754136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8.19</w:t>
            </w:r>
          </w:p>
        </w:tc>
        <w:tc>
          <w:tcPr>
            <w:tcW w:w="450" w:type="pct"/>
            <w:shd w:val="clear" w:color="auto" w:fill="auto"/>
            <w:noWrap/>
            <w:vAlign w:val="center"/>
          </w:tcPr>
          <w:p w14:paraId="0F7806B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8.36</w:t>
            </w:r>
          </w:p>
        </w:tc>
        <w:tc>
          <w:tcPr>
            <w:tcW w:w="1041" w:type="pct"/>
            <w:vAlign w:val="center"/>
          </w:tcPr>
          <w:p w14:paraId="0AA6873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6~9</w:t>
            </w:r>
          </w:p>
        </w:tc>
        <w:tc>
          <w:tcPr>
            <w:tcW w:w="459" w:type="pct"/>
            <w:vAlign w:val="center"/>
          </w:tcPr>
          <w:p w14:paraId="319D9ED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6~9</w:t>
            </w:r>
          </w:p>
        </w:tc>
        <w:tc>
          <w:tcPr>
            <w:tcW w:w="489" w:type="pct"/>
            <w:shd w:val="clear" w:color="auto" w:fill="auto"/>
            <w:noWrap/>
            <w:vAlign w:val="center"/>
          </w:tcPr>
          <w:p w14:paraId="06E4A7B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6~9</w:t>
            </w:r>
          </w:p>
        </w:tc>
      </w:tr>
      <w:tr w:rsidR="009C353B" w14:paraId="742A9CC5" w14:textId="77777777">
        <w:trPr>
          <w:cantSplit/>
          <w:trHeight w:val="340"/>
          <w:jc w:val="center"/>
        </w:trPr>
        <w:tc>
          <w:tcPr>
            <w:tcW w:w="1163" w:type="pct"/>
            <w:shd w:val="clear" w:color="auto" w:fill="auto"/>
            <w:noWrap/>
            <w:vAlign w:val="center"/>
          </w:tcPr>
          <w:p w14:paraId="349A44A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溶解氧</w:t>
            </w:r>
            <w:r>
              <w:rPr>
                <w:rFonts w:ascii="Times New Roman" w:hAnsi="Times New Roman"/>
                <w:kern w:val="0"/>
                <w:sz w:val="21"/>
                <w:szCs w:val="21"/>
              </w:rPr>
              <w:t>(mg/L)</w:t>
            </w:r>
          </w:p>
        </w:tc>
        <w:tc>
          <w:tcPr>
            <w:tcW w:w="450" w:type="pct"/>
            <w:shd w:val="clear" w:color="auto" w:fill="auto"/>
            <w:noWrap/>
            <w:vAlign w:val="center"/>
          </w:tcPr>
          <w:p w14:paraId="1D47B95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10.4</w:t>
            </w:r>
          </w:p>
        </w:tc>
        <w:tc>
          <w:tcPr>
            <w:tcW w:w="450" w:type="pct"/>
            <w:shd w:val="clear" w:color="auto" w:fill="auto"/>
            <w:noWrap/>
            <w:vAlign w:val="center"/>
          </w:tcPr>
          <w:p w14:paraId="639E2B2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12.8</w:t>
            </w:r>
          </w:p>
        </w:tc>
        <w:tc>
          <w:tcPr>
            <w:tcW w:w="499" w:type="pct"/>
            <w:shd w:val="clear" w:color="auto" w:fill="auto"/>
            <w:noWrap/>
            <w:vAlign w:val="center"/>
          </w:tcPr>
          <w:p w14:paraId="45EB3EC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9.5</w:t>
            </w:r>
          </w:p>
        </w:tc>
        <w:tc>
          <w:tcPr>
            <w:tcW w:w="450" w:type="pct"/>
            <w:shd w:val="clear" w:color="auto" w:fill="auto"/>
            <w:noWrap/>
            <w:vAlign w:val="center"/>
          </w:tcPr>
          <w:p w14:paraId="6CD3510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8.7</w:t>
            </w:r>
          </w:p>
        </w:tc>
        <w:tc>
          <w:tcPr>
            <w:tcW w:w="1041" w:type="pct"/>
            <w:vAlign w:val="center"/>
          </w:tcPr>
          <w:p w14:paraId="01D9188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饱和率</w:t>
            </w:r>
            <w:r>
              <w:rPr>
                <w:rFonts w:ascii="Times New Roman" w:hAnsi="Times New Roman"/>
                <w:kern w:val="0"/>
                <w:sz w:val="21"/>
                <w:szCs w:val="21"/>
              </w:rPr>
              <w:t>90%</w:t>
            </w:r>
            <w:r>
              <w:rPr>
                <w:rFonts w:ascii="Times New Roman" w:hAnsi="Times New Roman"/>
                <w:kern w:val="0"/>
                <w:sz w:val="21"/>
                <w:szCs w:val="21"/>
              </w:rPr>
              <w:t>（或</w:t>
            </w:r>
            <w:r>
              <w:rPr>
                <w:rFonts w:ascii="Times New Roman" w:hAnsi="Times New Roman"/>
                <w:kern w:val="0"/>
                <w:sz w:val="21"/>
                <w:szCs w:val="21"/>
              </w:rPr>
              <w:t>7.5</w:t>
            </w:r>
            <w:r>
              <w:rPr>
                <w:rFonts w:ascii="Times New Roman" w:hAnsi="Times New Roman"/>
                <w:kern w:val="0"/>
                <w:sz w:val="21"/>
                <w:szCs w:val="21"/>
              </w:rPr>
              <w:t>）</w:t>
            </w:r>
          </w:p>
        </w:tc>
        <w:tc>
          <w:tcPr>
            <w:tcW w:w="459" w:type="pct"/>
            <w:vAlign w:val="center"/>
          </w:tcPr>
          <w:p w14:paraId="008E742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w:t>
            </w:r>
          </w:p>
        </w:tc>
        <w:tc>
          <w:tcPr>
            <w:tcW w:w="489" w:type="pct"/>
            <w:shd w:val="clear" w:color="auto" w:fill="auto"/>
            <w:noWrap/>
            <w:vAlign w:val="center"/>
          </w:tcPr>
          <w:p w14:paraId="740B64E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w:t>
            </w:r>
          </w:p>
        </w:tc>
      </w:tr>
      <w:tr w:rsidR="009C353B" w14:paraId="14DDB200" w14:textId="77777777">
        <w:trPr>
          <w:cantSplit/>
          <w:trHeight w:val="340"/>
          <w:jc w:val="center"/>
        </w:trPr>
        <w:tc>
          <w:tcPr>
            <w:tcW w:w="1163" w:type="pct"/>
            <w:shd w:val="clear" w:color="auto" w:fill="auto"/>
            <w:noWrap/>
            <w:vAlign w:val="center"/>
          </w:tcPr>
          <w:p w14:paraId="21CD1AD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透明度</w:t>
            </w:r>
            <w:r>
              <w:rPr>
                <w:rFonts w:ascii="Times New Roman" w:hAnsi="Times New Roman"/>
                <w:kern w:val="0"/>
                <w:sz w:val="21"/>
                <w:szCs w:val="21"/>
              </w:rPr>
              <w:t>(cm)</w:t>
            </w:r>
          </w:p>
        </w:tc>
        <w:tc>
          <w:tcPr>
            <w:tcW w:w="450" w:type="pct"/>
            <w:shd w:val="clear" w:color="auto" w:fill="auto"/>
            <w:noWrap/>
            <w:vAlign w:val="center"/>
          </w:tcPr>
          <w:p w14:paraId="548B8BE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50</w:t>
            </w:r>
          </w:p>
        </w:tc>
        <w:tc>
          <w:tcPr>
            <w:tcW w:w="450" w:type="pct"/>
            <w:shd w:val="clear" w:color="auto" w:fill="auto"/>
            <w:noWrap/>
            <w:vAlign w:val="center"/>
          </w:tcPr>
          <w:p w14:paraId="08825EE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50</w:t>
            </w:r>
          </w:p>
        </w:tc>
        <w:tc>
          <w:tcPr>
            <w:tcW w:w="499" w:type="pct"/>
            <w:shd w:val="clear" w:color="auto" w:fill="auto"/>
            <w:noWrap/>
            <w:vAlign w:val="center"/>
          </w:tcPr>
          <w:p w14:paraId="0C7EA84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145</w:t>
            </w:r>
          </w:p>
        </w:tc>
        <w:tc>
          <w:tcPr>
            <w:tcW w:w="450" w:type="pct"/>
            <w:shd w:val="clear" w:color="auto" w:fill="auto"/>
            <w:noWrap/>
            <w:vAlign w:val="center"/>
          </w:tcPr>
          <w:p w14:paraId="720B14D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130</w:t>
            </w:r>
          </w:p>
        </w:tc>
        <w:tc>
          <w:tcPr>
            <w:tcW w:w="1041" w:type="pct"/>
            <w:vAlign w:val="center"/>
          </w:tcPr>
          <w:p w14:paraId="2E2A926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459" w:type="pct"/>
            <w:vAlign w:val="center"/>
          </w:tcPr>
          <w:p w14:paraId="323E883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489" w:type="pct"/>
            <w:shd w:val="clear" w:color="auto" w:fill="auto"/>
            <w:noWrap/>
            <w:vAlign w:val="center"/>
          </w:tcPr>
          <w:p w14:paraId="23FBFB2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r>
      <w:tr w:rsidR="009C353B" w14:paraId="259DB051" w14:textId="77777777">
        <w:trPr>
          <w:cantSplit/>
          <w:trHeight w:val="340"/>
          <w:jc w:val="center"/>
        </w:trPr>
        <w:tc>
          <w:tcPr>
            <w:tcW w:w="1163" w:type="pct"/>
            <w:shd w:val="clear" w:color="auto" w:fill="auto"/>
            <w:noWrap/>
            <w:vAlign w:val="center"/>
          </w:tcPr>
          <w:p w14:paraId="1802666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 Mn(mg/L)</w:t>
            </w:r>
          </w:p>
        </w:tc>
        <w:tc>
          <w:tcPr>
            <w:tcW w:w="450" w:type="pct"/>
            <w:shd w:val="clear" w:color="auto" w:fill="auto"/>
            <w:noWrap/>
            <w:vAlign w:val="center"/>
          </w:tcPr>
          <w:p w14:paraId="2F1EF39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1.9</w:t>
            </w:r>
          </w:p>
        </w:tc>
        <w:tc>
          <w:tcPr>
            <w:tcW w:w="450" w:type="pct"/>
            <w:shd w:val="clear" w:color="auto" w:fill="auto"/>
            <w:noWrap/>
            <w:vAlign w:val="center"/>
          </w:tcPr>
          <w:p w14:paraId="51743CA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2.8</w:t>
            </w:r>
          </w:p>
        </w:tc>
        <w:tc>
          <w:tcPr>
            <w:tcW w:w="499" w:type="pct"/>
            <w:shd w:val="clear" w:color="auto" w:fill="auto"/>
            <w:noWrap/>
            <w:vAlign w:val="center"/>
          </w:tcPr>
          <w:p w14:paraId="7347A71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2.3</w:t>
            </w:r>
          </w:p>
        </w:tc>
        <w:tc>
          <w:tcPr>
            <w:tcW w:w="450" w:type="pct"/>
            <w:shd w:val="clear" w:color="auto" w:fill="auto"/>
            <w:noWrap/>
            <w:vAlign w:val="center"/>
          </w:tcPr>
          <w:p w14:paraId="1EE2D23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w:t>
            </w:r>
          </w:p>
        </w:tc>
        <w:tc>
          <w:tcPr>
            <w:tcW w:w="1041" w:type="pct"/>
            <w:vAlign w:val="center"/>
          </w:tcPr>
          <w:p w14:paraId="7EA730F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w:t>
            </w:r>
          </w:p>
        </w:tc>
        <w:tc>
          <w:tcPr>
            <w:tcW w:w="459" w:type="pct"/>
            <w:vAlign w:val="center"/>
          </w:tcPr>
          <w:p w14:paraId="6F0E5B4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w:t>
            </w:r>
          </w:p>
        </w:tc>
        <w:tc>
          <w:tcPr>
            <w:tcW w:w="489" w:type="pct"/>
            <w:shd w:val="clear" w:color="auto" w:fill="auto"/>
            <w:noWrap/>
            <w:vAlign w:val="center"/>
          </w:tcPr>
          <w:p w14:paraId="14D0B43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w:t>
            </w:r>
          </w:p>
        </w:tc>
      </w:tr>
      <w:tr w:rsidR="009C353B" w14:paraId="15E768C4" w14:textId="77777777">
        <w:trPr>
          <w:cantSplit/>
          <w:trHeight w:val="340"/>
          <w:jc w:val="center"/>
        </w:trPr>
        <w:tc>
          <w:tcPr>
            <w:tcW w:w="1163" w:type="pct"/>
            <w:shd w:val="clear" w:color="auto" w:fill="auto"/>
            <w:noWrap/>
            <w:vAlign w:val="center"/>
          </w:tcPr>
          <w:p w14:paraId="2D81D83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 Cr(mg/L)</w:t>
            </w:r>
          </w:p>
        </w:tc>
        <w:tc>
          <w:tcPr>
            <w:tcW w:w="450" w:type="pct"/>
            <w:shd w:val="clear" w:color="auto" w:fill="auto"/>
            <w:noWrap/>
            <w:vAlign w:val="center"/>
          </w:tcPr>
          <w:p w14:paraId="69505FB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w:t>
            </w:r>
          </w:p>
        </w:tc>
        <w:tc>
          <w:tcPr>
            <w:tcW w:w="450" w:type="pct"/>
            <w:shd w:val="clear" w:color="auto" w:fill="auto"/>
            <w:noWrap/>
            <w:vAlign w:val="center"/>
          </w:tcPr>
          <w:p w14:paraId="4B74CFF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w:t>
            </w:r>
          </w:p>
        </w:tc>
        <w:tc>
          <w:tcPr>
            <w:tcW w:w="499" w:type="pct"/>
            <w:shd w:val="clear" w:color="auto" w:fill="auto"/>
            <w:noWrap/>
            <w:vAlign w:val="center"/>
          </w:tcPr>
          <w:p w14:paraId="5B5BF4F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p>
        </w:tc>
        <w:tc>
          <w:tcPr>
            <w:tcW w:w="450" w:type="pct"/>
            <w:shd w:val="clear" w:color="auto" w:fill="auto"/>
            <w:noWrap/>
            <w:vAlign w:val="center"/>
          </w:tcPr>
          <w:p w14:paraId="71D0F88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w:t>
            </w:r>
          </w:p>
        </w:tc>
        <w:tc>
          <w:tcPr>
            <w:tcW w:w="1041" w:type="pct"/>
            <w:vAlign w:val="center"/>
          </w:tcPr>
          <w:p w14:paraId="78DB1C3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c>
          <w:tcPr>
            <w:tcW w:w="459" w:type="pct"/>
            <w:vAlign w:val="center"/>
          </w:tcPr>
          <w:p w14:paraId="08D7889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c>
          <w:tcPr>
            <w:tcW w:w="489" w:type="pct"/>
            <w:shd w:val="clear" w:color="auto" w:fill="auto"/>
            <w:noWrap/>
            <w:vAlign w:val="center"/>
          </w:tcPr>
          <w:p w14:paraId="4F9EB08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w:t>
            </w:r>
          </w:p>
        </w:tc>
      </w:tr>
      <w:tr w:rsidR="009C353B" w14:paraId="501470AE" w14:textId="77777777">
        <w:trPr>
          <w:cantSplit/>
          <w:trHeight w:val="340"/>
          <w:jc w:val="center"/>
        </w:trPr>
        <w:tc>
          <w:tcPr>
            <w:tcW w:w="1163" w:type="pct"/>
            <w:shd w:val="clear" w:color="auto" w:fill="auto"/>
            <w:noWrap/>
            <w:vAlign w:val="center"/>
          </w:tcPr>
          <w:p w14:paraId="69AAD76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氨氮</w:t>
            </w:r>
            <w:r>
              <w:rPr>
                <w:rFonts w:ascii="Times New Roman" w:hAnsi="Times New Roman"/>
                <w:kern w:val="0"/>
                <w:sz w:val="21"/>
                <w:szCs w:val="21"/>
              </w:rPr>
              <w:t>(mg/L)</w:t>
            </w:r>
          </w:p>
        </w:tc>
        <w:tc>
          <w:tcPr>
            <w:tcW w:w="450" w:type="pct"/>
            <w:shd w:val="clear" w:color="auto" w:fill="auto"/>
            <w:noWrap/>
            <w:vAlign w:val="center"/>
          </w:tcPr>
          <w:p w14:paraId="5A159C9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0.04</w:t>
            </w:r>
          </w:p>
        </w:tc>
        <w:tc>
          <w:tcPr>
            <w:tcW w:w="450" w:type="pct"/>
            <w:shd w:val="clear" w:color="auto" w:fill="auto"/>
            <w:noWrap/>
            <w:vAlign w:val="center"/>
          </w:tcPr>
          <w:p w14:paraId="0A24824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0.04</w:t>
            </w:r>
          </w:p>
        </w:tc>
        <w:tc>
          <w:tcPr>
            <w:tcW w:w="499" w:type="pct"/>
            <w:shd w:val="clear" w:color="auto" w:fill="auto"/>
            <w:noWrap/>
            <w:vAlign w:val="center"/>
          </w:tcPr>
          <w:p w14:paraId="35A7A81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w:t>
            </w:r>
          </w:p>
        </w:tc>
        <w:tc>
          <w:tcPr>
            <w:tcW w:w="450" w:type="pct"/>
            <w:shd w:val="clear" w:color="auto" w:fill="auto"/>
            <w:noWrap/>
            <w:vAlign w:val="center"/>
          </w:tcPr>
          <w:p w14:paraId="7BE7D48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0.14</w:t>
            </w:r>
          </w:p>
        </w:tc>
        <w:tc>
          <w:tcPr>
            <w:tcW w:w="1041" w:type="pct"/>
            <w:vAlign w:val="center"/>
          </w:tcPr>
          <w:p w14:paraId="07D0B03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0.15</w:t>
            </w:r>
          </w:p>
        </w:tc>
        <w:tc>
          <w:tcPr>
            <w:tcW w:w="459" w:type="pct"/>
            <w:vAlign w:val="center"/>
          </w:tcPr>
          <w:p w14:paraId="6C04BC9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0.5</w:t>
            </w:r>
          </w:p>
        </w:tc>
        <w:tc>
          <w:tcPr>
            <w:tcW w:w="489" w:type="pct"/>
            <w:shd w:val="clear" w:color="auto" w:fill="auto"/>
            <w:noWrap/>
            <w:vAlign w:val="center"/>
          </w:tcPr>
          <w:p w14:paraId="0CC3D6C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r>
      <w:tr w:rsidR="009C353B" w14:paraId="48588302" w14:textId="77777777">
        <w:trPr>
          <w:cantSplit/>
          <w:trHeight w:val="340"/>
          <w:jc w:val="center"/>
        </w:trPr>
        <w:tc>
          <w:tcPr>
            <w:tcW w:w="1163" w:type="pct"/>
            <w:shd w:val="clear" w:color="auto" w:fill="auto"/>
            <w:noWrap/>
            <w:vAlign w:val="center"/>
          </w:tcPr>
          <w:p w14:paraId="3B33A6D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总磷</w:t>
            </w:r>
            <w:r>
              <w:rPr>
                <w:rFonts w:ascii="Times New Roman" w:hAnsi="Times New Roman"/>
                <w:kern w:val="0"/>
                <w:sz w:val="21"/>
                <w:szCs w:val="21"/>
              </w:rPr>
              <w:t>(mg/L)</w:t>
            </w:r>
          </w:p>
        </w:tc>
        <w:tc>
          <w:tcPr>
            <w:tcW w:w="450" w:type="pct"/>
            <w:shd w:val="clear" w:color="auto" w:fill="auto"/>
            <w:noWrap/>
            <w:vAlign w:val="center"/>
          </w:tcPr>
          <w:p w14:paraId="47955C7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450" w:type="pct"/>
            <w:shd w:val="clear" w:color="auto" w:fill="auto"/>
            <w:noWrap/>
            <w:vAlign w:val="center"/>
          </w:tcPr>
          <w:p w14:paraId="4808A4C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0.013</w:t>
            </w:r>
          </w:p>
        </w:tc>
        <w:tc>
          <w:tcPr>
            <w:tcW w:w="499" w:type="pct"/>
            <w:shd w:val="clear" w:color="auto" w:fill="auto"/>
            <w:noWrap/>
            <w:vAlign w:val="center"/>
          </w:tcPr>
          <w:p w14:paraId="0EA57F6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450" w:type="pct"/>
            <w:shd w:val="clear" w:color="auto" w:fill="auto"/>
            <w:noWrap/>
            <w:vAlign w:val="center"/>
          </w:tcPr>
          <w:p w14:paraId="7E15F6A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0.04</w:t>
            </w:r>
          </w:p>
        </w:tc>
        <w:tc>
          <w:tcPr>
            <w:tcW w:w="1041" w:type="pct"/>
            <w:vAlign w:val="center"/>
          </w:tcPr>
          <w:p w14:paraId="2BA422C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c>
          <w:tcPr>
            <w:tcW w:w="459" w:type="pct"/>
            <w:vAlign w:val="center"/>
          </w:tcPr>
          <w:p w14:paraId="52D742D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0.025</w:t>
            </w:r>
          </w:p>
        </w:tc>
        <w:tc>
          <w:tcPr>
            <w:tcW w:w="489" w:type="pct"/>
            <w:shd w:val="clear" w:color="auto" w:fill="auto"/>
            <w:noWrap/>
            <w:vAlign w:val="center"/>
          </w:tcPr>
          <w:p w14:paraId="272B6F4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r>
      <w:tr w:rsidR="009C353B" w14:paraId="25C55F8D" w14:textId="77777777">
        <w:trPr>
          <w:cantSplit/>
          <w:trHeight w:val="340"/>
          <w:jc w:val="center"/>
        </w:trPr>
        <w:tc>
          <w:tcPr>
            <w:tcW w:w="1163" w:type="pct"/>
            <w:shd w:val="clear" w:color="auto" w:fill="auto"/>
            <w:noWrap/>
            <w:vAlign w:val="center"/>
          </w:tcPr>
          <w:p w14:paraId="06A6AE8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总氮</w:t>
            </w:r>
            <w:r>
              <w:rPr>
                <w:rFonts w:ascii="Times New Roman" w:hAnsi="Times New Roman"/>
                <w:kern w:val="0"/>
                <w:sz w:val="21"/>
                <w:szCs w:val="21"/>
              </w:rPr>
              <w:t>(mg/L)</w:t>
            </w:r>
          </w:p>
        </w:tc>
        <w:tc>
          <w:tcPr>
            <w:tcW w:w="450" w:type="pct"/>
            <w:shd w:val="clear" w:color="auto" w:fill="auto"/>
            <w:noWrap/>
            <w:vAlign w:val="center"/>
          </w:tcPr>
          <w:p w14:paraId="43816F58"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2.36</w:t>
            </w:r>
          </w:p>
        </w:tc>
        <w:tc>
          <w:tcPr>
            <w:tcW w:w="450" w:type="pct"/>
            <w:shd w:val="clear" w:color="auto" w:fill="auto"/>
            <w:noWrap/>
            <w:vAlign w:val="center"/>
          </w:tcPr>
          <w:p w14:paraId="57994CB2"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2.93</w:t>
            </w:r>
          </w:p>
        </w:tc>
        <w:tc>
          <w:tcPr>
            <w:tcW w:w="499" w:type="pct"/>
            <w:shd w:val="clear" w:color="auto" w:fill="auto"/>
            <w:noWrap/>
            <w:vAlign w:val="center"/>
          </w:tcPr>
          <w:p w14:paraId="2F203EAD"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2.35</w:t>
            </w:r>
          </w:p>
        </w:tc>
        <w:tc>
          <w:tcPr>
            <w:tcW w:w="450" w:type="pct"/>
            <w:shd w:val="clear" w:color="auto" w:fill="auto"/>
            <w:noWrap/>
            <w:vAlign w:val="center"/>
          </w:tcPr>
          <w:p w14:paraId="03114FEA"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2.6</w:t>
            </w:r>
          </w:p>
        </w:tc>
        <w:tc>
          <w:tcPr>
            <w:tcW w:w="1041" w:type="pct"/>
            <w:vAlign w:val="center"/>
          </w:tcPr>
          <w:p w14:paraId="4A33680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w:t>
            </w:r>
          </w:p>
        </w:tc>
        <w:tc>
          <w:tcPr>
            <w:tcW w:w="459" w:type="pct"/>
            <w:vAlign w:val="center"/>
          </w:tcPr>
          <w:p w14:paraId="312B7C5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0.5</w:t>
            </w:r>
          </w:p>
        </w:tc>
        <w:tc>
          <w:tcPr>
            <w:tcW w:w="489" w:type="pct"/>
            <w:shd w:val="clear" w:color="auto" w:fill="auto"/>
            <w:noWrap/>
            <w:vAlign w:val="center"/>
          </w:tcPr>
          <w:p w14:paraId="6C4ECAC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p>
        </w:tc>
      </w:tr>
      <w:tr w:rsidR="009C353B" w14:paraId="4648F41B" w14:textId="77777777">
        <w:trPr>
          <w:cantSplit/>
          <w:trHeight w:val="340"/>
          <w:jc w:val="center"/>
        </w:trPr>
        <w:tc>
          <w:tcPr>
            <w:tcW w:w="1163" w:type="pct"/>
            <w:shd w:val="clear" w:color="auto" w:fill="auto"/>
            <w:noWrap/>
            <w:vAlign w:val="center"/>
          </w:tcPr>
          <w:p w14:paraId="1FEF6D6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铜</w:t>
            </w:r>
            <w:r>
              <w:rPr>
                <w:rFonts w:ascii="Times New Roman" w:hAnsi="Times New Roman"/>
                <w:kern w:val="0"/>
                <w:sz w:val="21"/>
                <w:szCs w:val="21"/>
              </w:rPr>
              <w:t>(mg/L)</w:t>
            </w:r>
          </w:p>
        </w:tc>
        <w:tc>
          <w:tcPr>
            <w:tcW w:w="450" w:type="pct"/>
            <w:shd w:val="clear" w:color="auto" w:fill="auto"/>
            <w:noWrap/>
            <w:vAlign w:val="center"/>
          </w:tcPr>
          <w:p w14:paraId="3F45DA3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0.006</w:t>
            </w:r>
          </w:p>
        </w:tc>
        <w:tc>
          <w:tcPr>
            <w:tcW w:w="450" w:type="pct"/>
            <w:shd w:val="clear" w:color="auto" w:fill="auto"/>
            <w:noWrap/>
            <w:vAlign w:val="center"/>
          </w:tcPr>
          <w:p w14:paraId="75D083B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0.006</w:t>
            </w:r>
          </w:p>
        </w:tc>
        <w:tc>
          <w:tcPr>
            <w:tcW w:w="499" w:type="pct"/>
            <w:shd w:val="clear" w:color="auto" w:fill="auto"/>
            <w:noWrap/>
            <w:vAlign w:val="center"/>
          </w:tcPr>
          <w:p w14:paraId="5B59A4E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0.004</w:t>
            </w:r>
          </w:p>
        </w:tc>
        <w:tc>
          <w:tcPr>
            <w:tcW w:w="450" w:type="pct"/>
            <w:shd w:val="clear" w:color="auto" w:fill="auto"/>
            <w:noWrap/>
            <w:vAlign w:val="center"/>
          </w:tcPr>
          <w:p w14:paraId="1917E5F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w:t>
            </w:r>
          </w:p>
        </w:tc>
        <w:tc>
          <w:tcPr>
            <w:tcW w:w="1041" w:type="pct"/>
            <w:vAlign w:val="center"/>
          </w:tcPr>
          <w:p w14:paraId="44DF245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c>
          <w:tcPr>
            <w:tcW w:w="459" w:type="pct"/>
            <w:vAlign w:val="center"/>
          </w:tcPr>
          <w:p w14:paraId="3F81894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p>
        </w:tc>
        <w:tc>
          <w:tcPr>
            <w:tcW w:w="489" w:type="pct"/>
            <w:shd w:val="clear" w:color="auto" w:fill="auto"/>
            <w:noWrap/>
            <w:vAlign w:val="center"/>
          </w:tcPr>
          <w:p w14:paraId="677D203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p>
        </w:tc>
      </w:tr>
      <w:tr w:rsidR="009C353B" w14:paraId="2180A388" w14:textId="77777777">
        <w:trPr>
          <w:cantSplit/>
          <w:trHeight w:val="340"/>
          <w:jc w:val="center"/>
        </w:trPr>
        <w:tc>
          <w:tcPr>
            <w:tcW w:w="1163" w:type="pct"/>
            <w:shd w:val="clear" w:color="auto" w:fill="auto"/>
            <w:noWrap/>
            <w:vAlign w:val="center"/>
          </w:tcPr>
          <w:p w14:paraId="77C996C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锌</w:t>
            </w:r>
            <w:r>
              <w:rPr>
                <w:rFonts w:ascii="Times New Roman" w:hAnsi="Times New Roman"/>
                <w:kern w:val="0"/>
                <w:sz w:val="21"/>
                <w:szCs w:val="21"/>
              </w:rPr>
              <w:t>(mg/L)</w:t>
            </w:r>
          </w:p>
        </w:tc>
        <w:tc>
          <w:tcPr>
            <w:tcW w:w="450" w:type="pct"/>
            <w:shd w:val="clear" w:color="auto" w:fill="auto"/>
            <w:noWrap/>
            <w:vAlign w:val="center"/>
          </w:tcPr>
          <w:p w14:paraId="0BA9805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450" w:type="pct"/>
            <w:shd w:val="clear" w:color="auto" w:fill="auto"/>
            <w:noWrap/>
            <w:vAlign w:val="center"/>
          </w:tcPr>
          <w:p w14:paraId="00AD912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499" w:type="pct"/>
            <w:shd w:val="clear" w:color="auto" w:fill="auto"/>
            <w:noWrap/>
            <w:vAlign w:val="center"/>
          </w:tcPr>
          <w:p w14:paraId="1DA64F3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450" w:type="pct"/>
            <w:shd w:val="clear" w:color="auto" w:fill="auto"/>
            <w:noWrap/>
            <w:vAlign w:val="center"/>
          </w:tcPr>
          <w:p w14:paraId="10391CB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1041" w:type="pct"/>
            <w:vAlign w:val="center"/>
          </w:tcPr>
          <w:p w14:paraId="7A0E640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c>
          <w:tcPr>
            <w:tcW w:w="459" w:type="pct"/>
            <w:vAlign w:val="center"/>
          </w:tcPr>
          <w:p w14:paraId="151FC80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p>
        </w:tc>
        <w:tc>
          <w:tcPr>
            <w:tcW w:w="489" w:type="pct"/>
            <w:shd w:val="clear" w:color="auto" w:fill="auto"/>
            <w:noWrap/>
            <w:vAlign w:val="center"/>
          </w:tcPr>
          <w:p w14:paraId="7F48A8C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p>
        </w:tc>
      </w:tr>
      <w:tr w:rsidR="009C353B" w14:paraId="7E4E37CE" w14:textId="77777777">
        <w:trPr>
          <w:cantSplit/>
          <w:trHeight w:val="340"/>
          <w:jc w:val="center"/>
        </w:trPr>
        <w:tc>
          <w:tcPr>
            <w:tcW w:w="1163" w:type="pct"/>
            <w:shd w:val="clear" w:color="auto" w:fill="auto"/>
            <w:noWrap/>
            <w:vAlign w:val="center"/>
          </w:tcPr>
          <w:p w14:paraId="5F0E50F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铅</w:t>
            </w:r>
            <w:r>
              <w:rPr>
                <w:rFonts w:ascii="Times New Roman" w:hAnsi="Times New Roman"/>
                <w:kern w:val="0"/>
                <w:sz w:val="21"/>
                <w:szCs w:val="21"/>
              </w:rPr>
              <w:t>(mg/L)</w:t>
            </w:r>
          </w:p>
        </w:tc>
        <w:tc>
          <w:tcPr>
            <w:tcW w:w="450" w:type="pct"/>
            <w:shd w:val="clear" w:color="auto" w:fill="auto"/>
            <w:noWrap/>
            <w:vAlign w:val="center"/>
          </w:tcPr>
          <w:p w14:paraId="434565F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0.0003</w:t>
            </w:r>
          </w:p>
        </w:tc>
        <w:tc>
          <w:tcPr>
            <w:tcW w:w="450" w:type="pct"/>
            <w:shd w:val="clear" w:color="auto" w:fill="auto"/>
            <w:noWrap/>
            <w:vAlign w:val="center"/>
          </w:tcPr>
          <w:p w14:paraId="58661BE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0.0003</w:t>
            </w:r>
          </w:p>
        </w:tc>
        <w:tc>
          <w:tcPr>
            <w:tcW w:w="499" w:type="pct"/>
            <w:shd w:val="clear" w:color="auto" w:fill="auto"/>
            <w:noWrap/>
            <w:vAlign w:val="center"/>
          </w:tcPr>
          <w:p w14:paraId="604894C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0.0002</w:t>
            </w:r>
          </w:p>
        </w:tc>
        <w:tc>
          <w:tcPr>
            <w:tcW w:w="450" w:type="pct"/>
            <w:shd w:val="clear" w:color="auto" w:fill="auto"/>
            <w:noWrap/>
            <w:vAlign w:val="center"/>
          </w:tcPr>
          <w:p w14:paraId="5B81654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0.0005</w:t>
            </w:r>
          </w:p>
        </w:tc>
        <w:tc>
          <w:tcPr>
            <w:tcW w:w="1041" w:type="pct"/>
            <w:vAlign w:val="center"/>
          </w:tcPr>
          <w:p w14:paraId="0E17F2D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c>
          <w:tcPr>
            <w:tcW w:w="459" w:type="pct"/>
            <w:vAlign w:val="center"/>
          </w:tcPr>
          <w:p w14:paraId="47CD1BD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w:t>
            </w:r>
          </w:p>
        </w:tc>
        <w:tc>
          <w:tcPr>
            <w:tcW w:w="489" w:type="pct"/>
            <w:shd w:val="clear" w:color="auto" w:fill="auto"/>
            <w:noWrap/>
            <w:vAlign w:val="center"/>
          </w:tcPr>
          <w:p w14:paraId="22B113B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r>
      <w:tr w:rsidR="009C353B" w14:paraId="289F41D3" w14:textId="77777777">
        <w:trPr>
          <w:cantSplit/>
          <w:trHeight w:val="340"/>
          <w:jc w:val="center"/>
        </w:trPr>
        <w:tc>
          <w:tcPr>
            <w:tcW w:w="1163" w:type="pct"/>
            <w:shd w:val="clear" w:color="auto" w:fill="auto"/>
            <w:noWrap/>
            <w:vAlign w:val="center"/>
          </w:tcPr>
          <w:p w14:paraId="19BFE25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镉</w:t>
            </w:r>
            <w:r>
              <w:rPr>
                <w:rFonts w:ascii="Times New Roman" w:hAnsi="Times New Roman"/>
                <w:kern w:val="0"/>
                <w:sz w:val="21"/>
                <w:szCs w:val="21"/>
              </w:rPr>
              <w:t>(mg/L)</w:t>
            </w:r>
          </w:p>
        </w:tc>
        <w:tc>
          <w:tcPr>
            <w:tcW w:w="450" w:type="pct"/>
            <w:shd w:val="clear" w:color="auto" w:fill="auto"/>
            <w:noWrap/>
            <w:vAlign w:val="center"/>
          </w:tcPr>
          <w:p w14:paraId="715B951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0.00006</w:t>
            </w:r>
          </w:p>
        </w:tc>
        <w:tc>
          <w:tcPr>
            <w:tcW w:w="450" w:type="pct"/>
            <w:shd w:val="clear" w:color="auto" w:fill="auto"/>
            <w:noWrap/>
            <w:vAlign w:val="center"/>
          </w:tcPr>
          <w:p w14:paraId="6173CA5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0.00006</w:t>
            </w:r>
          </w:p>
        </w:tc>
        <w:tc>
          <w:tcPr>
            <w:tcW w:w="499" w:type="pct"/>
            <w:shd w:val="clear" w:color="auto" w:fill="auto"/>
            <w:noWrap/>
            <w:vAlign w:val="center"/>
          </w:tcPr>
          <w:p w14:paraId="3225E83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0.00002</w:t>
            </w:r>
          </w:p>
        </w:tc>
        <w:tc>
          <w:tcPr>
            <w:tcW w:w="450" w:type="pct"/>
            <w:shd w:val="clear" w:color="auto" w:fill="auto"/>
            <w:noWrap/>
            <w:vAlign w:val="center"/>
          </w:tcPr>
          <w:p w14:paraId="734B18F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0.00005</w:t>
            </w:r>
          </w:p>
        </w:tc>
        <w:tc>
          <w:tcPr>
            <w:tcW w:w="1041" w:type="pct"/>
            <w:vAlign w:val="center"/>
          </w:tcPr>
          <w:p w14:paraId="2309AD6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0.001</w:t>
            </w:r>
          </w:p>
        </w:tc>
        <w:tc>
          <w:tcPr>
            <w:tcW w:w="459" w:type="pct"/>
            <w:vAlign w:val="center"/>
          </w:tcPr>
          <w:p w14:paraId="454DEAA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489" w:type="pct"/>
            <w:shd w:val="clear" w:color="auto" w:fill="auto"/>
            <w:noWrap/>
            <w:vAlign w:val="center"/>
          </w:tcPr>
          <w:p w14:paraId="59302F9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r>
      <w:tr w:rsidR="009C353B" w14:paraId="0251AE91" w14:textId="77777777">
        <w:trPr>
          <w:cantSplit/>
          <w:trHeight w:val="340"/>
          <w:jc w:val="center"/>
        </w:trPr>
        <w:tc>
          <w:tcPr>
            <w:tcW w:w="1163" w:type="pct"/>
            <w:shd w:val="clear" w:color="auto" w:fill="auto"/>
            <w:noWrap/>
            <w:vAlign w:val="center"/>
          </w:tcPr>
          <w:p w14:paraId="00AD007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BOD</w:t>
            </w:r>
            <w:r>
              <w:rPr>
                <w:rFonts w:ascii="Times New Roman" w:hAnsi="Times New Roman"/>
                <w:kern w:val="0"/>
                <w:sz w:val="21"/>
                <w:szCs w:val="21"/>
                <w:vertAlign w:val="subscript"/>
              </w:rPr>
              <w:t>5</w:t>
            </w:r>
            <w:r>
              <w:rPr>
                <w:rFonts w:ascii="Times New Roman" w:hAnsi="Times New Roman"/>
                <w:kern w:val="0"/>
                <w:sz w:val="21"/>
                <w:szCs w:val="21"/>
              </w:rPr>
              <w:t>(mg/L)</w:t>
            </w:r>
          </w:p>
        </w:tc>
        <w:tc>
          <w:tcPr>
            <w:tcW w:w="450" w:type="pct"/>
            <w:shd w:val="clear" w:color="auto" w:fill="auto"/>
            <w:noWrap/>
            <w:vAlign w:val="center"/>
          </w:tcPr>
          <w:p w14:paraId="07F698C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w:t>
            </w:r>
          </w:p>
        </w:tc>
        <w:tc>
          <w:tcPr>
            <w:tcW w:w="450" w:type="pct"/>
            <w:shd w:val="clear" w:color="auto" w:fill="auto"/>
            <w:noWrap/>
            <w:vAlign w:val="center"/>
          </w:tcPr>
          <w:p w14:paraId="1A50378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w:t>
            </w:r>
          </w:p>
        </w:tc>
        <w:tc>
          <w:tcPr>
            <w:tcW w:w="499" w:type="pct"/>
            <w:shd w:val="clear" w:color="auto" w:fill="auto"/>
            <w:noWrap/>
            <w:vAlign w:val="center"/>
          </w:tcPr>
          <w:p w14:paraId="126F199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w:t>
            </w:r>
          </w:p>
        </w:tc>
        <w:tc>
          <w:tcPr>
            <w:tcW w:w="450" w:type="pct"/>
            <w:shd w:val="clear" w:color="auto" w:fill="auto"/>
            <w:noWrap/>
            <w:vAlign w:val="center"/>
          </w:tcPr>
          <w:p w14:paraId="4B35620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3.5</w:t>
            </w:r>
          </w:p>
        </w:tc>
        <w:tc>
          <w:tcPr>
            <w:tcW w:w="1041" w:type="pct"/>
            <w:vAlign w:val="center"/>
          </w:tcPr>
          <w:p w14:paraId="59FE702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p>
        </w:tc>
        <w:tc>
          <w:tcPr>
            <w:tcW w:w="459" w:type="pct"/>
            <w:vAlign w:val="center"/>
          </w:tcPr>
          <w:p w14:paraId="1121AD5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p>
        </w:tc>
        <w:tc>
          <w:tcPr>
            <w:tcW w:w="489" w:type="pct"/>
            <w:shd w:val="clear" w:color="auto" w:fill="auto"/>
            <w:noWrap/>
            <w:vAlign w:val="center"/>
          </w:tcPr>
          <w:p w14:paraId="5402966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w:t>
            </w:r>
          </w:p>
        </w:tc>
      </w:tr>
      <w:tr w:rsidR="009C353B" w14:paraId="6D703531" w14:textId="77777777">
        <w:trPr>
          <w:cantSplit/>
          <w:trHeight w:val="340"/>
          <w:jc w:val="center"/>
        </w:trPr>
        <w:tc>
          <w:tcPr>
            <w:tcW w:w="1163" w:type="pct"/>
            <w:shd w:val="clear" w:color="auto" w:fill="auto"/>
            <w:noWrap/>
            <w:vAlign w:val="center"/>
          </w:tcPr>
          <w:p w14:paraId="12A2916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砷</w:t>
            </w:r>
            <w:r>
              <w:rPr>
                <w:rFonts w:ascii="Times New Roman" w:hAnsi="Times New Roman"/>
                <w:kern w:val="0"/>
                <w:sz w:val="21"/>
                <w:szCs w:val="21"/>
              </w:rPr>
              <w:t>(mg/L)</w:t>
            </w:r>
          </w:p>
        </w:tc>
        <w:tc>
          <w:tcPr>
            <w:tcW w:w="450" w:type="pct"/>
            <w:shd w:val="clear" w:color="auto" w:fill="auto"/>
            <w:noWrap/>
            <w:vAlign w:val="center"/>
          </w:tcPr>
          <w:p w14:paraId="01B19E2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0.0016</w:t>
            </w:r>
          </w:p>
        </w:tc>
        <w:tc>
          <w:tcPr>
            <w:tcW w:w="450" w:type="pct"/>
            <w:shd w:val="clear" w:color="auto" w:fill="auto"/>
            <w:noWrap/>
            <w:vAlign w:val="center"/>
          </w:tcPr>
          <w:p w14:paraId="160DE8D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0.0016</w:t>
            </w:r>
          </w:p>
        </w:tc>
        <w:tc>
          <w:tcPr>
            <w:tcW w:w="499" w:type="pct"/>
            <w:shd w:val="clear" w:color="auto" w:fill="auto"/>
            <w:noWrap/>
            <w:vAlign w:val="center"/>
          </w:tcPr>
          <w:p w14:paraId="2EAA0DF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0.0012</w:t>
            </w:r>
          </w:p>
        </w:tc>
        <w:tc>
          <w:tcPr>
            <w:tcW w:w="450" w:type="pct"/>
            <w:shd w:val="clear" w:color="auto" w:fill="auto"/>
            <w:noWrap/>
            <w:vAlign w:val="center"/>
          </w:tcPr>
          <w:p w14:paraId="4CE6C4B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0.0006</w:t>
            </w:r>
          </w:p>
        </w:tc>
        <w:tc>
          <w:tcPr>
            <w:tcW w:w="1041" w:type="pct"/>
            <w:vAlign w:val="center"/>
          </w:tcPr>
          <w:p w14:paraId="4C15E10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c>
          <w:tcPr>
            <w:tcW w:w="459" w:type="pct"/>
            <w:vAlign w:val="center"/>
          </w:tcPr>
          <w:p w14:paraId="7E675C2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c>
          <w:tcPr>
            <w:tcW w:w="489" w:type="pct"/>
            <w:shd w:val="clear" w:color="auto" w:fill="auto"/>
            <w:noWrap/>
            <w:vAlign w:val="center"/>
          </w:tcPr>
          <w:p w14:paraId="5E47395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r>
      <w:tr w:rsidR="009C353B" w14:paraId="42D5807C" w14:textId="77777777">
        <w:trPr>
          <w:cantSplit/>
          <w:trHeight w:val="340"/>
          <w:jc w:val="center"/>
        </w:trPr>
        <w:tc>
          <w:tcPr>
            <w:tcW w:w="1163" w:type="pct"/>
            <w:shd w:val="clear" w:color="auto" w:fill="auto"/>
            <w:noWrap/>
            <w:vAlign w:val="center"/>
          </w:tcPr>
          <w:p w14:paraId="04B5908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硒</w:t>
            </w:r>
            <w:r>
              <w:rPr>
                <w:rFonts w:ascii="Times New Roman" w:hAnsi="Times New Roman"/>
                <w:kern w:val="0"/>
                <w:sz w:val="21"/>
                <w:szCs w:val="21"/>
              </w:rPr>
              <w:t>(mg/L)</w:t>
            </w:r>
          </w:p>
        </w:tc>
        <w:tc>
          <w:tcPr>
            <w:tcW w:w="450" w:type="pct"/>
            <w:shd w:val="clear" w:color="auto" w:fill="auto"/>
            <w:noWrap/>
            <w:vAlign w:val="center"/>
          </w:tcPr>
          <w:p w14:paraId="4476BBC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0.0005</w:t>
            </w:r>
          </w:p>
        </w:tc>
        <w:tc>
          <w:tcPr>
            <w:tcW w:w="450" w:type="pct"/>
            <w:shd w:val="clear" w:color="auto" w:fill="auto"/>
            <w:noWrap/>
            <w:vAlign w:val="center"/>
          </w:tcPr>
          <w:p w14:paraId="1A0F6DC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0.0005</w:t>
            </w:r>
          </w:p>
        </w:tc>
        <w:tc>
          <w:tcPr>
            <w:tcW w:w="499" w:type="pct"/>
            <w:shd w:val="clear" w:color="auto" w:fill="auto"/>
            <w:noWrap/>
            <w:vAlign w:val="center"/>
          </w:tcPr>
          <w:p w14:paraId="5CF26D7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0.0006</w:t>
            </w:r>
          </w:p>
        </w:tc>
        <w:tc>
          <w:tcPr>
            <w:tcW w:w="450" w:type="pct"/>
            <w:shd w:val="clear" w:color="auto" w:fill="auto"/>
            <w:noWrap/>
            <w:vAlign w:val="center"/>
          </w:tcPr>
          <w:p w14:paraId="5B5F2F3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0.0002</w:t>
            </w:r>
          </w:p>
        </w:tc>
        <w:tc>
          <w:tcPr>
            <w:tcW w:w="1041" w:type="pct"/>
            <w:vAlign w:val="center"/>
          </w:tcPr>
          <w:p w14:paraId="6DA37D3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c>
          <w:tcPr>
            <w:tcW w:w="459" w:type="pct"/>
            <w:vAlign w:val="center"/>
          </w:tcPr>
          <w:p w14:paraId="34087DB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c>
          <w:tcPr>
            <w:tcW w:w="489" w:type="pct"/>
            <w:shd w:val="clear" w:color="auto" w:fill="auto"/>
            <w:noWrap/>
            <w:vAlign w:val="center"/>
          </w:tcPr>
          <w:p w14:paraId="44CB35A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01D0F61C" w14:textId="77777777">
        <w:trPr>
          <w:cantSplit/>
          <w:trHeight w:val="340"/>
          <w:jc w:val="center"/>
        </w:trPr>
        <w:tc>
          <w:tcPr>
            <w:tcW w:w="1163" w:type="pct"/>
            <w:shd w:val="clear" w:color="auto" w:fill="auto"/>
            <w:noWrap/>
            <w:vAlign w:val="center"/>
          </w:tcPr>
          <w:p w14:paraId="13AEFFD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汞</w:t>
            </w:r>
            <w:r>
              <w:rPr>
                <w:rFonts w:ascii="Times New Roman" w:hAnsi="Times New Roman"/>
                <w:kern w:val="0"/>
                <w:sz w:val="21"/>
                <w:szCs w:val="21"/>
              </w:rPr>
              <w:t>(mg/L)</w:t>
            </w:r>
          </w:p>
        </w:tc>
        <w:tc>
          <w:tcPr>
            <w:tcW w:w="450" w:type="pct"/>
            <w:shd w:val="clear" w:color="auto" w:fill="auto"/>
            <w:noWrap/>
            <w:vAlign w:val="center"/>
          </w:tcPr>
          <w:p w14:paraId="3B98EEE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0.00002</w:t>
            </w:r>
          </w:p>
        </w:tc>
        <w:tc>
          <w:tcPr>
            <w:tcW w:w="450" w:type="pct"/>
            <w:shd w:val="clear" w:color="auto" w:fill="auto"/>
            <w:noWrap/>
            <w:vAlign w:val="center"/>
          </w:tcPr>
          <w:p w14:paraId="75122F6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0.00002</w:t>
            </w:r>
          </w:p>
        </w:tc>
        <w:tc>
          <w:tcPr>
            <w:tcW w:w="499" w:type="pct"/>
            <w:shd w:val="clear" w:color="auto" w:fill="auto"/>
            <w:noWrap/>
            <w:vAlign w:val="center"/>
          </w:tcPr>
          <w:p w14:paraId="55B10BD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0.00002</w:t>
            </w:r>
          </w:p>
        </w:tc>
        <w:tc>
          <w:tcPr>
            <w:tcW w:w="450" w:type="pct"/>
            <w:shd w:val="clear" w:color="auto" w:fill="auto"/>
            <w:noWrap/>
            <w:vAlign w:val="center"/>
          </w:tcPr>
          <w:p w14:paraId="0420CC9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0.00002</w:t>
            </w:r>
          </w:p>
        </w:tc>
        <w:tc>
          <w:tcPr>
            <w:tcW w:w="1041" w:type="pct"/>
            <w:vAlign w:val="center"/>
          </w:tcPr>
          <w:p w14:paraId="7954A1C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0.0005</w:t>
            </w:r>
          </w:p>
        </w:tc>
        <w:tc>
          <w:tcPr>
            <w:tcW w:w="459" w:type="pct"/>
            <w:vAlign w:val="center"/>
          </w:tcPr>
          <w:p w14:paraId="3ECE431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0.0005</w:t>
            </w:r>
          </w:p>
        </w:tc>
        <w:tc>
          <w:tcPr>
            <w:tcW w:w="489" w:type="pct"/>
            <w:shd w:val="clear" w:color="auto" w:fill="auto"/>
            <w:noWrap/>
            <w:vAlign w:val="center"/>
          </w:tcPr>
          <w:p w14:paraId="09F11C2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0.0001</w:t>
            </w:r>
          </w:p>
        </w:tc>
      </w:tr>
      <w:tr w:rsidR="009C353B" w14:paraId="3E8C47AD" w14:textId="77777777">
        <w:trPr>
          <w:cantSplit/>
          <w:trHeight w:val="340"/>
          <w:jc w:val="center"/>
        </w:trPr>
        <w:tc>
          <w:tcPr>
            <w:tcW w:w="1163" w:type="pct"/>
            <w:shd w:val="clear" w:color="auto" w:fill="auto"/>
            <w:noWrap/>
            <w:vAlign w:val="center"/>
          </w:tcPr>
          <w:p w14:paraId="487E34A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六价铬</w:t>
            </w:r>
            <w:r>
              <w:rPr>
                <w:rFonts w:ascii="Times New Roman" w:hAnsi="Times New Roman"/>
                <w:kern w:val="0"/>
                <w:sz w:val="21"/>
                <w:szCs w:val="21"/>
              </w:rPr>
              <w:t>(mg/L)</w:t>
            </w:r>
          </w:p>
        </w:tc>
        <w:tc>
          <w:tcPr>
            <w:tcW w:w="450" w:type="pct"/>
            <w:shd w:val="clear" w:color="auto" w:fill="auto"/>
            <w:noWrap/>
            <w:vAlign w:val="center"/>
          </w:tcPr>
          <w:p w14:paraId="2CB722D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w:t>
            </w:r>
          </w:p>
        </w:tc>
        <w:tc>
          <w:tcPr>
            <w:tcW w:w="450" w:type="pct"/>
            <w:shd w:val="clear" w:color="auto" w:fill="auto"/>
            <w:noWrap/>
            <w:vAlign w:val="center"/>
          </w:tcPr>
          <w:p w14:paraId="08C0951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w:t>
            </w:r>
          </w:p>
        </w:tc>
        <w:tc>
          <w:tcPr>
            <w:tcW w:w="499" w:type="pct"/>
            <w:shd w:val="clear" w:color="auto" w:fill="auto"/>
            <w:noWrap/>
            <w:vAlign w:val="center"/>
          </w:tcPr>
          <w:p w14:paraId="5F240D9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w:t>
            </w:r>
          </w:p>
        </w:tc>
        <w:tc>
          <w:tcPr>
            <w:tcW w:w="450" w:type="pct"/>
            <w:shd w:val="clear" w:color="auto" w:fill="auto"/>
            <w:noWrap/>
            <w:vAlign w:val="center"/>
          </w:tcPr>
          <w:p w14:paraId="052A0DD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0.006</w:t>
            </w:r>
          </w:p>
        </w:tc>
        <w:tc>
          <w:tcPr>
            <w:tcW w:w="1041" w:type="pct"/>
            <w:vAlign w:val="center"/>
          </w:tcPr>
          <w:p w14:paraId="396266A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c>
          <w:tcPr>
            <w:tcW w:w="459" w:type="pct"/>
            <w:vAlign w:val="center"/>
          </w:tcPr>
          <w:p w14:paraId="0F08AAD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c>
          <w:tcPr>
            <w:tcW w:w="489" w:type="pct"/>
            <w:shd w:val="clear" w:color="auto" w:fill="auto"/>
            <w:noWrap/>
            <w:vAlign w:val="center"/>
          </w:tcPr>
          <w:p w14:paraId="5A8F17A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r>
      <w:tr w:rsidR="009C353B" w14:paraId="57693CA5" w14:textId="77777777">
        <w:trPr>
          <w:cantSplit/>
          <w:trHeight w:val="340"/>
          <w:jc w:val="center"/>
        </w:trPr>
        <w:tc>
          <w:tcPr>
            <w:tcW w:w="1163" w:type="pct"/>
            <w:shd w:val="clear" w:color="auto" w:fill="auto"/>
            <w:noWrap/>
            <w:vAlign w:val="center"/>
          </w:tcPr>
          <w:p w14:paraId="26A68D0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r>
              <w:rPr>
                <w:rFonts w:ascii="Times New Roman" w:hAnsi="Times New Roman"/>
                <w:kern w:val="0"/>
                <w:sz w:val="21"/>
                <w:szCs w:val="21"/>
              </w:rPr>
              <w:t>(mg/L)</w:t>
            </w:r>
          </w:p>
        </w:tc>
        <w:tc>
          <w:tcPr>
            <w:tcW w:w="450" w:type="pct"/>
            <w:shd w:val="clear" w:color="auto" w:fill="auto"/>
            <w:noWrap/>
            <w:vAlign w:val="center"/>
          </w:tcPr>
          <w:p w14:paraId="5E7DA6A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0.29</w:t>
            </w:r>
          </w:p>
        </w:tc>
        <w:tc>
          <w:tcPr>
            <w:tcW w:w="450" w:type="pct"/>
            <w:shd w:val="clear" w:color="auto" w:fill="auto"/>
            <w:noWrap/>
            <w:vAlign w:val="center"/>
          </w:tcPr>
          <w:p w14:paraId="156E3AD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0.29</w:t>
            </w:r>
          </w:p>
        </w:tc>
        <w:tc>
          <w:tcPr>
            <w:tcW w:w="499" w:type="pct"/>
            <w:shd w:val="clear" w:color="auto" w:fill="auto"/>
            <w:noWrap/>
            <w:vAlign w:val="center"/>
          </w:tcPr>
          <w:p w14:paraId="40D427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0.36</w:t>
            </w:r>
          </w:p>
        </w:tc>
        <w:tc>
          <w:tcPr>
            <w:tcW w:w="450" w:type="pct"/>
            <w:shd w:val="clear" w:color="auto" w:fill="auto"/>
            <w:noWrap/>
            <w:vAlign w:val="center"/>
          </w:tcPr>
          <w:p w14:paraId="25FAE68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0.42</w:t>
            </w:r>
          </w:p>
        </w:tc>
        <w:tc>
          <w:tcPr>
            <w:tcW w:w="1041" w:type="pct"/>
            <w:vAlign w:val="center"/>
          </w:tcPr>
          <w:p w14:paraId="2569E0B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p>
        </w:tc>
        <w:tc>
          <w:tcPr>
            <w:tcW w:w="459" w:type="pct"/>
            <w:vAlign w:val="center"/>
          </w:tcPr>
          <w:p w14:paraId="69DFB8D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p>
        </w:tc>
        <w:tc>
          <w:tcPr>
            <w:tcW w:w="489" w:type="pct"/>
            <w:shd w:val="clear" w:color="auto" w:fill="auto"/>
            <w:noWrap/>
            <w:vAlign w:val="center"/>
          </w:tcPr>
          <w:p w14:paraId="46C38F9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r>
      <w:tr w:rsidR="009C353B" w14:paraId="65261C90" w14:textId="77777777">
        <w:trPr>
          <w:cantSplit/>
          <w:trHeight w:val="340"/>
          <w:jc w:val="center"/>
        </w:trPr>
        <w:tc>
          <w:tcPr>
            <w:tcW w:w="1163" w:type="pct"/>
            <w:shd w:val="clear" w:color="auto" w:fill="auto"/>
            <w:noWrap/>
            <w:vAlign w:val="center"/>
          </w:tcPr>
          <w:p w14:paraId="7B48722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氰化物</w:t>
            </w:r>
            <w:r>
              <w:rPr>
                <w:rFonts w:ascii="Times New Roman" w:hAnsi="Times New Roman"/>
                <w:kern w:val="0"/>
                <w:sz w:val="21"/>
                <w:szCs w:val="21"/>
              </w:rPr>
              <w:t>(mg/L)</w:t>
            </w:r>
          </w:p>
        </w:tc>
        <w:tc>
          <w:tcPr>
            <w:tcW w:w="450" w:type="pct"/>
            <w:shd w:val="clear" w:color="auto" w:fill="auto"/>
            <w:noWrap/>
            <w:vAlign w:val="center"/>
          </w:tcPr>
          <w:p w14:paraId="254F8DA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0.0005</w:t>
            </w:r>
          </w:p>
        </w:tc>
        <w:tc>
          <w:tcPr>
            <w:tcW w:w="450" w:type="pct"/>
            <w:shd w:val="clear" w:color="auto" w:fill="auto"/>
            <w:noWrap/>
            <w:vAlign w:val="center"/>
          </w:tcPr>
          <w:p w14:paraId="77F9C03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0.0005</w:t>
            </w:r>
          </w:p>
        </w:tc>
        <w:tc>
          <w:tcPr>
            <w:tcW w:w="499" w:type="pct"/>
            <w:shd w:val="clear" w:color="auto" w:fill="auto"/>
            <w:noWrap/>
            <w:vAlign w:val="center"/>
          </w:tcPr>
          <w:p w14:paraId="434EFC0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0.0005</w:t>
            </w:r>
          </w:p>
        </w:tc>
        <w:tc>
          <w:tcPr>
            <w:tcW w:w="450" w:type="pct"/>
            <w:shd w:val="clear" w:color="auto" w:fill="auto"/>
            <w:noWrap/>
            <w:vAlign w:val="center"/>
          </w:tcPr>
          <w:p w14:paraId="4828806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0.0005</w:t>
            </w:r>
          </w:p>
        </w:tc>
        <w:tc>
          <w:tcPr>
            <w:tcW w:w="1041" w:type="pct"/>
            <w:vAlign w:val="center"/>
          </w:tcPr>
          <w:p w14:paraId="54D3992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459" w:type="pct"/>
            <w:vAlign w:val="center"/>
          </w:tcPr>
          <w:p w14:paraId="54A873C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c>
          <w:tcPr>
            <w:tcW w:w="489" w:type="pct"/>
            <w:shd w:val="clear" w:color="auto" w:fill="auto"/>
            <w:noWrap/>
            <w:vAlign w:val="center"/>
          </w:tcPr>
          <w:p w14:paraId="5D6E224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w:t>
            </w:r>
          </w:p>
        </w:tc>
      </w:tr>
      <w:tr w:rsidR="009C353B" w14:paraId="710261E8" w14:textId="77777777">
        <w:trPr>
          <w:cantSplit/>
          <w:trHeight w:val="340"/>
          <w:jc w:val="center"/>
        </w:trPr>
        <w:tc>
          <w:tcPr>
            <w:tcW w:w="1163" w:type="pct"/>
            <w:shd w:val="clear" w:color="auto" w:fill="auto"/>
            <w:noWrap/>
            <w:vAlign w:val="center"/>
          </w:tcPr>
          <w:p w14:paraId="0222BC8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挥发酚</w:t>
            </w:r>
            <w:r>
              <w:rPr>
                <w:rFonts w:ascii="Times New Roman" w:hAnsi="Times New Roman"/>
                <w:kern w:val="0"/>
                <w:sz w:val="21"/>
                <w:szCs w:val="21"/>
              </w:rPr>
              <w:t>(mg/L)</w:t>
            </w:r>
          </w:p>
        </w:tc>
        <w:tc>
          <w:tcPr>
            <w:tcW w:w="450" w:type="pct"/>
            <w:shd w:val="clear" w:color="auto" w:fill="auto"/>
            <w:noWrap/>
            <w:vAlign w:val="center"/>
          </w:tcPr>
          <w:p w14:paraId="09A8007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0.0002</w:t>
            </w:r>
          </w:p>
        </w:tc>
        <w:tc>
          <w:tcPr>
            <w:tcW w:w="450" w:type="pct"/>
            <w:shd w:val="clear" w:color="auto" w:fill="auto"/>
            <w:noWrap/>
            <w:vAlign w:val="center"/>
          </w:tcPr>
          <w:p w14:paraId="0D273C5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0.0002</w:t>
            </w:r>
          </w:p>
        </w:tc>
        <w:tc>
          <w:tcPr>
            <w:tcW w:w="499" w:type="pct"/>
            <w:shd w:val="clear" w:color="auto" w:fill="auto"/>
            <w:noWrap/>
            <w:vAlign w:val="center"/>
          </w:tcPr>
          <w:p w14:paraId="35419A6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0.0002</w:t>
            </w:r>
          </w:p>
        </w:tc>
        <w:tc>
          <w:tcPr>
            <w:tcW w:w="450" w:type="pct"/>
            <w:shd w:val="clear" w:color="auto" w:fill="auto"/>
            <w:noWrap/>
            <w:vAlign w:val="center"/>
          </w:tcPr>
          <w:p w14:paraId="30CE1C3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0.00015</w:t>
            </w:r>
          </w:p>
        </w:tc>
        <w:tc>
          <w:tcPr>
            <w:tcW w:w="1041" w:type="pct"/>
            <w:vAlign w:val="center"/>
          </w:tcPr>
          <w:p w14:paraId="6E1D745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w:t>
            </w:r>
          </w:p>
        </w:tc>
        <w:tc>
          <w:tcPr>
            <w:tcW w:w="459" w:type="pct"/>
            <w:vAlign w:val="center"/>
          </w:tcPr>
          <w:p w14:paraId="7B064D2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w:t>
            </w:r>
          </w:p>
        </w:tc>
        <w:tc>
          <w:tcPr>
            <w:tcW w:w="489" w:type="pct"/>
            <w:shd w:val="clear" w:color="auto" w:fill="auto"/>
            <w:noWrap/>
            <w:vAlign w:val="center"/>
          </w:tcPr>
          <w:p w14:paraId="3BCAE00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r>
      <w:tr w:rsidR="009C353B" w14:paraId="6F102936" w14:textId="77777777">
        <w:trPr>
          <w:cantSplit/>
          <w:trHeight w:val="340"/>
          <w:jc w:val="center"/>
        </w:trPr>
        <w:tc>
          <w:tcPr>
            <w:tcW w:w="1163" w:type="pct"/>
            <w:shd w:val="clear" w:color="auto" w:fill="auto"/>
            <w:noWrap/>
            <w:vAlign w:val="center"/>
          </w:tcPr>
          <w:p w14:paraId="037305E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石油类</w:t>
            </w:r>
            <w:r>
              <w:rPr>
                <w:rFonts w:ascii="Times New Roman" w:hAnsi="Times New Roman"/>
                <w:kern w:val="0"/>
                <w:sz w:val="21"/>
                <w:szCs w:val="21"/>
              </w:rPr>
              <w:t>(mg/L)</w:t>
            </w:r>
          </w:p>
        </w:tc>
        <w:tc>
          <w:tcPr>
            <w:tcW w:w="450" w:type="pct"/>
            <w:shd w:val="clear" w:color="auto" w:fill="auto"/>
            <w:noWrap/>
            <w:vAlign w:val="center"/>
          </w:tcPr>
          <w:p w14:paraId="6EB65C3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450" w:type="pct"/>
            <w:shd w:val="clear" w:color="auto" w:fill="auto"/>
            <w:noWrap/>
            <w:vAlign w:val="center"/>
          </w:tcPr>
          <w:p w14:paraId="64FD6A8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499" w:type="pct"/>
            <w:shd w:val="clear" w:color="auto" w:fill="auto"/>
            <w:noWrap/>
            <w:vAlign w:val="center"/>
          </w:tcPr>
          <w:p w14:paraId="68EC72E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450" w:type="pct"/>
            <w:shd w:val="clear" w:color="auto" w:fill="auto"/>
            <w:noWrap/>
            <w:vAlign w:val="center"/>
          </w:tcPr>
          <w:p w14:paraId="52016BD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c>
          <w:tcPr>
            <w:tcW w:w="1041" w:type="pct"/>
            <w:vAlign w:val="center"/>
          </w:tcPr>
          <w:p w14:paraId="1B9352C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c>
          <w:tcPr>
            <w:tcW w:w="459" w:type="pct"/>
            <w:vAlign w:val="center"/>
          </w:tcPr>
          <w:p w14:paraId="7DDC5CA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c>
          <w:tcPr>
            <w:tcW w:w="489" w:type="pct"/>
            <w:shd w:val="clear" w:color="auto" w:fill="auto"/>
            <w:noWrap/>
            <w:vAlign w:val="center"/>
          </w:tcPr>
          <w:p w14:paraId="09DC9A1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r>
      <w:tr w:rsidR="009C353B" w14:paraId="23FA34E0" w14:textId="77777777">
        <w:trPr>
          <w:cantSplit/>
          <w:trHeight w:val="340"/>
          <w:jc w:val="center"/>
        </w:trPr>
        <w:tc>
          <w:tcPr>
            <w:tcW w:w="1163" w:type="pct"/>
            <w:shd w:val="clear" w:color="auto" w:fill="auto"/>
            <w:noWrap/>
            <w:vAlign w:val="center"/>
          </w:tcPr>
          <w:p w14:paraId="5A09FA0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阴离子表面活性剂</w:t>
            </w:r>
            <w:r>
              <w:rPr>
                <w:rFonts w:ascii="Times New Roman" w:hAnsi="Times New Roman"/>
                <w:kern w:val="0"/>
                <w:sz w:val="21"/>
                <w:szCs w:val="21"/>
              </w:rPr>
              <w:t>(mg/L)</w:t>
            </w:r>
          </w:p>
        </w:tc>
        <w:tc>
          <w:tcPr>
            <w:tcW w:w="450" w:type="pct"/>
            <w:shd w:val="clear" w:color="auto" w:fill="auto"/>
            <w:noWrap/>
            <w:vAlign w:val="center"/>
          </w:tcPr>
          <w:p w14:paraId="4BCA7AE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0.02</w:t>
            </w:r>
          </w:p>
        </w:tc>
        <w:tc>
          <w:tcPr>
            <w:tcW w:w="450" w:type="pct"/>
            <w:shd w:val="clear" w:color="auto" w:fill="auto"/>
            <w:noWrap/>
            <w:vAlign w:val="center"/>
          </w:tcPr>
          <w:p w14:paraId="31D9898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0.02</w:t>
            </w:r>
          </w:p>
        </w:tc>
        <w:tc>
          <w:tcPr>
            <w:tcW w:w="499" w:type="pct"/>
            <w:shd w:val="clear" w:color="auto" w:fill="auto"/>
            <w:noWrap/>
            <w:vAlign w:val="center"/>
          </w:tcPr>
          <w:p w14:paraId="017E77F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0.02</w:t>
            </w:r>
          </w:p>
        </w:tc>
        <w:tc>
          <w:tcPr>
            <w:tcW w:w="450" w:type="pct"/>
            <w:shd w:val="clear" w:color="auto" w:fill="auto"/>
            <w:noWrap/>
            <w:vAlign w:val="center"/>
          </w:tcPr>
          <w:p w14:paraId="6BCDB3E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0.02</w:t>
            </w:r>
          </w:p>
        </w:tc>
        <w:tc>
          <w:tcPr>
            <w:tcW w:w="1041" w:type="pct"/>
            <w:vAlign w:val="center"/>
          </w:tcPr>
          <w:p w14:paraId="4D7B3E9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w:t>
            </w:r>
          </w:p>
        </w:tc>
        <w:tc>
          <w:tcPr>
            <w:tcW w:w="459" w:type="pct"/>
            <w:vAlign w:val="center"/>
          </w:tcPr>
          <w:p w14:paraId="0C1E247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w:t>
            </w:r>
          </w:p>
        </w:tc>
        <w:tc>
          <w:tcPr>
            <w:tcW w:w="489" w:type="pct"/>
            <w:shd w:val="clear" w:color="auto" w:fill="auto"/>
            <w:noWrap/>
            <w:vAlign w:val="center"/>
          </w:tcPr>
          <w:p w14:paraId="7B69C6B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w:t>
            </w:r>
          </w:p>
        </w:tc>
      </w:tr>
      <w:tr w:rsidR="009C353B" w14:paraId="059C2641" w14:textId="77777777">
        <w:trPr>
          <w:cantSplit/>
          <w:trHeight w:val="340"/>
          <w:jc w:val="center"/>
        </w:trPr>
        <w:tc>
          <w:tcPr>
            <w:tcW w:w="1163" w:type="pct"/>
            <w:shd w:val="clear" w:color="auto" w:fill="auto"/>
            <w:noWrap/>
            <w:vAlign w:val="center"/>
          </w:tcPr>
          <w:p w14:paraId="50CB44B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硫化物</w:t>
            </w:r>
            <w:r>
              <w:rPr>
                <w:rFonts w:ascii="Times New Roman" w:hAnsi="Times New Roman"/>
                <w:kern w:val="0"/>
                <w:sz w:val="21"/>
                <w:szCs w:val="21"/>
              </w:rPr>
              <w:t>(mg/L)</w:t>
            </w:r>
          </w:p>
        </w:tc>
        <w:tc>
          <w:tcPr>
            <w:tcW w:w="450" w:type="pct"/>
            <w:shd w:val="clear" w:color="auto" w:fill="auto"/>
            <w:noWrap/>
            <w:vAlign w:val="center"/>
          </w:tcPr>
          <w:p w14:paraId="211854C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w:t>
            </w:r>
          </w:p>
        </w:tc>
        <w:tc>
          <w:tcPr>
            <w:tcW w:w="450" w:type="pct"/>
            <w:shd w:val="clear" w:color="auto" w:fill="auto"/>
            <w:noWrap/>
            <w:vAlign w:val="center"/>
          </w:tcPr>
          <w:p w14:paraId="3D78715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w:t>
            </w:r>
          </w:p>
        </w:tc>
        <w:tc>
          <w:tcPr>
            <w:tcW w:w="499" w:type="pct"/>
            <w:shd w:val="clear" w:color="auto" w:fill="auto"/>
            <w:noWrap/>
            <w:vAlign w:val="center"/>
          </w:tcPr>
          <w:p w14:paraId="50A1E34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w:t>
            </w:r>
          </w:p>
        </w:tc>
        <w:tc>
          <w:tcPr>
            <w:tcW w:w="450" w:type="pct"/>
            <w:shd w:val="clear" w:color="auto" w:fill="auto"/>
            <w:noWrap/>
            <w:vAlign w:val="center"/>
          </w:tcPr>
          <w:p w14:paraId="6D9953F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w:t>
            </w:r>
          </w:p>
        </w:tc>
        <w:tc>
          <w:tcPr>
            <w:tcW w:w="1041" w:type="pct"/>
            <w:vAlign w:val="center"/>
          </w:tcPr>
          <w:p w14:paraId="2E36180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c>
          <w:tcPr>
            <w:tcW w:w="459" w:type="pct"/>
            <w:vAlign w:val="center"/>
          </w:tcPr>
          <w:p w14:paraId="6C445F2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w:t>
            </w:r>
          </w:p>
        </w:tc>
        <w:tc>
          <w:tcPr>
            <w:tcW w:w="489" w:type="pct"/>
            <w:shd w:val="clear" w:color="auto" w:fill="auto"/>
            <w:noWrap/>
            <w:vAlign w:val="center"/>
          </w:tcPr>
          <w:p w14:paraId="1602D46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w:t>
            </w:r>
          </w:p>
        </w:tc>
      </w:tr>
    </w:tbl>
    <w:p w14:paraId="5274381F" w14:textId="77777777" w:rsidR="009C353B" w:rsidRDefault="009C353B">
      <w:pPr>
        <w:rPr>
          <w:rFonts w:hint="eastAsia"/>
        </w:rPr>
        <w:sectPr w:rsidR="009C353B">
          <w:pgSz w:w="16840" w:h="11907" w:orient="landscape"/>
          <w:pgMar w:top="1531" w:right="1531" w:bottom="1418" w:left="1418" w:header="1134" w:footer="851" w:gutter="0"/>
          <w:paperSrc w:first="7" w:other="7"/>
          <w:cols w:space="720"/>
          <w:docGrid w:linePitch="326"/>
        </w:sectPr>
      </w:pPr>
    </w:p>
    <w:p w14:paraId="4F99D30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w:t>
      </w:r>
      <w:r>
        <w:rPr>
          <w:rFonts w:ascii="Times New Roman" w:hAnsi="Times New Roman"/>
        </w:rPr>
        <w:t>表</w:t>
      </w:r>
      <w:r>
        <w:rPr>
          <w:rFonts w:ascii="Times New Roman" w:hAnsi="Times New Roman"/>
        </w:rPr>
        <w:t>3.3-</w:t>
      </w:r>
      <w:r>
        <w:rPr>
          <w:rFonts w:ascii="Times New Roman" w:hAnsi="Times New Roman" w:hint="eastAsia"/>
        </w:rPr>
        <w:t>3</w:t>
      </w:r>
      <w:r>
        <w:rPr>
          <w:rFonts w:ascii="Times New Roman" w:hAnsi="Times New Roman" w:hint="eastAsia"/>
        </w:rPr>
        <w:t>的监测结果</w:t>
      </w:r>
      <w:r>
        <w:rPr>
          <w:rFonts w:ascii="Times New Roman" w:hAnsi="Times New Roman"/>
        </w:rPr>
        <w:t>，</w:t>
      </w:r>
      <w:r>
        <w:rPr>
          <w:rFonts w:ascii="Times New Roman" w:hAnsi="Times New Roman" w:hint="eastAsia"/>
        </w:rPr>
        <w:t>水洞沟、大河子沟水质不满足《地表水环境质量标准》（</w:t>
      </w:r>
      <w:r>
        <w:rPr>
          <w:rFonts w:ascii="Times New Roman" w:hAnsi="Times New Roman"/>
        </w:rPr>
        <w:t>GB3838-2002</w:t>
      </w:r>
      <w:r>
        <w:rPr>
          <w:rFonts w:ascii="Times New Roman" w:hAnsi="Times New Roman"/>
        </w:rPr>
        <w:t>）</w:t>
      </w:r>
      <w:r>
        <w:rPr>
          <w:rFonts w:ascii="Times New Roman" w:hAnsi="Times New Roman"/>
        </w:rPr>
        <w:t>IV</w:t>
      </w:r>
      <w:r>
        <w:rPr>
          <w:rFonts w:ascii="Times New Roman" w:hAnsi="Times New Roman"/>
        </w:rPr>
        <w:t>类标准</w:t>
      </w:r>
      <w:r>
        <w:rPr>
          <w:rFonts w:ascii="Times New Roman" w:hAnsi="Times New Roman" w:hint="eastAsia"/>
        </w:rPr>
        <w:t>。</w:t>
      </w:r>
    </w:p>
    <w:p w14:paraId="5B429919" w14:textId="77777777" w:rsidR="009C353B" w:rsidRDefault="00000000">
      <w:pPr>
        <w:adjustRightInd w:val="0"/>
        <w:snapToGrid w:val="0"/>
        <w:spacing w:line="440" w:lineRule="exact"/>
        <w:ind w:firstLineChars="200" w:firstLine="480"/>
        <w:rPr>
          <w:rFonts w:ascii="Times New Roman" w:hAnsi="Times New Roman"/>
        </w:rPr>
      </w:pPr>
      <w:bookmarkStart w:id="115" w:name="_Hlk49701380"/>
      <w:r>
        <w:rPr>
          <w:rFonts w:ascii="Times New Roman" w:hAnsi="Times New Roman" w:hint="eastAsia"/>
        </w:rPr>
        <w:t>水洞沟超标因子有：化学需氧量、五日生化需氧量、总氮、氟化物。水洞沟</w:t>
      </w:r>
      <w:r>
        <w:rPr>
          <w:rFonts w:ascii="Times New Roman" w:hAnsi="Times New Roman"/>
        </w:rPr>
        <w:t>1#</w:t>
      </w:r>
      <w:r>
        <w:rPr>
          <w:rFonts w:ascii="Times New Roman" w:hAnsi="Times New Roman"/>
        </w:rPr>
        <w:t>、</w:t>
      </w:r>
      <w:r>
        <w:rPr>
          <w:rFonts w:ascii="Times New Roman" w:hAnsi="Times New Roman"/>
        </w:rPr>
        <w:t>2#</w:t>
      </w:r>
      <w:r>
        <w:rPr>
          <w:rFonts w:ascii="Times New Roman" w:hAnsi="Times New Roman" w:hint="eastAsia"/>
        </w:rPr>
        <w:t>化学需氧量超标，超标率均</w:t>
      </w:r>
      <w:r>
        <w:rPr>
          <w:rFonts w:ascii="Times New Roman" w:hAnsi="Times New Roman" w:hint="eastAsia"/>
        </w:rPr>
        <w:t>100%</w:t>
      </w:r>
      <w:r>
        <w:rPr>
          <w:rFonts w:ascii="Times New Roman" w:hAnsi="Times New Roman" w:hint="eastAsia"/>
        </w:rPr>
        <w:t>，平均超标倍数为</w:t>
      </w:r>
      <w:r>
        <w:rPr>
          <w:rFonts w:ascii="Times New Roman" w:hAnsi="Times New Roman" w:hint="eastAsia"/>
        </w:rPr>
        <w:t>0.11</w:t>
      </w:r>
      <w:r>
        <w:rPr>
          <w:rFonts w:ascii="Times New Roman" w:hAnsi="Times New Roman" w:hint="eastAsia"/>
        </w:rPr>
        <w:t>、</w:t>
      </w:r>
      <w:r>
        <w:rPr>
          <w:rFonts w:ascii="Times New Roman" w:hAnsi="Times New Roman" w:hint="eastAsia"/>
        </w:rPr>
        <w:t>0.47</w:t>
      </w:r>
      <w:r>
        <w:rPr>
          <w:rFonts w:ascii="Times New Roman" w:hAnsi="Times New Roman" w:hint="eastAsia"/>
        </w:rPr>
        <w:t>；</w:t>
      </w:r>
      <w:r>
        <w:rPr>
          <w:rFonts w:ascii="Times New Roman" w:hAnsi="Times New Roman"/>
        </w:rPr>
        <w:t>1#</w:t>
      </w:r>
      <w:r>
        <w:rPr>
          <w:rFonts w:ascii="Times New Roman" w:hAnsi="Times New Roman"/>
        </w:rPr>
        <w:t>、</w:t>
      </w:r>
      <w:r>
        <w:rPr>
          <w:rFonts w:ascii="Times New Roman" w:hAnsi="Times New Roman"/>
        </w:rPr>
        <w:t>2#</w:t>
      </w:r>
      <w:r>
        <w:rPr>
          <w:rFonts w:ascii="Times New Roman" w:hAnsi="Times New Roman" w:hint="eastAsia"/>
        </w:rPr>
        <w:t>五日生化需氧量超标，超标率分别为</w:t>
      </w:r>
      <w:r>
        <w:rPr>
          <w:rFonts w:ascii="Times New Roman" w:hAnsi="Times New Roman" w:hint="eastAsia"/>
        </w:rPr>
        <w:t>66.67%</w:t>
      </w:r>
      <w:r>
        <w:rPr>
          <w:rFonts w:ascii="Times New Roman" w:hAnsi="Times New Roman" w:hint="eastAsia"/>
        </w:rPr>
        <w:t>、</w:t>
      </w:r>
      <w:r>
        <w:rPr>
          <w:rFonts w:ascii="Times New Roman" w:hAnsi="Times New Roman" w:hint="eastAsia"/>
        </w:rPr>
        <w:t>100%</w:t>
      </w:r>
      <w:r>
        <w:rPr>
          <w:rFonts w:ascii="Times New Roman" w:hAnsi="Times New Roman" w:hint="eastAsia"/>
        </w:rPr>
        <w:t>，平均超标倍数为</w:t>
      </w:r>
      <w:r>
        <w:rPr>
          <w:rFonts w:ascii="Times New Roman" w:hAnsi="Times New Roman" w:hint="eastAsia"/>
        </w:rPr>
        <w:t>0.01</w:t>
      </w:r>
      <w:r>
        <w:rPr>
          <w:rFonts w:ascii="Times New Roman" w:hAnsi="Times New Roman" w:hint="eastAsia"/>
        </w:rPr>
        <w:t>、</w:t>
      </w:r>
      <w:r>
        <w:rPr>
          <w:rFonts w:ascii="Times New Roman" w:hAnsi="Times New Roman" w:hint="eastAsia"/>
        </w:rPr>
        <w:t>0.11</w:t>
      </w:r>
      <w:r>
        <w:rPr>
          <w:rFonts w:ascii="Times New Roman" w:hAnsi="Times New Roman" w:hint="eastAsia"/>
        </w:rPr>
        <w:t>；水洞沟</w:t>
      </w:r>
      <w:r>
        <w:rPr>
          <w:rFonts w:ascii="Times New Roman" w:hAnsi="Times New Roman" w:hint="eastAsia"/>
        </w:rPr>
        <w:t>3#</w:t>
      </w:r>
      <w:r>
        <w:rPr>
          <w:rFonts w:ascii="Times New Roman" w:hAnsi="Times New Roman" w:hint="eastAsia"/>
        </w:rPr>
        <w:t>总氮超标，平均超标倍数</w:t>
      </w:r>
      <w:r>
        <w:rPr>
          <w:rFonts w:ascii="Times New Roman" w:hAnsi="Times New Roman" w:hint="eastAsia"/>
        </w:rPr>
        <w:t>2.88</w:t>
      </w:r>
      <w:r>
        <w:rPr>
          <w:rFonts w:ascii="Times New Roman" w:hAnsi="Times New Roman" w:hint="eastAsia"/>
        </w:rPr>
        <w:t>，超标率</w:t>
      </w:r>
      <w:r>
        <w:rPr>
          <w:rFonts w:ascii="Times New Roman" w:hAnsi="Times New Roman" w:hint="eastAsia"/>
        </w:rPr>
        <w:t>100%</w:t>
      </w:r>
      <w:r>
        <w:rPr>
          <w:rFonts w:ascii="Times New Roman" w:hAnsi="Times New Roman" w:hint="eastAsia"/>
        </w:rPr>
        <w:t>；</w:t>
      </w:r>
      <w:r>
        <w:rPr>
          <w:rFonts w:ascii="Times New Roman" w:hAnsi="Times New Roman" w:hint="eastAsia"/>
        </w:rPr>
        <w:t>3</w:t>
      </w:r>
      <w:r>
        <w:rPr>
          <w:rFonts w:ascii="Times New Roman" w:hAnsi="Times New Roman" w:hint="eastAsia"/>
        </w:rPr>
        <w:t>个监测断面氟化物均超标，水洞沟</w:t>
      </w:r>
      <w:r>
        <w:rPr>
          <w:rFonts w:ascii="Times New Roman" w:hAnsi="Times New Roman" w:hint="eastAsia"/>
        </w:rPr>
        <w:t>1#</w:t>
      </w:r>
      <w:r>
        <w:rPr>
          <w:rFonts w:ascii="Times New Roman" w:hAnsi="Times New Roman" w:hint="eastAsia"/>
        </w:rPr>
        <w:t>超标率</w:t>
      </w:r>
      <w:r>
        <w:rPr>
          <w:rFonts w:ascii="Times New Roman" w:hAnsi="Times New Roman" w:hint="eastAsia"/>
        </w:rPr>
        <w:t>33.33%</w:t>
      </w:r>
      <w:r>
        <w:rPr>
          <w:rFonts w:ascii="Times New Roman" w:hAnsi="Times New Roman" w:hint="eastAsia"/>
        </w:rPr>
        <w:t>，超标倍数</w:t>
      </w:r>
      <w:r>
        <w:rPr>
          <w:rFonts w:ascii="Times New Roman" w:hAnsi="Times New Roman" w:hint="eastAsia"/>
        </w:rPr>
        <w:t>0.83</w:t>
      </w:r>
      <w:r>
        <w:rPr>
          <w:rFonts w:ascii="Times New Roman" w:hAnsi="Times New Roman" w:hint="eastAsia"/>
        </w:rPr>
        <w:t>，水洞沟</w:t>
      </w:r>
      <w:r>
        <w:rPr>
          <w:rFonts w:ascii="Times New Roman" w:hAnsi="Times New Roman" w:hint="eastAsia"/>
        </w:rPr>
        <w:t>2#</w:t>
      </w:r>
      <w:r>
        <w:rPr>
          <w:rFonts w:ascii="Times New Roman" w:hAnsi="Times New Roman" w:hint="eastAsia"/>
        </w:rPr>
        <w:t>、</w:t>
      </w:r>
      <w:r>
        <w:rPr>
          <w:rFonts w:ascii="Times New Roman" w:hAnsi="Times New Roman" w:hint="eastAsia"/>
        </w:rPr>
        <w:t>3#</w:t>
      </w:r>
      <w:r>
        <w:rPr>
          <w:rFonts w:ascii="Times New Roman" w:hAnsi="Times New Roman" w:hint="eastAsia"/>
        </w:rPr>
        <w:t>超标率</w:t>
      </w:r>
      <w:r>
        <w:rPr>
          <w:rFonts w:ascii="Times New Roman" w:hAnsi="Times New Roman" w:hint="eastAsia"/>
        </w:rPr>
        <w:t>100%</w:t>
      </w:r>
      <w:r>
        <w:rPr>
          <w:rFonts w:ascii="Times New Roman" w:hAnsi="Times New Roman" w:hint="eastAsia"/>
        </w:rPr>
        <w:t>，平均超标倍数</w:t>
      </w:r>
      <w:r>
        <w:rPr>
          <w:rFonts w:ascii="Times New Roman" w:hAnsi="Times New Roman" w:hint="eastAsia"/>
        </w:rPr>
        <w:t>1.04</w:t>
      </w:r>
      <w:r>
        <w:rPr>
          <w:rFonts w:ascii="Times New Roman" w:hAnsi="Times New Roman" w:hint="eastAsia"/>
        </w:rPr>
        <w:t>、</w:t>
      </w:r>
      <w:r>
        <w:rPr>
          <w:rFonts w:ascii="Times New Roman" w:hAnsi="Times New Roman" w:hint="eastAsia"/>
        </w:rPr>
        <w:t>1.75</w:t>
      </w:r>
      <w:r>
        <w:rPr>
          <w:rFonts w:ascii="Times New Roman" w:hAnsi="Times New Roman" w:hint="eastAsia"/>
        </w:rPr>
        <w:t>。其余指标符合</w:t>
      </w:r>
      <w:r>
        <w:rPr>
          <w:rFonts w:ascii="Times New Roman" w:hAnsi="Times New Roman"/>
        </w:rPr>
        <w:t>《</w:t>
      </w:r>
      <w:r>
        <w:rPr>
          <w:rFonts w:ascii="Times New Roman" w:hAnsi="Times New Roman" w:hint="eastAsia"/>
        </w:rPr>
        <w:t>地表水环境质量标准</w:t>
      </w:r>
      <w:r>
        <w:rPr>
          <w:rFonts w:ascii="Times New Roman" w:hAnsi="Times New Roman"/>
        </w:rPr>
        <w:t>》</w:t>
      </w:r>
      <w:r>
        <w:rPr>
          <w:rFonts w:ascii="Times New Roman" w:hAnsi="Times New Roman" w:hint="eastAsia"/>
        </w:rPr>
        <w:t>（</w:t>
      </w:r>
      <w:r>
        <w:rPr>
          <w:rFonts w:ascii="Times New Roman" w:hAnsi="Times New Roman"/>
        </w:rPr>
        <w:t>GB3838-2002</w:t>
      </w:r>
      <w:r>
        <w:rPr>
          <w:rFonts w:ascii="Times New Roman" w:hAnsi="Times New Roman" w:hint="eastAsia"/>
        </w:rPr>
        <w:t>）</w:t>
      </w:r>
      <w:r>
        <w:rPr>
          <w:rFonts w:ascii="Times New Roman" w:hAnsi="Times New Roman" w:hint="eastAsia"/>
        </w:rPr>
        <w:t>IV</w:t>
      </w:r>
      <w:r>
        <w:rPr>
          <w:rFonts w:ascii="Times New Roman" w:hAnsi="Times New Roman" w:hint="eastAsia"/>
        </w:rPr>
        <w:t>类标准。</w:t>
      </w:r>
    </w:p>
    <w:p w14:paraId="24F84C3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大河子沟水质超标因子为化学需氧量、五日生化需氧量及氟化物。大河子沟</w:t>
      </w:r>
      <w:r>
        <w:rPr>
          <w:rFonts w:ascii="Times New Roman" w:hAnsi="Times New Roman" w:hint="eastAsia"/>
        </w:rPr>
        <w:t>5#</w:t>
      </w:r>
      <w:r>
        <w:rPr>
          <w:rFonts w:ascii="Times New Roman" w:hAnsi="Times New Roman" w:hint="eastAsia"/>
        </w:rPr>
        <w:t>化学需氧量、五日生化需氧量超标，超标率</w:t>
      </w:r>
      <w:r>
        <w:rPr>
          <w:rFonts w:ascii="Times New Roman" w:hAnsi="Times New Roman" w:hint="eastAsia"/>
        </w:rPr>
        <w:t>100%</w:t>
      </w:r>
      <w:r>
        <w:rPr>
          <w:rFonts w:ascii="Times New Roman" w:hAnsi="Times New Roman" w:hint="eastAsia"/>
        </w:rPr>
        <w:t>、</w:t>
      </w:r>
      <w:r>
        <w:rPr>
          <w:rFonts w:ascii="Times New Roman" w:hAnsi="Times New Roman" w:hint="eastAsia"/>
        </w:rPr>
        <w:t>66.67%</w:t>
      </w:r>
      <w:r>
        <w:rPr>
          <w:rFonts w:ascii="Times New Roman" w:hAnsi="Times New Roman" w:hint="eastAsia"/>
        </w:rPr>
        <w:t>，平均超标倍数</w:t>
      </w:r>
      <w:r>
        <w:rPr>
          <w:rFonts w:ascii="Times New Roman" w:hAnsi="Times New Roman" w:hint="eastAsia"/>
        </w:rPr>
        <w:t>0.16</w:t>
      </w:r>
      <w:r>
        <w:rPr>
          <w:rFonts w:ascii="Times New Roman" w:hAnsi="Times New Roman" w:hint="eastAsia"/>
        </w:rPr>
        <w:t>、</w:t>
      </w:r>
      <w:r>
        <w:rPr>
          <w:rFonts w:ascii="Times New Roman" w:hAnsi="Times New Roman" w:hint="eastAsia"/>
        </w:rPr>
        <w:t>0.05</w:t>
      </w:r>
      <w:r>
        <w:rPr>
          <w:rFonts w:ascii="Times New Roman" w:hAnsi="Times New Roman" w:hint="eastAsia"/>
        </w:rPr>
        <w:t>；大河子沟</w:t>
      </w:r>
      <w:r>
        <w:rPr>
          <w:rFonts w:ascii="Times New Roman" w:hAnsi="Times New Roman" w:hint="eastAsia"/>
        </w:rPr>
        <w:t>4#</w:t>
      </w:r>
      <w:r>
        <w:rPr>
          <w:rFonts w:ascii="Times New Roman" w:hAnsi="Times New Roman" w:hint="eastAsia"/>
        </w:rPr>
        <w:t>、</w:t>
      </w:r>
      <w:r>
        <w:rPr>
          <w:rFonts w:ascii="Times New Roman" w:hAnsi="Times New Roman" w:hint="eastAsia"/>
        </w:rPr>
        <w:t>5#</w:t>
      </w:r>
      <w:r>
        <w:rPr>
          <w:rFonts w:ascii="Times New Roman" w:hAnsi="Times New Roman" w:hint="eastAsia"/>
        </w:rPr>
        <w:t>氟化物均超标，超标率均</w:t>
      </w:r>
      <w:r>
        <w:rPr>
          <w:rFonts w:ascii="Times New Roman" w:hAnsi="Times New Roman" w:hint="eastAsia"/>
        </w:rPr>
        <w:t>100%</w:t>
      </w:r>
      <w:r>
        <w:rPr>
          <w:rFonts w:ascii="Times New Roman" w:hAnsi="Times New Roman" w:hint="eastAsia"/>
        </w:rPr>
        <w:t>，平均超标倍数分别为</w:t>
      </w:r>
      <w:r>
        <w:rPr>
          <w:rFonts w:ascii="Times New Roman" w:hAnsi="Times New Roman" w:hint="eastAsia"/>
        </w:rPr>
        <w:t>1.66</w:t>
      </w:r>
      <w:r>
        <w:rPr>
          <w:rFonts w:ascii="Times New Roman" w:hAnsi="Times New Roman" w:hint="eastAsia"/>
        </w:rPr>
        <w:t>、</w:t>
      </w:r>
      <w:r>
        <w:rPr>
          <w:rFonts w:ascii="Times New Roman" w:hAnsi="Times New Roman" w:hint="eastAsia"/>
        </w:rPr>
        <w:t>0.92</w:t>
      </w:r>
      <w:r>
        <w:rPr>
          <w:rFonts w:ascii="Times New Roman" w:hAnsi="Times New Roman" w:hint="eastAsia"/>
        </w:rPr>
        <w:t>。其余指标满足《地表水环境质量标准》（</w:t>
      </w:r>
      <w:r>
        <w:rPr>
          <w:rFonts w:ascii="Times New Roman" w:hAnsi="Times New Roman"/>
        </w:rPr>
        <w:t>GB3838-2002</w:t>
      </w:r>
      <w:r>
        <w:rPr>
          <w:rFonts w:ascii="Times New Roman" w:hAnsi="Times New Roman"/>
        </w:rPr>
        <w:t>）</w:t>
      </w:r>
      <w:r>
        <w:rPr>
          <w:rFonts w:ascii="Times New Roman" w:hAnsi="Times New Roman"/>
        </w:rPr>
        <w:t>IV</w:t>
      </w:r>
      <w:r>
        <w:rPr>
          <w:rFonts w:ascii="Times New Roman" w:hAnsi="Times New Roman"/>
        </w:rPr>
        <w:t>类标准</w:t>
      </w:r>
      <w:r>
        <w:rPr>
          <w:rFonts w:ascii="Times New Roman" w:hAnsi="Times New Roman" w:hint="eastAsia"/>
        </w:rPr>
        <w:t>。</w:t>
      </w:r>
    </w:p>
    <w:p w14:paraId="648FD42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水洞沟、大河子沟化学需氧量、五日生化需氧量及总氮超标主要是</w:t>
      </w:r>
      <w:r>
        <w:rPr>
          <w:rFonts w:ascii="Times New Roman" w:hAnsi="Times New Roman" w:hint="eastAsia"/>
          <w:szCs w:val="24"/>
          <w:lang w:val="zh-CN"/>
        </w:rPr>
        <w:t>周边农村生活污水排入及周边农田退水影响，而且</w:t>
      </w:r>
      <w:r>
        <w:rPr>
          <w:rFonts w:ascii="Times New Roman" w:hAnsi="Times New Roman" w:hint="eastAsia"/>
        </w:rPr>
        <w:t>当地水资源缺乏、降水不足，导致河流自净能力差；氟化物超标主要是区域地质所致河床岩土中含氟化物、盐类较多，水体溶解河床岩土中的氟化物和盐类，加之区域内蒸发强烈，河流补水较少，导致氟化物本底值较高，出现超标现象。</w:t>
      </w:r>
    </w:p>
    <w:p w14:paraId="7CCAF2F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根据表</w:t>
      </w:r>
      <w:r>
        <w:rPr>
          <w:rFonts w:ascii="Times New Roman" w:hAnsi="Times New Roman" w:hint="eastAsia"/>
        </w:rPr>
        <w:t>3.3-4</w:t>
      </w:r>
      <w:r>
        <w:rPr>
          <w:rFonts w:ascii="Times New Roman" w:hAnsi="Times New Roman" w:hint="eastAsia"/>
        </w:rPr>
        <w:t>可知，</w:t>
      </w:r>
      <w:r>
        <w:rPr>
          <w:rFonts w:ascii="Times New Roman" w:hAnsi="Times New Roman" w:hint="eastAsia"/>
        </w:rPr>
        <w:t>2</w:t>
      </w:r>
      <w:r>
        <w:rPr>
          <w:rFonts w:ascii="Times New Roman" w:hAnsi="Times New Roman"/>
        </w:rPr>
        <w:t>020</w:t>
      </w:r>
      <w:r>
        <w:rPr>
          <w:rFonts w:ascii="Times New Roman" w:hAnsi="Times New Roman" w:hint="eastAsia"/>
        </w:rPr>
        <w:t>年</w:t>
      </w:r>
      <w:r>
        <w:rPr>
          <w:rFonts w:ascii="Times New Roman" w:hAnsi="Times New Roman" w:hint="eastAsia"/>
        </w:rPr>
        <w:t>1</w:t>
      </w:r>
      <w:r>
        <w:rPr>
          <w:rFonts w:ascii="Times New Roman" w:hAnsi="Times New Roman" w:hint="eastAsia"/>
        </w:rPr>
        <w:t>月鸭子荡水库水质类别</w:t>
      </w:r>
      <w:r>
        <w:rPr>
          <w:rFonts w:ascii="Times New Roman" w:hAnsi="Times New Roman"/>
        </w:rPr>
        <w:t>为</w:t>
      </w:r>
      <w:r>
        <w:rPr>
          <w:rFonts w:ascii="Times New Roman" w:hAnsi="Times New Roman" w:hint="eastAsia"/>
        </w:rPr>
        <w:t xml:space="preserve"> </w:t>
      </w:r>
      <w:r>
        <w:rPr>
          <w:rFonts w:ascii="Times New Roman" w:hAnsi="Times New Roman"/>
        </w:rPr>
        <w:t xml:space="preserve">Ⅰ </w:t>
      </w:r>
      <w:r>
        <w:rPr>
          <w:rFonts w:ascii="Times New Roman" w:hAnsi="Times New Roman" w:hint="eastAsia"/>
        </w:rPr>
        <w:t>类，</w:t>
      </w:r>
      <w:r>
        <w:rPr>
          <w:rFonts w:ascii="Times New Roman" w:hAnsi="Times New Roman" w:hint="eastAsia"/>
        </w:rPr>
        <w:t>2</w:t>
      </w:r>
      <w:r>
        <w:rPr>
          <w:rFonts w:ascii="Times New Roman" w:hAnsi="Times New Roman" w:hint="eastAsia"/>
        </w:rPr>
        <w:t>月</w:t>
      </w:r>
      <w:r>
        <w:rPr>
          <w:rFonts w:ascii="Times New Roman" w:hAnsi="Times New Roman" w:hint="eastAsia"/>
        </w:rPr>
        <w:t>~4</w:t>
      </w:r>
      <w:r>
        <w:rPr>
          <w:rFonts w:ascii="Times New Roman" w:hAnsi="Times New Roman" w:hint="eastAsia"/>
        </w:rPr>
        <w:t>月水质类别为</w:t>
      </w:r>
      <w:r>
        <w:rPr>
          <w:rFonts w:ascii="Times New Roman" w:hAnsi="Times New Roman"/>
        </w:rPr>
        <w:t xml:space="preserve">Ⅱ </w:t>
      </w:r>
      <w:r>
        <w:rPr>
          <w:rFonts w:ascii="Times New Roman" w:hAnsi="Times New Roman"/>
        </w:rPr>
        <w:t>类</w:t>
      </w:r>
      <w:r>
        <w:rPr>
          <w:rFonts w:ascii="Times New Roman" w:hAnsi="Times New Roman" w:hint="eastAsia"/>
        </w:rPr>
        <w:t>，可满足《地表水环境质量标准》（</w:t>
      </w:r>
      <w:r>
        <w:rPr>
          <w:rFonts w:ascii="Times New Roman" w:hAnsi="Times New Roman"/>
        </w:rPr>
        <w:t>GB3838-2002</w:t>
      </w:r>
      <w:r>
        <w:rPr>
          <w:rFonts w:ascii="Times New Roman" w:hAnsi="Times New Roman"/>
        </w:rPr>
        <w:t>）</w:t>
      </w:r>
      <w:r>
        <w:rPr>
          <w:rFonts w:ascii="Times New Roman" w:hAnsi="Times New Roman"/>
        </w:rPr>
        <w:t xml:space="preserve">Ⅲ </w:t>
      </w:r>
      <w:r>
        <w:rPr>
          <w:rFonts w:ascii="Times New Roman" w:hAnsi="Times New Roman"/>
        </w:rPr>
        <w:t>类</w:t>
      </w:r>
      <w:r>
        <w:rPr>
          <w:rFonts w:ascii="Times New Roman" w:hAnsi="Times New Roman" w:hint="eastAsia"/>
        </w:rPr>
        <w:t>水质目标。</w:t>
      </w:r>
    </w:p>
    <w:bookmarkEnd w:id="115"/>
    <w:p w14:paraId="10D91321" w14:textId="77777777" w:rsidR="009C353B" w:rsidRDefault="00000000">
      <w:pPr>
        <w:pStyle w:val="40"/>
        <w:adjustRightInd w:val="0"/>
        <w:snapToGrid w:val="0"/>
        <w:spacing w:before="0" w:after="0" w:line="440" w:lineRule="exact"/>
        <w:rPr>
          <w:rFonts w:ascii="Times New Roman" w:eastAsia="宋体" w:hAnsi="宋体" w:hint="eastAsia"/>
          <w:sz w:val="24"/>
        </w:rPr>
      </w:pPr>
      <w:r>
        <w:rPr>
          <w:rFonts w:ascii="Times New Roman" w:eastAsia="宋体" w:hAnsi="Times New Roman"/>
          <w:sz w:val="24"/>
        </w:rPr>
        <w:t>3.3.2.2</w:t>
      </w:r>
      <w:r>
        <w:rPr>
          <w:rFonts w:ascii="Times New Roman" w:eastAsia="宋体" w:hAnsi="宋体"/>
          <w:sz w:val="24"/>
        </w:rPr>
        <w:t>地下水环境质量现状</w:t>
      </w:r>
    </w:p>
    <w:p w14:paraId="72BFA17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）监测</w:t>
      </w:r>
      <w:r>
        <w:rPr>
          <w:rFonts w:ascii="Times New Roman"/>
        </w:rPr>
        <w:t>布点</w:t>
      </w:r>
    </w:p>
    <w:p w14:paraId="3CA15EB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矿区第四系潜水</w:t>
      </w:r>
      <w:r>
        <w:rPr>
          <w:rFonts w:ascii="Times New Roman"/>
        </w:rPr>
        <w:t>含水层</w:t>
      </w:r>
      <w:r>
        <w:rPr>
          <w:rFonts w:ascii="Times New Roman" w:hint="eastAsia"/>
        </w:rPr>
        <w:t>，</w:t>
      </w:r>
      <w:r>
        <w:rPr>
          <w:rFonts w:ascii="Times New Roman"/>
        </w:rPr>
        <w:t>富水性弱，</w:t>
      </w:r>
      <w:r>
        <w:rPr>
          <w:rFonts w:ascii="Times New Roman" w:hint="eastAsia"/>
        </w:rPr>
        <w:t>大多透水不含水，</w:t>
      </w:r>
      <w:r>
        <w:rPr>
          <w:rFonts w:ascii="Times New Roman"/>
        </w:rPr>
        <w:t>仅在低洼处方含水。</w:t>
      </w:r>
      <w:r>
        <w:rPr>
          <w:rFonts w:ascii="Times New Roman" w:hint="eastAsia"/>
        </w:rPr>
        <w:t>根据以往环评资料、浅水含水层富水性及矿区水井情况，在矿区布设了</w:t>
      </w:r>
      <w:r>
        <w:rPr>
          <w:rFonts w:ascii="Times New Roman" w:hint="eastAsia"/>
        </w:rPr>
        <w:t>10</w:t>
      </w:r>
      <w:r>
        <w:rPr>
          <w:rFonts w:ascii="Times New Roman" w:hint="eastAsia"/>
        </w:rPr>
        <w:t>个地下水监测点（其中对已生产矿井及周围各布设</w:t>
      </w:r>
      <w:r>
        <w:rPr>
          <w:rFonts w:ascii="Times New Roman" w:hint="eastAsia"/>
        </w:rPr>
        <w:t>2</w:t>
      </w:r>
      <w:r>
        <w:rPr>
          <w:rFonts w:ascii="Times New Roman" w:hint="eastAsia"/>
        </w:rPr>
        <w:t>个地下水监测点，对在建矿井丁家梁煤矿布设了</w:t>
      </w:r>
      <w:r>
        <w:rPr>
          <w:rFonts w:ascii="Times New Roman" w:hint="eastAsia"/>
        </w:rPr>
        <w:t>4</w:t>
      </w:r>
      <w:r>
        <w:rPr>
          <w:rFonts w:ascii="Times New Roman" w:hint="eastAsia"/>
        </w:rPr>
        <w:t>个地下水监测点）</w:t>
      </w:r>
      <w:r>
        <w:rPr>
          <w:rFonts w:ascii="Times New Roman"/>
        </w:rPr>
        <w:t>，</w:t>
      </w:r>
      <w:r>
        <w:rPr>
          <w:rFonts w:ascii="Times New Roman" w:hint="eastAsia"/>
        </w:rPr>
        <w:t>同时对监测点周围进行调查，以此来说明矿区地下水环境质量现状，地下水监测布设点情况见表</w:t>
      </w:r>
      <w:r>
        <w:rPr>
          <w:rFonts w:ascii="Times New Roman" w:hint="eastAsia"/>
        </w:rPr>
        <w:t>3.3-5</w:t>
      </w:r>
      <w:r>
        <w:rPr>
          <w:rFonts w:ascii="Times New Roman" w:hint="eastAsia"/>
        </w:rPr>
        <w:t>，布设情况及周围调查点现场情况见图</w:t>
      </w:r>
      <w:r>
        <w:rPr>
          <w:rFonts w:ascii="Times New Roman" w:hint="eastAsia"/>
        </w:rPr>
        <w:t>3.3-2</w:t>
      </w:r>
    </w:p>
    <w:p w14:paraId="15BA82D9" w14:textId="77777777" w:rsidR="009C353B" w:rsidRDefault="00000000">
      <w:pPr>
        <w:tabs>
          <w:tab w:val="left" w:pos="6840"/>
        </w:tabs>
        <w:topLinePunct/>
        <w:adjustRightInd w:val="0"/>
        <w:snapToGrid w:val="0"/>
        <w:spacing w:line="440" w:lineRule="exact"/>
        <w:jc w:val="center"/>
        <w:rPr>
          <w:rFonts w:ascii="Times New Roman" w:hAnsi="Times New Roman"/>
          <w:b/>
          <w:kern w:val="24"/>
        </w:rPr>
      </w:pPr>
      <w:r>
        <w:rPr>
          <w:rFonts w:ascii="Times New Roman"/>
          <w:b/>
          <w:kern w:val="24"/>
        </w:rPr>
        <w:t>地下水环境质量监测</w:t>
      </w:r>
      <w:r>
        <w:rPr>
          <w:rFonts w:ascii="Times New Roman" w:hint="eastAsia"/>
          <w:b/>
          <w:kern w:val="24"/>
        </w:rPr>
        <w:t>点布设情况</w:t>
      </w:r>
    </w:p>
    <w:p w14:paraId="2F3A6A71" w14:textId="77777777" w:rsidR="009C353B" w:rsidRDefault="00000000">
      <w:pPr>
        <w:widowControl/>
        <w:adjustRightInd w:val="0"/>
        <w:snapToGrid w:val="0"/>
        <w:spacing w:line="440" w:lineRule="exact"/>
        <w:outlineLvl w:val="4"/>
        <w:rPr>
          <w:rFonts w:ascii="Times New Roman" w:hAnsi="Times New Roman"/>
          <w:kern w:val="0"/>
        </w:rPr>
      </w:pPr>
      <w:r>
        <w:rPr>
          <w:rFonts w:ascii="Times New Roman"/>
          <w:kern w:val="0"/>
        </w:rPr>
        <w:t>表</w:t>
      </w:r>
      <w:r>
        <w:rPr>
          <w:rFonts w:ascii="Times New Roman" w:hAnsi="Times New Roman"/>
          <w:kern w:val="0"/>
        </w:rPr>
        <w:t>3.3-</w:t>
      </w:r>
      <w:r>
        <w:rPr>
          <w:rFonts w:ascii="Times New Roman" w:hAnsi="Times New Roman" w:hint="eastAsia"/>
          <w:kern w:val="0"/>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7"/>
        <w:gridCol w:w="3096"/>
        <w:gridCol w:w="3094"/>
      </w:tblGrid>
      <w:tr w:rsidR="009C353B" w14:paraId="54711473" w14:textId="77777777">
        <w:trPr>
          <w:trHeight w:val="340"/>
        </w:trPr>
        <w:tc>
          <w:tcPr>
            <w:tcW w:w="1667" w:type="pct"/>
            <w:shd w:val="clear" w:color="auto" w:fill="auto"/>
            <w:noWrap/>
            <w:vAlign w:val="center"/>
          </w:tcPr>
          <w:p w14:paraId="6F123FF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监测点</w:t>
            </w:r>
            <w:r>
              <w:rPr>
                <w:rFonts w:ascii="Times New Roman" w:hAnsi="Times New Roman" w:hint="eastAsia"/>
                <w:kern w:val="0"/>
                <w:sz w:val="21"/>
                <w:szCs w:val="21"/>
              </w:rPr>
              <w:t>编号</w:t>
            </w:r>
          </w:p>
        </w:tc>
        <w:tc>
          <w:tcPr>
            <w:tcW w:w="1667" w:type="pct"/>
            <w:shd w:val="clear" w:color="auto" w:fill="auto"/>
            <w:noWrap/>
            <w:vAlign w:val="center"/>
          </w:tcPr>
          <w:p w14:paraId="2A2C316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经度</w:t>
            </w:r>
          </w:p>
        </w:tc>
        <w:tc>
          <w:tcPr>
            <w:tcW w:w="1666" w:type="pct"/>
            <w:shd w:val="clear" w:color="auto" w:fill="auto"/>
            <w:noWrap/>
            <w:vAlign w:val="center"/>
          </w:tcPr>
          <w:p w14:paraId="7C6F49D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纬度</w:t>
            </w:r>
          </w:p>
        </w:tc>
      </w:tr>
      <w:tr w:rsidR="009C353B" w14:paraId="4934AFBE" w14:textId="77777777">
        <w:trPr>
          <w:trHeight w:val="340"/>
        </w:trPr>
        <w:tc>
          <w:tcPr>
            <w:tcW w:w="1667" w:type="pct"/>
            <w:shd w:val="clear" w:color="auto" w:fill="auto"/>
            <w:noWrap/>
            <w:vAlign w:val="center"/>
          </w:tcPr>
          <w:p w14:paraId="112A5B1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r>
              <w:rPr>
                <w:rFonts w:ascii="Times New Roman" w:hAnsi="Times New Roman" w:hint="eastAsia"/>
                <w:kern w:val="0"/>
                <w:sz w:val="21"/>
                <w:szCs w:val="21"/>
              </w:rPr>
              <w:t>马莲台</w:t>
            </w:r>
          </w:p>
        </w:tc>
        <w:tc>
          <w:tcPr>
            <w:tcW w:w="1667" w:type="pct"/>
            <w:shd w:val="clear" w:color="auto" w:fill="auto"/>
            <w:noWrap/>
            <w:vAlign w:val="center"/>
          </w:tcPr>
          <w:p w14:paraId="20F6517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106°36'4''</w:t>
            </w:r>
          </w:p>
        </w:tc>
        <w:tc>
          <w:tcPr>
            <w:tcW w:w="1666" w:type="pct"/>
            <w:shd w:val="clear" w:color="auto" w:fill="auto"/>
            <w:noWrap/>
            <w:vAlign w:val="center"/>
          </w:tcPr>
          <w:p w14:paraId="24A0D5B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38°12'28''</w:t>
            </w:r>
          </w:p>
        </w:tc>
      </w:tr>
      <w:tr w:rsidR="009C353B" w14:paraId="4E4ACBD4" w14:textId="77777777">
        <w:trPr>
          <w:trHeight w:val="340"/>
        </w:trPr>
        <w:tc>
          <w:tcPr>
            <w:tcW w:w="1667" w:type="pct"/>
            <w:shd w:val="clear" w:color="auto" w:fill="auto"/>
            <w:noWrap/>
            <w:vAlign w:val="center"/>
          </w:tcPr>
          <w:p w14:paraId="0546DE1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w:t>
            </w:r>
            <w:r>
              <w:rPr>
                <w:rFonts w:ascii="Times New Roman" w:hAnsi="Times New Roman" w:hint="eastAsia"/>
                <w:kern w:val="0"/>
                <w:sz w:val="21"/>
                <w:szCs w:val="21"/>
              </w:rPr>
              <w:t>马莲台</w:t>
            </w:r>
          </w:p>
        </w:tc>
        <w:tc>
          <w:tcPr>
            <w:tcW w:w="1667" w:type="pct"/>
            <w:shd w:val="clear" w:color="auto" w:fill="auto"/>
            <w:noWrap/>
            <w:vAlign w:val="center"/>
          </w:tcPr>
          <w:p w14:paraId="0AC22E6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106°37'13''</w:t>
            </w:r>
          </w:p>
        </w:tc>
        <w:tc>
          <w:tcPr>
            <w:tcW w:w="1666" w:type="pct"/>
            <w:shd w:val="clear" w:color="auto" w:fill="auto"/>
            <w:noWrap/>
            <w:vAlign w:val="center"/>
          </w:tcPr>
          <w:p w14:paraId="567B2BC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38°13'54''</w:t>
            </w:r>
          </w:p>
        </w:tc>
      </w:tr>
      <w:tr w:rsidR="009C353B" w14:paraId="7ED1FB87" w14:textId="77777777">
        <w:trPr>
          <w:trHeight w:val="340"/>
        </w:trPr>
        <w:tc>
          <w:tcPr>
            <w:tcW w:w="1667" w:type="pct"/>
            <w:shd w:val="clear" w:color="auto" w:fill="auto"/>
            <w:noWrap/>
            <w:vAlign w:val="center"/>
          </w:tcPr>
          <w:p w14:paraId="267A64C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r>
              <w:rPr>
                <w:rFonts w:ascii="Times New Roman" w:hAnsi="Times New Roman" w:hint="eastAsia"/>
                <w:kern w:val="0"/>
                <w:sz w:val="21"/>
                <w:szCs w:val="21"/>
              </w:rPr>
              <w:t>红石湾</w:t>
            </w:r>
          </w:p>
        </w:tc>
        <w:tc>
          <w:tcPr>
            <w:tcW w:w="1667" w:type="pct"/>
            <w:shd w:val="clear" w:color="auto" w:fill="auto"/>
            <w:noWrap/>
            <w:vAlign w:val="center"/>
          </w:tcPr>
          <w:p w14:paraId="4077E05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106°31'46''</w:t>
            </w:r>
          </w:p>
        </w:tc>
        <w:tc>
          <w:tcPr>
            <w:tcW w:w="1666" w:type="pct"/>
            <w:shd w:val="clear" w:color="auto" w:fill="auto"/>
            <w:noWrap/>
            <w:vAlign w:val="center"/>
          </w:tcPr>
          <w:p w14:paraId="51E5FAC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38°16'8''</w:t>
            </w:r>
          </w:p>
        </w:tc>
      </w:tr>
      <w:tr w:rsidR="009C353B" w14:paraId="2D590430" w14:textId="77777777">
        <w:trPr>
          <w:trHeight w:val="340"/>
        </w:trPr>
        <w:tc>
          <w:tcPr>
            <w:tcW w:w="1667" w:type="pct"/>
            <w:shd w:val="clear" w:color="auto" w:fill="auto"/>
            <w:noWrap/>
            <w:vAlign w:val="center"/>
          </w:tcPr>
          <w:p w14:paraId="58AB717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w:t>
            </w:r>
            <w:r>
              <w:rPr>
                <w:rFonts w:ascii="Times New Roman" w:hAnsi="Times New Roman" w:hint="eastAsia"/>
                <w:kern w:val="0"/>
                <w:sz w:val="21"/>
                <w:szCs w:val="21"/>
              </w:rPr>
              <w:t>任家庄</w:t>
            </w:r>
          </w:p>
        </w:tc>
        <w:tc>
          <w:tcPr>
            <w:tcW w:w="1667" w:type="pct"/>
            <w:shd w:val="clear" w:color="auto" w:fill="auto"/>
            <w:noWrap/>
            <w:vAlign w:val="center"/>
          </w:tcPr>
          <w:p w14:paraId="442BB83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106°32'21''</w:t>
            </w:r>
          </w:p>
        </w:tc>
        <w:tc>
          <w:tcPr>
            <w:tcW w:w="1666" w:type="pct"/>
            <w:shd w:val="clear" w:color="auto" w:fill="auto"/>
            <w:noWrap/>
            <w:vAlign w:val="center"/>
          </w:tcPr>
          <w:p w14:paraId="5C4710B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38°14'0''</w:t>
            </w:r>
          </w:p>
        </w:tc>
      </w:tr>
      <w:tr w:rsidR="009C353B" w14:paraId="5D3EEE58" w14:textId="77777777">
        <w:trPr>
          <w:trHeight w:val="340"/>
        </w:trPr>
        <w:tc>
          <w:tcPr>
            <w:tcW w:w="1667" w:type="pct"/>
            <w:shd w:val="clear" w:color="auto" w:fill="auto"/>
            <w:noWrap/>
            <w:vAlign w:val="center"/>
          </w:tcPr>
          <w:p w14:paraId="4B0278C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w:t>
            </w:r>
            <w:r>
              <w:rPr>
                <w:rFonts w:ascii="Times New Roman" w:hAnsi="Times New Roman" w:hint="eastAsia"/>
                <w:kern w:val="0"/>
                <w:sz w:val="21"/>
                <w:szCs w:val="21"/>
              </w:rPr>
              <w:t>任家庄</w:t>
            </w:r>
          </w:p>
        </w:tc>
        <w:tc>
          <w:tcPr>
            <w:tcW w:w="1667" w:type="pct"/>
            <w:shd w:val="clear" w:color="auto" w:fill="auto"/>
            <w:noWrap/>
            <w:vAlign w:val="center"/>
          </w:tcPr>
          <w:p w14:paraId="38DF83B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106°30'51''</w:t>
            </w:r>
          </w:p>
        </w:tc>
        <w:tc>
          <w:tcPr>
            <w:tcW w:w="1666" w:type="pct"/>
            <w:shd w:val="clear" w:color="auto" w:fill="auto"/>
            <w:noWrap/>
            <w:vAlign w:val="center"/>
          </w:tcPr>
          <w:p w14:paraId="71CCEA2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38°11'54''</w:t>
            </w:r>
          </w:p>
        </w:tc>
      </w:tr>
      <w:tr w:rsidR="009C353B" w14:paraId="49E4131F" w14:textId="77777777">
        <w:trPr>
          <w:trHeight w:val="340"/>
        </w:trPr>
        <w:tc>
          <w:tcPr>
            <w:tcW w:w="1667" w:type="pct"/>
            <w:shd w:val="clear" w:color="auto" w:fill="auto"/>
            <w:noWrap/>
            <w:vAlign w:val="center"/>
          </w:tcPr>
          <w:p w14:paraId="524A97A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w:t>
            </w:r>
            <w:r>
              <w:rPr>
                <w:rFonts w:ascii="Times New Roman" w:hAnsi="Times New Roman" w:hint="eastAsia"/>
                <w:kern w:val="0"/>
                <w:sz w:val="21"/>
                <w:szCs w:val="21"/>
              </w:rPr>
              <w:t>红石湾</w:t>
            </w:r>
          </w:p>
        </w:tc>
        <w:tc>
          <w:tcPr>
            <w:tcW w:w="1667" w:type="pct"/>
            <w:shd w:val="clear" w:color="auto" w:fill="auto"/>
            <w:noWrap/>
            <w:vAlign w:val="center"/>
          </w:tcPr>
          <w:p w14:paraId="12A810C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106°31'20''</w:t>
            </w:r>
          </w:p>
        </w:tc>
        <w:tc>
          <w:tcPr>
            <w:tcW w:w="1666" w:type="pct"/>
            <w:shd w:val="clear" w:color="auto" w:fill="auto"/>
            <w:noWrap/>
            <w:vAlign w:val="center"/>
          </w:tcPr>
          <w:p w14:paraId="549742A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38°16'21''</w:t>
            </w:r>
          </w:p>
        </w:tc>
      </w:tr>
      <w:tr w:rsidR="009C353B" w14:paraId="637657EE" w14:textId="77777777">
        <w:trPr>
          <w:trHeight w:val="340"/>
        </w:trPr>
        <w:tc>
          <w:tcPr>
            <w:tcW w:w="1667" w:type="pct"/>
            <w:shd w:val="clear" w:color="auto" w:fill="auto"/>
            <w:noWrap/>
            <w:vAlign w:val="center"/>
          </w:tcPr>
          <w:p w14:paraId="4DBE77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w:t>
            </w:r>
            <w:r>
              <w:rPr>
                <w:rFonts w:ascii="Times New Roman" w:hAnsi="Times New Roman" w:hint="eastAsia"/>
                <w:kern w:val="0"/>
                <w:sz w:val="21"/>
                <w:szCs w:val="21"/>
              </w:rPr>
              <w:t>丁家梁</w:t>
            </w:r>
          </w:p>
        </w:tc>
        <w:tc>
          <w:tcPr>
            <w:tcW w:w="1667" w:type="pct"/>
            <w:shd w:val="clear" w:color="auto" w:fill="auto"/>
            <w:noWrap/>
            <w:vAlign w:val="center"/>
          </w:tcPr>
          <w:p w14:paraId="1EE967E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106°30'39''</w:t>
            </w:r>
          </w:p>
        </w:tc>
        <w:tc>
          <w:tcPr>
            <w:tcW w:w="1666" w:type="pct"/>
            <w:shd w:val="clear" w:color="auto" w:fill="auto"/>
            <w:noWrap/>
            <w:vAlign w:val="center"/>
          </w:tcPr>
          <w:p w14:paraId="7B43649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38°9'18''</w:t>
            </w:r>
          </w:p>
        </w:tc>
      </w:tr>
      <w:tr w:rsidR="009C353B" w14:paraId="7D7FDC90" w14:textId="77777777">
        <w:trPr>
          <w:trHeight w:val="340"/>
        </w:trPr>
        <w:tc>
          <w:tcPr>
            <w:tcW w:w="1667" w:type="pct"/>
            <w:shd w:val="clear" w:color="auto" w:fill="auto"/>
            <w:noWrap/>
            <w:vAlign w:val="center"/>
          </w:tcPr>
          <w:p w14:paraId="4E1841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w:t>
            </w:r>
            <w:r>
              <w:rPr>
                <w:rFonts w:ascii="Times New Roman" w:hAnsi="Times New Roman" w:hint="eastAsia"/>
                <w:kern w:val="0"/>
                <w:sz w:val="21"/>
                <w:szCs w:val="21"/>
              </w:rPr>
              <w:t>丁家梁</w:t>
            </w:r>
          </w:p>
        </w:tc>
        <w:tc>
          <w:tcPr>
            <w:tcW w:w="1667" w:type="pct"/>
            <w:shd w:val="clear" w:color="auto" w:fill="auto"/>
            <w:noWrap/>
            <w:vAlign w:val="center"/>
          </w:tcPr>
          <w:p w14:paraId="139463A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106°30'3''</w:t>
            </w:r>
          </w:p>
        </w:tc>
        <w:tc>
          <w:tcPr>
            <w:tcW w:w="1666" w:type="pct"/>
            <w:shd w:val="clear" w:color="auto" w:fill="auto"/>
            <w:noWrap/>
            <w:vAlign w:val="center"/>
          </w:tcPr>
          <w:p w14:paraId="3EC0977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38°8'8''</w:t>
            </w:r>
          </w:p>
        </w:tc>
      </w:tr>
      <w:tr w:rsidR="009C353B" w14:paraId="5145F08C" w14:textId="77777777">
        <w:trPr>
          <w:trHeight w:val="340"/>
        </w:trPr>
        <w:tc>
          <w:tcPr>
            <w:tcW w:w="1667" w:type="pct"/>
            <w:shd w:val="clear" w:color="auto" w:fill="auto"/>
            <w:noWrap/>
            <w:vAlign w:val="center"/>
          </w:tcPr>
          <w:p w14:paraId="2D3D77D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w:t>
            </w:r>
            <w:r>
              <w:rPr>
                <w:rFonts w:ascii="Times New Roman" w:hAnsi="Times New Roman" w:hint="eastAsia"/>
                <w:kern w:val="0"/>
                <w:sz w:val="21"/>
                <w:szCs w:val="21"/>
              </w:rPr>
              <w:t>丁家梁</w:t>
            </w:r>
          </w:p>
        </w:tc>
        <w:tc>
          <w:tcPr>
            <w:tcW w:w="1667" w:type="pct"/>
            <w:shd w:val="clear" w:color="auto" w:fill="auto"/>
            <w:noWrap/>
            <w:vAlign w:val="center"/>
          </w:tcPr>
          <w:p w14:paraId="2A2AA8B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106°29'1''</w:t>
            </w:r>
          </w:p>
        </w:tc>
        <w:tc>
          <w:tcPr>
            <w:tcW w:w="1666" w:type="pct"/>
            <w:shd w:val="clear" w:color="auto" w:fill="auto"/>
            <w:noWrap/>
            <w:vAlign w:val="center"/>
          </w:tcPr>
          <w:p w14:paraId="4196CD1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38°7'14''</w:t>
            </w:r>
          </w:p>
        </w:tc>
      </w:tr>
      <w:tr w:rsidR="009C353B" w14:paraId="689EF062" w14:textId="77777777">
        <w:trPr>
          <w:trHeight w:val="340"/>
        </w:trPr>
        <w:tc>
          <w:tcPr>
            <w:tcW w:w="1667" w:type="pct"/>
            <w:shd w:val="clear" w:color="auto" w:fill="auto"/>
            <w:noWrap/>
            <w:vAlign w:val="center"/>
          </w:tcPr>
          <w:p w14:paraId="032A0FD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r>
              <w:rPr>
                <w:rFonts w:ascii="Times New Roman" w:hAnsi="Times New Roman" w:hint="eastAsia"/>
                <w:kern w:val="0"/>
                <w:sz w:val="21"/>
                <w:szCs w:val="21"/>
              </w:rPr>
              <w:t>丁家梁</w:t>
            </w:r>
          </w:p>
        </w:tc>
        <w:tc>
          <w:tcPr>
            <w:tcW w:w="1667" w:type="pct"/>
            <w:shd w:val="clear" w:color="auto" w:fill="auto"/>
            <w:noWrap/>
            <w:vAlign w:val="center"/>
          </w:tcPr>
          <w:p w14:paraId="7FAF656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106°28'43''</w:t>
            </w:r>
          </w:p>
        </w:tc>
        <w:tc>
          <w:tcPr>
            <w:tcW w:w="1666" w:type="pct"/>
            <w:shd w:val="clear" w:color="auto" w:fill="auto"/>
            <w:noWrap/>
            <w:vAlign w:val="center"/>
          </w:tcPr>
          <w:p w14:paraId="06D3062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38°6'54''</w:t>
            </w:r>
          </w:p>
        </w:tc>
      </w:tr>
    </w:tbl>
    <w:p w14:paraId="3478DBF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根据现场踏勘，在布设的</w:t>
      </w:r>
      <w:r>
        <w:rPr>
          <w:rFonts w:ascii="Times New Roman" w:hint="eastAsia"/>
        </w:rPr>
        <w:t>10</w:t>
      </w:r>
      <w:r>
        <w:rPr>
          <w:rFonts w:ascii="Times New Roman" w:hint="eastAsia"/>
        </w:rPr>
        <w:t>个监测点，以及对监测点周围现场调查（现场图片见图</w:t>
      </w:r>
      <w:r>
        <w:rPr>
          <w:rFonts w:ascii="Times New Roman" w:hint="eastAsia"/>
        </w:rPr>
        <w:t>3.3-2</w:t>
      </w:r>
      <w:r>
        <w:rPr>
          <w:rFonts w:ascii="Times New Roman" w:hint="eastAsia"/>
        </w:rPr>
        <w:t>），有的水井已经消失，有的水井无水，这和项目区潜水含水层大多透水不含水，无稳定潜水含水层有关，仅在</w:t>
      </w:r>
      <w:r>
        <w:rPr>
          <w:rFonts w:ascii="Times New Roman" w:hint="eastAsia"/>
        </w:rPr>
        <w:t>1#</w:t>
      </w:r>
      <w:r>
        <w:rPr>
          <w:rFonts w:ascii="Times New Roman" w:hint="eastAsia"/>
        </w:rPr>
        <w:t>、</w:t>
      </w:r>
      <w:r>
        <w:rPr>
          <w:rFonts w:ascii="Times New Roman" w:hint="eastAsia"/>
        </w:rPr>
        <w:t>2#</w:t>
      </w:r>
      <w:r>
        <w:rPr>
          <w:rFonts w:ascii="Times New Roman" w:hint="eastAsia"/>
        </w:rPr>
        <w:t>、</w:t>
      </w:r>
      <w:r>
        <w:rPr>
          <w:rFonts w:ascii="Times New Roman" w:hint="eastAsia"/>
        </w:rPr>
        <w:t>9#</w:t>
      </w:r>
      <w:r>
        <w:rPr>
          <w:rFonts w:ascii="Times New Roman" w:hint="eastAsia"/>
        </w:rPr>
        <w:t>、</w:t>
      </w:r>
      <w:r>
        <w:rPr>
          <w:rFonts w:ascii="Times New Roman" w:hint="eastAsia"/>
        </w:rPr>
        <w:t>10#</w:t>
      </w:r>
      <w:r>
        <w:rPr>
          <w:rFonts w:ascii="Times New Roman" w:hint="eastAsia"/>
        </w:rPr>
        <w:t>存有水井且有水。本次评价对已有</w:t>
      </w:r>
      <w:r>
        <w:rPr>
          <w:rFonts w:ascii="Times New Roman" w:hint="eastAsia"/>
        </w:rPr>
        <w:t>4</w:t>
      </w:r>
      <w:r>
        <w:rPr>
          <w:rFonts w:ascii="Times New Roman" w:hint="eastAsia"/>
        </w:rPr>
        <w:t>个水井水质、水位进行监测，</w:t>
      </w:r>
      <w:r>
        <w:rPr>
          <w:rFonts w:ascii="Times New Roman" w:hint="eastAsia"/>
        </w:rPr>
        <w:t>4</w:t>
      </w:r>
      <w:r>
        <w:rPr>
          <w:rFonts w:ascii="Times New Roman" w:hint="eastAsia"/>
        </w:rPr>
        <w:t>个监测点监测情况见表</w:t>
      </w:r>
      <w:r>
        <w:rPr>
          <w:rFonts w:ascii="Times New Roman" w:hint="eastAsia"/>
        </w:rPr>
        <w:t>3.3-6</w:t>
      </w:r>
      <w:r>
        <w:rPr>
          <w:rFonts w:ascii="Times New Roman" w:hint="eastAsia"/>
        </w:rPr>
        <w:t>，地下水监测点位见图</w:t>
      </w:r>
      <w:r>
        <w:rPr>
          <w:rFonts w:ascii="Times New Roman" w:hint="eastAsia"/>
        </w:rPr>
        <w:t>3.3-</w:t>
      </w:r>
      <w:r>
        <w:rPr>
          <w:rFonts w:ascii="Times New Roman" w:hint="eastAsia"/>
        </w:rPr>
        <w:t>。</w:t>
      </w:r>
    </w:p>
    <w:p w14:paraId="1B9C1A1B" w14:textId="77777777" w:rsidR="009C353B" w:rsidRDefault="00000000">
      <w:pPr>
        <w:tabs>
          <w:tab w:val="left" w:pos="6840"/>
        </w:tabs>
        <w:topLinePunct/>
        <w:adjustRightInd w:val="0"/>
        <w:snapToGrid w:val="0"/>
        <w:spacing w:line="440" w:lineRule="exact"/>
        <w:jc w:val="center"/>
        <w:rPr>
          <w:rFonts w:ascii="Times New Roman" w:hAnsi="Times New Roman"/>
          <w:b/>
          <w:kern w:val="24"/>
        </w:rPr>
      </w:pPr>
      <w:r>
        <w:rPr>
          <w:rFonts w:ascii="Times New Roman"/>
          <w:b/>
          <w:kern w:val="24"/>
        </w:rPr>
        <w:t>地下水环境质量现状监测方案</w:t>
      </w:r>
    </w:p>
    <w:p w14:paraId="4EA24331" w14:textId="77777777" w:rsidR="009C353B" w:rsidRDefault="00000000">
      <w:pPr>
        <w:widowControl/>
        <w:adjustRightInd w:val="0"/>
        <w:snapToGrid w:val="0"/>
        <w:spacing w:line="440" w:lineRule="exact"/>
        <w:outlineLvl w:val="4"/>
        <w:rPr>
          <w:rFonts w:ascii="Times New Roman" w:hAnsi="Times New Roman"/>
          <w:kern w:val="0"/>
        </w:rPr>
      </w:pPr>
      <w:r>
        <w:rPr>
          <w:rFonts w:ascii="Times New Roman"/>
          <w:kern w:val="0"/>
        </w:rPr>
        <w:t>表</w:t>
      </w:r>
      <w:r>
        <w:rPr>
          <w:rFonts w:ascii="Times New Roman" w:hAnsi="Times New Roman"/>
          <w:kern w:val="0"/>
        </w:rPr>
        <w:t>3.3-</w:t>
      </w:r>
      <w:r>
        <w:rPr>
          <w:rFonts w:ascii="Times New Roman" w:hAnsi="Times New Roman" w:hint="eastAsia"/>
          <w:kern w:val="0"/>
        </w:rPr>
        <w:t>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884"/>
        <w:gridCol w:w="1298"/>
        <w:gridCol w:w="1347"/>
        <w:gridCol w:w="2742"/>
        <w:gridCol w:w="1429"/>
        <w:gridCol w:w="1427"/>
      </w:tblGrid>
      <w:tr w:rsidR="009C353B" w14:paraId="46E28038" w14:textId="77777777">
        <w:trPr>
          <w:trHeight w:val="340"/>
          <w:tblHeader/>
          <w:jc w:val="center"/>
        </w:trPr>
        <w:tc>
          <w:tcPr>
            <w:tcW w:w="484" w:type="pct"/>
            <w:vAlign w:val="center"/>
          </w:tcPr>
          <w:p w14:paraId="41F89048" w14:textId="77777777" w:rsidR="009C353B" w:rsidRDefault="00000000">
            <w:pPr>
              <w:topLinePunct/>
              <w:adjustRightInd w:val="0"/>
              <w:snapToGrid w:val="0"/>
              <w:jc w:val="center"/>
              <w:textAlignment w:val="baseline"/>
              <w:rPr>
                <w:rFonts w:ascii="Times New Roman" w:hAnsi="Times New Roman"/>
                <w:b/>
                <w:sz w:val="21"/>
                <w:szCs w:val="21"/>
              </w:rPr>
            </w:pPr>
            <w:r>
              <w:rPr>
                <w:rFonts w:ascii="Times New Roman" w:hAnsi="Times New Roman" w:hint="eastAsia"/>
                <w:b/>
                <w:sz w:val="21"/>
                <w:szCs w:val="21"/>
              </w:rPr>
              <w:t>编号</w:t>
            </w:r>
          </w:p>
        </w:tc>
        <w:tc>
          <w:tcPr>
            <w:tcW w:w="711" w:type="pct"/>
            <w:vAlign w:val="center"/>
          </w:tcPr>
          <w:p w14:paraId="77C4000E" w14:textId="77777777" w:rsidR="009C353B" w:rsidRDefault="00000000">
            <w:pPr>
              <w:topLinePunct/>
              <w:adjustRightInd w:val="0"/>
              <w:snapToGrid w:val="0"/>
              <w:jc w:val="center"/>
              <w:textAlignment w:val="baseline"/>
              <w:rPr>
                <w:rFonts w:ascii="Times New Roman" w:hAnsi="Times New Roman"/>
                <w:b/>
                <w:sz w:val="21"/>
                <w:szCs w:val="21"/>
              </w:rPr>
            </w:pPr>
            <w:r>
              <w:rPr>
                <w:rFonts w:ascii="Times New Roman" w:hAnsi="Times New Roman"/>
                <w:b/>
                <w:sz w:val="21"/>
                <w:szCs w:val="21"/>
              </w:rPr>
              <w:t>监测点位</w:t>
            </w:r>
          </w:p>
        </w:tc>
        <w:tc>
          <w:tcPr>
            <w:tcW w:w="738" w:type="pct"/>
            <w:vAlign w:val="center"/>
          </w:tcPr>
          <w:p w14:paraId="35431A7D" w14:textId="77777777" w:rsidR="009C353B" w:rsidRDefault="00000000">
            <w:pPr>
              <w:topLinePunct/>
              <w:adjustRightInd w:val="0"/>
              <w:snapToGrid w:val="0"/>
              <w:jc w:val="center"/>
              <w:textAlignment w:val="baseline"/>
              <w:rPr>
                <w:rFonts w:ascii="Times New Roman" w:hAnsi="Times New Roman"/>
                <w:b/>
                <w:sz w:val="21"/>
                <w:szCs w:val="21"/>
              </w:rPr>
            </w:pPr>
            <w:r>
              <w:rPr>
                <w:rFonts w:ascii="Times New Roman" w:hAnsi="Times New Roman"/>
                <w:b/>
                <w:sz w:val="21"/>
                <w:szCs w:val="21"/>
              </w:rPr>
              <w:t>位置</w:t>
            </w:r>
          </w:p>
        </w:tc>
        <w:tc>
          <w:tcPr>
            <w:tcW w:w="1502" w:type="pct"/>
            <w:vAlign w:val="center"/>
          </w:tcPr>
          <w:p w14:paraId="6A5BFB8F" w14:textId="77777777" w:rsidR="009C353B" w:rsidRDefault="00000000">
            <w:pPr>
              <w:topLinePunct/>
              <w:adjustRightInd w:val="0"/>
              <w:snapToGrid w:val="0"/>
              <w:jc w:val="center"/>
              <w:textAlignment w:val="baseline"/>
              <w:rPr>
                <w:rFonts w:ascii="Times New Roman" w:hAnsi="Times New Roman"/>
                <w:b/>
                <w:sz w:val="21"/>
                <w:szCs w:val="21"/>
              </w:rPr>
            </w:pPr>
            <w:r>
              <w:rPr>
                <w:rFonts w:ascii="Times New Roman" w:hAnsi="Times New Roman"/>
                <w:b/>
                <w:sz w:val="21"/>
                <w:szCs w:val="21"/>
              </w:rPr>
              <w:t>监测因子</w:t>
            </w:r>
          </w:p>
        </w:tc>
        <w:tc>
          <w:tcPr>
            <w:tcW w:w="783" w:type="pct"/>
            <w:vAlign w:val="center"/>
          </w:tcPr>
          <w:p w14:paraId="65CE8818" w14:textId="77777777" w:rsidR="009C353B" w:rsidRDefault="00000000">
            <w:pPr>
              <w:topLinePunct/>
              <w:adjustRightInd w:val="0"/>
              <w:snapToGrid w:val="0"/>
              <w:jc w:val="center"/>
              <w:textAlignment w:val="baseline"/>
              <w:rPr>
                <w:rFonts w:ascii="Times New Roman" w:hAnsi="Times New Roman"/>
                <w:b/>
                <w:sz w:val="21"/>
                <w:szCs w:val="21"/>
              </w:rPr>
            </w:pPr>
            <w:r>
              <w:rPr>
                <w:rFonts w:ascii="Times New Roman" w:hAnsi="Times New Roman"/>
                <w:b/>
                <w:sz w:val="21"/>
                <w:szCs w:val="21"/>
              </w:rPr>
              <w:t>监测时间</w:t>
            </w:r>
          </w:p>
        </w:tc>
        <w:tc>
          <w:tcPr>
            <w:tcW w:w="782" w:type="pct"/>
          </w:tcPr>
          <w:p w14:paraId="3F47F72E" w14:textId="77777777" w:rsidR="009C353B" w:rsidRDefault="00000000">
            <w:pPr>
              <w:topLinePunct/>
              <w:adjustRightInd w:val="0"/>
              <w:snapToGrid w:val="0"/>
              <w:jc w:val="center"/>
              <w:textAlignment w:val="baseline"/>
              <w:rPr>
                <w:rFonts w:ascii="Times New Roman" w:hAnsi="Times New Roman"/>
                <w:b/>
                <w:sz w:val="21"/>
                <w:szCs w:val="21"/>
              </w:rPr>
            </w:pPr>
            <w:r>
              <w:rPr>
                <w:rFonts w:ascii="Times New Roman" w:hAnsi="Times New Roman" w:hint="eastAsia"/>
                <w:b/>
                <w:sz w:val="21"/>
                <w:szCs w:val="21"/>
              </w:rPr>
              <w:t>监测层位</w:t>
            </w:r>
          </w:p>
        </w:tc>
      </w:tr>
      <w:tr w:rsidR="009C353B" w14:paraId="7DC66F49" w14:textId="77777777">
        <w:trPr>
          <w:trHeight w:val="340"/>
          <w:jc w:val="center"/>
        </w:trPr>
        <w:tc>
          <w:tcPr>
            <w:tcW w:w="484" w:type="pct"/>
            <w:vAlign w:val="center"/>
          </w:tcPr>
          <w:p w14:paraId="7A5DBC62" w14:textId="77777777" w:rsidR="009C353B" w:rsidRDefault="00000000">
            <w:pPr>
              <w:jc w:val="center"/>
              <w:rPr>
                <w:rFonts w:ascii="Times New Roman" w:hAnsi="Times New Roman"/>
                <w:sz w:val="21"/>
                <w:szCs w:val="21"/>
              </w:rPr>
            </w:pPr>
            <w:r>
              <w:rPr>
                <w:rFonts w:ascii="Times New Roman" w:hAnsi="Times New Roman"/>
                <w:bCs/>
                <w:sz w:val="21"/>
                <w:szCs w:val="21"/>
              </w:rPr>
              <w:t>1#</w:t>
            </w:r>
          </w:p>
        </w:tc>
        <w:tc>
          <w:tcPr>
            <w:tcW w:w="711" w:type="pct"/>
            <w:vAlign w:val="center"/>
          </w:tcPr>
          <w:p w14:paraId="7910E5D9"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kern w:val="0"/>
                <w:sz w:val="21"/>
                <w:szCs w:val="21"/>
              </w:rPr>
              <w:t>马莲台</w:t>
            </w:r>
            <w:r>
              <w:rPr>
                <w:rFonts w:ascii="Times New Roman" w:hAnsi="Times New Roman"/>
                <w:kern w:val="0"/>
                <w:sz w:val="21"/>
                <w:szCs w:val="21"/>
              </w:rPr>
              <w:t>1</w:t>
            </w:r>
          </w:p>
        </w:tc>
        <w:tc>
          <w:tcPr>
            <w:tcW w:w="738" w:type="pct"/>
            <w:shd w:val="clear" w:color="auto" w:fill="auto"/>
            <w:vAlign w:val="center"/>
          </w:tcPr>
          <w:p w14:paraId="184EA58E"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E106°36′4″</w:t>
            </w:r>
            <w:r>
              <w:rPr>
                <w:rFonts w:ascii="Times New Roman" w:hAnsi="Times New Roman"/>
                <w:sz w:val="21"/>
                <w:szCs w:val="21"/>
              </w:rPr>
              <w:t>，</w:t>
            </w:r>
          </w:p>
          <w:p w14:paraId="1C31E578"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N38°12′28″</w:t>
            </w:r>
          </w:p>
        </w:tc>
        <w:tc>
          <w:tcPr>
            <w:tcW w:w="1502" w:type="pct"/>
            <w:vMerge w:val="restart"/>
            <w:vAlign w:val="center"/>
          </w:tcPr>
          <w:p w14:paraId="413CFEDE" w14:textId="77777777" w:rsidR="009C353B" w:rsidRDefault="00000000">
            <w:pPr>
              <w:adjustRightInd w:val="0"/>
              <w:snapToGrid w:val="0"/>
              <w:jc w:val="left"/>
              <w:rPr>
                <w:rFonts w:ascii="Times New Roman" w:hAnsi="Times New Roman"/>
                <w:sz w:val="21"/>
                <w:szCs w:val="21"/>
              </w:rPr>
            </w:pPr>
            <w:r>
              <w:rPr>
                <w:rFonts w:ascii="Times New Roman" w:hAnsi="Times New Roman"/>
                <w:sz w:val="21"/>
                <w:szCs w:val="21"/>
              </w:rPr>
              <w:t>水温、</w:t>
            </w:r>
            <w:r>
              <w:rPr>
                <w:rFonts w:ascii="Times New Roman" w:hAnsi="Times New Roman"/>
                <w:sz w:val="21"/>
                <w:szCs w:val="21"/>
              </w:rPr>
              <w:t>pH</w:t>
            </w:r>
            <w:r>
              <w:rPr>
                <w:rFonts w:ascii="Times New Roman" w:hAnsi="Times New Roman"/>
                <w:sz w:val="21"/>
                <w:szCs w:val="21"/>
              </w:rPr>
              <w:t>值、总硬度、溶解性总固体、耗氧量、氨氮、硝酸盐（以</w:t>
            </w:r>
            <w:r>
              <w:rPr>
                <w:rFonts w:ascii="Times New Roman" w:hAnsi="Times New Roman"/>
                <w:sz w:val="21"/>
                <w:szCs w:val="21"/>
              </w:rPr>
              <w:t>N</w:t>
            </w:r>
            <w:r>
              <w:rPr>
                <w:rFonts w:ascii="Times New Roman" w:hAnsi="Times New Roman"/>
                <w:sz w:val="21"/>
                <w:szCs w:val="21"/>
              </w:rPr>
              <w:t>计）、亚硝酸盐（以</w:t>
            </w:r>
            <w:r>
              <w:rPr>
                <w:rFonts w:ascii="Times New Roman" w:hAnsi="Times New Roman"/>
                <w:sz w:val="21"/>
                <w:szCs w:val="21"/>
              </w:rPr>
              <w:t>N</w:t>
            </w:r>
            <w:r>
              <w:rPr>
                <w:rFonts w:ascii="Times New Roman" w:hAnsi="Times New Roman"/>
                <w:sz w:val="21"/>
                <w:szCs w:val="21"/>
              </w:rPr>
              <w:t>计）、氟化物、氯化物、氰化物、硫酸盐、挥发酚、铬（六价）、细菌总数、总大肠菌群、镉、汞、砷、铅、铁、锰、钾、钠、钙、镁、氯离子、硫酸根、碳酸根、重碳酸根</w:t>
            </w:r>
            <w:r>
              <w:rPr>
                <w:rFonts w:ascii="Times New Roman" w:hAnsi="Times New Roman" w:hint="eastAsia"/>
                <w:sz w:val="21"/>
                <w:szCs w:val="21"/>
              </w:rPr>
              <w:t>，并同步记录井深、水位、地下水埋深</w:t>
            </w:r>
          </w:p>
        </w:tc>
        <w:tc>
          <w:tcPr>
            <w:tcW w:w="783" w:type="pct"/>
            <w:vMerge w:val="restart"/>
            <w:vAlign w:val="center"/>
          </w:tcPr>
          <w:p w14:paraId="5C0A4F0E"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20</w:t>
            </w:r>
            <w:r>
              <w:rPr>
                <w:rFonts w:ascii="Times New Roman" w:hAnsi="Times New Roman" w:hint="eastAsia"/>
                <w:sz w:val="21"/>
                <w:szCs w:val="21"/>
              </w:rPr>
              <w:t>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9</w:t>
            </w:r>
            <w:r>
              <w:rPr>
                <w:rFonts w:ascii="Times New Roman" w:hAnsi="Times New Roman" w:hint="eastAsia"/>
                <w:sz w:val="21"/>
                <w:szCs w:val="21"/>
              </w:rPr>
              <w:t>日</w:t>
            </w:r>
          </w:p>
        </w:tc>
        <w:tc>
          <w:tcPr>
            <w:tcW w:w="782" w:type="pct"/>
            <w:vMerge w:val="restart"/>
            <w:vAlign w:val="center"/>
          </w:tcPr>
          <w:p w14:paraId="1287C613"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hint="eastAsia"/>
                <w:sz w:val="21"/>
                <w:szCs w:val="21"/>
              </w:rPr>
              <w:t>Q</w:t>
            </w:r>
          </w:p>
        </w:tc>
      </w:tr>
      <w:tr w:rsidR="009C353B" w14:paraId="2A4D39CF" w14:textId="77777777">
        <w:trPr>
          <w:trHeight w:val="340"/>
          <w:jc w:val="center"/>
        </w:trPr>
        <w:tc>
          <w:tcPr>
            <w:tcW w:w="484" w:type="pct"/>
            <w:vAlign w:val="center"/>
          </w:tcPr>
          <w:p w14:paraId="40A8400D" w14:textId="77777777" w:rsidR="009C353B" w:rsidRDefault="00000000">
            <w:pPr>
              <w:jc w:val="center"/>
              <w:rPr>
                <w:rFonts w:ascii="Times New Roman" w:hAnsi="Times New Roman"/>
                <w:sz w:val="21"/>
                <w:szCs w:val="21"/>
              </w:rPr>
            </w:pPr>
            <w:r>
              <w:rPr>
                <w:rFonts w:ascii="Times New Roman" w:hAnsi="Times New Roman"/>
                <w:kern w:val="0"/>
                <w:sz w:val="21"/>
                <w:szCs w:val="21"/>
              </w:rPr>
              <w:t>2#</w:t>
            </w:r>
          </w:p>
        </w:tc>
        <w:tc>
          <w:tcPr>
            <w:tcW w:w="711" w:type="pct"/>
            <w:vAlign w:val="center"/>
          </w:tcPr>
          <w:p w14:paraId="11AE085E"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kern w:val="0"/>
                <w:sz w:val="21"/>
                <w:szCs w:val="21"/>
              </w:rPr>
              <w:t>马莲台</w:t>
            </w:r>
            <w:r>
              <w:rPr>
                <w:rFonts w:ascii="Times New Roman" w:hAnsi="Times New Roman"/>
                <w:kern w:val="0"/>
                <w:sz w:val="21"/>
                <w:szCs w:val="21"/>
              </w:rPr>
              <w:t>2</w:t>
            </w:r>
          </w:p>
        </w:tc>
        <w:tc>
          <w:tcPr>
            <w:tcW w:w="738" w:type="pct"/>
            <w:shd w:val="clear" w:color="auto" w:fill="auto"/>
            <w:vAlign w:val="center"/>
          </w:tcPr>
          <w:p w14:paraId="5C83C93A"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E106°</w:t>
            </w:r>
            <w:r>
              <w:rPr>
                <w:rFonts w:ascii="Times New Roman" w:hAnsi="Times New Roman" w:hint="eastAsia"/>
                <w:sz w:val="21"/>
                <w:szCs w:val="21"/>
              </w:rPr>
              <w:t>37</w:t>
            </w:r>
            <w:r>
              <w:rPr>
                <w:rFonts w:ascii="Times New Roman" w:hAnsi="Times New Roman"/>
                <w:sz w:val="21"/>
                <w:szCs w:val="21"/>
              </w:rPr>
              <w:t>′1</w:t>
            </w:r>
            <w:r>
              <w:rPr>
                <w:rFonts w:ascii="Times New Roman" w:hAnsi="Times New Roman" w:hint="eastAsia"/>
                <w:sz w:val="21"/>
                <w:szCs w:val="21"/>
              </w:rPr>
              <w:t>3</w:t>
            </w:r>
            <w:r>
              <w:rPr>
                <w:rFonts w:ascii="Times New Roman" w:hAnsi="Times New Roman"/>
                <w:sz w:val="21"/>
                <w:szCs w:val="21"/>
              </w:rPr>
              <w:t>″</w:t>
            </w:r>
            <w:r>
              <w:rPr>
                <w:rFonts w:ascii="Times New Roman" w:hAnsi="Times New Roman"/>
                <w:sz w:val="21"/>
                <w:szCs w:val="21"/>
              </w:rPr>
              <w:t>，</w:t>
            </w:r>
          </w:p>
          <w:p w14:paraId="46CB900F"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N38°</w:t>
            </w:r>
            <w:r>
              <w:rPr>
                <w:rFonts w:ascii="Times New Roman" w:hAnsi="Times New Roman" w:hint="eastAsia"/>
                <w:sz w:val="21"/>
                <w:szCs w:val="21"/>
              </w:rPr>
              <w:t>13</w:t>
            </w:r>
            <w:r>
              <w:rPr>
                <w:rFonts w:ascii="Times New Roman" w:hAnsi="Times New Roman"/>
                <w:sz w:val="21"/>
                <w:szCs w:val="21"/>
              </w:rPr>
              <w:t>′</w:t>
            </w:r>
            <w:r>
              <w:rPr>
                <w:rFonts w:ascii="Times New Roman" w:hAnsi="Times New Roman" w:hint="eastAsia"/>
                <w:sz w:val="21"/>
                <w:szCs w:val="21"/>
              </w:rPr>
              <w:t>54</w:t>
            </w:r>
            <w:r>
              <w:rPr>
                <w:rFonts w:ascii="Times New Roman" w:hAnsi="Times New Roman"/>
                <w:sz w:val="21"/>
                <w:szCs w:val="21"/>
              </w:rPr>
              <w:t>″</w:t>
            </w:r>
          </w:p>
        </w:tc>
        <w:tc>
          <w:tcPr>
            <w:tcW w:w="1502" w:type="pct"/>
            <w:vMerge/>
            <w:vAlign w:val="center"/>
          </w:tcPr>
          <w:p w14:paraId="0A626F10" w14:textId="77777777" w:rsidR="009C353B" w:rsidRDefault="009C353B">
            <w:pPr>
              <w:topLinePunct/>
              <w:adjustRightInd w:val="0"/>
              <w:snapToGrid w:val="0"/>
              <w:jc w:val="center"/>
              <w:textAlignment w:val="baseline"/>
              <w:rPr>
                <w:rFonts w:ascii="Times New Roman" w:hAnsi="Times New Roman"/>
                <w:sz w:val="21"/>
                <w:szCs w:val="21"/>
              </w:rPr>
            </w:pPr>
          </w:p>
        </w:tc>
        <w:tc>
          <w:tcPr>
            <w:tcW w:w="783" w:type="pct"/>
            <w:vMerge/>
            <w:vAlign w:val="center"/>
          </w:tcPr>
          <w:p w14:paraId="7D4B6398" w14:textId="77777777" w:rsidR="009C353B" w:rsidRDefault="009C353B">
            <w:pPr>
              <w:topLinePunct/>
              <w:adjustRightInd w:val="0"/>
              <w:snapToGrid w:val="0"/>
              <w:jc w:val="center"/>
              <w:textAlignment w:val="baseline"/>
              <w:rPr>
                <w:rFonts w:ascii="Times New Roman" w:hAnsi="Times New Roman"/>
                <w:sz w:val="21"/>
                <w:szCs w:val="21"/>
              </w:rPr>
            </w:pPr>
          </w:p>
        </w:tc>
        <w:tc>
          <w:tcPr>
            <w:tcW w:w="782" w:type="pct"/>
            <w:vMerge/>
          </w:tcPr>
          <w:p w14:paraId="5038B38E" w14:textId="77777777" w:rsidR="009C353B" w:rsidRDefault="009C353B">
            <w:pPr>
              <w:topLinePunct/>
              <w:adjustRightInd w:val="0"/>
              <w:snapToGrid w:val="0"/>
              <w:jc w:val="center"/>
              <w:textAlignment w:val="baseline"/>
              <w:rPr>
                <w:rFonts w:ascii="Times New Roman" w:hAnsi="Times New Roman"/>
                <w:sz w:val="21"/>
                <w:szCs w:val="21"/>
              </w:rPr>
            </w:pPr>
          </w:p>
        </w:tc>
      </w:tr>
      <w:tr w:rsidR="009C353B" w14:paraId="4028ACFA" w14:textId="77777777">
        <w:trPr>
          <w:trHeight w:val="340"/>
          <w:jc w:val="center"/>
        </w:trPr>
        <w:tc>
          <w:tcPr>
            <w:tcW w:w="484" w:type="pct"/>
            <w:vAlign w:val="center"/>
          </w:tcPr>
          <w:p w14:paraId="6FAF9143" w14:textId="77777777" w:rsidR="009C353B" w:rsidRDefault="00000000">
            <w:pPr>
              <w:jc w:val="center"/>
              <w:rPr>
                <w:rFonts w:ascii="Times New Roman" w:hAnsi="Times New Roman"/>
                <w:sz w:val="21"/>
                <w:szCs w:val="21"/>
              </w:rPr>
            </w:pPr>
            <w:r>
              <w:rPr>
                <w:rFonts w:ascii="Times New Roman" w:hAnsi="Times New Roman" w:hint="eastAsia"/>
                <w:kern w:val="0"/>
                <w:sz w:val="21"/>
                <w:szCs w:val="21"/>
              </w:rPr>
              <w:t>9</w:t>
            </w:r>
            <w:r>
              <w:rPr>
                <w:rFonts w:ascii="Times New Roman" w:hAnsi="Times New Roman"/>
                <w:kern w:val="0"/>
                <w:sz w:val="21"/>
                <w:szCs w:val="21"/>
              </w:rPr>
              <w:t>#</w:t>
            </w:r>
          </w:p>
        </w:tc>
        <w:tc>
          <w:tcPr>
            <w:tcW w:w="711" w:type="pct"/>
            <w:vAlign w:val="center"/>
          </w:tcPr>
          <w:p w14:paraId="3D64BA17"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kern w:val="0"/>
                <w:sz w:val="21"/>
                <w:szCs w:val="21"/>
              </w:rPr>
              <w:t>丁家梁西部</w:t>
            </w:r>
            <w:r>
              <w:rPr>
                <w:rFonts w:ascii="Times New Roman" w:hAnsi="Times New Roman" w:hint="eastAsia"/>
                <w:kern w:val="0"/>
                <w:sz w:val="21"/>
                <w:szCs w:val="21"/>
              </w:rPr>
              <w:t>1</w:t>
            </w:r>
          </w:p>
        </w:tc>
        <w:tc>
          <w:tcPr>
            <w:tcW w:w="738" w:type="pct"/>
            <w:shd w:val="clear" w:color="auto" w:fill="auto"/>
            <w:vAlign w:val="center"/>
          </w:tcPr>
          <w:p w14:paraId="5C43DCD8"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E106°29′1″</w:t>
            </w:r>
            <w:r>
              <w:rPr>
                <w:rFonts w:ascii="Times New Roman" w:hAnsi="Times New Roman"/>
                <w:sz w:val="21"/>
                <w:szCs w:val="21"/>
              </w:rPr>
              <w:t>，</w:t>
            </w:r>
          </w:p>
          <w:p w14:paraId="327C382A"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N38°7′14″</w:t>
            </w:r>
          </w:p>
        </w:tc>
        <w:tc>
          <w:tcPr>
            <w:tcW w:w="1502" w:type="pct"/>
            <w:vMerge/>
            <w:vAlign w:val="center"/>
          </w:tcPr>
          <w:p w14:paraId="62837A19" w14:textId="77777777" w:rsidR="009C353B" w:rsidRDefault="009C353B">
            <w:pPr>
              <w:topLinePunct/>
              <w:adjustRightInd w:val="0"/>
              <w:snapToGrid w:val="0"/>
              <w:jc w:val="center"/>
              <w:textAlignment w:val="baseline"/>
              <w:rPr>
                <w:rFonts w:ascii="Times New Roman" w:hAnsi="Times New Roman"/>
                <w:sz w:val="21"/>
                <w:szCs w:val="21"/>
              </w:rPr>
            </w:pPr>
          </w:p>
        </w:tc>
        <w:tc>
          <w:tcPr>
            <w:tcW w:w="783" w:type="pct"/>
            <w:vMerge/>
            <w:vAlign w:val="center"/>
          </w:tcPr>
          <w:p w14:paraId="68EFFEED" w14:textId="77777777" w:rsidR="009C353B" w:rsidRDefault="009C353B">
            <w:pPr>
              <w:topLinePunct/>
              <w:adjustRightInd w:val="0"/>
              <w:snapToGrid w:val="0"/>
              <w:jc w:val="center"/>
              <w:textAlignment w:val="baseline"/>
              <w:rPr>
                <w:rFonts w:ascii="Times New Roman" w:hAnsi="Times New Roman"/>
                <w:sz w:val="21"/>
                <w:szCs w:val="21"/>
              </w:rPr>
            </w:pPr>
          </w:p>
        </w:tc>
        <w:tc>
          <w:tcPr>
            <w:tcW w:w="782" w:type="pct"/>
            <w:vMerge/>
          </w:tcPr>
          <w:p w14:paraId="5A13AEE0" w14:textId="77777777" w:rsidR="009C353B" w:rsidRDefault="009C353B">
            <w:pPr>
              <w:topLinePunct/>
              <w:adjustRightInd w:val="0"/>
              <w:snapToGrid w:val="0"/>
              <w:jc w:val="center"/>
              <w:textAlignment w:val="baseline"/>
              <w:rPr>
                <w:rFonts w:ascii="Times New Roman" w:hAnsi="Times New Roman"/>
                <w:sz w:val="21"/>
                <w:szCs w:val="21"/>
              </w:rPr>
            </w:pPr>
          </w:p>
        </w:tc>
      </w:tr>
      <w:tr w:rsidR="009C353B" w14:paraId="46830416" w14:textId="77777777">
        <w:trPr>
          <w:trHeight w:val="340"/>
          <w:jc w:val="center"/>
        </w:trPr>
        <w:tc>
          <w:tcPr>
            <w:tcW w:w="484" w:type="pct"/>
            <w:vAlign w:val="center"/>
          </w:tcPr>
          <w:p w14:paraId="7380D858" w14:textId="77777777" w:rsidR="009C353B" w:rsidRDefault="00000000">
            <w:pPr>
              <w:jc w:val="center"/>
              <w:rPr>
                <w:rFonts w:ascii="Times New Roman" w:hAnsi="Times New Roman"/>
                <w:sz w:val="21"/>
                <w:szCs w:val="21"/>
              </w:rPr>
            </w:pPr>
            <w:r>
              <w:rPr>
                <w:rFonts w:ascii="Times New Roman" w:hAnsi="Times New Roman" w:hint="eastAsia"/>
                <w:kern w:val="0"/>
                <w:sz w:val="21"/>
                <w:szCs w:val="21"/>
              </w:rPr>
              <w:t>10</w:t>
            </w:r>
            <w:r>
              <w:rPr>
                <w:rFonts w:ascii="Times New Roman" w:hAnsi="Times New Roman"/>
                <w:kern w:val="0"/>
                <w:sz w:val="21"/>
                <w:szCs w:val="21"/>
              </w:rPr>
              <w:t>#</w:t>
            </w:r>
          </w:p>
        </w:tc>
        <w:tc>
          <w:tcPr>
            <w:tcW w:w="711" w:type="pct"/>
            <w:vAlign w:val="center"/>
          </w:tcPr>
          <w:p w14:paraId="30F8ACE5"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kern w:val="0"/>
                <w:sz w:val="21"/>
                <w:szCs w:val="21"/>
              </w:rPr>
              <w:t>丁家梁西部</w:t>
            </w:r>
            <w:r>
              <w:rPr>
                <w:rFonts w:ascii="Times New Roman" w:hAnsi="Times New Roman" w:hint="eastAsia"/>
                <w:kern w:val="0"/>
                <w:sz w:val="21"/>
                <w:szCs w:val="21"/>
              </w:rPr>
              <w:t>2</w:t>
            </w:r>
          </w:p>
        </w:tc>
        <w:tc>
          <w:tcPr>
            <w:tcW w:w="738" w:type="pct"/>
            <w:shd w:val="clear" w:color="auto" w:fill="auto"/>
            <w:vAlign w:val="center"/>
          </w:tcPr>
          <w:p w14:paraId="4F0D89A8"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E106°28′43″</w:t>
            </w:r>
            <w:r>
              <w:rPr>
                <w:rFonts w:ascii="Times New Roman" w:hAnsi="Times New Roman"/>
                <w:sz w:val="21"/>
                <w:szCs w:val="21"/>
              </w:rPr>
              <w:t>，</w:t>
            </w:r>
          </w:p>
          <w:p w14:paraId="5566E246"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N38°6′54″</w:t>
            </w:r>
          </w:p>
        </w:tc>
        <w:tc>
          <w:tcPr>
            <w:tcW w:w="1502" w:type="pct"/>
            <w:vMerge/>
            <w:vAlign w:val="center"/>
          </w:tcPr>
          <w:p w14:paraId="67037503" w14:textId="77777777" w:rsidR="009C353B" w:rsidRDefault="009C353B">
            <w:pPr>
              <w:topLinePunct/>
              <w:adjustRightInd w:val="0"/>
              <w:snapToGrid w:val="0"/>
              <w:jc w:val="center"/>
              <w:textAlignment w:val="baseline"/>
              <w:rPr>
                <w:rFonts w:ascii="Times New Roman" w:hAnsi="Times New Roman"/>
                <w:sz w:val="21"/>
                <w:szCs w:val="21"/>
              </w:rPr>
            </w:pPr>
          </w:p>
        </w:tc>
        <w:tc>
          <w:tcPr>
            <w:tcW w:w="783" w:type="pct"/>
            <w:vMerge/>
            <w:vAlign w:val="center"/>
          </w:tcPr>
          <w:p w14:paraId="0AACEF47" w14:textId="77777777" w:rsidR="009C353B" w:rsidRDefault="009C353B">
            <w:pPr>
              <w:topLinePunct/>
              <w:adjustRightInd w:val="0"/>
              <w:snapToGrid w:val="0"/>
              <w:jc w:val="center"/>
              <w:textAlignment w:val="baseline"/>
              <w:rPr>
                <w:rFonts w:ascii="Times New Roman" w:hAnsi="Times New Roman"/>
                <w:sz w:val="21"/>
                <w:szCs w:val="21"/>
              </w:rPr>
            </w:pPr>
          </w:p>
        </w:tc>
        <w:tc>
          <w:tcPr>
            <w:tcW w:w="782" w:type="pct"/>
            <w:vMerge/>
          </w:tcPr>
          <w:p w14:paraId="27641B96" w14:textId="77777777" w:rsidR="009C353B" w:rsidRDefault="009C353B">
            <w:pPr>
              <w:topLinePunct/>
              <w:adjustRightInd w:val="0"/>
              <w:snapToGrid w:val="0"/>
              <w:jc w:val="center"/>
              <w:textAlignment w:val="baseline"/>
              <w:rPr>
                <w:rFonts w:ascii="Times New Roman" w:hAnsi="Times New Roman"/>
                <w:sz w:val="21"/>
                <w:szCs w:val="21"/>
              </w:rPr>
            </w:pPr>
          </w:p>
        </w:tc>
      </w:tr>
    </w:tbl>
    <w:p w14:paraId="2B409B7B"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szCs w:val="24"/>
        </w:rPr>
        <w:t>（</w:t>
      </w:r>
      <w:r>
        <w:rPr>
          <w:rFonts w:ascii="Times New Roman" w:hAnsi="Times New Roman"/>
          <w:szCs w:val="24"/>
        </w:rPr>
        <w:t>2</w:t>
      </w:r>
      <w:r>
        <w:rPr>
          <w:rFonts w:ascii="Times New Roman"/>
          <w:szCs w:val="24"/>
        </w:rPr>
        <w:t>）监测结果</w:t>
      </w:r>
    </w:p>
    <w:p w14:paraId="68998F34" w14:textId="77777777" w:rsidR="009C353B" w:rsidRDefault="00000000">
      <w:pPr>
        <w:adjustRightInd w:val="0"/>
        <w:snapToGrid w:val="0"/>
        <w:spacing w:line="440" w:lineRule="exact"/>
        <w:ind w:firstLineChars="200" w:firstLine="480"/>
        <w:rPr>
          <w:rFonts w:ascii="Times New Roman" w:hAnsi="Times New Roman"/>
          <w:szCs w:val="21"/>
        </w:rPr>
      </w:pPr>
      <w:r>
        <w:rPr>
          <w:rFonts w:ascii="Times New Roman"/>
          <w:szCs w:val="21"/>
        </w:rPr>
        <w:t>各监测点</w:t>
      </w:r>
      <w:r>
        <w:rPr>
          <w:rFonts w:ascii="Times New Roman" w:hint="eastAsia"/>
          <w:szCs w:val="21"/>
        </w:rPr>
        <w:t>监测</w:t>
      </w:r>
      <w:r>
        <w:rPr>
          <w:rFonts w:ascii="Times New Roman"/>
          <w:szCs w:val="21"/>
        </w:rPr>
        <w:t>结果见表</w:t>
      </w:r>
      <w:r>
        <w:rPr>
          <w:rFonts w:ascii="Times New Roman" w:hAnsi="Times New Roman"/>
          <w:szCs w:val="21"/>
        </w:rPr>
        <w:t>3.3-7</w:t>
      </w:r>
      <w:r>
        <w:rPr>
          <w:rFonts w:ascii="Times New Roman" w:hAnsi="Times New Roman" w:hint="eastAsia"/>
          <w:szCs w:val="21"/>
        </w:rPr>
        <w:t>。</w:t>
      </w:r>
    </w:p>
    <w:p w14:paraId="6617AFB4" w14:textId="77777777" w:rsidR="009C353B" w:rsidRDefault="00000000">
      <w:pPr>
        <w:adjustRightInd w:val="0"/>
        <w:snapToGrid w:val="0"/>
        <w:spacing w:line="440" w:lineRule="exact"/>
        <w:jc w:val="center"/>
        <w:rPr>
          <w:rFonts w:ascii="Times New Roman" w:hAnsi="Times New Roman"/>
          <w:b/>
          <w:szCs w:val="24"/>
        </w:rPr>
      </w:pPr>
      <w:r>
        <w:rPr>
          <w:rFonts w:ascii="Times New Roman"/>
          <w:b/>
          <w:szCs w:val="24"/>
        </w:rPr>
        <w:t>地下水环境质量现状监测结果</w:t>
      </w:r>
    </w:p>
    <w:p w14:paraId="35BC8939" w14:textId="77777777" w:rsidR="009C353B" w:rsidRDefault="00000000">
      <w:pPr>
        <w:widowControl/>
        <w:adjustRightInd w:val="0"/>
        <w:snapToGrid w:val="0"/>
        <w:spacing w:line="440" w:lineRule="exact"/>
        <w:ind w:firstLineChars="100" w:firstLine="240"/>
        <w:outlineLvl w:val="4"/>
        <w:rPr>
          <w:rFonts w:ascii="Times New Roman" w:hAnsi="Times New Roman"/>
          <w:kern w:val="0"/>
        </w:rPr>
      </w:pPr>
      <w:r>
        <w:rPr>
          <w:rFonts w:ascii="Times New Roman"/>
          <w:kern w:val="0"/>
        </w:rPr>
        <w:t>表</w:t>
      </w:r>
      <w:r>
        <w:rPr>
          <w:rFonts w:ascii="Times New Roman" w:hAnsi="Times New Roman"/>
          <w:kern w:val="0"/>
        </w:rPr>
        <w:t xml:space="preserve">3.3-7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871"/>
        <w:gridCol w:w="1255"/>
        <w:gridCol w:w="1255"/>
        <w:gridCol w:w="1255"/>
        <w:gridCol w:w="1255"/>
        <w:gridCol w:w="1048"/>
      </w:tblGrid>
      <w:tr w:rsidR="009C353B" w14:paraId="017FFAF0" w14:textId="77777777">
        <w:trPr>
          <w:trHeight w:val="340"/>
          <w:tblHeader/>
          <w:jc w:val="center"/>
        </w:trPr>
        <w:tc>
          <w:tcPr>
            <w:tcW w:w="1867" w:type="dxa"/>
            <w:vMerge w:val="restart"/>
            <w:shd w:val="clear" w:color="auto" w:fill="auto"/>
            <w:noWrap/>
            <w:vAlign w:val="center"/>
          </w:tcPr>
          <w:p w14:paraId="1CE91AB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监测项目</w:t>
            </w:r>
          </w:p>
        </w:tc>
        <w:tc>
          <w:tcPr>
            <w:tcW w:w="871" w:type="dxa"/>
            <w:vMerge w:val="restart"/>
            <w:shd w:val="clear" w:color="auto" w:fill="auto"/>
            <w:noWrap/>
            <w:vAlign w:val="center"/>
          </w:tcPr>
          <w:p w14:paraId="35B28B2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类别</w:t>
            </w:r>
          </w:p>
        </w:tc>
        <w:tc>
          <w:tcPr>
            <w:tcW w:w="0" w:type="auto"/>
            <w:gridSpan w:val="4"/>
            <w:shd w:val="clear" w:color="auto" w:fill="auto"/>
            <w:noWrap/>
            <w:vAlign w:val="center"/>
          </w:tcPr>
          <w:p w14:paraId="1D90A17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监测点位</w:t>
            </w:r>
          </w:p>
        </w:tc>
        <w:tc>
          <w:tcPr>
            <w:tcW w:w="0" w:type="auto"/>
            <w:vMerge w:val="restart"/>
            <w:shd w:val="clear" w:color="auto" w:fill="auto"/>
            <w:noWrap/>
            <w:vAlign w:val="center"/>
          </w:tcPr>
          <w:p w14:paraId="508E633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Ⅲ</w:t>
            </w:r>
            <w:r>
              <w:rPr>
                <w:rFonts w:ascii="Times New Roman" w:hAnsi="Times New Roman"/>
                <w:kern w:val="0"/>
                <w:sz w:val="21"/>
                <w:szCs w:val="21"/>
              </w:rPr>
              <w:t>类标准</w:t>
            </w:r>
          </w:p>
        </w:tc>
      </w:tr>
      <w:tr w:rsidR="009C353B" w14:paraId="5797D56B" w14:textId="77777777">
        <w:trPr>
          <w:trHeight w:val="340"/>
          <w:tblHeader/>
          <w:jc w:val="center"/>
        </w:trPr>
        <w:tc>
          <w:tcPr>
            <w:tcW w:w="1867" w:type="dxa"/>
            <w:vMerge/>
            <w:shd w:val="clear" w:color="auto" w:fill="auto"/>
            <w:vAlign w:val="center"/>
          </w:tcPr>
          <w:p w14:paraId="25CA7C24" w14:textId="77777777" w:rsidR="009C353B" w:rsidRDefault="009C353B">
            <w:pPr>
              <w:widowControl/>
              <w:jc w:val="left"/>
              <w:rPr>
                <w:rFonts w:ascii="Times New Roman" w:hAnsi="Times New Roman"/>
                <w:kern w:val="0"/>
                <w:sz w:val="21"/>
                <w:szCs w:val="21"/>
              </w:rPr>
            </w:pPr>
          </w:p>
        </w:tc>
        <w:tc>
          <w:tcPr>
            <w:tcW w:w="871" w:type="dxa"/>
            <w:vMerge/>
            <w:shd w:val="clear" w:color="auto" w:fill="auto"/>
            <w:vAlign w:val="center"/>
          </w:tcPr>
          <w:p w14:paraId="64093856" w14:textId="77777777" w:rsidR="009C353B" w:rsidRDefault="009C353B">
            <w:pPr>
              <w:widowControl/>
              <w:jc w:val="left"/>
              <w:rPr>
                <w:rFonts w:ascii="Times New Roman" w:hAnsi="Times New Roman"/>
                <w:kern w:val="0"/>
                <w:sz w:val="21"/>
                <w:szCs w:val="21"/>
              </w:rPr>
            </w:pPr>
          </w:p>
        </w:tc>
        <w:tc>
          <w:tcPr>
            <w:tcW w:w="0" w:type="auto"/>
            <w:shd w:val="clear" w:color="auto" w:fill="auto"/>
            <w:noWrap/>
            <w:vAlign w:val="center"/>
          </w:tcPr>
          <w:p w14:paraId="50C3169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c>
          <w:tcPr>
            <w:tcW w:w="0" w:type="auto"/>
            <w:shd w:val="clear" w:color="auto" w:fill="auto"/>
            <w:noWrap/>
            <w:vAlign w:val="center"/>
          </w:tcPr>
          <w:p w14:paraId="6747859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w:t>
            </w:r>
          </w:p>
        </w:tc>
        <w:tc>
          <w:tcPr>
            <w:tcW w:w="0" w:type="auto"/>
            <w:shd w:val="clear" w:color="auto" w:fill="auto"/>
            <w:noWrap/>
            <w:vAlign w:val="center"/>
          </w:tcPr>
          <w:p w14:paraId="3DDDA63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9</w:t>
            </w:r>
            <w:r>
              <w:rPr>
                <w:rFonts w:ascii="Times New Roman" w:hAnsi="Times New Roman"/>
                <w:kern w:val="0"/>
                <w:sz w:val="21"/>
                <w:szCs w:val="21"/>
              </w:rPr>
              <w:t>#</w:t>
            </w:r>
          </w:p>
        </w:tc>
        <w:tc>
          <w:tcPr>
            <w:tcW w:w="0" w:type="auto"/>
            <w:shd w:val="clear" w:color="auto" w:fill="auto"/>
            <w:noWrap/>
            <w:vAlign w:val="center"/>
          </w:tcPr>
          <w:p w14:paraId="7B3D443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10</w:t>
            </w:r>
            <w:r>
              <w:rPr>
                <w:rFonts w:ascii="Times New Roman" w:hAnsi="Times New Roman"/>
                <w:kern w:val="0"/>
                <w:sz w:val="21"/>
                <w:szCs w:val="21"/>
              </w:rPr>
              <w:t>#</w:t>
            </w:r>
          </w:p>
        </w:tc>
        <w:tc>
          <w:tcPr>
            <w:tcW w:w="0" w:type="auto"/>
            <w:vMerge/>
            <w:shd w:val="clear" w:color="auto" w:fill="auto"/>
            <w:vAlign w:val="center"/>
          </w:tcPr>
          <w:p w14:paraId="786F0ECD" w14:textId="77777777" w:rsidR="009C353B" w:rsidRDefault="009C353B">
            <w:pPr>
              <w:widowControl/>
              <w:jc w:val="left"/>
              <w:rPr>
                <w:rFonts w:ascii="Times New Roman" w:hAnsi="Times New Roman"/>
                <w:kern w:val="0"/>
                <w:sz w:val="21"/>
                <w:szCs w:val="21"/>
              </w:rPr>
            </w:pPr>
          </w:p>
        </w:tc>
      </w:tr>
      <w:tr w:rsidR="009C353B" w14:paraId="320997D8" w14:textId="77777777">
        <w:trPr>
          <w:trHeight w:val="340"/>
          <w:jc w:val="center"/>
        </w:trPr>
        <w:tc>
          <w:tcPr>
            <w:tcW w:w="1867" w:type="dxa"/>
            <w:shd w:val="clear" w:color="auto" w:fill="auto"/>
            <w:noWrap/>
            <w:vAlign w:val="center"/>
          </w:tcPr>
          <w:p w14:paraId="76E348F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水温（</w:t>
            </w:r>
            <w:r>
              <w:rPr>
                <w:rFonts w:ascii="Times New Roman" w:hAnsi="Times New Roman"/>
                <w:kern w:val="0"/>
                <w:sz w:val="21"/>
                <w:szCs w:val="21"/>
              </w:rPr>
              <w:t>℃</w:t>
            </w:r>
            <w:r>
              <w:rPr>
                <w:rFonts w:ascii="Times New Roman" w:hAnsi="Times New Roman"/>
                <w:kern w:val="0"/>
                <w:sz w:val="21"/>
                <w:szCs w:val="21"/>
              </w:rPr>
              <w:t>）</w:t>
            </w:r>
          </w:p>
        </w:tc>
        <w:tc>
          <w:tcPr>
            <w:tcW w:w="871" w:type="dxa"/>
            <w:shd w:val="clear" w:color="auto" w:fill="auto"/>
            <w:noWrap/>
            <w:vAlign w:val="center"/>
          </w:tcPr>
          <w:p w14:paraId="0872A5B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314D091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14.8</w:t>
            </w:r>
          </w:p>
        </w:tc>
        <w:tc>
          <w:tcPr>
            <w:tcW w:w="0" w:type="auto"/>
            <w:shd w:val="clear" w:color="auto" w:fill="auto"/>
            <w:noWrap/>
            <w:vAlign w:val="center"/>
          </w:tcPr>
          <w:p w14:paraId="7363AC5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14.6</w:t>
            </w:r>
          </w:p>
        </w:tc>
        <w:tc>
          <w:tcPr>
            <w:tcW w:w="0" w:type="auto"/>
            <w:shd w:val="clear" w:color="auto" w:fill="auto"/>
            <w:noWrap/>
            <w:vAlign w:val="center"/>
          </w:tcPr>
          <w:p w14:paraId="51D7B41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c>
          <w:tcPr>
            <w:tcW w:w="0" w:type="auto"/>
            <w:shd w:val="clear" w:color="auto" w:fill="auto"/>
            <w:noWrap/>
            <w:vAlign w:val="center"/>
          </w:tcPr>
          <w:p w14:paraId="5B25980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14.8</w:t>
            </w:r>
          </w:p>
        </w:tc>
        <w:tc>
          <w:tcPr>
            <w:tcW w:w="0" w:type="auto"/>
            <w:shd w:val="clear" w:color="auto" w:fill="auto"/>
            <w:vAlign w:val="center"/>
          </w:tcPr>
          <w:p w14:paraId="4C45EFB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w:t>
            </w:r>
          </w:p>
        </w:tc>
      </w:tr>
      <w:tr w:rsidR="009C353B" w14:paraId="34379E4B" w14:textId="77777777">
        <w:trPr>
          <w:trHeight w:val="340"/>
          <w:jc w:val="center"/>
        </w:trPr>
        <w:tc>
          <w:tcPr>
            <w:tcW w:w="1867" w:type="dxa"/>
            <w:vMerge w:val="restart"/>
            <w:shd w:val="clear" w:color="auto" w:fill="auto"/>
            <w:noWrap/>
            <w:vAlign w:val="center"/>
          </w:tcPr>
          <w:p w14:paraId="35130FF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pH</w:t>
            </w:r>
            <w:r>
              <w:rPr>
                <w:rFonts w:ascii="Times New Roman" w:hAnsi="Times New Roman"/>
                <w:kern w:val="0"/>
                <w:sz w:val="21"/>
                <w:szCs w:val="21"/>
              </w:rPr>
              <w:t>值</w:t>
            </w:r>
          </w:p>
        </w:tc>
        <w:tc>
          <w:tcPr>
            <w:tcW w:w="871" w:type="dxa"/>
            <w:shd w:val="clear" w:color="auto" w:fill="auto"/>
            <w:noWrap/>
            <w:vAlign w:val="center"/>
          </w:tcPr>
          <w:p w14:paraId="3757353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27A06BD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8.03</w:t>
            </w:r>
          </w:p>
        </w:tc>
        <w:tc>
          <w:tcPr>
            <w:tcW w:w="0" w:type="auto"/>
            <w:shd w:val="clear" w:color="auto" w:fill="auto"/>
            <w:noWrap/>
            <w:vAlign w:val="center"/>
          </w:tcPr>
          <w:p w14:paraId="50553B0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8.07</w:t>
            </w:r>
          </w:p>
        </w:tc>
        <w:tc>
          <w:tcPr>
            <w:tcW w:w="0" w:type="auto"/>
            <w:shd w:val="clear" w:color="auto" w:fill="auto"/>
            <w:noWrap/>
            <w:vAlign w:val="center"/>
          </w:tcPr>
          <w:p w14:paraId="70C5FF9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7.62</w:t>
            </w:r>
          </w:p>
        </w:tc>
        <w:tc>
          <w:tcPr>
            <w:tcW w:w="0" w:type="auto"/>
            <w:shd w:val="clear" w:color="auto" w:fill="auto"/>
            <w:noWrap/>
            <w:vAlign w:val="center"/>
          </w:tcPr>
          <w:p w14:paraId="76EB165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7.86</w:t>
            </w:r>
          </w:p>
        </w:tc>
        <w:tc>
          <w:tcPr>
            <w:tcW w:w="0" w:type="auto"/>
            <w:vMerge w:val="restart"/>
            <w:shd w:val="clear" w:color="auto" w:fill="auto"/>
            <w:noWrap/>
            <w:vAlign w:val="center"/>
          </w:tcPr>
          <w:p w14:paraId="33C5541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6.5~8.5</w:t>
            </w:r>
          </w:p>
        </w:tc>
      </w:tr>
      <w:tr w:rsidR="009C353B" w14:paraId="77C4BD40" w14:textId="77777777">
        <w:trPr>
          <w:trHeight w:val="340"/>
          <w:jc w:val="center"/>
        </w:trPr>
        <w:tc>
          <w:tcPr>
            <w:tcW w:w="1867" w:type="dxa"/>
            <w:vMerge/>
            <w:shd w:val="clear" w:color="auto" w:fill="auto"/>
            <w:vAlign w:val="center"/>
          </w:tcPr>
          <w:p w14:paraId="54C075F7"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767A72F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5298B58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0.69</w:t>
            </w:r>
          </w:p>
        </w:tc>
        <w:tc>
          <w:tcPr>
            <w:tcW w:w="0" w:type="auto"/>
            <w:shd w:val="clear" w:color="auto" w:fill="auto"/>
            <w:noWrap/>
            <w:vAlign w:val="center"/>
          </w:tcPr>
          <w:p w14:paraId="477919E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0.71</w:t>
            </w:r>
          </w:p>
        </w:tc>
        <w:tc>
          <w:tcPr>
            <w:tcW w:w="0" w:type="auto"/>
            <w:shd w:val="clear" w:color="auto" w:fill="auto"/>
            <w:noWrap/>
            <w:vAlign w:val="center"/>
          </w:tcPr>
          <w:p w14:paraId="0BE41B5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0.41</w:t>
            </w:r>
          </w:p>
        </w:tc>
        <w:tc>
          <w:tcPr>
            <w:tcW w:w="0" w:type="auto"/>
            <w:shd w:val="clear" w:color="auto" w:fill="auto"/>
            <w:noWrap/>
            <w:vAlign w:val="center"/>
          </w:tcPr>
          <w:p w14:paraId="48F9EA0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0.57</w:t>
            </w:r>
          </w:p>
        </w:tc>
        <w:tc>
          <w:tcPr>
            <w:tcW w:w="0" w:type="auto"/>
            <w:vMerge/>
            <w:shd w:val="clear" w:color="auto" w:fill="auto"/>
            <w:noWrap/>
            <w:vAlign w:val="center"/>
          </w:tcPr>
          <w:p w14:paraId="36947121" w14:textId="77777777" w:rsidR="009C353B" w:rsidRDefault="009C353B">
            <w:pPr>
              <w:widowControl/>
              <w:jc w:val="center"/>
              <w:rPr>
                <w:rFonts w:ascii="Times New Roman" w:hAnsi="Times New Roman"/>
                <w:kern w:val="0"/>
                <w:sz w:val="21"/>
                <w:szCs w:val="21"/>
              </w:rPr>
            </w:pPr>
          </w:p>
        </w:tc>
      </w:tr>
      <w:tr w:rsidR="009C353B" w14:paraId="56200C54" w14:textId="77777777">
        <w:trPr>
          <w:trHeight w:val="340"/>
          <w:jc w:val="center"/>
        </w:trPr>
        <w:tc>
          <w:tcPr>
            <w:tcW w:w="1867" w:type="dxa"/>
            <w:vMerge w:val="restart"/>
            <w:shd w:val="clear" w:color="auto" w:fill="auto"/>
            <w:noWrap/>
            <w:vAlign w:val="center"/>
          </w:tcPr>
          <w:p w14:paraId="519D3E4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总硬度（</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186B17B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5F798CD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256</w:t>
            </w:r>
          </w:p>
        </w:tc>
        <w:tc>
          <w:tcPr>
            <w:tcW w:w="0" w:type="auto"/>
            <w:shd w:val="clear" w:color="auto" w:fill="auto"/>
            <w:noWrap/>
            <w:vAlign w:val="center"/>
          </w:tcPr>
          <w:p w14:paraId="551DDBC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267</w:t>
            </w:r>
          </w:p>
        </w:tc>
        <w:tc>
          <w:tcPr>
            <w:tcW w:w="0" w:type="auto"/>
            <w:shd w:val="clear" w:color="auto" w:fill="auto"/>
            <w:noWrap/>
            <w:vAlign w:val="center"/>
          </w:tcPr>
          <w:p w14:paraId="7584D41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1240</w:t>
            </w:r>
          </w:p>
        </w:tc>
        <w:tc>
          <w:tcPr>
            <w:tcW w:w="0" w:type="auto"/>
            <w:shd w:val="clear" w:color="auto" w:fill="auto"/>
            <w:noWrap/>
            <w:vAlign w:val="center"/>
          </w:tcPr>
          <w:p w14:paraId="03C9EAD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321</w:t>
            </w:r>
          </w:p>
        </w:tc>
        <w:tc>
          <w:tcPr>
            <w:tcW w:w="0" w:type="auto"/>
            <w:vMerge w:val="restart"/>
            <w:shd w:val="clear" w:color="auto" w:fill="auto"/>
            <w:noWrap/>
            <w:vAlign w:val="center"/>
          </w:tcPr>
          <w:p w14:paraId="744354F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450</w:t>
            </w:r>
          </w:p>
        </w:tc>
      </w:tr>
      <w:tr w:rsidR="009C353B" w14:paraId="2B9E3FB7" w14:textId="77777777">
        <w:trPr>
          <w:trHeight w:val="340"/>
          <w:jc w:val="center"/>
        </w:trPr>
        <w:tc>
          <w:tcPr>
            <w:tcW w:w="1867" w:type="dxa"/>
            <w:vMerge/>
            <w:shd w:val="clear" w:color="auto" w:fill="auto"/>
            <w:vAlign w:val="center"/>
          </w:tcPr>
          <w:p w14:paraId="2685E921"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7A4D5F1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0545055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0.57</w:t>
            </w:r>
          </w:p>
        </w:tc>
        <w:tc>
          <w:tcPr>
            <w:tcW w:w="0" w:type="auto"/>
            <w:shd w:val="clear" w:color="auto" w:fill="auto"/>
            <w:noWrap/>
            <w:vAlign w:val="center"/>
          </w:tcPr>
          <w:p w14:paraId="43EA9F5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0.59</w:t>
            </w:r>
          </w:p>
        </w:tc>
        <w:tc>
          <w:tcPr>
            <w:tcW w:w="0" w:type="auto"/>
            <w:shd w:val="clear" w:color="auto" w:fill="auto"/>
            <w:noWrap/>
            <w:vAlign w:val="center"/>
          </w:tcPr>
          <w:p w14:paraId="1AEEAF8F"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2.76</w:t>
            </w:r>
          </w:p>
        </w:tc>
        <w:tc>
          <w:tcPr>
            <w:tcW w:w="0" w:type="auto"/>
            <w:shd w:val="clear" w:color="auto" w:fill="auto"/>
            <w:noWrap/>
            <w:vAlign w:val="center"/>
          </w:tcPr>
          <w:p w14:paraId="51D1BF3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0.71</w:t>
            </w:r>
          </w:p>
        </w:tc>
        <w:tc>
          <w:tcPr>
            <w:tcW w:w="0" w:type="auto"/>
            <w:vMerge/>
            <w:shd w:val="clear" w:color="auto" w:fill="auto"/>
            <w:noWrap/>
            <w:vAlign w:val="center"/>
          </w:tcPr>
          <w:p w14:paraId="76A178A5" w14:textId="77777777" w:rsidR="009C353B" w:rsidRDefault="009C353B">
            <w:pPr>
              <w:widowControl/>
              <w:jc w:val="center"/>
              <w:rPr>
                <w:rFonts w:ascii="Times New Roman" w:hAnsi="Times New Roman"/>
                <w:kern w:val="0"/>
                <w:sz w:val="21"/>
                <w:szCs w:val="21"/>
              </w:rPr>
            </w:pPr>
          </w:p>
        </w:tc>
      </w:tr>
      <w:tr w:rsidR="009C353B" w14:paraId="5217AE99" w14:textId="77777777">
        <w:trPr>
          <w:trHeight w:val="340"/>
          <w:jc w:val="center"/>
        </w:trPr>
        <w:tc>
          <w:tcPr>
            <w:tcW w:w="1867" w:type="dxa"/>
            <w:vMerge w:val="restart"/>
            <w:shd w:val="clear" w:color="auto" w:fill="auto"/>
            <w:noWrap/>
            <w:vAlign w:val="center"/>
          </w:tcPr>
          <w:p w14:paraId="70FF070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溶解性总固体（</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02BC7BB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13E2165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852</w:t>
            </w:r>
          </w:p>
        </w:tc>
        <w:tc>
          <w:tcPr>
            <w:tcW w:w="0" w:type="auto"/>
            <w:shd w:val="clear" w:color="auto" w:fill="auto"/>
            <w:noWrap/>
            <w:vAlign w:val="center"/>
          </w:tcPr>
          <w:p w14:paraId="637F9D5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498</w:t>
            </w:r>
          </w:p>
        </w:tc>
        <w:tc>
          <w:tcPr>
            <w:tcW w:w="0" w:type="auto"/>
            <w:shd w:val="clear" w:color="auto" w:fill="auto"/>
            <w:noWrap/>
            <w:vAlign w:val="center"/>
          </w:tcPr>
          <w:p w14:paraId="31C3D0A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3820</w:t>
            </w:r>
          </w:p>
        </w:tc>
        <w:tc>
          <w:tcPr>
            <w:tcW w:w="0" w:type="auto"/>
            <w:shd w:val="clear" w:color="auto" w:fill="auto"/>
            <w:noWrap/>
            <w:vAlign w:val="center"/>
          </w:tcPr>
          <w:p w14:paraId="4028331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822</w:t>
            </w:r>
          </w:p>
        </w:tc>
        <w:tc>
          <w:tcPr>
            <w:tcW w:w="0" w:type="auto"/>
            <w:vMerge w:val="restart"/>
            <w:shd w:val="clear" w:color="auto" w:fill="auto"/>
            <w:noWrap/>
            <w:vAlign w:val="center"/>
          </w:tcPr>
          <w:p w14:paraId="613BE6F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1000</w:t>
            </w:r>
          </w:p>
        </w:tc>
      </w:tr>
      <w:tr w:rsidR="009C353B" w14:paraId="03220008" w14:textId="77777777">
        <w:trPr>
          <w:trHeight w:val="340"/>
          <w:jc w:val="center"/>
        </w:trPr>
        <w:tc>
          <w:tcPr>
            <w:tcW w:w="1867" w:type="dxa"/>
            <w:vMerge/>
            <w:shd w:val="clear" w:color="auto" w:fill="auto"/>
            <w:vAlign w:val="center"/>
          </w:tcPr>
          <w:p w14:paraId="719217DE"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0CAA9C4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0839462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0.85</w:t>
            </w:r>
          </w:p>
        </w:tc>
        <w:tc>
          <w:tcPr>
            <w:tcW w:w="0" w:type="auto"/>
            <w:shd w:val="clear" w:color="auto" w:fill="auto"/>
            <w:noWrap/>
            <w:vAlign w:val="center"/>
          </w:tcPr>
          <w:p w14:paraId="1845062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0.50</w:t>
            </w:r>
          </w:p>
        </w:tc>
        <w:tc>
          <w:tcPr>
            <w:tcW w:w="0" w:type="auto"/>
            <w:shd w:val="clear" w:color="auto" w:fill="auto"/>
            <w:noWrap/>
            <w:vAlign w:val="center"/>
          </w:tcPr>
          <w:p w14:paraId="2B0A0B04"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3.82</w:t>
            </w:r>
          </w:p>
        </w:tc>
        <w:tc>
          <w:tcPr>
            <w:tcW w:w="0" w:type="auto"/>
            <w:shd w:val="clear" w:color="auto" w:fill="auto"/>
            <w:noWrap/>
            <w:vAlign w:val="center"/>
          </w:tcPr>
          <w:p w14:paraId="3B55742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0.82</w:t>
            </w:r>
          </w:p>
        </w:tc>
        <w:tc>
          <w:tcPr>
            <w:tcW w:w="0" w:type="auto"/>
            <w:vMerge/>
            <w:shd w:val="clear" w:color="auto" w:fill="auto"/>
            <w:noWrap/>
            <w:vAlign w:val="center"/>
          </w:tcPr>
          <w:p w14:paraId="585655AF" w14:textId="77777777" w:rsidR="009C353B" w:rsidRDefault="009C353B">
            <w:pPr>
              <w:widowControl/>
              <w:jc w:val="center"/>
              <w:rPr>
                <w:rFonts w:ascii="Times New Roman" w:hAnsi="Times New Roman"/>
                <w:kern w:val="0"/>
                <w:sz w:val="21"/>
                <w:szCs w:val="21"/>
              </w:rPr>
            </w:pPr>
          </w:p>
        </w:tc>
      </w:tr>
      <w:tr w:rsidR="009C353B" w14:paraId="6E5A4A2D" w14:textId="77777777">
        <w:trPr>
          <w:trHeight w:val="340"/>
          <w:jc w:val="center"/>
        </w:trPr>
        <w:tc>
          <w:tcPr>
            <w:tcW w:w="1867" w:type="dxa"/>
            <w:vMerge w:val="restart"/>
            <w:shd w:val="clear" w:color="auto" w:fill="auto"/>
            <w:noWrap/>
            <w:vAlign w:val="center"/>
          </w:tcPr>
          <w:p w14:paraId="4A67E42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耗氧量（</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0EA7D32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575C781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0.49</w:t>
            </w:r>
          </w:p>
        </w:tc>
        <w:tc>
          <w:tcPr>
            <w:tcW w:w="0" w:type="auto"/>
            <w:shd w:val="clear" w:color="auto" w:fill="auto"/>
            <w:noWrap/>
            <w:vAlign w:val="center"/>
          </w:tcPr>
          <w:p w14:paraId="11785DB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0.38</w:t>
            </w:r>
          </w:p>
        </w:tc>
        <w:tc>
          <w:tcPr>
            <w:tcW w:w="0" w:type="auto"/>
            <w:shd w:val="clear" w:color="auto" w:fill="auto"/>
            <w:noWrap/>
            <w:vAlign w:val="center"/>
          </w:tcPr>
          <w:p w14:paraId="51B0921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0.88</w:t>
            </w:r>
          </w:p>
        </w:tc>
        <w:tc>
          <w:tcPr>
            <w:tcW w:w="0" w:type="auto"/>
            <w:shd w:val="clear" w:color="auto" w:fill="auto"/>
            <w:noWrap/>
            <w:vAlign w:val="center"/>
          </w:tcPr>
          <w:p w14:paraId="7DE08CC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0.46</w:t>
            </w:r>
          </w:p>
        </w:tc>
        <w:tc>
          <w:tcPr>
            <w:tcW w:w="0" w:type="auto"/>
            <w:vMerge w:val="restart"/>
            <w:shd w:val="clear" w:color="auto" w:fill="auto"/>
            <w:noWrap/>
            <w:vAlign w:val="center"/>
          </w:tcPr>
          <w:p w14:paraId="2A85E9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p>
        </w:tc>
      </w:tr>
      <w:tr w:rsidR="009C353B" w14:paraId="5D9A2704" w14:textId="77777777">
        <w:trPr>
          <w:trHeight w:val="340"/>
          <w:jc w:val="center"/>
        </w:trPr>
        <w:tc>
          <w:tcPr>
            <w:tcW w:w="1867" w:type="dxa"/>
            <w:vMerge/>
            <w:shd w:val="clear" w:color="auto" w:fill="auto"/>
            <w:vAlign w:val="center"/>
          </w:tcPr>
          <w:p w14:paraId="18DC9949"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61F13F9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7F2154E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0.16</w:t>
            </w:r>
          </w:p>
        </w:tc>
        <w:tc>
          <w:tcPr>
            <w:tcW w:w="0" w:type="auto"/>
            <w:shd w:val="clear" w:color="auto" w:fill="auto"/>
            <w:noWrap/>
            <w:vAlign w:val="center"/>
          </w:tcPr>
          <w:p w14:paraId="3CC3F67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0.13</w:t>
            </w:r>
          </w:p>
        </w:tc>
        <w:tc>
          <w:tcPr>
            <w:tcW w:w="0" w:type="auto"/>
            <w:shd w:val="clear" w:color="auto" w:fill="auto"/>
            <w:noWrap/>
            <w:vAlign w:val="center"/>
          </w:tcPr>
          <w:p w14:paraId="44D3228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0.29</w:t>
            </w:r>
          </w:p>
        </w:tc>
        <w:tc>
          <w:tcPr>
            <w:tcW w:w="0" w:type="auto"/>
            <w:shd w:val="clear" w:color="auto" w:fill="auto"/>
            <w:noWrap/>
            <w:vAlign w:val="center"/>
          </w:tcPr>
          <w:p w14:paraId="72DF583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0.15</w:t>
            </w:r>
          </w:p>
        </w:tc>
        <w:tc>
          <w:tcPr>
            <w:tcW w:w="0" w:type="auto"/>
            <w:vMerge/>
            <w:shd w:val="clear" w:color="auto" w:fill="auto"/>
            <w:noWrap/>
            <w:vAlign w:val="center"/>
          </w:tcPr>
          <w:p w14:paraId="7D4866BC" w14:textId="77777777" w:rsidR="009C353B" w:rsidRDefault="009C353B">
            <w:pPr>
              <w:widowControl/>
              <w:jc w:val="center"/>
              <w:rPr>
                <w:rFonts w:ascii="Times New Roman" w:hAnsi="Times New Roman"/>
                <w:kern w:val="0"/>
                <w:sz w:val="21"/>
                <w:szCs w:val="21"/>
              </w:rPr>
            </w:pPr>
          </w:p>
        </w:tc>
      </w:tr>
      <w:tr w:rsidR="009C353B" w14:paraId="56476885" w14:textId="77777777">
        <w:trPr>
          <w:trHeight w:val="340"/>
          <w:jc w:val="center"/>
        </w:trPr>
        <w:tc>
          <w:tcPr>
            <w:tcW w:w="1867" w:type="dxa"/>
            <w:vMerge w:val="restart"/>
            <w:shd w:val="clear" w:color="auto" w:fill="auto"/>
            <w:noWrap/>
            <w:vAlign w:val="center"/>
          </w:tcPr>
          <w:p w14:paraId="7DD7B3D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氨氮（</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571C4FA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7429556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0.02</w:t>
            </w:r>
          </w:p>
        </w:tc>
        <w:tc>
          <w:tcPr>
            <w:tcW w:w="0" w:type="auto"/>
            <w:shd w:val="clear" w:color="auto" w:fill="auto"/>
            <w:noWrap/>
            <w:vAlign w:val="center"/>
          </w:tcPr>
          <w:p w14:paraId="70BEE53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0.03</w:t>
            </w:r>
          </w:p>
        </w:tc>
        <w:tc>
          <w:tcPr>
            <w:tcW w:w="0" w:type="auto"/>
            <w:shd w:val="clear" w:color="auto" w:fill="auto"/>
            <w:noWrap/>
            <w:vAlign w:val="center"/>
          </w:tcPr>
          <w:p w14:paraId="666BD52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0.07</w:t>
            </w:r>
          </w:p>
        </w:tc>
        <w:tc>
          <w:tcPr>
            <w:tcW w:w="0" w:type="auto"/>
            <w:shd w:val="clear" w:color="auto" w:fill="auto"/>
            <w:noWrap/>
            <w:vAlign w:val="center"/>
          </w:tcPr>
          <w:p w14:paraId="51DC39B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0.02</w:t>
            </w:r>
          </w:p>
        </w:tc>
        <w:tc>
          <w:tcPr>
            <w:tcW w:w="0" w:type="auto"/>
            <w:vMerge w:val="restart"/>
            <w:shd w:val="clear" w:color="auto" w:fill="auto"/>
            <w:noWrap/>
            <w:vAlign w:val="center"/>
          </w:tcPr>
          <w:p w14:paraId="089EFC7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0.5</w:t>
            </w:r>
          </w:p>
        </w:tc>
      </w:tr>
      <w:tr w:rsidR="009C353B" w14:paraId="6EDEB6D8" w14:textId="77777777">
        <w:trPr>
          <w:trHeight w:val="340"/>
          <w:jc w:val="center"/>
        </w:trPr>
        <w:tc>
          <w:tcPr>
            <w:tcW w:w="1867" w:type="dxa"/>
            <w:vMerge/>
            <w:shd w:val="clear" w:color="auto" w:fill="auto"/>
            <w:vAlign w:val="center"/>
          </w:tcPr>
          <w:p w14:paraId="0C819E9F"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63AEE73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47EA192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0.04</w:t>
            </w:r>
          </w:p>
        </w:tc>
        <w:tc>
          <w:tcPr>
            <w:tcW w:w="0" w:type="auto"/>
            <w:shd w:val="clear" w:color="auto" w:fill="auto"/>
            <w:noWrap/>
            <w:vAlign w:val="center"/>
          </w:tcPr>
          <w:p w14:paraId="7AD4C38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0.06</w:t>
            </w:r>
          </w:p>
        </w:tc>
        <w:tc>
          <w:tcPr>
            <w:tcW w:w="0" w:type="auto"/>
            <w:shd w:val="clear" w:color="auto" w:fill="auto"/>
            <w:noWrap/>
            <w:vAlign w:val="center"/>
          </w:tcPr>
          <w:p w14:paraId="4F5D759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0.14</w:t>
            </w:r>
          </w:p>
        </w:tc>
        <w:tc>
          <w:tcPr>
            <w:tcW w:w="0" w:type="auto"/>
            <w:shd w:val="clear" w:color="auto" w:fill="auto"/>
            <w:noWrap/>
            <w:vAlign w:val="center"/>
          </w:tcPr>
          <w:p w14:paraId="4F743AF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noWrap/>
            <w:vAlign w:val="center"/>
          </w:tcPr>
          <w:p w14:paraId="390779F6" w14:textId="77777777" w:rsidR="009C353B" w:rsidRDefault="009C353B">
            <w:pPr>
              <w:widowControl/>
              <w:jc w:val="center"/>
              <w:rPr>
                <w:rFonts w:ascii="Times New Roman" w:hAnsi="Times New Roman"/>
                <w:kern w:val="0"/>
                <w:sz w:val="21"/>
                <w:szCs w:val="21"/>
              </w:rPr>
            </w:pPr>
          </w:p>
        </w:tc>
      </w:tr>
      <w:tr w:rsidR="009C353B" w14:paraId="28CFD39F" w14:textId="77777777">
        <w:trPr>
          <w:trHeight w:val="340"/>
          <w:jc w:val="center"/>
        </w:trPr>
        <w:tc>
          <w:tcPr>
            <w:tcW w:w="1867" w:type="dxa"/>
            <w:vMerge w:val="restart"/>
            <w:shd w:val="clear" w:color="auto" w:fill="auto"/>
            <w:noWrap/>
            <w:vAlign w:val="center"/>
          </w:tcPr>
          <w:p w14:paraId="71196C8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硝酸盐（以</w:t>
            </w:r>
            <w:r>
              <w:rPr>
                <w:rFonts w:ascii="Times New Roman" w:hAnsi="Times New Roman"/>
                <w:kern w:val="0"/>
                <w:sz w:val="21"/>
                <w:szCs w:val="21"/>
              </w:rPr>
              <w:t>N</w:t>
            </w:r>
            <w:r>
              <w:rPr>
                <w:rFonts w:ascii="Times New Roman" w:hAnsi="Times New Roman"/>
                <w:kern w:val="0"/>
                <w:sz w:val="21"/>
                <w:szCs w:val="21"/>
              </w:rPr>
              <w:t>计）（</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77669FF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37137D8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15.5</w:t>
            </w:r>
          </w:p>
        </w:tc>
        <w:tc>
          <w:tcPr>
            <w:tcW w:w="0" w:type="auto"/>
            <w:shd w:val="clear" w:color="auto" w:fill="auto"/>
            <w:noWrap/>
            <w:vAlign w:val="center"/>
          </w:tcPr>
          <w:p w14:paraId="01C28F5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10.5</w:t>
            </w:r>
          </w:p>
        </w:tc>
        <w:tc>
          <w:tcPr>
            <w:tcW w:w="0" w:type="auto"/>
            <w:shd w:val="clear" w:color="auto" w:fill="auto"/>
            <w:noWrap/>
            <w:vAlign w:val="center"/>
          </w:tcPr>
          <w:p w14:paraId="2000B48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5.35</w:t>
            </w:r>
          </w:p>
        </w:tc>
        <w:tc>
          <w:tcPr>
            <w:tcW w:w="0" w:type="auto"/>
            <w:shd w:val="clear" w:color="auto" w:fill="auto"/>
            <w:noWrap/>
            <w:vAlign w:val="center"/>
          </w:tcPr>
          <w:p w14:paraId="561B397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16.3</w:t>
            </w:r>
          </w:p>
        </w:tc>
        <w:tc>
          <w:tcPr>
            <w:tcW w:w="0" w:type="auto"/>
            <w:vMerge w:val="restart"/>
            <w:shd w:val="clear" w:color="auto" w:fill="auto"/>
            <w:noWrap/>
            <w:vAlign w:val="center"/>
          </w:tcPr>
          <w:p w14:paraId="6D77D26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w:t>
            </w:r>
          </w:p>
        </w:tc>
      </w:tr>
      <w:tr w:rsidR="009C353B" w14:paraId="30E7C8F3" w14:textId="77777777">
        <w:trPr>
          <w:trHeight w:val="340"/>
          <w:jc w:val="center"/>
        </w:trPr>
        <w:tc>
          <w:tcPr>
            <w:tcW w:w="1867" w:type="dxa"/>
            <w:vMerge/>
            <w:shd w:val="clear" w:color="auto" w:fill="auto"/>
            <w:vAlign w:val="center"/>
          </w:tcPr>
          <w:p w14:paraId="47F64DB5"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4F0FF58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324A9DD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0.78</w:t>
            </w:r>
          </w:p>
        </w:tc>
        <w:tc>
          <w:tcPr>
            <w:tcW w:w="0" w:type="auto"/>
            <w:shd w:val="clear" w:color="auto" w:fill="auto"/>
            <w:noWrap/>
            <w:vAlign w:val="center"/>
          </w:tcPr>
          <w:p w14:paraId="73965FF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0.53</w:t>
            </w:r>
          </w:p>
        </w:tc>
        <w:tc>
          <w:tcPr>
            <w:tcW w:w="0" w:type="auto"/>
            <w:shd w:val="clear" w:color="auto" w:fill="auto"/>
            <w:noWrap/>
            <w:vAlign w:val="center"/>
          </w:tcPr>
          <w:p w14:paraId="6AEBF07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0.27</w:t>
            </w:r>
          </w:p>
        </w:tc>
        <w:tc>
          <w:tcPr>
            <w:tcW w:w="0" w:type="auto"/>
            <w:shd w:val="clear" w:color="auto" w:fill="auto"/>
            <w:noWrap/>
            <w:vAlign w:val="center"/>
          </w:tcPr>
          <w:p w14:paraId="7875544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0.82</w:t>
            </w:r>
          </w:p>
        </w:tc>
        <w:tc>
          <w:tcPr>
            <w:tcW w:w="0" w:type="auto"/>
            <w:vMerge/>
            <w:shd w:val="clear" w:color="auto" w:fill="auto"/>
            <w:noWrap/>
            <w:vAlign w:val="center"/>
          </w:tcPr>
          <w:p w14:paraId="482E3D05" w14:textId="77777777" w:rsidR="009C353B" w:rsidRDefault="009C353B">
            <w:pPr>
              <w:widowControl/>
              <w:jc w:val="center"/>
              <w:rPr>
                <w:rFonts w:ascii="Times New Roman" w:hAnsi="Times New Roman"/>
                <w:kern w:val="0"/>
                <w:sz w:val="21"/>
                <w:szCs w:val="21"/>
              </w:rPr>
            </w:pPr>
          </w:p>
        </w:tc>
      </w:tr>
      <w:tr w:rsidR="009C353B" w14:paraId="3EED5719" w14:textId="77777777">
        <w:trPr>
          <w:trHeight w:val="340"/>
          <w:jc w:val="center"/>
        </w:trPr>
        <w:tc>
          <w:tcPr>
            <w:tcW w:w="1867" w:type="dxa"/>
            <w:vMerge w:val="restart"/>
            <w:shd w:val="clear" w:color="auto" w:fill="auto"/>
            <w:noWrap/>
            <w:vAlign w:val="center"/>
          </w:tcPr>
          <w:p w14:paraId="4714EDD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亚硝酸盐（以</w:t>
            </w:r>
            <w:r>
              <w:rPr>
                <w:rFonts w:ascii="Times New Roman" w:hAnsi="Times New Roman"/>
                <w:kern w:val="0"/>
                <w:sz w:val="21"/>
                <w:szCs w:val="21"/>
              </w:rPr>
              <w:t>N</w:t>
            </w:r>
            <w:r>
              <w:rPr>
                <w:rFonts w:ascii="Times New Roman" w:hAnsi="Times New Roman"/>
                <w:kern w:val="0"/>
                <w:sz w:val="21"/>
                <w:szCs w:val="21"/>
              </w:rPr>
              <w:t>计）（</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08F5299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404999E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0.001</w:t>
            </w:r>
          </w:p>
        </w:tc>
        <w:tc>
          <w:tcPr>
            <w:tcW w:w="0" w:type="auto"/>
            <w:shd w:val="clear" w:color="auto" w:fill="auto"/>
            <w:noWrap/>
            <w:vAlign w:val="center"/>
          </w:tcPr>
          <w:p w14:paraId="62A27CD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0.001</w:t>
            </w:r>
          </w:p>
        </w:tc>
        <w:tc>
          <w:tcPr>
            <w:tcW w:w="0" w:type="auto"/>
            <w:shd w:val="clear" w:color="auto" w:fill="auto"/>
            <w:noWrap/>
            <w:vAlign w:val="center"/>
          </w:tcPr>
          <w:p w14:paraId="0E9C7EA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0.007</w:t>
            </w:r>
          </w:p>
        </w:tc>
        <w:tc>
          <w:tcPr>
            <w:tcW w:w="0" w:type="auto"/>
            <w:shd w:val="clear" w:color="auto" w:fill="auto"/>
            <w:noWrap/>
            <w:vAlign w:val="center"/>
          </w:tcPr>
          <w:p w14:paraId="24B497A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0.001</w:t>
            </w:r>
          </w:p>
        </w:tc>
        <w:tc>
          <w:tcPr>
            <w:tcW w:w="0" w:type="auto"/>
            <w:vMerge w:val="restart"/>
            <w:shd w:val="clear" w:color="auto" w:fill="auto"/>
            <w:noWrap/>
            <w:vAlign w:val="center"/>
          </w:tcPr>
          <w:p w14:paraId="3F29BAB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r>
      <w:tr w:rsidR="009C353B" w14:paraId="5C9485A5" w14:textId="77777777">
        <w:trPr>
          <w:trHeight w:val="340"/>
          <w:jc w:val="center"/>
        </w:trPr>
        <w:tc>
          <w:tcPr>
            <w:tcW w:w="1867" w:type="dxa"/>
            <w:vMerge/>
            <w:shd w:val="clear" w:color="auto" w:fill="auto"/>
            <w:vAlign w:val="center"/>
          </w:tcPr>
          <w:p w14:paraId="323338A5"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7210CE4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09C59C4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7D095BF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6B1AA69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c>
          <w:tcPr>
            <w:tcW w:w="0" w:type="auto"/>
            <w:shd w:val="clear" w:color="auto" w:fill="auto"/>
            <w:noWrap/>
            <w:vAlign w:val="center"/>
          </w:tcPr>
          <w:p w14:paraId="7876CDB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noWrap/>
            <w:vAlign w:val="center"/>
          </w:tcPr>
          <w:p w14:paraId="00BFE3D8" w14:textId="77777777" w:rsidR="009C353B" w:rsidRDefault="009C353B">
            <w:pPr>
              <w:jc w:val="center"/>
              <w:rPr>
                <w:rFonts w:ascii="Times New Roman" w:hAnsi="Times New Roman"/>
                <w:kern w:val="0"/>
                <w:sz w:val="21"/>
                <w:szCs w:val="21"/>
              </w:rPr>
            </w:pPr>
          </w:p>
        </w:tc>
      </w:tr>
      <w:tr w:rsidR="009C353B" w14:paraId="44926D26" w14:textId="77777777">
        <w:trPr>
          <w:trHeight w:val="340"/>
          <w:jc w:val="center"/>
        </w:trPr>
        <w:tc>
          <w:tcPr>
            <w:tcW w:w="1867" w:type="dxa"/>
            <w:vMerge w:val="restart"/>
            <w:shd w:val="clear" w:color="auto" w:fill="auto"/>
            <w:noWrap/>
            <w:vAlign w:val="center"/>
          </w:tcPr>
          <w:p w14:paraId="48D8034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2202952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5820FB9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3.7</w:t>
            </w:r>
          </w:p>
        </w:tc>
        <w:tc>
          <w:tcPr>
            <w:tcW w:w="0" w:type="auto"/>
            <w:shd w:val="clear" w:color="auto" w:fill="auto"/>
            <w:noWrap/>
            <w:vAlign w:val="center"/>
          </w:tcPr>
          <w:p w14:paraId="0461BF4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1.57</w:t>
            </w:r>
          </w:p>
        </w:tc>
        <w:tc>
          <w:tcPr>
            <w:tcW w:w="0" w:type="auto"/>
            <w:shd w:val="clear" w:color="auto" w:fill="auto"/>
            <w:noWrap/>
            <w:vAlign w:val="center"/>
          </w:tcPr>
          <w:p w14:paraId="34F4E42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3.99</w:t>
            </w:r>
          </w:p>
        </w:tc>
        <w:tc>
          <w:tcPr>
            <w:tcW w:w="0" w:type="auto"/>
            <w:shd w:val="clear" w:color="auto" w:fill="auto"/>
            <w:noWrap/>
            <w:vAlign w:val="center"/>
          </w:tcPr>
          <w:p w14:paraId="31E2B88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1.22</w:t>
            </w:r>
          </w:p>
        </w:tc>
        <w:tc>
          <w:tcPr>
            <w:tcW w:w="0" w:type="auto"/>
            <w:vMerge w:val="restart"/>
            <w:shd w:val="clear" w:color="auto" w:fill="auto"/>
            <w:noWrap/>
            <w:vAlign w:val="center"/>
          </w:tcPr>
          <w:p w14:paraId="61CE5B5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p>
        </w:tc>
      </w:tr>
      <w:tr w:rsidR="009C353B" w14:paraId="5BB75B26" w14:textId="77777777">
        <w:trPr>
          <w:trHeight w:val="340"/>
          <w:jc w:val="center"/>
        </w:trPr>
        <w:tc>
          <w:tcPr>
            <w:tcW w:w="1867" w:type="dxa"/>
            <w:vMerge/>
            <w:shd w:val="clear" w:color="auto" w:fill="auto"/>
            <w:vAlign w:val="center"/>
          </w:tcPr>
          <w:p w14:paraId="40721728"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73EF36E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3B19AF1B"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3.70</w:t>
            </w:r>
          </w:p>
        </w:tc>
        <w:tc>
          <w:tcPr>
            <w:tcW w:w="0" w:type="auto"/>
            <w:shd w:val="clear" w:color="auto" w:fill="auto"/>
            <w:noWrap/>
            <w:vAlign w:val="center"/>
          </w:tcPr>
          <w:p w14:paraId="635F7666"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1.57</w:t>
            </w:r>
          </w:p>
        </w:tc>
        <w:tc>
          <w:tcPr>
            <w:tcW w:w="0" w:type="auto"/>
            <w:shd w:val="clear" w:color="auto" w:fill="auto"/>
            <w:noWrap/>
            <w:vAlign w:val="center"/>
          </w:tcPr>
          <w:p w14:paraId="604E0DDB"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3.99</w:t>
            </w:r>
          </w:p>
        </w:tc>
        <w:tc>
          <w:tcPr>
            <w:tcW w:w="0" w:type="auto"/>
            <w:shd w:val="clear" w:color="auto" w:fill="auto"/>
            <w:noWrap/>
            <w:vAlign w:val="center"/>
          </w:tcPr>
          <w:p w14:paraId="2D766C7E"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1.22</w:t>
            </w:r>
          </w:p>
        </w:tc>
        <w:tc>
          <w:tcPr>
            <w:tcW w:w="0" w:type="auto"/>
            <w:vMerge/>
            <w:shd w:val="clear" w:color="auto" w:fill="auto"/>
            <w:noWrap/>
            <w:vAlign w:val="center"/>
          </w:tcPr>
          <w:p w14:paraId="332CE0C3" w14:textId="77777777" w:rsidR="009C353B" w:rsidRDefault="009C353B">
            <w:pPr>
              <w:widowControl/>
              <w:jc w:val="center"/>
              <w:rPr>
                <w:rFonts w:ascii="Times New Roman" w:hAnsi="Times New Roman"/>
                <w:b/>
                <w:bCs/>
                <w:kern w:val="0"/>
                <w:sz w:val="21"/>
                <w:szCs w:val="21"/>
              </w:rPr>
            </w:pPr>
          </w:p>
        </w:tc>
      </w:tr>
      <w:tr w:rsidR="009C353B" w14:paraId="00FA8614" w14:textId="77777777">
        <w:trPr>
          <w:trHeight w:val="340"/>
          <w:jc w:val="center"/>
        </w:trPr>
        <w:tc>
          <w:tcPr>
            <w:tcW w:w="1867" w:type="dxa"/>
            <w:vMerge w:val="restart"/>
            <w:shd w:val="clear" w:color="auto" w:fill="auto"/>
            <w:noWrap/>
            <w:vAlign w:val="center"/>
          </w:tcPr>
          <w:p w14:paraId="2430B77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氯化物（</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7BFC2BD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142A095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161</w:t>
            </w:r>
          </w:p>
        </w:tc>
        <w:tc>
          <w:tcPr>
            <w:tcW w:w="0" w:type="auto"/>
            <w:shd w:val="clear" w:color="auto" w:fill="auto"/>
            <w:noWrap/>
            <w:vAlign w:val="center"/>
          </w:tcPr>
          <w:p w14:paraId="2BB4C70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89.2</w:t>
            </w:r>
          </w:p>
        </w:tc>
        <w:tc>
          <w:tcPr>
            <w:tcW w:w="0" w:type="auto"/>
            <w:shd w:val="clear" w:color="auto" w:fill="auto"/>
            <w:noWrap/>
            <w:vAlign w:val="center"/>
          </w:tcPr>
          <w:p w14:paraId="5144973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1000</w:t>
            </w:r>
          </w:p>
        </w:tc>
        <w:tc>
          <w:tcPr>
            <w:tcW w:w="0" w:type="auto"/>
            <w:shd w:val="clear" w:color="auto" w:fill="auto"/>
            <w:noWrap/>
            <w:vAlign w:val="center"/>
          </w:tcPr>
          <w:p w14:paraId="4F69BE8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141</w:t>
            </w:r>
          </w:p>
        </w:tc>
        <w:tc>
          <w:tcPr>
            <w:tcW w:w="0" w:type="auto"/>
            <w:vMerge w:val="restart"/>
            <w:shd w:val="clear" w:color="auto" w:fill="auto"/>
            <w:noWrap/>
            <w:vAlign w:val="center"/>
          </w:tcPr>
          <w:p w14:paraId="26BECE3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250</w:t>
            </w:r>
          </w:p>
        </w:tc>
      </w:tr>
      <w:tr w:rsidR="009C353B" w14:paraId="3272E84A" w14:textId="77777777">
        <w:trPr>
          <w:trHeight w:val="340"/>
          <w:jc w:val="center"/>
        </w:trPr>
        <w:tc>
          <w:tcPr>
            <w:tcW w:w="1867" w:type="dxa"/>
            <w:vMerge/>
            <w:shd w:val="clear" w:color="auto" w:fill="auto"/>
            <w:vAlign w:val="center"/>
          </w:tcPr>
          <w:p w14:paraId="25F65C2C"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773AD29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26AD983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0.64</w:t>
            </w:r>
          </w:p>
        </w:tc>
        <w:tc>
          <w:tcPr>
            <w:tcW w:w="0" w:type="auto"/>
            <w:shd w:val="clear" w:color="auto" w:fill="auto"/>
            <w:noWrap/>
            <w:vAlign w:val="center"/>
          </w:tcPr>
          <w:p w14:paraId="6CB5AF2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0.36</w:t>
            </w:r>
          </w:p>
        </w:tc>
        <w:tc>
          <w:tcPr>
            <w:tcW w:w="0" w:type="auto"/>
            <w:shd w:val="clear" w:color="auto" w:fill="auto"/>
            <w:noWrap/>
            <w:vAlign w:val="center"/>
          </w:tcPr>
          <w:p w14:paraId="110C5876"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4.00</w:t>
            </w:r>
          </w:p>
        </w:tc>
        <w:tc>
          <w:tcPr>
            <w:tcW w:w="0" w:type="auto"/>
            <w:shd w:val="clear" w:color="auto" w:fill="auto"/>
            <w:noWrap/>
            <w:vAlign w:val="center"/>
          </w:tcPr>
          <w:p w14:paraId="21AA67D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0.56</w:t>
            </w:r>
          </w:p>
        </w:tc>
        <w:tc>
          <w:tcPr>
            <w:tcW w:w="0" w:type="auto"/>
            <w:vMerge/>
            <w:shd w:val="clear" w:color="auto" w:fill="auto"/>
            <w:noWrap/>
            <w:vAlign w:val="center"/>
          </w:tcPr>
          <w:p w14:paraId="215E1C5D" w14:textId="77777777" w:rsidR="009C353B" w:rsidRDefault="009C353B">
            <w:pPr>
              <w:widowControl/>
              <w:jc w:val="center"/>
              <w:rPr>
                <w:rFonts w:ascii="Times New Roman" w:hAnsi="Times New Roman"/>
                <w:kern w:val="0"/>
                <w:sz w:val="21"/>
                <w:szCs w:val="21"/>
              </w:rPr>
            </w:pPr>
          </w:p>
        </w:tc>
      </w:tr>
      <w:tr w:rsidR="009C353B" w14:paraId="324B22D6" w14:textId="77777777">
        <w:trPr>
          <w:trHeight w:val="340"/>
          <w:jc w:val="center"/>
        </w:trPr>
        <w:tc>
          <w:tcPr>
            <w:tcW w:w="1867" w:type="dxa"/>
            <w:vMerge w:val="restart"/>
            <w:shd w:val="clear" w:color="auto" w:fill="auto"/>
            <w:noWrap/>
            <w:vAlign w:val="center"/>
          </w:tcPr>
          <w:p w14:paraId="7D4623D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氰化物（</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06D8E6F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4A2143B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0.001</w:t>
            </w:r>
          </w:p>
        </w:tc>
        <w:tc>
          <w:tcPr>
            <w:tcW w:w="0" w:type="auto"/>
            <w:shd w:val="clear" w:color="auto" w:fill="auto"/>
            <w:noWrap/>
            <w:vAlign w:val="center"/>
          </w:tcPr>
          <w:p w14:paraId="792F568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0.001</w:t>
            </w:r>
          </w:p>
        </w:tc>
        <w:tc>
          <w:tcPr>
            <w:tcW w:w="0" w:type="auto"/>
            <w:shd w:val="clear" w:color="auto" w:fill="auto"/>
            <w:noWrap/>
            <w:vAlign w:val="center"/>
          </w:tcPr>
          <w:p w14:paraId="2816BEA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0.001</w:t>
            </w:r>
          </w:p>
        </w:tc>
        <w:tc>
          <w:tcPr>
            <w:tcW w:w="0" w:type="auto"/>
            <w:shd w:val="clear" w:color="auto" w:fill="auto"/>
            <w:noWrap/>
            <w:vAlign w:val="center"/>
          </w:tcPr>
          <w:p w14:paraId="0B9DB9A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0.001</w:t>
            </w:r>
          </w:p>
        </w:tc>
        <w:tc>
          <w:tcPr>
            <w:tcW w:w="0" w:type="auto"/>
            <w:vMerge w:val="restart"/>
            <w:shd w:val="clear" w:color="auto" w:fill="auto"/>
            <w:noWrap/>
            <w:vAlign w:val="center"/>
          </w:tcPr>
          <w:p w14:paraId="3CE82E7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r>
      <w:tr w:rsidR="009C353B" w14:paraId="4EC7B98F" w14:textId="77777777">
        <w:trPr>
          <w:trHeight w:val="340"/>
          <w:jc w:val="center"/>
        </w:trPr>
        <w:tc>
          <w:tcPr>
            <w:tcW w:w="1867" w:type="dxa"/>
            <w:vMerge/>
            <w:shd w:val="clear" w:color="auto" w:fill="auto"/>
            <w:vAlign w:val="center"/>
          </w:tcPr>
          <w:p w14:paraId="0784278A"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73ED8AA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7AED51B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7D645E3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0E7EB57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2E03DE6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noWrap/>
            <w:vAlign w:val="center"/>
          </w:tcPr>
          <w:p w14:paraId="65782F9E" w14:textId="77777777" w:rsidR="009C353B" w:rsidRDefault="009C353B">
            <w:pPr>
              <w:widowControl/>
              <w:jc w:val="center"/>
              <w:rPr>
                <w:rFonts w:ascii="Times New Roman" w:hAnsi="Times New Roman"/>
                <w:kern w:val="0"/>
                <w:sz w:val="21"/>
                <w:szCs w:val="21"/>
              </w:rPr>
            </w:pPr>
          </w:p>
        </w:tc>
      </w:tr>
      <w:tr w:rsidR="009C353B" w14:paraId="2D9D5427" w14:textId="77777777">
        <w:trPr>
          <w:trHeight w:val="340"/>
          <w:jc w:val="center"/>
        </w:trPr>
        <w:tc>
          <w:tcPr>
            <w:tcW w:w="1867" w:type="dxa"/>
            <w:vMerge w:val="restart"/>
            <w:shd w:val="clear" w:color="auto" w:fill="auto"/>
            <w:noWrap/>
            <w:vAlign w:val="center"/>
          </w:tcPr>
          <w:p w14:paraId="5F2671C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硫酸盐（</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60E7961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2F74DB8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238</w:t>
            </w:r>
          </w:p>
        </w:tc>
        <w:tc>
          <w:tcPr>
            <w:tcW w:w="0" w:type="auto"/>
            <w:shd w:val="clear" w:color="auto" w:fill="auto"/>
            <w:noWrap/>
            <w:vAlign w:val="center"/>
          </w:tcPr>
          <w:p w14:paraId="31176DB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114</w:t>
            </w:r>
          </w:p>
        </w:tc>
        <w:tc>
          <w:tcPr>
            <w:tcW w:w="0" w:type="auto"/>
            <w:shd w:val="clear" w:color="auto" w:fill="auto"/>
            <w:noWrap/>
            <w:vAlign w:val="center"/>
          </w:tcPr>
          <w:p w14:paraId="6AD9CA5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1490</w:t>
            </w:r>
          </w:p>
        </w:tc>
        <w:tc>
          <w:tcPr>
            <w:tcW w:w="0" w:type="auto"/>
            <w:shd w:val="clear" w:color="auto" w:fill="auto"/>
            <w:noWrap/>
            <w:vAlign w:val="center"/>
          </w:tcPr>
          <w:p w14:paraId="403568C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194</w:t>
            </w:r>
          </w:p>
        </w:tc>
        <w:tc>
          <w:tcPr>
            <w:tcW w:w="0" w:type="auto"/>
            <w:vMerge w:val="restart"/>
            <w:shd w:val="clear" w:color="auto" w:fill="auto"/>
            <w:noWrap/>
            <w:vAlign w:val="center"/>
          </w:tcPr>
          <w:p w14:paraId="5C01015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250</w:t>
            </w:r>
          </w:p>
        </w:tc>
      </w:tr>
      <w:tr w:rsidR="009C353B" w14:paraId="0FFB315B" w14:textId="77777777">
        <w:trPr>
          <w:trHeight w:val="340"/>
          <w:jc w:val="center"/>
        </w:trPr>
        <w:tc>
          <w:tcPr>
            <w:tcW w:w="1867" w:type="dxa"/>
            <w:vMerge/>
            <w:shd w:val="clear" w:color="auto" w:fill="auto"/>
            <w:vAlign w:val="center"/>
          </w:tcPr>
          <w:p w14:paraId="07B22514"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584519A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6DF4F32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0.95</w:t>
            </w:r>
          </w:p>
        </w:tc>
        <w:tc>
          <w:tcPr>
            <w:tcW w:w="0" w:type="auto"/>
            <w:shd w:val="clear" w:color="auto" w:fill="auto"/>
            <w:noWrap/>
            <w:vAlign w:val="center"/>
          </w:tcPr>
          <w:p w14:paraId="69210BD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0.46</w:t>
            </w:r>
          </w:p>
        </w:tc>
        <w:tc>
          <w:tcPr>
            <w:tcW w:w="0" w:type="auto"/>
            <w:shd w:val="clear" w:color="auto" w:fill="auto"/>
            <w:noWrap/>
            <w:vAlign w:val="center"/>
          </w:tcPr>
          <w:p w14:paraId="33CF1317"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5.96</w:t>
            </w:r>
          </w:p>
        </w:tc>
        <w:tc>
          <w:tcPr>
            <w:tcW w:w="0" w:type="auto"/>
            <w:shd w:val="clear" w:color="auto" w:fill="auto"/>
            <w:noWrap/>
            <w:vAlign w:val="center"/>
          </w:tcPr>
          <w:p w14:paraId="2A1C1BB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0.78</w:t>
            </w:r>
          </w:p>
        </w:tc>
        <w:tc>
          <w:tcPr>
            <w:tcW w:w="0" w:type="auto"/>
            <w:vMerge/>
            <w:shd w:val="clear" w:color="auto" w:fill="auto"/>
            <w:noWrap/>
            <w:vAlign w:val="center"/>
          </w:tcPr>
          <w:p w14:paraId="13611F51" w14:textId="77777777" w:rsidR="009C353B" w:rsidRDefault="009C353B">
            <w:pPr>
              <w:widowControl/>
              <w:jc w:val="center"/>
              <w:rPr>
                <w:rFonts w:ascii="Times New Roman" w:hAnsi="Times New Roman"/>
                <w:kern w:val="0"/>
                <w:sz w:val="21"/>
                <w:szCs w:val="21"/>
              </w:rPr>
            </w:pPr>
          </w:p>
        </w:tc>
      </w:tr>
      <w:tr w:rsidR="009C353B" w14:paraId="2355C4CB" w14:textId="77777777">
        <w:trPr>
          <w:trHeight w:val="340"/>
          <w:jc w:val="center"/>
        </w:trPr>
        <w:tc>
          <w:tcPr>
            <w:tcW w:w="1867" w:type="dxa"/>
            <w:vMerge w:val="restart"/>
            <w:shd w:val="clear" w:color="auto" w:fill="auto"/>
            <w:noWrap/>
            <w:vAlign w:val="center"/>
          </w:tcPr>
          <w:p w14:paraId="32A13C1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挥发酚（</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6E8BE60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0804449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0.001</w:t>
            </w:r>
          </w:p>
        </w:tc>
        <w:tc>
          <w:tcPr>
            <w:tcW w:w="0" w:type="auto"/>
            <w:shd w:val="clear" w:color="auto" w:fill="auto"/>
            <w:noWrap/>
            <w:vAlign w:val="center"/>
          </w:tcPr>
          <w:p w14:paraId="26C7B7D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0.001</w:t>
            </w:r>
          </w:p>
        </w:tc>
        <w:tc>
          <w:tcPr>
            <w:tcW w:w="0" w:type="auto"/>
            <w:shd w:val="clear" w:color="auto" w:fill="auto"/>
            <w:noWrap/>
            <w:vAlign w:val="center"/>
          </w:tcPr>
          <w:p w14:paraId="56E5417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0.001</w:t>
            </w:r>
          </w:p>
        </w:tc>
        <w:tc>
          <w:tcPr>
            <w:tcW w:w="0" w:type="auto"/>
            <w:shd w:val="clear" w:color="auto" w:fill="auto"/>
            <w:noWrap/>
            <w:vAlign w:val="center"/>
          </w:tcPr>
          <w:p w14:paraId="340C9A0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0.001</w:t>
            </w:r>
          </w:p>
        </w:tc>
        <w:tc>
          <w:tcPr>
            <w:tcW w:w="0" w:type="auto"/>
            <w:vMerge w:val="restart"/>
            <w:shd w:val="clear" w:color="auto" w:fill="auto"/>
            <w:noWrap/>
            <w:vAlign w:val="center"/>
          </w:tcPr>
          <w:p w14:paraId="627E537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w:t>
            </w:r>
          </w:p>
        </w:tc>
      </w:tr>
      <w:tr w:rsidR="009C353B" w14:paraId="096D5D80" w14:textId="77777777">
        <w:trPr>
          <w:trHeight w:val="340"/>
          <w:jc w:val="center"/>
        </w:trPr>
        <w:tc>
          <w:tcPr>
            <w:tcW w:w="1867" w:type="dxa"/>
            <w:vMerge/>
            <w:shd w:val="clear" w:color="auto" w:fill="auto"/>
            <w:vAlign w:val="center"/>
          </w:tcPr>
          <w:p w14:paraId="2C6B662E"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2F3BC2A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22A79FF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13B0A70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7B04079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64A3FC1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noWrap/>
            <w:vAlign w:val="center"/>
          </w:tcPr>
          <w:p w14:paraId="020B5FF8" w14:textId="77777777" w:rsidR="009C353B" w:rsidRDefault="009C353B">
            <w:pPr>
              <w:widowControl/>
              <w:jc w:val="center"/>
              <w:rPr>
                <w:rFonts w:ascii="Times New Roman" w:hAnsi="Times New Roman"/>
                <w:kern w:val="0"/>
                <w:sz w:val="21"/>
                <w:szCs w:val="21"/>
              </w:rPr>
            </w:pPr>
          </w:p>
        </w:tc>
      </w:tr>
      <w:tr w:rsidR="009C353B" w14:paraId="50438606" w14:textId="77777777">
        <w:trPr>
          <w:trHeight w:val="340"/>
          <w:jc w:val="center"/>
        </w:trPr>
        <w:tc>
          <w:tcPr>
            <w:tcW w:w="1867" w:type="dxa"/>
            <w:vMerge w:val="restart"/>
            <w:shd w:val="clear" w:color="auto" w:fill="auto"/>
            <w:noWrap/>
            <w:vAlign w:val="center"/>
          </w:tcPr>
          <w:p w14:paraId="43A8B80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铬（六价）（</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3AA84AF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6551726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0.018</w:t>
            </w:r>
          </w:p>
        </w:tc>
        <w:tc>
          <w:tcPr>
            <w:tcW w:w="0" w:type="auto"/>
            <w:shd w:val="clear" w:color="auto" w:fill="auto"/>
            <w:noWrap/>
            <w:vAlign w:val="center"/>
          </w:tcPr>
          <w:p w14:paraId="009F810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0.015</w:t>
            </w:r>
          </w:p>
        </w:tc>
        <w:tc>
          <w:tcPr>
            <w:tcW w:w="0" w:type="auto"/>
            <w:shd w:val="clear" w:color="auto" w:fill="auto"/>
            <w:noWrap/>
            <w:vAlign w:val="center"/>
          </w:tcPr>
          <w:p w14:paraId="0225198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0.004</w:t>
            </w:r>
          </w:p>
        </w:tc>
        <w:tc>
          <w:tcPr>
            <w:tcW w:w="0" w:type="auto"/>
            <w:shd w:val="clear" w:color="auto" w:fill="auto"/>
            <w:noWrap/>
            <w:vAlign w:val="center"/>
          </w:tcPr>
          <w:p w14:paraId="6450DD7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0.004</w:t>
            </w:r>
          </w:p>
        </w:tc>
        <w:tc>
          <w:tcPr>
            <w:tcW w:w="0" w:type="auto"/>
            <w:vMerge w:val="restart"/>
            <w:shd w:val="clear" w:color="auto" w:fill="auto"/>
            <w:noWrap/>
            <w:vAlign w:val="center"/>
          </w:tcPr>
          <w:p w14:paraId="0D4CA43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r>
      <w:tr w:rsidR="009C353B" w14:paraId="63F2F69D" w14:textId="77777777">
        <w:trPr>
          <w:trHeight w:val="340"/>
          <w:jc w:val="center"/>
        </w:trPr>
        <w:tc>
          <w:tcPr>
            <w:tcW w:w="1867" w:type="dxa"/>
            <w:vMerge/>
            <w:shd w:val="clear" w:color="auto" w:fill="auto"/>
            <w:vAlign w:val="center"/>
          </w:tcPr>
          <w:p w14:paraId="4979840C"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55CBA1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7FFE3BA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0.36</w:t>
            </w:r>
          </w:p>
        </w:tc>
        <w:tc>
          <w:tcPr>
            <w:tcW w:w="0" w:type="auto"/>
            <w:shd w:val="clear" w:color="auto" w:fill="auto"/>
            <w:noWrap/>
            <w:vAlign w:val="center"/>
          </w:tcPr>
          <w:p w14:paraId="5743654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0.30</w:t>
            </w:r>
          </w:p>
        </w:tc>
        <w:tc>
          <w:tcPr>
            <w:tcW w:w="0" w:type="auto"/>
            <w:shd w:val="clear" w:color="auto" w:fill="auto"/>
            <w:noWrap/>
            <w:vAlign w:val="center"/>
          </w:tcPr>
          <w:p w14:paraId="4F927A6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416F11D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noWrap/>
            <w:vAlign w:val="center"/>
          </w:tcPr>
          <w:p w14:paraId="5D0D57ED" w14:textId="77777777" w:rsidR="009C353B" w:rsidRDefault="009C353B">
            <w:pPr>
              <w:widowControl/>
              <w:jc w:val="center"/>
              <w:rPr>
                <w:rFonts w:ascii="Times New Roman" w:hAnsi="Times New Roman"/>
                <w:kern w:val="0"/>
                <w:sz w:val="21"/>
                <w:szCs w:val="21"/>
              </w:rPr>
            </w:pPr>
          </w:p>
        </w:tc>
      </w:tr>
      <w:tr w:rsidR="009C353B" w14:paraId="04E08572" w14:textId="77777777">
        <w:trPr>
          <w:trHeight w:val="340"/>
          <w:jc w:val="center"/>
        </w:trPr>
        <w:tc>
          <w:tcPr>
            <w:tcW w:w="1867" w:type="dxa"/>
            <w:vMerge w:val="restart"/>
            <w:shd w:val="clear" w:color="auto" w:fill="auto"/>
            <w:noWrap/>
            <w:vAlign w:val="center"/>
          </w:tcPr>
          <w:p w14:paraId="7AEBC4D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细菌总数（</w:t>
            </w:r>
            <w:r>
              <w:rPr>
                <w:rFonts w:ascii="Times New Roman" w:hAnsi="Times New Roman"/>
                <w:kern w:val="0"/>
                <w:sz w:val="21"/>
                <w:szCs w:val="21"/>
              </w:rPr>
              <w:t>CFU/mL</w:t>
            </w:r>
            <w:r>
              <w:rPr>
                <w:rFonts w:ascii="Times New Roman" w:hAnsi="Times New Roman"/>
                <w:kern w:val="0"/>
                <w:sz w:val="21"/>
                <w:szCs w:val="21"/>
              </w:rPr>
              <w:t>）</w:t>
            </w:r>
          </w:p>
        </w:tc>
        <w:tc>
          <w:tcPr>
            <w:tcW w:w="871" w:type="dxa"/>
            <w:shd w:val="clear" w:color="auto" w:fill="auto"/>
            <w:noWrap/>
            <w:vAlign w:val="center"/>
          </w:tcPr>
          <w:p w14:paraId="41EC5EB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23F9E22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14000</w:t>
            </w:r>
          </w:p>
        </w:tc>
        <w:tc>
          <w:tcPr>
            <w:tcW w:w="0" w:type="auto"/>
            <w:shd w:val="clear" w:color="auto" w:fill="auto"/>
            <w:noWrap/>
            <w:vAlign w:val="center"/>
          </w:tcPr>
          <w:p w14:paraId="4465C5F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530</w:t>
            </w:r>
          </w:p>
        </w:tc>
        <w:tc>
          <w:tcPr>
            <w:tcW w:w="0" w:type="auto"/>
            <w:shd w:val="clear" w:color="auto" w:fill="auto"/>
            <w:noWrap/>
            <w:vAlign w:val="center"/>
          </w:tcPr>
          <w:p w14:paraId="0F6764E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12000</w:t>
            </w:r>
          </w:p>
        </w:tc>
        <w:tc>
          <w:tcPr>
            <w:tcW w:w="0" w:type="auto"/>
            <w:shd w:val="clear" w:color="auto" w:fill="auto"/>
            <w:noWrap/>
            <w:vAlign w:val="center"/>
          </w:tcPr>
          <w:p w14:paraId="0C95B34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63000</w:t>
            </w:r>
          </w:p>
        </w:tc>
        <w:tc>
          <w:tcPr>
            <w:tcW w:w="0" w:type="auto"/>
            <w:vMerge w:val="restart"/>
            <w:shd w:val="clear" w:color="auto" w:fill="auto"/>
            <w:noWrap/>
            <w:vAlign w:val="center"/>
          </w:tcPr>
          <w:p w14:paraId="660C673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100</w:t>
            </w:r>
          </w:p>
        </w:tc>
      </w:tr>
      <w:tr w:rsidR="009C353B" w14:paraId="31EC45D3" w14:textId="77777777">
        <w:trPr>
          <w:trHeight w:val="340"/>
          <w:jc w:val="center"/>
        </w:trPr>
        <w:tc>
          <w:tcPr>
            <w:tcW w:w="1867" w:type="dxa"/>
            <w:vMerge/>
            <w:shd w:val="clear" w:color="auto" w:fill="auto"/>
            <w:vAlign w:val="center"/>
          </w:tcPr>
          <w:p w14:paraId="346C1F6F"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32FEC7E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7348D0CC"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140.00</w:t>
            </w:r>
          </w:p>
        </w:tc>
        <w:tc>
          <w:tcPr>
            <w:tcW w:w="0" w:type="auto"/>
            <w:shd w:val="clear" w:color="auto" w:fill="auto"/>
            <w:noWrap/>
            <w:vAlign w:val="center"/>
          </w:tcPr>
          <w:p w14:paraId="4B7F0C0F"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5.30</w:t>
            </w:r>
          </w:p>
        </w:tc>
        <w:tc>
          <w:tcPr>
            <w:tcW w:w="0" w:type="auto"/>
            <w:shd w:val="clear" w:color="auto" w:fill="auto"/>
            <w:noWrap/>
            <w:vAlign w:val="center"/>
          </w:tcPr>
          <w:p w14:paraId="63FE6F4B"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120.00</w:t>
            </w:r>
          </w:p>
        </w:tc>
        <w:tc>
          <w:tcPr>
            <w:tcW w:w="0" w:type="auto"/>
            <w:shd w:val="clear" w:color="auto" w:fill="auto"/>
            <w:noWrap/>
            <w:vAlign w:val="center"/>
          </w:tcPr>
          <w:p w14:paraId="330073E7"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630.00</w:t>
            </w:r>
          </w:p>
        </w:tc>
        <w:tc>
          <w:tcPr>
            <w:tcW w:w="0" w:type="auto"/>
            <w:vMerge/>
            <w:shd w:val="clear" w:color="auto" w:fill="auto"/>
            <w:noWrap/>
            <w:vAlign w:val="center"/>
          </w:tcPr>
          <w:p w14:paraId="336B2EB9" w14:textId="77777777" w:rsidR="009C353B" w:rsidRDefault="009C353B">
            <w:pPr>
              <w:widowControl/>
              <w:jc w:val="center"/>
              <w:rPr>
                <w:rFonts w:ascii="Times New Roman" w:hAnsi="Times New Roman"/>
                <w:b/>
                <w:bCs/>
                <w:kern w:val="0"/>
                <w:sz w:val="21"/>
                <w:szCs w:val="21"/>
              </w:rPr>
            </w:pPr>
          </w:p>
        </w:tc>
      </w:tr>
      <w:tr w:rsidR="009C353B" w14:paraId="72D83BA9" w14:textId="77777777">
        <w:trPr>
          <w:trHeight w:val="340"/>
          <w:jc w:val="center"/>
        </w:trPr>
        <w:tc>
          <w:tcPr>
            <w:tcW w:w="1867" w:type="dxa"/>
            <w:vMerge w:val="restart"/>
            <w:shd w:val="clear" w:color="auto" w:fill="auto"/>
            <w:noWrap/>
            <w:vAlign w:val="center"/>
          </w:tcPr>
          <w:p w14:paraId="503F889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总大肠菌群（</w:t>
            </w:r>
            <w:r>
              <w:rPr>
                <w:rFonts w:ascii="Times New Roman" w:hAnsi="Times New Roman"/>
                <w:kern w:val="0"/>
                <w:sz w:val="21"/>
                <w:szCs w:val="21"/>
              </w:rPr>
              <w:t>MPN/100mL</w:t>
            </w:r>
            <w:r>
              <w:rPr>
                <w:rFonts w:ascii="Times New Roman" w:hAnsi="Times New Roman"/>
                <w:kern w:val="0"/>
                <w:sz w:val="21"/>
                <w:szCs w:val="21"/>
              </w:rPr>
              <w:t>）</w:t>
            </w:r>
          </w:p>
        </w:tc>
        <w:tc>
          <w:tcPr>
            <w:tcW w:w="871" w:type="dxa"/>
            <w:shd w:val="clear" w:color="auto" w:fill="auto"/>
            <w:noWrap/>
            <w:vAlign w:val="center"/>
          </w:tcPr>
          <w:p w14:paraId="3067FA0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1FEE901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&lt;</w:t>
            </w:r>
            <w:r>
              <w:rPr>
                <w:rFonts w:ascii="Times New Roman" w:hAnsi="Times New Roman"/>
                <w:kern w:val="0"/>
                <w:sz w:val="21"/>
                <w:szCs w:val="21"/>
              </w:rPr>
              <w:t>1</w:t>
            </w:r>
          </w:p>
        </w:tc>
        <w:tc>
          <w:tcPr>
            <w:tcW w:w="0" w:type="auto"/>
            <w:shd w:val="clear" w:color="auto" w:fill="auto"/>
            <w:noWrap/>
            <w:vAlign w:val="center"/>
          </w:tcPr>
          <w:p w14:paraId="1E1B98A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&lt;</w:t>
            </w:r>
            <w:r>
              <w:rPr>
                <w:rFonts w:ascii="Times New Roman" w:hAnsi="Times New Roman"/>
                <w:kern w:val="0"/>
                <w:sz w:val="21"/>
                <w:szCs w:val="21"/>
              </w:rPr>
              <w:t>1</w:t>
            </w:r>
          </w:p>
        </w:tc>
        <w:tc>
          <w:tcPr>
            <w:tcW w:w="0" w:type="auto"/>
            <w:shd w:val="clear" w:color="auto" w:fill="auto"/>
            <w:noWrap/>
            <w:vAlign w:val="center"/>
          </w:tcPr>
          <w:p w14:paraId="23BB282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88.5</w:t>
            </w:r>
          </w:p>
        </w:tc>
        <w:tc>
          <w:tcPr>
            <w:tcW w:w="0" w:type="auto"/>
            <w:shd w:val="clear" w:color="auto" w:fill="auto"/>
            <w:noWrap/>
            <w:vAlign w:val="center"/>
          </w:tcPr>
          <w:p w14:paraId="5DFFA3C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&lt;</w:t>
            </w:r>
            <w:r>
              <w:rPr>
                <w:rFonts w:ascii="Times New Roman" w:hAnsi="Times New Roman"/>
                <w:kern w:val="0"/>
                <w:sz w:val="21"/>
                <w:szCs w:val="21"/>
              </w:rPr>
              <w:t>1</w:t>
            </w:r>
          </w:p>
        </w:tc>
        <w:tc>
          <w:tcPr>
            <w:tcW w:w="0" w:type="auto"/>
            <w:vMerge w:val="restart"/>
            <w:shd w:val="clear" w:color="auto" w:fill="auto"/>
            <w:noWrap/>
            <w:vAlign w:val="center"/>
          </w:tcPr>
          <w:p w14:paraId="333AD3B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p>
        </w:tc>
      </w:tr>
      <w:tr w:rsidR="009C353B" w14:paraId="493B0CFA" w14:textId="77777777">
        <w:trPr>
          <w:trHeight w:val="340"/>
          <w:jc w:val="center"/>
        </w:trPr>
        <w:tc>
          <w:tcPr>
            <w:tcW w:w="1867" w:type="dxa"/>
            <w:vMerge/>
            <w:shd w:val="clear" w:color="auto" w:fill="auto"/>
            <w:vAlign w:val="center"/>
          </w:tcPr>
          <w:p w14:paraId="6C75C717"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7D63B19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749FFD6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&lt;</w:t>
            </w:r>
            <w:r>
              <w:rPr>
                <w:rFonts w:ascii="Times New Roman" w:hAnsi="Times New Roman"/>
                <w:kern w:val="0"/>
                <w:sz w:val="21"/>
                <w:szCs w:val="21"/>
              </w:rPr>
              <w:t>0.33</w:t>
            </w:r>
          </w:p>
        </w:tc>
        <w:tc>
          <w:tcPr>
            <w:tcW w:w="0" w:type="auto"/>
            <w:shd w:val="clear" w:color="auto" w:fill="auto"/>
            <w:noWrap/>
            <w:vAlign w:val="center"/>
          </w:tcPr>
          <w:p w14:paraId="38C8A69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&lt;</w:t>
            </w:r>
            <w:r>
              <w:rPr>
                <w:rFonts w:ascii="Times New Roman" w:hAnsi="Times New Roman"/>
                <w:kern w:val="0"/>
                <w:sz w:val="21"/>
                <w:szCs w:val="21"/>
              </w:rPr>
              <w:t>0.33</w:t>
            </w:r>
          </w:p>
        </w:tc>
        <w:tc>
          <w:tcPr>
            <w:tcW w:w="0" w:type="auto"/>
            <w:shd w:val="clear" w:color="auto" w:fill="auto"/>
            <w:noWrap/>
            <w:vAlign w:val="center"/>
          </w:tcPr>
          <w:p w14:paraId="04ABD0CA"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29.50</w:t>
            </w:r>
          </w:p>
        </w:tc>
        <w:tc>
          <w:tcPr>
            <w:tcW w:w="0" w:type="auto"/>
            <w:shd w:val="clear" w:color="auto" w:fill="auto"/>
            <w:noWrap/>
            <w:vAlign w:val="center"/>
          </w:tcPr>
          <w:p w14:paraId="4E75985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&lt;</w:t>
            </w:r>
            <w:r>
              <w:rPr>
                <w:rFonts w:ascii="Times New Roman" w:hAnsi="Times New Roman"/>
                <w:kern w:val="0"/>
                <w:sz w:val="21"/>
                <w:szCs w:val="21"/>
              </w:rPr>
              <w:t>0.33</w:t>
            </w:r>
          </w:p>
        </w:tc>
        <w:tc>
          <w:tcPr>
            <w:tcW w:w="0" w:type="auto"/>
            <w:vMerge/>
            <w:shd w:val="clear" w:color="auto" w:fill="auto"/>
            <w:noWrap/>
            <w:vAlign w:val="center"/>
          </w:tcPr>
          <w:p w14:paraId="106336D4" w14:textId="77777777" w:rsidR="009C353B" w:rsidRDefault="009C353B">
            <w:pPr>
              <w:widowControl/>
              <w:jc w:val="center"/>
              <w:rPr>
                <w:rFonts w:ascii="Times New Roman" w:hAnsi="Times New Roman"/>
                <w:kern w:val="0"/>
                <w:sz w:val="21"/>
                <w:szCs w:val="21"/>
              </w:rPr>
            </w:pPr>
          </w:p>
        </w:tc>
      </w:tr>
      <w:tr w:rsidR="009C353B" w14:paraId="6C539686" w14:textId="77777777">
        <w:trPr>
          <w:trHeight w:val="340"/>
          <w:jc w:val="center"/>
        </w:trPr>
        <w:tc>
          <w:tcPr>
            <w:tcW w:w="1867" w:type="dxa"/>
            <w:vMerge w:val="restart"/>
            <w:shd w:val="clear" w:color="auto" w:fill="auto"/>
            <w:noWrap/>
            <w:vAlign w:val="center"/>
          </w:tcPr>
          <w:p w14:paraId="796DA1D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镉（</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7DE7B3B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3CE5527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0.0001</w:t>
            </w:r>
          </w:p>
        </w:tc>
        <w:tc>
          <w:tcPr>
            <w:tcW w:w="0" w:type="auto"/>
            <w:shd w:val="clear" w:color="auto" w:fill="auto"/>
            <w:noWrap/>
            <w:vAlign w:val="center"/>
          </w:tcPr>
          <w:p w14:paraId="4499458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0.0001</w:t>
            </w:r>
          </w:p>
        </w:tc>
        <w:tc>
          <w:tcPr>
            <w:tcW w:w="0" w:type="auto"/>
            <w:shd w:val="clear" w:color="auto" w:fill="auto"/>
            <w:noWrap/>
            <w:vAlign w:val="center"/>
          </w:tcPr>
          <w:p w14:paraId="470CD23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0.0001</w:t>
            </w:r>
          </w:p>
        </w:tc>
        <w:tc>
          <w:tcPr>
            <w:tcW w:w="0" w:type="auto"/>
            <w:shd w:val="clear" w:color="auto" w:fill="auto"/>
            <w:noWrap/>
            <w:vAlign w:val="center"/>
          </w:tcPr>
          <w:p w14:paraId="51E8513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0.0001</w:t>
            </w:r>
          </w:p>
        </w:tc>
        <w:tc>
          <w:tcPr>
            <w:tcW w:w="0" w:type="auto"/>
            <w:vMerge w:val="restart"/>
            <w:shd w:val="clear" w:color="auto" w:fill="auto"/>
            <w:noWrap/>
            <w:vAlign w:val="center"/>
          </w:tcPr>
          <w:p w14:paraId="58811D7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0.005</w:t>
            </w:r>
          </w:p>
        </w:tc>
      </w:tr>
      <w:tr w:rsidR="009C353B" w14:paraId="126043CF" w14:textId="77777777">
        <w:trPr>
          <w:trHeight w:val="340"/>
          <w:jc w:val="center"/>
        </w:trPr>
        <w:tc>
          <w:tcPr>
            <w:tcW w:w="1867" w:type="dxa"/>
            <w:vMerge/>
            <w:shd w:val="clear" w:color="auto" w:fill="auto"/>
            <w:vAlign w:val="center"/>
          </w:tcPr>
          <w:p w14:paraId="5DC27309"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07C410E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07C8AE8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38DC579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781A3BC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217483B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noWrap/>
            <w:vAlign w:val="center"/>
          </w:tcPr>
          <w:p w14:paraId="0DEE8490" w14:textId="77777777" w:rsidR="009C353B" w:rsidRDefault="009C353B">
            <w:pPr>
              <w:widowControl/>
              <w:jc w:val="center"/>
              <w:rPr>
                <w:rFonts w:ascii="Times New Roman" w:hAnsi="Times New Roman"/>
                <w:kern w:val="0"/>
                <w:sz w:val="21"/>
                <w:szCs w:val="21"/>
              </w:rPr>
            </w:pPr>
          </w:p>
        </w:tc>
      </w:tr>
      <w:tr w:rsidR="009C353B" w14:paraId="7A0D655C" w14:textId="77777777">
        <w:trPr>
          <w:trHeight w:val="340"/>
          <w:jc w:val="center"/>
        </w:trPr>
        <w:tc>
          <w:tcPr>
            <w:tcW w:w="1867" w:type="dxa"/>
            <w:vMerge w:val="restart"/>
            <w:shd w:val="clear" w:color="auto" w:fill="auto"/>
            <w:noWrap/>
            <w:vAlign w:val="center"/>
          </w:tcPr>
          <w:p w14:paraId="1216183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汞（</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74ABE2C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0127BC3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0.00004</w:t>
            </w:r>
          </w:p>
        </w:tc>
        <w:tc>
          <w:tcPr>
            <w:tcW w:w="0" w:type="auto"/>
            <w:shd w:val="clear" w:color="auto" w:fill="auto"/>
            <w:noWrap/>
            <w:vAlign w:val="center"/>
          </w:tcPr>
          <w:p w14:paraId="6C6D692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0.00004</w:t>
            </w:r>
          </w:p>
        </w:tc>
        <w:tc>
          <w:tcPr>
            <w:tcW w:w="0" w:type="auto"/>
            <w:shd w:val="clear" w:color="auto" w:fill="auto"/>
            <w:noWrap/>
            <w:vAlign w:val="center"/>
          </w:tcPr>
          <w:p w14:paraId="3C687DE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0.00004</w:t>
            </w:r>
          </w:p>
        </w:tc>
        <w:tc>
          <w:tcPr>
            <w:tcW w:w="0" w:type="auto"/>
            <w:shd w:val="clear" w:color="auto" w:fill="auto"/>
            <w:noWrap/>
            <w:vAlign w:val="center"/>
          </w:tcPr>
          <w:p w14:paraId="0FB1C4E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0.00004</w:t>
            </w:r>
          </w:p>
        </w:tc>
        <w:tc>
          <w:tcPr>
            <w:tcW w:w="0" w:type="auto"/>
            <w:vMerge w:val="restart"/>
            <w:shd w:val="clear" w:color="auto" w:fill="auto"/>
            <w:noWrap/>
            <w:vAlign w:val="center"/>
          </w:tcPr>
          <w:p w14:paraId="31DCAE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0.001</w:t>
            </w:r>
          </w:p>
        </w:tc>
      </w:tr>
      <w:tr w:rsidR="009C353B" w14:paraId="001407A0" w14:textId="77777777">
        <w:trPr>
          <w:trHeight w:val="340"/>
          <w:jc w:val="center"/>
        </w:trPr>
        <w:tc>
          <w:tcPr>
            <w:tcW w:w="1867" w:type="dxa"/>
            <w:vMerge/>
            <w:shd w:val="clear" w:color="auto" w:fill="auto"/>
            <w:vAlign w:val="center"/>
          </w:tcPr>
          <w:p w14:paraId="6EF66F4F"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7F19115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7FBA7F1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30AA320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0C4F0C7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4F9D1E3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noWrap/>
            <w:vAlign w:val="center"/>
          </w:tcPr>
          <w:p w14:paraId="599D3C02" w14:textId="77777777" w:rsidR="009C353B" w:rsidRDefault="009C353B">
            <w:pPr>
              <w:widowControl/>
              <w:jc w:val="center"/>
              <w:rPr>
                <w:rFonts w:ascii="Times New Roman" w:hAnsi="Times New Roman"/>
                <w:kern w:val="0"/>
                <w:sz w:val="21"/>
                <w:szCs w:val="21"/>
              </w:rPr>
            </w:pPr>
          </w:p>
        </w:tc>
      </w:tr>
      <w:tr w:rsidR="009C353B" w14:paraId="6FF64F25" w14:textId="77777777">
        <w:trPr>
          <w:trHeight w:val="340"/>
          <w:jc w:val="center"/>
        </w:trPr>
        <w:tc>
          <w:tcPr>
            <w:tcW w:w="1867" w:type="dxa"/>
            <w:vMerge w:val="restart"/>
            <w:shd w:val="clear" w:color="auto" w:fill="auto"/>
            <w:noWrap/>
            <w:vAlign w:val="center"/>
          </w:tcPr>
          <w:p w14:paraId="1B75320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砷（</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7A0C48F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4459570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0.0004</w:t>
            </w:r>
          </w:p>
        </w:tc>
        <w:tc>
          <w:tcPr>
            <w:tcW w:w="0" w:type="auto"/>
            <w:shd w:val="clear" w:color="auto" w:fill="auto"/>
            <w:noWrap/>
            <w:vAlign w:val="center"/>
          </w:tcPr>
          <w:p w14:paraId="326D3D4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0.0004</w:t>
            </w:r>
          </w:p>
        </w:tc>
        <w:tc>
          <w:tcPr>
            <w:tcW w:w="0" w:type="auto"/>
            <w:shd w:val="clear" w:color="auto" w:fill="auto"/>
            <w:noWrap/>
            <w:vAlign w:val="center"/>
          </w:tcPr>
          <w:p w14:paraId="23D599E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0.0004</w:t>
            </w:r>
          </w:p>
        </w:tc>
        <w:tc>
          <w:tcPr>
            <w:tcW w:w="0" w:type="auto"/>
            <w:shd w:val="clear" w:color="auto" w:fill="auto"/>
            <w:noWrap/>
            <w:vAlign w:val="center"/>
          </w:tcPr>
          <w:p w14:paraId="547EE29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0.0003</w:t>
            </w:r>
          </w:p>
        </w:tc>
        <w:tc>
          <w:tcPr>
            <w:tcW w:w="0" w:type="auto"/>
            <w:vMerge w:val="restart"/>
            <w:shd w:val="clear" w:color="auto" w:fill="auto"/>
            <w:noWrap/>
            <w:vAlign w:val="center"/>
          </w:tcPr>
          <w:p w14:paraId="22C80F0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6841541D" w14:textId="77777777">
        <w:trPr>
          <w:trHeight w:val="340"/>
          <w:jc w:val="center"/>
        </w:trPr>
        <w:tc>
          <w:tcPr>
            <w:tcW w:w="1867" w:type="dxa"/>
            <w:vMerge/>
            <w:shd w:val="clear" w:color="auto" w:fill="auto"/>
            <w:vAlign w:val="center"/>
          </w:tcPr>
          <w:p w14:paraId="57472E15"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60BFCE5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395BE35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0.04</w:t>
            </w:r>
          </w:p>
        </w:tc>
        <w:tc>
          <w:tcPr>
            <w:tcW w:w="0" w:type="auto"/>
            <w:shd w:val="clear" w:color="auto" w:fill="auto"/>
            <w:noWrap/>
            <w:vAlign w:val="center"/>
          </w:tcPr>
          <w:p w14:paraId="152CF3C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0.04</w:t>
            </w:r>
          </w:p>
        </w:tc>
        <w:tc>
          <w:tcPr>
            <w:tcW w:w="0" w:type="auto"/>
            <w:shd w:val="clear" w:color="auto" w:fill="auto"/>
            <w:noWrap/>
            <w:vAlign w:val="center"/>
          </w:tcPr>
          <w:p w14:paraId="78918A4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0.04</w:t>
            </w:r>
          </w:p>
        </w:tc>
        <w:tc>
          <w:tcPr>
            <w:tcW w:w="0" w:type="auto"/>
            <w:shd w:val="clear" w:color="auto" w:fill="auto"/>
            <w:noWrap/>
            <w:vAlign w:val="center"/>
          </w:tcPr>
          <w:p w14:paraId="02720C2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noWrap/>
            <w:vAlign w:val="center"/>
          </w:tcPr>
          <w:p w14:paraId="6C49DA1C" w14:textId="77777777" w:rsidR="009C353B" w:rsidRDefault="009C353B">
            <w:pPr>
              <w:widowControl/>
              <w:jc w:val="center"/>
              <w:rPr>
                <w:rFonts w:ascii="Times New Roman" w:hAnsi="Times New Roman"/>
                <w:kern w:val="0"/>
                <w:sz w:val="21"/>
                <w:szCs w:val="21"/>
              </w:rPr>
            </w:pPr>
          </w:p>
        </w:tc>
      </w:tr>
      <w:tr w:rsidR="009C353B" w14:paraId="595926FC" w14:textId="77777777">
        <w:trPr>
          <w:trHeight w:val="340"/>
          <w:jc w:val="center"/>
        </w:trPr>
        <w:tc>
          <w:tcPr>
            <w:tcW w:w="1867" w:type="dxa"/>
            <w:vMerge w:val="restart"/>
            <w:shd w:val="clear" w:color="auto" w:fill="auto"/>
            <w:noWrap/>
            <w:vAlign w:val="center"/>
          </w:tcPr>
          <w:p w14:paraId="2D44DBB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铅（</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45ACD22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12069BC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0.0025</w:t>
            </w:r>
          </w:p>
        </w:tc>
        <w:tc>
          <w:tcPr>
            <w:tcW w:w="0" w:type="auto"/>
            <w:shd w:val="clear" w:color="auto" w:fill="auto"/>
            <w:noWrap/>
            <w:vAlign w:val="center"/>
          </w:tcPr>
          <w:p w14:paraId="2293D07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0.0025</w:t>
            </w:r>
          </w:p>
        </w:tc>
        <w:tc>
          <w:tcPr>
            <w:tcW w:w="0" w:type="auto"/>
            <w:shd w:val="clear" w:color="auto" w:fill="auto"/>
            <w:noWrap/>
            <w:vAlign w:val="center"/>
          </w:tcPr>
          <w:p w14:paraId="1BB0C8D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0.0027</w:t>
            </w:r>
          </w:p>
        </w:tc>
        <w:tc>
          <w:tcPr>
            <w:tcW w:w="0" w:type="auto"/>
            <w:shd w:val="clear" w:color="auto" w:fill="auto"/>
            <w:noWrap/>
            <w:vAlign w:val="center"/>
          </w:tcPr>
          <w:p w14:paraId="6815734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0.0025</w:t>
            </w:r>
          </w:p>
        </w:tc>
        <w:tc>
          <w:tcPr>
            <w:tcW w:w="0" w:type="auto"/>
            <w:vMerge w:val="restart"/>
            <w:shd w:val="clear" w:color="auto" w:fill="auto"/>
            <w:noWrap/>
            <w:vAlign w:val="center"/>
          </w:tcPr>
          <w:p w14:paraId="19F4A48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2C986861" w14:textId="77777777">
        <w:trPr>
          <w:trHeight w:val="340"/>
          <w:jc w:val="center"/>
        </w:trPr>
        <w:tc>
          <w:tcPr>
            <w:tcW w:w="1867" w:type="dxa"/>
            <w:vMerge/>
            <w:shd w:val="clear" w:color="auto" w:fill="auto"/>
            <w:vAlign w:val="center"/>
          </w:tcPr>
          <w:p w14:paraId="4C397E1E"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54A8264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51D25D4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0E50FF3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545C21C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0.27</w:t>
            </w:r>
          </w:p>
        </w:tc>
        <w:tc>
          <w:tcPr>
            <w:tcW w:w="0" w:type="auto"/>
            <w:shd w:val="clear" w:color="auto" w:fill="auto"/>
            <w:noWrap/>
            <w:vAlign w:val="center"/>
          </w:tcPr>
          <w:p w14:paraId="6D886A4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noWrap/>
            <w:vAlign w:val="center"/>
          </w:tcPr>
          <w:p w14:paraId="25619B88" w14:textId="77777777" w:rsidR="009C353B" w:rsidRDefault="009C353B">
            <w:pPr>
              <w:widowControl/>
              <w:jc w:val="center"/>
              <w:rPr>
                <w:rFonts w:ascii="Times New Roman" w:hAnsi="Times New Roman"/>
                <w:kern w:val="0"/>
                <w:sz w:val="21"/>
                <w:szCs w:val="21"/>
              </w:rPr>
            </w:pPr>
          </w:p>
        </w:tc>
      </w:tr>
      <w:tr w:rsidR="009C353B" w14:paraId="23E66456" w14:textId="77777777">
        <w:trPr>
          <w:trHeight w:val="340"/>
          <w:jc w:val="center"/>
        </w:trPr>
        <w:tc>
          <w:tcPr>
            <w:tcW w:w="1867" w:type="dxa"/>
            <w:vMerge w:val="restart"/>
            <w:shd w:val="clear" w:color="auto" w:fill="auto"/>
            <w:noWrap/>
            <w:vAlign w:val="center"/>
          </w:tcPr>
          <w:p w14:paraId="6DE91F0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铁（</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2357A4C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74588B4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0.01</w:t>
            </w:r>
          </w:p>
        </w:tc>
        <w:tc>
          <w:tcPr>
            <w:tcW w:w="0" w:type="auto"/>
            <w:shd w:val="clear" w:color="auto" w:fill="auto"/>
            <w:noWrap/>
            <w:vAlign w:val="center"/>
          </w:tcPr>
          <w:p w14:paraId="03E3223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0.01</w:t>
            </w:r>
          </w:p>
        </w:tc>
        <w:tc>
          <w:tcPr>
            <w:tcW w:w="0" w:type="auto"/>
            <w:shd w:val="clear" w:color="auto" w:fill="auto"/>
            <w:noWrap/>
            <w:vAlign w:val="center"/>
          </w:tcPr>
          <w:p w14:paraId="3BA47D8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0.02</w:t>
            </w:r>
          </w:p>
        </w:tc>
        <w:tc>
          <w:tcPr>
            <w:tcW w:w="0" w:type="auto"/>
            <w:shd w:val="clear" w:color="auto" w:fill="auto"/>
            <w:noWrap/>
            <w:vAlign w:val="center"/>
          </w:tcPr>
          <w:p w14:paraId="306FC2C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0.01</w:t>
            </w:r>
          </w:p>
        </w:tc>
        <w:tc>
          <w:tcPr>
            <w:tcW w:w="0" w:type="auto"/>
            <w:vMerge w:val="restart"/>
            <w:shd w:val="clear" w:color="auto" w:fill="auto"/>
            <w:noWrap/>
            <w:vAlign w:val="center"/>
          </w:tcPr>
          <w:p w14:paraId="4A907BB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0.3</w:t>
            </w:r>
          </w:p>
        </w:tc>
      </w:tr>
      <w:tr w:rsidR="009C353B" w14:paraId="729D4A31" w14:textId="77777777">
        <w:trPr>
          <w:trHeight w:val="340"/>
          <w:jc w:val="center"/>
        </w:trPr>
        <w:tc>
          <w:tcPr>
            <w:tcW w:w="1867" w:type="dxa"/>
            <w:vMerge/>
            <w:shd w:val="clear" w:color="auto" w:fill="auto"/>
            <w:vAlign w:val="center"/>
          </w:tcPr>
          <w:p w14:paraId="58A3F6B5"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253C51D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161BDDD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461AB1A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091D91F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0.07</w:t>
            </w:r>
          </w:p>
        </w:tc>
        <w:tc>
          <w:tcPr>
            <w:tcW w:w="0" w:type="auto"/>
            <w:shd w:val="clear" w:color="auto" w:fill="auto"/>
            <w:noWrap/>
            <w:vAlign w:val="center"/>
          </w:tcPr>
          <w:p w14:paraId="4E75326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noWrap/>
            <w:vAlign w:val="center"/>
          </w:tcPr>
          <w:p w14:paraId="011A8CEE" w14:textId="77777777" w:rsidR="009C353B" w:rsidRDefault="009C353B">
            <w:pPr>
              <w:widowControl/>
              <w:jc w:val="center"/>
              <w:rPr>
                <w:rFonts w:ascii="Times New Roman" w:hAnsi="Times New Roman"/>
                <w:kern w:val="0"/>
                <w:sz w:val="21"/>
                <w:szCs w:val="21"/>
              </w:rPr>
            </w:pPr>
          </w:p>
        </w:tc>
      </w:tr>
      <w:tr w:rsidR="009C353B" w14:paraId="0C8DD66F" w14:textId="77777777">
        <w:trPr>
          <w:trHeight w:val="340"/>
          <w:jc w:val="center"/>
        </w:trPr>
        <w:tc>
          <w:tcPr>
            <w:tcW w:w="1867" w:type="dxa"/>
            <w:vMerge w:val="restart"/>
            <w:shd w:val="clear" w:color="auto" w:fill="auto"/>
            <w:noWrap/>
            <w:vAlign w:val="center"/>
          </w:tcPr>
          <w:p w14:paraId="173441C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锰（</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4ACD083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36C0653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0.004</w:t>
            </w:r>
          </w:p>
        </w:tc>
        <w:tc>
          <w:tcPr>
            <w:tcW w:w="0" w:type="auto"/>
            <w:shd w:val="clear" w:color="auto" w:fill="auto"/>
            <w:noWrap/>
            <w:vAlign w:val="center"/>
          </w:tcPr>
          <w:p w14:paraId="0DF8D7C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0.004</w:t>
            </w:r>
          </w:p>
        </w:tc>
        <w:tc>
          <w:tcPr>
            <w:tcW w:w="0" w:type="auto"/>
            <w:shd w:val="clear" w:color="auto" w:fill="auto"/>
            <w:noWrap/>
            <w:vAlign w:val="center"/>
          </w:tcPr>
          <w:p w14:paraId="1E7A1E5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0.008</w:t>
            </w:r>
          </w:p>
        </w:tc>
        <w:tc>
          <w:tcPr>
            <w:tcW w:w="0" w:type="auto"/>
            <w:shd w:val="clear" w:color="auto" w:fill="auto"/>
            <w:noWrap/>
            <w:vAlign w:val="center"/>
          </w:tcPr>
          <w:p w14:paraId="4DE9F86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0.004</w:t>
            </w:r>
          </w:p>
        </w:tc>
        <w:tc>
          <w:tcPr>
            <w:tcW w:w="0" w:type="auto"/>
            <w:vMerge w:val="restart"/>
            <w:shd w:val="clear" w:color="auto" w:fill="auto"/>
            <w:noWrap/>
            <w:vAlign w:val="center"/>
          </w:tcPr>
          <w:p w14:paraId="23EB14E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w:t>
            </w:r>
          </w:p>
        </w:tc>
      </w:tr>
      <w:tr w:rsidR="009C353B" w14:paraId="0F3B1976" w14:textId="77777777">
        <w:trPr>
          <w:trHeight w:val="340"/>
          <w:jc w:val="center"/>
        </w:trPr>
        <w:tc>
          <w:tcPr>
            <w:tcW w:w="1867" w:type="dxa"/>
            <w:vMerge/>
            <w:shd w:val="clear" w:color="auto" w:fill="auto"/>
            <w:vAlign w:val="center"/>
          </w:tcPr>
          <w:p w14:paraId="3868251C"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0E64734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3EA6FE9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2781257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20864A4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0.08</w:t>
            </w:r>
          </w:p>
        </w:tc>
        <w:tc>
          <w:tcPr>
            <w:tcW w:w="0" w:type="auto"/>
            <w:shd w:val="clear" w:color="auto" w:fill="auto"/>
            <w:noWrap/>
            <w:vAlign w:val="center"/>
          </w:tcPr>
          <w:p w14:paraId="5ADD352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noWrap/>
            <w:vAlign w:val="center"/>
          </w:tcPr>
          <w:p w14:paraId="734DEAF1" w14:textId="77777777" w:rsidR="009C353B" w:rsidRDefault="009C353B">
            <w:pPr>
              <w:widowControl/>
              <w:jc w:val="center"/>
              <w:rPr>
                <w:rFonts w:ascii="Times New Roman" w:hAnsi="Times New Roman"/>
                <w:kern w:val="0"/>
                <w:sz w:val="21"/>
                <w:szCs w:val="21"/>
              </w:rPr>
            </w:pPr>
          </w:p>
        </w:tc>
      </w:tr>
      <w:tr w:rsidR="009C353B" w14:paraId="1AB1DAB6" w14:textId="77777777">
        <w:trPr>
          <w:trHeight w:val="340"/>
          <w:jc w:val="center"/>
        </w:trPr>
        <w:tc>
          <w:tcPr>
            <w:tcW w:w="1867" w:type="dxa"/>
            <w:shd w:val="clear" w:color="auto" w:fill="auto"/>
            <w:noWrap/>
            <w:vAlign w:val="center"/>
          </w:tcPr>
          <w:p w14:paraId="694C8BB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钾（</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389919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6472BB3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1.9</w:t>
            </w:r>
          </w:p>
        </w:tc>
        <w:tc>
          <w:tcPr>
            <w:tcW w:w="0" w:type="auto"/>
            <w:shd w:val="clear" w:color="auto" w:fill="auto"/>
            <w:noWrap/>
            <w:vAlign w:val="center"/>
          </w:tcPr>
          <w:p w14:paraId="2085877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1.68</w:t>
            </w:r>
          </w:p>
        </w:tc>
        <w:tc>
          <w:tcPr>
            <w:tcW w:w="0" w:type="auto"/>
            <w:shd w:val="clear" w:color="auto" w:fill="auto"/>
            <w:noWrap/>
            <w:vAlign w:val="center"/>
          </w:tcPr>
          <w:p w14:paraId="3DAAF9E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5.74</w:t>
            </w:r>
          </w:p>
        </w:tc>
        <w:tc>
          <w:tcPr>
            <w:tcW w:w="0" w:type="auto"/>
            <w:shd w:val="clear" w:color="auto" w:fill="auto"/>
            <w:noWrap/>
            <w:vAlign w:val="center"/>
          </w:tcPr>
          <w:p w14:paraId="6342280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1.36</w:t>
            </w:r>
          </w:p>
        </w:tc>
        <w:tc>
          <w:tcPr>
            <w:tcW w:w="0" w:type="auto"/>
            <w:shd w:val="clear" w:color="auto" w:fill="auto"/>
            <w:noWrap/>
            <w:vAlign w:val="center"/>
          </w:tcPr>
          <w:p w14:paraId="7C0659D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r>
      <w:tr w:rsidR="009C353B" w14:paraId="07419045" w14:textId="77777777">
        <w:trPr>
          <w:trHeight w:val="340"/>
          <w:jc w:val="center"/>
        </w:trPr>
        <w:tc>
          <w:tcPr>
            <w:tcW w:w="1867" w:type="dxa"/>
            <w:vMerge w:val="restart"/>
            <w:shd w:val="clear" w:color="auto" w:fill="auto"/>
            <w:noWrap/>
            <w:vAlign w:val="center"/>
          </w:tcPr>
          <w:p w14:paraId="34203BC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钠（</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53A21BF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0D17579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177</w:t>
            </w:r>
          </w:p>
        </w:tc>
        <w:tc>
          <w:tcPr>
            <w:tcW w:w="0" w:type="auto"/>
            <w:shd w:val="clear" w:color="auto" w:fill="auto"/>
            <w:noWrap/>
            <w:vAlign w:val="center"/>
          </w:tcPr>
          <w:p w14:paraId="5388815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81.9</w:t>
            </w:r>
          </w:p>
        </w:tc>
        <w:tc>
          <w:tcPr>
            <w:tcW w:w="0" w:type="auto"/>
            <w:shd w:val="clear" w:color="auto" w:fill="auto"/>
            <w:noWrap/>
            <w:vAlign w:val="center"/>
          </w:tcPr>
          <w:p w14:paraId="36D7C57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931</w:t>
            </w:r>
          </w:p>
        </w:tc>
        <w:tc>
          <w:tcPr>
            <w:tcW w:w="0" w:type="auto"/>
            <w:shd w:val="clear" w:color="auto" w:fill="auto"/>
            <w:noWrap/>
            <w:vAlign w:val="center"/>
          </w:tcPr>
          <w:p w14:paraId="0EC0648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156</w:t>
            </w:r>
          </w:p>
        </w:tc>
        <w:tc>
          <w:tcPr>
            <w:tcW w:w="0" w:type="auto"/>
            <w:vMerge w:val="restart"/>
            <w:shd w:val="clear" w:color="auto" w:fill="auto"/>
            <w:noWrap/>
            <w:vAlign w:val="center"/>
          </w:tcPr>
          <w:p w14:paraId="05DCEB7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200</w:t>
            </w:r>
          </w:p>
        </w:tc>
      </w:tr>
      <w:tr w:rsidR="009C353B" w14:paraId="143C2D15" w14:textId="77777777">
        <w:trPr>
          <w:trHeight w:val="340"/>
          <w:jc w:val="center"/>
        </w:trPr>
        <w:tc>
          <w:tcPr>
            <w:tcW w:w="1867" w:type="dxa"/>
            <w:vMerge/>
            <w:shd w:val="clear" w:color="auto" w:fill="auto"/>
            <w:vAlign w:val="center"/>
          </w:tcPr>
          <w:p w14:paraId="79485359" w14:textId="77777777" w:rsidR="009C353B" w:rsidRDefault="009C353B">
            <w:pPr>
              <w:widowControl/>
              <w:jc w:val="left"/>
              <w:rPr>
                <w:rFonts w:ascii="Times New Roman" w:hAnsi="Times New Roman"/>
                <w:kern w:val="0"/>
                <w:sz w:val="21"/>
                <w:szCs w:val="21"/>
              </w:rPr>
            </w:pPr>
          </w:p>
        </w:tc>
        <w:tc>
          <w:tcPr>
            <w:tcW w:w="871" w:type="dxa"/>
            <w:shd w:val="clear" w:color="auto" w:fill="auto"/>
            <w:noWrap/>
            <w:vAlign w:val="center"/>
          </w:tcPr>
          <w:p w14:paraId="66B2649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指数</w:t>
            </w:r>
          </w:p>
        </w:tc>
        <w:tc>
          <w:tcPr>
            <w:tcW w:w="0" w:type="auto"/>
            <w:shd w:val="clear" w:color="auto" w:fill="auto"/>
            <w:noWrap/>
            <w:vAlign w:val="center"/>
          </w:tcPr>
          <w:p w14:paraId="64C98DA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0.89</w:t>
            </w:r>
          </w:p>
        </w:tc>
        <w:tc>
          <w:tcPr>
            <w:tcW w:w="0" w:type="auto"/>
            <w:shd w:val="clear" w:color="auto" w:fill="auto"/>
            <w:noWrap/>
            <w:vAlign w:val="center"/>
          </w:tcPr>
          <w:p w14:paraId="234C449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0.41</w:t>
            </w:r>
          </w:p>
        </w:tc>
        <w:tc>
          <w:tcPr>
            <w:tcW w:w="0" w:type="auto"/>
            <w:shd w:val="clear" w:color="auto" w:fill="auto"/>
            <w:noWrap/>
            <w:vAlign w:val="center"/>
          </w:tcPr>
          <w:p w14:paraId="3FF03789" w14:textId="77777777" w:rsidR="009C353B" w:rsidRDefault="00000000">
            <w:pPr>
              <w:widowControl/>
              <w:jc w:val="center"/>
              <w:rPr>
                <w:rFonts w:ascii="Times New Roman" w:hAnsi="Times New Roman"/>
                <w:b/>
                <w:bCs/>
                <w:kern w:val="0"/>
                <w:sz w:val="21"/>
                <w:szCs w:val="21"/>
              </w:rPr>
            </w:pPr>
            <w:r>
              <w:rPr>
                <w:rFonts w:ascii="Times New Roman" w:hAnsi="Times New Roman"/>
                <w:b/>
                <w:bCs/>
                <w:kern w:val="0"/>
                <w:sz w:val="21"/>
                <w:szCs w:val="21"/>
              </w:rPr>
              <w:t>4.66</w:t>
            </w:r>
          </w:p>
        </w:tc>
        <w:tc>
          <w:tcPr>
            <w:tcW w:w="0" w:type="auto"/>
            <w:shd w:val="clear" w:color="auto" w:fill="auto"/>
            <w:noWrap/>
            <w:vAlign w:val="center"/>
          </w:tcPr>
          <w:p w14:paraId="7D8F651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0.78</w:t>
            </w:r>
          </w:p>
        </w:tc>
        <w:tc>
          <w:tcPr>
            <w:tcW w:w="0" w:type="auto"/>
            <w:vMerge/>
            <w:shd w:val="clear" w:color="auto" w:fill="auto"/>
            <w:noWrap/>
            <w:vAlign w:val="center"/>
          </w:tcPr>
          <w:p w14:paraId="01256FBC" w14:textId="77777777" w:rsidR="009C353B" w:rsidRDefault="009C353B">
            <w:pPr>
              <w:widowControl/>
              <w:jc w:val="center"/>
              <w:rPr>
                <w:rFonts w:ascii="Times New Roman" w:hAnsi="Times New Roman"/>
                <w:kern w:val="0"/>
                <w:sz w:val="21"/>
                <w:szCs w:val="21"/>
              </w:rPr>
            </w:pPr>
          </w:p>
        </w:tc>
      </w:tr>
      <w:tr w:rsidR="009C353B" w14:paraId="4C7033AD" w14:textId="77777777">
        <w:trPr>
          <w:trHeight w:val="340"/>
          <w:jc w:val="center"/>
        </w:trPr>
        <w:tc>
          <w:tcPr>
            <w:tcW w:w="1867" w:type="dxa"/>
            <w:shd w:val="clear" w:color="auto" w:fill="auto"/>
            <w:noWrap/>
            <w:vAlign w:val="center"/>
          </w:tcPr>
          <w:p w14:paraId="639A316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钙（</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2D67342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6B48563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41.1</w:t>
            </w:r>
          </w:p>
        </w:tc>
        <w:tc>
          <w:tcPr>
            <w:tcW w:w="0" w:type="auto"/>
            <w:shd w:val="clear" w:color="auto" w:fill="auto"/>
            <w:noWrap/>
            <w:vAlign w:val="center"/>
          </w:tcPr>
          <w:p w14:paraId="51216A7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37.4</w:t>
            </w:r>
          </w:p>
        </w:tc>
        <w:tc>
          <w:tcPr>
            <w:tcW w:w="0" w:type="auto"/>
            <w:shd w:val="clear" w:color="auto" w:fill="auto"/>
            <w:noWrap/>
            <w:vAlign w:val="center"/>
          </w:tcPr>
          <w:p w14:paraId="09FDCD9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183</w:t>
            </w:r>
          </w:p>
        </w:tc>
        <w:tc>
          <w:tcPr>
            <w:tcW w:w="0" w:type="auto"/>
            <w:shd w:val="clear" w:color="auto" w:fill="auto"/>
            <w:noWrap/>
            <w:vAlign w:val="center"/>
          </w:tcPr>
          <w:p w14:paraId="68C3FCF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62.5</w:t>
            </w:r>
          </w:p>
        </w:tc>
        <w:tc>
          <w:tcPr>
            <w:tcW w:w="0" w:type="auto"/>
            <w:shd w:val="clear" w:color="auto" w:fill="auto"/>
            <w:noWrap/>
            <w:vAlign w:val="center"/>
          </w:tcPr>
          <w:p w14:paraId="41CC0F3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r>
      <w:tr w:rsidR="009C353B" w14:paraId="78ED4B9E" w14:textId="77777777">
        <w:trPr>
          <w:trHeight w:val="340"/>
          <w:jc w:val="center"/>
        </w:trPr>
        <w:tc>
          <w:tcPr>
            <w:tcW w:w="1867" w:type="dxa"/>
            <w:shd w:val="clear" w:color="auto" w:fill="auto"/>
            <w:noWrap/>
            <w:vAlign w:val="center"/>
          </w:tcPr>
          <w:p w14:paraId="077B625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镁（</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237986E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0839A5E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36.9</w:t>
            </w:r>
          </w:p>
        </w:tc>
        <w:tc>
          <w:tcPr>
            <w:tcW w:w="0" w:type="auto"/>
            <w:shd w:val="clear" w:color="auto" w:fill="auto"/>
            <w:noWrap/>
            <w:vAlign w:val="center"/>
          </w:tcPr>
          <w:p w14:paraId="269DB80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35.6</w:t>
            </w:r>
          </w:p>
        </w:tc>
        <w:tc>
          <w:tcPr>
            <w:tcW w:w="0" w:type="auto"/>
            <w:shd w:val="clear" w:color="auto" w:fill="auto"/>
            <w:noWrap/>
            <w:vAlign w:val="center"/>
          </w:tcPr>
          <w:p w14:paraId="0BA8BD3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193</w:t>
            </w:r>
          </w:p>
        </w:tc>
        <w:tc>
          <w:tcPr>
            <w:tcW w:w="0" w:type="auto"/>
            <w:shd w:val="clear" w:color="auto" w:fill="auto"/>
            <w:noWrap/>
            <w:vAlign w:val="center"/>
          </w:tcPr>
          <w:p w14:paraId="6370431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40.1</w:t>
            </w:r>
          </w:p>
        </w:tc>
        <w:tc>
          <w:tcPr>
            <w:tcW w:w="0" w:type="auto"/>
            <w:shd w:val="clear" w:color="auto" w:fill="auto"/>
            <w:noWrap/>
            <w:vAlign w:val="center"/>
          </w:tcPr>
          <w:p w14:paraId="64CBC91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r>
      <w:tr w:rsidR="009C353B" w14:paraId="2657A36A" w14:textId="77777777">
        <w:trPr>
          <w:trHeight w:val="340"/>
          <w:jc w:val="center"/>
        </w:trPr>
        <w:tc>
          <w:tcPr>
            <w:tcW w:w="1867" w:type="dxa"/>
            <w:shd w:val="clear" w:color="auto" w:fill="auto"/>
            <w:noWrap/>
            <w:vAlign w:val="center"/>
          </w:tcPr>
          <w:p w14:paraId="427AE05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碳酸根（</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7EFC36E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值</w:t>
            </w:r>
          </w:p>
        </w:tc>
        <w:tc>
          <w:tcPr>
            <w:tcW w:w="0" w:type="auto"/>
            <w:shd w:val="clear" w:color="auto" w:fill="auto"/>
            <w:noWrap/>
            <w:vAlign w:val="center"/>
          </w:tcPr>
          <w:p w14:paraId="2CD30D9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29</w:t>
            </w:r>
          </w:p>
        </w:tc>
        <w:tc>
          <w:tcPr>
            <w:tcW w:w="0" w:type="auto"/>
            <w:shd w:val="clear" w:color="auto" w:fill="auto"/>
            <w:noWrap/>
            <w:vAlign w:val="center"/>
          </w:tcPr>
          <w:p w14:paraId="37BD336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w:t>
            </w:r>
          </w:p>
        </w:tc>
        <w:tc>
          <w:tcPr>
            <w:tcW w:w="0" w:type="auto"/>
            <w:shd w:val="clear" w:color="auto" w:fill="auto"/>
            <w:noWrap/>
            <w:vAlign w:val="center"/>
          </w:tcPr>
          <w:p w14:paraId="706985D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ND 5</w:t>
            </w:r>
          </w:p>
        </w:tc>
        <w:tc>
          <w:tcPr>
            <w:tcW w:w="0" w:type="auto"/>
            <w:shd w:val="clear" w:color="auto" w:fill="auto"/>
            <w:noWrap/>
            <w:vAlign w:val="center"/>
          </w:tcPr>
          <w:p w14:paraId="1B40E61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18</w:t>
            </w:r>
          </w:p>
        </w:tc>
        <w:tc>
          <w:tcPr>
            <w:tcW w:w="0" w:type="auto"/>
            <w:shd w:val="clear" w:color="auto" w:fill="auto"/>
            <w:noWrap/>
            <w:vAlign w:val="center"/>
          </w:tcPr>
          <w:p w14:paraId="23C70D5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r>
      <w:tr w:rsidR="009C353B" w14:paraId="0285D366" w14:textId="77777777">
        <w:trPr>
          <w:trHeight w:val="340"/>
          <w:jc w:val="center"/>
        </w:trPr>
        <w:tc>
          <w:tcPr>
            <w:tcW w:w="1867" w:type="dxa"/>
            <w:shd w:val="clear" w:color="auto" w:fill="auto"/>
            <w:noWrap/>
            <w:vAlign w:val="center"/>
          </w:tcPr>
          <w:p w14:paraId="0B24E71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重碳酸根（</w:t>
            </w:r>
            <w:r>
              <w:rPr>
                <w:rFonts w:ascii="Times New Roman" w:hAnsi="Times New Roman"/>
                <w:kern w:val="0"/>
                <w:sz w:val="21"/>
                <w:szCs w:val="21"/>
              </w:rPr>
              <w:t>mg/L</w:t>
            </w:r>
            <w:r>
              <w:rPr>
                <w:rFonts w:ascii="Times New Roman" w:hAnsi="Times New Roman"/>
                <w:kern w:val="0"/>
                <w:sz w:val="21"/>
                <w:szCs w:val="21"/>
              </w:rPr>
              <w:t>）</w:t>
            </w:r>
          </w:p>
        </w:tc>
        <w:tc>
          <w:tcPr>
            <w:tcW w:w="871" w:type="dxa"/>
            <w:shd w:val="clear" w:color="auto" w:fill="auto"/>
            <w:noWrap/>
            <w:vAlign w:val="center"/>
          </w:tcPr>
          <w:p w14:paraId="21C1043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值</w:t>
            </w:r>
          </w:p>
        </w:tc>
        <w:tc>
          <w:tcPr>
            <w:tcW w:w="0" w:type="auto"/>
            <w:shd w:val="clear" w:color="auto" w:fill="auto"/>
            <w:noWrap/>
            <w:vAlign w:val="center"/>
          </w:tcPr>
          <w:p w14:paraId="04CB7CB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221</w:t>
            </w:r>
          </w:p>
        </w:tc>
        <w:tc>
          <w:tcPr>
            <w:tcW w:w="0" w:type="auto"/>
            <w:shd w:val="clear" w:color="auto" w:fill="auto"/>
            <w:noWrap/>
            <w:vAlign w:val="center"/>
          </w:tcPr>
          <w:p w14:paraId="0D7B231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180</w:t>
            </w:r>
          </w:p>
        </w:tc>
        <w:tc>
          <w:tcPr>
            <w:tcW w:w="0" w:type="auto"/>
            <w:shd w:val="clear" w:color="auto" w:fill="auto"/>
            <w:noWrap/>
            <w:vAlign w:val="center"/>
          </w:tcPr>
          <w:p w14:paraId="47FDD0D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750</w:t>
            </w:r>
          </w:p>
        </w:tc>
        <w:tc>
          <w:tcPr>
            <w:tcW w:w="0" w:type="auto"/>
            <w:shd w:val="clear" w:color="auto" w:fill="auto"/>
            <w:noWrap/>
            <w:vAlign w:val="center"/>
          </w:tcPr>
          <w:p w14:paraId="6F41BDB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282</w:t>
            </w:r>
          </w:p>
        </w:tc>
        <w:tc>
          <w:tcPr>
            <w:tcW w:w="0" w:type="auto"/>
            <w:shd w:val="clear" w:color="auto" w:fill="auto"/>
            <w:noWrap/>
            <w:vAlign w:val="center"/>
          </w:tcPr>
          <w:p w14:paraId="4819029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r>
      <w:tr w:rsidR="009C353B" w14:paraId="2B608C73" w14:textId="77777777">
        <w:trPr>
          <w:trHeight w:val="340"/>
          <w:jc w:val="center"/>
        </w:trPr>
        <w:tc>
          <w:tcPr>
            <w:tcW w:w="1867" w:type="dxa"/>
            <w:shd w:val="clear" w:color="auto" w:fill="auto"/>
            <w:noWrap/>
            <w:vAlign w:val="center"/>
          </w:tcPr>
          <w:p w14:paraId="630B906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井深（</w:t>
            </w:r>
            <w:r>
              <w:rPr>
                <w:rFonts w:ascii="Times New Roman" w:hAnsi="Times New Roman" w:hint="eastAsia"/>
                <w:kern w:val="0"/>
                <w:sz w:val="21"/>
                <w:szCs w:val="21"/>
              </w:rPr>
              <w:t>m</w:t>
            </w:r>
            <w:r>
              <w:rPr>
                <w:rFonts w:ascii="Times New Roman" w:hAnsi="Times New Roman" w:hint="eastAsia"/>
                <w:kern w:val="0"/>
                <w:sz w:val="21"/>
                <w:szCs w:val="21"/>
              </w:rPr>
              <w:t>）</w:t>
            </w:r>
          </w:p>
        </w:tc>
        <w:tc>
          <w:tcPr>
            <w:tcW w:w="871" w:type="dxa"/>
            <w:shd w:val="clear" w:color="auto" w:fill="auto"/>
            <w:noWrap/>
            <w:vAlign w:val="center"/>
          </w:tcPr>
          <w:p w14:paraId="4DB06B0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值</w:t>
            </w:r>
          </w:p>
        </w:tc>
        <w:tc>
          <w:tcPr>
            <w:tcW w:w="0" w:type="auto"/>
            <w:shd w:val="clear" w:color="auto" w:fill="auto"/>
            <w:noWrap/>
            <w:vAlign w:val="center"/>
          </w:tcPr>
          <w:p w14:paraId="0407F78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10.0</w:t>
            </w:r>
          </w:p>
        </w:tc>
        <w:tc>
          <w:tcPr>
            <w:tcW w:w="0" w:type="auto"/>
            <w:shd w:val="clear" w:color="auto" w:fill="auto"/>
            <w:noWrap/>
            <w:vAlign w:val="center"/>
          </w:tcPr>
          <w:p w14:paraId="40B041D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6.0</w:t>
            </w:r>
          </w:p>
        </w:tc>
        <w:tc>
          <w:tcPr>
            <w:tcW w:w="0" w:type="auto"/>
            <w:shd w:val="clear" w:color="auto" w:fill="auto"/>
            <w:noWrap/>
            <w:vAlign w:val="center"/>
          </w:tcPr>
          <w:p w14:paraId="44DAFE1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4.0</w:t>
            </w:r>
          </w:p>
        </w:tc>
        <w:tc>
          <w:tcPr>
            <w:tcW w:w="0" w:type="auto"/>
            <w:shd w:val="clear" w:color="auto" w:fill="auto"/>
            <w:noWrap/>
            <w:vAlign w:val="center"/>
          </w:tcPr>
          <w:p w14:paraId="2051C30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4.0</w:t>
            </w:r>
          </w:p>
        </w:tc>
        <w:tc>
          <w:tcPr>
            <w:tcW w:w="0" w:type="auto"/>
            <w:shd w:val="clear" w:color="auto" w:fill="auto"/>
            <w:noWrap/>
            <w:vAlign w:val="center"/>
          </w:tcPr>
          <w:p w14:paraId="7BB35F6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w:t>
            </w:r>
          </w:p>
        </w:tc>
      </w:tr>
      <w:tr w:rsidR="009C353B" w14:paraId="255E615D" w14:textId="77777777">
        <w:trPr>
          <w:trHeight w:val="340"/>
          <w:jc w:val="center"/>
        </w:trPr>
        <w:tc>
          <w:tcPr>
            <w:tcW w:w="1867" w:type="dxa"/>
            <w:shd w:val="clear" w:color="auto" w:fill="auto"/>
            <w:noWrap/>
            <w:vAlign w:val="center"/>
          </w:tcPr>
          <w:p w14:paraId="31F8E5E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水位（</w:t>
            </w:r>
            <w:r>
              <w:rPr>
                <w:rFonts w:ascii="Times New Roman" w:hAnsi="Times New Roman" w:hint="eastAsia"/>
                <w:kern w:val="0"/>
                <w:sz w:val="21"/>
                <w:szCs w:val="21"/>
              </w:rPr>
              <w:t>m</w:t>
            </w:r>
            <w:r>
              <w:rPr>
                <w:rFonts w:ascii="Times New Roman" w:hAnsi="Times New Roman" w:hint="eastAsia"/>
                <w:kern w:val="0"/>
                <w:sz w:val="21"/>
                <w:szCs w:val="21"/>
              </w:rPr>
              <w:t>）</w:t>
            </w:r>
          </w:p>
        </w:tc>
        <w:tc>
          <w:tcPr>
            <w:tcW w:w="871" w:type="dxa"/>
            <w:shd w:val="clear" w:color="auto" w:fill="auto"/>
            <w:noWrap/>
            <w:vAlign w:val="center"/>
          </w:tcPr>
          <w:p w14:paraId="3499A03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值</w:t>
            </w:r>
          </w:p>
        </w:tc>
        <w:tc>
          <w:tcPr>
            <w:tcW w:w="0" w:type="auto"/>
            <w:shd w:val="clear" w:color="auto" w:fill="auto"/>
            <w:noWrap/>
            <w:vAlign w:val="center"/>
          </w:tcPr>
          <w:p w14:paraId="04A560F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5.0</w:t>
            </w:r>
          </w:p>
        </w:tc>
        <w:tc>
          <w:tcPr>
            <w:tcW w:w="0" w:type="auto"/>
            <w:shd w:val="clear" w:color="auto" w:fill="auto"/>
            <w:noWrap/>
            <w:vAlign w:val="center"/>
          </w:tcPr>
          <w:p w14:paraId="5786840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5.0</w:t>
            </w:r>
          </w:p>
        </w:tc>
        <w:tc>
          <w:tcPr>
            <w:tcW w:w="0" w:type="auto"/>
            <w:shd w:val="clear" w:color="auto" w:fill="auto"/>
            <w:noWrap/>
            <w:vAlign w:val="center"/>
          </w:tcPr>
          <w:p w14:paraId="5E84E52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w:t>
            </w:r>
          </w:p>
        </w:tc>
        <w:tc>
          <w:tcPr>
            <w:tcW w:w="0" w:type="auto"/>
            <w:shd w:val="clear" w:color="auto" w:fill="auto"/>
            <w:noWrap/>
            <w:vAlign w:val="center"/>
          </w:tcPr>
          <w:p w14:paraId="2B56E6E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w:t>
            </w:r>
          </w:p>
        </w:tc>
        <w:tc>
          <w:tcPr>
            <w:tcW w:w="0" w:type="auto"/>
            <w:shd w:val="clear" w:color="auto" w:fill="auto"/>
            <w:noWrap/>
            <w:vAlign w:val="center"/>
          </w:tcPr>
          <w:p w14:paraId="3FE3E89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w:t>
            </w:r>
          </w:p>
        </w:tc>
      </w:tr>
      <w:tr w:rsidR="009C353B" w14:paraId="0391422A" w14:textId="77777777">
        <w:trPr>
          <w:trHeight w:val="340"/>
          <w:jc w:val="center"/>
        </w:trPr>
        <w:tc>
          <w:tcPr>
            <w:tcW w:w="1867" w:type="dxa"/>
            <w:shd w:val="clear" w:color="auto" w:fill="auto"/>
            <w:noWrap/>
            <w:vAlign w:val="center"/>
          </w:tcPr>
          <w:p w14:paraId="30CA005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地下水埋深（</w:t>
            </w:r>
            <w:r>
              <w:rPr>
                <w:rFonts w:ascii="Times New Roman" w:hAnsi="Times New Roman" w:hint="eastAsia"/>
                <w:kern w:val="0"/>
                <w:sz w:val="21"/>
                <w:szCs w:val="21"/>
              </w:rPr>
              <w:t>m</w:t>
            </w:r>
            <w:r>
              <w:rPr>
                <w:rFonts w:ascii="Times New Roman" w:hAnsi="Times New Roman" w:hint="eastAsia"/>
                <w:kern w:val="0"/>
                <w:sz w:val="21"/>
                <w:szCs w:val="21"/>
              </w:rPr>
              <w:t>）</w:t>
            </w:r>
          </w:p>
        </w:tc>
        <w:tc>
          <w:tcPr>
            <w:tcW w:w="871" w:type="dxa"/>
            <w:shd w:val="clear" w:color="auto" w:fill="auto"/>
            <w:noWrap/>
            <w:vAlign w:val="center"/>
          </w:tcPr>
          <w:p w14:paraId="507B84A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值</w:t>
            </w:r>
          </w:p>
        </w:tc>
        <w:tc>
          <w:tcPr>
            <w:tcW w:w="0" w:type="auto"/>
            <w:shd w:val="clear" w:color="auto" w:fill="auto"/>
            <w:noWrap/>
            <w:vAlign w:val="center"/>
          </w:tcPr>
          <w:p w14:paraId="2D9D21A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1265</w:t>
            </w:r>
          </w:p>
        </w:tc>
        <w:tc>
          <w:tcPr>
            <w:tcW w:w="0" w:type="auto"/>
            <w:shd w:val="clear" w:color="auto" w:fill="auto"/>
            <w:noWrap/>
            <w:vAlign w:val="center"/>
          </w:tcPr>
          <w:p w14:paraId="00220BB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1242</w:t>
            </w:r>
          </w:p>
        </w:tc>
        <w:tc>
          <w:tcPr>
            <w:tcW w:w="0" w:type="auto"/>
            <w:shd w:val="clear" w:color="auto" w:fill="auto"/>
            <w:noWrap/>
            <w:vAlign w:val="center"/>
          </w:tcPr>
          <w:p w14:paraId="35276C5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1208</w:t>
            </w:r>
          </w:p>
        </w:tc>
        <w:tc>
          <w:tcPr>
            <w:tcW w:w="0" w:type="auto"/>
            <w:shd w:val="clear" w:color="auto" w:fill="auto"/>
            <w:noWrap/>
            <w:vAlign w:val="center"/>
          </w:tcPr>
          <w:p w14:paraId="4473A2F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1211</w:t>
            </w:r>
          </w:p>
        </w:tc>
        <w:tc>
          <w:tcPr>
            <w:tcW w:w="0" w:type="auto"/>
            <w:shd w:val="clear" w:color="auto" w:fill="auto"/>
            <w:noWrap/>
            <w:vAlign w:val="center"/>
          </w:tcPr>
          <w:p w14:paraId="2340AF4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w:t>
            </w:r>
          </w:p>
        </w:tc>
      </w:tr>
    </w:tbl>
    <w:p w14:paraId="76A3F30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根据表</w:t>
      </w:r>
      <w:r>
        <w:rPr>
          <w:rFonts w:ascii="Times New Roman" w:hAnsi="Times New Roman" w:hint="eastAsia"/>
        </w:rPr>
        <w:t>3.3-7</w:t>
      </w:r>
      <w:r>
        <w:rPr>
          <w:rFonts w:ascii="Times New Roman" w:hAnsi="Times New Roman" w:hint="eastAsia"/>
        </w:rPr>
        <w:t>监测结果，地下水水质达不到</w:t>
      </w:r>
      <w:r>
        <w:rPr>
          <w:rFonts w:ascii="Times New Roman" w:hAnsi="Times New Roman"/>
        </w:rPr>
        <w:t>《地下水质量标准》（</w:t>
      </w:r>
      <w:r>
        <w:rPr>
          <w:rFonts w:ascii="Times New Roman" w:hAnsi="Times New Roman"/>
        </w:rPr>
        <w:t>GB/T14848-2017</w:t>
      </w:r>
      <w:r>
        <w:rPr>
          <w:rFonts w:ascii="Times New Roman" w:hAnsi="Times New Roman"/>
        </w:rPr>
        <w:t>）</w:t>
      </w:r>
      <w:r>
        <w:rPr>
          <w:rFonts w:ascii="Times New Roman" w:hAnsi="Times New Roman"/>
        </w:rPr>
        <w:t>Ⅲ</w:t>
      </w:r>
      <w:r>
        <w:rPr>
          <w:rFonts w:ascii="Times New Roman" w:hAnsi="Times New Roman"/>
        </w:rPr>
        <w:t>类标准</w:t>
      </w:r>
      <w:r>
        <w:rPr>
          <w:rFonts w:ascii="Times New Roman" w:hAnsi="Times New Roman" w:hint="eastAsia"/>
        </w:rPr>
        <w:t>。</w:t>
      </w:r>
      <w:r>
        <w:rPr>
          <w:rFonts w:ascii="Times New Roman" w:hAnsi="Times New Roman"/>
        </w:rPr>
        <w:t>1#</w:t>
      </w:r>
      <w:r>
        <w:rPr>
          <w:rFonts w:ascii="Times New Roman" w:hAnsi="Times New Roman"/>
        </w:rPr>
        <w:t>、</w:t>
      </w:r>
      <w:r>
        <w:rPr>
          <w:rFonts w:ascii="Times New Roman" w:hAnsi="Times New Roman"/>
        </w:rPr>
        <w:t>2#</w:t>
      </w:r>
      <w:r>
        <w:rPr>
          <w:rFonts w:ascii="Times New Roman" w:hAnsi="Times New Roman" w:hint="eastAsia"/>
        </w:rPr>
        <w:t>、</w:t>
      </w:r>
      <w:r>
        <w:rPr>
          <w:rFonts w:ascii="Times New Roman" w:hAnsi="Times New Roman" w:hint="eastAsia"/>
        </w:rPr>
        <w:t>10</w:t>
      </w:r>
      <w:r>
        <w:rPr>
          <w:rFonts w:ascii="Times New Roman" w:hAnsi="Times New Roman"/>
        </w:rPr>
        <w:t>#</w:t>
      </w:r>
      <w:r>
        <w:rPr>
          <w:rFonts w:ascii="Times New Roman" w:hAnsi="Times New Roman"/>
        </w:rPr>
        <w:t>各</w:t>
      </w:r>
      <w:r>
        <w:rPr>
          <w:rFonts w:ascii="Times New Roman" w:hAnsi="Times New Roman" w:hint="eastAsia"/>
        </w:rPr>
        <w:t>水质</w:t>
      </w:r>
      <w:r>
        <w:rPr>
          <w:rFonts w:ascii="Times New Roman" w:hAnsi="Times New Roman"/>
        </w:rPr>
        <w:t>指标中，氟化物、细菌总数出现超标，其余指标均符合《地下水质量标准》（</w:t>
      </w:r>
      <w:r>
        <w:rPr>
          <w:rFonts w:ascii="Times New Roman" w:hAnsi="Times New Roman"/>
        </w:rPr>
        <w:t>GB/T14848-2017</w:t>
      </w:r>
      <w:r>
        <w:rPr>
          <w:rFonts w:ascii="Times New Roman" w:hAnsi="Times New Roman"/>
        </w:rPr>
        <w:t>）</w:t>
      </w:r>
      <w:r>
        <w:rPr>
          <w:rFonts w:ascii="Times New Roman" w:hAnsi="Times New Roman"/>
        </w:rPr>
        <w:t>Ⅲ</w:t>
      </w:r>
      <w:r>
        <w:rPr>
          <w:rFonts w:ascii="Times New Roman" w:hAnsi="Times New Roman"/>
        </w:rPr>
        <w:t>类标准，</w:t>
      </w:r>
      <w:r>
        <w:rPr>
          <w:rFonts w:ascii="Times New Roman" w:hAnsi="Times New Roman" w:hint="eastAsia"/>
        </w:rPr>
        <w:t>9</w:t>
      </w:r>
      <w:r>
        <w:rPr>
          <w:rFonts w:ascii="Times New Roman" w:hAnsi="Times New Roman"/>
        </w:rPr>
        <w:t>#</w:t>
      </w:r>
      <w:r>
        <w:rPr>
          <w:rFonts w:ascii="Times New Roman" w:hAnsi="Times New Roman"/>
        </w:rPr>
        <w:t>总硬度、溶解性总固体、氟化物、氯化物、硫酸盐、细菌总数、大肠杆菌及钠</w:t>
      </w:r>
      <w:r>
        <w:rPr>
          <w:rFonts w:ascii="Times New Roman" w:hAnsi="Times New Roman" w:hint="eastAsia"/>
        </w:rPr>
        <w:t>超标</w:t>
      </w:r>
      <w:r>
        <w:rPr>
          <w:rFonts w:ascii="Times New Roman" w:hAnsi="Times New Roman"/>
        </w:rPr>
        <w:t>，超标倍数为</w:t>
      </w:r>
      <w:r>
        <w:rPr>
          <w:rFonts w:ascii="Times New Roman" w:hAnsi="Times New Roman"/>
        </w:rPr>
        <w:t>1.76</w:t>
      </w:r>
      <w:r>
        <w:rPr>
          <w:rFonts w:ascii="Times New Roman" w:hAnsi="Times New Roman"/>
        </w:rPr>
        <w:t>、</w:t>
      </w:r>
      <w:r>
        <w:rPr>
          <w:rFonts w:ascii="Times New Roman" w:hAnsi="Times New Roman"/>
        </w:rPr>
        <w:t>2.82</w:t>
      </w:r>
      <w:r>
        <w:rPr>
          <w:rFonts w:ascii="Times New Roman" w:hAnsi="Times New Roman"/>
        </w:rPr>
        <w:t>、</w:t>
      </w:r>
      <w:r>
        <w:rPr>
          <w:rFonts w:ascii="Times New Roman" w:hAnsi="Times New Roman"/>
        </w:rPr>
        <w:t>2.99</w:t>
      </w: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4.96</w:t>
      </w:r>
      <w:r>
        <w:rPr>
          <w:rFonts w:ascii="Times New Roman" w:hAnsi="Times New Roman"/>
        </w:rPr>
        <w:t>、</w:t>
      </w:r>
      <w:r>
        <w:rPr>
          <w:rFonts w:ascii="Times New Roman" w:hAnsi="Times New Roman"/>
        </w:rPr>
        <w:t>119</w:t>
      </w:r>
      <w:r>
        <w:rPr>
          <w:rFonts w:ascii="Times New Roman" w:hAnsi="Times New Roman"/>
        </w:rPr>
        <w:t>、</w:t>
      </w:r>
      <w:r>
        <w:rPr>
          <w:rFonts w:ascii="Times New Roman" w:hAnsi="Times New Roman"/>
        </w:rPr>
        <w:t>28.5</w:t>
      </w:r>
      <w:r>
        <w:rPr>
          <w:rFonts w:ascii="Times New Roman" w:hAnsi="Times New Roman"/>
        </w:rPr>
        <w:t>、</w:t>
      </w:r>
      <w:r>
        <w:rPr>
          <w:rFonts w:ascii="Times New Roman" w:hAnsi="Times New Roman"/>
        </w:rPr>
        <w:t>4.66</w:t>
      </w:r>
      <w:r>
        <w:rPr>
          <w:rFonts w:ascii="Times New Roman" w:hAnsi="Times New Roman"/>
        </w:rPr>
        <w:t>。细菌总数及大肠杆菌超标原因与当地卫生条件、人为污染有关；氟化物超标与该地区氟化物背景值高有关</w:t>
      </w:r>
      <w:r>
        <w:rPr>
          <w:rFonts w:ascii="Times New Roman" w:hAnsi="Times New Roman" w:hint="eastAsia"/>
        </w:rPr>
        <w:t>，其余指标超标与当地水文地质条件（矿区第四系地下水</w:t>
      </w:r>
      <w:r>
        <w:rPr>
          <w:rFonts w:ascii="Times New Roman" w:hAnsi="Times New Roman"/>
          <w:szCs w:val="24"/>
        </w:rPr>
        <w:t>水质矿化度</w:t>
      </w:r>
      <w:r>
        <w:rPr>
          <w:rFonts w:ascii="Times New Roman" w:hAnsi="Times New Roman" w:hint="eastAsia"/>
          <w:szCs w:val="24"/>
        </w:rPr>
        <w:t>普遍</w:t>
      </w:r>
      <w:r>
        <w:rPr>
          <w:rFonts w:ascii="Times New Roman" w:hAnsi="Times New Roman"/>
          <w:szCs w:val="24"/>
        </w:rPr>
        <w:t>大于</w:t>
      </w:r>
      <w:r>
        <w:rPr>
          <w:rFonts w:ascii="Times New Roman" w:hAnsi="Times New Roman"/>
          <w:szCs w:val="24"/>
        </w:rPr>
        <w:t>1g/l</w:t>
      </w:r>
      <w:r>
        <w:rPr>
          <w:rFonts w:ascii="Times New Roman" w:hAnsi="Times New Roman" w:hint="eastAsia"/>
        </w:rPr>
        <w:t>）有关。</w:t>
      </w:r>
    </w:p>
    <w:p w14:paraId="0AAF9FCD"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3.3.3 </w:t>
      </w:r>
      <w:r>
        <w:rPr>
          <w:rFonts w:ascii="Times New Roman" w:hAnsi="Times New Roman"/>
          <w:sz w:val="24"/>
        </w:rPr>
        <w:t>声环境质量状况</w:t>
      </w:r>
    </w:p>
    <w:p w14:paraId="0E9234F2"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敏感目标调查，矿区内没有村庄分布，各矿工业场地周边也没有其他声环境敏感目标，正常的生产对声环境影响很小。因此现阶段，横城矿区四矿井均未对矿区声环境质量进行监测，本次评价仅根据矿井厂界噪声现状监测结果对矿区声环境质量进行分析。</w:t>
      </w:r>
    </w:p>
    <w:p w14:paraId="1A05E79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生产矿井红石湾煤矿的厂界噪声</w:t>
      </w:r>
      <w:r>
        <w:rPr>
          <w:rFonts w:ascii="Times New Roman" w:hint="eastAsia"/>
        </w:rPr>
        <w:t>2020</w:t>
      </w:r>
      <w:r>
        <w:rPr>
          <w:rFonts w:ascii="Times New Roman" w:hint="eastAsia"/>
        </w:rPr>
        <w:t>年例行监测数据以及任家庄煤矿、丁家梁煤矿</w:t>
      </w:r>
      <w:r>
        <w:rPr>
          <w:rFonts w:ascii="Times New Roman" w:hint="eastAsia"/>
        </w:rPr>
        <w:t>2020</w:t>
      </w:r>
      <w:r>
        <w:rPr>
          <w:rFonts w:ascii="Times New Roman" w:hint="eastAsia"/>
        </w:rPr>
        <w:t>年</w:t>
      </w:r>
      <w:r>
        <w:rPr>
          <w:rFonts w:ascii="Times New Roman" w:hint="eastAsia"/>
        </w:rPr>
        <w:t>8</w:t>
      </w:r>
      <w:r>
        <w:rPr>
          <w:rFonts w:ascii="Times New Roman" w:hint="eastAsia"/>
        </w:rPr>
        <w:t>月的厂界噪声现状监测数据如下：</w:t>
      </w:r>
    </w:p>
    <w:p w14:paraId="6F92E7EB"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1</w:t>
      </w:r>
      <w:r>
        <w:rPr>
          <w:rFonts w:ascii="Times New Roman"/>
        </w:rPr>
        <w:t>）监测内容及频次</w:t>
      </w:r>
    </w:p>
    <w:p w14:paraId="71D80E91"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矿区声环境现状监测的布点详细见表</w:t>
      </w:r>
      <w:r>
        <w:rPr>
          <w:rFonts w:ascii="Times New Roman" w:hAnsi="Times New Roman"/>
        </w:rPr>
        <w:t>3.3-8</w:t>
      </w:r>
      <w:r>
        <w:rPr>
          <w:rFonts w:ascii="Times New Roman"/>
        </w:rPr>
        <w:t>。</w:t>
      </w:r>
      <w:r>
        <w:rPr>
          <w:rFonts w:ascii="Times New Roman" w:hint="eastAsia"/>
        </w:rPr>
        <w:t>现状监测布点见图</w:t>
      </w:r>
      <w:r>
        <w:rPr>
          <w:rFonts w:ascii="Times New Roman" w:hint="eastAsia"/>
        </w:rPr>
        <w:t>3</w:t>
      </w:r>
      <w:r>
        <w:rPr>
          <w:rFonts w:ascii="Times New Roman"/>
        </w:rPr>
        <w:t>.3</w:t>
      </w:r>
      <w:r>
        <w:rPr>
          <w:rFonts w:ascii="Times New Roman" w:hint="eastAsia"/>
        </w:rPr>
        <w:t>-</w:t>
      </w:r>
      <w:r>
        <w:rPr>
          <w:rFonts w:ascii="Times New Roman"/>
        </w:rPr>
        <w:t>3</w:t>
      </w:r>
      <w:r>
        <w:rPr>
          <w:rFonts w:ascii="Times New Roman" w:hint="eastAsia"/>
        </w:rPr>
        <w:t>、</w:t>
      </w:r>
      <w:r>
        <w:rPr>
          <w:rFonts w:ascii="Times New Roman" w:hint="eastAsia"/>
        </w:rPr>
        <w:t>3</w:t>
      </w:r>
      <w:r>
        <w:rPr>
          <w:rFonts w:ascii="Times New Roman"/>
        </w:rPr>
        <w:t>.3</w:t>
      </w:r>
      <w:r>
        <w:rPr>
          <w:rFonts w:ascii="Times New Roman" w:hint="eastAsia"/>
        </w:rPr>
        <w:t>-</w:t>
      </w:r>
      <w:r>
        <w:rPr>
          <w:rFonts w:ascii="Times New Roman"/>
        </w:rPr>
        <w:t>4</w:t>
      </w:r>
      <w:r>
        <w:rPr>
          <w:rFonts w:ascii="Times New Roman" w:hint="eastAsia"/>
        </w:rPr>
        <w:t>。</w:t>
      </w:r>
    </w:p>
    <w:p w14:paraId="08B3B59C" w14:textId="77777777" w:rsidR="009C353B" w:rsidRDefault="00000000">
      <w:pPr>
        <w:pStyle w:val="325"/>
        <w:adjustRightInd w:val="0"/>
        <w:snapToGrid w:val="0"/>
        <w:spacing w:before="100" w:beforeAutospacing="1" w:line="440" w:lineRule="exact"/>
        <w:ind w:firstLineChars="0" w:firstLine="0"/>
        <w:jc w:val="center"/>
        <w:rPr>
          <w:rFonts w:ascii="Times New Roman" w:hAnsi="Times New Roman"/>
          <w:b/>
        </w:rPr>
      </w:pPr>
      <w:r>
        <w:rPr>
          <w:rFonts w:ascii="Times New Roman"/>
          <w:b/>
        </w:rPr>
        <w:t>监测内容</w:t>
      </w:r>
      <w:r>
        <w:rPr>
          <w:rFonts w:ascii="Times New Roman" w:hint="eastAsia"/>
          <w:b/>
        </w:rPr>
        <w:t>及频次表</w:t>
      </w:r>
    </w:p>
    <w:p w14:paraId="714AC88F" w14:textId="77777777" w:rsidR="009C353B" w:rsidRDefault="00000000">
      <w:pPr>
        <w:pStyle w:val="325"/>
        <w:adjustRightInd w:val="0"/>
        <w:snapToGrid w:val="0"/>
        <w:spacing w:line="440" w:lineRule="exact"/>
        <w:ind w:firstLineChars="0" w:firstLine="0"/>
        <w:outlineLvl w:val="4"/>
        <w:rPr>
          <w:rFonts w:ascii="Times New Roman" w:hAnsi="Times New Roman"/>
        </w:rPr>
      </w:pPr>
      <w:r>
        <w:rPr>
          <w:rFonts w:ascii="Times New Roman"/>
        </w:rPr>
        <w:t>表</w:t>
      </w:r>
      <w:r>
        <w:rPr>
          <w:rFonts w:ascii="Times New Roman" w:hAnsi="Times New Roman"/>
        </w:rPr>
        <w:t>3.3-8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725"/>
        <w:gridCol w:w="4136"/>
        <w:gridCol w:w="1710"/>
        <w:gridCol w:w="2556"/>
      </w:tblGrid>
      <w:tr w:rsidR="009C353B" w14:paraId="3D81A90D" w14:textId="77777777">
        <w:trPr>
          <w:trHeight w:val="284"/>
          <w:jc w:val="center"/>
        </w:trPr>
        <w:tc>
          <w:tcPr>
            <w:tcW w:w="397" w:type="pct"/>
            <w:vAlign w:val="center"/>
          </w:tcPr>
          <w:p w14:paraId="5CFCFA34" w14:textId="77777777" w:rsidR="009C353B" w:rsidRDefault="00000000">
            <w:pPr>
              <w:adjustRightInd w:val="0"/>
              <w:snapToGrid w:val="0"/>
              <w:spacing w:line="240" w:lineRule="exact"/>
              <w:jc w:val="center"/>
              <w:rPr>
                <w:rFonts w:ascii="Times New Roman" w:hAnsi="Times New Roman"/>
                <w:sz w:val="21"/>
                <w:szCs w:val="21"/>
              </w:rPr>
            </w:pPr>
            <w:r>
              <w:rPr>
                <w:rFonts w:ascii="Times New Roman"/>
                <w:sz w:val="21"/>
                <w:szCs w:val="21"/>
              </w:rPr>
              <w:t>编号</w:t>
            </w:r>
          </w:p>
        </w:tc>
        <w:tc>
          <w:tcPr>
            <w:tcW w:w="2266" w:type="pct"/>
            <w:vAlign w:val="center"/>
          </w:tcPr>
          <w:p w14:paraId="7017783A" w14:textId="77777777" w:rsidR="009C353B" w:rsidRDefault="00000000">
            <w:pPr>
              <w:adjustRightInd w:val="0"/>
              <w:snapToGrid w:val="0"/>
              <w:spacing w:line="240" w:lineRule="exact"/>
              <w:jc w:val="center"/>
              <w:rPr>
                <w:rFonts w:ascii="Times New Roman" w:hAnsi="Times New Roman"/>
                <w:sz w:val="21"/>
                <w:szCs w:val="21"/>
              </w:rPr>
            </w:pPr>
            <w:r>
              <w:rPr>
                <w:rFonts w:ascii="Times New Roman"/>
                <w:sz w:val="21"/>
                <w:szCs w:val="21"/>
              </w:rPr>
              <w:t>测点方位</w:t>
            </w:r>
          </w:p>
        </w:tc>
        <w:tc>
          <w:tcPr>
            <w:tcW w:w="937" w:type="pct"/>
            <w:vAlign w:val="center"/>
          </w:tcPr>
          <w:p w14:paraId="4F6C3305"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监测时间</w:t>
            </w:r>
          </w:p>
        </w:tc>
        <w:tc>
          <w:tcPr>
            <w:tcW w:w="1400" w:type="pct"/>
            <w:vAlign w:val="center"/>
          </w:tcPr>
          <w:p w14:paraId="04EE1AAA" w14:textId="77777777" w:rsidR="009C353B" w:rsidRDefault="00000000">
            <w:pPr>
              <w:adjustRightInd w:val="0"/>
              <w:snapToGrid w:val="0"/>
              <w:spacing w:line="240" w:lineRule="exact"/>
              <w:jc w:val="center"/>
              <w:rPr>
                <w:rFonts w:ascii="Times New Roman" w:hAnsi="Times New Roman"/>
                <w:sz w:val="21"/>
                <w:szCs w:val="21"/>
              </w:rPr>
            </w:pPr>
            <w:r>
              <w:rPr>
                <w:rFonts w:ascii="Times New Roman"/>
                <w:sz w:val="21"/>
                <w:szCs w:val="21"/>
              </w:rPr>
              <w:t>监测频次</w:t>
            </w:r>
          </w:p>
        </w:tc>
      </w:tr>
      <w:tr w:rsidR="009C353B" w14:paraId="0268AC4D" w14:textId="77777777">
        <w:trPr>
          <w:trHeight w:val="284"/>
          <w:jc w:val="center"/>
        </w:trPr>
        <w:tc>
          <w:tcPr>
            <w:tcW w:w="397" w:type="pct"/>
            <w:vAlign w:val="center"/>
          </w:tcPr>
          <w:p w14:paraId="323F2187" w14:textId="77777777" w:rsidR="009C353B" w:rsidRDefault="00000000">
            <w:pPr>
              <w:adjustRightInd w:val="0"/>
              <w:snapToGrid w:val="0"/>
              <w:spacing w:line="240" w:lineRule="exact"/>
              <w:jc w:val="center"/>
              <w:rPr>
                <w:rFonts w:ascii="Times New Roman" w:hint="eastAsia"/>
                <w:sz w:val="21"/>
                <w:szCs w:val="21"/>
              </w:rPr>
            </w:pPr>
            <w:r>
              <w:rPr>
                <w:rFonts w:ascii="Times New Roman" w:hAnsi="Times New Roman" w:hint="eastAsia"/>
                <w:sz w:val="21"/>
                <w:szCs w:val="21"/>
              </w:rPr>
              <w:t>1-4</w:t>
            </w:r>
            <w:r>
              <w:rPr>
                <w:rFonts w:ascii="Times New Roman" w:hAnsi="Times New Roman"/>
                <w:sz w:val="21"/>
                <w:szCs w:val="21"/>
              </w:rPr>
              <w:t>#</w:t>
            </w:r>
          </w:p>
        </w:tc>
        <w:tc>
          <w:tcPr>
            <w:tcW w:w="2266" w:type="pct"/>
            <w:vAlign w:val="center"/>
          </w:tcPr>
          <w:p w14:paraId="3AF60EA9" w14:textId="77777777" w:rsidR="009C353B" w:rsidRDefault="00000000">
            <w:pPr>
              <w:adjustRightInd w:val="0"/>
              <w:snapToGrid w:val="0"/>
              <w:spacing w:line="240" w:lineRule="exact"/>
              <w:jc w:val="left"/>
              <w:rPr>
                <w:rFonts w:ascii="Times New Roman" w:hint="eastAsia"/>
                <w:sz w:val="21"/>
                <w:szCs w:val="21"/>
              </w:rPr>
            </w:pPr>
            <w:r>
              <w:rPr>
                <w:rFonts w:ascii="Times New Roman" w:hAnsi="Times New Roman" w:hint="eastAsia"/>
                <w:sz w:val="21"/>
                <w:szCs w:val="21"/>
              </w:rPr>
              <w:t>丁家梁工业场地厂界噪声（东南西北）</w:t>
            </w:r>
          </w:p>
        </w:tc>
        <w:tc>
          <w:tcPr>
            <w:tcW w:w="937" w:type="pct"/>
            <w:vAlign w:val="center"/>
          </w:tcPr>
          <w:p w14:paraId="0C9D4256"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10</w:t>
            </w:r>
            <w:r>
              <w:rPr>
                <w:rFonts w:ascii="Times New Roman" w:hAnsi="Times New Roman" w:hint="eastAsia"/>
                <w:sz w:val="21"/>
                <w:szCs w:val="21"/>
              </w:rPr>
              <w:t>日</w:t>
            </w:r>
          </w:p>
        </w:tc>
        <w:tc>
          <w:tcPr>
            <w:tcW w:w="1400" w:type="pct"/>
            <w:vAlign w:val="center"/>
          </w:tcPr>
          <w:p w14:paraId="0806A806" w14:textId="77777777" w:rsidR="009C353B" w:rsidRDefault="00000000">
            <w:pPr>
              <w:adjustRightInd w:val="0"/>
              <w:snapToGrid w:val="0"/>
              <w:spacing w:line="240" w:lineRule="exact"/>
              <w:jc w:val="center"/>
              <w:rPr>
                <w:rFonts w:ascii="Times New Roman" w:hint="eastAsia"/>
                <w:sz w:val="21"/>
                <w:szCs w:val="21"/>
              </w:rPr>
            </w:pPr>
            <w:r>
              <w:rPr>
                <w:rFonts w:ascii="Times New Roman"/>
                <w:sz w:val="21"/>
                <w:szCs w:val="21"/>
              </w:rPr>
              <w:t>监测</w:t>
            </w:r>
            <w:r>
              <w:rPr>
                <w:rFonts w:ascii="Times New Roman" w:hAnsi="Times New Roman" w:hint="eastAsia"/>
                <w:sz w:val="21"/>
                <w:szCs w:val="21"/>
              </w:rPr>
              <w:t>1</w:t>
            </w:r>
            <w:r>
              <w:rPr>
                <w:rFonts w:ascii="Times New Roman"/>
                <w:sz w:val="21"/>
                <w:szCs w:val="21"/>
              </w:rPr>
              <w:t>天</w:t>
            </w:r>
            <w:r>
              <w:rPr>
                <w:rFonts w:ascii="Times New Roman" w:hint="eastAsia"/>
                <w:sz w:val="21"/>
                <w:szCs w:val="21"/>
              </w:rPr>
              <w:t>，</w:t>
            </w:r>
            <w:r>
              <w:rPr>
                <w:rFonts w:ascii="Times New Roman"/>
                <w:sz w:val="21"/>
                <w:szCs w:val="21"/>
              </w:rPr>
              <w:t>昼夜各</w:t>
            </w:r>
            <w:r>
              <w:rPr>
                <w:rFonts w:ascii="Times New Roman" w:hAnsi="Times New Roman"/>
                <w:sz w:val="21"/>
                <w:szCs w:val="21"/>
              </w:rPr>
              <w:t>2</w:t>
            </w:r>
            <w:r>
              <w:rPr>
                <w:rFonts w:ascii="Times New Roman"/>
                <w:sz w:val="21"/>
                <w:szCs w:val="21"/>
              </w:rPr>
              <w:t>次</w:t>
            </w:r>
            <w:r>
              <w:rPr>
                <w:rFonts w:ascii="Times New Roman" w:hAnsi="Times New Roman"/>
                <w:sz w:val="21"/>
                <w:szCs w:val="21"/>
              </w:rPr>
              <w:t>/</w:t>
            </w:r>
            <w:r>
              <w:rPr>
                <w:rFonts w:ascii="Times New Roman"/>
                <w:sz w:val="21"/>
                <w:szCs w:val="21"/>
              </w:rPr>
              <w:t>天</w:t>
            </w:r>
          </w:p>
        </w:tc>
      </w:tr>
      <w:tr w:rsidR="009C353B" w14:paraId="50824975" w14:textId="77777777">
        <w:trPr>
          <w:trHeight w:val="284"/>
          <w:jc w:val="center"/>
        </w:trPr>
        <w:tc>
          <w:tcPr>
            <w:tcW w:w="397" w:type="pct"/>
            <w:vAlign w:val="center"/>
          </w:tcPr>
          <w:p w14:paraId="04A6A958" w14:textId="77777777" w:rsidR="009C353B" w:rsidRDefault="00000000">
            <w:pPr>
              <w:adjustRightInd w:val="0"/>
              <w:snapToGrid w:val="0"/>
              <w:spacing w:line="240" w:lineRule="exact"/>
              <w:jc w:val="center"/>
              <w:rPr>
                <w:rFonts w:ascii="Times New Roman" w:hint="eastAsia"/>
                <w:sz w:val="21"/>
                <w:szCs w:val="21"/>
              </w:rPr>
            </w:pPr>
            <w:r>
              <w:rPr>
                <w:rFonts w:ascii="Times New Roman" w:hAnsi="Times New Roman" w:hint="eastAsia"/>
                <w:sz w:val="21"/>
                <w:szCs w:val="21"/>
              </w:rPr>
              <w:t>5#</w:t>
            </w:r>
          </w:p>
        </w:tc>
        <w:tc>
          <w:tcPr>
            <w:tcW w:w="2266" w:type="pct"/>
            <w:vAlign w:val="center"/>
          </w:tcPr>
          <w:p w14:paraId="08BB3E43" w14:textId="77777777" w:rsidR="009C353B" w:rsidRDefault="00000000">
            <w:pPr>
              <w:adjustRightInd w:val="0"/>
              <w:snapToGrid w:val="0"/>
              <w:spacing w:line="240" w:lineRule="exact"/>
              <w:jc w:val="left"/>
              <w:rPr>
                <w:rFonts w:ascii="Times New Roman" w:hint="eastAsia"/>
                <w:sz w:val="21"/>
                <w:szCs w:val="21"/>
              </w:rPr>
            </w:pPr>
            <w:r>
              <w:rPr>
                <w:rFonts w:ascii="Times New Roman" w:hAnsi="Times New Roman" w:hint="eastAsia"/>
                <w:sz w:val="21"/>
                <w:szCs w:val="21"/>
              </w:rPr>
              <w:t>丁家梁进场道路</w:t>
            </w:r>
          </w:p>
        </w:tc>
        <w:tc>
          <w:tcPr>
            <w:tcW w:w="937" w:type="pct"/>
            <w:vAlign w:val="center"/>
          </w:tcPr>
          <w:p w14:paraId="125037AC"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10</w:t>
            </w:r>
            <w:r>
              <w:rPr>
                <w:rFonts w:ascii="Times New Roman" w:hAnsi="Times New Roman" w:hint="eastAsia"/>
                <w:sz w:val="21"/>
                <w:szCs w:val="21"/>
              </w:rPr>
              <w:t>日</w:t>
            </w:r>
          </w:p>
        </w:tc>
        <w:tc>
          <w:tcPr>
            <w:tcW w:w="1400" w:type="pct"/>
            <w:vAlign w:val="center"/>
          </w:tcPr>
          <w:p w14:paraId="2A747391" w14:textId="77777777" w:rsidR="009C353B" w:rsidRDefault="00000000">
            <w:pPr>
              <w:adjustRightInd w:val="0"/>
              <w:snapToGrid w:val="0"/>
              <w:spacing w:line="240" w:lineRule="exact"/>
              <w:jc w:val="center"/>
              <w:rPr>
                <w:rFonts w:ascii="Times New Roman" w:hint="eastAsia"/>
                <w:sz w:val="21"/>
                <w:szCs w:val="21"/>
              </w:rPr>
            </w:pPr>
            <w:r>
              <w:rPr>
                <w:rFonts w:ascii="Times New Roman"/>
                <w:sz w:val="21"/>
                <w:szCs w:val="21"/>
              </w:rPr>
              <w:t>监测</w:t>
            </w:r>
            <w:r>
              <w:rPr>
                <w:rFonts w:ascii="Times New Roman" w:hAnsi="Times New Roman" w:hint="eastAsia"/>
                <w:sz w:val="21"/>
                <w:szCs w:val="21"/>
              </w:rPr>
              <w:t>1</w:t>
            </w:r>
            <w:r>
              <w:rPr>
                <w:rFonts w:ascii="Times New Roman"/>
                <w:sz w:val="21"/>
                <w:szCs w:val="21"/>
              </w:rPr>
              <w:t>天</w:t>
            </w:r>
            <w:r>
              <w:rPr>
                <w:rFonts w:ascii="Times New Roman" w:hint="eastAsia"/>
                <w:sz w:val="21"/>
                <w:szCs w:val="21"/>
              </w:rPr>
              <w:t>，</w:t>
            </w:r>
            <w:r>
              <w:rPr>
                <w:rFonts w:ascii="Times New Roman"/>
                <w:sz w:val="21"/>
                <w:szCs w:val="21"/>
              </w:rPr>
              <w:t>昼夜各</w:t>
            </w:r>
            <w:r>
              <w:rPr>
                <w:rFonts w:ascii="Times New Roman" w:hAnsi="Times New Roman"/>
                <w:sz w:val="21"/>
                <w:szCs w:val="21"/>
              </w:rPr>
              <w:t>2</w:t>
            </w:r>
            <w:r>
              <w:rPr>
                <w:rFonts w:ascii="Times New Roman"/>
                <w:sz w:val="21"/>
                <w:szCs w:val="21"/>
              </w:rPr>
              <w:t>次</w:t>
            </w:r>
            <w:r>
              <w:rPr>
                <w:rFonts w:ascii="Times New Roman" w:hAnsi="Times New Roman"/>
                <w:sz w:val="21"/>
                <w:szCs w:val="21"/>
              </w:rPr>
              <w:t>/</w:t>
            </w:r>
            <w:r>
              <w:rPr>
                <w:rFonts w:ascii="Times New Roman"/>
                <w:sz w:val="21"/>
                <w:szCs w:val="21"/>
              </w:rPr>
              <w:t>天</w:t>
            </w:r>
          </w:p>
        </w:tc>
      </w:tr>
      <w:tr w:rsidR="009C353B" w14:paraId="30B2A1C2" w14:textId="77777777">
        <w:trPr>
          <w:trHeight w:val="284"/>
          <w:jc w:val="center"/>
        </w:trPr>
        <w:tc>
          <w:tcPr>
            <w:tcW w:w="397" w:type="pct"/>
            <w:vAlign w:val="center"/>
          </w:tcPr>
          <w:p w14:paraId="3148E7CB"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6-9</w:t>
            </w:r>
            <w:r>
              <w:rPr>
                <w:rFonts w:ascii="Times New Roman" w:hAnsi="Times New Roman"/>
                <w:sz w:val="21"/>
                <w:szCs w:val="21"/>
              </w:rPr>
              <w:t>#</w:t>
            </w:r>
          </w:p>
        </w:tc>
        <w:tc>
          <w:tcPr>
            <w:tcW w:w="2266" w:type="pct"/>
            <w:vAlign w:val="center"/>
          </w:tcPr>
          <w:p w14:paraId="54F12BDD" w14:textId="77777777" w:rsidR="009C353B" w:rsidRDefault="00000000">
            <w:pPr>
              <w:widowControl/>
              <w:adjustRightInd w:val="0"/>
              <w:snapToGrid w:val="0"/>
              <w:spacing w:line="240" w:lineRule="exact"/>
              <w:rPr>
                <w:rFonts w:ascii="Times New Roman" w:hAnsi="Times New Roman"/>
                <w:sz w:val="21"/>
                <w:szCs w:val="21"/>
              </w:rPr>
            </w:pPr>
            <w:r>
              <w:rPr>
                <w:rFonts w:ascii="Times New Roman" w:hAnsi="Times New Roman" w:hint="eastAsia"/>
                <w:sz w:val="21"/>
                <w:szCs w:val="21"/>
              </w:rPr>
              <w:t>任家庄工业场地厂界噪声（东西南北）</w:t>
            </w:r>
          </w:p>
        </w:tc>
        <w:tc>
          <w:tcPr>
            <w:tcW w:w="937" w:type="pct"/>
            <w:vAlign w:val="center"/>
          </w:tcPr>
          <w:p w14:paraId="432CA450" w14:textId="77777777" w:rsidR="009C353B" w:rsidRDefault="00000000">
            <w:pPr>
              <w:widowControl/>
              <w:adjustRightInd w:val="0"/>
              <w:snapToGrid w:val="0"/>
              <w:spacing w:line="240" w:lineRule="exact"/>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9</w:t>
            </w:r>
            <w:r>
              <w:rPr>
                <w:rFonts w:ascii="Times New Roman" w:hAnsi="Times New Roman" w:hint="eastAsia"/>
                <w:sz w:val="21"/>
                <w:szCs w:val="21"/>
              </w:rPr>
              <w:t>日</w:t>
            </w:r>
          </w:p>
        </w:tc>
        <w:tc>
          <w:tcPr>
            <w:tcW w:w="1400" w:type="pct"/>
            <w:vAlign w:val="center"/>
          </w:tcPr>
          <w:p w14:paraId="22A8618A" w14:textId="77777777" w:rsidR="009C353B" w:rsidRDefault="00000000">
            <w:pPr>
              <w:adjustRightInd w:val="0"/>
              <w:snapToGrid w:val="0"/>
              <w:spacing w:line="240" w:lineRule="exact"/>
              <w:jc w:val="center"/>
              <w:rPr>
                <w:rFonts w:ascii="Times New Roman" w:hAnsi="Times New Roman"/>
                <w:sz w:val="21"/>
                <w:szCs w:val="21"/>
              </w:rPr>
            </w:pPr>
            <w:r>
              <w:rPr>
                <w:rFonts w:ascii="Times New Roman"/>
                <w:sz w:val="21"/>
                <w:szCs w:val="21"/>
              </w:rPr>
              <w:t>监测</w:t>
            </w:r>
            <w:r>
              <w:rPr>
                <w:rFonts w:ascii="Times New Roman" w:hAnsi="Times New Roman" w:hint="eastAsia"/>
                <w:sz w:val="21"/>
                <w:szCs w:val="21"/>
              </w:rPr>
              <w:t>1</w:t>
            </w:r>
            <w:r>
              <w:rPr>
                <w:rFonts w:ascii="Times New Roman"/>
                <w:sz w:val="21"/>
                <w:szCs w:val="21"/>
              </w:rPr>
              <w:t>天</w:t>
            </w:r>
            <w:r>
              <w:rPr>
                <w:rFonts w:ascii="Times New Roman" w:hint="eastAsia"/>
                <w:sz w:val="21"/>
                <w:szCs w:val="21"/>
              </w:rPr>
              <w:t>，</w:t>
            </w:r>
            <w:r>
              <w:rPr>
                <w:rFonts w:ascii="Times New Roman"/>
                <w:sz w:val="21"/>
                <w:szCs w:val="21"/>
              </w:rPr>
              <w:t>昼夜各</w:t>
            </w:r>
            <w:r>
              <w:rPr>
                <w:rFonts w:ascii="Times New Roman" w:hAnsi="Times New Roman"/>
                <w:sz w:val="21"/>
                <w:szCs w:val="21"/>
              </w:rPr>
              <w:t>2</w:t>
            </w:r>
            <w:r>
              <w:rPr>
                <w:rFonts w:ascii="Times New Roman"/>
                <w:sz w:val="21"/>
                <w:szCs w:val="21"/>
              </w:rPr>
              <w:t>次</w:t>
            </w:r>
            <w:r>
              <w:rPr>
                <w:rFonts w:ascii="Times New Roman" w:hAnsi="Times New Roman"/>
                <w:sz w:val="21"/>
                <w:szCs w:val="21"/>
              </w:rPr>
              <w:t>/</w:t>
            </w:r>
            <w:r>
              <w:rPr>
                <w:rFonts w:ascii="Times New Roman"/>
                <w:sz w:val="21"/>
                <w:szCs w:val="21"/>
              </w:rPr>
              <w:t>天</w:t>
            </w:r>
          </w:p>
        </w:tc>
      </w:tr>
      <w:tr w:rsidR="009C353B" w14:paraId="6A08153C" w14:textId="77777777">
        <w:trPr>
          <w:trHeight w:val="284"/>
          <w:jc w:val="center"/>
        </w:trPr>
        <w:tc>
          <w:tcPr>
            <w:tcW w:w="397" w:type="pct"/>
            <w:vAlign w:val="center"/>
          </w:tcPr>
          <w:p w14:paraId="4FF452E9"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10#</w:t>
            </w:r>
          </w:p>
        </w:tc>
        <w:tc>
          <w:tcPr>
            <w:tcW w:w="2266" w:type="pct"/>
            <w:vAlign w:val="center"/>
          </w:tcPr>
          <w:p w14:paraId="6B1DA0C4" w14:textId="77777777" w:rsidR="009C353B" w:rsidRDefault="00000000">
            <w:pPr>
              <w:widowControl/>
              <w:adjustRightInd w:val="0"/>
              <w:snapToGrid w:val="0"/>
              <w:spacing w:line="240" w:lineRule="exact"/>
              <w:rPr>
                <w:rFonts w:ascii="Times New Roman" w:hAnsi="Times New Roman"/>
                <w:sz w:val="21"/>
                <w:szCs w:val="21"/>
              </w:rPr>
            </w:pPr>
            <w:r>
              <w:rPr>
                <w:rFonts w:ascii="Times New Roman" w:hAnsi="Times New Roman" w:hint="eastAsia"/>
                <w:sz w:val="21"/>
                <w:szCs w:val="21"/>
              </w:rPr>
              <w:t>任家庄进场道路</w:t>
            </w:r>
          </w:p>
        </w:tc>
        <w:tc>
          <w:tcPr>
            <w:tcW w:w="937" w:type="pct"/>
            <w:vAlign w:val="center"/>
          </w:tcPr>
          <w:p w14:paraId="6AAD5D29" w14:textId="77777777" w:rsidR="009C353B" w:rsidRDefault="00000000">
            <w:pPr>
              <w:widowControl/>
              <w:adjustRightInd w:val="0"/>
              <w:snapToGrid w:val="0"/>
              <w:spacing w:line="240" w:lineRule="exact"/>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9</w:t>
            </w:r>
            <w:r>
              <w:rPr>
                <w:rFonts w:ascii="Times New Roman" w:hAnsi="Times New Roman" w:hint="eastAsia"/>
                <w:sz w:val="21"/>
                <w:szCs w:val="21"/>
              </w:rPr>
              <w:t>日</w:t>
            </w:r>
          </w:p>
        </w:tc>
        <w:tc>
          <w:tcPr>
            <w:tcW w:w="1400" w:type="pct"/>
            <w:vAlign w:val="center"/>
          </w:tcPr>
          <w:p w14:paraId="17DBE5B5" w14:textId="77777777" w:rsidR="009C353B" w:rsidRDefault="00000000">
            <w:pPr>
              <w:adjustRightInd w:val="0"/>
              <w:snapToGrid w:val="0"/>
              <w:spacing w:line="240" w:lineRule="exact"/>
              <w:jc w:val="center"/>
              <w:rPr>
                <w:rFonts w:ascii="Times New Roman" w:hint="eastAsia"/>
                <w:sz w:val="21"/>
                <w:szCs w:val="21"/>
              </w:rPr>
            </w:pPr>
            <w:r>
              <w:rPr>
                <w:rFonts w:ascii="Times New Roman"/>
                <w:sz w:val="21"/>
                <w:szCs w:val="21"/>
              </w:rPr>
              <w:t>监测</w:t>
            </w:r>
            <w:r>
              <w:rPr>
                <w:rFonts w:ascii="Times New Roman" w:hAnsi="Times New Roman" w:hint="eastAsia"/>
                <w:sz w:val="21"/>
                <w:szCs w:val="21"/>
              </w:rPr>
              <w:t>1</w:t>
            </w:r>
            <w:r>
              <w:rPr>
                <w:rFonts w:ascii="Times New Roman"/>
                <w:sz w:val="21"/>
                <w:szCs w:val="21"/>
              </w:rPr>
              <w:t>天</w:t>
            </w:r>
            <w:r>
              <w:rPr>
                <w:rFonts w:ascii="Times New Roman" w:hint="eastAsia"/>
                <w:sz w:val="21"/>
                <w:szCs w:val="21"/>
              </w:rPr>
              <w:t>，</w:t>
            </w:r>
            <w:r>
              <w:rPr>
                <w:rFonts w:ascii="Times New Roman"/>
                <w:sz w:val="21"/>
                <w:szCs w:val="21"/>
              </w:rPr>
              <w:t>昼夜各</w:t>
            </w:r>
            <w:r>
              <w:rPr>
                <w:rFonts w:ascii="Times New Roman" w:hAnsi="Times New Roman"/>
                <w:sz w:val="21"/>
                <w:szCs w:val="21"/>
              </w:rPr>
              <w:t>2</w:t>
            </w:r>
            <w:r>
              <w:rPr>
                <w:rFonts w:ascii="Times New Roman"/>
                <w:sz w:val="21"/>
                <w:szCs w:val="21"/>
              </w:rPr>
              <w:t>次</w:t>
            </w:r>
            <w:r>
              <w:rPr>
                <w:rFonts w:ascii="Times New Roman" w:hAnsi="Times New Roman"/>
                <w:sz w:val="21"/>
                <w:szCs w:val="21"/>
              </w:rPr>
              <w:t>/</w:t>
            </w:r>
            <w:r>
              <w:rPr>
                <w:rFonts w:ascii="Times New Roman"/>
                <w:sz w:val="21"/>
                <w:szCs w:val="21"/>
              </w:rPr>
              <w:t>天</w:t>
            </w:r>
          </w:p>
        </w:tc>
      </w:tr>
      <w:tr w:rsidR="009C353B" w14:paraId="6418C524" w14:textId="77777777">
        <w:trPr>
          <w:trHeight w:val="284"/>
          <w:jc w:val="center"/>
        </w:trPr>
        <w:tc>
          <w:tcPr>
            <w:tcW w:w="397" w:type="pct"/>
            <w:vAlign w:val="center"/>
          </w:tcPr>
          <w:p w14:paraId="53239FBF"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1</w:t>
            </w:r>
            <w:r>
              <w:rPr>
                <w:rFonts w:ascii="Times New Roman" w:hAnsi="Times New Roman" w:hint="eastAsia"/>
                <w:sz w:val="21"/>
                <w:szCs w:val="21"/>
              </w:rPr>
              <w:t>-1</w:t>
            </w:r>
            <w:r>
              <w:rPr>
                <w:rFonts w:ascii="Times New Roman" w:hAnsi="Times New Roman"/>
                <w:sz w:val="21"/>
                <w:szCs w:val="21"/>
              </w:rPr>
              <w:t>6#</w:t>
            </w:r>
          </w:p>
        </w:tc>
        <w:tc>
          <w:tcPr>
            <w:tcW w:w="2266" w:type="pct"/>
            <w:vAlign w:val="center"/>
          </w:tcPr>
          <w:p w14:paraId="18B45362" w14:textId="77777777" w:rsidR="009C353B" w:rsidRDefault="00000000">
            <w:pPr>
              <w:widowControl/>
              <w:adjustRightInd w:val="0"/>
              <w:snapToGrid w:val="0"/>
              <w:spacing w:line="240" w:lineRule="exact"/>
              <w:rPr>
                <w:rFonts w:ascii="Times New Roman" w:hAnsi="Times New Roman"/>
                <w:sz w:val="21"/>
                <w:szCs w:val="21"/>
              </w:rPr>
            </w:pPr>
            <w:r>
              <w:rPr>
                <w:rFonts w:ascii="Times New Roman" w:hAnsi="Times New Roman" w:hint="eastAsia"/>
                <w:sz w:val="21"/>
                <w:szCs w:val="21"/>
              </w:rPr>
              <w:t>例行监测：</w:t>
            </w:r>
          </w:p>
          <w:p w14:paraId="58EF86C7" w14:textId="77777777" w:rsidR="009C353B" w:rsidRDefault="00000000">
            <w:pPr>
              <w:widowControl/>
              <w:adjustRightInd w:val="0"/>
              <w:snapToGrid w:val="0"/>
              <w:spacing w:line="240" w:lineRule="exact"/>
              <w:rPr>
                <w:rFonts w:ascii="Times New Roman" w:hAnsi="Times New Roman"/>
                <w:sz w:val="21"/>
                <w:szCs w:val="21"/>
              </w:rPr>
            </w:pPr>
            <w:r>
              <w:rPr>
                <w:rFonts w:ascii="Times New Roman" w:hAnsi="Times New Roman" w:hint="eastAsia"/>
                <w:sz w:val="21"/>
                <w:szCs w:val="21"/>
              </w:rPr>
              <w:t>红石湾矿井工业场地厂界噪声（</w:t>
            </w:r>
            <w:r>
              <w:rPr>
                <w:rFonts w:ascii="Times New Roman" w:hAnsi="Times New Roman" w:hint="eastAsia"/>
                <w:sz w:val="21"/>
                <w:szCs w:val="21"/>
              </w:rPr>
              <w:t>6</w:t>
            </w:r>
            <w:r>
              <w:rPr>
                <w:rFonts w:ascii="Times New Roman" w:hAnsi="Times New Roman" w:hint="eastAsia"/>
                <w:sz w:val="21"/>
                <w:szCs w:val="21"/>
              </w:rPr>
              <w:t>个点位）</w:t>
            </w:r>
          </w:p>
        </w:tc>
        <w:tc>
          <w:tcPr>
            <w:tcW w:w="937" w:type="pct"/>
            <w:vAlign w:val="center"/>
          </w:tcPr>
          <w:p w14:paraId="781278A0" w14:textId="77777777" w:rsidR="009C353B" w:rsidRDefault="00000000">
            <w:pPr>
              <w:widowControl/>
              <w:adjustRightInd w:val="0"/>
              <w:snapToGrid w:val="0"/>
              <w:spacing w:line="240" w:lineRule="exact"/>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4</w:t>
            </w:r>
            <w:r>
              <w:rPr>
                <w:rFonts w:ascii="Times New Roman" w:hAnsi="Times New Roman" w:hint="eastAsia"/>
                <w:sz w:val="21"/>
                <w:szCs w:val="21"/>
              </w:rPr>
              <w:t>月</w:t>
            </w:r>
            <w:r>
              <w:rPr>
                <w:rFonts w:ascii="Times New Roman" w:hAnsi="Times New Roman" w:hint="eastAsia"/>
                <w:sz w:val="21"/>
                <w:szCs w:val="21"/>
              </w:rPr>
              <w:t>26</w:t>
            </w:r>
            <w:r>
              <w:rPr>
                <w:rFonts w:ascii="Times New Roman" w:hAnsi="Times New Roman" w:hint="eastAsia"/>
                <w:sz w:val="21"/>
                <w:szCs w:val="21"/>
              </w:rPr>
              <w:t>日</w:t>
            </w:r>
          </w:p>
        </w:tc>
        <w:tc>
          <w:tcPr>
            <w:tcW w:w="1400" w:type="pct"/>
            <w:vAlign w:val="center"/>
          </w:tcPr>
          <w:p w14:paraId="77AA8762" w14:textId="77777777" w:rsidR="009C353B" w:rsidRDefault="00000000">
            <w:pPr>
              <w:adjustRightInd w:val="0"/>
              <w:snapToGrid w:val="0"/>
              <w:spacing w:line="240" w:lineRule="exact"/>
              <w:jc w:val="center"/>
              <w:rPr>
                <w:rFonts w:ascii="Times New Roman" w:hint="eastAsia"/>
                <w:sz w:val="21"/>
                <w:szCs w:val="21"/>
              </w:rPr>
            </w:pPr>
            <w:r>
              <w:rPr>
                <w:rFonts w:ascii="Times New Roman"/>
                <w:sz w:val="21"/>
                <w:szCs w:val="21"/>
              </w:rPr>
              <w:t>监测</w:t>
            </w:r>
            <w:r>
              <w:rPr>
                <w:rFonts w:ascii="Times New Roman" w:hAnsi="Times New Roman" w:hint="eastAsia"/>
                <w:sz w:val="21"/>
                <w:szCs w:val="21"/>
              </w:rPr>
              <w:t>1</w:t>
            </w:r>
            <w:r>
              <w:rPr>
                <w:rFonts w:ascii="Times New Roman"/>
                <w:sz w:val="21"/>
                <w:szCs w:val="21"/>
              </w:rPr>
              <w:t>天</w:t>
            </w:r>
            <w:r>
              <w:rPr>
                <w:rFonts w:ascii="Times New Roman" w:hint="eastAsia"/>
                <w:sz w:val="21"/>
                <w:szCs w:val="21"/>
              </w:rPr>
              <w:t>，</w:t>
            </w:r>
            <w:r>
              <w:rPr>
                <w:rFonts w:ascii="Times New Roman"/>
                <w:sz w:val="21"/>
                <w:szCs w:val="21"/>
              </w:rPr>
              <w:t>昼夜各</w:t>
            </w:r>
            <w:r>
              <w:rPr>
                <w:rFonts w:ascii="Times New Roman" w:hAnsi="Times New Roman" w:hint="eastAsia"/>
                <w:sz w:val="21"/>
                <w:szCs w:val="21"/>
              </w:rPr>
              <w:t>1</w:t>
            </w:r>
            <w:r>
              <w:rPr>
                <w:rFonts w:ascii="Times New Roman"/>
                <w:sz w:val="21"/>
                <w:szCs w:val="21"/>
              </w:rPr>
              <w:t>次</w:t>
            </w:r>
            <w:r>
              <w:rPr>
                <w:rFonts w:ascii="Times New Roman" w:hAnsi="Times New Roman"/>
                <w:sz w:val="21"/>
                <w:szCs w:val="21"/>
              </w:rPr>
              <w:t>/</w:t>
            </w:r>
            <w:r>
              <w:rPr>
                <w:rFonts w:ascii="Times New Roman"/>
                <w:sz w:val="21"/>
                <w:szCs w:val="21"/>
              </w:rPr>
              <w:t>天</w:t>
            </w:r>
          </w:p>
        </w:tc>
      </w:tr>
    </w:tbl>
    <w:p w14:paraId="254FF0BD" w14:textId="77777777" w:rsidR="009C353B" w:rsidRDefault="00000000">
      <w:pPr>
        <w:jc w:val="center"/>
        <w:rPr>
          <w:rFonts w:hint="eastAsia"/>
        </w:rPr>
      </w:pPr>
      <w:r>
        <w:rPr>
          <w:noProof/>
        </w:rPr>
        <w:drawing>
          <wp:inline distT="0" distB="0" distL="0" distR="0" wp14:anchorId="0A3C67A2" wp14:editId="4A607A3B">
            <wp:extent cx="5471160" cy="37211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a:xfrm>
                      <a:off x="0" y="0"/>
                      <a:ext cx="5533220" cy="3763028"/>
                    </a:xfrm>
                    <a:prstGeom prst="rect">
                      <a:avLst/>
                    </a:prstGeom>
                    <a:noFill/>
                    <a:ln>
                      <a:noFill/>
                    </a:ln>
                  </pic:spPr>
                </pic:pic>
              </a:graphicData>
            </a:graphic>
          </wp:inline>
        </w:drawing>
      </w:r>
      <w:r>
        <w:t xml:space="preserve"> </w:t>
      </w:r>
    </w:p>
    <w:p w14:paraId="06D34367" w14:textId="77777777" w:rsidR="009C353B" w:rsidRDefault="00000000">
      <w:pPr>
        <w:jc w:val="center"/>
        <w:rPr>
          <w:rFonts w:hint="eastAsia"/>
          <w:b/>
          <w:bCs/>
        </w:rPr>
      </w:pPr>
      <w:r>
        <w:rPr>
          <w:rFonts w:ascii="Times New Roman" w:hint="eastAsia"/>
          <w:b/>
          <w:bCs/>
        </w:rPr>
        <w:t>图</w:t>
      </w:r>
      <w:r>
        <w:rPr>
          <w:rFonts w:ascii="Times New Roman" w:hint="eastAsia"/>
          <w:b/>
          <w:bCs/>
        </w:rPr>
        <w:t>3</w:t>
      </w:r>
      <w:r>
        <w:rPr>
          <w:rFonts w:ascii="Times New Roman"/>
          <w:b/>
          <w:bCs/>
        </w:rPr>
        <w:t>.3</w:t>
      </w:r>
      <w:r>
        <w:rPr>
          <w:rFonts w:ascii="Times New Roman" w:hint="eastAsia"/>
          <w:b/>
          <w:bCs/>
        </w:rPr>
        <w:t>-</w:t>
      </w:r>
      <w:r>
        <w:rPr>
          <w:rFonts w:ascii="Times New Roman"/>
          <w:b/>
          <w:bCs/>
        </w:rPr>
        <w:t xml:space="preserve">3 </w:t>
      </w:r>
      <w:r>
        <w:rPr>
          <w:rFonts w:ascii="Times New Roman" w:hint="eastAsia"/>
          <w:b/>
          <w:bCs/>
        </w:rPr>
        <w:t>丁家梁煤矿噪声监测布点图</w:t>
      </w:r>
    </w:p>
    <w:p w14:paraId="71CD777E" w14:textId="77777777" w:rsidR="009C353B" w:rsidRDefault="00000000">
      <w:pPr>
        <w:adjustRightInd w:val="0"/>
        <w:snapToGrid w:val="0"/>
        <w:spacing w:line="360" w:lineRule="auto"/>
        <w:jc w:val="center"/>
        <w:rPr>
          <w:rFonts w:ascii="Times New Roman" w:hint="eastAsia"/>
          <w:szCs w:val="24"/>
        </w:rPr>
      </w:pPr>
      <w:r>
        <w:rPr>
          <w:noProof/>
        </w:rPr>
        <w:drawing>
          <wp:inline distT="0" distB="0" distL="0" distR="0" wp14:anchorId="723E151A" wp14:editId="52BC8752">
            <wp:extent cx="5250180" cy="3569970"/>
            <wp:effectExtent l="0" t="0" r="762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a:xfrm>
                      <a:off x="0" y="0"/>
                      <a:ext cx="5265391" cy="3580303"/>
                    </a:xfrm>
                    <a:prstGeom prst="rect">
                      <a:avLst/>
                    </a:prstGeom>
                    <a:noFill/>
                    <a:ln>
                      <a:noFill/>
                    </a:ln>
                  </pic:spPr>
                </pic:pic>
              </a:graphicData>
            </a:graphic>
          </wp:inline>
        </w:drawing>
      </w:r>
    </w:p>
    <w:p w14:paraId="726E1C00" w14:textId="77777777" w:rsidR="009C353B" w:rsidRDefault="00000000">
      <w:pPr>
        <w:jc w:val="center"/>
        <w:rPr>
          <w:rFonts w:hint="eastAsia"/>
          <w:b/>
          <w:bCs/>
        </w:rPr>
      </w:pPr>
      <w:r>
        <w:rPr>
          <w:rFonts w:ascii="Times New Roman" w:hint="eastAsia"/>
          <w:b/>
          <w:bCs/>
        </w:rPr>
        <w:t>图</w:t>
      </w:r>
      <w:r>
        <w:rPr>
          <w:rFonts w:ascii="Times New Roman" w:hint="eastAsia"/>
          <w:b/>
          <w:bCs/>
        </w:rPr>
        <w:t>3</w:t>
      </w:r>
      <w:r>
        <w:rPr>
          <w:rFonts w:ascii="Times New Roman"/>
          <w:b/>
          <w:bCs/>
        </w:rPr>
        <w:t>.3</w:t>
      </w:r>
      <w:r>
        <w:rPr>
          <w:rFonts w:ascii="Times New Roman" w:hint="eastAsia"/>
          <w:b/>
          <w:bCs/>
        </w:rPr>
        <w:t>-</w:t>
      </w:r>
      <w:r>
        <w:rPr>
          <w:rFonts w:ascii="Times New Roman"/>
          <w:b/>
          <w:bCs/>
        </w:rPr>
        <w:t xml:space="preserve">4 </w:t>
      </w:r>
      <w:r>
        <w:rPr>
          <w:rFonts w:ascii="Times New Roman" w:hint="eastAsia"/>
          <w:b/>
          <w:bCs/>
        </w:rPr>
        <w:t>任家庄煤矿噪声监测布点图</w:t>
      </w:r>
    </w:p>
    <w:p w14:paraId="05351654" w14:textId="77777777" w:rsidR="009C353B" w:rsidRDefault="009C353B">
      <w:pPr>
        <w:adjustRightInd w:val="0"/>
        <w:snapToGrid w:val="0"/>
        <w:spacing w:line="440" w:lineRule="exact"/>
        <w:ind w:left="482"/>
        <w:rPr>
          <w:rFonts w:ascii="Times New Roman" w:hint="eastAsia"/>
          <w:szCs w:val="24"/>
        </w:rPr>
      </w:pPr>
    </w:p>
    <w:p w14:paraId="60A63E66" w14:textId="77777777" w:rsidR="009C353B" w:rsidRDefault="00000000">
      <w:pPr>
        <w:adjustRightInd w:val="0"/>
        <w:snapToGrid w:val="0"/>
        <w:spacing w:line="440" w:lineRule="exact"/>
        <w:ind w:left="482"/>
        <w:rPr>
          <w:rFonts w:ascii="Times New Roman" w:hAnsi="Times New Roman"/>
          <w:szCs w:val="24"/>
        </w:rPr>
      </w:pPr>
      <w:r>
        <w:rPr>
          <w:rFonts w:ascii="Times New Roman"/>
          <w:szCs w:val="24"/>
        </w:rPr>
        <w:t>（</w:t>
      </w:r>
      <w:r>
        <w:rPr>
          <w:rFonts w:ascii="Times New Roman" w:hAnsi="Times New Roman"/>
          <w:szCs w:val="24"/>
        </w:rPr>
        <w:t>2</w:t>
      </w:r>
      <w:r>
        <w:rPr>
          <w:rFonts w:ascii="Times New Roman"/>
          <w:szCs w:val="24"/>
        </w:rPr>
        <w:t>）监测结果</w:t>
      </w:r>
    </w:p>
    <w:p w14:paraId="64B4BD7F"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rPr>
        <w:t>本项目位于宁东能源化工基地，</w:t>
      </w:r>
      <w:r>
        <w:rPr>
          <w:rFonts w:ascii="Times New Roman"/>
        </w:rPr>
        <w:t>根据《声环境质量标准》（</w:t>
      </w:r>
      <w:r>
        <w:rPr>
          <w:rFonts w:ascii="Times New Roman" w:hAnsi="Times New Roman"/>
        </w:rPr>
        <w:t>GB3096-2008</w:t>
      </w:r>
      <w:r>
        <w:rPr>
          <w:rFonts w:ascii="Times New Roman"/>
        </w:rPr>
        <w:t>）中声环境功能分区，本次监测的点位中</w:t>
      </w:r>
      <w:r>
        <w:rPr>
          <w:rFonts w:ascii="Times New Roman" w:hint="eastAsia"/>
        </w:rPr>
        <w:t>工业场地厂界</w:t>
      </w:r>
      <w:r>
        <w:rPr>
          <w:rFonts w:ascii="Times New Roman"/>
        </w:rPr>
        <w:t>监测点均属于</w:t>
      </w:r>
      <w:r>
        <w:rPr>
          <w:rFonts w:ascii="Times New Roman" w:hAnsi="Times New Roman"/>
        </w:rPr>
        <w:t>3</w:t>
      </w:r>
      <w:r>
        <w:rPr>
          <w:rFonts w:ascii="Times New Roman"/>
        </w:rPr>
        <w:t>类声环境功能区。因此根据环境噪声限值要求以及监测结果可以分析出矿区内各个</w:t>
      </w:r>
      <w:r>
        <w:rPr>
          <w:rFonts w:ascii="Times New Roman" w:hint="eastAsia"/>
        </w:rPr>
        <w:t>例行</w:t>
      </w:r>
      <w:r>
        <w:rPr>
          <w:rFonts w:ascii="Times New Roman"/>
        </w:rPr>
        <w:t>监测点位的达标情况。环境噪声限值表见表</w:t>
      </w:r>
      <w:r>
        <w:rPr>
          <w:rFonts w:ascii="Times New Roman" w:hAnsi="Times New Roman"/>
        </w:rPr>
        <w:t>3.3-9</w:t>
      </w:r>
      <w:r>
        <w:rPr>
          <w:rFonts w:ascii="Times New Roman"/>
        </w:rPr>
        <w:t>，</w:t>
      </w:r>
      <w:r>
        <w:rPr>
          <w:rFonts w:ascii="Times New Roman"/>
          <w:szCs w:val="24"/>
        </w:rPr>
        <w:t>监测结果见表</w:t>
      </w:r>
      <w:r>
        <w:rPr>
          <w:rFonts w:ascii="Times New Roman" w:hAnsi="Times New Roman"/>
          <w:szCs w:val="24"/>
        </w:rPr>
        <w:t>3.3-10</w:t>
      </w:r>
      <w:r>
        <w:rPr>
          <w:rFonts w:ascii="Times New Roman"/>
          <w:szCs w:val="24"/>
        </w:rPr>
        <w:t>。</w:t>
      </w:r>
    </w:p>
    <w:p w14:paraId="04D6A74D" w14:textId="77777777" w:rsidR="009C353B" w:rsidRDefault="00000000">
      <w:pPr>
        <w:adjustRightInd w:val="0"/>
        <w:snapToGrid w:val="0"/>
        <w:spacing w:line="440" w:lineRule="exact"/>
        <w:jc w:val="center"/>
        <w:rPr>
          <w:rFonts w:ascii="Times New Roman" w:hAnsi="Times New Roman"/>
          <w:b/>
          <w:szCs w:val="24"/>
        </w:rPr>
      </w:pPr>
      <w:r>
        <w:rPr>
          <w:rFonts w:ascii="Times New Roman"/>
          <w:b/>
          <w:szCs w:val="24"/>
        </w:rPr>
        <w:t>环境噪声限值</w:t>
      </w:r>
    </w:p>
    <w:p w14:paraId="39DCF99C" w14:textId="77777777" w:rsidR="009C353B" w:rsidRDefault="00000000">
      <w:pPr>
        <w:adjustRightInd w:val="0"/>
        <w:snapToGrid w:val="0"/>
        <w:spacing w:line="440" w:lineRule="exact"/>
        <w:outlineLvl w:val="4"/>
        <w:rPr>
          <w:rFonts w:ascii="Times New Roman" w:hAnsi="Times New Roman"/>
          <w:szCs w:val="24"/>
        </w:rPr>
      </w:pPr>
      <w:r>
        <w:rPr>
          <w:rFonts w:ascii="Times New Roman"/>
          <w:szCs w:val="24"/>
        </w:rPr>
        <w:t>表</w:t>
      </w:r>
      <w:r>
        <w:rPr>
          <w:rFonts w:ascii="Times New Roman" w:hAnsi="Times New Roman"/>
          <w:szCs w:val="24"/>
        </w:rPr>
        <w:t xml:space="preserve">3.3-9                                                </w:t>
      </w:r>
      <w:r>
        <w:rPr>
          <w:rFonts w:ascii="Times New Roman"/>
          <w:szCs w:val="24"/>
        </w:rPr>
        <w:t>单位：</w:t>
      </w:r>
      <w:r>
        <w:rPr>
          <w:rFonts w:ascii="Times New Roman" w:hAnsi="Times New Roman"/>
          <w:szCs w:val="24"/>
        </w:rPr>
        <w:t>dB(A)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28" w:type="dxa"/>
          <w:bottom w:w="28" w:type="dxa"/>
          <w:right w:w="28" w:type="dxa"/>
        </w:tblCellMar>
        <w:tblLook w:val="04A0" w:firstRow="1" w:lastRow="0" w:firstColumn="1" w:lastColumn="0" w:noHBand="0" w:noVBand="1"/>
      </w:tblPr>
      <w:tblGrid>
        <w:gridCol w:w="1328"/>
        <w:gridCol w:w="1727"/>
        <w:gridCol w:w="3036"/>
        <w:gridCol w:w="3036"/>
      </w:tblGrid>
      <w:tr w:rsidR="009C353B" w14:paraId="7AC448F9" w14:textId="77777777">
        <w:trPr>
          <w:trHeight w:val="284"/>
          <w:jc w:val="center"/>
        </w:trPr>
        <w:tc>
          <w:tcPr>
            <w:tcW w:w="1674" w:type="pct"/>
            <w:gridSpan w:val="2"/>
            <w:tcBorders>
              <w:tl2br w:val="single" w:sz="4" w:space="0" w:color="auto"/>
            </w:tcBorders>
          </w:tcPr>
          <w:p w14:paraId="6D6097D5" w14:textId="77777777" w:rsidR="009C353B" w:rsidRDefault="00000000">
            <w:pPr>
              <w:tabs>
                <w:tab w:val="left" w:pos="1635"/>
                <w:tab w:val="right" w:pos="2638"/>
              </w:tabs>
              <w:adjustRightInd w:val="0"/>
              <w:snapToGrid w:val="0"/>
              <w:spacing w:line="360" w:lineRule="exact"/>
              <w:jc w:val="left"/>
              <w:rPr>
                <w:rFonts w:ascii="Times New Roman" w:hAnsi="Times New Roman"/>
                <w:sz w:val="21"/>
                <w:szCs w:val="21"/>
              </w:rPr>
            </w:pPr>
            <w:r>
              <w:rPr>
                <w:rFonts w:ascii="Times New Roman" w:hAnsi="Times New Roman"/>
                <w:sz w:val="21"/>
                <w:szCs w:val="21"/>
              </w:rPr>
              <w:tab/>
            </w:r>
            <w:r>
              <w:rPr>
                <w:rFonts w:ascii="Times New Roman" w:hAnsi="Times New Roman" w:hint="eastAsia"/>
                <w:sz w:val="21"/>
                <w:szCs w:val="21"/>
              </w:rPr>
              <w:t>时段</w:t>
            </w:r>
          </w:p>
          <w:p w14:paraId="2DADAF21" w14:textId="77777777" w:rsidR="009C353B" w:rsidRDefault="00000000">
            <w:pPr>
              <w:tabs>
                <w:tab w:val="left" w:pos="690"/>
                <w:tab w:val="right" w:pos="2638"/>
              </w:tabs>
              <w:adjustRightInd w:val="0"/>
              <w:snapToGrid w:val="0"/>
              <w:spacing w:line="360" w:lineRule="exact"/>
              <w:jc w:val="left"/>
              <w:rPr>
                <w:rFonts w:ascii="Times New Roman" w:hAnsi="Times New Roman"/>
                <w:sz w:val="21"/>
                <w:szCs w:val="21"/>
              </w:rPr>
            </w:pPr>
            <w:r>
              <w:rPr>
                <w:rFonts w:ascii="Times New Roman" w:hAnsi="Times New Roman" w:hint="eastAsia"/>
                <w:sz w:val="21"/>
                <w:szCs w:val="21"/>
              </w:rPr>
              <w:t>声环境功能区类别</w:t>
            </w:r>
          </w:p>
        </w:tc>
        <w:tc>
          <w:tcPr>
            <w:tcW w:w="1663" w:type="pct"/>
            <w:vAlign w:val="center"/>
          </w:tcPr>
          <w:p w14:paraId="7B245C6D" w14:textId="77777777" w:rsidR="009C353B" w:rsidRDefault="00000000">
            <w:pPr>
              <w:adjustRightInd w:val="0"/>
              <w:snapToGrid w:val="0"/>
              <w:spacing w:line="360" w:lineRule="exact"/>
              <w:jc w:val="center"/>
              <w:rPr>
                <w:rFonts w:ascii="Times New Roman" w:hAnsi="Times New Roman"/>
                <w:sz w:val="21"/>
                <w:szCs w:val="21"/>
              </w:rPr>
            </w:pPr>
            <w:r>
              <w:rPr>
                <w:rFonts w:ascii="Times New Roman" w:hAnsi="Times New Roman" w:hint="eastAsia"/>
                <w:sz w:val="21"/>
                <w:szCs w:val="21"/>
              </w:rPr>
              <w:t>昼间</w:t>
            </w:r>
          </w:p>
        </w:tc>
        <w:tc>
          <w:tcPr>
            <w:tcW w:w="1663" w:type="pct"/>
            <w:vAlign w:val="center"/>
          </w:tcPr>
          <w:p w14:paraId="3CFAC0D4" w14:textId="77777777" w:rsidR="009C353B" w:rsidRDefault="00000000">
            <w:pPr>
              <w:adjustRightInd w:val="0"/>
              <w:snapToGrid w:val="0"/>
              <w:spacing w:line="360" w:lineRule="exact"/>
              <w:jc w:val="center"/>
              <w:rPr>
                <w:rFonts w:ascii="Times New Roman" w:hAnsi="Times New Roman"/>
                <w:sz w:val="21"/>
                <w:szCs w:val="21"/>
              </w:rPr>
            </w:pPr>
            <w:r>
              <w:rPr>
                <w:rFonts w:ascii="Times New Roman" w:hAnsi="Times New Roman" w:hint="eastAsia"/>
                <w:sz w:val="21"/>
                <w:szCs w:val="21"/>
              </w:rPr>
              <w:t>夜间</w:t>
            </w:r>
          </w:p>
        </w:tc>
      </w:tr>
      <w:tr w:rsidR="009C353B" w14:paraId="7AC708AC" w14:textId="77777777">
        <w:trPr>
          <w:trHeight w:val="284"/>
          <w:jc w:val="center"/>
        </w:trPr>
        <w:tc>
          <w:tcPr>
            <w:tcW w:w="1674" w:type="pct"/>
            <w:gridSpan w:val="2"/>
            <w:vAlign w:val="center"/>
          </w:tcPr>
          <w:p w14:paraId="57306EFE"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hint="eastAsia"/>
                <w:sz w:val="21"/>
                <w:szCs w:val="21"/>
              </w:rPr>
              <w:t>类</w:t>
            </w:r>
          </w:p>
        </w:tc>
        <w:tc>
          <w:tcPr>
            <w:tcW w:w="1663" w:type="pct"/>
            <w:vAlign w:val="center"/>
          </w:tcPr>
          <w:p w14:paraId="781EEDE5"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65</w:t>
            </w:r>
          </w:p>
        </w:tc>
        <w:tc>
          <w:tcPr>
            <w:tcW w:w="1663" w:type="pct"/>
            <w:vAlign w:val="center"/>
          </w:tcPr>
          <w:p w14:paraId="55997269"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55</w:t>
            </w:r>
          </w:p>
        </w:tc>
      </w:tr>
      <w:tr w:rsidR="009C353B" w14:paraId="79CAF2ED" w14:textId="77777777">
        <w:trPr>
          <w:trHeight w:val="284"/>
          <w:jc w:val="center"/>
        </w:trPr>
        <w:tc>
          <w:tcPr>
            <w:tcW w:w="728" w:type="pct"/>
            <w:tcBorders>
              <w:right w:val="single" w:sz="4" w:space="0" w:color="auto"/>
            </w:tcBorders>
            <w:vAlign w:val="center"/>
          </w:tcPr>
          <w:p w14:paraId="40A4A938"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4</w:t>
            </w:r>
            <w:r>
              <w:rPr>
                <w:rFonts w:ascii="Times New Roman" w:hAnsi="Times New Roman" w:hint="eastAsia"/>
                <w:sz w:val="21"/>
                <w:szCs w:val="21"/>
              </w:rPr>
              <w:t>类</w:t>
            </w:r>
          </w:p>
        </w:tc>
        <w:tc>
          <w:tcPr>
            <w:tcW w:w="946" w:type="pct"/>
            <w:tcBorders>
              <w:left w:val="single" w:sz="4" w:space="0" w:color="auto"/>
            </w:tcBorders>
            <w:vAlign w:val="center"/>
          </w:tcPr>
          <w:p w14:paraId="07FC9134"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4a</w:t>
            </w:r>
            <w:r>
              <w:rPr>
                <w:rFonts w:ascii="Times New Roman" w:hAnsi="Times New Roman" w:hint="eastAsia"/>
                <w:sz w:val="21"/>
                <w:szCs w:val="21"/>
              </w:rPr>
              <w:t>类</w:t>
            </w:r>
          </w:p>
        </w:tc>
        <w:tc>
          <w:tcPr>
            <w:tcW w:w="1663" w:type="pct"/>
            <w:vAlign w:val="center"/>
          </w:tcPr>
          <w:p w14:paraId="7F5B32C8"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70</w:t>
            </w:r>
          </w:p>
        </w:tc>
        <w:tc>
          <w:tcPr>
            <w:tcW w:w="1663" w:type="pct"/>
            <w:vAlign w:val="center"/>
          </w:tcPr>
          <w:p w14:paraId="68B81A04"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55</w:t>
            </w:r>
          </w:p>
        </w:tc>
      </w:tr>
    </w:tbl>
    <w:p w14:paraId="79D66861" w14:textId="77777777" w:rsidR="009C353B" w:rsidRDefault="00000000">
      <w:pPr>
        <w:adjustRightInd w:val="0"/>
        <w:snapToGrid w:val="0"/>
        <w:spacing w:line="440" w:lineRule="exact"/>
        <w:jc w:val="center"/>
        <w:rPr>
          <w:rFonts w:ascii="Times New Roman" w:hAnsi="Times New Roman"/>
          <w:b/>
          <w:szCs w:val="24"/>
        </w:rPr>
      </w:pPr>
      <w:r>
        <w:rPr>
          <w:rFonts w:ascii="Times New Roman"/>
          <w:b/>
          <w:szCs w:val="24"/>
        </w:rPr>
        <w:t>声环境现状监测结果</w:t>
      </w:r>
    </w:p>
    <w:p w14:paraId="316F3BDD" w14:textId="77777777" w:rsidR="009C353B" w:rsidRDefault="00000000">
      <w:pPr>
        <w:adjustRightInd w:val="0"/>
        <w:snapToGrid w:val="0"/>
        <w:spacing w:line="440" w:lineRule="exact"/>
        <w:outlineLvl w:val="4"/>
        <w:rPr>
          <w:rFonts w:ascii="Times New Roman" w:hAnsi="Times New Roman"/>
          <w:szCs w:val="24"/>
        </w:rPr>
      </w:pPr>
      <w:r>
        <w:rPr>
          <w:rFonts w:ascii="Times New Roman"/>
          <w:szCs w:val="24"/>
        </w:rPr>
        <w:t>表</w:t>
      </w:r>
      <w:r>
        <w:rPr>
          <w:rFonts w:ascii="Times New Roman" w:hAnsi="Times New Roman"/>
          <w:szCs w:val="24"/>
        </w:rPr>
        <w:t xml:space="preserve">3.3-10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28" w:type="dxa"/>
          <w:bottom w:w="28" w:type="dxa"/>
          <w:right w:w="28" w:type="dxa"/>
        </w:tblCellMar>
        <w:tblLook w:val="04A0" w:firstRow="1" w:lastRow="0" w:firstColumn="1" w:lastColumn="0" w:noHBand="0" w:noVBand="1"/>
      </w:tblPr>
      <w:tblGrid>
        <w:gridCol w:w="2701"/>
        <w:gridCol w:w="1902"/>
        <w:gridCol w:w="1522"/>
        <w:gridCol w:w="1522"/>
        <w:gridCol w:w="1480"/>
      </w:tblGrid>
      <w:tr w:rsidR="009C353B" w14:paraId="1EA0E2B5" w14:textId="77777777">
        <w:trPr>
          <w:trHeight w:val="284"/>
          <w:tblHeader/>
        </w:trPr>
        <w:tc>
          <w:tcPr>
            <w:tcW w:w="1479" w:type="pct"/>
            <w:vMerge w:val="restart"/>
            <w:vAlign w:val="center"/>
          </w:tcPr>
          <w:p w14:paraId="1358530C"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spacing w:val="-20"/>
                <w:kern w:val="0"/>
                <w:sz w:val="21"/>
                <w:szCs w:val="21"/>
              </w:rPr>
              <w:t>监</w:t>
            </w:r>
            <w:r>
              <w:rPr>
                <w:rFonts w:ascii="Times New Roman" w:hAnsi="Times New Roman"/>
                <w:spacing w:val="-20"/>
                <w:kern w:val="0"/>
                <w:sz w:val="21"/>
                <w:szCs w:val="21"/>
              </w:rPr>
              <w:t xml:space="preserve"> </w:t>
            </w:r>
            <w:r>
              <w:rPr>
                <w:rFonts w:ascii="Times New Roman" w:hAnsi="Times New Roman"/>
                <w:spacing w:val="-20"/>
                <w:kern w:val="0"/>
                <w:sz w:val="21"/>
                <w:szCs w:val="21"/>
              </w:rPr>
              <w:t>测</w:t>
            </w:r>
            <w:r>
              <w:rPr>
                <w:rFonts w:ascii="Times New Roman" w:hAnsi="Times New Roman"/>
                <w:spacing w:val="-20"/>
                <w:kern w:val="0"/>
                <w:sz w:val="21"/>
                <w:szCs w:val="21"/>
              </w:rPr>
              <w:t xml:space="preserve"> </w:t>
            </w:r>
            <w:r>
              <w:rPr>
                <w:rFonts w:ascii="Times New Roman" w:hAnsi="Times New Roman"/>
                <w:spacing w:val="-20"/>
                <w:kern w:val="0"/>
                <w:sz w:val="21"/>
                <w:szCs w:val="21"/>
              </w:rPr>
              <w:t>点</w:t>
            </w:r>
            <w:r>
              <w:rPr>
                <w:rFonts w:ascii="Times New Roman" w:hAnsi="Times New Roman"/>
                <w:spacing w:val="-20"/>
                <w:kern w:val="0"/>
                <w:sz w:val="21"/>
                <w:szCs w:val="21"/>
              </w:rPr>
              <w:t xml:space="preserve"> </w:t>
            </w:r>
            <w:r>
              <w:rPr>
                <w:rFonts w:ascii="Times New Roman" w:hAnsi="Times New Roman"/>
                <w:spacing w:val="-20"/>
                <w:kern w:val="0"/>
                <w:sz w:val="21"/>
                <w:szCs w:val="21"/>
              </w:rPr>
              <w:t>位</w:t>
            </w:r>
          </w:p>
        </w:tc>
        <w:tc>
          <w:tcPr>
            <w:tcW w:w="1042" w:type="pct"/>
            <w:vMerge w:val="restart"/>
            <w:vAlign w:val="center"/>
          </w:tcPr>
          <w:p w14:paraId="3E76AAF5" w14:textId="77777777" w:rsidR="009C353B" w:rsidRDefault="00000000">
            <w:pPr>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监测时间</w:t>
            </w:r>
          </w:p>
        </w:tc>
        <w:tc>
          <w:tcPr>
            <w:tcW w:w="1668" w:type="pct"/>
            <w:gridSpan w:val="2"/>
            <w:vAlign w:val="center"/>
          </w:tcPr>
          <w:p w14:paraId="69894A4D" w14:textId="77777777" w:rsidR="009C353B" w:rsidRDefault="00000000">
            <w:pPr>
              <w:adjustRightInd w:val="0"/>
              <w:snapToGrid w:val="0"/>
              <w:spacing w:line="240" w:lineRule="exact"/>
              <w:jc w:val="center"/>
              <w:rPr>
                <w:rFonts w:ascii="Times New Roman" w:hAnsi="Times New Roman"/>
                <w:kern w:val="0"/>
                <w:sz w:val="21"/>
                <w:szCs w:val="21"/>
              </w:rPr>
            </w:pPr>
            <w:r>
              <w:rPr>
                <w:rFonts w:ascii="Times New Roman" w:hAnsi="Times New Roman"/>
                <w:sz w:val="21"/>
                <w:szCs w:val="21"/>
              </w:rPr>
              <w:t>监测结果</w:t>
            </w:r>
            <w:r>
              <w:rPr>
                <w:rFonts w:ascii="Times New Roman" w:hAnsi="Times New Roman"/>
                <w:kern w:val="0"/>
                <w:sz w:val="21"/>
                <w:szCs w:val="21"/>
              </w:rPr>
              <w:t>等效声级：</w:t>
            </w:r>
          </w:p>
          <w:p w14:paraId="52F448E2"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kern w:val="0"/>
                <w:sz w:val="21"/>
                <w:szCs w:val="21"/>
              </w:rPr>
              <w:t>L</w:t>
            </w:r>
            <w:r>
              <w:rPr>
                <w:rFonts w:ascii="Times New Roman" w:hAnsi="Times New Roman"/>
                <w:kern w:val="0"/>
                <w:sz w:val="21"/>
                <w:szCs w:val="21"/>
                <w:vertAlign w:val="subscript"/>
              </w:rPr>
              <w:t>eq</w:t>
            </w:r>
            <w:r>
              <w:rPr>
                <w:rFonts w:ascii="Times New Roman" w:hAnsi="Times New Roman"/>
                <w:kern w:val="0"/>
                <w:sz w:val="21"/>
                <w:szCs w:val="21"/>
              </w:rPr>
              <w:t>〔</w:t>
            </w:r>
            <w:r>
              <w:rPr>
                <w:rFonts w:ascii="Times New Roman" w:hAnsi="Times New Roman"/>
                <w:kern w:val="0"/>
                <w:sz w:val="21"/>
                <w:szCs w:val="21"/>
              </w:rPr>
              <w:t>dB(A)</w:t>
            </w:r>
            <w:r>
              <w:rPr>
                <w:rFonts w:ascii="Times New Roman" w:hAnsi="Times New Roman"/>
                <w:kern w:val="0"/>
                <w:sz w:val="21"/>
                <w:szCs w:val="21"/>
              </w:rPr>
              <w:t>〕</w:t>
            </w:r>
          </w:p>
        </w:tc>
        <w:tc>
          <w:tcPr>
            <w:tcW w:w="811" w:type="pct"/>
            <w:vMerge w:val="restart"/>
            <w:vAlign w:val="center"/>
          </w:tcPr>
          <w:p w14:paraId="009CE8F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达标情况</w:t>
            </w:r>
          </w:p>
        </w:tc>
      </w:tr>
      <w:tr w:rsidR="009C353B" w14:paraId="41575209" w14:textId="77777777">
        <w:trPr>
          <w:trHeight w:val="284"/>
          <w:tblHeader/>
        </w:trPr>
        <w:tc>
          <w:tcPr>
            <w:tcW w:w="1479" w:type="pct"/>
            <w:vMerge/>
            <w:vAlign w:val="center"/>
          </w:tcPr>
          <w:p w14:paraId="1D25F0FB"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1042" w:type="pct"/>
            <w:vMerge/>
            <w:vAlign w:val="center"/>
          </w:tcPr>
          <w:p w14:paraId="539A8724"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6A3F49E1"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昼间</w:t>
            </w:r>
          </w:p>
        </w:tc>
        <w:tc>
          <w:tcPr>
            <w:tcW w:w="834" w:type="pct"/>
            <w:vAlign w:val="center"/>
          </w:tcPr>
          <w:p w14:paraId="19021E26"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夜间</w:t>
            </w:r>
          </w:p>
        </w:tc>
        <w:tc>
          <w:tcPr>
            <w:tcW w:w="811" w:type="pct"/>
            <w:vMerge/>
            <w:vAlign w:val="center"/>
          </w:tcPr>
          <w:p w14:paraId="014B5061" w14:textId="77777777" w:rsidR="009C353B" w:rsidRDefault="009C353B">
            <w:pPr>
              <w:adjustRightInd w:val="0"/>
              <w:snapToGrid w:val="0"/>
              <w:spacing w:line="240" w:lineRule="exact"/>
              <w:jc w:val="center"/>
              <w:rPr>
                <w:rFonts w:ascii="Times New Roman" w:hAnsi="Times New Roman"/>
                <w:sz w:val="21"/>
                <w:szCs w:val="21"/>
              </w:rPr>
            </w:pPr>
          </w:p>
        </w:tc>
      </w:tr>
      <w:tr w:rsidR="009C353B" w14:paraId="43A338B0" w14:textId="77777777">
        <w:trPr>
          <w:cantSplit/>
          <w:trHeight w:val="284"/>
        </w:trPr>
        <w:tc>
          <w:tcPr>
            <w:tcW w:w="1479" w:type="pct"/>
            <w:vMerge w:val="restart"/>
            <w:vAlign w:val="center"/>
          </w:tcPr>
          <w:p w14:paraId="4DF2F0F9"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sz w:val="21"/>
                <w:szCs w:val="21"/>
              </w:rPr>
              <w:t>1#</w:t>
            </w:r>
            <w:r>
              <w:rPr>
                <w:rFonts w:ascii="Times New Roman" w:hint="eastAsia"/>
                <w:sz w:val="21"/>
                <w:szCs w:val="21"/>
              </w:rPr>
              <w:t>丁家梁</w:t>
            </w:r>
            <w:r>
              <w:rPr>
                <w:rFonts w:ascii="Times New Roman"/>
                <w:sz w:val="21"/>
                <w:szCs w:val="21"/>
              </w:rPr>
              <w:t>矿井工业场地厂界噪声（</w:t>
            </w:r>
            <w:r>
              <w:rPr>
                <w:rFonts w:ascii="Times New Roman" w:hint="eastAsia"/>
                <w:sz w:val="21"/>
                <w:szCs w:val="21"/>
              </w:rPr>
              <w:t>东</w:t>
            </w:r>
            <w:r>
              <w:rPr>
                <w:rFonts w:ascii="Times New Roman"/>
                <w:sz w:val="21"/>
                <w:szCs w:val="21"/>
              </w:rPr>
              <w:t>）</w:t>
            </w:r>
          </w:p>
        </w:tc>
        <w:tc>
          <w:tcPr>
            <w:tcW w:w="1042" w:type="pct"/>
            <w:vMerge w:val="restart"/>
            <w:vAlign w:val="center"/>
          </w:tcPr>
          <w:p w14:paraId="7C134D41"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kern w:val="0"/>
                <w:sz w:val="21"/>
                <w:szCs w:val="21"/>
              </w:rPr>
              <w:t>2020.08.</w:t>
            </w:r>
            <w:r>
              <w:rPr>
                <w:rFonts w:ascii="Times New Roman" w:hAnsi="Times New Roman" w:hint="eastAsia"/>
                <w:kern w:val="0"/>
                <w:sz w:val="21"/>
                <w:szCs w:val="21"/>
              </w:rPr>
              <w:t>10</w:t>
            </w:r>
          </w:p>
        </w:tc>
        <w:tc>
          <w:tcPr>
            <w:tcW w:w="834" w:type="pct"/>
            <w:vAlign w:val="center"/>
          </w:tcPr>
          <w:p w14:paraId="0B87BDCA"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41.3</w:t>
            </w:r>
          </w:p>
        </w:tc>
        <w:tc>
          <w:tcPr>
            <w:tcW w:w="834" w:type="pct"/>
            <w:vAlign w:val="center"/>
          </w:tcPr>
          <w:p w14:paraId="71889591"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40.9</w:t>
            </w:r>
          </w:p>
        </w:tc>
        <w:tc>
          <w:tcPr>
            <w:tcW w:w="811" w:type="pct"/>
            <w:vAlign w:val="center"/>
          </w:tcPr>
          <w:p w14:paraId="1FDEDBCE"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61AC793F" w14:textId="77777777">
        <w:trPr>
          <w:cantSplit/>
          <w:trHeight w:val="284"/>
        </w:trPr>
        <w:tc>
          <w:tcPr>
            <w:tcW w:w="1479" w:type="pct"/>
            <w:vMerge/>
            <w:vAlign w:val="center"/>
          </w:tcPr>
          <w:p w14:paraId="67C2A362"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1042" w:type="pct"/>
            <w:vMerge/>
            <w:vAlign w:val="center"/>
          </w:tcPr>
          <w:p w14:paraId="3102D293"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5455216D"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43.3</w:t>
            </w:r>
          </w:p>
        </w:tc>
        <w:tc>
          <w:tcPr>
            <w:tcW w:w="834" w:type="pct"/>
            <w:vAlign w:val="center"/>
          </w:tcPr>
          <w:p w14:paraId="60F02C23"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40.5</w:t>
            </w:r>
          </w:p>
        </w:tc>
        <w:tc>
          <w:tcPr>
            <w:tcW w:w="811" w:type="pct"/>
            <w:vAlign w:val="center"/>
          </w:tcPr>
          <w:p w14:paraId="78DA16E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747DA251" w14:textId="77777777">
        <w:trPr>
          <w:cantSplit/>
          <w:trHeight w:val="284"/>
        </w:trPr>
        <w:tc>
          <w:tcPr>
            <w:tcW w:w="1479" w:type="pct"/>
            <w:vMerge w:val="restart"/>
            <w:vAlign w:val="center"/>
          </w:tcPr>
          <w:p w14:paraId="30B4590E"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hint="eastAsia"/>
                <w:sz w:val="21"/>
                <w:szCs w:val="21"/>
              </w:rPr>
              <w:t>2</w:t>
            </w:r>
            <w:r>
              <w:rPr>
                <w:rFonts w:ascii="Times New Roman" w:hAnsi="Times New Roman"/>
                <w:sz w:val="21"/>
                <w:szCs w:val="21"/>
              </w:rPr>
              <w:t>#</w:t>
            </w:r>
            <w:r>
              <w:rPr>
                <w:rFonts w:ascii="Times New Roman" w:hint="eastAsia"/>
                <w:sz w:val="21"/>
                <w:szCs w:val="21"/>
              </w:rPr>
              <w:t>丁家梁</w:t>
            </w:r>
            <w:r>
              <w:rPr>
                <w:rFonts w:ascii="Times New Roman"/>
                <w:sz w:val="21"/>
                <w:szCs w:val="21"/>
              </w:rPr>
              <w:t>矿井工业场地厂界噪声（</w:t>
            </w:r>
            <w:r>
              <w:rPr>
                <w:rFonts w:ascii="Times New Roman" w:hint="eastAsia"/>
                <w:sz w:val="21"/>
                <w:szCs w:val="21"/>
              </w:rPr>
              <w:t>西</w:t>
            </w:r>
            <w:r>
              <w:rPr>
                <w:rFonts w:ascii="Times New Roman"/>
                <w:sz w:val="21"/>
                <w:szCs w:val="21"/>
              </w:rPr>
              <w:t>）</w:t>
            </w:r>
          </w:p>
        </w:tc>
        <w:tc>
          <w:tcPr>
            <w:tcW w:w="1042" w:type="pct"/>
            <w:vMerge/>
            <w:vAlign w:val="center"/>
          </w:tcPr>
          <w:p w14:paraId="11C92888"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6D24B6F4"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41.1</w:t>
            </w:r>
          </w:p>
        </w:tc>
        <w:tc>
          <w:tcPr>
            <w:tcW w:w="834" w:type="pct"/>
            <w:vAlign w:val="center"/>
          </w:tcPr>
          <w:p w14:paraId="348BAEC5"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40.8</w:t>
            </w:r>
          </w:p>
        </w:tc>
        <w:tc>
          <w:tcPr>
            <w:tcW w:w="811" w:type="pct"/>
            <w:vAlign w:val="center"/>
          </w:tcPr>
          <w:p w14:paraId="6DBC866B"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5BB1CB7F" w14:textId="77777777">
        <w:trPr>
          <w:cantSplit/>
          <w:trHeight w:val="284"/>
        </w:trPr>
        <w:tc>
          <w:tcPr>
            <w:tcW w:w="1479" w:type="pct"/>
            <w:vMerge/>
            <w:vAlign w:val="center"/>
          </w:tcPr>
          <w:p w14:paraId="12C8E98D"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1042" w:type="pct"/>
            <w:vMerge/>
            <w:vAlign w:val="center"/>
          </w:tcPr>
          <w:p w14:paraId="40B47DE5"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674E9274"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43.2</w:t>
            </w:r>
          </w:p>
        </w:tc>
        <w:tc>
          <w:tcPr>
            <w:tcW w:w="834" w:type="pct"/>
            <w:vAlign w:val="center"/>
          </w:tcPr>
          <w:p w14:paraId="4C556B4B"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40.5</w:t>
            </w:r>
          </w:p>
        </w:tc>
        <w:tc>
          <w:tcPr>
            <w:tcW w:w="811" w:type="pct"/>
            <w:vAlign w:val="center"/>
          </w:tcPr>
          <w:p w14:paraId="0401FF75"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00B1969A" w14:textId="77777777">
        <w:trPr>
          <w:cantSplit/>
          <w:trHeight w:val="284"/>
        </w:trPr>
        <w:tc>
          <w:tcPr>
            <w:tcW w:w="1479" w:type="pct"/>
            <w:vMerge w:val="restart"/>
            <w:vAlign w:val="center"/>
          </w:tcPr>
          <w:p w14:paraId="4ED8B67B"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hint="eastAsia"/>
                <w:sz w:val="21"/>
                <w:szCs w:val="21"/>
              </w:rPr>
              <w:t>3</w:t>
            </w:r>
            <w:r>
              <w:rPr>
                <w:rFonts w:ascii="Times New Roman" w:hAnsi="Times New Roman"/>
                <w:sz w:val="21"/>
                <w:szCs w:val="21"/>
              </w:rPr>
              <w:t>#</w:t>
            </w:r>
            <w:r>
              <w:rPr>
                <w:rFonts w:ascii="Times New Roman" w:hint="eastAsia"/>
                <w:sz w:val="21"/>
                <w:szCs w:val="21"/>
              </w:rPr>
              <w:t>丁家梁</w:t>
            </w:r>
            <w:r>
              <w:rPr>
                <w:rFonts w:ascii="Times New Roman"/>
                <w:sz w:val="21"/>
                <w:szCs w:val="21"/>
              </w:rPr>
              <w:t>矿井工业场地厂界噪声（</w:t>
            </w:r>
            <w:r>
              <w:rPr>
                <w:rFonts w:ascii="Times New Roman" w:hint="eastAsia"/>
                <w:sz w:val="21"/>
                <w:szCs w:val="21"/>
              </w:rPr>
              <w:t>南</w:t>
            </w:r>
            <w:r>
              <w:rPr>
                <w:rFonts w:ascii="Times New Roman"/>
                <w:sz w:val="21"/>
                <w:szCs w:val="21"/>
              </w:rPr>
              <w:t>）</w:t>
            </w:r>
          </w:p>
        </w:tc>
        <w:tc>
          <w:tcPr>
            <w:tcW w:w="1042" w:type="pct"/>
            <w:vMerge/>
            <w:vAlign w:val="center"/>
          </w:tcPr>
          <w:p w14:paraId="6ADD6360"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4A3A39C8"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42.6</w:t>
            </w:r>
          </w:p>
        </w:tc>
        <w:tc>
          <w:tcPr>
            <w:tcW w:w="834" w:type="pct"/>
            <w:vAlign w:val="center"/>
          </w:tcPr>
          <w:p w14:paraId="36C79AAE"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41.5</w:t>
            </w:r>
          </w:p>
        </w:tc>
        <w:tc>
          <w:tcPr>
            <w:tcW w:w="811" w:type="pct"/>
            <w:vAlign w:val="center"/>
          </w:tcPr>
          <w:p w14:paraId="2285C3B4"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0D82DE91" w14:textId="77777777">
        <w:trPr>
          <w:cantSplit/>
          <w:trHeight w:val="284"/>
        </w:trPr>
        <w:tc>
          <w:tcPr>
            <w:tcW w:w="1479" w:type="pct"/>
            <w:vMerge/>
            <w:vAlign w:val="center"/>
          </w:tcPr>
          <w:p w14:paraId="37EB4CFD"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1042" w:type="pct"/>
            <w:vMerge/>
            <w:vAlign w:val="center"/>
          </w:tcPr>
          <w:p w14:paraId="58F564D8"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592A9D1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42.7</w:t>
            </w:r>
          </w:p>
        </w:tc>
        <w:tc>
          <w:tcPr>
            <w:tcW w:w="834" w:type="pct"/>
            <w:vAlign w:val="center"/>
          </w:tcPr>
          <w:p w14:paraId="52D9676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41.7</w:t>
            </w:r>
          </w:p>
        </w:tc>
        <w:tc>
          <w:tcPr>
            <w:tcW w:w="811" w:type="pct"/>
            <w:vAlign w:val="center"/>
          </w:tcPr>
          <w:p w14:paraId="7960B168"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2A0D93E9" w14:textId="77777777">
        <w:trPr>
          <w:cantSplit/>
          <w:trHeight w:val="284"/>
        </w:trPr>
        <w:tc>
          <w:tcPr>
            <w:tcW w:w="1479" w:type="pct"/>
            <w:vMerge w:val="restart"/>
            <w:vAlign w:val="center"/>
          </w:tcPr>
          <w:p w14:paraId="70A116D9"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sz w:val="21"/>
                <w:szCs w:val="21"/>
              </w:rPr>
              <w:t>4#</w:t>
            </w:r>
            <w:r>
              <w:rPr>
                <w:rFonts w:ascii="Times New Roman" w:hint="eastAsia"/>
                <w:sz w:val="21"/>
                <w:szCs w:val="21"/>
              </w:rPr>
              <w:t>丁家梁</w:t>
            </w:r>
            <w:r>
              <w:rPr>
                <w:rFonts w:ascii="Times New Roman"/>
                <w:sz w:val="21"/>
                <w:szCs w:val="21"/>
              </w:rPr>
              <w:t>矿井工业场地厂界噪声（</w:t>
            </w:r>
            <w:r>
              <w:rPr>
                <w:rFonts w:ascii="Times New Roman" w:hint="eastAsia"/>
                <w:sz w:val="21"/>
                <w:szCs w:val="21"/>
              </w:rPr>
              <w:t>北</w:t>
            </w:r>
            <w:r>
              <w:rPr>
                <w:rFonts w:ascii="Times New Roman"/>
                <w:sz w:val="21"/>
                <w:szCs w:val="21"/>
              </w:rPr>
              <w:t>）</w:t>
            </w:r>
          </w:p>
        </w:tc>
        <w:tc>
          <w:tcPr>
            <w:tcW w:w="1042" w:type="pct"/>
            <w:vMerge/>
            <w:vAlign w:val="center"/>
          </w:tcPr>
          <w:p w14:paraId="6EF6692E"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7E2E0EB5"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44.4</w:t>
            </w:r>
          </w:p>
        </w:tc>
        <w:tc>
          <w:tcPr>
            <w:tcW w:w="834" w:type="pct"/>
            <w:vAlign w:val="center"/>
          </w:tcPr>
          <w:p w14:paraId="47F71F7A"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42.6</w:t>
            </w:r>
          </w:p>
        </w:tc>
        <w:tc>
          <w:tcPr>
            <w:tcW w:w="811" w:type="pct"/>
            <w:vAlign w:val="center"/>
          </w:tcPr>
          <w:p w14:paraId="6E7F708C"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023652E6" w14:textId="77777777">
        <w:trPr>
          <w:cantSplit/>
          <w:trHeight w:val="284"/>
        </w:trPr>
        <w:tc>
          <w:tcPr>
            <w:tcW w:w="1479" w:type="pct"/>
            <w:vMerge/>
            <w:vAlign w:val="center"/>
          </w:tcPr>
          <w:p w14:paraId="65F01E98"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1042" w:type="pct"/>
            <w:vMerge/>
            <w:vAlign w:val="center"/>
          </w:tcPr>
          <w:p w14:paraId="47D29BF6"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75B61809"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45.2</w:t>
            </w:r>
          </w:p>
        </w:tc>
        <w:tc>
          <w:tcPr>
            <w:tcW w:w="834" w:type="pct"/>
            <w:vAlign w:val="center"/>
          </w:tcPr>
          <w:p w14:paraId="65C51225"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43.2</w:t>
            </w:r>
          </w:p>
        </w:tc>
        <w:tc>
          <w:tcPr>
            <w:tcW w:w="811" w:type="pct"/>
            <w:vAlign w:val="center"/>
          </w:tcPr>
          <w:p w14:paraId="5455FF7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3127B5EB" w14:textId="77777777">
        <w:trPr>
          <w:cantSplit/>
          <w:trHeight w:val="284"/>
        </w:trPr>
        <w:tc>
          <w:tcPr>
            <w:tcW w:w="1479" w:type="pct"/>
            <w:vMerge w:val="restart"/>
            <w:vAlign w:val="center"/>
          </w:tcPr>
          <w:p w14:paraId="7916ECC9"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sz w:val="21"/>
                <w:szCs w:val="21"/>
              </w:rPr>
              <w:t>5#</w:t>
            </w:r>
            <w:r>
              <w:rPr>
                <w:rFonts w:ascii="Times New Roman" w:hint="eastAsia"/>
                <w:sz w:val="21"/>
                <w:szCs w:val="21"/>
              </w:rPr>
              <w:t>丁家梁</w:t>
            </w:r>
            <w:r>
              <w:rPr>
                <w:rFonts w:ascii="Times New Roman"/>
                <w:sz w:val="21"/>
                <w:szCs w:val="21"/>
              </w:rPr>
              <w:t>矿井</w:t>
            </w:r>
            <w:r>
              <w:rPr>
                <w:rFonts w:ascii="Times New Roman" w:hint="eastAsia"/>
                <w:sz w:val="21"/>
                <w:szCs w:val="21"/>
              </w:rPr>
              <w:t>进场道路</w:t>
            </w:r>
          </w:p>
        </w:tc>
        <w:tc>
          <w:tcPr>
            <w:tcW w:w="1042" w:type="pct"/>
            <w:vMerge/>
            <w:vAlign w:val="center"/>
          </w:tcPr>
          <w:p w14:paraId="7F86D3CD"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72786F42"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50.0</w:t>
            </w:r>
          </w:p>
        </w:tc>
        <w:tc>
          <w:tcPr>
            <w:tcW w:w="834" w:type="pct"/>
            <w:vAlign w:val="center"/>
          </w:tcPr>
          <w:p w14:paraId="115126B3"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44.3</w:t>
            </w:r>
          </w:p>
        </w:tc>
        <w:tc>
          <w:tcPr>
            <w:tcW w:w="811" w:type="pct"/>
            <w:vAlign w:val="center"/>
          </w:tcPr>
          <w:p w14:paraId="71464DE8"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05B1FF92" w14:textId="77777777">
        <w:trPr>
          <w:cantSplit/>
          <w:trHeight w:val="284"/>
        </w:trPr>
        <w:tc>
          <w:tcPr>
            <w:tcW w:w="1479" w:type="pct"/>
            <w:vMerge/>
            <w:vAlign w:val="center"/>
          </w:tcPr>
          <w:p w14:paraId="5B7ABCEE"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1042" w:type="pct"/>
            <w:vMerge/>
            <w:vAlign w:val="center"/>
          </w:tcPr>
          <w:p w14:paraId="0EAED805"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64A1FE52"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47.7</w:t>
            </w:r>
          </w:p>
        </w:tc>
        <w:tc>
          <w:tcPr>
            <w:tcW w:w="834" w:type="pct"/>
            <w:vAlign w:val="center"/>
          </w:tcPr>
          <w:p w14:paraId="35A68D12"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43.0</w:t>
            </w:r>
          </w:p>
        </w:tc>
        <w:tc>
          <w:tcPr>
            <w:tcW w:w="811" w:type="pct"/>
            <w:vAlign w:val="center"/>
          </w:tcPr>
          <w:p w14:paraId="517EB9FD"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5070A10D" w14:textId="77777777">
        <w:trPr>
          <w:cantSplit/>
          <w:trHeight w:val="284"/>
        </w:trPr>
        <w:tc>
          <w:tcPr>
            <w:tcW w:w="1479" w:type="pct"/>
            <w:vMerge w:val="restart"/>
            <w:vAlign w:val="center"/>
          </w:tcPr>
          <w:p w14:paraId="18A643A8"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hint="eastAsia"/>
                <w:sz w:val="21"/>
                <w:szCs w:val="21"/>
              </w:rPr>
              <w:t>6</w:t>
            </w:r>
            <w:r>
              <w:rPr>
                <w:rFonts w:ascii="Times New Roman" w:hAnsi="Times New Roman"/>
                <w:sz w:val="21"/>
                <w:szCs w:val="21"/>
              </w:rPr>
              <w:t>#</w:t>
            </w:r>
            <w:r>
              <w:rPr>
                <w:rFonts w:ascii="Times New Roman" w:hint="eastAsia"/>
                <w:sz w:val="21"/>
                <w:szCs w:val="21"/>
              </w:rPr>
              <w:t>任家庄</w:t>
            </w:r>
            <w:r>
              <w:rPr>
                <w:rFonts w:ascii="Times New Roman"/>
                <w:sz w:val="21"/>
                <w:szCs w:val="21"/>
              </w:rPr>
              <w:t>矿井工业场地厂界噪声（东）</w:t>
            </w:r>
          </w:p>
        </w:tc>
        <w:tc>
          <w:tcPr>
            <w:tcW w:w="1042" w:type="pct"/>
            <w:vMerge w:val="restart"/>
            <w:vAlign w:val="center"/>
          </w:tcPr>
          <w:p w14:paraId="3D7E3FAD"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kern w:val="0"/>
                <w:sz w:val="21"/>
                <w:szCs w:val="21"/>
              </w:rPr>
              <w:t>2020.08.09</w:t>
            </w:r>
          </w:p>
        </w:tc>
        <w:tc>
          <w:tcPr>
            <w:tcW w:w="834" w:type="pct"/>
            <w:vAlign w:val="center"/>
          </w:tcPr>
          <w:p w14:paraId="2F5D99CE"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8.0</w:t>
            </w:r>
          </w:p>
        </w:tc>
        <w:tc>
          <w:tcPr>
            <w:tcW w:w="834" w:type="pct"/>
            <w:vAlign w:val="center"/>
          </w:tcPr>
          <w:p w14:paraId="34E2320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3.3</w:t>
            </w:r>
          </w:p>
        </w:tc>
        <w:tc>
          <w:tcPr>
            <w:tcW w:w="811" w:type="pct"/>
            <w:vAlign w:val="center"/>
          </w:tcPr>
          <w:p w14:paraId="64A6073D"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78255AD3" w14:textId="77777777">
        <w:trPr>
          <w:cantSplit/>
          <w:trHeight w:val="284"/>
        </w:trPr>
        <w:tc>
          <w:tcPr>
            <w:tcW w:w="1479" w:type="pct"/>
            <w:vMerge/>
            <w:vAlign w:val="center"/>
          </w:tcPr>
          <w:p w14:paraId="0BDF4D29"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1042" w:type="pct"/>
            <w:vMerge/>
            <w:vAlign w:val="center"/>
          </w:tcPr>
          <w:p w14:paraId="109FE4C8"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611879B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8.4</w:t>
            </w:r>
          </w:p>
        </w:tc>
        <w:tc>
          <w:tcPr>
            <w:tcW w:w="834" w:type="pct"/>
            <w:vAlign w:val="center"/>
          </w:tcPr>
          <w:p w14:paraId="03013526"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4.9</w:t>
            </w:r>
          </w:p>
        </w:tc>
        <w:tc>
          <w:tcPr>
            <w:tcW w:w="811" w:type="pct"/>
            <w:vAlign w:val="center"/>
          </w:tcPr>
          <w:p w14:paraId="6060AEF8"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16EAA0AC" w14:textId="77777777">
        <w:trPr>
          <w:cantSplit/>
          <w:trHeight w:val="284"/>
        </w:trPr>
        <w:tc>
          <w:tcPr>
            <w:tcW w:w="1479" w:type="pct"/>
            <w:vMerge w:val="restart"/>
            <w:vAlign w:val="center"/>
          </w:tcPr>
          <w:p w14:paraId="4C1A55B9"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hint="eastAsia"/>
                <w:sz w:val="21"/>
                <w:szCs w:val="21"/>
              </w:rPr>
              <w:t>7</w:t>
            </w:r>
            <w:r>
              <w:rPr>
                <w:rFonts w:ascii="Times New Roman" w:hAnsi="Times New Roman"/>
                <w:sz w:val="21"/>
                <w:szCs w:val="21"/>
              </w:rPr>
              <w:t>#</w:t>
            </w:r>
            <w:r>
              <w:rPr>
                <w:rFonts w:ascii="Times New Roman" w:hint="eastAsia"/>
                <w:sz w:val="21"/>
                <w:szCs w:val="21"/>
              </w:rPr>
              <w:t>任家庄</w:t>
            </w:r>
            <w:r>
              <w:rPr>
                <w:rFonts w:ascii="Times New Roman"/>
                <w:sz w:val="21"/>
                <w:szCs w:val="21"/>
              </w:rPr>
              <w:t>矿井工业场地厂界噪声（南）</w:t>
            </w:r>
          </w:p>
        </w:tc>
        <w:tc>
          <w:tcPr>
            <w:tcW w:w="1042" w:type="pct"/>
            <w:vMerge/>
            <w:vAlign w:val="center"/>
          </w:tcPr>
          <w:p w14:paraId="29578AD3"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1E759AB8"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4.9</w:t>
            </w:r>
          </w:p>
        </w:tc>
        <w:tc>
          <w:tcPr>
            <w:tcW w:w="834" w:type="pct"/>
            <w:vAlign w:val="center"/>
          </w:tcPr>
          <w:p w14:paraId="20BD450F"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9.8</w:t>
            </w:r>
          </w:p>
        </w:tc>
        <w:tc>
          <w:tcPr>
            <w:tcW w:w="811" w:type="pct"/>
            <w:vAlign w:val="center"/>
          </w:tcPr>
          <w:p w14:paraId="180F1D7A"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5CC2F9C6" w14:textId="77777777">
        <w:trPr>
          <w:cantSplit/>
          <w:trHeight w:val="284"/>
        </w:trPr>
        <w:tc>
          <w:tcPr>
            <w:tcW w:w="1479" w:type="pct"/>
            <w:vMerge/>
            <w:vAlign w:val="center"/>
          </w:tcPr>
          <w:p w14:paraId="4222A7AC"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1042" w:type="pct"/>
            <w:vMerge/>
            <w:vAlign w:val="center"/>
          </w:tcPr>
          <w:p w14:paraId="46874C5F"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4F89BF03"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4.8</w:t>
            </w:r>
          </w:p>
        </w:tc>
        <w:tc>
          <w:tcPr>
            <w:tcW w:w="834" w:type="pct"/>
            <w:vAlign w:val="center"/>
          </w:tcPr>
          <w:p w14:paraId="7271C282"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1.9</w:t>
            </w:r>
          </w:p>
        </w:tc>
        <w:tc>
          <w:tcPr>
            <w:tcW w:w="811" w:type="pct"/>
            <w:vAlign w:val="center"/>
          </w:tcPr>
          <w:p w14:paraId="113FEF1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5FE43725" w14:textId="77777777">
        <w:trPr>
          <w:cantSplit/>
          <w:trHeight w:val="284"/>
        </w:trPr>
        <w:tc>
          <w:tcPr>
            <w:tcW w:w="1479" w:type="pct"/>
            <w:vMerge w:val="restart"/>
            <w:vAlign w:val="center"/>
          </w:tcPr>
          <w:p w14:paraId="3EF50D47"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hint="eastAsia"/>
                <w:sz w:val="21"/>
                <w:szCs w:val="21"/>
              </w:rPr>
              <w:t>8</w:t>
            </w:r>
            <w:r>
              <w:rPr>
                <w:rFonts w:ascii="Times New Roman" w:hAnsi="Times New Roman"/>
                <w:sz w:val="21"/>
                <w:szCs w:val="21"/>
              </w:rPr>
              <w:t>#</w:t>
            </w:r>
            <w:r>
              <w:rPr>
                <w:rFonts w:ascii="Times New Roman" w:hint="eastAsia"/>
                <w:sz w:val="21"/>
                <w:szCs w:val="21"/>
              </w:rPr>
              <w:t>任家庄</w:t>
            </w:r>
            <w:r>
              <w:rPr>
                <w:rFonts w:ascii="Times New Roman"/>
                <w:sz w:val="21"/>
                <w:szCs w:val="21"/>
              </w:rPr>
              <w:t>矿井工业场地厂界噪声（西）</w:t>
            </w:r>
          </w:p>
        </w:tc>
        <w:tc>
          <w:tcPr>
            <w:tcW w:w="1042" w:type="pct"/>
            <w:vMerge/>
            <w:vAlign w:val="center"/>
          </w:tcPr>
          <w:p w14:paraId="5A0B294B"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793C0D8A"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1.8</w:t>
            </w:r>
          </w:p>
        </w:tc>
        <w:tc>
          <w:tcPr>
            <w:tcW w:w="834" w:type="pct"/>
            <w:vAlign w:val="center"/>
          </w:tcPr>
          <w:p w14:paraId="0FE06B89"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8.6</w:t>
            </w:r>
          </w:p>
        </w:tc>
        <w:tc>
          <w:tcPr>
            <w:tcW w:w="811" w:type="pct"/>
            <w:vAlign w:val="center"/>
          </w:tcPr>
          <w:p w14:paraId="2F8A18BF"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25EAAD27" w14:textId="77777777">
        <w:trPr>
          <w:cantSplit/>
          <w:trHeight w:val="284"/>
        </w:trPr>
        <w:tc>
          <w:tcPr>
            <w:tcW w:w="1479" w:type="pct"/>
            <w:vMerge/>
            <w:vAlign w:val="center"/>
          </w:tcPr>
          <w:p w14:paraId="51246586"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1042" w:type="pct"/>
            <w:vMerge/>
            <w:vAlign w:val="center"/>
          </w:tcPr>
          <w:p w14:paraId="7C57B2C6"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4B7241C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3.8</w:t>
            </w:r>
          </w:p>
        </w:tc>
        <w:tc>
          <w:tcPr>
            <w:tcW w:w="834" w:type="pct"/>
            <w:vAlign w:val="center"/>
          </w:tcPr>
          <w:p w14:paraId="79514B46"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9.0</w:t>
            </w:r>
          </w:p>
        </w:tc>
        <w:tc>
          <w:tcPr>
            <w:tcW w:w="811" w:type="pct"/>
            <w:vAlign w:val="center"/>
          </w:tcPr>
          <w:p w14:paraId="3EC1A52E"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3C09B813" w14:textId="77777777">
        <w:trPr>
          <w:cantSplit/>
          <w:trHeight w:val="284"/>
        </w:trPr>
        <w:tc>
          <w:tcPr>
            <w:tcW w:w="1479" w:type="pct"/>
            <w:vMerge w:val="restart"/>
            <w:vAlign w:val="center"/>
          </w:tcPr>
          <w:p w14:paraId="37018A09"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hint="eastAsia"/>
                <w:sz w:val="21"/>
                <w:szCs w:val="21"/>
              </w:rPr>
              <w:t>9</w:t>
            </w:r>
            <w:r>
              <w:rPr>
                <w:rFonts w:ascii="Times New Roman" w:hAnsi="Times New Roman"/>
                <w:sz w:val="21"/>
                <w:szCs w:val="21"/>
              </w:rPr>
              <w:t>#</w:t>
            </w:r>
            <w:r>
              <w:rPr>
                <w:rFonts w:ascii="Times New Roman" w:hint="eastAsia"/>
                <w:sz w:val="21"/>
                <w:szCs w:val="21"/>
              </w:rPr>
              <w:t>任家庄</w:t>
            </w:r>
            <w:r>
              <w:rPr>
                <w:rFonts w:ascii="Times New Roman"/>
                <w:sz w:val="21"/>
                <w:szCs w:val="21"/>
              </w:rPr>
              <w:t>矿井工业场地厂界噪声（北）</w:t>
            </w:r>
          </w:p>
        </w:tc>
        <w:tc>
          <w:tcPr>
            <w:tcW w:w="1042" w:type="pct"/>
            <w:vMerge/>
            <w:vAlign w:val="center"/>
          </w:tcPr>
          <w:p w14:paraId="51193F14"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5095CADD"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7.0</w:t>
            </w:r>
          </w:p>
        </w:tc>
        <w:tc>
          <w:tcPr>
            <w:tcW w:w="834" w:type="pct"/>
            <w:vAlign w:val="center"/>
          </w:tcPr>
          <w:p w14:paraId="1D947001"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3.5</w:t>
            </w:r>
          </w:p>
        </w:tc>
        <w:tc>
          <w:tcPr>
            <w:tcW w:w="811" w:type="pct"/>
            <w:vAlign w:val="center"/>
          </w:tcPr>
          <w:p w14:paraId="6299A988"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33788F84" w14:textId="77777777">
        <w:trPr>
          <w:cantSplit/>
          <w:trHeight w:val="284"/>
        </w:trPr>
        <w:tc>
          <w:tcPr>
            <w:tcW w:w="1479" w:type="pct"/>
            <w:vMerge/>
            <w:vAlign w:val="center"/>
          </w:tcPr>
          <w:p w14:paraId="5BE7796E"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1042" w:type="pct"/>
            <w:vMerge/>
            <w:vAlign w:val="center"/>
          </w:tcPr>
          <w:p w14:paraId="5A2A6A91"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2847355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6.9</w:t>
            </w:r>
          </w:p>
        </w:tc>
        <w:tc>
          <w:tcPr>
            <w:tcW w:w="834" w:type="pct"/>
            <w:vAlign w:val="center"/>
          </w:tcPr>
          <w:p w14:paraId="4ED50279"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3.8</w:t>
            </w:r>
          </w:p>
        </w:tc>
        <w:tc>
          <w:tcPr>
            <w:tcW w:w="811" w:type="pct"/>
            <w:vAlign w:val="center"/>
          </w:tcPr>
          <w:p w14:paraId="5CCCAF93"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5EBFFAAC" w14:textId="77777777">
        <w:trPr>
          <w:cantSplit/>
          <w:trHeight w:val="284"/>
        </w:trPr>
        <w:tc>
          <w:tcPr>
            <w:tcW w:w="1479" w:type="pct"/>
            <w:vMerge w:val="restart"/>
            <w:vAlign w:val="center"/>
          </w:tcPr>
          <w:p w14:paraId="3326911F" w14:textId="77777777" w:rsidR="009C353B" w:rsidRDefault="00000000">
            <w:pPr>
              <w:adjustRightInd w:val="0"/>
              <w:snapToGrid w:val="0"/>
              <w:spacing w:line="240" w:lineRule="exact"/>
              <w:jc w:val="center"/>
              <w:rPr>
                <w:rFonts w:ascii="Times New Roman" w:hAnsi="Times New Roman"/>
                <w:spacing w:val="-20"/>
                <w:kern w:val="0"/>
                <w:sz w:val="21"/>
                <w:szCs w:val="21"/>
              </w:rPr>
            </w:pPr>
            <w:r>
              <w:rPr>
                <w:rFonts w:ascii="Times New Roman" w:hAnsi="Times New Roman" w:hint="eastAsia"/>
                <w:sz w:val="21"/>
                <w:szCs w:val="21"/>
              </w:rPr>
              <w:t>10#</w:t>
            </w:r>
            <w:r>
              <w:rPr>
                <w:rFonts w:ascii="Times New Roman" w:hint="eastAsia"/>
                <w:sz w:val="21"/>
                <w:szCs w:val="21"/>
              </w:rPr>
              <w:t>任家庄</w:t>
            </w:r>
            <w:r>
              <w:rPr>
                <w:rFonts w:ascii="Times New Roman"/>
                <w:sz w:val="21"/>
                <w:szCs w:val="21"/>
              </w:rPr>
              <w:t>矿井</w:t>
            </w:r>
            <w:r>
              <w:rPr>
                <w:rFonts w:ascii="Times New Roman" w:hint="eastAsia"/>
                <w:sz w:val="21"/>
                <w:szCs w:val="21"/>
              </w:rPr>
              <w:t>进场道路</w:t>
            </w:r>
          </w:p>
        </w:tc>
        <w:tc>
          <w:tcPr>
            <w:tcW w:w="1042" w:type="pct"/>
            <w:vMerge/>
            <w:vAlign w:val="center"/>
          </w:tcPr>
          <w:p w14:paraId="699A27C1"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59F3FA9E"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7.2</w:t>
            </w:r>
          </w:p>
        </w:tc>
        <w:tc>
          <w:tcPr>
            <w:tcW w:w="834" w:type="pct"/>
            <w:vAlign w:val="center"/>
          </w:tcPr>
          <w:p w14:paraId="7FE261A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5.5</w:t>
            </w:r>
          </w:p>
        </w:tc>
        <w:tc>
          <w:tcPr>
            <w:tcW w:w="811" w:type="pct"/>
            <w:vAlign w:val="center"/>
          </w:tcPr>
          <w:p w14:paraId="2AC83C59"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夜间超标</w:t>
            </w:r>
          </w:p>
        </w:tc>
      </w:tr>
      <w:tr w:rsidR="009C353B" w14:paraId="5EB3659A" w14:textId="77777777">
        <w:trPr>
          <w:cantSplit/>
          <w:trHeight w:val="284"/>
        </w:trPr>
        <w:tc>
          <w:tcPr>
            <w:tcW w:w="1479" w:type="pct"/>
            <w:vMerge/>
            <w:vAlign w:val="center"/>
          </w:tcPr>
          <w:p w14:paraId="0600783F"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1042" w:type="pct"/>
            <w:vMerge/>
            <w:vAlign w:val="center"/>
          </w:tcPr>
          <w:p w14:paraId="5B11C19B" w14:textId="77777777" w:rsidR="009C353B" w:rsidRDefault="009C353B">
            <w:pPr>
              <w:adjustRightInd w:val="0"/>
              <w:snapToGrid w:val="0"/>
              <w:spacing w:line="240" w:lineRule="exact"/>
              <w:jc w:val="center"/>
              <w:rPr>
                <w:rFonts w:ascii="Times New Roman" w:hAnsi="Times New Roman"/>
                <w:spacing w:val="-20"/>
                <w:kern w:val="0"/>
                <w:sz w:val="21"/>
                <w:szCs w:val="21"/>
              </w:rPr>
            </w:pPr>
          </w:p>
        </w:tc>
        <w:tc>
          <w:tcPr>
            <w:tcW w:w="834" w:type="pct"/>
            <w:vAlign w:val="center"/>
          </w:tcPr>
          <w:p w14:paraId="533D446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8.8</w:t>
            </w:r>
          </w:p>
        </w:tc>
        <w:tc>
          <w:tcPr>
            <w:tcW w:w="834" w:type="pct"/>
            <w:vAlign w:val="center"/>
          </w:tcPr>
          <w:p w14:paraId="70760F3D"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6.1</w:t>
            </w:r>
          </w:p>
        </w:tc>
        <w:tc>
          <w:tcPr>
            <w:tcW w:w="811" w:type="pct"/>
            <w:vAlign w:val="center"/>
          </w:tcPr>
          <w:p w14:paraId="7C337F9B"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夜间超标</w:t>
            </w:r>
          </w:p>
        </w:tc>
      </w:tr>
      <w:tr w:rsidR="009C353B" w14:paraId="43CE5784" w14:textId="77777777">
        <w:trPr>
          <w:cantSplit/>
          <w:trHeight w:val="284"/>
        </w:trPr>
        <w:tc>
          <w:tcPr>
            <w:tcW w:w="1479" w:type="pct"/>
            <w:vAlign w:val="center"/>
          </w:tcPr>
          <w:p w14:paraId="234DAE5F"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1#</w:t>
            </w:r>
            <w:r>
              <w:rPr>
                <w:rFonts w:ascii="Times New Roman" w:hint="eastAsia"/>
                <w:sz w:val="21"/>
                <w:szCs w:val="21"/>
              </w:rPr>
              <w:t>红石湾</w:t>
            </w:r>
            <w:r>
              <w:rPr>
                <w:rFonts w:ascii="Times New Roman"/>
                <w:sz w:val="21"/>
                <w:szCs w:val="21"/>
              </w:rPr>
              <w:t>矿井工业场地厂界噪声（</w:t>
            </w:r>
            <w:r>
              <w:rPr>
                <w:rFonts w:ascii="Times New Roman" w:hint="eastAsia"/>
                <w:sz w:val="21"/>
                <w:szCs w:val="21"/>
              </w:rPr>
              <w:t>东南</w:t>
            </w:r>
            <w:r>
              <w:rPr>
                <w:rFonts w:ascii="Times New Roman"/>
                <w:sz w:val="21"/>
                <w:szCs w:val="21"/>
              </w:rPr>
              <w:t>）</w:t>
            </w:r>
          </w:p>
        </w:tc>
        <w:tc>
          <w:tcPr>
            <w:tcW w:w="1042" w:type="pct"/>
            <w:vMerge w:val="restart"/>
            <w:vAlign w:val="center"/>
          </w:tcPr>
          <w:p w14:paraId="76273BCA"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kern w:val="0"/>
                <w:sz w:val="21"/>
                <w:szCs w:val="21"/>
              </w:rPr>
              <w:t>2020.04.26</w:t>
            </w:r>
          </w:p>
        </w:tc>
        <w:tc>
          <w:tcPr>
            <w:tcW w:w="834" w:type="pct"/>
            <w:vAlign w:val="center"/>
          </w:tcPr>
          <w:p w14:paraId="5A2DA6F2"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61.4</w:t>
            </w:r>
          </w:p>
        </w:tc>
        <w:tc>
          <w:tcPr>
            <w:tcW w:w="834" w:type="pct"/>
            <w:vAlign w:val="center"/>
          </w:tcPr>
          <w:p w14:paraId="246A87C7"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51.6</w:t>
            </w:r>
          </w:p>
        </w:tc>
        <w:tc>
          <w:tcPr>
            <w:tcW w:w="811" w:type="pct"/>
            <w:vAlign w:val="center"/>
          </w:tcPr>
          <w:p w14:paraId="25E7AC6B" w14:textId="77777777" w:rsidR="009C353B" w:rsidRDefault="00000000">
            <w:pPr>
              <w:widowControl/>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0CB41932" w14:textId="77777777">
        <w:trPr>
          <w:cantSplit/>
          <w:trHeight w:val="284"/>
        </w:trPr>
        <w:tc>
          <w:tcPr>
            <w:tcW w:w="1479" w:type="pct"/>
            <w:vAlign w:val="center"/>
          </w:tcPr>
          <w:p w14:paraId="5E004A34"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2#</w:t>
            </w:r>
            <w:r>
              <w:rPr>
                <w:rFonts w:ascii="Times New Roman" w:hint="eastAsia"/>
                <w:sz w:val="21"/>
                <w:szCs w:val="21"/>
              </w:rPr>
              <w:t>红石湾</w:t>
            </w:r>
            <w:r>
              <w:rPr>
                <w:rFonts w:ascii="Times New Roman"/>
                <w:sz w:val="21"/>
                <w:szCs w:val="21"/>
              </w:rPr>
              <w:t>矿井工业场地厂界噪声（南）</w:t>
            </w:r>
          </w:p>
        </w:tc>
        <w:tc>
          <w:tcPr>
            <w:tcW w:w="1042" w:type="pct"/>
            <w:vMerge/>
            <w:vAlign w:val="center"/>
          </w:tcPr>
          <w:p w14:paraId="4C2B9245" w14:textId="77777777" w:rsidR="009C353B" w:rsidRDefault="009C353B">
            <w:pPr>
              <w:adjustRightInd w:val="0"/>
              <w:snapToGrid w:val="0"/>
              <w:spacing w:line="240" w:lineRule="exact"/>
              <w:jc w:val="center"/>
              <w:rPr>
                <w:rFonts w:ascii="Times New Roman" w:hAnsi="Times New Roman"/>
                <w:kern w:val="0"/>
                <w:sz w:val="21"/>
                <w:szCs w:val="21"/>
              </w:rPr>
            </w:pPr>
          </w:p>
        </w:tc>
        <w:tc>
          <w:tcPr>
            <w:tcW w:w="834" w:type="pct"/>
            <w:vAlign w:val="center"/>
          </w:tcPr>
          <w:p w14:paraId="3E9731B1"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6</w:t>
            </w:r>
            <w:r>
              <w:rPr>
                <w:rFonts w:ascii="Times New Roman" w:hAnsi="Times New Roman"/>
                <w:kern w:val="0"/>
                <w:sz w:val="21"/>
                <w:szCs w:val="21"/>
              </w:rPr>
              <w:t>2.4</w:t>
            </w:r>
          </w:p>
        </w:tc>
        <w:tc>
          <w:tcPr>
            <w:tcW w:w="834" w:type="pct"/>
            <w:vAlign w:val="center"/>
          </w:tcPr>
          <w:p w14:paraId="495A17DC"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2.6</w:t>
            </w:r>
          </w:p>
        </w:tc>
        <w:tc>
          <w:tcPr>
            <w:tcW w:w="811" w:type="pct"/>
            <w:vAlign w:val="center"/>
          </w:tcPr>
          <w:p w14:paraId="2052347B" w14:textId="77777777" w:rsidR="009C353B" w:rsidRDefault="00000000">
            <w:pPr>
              <w:widowControl/>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2F98F783" w14:textId="77777777">
        <w:trPr>
          <w:cantSplit/>
          <w:trHeight w:val="284"/>
        </w:trPr>
        <w:tc>
          <w:tcPr>
            <w:tcW w:w="1479" w:type="pct"/>
            <w:vAlign w:val="center"/>
          </w:tcPr>
          <w:p w14:paraId="743743B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3#</w:t>
            </w:r>
            <w:r>
              <w:rPr>
                <w:rFonts w:ascii="Times New Roman" w:hint="eastAsia"/>
                <w:sz w:val="21"/>
                <w:szCs w:val="21"/>
              </w:rPr>
              <w:t>红石湾</w:t>
            </w:r>
            <w:r>
              <w:rPr>
                <w:rFonts w:ascii="Times New Roman"/>
                <w:sz w:val="21"/>
                <w:szCs w:val="21"/>
              </w:rPr>
              <w:t>矿井工业场地厂界噪声（西</w:t>
            </w:r>
            <w:r>
              <w:rPr>
                <w:rFonts w:ascii="Times New Roman" w:hint="eastAsia"/>
                <w:sz w:val="21"/>
                <w:szCs w:val="21"/>
              </w:rPr>
              <w:t>南</w:t>
            </w:r>
            <w:r>
              <w:rPr>
                <w:rFonts w:ascii="Times New Roman"/>
                <w:sz w:val="21"/>
                <w:szCs w:val="21"/>
              </w:rPr>
              <w:t>）</w:t>
            </w:r>
          </w:p>
        </w:tc>
        <w:tc>
          <w:tcPr>
            <w:tcW w:w="1042" w:type="pct"/>
            <w:vMerge/>
            <w:vAlign w:val="center"/>
          </w:tcPr>
          <w:p w14:paraId="072DB84C" w14:textId="77777777" w:rsidR="009C353B" w:rsidRDefault="009C353B">
            <w:pPr>
              <w:adjustRightInd w:val="0"/>
              <w:snapToGrid w:val="0"/>
              <w:spacing w:line="240" w:lineRule="exact"/>
              <w:jc w:val="center"/>
              <w:rPr>
                <w:rFonts w:ascii="Times New Roman" w:hAnsi="Times New Roman"/>
                <w:kern w:val="0"/>
                <w:sz w:val="21"/>
                <w:szCs w:val="21"/>
              </w:rPr>
            </w:pPr>
          </w:p>
        </w:tc>
        <w:tc>
          <w:tcPr>
            <w:tcW w:w="834" w:type="pct"/>
            <w:vAlign w:val="center"/>
          </w:tcPr>
          <w:p w14:paraId="0003F5FC"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8.6</w:t>
            </w:r>
          </w:p>
        </w:tc>
        <w:tc>
          <w:tcPr>
            <w:tcW w:w="834" w:type="pct"/>
            <w:vAlign w:val="center"/>
          </w:tcPr>
          <w:p w14:paraId="330064C4"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3.4</w:t>
            </w:r>
          </w:p>
        </w:tc>
        <w:tc>
          <w:tcPr>
            <w:tcW w:w="811" w:type="pct"/>
            <w:vAlign w:val="center"/>
          </w:tcPr>
          <w:p w14:paraId="31269117" w14:textId="77777777" w:rsidR="009C353B" w:rsidRDefault="00000000">
            <w:pPr>
              <w:widowControl/>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62BFE5B5" w14:textId="77777777">
        <w:trPr>
          <w:cantSplit/>
          <w:trHeight w:val="284"/>
        </w:trPr>
        <w:tc>
          <w:tcPr>
            <w:tcW w:w="1479" w:type="pct"/>
            <w:vAlign w:val="center"/>
          </w:tcPr>
          <w:p w14:paraId="1A5C17C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4#</w:t>
            </w:r>
            <w:r>
              <w:rPr>
                <w:rFonts w:ascii="Times New Roman" w:hint="eastAsia"/>
                <w:sz w:val="21"/>
                <w:szCs w:val="21"/>
              </w:rPr>
              <w:t>红石湾</w:t>
            </w:r>
            <w:r>
              <w:rPr>
                <w:rFonts w:ascii="Times New Roman"/>
                <w:sz w:val="21"/>
                <w:szCs w:val="21"/>
              </w:rPr>
              <w:t>矿井工业场地厂界噪声（</w:t>
            </w:r>
            <w:r>
              <w:rPr>
                <w:rFonts w:ascii="Times New Roman" w:hint="eastAsia"/>
                <w:sz w:val="21"/>
                <w:szCs w:val="21"/>
              </w:rPr>
              <w:t>西</w:t>
            </w:r>
            <w:r>
              <w:rPr>
                <w:rFonts w:ascii="Times New Roman"/>
                <w:sz w:val="21"/>
                <w:szCs w:val="21"/>
              </w:rPr>
              <w:t>）</w:t>
            </w:r>
          </w:p>
        </w:tc>
        <w:tc>
          <w:tcPr>
            <w:tcW w:w="1042" w:type="pct"/>
            <w:vMerge/>
            <w:vAlign w:val="center"/>
          </w:tcPr>
          <w:p w14:paraId="5A07D097" w14:textId="77777777" w:rsidR="009C353B" w:rsidRDefault="009C353B">
            <w:pPr>
              <w:adjustRightInd w:val="0"/>
              <w:snapToGrid w:val="0"/>
              <w:spacing w:line="240" w:lineRule="exact"/>
              <w:jc w:val="center"/>
              <w:rPr>
                <w:rFonts w:ascii="Times New Roman" w:hAnsi="Times New Roman"/>
                <w:kern w:val="0"/>
                <w:sz w:val="21"/>
                <w:szCs w:val="21"/>
              </w:rPr>
            </w:pPr>
          </w:p>
        </w:tc>
        <w:tc>
          <w:tcPr>
            <w:tcW w:w="834" w:type="pct"/>
            <w:vAlign w:val="center"/>
          </w:tcPr>
          <w:p w14:paraId="78DA1D03"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6</w:t>
            </w:r>
            <w:r>
              <w:rPr>
                <w:rFonts w:ascii="Times New Roman" w:hAnsi="Times New Roman"/>
                <w:kern w:val="0"/>
                <w:sz w:val="21"/>
                <w:szCs w:val="21"/>
              </w:rPr>
              <w:t>3.1</w:t>
            </w:r>
          </w:p>
        </w:tc>
        <w:tc>
          <w:tcPr>
            <w:tcW w:w="834" w:type="pct"/>
            <w:vAlign w:val="center"/>
          </w:tcPr>
          <w:p w14:paraId="6297F0AD"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1.9</w:t>
            </w:r>
          </w:p>
        </w:tc>
        <w:tc>
          <w:tcPr>
            <w:tcW w:w="811" w:type="pct"/>
            <w:vAlign w:val="center"/>
          </w:tcPr>
          <w:p w14:paraId="79F90EF6" w14:textId="77777777" w:rsidR="009C353B" w:rsidRDefault="00000000">
            <w:pPr>
              <w:widowControl/>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3CFF250A" w14:textId="77777777">
        <w:trPr>
          <w:cantSplit/>
          <w:trHeight w:val="284"/>
        </w:trPr>
        <w:tc>
          <w:tcPr>
            <w:tcW w:w="1479" w:type="pct"/>
            <w:vAlign w:val="center"/>
          </w:tcPr>
          <w:p w14:paraId="76DC31C8"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w:t>
            </w:r>
            <w:r>
              <w:rPr>
                <w:rFonts w:ascii="Times New Roman" w:hint="eastAsia"/>
                <w:sz w:val="21"/>
                <w:szCs w:val="21"/>
              </w:rPr>
              <w:t>红石湾</w:t>
            </w:r>
            <w:r>
              <w:rPr>
                <w:rFonts w:ascii="Times New Roman"/>
                <w:sz w:val="21"/>
                <w:szCs w:val="21"/>
              </w:rPr>
              <w:t>矿井工业场地厂界噪声（</w:t>
            </w:r>
            <w:r>
              <w:rPr>
                <w:rFonts w:ascii="Times New Roman" w:hint="eastAsia"/>
                <w:sz w:val="21"/>
                <w:szCs w:val="21"/>
              </w:rPr>
              <w:t>北</w:t>
            </w:r>
            <w:r>
              <w:rPr>
                <w:rFonts w:ascii="Times New Roman"/>
                <w:sz w:val="21"/>
                <w:szCs w:val="21"/>
              </w:rPr>
              <w:t>）</w:t>
            </w:r>
          </w:p>
        </w:tc>
        <w:tc>
          <w:tcPr>
            <w:tcW w:w="1042" w:type="pct"/>
            <w:vMerge/>
            <w:vAlign w:val="center"/>
          </w:tcPr>
          <w:p w14:paraId="786ECE79" w14:textId="77777777" w:rsidR="009C353B" w:rsidRDefault="009C353B">
            <w:pPr>
              <w:adjustRightInd w:val="0"/>
              <w:snapToGrid w:val="0"/>
              <w:spacing w:line="240" w:lineRule="exact"/>
              <w:jc w:val="center"/>
              <w:rPr>
                <w:rFonts w:ascii="Times New Roman" w:hAnsi="Times New Roman"/>
                <w:kern w:val="0"/>
                <w:sz w:val="21"/>
                <w:szCs w:val="21"/>
              </w:rPr>
            </w:pPr>
          </w:p>
        </w:tc>
        <w:tc>
          <w:tcPr>
            <w:tcW w:w="834" w:type="pct"/>
            <w:vAlign w:val="center"/>
          </w:tcPr>
          <w:p w14:paraId="4DF3EBDF"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9.8</w:t>
            </w:r>
          </w:p>
        </w:tc>
        <w:tc>
          <w:tcPr>
            <w:tcW w:w="834" w:type="pct"/>
            <w:vAlign w:val="center"/>
          </w:tcPr>
          <w:p w14:paraId="21ACA3DA"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1.1</w:t>
            </w:r>
          </w:p>
        </w:tc>
        <w:tc>
          <w:tcPr>
            <w:tcW w:w="811" w:type="pct"/>
            <w:vAlign w:val="center"/>
          </w:tcPr>
          <w:p w14:paraId="7716B3DD" w14:textId="77777777" w:rsidR="009C353B" w:rsidRDefault="00000000">
            <w:pPr>
              <w:widowControl/>
              <w:spacing w:line="240" w:lineRule="exact"/>
              <w:jc w:val="center"/>
              <w:rPr>
                <w:rFonts w:ascii="Times New Roman" w:hAnsi="Times New Roman"/>
                <w:sz w:val="21"/>
                <w:szCs w:val="21"/>
              </w:rPr>
            </w:pPr>
            <w:r>
              <w:rPr>
                <w:rFonts w:ascii="Times New Roman" w:hAnsi="Times New Roman" w:hint="eastAsia"/>
                <w:sz w:val="21"/>
                <w:szCs w:val="21"/>
              </w:rPr>
              <w:t>达标</w:t>
            </w:r>
          </w:p>
        </w:tc>
      </w:tr>
      <w:tr w:rsidR="009C353B" w14:paraId="59574D31" w14:textId="77777777">
        <w:trPr>
          <w:cantSplit/>
          <w:trHeight w:val="284"/>
        </w:trPr>
        <w:tc>
          <w:tcPr>
            <w:tcW w:w="1479" w:type="pct"/>
            <w:vAlign w:val="center"/>
          </w:tcPr>
          <w:p w14:paraId="233CBEEF"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6#</w:t>
            </w:r>
            <w:r>
              <w:rPr>
                <w:rFonts w:ascii="Times New Roman" w:hint="eastAsia"/>
                <w:sz w:val="21"/>
                <w:szCs w:val="21"/>
              </w:rPr>
              <w:t>红石湾</w:t>
            </w:r>
            <w:r>
              <w:rPr>
                <w:rFonts w:ascii="Times New Roman"/>
                <w:sz w:val="21"/>
                <w:szCs w:val="21"/>
              </w:rPr>
              <w:t>矿井工业场地厂界噪声（</w:t>
            </w:r>
            <w:r>
              <w:rPr>
                <w:rFonts w:ascii="Times New Roman" w:hint="eastAsia"/>
                <w:sz w:val="21"/>
                <w:szCs w:val="21"/>
              </w:rPr>
              <w:t>东北</w:t>
            </w:r>
            <w:r>
              <w:rPr>
                <w:rFonts w:ascii="Times New Roman"/>
                <w:sz w:val="21"/>
                <w:szCs w:val="21"/>
              </w:rPr>
              <w:t>）</w:t>
            </w:r>
          </w:p>
        </w:tc>
        <w:tc>
          <w:tcPr>
            <w:tcW w:w="1042" w:type="pct"/>
            <w:vMerge/>
            <w:vAlign w:val="center"/>
          </w:tcPr>
          <w:p w14:paraId="6C75A98B" w14:textId="77777777" w:rsidR="009C353B" w:rsidRDefault="009C353B">
            <w:pPr>
              <w:adjustRightInd w:val="0"/>
              <w:snapToGrid w:val="0"/>
              <w:spacing w:line="240" w:lineRule="exact"/>
              <w:jc w:val="center"/>
              <w:rPr>
                <w:rFonts w:ascii="Times New Roman" w:hAnsi="Times New Roman"/>
                <w:kern w:val="0"/>
                <w:sz w:val="21"/>
                <w:szCs w:val="21"/>
              </w:rPr>
            </w:pPr>
          </w:p>
        </w:tc>
        <w:tc>
          <w:tcPr>
            <w:tcW w:w="834" w:type="pct"/>
            <w:vAlign w:val="center"/>
          </w:tcPr>
          <w:p w14:paraId="78F627B6"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9.6</w:t>
            </w:r>
          </w:p>
        </w:tc>
        <w:tc>
          <w:tcPr>
            <w:tcW w:w="834" w:type="pct"/>
            <w:vAlign w:val="center"/>
          </w:tcPr>
          <w:p w14:paraId="165E78D1"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0.9</w:t>
            </w:r>
          </w:p>
        </w:tc>
        <w:tc>
          <w:tcPr>
            <w:tcW w:w="811" w:type="pct"/>
            <w:vAlign w:val="center"/>
          </w:tcPr>
          <w:p w14:paraId="414D9B9A" w14:textId="77777777" w:rsidR="009C353B" w:rsidRDefault="00000000">
            <w:pPr>
              <w:widowControl/>
              <w:spacing w:line="240" w:lineRule="exact"/>
              <w:jc w:val="center"/>
              <w:rPr>
                <w:rFonts w:ascii="Times New Roman" w:hAnsi="Times New Roman"/>
                <w:sz w:val="21"/>
                <w:szCs w:val="21"/>
              </w:rPr>
            </w:pPr>
            <w:r>
              <w:rPr>
                <w:rFonts w:ascii="Times New Roman" w:hAnsi="Times New Roman" w:hint="eastAsia"/>
                <w:sz w:val="21"/>
                <w:szCs w:val="21"/>
              </w:rPr>
              <w:t>达标</w:t>
            </w:r>
          </w:p>
        </w:tc>
      </w:tr>
    </w:tbl>
    <w:p w14:paraId="0539405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由监测结果可以看出，</w:t>
      </w:r>
      <w:r>
        <w:rPr>
          <w:rFonts w:ascii="Times New Roman" w:hAnsi="Times New Roman" w:hint="eastAsia"/>
          <w:szCs w:val="24"/>
        </w:rPr>
        <w:t>各矿厂界噪声监测值昼间最大值</w:t>
      </w:r>
      <w:r>
        <w:rPr>
          <w:rFonts w:ascii="Times New Roman" w:hAnsi="Times New Roman" w:hint="eastAsia"/>
          <w:szCs w:val="24"/>
        </w:rPr>
        <w:t>6</w:t>
      </w:r>
      <w:r>
        <w:rPr>
          <w:rFonts w:ascii="Times New Roman" w:hAnsi="Times New Roman"/>
          <w:szCs w:val="24"/>
        </w:rPr>
        <w:t>3.1</w:t>
      </w:r>
      <w:r>
        <w:rPr>
          <w:rFonts w:ascii="Times New Roman" w:hAnsi="Times New Roman"/>
          <w:kern w:val="0"/>
          <w:sz w:val="21"/>
          <w:szCs w:val="21"/>
        </w:rPr>
        <w:t xml:space="preserve"> dB(A)</w:t>
      </w:r>
      <w:r>
        <w:rPr>
          <w:rFonts w:ascii="Times New Roman" w:hAnsi="Times New Roman" w:hint="eastAsia"/>
          <w:szCs w:val="24"/>
        </w:rPr>
        <w:t>，夜间最大值</w:t>
      </w:r>
      <w:r>
        <w:rPr>
          <w:rFonts w:ascii="Times New Roman" w:hAnsi="Times New Roman" w:hint="eastAsia"/>
          <w:szCs w:val="24"/>
        </w:rPr>
        <w:t>5</w:t>
      </w:r>
      <w:r>
        <w:rPr>
          <w:rFonts w:ascii="Times New Roman" w:hAnsi="Times New Roman"/>
          <w:szCs w:val="24"/>
        </w:rPr>
        <w:t>4.9</w:t>
      </w:r>
      <w:r>
        <w:rPr>
          <w:rFonts w:ascii="Times New Roman" w:hAnsi="Times New Roman"/>
          <w:kern w:val="0"/>
          <w:sz w:val="21"/>
          <w:szCs w:val="21"/>
        </w:rPr>
        <w:t xml:space="preserve"> dB(A)</w:t>
      </w:r>
      <w:r>
        <w:rPr>
          <w:rFonts w:ascii="Times New Roman" w:hAnsi="Times New Roman" w:hint="eastAsia"/>
          <w:kern w:val="0"/>
          <w:sz w:val="21"/>
          <w:szCs w:val="21"/>
        </w:rPr>
        <w:t>，</w:t>
      </w:r>
      <w:r>
        <w:rPr>
          <w:rFonts w:ascii="Times New Roman" w:hAnsi="Times New Roman" w:hint="eastAsia"/>
          <w:szCs w:val="24"/>
        </w:rPr>
        <w:t>均低于</w:t>
      </w:r>
      <w:r>
        <w:rPr>
          <w:rFonts w:ascii="Times New Roman" w:hAnsi="Times New Roman"/>
          <w:szCs w:val="24"/>
        </w:rPr>
        <w:t>《声环境质量标准》（</w:t>
      </w:r>
      <w:r>
        <w:rPr>
          <w:rFonts w:ascii="Times New Roman" w:hAnsi="Times New Roman"/>
          <w:szCs w:val="24"/>
        </w:rPr>
        <w:t>GB3096-2008</w:t>
      </w:r>
      <w:r>
        <w:rPr>
          <w:rFonts w:ascii="Times New Roman" w:hAnsi="Times New Roman"/>
          <w:szCs w:val="24"/>
        </w:rPr>
        <w:t>）</w:t>
      </w:r>
      <w:r>
        <w:rPr>
          <w:rFonts w:ascii="Times New Roman" w:hAnsi="Times New Roman"/>
          <w:szCs w:val="24"/>
        </w:rPr>
        <w:t>3</w:t>
      </w:r>
      <w:r>
        <w:rPr>
          <w:rFonts w:ascii="Times New Roman" w:hAnsi="Times New Roman"/>
          <w:szCs w:val="24"/>
        </w:rPr>
        <w:t>类</w:t>
      </w:r>
      <w:r>
        <w:rPr>
          <w:rFonts w:ascii="Times New Roman" w:hAnsi="Times New Roman" w:hint="eastAsia"/>
          <w:szCs w:val="24"/>
        </w:rPr>
        <w:t>标准</w:t>
      </w:r>
      <w:r>
        <w:rPr>
          <w:rFonts w:ascii="Times New Roman" w:hAnsi="Times New Roman"/>
          <w:szCs w:val="24"/>
        </w:rPr>
        <w:t>的</w:t>
      </w:r>
      <w:r>
        <w:rPr>
          <w:rFonts w:ascii="Times New Roman" w:hAnsi="Times New Roman" w:hint="eastAsia"/>
          <w:szCs w:val="24"/>
        </w:rPr>
        <w:t>昼间</w:t>
      </w:r>
      <w:r>
        <w:rPr>
          <w:rFonts w:ascii="Times New Roman" w:hAnsi="Times New Roman" w:hint="eastAsia"/>
          <w:szCs w:val="24"/>
        </w:rPr>
        <w:t>6</w:t>
      </w:r>
      <w:r>
        <w:rPr>
          <w:rFonts w:ascii="Times New Roman" w:hAnsi="Times New Roman"/>
          <w:szCs w:val="24"/>
        </w:rPr>
        <w:t>5 dB(A)</w:t>
      </w:r>
      <w:r>
        <w:rPr>
          <w:rFonts w:ascii="Times New Roman" w:hAnsi="Times New Roman" w:hint="eastAsia"/>
          <w:szCs w:val="24"/>
        </w:rPr>
        <w:t>，夜间</w:t>
      </w:r>
      <w:r>
        <w:rPr>
          <w:rFonts w:ascii="Times New Roman" w:hAnsi="Times New Roman" w:hint="eastAsia"/>
          <w:szCs w:val="24"/>
        </w:rPr>
        <w:t>5</w:t>
      </w:r>
      <w:r>
        <w:rPr>
          <w:rFonts w:ascii="Times New Roman" w:hAnsi="Times New Roman"/>
          <w:szCs w:val="24"/>
        </w:rPr>
        <w:t>5dB(A)</w:t>
      </w:r>
      <w:r>
        <w:rPr>
          <w:rFonts w:ascii="Times New Roman" w:hAnsi="Times New Roman" w:hint="eastAsia"/>
          <w:szCs w:val="24"/>
        </w:rPr>
        <w:t>的</w:t>
      </w:r>
      <w:r>
        <w:rPr>
          <w:rFonts w:ascii="Times New Roman" w:hAnsi="Times New Roman"/>
          <w:szCs w:val="24"/>
        </w:rPr>
        <w:t>要求</w:t>
      </w:r>
      <w:r>
        <w:rPr>
          <w:rFonts w:ascii="Times New Roman" w:hAnsi="Times New Roman" w:hint="eastAsia"/>
          <w:szCs w:val="24"/>
        </w:rPr>
        <w:t>。各矿厂界噪声均能达标排放，对厂界外声环境影响有限，不会产生不良后果。</w:t>
      </w:r>
    </w:p>
    <w:p w14:paraId="006741C0" w14:textId="77777777" w:rsidR="009C353B" w:rsidRDefault="00000000">
      <w:pPr>
        <w:adjustRightInd w:val="0"/>
        <w:snapToGrid w:val="0"/>
        <w:spacing w:line="440" w:lineRule="exact"/>
        <w:jc w:val="center"/>
        <w:rPr>
          <w:rFonts w:ascii="Times New Roman" w:hAnsi="Times New Roman"/>
          <w:b/>
          <w:szCs w:val="24"/>
        </w:rPr>
      </w:pPr>
      <w:r>
        <w:rPr>
          <w:rFonts w:ascii="Times New Roman" w:hint="eastAsia"/>
          <w:b/>
          <w:szCs w:val="24"/>
        </w:rPr>
        <w:t>任家庄车流量</w:t>
      </w:r>
      <w:r>
        <w:rPr>
          <w:rFonts w:ascii="Times New Roman"/>
          <w:b/>
          <w:szCs w:val="24"/>
        </w:rPr>
        <w:t>监测</w:t>
      </w:r>
      <w:r>
        <w:rPr>
          <w:rFonts w:ascii="Times New Roman" w:hint="eastAsia"/>
          <w:b/>
          <w:szCs w:val="24"/>
        </w:rPr>
        <w:t>记录</w:t>
      </w:r>
    </w:p>
    <w:p w14:paraId="14520FE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szCs w:val="24"/>
        </w:rPr>
        <w:t>表</w:t>
      </w:r>
      <w:r>
        <w:rPr>
          <w:rFonts w:ascii="Times New Roman" w:hAnsi="Times New Roman"/>
          <w:szCs w:val="24"/>
        </w:rPr>
        <w:t>3.3-11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2"/>
        <w:gridCol w:w="1889"/>
        <w:gridCol w:w="2179"/>
        <w:gridCol w:w="2035"/>
        <w:gridCol w:w="1882"/>
      </w:tblGrid>
      <w:tr w:rsidR="009C353B" w14:paraId="7D88B9C7" w14:textId="77777777">
        <w:trPr>
          <w:trHeight w:val="398"/>
          <w:jc w:val="center"/>
        </w:trPr>
        <w:tc>
          <w:tcPr>
            <w:tcW w:w="1271" w:type="dxa"/>
            <w:vMerge w:val="restart"/>
            <w:vAlign w:val="center"/>
          </w:tcPr>
          <w:p w14:paraId="2B3A0B9C"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监测日期</w:t>
            </w:r>
          </w:p>
        </w:tc>
        <w:tc>
          <w:tcPr>
            <w:tcW w:w="1843" w:type="dxa"/>
            <w:vMerge w:val="restart"/>
            <w:vAlign w:val="center"/>
          </w:tcPr>
          <w:p w14:paraId="6CDC21F6"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监测点位</w:t>
            </w:r>
          </w:p>
        </w:tc>
        <w:tc>
          <w:tcPr>
            <w:tcW w:w="2126" w:type="dxa"/>
            <w:vMerge w:val="restart"/>
            <w:vAlign w:val="center"/>
          </w:tcPr>
          <w:p w14:paraId="540FD8EC"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监测时间</w:t>
            </w:r>
          </w:p>
        </w:tc>
        <w:tc>
          <w:tcPr>
            <w:tcW w:w="3821" w:type="dxa"/>
            <w:gridSpan w:val="2"/>
            <w:vAlign w:val="center"/>
          </w:tcPr>
          <w:p w14:paraId="7F01A7A1"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车流量（辆</w:t>
            </w:r>
            <w:r>
              <w:rPr>
                <w:rFonts w:ascii="Times New Roman" w:hAnsi="Times New Roman" w:hint="eastAsia"/>
                <w:kern w:val="0"/>
                <w:sz w:val="21"/>
                <w:szCs w:val="21"/>
              </w:rPr>
              <w:t>/20min</w:t>
            </w:r>
            <w:r>
              <w:rPr>
                <w:rFonts w:ascii="Times New Roman" w:hAnsi="Times New Roman" w:hint="eastAsia"/>
                <w:kern w:val="0"/>
                <w:sz w:val="21"/>
                <w:szCs w:val="21"/>
              </w:rPr>
              <w:t>）</w:t>
            </w:r>
          </w:p>
        </w:tc>
      </w:tr>
      <w:tr w:rsidR="009C353B" w14:paraId="78FA7841" w14:textId="77777777">
        <w:trPr>
          <w:trHeight w:val="250"/>
          <w:jc w:val="center"/>
        </w:trPr>
        <w:tc>
          <w:tcPr>
            <w:tcW w:w="1271" w:type="dxa"/>
            <w:vMerge/>
            <w:vAlign w:val="center"/>
          </w:tcPr>
          <w:p w14:paraId="014C15E3" w14:textId="77777777" w:rsidR="009C353B" w:rsidRDefault="009C353B">
            <w:pPr>
              <w:widowControl/>
              <w:spacing w:line="240" w:lineRule="exact"/>
              <w:jc w:val="center"/>
              <w:rPr>
                <w:rFonts w:ascii="Times New Roman" w:hAnsi="Times New Roman"/>
                <w:kern w:val="0"/>
                <w:sz w:val="21"/>
                <w:szCs w:val="21"/>
              </w:rPr>
            </w:pPr>
          </w:p>
        </w:tc>
        <w:tc>
          <w:tcPr>
            <w:tcW w:w="1843" w:type="dxa"/>
            <w:vMerge/>
            <w:vAlign w:val="center"/>
          </w:tcPr>
          <w:p w14:paraId="5EF04C0D" w14:textId="77777777" w:rsidR="009C353B" w:rsidRDefault="009C353B">
            <w:pPr>
              <w:widowControl/>
              <w:spacing w:line="240" w:lineRule="exact"/>
              <w:jc w:val="center"/>
              <w:rPr>
                <w:rFonts w:ascii="Times New Roman" w:hAnsi="Times New Roman"/>
                <w:kern w:val="0"/>
                <w:sz w:val="21"/>
                <w:szCs w:val="21"/>
              </w:rPr>
            </w:pPr>
          </w:p>
        </w:tc>
        <w:tc>
          <w:tcPr>
            <w:tcW w:w="2126" w:type="dxa"/>
            <w:vMerge/>
            <w:vAlign w:val="center"/>
          </w:tcPr>
          <w:p w14:paraId="43A27D78" w14:textId="77777777" w:rsidR="009C353B" w:rsidRDefault="009C353B">
            <w:pPr>
              <w:widowControl/>
              <w:spacing w:line="240" w:lineRule="exact"/>
              <w:jc w:val="center"/>
              <w:rPr>
                <w:rFonts w:ascii="Times New Roman" w:hAnsi="Times New Roman"/>
                <w:kern w:val="0"/>
                <w:sz w:val="21"/>
                <w:szCs w:val="21"/>
              </w:rPr>
            </w:pPr>
          </w:p>
        </w:tc>
        <w:tc>
          <w:tcPr>
            <w:tcW w:w="1985" w:type="dxa"/>
            <w:vAlign w:val="center"/>
          </w:tcPr>
          <w:p w14:paraId="4BB4355E"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大型车</w:t>
            </w:r>
          </w:p>
        </w:tc>
        <w:tc>
          <w:tcPr>
            <w:tcW w:w="1836" w:type="dxa"/>
            <w:vAlign w:val="center"/>
          </w:tcPr>
          <w:p w14:paraId="5B7029A5"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中小型车</w:t>
            </w:r>
          </w:p>
        </w:tc>
      </w:tr>
      <w:tr w:rsidR="009C353B" w14:paraId="5F8BF1C6" w14:textId="77777777">
        <w:trPr>
          <w:trHeight w:val="308"/>
          <w:jc w:val="center"/>
        </w:trPr>
        <w:tc>
          <w:tcPr>
            <w:tcW w:w="1271" w:type="dxa"/>
            <w:vMerge w:val="restart"/>
            <w:vAlign w:val="center"/>
          </w:tcPr>
          <w:p w14:paraId="3BE4433C"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020</w:t>
            </w:r>
            <w:r>
              <w:rPr>
                <w:rFonts w:ascii="Times New Roman" w:hAnsi="Times New Roman" w:hint="eastAsia"/>
                <w:kern w:val="0"/>
                <w:sz w:val="21"/>
                <w:szCs w:val="21"/>
              </w:rPr>
              <w:t>-</w:t>
            </w:r>
            <w:r>
              <w:rPr>
                <w:rFonts w:ascii="Times New Roman" w:hAnsi="Times New Roman"/>
                <w:kern w:val="0"/>
                <w:sz w:val="21"/>
                <w:szCs w:val="21"/>
              </w:rPr>
              <w:t>08</w:t>
            </w:r>
            <w:r>
              <w:rPr>
                <w:rFonts w:ascii="Times New Roman" w:hAnsi="Times New Roman" w:hint="eastAsia"/>
                <w:kern w:val="0"/>
                <w:sz w:val="21"/>
                <w:szCs w:val="21"/>
              </w:rPr>
              <w:t>-</w:t>
            </w:r>
            <w:r>
              <w:rPr>
                <w:rFonts w:ascii="Times New Roman" w:hAnsi="Times New Roman"/>
                <w:kern w:val="0"/>
                <w:sz w:val="21"/>
                <w:szCs w:val="21"/>
              </w:rPr>
              <w:t>09</w:t>
            </w:r>
          </w:p>
          <w:p w14:paraId="3EF424BF"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w:t>
            </w:r>
          </w:p>
          <w:p w14:paraId="373285F5"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020</w:t>
            </w:r>
            <w:r>
              <w:rPr>
                <w:rFonts w:ascii="Times New Roman" w:hAnsi="Times New Roman" w:hint="eastAsia"/>
                <w:kern w:val="0"/>
                <w:sz w:val="21"/>
                <w:szCs w:val="21"/>
              </w:rPr>
              <w:t>-</w:t>
            </w:r>
            <w:r>
              <w:rPr>
                <w:rFonts w:ascii="Times New Roman" w:hAnsi="Times New Roman"/>
                <w:kern w:val="0"/>
                <w:sz w:val="21"/>
                <w:szCs w:val="21"/>
              </w:rPr>
              <w:t>08</w:t>
            </w:r>
            <w:r>
              <w:rPr>
                <w:rFonts w:ascii="Times New Roman" w:hAnsi="Times New Roman" w:hint="eastAsia"/>
                <w:kern w:val="0"/>
                <w:sz w:val="21"/>
                <w:szCs w:val="21"/>
              </w:rPr>
              <w:t>-</w:t>
            </w:r>
            <w:r>
              <w:rPr>
                <w:rFonts w:ascii="Times New Roman" w:hAnsi="Times New Roman"/>
                <w:kern w:val="0"/>
                <w:sz w:val="21"/>
                <w:szCs w:val="21"/>
              </w:rPr>
              <w:t>10</w:t>
            </w:r>
          </w:p>
        </w:tc>
        <w:tc>
          <w:tcPr>
            <w:tcW w:w="1843" w:type="dxa"/>
            <w:vMerge w:val="restart"/>
            <w:vAlign w:val="center"/>
          </w:tcPr>
          <w:p w14:paraId="2849E84A"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0</w:t>
            </w:r>
            <w:r>
              <w:rPr>
                <w:rFonts w:ascii="Times New Roman" w:hAnsi="Times New Roman" w:hint="eastAsia"/>
                <w:kern w:val="0"/>
                <w:sz w:val="21"/>
                <w:szCs w:val="21"/>
              </w:rPr>
              <w:t>#</w:t>
            </w:r>
            <w:r>
              <w:rPr>
                <w:rFonts w:ascii="Times New Roman" w:hAnsi="Times New Roman" w:hint="eastAsia"/>
                <w:kern w:val="0"/>
                <w:sz w:val="21"/>
                <w:szCs w:val="21"/>
              </w:rPr>
              <w:t>任家庄工业场地进入道路</w:t>
            </w:r>
          </w:p>
        </w:tc>
        <w:tc>
          <w:tcPr>
            <w:tcW w:w="2126" w:type="dxa"/>
            <w:vAlign w:val="center"/>
          </w:tcPr>
          <w:p w14:paraId="36612205" w14:textId="77777777" w:rsidR="009C353B" w:rsidRDefault="00000000">
            <w:pPr>
              <w:widowControl/>
              <w:spacing w:line="240" w:lineRule="exact"/>
              <w:rPr>
                <w:rFonts w:ascii="Times New Roman" w:hAnsi="Times New Roman"/>
                <w:kern w:val="0"/>
                <w:sz w:val="21"/>
                <w:szCs w:val="21"/>
              </w:rPr>
            </w:pPr>
            <w:r>
              <w:rPr>
                <w:rFonts w:ascii="Times New Roman" w:hAnsi="Times New Roman" w:hint="eastAsia"/>
                <w:kern w:val="0"/>
                <w:sz w:val="21"/>
                <w:szCs w:val="21"/>
              </w:rPr>
              <w:t>昼间（</w:t>
            </w:r>
            <w:r>
              <w:rPr>
                <w:rFonts w:ascii="Times New Roman" w:hAnsi="Times New Roman" w:hint="eastAsia"/>
                <w:kern w:val="0"/>
                <w:sz w:val="21"/>
                <w:szCs w:val="21"/>
              </w:rPr>
              <w:t>1</w:t>
            </w:r>
            <w:r>
              <w:rPr>
                <w:rFonts w:ascii="Times New Roman" w:hAnsi="Times New Roman"/>
                <w:kern w:val="0"/>
                <w:sz w:val="21"/>
                <w:szCs w:val="21"/>
              </w:rPr>
              <w:t>4</w:t>
            </w:r>
            <w:r>
              <w:rPr>
                <w:rFonts w:ascii="Times New Roman" w:hAnsi="Times New Roman" w:hint="eastAsia"/>
                <w:kern w:val="0"/>
                <w:sz w:val="21"/>
                <w:szCs w:val="21"/>
              </w:rPr>
              <w:t>:</w:t>
            </w:r>
            <w:r>
              <w:rPr>
                <w:rFonts w:ascii="Times New Roman" w:hAnsi="Times New Roman"/>
                <w:kern w:val="0"/>
                <w:sz w:val="21"/>
                <w:szCs w:val="21"/>
              </w:rPr>
              <w:t>32</w:t>
            </w:r>
            <w:r>
              <w:rPr>
                <w:rFonts w:ascii="Times New Roman" w:hAnsi="Times New Roman" w:hint="eastAsia"/>
                <w:kern w:val="0"/>
                <w:sz w:val="21"/>
                <w:szCs w:val="21"/>
              </w:rPr>
              <w:t>-</w:t>
            </w:r>
            <w:r>
              <w:rPr>
                <w:rFonts w:ascii="Times New Roman" w:hAnsi="Times New Roman"/>
                <w:kern w:val="0"/>
                <w:sz w:val="21"/>
                <w:szCs w:val="21"/>
              </w:rPr>
              <w:t>14</w:t>
            </w:r>
            <w:r>
              <w:rPr>
                <w:rFonts w:ascii="Times New Roman" w:hAnsi="Times New Roman" w:hint="eastAsia"/>
                <w:kern w:val="0"/>
                <w:sz w:val="21"/>
                <w:szCs w:val="21"/>
              </w:rPr>
              <w:t>:</w:t>
            </w:r>
            <w:r>
              <w:rPr>
                <w:rFonts w:ascii="Times New Roman" w:hAnsi="Times New Roman"/>
                <w:kern w:val="0"/>
                <w:sz w:val="21"/>
                <w:szCs w:val="21"/>
              </w:rPr>
              <w:t>52</w:t>
            </w:r>
            <w:r>
              <w:rPr>
                <w:rFonts w:ascii="Times New Roman" w:hAnsi="Times New Roman" w:hint="eastAsia"/>
                <w:kern w:val="0"/>
                <w:sz w:val="21"/>
                <w:szCs w:val="21"/>
              </w:rPr>
              <w:t>）</w:t>
            </w:r>
          </w:p>
        </w:tc>
        <w:tc>
          <w:tcPr>
            <w:tcW w:w="1985" w:type="dxa"/>
            <w:vAlign w:val="center"/>
          </w:tcPr>
          <w:p w14:paraId="4762EA11"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20</w:t>
            </w:r>
          </w:p>
        </w:tc>
        <w:tc>
          <w:tcPr>
            <w:tcW w:w="1836" w:type="dxa"/>
            <w:vAlign w:val="center"/>
          </w:tcPr>
          <w:p w14:paraId="38BA5642"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5</w:t>
            </w:r>
          </w:p>
        </w:tc>
      </w:tr>
      <w:tr w:rsidR="009C353B" w14:paraId="0C5DAEE5" w14:textId="77777777">
        <w:trPr>
          <w:trHeight w:val="270"/>
          <w:jc w:val="center"/>
        </w:trPr>
        <w:tc>
          <w:tcPr>
            <w:tcW w:w="1271" w:type="dxa"/>
            <w:vMerge/>
            <w:vAlign w:val="center"/>
          </w:tcPr>
          <w:p w14:paraId="16C723EE" w14:textId="77777777" w:rsidR="009C353B" w:rsidRDefault="009C353B">
            <w:pPr>
              <w:widowControl/>
              <w:spacing w:line="240" w:lineRule="exact"/>
              <w:jc w:val="center"/>
              <w:rPr>
                <w:rFonts w:ascii="Times New Roman" w:hAnsi="Times New Roman"/>
                <w:kern w:val="0"/>
                <w:sz w:val="21"/>
                <w:szCs w:val="21"/>
              </w:rPr>
            </w:pPr>
          </w:p>
        </w:tc>
        <w:tc>
          <w:tcPr>
            <w:tcW w:w="1843" w:type="dxa"/>
            <w:vMerge/>
            <w:vAlign w:val="center"/>
          </w:tcPr>
          <w:p w14:paraId="70BA239F" w14:textId="77777777" w:rsidR="009C353B" w:rsidRDefault="009C353B">
            <w:pPr>
              <w:widowControl/>
              <w:spacing w:line="240" w:lineRule="exact"/>
              <w:jc w:val="center"/>
              <w:rPr>
                <w:rFonts w:ascii="Times New Roman" w:hAnsi="Times New Roman"/>
                <w:kern w:val="0"/>
                <w:sz w:val="21"/>
                <w:szCs w:val="21"/>
              </w:rPr>
            </w:pPr>
          </w:p>
        </w:tc>
        <w:tc>
          <w:tcPr>
            <w:tcW w:w="2126" w:type="dxa"/>
            <w:vAlign w:val="center"/>
          </w:tcPr>
          <w:p w14:paraId="2FF57383"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昼间（</w:t>
            </w:r>
            <w:r>
              <w:rPr>
                <w:rFonts w:ascii="Times New Roman" w:hAnsi="Times New Roman" w:hint="eastAsia"/>
                <w:kern w:val="0"/>
                <w:sz w:val="21"/>
                <w:szCs w:val="21"/>
              </w:rPr>
              <w:t>1</w:t>
            </w:r>
            <w:r>
              <w:rPr>
                <w:rFonts w:ascii="Times New Roman" w:hAnsi="Times New Roman"/>
                <w:kern w:val="0"/>
                <w:sz w:val="21"/>
                <w:szCs w:val="21"/>
              </w:rPr>
              <w:t>8</w:t>
            </w:r>
            <w:r>
              <w:rPr>
                <w:rFonts w:ascii="Times New Roman" w:hAnsi="Times New Roman" w:hint="eastAsia"/>
                <w:kern w:val="0"/>
                <w:sz w:val="21"/>
                <w:szCs w:val="21"/>
              </w:rPr>
              <w:t>:</w:t>
            </w:r>
            <w:r>
              <w:rPr>
                <w:rFonts w:ascii="Times New Roman" w:hAnsi="Times New Roman"/>
                <w:kern w:val="0"/>
                <w:sz w:val="21"/>
                <w:szCs w:val="21"/>
              </w:rPr>
              <w:t>37</w:t>
            </w:r>
            <w:r>
              <w:rPr>
                <w:rFonts w:ascii="Times New Roman" w:hAnsi="Times New Roman" w:hint="eastAsia"/>
                <w:kern w:val="0"/>
                <w:sz w:val="21"/>
                <w:szCs w:val="21"/>
              </w:rPr>
              <w:t>-</w:t>
            </w:r>
            <w:r>
              <w:rPr>
                <w:rFonts w:ascii="Times New Roman" w:hAnsi="Times New Roman"/>
                <w:kern w:val="0"/>
                <w:sz w:val="21"/>
                <w:szCs w:val="21"/>
              </w:rPr>
              <w:t>18</w:t>
            </w:r>
            <w:r>
              <w:rPr>
                <w:rFonts w:ascii="Times New Roman" w:hAnsi="Times New Roman" w:hint="eastAsia"/>
                <w:kern w:val="0"/>
                <w:sz w:val="21"/>
                <w:szCs w:val="21"/>
              </w:rPr>
              <w:t>:</w:t>
            </w:r>
            <w:r>
              <w:rPr>
                <w:rFonts w:ascii="Times New Roman" w:hAnsi="Times New Roman"/>
                <w:kern w:val="0"/>
                <w:sz w:val="21"/>
                <w:szCs w:val="21"/>
              </w:rPr>
              <w:t>57</w:t>
            </w:r>
            <w:r>
              <w:rPr>
                <w:rFonts w:ascii="Times New Roman" w:hAnsi="Times New Roman" w:hint="eastAsia"/>
                <w:kern w:val="0"/>
                <w:sz w:val="21"/>
                <w:szCs w:val="21"/>
              </w:rPr>
              <w:t>）</w:t>
            </w:r>
          </w:p>
        </w:tc>
        <w:tc>
          <w:tcPr>
            <w:tcW w:w="1985" w:type="dxa"/>
            <w:vAlign w:val="center"/>
          </w:tcPr>
          <w:p w14:paraId="765D4007"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22</w:t>
            </w:r>
          </w:p>
        </w:tc>
        <w:tc>
          <w:tcPr>
            <w:tcW w:w="1836" w:type="dxa"/>
            <w:vAlign w:val="center"/>
          </w:tcPr>
          <w:p w14:paraId="726E4BC5"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6</w:t>
            </w:r>
          </w:p>
        </w:tc>
      </w:tr>
      <w:tr w:rsidR="009C353B" w14:paraId="4B295371" w14:textId="77777777">
        <w:trPr>
          <w:trHeight w:val="274"/>
          <w:jc w:val="center"/>
        </w:trPr>
        <w:tc>
          <w:tcPr>
            <w:tcW w:w="1271" w:type="dxa"/>
            <w:vMerge/>
            <w:vAlign w:val="center"/>
          </w:tcPr>
          <w:p w14:paraId="010B3115" w14:textId="77777777" w:rsidR="009C353B" w:rsidRDefault="009C353B">
            <w:pPr>
              <w:widowControl/>
              <w:spacing w:line="240" w:lineRule="exact"/>
              <w:jc w:val="center"/>
              <w:rPr>
                <w:rFonts w:ascii="Times New Roman" w:hAnsi="Times New Roman"/>
                <w:kern w:val="0"/>
                <w:sz w:val="21"/>
                <w:szCs w:val="21"/>
              </w:rPr>
            </w:pPr>
          </w:p>
        </w:tc>
        <w:tc>
          <w:tcPr>
            <w:tcW w:w="1843" w:type="dxa"/>
            <w:vMerge/>
            <w:vAlign w:val="center"/>
          </w:tcPr>
          <w:p w14:paraId="25669459" w14:textId="77777777" w:rsidR="009C353B" w:rsidRDefault="009C353B">
            <w:pPr>
              <w:widowControl/>
              <w:spacing w:line="240" w:lineRule="exact"/>
              <w:jc w:val="center"/>
              <w:rPr>
                <w:rFonts w:ascii="Times New Roman" w:hAnsi="Times New Roman"/>
                <w:kern w:val="0"/>
                <w:sz w:val="21"/>
                <w:szCs w:val="21"/>
              </w:rPr>
            </w:pPr>
          </w:p>
        </w:tc>
        <w:tc>
          <w:tcPr>
            <w:tcW w:w="2126" w:type="dxa"/>
            <w:vAlign w:val="center"/>
          </w:tcPr>
          <w:p w14:paraId="6B55EA21"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夜间（</w:t>
            </w:r>
            <w:r>
              <w:rPr>
                <w:rFonts w:ascii="Times New Roman" w:hAnsi="Times New Roman" w:hint="eastAsia"/>
                <w:kern w:val="0"/>
                <w:sz w:val="21"/>
                <w:szCs w:val="21"/>
              </w:rPr>
              <w:t>2</w:t>
            </w:r>
            <w:r>
              <w:rPr>
                <w:rFonts w:ascii="Times New Roman" w:hAnsi="Times New Roman"/>
                <w:kern w:val="0"/>
                <w:sz w:val="21"/>
                <w:szCs w:val="21"/>
              </w:rPr>
              <w:t>3</w:t>
            </w:r>
            <w:r>
              <w:rPr>
                <w:rFonts w:ascii="Times New Roman" w:hAnsi="Times New Roman" w:hint="eastAsia"/>
                <w:kern w:val="0"/>
                <w:sz w:val="21"/>
                <w:szCs w:val="21"/>
              </w:rPr>
              <w:t>:</w:t>
            </w:r>
            <w:r>
              <w:rPr>
                <w:rFonts w:ascii="Times New Roman" w:hAnsi="Times New Roman"/>
                <w:kern w:val="0"/>
                <w:sz w:val="21"/>
                <w:szCs w:val="21"/>
              </w:rPr>
              <w:t>58</w:t>
            </w:r>
            <w:r>
              <w:rPr>
                <w:rFonts w:ascii="Times New Roman" w:hAnsi="Times New Roman" w:hint="eastAsia"/>
                <w:kern w:val="0"/>
                <w:sz w:val="21"/>
                <w:szCs w:val="21"/>
              </w:rPr>
              <w:t>-</w:t>
            </w:r>
            <w:r>
              <w:rPr>
                <w:rFonts w:ascii="Times New Roman" w:hAnsi="Times New Roman"/>
                <w:kern w:val="0"/>
                <w:sz w:val="21"/>
                <w:szCs w:val="21"/>
              </w:rPr>
              <w:t>00</w:t>
            </w:r>
            <w:r>
              <w:rPr>
                <w:rFonts w:ascii="Times New Roman" w:hAnsi="Times New Roman" w:hint="eastAsia"/>
                <w:kern w:val="0"/>
                <w:sz w:val="21"/>
                <w:szCs w:val="21"/>
              </w:rPr>
              <w:t>:</w:t>
            </w:r>
            <w:r>
              <w:rPr>
                <w:rFonts w:ascii="Times New Roman" w:hAnsi="Times New Roman"/>
                <w:kern w:val="0"/>
                <w:sz w:val="21"/>
                <w:szCs w:val="21"/>
              </w:rPr>
              <w:t>18</w:t>
            </w:r>
            <w:r>
              <w:rPr>
                <w:rFonts w:ascii="Times New Roman" w:hAnsi="Times New Roman" w:hint="eastAsia"/>
                <w:kern w:val="0"/>
                <w:sz w:val="21"/>
                <w:szCs w:val="21"/>
              </w:rPr>
              <w:t>）</w:t>
            </w:r>
          </w:p>
        </w:tc>
        <w:tc>
          <w:tcPr>
            <w:tcW w:w="1985" w:type="dxa"/>
            <w:vAlign w:val="center"/>
          </w:tcPr>
          <w:p w14:paraId="5A03EA7C"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18</w:t>
            </w:r>
          </w:p>
        </w:tc>
        <w:tc>
          <w:tcPr>
            <w:tcW w:w="1836" w:type="dxa"/>
            <w:vAlign w:val="center"/>
          </w:tcPr>
          <w:p w14:paraId="63478E42"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3</w:t>
            </w:r>
          </w:p>
        </w:tc>
      </w:tr>
      <w:tr w:rsidR="009C353B" w14:paraId="472346F5" w14:textId="77777777">
        <w:trPr>
          <w:trHeight w:val="263"/>
          <w:jc w:val="center"/>
        </w:trPr>
        <w:tc>
          <w:tcPr>
            <w:tcW w:w="1271" w:type="dxa"/>
            <w:vMerge/>
            <w:vAlign w:val="center"/>
          </w:tcPr>
          <w:p w14:paraId="0B72EB3F" w14:textId="77777777" w:rsidR="009C353B" w:rsidRDefault="009C353B">
            <w:pPr>
              <w:widowControl/>
              <w:spacing w:line="240" w:lineRule="exact"/>
              <w:jc w:val="center"/>
              <w:rPr>
                <w:rFonts w:ascii="Times New Roman" w:hAnsi="Times New Roman"/>
                <w:kern w:val="0"/>
                <w:sz w:val="21"/>
                <w:szCs w:val="21"/>
              </w:rPr>
            </w:pPr>
          </w:p>
        </w:tc>
        <w:tc>
          <w:tcPr>
            <w:tcW w:w="1843" w:type="dxa"/>
            <w:vMerge/>
            <w:vAlign w:val="center"/>
          </w:tcPr>
          <w:p w14:paraId="52B79784" w14:textId="77777777" w:rsidR="009C353B" w:rsidRDefault="009C353B">
            <w:pPr>
              <w:widowControl/>
              <w:spacing w:line="240" w:lineRule="exact"/>
              <w:jc w:val="center"/>
              <w:rPr>
                <w:rFonts w:ascii="Times New Roman" w:hAnsi="Times New Roman"/>
                <w:kern w:val="0"/>
                <w:sz w:val="21"/>
                <w:szCs w:val="21"/>
              </w:rPr>
            </w:pPr>
          </w:p>
        </w:tc>
        <w:tc>
          <w:tcPr>
            <w:tcW w:w="2126" w:type="dxa"/>
            <w:vAlign w:val="center"/>
          </w:tcPr>
          <w:p w14:paraId="683C95AB"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hint="eastAsia"/>
                <w:kern w:val="0"/>
                <w:sz w:val="21"/>
                <w:szCs w:val="21"/>
              </w:rPr>
              <w:t>夜间（</w:t>
            </w:r>
            <w:r>
              <w:rPr>
                <w:rFonts w:ascii="Times New Roman" w:hAnsi="Times New Roman" w:hint="eastAsia"/>
                <w:kern w:val="0"/>
                <w:sz w:val="21"/>
                <w:szCs w:val="21"/>
              </w:rPr>
              <w:t>0</w:t>
            </w:r>
            <w:r>
              <w:rPr>
                <w:rFonts w:ascii="Times New Roman" w:hAnsi="Times New Roman"/>
                <w:kern w:val="0"/>
                <w:sz w:val="21"/>
                <w:szCs w:val="21"/>
              </w:rPr>
              <w:t>5</w:t>
            </w:r>
            <w:r>
              <w:rPr>
                <w:rFonts w:ascii="Times New Roman" w:hAnsi="Times New Roman" w:hint="eastAsia"/>
                <w:kern w:val="0"/>
                <w:sz w:val="21"/>
                <w:szCs w:val="21"/>
              </w:rPr>
              <w:t>:</w:t>
            </w:r>
            <w:r>
              <w:rPr>
                <w:rFonts w:ascii="Times New Roman" w:hAnsi="Times New Roman"/>
                <w:kern w:val="0"/>
                <w:sz w:val="21"/>
                <w:szCs w:val="21"/>
              </w:rPr>
              <w:t>11</w:t>
            </w:r>
            <w:r>
              <w:rPr>
                <w:rFonts w:ascii="Times New Roman" w:hAnsi="Times New Roman" w:hint="eastAsia"/>
                <w:kern w:val="0"/>
                <w:sz w:val="21"/>
                <w:szCs w:val="21"/>
              </w:rPr>
              <w:t>-</w:t>
            </w:r>
            <w:r>
              <w:rPr>
                <w:rFonts w:ascii="Times New Roman" w:hAnsi="Times New Roman"/>
                <w:kern w:val="0"/>
                <w:sz w:val="21"/>
                <w:szCs w:val="21"/>
              </w:rPr>
              <w:t>05</w:t>
            </w:r>
            <w:r>
              <w:rPr>
                <w:rFonts w:ascii="Times New Roman" w:hAnsi="Times New Roman" w:hint="eastAsia"/>
                <w:kern w:val="0"/>
                <w:sz w:val="21"/>
                <w:szCs w:val="21"/>
              </w:rPr>
              <w:t>:</w:t>
            </w:r>
            <w:r>
              <w:rPr>
                <w:rFonts w:ascii="Times New Roman" w:hAnsi="Times New Roman"/>
                <w:kern w:val="0"/>
                <w:sz w:val="21"/>
                <w:szCs w:val="21"/>
              </w:rPr>
              <w:t>31</w:t>
            </w:r>
            <w:r>
              <w:rPr>
                <w:rFonts w:ascii="Times New Roman" w:hAnsi="Times New Roman" w:hint="eastAsia"/>
                <w:kern w:val="0"/>
                <w:sz w:val="21"/>
                <w:szCs w:val="21"/>
              </w:rPr>
              <w:t>）</w:t>
            </w:r>
          </w:p>
        </w:tc>
        <w:tc>
          <w:tcPr>
            <w:tcW w:w="1985" w:type="dxa"/>
            <w:vAlign w:val="center"/>
          </w:tcPr>
          <w:p w14:paraId="77469E7B"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24</w:t>
            </w:r>
          </w:p>
        </w:tc>
        <w:tc>
          <w:tcPr>
            <w:tcW w:w="1836" w:type="dxa"/>
            <w:vAlign w:val="center"/>
          </w:tcPr>
          <w:p w14:paraId="6B3ABAF5"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2</w:t>
            </w:r>
          </w:p>
        </w:tc>
      </w:tr>
    </w:tbl>
    <w:p w14:paraId="2F660BE2" w14:textId="77777777" w:rsidR="009C353B" w:rsidRDefault="00000000">
      <w:pPr>
        <w:adjustRightInd w:val="0"/>
        <w:snapToGrid w:val="0"/>
        <w:spacing w:line="440" w:lineRule="exact"/>
        <w:ind w:firstLineChars="200" w:firstLine="480"/>
        <w:rPr>
          <w:rFonts w:hint="eastAsia"/>
          <w:szCs w:val="24"/>
        </w:rPr>
      </w:pPr>
      <w:r>
        <w:rPr>
          <w:rFonts w:ascii="Times New Roman" w:hAnsi="Times New Roman" w:hint="eastAsia"/>
          <w:szCs w:val="24"/>
        </w:rPr>
        <w:t>根据上表可知，任家庄煤矿进矿道路夜间大型车出入频率较高，导致夜间噪声超过</w:t>
      </w:r>
      <w:r>
        <w:rPr>
          <w:rFonts w:ascii="Times New Roman" w:hAnsi="Times New Roman"/>
          <w:szCs w:val="24"/>
        </w:rPr>
        <w:t>《声环境质量标准》（</w:t>
      </w:r>
      <w:r>
        <w:rPr>
          <w:rFonts w:ascii="Times New Roman" w:hAnsi="Times New Roman"/>
          <w:szCs w:val="24"/>
        </w:rPr>
        <w:t>GB3096-2008</w:t>
      </w:r>
      <w:r>
        <w:rPr>
          <w:rFonts w:ascii="Times New Roman" w:hAnsi="Times New Roman"/>
          <w:szCs w:val="24"/>
        </w:rPr>
        <w:t>）</w:t>
      </w:r>
      <w:r>
        <w:rPr>
          <w:rFonts w:ascii="Times New Roman" w:hAnsi="Times New Roman"/>
        </w:rPr>
        <w:t>4</w:t>
      </w:r>
      <w:r>
        <w:rPr>
          <w:rFonts w:ascii="Times New Roman" w:hAnsi="Times New Roman" w:hint="eastAsia"/>
        </w:rPr>
        <w:t>a</w:t>
      </w:r>
      <w:r>
        <w:rPr>
          <w:rFonts w:ascii="Times New Roman"/>
        </w:rPr>
        <w:t>类</w:t>
      </w:r>
      <w:r>
        <w:rPr>
          <w:rFonts w:ascii="Times New Roman" w:hint="eastAsia"/>
        </w:rPr>
        <w:t>标准</w:t>
      </w:r>
      <w:r>
        <w:rPr>
          <w:rFonts w:ascii="Times New Roman" w:hAnsi="Times New Roman" w:hint="eastAsia"/>
          <w:szCs w:val="24"/>
        </w:rPr>
        <w:t>。由于进矿道路周边无村庄、居民等声环境敏感点，环境影响较小。</w:t>
      </w:r>
    </w:p>
    <w:p w14:paraId="78E29FA2" w14:textId="77777777" w:rsidR="009C353B" w:rsidRDefault="00000000">
      <w:pPr>
        <w:pStyle w:val="3"/>
        <w:adjustRightInd w:val="0"/>
        <w:snapToGrid w:val="0"/>
        <w:spacing w:before="0" w:after="0" w:line="440" w:lineRule="exact"/>
        <w:rPr>
          <w:rFonts w:ascii="Times New Roman" w:hint="eastAsia"/>
          <w:sz w:val="24"/>
        </w:rPr>
      </w:pPr>
      <w:r>
        <w:rPr>
          <w:rFonts w:ascii="Times New Roman" w:hAnsi="Times New Roman"/>
          <w:sz w:val="24"/>
        </w:rPr>
        <w:t>3.3.</w:t>
      </w:r>
      <w:r>
        <w:rPr>
          <w:rFonts w:ascii="Times New Roman" w:hAnsi="Times New Roman" w:hint="eastAsia"/>
          <w:sz w:val="24"/>
        </w:rPr>
        <w:t>4</w:t>
      </w:r>
      <w:r>
        <w:rPr>
          <w:rFonts w:ascii="Times New Roman" w:hAnsi="Times New Roman"/>
          <w:sz w:val="24"/>
        </w:rPr>
        <w:t xml:space="preserve"> </w:t>
      </w:r>
      <w:r>
        <w:rPr>
          <w:rFonts w:ascii="Times New Roman" w:hint="eastAsia"/>
          <w:sz w:val="24"/>
        </w:rPr>
        <w:t>土壤</w:t>
      </w:r>
      <w:r>
        <w:rPr>
          <w:rFonts w:ascii="Times New Roman"/>
          <w:sz w:val="24"/>
        </w:rPr>
        <w:t>环境质量状况</w:t>
      </w:r>
    </w:p>
    <w:p w14:paraId="29131572"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rPr>
        <w:t>监测点位、时间及频率</w:t>
      </w:r>
    </w:p>
    <w:p w14:paraId="5C2A792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1</w:t>
      </w:r>
      <w:r>
        <w:rPr>
          <w:rFonts w:ascii="Times New Roman" w:hAnsi="Times New Roman"/>
        </w:rPr>
        <w:t>）监测布点</w:t>
      </w:r>
    </w:p>
    <w:p w14:paraId="6477871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本次评价</w:t>
      </w:r>
      <w:r>
        <w:rPr>
          <w:rFonts w:ascii="Times New Roman" w:hAnsi="Times New Roman"/>
        </w:rPr>
        <w:t>共布设</w:t>
      </w:r>
      <w:r>
        <w:rPr>
          <w:rFonts w:ascii="Times New Roman" w:hAnsi="Times New Roman"/>
        </w:rPr>
        <w:t>9</w:t>
      </w:r>
      <w:r>
        <w:rPr>
          <w:rFonts w:ascii="Times New Roman" w:hAnsi="Times New Roman"/>
        </w:rPr>
        <w:t>个</w:t>
      </w:r>
      <w:r>
        <w:rPr>
          <w:rFonts w:ascii="Times New Roman" w:hAnsi="Times New Roman" w:hint="eastAsia"/>
        </w:rPr>
        <w:t>土壤现状</w:t>
      </w:r>
      <w:r>
        <w:rPr>
          <w:rFonts w:ascii="Times New Roman" w:hAnsi="Times New Roman"/>
        </w:rPr>
        <w:t>监测点，其中</w:t>
      </w:r>
      <w:r>
        <w:rPr>
          <w:rFonts w:ascii="Times New Roman" w:hAnsi="Times New Roman"/>
        </w:rPr>
        <w:t>3</w:t>
      </w:r>
      <w:r>
        <w:rPr>
          <w:rFonts w:ascii="Times New Roman" w:hAnsi="Times New Roman"/>
        </w:rPr>
        <w:t>个点位于工业场地</w:t>
      </w:r>
      <w:r>
        <w:rPr>
          <w:rFonts w:ascii="Times New Roman" w:hAnsi="Times New Roman" w:hint="eastAsia"/>
        </w:rPr>
        <w:t>，</w:t>
      </w:r>
      <w:r>
        <w:rPr>
          <w:rFonts w:ascii="Times New Roman" w:hAnsi="Times New Roman"/>
        </w:rPr>
        <w:t>2</w:t>
      </w:r>
      <w:r>
        <w:rPr>
          <w:rFonts w:ascii="Times New Roman" w:hAnsi="Times New Roman"/>
        </w:rPr>
        <w:t>个点位于</w:t>
      </w:r>
      <w:r>
        <w:rPr>
          <w:rFonts w:ascii="Times New Roman" w:hAnsi="Times New Roman" w:hint="eastAsia"/>
        </w:rPr>
        <w:t>采空区，</w:t>
      </w:r>
      <w:r>
        <w:rPr>
          <w:rFonts w:ascii="Times New Roman" w:hAnsi="Times New Roman"/>
        </w:rPr>
        <w:t>3</w:t>
      </w:r>
      <w:r>
        <w:rPr>
          <w:rFonts w:ascii="Times New Roman" w:hAnsi="Times New Roman"/>
        </w:rPr>
        <w:t>个点位于</w:t>
      </w:r>
      <w:r>
        <w:rPr>
          <w:rFonts w:ascii="Times New Roman" w:hAnsi="Times New Roman" w:hint="eastAsia"/>
        </w:rPr>
        <w:t>排矸场，</w:t>
      </w:r>
      <w:r>
        <w:rPr>
          <w:rFonts w:ascii="Times New Roman" w:hAnsi="Times New Roman" w:hint="eastAsia"/>
        </w:rPr>
        <w:t>1</w:t>
      </w:r>
      <w:r>
        <w:rPr>
          <w:rFonts w:ascii="Times New Roman" w:hAnsi="Times New Roman" w:hint="eastAsia"/>
        </w:rPr>
        <w:t>个点位于未扰动区，具体监测点点位见表</w:t>
      </w:r>
      <w:r>
        <w:rPr>
          <w:rFonts w:ascii="Times New Roman" w:hAnsi="Times New Roman"/>
        </w:rPr>
        <w:t>3.3-12</w:t>
      </w:r>
      <w:r>
        <w:rPr>
          <w:rFonts w:ascii="Times New Roman" w:hAnsi="Times New Roman" w:hint="eastAsia"/>
        </w:rPr>
        <w:t>；红石湾项目</w:t>
      </w:r>
      <w:r>
        <w:rPr>
          <w:rFonts w:ascii="Times New Roman" w:hAnsi="Times New Roman" w:hint="eastAsia"/>
        </w:rPr>
        <w:t>2020</w:t>
      </w:r>
      <w:r>
        <w:rPr>
          <w:rFonts w:ascii="Times New Roman" w:hAnsi="Times New Roman" w:hint="eastAsia"/>
        </w:rPr>
        <w:t>年产能核增环评共布设</w:t>
      </w:r>
      <w:r>
        <w:rPr>
          <w:rFonts w:ascii="Times New Roman" w:hAnsi="Times New Roman"/>
        </w:rPr>
        <w:t>6</w:t>
      </w:r>
      <w:r>
        <w:rPr>
          <w:rFonts w:ascii="Times New Roman" w:hAnsi="Times New Roman" w:hint="eastAsia"/>
        </w:rPr>
        <w:t>个监测点，位于工业场地、排矸场及周边，具体监测点点位见表</w:t>
      </w:r>
      <w:r>
        <w:rPr>
          <w:rFonts w:ascii="Times New Roman" w:hAnsi="Times New Roman"/>
        </w:rPr>
        <w:t>3.3-13</w:t>
      </w:r>
      <w:r>
        <w:rPr>
          <w:rFonts w:ascii="Times New Roman" w:hAnsi="Times New Roman" w:hint="eastAsia"/>
        </w:rPr>
        <w:t>。监测布点见图</w:t>
      </w:r>
      <w:r>
        <w:rPr>
          <w:rFonts w:ascii="Times New Roman" w:hAnsi="Times New Roman"/>
        </w:rPr>
        <w:t>3.3-5</w:t>
      </w:r>
      <w:r>
        <w:rPr>
          <w:rFonts w:ascii="Times New Roman" w:hAnsi="Times New Roman" w:hint="eastAsia"/>
        </w:rPr>
        <w:t>。</w:t>
      </w:r>
    </w:p>
    <w:p w14:paraId="58876695" w14:textId="77777777" w:rsidR="009C353B" w:rsidRDefault="009C353B">
      <w:pPr>
        <w:adjustRightInd w:val="0"/>
        <w:snapToGrid w:val="0"/>
        <w:spacing w:line="440" w:lineRule="exact"/>
        <w:ind w:firstLineChars="200" w:firstLine="480"/>
        <w:rPr>
          <w:rFonts w:ascii="Times New Roman" w:hAnsi="Times New Roman"/>
        </w:rPr>
      </w:pPr>
    </w:p>
    <w:p w14:paraId="5D77566B" w14:textId="77777777" w:rsidR="009C353B" w:rsidRDefault="009C353B">
      <w:pPr>
        <w:adjustRightInd w:val="0"/>
        <w:snapToGrid w:val="0"/>
        <w:spacing w:line="440" w:lineRule="exact"/>
        <w:ind w:firstLineChars="200" w:firstLine="480"/>
        <w:rPr>
          <w:rFonts w:ascii="Times New Roman" w:hAnsi="Times New Roman"/>
        </w:rPr>
      </w:pPr>
    </w:p>
    <w:p w14:paraId="463B1D1D" w14:textId="77777777" w:rsidR="009C353B" w:rsidRDefault="00000000">
      <w:pPr>
        <w:adjustRightInd w:val="0"/>
        <w:snapToGrid w:val="0"/>
        <w:spacing w:line="440" w:lineRule="exact"/>
        <w:jc w:val="center"/>
        <w:rPr>
          <w:rFonts w:ascii="Times New Roman" w:hint="eastAsia"/>
        </w:rPr>
      </w:pPr>
      <w:r>
        <w:rPr>
          <w:rFonts w:ascii="Times New Roman" w:hint="eastAsia"/>
        </w:rPr>
        <w:t>本次评价</w:t>
      </w:r>
      <w:r>
        <w:rPr>
          <w:rFonts w:ascii="Times New Roman"/>
        </w:rPr>
        <w:t>矿区土壤环境现状监测点位</w:t>
      </w:r>
    </w:p>
    <w:p w14:paraId="64D8BDFF" w14:textId="77777777" w:rsidR="009C353B" w:rsidRDefault="00000000">
      <w:pPr>
        <w:pStyle w:val="325"/>
        <w:adjustRightInd w:val="0"/>
        <w:snapToGrid w:val="0"/>
        <w:spacing w:line="440" w:lineRule="exact"/>
        <w:ind w:firstLineChars="0" w:firstLine="0"/>
        <w:outlineLvl w:val="4"/>
        <w:rPr>
          <w:rFonts w:ascii="Times New Roman" w:hAnsi="Times New Roman"/>
        </w:rPr>
      </w:pPr>
      <w:r>
        <w:rPr>
          <w:rFonts w:ascii="Times New Roman"/>
        </w:rPr>
        <w:t>表</w:t>
      </w:r>
      <w:r>
        <w:rPr>
          <w:rFonts w:ascii="Times New Roman" w:hAnsi="Times New Roman"/>
        </w:rPr>
        <w:t>3.3-12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377"/>
        <w:gridCol w:w="5210"/>
      </w:tblGrid>
      <w:tr w:rsidR="009C353B" w14:paraId="2CA659FD" w14:textId="77777777">
        <w:trPr>
          <w:trHeight w:val="20"/>
        </w:trPr>
        <w:tc>
          <w:tcPr>
            <w:tcW w:w="377" w:type="pct"/>
            <w:vAlign w:val="center"/>
          </w:tcPr>
          <w:p w14:paraId="69FDBF05" w14:textId="77777777" w:rsidR="009C353B" w:rsidRDefault="00000000">
            <w:pPr>
              <w:widowControl/>
              <w:jc w:val="center"/>
              <w:rPr>
                <w:rFonts w:ascii="Times New Roman" w:hAnsi="Times New Roman"/>
                <w:kern w:val="0"/>
                <w:sz w:val="21"/>
                <w:szCs w:val="21"/>
              </w:rPr>
            </w:pPr>
            <w:r>
              <w:rPr>
                <w:rFonts w:ascii="Times New Roman"/>
                <w:kern w:val="0"/>
                <w:sz w:val="21"/>
                <w:szCs w:val="21"/>
              </w:rPr>
              <w:t>编号</w:t>
            </w:r>
          </w:p>
        </w:tc>
        <w:tc>
          <w:tcPr>
            <w:tcW w:w="1818" w:type="pct"/>
            <w:shd w:val="clear" w:color="auto" w:fill="auto"/>
            <w:vAlign w:val="center"/>
          </w:tcPr>
          <w:p w14:paraId="4696056C" w14:textId="77777777" w:rsidR="009C353B" w:rsidRDefault="00000000">
            <w:pPr>
              <w:widowControl/>
              <w:jc w:val="center"/>
              <w:rPr>
                <w:rFonts w:ascii="Times New Roman" w:hAnsi="Times New Roman"/>
                <w:kern w:val="0"/>
                <w:sz w:val="21"/>
                <w:szCs w:val="21"/>
              </w:rPr>
            </w:pPr>
            <w:r>
              <w:rPr>
                <w:rFonts w:ascii="Times New Roman"/>
                <w:kern w:val="0"/>
                <w:sz w:val="21"/>
                <w:szCs w:val="21"/>
              </w:rPr>
              <w:t>监测点</w:t>
            </w:r>
          </w:p>
        </w:tc>
        <w:tc>
          <w:tcPr>
            <w:tcW w:w="2805" w:type="pct"/>
            <w:shd w:val="clear" w:color="auto" w:fill="auto"/>
            <w:vAlign w:val="center"/>
          </w:tcPr>
          <w:p w14:paraId="045ADB93" w14:textId="77777777" w:rsidR="009C353B" w:rsidRDefault="00000000">
            <w:pPr>
              <w:widowControl/>
              <w:jc w:val="center"/>
              <w:rPr>
                <w:rFonts w:ascii="Times New Roman" w:hAnsi="Times New Roman"/>
                <w:kern w:val="0"/>
                <w:sz w:val="21"/>
                <w:szCs w:val="21"/>
              </w:rPr>
            </w:pPr>
            <w:r>
              <w:rPr>
                <w:rFonts w:ascii="Times New Roman"/>
                <w:kern w:val="0"/>
                <w:sz w:val="21"/>
                <w:szCs w:val="21"/>
              </w:rPr>
              <w:t>监测项目</w:t>
            </w:r>
          </w:p>
        </w:tc>
      </w:tr>
      <w:tr w:rsidR="009C353B" w14:paraId="580AE654" w14:textId="77777777">
        <w:trPr>
          <w:trHeight w:val="1367"/>
        </w:trPr>
        <w:tc>
          <w:tcPr>
            <w:tcW w:w="377" w:type="pct"/>
            <w:vAlign w:val="center"/>
          </w:tcPr>
          <w:p w14:paraId="04D7129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c>
          <w:tcPr>
            <w:tcW w:w="1818" w:type="pct"/>
            <w:shd w:val="clear" w:color="auto" w:fill="auto"/>
            <w:vAlign w:val="center"/>
          </w:tcPr>
          <w:p w14:paraId="49F19A07" w14:textId="77777777" w:rsidR="009C353B" w:rsidRDefault="00000000">
            <w:pPr>
              <w:widowControl/>
              <w:jc w:val="center"/>
              <w:rPr>
                <w:rFonts w:ascii="Times New Roman" w:hAnsi="Times New Roman"/>
                <w:kern w:val="0"/>
                <w:sz w:val="21"/>
                <w:szCs w:val="21"/>
              </w:rPr>
            </w:pPr>
            <w:r>
              <w:rPr>
                <w:rFonts w:hint="eastAsia"/>
                <w:sz w:val="21"/>
                <w:szCs w:val="21"/>
              </w:rPr>
              <w:t>马莲台工业场地内（水处理站附近）</w:t>
            </w:r>
          </w:p>
        </w:tc>
        <w:tc>
          <w:tcPr>
            <w:tcW w:w="2805" w:type="pct"/>
            <w:vMerge w:val="restart"/>
            <w:shd w:val="clear" w:color="auto" w:fill="auto"/>
            <w:vAlign w:val="center"/>
          </w:tcPr>
          <w:p w14:paraId="54AED097" w14:textId="77777777" w:rsidR="009C353B" w:rsidRDefault="00000000">
            <w:pPr>
              <w:widowControl/>
              <w:jc w:val="left"/>
              <w:rPr>
                <w:rFonts w:ascii="Times New Roman" w:hAnsi="Times New Roman"/>
                <w:kern w:val="0"/>
                <w:sz w:val="21"/>
                <w:szCs w:val="21"/>
              </w:rPr>
            </w:pPr>
            <w:r>
              <w:rPr>
                <w:rFonts w:ascii="Times New Roman"/>
                <w:kern w:val="0"/>
                <w:sz w:val="21"/>
                <w:szCs w:val="21"/>
              </w:rPr>
              <w:t>监测因子按照《土壤环境质量建设用地土壤污染风险管控标准（试行）》（</w:t>
            </w:r>
            <w:r>
              <w:rPr>
                <w:rFonts w:ascii="Times New Roman" w:hAnsi="Times New Roman"/>
                <w:kern w:val="0"/>
                <w:sz w:val="21"/>
                <w:szCs w:val="21"/>
              </w:rPr>
              <w:t>GB36600-2018</w:t>
            </w:r>
            <w:r>
              <w:rPr>
                <w:rFonts w:ascii="Times New Roman"/>
                <w:kern w:val="0"/>
                <w:sz w:val="21"/>
                <w:szCs w:val="21"/>
              </w:rPr>
              <w:t>）表</w:t>
            </w:r>
            <w:r>
              <w:rPr>
                <w:rFonts w:ascii="Times New Roman" w:hAnsi="Times New Roman"/>
                <w:kern w:val="0"/>
                <w:sz w:val="21"/>
                <w:szCs w:val="21"/>
              </w:rPr>
              <w:t>1</w:t>
            </w:r>
            <w:r>
              <w:rPr>
                <w:rFonts w:ascii="Times New Roman"/>
                <w:kern w:val="0"/>
                <w:sz w:val="21"/>
                <w:szCs w:val="21"/>
              </w:rPr>
              <w:t>中</w:t>
            </w:r>
            <w:r>
              <w:rPr>
                <w:rFonts w:ascii="Times New Roman" w:hAnsi="Times New Roman"/>
                <w:kern w:val="0"/>
                <w:sz w:val="21"/>
                <w:szCs w:val="21"/>
              </w:rPr>
              <w:t>45</w:t>
            </w:r>
            <w:r>
              <w:rPr>
                <w:rFonts w:ascii="Times New Roman"/>
                <w:kern w:val="0"/>
                <w:sz w:val="21"/>
                <w:szCs w:val="21"/>
              </w:rPr>
              <w:t>项基本项目：</w:t>
            </w:r>
          </w:p>
          <w:p w14:paraId="518506B9" w14:textId="77777777" w:rsidR="009C353B" w:rsidRDefault="00000000">
            <w:pPr>
              <w:widowControl/>
              <w:jc w:val="left"/>
              <w:rPr>
                <w:rFonts w:ascii="Times New Roman" w:hAnsi="Times New Roman"/>
                <w:kern w:val="0"/>
                <w:sz w:val="21"/>
                <w:szCs w:val="21"/>
              </w:rPr>
            </w:pPr>
            <w:r>
              <w:rPr>
                <w:rFonts w:ascii="Times New Roman"/>
                <w:kern w:val="0"/>
                <w:sz w:val="21"/>
                <w:szCs w:val="21"/>
              </w:rPr>
              <w:t>①重金属和无机物：砷、镉、六价铬、铜、铅、汞、镍、锌；土壤含盐量</w:t>
            </w:r>
            <w:r>
              <w:rPr>
                <w:rFonts w:ascii="Times New Roman" w:hAnsi="Times New Roman"/>
                <w:kern w:val="0"/>
                <w:sz w:val="21"/>
                <w:szCs w:val="21"/>
              </w:rPr>
              <w:t>SSC</w:t>
            </w:r>
            <w:r>
              <w:rPr>
                <w:rFonts w:ascii="Times New Roman"/>
                <w:kern w:val="0"/>
                <w:sz w:val="21"/>
                <w:szCs w:val="21"/>
              </w:rPr>
              <w:t>。</w:t>
            </w:r>
          </w:p>
          <w:p w14:paraId="775FC730" w14:textId="77777777" w:rsidR="009C353B" w:rsidRDefault="00000000">
            <w:pPr>
              <w:widowControl/>
              <w:jc w:val="left"/>
              <w:rPr>
                <w:rFonts w:ascii="Times New Roman" w:hAnsi="Times New Roman"/>
                <w:kern w:val="0"/>
                <w:sz w:val="21"/>
                <w:szCs w:val="21"/>
              </w:rPr>
            </w:pPr>
            <w:r>
              <w:rPr>
                <w:rFonts w:ascii="Times New Roman"/>
                <w:kern w:val="0"/>
                <w:sz w:val="21"/>
                <w:szCs w:val="21"/>
              </w:rPr>
              <w:t>②挥发性有机物：四氯化碳、氯仿、氯甲烷、</w:t>
            </w:r>
            <w:r>
              <w:rPr>
                <w:rFonts w:ascii="Times New Roman" w:hAnsi="Times New Roman"/>
                <w:kern w:val="0"/>
                <w:sz w:val="21"/>
                <w:szCs w:val="21"/>
              </w:rPr>
              <w:t>1,1-</w:t>
            </w:r>
            <w:r>
              <w:rPr>
                <w:rFonts w:ascii="Times New Roman"/>
                <w:kern w:val="0"/>
                <w:sz w:val="21"/>
                <w:szCs w:val="21"/>
              </w:rPr>
              <w:t>二氯乙烷、</w:t>
            </w:r>
            <w:r>
              <w:rPr>
                <w:rFonts w:ascii="Times New Roman" w:hAnsi="Times New Roman"/>
                <w:kern w:val="0"/>
                <w:sz w:val="21"/>
                <w:szCs w:val="21"/>
              </w:rPr>
              <w:t>1,2-</w:t>
            </w:r>
            <w:r>
              <w:rPr>
                <w:rFonts w:ascii="Times New Roman"/>
                <w:kern w:val="0"/>
                <w:sz w:val="21"/>
                <w:szCs w:val="21"/>
              </w:rPr>
              <w:t>二氯乙烷、</w:t>
            </w:r>
            <w:r>
              <w:rPr>
                <w:rFonts w:ascii="Times New Roman" w:hAnsi="Times New Roman"/>
                <w:kern w:val="0"/>
                <w:sz w:val="21"/>
                <w:szCs w:val="21"/>
              </w:rPr>
              <w:t>1,1-</w:t>
            </w:r>
            <w:r>
              <w:rPr>
                <w:rFonts w:ascii="Times New Roman"/>
                <w:kern w:val="0"/>
                <w:sz w:val="21"/>
                <w:szCs w:val="21"/>
              </w:rPr>
              <w:t>二氯乙烯、顺</w:t>
            </w:r>
            <w:r>
              <w:rPr>
                <w:rFonts w:ascii="Times New Roman" w:hAnsi="Times New Roman"/>
                <w:kern w:val="0"/>
                <w:sz w:val="21"/>
                <w:szCs w:val="21"/>
              </w:rPr>
              <w:t>-1,2-</w:t>
            </w:r>
            <w:r>
              <w:rPr>
                <w:rFonts w:ascii="Times New Roman"/>
                <w:kern w:val="0"/>
                <w:sz w:val="21"/>
                <w:szCs w:val="21"/>
              </w:rPr>
              <w:t>二氯乙烯、反</w:t>
            </w:r>
            <w:r>
              <w:rPr>
                <w:rFonts w:ascii="Times New Roman" w:hAnsi="Times New Roman"/>
                <w:kern w:val="0"/>
                <w:sz w:val="21"/>
                <w:szCs w:val="21"/>
              </w:rPr>
              <w:t>-1,2-</w:t>
            </w:r>
            <w:r>
              <w:rPr>
                <w:rFonts w:ascii="Times New Roman"/>
                <w:kern w:val="0"/>
                <w:sz w:val="21"/>
                <w:szCs w:val="21"/>
              </w:rPr>
              <w:t>二氯乙烯、二氯甲烷、</w:t>
            </w:r>
            <w:r>
              <w:rPr>
                <w:rFonts w:ascii="Times New Roman" w:hAnsi="Times New Roman"/>
                <w:kern w:val="0"/>
                <w:sz w:val="21"/>
                <w:szCs w:val="21"/>
              </w:rPr>
              <w:t>1,2-</w:t>
            </w:r>
            <w:r>
              <w:rPr>
                <w:rFonts w:ascii="Times New Roman"/>
                <w:kern w:val="0"/>
                <w:sz w:val="21"/>
                <w:szCs w:val="21"/>
              </w:rPr>
              <w:t>二氯丙烷、</w:t>
            </w:r>
            <w:r>
              <w:rPr>
                <w:rFonts w:ascii="Times New Roman" w:hAnsi="Times New Roman"/>
                <w:kern w:val="0"/>
                <w:sz w:val="21"/>
                <w:szCs w:val="21"/>
              </w:rPr>
              <w:t>1,1,1,2-</w:t>
            </w:r>
            <w:r>
              <w:rPr>
                <w:rFonts w:ascii="Times New Roman"/>
                <w:kern w:val="0"/>
                <w:sz w:val="21"/>
                <w:szCs w:val="21"/>
              </w:rPr>
              <w:t>四氯乙烷、</w:t>
            </w:r>
            <w:r>
              <w:rPr>
                <w:rFonts w:ascii="Times New Roman" w:hAnsi="Times New Roman"/>
                <w:kern w:val="0"/>
                <w:sz w:val="21"/>
                <w:szCs w:val="21"/>
              </w:rPr>
              <w:t>1,1,2,2-</w:t>
            </w:r>
            <w:r>
              <w:rPr>
                <w:rFonts w:ascii="Times New Roman"/>
                <w:kern w:val="0"/>
                <w:sz w:val="21"/>
                <w:szCs w:val="21"/>
              </w:rPr>
              <w:t>四氯乙烷、四氯乙烯、</w:t>
            </w:r>
            <w:r>
              <w:rPr>
                <w:rFonts w:ascii="Times New Roman" w:hAnsi="Times New Roman"/>
                <w:kern w:val="0"/>
                <w:sz w:val="21"/>
                <w:szCs w:val="21"/>
              </w:rPr>
              <w:t>1,1,1-</w:t>
            </w:r>
            <w:r>
              <w:rPr>
                <w:rFonts w:ascii="Times New Roman"/>
                <w:kern w:val="0"/>
                <w:sz w:val="21"/>
                <w:szCs w:val="21"/>
              </w:rPr>
              <w:t>三氯乙烷、</w:t>
            </w:r>
            <w:r>
              <w:rPr>
                <w:rFonts w:ascii="Times New Roman" w:hAnsi="Times New Roman"/>
                <w:kern w:val="0"/>
                <w:sz w:val="21"/>
                <w:szCs w:val="21"/>
              </w:rPr>
              <w:t>1,1,2-</w:t>
            </w:r>
            <w:r>
              <w:rPr>
                <w:rFonts w:ascii="Times New Roman"/>
                <w:kern w:val="0"/>
                <w:sz w:val="21"/>
                <w:szCs w:val="21"/>
              </w:rPr>
              <w:t>三氯乙烷、三氯乙烯、</w:t>
            </w:r>
            <w:r>
              <w:rPr>
                <w:rFonts w:ascii="Times New Roman" w:hAnsi="Times New Roman"/>
                <w:kern w:val="0"/>
                <w:sz w:val="21"/>
                <w:szCs w:val="21"/>
              </w:rPr>
              <w:t>1,2,3-</w:t>
            </w:r>
            <w:r>
              <w:rPr>
                <w:rFonts w:ascii="Times New Roman"/>
                <w:kern w:val="0"/>
                <w:sz w:val="21"/>
                <w:szCs w:val="21"/>
              </w:rPr>
              <w:t>三氯丙烷、氯乙烯、苯、氯苯、</w:t>
            </w:r>
            <w:r>
              <w:rPr>
                <w:rFonts w:ascii="Times New Roman" w:hAnsi="Times New Roman"/>
                <w:kern w:val="0"/>
                <w:sz w:val="21"/>
                <w:szCs w:val="21"/>
              </w:rPr>
              <w:t>1,2-</w:t>
            </w:r>
            <w:r>
              <w:rPr>
                <w:rFonts w:ascii="Times New Roman"/>
                <w:kern w:val="0"/>
                <w:sz w:val="21"/>
                <w:szCs w:val="21"/>
              </w:rPr>
              <w:t>二氯苯、</w:t>
            </w:r>
            <w:r>
              <w:rPr>
                <w:rFonts w:ascii="Times New Roman" w:hAnsi="Times New Roman"/>
                <w:kern w:val="0"/>
                <w:sz w:val="21"/>
                <w:szCs w:val="21"/>
              </w:rPr>
              <w:t>1,4-</w:t>
            </w:r>
            <w:r>
              <w:rPr>
                <w:rFonts w:ascii="Times New Roman"/>
                <w:kern w:val="0"/>
                <w:sz w:val="21"/>
                <w:szCs w:val="21"/>
              </w:rPr>
              <w:t>二氯苯、乙苯、苯乙烯、甲苯、间二甲苯</w:t>
            </w:r>
            <w:r>
              <w:rPr>
                <w:rFonts w:ascii="Times New Roman" w:hAnsi="Times New Roman"/>
                <w:kern w:val="0"/>
                <w:sz w:val="21"/>
                <w:szCs w:val="21"/>
              </w:rPr>
              <w:t>+</w:t>
            </w:r>
            <w:r>
              <w:rPr>
                <w:rFonts w:ascii="Times New Roman"/>
                <w:kern w:val="0"/>
                <w:sz w:val="21"/>
                <w:szCs w:val="21"/>
              </w:rPr>
              <w:t>对二甲苯、邻二甲苯</w:t>
            </w:r>
          </w:p>
          <w:p w14:paraId="3069706E" w14:textId="77777777" w:rsidR="009C353B" w:rsidRDefault="00000000">
            <w:pPr>
              <w:jc w:val="left"/>
              <w:rPr>
                <w:rFonts w:ascii="Times New Roman" w:hAnsi="Times New Roman"/>
                <w:kern w:val="0"/>
                <w:sz w:val="21"/>
                <w:szCs w:val="21"/>
              </w:rPr>
            </w:pPr>
            <w:r>
              <w:rPr>
                <w:rFonts w:ascii="Times New Roman"/>
                <w:kern w:val="0"/>
                <w:sz w:val="21"/>
                <w:szCs w:val="21"/>
              </w:rPr>
              <w:t>③半挥发性有机物：硝基苯、苯胺、</w:t>
            </w:r>
            <w:r>
              <w:rPr>
                <w:rFonts w:ascii="Times New Roman" w:hAnsi="Times New Roman"/>
                <w:kern w:val="0"/>
                <w:sz w:val="21"/>
                <w:szCs w:val="21"/>
              </w:rPr>
              <w:t>2-</w:t>
            </w:r>
            <w:r>
              <w:rPr>
                <w:rFonts w:ascii="Times New Roman"/>
                <w:kern w:val="0"/>
                <w:sz w:val="21"/>
                <w:szCs w:val="21"/>
              </w:rPr>
              <w:t>氯酚、苯并</w:t>
            </w:r>
            <w:r>
              <w:rPr>
                <w:rFonts w:ascii="Times New Roman" w:hAnsi="Times New Roman"/>
                <w:kern w:val="0"/>
                <w:sz w:val="21"/>
                <w:szCs w:val="21"/>
              </w:rPr>
              <w:t>〔</w:t>
            </w:r>
            <w:r>
              <w:rPr>
                <w:rFonts w:ascii="Times New Roman" w:hAnsi="Times New Roman"/>
                <w:kern w:val="0"/>
                <w:sz w:val="21"/>
                <w:szCs w:val="21"/>
              </w:rPr>
              <w:t>a</w:t>
            </w:r>
            <w:r>
              <w:rPr>
                <w:rFonts w:ascii="Times New Roman" w:hAnsi="Times New Roman"/>
                <w:kern w:val="0"/>
                <w:sz w:val="21"/>
                <w:szCs w:val="21"/>
              </w:rPr>
              <w:t>〕</w:t>
            </w:r>
            <w:r>
              <w:rPr>
                <w:rFonts w:ascii="Times New Roman"/>
                <w:kern w:val="0"/>
                <w:sz w:val="21"/>
                <w:szCs w:val="21"/>
              </w:rPr>
              <w:t>蒽、苯并</w:t>
            </w:r>
            <w:r>
              <w:rPr>
                <w:rFonts w:ascii="Times New Roman" w:hAnsi="Times New Roman"/>
                <w:kern w:val="0"/>
                <w:sz w:val="21"/>
                <w:szCs w:val="21"/>
              </w:rPr>
              <w:t>〔</w:t>
            </w:r>
            <w:r>
              <w:rPr>
                <w:rFonts w:ascii="Times New Roman" w:hAnsi="Times New Roman"/>
                <w:kern w:val="0"/>
                <w:sz w:val="21"/>
                <w:szCs w:val="21"/>
              </w:rPr>
              <w:t>a</w:t>
            </w:r>
            <w:r>
              <w:rPr>
                <w:rFonts w:ascii="Times New Roman" w:hAnsi="Times New Roman"/>
                <w:kern w:val="0"/>
                <w:sz w:val="21"/>
                <w:szCs w:val="21"/>
              </w:rPr>
              <w:t>〕</w:t>
            </w:r>
            <w:r>
              <w:rPr>
                <w:rFonts w:ascii="Times New Roman"/>
                <w:kern w:val="0"/>
                <w:sz w:val="21"/>
                <w:szCs w:val="21"/>
              </w:rPr>
              <w:t>芘、苯并</w:t>
            </w:r>
            <w:r>
              <w:rPr>
                <w:rFonts w:ascii="Times New Roman" w:hAnsi="Times New Roman"/>
                <w:kern w:val="0"/>
                <w:sz w:val="21"/>
                <w:szCs w:val="21"/>
              </w:rPr>
              <w:t>〔</w:t>
            </w:r>
            <w:r>
              <w:rPr>
                <w:rFonts w:ascii="Times New Roman" w:hAnsi="Times New Roman"/>
                <w:kern w:val="0"/>
                <w:sz w:val="21"/>
                <w:szCs w:val="21"/>
              </w:rPr>
              <w:t>b</w:t>
            </w:r>
            <w:r>
              <w:rPr>
                <w:rFonts w:ascii="Times New Roman" w:hAnsi="Times New Roman"/>
                <w:kern w:val="0"/>
                <w:sz w:val="21"/>
                <w:szCs w:val="21"/>
              </w:rPr>
              <w:t>〕</w:t>
            </w:r>
            <w:r>
              <w:rPr>
                <w:rFonts w:ascii="Times New Roman"/>
                <w:kern w:val="0"/>
                <w:sz w:val="21"/>
                <w:szCs w:val="21"/>
              </w:rPr>
              <w:t>荧蒽、苯并</w:t>
            </w:r>
            <w:r>
              <w:rPr>
                <w:rFonts w:ascii="Times New Roman" w:hAnsi="Times New Roman"/>
                <w:kern w:val="0"/>
                <w:sz w:val="21"/>
                <w:szCs w:val="21"/>
              </w:rPr>
              <w:t>〔</w:t>
            </w:r>
            <w:r>
              <w:rPr>
                <w:rFonts w:ascii="Times New Roman" w:hAnsi="Times New Roman"/>
                <w:kern w:val="0"/>
                <w:sz w:val="21"/>
                <w:szCs w:val="21"/>
              </w:rPr>
              <w:t>k</w:t>
            </w:r>
            <w:r>
              <w:rPr>
                <w:rFonts w:ascii="Times New Roman" w:hAnsi="Times New Roman"/>
                <w:kern w:val="0"/>
                <w:sz w:val="21"/>
                <w:szCs w:val="21"/>
              </w:rPr>
              <w:t>〕</w:t>
            </w:r>
            <w:r>
              <w:rPr>
                <w:rFonts w:ascii="Times New Roman"/>
                <w:kern w:val="0"/>
                <w:sz w:val="21"/>
                <w:szCs w:val="21"/>
              </w:rPr>
              <w:t>荧蒽、䓛、二苯并</w:t>
            </w:r>
            <w:r>
              <w:rPr>
                <w:rFonts w:ascii="Times New Roman" w:hAnsi="Times New Roman"/>
                <w:kern w:val="0"/>
                <w:sz w:val="21"/>
                <w:szCs w:val="21"/>
              </w:rPr>
              <w:t>〔</w:t>
            </w:r>
            <w:r>
              <w:rPr>
                <w:rFonts w:ascii="Times New Roman" w:hAnsi="Times New Roman"/>
                <w:kern w:val="0"/>
                <w:sz w:val="21"/>
                <w:szCs w:val="21"/>
              </w:rPr>
              <w:t>a,h</w:t>
            </w:r>
            <w:r>
              <w:rPr>
                <w:rFonts w:ascii="Times New Roman" w:hAnsi="Times New Roman"/>
                <w:kern w:val="0"/>
                <w:sz w:val="21"/>
                <w:szCs w:val="21"/>
              </w:rPr>
              <w:t>〕</w:t>
            </w:r>
            <w:r>
              <w:rPr>
                <w:rFonts w:ascii="Times New Roman"/>
                <w:kern w:val="0"/>
                <w:sz w:val="21"/>
                <w:szCs w:val="21"/>
              </w:rPr>
              <w:t>蒽、茚并</w:t>
            </w:r>
            <w:r>
              <w:rPr>
                <w:rFonts w:ascii="Times New Roman" w:hAnsi="Times New Roman"/>
                <w:kern w:val="0"/>
                <w:sz w:val="21"/>
                <w:szCs w:val="21"/>
              </w:rPr>
              <w:t>〔</w:t>
            </w:r>
            <w:r>
              <w:rPr>
                <w:rFonts w:ascii="Times New Roman" w:hAnsi="Times New Roman"/>
                <w:kern w:val="0"/>
                <w:sz w:val="21"/>
                <w:szCs w:val="21"/>
              </w:rPr>
              <w:t>1,2,3-cd</w:t>
            </w:r>
            <w:r>
              <w:rPr>
                <w:rFonts w:ascii="Times New Roman" w:hAnsi="Times New Roman"/>
                <w:kern w:val="0"/>
                <w:sz w:val="21"/>
                <w:szCs w:val="21"/>
              </w:rPr>
              <w:t>〕</w:t>
            </w:r>
            <w:r>
              <w:rPr>
                <w:rFonts w:ascii="Times New Roman"/>
                <w:kern w:val="0"/>
                <w:sz w:val="21"/>
                <w:szCs w:val="21"/>
              </w:rPr>
              <w:t>芘、萘</w:t>
            </w:r>
          </w:p>
        </w:tc>
      </w:tr>
      <w:tr w:rsidR="009C353B" w14:paraId="68E82F15" w14:textId="77777777">
        <w:trPr>
          <w:trHeight w:val="1260"/>
        </w:trPr>
        <w:tc>
          <w:tcPr>
            <w:tcW w:w="377" w:type="pct"/>
            <w:vAlign w:val="center"/>
          </w:tcPr>
          <w:p w14:paraId="3533117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w:t>
            </w:r>
          </w:p>
        </w:tc>
        <w:tc>
          <w:tcPr>
            <w:tcW w:w="1818" w:type="pct"/>
            <w:shd w:val="clear" w:color="auto" w:fill="auto"/>
            <w:vAlign w:val="center"/>
          </w:tcPr>
          <w:p w14:paraId="0331B9C2" w14:textId="77777777" w:rsidR="009C353B" w:rsidRDefault="00000000">
            <w:pPr>
              <w:widowControl/>
              <w:jc w:val="center"/>
              <w:rPr>
                <w:rFonts w:ascii="Times New Roman" w:hAnsi="Times New Roman"/>
                <w:kern w:val="0"/>
                <w:sz w:val="21"/>
                <w:szCs w:val="21"/>
              </w:rPr>
            </w:pPr>
            <w:r>
              <w:rPr>
                <w:rFonts w:hint="eastAsia"/>
                <w:sz w:val="21"/>
                <w:szCs w:val="21"/>
              </w:rPr>
              <w:t>任家庄工业场地内（水处理站附近）</w:t>
            </w:r>
          </w:p>
        </w:tc>
        <w:tc>
          <w:tcPr>
            <w:tcW w:w="2805" w:type="pct"/>
            <w:vMerge/>
            <w:shd w:val="clear" w:color="auto" w:fill="auto"/>
            <w:vAlign w:val="center"/>
          </w:tcPr>
          <w:p w14:paraId="25AFEB72" w14:textId="77777777" w:rsidR="009C353B" w:rsidRDefault="009C353B">
            <w:pPr>
              <w:jc w:val="left"/>
              <w:rPr>
                <w:rFonts w:ascii="Times New Roman" w:hAnsi="Times New Roman"/>
                <w:kern w:val="0"/>
                <w:sz w:val="21"/>
                <w:szCs w:val="21"/>
              </w:rPr>
            </w:pPr>
          </w:p>
        </w:tc>
      </w:tr>
      <w:tr w:rsidR="009C353B" w14:paraId="6D3E8D82" w14:textId="77777777">
        <w:trPr>
          <w:trHeight w:val="1131"/>
        </w:trPr>
        <w:tc>
          <w:tcPr>
            <w:tcW w:w="377" w:type="pct"/>
            <w:vAlign w:val="center"/>
          </w:tcPr>
          <w:p w14:paraId="2E63321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p>
        </w:tc>
        <w:tc>
          <w:tcPr>
            <w:tcW w:w="1818" w:type="pct"/>
            <w:shd w:val="clear" w:color="auto" w:fill="auto"/>
            <w:vAlign w:val="center"/>
          </w:tcPr>
          <w:p w14:paraId="2E8560B1" w14:textId="77777777" w:rsidR="009C353B" w:rsidRDefault="00000000">
            <w:pPr>
              <w:jc w:val="center"/>
              <w:rPr>
                <w:rFonts w:ascii="Times New Roman" w:hAnsi="Times New Roman"/>
                <w:sz w:val="21"/>
                <w:szCs w:val="21"/>
              </w:rPr>
            </w:pPr>
            <w:r>
              <w:rPr>
                <w:rFonts w:hint="eastAsia"/>
                <w:sz w:val="21"/>
                <w:szCs w:val="21"/>
              </w:rPr>
              <w:t>丁家梁工业场地内</w:t>
            </w:r>
          </w:p>
        </w:tc>
        <w:tc>
          <w:tcPr>
            <w:tcW w:w="2805" w:type="pct"/>
            <w:vMerge/>
            <w:shd w:val="clear" w:color="auto" w:fill="auto"/>
            <w:vAlign w:val="center"/>
          </w:tcPr>
          <w:p w14:paraId="4DDB32F4" w14:textId="77777777" w:rsidR="009C353B" w:rsidRDefault="009C353B">
            <w:pPr>
              <w:jc w:val="left"/>
              <w:rPr>
                <w:rFonts w:ascii="Times New Roman" w:hAnsi="Times New Roman"/>
                <w:kern w:val="0"/>
                <w:sz w:val="21"/>
                <w:szCs w:val="21"/>
              </w:rPr>
            </w:pPr>
          </w:p>
        </w:tc>
      </w:tr>
      <w:tr w:rsidR="009C353B" w14:paraId="58E130B0" w14:textId="77777777">
        <w:trPr>
          <w:trHeight w:val="20"/>
        </w:trPr>
        <w:tc>
          <w:tcPr>
            <w:tcW w:w="377" w:type="pct"/>
            <w:vAlign w:val="center"/>
          </w:tcPr>
          <w:p w14:paraId="13C7B06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w:t>
            </w:r>
          </w:p>
        </w:tc>
        <w:tc>
          <w:tcPr>
            <w:tcW w:w="1818" w:type="pct"/>
            <w:shd w:val="clear" w:color="auto" w:fill="auto"/>
            <w:vAlign w:val="center"/>
          </w:tcPr>
          <w:p w14:paraId="6EC678B0" w14:textId="77777777" w:rsidR="009C353B" w:rsidRDefault="00000000">
            <w:pPr>
              <w:widowControl/>
              <w:jc w:val="center"/>
              <w:rPr>
                <w:rFonts w:ascii="Times New Roman" w:hAnsi="Times New Roman"/>
                <w:kern w:val="0"/>
                <w:sz w:val="21"/>
                <w:szCs w:val="21"/>
              </w:rPr>
            </w:pPr>
            <w:r>
              <w:rPr>
                <w:rFonts w:hint="eastAsia"/>
                <w:sz w:val="21"/>
                <w:szCs w:val="21"/>
              </w:rPr>
              <w:t>马莲台采空区</w:t>
            </w:r>
          </w:p>
        </w:tc>
        <w:tc>
          <w:tcPr>
            <w:tcW w:w="2805" w:type="pct"/>
            <w:vMerge w:val="restart"/>
            <w:shd w:val="clear" w:color="auto" w:fill="auto"/>
            <w:vAlign w:val="center"/>
          </w:tcPr>
          <w:p w14:paraId="4F10F704" w14:textId="77777777" w:rsidR="009C353B" w:rsidRDefault="00000000">
            <w:pPr>
              <w:jc w:val="left"/>
              <w:rPr>
                <w:rFonts w:ascii="Times New Roman" w:hAnsi="Times New Roman"/>
                <w:kern w:val="0"/>
                <w:sz w:val="21"/>
                <w:szCs w:val="21"/>
              </w:rPr>
            </w:pPr>
            <w:r>
              <w:rPr>
                <w:rFonts w:ascii="Times New Roman"/>
                <w:kern w:val="0"/>
                <w:sz w:val="21"/>
                <w:szCs w:val="21"/>
              </w:rPr>
              <w:t>监测点监测因子为：</w:t>
            </w:r>
            <w:r>
              <w:rPr>
                <w:rFonts w:ascii="Times New Roman" w:hAnsi="Times New Roman"/>
                <w:kern w:val="0"/>
                <w:sz w:val="21"/>
                <w:szCs w:val="21"/>
              </w:rPr>
              <w:t>pH</w:t>
            </w:r>
            <w:r>
              <w:rPr>
                <w:rFonts w:ascii="Times New Roman"/>
                <w:kern w:val="0"/>
                <w:sz w:val="21"/>
                <w:szCs w:val="21"/>
              </w:rPr>
              <w:t>、铜、锌、镉、汞、砷、铅、总铬、镍、六价铬；土壤含盐量</w:t>
            </w:r>
            <w:r>
              <w:rPr>
                <w:rFonts w:ascii="Times New Roman" w:hAnsi="Times New Roman"/>
                <w:kern w:val="0"/>
                <w:sz w:val="21"/>
                <w:szCs w:val="21"/>
              </w:rPr>
              <w:t>SSC</w:t>
            </w:r>
          </w:p>
        </w:tc>
      </w:tr>
      <w:tr w:rsidR="009C353B" w14:paraId="14C632BD" w14:textId="77777777">
        <w:trPr>
          <w:trHeight w:val="20"/>
        </w:trPr>
        <w:tc>
          <w:tcPr>
            <w:tcW w:w="377" w:type="pct"/>
            <w:vAlign w:val="center"/>
          </w:tcPr>
          <w:p w14:paraId="5215C0C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w:t>
            </w:r>
          </w:p>
        </w:tc>
        <w:tc>
          <w:tcPr>
            <w:tcW w:w="1818" w:type="pct"/>
            <w:shd w:val="clear" w:color="auto" w:fill="auto"/>
            <w:vAlign w:val="center"/>
          </w:tcPr>
          <w:p w14:paraId="27918143" w14:textId="77777777" w:rsidR="009C353B" w:rsidRDefault="00000000">
            <w:pPr>
              <w:widowControl/>
              <w:jc w:val="center"/>
              <w:rPr>
                <w:rFonts w:ascii="Times New Roman" w:hAnsi="Times New Roman"/>
                <w:kern w:val="0"/>
                <w:sz w:val="21"/>
                <w:szCs w:val="21"/>
              </w:rPr>
            </w:pPr>
            <w:r>
              <w:rPr>
                <w:rFonts w:hint="eastAsia"/>
                <w:sz w:val="21"/>
                <w:szCs w:val="21"/>
              </w:rPr>
              <w:t>任家庄采空区</w:t>
            </w:r>
          </w:p>
        </w:tc>
        <w:tc>
          <w:tcPr>
            <w:tcW w:w="2805" w:type="pct"/>
            <w:vMerge/>
            <w:shd w:val="clear" w:color="auto" w:fill="auto"/>
            <w:vAlign w:val="center"/>
          </w:tcPr>
          <w:p w14:paraId="1418C18E" w14:textId="77777777" w:rsidR="009C353B" w:rsidRDefault="009C353B">
            <w:pPr>
              <w:jc w:val="center"/>
              <w:rPr>
                <w:rFonts w:ascii="Times New Roman" w:hAnsi="Times New Roman"/>
                <w:kern w:val="0"/>
                <w:sz w:val="21"/>
                <w:szCs w:val="21"/>
              </w:rPr>
            </w:pPr>
          </w:p>
        </w:tc>
      </w:tr>
      <w:tr w:rsidR="009C353B" w14:paraId="0B67E321" w14:textId="77777777">
        <w:trPr>
          <w:trHeight w:val="20"/>
        </w:trPr>
        <w:tc>
          <w:tcPr>
            <w:tcW w:w="377" w:type="pct"/>
            <w:vAlign w:val="center"/>
          </w:tcPr>
          <w:p w14:paraId="1295417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r>
              <w:rPr>
                <w:rFonts w:ascii="Times New Roman" w:hAnsi="Times New Roman"/>
                <w:kern w:val="0"/>
                <w:sz w:val="21"/>
                <w:szCs w:val="21"/>
              </w:rPr>
              <w:t>#</w:t>
            </w:r>
          </w:p>
        </w:tc>
        <w:tc>
          <w:tcPr>
            <w:tcW w:w="1818" w:type="pct"/>
            <w:shd w:val="clear" w:color="auto" w:fill="auto"/>
            <w:vAlign w:val="center"/>
          </w:tcPr>
          <w:p w14:paraId="02FC8284" w14:textId="77777777" w:rsidR="009C353B" w:rsidRDefault="00000000">
            <w:pPr>
              <w:jc w:val="center"/>
              <w:rPr>
                <w:rFonts w:ascii="Times New Roman" w:hAnsi="Times New Roman"/>
                <w:sz w:val="21"/>
                <w:szCs w:val="21"/>
              </w:rPr>
            </w:pPr>
            <w:r>
              <w:rPr>
                <w:rFonts w:hint="eastAsia"/>
                <w:sz w:val="21"/>
                <w:szCs w:val="21"/>
              </w:rPr>
              <w:t>马莲台排矸场（已恢复）</w:t>
            </w:r>
          </w:p>
        </w:tc>
        <w:tc>
          <w:tcPr>
            <w:tcW w:w="2805" w:type="pct"/>
            <w:vMerge/>
            <w:shd w:val="clear" w:color="auto" w:fill="auto"/>
            <w:vAlign w:val="center"/>
          </w:tcPr>
          <w:p w14:paraId="2C27BC19" w14:textId="77777777" w:rsidR="009C353B" w:rsidRDefault="009C353B">
            <w:pPr>
              <w:widowControl/>
              <w:jc w:val="center"/>
              <w:rPr>
                <w:rFonts w:ascii="Times New Roman" w:hAnsi="Times New Roman"/>
                <w:kern w:val="0"/>
                <w:sz w:val="21"/>
                <w:szCs w:val="21"/>
              </w:rPr>
            </w:pPr>
          </w:p>
        </w:tc>
      </w:tr>
      <w:tr w:rsidR="009C353B" w14:paraId="463124C3" w14:textId="77777777">
        <w:trPr>
          <w:trHeight w:val="20"/>
        </w:trPr>
        <w:tc>
          <w:tcPr>
            <w:tcW w:w="377" w:type="pct"/>
            <w:vAlign w:val="center"/>
          </w:tcPr>
          <w:p w14:paraId="2B811D8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w:t>
            </w:r>
          </w:p>
        </w:tc>
        <w:tc>
          <w:tcPr>
            <w:tcW w:w="1818" w:type="pct"/>
            <w:shd w:val="clear" w:color="auto" w:fill="auto"/>
            <w:vAlign w:val="center"/>
          </w:tcPr>
          <w:p w14:paraId="13561118" w14:textId="77777777" w:rsidR="009C353B" w:rsidRDefault="00000000">
            <w:pPr>
              <w:jc w:val="center"/>
              <w:rPr>
                <w:rFonts w:ascii="Times New Roman" w:hint="eastAsia"/>
                <w:sz w:val="21"/>
                <w:szCs w:val="21"/>
              </w:rPr>
            </w:pPr>
            <w:r>
              <w:rPr>
                <w:rFonts w:hint="eastAsia"/>
                <w:sz w:val="21"/>
                <w:szCs w:val="21"/>
              </w:rPr>
              <w:t>马莲台排矸场（在用）</w:t>
            </w:r>
          </w:p>
        </w:tc>
        <w:tc>
          <w:tcPr>
            <w:tcW w:w="2805" w:type="pct"/>
            <w:vMerge/>
            <w:shd w:val="clear" w:color="auto" w:fill="auto"/>
            <w:vAlign w:val="center"/>
          </w:tcPr>
          <w:p w14:paraId="67DA8BC6" w14:textId="77777777" w:rsidR="009C353B" w:rsidRDefault="009C353B">
            <w:pPr>
              <w:widowControl/>
              <w:jc w:val="center"/>
              <w:rPr>
                <w:rFonts w:ascii="Times New Roman" w:hAnsi="Times New Roman"/>
                <w:kern w:val="0"/>
                <w:sz w:val="21"/>
                <w:szCs w:val="21"/>
              </w:rPr>
            </w:pPr>
          </w:p>
        </w:tc>
      </w:tr>
      <w:tr w:rsidR="009C353B" w14:paraId="28ABB12B" w14:textId="77777777">
        <w:trPr>
          <w:trHeight w:val="20"/>
        </w:trPr>
        <w:tc>
          <w:tcPr>
            <w:tcW w:w="377" w:type="pct"/>
            <w:vAlign w:val="center"/>
          </w:tcPr>
          <w:p w14:paraId="665C340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w:t>
            </w:r>
          </w:p>
        </w:tc>
        <w:tc>
          <w:tcPr>
            <w:tcW w:w="1818" w:type="pct"/>
            <w:shd w:val="clear" w:color="auto" w:fill="auto"/>
            <w:vAlign w:val="center"/>
          </w:tcPr>
          <w:p w14:paraId="7A445BDC" w14:textId="77777777" w:rsidR="009C353B" w:rsidRDefault="00000000">
            <w:pPr>
              <w:jc w:val="center"/>
              <w:rPr>
                <w:rFonts w:ascii="Times New Roman" w:hint="eastAsia"/>
                <w:sz w:val="21"/>
                <w:szCs w:val="21"/>
              </w:rPr>
            </w:pPr>
            <w:r>
              <w:rPr>
                <w:rFonts w:hint="eastAsia"/>
                <w:sz w:val="21"/>
                <w:szCs w:val="21"/>
              </w:rPr>
              <w:t>任家庄排矸场（已恢复）</w:t>
            </w:r>
          </w:p>
        </w:tc>
        <w:tc>
          <w:tcPr>
            <w:tcW w:w="2805" w:type="pct"/>
            <w:vMerge/>
            <w:shd w:val="clear" w:color="auto" w:fill="auto"/>
            <w:vAlign w:val="center"/>
          </w:tcPr>
          <w:p w14:paraId="2B850208" w14:textId="77777777" w:rsidR="009C353B" w:rsidRDefault="009C353B">
            <w:pPr>
              <w:widowControl/>
              <w:jc w:val="center"/>
              <w:rPr>
                <w:rFonts w:ascii="Times New Roman" w:hAnsi="Times New Roman"/>
                <w:kern w:val="0"/>
                <w:sz w:val="21"/>
                <w:szCs w:val="21"/>
              </w:rPr>
            </w:pPr>
          </w:p>
        </w:tc>
      </w:tr>
      <w:tr w:rsidR="009C353B" w14:paraId="1BF61F5D" w14:textId="77777777">
        <w:trPr>
          <w:trHeight w:val="20"/>
        </w:trPr>
        <w:tc>
          <w:tcPr>
            <w:tcW w:w="377" w:type="pct"/>
            <w:vAlign w:val="center"/>
          </w:tcPr>
          <w:p w14:paraId="5DB8844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w:t>
            </w:r>
          </w:p>
        </w:tc>
        <w:tc>
          <w:tcPr>
            <w:tcW w:w="1818" w:type="pct"/>
            <w:shd w:val="clear" w:color="auto" w:fill="auto"/>
            <w:vAlign w:val="center"/>
          </w:tcPr>
          <w:p w14:paraId="0AB87B55" w14:textId="77777777" w:rsidR="009C353B" w:rsidRDefault="00000000">
            <w:pPr>
              <w:jc w:val="center"/>
              <w:rPr>
                <w:rFonts w:ascii="Times New Roman" w:hint="eastAsia"/>
                <w:sz w:val="21"/>
                <w:szCs w:val="21"/>
              </w:rPr>
            </w:pPr>
            <w:r>
              <w:rPr>
                <w:rFonts w:hint="eastAsia"/>
                <w:sz w:val="21"/>
                <w:szCs w:val="21"/>
              </w:rPr>
              <w:t>丁家梁井田内（未扰动区）</w:t>
            </w:r>
          </w:p>
        </w:tc>
        <w:tc>
          <w:tcPr>
            <w:tcW w:w="2805" w:type="pct"/>
            <w:vMerge/>
            <w:shd w:val="clear" w:color="auto" w:fill="auto"/>
            <w:vAlign w:val="center"/>
          </w:tcPr>
          <w:p w14:paraId="62601AEF" w14:textId="77777777" w:rsidR="009C353B" w:rsidRDefault="009C353B">
            <w:pPr>
              <w:widowControl/>
              <w:jc w:val="center"/>
              <w:rPr>
                <w:rFonts w:ascii="Times New Roman" w:hAnsi="Times New Roman"/>
                <w:kern w:val="0"/>
                <w:sz w:val="21"/>
                <w:szCs w:val="21"/>
              </w:rPr>
            </w:pPr>
          </w:p>
        </w:tc>
      </w:tr>
    </w:tbl>
    <w:p w14:paraId="4C1DF2C6" w14:textId="77777777" w:rsidR="009C353B" w:rsidRDefault="00000000">
      <w:pPr>
        <w:pStyle w:val="affffff0"/>
        <w:adjustRightInd w:val="0"/>
        <w:spacing w:line="440" w:lineRule="exact"/>
        <w:ind w:left="480"/>
        <w:jc w:val="center"/>
        <w:rPr>
          <w:rFonts w:ascii="Times New Roman" w:hint="eastAsia"/>
        </w:rPr>
      </w:pPr>
      <w:r>
        <w:rPr>
          <w:rFonts w:ascii="Times New Roman" w:hint="eastAsia"/>
        </w:rPr>
        <w:t>红石湾项目环评</w:t>
      </w:r>
      <w:r>
        <w:rPr>
          <w:rFonts w:ascii="Times New Roman"/>
        </w:rPr>
        <w:t>土壤环境现状监测点位</w:t>
      </w:r>
    </w:p>
    <w:p w14:paraId="33F7746A" w14:textId="77777777" w:rsidR="009C353B" w:rsidRDefault="00000000">
      <w:pPr>
        <w:adjustRightInd w:val="0"/>
        <w:snapToGrid w:val="0"/>
        <w:spacing w:line="440" w:lineRule="exact"/>
        <w:rPr>
          <w:rFonts w:ascii="Times New Roman" w:hAnsi="Times New Roman"/>
        </w:rPr>
      </w:pPr>
      <w:r>
        <w:rPr>
          <w:rFonts w:ascii="Times New Roman" w:hAnsi="Times New Roman"/>
        </w:rPr>
        <w:t>表</w:t>
      </w:r>
      <w:r>
        <w:rPr>
          <w:rFonts w:ascii="Times New Roman" w:hAnsi="Times New Roman"/>
        </w:rPr>
        <w:t>3.3-13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817"/>
        <w:gridCol w:w="2632"/>
        <w:gridCol w:w="5838"/>
      </w:tblGrid>
      <w:tr w:rsidR="009C353B" w14:paraId="0962FA69" w14:textId="77777777">
        <w:trPr>
          <w:cantSplit/>
          <w:trHeight w:val="365"/>
          <w:jc w:val="center"/>
        </w:trPr>
        <w:tc>
          <w:tcPr>
            <w:tcW w:w="440" w:type="pct"/>
            <w:shd w:val="clear" w:color="auto" w:fill="FFFFFF" w:themeFill="background1"/>
            <w:vAlign w:val="center"/>
          </w:tcPr>
          <w:p w14:paraId="3739E239"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序号</w:t>
            </w:r>
          </w:p>
        </w:tc>
        <w:tc>
          <w:tcPr>
            <w:tcW w:w="1417" w:type="pct"/>
            <w:shd w:val="clear" w:color="auto" w:fill="FFFFFF" w:themeFill="background1"/>
            <w:vAlign w:val="center"/>
          </w:tcPr>
          <w:p w14:paraId="42A864C5"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点位名称</w:t>
            </w:r>
          </w:p>
        </w:tc>
        <w:tc>
          <w:tcPr>
            <w:tcW w:w="3143" w:type="pct"/>
            <w:shd w:val="clear" w:color="auto" w:fill="FFFFFF" w:themeFill="background1"/>
            <w:vAlign w:val="center"/>
          </w:tcPr>
          <w:p w14:paraId="512EBF05"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监测因子</w:t>
            </w:r>
          </w:p>
        </w:tc>
      </w:tr>
      <w:tr w:rsidR="009C353B" w14:paraId="7FF2EEC8" w14:textId="77777777">
        <w:trPr>
          <w:cantSplit/>
          <w:trHeight w:hRule="exact" w:val="454"/>
          <w:jc w:val="center"/>
        </w:trPr>
        <w:tc>
          <w:tcPr>
            <w:tcW w:w="440" w:type="pct"/>
            <w:shd w:val="clear" w:color="auto" w:fill="FFFFFF" w:themeFill="background1"/>
            <w:vAlign w:val="center"/>
          </w:tcPr>
          <w:p w14:paraId="352D4E95"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1#</w:t>
            </w:r>
          </w:p>
        </w:tc>
        <w:tc>
          <w:tcPr>
            <w:tcW w:w="1417" w:type="pct"/>
            <w:vMerge w:val="restart"/>
            <w:shd w:val="clear" w:color="auto" w:fill="FFFFFF" w:themeFill="background1"/>
            <w:vAlign w:val="center"/>
          </w:tcPr>
          <w:p w14:paraId="262C8C10"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矿井工业场地及周边</w:t>
            </w:r>
          </w:p>
        </w:tc>
        <w:tc>
          <w:tcPr>
            <w:tcW w:w="3143" w:type="pct"/>
            <w:vMerge w:val="restart"/>
            <w:shd w:val="clear" w:color="auto" w:fill="FFFFFF" w:themeFill="background1"/>
            <w:vAlign w:val="center"/>
          </w:tcPr>
          <w:p w14:paraId="160604CD" w14:textId="77777777" w:rsidR="009C353B" w:rsidRDefault="00000000">
            <w:pPr>
              <w:adjustRightInd w:val="0"/>
              <w:snapToGrid w:val="0"/>
              <w:rPr>
                <w:rFonts w:ascii="Times New Roman" w:hAnsi="Times New Roman"/>
                <w:sz w:val="21"/>
                <w:szCs w:val="21"/>
              </w:rPr>
            </w:pPr>
            <w:r>
              <w:rPr>
                <w:rFonts w:ascii="Times New Roman" w:hAnsi="Times New Roman" w:hint="eastAsia"/>
                <w:sz w:val="21"/>
                <w:szCs w:val="21"/>
              </w:rPr>
              <w:t>砷、镉、铬</w:t>
            </w:r>
            <w:r>
              <w:rPr>
                <w:rFonts w:ascii="Times New Roman" w:hAnsi="Times New Roman"/>
                <w:sz w:val="21"/>
                <w:szCs w:val="21"/>
              </w:rPr>
              <w:t>（</w:t>
            </w:r>
            <w:r>
              <w:rPr>
                <w:rFonts w:ascii="Times New Roman" w:hAnsi="Times New Roman" w:hint="eastAsia"/>
                <w:sz w:val="21"/>
                <w:szCs w:val="21"/>
              </w:rPr>
              <w:t>六价</w:t>
            </w:r>
            <w:r>
              <w:rPr>
                <w:rFonts w:ascii="Times New Roman" w:hAnsi="Times New Roman"/>
                <w:sz w:val="21"/>
                <w:szCs w:val="21"/>
              </w:rPr>
              <w:t>）</w:t>
            </w:r>
            <w:r>
              <w:rPr>
                <w:rFonts w:ascii="Times New Roman" w:hAnsi="Times New Roman" w:hint="eastAsia"/>
                <w:sz w:val="21"/>
                <w:szCs w:val="21"/>
              </w:rPr>
              <w:t>、铜、铅、汞、镍、四氯化碳、氯仿、氯甲烷、</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1-</w:t>
            </w:r>
            <w:r>
              <w:rPr>
                <w:rFonts w:ascii="Times New Roman" w:hAnsi="Times New Roman" w:hint="eastAsia"/>
                <w:sz w:val="21"/>
                <w:szCs w:val="21"/>
              </w:rPr>
              <w:t>二氯乙烷、</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2-</w:t>
            </w:r>
            <w:r>
              <w:rPr>
                <w:rFonts w:ascii="Times New Roman" w:hAnsi="Times New Roman" w:hint="eastAsia"/>
                <w:sz w:val="21"/>
                <w:szCs w:val="21"/>
              </w:rPr>
              <w:t>二氯乙烷、</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1-</w:t>
            </w:r>
            <w:r>
              <w:rPr>
                <w:rFonts w:ascii="Times New Roman" w:hAnsi="Times New Roman" w:hint="eastAsia"/>
                <w:sz w:val="21"/>
                <w:szCs w:val="21"/>
              </w:rPr>
              <w:t>二氯乙烯、顺</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2-</w:t>
            </w:r>
            <w:r>
              <w:rPr>
                <w:rFonts w:ascii="Times New Roman" w:hAnsi="Times New Roman" w:hint="eastAsia"/>
                <w:sz w:val="21"/>
                <w:szCs w:val="21"/>
              </w:rPr>
              <w:t>二氯乙烯、反</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2-</w:t>
            </w:r>
            <w:r>
              <w:rPr>
                <w:rFonts w:ascii="Times New Roman" w:hAnsi="Times New Roman" w:hint="eastAsia"/>
                <w:sz w:val="21"/>
                <w:szCs w:val="21"/>
              </w:rPr>
              <w:t>二氯乙烯、二氯甲烷、</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2-</w:t>
            </w:r>
            <w:r>
              <w:rPr>
                <w:rFonts w:ascii="Times New Roman" w:hAnsi="Times New Roman" w:hint="eastAsia"/>
                <w:sz w:val="21"/>
                <w:szCs w:val="21"/>
              </w:rPr>
              <w:t>二氯丙烷、</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2-</w:t>
            </w:r>
            <w:r>
              <w:rPr>
                <w:rFonts w:ascii="Times New Roman" w:hAnsi="Times New Roman" w:hint="eastAsia"/>
                <w:sz w:val="21"/>
                <w:szCs w:val="21"/>
              </w:rPr>
              <w:t>四氯乙烷、</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2</w:t>
            </w:r>
            <w:r>
              <w:rPr>
                <w:rFonts w:ascii="Times New Roman" w:hAnsi="Times New Roman"/>
                <w:sz w:val="21"/>
                <w:szCs w:val="21"/>
              </w:rPr>
              <w:t>，</w:t>
            </w:r>
            <w:r>
              <w:rPr>
                <w:rFonts w:ascii="Times New Roman" w:hAnsi="Times New Roman"/>
                <w:sz w:val="21"/>
                <w:szCs w:val="21"/>
              </w:rPr>
              <w:t>2-</w:t>
            </w:r>
            <w:r>
              <w:rPr>
                <w:rFonts w:ascii="Times New Roman" w:hAnsi="Times New Roman" w:hint="eastAsia"/>
                <w:sz w:val="21"/>
                <w:szCs w:val="21"/>
              </w:rPr>
              <w:t>四氯乙烷、四氯乙烯、</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1-</w:t>
            </w:r>
            <w:r>
              <w:rPr>
                <w:rFonts w:ascii="Times New Roman" w:hAnsi="Times New Roman" w:hint="eastAsia"/>
                <w:sz w:val="21"/>
                <w:szCs w:val="21"/>
              </w:rPr>
              <w:t>三氯乙烷、</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2-</w:t>
            </w:r>
            <w:r>
              <w:rPr>
                <w:rFonts w:ascii="Times New Roman" w:hAnsi="Times New Roman" w:hint="eastAsia"/>
                <w:sz w:val="21"/>
                <w:szCs w:val="21"/>
              </w:rPr>
              <w:t>三氯乙烷、三氯乙烯、</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2</w:t>
            </w:r>
            <w:r>
              <w:rPr>
                <w:rFonts w:ascii="Times New Roman" w:hAnsi="Times New Roman"/>
                <w:sz w:val="21"/>
                <w:szCs w:val="21"/>
              </w:rPr>
              <w:t>，</w:t>
            </w:r>
            <w:r>
              <w:rPr>
                <w:rFonts w:ascii="Times New Roman" w:hAnsi="Times New Roman"/>
                <w:sz w:val="21"/>
                <w:szCs w:val="21"/>
              </w:rPr>
              <w:t>3-</w:t>
            </w:r>
            <w:r>
              <w:rPr>
                <w:rFonts w:ascii="Times New Roman" w:hAnsi="Times New Roman" w:hint="eastAsia"/>
                <w:sz w:val="21"/>
                <w:szCs w:val="21"/>
              </w:rPr>
              <w:t>三氯丙烷、氯乙烯、苯、氯苯、</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2-</w:t>
            </w:r>
            <w:r>
              <w:rPr>
                <w:rFonts w:ascii="Times New Roman" w:hAnsi="Times New Roman" w:hint="eastAsia"/>
                <w:sz w:val="21"/>
                <w:szCs w:val="21"/>
              </w:rPr>
              <w:t>二氯苯、</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4-</w:t>
            </w:r>
            <w:r>
              <w:rPr>
                <w:rFonts w:ascii="Times New Roman" w:hAnsi="Times New Roman" w:hint="eastAsia"/>
                <w:sz w:val="21"/>
                <w:szCs w:val="21"/>
              </w:rPr>
              <w:t>二氯苯、乙苯、苯乙烯、甲苯、间二甲苯</w:t>
            </w:r>
            <w:r>
              <w:rPr>
                <w:rFonts w:ascii="Times New Roman" w:hAnsi="Times New Roman"/>
                <w:sz w:val="21"/>
                <w:szCs w:val="21"/>
              </w:rPr>
              <w:t>+</w:t>
            </w:r>
            <w:r>
              <w:rPr>
                <w:rFonts w:ascii="Times New Roman" w:hAnsi="Times New Roman" w:hint="eastAsia"/>
                <w:sz w:val="21"/>
                <w:szCs w:val="21"/>
              </w:rPr>
              <w:t>对二甲苯、邻二甲苯、硝基苯、苯胺、</w:t>
            </w:r>
            <w:r>
              <w:rPr>
                <w:rFonts w:ascii="Times New Roman" w:hAnsi="Times New Roman"/>
                <w:sz w:val="21"/>
                <w:szCs w:val="21"/>
              </w:rPr>
              <w:t>2-</w:t>
            </w:r>
            <w:r>
              <w:rPr>
                <w:rFonts w:ascii="Times New Roman" w:hAnsi="Times New Roman" w:hint="eastAsia"/>
                <w:sz w:val="21"/>
                <w:szCs w:val="21"/>
              </w:rPr>
              <w:t>氯酚、苯并</w:t>
            </w:r>
            <w:r>
              <w:rPr>
                <w:rFonts w:ascii="Times New Roman" w:hAnsi="Times New Roman"/>
                <w:sz w:val="21"/>
                <w:szCs w:val="21"/>
              </w:rPr>
              <w:t>〔</w:t>
            </w:r>
            <w:r>
              <w:rPr>
                <w:rFonts w:ascii="Times New Roman" w:hAnsi="Times New Roman"/>
                <w:sz w:val="21"/>
                <w:szCs w:val="21"/>
              </w:rPr>
              <w:t>a</w:t>
            </w:r>
            <w:r>
              <w:rPr>
                <w:rFonts w:ascii="Times New Roman" w:hAnsi="Times New Roman"/>
                <w:sz w:val="21"/>
                <w:szCs w:val="21"/>
              </w:rPr>
              <w:t>〕</w:t>
            </w:r>
            <w:r>
              <w:rPr>
                <w:rFonts w:ascii="Times New Roman" w:hAnsi="Times New Roman" w:hint="eastAsia"/>
                <w:sz w:val="21"/>
                <w:szCs w:val="21"/>
              </w:rPr>
              <w:t>蒽、苯并</w:t>
            </w:r>
            <w:r>
              <w:rPr>
                <w:rFonts w:ascii="Times New Roman" w:hAnsi="Times New Roman"/>
                <w:sz w:val="21"/>
                <w:szCs w:val="21"/>
              </w:rPr>
              <w:t>〔</w:t>
            </w:r>
            <w:r>
              <w:rPr>
                <w:rFonts w:ascii="Times New Roman" w:hAnsi="Times New Roman"/>
                <w:sz w:val="21"/>
                <w:szCs w:val="21"/>
              </w:rPr>
              <w:t>a</w:t>
            </w:r>
            <w:r>
              <w:rPr>
                <w:rFonts w:ascii="Times New Roman" w:hAnsi="Times New Roman"/>
                <w:sz w:val="21"/>
                <w:szCs w:val="21"/>
              </w:rPr>
              <w:t>〕</w:t>
            </w:r>
            <w:r>
              <w:rPr>
                <w:rFonts w:ascii="Times New Roman" w:hAnsi="Times New Roman" w:hint="eastAsia"/>
                <w:sz w:val="21"/>
                <w:szCs w:val="21"/>
              </w:rPr>
              <w:t>芘、苯并</w:t>
            </w:r>
            <w:r>
              <w:rPr>
                <w:rFonts w:ascii="Times New Roman" w:hAnsi="Times New Roman"/>
                <w:sz w:val="21"/>
                <w:szCs w:val="21"/>
              </w:rPr>
              <w:t>〔</w:t>
            </w:r>
            <w:r>
              <w:rPr>
                <w:rFonts w:ascii="Times New Roman" w:hAnsi="Times New Roman"/>
                <w:sz w:val="21"/>
                <w:szCs w:val="21"/>
              </w:rPr>
              <w:t>b</w:t>
            </w:r>
            <w:r>
              <w:rPr>
                <w:rFonts w:ascii="Times New Roman" w:hAnsi="Times New Roman"/>
                <w:sz w:val="21"/>
                <w:szCs w:val="21"/>
              </w:rPr>
              <w:t>〕</w:t>
            </w:r>
            <w:r>
              <w:rPr>
                <w:rFonts w:ascii="Times New Roman" w:hAnsi="Times New Roman" w:hint="eastAsia"/>
                <w:sz w:val="21"/>
                <w:szCs w:val="21"/>
              </w:rPr>
              <w:t>荧蒽、苯并</w:t>
            </w:r>
            <w:r>
              <w:rPr>
                <w:rFonts w:ascii="Times New Roman" w:hAnsi="Times New Roman"/>
                <w:sz w:val="21"/>
                <w:szCs w:val="21"/>
              </w:rPr>
              <w:t>〔</w:t>
            </w:r>
            <w:r>
              <w:rPr>
                <w:rFonts w:ascii="Times New Roman" w:hAnsi="Times New Roman"/>
                <w:sz w:val="21"/>
                <w:szCs w:val="21"/>
              </w:rPr>
              <w:t>k</w:t>
            </w:r>
            <w:r>
              <w:rPr>
                <w:rFonts w:ascii="Times New Roman" w:hAnsi="Times New Roman"/>
                <w:sz w:val="21"/>
                <w:szCs w:val="21"/>
              </w:rPr>
              <w:t>〕</w:t>
            </w:r>
            <w:r>
              <w:rPr>
                <w:rFonts w:ascii="Times New Roman" w:hAnsi="Times New Roman" w:hint="eastAsia"/>
                <w:sz w:val="21"/>
                <w:szCs w:val="21"/>
              </w:rPr>
              <w:t>荧蒽、䓛、二苯并</w:t>
            </w:r>
            <w:r>
              <w:rPr>
                <w:rFonts w:ascii="Times New Roman" w:hAnsi="Times New Roman"/>
                <w:sz w:val="21"/>
                <w:szCs w:val="21"/>
              </w:rPr>
              <w:t>〔</w:t>
            </w:r>
            <w:r>
              <w:rPr>
                <w:rFonts w:ascii="Times New Roman" w:hAnsi="Times New Roman"/>
                <w:sz w:val="21"/>
                <w:szCs w:val="21"/>
              </w:rPr>
              <w:t>a</w:t>
            </w:r>
            <w:r>
              <w:rPr>
                <w:rFonts w:ascii="Times New Roman" w:hAnsi="Times New Roman"/>
                <w:sz w:val="21"/>
                <w:szCs w:val="21"/>
              </w:rPr>
              <w:t>，</w:t>
            </w:r>
            <w:r>
              <w:rPr>
                <w:rFonts w:ascii="Times New Roman" w:hAnsi="Times New Roman"/>
                <w:sz w:val="21"/>
                <w:szCs w:val="21"/>
              </w:rPr>
              <w:t>h</w:t>
            </w:r>
            <w:r>
              <w:rPr>
                <w:rFonts w:ascii="Times New Roman" w:hAnsi="Times New Roman"/>
                <w:sz w:val="21"/>
                <w:szCs w:val="21"/>
              </w:rPr>
              <w:t>〕</w:t>
            </w:r>
            <w:r>
              <w:rPr>
                <w:rFonts w:ascii="Times New Roman" w:hAnsi="Times New Roman" w:hint="eastAsia"/>
                <w:sz w:val="21"/>
                <w:szCs w:val="21"/>
              </w:rPr>
              <w:t>蒽、茚并</w:t>
            </w:r>
            <w:r>
              <w:rPr>
                <w:rFonts w:ascii="Times New Roman" w:hAnsi="Times New Roman"/>
                <w:sz w:val="21"/>
                <w:szCs w:val="21"/>
              </w:rPr>
              <w:t>〔</w:t>
            </w:r>
            <w:r>
              <w:rPr>
                <w:rFonts w:ascii="Times New Roman" w:hAnsi="Times New Roman"/>
                <w:sz w:val="21"/>
                <w:szCs w:val="21"/>
              </w:rPr>
              <w:t>1</w:t>
            </w:r>
            <w:r>
              <w:rPr>
                <w:rFonts w:ascii="Times New Roman" w:hAnsi="Times New Roman"/>
                <w:sz w:val="21"/>
                <w:szCs w:val="21"/>
              </w:rPr>
              <w:t>，</w:t>
            </w:r>
            <w:r>
              <w:rPr>
                <w:rFonts w:ascii="Times New Roman" w:hAnsi="Times New Roman"/>
                <w:sz w:val="21"/>
                <w:szCs w:val="21"/>
              </w:rPr>
              <w:t>2</w:t>
            </w:r>
            <w:r>
              <w:rPr>
                <w:rFonts w:ascii="Times New Roman" w:hAnsi="Times New Roman"/>
                <w:sz w:val="21"/>
                <w:szCs w:val="21"/>
              </w:rPr>
              <w:t>，</w:t>
            </w:r>
            <w:r>
              <w:rPr>
                <w:rFonts w:ascii="Times New Roman" w:hAnsi="Times New Roman"/>
                <w:sz w:val="21"/>
                <w:szCs w:val="21"/>
              </w:rPr>
              <w:t>3-cd</w:t>
            </w:r>
            <w:r>
              <w:rPr>
                <w:rFonts w:ascii="Times New Roman" w:hAnsi="Times New Roman"/>
                <w:sz w:val="21"/>
                <w:szCs w:val="21"/>
              </w:rPr>
              <w:t>〕</w:t>
            </w:r>
            <w:r>
              <w:rPr>
                <w:rFonts w:ascii="Times New Roman" w:hAnsi="Times New Roman" w:hint="eastAsia"/>
                <w:sz w:val="21"/>
                <w:szCs w:val="21"/>
              </w:rPr>
              <w:t>芘、萘</w:t>
            </w:r>
          </w:p>
        </w:tc>
      </w:tr>
      <w:tr w:rsidR="009C353B" w14:paraId="2DFE7C26" w14:textId="77777777">
        <w:trPr>
          <w:cantSplit/>
          <w:trHeight w:hRule="exact" w:val="454"/>
          <w:jc w:val="center"/>
        </w:trPr>
        <w:tc>
          <w:tcPr>
            <w:tcW w:w="440" w:type="pct"/>
            <w:shd w:val="clear" w:color="auto" w:fill="FFFFFF" w:themeFill="background1"/>
            <w:vAlign w:val="center"/>
          </w:tcPr>
          <w:p w14:paraId="25BF6558"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w:t>
            </w:r>
          </w:p>
        </w:tc>
        <w:tc>
          <w:tcPr>
            <w:tcW w:w="1417" w:type="pct"/>
            <w:vMerge/>
            <w:shd w:val="clear" w:color="auto" w:fill="FFFFFF" w:themeFill="background1"/>
            <w:vAlign w:val="center"/>
          </w:tcPr>
          <w:p w14:paraId="3A9FB005" w14:textId="77777777" w:rsidR="009C353B" w:rsidRDefault="009C353B">
            <w:pPr>
              <w:adjustRightInd w:val="0"/>
              <w:snapToGrid w:val="0"/>
              <w:spacing w:line="440" w:lineRule="exact"/>
              <w:jc w:val="center"/>
              <w:rPr>
                <w:rFonts w:ascii="Times New Roman" w:hAnsi="Times New Roman"/>
                <w:sz w:val="21"/>
                <w:szCs w:val="21"/>
              </w:rPr>
            </w:pPr>
          </w:p>
        </w:tc>
        <w:tc>
          <w:tcPr>
            <w:tcW w:w="3143" w:type="pct"/>
            <w:vMerge/>
            <w:shd w:val="clear" w:color="auto" w:fill="FFFFFF" w:themeFill="background1"/>
            <w:vAlign w:val="center"/>
          </w:tcPr>
          <w:p w14:paraId="1B307B7F" w14:textId="77777777" w:rsidR="009C353B" w:rsidRDefault="009C353B">
            <w:pPr>
              <w:adjustRightInd w:val="0"/>
              <w:snapToGrid w:val="0"/>
              <w:rPr>
                <w:rFonts w:ascii="Times New Roman" w:hAnsi="Times New Roman"/>
                <w:sz w:val="21"/>
                <w:szCs w:val="21"/>
              </w:rPr>
            </w:pPr>
          </w:p>
        </w:tc>
      </w:tr>
      <w:tr w:rsidR="009C353B" w14:paraId="73136037" w14:textId="77777777">
        <w:trPr>
          <w:cantSplit/>
          <w:trHeight w:hRule="exact" w:val="454"/>
          <w:jc w:val="center"/>
        </w:trPr>
        <w:tc>
          <w:tcPr>
            <w:tcW w:w="440" w:type="pct"/>
            <w:shd w:val="clear" w:color="auto" w:fill="FFFFFF" w:themeFill="background1"/>
            <w:vAlign w:val="center"/>
          </w:tcPr>
          <w:p w14:paraId="16ED7C73"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3#</w:t>
            </w:r>
          </w:p>
        </w:tc>
        <w:tc>
          <w:tcPr>
            <w:tcW w:w="1417" w:type="pct"/>
            <w:vMerge/>
            <w:shd w:val="clear" w:color="auto" w:fill="FFFFFF" w:themeFill="background1"/>
            <w:vAlign w:val="center"/>
          </w:tcPr>
          <w:p w14:paraId="2FCBF58F" w14:textId="77777777" w:rsidR="009C353B" w:rsidRDefault="009C353B">
            <w:pPr>
              <w:adjustRightInd w:val="0"/>
              <w:snapToGrid w:val="0"/>
              <w:spacing w:line="440" w:lineRule="exact"/>
              <w:jc w:val="center"/>
              <w:rPr>
                <w:rFonts w:ascii="Times New Roman" w:hAnsi="Times New Roman"/>
                <w:sz w:val="21"/>
                <w:szCs w:val="21"/>
              </w:rPr>
            </w:pPr>
          </w:p>
        </w:tc>
        <w:tc>
          <w:tcPr>
            <w:tcW w:w="3143" w:type="pct"/>
            <w:vMerge/>
            <w:shd w:val="clear" w:color="auto" w:fill="FFFFFF" w:themeFill="background1"/>
            <w:vAlign w:val="center"/>
          </w:tcPr>
          <w:p w14:paraId="3E98481D" w14:textId="77777777" w:rsidR="009C353B" w:rsidRDefault="009C353B">
            <w:pPr>
              <w:adjustRightInd w:val="0"/>
              <w:snapToGrid w:val="0"/>
              <w:rPr>
                <w:rFonts w:ascii="Times New Roman" w:hAnsi="Times New Roman"/>
                <w:sz w:val="21"/>
                <w:szCs w:val="21"/>
              </w:rPr>
            </w:pPr>
          </w:p>
        </w:tc>
      </w:tr>
      <w:tr w:rsidR="009C353B" w14:paraId="5D7F55DA" w14:textId="77777777">
        <w:trPr>
          <w:cantSplit/>
          <w:trHeight w:hRule="exact" w:val="454"/>
          <w:jc w:val="center"/>
        </w:trPr>
        <w:tc>
          <w:tcPr>
            <w:tcW w:w="440" w:type="pct"/>
            <w:shd w:val="clear" w:color="auto" w:fill="FFFFFF" w:themeFill="background1"/>
            <w:vAlign w:val="center"/>
          </w:tcPr>
          <w:p w14:paraId="495F1C76"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4#</w:t>
            </w:r>
          </w:p>
        </w:tc>
        <w:tc>
          <w:tcPr>
            <w:tcW w:w="1417" w:type="pct"/>
            <w:vMerge w:val="restart"/>
            <w:shd w:val="clear" w:color="auto" w:fill="FFFFFF" w:themeFill="background1"/>
            <w:vAlign w:val="center"/>
          </w:tcPr>
          <w:p w14:paraId="60D3A5B8"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排矸场及周边</w:t>
            </w:r>
          </w:p>
        </w:tc>
        <w:tc>
          <w:tcPr>
            <w:tcW w:w="3143" w:type="pct"/>
            <w:vMerge/>
            <w:shd w:val="clear" w:color="auto" w:fill="FFFFFF" w:themeFill="background1"/>
            <w:vAlign w:val="center"/>
          </w:tcPr>
          <w:p w14:paraId="32896F4B" w14:textId="77777777" w:rsidR="009C353B" w:rsidRDefault="009C353B">
            <w:pPr>
              <w:adjustRightInd w:val="0"/>
              <w:snapToGrid w:val="0"/>
              <w:rPr>
                <w:rFonts w:ascii="Times New Roman" w:hAnsi="Times New Roman"/>
                <w:sz w:val="21"/>
                <w:szCs w:val="21"/>
              </w:rPr>
            </w:pPr>
          </w:p>
        </w:tc>
      </w:tr>
      <w:tr w:rsidR="009C353B" w14:paraId="19287EE7" w14:textId="77777777">
        <w:trPr>
          <w:cantSplit/>
          <w:trHeight w:hRule="exact" w:val="454"/>
          <w:jc w:val="center"/>
        </w:trPr>
        <w:tc>
          <w:tcPr>
            <w:tcW w:w="440" w:type="pct"/>
            <w:shd w:val="clear" w:color="auto" w:fill="FFFFFF" w:themeFill="background1"/>
            <w:vAlign w:val="center"/>
          </w:tcPr>
          <w:p w14:paraId="790D8294"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5#</w:t>
            </w:r>
          </w:p>
        </w:tc>
        <w:tc>
          <w:tcPr>
            <w:tcW w:w="1417" w:type="pct"/>
            <w:vMerge/>
            <w:shd w:val="clear" w:color="auto" w:fill="FFFFFF" w:themeFill="background1"/>
            <w:vAlign w:val="center"/>
          </w:tcPr>
          <w:p w14:paraId="165767AC" w14:textId="77777777" w:rsidR="009C353B" w:rsidRDefault="009C353B">
            <w:pPr>
              <w:adjustRightInd w:val="0"/>
              <w:snapToGrid w:val="0"/>
              <w:spacing w:line="440" w:lineRule="exact"/>
              <w:rPr>
                <w:rFonts w:ascii="Times New Roman" w:hAnsi="Times New Roman"/>
                <w:sz w:val="21"/>
                <w:szCs w:val="21"/>
              </w:rPr>
            </w:pPr>
          </w:p>
        </w:tc>
        <w:tc>
          <w:tcPr>
            <w:tcW w:w="3143" w:type="pct"/>
            <w:vMerge/>
            <w:shd w:val="clear" w:color="auto" w:fill="FFFFFF" w:themeFill="background1"/>
            <w:vAlign w:val="center"/>
          </w:tcPr>
          <w:p w14:paraId="3230E75C" w14:textId="77777777" w:rsidR="009C353B" w:rsidRDefault="009C353B">
            <w:pPr>
              <w:adjustRightInd w:val="0"/>
              <w:snapToGrid w:val="0"/>
              <w:rPr>
                <w:rFonts w:ascii="Times New Roman" w:hAnsi="Times New Roman"/>
                <w:sz w:val="21"/>
                <w:szCs w:val="21"/>
              </w:rPr>
            </w:pPr>
          </w:p>
        </w:tc>
      </w:tr>
      <w:tr w:rsidR="009C353B" w14:paraId="5EC0F1C0" w14:textId="77777777">
        <w:trPr>
          <w:cantSplit/>
          <w:trHeight w:hRule="exact" w:val="454"/>
          <w:jc w:val="center"/>
        </w:trPr>
        <w:tc>
          <w:tcPr>
            <w:tcW w:w="440" w:type="pct"/>
            <w:shd w:val="clear" w:color="auto" w:fill="FFFFFF" w:themeFill="background1"/>
            <w:vAlign w:val="center"/>
          </w:tcPr>
          <w:p w14:paraId="41992C86"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6#</w:t>
            </w:r>
          </w:p>
        </w:tc>
        <w:tc>
          <w:tcPr>
            <w:tcW w:w="1417" w:type="pct"/>
            <w:vMerge/>
            <w:shd w:val="clear" w:color="auto" w:fill="FFFFFF" w:themeFill="background1"/>
            <w:vAlign w:val="center"/>
          </w:tcPr>
          <w:p w14:paraId="2C4DEAE5" w14:textId="77777777" w:rsidR="009C353B" w:rsidRDefault="009C353B">
            <w:pPr>
              <w:adjustRightInd w:val="0"/>
              <w:snapToGrid w:val="0"/>
              <w:spacing w:line="440" w:lineRule="exact"/>
              <w:rPr>
                <w:rFonts w:ascii="Times New Roman" w:hAnsi="Times New Roman"/>
                <w:sz w:val="21"/>
                <w:szCs w:val="21"/>
              </w:rPr>
            </w:pPr>
          </w:p>
        </w:tc>
        <w:tc>
          <w:tcPr>
            <w:tcW w:w="3143" w:type="pct"/>
            <w:vMerge/>
            <w:shd w:val="clear" w:color="auto" w:fill="FFFFFF" w:themeFill="background1"/>
            <w:vAlign w:val="center"/>
          </w:tcPr>
          <w:p w14:paraId="44392157" w14:textId="77777777" w:rsidR="009C353B" w:rsidRDefault="009C353B">
            <w:pPr>
              <w:adjustRightInd w:val="0"/>
              <w:snapToGrid w:val="0"/>
              <w:rPr>
                <w:rFonts w:ascii="Times New Roman" w:hAnsi="Times New Roman"/>
                <w:sz w:val="21"/>
                <w:szCs w:val="21"/>
              </w:rPr>
            </w:pPr>
          </w:p>
        </w:tc>
      </w:tr>
    </w:tbl>
    <w:p w14:paraId="2B07493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2</w:t>
      </w:r>
      <w:r>
        <w:rPr>
          <w:rFonts w:ascii="Times New Roman" w:hAnsi="Times New Roman"/>
        </w:rPr>
        <w:t>）监测时间及监测频率</w:t>
      </w:r>
    </w:p>
    <w:p w14:paraId="51907D2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红石湾产能核增环评监测时间为：</w:t>
      </w:r>
      <w:r>
        <w:rPr>
          <w:rFonts w:ascii="Times New Roman" w:hAnsi="Times New Roman"/>
        </w:rPr>
        <w:t>2020</w:t>
      </w:r>
      <w:r>
        <w:rPr>
          <w:rFonts w:ascii="Times New Roman" w:hAnsi="Times New Roman" w:hint="eastAsia"/>
        </w:rPr>
        <w:t>年</w:t>
      </w:r>
      <w:r>
        <w:rPr>
          <w:rFonts w:ascii="Times New Roman" w:hAnsi="Times New Roman"/>
        </w:rPr>
        <w:t>3</w:t>
      </w:r>
      <w:r>
        <w:rPr>
          <w:rFonts w:ascii="Times New Roman" w:hAnsi="Times New Roman" w:hint="eastAsia"/>
        </w:rPr>
        <w:t>月</w:t>
      </w:r>
      <w:r>
        <w:rPr>
          <w:rFonts w:ascii="Times New Roman" w:hAnsi="Times New Roman"/>
        </w:rPr>
        <w:t>4</w:t>
      </w:r>
      <w:r>
        <w:rPr>
          <w:rFonts w:ascii="Times New Roman" w:hAnsi="Times New Roman" w:hint="eastAsia"/>
        </w:rPr>
        <w:t>日～</w:t>
      </w:r>
      <w:r>
        <w:rPr>
          <w:rFonts w:ascii="Times New Roman" w:hAnsi="Times New Roman"/>
        </w:rPr>
        <w:t>3</w:t>
      </w:r>
      <w:r>
        <w:rPr>
          <w:rFonts w:ascii="Times New Roman" w:hAnsi="Times New Roman" w:hint="eastAsia"/>
        </w:rPr>
        <w:t>月</w:t>
      </w:r>
      <w:r>
        <w:rPr>
          <w:rFonts w:ascii="Times New Roman" w:hAnsi="Times New Roman"/>
        </w:rPr>
        <w:t>5</w:t>
      </w:r>
      <w:r>
        <w:rPr>
          <w:rFonts w:ascii="Times New Roman" w:hAnsi="Times New Roman" w:hint="eastAsia"/>
        </w:rPr>
        <w:t>日，监测一次；</w:t>
      </w:r>
    </w:p>
    <w:p w14:paraId="2F1D0CA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本次评价监测时间为：</w:t>
      </w:r>
      <w:r>
        <w:rPr>
          <w:rFonts w:ascii="Times New Roman" w:hAnsi="Times New Roman"/>
        </w:rPr>
        <w:t>2020</w:t>
      </w:r>
      <w:r>
        <w:rPr>
          <w:rFonts w:ascii="Times New Roman" w:hAnsi="Times New Roman" w:hint="eastAsia"/>
        </w:rPr>
        <w:t>年</w:t>
      </w:r>
      <w:r>
        <w:rPr>
          <w:rFonts w:ascii="Times New Roman" w:hAnsi="Times New Roman"/>
        </w:rPr>
        <w:t>7</w:t>
      </w:r>
      <w:r>
        <w:rPr>
          <w:rFonts w:ascii="Times New Roman" w:hAnsi="Times New Roman" w:hint="eastAsia"/>
        </w:rPr>
        <w:t>月</w:t>
      </w:r>
      <w:r>
        <w:rPr>
          <w:rFonts w:ascii="Times New Roman" w:hAnsi="Times New Roman"/>
        </w:rPr>
        <w:t>23</w:t>
      </w:r>
      <w:r>
        <w:rPr>
          <w:rFonts w:ascii="Times New Roman" w:hAnsi="Times New Roman" w:hint="eastAsia"/>
        </w:rPr>
        <w:t>日～</w:t>
      </w:r>
      <w:r>
        <w:rPr>
          <w:rFonts w:ascii="Times New Roman" w:hAnsi="Times New Roman"/>
        </w:rPr>
        <w:t>7</w:t>
      </w:r>
      <w:r>
        <w:rPr>
          <w:rFonts w:ascii="Times New Roman" w:hAnsi="Times New Roman" w:hint="eastAsia"/>
        </w:rPr>
        <w:t>月</w:t>
      </w:r>
      <w:r>
        <w:rPr>
          <w:rFonts w:ascii="Times New Roman" w:hAnsi="Times New Roman"/>
        </w:rPr>
        <w:t>24</w:t>
      </w:r>
      <w:r>
        <w:rPr>
          <w:rFonts w:ascii="Times New Roman" w:hAnsi="Times New Roman" w:hint="eastAsia"/>
        </w:rPr>
        <w:t>日，监测一次。</w:t>
      </w:r>
    </w:p>
    <w:p w14:paraId="087BC00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）监测结果统计及评价</w:t>
      </w:r>
    </w:p>
    <w:p w14:paraId="0E81D5E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本次监测及分析结果见表</w:t>
      </w:r>
      <w:r>
        <w:rPr>
          <w:rFonts w:ascii="Times New Roman" w:hAnsi="Times New Roman"/>
        </w:rPr>
        <w:t>3.</w:t>
      </w:r>
      <w:r>
        <w:rPr>
          <w:rFonts w:ascii="Times New Roman" w:hAnsi="Times New Roman" w:hint="eastAsia"/>
        </w:rPr>
        <w:t>3-14</w:t>
      </w:r>
      <w:r>
        <w:rPr>
          <w:rFonts w:ascii="Times New Roman" w:hAnsi="Times New Roman" w:hint="eastAsia"/>
        </w:rPr>
        <w:t>、表</w:t>
      </w:r>
      <w:r>
        <w:rPr>
          <w:rFonts w:ascii="Times New Roman" w:hAnsi="Times New Roman" w:hint="eastAsia"/>
        </w:rPr>
        <w:t>3.3-15</w:t>
      </w:r>
      <w:r>
        <w:rPr>
          <w:rFonts w:ascii="Times New Roman" w:hAnsi="Times New Roman" w:hint="eastAsia"/>
        </w:rPr>
        <w:t>、表</w:t>
      </w:r>
      <w:r>
        <w:rPr>
          <w:rFonts w:ascii="Times New Roman" w:hAnsi="Times New Roman" w:hint="eastAsia"/>
        </w:rPr>
        <w:t>3.3-16</w:t>
      </w:r>
      <w:r>
        <w:rPr>
          <w:rFonts w:ascii="Times New Roman" w:hAnsi="Times New Roman" w:hint="eastAsia"/>
        </w:rPr>
        <w:t>和表</w:t>
      </w:r>
      <w:r>
        <w:rPr>
          <w:rFonts w:ascii="Times New Roman" w:hAnsi="Times New Roman" w:hint="eastAsia"/>
        </w:rPr>
        <w:t>3.3-17</w:t>
      </w:r>
      <w:r>
        <w:rPr>
          <w:rFonts w:ascii="Times New Roman" w:hAnsi="Times New Roman"/>
        </w:rPr>
        <w:t>。</w:t>
      </w:r>
    </w:p>
    <w:p w14:paraId="25F8F70F" w14:textId="77777777" w:rsidR="009C353B" w:rsidRDefault="009C353B">
      <w:pPr>
        <w:adjustRightInd w:val="0"/>
        <w:snapToGrid w:val="0"/>
        <w:spacing w:line="440" w:lineRule="exact"/>
        <w:ind w:firstLineChars="200" w:firstLine="480"/>
        <w:rPr>
          <w:rFonts w:ascii="Times New Roman" w:hAnsi="Times New Roman"/>
        </w:rPr>
        <w:sectPr w:rsidR="009C353B">
          <w:headerReference w:type="default" r:id="rId194"/>
          <w:pgSz w:w="11907" w:h="16840"/>
          <w:pgMar w:top="1701" w:right="1418" w:bottom="1418" w:left="1418" w:header="1134" w:footer="851" w:gutter="0"/>
          <w:paperSrc w:first="7" w:other="7"/>
          <w:cols w:space="720"/>
          <w:docGrid w:linePitch="312"/>
        </w:sectPr>
      </w:pPr>
    </w:p>
    <w:p w14:paraId="5B2ACDFE" w14:textId="77777777" w:rsidR="009C353B" w:rsidRDefault="00000000">
      <w:pPr>
        <w:tabs>
          <w:tab w:val="left" w:pos="3882"/>
        </w:tabs>
        <w:adjustRightInd w:val="0"/>
        <w:snapToGrid w:val="0"/>
        <w:spacing w:line="440" w:lineRule="exact"/>
        <w:jc w:val="center"/>
        <w:rPr>
          <w:rFonts w:ascii="Times New Roman" w:hAnsi="Times New Roman"/>
          <w:b/>
        </w:rPr>
      </w:pPr>
      <w:r>
        <w:rPr>
          <w:rFonts w:ascii="Times New Roman" w:hAnsi="Times New Roman" w:hint="eastAsia"/>
          <w:b/>
        </w:rPr>
        <w:t>本次评价</w:t>
      </w:r>
      <w:r>
        <w:rPr>
          <w:rFonts w:ascii="Times New Roman" w:hAnsi="Times New Roman"/>
          <w:b/>
        </w:rPr>
        <w:t>矿区土壤环境现状监测统计结果</w:t>
      </w:r>
      <w:r>
        <w:rPr>
          <w:rFonts w:ascii="Times New Roman" w:hAnsi="Times New Roman"/>
          <w:b/>
        </w:rPr>
        <w:t>1</w:t>
      </w:r>
    </w:p>
    <w:p w14:paraId="142D776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表</w:t>
      </w:r>
      <w:r>
        <w:rPr>
          <w:rFonts w:ascii="Times New Roman" w:hAnsi="Times New Roman"/>
        </w:rPr>
        <w:t>3.</w:t>
      </w:r>
      <w:r>
        <w:rPr>
          <w:rFonts w:ascii="Times New Roman" w:hAnsi="Times New Roman" w:hint="eastAsia"/>
        </w:rPr>
        <w:t>3-</w:t>
      </w:r>
      <w:r>
        <w:rPr>
          <w:rFonts w:ascii="Times New Roman" w:hAnsi="Times New Roman"/>
        </w:rPr>
        <w:t>1</w:t>
      </w:r>
      <w:r>
        <w:rPr>
          <w:rFonts w:ascii="Times New Roman" w:hAnsi="Times New Roman" w:hint="eastAsia"/>
        </w:rPr>
        <w:t>4</w:t>
      </w:r>
    </w:p>
    <w:tbl>
      <w:tblPr>
        <w:tblW w:w="13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0"/>
        <w:gridCol w:w="1134"/>
        <w:gridCol w:w="1134"/>
        <w:gridCol w:w="1134"/>
        <w:gridCol w:w="1134"/>
        <w:gridCol w:w="1134"/>
        <w:gridCol w:w="1134"/>
        <w:gridCol w:w="1134"/>
        <w:gridCol w:w="1134"/>
        <w:gridCol w:w="1134"/>
        <w:gridCol w:w="1206"/>
      </w:tblGrid>
      <w:tr w:rsidR="009C353B" w14:paraId="3F23B65E" w14:textId="77777777">
        <w:trPr>
          <w:trHeight w:val="532"/>
          <w:jc w:val="center"/>
        </w:trPr>
        <w:tc>
          <w:tcPr>
            <w:tcW w:w="1950" w:type="dxa"/>
            <w:vMerge w:val="restart"/>
            <w:vAlign w:val="center"/>
          </w:tcPr>
          <w:p w14:paraId="2F4B1E29" w14:textId="77777777" w:rsidR="009C353B" w:rsidRDefault="00000000">
            <w:pPr>
              <w:widowControl/>
              <w:jc w:val="center"/>
              <w:rPr>
                <w:rFonts w:ascii="Times New Roman" w:hAnsi="Times New Roman"/>
                <w:kern w:val="0"/>
                <w:sz w:val="21"/>
                <w:szCs w:val="21"/>
              </w:rPr>
            </w:pPr>
            <w:r>
              <w:rPr>
                <w:rFonts w:ascii="Times New Roman"/>
                <w:kern w:val="0"/>
                <w:sz w:val="21"/>
                <w:szCs w:val="21"/>
              </w:rPr>
              <w:t>监测点位</w:t>
            </w:r>
          </w:p>
        </w:tc>
        <w:tc>
          <w:tcPr>
            <w:tcW w:w="1134" w:type="dxa"/>
            <w:vMerge w:val="restart"/>
            <w:vAlign w:val="center"/>
          </w:tcPr>
          <w:p w14:paraId="6FD0E003" w14:textId="77777777" w:rsidR="009C353B" w:rsidRDefault="00000000">
            <w:pPr>
              <w:widowControl/>
              <w:jc w:val="center"/>
              <w:rPr>
                <w:rFonts w:ascii="Times New Roman" w:hAnsi="Times New Roman"/>
                <w:kern w:val="0"/>
                <w:sz w:val="21"/>
                <w:szCs w:val="21"/>
              </w:rPr>
            </w:pPr>
            <w:r>
              <w:rPr>
                <w:rFonts w:ascii="Times New Roman"/>
                <w:kern w:val="0"/>
                <w:sz w:val="21"/>
                <w:szCs w:val="21"/>
              </w:rPr>
              <w:t>采样深度</w:t>
            </w:r>
          </w:p>
          <w:p w14:paraId="3B2EBA1E" w14:textId="77777777" w:rsidR="009C353B" w:rsidRDefault="00000000">
            <w:pPr>
              <w:widowControl/>
              <w:jc w:val="center"/>
              <w:rPr>
                <w:rFonts w:ascii="Times New Roman" w:hAnsi="Times New Roman"/>
                <w:kern w:val="0"/>
                <w:sz w:val="21"/>
                <w:szCs w:val="21"/>
              </w:rPr>
            </w:pPr>
            <w:r>
              <w:rPr>
                <w:rFonts w:ascii="Times New Roman"/>
                <w:kern w:val="0"/>
                <w:sz w:val="21"/>
                <w:szCs w:val="21"/>
              </w:rPr>
              <w:t>（</w:t>
            </w:r>
            <w:r>
              <w:rPr>
                <w:rFonts w:ascii="Times New Roman" w:hAnsi="Times New Roman"/>
                <w:sz w:val="21"/>
                <w:szCs w:val="21"/>
              </w:rPr>
              <w:t>m</w:t>
            </w:r>
            <w:r>
              <w:rPr>
                <w:rFonts w:ascii="Times New Roman"/>
                <w:kern w:val="0"/>
                <w:sz w:val="21"/>
                <w:szCs w:val="21"/>
              </w:rPr>
              <w:t>）</w:t>
            </w:r>
          </w:p>
        </w:tc>
        <w:tc>
          <w:tcPr>
            <w:tcW w:w="10278" w:type="dxa"/>
            <w:gridSpan w:val="9"/>
            <w:vAlign w:val="center"/>
          </w:tcPr>
          <w:p w14:paraId="0AA6E173" w14:textId="77777777" w:rsidR="009C353B" w:rsidRDefault="00000000">
            <w:pPr>
              <w:jc w:val="center"/>
              <w:rPr>
                <w:rFonts w:ascii="Times New Roman" w:hAnsi="Times New Roman"/>
                <w:kern w:val="0"/>
                <w:sz w:val="21"/>
                <w:szCs w:val="21"/>
              </w:rPr>
            </w:pPr>
            <w:r>
              <w:rPr>
                <w:rFonts w:ascii="Times New Roman"/>
                <w:kern w:val="0"/>
                <w:sz w:val="21"/>
                <w:szCs w:val="21"/>
              </w:rPr>
              <w:t>监测项目</w:t>
            </w:r>
          </w:p>
        </w:tc>
      </w:tr>
      <w:tr w:rsidR="009C353B" w14:paraId="5EA6320D" w14:textId="77777777">
        <w:trPr>
          <w:trHeight w:val="414"/>
          <w:jc w:val="center"/>
        </w:trPr>
        <w:tc>
          <w:tcPr>
            <w:tcW w:w="1950" w:type="dxa"/>
            <w:vMerge/>
            <w:vAlign w:val="center"/>
          </w:tcPr>
          <w:p w14:paraId="581819D3" w14:textId="77777777" w:rsidR="009C353B" w:rsidRDefault="009C353B">
            <w:pPr>
              <w:widowControl/>
              <w:jc w:val="center"/>
              <w:rPr>
                <w:rFonts w:ascii="Times New Roman" w:hAnsi="Times New Roman"/>
                <w:kern w:val="0"/>
                <w:sz w:val="21"/>
                <w:szCs w:val="21"/>
              </w:rPr>
            </w:pPr>
          </w:p>
        </w:tc>
        <w:tc>
          <w:tcPr>
            <w:tcW w:w="1134" w:type="dxa"/>
            <w:vMerge/>
            <w:vAlign w:val="center"/>
          </w:tcPr>
          <w:p w14:paraId="2FA3A026" w14:textId="77777777" w:rsidR="009C353B" w:rsidRDefault="009C353B">
            <w:pPr>
              <w:widowControl/>
              <w:spacing w:line="0" w:lineRule="atLeast"/>
              <w:jc w:val="center"/>
              <w:rPr>
                <w:rFonts w:ascii="Times New Roman" w:hAnsi="Times New Roman"/>
                <w:kern w:val="0"/>
                <w:sz w:val="21"/>
                <w:szCs w:val="21"/>
              </w:rPr>
            </w:pPr>
          </w:p>
        </w:tc>
        <w:tc>
          <w:tcPr>
            <w:tcW w:w="1134" w:type="dxa"/>
            <w:vAlign w:val="center"/>
          </w:tcPr>
          <w:p w14:paraId="3343AC3F" w14:textId="77777777" w:rsidR="009C353B" w:rsidRDefault="00000000">
            <w:pPr>
              <w:widowControl/>
              <w:spacing w:line="0" w:lineRule="atLeast"/>
              <w:jc w:val="center"/>
              <w:rPr>
                <w:rFonts w:ascii="Times New Roman" w:hAnsi="Times New Roman"/>
                <w:kern w:val="0"/>
                <w:sz w:val="21"/>
                <w:szCs w:val="21"/>
              </w:rPr>
            </w:pPr>
            <w:r>
              <w:rPr>
                <w:rFonts w:ascii="Times New Roman" w:hAnsi="Times New Roman"/>
                <w:kern w:val="0"/>
                <w:sz w:val="21"/>
                <w:szCs w:val="21"/>
              </w:rPr>
              <w:t>六价铬</w:t>
            </w:r>
          </w:p>
          <w:p w14:paraId="4633A994" w14:textId="77777777" w:rsidR="009C353B" w:rsidRDefault="00000000">
            <w:pPr>
              <w:widowControl/>
              <w:spacing w:line="0" w:lineRule="atLeast"/>
              <w:rPr>
                <w:rFonts w:ascii="Times New Roman" w:hAnsi="Times New Roman"/>
                <w:kern w:val="0"/>
                <w:sz w:val="21"/>
                <w:szCs w:val="21"/>
              </w:rPr>
            </w:pPr>
            <w:r>
              <w:rPr>
                <w:rFonts w:ascii="Times New Roman"/>
                <w:kern w:val="0"/>
                <w:sz w:val="21"/>
                <w:szCs w:val="21"/>
              </w:rPr>
              <w:t>（</w:t>
            </w:r>
            <w:r>
              <w:rPr>
                <w:rFonts w:ascii="Times New Roman" w:hAnsi="Times New Roman"/>
                <w:kern w:val="0"/>
                <w:sz w:val="21"/>
                <w:szCs w:val="21"/>
              </w:rPr>
              <w:t>mg/kg</w:t>
            </w:r>
            <w:r>
              <w:rPr>
                <w:rFonts w:ascii="Times New Roman"/>
                <w:kern w:val="0"/>
                <w:sz w:val="21"/>
                <w:szCs w:val="21"/>
              </w:rPr>
              <w:t>）</w:t>
            </w:r>
          </w:p>
        </w:tc>
        <w:tc>
          <w:tcPr>
            <w:tcW w:w="1134" w:type="dxa"/>
            <w:vAlign w:val="center"/>
          </w:tcPr>
          <w:p w14:paraId="46FD718D" w14:textId="77777777" w:rsidR="009C353B" w:rsidRDefault="00000000">
            <w:pPr>
              <w:widowControl/>
              <w:spacing w:line="0" w:lineRule="atLeast"/>
              <w:jc w:val="center"/>
              <w:rPr>
                <w:rFonts w:ascii="Times New Roman" w:hAnsi="Times New Roman"/>
                <w:kern w:val="0"/>
                <w:sz w:val="21"/>
                <w:szCs w:val="21"/>
              </w:rPr>
            </w:pPr>
            <w:r>
              <w:rPr>
                <w:rFonts w:ascii="Times New Roman"/>
                <w:kern w:val="0"/>
                <w:sz w:val="21"/>
                <w:szCs w:val="21"/>
              </w:rPr>
              <w:t>总砷</w:t>
            </w:r>
          </w:p>
          <w:p w14:paraId="03F9FF73" w14:textId="77777777" w:rsidR="009C353B" w:rsidRDefault="00000000">
            <w:pPr>
              <w:widowControl/>
              <w:spacing w:line="0" w:lineRule="atLeast"/>
              <w:rPr>
                <w:rFonts w:ascii="Times New Roman" w:hAnsi="Times New Roman"/>
                <w:kern w:val="0"/>
                <w:sz w:val="21"/>
                <w:szCs w:val="21"/>
              </w:rPr>
            </w:pPr>
            <w:r>
              <w:rPr>
                <w:rFonts w:ascii="Times New Roman"/>
                <w:kern w:val="0"/>
                <w:sz w:val="21"/>
                <w:szCs w:val="21"/>
              </w:rPr>
              <w:t>（</w:t>
            </w:r>
            <w:r>
              <w:rPr>
                <w:rFonts w:ascii="Times New Roman" w:hAnsi="Times New Roman"/>
                <w:kern w:val="0"/>
                <w:sz w:val="21"/>
                <w:szCs w:val="21"/>
              </w:rPr>
              <w:t>mg/kg</w:t>
            </w:r>
            <w:r>
              <w:rPr>
                <w:rFonts w:ascii="Times New Roman"/>
                <w:kern w:val="0"/>
                <w:sz w:val="21"/>
                <w:szCs w:val="21"/>
              </w:rPr>
              <w:t>）</w:t>
            </w:r>
          </w:p>
        </w:tc>
        <w:tc>
          <w:tcPr>
            <w:tcW w:w="1134" w:type="dxa"/>
            <w:vAlign w:val="center"/>
          </w:tcPr>
          <w:p w14:paraId="28C98E5C" w14:textId="77777777" w:rsidR="009C353B" w:rsidRDefault="00000000">
            <w:pPr>
              <w:widowControl/>
              <w:spacing w:line="0" w:lineRule="atLeast"/>
              <w:jc w:val="center"/>
              <w:rPr>
                <w:rFonts w:ascii="Times New Roman" w:hAnsi="Times New Roman"/>
                <w:kern w:val="0"/>
                <w:sz w:val="21"/>
                <w:szCs w:val="21"/>
              </w:rPr>
            </w:pPr>
            <w:r>
              <w:rPr>
                <w:rFonts w:ascii="Times New Roman"/>
                <w:kern w:val="0"/>
                <w:sz w:val="21"/>
                <w:szCs w:val="21"/>
              </w:rPr>
              <w:t>镉</w:t>
            </w:r>
          </w:p>
          <w:p w14:paraId="57672002" w14:textId="77777777" w:rsidR="009C353B" w:rsidRDefault="00000000">
            <w:pPr>
              <w:widowControl/>
              <w:spacing w:line="0" w:lineRule="atLeast"/>
              <w:rPr>
                <w:rFonts w:ascii="Times New Roman" w:hAnsi="Times New Roman"/>
                <w:kern w:val="0"/>
                <w:sz w:val="21"/>
                <w:szCs w:val="21"/>
              </w:rPr>
            </w:pPr>
            <w:r>
              <w:rPr>
                <w:rFonts w:ascii="Times New Roman"/>
                <w:kern w:val="0"/>
                <w:sz w:val="21"/>
                <w:szCs w:val="21"/>
              </w:rPr>
              <w:t>（</w:t>
            </w:r>
            <w:r>
              <w:rPr>
                <w:rFonts w:ascii="Times New Roman" w:hAnsi="Times New Roman"/>
                <w:kern w:val="0"/>
                <w:sz w:val="21"/>
                <w:szCs w:val="21"/>
              </w:rPr>
              <w:t>mg/kg</w:t>
            </w:r>
            <w:r>
              <w:rPr>
                <w:rFonts w:ascii="Times New Roman"/>
                <w:kern w:val="0"/>
                <w:sz w:val="21"/>
                <w:szCs w:val="21"/>
              </w:rPr>
              <w:t>）</w:t>
            </w:r>
          </w:p>
        </w:tc>
        <w:tc>
          <w:tcPr>
            <w:tcW w:w="1134" w:type="dxa"/>
            <w:vAlign w:val="center"/>
          </w:tcPr>
          <w:p w14:paraId="2A43DC99" w14:textId="77777777" w:rsidR="009C353B" w:rsidRDefault="00000000">
            <w:pPr>
              <w:widowControl/>
              <w:spacing w:line="0" w:lineRule="atLeast"/>
              <w:jc w:val="center"/>
              <w:rPr>
                <w:rFonts w:ascii="Times New Roman" w:hAnsi="Times New Roman"/>
                <w:kern w:val="0"/>
                <w:sz w:val="21"/>
                <w:szCs w:val="21"/>
              </w:rPr>
            </w:pPr>
            <w:r>
              <w:rPr>
                <w:rFonts w:ascii="Times New Roman"/>
                <w:kern w:val="0"/>
                <w:sz w:val="21"/>
                <w:szCs w:val="21"/>
              </w:rPr>
              <w:t>铜</w:t>
            </w:r>
          </w:p>
          <w:p w14:paraId="08729454" w14:textId="77777777" w:rsidR="009C353B" w:rsidRDefault="00000000">
            <w:pPr>
              <w:widowControl/>
              <w:spacing w:line="0" w:lineRule="atLeast"/>
              <w:rPr>
                <w:rFonts w:ascii="Times New Roman" w:hAnsi="Times New Roman"/>
                <w:b/>
                <w:kern w:val="0"/>
                <w:sz w:val="21"/>
                <w:szCs w:val="21"/>
              </w:rPr>
            </w:pPr>
            <w:r>
              <w:rPr>
                <w:rFonts w:ascii="Times New Roman"/>
                <w:kern w:val="0"/>
                <w:sz w:val="21"/>
                <w:szCs w:val="21"/>
              </w:rPr>
              <w:t>（</w:t>
            </w:r>
            <w:r>
              <w:rPr>
                <w:rFonts w:ascii="Times New Roman" w:hAnsi="Times New Roman"/>
                <w:kern w:val="0"/>
                <w:sz w:val="21"/>
                <w:szCs w:val="21"/>
              </w:rPr>
              <w:t>mg/kg</w:t>
            </w:r>
            <w:r>
              <w:rPr>
                <w:rFonts w:ascii="Times New Roman"/>
                <w:kern w:val="0"/>
                <w:sz w:val="21"/>
                <w:szCs w:val="21"/>
              </w:rPr>
              <w:t>）</w:t>
            </w:r>
          </w:p>
        </w:tc>
        <w:tc>
          <w:tcPr>
            <w:tcW w:w="1134" w:type="dxa"/>
            <w:vAlign w:val="center"/>
          </w:tcPr>
          <w:p w14:paraId="2EB11D94" w14:textId="77777777" w:rsidR="009C353B" w:rsidRDefault="00000000">
            <w:pPr>
              <w:widowControl/>
              <w:spacing w:line="0" w:lineRule="atLeast"/>
              <w:jc w:val="center"/>
              <w:rPr>
                <w:rFonts w:ascii="Times New Roman" w:hAnsi="Times New Roman"/>
                <w:kern w:val="0"/>
                <w:sz w:val="21"/>
                <w:szCs w:val="21"/>
              </w:rPr>
            </w:pPr>
            <w:r>
              <w:rPr>
                <w:rFonts w:ascii="Times New Roman"/>
                <w:kern w:val="0"/>
                <w:sz w:val="21"/>
                <w:szCs w:val="21"/>
              </w:rPr>
              <w:t>铅</w:t>
            </w:r>
          </w:p>
          <w:p w14:paraId="5BC8800B" w14:textId="77777777" w:rsidR="009C353B" w:rsidRDefault="00000000">
            <w:pPr>
              <w:widowControl/>
              <w:spacing w:line="0" w:lineRule="atLeast"/>
              <w:rPr>
                <w:rFonts w:ascii="Times New Roman" w:hAnsi="Times New Roman"/>
                <w:kern w:val="0"/>
                <w:sz w:val="21"/>
                <w:szCs w:val="21"/>
              </w:rPr>
            </w:pPr>
            <w:r>
              <w:rPr>
                <w:rFonts w:ascii="Times New Roman"/>
                <w:kern w:val="0"/>
                <w:sz w:val="21"/>
                <w:szCs w:val="21"/>
              </w:rPr>
              <w:t>（</w:t>
            </w:r>
            <w:r>
              <w:rPr>
                <w:rFonts w:ascii="Times New Roman" w:hAnsi="Times New Roman"/>
                <w:kern w:val="0"/>
                <w:sz w:val="21"/>
                <w:szCs w:val="21"/>
              </w:rPr>
              <w:t>mg/kg</w:t>
            </w:r>
            <w:r>
              <w:rPr>
                <w:rFonts w:ascii="Times New Roman"/>
                <w:kern w:val="0"/>
                <w:sz w:val="21"/>
                <w:szCs w:val="21"/>
              </w:rPr>
              <w:t>）</w:t>
            </w:r>
          </w:p>
        </w:tc>
        <w:tc>
          <w:tcPr>
            <w:tcW w:w="1134" w:type="dxa"/>
            <w:vAlign w:val="center"/>
          </w:tcPr>
          <w:p w14:paraId="35E51890" w14:textId="77777777" w:rsidR="009C353B" w:rsidRDefault="00000000">
            <w:pPr>
              <w:widowControl/>
              <w:spacing w:line="0" w:lineRule="atLeast"/>
              <w:jc w:val="center"/>
              <w:rPr>
                <w:rFonts w:ascii="Times New Roman" w:hAnsi="Times New Roman"/>
                <w:kern w:val="0"/>
                <w:sz w:val="21"/>
                <w:szCs w:val="21"/>
              </w:rPr>
            </w:pPr>
            <w:r>
              <w:rPr>
                <w:rFonts w:ascii="Times New Roman"/>
                <w:kern w:val="0"/>
                <w:sz w:val="21"/>
                <w:szCs w:val="21"/>
              </w:rPr>
              <w:t>汞</w:t>
            </w:r>
          </w:p>
          <w:p w14:paraId="30EC1BBD" w14:textId="77777777" w:rsidR="009C353B" w:rsidRDefault="00000000">
            <w:pPr>
              <w:widowControl/>
              <w:spacing w:line="0" w:lineRule="atLeast"/>
              <w:rPr>
                <w:rFonts w:ascii="Times New Roman" w:hAnsi="Times New Roman"/>
                <w:kern w:val="0"/>
                <w:sz w:val="21"/>
                <w:szCs w:val="21"/>
              </w:rPr>
            </w:pPr>
            <w:r>
              <w:rPr>
                <w:rFonts w:ascii="Times New Roman"/>
                <w:kern w:val="0"/>
                <w:sz w:val="21"/>
                <w:szCs w:val="21"/>
              </w:rPr>
              <w:t>（</w:t>
            </w:r>
            <w:r>
              <w:rPr>
                <w:rFonts w:ascii="Times New Roman" w:hAnsi="Times New Roman"/>
                <w:kern w:val="0"/>
                <w:sz w:val="21"/>
                <w:szCs w:val="21"/>
              </w:rPr>
              <w:t>mg/kg</w:t>
            </w:r>
            <w:r>
              <w:rPr>
                <w:rFonts w:ascii="Times New Roman"/>
                <w:kern w:val="0"/>
                <w:sz w:val="21"/>
                <w:szCs w:val="21"/>
              </w:rPr>
              <w:t>）</w:t>
            </w:r>
          </w:p>
        </w:tc>
        <w:tc>
          <w:tcPr>
            <w:tcW w:w="1134" w:type="dxa"/>
            <w:vAlign w:val="center"/>
          </w:tcPr>
          <w:p w14:paraId="6CF0E9D0" w14:textId="77777777" w:rsidR="009C353B" w:rsidRDefault="00000000">
            <w:pPr>
              <w:widowControl/>
              <w:spacing w:line="0" w:lineRule="atLeast"/>
              <w:jc w:val="center"/>
              <w:rPr>
                <w:rFonts w:ascii="Times New Roman" w:hint="eastAsia"/>
                <w:kern w:val="0"/>
                <w:sz w:val="21"/>
                <w:szCs w:val="21"/>
              </w:rPr>
            </w:pPr>
            <w:r>
              <w:rPr>
                <w:rFonts w:ascii="Times New Roman"/>
                <w:kern w:val="0"/>
                <w:sz w:val="21"/>
                <w:szCs w:val="21"/>
              </w:rPr>
              <w:t>镍</w:t>
            </w:r>
          </w:p>
          <w:p w14:paraId="7146CDB1" w14:textId="77777777" w:rsidR="009C353B" w:rsidRDefault="00000000">
            <w:pPr>
              <w:widowControl/>
              <w:spacing w:line="0" w:lineRule="atLeast"/>
              <w:rPr>
                <w:rFonts w:ascii="Times New Roman" w:hAnsi="Times New Roman"/>
                <w:kern w:val="0"/>
                <w:sz w:val="21"/>
                <w:szCs w:val="21"/>
              </w:rPr>
            </w:pPr>
            <w:r>
              <w:rPr>
                <w:rFonts w:ascii="Times New Roman"/>
                <w:kern w:val="0"/>
                <w:sz w:val="21"/>
                <w:szCs w:val="21"/>
              </w:rPr>
              <w:t>（</w:t>
            </w:r>
            <w:r>
              <w:rPr>
                <w:rFonts w:ascii="Times New Roman" w:hAnsi="Times New Roman"/>
                <w:kern w:val="0"/>
                <w:sz w:val="21"/>
                <w:szCs w:val="21"/>
              </w:rPr>
              <w:t>mg/kg</w:t>
            </w:r>
            <w:r>
              <w:rPr>
                <w:rFonts w:ascii="Times New Roman"/>
                <w:kern w:val="0"/>
                <w:sz w:val="21"/>
                <w:szCs w:val="21"/>
              </w:rPr>
              <w:t>）</w:t>
            </w:r>
          </w:p>
        </w:tc>
        <w:tc>
          <w:tcPr>
            <w:tcW w:w="1134" w:type="dxa"/>
            <w:vAlign w:val="center"/>
          </w:tcPr>
          <w:p w14:paraId="444DE654" w14:textId="77777777" w:rsidR="009C353B" w:rsidRDefault="00000000">
            <w:pPr>
              <w:widowControl/>
              <w:spacing w:line="0" w:lineRule="atLeast"/>
              <w:jc w:val="center"/>
              <w:rPr>
                <w:rFonts w:ascii="Times New Roman" w:hAnsi="Times New Roman"/>
                <w:kern w:val="0"/>
                <w:sz w:val="21"/>
                <w:szCs w:val="21"/>
              </w:rPr>
            </w:pPr>
            <w:r>
              <w:rPr>
                <w:rFonts w:ascii="Times New Roman"/>
                <w:kern w:val="0"/>
                <w:sz w:val="21"/>
                <w:szCs w:val="21"/>
              </w:rPr>
              <w:t>锌</w:t>
            </w:r>
          </w:p>
          <w:p w14:paraId="7B89F50F" w14:textId="77777777" w:rsidR="009C353B" w:rsidRDefault="00000000">
            <w:pPr>
              <w:widowControl/>
              <w:spacing w:line="0" w:lineRule="atLeast"/>
              <w:rPr>
                <w:rFonts w:ascii="Times New Roman" w:hAnsi="Times New Roman"/>
                <w:kern w:val="0"/>
                <w:sz w:val="21"/>
                <w:szCs w:val="21"/>
              </w:rPr>
            </w:pPr>
            <w:r>
              <w:rPr>
                <w:rFonts w:ascii="Times New Roman"/>
                <w:kern w:val="0"/>
                <w:sz w:val="21"/>
                <w:szCs w:val="21"/>
              </w:rPr>
              <w:t>（</w:t>
            </w:r>
            <w:r>
              <w:rPr>
                <w:rFonts w:ascii="Times New Roman" w:hAnsi="Times New Roman"/>
                <w:kern w:val="0"/>
                <w:sz w:val="21"/>
                <w:szCs w:val="21"/>
              </w:rPr>
              <w:t>mg/kg</w:t>
            </w:r>
            <w:r>
              <w:rPr>
                <w:rFonts w:ascii="Times New Roman"/>
                <w:kern w:val="0"/>
                <w:sz w:val="21"/>
                <w:szCs w:val="21"/>
              </w:rPr>
              <w:t>）</w:t>
            </w:r>
          </w:p>
        </w:tc>
        <w:tc>
          <w:tcPr>
            <w:tcW w:w="1206" w:type="dxa"/>
            <w:vAlign w:val="center"/>
          </w:tcPr>
          <w:p w14:paraId="768B4AC4" w14:textId="77777777" w:rsidR="009C353B" w:rsidRDefault="00000000">
            <w:pPr>
              <w:widowControl/>
              <w:spacing w:line="0" w:lineRule="atLeast"/>
              <w:jc w:val="center"/>
              <w:rPr>
                <w:rFonts w:ascii="Times New Roman" w:hAnsi="Times New Roman"/>
                <w:kern w:val="0"/>
                <w:sz w:val="21"/>
                <w:szCs w:val="21"/>
              </w:rPr>
            </w:pPr>
            <w:r>
              <w:rPr>
                <w:rFonts w:ascii="Times New Roman"/>
                <w:kern w:val="0"/>
                <w:sz w:val="21"/>
                <w:szCs w:val="21"/>
              </w:rPr>
              <w:t>铬</w:t>
            </w:r>
          </w:p>
          <w:p w14:paraId="58C02708" w14:textId="77777777" w:rsidR="009C353B" w:rsidRDefault="00000000">
            <w:pPr>
              <w:widowControl/>
              <w:spacing w:line="0" w:lineRule="atLeast"/>
              <w:jc w:val="center"/>
              <w:rPr>
                <w:rFonts w:ascii="Times New Roman" w:hAnsi="Times New Roman"/>
                <w:kern w:val="0"/>
                <w:sz w:val="21"/>
                <w:szCs w:val="21"/>
              </w:rPr>
            </w:pPr>
            <w:r>
              <w:rPr>
                <w:rFonts w:ascii="Times New Roman"/>
                <w:kern w:val="0"/>
                <w:sz w:val="21"/>
                <w:szCs w:val="21"/>
              </w:rPr>
              <w:t>（</w:t>
            </w:r>
            <w:r>
              <w:rPr>
                <w:rFonts w:ascii="Times New Roman" w:hAnsi="Times New Roman"/>
                <w:kern w:val="0"/>
                <w:sz w:val="21"/>
                <w:szCs w:val="21"/>
              </w:rPr>
              <w:t>mg/kg</w:t>
            </w:r>
            <w:r>
              <w:rPr>
                <w:rFonts w:ascii="Times New Roman"/>
                <w:kern w:val="0"/>
                <w:sz w:val="21"/>
                <w:szCs w:val="21"/>
              </w:rPr>
              <w:t>）</w:t>
            </w:r>
          </w:p>
        </w:tc>
      </w:tr>
      <w:tr w:rsidR="009C353B" w14:paraId="4E7CA6EF" w14:textId="77777777">
        <w:trPr>
          <w:trHeight w:val="685"/>
          <w:jc w:val="center"/>
        </w:trPr>
        <w:tc>
          <w:tcPr>
            <w:tcW w:w="1950" w:type="dxa"/>
            <w:vAlign w:val="center"/>
          </w:tcPr>
          <w:p w14:paraId="28DAF5E4" w14:textId="77777777" w:rsidR="009C353B" w:rsidRDefault="00000000">
            <w:pPr>
              <w:jc w:val="center"/>
              <w:rPr>
                <w:rFonts w:hint="eastAsia"/>
                <w:sz w:val="21"/>
                <w:szCs w:val="21"/>
              </w:rPr>
            </w:pPr>
            <w:r>
              <w:rPr>
                <w:rFonts w:hint="eastAsia"/>
                <w:sz w:val="21"/>
                <w:szCs w:val="21"/>
              </w:rPr>
              <w:t>筛选值（p</w:t>
            </w:r>
            <w:r>
              <w:rPr>
                <w:sz w:val="21"/>
                <w:szCs w:val="21"/>
              </w:rPr>
              <w:t>H</w:t>
            </w:r>
            <w:r>
              <w:rPr>
                <w:rFonts w:hint="eastAsia"/>
                <w:sz w:val="21"/>
                <w:szCs w:val="21"/>
              </w:rPr>
              <w:t>＞7</w:t>
            </w:r>
            <w:r>
              <w:rPr>
                <w:sz w:val="21"/>
                <w:szCs w:val="21"/>
              </w:rPr>
              <w:t>.5</w:t>
            </w:r>
            <w:r>
              <w:rPr>
                <w:rFonts w:hint="eastAsia"/>
                <w:sz w:val="21"/>
                <w:szCs w:val="21"/>
              </w:rPr>
              <w:t>）</w:t>
            </w:r>
          </w:p>
        </w:tc>
        <w:tc>
          <w:tcPr>
            <w:tcW w:w="1134" w:type="dxa"/>
            <w:vAlign w:val="center"/>
          </w:tcPr>
          <w:p w14:paraId="7317E525"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w:t>
            </w:r>
          </w:p>
        </w:tc>
        <w:tc>
          <w:tcPr>
            <w:tcW w:w="1134" w:type="dxa"/>
            <w:vAlign w:val="center"/>
          </w:tcPr>
          <w:p w14:paraId="76BEBAEB"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w:t>
            </w:r>
          </w:p>
        </w:tc>
        <w:tc>
          <w:tcPr>
            <w:tcW w:w="1134" w:type="dxa"/>
            <w:vAlign w:val="center"/>
          </w:tcPr>
          <w:p w14:paraId="0E15BA97"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5</w:t>
            </w:r>
          </w:p>
        </w:tc>
        <w:tc>
          <w:tcPr>
            <w:tcW w:w="1134" w:type="dxa"/>
            <w:vAlign w:val="center"/>
          </w:tcPr>
          <w:p w14:paraId="72A3F803"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.6</w:t>
            </w:r>
          </w:p>
        </w:tc>
        <w:tc>
          <w:tcPr>
            <w:tcW w:w="1134" w:type="dxa"/>
            <w:vAlign w:val="center"/>
          </w:tcPr>
          <w:p w14:paraId="176E7E08"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00</w:t>
            </w:r>
          </w:p>
        </w:tc>
        <w:tc>
          <w:tcPr>
            <w:tcW w:w="1134" w:type="dxa"/>
            <w:vAlign w:val="center"/>
          </w:tcPr>
          <w:p w14:paraId="04E5C4F6"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70</w:t>
            </w:r>
          </w:p>
        </w:tc>
        <w:tc>
          <w:tcPr>
            <w:tcW w:w="1134" w:type="dxa"/>
            <w:vAlign w:val="center"/>
          </w:tcPr>
          <w:p w14:paraId="7DC1D2DA"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.4</w:t>
            </w:r>
          </w:p>
        </w:tc>
        <w:tc>
          <w:tcPr>
            <w:tcW w:w="1134" w:type="dxa"/>
            <w:vAlign w:val="center"/>
          </w:tcPr>
          <w:p w14:paraId="0FC2EBF6"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90</w:t>
            </w:r>
          </w:p>
        </w:tc>
        <w:tc>
          <w:tcPr>
            <w:tcW w:w="1134" w:type="dxa"/>
            <w:vAlign w:val="center"/>
          </w:tcPr>
          <w:p w14:paraId="43E2EC19"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00</w:t>
            </w:r>
          </w:p>
        </w:tc>
        <w:tc>
          <w:tcPr>
            <w:tcW w:w="1206" w:type="dxa"/>
            <w:vAlign w:val="center"/>
          </w:tcPr>
          <w:p w14:paraId="7388499B"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50</w:t>
            </w:r>
          </w:p>
        </w:tc>
      </w:tr>
      <w:tr w:rsidR="009C353B" w14:paraId="25421030" w14:textId="77777777">
        <w:trPr>
          <w:trHeight w:val="685"/>
          <w:jc w:val="center"/>
        </w:trPr>
        <w:tc>
          <w:tcPr>
            <w:tcW w:w="1950" w:type="dxa"/>
            <w:vAlign w:val="center"/>
          </w:tcPr>
          <w:p w14:paraId="1F1D00C2" w14:textId="77777777" w:rsidR="009C353B" w:rsidRDefault="00000000">
            <w:pPr>
              <w:jc w:val="center"/>
              <w:rPr>
                <w:rFonts w:ascii="Times New Roman" w:hAnsi="Times New Roman"/>
                <w:sz w:val="21"/>
                <w:szCs w:val="21"/>
              </w:rPr>
            </w:pPr>
            <w:r>
              <w:rPr>
                <w:rFonts w:hint="eastAsia"/>
                <w:sz w:val="21"/>
                <w:szCs w:val="21"/>
              </w:rPr>
              <w:t>4#</w:t>
            </w:r>
            <w:r>
              <w:rPr>
                <w:sz w:val="21"/>
                <w:szCs w:val="21"/>
              </w:rPr>
              <w:t xml:space="preserve"> </w:t>
            </w:r>
            <w:r>
              <w:rPr>
                <w:rFonts w:hint="eastAsia"/>
                <w:sz w:val="21"/>
                <w:szCs w:val="21"/>
              </w:rPr>
              <w:t>马莲台采空区</w:t>
            </w:r>
          </w:p>
        </w:tc>
        <w:tc>
          <w:tcPr>
            <w:tcW w:w="1134" w:type="dxa"/>
            <w:vAlign w:val="center"/>
          </w:tcPr>
          <w:p w14:paraId="36B2D577" w14:textId="77777777" w:rsidR="009C353B" w:rsidRDefault="00000000">
            <w:pPr>
              <w:widowControl/>
              <w:spacing w:line="0" w:lineRule="atLeast"/>
              <w:jc w:val="center"/>
              <w:rPr>
                <w:rFonts w:ascii="Times New Roman" w:hAnsi="Times New Roman"/>
                <w:kern w:val="0"/>
                <w:sz w:val="21"/>
                <w:szCs w:val="21"/>
              </w:rPr>
            </w:pPr>
            <w:r>
              <w:rPr>
                <w:rFonts w:ascii="Times New Roman" w:hAnsi="Times New Roman"/>
                <w:sz w:val="21"/>
                <w:szCs w:val="21"/>
              </w:rPr>
              <w:t>0</w:t>
            </w:r>
            <w:r>
              <w:rPr>
                <w:rFonts w:ascii="Times New Roman" w:hAnsi="Times New Roman" w:hint="eastAsia"/>
                <w:sz w:val="21"/>
                <w:szCs w:val="21"/>
              </w:rPr>
              <w:t>-</w:t>
            </w:r>
            <w:r>
              <w:rPr>
                <w:rFonts w:ascii="Times New Roman" w:hAnsi="Times New Roman"/>
                <w:sz w:val="21"/>
                <w:szCs w:val="21"/>
              </w:rPr>
              <w:t>0.2</w:t>
            </w:r>
          </w:p>
        </w:tc>
        <w:tc>
          <w:tcPr>
            <w:tcW w:w="1134" w:type="dxa"/>
            <w:vAlign w:val="center"/>
          </w:tcPr>
          <w:p w14:paraId="05B3F88C"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N</w:t>
            </w:r>
            <w:r>
              <w:rPr>
                <w:rFonts w:ascii="Times New Roman" w:hAnsi="Times New Roman"/>
                <w:sz w:val="21"/>
                <w:szCs w:val="21"/>
              </w:rPr>
              <w:t>D 0.5</w:t>
            </w:r>
          </w:p>
        </w:tc>
        <w:tc>
          <w:tcPr>
            <w:tcW w:w="1134" w:type="dxa"/>
            <w:vAlign w:val="center"/>
          </w:tcPr>
          <w:p w14:paraId="6452BCD1"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.74</w:t>
            </w:r>
          </w:p>
        </w:tc>
        <w:tc>
          <w:tcPr>
            <w:tcW w:w="1134" w:type="dxa"/>
            <w:vAlign w:val="center"/>
          </w:tcPr>
          <w:p w14:paraId="55229356"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.07</w:t>
            </w:r>
          </w:p>
        </w:tc>
        <w:tc>
          <w:tcPr>
            <w:tcW w:w="1134" w:type="dxa"/>
            <w:vAlign w:val="center"/>
          </w:tcPr>
          <w:p w14:paraId="2A7B3C49"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9</w:t>
            </w:r>
          </w:p>
        </w:tc>
        <w:tc>
          <w:tcPr>
            <w:tcW w:w="1134" w:type="dxa"/>
            <w:vAlign w:val="center"/>
          </w:tcPr>
          <w:p w14:paraId="54C48187"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6.3</w:t>
            </w:r>
          </w:p>
        </w:tc>
        <w:tc>
          <w:tcPr>
            <w:tcW w:w="1134" w:type="dxa"/>
            <w:vAlign w:val="center"/>
          </w:tcPr>
          <w:p w14:paraId="11A9FD0D"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.012</w:t>
            </w:r>
          </w:p>
        </w:tc>
        <w:tc>
          <w:tcPr>
            <w:tcW w:w="1134" w:type="dxa"/>
            <w:vAlign w:val="center"/>
          </w:tcPr>
          <w:p w14:paraId="415D8981"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4</w:t>
            </w:r>
          </w:p>
        </w:tc>
        <w:tc>
          <w:tcPr>
            <w:tcW w:w="1134" w:type="dxa"/>
            <w:vAlign w:val="center"/>
          </w:tcPr>
          <w:p w14:paraId="3C70F307"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9</w:t>
            </w:r>
          </w:p>
        </w:tc>
        <w:tc>
          <w:tcPr>
            <w:tcW w:w="1206" w:type="dxa"/>
            <w:vAlign w:val="center"/>
          </w:tcPr>
          <w:p w14:paraId="5428333A"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5</w:t>
            </w:r>
          </w:p>
        </w:tc>
      </w:tr>
      <w:tr w:rsidR="009C353B" w14:paraId="44F7F621" w14:textId="77777777">
        <w:trPr>
          <w:trHeight w:val="709"/>
          <w:jc w:val="center"/>
        </w:trPr>
        <w:tc>
          <w:tcPr>
            <w:tcW w:w="1950" w:type="dxa"/>
            <w:vAlign w:val="center"/>
          </w:tcPr>
          <w:p w14:paraId="7273CC4A" w14:textId="77777777" w:rsidR="009C353B" w:rsidRDefault="00000000">
            <w:pPr>
              <w:jc w:val="center"/>
              <w:rPr>
                <w:rFonts w:ascii="Times New Roman" w:hAnsi="Times New Roman"/>
                <w:sz w:val="21"/>
                <w:szCs w:val="21"/>
              </w:rPr>
            </w:pPr>
            <w:r>
              <w:rPr>
                <w:rFonts w:hint="eastAsia"/>
                <w:sz w:val="21"/>
                <w:szCs w:val="21"/>
              </w:rPr>
              <w:t>5#</w:t>
            </w:r>
            <w:r>
              <w:rPr>
                <w:sz w:val="21"/>
                <w:szCs w:val="21"/>
              </w:rPr>
              <w:t xml:space="preserve"> </w:t>
            </w:r>
            <w:r>
              <w:rPr>
                <w:rFonts w:hint="eastAsia"/>
                <w:sz w:val="21"/>
                <w:szCs w:val="21"/>
              </w:rPr>
              <w:t>任家庄采空区</w:t>
            </w:r>
          </w:p>
        </w:tc>
        <w:tc>
          <w:tcPr>
            <w:tcW w:w="1134" w:type="dxa"/>
            <w:vAlign w:val="center"/>
          </w:tcPr>
          <w:p w14:paraId="5F711E54" w14:textId="77777777" w:rsidR="009C353B" w:rsidRDefault="00000000">
            <w:pPr>
              <w:widowControl/>
              <w:spacing w:line="0" w:lineRule="atLeast"/>
              <w:jc w:val="center"/>
              <w:rPr>
                <w:rFonts w:ascii="Times New Roman" w:hAnsi="Times New Roman"/>
                <w:kern w:val="0"/>
                <w:sz w:val="21"/>
                <w:szCs w:val="21"/>
              </w:rPr>
            </w:pPr>
            <w:r>
              <w:rPr>
                <w:rFonts w:ascii="Times New Roman" w:hAnsi="Times New Roman"/>
                <w:sz w:val="21"/>
                <w:szCs w:val="21"/>
              </w:rPr>
              <w:t>0</w:t>
            </w:r>
            <w:r>
              <w:rPr>
                <w:rFonts w:ascii="Times New Roman" w:hAnsi="Times New Roman" w:hint="eastAsia"/>
                <w:sz w:val="21"/>
                <w:szCs w:val="21"/>
              </w:rPr>
              <w:t>-</w:t>
            </w:r>
            <w:r>
              <w:rPr>
                <w:rFonts w:ascii="Times New Roman" w:hAnsi="Times New Roman"/>
                <w:sz w:val="21"/>
                <w:szCs w:val="21"/>
              </w:rPr>
              <w:t>0.2</w:t>
            </w:r>
          </w:p>
        </w:tc>
        <w:tc>
          <w:tcPr>
            <w:tcW w:w="1134" w:type="dxa"/>
            <w:vAlign w:val="center"/>
          </w:tcPr>
          <w:p w14:paraId="11A568A4"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N</w:t>
            </w:r>
            <w:r>
              <w:rPr>
                <w:rFonts w:ascii="Times New Roman" w:hAnsi="Times New Roman"/>
                <w:sz w:val="21"/>
                <w:szCs w:val="21"/>
              </w:rPr>
              <w:t>D 0.5</w:t>
            </w:r>
          </w:p>
        </w:tc>
        <w:tc>
          <w:tcPr>
            <w:tcW w:w="1134" w:type="dxa"/>
            <w:vAlign w:val="center"/>
          </w:tcPr>
          <w:p w14:paraId="11AC132E"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2.5</w:t>
            </w:r>
          </w:p>
        </w:tc>
        <w:tc>
          <w:tcPr>
            <w:tcW w:w="1134" w:type="dxa"/>
            <w:vAlign w:val="center"/>
          </w:tcPr>
          <w:p w14:paraId="116876A6"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.07</w:t>
            </w:r>
          </w:p>
        </w:tc>
        <w:tc>
          <w:tcPr>
            <w:tcW w:w="1134" w:type="dxa"/>
            <w:vAlign w:val="center"/>
          </w:tcPr>
          <w:p w14:paraId="6F9C74DA"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3</w:t>
            </w:r>
          </w:p>
        </w:tc>
        <w:tc>
          <w:tcPr>
            <w:tcW w:w="1134" w:type="dxa"/>
            <w:vAlign w:val="center"/>
          </w:tcPr>
          <w:p w14:paraId="603BB206"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5.2</w:t>
            </w:r>
          </w:p>
        </w:tc>
        <w:tc>
          <w:tcPr>
            <w:tcW w:w="1134" w:type="dxa"/>
            <w:vAlign w:val="center"/>
          </w:tcPr>
          <w:p w14:paraId="6D29807F"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.029</w:t>
            </w:r>
          </w:p>
        </w:tc>
        <w:tc>
          <w:tcPr>
            <w:tcW w:w="1134" w:type="dxa"/>
            <w:vAlign w:val="center"/>
          </w:tcPr>
          <w:p w14:paraId="6C336CB0"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5</w:t>
            </w:r>
          </w:p>
        </w:tc>
        <w:tc>
          <w:tcPr>
            <w:tcW w:w="1134" w:type="dxa"/>
            <w:vAlign w:val="center"/>
          </w:tcPr>
          <w:p w14:paraId="0BDD9327"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2</w:t>
            </w:r>
          </w:p>
        </w:tc>
        <w:tc>
          <w:tcPr>
            <w:tcW w:w="1206" w:type="dxa"/>
            <w:vAlign w:val="center"/>
          </w:tcPr>
          <w:p w14:paraId="4E62F258"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9</w:t>
            </w:r>
          </w:p>
        </w:tc>
      </w:tr>
      <w:tr w:rsidR="009C353B" w14:paraId="0E4F2EBC" w14:textId="77777777">
        <w:trPr>
          <w:trHeight w:val="691"/>
          <w:jc w:val="center"/>
        </w:trPr>
        <w:tc>
          <w:tcPr>
            <w:tcW w:w="1950" w:type="dxa"/>
            <w:vAlign w:val="center"/>
          </w:tcPr>
          <w:p w14:paraId="77AA39DC" w14:textId="77777777" w:rsidR="009C353B" w:rsidRDefault="00000000">
            <w:pPr>
              <w:jc w:val="center"/>
              <w:rPr>
                <w:rFonts w:ascii="Times New Roman" w:hAnsi="Times New Roman"/>
                <w:sz w:val="21"/>
                <w:szCs w:val="21"/>
              </w:rPr>
            </w:pPr>
            <w:r>
              <w:rPr>
                <w:rFonts w:hint="eastAsia"/>
                <w:sz w:val="21"/>
                <w:szCs w:val="21"/>
              </w:rPr>
              <w:t>6#</w:t>
            </w:r>
            <w:r>
              <w:rPr>
                <w:sz w:val="21"/>
                <w:szCs w:val="21"/>
              </w:rPr>
              <w:t xml:space="preserve"> </w:t>
            </w:r>
            <w:r>
              <w:rPr>
                <w:rFonts w:hint="eastAsia"/>
                <w:sz w:val="21"/>
                <w:szCs w:val="21"/>
              </w:rPr>
              <w:t>马莲台排矸场（已恢复）</w:t>
            </w:r>
          </w:p>
        </w:tc>
        <w:tc>
          <w:tcPr>
            <w:tcW w:w="1134" w:type="dxa"/>
            <w:vAlign w:val="center"/>
          </w:tcPr>
          <w:p w14:paraId="587AA003" w14:textId="77777777" w:rsidR="009C353B" w:rsidRDefault="00000000">
            <w:pPr>
              <w:widowControl/>
              <w:spacing w:line="0" w:lineRule="atLeast"/>
              <w:jc w:val="center"/>
              <w:rPr>
                <w:rFonts w:ascii="Times New Roman" w:hAnsi="Times New Roman"/>
                <w:kern w:val="0"/>
                <w:sz w:val="21"/>
                <w:szCs w:val="21"/>
              </w:rPr>
            </w:pPr>
            <w:r>
              <w:rPr>
                <w:rFonts w:ascii="Times New Roman" w:hAnsi="Times New Roman"/>
                <w:sz w:val="21"/>
                <w:szCs w:val="21"/>
              </w:rPr>
              <w:t>0</w:t>
            </w:r>
            <w:r>
              <w:rPr>
                <w:rFonts w:ascii="Times New Roman" w:hAnsi="Times New Roman" w:hint="eastAsia"/>
                <w:sz w:val="21"/>
                <w:szCs w:val="21"/>
              </w:rPr>
              <w:t>-</w:t>
            </w:r>
            <w:r>
              <w:rPr>
                <w:rFonts w:ascii="Times New Roman" w:hAnsi="Times New Roman"/>
                <w:sz w:val="21"/>
                <w:szCs w:val="21"/>
              </w:rPr>
              <w:t>0.2</w:t>
            </w:r>
          </w:p>
        </w:tc>
        <w:tc>
          <w:tcPr>
            <w:tcW w:w="1134" w:type="dxa"/>
            <w:vAlign w:val="center"/>
          </w:tcPr>
          <w:p w14:paraId="73596CED"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N</w:t>
            </w:r>
            <w:r>
              <w:rPr>
                <w:rFonts w:ascii="Times New Roman" w:hAnsi="Times New Roman"/>
                <w:sz w:val="21"/>
                <w:szCs w:val="21"/>
              </w:rPr>
              <w:t>D 0.5</w:t>
            </w:r>
          </w:p>
        </w:tc>
        <w:tc>
          <w:tcPr>
            <w:tcW w:w="1134" w:type="dxa"/>
            <w:vAlign w:val="center"/>
          </w:tcPr>
          <w:p w14:paraId="48B4B822"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6.7</w:t>
            </w:r>
          </w:p>
        </w:tc>
        <w:tc>
          <w:tcPr>
            <w:tcW w:w="1134" w:type="dxa"/>
            <w:vAlign w:val="center"/>
          </w:tcPr>
          <w:p w14:paraId="5808C9E4"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.05</w:t>
            </w:r>
          </w:p>
        </w:tc>
        <w:tc>
          <w:tcPr>
            <w:tcW w:w="1134" w:type="dxa"/>
            <w:vAlign w:val="center"/>
          </w:tcPr>
          <w:p w14:paraId="64360BFD"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6</w:t>
            </w:r>
          </w:p>
        </w:tc>
        <w:tc>
          <w:tcPr>
            <w:tcW w:w="1134" w:type="dxa"/>
            <w:vAlign w:val="center"/>
          </w:tcPr>
          <w:p w14:paraId="0876D2CA"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4.7</w:t>
            </w:r>
          </w:p>
        </w:tc>
        <w:tc>
          <w:tcPr>
            <w:tcW w:w="1134" w:type="dxa"/>
            <w:vAlign w:val="center"/>
          </w:tcPr>
          <w:p w14:paraId="518135BF"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.036</w:t>
            </w:r>
          </w:p>
        </w:tc>
        <w:tc>
          <w:tcPr>
            <w:tcW w:w="1134" w:type="dxa"/>
            <w:vAlign w:val="center"/>
          </w:tcPr>
          <w:p w14:paraId="64F7BA39"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3</w:t>
            </w:r>
          </w:p>
        </w:tc>
        <w:tc>
          <w:tcPr>
            <w:tcW w:w="1134" w:type="dxa"/>
            <w:vAlign w:val="center"/>
          </w:tcPr>
          <w:p w14:paraId="0EB014BF"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2</w:t>
            </w:r>
          </w:p>
        </w:tc>
        <w:tc>
          <w:tcPr>
            <w:tcW w:w="1206" w:type="dxa"/>
            <w:vAlign w:val="center"/>
          </w:tcPr>
          <w:p w14:paraId="1418966A"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7</w:t>
            </w:r>
          </w:p>
        </w:tc>
      </w:tr>
      <w:tr w:rsidR="009C353B" w14:paraId="718AC631" w14:textId="77777777">
        <w:trPr>
          <w:trHeight w:val="691"/>
          <w:jc w:val="center"/>
        </w:trPr>
        <w:tc>
          <w:tcPr>
            <w:tcW w:w="1950" w:type="dxa"/>
            <w:vAlign w:val="center"/>
          </w:tcPr>
          <w:p w14:paraId="0EC0AE0D" w14:textId="77777777" w:rsidR="009C353B" w:rsidRDefault="00000000">
            <w:pPr>
              <w:jc w:val="center"/>
              <w:rPr>
                <w:rFonts w:ascii="Times New Roman" w:hAnsi="Times New Roman"/>
                <w:kern w:val="0"/>
                <w:sz w:val="21"/>
                <w:szCs w:val="21"/>
              </w:rPr>
            </w:pPr>
            <w:r>
              <w:rPr>
                <w:rFonts w:hint="eastAsia"/>
                <w:sz w:val="21"/>
                <w:szCs w:val="21"/>
              </w:rPr>
              <w:t>7#</w:t>
            </w:r>
            <w:r>
              <w:rPr>
                <w:sz w:val="21"/>
                <w:szCs w:val="21"/>
              </w:rPr>
              <w:t xml:space="preserve"> </w:t>
            </w:r>
            <w:r>
              <w:rPr>
                <w:rFonts w:hint="eastAsia"/>
                <w:sz w:val="21"/>
                <w:szCs w:val="21"/>
              </w:rPr>
              <w:t>马莲台排矸场（在用）</w:t>
            </w:r>
          </w:p>
        </w:tc>
        <w:tc>
          <w:tcPr>
            <w:tcW w:w="1134" w:type="dxa"/>
            <w:vAlign w:val="center"/>
          </w:tcPr>
          <w:p w14:paraId="10E1F4B4" w14:textId="77777777" w:rsidR="009C353B" w:rsidRDefault="00000000">
            <w:pPr>
              <w:widowControl/>
              <w:spacing w:line="0" w:lineRule="atLeast"/>
              <w:jc w:val="center"/>
              <w:rPr>
                <w:rFonts w:ascii="Times New Roman" w:hAnsi="Times New Roman"/>
                <w:sz w:val="21"/>
                <w:szCs w:val="21"/>
              </w:rPr>
            </w:pPr>
            <w:r>
              <w:rPr>
                <w:rFonts w:ascii="Times New Roman" w:hAnsi="Times New Roman"/>
                <w:sz w:val="21"/>
                <w:szCs w:val="21"/>
              </w:rPr>
              <w:t>0</w:t>
            </w:r>
            <w:r>
              <w:rPr>
                <w:rFonts w:ascii="Times New Roman" w:hAnsi="Times New Roman" w:hint="eastAsia"/>
                <w:sz w:val="21"/>
                <w:szCs w:val="21"/>
              </w:rPr>
              <w:t>-</w:t>
            </w:r>
            <w:r>
              <w:rPr>
                <w:rFonts w:ascii="Times New Roman" w:hAnsi="Times New Roman"/>
                <w:sz w:val="21"/>
                <w:szCs w:val="21"/>
              </w:rPr>
              <w:t>0.2</w:t>
            </w:r>
          </w:p>
        </w:tc>
        <w:tc>
          <w:tcPr>
            <w:tcW w:w="1134" w:type="dxa"/>
            <w:vAlign w:val="center"/>
          </w:tcPr>
          <w:p w14:paraId="477557E9"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N</w:t>
            </w:r>
            <w:r>
              <w:rPr>
                <w:rFonts w:ascii="Times New Roman" w:hAnsi="Times New Roman"/>
                <w:sz w:val="21"/>
                <w:szCs w:val="21"/>
              </w:rPr>
              <w:t>D 0.5</w:t>
            </w:r>
          </w:p>
        </w:tc>
        <w:tc>
          <w:tcPr>
            <w:tcW w:w="1134" w:type="dxa"/>
            <w:vAlign w:val="center"/>
          </w:tcPr>
          <w:p w14:paraId="7BBA5A29"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0.6</w:t>
            </w:r>
          </w:p>
        </w:tc>
        <w:tc>
          <w:tcPr>
            <w:tcW w:w="1134" w:type="dxa"/>
            <w:vAlign w:val="center"/>
          </w:tcPr>
          <w:p w14:paraId="3721D2E7"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.07</w:t>
            </w:r>
          </w:p>
        </w:tc>
        <w:tc>
          <w:tcPr>
            <w:tcW w:w="1134" w:type="dxa"/>
            <w:vAlign w:val="center"/>
          </w:tcPr>
          <w:p w14:paraId="27A4B313"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9</w:t>
            </w:r>
          </w:p>
        </w:tc>
        <w:tc>
          <w:tcPr>
            <w:tcW w:w="1134" w:type="dxa"/>
            <w:vAlign w:val="center"/>
          </w:tcPr>
          <w:p w14:paraId="74769A7E"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5.2</w:t>
            </w:r>
          </w:p>
        </w:tc>
        <w:tc>
          <w:tcPr>
            <w:tcW w:w="1134" w:type="dxa"/>
            <w:vAlign w:val="center"/>
          </w:tcPr>
          <w:p w14:paraId="0511D5A1"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.018</w:t>
            </w:r>
          </w:p>
        </w:tc>
        <w:tc>
          <w:tcPr>
            <w:tcW w:w="1134" w:type="dxa"/>
            <w:vAlign w:val="center"/>
          </w:tcPr>
          <w:p w14:paraId="183D2CBA"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0</w:t>
            </w:r>
          </w:p>
        </w:tc>
        <w:tc>
          <w:tcPr>
            <w:tcW w:w="1134" w:type="dxa"/>
            <w:vAlign w:val="center"/>
          </w:tcPr>
          <w:p w14:paraId="7DE987A0"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5</w:t>
            </w:r>
          </w:p>
        </w:tc>
        <w:tc>
          <w:tcPr>
            <w:tcW w:w="1206" w:type="dxa"/>
            <w:vAlign w:val="center"/>
          </w:tcPr>
          <w:p w14:paraId="0304FDD7"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1</w:t>
            </w:r>
          </w:p>
        </w:tc>
      </w:tr>
      <w:tr w:rsidR="009C353B" w14:paraId="73634B95" w14:textId="77777777">
        <w:trPr>
          <w:trHeight w:val="691"/>
          <w:jc w:val="center"/>
        </w:trPr>
        <w:tc>
          <w:tcPr>
            <w:tcW w:w="1950" w:type="dxa"/>
            <w:vAlign w:val="center"/>
          </w:tcPr>
          <w:p w14:paraId="73E242A1" w14:textId="77777777" w:rsidR="009C353B" w:rsidRDefault="00000000">
            <w:pPr>
              <w:jc w:val="center"/>
              <w:rPr>
                <w:rFonts w:ascii="Times New Roman" w:hAnsi="Times New Roman"/>
                <w:kern w:val="0"/>
                <w:sz w:val="21"/>
                <w:szCs w:val="21"/>
              </w:rPr>
            </w:pPr>
            <w:r>
              <w:rPr>
                <w:rFonts w:hint="eastAsia"/>
                <w:sz w:val="21"/>
                <w:szCs w:val="21"/>
              </w:rPr>
              <w:t>8#</w:t>
            </w:r>
            <w:r>
              <w:rPr>
                <w:sz w:val="21"/>
                <w:szCs w:val="21"/>
              </w:rPr>
              <w:t xml:space="preserve"> </w:t>
            </w:r>
            <w:r>
              <w:rPr>
                <w:rFonts w:hint="eastAsia"/>
                <w:sz w:val="21"/>
                <w:szCs w:val="21"/>
              </w:rPr>
              <w:t>任家庄排矸场（已恢复）</w:t>
            </w:r>
          </w:p>
        </w:tc>
        <w:tc>
          <w:tcPr>
            <w:tcW w:w="1134" w:type="dxa"/>
            <w:vAlign w:val="center"/>
          </w:tcPr>
          <w:p w14:paraId="4A2322EF" w14:textId="77777777" w:rsidR="009C353B" w:rsidRDefault="00000000">
            <w:pPr>
              <w:widowControl/>
              <w:spacing w:line="0" w:lineRule="atLeast"/>
              <w:jc w:val="center"/>
              <w:rPr>
                <w:rFonts w:ascii="Times New Roman" w:hAnsi="Times New Roman"/>
                <w:sz w:val="21"/>
                <w:szCs w:val="21"/>
              </w:rPr>
            </w:pPr>
            <w:r>
              <w:rPr>
                <w:rFonts w:ascii="Times New Roman" w:hAnsi="Times New Roman"/>
                <w:sz w:val="21"/>
                <w:szCs w:val="21"/>
              </w:rPr>
              <w:t>0</w:t>
            </w:r>
            <w:r>
              <w:rPr>
                <w:rFonts w:ascii="Times New Roman" w:hAnsi="Times New Roman" w:hint="eastAsia"/>
                <w:sz w:val="21"/>
                <w:szCs w:val="21"/>
              </w:rPr>
              <w:t>-</w:t>
            </w:r>
            <w:r>
              <w:rPr>
                <w:rFonts w:ascii="Times New Roman" w:hAnsi="Times New Roman"/>
                <w:sz w:val="21"/>
                <w:szCs w:val="21"/>
              </w:rPr>
              <w:t>0.2</w:t>
            </w:r>
          </w:p>
        </w:tc>
        <w:tc>
          <w:tcPr>
            <w:tcW w:w="1134" w:type="dxa"/>
            <w:vAlign w:val="center"/>
          </w:tcPr>
          <w:p w14:paraId="40FFFBD2"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N</w:t>
            </w:r>
            <w:r>
              <w:rPr>
                <w:rFonts w:ascii="Times New Roman" w:hAnsi="Times New Roman"/>
                <w:sz w:val="21"/>
                <w:szCs w:val="21"/>
              </w:rPr>
              <w:t>D 0.5</w:t>
            </w:r>
          </w:p>
        </w:tc>
        <w:tc>
          <w:tcPr>
            <w:tcW w:w="1134" w:type="dxa"/>
            <w:vAlign w:val="center"/>
          </w:tcPr>
          <w:p w14:paraId="376C8EB1"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2.5</w:t>
            </w:r>
          </w:p>
        </w:tc>
        <w:tc>
          <w:tcPr>
            <w:tcW w:w="1134" w:type="dxa"/>
            <w:vAlign w:val="center"/>
          </w:tcPr>
          <w:p w14:paraId="5AAAE940"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.07</w:t>
            </w:r>
          </w:p>
        </w:tc>
        <w:tc>
          <w:tcPr>
            <w:tcW w:w="1134" w:type="dxa"/>
            <w:vAlign w:val="center"/>
          </w:tcPr>
          <w:p w14:paraId="69C32AFE"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4</w:t>
            </w:r>
          </w:p>
        </w:tc>
        <w:tc>
          <w:tcPr>
            <w:tcW w:w="1134" w:type="dxa"/>
            <w:vAlign w:val="center"/>
          </w:tcPr>
          <w:p w14:paraId="7F553DF1"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7.2</w:t>
            </w:r>
          </w:p>
        </w:tc>
        <w:tc>
          <w:tcPr>
            <w:tcW w:w="1134" w:type="dxa"/>
            <w:vAlign w:val="center"/>
          </w:tcPr>
          <w:p w14:paraId="0436476E"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.019</w:t>
            </w:r>
          </w:p>
        </w:tc>
        <w:tc>
          <w:tcPr>
            <w:tcW w:w="1134" w:type="dxa"/>
            <w:vAlign w:val="center"/>
          </w:tcPr>
          <w:p w14:paraId="315F0A9F"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6</w:t>
            </w:r>
          </w:p>
        </w:tc>
        <w:tc>
          <w:tcPr>
            <w:tcW w:w="1134" w:type="dxa"/>
            <w:vAlign w:val="center"/>
          </w:tcPr>
          <w:p w14:paraId="2627506D"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7</w:t>
            </w:r>
          </w:p>
        </w:tc>
        <w:tc>
          <w:tcPr>
            <w:tcW w:w="1206" w:type="dxa"/>
            <w:vAlign w:val="center"/>
          </w:tcPr>
          <w:p w14:paraId="4D453732"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3</w:t>
            </w:r>
          </w:p>
        </w:tc>
      </w:tr>
      <w:tr w:rsidR="009C353B" w14:paraId="7EE24185" w14:textId="77777777">
        <w:trPr>
          <w:trHeight w:val="691"/>
          <w:jc w:val="center"/>
        </w:trPr>
        <w:tc>
          <w:tcPr>
            <w:tcW w:w="1950" w:type="dxa"/>
            <w:vAlign w:val="center"/>
          </w:tcPr>
          <w:p w14:paraId="43578BD7" w14:textId="77777777" w:rsidR="009C353B" w:rsidRDefault="00000000">
            <w:pPr>
              <w:jc w:val="center"/>
              <w:rPr>
                <w:rFonts w:ascii="Times New Roman" w:hAnsi="Times New Roman"/>
                <w:kern w:val="0"/>
                <w:sz w:val="21"/>
                <w:szCs w:val="21"/>
              </w:rPr>
            </w:pPr>
            <w:r>
              <w:rPr>
                <w:rFonts w:hint="eastAsia"/>
                <w:sz w:val="21"/>
                <w:szCs w:val="21"/>
              </w:rPr>
              <w:t>9#</w:t>
            </w:r>
            <w:r>
              <w:rPr>
                <w:sz w:val="21"/>
                <w:szCs w:val="21"/>
              </w:rPr>
              <w:t xml:space="preserve"> </w:t>
            </w:r>
            <w:r>
              <w:rPr>
                <w:rFonts w:hint="eastAsia"/>
                <w:sz w:val="21"/>
                <w:szCs w:val="21"/>
              </w:rPr>
              <w:t>丁家梁井田内（未扰动区）</w:t>
            </w:r>
          </w:p>
        </w:tc>
        <w:tc>
          <w:tcPr>
            <w:tcW w:w="1134" w:type="dxa"/>
            <w:vAlign w:val="center"/>
          </w:tcPr>
          <w:p w14:paraId="109C8290" w14:textId="77777777" w:rsidR="009C353B" w:rsidRDefault="00000000">
            <w:pPr>
              <w:widowControl/>
              <w:spacing w:line="0" w:lineRule="atLeast"/>
              <w:jc w:val="center"/>
              <w:rPr>
                <w:rFonts w:ascii="Times New Roman" w:hAnsi="Times New Roman"/>
                <w:sz w:val="21"/>
                <w:szCs w:val="21"/>
              </w:rPr>
            </w:pPr>
            <w:r>
              <w:rPr>
                <w:rFonts w:ascii="Times New Roman" w:hAnsi="Times New Roman"/>
                <w:sz w:val="21"/>
                <w:szCs w:val="21"/>
              </w:rPr>
              <w:t>0</w:t>
            </w:r>
            <w:r>
              <w:rPr>
                <w:rFonts w:ascii="Times New Roman" w:hAnsi="Times New Roman" w:hint="eastAsia"/>
                <w:sz w:val="21"/>
                <w:szCs w:val="21"/>
              </w:rPr>
              <w:t>-</w:t>
            </w:r>
            <w:r>
              <w:rPr>
                <w:rFonts w:ascii="Times New Roman" w:hAnsi="Times New Roman"/>
                <w:sz w:val="21"/>
                <w:szCs w:val="21"/>
              </w:rPr>
              <w:t>0.2</w:t>
            </w:r>
          </w:p>
        </w:tc>
        <w:tc>
          <w:tcPr>
            <w:tcW w:w="1134" w:type="dxa"/>
            <w:vAlign w:val="center"/>
          </w:tcPr>
          <w:p w14:paraId="5F497E6A"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N</w:t>
            </w:r>
            <w:r>
              <w:rPr>
                <w:rFonts w:ascii="Times New Roman" w:hAnsi="Times New Roman"/>
                <w:sz w:val="21"/>
                <w:szCs w:val="21"/>
              </w:rPr>
              <w:t>D 0.5</w:t>
            </w:r>
          </w:p>
        </w:tc>
        <w:tc>
          <w:tcPr>
            <w:tcW w:w="1134" w:type="dxa"/>
            <w:vAlign w:val="center"/>
          </w:tcPr>
          <w:p w14:paraId="218399E0"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5.8</w:t>
            </w:r>
          </w:p>
        </w:tc>
        <w:tc>
          <w:tcPr>
            <w:tcW w:w="1134" w:type="dxa"/>
            <w:vAlign w:val="center"/>
          </w:tcPr>
          <w:p w14:paraId="50B2F965"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.06</w:t>
            </w:r>
          </w:p>
        </w:tc>
        <w:tc>
          <w:tcPr>
            <w:tcW w:w="1134" w:type="dxa"/>
            <w:vAlign w:val="center"/>
          </w:tcPr>
          <w:p w14:paraId="7D167B6B"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4</w:t>
            </w:r>
          </w:p>
        </w:tc>
        <w:tc>
          <w:tcPr>
            <w:tcW w:w="1134" w:type="dxa"/>
            <w:vAlign w:val="center"/>
          </w:tcPr>
          <w:p w14:paraId="6289AF01"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5.2</w:t>
            </w:r>
          </w:p>
        </w:tc>
        <w:tc>
          <w:tcPr>
            <w:tcW w:w="1134" w:type="dxa"/>
            <w:vAlign w:val="center"/>
          </w:tcPr>
          <w:p w14:paraId="570BB25F"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.017</w:t>
            </w:r>
          </w:p>
        </w:tc>
        <w:tc>
          <w:tcPr>
            <w:tcW w:w="1134" w:type="dxa"/>
            <w:vAlign w:val="center"/>
          </w:tcPr>
          <w:p w14:paraId="76C6CDC3"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6</w:t>
            </w:r>
          </w:p>
        </w:tc>
        <w:tc>
          <w:tcPr>
            <w:tcW w:w="1134" w:type="dxa"/>
            <w:vAlign w:val="center"/>
          </w:tcPr>
          <w:p w14:paraId="43D09738"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2</w:t>
            </w:r>
          </w:p>
        </w:tc>
        <w:tc>
          <w:tcPr>
            <w:tcW w:w="1206" w:type="dxa"/>
            <w:vAlign w:val="center"/>
          </w:tcPr>
          <w:p w14:paraId="3446100B" w14:textId="77777777" w:rsidR="009C353B" w:rsidRDefault="00000000">
            <w:pPr>
              <w:widowControl/>
              <w:spacing w:line="0" w:lineRule="atLeas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2</w:t>
            </w:r>
          </w:p>
        </w:tc>
      </w:tr>
    </w:tbl>
    <w:p w14:paraId="48F88F1D" w14:textId="77777777" w:rsidR="009C353B" w:rsidRDefault="009C353B">
      <w:pPr>
        <w:adjustRightInd w:val="0"/>
        <w:snapToGrid w:val="0"/>
        <w:spacing w:line="440" w:lineRule="exact"/>
        <w:ind w:firstLineChars="200" w:firstLine="480"/>
        <w:rPr>
          <w:rFonts w:ascii="Times New Roman" w:hAnsi="Times New Roman"/>
        </w:rPr>
      </w:pPr>
    </w:p>
    <w:p w14:paraId="029738DC" w14:textId="77777777" w:rsidR="009C353B" w:rsidRDefault="009C353B">
      <w:pPr>
        <w:adjustRightInd w:val="0"/>
        <w:snapToGrid w:val="0"/>
        <w:spacing w:line="440" w:lineRule="exact"/>
        <w:ind w:firstLineChars="200" w:firstLine="480"/>
        <w:rPr>
          <w:rFonts w:ascii="Times New Roman" w:hAnsi="Times New Roman"/>
        </w:rPr>
      </w:pPr>
    </w:p>
    <w:p w14:paraId="7E6D03EB" w14:textId="77777777" w:rsidR="009C353B" w:rsidRDefault="009C353B">
      <w:pPr>
        <w:adjustRightInd w:val="0"/>
        <w:snapToGrid w:val="0"/>
        <w:spacing w:line="440" w:lineRule="exact"/>
        <w:ind w:firstLineChars="200" w:firstLine="480"/>
        <w:rPr>
          <w:rFonts w:ascii="Times New Roman" w:hAnsi="Times New Roman"/>
        </w:rPr>
      </w:pPr>
    </w:p>
    <w:p w14:paraId="373C50D3" w14:textId="77777777" w:rsidR="009C353B" w:rsidRDefault="009C353B">
      <w:pPr>
        <w:adjustRightInd w:val="0"/>
        <w:snapToGrid w:val="0"/>
        <w:spacing w:line="440" w:lineRule="exact"/>
        <w:ind w:firstLineChars="200" w:firstLine="480"/>
        <w:rPr>
          <w:rFonts w:ascii="Times New Roman" w:hAnsi="Times New Roman"/>
        </w:rPr>
      </w:pPr>
    </w:p>
    <w:p w14:paraId="1FF58233" w14:textId="77777777" w:rsidR="009C353B" w:rsidRDefault="00000000">
      <w:pPr>
        <w:tabs>
          <w:tab w:val="left" w:pos="3882"/>
        </w:tabs>
        <w:adjustRightInd w:val="0"/>
        <w:snapToGrid w:val="0"/>
        <w:spacing w:line="440" w:lineRule="exact"/>
        <w:jc w:val="center"/>
        <w:rPr>
          <w:rFonts w:ascii="Times New Roman" w:hAnsi="Times New Roman"/>
          <w:b/>
        </w:rPr>
      </w:pPr>
      <w:r>
        <w:rPr>
          <w:rFonts w:ascii="Times New Roman" w:hAnsi="Times New Roman" w:hint="eastAsia"/>
          <w:b/>
        </w:rPr>
        <w:t>本次评价</w:t>
      </w:r>
      <w:r>
        <w:rPr>
          <w:rFonts w:ascii="Times New Roman" w:hAnsi="Times New Roman"/>
          <w:b/>
        </w:rPr>
        <w:t>矿区土壤环境现状监测统计结果</w:t>
      </w:r>
      <w:r>
        <w:rPr>
          <w:rFonts w:ascii="Times New Roman" w:hAnsi="Times New Roman" w:hint="eastAsia"/>
          <w:b/>
        </w:rPr>
        <w:t>2</w:t>
      </w:r>
    </w:p>
    <w:p w14:paraId="2890A64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rPr>
        <w:t>表</w:t>
      </w:r>
      <w:r>
        <w:rPr>
          <w:rFonts w:ascii="Times New Roman" w:hAnsi="Times New Roman"/>
        </w:rPr>
        <w:t>3.</w:t>
      </w:r>
      <w:r>
        <w:rPr>
          <w:rFonts w:ascii="Times New Roman" w:hAnsi="Times New Roman" w:hint="eastAsia"/>
        </w:rPr>
        <w:t xml:space="preserve">3-15                                                                               </w:t>
      </w:r>
      <w:r>
        <w:rPr>
          <w:rFonts w:ascii="Times New Roman" w:hAnsi="Times New Roman" w:hint="eastAsia"/>
          <w:szCs w:val="24"/>
        </w:rPr>
        <w:t xml:space="preserve">  </w:t>
      </w:r>
      <w:r>
        <w:rPr>
          <w:rFonts w:ascii="Times New Roman" w:hAnsi="Times New Roman" w:hint="eastAsia"/>
          <w:szCs w:val="24"/>
        </w:rPr>
        <w:t>单位：</w:t>
      </w:r>
      <w:r>
        <w:rPr>
          <w:rFonts w:ascii="Times New Roman" w:hAnsi="Times New Roman"/>
          <w:kern w:val="0"/>
          <w:szCs w:val="24"/>
        </w:rPr>
        <w:t>mg/kg</w:t>
      </w:r>
    </w:p>
    <w:tbl>
      <w:tblPr>
        <w:tblStyle w:val="afffb"/>
        <w:tblW w:w="0" w:type="auto"/>
        <w:jc w:val="center"/>
        <w:tblCellMar>
          <w:top w:w="57" w:type="dxa"/>
          <w:left w:w="57" w:type="dxa"/>
          <w:bottom w:w="57" w:type="dxa"/>
          <w:right w:w="57" w:type="dxa"/>
        </w:tblCellMar>
        <w:tblLook w:val="04A0" w:firstRow="1" w:lastRow="0" w:firstColumn="1" w:lastColumn="0" w:noHBand="0" w:noVBand="1"/>
      </w:tblPr>
      <w:tblGrid>
        <w:gridCol w:w="1999"/>
        <w:gridCol w:w="864"/>
        <w:gridCol w:w="1110"/>
        <w:gridCol w:w="1110"/>
        <w:gridCol w:w="1110"/>
        <w:gridCol w:w="1104"/>
        <w:gridCol w:w="1104"/>
        <w:gridCol w:w="1104"/>
        <w:gridCol w:w="1104"/>
        <w:gridCol w:w="1104"/>
        <w:gridCol w:w="1066"/>
        <w:gridCol w:w="932"/>
      </w:tblGrid>
      <w:tr w:rsidR="009C353B" w14:paraId="1E7052AC" w14:textId="77777777">
        <w:trPr>
          <w:tblHeader/>
          <w:jc w:val="center"/>
        </w:trPr>
        <w:tc>
          <w:tcPr>
            <w:tcW w:w="1999" w:type="dxa"/>
            <w:vAlign w:val="center"/>
          </w:tcPr>
          <w:p w14:paraId="5048FEF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监测点位</w:t>
            </w:r>
          </w:p>
        </w:tc>
        <w:tc>
          <w:tcPr>
            <w:tcW w:w="864" w:type="dxa"/>
            <w:vAlign w:val="center"/>
          </w:tcPr>
          <w:p w14:paraId="1B6B0508" w14:textId="77777777" w:rsidR="009C353B" w:rsidRDefault="00000000">
            <w:pPr>
              <w:adjustRightInd w:val="0"/>
              <w:snapToGrid w:val="0"/>
              <w:spacing w:line="240" w:lineRule="atLeast"/>
              <w:jc w:val="center"/>
              <w:rPr>
                <w:rFonts w:hint="eastAsia"/>
                <w:sz w:val="21"/>
                <w:szCs w:val="21"/>
              </w:rPr>
            </w:pPr>
            <w:r>
              <w:rPr>
                <w:rFonts w:hint="eastAsia"/>
                <w:sz w:val="21"/>
                <w:szCs w:val="21"/>
              </w:rPr>
              <w:t>筛选值</w:t>
            </w:r>
          </w:p>
        </w:tc>
        <w:tc>
          <w:tcPr>
            <w:tcW w:w="3330" w:type="dxa"/>
            <w:gridSpan w:val="3"/>
            <w:vAlign w:val="center"/>
          </w:tcPr>
          <w:p w14:paraId="73ACC491" w14:textId="77777777" w:rsidR="009C353B" w:rsidRDefault="00000000">
            <w:pPr>
              <w:adjustRightInd w:val="0"/>
              <w:snapToGrid w:val="0"/>
              <w:spacing w:line="240" w:lineRule="atLeast"/>
              <w:jc w:val="center"/>
              <w:rPr>
                <w:rFonts w:ascii="Times New Roman" w:hAnsi="Times New Roman"/>
                <w:kern w:val="0"/>
                <w:sz w:val="21"/>
                <w:szCs w:val="21"/>
              </w:rPr>
            </w:pPr>
            <w:r>
              <w:rPr>
                <w:rFonts w:hint="eastAsia"/>
                <w:sz w:val="21"/>
                <w:szCs w:val="21"/>
              </w:rPr>
              <w:t>1#</w:t>
            </w:r>
            <w:r>
              <w:rPr>
                <w:sz w:val="21"/>
                <w:szCs w:val="21"/>
              </w:rPr>
              <w:t xml:space="preserve"> </w:t>
            </w:r>
            <w:r>
              <w:rPr>
                <w:rFonts w:hint="eastAsia"/>
                <w:sz w:val="21"/>
                <w:szCs w:val="21"/>
              </w:rPr>
              <w:t>马莲台工业场地内</w:t>
            </w:r>
          </w:p>
        </w:tc>
        <w:tc>
          <w:tcPr>
            <w:tcW w:w="3312" w:type="dxa"/>
            <w:gridSpan w:val="3"/>
            <w:vAlign w:val="center"/>
          </w:tcPr>
          <w:p w14:paraId="45FDE583" w14:textId="77777777" w:rsidR="009C353B" w:rsidRDefault="00000000">
            <w:pPr>
              <w:adjustRightInd w:val="0"/>
              <w:snapToGrid w:val="0"/>
              <w:spacing w:line="240" w:lineRule="atLeast"/>
              <w:jc w:val="center"/>
              <w:rPr>
                <w:rFonts w:ascii="Times New Roman" w:hAnsi="Times New Roman"/>
                <w:sz w:val="21"/>
                <w:szCs w:val="21"/>
              </w:rPr>
            </w:pPr>
            <w:r>
              <w:rPr>
                <w:rFonts w:hint="eastAsia"/>
                <w:sz w:val="21"/>
                <w:szCs w:val="21"/>
              </w:rPr>
              <w:t>2#</w:t>
            </w:r>
            <w:r>
              <w:rPr>
                <w:sz w:val="21"/>
                <w:szCs w:val="21"/>
              </w:rPr>
              <w:t xml:space="preserve"> </w:t>
            </w:r>
            <w:r>
              <w:rPr>
                <w:rFonts w:hint="eastAsia"/>
                <w:sz w:val="21"/>
                <w:szCs w:val="21"/>
              </w:rPr>
              <w:t>任家庄工业场地内（危废库/油脂库附近）</w:t>
            </w:r>
          </w:p>
        </w:tc>
        <w:tc>
          <w:tcPr>
            <w:tcW w:w="3274" w:type="dxa"/>
            <w:gridSpan w:val="3"/>
            <w:vAlign w:val="center"/>
          </w:tcPr>
          <w:p w14:paraId="385AAFBA" w14:textId="77777777" w:rsidR="009C353B" w:rsidRDefault="00000000">
            <w:pPr>
              <w:adjustRightInd w:val="0"/>
              <w:snapToGrid w:val="0"/>
              <w:spacing w:line="240" w:lineRule="atLeast"/>
              <w:jc w:val="center"/>
              <w:rPr>
                <w:rFonts w:ascii="Times New Roman" w:hAnsi="Times New Roman"/>
                <w:sz w:val="21"/>
                <w:szCs w:val="21"/>
              </w:rPr>
            </w:pPr>
            <w:r>
              <w:rPr>
                <w:rFonts w:hint="eastAsia"/>
                <w:sz w:val="21"/>
                <w:szCs w:val="21"/>
              </w:rPr>
              <w:t>3#</w:t>
            </w:r>
            <w:r>
              <w:rPr>
                <w:sz w:val="21"/>
                <w:szCs w:val="21"/>
              </w:rPr>
              <w:t xml:space="preserve"> </w:t>
            </w:r>
            <w:r>
              <w:rPr>
                <w:rFonts w:hint="eastAsia"/>
                <w:sz w:val="21"/>
                <w:szCs w:val="21"/>
              </w:rPr>
              <w:t>丁家梁工业场地内</w:t>
            </w:r>
          </w:p>
        </w:tc>
        <w:tc>
          <w:tcPr>
            <w:tcW w:w="932" w:type="dxa"/>
          </w:tcPr>
          <w:p w14:paraId="0A1443F2" w14:textId="77777777" w:rsidR="009C353B" w:rsidRDefault="00000000">
            <w:pPr>
              <w:adjustRightInd w:val="0"/>
              <w:snapToGrid w:val="0"/>
              <w:spacing w:line="240" w:lineRule="atLeast"/>
              <w:jc w:val="center"/>
              <w:rPr>
                <w:rFonts w:hint="eastAsia"/>
                <w:sz w:val="21"/>
                <w:szCs w:val="21"/>
              </w:rPr>
            </w:pPr>
            <w:r>
              <w:rPr>
                <w:rFonts w:hint="eastAsia"/>
                <w:sz w:val="21"/>
                <w:szCs w:val="21"/>
              </w:rPr>
              <w:t>达标</w:t>
            </w:r>
          </w:p>
          <w:p w14:paraId="467F586E" w14:textId="77777777" w:rsidR="009C353B" w:rsidRDefault="00000000">
            <w:pPr>
              <w:adjustRightInd w:val="0"/>
              <w:snapToGrid w:val="0"/>
              <w:spacing w:line="240" w:lineRule="atLeast"/>
              <w:jc w:val="center"/>
              <w:rPr>
                <w:rFonts w:hint="eastAsia"/>
                <w:sz w:val="21"/>
                <w:szCs w:val="21"/>
              </w:rPr>
            </w:pPr>
            <w:r>
              <w:rPr>
                <w:rFonts w:hint="eastAsia"/>
                <w:sz w:val="21"/>
                <w:szCs w:val="21"/>
              </w:rPr>
              <w:t>分析</w:t>
            </w:r>
          </w:p>
        </w:tc>
      </w:tr>
      <w:tr w:rsidR="009C353B" w14:paraId="292E72B6" w14:textId="77777777">
        <w:trPr>
          <w:tblHeader/>
          <w:jc w:val="center"/>
        </w:trPr>
        <w:tc>
          <w:tcPr>
            <w:tcW w:w="1999" w:type="dxa"/>
            <w:vAlign w:val="center"/>
          </w:tcPr>
          <w:p w14:paraId="56205AB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采样深度</w:t>
            </w:r>
          </w:p>
        </w:tc>
        <w:tc>
          <w:tcPr>
            <w:tcW w:w="864" w:type="dxa"/>
          </w:tcPr>
          <w:p w14:paraId="3245DEB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c>
          <w:tcPr>
            <w:tcW w:w="1110" w:type="dxa"/>
            <w:vAlign w:val="center"/>
          </w:tcPr>
          <w:p w14:paraId="3D7E45C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0-0.2m</w:t>
            </w:r>
          </w:p>
        </w:tc>
        <w:tc>
          <w:tcPr>
            <w:tcW w:w="1110" w:type="dxa"/>
            <w:vAlign w:val="center"/>
          </w:tcPr>
          <w:p w14:paraId="3047FD0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0.5-1.5m</w:t>
            </w:r>
          </w:p>
        </w:tc>
        <w:tc>
          <w:tcPr>
            <w:tcW w:w="1110" w:type="dxa"/>
            <w:vAlign w:val="center"/>
          </w:tcPr>
          <w:p w14:paraId="54C384B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1.5-3.0m</w:t>
            </w:r>
          </w:p>
        </w:tc>
        <w:tc>
          <w:tcPr>
            <w:tcW w:w="1104" w:type="dxa"/>
            <w:vAlign w:val="center"/>
          </w:tcPr>
          <w:p w14:paraId="6BC6FB4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0-0.2m</w:t>
            </w:r>
          </w:p>
        </w:tc>
        <w:tc>
          <w:tcPr>
            <w:tcW w:w="1104" w:type="dxa"/>
            <w:vAlign w:val="center"/>
          </w:tcPr>
          <w:p w14:paraId="4BA3BA3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0.5-1.5m</w:t>
            </w:r>
          </w:p>
        </w:tc>
        <w:tc>
          <w:tcPr>
            <w:tcW w:w="1104" w:type="dxa"/>
            <w:vAlign w:val="center"/>
          </w:tcPr>
          <w:p w14:paraId="632C034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1.5-3.0m</w:t>
            </w:r>
          </w:p>
        </w:tc>
        <w:tc>
          <w:tcPr>
            <w:tcW w:w="1104" w:type="dxa"/>
            <w:vAlign w:val="center"/>
          </w:tcPr>
          <w:p w14:paraId="2A86D48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0-0.2m</w:t>
            </w:r>
          </w:p>
        </w:tc>
        <w:tc>
          <w:tcPr>
            <w:tcW w:w="1104" w:type="dxa"/>
            <w:vAlign w:val="center"/>
          </w:tcPr>
          <w:p w14:paraId="1194CE3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0.5-1.5m</w:t>
            </w:r>
          </w:p>
        </w:tc>
        <w:tc>
          <w:tcPr>
            <w:tcW w:w="1066" w:type="dxa"/>
            <w:vAlign w:val="center"/>
          </w:tcPr>
          <w:p w14:paraId="14B7AEC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1.5-3.0m</w:t>
            </w:r>
          </w:p>
        </w:tc>
        <w:tc>
          <w:tcPr>
            <w:tcW w:w="932" w:type="dxa"/>
          </w:tcPr>
          <w:p w14:paraId="65B9EFB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r>
      <w:tr w:rsidR="009C353B" w14:paraId="5B73CA34" w14:textId="77777777">
        <w:trPr>
          <w:jc w:val="center"/>
        </w:trPr>
        <w:tc>
          <w:tcPr>
            <w:tcW w:w="1999" w:type="dxa"/>
            <w:vAlign w:val="center"/>
          </w:tcPr>
          <w:p w14:paraId="75F3762C" w14:textId="77777777" w:rsidR="009C353B" w:rsidRDefault="00000000">
            <w:pPr>
              <w:adjustRightInd w:val="0"/>
              <w:snapToGrid w:val="0"/>
              <w:spacing w:line="240" w:lineRule="atLeast"/>
              <w:jc w:val="center"/>
              <w:rPr>
                <w:rFonts w:ascii="Times New Roman" w:hint="eastAsia"/>
                <w:sz w:val="21"/>
                <w:szCs w:val="21"/>
              </w:rPr>
            </w:pPr>
            <w:r>
              <w:rPr>
                <w:rFonts w:hint="eastAsia"/>
                <w:sz w:val="21"/>
                <w:szCs w:val="21"/>
              </w:rPr>
              <w:t>六价铬</w:t>
            </w:r>
          </w:p>
        </w:tc>
        <w:tc>
          <w:tcPr>
            <w:tcW w:w="864" w:type="dxa"/>
          </w:tcPr>
          <w:p w14:paraId="18096FD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.7</w:t>
            </w:r>
          </w:p>
        </w:tc>
        <w:tc>
          <w:tcPr>
            <w:tcW w:w="1110" w:type="dxa"/>
            <w:vAlign w:val="center"/>
          </w:tcPr>
          <w:p w14:paraId="3D138C4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ND 0.5</w:t>
            </w:r>
          </w:p>
        </w:tc>
        <w:tc>
          <w:tcPr>
            <w:tcW w:w="1110" w:type="dxa"/>
            <w:vAlign w:val="center"/>
          </w:tcPr>
          <w:p w14:paraId="31F85F9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ND 0.5</w:t>
            </w:r>
          </w:p>
        </w:tc>
        <w:tc>
          <w:tcPr>
            <w:tcW w:w="1110" w:type="dxa"/>
            <w:vAlign w:val="center"/>
          </w:tcPr>
          <w:p w14:paraId="20783D1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ND 0.5</w:t>
            </w:r>
          </w:p>
        </w:tc>
        <w:tc>
          <w:tcPr>
            <w:tcW w:w="1104" w:type="dxa"/>
            <w:vAlign w:val="center"/>
          </w:tcPr>
          <w:p w14:paraId="3FCC39E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ND 0.5</w:t>
            </w:r>
          </w:p>
        </w:tc>
        <w:tc>
          <w:tcPr>
            <w:tcW w:w="1104" w:type="dxa"/>
            <w:vAlign w:val="center"/>
          </w:tcPr>
          <w:p w14:paraId="18D7172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ND 0.5</w:t>
            </w:r>
          </w:p>
        </w:tc>
        <w:tc>
          <w:tcPr>
            <w:tcW w:w="1104" w:type="dxa"/>
            <w:vAlign w:val="center"/>
          </w:tcPr>
          <w:p w14:paraId="0E9F4B9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ND 0.5</w:t>
            </w:r>
          </w:p>
        </w:tc>
        <w:tc>
          <w:tcPr>
            <w:tcW w:w="1104" w:type="dxa"/>
            <w:vAlign w:val="center"/>
          </w:tcPr>
          <w:p w14:paraId="1024C53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ND 0.5</w:t>
            </w:r>
          </w:p>
        </w:tc>
        <w:tc>
          <w:tcPr>
            <w:tcW w:w="1104" w:type="dxa"/>
            <w:vAlign w:val="center"/>
          </w:tcPr>
          <w:p w14:paraId="6DADA5A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ND 0.5</w:t>
            </w:r>
          </w:p>
        </w:tc>
        <w:tc>
          <w:tcPr>
            <w:tcW w:w="1066" w:type="dxa"/>
            <w:vAlign w:val="center"/>
          </w:tcPr>
          <w:p w14:paraId="39B8714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ND 0.5</w:t>
            </w:r>
          </w:p>
        </w:tc>
        <w:tc>
          <w:tcPr>
            <w:tcW w:w="932" w:type="dxa"/>
          </w:tcPr>
          <w:p w14:paraId="73DF600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0420FA35" w14:textId="77777777">
        <w:trPr>
          <w:jc w:val="center"/>
        </w:trPr>
        <w:tc>
          <w:tcPr>
            <w:tcW w:w="1999" w:type="dxa"/>
            <w:vAlign w:val="center"/>
          </w:tcPr>
          <w:p w14:paraId="042108D5" w14:textId="77777777" w:rsidR="009C353B" w:rsidRDefault="00000000">
            <w:pPr>
              <w:adjustRightInd w:val="0"/>
              <w:snapToGrid w:val="0"/>
              <w:spacing w:line="240" w:lineRule="atLeast"/>
              <w:jc w:val="center"/>
              <w:rPr>
                <w:rFonts w:ascii="Times New Roman" w:hint="eastAsia"/>
                <w:sz w:val="21"/>
                <w:szCs w:val="21"/>
              </w:rPr>
            </w:pPr>
            <w:r>
              <w:rPr>
                <w:rFonts w:hint="eastAsia"/>
                <w:sz w:val="21"/>
                <w:szCs w:val="21"/>
              </w:rPr>
              <w:t>总砷</w:t>
            </w:r>
          </w:p>
        </w:tc>
        <w:tc>
          <w:tcPr>
            <w:tcW w:w="864" w:type="dxa"/>
          </w:tcPr>
          <w:p w14:paraId="025C81F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0</w:t>
            </w:r>
          </w:p>
        </w:tc>
        <w:tc>
          <w:tcPr>
            <w:tcW w:w="1110" w:type="dxa"/>
            <w:vAlign w:val="center"/>
          </w:tcPr>
          <w:p w14:paraId="31F379A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11.1</w:t>
            </w:r>
          </w:p>
        </w:tc>
        <w:tc>
          <w:tcPr>
            <w:tcW w:w="1110" w:type="dxa"/>
            <w:vAlign w:val="center"/>
          </w:tcPr>
          <w:p w14:paraId="648E3AE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10.4</w:t>
            </w:r>
          </w:p>
        </w:tc>
        <w:tc>
          <w:tcPr>
            <w:tcW w:w="1110" w:type="dxa"/>
            <w:vAlign w:val="center"/>
          </w:tcPr>
          <w:p w14:paraId="3F77AFB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10.5</w:t>
            </w:r>
          </w:p>
        </w:tc>
        <w:tc>
          <w:tcPr>
            <w:tcW w:w="1104" w:type="dxa"/>
            <w:vAlign w:val="center"/>
          </w:tcPr>
          <w:p w14:paraId="6D9C4DC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11.7</w:t>
            </w:r>
          </w:p>
        </w:tc>
        <w:tc>
          <w:tcPr>
            <w:tcW w:w="1104" w:type="dxa"/>
            <w:vAlign w:val="center"/>
          </w:tcPr>
          <w:p w14:paraId="2061A14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10.7</w:t>
            </w:r>
          </w:p>
        </w:tc>
        <w:tc>
          <w:tcPr>
            <w:tcW w:w="1104" w:type="dxa"/>
            <w:vAlign w:val="center"/>
          </w:tcPr>
          <w:p w14:paraId="5C7487D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11.5</w:t>
            </w:r>
          </w:p>
        </w:tc>
        <w:tc>
          <w:tcPr>
            <w:tcW w:w="1104" w:type="dxa"/>
            <w:vAlign w:val="center"/>
          </w:tcPr>
          <w:p w14:paraId="7D8C30A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11.2</w:t>
            </w:r>
          </w:p>
        </w:tc>
        <w:tc>
          <w:tcPr>
            <w:tcW w:w="1104" w:type="dxa"/>
            <w:vAlign w:val="center"/>
          </w:tcPr>
          <w:p w14:paraId="06333F9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14.4</w:t>
            </w:r>
          </w:p>
        </w:tc>
        <w:tc>
          <w:tcPr>
            <w:tcW w:w="1066" w:type="dxa"/>
            <w:vAlign w:val="center"/>
          </w:tcPr>
          <w:p w14:paraId="771ABA3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16.6</w:t>
            </w:r>
          </w:p>
        </w:tc>
        <w:tc>
          <w:tcPr>
            <w:tcW w:w="932" w:type="dxa"/>
          </w:tcPr>
          <w:p w14:paraId="5766218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7F7D0226" w14:textId="77777777">
        <w:trPr>
          <w:jc w:val="center"/>
        </w:trPr>
        <w:tc>
          <w:tcPr>
            <w:tcW w:w="1999" w:type="dxa"/>
            <w:vAlign w:val="center"/>
          </w:tcPr>
          <w:p w14:paraId="002B85A5" w14:textId="77777777" w:rsidR="009C353B" w:rsidRDefault="00000000">
            <w:pPr>
              <w:adjustRightInd w:val="0"/>
              <w:snapToGrid w:val="0"/>
              <w:spacing w:line="240" w:lineRule="atLeast"/>
              <w:jc w:val="center"/>
              <w:rPr>
                <w:rFonts w:ascii="Times New Roman" w:hint="eastAsia"/>
                <w:sz w:val="21"/>
                <w:szCs w:val="21"/>
              </w:rPr>
            </w:pPr>
            <w:r>
              <w:rPr>
                <w:rFonts w:hint="eastAsia"/>
                <w:sz w:val="21"/>
                <w:szCs w:val="21"/>
              </w:rPr>
              <w:t>镉</w:t>
            </w:r>
          </w:p>
        </w:tc>
        <w:tc>
          <w:tcPr>
            <w:tcW w:w="864" w:type="dxa"/>
          </w:tcPr>
          <w:p w14:paraId="20B2BBD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5</w:t>
            </w:r>
          </w:p>
        </w:tc>
        <w:tc>
          <w:tcPr>
            <w:tcW w:w="1110" w:type="dxa"/>
            <w:vAlign w:val="center"/>
          </w:tcPr>
          <w:p w14:paraId="03DE24F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0.08</w:t>
            </w:r>
          </w:p>
        </w:tc>
        <w:tc>
          <w:tcPr>
            <w:tcW w:w="1110" w:type="dxa"/>
            <w:vAlign w:val="center"/>
          </w:tcPr>
          <w:p w14:paraId="7C3C0BF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0.06</w:t>
            </w:r>
          </w:p>
        </w:tc>
        <w:tc>
          <w:tcPr>
            <w:tcW w:w="1110" w:type="dxa"/>
            <w:vAlign w:val="center"/>
          </w:tcPr>
          <w:p w14:paraId="26A4CBF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0.05</w:t>
            </w:r>
          </w:p>
        </w:tc>
        <w:tc>
          <w:tcPr>
            <w:tcW w:w="1104" w:type="dxa"/>
            <w:vAlign w:val="center"/>
          </w:tcPr>
          <w:p w14:paraId="1B31A1A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0.06</w:t>
            </w:r>
          </w:p>
        </w:tc>
        <w:tc>
          <w:tcPr>
            <w:tcW w:w="1104" w:type="dxa"/>
            <w:vAlign w:val="center"/>
          </w:tcPr>
          <w:p w14:paraId="5A13D5E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0.07</w:t>
            </w:r>
          </w:p>
        </w:tc>
        <w:tc>
          <w:tcPr>
            <w:tcW w:w="1104" w:type="dxa"/>
            <w:vAlign w:val="center"/>
          </w:tcPr>
          <w:p w14:paraId="4602661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0.07</w:t>
            </w:r>
          </w:p>
        </w:tc>
        <w:tc>
          <w:tcPr>
            <w:tcW w:w="1104" w:type="dxa"/>
            <w:vAlign w:val="center"/>
          </w:tcPr>
          <w:p w14:paraId="6512A83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0.05</w:t>
            </w:r>
          </w:p>
        </w:tc>
        <w:tc>
          <w:tcPr>
            <w:tcW w:w="1104" w:type="dxa"/>
            <w:vAlign w:val="center"/>
          </w:tcPr>
          <w:p w14:paraId="17CD14F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0.05</w:t>
            </w:r>
          </w:p>
        </w:tc>
        <w:tc>
          <w:tcPr>
            <w:tcW w:w="1066" w:type="dxa"/>
            <w:vAlign w:val="center"/>
          </w:tcPr>
          <w:p w14:paraId="31AAE5C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0.07</w:t>
            </w:r>
          </w:p>
        </w:tc>
        <w:tc>
          <w:tcPr>
            <w:tcW w:w="932" w:type="dxa"/>
          </w:tcPr>
          <w:p w14:paraId="043EFD0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16DB6D07" w14:textId="77777777">
        <w:trPr>
          <w:jc w:val="center"/>
        </w:trPr>
        <w:tc>
          <w:tcPr>
            <w:tcW w:w="1999" w:type="dxa"/>
            <w:vAlign w:val="center"/>
          </w:tcPr>
          <w:p w14:paraId="79C8767E" w14:textId="77777777" w:rsidR="009C353B" w:rsidRDefault="00000000">
            <w:pPr>
              <w:adjustRightInd w:val="0"/>
              <w:snapToGrid w:val="0"/>
              <w:spacing w:line="240" w:lineRule="atLeast"/>
              <w:jc w:val="center"/>
              <w:rPr>
                <w:rFonts w:ascii="Times New Roman" w:hint="eastAsia"/>
                <w:sz w:val="21"/>
                <w:szCs w:val="21"/>
              </w:rPr>
            </w:pPr>
            <w:r>
              <w:rPr>
                <w:rFonts w:hint="eastAsia"/>
                <w:sz w:val="21"/>
                <w:szCs w:val="21"/>
              </w:rPr>
              <w:t>铜</w:t>
            </w:r>
          </w:p>
        </w:tc>
        <w:tc>
          <w:tcPr>
            <w:tcW w:w="864" w:type="dxa"/>
          </w:tcPr>
          <w:p w14:paraId="1A76C85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8000</w:t>
            </w:r>
          </w:p>
        </w:tc>
        <w:tc>
          <w:tcPr>
            <w:tcW w:w="1110" w:type="dxa"/>
            <w:vAlign w:val="center"/>
          </w:tcPr>
          <w:p w14:paraId="59F19D1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28</w:t>
            </w:r>
          </w:p>
        </w:tc>
        <w:tc>
          <w:tcPr>
            <w:tcW w:w="1110" w:type="dxa"/>
            <w:vAlign w:val="center"/>
          </w:tcPr>
          <w:p w14:paraId="25240DC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30</w:t>
            </w:r>
          </w:p>
        </w:tc>
        <w:tc>
          <w:tcPr>
            <w:tcW w:w="1110" w:type="dxa"/>
            <w:vAlign w:val="center"/>
          </w:tcPr>
          <w:p w14:paraId="7331CC1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27</w:t>
            </w:r>
          </w:p>
        </w:tc>
        <w:tc>
          <w:tcPr>
            <w:tcW w:w="1104" w:type="dxa"/>
            <w:vAlign w:val="center"/>
          </w:tcPr>
          <w:p w14:paraId="586F295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30</w:t>
            </w:r>
          </w:p>
        </w:tc>
        <w:tc>
          <w:tcPr>
            <w:tcW w:w="1104" w:type="dxa"/>
            <w:vAlign w:val="center"/>
          </w:tcPr>
          <w:p w14:paraId="3B91645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31</w:t>
            </w:r>
          </w:p>
        </w:tc>
        <w:tc>
          <w:tcPr>
            <w:tcW w:w="1104" w:type="dxa"/>
            <w:vAlign w:val="center"/>
          </w:tcPr>
          <w:p w14:paraId="53C33BD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30</w:t>
            </w:r>
          </w:p>
        </w:tc>
        <w:tc>
          <w:tcPr>
            <w:tcW w:w="1104" w:type="dxa"/>
            <w:vAlign w:val="center"/>
          </w:tcPr>
          <w:p w14:paraId="03DC7A7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27</w:t>
            </w:r>
          </w:p>
        </w:tc>
        <w:tc>
          <w:tcPr>
            <w:tcW w:w="1104" w:type="dxa"/>
            <w:vAlign w:val="center"/>
          </w:tcPr>
          <w:p w14:paraId="3C52A6E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29</w:t>
            </w:r>
          </w:p>
        </w:tc>
        <w:tc>
          <w:tcPr>
            <w:tcW w:w="1066" w:type="dxa"/>
            <w:vAlign w:val="center"/>
          </w:tcPr>
          <w:p w14:paraId="49DADCC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29</w:t>
            </w:r>
          </w:p>
        </w:tc>
        <w:tc>
          <w:tcPr>
            <w:tcW w:w="932" w:type="dxa"/>
          </w:tcPr>
          <w:p w14:paraId="6C55138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2A018475" w14:textId="77777777">
        <w:trPr>
          <w:jc w:val="center"/>
        </w:trPr>
        <w:tc>
          <w:tcPr>
            <w:tcW w:w="1999" w:type="dxa"/>
            <w:vAlign w:val="center"/>
          </w:tcPr>
          <w:p w14:paraId="7AF25B90" w14:textId="77777777" w:rsidR="009C353B" w:rsidRDefault="00000000">
            <w:pPr>
              <w:adjustRightInd w:val="0"/>
              <w:snapToGrid w:val="0"/>
              <w:spacing w:line="240" w:lineRule="atLeast"/>
              <w:jc w:val="center"/>
              <w:rPr>
                <w:rFonts w:ascii="Times New Roman" w:hint="eastAsia"/>
                <w:sz w:val="21"/>
                <w:szCs w:val="21"/>
              </w:rPr>
            </w:pPr>
            <w:r>
              <w:rPr>
                <w:rFonts w:hint="eastAsia"/>
                <w:sz w:val="21"/>
                <w:szCs w:val="21"/>
              </w:rPr>
              <w:t>铅</w:t>
            </w:r>
          </w:p>
        </w:tc>
        <w:tc>
          <w:tcPr>
            <w:tcW w:w="864" w:type="dxa"/>
          </w:tcPr>
          <w:p w14:paraId="3EAFA21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00</w:t>
            </w:r>
          </w:p>
        </w:tc>
        <w:tc>
          <w:tcPr>
            <w:tcW w:w="1110" w:type="dxa"/>
            <w:vAlign w:val="center"/>
          </w:tcPr>
          <w:p w14:paraId="72EA331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16.6</w:t>
            </w:r>
          </w:p>
        </w:tc>
        <w:tc>
          <w:tcPr>
            <w:tcW w:w="1110" w:type="dxa"/>
            <w:vAlign w:val="center"/>
          </w:tcPr>
          <w:p w14:paraId="1DB6879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15.5</w:t>
            </w:r>
          </w:p>
        </w:tc>
        <w:tc>
          <w:tcPr>
            <w:tcW w:w="1110" w:type="dxa"/>
            <w:vAlign w:val="center"/>
          </w:tcPr>
          <w:p w14:paraId="7E7C997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14.6</w:t>
            </w:r>
          </w:p>
        </w:tc>
        <w:tc>
          <w:tcPr>
            <w:tcW w:w="1104" w:type="dxa"/>
            <w:vAlign w:val="center"/>
          </w:tcPr>
          <w:p w14:paraId="0D18AD3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16.2</w:t>
            </w:r>
          </w:p>
        </w:tc>
        <w:tc>
          <w:tcPr>
            <w:tcW w:w="1104" w:type="dxa"/>
            <w:vAlign w:val="center"/>
          </w:tcPr>
          <w:p w14:paraId="06B922E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16.6</w:t>
            </w:r>
          </w:p>
        </w:tc>
        <w:tc>
          <w:tcPr>
            <w:tcW w:w="1104" w:type="dxa"/>
            <w:vAlign w:val="center"/>
          </w:tcPr>
          <w:p w14:paraId="077D5D5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15.3</w:t>
            </w:r>
          </w:p>
        </w:tc>
        <w:tc>
          <w:tcPr>
            <w:tcW w:w="1104" w:type="dxa"/>
            <w:vAlign w:val="center"/>
          </w:tcPr>
          <w:p w14:paraId="6F73003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10.8</w:t>
            </w:r>
          </w:p>
        </w:tc>
        <w:tc>
          <w:tcPr>
            <w:tcW w:w="1104" w:type="dxa"/>
            <w:vAlign w:val="center"/>
          </w:tcPr>
          <w:p w14:paraId="29DC128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13.1</w:t>
            </w:r>
          </w:p>
        </w:tc>
        <w:tc>
          <w:tcPr>
            <w:tcW w:w="1066" w:type="dxa"/>
            <w:vAlign w:val="center"/>
          </w:tcPr>
          <w:p w14:paraId="7ABE8E2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13.9</w:t>
            </w:r>
          </w:p>
        </w:tc>
        <w:tc>
          <w:tcPr>
            <w:tcW w:w="932" w:type="dxa"/>
          </w:tcPr>
          <w:p w14:paraId="7B5FEC8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47EB4DE9" w14:textId="77777777">
        <w:trPr>
          <w:jc w:val="center"/>
        </w:trPr>
        <w:tc>
          <w:tcPr>
            <w:tcW w:w="1999" w:type="dxa"/>
            <w:vAlign w:val="center"/>
          </w:tcPr>
          <w:p w14:paraId="174343C3" w14:textId="77777777" w:rsidR="009C353B" w:rsidRDefault="00000000">
            <w:pPr>
              <w:adjustRightInd w:val="0"/>
              <w:snapToGrid w:val="0"/>
              <w:spacing w:line="240" w:lineRule="atLeast"/>
              <w:jc w:val="center"/>
              <w:rPr>
                <w:rFonts w:ascii="Times New Roman" w:hint="eastAsia"/>
                <w:sz w:val="21"/>
                <w:szCs w:val="21"/>
              </w:rPr>
            </w:pPr>
            <w:r>
              <w:rPr>
                <w:rFonts w:hint="eastAsia"/>
                <w:sz w:val="21"/>
                <w:szCs w:val="21"/>
              </w:rPr>
              <w:t>汞</w:t>
            </w:r>
          </w:p>
        </w:tc>
        <w:tc>
          <w:tcPr>
            <w:tcW w:w="864" w:type="dxa"/>
          </w:tcPr>
          <w:p w14:paraId="0A8B5FB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8</w:t>
            </w:r>
          </w:p>
        </w:tc>
        <w:tc>
          <w:tcPr>
            <w:tcW w:w="1110" w:type="dxa"/>
            <w:vAlign w:val="center"/>
          </w:tcPr>
          <w:p w14:paraId="1FE3BB1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0.032</w:t>
            </w:r>
          </w:p>
        </w:tc>
        <w:tc>
          <w:tcPr>
            <w:tcW w:w="1110" w:type="dxa"/>
            <w:vAlign w:val="center"/>
          </w:tcPr>
          <w:p w14:paraId="7E8CF90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0.016</w:t>
            </w:r>
          </w:p>
        </w:tc>
        <w:tc>
          <w:tcPr>
            <w:tcW w:w="1110" w:type="dxa"/>
            <w:vAlign w:val="center"/>
          </w:tcPr>
          <w:p w14:paraId="013A910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0.015</w:t>
            </w:r>
          </w:p>
        </w:tc>
        <w:tc>
          <w:tcPr>
            <w:tcW w:w="1104" w:type="dxa"/>
            <w:vAlign w:val="center"/>
          </w:tcPr>
          <w:p w14:paraId="3EDAB3C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0.018</w:t>
            </w:r>
          </w:p>
        </w:tc>
        <w:tc>
          <w:tcPr>
            <w:tcW w:w="1104" w:type="dxa"/>
            <w:vAlign w:val="center"/>
          </w:tcPr>
          <w:p w14:paraId="672EB06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0.017</w:t>
            </w:r>
          </w:p>
        </w:tc>
        <w:tc>
          <w:tcPr>
            <w:tcW w:w="1104" w:type="dxa"/>
            <w:vAlign w:val="center"/>
          </w:tcPr>
          <w:p w14:paraId="05325B0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0.018</w:t>
            </w:r>
          </w:p>
        </w:tc>
        <w:tc>
          <w:tcPr>
            <w:tcW w:w="1104" w:type="dxa"/>
            <w:vAlign w:val="center"/>
          </w:tcPr>
          <w:p w14:paraId="77DBD05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0.015</w:t>
            </w:r>
          </w:p>
        </w:tc>
        <w:tc>
          <w:tcPr>
            <w:tcW w:w="1104" w:type="dxa"/>
            <w:vAlign w:val="center"/>
          </w:tcPr>
          <w:p w14:paraId="46D3C86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0.019</w:t>
            </w:r>
          </w:p>
        </w:tc>
        <w:tc>
          <w:tcPr>
            <w:tcW w:w="1066" w:type="dxa"/>
            <w:vAlign w:val="center"/>
          </w:tcPr>
          <w:p w14:paraId="45BB355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0.017</w:t>
            </w:r>
          </w:p>
        </w:tc>
        <w:tc>
          <w:tcPr>
            <w:tcW w:w="932" w:type="dxa"/>
          </w:tcPr>
          <w:p w14:paraId="39FA070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56D71D4F" w14:textId="77777777">
        <w:trPr>
          <w:jc w:val="center"/>
        </w:trPr>
        <w:tc>
          <w:tcPr>
            <w:tcW w:w="1999" w:type="dxa"/>
            <w:vAlign w:val="center"/>
          </w:tcPr>
          <w:p w14:paraId="2918C55A" w14:textId="77777777" w:rsidR="009C353B" w:rsidRDefault="00000000">
            <w:pPr>
              <w:adjustRightInd w:val="0"/>
              <w:snapToGrid w:val="0"/>
              <w:spacing w:line="240" w:lineRule="atLeast"/>
              <w:jc w:val="center"/>
              <w:rPr>
                <w:rFonts w:ascii="Times New Roman" w:hint="eastAsia"/>
                <w:sz w:val="21"/>
                <w:szCs w:val="21"/>
              </w:rPr>
            </w:pPr>
            <w:r>
              <w:rPr>
                <w:rFonts w:hint="eastAsia"/>
                <w:sz w:val="21"/>
                <w:szCs w:val="21"/>
              </w:rPr>
              <w:t>镍</w:t>
            </w:r>
          </w:p>
        </w:tc>
        <w:tc>
          <w:tcPr>
            <w:tcW w:w="864" w:type="dxa"/>
          </w:tcPr>
          <w:p w14:paraId="3657E22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00</w:t>
            </w:r>
          </w:p>
        </w:tc>
        <w:tc>
          <w:tcPr>
            <w:tcW w:w="1110" w:type="dxa"/>
            <w:vAlign w:val="center"/>
          </w:tcPr>
          <w:p w14:paraId="648B4DC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25</w:t>
            </w:r>
          </w:p>
        </w:tc>
        <w:tc>
          <w:tcPr>
            <w:tcW w:w="1110" w:type="dxa"/>
            <w:vAlign w:val="center"/>
          </w:tcPr>
          <w:p w14:paraId="4F32B45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24</w:t>
            </w:r>
          </w:p>
        </w:tc>
        <w:tc>
          <w:tcPr>
            <w:tcW w:w="1110" w:type="dxa"/>
            <w:vAlign w:val="center"/>
          </w:tcPr>
          <w:p w14:paraId="673C3AA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22</w:t>
            </w:r>
          </w:p>
        </w:tc>
        <w:tc>
          <w:tcPr>
            <w:tcW w:w="1104" w:type="dxa"/>
            <w:vAlign w:val="center"/>
          </w:tcPr>
          <w:p w14:paraId="0CA3E1F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25</w:t>
            </w:r>
          </w:p>
        </w:tc>
        <w:tc>
          <w:tcPr>
            <w:tcW w:w="1104" w:type="dxa"/>
            <w:vAlign w:val="center"/>
          </w:tcPr>
          <w:p w14:paraId="0621199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26</w:t>
            </w:r>
          </w:p>
        </w:tc>
        <w:tc>
          <w:tcPr>
            <w:tcW w:w="1104" w:type="dxa"/>
            <w:vAlign w:val="center"/>
          </w:tcPr>
          <w:p w14:paraId="3EDEE98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25</w:t>
            </w:r>
          </w:p>
        </w:tc>
        <w:tc>
          <w:tcPr>
            <w:tcW w:w="1104" w:type="dxa"/>
            <w:vAlign w:val="center"/>
          </w:tcPr>
          <w:p w14:paraId="08B0D02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23</w:t>
            </w:r>
          </w:p>
        </w:tc>
        <w:tc>
          <w:tcPr>
            <w:tcW w:w="1104" w:type="dxa"/>
            <w:vAlign w:val="center"/>
          </w:tcPr>
          <w:p w14:paraId="022F582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27</w:t>
            </w:r>
          </w:p>
        </w:tc>
        <w:tc>
          <w:tcPr>
            <w:tcW w:w="1066" w:type="dxa"/>
            <w:vAlign w:val="center"/>
          </w:tcPr>
          <w:p w14:paraId="6D55385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23</w:t>
            </w:r>
          </w:p>
        </w:tc>
        <w:tc>
          <w:tcPr>
            <w:tcW w:w="932" w:type="dxa"/>
          </w:tcPr>
          <w:p w14:paraId="795F449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374AA40D" w14:textId="77777777">
        <w:trPr>
          <w:jc w:val="center"/>
        </w:trPr>
        <w:tc>
          <w:tcPr>
            <w:tcW w:w="1999" w:type="dxa"/>
            <w:vAlign w:val="center"/>
          </w:tcPr>
          <w:p w14:paraId="158C526B" w14:textId="77777777" w:rsidR="009C353B" w:rsidRDefault="00000000">
            <w:pPr>
              <w:adjustRightInd w:val="0"/>
              <w:snapToGrid w:val="0"/>
              <w:spacing w:line="240" w:lineRule="atLeast"/>
              <w:jc w:val="center"/>
              <w:rPr>
                <w:rFonts w:ascii="Times New Roman" w:hint="eastAsia"/>
                <w:sz w:val="21"/>
                <w:szCs w:val="21"/>
              </w:rPr>
            </w:pPr>
            <w:r>
              <w:rPr>
                <w:rFonts w:hint="eastAsia"/>
                <w:sz w:val="21"/>
                <w:szCs w:val="21"/>
              </w:rPr>
              <w:t>锌</w:t>
            </w:r>
          </w:p>
        </w:tc>
        <w:tc>
          <w:tcPr>
            <w:tcW w:w="864" w:type="dxa"/>
          </w:tcPr>
          <w:p w14:paraId="434289D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c>
          <w:tcPr>
            <w:tcW w:w="1110" w:type="dxa"/>
            <w:vAlign w:val="center"/>
          </w:tcPr>
          <w:p w14:paraId="6AAFEFE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56</w:t>
            </w:r>
          </w:p>
        </w:tc>
        <w:tc>
          <w:tcPr>
            <w:tcW w:w="1110" w:type="dxa"/>
            <w:vAlign w:val="center"/>
          </w:tcPr>
          <w:p w14:paraId="7A942E9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52</w:t>
            </w:r>
          </w:p>
        </w:tc>
        <w:tc>
          <w:tcPr>
            <w:tcW w:w="1110" w:type="dxa"/>
            <w:vAlign w:val="center"/>
          </w:tcPr>
          <w:p w14:paraId="21CD1CD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52</w:t>
            </w:r>
          </w:p>
        </w:tc>
        <w:tc>
          <w:tcPr>
            <w:tcW w:w="1104" w:type="dxa"/>
            <w:vAlign w:val="center"/>
          </w:tcPr>
          <w:p w14:paraId="54D956C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61</w:t>
            </w:r>
          </w:p>
        </w:tc>
        <w:tc>
          <w:tcPr>
            <w:tcW w:w="1104" w:type="dxa"/>
            <w:vAlign w:val="center"/>
          </w:tcPr>
          <w:p w14:paraId="30E2D9E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61</w:t>
            </w:r>
          </w:p>
        </w:tc>
        <w:tc>
          <w:tcPr>
            <w:tcW w:w="1104" w:type="dxa"/>
            <w:vAlign w:val="center"/>
          </w:tcPr>
          <w:p w14:paraId="09CD281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59</w:t>
            </w:r>
          </w:p>
        </w:tc>
        <w:tc>
          <w:tcPr>
            <w:tcW w:w="1104" w:type="dxa"/>
            <w:vAlign w:val="center"/>
          </w:tcPr>
          <w:p w14:paraId="1E87B94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46</w:t>
            </w:r>
          </w:p>
        </w:tc>
        <w:tc>
          <w:tcPr>
            <w:tcW w:w="1104" w:type="dxa"/>
            <w:vAlign w:val="center"/>
          </w:tcPr>
          <w:p w14:paraId="57DC624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48</w:t>
            </w:r>
          </w:p>
        </w:tc>
        <w:tc>
          <w:tcPr>
            <w:tcW w:w="1066" w:type="dxa"/>
            <w:vAlign w:val="center"/>
          </w:tcPr>
          <w:p w14:paraId="3CB2936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49</w:t>
            </w:r>
          </w:p>
        </w:tc>
        <w:tc>
          <w:tcPr>
            <w:tcW w:w="932" w:type="dxa"/>
          </w:tcPr>
          <w:p w14:paraId="29CCF7C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r>
      <w:tr w:rsidR="009C353B" w14:paraId="235CF0C9" w14:textId="77777777">
        <w:trPr>
          <w:jc w:val="center"/>
        </w:trPr>
        <w:tc>
          <w:tcPr>
            <w:tcW w:w="1999" w:type="dxa"/>
            <w:vAlign w:val="center"/>
          </w:tcPr>
          <w:p w14:paraId="45844BE2" w14:textId="77777777" w:rsidR="009C353B" w:rsidRDefault="00000000">
            <w:pPr>
              <w:adjustRightInd w:val="0"/>
              <w:snapToGrid w:val="0"/>
              <w:spacing w:line="240" w:lineRule="atLeast"/>
              <w:jc w:val="center"/>
              <w:rPr>
                <w:rFonts w:ascii="Times New Roman" w:hint="eastAsia"/>
                <w:sz w:val="21"/>
                <w:szCs w:val="21"/>
              </w:rPr>
            </w:pPr>
            <w:r>
              <w:rPr>
                <w:rFonts w:hint="eastAsia"/>
                <w:sz w:val="21"/>
                <w:szCs w:val="21"/>
              </w:rPr>
              <w:t>铬</w:t>
            </w:r>
          </w:p>
        </w:tc>
        <w:tc>
          <w:tcPr>
            <w:tcW w:w="864" w:type="dxa"/>
          </w:tcPr>
          <w:p w14:paraId="7F5FE9A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c>
          <w:tcPr>
            <w:tcW w:w="1110" w:type="dxa"/>
            <w:vAlign w:val="center"/>
          </w:tcPr>
          <w:p w14:paraId="1D94841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c>
          <w:tcPr>
            <w:tcW w:w="1110" w:type="dxa"/>
            <w:vAlign w:val="center"/>
          </w:tcPr>
          <w:p w14:paraId="659D268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c>
          <w:tcPr>
            <w:tcW w:w="1110" w:type="dxa"/>
            <w:vAlign w:val="center"/>
          </w:tcPr>
          <w:p w14:paraId="58DBC24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c>
          <w:tcPr>
            <w:tcW w:w="1104" w:type="dxa"/>
            <w:vAlign w:val="center"/>
          </w:tcPr>
          <w:p w14:paraId="01B9620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c>
          <w:tcPr>
            <w:tcW w:w="1104" w:type="dxa"/>
            <w:vAlign w:val="center"/>
          </w:tcPr>
          <w:p w14:paraId="3FF29BE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c>
          <w:tcPr>
            <w:tcW w:w="1104" w:type="dxa"/>
            <w:vAlign w:val="center"/>
          </w:tcPr>
          <w:p w14:paraId="5952F1D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c>
          <w:tcPr>
            <w:tcW w:w="1104" w:type="dxa"/>
            <w:vAlign w:val="center"/>
          </w:tcPr>
          <w:p w14:paraId="5E1398B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c>
          <w:tcPr>
            <w:tcW w:w="1104" w:type="dxa"/>
            <w:vAlign w:val="center"/>
          </w:tcPr>
          <w:p w14:paraId="30D5C03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c>
          <w:tcPr>
            <w:tcW w:w="1066" w:type="dxa"/>
            <w:vAlign w:val="center"/>
          </w:tcPr>
          <w:p w14:paraId="133C499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c>
          <w:tcPr>
            <w:tcW w:w="932" w:type="dxa"/>
          </w:tcPr>
          <w:p w14:paraId="0ADEE0A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w:t>
            </w:r>
          </w:p>
        </w:tc>
      </w:tr>
      <w:tr w:rsidR="009C353B" w14:paraId="0FECBBC8" w14:textId="77777777">
        <w:trPr>
          <w:jc w:val="center"/>
        </w:trPr>
        <w:tc>
          <w:tcPr>
            <w:tcW w:w="1999" w:type="dxa"/>
            <w:vAlign w:val="center"/>
          </w:tcPr>
          <w:p w14:paraId="3F8E168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四氯化碳</w:t>
            </w:r>
          </w:p>
        </w:tc>
        <w:tc>
          <w:tcPr>
            <w:tcW w:w="864" w:type="dxa"/>
          </w:tcPr>
          <w:p w14:paraId="4902114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.8</w:t>
            </w:r>
          </w:p>
        </w:tc>
        <w:tc>
          <w:tcPr>
            <w:tcW w:w="1110" w:type="dxa"/>
            <w:vAlign w:val="center"/>
          </w:tcPr>
          <w:p w14:paraId="6F5DB66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10" w:type="dxa"/>
            <w:vAlign w:val="center"/>
          </w:tcPr>
          <w:p w14:paraId="792B263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10" w:type="dxa"/>
            <w:vAlign w:val="center"/>
          </w:tcPr>
          <w:p w14:paraId="076610F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71A6308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0FA129A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34C7A78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6A7311A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5B7825A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066" w:type="dxa"/>
            <w:vAlign w:val="center"/>
          </w:tcPr>
          <w:p w14:paraId="2B4A560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932" w:type="dxa"/>
          </w:tcPr>
          <w:p w14:paraId="5DD3583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772B577B" w14:textId="77777777">
        <w:trPr>
          <w:jc w:val="center"/>
        </w:trPr>
        <w:tc>
          <w:tcPr>
            <w:tcW w:w="1999" w:type="dxa"/>
            <w:vAlign w:val="center"/>
          </w:tcPr>
          <w:p w14:paraId="07ECB42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kern w:val="0"/>
                <w:sz w:val="21"/>
                <w:szCs w:val="21"/>
              </w:rPr>
              <w:t>氯仿</w:t>
            </w:r>
          </w:p>
        </w:tc>
        <w:tc>
          <w:tcPr>
            <w:tcW w:w="864" w:type="dxa"/>
          </w:tcPr>
          <w:p w14:paraId="1EC84DD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.9</w:t>
            </w:r>
          </w:p>
        </w:tc>
        <w:tc>
          <w:tcPr>
            <w:tcW w:w="1110" w:type="dxa"/>
            <w:vAlign w:val="center"/>
          </w:tcPr>
          <w:p w14:paraId="055E9C0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10" w:type="dxa"/>
            <w:vAlign w:val="center"/>
          </w:tcPr>
          <w:p w14:paraId="199576F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10" w:type="dxa"/>
            <w:vAlign w:val="center"/>
          </w:tcPr>
          <w:p w14:paraId="1602A0B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7DDBD63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75B6822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75AC019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62C5B53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55C654E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066" w:type="dxa"/>
            <w:vAlign w:val="center"/>
          </w:tcPr>
          <w:p w14:paraId="34B3EBC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932" w:type="dxa"/>
          </w:tcPr>
          <w:p w14:paraId="7569CEB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0487E47D" w14:textId="77777777">
        <w:trPr>
          <w:jc w:val="center"/>
        </w:trPr>
        <w:tc>
          <w:tcPr>
            <w:tcW w:w="1999" w:type="dxa"/>
            <w:vAlign w:val="center"/>
          </w:tcPr>
          <w:p w14:paraId="54C7FB3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kern w:val="0"/>
                <w:sz w:val="21"/>
                <w:szCs w:val="21"/>
              </w:rPr>
              <w:t>氯甲烷</w:t>
            </w:r>
          </w:p>
        </w:tc>
        <w:tc>
          <w:tcPr>
            <w:tcW w:w="864" w:type="dxa"/>
          </w:tcPr>
          <w:p w14:paraId="16FCB49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7</w:t>
            </w:r>
          </w:p>
        </w:tc>
        <w:tc>
          <w:tcPr>
            <w:tcW w:w="1110" w:type="dxa"/>
            <w:vAlign w:val="center"/>
          </w:tcPr>
          <w:p w14:paraId="77A7B46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10" w:type="dxa"/>
            <w:vAlign w:val="center"/>
          </w:tcPr>
          <w:p w14:paraId="77C0C72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10" w:type="dxa"/>
            <w:vAlign w:val="center"/>
          </w:tcPr>
          <w:p w14:paraId="39A621F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35724DC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7D1FDDC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4A8D1F5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22F8686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2EC9434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066" w:type="dxa"/>
            <w:vAlign w:val="center"/>
          </w:tcPr>
          <w:p w14:paraId="7A26E62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932" w:type="dxa"/>
          </w:tcPr>
          <w:p w14:paraId="4158BE4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29182A4B" w14:textId="77777777">
        <w:trPr>
          <w:jc w:val="center"/>
        </w:trPr>
        <w:tc>
          <w:tcPr>
            <w:tcW w:w="1999" w:type="dxa"/>
            <w:vAlign w:val="center"/>
          </w:tcPr>
          <w:p w14:paraId="6C55423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kern w:val="0"/>
                <w:sz w:val="21"/>
                <w:szCs w:val="21"/>
              </w:rPr>
              <w:t>1,1-</w:t>
            </w:r>
            <w:r>
              <w:rPr>
                <w:rFonts w:ascii="Times New Roman"/>
                <w:kern w:val="0"/>
                <w:sz w:val="21"/>
                <w:szCs w:val="21"/>
              </w:rPr>
              <w:t>二氯乙烷</w:t>
            </w:r>
          </w:p>
        </w:tc>
        <w:tc>
          <w:tcPr>
            <w:tcW w:w="864" w:type="dxa"/>
          </w:tcPr>
          <w:p w14:paraId="1DD9F14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9</w:t>
            </w:r>
          </w:p>
        </w:tc>
        <w:tc>
          <w:tcPr>
            <w:tcW w:w="1110" w:type="dxa"/>
            <w:vAlign w:val="center"/>
          </w:tcPr>
          <w:p w14:paraId="4D0AEF2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3785F01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2858169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56678B3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5D54166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7DEBE59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5DD5092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50CD423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066" w:type="dxa"/>
            <w:vAlign w:val="center"/>
          </w:tcPr>
          <w:p w14:paraId="6D72D78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932" w:type="dxa"/>
          </w:tcPr>
          <w:p w14:paraId="69C441A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092B7EA4" w14:textId="77777777">
        <w:trPr>
          <w:jc w:val="center"/>
        </w:trPr>
        <w:tc>
          <w:tcPr>
            <w:tcW w:w="1999" w:type="dxa"/>
            <w:vAlign w:val="center"/>
          </w:tcPr>
          <w:p w14:paraId="1F1B4BA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1,2-</w:t>
            </w:r>
            <w:r>
              <w:rPr>
                <w:rFonts w:ascii="Times New Roman"/>
                <w:sz w:val="21"/>
                <w:szCs w:val="21"/>
              </w:rPr>
              <w:t>二氯乙烷</w:t>
            </w:r>
          </w:p>
        </w:tc>
        <w:tc>
          <w:tcPr>
            <w:tcW w:w="864" w:type="dxa"/>
          </w:tcPr>
          <w:p w14:paraId="7532E9C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w:t>
            </w:r>
          </w:p>
        </w:tc>
        <w:tc>
          <w:tcPr>
            <w:tcW w:w="1110" w:type="dxa"/>
            <w:vAlign w:val="center"/>
          </w:tcPr>
          <w:p w14:paraId="3D40B2B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10" w:type="dxa"/>
            <w:vAlign w:val="center"/>
          </w:tcPr>
          <w:p w14:paraId="761514E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10" w:type="dxa"/>
            <w:vAlign w:val="center"/>
          </w:tcPr>
          <w:p w14:paraId="21CF0C5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1F19A20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356A9FE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5684DF7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427ED3A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168B1A5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066" w:type="dxa"/>
            <w:vAlign w:val="center"/>
          </w:tcPr>
          <w:p w14:paraId="717F5A6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932" w:type="dxa"/>
          </w:tcPr>
          <w:p w14:paraId="3DBCA5A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3A0DFAED" w14:textId="77777777">
        <w:trPr>
          <w:jc w:val="center"/>
        </w:trPr>
        <w:tc>
          <w:tcPr>
            <w:tcW w:w="1999" w:type="dxa"/>
            <w:vAlign w:val="center"/>
          </w:tcPr>
          <w:p w14:paraId="64A608E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1,1-</w:t>
            </w:r>
            <w:r>
              <w:rPr>
                <w:rFonts w:ascii="Times New Roman"/>
                <w:sz w:val="21"/>
                <w:szCs w:val="21"/>
              </w:rPr>
              <w:t>二氯乙烯</w:t>
            </w:r>
          </w:p>
        </w:tc>
        <w:tc>
          <w:tcPr>
            <w:tcW w:w="864" w:type="dxa"/>
          </w:tcPr>
          <w:p w14:paraId="50B18AD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6</w:t>
            </w:r>
          </w:p>
        </w:tc>
        <w:tc>
          <w:tcPr>
            <w:tcW w:w="1110" w:type="dxa"/>
            <w:vAlign w:val="center"/>
          </w:tcPr>
          <w:p w14:paraId="462962E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10" w:type="dxa"/>
            <w:vAlign w:val="center"/>
          </w:tcPr>
          <w:p w14:paraId="3CC331B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10" w:type="dxa"/>
            <w:vAlign w:val="center"/>
          </w:tcPr>
          <w:p w14:paraId="275753D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5C37F31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6976661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7E386AC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55656B5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2ED4165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066" w:type="dxa"/>
            <w:vAlign w:val="center"/>
          </w:tcPr>
          <w:p w14:paraId="196AD03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932" w:type="dxa"/>
          </w:tcPr>
          <w:p w14:paraId="31C3A7E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4C040BA7" w14:textId="77777777">
        <w:trPr>
          <w:jc w:val="center"/>
        </w:trPr>
        <w:tc>
          <w:tcPr>
            <w:tcW w:w="1999" w:type="dxa"/>
            <w:vAlign w:val="center"/>
          </w:tcPr>
          <w:p w14:paraId="4560290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顺</w:t>
            </w:r>
            <w:r>
              <w:rPr>
                <w:rFonts w:ascii="Times New Roman" w:hAnsi="Times New Roman"/>
                <w:sz w:val="21"/>
                <w:szCs w:val="21"/>
              </w:rPr>
              <w:t>-1,2-</w:t>
            </w:r>
            <w:r>
              <w:rPr>
                <w:rFonts w:ascii="Times New Roman"/>
                <w:sz w:val="21"/>
                <w:szCs w:val="21"/>
              </w:rPr>
              <w:t>二氯乙烯</w:t>
            </w:r>
          </w:p>
        </w:tc>
        <w:tc>
          <w:tcPr>
            <w:tcW w:w="864" w:type="dxa"/>
          </w:tcPr>
          <w:p w14:paraId="151367C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96</w:t>
            </w:r>
          </w:p>
        </w:tc>
        <w:tc>
          <w:tcPr>
            <w:tcW w:w="1110" w:type="dxa"/>
            <w:vAlign w:val="center"/>
          </w:tcPr>
          <w:p w14:paraId="2480525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10" w:type="dxa"/>
            <w:vAlign w:val="center"/>
          </w:tcPr>
          <w:p w14:paraId="69E4D8A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10" w:type="dxa"/>
            <w:vAlign w:val="center"/>
          </w:tcPr>
          <w:p w14:paraId="0B579BB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3AFC8AC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0565A87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27FD072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ND1.13</w:t>
            </w:r>
          </w:p>
        </w:tc>
        <w:tc>
          <w:tcPr>
            <w:tcW w:w="1104" w:type="dxa"/>
            <w:vAlign w:val="center"/>
          </w:tcPr>
          <w:p w14:paraId="3108D4F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3ADEC12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066" w:type="dxa"/>
            <w:vAlign w:val="center"/>
          </w:tcPr>
          <w:p w14:paraId="0EA3C7B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932" w:type="dxa"/>
          </w:tcPr>
          <w:p w14:paraId="3C3157D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7103174B" w14:textId="77777777">
        <w:trPr>
          <w:jc w:val="center"/>
        </w:trPr>
        <w:tc>
          <w:tcPr>
            <w:tcW w:w="1999" w:type="dxa"/>
            <w:vAlign w:val="center"/>
          </w:tcPr>
          <w:p w14:paraId="523FEE1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反</w:t>
            </w:r>
            <w:r>
              <w:rPr>
                <w:rFonts w:ascii="Times New Roman" w:hAnsi="Times New Roman"/>
                <w:sz w:val="21"/>
                <w:szCs w:val="21"/>
              </w:rPr>
              <w:t>-1,2-</w:t>
            </w:r>
            <w:r>
              <w:rPr>
                <w:rFonts w:ascii="Times New Roman"/>
                <w:sz w:val="21"/>
                <w:szCs w:val="21"/>
              </w:rPr>
              <w:t>二氯乙烯</w:t>
            </w:r>
          </w:p>
        </w:tc>
        <w:tc>
          <w:tcPr>
            <w:tcW w:w="864" w:type="dxa"/>
          </w:tcPr>
          <w:p w14:paraId="799ED6A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4</w:t>
            </w:r>
          </w:p>
        </w:tc>
        <w:tc>
          <w:tcPr>
            <w:tcW w:w="1110" w:type="dxa"/>
            <w:vAlign w:val="center"/>
          </w:tcPr>
          <w:p w14:paraId="5D9EAC9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10" w:type="dxa"/>
            <w:vAlign w:val="center"/>
          </w:tcPr>
          <w:p w14:paraId="2B5140A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10" w:type="dxa"/>
            <w:vAlign w:val="center"/>
          </w:tcPr>
          <w:p w14:paraId="672B22C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04" w:type="dxa"/>
            <w:vAlign w:val="center"/>
          </w:tcPr>
          <w:p w14:paraId="7CE24F1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04" w:type="dxa"/>
            <w:vAlign w:val="center"/>
          </w:tcPr>
          <w:p w14:paraId="1101DA1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04" w:type="dxa"/>
            <w:vAlign w:val="center"/>
          </w:tcPr>
          <w:p w14:paraId="0F17591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04" w:type="dxa"/>
            <w:vAlign w:val="center"/>
          </w:tcPr>
          <w:p w14:paraId="0DC10FC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04" w:type="dxa"/>
            <w:vAlign w:val="center"/>
          </w:tcPr>
          <w:p w14:paraId="428667D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066" w:type="dxa"/>
            <w:vAlign w:val="center"/>
          </w:tcPr>
          <w:p w14:paraId="394B295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932" w:type="dxa"/>
          </w:tcPr>
          <w:p w14:paraId="137E580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4B6333D9" w14:textId="77777777">
        <w:trPr>
          <w:jc w:val="center"/>
        </w:trPr>
        <w:tc>
          <w:tcPr>
            <w:tcW w:w="1999" w:type="dxa"/>
            <w:vAlign w:val="center"/>
          </w:tcPr>
          <w:p w14:paraId="1EA19EE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二氯甲烷</w:t>
            </w:r>
          </w:p>
        </w:tc>
        <w:tc>
          <w:tcPr>
            <w:tcW w:w="864" w:type="dxa"/>
          </w:tcPr>
          <w:p w14:paraId="39597A6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16</w:t>
            </w:r>
          </w:p>
        </w:tc>
        <w:tc>
          <w:tcPr>
            <w:tcW w:w="1110" w:type="dxa"/>
            <w:vAlign w:val="center"/>
          </w:tcPr>
          <w:p w14:paraId="38B998A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10" w:type="dxa"/>
            <w:vAlign w:val="center"/>
          </w:tcPr>
          <w:p w14:paraId="4321692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10" w:type="dxa"/>
            <w:vAlign w:val="center"/>
          </w:tcPr>
          <w:p w14:paraId="73CCB38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0F0FDCC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6E962BB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1218E34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5FD2F62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3B3AF3B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066" w:type="dxa"/>
            <w:vAlign w:val="center"/>
          </w:tcPr>
          <w:p w14:paraId="5FA4856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932" w:type="dxa"/>
          </w:tcPr>
          <w:p w14:paraId="459DA22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7B140ABF" w14:textId="77777777">
        <w:trPr>
          <w:jc w:val="center"/>
        </w:trPr>
        <w:tc>
          <w:tcPr>
            <w:tcW w:w="1999" w:type="dxa"/>
            <w:vAlign w:val="center"/>
          </w:tcPr>
          <w:p w14:paraId="37C8D8B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1,2-</w:t>
            </w:r>
            <w:r>
              <w:rPr>
                <w:rFonts w:ascii="Times New Roman"/>
                <w:sz w:val="21"/>
                <w:szCs w:val="21"/>
              </w:rPr>
              <w:t>二氯丙烷</w:t>
            </w:r>
          </w:p>
        </w:tc>
        <w:tc>
          <w:tcPr>
            <w:tcW w:w="864" w:type="dxa"/>
          </w:tcPr>
          <w:p w14:paraId="2F2E7F8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w:t>
            </w:r>
          </w:p>
        </w:tc>
        <w:tc>
          <w:tcPr>
            <w:tcW w:w="1110" w:type="dxa"/>
            <w:vAlign w:val="center"/>
          </w:tcPr>
          <w:p w14:paraId="25DF4DD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10" w:type="dxa"/>
            <w:vAlign w:val="center"/>
          </w:tcPr>
          <w:p w14:paraId="02B9E4E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10" w:type="dxa"/>
            <w:vAlign w:val="center"/>
          </w:tcPr>
          <w:p w14:paraId="308E794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64CFAE6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0E63725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1825B51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79A2070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57F399A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066" w:type="dxa"/>
            <w:vAlign w:val="center"/>
          </w:tcPr>
          <w:p w14:paraId="375AE29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932" w:type="dxa"/>
          </w:tcPr>
          <w:p w14:paraId="34B4119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034BDF7C" w14:textId="77777777">
        <w:trPr>
          <w:jc w:val="center"/>
        </w:trPr>
        <w:tc>
          <w:tcPr>
            <w:tcW w:w="1999" w:type="dxa"/>
            <w:vAlign w:val="center"/>
          </w:tcPr>
          <w:p w14:paraId="4AED3E5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1,1,1,2-</w:t>
            </w:r>
            <w:r>
              <w:rPr>
                <w:rFonts w:ascii="Times New Roman"/>
                <w:sz w:val="21"/>
                <w:szCs w:val="21"/>
              </w:rPr>
              <w:t>四氯乙烷</w:t>
            </w:r>
          </w:p>
        </w:tc>
        <w:tc>
          <w:tcPr>
            <w:tcW w:w="864" w:type="dxa"/>
          </w:tcPr>
          <w:p w14:paraId="0A7E751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0</w:t>
            </w:r>
          </w:p>
        </w:tc>
        <w:tc>
          <w:tcPr>
            <w:tcW w:w="1110" w:type="dxa"/>
            <w:vAlign w:val="center"/>
          </w:tcPr>
          <w:p w14:paraId="305EBE2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3DB102D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4AC66F1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39A154D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7D3FD95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15821C1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3B7CD32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3EBD8AD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066" w:type="dxa"/>
            <w:vAlign w:val="center"/>
          </w:tcPr>
          <w:p w14:paraId="0883FD6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932" w:type="dxa"/>
          </w:tcPr>
          <w:p w14:paraId="4A9CFAB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70000F85" w14:textId="77777777">
        <w:trPr>
          <w:jc w:val="center"/>
        </w:trPr>
        <w:tc>
          <w:tcPr>
            <w:tcW w:w="1999" w:type="dxa"/>
            <w:vAlign w:val="center"/>
          </w:tcPr>
          <w:p w14:paraId="10C93BB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1,1,2,2-</w:t>
            </w:r>
            <w:r>
              <w:rPr>
                <w:rFonts w:ascii="Times New Roman"/>
                <w:sz w:val="21"/>
                <w:szCs w:val="21"/>
              </w:rPr>
              <w:t>四氯乙烷</w:t>
            </w:r>
          </w:p>
        </w:tc>
        <w:tc>
          <w:tcPr>
            <w:tcW w:w="864" w:type="dxa"/>
          </w:tcPr>
          <w:p w14:paraId="1304A0A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.8</w:t>
            </w:r>
          </w:p>
        </w:tc>
        <w:tc>
          <w:tcPr>
            <w:tcW w:w="1110" w:type="dxa"/>
            <w:vAlign w:val="center"/>
          </w:tcPr>
          <w:p w14:paraId="3393972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401AC2B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5DAD5AA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5E7C510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623E2E0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06786EE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55435BC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14249C3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066" w:type="dxa"/>
            <w:vAlign w:val="center"/>
          </w:tcPr>
          <w:p w14:paraId="5B88AE6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932" w:type="dxa"/>
          </w:tcPr>
          <w:p w14:paraId="2598BFB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17778048" w14:textId="77777777">
        <w:trPr>
          <w:jc w:val="center"/>
        </w:trPr>
        <w:tc>
          <w:tcPr>
            <w:tcW w:w="1999" w:type="dxa"/>
            <w:vAlign w:val="center"/>
          </w:tcPr>
          <w:p w14:paraId="4D60500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四氯乙烯</w:t>
            </w:r>
          </w:p>
        </w:tc>
        <w:tc>
          <w:tcPr>
            <w:tcW w:w="864" w:type="dxa"/>
          </w:tcPr>
          <w:p w14:paraId="02EC3B4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3</w:t>
            </w:r>
          </w:p>
        </w:tc>
        <w:tc>
          <w:tcPr>
            <w:tcW w:w="1110" w:type="dxa"/>
            <w:vAlign w:val="center"/>
          </w:tcPr>
          <w:p w14:paraId="3BAAAE8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10" w:type="dxa"/>
            <w:vAlign w:val="center"/>
          </w:tcPr>
          <w:p w14:paraId="1DF5DFB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10" w:type="dxa"/>
            <w:vAlign w:val="center"/>
          </w:tcPr>
          <w:p w14:paraId="7C9521B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04" w:type="dxa"/>
            <w:vAlign w:val="center"/>
          </w:tcPr>
          <w:p w14:paraId="003B2AF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04" w:type="dxa"/>
            <w:vAlign w:val="center"/>
          </w:tcPr>
          <w:p w14:paraId="78EC3CA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04" w:type="dxa"/>
            <w:vAlign w:val="center"/>
          </w:tcPr>
          <w:p w14:paraId="19DF438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04" w:type="dxa"/>
            <w:vAlign w:val="center"/>
          </w:tcPr>
          <w:p w14:paraId="252EAC7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104" w:type="dxa"/>
            <w:vAlign w:val="center"/>
          </w:tcPr>
          <w:p w14:paraId="0A9B5F4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1066" w:type="dxa"/>
            <w:vAlign w:val="center"/>
          </w:tcPr>
          <w:p w14:paraId="05A3A91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ND1.4</w:t>
            </w:r>
          </w:p>
        </w:tc>
        <w:tc>
          <w:tcPr>
            <w:tcW w:w="932" w:type="dxa"/>
          </w:tcPr>
          <w:p w14:paraId="7299F5C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57AC6781" w14:textId="77777777">
        <w:trPr>
          <w:jc w:val="center"/>
        </w:trPr>
        <w:tc>
          <w:tcPr>
            <w:tcW w:w="1999" w:type="dxa"/>
            <w:vAlign w:val="center"/>
          </w:tcPr>
          <w:p w14:paraId="5E8116A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1,1,1-</w:t>
            </w:r>
            <w:r>
              <w:rPr>
                <w:rFonts w:ascii="Times New Roman"/>
                <w:sz w:val="21"/>
                <w:szCs w:val="21"/>
              </w:rPr>
              <w:t>三氯乙烷</w:t>
            </w:r>
          </w:p>
        </w:tc>
        <w:tc>
          <w:tcPr>
            <w:tcW w:w="864" w:type="dxa"/>
          </w:tcPr>
          <w:p w14:paraId="194F165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40</w:t>
            </w:r>
          </w:p>
        </w:tc>
        <w:tc>
          <w:tcPr>
            <w:tcW w:w="1110" w:type="dxa"/>
            <w:vAlign w:val="center"/>
          </w:tcPr>
          <w:p w14:paraId="0A18728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10" w:type="dxa"/>
            <w:vAlign w:val="center"/>
          </w:tcPr>
          <w:p w14:paraId="66EF637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10" w:type="dxa"/>
            <w:vAlign w:val="center"/>
          </w:tcPr>
          <w:p w14:paraId="08C88B3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109106B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26BC20A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1A3D960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47B0C7C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63ED239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066" w:type="dxa"/>
            <w:vAlign w:val="center"/>
          </w:tcPr>
          <w:p w14:paraId="1B7A385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932" w:type="dxa"/>
          </w:tcPr>
          <w:p w14:paraId="3ACFF9B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5A964774" w14:textId="77777777">
        <w:trPr>
          <w:jc w:val="center"/>
        </w:trPr>
        <w:tc>
          <w:tcPr>
            <w:tcW w:w="1999" w:type="dxa"/>
            <w:vAlign w:val="center"/>
          </w:tcPr>
          <w:p w14:paraId="0C0BA14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1,1,2-</w:t>
            </w:r>
            <w:r>
              <w:rPr>
                <w:rFonts w:ascii="Times New Roman"/>
                <w:sz w:val="21"/>
                <w:szCs w:val="21"/>
              </w:rPr>
              <w:t>三氯乙烷</w:t>
            </w:r>
          </w:p>
        </w:tc>
        <w:tc>
          <w:tcPr>
            <w:tcW w:w="864" w:type="dxa"/>
          </w:tcPr>
          <w:p w14:paraId="3536B30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.8</w:t>
            </w:r>
          </w:p>
        </w:tc>
        <w:tc>
          <w:tcPr>
            <w:tcW w:w="1110" w:type="dxa"/>
            <w:vAlign w:val="center"/>
          </w:tcPr>
          <w:p w14:paraId="0E7DE62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0EF3809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2E992EE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45A9D63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1F8B1A6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36818E6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2340F83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0E7EED9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066" w:type="dxa"/>
            <w:vAlign w:val="center"/>
          </w:tcPr>
          <w:p w14:paraId="366D4F4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932" w:type="dxa"/>
          </w:tcPr>
          <w:p w14:paraId="1A877B6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15DA3003" w14:textId="77777777">
        <w:trPr>
          <w:jc w:val="center"/>
        </w:trPr>
        <w:tc>
          <w:tcPr>
            <w:tcW w:w="1999" w:type="dxa"/>
            <w:vAlign w:val="center"/>
          </w:tcPr>
          <w:p w14:paraId="524024F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三氯乙烯</w:t>
            </w:r>
          </w:p>
        </w:tc>
        <w:tc>
          <w:tcPr>
            <w:tcW w:w="864" w:type="dxa"/>
          </w:tcPr>
          <w:p w14:paraId="01D6692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.8</w:t>
            </w:r>
          </w:p>
        </w:tc>
        <w:tc>
          <w:tcPr>
            <w:tcW w:w="1110" w:type="dxa"/>
            <w:vAlign w:val="center"/>
          </w:tcPr>
          <w:p w14:paraId="198BCB3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22FFC79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4999993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2497C24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6D03E0F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48DA947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047F45C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21A45F8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066" w:type="dxa"/>
            <w:vAlign w:val="center"/>
          </w:tcPr>
          <w:p w14:paraId="39F2548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932" w:type="dxa"/>
          </w:tcPr>
          <w:p w14:paraId="20A2852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5ADD3ABB" w14:textId="77777777">
        <w:trPr>
          <w:jc w:val="center"/>
        </w:trPr>
        <w:tc>
          <w:tcPr>
            <w:tcW w:w="1999" w:type="dxa"/>
            <w:vAlign w:val="center"/>
          </w:tcPr>
          <w:p w14:paraId="6E70A19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1,2,3-</w:t>
            </w:r>
            <w:r>
              <w:rPr>
                <w:rFonts w:ascii="Times New Roman"/>
                <w:sz w:val="21"/>
                <w:szCs w:val="21"/>
              </w:rPr>
              <w:t>三氯丙烷</w:t>
            </w:r>
          </w:p>
        </w:tc>
        <w:tc>
          <w:tcPr>
            <w:tcW w:w="864" w:type="dxa"/>
          </w:tcPr>
          <w:p w14:paraId="71F3975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.5</w:t>
            </w:r>
          </w:p>
        </w:tc>
        <w:tc>
          <w:tcPr>
            <w:tcW w:w="1110" w:type="dxa"/>
            <w:vAlign w:val="center"/>
          </w:tcPr>
          <w:p w14:paraId="29019FB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3E59622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0618871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7602FA9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6B540AA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122AAC6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0A2584C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5C637C1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066" w:type="dxa"/>
            <w:vAlign w:val="center"/>
          </w:tcPr>
          <w:p w14:paraId="6F9C683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932" w:type="dxa"/>
          </w:tcPr>
          <w:p w14:paraId="5E576C2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2A97FB0D" w14:textId="77777777">
        <w:trPr>
          <w:jc w:val="center"/>
        </w:trPr>
        <w:tc>
          <w:tcPr>
            <w:tcW w:w="1999" w:type="dxa"/>
            <w:vAlign w:val="center"/>
          </w:tcPr>
          <w:p w14:paraId="74230FF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氯乙烯</w:t>
            </w:r>
          </w:p>
        </w:tc>
        <w:tc>
          <w:tcPr>
            <w:tcW w:w="864" w:type="dxa"/>
          </w:tcPr>
          <w:p w14:paraId="0028767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.43</w:t>
            </w:r>
          </w:p>
        </w:tc>
        <w:tc>
          <w:tcPr>
            <w:tcW w:w="1110" w:type="dxa"/>
            <w:vAlign w:val="center"/>
          </w:tcPr>
          <w:p w14:paraId="2B56415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10" w:type="dxa"/>
            <w:vAlign w:val="center"/>
          </w:tcPr>
          <w:p w14:paraId="2715C60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10" w:type="dxa"/>
            <w:vAlign w:val="center"/>
          </w:tcPr>
          <w:p w14:paraId="095BDD5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2446BBF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48A6453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2DB9BE7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49CDE97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104" w:type="dxa"/>
            <w:vAlign w:val="center"/>
          </w:tcPr>
          <w:p w14:paraId="7B82B0E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1066" w:type="dxa"/>
            <w:vAlign w:val="center"/>
          </w:tcPr>
          <w:p w14:paraId="5FC987F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ND1.0</w:t>
            </w:r>
          </w:p>
        </w:tc>
        <w:tc>
          <w:tcPr>
            <w:tcW w:w="932" w:type="dxa"/>
          </w:tcPr>
          <w:p w14:paraId="5172579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52419EFF" w14:textId="77777777">
        <w:trPr>
          <w:jc w:val="center"/>
        </w:trPr>
        <w:tc>
          <w:tcPr>
            <w:tcW w:w="1999" w:type="dxa"/>
            <w:vAlign w:val="center"/>
          </w:tcPr>
          <w:p w14:paraId="2386F37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苯</w:t>
            </w:r>
          </w:p>
        </w:tc>
        <w:tc>
          <w:tcPr>
            <w:tcW w:w="864" w:type="dxa"/>
          </w:tcPr>
          <w:p w14:paraId="0B3722F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4</w:t>
            </w:r>
          </w:p>
        </w:tc>
        <w:tc>
          <w:tcPr>
            <w:tcW w:w="1110" w:type="dxa"/>
            <w:vAlign w:val="center"/>
          </w:tcPr>
          <w:p w14:paraId="5D44B4B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ND1.9</w:t>
            </w:r>
          </w:p>
        </w:tc>
        <w:tc>
          <w:tcPr>
            <w:tcW w:w="1110" w:type="dxa"/>
            <w:vAlign w:val="center"/>
          </w:tcPr>
          <w:p w14:paraId="2FD6CF8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ND1.9</w:t>
            </w:r>
          </w:p>
        </w:tc>
        <w:tc>
          <w:tcPr>
            <w:tcW w:w="1110" w:type="dxa"/>
            <w:vAlign w:val="center"/>
          </w:tcPr>
          <w:p w14:paraId="5EE3C36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ND1.9</w:t>
            </w:r>
          </w:p>
        </w:tc>
        <w:tc>
          <w:tcPr>
            <w:tcW w:w="1104" w:type="dxa"/>
            <w:vAlign w:val="center"/>
          </w:tcPr>
          <w:p w14:paraId="62CC5F6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ND1.9</w:t>
            </w:r>
          </w:p>
        </w:tc>
        <w:tc>
          <w:tcPr>
            <w:tcW w:w="1104" w:type="dxa"/>
            <w:vAlign w:val="center"/>
          </w:tcPr>
          <w:p w14:paraId="557588A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ND1.9</w:t>
            </w:r>
          </w:p>
        </w:tc>
        <w:tc>
          <w:tcPr>
            <w:tcW w:w="1104" w:type="dxa"/>
            <w:vAlign w:val="center"/>
          </w:tcPr>
          <w:p w14:paraId="19074C8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ND1.9</w:t>
            </w:r>
          </w:p>
        </w:tc>
        <w:tc>
          <w:tcPr>
            <w:tcW w:w="1104" w:type="dxa"/>
            <w:vAlign w:val="center"/>
          </w:tcPr>
          <w:p w14:paraId="480F87D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ND1.9</w:t>
            </w:r>
          </w:p>
        </w:tc>
        <w:tc>
          <w:tcPr>
            <w:tcW w:w="1104" w:type="dxa"/>
            <w:vAlign w:val="center"/>
          </w:tcPr>
          <w:p w14:paraId="16DA66A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ND1.9</w:t>
            </w:r>
          </w:p>
        </w:tc>
        <w:tc>
          <w:tcPr>
            <w:tcW w:w="1066" w:type="dxa"/>
            <w:vAlign w:val="center"/>
          </w:tcPr>
          <w:p w14:paraId="53A09C3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ND1.9</w:t>
            </w:r>
          </w:p>
        </w:tc>
        <w:tc>
          <w:tcPr>
            <w:tcW w:w="932" w:type="dxa"/>
          </w:tcPr>
          <w:p w14:paraId="539690E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234FB0C2" w14:textId="77777777">
        <w:trPr>
          <w:jc w:val="center"/>
        </w:trPr>
        <w:tc>
          <w:tcPr>
            <w:tcW w:w="1999" w:type="dxa"/>
            <w:vAlign w:val="center"/>
          </w:tcPr>
          <w:p w14:paraId="3A7D758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氯苯</w:t>
            </w:r>
          </w:p>
        </w:tc>
        <w:tc>
          <w:tcPr>
            <w:tcW w:w="864" w:type="dxa"/>
          </w:tcPr>
          <w:p w14:paraId="7A1199A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70</w:t>
            </w:r>
          </w:p>
        </w:tc>
        <w:tc>
          <w:tcPr>
            <w:tcW w:w="1110" w:type="dxa"/>
            <w:vAlign w:val="center"/>
          </w:tcPr>
          <w:p w14:paraId="1041441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32DDC95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01822E8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7A3ED62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57AAF82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54FECEF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4E5637D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5CA9EF3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066" w:type="dxa"/>
            <w:vAlign w:val="center"/>
          </w:tcPr>
          <w:p w14:paraId="7E4B6B0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932" w:type="dxa"/>
          </w:tcPr>
          <w:p w14:paraId="2E558EB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68D2380D" w14:textId="77777777">
        <w:trPr>
          <w:jc w:val="center"/>
        </w:trPr>
        <w:tc>
          <w:tcPr>
            <w:tcW w:w="1999" w:type="dxa"/>
            <w:vAlign w:val="center"/>
          </w:tcPr>
          <w:p w14:paraId="433CCC8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1,2-</w:t>
            </w:r>
            <w:r>
              <w:rPr>
                <w:rFonts w:ascii="Times New Roman"/>
                <w:sz w:val="21"/>
                <w:szCs w:val="21"/>
              </w:rPr>
              <w:t>二氯苯</w:t>
            </w:r>
          </w:p>
        </w:tc>
        <w:tc>
          <w:tcPr>
            <w:tcW w:w="864" w:type="dxa"/>
          </w:tcPr>
          <w:p w14:paraId="0E7E5C6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60</w:t>
            </w:r>
          </w:p>
        </w:tc>
        <w:tc>
          <w:tcPr>
            <w:tcW w:w="1110" w:type="dxa"/>
            <w:vAlign w:val="center"/>
          </w:tcPr>
          <w:p w14:paraId="20AB0E8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10" w:type="dxa"/>
            <w:vAlign w:val="center"/>
          </w:tcPr>
          <w:p w14:paraId="5D59B66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10" w:type="dxa"/>
            <w:vAlign w:val="center"/>
          </w:tcPr>
          <w:p w14:paraId="55B740F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724442B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3FC0FB9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697FB86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63D303C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31444BB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066" w:type="dxa"/>
            <w:vAlign w:val="center"/>
          </w:tcPr>
          <w:p w14:paraId="2418CF2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932" w:type="dxa"/>
          </w:tcPr>
          <w:p w14:paraId="66D086D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06A5604C" w14:textId="77777777">
        <w:trPr>
          <w:jc w:val="center"/>
        </w:trPr>
        <w:tc>
          <w:tcPr>
            <w:tcW w:w="1999" w:type="dxa"/>
            <w:vAlign w:val="center"/>
          </w:tcPr>
          <w:p w14:paraId="63BD494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1,4-</w:t>
            </w:r>
            <w:r>
              <w:rPr>
                <w:rFonts w:ascii="Times New Roman"/>
                <w:sz w:val="21"/>
                <w:szCs w:val="21"/>
              </w:rPr>
              <w:t>二氯苯</w:t>
            </w:r>
          </w:p>
        </w:tc>
        <w:tc>
          <w:tcPr>
            <w:tcW w:w="864" w:type="dxa"/>
          </w:tcPr>
          <w:p w14:paraId="6FB0FA9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0</w:t>
            </w:r>
          </w:p>
        </w:tc>
        <w:tc>
          <w:tcPr>
            <w:tcW w:w="1110" w:type="dxa"/>
            <w:vAlign w:val="center"/>
          </w:tcPr>
          <w:p w14:paraId="738B405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10" w:type="dxa"/>
            <w:vAlign w:val="center"/>
          </w:tcPr>
          <w:p w14:paraId="4030F5D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10" w:type="dxa"/>
            <w:vAlign w:val="center"/>
          </w:tcPr>
          <w:p w14:paraId="3154330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0635E83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5D1B201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74AAC11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55BF363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104" w:type="dxa"/>
            <w:vAlign w:val="center"/>
          </w:tcPr>
          <w:p w14:paraId="238F131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1066" w:type="dxa"/>
            <w:vAlign w:val="center"/>
          </w:tcPr>
          <w:p w14:paraId="42DBA3D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ND1.5</w:t>
            </w:r>
          </w:p>
        </w:tc>
        <w:tc>
          <w:tcPr>
            <w:tcW w:w="932" w:type="dxa"/>
          </w:tcPr>
          <w:p w14:paraId="7F29EE3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4153F1D1" w14:textId="77777777">
        <w:trPr>
          <w:jc w:val="center"/>
        </w:trPr>
        <w:tc>
          <w:tcPr>
            <w:tcW w:w="1999" w:type="dxa"/>
            <w:vAlign w:val="center"/>
          </w:tcPr>
          <w:p w14:paraId="116BF7B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乙苯</w:t>
            </w:r>
          </w:p>
        </w:tc>
        <w:tc>
          <w:tcPr>
            <w:tcW w:w="864" w:type="dxa"/>
          </w:tcPr>
          <w:p w14:paraId="7609D7A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8</w:t>
            </w:r>
          </w:p>
        </w:tc>
        <w:tc>
          <w:tcPr>
            <w:tcW w:w="1110" w:type="dxa"/>
            <w:vAlign w:val="center"/>
          </w:tcPr>
          <w:p w14:paraId="72A21A4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4FD6C0B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7CAC7C8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00333D6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48C6C4B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0C75CB2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1E00104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037E587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066" w:type="dxa"/>
            <w:vAlign w:val="center"/>
          </w:tcPr>
          <w:p w14:paraId="211424F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932" w:type="dxa"/>
          </w:tcPr>
          <w:p w14:paraId="1CDC0FB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0D4565CA" w14:textId="77777777">
        <w:trPr>
          <w:jc w:val="center"/>
        </w:trPr>
        <w:tc>
          <w:tcPr>
            <w:tcW w:w="1999" w:type="dxa"/>
            <w:vAlign w:val="center"/>
          </w:tcPr>
          <w:p w14:paraId="4C70AEF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苯乙烯</w:t>
            </w:r>
          </w:p>
        </w:tc>
        <w:tc>
          <w:tcPr>
            <w:tcW w:w="864" w:type="dxa"/>
          </w:tcPr>
          <w:p w14:paraId="19F479D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290</w:t>
            </w:r>
          </w:p>
        </w:tc>
        <w:tc>
          <w:tcPr>
            <w:tcW w:w="1110" w:type="dxa"/>
            <w:vAlign w:val="center"/>
          </w:tcPr>
          <w:p w14:paraId="52F2231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10" w:type="dxa"/>
            <w:vAlign w:val="center"/>
          </w:tcPr>
          <w:p w14:paraId="2E38ECD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10" w:type="dxa"/>
            <w:vAlign w:val="center"/>
          </w:tcPr>
          <w:p w14:paraId="58E3CD6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364AB5B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6B29FF2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452E548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1D6EC04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104" w:type="dxa"/>
            <w:vAlign w:val="center"/>
          </w:tcPr>
          <w:p w14:paraId="3CD229F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1066" w:type="dxa"/>
            <w:vAlign w:val="center"/>
          </w:tcPr>
          <w:p w14:paraId="65A0FD5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ND1.1</w:t>
            </w:r>
          </w:p>
        </w:tc>
        <w:tc>
          <w:tcPr>
            <w:tcW w:w="932" w:type="dxa"/>
          </w:tcPr>
          <w:p w14:paraId="6C22C75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10872505" w14:textId="77777777">
        <w:trPr>
          <w:jc w:val="center"/>
        </w:trPr>
        <w:tc>
          <w:tcPr>
            <w:tcW w:w="1999" w:type="dxa"/>
            <w:vAlign w:val="center"/>
          </w:tcPr>
          <w:p w14:paraId="3A5EB77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甲苯</w:t>
            </w:r>
          </w:p>
        </w:tc>
        <w:tc>
          <w:tcPr>
            <w:tcW w:w="864" w:type="dxa"/>
          </w:tcPr>
          <w:p w14:paraId="5EB2570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200</w:t>
            </w:r>
          </w:p>
        </w:tc>
        <w:tc>
          <w:tcPr>
            <w:tcW w:w="1110" w:type="dxa"/>
            <w:vAlign w:val="center"/>
          </w:tcPr>
          <w:p w14:paraId="7AC29EB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10" w:type="dxa"/>
            <w:vAlign w:val="center"/>
          </w:tcPr>
          <w:p w14:paraId="174F71C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10" w:type="dxa"/>
            <w:vAlign w:val="center"/>
          </w:tcPr>
          <w:p w14:paraId="5DCD9C9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33FE166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35ADCEA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67DC90D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13AE45B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104" w:type="dxa"/>
            <w:vAlign w:val="center"/>
          </w:tcPr>
          <w:p w14:paraId="1FB5C97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1066" w:type="dxa"/>
            <w:vAlign w:val="center"/>
          </w:tcPr>
          <w:p w14:paraId="1BFD918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ND1.3</w:t>
            </w:r>
          </w:p>
        </w:tc>
        <w:tc>
          <w:tcPr>
            <w:tcW w:w="932" w:type="dxa"/>
          </w:tcPr>
          <w:p w14:paraId="69C39DB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154DC881" w14:textId="77777777">
        <w:trPr>
          <w:jc w:val="center"/>
        </w:trPr>
        <w:tc>
          <w:tcPr>
            <w:tcW w:w="1999" w:type="dxa"/>
            <w:vAlign w:val="center"/>
          </w:tcPr>
          <w:p w14:paraId="2BA3DDA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间二甲苯</w:t>
            </w:r>
            <w:r>
              <w:rPr>
                <w:rFonts w:ascii="Times New Roman" w:hAnsi="Times New Roman"/>
                <w:sz w:val="21"/>
                <w:szCs w:val="21"/>
              </w:rPr>
              <w:t>+</w:t>
            </w:r>
            <w:r>
              <w:rPr>
                <w:rFonts w:ascii="Times New Roman"/>
                <w:sz w:val="21"/>
                <w:szCs w:val="21"/>
              </w:rPr>
              <w:t>对二甲苯</w:t>
            </w:r>
          </w:p>
        </w:tc>
        <w:tc>
          <w:tcPr>
            <w:tcW w:w="864" w:type="dxa"/>
          </w:tcPr>
          <w:p w14:paraId="487A0E6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70</w:t>
            </w:r>
          </w:p>
        </w:tc>
        <w:tc>
          <w:tcPr>
            <w:tcW w:w="1110" w:type="dxa"/>
            <w:vAlign w:val="center"/>
          </w:tcPr>
          <w:p w14:paraId="0D885A7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4304670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1AF0FD1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2A2A1FC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2D1175D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11E1EE6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2383BB9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0FC03EF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066" w:type="dxa"/>
            <w:vAlign w:val="center"/>
          </w:tcPr>
          <w:p w14:paraId="5D3D2D0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932" w:type="dxa"/>
          </w:tcPr>
          <w:p w14:paraId="0EF62DF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3AA2359B" w14:textId="77777777">
        <w:trPr>
          <w:jc w:val="center"/>
        </w:trPr>
        <w:tc>
          <w:tcPr>
            <w:tcW w:w="1999" w:type="dxa"/>
            <w:vAlign w:val="center"/>
          </w:tcPr>
          <w:p w14:paraId="6411AEB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邻二甲苯</w:t>
            </w:r>
          </w:p>
        </w:tc>
        <w:tc>
          <w:tcPr>
            <w:tcW w:w="864" w:type="dxa"/>
          </w:tcPr>
          <w:p w14:paraId="15678E2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40</w:t>
            </w:r>
          </w:p>
        </w:tc>
        <w:tc>
          <w:tcPr>
            <w:tcW w:w="1110" w:type="dxa"/>
            <w:vAlign w:val="center"/>
          </w:tcPr>
          <w:p w14:paraId="40C4229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3F6FC0D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10" w:type="dxa"/>
            <w:vAlign w:val="center"/>
          </w:tcPr>
          <w:p w14:paraId="3D45C49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3894599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2E3E6D5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2BF5A13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0937539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104" w:type="dxa"/>
            <w:vAlign w:val="center"/>
          </w:tcPr>
          <w:p w14:paraId="2A8E84B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1066" w:type="dxa"/>
            <w:vAlign w:val="center"/>
          </w:tcPr>
          <w:p w14:paraId="38858D6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ND1.2</w:t>
            </w:r>
          </w:p>
        </w:tc>
        <w:tc>
          <w:tcPr>
            <w:tcW w:w="932" w:type="dxa"/>
          </w:tcPr>
          <w:p w14:paraId="768DD7F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0798C49C" w14:textId="77777777">
        <w:trPr>
          <w:jc w:val="center"/>
        </w:trPr>
        <w:tc>
          <w:tcPr>
            <w:tcW w:w="1999" w:type="dxa"/>
            <w:vAlign w:val="center"/>
          </w:tcPr>
          <w:p w14:paraId="7BEF5B4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硝基苯</w:t>
            </w:r>
          </w:p>
        </w:tc>
        <w:tc>
          <w:tcPr>
            <w:tcW w:w="864" w:type="dxa"/>
          </w:tcPr>
          <w:p w14:paraId="288E19E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7</w:t>
            </w:r>
            <w:r>
              <w:rPr>
                <w:rFonts w:ascii="Times New Roman" w:hAnsi="Times New Roman"/>
                <w:sz w:val="21"/>
                <w:szCs w:val="21"/>
              </w:rPr>
              <w:t>6</w:t>
            </w:r>
          </w:p>
        </w:tc>
        <w:tc>
          <w:tcPr>
            <w:tcW w:w="1110" w:type="dxa"/>
            <w:vAlign w:val="center"/>
          </w:tcPr>
          <w:p w14:paraId="6E8360B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10" w:type="dxa"/>
            <w:vAlign w:val="center"/>
          </w:tcPr>
          <w:p w14:paraId="412345F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10" w:type="dxa"/>
            <w:vAlign w:val="center"/>
          </w:tcPr>
          <w:p w14:paraId="0140192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04" w:type="dxa"/>
            <w:vAlign w:val="center"/>
          </w:tcPr>
          <w:p w14:paraId="1310DF4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04" w:type="dxa"/>
            <w:vAlign w:val="center"/>
          </w:tcPr>
          <w:p w14:paraId="0951996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04" w:type="dxa"/>
            <w:vAlign w:val="center"/>
          </w:tcPr>
          <w:p w14:paraId="1A76F32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04" w:type="dxa"/>
            <w:vAlign w:val="center"/>
          </w:tcPr>
          <w:p w14:paraId="6059E7A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04" w:type="dxa"/>
            <w:vAlign w:val="center"/>
          </w:tcPr>
          <w:p w14:paraId="7417FB3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066" w:type="dxa"/>
            <w:vAlign w:val="center"/>
          </w:tcPr>
          <w:p w14:paraId="570E635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932" w:type="dxa"/>
          </w:tcPr>
          <w:p w14:paraId="5E052CE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1D3E8FC2" w14:textId="77777777">
        <w:trPr>
          <w:jc w:val="center"/>
        </w:trPr>
        <w:tc>
          <w:tcPr>
            <w:tcW w:w="1999" w:type="dxa"/>
            <w:vAlign w:val="center"/>
          </w:tcPr>
          <w:p w14:paraId="0ABB3F9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苯胺</w:t>
            </w:r>
          </w:p>
        </w:tc>
        <w:tc>
          <w:tcPr>
            <w:tcW w:w="864" w:type="dxa"/>
          </w:tcPr>
          <w:p w14:paraId="4C83FA3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60</w:t>
            </w:r>
          </w:p>
        </w:tc>
        <w:tc>
          <w:tcPr>
            <w:tcW w:w="1110" w:type="dxa"/>
            <w:vAlign w:val="center"/>
          </w:tcPr>
          <w:p w14:paraId="7E23192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ND0.07</w:t>
            </w:r>
          </w:p>
        </w:tc>
        <w:tc>
          <w:tcPr>
            <w:tcW w:w="1110" w:type="dxa"/>
            <w:vAlign w:val="center"/>
          </w:tcPr>
          <w:p w14:paraId="23899D3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ND0.07</w:t>
            </w:r>
          </w:p>
        </w:tc>
        <w:tc>
          <w:tcPr>
            <w:tcW w:w="1110" w:type="dxa"/>
            <w:vAlign w:val="center"/>
          </w:tcPr>
          <w:p w14:paraId="716197C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ND0.07</w:t>
            </w:r>
          </w:p>
        </w:tc>
        <w:tc>
          <w:tcPr>
            <w:tcW w:w="1104" w:type="dxa"/>
            <w:vAlign w:val="center"/>
          </w:tcPr>
          <w:p w14:paraId="48099C9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ND0.07</w:t>
            </w:r>
          </w:p>
        </w:tc>
        <w:tc>
          <w:tcPr>
            <w:tcW w:w="1104" w:type="dxa"/>
            <w:vAlign w:val="center"/>
          </w:tcPr>
          <w:p w14:paraId="33C9364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ND0.07</w:t>
            </w:r>
          </w:p>
        </w:tc>
        <w:tc>
          <w:tcPr>
            <w:tcW w:w="1104" w:type="dxa"/>
            <w:vAlign w:val="center"/>
          </w:tcPr>
          <w:p w14:paraId="4934317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ND0.07</w:t>
            </w:r>
          </w:p>
        </w:tc>
        <w:tc>
          <w:tcPr>
            <w:tcW w:w="1104" w:type="dxa"/>
            <w:vAlign w:val="center"/>
          </w:tcPr>
          <w:p w14:paraId="725961E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ND0.07</w:t>
            </w:r>
          </w:p>
        </w:tc>
        <w:tc>
          <w:tcPr>
            <w:tcW w:w="1104" w:type="dxa"/>
            <w:vAlign w:val="center"/>
          </w:tcPr>
          <w:p w14:paraId="6A0D374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ND0.07</w:t>
            </w:r>
          </w:p>
        </w:tc>
        <w:tc>
          <w:tcPr>
            <w:tcW w:w="1066" w:type="dxa"/>
            <w:vAlign w:val="center"/>
          </w:tcPr>
          <w:p w14:paraId="180D80C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ND0.07</w:t>
            </w:r>
          </w:p>
        </w:tc>
        <w:tc>
          <w:tcPr>
            <w:tcW w:w="932" w:type="dxa"/>
          </w:tcPr>
          <w:p w14:paraId="5911DC5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31F27221" w14:textId="77777777">
        <w:trPr>
          <w:jc w:val="center"/>
        </w:trPr>
        <w:tc>
          <w:tcPr>
            <w:tcW w:w="1999" w:type="dxa"/>
            <w:vAlign w:val="center"/>
          </w:tcPr>
          <w:p w14:paraId="041DC80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w:t>
            </w:r>
            <w:r>
              <w:rPr>
                <w:rFonts w:ascii="Times New Roman"/>
                <w:sz w:val="21"/>
                <w:szCs w:val="21"/>
              </w:rPr>
              <w:t>氯酚</w:t>
            </w:r>
          </w:p>
        </w:tc>
        <w:tc>
          <w:tcPr>
            <w:tcW w:w="864" w:type="dxa"/>
          </w:tcPr>
          <w:p w14:paraId="058F005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256</w:t>
            </w:r>
          </w:p>
        </w:tc>
        <w:tc>
          <w:tcPr>
            <w:tcW w:w="1110" w:type="dxa"/>
            <w:vAlign w:val="center"/>
          </w:tcPr>
          <w:p w14:paraId="5A0C0C7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ND0.06</w:t>
            </w:r>
          </w:p>
        </w:tc>
        <w:tc>
          <w:tcPr>
            <w:tcW w:w="1110" w:type="dxa"/>
            <w:vAlign w:val="center"/>
          </w:tcPr>
          <w:p w14:paraId="1B47712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ND0.06</w:t>
            </w:r>
          </w:p>
        </w:tc>
        <w:tc>
          <w:tcPr>
            <w:tcW w:w="1110" w:type="dxa"/>
            <w:vAlign w:val="center"/>
          </w:tcPr>
          <w:p w14:paraId="1ECB931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ND0.06</w:t>
            </w:r>
          </w:p>
        </w:tc>
        <w:tc>
          <w:tcPr>
            <w:tcW w:w="1104" w:type="dxa"/>
            <w:vAlign w:val="center"/>
          </w:tcPr>
          <w:p w14:paraId="02D5E71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ND0.06</w:t>
            </w:r>
          </w:p>
        </w:tc>
        <w:tc>
          <w:tcPr>
            <w:tcW w:w="1104" w:type="dxa"/>
            <w:vAlign w:val="center"/>
          </w:tcPr>
          <w:p w14:paraId="630F371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ND0.06</w:t>
            </w:r>
          </w:p>
        </w:tc>
        <w:tc>
          <w:tcPr>
            <w:tcW w:w="1104" w:type="dxa"/>
            <w:vAlign w:val="center"/>
          </w:tcPr>
          <w:p w14:paraId="59C26AF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ND0.06</w:t>
            </w:r>
          </w:p>
        </w:tc>
        <w:tc>
          <w:tcPr>
            <w:tcW w:w="1104" w:type="dxa"/>
            <w:vAlign w:val="center"/>
          </w:tcPr>
          <w:p w14:paraId="128E7A3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ND0.06</w:t>
            </w:r>
          </w:p>
        </w:tc>
        <w:tc>
          <w:tcPr>
            <w:tcW w:w="1104" w:type="dxa"/>
            <w:vAlign w:val="center"/>
          </w:tcPr>
          <w:p w14:paraId="7EF487A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ND0.06</w:t>
            </w:r>
          </w:p>
        </w:tc>
        <w:tc>
          <w:tcPr>
            <w:tcW w:w="1066" w:type="dxa"/>
            <w:vAlign w:val="center"/>
          </w:tcPr>
          <w:p w14:paraId="0605A19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ND0.06</w:t>
            </w:r>
          </w:p>
        </w:tc>
        <w:tc>
          <w:tcPr>
            <w:tcW w:w="932" w:type="dxa"/>
          </w:tcPr>
          <w:p w14:paraId="2114B1B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0A8AF6ED" w14:textId="77777777">
        <w:trPr>
          <w:jc w:val="center"/>
        </w:trPr>
        <w:tc>
          <w:tcPr>
            <w:tcW w:w="1999" w:type="dxa"/>
            <w:vAlign w:val="center"/>
          </w:tcPr>
          <w:p w14:paraId="3D111BC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苯并</w:t>
            </w:r>
            <w:r>
              <w:rPr>
                <w:rFonts w:ascii="Times New Roman" w:hAnsi="Times New Roman"/>
                <w:sz w:val="21"/>
                <w:szCs w:val="21"/>
              </w:rPr>
              <w:t>〔</w:t>
            </w:r>
            <w:r>
              <w:rPr>
                <w:rFonts w:ascii="Times New Roman" w:hAnsi="Times New Roman"/>
                <w:sz w:val="21"/>
                <w:szCs w:val="21"/>
              </w:rPr>
              <w:t>a</w:t>
            </w:r>
            <w:r>
              <w:rPr>
                <w:rFonts w:ascii="Times New Roman" w:hAnsi="Times New Roman"/>
                <w:sz w:val="21"/>
                <w:szCs w:val="21"/>
              </w:rPr>
              <w:t>〕</w:t>
            </w:r>
            <w:r>
              <w:rPr>
                <w:rFonts w:ascii="Times New Roman"/>
                <w:sz w:val="21"/>
                <w:szCs w:val="21"/>
              </w:rPr>
              <w:t>蒽</w:t>
            </w:r>
          </w:p>
        </w:tc>
        <w:tc>
          <w:tcPr>
            <w:tcW w:w="864" w:type="dxa"/>
          </w:tcPr>
          <w:p w14:paraId="546284B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w:t>
            </w:r>
          </w:p>
        </w:tc>
        <w:tc>
          <w:tcPr>
            <w:tcW w:w="1110" w:type="dxa"/>
            <w:vAlign w:val="center"/>
          </w:tcPr>
          <w:p w14:paraId="6289626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4B8FE22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69E4C85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08E786D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352C543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00A6F29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1FB41D1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5BCD87C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066" w:type="dxa"/>
            <w:vAlign w:val="center"/>
          </w:tcPr>
          <w:p w14:paraId="76DDA82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932" w:type="dxa"/>
          </w:tcPr>
          <w:p w14:paraId="3088C8C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7BCB596F" w14:textId="77777777">
        <w:trPr>
          <w:jc w:val="center"/>
        </w:trPr>
        <w:tc>
          <w:tcPr>
            <w:tcW w:w="1999" w:type="dxa"/>
            <w:vAlign w:val="center"/>
          </w:tcPr>
          <w:p w14:paraId="102F8EE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苯并</w:t>
            </w:r>
            <w:r>
              <w:rPr>
                <w:rFonts w:ascii="Times New Roman" w:hAnsi="Times New Roman"/>
                <w:sz w:val="21"/>
                <w:szCs w:val="21"/>
              </w:rPr>
              <w:t>〔</w:t>
            </w:r>
            <w:r>
              <w:rPr>
                <w:rFonts w:ascii="Times New Roman" w:hAnsi="Times New Roman"/>
                <w:sz w:val="21"/>
                <w:szCs w:val="21"/>
              </w:rPr>
              <w:t>a</w:t>
            </w:r>
            <w:r>
              <w:rPr>
                <w:rFonts w:ascii="Times New Roman" w:hAnsi="Times New Roman"/>
                <w:sz w:val="21"/>
                <w:szCs w:val="21"/>
              </w:rPr>
              <w:t>〕</w:t>
            </w:r>
            <w:r>
              <w:rPr>
                <w:rFonts w:ascii="Times New Roman"/>
                <w:sz w:val="21"/>
                <w:szCs w:val="21"/>
              </w:rPr>
              <w:t>芘</w:t>
            </w:r>
          </w:p>
        </w:tc>
        <w:tc>
          <w:tcPr>
            <w:tcW w:w="864" w:type="dxa"/>
          </w:tcPr>
          <w:p w14:paraId="0B8A259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w:t>
            </w:r>
          </w:p>
        </w:tc>
        <w:tc>
          <w:tcPr>
            <w:tcW w:w="1110" w:type="dxa"/>
            <w:vAlign w:val="center"/>
          </w:tcPr>
          <w:p w14:paraId="4DD0B40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5A971D6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7250B0D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1C9E1F6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792845E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190F912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054163C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389CDF5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066" w:type="dxa"/>
            <w:vAlign w:val="center"/>
          </w:tcPr>
          <w:p w14:paraId="753112F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932" w:type="dxa"/>
          </w:tcPr>
          <w:p w14:paraId="76B0E84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5A205239" w14:textId="77777777">
        <w:trPr>
          <w:jc w:val="center"/>
        </w:trPr>
        <w:tc>
          <w:tcPr>
            <w:tcW w:w="1999" w:type="dxa"/>
            <w:vAlign w:val="center"/>
          </w:tcPr>
          <w:p w14:paraId="4332E45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苯并</w:t>
            </w:r>
            <w:r>
              <w:rPr>
                <w:rFonts w:ascii="Times New Roman" w:hAnsi="Times New Roman"/>
                <w:sz w:val="21"/>
                <w:szCs w:val="21"/>
              </w:rPr>
              <w:t>〔</w:t>
            </w:r>
            <w:r>
              <w:rPr>
                <w:rFonts w:ascii="Times New Roman" w:hAnsi="Times New Roman"/>
                <w:sz w:val="21"/>
                <w:szCs w:val="21"/>
              </w:rPr>
              <w:t>b</w:t>
            </w:r>
            <w:r>
              <w:rPr>
                <w:rFonts w:ascii="Times New Roman" w:hAnsi="Times New Roman"/>
                <w:sz w:val="21"/>
                <w:szCs w:val="21"/>
              </w:rPr>
              <w:t>〕</w:t>
            </w:r>
            <w:r>
              <w:rPr>
                <w:rFonts w:ascii="Times New Roman"/>
                <w:sz w:val="21"/>
                <w:szCs w:val="21"/>
              </w:rPr>
              <w:t>荧蒽</w:t>
            </w:r>
          </w:p>
        </w:tc>
        <w:tc>
          <w:tcPr>
            <w:tcW w:w="864" w:type="dxa"/>
          </w:tcPr>
          <w:p w14:paraId="126EE8E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w:t>
            </w:r>
          </w:p>
        </w:tc>
        <w:tc>
          <w:tcPr>
            <w:tcW w:w="1110" w:type="dxa"/>
            <w:vAlign w:val="center"/>
          </w:tcPr>
          <w:p w14:paraId="43E98CB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ND0.2</w:t>
            </w:r>
          </w:p>
        </w:tc>
        <w:tc>
          <w:tcPr>
            <w:tcW w:w="1110" w:type="dxa"/>
            <w:vAlign w:val="center"/>
          </w:tcPr>
          <w:p w14:paraId="71C8BF3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ND0.2</w:t>
            </w:r>
          </w:p>
        </w:tc>
        <w:tc>
          <w:tcPr>
            <w:tcW w:w="1110" w:type="dxa"/>
            <w:vAlign w:val="center"/>
          </w:tcPr>
          <w:p w14:paraId="3D5CA6A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ND0.2</w:t>
            </w:r>
          </w:p>
        </w:tc>
        <w:tc>
          <w:tcPr>
            <w:tcW w:w="1104" w:type="dxa"/>
            <w:vAlign w:val="center"/>
          </w:tcPr>
          <w:p w14:paraId="2672304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ND0.2</w:t>
            </w:r>
          </w:p>
        </w:tc>
        <w:tc>
          <w:tcPr>
            <w:tcW w:w="1104" w:type="dxa"/>
            <w:vAlign w:val="center"/>
          </w:tcPr>
          <w:p w14:paraId="05B3FFC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ND0.2</w:t>
            </w:r>
          </w:p>
        </w:tc>
        <w:tc>
          <w:tcPr>
            <w:tcW w:w="1104" w:type="dxa"/>
            <w:vAlign w:val="center"/>
          </w:tcPr>
          <w:p w14:paraId="6568F85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ND0.2</w:t>
            </w:r>
          </w:p>
        </w:tc>
        <w:tc>
          <w:tcPr>
            <w:tcW w:w="1104" w:type="dxa"/>
            <w:vAlign w:val="center"/>
          </w:tcPr>
          <w:p w14:paraId="070B390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ND0.2</w:t>
            </w:r>
          </w:p>
        </w:tc>
        <w:tc>
          <w:tcPr>
            <w:tcW w:w="1104" w:type="dxa"/>
            <w:vAlign w:val="center"/>
          </w:tcPr>
          <w:p w14:paraId="5496C5B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ND0.2</w:t>
            </w:r>
          </w:p>
        </w:tc>
        <w:tc>
          <w:tcPr>
            <w:tcW w:w="1066" w:type="dxa"/>
            <w:vAlign w:val="center"/>
          </w:tcPr>
          <w:p w14:paraId="372AC11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ND0.2</w:t>
            </w:r>
          </w:p>
        </w:tc>
        <w:tc>
          <w:tcPr>
            <w:tcW w:w="932" w:type="dxa"/>
          </w:tcPr>
          <w:p w14:paraId="7E3F36A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2B4132E4" w14:textId="77777777">
        <w:trPr>
          <w:jc w:val="center"/>
        </w:trPr>
        <w:tc>
          <w:tcPr>
            <w:tcW w:w="1999" w:type="dxa"/>
            <w:vAlign w:val="center"/>
          </w:tcPr>
          <w:p w14:paraId="24FF3F5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苯并</w:t>
            </w:r>
            <w:r>
              <w:rPr>
                <w:rFonts w:ascii="Times New Roman" w:hAnsi="Times New Roman"/>
                <w:sz w:val="21"/>
                <w:szCs w:val="21"/>
              </w:rPr>
              <w:t>〔</w:t>
            </w:r>
            <w:r>
              <w:rPr>
                <w:rFonts w:ascii="Times New Roman" w:hAnsi="Times New Roman"/>
                <w:sz w:val="21"/>
                <w:szCs w:val="21"/>
              </w:rPr>
              <w:t>k</w:t>
            </w:r>
            <w:r>
              <w:rPr>
                <w:rFonts w:ascii="Times New Roman" w:hAnsi="Times New Roman"/>
                <w:sz w:val="21"/>
                <w:szCs w:val="21"/>
              </w:rPr>
              <w:t>〕</w:t>
            </w:r>
            <w:r>
              <w:rPr>
                <w:rFonts w:ascii="Times New Roman"/>
                <w:sz w:val="21"/>
                <w:szCs w:val="21"/>
              </w:rPr>
              <w:t>荧蒽</w:t>
            </w:r>
          </w:p>
        </w:tc>
        <w:tc>
          <w:tcPr>
            <w:tcW w:w="864" w:type="dxa"/>
          </w:tcPr>
          <w:p w14:paraId="6F2D658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51</w:t>
            </w:r>
          </w:p>
        </w:tc>
        <w:tc>
          <w:tcPr>
            <w:tcW w:w="1110" w:type="dxa"/>
            <w:vAlign w:val="center"/>
          </w:tcPr>
          <w:p w14:paraId="3B9E1C4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3BB0B1D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04A2F58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7AB1D18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12C0C6B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0894593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3E2E3FD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0F53AD7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066" w:type="dxa"/>
            <w:vAlign w:val="center"/>
          </w:tcPr>
          <w:p w14:paraId="183274F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932" w:type="dxa"/>
          </w:tcPr>
          <w:p w14:paraId="62BDED3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028750E6" w14:textId="77777777">
        <w:trPr>
          <w:jc w:val="center"/>
        </w:trPr>
        <w:tc>
          <w:tcPr>
            <w:tcW w:w="1999" w:type="dxa"/>
            <w:vAlign w:val="center"/>
          </w:tcPr>
          <w:p w14:paraId="7F4A103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䓛</w:t>
            </w:r>
          </w:p>
        </w:tc>
        <w:tc>
          <w:tcPr>
            <w:tcW w:w="864" w:type="dxa"/>
          </w:tcPr>
          <w:p w14:paraId="575E1C4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293</w:t>
            </w:r>
          </w:p>
        </w:tc>
        <w:tc>
          <w:tcPr>
            <w:tcW w:w="1110" w:type="dxa"/>
            <w:vAlign w:val="center"/>
          </w:tcPr>
          <w:p w14:paraId="5070808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06FF8A9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1475A57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005AA14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2FEAC83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5D1087A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5E31026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1937445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066" w:type="dxa"/>
            <w:vAlign w:val="center"/>
          </w:tcPr>
          <w:p w14:paraId="7845027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932" w:type="dxa"/>
          </w:tcPr>
          <w:p w14:paraId="0A7D433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0D5C44EF" w14:textId="77777777">
        <w:trPr>
          <w:jc w:val="center"/>
        </w:trPr>
        <w:tc>
          <w:tcPr>
            <w:tcW w:w="1999" w:type="dxa"/>
            <w:vAlign w:val="center"/>
          </w:tcPr>
          <w:p w14:paraId="1C372D7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二苯并</w:t>
            </w:r>
            <w:r>
              <w:rPr>
                <w:rFonts w:ascii="Times New Roman" w:hAnsi="Times New Roman"/>
                <w:sz w:val="21"/>
                <w:szCs w:val="21"/>
              </w:rPr>
              <w:t>〔</w:t>
            </w:r>
            <w:r>
              <w:rPr>
                <w:rFonts w:ascii="Times New Roman" w:hAnsi="Times New Roman"/>
                <w:sz w:val="21"/>
                <w:szCs w:val="21"/>
              </w:rPr>
              <w:t>a,h</w:t>
            </w:r>
            <w:r>
              <w:rPr>
                <w:rFonts w:ascii="Times New Roman" w:hAnsi="Times New Roman"/>
                <w:sz w:val="21"/>
                <w:szCs w:val="21"/>
              </w:rPr>
              <w:t>〕</w:t>
            </w:r>
            <w:r>
              <w:rPr>
                <w:rFonts w:ascii="Times New Roman"/>
                <w:sz w:val="21"/>
                <w:szCs w:val="21"/>
              </w:rPr>
              <w:t>蒽</w:t>
            </w:r>
          </w:p>
        </w:tc>
        <w:tc>
          <w:tcPr>
            <w:tcW w:w="864" w:type="dxa"/>
          </w:tcPr>
          <w:p w14:paraId="0BD82AF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w:t>
            </w:r>
          </w:p>
        </w:tc>
        <w:tc>
          <w:tcPr>
            <w:tcW w:w="1110" w:type="dxa"/>
            <w:vAlign w:val="center"/>
          </w:tcPr>
          <w:p w14:paraId="7EF606F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3F75665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15E46F0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77841B5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22198A2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48D516B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31D6291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7FF2A4A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066" w:type="dxa"/>
            <w:vAlign w:val="center"/>
          </w:tcPr>
          <w:p w14:paraId="1AA28F7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932" w:type="dxa"/>
          </w:tcPr>
          <w:p w14:paraId="69661C6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5465F9AE" w14:textId="77777777">
        <w:trPr>
          <w:jc w:val="center"/>
        </w:trPr>
        <w:tc>
          <w:tcPr>
            <w:tcW w:w="1999" w:type="dxa"/>
            <w:vAlign w:val="center"/>
          </w:tcPr>
          <w:p w14:paraId="27CD2A1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茚并</w:t>
            </w:r>
            <w:r>
              <w:rPr>
                <w:rFonts w:ascii="Times New Roman" w:hAnsi="Times New Roman"/>
                <w:sz w:val="21"/>
                <w:szCs w:val="21"/>
              </w:rPr>
              <w:t>〔</w:t>
            </w:r>
            <w:r>
              <w:rPr>
                <w:rFonts w:ascii="Times New Roman" w:hAnsi="Times New Roman"/>
                <w:sz w:val="21"/>
                <w:szCs w:val="21"/>
              </w:rPr>
              <w:t>1,2,3-cd</w:t>
            </w:r>
            <w:r>
              <w:rPr>
                <w:rFonts w:ascii="Times New Roman" w:hAnsi="Times New Roman"/>
                <w:sz w:val="21"/>
                <w:szCs w:val="21"/>
              </w:rPr>
              <w:t>〕</w:t>
            </w:r>
            <w:r>
              <w:rPr>
                <w:rFonts w:ascii="Times New Roman"/>
                <w:sz w:val="21"/>
                <w:szCs w:val="21"/>
              </w:rPr>
              <w:t>芘</w:t>
            </w:r>
          </w:p>
        </w:tc>
        <w:tc>
          <w:tcPr>
            <w:tcW w:w="864" w:type="dxa"/>
          </w:tcPr>
          <w:p w14:paraId="04D38C3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w:t>
            </w:r>
          </w:p>
        </w:tc>
        <w:tc>
          <w:tcPr>
            <w:tcW w:w="1110" w:type="dxa"/>
            <w:vAlign w:val="center"/>
          </w:tcPr>
          <w:p w14:paraId="42B7031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01FEF69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10" w:type="dxa"/>
            <w:vAlign w:val="center"/>
          </w:tcPr>
          <w:p w14:paraId="2D46687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0121F81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0F36916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3B75AFA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2CDF9F3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104" w:type="dxa"/>
            <w:vAlign w:val="center"/>
          </w:tcPr>
          <w:p w14:paraId="19EB324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1066" w:type="dxa"/>
            <w:vAlign w:val="center"/>
          </w:tcPr>
          <w:p w14:paraId="6EF5BED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ND0.1</w:t>
            </w:r>
          </w:p>
        </w:tc>
        <w:tc>
          <w:tcPr>
            <w:tcW w:w="932" w:type="dxa"/>
          </w:tcPr>
          <w:p w14:paraId="64A621A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r w:rsidR="009C353B" w14:paraId="2AE68560" w14:textId="77777777">
        <w:trPr>
          <w:jc w:val="center"/>
        </w:trPr>
        <w:tc>
          <w:tcPr>
            <w:tcW w:w="1999" w:type="dxa"/>
            <w:vAlign w:val="center"/>
          </w:tcPr>
          <w:p w14:paraId="6728654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萘</w:t>
            </w:r>
          </w:p>
        </w:tc>
        <w:tc>
          <w:tcPr>
            <w:tcW w:w="864" w:type="dxa"/>
          </w:tcPr>
          <w:p w14:paraId="13C1F8D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7</w:t>
            </w:r>
            <w:r>
              <w:rPr>
                <w:rFonts w:ascii="Times New Roman" w:hAnsi="Times New Roman"/>
                <w:sz w:val="21"/>
                <w:szCs w:val="21"/>
              </w:rPr>
              <w:t>0</w:t>
            </w:r>
          </w:p>
        </w:tc>
        <w:tc>
          <w:tcPr>
            <w:tcW w:w="1110" w:type="dxa"/>
            <w:vAlign w:val="center"/>
          </w:tcPr>
          <w:p w14:paraId="1373EB6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10" w:type="dxa"/>
            <w:vAlign w:val="center"/>
          </w:tcPr>
          <w:p w14:paraId="6119C69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10" w:type="dxa"/>
            <w:vAlign w:val="center"/>
          </w:tcPr>
          <w:p w14:paraId="34E3C32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04" w:type="dxa"/>
            <w:vAlign w:val="center"/>
          </w:tcPr>
          <w:p w14:paraId="20C3840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04" w:type="dxa"/>
            <w:vAlign w:val="center"/>
          </w:tcPr>
          <w:p w14:paraId="07AC722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04" w:type="dxa"/>
            <w:vAlign w:val="center"/>
          </w:tcPr>
          <w:p w14:paraId="7DA4472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04" w:type="dxa"/>
            <w:vAlign w:val="center"/>
          </w:tcPr>
          <w:p w14:paraId="224AFFE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104" w:type="dxa"/>
            <w:vAlign w:val="center"/>
          </w:tcPr>
          <w:p w14:paraId="3248459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1066" w:type="dxa"/>
            <w:vAlign w:val="center"/>
          </w:tcPr>
          <w:p w14:paraId="19A38C2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ND0.09</w:t>
            </w:r>
          </w:p>
        </w:tc>
        <w:tc>
          <w:tcPr>
            <w:tcW w:w="932" w:type="dxa"/>
          </w:tcPr>
          <w:p w14:paraId="324562A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达标</w:t>
            </w:r>
          </w:p>
        </w:tc>
      </w:tr>
    </w:tbl>
    <w:p w14:paraId="68976C25" w14:textId="77777777" w:rsidR="009C353B" w:rsidRDefault="009C353B">
      <w:pPr>
        <w:adjustRightInd w:val="0"/>
        <w:snapToGrid w:val="0"/>
        <w:spacing w:line="440" w:lineRule="exact"/>
        <w:rPr>
          <w:rFonts w:ascii="Times New Roman" w:hAnsi="Times New Roman"/>
        </w:rPr>
      </w:pPr>
    </w:p>
    <w:p w14:paraId="141CB118" w14:textId="77777777" w:rsidR="009C353B" w:rsidRDefault="009C353B">
      <w:pPr>
        <w:adjustRightInd w:val="0"/>
        <w:snapToGrid w:val="0"/>
        <w:spacing w:line="440" w:lineRule="exact"/>
        <w:ind w:firstLineChars="200" w:firstLine="480"/>
        <w:rPr>
          <w:rFonts w:ascii="Times New Roman" w:hAnsi="Times New Roman"/>
        </w:rPr>
        <w:sectPr w:rsidR="009C353B">
          <w:headerReference w:type="default" r:id="rId195"/>
          <w:pgSz w:w="16840" w:h="11907" w:orient="landscape"/>
          <w:pgMar w:top="1531" w:right="1418" w:bottom="1418" w:left="1418" w:header="1134" w:footer="851" w:gutter="0"/>
          <w:paperSrc w:first="7" w:other="7"/>
          <w:cols w:space="720"/>
          <w:docGrid w:linePitch="326"/>
        </w:sectPr>
      </w:pPr>
    </w:p>
    <w:p w14:paraId="2BC29D8B" w14:textId="77777777" w:rsidR="009C353B" w:rsidRDefault="00000000">
      <w:pPr>
        <w:tabs>
          <w:tab w:val="left" w:pos="3882"/>
        </w:tabs>
        <w:adjustRightInd w:val="0"/>
        <w:snapToGrid w:val="0"/>
        <w:spacing w:line="440" w:lineRule="exact"/>
        <w:jc w:val="center"/>
        <w:rPr>
          <w:rFonts w:ascii="Times New Roman" w:hAnsi="Times New Roman"/>
          <w:b/>
        </w:rPr>
      </w:pPr>
      <w:r>
        <w:rPr>
          <w:rFonts w:ascii="Times New Roman" w:hAnsi="Times New Roman" w:hint="eastAsia"/>
          <w:b/>
        </w:rPr>
        <w:t>红石湾产能核增环评土壤环境现状监测统计结果</w:t>
      </w:r>
    </w:p>
    <w:p w14:paraId="64229D55" w14:textId="77777777" w:rsidR="009C353B" w:rsidRDefault="00000000">
      <w:pPr>
        <w:adjustRightInd w:val="0"/>
        <w:snapToGrid w:val="0"/>
        <w:spacing w:line="440" w:lineRule="exact"/>
        <w:ind w:firstLineChars="50" w:firstLine="120"/>
        <w:rPr>
          <w:rFonts w:ascii="Times New Roman" w:hAnsi="Times New Roman"/>
        </w:rPr>
      </w:pPr>
      <w:r>
        <w:rPr>
          <w:rFonts w:ascii="Times New Roman" w:hAnsi="Times New Roman" w:hint="eastAsia"/>
        </w:rPr>
        <w:t>表</w:t>
      </w:r>
      <w:r>
        <w:rPr>
          <w:rFonts w:ascii="Times New Roman" w:hAnsi="Times New Roman"/>
        </w:rPr>
        <w:t xml:space="preserve">3.3-16                                                     </w:t>
      </w:r>
      <w:r>
        <w:rPr>
          <w:rFonts w:ascii="Times New Roman" w:hAnsi="Times New Roman" w:hint="eastAsia"/>
        </w:rPr>
        <w:t>单位：</w:t>
      </w:r>
      <w:r>
        <w:rPr>
          <w:rFonts w:ascii="Times New Roman" w:hAnsi="Times New Roman"/>
        </w:rPr>
        <w:t>mg/kg</w:t>
      </w:r>
    </w:p>
    <w:tbl>
      <w:tblPr>
        <w:tblW w:w="479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5"/>
        <w:gridCol w:w="742"/>
        <w:gridCol w:w="1010"/>
        <w:gridCol w:w="1010"/>
        <w:gridCol w:w="1010"/>
        <w:gridCol w:w="1010"/>
        <w:gridCol w:w="1010"/>
        <w:gridCol w:w="1010"/>
        <w:gridCol w:w="690"/>
      </w:tblGrid>
      <w:tr w:rsidR="009C353B" w14:paraId="09E4881A" w14:textId="77777777">
        <w:trPr>
          <w:trHeight w:val="720"/>
          <w:tblHeader/>
          <w:jc w:val="center"/>
        </w:trPr>
        <w:tc>
          <w:tcPr>
            <w:tcW w:w="1405" w:type="dxa"/>
            <w:vMerge w:val="restart"/>
            <w:shd w:val="clear" w:color="auto" w:fill="auto"/>
            <w:vAlign w:val="center"/>
          </w:tcPr>
          <w:p w14:paraId="1EFABCCB"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监测项目</w:t>
            </w:r>
          </w:p>
        </w:tc>
        <w:tc>
          <w:tcPr>
            <w:tcW w:w="742" w:type="dxa"/>
            <w:shd w:val="clear" w:color="auto" w:fill="auto"/>
            <w:vAlign w:val="center"/>
          </w:tcPr>
          <w:p w14:paraId="14297557"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监测点位</w:t>
            </w:r>
          </w:p>
        </w:tc>
        <w:tc>
          <w:tcPr>
            <w:tcW w:w="1010" w:type="dxa"/>
            <w:shd w:val="clear" w:color="auto" w:fill="auto"/>
            <w:vAlign w:val="center"/>
          </w:tcPr>
          <w:p w14:paraId="158749EC"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1#</w:t>
            </w:r>
            <w:r>
              <w:rPr>
                <w:rFonts w:ascii="Times New Roman" w:eastAsiaTheme="minorEastAsia" w:hAnsi="Times New Roman"/>
                <w:b/>
                <w:bCs/>
                <w:sz w:val="21"/>
                <w:szCs w:val="21"/>
              </w:rPr>
              <w:t>（近工业场地水处理站）</w:t>
            </w:r>
          </w:p>
        </w:tc>
        <w:tc>
          <w:tcPr>
            <w:tcW w:w="1010" w:type="dxa"/>
            <w:shd w:val="clear" w:color="auto" w:fill="auto"/>
            <w:vAlign w:val="center"/>
          </w:tcPr>
          <w:p w14:paraId="022BA8DF"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2#</w:t>
            </w:r>
            <w:r>
              <w:rPr>
                <w:rFonts w:ascii="Times New Roman" w:eastAsiaTheme="minorEastAsia" w:hAnsi="Times New Roman"/>
                <w:b/>
                <w:bCs/>
                <w:sz w:val="21"/>
                <w:szCs w:val="21"/>
              </w:rPr>
              <w:t>（工业场地上游）</w:t>
            </w:r>
          </w:p>
        </w:tc>
        <w:tc>
          <w:tcPr>
            <w:tcW w:w="1010" w:type="dxa"/>
            <w:shd w:val="clear" w:color="auto" w:fill="auto"/>
            <w:vAlign w:val="center"/>
          </w:tcPr>
          <w:p w14:paraId="5FFA2716"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3#</w:t>
            </w:r>
            <w:r>
              <w:rPr>
                <w:rFonts w:ascii="Times New Roman" w:eastAsiaTheme="minorEastAsia" w:hAnsi="Times New Roman"/>
                <w:b/>
                <w:bCs/>
                <w:sz w:val="21"/>
                <w:szCs w:val="21"/>
              </w:rPr>
              <w:t>（工业场地下游）</w:t>
            </w:r>
          </w:p>
        </w:tc>
        <w:tc>
          <w:tcPr>
            <w:tcW w:w="1010" w:type="dxa"/>
            <w:shd w:val="clear" w:color="auto" w:fill="auto"/>
            <w:vAlign w:val="center"/>
          </w:tcPr>
          <w:p w14:paraId="1ABA5A0D"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4#</w:t>
            </w:r>
            <w:r>
              <w:rPr>
                <w:rFonts w:ascii="Times New Roman" w:eastAsiaTheme="minorEastAsia" w:hAnsi="Times New Roman"/>
                <w:b/>
                <w:bCs/>
                <w:sz w:val="21"/>
                <w:szCs w:val="21"/>
              </w:rPr>
              <w:t>（排矸场已恢复区）</w:t>
            </w:r>
          </w:p>
        </w:tc>
        <w:tc>
          <w:tcPr>
            <w:tcW w:w="1010" w:type="dxa"/>
            <w:shd w:val="clear" w:color="auto" w:fill="auto"/>
            <w:vAlign w:val="center"/>
          </w:tcPr>
          <w:p w14:paraId="7A1D7425"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5#</w:t>
            </w:r>
            <w:r>
              <w:rPr>
                <w:rFonts w:ascii="Times New Roman" w:eastAsiaTheme="minorEastAsia" w:hAnsi="Times New Roman"/>
                <w:b/>
                <w:bCs/>
                <w:sz w:val="21"/>
                <w:szCs w:val="21"/>
              </w:rPr>
              <w:t>（排矸场上游）</w:t>
            </w:r>
          </w:p>
        </w:tc>
        <w:tc>
          <w:tcPr>
            <w:tcW w:w="1010" w:type="dxa"/>
            <w:shd w:val="clear" w:color="auto" w:fill="auto"/>
            <w:vAlign w:val="center"/>
          </w:tcPr>
          <w:p w14:paraId="56FD9DF6"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6#</w:t>
            </w:r>
            <w:r>
              <w:rPr>
                <w:rFonts w:ascii="Times New Roman" w:eastAsiaTheme="minorEastAsia" w:hAnsi="Times New Roman"/>
                <w:b/>
                <w:bCs/>
                <w:sz w:val="21"/>
                <w:szCs w:val="21"/>
              </w:rPr>
              <w:t>（排矸场下游）</w:t>
            </w:r>
          </w:p>
        </w:tc>
        <w:tc>
          <w:tcPr>
            <w:tcW w:w="690" w:type="dxa"/>
            <w:vMerge w:val="restart"/>
            <w:shd w:val="clear" w:color="auto" w:fill="auto"/>
            <w:vAlign w:val="center"/>
          </w:tcPr>
          <w:p w14:paraId="5AA1BD35"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达标分析</w:t>
            </w:r>
          </w:p>
        </w:tc>
      </w:tr>
      <w:tr w:rsidR="009C353B" w14:paraId="3E578552" w14:textId="77777777">
        <w:trPr>
          <w:trHeight w:val="315"/>
          <w:tblHeader/>
          <w:jc w:val="center"/>
        </w:trPr>
        <w:tc>
          <w:tcPr>
            <w:tcW w:w="1405" w:type="dxa"/>
            <w:vMerge/>
            <w:shd w:val="clear" w:color="auto" w:fill="auto"/>
            <w:vAlign w:val="center"/>
          </w:tcPr>
          <w:p w14:paraId="1F460BDD" w14:textId="77777777" w:rsidR="009C353B" w:rsidRDefault="009C353B">
            <w:pPr>
              <w:adjustRightInd w:val="0"/>
              <w:snapToGrid w:val="0"/>
              <w:spacing w:line="240" w:lineRule="atLeast"/>
              <w:jc w:val="center"/>
              <w:rPr>
                <w:rFonts w:ascii="Times New Roman" w:eastAsiaTheme="minorEastAsia" w:hAnsi="Times New Roman"/>
                <w:b/>
                <w:bCs/>
                <w:sz w:val="21"/>
                <w:szCs w:val="21"/>
              </w:rPr>
            </w:pPr>
          </w:p>
        </w:tc>
        <w:tc>
          <w:tcPr>
            <w:tcW w:w="742" w:type="dxa"/>
            <w:shd w:val="clear" w:color="auto" w:fill="auto"/>
            <w:vAlign w:val="center"/>
          </w:tcPr>
          <w:p w14:paraId="5D41DC86"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筛选值</w:t>
            </w:r>
          </w:p>
        </w:tc>
        <w:tc>
          <w:tcPr>
            <w:tcW w:w="1010" w:type="dxa"/>
            <w:shd w:val="clear" w:color="auto" w:fill="auto"/>
            <w:vAlign w:val="center"/>
          </w:tcPr>
          <w:p w14:paraId="42B5E635"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表层</w:t>
            </w:r>
          </w:p>
        </w:tc>
        <w:tc>
          <w:tcPr>
            <w:tcW w:w="1010" w:type="dxa"/>
            <w:shd w:val="clear" w:color="auto" w:fill="auto"/>
            <w:vAlign w:val="center"/>
          </w:tcPr>
          <w:p w14:paraId="574D5DD0"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表层</w:t>
            </w:r>
          </w:p>
        </w:tc>
        <w:tc>
          <w:tcPr>
            <w:tcW w:w="1010" w:type="dxa"/>
            <w:shd w:val="clear" w:color="auto" w:fill="auto"/>
            <w:vAlign w:val="center"/>
          </w:tcPr>
          <w:p w14:paraId="4E14D73E"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表层</w:t>
            </w:r>
          </w:p>
        </w:tc>
        <w:tc>
          <w:tcPr>
            <w:tcW w:w="1010" w:type="dxa"/>
            <w:shd w:val="clear" w:color="auto" w:fill="auto"/>
            <w:vAlign w:val="center"/>
          </w:tcPr>
          <w:p w14:paraId="109247D5"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表层</w:t>
            </w:r>
          </w:p>
        </w:tc>
        <w:tc>
          <w:tcPr>
            <w:tcW w:w="1010" w:type="dxa"/>
            <w:shd w:val="clear" w:color="auto" w:fill="auto"/>
            <w:vAlign w:val="center"/>
          </w:tcPr>
          <w:p w14:paraId="56DA75D8"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表层</w:t>
            </w:r>
          </w:p>
        </w:tc>
        <w:tc>
          <w:tcPr>
            <w:tcW w:w="1010" w:type="dxa"/>
            <w:shd w:val="clear" w:color="auto" w:fill="auto"/>
            <w:vAlign w:val="center"/>
          </w:tcPr>
          <w:p w14:paraId="15E7B38B" w14:textId="77777777" w:rsidR="009C353B" w:rsidRDefault="00000000">
            <w:pPr>
              <w:adjustRightInd w:val="0"/>
              <w:snapToGrid w:val="0"/>
              <w:spacing w:line="240" w:lineRule="atLeast"/>
              <w:jc w:val="center"/>
              <w:rPr>
                <w:rFonts w:ascii="Times New Roman" w:eastAsiaTheme="minorEastAsia" w:hAnsi="Times New Roman"/>
                <w:b/>
                <w:bCs/>
                <w:sz w:val="21"/>
                <w:szCs w:val="21"/>
              </w:rPr>
            </w:pPr>
            <w:r>
              <w:rPr>
                <w:rFonts w:ascii="Times New Roman" w:eastAsiaTheme="minorEastAsia" w:hAnsi="Times New Roman"/>
                <w:b/>
                <w:bCs/>
                <w:sz w:val="21"/>
                <w:szCs w:val="21"/>
              </w:rPr>
              <w:t>表层</w:t>
            </w:r>
          </w:p>
        </w:tc>
        <w:tc>
          <w:tcPr>
            <w:tcW w:w="690" w:type="dxa"/>
            <w:vMerge/>
            <w:shd w:val="clear" w:color="auto" w:fill="auto"/>
            <w:vAlign w:val="center"/>
          </w:tcPr>
          <w:p w14:paraId="74DF8754" w14:textId="77777777" w:rsidR="009C353B" w:rsidRDefault="009C353B">
            <w:pPr>
              <w:adjustRightInd w:val="0"/>
              <w:snapToGrid w:val="0"/>
              <w:spacing w:line="240" w:lineRule="atLeast"/>
              <w:jc w:val="center"/>
              <w:rPr>
                <w:rFonts w:ascii="Times New Roman" w:eastAsiaTheme="minorEastAsia" w:hAnsi="Times New Roman"/>
                <w:b/>
                <w:bCs/>
                <w:sz w:val="21"/>
                <w:szCs w:val="21"/>
              </w:rPr>
            </w:pPr>
          </w:p>
        </w:tc>
      </w:tr>
      <w:tr w:rsidR="009C353B" w14:paraId="1C664222" w14:textId="77777777">
        <w:trPr>
          <w:trHeight w:val="315"/>
          <w:jc w:val="center"/>
        </w:trPr>
        <w:tc>
          <w:tcPr>
            <w:tcW w:w="1405" w:type="dxa"/>
            <w:shd w:val="clear" w:color="auto" w:fill="auto"/>
            <w:vAlign w:val="center"/>
          </w:tcPr>
          <w:p w14:paraId="3EA2728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砷</w:t>
            </w:r>
          </w:p>
        </w:tc>
        <w:tc>
          <w:tcPr>
            <w:tcW w:w="742" w:type="dxa"/>
            <w:shd w:val="clear" w:color="auto" w:fill="auto"/>
            <w:vAlign w:val="center"/>
          </w:tcPr>
          <w:p w14:paraId="791099C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60</w:t>
            </w:r>
          </w:p>
        </w:tc>
        <w:tc>
          <w:tcPr>
            <w:tcW w:w="1010" w:type="dxa"/>
            <w:shd w:val="clear" w:color="auto" w:fill="auto"/>
            <w:vAlign w:val="center"/>
          </w:tcPr>
          <w:p w14:paraId="0CE8675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9.73</w:t>
            </w:r>
          </w:p>
        </w:tc>
        <w:tc>
          <w:tcPr>
            <w:tcW w:w="1010" w:type="dxa"/>
            <w:shd w:val="clear" w:color="auto" w:fill="auto"/>
            <w:vAlign w:val="center"/>
          </w:tcPr>
          <w:p w14:paraId="4AD1852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9.25</w:t>
            </w:r>
          </w:p>
        </w:tc>
        <w:tc>
          <w:tcPr>
            <w:tcW w:w="1010" w:type="dxa"/>
            <w:shd w:val="clear" w:color="auto" w:fill="auto"/>
            <w:vAlign w:val="center"/>
          </w:tcPr>
          <w:p w14:paraId="62ED9EA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10.3</w:t>
            </w:r>
          </w:p>
        </w:tc>
        <w:tc>
          <w:tcPr>
            <w:tcW w:w="1010" w:type="dxa"/>
            <w:shd w:val="clear" w:color="auto" w:fill="auto"/>
            <w:vAlign w:val="center"/>
          </w:tcPr>
          <w:p w14:paraId="50ED429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10.1</w:t>
            </w:r>
          </w:p>
        </w:tc>
        <w:tc>
          <w:tcPr>
            <w:tcW w:w="1010" w:type="dxa"/>
            <w:shd w:val="clear" w:color="auto" w:fill="auto"/>
            <w:vAlign w:val="center"/>
          </w:tcPr>
          <w:p w14:paraId="391F87D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10.9</w:t>
            </w:r>
          </w:p>
        </w:tc>
        <w:tc>
          <w:tcPr>
            <w:tcW w:w="1010" w:type="dxa"/>
            <w:shd w:val="clear" w:color="auto" w:fill="auto"/>
            <w:vAlign w:val="center"/>
          </w:tcPr>
          <w:p w14:paraId="09AB5B2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12.6</w:t>
            </w:r>
          </w:p>
        </w:tc>
        <w:tc>
          <w:tcPr>
            <w:tcW w:w="690" w:type="dxa"/>
            <w:shd w:val="clear" w:color="auto" w:fill="auto"/>
            <w:noWrap/>
            <w:vAlign w:val="center"/>
          </w:tcPr>
          <w:p w14:paraId="0DD4164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44691496" w14:textId="77777777">
        <w:trPr>
          <w:trHeight w:val="315"/>
          <w:jc w:val="center"/>
        </w:trPr>
        <w:tc>
          <w:tcPr>
            <w:tcW w:w="1405" w:type="dxa"/>
            <w:shd w:val="clear" w:color="auto" w:fill="auto"/>
            <w:vAlign w:val="center"/>
          </w:tcPr>
          <w:p w14:paraId="1A03E4A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镉</w:t>
            </w:r>
          </w:p>
        </w:tc>
        <w:tc>
          <w:tcPr>
            <w:tcW w:w="742" w:type="dxa"/>
            <w:shd w:val="clear" w:color="auto" w:fill="auto"/>
            <w:vAlign w:val="center"/>
          </w:tcPr>
          <w:p w14:paraId="2266928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65</w:t>
            </w:r>
          </w:p>
        </w:tc>
        <w:tc>
          <w:tcPr>
            <w:tcW w:w="1010" w:type="dxa"/>
            <w:shd w:val="clear" w:color="auto" w:fill="auto"/>
            <w:vAlign w:val="center"/>
          </w:tcPr>
          <w:p w14:paraId="5410656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0.14</w:t>
            </w:r>
          </w:p>
        </w:tc>
        <w:tc>
          <w:tcPr>
            <w:tcW w:w="1010" w:type="dxa"/>
            <w:shd w:val="clear" w:color="auto" w:fill="auto"/>
            <w:vAlign w:val="center"/>
          </w:tcPr>
          <w:p w14:paraId="140E7C1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0.15</w:t>
            </w:r>
          </w:p>
        </w:tc>
        <w:tc>
          <w:tcPr>
            <w:tcW w:w="1010" w:type="dxa"/>
            <w:shd w:val="clear" w:color="auto" w:fill="auto"/>
            <w:vAlign w:val="center"/>
          </w:tcPr>
          <w:p w14:paraId="0ABAE17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0.3</w:t>
            </w:r>
          </w:p>
        </w:tc>
        <w:tc>
          <w:tcPr>
            <w:tcW w:w="1010" w:type="dxa"/>
            <w:shd w:val="clear" w:color="auto" w:fill="auto"/>
            <w:vAlign w:val="center"/>
          </w:tcPr>
          <w:p w14:paraId="3E6734D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0.11</w:t>
            </w:r>
          </w:p>
        </w:tc>
        <w:tc>
          <w:tcPr>
            <w:tcW w:w="1010" w:type="dxa"/>
            <w:shd w:val="clear" w:color="auto" w:fill="auto"/>
            <w:vAlign w:val="center"/>
          </w:tcPr>
          <w:p w14:paraId="1862196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0.29</w:t>
            </w:r>
          </w:p>
        </w:tc>
        <w:tc>
          <w:tcPr>
            <w:tcW w:w="1010" w:type="dxa"/>
            <w:shd w:val="clear" w:color="auto" w:fill="auto"/>
            <w:vAlign w:val="center"/>
          </w:tcPr>
          <w:p w14:paraId="0676733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0.11</w:t>
            </w:r>
          </w:p>
        </w:tc>
        <w:tc>
          <w:tcPr>
            <w:tcW w:w="690" w:type="dxa"/>
            <w:shd w:val="clear" w:color="auto" w:fill="auto"/>
            <w:noWrap/>
            <w:vAlign w:val="center"/>
          </w:tcPr>
          <w:p w14:paraId="092DFDA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685B0783" w14:textId="77777777">
        <w:trPr>
          <w:trHeight w:val="315"/>
          <w:jc w:val="center"/>
        </w:trPr>
        <w:tc>
          <w:tcPr>
            <w:tcW w:w="1405" w:type="dxa"/>
            <w:shd w:val="clear" w:color="auto" w:fill="auto"/>
            <w:vAlign w:val="center"/>
          </w:tcPr>
          <w:p w14:paraId="0E47905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Cr+6</w:t>
            </w:r>
          </w:p>
        </w:tc>
        <w:tc>
          <w:tcPr>
            <w:tcW w:w="742" w:type="dxa"/>
            <w:shd w:val="clear" w:color="auto" w:fill="auto"/>
            <w:vAlign w:val="center"/>
          </w:tcPr>
          <w:p w14:paraId="6A78346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5.7</w:t>
            </w:r>
          </w:p>
        </w:tc>
        <w:tc>
          <w:tcPr>
            <w:tcW w:w="1010" w:type="dxa"/>
            <w:shd w:val="clear" w:color="auto" w:fill="auto"/>
            <w:vAlign w:val="center"/>
          </w:tcPr>
          <w:p w14:paraId="207EA65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5BF179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EF7DA9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58A70B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B12A81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5C7807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5198A76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162951DB" w14:textId="77777777">
        <w:trPr>
          <w:trHeight w:val="315"/>
          <w:jc w:val="center"/>
        </w:trPr>
        <w:tc>
          <w:tcPr>
            <w:tcW w:w="1405" w:type="dxa"/>
            <w:shd w:val="clear" w:color="auto" w:fill="auto"/>
            <w:vAlign w:val="center"/>
          </w:tcPr>
          <w:p w14:paraId="073C186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铜</w:t>
            </w:r>
          </w:p>
        </w:tc>
        <w:tc>
          <w:tcPr>
            <w:tcW w:w="742" w:type="dxa"/>
            <w:shd w:val="clear" w:color="auto" w:fill="auto"/>
            <w:vAlign w:val="center"/>
          </w:tcPr>
          <w:p w14:paraId="27815C9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18000</w:t>
            </w:r>
          </w:p>
        </w:tc>
        <w:tc>
          <w:tcPr>
            <w:tcW w:w="1010" w:type="dxa"/>
            <w:shd w:val="clear" w:color="auto" w:fill="auto"/>
            <w:vAlign w:val="center"/>
          </w:tcPr>
          <w:p w14:paraId="28CA150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22</w:t>
            </w:r>
          </w:p>
        </w:tc>
        <w:tc>
          <w:tcPr>
            <w:tcW w:w="1010" w:type="dxa"/>
            <w:shd w:val="clear" w:color="auto" w:fill="auto"/>
            <w:vAlign w:val="center"/>
          </w:tcPr>
          <w:p w14:paraId="6B947C6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23</w:t>
            </w:r>
          </w:p>
        </w:tc>
        <w:tc>
          <w:tcPr>
            <w:tcW w:w="1010" w:type="dxa"/>
            <w:shd w:val="clear" w:color="auto" w:fill="auto"/>
            <w:vAlign w:val="center"/>
          </w:tcPr>
          <w:p w14:paraId="3A75B91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29</w:t>
            </w:r>
          </w:p>
        </w:tc>
        <w:tc>
          <w:tcPr>
            <w:tcW w:w="1010" w:type="dxa"/>
            <w:shd w:val="clear" w:color="auto" w:fill="auto"/>
            <w:vAlign w:val="center"/>
          </w:tcPr>
          <w:p w14:paraId="51496A7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30</w:t>
            </w:r>
          </w:p>
        </w:tc>
        <w:tc>
          <w:tcPr>
            <w:tcW w:w="1010" w:type="dxa"/>
            <w:shd w:val="clear" w:color="auto" w:fill="auto"/>
            <w:vAlign w:val="center"/>
          </w:tcPr>
          <w:p w14:paraId="08860DE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24</w:t>
            </w:r>
          </w:p>
        </w:tc>
        <w:tc>
          <w:tcPr>
            <w:tcW w:w="1010" w:type="dxa"/>
            <w:shd w:val="clear" w:color="auto" w:fill="auto"/>
            <w:vAlign w:val="center"/>
          </w:tcPr>
          <w:p w14:paraId="19D12DD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36</w:t>
            </w:r>
          </w:p>
        </w:tc>
        <w:tc>
          <w:tcPr>
            <w:tcW w:w="690" w:type="dxa"/>
            <w:shd w:val="clear" w:color="auto" w:fill="auto"/>
            <w:noWrap/>
            <w:vAlign w:val="center"/>
          </w:tcPr>
          <w:p w14:paraId="08D95F4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0AAE15E3" w14:textId="77777777">
        <w:trPr>
          <w:trHeight w:val="315"/>
          <w:jc w:val="center"/>
        </w:trPr>
        <w:tc>
          <w:tcPr>
            <w:tcW w:w="1405" w:type="dxa"/>
            <w:shd w:val="clear" w:color="auto" w:fill="auto"/>
            <w:vAlign w:val="center"/>
          </w:tcPr>
          <w:p w14:paraId="4A360C5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铅</w:t>
            </w:r>
          </w:p>
        </w:tc>
        <w:tc>
          <w:tcPr>
            <w:tcW w:w="742" w:type="dxa"/>
            <w:shd w:val="clear" w:color="auto" w:fill="auto"/>
            <w:vAlign w:val="center"/>
          </w:tcPr>
          <w:p w14:paraId="1684078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800</w:t>
            </w:r>
          </w:p>
        </w:tc>
        <w:tc>
          <w:tcPr>
            <w:tcW w:w="1010" w:type="dxa"/>
            <w:shd w:val="clear" w:color="auto" w:fill="auto"/>
            <w:vAlign w:val="center"/>
          </w:tcPr>
          <w:p w14:paraId="62226A9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13</w:t>
            </w:r>
          </w:p>
        </w:tc>
        <w:tc>
          <w:tcPr>
            <w:tcW w:w="1010" w:type="dxa"/>
            <w:shd w:val="clear" w:color="auto" w:fill="auto"/>
            <w:vAlign w:val="center"/>
          </w:tcPr>
          <w:p w14:paraId="5D5EF4F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15</w:t>
            </w:r>
          </w:p>
        </w:tc>
        <w:tc>
          <w:tcPr>
            <w:tcW w:w="1010" w:type="dxa"/>
            <w:shd w:val="clear" w:color="auto" w:fill="auto"/>
            <w:vAlign w:val="center"/>
          </w:tcPr>
          <w:p w14:paraId="1EE7D19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11</w:t>
            </w:r>
          </w:p>
        </w:tc>
        <w:tc>
          <w:tcPr>
            <w:tcW w:w="1010" w:type="dxa"/>
            <w:shd w:val="clear" w:color="auto" w:fill="auto"/>
            <w:vAlign w:val="center"/>
          </w:tcPr>
          <w:p w14:paraId="3E5F5F7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14</w:t>
            </w:r>
          </w:p>
        </w:tc>
        <w:tc>
          <w:tcPr>
            <w:tcW w:w="1010" w:type="dxa"/>
            <w:shd w:val="clear" w:color="auto" w:fill="auto"/>
            <w:vAlign w:val="center"/>
          </w:tcPr>
          <w:p w14:paraId="6BDF715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12</w:t>
            </w:r>
          </w:p>
        </w:tc>
        <w:tc>
          <w:tcPr>
            <w:tcW w:w="1010" w:type="dxa"/>
            <w:shd w:val="clear" w:color="auto" w:fill="auto"/>
            <w:vAlign w:val="center"/>
          </w:tcPr>
          <w:p w14:paraId="760BE72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13</w:t>
            </w:r>
          </w:p>
        </w:tc>
        <w:tc>
          <w:tcPr>
            <w:tcW w:w="690" w:type="dxa"/>
            <w:shd w:val="clear" w:color="auto" w:fill="auto"/>
            <w:noWrap/>
            <w:vAlign w:val="center"/>
          </w:tcPr>
          <w:p w14:paraId="41AFA73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461E137B" w14:textId="77777777">
        <w:trPr>
          <w:trHeight w:val="315"/>
          <w:jc w:val="center"/>
        </w:trPr>
        <w:tc>
          <w:tcPr>
            <w:tcW w:w="1405" w:type="dxa"/>
            <w:shd w:val="clear" w:color="auto" w:fill="auto"/>
            <w:vAlign w:val="center"/>
          </w:tcPr>
          <w:p w14:paraId="538A6E7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汞</w:t>
            </w:r>
          </w:p>
        </w:tc>
        <w:tc>
          <w:tcPr>
            <w:tcW w:w="742" w:type="dxa"/>
            <w:shd w:val="clear" w:color="auto" w:fill="auto"/>
            <w:vAlign w:val="center"/>
          </w:tcPr>
          <w:p w14:paraId="00BBE21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38</w:t>
            </w:r>
          </w:p>
        </w:tc>
        <w:tc>
          <w:tcPr>
            <w:tcW w:w="1010" w:type="dxa"/>
            <w:shd w:val="clear" w:color="auto" w:fill="auto"/>
            <w:vAlign w:val="center"/>
          </w:tcPr>
          <w:p w14:paraId="42DE05B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0.116</w:t>
            </w:r>
          </w:p>
        </w:tc>
        <w:tc>
          <w:tcPr>
            <w:tcW w:w="1010" w:type="dxa"/>
            <w:shd w:val="clear" w:color="auto" w:fill="auto"/>
            <w:vAlign w:val="center"/>
          </w:tcPr>
          <w:p w14:paraId="5A8E2A8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0.108</w:t>
            </w:r>
          </w:p>
        </w:tc>
        <w:tc>
          <w:tcPr>
            <w:tcW w:w="1010" w:type="dxa"/>
            <w:shd w:val="clear" w:color="auto" w:fill="auto"/>
            <w:vAlign w:val="center"/>
          </w:tcPr>
          <w:p w14:paraId="1B0160D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0.11</w:t>
            </w:r>
          </w:p>
        </w:tc>
        <w:tc>
          <w:tcPr>
            <w:tcW w:w="1010" w:type="dxa"/>
            <w:shd w:val="clear" w:color="auto" w:fill="auto"/>
            <w:vAlign w:val="center"/>
          </w:tcPr>
          <w:p w14:paraId="1EEC167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0.102</w:t>
            </w:r>
          </w:p>
        </w:tc>
        <w:tc>
          <w:tcPr>
            <w:tcW w:w="1010" w:type="dxa"/>
            <w:shd w:val="clear" w:color="auto" w:fill="auto"/>
            <w:vAlign w:val="center"/>
          </w:tcPr>
          <w:p w14:paraId="62273D6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0.106</w:t>
            </w:r>
          </w:p>
        </w:tc>
        <w:tc>
          <w:tcPr>
            <w:tcW w:w="1010" w:type="dxa"/>
            <w:shd w:val="clear" w:color="auto" w:fill="auto"/>
            <w:vAlign w:val="center"/>
          </w:tcPr>
          <w:p w14:paraId="166AA42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0.11</w:t>
            </w:r>
          </w:p>
        </w:tc>
        <w:tc>
          <w:tcPr>
            <w:tcW w:w="690" w:type="dxa"/>
            <w:shd w:val="clear" w:color="auto" w:fill="auto"/>
            <w:noWrap/>
            <w:vAlign w:val="center"/>
          </w:tcPr>
          <w:p w14:paraId="1427636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7CF8159A" w14:textId="77777777">
        <w:trPr>
          <w:trHeight w:val="315"/>
          <w:jc w:val="center"/>
        </w:trPr>
        <w:tc>
          <w:tcPr>
            <w:tcW w:w="1405" w:type="dxa"/>
            <w:shd w:val="clear" w:color="auto" w:fill="auto"/>
            <w:vAlign w:val="center"/>
          </w:tcPr>
          <w:p w14:paraId="0ADE291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镍</w:t>
            </w:r>
          </w:p>
        </w:tc>
        <w:tc>
          <w:tcPr>
            <w:tcW w:w="742" w:type="dxa"/>
            <w:shd w:val="clear" w:color="auto" w:fill="auto"/>
            <w:vAlign w:val="center"/>
          </w:tcPr>
          <w:p w14:paraId="07DAC47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900</w:t>
            </w:r>
          </w:p>
        </w:tc>
        <w:tc>
          <w:tcPr>
            <w:tcW w:w="1010" w:type="dxa"/>
            <w:shd w:val="clear" w:color="auto" w:fill="auto"/>
            <w:vAlign w:val="center"/>
          </w:tcPr>
          <w:p w14:paraId="6EB0387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22</w:t>
            </w:r>
          </w:p>
        </w:tc>
        <w:tc>
          <w:tcPr>
            <w:tcW w:w="1010" w:type="dxa"/>
            <w:shd w:val="clear" w:color="auto" w:fill="auto"/>
            <w:vAlign w:val="center"/>
          </w:tcPr>
          <w:p w14:paraId="7973E7C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16</w:t>
            </w:r>
          </w:p>
        </w:tc>
        <w:tc>
          <w:tcPr>
            <w:tcW w:w="1010" w:type="dxa"/>
            <w:shd w:val="clear" w:color="auto" w:fill="auto"/>
            <w:vAlign w:val="center"/>
          </w:tcPr>
          <w:p w14:paraId="6E8FAB8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19</w:t>
            </w:r>
          </w:p>
        </w:tc>
        <w:tc>
          <w:tcPr>
            <w:tcW w:w="1010" w:type="dxa"/>
            <w:shd w:val="clear" w:color="auto" w:fill="auto"/>
            <w:vAlign w:val="center"/>
          </w:tcPr>
          <w:p w14:paraId="18B3A1E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25</w:t>
            </w:r>
          </w:p>
        </w:tc>
        <w:tc>
          <w:tcPr>
            <w:tcW w:w="1010" w:type="dxa"/>
            <w:shd w:val="clear" w:color="auto" w:fill="auto"/>
            <w:vAlign w:val="center"/>
          </w:tcPr>
          <w:p w14:paraId="3E57B2C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20</w:t>
            </w:r>
          </w:p>
        </w:tc>
        <w:tc>
          <w:tcPr>
            <w:tcW w:w="1010" w:type="dxa"/>
            <w:shd w:val="clear" w:color="auto" w:fill="auto"/>
            <w:vAlign w:val="center"/>
          </w:tcPr>
          <w:p w14:paraId="4572402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29</w:t>
            </w:r>
          </w:p>
        </w:tc>
        <w:tc>
          <w:tcPr>
            <w:tcW w:w="690" w:type="dxa"/>
            <w:shd w:val="clear" w:color="auto" w:fill="auto"/>
            <w:noWrap/>
            <w:vAlign w:val="center"/>
          </w:tcPr>
          <w:p w14:paraId="4B14EDE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1D286914" w14:textId="77777777">
        <w:trPr>
          <w:trHeight w:val="315"/>
          <w:jc w:val="center"/>
        </w:trPr>
        <w:tc>
          <w:tcPr>
            <w:tcW w:w="1405" w:type="dxa"/>
            <w:shd w:val="clear" w:color="auto" w:fill="auto"/>
            <w:vAlign w:val="center"/>
          </w:tcPr>
          <w:p w14:paraId="5461AED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四氯化碳</w:t>
            </w:r>
          </w:p>
        </w:tc>
        <w:tc>
          <w:tcPr>
            <w:tcW w:w="742" w:type="dxa"/>
            <w:shd w:val="clear" w:color="auto" w:fill="auto"/>
            <w:vAlign w:val="center"/>
          </w:tcPr>
          <w:p w14:paraId="427DCF6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2.8</w:t>
            </w:r>
          </w:p>
        </w:tc>
        <w:tc>
          <w:tcPr>
            <w:tcW w:w="1010" w:type="dxa"/>
            <w:shd w:val="clear" w:color="auto" w:fill="auto"/>
            <w:vAlign w:val="center"/>
          </w:tcPr>
          <w:p w14:paraId="6F8AF6C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1298E3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241220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7C2544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52838C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317165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57C0DE9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44F9C8C2" w14:textId="77777777">
        <w:trPr>
          <w:trHeight w:val="315"/>
          <w:jc w:val="center"/>
        </w:trPr>
        <w:tc>
          <w:tcPr>
            <w:tcW w:w="1405" w:type="dxa"/>
            <w:shd w:val="clear" w:color="auto" w:fill="auto"/>
            <w:vAlign w:val="center"/>
          </w:tcPr>
          <w:p w14:paraId="3253E16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氯仿</w:t>
            </w:r>
          </w:p>
        </w:tc>
        <w:tc>
          <w:tcPr>
            <w:tcW w:w="742" w:type="dxa"/>
            <w:shd w:val="clear" w:color="auto" w:fill="auto"/>
            <w:vAlign w:val="center"/>
          </w:tcPr>
          <w:p w14:paraId="56FB350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0.9</w:t>
            </w:r>
          </w:p>
        </w:tc>
        <w:tc>
          <w:tcPr>
            <w:tcW w:w="1010" w:type="dxa"/>
            <w:shd w:val="clear" w:color="auto" w:fill="auto"/>
            <w:vAlign w:val="center"/>
          </w:tcPr>
          <w:p w14:paraId="7E2D92F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56B4C7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061697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418CEB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6BEB79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D96F54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234C663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72DED2A6" w14:textId="77777777">
        <w:trPr>
          <w:trHeight w:val="315"/>
          <w:jc w:val="center"/>
        </w:trPr>
        <w:tc>
          <w:tcPr>
            <w:tcW w:w="1405" w:type="dxa"/>
            <w:shd w:val="clear" w:color="auto" w:fill="auto"/>
            <w:vAlign w:val="center"/>
          </w:tcPr>
          <w:p w14:paraId="3D979B9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氯甲烷</w:t>
            </w:r>
          </w:p>
        </w:tc>
        <w:tc>
          <w:tcPr>
            <w:tcW w:w="742" w:type="dxa"/>
            <w:shd w:val="clear" w:color="auto" w:fill="auto"/>
            <w:vAlign w:val="center"/>
          </w:tcPr>
          <w:p w14:paraId="7C388C8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37</w:t>
            </w:r>
          </w:p>
        </w:tc>
        <w:tc>
          <w:tcPr>
            <w:tcW w:w="1010" w:type="dxa"/>
            <w:shd w:val="clear" w:color="auto" w:fill="auto"/>
            <w:vAlign w:val="center"/>
          </w:tcPr>
          <w:p w14:paraId="2074ECD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0AFCD0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358565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5EF5EDB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1BACC38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DD68B5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3AABFB9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44A58387" w14:textId="77777777">
        <w:trPr>
          <w:trHeight w:val="495"/>
          <w:jc w:val="center"/>
        </w:trPr>
        <w:tc>
          <w:tcPr>
            <w:tcW w:w="1405" w:type="dxa"/>
            <w:shd w:val="clear" w:color="auto" w:fill="auto"/>
            <w:vAlign w:val="center"/>
          </w:tcPr>
          <w:p w14:paraId="6944168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sz w:val="21"/>
                <w:szCs w:val="21"/>
              </w:rPr>
              <w:t>二氯乙烷</w:t>
            </w:r>
          </w:p>
        </w:tc>
        <w:tc>
          <w:tcPr>
            <w:tcW w:w="742" w:type="dxa"/>
            <w:shd w:val="clear" w:color="auto" w:fill="auto"/>
            <w:vAlign w:val="center"/>
          </w:tcPr>
          <w:p w14:paraId="7420116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9</w:t>
            </w:r>
          </w:p>
        </w:tc>
        <w:tc>
          <w:tcPr>
            <w:tcW w:w="1010" w:type="dxa"/>
            <w:shd w:val="clear" w:color="auto" w:fill="auto"/>
            <w:vAlign w:val="center"/>
          </w:tcPr>
          <w:p w14:paraId="0D49762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5645FA2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559A710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0EFD31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B83061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5C8E1C5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52E209F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2AF7C873" w14:textId="77777777">
        <w:trPr>
          <w:trHeight w:val="495"/>
          <w:jc w:val="center"/>
        </w:trPr>
        <w:tc>
          <w:tcPr>
            <w:tcW w:w="1405" w:type="dxa"/>
            <w:shd w:val="clear" w:color="auto" w:fill="auto"/>
            <w:vAlign w:val="center"/>
          </w:tcPr>
          <w:p w14:paraId="1CB3A55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二氯乙烷</w:t>
            </w:r>
          </w:p>
        </w:tc>
        <w:tc>
          <w:tcPr>
            <w:tcW w:w="742" w:type="dxa"/>
            <w:shd w:val="clear" w:color="auto" w:fill="auto"/>
            <w:vAlign w:val="center"/>
          </w:tcPr>
          <w:p w14:paraId="32DBBA0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5</w:t>
            </w:r>
          </w:p>
        </w:tc>
        <w:tc>
          <w:tcPr>
            <w:tcW w:w="1010" w:type="dxa"/>
            <w:shd w:val="clear" w:color="auto" w:fill="auto"/>
            <w:vAlign w:val="center"/>
          </w:tcPr>
          <w:p w14:paraId="327C5ED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84EE55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5C25F1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CC7505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56323E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76440C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6C1634E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6A96CE10" w14:textId="77777777">
        <w:trPr>
          <w:trHeight w:val="495"/>
          <w:jc w:val="center"/>
        </w:trPr>
        <w:tc>
          <w:tcPr>
            <w:tcW w:w="1405" w:type="dxa"/>
            <w:shd w:val="clear" w:color="auto" w:fill="auto"/>
            <w:vAlign w:val="center"/>
          </w:tcPr>
          <w:p w14:paraId="7ED1B17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sz w:val="21"/>
                <w:szCs w:val="21"/>
              </w:rPr>
              <w:t>二氯乙烯</w:t>
            </w:r>
          </w:p>
        </w:tc>
        <w:tc>
          <w:tcPr>
            <w:tcW w:w="742" w:type="dxa"/>
            <w:shd w:val="clear" w:color="auto" w:fill="auto"/>
            <w:vAlign w:val="center"/>
          </w:tcPr>
          <w:p w14:paraId="4D927D0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66</w:t>
            </w:r>
          </w:p>
        </w:tc>
        <w:tc>
          <w:tcPr>
            <w:tcW w:w="1010" w:type="dxa"/>
            <w:shd w:val="clear" w:color="auto" w:fill="auto"/>
            <w:vAlign w:val="center"/>
          </w:tcPr>
          <w:p w14:paraId="07D311A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7589ED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DD264E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B76316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05353A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17BD0FE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4B17C96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3C300B68" w14:textId="77777777">
        <w:trPr>
          <w:trHeight w:val="495"/>
          <w:jc w:val="center"/>
        </w:trPr>
        <w:tc>
          <w:tcPr>
            <w:tcW w:w="1405" w:type="dxa"/>
            <w:shd w:val="clear" w:color="auto" w:fill="auto"/>
            <w:vAlign w:val="center"/>
          </w:tcPr>
          <w:p w14:paraId="366C371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顺</w:t>
            </w: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二氯乙烯</w:t>
            </w:r>
          </w:p>
        </w:tc>
        <w:tc>
          <w:tcPr>
            <w:tcW w:w="742" w:type="dxa"/>
            <w:shd w:val="clear" w:color="auto" w:fill="auto"/>
            <w:vAlign w:val="center"/>
          </w:tcPr>
          <w:p w14:paraId="70897FA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596</w:t>
            </w:r>
          </w:p>
        </w:tc>
        <w:tc>
          <w:tcPr>
            <w:tcW w:w="1010" w:type="dxa"/>
            <w:shd w:val="clear" w:color="auto" w:fill="auto"/>
            <w:vAlign w:val="center"/>
          </w:tcPr>
          <w:p w14:paraId="65F3533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2CCDA5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7E2437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E439EC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132EEAA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9EC982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5496E73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0F20292C" w14:textId="77777777">
        <w:trPr>
          <w:trHeight w:val="495"/>
          <w:jc w:val="center"/>
        </w:trPr>
        <w:tc>
          <w:tcPr>
            <w:tcW w:w="1405" w:type="dxa"/>
            <w:shd w:val="clear" w:color="auto" w:fill="auto"/>
            <w:vAlign w:val="center"/>
          </w:tcPr>
          <w:p w14:paraId="1A326EF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反</w:t>
            </w: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二氯乙烯</w:t>
            </w:r>
          </w:p>
        </w:tc>
        <w:tc>
          <w:tcPr>
            <w:tcW w:w="742" w:type="dxa"/>
            <w:shd w:val="clear" w:color="auto" w:fill="auto"/>
            <w:vAlign w:val="center"/>
          </w:tcPr>
          <w:p w14:paraId="1BD8FAC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54</w:t>
            </w:r>
          </w:p>
        </w:tc>
        <w:tc>
          <w:tcPr>
            <w:tcW w:w="1010" w:type="dxa"/>
            <w:shd w:val="clear" w:color="auto" w:fill="auto"/>
            <w:vAlign w:val="center"/>
          </w:tcPr>
          <w:p w14:paraId="6E19DC2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1202DB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A86CC6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05D50A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6ED106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F9A4C0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1D638CE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777FCFD1" w14:textId="77777777">
        <w:trPr>
          <w:trHeight w:val="315"/>
          <w:jc w:val="center"/>
        </w:trPr>
        <w:tc>
          <w:tcPr>
            <w:tcW w:w="1405" w:type="dxa"/>
            <w:shd w:val="clear" w:color="auto" w:fill="auto"/>
            <w:vAlign w:val="center"/>
          </w:tcPr>
          <w:p w14:paraId="5FD82E8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二氯甲烷</w:t>
            </w:r>
          </w:p>
        </w:tc>
        <w:tc>
          <w:tcPr>
            <w:tcW w:w="742" w:type="dxa"/>
            <w:shd w:val="clear" w:color="auto" w:fill="auto"/>
            <w:vAlign w:val="center"/>
          </w:tcPr>
          <w:p w14:paraId="037D33E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616</w:t>
            </w:r>
          </w:p>
        </w:tc>
        <w:tc>
          <w:tcPr>
            <w:tcW w:w="1010" w:type="dxa"/>
            <w:shd w:val="clear" w:color="auto" w:fill="auto"/>
            <w:vAlign w:val="center"/>
          </w:tcPr>
          <w:p w14:paraId="753CF65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EC438A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8BD799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7EE6E6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10EF38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5A1A17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54BD26A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74EC6E7F" w14:textId="77777777">
        <w:trPr>
          <w:trHeight w:val="495"/>
          <w:jc w:val="center"/>
        </w:trPr>
        <w:tc>
          <w:tcPr>
            <w:tcW w:w="1405" w:type="dxa"/>
            <w:shd w:val="clear" w:color="auto" w:fill="auto"/>
            <w:vAlign w:val="center"/>
          </w:tcPr>
          <w:p w14:paraId="7D54834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二氯丙烷</w:t>
            </w:r>
          </w:p>
        </w:tc>
        <w:tc>
          <w:tcPr>
            <w:tcW w:w="742" w:type="dxa"/>
            <w:shd w:val="clear" w:color="auto" w:fill="auto"/>
            <w:vAlign w:val="center"/>
          </w:tcPr>
          <w:p w14:paraId="2E3C380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5</w:t>
            </w:r>
          </w:p>
        </w:tc>
        <w:tc>
          <w:tcPr>
            <w:tcW w:w="1010" w:type="dxa"/>
            <w:shd w:val="clear" w:color="auto" w:fill="auto"/>
            <w:vAlign w:val="center"/>
          </w:tcPr>
          <w:p w14:paraId="573ED95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1247BD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FAF47B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525EE6D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1DCA71C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A7C283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0820FF3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4E158C86" w14:textId="77777777">
        <w:trPr>
          <w:trHeight w:val="495"/>
          <w:jc w:val="center"/>
        </w:trPr>
        <w:tc>
          <w:tcPr>
            <w:tcW w:w="1405" w:type="dxa"/>
            <w:shd w:val="clear" w:color="auto" w:fill="auto"/>
            <w:vAlign w:val="center"/>
          </w:tcPr>
          <w:p w14:paraId="2D57E5D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四氯乙烷</w:t>
            </w:r>
          </w:p>
        </w:tc>
        <w:tc>
          <w:tcPr>
            <w:tcW w:w="742" w:type="dxa"/>
            <w:shd w:val="clear" w:color="auto" w:fill="auto"/>
            <w:vAlign w:val="center"/>
          </w:tcPr>
          <w:p w14:paraId="20192B9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10</w:t>
            </w:r>
          </w:p>
        </w:tc>
        <w:tc>
          <w:tcPr>
            <w:tcW w:w="1010" w:type="dxa"/>
            <w:shd w:val="clear" w:color="auto" w:fill="auto"/>
            <w:vAlign w:val="center"/>
          </w:tcPr>
          <w:p w14:paraId="00A937F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6D3B8F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36CDB1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21CE4A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597DC85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97AB4D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0378D87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304D65E4" w14:textId="77777777">
        <w:trPr>
          <w:trHeight w:val="495"/>
          <w:jc w:val="center"/>
        </w:trPr>
        <w:tc>
          <w:tcPr>
            <w:tcW w:w="1405" w:type="dxa"/>
            <w:shd w:val="clear" w:color="auto" w:fill="auto"/>
            <w:vAlign w:val="center"/>
          </w:tcPr>
          <w:p w14:paraId="2BBCC01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四氯乙烷</w:t>
            </w:r>
          </w:p>
        </w:tc>
        <w:tc>
          <w:tcPr>
            <w:tcW w:w="742" w:type="dxa"/>
            <w:shd w:val="clear" w:color="auto" w:fill="auto"/>
            <w:vAlign w:val="center"/>
          </w:tcPr>
          <w:p w14:paraId="032293F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6.8</w:t>
            </w:r>
          </w:p>
        </w:tc>
        <w:tc>
          <w:tcPr>
            <w:tcW w:w="1010" w:type="dxa"/>
            <w:shd w:val="clear" w:color="auto" w:fill="auto"/>
            <w:vAlign w:val="center"/>
          </w:tcPr>
          <w:p w14:paraId="6093417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0.0037</w:t>
            </w:r>
          </w:p>
        </w:tc>
        <w:tc>
          <w:tcPr>
            <w:tcW w:w="1010" w:type="dxa"/>
            <w:shd w:val="clear" w:color="auto" w:fill="auto"/>
            <w:vAlign w:val="center"/>
          </w:tcPr>
          <w:p w14:paraId="0C448C0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0.0038</w:t>
            </w:r>
          </w:p>
        </w:tc>
        <w:tc>
          <w:tcPr>
            <w:tcW w:w="1010" w:type="dxa"/>
            <w:shd w:val="clear" w:color="auto" w:fill="auto"/>
            <w:vAlign w:val="center"/>
          </w:tcPr>
          <w:p w14:paraId="3CBC4EF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0.0039</w:t>
            </w:r>
          </w:p>
        </w:tc>
        <w:tc>
          <w:tcPr>
            <w:tcW w:w="1010" w:type="dxa"/>
            <w:shd w:val="clear" w:color="auto" w:fill="auto"/>
            <w:vAlign w:val="center"/>
          </w:tcPr>
          <w:p w14:paraId="1F2F427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0.0039</w:t>
            </w:r>
          </w:p>
        </w:tc>
        <w:tc>
          <w:tcPr>
            <w:tcW w:w="1010" w:type="dxa"/>
            <w:shd w:val="clear" w:color="auto" w:fill="auto"/>
            <w:vAlign w:val="center"/>
          </w:tcPr>
          <w:p w14:paraId="7314863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0.0037</w:t>
            </w:r>
          </w:p>
        </w:tc>
        <w:tc>
          <w:tcPr>
            <w:tcW w:w="1010" w:type="dxa"/>
            <w:shd w:val="clear" w:color="auto" w:fill="auto"/>
            <w:vAlign w:val="center"/>
          </w:tcPr>
          <w:p w14:paraId="756D1F4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0.0038</w:t>
            </w:r>
          </w:p>
        </w:tc>
        <w:tc>
          <w:tcPr>
            <w:tcW w:w="690" w:type="dxa"/>
            <w:shd w:val="clear" w:color="auto" w:fill="auto"/>
            <w:noWrap/>
            <w:vAlign w:val="center"/>
          </w:tcPr>
          <w:p w14:paraId="7654DA7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0004E79A" w14:textId="77777777">
        <w:trPr>
          <w:trHeight w:val="315"/>
          <w:jc w:val="center"/>
        </w:trPr>
        <w:tc>
          <w:tcPr>
            <w:tcW w:w="1405" w:type="dxa"/>
            <w:shd w:val="clear" w:color="auto" w:fill="auto"/>
            <w:vAlign w:val="center"/>
          </w:tcPr>
          <w:p w14:paraId="244A95E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四氯乙烯</w:t>
            </w:r>
          </w:p>
        </w:tc>
        <w:tc>
          <w:tcPr>
            <w:tcW w:w="742" w:type="dxa"/>
            <w:shd w:val="clear" w:color="auto" w:fill="auto"/>
            <w:vAlign w:val="center"/>
          </w:tcPr>
          <w:p w14:paraId="5C6569A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53</w:t>
            </w:r>
          </w:p>
        </w:tc>
        <w:tc>
          <w:tcPr>
            <w:tcW w:w="1010" w:type="dxa"/>
            <w:shd w:val="clear" w:color="auto" w:fill="auto"/>
            <w:vAlign w:val="center"/>
          </w:tcPr>
          <w:p w14:paraId="39920D7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31C89F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8E5B7D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FCAE7F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632747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8AA720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4DE5B2B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0E65B761" w14:textId="77777777">
        <w:trPr>
          <w:trHeight w:val="495"/>
          <w:jc w:val="center"/>
        </w:trPr>
        <w:tc>
          <w:tcPr>
            <w:tcW w:w="1405" w:type="dxa"/>
            <w:shd w:val="clear" w:color="auto" w:fill="auto"/>
            <w:vAlign w:val="center"/>
          </w:tcPr>
          <w:p w14:paraId="5735B45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sz w:val="21"/>
                <w:szCs w:val="21"/>
              </w:rPr>
              <w:t>三氯乙烷</w:t>
            </w:r>
          </w:p>
        </w:tc>
        <w:tc>
          <w:tcPr>
            <w:tcW w:w="742" w:type="dxa"/>
            <w:shd w:val="clear" w:color="auto" w:fill="auto"/>
            <w:vAlign w:val="center"/>
          </w:tcPr>
          <w:p w14:paraId="4255678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840</w:t>
            </w:r>
          </w:p>
        </w:tc>
        <w:tc>
          <w:tcPr>
            <w:tcW w:w="1010" w:type="dxa"/>
            <w:shd w:val="clear" w:color="auto" w:fill="auto"/>
            <w:vAlign w:val="center"/>
          </w:tcPr>
          <w:p w14:paraId="61722EB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476050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EACD23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70A343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5D821BE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374C1A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113737D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37909008" w14:textId="77777777">
        <w:trPr>
          <w:trHeight w:val="495"/>
          <w:jc w:val="center"/>
        </w:trPr>
        <w:tc>
          <w:tcPr>
            <w:tcW w:w="1405" w:type="dxa"/>
            <w:shd w:val="clear" w:color="auto" w:fill="auto"/>
            <w:vAlign w:val="center"/>
          </w:tcPr>
          <w:p w14:paraId="6F38C54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三氯乙烷</w:t>
            </w:r>
          </w:p>
        </w:tc>
        <w:tc>
          <w:tcPr>
            <w:tcW w:w="742" w:type="dxa"/>
            <w:shd w:val="clear" w:color="auto" w:fill="auto"/>
            <w:vAlign w:val="center"/>
          </w:tcPr>
          <w:p w14:paraId="6FF501B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2.8</w:t>
            </w:r>
          </w:p>
        </w:tc>
        <w:tc>
          <w:tcPr>
            <w:tcW w:w="1010" w:type="dxa"/>
            <w:shd w:val="clear" w:color="auto" w:fill="auto"/>
            <w:vAlign w:val="center"/>
          </w:tcPr>
          <w:p w14:paraId="2550C4D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69C5ED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57EE7BA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30A759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34DACA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5E515C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4081330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4684D4EE" w14:textId="77777777">
        <w:trPr>
          <w:trHeight w:val="315"/>
          <w:jc w:val="center"/>
        </w:trPr>
        <w:tc>
          <w:tcPr>
            <w:tcW w:w="1405" w:type="dxa"/>
            <w:shd w:val="clear" w:color="auto" w:fill="auto"/>
            <w:vAlign w:val="center"/>
          </w:tcPr>
          <w:p w14:paraId="3FF2449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三氯乙烯</w:t>
            </w:r>
          </w:p>
        </w:tc>
        <w:tc>
          <w:tcPr>
            <w:tcW w:w="742" w:type="dxa"/>
            <w:shd w:val="clear" w:color="auto" w:fill="auto"/>
            <w:vAlign w:val="center"/>
          </w:tcPr>
          <w:p w14:paraId="4C3F46B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2.8</w:t>
            </w:r>
          </w:p>
        </w:tc>
        <w:tc>
          <w:tcPr>
            <w:tcW w:w="1010" w:type="dxa"/>
            <w:shd w:val="clear" w:color="auto" w:fill="auto"/>
            <w:vAlign w:val="center"/>
          </w:tcPr>
          <w:p w14:paraId="3288310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DCE620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193FAD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509EDF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8FA952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03938D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5E4635A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4DEF9F52" w14:textId="77777777">
        <w:trPr>
          <w:trHeight w:val="495"/>
          <w:jc w:val="center"/>
        </w:trPr>
        <w:tc>
          <w:tcPr>
            <w:tcW w:w="1405" w:type="dxa"/>
            <w:shd w:val="clear" w:color="auto" w:fill="auto"/>
            <w:vAlign w:val="center"/>
          </w:tcPr>
          <w:p w14:paraId="70E98E1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w:t>
            </w:r>
            <w:r>
              <w:rPr>
                <w:rFonts w:ascii="Times New Roman" w:eastAsiaTheme="minorEastAsia" w:hAnsi="Times New Roman"/>
                <w:sz w:val="21"/>
                <w:szCs w:val="21"/>
              </w:rPr>
              <w:t>3-</w:t>
            </w:r>
            <w:r>
              <w:rPr>
                <w:rFonts w:ascii="Times New Roman" w:eastAsiaTheme="minorEastAsia" w:hAnsi="Times New Roman"/>
                <w:sz w:val="21"/>
                <w:szCs w:val="21"/>
              </w:rPr>
              <w:t>三氯丙烷</w:t>
            </w:r>
          </w:p>
        </w:tc>
        <w:tc>
          <w:tcPr>
            <w:tcW w:w="742" w:type="dxa"/>
            <w:shd w:val="clear" w:color="auto" w:fill="auto"/>
            <w:vAlign w:val="center"/>
          </w:tcPr>
          <w:p w14:paraId="4AFC19B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0.5</w:t>
            </w:r>
          </w:p>
        </w:tc>
        <w:tc>
          <w:tcPr>
            <w:tcW w:w="1010" w:type="dxa"/>
            <w:shd w:val="clear" w:color="auto" w:fill="auto"/>
            <w:vAlign w:val="center"/>
          </w:tcPr>
          <w:p w14:paraId="447243F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0.0012</w:t>
            </w:r>
          </w:p>
        </w:tc>
        <w:tc>
          <w:tcPr>
            <w:tcW w:w="1010" w:type="dxa"/>
            <w:shd w:val="clear" w:color="auto" w:fill="auto"/>
            <w:vAlign w:val="center"/>
          </w:tcPr>
          <w:p w14:paraId="6EA70C9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0.0014</w:t>
            </w:r>
          </w:p>
        </w:tc>
        <w:tc>
          <w:tcPr>
            <w:tcW w:w="1010" w:type="dxa"/>
            <w:shd w:val="clear" w:color="auto" w:fill="auto"/>
            <w:vAlign w:val="center"/>
          </w:tcPr>
          <w:p w14:paraId="199AC1D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0.0014</w:t>
            </w:r>
          </w:p>
        </w:tc>
        <w:tc>
          <w:tcPr>
            <w:tcW w:w="1010" w:type="dxa"/>
            <w:shd w:val="clear" w:color="auto" w:fill="auto"/>
            <w:vAlign w:val="center"/>
          </w:tcPr>
          <w:p w14:paraId="610C205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0.0027</w:t>
            </w:r>
          </w:p>
        </w:tc>
        <w:tc>
          <w:tcPr>
            <w:tcW w:w="1010" w:type="dxa"/>
            <w:shd w:val="clear" w:color="auto" w:fill="auto"/>
            <w:vAlign w:val="center"/>
          </w:tcPr>
          <w:p w14:paraId="29426AE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40BCE9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0401A3A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2294E82B" w14:textId="77777777">
        <w:trPr>
          <w:trHeight w:val="315"/>
          <w:jc w:val="center"/>
        </w:trPr>
        <w:tc>
          <w:tcPr>
            <w:tcW w:w="1405" w:type="dxa"/>
            <w:shd w:val="clear" w:color="auto" w:fill="auto"/>
            <w:vAlign w:val="center"/>
          </w:tcPr>
          <w:p w14:paraId="7CBFF75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氯乙烯</w:t>
            </w:r>
          </w:p>
        </w:tc>
        <w:tc>
          <w:tcPr>
            <w:tcW w:w="742" w:type="dxa"/>
            <w:shd w:val="clear" w:color="auto" w:fill="auto"/>
            <w:vAlign w:val="center"/>
          </w:tcPr>
          <w:p w14:paraId="6B80835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0.43</w:t>
            </w:r>
          </w:p>
        </w:tc>
        <w:tc>
          <w:tcPr>
            <w:tcW w:w="1010" w:type="dxa"/>
            <w:shd w:val="clear" w:color="auto" w:fill="auto"/>
            <w:vAlign w:val="center"/>
          </w:tcPr>
          <w:p w14:paraId="3C3ABBF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44A41E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1FCF443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D77B64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498E7F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190883E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76B8976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2FBF345A" w14:textId="77777777">
        <w:trPr>
          <w:trHeight w:val="315"/>
          <w:jc w:val="center"/>
        </w:trPr>
        <w:tc>
          <w:tcPr>
            <w:tcW w:w="1405" w:type="dxa"/>
            <w:shd w:val="clear" w:color="auto" w:fill="auto"/>
            <w:vAlign w:val="center"/>
          </w:tcPr>
          <w:p w14:paraId="459B717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苯</w:t>
            </w:r>
          </w:p>
        </w:tc>
        <w:tc>
          <w:tcPr>
            <w:tcW w:w="742" w:type="dxa"/>
            <w:shd w:val="clear" w:color="auto" w:fill="auto"/>
            <w:vAlign w:val="center"/>
          </w:tcPr>
          <w:p w14:paraId="775BE24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4</w:t>
            </w:r>
          </w:p>
        </w:tc>
        <w:tc>
          <w:tcPr>
            <w:tcW w:w="1010" w:type="dxa"/>
            <w:shd w:val="clear" w:color="auto" w:fill="auto"/>
            <w:vAlign w:val="center"/>
          </w:tcPr>
          <w:p w14:paraId="1B03A82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65710E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5311A6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7CDE3C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0A7989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895B025"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21936CB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6322EDF7" w14:textId="77777777">
        <w:trPr>
          <w:trHeight w:val="315"/>
          <w:jc w:val="center"/>
        </w:trPr>
        <w:tc>
          <w:tcPr>
            <w:tcW w:w="1405" w:type="dxa"/>
            <w:shd w:val="clear" w:color="auto" w:fill="auto"/>
            <w:vAlign w:val="center"/>
          </w:tcPr>
          <w:p w14:paraId="5548222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氯苯</w:t>
            </w:r>
          </w:p>
        </w:tc>
        <w:tc>
          <w:tcPr>
            <w:tcW w:w="742" w:type="dxa"/>
            <w:shd w:val="clear" w:color="auto" w:fill="auto"/>
            <w:vAlign w:val="center"/>
          </w:tcPr>
          <w:p w14:paraId="4B54357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270</w:t>
            </w:r>
          </w:p>
        </w:tc>
        <w:tc>
          <w:tcPr>
            <w:tcW w:w="1010" w:type="dxa"/>
            <w:shd w:val="clear" w:color="auto" w:fill="auto"/>
            <w:vAlign w:val="center"/>
          </w:tcPr>
          <w:p w14:paraId="789438F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95A966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5347CCB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484B11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18B875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10D309D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0B2D47A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04C16D9C" w14:textId="77777777">
        <w:trPr>
          <w:trHeight w:val="315"/>
          <w:jc w:val="center"/>
        </w:trPr>
        <w:tc>
          <w:tcPr>
            <w:tcW w:w="1405" w:type="dxa"/>
            <w:shd w:val="clear" w:color="auto" w:fill="auto"/>
            <w:vAlign w:val="center"/>
          </w:tcPr>
          <w:p w14:paraId="4E10193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二氯苯</w:t>
            </w:r>
          </w:p>
        </w:tc>
        <w:tc>
          <w:tcPr>
            <w:tcW w:w="742" w:type="dxa"/>
            <w:shd w:val="clear" w:color="auto" w:fill="auto"/>
            <w:vAlign w:val="center"/>
          </w:tcPr>
          <w:p w14:paraId="5AA314F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560</w:t>
            </w:r>
          </w:p>
        </w:tc>
        <w:tc>
          <w:tcPr>
            <w:tcW w:w="1010" w:type="dxa"/>
            <w:shd w:val="clear" w:color="auto" w:fill="auto"/>
            <w:vAlign w:val="center"/>
          </w:tcPr>
          <w:p w14:paraId="3D6808F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0.0017</w:t>
            </w:r>
          </w:p>
        </w:tc>
        <w:tc>
          <w:tcPr>
            <w:tcW w:w="1010" w:type="dxa"/>
            <w:shd w:val="clear" w:color="auto" w:fill="auto"/>
            <w:vAlign w:val="center"/>
          </w:tcPr>
          <w:p w14:paraId="5B2DDA2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0.0017</w:t>
            </w:r>
          </w:p>
        </w:tc>
        <w:tc>
          <w:tcPr>
            <w:tcW w:w="1010" w:type="dxa"/>
            <w:shd w:val="clear" w:color="auto" w:fill="auto"/>
            <w:vAlign w:val="center"/>
          </w:tcPr>
          <w:p w14:paraId="0916065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0.0018</w:t>
            </w:r>
          </w:p>
        </w:tc>
        <w:tc>
          <w:tcPr>
            <w:tcW w:w="1010" w:type="dxa"/>
            <w:shd w:val="clear" w:color="auto" w:fill="auto"/>
            <w:vAlign w:val="center"/>
          </w:tcPr>
          <w:p w14:paraId="2CFF30F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0.0019</w:t>
            </w:r>
          </w:p>
        </w:tc>
        <w:tc>
          <w:tcPr>
            <w:tcW w:w="1010" w:type="dxa"/>
            <w:shd w:val="clear" w:color="auto" w:fill="auto"/>
            <w:vAlign w:val="center"/>
          </w:tcPr>
          <w:p w14:paraId="550583D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0.0018</w:t>
            </w:r>
          </w:p>
        </w:tc>
        <w:tc>
          <w:tcPr>
            <w:tcW w:w="1010" w:type="dxa"/>
            <w:shd w:val="clear" w:color="auto" w:fill="auto"/>
            <w:vAlign w:val="center"/>
          </w:tcPr>
          <w:p w14:paraId="4FA087D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0.0017</w:t>
            </w:r>
          </w:p>
        </w:tc>
        <w:tc>
          <w:tcPr>
            <w:tcW w:w="690" w:type="dxa"/>
            <w:shd w:val="clear" w:color="auto" w:fill="auto"/>
            <w:noWrap/>
            <w:vAlign w:val="center"/>
          </w:tcPr>
          <w:p w14:paraId="5C88BCD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22BB3374" w14:textId="77777777">
        <w:trPr>
          <w:trHeight w:val="315"/>
          <w:jc w:val="center"/>
        </w:trPr>
        <w:tc>
          <w:tcPr>
            <w:tcW w:w="1405" w:type="dxa"/>
            <w:shd w:val="clear" w:color="auto" w:fill="auto"/>
            <w:vAlign w:val="center"/>
          </w:tcPr>
          <w:p w14:paraId="0B96A38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4-</w:t>
            </w:r>
            <w:r>
              <w:rPr>
                <w:rFonts w:ascii="Times New Roman" w:eastAsiaTheme="minorEastAsia" w:hAnsi="Times New Roman"/>
                <w:sz w:val="21"/>
                <w:szCs w:val="21"/>
              </w:rPr>
              <w:t>二氯苯</w:t>
            </w:r>
          </w:p>
        </w:tc>
        <w:tc>
          <w:tcPr>
            <w:tcW w:w="742" w:type="dxa"/>
            <w:shd w:val="clear" w:color="auto" w:fill="auto"/>
            <w:vAlign w:val="center"/>
          </w:tcPr>
          <w:p w14:paraId="2D0D6D0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20</w:t>
            </w:r>
          </w:p>
        </w:tc>
        <w:tc>
          <w:tcPr>
            <w:tcW w:w="1010" w:type="dxa"/>
            <w:shd w:val="clear" w:color="auto" w:fill="auto"/>
            <w:vAlign w:val="center"/>
          </w:tcPr>
          <w:p w14:paraId="771C9BB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1F8E336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D56457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1B4B52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C96BD2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DE4A55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77A8D33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2C6DC1A5" w14:textId="77777777">
        <w:trPr>
          <w:trHeight w:val="315"/>
          <w:jc w:val="center"/>
        </w:trPr>
        <w:tc>
          <w:tcPr>
            <w:tcW w:w="1405" w:type="dxa"/>
            <w:shd w:val="clear" w:color="auto" w:fill="auto"/>
            <w:vAlign w:val="center"/>
          </w:tcPr>
          <w:p w14:paraId="02B1C09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乙苯</w:t>
            </w:r>
          </w:p>
        </w:tc>
        <w:tc>
          <w:tcPr>
            <w:tcW w:w="742" w:type="dxa"/>
            <w:shd w:val="clear" w:color="auto" w:fill="auto"/>
            <w:vAlign w:val="center"/>
          </w:tcPr>
          <w:p w14:paraId="7835ECF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28</w:t>
            </w:r>
          </w:p>
        </w:tc>
        <w:tc>
          <w:tcPr>
            <w:tcW w:w="1010" w:type="dxa"/>
            <w:shd w:val="clear" w:color="auto" w:fill="auto"/>
            <w:vAlign w:val="center"/>
          </w:tcPr>
          <w:p w14:paraId="47D1B67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5351330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D1F071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0.0012</w:t>
            </w:r>
          </w:p>
        </w:tc>
        <w:tc>
          <w:tcPr>
            <w:tcW w:w="1010" w:type="dxa"/>
            <w:shd w:val="clear" w:color="auto" w:fill="auto"/>
            <w:vAlign w:val="center"/>
          </w:tcPr>
          <w:p w14:paraId="5A606ACD"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FEE2C2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F20299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0.0012</w:t>
            </w:r>
          </w:p>
        </w:tc>
        <w:tc>
          <w:tcPr>
            <w:tcW w:w="690" w:type="dxa"/>
            <w:shd w:val="clear" w:color="auto" w:fill="auto"/>
            <w:noWrap/>
            <w:vAlign w:val="center"/>
          </w:tcPr>
          <w:p w14:paraId="7FE918E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29462F6B" w14:textId="77777777">
        <w:trPr>
          <w:trHeight w:val="315"/>
          <w:jc w:val="center"/>
        </w:trPr>
        <w:tc>
          <w:tcPr>
            <w:tcW w:w="1405" w:type="dxa"/>
            <w:shd w:val="clear" w:color="auto" w:fill="auto"/>
            <w:vAlign w:val="center"/>
          </w:tcPr>
          <w:p w14:paraId="09AA9B8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苯乙烯</w:t>
            </w:r>
          </w:p>
        </w:tc>
        <w:tc>
          <w:tcPr>
            <w:tcW w:w="742" w:type="dxa"/>
            <w:shd w:val="clear" w:color="auto" w:fill="auto"/>
            <w:vAlign w:val="center"/>
          </w:tcPr>
          <w:p w14:paraId="711C5F0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1290</w:t>
            </w:r>
          </w:p>
        </w:tc>
        <w:tc>
          <w:tcPr>
            <w:tcW w:w="1010" w:type="dxa"/>
            <w:shd w:val="clear" w:color="auto" w:fill="auto"/>
            <w:vAlign w:val="center"/>
          </w:tcPr>
          <w:p w14:paraId="687788F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0.0013</w:t>
            </w:r>
          </w:p>
        </w:tc>
        <w:tc>
          <w:tcPr>
            <w:tcW w:w="1010" w:type="dxa"/>
            <w:shd w:val="clear" w:color="auto" w:fill="auto"/>
            <w:vAlign w:val="center"/>
          </w:tcPr>
          <w:p w14:paraId="4CCDF5F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0.0022</w:t>
            </w:r>
          </w:p>
        </w:tc>
        <w:tc>
          <w:tcPr>
            <w:tcW w:w="1010" w:type="dxa"/>
            <w:shd w:val="clear" w:color="auto" w:fill="auto"/>
            <w:vAlign w:val="center"/>
          </w:tcPr>
          <w:p w14:paraId="14630D0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0.0019</w:t>
            </w:r>
          </w:p>
        </w:tc>
        <w:tc>
          <w:tcPr>
            <w:tcW w:w="1010" w:type="dxa"/>
            <w:shd w:val="clear" w:color="auto" w:fill="auto"/>
            <w:vAlign w:val="center"/>
          </w:tcPr>
          <w:p w14:paraId="36F8AEA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0.0021</w:t>
            </w:r>
          </w:p>
        </w:tc>
        <w:tc>
          <w:tcPr>
            <w:tcW w:w="1010" w:type="dxa"/>
            <w:shd w:val="clear" w:color="auto" w:fill="auto"/>
            <w:vAlign w:val="center"/>
          </w:tcPr>
          <w:p w14:paraId="7D4FF01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0.0021</w:t>
            </w:r>
          </w:p>
        </w:tc>
        <w:tc>
          <w:tcPr>
            <w:tcW w:w="1010" w:type="dxa"/>
            <w:shd w:val="clear" w:color="auto" w:fill="auto"/>
            <w:vAlign w:val="center"/>
          </w:tcPr>
          <w:p w14:paraId="7EBB670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0.0018</w:t>
            </w:r>
          </w:p>
        </w:tc>
        <w:tc>
          <w:tcPr>
            <w:tcW w:w="690" w:type="dxa"/>
            <w:shd w:val="clear" w:color="auto" w:fill="auto"/>
            <w:noWrap/>
            <w:vAlign w:val="center"/>
          </w:tcPr>
          <w:p w14:paraId="766C069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47855F5D" w14:textId="77777777">
        <w:trPr>
          <w:trHeight w:val="315"/>
          <w:jc w:val="center"/>
        </w:trPr>
        <w:tc>
          <w:tcPr>
            <w:tcW w:w="1405" w:type="dxa"/>
            <w:shd w:val="clear" w:color="auto" w:fill="auto"/>
            <w:vAlign w:val="center"/>
          </w:tcPr>
          <w:p w14:paraId="0495DDE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甲苯</w:t>
            </w:r>
          </w:p>
        </w:tc>
        <w:tc>
          <w:tcPr>
            <w:tcW w:w="742" w:type="dxa"/>
            <w:shd w:val="clear" w:color="auto" w:fill="auto"/>
            <w:vAlign w:val="center"/>
          </w:tcPr>
          <w:p w14:paraId="046E01E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1200</w:t>
            </w:r>
          </w:p>
        </w:tc>
        <w:tc>
          <w:tcPr>
            <w:tcW w:w="1010" w:type="dxa"/>
            <w:shd w:val="clear" w:color="auto" w:fill="auto"/>
            <w:vAlign w:val="center"/>
          </w:tcPr>
          <w:p w14:paraId="0B4C4D8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94797A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1A929AF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54EFA4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1E335E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497B1C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0A8C682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798969DB" w14:textId="77777777">
        <w:trPr>
          <w:trHeight w:val="495"/>
          <w:jc w:val="center"/>
        </w:trPr>
        <w:tc>
          <w:tcPr>
            <w:tcW w:w="1405" w:type="dxa"/>
            <w:shd w:val="clear" w:color="auto" w:fill="auto"/>
            <w:vAlign w:val="center"/>
          </w:tcPr>
          <w:p w14:paraId="62A8448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间二甲苯</w:t>
            </w:r>
            <w:r>
              <w:rPr>
                <w:rFonts w:ascii="Times New Roman" w:eastAsiaTheme="minorEastAsia" w:hAnsi="Times New Roman"/>
                <w:sz w:val="21"/>
                <w:szCs w:val="21"/>
              </w:rPr>
              <w:t>+</w:t>
            </w:r>
            <w:r>
              <w:rPr>
                <w:rFonts w:ascii="Times New Roman" w:eastAsiaTheme="minorEastAsia" w:hAnsi="Times New Roman"/>
                <w:sz w:val="21"/>
                <w:szCs w:val="21"/>
              </w:rPr>
              <w:t>对二甲苯</w:t>
            </w:r>
          </w:p>
        </w:tc>
        <w:tc>
          <w:tcPr>
            <w:tcW w:w="742" w:type="dxa"/>
            <w:shd w:val="clear" w:color="auto" w:fill="auto"/>
            <w:vAlign w:val="center"/>
          </w:tcPr>
          <w:p w14:paraId="6C59F5C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570</w:t>
            </w:r>
          </w:p>
        </w:tc>
        <w:tc>
          <w:tcPr>
            <w:tcW w:w="1010" w:type="dxa"/>
            <w:shd w:val="clear" w:color="auto" w:fill="auto"/>
            <w:vAlign w:val="center"/>
          </w:tcPr>
          <w:p w14:paraId="52362A4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0301E4E8"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AB74157"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352952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722FDA6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30DA328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3DD0423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402D08C8" w14:textId="77777777">
        <w:trPr>
          <w:trHeight w:val="315"/>
          <w:jc w:val="center"/>
        </w:trPr>
        <w:tc>
          <w:tcPr>
            <w:tcW w:w="1405" w:type="dxa"/>
            <w:shd w:val="clear" w:color="auto" w:fill="auto"/>
            <w:vAlign w:val="center"/>
          </w:tcPr>
          <w:p w14:paraId="27AEFF0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邻二甲苯</w:t>
            </w:r>
          </w:p>
        </w:tc>
        <w:tc>
          <w:tcPr>
            <w:tcW w:w="742" w:type="dxa"/>
            <w:shd w:val="clear" w:color="auto" w:fill="auto"/>
            <w:vAlign w:val="center"/>
          </w:tcPr>
          <w:p w14:paraId="7F799A5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640</w:t>
            </w:r>
          </w:p>
        </w:tc>
        <w:tc>
          <w:tcPr>
            <w:tcW w:w="1010" w:type="dxa"/>
            <w:shd w:val="clear" w:color="auto" w:fill="auto"/>
            <w:vAlign w:val="center"/>
          </w:tcPr>
          <w:p w14:paraId="7723A2D2"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0.0112</w:t>
            </w:r>
          </w:p>
        </w:tc>
        <w:tc>
          <w:tcPr>
            <w:tcW w:w="1010" w:type="dxa"/>
            <w:shd w:val="clear" w:color="auto" w:fill="auto"/>
            <w:vAlign w:val="center"/>
          </w:tcPr>
          <w:p w14:paraId="2D2A459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0.0114</w:t>
            </w:r>
          </w:p>
        </w:tc>
        <w:tc>
          <w:tcPr>
            <w:tcW w:w="1010" w:type="dxa"/>
            <w:shd w:val="clear" w:color="auto" w:fill="auto"/>
            <w:vAlign w:val="center"/>
          </w:tcPr>
          <w:p w14:paraId="49BD13C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0.0115</w:t>
            </w:r>
          </w:p>
        </w:tc>
        <w:tc>
          <w:tcPr>
            <w:tcW w:w="1010" w:type="dxa"/>
            <w:shd w:val="clear" w:color="auto" w:fill="auto"/>
            <w:vAlign w:val="center"/>
          </w:tcPr>
          <w:p w14:paraId="75AC127A"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0.0019</w:t>
            </w:r>
          </w:p>
        </w:tc>
        <w:tc>
          <w:tcPr>
            <w:tcW w:w="1010" w:type="dxa"/>
            <w:shd w:val="clear" w:color="auto" w:fill="auto"/>
            <w:vAlign w:val="center"/>
          </w:tcPr>
          <w:p w14:paraId="654DCF1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0.0017</w:t>
            </w:r>
          </w:p>
        </w:tc>
        <w:tc>
          <w:tcPr>
            <w:tcW w:w="1010" w:type="dxa"/>
            <w:shd w:val="clear" w:color="auto" w:fill="auto"/>
            <w:vAlign w:val="center"/>
          </w:tcPr>
          <w:p w14:paraId="750DF65F"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0.0016</w:t>
            </w:r>
          </w:p>
        </w:tc>
        <w:tc>
          <w:tcPr>
            <w:tcW w:w="690" w:type="dxa"/>
            <w:shd w:val="clear" w:color="auto" w:fill="auto"/>
            <w:noWrap/>
            <w:vAlign w:val="center"/>
          </w:tcPr>
          <w:p w14:paraId="33B19EF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r w:rsidR="009C353B" w14:paraId="3789AFE3" w14:textId="77777777">
        <w:trPr>
          <w:trHeight w:val="315"/>
          <w:jc w:val="center"/>
        </w:trPr>
        <w:tc>
          <w:tcPr>
            <w:tcW w:w="1405" w:type="dxa"/>
            <w:shd w:val="clear" w:color="auto" w:fill="auto"/>
            <w:vAlign w:val="center"/>
          </w:tcPr>
          <w:p w14:paraId="1AB6B554"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硝基苯</w:t>
            </w:r>
          </w:p>
        </w:tc>
        <w:tc>
          <w:tcPr>
            <w:tcW w:w="742" w:type="dxa"/>
            <w:shd w:val="clear" w:color="auto" w:fill="auto"/>
            <w:vAlign w:val="center"/>
          </w:tcPr>
          <w:p w14:paraId="6E5714BB"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76</w:t>
            </w:r>
          </w:p>
        </w:tc>
        <w:tc>
          <w:tcPr>
            <w:tcW w:w="1010" w:type="dxa"/>
            <w:shd w:val="clear" w:color="auto" w:fill="auto"/>
            <w:vAlign w:val="center"/>
          </w:tcPr>
          <w:p w14:paraId="1DC33323"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648D7A16"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2919CEC"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73DD809"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2A95A3FE"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1010" w:type="dxa"/>
            <w:shd w:val="clear" w:color="auto" w:fill="auto"/>
            <w:vAlign w:val="center"/>
          </w:tcPr>
          <w:p w14:paraId="49C10F21"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ND</w:t>
            </w:r>
          </w:p>
        </w:tc>
        <w:tc>
          <w:tcPr>
            <w:tcW w:w="690" w:type="dxa"/>
            <w:shd w:val="clear" w:color="auto" w:fill="auto"/>
            <w:noWrap/>
            <w:vAlign w:val="center"/>
          </w:tcPr>
          <w:p w14:paraId="0E6E4640" w14:textId="77777777" w:rsidR="009C353B" w:rsidRDefault="00000000">
            <w:pPr>
              <w:adjustRightInd w:val="0"/>
              <w:snapToGrid w:val="0"/>
              <w:spacing w:line="240" w:lineRule="atLeast"/>
              <w:jc w:val="center"/>
              <w:rPr>
                <w:rFonts w:ascii="Times New Roman" w:eastAsiaTheme="minorEastAsia" w:hAnsi="Times New Roman"/>
                <w:sz w:val="21"/>
                <w:szCs w:val="21"/>
              </w:rPr>
            </w:pPr>
            <w:r>
              <w:rPr>
                <w:rFonts w:ascii="Times New Roman" w:eastAsiaTheme="minorEastAsia" w:hAnsi="Times New Roman"/>
                <w:sz w:val="21"/>
                <w:szCs w:val="21"/>
              </w:rPr>
              <w:t>达标</w:t>
            </w:r>
          </w:p>
        </w:tc>
      </w:tr>
    </w:tbl>
    <w:p w14:paraId="382D588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监测结果表明，本次评价矿区内</w:t>
      </w:r>
      <w:r>
        <w:rPr>
          <w:rFonts w:ascii="Times New Roman" w:hAnsi="Times New Roman"/>
        </w:rPr>
        <w:t>1~3</w:t>
      </w:r>
      <w:r>
        <w:rPr>
          <w:rFonts w:ascii="Times New Roman" w:hAnsi="Times New Roman" w:hint="eastAsia"/>
        </w:rPr>
        <w:t>#</w:t>
      </w:r>
      <w:r>
        <w:rPr>
          <w:rFonts w:ascii="Times New Roman" w:hAnsi="Times New Roman"/>
        </w:rPr>
        <w:t>各监测点各项指标均能达到《土壤环境质量</w:t>
      </w:r>
      <w:r>
        <w:rPr>
          <w:rFonts w:ascii="Times New Roman" w:hAnsi="Times New Roman"/>
        </w:rPr>
        <w:t xml:space="preserve"> </w:t>
      </w:r>
      <w:r>
        <w:rPr>
          <w:rFonts w:ascii="Times New Roman" w:hAnsi="Times New Roman"/>
        </w:rPr>
        <w:t>建设用地土壤污染风险管控标准（试行）》（</w:t>
      </w:r>
      <w:r>
        <w:rPr>
          <w:rFonts w:ascii="Times New Roman" w:hAnsi="Times New Roman"/>
        </w:rPr>
        <w:t>GB/36600-2018</w:t>
      </w:r>
      <w:r>
        <w:rPr>
          <w:rFonts w:ascii="Times New Roman" w:hAnsi="Times New Roman"/>
        </w:rPr>
        <w:t>）中风险筛选值标准</w:t>
      </w:r>
      <w:r>
        <w:rPr>
          <w:rFonts w:ascii="Times New Roman" w:hAnsi="Times New Roman" w:hint="eastAsia"/>
        </w:rPr>
        <w:t>；</w:t>
      </w:r>
      <w:r>
        <w:rPr>
          <w:rFonts w:ascii="Times New Roman" w:hAnsi="Times New Roman"/>
        </w:rPr>
        <w:t>4~9</w:t>
      </w:r>
      <w:r>
        <w:rPr>
          <w:rFonts w:ascii="Times New Roman" w:hAnsi="Times New Roman"/>
        </w:rPr>
        <w:t>各监测点各项指标均能达到《土壤环境质量</w:t>
      </w:r>
      <w:r>
        <w:rPr>
          <w:rFonts w:ascii="Times New Roman" w:hAnsi="Times New Roman"/>
        </w:rPr>
        <w:t xml:space="preserve">  </w:t>
      </w:r>
      <w:r>
        <w:rPr>
          <w:rFonts w:ascii="Times New Roman" w:hAnsi="Times New Roman"/>
        </w:rPr>
        <w:t>农用地土壤污染风险管控标准（试行）》（</w:t>
      </w:r>
      <w:r>
        <w:rPr>
          <w:rFonts w:ascii="Times New Roman" w:hAnsi="Times New Roman"/>
        </w:rPr>
        <w:t>GB/15618-2018</w:t>
      </w:r>
      <w:r>
        <w:rPr>
          <w:rFonts w:ascii="Times New Roman" w:hAnsi="Times New Roman"/>
        </w:rPr>
        <w:t>）中风险筛选值标准</w:t>
      </w:r>
      <w:r>
        <w:rPr>
          <w:rFonts w:ascii="Times New Roman" w:hAnsi="Times New Roman" w:hint="eastAsia"/>
        </w:rPr>
        <w:t>。</w:t>
      </w:r>
    </w:p>
    <w:p w14:paraId="3EA919D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红石湾产能核增环评监测的</w:t>
      </w:r>
      <w:r>
        <w:rPr>
          <w:rFonts w:ascii="Times New Roman" w:hAnsi="Times New Roman"/>
        </w:rPr>
        <w:t>1-6#</w:t>
      </w:r>
      <w:r>
        <w:rPr>
          <w:rFonts w:ascii="Times New Roman" w:hAnsi="Times New Roman" w:hint="eastAsia"/>
        </w:rPr>
        <w:t>监测点</w:t>
      </w:r>
      <w:r>
        <w:rPr>
          <w:rFonts w:ascii="Times New Roman" w:hAnsi="Times New Roman"/>
        </w:rPr>
        <w:t>各项指标均能达到《土壤环境质量</w:t>
      </w:r>
      <w:r>
        <w:rPr>
          <w:rFonts w:ascii="Times New Roman" w:hAnsi="Times New Roman"/>
        </w:rPr>
        <w:t xml:space="preserve"> </w:t>
      </w:r>
      <w:r>
        <w:rPr>
          <w:rFonts w:ascii="Times New Roman" w:hAnsi="Times New Roman"/>
        </w:rPr>
        <w:t>建设用地土壤污染风险管控标准（试行）》（</w:t>
      </w:r>
      <w:r>
        <w:rPr>
          <w:rFonts w:ascii="Times New Roman" w:hAnsi="Times New Roman"/>
        </w:rPr>
        <w:t>GB/36600-2018</w:t>
      </w:r>
      <w:r>
        <w:rPr>
          <w:rFonts w:ascii="Times New Roman" w:hAnsi="Times New Roman"/>
        </w:rPr>
        <w:t>）中风险筛选值标准</w:t>
      </w:r>
      <w:r>
        <w:rPr>
          <w:rFonts w:ascii="Times New Roman" w:hAnsi="Times New Roman" w:hint="eastAsia"/>
        </w:rPr>
        <w:t>。</w:t>
      </w:r>
    </w:p>
    <w:p w14:paraId="78502F4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总体而言，项目区</w:t>
      </w:r>
      <w:r>
        <w:rPr>
          <w:rFonts w:ascii="Times New Roman" w:hAnsi="Times New Roman"/>
        </w:rPr>
        <w:t>土壤环境质量良好。</w:t>
      </w:r>
    </w:p>
    <w:p w14:paraId="3733AF02" w14:textId="77777777" w:rsidR="009C353B" w:rsidRDefault="00000000">
      <w:pPr>
        <w:pStyle w:val="affffff0"/>
        <w:adjustRightInd w:val="0"/>
        <w:spacing w:line="440" w:lineRule="exact"/>
        <w:ind w:left="480"/>
        <w:jc w:val="center"/>
        <w:rPr>
          <w:rFonts w:ascii="Times New Roman" w:hint="eastAsia"/>
        </w:rPr>
      </w:pPr>
      <w:r>
        <w:rPr>
          <w:rFonts w:ascii="Times New Roman"/>
        </w:rPr>
        <w:t>土壤盐化、酸化、碱化监测结果分析</w:t>
      </w:r>
    </w:p>
    <w:p w14:paraId="54CDBA5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表</w:t>
      </w:r>
      <w:r>
        <w:rPr>
          <w:rFonts w:ascii="Times New Roman" w:hAnsi="Times New Roman"/>
        </w:rPr>
        <w:t>3.</w:t>
      </w:r>
      <w:r>
        <w:rPr>
          <w:rFonts w:ascii="Times New Roman" w:hAnsi="Times New Roman" w:hint="eastAsia"/>
        </w:rPr>
        <w:t>3-</w:t>
      </w:r>
      <w:r>
        <w:rPr>
          <w:rFonts w:ascii="Times New Roman" w:hAnsi="Times New Roman"/>
        </w:rPr>
        <w:t>1</w:t>
      </w:r>
      <w:r>
        <w:rPr>
          <w:rFonts w:ascii="Times New Roman" w:hAnsi="Times New Roman" w:hint="eastAsia"/>
        </w:rPr>
        <w:t>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1089"/>
        <w:gridCol w:w="1444"/>
        <w:gridCol w:w="1359"/>
        <w:gridCol w:w="1274"/>
        <w:gridCol w:w="1542"/>
      </w:tblGrid>
      <w:tr w:rsidR="009C353B" w14:paraId="6120C93A" w14:textId="77777777">
        <w:trPr>
          <w:jc w:val="center"/>
        </w:trPr>
        <w:tc>
          <w:tcPr>
            <w:tcW w:w="3442" w:type="dxa"/>
            <w:gridSpan w:val="2"/>
            <w:shd w:val="clear" w:color="auto" w:fill="auto"/>
            <w:noWrap/>
            <w:vAlign w:val="center"/>
          </w:tcPr>
          <w:p w14:paraId="7371800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监测点位</w:t>
            </w:r>
          </w:p>
        </w:tc>
        <w:tc>
          <w:tcPr>
            <w:tcW w:w="1444" w:type="dxa"/>
            <w:shd w:val="clear" w:color="auto" w:fill="auto"/>
            <w:noWrap/>
            <w:vAlign w:val="center"/>
          </w:tcPr>
          <w:p w14:paraId="644A6FA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土壤含盐量（</w:t>
            </w:r>
            <w:r>
              <w:rPr>
                <w:rFonts w:ascii="Times New Roman" w:hAnsi="Times New Roman"/>
                <w:kern w:val="0"/>
                <w:sz w:val="21"/>
                <w:szCs w:val="21"/>
              </w:rPr>
              <w:t>SSC</w:t>
            </w:r>
            <w:r>
              <w:rPr>
                <w:rFonts w:ascii="Times New Roman" w:hAnsi="Times New Roman"/>
                <w:kern w:val="0"/>
                <w:sz w:val="21"/>
                <w:szCs w:val="21"/>
              </w:rPr>
              <w:t>）</w:t>
            </w:r>
            <w:r>
              <w:rPr>
                <w:rFonts w:ascii="Times New Roman" w:hAnsi="Times New Roman"/>
                <w:kern w:val="0"/>
                <w:sz w:val="21"/>
                <w:szCs w:val="21"/>
              </w:rPr>
              <w:t>g/kg</w:t>
            </w:r>
          </w:p>
        </w:tc>
        <w:tc>
          <w:tcPr>
            <w:tcW w:w="1359" w:type="dxa"/>
            <w:shd w:val="clear" w:color="auto" w:fill="auto"/>
            <w:noWrap/>
            <w:vAlign w:val="center"/>
          </w:tcPr>
          <w:p w14:paraId="16A9458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分析结果</w:t>
            </w:r>
          </w:p>
        </w:tc>
        <w:tc>
          <w:tcPr>
            <w:tcW w:w="1274" w:type="dxa"/>
            <w:shd w:val="clear" w:color="auto" w:fill="auto"/>
            <w:noWrap/>
            <w:vAlign w:val="center"/>
          </w:tcPr>
          <w:p w14:paraId="76DD6EA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土壤</w:t>
            </w:r>
            <w:r>
              <w:rPr>
                <w:rFonts w:ascii="Times New Roman" w:hAnsi="Times New Roman"/>
                <w:kern w:val="0"/>
                <w:sz w:val="21"/>
                <w:szCs w:val="21"/>
              </w:rPr>
              <w:t>pH</w:t>
            </w:r>
            <w:r>
              <w:rPr>
                <w:rFonts w:ascii="Times New Roman" w:hAnsi="Times New Roman"/>
                <w:kern w:val="0"/>
                <w:sz w:val="21"/>
                <w:szCs w:val="21"/>
              </w:rPr>
              <w:t>值</w:t>
            </w:r>
          </w:p>
        </w:tc>
        <w:tc>
          <w:tcPr>
            <w:tcW w:w="1542" w:type="dxa"/>
            <w:shd w:val="clear" w:color="auto" w:fill="auto"/>
            <w:noWrap/>
            <w:vAlign w:val="center"/>
          </w:tcPr>
          <w:p w14:paraId="27EA433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分析结果</w:t>
            </w:r>
          </w:p>
        </w:tc>
      </w:tr>
      <w:tr w:rsidR="009C353B" w14:paraId="308E42A6" w14:textId="77777777">
        <w:trPr>
          <w:jc w:val="center"/>
        </w:trPr>
        <w:tc>
          <w:tcPr>
            <w:tcW w:w="2353" w:type="dxa"/>
            <w:vMerge w:val="restart"/>
            <w:shd w:val="clear" w:color="auto" w:fill="auto"/>
            <w:vAlign w:val="center"/>
          </w:tcPr>
          <w:p w14:paraId="41D49DC5" w14:textId="77777777" w:rsidR="009C353B" w:rsidRDefault="00000000">
            <w:pPr>
              <w:jc w:val="left"/>
              <w:rPr>
                <w:rFonts w:ascii="Times New Roman" w:hAnsi="Times New Roman"/>
                <w:kern w:val="0"/>
                <w:sz w:val="21"/>
                <w:szCs w:val="21"/>
              </w:rPr>
            </w:pPr>
            <w:r>
              <w:rPr>
                <w:rFonts w:ascii="Times New Roman" w:hAnsi="Times New Roman"/>
                <w:sz w:val="21"/>
                <w:szCs w:val="21"/>
              </w:rPr>
              <w:t xml:space="preserve">1# </w:t>
            </w:r>
            <w:r>
              <w:rPr>
                <w:rFonts w:ascii="Times New Roman" w:hAnsi="Times New Roman"/>
                <w:sz w:val="21"/>
                <w:szCs w:val="21"/>
              </w:rPr>
              <w:t>马莲台工业场地内</w:t>
            </w:r>
          </w:p>
        </w:tc>
        <w:tc>
          <w:tcPr>
            <w:tcW w:w="1089" w:type="dxa"/>
            <w:shd w:val="clear" w:color="auto" w:fill="auto"/>
            <w:vAlign w:val="center"/>
          </w:tcPr>
          <w:p w14:paraId="14B5776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表层</w:t>
            </w:r>
          </w:p>
        </w:tc>
        <w:tc>
          <w:tcPr>
            <w:tcW w:w="1444" w:type="dxa"/>
            <w:shd w:val="clear" w:color="auto" w:fill="auto"/>
            <w:vAlign w:val="center"/>
          </w:tcPr>
          <w:p w14:paraId="10B2159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0.41</w:t>
            </w:r>
          </w:p>
        </w:tc>
        <w:tc>
          <w:tcPr>
            <w:tcW w:w="1359" w:type="dxa"/>
            <w:shd w:val="clear" w:color="auto" w:fill="auto"/>
            <w:noWrap/>
            <w:vAlign w:val="center"/>
          </w:tcPr>
          <w:p w14:paraId="1AF308A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shd w:val="clear" w:color="auto" w:fill="auto"/>
            <w:noWrap/>
            <w:vAlign w:val="center"/>
          </w:tcPr>
          <w:p w14:paraId="78A02E2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8.88</w:t>
            </w:r>
          </w:p>
        </w:tc>
        <w:tc>
          <w:tcPr>
            <w:tcW w:w="1542" w:type="dxa"/>
            <w:shd w:val="clear" w:color="auto" w:fill="auto"/>
            <w:noWrap/>
            <w:vAlign w:val="center"/>
          </w:tcPr>
          <w:p w14:paraId="3418A56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r w:rsidR="009C353B" w14:paraId="31BA43F8" w14:textId="77777777">
        <w:trPr>
          <w:jc w:val="center"/>
        </w:trPr>
        <w:tc>
          <w:tcPr>
            <w:tcW w:w="2353" w:type="dxa"/>
            <w:vMerge/>
            <w:vAlign w:val="center"/>
          </w:tcPr>
          <w:p w14:paraId="5C9FB92A" w14:textId="77777777" w:rsidR="009C353B" w:rsidRDefault="009C353B">
            <w:pPr>
              <w:widowControl/>
              <w:jc w:val="left"/>
              <w:rPr>
                <w:rFonts w:ascii="Times New Roman" w:hAnsi="Times New Roman"/>
                <w:kern w:val="0"/>
                <w:sz w:val="21"/>
                <w:szCs w:val="21"/>
              </w:rPr>
            </w:pPr>
          </w:p>
        </w:tc>
        <w:tc>
          <w:tcPr>
            <w:tcW w:w="1089" w:type="dxa"/>
            <w:shd w:val="clear" w:color="auto" w:fill="auto"/>
            <w:vAlign w:val="center"/>
          </w:tcPr>
          <w:p w14:paraId="768F587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中层</w:t>
            </w:r>
          </w:p>
        </w:tc>
        <w:tc>
          <w:tcPr>
            <w:tcW w:w="1444" w:type="dxa"/>
            <w:shd w:val="clear" w:color="auto" w:fill="auto"/>
            <w:vAlign w:val="center"/>
          </w:tcPr>
          <w:p w14:paraId="7441059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0.42</w:t>
            </w:r>
          </w:p>
        </w:tc>
        <w:tc>
          <w:tcPr>
            <w:tcW w:w="1359" w:type="dxa"/>
            <w:shd w:val="clear" w:color="auto" w:fill="auto"/>
            <w:noWrap/>
            <w:vAlign w:val="center"/>
          </w:tcPr>
          <w:p w14:paraId="7D80A5E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shd w:val="clear" w:color="auto" w:fill="auto"/>
            <w:noWrap/>
            <w:vAlign w:val="center"/>
          </w:tcPr>
          <w:p w14:paraId="4B69A1B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8.99</w:t>
            </w:r>
          </w:p>
        </w:tc>
        <w:tc>
          <w:tcPr>
            <w:tcW w:w="1542" w:type="dxa"/>
            <w:shd w:val="clear" w:color="auto" w:fill="auto"/>
            <w:noWrap/>
            <w:vAlign w:val="center"/>
          </w:tcPr>
          <w:p w14:paraId="2E6D49F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r w:rsidR="009C353B" w14:paraId="6E426302" w14:textId="77777777">
        <w:trPr>
          <w:jc w:val="center"/>
        </w:trPr>
        <w:tc>
          <w:tcPr>
            <w:tcW w:w="2353" w:type="dxa"/>
            <w:vMerge/>
            <w:vAlign w:val="center"/>
          </w:tcPr>
          <w:p w14:paraId="51CE5B62" w14:textId="77777777" w:rsidR="009C353B" w:rsidRDefault="009C353B">
            <w:pPr>
              <w:widowControl/>
              <w:jc w:val="left"/>
              <w:rPr>
                <w:rFonts w:ascii="Times New Roman" w:hAnsi="Times New Roman"/>
                <w:kern w:val="0"/>
                <w:sz w:val="21"/>
                <w:szCs w:val="21"/>
              </w:rPr>
            </w:pPr>
          </w:p>
        </w:tc>
        <w:tc>
          <w:tcPr>
            <w:tcW w:w="1089" w:type="dxa"/>
            <w:shd w:val="clear" w:color="auto" w:fill="auto"/>
            <w:vAlign w:val="center"/>
          </w:tcPr>
          <w:p w14:paraId="749493B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深层</w:t>
            </w:r>
          </w:p>
        </w:tc>
        <w:tc>
          <w:tcPr>
            <w:tcW w:w="1444" w:type="dxa"/>
            <w:shd w:val="clear" w:color="auto" w:fill="auto"/>
            <w:vAlign w:val="center"/>
          </w:tcPr>
          <w:p w14:paraId="02F3E0E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0.37</w:t>
            </w:r>
          </w:p>
        </w:tc>
        <w:tc>
          <w:tcPr>
            <w:tcW w:w="1359" w:type="dxa"/>
            <w:shd w:val="clear" w:color="auto" w:fill="auto"/>
            <w:noWrap/>
            <w:vAlign w:val="center"/>
          </w:tcPr>
          <w:p w14:paraId="61069B8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shd w:val="clear" w:color="auto" w:fill="auto"/>
            <w:noWrap/>
            <w:vAlign w:val="center"/>
          </w:tcPr>
          <w:p w14:paraId="558AA0E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8.98</w:t>
            </w:r>
          </w:p>
        </w:tc>
        <w:tc>
          <w:tcPr>
            <w:tcW w:w="1542" w:type="dxa"/>
            <w:shd w:val="clear" w:color="auto" w:fill="auto"/>
            <w:noWrap/>
            <w:vAlign w:val="center"/>
          </w:tcPr>
          <w:p w14:paraId="424BBA9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r w:rsidR="009C353B" w14:paraId="799CD33B" w14:textId="77777777">
        <w:trPr>
          <w:jc w:val="center"/>
        </w:trPr>
        <w:tc>
          <w:tcPr>
            <w:tcW w:w="2353" w:type="dxa"/>
            <w:vMerge w:val="restart"/>
            <w:shd w:val="clear" w:color="auto" w:fill="auto"/>
            <w:vAlign w:val="center"/>
          </w:tcPr>
          <w:p w14:paraId="03DD455B" w14:textId="77777777" w:rsidR="009C353B" w:rsidRDefault="00000000">
            <w:pPr>
              <w:jc w:val="left"/>
              <w:rPr>
                <w:rFonts w:ascii="Times New Roman" w:hAnsi="Times New Roman"/>
                <w:kern w:val="0"/>
                <w:sz w:val="21"/>
                <w:szCs w:val="21"/>
              </w:rPr>
            </w:pPr>
            <w:r>
              <w:rPr>
                <w:rFonts w:ascii="Times New Roman" w:hAnsi="Times New Roman"/>
                <w:sz w:val="21"/>
                <w:szCs w:val="21"/>
              </w:rPr>
              <w:t xml:space="preserve">2# </w:t>
            </w:r>
            <w:r>
              <w:rPr>
                <w:rFonts w:ascii="Times New Roman" w:hAnsi="Times New Roman"/>
                <w:sz w:val="21"/>
                <w:szCs w:val="21"/>
              </w:rPr>
              <w:t>任家庄工业场地内（危废库</w:t>
            </w:r>
            <w:r>
              <w:rPr>
                <w:rFonts w:ascii="Times New Roman" w:hAnsi="Times New Roman"/>
                <w:sz w:val="21"/>
                <w:szCs w:val="21"/>
              </w:rPr>
              <w:t>/</w:t>
            </w:r>
            <w:r>
              <w:rPr>
                <w:rFonts w:ascii="Times New Roman" w:hAnsi="Times New Roman"/>
                <w:sz w:val="21"/>
                <w:szCs w:val="21"/>
              </w:rPr>
              <w:t>油脂库附近）</w:t>
            </w:r>
          </w:p>
        </w:tc>
        <w:tc>
          <w:tcPr>
            <w:tcW w:w="1089" w:type="dxa"/>
            <w:shd w:val="clear" w:color="auto" w:fill="auto"/>
            <w:vAlign w:val="center"/>
          </w:tcPr>
          <w:p w14:paraId="5ABA70D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表层</w:t>
            </w:r>
          </w:p>
        </w:tc>
        <w:tc>
          <w:tcPr>
            <w:tcW w:w="1444" w:type="dxa"/>
            <w:shd w:val="clear" w:color="auto" w:fill="auto"/>
            <w:vAlign w:val="center"/>
          </w:tcPr>
          <w:p w14:paraId="3D87346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0.73</w:t>
            </w:r>
          </w:p>
        </w:tc>
        <w:tc>
          <w:tcPr>
            <w:tcW w:w="1359" w:type="dxa"/>
            <w:shd w:val="clear" w:color="auto" w:fill="auto"/>
            <w:noWrap/>
            <w:vAlign w:val="center"/>
          </w:tcPr>
          <w:p w14:paraId="06F246E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shd w:val="clear" w:color="auto" w:fill="auto"/>
            <w:noWrap/>
            <w:vAlign w:val="center"/>
          </w:tcPr>
          <w:p w14:paraId="1796226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9.12</w:t>
            </w:r>
          </w:p>
        </w:tc>
        <w:tc>
          <w:tcPr>
            <w:tcW w:w="1542" w:type="dxa"/>
            <w:shd w:val="clear" w:color="auto" w:fill="auto"/>
            <w:noWrap/>
            <w:vAlign w:val="center"/>
          </w:tcPr>
          <w:p w14:paraId="75B3464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中度碱化</w:t>
            </w:r>
          </w:p>
        </w:tc>
      </w:tr>
      <w:tr w:rsidR="009C353B" w14:paraId="41462C4C" w14:textId="77777777">
        <w:trPr>
          <w:jc w:val="center"/>
        </w:trPr>
        <w:tc>
          <w:tcPr>
            <w:tcW w:w="2353" w:type="dxa"/>
            <w:vMerge/>
            <w:vAlign w:val="center"/>
          </w:tcPr>
          <w:p w14:paraId="106087EE" w14:textId="77777777" w:rsidR="009C353B" w:rsidRDefault="009C353B">
            <w:pPr>
              <w:widowControl/>
              <w:jc w:val="left"/>
              <w:rPr>
                <w:rFonts w:ascii="Times New Roman" w:hAnsi="Times New Roman"/>
                <w:kern w:val="0"/>
                <w:sz w:val="21"/>
                <w:szCs w:val="21"/>
              </w:rPr>
            </w:pPr>
          </w:p>
        </w:tc>
        <w:tc>
          <w:tcPr>
            <w:tcW w:w="1089" w:type="dxa"/>
            <w:shd w:val="clear" w:color="auto" w:fill="auto"/>
            <w:vAlign w:val="center"/>
          </w:tcPr>
          <w:p w14:paraId="624B74E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中层</w:t>
            </w:r>
          </w:p>
        </w:tc>
        <w:tc>
          <w:tcPr>
            <w:tcW w:w="1444" w:type="dxa"/>
            <w:shd w:val="clear" w:color="auto" w:fill="auto"/>
            <w:vAlign w:val="center"/>
          </w:tcPr>
          <w:p w14:paraId="03D17C2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0.76</w:t>
            </w:r>
          </w:p>
        </w:tc>
        <w:tc>
          <w:tcPr>
            <w:tcW w:w="1359" w:type="dxa"/>
            <w:shd w:val="clear" w:color="auto" w:fill="auto"/>
            <w:noWrap/>
            <w:vAlign w:val="center"/>
          </w:tcPr>
          <w:p w14:paraId="16954FD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shd w:val="clear" w:color="auto" w:fill="auto"/>
            <w:noWrap/>
            <w:vAlign w:val="center"/>
          </w:tcPr>
          <w:p w14:paraId="7923E8B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9.21</w:t>
            </w:r>
          </w:p>
        </w:tc>
        <w:tc>
          <w:tcPr>
            <w:tcW w:w="1542" w:type="dxa"/>
            <w:shd w:val="clear" w:color="auto" w:fill="auto"/>
            <w:noWrap/>
            <w:vAlign w:val="center"/>
          </w:tcPr>
          <w:p w14:paraId="71A425A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中度碱化</w:t>
            </w:r>
          </w:p>
        </w:tc>
      </w:tr>
      <w:tr w:rsidR="009C353B" w14:paraId="54F472F6" w14:textId="77777777">
        <w:trPr>
          <w:jc w:val="center"/>
        </w:trPr>
        <w:tc>
          <w:tcPr>
            <w:tcW w:w="2353" w:type="dxa"/>
            <w:vMerge/>
            <w:vAlign w:val="center"/>
          </w:tcPr>
          <w:p w14:paraId="3C1E4058" w14:textId="77777777" w:rsidR="009C353B" w:rsidRDefault="009C353B">
            <w:pPr>
              <w:widowControl/>
              <w:jc w:val="left"/>
              <w:rPr>
                <w:rFonts w:ascii="Times New Roman" w:hAnsi="Times New Roman"/>
                <w:kern w:val="0"/>
                <w:sz w:val="21"/>
                <w:szCs w:val="21"/>
              </w:rPr>
            </w:pPr>
          </w:p>
        </w:tc>
        <w:tc>
          <w:tcPr>
            <w:tcW w:w="1089" w:type="dxa"/>
            <w:shd w:val="clear" w:color="auto" w:fill="auto"/>
            <w:vAlign w:val="center"/>
          </w:tcPr>
          <w:p w14:paraId="6F97368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深层</w:t>
            </w:r>
          </w:p>
        </w:tc>
        <w:tc>
          <w:tcPr>
            <w:tcW w:w="1444" w:type="dxa"/>
            <w:shd w:val="clear" w:color="auto" w:fill="auto"/>
            <w:vAlign w:val="center"/>
          </w:tcPr>
          <w:p w14:paraId="17149D1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0.85</w:t>
            </w:r>
          </w:p>
        </w:tc>
        <w:tc>
          <w:tcPr>
            <w:tcW w:w="1359" w:type="dxa"/>
            <w:shd w:val="clear" w:color="auto" w:fill="auto"/>
            <w:noWrap/>
            <w:vAlign w:val="center"/>
          </w:tcPr>
          <w:p w14:paraId="0CDC059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shd w:val="clear" w:color="auto" w:fill="auto"/>
            <w:noWrap/>
            <w:vAlign w:val="center"/>
          </w:tcPr>
          <w:p w14:paraId="6FCEC06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8.86</w:t>
            </w:r>
          </w:p>
        </w:tc>
        <w:tc>
          <w:tcPr>
            <w:tcW w:w="1542" w:type="dxa"/>
            <w:shd w:val="clear" w:color="auto" w:fill="auto"/>
            <w:noWrap/>
            <w:vAlign w:val="center"/>
          </w:tcPr>
          <w:p w14:paraId="69B80DC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r w:rsidR="009C353B" w14:paraId="69658F77" w14:textId="77777777">
        <w:trPr>
          <w:jc w:val="center"/>
        </w:trPr>
        <w:tc>
          <w:tcPr>
            <w:tcW w:w="2353" w:type="dxa"/>
            <w:vMerge w:val="restart"/>
            <w:shd w:val="clear" w:color="auto" w:fill="auto"/>
            <w:vAlign w:val="center"/>
          </w:tcPr>
          <w:p w14:paraId="40EB3D01" w14:textId="77777777" w:rsidR="009C353B" w:rsidRDefault="00000000">
            <w:pPr>
              <w:widowControl/>
              <w:jc w:val="left"/>
              <w:rPr>
                <w:rFonts w:ascii="Times New Roman" w:hAnsi="Times New Roman"/>
                <w:kern w:val="0"/>
                <w:sz w:val="21"/>
                <w:szCs w:val="21"/>
              </w:rPr>
            </w:pPr>
            <w:r>
              <w:rPr>
                <w:rFonts w:ascii="Times New Roman" w:hAnsi="Times New Roman"/>
                <w:sz w:val="21"/>
                <w:szCs w:val="21"/>
              </w:rPr>
              <w:t xml:space="preserve">3# </w:t>
            </w:r>
            <w:r>
              <w:rPr>
                <w:rFonts w:ascii="Times New Roman" w:hAnsi="Times New Roman"/>
                <w:sz w:val="21"/>
                <w:szCs w:val="21"/>
              </w:rPr>
              <w:t>丁家梁工业场地内</w:t>
            </w:r>
          </w:p>
        </w:tc>
        <w:tc>
          <w:tcPr>
            <w:tcW w:w="1089" w:type="dxa"/>
            <w:shd w:val="clear" w:color="auto" w:fill="auto"/>
            <w:vAlign w:val="center"/>
          </w:tcPr>
          <w:p w14:paraId="1B902FF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表层</w:t>
            </w:r>
          </w:p>
        </w:tc>
        <w:tc>
          <w:tcPr>
            <w:tcW w:w="1444" w:type="dxa"/>
            <w:shd w:val="clear" w:color="auto" w:fill="auto"/>
            <w:vAlign w:val="center"/>
          </w:tcPr>
          <w:p w14:paraId="058C35E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0.44</w:t>
            </w:r>
          </w:p>
        </w:tc>
        <w:tc>
          <w:tcPr>
            <w:tcW w:w="1359" w:type="dxa"/>
            <w:shd w:val="clear" w:color="auto" w:fill="auto"/>
            <w:noWrap/>
            <w:vAlign w:val="center"/>
          </w:tcPr>
          <w:p w14:paraId="6EFD84D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shd w:val="clear" w:color="auto" w:fill="auto"/>
            <w:noWrap/>
            <w:vAlign w:val="center"/>
          </w:tcPr>
          <w:p w14:paraId="0EDEDBD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8.98</w:t>
            </w:r>
          </w:p>
        </w:tc>
        <w:tc>
          <w:tcPr>
            <w:tcW w:w="1542" w:type="dxa"/>
            <w:shd w:val="clear" w:color="auto" w:fill="auto"/>
            <w:noWrap/>
            <w:vAlign w:val="center"/>
          </w:tcPr>
          <w:p w14:paraId="16A5958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r w:rsidR="009C353B" w14:paraId="794068EF" w14:textId="77777777">
        <w:trPr>
          <w:jc w:val="center"/>
        </w:trPr>
        <w:tc>
          <w:tcPr>
            <w:tcW w:w="2353" w:type="dxa"/>
            <w:vMerge/>
            <w:vAlign w:val="center"/>
          </w:tcPr>
          <w:p w14:paraId="783DB001" w14:textId="77777777" w:rsidR="009C353B" w:rsidRDefault="009C353B">
            <w:pPr>
              <w:widowControl/>
              <w:jc w:val="center"/>
              <w:rPr>
                <w:rFonts w:ascii="Times New Roman" w:hAnsi="Times New Roman"/>
                <w:kern w:val="0"/>
                <w:sz w:val="21"/>
                <w:szCs w:val="21"/>
              </w:rPr>
            </w:pPr>
          </w:p>
        </w:tc>
        <w:tc>
          <w:tcPr>
            <w:tcW w:w="1089" w:type="dxa"/>
            <w:shd w:val="clear" w:color="auto" w:fill="auto"/>
            <w:vAlign w:val="center"/>
          </w:tcPr>
          <w:p w14:paraId="7196062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表层</w:t>
            </w:r>
          </w:p>
        </w:tc>
        <w:tc>
          <w:tcPr>
            <w:tcW w:w="1444" w:type="dxa"/>
            <w:shd w:val="clear" w:color="auto" w:fill="auto"/>
            <w:vAlign w:val="center"/>
          </w:tcPr>
          <w:p w14:paraId="237706A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0.53</w:t>
            </w:r>
          </w:p>
        </w:tc>
        <w:tc>
          <w:tcPr>
            <w:tcW w:w="1359" w:type="dxa"/>
            <w:shd w:val="clear" w:color="auto" w:fill="auto"/>
            <w:noWrap/>
            <w:vAlign w:val="center"/>
          </w:tcPr>
          <w:p w14:paraId="2847BBB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shd w:val="clear" w:color="auto" w:fill="auto"/>
            <w:noWrap/>
            <w:vAlign w:val="center"/>
          </w:tcPr>
          <w:p w14:paraId="62FA37E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8.91</w:t>
            </w:r>
          </w:p>
        </w:tc>
        <w:tc>
          <w:tcPr>
            <w:tcW w:w="1542" w:type="dxa"/>
            <w:shd w:val="clear" w:color="auto" w:fill="auto"/>
            <w:noWrap/>
            <w:vAlign w:val="center"/>
          </w:tcPr>
          <w:p w14:paraId="343F3E2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r w:rsidR="009C353B" w14:paraId="2FDFBD44" w14:textId="77777777">
        <w:trPr>
          <w:jc w:val="center"/>
        </w:trPr>
        <w:tc>
          <w:tcPr>
            <w:tcW w:w="2353" w:type="dxa"/>
            <w:vMerge/>
            <w:vAlign w:val="center"/>
          </w:tcPr>
          <w:p w14:paraId="370681F3" w14:textId="77777777" w:rsidR="009C353B" w:rsidRDefault="009C353B">
            <w:pPr>
              <w:widowControl/>
              <w:jc w:val="center"/>
              <w:rPr>
                <w:rFonts w:ascii="Times New Roman" w:hAnsi="Times New Roman"/>
                <w:kern w:val="0"/>
                <w:sz w:val="21"/>
                <w:szCs w:val="21"/>
              </w:rPr>
            </w:pPr>
          </w:p>
        </w:tc>
        <w:tc>
          <w:tcPr>
            <w:tcW w:w="1089" w:type="dxa"/>
            <w:shd w:val="clear" w:color="auto" w:fill="auto"/>
            <w:vAlign w:val="center"/>
          </w:tcPr>
          <w:p w14:paraId="0FB41B2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深层</w:t>
            </w:r>
          </w:p>
        </w:tc>
        <w:tc>
          <w:tcPr>
            <w:tcW w:w="1444" w:type="dxa"/>
            <w:shd w:val="clear" w:color="auto" w:fill="auto"/>
            <w:vAlign w:val="center"/>
          </w:tcPr>
          <w:p w14:paraId="0B8157E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0.58</w:t>
            </w:r>
          </w:p>
        </w:tc>
        <w:tc>
          <w:tcPr>
            <w:tcW w:w="1359" w:type="dxa"/>
            <w:shd w:val="clear" w:color="auto" w:fill="auto"/>
            <w:noWrap/>
            <w:vAlign w:val="center"/>
          </w:tcPr>
          <w:p w14:paraId="7C169C2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shd w:val="clear" w:color="auto" w:fill="auto"/>
            <w:noWrap/>
            <w:vAlign w:val="center"/>
          </w:tcPr>
          <w:p w14:paraId="0A7240F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8.89</w:t>
            </w:r>
          </w:p>
        </w:tc>
        <w:tc>
          <w:tcPr>
            <w:tcW w:w="1542" w:type="dxa"/>
            <w:shd w:val="clear" w:color="auto" w:fill="auto"/>
            <w:noWrap/>
            <w:vAlign w:val="center"/>
          </w:tcPr>
          <w:p w14:paraId="5C331CA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r w:rsidR="009C353B" w14:paraId="56858D4E" w14:textId="77777777">
        <w:trPr>
          <w:jc w:val="center"/>
        </w:trPr>
        <w:tc>
          <w:tcPr>
            <w:tcW w:w="3442" w:type="dxa"/>
            <w:gridSpan w:val="2"/>
            <w:shd w:val="clear" w:color="auto" w:fill="auto"/>
            <w:noWrap/>
            <w:vAlign w:val="center"/>
          </w:tcPr>
          <w:p w14:paraId="356C97D2" w14:textId="77777777" w:rsidR="009C353B" w:rsidRDefault="00000000">
            <w:pPr>
              <w:widowControl/>
              <w:jc w:val="left"/>
              <w:rPr>
                <w:rFonts w:ascii="Times New Roman" w:hAnsi="Times New Roman"/>
                <w:sz w:val="21"/>
                <w:szCs w:val="21"/>
              </w:rPr>
            </w:pPr>
            <w:r>
              <w:rPr>
                <w:rFonts w:ascii="Times New Roman" w:hAnsi="Times New Roman"/>
                <w:sz w:val="21"/>
                <w:szCs w:val="21"/>
              </w:rPr>
              <w:t xml:space="preserve">4# </w:t>
            </w:r>
            <w:r>
              <w:rPr>
                <w:rFonts w:ascii="Times New Roman" w:hAnsi="Times New Roman"/>
                <w:sz w:val="21"/>
                <w:szCs w:val="21"/>
              </w:rPr>
              <w:t>马莲台采空区</w:t>
            </w:r>
          </w:p>
        </w:tc>
        <w:tc>
          <w:tcPr>
            <w:tcW w:w="1444" w:type="dxa"/>
            <w:shd w:val="clear" w:color="auto" w:fill="auto"/>
            <w:vAlign w:val="center"/>
          </w:tcPr>
          <w:p w14:paraId="22091D0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0.58</w:t>
            </w:r>
          </w:p>
        </w:tc>
        <w:tc>
          <w:tcPr>
            <w:tcW w:w="1359" w:type="dxa"/>
            <w:shd w:val="clear" w:color="auto" w:fill="auto"/>
            <w:noWrap/>
            <w:vAlign w:val="center"/>
          </w:tcPr>
          <w:p w14:paraId="52AB18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shd w:val="clear" w:color="auto" w:fill="auto"/>
            <w:vAlign w:val="center"/>
          </w:tcPr>
          <w:p w14:paraId="08D66A4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8.94</w:t>
            </w:r>
          </w:p>
        </w:tc>
        <w:tc>
          <w:tcPr>
            <w:tcW w:w="1542" w:type="dxa"/>
            <w:shd w:val="clear" w:color="auto" w:fill="auto"/>
            <w:noWrap/>
            <w:vAlign w:val="center"/>
          </w:tcPr>
          <w:p w14:paraId="24B889A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r w:rsidR="009C353B" w14:paraId="7EB5600C" w14:textId="77777777">
        <w:trPr>
          <w:jc w:val="center"/>
        </w:trPr>
        <w:tc>
          <w:tcPr>
            <w:tcW w:w="3442" w:type="dxa"/>
            <w:gridSpan w:val="2"/>
            <w:shd w:val="clear" w:color="auto" w:fill="auto"/>
            <w:noWrap/>
            <w:vAlign w:val="center"/>
          </w:tcPr>
          <w:p w14:paraId="5C8AC7AB" w14:textId="77777777" w:rsidR="009C353B" w:rsidRDefault="00000000">
            <w:pPr>
              <w:widowControl/>
              <w:jc w:val="left"/>
              <w:rPr>
                <w:rFonts w:ascii="Times New Roman" w:hAnsi="Times New Roman"/>
                <w:sz w:val="21"/>
                <w:szCs w:val="21"/>
              </w:rPr>
            </w:pPr>
            <w:r>
              <w:rPr>
                <w:rFonts w:ascii="Times New Roman" w:hAnsi="Times New Roman"/>
                <w:sz w:val="21"/>
                <w:szCs w:val="21"/>
              </w:rPr>
              <w:t xml:space="preserve">5# </w:t>
            </w:r>
            <w:r>
              <w:rPr>
                <w:rFonts w:ascii="Times New Roman" w:hAnsi="Times New Roman"/>
                <w:sz w:val="21"/>
                <w:szCs w:val="21"/>
              </w:rPr>
              <w:t>任家庄采空区</w:t>
            </w:r>
          </w:p>
        </w:tc>
        <w:tc>
          <w:tcPr>
            <w:tcW w:w="1444" w:type="dxa"/>
            <w:shd w:val="clear" w:color="auto" w:fill="auto"/>
            <w:vAlign w:val="center"/>
          </w:tcPr>
          <w:p w14:paraId="531ADF4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1.19</w:t>
            </w:r>
          </w:p>
        </w:tc>
        <w:tc>
          <w:tcPr>
            <w:tcW w:w="1359" w:type="dxa"/>
            <w:shd w:val="clear" w:color="auto" w:fill="auto"/>
            <w:noWrap/>
            <w:vAlign w:val="center"/>
          </w:tcPr>
          <w:p w14:paraId="48F3D5A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shd w:val="clear" w:color="auto" w:fill="auto"/>
            <w:vAlign w:val="center"/>
          </w:tcPr>
          <w:p w14:paraId="4D57FFA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8.53</w:t>
            </w:r>
          </w:p>
        </w:tc>
        <w:tc>
          <w:tcPr>
            <w:tcW w:w="1542" w:type="dxa"/>
            <w:shd w:val="clear" w:color="auto" w:fill="auto"/>
            <w:noWrap/>
            <w:vAlign w:val="center"/>
          </w:tcPr>
          <w:p w14:paraId="43F73B9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r w:rsidR="009C353B" w14:paraId="6DAB7642" w14:textId="77777777">
        <w:trPr>
          <w:jc w:val="center"/>
        </w:trPr>
        <w:tc>
          <w:tcPr>
            <w:tcW w:w="3442" w:type="dxa"/>
            <w:gridSpan w:val="2"/>
            <w:shd w:val="clear" w:color="auto" w:fill="auto"/>
            <w:noWrap/>
            <w:vAlign w:val="center"/>
          </w:tcPr>
          <w:p w14:paraId="0F32B0E9" w14:textId="77777777" w:rsidR="009C353B" w:rsidRDefault="00000000">
            <w:pPr>
              <w:widowControl/>
              <w:jc w:val="left"/>
              <w:rPr>
                <w:rFonts w:ascii="Times New Roman" w:hAnsi="Times New Roman"/>
                <w:sz w:val="21"/>
                <w:szCs w:val="21"/>
              </w:rPr>
            </w:pPr>
            <w:r>
              <w:rPr>
                <w:rFonts w:ascii="Times New Roman" w:hAnsi="Times New Roman"/>
                <w:sz w:val="21"/>
                <w:szCs w:val="21"/>
              </w:rPr>
              <w:t xml:space="preserve">6# </w:t>
            </w:r>
            <w:r>
              <w:rPr>
                <w:rFonts w:ascii="Times New Roman" w:hAnsi="Times New Roman"/>
                <w:sz w:val="21"/>
                <w:szCs w:val="21"/>
              </w:rPr>
              <w:t>马莲台排矸场（已恢复）</w:t>
            </w:r>
          </w:p>
        </w:tc>
        <w:tc>
          <w:tcPr>
            <w:tcW w:w="1444" w:type="dxa"/>
            <w:shd w:val="clear" w:color="auto" w:fill="auto"/>
            <w:vAlign w:val="center"/>
          </w:tcPr>
          <w:p w14:paraId="26B99A8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8.04</w:t>
            </w:r>
          </w:p>
        </w:tc>
        <w:tc>
          <w:tcPr>
            <w:tcW w:w="1359" w:type="dxa"/>
            <w:shd w:val="clear" w:color="auto" w:fill="auto"/>
            <w:noWrap/>
            <w:vAlign w:val="center"/>
          </w:tcPr>
          <w:p w14:paraId="396B37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盐化</w:t>
            </w:r>
          </w:p>
        </w:tc>
        <w:tc>
          <w:tcPr>
            <w:tcW w:w="1274" w:type="dxa"/>
            <w:shd w:val="clear" w:color="auto" w:fill="auto"/>
            <w:vAlign w:val="center"/>
          </w:tcPr>
          <w:p w14:paraId="613BB01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8.35</w:t>
            </w:r>
          </w:p>
        </w:tc>
        <w:tc>
          <w:tcPr>
            <w:tcW w:w="1542" w:type="dxa"/>
            <w:shd w:val="clear" w:color="auto" w:fill="auto"/>
            <w:noWrap/>
            <w:vAlign w:val="center"/>
          </w:tcPr>
          <w:p w14:paraId="49DE3BD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无酸化或碱化</w:t>
            </w:r>
          </w:p>
        </w:tc>
      </w:tr>
      <w:tr w:rsidR="009C353B" w14:paraId="575C9971" w14:textId="77777777">
        <w:trPr>
          <w:jc w:val="center"/>
        </w:trPr>
        <w:tc>
          <w:tcPr>
            <w:tcW w:w="3442"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5E4AE2C" w14:textId="77777777" w:rsidR="009C353B" w:rsidRDefault="00000000">
            <w:pPr>
              <w:widowControl/>
              <w:jc w:val="left"/>
              <w:rPr>
                <w:rFonts w:ascii="Times New Roman" w:hAnsi="Times New Roman"/>
                <w:sz w:val="21"/>
                <w:szCs w:val="21"/>
              </w:rPr>
            </w:pPr>
            <w:r>
              <w:rPr>
                <w:rFonts w:ascii="Times New Roman" w:hAnsi="Times New Roman"/>
                <w:sz w:val="21"/>
                <w:szCs w:val="21"/>
              </w:rPr>
              <w:t xml:space="preserve">7# </w:t>
            </w:r>
            <w:r>
              <w:rPr>
                <w:rFonts w:ascii="Times New Roman" w:hAnsi="Times New Roman"/>
                <w:sz w:val="21"/>
                <w:szCs w:val="21"/>
              </w:rPr>
              <w:t>马莲台排矸场（在用）</w:t>
            </w:r>
          </w:p>
        </w:tc>
        <w:tc>
          <w:tcPr>
            <w:tcW w:w="1444" w:type="dxa"/>
            <w:tcBorders>
              <w:top w:val="single" w:sz="4" w:space="0" w:color="auto"/>
              <w:left w:val="single" w:sz="4" w:space="0" w:color="auto"/>
              <w:bottom w:val="single" w:sz="4" w:space="0" w:color="auto"/>
              <w:right w:val="single" w:sz="4" w:space="0" w:color="auto"/>
            </w:tcBorders>
            <w:shd w:val="clear" w:color="auto" w:fill="auto"/>
            <w:vAlign w:val="center"/>
          </w:tcPr>
          <w:p w14:paraId="10FAB2E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0.64</w:t>
            </w:r>
          </w:p>
        </w:tc>
        <w:tc>
          <w:tcPr>
            <w:tcW w:w="13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AE882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tcPr>
          <w:p w14:paraId="4EAB505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8.55</w:t>
            </w:r>
          </w:p>
        </w:tc>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36B8C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r w:rsidR="009C353B" w14:paraId="1E0CF51B" w14:textId="77777777">
        <w:trPr>
          <w:jc w:val="center"/>
        </w:trPr>
        <w:tc>
          <w:tcPr>
            <w:tcW w:w="3442"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6775F64" w14:textId="77777777" w:rsidR="009C353B" w:rsidRDefault="00000000">
            <w:pPr>
              <w:widowControl/>
              <w:jc w:val="left"/>
              <w:rPr>
                <w:rFonts w:ascii="Times New Roman" w:hAnsi="Times New Roman"/>
                <w:sz w:val="21"/>
                <w:szCs w:val="21"/>
              </w:rPr>
            </w:pPr>
            <w:r>
              <w:rPr>
                <w:rFonts w:ascii="Times New Roman" w:hAnsi="Times New Roman"/>
                <w:sz w:val="21"/>
                <w:szCs w:val="21"/>
              </w:rPr>
              <w:t xml:space="preserve">8# </w:t>
            </w:r>
            <w:r>
              <w:rPr>
                <w:rFonts w:ascii="Times New Roman" w:hAnsi="Times New Roman"/>
                <w:sz w:val="21"/>
                <w:szCs w:val="21"/>
              </w:rPr>
              <w:t>任家庄排矸场（已恢复）</w:t>
            </w:r>
          </w:p>
        </w:tc>
        <w:tc>
          <w:tcPr>
            <w:tcW w:w="1444" w:type="dxa"/>
            <w:tcBorders>
              <w:top w:val="single" w:sz="4" w:space="0" w:color="auto"/>
              <w:left w:val="single" w:sz="4" w:space="0" w:color="auto"/>
              <w:bottom w:val="single" w:sz="4" w:space="0" w:color="auto"/>
              <w:right w:val="single" w:sz="4" w:space="0" w:color="auto"/>
            </w:tcBorders>
            <w:shd w:val="clear" w:color="auto" w:fill="auto"/>
            <w:vAlign w:val="center"/>
          </w:tcPr>
          <w:p w14:paraId="7C9342E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11.4</w:t>
            </w:r>
          </w:p>
        </w:tc>
        <w:tc>
          <w:tcPr>
            <w:tcW w:w="13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7ADEB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盐化</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tcPr>
          <w:p w14:paraId="5CBE752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8.64</w:t>
            </w:r>
          </w:p>
        </w:tc>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A2651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r w:rsidR="009C353B" w14:paraId="2255A1A7" w14:textId="77777777">
        <w:trPr>
          <w:jc w:val="center"/>
        </w:trPr>
        <w:tc>
          <w:tcPr>
            <w:tcW w:w="3442"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223C6CD" w14:textId="77777777" w:rsidR="009C353B" w:rsidRDefault="00000000">
            <w:pPr>
              <w:widowControl/>
              <w:jc w:val="left"/>
              <w:rPr>
                <w:rFonts w:ascii="Times New Roman" w:hAnsi="Times New Roman"/>
                <w:sz w:val="21"/>
                <w:szCs w:val="21"/>
              </w:rPr>
            </w:pPr>
            <w:r>
              <w:rPr>
                <w:rFonts w:ascii="Times New Roman" w:hAnsi="Times New Roman"/>
                <w:sz w:val="21"/>
                <w:szCs w:val="21"/>
              </w:rPr>
              <w:t xml:space="preserve">9# </w:t>
            </w:r>
            <w:r>
              <w:rPr>
                <w:rFonts w:ascii="Times New Roman" w:hAnsi="Times New Roman"/>
                <w:sz w:val="21"/>
                <w:szCs w:val="21"/>
              </w:rPr>
              <w:t>丁家梁井田内（未扰动区）</w:t>
            </w:r>
          </w:p>
        </w:tc>
        <w:tc>
          <w:tcPr>
            <w:tcW w:w="1444" w:type="dxa"/>
            <w:tcBorders>
              <w:top w:val="single" w:sz="4" w:space="0" w:color="auto"/>
              <w:left w:val="single" w:sz="4" w:space="0" w:color="auto"/>
              <w:bottom w:val="single" w:sz="4" w:space="0" w:color="auto"/>
              <w:right w:val="single" w:sz="4" w:space="0" w:color="auto"/>
            </w:tcBorders>
            <w:shd w:val="clear" w:color="auto" w:fill="auto"/>
            <w:vAlign w:val="center"/>
          </w:tcPr>
          <w:p w14:paraId="618E96F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0.72</w:t>
            </w:r>
          </w:p>
        </w:tc>
        <w:tc>
          <w:tcPr>
            <w:tcW w:w="13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4167C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tcPr>
          <w:p w14:paraId="0636268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8.72</w:t>
            </w:r>
          </w:p>
        </w:tc>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71444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轻度碱化</w:t>
            </w:r>
          </w:p>
        </w:tc>
      </w:tr>
    </w:tbl>
    <w:p w14:paraId="4A27442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根据《环境影响评价技术导则土壤环境（试行）》（</w:t>
      </w:r>
      <w:r>
        <w:rPr>
          <w:rFonts w:ascii="Times New Roman" w:hAnsi="Times New Roman"/>
        </w:rPr>
        <w:t>HJ964-2018</w:t>
      </w:r>
      <w:r>
        <w:rPr>
          <w:rFonts w:ascii="Times New Roman" w:hAnsi="Times New Roman" w:hint="eastAsia"/>
        </w:rPr>
        <w:t>）中附录</w:t>
      </w:r>
      <w:r>
        <w:rPr>
          <w:rFonts w:ascii="Times New Roman" w:hAnsi="Times New Roman"/>
        </w:rPr>
        <w:t>D</w:t>
      </w:r>
      <w:r>
        <w:rPr>
          <w:rFonts w:ascii="Times New Roman" w:hAnsi="Times New Roman" w:hint="eastAsia"/>
        </w:rPr>
        <w:t>土壤盐化、酸化、碱化分级标准，由表</w:t>
      </w:r>
      <w:r>
        <w:rPr>
          <w:rFonts w:ascii="Times New Roman" w:hAnsi="Times New Roman"/>
        </w:rPr>
        <w:t>3.3-1</w:t>
      </w:r>
      <w:r>
        <w:rPr>
          <w:rFonts w:ascii="Times New Roman" w:hAnsi="Times New Roman" w:hint="eastAsia"/>
        </w:rPr>
        <w:t>7</w:t>
      </w:r>
      <w:r>
        <w:rPr>
          <w:rFonts w:ascii="Times New Roman" w:hAnsi="Times New Roman" w:hint="eastAsia"/>
        </w:rPr>
        <w:t>监测结果可知，监测点基本都处于轻度碱化状态，这是矿区处于干旱气候条件下形成的。马莲台、任家庄已恢复排矸场区仅有两个点位含盐量较高，分别为</w:t>
      </w:r>
      <w:r>
        <w:rPr>
          <w:rFonts w:ascii="Times New Roman" w:hAnsi="Times New Roman"/>
        </w:rPr>
        <w:t>8.04</w:t>
      </w:r>
      <w:r>
        <w:rPr>
          <w:rFonts w:ascii="Times New Roman" w:hAnsi="Times New Roman" w:hint="eastAsia"/>
        </w:rPr>
        <w:t>、</w:t>
      </w:r>
      <w:r>
        <w:rPr>
          <w:rFonts w:ascii="Times New Roman" w:hAnsi="Times New Roman"/>
        </w:rPr>
        <w:t>11.4mg/kg</w:t>
      </w:r>
      <w:r>
        <w:rPr>
          <w:rFonts w:ascii="Times New Roman" w:hAnsi="Times New Roman" w:hint="eastAsia"/>
        </w:rPr>
        <w:t>，可能是因使用处理后的矿井水绿化采用高矿度矿井水造成的。</w:t>
      </w:r>
    </w:p>
    <w:p w14:paraId="5F6F819C" w14:textId="77777777" w:rsidR="009C353B" w:rsidRDefault="00000000">
      <w:pPr>
        <w:pStyle w:val="2"/>
        <w:snapToGrid w:val="0"/>
        <w:spacing w:line="440" w:lineRule="exact"/>
        <w:rPr>
          <w:rFonts w:ascii="Times New Roman" w:eastAsia="宋体" w:hAnsi="Times New Roman"/>
          <w:b/>
          <w:sz w:val="28"/>
        </w:rPr>
      </w:pPr>
      <w:bookmarkStart w:id="116" w:name="_Toc171214220"/>
      <w:bookmarkStart w:id="117" w:name="_Toc59189832"/>
      <w:r>
        <w:rPr>
          <w:rFonts w:ascii="Times New Roman" w:eastAsia="宋体" w:hAnsi="Times New Roman"/>
          <w:b/>
          <w:sz w:val="28"/>
        </w:rPr>
        <w:t xml:space="preserve">3.4 </w:t>
      </w:r>
      <w:r>
        <w:rPr>
          <w:rFonts w:ascii="Times New Roman" w:eastAsia="宋体" w:hAnsi="Times New Roman"/>
          <w:b/>
          <w:sz w:val="28"/>
        </w:rPr>
        <w:t>矿区生态环境现状</w:t>
      </w:r>
      <w:bookmarkEnd w:id="116"/>
      <w:r>
        <w:rPr>
          <w:rFonts w:ascii="Times New Roman" w:eastAsia="宋体" w:hAnsi="Times New Roman"/>
          <w:b/>
          <w:sz w:val="28"/>
        </w:rPr>
        <w:t>调查与评价</w:t>
      </w:r>
      <w:bookmarkEnd w:id="117"/>
    </w:p>
    <w:p w14:paraId="53CC22E6" w14:textId="77777777" w:rsidR="009C353B" w:rsidRDefault="00000000">
      <w:pPr>
        <w:keepNext/>
        <w:keepLines/>
        <w:spacing w:before="360" w:after="120" w:line="416" w:lineRule="exact"/>
        <w:outlineLvl w:val="2"/>
        <w:rPr>
          <w:rFonts w:ascii="Times New Roman" w:hAnsi="Times New Roman"/>
          <w:b/>
          <w:bCs/>
          <w:kern w:val="0"/>
          <w:szCs w:val="32"/>
        </w:rPr>
      </w:pPr>
      <w:bookmarkStart w:id="118" w:name="_Toc408312725"/>
      <w:bookmarkEnd w:id="102"/>
      <w:r>
        <w:rPr>
          <w:rFonts w:ascii="Times New Roman" w:hAnsi="Times New Roman"/>
          <w:b/>
          <w:bCs/>
          <w:kern w:val="0"/>
          <w:szCs w:val="32"/>
        </w:rPr>
        <w:t>3.</w:t>
      </w:r>
      <w:r>
        <w:rPr>
          <w:rFonts w:ascii="Times New Roman" w:hAnsi="Times New Roman" w:hint="eastAsia"/>
          <w:b/>
          <w:bCs/>
          <w:kern w:val="0"/>
          <w:szCs w:val="32"/>
        </w:rPr>
        <w:t>4</w:t>
      </w:r>
      <w:r>
        <w:rPr>
          <w:rFonts w:ascii="Times New Roman" w:hAnsi="Times New Roman"/>
          <w:b/>
          <w:bCs/>
          <w:kern w:val="0"/>
          <w:szCs w:val="32"/>
        </w:rPr>
        <w:t xml:space="preserve">.1 </w:t>
      </w:r>
      <w:r>
        <w:rPr>
          <w:rFonts w:ascii="Times New Roman" w:hAnsi="Times New Roman"/>
          <w:b/>
          <w:bCs/>
          <w:kern w:val="0"/>
          <w:szCs w:val="32"/>
        </w:rPr>
        <w:t>总则</w:t>
      </w:r>
      <w:bookmarkEnd w:id="118"/>
    </w:p>
    <w:p w14:paraId="5963BA9A" w14:textId="77777777" w:rsidR="009C353B" w:rsidRDefault="00000000">
      <w:pPr>
        <w:spacing w:before="280" w:after="120" w:line="416" w:lineRule="exact"/>
        <w:outlineLvl w:val="3"/>
        <w:rPr>
          <w:rFonts w:ascii="Times New Roman" w:hAnsi="Times New Roman"/>
          <w:b/>
          <w:szCs w:val="24"/>
        </w:rPr>
      </w:pPr>
      <w:bookmarkStart w:id="119" w:name="_Toc408312726"/>
      <w:r>
        <w:rPr>
          <w:rFonts w:ascii="Times New Roman" w:hAnsi="Times New Roman"/>
          <w:b/>
          <w:szCs w:val="24"/>
        </w:rPr>
        <w:t>3.</w:t>
      </w:r>
      <w:r>
        <w:rPr>
          <w:rFonts w:ascii="Times New Roman" w:hAnsi="Times New Roman" w:hint="eastAsia"/>
          <w:b/>
          <w:szCs w:val="24"/>
        </w:rPr>
        <w:t>4</w:t>
      </w:r>
      <w:r>
        <w:rPr>
          <w:rFonts w:ascii="Times New Roman" w:hAnsi="Times New Roman"/>
          <w:b/>
          <w:szCs w:val="24"/>
        </w:rPr>
        <w:t xml:space="preserve">.1.1 </w:t>
      </w:r>
      <w:r>
        <w:rPr>
          <w:rFonts w:ascii="Times New Roman" w:hAnsi="Times New Roman"/>
          <w:b/>
          <w:szCs w:val="24"/>
        </w:rPr>
        <w:t>生态功能</w:t>
      </w:r>
      <w:bookmarkEnd w:id="119"/>
      <w:r>
        <w:rPr>
          <w:rFonts w:ascii="Times New Roman" w:hAnsi="Times New Roman" w:hint="eastAsia"/>
          <w:b/>
          <w:szCs w:val="24"/>
        </w:rPr>
        <w:t>区划</w:t>
      </w:r>
    </w:p>
    <w:p w14:paraId="61FA991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根据《全国生态功能区划（修编版）》，项目所在区域生态分区在一级分区上属生态调节功能区，在二级分区上属防风固沙功能区，在三级分区上属鄂尔多斯高原西南部防风固沙功能区。</w:t>
      </w:r>
    </w:p>
    <w:p w14:paraId="65D0A7F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根据《宁夏生态功能区划》（</w:t>
      </w:r>
      <w:r>
        <w:rPr>
          <w:rFonts w:ascii="Times New Roman" w:hAnsi="Times New Roman" w:hint="eastAsia"/>
        </w:rPr>
        <w:t>2003.12</w:t>
      </w:r>
      <w:r>
        <w:rPr>
          <w:rFonts w:ascii="Times New Roman" w:hAnsi="Times New Roman" w:hint="eastAsia"/>
        </w:rPr>
        <w:t>），宁夏生态功能区划共划分</w:t>
      </w:r>
      <w:r>
        <w:rPr>
          <w:rFonts w:ascii="Times New Roman" w:hAnsi="Times New Roman" w:hint="eastAsia"/>
        </w:rPr>
        <w:t>3</w:t>
      </w:r>
      <w:r>
        <w:rPr>
          <w:rFonts w:ascii="Times New Roman" w:hAnsi="Times New Roman" w:hint="eastAsia"/>
        </w:rPr>
        <w:t>个一级区，</w:t>
      </w:r>
      <w:r>
        <w:rPr>
          <w:rFonts w:ascii="Times New Roman" w:hAnsi="Times New Roman" w:hint="eastAsia"/>
        </w:rPr>
        <w:t>10</w:t>
      </w:r>
      <w:r>
        <w:rPr>
          <w:rFonts w:ascii="Times New Roman" w:hAnsi="Times New Roman" w:hint="eastAsia"/>
        </w:rPr>
        <w:t>个二级区，</w:t>
      </w:r>
      <w:r>
        <w:rPr>
          <w:rFonts w:ascii="Times New Roman" w:hAnsi="Times New Roman" w:hint="eastAsia"/>
        </w:rPr>
        <w:t>37</w:t>
      </w:r>
      <w:r>
        <w:rPr>
          <w:rFonts w:ascii="Times New Roman" w:hAnsi="Times New Roman" w:hint="eastAsia"/>
        </w:rPr>
        <w:t>个三级区。本项目属于宁夏中部半干旱台地、山地、平原、干旱风沙生态区一级功能区，毛乌素沙地边缘灵盐陶台地荒漠草原生态亚区，矿区地跨灵盐中北部防沙治沙生态功能区和白芨滩柠条及沙生植被生态系统保护生态功能区，具体生态功能分区见表</w:t>
      </w:r>
      <w:r>
        <w:rPr>
          <w:rFonts w:ascii="Times New Roman" w:hAnsi="Times New Roman" w:hint="eastAsia"/>
        </w:rPr>
        <w:t>3.4-1</w:t>
      </w:r>
      <w:r>
        <w:rPr>
          <w:rFonts w:ascii="Times New Roman" w:hAnsi="Times New Roman" w:hint="eastAsia"/>
        </w:rPr>
        <w:t>及图</w:t>
      </w:r>
      <w:r>
        <w:rPr>
          <w:rFonts w:ascii="Times New Roman" w:hAnsi="Times New Roman" w:hint="eastAsia"/>
        </w:rPr>
        <w:t>3.4-1</w:t>
      </w:r>
      <w:r>
        <w:rPr>
          <w:rFonts w:ascii="Times New Roman" w:hAnsi="Times New Roman" w:hint="eastAsia"/>
        </w:rPr>
        <w:t>。</w:t>
      </w:r>
    </w:p>
    <w:p w14:paraId="10C915BD" w14:textId="77777777" w:rsidR="009C353B" w:rsidRDefault="00000000">
      <w:pPr>
        <w:adjustRightInd w:val="0"/>
        <w:snapToGrid w:val="0"/>
        <w:spacing w:line="440" w:lineRule="exact"/>
        <w:ind w:firstLineChars="200" w:firstLine="482"/>
        <w:jc w:val="center"/>
        <w:rPr>
          <w:rFonts w:ascii="Times New Roman" w:hAnsi="Times New Roman"/>
          <w:b/>
          <w:bCs/>
        </w:rPr>
      </w:pPr>
      <w:r>
        <w:rPr>
          <w:rFonts w:ascii="Times New Roman" w:hint="eastAsia"/>
          <w:b/>
          <w:bCs/>
        </w:rPr>
        <w:t>本项目生态功能区分区特征表</w:t>
      </w:r>
    </w:p>
    <w:p w14:paraId="0D53A710" w14:textId="77777777" w:rsidR="009C353B" w:rsidRDefault="00000000">
      <w:pPr>
        <w:adjustRightInd w:val="0"/>
        <w:snapToGrid w:val="0"/>
        <w:spacing w:line="440" w:lineRule="exact"/>
        <w:rPr>
          <w:rFonts w:ascii="Times New Roman" w:hint="eastAsia"/>
        </w:rPr>
      </w:pPr>
      <w:bookmarkStart w:id="120" w:name="_Toc17976_WPSOffice_Level2"/>
      <w:r>
        <w:rPr>
          <w:rFonts w:ascii="Times New Roman" w:hint="eastAsia"/>
        </w:rPr>
        <w:t>表</w:t>
      </w:r>
      <w:r>
        <w:rPr>
          <w:rFonts w:ascii="Times New Roman" w:hint="eastAsia"/>
        </w:rPr>
        <w:t xml:space="preserve">3.4-1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1"/>
        <w:gridCol w:w="1363"/>
        <w:gridCol w:w="2657"/>
        <w:gridCol w:w="3636"/>
      </w:tblGrid>
      <w:tr w:rsidR="009C353B" w14:paraId="56EF3881" w14:textId="77777777">
        <w:trPr>
          <w:trHeight w:val="340"/>
          <w:jc w:val="center"/>
        </w:trPr>
        <w:tc>
          <w:tcPr>
            <w:tcW w:w="1591" w:type="dxa"/>
            <w:vAlign w:val="center"/>
          </w:tcPr>
          <w:p w14:paraId="5D3CDB84" w14:textId="77777777" w:rsidR="009C353B" w:rsidRDefault="00000000">
            <w:pPr>
              <w:adjustRightInd w:val="0"/>
              <w:snapToGrid w:val="0"/>
              <w:spacing w:line="240" w:lineRule="atLeast"/>
              <w:jc w:val="center"/>
              <w:rPr>
                <w:rFonts w:ascii="Times New Roman" w:hint="eastAsia"/>
                <w:bCs/>
                <w:sz w:val="21"/>
                <w:szCs w:val="21"/>
              </w:rPr>
            </w:pPr>
            <w:r>
              <w:rPr>
                <w:rFonts w:ascii="Times New Roman" w:hint="eastAsia"/>
                <w:bCs/>
                <w:sz w:val="21"/>
                <w:szCs w:val="21"/>
              </w:rPr>
              <w:t>一级区</w:t>
            </w:r>
          </w:p>
        </w:tc>
        <w:tc>
          <w:tcPr>
            <w:tcW w:w="1330" w:type="dxa"/>
            <w:vAlign w:val="center"/>
          </w:tcPr>
          <w:p w14:paraId="02BE3478" w14:textId="77777777" w:rsidR="009C353B" w:rsidRDefault="00000000">
            <w:pPr>
              <w:adjustRightInd w:val="0"/>
              <w:snapToGrid w:val="0"/>
              <w:spacing w:line="240" w:lineRule="atLeast"/>
              <w:jc w:val="center"/>
              <w:rPr>
                <w:rFonts w:ascii="Times New Roman" w:hint="eastAsia"/>
                <w:bCs/>
                <w:sz w:val="21"/>
                <w:szCs w:val="21"/>
              </w:rPr>
            </w:pPr>
            <w:r>
              <w:rPr>
                <w:rFonts w:ascii="Times New Roman" w:hint="eastAsia"/>
                <w:bCs/>
                <w:sz w:val="21"/>
                <w:szCs w:val="21"/>
              </w:rPr>
              <w:t>二级区</w:t>
            </w:r>
          </w:p>
        </w:tc>
        <w:tc>
          <w:tcPr>
            <w:tcW w:w="2592" w:type="dxa"/>
            <w:vAlign w:val="center"/>
          </w:tcPr>
          <w:p w14:paraId="55EF8714" w14:textId="77777777" w:rsidR="009C353B" w:rsidRDefault="00000000">
            <w:pPr>
              <w:adjustRightInd w:val="0"/>
              <w:snapToGrid w:val="0"/>
              <w:spacing w:line="240" w:lineRule="atLeast"/>
              <w:jc w:val="center"/>
              <w:rPr>
                <w:rFonts w:ascii="Times New Roman" w:hint="eastAsia"/>
                <w:bCs/>
                <w:sz w:val="21"/>
                <w:szCs w:val="21"/>
              </w:rPr>
            </w:pPr>
            <w:r>
              <w:rPr>
                <w:rFonts w:ascii="Times New Roman" w:hint="eastAsia"/>
                <w:bCs/>
                <w:sz w:val="21"/>
                <w:szCs w:val="21"/>
              </w:rPr>
              <w:t>功能区</w:t>
            </w:r>
          </w:p>
        </w:tc>
        <w:tc>
          <w:tcPr>
            <w:tcW w:w="3548" w:type="dxa"/>
            <w:vAlign w:val="center"/>
          </w:tcPr>
          <w:p w14:paraId="611DFFE7" w14:textId="77777777" w:rsidR="009C353B" w:rsidRDefault="00000000">
            <w:pPr>
              <w:adjustRightInd w:val="0"/>
              <w:snapToGrid w:val="0"/>
              <w:spacing w:line="240" w:lineRule="atLeast"/>
              <w:jc w:val="center"/>
              <w:rPr>
                <w:rFonts w:ascii="Times New Roman" w:hint="eastAsia"/>
                <w:bCs/>
                <w:sz w:val="21"/>
                <w:szCs w:val="21"/>
              </w:rPr>
            </w:pPr>
            <w:r>
              <w:rPr>
                <w:rFonts w:ascii="Times New Roman" w:hint="eastAsia"/>
                <w:bCs/>
                <w:sz w:val="21"/>
                <w:szCs w:val="21"/>
              </w:rPr>
              <w:t>主要生态特点</w:t>
            </w:r>
          </w:p>
        </w:tc>
      </w:tr>
      <w:tr w:rsidR="009C353B" w14:paraId="28CFF477" w14:textId="77777777">
        <w:trPr>
          <w:trHeight w:val="340"/>
          <w:jc w:val="center"/>
        </w:trPr>
        <w:tc>
          <w:tcPr>
            <w:tcW w:w="1591" w:type="dxa"/>
            <w:vMerge w:val="restart"/>
            <w:vAlign w:val="center"/>
          </w:tcPr>
          <w:p w14:paraId="325782CF" w14:textId="77777777" w:rsidR="009C353B" w:rsidRDefault="00000000">
            <w:pPr>
              <w:adjustRightInd w:val="0"/>
              <w:snapToGrid w:val="0"/>
              <w:spacing w:line="240" w:lineRule="atLeast"/>
              <w:rPr>
                <w:rFonts w:ascii="Times New Roman" w:hint="eastAsia"/>
                <w:bCs/>
                <w:sz w:val="21"/>
                <w:szCs w:val="21"/>
              </w:rPr>
            </w:pPr>
            <w:r>
              <w:rPr>
                <w:rFonts w:ascii="Times New Roman" w:hint="eastAsia"/>
                <w:bCs/>
                <w:sz w:val="21"/>
                <w:szCs w:val="21"/>
              </w:rPr>
              <w:t>宁夏中部半干旱台地、山地、平原、干旱风沙生态区</w:t>
            </w:r>
          </w:p>
        </w:tc>
        <w:tc>
          <w:tcPr>
            <w:tcW w:w="1330" w:type="dxa"/>
            <w:vMerge w:val="restart"/>
            <w:vAlign w:val="center"/>
          </w:tcPr>
          <w:p w14:paraId="6241FFC9" w14:textId="77777777" w:rsidR="009C353B" w:rsidRDefault="00000000">
            <w:pPr>
              <w:adjustRightInd w:val="0"/>
              <w:snapToGrid w:val="0"/>
              <w:spacing w:line="240" w:lineRule="atLeast"/>
              <w:rPr>
                <w:rFonts w:ascii="Times New Roman" w:hint="eastAsia"/>
                <w:bCs/>
                <w:sz w:val="21"/>
                <w:szCs w:val="21"/>
              </w:rPr>
            </w:pPr>
            <w:r>
              <w:rPr>
                <w:rFonts w:ascii="Times New Roman" w:hint="eastAsia"/>
                <w:bCs/>
                <w:sz w:val="21"/>
                <w:szCs w:val="21"/>
              </w:rPr>
              <w:t>毛乌素沙地边缘灵盐陶台地荒漠草原生态亚区</w:t>
            </w:r>
          </w:p>
        </w:tc>
        <w:tc>
          <w:tcPr>
            <w:tcW w:w="2592" w:type="dxa"/>
            <w:vAlign w:val="center"/>
          </w:tcPr>
          <w:p w14:paraId="18FEB1E4" w14:textId="77777777" w:rsidR="009C353B" w:rsidRDefault="00000000">
            <w:pPr>
              <w:adjustRightInd w:val="0"/>
              <w:snapToGrid w:val="0"/>
              <w:spacing w:line="240" w:lineRule="atLeast"/>
              <w:rPr>
                <w:rFonts w:ascii="Times New Roman" w:hint="eastAsia"/>
                <w:bCs/>
                <w:sz w:val="21"/>
                <w:szCs w:val="21"/>
              </w:rPr>
            </w:pPr>
            <w:r>
              <w:rPr>
                <w:rFonts w:ascii="Times New Roman" w:hint="eastAsia"/>
                <w:bCs/>
                <w:sz w:val="21"/>
                <w:szCs w:val="21"/>
              </w:rPr>
              <w:t>白芨滩荒漠生态系统保护生态功能区</w:t>
            </w:r>
          </w:p>
        </w:tc>
        <w:tc>
          <w:tcPr>
            <w:tcW w:w="3548" w:type="dxa"/>
            <w:vAlign w:val="center"/>
          </w:tcPr>
          <w:p w14:paraId="7DFB3292" w14:textId="77777777" w:rsidR="009C353B" w:rsidRDefault="00000000">
            <w:pPr>
              <w:adjustRightInd w:val="0"/>
              <w:snapToGrid w:val="0"/>
              <w:spacing w:line="240" w:lineRule="atLeast"/>
              <w:rPr>
                <w:rFonts w:ascii="Times New Roman" w:hint="eastAsia"/>
                <w:bCs/>
                <w:sz w:val="21"/>
                <w:szCs w:val="21"/>
              </w:rPr>
            </w:pPr>
            <w:r>
              <w:rPr>
                <w:rFonts w:ascii="Times New Roman" w:hint="eastAsia"/>
                <w:bCs/>
                <w:sz w:val="21"/>
                <w:szCs w:val="21"/>
              </w:rPr>
              <w:t>本区主要的生态问题是土地荒漠化、植被退化，主要的治理措施是以保护荒漠草原生态系统及其动植物资源等生物多样性为目标，加强对保护区内自然资源和自然环境的保护管理；搞好水土保持，提高育苗成活率。</w:t>
            </w:r>
          </w:p>
        </w:tc>
      </w:tr>
      <w:tr w:rsidR="009C353B" w14:paraId="5D8D4936" w14:textId="77777777">
        <w:trPr>
          <w:trHeight w:val="340"/>
          <w:jc w:val="center"/>
        </w:trPr>
        <w:tc>
          <w:tcPr>
            <w:tcW w:w="1591" w:type="dxa"/>
            <w:vMerge/>
            <w:vAlign w:val="center"/>
          </w:tcPr>
          <w:p w14:paraId="4CE24296" w14:textId="77777777" w:rsidR="009C353B" w:rsidRDefault="009C353B">
            <w:pPr>
              <w:adjustRightInd w:val="0"/>
              <w:snapToGrid w:val="0"/>
              <w:spacing w:line="240" w:lineRule="atLeast"/>
              <w:rPr>
                <w:rFonts w:ascii="Times New Roman" w:hint="eastAsia"/>
                <w:bCs/>
                <w:sz w:val="21"/>
                <w:szCs w:val="21"/>
              </w:rPr>
            </w:pPr>
          </w:p>
        </w:tc>
        <w:tc>
          <w:tcPr>
            <w:tcW w:w="1330" w:type="dxa"/>
            <w:vMerge/>
            <w:vAlign w:val="center"/>
          </w:tcPr>
          <w:p w14:paraId="1F2147AA" w14:textId="77777777" w:rsidR="009C353B" w:rsidRDefault="009C353B">
            <w:pPr>
              <w:adjustRightInd w:val="0"/>
              <w:snapToGrid w:val="0"/>
              <w:spacing w:line="240" w:lineRule="atLeast"/>
              <w:rPr>
                <w:rFonts w:ascii="Times New Roman" w:hint="eastAsia"/>
                <w:bCs/>
                <w:sz w:val="21"/>
                <w:szCs w:val="21"/>
              </w:rPr>
            </w:pPr>
          </w:p>
        </w:tc>
        <w:tc>
          <w:tcPr>
            <w:tcW w:w="2592" w:type="dxa"/>
            <w:vAlign w:val="center"/>
          </w:tcPr>
          <w:p w14:paraId="5AC7100F" w14:textId="77777777" w:rsidR="009C353B" w:rsidRDefault="00000000">
            <w:pPr>
              <w:adjustRightInd w:val="0"/>
              <w:snapToGrid w:val="0"/>
              <w:spacing w:line="240" w:lineRule="atLeast"/>
              <w:rPr>
                <w:rFonts w:ascii="Times New Roman" w:hint="eastAsia"/>
                <w:bCs/>
                <w:sz w:val="21"/>
                <w:szCs w:val="21"/>
              </w:rPr>
            </w:pPr>
            <w:r>
              <w:rPr>
                <w:rFonts w:ascii="Times New Roman" w:hint="eastAsia"/>
                <w:bCs/>
                <w:sz w:val="21"/>
                <w:szCs w:val="21"/>
              </w:rPr>
              <w:t>灵盐中北部防沙治沙生态功能区</w:t>
            </w:r>
          </w:p>
        </w:tc>
        <w:tc>
          <w:tcPr>
            <w:tcW w:w="3548" w:type="dxa"/>
            <w:vAlign w:val="center"/>
          </w:tcPr>
          <w:p w14:paraId="21BFFE58" w14:textId="77777777" w:rsidR="009C353B" w:rsidRDefault="00000000">
            <w:pPr>
              <w:adjustRightInd w:val="0"/>
              <w:snapToGrid w:val="0"/>
              <w:spacing w:line="240" w:lineRule="atLeast"/>
              <w:rPr>
                <w:rFonts w:ascii="Times New Roman" w:hint="eastAsia"/>
                <w:bCs/>
                <w:sz w:val="21"/>
                <w:szCs w:val="21"/>
              </w:rPr>
            </w:pPr>
            <w:r>
              <w:rPr>
                <w:rFonts w:ascii="Times New Roman" w:hint="eastAsia"/>
                <w:bCs/>
                <w:sz w:val="21"/>
                <w:szCs w:val="21"/>
              </w:rPr>
              <w:t>本区主要的生态敏感问题是土地沙化，主要的治理措施是生物措施和工程措施相结合遏制土地沙化。生物措施有仍栽培沙生植被，增加植被覆盖度，建立立体防风固沙系统，防治土地进一步沙化。</w:t>
            </w:r>
          </w:p>
        </w:tc>
      </w:tr>
    </w:tbl>
    <w:p w14:paraId="103E9541" w14:textId="77777777" w:rsidR="009C353B" w:rsidRDefault="009C353B">
      <w:pPr>
        <w:spacing w:line="440" w:lineRule="exact"/>
        <w:ind w:firstLineChars="200" w:firstLine="482"/>
        <w:rPr>
          <w:rFonts w:ascii="Times New Roman" w:hAnsi="Times New Roman"/>
          <w:b/>
          <w:szCs w:val="24"/>
        </w:rPr>
      </w:pPr>
      <w:bookmarkStart w:id="121" w:name="_Toc408312727"/>
      <w:bookmarkEnd w:id="120"/>
    </w:p>
    <w:p w14:paraId="4BF0A306" w14:textId="77777777" w:rsidR="009C353B" w:rsidRDefault="009C353B">
      <w:pPr>
        <w:spacing w:line="440" w:lineRule="exact"/>
        <w:ind w:firstLineChars="200" w:firstLine="482"/>
        <w:rPr>
          <w:rFonts w:ascii="Times New Roman" w:hAnsi="Times New Roman"/>
          <w:b/>
          <w:szCs w:val="24"/>
        </w:rPr>
      </w:pPr>
    </w:p>
    <w:p w14:paraId="69AAF0CC" w14:textId="77777777" w:rsidR="009C353B" w:rsidRDefault="00000000">
      <w:pPr>
        <w:spacing w:before="280" w:after="120" w:line="416" w:lineRule="exact"/>
        <w:outlineLvl w:val="3"/>
        <w:rPr>
          <w:rFonts w:ascii="Times New Roman" w:hAnsi="Times New Roman"/>
          <w:b/>
          <w:szCs w:val="24"/>
        </w:rPr>
      </w:pPr>
      <w:r>
        <w:rPr>
          <w:rFonts w:ascii="Times New Roman" w:hAnsi="Times New Roman" w:hint="eastAsia"/>
          <w:b/>
          <w:szCs w:val="24"/>
        </w:rPr>
        <w:t>3</w:t>
      </w:r>
      <w:r>
        <w:rPr>
          <w:rFonts w:ascii="Times New Roman" w:hAnsi="Times New Roman"/>
          <w:b/>
          <w:szCs w:val="24"/>
        </w:rPr>
        <w:t xml:space="preserve">.4.1.2 </w:t>
      </w:r>
      <w:r>
        <w:rPr>
          <w:rFonts w:ascii="Times New Roman" w:hAnsi="Times New Roman" w:hint="eastAsia"/>
          <w:b/>
          <w:szCs w:val="24"/>
        </w:rPr>
        <w:t>水土保持规划</w:t>
      </w:r>
    </w:p>
    <w:p w14:paraId="5DE4B739" w14:textId="77777777" w:rsidR="009C353B" w:rsidRDefault="00000000">
      <w:pPr>
        <w:spacing w:line="440" w:lineRule="exact"/>
        <w:ind w:firstLineChars="200" w:firstLine="480"/>
        <w:rPr>
          <w:rFonts w:ascii="Times New Roman" w:hAnsi="Times New Roman"/>
          <w:b/>
          <w:szCs w:val="24"/>
        </w:rPr>
      </w:pPr>
      <w:r>
        <w:rPr>
          <w:rFonts w:ascii="Times New Roman" w:hAnsi="Times New Roman" w:hint="eastAsia"/>
        </w:rPr>
        <w:t>根据《宁夏回族自治区水土保持规划（</w:t>
      </w:r>
      <w:r>
        <w:rPr>
          <w:rFonts w:ascii="Times New Roman" w:hAnsi="Times New Roman" w:hint="eastAsia"/>
        </w:rPr>
        <w:t>2</w:t>
      </w:r>
      <w:r>
        <w:rPr>
          <w:rFonts w:ascii="Times New Roman" w:hAnsi="Times New Roman"/>
        </w:rPr>
        <w:t>016-2030</w:t>
      </w:r>
      <w:r>
        <w:rPr>
          <w:rFonts w:ascii="Times New Roman" w:hAnsi="Times New Roman" w:hint="eastAsia"/>
        </w:rPr>
        <w:t>年）》，宁夏在全国水土保持三级区划的基础上将全区共划分为</w:t>
      </w:r>
      <w:r>
        <w:rPr>
          <w:rFonts w:ascii="Times New Roman" w:hAnsi="Times New Roman" w:hint="eastAsia"/>
        </w:rPr>
        <w:t>7</w:t>
      </w:r>
      <w:r>
        <w:rPr>
          <w:rFonts w:ascii="Times New Roman" w:hAnsi="Times New Roman" w:hint="eastAsia"/>
        </w:rPr>
        <w:t>个水土保持</w:t>
      </w:r>
      <w:r>
        <w:rPr>
          <w:rFonts w:ascii="Times New Roman" w:hAnsi="Times New Roman" w:hint="eastAsia"/>
        </w:rPr>
        <w:t>4</w:t>
      </w:r>
      <w:r>
        <w:rPr>
          <w:rFonts w:ascii="Times New Roman" w:hAnsi="Times New Roman" w:hint="eastAsia"/>
        </w:rPr>
        <w:t>级区，本项目属于“西北黄土高原区——</w:t>
      </w:r>
      <w:r>
        <w:rPr>
          <w:rFonts w:ascii="Times New Roman" w:hAnsi="Times New Roman"/>
        </w:rPr>
        <w:t>宁蒙覆沙黄土丘陵区</w:t>
      </w:r>
      <w:r>
        <w:rPr>
          <w:rFonts w:ascii="Times New Roman" w:hAnsi="Times New Roman" w:hint="eastAsia"/>
        </w:rPr>
        <w:t>——</w:t>
      </w:r>
      <w:r>
        <w:rPr>
          <w:rFonts w:ascii="Times New Roman" w:hAnsi="Times New Roman"/>
        </w:rPr>
        <w:t>宁中北丘陵平原防沙生态维护区</w:t>
      </w:r>
      <w:r>
        <w:rPr>
          <w:rFonts w:ascii="Times New Roman" w:hAnsi="Times New Roman" w:hint="eastAsia"/>
        </w:rPr>
        <w:t>——丘陵台地干旱草原风水蚀交错区”。该区域</w:t>
      </w:r>
      <w:r>
        <w:rPr>
          <w:rFonts w:ascii="Times New Roman" w:hAnsi="Times New Roman"/>
        </w:rPr>
        <w:t>生态环境脆弱，坚持封山禁牧、生态修复为主，</w:t>
      </w:r>
      <w:r>
        <w:rPr>
          <w:rFonts w:ascii="Times New Roman" w:hAnsi="Times New Roman" w:hint="eastAsia"/>
        </w:rPr>
        <w:t>适度</w:t>
      </w:r>
      <w:r>
        <w:rPr>
          <w:rFonts w:ascii="Times New Roman" w:hAnsi="Times New Roman"/>
        </w:rPr>
        <w:t>实施草原补播改良，建设草灌结合的水土保持生态工程；遵循建设小绿洲、保持大生态的原则，在扬水灌区、库井灌区发展高效节水灌溉，以小面积的开发治理，促进大面积封育保护；科学利用雨洪资源，发展引洪漫地、压砂地；加强灌区农田防护林网建设；</w:t>
      </w:r>
      <w:r>
        <w:rPr>
          <w:rFonts w:ascii="Times New Roman" w:hAnsi="Times New Roman" w:hint="eastAsia"/>
        </w:rPr>
        <w:t>耕地</w:t>
      </w:r>
      <w:r>
        <w:rPr>
          <w:rFonts w:ascii="Times New Roman" w:hAnsi="Times New Roman"/>
        </w:rPr>
        <w:t>推行少耕、免耕、留茬、草田轮作等保护性耕作措施；加强工业园区、移民迁入区、农村庄点绿化美化，改善人居环境</w:t>
      </w:r>
      <w:r>
        <w:rPr>
          <w:rFonts w:ascii="Times New Roman" w:hAnsi="Times New Roman" w:hint="eastAsia"/>
        </w:rPr>
        <w:t>。</w:t>
      </w:r>
    </w:p>
    <w:p w14:paraId="2A55DBE0" w14:textId="77777777" w:rsidR="009C353B" w:rsidRDefault="00000000">
      <w:pPr>
        <w:spacing w:before="280" w:after="120" w:line="416" w:lineRule="exact"/>
        <w:outlineLvl w:val="3"/>
        <w:rPr>
          <w:rFonts w:ascii="Times New Roman" w:hAnsi="Times New Roman"/>
          <w:b/>
          <w:szCs w:val="24"/>
        </w:rPr>
      </w:pPr>
      <w:r>
        <w:rPr>
          <w:rFonts w:ascii="Times New Roman" w:hAnsi="Times New Roman"/>
          <w:b/>
          <w:szCs w:val="24"/>
        </w:rPr>
        <w:t>3.</w:t>
      </w:r>
      <w:r>
        <w:rPr>
          <w:rFonts w:ascii="Times New Roman" w:hAnsi="Times New Roman" w:hint="eastAsia"/>
          <w:b/>
          <w:szCs w:val="24"/>
        </w:rPr>
        <w:t>4</w:t>
      </w:r>
      <w:r>
        <w:rPr>
          <w:rFonts w:ascii="Times New Roman" w:hAnsi="Times New Roman"/>
          <w:b/>
          <w:szCs w:val="24"/>
        </w:rPr>
        <w:t xml:space="preserve">.1.3 </w:t>
      </w:r>
      <w:r>
        <w:rPr>
          <w:rFonts w:ascii="Times New Roman" w:hAnsi="Times New Roman"/>
          <w:b/>
          <w:szCs w:val="24"/>
        </w:rPr>
        <w:t>评价范围</w:t>
      </w:r>
      <w:bookmarkEnd w:id="121"/>
    </w:p>
    <w:p w14:paraId="3AE0F5D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根据《环境影响评价技术导则</w:t>
      </w:r>
      <w:r>
        <w:rPr>
          <w:rFonts w:ascii="Times New Roman" w:hAnsi="Times New Roman"/>
          <w:szCs w:val="24"/>
        </w:rPr>
        <w:t xml:space="preserve"> </w:t>
      </w:r>
      <w:r>
        <w:rPr>
          <w:rFonts w:ascii="Times New Roman" w:hAnsi="Times New Roman"/>
          <w:szCs w:val="24"/>
        </w:rPr>
        <w:t>生态影响》（</w:t>
      </w:r>
      <w:r>
        <w:rPr>
          <w:rFonts w:ascii="Times New Roman" w:hAnsi="Times New Roman"/>
          <w:szCs w:val="24"/>
        </w:rPr>
        <w:t>HJ 19-2011</w:t>
      </w:r>
      <w:r>
        <w:rPr>
          <w:rFonts w:ascii="Times New Roman" w:hAnsi="Times New Roman"/>
          <w:szCs w:val="24"/>
        </w:rPr>
        <w:t>）的要求，考虑生态系统完整性及生态影响的联动关系，根据当地地貌特征、区域特点、土地利用与生态功能分区，结合矿区开发对生态环境的影响特征，确定评价范围为矿区外扩</w:t>
      </w:r>
      <w:r>
        <w:rPr>
          <w:rFonts w:ascii="Times New Roman" w:hAnsi="Times New Roman" w:hint="eastAsia"/>
          <w:szCs w:val="24"/>
        </w:rPr>
        <w:t>3</w:t>
      </w:r>
      <w:r>
        <w:rPr>
          <w:rFonts w:ascii="Times New Roman" w:hAnsi="Times New Roman"/>
          <w:szCs w:val="24"/>
        </w:rPr>
        <w:t>km</w:t>
      </w:r>
      <w:r>
        <w:rPr>
          <w:rFonts w:ascii="Times New Roman" w:hAnsi="Times New Roman"/>
          <w:szCs w:val="24"/>
        </w:rPr>
        <w:t>，面积为</w:t>
      </w:r>
      <w:r>
        <w:rPr>
          <w:rFonts w:ascii="Times New Roman" w:hAnsi="Times New Roman" w:hint="eastAsia"/>
          <w:szCs w:val="24"/>
        </w:rPr>
        <w:t>314.10</w:t>
      </w:r>
      <w:r>
        <w:rPr>
          <w:rFonts w:ascii="Times New Roman" w:hAnsi="Times New Roman"/>
          <w:szCs w:val="24"/>
        </w:rPr>
        <w:t>km</w:t>
      </w:r>
      <w:r>
        <w:rPr>
          <w:rFonts w:ascii="Times New Roman" w:hAnsi="Times New Roman"/>
          <w:szCs w:val="24"/>
          <w:vertAlign w:val="superscript"/>
        </w:rPr>
        <w:t>2</w:t>
      </w:r>
      <w:r>
        <w:rPr>
          <w:rFonts w:ascii="Times New Roman" w:hAnsi="Times New Roman"/>
          <w:szCs w:val="24"/>
        </w:rPr>
        <w:t>。</w:t>
      </w:r>
    </w:p>
    <w:p w14:paraId="63452927" w14:textId="77777777" w:rsidR="009C353B" w:rsidRDefault="00000000">
      <w:pPr>
        <w:pStyle w:val="third"/>
        <w:adjustRightInd w:val="0"/>
        <w:snapToGrid w:val="0"/>
        <w:spacing w:before="0" w:after="0" w:line="440" w:lineRule="exact"/>
        <w:rPr>
          <w:rFonts w:ascii="Times New Roman" w:hAnsi="Times New Roman"/>
        </w:rPr>
      </w:pPr>
      <w:bookmarkStart w:id="122" w:name="_Toc303443094"/>
      <w:bookmarkStart w:id="123" w:name="_Toc279866263"/>
      <w:bookmarkStart w:id="124" w:name="_Toc279840279"/>
      <w:bookmarkStart w:id="125" w:name="_Toc279840169"/>
      <w:r>
        <w:rPr>
          <w:rFonts w:ascii="Times New Roman" w:hAnsi="Times New Roman"/>
        </w:rPr>
        <w:t>3.4.</w:t>
      </w:r>
      <w:r>
        <w:rPr>
          <w:rFonts w:ascii="Times New Roman" w:hAnsi="Times New Roman" w:hint="eastAsia"/>
        </w:rPr>
        <w:t>2</w:t>
      </w:r>
      <w:r>
        <w:rPr>
          <w:rFonts w:ascii="Times New Roman" w:hAnsi="Times New Roman"/>
        </w:rPr>
        <w:t xml:space="preserve"> </w:t>
      </w:r>
      <w:r>
        <w:rPr>
          <w:rFonts w:ascii="Times New Roman" w:hAnsi="Times New Roman"/>
        </w:rPr>
        <w:t>现状调查</w:t>
      </w:r>
      <w:bookmarkEnd w:id="122"/>
      <w:bookmarkEnd w:id="123"/>
      <w:bookmarkEnd w:id="124"/>
      <w:bookmarkEnd w:id="125"/>
    </w:p>
    <w:p w14:paraId="6F489F65" w14:textId="77777777" w:rsidR="009C353B" w:rsidRDefault="00000000">
      <w:pPr>
        <w:spacing w:line="440" w:lineRule="exact"/>
        <w:ind w:firstLineChars="200" w:firstLine="482"/>
        <w:rPr>
          <w:rFonts w:ascii="Times New Roman" w:hAnsi="Times New Roman"/>
          <w:b/>
          <w:bCs/>
          <w:szCs w:val="24"/>
        </w:rPr>
      </w:pPr>
      <w:r>
        <w:rPr>
          <w:rFonts w:ascii="Times New Roman" w:hAnsi="Times New Roman"/>
          <w:b/>
          <w:bCs/>
          <w:szCs w:val="24"/>
        </w:rPr>
        <w:t>（</w:t>
      </w:r>
      <w:r>
        <w:rPr>
          <w:rFonts w:ascii="Times New Roman" w:hAnsi="Times New Roman"/>
          <w:b/>
          <w:bCs/>
          <w:szCs w:val="24"/>
        </w:rPr>
        <w:t>1</w:t>
      </w:r>
      <w:r>
        <w:rPr>
          <w:rFonts w:ascii="Times New Roman" w:hAnsi="Times New Roman"/>
          <w:b/>
          <w:bCs/>
          <w:szCs w:val="24"/>
        </w:rPr>
        <w:t>）基础信息数据收集</w:t>
      </w:r>
    </w:p>
    <w:p w14:paraId="5017EAE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基础信息包括如下三个方面：</w:t>
      </w:r>
    </w:p>
    <w:p w14:paraId="409BEB59"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1</w:t>
      </w:r>
      <w:r>
        <w:rPr>
          <w:rFonts w:ascii="Times New Roman" w:hAnsi="Times New Roman"/>
          <w:szCs w:val="24"/>
        </w:rPr>
        <w:t>）自然环境要素：地质、地貌、气候、水文、土壤、植被等方面。</w:t>
      </w:r>
    </w:p>
    <w:p w14:paraId="38A0951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2</w:t>
      </w:r>
      <w:r>
        <w:rPr>
          <w:rFonts w:ascii="Times New Roman" w:hAnsi="Times New Roman"/>
          <w:szCs w:val="24"/>
        </w:rPr>
        <w:t>）社会经济条件：人口、经济发展、产业布局等方面。</w:t>
      </w:r>
    </w:p>
    <w:p w14:paraId="0384727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3</w:t>
      </w:r>
      <w:r>
        <w:rPr>
          <w:rFonts w:ascii="Times New Roman" w:hAnsi="Times New Roman"/>
          <w:szCs w:val="24"/>
        </w:rPr>
        <w:t>）人类活动及其影响：土地利用、城镇分布、污染物排放、环境质量状况等方面。</w:t>
      </w:r>
    </w:p>
    <w:p w14:paraId="0B271FC9" w14:textId="77777777" w:rsidR="009C353B" w:rsidRDefault="00000000">
      <w:pPr>
        <w:adjustRightInd w:val="0"/>
        <w:snapToGrid w:val="0"/>
        <w:spacing w:line="440" w:lineRule="exact"/>
        <w:ind w:firstLine="482"/>
        <w:rPr>
          <w:rFonts w:hint="eastAsia"/>
          <w:b/>
          <w:szCs w:val="24"/>
        </w:rPr>
      </w:pPr>
      <w:r>
        <w:rPr>
          <w:b/>
          <w:szCs w:val="24"/>
        </w:rPr>
        <w:t>（2）遥感数据源的选择与解译</w:t>
      </w:r>
    </w:p>
    <w:p w14:paraId="76FB277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解译使用的信息源为</w:t>
      </w:r>
      <w:r>
        <w:rPr>
          <w:rFonts w:ascii="Times New Roman" w:hAnsi="Times New Roman" w:hint="eastAsia"/>
          <w:szCs w:val="24"/>
        </w:rPr>
        <w:t>资源三号</w:t>
      </w:r>
      <w:r>
        <w:rPr>
          <w:rFonts w:ascii="Times New Roman" w:hAnsi="Times New Roman" w:hint="eastAsia"/>
          <w:szCs w:val="24"/>
        </w:rPr>
        <w:t>02</w:t>
      </w:r>
      <w:r>
        <w:rPr>
          <w:rFonts w:ascii="Times New Roman" w:hAnsi="Times New Roman" w:hint="eastAsia"/>
          <w:szCs w:val="24"/>
        </w:rPr>
        <w:t>星</w:t>
      </w:r>
      <w:r>
        <w:rPr>
          <w:rFonts w:ascii="Times New Roman" w:hAnsi="Times New Roman"/>
          <w:szCs w:val="24"/>
        </w:rPr>
        <w:t>获取的遥感影像，全色波段空间分辨率</w:t>
      </w:r>
      <w:r>
        <w:rPr>
          <w:rFonts w:ascii="Times New Roman" w:hAnsi="Times New Roman" w:hint="eastAsia"/>
          <w:szCs w:val="24"/>
        </w:rPr>
        <w:t>2.</w:t>
      </w:r>
      <w:r>
        <w:rPr>
          <w:rFonts w:ascii="Times New Roman" w:hAnsi="Times New Roman"/>
          <w:szCs w:val="24"/>
        </w:rPr>
        <w:t>1m</w:t>
      </w:r>
      <w:r>
        <w:rPr>
          <w:rFonts w:ascii="Times New Roman" w:hAnsi="Times New Roman"/>
          <w:szCs w:val="24"/>
        </w:rPr>
        <w:t>，多光谱波段空间分辨率</w:t>
      </w:r>
      <w:r>
        <w:rPr>
          <w:rFonts w:ascii="Times New Roman" w:hAnsi="Times New Roman"/>
          <w:szCs w:val="24"/>
        </w:rPr>
        <w:t>5.8m</w:t>
      </w:r>
      <w:r>
        <w:rPr>
          <w:rFonts w:ascii="Times New Roman" w:hAnsi="Times New Roman"/>
          <w:szCs w:val="24"/>
        </w:rPr>
        <w:t>。数据获取时间为</w:t>
      </w:r>
      <w:r>
        <w:rPr>
          <w:rFonts w:ascii="Times New Roman" w:hAnsi="Times New Roman"/>
          <w:szCs w:val="24"/>
        </w:rPr>
        <w:t>201</w:t>
      </w:r>
      <w:r>
        <w:rPr>
          <w:rFonts w:ascii="Times New Roman" w:hAnsi="Times New Roman" w:hint="eastAsia"/>
          <w:szCs w:val="24"/>
        </w:rPr>
        <w:t>9</w:t>
      </w:r>
      <w:r>
        <w:rPr>
          <w:rFonts w:ascii="Times New Roman" w:hAnsi="Times New Roman"/>
          <w:szCs w:val="24"/>
        </w:rPr>
        <w:t>年</w:t>
      </w:r>
      <w:r>
        <w:rPr>
          <w:rFonts w:ascii="Times New Roman" w:hAnsi="Times New Roman"/>
          <w:szCs w:val="24"/>
        </w:rPr>
        <w:t>7</w:t>
      </w:r>
      <w:r>
        <w:rPr>
          <w:rFonts w:ascii="Times New Roman" w:hAnsi="Times New Roman"/>
          <w:szCs w:val="24"/>
        </w:rPr>
        <w:t>月</w:t>
      </w:r>
      <w:r>
        <w:rPr>
          <w:rFonts w:ascii="Times New Roman" w:hAnsi="Times New Roman"/>
          <w:szCs w:val="24"/>
        </w:rPr>
        <w:t>26</w:t>
      </w:r>
      <w:r>
        <w:rPr>
          <w:rFonts w:ascii="Times New Roman" w:hAnsi="Times New Roman"/>
          <w:szCs w:val="24"/>
        </w:rPr>
        <w:t>日，选取这一时间段遥感数据，主要考虑该时间段地表信息相对丰富，有利于对各生态环境因子的读判。</w:t>
      </w:r>
      <w:r>
        <w:rPr>
          <w:rFonts w:ascii="Times New Roman" w:hAnsi="Times New Roman" w:hint="eastAsia"/>
          <w:szCs w:val="24"/>
        </w:rPr>
        <w:t>资源三号</w:t>
      </w:r>
      <w:r>
        <w:rPr>
          <w:rFonts w:ascii="Times New Roman" w:hAnsi="Times New Roman" w:hint="eastAsia"/>
          <w:szCs w:val="24"/>
        </w:rPr>
        <w:t>02</w:t>
      </w:r>
      <w:r>
        <w:rPr>
          <w:rFonts w:ascii="Times New Roman" w:hAnsi="Times New Roman" w:hint="eastAsia"/>
          <w:szCs w:val="24"/>
        </w:rPr>
        <w:t>星</w:t>
      </w:r>
      <w:r>
        <w:rPr>
          <w:rFonts w:ascii="Times New Roman" w:hAnsi="Times New Roman"/>
          <w:szCs w:val="24"/>
        </w:rPr>
        <w:t>影像各谱段具体用途见表</w:t>
      </w:r>
      <w:r>
        <w:rPr>
          <w:rFonts w:ascii="Times New Roman" w:hAnsi="Times New Roman"/>
          <w:szCs w:val="24"/>
        </w:rPr>
        <w:t>3.</w:t>
      </w:r>
      <w:r>
        <w:rPr>
          <w:rFonts w:ascii="Times New Roman" w:hAnsi="Times New Roman" w:hint="eastAsia"/>
          <w:szCs w:val="24"/>
        </w:rPr>
        <w:t>4</w:t>
      </w:r>
      <w:r>
        <w:rPr>
          <w:rFonts w:ascii="Times New Roman" w:hAnsi="Times New Roman"/>
          <w:szCs w:val="24"/>
        </w:rPr>
        <w:t>-</w:t>
      </w:r>
      <w:r>
        <w:rPr>
          <w:rFonts w:ascii="Times New Roman" w:hAnsi="Times New Roman" w:hint="eastAsia"/>
          <w:szCs w:val="24"/>
        </w:rPr>
        <w:t>2</w:t>
      </w:r>
      <w:r>
        <w:rPr>
          <w:rFonts w:ascii="Times New Roman" w:hAnsi="Times New Roman"/>
          <w:szCs w:val="24"/>
        </w:rPr>
        <w:t>。</w:t>
      </w:r>
    </w:p>
    <w:p w14:paraId="1C265BC6"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地面调查主要采取以实地调查为主，普查、详查相结合的方法。实地调查掌握项目区范围内自然生态环境的基本情况，特别是荒漠植被的类型及分布状况。通过对技术人员、政府管理部门等访问调查，了解生态现状以及近几年各种因素的变化、水土流失严重程度、生态环境建设的规划与设想等。</w:t>
      </w:r>
    </w:p>
    <w:p w14:paraId="069B7680"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现场调查在实地调查的基础上，结合卫星影像图，取得植被组成、土地利用现状、地形地貌、土壤性质等第一手资料，经与自然资源局等有关部门核对，再次实地调查与补充，最后利用</w:t>
      </w:r>
      <w:r>
        <w:rPr>
          <w:rFonts w:ascii="Times New Roman" w:hAnsi="Times New Roman" w:hint="eastAsia"/>
          <w:szCs w:val="24"/>
        </w:rPr>
        <w:t>GIS</w:t>
      </w:r>
      <w:r>
        <w:rPr>
          <w:rFonts w:ascii="Times New Roman" w:hAnsi="Times New Roman"/>
          <w:szCs w:val="24"/>
        </w:rPr>
        <w:t>软件绘制评价区相关生态图件和数据统计表。</w:t>
      </w:r>
    </w:p>
    <w:p w14:paraId="151DCF7D" w14:textId="77777777" w:rsidR="009C353B" w:rsidRDefault="00000000">
      <w:pPr>
        <w:spacing w:line="529" w:lineRule="exact"/>
        <w:jc w:val="center"/>
        <w:rPr>
          <w:rFonts w:ascii="Times New Roman" w:hAnsi="Times New Roman"/>
          <w:b/>
          <w:bCs/>
          <w:kern w:val="24"/>
          <w:szCs w:val="24"/>
        </w:rPr>
      </w:pPr>
      <w:r>
        <w:rPr>
          <w:rFonts w:ascii="Times New Roman" w:hAnsi="Times New Roman" w:hint="eastAsia"/>
          <w:b/>
          <w:szCs w:val="24"/>
        </w:rPr>
        <w:t>资源三号</w:t>
      </w:r>
      <w:r>
        <w:rPr>
          <w:rFonts w:ascii="Times New Roman" w:hAnsi="Times New Roman" w:hint="eastAsia"/>
          <w:b/>
          <w:szCs w:val="24"/>
        </w:rPr>
        <w:t>02</w:t>
      </w:r>
      <w:r>
        <w:rPr>
          <w:rFonts w:ascii="Times New Roman" w:hAnsi="Times New Roman" w:hint="eastAsia"/>
          <w:b/>
          <w:szCs w:val="24"/>
        </w:rPr>
        <w:t>星</w:t>
      </w:r>
      <w:r>
        <w:rPr>
          <w:rFonts w:ascii="Times New Roman" w:hAnsi="Times New Roman"/>
          <w:b/>
          <w:szCs w:val="24"/>
        </w:rPr>
        <w:t>影像各谱段具体用途表</w:t>
      </w:r>
    </w:p>
    <w:p w14:paraId="33ADB0B9" w14:textId="77777777" w:rsidR="009C353B" w:rsidRDefault="00000000">
      <w:pPr>
        <w:outlineLvl w:val="4"/>
        <w:rPr>
          <w:rFonts w:ascii="Times New Roman" w:hAnsi="Times New Roman"/>
          <w:szCs w:val="24"/>
        </w:rPr>
      </w:pPr>
      <w:r>
        <w:rPr>
          <w:rFonts w:ascii="Times New Roman" w:hAnsi="Times New Roman"/>
          <w:szCs w:val="24"/>
        </w:rPr>
        <w:t>表</w:t>
      </w:r>
      <w:r>
        <w:rPr>
          <w:rFonts w:ascii="Times New Roman" w:hAnsi="Times New Roman"/>
          <w:szCs w:val="24"/>
        </w:rPr>
        <w:t>3.</w:t>
      </w:r>
      <w:r>
        <w:rPr>
          <w:rFonts w:ascii="Times New Roman" w:hAnsi="Times New Roman" w:hint="eastAsia"/>
          <w:szCs w:val="24"/>
        </w:rPr>
        <w:t>4</w:t>
      </w:r>
      <w:r>
        <w:rPr>
          <w:rFonts w:ascii="Times New Roman" w:hAnsi="Times New Roman"/>
          <w:szCs w:val="24"/>
        </w:rPr>
        <w:t>-</w:t>
      </w:r>
      <w:r>
        <w:rPr>
          <w:rFonts w:ascii="Times New Roman" w:hAnsi="Times New Roman" w:hint="eastAsia"/>
          <w:szCs w:val="24"/>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5"/>
        <w:gridCol w:w="1172"/>
        <w:gridCol w:w="5730"/>
      </w:tblGrid>
      <w:tr w:rsidR="009C353B" w14:paraId="437E6115" w14:textId="77777777">
        <w:trPr>
          <w:trHeight w:val="397"/>
          <w:jc w:val="center"/>
        </w:trPr>
        <w:tc>
          <w:tcPr>
            <w:tcW w:w="1284" w:type="pct"/>
            <w:vAlign w:val="center"/>
          </w:tcPr>
          <w:p w14:paraId="29617988" w14:textId="77777777" w:rsidR="009C353B" w:rsidRDefault="00000000">
            <w:pPr>
              <w:jc w:val="center"/>
              <w:rPr>
                <w:rFonts w:ascii="Times New Roman" w:hAnsi="Times New Roman"/>
                <w:sz w:val="21"/>
                <w:szCs w:val="21"/>
              </w:rPr>
            </w:pPr>
            <w:r>
              <w:rPr>
                <w:rFonts w:ascii="Times New Roman" w:hAnsi="Times New Roman"/>
                <w:bCs/>
                <w:sz w:val="21"/>
                <w:szCs w:val="21"/>
              </w:rPr>
              <w:t>波</w:t>
            </w:r>
            <w:r>
              <w:rPr>
                <w:rFonts w:ascii="Times New Roman" w:hAnsi="Times New Roman"/>
                <w:bCs/>
                <w:sz w:val="21"/>
                <w:szCs w:val="21"/>
              </w:rPr>
              <w:t xml:space="preserve"> </w:t>
            </w:r>
            <w:r>
              <w:rPr>
                <w:rFonts w:ascii="Times New Roman" w:hAnsi="Times New Roman"/>
                <w:bCs/>
                <w:sz w:val="21"/>
                <w:szCs w:val="21"/>
              </w:rPr>
              <w:t>段</w:t>
            </w:r>
          </w:p>
        </w:tc>
        <w:tc>
          <w:tcPr>
            <w:tcW w:w="631" w:type="pct"/>
            <w:vAlign w:val="center"/>
          </w:tcPr>
          <w:p w14:paraId="1B802575" w14:textId="77777777" w:rsidR="009C353B" w:rsidRDefault="00000000">
            <w:pPr>
              <w:jc w:val="center"/>
              <w:rPr>
                <w:rFonts w:ascii="Times New Roman" w:hAnsi="Times New Roman"/>
                <w:bCs/>
                <w:sz w:val="21"/>
                <w:szCs w:val="21"/>
              </w:rPr>
            </w:pPr>
            <w:r>
              <w:rPr>
                <w:rFonts w:ascii="Times New Roman" w:hAnsi="Times New Roman"/>
                <w:bCs/>
                <w:sz w:val="21"/>
                <w:szCs w:val="21"/>
              </w:rPr>
              <w:t>分辨率</w:t>
            </w:r>
          </w:p>
        </w:tc>
        <w:tc>
          <w:tcPr>
            <w:tcW w:w="3085" w:type="pct"/>
            <w:vAlign w:val="center"/>
          </w:tcPr>
          <w:p w14:paraId="1E29C52F" w14:textId="77777777" w:rsidR="009C353B" w:rsidRDefault="00000000">
            <w:pPr>
              <w:jc w:val="center"/>
              <w:rPr>
                <w:rFonts w:ascii="Times New Roman" w:hAnsi="Times New Roman"/>
                <w:bCs/>
                <w:sz w:val="21"/>
                <w:szCs w:val="21"/>
              </w:rPr>
            </w:pPr>
            <w:r>
              <w:rPr>
                <w:rFonts w:ascii="Times New Roman" w:hAnsi="Times New Roman"/>
                <w:bCs/>
                <w:sz w:val="21"/>
                <w:szCs w:val="21"/>
              </w:rPr>
              <w:t>功</w:t>
            </w:r>
            <w:r>
              <w:rPr>
                <w:rFonts w:ascii="Times New Roman" w:hAnsi="Times New Roman"/>
                <w:bCs/>
                <w:sz w:val="21"/>
                <w:szCs w:val="21"/>
              </w:rPr>
              <w:t xml:space="preserve">  </w:t>
            </w:r>
            <w:r>
              <w:rPr>
                <w:rFonts w:ascii="Times New Roman" w:hAnsi="Times New Roman"/>
                <w:bCs/>
                <w:sz w:val="21"/>
                <w:szCs w:val="21"/>
              </w:rPr>
              <w:t>能</w:t>
            </w:r>
          </w:p>
        </w:tc>
      </w:tr>
      <w:tr w:rsidR="009C353B" w14:paraId="0B99D84F" w14:textId="77777777">
        <w:trPr>
          <w:trHeight w:val="397"/>
          <w:jc w:val="center"/>
        </w:trPr>
        <w:tc>
          <w:tcPr>
            <w:tcW w:w="1284" w:type="pct"/>
            <w:vAlign w:val="center"/>
          </w:tcPr>
          <w:p w14:paraId="625F47A1" w14:textId="77777777" w:rsidR="009C353B" w:rsidRDefault="00000000">
            <w:pPr>
              <w:jc w:val="center"/>
              <w:rPr>
                <w:rFonts w:ascii="Times New Roman" w:hAnsi="Times New Roman"/>
                <w:sz w:val="21"/>
                <w:szCs w:val="21"/>
              </w:rPr>
            </w:pPr>
            <w:r>
              <w:rPr>
                <w:rFonts w:ascii="Times New Roman" w:hAnsi="Times New Roman" w:hint="eastAsia"/>
                <w:sz w:val="21"/>
                <w:szCs w:val="21"/>
              </w:rPr>
              <w:t>Pan1</w:t>
            </w:r>
            <w:r>
              <w:rPr>
                <w:rFonts w:ascii="Times New Roman" w:hAnsi="Times New Roman"/>
                <w:sz w:val="21"/>
                <w:szCs w:val="21"/>
              </w:rPr>
              <w:t>：</w:t>
            </w:r>
            <w:r>
              <w:rPr>
                <w:rFonts w:ascii="Times New Roman" w:hAnsi="Times New Roman" w:hint="eastAsia"/>
                <w:sz w:val="21"/>
                <w:szCs w:val="21"/>
              </w:rPr>
              <w:t>450-800</w:t>
            </w:r>
            <w:r>
              <w:rPr>
                <w:rFonts w:ascii="Times New Roman" w:hAnsi="Times New Roman"/>
                <w:sz w:val="21"/>
                <w:szCs w:val="21"/>
              </w:rPr>
              <w:t>nm</w:t>
            </w:r>
          </w:p>
        </w:tc>
        <w:tc>
          <w:tcPr>
            <w:tcW w:w="631" w:type="pct"/>
            <w:vAlign w:val="center"/>
          </w:tcPr>
          <w:p w14:paraId="7C4BE5FE" w14:textId="77777777" w:rsidR="009C353B" w:rsidRDefault="00000000">
            <w:pPr>
              <w:jc w:val="center"/>
              <w:rPr>
                <w:rFonts w:ascii="Times New Roman" w:hAnsi="Times New Roman"/>
                <w:sz w:val="21"/>
                <w:szCs w:val="21"/>
              </w:rPr>
            </w:pPr>
            <w:r>
              <w:rPr>
                <w:rFonts w:ascii="Times New Roman" w:hAnsi="Times New Roman"/>
                <w:sz w:val="21"/>
                <w:szCs w:val="21"/>
              </w:rPr>
              <w:t>2</w:t>
            </w:r>
            <w:r>
              <w:rPr>
                <w:rFonts w:ascii="Times New Roman" w:hAnsi="Times New Roman" w:hint="eastAsia"/>
                <w:sz w:val="21"/>
                <w:szCs w:val="21"/>
              </w:rPr>
              <w:t>.1</w:t>
            </w:r>
            <w:r>
              <w:rPr>
                <w:rFonts w:ascii="Times New Roman" w:hAnsi="Times New Roman"/>
                <w:sz w:val="21"/>
                <w:szCs w:val="21"/>
              </w:rPr>
              <w:t>m</w:t>
            </w:r>
          </w:p>
        </w:tc>
        <w:tc>
          <w:tcPr>
            <w:tcW w:w="3085" w:type="pct"/>
            <w:vAlign w:val="center"/>
          </w:tcPr>
          <w:p w14:paraId="06C340CE" w14:textId="77777777" w:rsidR="009C353B" w:rsidRDefault="00000000">
            <w:pPr>
              <w:jc w:val="left"/>
              <w:rPr>
                <w:rFonts w:ascii="Times New Roman" w:hAnsi="Times New Roman"/>
                <w:sz w:val="21"/>
                <w:szCs w:val="21"/>
              </w:rPr>
            </w:pPr>
            <w:r>
              <w:rPr>
                <w:rFonts w:ascii="Times New Roman" w:hAnsi="Times New Roman"/>
                <w:sz w:val="21"/>
                <w:szCs w:val="21"/>
              </w:rPr>
              <w:t>几何制图</w:t>
            </w:r>
          </w:p>
        </w:tc>
      </w:tr>
      <w:tr w:rsidR="009C353B" w14:paraId="00CA7F89" w14:textId="77777777">
        <w:trPr>
          <w:trHeight w:val="397"/>
          <w:jc w:val="center"/>
        </w:trPr>
        <w:tc>
          <w:tcPr>
            <w:tcW w:w="1284" w:type="pct"/>
            <w:vAlign w:val="center"/>
          </w:tcPr>
          <w:p w14:paraId="280C0E64" w14:textId="77777777" w:rsidR="009C353B" w:rsidRDefault="00000000">
            <w:pPr>
              <w:jc w:val="center"/>
              <w:rPr>
                <w:rFonts w:ascii="Times New Roman" w:hAnsi="Times New Roman"/>
                <w:sz w:val="21"/>
                <w:szCs w:val="21"/>
              </w:rPr>
            </w:pPr>
            <w:r>
              <w:rPr>
                <w:rFonts w:ascii="Times New Roman" w:hAnsi="Times New Roman"/>
                <w:sz w:val="21"/>
                <w:szCs w:val="21"/>
              </w:rPr>
              <w:t>Band1</w:t>
            </w:r>
            <w:r>
              <w:rPr>
                <w:rFonts w:ascii="Times New Roman" w:hAnsi="Times New Roman"/>
                <w:sz w:val="21"/>
                <w:szCs w:val="21"/>
              </w:rPr>
              <w:t>：</w:t>
            </w:r>
            <w:r>
              <w:rPr>
                <w:rFonts w:ascii="Times New Roman" w:hAnsi="Times New Roman" w:hint="eastAsia"/>
                <w:sz w:val="21"/>
                <w:szCs w:val="21"/>
              </w:rPr>
              <w:t>4</w:t>
            </w:r>
            <w:r>
              <w:rPr>
                <w:rFonts w:ascii="Times New Roman" w:hAnsi="Times New Roman"/>
                <w:sz w:val="21"/>
                <w:szCs w:val="21"/>
              </w:rPr>
              <w:t>50-520m</w:t>
            </w:r>
          </w:p>
        </w:tc>
        <w:tc>
          <w:tcPr>
            <w:tcW w:w="631" w:type="pct"/>
            <w:vAlign w:val="center"/>
          </w:tcPr>
          <w:p w14:paraId="7190D4F0"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8m</w:t>
            </w:r>
          </w:p>
        </w:tc>
        <w:tc>
          <w:tcPr>
            <w:tcW w:w="3085" w:type="pct"/>
            <w:vAlign w:val="center"/>
          </w:tcPr>
          <w:p w14:paraId="5C45E762" w14:textId="77777777" w:rsidR="009C353B" w:rsidRDefault="00000000">
            <w:pPr>
              <w:jc w:val="left"/>
              <w:rPr>
                <w:rFonts w:ascii="Times New Roman" w:hAnsi="Times New Roman"/>
                <w:sz w:val="21"/>
                <w:szCs w:val="21"/>
              </w:rPr>
            </w:pPr>
            <w:r>
              <w:rPr>
                <w:rFonts w:ascii="Times New Roman" w:hAnsi="Times New Roman"/>
                <w:sz w:val="21"/>
                <w:szCs w:val="21"/>
              </w:rPr>
              <w:t>绘制水系图和森林图，识别土壤和常绿、落叶植被</w:t>
            </w:r>
          </w:p>
        </w:tc>
      </w:tr>
      <w:tr w:rsidR="009C353B" w14:paraId="6FD0E484" w14:textId="77777777">
        <w:trPr>
          <w:trHeight w:val="397"/>
          <w:jc w:val="center"/>
        </w:trPr>
        <w:tc>
          <w:tcPr>
            <w:tcW w:w="1284" w:type="pct"/>
            <w:vAlign w:val="center"/>
          </w:tcPr>
          <w:p w14:paraId="738B5194" w14:textId="77777777" w:rsidR="009C353B" w:rsidRDefault="00000000">
            <w:pPr>
              <w:jc w:val="center"/>
              <w:rPr>
                <w:rFonts w:ascii="Times New Roman" w:hAnsi="Times New Roman"/>
                <w:sz w:val="21"/>
                <w:szCs w:val="21"/>
              </w:rPr>
            </w:pPr>
            <w:r>
              <w:rPr>
                <w:rFonts w:ascii="Times New Roman" w:hAnsi="Times New Roman"/>
                <w:sz w:val="21"/>
                <w:szCs w:val="21"/>
              </w:rPr>
              <w:t>Band2</w:t>
            </w:r>
            <w:r>
              <w:rPr>
                <w:rFonts w:ascii="Times New Roman" w:hAnsi="Times New Roman"/>
                <w:sz w:val="21"/>
                <w:szCs w:val="21"/>
              </w:rPr>
              <w:t>：</w:t>
            </w:r>
            <w:r>
              <w:rPr>
                <w:rFonts w:ascii="Times New Roman" w:hAnsi="Times New Roman" w:hint="eastAsia"/>
                <w:sz w:val="21"/>
                <w:szCs w:val="21"/>
              </w:rPr>
              <w:t>5</w:t>
            </w:r>
            <w:r>
              <w:rPr>
                <w:rFonts w:ascii="Times New Roman" w:hAnsi="Times New Roman"/>
                <w:sz w:val="21"/>
                <w:szCs w:val="21"/>
              </w:rPr>
              <w:t>20-590m</w:t>
            </w:r>
          </w:p>
        </w:tc>
        <w:tc>
          <w:tcPr>
            <w:tcW w:w="631" w:type="pct"/>
            <w:vAlign w:val="center"/>
          </w:tcPr>
          <w:p w14:paraId="42C59E6A"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8m</w:t>
            </w:r>
          </w:p>
        </w:tc>
        <w:tc>
          <w:tcPr>
            <w:tcW w:w="3085" w:type="pct"/>
            <w:vAlign w:val="center"/>
          </w:tcPr>
          <w:p w14:paraId="325B336F" w14:textId="77777777" w:rsidR="009C353B" w:rsidRDefault="00000000">
            <w:pPr>
              <w:jc w:val="left"/>
              <w:rPr>
                <w:rFonts w:ascii="Times New Roman" w:hAnsi="Times New Roman"/>
                <w:sz w:val="21"/>
                <w:szCs w:val="21"/>
              </w:rPr>
            </w:pPr>
            <w:r>
              <w:rPr>
                <w:rFonts w:ascii="Times New Roman" w:hAnsi="Times New Roman"/>
                <w:sz w:val="21"/>
                <w:szCs w:val="21"/>
              </w:rPr>
              <w:t>探测健康植物绿色反射率和反映水下特征</w:t>
            </w:r>
          </w:p>
        </w:tc>
      </w:tr>
      <w:tr w:rsidR="009C353B" w14:paraId="43CC1DF5" w14:textId="77777777">
        <w:trPr>
          <w:trHeight w:val="397"/>
          <w:jc w:val="center"/>
        </w:trPr>
        <w:tc>
          <w:tcPr>
            <w:tcW w:w="1284" w:type="pct"/>
            <w:vAlign w:val="center"/>
          </w:tcPr>
          <w:p w14:paraId="3BDB88D3" w14:textId="77777777" w:rsidR="009C353B" w:rsidRDefault="00000000">
            <w:pPr>
              <w:jc w:val="center"/>
              <w:rPr>
                <w:rFonts w:ascii="Times New Roman" w:hAnsi="Times New Roman"/>
                <w:sz w:val="21"/>
                <w:szCs w:val="21"/>
              </w:rPr>
            </w:pPr>
            <w:r>
              <w:rPr>
                <w:rFonts w:ascii="Times New Roman" w:hAnsi="Times New Roman"/>
                <w:sz w:val="21"/>
                <w:szCs w:val="21"/>
              </w:rPr>
              <w:t>Band3</w:t>
            </w:r>
            <w:r>
              <w:rPr>
                <w:rFonts w:ascii="Times New Roman" w:hAnsi="Times New Roman" w:hint="eastAsia"/>
                <w:sz w:val="21"/>
                <w:szCs w:val="21"/>
              </w:rPr>
              <w:t>：</w:t>
            </w:r>
            <w:r>
              <w:rPr>
                <w:rFonts w:ascii="Times New Roman" w:hAnsi="Times New Roman" w:hint="eastAsia"/>
                <w:sz w:val="21"/>
                <w:szCs w:val="21"/>
              </w:rPr>
              <w:t>6</w:t>
            </w:r>
            <w:r>
              <w:rPr>
                <w:rFonts w:ascii="Times New Roman" w:hAnsi="Times New Roman"/>
                <w:sz w:val="21"/>
                <w:szCs w:val="21"/>
              </w:rPr>
              <w:t>30-690nm</w:t>
            </w:r>
          </w:p>
        </w:tc>
        <w:tc>
          <w:tcPr>
            <w:tcW w:w="631" w:type="pct"/>
            <w:vAlign w:val="center"/>
          </w:tcPr>
          <w:p w14:paraId="701CDDA4"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8m</w:t>
            </w:r>
          </w:p>
        </w:tc>
        <w:tc>
          <w:tcPr>
            <w:tcW w:w="3085" w:type="pct"/>
            <w:vAlign w:val="center"/>
          </w:tcPr>
          <w:p w14:paraId="1E6FD85D" w14:textId="77777777" w:rsidR="009C353B" w:rsidRDefault="00000000">
            <w:pPr>
              <w:jc w:val="left"/>
              <w:rPr>
                <w:rFonts w:ascii="Times New Roman" w:hAnsi="Times New Roman"/>
                <w:sz w:val="21"/>
                <w:szCs w:val="21"/>
              </w:rPr>
            </w:pPr>
            <w:r>
              <w:rPr>
                <w:rFonts w:ascii="Times New Roman" w:hAnsi="Times New Roman"/>
                <w:sz w:val="21"/>
                <w:szCs w:val="21"/>
              </w:rPr>
              <w:t>测量植物叶绿素吸收率，进行植被分类</w:t>
            </w:r>
          </w:p>
        </w:tc>
      </w:tr>
      <w:tr w:rsidR="009C353B" w14:paraId="596CCEAE" w14:textId="77777777">
        <w:trPr>
          <w:trHeight w:val="397"/>
          <w:jc w:val="center"/>
        </w:trPr>
        <w:tc>
          <w:tcPr>
            <w:tcW w:w="1284" w:type="pct"/>
            <w:vAlign w:val="center"/>
          </w:tcPr>
          <w:p w14:paraId="08A6265C" w14:textId="77777777" w:rsidR="009C353B" w:rsidRDefault="00000000">
            <w:pPr>
              <w:jc w:val="center"/>
              <w:rPr>
                <w:rFonts w:ascii="Times New Roman" w:hAnsi="Times New Roman"/>
                <w:sz w:val="21"/>
                <w:szCs w:val="21"/>
              </w:rPr>
            </w:pPr>
            <w:r>
              <w:rPr>
                <w:rFonts w:ascii="Times New Roman" w:hAnsi="Times New Roman"/>
                <w:sz w:val="21"/>
                <w:szCs w:val="21"/>
              </w:rPr>
              <w:t>Band4</w:t>
            </w:r>
            <w:r>
              <w:rPr>
                <w:rFonts w:ascii="Times New Roman" w:hAnsi="Times New Roman"/>
                <w:sz w:val="21"/>
                <w:szCs w:val="21"/>
              </w:rPr>
              <w:t>：</w:t>
            </w:r>
            <w:r>
              <w:rPr>
                <w:rFonts w:ascii="Times New Roman" w:hAnsi="Times New Roman" w:hint="eastAsia"/>
                <w:sz w:val="21"/>
                <w:szCs w:val="21"/>
              </w:rPr>
              <w:t>7</w:t>
            </w:r>
            <w:r>
              <w:rPr>
                <w:rFonts w:ascii="Times New Roman" w:hAnsi="Times New Roman"/>
                <w:sz w:val="21"/>
                <w:szCs w:val="21"/>
              </w:rPr>
              <w:t>70-890nm</w:t>
            </w:r>
          </w:p>
        </w:tc>
        <w:tc>
          <w:tcPr>
            <w:tcW w:w="631" w:type="pct"/>
            <w:vAlign w:val="center"/>
          </w:tcPr>
          <w:p w14:paraId="691A4F8A" w14:textId="77777777" w:rsidR="009C353B" w:rsidRDefault="00000000">
            <w:pPr>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8m</w:t>
            </w:r>
          </w:p>
        </w:tc>
        <w:tc>
          <w:tcPr>
            <w:tcW w:w="3085" w:type="pct"/>
            <w:vAlign w:val="center"/>
          </w:tcPr>
          <w:p w14:paraId="316A6336" w14:textId="77777777" w:rsidR="009C353B" w:rsidRDefault="00000000">
            <w:pPr>
              <w:jc w:val="left"/>
              <w:rPr>
                <w:rFonts w:ascii="Times New Roman" w:hAnsi="Times New Roman"/>
                <w:sz w:val="21"/>
                <w:szCs w:val="21"/>
              </w:rPr>
            </w:pPr>
            <w:r>
              <w:rPr>
                <w:rFonts w:ascii="Times New Roman" w:hAnsi="Times New Roman"/>
                <w:sz w:val="21"/>
                <w:szCs w:val="21"/>
              </w:rPr>
              <w:t>用于生物量和作物长势的测定</w:t>
            </w:r>
          </w:p>
        </w:tc>
      </w:tr>
    </w:tbl>
    <w:p w14:paraId="3E41CEA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遥感解译指从图像获取信息的基本过程。即根据各专业的要求，运用解译标志和实践经验与知识，从遥感影像上识别目标，定性、定量地提取出目标的分布、结构、功能等有关信息，并把它们表示在地理底图上的过程。遥感影像的解译标志是遥感图像上能直接反映和判别地物信息的影像特征。包括形状、大小、阴影、色调、颜色、纹理、图案、位置和布局。本次评价选用</w:t>
      </w:r>
      <w:r>
        <w:rPr>
          <w:rFonts w:ascii="Times New Roman" w:hAnsi="Times New Roman"/>
          <w:szCs w:val="24"/>
        </w:rPr>
        <w:t>RGB_321</w:t>
      </w:r>
      <w:r>
        <w:rPr>
          <w:rFonts w:ascii="Times New Roman" w:hAnsi="Times New Roman"/>
          <w:szCs w:val="24"/>
        </w:rPr>
        <w:t>（即</w:t>
      </w:r>
      <w:r>
        <w:rPr>
          <w:rFonts w:ascii="Times New Roman" w:hAnsi="Times New Roman" w:hint="eastAsia"/>
          <w:szCs w:val="24"/>
        </w:rPr>
        <w:t>多</w:t>
      </w:r>
      <w:r>
        <w:rPr>
          <w:rFonts w:ascii="Times New Roman" w:hAnsi="Times New Roman"/>
          <w:szCs w:val="24"/>
        </w:rPr>
        <w:t>光谱</w:t>
      </w:r>
      <w:r>
        <w:rPr>
          <w:rFonts w:ascii="Times New Roman" w:hAnsi="Times New Roman" w:hint="eastAsia"/>
          <w:szCs w:val="24"/>
        </w:rPr>
        <w:t>波</w:t>
      </w:r>
      <w:r>
        <w:rPr>
          <w:rFonts w:ascii="Times New Roman" w:hAnsi="Times New Roman"/>
          <w:szCs w:val="24"/>
        </w:rPr>
        <w:t>段</w:t>
      </w:r>
      <w:r>
        <w:rPr>
          <w:rFonts w:ascii="Times New Roman" w:hAnsi="Times New Roman" w:hint="eastAsia"/>
          <w:szCs w:val="24"/>
        </w:rPr>
        <w:t>321</w:t>
      </w:r>
      <w:r>
        <w:rPr>
          <w:rFonts w:ascii="Times New Roman" w:hAnsi="Times New Roman"/>
          <w:szCs w:val="24"/>
        </w:rPr>
        <w:t>组合）合成假彩色图像，见图</w:t>
      </w:r>
      <w:r>
        <w:rPr>
          <w:rFonts w:ascii="Times New Roman" w:hAnsi="Times New Roman"/>
          <w:szCs w:val="24"/>
        </w:rPr>
        <w:t>3.</w:t>
      </w:r>
      <w:r>
        <w:rPr>
          <w:rFonts w:ascii="Times New Roman" w:hAnsi="Times New Roman" w:hint="eastAsia"/>
          <w:szCs w:val="24"/>
        </w:rPr>
        <w:t>4</w:t>
      </w:r>
      <w:r>
        <w:rPr>
          <w:rFonts w:ascii="Times New Roman" w:hAnsi="Times New Roman"/>
          <w:szCs w:val="24"/>
        </w:rPr>
        <w:t>-</w:t>
      </w:r>
      <w:r>
        <w:rPr>
          <w:rFonts w:ascii="Times New Roman" w:hAnsi="Times New Roman" w:hint="eastAsia"/>
          <w:szCs w:val="24"/>
        </w:rPr>
        <w:t>2</w:t>
      </w:r>
      <w:r>
        <w:rPr>
          <w:rFonts w:ascii="Times New Roman" w:hAnsi="Times New Roman"/>
          <w:szCs w:val="24"/>
        </w:rPr>
        <w:t>，作为解译和矢量化标准。</w:t>
      </w:r>
    </w:p>
    <w:p w14:paraId="7DA22758"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rPr>
        <w:t>3.4.</w:t>
      </w:r>
      <w:r>
        <w:rPr>
          <w:rFonts w:ascii="Times New Roman" w:hAnsi="Times New Roman" w:hint="eastAsia"/>
        </w:rPr>
        <w:t>3</w:t>
      </w:r>
      <w:r>
        <w:rPr>
          <w:rFonts w:ascii="Times New Roman" w:hAnsi="Times New Roman"/>
        </w:rPr>
        <w:t xml:space="preserve"> </w:t>
      </w:r>
      <w:r>
        <w:rPr>
          <w:rFonts w:ascii="Times New Roman"/>
        </w:rPr>
        <w:t>地形地貌现状调查与评价</w:t>
      </w:r>
    </w:p>
    <w:p w14:paraId="50CC682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横城矿区</w:t>
      </w:r>
      <w:r>
        <w:rPr>
          <w:rFonts w:ascii="Times New Roman" w:hAnsi="Times New Roman"/>
        </w:rPr>
        <w:t>位于</w:t>
      </w:r>
      <w:r>
        <w:rPr>
          <w:rFonts w:ascii="Times New Roman" w:hAnsi="Times New Roman" w:hint="eastAsia"/>
        </w:rPr>
        <w:t>鄂尔多斯盆地的西部边缘</w:t>
      </w:r>
      <w:r>
        <w:rPr>
          <w:rFonts w:ascii="Times New Roman" w:hAnsi="Times New Roman"/>
        </w:rPr>
        <w:t>陶灵</w:t>
      </w:r>
      <w:r>
        <w:rPr>
          <w:rFonts w:ascii="Times New Roman" w:hAnsi="Times New Roman" w:hint="eastAsia"/>
        </w:rPr>
        <w:t>盐台地，区内大部属低缓的沙漠</w:t>
      </w:r>
      <w:r>
        <w:rPr>
          <w:rFonts w:ascii="Times New Roman" w:hAnsi="Times New Roman"/>
        </w:rPr>
        <w:t>—</w:t>
      </w:r>
      <w:r>
        <w:rPr>
          <w:rFonts w:ascii="Times New Roman" w:hAnsi="Times New Roman" w:hint="eastAsia"/>
        </w:rPr>
        <w:t>半沙漠丘陵地带，地势呈南高北低状，地形低缓平坦，起伏不大。</w:t>
      </w:r>
      <w:r>
        <w:rPr>
          <w:rFonts w:ascii="Times New Roman" w:hAnsi="Times New Roman"/>
        </w:rPr>
        <w:t>按地貌单元的成因，将本区地貌划</w:t>
      </w:r>
      <w:r>
        <w:rPr>
          <w:rFonts w:ascii="Times New Roman" w:hAnsi="Times New Roman" w:hint="eastAsia"/>
        </w:rPr>
        <w:t>细化</w:t>
      </w:r>
      <w:r>
        <w:rPr>
          <w:rFonts w:ascii="Times New Roman" w:hAnsi="Times New Roman"/>
        </w:rPr>
        <w:t>分为风沙地貌和</w:t>
      </w:r>
      <w:r>
        <w:rPr>
          <w:rFonts w:ascii="Times New Roman" w:hAnsi="Times New Roman" w:hint="eastAsia"/>
        </w:rPr>
        <w:t>丘陵</w:t>
      </w:r>
      <w:r>
        <w:rPr>
          <w:rFonts w:ascii="Times New Roman" w:hAnsi="Times New Roman"/>
        </w:rPr>
        <w:t>地貌</w:t>
      </w:r>
      <w:r>
        <w:rPr>
          <w:rFonts w:ascii="Times New Roman" w:hAnsi="Times New Roman" w:hint="eastAsia"/>
        </w:rPr>
        <w:t>两</w:t>
      </w:r>
      <w:r>
        <w:rPr>
          <w:rFonts w:ascii="Times New Roman" w:hAnsi="Times New Roman"/>
        </w:rPr>
        <w:t>类</w:t>
      </w:r>
      <w:r>
        <w:rPr>
          <w:rFonts w:ascii="Times New Roman" w:hAnsi="Times New Roman" w:hint="eastAsia"/>
        </w:rPr>
        <w:t>。</w:t>
      </w:r>
    </w:p>
    <w:p w14:paraId="4CC3C248" w14:textId="77777777" w:rsidR="009C353B" w:rsidRDefault="00000000">
      <w:pPr>
        <w:pStyle w:val="afffffffffffe"/>
        <w:adjustRightInd w:val="0"/>
        <w:snapToGrid w:val="0"/>
        <w:spacing w:line="440" w:lineRule="exact"/>
        <w:ind w:firstLine="480"/>
        <w:rPr>
          <w:rFonts w:ascii="Times New Roman" w:eastAsia="宋体" w:hAnsi="Times New Roman"/>
          <w:bCs w:val="0"/>
        </w:rPr>
      </w:pPr>
      <w:r>
        <w:rPr>
          <w:rFonts w:ascii="Times New Roman" w:eastAsia="宋体" w:hAnsi="Times New Roman"/>
          <w:bCs w:val="0"/>
        </w:rPr>
        <w:t>评价区数字高程见图</w:t>
      </w:r>
      <w:r>
        <w:rPr>
          <w:rFonts w:ascii="Times New Roman" w:eastAsia="宋体" w:hAnsi="Times New Roman"/>
          <w:bCs w:val="0"/>
        </w:rPr>
        <w:t>3.4-</w:t>
      </w:r>
      <w:r>
        <w:rPr>
          <w:rFonts w:ascii="Times New Roman" w:eastAsia="宋体" w:hAnsi="Times New Roman" w:hint="eastAsia"/>
          <w:bCs w:val="0"/>
          <w:lang w:val="en-US"/>
        </w:rPr>
        <w:t>3</w:t>
      </w:r>
      <w:r>
        <w:rPr>
          <w:rFonts w:ascii="Times New Roman" w:eastAsia="宋体" w:hAnsi="Times New Roman"/>
          <w:bCs w:val="0"/>
        </w:rPr>
        <w:t>。</w:t>
      </w:r>
    </w:p>
    <w:p w14:paraId="0D012D82"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rPr>
        <w:t>3.4.</w:t>
      </w:r>
      <w:r>
        <w:rPr>
          <w:rFonts w:ascii="Times New Roman" w:hAnsi="Times New Roman" w:hint="eastAsia"/>
        </w:rPr>
        <w:t>4</w:t>
      </w:r>
      <w:r>
        <w:rPr>
          <w:rFonts w:ascii="Times New Roman" w:hAnsi="Times New Roman"/>
        </w:rPr>
        <w:t xml:space="preserve"> </w:t>
      </w:r>
      <w:r>
        <w:rPr>
          <w:rFonts w:ascii="Times New Roman"/>
        </w:rPr>
        <w:t>土地利用现状评价</w:t>
      </w:r>
    </w:p>
    <w:p w14:paraId="013B968B" w14:textId="77777777" w:rsidR="009C353B" w:rsidRDefault="00000000">
      <w:pPr>
        <w:spacing w:before="280" w:after="120" w:line="416" w:lineRule="exact"/>
        <w:outlineLvl w:val="3"/>
        <w:rPr>
          <w:rFonts w:ascii="Times New Roman" w:hAnsi="Times New Roman"/>
          <w:b/>
          <w:szCs w:val="24"/>
        </w:rPr>
      </w:pPr>
      <w:bookmarkStart w:id="126" w:name="_Toc64861914"/>
      <w:bookmarkStart w:id="127" w:name="_Toc64862058"/>
      <w:r>
        <w:rPr>
          <w:rFonts w:ascii="Times New Roman" w:hAnsi="Times New Roman"/>
          <w:b/>
          <w:szCs w:val="24"/>
        </w:rPr>
        <w:t>3.</w:t>
      </w:r>
      <w:r>
        <w:rPr>
          <w:rFonts w:ascii="Times New Roman" w:hAnsi="Times New Roman" w:hint="eastAsia"/>
          <w:b/>
          <w:szCs w:val="24"/>
        </w:rPr>
        <w:t>4</w:t>
      </w:r>
      <w:r>
        <w:rPr>
          <w:rFonts w:ascii="Times New Roman" w:hAnsi="Times New Roman"/>
          <w:b/>
          <w:szCs w:val="24"/>
        </w:rPr>
        <w:t>.</w:t>
      </w:r>
      <w:r>
        <w:rPr>
          <w:rFonts w:ascii="Times New Roman" w:hAnsi="Times New Roman" w:hint="eastAsia"/>
          <w:b/>
          <w:szCs w:val="24"/>
        </w:rPr>
        <w:t>4</w:t>
      </w:r>
      <w:r>
        <w:rPr>
          <w:rFonts w:ascii="Times New Roman" w:hAnsi="Times New Roman"/>
          <w:b/>
          <w:szCs w:val="24"/>
        </w:rPr>
        <w:t xml:space="preserve">.1 </w:t>
      </w:r>
      <w:r>
        <w:rPr>
          <w:rFonts w:ascii="Times New Roman" w:hAnsi="Times New Roman" w:hint="eastAsia"/>
          <w:b/>
          <w:szCs w:val="24"/>
        </w:rPr>
        <w:t>土地利用</w:t>
      </w:r>
    </w:p>
    <w:p w14:paraId="660AFC74" w14:textId="77777777" w:rsidR="009C353B" w:rsidRDefault="00000000">
      <w:pPr>
        <w:spacing w:line="440" w:lineRule="exact"/>
        <w:ind w:firstLineChars="200" w:firstLine="482"/>
        <w:rPr>
          <w:rFonts w:ascii="Times New Roman" w:hAnsi="Times New Roman"/>
          <w:b/>
          <w:szCs w:val="24"/>
        </w:rPr>
      </w:pPr>
      <w:r>
        <w:rPr>
          <w:rFonts w:ascii="Times New Roman" w:hAnsi="Times New Roman"/>
          <w:b/>
          <w:szCs w:val="24"/>
        </w:rPr>
        <w:t>（</w:t>
      </w:r>
      <w:r>
        <w:rPr>
          <w:rFonts w:ascii="Times New Roman" w:hAnsi="Times New Roman"/>
          <w:b/>
          <w:szCs w:val="24"/>
        </w:rPr>
        <w:t>1</w:t>
      </w:r>
      <w:r>
        <w:rPr>
          <w:rFonts w:ascii="Times New Roman" w:hAnsi="Times New Roman"/>
          <w:b/>
          <w:szCs w:val="24"/>
        </w:rPr>
        <w:t>）土地利用分析系统</w:t>
      </w:r>
      <w:bookmarkEnd w:id="126"/>
      <w:bookmarkEnd w:id="127"/>
    </w:p>
    <w:p w14:paraId="4E83E38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依据《土地利用现状分类》（</w:t>
      </w:r>
      <w:r>
        <w:rPr>
          <w:rFonts w:ascii="Times New Roman" w:hAnsi="Times New Roman"/>
          <w:szCs w:val="24"/>
        </w:rPr>
        <w:t>GB/T 21010-2017</w:t>
      </w:r>
      <w:r>
        <w:rPr>
          <w:rFonts w:ascii="Times New Roman" w:hAnsi="Times New Roman"/>
          <w:szCs w:val="24"/>
        </w:rPr>
        <w:t>），结合项目组对矿区内土地利用状况进行的实地调查，把评价区分为</w:t>
      </w:r>
      <w:r>
        <w:rPr>
          <w:rFonts w:ascii="Times New Roman" w:hAnsi="Times New Roman" w:hint="eastAsia"/>
          <w:szCs w:val="24"/>
        </w:rPr>
        <w:t>7</w:t>
      </w:r>
      <w:r>
        <w:rPr>
          <w:rFonts w:ascii="Times New Roman" w:hAnsi="Times New Roman"/>
          <w:szCs w:val="24"/>
        </w:rPr>
        <w:t>个一级类，</w:t>
      </w:r>
      <w:r>
        <w:rPr>
          <w:rFonts w:ascii="Times New Roman" w:hAnsi="Times New Roman"/>
          <w:szCs w:val="24"/>
        </w:rPr>
        <w:t>1</w:t>
      </w:r>
      <w:r>
        <w:rPr>
          <w:rFonts w:ascii="Times New Roman" w:hAnsi="Times New Roman" w:hint="eastAsia"/>
          <w:szCs w:val="24"/>
        </w:rPr>
        <w:t>5</w:t>
      </w:r>
      <w:r>
        <w:rPr>
          <w:rFonts w:ascii="Times New Roman" w:hAnsi="Times New Roman"/>
          <w:szCs w:val="24"/>
        </w:rPr>
        <w:t>个二级类。</w:t>
      </w:r>
      <w:bookmarkStart w:id="128" w:name="_Toc64862059"/>
      <w:bookmarkStart w:id="129" w:name="_Toc64861915"/>
    </w:p>
    <w:p w14:paraId="34BD95BB" w14:textId="77777777" w:rsidR="009C353B" w:rsidRDefault="00000000">
      <w:pPr>
        <w:spacing w:line="440" w:lineRule="exact"/>
        <w:ind w:firstLineChars="200" w:firstLine="482"/>
        <w:rPr>
          <w:rFonts w:ascii="Times New Roman" w:hAnsi="Times New Roman"/>
          <w:b/>
          <w:szCs w:val="24"/>
        </w:rPr>
      </w:pPr>
      <w:r>
        <w:rPr>
          <w:rFonts w:ascii="Times New Roman" w:hAnsi="Times New Roman"/>
          <w:b/>
          <w:szCs w:val="24"/>
        </w:rPr>
        <w:t>（</w:t>
      </w:r>
      <w:r>
        <w:rPr>
          <w:rFonts w:ascii="Times New Roman" w:hAnsi="Times New Roman"/>
          <w:b/>
          <w:szCs w:val="24"/>
        </w:rPr>
        <w:t>2</w:t>
      </w:r>
      <w:r>
        <w:rPr>
          <w:rFonts w:ascii="Times New Roman" w:hAnsi="Times New Roman"/>
          <w:b/>
          <w:szCs w:val="24"/>
        </w:rPr>
        <w:t>）图像处理</w:t>
      </w:r>
      <w:bookmarkEnd w:id="128"/>
      <w:bookmarkEnd w:id="129"/>
    </w:p>
    <w:p w14:paraId="6825E3EC"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本</w:t>
      </w:r>
      <w:r>
        <w:rPr>
          <w:rFonts w:ascii="Times New Roman" w:hAnsi="Times New Roman" w:hint="eastAsia"/>
          <w:szCs w:val="24"/>
        </w:rPr>
        <w:t>次规划</w:t>
      </w:r>
      <w:r>
        <w:rPr>
          <w:rFonts w:ascii="Times New Roman" w:hAnsi="Times New Roman"/>
          <w:szCs w:val="24"/>
        </w:rPr>
        <w:t>采用野外调查与室内解译相结合的方法，首先通过野外实地考察，运用</w:t>
      </w:r>
      <w:r>
        <w:rPr>
          <w:rFonts w:ascii="Times New Roman" w:hAnsi="Times New Roman"/>
          <w:szCs w:val="24"/>
        </w:rPr>
        <w:t>GPS</w:t>
      </w:r>
      <w:r>
        <w:rPr>
          <w:rFonts w:ascii="Times New Roman" w:hAnsi="Times New Roman"/>
          <w:szCs w:val="24"/>
        </w:rPr>
        <w:t>定位技术，对土地利用现状和各种土地利用类型进行采点记录，然后在室内应用图像处理软件对</w:t>
      </w:r>
      <w:r>
        <w:rPr>
          <w:rFonts w:ascii="Times New Roman" w:hAnsi="Times New Roman" w:hint="eastAsia"/>
          <w:szCs w:val="24"/>
        </w:rPr>
        <w:t>资源三号</w:t>
      </w:r>
      <w:r>
        <w:rPr>
          <w:rFonts w:ascii="Times New Roman" w:hAnsi="Times New Roman" w:hint="eastAsia"/>
          <w:szCs w:val="24"/>
        </w:rPr>
        <w:t>2</w:t>
      </w:r>
      <w:r>
        <w:rPr>
          <w:rFonts w:ascii="Times New Roman" w:hAnsi="Times New Roman" w:hint="eastAsia"/>
          <w:szCs w:val="24"/>
        </w:rPr>
        <w:t>星</w:t>
      </w:r>
      <w:r>
        <w:rPr>
          <w:rFonts w:ascii="Times New Roman" w:hAnsi="Times New Roman"/>
          <w:szCs w:val="24"/>
        </w:rPr>
        <w:t>影像数据进行分类，</w:t>
      </w:r>
      <w:r>
        <w:rPr>
          <w:rFonts w:ascii="Times New Roman" w:hAnsi="Times New Roman" w:hint="eastAsia"/>
          <w:szCs w:val="24"/>
        </w:rPr>
        <w:t>结合灵武市林业和草原局提供的林业分布图，</w:t>
      </w:r>
      <w:r>
        <w:rPr>
          <w:rFonts w:ascii="Times New Roman" w:hAnsi="Times New Roman"/>
          <w:szCs w:val="24"/>
        </w:rPr>
        <w:t>得到评价区的土地利用图。</w:t>
      </w:r>
    </w:p>
    <w:p w14:paraId="10A5CF65" w14:textId="77777777" w:rsidR="009C353B" w:rsidRDefault="00000000">
      <w:pPr>
        <w:spacing w:line="440" w:lineRule="exact"/>
        <w:ind w:firstLineChars="200" w:firstLine="482"/>
        <w:rPr>
          <w:rFonts w:ascii="Times New Roman" w:hAnsi="Times New Roman"/>
          <w:b/>
          <w:szCs w:val="24"/>
        </w:rPr>
      </w:pPr>
      <w:r>
        <w:rPr>
          <w:rFonts w:ascii="Times New Roman" w:hAnsi="Times New Roman"/>
          <w:b/>
          <w:szCs w:val="24"/>
        </w:rPr>
        <w:t>（</w:t>
      </w:r>
      <w:r>
        <w:rPr>
          <w:rFonts w:ascii="Times New Roman" w:hAnsi="Times New Roman"/>
          <w:b/>
          <w:szCs w:val="24"/>
        </w:rPr>
        <w:t>3</w:t>
      </w:r>
      <w:r>
        <w:rPr>
          <w:rFonts w:ascii="Times New Roman" w:hAnsi="Times New Roman"/>
          <w:b/>
          <w:szCs w:val="24"/>
        </w:rPr>
        <w:t>）土地利用现状分析</w:t>
      </w:r>
    </w:p>
    <w:p w14:paraId="4412166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评价区土地利用现状见图</w:t>
      </w:r>
      <w:r>
        <w:rPr>
          <w:rFonts w:ascii="Times New Roman" w:hAnsi="Times New Roman"/>
          <w:szCs w:val="24"/>
        </w:rPr>
        <w:t>3.</w:t>
      </w:r>
      <w:r>
        <w:rPr>
          <w:rFonts w:ascii="Times New Roman" w:hAnsi="Times New Roman" w:hint="eastAsia"/>
          <w:szCs w:val="24"/>
        </w:rPr>
        <w:t>4</w:t>
      </w:r>
      <w:r>
        <w:rPr>
          <w:rFonts w:ascii="Times New Roman" w:hAnsi="Times New Roman"/>
          <w:szCs w:val="24"/>
        </w:rPr>
        <w:t>-</w:t>
      </w:r>
      <w:r>
        <w:rPr>
          <w:rFonts w:ascii="Times New Roman" w:hAnsi="Times New Roman" w:hint="eastAsia"/>
          <w:szCs w:val="24"/>
        </w:rPr>
        <w:t>4</w:t>
      </w:r>
      <w:r>
        <w:rPr>
          <w:rFonts w:ascii="Times New Roman" w:hAnsi="Times New Roman"/>
          <w:szCs w:val="24"/>
        </w:rPr>
        <w:t>。评价区及矿区内各土地利用类型面积统计分别见表</w:t>
      </w:r>
      <w:r>
        <w:rPr>
          <w:rFonts w:ascii="Times New Roman" w:hAnsi="Times New Roman"/>
          <w:szCs w:val="24"/>
        </w:rPr>
        <w:t>3.</w:t>
      </w:r>
      <w:r>
        <w:rPr>
          <w:rFonts w:ascii="Times New Roman" w:hAnsi="Times New Roman" w:hint="eastAsia"/>
          <w:szCs w:val="24"/>
        </w:rPr>
        <w:t>4</w:t>
      </w:r>
      <w:r>
        <w:rPr>
          <w:rFonts w:ascii="Times New Roman" w:hAnsi="Times New Roman"/>
          <w:szCs w:val="24"/>
        </w:rPr>
        <w:t>-</w:t>
      </w:r>
      <w:r>
        <w:rPr>
          <w:rFonts w:ascii="Times New Roman" w:hAnsi="Times New Roman" w:hint="eastAsia"/>
          <w:szCs w:val="24"/>
        </w:rPr>
        <w:t>3</w:t>
      </w:r>
      <w:r>
        <w:rPr>
          <w:rFonts w:ascii="Times New Roman" w:hAnsi="Times New Roman"/>
          <w:szCs w:val="24"/>
        </w:rPr>
        <w:t>。</w:t>
      </w:r>
    </w:p>
    <w:p w14:paraId="04F35168" w14:textId="77777777" w:rsidR="009C353B" w:rsidRDefault="00000000">
      <w:pPr>
        <w:spacing w:line="500" w:lineRule="exact"/>
        <w:jc w:val="center"/>
        <w:rPr>
          <w:rFonts w:ascii="Times New Roman" w:hAnsi="Times New Roman"/>
          <w:b/>
          <w:szCs w:val="27"/>
        </w:rPr>
      </w:pPr>
      <w:r>
        <w:rPr>
          <w:rFonts w:ascii="Times New Roman" w:hAnsi="Times New Roman" w:hint="eastAsia"/>
          <w:b/>
          <w:szCs w:val="27"/>
        </w:rPr>
        <w:t>横城</w:t>
      </w:r>
      <w:r>
        <w:rPr>
          <w:rFonts w:ascii="Times New Roman" w:hAnsi="Times New Roman"/>
          <w:b/>
          <w:szCs w:val="27"/>
        </w:rPr>
        <w:t>矿区土地利用类型面积统计表</w:t>
      </w:r>
    </w:p>
    <w:p w14:paraId="0586B549" w14:textId="77777777" w:rsidR="009C353B" w:rsidRDefault="00000000">
      <w:pPr>
        <w:outlineLvl w:val="4"/>
        <w:rPr>
          <w:rFonts w:ascii="Times New Roman" w:hAnsi="Times New Roman"/>
          <w:szCs w:val="27"/>
        </w:rPr>
      </w:pPr>
      <w:r>
        <w:rPr>
          <w:rFonts w:ascii="Times New Roman" w:hAnsi="Times New Roman"/>
          <w:szCs w:val="27"/>
        </w:rPr>
        <w:t>表</w:t>
      </w:r>
      <w:r>
        <w:rPr>
          <w:rFonts w:ascii="Times New Roman" w:hAnsi="Times New Roman"/>
          <w:szCs w:val="27"/>
        </w:rPr>
        <w:t>3.</w:t>
      </w:r>
      <w:r>
        <w:rPr>
          <w:rFonts w:ascii="Times New Roman" w:hAnsi="Times New Roman" w:hint="eastAsia"/>
          <w:szCs w:val="27"/>
        </w:rPr>
        <w:t>4</w:t>
      </w:r>
      <w:r>
        <w:rPr>
          <w:rFonts w:ascii="Times New Roman" w:hAnsi="Times New Roman"/>
          <w:szCs w:val="27"/>
        </w:rPr>
        <w:t>-</w:t>
      </w:r>
      <w:r>
        <w:rPr>
          <w:rFonts w:ascii="Times New Roman" w:hAnsi="Times New Roman" w:hint="eastAsia"/>
          <w:szCs w:val="27"/>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6"/>
        <w:gridCol w:w="1630"/>
        <w:gridCol w:w="1507"/>
        <w:gridCol w:w="1508"/>
        <w:gridCol w:w="1508"/>
        <w:gridCol w:w="1508"/>
      </w:tblGrid>
      <w:tr w:rsidR="009C353B" w14:paraId="19B8B8C9" w14:textId="77777777">
        <w:trPr>
          <w:trHeight w:val="300"/>
          <w:tblHeader/>
        </w:trPr>
        <w:tc>
          <w:tcPr>
            <w:tcW w:w="3256" w:type="dxa"/>
            <w:gridSpan w:val="2"/>
            <w:shd w:val="clear" w:color="auto" w:fill="auto"/>
            <w:noWrap/>
            <w:vAlign w:val="center"/>
          </w:tcPr>
          <w:p w14:paraId="1BE5755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地类</w:t>
            </w:r>
          </w:p>
        </w:tc>
        <w:tc>
          <w:tcPr>
            <w:tcW w:w="3015" w:type="dxa"/>
            <w:gridSpan w:val="2"/>
            <w:shd w:val="clear" w:color="auto" w:fill="auto"/>
            <w:vAlign w:val="center"/>
          </w:tcPr>
          <w:p w14:paraId="4CD3001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评价区</w:t>
            </w:r>
          </w:p>
        </w:tc>
        <w:tc>
          <w:tcPr>
            <w:tcW w:w="3016" w:type="dxa"/>
            <w:gridSpan w:val="2"/>
            <w:shd w:val="clear" w:color="auto" w:fill="auto"/>
            <w:vAlign w:val="center"/>
          </w:tcPr>
          <w:p w14:paraId="55B8484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矿区</w:t>
            </w:r>
          </w:p>
        </w:tc>
      </w:tr>
      <w:tr w:rsidR="009C353B" w14:paraId="2EB98FC4" w14:textId="77777777">
        <w:trPr>
          <w:trHeight w:val="459"/>
          <w:tblHeader/>
        </w:trPr>
        <w:tc>
          <w:tcPr>
            <w:tcW w:w="1626" w:type="dxa"/>
            <w:shd w:val="clear" w:color="auto" w:fill="auto"/>
            <w:noWrap/>
            <w:vAlign w:val="center"/>
          </w:tcPr>
          <w:p w14:paraId="5E95C25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一级类</w:t>
            </w:r>
          </w:p>
        </w:tc>
        <w:tc>
          <w:tcPr>
            <w:tcW w:w="1630" w:type="dxa"/>
            <w:shd w:val="clear" w:color="auto" w:fill="auto"/>
            <w:vAlign w:val="center"/>
          </w:tcPr>
          <w:p w14:paraId="324CB2A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二级类</w:t>
            </w:r>
          </w:p>
        </w:tc>
        <w:tc>
          <w:tcPr>
            <w:tcW w:w="1507" w:type="dxa"/>
            <w:shd w:val="clear" w:color="auto" w:fill="auto"/>
            <w:vAlign w:val="center"/>
          </w:tcPr>
          <w:p w14:paraId="436FB6D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面积（</w:t>
            </w:r>
            <w:r>
              <w:rPr>
                <w:rFonts w:ascii="Times New Roman" w:hAnsi="Times New Roman"/>
                <w:kern w:val="0"/>
                <w:sz w:val="21"/>
                <w:szCs w:val="21"/>
              </w:rPr>
              <w:t>km</w:t>
            </w:r>
            <w:r>
              <w:rPr>
                <w:rFonts w:ascii="Times New Roman" w:hAnsi="Times New Roman"/>
                <w:kern w:val="0"/>
                <w:sz w:val="21"/>
                <w:szCs w:val="21"/>
                <w:vertAlign w:val="superscript"/>
              </w:rPr>
              <w:t>2</w:t>
            </w:r>
            <w:r>
              <w:rPr>
                <w:rFonts w:ascii="Times New Roman" w:hAnsi="Times New Roman"/>
                <w:kern w:val="0"/>
                <w:sz w:val="21"/>
                <w:szCs w:val="21"/>
              </w:rPr>
              <w:t>）</w:t>
            </w:r>
          </w:p>
        </w:tc>
        <w:tc>
          <w:tcPr>
            <w:tcW w:w="1508" w:type="dxa"/>
            <w:shd w:val="clear" w:color="auto" w:fill="auto"/>
            <w:vAlign w:val="center"/>
          </w:tcPr>
          <w:p w14:paraId="2FC5689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比例（</w:t>
            </w:r>
            <w:r>
              <w:rPr>
                <w:rFonts w:ascii="Times New Roman" w:hAnsi="Times New Roman"/>
                <w:kern w:val="0"/>
                <w:sz w:val="21"/>
                <w:szCs w:val="21"/>
              </w:rPr>
              <w:t>%</w:t>
            </w:r>
            <w:r>
              <w:rPr>
                <w:rFonts w:ascii="Times New Roman" w:hAnsi="Times New Roman"/>
                <w:kern w:val="0"/>
                <w:sz w:val="21"/>
                <w:szCs w:val="21"/>
              </w:rPr>
              <w:t>）</w:t>
            </w:r>
          </w:p>
        </w:tc>
        <w:tc>
          <w:tcPr>
            <w:tcW w:w="1508" w:type="dxa"/>
            <w:shd w:val="clear" w:color="auto" w:fill="auto"/>
            <w:vAlign w:val="center"/>
          </w:tcPr>
          <w:p w14:paraId="434920B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面积（</w:t>
            </w:r>
            <w:r>
              <w:rPr>
                <w:rFonts w:ascii="Times New Roman" w:hAnsi="Times New Roman"/>
                <w:kern w:val="0"/>
                <w:sz w:val="21"/>
                <w:szCs w:val="21"/>
              </w:rPr>
              <w:t>km</w:t>
            </w:r>
            <w:r>
              <w:rPr>
                <w:rFonts w:ascii="Times New Roman" w:hAnsi="Times New Roman"/>
                <w:kern w:val="0"/>
                <w:sz w:val="21"/>
                <w:szCs w:val="21"/>
                <w:vertAlign w:val="superscript"/>
              </w:rPr>
              <w:t>2</w:t>
            </w:r>
            <w:r>
              <w:rPr>
                <w:rFonts w:ascii="Times New Roman" w:hAnsi="Times New Roman"/>
                <w:kern w:val="0"/>
                <w:sz w:val="21"/>
                <w:szCs w:val="21"/>
              </w:rPr>
              <w:t>）</w:t>
            </w:r>
          </w:p>
        </w:tc>
        <w:tc>
          <w:tcPr>
            <w:tcW w:w="1508" w:type="dxa"/>
            <w:shd w:val="clear" w:color="auto" w:fill="auto"/>
            <w:vAlign w:val="center"/>
          </w:tcPr>
          <w:p w14:paraId="67792CD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比例（</w:t>
            </w:r>
            <w:r>
              <w:rPr>
                <w:rFonts w:ascii="Times New Roman" w:hAnsi="Times New Roman"/>
                <w:kern w:val="0"/>
                <w:sz w:val="21"/>
                <w:szCs w:val="21"/>
              </w:rPr>
              <w:t>%</w:t>
            </w:r>
            <w:r>
              <w:rPr>
                <w:rFonts w:ascii="Times New Roman" w:hAnsi="Times New Roman"/>
                <w:kern w:val="0"/>
                <w:sz w:val="21"/>
                <w:szCs w:val="21"/>
              </w:rPr>
              <w:t>）</w:t>
            </w:r>
          </w:p>
        </w:tc>
      </w:tr>
      <w:tr w:rsidR="009C353B" w14:paraId="11693D92" w14:textId="77777777">
        <w:trPr>
          <w:cantSplit/>
          <w:trHeight w:val="300"/>
        </w:trPr>
        <w:tc>
          <w:tcPr>
            <w:tcW w:w="1626" w:type="dxa"/>
            <w:vMerge w:val="restart"/>
            <w:shd w:val="clear" w:color="auto" w:fill="auto"/>
            <w:noWrap/>
            <w:vAlign w:val="center"/>
          </w:tcPr>
          <w:p w14:paraId="1FCD285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林地</w:t>
            </w:r>
          </w:p>
        </w:tc>
        <w:tc>
          <w:tcPr>
            <w:tcW w:w="1630" w:type="dxa"/>
            <w:shd w:val="clear" w:color="auto" w:fill="auto"/>
            <w:noWrap/>
            <w:vAlign w:val="center"/>
          </w:tcPr>
          <w:p w14:paraId="1C929A0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乔木林地</w:t>
            </w:r>
          </w:p>
        </w:tc>
        <w:tc>
          <w:tcPr>
            <w:tcW w:w="1507" w:type="dxa"/>
            <w:shd w:val="clear" w:color="auto" w:fill="auto"/>
            <w:noWrap/>
            <w:vAlign w:val="center"/>
          </w:tcPr>
          <w:p w14:paraId="3F2AFBD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30.13 </w:t>
            </w:r>
          </w:p>
        </w:tc>
        <w:tc>
          <w:tcPr>
            <w:tcW w:w="1508" w:type="dxa"/>
            <w:shd w:val="clear" w:color="auto" w:fill="auto"/>
            <w:noWrap/>
            <w:vAlign w:val="center"/>
          </w:tcPr>
          <w:p w14:paraId="6F0D55E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9.59 </w:t>
            </w:r>
          </w:p>
        </w:tc>
        <w:tc>
          <w:tcPr>
            <w:tcW w:w="1508" w:type="dxa"/>
            <w:shd w:val="clear" w:color="auto" w:fill="auto"/>
            <w:noWrap/>
            <w:vAlign w:val="center"/>
          </w:tcPr>
          <w:p w14:paraId="6DA4779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9.82 </w:t>
            </w:r>
          </w:p>
        </w:tc>
        <w:tc>
          <w:tcPr>
            <w:tcW w:w="1508" w:type="dxa"/>
            <w:shd w:val="clear" w:color="auto" w:fill="auto"/>
            <w:noWrap/>
            <w:vAlign w:val="center"/>
          </w:tcPr>
          <w:p w14:paraId="598D00E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11.42 </w:t>
            </w:r>
          </w:p>
        </w:tc>
      </w:tr>
      <w:tr w:rsidR="009C353B" w14:paraId="091E2364" w14:textId="77777777">
        <w:trPr>
          <w:cantSplit/>
          <w:trHeight w:val="300"/>
        </w:trPr>
        <w:tc>
          <w:tcPr>
            <w:tcW w:w="1626" w:type="dxa"/>
            <w:vMerge/>
            <w:vAlign w:val="center"/>
          </w:tcPr>
          <w:p w14:paraId="0D6BC9BB" w14:textId="77777777" w:rsidR="009C353B" w:rsidRDefault="009C353B">
            <w:pPr>
              <w:widowControl/>
              <w:jc w:val="center"/>
              <w:rPr>
                <w:rFonts w:ascii="Times New Roman" w:hAnsi="Times New Roman"/>
                <w:kern w:val="0"/>
                <w:sz w:val="21"/>
                <w:szCs w:val="21"/>
              </w:rPr>
            </w:pPr>
          </w:p>
        </w:tc>
        <w:tc>
          <w:tcPr>
            <w:tcW w:w="1630" w:type="dxa"/>
            <w:shd w:val="clear" w:color="auto" w:fill="auto"/>
            <w:noWrap/>
            <w:vAlign w:val="center"/>
          </w:tcPr>
          <w:p w14:paraId="7B26CD8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灌木林地</w:t>
            </w:r>
          </w:p>
        </w:tc>
        <w:tc>
          <w:tcPr>
            <w:tcW w:w="1507" w:type="dxa"/>
            <w:shd w:val="clear" w:color="auto" w:fill="auto"/>
            <w:noWrap/>
            <w:vAlign w:val="center"/>
          </w:tcPr>
          <w:p w14:paraId="1AA839B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80.78 </w:t>
            </w:r>
          </w:p>
        </w:tc>
        <w:tc>
          <w:tcPr>
            <w:tcW w:w="1508" w:type="dxa"/>
            <w:shd w:val="clear" w:color="auto" w:fill="auto"/>
            <w:noWrap/>
            <w:vAlign w:val="center"/>
          </w:tcPr>
          <w:p w14:paraId="42BA203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25.72 </w:t>
            </w:r>
          </w:p>
        </w:tc>
        <w:tc>
          <w:tcPr>
            <w:tcW w:w="1508" w:type="dxa"/>
            <w:shd w:val="clear" w:color="auto" w:fill="auto"/>
            <w:noWrap/>
            <w:vAlign w:val="center"/>
          </w:tcPr>
          <w:p w14:paraId="7973449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37.42 </w:t>
            </w:r>
          </w:p>
        </w:tc>
        <w:tc>
          <w:tcPr>
            <w:tcW w:w="1508" w:type="dxa"/>
            <w:shd w:val="clear" w:color="auto" w:fill="auto"/>
            <w:noWrap/>
            <w:vAlign w:val="center"/>
          </w:tcPr>
          <w:p w14:paraId="561BF1F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43.52 </w:t>
            </w:r>
          </w:p>
        </w:tc>
      </w:tr>
      <w:tr w:rsidR="009C353B" w14:paraId="1B26500D" w14:textId="77777777">
        <w:trPr>
          <w:cantSplit/>
          <w:trHeight w:val="315"/>
        </w:trPr>
        <w:tc>
          <w:tcPr>
            <w:tcW w:w="1626" w:type="dxa"/>
            <w:shd w:val="clear" w:color="auto" w:fill="auto"/>
            <w:noWrap/>
            <w:vAlign w:val="center"/>
          </w:tcPr>
          <w:p w14:paraId="64406F9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草地</w:t>
            </w:r>
          </w:p>
        </w:tc>
        <w:tc>
          <w:tcPr>
            <w:tcW w:w="1630" w:type="dxa"/>
            <w:shd w:val="clear" w:color="auto" w:fill="auto"/>
            <w:noWrap/>
            <w:vAlign w:val="center"/>
          </w:tcPr>
          <w:p w14:paraId="17050F6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天然牧草地</w:t>
            </w:r>
          </w:p>
        </w:tc>
        <w:tc>
          <w:tcPr>
            <w:tcW w:w="1507" w:type="dxa"/>
            <w:shd w:val="clear" w:color="auto" w:fill="auto"/>
            <w:noWrap/>
            <w:vAlign w:val="center"/>
          </w:tcPr>
          <w:p w14:paraId="382BBFD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135.38 </w:t>
            </w:r>
          </w:p>
        </w:tc>
        <w:tc>
          <w:tcPr>
            <w:tcW w:w="1508" w:type="dxa"/>
            <w:shd w:val="clear" w:color="auto" w:fill="auto"/>
            <w:noWrap/>
            <w:vAlign w:val="center"/>
          </w:tcPr>
          <w:p w14:paraId="016AD55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43.10 </w:t>
            </w:r>
          </w:p>
        </w:tc>
        <w:tc>
          <w:tcPr>
            <w:tcW w:w="1508" w:type="dxa"/>
            <w:shd w:val="clear" w:color="auto" w:fill="auto"/>
            <w:noWrap/>
            <w:vAlign w:val="center"/>
          </w:tcPr>
          <w:p w14:paraId="7A878D0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25.40 </w:t>
            </w:r>
          </w:p>
        </w:tc>
        <w:tc>
          <w:tcPr>
            <w:tcW w:w="1508" w:type="dxa"/>
            <w:shd w:val="clear" w:color="auto" w:fill="auto"/>
            <w:noWrap/>
            <w:vAlign w:val="center"/>
          </w:tcPr>
          <w:p w14:paraId="3D3AFDC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29.53 </w:t>
            </w:r>
          </w:p>
        </w:tc>
      </w:tr>
      <w:tr w:rsidR="009C353B" w14:paraId="28AB1C18" w14:textId="77777777">
        <w:trPr>
          <w:cantSplit/>
          <w:trHeight w:val="315"/>
        </w:trPr>
        <w:tc>
          <w:tcPr>
            <w:tcW w:w="1626" w:type="dxa"/>
            <w:shd w:val="clear" w:color="auto" w:fill="auto"/>
            <w:noWrap/>
            <w:vAlign w:val="center"/>
          </w:tcPr>
          <w:p w14:paraId="27D9C24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工矿仓储用地</w:t>
            </w:r>
          </w:p>
        </w:tc>
        <w:tc>
          <w:tcPr>
            <w:tcW w:w="1630" w:type="dxa"/>
            <w:shd w:val="clear" w:color="auto" w:fill="auto"/>
            <w:noWrap/>
            <w:vAlign w:val="center"/>
          </w:tcPr>
          <w:p w14:paraId="67FE5F6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工矿用地</w:t>
            </w:r>
          </w:p>
        </w:tc>
        <w:tc>
          <w:tcPr>
            <w:tcW w:w="1507" w:type="dxa"/>
            <w:shd w:val="clear" w:color="auto" w:fill="auto"/>
            <w:noWrap/>
            <w:vAlign w:val="center"/>
          </w:tcPr>
          <w:p w14:paraId="249DDA5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31.78 </w:t>
            </w:r>
          </w:p>
        </w:tc>
        <w:tc>
          <w:tcPr>
            <w:tcW w:w="1508" w:type="dxa"/>
            <w:shd w:val="clear" w:color="auto" w:fill="auto"/>
            <w:noWrap/>
            <w:vAlign w:val="center"/>
          </w:tcPr>
          <w:p w14:paraId="56CD133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10.12 </w:t>
            </w:r>
          </w:p>
        </w:tc>
        <w:tc>
          <w:tcPr>
            <w:tcW w:w="1508" w:type="dxa"/>
            <w:shd w:val="clear" w:color="auto" w:fill="auto"/>
            <w:noWrap/>
            <w:vAlign w:val="center"/>
          </w:tcPr>
          <w:p w14:paraId="146805B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6.67 </w:t>
            </w:r>
          </w:p>
        </w:tc>
        <w:tc>
          <w:tcPr>
            <w:tcW w:w="1508" w:type="dxa"/>
            <w:shd w:val="clear" w:color="auto" w:fill="auto"/>
            <w:noWrap/>
            <w:vAlign w:val="center"/>
          </w:tcPr>
          <w:p w14:paraId="75B12A2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7.76 </w:t>
            </w:r>
          </w:p>
        </w:tc>
      </w:tr>
      <w:tr w:rsidR="009C353B" w14:paraId="182EB1BE" w14:textId="77777777">
        <w:trPr>
          <w:cantSplit/>
          <w:trHeight w:val="315"/>
        </w:trPr>
        <w:tc>
          <w:tcPr>
            <w:tcW w:w="1626" w:type="dxa"/>
            <w:shd w:val="clear" w:color="auto" w:fill="auto"/>
            <w:noWrap/>
            <w:vAlign w:val="center"/>
          </w:tcPr>
          <w:p w14:paraId="47619D5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住宅用地</w:t>
            </w:r>
          </w:p>
        </w:tc>
        <w:tc>
          <w:tcPr>
            <w:tcW w:w="1630" w:type="dxa"/>
            <w:shd w:val="clear" w:color="auto" w:fill="auto"/>
            <w:noWrap/>
            <w:vAlign w:val="center"/>
          </w:tcPr>
          <w:p w14:paraId="06DEA7B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城镇住宅用地</w:t>
            </w:r>
          </w:p>
        </w:tc>
        <w:tc>
          <w:tcPr>
            <w:tcW w:w="1507" w:type="dxa"/>
            <w:shd w:val="clear" w:color="auto" w:fill="auto"/>
            <w:noWrap/>
            <w:vAlign w:val="center"/>
          </w:tcPr>
          <w:p w14:paraId="26D3FFE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0.97 </w:t>
            </w:r>
          </w:p>
        </w:tc>
        <w:tc>
          <w:tcPr>
            <w:tcW w:w="1508" w:type="dxa"/>
            <w:shd w:val="clear" w:color="auto" w:fill="auto"/>
            <w:noWrap/>
            <w:vAlign w:val="center"/>
          </w:tcPr>
          <w:p w14:paraId="2E0D092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0.31 </w:t>
            </w:r>
          </w:p>
        </w:tc>
        <w:tc>
          <w:tcPr>
            <w:tcW w:w="1508" w:type="dxa"/>
            <w:shd w:val="clear" w:color="auto" w:fill="auto"/>
            <w:noWrap/>
            <w:vAlign w:val="center"/>
          </w:tcPr>
          <w:p w14:paraId="4524D48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0.00 </w:t>
            </w:r>
          </w:p>
        </w:tc>
        <w:tc>
          <w:tcPr>
            <w:tcW w:w="1508" w:type="dxa"/>
            <w:shd w:val="clear" w:color="auto" w:fill="auto"/>
            <w:noWrap/>
            <w:vAlign w:val="center"/>
          </w:tcPr>
          <w:p w14:paraId="30FA94E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0.00 </w:t>
            </w:r>
          </w:p>
        </w:tc>
      </w:tr>
      <w:tr w:rsidR="009C353B" w14:paraId="4576B5F7" w14:textId="77777777">
        <w:trPr>
          <w:cantSplit/>
          <w:trHeight w:val="315"/>
        </w:trPr>
        <w:tc>
          <w:tcPr>
            <w:tcW w:w="1626" w:type="dxa"/>
            <w:vMerge w:val="restart"/>
            <w:shd w:val="clear" w:color="auto" w:fill="auto"/>
            <w:noWrap/>
            <w:vAlign w:val="center"/>
          </w:tcPr>
          <w:p w14:paraId="5265815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交通运输用地</w:t>
            </w:r>
          </w:p>
        </w:tc>
        <w:tc>
          <w:tcPr>
            <w:tcW w:w="1630" w:type="dxa"/>
            <w:shd w:val="clear" w:color="auto" w:fill="auto"/>
            <w:noWrap/>
            <w:vAlign w:val="center"/>
          </w:tcPr>
          <w:p w14:paraId="1B20C79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铁路用地</w:t>
            </w:r>
          </w:p>
        </w:tc>
        <w:tc>
          <w:tcPr>
            <w:tcW w:w="1507" w:type="dxa"/>
            <w:shd w:val="clear" w:color="auto" w:fill="auto"/>
            <w:noWrap/>
            <w:vAlign w:val="center"/>
          </w:tcPr>
          <w:p w14:paraId="5395E0E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1.20 </w:t>
            </w:r>
          </w:p>
        </w:tc>
        <w:tc>
          <w:tcPr>
            <w:tcW w:w="1508" w:type="dxa"/>
            <w:shd w:val="clear" w:color="auto" w:fill="auto"/>
            <w:noWrap/>
            <w:vAlign w:val="center"/>
          </w:tcPr>
          <w:p w14:paraId="37E1806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0.38 </w:t>
            </w:r>
          </w:p>
        </w:tc>
        <w:tc>
          <w:tcPr>
            <w:tcW w:w="1508" w:type="dxa"/>
            <w:shd w:val="clear" w:color="auto" w:fill="auto"/>
            <w:noWrap/>
            <w:vAlign w:val="center"/>
          </w:tcPr>
          <w:p w14:paraId="610755F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0.42 </w:t>
            </w:r>
          </w:p>
        </w:tc>
        <w:tc>
          <w:tcPr>
            <w:tcW w:w="1508" w:type="dxa"/>
            <w:shd w:val="clear" w:color="auto" w:fill="auto"/>
            <w:noWrap/>
            <w:vAlign w:val="center"/>
          </w:tcPr>
          <w:p w14:paraId="7178E1A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0.48 </w:t>
            </w:r>
          </w:p>
        </w:tc>
      </w:tr>
      <w:tr w:rsidR="009C353B" w14:paraId="68CDB94A" w14:textId="77777777">
        <w:trPr>
          <w:cantSplit/>
          <w:trHeight w:val="315"/>
        </w:trPr>
        <w:tc>
          <w:tcPr>
            <w:tcW w:w="1626" w:type="dxa"/>
            <w:vMerge/>
            <w:vAlign w:val="center"/>
          </w:tcPr>
          <w:p w14:paraId="762F91FB" w14:textId="77777777" w:rsidR="009C353B" w:rsidRDefault="009C353B">
            <w:pPr>
              <w:widowControl/>
              <w:jc w:val="center"/>
              <w:rPr>
                <w:rFonts w:ascii="Times New Roman" w:hAnsi="Times New Roman"/>
                <w:kern w:val="0"/>
                <w:sz w:val="21"/>
                <w:szCs w:val="21"/>
              </w:rPr>
            </w:pPr>
          </w:p>
        </w:tc>
        <w:tc>
          <w:tcPr>
            <w:tcW w:w="1630" w:type="dxa"/>
            <w:shd w:val="clear" w:color="auto" w:fill="auto"/>
            <w:noWrap/>
            <w:vAlign w:val="center"/>
          </w:tcPr>
          <w:p w14:paraId="1A002E7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公路用地</w:t>
            </w:r>
          </w:p>
        </w:tc>
        <w:tc>
          <w:tcPr>
            <w:tcW w:w="1507" w:type="dxa"/>
            <w:shd w:val="clear" w:color="auto" w:fill="auto"/>
            <w:noWrap/>
            <w:vAlign w:val="center"/>
          </w:tcPr>
          <w:p w14:paraId="14025A0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5.07 </w:t>
            </w:r>
          </w:p>
        </w:tc>
        <w:tc>
          <w:tcPr>
            <w:tcW w:w="1508" w:type="dxa"/>
            <w:shd w:val="clear" w:color="auto" w:fill="auto"/>
            <w:noWrap/>
            <w:vAlign w:val="center"/>
          </w:tcPr>
          <w:p w14:paraId="3944822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1.62 </w:t>
            </w:r>
          </w:p>
        </w:tc>
        <w:tc>
          <w:tcPr>
            <w:tcW w:w="1508" w:type="dxa"/>
            <w:shd w:val="clear" w:color="auto" w:fill="auto"/>
            <w:noWrap/>
            <w:vAlign w:val="center"/>
          </w:tcPr>
          <w:p w14:paraId="1440FFB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1.17 </w:t>
            </w:r>
          </w:p>
        </w:tc>
        <w:tc>
          <w:tcPr>
            <w:tcW w:w="1508" w:type="dxa"/>
            <w:shd w:val="clear" w:color="auto" w:fill="auto"/>
            <w:noWrap/>
            <w:vAlign w:val="center"/>
          </w:tcPr>
          <w:p w14:paraId="1C9DB24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1.36 </w:t>
            </w:r>
          </w:p>
        </w:tc>
      </w:tr>
      <w:tr w:rsidR="009C353B" w14:paraId="724EF818" w14:textId="77777777">
        <w:trPr>
          <w:cantSplit/>
          <w:trHeight w:val="315"/>
        </w:trPr>
        <w:tc>
          <w:tcPr>
            <w:tcW w:w="1626" w:type="dxa"/>
            <w:vMerge/>
            <w:vAlign w:val="center"/>
          </w:tcPr>
          <w:p w14:paraId="374A481D" w14:textId="77777777" w:rsidR="009C353B" w:rsidRDefault="009C353B">
            <w:pPr>
              <w:widowControl/>
              <w:jc w:val="center"/>
              <w:rPr>
                <w:rFonts w:ascii="Times New Roman" w:hAnsi="Times New Roman"/>
                <w:kern w:val="0"/>
                <w:sz w:val="21"/>
                <w:szCs w:val="21"/>
              </w:rPr>
            </w:pPr>
          </w:p>
        </w:tc>
        <w:tc>
          <w:tcPr>
            <w:tcW w:w="1630" w:type="dxa"/>
            <w:shd w:val="clear" w:color="auto" w:fill="auto"/>
            <w:noWrap/>
            <w:vAlign w:val="center"/>
          </w:tcPr>
          <w:p w14:paraId="37BD608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农村道路</w:t>
            </w:r>
          </w:p>
        </w:tc>
        <w:tc>
          <w:tcPr>
            <w:tcW w:w="1507" w:type="dxa"/>
            <w:shd w:val="clear" w:color="auto" w:fill="auto"/>
            <w:noWrap/>
            <w:vAlign w:val="center"/>
          </w:tcPr>
          <w:p w14:paraId="772C9BF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0.66 </w:t>
            </w:r>
          </w:p>
        </w:tc>
        <w:tc>
          <w:tcPr>
            <w:tcW w:w="1508" w:type="dxa"/>
            <w:shd w:val="clear" w:color="auto" w:fill="auto"/>
            <w:noWrap/>
            <w:vAlign w:val="center"/>
          </w:tcPr>
          <w:p w14:paraId="05674D4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0.21 </w:t>
            </w:r>
          </w:p>
        </w:tc>
        <w:tc>
          <w:tcPr>
            <w:tcW w:w="1508" w:type="dxa"/>
            <w:shd w:val="clear" w:color="auto" w:fill="auto"/>
            <w:noWrap/>
            <w:vAlign w:val="center"/>
          </w:tcPr>
          <w:p w14:paraId="670CB02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0.19 </w:t>
            </w:r>
          </w:p>
        </w:tc>
        <w:tc>
          <w:tcPr>
            <w:tcW w:w="1508" w:type="dxa"/>
            <w:shd w:val="clear" w:color="auto" w:fill="auto"/>
            <w:noWrap/>
            <w:vAlign w:val="center"/>
          </w:tcPr>
          <w:p w14:paraId="6CCF933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0.22 </w:t>
            </w:r>
          </w:p>
        </w:tc>
      </w:tr>
      <w:tr w:rsidR="009C353B" w14:paraId="60FAE1F4" w14:textId="77777777">
        <w:trPr>
          <w:cantSplit/>
          <w:trHeight w:val="315"/>
        </w:trPr>
        <w:tc>
          <w:tcPr>
            <w:tcW w:w="1626" w:type="dxa"/>
            <w:vMerge w:val="restart"/>
            <w:shd w:val="clear" w:color="auto" w:fill="auto"/>
            <w:noWrap/>
            <w:vAlign w:val="center"/>
          </w:tcPr>
          <w:p w14:paraId="5A90B89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水域及水利设施用地</w:t>
            </w:r>
          </w:p>
        </w:tc>
        <w:tc>
          <w:tcPr>
            <w:tcW w:w="1630" w:type="dxa"/>
            <w:shd w:val="clear" w:color="auto" w:fill="auto"/>
            <w:noWrap/>
            <w:vAlign w:val="center"/>
          </w:tcPr>
          <w:p w14:paraId="7D05524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河流水面</w:t>
            </w:r>
          </w:p>
        </w:tc>
        <w:tc>
          <w:tcPr>
            <w:tcW w:w="1507" w:type="dxa"/>
            <w:shd w:val="clear" w:color="auto" w:fill="auto"/>
            <w:noWrap/>
            <w:vAlign w:val="center"/>
          </w:tcPr>
          <w:p w14:paraId="5032C2E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3.36 </w:t>
            </w:r>
          </w:p>
        </w:tc>
        <w:tc>
          <w:tcPr>
            <w:tcW w:w="1508" w:type="dxa"/>
            <w:shd w:val="clear" w:color="auto" w:fill="auto"/>
            <w:noWrap/>
            <w:vAlign w:val="center"/>
          </w:tcPr>
          <w:p w14:paraId="466B6EC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1.07 </w:t>
            </w:r>
          </w:p>
        </w:tc>
        <w:tc>
          <w:tcPr>
            <w:tcW w:w="1508" w:type="dxa"/>
            <w:shd w:val="clear" w:color="auto" w:fill="auto"/>
            <w:noWrap/>
            <w:vAlign w:val="center"/>
          </w:tcPr>
          <w:p w14:paraId="2285D33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1.24 </w:t>
            </w:r>
          </w:p>
        </w:tc>
        <w:tc>
          <w:tcPr>
            <w:tcW w:w="1508" w:type="dxa"/>
            <w:shd w:val="clear" w:color="auto" w:fill="auto"/>
            <w:noWrap/>
            <w:vAlign w:val="center"/>
          </w:tcPr>
          <w:p w14:paraId="03048F5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1.44 </w:t>
            </w:r>
          </w:p>
        </w:tc>
      </w:tr>
      <w:tr w:rsidR="009C353B" w14:paraId="169B1707" w14:textId="77777777">
        <w:trPr>
          <w:cantSplit/>
          <w:trHeight w:val="300"/>
        </w:trPr>
        <w:tc>
          <w:tcPr>
            <w:tcW w:w="1626" w:type="dxa"/>
            <w:vMerge/>
            <w:vAlign w:val="center"/>
          </w:tcPr>
          <w:p w14:paraId="13BB2B15" w14:textId="77777777" w:rsidR="009C353B" w:rsidRDefault="009C353B">
            <w:pPr>
              <w:widowControl/>
              <w:jc w:val="center"/>
              <w:rPr>
                <w:rFonts w:ascii="Times New Roman" w:hAnsi="Times New Roman"/>
                <w:kern w:val="0"/>
                <w:sz w:val="21"/>
                <w:szCs w:val="21"/>
              </w:rPr>
            </w:pPr>
          </w:p>
        </w:tc>
        <w:tc>
          <w:tcPr>
            <w:tcW w:w="1630" w:type="dxa"/>
            <w:shd w:val="clear" w:color="auto" w:fill="auto"/>
            <w:noWrap/>
            <w:vAlign w:val="center"/>
          </w:tcPr>
          <w:p w14:paraId="0E707C2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水库水面</w:t>
            </w:r>
          </w:p>
        </w:tc>
        <w:tc>
          <w:tcPr>
            <w:tcW w:w="1507" w:type="dxa"/>
            <w:shd w:val="clear" w:color="auto" w:fill="auto"/>
            <w:noWrap/>
            <w:vAlign w:val="center"/>
          </w:tcPr>
          <w:p w14:paraId="0C57AE8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3.21 </w:t>
            </w:r>
          </w:p>
        </w:tc>
        <w:tc>
          <w:tcPr>
            <w:tcW w:w="1508" w:type="dxa"/>
            <w:shd w:val="clear" w:color="auto" w:fill="auto"/>
            <w:noWrap/>
            <w:vAlign w:val="center"/>
          </w:tcPr>
          <w:p w14:paraId="1ACE1F2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1.02 </w:t>
            </w:r>
          </w:p>
        </w:tc>
        <w:tc>
          <w:tcPr>
            <w:tcW w:w="1508" w:type="dxa"/>
            <w:shd w:val="clear" w:color="auto" w:fill="auto"/>
            <w:noWrap/>
            <w:vAlign w:val="center"/>
          </w:tcPr>
          <w:p w14:paraId="708E971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0.00 </w:t>
            </w:r>
          </w:p>
        </w:tc>
        <w:tc>
          <w:tcPr>
            <w:tcW w:w="1508" w:type="dxa"/>
            <w:shd w:val="clear" w:color="auto" w:fill="auto"/>
            <w:noWrap/>
            <w:vAlign w:val="center"/>
          </w:tcPr>
          <w:p w14:paraId="2946A7A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0.00 </w:t>
            </w:r>
          </w:p>
        </w:tc>
      </w:tr>
      <w:tr w:rsidR="009C353B" w14:paraId="6CAE7BE3" w14:textId="77777777">
        <w:trPr>
          <w:cantSplit/>
          <w:trHeight w:val="300"/>
        </w:trPr>
        <w:tc>
          <w:tcPr>
            <w:tcW w:w="1626" w:type="dxa"/>
            <w:vMerge/>
            <w:vAlign w:val="center"/>
          </w:tcPr>
          <w:p w14:paraId="56CF1B18" w14:textId="77777777" w:rsidR="009C353B" w:rsidRDefault="009C353B">
            <w:pPr>
              <w:widowControl/>
              <w:jc w:val="center"/>
              <w:rPr>
                <w:rFonts w:ascii="Times New Roman" w:hAnsi="Times New Roman"/>
                <w:kern w:val="0"/>
                <w:sz w:val="21"/>
                <w:szCs w:val="21"/>
              </w:rPr>
            </w:pPr>
          </w:p>
        </w:tc>
        <w:tc>
          <w:tcPr>
            <w:tcW w:w="1630" w:type="dxa"/>
            <w:shd w:val="clear" w:color="auto" w:fill="auto"/>
            <w:noWrap/>
            <w:vAlign w:val="center"/>
          </w:tcPr>
          <w:p w14:paraId="624F405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坑塘水面</w:t>
            </w:r>
          </w:p>
        </w:tc>
        <w:tc>
          <w:tcPr>
            <w:tcW w:w="1507" w:type="dxa"/>
            <w:shd w:val="clear" w:color="auto" w:fill="auto"/>
            <w:noWrap/>
            <w:vAlign w:val="center"/>
          </w:tcPr>
          <w:p w14:paraId="1564DEB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0.52 </w:t>
            </w:r>
          </w:p>
        </w:tc>
        <w:tc>
          <w:tcPr>
            <w:tcW w:w="1508" w:type="dxa"/>
            <w:shd w:val="clear" w:color="auto" w:fill="auto"/>
            <w:noWrap/>
            <w:vAlign w:val="center"/>
          </w:tcPr>
          <w:p w14:paraId="59BFFAE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0.17 </w:t>
            </w:r>
          </w:p>
        </w:tc>
        <w:tc>
          <w:tcPr>
            <w:tcW w:w="1508" w:type="dxa"/>
            <w:shd w:val="clear" w:color="auto" w:fill="auto"/>
            <w:noWrap/>
            <w:vAlign w:val="center"/>
          </w:tcPr>
          <w:p w14:paraId="3509382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0.00 </w:t>
            </w:r>
          </w:p>
        </w:tc>
        <w:tc>
          <w:tcPr>
            <w:tcW w:w="1508" w:type="dxa"/>
            <w:shd w:val="clear" w:color="auto" w:fill="auto"/>
            <w:noWrap/>
            <w:vAlign w:val="center"/>
          </w:tcPr>
          <w:p w14:paraId="3DBBE78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0.00 </w:t>
            </w:r>
          </w:p>
        </w:tc>
      </w:tr>
      <w:tr w:rsidR="009C353B" w14:paraId="2A8AEEF5" w14:textId="77777777">
        <w:trPr>
          <w:cantSplit/>
          <w:trHeight w:val="300"/>
        </w:trPr>
        <w:tc>
          <w:tcPr>
            <w:tcW w:w="1626" w:type="dxa"/>
            <w:vMerge/>
            <w:vAlign w:val="center"/>
          </w:tcPr>
          <w:p w14:paraId="7CD39CBC" w14:textId="77777777" w:rsidR="009C353B" w:rsidRDefault="009C353B">
            <w:pPr>
              <w:widowControl/>
              <w:jc w:val="center"/>
              <w:rPr>
                <w:rFonts w:ascii="Times New Roman" w:hAnsi="Times New Roman"/>
                <w:kern w:val="0"/>
                <w:sz w:val="21"/>
                <w:szCs w:val="21"/>
              </w:rPr>
            </w:pPr>
          </w:p>
        </w:tc>
        <w:tc>
          <w:tcPr>
            <w:tcW w:w="1630" w:type="dxa"/>
            <w:shd w:val="clear" w:color="auto" w:fill="auto"/>
            <w:noWrap/>
            <w:vAlign w:val="center"/>
          </w:tcPr>
          <w:p w14:paraId="5D30E07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内陆滩涂</w:t>
            </w:r>
          </w:p>
        </w:tc>
        <w:tc>
          <w:tcPr>
            <w:tcW w:w="1507" w:type="dxa"/>
            <w:shd w:val="clear" w:color="auto" w:fill="auto"/>
            <w:noWrap/>
            <w:vAlign w:val="center"/>
          </w:tcPr>
          <w:p w14:paraId="371F2A8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1.11 </w:t>
            </w:r>
          </w:p>
        </w:tc>
        <w:tc>
          <w:tcPr>
            <w:tcW w:w="1508" w:type="dxa"/>
            <w:shd w:val="clear" w:color="auto" w:fill="auto"/>
            <w:noWrap/>
            <w:vAlign w:val="center"/>
          </w:tcPr>
          <w:p w14:paraId="41AFC1A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0.35 </w:t>
            </w:r>
          </w:p>
        </w:tc>
        <w:tc>
          <w:tcPr>
            <w:tcW w:w="1508" w:type="dxa"/>
            <w:shd w:val="clear" w:color="auto" w:fill="auto"/>
            <w:noWrap/>
            <w:vAlign w:val="center"/>
          </w:tcPr>
          <w:p w14:paraId="0EA5157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0.59 </w:t>
            </w:r>
          </w:p>
        </w:tc>
        <w:tc>
          <w:tcPr>
            <w:tcW w:w="1508" w:type="dxa"/>
            <w:shd w:val="clear" w:color="auto" w:fill="auto"/>
            <w:noWrap/>
            <w:vAlign w:val="center"/>
          </w:tcPr>
          <w:p w14:paraId="6E360C8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0.69 </w:t>
            </w:r>
          </w:p>
        </w:tc>
      </w:tr>
      <w:tr w:rsidR="009C353B" w14:paraId="111DA571" w14:textId="77777777">
        <w:trPr>
          <w:cantSplit/>
          <w:trHeight w:val="300"/>
        </w:trPr>
        <w:tc>
          <w:tcPr>
            <w:tcW w:w="1626" w:type="dxa"/>
            <w:vMerge w:val="restart"/>
            <w:shd w:val="clear" w:color="auto" w:fill="auto"/>
            <w:noWrap/>
            <w:vAlign w:val="center"/>
          </w:tcPr>
          <w:p w14:paraId="2EFE001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其他土地</w:t>
            </w:r>
          </w:p>
        </w:tc>
        <w:tc>
          <w:tcPr>
            <w:tcW w:w="1630" w:type="dxa"/>
            <w:shd w:val="clear" w:color="auto" w:fill="auto"/>
            <w:noWrap/>
            <w:vAlign w:val="center"/>
          </w:tcPr>
          <w:p w14:paraId="6156A9C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沙地</w:t>
            </w:r>
          </w:p>
        </w:tc>
        <w:tc>
          <w:tcPr>
            <w:tcW w:w="1507" w:type="dxa"/>
            <w:shd w:val="clear" w:color="auto" w:fill="auto"/>
            <w:noWrap/>
            <w:vAlign w:val="center"/>
          </w:tcPr>
          <w:p w14:paraId="54BC2A4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9.17 </w:t>
            </w:r>
          </w:p>
        </w:tc>
        <w:tc>
          <w:tcPr>
            <w:tcW w:w="1508" w:type="dxa"/>
            <w:shd w:val="clear" w:color="auto" w:fill="auto"/>
            <w:noWrap/>
            <w:vAlign w:val="center"/>
          </w:tcPr>
          <w:p w14:paraId="51AFEB9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2.92 </w:t>
            </w:r>
          </w:p>
        </w:tc>
        <w:tc>
          <w:tcPr>
            <w:tcW w:w="1508" w:type="dxa"/>
            <w:shd w:val="clear" w:color="auto" w:fill="auto"/>
            <w:noWrap/>
            <w:vAlign w:val="center"/>
          </w:tcPr>
          <w:p w14:paraId="64ED15D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0.00 </w:t>
            </w:r>
          </w:p>
        </w:tc>
        <w:tc>
          <w:tcPr>
            <w:tcW w:w="1508" w:type="dxa"/>
            <w:shd w:val="clear" w:color="auto" w:fill="auto"/>
            <w:noWrap/>
            <w:vAlign w:val="center"/>
          </w:tcPr>
          <w:p w14:paraId="766B656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0.00 </w:t>
            </w:r>
          </w:p>
        </w:tc>
      </w:tr>
      <w:tr w:rsidR="009C353B" w14:paraId="46670DF8" w14:textId="77777777">
        <w:trPr>
          <w:cantSplit/>
          <w:trHeight w:val="300"/>
        </w:trPr>
        <w:tc>
          <w:tcPr>
            <w:tcW w:w="1626" w:type="dxa"/>
            <w:vMerge/>
            <w:vAlign w:val="center"/>
          </w:tcPr>
          <w:p w14:paraId="39609A1F" w14:textId="77777777" w:rsidR="009C353B" w:rsidRDefault="009C353B">
            <w:pPr>
              <w:widowControl/>
              <w:jc w:val="center"/>
              <w:rPr>
                <w:rFonts w:ascii="Times New Roman" w:hAnsi="Times New Roman"/>
                <w:kern w:val="0"/>
                <w:sz w:val="21"/>
                <w:szCs w:val="21"/>
              </w:rPr>
            </w:pPr>
          </w:p>
        </w:tc>
        <w:tc>
          <w:tcPr>
            <w:tcW w:w="1630" w:type="dxa"/>
            <w:shd w:val="clear" w:color="auto" w:fill="auto"/>
            <w:noWrap/>
            <w:vAlign w:val="center"/>
          </w:tcPr>
          <w:p w14:paraId="4A05685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裸土地</w:t>
            </w:r>
          </w:p>
        </w:tc>
        <w:tc>
          <w:tcPr>
            <w:tcW w:w="1507" w:type="dxa"/>
            <w:shd w:val="clear" w:color="auto" w:fill="auto"/>
            <w:noWrap/>
            <w:vAlign w:val="center"/>
          </w:tcPr>
          <w:p w14:paraId="4C80733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10.73 </w:t>
            </w:r>
          </w:p>
        </w:tc>
        <w:tc>
          <w:tcPr>
            <w:tcW w:w="1508" w:type="dxa"/>
            <w:shd w:val="clear" w:color="auto" w:fill="auto"/>
            <w:noWrap/>
            <w:vAlign w:val="center"/>
          </w:tcPr>
          <w:p w14:paraId="76D2271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3.42 </w:t>
            </w:r>
          </w:p>
        </w:tc>
        <w:tc>
          <w:tcPr>
            <w:tcW w:w="1508" w:type="dxa"/>
            <w:shd w:val="clear" w:color="auto" w:fill="auto"/>
            <w:noWrap/>
            <w:vAlign w:val="center"/>
          </w:tcPr>
          <w:p w14:paraId="7732196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 xml:space="preserve">3.08 </w:t>
            </w:r>
          </w:p>
        </w:tc>
        <w:tc>
          <w:tcPr>
            <w:tcW w:w="1508" w:type="dxa"/>
            <w:shd w:val="clear" w:color="auto" w:fill="auto"/>
            <w:noWrap/>
            <w:vAlign w:val="center"/>
          </w:tcPr>
          <w:p w14:paraId="5804ACD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 xml:space="preserve">3.58 </w:t>
            </w:r>
          </w:p>
        </w:tc>
      </w:tr>
      <w:tr w:rsidR="009C353B" w14:paraId="7BDD38ED" w14:textId="77777777">
        <w:trPr>
          <w:cantSplit/>
          <w:trHeight w:val="285"/>
        </w:trPr>
        <w:tc>
          <w:tcPr>
            <w:tcW w:w="1626" w:type="dxa"/>
            <w:shd w:val="clear" w:color="auto" w:fill="auto"/>
            <w:noWrap/>
            <w:vAlign w:val="center"/>
          </w:tcPr>
          <w:p w14:paraId="7A8FAB7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合计</w:t>
            </w:r>
          </w:p>
        </w:tc>
        <w:tc>
          <w:tcPr>
            <w:tcW w:w="1630" w:type="dxa"/>
            <w:shd w:val="clear" w:color="auto" w:fill="auto"/>
            <w:noWrap/>
            <w:vAlign w:val="center"/>
          </w:tcPr>
          <w:p w14:paraId="74B22CA0" w14:textId="77777777" w:rsidR="009C353B" w:rsidRDefault="009C353B">
            <w:pPr>
              <w:widowControl/>
              <w:jc w:val="center"/>
              <w:rPr>
                <w:rFonts w:ascii="Times New Roman" w:hAnsi="Times New Roman"/>
                <w:kern w:val="0"/>
                <w:sz w:val="21"/>
                <w:szCs w:val="21"/>
              </w:rPr>
            </w:pPr>
          </w:p>
        </w:tc>
        <w:tc>
          <w:tcPr>
            <w:tcW w:w="1507" w:type="dxa"/>
            <w:shd w:val="clear" w:color="auto" w:fill="auto"/>
            <w:noWrap/>
            <w:vAlign w:val="center"/>
          </w:tcPr>
          <w:p w14:paraId="7266F71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314.10</w:t>
            </w:r>
          </w:p>
        </w:tc>
        <w:tc>
          <w:tcPr>
            <w:tcW w:w="1508" w:type="dxa"/>
            <w:shd w:val="clear" w:color="auto" w:fill="auto"/>
            <w:noWrap/>
            <w:vAlign w:val="center"/>
          </w:tcPr>
          <w:p w14:paraId="732184F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100.00</w:t>
            </w:r>
          </w:p>
        </w:tc>
        <w:tc>
          <w:tcPr>
            <w:tcW w:w="1508" w:type="dxa"/>
            <w:shd w:val="clear" w:color="auto" w:fill="auto"/>
            <w:noWrap/>
            <w:vAlign w:val="center"/>
          </w:tcPr>
          <w:p w14:paraId="67F6FBA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86.00</w:t>
            </w:r>
          </w:p>
        </w:tc>
        <w:tc>
          <w:tcPr>
            <w:tcW w:w="1508" w:type="dxa"/>
            <w:shd w:val="clear" w:color="auto" w:fill="auto"/>
            <w:noWrap/>
            <w:vAlign w:val="center"/>
          </w:tcPr>
          <w:p w14:paraId="0922171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100.00</w:t>
            </w:r>
          </w:p>
        </w:tc>
      </w:tr>
    </w:tbl>
    <w:p w14:paraId="70DDDF4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hint="eastAsia"/>
          <w:szCs w:val="24"/>
        </w:rPr>
        <w:t>1</w:t>
      </w:r>
      <w:r>
        <w:rPr>
          <w:rFonts w:ascii="Times New Roman" w:hAnsi="Times New Roman"/>
          <w:szCs w:val="24"/>
        </w:rPr>
        <w:t>）林地：林地：评价区</w:t>
      </w:r>
      <w:r>
        <w:rPr>
          <w:rFonts w:ascii="Times New Roman" w:hAnsi="Times New Roman" w:hint="eastAsia"/>
          <w:szCs w:val="24"/>
        </w:rPr>
        <w:t>内</w:t>
      </w:r>
      <w:r>
        <w:rPr>
          <w:rFonts w:ascii="Times New Roman" w:hAnsi="Times New Roman"/>
          <w:szCs w:val="24"/>
        </w:rPr>
        <w:t>林地</w:t>
      </w:r>
      <w:r>
        <w:rPr>
          <w:rFonts w:ascii="Times New Roman" w:hAnsi="Times New Roman" w:hint="eastAsia"/>
          <w:szCs w:val="24"/>
        </w:rPr>
        <w:t>类型</w:t>
      </w:r>
      <w:r>
        <w:rPr>
          <w:rFonts w:ascii="Times New Roman" w:hAnsi="Times New Roman"/>
          <w:szCs w:val="24"/>
        </w:rPr>
        <w:t>主要为</w:t>
      </w:r>
      <w:r>
        <w:rPr>
          <w:rFonts w:ascii="Times New Roman" w:hAnsi="Times New Roman" w:hint="eastAsia"/>
          <w:szCs w:val="24"/>
        </w:rPr>
        <w:t>乔木</w:t>
      </w:r>
      <w:r>
        <w:rPr>
          <w:rFonts w:ascii="Times New Roman" w:hAnsi="Times New Roman"/>
          <w:szCs w:val="24"/>
        </w:rPr>
        <w:t>林地</w:t>
      </w:r>
      <w:r>
        <w:rPr>
          <w:rFonts w:ascii="Times New Roman" w:hAnsi="Times New Roman" w:hint="eastAsia"/>
          <w:szCs w:val="24"/>
        </w:rPr>
        <w:t>和灌木林地</w:t>
      </w:r>
      <w:r>
        <w:rPr>
          <w:rFonts w:ascii="Times New Roman" w:hAnsi="Times New Roman"/>
          <w:szCs w:val="24"/>
        </w:rPr>
        <w:t>，</w:t>
      </w:r>
      <w:r>
        <w:rPr>
          <w:rFonts w:ascii="Times New Roman" w:hAnsi="Times New Roman" w:hint="eastAsia"/>
          <w:szCs w:val="24"/>
        </w:rPr>
        <w:t>多数为人工林地。乔木林地树种主要有刺槐、杨树和樟子松等，灌木林地树种主要有柠条、沙枣、</w:t>
      </w:r>
      <w:r>
        <w:rPr>
          <w:rFonts w:ascii="Times New Roman" w:hAnsi="Times New Roman"/>
          <w:szCs w:val="24"/>
        </w:rPr>
        <w:t>花棒、杨柴、</w:t>
      </w:r>
      <w:r>
        <w:rPr>
          <w:rFonts w:ascii="Times New Roman" w:hAnsi="Times New Roman" w:hint="eastAsia"/>
          <w:szCs w:val="24"/>
        </w:rPr>
        <w:t>柽柳等。</w:t>
      </w:r>
      <w:r>
        <w:rPr>
          <w:rFonts w:ascii="Times New Roman" w:hAnsi="Times New Roman"/>
          <w:szCs w:val="24"/>
        </w:rPr>
        <w:t>评价区</w:t>
      </w:r>
      <w:r>
        <w:rPr>
          <w:rFonts w:ascii="Times New Roman" w:hAnsi="Times New Roman" w:hint="eastAsia"/>
          <w:szCs w:val="24"/>
        </w:rPr>
        <w:t>及</w:t>
      </w:r>
      <w:r>
        <w:rPr>
          <w:rFonts w:ascii="Times New Roman" w:hAnsi="Times New Roman"/>
          <w:szCs w:val="24"/>
        </w:rPr>
        <w:t>矿区内林地面积</w:t>
      </w:r>
      <w:r>
        <w:rPr>
          <w:rFonts w:ascii="Times New Roman" w:hAnsi="Times New Roman" w:hint="eastAsia"/>
          <w:szCs w:val="24"/>
        </w:rPr>
        <w:t>分别</w:t>
      </w:r>
      <w:r>
        <w:rPr>
          <w:rFonts w:ascii="Times New Roman" w:hAnsi="Times New Roman"/>
          <w:szCs w:val="24"/>
        </w:rPr>
        <w:t>为</w:t>
      </w:r>
      <w:r>
        <w:rPr>
          <w:rFonts w:ascii="Times New Roman" w:hAnsi="Times New Roman"/>
          <w:szCs w:val="24"/>
        </w:rPr>
        <w:t>110.91km</w:t>
      </w:r>
      <w:r>
        <w:rPr>
          <w:rFonts w:ascii="Times New Roman" w:hAnsi="Times New Roman"/>
          <w:szCs w:val="24"/>
          <w:vertAlign w:val="superscript"/>
        </w:rPr>
        <w:t>2</w:t>
      </w:r>
      <w:r>
        <w:rPr>
          <w:rFonts w:ascii="Times New Roman" w:hAnsi="Times New Roman" w:hint="eastAsia"/>
          <w:szCs w:val="24"/>
        </w:rPr>
        <w:t>和</w:t>
      </w:r>
      <w:r>
        <w:rPr>
          <w:rFonts w:ascii="Times New Roman" w:hAnsi="Times New Roman"/>
          <w:szCs w:val="24"/>
        </w:rPr>
        <w:t>47.24km</w:t>
      </w:r>
      <w:r>
        <w:rPr>
          <w:rFonts w:ascii="Times New Roman" w:hAnsi="Times New Roman"/>
          <w:szCs w:val="24"/>
          <w:vertAlign w:val="superscript"/>
        </w:rPr>
        <w:t>2</w:t>
      </w:r>
      <w:r>
        <w:rPr>
          <w:rFonts w:ascii="Times New Roman" w:hAnsi="Times New Roman"/>
          <w:szCs w:val="24"/>
        </w:rPr>
        <w:t>，分别占评价区</w:t>
      </w:r>
      <w:r>
        <w:rPr>
          <w:rFonts w:ascii="Times New Roman" w:hAnsi="Times New Roman" w:hint="eastAsia"/>
          <w:szCs w:val="24"/>
        </w:rPr>
        <w:t>及</w:t>
      </w:r>
      <w:r>
        <w:rPr>
          <w:rFonts w:ascii="Times New Roman" w:hAnsi="Times New Roman"/>
          <w:szCs w:val="24"/>
        </w:rPr>
        <w:t>矿区面积的</w:t>
      </w:r>
      <w:r>
        <w:rPr>
          <w:rFonts w:ascii="Times New Roman" w:hAnsi="Times New Roman"/>
          <w:szCs w:val="24"/>
        </w:rPr>
        <w:t>35.31%</w:t>
      </w:r>
      <w:r>
        <w:rPr>
          <w:rFonts w:ascii="Times New Roman" w:hAnsi="Times New Roman" w:hint="eastAsia"/>
          <w:szCs w:val="24"/>
        </w:rPr>
        <w:t>和</w:t>
      </w:r>
      <w:r>
        <w:rPr>
          <w:rFonts w:ascii="Times New Roman" w:hAnsi="Times New Roman"/>
          <w:szCs w:val="24"/>
        </w:rPr>
        <w:t>54.93%</w:t>
      </w:r>
      <w:r>
        <w:rPr>
          <w:rFonts w:ascii="Times New Roman" w:hAnsi="Times New Roman"/>
          <w:szCs w:val="24"/>
        </w:rPr>
        <w:t>。</w:t>
      </w:r>
    </w:p>
    <w:p w14:paraId="0ACC428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）草地：评价区</w:t>
      </w:r>
      <w:r>
        <w:rPr>
          <w:rFonts w:ascii="Times New Roman" w:hAnsi="Times New Roman" w:hint="eastAsia"/>
          <w:szCs w:val="24"/>
        </w:rPr>
        <w:t>地处荒漠</w:t>
      </w:r>
      <w:r>
        <w:rPr>
          <w:rFonts w:ascii="Times New Roman" w:hAnsi="Times New Roman"/>
          <w:szCs w:val="24"/>
        </w:rPr>
        <w:t>草原区</w:t>
      </w:r>
      <w:r>
        <w:rPr>
          <w:rFonts w:ascii="Times New Roman" w:hAnsi="Times New Roman" w:hint="eastAsia"/>
          <w:szCs w:val="24"/>
        </w:rPr>
        <w:t>，</w:t>
      </w:r>
      <w:r>
        <w:rPr>
          <w:rFonts w:ascii="Times New Roman" w:hAnsi="Times New Roman"/>
          <w:szCs w:val="24"/>
        </w:rPr>
        <w:t>因此评价区及矿区内的主要土地利用类型均为草地</w:t>
      </w:r>
      <w:r>
        <w:rPr>
          <w:rFonts w:ascii="Times New Roman" w:hAnsi="Times New Roman" w:hint="eastAsia"/>
          <w:szCs w:val="24"/>
        </w:rPr>
        <w:t>，</w:t>
      </w:r>
      <w:r>
        <w:rPr>
          <w:rFonts w:ascii="Times New Roman" w:hAnsi="Times New Roman"/>
          <w:szCs w:val="24"/>
        </w:rPr>
        <w:t>且</w:t>
      </w:r>
      <w:r>
        <w:rPr>
          <w:rFonts w:ascii="Times New Roman" w:hAnsi="Times New Roman" w:hint="eastAsia"/>
          <w:szCs w:val="24"/>
        </w:rPr>
        <w:t>草地</w:t>
      </w:r>
      <w:r>
        <w:rPr>
          <w:rFonts w:ascii="Times New Roman" w:hAnsi="Times New Roman"/>
          <w:szCs w:val="24"/>
        </w:rPr>
        <w:t>类型主要为天然牧草地。</w:t>
      </w:r>
      <w:r>
        <w:rPr>
          <w:rFonts w:ascii="Times New Roman" w:hAnsi="Times New Roman" w:hint="eastAsia"/>
          <w:szCs w:val="24"/>
        </w:rPr>
        <w:t>评价区及</w:t>
      </w:r>
      <w:r>
        <w:rPr>
          <w:rFonts w:ascii="Times New Roman" w:hAnsi="Times New Roman"/>
          <w:szCs w:val="24"/>
        </w:rPr>
        <w:t>矿区内草地面积</w:t>
      </w:r>
      <w:r>
        <w:rPr>
          <w:rFonts w:ascii="Times New Roman" w:hAnsi="Times New Roman" w:hint="eastAsia"/>
          <w:szCs w:val="24"/>
        </w:rPr>
        <w:t>分别</w:t>
      </w:r>
      <w:r>
        <w:rPr>
          <w:rFonts w:ascii="Times New Roman" w:hAnsi="Times New Roman"/>
          <w:szCs w:val="24"/>
        </w:rPr>
        <w:t>为</w:t>
      </w:r>
      <w:r>
        <w:rPr>
          <w:rFonts w:ascii="Times New Roman" w:hAnsi="Times New Roman"/>
          <w:szCs w:val="24"/>
        </w:rPr>
        <w:t>135.38km</w:t>
      </w:r>
      <w:r>
        <w:rPr>
          <w:rFonts w:ascii="Times New Roman" w:hAnsi="Times New Roman"/>
          <w:szCs w:val="24"/>
          <w:vertAlign w:val="superscript"/>
        </w:rPr>
        <w:t>2</w:t>
      </w:r>
      <w:r>
        <w:rPr>
          <w:rFonts w:ascii="Times New Roman" w:hAnsi="Times New Roman" w:hint="eastAsia"/>
          <w:szCs w:val="24"/>
        </w:rPr>
        <w:t>和</w:t>
      </w:r>
      <w:r>
        <w:rPr>
          <w:rFonts w:ascii="Times New Roman" w:hAnsi="Times New Roman"/>
          <w:szCs w:val="24"/>
        </w:rPr>
        <w:t>25.40km</w:t>
      </w:r>
      <w:r>
        <w:rPr>
          <w:rFonts w:ascii="Times New Roman" w:hAnsi="Times New Roman"/>
          <w:szCs w:val="24"/>
          <w:vertAlign w:val="superscript"/>
        </w:rPr>
        <w:t>2</w:t>
      </w:r>
      <w:r>
        <w:rPr>
          <w:rFonts w:ascii="Times New Roman" w:hAnsi="Times New Roman" w:hint="eastAsia"/>
          <w:szCs w:val="24"/>
        </w:rPr>
        <w:t>，分别</w:t>
      </w:r>
      <w:r>
        <w:rPr>
          <w:rFonts w:ascii="Times New Roman" w:hAnsi="Times New Roman"/>
          <w:szCs w:val="24"/>
        </w:rPr>
        <w:t>占评价区</w:t>
      </w:r>
      <w:r>
        <w:rPr>
          <w:rFonts w:ascii="Times New Roman" w:hAnsi="Times New Roman" w:hint="eastAsia"/>
          <w:szCs w:val="24"/>
        </w:rPr>
        <w:t>及</w:t>
      </w:r>
      <w:r>
        <w:rPr>
          <w:rFonts w:ascii="Times New Roman" w:hAnsi="Times New Roman"/>
          <w:szCs w:val="24"/>
        </w:rPr>
        <w:t>矿区面积的</w:t>
      </w:r>
      <w:r>
        <w:rPr>
          <w:rFonts w:ascii="Times New Roman" w:hAnsi="Times New Roman"/>
          <w:szCs w:val="24"/>
        </w:rPr>
        <w:t>43.10%</w:t>
      </w:r>
      <w:r>
        <w:rPr>
          <w:rFonts w:ascii="Times New Roman" w:hAnsi="Times New Roman" w:hint="eastAsia"/>
          <w:szCs w:val="24"/>
        </w:rPr>
        <w:t>和</w:t>
      </w:r>
      <w:r>
        <w:rPr>
          <w:rFonts w:ascii="Times New Roman" w:hAnsi="Times New Roman"/>
          <w:szCs w:val="24"/>
        </w:rPr>
        <w:t>29.53%</w:t>
      </w:r>
      <w:r>
        <w:rPr>
          <w:rFonts w:ascii="Times New Roman" w:hAnsi="Times New Roman"/>
          <w:szCs w:val="24"/>
        </w:rPr>
        <w:t>。</w:t>
      </w:r>
    </w:p>
    <w:p w14:paraId="5921C9E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3</w:t>
      </w:r>
      <w:r>
        <w:rPr>
          <w:rFonts w:ascii="Times New Roman" w:hAnsi="Times New Roman"/>
          <w:szCs w:val="24"/>
        </w:rPr>
        <w:t>）工矿仓储用地：</w:t>
      </w:r>
      <w:r>
        <w:rPr>
          <w:rFonts w:ascii="Times New Roman" w:hAnsi="Times New Roman" w:hint="eastAsia"/>
          <w:szCs w:val="24"/>
        </w:rPr>
        <w:t>评价区</w:t>
      </w:r>
      <w:r>
        <w:rPr>
          <w:rFonts w:ascii="Times New Roman" w:hAnsi="Times New Roman"/>
          <w:szCs w:val="24"/>
        </w:rPr>
        <w:t>内工矿仓储用地类型</w:t>
      </w:r>
      <w:r>
        <w:rPr>
          <w:rFonts w:ascii="Times New Roman" w:hAnsi="Times New Roman" w:hint="eastAsia"/>
          <w:szCs w:val="24"/>
        </w:rPr>
        <w:t>主要</w:t>
      </w:r>
      <w:r>
        <w:rPr>
          <w:rFonts w:ascii="Times New Roman" w:hAnsi="Times New Roman"/>
          <w:szCs w:val="24"/>
        </w:rPr>
        <w:t>为</w:t>
      </w:r>
      <w:r>
        <w:rPr>
          <w:rFonts w:ascii="Times New Roman" w:hAnsi="Times New Roman" w:hint="eastAsia"/>
          <w:szCs w:val="24"/>
        </w:rPr>
        <w:t>工</w:t>
      </w:r>
      <w:r>
        <w:rPr>
          <w:rFonts w:ascii="Times New Roman" w:hAnsi="Times New Roman"/>
          <w:szCs w:val="24"/>
        </w:rPr>
        <w:t>矿用地，</w:t>
      </w:r>
      <w:r>
        <w:rPr>
          <w:rFonts w:ascii="Times New Roman" w:hAnsi="Times New Roman" w:hint="eastAsia"/>
          <w:szCs w:val="24"/>
        </w:rPr>
        <w:t>主要包括丁家梁、红石湾、任家庄和马莲台四个煤矿的工业场地和矿区周边的工业园区</w:t>
      </w:r>
      <w:r>
        <w:rPr>
          <w:rFonts w:ascii="Times New Roman" w:hAnsi="Times New Roman"/>
          <w:szCs w:val="24"/>
        </w:rPr>
        <w:t>。评价区</w:t>
      </w:r>
      <w:r>
        <w:rPr>
          <w:rFonts w:ascii="Times New Roman" w:hAnsi="Times New Roman" w:hint="eastAsia"/>
          <w:szCs w:val="24"/>
        </w:rPr>
        <w:t>及</w:t>
      </w:r>
      <w:r>
        <w:rPr>
          <w:rFonts w:ascii="Times New Roman" w:hAnsi="Times New Roman"/>
          <w:szCs w:val="24"/>
        </w:rPr>
        <w:t>矿区内的</w:t>
      </w:r>
      <w:r>
        <w:rPr>
          <w:rFonts w:ascii="Times New Roman" w:hAnsi="Times New Roman" w:hint="eastAsia"/>
          <w:szCs w:val="24"/>
        </w:rPr>
        <w:t>工矿</w:t>
      </w:r>
      <w:r>
        <w:rPr>
          <w:rFonts w:ascii="Times New Roman" w:hAnsi="Times New Roman"/>
          <w:szCs w:val="24"/>
        </w:rPr>
        <w:t>仓储用地面积</w:t>
      </w:r>
      <w:r>
        <w:rPr>
          <w:rFonts w:ascii="Times New Roman" w:hAnsi="Times New Roman" w:hint="eastAsia"/>
          <w:szCs w:val="24"/>
        </w:rPr>
        <w:t>分别</w:t>
      </w:r>
      <w:r>
        <w:rPr>
          <w:rFonts w:ascii="Times New Roman" w:hAnsi="Times New Roman"/>
          <w:szCs w:val="24"/>
        </w:rPr>
        <w:t>为</w:t>
      </w:r>
      <w:r>
        <w:rPr>
          <w:rFonts w:ascii="Times New Roman" w:hAnsi="Times New Roman"/>
          <w:szCs w:val="24"/>
        </w:rPr>
        <w:t>31.78km</w:t>
      </w:r>
      <w:r>
        <w:rPr>
          <w:rFonts w:ascii="Times New Roman" w:hAnsi="Times New Roman"/>
          <w:szCs w:val="24"/>
          <w:vertAlign w:val="superscript"/>
        </w:rPr>
        <w:t>2</w:t>
      </w:r>
      <w:r>
        <w:rPr>
          <w:rFonts w:ascii="Times New Roman" w:hAnsi="Times New Roman" w:hint="eastAsia"/>
          <w:szCs w:val="24"/>
        </w:rPr>
        <w:t>和</w:t>
      </w:r>
      <w:r>
        <w:rPr>
          <w:rFonts w:ascii="Times New Roman" w:hAnsi="Times New Roman"/>
          <w:szCs w:val="24"/>
        </w:rPr>
        <w:t>6.67km</w:t>
      </w:r>
      <w:r>
        <w:rPr>
          <w:rFonts w:ascii="Times New Roman" w:hAnsi="Times New Roman"/>
          <w:szCs w:val="24"/>
          <w:vertAlign w:val="superscript"/>
        </w:rPr>
        <w:t>2</w:t>
      </w:r>
      <w:r>
        <w:rPr>
          <w:rFonts w:ascii="Times New Roman" w:hAnsi="Times New Roman"/>
          <w:szCs w:val="24"/>
        </w:rPr>
        <w:t>，</w:t>
      </w:r>
      <w:r>
        <w:rPr>
          <w:rFonts w:ascii="Times New Roman" w:hAnsi="Times New Roman" w:hint="eastAsia"/>
          <w:szCs w:val="24"/>
        </w:rPr>
        <w:t>分别</w:t>
      </w:r>
      <w:r>
        <w:rPr>
          <w:rFonts w:ascii="Times New Roman" w:hAnsi="Times New Roman"/>
          <w:szCs w:val="24"/>
        </w:rPr>
        <w:t>占评价区</w:t>
      </w:r>
      <w:r>
        <w:rPr>
          <w:rFonts w:ascii="Times New Roman" w:hAnsi="Times New Roman" w:hint="eastAsia"/>
          <w:szCs w:val="24"/>
        </w:rPr>
        <w:t>及</w:t>
      </w:r>
      <w:r>
        <w:rPr>
          <w:rFonts w:ascii="Times New Roman" w:hAnsi="Times New Roman"/>
          <w:szCs w:val="24"/>
        </w:rPr>
        <w:t>矿区面积的</w:t>
      </w:r>
      <w:r>
        <w:rPr>
          <w:rFonts w:ascii="Times New Roman" w:hAnsi="Times New Roman"/>
          <w:szCs w:val="24"/>
        </w:rPr>
        <w:t>10.12%</w:t>
      </w:r>
      <w:r>
        <w:rPr>
          <w:rFonts w:ascii="Times New Roman" w:hAnsi="Times New Roman" w:hint="eastAsia"/>
          <w:szCs w:val="24"/>
        </w:rPr>
        <w:t>和</w:t>
      </w:r>
      <w:r>
        <w:rPr>
          <w:rFonts w:ascii="Times New Roman" w:hAnsi="Times New Roman"/>
          <w:szCs w:val="24"/>
        </w:rPr>
        <w:t>7.76%</w:t>
      </w:r>
      <w:r>
        <w:rPr>
          <w:rFonts w:ascii="Times New Roman" w:hAnsi="Times New Roman"/>
          <w:szCs w:val="24"/>
        </w:rPr>
        <w:t>。</w:t>
      </w:r>
    </w:p>
    <w:p w14:paraId="004B82F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4</w:t>
      </w:r>
      <w:r>
        <w:rPr>
          <w:rFonts w:ascii="Times New Roman" w:hAnsi="Times New Roman"/>
          <w:szCs w:val="24"/>
        </w:rPr>
        <w:t>）住宅用地：</w:t>
      </w:r>
      <w:r>
        <w:rPr>
          <w:rFonts w:ascii="Times New Roman" w:hAnsi="Times New Roman" w:hint="eastAsia"/>
          <w:szCs w:val="24"/>
        </w:rPr>
        <w:t>评价区</w:t>
      </w:r>
      <w:r>
        <w:rPr>
          <w:rFonts w:ascii="Times New Roman" w:hAnsi="Times New Roman"/>
          <w:szCs w:val="24"/>
        </w:rPr>
        <w:t>内的住宅用地</w:t>
      </w:r>
      <w:r>
        <w:rPr>
          <w:rFonts w:ascii="Times New Roman" w:hAnsi="Times New Roman" w:hint="eastAsia"/>
          <w:szCs w:val="24"/>
        </w:rPr>
        <w:t>类型为</w:t>
      </w:r>
      <w:r>
        <w:rPr>
          <w:rFonts w:ascii="Times New Roman" w:hAnsi="Times New Roman"/>
          <w:szCs w:val="24"/>
        </w:rPr>
        <w:t>城镇住宅用地。评价</w:t>
      </w:r>
      <w:r>
        <w:rPr>
          <w:rFonts w:ascii="Times New Roman" w:hAnsi="Times New Roman" w:hint="eastAsia"/>
          <w:szCs w:val="24"/>
        </w:rPr>
        <w:t>区</w:t>
      </w:r>
      <w:r>
        <w:rPr>
          <w:rFonts w:ascii="Times New Roman" w:hAnsi="Times New Roman"/>
          <w:szCs w:val="24"/>
        </w:rPr>
        <w:t>内的住宅用地面积为</w:t>
      </w:r>
      <w:r>
        <w:rPr>
          <w:rFonts w:ascii="Times New Roman" w:hAnsi="Times New Roman"/>
          <w:szCs w:val="24"/>
        </w:rPr>
        <w:t>0.97km</w:t>
      </w:r>
      <w:r>
        <w:rPr>
          <w:rFonts w:ascii="Times New Roman" w:hAnsi="Times New Roman"/>
          <w:szCs w:val="24"/>
          <w:vertAlign w:val="superscript"/>
        </w:rPr>
        <w:t>2</w:t>
      </w:r>
      <w:r>
        <w:rPr>
          <w:rFonts w:ascii="Times New Roman" w:hAnsi="Times New Roman"/>
          <w:szCs w:val="24"/>
        </w:rPr>
        <w:t>，占评价区面积的</w:t>
      </w:r>
      <w:r>
        <w:rPr>
          <w:rFonts w:ascii="Times New Roman" w:hAnsi="Times New Roman" w:hint="eastAsia"/>
          <w:szCs w:val="24"/>
        </w:rPr>
        <w:t>0.3</w:t>
      </w:r>
      <w:r>
        <w:rPr>
          <w:rFonts w:ascii="Times New Roman" w:hAnsi="Times New Roman"/>
          <w:szCs w:val="24"/>
        </w:rPr>
        <w:t>1%</w:t>
      </w:r>
      <w:r>
        <w:rPr>
          <w:rFonts w:ascii="Times New Roman" w:hAnsi="Times New Roman" w:hint="eastAsia"/>
          <w:szCs w:val="24"/>
        </w:rPr>
        <w:t>，矿区内无城镇住宅用地</w:t>
      </w:r>
      <w:r>
        <w:rPr>
          <w:rFonts w:ascii="Times New Roman" w:hAnsi="Times New Roman"/>
          <w:szCs w:val="24"/>
        </w:rPr>
        <w:t>。</w:t>
      </w:r>
      <w:r>
        <w:rPr>
          <w:rFonts w:ascii="Times New Roman" w:hAnsi="Times New Roman"/>
          <w:szCs w:val="24"/>
        </w:rPr>
        <w:tab/>
      </w:r>
    </w:p>
    <w:p w14:paraId="6BEC856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5</w:t>
      </w:r>
      <w:r>
        <w:rPr>
          <w:rFonts w:ascii="Times New Roman" w:hAnsi="Times New Roman"/>
          <w:szCs w:val="24"/>
        </w:rPr>
        <w:t>）交通运输用地：</w:t>
      </w:r>
      <w:r>
        <w:rPr>
          <w:rFonts w:ascii="Times New Roman" w:hAnsi="Times New Roman" w:hint="eastAsia"/>
          <w:szCs w:val="24"/>
        </w:rPr>
        <w:t>评价区</w:t>
      </w:r>
      <w:r>
        <w:rPr>
          <w:rFonts w:ascii="Times New Roman" w:hAnsi="Times New Roman"/>
          <w:szCs w:val="24"/>
        </w:rPr>
        <w:t>内交通运输用地类型包括铁路用地</w:t>
      </w:r>
      <w:r>
        <w:rPr>
          <w:rFonts w:ascii="Times New Roman" w:hAnsi="Times New Roman" w:hint="eastAsia"/>
          <w:szCs w:val="24"/>
        </w:rPr>
        <w:t>、</w:t>
      </w:r>
      <w:r>
        <w:rPr>
          <w:rFonts w:ascii="Times New Roman" w:hAnsi="Times New Roman"/>
          <w:szCs w:val="24"/>
        </w:rPr>
        <w:t>公路用地</w:t>
      </w:r>
      <w:r>
        <w:rPr>
          <w:rFonts w:ascii="Times New Roman" w:hAnsi="Times New Roman" w:hint="eastAsia"/>
          <w:szCs w:val="24"/>
        </w:rPr>
        <w:t>和农村道路</w:t>
      </w:r>
      <w:r>
        <w:rPr>
          <w:rFonts w:ascii="Times New Roman" w:hAnsi="Times New Roman"/>
          <w:szCs w:val="24"/>
        </w:rPr>
        <w:t>。评价区</w:t>
      </w:r>
      <w:r>
        <w:rPr>
          <w:rFonts w:ascii="Times New Roman" w:hAnsi="Times New Roman" w:hint="eastAsia"/>
          <w:szCs w:val="24"/>
        </w:rPr>
        <w:t>及</w:t>
      </w:r>
      <w:r>
        <w:rPr>
          <w:rFonts w:ascii="Times New Roman" w:hAnsi="Times New Roman"/>
          <w:szCs w:val="24"/>
        </w:rPr>
        <w:t>矿区内</w:t>
      </w:r>
      <w:r>
        <w:rPr>
          <w:rFonts w:ascii="Times New Roman" w:hAnsi="Times New Roman" w:hint="eastAsia"/>
          <w:szCs w:val="24"/>
        </w:rPr>
        <w:t>的</w:t>
      </w:r>
      <w:r>
        <w:rPr>
          <w:rFonts w:ascii="Times New Roman" w:hAnsi="Times New Roman"/>
          <w:szCs w:val="24"/>
        </w:rPr>
        <w:t>交通运输用地面积</w:t>
      </w:r>
      <w:r>
        <w:rPr>
          <w:rFonts w:ascii="Times New Roman" w:hAnsi="Times New Roman" w:hint="eastAsia"/>
          <w:szCs w:val="24"/>
        </w:rPr>
        <w:t>分别</w:t>
      </w:r>
      <w:r>
        <w:rPr>
          <w:rFonts w:ascii="Times New Roman" w:hAnsi="Times New Roman"/>
          <w:szCs w:val="24"/>
        </w:rPr>
        <w:t>为</w:t>
      </w:r>
      <w:r>
        <w:rPr>
          <w:rFonts w:ascii="Times New Roman" w:hAnsi="Times New Roman"/>
          <w:szCs w:val="24"/>
        </w:rPr>
        <w:t>6.94km</w:t>
      </w:r>
      <w:r>
        <w:rPr>
          <w:rFonts w:ascii="Times New Roman" w:hAnsi="Times New Roman"/>
          <w:szCs w:val="24"/>
          <w:vertAlign w:val="superscript"/>
        </w:rPr>
        <w:t>2</w:t>
      </w:r>
      <w:r>
        <w:rPr>
          <w:rFonts w:ascii="Times New Roman" w:hAnsi="Times New Roman" w:hint="eastAsia"/>
          <w:szCs w:val="24"/>
        </w:rPr>
        <w:t>和</w:t>
      </w:r>
      <w:r>
        <w:rPr>
          <w:rFonts w:ascii="Times New Roman" w:hAnsi="Times New Roman"/>
          <w:szCs w:val="24"/>
        </w:rPr>
        <w:t>1.78km</w:t>
      </w:r>
      <w:r>
        <w:rPr>
          <w:rFonts w:ascii="Times New Roman" w:hAnsi="Times New Roman"/>
          <w:szCs w:val="24"/>
          <w:vertAlign w:val="superscript"/>
        </w:rPr>
        <w:t>2</w:t>
      </w:r>
      <w:r>
        <w:rPr>
          <w:rFonts w:ascii="Times New Roman" w:hAnsi="Times New Roman"/>
          <w:szCs w:val="24"/>
        </w:rPr>
        <w:t>，</w:t>
      </w:r>
      <w:r>
        <w:rPr>
          <w:rFonts w:ascii="Times New Roman" w:hAnsi="Times New Roman" w:hint="eastAsia"/>
          <w:szCs w:val="24"/>
        </w:rPr>
        <w:t>分别</w:t>
      </w:r>
      <w:r>
        <w:rPr>
          <w:rFonts w:ascii="Times New Roman" w:hAnsi="Times New Roman"/>
          <w:szCs w:val="24"/>
        </w:rPr>
        <w:t>占评价区</w:t>
      </w:r>
      <w:r>
        <w:rPr>
          <w:rFonts w:ascii="Times New Roman" w:hAnsi="Times New Roman" w:hint="eastAsia"/>
          <w:szCs w:val="24"/>
        </w:rPr>
        <w:t>及</w:t>
      </w:r>
      <w:r>
        <w:rPr>
          <w:rFonts w:ascii="Times New Roman" w:hAnsi="Times New Roman"/>
          <w:szCs w:val="24"/>
        </w:rPr>
        <w:t>矿区面积的</w:t>
      </w:r>
      <w:r>
        <w:rPr>
          <w:rFonts w:ascii="Times New Roman" w:hAnsi="Times New Roman" w:hint="eastAsia"/>
          <w:szCs w:val="24"/>
        </w:rPr>
        <w:t>2.</w:t>
      </w:r>
      <w:r>
        <w:rPr>
          <w:rFonts w:ascii="Times New Roman" w:hAnsi="Times New Roman"/>
          <w:szCs w:val="24"/>
        </w:rPr>
        <w:t>21%</w:t>
      </w:r>
      <w:r>
        <w:rPr>
          <w:rFonts w:ascii="Times New Roman" w:hAnsi="Times New Roman" w:hint="eastAsia"/>
          <w:szCs w:val="24"/>
        </w:rPr>
        <w:t>和</w:t>
      </w:r>
      <w:r>
        <w:rPr>
          <w:rFonts w:ascii="Times New Roman" w:hAnsi="Times New Roman" w:hint="eastAsia"/>
          <w:szCs w:val="24"/>
        </w:rPr>
        <w:t>2.</w:t>
      </w:r>
      <w:r>
        <w:rPr>
          <w:rFonts w:ascii="Times New Roman" w:hAnsi="Times New Roman"/>
          <w:szCs w:val="24"/>
        </w:rPr>
        <w:t>07%</w:t>
      </w:r>
      <w:r>
        <w:rPr>
          <w:rFonts w:ascii="Times New Roman" w:hAnsi="Times New Roman"/>
          <w:szCs w:val="24"/>
        </w:rPr>
        <w:t>。</w:t>
      </w:r>
    </w:p>
    <w:p w14:paraId="6BC7101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6</w:t>
      </w:r>
      <w:r>
        <w:rPr>
          <w:rFonts w:ascii="Times New Roman" w:hAnsi="Times New Roman"/>
          <w:szCs w:val="24"/>
        </w:rPr>
        <w:t>）水域及水利设施用地：</w:t>
      </w:r>
      <w:r>
        <w:rPr>
          <w:rFonts w:ascii="Times New Roman" w:hAnsi="Times New Roman" w:hint="eastAsia"/>
          <w:szCs w:val="24"/>
        </w:rPr>
        <w:t>评价区</w:t>
      </w:r>
      <w:r>
        <w:rPr>
          <w:rFonts w:ascii="Times New Roman" w:hAnsi="Times New Roman"/>
          <w:szCs w:val="24"/>
        </w:rPr>
        <w:t>内水域及水利设施用地类型主要包括河流水面</w:t>
      </w:r>
      <w:r>
        <w:rPr>
          <w:rFonts w:ascii="Times New Roman" w:hAnsi="Times New Roman" w:hint="eastAsia"/>
          <w:szCs w:val="24"/>
        </w:rPr>
        <w:t>、水库水面、坑塘水面和内陆滩涂。</w:t>
      </w:r>
      <w:r>
        <w:rPr>
          <w:rFonts w:ascii="Times New Roman" w:hAnsi="Times New Roman"/>
          <w:szCs w:val="24"/>
        </w:rPr>
        <w:t>评价区</w:t>
      </w:r>
      <w:r>
        <w:rPr>
          <w:rFonts w:ascii="Times New Roman" w:hAnsi="Times New Roman" w:hint="eastAsia"/>
          <w:szCs w:val="24"/>
        </w:rPr>
        <w:t>及</w:t>
      </w:r>
      <w:r>
        <w:rPr>
          <w:rFonts w:ascii="Times New Roman" w:hAnsi="Times New Roman"/>
          <w:szCs w:val="24"/>
        </w:rPr>
        <w:t>矿区内</w:t>
      </w:r>
      <w:r>
        <w:rPr>
          <w:rFonts w:ascii="Times New Roman" w:hAnsi="Times New Roman" w:hint="eastAsia"/>
          <w:szCs w:val="24"/>
        </w:rPr>
        <w:t>水域</w:t>
      </w:r>
      <w:r>
        <w:rPr>
          <w:rFonts w:ascii="Times New Roman" w:hAnsi="Times New Roman"/>
          <w:szCs w:val="24"/>
        </w:rPr>
        <w:t>及水利设施用地</w:t>
      </w:r>
      <w:r>
        <w:rPr>
          <w:rFonts w:ascii="Times New Roman" w:hAnsi="Times New Roman" w:hint="eastAsia"/>
          <w:szCs w:val="24"/>
        </w:rPr>
        <w:t>的</w:t>
      </w:r>
      <w:r>
        <w:rPr>
          <w:rFonts w:ascii="Times New Roman" w:hAnsi="Times New Roman"/>
          <w:szCs w:val="24"/>
        </w:rPr>
        <w:t>面积</w:t>
      </w:r>
      <w:r>
        <w:rPr>
          <w:rFonts w:ascii="Times New Roman" w:hAnsi="Times New Roman" w:hint="eastAsia"/>
          <w:szCs w:val="24"/>
        </w:rPr>
        <w:t>分别</w:t>
      </w:r>
      <w:r>
        <w:rPr>
          <w:rFonts w:ascii="Times New Roman" w:hAnsi="Times New Roman"/>
          <w:szCs w:val="24"/>
        </w:rPr>
        <w:t>为</w:t>
      </w:r>
      <w:r>
        <w:rPr>
          <w:rFonts w:ascii="Times New Roman" w:hAnsi="Times New Roman"/>
          <w:szCs w:val="24"/>
        </w:rPr>
        <w:t>8.21km</w:t>
      </w:r>
      <w:r>
        <w:rPr>
          <w:rFonts w:ascii="Times New Roman" w:hAnsi="Times New Roman"/>
          <w:szCs w:val="24"/>
          <w:vertAlign w:val="superscript"/>
        </w:rPr>
        <w:t>2</w:t>
      </w:r>
      <w:r>
        <w:rPr>
          <w:rFonts w:ascii="Times New Roman" w:hAnsi="Times New Roman" w:hint="eastAsia"/>
          <w:szCs w:val="24"/>
        </w:rPr>
        <w:t>和</w:t>
      </w:r>
      <w:r>
        <w:rPr>
          <w:rFonts w:ascii="Times New Roman" w:hAnsi="Times New Roman"/>
          <w:szCs w:val="24"/>
        </w:rPr>
        <w:t>1.83km</w:t>
      </w:r>
      <w:r>
        <w:rPr>
          <w:rFonts w:ascii="Times New Roman" w:hAnsi="Times New Roman"/>
          <w:szCs w:val="24"/>
          <w:vertAlign w:val="superscript"/>
        </w:rPr>
        <w:t>2</w:t>
      </w:r>
      <w:r>
        <w:rPr>
          <w:rFonts w:ascii="Times New Roman" w:hAnsi="Times New Roman"/>
          <w:szCs w:val="24"/>
        </w:rPr>
        <w:t>，</w:t>
      </w:r>
      <w:r>
        <w:rPr>
          <w:rFonts w:ascii="Times New Roman" w:hAnsi="Times New Roman" w:hint="eastAsia"/>
          <w:szCs w:val="24"/>
        </w:rPr>
        <w:t>分别</w:t>
      </w:r>
      <w:r>
        <w:rPr>
          <w:rFonts w:ascii="Times New Roman" w:hAnsi="Times New Roman"/>
          <w:szCs w:val="24"/>
        </w:rPr>
        <w:t>占评价区</w:t>
      </w:r>
      <w:r>
        <w:rPr>
          <w:rFonts w:ascii="Times New Roman" w:hAnsi="Times New Roman" w:hint="eastAsia"/>
          <w:szCs w:val="24"/>
        </w:rPr>
        <w:t>及</w:t>
      </w:r>
      <w:r>
        <w:rPr>
          <w:rFonts w:ascii="Times New Roman" w:hAnsi="Times New Roman"/>
          <w:szCs w:val="24"/>
        </w:rPr>
        <w:t>矿区面积的</w:t>
      </w:r>
      <w:r>
        <w:rPr>
          <w:rFonts w:ascii="Times New Roman" w:hAnsi="Times New Roman"/>
          <w:szCs w:val="24"/>
        </w:rPr>
        <w:t>2.61%</w:t>
      </w:r>
      <w:r>
        <w:rPr>
          <w:rFonts w:ascii="Times New Roman" w:hAnsi="Times New Roman" w:hint="eastAsia"/>
          <w:szCs w:val="24"/>
        </w:rPr>
        <w:t>和</w:t>
      </w:r>
      <w:r>
        <w:rPr>
          <w:rFonts w:ascii="Times New Roman" w:hAnsi="Times New Roman"/>
          <w:szCs w:val="24"/>
        </w:rPr>
        <w:t>2.13%</w:t>
      </w:r>
      <w:r>
        <w:rPr>
          <w:rFonts w:ascii="Times New Roman" w:hAnsi="Times New Roman"/>
          <w:szCs w:val="24"/>
        </w:rPr>
        <w:t>。</w:t>
      </w:r>
    </w:p>
    <w:p w14:paraId="4EC24A9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7</w:t>
      </w:r>
      <w:r>
        <w:rPr>
          <w:rFonts w:ascii="Times New Roman" w:hAnsi="Times New Roman"/>
          <w:szCs w:val="24"/>
        </w:rPr>
        <w:t>）其他土地：</w:t>
      </w:r>
      <w:r>
        <w:rPr>
          <w:rFonts w:ascii="Times New Roman" w:hAnsi="Times New Roman" w:hint="eastAsia"/>
          <w:szCs w:val="24"/>
        </w:rPr>
        <w:t>评价区</w:t>
      </w:r>
      <w:r>
        <w:rPr>
          <w:rFonts w:ascii="Times New Roman" w:hAnsi="Times New Roman"/>
          <w:szCs w:val="24"/>
        </w:rPr>
        <w:t>内的其他土地类型主要包括</w:t>
      </w:r>
      <w:r>
        <w:rPr>
          <w:rFonts w:ascii="Times New Roman" w:hAnsi="Times New Roman" w:hint="eastAsia"/>
          <w:szCs w:val="24"/>
        </w:rPr>
        <w:t>沙地</w:t>
      </w:r>
      <w:r>
        <w:rPr>
          <w:rFonts w:ascii="Times New Roman" w:hAnsi="Times New Roman"/>
          <w:szCs w:val="24"/>
        </w:rPr>
        <w:t>和</w:t>
      </w:r>
      <w:r>
        <w:rPr>
          <w:rFonts w:ascii="Times New Roman" w:hAnsi="Times New Roman" w:hint="eastAsia"/>
          <w:szCs w:val="24"/>
        </w:rPr>
        <w:t>裸土地，其中裸土地多是人为扰动造成的。</w:t>
      </w:r>
      <w:r>
        <w:rPr>
          <w:rFonts w:ascii="Times New Roman" w:hAnsi="Times New Roman"/>
          <w:szCs w:val="24"/>
        </w:rPr>
        <w:t>评价区</w:t>
      </w:r>
      <w:r>
        <w:rPr>
          <w:rFonts w:ascii="Times New Roman" w:hAnsi="Times New Roman" w:hint="eastAsia"/>
          <w:szCs w:val="24"/>
        </w:rPr>
        <w:t>及</w:t>
      </w:r>
      <w:r>
        <w:rPr>
          <w:rFonts w:ascii="Times New Roman" w:hAnsi="Times New Roman"/>
          <w:szCs w:val="24"/>
        </w:rPr>
        <w:t>矿区内其他土地面积</w:t>
      </w:r>
      <w:r>
        <w:rPr>
          <w:rFonts w:ascii="Times New Roman" w:hAnsi="Times New Roman" w:hint="eastAsia"/>
          <w:szCs w:val="24"/>
        </w:rPr>
        <w:t>分别</w:t>
      </w:r>
      <w:r>
        <w:rPr>
          <w:rFonts w:ascii="Times New Roman" w:hAnsi="Times New Roman"/>
          <w:szCs w:val="24"/>
        </w:rPr>
        <w:t>为</w:t>
      </w:r>
      <w:r>
        <w:rPr>
          <w:rFonts w:ascii="Times New Roman" w:hAnsi="Times New Roman"/>
          <w:szCs w:val="24"/>
        </w:rPr>
        <w:t>19.90km</w:t>
      </w:r>
      <w:r>
        <w:rPr>
          <w:rFonts w:ascii="Times New Roman" w:hAnsi="Times New Roman"/>
          <w:szCs w:val="24"/>
          <w:vertAlign w:val="superscript"/>
        </w:rPr>
        <w:t>2</w:t>
      </w:r>
      <w:r>
        <w:rPr>
          <w:rFonts w:ascii="Times New Roman" w:hAnsi="Times New Roman" w:hint="eastAsia"/>
          <w:szCs w:val="24"/>
        </w:rPr>
        <w:t>和</w:t>
      </w:r>
      <w:r>
        <w:rPr>
          <w:rFonts w:ascii="Times New Roman" w:hAnsi="Times New Roman" w:hint="eastAsia"/>
          <w:szCs w:val="24"/>
        </w:rPr>
        <w:t>3.</w:t>
      </w:r>
      <w:r>
        <w:rPr>
          <w:rFonts w:ascii="Times New Roman" w:hAnsi="Times New Roman"/>
          <w:szCs w:val="24"/>
        </w:rPr>
        <w:t>0</w:t>
      </w:r>
      <w:r>
        <w:rPr>
          <w:rFonts w:ascii="Times New Roman" w:hAnsi="Times New Roman" w:hint="eastAsia"/>
          <w:szCs w:val="24"/>
        </w:rPr>
        <w:t>8</w:t>
      </w:r>
      <w:r>
        <w:rPr>
          <w:rFonts w:ascii="Times New Roman" w:hAnsi="Times New Roman"/>
          <w:szCs w:val="24"/>
        </w:rPr>
        <w:t>km</w:t>
      </w:r>
      <w:r>
        <w:rPr>
          <w:rFonts w:ascii="Times New Roman" w:hAnsi="Times New Roman"/>
          <w:szCs w:val="24"/>
          <w:vertAlign w:val="superscript"/>
        </w:rPr>
        <w:t>2</w:t>
      </w:r>
      <w:r>
        <w:rPr>
          <w:rFonts w:ascii="Times New Roman" w:hAnsi="Times New Roman" w:hint="eastAsia"/>
          <w:szCs w:val="24"/>
        </w:rPr>
        <w:t>，分别</w:t>
      </w:r>
      <w:r>
        <w:rPr>
          <w:rFonts w:ascii="Times New Roman" w:hAnsi="Times New Roman"/>
          <w:szCs w:val="24"/>
        </w:rPr>
        <w:t>占评价区</w:t>
      </w:r>
      <w:r>
        <w:rPr>
          <w:rFonts w:ascii="Times New Roman" w:hAnsi="Times New Roman" w:hint="eastAsia"/>
          <w:szCs w:val="24"/>
        </w:rPr>
        <w:t>及</w:t>
      </w:r>
      <w:r>
        <w:rPr>
          <w:rFonts w:ascii="Times New Roman" w:hAnsi="Times New Roman"/>
          <w:szCs w:val="24"/>
        </w:rPr>
        <w:t>矿区面积的</w:t>
      </w:r>
      <w:r>
        <w:rPr>
          <w:rFonts w:ascii="Times New Roman" w:hAnsi="Times New Roman"/>
          <w:szCs w:val="24"/>
        </w:rPr>
        <w:t>6.34%</w:t>
      </w:r>
      <w:r>
        <w:rPr>
          <w:rFonts w:ascii="Times New Roman" w:hAnsi="Times New Roman" w:hint="eastAsia"/>
          <w:szCs w:val="24"/>
        </w:rPr>
        <w:t>和</w:t>
      </w:r>
      <w:r>
        <w:rPr>
          <w:rFonts w:ascii="Times New Roman" w:hAnsi="Times New Roman" w:hint="eastAsia"/>
          <w:szCs w:val="24"/>
        </w:rPr>
        <w:t>3.</w:t>
      </w:r>
      <w:r>
        <w:rPr>
          <w:rFonts w:ascii="Times New Roman" w:hAnsi="Times New Roman"/>
          <w:szCs w:val="24"/>
        </w:rPr>
        <w:t>58%</w:t>
      </w:r>
      <w:r>
        <w:rPr>
          <w:rFonts w:ascii="Times New Roman" w:hAnsi="Times New Roman"/>
          <w:szCs w:val="24"/>
        </w:rPr>
        <w:t>。</w:t>
      </w:r>
    </w:p>
    <w:p w14:paraId="0EB4F1F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总体而言，评价区位于荒漠草原区域，土地利用以草地为主，占评价区面积的</w:t>
      </w:r>
      <w:r>
        <w:rPr>
          <w:rFonts w:ascii="Times New Roman" w:hAnsi="Times New Roman"/>
          <w:szCs w:val="24"/>
        </w:rPr>
        <w:t>4</w:t>
      </w:r>
      <w:r>
        <w:rPr>
          <w:rFonts w:ascii="Times New Roman" w:hAnsi="Times New Roman" w:hint="eastAsia"/>
          <w:szCs w:val="24"/>
        </w:rPr>
        <w:t>0%</w:t>
      </w:r>
      <w:r>
        <w:rPr>
          <w:rFonts w:ascii="Times New Roman" w:hAnsi="Times New Roman" w:hint="eastAsia"/>
          <w:szCs w:val="24"/>
        </w:rPr>
        <w:t>以上。工矿仓储用地占评价区面积的</w:t>
      </w:r>
      <w:r>
        <w:rPr>
          <w:rFonts w:ascii="Times New Roman" w:hAnsi="Times New Roman" w:hint="eastAsia"/>
          <w:szCs w:val="24"/>
        </w:rPr>
        <w:t>10%</w:t>
      </w:r>
      <w:r>
        <w:rPr>
          <w:rFonts w:ascii="Times New Roman" w:hAnsi="Times New Roman" w:hint="eastAsia"/>
          <w:szCs w:val="24"/>
        </w:rPr>
        <w:t>以上，区域工业开发程度较高。</w:t>
      </w:r>
    </w:p>
    <w:p w14:paraId="4EB2E8B8" w14:textId="77777777" w:rsidR="009C353B" w:rsidRDefault="00000000">
      <w:pPr>
        <w:spacing w:before="280" w:after="120" w:line="416" w:lineRule="exact"/>
        <w:outlineLvl w:val="3"/>
        <w:rPr>
          <w:rFonts w:ascii="Times New Roman" w:hAnsi="Times New Roman"/>
          <w:b/>
          <w:szCs w:val="24"/>
        </w:rPr>
      </w:pPr>
      <w:r>
        <w:rPr>
          <w:rFonts w:ascii="Times New Roman" w:hAnsi="Times New Roman"/>
          <w:b/>
          <w:szCs w:val="24"/>
        </w:rPr>
        <w:t>3.</w:t>
      </w:r>
      <w:r>
        <w:rPr>
          <w:rFonts w:ascii="Times New Roman" w:hAnsi="Times New Roman" w:hint="eastAsia"/>
          <w:b/>
          <w:szCs w:val="24"/>
        </w:rPr>
        <w:t>4</w:t>
      </w:r>
      <w:r>
        <w:rPr>
          <w:rFonts w:ascii="Times New Roman" w:hAnsi="Times New Roman"/>
          <w:b/>
          <w:szCs w:val="24"/>
        </w:rPr>
        <w:t>.</w:t>
      </w:r>
      <w:r>
        <w:rPr>
          <w:rFonts w:ascii="Times New Roman" w:hAnsi="Times New Roman" w:hint="eastAsia"/>
          <w:b/>
          <w:szCs w:val="24"/>
        </w:rPr>
        <w:t>4</w:t>
      </w:r>
      <w:r>
        <w:rPr>
          <w:rFonts w:ascii="Times New Roman" w:hAnsi="Times New Roman"/>
          <w:b/>
          <w:szCs w:val="24"/>
        </w:rPr>
        <w:t>.</w:t>
      </w:r>
      <w:r>
        <w:rPr>
          <w:rFonts w:ascii="Times New Roman" w:hAnsi="Times New Roman" w:hint="eastAsia"/>
          <w:b/>
          <w:szCs w:val="24"/>
        </w:rPr>
        <w:t>2</w:t>
      </w:r>
      <w:r>
        <w:rPr>
          <w:rFonts w:ascii="Times New Roman" w:hAnsi="Times New Roman"/>
          <w:b/>
          <w:szCs w:val="24"/>
        </w:rPr>
        <w:t xml:space="preserve"> </w:t>
      </w:r>
      <w:r>
        <w:rPr>
          <w:rFonts w:ascii="Times New Roman" w:hAnsi="Times New Roman" w:hint="eastAsia"/>
          <w:b/>
          <w:szCs w:val="24"/>
        </w:rPr>
        <w:t>公益林</w:t>
      </w:r>
    </w:p>
    <w:p w14:paraId="4096B4D5" w14:textId="77777777" w:rsidR="009C353B" w:rsidRDefault="00000000">
      <w:pPr>
        <w:adjustRightInd w:val="0"/>
        <w:snapToGrid w:val="0"/>
        <w:spacing w:line="440" w:lineRule="exact"/>
        <w:ind w:firstLineChars="200" w:firstLine="480"/>
        <w:rPr>
          <w:rFonts w:hint="eastAsia"/>
        </w:rPr>
      </w:pPr>
      <w:r>
        <w:rPr>
          <w:rFonts w:ascii="Times New Roman" w:hAnsi="Times New Roman" w:hint="eastAsia"/>
          <w:szCs w:val="24"/>
        </w:rPr>
        <w:t>根据灵武市自然资源局提供的灵武市国家级公益林分布图（</w:t>
      </w:r>
      <w:r>
        <w:rPr>
          <w:rFonts w:ascii="Times New Roman" w:hAnsi="Times New Roman" w:hint="eastAsia"/>
          <w:szCs w:val="24"/>
        </w:rPr>
        <w:t>2018</w:t>
      </w:r>
      <w:r>
        <w:rPr>
          <w:rFonts w:ascii="Times New Roman" w:hAnsi="Times New Roman" w:hint="eastAsia"/>
          <w:szCs w:val="24"/>
        </w:rPr>
        <w:t>年），评价区的公益林分布在鸭子荡水库周围，面积</w:t>
      </w:r>
      <w:r>
        <w:rPr>
          <w:rFonts w:ascii="Times New Roman" w:hAnsi="Times New Roman"/>
          <w:szCs w:val="24"/>
        </w:rPr>
        <w:t>7.11</w:t>
      </w:r>
      <w:r>
        <w:rPr>
          <w:rFonts w:ascii="Times New Roman" w:hAnsi="Times New Roman" w:hint="eastAsia"/>
          <w:szCs w:val="24"/>
        </w:rPr>
        <w:t>km</w:t>
      </w:r>
      <w:r>
        <w:rPr>
          <w:rFonts w:ascii="Times New Roman" w:hAnsi="Times New Roman" w:hint="eastAsia"/>
          <w:szCs w:val="24"/>
          <w:vertAlign w:val="superscript"/>
        </w:rPr>
        <w:t>2</w:t>
      </w:r>
      <w:r>
        <w:rPr>
          <w:rFonts w:ascii="Times New Roman" w:hAnsi="Times New Roman" w:hint="eastAsia"/>
          <w:szCs w:val="24"/>
        </w:rPr>
        <w:t>，全部为国家级公益林，以灌木林为主，见图</w:t>
      </w:r>
      <w:r>
        <w:rPr>
          <w:rFonts w:ascii="Times New Roman" w:hAnsi="Times New Roman" w:hint="eastAsia"/>
          <w:szCs w:val="24"/>
        </w:rPr>
        <w:t>3.4-5</w:t>
      </w:r>
      <w:r>
        <w:rPr>
          <w:rFonts w:ascii="Times New Roman" w:hAnsi="Times New Roman" w:hint="eastAsia"/>
          <w:szCs w:val="24"/>
        </w:rPr>
        <w:t>。矿区内公益林面积</w:t>
      </w:r>
      <w:r>
        <w:rPr>
          <w:rFonts w:ascii="Times New Roman" w:hAnsi="Times New Roman" w:hint="eastAsia"/>
          <w:szCs w:val="24"/>
        </w:rPr>
        <w:t>0.01km</w:t>
      </w:r>
      <w:r>
        <w:rPr>
          <w:rFonts w:ascii="Times New Roman" w:hAnsi="Times New Roman" w:hint="eastAsia"/>
          <w:szCs w:val="24"/>
          <w:vertAlign w:val="superscript"/>
        </w:rPr>
        <w:t>2</w:t>
      </w:r>
      <w:r>
        <w:rPr>
          <w:rFonts w:ascii="Times New Roman" w:hAnsi="Times New Roman" w:hint="eastAsia"/>
          <w:szCs w:val="24"/>
        </w:rPr>
        <w:t>。</w:t>
      </w:r>
    </w:p>
    <w:p w14:paraId="70A42EFC"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rPr>
        <w:t xml:space="preserve">3.4.5 </w:t>
      </w:r>
      <w:r>
        <w:rPr>
          <w:rFonts w:ascii="Times New Roman" w:hAnsi="Times New Roman"/>
        </w:rPr>
        <w:t>生态植被现状调查与评价</w:t>
      </w:r>
    </w:p>
    <w:p w14:paraId="65AB710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w:t>
      </w:r>
      <w:r>
        <w:rPr>
          <w:rFonts w:ascii="Times New Roman" w:hAnsi="Times New Roman" w:hint="eastAsia"/>
          <w:szCs w:val="24"/>
        </w:rPr>
        <w:t>样地选择依据</w:t>
      </w:r>
    </w:p>
    <w:p w14:paraId="7D1D1B7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本次环评于</w:t>
      </w:r>
      <w:r>
        <w:rPr>
          <w:rFonts w:ascii="Times New Roman" w:hAnsi="Times New Roman"/>
          <w:szCs w:val="24"/>
        </w:rPr>
        <w:t>2</w:t>
      </w:r>
      <w:r>
        <w:rPr>
          <w:rFonts w:ascii="Times New Roman" w:hAnsi="Times New Roman" w:hint="eastAsia"/>
          <w:szCs w:val="24"/>
        </w:rPr>
        <w:t>020</w:t>
      </w:r>
      <w:r>
        <w:rPr>
          <w:rFonts w:ascii="Times New Roman" w:hAnsi="Times New Roman"/>
          <w:szCs w:val="24"/>
        </w:rPr>
        <w:t>年</w:t>
      </w:r>
      <w:r>
        <w:rPr>
          <w:rFonts w:ascii="Times New Roman" w:hAnsi="Times New Roman" w:hint="eastAsia"/>
          <w:szCs w:val="24"/>
        </w:rPr>
        <w:t>7</w:t>
      </w:r>
      <w:r>
        <w:rPr>
          <w:rFonts w:ascii="Times New Roman" w:hAnsi="Times New Roman"/>
          <w:szCs w:val="24"/>
        </w:rPr>
        <w:t>月对评价区内的生态植被进行了实地调查。</w:t>
      </w:r>
      <w:r>
        <w:rPr>
          <w:rFonts w:ascii="Times New Roman" w:hAnsi="Times New Roman" w:hint="eastAsia"/>
          <w:szCs w:val="24"/>
        </w:rPr>
        <w:t>先查阅资料初步了解区域植被分布情况，结合评价区遥感影像确定调查对象及调查路线，然后通过植被调查确定评价区内的植被群落性质，选择典型样地调查取样。</w:t>
      </w:r>
    </w:p>
    <w:p w14:paraId="60B4C92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）样方设计</w:t>
      </w:r>
    </w:p>
    <w:p w14:paraId="1296AED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本次环评采用样方法进行植被调查</w:t>
      </w:r>
      <w:r>
        <w:rPr>
          <w:rFonts w:ascii="Times New Roman" w:hAnsi="Times New Roman" w:hint="eastAsia"/>
          <w:szCs w:val="24"/>
        </w:rPr>
        <w:t>。</w:t>
      </w:r>
      <w:r>
        <w:rPr>
          <w:rFonts w:ascii="Times New Roman" w:hAnsi="Times New Roman"/>
          <w:szCs w:val="24"/>
        </w:rPr>
        <w:t>评价区内植被以草本植物和半灌木植物为主，</w:t>
      </w:r>
      <w:r>
        <w:rPr>
          <w:rFonts w:ascii="Times New Roman" w:hAnsi="Times New Roman" w:hint="eastAsia"/>
          <w:szCs w:val="24"/>
        </w:rPr>
        <w:t>参照《陆地生态系统生物观测规范》，</w:t>
      </w:r>
      <w:r>
        <w:rPr>
          <w:rFonts w:ascii="Times New Roman" w:hAnsi="Times New Roman"/>
          <w:szCs w:val="24"/>
        </w:rPr>
        <w:t>草本群落样方取样面积为</w:t>
      </w:r>
      <w:r>
        <w:rPr>
          <w:rFonts w:ascii="Times New Roman" w:hAnsi="Times New Roman"/>
          <w:szCs w:val="24"/>
        </w:rPr>
        <w:t>1m×1m</w:t>
      </w:r>
      <w:r>
        <w:rPr>
          <w:rFonts w:ascii="Times New Roman" w:hAnsi="Times New Roman"/>
          <w:szCs w:val="24"/>
        </w:rPr>
        <w:t>，半灌木群落样方的取样面积为</w:t>
      </w:r>
      <w:r>
        <w:rPr>
          <w:rFonts w:ascii="Times New Roman" w:hAnsi="Times New Roman" w:hint="eastAsia"/>
          <w:szCs w:val="24"/>
        </w:rPr>
        <w:t>5</w:t>
      </w:r>
      <w:r>
        <w:rPr>
          <w:rFonts w:ascii="Times New Roman" w:hAnsi="Times New Roman"/>
          <w:szCs w:val="24"/>
        </w:rPr>
        <w:t>m×</w:t>
      </w:r>
      <w:r>
        <w:rPr>
          <w:rFonts w:ascii="Times New Roman" w:hAnsi="Times New Roman" w:hint="eastAsia"/>
          <w:szCs w:val="24"/>
        </w:rPr>
        <w:t>5</w:t>
      </w:r>
      <w:r>
        <w:rPr>
          <w:rFonts w:ascii="Times New Roman" w:hAnsi="Times New Roman"/>
          <w:szCs w:val="24"/>
        </w:rPr>
        <w:t>m</w:t>
      </w:r>
      <w:r>
        <w:rPr>
          <w:rFonts w:ascii="Times New Roman" w:hAnsi="Times New Roman" w:hint="eastAsia"/>
          <w:szCs w:val="24"/>
        </w:rPr>
        <w:t>，乔木群落样方取样面积</w:t>
      </w:r>
      <w:r>
        <w:rPr>
          <w:rFonts w:ascii="Times New Roman" w:hAnsi="Times New Roman" w:hint="eastAsia"/>
          <w:szCs w:val="24"/>
        </w:rPr>
        <w:t>10</w:t>
      </w:r>
      <w:r>
        <w:rPr>
          <w:rFonts w:ascii="Times New Roman" w:hAnsi="Times New Roman"/>
          <w:szCs w:val="24"/>
        </w:rPr>
        <w:t>m×1</w:t>
      </w:r>
      <w:r>
        <w:rPr>
          <w:rFonts w:ascii="Times New Roman" w:hAnsi="Times New Roman" w:hint="eastAsia"/>
          <w:szCs w:val="24"/>
        </w:rPr>
        <w:t>0</w:t>
      </w:r>
      <w:r>
        <w:rPr>
          <w:rFonts w:ascii="Times New Roman" w:hAnsi="Times New Roman"/>
          <w:szCs w:val="24"/>
        </w:rPr>
        <w:t>m</w:t>
      </w:r>
      <w:r>
        <w:rPr>
          <w:rFonts w:ascii="Times New Roman" w:hAnsi="Times New Roman" w:hint="eastAsia"/>
          <w:szCs w:val="24"/>
        </w:rPr>
        <w:t>。</w:t>
      </w:r>
    </w:p>
    <w:p w14:paraId="39BF6D9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）测定指标</w:t>
      </w:r>
    </w:p>
    <w:p w14:paraId="7FDC05C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本次调查的测定指标包括样地位置（经纬度）</w:t>
      </w:r>
      <w:r>
        <w:rPr>
          <w:rFonts w:ascii="Times New Roman" w:hAnsi="Times New Roman"/>
          <w:szCs w:val="24"/>
        </w:rPr>
        <w:t>、海拔高度、</w:t>
      </w:r>
      <w:r>
        <w:rPr>
          <w:rFonts w:ascii="Times New Roman" w:hAnsi="Times New Roman" w:hint="eastAsia"/>
          <w:szCs w:val="24"/>
        </w:rPr>
        <w:t>土壤特征、</w:t>
      </w:r>
      <w:r>
        <w:rPr>
          <w:rFonts w:ascii="Times New Roman" w:hAnsi="Times New Roman"/>
          <w:szCs w:val="24"/>
        </w:rPr>
        <w:t>群落名称、盖度、植物种类、优势种、生物量等</w:t>
      </w:r>
      <w:r>
        <w:rPr>
          <w:rFonts w:ascii="Times New Roman" w:hAnsi="Times New Roman" w:hint="eastAsia"/>
          <w:szCs w:val="24"/>
        </w:rPr>
        <w:t>群落特征</w:t>
      </w:r>
      <w:r>
        <w:rPr>
          <w:rFonts w:ascii="Times New Roman" w:hAnsi="Times New Roman"/>
          <w:szCs w:val="24"/>
        </w:rPr>
        <w:t>。</w:t>
      </w:r>
    </w:p>
    <w:p w14:paraId="36D5BD6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4</w:t>
      </w:r>
      <w:r>
        <w:rPr>
          <w:rFonts w:ascii="Times New Roman" w:hAnsi="Times New Roman" w:hint="eastAsia"/>
          <w:szCs w:val="24"/>
        </w:rPr>
        <w:t>）观测方法</w:t>
      </w:r>
    </w:p>
    <w:p w14:paraId="40CF7DF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1</w:t>
      </w:r>
      <w:r>
        <w:rPr>
          <w:rFonts w:ascii="Times New Roman" w:hAnsi="Times New Roman" w:hint="eastAsia"/>
          <w:szCs w:val="24"/>
        </w:rPr>
        <w:t>）植被覆盖度</w:t>
      </w:r>
    </w:p>
    <w:p w14:paraId="7320685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植被覆盖度采用目测法的方式观测。</w:t>
      </w:r>
    </w:p>
    <w:p w14:paraId="3D50866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2</w:t>
      </w:r>
      <w:r>
        <w:rPr>
          <w:rFonts w:ascii="Times New Roman" w:hAnsi="Times New Roman" w:hint="eastAsia"/>
          <w:szCs w:val="24"/>
        </w:rPr>
        <w:t>）木本生物量</w:t>
      </w:r>
    </w:p>
    <w:p w14:paraId="55404C45"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木本生物量观测内容主要为地上生物量，包括立木和冠层下部观测，立木与冠层下部生物量之和即为样方生物量。</w:t>
      </w:r>
      <w:r>
        <w:rPr>
          <w:rFonts w:ascii="Times New Roman" w:hAnsi="Times New Roman"/>
          <w:szCs w:val="24"/>
        </w:rPr>
        <w:t xml:space="preserve"> </w:t>
      </w:r>
    </w:p>
    <w:p w14:paraId="1EBAD7C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立木的地上生物量观测：是通过样方内所有林木进行测量，获取其树高、胸径等地面观测数据，依据生长方程计算，对所有立木生物量求取平均值并除以样方面积，获得单位面积的立木生物量。</w:t>
      </w:r>
      <w:r>
        <w:rPr>
          <w:rFonts w:ascii="Times New Roman" w:hAnsi="Times New Roman"/>
          <w:szCs w:val="24"/>
        </w:rPr>
        <w:t xml:space="preserve"> </w:t>
      </w:r>
    </w:p>
    <w:p w14:paraId="00F47F3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冠层下部生物量观测：在样方内，随机选择不小于</w:t>
      </w:r>
      <w:r>
        <w:rPr>
          <w:rFonts w:ascii="Times New Roman" w:hAnsi="Times New Roman"/>
          <w:szCs w:val="24"/>
        </w:rPr>
        <w:t>3</w:t>
      </w:r>
      <w:r>
        <w:rPr>
          <w:rFonts w:ascii="Times New Roman" w:hAnsi="Times New Roman" w:hint="eastAsia"/>
          <w:szCs w:val="24"/>
        </w:rPr>
        <w:t>个</w:t>
      </w:r>
      <w:r>
        <w:rPr>
          <w:rFonts w:ascii="Times New Roman" w:hAnsi="Times New Roman"/>
          <w:szCs w:val="24"/>
        </w:rPr>
        <w:t>1m×1m</w:t>
      </w:r>
      <w:r>
        <w:rPr>
          <w:rFonts w:ascii="Times New Roman" w:hAnsi="Times New Roman" w:hint="eastAsia"/>
          <w:szCs w:val="24"/>
        </w:rPr>
        <w:t>的区域，分别收集其中全部地上植被，称量鲜重，</w:t>
      </w:r>
      <w:r>
        <w:rPr>
          <w:rFonts w:ascii="Times New Roman" w:hAnsi="Times New Roman" w:hint="eastAsia"/>
          <w:szCs w:val="24"/>
        </w:rPr>
        <w:t>6</w:t>
      </w:r>
      <w:r>
        <w:rPr>
          <w:rFonts w:ascii="Times New Roman" w:hAnsi="Times New Roman"/>
          <w:szCs w:val="24"/>
        </w:rPr>
        <w:t>5℃</w:t>
      </w:r>
      <w:r>
        <w:rPr>
          <w:rFonts w:ascii="Times New Roman" w:hAnsi="Times New Roman" w:hint="eastAsia"/>
          <w:szCs w:val="24"/>
        </w:rPr>
        <w:t>下烘干称干重，计算多个区域平均值，作为冠层下部单位面积的生物量。</w:t>
      </w:r>
    </w:p>
    <w:p w14:paraId="3EC0B12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3</w:t>
      </w:r>
      <w:r>
        <w:rPr>
          <w:rFonts w:ascii="Times New Roman" w:hAnsi="Times New Roman" w:hint="eastAsia"/>
          <w:szCs w:val="24"/>
        </w:rPr>
        <w:t>）草本生物量</w:t>
      </w:r>
    </w:p>
    <w:p w14:paraId="0159E98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草本生物量野外观测应选择植物生长高峰期时进行，主要方法是将样方内植物地面以上所有绿色部分用剪刀齐地面剪下，对采集的样本进行称量鲜重后，</w:t>
      </w:r>
      <w:r>
        <w:rPr>
          <w:rFonts w:ascii="Times New Roman" w:hAnsi="Times New Roman"/>
          <w:szCs w:val="24"/>
        </w:rPr>
        <w:t>65ºC</w:t>
      </w:r>
      <w:r>
        <w:rPr>
          <w:rFonts w:ascii="Times New Roman" w:hAnsi="Times New Roman" w:hint="eastAsia"/>
          <w:szCs w:val="24"/>
        </w:rPr>
        <w:t>烘干称量干重，得到单位面积的生物量。</w:t>
      </w:r>
    </w:p>
    <w:p w14:paraId="7160F81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本次植被调查</w:t>
      </w:r>
      <w:r>
        <w:rPr>
          <w:rFonts w:ascii="Times New Roman" w:hAnsi="Times New Roman"/>
          <w:szCs w:val="24"/>
        </w:rPr>
        <w:t>共设置草本群落样方</w:t>
      </w:r>
      <w:r>
        <w:rPr>
          <w:rFonts w:ascii="Times New Roman" w:hAnsi="Times New Roman" w:hint="eastAsia"/>
          <w:szCs w:val="24"/>
        </w:rPr>
        <w:t>、</w:t>
      </w:r>
      <w:r>
        <w:rPr>
          <w:rFonts w:ascii="Times New Roman" w:hAnsi="Times New Roman"/>
          <w:szCs w:val="24"/>
        </w:rPr>
        <w:t>半灌木样方</w:t>
      </w:r>
      <w:r>
        <w:rPr>
          <w:rFonts w:ascii="Times New Roman" w:hAnsi="Times New Roman" w:hint="eastAsia"/>
          <w:szCs w:val="24"/>
        </w:rPr>
        <w:t>和乔木样方</w:t>
      </w:r>
      <w:r>
        <w:rPr>
          <w:rFonts w:ascii="Times New Roman" w:hAnsi="Times New Roman" w:hint="eastAsia"/>
          <w:szCs w:val="24"/>
        </w:rPr>
        <w:t>12</w:t>
      </w:r>
      <w:r>
        <w:rPr>
          <w:rFonts w:ascii="Times New Roman" w:hAnsi="Times New Roman"/>
          <w:szCs w:val="24"/>
        </w:rPr>
        <w:t>个，植物样方调查见表</w:t>
      </w:r>
      <w:r>
        <w:rPr>
          <w:rFonts w:ascii="Times New Roman" w:hAnsi="Times New Roman" w:hint="eastAsia"/>
          <w:szCs w:val="24"/>
        </w:rPr>
        <w:t>3.4</w:t>
      </w:r>
      <w:r>
        <w:rPr>
          <w:rFonts w:ascii="Times New Roman" w:hAnsi="Times New Roman"/>
          <w:szCs w:val="24"/>
        </w:rPr>
        <w:t>-</w:t>
      </w:r>
      <w:r>
        <w:rPr>
          <w:rFonts w:ascii="Times New Roman" w:hAnsi="Times New Roman" w:hint="eastAsia"/>
          <w:szCs w:val="24"/>
        </w:rPr>
        <w:t>4</w:t>
      </w:r>
      <w:r>
        <w:rPr>
          <w:rFonts w:ascii="Times New Roman" w:hAnsi="Times New Roman"/>
          <w:szCs w:val="24"/>
        </w:rPr>
        <w:t>～</w:t>
      </w:r>
      <w:r>
        <w:rPr>
          <w:rFonts w:ascii="Times New Roman" w:hAnsi="Times New Roman" w:hint="eastAsia"/>
          <w:szCs w:val="24"/>
        </w:rPr>
        <w:t>3.4-15</w:t>
      </w:r>
      <w:r>
        <w:rPr>
          <w:rFonts w:ascii="Times New Roman" w:hAnsi="Times New Roman"/>
          <w:szCs w:val="24"/>
        </w:rPr>
        <w:t>样方点位布设图见图</w:t>
      </w:r>
      <w:r>
        <w:rPr>
          <w:rFonts w:ascii="Times New Roman" w:hAnsi="Times New Roman" w:hint="eastAsia"/>
          <w:szCs w:val="24"/>
        </w:rPr>
        <w:t>3.4-6</w:t>
      </w:r>
      <w:r>
        <w:rPr>
          <w:rFonts w:ascii="Times New Roman" w:hAnsi="Times New Roman"/>
          <w:szCs w:val="24"/>
        </w:rPr>
        <w:t>。</w:t>
      </w:r>
    </w:p>
    <w:p w14:paraId="3019B96F" w14:textId="77777777" w:rsidR="009C353B" w:rsidRDefault="009C353B">
      <w:pPr>
        <w:adjustRightInd w:val="0"/>
        <w:snapToGrid w:val="0"/>
        <w:spacing w:line="440" w:lineRule="exact"/>
        <w:ind w:firstLineChars="200" w:firstLine="480"/>
        <w:rPr>
          <w:rFonts w:ascii="Times New Roman" w:hAnsi="Times New Roman"/>
          <w:szCs w:val="24"/>
        </w:rPr>
      </w:pPr>
    </w:p>
    <w:p w14:paraId="65EBB61B" w14:textId="77777777" w:rsidR="009C353B" w:rsidRDefault="009C353B">
      <w:pPr>
        <w:adjustRightInd w:val="0"/>
        <w:snapToGrid w:val="0"/>
        <w:spacing w:line="440" w:lineRule="exact"/>
        <w:ind w:firstLineChars="200" w:firstLine="480"/>
        <w:rPr>
          <w:rFonts w:ascii="Times New Roman" w:hAnsi="Times New Roman"/>
          <w:szCs w:val="24"/>
        </w:rPr>
      </w:pPr>
    </w:p>
    <w:p w14:paraId="1EB62166" w14:textId="77777777" w:rsidR="009C353B" w:rsidRDefault="009C353B">
      <w:pPr>
        <w:adjustRightInd w:val="0"/>
        <w:snapToGrid w:val="0"/>
        <w:spacing w:line="440" w:lineRule="exact"/>
        <w:ind w:firstLineChars="200" w:firstLine="480"/>
        <w:rPr>
          <w:rFonts w:ascii="Times New Roman" w:hAnsi="Times New Roman"/>
          <w:szCs w:val="24"/>
        </w:rPr>
      </w:pPr>
    </w:p>
    <w:p w14:paraId="4C2BF5A2" w14:textId="77777777" w:rsidR="009C353B" w:rsidRDefault="009C353B">
      <w:pPr>
        <w:adjustRightInd w:val="0"/>
        <w:snapToGrid w:val="0"/>
        <w:spacing w:line="440" w:lineRule="exact"/>
        <w:ind w:firstLineChars="200" w:firstLine="480"/>
        <w:rPr>
          <w:rFonts w:ascii="Times New Roman" w:hAnsi="Times New Roman"/>
          <w:szCs w:val="24"/>
        </w:rPr>
      </w:pPr>
    </w:p>
    <w:p w14:paraId="4D7B2ECD" w14:textId="77777777" w:rsidR="009C353B" w:rsidRDefault="009C353B">
      <w:pPr>
        <w:adjustRightInd w:val="0"/>
        <w:snapToGrid w:val="0"/>
        <w:spacing w:line="440" w:lineRule="exact"/>
        <w:ind w:firstLineChars="200" w:firstLine="480"/>
        <w:rPr>
          <w:rFonts w:ascii="Times New Roman" w:hAnsi="Times New Roman"/>
          <w:szCs w:val="24"/>
        </w:rPr>
      </w:pPr>
    </w:p>
    <w:p w14:paraId="09BF5E58" w14:textId="77777777" w:rsidR="009C353B" w:rsidRDefault="009C353B">
      <w:pPr>
        <w:adjustRightInd w:val="0"/>
        <w:snapToGrid w:val="0"/>
        <w:spacing w:line="440" w:lineRule="exact"/>
        <w:ind w:firstLineChars="200" w:firstLine="480"/>
        <w:rPr>
          <w:rFonts w:ascii="Times New Roman" w:hAnsi="Times New Roman"/>
          <w:szCs w:val="24"/>
        </w:rPr>
      </w:pPr>
    </w:p>
    <w:p w14:paraId="0D9310B7" w14:textId="77777777" w:rsidR="009C353B" w:rsidRDefault="009C353B">
      <w:pPr>
        <w:adjustRightInd w:val="0"/>
        <w:snapToGrid w:val="0"/>
        <w:spacing w:line="440" w:lineRule="exact"/>
        <w:ind w:firstLineChars="200" w:firstLine="480"/>
        <w:rPr>
          <w:rFonts w:ascii="Times New Roman" w:hAnsi="Times New Roman"/>
          <w:szCs w:val="24"/>
        </w:rPr>
      </w:pPr>
    </w:p>
    <w:p w14:paraId="5DF4FF8A" w14:textId="77777777" w:rsidR="009C353B" w:rsidRDefault="009C353B">
      <w:pPr>
        <w:adjustRightInd w:val="0"/>
        <w:snapToGrid w:val="0"/>
        <w:spacing w:line="440" w:lineRule="exact"/>
        <w:ind w:firstLineChars="200" w:firstLine="480"/>
        <w:rPr>
          <w:rFonts w:ascii="Times New Roman" w:hAnsi="Times New Roman"/>
          <w:szCs w:val="24"/>
        </w:rPr>
      </w:pPr>
    </w:p>
    <w:p w14:paraId="1AFC40C7" w14:textId="77777777" w:rsidR="009C353B" w:rsidRDefault="009C353B">
      <w:pPr>
        <w:adjustRightInd w:val="0"/>
        <w:snapToGrid w:val="0"/>
        <w:spacing w:line="440" w:lineRule="exact"/>
        <w:ind w:firstLineChars="200" w:firstLine="480"/>
        <w:rPr>
          <w:rFonts w:ascii="Times New Roman" w:hAnsi="Times New Roman"/>
          <w:szCs w:val="24"/>
        </w:rPr>
      </w:pPr>
    </w:p>
    <w:p w14:paraId="5A4DDE7E" w14:textId="77777777" w:rsidR="009C353B" w:rsidRDefault="009C353B">
      <w:pPr>
        <w:adjustRightInd w:val="0"/>
        <w:snapToGrid w:val="0"/>
        <w:spacing w:line="440" w:lineRule="exact"/>
        <w:ind w:firstLineChars="200" w:firstLine="480"/>
        <w:rPr>
          <w:rFonts w:ascii="Times New Roman" w:hAnsi="Times New Roman"/>
          <w:szCs w:val="24"/>
        </w:rPr>
      </w:pPr>
    </w:p>
    <w:p w14:paraId="785D7D8F" w14:textId="77777777" w:rsidR="009C353B" w:rsidRDefault="009C353B">
      <w:pPr>
        <w:adjustRightInd w:val="0"/>
        <w:snapToGrid w:val="0"/>
        <w:spacing w:line="440" w:lineRule="exact"/>
        <w:ind w:firstLineChars="200" w:firstLine="480"/>
        <w:rPr>
          <w:rFonts w:ascii="Times New Roman" w:hAnsi="Times New Roman"/>
          <w:szCs w:val="24"/>
        </w:rPr>
      </w:pPr>
    </w:p>
    <w:p w14:paraId="35A6C578" w14:textId="77777777" w:rsidR="009C353B" w:rsidRDefault="009C353B">
      <w:pPr>
        <w:adjustRightInd w:val="0"/>
        <w:snapToGrid w:val="0"/>
        <w:spacing w:line="440" w:lineRule="exact"/>
        <w:ind w:firstLineChars="200" w:firstLine="480"/>
        <w:rPr>
          <w:rFonts w:ascii="Times New Roman" w:hAnsi="Times New Roman"/>
          <w:szCs w:val="24"/>
        </w:rPr>
      </w:pPr>
    </w:p>
    <w:p w14:paraId="59F2636F" w14:textId="77777777" w:rsidR="009C353B" w:rsidRDefault="009C353B">
      <w:pPr>
        <w:adjustRightInd w:val="0"/>
        <w:snapToGrid w:val="0"/>
        <w:spacing w:line="440" w:lineRule="exact"/>
        <w:ind w:firstLineChars="200" w:firstLine="480"/>
        <w:rPr>
          <w:rFonts w:ascii="Times New Roman" w:hAnsi="Times New Roman"/>
          <w:szCs w:val="24"/>
        </w:rPr>
      </w:pPr>
    </w:p>
    <w:p w14:paraId="42DD872B" w14:textId="77777777" w:rsidR="009C353B" w:rsidRDefault="009C353B">
      <w:pPr>
        <w:adjustRightInd w:val="0"/>
        <w:snapToGrid w:val="0"/>
        <w:spacing w:line="440" w:lineRule="exact"/>
        <w:ind w:firstLineChars="200" w:firstLine="480"/>
        <w:rPr>
          <w:rFonts w:ascii="Times New Roman" w:hAnsi="Times New Roman"/>
          <w:szCs w:val="24"/>
        </w:rPr>
      </w:pPr>
    </w:p>
    <w:p w14:paraId="47976166" w14:textId="77777777" w:rsidR="009C353B" w:rsidRDefault="009C353B">
      <w:pPr>
        <w:adjustRightInd w:val="0"/>
        <w:snapToGrid w:val="0"/>
        <w:spacing w:line="440" w:lineRule="exact"/>
        <w:ind w:firstLineChars="200" w:firstLine="480"/>
        <w:rPr>
          <w:rFonts w:ascii="Times New Roman" w:hAnsi="Times New Roman"/>
          <w:szCs w:val="24"/>
        </w:rPr>
      </w:pPr>
    </w:p>
    <w:p w14:paraId="15806BA9"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样方调查登记表</w:t>
      </w:r>
      <w:r>
        <w:rPr>
          <w:rFonts w:ascii="Times New Roman" w:hAnsi="Times New Roman" w:hint="eastAsia"/>
          <w:b/>
          <w:szCs w:val="24"/>
        </w:rPr>
        <w:t>1</w:t>
      </w:r>
    </w:p>
    <w:p w14:paraId="7AAEF18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1582"/>
        <w:gridCol w:w="2811"/>
      </w:tblGrid>
      <w:tr w:rsidR="009C353B" w14:paraId="218AC41A" w14:textId="77777777">
        <w:trPr>
          <w:trHeight w:val="340"/>
        </w:trPr>
        <w:tc>
          <w:tcPr>
            <w:tcW w:w="3125" w:type="dxa"/>
            <w:vAlign w:val="center"/>
          </w:tcPr>
          <w:p w14:paraId="2475D983"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样地号：</w:t>
            </w:r>
            <w:r>
              <w:rPr>
                <w:rFonts w:ascii="Times New Roman" w:hAnsi="Times New Roman" w:hint="eastAsia"/>
                <w:sz w:val="21"/>
                <w:szCs w:val="21"/>
              </w:rPr>
              <w:t>1</w:t>
            </w:r>
          </w:p>
        </w:tc>
        <w:tc>
          <w:tcPr>
            <w:tcW w:w="3191" w:type="dxa"/>
            <w:gridSpan w:val="2"/>
            <w:vAlign w:val="center"/>
          </w:tcPr>
          <w:p w14:paraId="5826330E"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样地面积：</w:t>
            </w:r>
            <w:r>
              <w:rPr>
                <w:rFonts w:ascii="Times New Roman" w:hAnsi="Times New Roman" w:hint="eastAsia"/>
                <w:sz w:val="21"/>
                <w:szCs w:val="21"/>
              </w:rPr>
              <w:t>5</w:t>
            </w:r>
            <w:r>
              <w:rPr>
                <w:rFonts w:ascii="Times New Roman" w:hAnsi="Times New Roman"/>
                <w:sz w:val="21"/>
                <w:szCs w:val="21"/>
              </w:rPr>
              <w:t>m×</w:t>
            </w:r>
            <w:r>
              <w:rPr>
                <w:rFonts w:ascii="Times New Roman" w:hAnsi="Times New Roman" w:hint="eastAsia"/>
                <w:sz w:val="21"/>
                <w:szCs w:val="21"/>
              </w:rPr>
              <w:t>5</w:t>
            </w:r>
            <w:r>
              <w:rPr>
                <w:rFonts w:ascii="Times New Roman" w:hAnsi="Times New Roman"/>
                <w:sz w:val="21"/>
                <w:szCs w:val="21"/>
              </w:rPr>
              <w:t>m</w:t>
            </w:r>
          </w:p>
        </w:tc>
        <w:tc>
          <w:tcPr>
            <w:tcW w:w="2811" w:type="dxa"/>
            <w:vAlign w:val="center"/>
          </w:tcPr>
          <w:p w14:paraId="4C819054"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时间：</w:t>
            </w:r>
            <w:r>
              <w:rPr>
                <w:rFonts w:ascii="Times New Roman" w:hAnsi="Times New Roman"/>
                <w:sz w:val="21"/>
                <w:szCs w:val="21"/>
              </w:rPr>
              <w:t>20</w:t>
            </w:r>
            <w:r>
              <w:rPr>
                <w:rFonts w:ascii="Times New Roman" w:hAnsi="Times New Roman" w:hint="eastAsia"/>
                <w:sz w:val="21"/>
                <w:szCs w:val="21"/>
              </w:rPr>
              <w:t>20</w:t>
            </w:r>
            <w:r>
              <w:rPr>
                <w:rFonts w:ascii="Times New Roman" w:hAnsi="Times New Roman"/>
                <w:sz w:val="21"/>
                <w:szCs w:val="21"/>
              </w:rPr>
              <w:t>/7/</w:t>
            </w:r>
            <w:r>
              <w:rPr>
                <w:rFonts w:ascii="Times New Roman" w:hAnsi="Times New Roman" w:hint="eastAsia"/>
                <w:sz w:val="21"/>
                <w:szCs w:val="21"/>
              </w:rPr>
              <w:t>23</w:t>
            </w:r>
          </w:p>
        </w:tc>
      </w:tr>
      <w:tr w:rsidR="009C353B" w14:paraId="5812BF84" w14:textId="77777777">
        <w:trPr>
          <w:trHeight w:val="340"/>
        </w:trPr>
        <w:tc>
          <w:tcPr>
            <w:tcW w:w="3125" w:type="dxa"/>
            <w:vAlign w:val="center"/>
          </w:tcPr>
          <w:p w14:paraId="6391EE43"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坡度：</w:t>
            </w:r>
            <w:r>
              <w:rPr>
                <w:rFonts w:ascii="Times New Roman" w:hAnsi="Times New Roman" w:hint="eastAsia"/>
                <w:sz w:val="21"/>
                <w:szCs w:val="21"/>
              </w:rPr>
              <w:t>0</w:t>
            </w:r>
            <w:r>
              <w:rPr>
                <w:rFonts w:ascii="Times New Roman" w:hAnsi="Times New Roman"/>
                <w:sz w:val="21"/>
                <w:szCs w:val="21"/>
              </w:rPr>
              <w:t>度</w:t>
            </w:r>
          </w:p>
        </w:tc>
        <w:tc>
          <w:tcPr>
            <w:tcW w:w="6002" w:type="dxa"/>
            <w:gridSpan w:val="3"/>
            <w:vAlign w:val="center"/>
          </w:tcPr>
          <w:p w14:paraId="706E71DB"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hint="eastAsia"/>
                <w:sz w:val="21"/>
                <w:szCs w:val="21"/>
              </w:rPr>
              <w:t>106.630</w:t>
            </w:r>
            <w:r>
              <w:rPr>
                <w:rFonts w:ascii="Times New Roman" w:hAnsi="Times New Roman"/>
                <w:sz w:val="21"/>
                <w:szCs w:val="21"/>
              </w:rPr>
              <w:t xml:space="preserve">° </w:t>
            </w:r>
            <w:r>
              <w:rPr>
                <w:rFonts w:ascii="Times New Roman" w:hAnsi="Times New Roman"/>
                <w:sz w:val="21"/>
                <w:szCs w:val="21"/>
              </w:rPr>
              <w:t>北纬</w:t>
            </w:r>
            <w:r>
              <w:rPr>
                <w:rFonts w:ascii="Times New Roman" w:hAnsi="Times New Roman" w:hint="eastAsia"/>
                <w:sz w:val="21"/>
                <w:szCs w:val="21"/>
              </w:rPr>
              <w:t>38.228</w:t>
            </w:r>
            <w:r>
              <w:rPr>
                <w:rFonts w:ascii="Times New Roman" w:hAnsi="Times New Roman"/>
                <w:sz w:val="21"/>
                <w:szCs w:val="21"/>
              </w:rPr>
              <w:t>°</w:t>
            </w:r>
          </w:p>
        </w:tc>
      </w:tr>
      <w:tr w:rsidR="009C353B" w14:paraId="088B1CA4" w14:textId="77777777">
        <w:trPr>
          <w:trHeight w:val="340"/>
        </w:trPr>
        <w:tc>
          <w:tcPr>
            <w:tcW w:w="4734" w:type="dxa"/>
            <w:gridSpan w:val="2"/>
            <w:vAlign w:val="center"/>
          </w:tcPr>
          <w:p w14:paraId="624A069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总盖度：</w:t>
            </w:r>
            <w:r>
              <w:rPr>
                <w:rFonts w:ascii="Times New Roman" w:hAnsi="Times New Roman" w:hint="eastAsia"/>
                <w:sz w:val="21"/>
                <w:szCs w:val="21"/>
              </w:rPr>
              <w:t>40</w:t>
            </w:r>
            <w:r>
              <w:rPr>
                <w:rFonts w:ascii="Times New Roman" w:hAnsi="Times New Roman"/>
                <w:sz w:val="21"/>
                <w:szCs w:val="21"/>
              </w:rPr>
              <w:t>％</w:t>
            </w:r>
          </w:p>
        </w:tc>
        <w:tc>
          <w:tcPr>
            <w:tcW w:w="4393" w:type="dxa"/>
            <w:gridSpan w:val="2"/>
            <w:vAlign w:val="center"/>
          </w:tcPr>
          <w:p w14:paraId="4CEBAE50"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平均群落高：</w:t>
            </w:r>
            <w:r>
              <w:rPr>
                <w:rFonts w:ascii="Times New Roman" w:hAnsi="Times New Roman" w:hint="eastAsia"/>
                <w:sz w:val="21"/>
                <w:szCs w:val="21"/>
              </w:rPr>
              <w:t>150</w:t>
            </w:r>
            <w:r>
              <w:rPr>
                <w:rFonts w:ascii="Times New Roman" w:hAnsi="Times New Roman"/>
                <w:sz w:val="21"/>
                <w:szCs w:val="21"/>
              </w:rPr>
              <w:t>cm</w:t>
            </w:r>
          </w:p>
        </w:tc>
      </w:tr>
      <w:tr w:rsidR="009C353B" w14:paraId="4CA41649" w14:textId="77777777">
        <w:trPr>
          <w:trHeight w:val="340"/>
        </w:trPr>
        <w:tc>
          <w:tcPr>
            <w:tcW w:w="9127" w:type="dxa"/>
            <w:gridSpan w:val="4"/>
            <w:vAlign w:val="center"/>
          </w:tcPr>
          <w:p w14:paraId="5BD6706E"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主要植物：</w:t>
            </w:r>
            <w:r>
              <w:rPr>
                <w:rFonts w:ascii="Times New Roman" w:hAnsi="Times New Roman" w:hint="eastAsia"/>
                <w:sz w:val="21"/>
                <w:szCs w:val="21"/>
              </w:rPr>
              <w:t>柠条、无芒隐子草、白草</w:t>
            </w:r>
          </w:p>
        </w:tc>
      </w:tr>
      <w:tr w:rsidR="009C353B" w14:paraId="33756D37" w14:textId="77777777">
        <w:trPr>
          <w:trHeight w:val="340"/>
        </w:trPr>
        <w:tc>
          <w:tcPr>
            <w:tcW w:w="4734" w:type="dxa"/>
            <w:gridSpan w:val="2"/>
            <w:vAlign w:val="center"/>
          </w:tcPr>
          <w:p w14:paraId="4DF7BEB1"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优势种：</w:t>
            </w:r>
            <w:r>
              <w:rPr>
                <w:rFonts w:ascii="Times New Roman" w:hAnsi="Times New Roman" w:hint="eastAsia"/>
                <w:sz w:val="21"/>
                <w:szCs w:val="21"/>
              </w:rPr>
              <w:t>柠条</w:t>
            </w:r>
          </w:p>
        </w:tc>
        <w:tc>
          <w:tcPr>
            <w:tcW w:w="4393" w:type="dxa"/>
            <w:gridSpan w:val="2"/>
            <w:vAlign w:val="center"/>
          </w:tcPr>
          <w:p w14:paraId="345B73C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生物量：</w:t>
            </w:r>
            <w:r>
              <w:rPr>
                <w:rFonts w:ascii="Times New Roman" w:hAnsi="Times New Roman" w:hint="eastAsia"/>
                <w:sz w:val="21"/>
                <w:szCs w:val="21"/>
              </w:rPr>
              <w:t>6</w:t>
            </w:r>
            <w:r>
              <w:rPr>
                <w:rFonts w:ascii="Times New Roman" w:hAnsi="Times New Roman"/>
                <w:sz w:val="21"/>
                <w:szCs w:val="21"/>
              </w:rPr>
              <w:t>96.5g/m</w:t>
            </w:r>
            <w:r>
              <w:rPr>
                <w:rFonts w:ascii="Times New Roman" w:hAnsi="Times New Roman"/>
                <w:sz w:val="21"/>
                <w:szCs w:val="21"/>
                <w:vertAlign w:val="superscript"/>
              </w:rPr>
              <w:t>2</w:t>
            </w:r>
          </w:p>
        </w:tc>
      </w:tr>
      <w:tr w:rsidR="009C353B" w14:paraId="7BAF5F34" w14:textId="77777777">
        <w:trPr>
          <w:trHeight w:val="340"/>
        </w:trPr>
        <w:tc>
          <w:tcPr>
            <w:tcW w:w="9127" w:type="dxa"/>
            <w:gridSpan w:val="4"/>
            <w:vAlign w:val="center"/>
          </w:tcPr>
          <w:p w14:paraId="3AEB9B3E"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样方外植物：</w:t>
            </w:r>
            <w:r>
              <w:rPr>
                <w:rFonts w:ascii="Times New Roman" w:hAnsi="Times New Roman" w:hint="eastAsia"/>
                <w:sz w:val="21"/>
                <w:szCs w:val="21"/>
              </w:rPr>
              <w:t>柠条、无芒隐子草、白草、油蒿</w:t>
            </w:r>
          </w:p>
        </w:tc>
      </w:tr>
      <w:tr w:rsidR="009C353B" w14:paraId="7E278560" w14:textId="77777777">
        <w:trPr>
          <w:trHeight w:val="340"/>
        </w:trPr>
        <w:tc>
          <w:tcPr>
            <w:tcW w:w="9127" w:type="dxa"/>
            <w:gridSpan w:val="4"/>
            <w:vAlign w:val="center"/>
          </w:tcPr>
          <w:p w14:paraId="11E44B40" w14:textId="77777777" w:rsidR="009C353B" w:rsidRDefault="00000000">
            <w:pPr>
              <w:adjustRightInd w:val="0"/>
              <w:snapToGrid w:val="0"/>
              <w:spacing w:line="360" w:lineRule="auto"/>
              <w:ind w:firstLine="422"/>
              <w:rPr>
                <w:rFonts w:ascii="Times New Roman" w:hAnsi="Times New Roman"/>
                <w:b/>
                <w:sz w:val="21"/>
                <w:szCs w:val="21"/>
              </w:rPr>
            </w:pPr>
            <w:r>
              <w:rPr>
                <w:rFonts w:ascii="Times New Roman" w:hAnsi="Times New Roman"/>
                <w:b/>
                <w:sz w:val="21"/>
                <w:szCs w:val="21"/>
              </w:rPr>
              <w:t xml:space="preserve"> </w:t>
            </w:r>
            <w:r>
              <w:rPr>
                <w:rFonts w:ascii="Times New Roman" w:hAnsi="Times New Roman"/>
                <w:b/>
                <w:noProof/>
                <w:sz w:val="21"/>
                <w:szCs w:val="21"/>
              </w:rPr>
              <w:drawing>
                <wp:inline distT="0" distB="0" distL="0" distR="0" wp14:anchorId="25A03ED1" wp14:editId="0F968C3B">
                  <wp:extent cx="5760085" cy="4319905"/>
                  <wp:effectExtent l="0" t="0" r="0" b="4445"/>
                  <wp:docPr id="471"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471"/>
                          <pic:cNvPicPr>
                            <a:picLocks noChangeAspect="1"/>
                          </pic:cNvPicPr>
                        </pic:nvPicPr>
                        <pic:blipFill>
                          <a:blip r:embed="rId196">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tc>
      </w:tr>
    </w:tbl>
    <w:p w14:paraId="4D34BDBE" w14:textId="77777777" w:rsidR="009C353B" w:rsidRDefault="009C353B">
      <w:pPr>
        <w:adjustRightInd w:val="0"/>
        <w:snapToGrid w:val="0"/>
        <w:spacing w:line="440" w:lineRule="exact"/>
        <w:ind w:firstLineChars="200" w:firstLine="482"/>
        <w:rPr>
          <w:rFonts w:ascii="Times New Roman" w:hAnsi="Times New Roman"/>
          <w:b/>
          <w:szCs w:val="24"/>
        </w:rPr>
      </w:pPr>
    </w:p>
    <w:p w14:paraId="7B600440"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br w:type="page"/>
      </w:r>
    </w:p>
    <w:p w14:paraId="2D901079"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样方调查登记表</w:t>
      </w:r>
      <w:r>
        <w:rPr>
          <w:rFonts w:ascii="Times New Roman" w:hAnsi="Times New Roman" w:hint="eastAsia"/>
          <w:b/>
          <w:szCs w:val="24"/>
        </w:rPr>
        <w:t>2</w:t>
      </w:r>
    </w:p>
    <w:p w14:paraId="0AD4CA4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5</w:t>
      </w:r>
    </w:p>
    <w:tbl>
      <w:tblPr>
        <w:tblW w:w="9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1582"/>
        <w:gridCol w:w="2811"/>
      </w:tblGrid>
      <w:tr w:rsidR="009C353B" w14:paraId="10FCF0DE" w14:textId="77777777">
        <w:trPr>
          <w:trHeight w:val="340"/>
        </w:trPr>
        <w:tc>
          <w:tcPr>
            <w:tcW w:w="3125" w:type="dxa"/>
            <w:vAlign w:val="center"/>
          </w:tcPr>
          <w:p w14:paraId="2061A55F"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样地号：</w:t>
            </w:r>
            <w:r>
              <w:rPr>
                <w:rFonts w:ascii="Times New Roman" w:hAnsi="Times New Roman"/>
                <w:sz w:val="21"/>
                <w:szCs w:val="21"/>
              </w:rPr>
              <w:t>2</w:t>
            </w:r>
          </w:p>
        </w:tc>
        <w:tc>
          <w:tcPr>
            <w:tcW w:w="3191" w:type="dxa"/>
            <w:gridSpan w:val="2"/>
            <w:vAlign w:val="center"/>
          </w:tcPr>
          <w:p w14:paraId="5D11E63B"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样地面积：</w:t>
            </w:r>
            <w:r>
              <w:rPr>
                <w:rFonts w:ascii="Times New Roman" w:hAnsi="Times New Roman"/>
                <w:sz w:val="21"/>
                <w:szCs w:val="21"/>
              </w:rPr>
              <w:t>5m×5m</w:t>
            </w:r>
          </w:p>
        </w:tc>
        <w:tc>
          <w:tcPr>
            <w:tcW w:w="2811" w:type="dxa"/>
            <w:vAlign w:val="center"/>
          </w:tcPr>
          <w:p w14:paraId="12BA5288"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时间：</w:t>
            </w:r>
            <w:r>
              <w:rPr>
                <w:rFonts w:ascii="Times New Roman" w:hAnsi="Times New Roman"/>
                <w:sz w:val="21"/>
                <w:szCs w:val="21"/>
              </w:rPr>
              <w:t>2020/7/23</w:t>
            </w:r>
          </w:p>
        </w:tc>
      </w:tr>
      <w:tr w:rsidR="009C353B" w14:paraId="1D0F56AE" w14:textId="77777777">
        <w:trPr>
          <w:trHeight w:val="340"/>
        </w:trPr>
        <w:tc>
          <w:tcPr>
            <w:tcW w:w="3125" w:type="dxa"/>
            <w:vAlign w:val="center"/>
          </w:tcPr>
          <w:p w14:paraId="52B136BC"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坡度：</w:t>
            </w:r>
            <w:r>
              <w:rPr>
                <w:rFonts w:ascii="Times New Roman" w:hAnsi="Times New Roman"/>
                <w:sz w:val="21"/>
                <w:szCs w:val="21"/>
              </w:rPr>
              <w:t>0</w:t>
            </w:r>
            <w:r>
              <w:rPr>
                <w:rFonts w:ascii="Times New Roman" w:hAnsi="Times New Roman"/>
                <w:sz w:val="21"/>
                <w:szCs w:val="21"/>
              </w:rPr>
              <w:t>度</w:t>
            </w:r>
          </w:p>
        </w:tc>
        <w:tc>
          <w:tcPr>
            <w:tcW w:w="6002" w:type="dxa"/>
            <w:gridSpan w:val="3"/>
            <w:vAlign w:val="center"/>
          </w:tcPr>
          <w:p w14:paraId="738DAC13"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sz w:val="21"/>
                <w:szCs w:val="21"/>
              </w:rPr>
              <w:t xml:space="preserve">106.595° </w:t>
            </w:r>
            <w:r>
              <w:rPr>
                <w:rFonts w:ascii="Times New Roman" w:hAnsi="Times New Roman"/>
                <w:sz w:val="21"/>
                <w:szCs w:val="21"/>
              </w:rPr>
              <w:t>北纬</w:t>
            </w:r>
            <w:r>
              <w:rPr>
                <w:rFonts w:ascii="Times New Roman" w:hAnsi="Times New Roman"/>
                <w:sz w:val="21"/>
                <w:szCs w:val="21"/>
              </w:rPr>
              <w:t>38.227°</w:t>
            </w:r>
          </w:p>
        </w:tc>
      </w:tr>
      <w:tr w:rsidR="009C353B" w14:paraId="107A918A" w14:textId="77777777">
        <w:trPr>
          <w:trHeight w:val="340"/>
        </w:trPr>
        <w:tc>
          <w:tcPr>
            <w:tcW w:w="4734" w:type="dxa"/>
            <w:gridSpan w:val="2"/>
            <w:vAlign w:val="center"/>
          </w:tcPr>
          <w:p w14:paraId="707D1BC3"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总盖度：</w:t>
            </w:r>
            <w:r>
              <w:rPr>
                <w:rFonts w:ascii="Times New Roman" w:hAnsi="Times New Roman"/>
                <w:sz w:val="21"/>
                <w:szCs w:val="21"/>
              </w:rPr>
              <w:t>35</w:t>
            </w:r>
            <w:r>
              <w:rPr>
                <w:rFonts w:ascii="Times New Roman" w:hAnsi="Times New Roman"/>
                <w:sz w:val="21"/>
                <w:szCs w:val="21"/>
              </w:rPr>
              <w:t>％</w:t>
            </w:r>
          </w:p>
        </w:tc>
        <w:tc>
          <w:tcPr>
            <w:tcW w:w="4393" w:type="dxa"/>
            <w:gridSpan w:val="2"/>
            <w:vAlign w:val="center"/>
          </w:tcPr>
          <w:p w14:paraId="0A9EFDC8"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平均群落高：</w:t>
            </w:r>
            <w:r>
              <w:rPr>
                <w:rFonts w:ascii="Times New Roman" w:hAnsi="Times New Roman"/>
                <w:sz w:val="21"/>
                <w:szCs w:val="21"/>
              </w:rPr>
              <w:t>90cm</w:t>
            </w:r>
          </w:p>
        </w:tc>
      </w:tr>
      <w:tr w:rsidR="009C353B" w14:paraId="0757E3D2" w14:textId="77777777">
        <w:trPr>
          <w:trHeight w:val="340"/>
        </w:trPr>
        <w:tc>
          <w:tcPr>
            <w:tcW w:w="9127" w:type="dxa"/>
            <w:gridSpan w:val="4"/>
            <w:vAlign w:val="center"/>
          </w:tcPr>
          <w:p w14:paraId="492E113B"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主要植物：柠条、油蒿、芨芨草</w:t>
            </w:r>
          </w:p>
        </w:tc>
      </w:tr>
      <w:tr w:rsidR="009C353B" w14:paraId="104C71FA" w14:textId="77777777">
        <w:trPr>
          <w:trHeight w:val="340"/>
        </w:trPr>
        <w:tc>
          <w:tcPr>
            <w:tcW w:w="4734" w:type="dxa"/>
            <w:gridSpan w:val="2"/>
            <w:vAlign w:val="center"/>
          </w:tcPr>
          <w:p w14:paraId="51CBAB88"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优势种：柠条</w:t>
            </w:r>
          </w:p>
        </w:tc>
        <w:tc>
          <w:tcPr>
            <w:tcW w:w="4393" w:type="dxa"/>
            <w:gridSpan w:val="2"/>
            <w:vAlign w:val="center"/>
          </w:tcPr>
          <w:p w14:paraId="0D805BBF"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生物量：</w:t>
            </w:r>
            <w:r>
              <w:rPr>
                <w:rFonts w:ascii="Times New Roman" w:hAnsi="Times New Roman"/>
                <w:sz w:val="21"/>
                <w:szCs w:val="21"/>
              </w:rPr>
              <w:t>496.5g/m</w:t>
            </w:r>
            <w:r>
              <w:rPr>
                <w:rFonts w:ascii="Times New Roman" w:hAnsi="Times New Roman"/>
                <w:sz w:val="21"/>
                <w:szCs w:val="21"/>
                <w:vertAlign w:val="superscript"/>
              </w:rPr>
              <w:t>2</w:t>
            </w:r>
          </w:p>
        </w:tc>
      </w:tr>
      <w:tr w:rsidR="009C353B" w14:paraId="78137AE2" w14:textId="77777777">
        <w:trPr>
          <w:trHeight w:val="340"/>
        </w:trPr>
        <w:tc>
          <w:tcPr>
            <w:tcW w:w="9127" w:type="dxa"/>
            <w:gridSpan w:val="4"/>
            <w:vAlign w:val="center"/>
          </w:tcPr>
          <w:p w14:paraId="5FBD3126"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样方外植物：柠条、芨芨草、无芒隐子草、油蒿</w:t>
            </w:r>
          </w:p>
        </w:tc>
      </w:tr>
      <w:tr w:rsidR="009C353B" w14:paraId="1D44FF89" w14:textId="77777777">
        <w:trPr>
          <w:trHeight w:val="340"/>
        </w:trPr>
        <w:tc>
          <w:tcPr>
            <w:tcW w:w="9127" w:type="dxa"/>
            <w:gridSpan w:val="4"/>
            <w:vAlign w:val="center"/>
          </w:tcPr>
          <w:p w14:paraId="1E5E2884" w14:textId="77777777" w:rsidR="009C353B" w:rsidRDefault="00000000">
            <w:pPr>
              <w:adjustRightInd w:val="0"/>
              <w:snapToGrid w:val="0"/>
              <w:spacing w:line="360" w:lineRule="auto"/>
              <w:ind w:firstLineChars="200" w:firstLine="422"/>
              <w:rPr>
                <w:rFonts w:ascii="Times New Roman" w:hAnsi="Times New Roman"/>
                <w:b/>
                <w:sz w:val="21"/>
                <w:szCs w:val="21"/>
              </w:rPr>
            </w:pPr>
            <w:r>
              <w:rPr>
                <w:rFonts w:ascii="Times New Roman" w:hAnsi="Times New Roman"/>
                <w:b/>
                <w:sz w:val="21"/>
                <w:szCs w:val="21"/>
              </w:rPr>
              <w:t xml:space="preserve"> </w:t>
            </w:r>
            <w:r>
              <w:rPr>
                <w:rFonts w:ascii="Times New Roman" w:hAnsi="Times New Roman"/>
                <w:b/>
                <w:noProof/>
                <w:sz w:val="21"/>
                <w:szCs w:val="21"/>
              </w:rPr>
              <w:drawing>
                <wp:inline distT="0" distB="0" distL="0" distR="0" wp14:anchorId="1D8E5EAB" wp14:editId="79D2988A">
                  <wp:extent cx="5760085" cy="4319905"/>
                  <wp:effectExtent l="0" t="0" r="0" b="4445"/>
                  <wp:docPr id="489"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489"/>
                          <pic:cNvPicPr>
                            <a:picLocks noChangeAspect="1"/>
                          </pic:cNvPicPr>
                        </pic:nvPicPr>
                        <pic:blipFill>
                          <a:blip r:embed="rId197">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tc>
      </w:tr>
    </w:tbl>
    <w:p w14:paraId="7B0BEB5B"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br w:type="page"/>
      </w:r>
    </w:p>
    <w:p w14:paraId="1350F1EE"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样方调查登记表</w:t>
      </w:r>
      <w:r>
        <w:rPr>
          <w:rFonts w:ascii="Times New Roman" w:hAnsi="Times New Roman" w:hint="eastAsia"/>
          <w:b/>
          <w:szCs w:val="24"/>
        </w:rPr>
        <w:t>3</w:t>
      </w:r>
    </w:p>
    <w:p w14:paraId="235DF24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6</w:t>
      </w:r>
    </w:p>
    <w:tbl>
      <w:tblPr>
        <w:tblW w:w="9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1582"/>
        <w:gridCol w:w="2811"/>
      </w:tblGrid>
      <w:tr w:rsidR="009C353B" w14:paraId="291A1ECC" w14:textId="77777777">
        <w:trPr>
          <w:trHeight w:val="340"/>
        </w:trPr>
        <w:tc>
          <w:tcPr>
            <w:tcW w:w="3125" w:type="dxa"/>
            <w:vAlign w:val="center"/>
          </w:tcPr>
          <w:p w14:paraId="66247E2F"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样地号：</w:t>
            </w:r>
            <w:r>
              <w:rPr>
                <w:rFonts w:ascii="Times New Roman" w:hAnsi="Times New Roman" w:hint="eastAsia"/>
                <w:sz w:val="21"/>
                <w:szCs w:val="21"/>
              </w:rPr>
              <w:t>3</w:t>
            </w:r>
          </w:p>
        </w:tc>
        <w:tc>
          <w:tcPr>
            <w:tcW w:w="3191" w:type="dxa"/>
            <w:gridSpan w:val="2"/>
            <w:vAlign w:val="center"/>
          </w:tcPr>
          <w:p w14:paraId="2109BC99"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样地面积：</w:t>
            </w:r>
            <w:r>
              <w:rPr>
                <w:rFonts w:ascii="Times New Roman" w:hAnsi="Times New Roman"/>
                <w:sz w:val="21"/>
                <w:szCs w:val="21"/>
              </w:rPr>
              <w:t>1m×1m</w:t>
            </w:r>
          </w:p>
        </w:tc>
        <w:tc>
          <w:tcPr>
            <w:tcW w:w="2811" w:type="dxa"/>
            <w:vAlign w:val="center"/>
          </w:tcPr>
          <w:p w14:paraId="0D95062A"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时间：</w:t>
            </w:r>
            <w:r>
              <w:rPr>
                <w:rFonts w:ascii="Times New Roman" w:hAnsi="Times New Roman"/>
                <w:sz w:val="21"/>
                <w:szCs w:val="21"/>
              </w:rPr>
              <w:t>20</w:t>
            </w:r>
            <w:r>
              <w:rPr>
                <w:rFonts w:ascii="Times New Roman" w:hAnsi="Times New Roman" w:hint="eastAsia"/>
                <w:sz w:val="21"/>
                <w:szCs w:val="21"/>
              </w:rPr>
              <w:t>20</w:t>
            </w:r>
            <w:r>
              <w:rPr>
                <w:rFonts w:ascii="Times New Roman" w:hAnsi="Times New Roman"/>
                <w:sz w:val="21"/>
                <w:szCs w:val="21"/>
              </w:rPr>
              <w:t>/7/</w:t>
            </w:r>
            <w:r>
              <w:rPr>
                <w:rFonts w:ascii="Times New Roman" w:hAnsi="Times New Roman" w:hint="eastAsia"/>
                <w:sz w:val="21"/>
                <w:szCs w:val="21"/>
              </w:rPr>
              <w:t>23</w:t>
            </w:r>
          </w:p>
        </w:tc>
      </w:tr>
      <w:tr w:rsidR="009C353B" w14:paraId="6024B58E" w14:textId="77777777">
        <w:trPr>
          <w:trHeight w:val="340"/>
        </w:trPr>
        <w:tc>
          <w:tcPr>
            <w:tcW w:w="3125" w:type="dxa"/>
            <w:vAlign w:val="center"/>
          </w:tcPr>
          <w:p w14:paraId="6A1C5205"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坡度：</w:t>
            </w:r>
            <w:r>
              <w:rPr>
                <w:rFonts w:ascii="Times New Roman" w:hAnsi="Times New Roman" w:hint="eastAsia"/>
                <w:sz w:val="21"/>
                <w:szCs w:val="21"/>
              </w:rPr>
              <w:t>0</w:t>
            </w:r>
            <w:r>
              <w:rPr>
                <w:rFonts w:ascii="Times New Roman" w:hAnsi="Times New Roman"/>
                <w:sz w:val="21"/>
                <w:szCs w:val="21"/>
              </w:rPr>
              <w:t>度</w:t>
            </w:r>
          </w:p>
        </w:tc>
        <w:tc>
          <w:tcPr>
            <w:tcW w:w="6002" w:type="dxa"/>
            <w:gridSpan w:val="3"/>
            <w:vAlign w:val="center"/>
          </w:tcPr>
          <w:p w14:paraId="5B8388D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hint="eastAsia"/>
                <w:sz w:val="21"/>
                <w:szCs w:val="21"/>
              </w:rPr>
              <w:t>106.573</w:t>
            </w:r>
            <w:r>
              <w:rPr>
                <w:rFonts w:ascii="Times New Roman" w:hAnsi="Times New Roman"/>
                <w:sz w:val="21"/>
                <w:szCs w:val="21"/>
              </w:rPr>
              <w:t xml:space="preserve">° </w:t>
            </w:r>
            <w:r>
              <w:rPr>
                <w:rFonts w:ascii="Times New Roman" w:hAnsi="Times New Roman"/>
                <w:sz w:val="21"/>
                <w:szCs w:val="21"/>
              </w:rPr>
              <w:t>北纬</w:t>
            </w:r>
            <w:r>
              <w:rPr>
                <w:rFonts w:ascii="Times New Roman" w:hAnsi="Times New Roman" w:hint="eastAsia"/>
                <w:sz w:val="21"/>
                <w:szCs w:val="21"/>
              </w:rPr>
              <w:t>38.252</w:t>
            </w:r>
            <w:r>
              <w:rPr>
                <w:rFonts w:ascii="Times New Roman" w:hAnsi="Times New Roman"/>
                <w:sz w:val="21"/>
                <w:szCs w:val="21"/>
              </w:rPr>
              <w:t>°</w:t>
            </w:r>
          </w:p>
        </w:tc>
      </w:tr>
      <w:tr w:rsidR="009C353B" w14:paraId="145289E1" w14:textId="77777777">
        <w:trPr>
          <w:trHeight w:val="340"/>
        </w:trPr>
        <w:tc>
          <w:tcPr>
            <w:tcW w:w="4734" w:type="dxa"/>
            <w:gridSpan w:val="2"/>
            <w:vAlign w:val="center"/>
          </w:tcPr>
          <w:p w14:paraId="7B55FD8C"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总盖度：</w:t>
            </w:r>
            <w:r>
              <w:rPr>
                <w:rFonts w:ascii="Times New Roman" w:hAnsi="Times New Roman" w:hint="eastAsia"/>
                <w:sz w:val="21"/>
                <w:szCs w:val="21"/>
              </w:rPr>
              <w:t>15</w:t>
            </w:r>
            <w:r>
              <w:rPr>
                <w:rFonts w:ascii="Times New Roman" w:hAnsi="Times New Roman"/>
                <w:sz w:val="21"/>
                <w:szCs w:val="21"/>
              </w:rPr>
              <w:t>％</w:t>
            </w:r>
          </w:p>
        </w:tc>
        <w:tc>
          <w:tcPr>
            <w:tcW w:w="4393" w:type="dxa"/>
            <w:gridSpan w:val="2"/>
            <w:vAlign w:val="center"/>
          </w:tcPr>
          <w:p w14:paraId="2CECD274"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平均群落高：</w:t>
            </w:r>
            <w:r>
              <w:rPr>
                <w:rFonts w:ascii="Times New Roman" w:hAnsi="Times New Roman" w:hint="eastAsia"/>
                <w:sz w:val="21"/>
                <w:szCs w:val="21"/>
              </w:rPr>
              <w:t>10</w:t>
            </w:r>
            <w:r>
              <w:rPr>
                <w:rFonts w:ascii="Times New Roman" w:hAnsi="Times New Roman"/>
                <w:sz w:val="21"/>
                <w:szCs w:val="21"/>
              </w:rPr>
              <w:t>cm</w:t>
            </w:r>
          </w:p>
        </w:tc>
      </w:tr>
      <w:tr w:rsidR="009C353B" w14:paraId="7B1C9042" w14:textId="77777777">
        <w:trPr>
          <w:trHeight w:val="340"/>
        </w:trPr>
        <w:tc>
          <w:tcPr>
            <w:tcW w:w="9127" w:type="dxa"/>
            <w:gridSpan w:val="4"/>
            <w:vAlign w:val="center"/>
          </w:tcPr>
          <w:p w14:paraId="3D80392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主要植物：</w:t>
            </w:r>
            <w:r>
              <w:rPr>
                <w:rFonts w:ascii="Times New Roman" w:hAnsi="Times New Roman" w:hint="eastAsia"/>
                <w:sz w:val="21"/>
                <w:szCs w:val="21"/>
              </w:rPr>
              <w:t>狼尾草、猪毛菜</w:t>
            </w:r>
          </w:p>
        </w:tc>
      </w:tr>
      <w:tr w:rsidR="009C353B" w14:paraId="4885E983" w14:textId="77777777">
        <w:trPr>
          <w:trHeight w:val="340"/>
        </w:trPr>
        <w:tc>
          <w:tcPr>
            <w:tcW w:w="4734" w:type="dxa"/>
            <w:gridSpan w:val="2"/>
            <w:vAlign w:val="center"/>
          </w:tcPr>
          <w:p w14:paraId="11D73C0D"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优势种：</w:t>
            </w:r>
            <w:r>
              <w:rPr>
                <w:rFonts w:ascii="Times New Roman" w:hAnsi="Times New Roman" w:hint="eastAsia"/>
                <w:sz w:val="21"/>
                <w:szCs w:val="21"/>
              </w:rPr>
              <w:t>狼尾草</w:t>
            </w:r>
          </w:p>
        </w:tc>
        <w:tc>
          <w:tcPr>
            <w:tcW w:w="4393" w:type="dxa"/>
            <w:gridSpan w:val="2"/>
            <w:vAlign w:val="center"/>
          </w:tcPr>
          <w:p w14:paraId="09276CCF"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生物量：</w:t>
            </w:r>
            <w:r>
              <w:rPr>
                <w:rFonts w:ascii="Times New Roman" w:hAnsi="Times New Roman" w:hint="eastAsia"/>
                <w:sz w:val="21"/>
                <w:szCs w:val="21"/>
              </w:rPr>
              <w:t>82</w:t>
            </w:r>
            <w:r>
              <w:rPr>
                <w:rFonts w:ascii="Times New Roman" w:hAnsi="Times New Roman"/>
                <w:sz w:val="21"/>
                <w:szCs w:val="21"/>
              </w:rPr>
              <w:t>g/m</w:t>
            </w:r>
            <w:r>
              <w:rPr>
                <w:rFonts w:ascii="Times New Roman" w:hAnsi="Times New Roman"/>
                <w:sz w:val="21"/>
                <w:szCs w:val="21"/>
                <w:vertAlign w:val="superscript"/>
              </w:rPr>
              <w:t>2</w:t>
            </w:r>
          </w:p>
        </w:tc>
      </w:tr>
      <w:tr w:rsidR="009C353B" w14:paraId="6BBCBFFF" w14:textId="77777777">
        <w:trPr>
          <w:trHeight w:val="340"/>
        </w:trPr>
        <w:tc>
          <w:tcPr>
            <w:tcW w:w="9127" w:type="dxa"/>
            <w:gridSpan w:val="4"/>
            <w:vAlign w:val="center"/>
          </w:tcPr>
          <w:p w14:paraId="545C15CA"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样方外植物：</w:t>
            </w:r>
            <w:r>
              <w:rPr>
                <w:rFonts w:ascii="Times New Roman" w:hAnsi="Times New Roman" w:hint="eastAsia"/>
                <w:sz w:val="21"/>
                <w:szCs w:val="21"/>
              </w:rPr>
              <w:t>狼尾草、猪毛菜、委陵菜</w:t>
            </w:r>
          </w:p>
        </w:tc>
      </w:tr>
      <w:tr w:rsidR="009C353B" w14:paraId="03A55109" w14:textId="77777777">
        <w:trPr>
          <w:trHeight w:val="340"/>
        </w:trPr>
        <w:tc>
          <w:tcPr>
            <w:tcW w:w="9127" w:type="dxa"/>
            <w:gridSpan w:val="4"/>
            <w:vAlign w:val="center"/>
          </w:tcPr>
          <w:p w14:paraId="431E7CC4" w14:textId="77777777" w:rsidR="009C353B" w:rsidRDefault="00000000">
            <w:pPr>
              <w:adjustRightInd w:val="0"/>
              <w:snapToGrid w:val="0"/>
              <w:spacing w:line="360" w:lineRule="auto"/>
              <w:ind w:firstLineChars="200" w:firstLine="422"/>
              <w:rPr>
                <w:rFonts w:ascii="Times New Roman" w:hAnsi="Times New Roman"/>
                <w:b/>
                <w:sz w:val="21"/>
                <w:szCs w:val="21"/>
              </w:rPr>
            </w:pPr>
            <w:r>
              <w:rPr>
                <w:rFonts w:ascii="Times New Roman" w:hAnsi="Times New Roman"/>
                <w:b/>
                <w:sz w:val="21"/>
                <w:szCs w:val="21"/>
              </w:rPr>
              <w:t xml:space="preserve"> </w:t>
            </w:r>
            <w:r>
              <w:rPr>
                <w:rFonts w:ascii="Times New Roman" w:hAnsi="Times New Roman"/>
                <w:b/>
                <w:noProof/>
                <w:sz w:val="21"/>
                <w:szCs w:val="21"/>
              </w:rPr>
              <w:drawing>
                <wp:inline distT="0" distB="0" distL="0" distR="0" wp14:anchorId="1F32DED8" wp14:editId="7D9BCFEB">
                  <wp:extent cx="4568190" cy="4319905"/>
                  <wp:effectExtent l="0" t="0" r="3810" b="4445"/>
                  <wp:docPr id="490"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图片 490"/>
                          <pic:cNvPicPr>
                            <a:picLocks noChangeAspect="1"/>
                          </pic:cNvPicPr>
                        </pic:nvPicPr>
                        <pic:blipFill>
                          <a:blip r:embed="rId198" cstate="print">
                            <a:extLst>
                              <a:ext uri="{28A0092B-C50C-407E-A947-70E740481C1C}">
                                <a14:useLocalDpi xmlns:a14="http://schemas.microsoft.com/office/drawing/2010/main" val="0"/>
                              </a:ext>
                            </a:extLst>
                          </a:blip>
                          <a:srcRect t="8299" b="19208"/>
                          <a:stretch>
                            <a:fillRect/>
                          </a:stretch>
                        </pic:blipFill>
                        <pic:spPr>
                          <a:xfrm>
                            <a:off x="0" y="0"/>
                            <a:ext cx="4568400" cy="4320000"/>
                          </a:xfrm>
                          <a:prstGeom prst="rect">
                            <a:avLst/>
                          </a:prstGeom>
                          <a:ln>
                            <a:noFill/>
                          </a:ln>
                        </pic:spPr>
                      </pic:pic>
                    </a:graphicData>
                  </a:graphic>
                </wp:inline>
              </w:drawing>
            </w:r>
          </w:p>
        </w:tc>
      </w:tr>
    </w:tbl>
    <w:p w14:paraId="782273F9" w14:textId="77777777" w:rsidR="009C353B" w:rsidRDefault="009C353B">
      <w:pPr>
        <w:adjustRightInd w:val="0"/>
        <w:snapToGrid w:val="0"/>
        <w:spacing w:line="440" w:lineRule="exact"/>
        <w:ind w:firstLineChars="200" w:firstLine="482"/>
        <w:rPr>
          <w:rFonts w:ascii="Times New Roman" w:hAnsi="Times New Roman"/>
          <w:b/>
          <w:szCs w:val="24"/>
        </w:rPr>
      </w:pPr>
    </w:p>
    <w:p w14:paraId="5CC81004"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br w:type="page"/>
      </w:r>
    </w:p>
    <w:p w14:paraId="021B4D56"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样方调查登记表</w:t>
      </w:r>
      <w:r>
        <w:rPr>
          <w:rFonts w:ascii="Times New Roman" w:hAnsi="Times New Roman" w:hint="eastAsia"/>
          <w:b/>
          <w:szCs w:val="24"/>
        </w:rPr>
        <w:t>4</w:t>
      </w:r>
    </w:p>
    <w:p w14:paraId="6C72949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7</w:t>
      </w:r>
      <w:r>
        <w:rPr>
          <w:rFonts w:ascii="Times New Roman" w:hAnsi="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256"/>
        <w:gridCol w:w="1326"/>
        <w:gridCol w:w="2811"/>
      </w:tblGrid>
      <w:tr w:rsidR="009C353B" w14:paraId="41F66E57" w14:textId="77777777">
        <w:trPr>
          <w:trHeight w:val="340"/>
        </w:trPr>
        <w:tc>
          <w:tcPr>
            <w:tcW w:w="3125" w:type="dxa"/>
            <w:vAlign w:val="center"/>
          </w:tcPr>
          <w:p w14:paraId="02BB2F1E"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样地号：</w:t>
            </w:r>
            <w:r>
              <w:rPr>
                <w:rFonts w:ascii="Times New Roman" w:hAnsi="Times New Roman"/>
                <w:sz w:val="21"/>
                <w:szCs w:val="21"/>
              </w:rPr>
              <w:t>4</w:t>
            </w:r>
          </w:p>
        </w:tc>
        <w:tc>
          <w:tcPr>
            <w:tcW w:w="3191" w:type="dxa"/>
            <w:gridSpan w:val="3"/>
            <w:vAlign w:val="center"/>
          </w:tcPr>
          <w:p w14:paraId="620B363D"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样地面积：</w:t>
            </w:r>
            <w:r>
              <w:rPr>
                <w:rFonts w:ascii="Times New Roman" w:hAnsi="Times New Roman"/>
                <w:sz w:val="21"/>
                <w:szCs w:val="21"/>
              </w:rPr>
              <w:t>1</w:t>
            </w:r>
            <w:r>
              <w:rPr>
                <w:rFonts w:ascii="Times New Roman" w:hAnsi="Times New Roman" w:hint="eastAsia"/>
                <w:sz w:val="21"/>
                <w:szCs w:val="21"/>
              </w:rPr>
              <w:t>0</w:t>
            </w:r>
            <w:r>
              <w:rPr>
                <w:rFonts w:ascii="Times New Roman" w:hAnsi="Times New Roman"/>
                <w:sz w:val="21"/>
                <w:szCs w:val="21"/>
              </w:rPr>
              <w:t>m×1</w:t>
            </w:r>
            <w:r>
              <w:rPr>
                <w:rFonts w:ascii="Times New Roman" w:hAnsi="Times New Roman" w:hint="eastAsia"/>
                <w:sz w:val="21"/>
                <w:szCs w:val="21"/>
              </w:rPr>
              <w:t>0</w:t>
            </w:r>
            <w:r>
              <w:rPr>
                <w:rFonts w:ascii="Times New Roman" w:hAnsi="Times New Roman"/>
                <w:sz w:val="21"/>
                <w:szCs w:val="21"/>
              </w:rPr>
              <w:t>m</w:t>
            </w:r>
          </w:p>
        </w:tc>
        <w:tc>
          <w:tcPr>
            <w:tcW w:w="2811" w:type="dxa"/>
            <w:vAlign w:val="center"/>
          </w:tcPr>
          <w:p w14:paraId="632C9FAC"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时间：</w:t>
            </w:r>
            <w:r>
              <w:rPr>
                <w:rFonts w:ascii="Times New Roman" w:hAnsi="Times New Roman" w:hint="eastAsia"/>
                <w:sz w:val="21"/>
                <w:szCs w:val="21"/>
              </w:rPr>
              <w:t>2020</w:t>
            </w:r>
            <w:r>
              <w:rPr>
                <w:rFonts w:ascii="Times New Roman" w:hAnsi="Times New Roman"/>
                <w:sz w:val="21"/>
                <w:szCs w:val="21"/>
              </w:rPr>
              <w:t>/7/</w:t>
            </w:r>
            <w:r>
              <w:rPr>
                <w:rFonts w:ascii="Times New Roman" w:hAnsi="Times New Roman" w:hint="eastAsia"/>
                <w:sz w:val="21"/>
                <w:szCs w:val="21"/>
              </w:rPr>
              <w:t>23</w:t>
            </w:r>
          </w:p>
        </w:tc>
      </w:tr>
      <w:tr w:rsidR="009C353B" w14:paraId="46AD75B4" w14:textId="77777777">
        <w:trPr>
          <w:trHeight w:val="340"/>
        </w:trPr>
        <w:tc>
          <w:tcPr>
            <w:tcW w:w="3125" w:type="dxa"/>
            <w:vAlign w:val="center"/>
          </w:tcPr>
          <w:p w14:paraId="25F3C5D1"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坡度：</w:t>
            </w:r>
            <w:r>
              <w:rPr>
                <w:rFonts w:ascii="Times New Roman" w:hAnsi="Times New Roman" w:hint="eastAsia"/>
                <w:sz w:val="21"/>
                <w:szCs w:val="21"/>
              </w:rPr>
              <w:t>8</w:t>
            </w:r>
            <w:r>
              <w:rPr>
                <w:rFonts w:ascii="Times New Roman" w:hAnsi="Times New Roman"/>
                <w:sz w:val="21"/>
                <w:szCs w:val="21"/>
              </w:rPr>
              <w:t>度</w:t>
            </w:r>
          </w:p>
        </w:tc>
        <w:tc>
          <w:tcPr>
            <w:tcW w:w="1865" w:type="dxa"/>
            <w:gridSpan w:val="2"/>
            <w:vAlign w:val="center"/>
          </w:tcPr>
          <w:p w14:paraId="13F89DF9"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坡向：</w:t>
            </w:r>
            <w:r>
              <w:rPr>
                <w:rFonts w:ascii="Times New Roman" w:hAnsi="Times New Roman" w:hint="eastAsia"/>
                <w:sz w:val="21"/>
                <w:szCs w:val="21"/>
              </w:rPr>
              <w:t>东</w:t>
            </w:r>
          </w:p>
        </w:tc>
        <w:tc>
          <w:tcPr>
            <w:tcW w:w="4137" w:type="dxa"/>
            <w:gridSpan w:val="2"/>
            <w:vAlign w:val="center"/>
          </w:tcPr>
          <w:p w14:paraId="43D11207"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hint="eastAsia"/>
                <w:sz w:val="21"/>
                <w:szCs w:val="21"/>
              </w:rPr>
              <w:t>106.535</w:t>
            </w:r>
            <w:r>
              <w:rPr>
                <w:rFonts w:ascii="Times New Roman" w:hAnsi="Times New Roman"/>
                <w:sz w:val="21"/>
                <w:szCs w:val="21"/>
              </w:rPr>
              <w:t xml:space="preserve">° </w:t>
            </w:r>
            <w:r>
              <w:rPr>
                <w:rFonts w:ascii="Times New Roman" w:hAnsi="Times New Roman"/>
                <w:sz w:val="21"/>
                <w:szCs w:val="21"/>
              </w:rPr>
              <w:t>北纬</w:t>
            </w:r>
            <w:r>
              <w:rPr>
                <w:rFonts w:ascii="Times New Roman" w:hAnsi="Times New Roman" w:hint="eastAsia"/>
                <w:sz w:val="21"/>
                <w:szCs w:val="21"/>
              </w:rPr>
              <w:t>38.261</w:t>
            </w:r>
            <w:r>
              <w:rPr>
                <w:rFonts w:ascii="Times New Roman" w:hAnsi="Times New Roman"/>
                <w:sz w:val="21"/>
                <w:szCs w:val="21"/>
              </w:rPr>
              <w:t>°</w:t>
            </w:r>
          </w:p>
        </w:tc>
      </w:tr>
      <w:tr w:rsidR="009C353B" w14:paraId="5A4D3BE9" w14:textId="77777777">
        <w:trPr>
          <w:trHeight w:val="340"/>
        </w:trPr>
        <w:tc>
          <w:tcPr>
            <w:tcW w:w="4990" w:type="dxa"/>
            <w:gridSpan w:val="3"/>
            <w:vAlign w:val="center"/>
          </w:tcPr>
          <w:p w14:paraId="07894818"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总盖度：</w:t>
            </w:r>
            <w:r>
              <w:rPr>
                <w:rFonts w:ascii="Times New Roman" w:hAnsi="Times New Roman" w:hint="eastAsia"/>
                <w:sz w:val="21"/>
                <w:szCs w:val="21"/>
              </w:rPr>
              <w:t>70</w:t>
            </w:r>
            <w:r>
              <w:rPr>
                <w:rFonts w:ascii="Times New Roman" w:hAnsi="Times New Roman"/>
                <w:sz w:val="21"/>
                <w:szCs w:val="21"/>
              </w:rPr>
              <w:t>％</w:t>
            </w:r>
          </w:p>
        </w:tc>
        <w:tc>
          <w:tcPr>
            <w:tcW w:w="4137" w:type="dxa"/>
            <w:gridSpan w:val="2"/>
            <w:vAlign w:val="center"/>
          </w:tcPr>
          <w:p w14:paraId="389F820F"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平均群落高：</w:t>
            </w:r>
            <w:r>
              <w:rPr>
                <w:rFonts w:ascii="Times New Roman" w:hAnsi="Times New Roman" w:hint="eastAsia"/>
                <w:sz w:val="21"/>
                <w:szCs w:val="21"/>
              </w:rPr>
              <w:t>8</w:t>
            </w:r>
            <w:r>
              <w:rPr>
                <w:rFonts w:ascii="Times New Roman" w:hAnsi="Times New Roman"/>
                <w:sz w:val="21"/>
                <w:szCs w:val="21"/>
              </w:rPr>
              <w:t>m</w:t>
            </w:r>
          </w:p>
        </w:tc>
      </w:tr>
      <w:tr w:rsidR="009C353B" w14:paraId="036D8618" w14:textId="77777777">
        <w:trPr>
          <w:trHeight w:val="340"/>
        </w:trPr>
        <w:tc>
          <w:tcPr>
            <w:tcW w:w="9127" w:type="dxa"/>
            <w:gridSpan w:val="5"/>
            <w:vAlign w:val="center"/>
          </w:tcPr>
          <w:p w14:paraId="600037E7"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主要植物：</w:t>
            </w:r>
            <w:r>
              <w:rPr>
                <w:rFonts w:ascii="Times New Roman" w:hAnsi="Times New Roman" w:hint="eastAsia"/>
                <w:sz w:val="21"/>
                <w:szCs w:val="21"/>
              </w:rPr>
              <w:t>刺槐、羊草、狗尾草、冷蒿、小画眉草</w:t>
            </w:r>
          </w:p>
        </w:tc>
      </w:tr>
      <w:tr w:rsidR="009C353B" w14:paraId="69C6DDB3" w14:textId="77777777">
        <w:trPr>
          <w:trHeight w:val="340"/>
        </w:trPr>
        <w:tc>
          <w:tcPr>
            <w:tcW w:w="4734" w:type="dxa"/>
            <w:gridSpan w:val="2"/>
            <w:vAlign w:val="center"/>
          </w:tcPr>
          <w:p w14:paraId="1BBDECC9"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优势种：</w:t>
            </w:r>
            <w:r>
              <w:rPr>
                <w:rFonts w:ascii="Times New Roman" w:hAnsi="Times New Roman" w:hint="eastAsia"/>
                <w:sz w:val="21"/>
                <w:szCs w:val="21"/>
              </w:rPr>
              <w:t>刺槐</w:t>
            </w:r>
          </w:p>
        </w:tc>
        <w:tc>
          <w:tcPr>
            <w:tcW w:w="4393" w:type="dxa"/>
            <w:gridSpan w:val="3"/>
            <w:vAlign w:val="center"/>
          </w:tcPr>
          <w:p w14:paraId="603198FC"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生物量：</w:t>
            </w:r>
            <w:r>
              <w:rPr>
                <w:rFonts w:ascii="Times New Roman" w:hAnsi="Times New Roman" w:hint="eastAsia"/>
                <w:sz w:val="21"/>
                <w:szCs w:val="21"/>
              </w:rPr>
              <w:t>87</w:t>
            </w:r>
            <w:r>
              <w:rPr>
                <w:rFonts w:ascii="Times New Roman" w:hAnsi="Times New Roman"/>
                <w:sz w:val="21"/>
                <w:szCs w:val="21"/>
              </w:rPr>
              <w:t>6.5g/m</w:t>
            </w:r>
            <w:r>
              <w:rPr>
                <w:rFonts w:ascii="Times New Roman" w:hAnsi="Times New Roman"/>
                <w:sz w:val="21"/>
                <w:szCs w:val="21"/>
                <w:vertAlign w:val="superscript"/>
              </w:rPr>
              <w:t>2</w:t>
            </w:r>
          </w:p>
        </w:tc>
      </w:tr>
      <w:tr w:rsidR="009C353B" w14:paraId="22E11878" w14:textId="77777777">
        <w:trPr>
          <w:trHeight w:val="340"/>
        </w:trPr>
        <w:tc>
          <w:tcPr>
            <w:tcW w:w="9127" w:type="dxa"/>
            <w:gridSpan w:val="5"/>
            <w:vAlign w:val="center"/>
          </w:tcPr>
          <w:p w14:paraId="0D341A49"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样方外植物：</w:t>
            </w:r>
            <w:r>
              <w:rPr>
                <w:rFonts w:ascii="Times New Roman" w:hAnsi="Times New Roman" w:hint="eastAsia"/>
                <w:sz w:val="21"/>
                <w:szCs w:val="21"/>
              </w:rPr>
              <w:t>刺槐、羊草</w:t>
            </w:r>
            <w:r>
              <w:rPr>
                <w:rFonts w:ascii="Times New Roman" w:hAnsi="Times New Roman"/>
                <w:sz w:val="21"/>
                <w:szCs w:val="21"/>
              </w:rPr>
              <w:t>、委陵菜、</w:t>
            </w:r>
            <w:r>
              <w:rPr>
                <w:rFonts w:ascii="Times New Roman" w:hAnsi="Times New Roman" w:hint="eastAsia"/>
                <w:sz w:val="21"/>
                <w:szCs w:val="21"/>
              </w:rPr>
              <w:t>细叶车前草</w:t>
            </w:r>
          </w:p>
        </w:tc>
      </w:tr>
      <w:tr w:rsidR="009C353B" w14:paraId="0120BB7C" w14:textId="77777777">
        <w:trPr>
          <w:trHeight w:val="340"/>
        </w:trPr>
        <w:tc>
          <w:tcPr>
            <w:tcW w:w="9127" w:type="dxa"/>
            <w:gridSpan w:val="5"/>
            <w:vAlign w:val="center"/>
          </w:tcPr>
          <w:p w14:paraId="3074850B" w14:textId="77777777" w:rsidR="009C353B" w:rsidRDefault="00000000">
            <w:pPr>
              <w:adjustRightInd w:val="0"/>
              <w:snapToGrid w:val="0"/>
              <w:spacing w:line="360" w:lineRule="auto"/>
              <w:ind w:firstLine="422"/>
              <w:rPr>
                <w:rFonts w:ascii="Times New Roman" w:hAnsi="Times New Roman"/>
                <w:b/>
                <w:sz w:val="21"/>
                <w:szCs w:val="21"/>
              </w:rPr>
            </w:pPr>
            <w:r>
              <w:rPr>
                <w:rFonts w:ascii="Times New Roman" w:hAnsi="Times New Roman"/>
                <w:b/>
                <w:noProof/>
                <w:sz w:val="21"/>
                <w:szCs w:val="21"/>
              </w:rPr>
              <w:drawing>
                <wp:inline distT="0" distB="0" distL="0" distR="0" wp14:anchorId="5D846733" wp14:editId="3B78010B">
                  <wp:extent cx="5763260" cy="4319905"/>
                  <wp:effectExtent l="0" t="0" r="8890" b="4445"/>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491"/>
                          <pic:cNvPicPr>
                            <a:picLocks noChangeAspect="1"/>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5763600" cy="4320000"/>
                          </a:xfrm>
                          <a:prstGeom prst="rect">
                            <a:avLst/>
                          </a:prstGeom>
                        </pic:spPr>
                      </pic:pic>
                    </a:graphicData>
                  </a:graphic>
                </wp:inline>
              </w:drawing>
            </w:r>
          </w:p>
        </w:tc>
      </w:tr>
    </w:tbl>
    <w:p w14:paraId="5FC53845"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br w:type="page"/>
      </w:r>
    </w:p>
    <w:p w14:paraId="2C0CA010"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样方调查登记表</w:t>
      </w:r>
      <w:r>
        <w:rPr>
          <w:rFonts w:ascii="Times New Roman" w:hAnsi="Times New Roman" w:hint="eastAsia"/>
          <w:b/>
          <w:szCs w:val="24"/>
        </w:rPr>
        <w:t>5</w:t>
      </w:r>
    </w:p>
    <w:p w14:paraId="7B654174" w14:textId="77777777" w:rsidR="009C353B" w:rsidRDefault="00000000">
      <w:pPr>
        <w:adjustRightInd w:val="0"/>
        <w:snapToGrid w:val="0"/>
        <w:spacing w:line="440" w:lineRule="exact"/>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8</w:t>
      </w:r>
      <w:r>
        <w:rPr>
          <w:rFonts w:ascii="Times New Roman" w:hAnsi="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1582"/>
        <w:gridCol w:w="2811"/>
      </w:tblGrid>
      <w:tr w:rsidR="009C353B" w14:paraId="1709D719" w14:textId="77777777">
        <w:trPr>
          <w:trHeight w:val="340"/>
        </w:trPr>
        <w:tc>
          <w:tcPr>
            <w:tcW w:w="3125" w:type="dxa"/>
            <w:vAlign w:val="center"/>
          </w:tcPr>
          <w:p w14:paraId="768CEF75"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样地号：</w:t>
            </w:r>
            <w:r>
              <w:rPr>
                <w:rFonts w:ascii="Times New Roman" w:hAnsi="Times New Roman"/>
                <w:sz w:val="21"/>
                <w:szCs w:val="21"/>
              </w:rPr>
              <w:t>5</w:t>
            </w:r>
          </w:p>
        </w:tc>
        <w:tc>
          <w:tcPr>
            <w:tcW w:w="3191" w:type="dxa"/>
            <w:gridSpan w:val="2"/>
            <w:vAlign w:val="center"/>
          </w:tcPr>
          <w:p w14:paraId="17CB4023"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样地面积：</w:t>
            </w:r>
            <w:r>
              <w:rPr>
                <w:rFonts w:ascii="Times New Roman" w:hAnsi="Times New Roman"/>
                <w:sz w:val="21"/>
                <w:szCs w:val="21"/>
              </w:rPr>
              <w:t>1m×1m</w:t>
            </w:r>
          </w:p>
        </w:tc>
        <w:tc>
          <w:tcPr>
            <w:tcW w:w="2811" w:type="dxa"/>
            <w:vAlign w:val="center"/>
          </w:tcPr>
          <w:p w14:paraId="6B683017"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时间：</w:t>
            </w:r>
            <w:r>
              <w:rPr>
                <w:rFonts w:ascii="Times New Roman" w:hAnsi="Times New Roman"/>
                <w:sz w:val="21"/>
                <w:szCs w:val="21"/>
              </w:rPr>
              <w:t>20</w:t>
            </w:r>
            <w:r>
              <w:rPr>
                <w:rFonts w:ascii="Times New Roman" w:hAnsi="Times New Roman" w:hint="eastAsia"/>
                <w:sz w:val="21"/>
                <w:szCs w:val="21"/>
              </w:rPr>
              <w:t>20</w:t>
            </w:r>
            <w:r>
              <w:rPr>
                <w:rFonts w:ascii="Times New Roman" w:hAnsi="Times New Roman"/>
                <w:sz w:val="21"/>
                <w:szCs w:val="21"/>
              </w:rPr>
              <w:t>/7/</w:t>
            </w:r>
            <w:r>
              <w:rPr>
                <w:rFonts w:ascii="Times New Roman" w:hAnsi="Times New Roman" w:hint="eastAsia"/>
                <w:sz w:val="21"/>
                <w:szCs w:val="21"/>
              </w:rPr>
              <w:t>24</w:t>
            </w:r>
          </w:p>
        </w:tc>
      </w:tr>
      <w:tr w:rsidR="009C353B" w14:paraId="562C454D" w14:textId="77777777">
        <w:trPr>
          <w:trHeight w:val="340"/>
        </w:trPr>
        <w:tc>
          <w:tcPr>
            <w:tcW w:w="3125" w:type="dxa"/>
            <w:vAlign w:val="center"/>
          </w:tcPr>
          <w:p w14:paraId="6F8D8D8E"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坡度：</w:t>
            </w:r>
            <w:r>
              <w:rPr>
                <w:rFonts w:ascii="Times New Roman" w:hAnsi="Times New Roman" w:hint="eastAsia"/>
                <w:sz w:val="21"/>
                <w:szCs w:val="21"/>
              </w:rPr>
              <w:t>0</w:t>
            </w:r>
            <w:r>
              <w:rPr>
                <w:rFonts w:ascii="Times New Roman" w:hAnsi="Times New Roman"/>
                <w:sz w:val="21"/>
                <w:szCs w:val="21"/>
              </w:rPr>
              <w:t>度</w:t>
            </w:r>
          </w:p>
        </w:tc>
        <w:tc>
          <w:tcPr>
            <w:tcW w:w="6002" w:type="dxa"/>
            <w:gridSpan w:val="3"/>
            <w:vAlign w:val="center"/>
          </w:tcPr>
          <w:p w14:paraId="247C78A0"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hint="eastAsia"/>
                <w:sz w:val="21"/>
                <w:szCs w:val="21"/>
              </w:rPr>
              <w:t>106.506</w:t>
            </w:r>
            <w:r>
              <w:rPr>
                <w:rFonts w:ascii="Times New Roman" w:hAnsi="Times New Roman"/>
                <w:sz w:val="21"/>
                <w:szCs w:val="21"/>
              </w:rPr>
              <w:t xml:space="preserve">° </w:t>
            </w:r>
            <w:r>
              <w:rPr>
                <w:rFonts w:ascii="Times New Roman" w:hAnsi="Times New Roman"/>
                <w:sz w:val="21"/>
                <w:szCs w:val="21"/>
              </w:rPr>
              <w:t>北纬</w:t>
            </w:r>
            <w:r>
              <w:rPr>
                <w:rFonts w:ascii="Times New Roman" w:hAnsi="Times New Roman" w:hint="eastAsia"/>
                <w:sz w:val="21"/>
                <w:szCs w:val="21"/>
              </w:rPr>
              <w:t>38.134</w:t>
            </w:r>
            <w:r>
              <w:rPr>
                <w:rFonts w:ascii="Times New Roman" w:hAnsi="Times New Roman"/>
                <w:sz w:val="21"/>
                <w:szCs w:val="21"/>
              </w:rPr>
              <w:t>°</w:t>
            </w:r>
          </w:p>
        </w:tc>
      </w:tr>
      <w:tr w:rsidR="009C353B" w14:paraId="2427A6E0" w14:textId="77777777">
        <w:trPr>
          <w:trHeight w:val="340"/>
        </w:trPr>
        <w:tc>
          <w:tcPr>
            <w:tcW w:w="4734" w:type="dxa"/>
            <w:gridSpan w:val="2"/>
            <w:vAlign w:val="center"/>
          </w:tcPr>
          <w:p w14:paraId="7B6B772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总盖度：</w:t>
            </w:r>
            <w:r>
              <w:rPr>
                <w:rFonts w:ascii="Times New Roman" w:hAnsi="Times New Roman" w:hint="eastAsia"/>
                <w:sz w:val="21"/>
                <w:szCs w:val="21"/>
              </w:rPr>
              <w:t>30</w:t>
            </w:r>
            <w:r>
              <w:rPr>
                <w:rFonts w:ascii="Times New Roman" w:hAnsi="Times New Roman"/>
                <w:sz w:val="21"/>
                <w:szCs w:val="21"/>
              </w:rPr>
              <w:t>％</w:t>
            </w:r>
          </w:p>
        </w:tc>
        <w:tc>
          <w:tcPr>
            <w:tcW w:w="4393" w:type="dxa"/>
            <w:gridSpan w:val="2"/>
            <w:vAlign w:val="center"/>
          </w:tcPr>
          <w:p w14:paraId="64C63D39"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平均群落高：</w:t>
            </w:r>
            <w:r>
              <w:rPr>
                <w:rFonts w:ascii="Times New Roman" w:hAnsi="Times New Roman" w:hint="eastAsia"/>
                <w:sz w:val="21"/>
                <w:szCs w:val="21"/>
              </w:rPr>
              <w:t>15</w:t>
            </w:r>
            <w:r>
              <w:rPr>
                <w:rFonts w:ascii="Times New Roman" w:hAnsi="Times New Roman"/>
                <w:sz w:val="21"/>
                <w:szCs w:val="21"/>
              </w:rPr>
              <w:t>cm</w:t>
            </w:r>
          </w:p>
        </w:tc>
      </w:tr>
      <w:tr w:rsidR="009C353B" w14:paraId="5CCEDAD7" w14:textId="77777777">
        <w:trPr>
          <w:trHeight w:val="340"/>
        </w:trPr>
        <w:tc>
          <w:tcPr>
            <w:tcW w:w="9127" w:type="dxa"/>
            <w:gridSpan w:val="4"/>
            <w:vAlign w:val="center"/>
          </w:tcPr>
          <w:p w14:paraId="203999D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主要植物：</w:t>
            </w:r>
            <w:r>
              <w:rPr>
                <w:rFonts w:ascii="Times New Roman" w:hAnsi="Times New Roman" w:hint="eastAsia"/>
                <w:sz w:val="21"/>
                <w:szCs w:val="21"/>
              </w:rPr>
              <w:t>骆驼蓬、沙生针茅</w:t>
            </w:r>
          </w:p>
        </w:tc>
      </w:tr>
      <w:tr w:rsidR="009C353B" w14:paraId="3A1925FE" w14:textId="77777777">
        <w:trPr>
          <w:trHeight w:val="340"/>
        </w:trPr>
        <w:tc>
          <w:tcPr>
            <w:tcW w:w="4734" w:type="dxa"/>
            <w:gridSpan w:val="2"/>
            <w:vAlign w:val="center"/>
          </w:tcPr>
          <w:p w14:paraId="06AE43E0"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优势种：</w:t>
            </w:r>
            <w:r>
              <w:rPr>
                <w:rFonts w:ascii="Times New Roman" w:hAnsi="Times New Roman" w:hint="eastAsia"/>
                <w:sz w:val="21"/>
                <w:szCs w:val="21"/>
              </w:rPr>
              <w:t>骆驼蓬、沙生针茅</w:t>
            </w:r>
          </w:p>
        </w:tc>
        <w:tc>
          <w:tcPr>
            <w:tcW w:w="4393" w:type="dxa"/>
            <w:gridSpan w:val="2"/>
            <w:vAlign w:val="center"/>
          </w:tcPr>
          <w:p w14:paraId="666E8CB7"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生物量：</w:t>
            </w:r>
            <w:r>
              <w:rPr>
                <w:rFonts w:ascii="Times New Roman" w:hAnsi="Times New Roman" w:hint="eastAsia"/>
                <w:sz w:val="21"/>
                <w:szCs w:val="21"/>
              </w:rPr>
              <w:t>11</w:t>
            </w:r>
            <w:r>
              <w:rPr>
                <w:rFonts w:ascii="Times New Roman" w:hAnsi="Times New Roman"/>
                <w:sz w:val="21"/>
                <w:szCs w:val="21"/>
              </w:rPr>
              <w:t>6.5g/m</w:t>
            </w:r>
            <w:r>
              <w:rPr>
                <w:rFonts w:ascii="Times New Roman" w:hAnsi="Times New Roman"/>
                <w:sz w:val="21"/>
                <w:szCs w:val="21"/>
                <w:vertAlign w:val="superscript"/>
              </w:rPr>
              <w:t>2</w:t>
            </w:r>
          </w:p>
        </w:tc>
      </w:tr>
      <w:tr w:rsidR="009C353B" w14:paraId="528F4DE6" w14:textId="77777777">
        <w:trPr>
          <w:trHeight w:val="340"/>
        </w:trPr>
        <w:tc>
          <w:tcPr>
            <w:tcW w:w="9127" w:type="dxa"/>
            <w:gridSpan w:val="4"/>
            <w:vAlign w:val="center"/>
          </w:tcPr>
          <w:p w14:paraId="71D34F1F"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样方外植物：</w:t>
            </w:r>
            <w:r>
              <w:rPr>
                <w:rFonts w:ascii="Times New Roman" w:hAnsi="Times New Roman" w:hint="eastAsia"/>
                <w:sz w:val="21"/>
                <w:szCs w:val="21"/>
              </w:rPr>
              <w:t>骆驼蓬、沙生针茅</w:t>
            </w:r>
          </w:p>
        </w:tc>
      </w:tr>
      <w:tr w:rsidR="009C353B" w14:paraId="13B74A78" w14:textId="77777777">
        <w:trPr>
          <w:trHeight w:val="340"/>
        </w:trPr>
        <w:tc>
          <w:tcPr>
            <w:tcW w:w="9127" w:type="dxa"/>
            <w:gridSpan w:val="4"/>
            <w:vAlign w:val="center"/>
          </w:tcPr>
          <w:p w14:paraId="5EAC5149" w14:textId="77777777" w:rsidR="009C353B" w:rsidRDefault="00000000">
            <w:pPr>
              <w:adjustRightInd w:val="0"/>
              <w:snapToGrid w:val="0"/>
              <w:spacing w:line="360" w:lineRule="auto"/>
              <w:ind w:firstLine="422"/>
              <w:rPr>
                <w:rFonts w:ascii="Times New Roman" w:hAnsi="Times New Roman"/>
                <w:b/>
                <w:sz w:val="21"/>
                <w:szCs w:val="21"/>
              </w:rPr>
            </w:pPr>
            <w:r>
              <w:rPr>
                <w:rFonts w:ascii="Times New Roman" w:hAnsi="Times New Roman"/>
                <w:b/>
                <w:sz w:val="21"/>
                <w:szCs w:val="21"/>
              </w:rPr>
              <w:t xml:space="preserve"> </w:t>
            </w:r>
            <w:r>
              <w:rPr>
                <w:rFonts w:ascii="Times New Roman" w:hAnsi="Times New Roman"/>
                <w:b/>
                <w:noProof/>
                <w:sz w:val="21"/>
                <w:szCs w:val="21"/>
              </w:rPr>
              <w:drawing>
                <wp:inline distT="0" distB="0" distL="0" distR="0" wp14:anchorId="05CCE3F5" wp14:editId="2051E321">
                  <wp:extent cx="5661660" cy="4319270"/>
                  <wp:effectExtent l="0" t="0" r="0" b="5080"/>
                  <wp:docPr id="492"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492"/>
                          <pic:cNvPicPr>
                            <a:picLocks noChangeAspect="1"/>
                          </pic:cNvPicPr>
                        </pic:nvPicPr>
                        <pic:blipFill>
                          <a:blip r:embed="rId200" cstate="print">
                            <a:extLst>
                              <a:ext uri="{28A0092B-C50C-407E-A947-70E740481C1C}">
                                <a14:useLocalDpi xmlns:a14="http://schemas.microsoft.com/office/drawing/2010/main" val="0"/>
                              </a:ext>
                            </a:extLst>
                          </a:blip>
                          <a:srcRect l="9145" r="3464"/>
                          <a:stretch>
                            <a:fillRect/>
                          </a:stretch>
                        </pic:blipFill>
                        <pic:spPr>
                          <a:xfrm>
                            <a:off x="0" y="0"/>
                            <a:ext cx="5662922" cy="4320000"/>
                          </a:xfrm>
                          <a:prstGeom prst="rect">
                            <a:avLst/>
                          </a:prstGeom>
                          <a:ln>
                            <a:noFill/>
                          </a:ln>
                        </pic:spPr>
                      </pic:pic>
                    </a:graphicData>
                  </a:graphic>
                </wp:inline>
              </w:drawing>
            </w:r>
          </w:p>
        </w:tc>
      </w:tr>
    </w:tbl>
    <w:p w14:paraId="79B0951D"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br w:type="page"/>
      </w:r>
    </w:p>
    <w:p w14:paraId="06556A3B"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样方调查登记表</w:t>
      </w:r>
      <w:r>
        <w:rPr>
          <w:rFonts w:ascii="Times New Roman" w:hAnsi="Times New Roman" w:hint="eastAsia"/>
          <w:b/>
          <w:szCs w:val="24"/>
        </w:rPr>
        <w:t>6</w:t>
      </w:r>
    </w:p>
    <w:p w14:paraId="15D9141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9</w:t>
      </w:r>
      <w:r>
        <w:rPr>
          <w:rFonts w:ascii="Times New Roman" w:hAnsi="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1582"/>
        <w:gridCol w:w="2811"/>
      </w:tblGrid>
      <w:tr w:rsidR="009C353B" w14:paraId="30AA5B58" w14:textId="77777777">
        <w:trPr>
          <w:trHeight w:val="340"/>
        </w:trPr>
        <w:tc>
          <w:tcPr>
            <w:tcW w:w="3125" w:type="dxa"/>
            <w:vAlign w:val="center"/>
          </w:tcPr>
          <w:p w14:paraId="43E50BE7"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样地号：</w:t>
            </w:r>
            <w:r>
              <w:rPr>
                <w:rFonts w:ascii="Times New Roman" w:hAnsi="Times New Roman"/>
                <w:sz w:val="21"/>
                <w:szCs w:val="21"/>
              </w:rPr>
              <w:t>6</w:t>
            </w:r>
          </w:p>
        </w:tc>
        <w:tc>
          <w:tcPr>
            <w:tcW w:w="3191" w:type="dxa"/>
            <w:gridSpan w:val="2"/>
            <w:vAlign w:val="center"/>
          </w:tcPr>
          <w:p w14:paraId="45066A5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样地面积：</w:t>
            </w:r>
            <w:r>
              <w:rPr>
                <w:rFonts w:ascii="Times New Roman" w:hAnsi="Times New Roman" w:hint="eastAsia"/>
                <w:sz w:val="21"/>
                <w:szCs w:val="21"/>
              </w:rPr>
              <w:t>5</w:t>
            </w:r>
            <w:r>
              <w:rPr>
                <w:rFonts w:ascii="Times New Roman" w:hAnsi="Times New Roman"/>
                <w:sz w:val="21"/>
                <w:szCs w:val="21"/>
              </w:rPr>
              <w:t>m×</w:t>
            </w:r>
            <w:r>
              <w:rPr>
                <w:rFonts w:ascii="Times New Roman" w:hAnsi="Times New Roman" w:hint="eastAsia"/>
                <w:sz w:val="21"/>
                <w:szCs w:val="21"/>
              </w:rPr>
              <w:t>5</w:t>
            </w:r>
            <w:r>
              <w:rPr>
                <w:rFonts w:ascii="Times New Roman" w:hAnsi="Times New Roman"/>
                <w:sz w:val="21"/>
                <w:szCs w:val="21"/>
              </w:rPr>
              <w:t>m</w:t>
            </w:r>
          </w:p>
        </w:tc>
        <w:tc>
          <w:tcPr>
            <w:tcW w:w="2811" w:type="dxa"/>
            <w:vAlign w:val="center"/>
          </w:tcPr>
          <w:p w14:paraId="2229979E"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时间：</w:t>
            </w:r>
            <w:r>
              <w:rPr>
                <w:rFonts w:ascii="Times New Roman" w:hAnsi="Times New Roman" w:hint="eastAsia"/>
                <w:sz w:val="21"/>
                <w:szCs w:val="21"/>
              </w:rPr>
              <w:t>2020</w:t>
            </w:r>
            <w:r>
              <w:rPr>
                <w:rFonts w:ascii="Times New Roman" w:hAnsi="Times New Roman"/>
                <w:sz w:val="21"/>
                <w:szCs w:val="21"/>
              </w:rPr>
              <w:t>/7/</w:t>
            </w:r>
            <w:r>
              <w:rPr>
                <w:rFonts w:ascii="Times New Roman" w:hAnsi="Times New Roman" w:hint="eastAsia"/>
                <w:sz w:val="21"/>
                <w:szCs w:val="21"/>
              </w:rPr>
              <w:t>24</w:t>
            </w:r>
          </w:p>
        </w:tc>
      </w:tr>
      <w:tr w:rsidR="009C353B" w14:paraId="0B1AFC24" w14:textId="77777777">
        <w:trPr>
          <w:trHeight w:val="340"/>
        </w:trPr>
        <w:tc>
          <w:tcPr>
            <w:tcW w:w="3125" w:type="dxa"/>
            <w:vAlign w:val="center"/>
          </w:tcPr>
          <w:p w14:paraId="127F1BBC"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坡度：</w:t>
            </w:r>
            <w:r>
              <w:rPr>
                <w:rFonts w:ascii="Times New Roman" w:hAnsi="Times New Roman" w:hint="eastAsia"/>
                <w:sz w:val="21"/>
                <w:szCs w:val="21"/>
              </w:rPr>
              <w:t>0</w:t>
            </w:r>
            <w:r>
              <w:rPr>
                <w:rFonts w:ascii="Times New Roman" w:hAnsi="Times New Roman"/>
                <w:sz w:val="21"/>
                <w:szCs w:val="21"/>
              </w:rPr>
              <w:t>度</w:t>
            </w:r>
          </w:p>
        </w:tc>
        <w:tc>
          <w:tcPr>
            <w:tcW w:w="6002" w:type="dxa"/>
            <w:gridSpan w:val="3"/>
            <w:vAlign w:val="center"/>
          </w:tcPr>
          <w:p w14:paraId="3157A9D4"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hint="eastAsia"/>
                <w:sz w:val="21"/>
                <w:szCs w:val="21"/>
              </w:rPr>
              <w:t>106.510</w:t>
            </w:r>
            <w:r>
              <w:rPr>
                <w:rFonts w:ascii="Times New Roman" w:hAnsi="Times New Roman"/>
                <w:sz w:val="21"/>
                <w:szCs w:val="21"/>
              </w:rPr>
              <w:t xml:space="preserve">° </w:t>
            </w:r>
            <w:r>
              <w:rPr>
                <w:rFonts w:ascii="Times New Roman" w:hAnsi="Times New Roman"/>
                <w:sz w:val="21"/>
                <w:szCs w:val="21"/>
              </w:rPr>
              <w:t>北纬</w:t>
            </w:r>
            <w:r>
              <w:rPr>
                <w:rFonts w:ascii="Times New Roman" w:hAnsi="Times New Roman" w:hint="eastAsia"/>
                <w:sz w:val="21"/>
                <w:szCs w:val="21"/>
              </w:rPr>
              <w:t>38.158</w:t>
            </w:r>
            <w:r>
              <w:rPr>
                <w:rFonts w:ascii="Times New Roman" w:hAnsi="Times New Roman"/>
                <w:sz w:val="21"/>
                <w:szCs w:val="21"/>
              </w:rPr>
              <w:t>°</w:t>
            </w:r>
          </w:p>
        </w:tc>
      </w:tr>
      <w:tr w:rsidR="009C353B" w14:paraId="468421FE" w14:textId="77777777">
        <w:trPr>
          <w:trHeight w:val="340"/>
        </w:trPr>
        <w:tc>
          <w:tcPr>
            <w:tcW w:w="4734" w:type="dxa"/>
            <w:gridSpan w:val="2"/>
            <w:vAlign w:val="center"/>
          </w:tcPr>
          <w:p w14:paraId="2547A78E"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总盖度：</w:t>
            </w:r>
            <w:r>
              <w:rPr>
                <w:rFonts w:ascii="Times New Roman" w:hAnsi="Times New Roman" w:hint="eastAsia"/>
                <w:sz w:val="21"/>
                <w:szCs w:val="21"/>
              </w:rPr>
              <w:t>20</w:t>
            </w:r>
            <w:r>
              <w:rPr>
                <w:rFonts w:ascii="Times New Roman" w:hAnsi="Times New Roman"/>
                <w:sz w:val="21"/>
                <w:szCs w:val="21"/>
              </w:rPr>
              <w:t>％</w:t>
            </w:r>
          </w:p>
        </w:tc>
        <w:tc>
          <w:tcPr>
            <w:tcW w:w="4393" w:type="dxa"/>
            <w:gridSpan w:val="2"/>
            <w:vAlign w:val="center"/>
          </w:tcPr>
          <w:p w14:paraId="48F3A816"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平均群落高：</w:t>
            </w:r>
            <w:r>
              <w:rPr>
                <w:rFonts w:ascii="Times New Roman" w:hAnsi="Times New Roman" w:hint="eastAsia"/>
                <w:sz w:val="21"/>
                <w:szCs w:val="21"/>
              </w:rPr>
              <w:t>20</w:t>
            </w:r>
            <w:r>
              <w:rPr>
                <w:rFonts w:ascii="Times New Roman" w:hAnsi="Times New Roman"/>
                <w:sz w:val="21"/>
                <w:szCs w:val="21"/>
              </w:rPr>
              <w:t>cm</w:t>
            </w:r>
          </w:p>
        </w:tc>
      </w:tr>
      <w:tr w:rsidR="009C353B" w14:paraId="14E86F64" w14:textId="77777777">
        <w:trPr>
          <w:trHeight w:val="340"/>
        </w:trPr>
        <w:tc>
          <w:tcPr>
            <w:tcW w:w="9127" w:type="dxa"/>
            <w:gridSpan w:val="4"/>
            <w:vAlign w:val="center"/>
          </w:tcPr>
          <w:p w14:paraId="5618EA7C"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主要植物：</w:t>
            </w:r>
            <w:r>
              <w:rPr>
                <w:rFonts w:ascii="Times New Roman" w:hAnsi="Times New Roman" w:hint="eastAsia"/>
                <w:sz w:val="21"/>
                <w:szCs w:val="21"/>
              </w:rPr>
              <w:t>猫头刺、短花针茅</w:t>
            </w:r>
          </w:p>
        </w:tc>
      </w:tr>
      <w:tr w:rsidR="009C353B" w14:paraId="440B83FA" w14:textId="77777777">
        <w:trPr>
          <w:trHeight w:val="340"/>
        </w:trPr>
        <w:tc>
          <w:tcPr>
            <w:tcW w:w="4734" w:type="dxa"/>
            <w:gridSpan w:val="2"/>
            <w:vAlign w:val="center"/>
          </w:tcPr>
          <w:p w14:paraId="340608B9"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优势种：</w:t>
            </w:r>
            <w:r>
              <w:rPr>
                <w:rFonts w:ascii="Times New Roman" w:hAnsi="Times New Roman" w:hint="eastAsia"/>
                <w:sz w:val="21"/>
                <w:szCs w:val="21"/>
              </w:rPr>
              <w:t>猫头刺</w:t>
            </w:r>
          </w:p>
        </w:tc>
        <w:tc>
          <w:tcPr>
            <w:tcW w:w="4393" w:type="dxa"/>
            <w:gridSpan w:val="2"/>
            <w:vAlign w:val="center"/>
          </w:tcPr>
          <w:p w14:paraId="6689804A"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生物量：</w:t>
            </w:r>
            <w:r>
              <w:rPr>
                <w:rFonts w:ascii="Times New Roman" w:hAnsi="Times New Roman" w:hint="eastAsia"/>
                <w:sz w:val="21"/>
                <w:szCs w:val="21"/>
              </w:rPr>
              <w:t>197</w:t>
            </w:r>
            <w:r>
              <w:rPr>
                <w:rFonts w:ascii="Times New Roman" w:hAnsi="Times New Roman"/>
                <w:sz w:val="21"/>
                <w:szCs w:val="21"/>
              </w:rPr>
              <w:t>g/m</w:t>
            </w:r>
            <w:r>
              <w:rPr>
                <w:rFonts w:ascii="Times New Roman" w:hAnsi="Times New Roman"/>
                <w:sz w:val="21"/>
                <w:szCs w:val="21"/>
                <w:vertAlign w:val="superscript"/>
              </w:rPr>
              <w:t>2</w:t>
            </w:r>
          </w:p>
        </w:tc>
      </w:tr>
      <w:tr w:rsidR="009C353B" w14:paraId="20BFF108" w14:textId="77777777">
        <w:trPr>
          <w:trHeight w:val="340"/>
        </w:trPr>
        <w:tc>
          <w:tcPr>
            <w:tcW w:w="9127" w:type="dxa"/>
            <w:gridSpan w:val="4"/>
            <w:vAlign w:val="center"/>
          </w:tcPr>
          <w:p w14:paraId="08D2F9A5"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样方外植物：</w:t>
            </w:r>
            <w:r>
              <w:rPr>
                <w:rFonts w:ascii="Times New Roman" w:hAnsi="Times New Roman" w:hint="eastAsia"/>
                <w:sz w:val="21"/>
                <w:szCs w:val="21"/>
              </w:rPr>
              <w:t>猫头刺、短花针茅、骆驼蒿</w:t>
            </w:r>
          </w:p>
        </w:tc>
      </w:tr>
      <w:tr w:rsidR="009C353B" w14:paraId="3B1DFA91" w14:textId="77777777">
        <w:trPr>
          <w:trHeight w:val="340"/>
        </w:trPr>
        <w:tc>
          <w:tcPr>
            <w:tcW w:w="9127" w:type="dxa"/>
            <w:gridSpan w:val="4"/>
            <w:vAlign w:val="center"/>
          </w:tcPr>
          <w:p w14:paraId="7E8E7B52" w14:textId="77777777" w:rsidR="009C353B" w:rsidRDefault="00000000">
            <w:pPr>
              <w:adjustRightInd w:val="0"/>
              <w:snapToGrid w:val="0"/>
              <w:spacing w:line="360" w:lineRule="auto"/>
              <w:ind w:firstLine="422"/>
              <w:rPr>
                <w:rFonts w:ascii="Times New Roman" w:hAnsi="Times New Roman"/>
                <w:b/>
                <w:sz w:val="21"/>
                <w:szCs w:val="21"/>
              </w:rPr>
            </w:pPr>
            <w:r>
              <w:rPr>
                <w:rFonts w:ascii="Times New Roman" w:hAnsi="Times New Roman"/>
                <w:b/>
                <w:noProof/>
                <w:sz w:val="21"/>
                <w:szCs w:val="21"/>
              </w:rPr>
              <w:drawing>
                <wp:inline distT="0" distB="0" distL="0" distR="0" wp14:anchorId="00833A84" wp14:editId="45687F0B">
                  <wp:extent cx="5669915" cy="3779520"/>
                  <wp:effectExtent l="0" t="0" r="6985" b="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493"/>
                          <pic:cNvPicPr>
                            <a:picLocks noChangeAspect="1"/>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5670000" cy="3780000"/>
                          </a:xfrm>
                          <a:prstGeom prst="rect">
                            <a:avLst/>
                          </a:prstGeom>
                        </pic:spPr>
                      </pic:pic>
                    </a:graphicData>
                  </a:graphic>
                </wp:inline>
              </w:drawing>
            </w:r>
          </w:p>
        </w:tc>
      </w:tr>
    </w:tbl>
    <w:p w14:paraId="0822573C"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br w:type="page"/>
      </w:r>
    </w:p>
    <w:p w14:paraId="28794202"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样方调查登记表</w:t>
      </w:r>
      <w:r>
        <w:rPr>
          <w:rFonts w:ascii="Times New Roman" w:hAnsi="Times New Roman" w:hint="eastAsia"/>
          <w:b/>
          <w:szCs w:val="24"/>
        </w:rPr>
        <w:t>7</w:t>
      </w:r>
    </w:p>
    <w:p w14:paraId="4EE61CD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1582"/>
        <w:gridCol w:w="2811"/>
      </w:tblGrid>
      <w:tr w:rsidR="009C353B" w14:paraId="48880B7F" w14:textId="77777777">
        <w:trPr>
          <w:trHeight w:val="340"/>
        </w:trPr>
        <w:tc>
          <w:tcPr>
            <w:tcW w:w="3125" w:type="dxa"/>
            <w:vAlign w:val="center"/>
          </w:tcPr>
          <w:p w14:paraId="6CEC72D0"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样地号：</w:t>
            </w:r>
            <w:r>
              <w:rPr>
                <w:rFonts w:ascii="Times New Roman" w:hAnsi="Times New Roman"/>
                <w:sz w:val="21"/>
                <w:szCs w:val="21"/>
              </w:rPr>
              <w:t>7</w:t>
            </w:r>
          </w:p>
        </w:tc>
        <w:tc>
          <w:tcPr>
            <w:tcW w:w="3191" w:type="dxa"/>
            <w:gridSpan w:val="2"/>
            <w:vAlign w:val="center"/>
          </w:tcPr>
          <w:p w14:paraId="45FD7D30"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样地面积：</w:t>
            </w:r>
            <w:r>
              <w:rPr>
                <w:rFonts w:ascii="Times New Roman" w:hAnsi="Times New Roman" w:hint="eastAsia"/>
                <w:sz w:val="21"/>
                <w:szCs w:val="21"/>
              </w:rPr>
              <w:t>5</w:t>
            </w:r>
            <w:r>
              <w:rPr>
                <w:rFonts w:ascii="Times New Roman" w:hAnsi="Times New Roman"/>
                <w:sz w:val="21"/>
                <w:szCs w:val="21"/>
              </w:rPr>
              <w:t>m×</w:t>
            </w:r>
            <w:r>
              <w:rPr>
                <w:rFonts w:ascii="Times New Roman" w:hAnsi="Times New Roman" w:hint="eastAsia"/>
                <w:sz w:val="21"/>
                <w:szCs w:val="21"/>
              </w:rPr>
              <w:t>5</w:t>
            </w:r>
            <w:r>
              <w:rPr>
                <w:rFonts w:ascii="Times New Roman" w:hAnsi="Times New Roman"/>
                <w:sz w:val="21"/>
                <w:szCs w:val="21"/>
              </w:rPr>
              <w:t>m</w:t>
            </w:r>
          </w:p>
        </w:tc>
        <w:tc>
          <w:tcPr>
            <w:tcW w:w="2811" w:type="dxa"/>
            <w:vAlign w:val="center"/>
          </w:tcPr>
          <w:p w14:paraId="28B87C5F"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时间：</w:t>
            </w:r>
            <w:r>
              <w:rPr>
                <w:rFonts w:ascii="Times New Roman" w:hAnsi="Times New Roman" w:hint="eastAsia"/>
                <w:sz w:val="21"/>
                <w:szCs w:val="21"/>
              </w:rPr>
              <w:t>2020</w:t>
            </w:r>
            <w:r>
              <w:rPr>
                <w:rFonts w:ascii="Times New Roman" w:hAnsi="Times New Roman"/>
                <w:sz w:val="21"/>
                <w:szCs w:val="21"/>
              </w:rPr>
              <w:t>/7/</w:t>
            </w:r>
            <w:r>
              <w:rPr>
                <w:rFonts w:ascii="Times New Roman" w:hAnsi="Times New Roman" w:hint="eastAsia"/>
                <w:sz w:val="21"/>
                <w:szCs w:val="21"/>
              </w:rPr>
              <w:t>24</w:t>
            </w:r>
          </w:p>
        </w:tc>
      </w:tr>
      <w:tr w:rsidR="009C353B" w14:paraId="35EEA984" w14:textId="77777777">
        <w:trPr>
          <w:trHeight w:val="340"/>
        </w:trPr>
        <w:tc>
          <w:tcPr>
            <w:tcW w:w="3125" w:type="dxa"/>
            <w:vAlign w:val="center"/>
          </w:tcPr>
          <w:p w14:paraId="262DEFD0"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坡度：</w:t>
            </w:r>
            <w:r>
              <w:rPr>
                <w:rFonts w:ascii="Times New Roman" w:hAnsi="Times New Roman" w:hint="eastAsia"/>
                <w:sz w:val="21"/>
                <w:szCs w:val="21"/>
              </w:rPr>
              <w:t>0</w:t>
            </w:r>
            <w:r>
              <w:rPr>
                <w:rFonts w:ascii="Times New Roman" w:hAnsi="Times New Roman"/>
                <w:sz w:val="21"/>
                <w:szCs w:val="21"/>
              </w:rPr>
              <w:t>度</w:t>
            </w:r>
          </w:p>
        </w:tc>
        <w:tc>
          <w:tcPr>
            <w:tcW w:w="6002" w:type="dxa"/>
            <w:gridSpan w:val="3"/>
            <w:vAlign w:val="center"/>
          </w:tcPr>
          <w:p w14:paraId="4B55CEE3"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hint="eastAsia"/>
                <w:sz w:val="21"/>
                <w:szCs w:val="21"/>
              </w:rPr>
              <w:t>106.499</w:t>
            </w:r>
            <w:r>
              <w:rPr>
                <w:rFonts w:ascii="Times New Roman" w:hAnsi="Times New Roman"/>
                <w:sz w:val="21"/>
                <w:szCs w:val="21"/>
              </w:rPr>
              <w:t xml:space="preserve">° </w:t>
            </w:r>
            <w:r>
              <w:rPr>
                <w:rFonts w:ascii="Times New Roman" w:hAnsi="Times New Roman"/>
                <w:sz w:val="21"/>
                <w:szCs w:val="21"/>
              </w:rPr>
              <w:t>北纬</w:t>
            </w:r>
            <w:r>
              <w:rPr>
                <w:rFonts w:ascii="Times New Roman" w:hAnsi="Times New Roman" w:hint="eastAsia"/>
                <w:sz w:val="21"/>
                <w:szCs w:val="21"/>
              </w:rPr>
              <w:t>38.187</w:t>
            </w:r>
            <w:r>
              <w:rPr>
                <w:rFonts w:ascii="Times New Roman" w:hAnsi="Times New Roman"/>
                <w:sz w:val="21"/>
                <w:szCs w:val="21"/>
              </w:rPr>
              <w:t>°</w:t>
            </w:r>
          </w:p>
        </w:tc>
      </w:tr>
      <w:tr w:rsidR="009C353B" w14:paraId="4A1093ED" w14:textId="77777777">
        <w:trPr>
          <w:trHeight w:val="340"/>
        </w:trPr>
        <w:tc>
          <w:tcPr>
            <w:tcW w:w="4734" w:type="dxa"/>
            <w:gridSpan w:val="2"/>
            <w:vAlign w:val="center"/>
          </w:tcPr>
          <w:p w14:paraId="1FE9F8A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总盖度：</w:t>
            </w:r>
            <w:r>
              <w:rPr>
                <w:rFonts w:ascii="Times New Roman" w:hAnsi="Times New Roman" w:hint="eastAsia"/>
                <w:sz w:val="21"/>
                <w:szCs w:val="21"/>
              </w:rPr>
              <w:t>25</w:t>
            </w:r>
            <w:r>
              <w:rPr>
                <w:rFonts w:ascii="Times New Roman" w:hAnsi="Times New Roman"/>
                <w:sz w:val="21"/>
                <w:szCs w:val="21"/>
              </w:rPr>
              <w:t>％</w:t>
            </w:r>
          </w:p>
        </w:tc>
        <w:tc>
          <w:tcPr>
            <w:tcW w:w="4393" w:type="dxa"/>
            <w:gridSpan w:val="2"/>
            <w:vAlign w:val="center"/>
          </w:tcPr>
          <w:p w14:paraId="6DF423DC"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平均群落高：</w:t>
            </w:r>
            <w:r>
              <w:rPr>
                <w:rFonts w:ascii="Times New Roman" w:hAnsi="Times New Roman" w:hint="eastAsia"/>
                <w:sz w:val="21"/>
                <w:szCs w:val="21"/>
              </w:rPr>
              <w:t>45</w:t>
            </w:r>
            <w:r>
              <w:rPr>
                <w:rFonts w:ascii="Times New Roman" w:hAnsi="Times New Roman"/>
                <w:sz w:val="21"/>
                <w:szCs w:val="21"/>
              </w:rPr>
              <w:t>cm</w:t>
            </w:r>
          </w:p>
        </w:tc>
      </w:tr>
      <w:tr w:rsidR="009C353B" w14:paraId="394086B0" w14:textId="77777777">
        <w:trPr>
          <w:trHeight w:val="340"/>
        </w:trPr>
        <w:tc>
          <w:tcPr>
            <w:tcW w:w="9127" w:type="dxa"/>
            <w:gridSpan w:val="4"/>
            <w:vAlign w:val="center"/>
          </w:tcPr>
          <w:p w14:paraId="7907BF3D"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主要植物：</w:t>
            </w:r>
            <w:r>
              <w:rPr>
                <w:rFonts w:ascii="Times New Roman" w:hAnsi="Times New Roman" w:hint="eastAsia"/>
                <w:sz w:val="21"/>
                <w:szCs w:val="21"/>
              </w:rPr>
              <w:t>沙蒿、针茅、骆驼蓬、羊草</w:t>
            </w:r>
          </w:p>
        </w:tc>
      </w:tr>
      <w:tr w:rsidR="009C353B" w14:paraId="0AB58A87" w14:textId="77777777">
        <w:trPr>
          <w:trHeight w:val="340"/>
        </w:trPr>
        <w:tc>
          <w:tcPr>
            <w:tcW w:w="4734" w:type="dxa"/>
            <w:gridSpan w:val="2"/>
            <w:vAlign w:val="center"/>
          </w:tcPr>
          <w:p w14:paraId="7B7BEDC4"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优势种：</w:t>
            </w:r>
            <w:r>
              <w:rPr>
                <w:rFonts w:ascii="Times New Roman" w:hAnsi="Times New Roman" w:hint="eastAsia"/>
                <w:sz w:val="21"/>
                <w:szCs w:val="21"/>
              </w:rPr>
              <w:t>沙蒿、针茅</w:t>
            </w:r>
          </w:p>
        </w:tc>
        <w:tc>
          <w:tcPr>
            <w:tcW w:w="4393" w:type="dxa"/>
            <w:gridSpan w:val="2"/>
            <w:vAlign w:val="center"/>
          </w:tcPr>
          <w:p w14:paraId="5C5D849E"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生物量：</w:t>
            </w:r>
            <w:r>
              <w:rPr>
                <w:rFonts w:ascii="Times New Roman" w:hAnsi="Times New Roman" w:hint="eastAsia"/>
                <w:sz w:val="21"/>
                <w:szCs w:val="21"/>
              </w:rPr>
              <w:t>225</w:t>
            </w:r>
            <w:r>
              <w:rPr>
                <w:rFonts w:ascii="Times New Roman" w:hAnsi="Times New Roman"/>
                <w:sz w:val="21"/>
                <w:szCs w:val="21"/>
              </w:rPr>
              <w:t>g/m</w:t>
            </w:r>
            <w:r>
              <w:rPr>
                <w:rFonts w:ascii="Times New Roman" w:hAnsi="Times New Roman"/>
                <w:sz w:val="21"/>
                <w:szCs w:val="21"/>
                <w:vertAlign w:val="superscript"/>
              </w:rPr>
              <w:t>2</w:t>
            </w:r>
          </w:p>
        </w:tc>
      </w:tr>
      <w:tr w:rsidR="009C353B" w14:paraId="3DEDBA77" w14:textId="77777777">
        <w:trPr>
          <w:trHeight w:val="340"/>
        </w:trPr>
        <w:tc>
          <w:tcPr>
            <w:tcW w:w="9127" w:type="dxa"/>
            <w:gridSpan w:val="4"/>
            <w:vAlign w:val="center"/>
          </w:tcPr>
          <w:p w14:paraId="71900A7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样方外植物：</w:t>
            </w:r>
            <w:r>
              <w:rPr>
                <w:rFonts w:ascii="Times New Roman" w:hAnsi="Times New Roman" w:hint="eastAsia"/>
                <w:sz w:val="21"/>
                <w:szCs w:val="21"/>
              </w:rPr>
              <w:t>沙蒿、针茅、骆驼蓬、羊草</w:t>
            </w:r>
          </w:p>
        </w:tc>
      </w:tr>
      <w:tr w:rsidR="009C353B" w14:paraId="6961F5A4" w14:textId="77777777">
        <w:trPr>
          <w:trHeight w:val="340"/>
        </w:trPr>
        <w:tc>
          <w:tcPr>
            <w:tcW w:w="9127" w:type="dxa"/>
            <w:gridSpan w:val="4"/>
            <w:vAlign w:val="center"/>
          </w:tcPr>
          <w:p w14:paraId="6417353B" w14:textId="77777777" w:rsidR="009C353B" w:rsidRDefault="00000000">
            <w:pPr>
              <w:adjustRightInd w:val="0"/>
              <w:snapToGrid w:val="0"/>
              <w:spacing w:line="360" w:lineRule="auto"/>
              <w:ind w:firstLine="422"/>
              <w:rPr>
                <w:rFonts w:ascii="Times New Roman" w:hAnsi="Times New Roman"/>
                <w:b/>
                <w:sz w:val="21"/>
                <w:szCs w:val="21"/>
              </w:rPr>
            </w:pPr>
            <w:r>
              <w:rPr>
                <w:rFonts w:ascii="Times New Roman" w:hAnsi="Times New Roman"/>
                <w:b/>
                <w:noProof/>
                <w:sz w:val="21"/>
                <w:szCs w:val="21"/>
              </w:rPr>
              <w:drawing>
                <wp:inline distT="0" distB="0" distL="0" distR="0" wp14:anchorId="54DE9F77" wp14:editId="7B986EB2">
                  <wp:extent cx="5669915" cy="3779520"/>
                  <wp:effectExtent l="0" t="0" r="6985" b="0"/>
                  <wp:docPr id="494"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494"/>
                          <pic:cNvPicPr>
                            <a:picLocks noChangeAspect="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5670000" cy="3780000"/>
                          </a:xfrm>
                          <a:prstGeom prst="rect">
                            <a:avLst/>
                          </a:prstGeom>
                        </pic:spPr>
                      </pic:pic>
                    </a:graphicData>
                  </a:graphic>
                </wp:inline>
              </w:drawing>
            </w:r>
          </w:p>
        </w:tc>
      </w:tr>
    </w:tbl>
    <w:p w14:paraId="6E199348"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br w:type="page"/>
      </w:r>
    </w:p>
    <w:p w14:paraId="663410EA"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样方调查登记表</w:t>
      </w:r>
      <w:r>
        <w:rPr>
          <w:rFonts w:ascii="Times New Roman" w:hAnsi="Times New Roman" w:hint="eastAsia"/>
          <w:b/>
          <w:szCs w:val="24"/>
        </w:rPr>
        <w:t>8</w:t>
      </w:r>
    </w:p>
    <w:p w14:paraId="7679C03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1582"/>
        <w:gridCol w:w="2811"/>
      </w:tblGrid>
      <w:tr w:rsidR="009C353B" w14:paraId="2D4C8F35" w14:textId="77777777">
        <w:trPr>
          <w:trHeight w:val="340"/>
        </w:trPr>
        <w:tc>
          <w:tcPr>
            <w:tcW w:w="3125" w:type="dxa"/>
            <w:vAlign w:val="center"/>
          </w:tcPr>
          <w:p w14:paraId="37D0DF31" w14:textId="77777777" w:rsidR="009C353B" w:rsidRDefault="00000000">
            <w:pPr>
              <w:adjustRightInd w:val="0"/>
              <w:snapToGrid w:val="0"/>
              <w:spacing w:line="440" w:lineRule="exact"/>
              <w:jc w:val="left"/>
              <w:rPr>
                <w:rFonts w:ascii="Times New Roman" w:hAnsi="Times New Roman"/>
                <w:sz w:val="21"/>
                <w:szCs w:val="21"/>
              </w:rPr>
            </w:pPr>
            <w:r>
              <w:rPr>
                <w:rFonts w:ascii="Times New Roman" w:hAnsi="Times New Roman"/>
                <w:sz w:val="21"/>
                <w:szCs w:val="21"/>
              </w:rPr>
              <w:t>样地号：</w:t>
            </w:r>
            <w:r>
              <w:rPr>
                <w:rFonts w:ascii="Times New Roman" w:hAnsi="Times New Roman"/>
                <w:sz w:val="21"/>
                <w:szCs w:val="21"/>
              </w:rPr>
              <w:t>8</w:t>
            </w:r>
          </w:p>
        </w:tc>
        <w:tc>
          <w:tcPr>
            <w:tcW w:w="3191" w:type="dxa"/>
            <w:gridSpan w:val="2"/>
            <w:vAlign w:val="center"/>
          </w:tcPr>
          <w:p w14:paraId="630F3E87" w14:textId="77777777" w:rsidR="009C353B" w:rsidRDefault="00000000">
            <w:pPr>
              <w:adjustRightInd w:val="0"/>
              <w:snapToGrid w:val="0"/>
              <w:spacing w:line="440" w:lineRule="exact"/>
              <w:jc w:val="left"/>
              <w:rPr>
                <w:rFonts w:ascii="Times New Roman" w:hAnsi="Times New Roman"/>
                <w:sz w:val="21"/>
                <w:szCs w:val="21"/>
              </w:rPr>
            </w:pPr>
            <w:r>
              <w:rPr>
                <w:rFonts w:ascii="Times New Roman" w:hAnsi="Times New Roman"/>
                <w:sz w:val="21"/>
                <w:szCs w:val="21"/>
              </w:rPr>
              <w:t>样地面积：</w:t>
            </w:r>
            <w:r>
              <w:rPr>
                <w:rFonts w:ascii="Times New Roman" w:hAnsi="Times New Roman"/>
                <w:sz w:val="21"/>
                <w:szCs w:val="21"/>
              </w:rPr>
              <w:t>1m×1m</w:t>
            </w:r>
          </w:p>
        </w:tc>
        <w:tc>
          <w:tcPr>
            <w:tcW w:w="2811" w:type="dxa"/>
            <w:vAlign w:val="center"/>
          </w:tcPr>
          <w:p w14:paraId="5ADEB82D" w14:textId="77777777" w:rsidR="009C353B" w:rsidRDefault="00000000">
            <w:pPr>
              <w:adjustRightInd w:val="0"/>
              <w:snapToGrid w:val="0"/>
              <w:spacing w:line="440" w:lineRule="exact"/>
              <w:jc w:val="left"/>
              <w:rPr>
                <w:rFonts w:ascii="Times New Roman" w:hAnsi="Times New Roman"/>
                <w:sz w:val="21"/>
                <w:szCs w:val="21"/>
              </w:rPr>
            </w:pPr>
            <w:r>
              <w:rPr>
                <w:rFonts w:ascii="Times New Roman" w:hAnsi="Times New Roman"/>
                <w:sz w:val="21"/>
                <w:szCs w:val="21"/>
              </w:rPr>
              <w:t>时间：</w:t>
            </w:r>
            <w:r>
              <w:rPr>
                <w:rFonts w:ascii="Times New Roman" w:hAnsi="Times New Roman"/>
                <w:sz w:val="21"/>
                <w:szCs w:val="21"/>
              </w:rPr>
              <w:t>20</w:t>
            </w:r>
            <w:r>
              <w:rPr>
                <w:rFonts w:ascii="Times New Roman" w:hAnsi="Times New Roman" w:hint="eastAsia"/>
                <w:sz w:val="21"/>
                <w:szCs w:val="21"/>
              </w:rPr>
              <w:t>20</w:t>
            </w:r>
            <w:r>
              <w:rPr>
                <w:rFonts w:ascii="Times New Roman" w:hAnsi="Times New Roman"/>
                <w:sz w:val="21"/>
                <w:szCs w:val="21"/>
              </w:rPr>
              <w:t>/7/</w:t>
            </w:r>
            <w:r>
              <w:rPr>
                <w:rFonts w:ascii="Times New Roman" w:hAnsi="Times New Roman" w:hint="eastAsia"/>
                <w:sz w:val="21"/>
                <w:szCs w:val="21"/>
              </w:rPr>
              <w:t>24</w:t>
            </w:r>
          </w:p>
        </w:tc>
      </w:tr>
      <w:tr w:rsidR="009C353B" w14:paraId="7D4AA08E" w14:textId="77777777">
        <w:trPr>
          <w:trHeight w:val="340"/>
        </w:trPr>
        <w:tc>
          <w:tcPr>
            <w:tcW w:w="3125" w:type="dxa"/>
            <w:vAlign w:val="center"/>
          </w:tcPr>
          <w:p w14:paraId="6D1EBD91" w14:textId="77777777" w:rsidR="009C353B" w:rsidRDefault="00000000">
            <w:pPr>
              <w:adjustRightInd w:val="0"/>
              <w:snapToGrid w:val="0"/>
              <w:spacing w:line="440" w:lineRule="exact"/>
              <w:jc w:val="left"/>
              <w:rPr>
                <w:rFonts w:ascii="Times New Roman" w:hAnsi="Times New Roman"/>
                <w:sz w:val="21"/>
                <w:szCs w:val="21"/>
              </w:rPr>
            </w:pPr>
            <w:r>
              <w:rPr>
                <w:rFonts w:ascii="Times New Roman" w:hAnsi="Times New Roman"/>
                <w:sz w:val="21"/>
                <w:szCs w:val="21"/>
              </w:rPr>
              <w:t>坡度：</w:t>
            </w:r>
            <w:r>
              <w:rPr>
                <w:rFonts w:ascii="Times New Roman" w:hAnsi="Times New Roman" w:hint="eastAsia"/>
                <w:sz w:val="21"/>
                <w:szCs w:val="21"/>
              </w:rPr>
              <w:t>0</w:t>
            </w:r>
            <w:r>
              <w:rPr>
                <w:rFonts w:ascii="Times New Roman" w:hAnsi="Times New Roman"/>
                <w:sz w:val="21"/>
                <w:szCs w:val="21"/>
              </w:rPr>
              <w:t>度</w:t>
            </w:r>
          </w:p>
        </w:tc>
        <w:tc>
          <w:tcPr>
            <w:tcW w:w="6002" w:type="dxa"/>
            <w:gridSpan w:val="3"/>
            <w:vAlign w:val="center"/>
          </w:tcPr>
          <w:p w14:paraId="4F5B514C" w14:textId="77777777" w:rsidR="009C353B" w:rsidRDefault="00000000">
            <w:pPr>
              <w:adjustRightInd w:val="0"/>
              <w:snapToGrid w:val="0"/>
              <w:spacing w:line="440" w:lineRule="exact"/>
              <w:jc w:val="lef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hint="eastAsia"/>
                <w:sz w:val="21"/>
                <w:szCs w:val="21"/>
              </w:rPr>
              <w:t>106.494</w:t>
            </w:r>
            <w:r>
              <w:rPr>
                <w:rFonts w:ascii="Times New Roman" w:hAnsi="Times New Roman"/>
                <w:sz w:val="21"/>
                <w:szCs w:val="21"/>
              </w:rPr>
              <w:t xml:space="preserve">° </w:t>
            </w:r>
            <w:r>
              <w:rPr>
                <w:rFonts w:ascii="Times New Roman" w:hAnsi="Times New Roman"/>
                <w:sz w:val="21"/>
                <w:szCs w:val="21"/>
              </w:rPr>
              <w:t>北纬</w:t>
            </w:r>
            <w:r>
              <w:rPr>
                <w:rFonts w:ascii="Times New Roman" w:hAnsi="Times New Roman" w:hint="eastAsia"/>
                <w:sz w:val="21"/>
                <w:szCs w:val="21"/>
              </w:rPr>
              <w:t>38.130</w:t>
            </w:r>
            <w:r>
              <w:rPr>
                <w:rFonts w:ascii="Times New Roman" w:hAnsi="Times New Roman"/>
                <w:sz w:val="21"/>
                <w:szCs w:val="21"/>
              </w:rPr>
              <w:t>°</w:t>
            </w:r>
          </w:p>
        </w:tc>
      </w:tr>
      <w:tr w:rsidR="009C353B" w14:paraId="4B41CCD2" w14:textId="77777777">
        <w:trPr>
          <w:trHeight w:val="340"/>
        </w:trPr>
        <w:tc>
          <w:tcPr>
            <w:tcW w:w="4734" w:type="dxa"/>
            <w:gridSpan w:val="2"/>
            <w:vAlign w:val="center"/>
          </w:tcPr>
          <w:p w14:paraId="32FE6085" w14:textId="77777777" w:rsidR="009C353B" w:rsidRDefault="00000000">
            <w:pPr>
              <w:adjustRightInd w:val="0"/>
              <w:snapToGrid w:val="0"/>
              <w:spacing w:line="440" w:lineRule="exact"/>
              <w:jc w:val="left"/>
              <w:rPr>
                <w:rFonts w:ascii="Times New Roman" w:hAnsi="Times New Roman"/>
                <w:sz w:val="21"/>
                <w:szCs w:val="21"/>
              </w:rPr>
            </w:pPr>
            <w:r>
              <w:rPr>
                <w:rFonts w:ascii="Times New Roman" w:hAnsi="Times New Roman"/>
                <w:sz w:val="21"/>
                <w:szCs w:val="21"/>
              </w:rPr>
              <w:t>总盖度：</w:t>
            </w:r>
            <w:r>
              <w:rPr>
                <w:rFonts w:ascii="Times New Roman" w:hAnsi="Times New Roman" w:hint="eastAsia"/>
                <w:sz w:val="21"/>
                <w:szCs w:val="21"/>
              </w:rPr>
              <w:t>15</w:t>
            </w:r>
            <w:r>
              <w:rPr>
                <w:rFonts w:ascii="Times New Roman" w:hAnsi="Times New Roman"/>
                <w:sz w:val="21"/>
                <w:szCs w:val="21"/>
              </w:rPr>
              <w:t>％</w:t>
            </w:r>
          </w:p>
        </w:tc>
        <w:tc>
          <w:tcPr>
            <w:tcW w:w="4393" w:type="dxa"/>
            <w:gridSpan w:val="2"/>
            <w:vAlign w:val="center"/>
          </w:tcPr>
          <w:p w14:paraId="63C9AEBF" w14:textId="77777777" w:rsidR="009C353B" w:rsidRDefault="00000000">
            <w:pPr>
              <w:adjustRightInd w:val="0"/>
              <w:snapToGrid w:val="0"/>
              <w:spacing w:line="440" w:lineRule="exact"/>
              <w:jc w:val="left"/>
              <w:rPr>
                <w:rFonts w:ascii="Times New Roman" w:hAnsi="Times New Roman"/>
                <w:sz w:val="21"/>
                <w:szCs w:val="21"/>
              </w:rPr>
            </w:pPr>
            <w:r>
              <w:rPr>
                <w:rFonts w:ascii="Times New Roman" w:hAnsi="Times New Roman"/>
                <w:sz w:val="21"/>
                <w:szCs w:val="21"/>
              </w:rPr>
              <w:t>平均群落高：</w:t>
            </w:r>
            <w:r>
              <w:rPr>
                <w:rFonts w:ascii="Times New Roman" w:hAnsi="Times New Roman" w:hint="eastAsia"/>
                <w:sz w:val="21"/>
                <w:szCs w:val="21"/>
              </w:rPr>
              <w:t>10</w:t>
            </w:r>
            <w:r>
              <w:rPr>
                <w:rFonts w:ascii="Times New Roman" w:hAnsi="Times New Roman"/>
                <w:sz w:val="21"/>
                <w:szCs w:val="21"/>
              </w:rPr>
              <w:t>cm</w:t>
            </w:r>
          </w:p>
        </w:tc>
      </w:tr>
      <w:tr w:rsidR="009C353B" w14:paraId="6FB05639" w14:textId="77777777">
        <w:trPr>
          <w:trHeight w:val="340"/>
        </w:trPr>
        <w:tc>
          <w:tcPr>
            <w:tcW w:w="9127" w:type="dxa"/>
            <w:gridSpan w:val="4"/>
            <w:vAlign w:val="center"/>
          </w:tcPr>
          <w:p w14:paraId="365B82A9" w14:textId="77777777" w:rsidR="009C353B" w:rsidRDefault="00000000">
            <w:pPr>
              <w:adjustRightInd w:val="0"/>
              <w:snapToGrid w:val="0"/>
              <w:spacing w:line="440" w:lineRule="exact"/>
              <w:jc w:val="left"/>
              <w:rPr>
                <w:rFonts w:ascii="Times New Roman" w:hAnsi="Times New Roman"/>
                <w:sz w:val="21"/>
                <w:szCs w:val="21"/>
              </w:rPr>
            </w:pPr>
            <w:r>
              <w:rPr>
                <w:rFonts w:ascii="Times New Roman" w:hAnsi="Times New Roman"/>
                <w:sz w:val="21"/>
                <w:szCs w:val="21"/>
              </w:rPr>
              <w:t>主要植物：</w:t>
            </w:r>
            <w:r>
              <w:rPr>
                <w:rFonts w:ascii="Times New Roman" w:hAnsi="Times New Roman" w:hint="eastAsia"/>
                <w:sz w:val="21"/>
                <w:szCs w:val="21"/>
              </w:rPr>
              <w:t>沙蓬、沙生针茅、</w:t>
            </w:r>
            <w:r>
              <w:rPr>
                <w:rFonts w:ascii="Times New Roman" w:hAnsi="Times New Roman"/>
                <w:sz w:val="21"/>
                <w:szCs w:val="21"/>
              </w:rPr>
              <w:t>雾冰黎</w:t>
            </w:r>
          </w:p>
        </w:tc>
      </w:tr>
      <w:tr w:rsidR="009C353B" w14:paraId="4F11E19D" w14:textId="77777777">
        <w:trPr>
          <w:trHeight w:val="340"/>
        </w:trPr>
        <w:tc>
          <w:tcPr>
            <w:tcW w:w="4734" w:type="dxa"/>
            <w:gridSpan w:val="2"/>
            <w:vAlign w:val="center"/>
          </w:tcPr>
          <w:p w14:paraId="5AE8B7D3" w14:textId="77777777" w:rsidR="009C353B" w:rsidRDefault="00000000">
            <w:pPr>
              <w:adjustRightInd w:val="0"/>
              <w:snapToGrid w:val="0"/>
              <w:spacing w:line="440" w:lineRule="exact"/>
              <w:jc w:val="left"/>
              <w:rPr>
                <w:rFonts w:ascii="Times New Roman" w:hAnsi="Times New Roman"/>
                <w:sz w:val="21"/>
                <w:szCs w:val="21"/>
              </w:rPr>
            </w:pPr>
            <w:r>
              <w:rPr>
                <w:rFonts w:ascii="Times New Roman" w:hAnsi="Times New Roman"/>
                <w:sz w:val="21"/>
                <w:szCs w:val="21"/>
              </w:rPr>
              <w:t>优势种：</w:t>
            </w:r>
            <w:r>
              <w:rPr>
                <w:rFonts w:ascii="Times New Roman" w:hAnsi="Times New Roman" w:hint="eastAsia"/>
                <w:sz w:val="21"/>
                <w:szCs w:val="21"/>
              </w:rPr>
              <w:t>沙蓬</w:t>
            </w:r>
          </w:p>
        </w:tc>
        <w:tc>
          <w:tcPr>
            <w:tcW w:w="4393" w:type="dxa"/>
            <w:gridSpan w:val="2"/>
            <w:vAlign w:val="center"/>
          </w:tcPr>
          <w:p w14:paraId="2CE101E1" w14:textId="77777777" w:rsidR="009C353B" w:rsidRDefault="00000000">
            <w:pPr>
              <w:adjustRightInd w:val="0"/>
              <w:snapToGrid w:val="0"/>
              <w:spacing w:line="440" w:lineRule="exact"/>
              <w:jc w:val="left"/>
              <w:rPr>
                <w:rFonts w:ascii="Times New Roman" w:hAnsi="Times New Roman"/>
                <w:sz w:val="21"/>
                <w:szCs w:val="21"/>
              </w:rPr>
            </w:pPr>
            <w:r>
              <w:rPr>
                <w:rFonts w:ascii="Times New Roman" w:hAnsi="Times New Roman"/>
                <w:sz w:val="21"/>
                <w:szCs w:val="21"/>
              </w:rPr>
              <w:t>生物量：</w:t>
            </w:r>
            <w:r>
              <w:rPr>
                <w:rFonts w:ascii="Times New Roman" w:hAnsi="Times New Roman" w:hint="eastAsia"/>
                <w:sz w:val="21"/>
                <w:szCs w:val="21"/>
              </w:rPr>
              <w:t>9</w:t>
            </w:r>
            <w:r>
              <w:rPr>
                <w:rFonts w:ascii="Times New Roman" w:hAnsi="Times New Roman"/>
                <w:sz w:val="21"/>
                <w:szCs w:val="21"/>
              </w:rPr>
              <w:t>6.5g/m</w:t>
            </w:r>
            <w:r>
              <w:rPr>
                <w:rFonts w:ascii="Times New Roman" w:hAnsi="Times New Roman"/>
                <w:sz w:val="21"/>
                <w:szCs w:val="21"/>
                <w:vertAlign w:val="superscript"/>
              </w:rPr>
              <w:t>2</w:t>
            </w:r>
          </w:p>
        </w:tc>
      </w:tr>
      <w:tr w:rsidR="009C353B" w14:paraId="06E293FF" w14:textId="77777777">
        <w:trPr>
          <w:trHeight w:val="340"/>
        </w:trPr>
        <w:tc>
          <w:tcPr>
            <w:tcW w:w="9127" w:type="dxa"/>
            <w:gridSpan w:val="4"/>
            <w:vAlign w:val="center"/>
          </w:tcPr>
          <w:p w14:paraId="7C092BCF" w14:textId="77777777" w:rsidR="009C353B" w:rsidRDefault="00000000">
            <w:pPr>
              <w:adjustRightInd w:val="0"/>
              <w:snapToGrid w:val="0"/>
              <w:spacing w:line="440" w:lineRule="exact"/>
              <w:jc w:val="left"/>
              <w:rPr>
                <w:rFonts w:ascii="Times New Roman" w:hAnsi="Times New Roman"/>
                <w:sz w:val="21"/>
                <w:szCs w:val="21"/>
              </w:rPr>
            </w:pPr>
            <w:r>
              <w:rPr>
                <w:rFonts w:ascii="Times New Roman" w:hAnsi="Times New Roman"/>
                <w:sz w:val="21"/>
                <w:szCs w:val="21"/>
              </w:rPr>
              <w:t>样方外植物：</w:t>
            </w:r>
            <w:r>
              <w:rPr>
                <w:rFonts w:ascii="Times New Roman" w:hAnsi="Times New Roman" w:hint="eastAsia"/>
                <w:sz w:val="21"/>
                <w:szCs w:val="21"/>
              </w:rPr>
              <w:t>沙蓬、沙生针茅、</w:t>
            </w:r>
            <w:r>
              <w:rPr>
                <w:rFonts w:ascii="Times New Roman" w:hAnsi="Times New Roman"/>
                <w:sz w:val="21"/>
                <w:szCs w:val="21"/>
              </w:rPr>
              <w:t>雾冰黎</w:t>
            </w:r>
            <w:r>
              <w:rPr>
                <w:rFonts w:ascii="Times New Roman" w:hAnsi="Times New Roman" w:hint="eastAsia"/>
                <w:sz w:val="21"/>
                <w:szCs w:val="21"/>
              </w:rPr>
              <w:t>、无芒隐子草</w:t>
            </w:r>
          </w:p>
        </w:tc>
      </w:tr>
      <w:tr w:rsidR="009C353B" w14:paraId="66C416B0" w14:textId="77777777">
        <w:trPr>
          <w:trHeight w:val="340"/>
        </w:trPr>
        <w:tc>
          <w:tcPr>
            <w:tcW w:w="9127" w:type="dxa"/>
            <w:gridSpan w:val="4"/>
            <w:vAlign w:val="center"/>
          </w:tcPr>
          <w:p w14:paraId="3D54516A" w14:textId="77777777" w:rsidR="009C353B" w:rsidRDefault="00000000">
            <w:pPr>
              <w:adjustRightInd w:val="0"/>
              <w:snapToGrid w:val="0"/>
              <w:spacing w:line="360" w:lineRule="auto"/>
              <w:ind w:firstLine="422"/>
              <w:jc w:val="center"/>
              <w:rPr>
                <w:rFonts w:ascii="Times New Roman" w:hAnsi="Times New Roman"/>
                <w:b/>
                <w:sz w:val="21"/>
                <w:szCs w:val="21"/>
              </w:rPr>
            </w:pPr>
            <w:r>
              <w:rPr>
                <w:rFonts w:ascii="Times New Roman" w:hAnsi="Times New Roman"/>
                <w:b/>
                <w:noProof/>
                <w:sz w:val="21"/>
                <w:szCs w:val="21"/>
              </w:rPr>
              <w:drawing>
                <wp:inline distT="0" distB="0" distL="0" distR="0" wp14:anchorId="21DB9408" wp14:editId="7FCACA00">
                  <wp:extent cx="4683125" cy="4319905"/>
                  <wp:effectExtent l="0" t="0" r="3175" b="4445"/>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495"/>
                          <pic:cNvPicPr>
                            <a:picLocks noChangeAspect="1"/>
                          </pic:cNvPicPr>
                        </pic:nvPicPr>
                        <pic:blipFill>
                          <a:blip r:embed="rId203" cstate="print">
                            <a:extLst>
                              <a:ext uri="{28A0092B-C50C-407E-A947-70E740481C1C}">
                                <a14:useLocalDpi xmlns:a14="http://schemas.microsoft.com/office/drawing/2010/main" val="0"/>
                              </a:ext>
                            </a:extLst>
                          </a:blip>
                          <a:srcRect t="19304" b="11424"/>
                          <a:stretch>
                            <a:fillRect/>
                          </a:stretch>
                        </pic:blipFill>
                        <pic:spPr>
                          <a:xfrm>
                            <a:off x="0" y="0"/>
                            <a:ext cx="4683600" cy="4320000"/>
                          </a:xfrm>
                          <a:prstGeom prst="rect">
                            <a:avLst/>
                          </a:prstGeom>
                          <a:ln>
                            <a:noFill/>
                          </a:ln>
                        </pic:spPr>
                      </pic:pic>
                    </a:graphicData>
                  </a:graphic>
                </wp:inline>
              </w:drawing>
            </w:r>
          </w:p>
        </w:tc>
      </w:tr>
    </w:tbl>
    <w:p w14:paraId="0BA74D36"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szCs w:val="24"/>
        </w:rPr>
        <w:br w:type="page"/>
      </w:r>
      <w:r>
        <w:rPr>
          <w:rFonts w:ascii="Times New Roman" w:hAnsi="Times New Roman"/>
          <w:b/>
          <w:szCs w:val="24"/>
        </w:rPr>
        <w:t>样方调查登记表</w:t>
      </w:r>
      <w:r>
        <w:rPr>
          <w:rFonts w:ascii="Times New Roman" w:hAnsi="Times New Roman" w:hint="eastAsia"/>
          <w:b/>
          <w:szCs w:val="24"/>
        </w:rPr>
        <w:t>9</w:t>
      </w:r>
    </w:p>
    <w:p w14:paraId="2C49B9F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1582"/>
        <w:gridCol w:w="2811"/>
      </w:tblGrid>
      <w:tr w:rsidR="009C353B" w14:paraId="46A17B7A" w14:textId="77777777">
        <w:trPr>
          <w:trHeight w:val="340"/>
        </w:trPr>
        <w:tc>
          <w:tcPr>
            <w:tcW w:w="3125" w:type="dxa"/>
            <w:vAlign w:val="center"/>
          </w:tcPr>
          <w:p w14:paraId="23708FDA"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样地号：</w:t>
            </w:r>
            <w:r>
              <w:rPr>
                <w:rFonts w:ascii="Times New Roman" w:hAnsi="Times New Roman" w:hint="eastAsia"/>
                <w:sz w:val="21"/>
                <w:szCs w:val="21"/>
              </w:rPr>
              <w:t>9</w:t>
            </w:r>
          </w:p>
        </w:tc>
        <w:tc>
          <w:tcPr>
            <w:tcW w:w="3191" w:type="dxa"/>
            <w:gridSpan w:val="2"/>
            <w:vAlign w:val="center"/>
          </w:tcPr>
          <w:p w14:paraId="304B647B"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样地面积：</w:t>
            </w:r>
            <w:r>
              <w:rPr>
                <w:rFonts w:ascii="Times New Roman" w:hAnsi="Times New Roman" w:hint="eastAsia"/>
                <w:sz w:val="21"/>
                <w:szCs w:val="21"/>
              </w:rPr>
              <w:t>5</w:t>
            </w:r>
            <w:r>
              <w:rPr>
                <w:rFonts w:ascii="Times New Roman" w:hAnsi="Times New Roman"/>
                <w:sz w:val="21"/>
                <w:szCs w:val="21"/>
              </w:rPr>
              <w:t>m×</w:t>
            </w:r>
            <w:r>
              <w:rPr>
                <w:rFonts w:ascii="Times New Roman" w:hAnsi="Times New Roman" w:hint="eastAsia"/>
                <w:sz w:val="21"/>
                <w:szCs w:val="21"/>
              </w:rPr>
              <w:t>5</w:t>
            </w:r>
            <w:r>
              <w:rPr>
                <w:rFonts w:ascii="Times New Roman" w:hAnsi="Times New Roman"/>
                <w:sz w:val="21"/>
                <w:szCs w:val="21"/>
              </w:rPr>
              <w:t>m</w:t>
            </w:r>
          </w:p>
        </w:tc>
        <w:tc>
          <w:tcPr>
            <w:tcW w:w="2811" w:type="dxa"/>
            <w:vAlign w:val="center"/>
          </w:tcPr>
          <w:p w14:paraId="575A84B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时间：</w:t>
            </w:r>
            <w:r>
              <w:rPr>
                <w:rFonts w:ascii="Times New Roman" w:hAnsi="Times New Roman" w:hint="eastAsia"/>
                <w:sz w:val="21"/>
                <w:szCs w:val="21"/>
              </w:rPr>
              <w:t>2020</w:t>
            </w:r>
            <w:r>
              <w:rPr>
                <w:rFonts w:ascii="Times New Roman" w:hAnsi="Times New Roman"/>
                <w:sz w:val="21"/>
                <w:szCs w:val="21"/>
              </w:rPr>
              <w:t>/7/</w:t>
            </w:r>
            <w:r>
              <w:rPr>
                <w:rFonts w:ascii="Times New Roman" w:hAnsi="Times New Roman" w:hint="eastAsia"/>
                <w:sz w:val="21"/>
                <w:szCs w:val="21"/>
              </w:rPr>
              <w:t>24</w:t>
            </w:r>
          </w:p>
        </w:tc>
      </w:tr>
      <w:tr w:rsidR="009C353B" w14:paraId="0E3C7AC2" w14:textId="77777777">
        <w:trPr>
          <w:trHeight w:val="340"/>
        </w:trPr>
        <w:tc>
          <w:tcPr>
            <w:tcW w:w="3125" w:type="dxa"/>
            <w:vAlign w:val="center"/>
          </w:tcPr>
          <w:p w14:paraId="3C0AD6DB"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坡度：</w:t>
            </w:r>
            <w:r>
              <w:rPr>
                <w:rFonts w:ascii="Times New Roman" w:hAnsi="Times New Roman" w:hint="eastAsia"/>
                <w:sz w:val="21"/>
                <w:szCs w:val="21"/>
              </w:rPr>
              <w:t>0</w:t>
            </w:r>
            <w:r>
              <w:rPr>
                <w:rFonts w:ascii="Times New Roman" w:hAnsi="Times New Roman"/>
                <w:sz w:val="21"/>
                <w:szCs w:val="21"/>
              </w:rPr>
              <w:t>度</w:t>
            </w:r>
          </w:p>
        </w:tc>
        <w:tc>
          <w:tcPr>
            <w:tcW w:w="6002" w:type="dxa"/>
            <w:gridSpan w:val="3"/>
            <w:vAlign w:val="center"/>
          </w:tcPr>
          <w:p w14:paraId="06E159BE"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hint="eastAsia"/>
                <w:sz w:val="21"/>
                <w:szCs w:val="21"/>
              </w:rPr>
              <w:t>106.495</w:t>
            </w:r>
            <w:r>
              <w:rPr>
                <w:rFonts w:ascii="Times New Roman" w:hAnsi="Times New Roman"/>
                <w:sz w:val="21"/>
                <w:szCs w:val="21"/>
              </w:rPr>
              <w:t xml:space="preserve">° </w:t>
            </w:r>
            <w:r>
              <w:rPr>
                <w:rFonts w:ascii="Times New Roman" w:hAnsi="Times New Roman"/>
                <w:sz w:val="21"/>
                <w:szCs w:val="21"/>
              </w:rPr>
              <w:t>北纬</w:t>
            </w:r>
            <w:r>
              <w:rPr>
                <w:rFonts w:ascii="Times New Roman" w:hAnsi="Times New Roman" w:hint="eastAsia"/>
                <w:sz w:val="21"/>
                <w:szCs w:val="21"/>
              </w:rPr>
              <w:t>38.172</w:t>
            </w:r>
            <w:r>
              <w:rPr>
                <w:rFonts w:ascii="Times New Roman" w:hAnsi="Times New Roman"/>
                <w:sz w:val="21"/>
                <w:szCs w:val="21"/>
              </w:rPr>
              <w:t>°</w:t>
            </w:r>
          </w:p>
        </w:tc>
      </w:tr>
      <w:tr w:rsidR="009C353B" w14:paraId="763390D9" w14:textId="77777777">
        <w:trPr>
          <w:trHeight w:val="340"/>
        </w:trPr>
        <w:tc>
          <w:tcPr>
            <w:tcW w:w="4734" w:type="dxa"/>
            <w:gridSpan w:val="2"/>
            <w:vAlign w:val="center"/>
          </w:tcPr>
          <w:p w14:paraId="413E28D0"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总盖度：</w:t>
            </w:r>
            <w:r>
              <w:rPr>
                <w:rFonts w:ascii="Times New Roman" w:hAnsi="Times New Roman" w:hint="eastAsia"/>
                <w:sz w:val="21"/>
                <w:szCs w:val="21"/>
              </w:rPr>
              <w:t>30</w:t>
            </w:r>
            <w:r>
              <w:rPr>
                <w:rFonts w:ascii="Times New Roman" w:hAnsi="Times New Roman"/>
                <w:sz w:val="21"/>
                <w:szCs w:val="21"/>
              </w:rPr>
              <w:t>％</w:t>
            </w:r>
          </w:p>
        </w:tc>
        <w:tc>
          <w:tcPr>
            <w:tcW w:w="4393" w:type="dxa"/>
            <w:gridSpan w:val="2"/>
            <w:vAlign w:val="center"/>
          </w:tcPr>
          <w:p w14:paraId="08B08038"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平均群落高：</w:t>
            </w:r>
            <w:r>
              <w:rPr>
                <w:rFonts w:ascii="Times New Roman" w:hAnsi="Times New Roman" w:hint="eastAsia"/>
                <w:sz w:val="21"/>
                <w:szCs w:val="21"/>
              </w:rPr>
              <w:t>30</w:t>
            </w:r>
            <w:r>
              <w:rPr>
                <w:rFonts w:ascii="Times New Roman" w:hAnsi="Times New Roman"/>
                <w:sz w:val="21"/>
                <w:szCs w:val="21"/>
              </w:rPr>
              <w:t>cm</w:t>
            </w:r>
          </w:p>
        </w:tc>
      </w:tr>
      <w:tr w:rsidR="009C353B" w14:paraId="0B865301" w14:textId="77777777">
        <w:trPr>
          <w:trHeight w:val="340"/>
        </w:trPr>
        <w:tc>
          <w:tcPr>
            <w:tcW w:w="9127" w:type="dxa"/>
            <w:gridSpan w:val="4"/>
            <w:vAlign w:val="center"/>
          </w:tcPr>
          <w:p w14:paraId="3348D0FD"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主要植物：</w:t>
            </w:r>
            <w:r>
              <w:rPr>
                <w:rFonts w:ascii="Times New Roman" w:hAnsi="Times New Roman" w:hint="eastAsia"/>
                <w:sz w:val="21"/>
                <w:szCs w:val="21"/>
              </w:rPr>
              <w:t>沙蒿、针茅、骆驼蓬</w:t>
            </w:r>
          </w:p>
        </w:tc>
      </w:tr>
      <w:tr w:rsidR="009C353B" w14:paraId="677FBC52" w14:textId="77777777">
        <w:trPr>
          <w:trHeight w:val="340"/>
        </w:trPr>
        <w:tc>
          <w:tcPr>
            <w:tcW w:w="4734" w:type="dxa"/>
            <w:gridSpan w:val="2"/>
            <w:vAlign w:val="center"/>
          </w:tcPr>
          <w:p w14:paraId="3B2AFFB7"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优势种：</w:t>
            </w:r>
            <w:r>
              <w:rPr>
                <w:rFonts w:ascii="Times New Roman" w:hAnsi="Times New Roman" w:hint="eastAsia"/>
                <w:sz w:val="21"/>
                <w:szCs w:val="21"/>
              </w:rPr>
              <w:t>沙蒿、针茅</w:t>
            </w:r>
          </w:p>
        </w:tc>
        <w:tc>
          <w:tcPr>
            <w:tcW w:w="4393" w:type="dxa"/>
            <w:gridSpan w:val="2"/>
            <w:vAlign w:val="center"/>
          </w:tcPr>
          <w:p w14:paraId="7BA0EBB7"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生物量：</w:t>
            </w:r>
            <w:r>
              <w:rPr>
                <w:rFonts w:ascii="Times New Roman" w:hAnsi="Times New Roman" w:hint="eastAsia"/>
                <w:sz w:val="21"/>
                <w:szCs w:val="21"/>
              </w:rPr>
              <w:t>193</w:t>
            </w:r>
            <w:r>
              <w:rPr>
                <w:rFonts w:ascii="Times New Roman" w:hAnsi="Times New Roman"/>
                <w:sz w:val="21"/>
                <w:szCs w:val="21"/>
              </w:rPr>
              <w:t>g/m</w:t>
            </w:r>
            <w:r>
              <w:rPr>
                <w:rFonts w:ascii="Times New Roman" w:hAnsi="Times New Roman"/>
                <w:sz w:val="21"/>
                <w:szCs w:val="21"/>
                <w:vertAlign w:val="superscript"/>
              </w:rPr>
              <w:t>2</w:t>
            </w:r>
          </w:p>
        </w:tc>
      </w:tr>
      <w:tr w:rsidR="009C353B" w14:paraId="06BFA06F" w14:textId="77777777">
        <w:trPr>
          <w:trHeight w:val="340"/>
        </w:trPr>
        <w:tc>
          <w:tcPr>
            <w:tcW w:w="9127" w:type="dxa"/>
            <w:gridSpan w:val="4"/>
            <w:vAlign w:val="center"/>
          </w:tcPr>
          <w:p w14:paraId="2A6884E9"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样方外植物：</w:t>
            </w:r>
            <w:r>
              <w:rPr>
                <w:rFonts w:ascii="Times New Roman" w:hAnsi="Times New Roman" w:hint="eastAsia"/>
                <w:sz w:val="21"/>
                <w:szCs w:val="21"/>
              </w:rPr>
              <w:t>沙蒿、针茅、骆驼蓬</w:t>
            </w:r>
          </w:p>
        </w:tc>
      </w:tr>
      <w:tr w:rsidR="009C353B" w14:paraId="77C92B54" w14:textId="77777777">
        <w:trPr>
          <w:trHeight w:val="340"/>
        </w:trPr>
        <w:tc>
          <w:tcPr>
            <w:tcW w:w="9127" w:type="dxa"/>
            <w:gridSpan w:val="4"/>
            <w:vAlign w:val="center"/>
          </w:tcPr>
          <w:p w14:paraId="007A883D" w14:textId="77777777" w:rsidR="009C353B" w:rsidRDefault="00000000">
            <w:pPr>
              <w:adjustRightInd w:val="0"/>
              <w:snapToGrid w:val="0"/>
              <w:spacing w:line="360" w:lineRule="auto"/>
              <w:ind w:firstLine="422"/>
              <w:rPr>
                <w:rFonts w:ascii="Times New Roman" w:hAnsi="Times New Roman"/>
                <w:b/>
                <w:sz w:val="21"/>
                <w:szCs w:val="21"/>
              </w:rPr>
            </w:pPr>
            <w:r>
              <w:rPr>
                <w:rFonts w:ascii="Times New Roman" w:hAnsi="Times New Roman"/>
                <w:b/>
                <w:noProof/>
                <w:sz w:val="21"/>
                <w:szCs w:val="21"/>
              </w:rPr>
              <w:drawing>
                <wp:inline distT="0" distB="0" distL="0" distR="0" wp14:anchorId="21B44CB3" wp14:editId="1CEF3BAE">
                  <wp:extent cx="5760085" cy="3839845"/>
                  <wp:effectExtent l="0" t="0" r="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5760085" cy="3839845"/>
                          </a:xfrm>
                          <a:prstGeom prst="rect">
                            <a:avLst/>
                          </a:prstGeom>
                        </pic:spPr>
                      </pic:pic>
                    </a:graphicData>
                  </a:graphic>
                </wp:inline>
              </w:drawing>
            </w:r>
          </w:p>
        </w:tc>
      </w:tr>
    </w:tbl>
    <w:p w14:paraId="7B9024EF"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br w:type="page"/>
      </w:r>
    </w:p>
    <w:p w14:paraId="63E5CE19"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样方调查登记表</w:t>
      </w:r>
      <w:r>
        <w:rPr>
          <w:rFonts w:ascii="Times New Roman" w:hAnsi="Times New Roman" w:hint="eastAsia"/>
          <w:b/>
          <w:szCs w:val="24"/>
        </w:rPr>
        <w:t>10</w:t>
      </w:r>
    </w:p>
    <w:p w14:paraId="022076D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1582"/>
        <w:gridCol w:w="2811"/>
      </w:tblGrid>
      <w:tr w:rsidR="009C353B" w14:paraId="1EFB76DC" w14:textId="77777777">
        <w:trPr>
          <w:trHeight w:val="340"/>
        </w:trPr>
        <w:tc>
          <w:tcPr>
            <w:tcW w:w="3125" w:type="dxa"/>
            <w:vAlign w:val="center"/>
          </w:tcPr>
          <w:p w14:paraId="327CD7B3"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样地号：</w:t>
            </w:r>
            <w:r>
              <w:rPr>
                <w:rFonts w:ascii="Times New Roman" w:hAnsi="Times New Roman" w:hint="eastAsia"/>
                <w:sz w:val="21"/>
                <w:szCs w:val="21"/>
              </w:rPr>
              <w:t>10</w:t>
            </w:r>
          </w:p>
        </w:tc>
        <w:tc>
          <w:tcPr>
            <w:tcW w:w="3191" w:type="dxa"/>
            <w:gridSpan w:val="2"/>
            <w:vAlign w:val="center"/>
          </w:tcPr>
          <w:p w14:paraId="7A6BB895"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样地面积：</w:t>
            </w:r>
            <w:r>
              <w:rPr>
                <w:rFonts w:ascii="Times New Roman" w:hAnsi="Times New Roman" w:hint="eastAsia"/>
                <w:sz w:val="21"/>
                <w:szCs w:val="21"/>
              </w:rPr>
              <w:t>10</w:t>
            </w:r>
            <w:r>
              <w:rPr>
                <w:rFonts w:ascii="Times New Roman" w:hAnsi="Times New Roman"/>
                <w:sz w:val="21"/>
                <w:szCs w:val="21"/>
              </w:rPr>
              <w:t>m×</w:t>
            </w:r>
            <w:r>
              <w:rPr>
                <w:rFonts w:ascii="Times New Roman" w:hAnsi="Times New Roman" w:hint="eastAsia"/>
                <w:sz w:val="21"/>
                <w:szCs w:val="21"/>
              </w:rPr>
              <w:t>10</w:t>
            </w:r>
            <w:r>
              <w:rPr>
                <w:rFonts w:ascii="Times New Roman" w:hAnsi="Times New Roman"/>
                <w:sz w:val="21"/>
                <w:szCs w:val="21"/>
              </w:rPr>
              <w:t>m</w:t>
            </w:r>
          </w:p>
        </w:tc>
        <w:tc>
          <w:tcPr>
            <w:tcW w:w="2811" w:type="dxa"/>
            <w:vAlign w:val="center"/>
          </w:tcPr>
          <w:p w14:paraId="119512B5"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时间：</w:t>
            </w:r>
            <w:r>
              <w:rPr>
                <w:rFonts w:ascii="Times New Roman" w:hAnsi="Times New Roman" w:hint="eastAsia"/>
                <w:sz w:val="21"/>
                <w:szCs w:val="21"/>
              </w:rPr>
              <w:t>2020</w:t>
            </w:r>
            <w:r>
              <w:rPr>
                <w:rFonts w:ascii="Times New Roman" w:hAnsi="Times New Roman"/>
                <w:sz w:val="21"/>
                <w:szCs w:val="21"/>
              </w:rPr>
              <w:t>/7/</w:t>
            </w:r>
            <w:r>
              <w:rPr>
                <w:rFonts w:ascii="Times New Roman" w:hAnsi="Times New Roman" w:hint="eastAsia"/>
                <w:sz w:val="21"/>
                <w:szCs w:val="21"/>
              </w:rPr>
              <w:t>24</w:t>
            </w:r>
          </w:p>
        </w:tc>
      </w:tr>
      <w:tr w:rsidR="009C353B" w14:paraId="55804B19" w14:textId="77777777">
        <w:trPr>
          <w:trHeight w:val="340"/>
        </w:trPr>
        <w:tc>
          <w:tcPr>
            <w:tcW w:w="3125" w:type="dxa"/>
            <w:vAlign w:val="center"/>
          </w:tcPr>
          <w:p w14:paraId="300B85E1"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坡度：</w:t>
            </w:r>
            <w:r>
              <w:rPr>
                <w:rFonts w:ascii="Times New Roman" w:hAnsi="Times New Roman" w:hint="eastAsia"/>
                <w:sz w:val="21"/>
                <w:szCs w:val="21"/>
              </w:rPr>
              <w:t>10</w:t>
            </w:r>
            <w:r>
              <w:rPr>
                <w:rFonts w:ascii="Times New Roman" w:hAnsi="Times New Roman"/>
                <w:sz w:val="21"/>
                <w:szCs w:val="21"/>
              </w:rPr>
              <w:t>度</w:t>
            </w:r>
          </w:p>
        </w:tc>
        <w:tc>
          <w:tcPr>
            <w:tcW w:w="6002" w:type="dxa"/>
            <w:gridSpan w:val="3"/>
            <w:vAlign w:val="center"/>
          </w:tcPr>
          <w:p w14:paraId="451BC5CE"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hint="eastAsia"/>
                <w:sz w:val="21"/>
                <w:szCs w:val="21"/>
              </w:rPr>
              <w:t>106.531</w:t>
            </w:r>
            <w:r>
              <w:rPr>
                <w:rFonts w:ascii="Times New Roman" w:hAnsi="Times New Roman"/>
                <w:sz w:val="21"/>
                <w:szCs w:val="21"/>
              </w:rPr>
              <w:t xml:space="preserve">° </w:t>
            </w:r>
            <w:r>
              <w:rPr>
                <w:rFonts w:ascii="Times New Roman" w:hAnsi="Times New Roman"/>
                <w:sz w:val="21"/>
                <w:szCs w:val="21"/>
              </w:rPr>
              <w:t>北纬</w:t>
            </w:r>
            <w:r>
              <w:rPr>
                <w:rFonts w:ascii="Times New Roman" w:hAnsi="Times New Roman" w:hint="eastAsia"/>
                <w:sz w:val="21"/>
                <w:szCs w:val="21"/>
              </w:rPr>
              <w:t>38.124</w:t>
            </w:r>
            <w:r>
              <w:rPr>
                <w:rFonts w:ascii="Times New Roman" w:hAnsi="Times New Roman"/>
                <w:sz w:val="21"/>
                <w:szCs w:val="21"/>
              </w:rPr>
              <w:t>°</w:t>
            </w:r>
          </w:p>
        </w:tc>
      </w:tr>
      <w:tr w:rsidR="009C353B" w14:paraId="4F7EC7D5" w14:textId="77777777">
        <w:trPr>
          <w:trHeight w:val="340"/>
        </w:trPr>
        <w:tc>
          <w:tcPr>
            <w:tcW w:w="4734" w:type="dxa"/>
            <w:gridSpan w:val="2"/>
            <w:vAlign w:val="center"/>
          </w:tcPr>
          <w:p w14:paraId="35CDE110"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总盖度：</w:t>
            </w:r>
            <w:r>
              <w:rPr>
                <w:rFonts w:ascii="Times New Roman" w:hAnsi="Times New Roman" w:hint="eastAsia"/>
                <w:sz w:val="21"/>
                <w:szCs w:val="21"/>
              </w:rPr>
              <w:t>50</w:t>
            </w:r>
            <w:r>
              <w:rPr>
                <w:rFonts w:ascii="Times New Roman" w:hAnsi="Times New Roman"/>
                <w:sz w:val="21"/>
                <w:szCs w:val="21"/>
              </w:rPr>
              <w:t>％</w:t>
            </w:r>
          </w:p>
        </w:tc>
        <w:tc>
          <w:tcPr>
            <w:tcW w:w="4393" w:type="dxa"/>
            <w:gridSpan w:val="2"/>
            <w:vAlign w:val="center"/>
          </w:tcPr>
          <w:p w14:paraId="363FFAA1"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平均群落高：</w:t>
            </w:r>
            <w:r>
              <w:rPr>
                <w:rFonts w:ascii="Times New Roman" w:hAnsi="Times New Roman" w:hint="eastAsia"/>
                <w:sz w:val="21"/>
                <w:szCs w:val="21"/>
              </w:rPr>
              <w:t>2</w:t>
            </w:r>
            <w:r>
              <w:rPr>
                <w:rFonts w:ascii="Times New Roman" w:hAnsi="Times New Roman"/>
                <w:sz w:val="21"/>
                <w:szCs w:val="21"/>
              </w:rPr>
              <w:t>m</w:t>
            </w:r>
          </w:p>
        </w:tc>
      </w:tr>
      <w:tr w:rsidR="009C353B" w14:paraId="1B682D64" w14:textId="77777777">
        <w:trPr>
          <w:trHeight w:val="340"/>
        </w:trPr>
        <w:tc>
          <w:tcPr>
            <w:tcW w:w="9127" w:type="dxa"/>
            <w:gridSpan w:val="4"/>
            <w:vAlign w:val="center"/>
          </w:tcPr>
          <w:p w14:paraId="4DC50BF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主要植物：</w:t>
            </w:r>
            <w:r>
              <w:rPr>
                <w:rFonts w:ascii="Times New Roman" w:hAnsi="Times New Roman" w:hint="eastAsia"/>
                <w:sz w:val="21"/>
                <w:szCs w:val="21"/>
              </w:rPr>
              <w:t>松树、酸枣、油蒿、草木樨、羊草</w:t>
            </w:r>
          </w:p>
        </w:tc>
      </w:tr>
      <w:tr w:rsidR="009C353B" w14:paraId="50ED2062" w14:textId="77777777">
        <w:trPr>
          <w:trHeight w:val="340"/>
        </w:trPr>
        <w:tc>
          <w:tcPr>
            <w:tcW w:w="4734" w:type="dxa"/>
            <w:gridSpan w:val="2"/>
            <w:vAlign w:val="center"/>
          </w:tcPr>
          <w:p w14:paraId="06A20D14"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优势种：</w:t>
            </w:r>
            <w:r>
              <w:rPr>
                <w:rFonts w:ascii="Times New Roman" w:hAnsi="Times New Roman" w:hint="eastAsia"/>
                <w:sz w:val="21"/>
                <w:szCs w:val="21"/>
              </w:rPr>
              <w:t>松树、酸枣</w:t>
            </w:r>
          </w:p>
        </w:tc>
        <w:tc>
          <w:tcPr>
            <w:tcW w:w="4393" w:type="dxa"/>
            <w:gridSpan w:val="2"/>
            <w:vAlign w:val="center"/>
          </w:tcPr>
          <w:p w14:paraId="11DC7124"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生物量：</w:t>
            </w:r>
            <w:r>
              <w:rPr>
                <w:rFonts w:ascii="Times New Roman" w:hAnsi="Times New Roman" w:hint="eastAsia"/>
                <w:sz w:val="21"/>
                <w:szCs w:val="21"/>
              </w:rPr>
              <w:t>613</w:t>
            </w:r>
            <w:r>
              <w:rPr>
                <w:rFonts w:ascii="Times New Roman" w:hAnsi="Times New Roman"/>
                <w:sz w:val="21"/>
                <w:szCs w:val="21"/>
              </w:rPr>
              <w:t>g/m</w:t>
            </w:r>
            <w:r>
              <w:rPr>
                <w:rFonts w:ascii="Times New Roman" w:hAnsi="Times New Roman"/>
                <w:sz w:val="21"/>
                <w:szCs w:val="21"/>
                <w:vertAlign w:val="superscript"/>
              </w:rPr>
              <w:t>2</w:t>
            </w:r>
          </w:p>
        </w:tc>
      </w:tr>
      <w:tr w:rsidR="009C353B" w14:paraId="06B854EA" w14:textId="77777777">
        <w:trPr>
          <w:trHeight w:val="340"/>
        </w:trPr>
        <w:tc>
          <w:tcPr>
            <w:tcW w:w="9127" w:type="dxa"/>
            <w:gridSpan w:val="4"/>
            <w:vAlign w:val="center"/>
          </w:tcPr>
          <w:p w14:paraId="3400332F"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样方外植物：</w:t>
            </w:r>
            <w:r>
              <w:rPr>
                <w:rFonts w:ascii="Times New Roman" w:hAnsi="Times New Roman" w:hint="eastAsia"/>
                <w:sz w:val="21"/>
                <w:szCs w:val="21"/>
              </w:rPr>
              <w:t>松树、酸枣、油蒿、草木樨、羊草</w:t>
            </w:r>
          </w:p>
        </w:tc>
      </w:tr>
      <w:tr w:rsidR="009C353B" w14:paraId="1B720D2B" w14:textId="77777777">
        <w:trPr>
          <w:trHeight w:val="340"/>
        </w:trPr>
        <w:tc>
          <w:tcPr>
            <w:tcW w:w="9127" w:type="dxa"/>
            <w:gridSpan w:val="4"/>
            <w:vAlign w:val="center"/>
          </w:tcPr>
          <w:p w14:paraId="689E4961" w14:textId="77777777" w:rsidR="009C353B" w:rsidRDefault="00000000">
            <w:pPr>
              <w:adjustRightInd w:val="0"/>
              <w:snapToGrid w:val="0"/>
              <w:spacing w:line="360" w:lineRule="auto"/>
              <w:ind w:firstLine="422"/>
              <w:rPr>
                <w:rFonts w:ascii="Times New Roman" w:hAnsi="Times New Roman"/>
                <w:b/>
                <w:sz w:val="21"/>
                <w:szCs w:val="21"/>
              </w:rPr>
            </w:pPr>
            <w:r>
              <w:rPr>
                <w:rFonts w:ascii="Times New Roman" w:hAnsi="Times New Roman"/>
                <w:b/>
                <w:noProof/>
                <w:sz w:val="21"/>
                <w:szCs w:val="21"/>
              </w:rPr>
              <w:drawing>
                <wp:inline distT="0" distB="0" distL="0" distR="0" wp14:anchorId="20D15515" wp14:editId="19B9DC6D">
                  <wp:extent cx="5760085" cy="3839845"/>
                  <wp:effectExtent l="0" t="0" r="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5760085" cy="3839845"/>
                          </a:xfrm>
                          <a:prstGeom prst="rect">
                            <a:avLst/>
                          </a:prstGeom>
                        </pic:spPr>
                      </pic:pic>
                    </a:graphicData>
                  </a:graphic>
                </wp:inline>
              </w:drawing>
            </w:r>
          </w:p>
        </w:tc>
      </w:tr>
    </w:tbl>
    <w:p w14:paraId="016FF8ED"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b/>
          <w:szCs w:val="24"/>
        </w:rPr>
        <w:br w:type="page"/>
      </w:r>
    </w:p>
    <w:p w14:paraId="3FAD4875"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样方调查登记表</w:t>
      </w:r>
      <w:r>
        <w:rPr>
          <w:rFonts w:ascii="Times New Roman" w:hAnsi="Times New Roman" w:hint="eastAsia"/>
          <w:b/>
          <w:szCs w:val="24"/>
        </w:rPr>
        <w:t>11</w:t>
      </w:r>
    </w:p>
    <w:p w14:paraId="75C1785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1582"/>
        <w:gridCol w:w="2811"/>
      </w:tblGrid>
      <w:tr w:rsidR="009C353B" w14:paraId="091818E6" w14:textId="77777777">
        <w:trPr>
          <w:trHeight w:val="340"/>
        </w:trPr>
        <w:tc>
          <w:tcPr>
            <w:tcW w:w="3125" w:type="dxa"/>
            <w:vAlign w:val="center"/>
          </w:tcPr>
          <w:p w14:paraId="1A334E25"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样地号：</w:t>
            </w:r>
            <w:r>
              <w:rPr>
                <w:rFonts w:ascii="Times New Roman" w:hAnsi="Times New Roman" w:hint="eastAsia"/>
                <w:sz w:val="21"/>
                <w:szCs w:val="21"/>
              </w:rPr>
              <w:t>11</w:t>
            </w:r>
          </w:p>
        </w:tc>
        <w:tc>
          <w:tcPr>
            <w:tcW w:w="3191" w:type="dxa"/>
            <w:gridSpan w:val="2"/>
            <w:vAlign w:val="center"/>
          </w:tcPr>
          <w:p w14:paraId="3D49AA7F"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样地面积：</w:t>
            </w:r>
            <w:r>
              <w:rPr>
                <w:rFonts w:ascii="Times New Roman" w:hAnsi="Times New Roman" w:hint="eastAsia"/>
                <w:sz w:val="21"/>
                <w:szCs w:val="21"/>
              </w:rPr>
              <w:t>1</w:t>
            </w:r>
            <w:r>
              <w:rPr>
                <w:rFonts w:ascii="Times New Roman" w:hAnsi="Times New Roman"/>
                <w:sz w:val="21"/>
                <w:szCs w:val="21"/>
              </w:rPr>
              <w:t>m×</w:t>
            </w:r>
            <w:r>
              <w:rPr>
                <w:rFonts w:ascii="Times New Roman" w:hAnsi="Times New Roman" w:hint="eastAsia"/>
                <w:sz w:val="21"/>
                <w:szCs w:val="21"/>
              </w:rPr>
              <w:t>1</w:t>
            </w:r>
            <w:r>
              <w:rPr>
                <w:rFonts w:ascii="Times New Roman" w:hAnsi="Times New Roman"/>
                <w:sz w:val="21"/>
                <w:szCs w:val="21"/>
              </w:rPr>
              <w:t>m</w:t>
            </w:r>
          </w:p>
        </w:tc>
        <w:tc>
          <w:tcPr>
            <w:tcW w:w="2811" w:type="dxa"/>
            <w:vAlign w:val="center"/>
          </w:tcPr>
          <w:p w14:paraId="4E1EA7CC"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时间：</w:t>
            </w:r>
            <w:r>
              <w:rPr>
                <w:rFonts w:ascii="Times New Roman" w:hAnsi="Times New Roman" w:hint="eastAsia"/>
                <w:sz w:val="21"/>
                <w:szCs w:val="21"/>
              </w:rPr>
              <w:t>2020</w:t>
            </w:r>
            <w:r>
              <w:rPr>
                <w:rFonts w:ascii="Times New Roman" w:hAnsi="Times New Roman"/>
                <w:sz w:val="21"/>
                <w:szCs w:val="21"/>
              </w:rPr>
              <w:t>/7/</w:t>
            </w:r>
            <w:r>
              <w:rPr>
                <w:rFonts w:ascii="Times New Roman" w:hAnsi="Times New Roman" w:hint="eastAsia"/>
                <w:sz w:val="21"/>
                <w:szCs w:val="21"/>
              </w:rPr>
              <w:t>24</w:t>
            </w:r>
          </w:p>
        </w:tc>
      </w:tr>
      <w:tr w:rsidR="009C353B" w14:paraId="799CABB1" w14:textId="77777777">
        <w:trPr>
          <w:trHeight w:val="340"/>
        </w:trPr>
        <w:tc>
          <w:tcPr>
            <w:tcW w:w="3125" w:type="dxa"/>
            <w:vAlign w:val="center"/>
          </w:tcPr>
          <w:p w14:paraId="7C7FF695"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坡度：</w:t>
            </w:r>
            <w:r>
              <w:rPr>
                <w:rFonts w:ascii="Times New Roman" w:hAnsi="Times New Roman" w:hint="eastAsia"/>
                <w:sz w:val="21"/>
                <w:szCs w:val="21"/>
              </w:rPr>
              <w:t>0</w:t>
            </w:r>
            <w:r>
              <w:rPr>
                <w:rFonts w:ascii="Times New Roman" w:hAnsi="Times New Roman"/>
                <w:sz w:val="21"/>
                <w:szCs w:val="21"/>
              </w:rPr>
              <w:t>度</w:t>
            </w:r>
          </w:p>
        </w:tc>
        <w:tc>
          <w:tcPr>
            <w:tcW w:w="6002" w:type="dxa"/>
            <w:gridSpan w:val="3"/>
            <w:vAlign w:val="center"/>
          </w:tcPr>
          <w:p w14:paraId="5423B9D3"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hint="eastAsia"/>
                <w:sz w:val="21"/>
                <w:szCs w:val="21"/>
              </w:rPr>
              <w:t>106.494</w:t>
            </w:r>
            <w:r>
              <w:rPr>
                <w:rFonts w:ascii="Times New Roman" w:hAnsi="Times New Roman"/>
                <w:sz w:val="21"/>
                <w:szCs w:val="21"/>
              </w:rPr>
              <w:t xml:space="preserve">° </w:t>
            </w:r>
            <w:r>
              <w:rPr>
                <w:rFonts w:ascii="Times New Roman" w:hAnsi="Times New Roman"/>
                <w:sz w:val="21"/>
                <w:szCs w:val="21"/>
              </w:rPr>
              <w:t>北纬</w:t>
            </w:r>
            <w:r>
              <w:rPr>
                <w:rFonts w:ascii="Times New Roman" w:hAnsi="Times New Roman" w:hint="eastAsia"/>
                <w:sz w:val="21"/>
                <w:szCs w:val="21"/>
              </w:rPr>
              <w:t>38.200</w:t>
            </w:r>
            <w:r>
              <w:rPr>
                <w:rFonts w:ascii="Times New Roman" w:hAnsi="Times New Roman"/>
                <w:sz w:val="21"/>
                <w:szCs w:val="21"/>
              </w:rPr>
              <w:t>°</w:t>
            </w:r>
          </w:p>
        </w:tc>
      </w:tr>
      <w:tr w:rsidR="009C353B" w14:paraId="357F49F0" w14:textId="77777777">
        <w:trPr>
          <w:trHeight w:val="340"/>
        </w:trPr>
        <w:tc>
          <w:tcPr>
            <w:tcW w:w="4734" w:type="dxa"/>
            <w:gridSpan w:val="2"/>
            <w:vAlign w:val="center"/>
          </w:tcPr>
          <w:p w14:paraId="0A738F8D"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总盖度：</w:t>
            </w:r>
            <w:r>
              <w:rPr>
                <w:rFonts w:ascii="Times New Roman" w:hAnsi="Times New Roman" w:hint="eastAsia"/>
                <w:sz w:val="21"/>
                <w:szCs w:val="21"/>
              </w:rPr>
              <w:t>20</w:t>
            </w:r>
            <w:r>
              <w:rPr>
                <w:rFonts w:ascii="Times New Roman" w:hAnsi="Times New Roman"/>
                <w:sz w:val="21"/>
                <w:szCs w:val="21"/>
              </w:rPr>
              <w:t>％</w:t>
            </w:r>
          </w:p>
        </w:tc>
        <w:tc>
          <w:tcPr>
            <w:tcW w:w="4393" w:type="dxa"/>
            <w:gridSpan w:val="2"/>
            <w:vAlign w:val="center"/>
          </w:tcPr>
          <w:p w14:paraId="0E56DD95"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平均群落高：</w:t>
            </w:r>
            <w:r>
              <w:rPr>
                <w:rFonts w:ascii="Times New Roman" w:hAnsi="Times New Roman" w:hint="eastAsia"/>
                <w:sz w:val="21"/>
                <w:szCs w:val="21"/>
              </w:rPr>
              <w:t>12</w:t>
            </w:r>
            <w:r>
              <w:rPr>
                <w:rFonts w:ascii="Times New Roman" w:hAnsi="Times New Roman"/>
                <w:sz w:val="21"/>
                <w:szCs w:val="21"/>
              </w:rPr>
              <w:t>m</w:t>
            </w:r>
          </w:p>
        </w:tc>
      </w:tr>
      <w:tr w:rsidR="009C353B" w14:paraId="2977754E" w14:textId="77777777">
        <w:trPr>
          <w:trHeight w:val="340"/>
        </w:trPr>
        <w:tc>
          <w:tcPr>
            <w:tcW w:w="9127" w:type="dxa"/>
            <w:gridSpan w:val="4"/>
            <w:vAlign w:val="center"/>
          </w:tcPr>
          <w:p w14:paraId="6F44477D"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主要植物：</w:t>
            </w:r>
            <w:r>
              <w:rPr>
                <w:rFonts w:ascii="Times New Roman" w:hAnsi="Times New Roman" w:hint="eastAsia"/>
                <w:sz w:val="21"/>
                <w:szCs w:val="21"/>
              </w:rPr>
              <w:t>针茅、骆驼蓬</w:t>
            </w:r>
          </w:p>
        </w:tc>
      </w:tr>
      <w:tr w:rsidR="009C353B" w14:paraId="5C3825D3" w14:textId="77777777">
        <w:trPr>
          <w:trHeight w:val="340"/>
        </w:trPr>
        <w:tc>
          <w:tcPr>
            <w:tcW w:w="4734" w:type="dxa"/>
            <w:gridSpan w:val="2"/>
            <w:vAlign w:val="center"/>
          </w:tcPr>
          <w:p w14:paraId="66DC0494"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优势种：</w:t>
            </w:r>
            <w:r>
              <w:rPr>
                <w:rFonts w:ascii="Times New Roman" w:hAnsi="Times New Roman" w:hint="eastAsia"/>
                <w:sz w:val="21"/>
                <w:szCs w:val="21"/>
              </w:rPr>
              <w:t>针茅、骆驼蓬</w:t>
            </w:r>
          </w:p>
        </w:tc>
        <w:tc>
          <w:tcPr>
            <w:tcW w:w="4393" w:type="dxa"/>
            <w:gridSpan w:val="2"/>
            <w:vAlign w:val="center"/>
          </w:tcPr>
          <w:p w14:paraId="21A89A67"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生物量：</w:t>
            </w:r>
            <w:r>
              <w:rPr>
                <w:rFonts w:ascii="Times New Roman" w:hAnsi="Times New Roman" w:hint="eastAsia"/>
                <w:sz w:val="21"/>
                <w:szCs w:val="21"/>
              </w:rPr>
              <w:t>93</w:t>
            </w:r>
            <w:r>
              <w:rPr>
                <w:rFonts w:ascii="Times New Roman" w:hAnsi="Times New Roman"/>
                <w:sz w:val="21"/>
                <w:szCs w:val="21"/>
              </w:rPr>
              <w:t>g/m</w:t>
            </w:r>
            <w:r>
              <w:rPr>
                <w:rFonts w:ascii="Times New Roman" w:hAnsi="Times New Roman"/>
                <w:sz w:val="21"/>
                <w:szCs w:val="21"/>
                <w:vertAlign w:val="superscript"/>
              </w:rPr>
              <w:t>2</w:t>
            </w:r>
          </w:p>
        </w:tc>
      </w:tr>
      <w:tr w:rsidR="009C353B" w14:paraId="0F4E80F8" w14:textId="77777777">
        <w:trPr>
          <w:trHeight w:val="340"/>
        </w:trPr>
        <w:tc>
          <w:tcPr>
            <w:tcW w:w="9127" w:type="dxa"/>
            <w:gridSpan w:val="4"/>
            <w:vAlign w:val="center"/>
          </w:tcPr>
          <w:p w14:paraId="711009A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样方外植物：</w:t>
            </w:r>
            <w:r>
              <w:rPr>
                <w:rFonts w:ascii="Times New Roman" w:hAnsi="Times New Roman" w:hint="eastAsia"/>
                <w:sz w:val="21"/>
                <w:szCs w:val="21"/>
              </w:rPr>
              <w:t>针茅、骆驼蓬</w:t>
            </w:r>
          </w:p>
        </w:tc>
      </w:tr>
      <w:tr w:rsidR="009C353B" w14:paraId="5BA681EB" w14:textId="77777777">
        <w:trPr>
          <w:trHeight w:val="340"/>
        </w:trPr>
        <w:tc>
          <w:tcPr>
            <w:tcW w:w="9127" w:type="dxa"/>
            <w:gridSpan w:val="4"/>
            <w:vAlign w:val="center"/>
          </w:tcPr>
          <w:p w14:paraId="51B659F9" w14:textId="77777777" w:rsidR="009C353B" w:rsidRDefault="00000000">
            <w:pPr>
              <w:adjustRightInd w:val="0"/>
              <w:snapToGrid w:val="0"/>
              <w:spacing w:line="360" w:lineRule="auto"/>
              <w:ind w:firstLine="422"/>
              <w:rPr>
                <w:rFonts w:ascii="Times New Roman" w:hAnsi="Times New Roman"/>
                <w:b/>
                <w:sz w:val="21"/>
                <w:szCs w:val="21"/>
              </w:rPr>
            </w:pPr>
            <w:r>
              <w:rPr>
                <w:rFonts w:ascii="Times New Roman" w:hAnsi="Times New Roman"/>
                <w:b/>
                <w:noProof/>
                <w:sz w:val="21"/>
                <w:szCs w:val="21"/>
              </w:rPr>
              <w:drawing>
                <wp:inline distT="0" distB="0" distL="0" distR="0" wp14:anchorId="0A49F441" wp14:editId="522C0CFF">
                  <wp:extent cx="5662295" cy="4319905"/>
                  <wp:effectExtent l="0" t="0" r="0" b="4445"/>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451"/>
                          <pic:cNvPicPr>
                            <a:picLocks noChangeAspect="1"/>
                          </pic:cNvPicPr>
                        </pic:nvPicPr>
                        <pic:blipFill>
                          <a:blip r:embed="rId206" cstate="print">
                            <a:extLst>
                              <a:ext uri="{28A0092B-C50C-407E-A947-70E740481C1C}">
                                <a14:useLocalDpi xmlns:a14="http://schemas.microsoft.com/office/drawing/2010/main" val="0"/>
                              </a:ext>
                            </a:extLst>
                          </a:blip>
                          <a:srcRect r="12626"/>
                          <a:stretch>
                            <a:fillRect/>
                          </a:stretch>
                        </pic:blipFill>
                        <pic:spPr>
                          <a:xfrm>
                            <a:off x="0" y="0"/>
                            <a:ext cx="5662800" cy="4320000"/>
                          </a:xfrm>
                          <a:prstGeom prst="rect">
                            <a:avLst/>
                          </a:prstGeom>
                          <a:ln>
                            <a:noFill/>
                          </a:ln>
                        </pic:spPr>
                      </pic:pic>
                    </a:graphicData>
                  </a:graphic>
                </wp:inline>
              </w:drawing>
            </w:r>
          </w:p>
        </w:tc>
      </w:tr>
    </w:tbl>
    <w:p w14:paraId="1DD2F3C2" w14:textId="77777777" w:rsidR="009C353B" w:rsidRDefault="00000000">
      <w:pPr>
        <w:adjustRightInd w:val="0"/>
        <w:snapToGrid w:val="0"/>
        <w:spacing w:line="440" w:lineRule="exact"/>
        <w:ind w:firstLineChars="200" w:firstLine="482"/>
        <w:rPr>
          <w:rFonts w:ascii="Times New Roman" w:hAnsi="Times New Roman"/>
          <w:szCs w:val="24"/>
        </w:rPr>
      </w:pPr>
      <w:r>
        <w:rPr>
          <w:rFonts w:ascii="Times New Roman" w:hAnsi="Times New Roman"/>
          <w:b/>
          <w:szCs w:val="24"/>
        </w:rPr>
        <w:br w:type="page"/>
      </w:r>
    </w:p>
    <w:p w14:paraId="40DE15B8"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样方调查登记表</w:t>
      </w:r>
      <w:r>
        <w:rPr>
          <w:rFonts w:ascii="Times New Roman" w:hAnsi="Times New Roman" w:hint="eastAsia"/>
          <w:b/>
          <w:szCs w:val="24"/>
        </w:rPr>
        <w:t>12</w:t>
      </w:r>
    </w:p>
    <w:p w14:paraId="22F40F2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表</w:t>
      </w:r>
      <w:r>
        <w:rPr>
          <w:rFonts w:ascii="Times New Roman" w:hAnsi="Times New Roman"/>
          <w:szCs w:val="24"/>
        </w:rPr>
        <w:t>3.4-</w:t>
      </w:r>
      <w:r>
        <w:rPr>
          <w:rFonts w:ascii="Times New Roman" w:hAnsi="Times New Roman" w:hint="eastAsia"/>
          <w:szCs w:val="24"/>
        </w:rPr>
        <w:t>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5"/>
        <w:gridCol w:w="1609"/>
        <w:gridCol w:w="1582"/>
        <w:gridCol w:w="2811"/>
      </w:tblGrid>
      <w:tr w:rsidR="009C353B" w14:paraId="5505B6F3" w14:textId="77777777">
        <w:trPr>
          <w:trHeight w:val="340"/>
        </w:trPr>
        <w:tc>
          <w:tcPr>
            <w:tcW w:w="3125" w:type="dxa"/>
            <w:vAlign w:val="center"/>
          </w:tcPr>
          <w:p w14:paraId="07F741AA"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样地号：</w:t>
            </w:r>
            <w:r>
              <w:rPr>
                <w:rFonts w:ascii="Times New Roman" w:hAnsi="Times New Roman" w:hint="eastAsia"/>
                <w:sz w:val="21"/>
                <w:szCs w:val="21"/>
              </w:rPr>
              <w:t>12</w:t>
            </w:r>
          </w:p>
        </w:tc>
        <w:tc>
          <w:tcPr>
            <w:tcW w:w="3191" w:type="dxa"/>
            <w:gridSpan w:val="2"/>
            <w:vAlign w:val="center"/>
          </w:tcPr>
          <w:p w14:paraId="339EC417"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样地面积：</w:t>
            </w:r>
            <w:r>
              <w:rPr>
                <w:rFonts w:ascii="Times New Roman" w:hAnsi="Times New Roman" w:hint="eastAsia"/>
                <w:sz w:val="21"/>
                <w:szCs w:val="21"/>
              </w:rPr>
              <w:t>5</w:t>
            </w:r>
            <w:r>
              <w:rPr>
                <w:rFonts w:ascii="Times New Roman" w:hAnsi="Times New Roman"/>
                <w:sz w:val="21"/>
                <w:szCs w:val="21"/>
              </w:rPr>
              <w:t>m×</w:t>
            </w:r>
            <w:r>
              <w:rPr>
                <w:rFonts w:ascii="Times New Roman" w:hAnsi="Times New Roman" w:hint="eastAsia"/>
                <w:sz w:val="21"/>
                <w:szCs w:val="21"/>
              </w:rPr>
              <w:t>5</w:t>
            </w:r>
            <w:r>
              <w:rPr>
                <w:rFonts w:ascii="Times New Roman" w:hAnsi="Times New Roman"/>
                <w:sz w:val="21"/>
                <w:szCs w:val="21"/>
              </w:rPr>
              <w:t>m</w:t>
            </w:r>
          </w:p>
        </w:tc>
        <w:tc>
          <w:tcPr>
            <w:tcW w:w="2811" w:type="dxa"/>
            <w:vAlign w:val="center"/>
          </w:tcPr>
          <w:p w14:paraId="6CD57C1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时间：</w:t>
            </w:r>
            <w:r>
              <w:rPr>
                <w:rFonts w:ascii="Times New Roman" w:hAnsi="Times New Roman" w:hint="eastAsia"/>
                <w:sz w:val="21"/>
                <w:szCs w:val="21"/>
              </w:rPr>
              <w:t>2020</w:t>
            </w:r>
            <w:r>
              <w:rPr>
                <w:rFonts w:ascii="Times New Roman" w:hAnsi="Times New Roman"/>
                <w:sz w:val="21"/>
                <w:szCs w:val="21"/>
              </w:rPr>
              <w:t>/7/</w:t>
            </w:r>
            <w:r>
              <w:rPr>
                <w:rFonts w:ascii="Times New Roman" w:hAnsi="Times New Roman" w:hint="eastAsia"/>
                <w:sz w:val="21"/>
                <w:szCs w:val="21"/>
              </w:rPr>
              <w:t>24</w:t>
            </w:r>
          </w:p>
        </w:tc>
      </w:tr>
      <w:tr w:rsidR="009C353B" w14:paraId="322E3A1D" w14:textId="77777777">
        <w:trPr>
          <w:trHeight w:val="340"/>
        </w:trPr>
        <w:tc>
          <w:tcPr>
            <w:tcW w:w="3125" w:type="dxa"/>
            <w:vAlign w:val="center"/>
          </w:tcPr>
          <w:p w14:paraId="57485E38"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坡度：</w:t>
            </w:r>
            <w:r>
              <w:rPr>
                <w:rFonts w:ascii="Times New Roman" w:hAnsi="Times New Roman" w:hint="eastAsia"/>
                <w:sz w:val="21"/>
                <w:szCs w:val="21"/>
              </w:rPr>
              <w:t>0</w:t>
            </w:r>
            <w:r>
              <w:rPr>
                <w:rFonts w:ascii="Times New Roman" w:hAnsi="Times New Roman"/>
                <w:sz w:val="21"/>
                <w:szCs w:val="21"/>
              </w:rPr>
              <w:t>度</w:t>
            </w:r>
          </w:p>
        </w:tc>
        <w:tc>
          <w:tcPr>
            <w:tcW w:w="6002" w:type="dxa"/>
            <w:gridSpan w:val="3"/>
            <w:vAlign w:val="center"/>
          </w:tcPr>
          <w:p w14:paraId="0E53714C"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GPS</w:t>
            </w:r>
            <w:r>
              <w:rPr>
                <w:rFonts w:ascii="Times New Roman" w:hAnsi="Times New Roman"/>
                <w:sz w:val="21"/>
                <w:szCs w:val="21"/>
              </w:rPr>
              <w:t>定位：东经</w:t>
            </w:r>
            <w:r>
              <w:rPr>
                <w:rFonts w:ascii="Times New Roman" w:hAnsi="Times New Roman" w:hint="eastAsia"/>
                <w:sz w:val="21"/>
                <w:szCs w:val="21"/>
              </w:rPr>
              <w:t>106.502</w:t>
            </w:r>
            <w:r>
              <w:rPr>
                <w:rFonts w:ascii="Times New Roman" w:hAnsi="Times New Roman"/>
                <w:sz w:val="21"/>
                <w:szCs w:val="21"/>
              </w:rPr>
              <w:t xml:space="preserve">° </w:t>
            </w:r>
            <w:r>
              <w:rPr>
                <w:rFonts w:ascii="Times New Roman" w:hAnsi="Times New Roman"/>
                <w:sz w:val="21"/>
                <w:szCs w:val="21"/>
              </w:rPr>
              <w:t>北纬</w:t>
            </w:r>
            <w:r>
              <w:rPr>
                <w:rFonts w:ascii="Times New Roman" w:hAnsi="Times New Roman" w:hint="eastAsia"/>
                <w:sz w:val="21"/>
                <w:szCs w:val="21"/>
              </w:rPr>
              <w:t>38.238</w:t>
            </w:r>
            <w:r>
              <w:rPr>
                <w:rFonts w:ascii="Times New Roman" w:hAnsi="Times New Roman"/>
                <w:sz w:val="21"/>
                <w:szCs w:val="21"/>
              </w:rPr>
              <w:t>°</w:t>
            </w:r>
          </w:p>
        </w:tc>
      </w:tr>
      <w:tr w:rsidR="009C353B" w14:paraId="6D0B3BA4" w14:textId="77777777">
        <w:trPr>
          <w:trHeight w:val="340"/>
        </w:trPr>
        <w:tc>
          <w:tcPr>
            <w:tcW w:w="4734" w:type="dxa"/>
            <w:gridSpan w:val="2"/>
            <w:vAlign w:val="center"/>
          </w:tcPr>
          <w:p w14:paraId="32784BA5"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总盖度：</w:t>
            </w:r>
            <w:r>
              <w:rPr>
                <w:rFonts w:ascii="Times New Roman" w:hAnsi="Times New Roman" w:hint="eastAsia"/>
                <w:sz w:val="21"/>
                <w:szCs w:val="21"/>
              </w:rPr>
              <w:t>20</w:t>
            </w:r>
            <w:r>
              <w:rPr>
                <w:rFonts w:ascii="Times New Roman" w:hAnsi="Times New Roman"/>
                <w:sz w:val="21"/>
                <w:szCs w:val="21"/>
              </w:rPr>
              <w:t>％</w:t>
            </w:r>
          </w:p>
        </w:tc>
        <w:tc>
          <w:tcPr>
            <w:tcW w:w="4393" w:type="dxa"/>
            <w:gridSpan w:val="2"/>
            <w:vAlign w:val="center"/>
          </w:tcPr>
          <w:p w14:paraId="4BFABC00"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平均群落高：</w:t>
            </w:r>
            <w:r>
              <w:rPr>
                <w:rFonts w:ascii="Times New Roman" w:hAnsi="Times New Roman" w:hint="eastAsia"/>
                <w:sz w:val="21"/>
                <w:szCs w:val="21"/>
              </w:rPr>
              <w:t>20</w:t>
            </w:r>
            <w:r>
              <w:rPr>
                <w:rFonts w:ascii="Times New Roman" w:hAnsi="Times New Roman"/>
                <w:sz w:val="21"/>
                <w:szCs w:val="21"/>
              </w:rPr>
              <w:t>m</w:t>
            </w:r>
          </w:p>
        </w:tc>
      </w:tr>
      <w:tr w:rsidR="009C353B" w14:paraId="76F85BF0" w14:textId="77777777">
        <w:trPr>
          <w:trHeight w:val="340"/>
        </w:trPr>
        <w:tc>
          <w:tcPr>
            <w:tcW w:w="9127" w:type="dxa"/>
            <w:gridSpan w:val="4"/>
            <w:vAlign w:val="center"/>
          </w:tcPr>
          <w:p w14:paraId="62FBF524"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主要植物：</w:t>
            </w:r>
            <w:r>
              <w:rPr>
                <w:rFonts w:ascii="Times New Roman" w:hAnsi="Times New Roman" w:hint="eastAsia"/>
                <w:sz w:val="21"/>
                <w:szCs w:val="21"/>
              </w:rPr>
              <w:t>猫头刺、短花针茅、无芒隐子草、骆驼蒿、刺蓬</w:t>
            </w:r>
          </w:p>
        </w:tc>
      </w:tr>
      <w:tr w:rsidR="009C353B" w14:paraId="1F243F07" w14:textId="77777777">
        <w:trPr>
          <w:trHeight w:val="340"/>
        </w:trPr>
        <w:tc>
          <w:tcPr>
            <w:tcW w:w="4734" w:type="dxa"/>
            <w:gridSpan w:val="2"/>
            <w:vAlign w:val="center"/>
          </w:tcPr>
          <w:p w14:paraId="30EBFBAD"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优势种：</w:t>
            </w:r>
            <w:r>
              <w:rPr>
                <w:rFonts w:ascii="Times New Roman" w:hAnsi="Times New Roman" w:hint="eastAsia"/>
                <w:sz w:val="21"/>
                <w:szCs w:val="21"/>
              </w:rPr>
              <w:t>猫头刺、短花针茅、无芒隐子草</w:t>
            </w:r>
          </w:p>
        </w:tc>
        <w:tc>
          <w:tcPr>
            <w:tcW w:w="4393" w:type="dxa"/>
            <w:gridSpan w:val="2"/>
            <w:vAlign w:val="center"/>
          </w:tcPr>
          <w:p w14:paraId="6822EE7E"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生物量：</w:t>
            </w:r>
            <w:r>
              <w:rPr>
                <w:rFonts w:ascii="Times New Roman" w:hAnsi="Times New Roman" w:hint="eastAsia"/>
                <w:sz w:val="21"/>
                <w:szCs w:val="21"/>
              </w:rPr>
              <w:t>163</w:t>
            </w:r>
            <w:r>
              <w:rPr>
                <w:rFonts w:ascii="Times New Roman" w:hAnsi="Times New Roman"/>
                <w:sz w:val="21"/>
                <w:szCs w:val="21"/>
              </w:rPr>
              <w:t>g/m</w:t>
            </w:r>
            <w:r>
              <w:rPr>
                <w:rFonts w:ascii="Times New Roman" w:hAnsi="Times New Roman"/>
                <w:sz w:val="21"/>
                <w:szCs w:val="21"/>
                <w:vertAlign w:val="superscript"/>
              </w:rPr>
              <w:t>2</w:t>
            </w:r>
          </w:p>
        </w:tc>
      </w:tr>
      <w:tr w:rsidR="009C353B" w14:paraId="323F7493" w14:textId="77777777">
        <w:trPr>
          <w:trHeight w:val="340"/>
        </w:trPr>
        <w:tc>
          <w:tcPr>
            <w:tcW w:w="9127" w:type="dxa"/>
            <w:gridSpan w:val="4"/>
            <w:vAlign w:val="center"/>
          </w:tcPr>
          <w:p w14:paraId="4C92AE8F"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sz w:val="21"/>
                <w:szCs w:val="21"/>
              </w:rPr>
              <w:t>样方外植物：</w:t>
            </w:r>
            <w:r>
              <w:rPr>
                <w:rFonts w:ascii="Times New Roman" w:hAnsi="Times New Roman" w:hint="eastAsia"/>
                <w:sz w:val="21"/>
                <w:szCs w:val="21"/>
              </w:rPr>
              <w:t>猫头刺、短花针茅、无芒隐子草、骆驼蒿、刺蓬</w:t>
            </w:r>
          </w:p>
        </w:tc>
      </w:tr>
      <w:tr w:rsidR="009C353B" w14:paraId="796D91EC" w14:textId="77777777">
        <w:trPr>
          <w:trHeight w:val="340"/>
        </w:trPr>
        <w:tc>
          <w:tcPr>
            <w:tcW w:w="9127" w:type="dxa"/>
            <w:gridSpan w:val="4"/>
            <w:vAlign w:val="center"/>
          </w:tcPr>
          <w:p w14:paraId="4767EFF6" w14:textId="77777777" w:rsidR="009C353B" w:rsidRDefault="00000000">
            <w:pPr>
              <w:adjustRightInd w:val="0"/>
              <w:snapToGrid w:val="0"/>
              <w:spacing w:line="360" w:lineRule="auto"/>
              <w:ind w:firstLine="422"/>
              <w:rPr>
                <w:rFonts w:ascii="Times New Roman" w:hAnsi="Times New Roman"/>
                <w:b/>
                <w:sz w:val="21"/>
                <w:szCs w:val="21"/>
              </w:rPr>
            </w:pPr>
            <w:r>
              <w:rPr>
                <w:rFonts w:ascii="Times New Roman" w:hAnsi="Times New Roman"/>
                <w:b/>
                <w:noProof/>
                <w:sz w:val="21"/>
                <w:szCs w:val="21"/>
              </w:rPr>
              <w:drawing>
                <wp:inline distT="0" distB="0" distL="0" distR="0" wp14:anchorId="7EFB72FE" wp14:editId="0F776ABE">
                  <wp:extent cx="5758815" cy="3349625"/>
                  <wp:effectExtent l="0" t="0" r="0" b="3175"/>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pic:cNvPicPr>
                            <a:picLocks noChangeAspect="1"/>
                          </pic:cNvPicPr>
                        </pic:nvPicPr>
                        <pic:blipFill>
                          <a:blip r:embed="rId207" cstate="print">
                            <a:extLst>
                              <a:ext uri="{28A0092B-C50C-407E-A947-70E740481C1C}">
                                <a14:useLocalDpi xmlns:a14="http://schemas.microsoft.com/office/drawing/2010/main" val="0"/>
                              </a:ext>
                            </a:extLst>
                          </a:blip>
                          <a:srcRect t="1335" b="11414"/>
                          <a:stretch>
                            <a:fillRect/>
                          </a:stretch>
                        </pic:blipFill>
                        <pic:spPr>
                          <a:xfrm>
                            <a:off x="0" y="0"/>
                            <a:ext cx="5760085" cy="3350353"/>
                          </a:xfrm>
                          <a:prstGeom prst="rect">
                            <a:avLst/>
                          </a:prstGeom>
                          <a:ln>
                            <a:noFill/>
                          </a:ln>
                        </pic:spPr>
                      </pic:pic>
                    </a:graphicData>
                  </a:graphic>
                </wp:inline>
              </w:drawing>
            </w:r>
          </w:p>
        </w:tc>
      </w:tr>
    </w:tbl>
    <w:p w14:paraId="7B83F79A" w14:textId="77777777" w:rsidR="009C353B" w:rsidRDefault="00000000">
      <w:pPr>
        <w:adjustRightInd w:val="0"/>
        <w:snapToGrid w:val="0"/>
        <w:spacing w:beforeLines="50" w:before="120"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）植被类型</w:t>
      </w:r>
    </w:p>
    <w:p w14:paraId="10BECC4E" w14:textId="77777777" w:rsidR="009C353B" w:rsidRDefault="00000000">
      <w:pPr>
        <w:adjustRightInd w:val="0"/>
        <w:snapToGrid w:val="0"/>
        <w:spacing w:line="440" w:lineRule="exact"/>
        <w:ind w:firstLineChars="200" w:firstLine="480"/>
        <w:rPr>
          <w:rFonts w:hint="eastAsia"/>
          <w:szCs w:val="22"/>
          <w:lang w:val="zh-TW"/>
        </w:rPr>
      </w:pPr>
      <w:r>
        <w:rPr>
          <w:rFonts w:ascii="Times New Roman" w:hAnsi="Times New Roman"/>
          <w:szCs w:val="24"/>
        </w:rPr>
        <w:t>根据《中国植被》和《宁夏植被》划分，该区属于黄土高原西部荒漠草原地带区，所在亚区为黄土高原西部矮禾草、矮灌草荒漠草原区。项目区西部丘陵山区为</w:t>
      </w:r>
      <w:r>
        <w:rPr>
          <w:rFonts w:ascii="Times New Roman" w:hAnsi="Times New Roman" w:hint="eastAsia"/>
          <w:szCs w:val="24"/>
        </w:rPr>
        <w:t>猫头刺</w:t>
      </w:r>
      <w:r>
        <w:rPr>
          <w:rFonts w:ascii="Times New Roman" w:hAnsi="Times New Roman"/>
          <w:szCs w:val="24"/>
        </w:rPr>
        <w:t>荒漠，主要</w:t>
      </w:r>
      <w:r>
        <w:rPr>
          <w:rFonts w:ascii="Times New Roman" w:hAnsi="Times New Roman" w:hint="eastAsia"/>
          <w:szCs w:val="24"/>
        </w:rPr>
        <w:t>优势种</w:t>
      </w:r>
      <w:r>
        <w:rPr>
          <w:rFonts w:ascii="Times New Roman" w:hAnsi="Times New Roman"/>
          <w:szCs w:val="24"/>
        </w:rPr>
        <w:t>为</w:t>
      </w:r>
      <w:r>
        <w:rPr>
          <w:rFonts w:ascii="Times New Roman" w:hAnsi="Times New Roman" w:hint="eastAsia"/>
          <w:szCs w:val="24"/>
        </w:rPr>
        <w:t>猫头刺</w:t>
      </w:r>
      <w:r>
        <w:rPr>
          <w:rFonts w:ascii="Times New Roman" w:hAnsi="Times New Roman"/>
          <w:szCs w:val="24"/>
        </w:rPr>
        <w:t>，亚优势种或主要伴生种有珍珠猪毛菜、驼绒藜等半灌木或灌木，草本植物主要有沙生针茅、</w:t>
      </w:r>
      <w:r>
        <w:rPr>
          <w:rFonts w:ascii="Times New Roman" w:hAnsi="Times New Roman" w:hint="eastAsia"/>
          <w:szCs w:val="24"/>
        </w:rPr>
        <w:t>短花</w:t>
      </w:r>
      <w:r>
        <w:rPr>
          <w:rFonts w:ascii="Times New Roman" w:hAnsi="Times New Roman"/>
          <w:szCs w:val="24"/>
        </w:rPr>
        <w:t>针茅和</w:t>
      </w:r>
      <w:r>
        <w:rPr>
          <w:rFonts w:ascii="Times New Roman" w:hAnsi="Times New Roman" w:hint="eastAsia"/>
          <w:szCs w:val="24"/>
        </w:rPr>
        <w:t>碱蓬</w:t>
      </w:r>
      <w:r>
        <w:rPr>
          <w:rFonts w:ascii="Times New Roman" w:hAnsi="Times New Roman"/>
          <w:szCs w:val="24"/>
        </w:rPr>
        <w:t>等。</w:t>
      </w:r>
      <w:r>
        <w:rPr>
          <w:rFonts w:ascii="Times New Roman" w:hAnsi="Times New Roman" w:hint="eastAsia"/>
          <w:szCs w:val="24"/>
        </w:rPr>
        <w:t>东北</w:t>
      </w:r>
      <w:r>
        <w:rPr>
          <w:rFonts w:ascii="Times New Roman" w:hAnsi="Times New Roman"/>
          <w:szCs w:val="24"/>
        </w:rPr>
        <w:t>部</w:t>
      </w:r>
      <w:r>
        <w:rPr>
          <w:rFonts w:ascii="Times New Roman" w:hAnsi="Times New Roman" w:hint="eastAsia"/>
          <w:szCs w:val="24"/>
        </w:rPr>
        <w:t>及南部的半固定和少量</w:t>
      </w:r>
      <w:r>
        <w:rPr>
          <w:rFonts w:ascii="Times New Roman" w:hAnsi="Times New Roman"/>
          <w:szCs w:val="24"/>
        </w:rPr>
        <w:t>流动沙丘主要分布沙蓬、雾冰黎和虫实沙地先锋植物。</w:t>
      </w:r>
      <w:r>
        <w:rPr>
          <w:rFonts w:ascii="Times New Roman" w:hAnsi="Times New Roman" w:hint="eastAsia"/>
          <w:szCs w:val="24"/>
        </w:rPr>
        <w:t>主要植被类型的特征及分布情况如下：</w:t>
      </w:r>
    </w:p>
    <w:p w14:paraId="02B07B7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1</w:t>
      </w:r>
      <w:r>
        <w:rPr>
          <w:rFonts w:ascii="Times New Roman" w:hAnsi="Times New Roman"/>
          <w:szCs w:val="24"/>
        </w:rPr>
        <w:t>）猫头刺旱生杂类草荒漠草原</w:t>
      </w:r>
    </w:p>
    <w:p w14:paraId="477D67B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猫头刺荒漠草原是荒漠草原中面积最大的而又耐旱的类型，在</w:t>
      </w:r>
      <w:r>
        <w:rPr>
          <w:rFonts w:ascii="Times New Roman" w:hAnsi="Times New Roman" w:hint="eastAsia"/>
          <w:szCs w:val="24"/>
        </w:rPr>
        <w:t>评价区</w:t>
      </w:r>
      <w:r>
        <w:rPr>
          <w:rFonts w:ascii="Times New Roman" w:hAnsi="Times New Roman"/>
          <w:szCs w:val="24"/>
        </w:rPr>
        <w:t>范围</w:t>
      </w:r>
      <w:r>
        <w:rPr>
          <w:rFonts w:ascii="Times New Roman" w:hAnsi="Times New Roman" w:hint="eastAsia"/>
          <w:szCs w:val="24"/>
        </w:rPr>
        <w:t>内</w:t>
      </w:r>
      <w:r>
        <w:rPr>
          <w:rFonts w:ascii="Times New Roman" w:hAnsi="Times New Roman"/>
          <w:szCs w:val="24"/>
        </w:rPr>
        <w:t>平坦滩地</w:t>
      </w:r>
      <w:r>
        <w:rPr>
          <w:rFonts w:ascii="Times New Roman" w:hAnsi="Times New Roman" w:hint="eastAsia"/>
          <w:szCs w:val="24"/>
        </w:rPr>
        <w:t>、</w:t>
      </w:r>
      <w:r>
        <w:rPr>
          <w:rFonts w:ascii="Times New Roman" w:hAnsi="Times New Roman"/>
          <w:szCs w:val="24"/>
        </w:rPr>
        <w:t>丘陵开阔平地或缓坡丘陵</w:t>
      </w:r>
      <w:r>
        <w:rPr>
          <w:rFonts w:ascii="Times New Roman" w:hAnsi="Times New Roman" w:hint="eastAsia"/>
          <w:szCs w:val="24"/>
        </w:rPr>
        <w:t>广泛分布。</w:t>
      </w:r>
    </w:p>
    <w:p w14:paraId="3101798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猫头刺属豆科小灌木，全植株形成密集的圆馒头状刺垫、羽状复叶，叶端硬化成刺，两面被银色伏柔毛，花冠紫红色。</w:t>
      </w:r>
    </w:p>
    <w:p w14:paraId="20A025E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该群落的盖度一般为</w:t>
      </w:r>
      <w:r>
        <w:rPr>
          <w:rFonts w:ascii="Times New Roman" w:hAnsi="Times New Roman"/>
          <w:szCs w:val="24"/>
        </w:rPr>
        <w:t>25%</w:t>
      </w:r>
      <w:r>
        <w:rPr>
          <w:rFonts w:ascii="Times New Roman" w:hAnsi="Times New Roman"/>
          <w:szCs w:val="24"/>
        </w:rPr>
        <w:t>～</w:t>
      </w:r>
      <w:r>
        <w:rPr>
          <w:rFonts w:ascii="Times New Roman" w:hAnsi="Times New Roman"/>
          <w:szCs w:val="24"/>
        </w:rPr>
        <w:t>40%</w:t>
      </w:r>
      <w:r>
        <w:rPr>
          <w:rFonts w:ascii="Times New Roman" w:hAnsi="Times New Roman"/>
          <w:szCs w:val="24"/>
        </w:rPr>
        <w:t>，最高</w:t>
      </w:r>
      <w:r>
        <w:rPr>
          <w:rFonts w:ascii="Times New Roman" w:hAnsi="Times New Roman"/>
          <w:szCs w:val="24"/>
        </w:rPr>
        <w:t>55%</w:t>
      </w:r>
      <w:r>
        <w:rPr>
          <w:rFonts w:ascii="Times New Roman" w:hAnsi="Times New Roman"/>
          <w:szCs w:val="24"/>
        </w:rPr>
        <w:t>，最低</w:t>
      </w:r>
      <w:r>
        <w:rPr>
          <w:rFonts w:ascii="Times New Roman" w:hAnsi="Times New Roman"/>
          <w:szCs w:val="24"/>
        </w:rPr>
        <w:t>15%</w:t>
      </w:r>
      <w:r>
        <w:rPr>
          <w:rFonts w:ascii="Times New Roman" w:hAnsi="Times New Roman"/>
          <w:szCs w:val="24"/>
        </w:rPr>
        <w:t>，地上部分生物产量变化较大，一般产鲜草</w:t>
      </w:r>
      <w:r>
        <w:rPr>
          <w:rFonts w:ascii="Times New Roman" w:hAnsi="Times New Roman"/>
          <w:szCs w:val="24"/>
        </w:rPr>
        <w:t>750</w:t>
      </w:r>
      <w:r>
        <w:rPr>
          <w:rFonts w:ascii="Times New Roman" w:hAnsi="Times New Roman"/>
          <w:szCs w:val="24"/>
        </w:rPr>
        <w:t>～</w:t>
      </w:r>
      <w:r>
        <w:rPr>
          <w:rFonts w:ascii="Times New Roman" w:hAnsi="Times New Roman"/>
          <w:szCs w:val="24"/>
        </w:rPr>
        <w:t>1600kg/hm</w:t>
      </w:r>
      <w:r>
        <w:rPr>
          <w:rFonts w:ascii="Times New Roman" w:hAnsi="Times New Roman"/>
          <w:szCs w:val="24"/>
          <w:vertAlign w:val="superscript"/>
        </w:rPr>
        <w:t>2</w:t>
      </w:r>
      <w:r>
        <w:rPr>
          <w:rFonts w:ascii="Times New Roman" w:hAnsi="Times New Roman"/>
          <w:szCs w:val="24"/>
        </w:rPr>
        <w:t>，最高达</w:t>
      </w:r>
      <w:r>
        <w:rPr>
          <w:rFonts w:ascii="Times New Roman" w:hAnsi="Times New Roman"/>
          <w:szCs w:val="24"/>
        </w:rPr>
        <w:t>3450kg</w:t>
      </w:r>
      <w:r>
        <w:rPr>
          <w:rFonts w:ascii="Times New Roman" w:hAnsi="Times New Roman"/>
          <w:szCs w:val="24"/>
        </w:rPr>
        <w:t>，最低仅</w:t>
      </w:r>
      <w:r>
        <w:rPr>
          <w:rFonts w:ascii="Times New Roman" w:hAnsi="Times New Roman"/>
          <w:szCs w:val="24"/>
        </w:rPr>
        <w:t>230kg</w:t>
      </w:r>
      <w:r>
        <w:rPr>
          <w:rFonts w:ascii="Times New Roman" w:hAnsi="Times New Roman" w:hint="eastAsia"/>
          <w:szCs w:val="24"/>
        </w:rPr>
        <w:t>，</w:t>
      </w:r>
      <w:r>
        <w:rPr>
          <w:rFonts w:ascii="Times New Roman" w:hAnsi="Times New Roman"/>
          <w:szCs w:val="24"/>
        </w:rPr>
        <w:t>种的饱和度随生境的不同而产生差异，一般有</w:t>
      </w:r>
      <w:r>
        <w:rPr>
          <w:rFonts w:ascii="Times New Roman" w:hAnsi="Times New Roman"/>
          <w:szCs w:val="24"/>
        </w:rPr>
        <w:t>14</w:t>
      </w:r>
      <w:r>
        <w:rPr>
          <w:rFonts w:ascii="Times New Roman" w:hAnsi="Times New Roman"/>
          <w:szCs w:val="24"/>
        </w:rPr>
        <w:t>种</w:t>
      </w:r>
      <w:r>
        <w:rPr>
          <w:rFonts w:ascii="Times New Roman" w:hAnsi="Times New Roman"/>
          <w:szCs w:val="24"/>
        </w:rPr>
        <w:t>/m</w:t>
      </w:r>
      <w:r>
        <w:rPr>
          <w:rFonts w:ascii="Times New Roman" w:hAnsi="Times New Roman"/>
          <w:szCs w:val="24"/>
        </w:rPr>
        <w:t>。最高</w:t>
      </w:r>
      <w:r>
        <w:rPr>
          <w:rFonts w:ascii="Times New Roman" w:hAnsi="Times New Roman"/>
          <w:szCs w:val="24"/>
        </w:rPr>
        <w:t>17</w:t>
      </w:r>
      <w:r>
        <w:rPr>
          <w:rFonts w:ascii="Times New Roman" w:hAnsi="Times New Roman"/>
          <w:szCs w:val="24"/>
        </w:rPr>
        <w:t>种</w:t>
      </w:r>
      <w:r>
        <w:rPr>
          <w:rFonts w:ascii="Times New Roman" w:hAnsi="Times New Roman"/>
          <w:szCs w:val="24"/>
        </w:rPr>
        <w:t>/m</w:t>
      </w:r>
      <w:r>
        <w:rPr>
          <w:rFonts w:ascii="Times New Roman" w:hAnsi="Times New Roman" w:hint="eastAsia"/>
          <w:szCs w:val="24"/>
        </w:rPr>
        <w:t>，</w:t>
      </w:r>
      <w:r>
        <w:rPr>
          <w:rFonts w:ascii="Times New Roman" w:hAnsi="Times New Roman"/>
          <w:szCs w:val="24"/>
        </w:rPr>
        <w:t>最低只有</w:t>
      </w:r>
      <w:r>
        <w:rPr>
          <w:rFonts w:ascii="Times New Roman" w:hAnsi="Times New Roman"/>
          <w:szCs w:val="24"/>
        </w:rPr>
        <w:t>3</w:t>
      </w:r>
      <w:r>
        <w:rPr>
          <w:rFonts w:ascii="Times New Roman" w:hAnsi="Times New Roman"/>
          <w:szCs w:val="24"/>
        </w:rPr>
        <w:t>种植物。猫头刺和大苞鸢尾、猫头刺和苦豆子组成群落其盖度一般在</w:t>
      </w:r>
      <w:r>
        <w:rPr>
          <w:rFonts w:ascii="Times New Roman" w:hAnsi="Times New Roman"/>
          <w:szCs w:val="24"/>
        </w:rPr>
        <w:t>35%</w:t>
      </w:r>
      <w:r>
        <w:rPr>
          <w:rFonts w:ascii="Times New Roman" w:hAnsi="Times New Roman"/>
          <w:szCs w:val="24"/>
        </w:rPr>
        <w:t>～</w:t>
      </w:r>
      <w:r>
        <w:rPr>
          <w:rFonts w:ascii="Times New Roman" w:hAnsi="Times New Roman"/>
          <w:szCs w:val="24"/>
        </w:rPr>
        <w:t>50%</w:t>
      </w:r>
      <w:r>
        <w:rPr>
          <w:rFonts w:ascii="Times New Roman" w:hAnsi="Times New Roman"/>
          <w:szCs w:val="24"/>
        </w:rPr>
        <w:t>，最高达</w:t>
      </w:r>
      <w:r>
        <w:rPr>
          <w:rFonts w:ascii="Times New Roman" w:hAnsi="Times New Roman"/>
          <w:szCs w:val="24"/>
        </w:rPr>
        <w:t>55%</w:t>
      </w:r>
      <w:r>
        <w:rPr>
          <w:rFonts w:ascii="Times New Roman" w:hAnsi="Times New Roman"/>
          <w:szCs w:val="24"/>
        </w:rPr>
        <w:t>，产鲜草</w:t>
      </w:r>
      <w:r>
        <w:rPr>
          <w:rFonts w:ascii="Times New Roman" w:hAnsi="Times New Roman"/>
          <w:szCs w:val="24"/>
        </w:rPr>
        <w:t>750</w:t>
      </w:r>
      <w:r>
        <w:rPr>
          <w:rFonts w:ascii="Times New Roman" w:hAnsi="Times New Roman"/>
          <w:szCs w:val="24"/>
        </w:rPr>
        <w:t>～</w:t>
      </w:r>
      <w:r>
        <w:rPr>
          <w:rFonts w:ascii="Times New Roman" w:hAnsi="Times New Roman"/>
          <w:szCs w:val="24"/>
        </w:rPr>
        <w:t>2250kg/hm</w:t>
      </w:r>
      <w:r>
        <w:rPr>
          <w:rFonts w:ascii="Times New Roman" w:hAnsi="Times New Roman"/>
          <w:szCs w:val="24"/>
          <w:vertAlign w:val="superscript"/>
        </w:rPr>
        <w:t>2</w:t>
      </w:r>
      <w:r>
        <w:rPr>
          <w:rFonts w:ascii="Times New Roman" w:hAnsi="Times New Roman"/>
          <w:szCs w:val="24"/>
        </w:rPr>
        <w:t>。种的饱和度物每平米大多在</w:t>
      </w:r>
      <w:r>
        <w:rPr>
          <w:rFonts w:ascii="Times New Roman" w:hAnsi="Times New Roman"/>
          <w:szCs w:val="24"/>
        </w:rPr>
        <w:t>10</w:t>
      </w:r>
      <w:r>
        <w:rPr>
          <w:rFonts w:ascii="Times New Roman" w:hAnsi="Times New Roman"/>
          <w:szCs w:val="24"/>
        </w:rPr>
        <w:t>～</w:t>
      </w:r>
      <w:r>
        <w:rPr>
          <w:rFonts w:ascii="Times New Roman" w:hAnsi="Times New Roman"/>
          <w:szCs w:val="24"/>
        </w:rPr>
        <w:t>15</w:t>
      </w:r>
      <w:r>
        <w:rPr>
          <w:rFonts w:ascii="Times New Roman" w:hAnsi="Times New Roman"/>
          <w:szCs w:val="24"/>
        </w:rPr>
        <w:t>种。群落中常见的伴生植物频度在</w:t>
      </w:r>
      <w:r>
        <w:rPr>
          <w:rFonts w:ascii="Times New Roman" w:hAnsi="Times New Roman"/>
          <w:szCs w:val="24"/>
        </w:rPr>
        <w:t>80%</w:t>
      </w:r>
      <w:r>
        <w:rPr>
          <w:rFonts w:ascii="Times New Roman" w:hAnsi="Times New Roman"/>
          <w:szCs w:val="24"/>
        </w:rPr>
        <w:t>以上的有骆驼蒿</w:t>
      </w:r>
      <w:r>
        <w:rPr>
          <w:rFonts w:ascii="Times New Roman" w:hAnsi="Times New Roman" w:hint="eastAsia"/>
          <w:szCs w:val="24"/>
        </w:rPr>
        <w:t>、</w:t>
      </w:r>
      <w:r>
        <w:rPr>
          <w:rFonts w:ascii="Times New Roman" w:hAnsi="Times New Roman"/>
          <w:szCs w:val="24"/>
        </w:rPr>
        <w:t>长芒草、短花针茅、无芒隐子草、三芒草狗尾草、细叶车前、刺蓬、小画眉等</w:t>
      </w:r>
      <w:r>
        <w:rPr>
          <w:rFonts w:ascii="Times New Roman" w:hAnsi="Times New Roman"/>
          <w:szCs w:val="24"/>
        </w:rPr>
        <w:t>1</w:t>
      </w:r>
      <w:r>
        <w:rPr>
          <w:rFonts w:ascii="Times New Roman" w:hAnsi="Times New Roman"/>
          <w:szCs w:val="24"/>
        </w:rPr>
        <w:t>年生草本植物伴生，数量极少的酸枣、</w:t>
      </w:r>
      <w:r>
        <w:rPr>
          <w:rFonts w:ascii="Times New Roman" w:hAnsi="Times New Roman" w:hint="eastAsia"/>
          <w:szCs w:val="24"/>
        </w:rPr>
        <w:t>白</w:t>
      </w:r>
      <w:r>
        <w:rPr>
          <w:rFonts w:ascii="Times New Roman" w:hAnsi="Times New Roman"/>
          <w:szCs w:val="24"/>
        </w:rPr>
        <w:t>刺等灌木点缀在群落之间。建群种猫头剌和优势植物大苞鸢尾、苦豆子，亚优势植物碱蓬、川青锦鸡儿。串枝子、糙隐子草、杂类草分别组成</w:t>
      </w:r>
      <w:r>
        <w:rPr>
          <w:rFonts w:ascii="Times New Roman" w:hAnsi="Times New Roman"/>
          <w:szCs w:val="24"/>
        </w:rPr>
        <w:t>9</w:t>
      </w:r>
      <w:r>
        <w:rPr>
          <w:rFonts w:ascii="Times New Roman" w:hAnsi="Times New Roman"/>
          <w:szCs w:val="24"/>
        </w:rPr>
        <w:t>个群落，而以猫头刺一大苞鸢尾一杂类草为代表。</w:t>
      </w:r>
    </w:p>
    <w:p w14:paraId="3ADB046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2</w:t>
      </w:r>
      <w:r>
        <w:rPr>
          <w:rFonts w:ascii="Times New Roman" w:hAnsi="Times New Roman"/>
          <w:szCs w:val="24"/>
        </w:rPr>
        <w:t>）草原带沙生植被</w:t>
      </w:r>
    </w:p>
    <w:p w14:paraId="7F44DC6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以沙蓬、雾冰黎、虫实等沙地先锋植物群落为代表</w:t>
      </w:r>
      <w:r>
        <w:rPr>
          <w:rFonts w:ascii="Times New Roman" w:hAnsi="Times New Roman" w:hint="eastAsia"/>
          <w:szCs w:val="24"/>
        </w:rPr>
        <w:t>草原带沙生植被</w:t>
      </w:r>
      <w:r>
        <w:rPr>
          <w:rFonts w:ascii="Times New Roman" w:hAnsi="Times New Roman"/>
          <w:szCs w:val="24"/>
        </w:rPr>
        <w:t>在</w:t>
      </w:r>
      <w:r>
        <w:rPr>
          <w:rFonts w:ascii="Times New Roman" w:hAnsi="Times New Roman" w:hint="eastAsia"/>
          <w:szCs w:val="24"/>
        </w:rPr>
        <w:t>固定</w:t>
      </w:r>
      <w:r>
        <w:rPr>
          <w:rFonts w:ascii="Times New Roman" w:hAnsi="Times New Roman"/>
          <w:szCs w:val="24"/>
        </w:rPr>
        <w:t>、半固定的</w:t>
      </w:r>
      <w:r>
        <w:rPr>
          <w:rFonts w:ascii="Times New Roman" w:hAnsi="Times New Roman" w:hint="eastAsia"/>
          <w:szCs w:val="24"/>
        </w:rPr>
        <w:t>沙地</w:t>
      </w:r>
      <w:r>
        <w:rPr>
          <w:rFonts w:ascii="Times New Roman" w:hAnsi="Times New Roman"/>
          <w:szCs w:val="24"/>
        </w:rPr>
        <w:t>分布极广。由</w:t>
      </w:r>
      <w:r>
        <w:rPr>
          <w:rFonts w:ascii="Times New Roman" w:hAnsi="Times New Roman"/>
          <w:szCs w:val="24"/>
        </w:rPr>
        <w:t>1</w:t>
      </w:r>
      <w:r>
        <w:rPr>
          <w:rFonts w:ascii="Times New Roman" w:hAnsi="Times New Roman"/>
          <w:szCs w:val="24"/>
        </w:rPr>
        <w:t>年生草本植物刺蓬、沙米等种类建成的沙地群落。以</w:t>
      </w:r>
      <w:r>
        <w:rPr>
          <w:rFonts w:ascii="Times New Roman" w:hAnsi="Times New Roman"/>
          <w:szCs w:val="24"/>
        </w:rPr>
        <w:t>1</w:t>
      </w:r>
      <w:r>
        <w:rPr>
          <w:rFonts w:ascii="Times New Roman" w:hAnsi="Times New Roman"/>
          <w:szCs w:val="24"/>
        </w:rPr>
        <w:t>年生植物占优势群落不稳定为特点，生长、发育状况随降水量的年际变化有较大的波动。多分布在平沙地和沙丘</w:t>
      </w:r>
      <w:r>
        <w:rPr>
          <w:rFonts w:ascii="Times New Roman" w:hAnsi="Times New Roman" w:hint="eastAsia"/>
          <w:szCs w:val="24"/>
        </w:rPr>
        <w:t>间</w:t>
      </w:r>
      <w:r>
        <w:rPr>
          <w:rFonts w:ascii="Times New Roman" w:hAnsi="Times New Roman"/>
          <w:szCs w:val="24"/>
        </w:rPr>
        <w:t>低平沙土地上，面积小而分散，沙米为优势群落，群落覆量度</w:t>
      </w:r>
      <w:r>
        <w:rPr>
          <w:rFonts w:ascii="Times New Roman" w:hAnsi="Times New Roman"/>
          <w:szCs w:val="24"/>
        </w:rPr>
        <w:t>20%</w:t>
      </w:r>
      <w:r>
        <w:rPr>
          <w:rFonts w:ascii="Times New Roman" w:hAnsi="Times New Roman"/>
          <w:szCs w:val="24"/>
        </w:rPr>
        <w:t>～</w:t>
      </w:r>
      <w:r>
        <w:rPr>
          <w:rFonts w:ascii="Times New Roman" w:hAnsi="Times New Roman"/>
          <w:szCs w:val="24"/>
        </w:rPr>
        <w:t>30%</w:t>
      </w:r>
      <w:r>
        <w:rPr>
          <w:rFonts w:ascii="Times New Roman" w:hAnsi="Times New Roman"/>
          <w:szCs w:val="24"/>
        </w:rPr>
        <w:t>。地上部分生物产量鲜重</w:t>
      </w:r>
      <w:r>
        <w:rPr>
          <w:rFonts w:ascii="Times New Roman" w:hAnsi="Times New Roman"/>
          <w:szCs w:val="24"/>
        </w:rPr>
        <w:t>3000</w:t>
      </w:r>
      <w:r>
        <w:rPr>
          <w:rFonts w:ascii="Times New Roman" w:hAnsi="Times New Roman"/>
          <w:szCs w:val="24"/>
        </w:rPr>
        <w:t>～</w:t>
      </w:r>
      <w:r>
        <w:rPr>
          <w:rFonts w:ascii="Times New Roman" w:hAnsi="Times New Roman"/>
          <w:szCs w:val="24"/>
        </w:rPr>
        <w:t>4500kg/hm</w:t>
      </w:r>
      <w:r>
        <w:rPr>
          <w:rFonts w:ascii="Times New Roman" w:hAnsi="Times New Roman"/>
          <w:szCs w:val="24"/>
          <w:vertAlign w:val="superscript"/>
        </w:rPr>
        <w:t>2</w:t>
      </w:r>
      <w:r>
        <w:rPr>
          <w:rFonts w:ascii="Times New Roman" w:hAnsi="Times New Roman"/>
          <w:szCs w:val="24"/>
        </w:rPr>
        <w:t>。种的饱和度每平方米</w:t>
      </w:r>
      <w:r>
        <w:rPr>
          <w:rFonts w:ascii="Times New Roman" w:hAnsi="Times New Roman"/>
          <w:szCs w:val="24"/>
        </w:rPr>
        <w:t>7</w:t>
      </w:r>
      <w:r>
        <w:rPr>
          <w:rFonts w:ascii="Times New Roman" w:hAnsi="Times New Roman"/>
          <w:szCs w:val="24"/>
        </w:rPr>
        <w:t>～</w:t>
      </w:r>
      <w:r>
        <w:rPr>
          <w:rFonts w:ascii="Times New Roman" w:hAnsi="Times New Roman"/>
          <w:szCs w:val="24"/>
        </w:rPr>
        <w:t>8</w:t>
      </w:r>
      <w:r>
        <w:rPr>
          <w:rFonts w:ascii="Times New Roman" w:hAnsi="Times New Roman"/>
          <w:szCs w:val="24"/>
        </w:rPr>
        <w:t>种植物。在全部植物中，多年生草本植物占</w:t>
      </w:r>
      <w:r>
        <w:rPr>
          <w:rFonts w:ascii="Times New Roman" w:hAnsi="Times New Roman"/>
          <w:szCs w:val="24"/>
        </w:rPr>
        <w:t>38.9%</w:t>
      </w:r>
      <w:r>
        <w:rPr>
          <w:rFonts w:ascii="Times New Roman" w:hAnsi="Times New Roman"/>
          <w:szCs w:val="24"/>
        </w:rPr>
        <w:t>，</w:t>
      </w:r>
      <w:r>
        <w:rPr>
          <w:rFonts w:ascii="Times New Roman" w:hAnsi="Times New Roman"/>
          <w:szCs w:val="24"/>
        </w:rPr>
        <w:t>1</w:t>
      </w:r>
      <w:r>
        <w:rPr>
          <w:rFonts w:ascii="Times New Roman" w:hAnsi="Times New Roman"/>
          <w:szCs w:val="24"/>
        </w:rPr>
        <w:t>年生草本植物占</w:t>
      </w:r>
      <w:r>
        <w:rPr>
          <w:rFonts w:ascii="Times New Roman" w:hAnsi="Times New Roman"/>
          <w:szCs w:val="24"/>
        </w:rPr>
        <w:t>52.4%</w:t>
      </w:r>
      <w:r>
        <w:rPr>
          <w:rFonts w:ascii="Times New Roman" w:hAnsi="Times New Roman"/>
          <w:szCs w:val="24"/>
        </w:rPr>
        <w:t>，木本植物占</w:t>
      </w:r>
      <w:r>
        <w:rPr>
          <w:rFonts w:ascii="Times New Roman" w:hAnsi="Times New Roman"/>
          <w:szCs w:val="24"/>
        </w:rPr>
        <w:t>14.3%</w:t>
      </w:r>
      <w:r>
        <w:rPr>
          <w:rFonts w:ascii="Times New Roman" w:hAnsi="Times New Roman"/>
          <w:szCs w:val="24"/>
        </w:rPr>
        <w:t>，常见的伴生植物以长芒草、无芒隐草、白草、沙竹、骆驼蒿等多年生草本种及小画眉草、蒺藜、刺蓬、锋芒草等</w:t>
      </w:r>
      <w:r>
        <w:rPr>
          <w:rFonts w:ascii="Times New Roman" w:hAnsi="Times New Roman"/>
          <w:szCs w:val="24"/>
        </w:rPr>
        <w:t>1</w:t>
      </w:r>
      <w:r>
        <w:rPr>
          <w:rFonts w:ascii="Times New Roman" w:hAnsi="Times New Roman"/>
          <w:szCs w:val="24"/>
        </w:rPr>
        <w:t>年生植物为多。</w:t>
      </w:r>
    </w:p>
    <w:p w14:paraId="0FC928D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3</w:t>
      </w:r>
      <w:r>
        <w:rPr>
          <w:rFonts w:ascii="Times New Roman" w:hAnsi="Times New Roman" w:hint="eastAsia"/>
          <w:szCs w:val="24"/>
        </w:rPr>
        <w:t>）柠条灌丛</w:t>
      </w:r>
    </w:p>
    <w:p w14:paraId="3330F25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柠条为强旱生的沙生落叶灌木，天然柠条灌丛生境为半固定和固定沙丘，株高</w:t>
      </w:r>
      <w:r>
        <w:rPr>
          <w:rFonts w:ascii="Times New Roman" w:hAnsi="Times New Roman" w:hint="eastAsia"/>
          <w:szCs w:val="24"/>
        </w:rPr>
        <w:t>0.4</w:t>
      </w:r>
      <w:r>
        <w:rPr>
          <w:rFonts w:ascii="Times New Roman" w:hAnsi="Times New Roman"/>
          <w:szCs w:val="24"/>
        </w:rPr>
        <w:t>～</w:t>
      </w:r>
      <w:r>
        <w:rPr>
          <w:rFonts w:ascii="Times New Roman" w:hAnsi="Times New Roman" w:hint="eastAsia"/>
          <w:szCs w:val="24"/>
        </w:rPr>
        <w:t>1.4m</w:t>
      </w:r>
      <w:r>
        <w:rPr>
          <w:rFonts w:ascii="Times New Roman" w:hAnsi="Times New Roman" w:hint="eastAsia"/>
          <w:szCs w:val="24"/>
        </w:rPr>
        <w:t>，丛径</w:t>
      </w:r>
      <w:r>
        <w:rPr>
          <w:rFonts w:ascii="Times New Roman" w:hAnsi="Times New Roman" w:hint="eastAsia"/>
          <w:szCs w:val="24"/>
        </w:rPr>
        <w:t>0.3</w:t>
      </w:r>
      <w:r>
        <w:rPr>
          <w:rFonts w:ascii="Times New Roman" w:hAnsi="Times New Roman"/>
          <w:szCs w:val="24"/>
        </w:rPr>
        <w:t>～</w:t>
      </w:r>
      <w:r>
        <w:rPr>
          <w:rFonts w:ascii="Times New Roman" w:hAnsi="Times New Roman" w:hint="eastAsia"/>
          <w:szCs w:val="24"/>
        </w:rPr>
        <w:t>0.5m</w:t>
      </w:r>
      <w:r>
        <w:rPr>
          <w:rFonts w:ascii="Times New Roman" w:hAnsi="Times New Roman" w:hint="eastAsia"/>
          <w:szCs w:val="24"/>
        </w:rPr>
        <w:t>，枝条茂密，根系发达，沙埋后可由茎干多层分枝，生长旺盛。群落结构比较稀散，其盖度为</w:t>
      </w:r>
      <w:r>
        <w:rPr>
          <w:rFonts w:ascii="Times New Roman" w:hAnsi="Times New Roman" w:hint="eastAsia"/>
          <w:szCs w:val="24"/>
        </w:rPr>
        <w:t>30%</w:t>
      </w:r>
      <w:r>
        <w:rPr>
          <w:rFonts w:ascii="Times New Roman" w:hAnsi="Times New Roman" w:hint="eastAsia"/>
          <w:szCs w:val="24"/>
        </w:rPr>
        <w:t>，柠条分盖度为</w:t>
      </w:r>
      <w:r>
        <w:rPr>
          <w:rFonts w:ascii="Times New Roman" w:hAnsi="Times New Roman" w:hint="eastAsia"/>
          <w:szCs w:val="24"/>
        </w:rPr>
        <w:t>15%</w:t>
      </w:r>
      <w:r>
        <w:rPr>
          <w:rFonts w:ascii="Times New Roman" w:hAnsi="Times New Roman" w:hint="eastAsia"/>
          <w:szCs w:val="24"/>
        </w:rPr>
        <w:t>。生物产量产鲜草</w:t>
      </w:r>
      <w:r>
        <w:rPr>
          <w:rFonts w:ascii="Times New Roman" w:hAnsi="Times New Roman" w:hint="eastAsia"/>
          <w:szCs w:val="24"/>
        </w:rPr>
        <w:t>2050kg/hm</w:t>
      </w:r>
      <w:r>
        <w:rPr>
          <w:rFonts w:ascii="Times New Roman" w:hAnsi="Times New Roman" w:hint="eastAsia"/>
          <w:szCs w:val="24"/>
          <w:vertAlign w:val="superscript"/>
        </w:rPr>
        <w:t>2</w:t>
      </w:r>
      <w:r>
        <w:rPr>
          <w:rFonts w:ascii="Times New Roman" w:hAnsi="Times New Roman" w:hint="eastAsia"/>
          <w:szCs w:val="24"/>
        </w:rPr>
        <w:t>，种的饱和度为每平方米</w:t>
      </w:r>
      <w:r>
        <w:rPr>
          <w:rFonts w:ascii="Times New Roman" w:hAnsi="Times New Roman" w:hint="eastAsia"/>
          <w:szCs w:val="24"/>
        </w:rPr>
        <w:t>9</w:t>
      </w:r>
      <w:r>
        <w:rPr>
          <w:rFonts w:ascii="Times New Roman" w:hAnsi="Times New Roman" w:hint="eastAsia"/>
          <w:szCs w:val="24"/>
        </w:rPr>
        <w:t>种植物，伴生埴物种较少，主要有灌木沙冬青，小灌木刺旋花；多年生草本有鳍蓟、白草。本群系仅含柠条油蒿群落。柠条枝叶可作饲草、绿肥和薪柴，也是优良的固沙植物。</w:t>
      </w:r>
      <w:r>
        <w:rPr>
          <w:rFonts w:ascii="Times New Roman" w:hAnsi="Times New Roman" w:hint="eastAsia"/>
          <w:szCs w:val="24"/>
        </w:rPr>
        <w:t xml:space="preserve"> </w:t>
      </w:r>
    </w:p>
    <w:p w14:paraId="77CE91F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4</w:t>
      </w:r>
      <w:r>
        <w:rPr>
          <w:rFonts w:ascii="Times New Roman" w:hAnsi="Times New Roman" w:hint="eastAsia"/>
          <w:szCs w:val="24"/>
        </w:rPr>
        <w:t>）刺槐、杨树、樟子松林</w:t>
      </w:r>
    </w:p>
    <w:p w14:paraId="4AC32CD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评价区内乔木林地多为人工林，树种以刺槐、杨树、樟子松等林木为主。</w:t>
      </w:r>
      <w:r>
        <w:rPr>
          <w:rFonts w:ascii="Times New Roman" w:hAnsi="Times New Roman" w:hint="eastAsia"/>
          <w:szCs w:val="24"/>
        </w:rPr>
        <w:t xml:space="preserve"> </w:t>
      </w:r>
    </w:p>
    <w:p w14:paraId="3C9CFCA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评价区植被类型分布情况见表</w:t>
      </w:r>
      <w:r>
        <w:rPr>
          <w:rFonts w:ascii="Times New Roman" w:hAnsi="Times New Roman" w:hint="eastAsia"/>
          <w:szCs w:val="24"/>
        </w:rPr>
        <w:t>3.4-16</w:t>
      </w:r>
      <w:r>
        <w:rPr>
          <w:rFonts w:ascii="Times New Roman" w:hAnsi="Times New Roman" w:hint="eastAsia"/>
          <w:szCs w:val="24"/>
        </w:rPr>
        <w:t>和图</w:t>
      </w:r>
      <w:r>
        <w:rPr>
          <w:rFonts w:ascii="Times New Roman" w:hAnsi="Times New Roman" w:hint="eastAsia"/>
          <w:szCs w:val="24"/>
        </w:rPr>
        <w:t>3.4-6</w:t>
      </w:r>
      <w:r>
        <w:rPr>
          <w:rFonts w:ascii="Times New Roman" w:hAnsi="Times New Roman" w:hint="eastAsia"/>
          <w:szCs w:val="24"/>
        </w:rPr>
        <w:t>。</w:t>
      </w:r>
      <w:r>
        <w:rPr>
          <w:rFonts w:ascii="Times New Roman" w:hAnsi="Times New Roman"/>
          <w:szCs w:val="24"/>
        </w:rPr>
        <w:t xml:space="preserve"> </w:t>
      </w:r>
    </w:p>
    <w:p w14:paraId="6D95F28D" w14:textId="77777777" w:rsidR="009C353B" w:rsidRDefault="009C353B">
      <w:pPr>
        <w:adjustRightInd w:val="0"/>
        <w:snapToGrid w:val="0"/>
        <w:spacing w:line="440" w:lineRule="exact"/>
        <w:ind w:firstLineChars="200" w:firstLine="480"/>
        <w:rPr>
          <w:rFonts w:ascii="Times New Roman" w:hAnsi="Times New Roman"/>
          <w:szCs w:val="24"/>
        </w:rPr>
      </w:pPr>
    </w:p>
    <w:p w14:paraId="2C870189" w14:textId="77777777" w:rsidR="009C353B" w:rsidRDefault="009C353B">
      <w:pPr>
        <w:adjustRightInd w:val="0"/>
        <w:snapToGrid w:val="0"/>
        <w:spacing w:line="440" w:lineRule="exact"/>
        <w:ind w:firstLineChars="200" w:firstLine="480"/>
        <w:rPr>
          <w:rFonts w:ascii="Times New Roman" w:hAnsi="Times New Roman"/>
          <w:szCs w:val="24"/>
        </w:rPr>
      </w:pPr>
    </w:p>
    <w:p w14:paraId="5252B76A" w14:textId="77777777" w:rsidR="009C353B" w:rsidRDefault="00000000">
      <w:pPr>
        <w:spacing w:line="500" w:lineRule="exact"/>
        <w:jc w:val="center"/>
        <w:rPr>
          <w:rFonts w:ascii="Times New Roman" w:hAnsi="Times New Roman"/>
          <w:b/>
          <w:szCs w:val="24"/>
        </w:rPr>
      </w:pPr>
      <w:r>
        <w:rPr>
          <w:rFonts w:ascii="Times New Roman" w:hAnsi="Times New Roman"/>
          <w:b/>
          <w:szCs w:val="24"/>
        </w:rPr>
        <w:t>评价区植被类型统计表</w:t>
      </w:r>
    </w:p>
    <w:p w14:paraId="4A5344C2" w14:textId="77777777" w:rsidR="009C353B" w:rsidRDefault="00000000">
      <w:pPr>
        <w:outlineLvl w:val="4"/>
        <w:rPr>
          <w:rFonts w:ascii="Times New Roman" w:hAnsi="Times New Roman"/>
          <w:szCs w:val="24"/>
          <w:lang w:val="zh-CN"/>
        </w:rPr>
      </w:pPr>
      <w:r>
        <w:rPr>
          <w:rFonts w:ascii="Times New Roman" w:hAnsi="Times New Roman"/>
          <w:szCs w:val="24"/>
          <w:lang w:val="zh-CN"/>
        </w:rPr>
        <w:t>表</w:t>
      </w:r>
      <w:r>
        <w:rPr>
          <w:rFonts w:ascii="Times New Roman" w:hAnsi="Times New Roman"/>
          <w:szCs w:val="24"/>
          <w:lang w:val="zh-CN"/>
        </w:rPr>
        <w:t>3.</w:t>
      </w:r>
      <w:r>
        <w:rPr>
          <w:rFonts w:ascii="Times New Roman" w:hAnsi="Times New Roman" w:hint="eastAsia"/>
          <w:szCs w:val="24"/>
          <w:lang w:val="zh-CN"/>
        </w:rPr>
        <w:t>4-1</w:t>
      </w:r>
      <w:r>
        <w:rPr>
          <w:rFonts w:ascii="Times New Roman" w:hAnsi="Times New Roman"/>
          <w:szCs w:val="24"/>
          <w:lang w:val="zh-C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6"/>
        <w:gridCol w:w="1478"/>
        <w:gridCol w:w="1478"/>
        <w:gridCol w:w="1478"/>
        <w:gridCol w:w="1477"/>
      </w:tblGrid>
      <w:tr w:rsidR="009C353B" w14:paraId="5B9FE468" w14:textId="77777777">
        <w:trPr>
          <w:trHeight w:val="285"/>
        </w:trPr>
        <w:tc>
          <w:tcPr>
            <w:tcW w:w="1817" w:type="pct"/>
            <w:vMerge w:val="restart"/>
            <w:shd w:val="clear" w:color="auto" w:fill="auto"/>
            <w:noWrap/>
            <w:vAlign w:val="center"/>
          </w:tcPr>
          <w:p w14:paraId="7781ABD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植被类型</w:t>
            </w:r>
          </w:p>
        </w:tc>
        <w:tc>
          <w:tcPr>
            <w:tcW w:w="1591" w:type="pct"/>
            <w:gridSpan w:val="2"/>
            <w:shd w:val="clear" w:color="auto" w:fill="auto"/>
            <w:vAlign w:val="center"/>
          </w:tcPr>
          <w:p w14:paraId="44AAC12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评价区</w:t>
            </w:r>
          </w:p>
        </w:tc>
        <w:tc>
          <w:tcPr>
            <w:tcW w:w="1592" w:type="pct"/>
            <w:gridSpan w:val="2"/>
            <w:shd w:val="clear" w:color="auto" w:fill="auto"/>
            <w:vAlign w:val="center"/>
          </w:tcPr>
          <w:p w14:paraId="65C1ECA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矿区</w:t>
            </w:r>
          </w:p>
        </w:tc>
      </w:tr>
      <w:tr w:rsidR="009C353B" w14:paraId="3B0DB584" w14:textId="77777777">
        <w:trPr>
          <w:trHeight w:val="585"/>
        </w:trPr>
        <w:tc>
          <w:tcPr>
            <w:tcW w:w="1817" w:type="pct"/>
            <w:vMerge/>
            <w:vAlign w:val="center"/>
          </w:tcPr>
          <w:p w14:paraId="200A56A8" w14:textId="77777777" w:rsidR="009C353B" w:rsidRDefault="009C353B">
            <w:pPr>
              <w:widowControl/>
              <w:jc w:val="center"/>
              <w:rPr>
                <w:rFonts w:ascii="Times New Roman" w:hAnsi="Times New Roman"/>
                <w:kern w:val="0"/>
                <w:sz w:val="21"/>
                <w:szCs w:val="21"/>
              </w:rPr>
            </w:pPr>
          </w:p>
        </w:tc>
        <w:tc>
          <w:tcPr>
            <w:tcW w:w="796" w:type="pct"/>
            <w:shd w:val="clear" w:color="auto" w:fill="auto"/>
            <w:vAlign w:val="center"/>
          </w:tcPr>
          <w:p w14:paraId="47AB1B9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面积（</w:t>
            </w:r>
            <w:r>
              <w:rPr>
                <w:rFonts w:ascii="Times New Roman" w:hAnsi="Times New Roman"/>
                <w:kern w:val="0"/>
                <w:sz w:val="21"/>
                <w:szCs w:val="21"/>
              </w:rPr>
              <w:t>km</w:t>
            </w:r>
            <w:r>
              <w:rPr>
                <w:rFonts w:ascii="Times New Roman" w:hAnsi="Times New Roman"/>
                <w:kern w:val="0"/>
                <w:sz w:val="21"/>
                <w:szCs w:val="21"/>
                <w:vertAlign w:val="superscript"/>
              </w:rPr>
              <w:t>2</w:t>
            </w:r>
            <w:r>
              <w:rPr>
                <w:rFonts w:ascii="Times New Roman" w:hAnsi="Times New Roman"/>
                <w:kern w:val="0"/>
                <w:sz w:val="21"/>
                <w:szCs w:val="21"/>
              </w:rPr>
              <w:t>）</w:t>
            </w:r>
          </w:p>
        </w:tc>
        <w:tc>
          <w:tcPr>
            <w:tcW w:w="796" w:type="pct"/>
            <w:shd w:val="clear" w:color="auto" w:fill="auto"/>
            <w:vAlign w:val="center"/>
          </w:tcPr>
          <w:p w14:paraId="0A4E17F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比例（</w:t>
            </w:r>
            <w:r>
              <w:rPr>
                <w:rFonts w:ascii="Times New Roman" w:hAnsi="Times New Roman"/>
                <w:kern w:val="0"/>
                <w:sz w:val="21"/>
                <w:szCs w:val="21"/>
              </w:rPr>
              <w:t>%</w:t>
            </w:r>
            <w:r>
              <w:rPr>
                <w:rFonts w:ascii="Times New Roman" w:hAnsi="Times New Roman"/>
                <w:kern w:val="0"/>
                <w:sz w:val="21"/>
                <w:szCs w:val="21"/>
              </w:rPr>
              <w:t>）</w:t>
            </w:r>
          </w:p>
        </w:tc>
        <w:tc>
          <w:tcPr>
            <w:tcW w:w="796" w:type="pct"/>
            <w:shd w:val="clear" w:color="auto" w:fill="auto"/>
            <w:vAlign w:val="center"/>
          </w:tcPr>
          <w:p w14:paraId="70F9593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面积（</w:t>
            </w:r>
            <w:r>
              <w:rPr>
                <w:rFonts w:ascii="Times New Roman" w:hAnsi="Times New Roman"/>
                <w:kern w:val="0"/>
                <w:sz w:val="21"/>
                <w:szCs w:val="21"/>
              </w:rPr>
              <w:t>km</w:t>
            </w:r>
            <w:r>
              <w:rPr>
                <w:rFonts w:ascii="Times New Roman" w:hAnsi="Times New Roman"/>
                <w:kern w:val="0"/>
                <w:sz w:val="21"/>
                <w:szCs w:val="21"/>
                <w:vertAlign w:val="superscript"/>
              </w:rPr>
              <w:t>2</w:t>
            </w:r>
            <w:r>
              <w:rPr>
                <w:rFonts w:ascii="Times New Roman" w:hAnsi="Times New Roman"/>
                <w:kern w:val="0"/>
                <w:sz w:val="21"/>
                <w:szCs w:val="21"/>
              </w:rPr>
              <w:t>）</w:t>
            </w:r>
          </w:p>
        </w:tc>
        <w:tc>
          <w:tcPr>
            <w:tcW w:w="796" w:type="pct"/>
            <w:shd w:val="clear" w:color="auto" w:fill="auto"/>
            <w:vAlign w:val="center"/>
          </w:tcPr>
          <w:p w14:paraId="28E02C3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比例（</w:t>
            </w:r>
            <w:r>
              <w:rPr>
                <w:rFonts w:ascii="Times New Roman" w:hAnsi="Times New Roman"/>
                <w:kern w:val="0"/>
                <w:sz w:val="21"/>
                <w:szCs w:val="21"/>
              </w:rPr>
              <w:t>%</w:t>
            </w:r>
            <w:r>
              <w:rPr>
                <w:rFonts w:ascii="Times New Roman" w:hAnsi="Times New Roman"/>
                <w:kern w:val="0"/>
                <w:sz w:val="21"/>
                <w:szCs w:val="21"/>
              </w:rPr>
              <w:t>）</w:t>
            </w:r>
          </w:p>
        </w:tc>
      </w:tr>
      <w:tr w:rsidR="009C353B" w14:paraId="3D3A6513" w14:textId="77777777">
        <w:trPr>
          <w:trHeight w:val="285"/>
        </w:trPr>
        <w:tc>
          <w:tcPr>
            <w:tcW w:w="1817" w:type="pct"/>
            <w:shd w:val="clear" w:color="auto" w:fill="auto"/>
            <w:noWrap/>
            <w:vAlign w:val="center"/>
          </w:tcPr>
          <w:p w14:paraId="17F959E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刺槐、杨树、樟子松林</w:t>
            </w:r>
          </w:p>
        </w:tc>
        <w:tc>
          <w:tcPr>
            <w:tcW w:w="796" w:type="pct"/>
            <w:shd w:val="clear" w:color="auto" w:fill="auto"/>
            <w:noWrap/>
            <w:vAlign w:val="center"/>
          </w:tcPr>
          <w:p w14:paraId="53F9C6C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30.13</w:t>
            </w:r>
          </w:p>
        </w:tc>
        <w:tc>
          <w:tcPr>
            <w:tcW w:w="796" w:type="pct"/>
            <w:shd w:val="clear" w:color="auto" w:fill="auto"/>
            <w:noWrap/>
            <w:vAlign w:val="center"/>
          </w:tcPr>
          <w:p w14:paraId="304CC44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9.59</w:t>
            </w:r>
          </w:p>
        </w:tc>
        <w:tc>
          <w:tcPr>
            <w:tcW w:w="796" w:type="pct"/>
            <w:shd w:val="clear" w:color="auto" w:fill="auto"/>
            <w:noWrap/>
            <w:vAlign w:val="center"/>
          </w:tcPr>
          <w:p w14:paraId="0C12797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9.82</w:t>
            </w:r>
          </w:p>
        </w:tc>
        <w:tc>
          <w:tcPr>
            <w:tcW w:w="796" w:type="pct"/>
            <w:shd w:val="clear" w:color="auto" w:fill="auto"/>
            <w:noWrap/>
            <w:vAlign w:val="center"/>
          </w:tcPr>
          <w:p w14:paraId="3BC9868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11.42</w:t>
            </w:r>
          </w:p>
        </w:tc>
      </w:tr>
      <w:tr w:rsidR="009C353B" w14:paraId="4AD5EEEF" w14:textId="77777777">
        <w:trPr>
          <w:trHeight w:val="285"/>
        </w:trPr>
        <w:tc>
          <w:tcPr>
            <w:tcW w:w="1817" w:type="pct"/>
            <w:shd w:val="clear" w:color="auto" w:fill="auto"/>
            <w:noWrap/>
            <w:vAlign w:val="center"/>
          </w:tcPr>
          <w:p w14:paraId="04444BB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柠条灌丛</w:t>
            </w:r>
          </w:p>
        </w:tc>
        <w:tc>
          <w:tcPr>
            <w:tcW w:w="796" w:type="pct"/>
            <w:shd w:val="clear" w:color="auto" w:fill="auto"/>
            <w:noWrap/>
            <w:vAlign w:val="center"/>
          </w:tcPr>
          <w:p w14:paraId="4B188B3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80.78</w:t>
            </w:r>
          </w:p>
        </w:tc>
        <w:tc>
          <w:tcPr>
            <w:tcW w:w="796" w:type="pct"/>
            <w:shd w:val="clear" w:color="auto" w:fill="auto"/>
            <w:noWrap/>
            <w:vAlign w:val="center"/>
          </w:tcPr>
          <w:p w14:paraId="07A15C2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25.72</w:t>
            </w:r>
          </w:p>
        </w:tc>
        <w:tc>
          <w:tcPr>
            <w:tcW w:w="796" w:type="pct"/>
            <w:shd w:val="clear" w:color="auto" w:fill="auto"/>
            <w:noWrap/>
            <w:vAlign w:val="center"/>
          </w:tcPr>
          <w:p w14:paraId="54590D3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37.42</w:t>
            </w:r>
          </w:p>
        </w:tc>
        <w:tc>
          <w:tcPr>
            <w:tcW w:w="796" w:type="pct"/>
            <w:shd w:val="clear" w:color="auto" w:fill="auto"/>
            <w:noWrap/>
            <w:vAlign w:val="center"/>
          </w:tcPr>
          <w:p w14:paraId="775D215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43.52</w:t>
            </w:r>
          </w:p>
        </w:tc>
      </w:tr>
      <w:tr w:rsidR="009C353B" w14:paraId="3D7DEDC4" w14:textId="77777777">
        <w:trPr>
          <w:trHeight w:val="285"/>
        </w:trPr>
        <w:tc>
          <w:tcPr>
            <w:tcW w:w="1817" w:type="pct"/>
            <w:shd w:val="clear" w:color="auto" w:fill="auto"/>
            <w:noWrap/>
            <w:vAlign w:val="center"/>
          </w:tcPr>
          <w:p w14:paraId="0C3C344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猫头刺旱生杂类草荒漠</w:t>
            </w:r>
          </w:p>
        </w:tc>
        <w:tc>
          <w:tcPr>
            <w:tcW w:w="796" w:type="pct"/>
            <w:shd w:val="clear" w:color="auto" w:fill="auto"/>
            <w:noWrap/>
            <w:vAlign w:val="center"/>
          </w:tcPr>
          <w:p w14:paraId="7CAF098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135.38</w:t>
            </w:r>
          </w:p>
        </w:tc>
        <w:tc>
          <w:tcPr>
            <w:tcW w:w="796" w:type="pct"/>
            <w:shd w:val="clear" w:color="auto" w:fill="auto"/>
            <w:noWrap/>
            <w:vAlign w:val="center"/>
          </w:tcPr>
          <w:p w14:paraId="620E13B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43.10</w:t>
            </w:r>
          </w:p>
        </w:tc>
        <w:tc>
          <w:tcPr>
            <w:tcW w:w="796" w:type="pct"/>
            <w:shd w:val="clear" w:color="auto" w:fill="auto"/>
            <w:noWrap/>
            <w:vAlign w:val="center"/>
          </w:tcPr>
          <w:p w14:paraId="5116C41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25.40</w:t>
            </w:r>
          </w:p>
        </w:tc>
        <w:tc>
          <w:tcPr>
            <w:tcW w:w="796" w:type="pct"/>
            <w:shd w:val="clear" w:color="auto" w:fill="auto"/>
            <w:noWrap/>
            <w:vAlign w:val="center"/>
          </w:tcPr>
          <w:p w14:paraId="716EAA0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29.53</w:t>
            </w:r>
          </w:p>
        </w:tc>
      </w:tr>
      <w:tr w:rsidR="009C353B" w14:paraId="564D2B7D" w14:textId="77777777">
        <w:trPr>
          <w:trHeight w:val="285"/>
        </w:trPr>
        <w:tc>
          <w:tcPr>
            <w:tcW w:w="1817" w:type="pct"/>
            <w:shd w:val="clear" w:color="auto" w:fill="auto"/>
            <w:noWrap/>
            <w:vAlign w:val="center"/>
          </w:tcPr>
          <w:p w14:paraId="2317519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草原带沙生植被</w:t>
            </w:r>
          </w:p>
        </w:tc>
        <w:tc>
          <w:tcPr>
            <w:tcW w:w="796" w:type="pct"/>
            <w:shd w:val="clear" w:color="auto" w:fill="auto"/>
            <w:noWrap/>
            <w:vAlign w:val="center"/>
          </w:tcPr>
          <w:p w14:paraId="50A2027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9.17</w:t>
            </w:r>
          </w:p>
        </w:tc>
        <w:tc>
          <w:tcPr>
            <w:tcW w:w="796" w:type="pct"/>
            <w:shd w:val="clear" w:color="auto" w:fill="auto"/>
            <w:noWrap/>
            <w:vAlign w:val="center"/>
          </w:tcPr>
          <w:p w14:paraId="72449B2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2.92</w:t>
            </w:r>
          </w:p>
        </w:tc>
        <w:tc>
          <w:tcPr>
            <w:tcW w:w="796" w:type="pct"/>
            <w:shd w:val="clear" w:color="auto" w:fill="auto"/>
            <w:noWrap/>
            <w:vAlign w:val="center"/>
          </w:tcPr>
          <w:p w14:paraId="4D018C9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w:t>
            </w:r>
          </w:p>
        </w:tc>
        <w:tc>
          <w:tcPr>
            <w:tcW w:w="796" w:type="pct"/>
            <w:shd w:val="clear" w:color="auto" w:fill="auto"/>
            <w:noWrap/>
            <w:vAlign w:val="center"/>
          </w:tcPr>
          <w:p w14:paraId="4F7BAA9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0.00</w:t>
            </w:r>
          </w:p>
        </w:tc>
      </w:tr>
      <w:tr w:rsidR="009C353B" w14:paraId="1CAA42C7" w14:textId="77777777">
        <w:trPr>
          <w:trHeight w:val="285"/>
        </w:trPr>
        <w:tc>
          <w:tcPr>
            <w:tcW w:w="1817" w:type="pct"/>
            <w:shd w:val="clear" w:color="auto" w:fill="auto"/>
            <w:noWrap/>
            <w:vAlign w:val="center"/>
          </w:tcPr>
          <w:p w14:paraId="698A4E2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合计</w:t>
            </w:r>
          </w:p>
        </w:tc>
        <w:tc>
          <w:tcPr>
            <w:tcW w:w="796" w:type="pct"/>
            <w:shd w:val="clear" w:color="auto" w:fill="auto"/>
            <w:noWrap/>
            <w:vAlign w:val="center"/>
          </w:tcPr>
          <w:p w14:paraId="79E5E02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255.47</w:t>
            </w:r>
          </w:p>
        </w:tc>
        <w:tc>
          <w:tcPr>
            <w:tcW w:w="796" w:type="pct"/>
            <w:shd w:val="clear" w:color="auto" w:fill="auto"/>
            <w:noWrap/>
            <w:vAlign w:val="center"/>
          </w:tcPr>
          <w:p w14:paraId="02D5F14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81.33</w:t>
            </w:r>
          </w:p>
        </w:tc>
        <w:tc>
          <w:tcPr>
            <w:tcW w:w="796" w:type="pct"/>
            <w:shd w:val="clear" w:color="auto" w:fill="auto"/>
            <w:noWrap/>
            <w:vAlign w:val="center"/>
          </w:tcPr>
          <w:p w14:paraId="6496A71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72.64</w:t>
            </w:r>
          </w:p>
        </w:tc>
        <w:tc>
          <w:tcPr>
            <w:tcW w:w="796" w:type="pct"/>
            <w:shd w:val="clear" w:color="auto" w:fill="auto"/>
            <w:noWrap/>
            <w:vAlign w:val="center"/>
          </w:tcPr>
          <w:p w14:paraId="0294AC7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84.47</w:t>
            </w:r>
          </w:p>
        </w:tc>
      </w:tr>
    </w:tbl>
    <w:p w14:paraId="4AD0A07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）植物资源</w:t>
      </w:r>
    </w:p>
    <w:p w14:paraId="40A7D8D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本区以旱生化的植物种类为特征，猫头刺等是本区最具代表性的植物，人工植被主要以柠条、沙枣、花棒、杨柴、沙柳等为主。评价区的优势植物和常见植物名录见表</w:t>
      </w:r>
      <w:r>
        <w:rPr>
          <w:rFonts w:ascii="Times New Roman" w:hAnsi="Times New Roman" w:hint="eastAsia"/>
          <w:szCs w:val="24"/>
        </w:rPr>
        <w:t>3.4-17</w:t>
      </w:r>
      <w:r>
        <w:rPr>
          <w:rFonts w:ascii="Times New Roman" w:hAnsi="Times New Roman" w:hint="eastAsia"/>
          <w:szCs w:val="24"/>
        </w:rPr>
        <w:t>，其中沙冬青为国家二级保护野生植物。</w:t>
      </w:r>
    </w:p>
    <w:p w14:paraId="0237202E" w14:textId="77777777" w:rsidR="009C353B" w:rsidRDefault="00000000">
      <w:pPr>
        <w:spacing w:line="500" w:lineRule="exact"/>
        <w:jc w:val="center"/>
        <w:rPr>
          <w:rFonts w:ascii="Times New Roman" w:hAnsi="Times New Roman"/>
          <w:b/>
          <w:szCs w:val="24"/>
        </w:rPr>
      </w:pPr>
      <w:r>
        <w:rPr>
          <w:rFonts w:ascii="Times New Roman" w:hAnsi="Times New Roman"/>
          <w:b/>
          <w:szCs w:val="24"/>
        </w:rPr>
        <w:t>评价区常见植被名录</w:t>
      </w:r>
    </w:p>
    <w:p w14:paraId="17DA374A" w14:textId="77777777" w:rsidR="009C353B" w:rsidRDefault="00000000">
      <w:pPr>
        <w:jc w:val="left"/>
        <w:outlineLvl w:val="4"/>
        <w:rPr>
          <w:rFonts w:ascii="Times New Roman" w:hAnsi="Times New Roman"/>
          <w:szCs w:val="24"/>
        </w:rPr>
      </w:pPr>
      <w:r>
        <w:rPr>
          <w:rFonts w:ascii="Times New Roman" w:hAnsi="Times New Roman"/>
          <w:szCs w:val="24"/>
        </w:rPr>
        <w:t>表</w:t>
      </w:r>
      <w:r>
        <w:rPr>
          <w:rFonts w:ascii="Times New Roman" w:hAnsi="Times New Roman" w:hint="eastAsia"/>
          <w:szCs w:val="24"/>
        </w:rPr>
        <w:t>3.4-17</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5"/>
        <w:gridCol w:w="1423"/>
        <w:gridCol w:w="4368"/>
        <w:gridCol w:w="1196"/>
        <w:gridCol w:w="1426"/>
      </w:tblGrid>
      <w:tr w:rsidR="009C353B" w14:paraId="6CA2C96F" w14:textId="77777777">
        <w:trPr>
          <w:trHeight w:val="312"/>
          <w:tblHeader/>
        </w:trPr>
        <w:tc>
          <w:tcPr>
            <w:tcW w:w="515" w:type="dxa"/>
            <w:tcMar>
              <w:left w:w="28" w:type="dxa"/>
              <w:right w:w="28" w:type="dxa"/>
            </w:tcMar>
            <w:vAlign w:val="center"/>
          </w:tcPr>
          <w:p w14:paraId="2987DCAA" w14:textId="77777777" w:rsidR="009C353B" w:rsidRDefault="00000000">
            <w:pPr>
              <w:spacing w:line="240" w:lineRule="exact"/>
              <w:jc w:val="center"/>
              <w:rPr>
                <w:rFonts w:hint="eastAsia"/>
                <w:sz w:val="21"/>
                <w:szCs w:val="21"/>
              </w:rPr>
            </w:pPr>
            <w:bookmarkStart w:id="130" w:name="_Hlk48033947"/>
            <w:r>
              <w:rPr>
                <w:sz w:val="21"/>
                <w:szCs w:val="21"/>
              </w:rPr>
              <w:t>序号</w:t>
            </w:r>
          </w:p>
        </w:tc>
        <w:tc>
          <w:tcPr>
            <w:tcW w:w="1423" w:type="dxa"/>
            <w:tcMar>
              <w:left w:w="28" w:type="dxa"/>
              <w:right w:w="28" w:type="dxa"/>
            </w:tcMar>
            <w:vAlign w:val="center"/>
          </w:tcPr>
          <w:p w14:paraId="5C293AE0" w14:textId="77777777" w:rsidR="009C353B" w:rsidRDefault="00000000">
            <w:pPr>
              <w:spacing w:line="240" w:lineRule="exact"/>
              <w:jc w:val="center"/>
              <w:rPr>
                <w:rFonts w:hint="eastAsia"/>
                <w:sz w:val="21"/>
                <w:szCs w:val="21"/>
              </w:rPr>
            </w:pPr>
            <w:r>
              <w:rPr>
                <w:sz w:val="21"/>
                <w:szCs w:val="21"/>
              </w:rPr>
              <w:t>中文名</w:t>
            </w:r>
          </w:p>
        </w:tc>
        <w:tc>
          <w:tcPr>
            <w:tcW w:w="4368" w:type="dxa"/>
            <w:tcMar>
              <w:left w:w="28" w:type="dxa"/>
              <w:right w:w="28" w:type="dxa"/>
            </w:tcMar>
            <w:vAlign w:val="center"/>
          </w:tcPr>
          <w:p w14:paraId="34C48A67" w14:textId="77777777" w:rsidR="009C353B" w:rsidRDefault="00000000">
            <w:pPr>
              <w:spacing w:line="240" w:lineRule="exact"/>
              <w:jc w:val="center"/>
              <w:rPr>
                <w:rFonts w:hint="eastAsia"/>
                <w:sz w:val="21"/>
                <w:szCs w:val="21"/>
              </w:rPr>
            </w:pPr>
            <w:r>
              <w:rPr>
                <w:sz w:val="21"/>
                <w:szCs w:val="21"/>
              </w:rPr>
              <w:t>学名</w:t>
            </w:r>
          </w:p>
        </w:tc>
        <w:tc>
          <w:tcPr>
            <w:tcW w:w="1196" w:type="dxa"/>
            <w:tcMar>
              <w:left w:w="28" w:type="dxa"/>
              <w:right w:w="28" w:type="dxa"/>
            </w:tcMar>
            <w:vAlign w:val="center"/>
          </w:tcPr>
          <w:p w14:paraId="72FE61E3" w14:textId="77777777" w:rsidR="009C353B" w:rsidRDefault="00000000">
            <w:pPr>
              <w:spacing w:line="240" w:lineRule="exact"/>
              <w:jc w:val="center"/>
              <w:rPr>
                <w:rFonts w:hint="eastAsia"/>
                <w:sz w:val="21"/>
                <w:szCs w:val="21"/>
              </w:rPr>
            </w:pPr>
            <w:r>
              <w:rPr>
                <w:sz w:val="21"/>
                <w:szCs w:val="21"/>
              </w:rPr>
              <w:t>分布生境</w:t>
            </w:r>
          </w:p>
        </w:tc>
        <w:tc>
          <w:tcPr>
            <w:tcW w:w="1426" w:type="dxa"/>
            <w:tcMar>
              <w:left w:w="28" w:type="dxa"/>
              <w:right w:w="28" w:type="dxa"/>
            </w:tcMar>
            <w:vAlign w:val="center"/>
          </w:tcPr>
          <w:p w14:paraId="23FE44D1" w14:textId="77777777" w:rsidR="009C353B" w:rsidRDefault="00000000">
            <w:pPr>
              <w:spacing w:line="240" w:lineRule="exact"/>
              <w:jc w:val="center"/>
              <w:rPr>
                <w:rFonts w:hint="eastAsia"/>
                <w:sz w:val="21"/>
                <w:szCs w:val="21"/>
              </w:rPr>
            </w:pPr>
            <w:r>
              <w:rPr>
                <w:sz w:val="21"/>
                <w:szCs w:val="21"/>
              </w:rPr>
              <w:t>保护类型</w:t>
            </w:r>
          </w:p>
        </w:tc>
      </w:tr>
      <w:tr w:rsidR="009C353B" w14:paraId="4839543A" w14:textId="77777777">
        <w:trPr>
          <w:trHeight w:val="312"/>
        </w:trPr>
        <w:tc>
          <w:tcPr>
            <w:tcW w:w="515" w:type="dxa"/>
            <w:tcMar>
              <w:left w:w="28" w:type="dxa"/>
              <w:right w:w="28" w:type="dxa"/>
            </w:tcMar>
            <w:vAlign w:val="center"/>
          </w:tcPr>
          <w:p w14:paraId="3C169A6A" w14:textId="77777777" w:rsidR="009C353B" w:rsidRDefault="009C353B">
            <w:pPr>
              <w:spacing w:line="240" w:lineRule="exact"/>
              <w:jc w:val="center"/>
              <w:rPr>
                <w:rFonts w:hint="eastAsia"/>
                <w:sz w:val="21"/>
                <w:szCs w:val="21"/>
              </w:rPr>
            </w:pPr>
          </w:p>
        </w:tc>
        <w:tc>
          <w:tcPr>
            <w:tcW w:w="1423" w:type="dxa"/>
            <w:tcMar>
              <w:left w:w="28" w:type="dxa"/>
              <w:right w:w="28" w:type="dxa"/>
            </w:tcMar>
            <w:vAlign w:val="center"/>
          </w:tcPr>
          <w:p w14:paraId="4A2EAE59" w14:textId="77777777" w:rsidR="009C353B" w:rsidRDefault="00000000">
            <w:pPr>
              <w:spacing w:line="240" w:lineRule="exact"/>
              <w:jc w:val="center"/>
              <w:rPr>
                <w:rFonts w:hint="eastAsia"/>
                <w:sz w:val="21"/>
                <w:szCs w:val="21"/>
              </w:rPr>
            </w:pPr>
            <w:r>
              <w:rPr>
                <w:sz w:val="21"/>
                <w:szCs w:val="21"/>
              </w:rPr>
              <w:t>杨柳科</w:t>
            </w:r>
          </w:p>
        </w:tc>
        <w:tc>
          <w:tcPr>
            <w:tcW w:w="4368" w:type="dxa"/>
            <w:tcMar>
              <w:left w:w="28" w:type="dxa"/>
              <w:right w:w="28" w:type="dxa"/>
            </w:tcMar>
            <w:vAlign w:val="center"/>
          </w:tcPr>
          <w:p w14:paraId="7BE35E00" w14:textId="77777777" w:rsidR="009C353B" w:rsidRDefault="00000000">
            <w:pPr>
              <w:spacing w:line="240" w:lineRule="exact"/>
              <w:jc w:val="center"/>
              <w:rPr>
                <w:rFonts w:hint="eastAsia"/>
                <w:i/>
                <w:sz w:val="21"/>
                <w:szCs w:val="21"/>
              </w:rPr>
            </w:pPr>
            <w:r>
              <w:rPr>
                <w:i/>
                <w:sz w:val="21"/>
                <w:szCs w:val="21"/>
              </w:rPr>
              <w:t>Salicaceae</w:t>
            </w:r>
          </w:p>
        </w:tc>
        <w:tc>
          <w:tcPr>
            <w:tcW w:w="1196" w:type="dxa"/>
            <w:tcMar>
              <w:left w:w="28" w:type="dxa"/>
              <w:right w:w="28" w:type="dxa"/>
            </w:tcMar>
            <w:vAlign w:val="center"/>
          </w:tcPr>
          <w:p w14:paraId="5C9A25C0" w14:textId="77777777" w:rsidR="009C353B" w:rsidRDefault="009C353B">
            <w:pPr>
              <w:spacing w:line="240" w:lineRule="exact"/>
              <w:jc w:val="center"/>
              <w:rPr>
                <w:rFonts w:hint="eastAsia"/>
                <w:sz w:val="21"/>
                <w:szCs w:val="21"/>
              </w:rPr>
            </w:pPr>
          </w:p>
        </w:tc>
        <w:tc>
          <w:tcPr>
            <w:tcW w:w="1426" w:type="dxa"/>
            <w:tcMar>
              <w:left w:w="28" w:type="dxa"/>
              <w:right w:w="28" w:type="dxa"/>
            </w:tcMar>
            <w:vAlign w:val="center"/>
          </w:tcPr>
          <w:p w14:paraId="20A72B6A" w14:textId="77777777" w:rsidR="009C353B" w:rsidRDefault="009C353B">
            <w:pPr>
              <w:spacing w:line="240" w:lineRule="exact"/>
              <w:jc w:val="center"/>
              <w:rPr>
                <w:rFonts w:hint="eastAsia"/>
                <w:sz w:val="21"/>
                <w:szCs w:val="21"/>
              </w:rPr>
            </w:pPr>
          </w:p>
        </w:tc>
      </w:tr>
      <w:tr w:rsidR="009C353B" w14:paraId="082EF544" w14:textId="77777777">
        <w:trPr>
          <w:trHeight w:val="312"/>
        </w:trPr>
        <w:tc>
          <w:tcPr>
            <w:tcW w:w="515" w:type="dxa"/>
            <w:tcMar>
              <w:left w:w="28" w:type="dxa"/>
              <w:right w:w="28" w:type="dxa"/>
            </w:tcMar>
            <w:vAlign w:val="center"/>
          </w:tcPr>
          <w:p w14:paraId="5A61234A" w14:textId="77777777" w:rsidR="009C353B" w:rsidRDefault="00000000">
            <w:pPr>
              <w:spacing w:line="240" w:lineRule="exact"/>
              <w:jc w:val="center"/>
              <w:rPr>
                <w:rFonts w:hint="eastAsia"/>
                <w:sz w:val="21"/>
                <w:szCs w:val="21"/>
              </w:rPr>
            </w:pPr>
            <w:r>
              <w:rPr>
                <w:sz w:val="21"/>
                <w:szCs w:val="21"/>
              </w:rPr>
              <w:t>1</w:t>
            </w:r>
          </w:p>
        </w:tc>
        <w:tc>
          <w:tcPr>
            <w:tcW w:w="1423" w:type="dxa"/>
            <w:tcMar>
              <w:left w:w="28" w:type="dxa"/>
              <w:right w:w="28" w:type="dxa"/>
            </w:tcMar>
            <w:vAlign w:val="center"/>
          </w:tcPr>
          <w:p w14:paraId="5B93AF23" w14:textId="77777777" w:rsidR="009C353B" w:rsidRDefault="00000000">
            <w:pPr>
              <w:spacing w:line="240" w:lineRule="exact"/>
              <w:jc w:val="center"/>
              <w:rPr>
                <w:rFonts w:hint="eastAsia"/>
                <w:sz w:val="21"/>
                <w:szCs w:val="21"/>
              </w:rPr>
            </w:pPr>
            <w:r>
              <w:rPr>
                <w:sz w:val="21"/>
                <w:szCs w:val="21"/>
              </w:rPr>
              <w:t>沙柳</w:t>
            </w:r>
          </w:p>
        </w:tc>
        <w:tc>
          <w:tcPr>
            <w:tcW w:w="4368" w:type="dxa"/>
            <w:tcMar>
              <w:left w:w="28" w:type="dxa"/>
              <w:right w:w="28" w:type="dxa"/>
            </w:tcMar>
            <w:vAlign w:val="center"/>
          </w:tcPr>
          <w:p w14:paraId="4BB2C913" w14:textId="77777777" w:rsidR="009C353B" w:rsidRDefault="00000000">
            <w:pPr>
              <w:spacing w:line="240" w:lineRule="exact"/>
              <w:jc w:val="center"/>
              <w:rPr>
                <w:rFonts w:hint="eastAsia"/>
                <w:i/>
                <w:sz w:val="21"/>
                <w:szCs w:val="21"/>
              </w:rPr>
            </w:pPr>
            <w:r>
              <w:rPr>
                <w:i/>
                <w:sz w:val="21"/>
                <w:szCs w:val="21"/>
              </w:rPr>
              <w:t>Salix gilgiana O. VSeem.</w:t>
            </w:r>
          </w:p>
        </w:tc>
        <w:tc>
          <w:tcPr>
            <w:tcW w:w="1196" w:type="dxa"/>
            <w:tcMar>
              <w:left w:w="28" w:type="dxa"/>
              <w:right w:w="28" w:type="dxa"/>
            </w:tcMar>
            <w:vAlign w:val="center"/>
          </w:tcPr>
          <w:p w14:paraId="24D8C54E"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2B160E4A" w14:textId="77777777" w:rsidR="009C353B" w:rsidRDefault="009C353B">
            <w:pPr>
              <w:spacing w:line="240" w:lineRule="exact"/>
              <w:jc w:val="center"/>
              <w:rPr>
                <w:rFonts w:hint="eastAsia"/>
                <w:sz w:val="21"/>
                <w:szCs w:val="21"/>
              </w:rPr>
            </w:pPr>
          </w:p>
        </w:tc>
      </w:tr>
      <w:tr w:rsidR="009C353B" w14:paraId="1220DC11" w14:textId="77777777">
        <w:trPr>
          <w:trHeight w:val="312"/>
        </w:trPr>
        <w:tc>
          <w:tcPr>
            <w:tcW w:w="515" w:type="dxa"/>
            <w:tcMar>
              <w:left w:w="28" w:type="dxa"/>
              <w:right w:w="28" w:type="dxa"/>
            </w:tcMar>
            <w:vAlign w:val="center"/>
          </w:tcPr>
          <w:p w14:paraId="0C83F704" w14:textId="77777777" w:rsidR="009C353B" w:rsidRDefault="009C353B">
            <w:pPr>
              <w:spacing w:line="240" w:lineRule="exact"/>
              <w:jc w:val="center"/>
              <w:rPr>
                <w:rFonts w:hint="eastAsia"/>
                <w:sz w:val="21"/>
                <w:szCs w:val="21"/>
              </w:rPr>
            </w:pPr>
          </w:p>
        </w:tc>
        <w:tc>
          <w:tcPr>
            <w:tcW w:w="1423" w:type="dxa"/>
            <w:tcMar>
              <w:left w:w="28" w:type="dxa"/>
              <w:right w:w="28" w:type="dxa"/>
            </w:tcMar>
            <w:vAlign w:val="center"/>
          </w:tcPr>
          <w:p w14:paraId="3DA8089B" w14:textId="77777777" w:rsidR="009C353B" w:rsidRDefault="00000000">
            <w:pPr>
              <w:spacing w:line="240" w:lineRule="exact"/>
              <w:jc w:val="center"/>
              <w:rPr>
                <w:rFonts w:hint="eastAsia"/>
                <w:spacing w:val="8"/>
                <w:sz w:val="21"/>
                <w:szCs w:val="21"/>
              </w:rPr>
            </w:pPr>
            <w:r>
              <w:rPr>
                <w:rFonts w:hint="eastAsia"/>
                <w:spacing w:val="8"/>
                <w:sz w:val="21"/>
                <w:szCs w:val="21"/>
              </w:rPr>
              <w:t>藜科</w:t>
            </w:r>
          </w:p>
        </w:tc>
        <w:tc>
          <w:tcPr>
            <w:tcW w:w="4368" w:type="dxa"/>
            <w:tcMar>
              <w:left w:w="28" w:type="dxa"/>
              <w:right w:w="28" w:type="dxa"/>
            </w:tcMar>
            <w:vAlign w:val="center"/>
          </w:tcPr>
          <w:p w14:paraId="725EE5F7" w14:textId="77777777" w:rsidR="009C353B" w:rsidRDefault="00000000">
            <w:pPr>
              <w:spacing w:line="240" w:lineRule="exact"/>
              <w:jc w:val="center"/>
              <w:rPr>
                <w:rFonts w:hint="eastAsia"/>
                <w:i/>
                <w:sz w:val="21"/>
                <w:szCs w:val="21"/>
              </w:rPr>
            </w:pPr>
            <w:r>
              <w:rPr>
                <w:i/>
                <w:sz w:val="21"/>
                <w:szCs w:val="21"/>
              </w:rPr>
              <w:t>Chenopodiaceae</w:t>
            </w:r>
          </w:p>
        </w:tc>
        <w:tc>
          <w:tcPr>
            <w:tcW w:w="1196" w:type="dxa"/>
            <w:tcMar>
              <w:left w:w="28" w:type="dxa"/>
              <w:right w:w="28" w:type="dxa"/>
            </w:tcMar>
            <w:vAlign w:val="center"/>
          </w:tcPr>
          <w:p w14:paraId="3DA935C2" w14:textId="77777777" w:rsidR="009C353B" w:rsidRDefault="009C353B">
            <w:pPr>
              <w:spacing w:line="240" w:lineRule="exact"/>
              <w:jc w:val="center"/>
              <w:rPr>
                <w:rFonts w:hint="eastAsia"/>
                <w:sz w:val="21"/>
                <w:szCs w:val="21"/>
              </w:rPr>
            </w:pPr>
          </w:p>
        </w:tc>
        <w:tc>
          <w:tcPr>
            <w:tcW w:w="1426" w:type="dxa"/>
            <w:tcMar>
              <w:left w:w="28" w:type="dxa"/>
              <w:right w:w="28" w:type="dxa"/>
            </w:tcMar>
            <w:vAlign w:val="center"/>
          </w:tcPr>
          <w:p w14:paraId="1F80253A" w14:textId="77777777" w:rsidR="009C353B" w:rsidRDefault="009C353B">
            <w:pPr>
              <w:spacing w:line="240" w:lineRule="exact"/>
              <w:jc w:val="center"/>
              <w:rPr>
                <w:rFonts w:hint="eastAsia"/>
                <w:sz w:val="21"/>
                <w:szCs w:val="21"/>
              </w:rPr>
            </w:pPr>
          </w:p>
        </w:tc>
      </w:tr>
      <w:tr w:rsidR="009C353B" w14:paraId="7452F06D" w14:textId="77777777">
        <w:trPr>
          <w:trHeight w:val="312"/>
        </w:trPr>
        <w:tc>
          <w:tcPr>
            <w:tcW w:w="515" w:type="dxa"/>
            <w:tcMar>
              <w:left w:w="28" w:type="dxa"/>
              <w:right w:w="28" w:type="dxa"/>
            </w:tcMar>
            <w:vAlign w:val="center"/>
          </w:tcPr>
          <w:p w14:paraId="11A74248" w14:textId="77777777" w:rsidR="009C353B" w:rsidRDefault="00000000">
            <w:pPr>
              <w:spacing w:line="240" w:lineRule="exact"/>
              <w:jc w:val="center"/>
              <w:rPr>
                <w:rFonts w:hint="eastAsia"/>
                <w:sz w:val="21"/>
                <w:szCs w:val="21"/>
              </w:rPr>
            </w:pPr>
            <w:r>
              <w:rPr>
                <w:sz w:val="21"/>
                <w:szCs w:val="21"/>
              </w:rPr>
              <w:t>2</w:t>
            </w:r>
          </w:p>
        </w:tc>
        <w:tc>
          <w:tcPr>
            <w:tcW w:w="1423" w:type="dxa"/>
            <w:tcMar>
              <w:left w:w="28" w:type="dxa"/>
              <w:right w:w="28" w:type="dxa"/>
            </w:tcMar>
            <w:vAlign w:val="center"/>
          </w:tcPr>
          <w:p w14:paraId="58A69048" w14:textId="77777777" w:rsidR="009C353B" w:rsidRDefault="00000000">
            <w:pPr>
              <w:spacing w:line="240" w:lineRule="exact"/>
              <w:jc w:val="center"/>
              <w:rPr>
                <w:rFonts w:hint="eastAsia"/>
                <w:sz w:val="21"/>
                <w:szCs w:val="21"/>
              </w:rPr>
            </w:pPr>
            <w:r>
              <w:rPr>
                <w:rFonts w:hint="eastAsia"/>
                <w:spacing w:val="8"/>
                <w:sz w:val="21"/>
                <w:szCs w:val="21"/>
              </w:rPr>
              <w:t>木本猪毛菜</w:t>
            </w:r>
          </w:p>
        </w:tc>
        <w:tc>
          <w:tcPr>
            <w:tcW w:w="4368" w:type="dxa"/>
            <w:tcMar>
              <w:left w:w="28" w:type="dxa"/>
              <w:right w:w="28" w:type="dxa"/>
            </w:tcMar>
            <w:vAlign w:val="center"/>
          </w:tcPr>
          <w:p w14:paraId="08FA08FB" w14:textId="77777777" w:rsidR="009C353B" w:rsidRDefault="00000000">
            <w:pPr>
              <w:spacing w:line="240" w:lineRule="exact"/>
              <w:jc w:val="center"/>
              <w:rPr>
                <w:rFonts w:hint="eastAsia"/>
                <w:i/>
                <w:sz w:val="21"/>
                <w:szCs w:val="21"/>
              </w:rPr>
            </w:pPr>
            <w:r>
              <w:rPr>
                <w:i/>
                <w:sz w:val="21"/>
                <w:szCs w:val="21"/>
              </w:rPr>
              <w:t>Salsola arbuscula Pall.</w:t>
            </w:r>
          </w:p>
        </w:tc>
        <w:tc>
          <w:tcPr>
            <w:tcW w:w="1196" w:type="dxa"/>
            <w:tcMar>
              <w:left w:w="28" w:type="dxa"/>
              <w:right w:w="28" w:type="dxa"/>
            </w:tcMar>
            <w:vAlign w:val="center"/>
          </w:tcPr>
          <w:p w14:paraId="7B372B18"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0E7D347A" w14:textId="77777777" w:rsidR="009C353B" w:rsidRDefault="009C353B">
            <w:pPr>
              <w:spacing w:line="240" w:lineRule="exact"/>
              <w:jc w:val="center"/>
              <w:rPr>
                <w:rFonts w:hint="eastAsia"/>
                <w:sz w:val="21"/>
                <w:szCs w:val="21"/>
              </w:rPr>
            </w:pPr>
          </w:p>
        </w:tc>
      </w:tr>
      <w:tr w:rsidR="009C353B" w14:paraId="4B48193D" w14:textId="77777777">
        <w:trPr>
          <w:trHeight w:val="312"/>
        </w:trPr>
        <w:tc>
          <w:tcPr>
            <w:tcW w:w="515" w:type="dxa"/>
            <w:tcMar>
              <w:left w:w="28" w:type="dxa"/>
              <w:right w:w="28" w:type="dxa"/>
            </w:tcMar>
            <w:vAlign w:val="center"/>
          </w:tcPr>
          <w:p w14:paraId="2CDE8A13" w14:textId="77777777" w:rsidR="009C353B" w:rsidRDefault="00000000">
            <w:pPr>
              <w:spacing w:line="240" w:lineRule="exact"/>
              <w:jc w:val="center"/>
              <w:rPr>
                <w:rFonts w:hint="eastAsia"/>
                <w:sz w:val="21"/>
                <w:szCs w:val="21"/>
              </w:rPr>
            </w:pPr>
            <w:r>
              <w:rPr>
                <w:rFonts w:hint="eastAsia"/>
                <w:sz w:val="21"/>
                <w:szCs w:val="21"/>
              </w:rPr>
              <w:t>3</w:t>
            </w:r>
          </w:p>
        </w:tc>
        <w:tc>
          <w:tcPr>
            <w:tcW w:w="1423" w:type="dxa"/>
            <w:tcMar>
              <w:left w:w="28" w:type="dxa"/>
              <w:right w:w="28" w:type="dxa"/>
            </w:tcMar>
            <w:vAlign w:val="center"/>
          </w:tcPr>
          <w:p w14:paraId="7063B3C5" w14:textId="77777777" w:rsidR="009C353B" w:rsidRDefault="00000000">
            <w:pPr>
              <w:spacing w:line="240" w:lineRule="exact"/>
              <w:jc w:val="center"/>
              <w:rPr>
                <w:rFonts w:hint="eastAsia"/>
                <w:sz w:val="21"/>
                <w:szCs w:val="21"/>
              </w:rPr>
            </w:pPr>
            <w:r>
              <w:rPr>
                <w:sz w:val="21"/>
                <w:szCs w:val="21"/>
              </w:rPr>
              <w:t>盐爪爪</w:t>
            </w:r>
          </w:p>
        </w:tc>
        <w:tc>
          <w:tcPr>
            <w:tcW w:w="4368" w:type="dxa"/>
            <w:tcMar>
              <w:left w:w="28" w:type="dxa"/>
              <w:right w:w="28" w:type="dxa"/>
            </w:tcMar>
            <w:vAlign w:val="center"/>
          </w:tcPr>
          <w:p w14:paraId="3BF48799" w14:textId="77777777" w:rsidR="009C353B" w:rsidRDefault="00000000">
            <w:pPr>
              <w:spacing w:line="240" w:lineRule="exact"/>
              <w:jc w:val="center"/>
              <w:rPr>
                <w:rFonts w:hint="eastAsia"/>
                <w:i/>
                <w:sz w:val="21"/>
                <w:szCs w:val="21"/>
              </w:rPr>
            </w:pPr>
            <w:r>
              <w:rPr>
                <w:i/>
                <w:sz w:val="21"/>
                <w:szCs w:val="21"/>
              </w:rPr>
              <w:t>Kalidiumfoliatum(pall) Moq</w:t>
            </w:r>
          </w:p>
        </w:tc>
        <w:tc>
          <w:tcPr>
            <w:tcW w:w="1196" w:type="dxa"/>
            <w:tcMar>
              <w:left w:w="28" w:type="dxa"/>
              <w:right w:w="28" w:type="dxa"/>
            </w:tcMar>
            <w:vAlign w:val="center"/>
          </w:tcPr>
          <w:p w14:paraId="2F02DC50"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1BCAB9D6" w14:textId="77777777" w:rsidR="009C353B" w:rsidRDefault="009C353B">
            <w:pPr>
              <w:spacing w:line="240" w:lineRule="exact"/>
              <w:jc w:val="center"/>
              <w:rPr>
                <w:rFonts w:hint="eastAsia"/>
                <w:sz w:val="21"/>
                <w:szCs w:val="21"/>
              </w:rPr>
            </w:pPr>
          </w:p>
        </w:tc>
      </w:tr>
      <w:tr w:rsidR="009C353B" w14:paraId="2BCEB7A9" w14:textId="77777777">
        <w:trPr>
          <w:trHeight w:val="312"/>
        </w:trPr>
        <w:tc>
          <w:tcPr>
            <w:tcW w:w="515" w:type="dxa"/>
            <w:tcMar>
              <w:left w:w="28" w:type="dxa"/>
              <w:right w:w="28" w:type="dxa"/>
            </w:tcMar>
            <w:vAlign w:val="center"/>
          </w:tcPr>
          <w:p w14:paraId="27FD127A" w14:textId="77777777" w:rsidR="009C353B" w:rsidRDefault="00000000">
            <w:pPr>
              <w:spacing w:line="240" w:lineRule="exact"/>
              <w:jc w:val="center"/>
              <w:rPr>
                <w:rFonts w:hint="eastAsia"/>
                <w:sz w:val="21"/>
                <w:szCs w:val="21"/>
              </w:rPr>
            </w:pPr>
            <w:r>
              <w:rPr>
                <w:rFonts w:hint="eastAsia"/>
                <w:sz w:val="21"/>
                <w:szCs w:val="21"/>
              </w:rPr>
              <w:t>4</w:t>
            </w:r>
          </w:p>
        </w:tc>
        <w:tc>
          <w:tcPr>
            <w:tcW w:w="1423" w:type="dxa"/>
            <w:tcMar>
              <w:left w:w="28" w:type="dxa"/>
              <w:right w:w="28" w:type="dxa"/>
            </w:tcMar>
            <w:vAlign w:val="center"/>
          </w:tcPr>
          <w:p w14:paraId="32BA9994" w14:textId="77777777" w:rsidR="009C353B" w:rsidRDefault="00000000">
            <w:pPr>
              <w:spacing w:line="240" w:lineRule="exact"/>
              <w:jc w:val="center"/>
              <w:rPr>
                <w:rFonts w:hint="eastAsia"/>
                <w:sz w:val="21"/>
                <w:szCs w:val="21"/>
              </w:rPr>
            </w:pPr>
            <w:r>
              <w:rPr>
                <w:sz w:val="21"/>
                <w:szCs w:val="21"/>
              </w:rPr>
              <w:t>骆驼蓬</w:t>
            </w:r>
          </w:p>
        </w:tc>
        <w:tc>
          <w:tcPr>
            <w:tcW w:w="4368" w:type="dxa"/>
            <w:tcMar>
              <w:left w:w="28" w:type="dxa"/>
              <w:right w:w="28" w:type="dxa"/>
            </w:tcMar>
            <w:vAlign w:val="center"/>
          </w:tcPr>
          <w:p w14:paraId="3BA292A4" w14:textId="77777777" w:rsidR="009C353B" w:rsidRDefault="00000000">
            <w:pPr>
              <w:spacing w:line="240" w:lineRule="exact"/>
              <w:jc w:val="center"/>
              <w:rPr>
                <w:rFonts w:hint="eastAsia"/>
                <w:i/>
                <w:sz w:val="21"/>
                <w:szCs w:val="21"/>
              </w:rPr>
            </w:pPr>
            <w:r>
              <w:rPr>
                <w:i/>
                <w:sz w:val="21"/>
                <w:szCs w:val="21"/>
              </w:rPr>
              <w:t>Peganum harmala</w:t>
            </w:r>
          </w:p>
        </w:tc>
        <w:tc>
          <w:tcPr>
            <w:tcW w:w="1196" w:type="dxa"/>
            <w:tcMar>
              <w:left w:w="28" w:type="dxa"/>
              <w:right w:w="28" w:type="dxa"/>
            </w:tcMar>
            <w:vAlign w:val="center"/>
          </w:tcPr>
          <w:p w14:paraId="66E0692E"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4A2FEE1D" w14:textId="77777777" w:rsidR="009C353B" w:rsidRDefault="009C353B">
            <w:pPr>
              <w:spacing w:line="240" w:lineRule="exact"/>
              <w:jc w:val="center"/>
              <w:rPr>
                <w:rFonts w:hint="eastAsia"/>
                <w:sz w:val="21"/>
                <w:szCs w:val="21"/>
              </w:rPr>
            </w:pPr>
          </w:p>
        </w:tc>
      </w:tr>
      <w:tr w:rsidR="009C353B" w14:paraId="6A389921" w14:textId="77777777">
        <w:trPr>
          <w:trHeight w:val="312"/>
        </w:trPr>
        <w:tc>
          <w:tcPr>
            <w:tcW w:w="515" w:type="dxa"/>
            <w:tcMar>
              <w:left w:w="28" w:type="dxa"/>
              <w:right w:w="28" w:type="dxa"/>
            </w:tcMar>
            <w:vAlign w:val="center"/>
          </w:tcPr>
          <w:p w14:paraId="3468A22A" w14:textId="77777777" w:rsidR="009C353B" w:rsidRDefault="00000000">
            <w:pPr>
              <w:spacing w:line="240" w:lineRule="exact"/>
              <w:jc w:val="center"/>
              <w:rPr>
                <w:rFonts w:hint="eastAsia"/>
                <w:sz w:val="21"/>
                <w:szCs w:val="21"/>
              </w:rPr>
            </w:pPr>
            <w:r>
              <w:rPr>
                <w:rFonts w:hint="eastAsia"/>
                <w:sz w:val="21"/>
                <w:szCs w:val="21"/>
              </w:rPr>
              <w:t>5</w:t>
            </w:r>
          </w:p>
        </w:tc>
        <w:tc>
          <w:tcPr>
            <w:tcW w:w="1423" w:type="dxa"/>
            <w:tcMar>
              <w:left w:w="28" w:type="dxa"/>
              <w:right w:w="28" w:type="dxa"/>
            </w:tcMar>
            <w:vAlign w:val="center"/>
          </w:tcPr>
          <w:p w14:paraId="2D2201F2" w14:textId="77777777" w:rsidR="009C353B" w:rsidRDefault="00000000">
            <w:pPr>
              <w:spacing w:line="240" w:lineRule="exact"/>
              <w:jc w:val="center"/>
              <w:rPr>
                <w:rFonts w:hint="eastAsia"/>
                <w:sz w:val="21"/>
                <w:szCs w:val="21"/>
              </w:rPr>
            </w:pPr>
            <w:r>
              <w:rPr>
                <w:sz w:val="21"/>
                <w:szCs w:val="21"/>
              </w:rPr>
              <w:t>碱蓬</w:t>
            </w:r>
          </w:p>
        </w:tc>
        <w:tc>
          <w:tcPr>
            <w:tcW w:w="4368" w:type="dxa"/>
            <w:tcMar>
              <w:left w:w="28" w:type="dxa"/>
              <w:right w:w="28" w:type="dxa"/>
            </w:tcMar>
            <w:vAlign w:val="center"/>
          </w:tcPr>
          <w:p w14:paraId="0CB16ED8" w14:textId="77777777" w:rsidR="009C353B" w:rsidRDefault="00000000">
            <w:pPr>
              <w:spacing w:line="240" w:lineRule="exact"/>
              <w:jc w:val="center"/>
              <w:rPr>
                <w:rFonts w:hint="eastAsia"/>
                <w:i/>
                <w:sz w:val="21"/>
                <w:szCs w:val="21"/>
              </w:rPr>
            </w:pPr>
            <w:r>
              <w:rPr>
                <w:i/>
                <w:sz w:val="21"/>
                <w:szCs w:val="21"/>
              </w:rPr>
              <w:t>Suaeda glauca Bunge</w:t>
            </w:r>
          </w:p>
        </w:tc>
        <w:tc>
          <w:tcPr>
            <w:tcW w:w="1196" w:type="dxa"/>
            <w:tcMar>
              <w:left w:w="28" w:type="dxa"/>
              <w:right w:w="28" w:type="dxa"/>
            </w:tcMar>
            <w:vAlign w:val="center"/>
          </w:tcPr>
          <w:p w14:paraId="0DF6045A"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3211A6CB" w14:textId="77777777" w:rsidR="009C353B" w:rsidRDefault="009C353B">
            <w:pPr>
              <w:spacing w:line="240" w:lineRule="exact"/>
              <w:jc w:val="center"/>
              <w:rPr>
                <w:rFonts w:hint="eastAsia"/>
                <w:sz w:val="21"/>
                <w:szCs w:val="21"/>
              </w:rPr>
            </w:pPr>
          </w:p>
        </w:tc>
      </w:tr>
      <w:tr w:rsidR="009C353B" w14:paraId="28BDB11B" w14:textId="77777777">
        <w:trPr>
          <w:trHeight w:val="312"/>
        </w:trPr>
        <w:tc>
          <w:tcPr>
            <w:tcW w:w="515" w:type="dxa"/>
            <w:tcMar>
              <w:left w:w="28" w:type="dxa"/>
              <w:right w:w="28" w:type="dxa"/>
            </w:tcMar>
            <w:vAlign w:val="center"/>
          </w:tcPr>
          <w:p w14:paraId="18576999" w14:textId="77777777" w:rsidR="009C353B" w:rsidRDefault="00000000">
            <w:pPr>
              <w:spacing w:line="240" w:lineRule="exact"/>
              <w:jc w:val="center"/>
              <w:rPr>
                <w:rFonts w:hint="eastAsia"/>
                <w:sz w:val="21"/>
                <w:szCs w:val="21"/>
              </w:rPr>
            </w:pPr>
            <w:r>
              <w:rPr>
                <w:rFonts w:hint="eastAsia"/>
                <w:sz w:val="21"/>
                <w:szCs w:val="21"/>
              </w:rPr>
              <w:t>6</w:t>
            </w:r>
          </w:p>
        </w:tc>
        <w:tc>
          <w:tcPr>
            <w:tcW w:w="1423" w:type="dxa"/>
            <w:tcMar>
              <w:left w:w="28" w:type="dxa"/>
              <w:right w:w="28" w:type="dxa"/>
            </w:tcMar>
            <w:vAlign w:val="center"/>
          </w:tcPr>
          <w:p w14:paraId="6C7AC78E" w14:textId="77777777" w:rsidR="009C353B" w:rsidRDefault="00000000">
            <w:pPr>
              <w:spacing w:line="240" w:lineRule="exact"/>
              <w:jc w:val="center"/>
              <w:rPr>
                <w:rFonts w:hint="eastAsia"/>
                <w:sz w:val="21"/>
                <w:szCs w:val="21"/>
              </w:rPr>
            </w:pPr>
            <w:r>
              <w:rPr>
                <w:sz w:val="21"/>
                <w:szCs w:val="21"/>
              </w:rPr>
              <w:t>沙蓬</w:t>
            </w:r>
          </w:p>
        </w:tc>
        <w:tc>
          <w:tcPr>
            <w:tcW w:w="4368" w:type="dxa"/>
            <w:tcMar>
              <w:left w:w="28" w:type="dxa"/>
              <w:right w:w="28" w:type="dxa"/>
            </w:tcMar>
            <w:vAlign w:val="center"/>
          </w:tcPr>
          <w:p w14:paraId="3D467C89" w14:textId="77777777" w:rsidR="009C353B" w:rsidRDefault="00000000">
            <w:pPr>
              <w:spacing w:line="240" w:lineRule="exact"/>
              <w:jc w:val="center"/>
              <w:rPr>
                <w:rFonts w:hint="eastAsia"/>
                <w:i/>
                <w:sz w:val="21"/>
                <w:szCs w:val="21"/>
              </w:rPr>
            </w:pPr>
            <w:r>
              <w:rPr>
                <w:i/>
                <w:sz w:val="21"/>
                <w:szCs w:val="21"/>
              </w:rPr>
              <w:t>Squarrosum(L.)Moq.</w:t>
            </w:r>
          </w:p>
        </w:tc>
        <w:tc>
          <w:tcPr>
            <w:tcW w:w="1196" w:type="dxa"/>
            <w:tcMar>
              <w:left w:w="28" w:type="dxa"/>
              <w:right w:w="28" w:type="dxa"/>
            </w:tcMar>
            <w:vAlign w:val="center"/>
          </w:tcPr>
          <w:p w14:paraId="5424679D"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13A7D5B1" w14:textId="77777777" w:rsidR="009C353B" w:rsidRDefault="009C353B">
            <w:pPr>
              <w:spacing w:line="240" w:lineRule="exact"/>
              <w:jc w:val="center"/>
              <w:rPr>
                <w:rFonts w:hint="eastAsia"/>
                <w:sz w:val="21"/>
                <w:szCs w:val="21"/>
              </w:rPr>
            </w:pPr>
          </w:p>
        </w:tc>
      </w:tr>
      <w:tr w:rsidR="009C353B" w14:paraId="77A66393" w14:textId="77777777">
        <w:trPr>
          <w:trHeight w:val="312"/>
        </w:trPr>
        <w:tc>
          <w:tcPr>
            <w:tcW w:w="515" w:type="dxa"/>
            <w:tcMar>
              <w:left w:w="28" w:type="dxa"/>
              <w:right w:w="28" w:type="dxa"/>
            </w:tcMar>
            <w:vAlign w:val="center"/>
          </w:tcPr>
          <w:p w14:paraId="10402F6E" w14:textId="77777777" w:rsidR="009C353B" w:rsidRDefault="00000000">
            <w:pPr>
              <w:spacing w:line="240" w:lineRule="exact"/>
              <w:jc w:val="center"/>
              <w:rPr>
                <w:rFonts w:hint="eastAsia"/>
                <w:sz w:val="21"/>
                <w:szCs w:val="21"/>
              </w:rPr>
            </w:pPr>
            <w:r>
              <w:rPr>
                <w:rFonts w:hint="eastAsia"/>
                <w:sz w:val="21"/>
                <w:szCs w:val="21"/>
              </w:rPr>
              <w:t>7</w:t>
            </w:r>
          </w:p>
        </w:tc>
        <w:tc>
          <w:tcPr>
            <w:tcW w:w="1423" w:type="dxa"/>
            <w:tcMar>
              <w:left w:w="28" w:type="dxa"/>
              <w:right w:w="28" w:type="dxa"/>
            </w:tcMar>
            <w:vAlign w:val="center"/>
          </w:tcPr>
          <w:p w14:paraId="0968418B" w14:textId="77777777" w:rsidR="009C353B" w:rsidRDefault="00000000">
            <w:pPr>
              <w:spacing w:line="240" w:lineRule="exact"/>
              <w:jc w:val="center"/>
              <w:rPr>
                <w:rFonts w:hint="eastAsia"/>
                <w:sz w:val="21"/>
                <w:szCs w:val="21"/>
              </w:rPr>
            </w:pPr>
            <w:r>
              <w:rPr>
                <w:sz w:val="21"/>
                <w:szCs w:val="21"/>
              </w:rPr>
              <w:t>珍珠柴</w:t>
            </w:r>
          </w:p>
        </w:tc>
        <w:tc>
          <w:tcPr>
            <w:tcW w:w="4368" w:type="dxa"/>
            <w:tcMar>
              <w:left w:w="28" w:type="dxa"/>
              <w:right w:w="28" w:type="dxa"/>
            </w:tcMar>
            <w:vAlign w:val="center"/>
          </w:tcPr>
          <w:p w14:paraId="7FA715E8" w14:textId="77777777" w:rsidR="009C353B" w:rsidRDefault="00000000">
            <w:pPr>
              <w:spacing w:line="240" w:lineRule="exact"/>
              <w:jc w:val="center"/>
              <w:rPr>
                <w:rFonts w:hint="eastAsia"/>
                <w:i/>
                <w:sz w:val="21"/>
                <w:szCs w:val="21"/>
              </w:rPr>
            </w:pPr>
            <w:r>
              <w:rPr>
                <w:i/>
                <w:sz w:val="21"/>
                <w:szCs w:val="21"/>
              </w:rPr>
              <w:t>Salsola passerina Bunge</w:t>
            </w:r>
          </w:p>
        </w:tc>
        <w:tc>
          <w:tcPr>
            <w:tcW w:w="1196" w:type="dxa"/>
            <w:tcMar>
              <w:left w:w="28" w:type="dxa"/>
              <w:right w:w="28" w:type="dxa"/>
            </w:tcMar>
            <w:vAlign w:val="center"/>
          </w:tcPr>
          <w:p w14:paraId="48007020"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53DA456E" w14:textId="77777777" w:rsidR="009C353B" w:rsidRDefault="009C353B">
            <w:pPr>
              <w:spacing w:line="240" w:lineRule="exact"/>
              <w:jc w:val="center"/>
              <w:rPr>
                <w:rFonts w:hint="eastAsia"/>
                <w:sz w:val="21"/>
                <w:szCs w:val="21"/>
              </w:rPr>
            </w:pPr>
          </w:p>
        </w:tc>
      </w:tr>
      <w:tr w:rsidR="009C353B" w14:paraId="2D4212DD" w14:textId="77777777">
        <w:trPr>
          <w:trHeight w:val="312"/>
        </w:trPr>
        <w:tc>
          <w:tcPr>
            <w:tcW w:w="515" w:type="dxa"/>
            <w:tcMar>
              <w:left w:w="28" w:type="dxa"/>
              <w:right w:w="28" w:type="dxa"/>
            </w:tcMar>
            <w:vAlign w:val="center"/>
          </w:tcPr>
          <w:p w14:paraId="4546FDB5" w14:textId="77777777" w:rsidR="009C353B" w:rsidRDefault="009C353B">
            <w:pPr>
              <w:spacing w:line="240" w:lineRule="exact"/>
              <w:jc w:val="center"/>
              <w:rPr>
                <w:rFonts w:hint="eastAsia"/>
                <w:sz w:val="21"/>
                <w:szCs w:val="21"/>
              </w:rPr>
            </w:pPr>
          </w:p>
        </w:tc>
        <w:tc>
          <w:tcPr>
            <w:tcW w:w="1423" w:type="dxa"/>
            <w:tcMar>
              <w:left w:w="28" w:type="dxa"/>
              <w:right w:w="28" w:type="dxa"/>
            </w:tcMar>
            <w:vAlign w:val="center"/>
          </w:tcPr>
          <w:p w14:paraId="4F7FD39B" w14:textId="77777777" w:rsidR="009C353B" w:rsidRDefault="00000000">
            <w:pPr>
              <w:spacing w:line="240" w:lineRule="exact"/>
              <w:jc w:val="center"/>
              <w:rPr>
                <w:rFonts w:hint="eastAsia"/>
                <w:sz w:val="21"/>
                <w:szCs w:val="21"/>
              </w:rPr>
            </w:pPr>
            <w:r>
              <w:rPr>
                <w:sz w:val="21"/>
                <w:szCs w:val="21"/>
              </w:rPr>
              <w:t>蔷薇科</w:t>
            </w:r>
          </w:p>
        </w:tc>
        <w:tc>
          <w:tcPr>
            <w:tcW w:w="4368" w:type="dxa"/>
            <w:tcMar>
              <w:left w:w="28" w:type="dxa"/>
              <w:right w:w="28" w:type="dxa"/>
            </w:tcMar>
            <w:vAlign w:val="center"/>
          </w:tcPr>
          <w:p w14:paraId="75E5CCC1" w14:textId="77777777" w:rsidR="009C353B" w:rsidRDefault="00000000">
            <w:pPr>
              <w:spacing w:line="240" w:lineRule="exact"/>
              <w:jc w:val="center"/>
              <w:rPr>
                <w:rFonts w:hint="eastAsia"/>
                <w:i/>
                <w:sz w:val="21"/>
                <w:szCs w:val="21"/>
              </w:rPr>
            </w:pPr>
            <w:r>
              <w:rPr>
                <w:i/>
                <w:sz w:val="21"/>
                <w:szCs w:val="21"/>
              </w:rPr>
              <w:t>Rosaceae</w:t>
            </w:r>
          </w:p>
        </w:tc>
        <w:tc>
          <w:tcPr>
            <w:tcW w:w="1196" w:type="dxa"/>
            <w:tcMar>
              <w:left w:w="28" w:type="dxa"/>
              <w:right w:w="28" w:type="dxa"/>
            </w:tcMar>
            <w:vAlign w:val="center"/>
          </w:tcPr>
          <w:p w14:paraId="0BECF417" w14:textId="77777777" w:rsidR="009C353B" w:rsidRDefault="009C353B">
            <w:pPr>
              <w:spacing w:line="240" w:lineRule="exact"/>
              <w:jc w:val="center"/>
              <w:rPr>
                <w:rFonts w:hint="eastAsia"/>
                <w:sz w:val="21"/>
                <w:szCs w:val="21"/>
              </w:rPr>
            </w:pPr>
          </w:p>
        </w:tc>
        <w:tc>
          <w:tcPr>
            <w:tcW w:w="1426" w:type="dxa"/>
            <w:tcMar>
              <w:left w:w="28" w:type="dxa"/>
              <w:right w:w="28" w:type="dxa"/>
            </w:tcMar>
            <w:vAlign w:val="center"/>
          </w:tcPr>
          <w:p w14:paraId="1C5CC018" w14:textId="77777777" w:rsidR="009C353B" w:rsidRDefault="009C353B">
            <w:pPr>
              <w:spacing w:line="240" w:lineRule="exact"/>
              <w:jc w:val="center"/>
              <w:rPr>
                <w:rFonts w:hint="eastAsia"/>
                <w:sz w:val="21"/>
                <w:szCs w:val="21"/>
              </w:rPr>
            </w:pPr>
          </w:p>
        </w:tc>
      </w:tr>
      <w:tr w:rsidR="009C353B" w14:paraId="395FA6E0" w14:textId="77777777">
        <w:trPr>
          <w:trHeight w:val="312"/>
        </w:trPr>
        <w:tc>
          <w:tcPr>
            <w:tcW w:w="515" w:type="dxa"/>
            <w:tcMar>
              <w:left w:w="28" w:type="dxa"/>
              <w:right w:w="28" w:type="dxa"/>
            </w:tcMar>
            <w:vAlign w:val="center"/>
          </w:tcPr>
          <w:p w14:paraId="5ADA8053" w14:textId="77777777" w:rsidR="009C353B" w:rsidRDefault="00000000">
            <w:pPr>
              <w:spacing w:line="240" w:lineRule="exact"/>
              <w:jc w:val="center"/>
              <w:rPr>
                <w:rFonts w:hint="eastAsia"/>
                <w:sz w:val="21"/>
                <w:szCs w:val="21"/>
              </w:rPr>
            </w:pPr>
            <w:r>
              <w:rPr>
                <w:rFonts w:hint="eastAsia"/>
                <w:sz w:val="21"/>
                <w:szCs w:val="21"/>
              </w:rPr>
              <w:t>7</w:t>
            </w:r>
          </w:p>
        </w:tc>
        <w:tc>
          <w:tcPr>
            <w:tcW w:w="1423" w:type="dxa"/>
            <w:tcMar>
              <w:left w:w="28" w:type="dxa"/>
              <w:right w:w="28" w:type="dxa"/>
            </w:tcMar>
            <w:vAlign w:val="center"/>
          </w:tcPr>
          <w:p w14:paraId="0B79DA67" w14:textId="77777777" w:rsidR="009C353B" w:rsidRDefault="00000000">
            <w:pPr>
              <w:spacing w:line="240" w:lineRule="exact"/>
              <w:jc w:val="center"/>
              <w:rPr>
                <w:rFonts w:hint="eastAsia"/>
                <w:sz w:val="21"/>
                <w:szCs w:val="21"/>
              </w:rPr>
            </w:pPr>
            <w:r>
              <w:rPr>
                <w:sz w:val="21"/>
                <w:szCs w:val="21"/>
              </w:rPr>
              <w:t>萎陵菜</w:t>
            </w:r>
          </w:p>
        </w:tc>
        <w:tc>
          <w:tcPr>
            <w:tcW w:w="4368" w:type="dxa"/>
            <w:tcMar>
              <w:left w:w="28" w:type="dxa"/>
              <w:right w:w="28" w:type="dxa"/>
            </w:tcMar>
            <w:vAlign w:val="center"/>
          </w:tcPr>
          <w:p w14:paraId="5CBC6A9F" w14:textId="77777777" w:rsidR="009C353B" w:rsidRDefault="00000000">
            <w:pPr>
              <w:spacing w:line="240" w:lineRule="exact"/>
              <w:jc w:val="center"/>
              <w:rPr>
                <w:rFonts w:hint="eastAsia"/>
                <w:i/>
                <w:sz w:val="21"/>
                <w:szCs w:val="21"/>
              </w:rPr>
            </w:pPr>
            <w:r>
              <w:rPr>
                <w:i/>
                <w:sz w:val="21"/>
                <w:szCs w:val="21"/>
              </w:rPr>
              <w:t>Potentilla chinensis Ser</w:t>
            </w:r>
          </w:p>
        </w:tc>
        <w:tc>
          <w:tcPr>
            <w:tcW w:w="1196" w:type="dxa"/>
            <w:tcMar>
              <w:left w:w="28" w:type="dxa"/>
              <w:right w:w="28" w:type="dxa"/>
            </w:tcMar>
            <w:vAlign w:val="center"/>
          </w:tcPr>
          <w:p w14:paraId="4353415C" w14:textId="77777777" w:rsidR="009C353B" w:rsidRDefault="00000000">
            <w:pPr>
              <w:spacing w:line="240" w:lineRule="exact"/>
              <w:jc w:val="center"/>
              <w:rPr>
                <w:rFonts w:hint="eastAsia"/>
                <w:sz w:val="21"/>
                <w:szCs w:val="21"/>
              </w:rPr>
            </w:pPr>
            <w:r>
              <w:rPr>
                <w:sz w:val="21"/>
                <w:szCs w:val="21"/>
              </w:rPr>
              <w:t>草地</w:t>
            </w:r>
          </w:p>
        </w:tc>
        <w:tc>
          <w:tcPr>
            <w:tcW w:w="1426" w:type="dxa"/>
            <w:tcMar>
              <w:left w:w="28" w:type="dxa"/>
              <w:right w:w="28" w:type="dxa"/>
            </w:tcMar>
            <w:vAlign w:val="center"/>
          </w:tcPr>
          <w:p w14:paraId="6BFF39F7" w14:textId="77777777" w:rsidR="009C353B" w:rsidRDefault="009C353B">
            <w:pPr>
              <w:spacing w:line="240" w:lineRule="exact"/>
              <w:jc w:val="center"/>
              <w:rPr>
                <w:rFonts w:hint="eastAsia"/>
                <w:sz w:val="21"/>
                <w:szCs w:val="21"/>
              </w:rPr>
            </w:pPr>
          </w:p>
        </w:tc>
      </w:tr>
      <w:tr w:rsidR="009C353B" w14:paraId="46DCE82D" w14:textId="77777777">
        <w:trPr>
          <w:trHeight w:val="312"/>
        </w:trPr>
        <w:tc>
          <w:tcPr>
            <w:tcW w:w="515" w:type="dxa"/>
            <w:tcMar>
              <w:left w:w="28" w:type="dxa"/>
              <w:right w:w="28" w:type="dxa"/>
            </w:tcMar>
            <w:vAlign w:val="center"/>
          </w:tcPr>
          <w:p w14:paraId="2591B9D1" w14:textId="77777777" w:rsidR="009C353B" w:rsidRDefault="009C353B">
            <w:pPr>
              <w:spacing w:line="240" w:lineRule="exact"/>
              <w:jc w:val="center"/>
              <w:rPr>
                <w:rFonts w:hint="eastAsia"/>
                <w:sz w:val="21"/>
                <w:szCs w:val="21"/>
              </w:rPr>
            </w:pPr>
          </w:p>
        </w:tc>
        <w:tc>
          <w:tcPr>
            <w:tcW w:w="1423" w:type="dxa"/>
            <w:tcMar>
              <w:left w:w="28" w:type="dxa"/>
              <w:right w:w="28" w:type="dxa"/>
            </w:tcMar>
            <w:vAlign w:val="center"/>
          </w:tcPr>
          <w:p w14:paraId="6292439E" w14:textId="77777777" w:rsidR="009C353B" w:rsidRDefault="00000000">
            <w:pPr>
              <w:spacing w:line="240" w:lineRule="exact"/>
              <w:jc w:val="center"/>
              <w:rPr>
                <w:rFonts w:hint="eastAsia"/>
                <w:sz w:val="21"/>
                <w:szCs w:val="21"/>
              </w:rPr>
            </w:pPr>
            <w:r>
              <w:rPr>
                <w:sz w:val="21"/>
                <w:szCs w:val="21"/>
              </w:rPr>
              <w:t>豆科</w:t>
            </w:r>
          </w:p>
        </w:tc>
        <w:tc>
          <w:tcPr>
            <w:tcW w:w="4368" w:type="dxa"/>
            <w:tcMar>
              <w:left w:w="28" w:type="dxa"/>
              <w:right w:w="28" w:type="dxa"/>
            </w:tcMar>
            <w:vAlign w:val="center"/>
          </w:tcPr>
          <w:p w14:paraId="2038E32F" w14:textId="77777777" w:rsidR="009C353B" w:rsidRDefault="00000000">
            <w:pPr>
              <w:spacing w:line="240" w:lineRule="exact"/>
              <w:jc w:val="center"/>
              <w:rPr>
                <w:rFonts w:hint="eastAsia"/>
                <w:i/>
                <w:sz w:val="21"/>
                <w:szCs w:val="21"/>
              </w:rPr>
            </w:pPr>
            <w:r>
              <w:rPr>
                <w:i/>
                <w:sz w:val="21"/>
                <w:szCs w:val="21"/>
              </w:rPr>
              <w:t>Leguminosae</w:t>
            </w:r>
          </w:p>
        </w:tc>
        <w:tc>
          <w:tcPr>
            <w:tcW w:w="1196" w:type="dxa"/>
            <w:tcMar>
              <w:left w:w="28" w:type="dxa"/>
              <w:right w:w="28" w:type="dxa"/>
            </w:tcMar>
            <w:vAlign w:val="center"/>
          </w:tcPr>
          <w:p w14:paraId="4170534C" w14:textId="77777777" w:rsidR="009C353B" w:rsidRDefault="009C353B">
            <w:pPr>
              <w:spacing w:line="240" w:lineRule="exact"/>
              <w:jc w:val="center"/>
              <w:rPr>
                <w:rFonts w:hint="eastAsia"/>
                <w:sz w:val="21"/>
                <w:szCs w:val="21"/>
              </w:rPr>
            </w:pPr>
          </w:p>
        </w:tc>
        <w:tc>
          <w:tcPr>
            <w:tcW w:w="1426" w:type="dxa"/>
            <w:tcMar>
              <w:left w:w="28" w:type="dxa"/>
              <w:right w:w="28" w:type="dxa"/>
            </w:tcMar>
            <w:vAlign w:val="center"/>
          </w:tcPr>
          <w:p w14:paraId="0D38608E" w14:textId="77777777" w:rsidR="009C353B" w:rsidRDefault="009C353B">
            <w:pPr>
              <w:spacing w:line="240" w:lineRule="exact"/>
              <w:jc w:val="center"/>
              <w:rPr>
                <w:rFonts w:hint="eastAsia"/>
                <w:sz w:val="21"/>
                <w:szCs w:val="21"/>
              </w:rPr>
            </w:pPr>
          </w:p>
        </w:tc>
      </w:tr>
      <w:tr w:rsidR="009C353B" w14:paraId="3BE0C7D7" w14:textId="77777777">
        <w:trPr>
          <w:trHeight w:val="312"/>
        </w:trPr>
        <w:tc>
          <w:tcPr>
            <w:tcW w:w="515" w:type="dxa"/>
            <w:tcMar>
              <w:left w:w="28" w:type="dxa"/>
              <w:right w:w="28" w:type="dxa"/>
            </w:tcMar>
            <w:vAlign w:val="center"/>
          </w:tcPr>
          <w:p w14:paraId="23C3CFDB" w14:textId="77777777" w:rsidR="009C353B" w:rsidRDefault="00000000">
            <w:pPr>
              <w:spacing w:line="240" w:lineRule="exact"/>
              <w:jc w:val="center"/>
              <w:rPr>
                <w:rFonts w:hint="eastAsia"/>
                <w:sz w:val="21"/>
                <w:szCs w:val="21"/>
              </w:rPr>
            </w:pPr>
            <w:r>
              <w:rPr>
                <w:rFonts w:hint="eastAsia"/>
                <w:sz w:val="21"/>
                <w:szCs w:val="21"/>
              </w:rPr>
              <w:t>8</w:t>
            </w:r>
          </w:p>
        </w:tc>
        <w:tc>
          <w:tcPr>
            <w:tcW w:w="1423" w:type="dxa"/>
            <w:tcMar>
              <w:left w:w="28" w:type="dxa"/>
              <w:right w:w="28" w:type="dxa"/>
            </w:tcMar>
            <w:vAlign w:val="center"/>
          </w:tcPr>
          <w:p w14:paraId="2A09BF4E" w14:textId="77777777" w:rsidR="009C353B" w:rsidRDefault="00000000">
            <w:pPr>
              <w:spacing w:line="240" w:lineRule="exact"/>
              <w:jc w:val="center"/>
              <w:rPr>
                <w:rFonts w:hint="eastAsia"/>
                <w:sz w:val="21"/>
                <w:szCs w:val="21"/>
              </w:rPr>
            </w:pPr>
            <w:r>
              <w:rPr>
                <w:sz w:val="21"/>
                <w:szCs w:val="21"/>
              </w:rPr>
              <w:t>沙冬青</w:t>
            </w:r>
          </w:p>
        </w:tc>
        <w:tc>
          <w:tcPr>
            <w:tcW w:w="4368" w:type="dxa"/>
            <w:tcMar>
              <w:left w:w="28" w:type="dxa"/>
              <w:right w:w="28" w:type="dxa"/>
            </w:tcMar>
            <w:vAlign w:val="center"/>
          </w:tcPr>
          <w:p w14:paraId="52FCD665" w14:textId="77777777" w:rsidR="009C353B" w:rsidRDefault="00000000">
            <w:pPr>
              <w:spacing w:line="240" w:lineRule="exact"/>
              <w:jc w:val="center"/>
              <w:rPr>
                <w:rFonts w:hint="eastAsia"/>
                <w:i/>
                <w:sz w:val="21"/>
                <w:szCs w:val="21"/>
              </w:rPr>
            </w:pPr>
            <w:r>
              <w:rPr>
                <w:i/>
                <w:sz w:val="21"/>
                <w:szCs w:val="21"/>
              </w:rPr>
              <w:t>Ammopiptanthusmongolicus (Maxim.) Cheng f.</w:t>
            </w:r>
          </w:p>
        </w:tc>
        <w:tc>
          <w:tcPr>
            <w:tcW w:w="1196" w:type="dxa"/>
            <w:tcMar>
              <w:left w:w="28" w:type="dxa"/>
              <w:right w:w="28" w:type="dxa"/>
            </w:tcMar>
            <w:vAlign w:val="center"/>
          </w:tcPr>
          <w:p w14:paraId="48B9D056"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1B7A3F72" w14:textId="77777777" w:rsidR="009C353B" w:rsidRDefault="00000000">
            <w:pPr>
              <w:spacing w:line="240" w:lineRule="exact"/>
              <w:jc w:val="center"/>
              <w:rPr>
                <w:rFonts w:hint="eastAsia"/>
                <w:sz w:val="21"/>
                <w:szCs w:val="21"/>
              </w:rPr>
            </w:pPr>
            <w:r>
              <w:rPr>
                <w:sz w:val="21"/>
                <w:szCs w:val="21"/>
              </w:rPr>
              <w:t>国家</w:t>
            </w:r>
            <w:r>
              <w:rPr>
                <w:rFonts w:hint="eastAsia"/>
                <w:sz w:val="21"/>
                <w:szCs w:val="21"/>
              </w:rPr>
              <w:t>二</w:t>
            </w:r>
            <w:r>
              <w:rPr>
                <w:sz w:val="21"/>
                <w:szCs w:val="21"/>
              </w:rPr>
              <w:t>级</w:t>
            </w:r>
          </w:p>
        </w:tc>
      </w:tr>
      <w:tr w:rsidR="009C353B" w14:paraId="631D0B1F" w14:textId="77777777">
        <w:trPr>
          <w:trHeight w:val="312"/>
        </w:trPr>
        <w:tc>
          <w:tcPr>
            <w:tcW w:w="515" w:type="dxa"/>
            <w:tcMar>
              <w:left w:w="28" w:type="dxa"/>
              <w:right w:w="28" w:type="dxa"/>
            </w:tcMar>
            <w:vAlign w:val="center"/>
          </w:tcPr>
          <w:p w14:paraId="395F4B43" w14:textId="77777777" w:rsidR="009C353B" w:rsidRDefault="00000000">
            <w:pPr>
              <w:spacing w:line="240" w:lineRule="exact"/>
              <w:jc w:val="center"/>
              <w:rPr>
                <w:rFonts w:hint="eastAsia"/>
                <w:sz w:val="21"/>
                <w:szCs w:val="21"/>
              </w:rPr>
            </w:pPr>
            <w:r>
              <w:rPr>
                <w:rFonts w:hint="eastAsia"/>
                <w:sz w:val="21"/>
                <w:szCs w:val="21"/>
              </w:rPr>
              <w:t>9</w:t>
            </w:r>
          </w:p>
        </w:tc>
        <w:tc>
          <w:tcPr>
            <w:tcW w:w="1423" w:type="dxa"/>
            <w:tcMar>
              <w:left w:w="28" w:type="dxa"/>
              <w:right w:w="28" w:type="dxa"/>
            </w:tcMar>
            <w:vAlign w:val="center"/>
          </w:tcPr>
          <w:p w14:paraId="17D7201C" w14:textId="77777777" w:rsidR="009C353B" w:rsidRDefault="00000000">
            <w:pPr>
              <w:spacing w:line="240" w:lineRule="exact"/>
              <w:jc w:val="center"/>
              <w:rPr>
                <w:rFonts w:hint="eastAsia"/>
                <w:sz w:val="21"/>
                <w:szCs w:val="21"/>
              </w:rPr>
            </w:pPr>
            <w:r>
              <w:rPr>
                <w:sz w:val="21"/>
                <w:szCs w:val="21"/>
              </w:rPr>
              <w:t>骆驼刺</w:t>
            </w:r>
          </w:p>
        </w:tc>
        <w:tc>
          <w:tcPr>
            <w:tcW w:w="4368" w:type="dxa"/>
            <w:tcMar>
              <w:left w:w="28" w:type="dxa"/>
              <w:right w:w="28" w:type="dxa"/>
            </w:tcMar>
            <w:vAlign w:val="center"/>
          </w:tcPr>
          <w:p w14:paraId="32F792B0" w14:textId="77777777" w:rsidR="009C353B" w:rsidRDefault="00000000">
            <w:pPr>
              <w:spacing w:line="240" w:lineRule="exact"/>
              <w:jc w:val="center"/>
              <w:rPr>
                <w:rFonts w:hint="eastAsia"/>
                <w:i/>
                <w:sz w:val="21"/>
                <w:szCs w:val="21"/>
              </w:rPr>
            </w:pPr>
            <w:r>
              <w:rPr>
                <w:i/>
                <w:sz w:val="21"/>
                <w:szCs w:val="21"/>
              </w:rPr>
              <w:t>Alhagipaeudalhagi Desv.</w:t>
            </w:r>
          </w:p>
        </w:tc>
        <w:tc>
          <w:tcPr>
            <w:tcW w:w="1196" w:type="dxa"/>
            <w:tcMar>
              <w:left w:w="28" w:type="dxa"/>
              <w:right w:w="28" w:type="dxa"/>
            </w:tcMar>
            <w:vAlign w:val="center"/>
          </w:tcPr>
          <w:p w14:paraId="5EC32C79"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008E0330" w14:textId="77777777" w:rsidR="009C353B" w:rsidRDefault="009C353B">
            <w:pPr>
              <w:spacing w:line="240" w:lineRule="exact"/>
              <w:jc w:val="center"/>
              <w:rPr>
                <w:rFonts w:hint="eastAsia"/>
                <w:sz w:val="21"/>
                <w:szCs w:val="21"/>
              </w:rPr>
            </w:pPr>
          </w:p>
        </w:tc>
      </w:tr>
      <w:tr w:rsidR="009C353B" w14:paraId="51C9291C" w14:textId="77777777">
        <w:trPr>
          <w:trHeight w:val="312"/>
        </w:trPr>
        <w:tc>
          <w:tcPr>
            <w:tcW w:w="515" w:type="dxa"/>
            <w:tcMar>
              <w:left w:w="28" w:type="dxa"/>
              <w:right w:w="28" w:type="dxa"/>
            </w:tcMar>
            <w:vAlign w:val="center"/>
          </w:tcPr>
          <w:p w14:paraId="6C40976D" w14:textId="77777777" w:rsidR="009C353B" w:rsidRDefault="00000000">
            <w:pPr>
              <w:spacing w:line="240" w:lineRule="exact"/>
              <w:jc w:val="center"/>
              <w:rPr>
                <w:rFonts w:hint="eastAsia"/>
                <w:sz w:val="21"/>
                <w:szCs w:val="21"/>
              </w:rPr>
            </w:pPr>
            <w:r>
              <w:rPr>
                <w:sz w:val="21"/>
                <w:szCs w:val="21"/>
              </w:rPr>
              <w:t>1</w:t>
            </w:r>
            <w:r>
              <w:rPr>
                <w:rFonts w:hint="eastAsia"/>
                <w:sz w:val="21"/>
                <w:szCs w:val="21"/>
              </w:rPr>
              <w:t>0</w:t>
            </w:r>
          </w:p>
        </w:tc>
        <w:tc>
          <w:tcPr>
            <w:tcW w:w="1423" w:type="dxa"/>
            <w:tcMar>
              <w:left w:w="28" w:type="dxa"/>
              <w:right w:w="28" w:type="dxa"/>
            </w:tcMar>
            <w:vAlign w:val="center"/>
          </w:tcPr>
          <w:p w14:paraId="04FE1CDF" w14:textId="77777777" w:rsidR="009C353B" w:rsidRDefault="00000000">
            <w:pPr>
              <w:spacing w:line="240" w:lineRule="exact"/>
              <w:jc w:val="center"/>
              <w:rPr>
                <w:rFonts w:hint="eastAsia"/>
                <w:sz w:val="21"/>
                <w:szCs w:val="21"/>
              </w:rPr>
            </w:pPr>
            <w:r>
              <w:rPr>
                <w:sz w:val="21"/>
                <w:szCs w:val="21"/>
              </w:rPr>
              <w:t>草木犀</w:t>
            </w:r>
          </w:p>
        </w:tc>
        <w:tc>
          <w:tcPr>
            <w:tcW w:w="4368" w:type="dxa"/>
            <w:tcMar>
              <w:left w:w="28" w:type="dxa"/>
              <w:right w:w="28" w:type="dxa"/>
            </w:tcMar>
            <w:vAlign w:val="center"/>
          </w:tcPr>
          <w:p w14:paraId="23A65C9F" w14:textId="77777777" w:rsidR="009C353B" w:rsidRDefault="00000000">
            <w:pPr>
              <w:spacing w:line="240" w:lineRule="exact"/>
              <w:jc w:val="center"/>
              <w:rPr>
                <w:rFonts w:hint="eastAsia"/>
                <w:i/>
                <w:sz w:val="21"/>
                <w:szCs w:val="21"/>
              </w:rPr>
            </w:pPr>
            <w:r>
              <w:rPr>
                <w:i/>
                <w:sz w:val="21"/>
                <w:szCs w:val="21"/>
              </w:rPr>
              <w:t>Melilotus suaveolens Ledeb.</w:t>
            </w:r>
          </w:p>
        </w:tc>
        <w:tc>
          <w:tcPr>
            <w:tcW w:w="1196" w:type="dxa"/>
            <w:tcMar>
              <w:left w:w="28" w:type="dxa"/>
              <w:right w:w="28" w:type="dxa"/>
            </w:tcMar>
            <w:vAlign w:val="center"/>
          </w:tcPr>
          <w:p w14:paraId="403C0FC9" w14:textId="77777777" w:rsidR="009C353B" w:rsidRDefault="00000000">
            <w:pPr>
              <w:spacing w:line="240" w:lineRule="exact"/>
              <w:jc w:val="center"/>
              <w:rPr>
                <w:rFonts w:hint="eastAsia"/>
                <w:sz w:val="21"/>
                <w:szCs w:val="21"/>
              </w:rPr>
            </w:pPr>
            <w:r>
              <w:rPr>
                <w:sz w:val="21"/>
                <w:szCs w:val="21"/>
              </w:rPr>
              <w:t>草地</w:t>
            </w:r>
          </w:p>
        </w:tc>
        <w:tc>
          <w:tcPr>
            <w:tcW w:w="1426" w:type="dxa"/>
            <w:tcMar>
              <w:left w:w="28" w:type="dxa"/>
              <w:right w:w="28" w:type="dxa"/>
            </w:tcMar>
            <w:vAlign w:val="center"/>
          </w:tcPr>
          <w:p w14:paraId="5B366B8F" w14:textId="77777777" w:rsidR="009C353B" w:rsidRDefault="009C353B">
            <w:pPr>
              <w:spacing w:line="240" w:lineRule="exact"/>
              <w:jc w:val="center"/>
              <w:rPr>
                <w:rFonts w:hint="eastAsia"/>
                <w:sz w:val="21"/>
                <w:szCs w:val="21"/>
              </w:rPr>
            </w:pPr>
          </w:p>
        </w:tc>
      </w:tr>
      <w:tr w:rsidR="009C353B" w14:paraId="1E76F681" w14:textId="77777777">
        <w:trPr>
          <w:trHeight w:val="312"/>
        </w:trPr>
        <w:tc>
          <w:tcPr>
            <w:tcW w:w="515" w:type="dxa"/>
            <w:tcMar>
              <w:left w:w="28" w:type="dxa"/>
              <w:right w:w="28" w:type="dxa"/>
            </w:tcMar>
            <w:vAlign w:val="center"/>
          </w:tcPr>
          <w:p w14:paraId="2D3B010C" w14:textId="77777777" w:rsidR="009C353B" w:rsidRDefault="00000000">
            <w:pPr>
              <w:spacing w:line="240" w:lineRule="exact"/>
              <w:jc w:val="center"/>
              <w:rPr>
                <w:rFonts w:hint="eastAsia"/>
                <w:sz w:val="21"/>
                <w:szCs w:val="21"/>
              </w:rPr>
            </w:pPr>
            <w:r>
              <w:rPr>
                <w:sz w:val="21"/>
                <w:szCs w:val="21"/>
              </w:rPr>
              <w:t>1</w:t>
            </w:r>
            <w:r>
              <w:rPr>
                <w:rFonts w:hint="eastAsia"/>
                <w:sz w:val="21"/>
                <w:szCs w:val="21"/>
              </w:rPr>
              <w:t>1</w:t>
            </w:r>
          </w:p>
        </w:tc>
        <w:tc>
          <w:tcPr>
            <w:tcW w:w="1423" w:type="dxa"/>
            <w:tcMar>
              <w:left w:w="28" w:type="dxa"/>
              <w:right w:w="28" w:type="dxa"/>
            </w:tcMar>
            <w:vAlign w:val="center"/>
          </w:tcPr>
          <w:p w14:paraId="4BA3F616" w14:textId="77777777" w:rsidR="009C353B" w:rsidRDefault="00000000">
            <w:pPr>
              <w:spacing w:line="240" w:lineRule="exact"/>
              <w:jc w:val="center"/>
              <w:rPr>
                <w:rFonts w:hint="eastAsia"/>
                <w:sz w:val="21"/>
                <w:szCs w:val="21"/>
              </w:rPr>
            </w:pPr>
            <w:r>
              <w:rPr>
                <w:sz w:val="21"/>
                <w:szCs w:val="21"/>
              </w:rPr>
              <w:t>狭叶锦鸡儿</w:t>
            </w:r>
          </w:p>
        </w:tc>
        <w:tc>
          <w:tcPr>
            <w:tcW w:w="4368" w:type="dxa"/>
            <w:tcMar>
              <w:left w:w="28" w:type="dxa"/>
              <w:right w:w="28" w:type="dxa"/>
            </w:tcMar>
            <w:vAlign w:val="center"/>
          </w:tcPr>
          <w:p w14:paraId="6C2483D4" w14:textId="77777777" w:rsidR="009C353B" w:rsidRDefault="00000000">
            <w:pPr>
              <w:spacing w:line="240" w:lineRule="exact"/>
              <w:jc w:val="center"/>
              <w:rPr>
                <w:rFonts w:hint="eastAsia"/>
                <w:i/>
                <w:sz w:val="21"/>
                <w:szCs w:val="21"/>
              </w:rPr>
            </w:pPr>
            <w:r>
              <w:rPr>
                <w:i/>
                <w:sz w:val="21"/>
                <w:szCs w:val="21"/>
              </w:rPr>
              <w:t>Caragana stenophylla pojark</w:t>
            </w:r>
          </w:p>
        </w:tc>
        <w:tc>
          <w:tcPr>
            <w:tcW w:w="1196" w:type="dxa"/>
            <w:tcMar>
              <w:left w:w="28" w:type="dxa"/>
              <w:right w:w="28" w:type="dxa"/>
            </w:tcMar>
            <w:vAlign w:val="center"/>
          </w:tcPr>
          <w:p w14:paraId="4FE2540D"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38BF5043" w14:textId="77777777" w:rsidR="009C353B" w:rsidRDefault="009C353B">
            <w:pPr>
              <w:spacing w:line="240" w:lineRule="exact"/>
              <w:jc w:val="center"/>
              <w:rPr>
                <w:rFonts w:hint="eastAsia"/>
                <w:sz w:val="21"/>
                <w:szCs w:val="21"/>
              </w:rPr>
            </w:pPr>
          </w:p>
        </w:tc>
      </w:tr>
      <w:tr w:rsidR="009C353B" w14:paraId="3AB1FDD3" w14:textId="77777777">
        <w:trPr>
          <w:trHeight w:val="312"/>
        </w:trPr>
        <w:tc>
          <w:tcPr>
            <w:tcW w:w="515" w:type="dxa"/>
            <w:tcMar>
              <w:left w:w="28" w:type="dxa"/>
              <w:right w:w="28" w:type="dxa"/>
            </w:tcMar>
            <w:vAlign w:val="center"/>
          </w:tcPr>
          <w:p w14:paraId="54DB765F" w14:textId="77777777" w:rsidR="009C353B" w:rsidRDefault="00000000">
            <w:pPr>
              <w:spacing w:line="240" w:lineRule="exact"/>
              <w:jc w:val="center"/>
              <w:rPr>
                <w:rFonts w:hint="eastAsia"/>
                <w:sz w:val="21"/>
                <w:szCs w:val="21"/>
              </w:rPr>
            </w:pPr>
            <w:r>
              <w:rPr>
                <w:sz w:val="21"/>
                <w:szCs w:val="21"/>
              </w:rPr>
              <w:t>1</w:t>
            </w:r>
            <w:r>
              <w:rPr>
                <w:rFonts w:hint="eastAsia"/>
                <w:sz w:val="21"/>
                <w:szCs w:val="21"/>
              </w:rPr>
              <w:t>2</w:t>
            </w:r>
          </w:p>
        </w:tc>
        <w:tc>
          <w:tcPr>
            <w:tcW w:w="1423" w:type="dxa"/>
            <w:tcMar>
              <w:left w:w="28" w:type="dxa"/>
              <w:right w:w="28" w:type="dxa"/>
            </w:tcMar>
            <w:vAlign w:val="center"/>
          </w:tcPr>
          <w:p w14:paraId="02590D9B" w14:textId="77777777" w:rsidR="009C353B" w:rsidRDefault="00000000">
            <w:pPr>
              <w:spacing w:line="240" w:lineRule="exact"/>
              <w:jc w:val="center"/>
              <w:rPr>
                <w:rFonts w:hint="eastAsia"/>
                <w:sz w:val="21"/>
                <w:szCs w:val="21"/>
              </w:rPr>
            </w:pPr>
            <w:r>
              <w:rPr>
                <w:sz w:val="21"/>
                <w:szCs w:val="21"/>
              </w:rPr>
              <w:t>藏锦鸡儿</w:t>
            </w:r>
          </w:p>
        </w:tc>
        <w:tc>
          <w:tcPr>
            <w:tcW w:w="4368" w:type="dxa"/>
            <w:tcMar>
              <w:left w:w="28" w:type="dxa"/>
              <w:right w:w="28" w:type="dxa"/>
            </w:tcMar>
            <w:vAlign w:val="center"/>
          </w:tcPr>
          <w:p w14:paraId="2D6BA6C9" w14:textId="77777777" w:rsidR="009C353B" w:rsidRDefault="00000000">
            <w:pPr>
              <w:spacing w:line="240" w:lineRule="exact"/>
              <w:jc w:val="center"/>
              <w:rPr>
                <w:rFonts w:hint="eastAsia"/>
                <w:i/>
                <w:sz w:val="21"/>
                <w:szCs w:val="21"/>
              </w:rPr>
            </w:pPr>
            <w:r>
              <w:rPr>
                <w:i/>
                <w:sz w:val="21"/>
                <w:szCs w:val="21"/>
              </w:rPr>
              <w:t>Caragana tibetica Kom.</w:t>
            </w:r>
          </w:p>
        </w:tc>
        <w:tc>
          <w:tcPr>
            <w:tcW w:w="1196" w:type="dxa"/>
            <w:tcMar>
              <w:left w:w="28" w:type="dxa"/>
              <w:right w:w="28" w:type="dxa"/>
            </w:tcMar>
            <w:vAlign w:val="center"/>
          </w:tcPr>
          <w:p w14:paraId="15EA3EB2"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5673FCB1" w14:textId="77777777" w:rsidR="009C353B" w:rsidRDefault="009C353B">
            <w:pPr>
              <w:spacing w:line="240" w:lineRule="exact"/>
              <w:jc w:val="center"/>
              <w:rPr>
                <w:rFonts w:hint="eastAsia"/>
                <w:sz w:val="21"/>
                <w:szCs w:val="21"/>
              </w:rPr>
            </w:pPr>
          </w:p>
        </w:tc>
      </w:tr>
      <w:tr w:rsidR="009C353B" w14:paraId="4CE57C36" w14:textId="77777777">
        <w:trPr>
          <w:trHeight w:val="312"/>
        </w:trPr>
        <w:tc>
          <w:tcPr>
            <w:tcW w:w="515" w:type="dxa"/>
            <w:tcMar>
              <w:left w:w="28" w:type="dxa"/>
              <w:right w:w="28" w:type="dxa"/>
            </w:tcMar>
            <w:vAlign w:val="center"/>
          </w:tcPr>
          <w:p w14:paraId="5963543A" w14:textId="77777777" w:rsidR="009C353B" w:rsidRDefault="00000000">
            <w:pPr>
              <w:spacing w:line="240" w:lineRule="exact"/>
              <w:jc w:val="center"/>
              <w:rPr>
                <w:rFonts w:hint="eastAsia"/>
                <w:sz w:val="21"/>
                <w:szCs w:val="21"/>
              </w:rPr>
            </w:pPr>
            <w:r>
              <w:rPr>
                <w:sz w:val="21"/>
                <w:szCs w:val="21"/>
              </w:rPr>
              <w:t>1</w:t>
            </w:r>
            <w:r>
              <w:rPr>
                <w:rFonts w:hint="eastAsia"/>
                <w:sz w:val="21"/>
                <w:szCs w:val="21"/>
              </w:rPr>
              <w:t>3</w:t>
            </w:r>
          </w:p>
        </w:tc>
        <w:tc>
          <w:tcPr>
            <w:tcW w:w="1423" w:type="dxa"/>
            <w:tcMar>
              <w:left w:w="28" w:type="dxa"/>
              <w:right w:w="28" w:type="dxa"/>
            </w:tcMar>
            <w:vAlign w:val="center"/>
          </w:tcPr>
          <w:p w14:paraId="52A32756" w14:textId="77777777" w:rsidR="009C353B" w:rsidRDefault="00000000">
            <w:pPr>
              <w:spacing w:line="240" w:lineRule="exact"/>
              <w:jc w:val="center"/>
              <w:rPr>
                <w:rFonts w:hint="eastAsia"/>
                <w:sz w:val="21"/>
                <w:szCs w:val="21"/>
              </w:rPr>
            </w:pPr>
            <w:r>
              <w:rPr>
                <w:sz w:val="21"/>
                <w:szCs w:val="21"/>
              </w:rPr>
              <w:t>中间锦鸡儿</w:t>
            </w:r>
          </w:p>
        </w:tc>
        <w:tc>
          <w:tcPr>
            <w:tcW w:w="4368" w:type="dxa"/>
            <w:tcMar>
              <w:left w:w="28" w:type="dxa"/>
              <w:right w:w="28" w:type="dxa"/>
            </w:tcMar>
            <w:vAlign w:val="center"/>
          </w:tcPr>
          <w:p w14:paraId="5828E828" w14:textId="77777777" w:rsidR="009C353B" w:rsidRDefault="00000000">
            <w:pPr>
              <w:spacing w:line="240" w:lineRule="exact"/>
              <w:jc w:val="center"/>
              <w:rPr>
                <w:rFonts w:hint="eastAsia"/>
                <w:i/>
                <w:sz w:val="21"/>
                <w:szCs w:val="21"/>
                <w:lang w:val="sv-SE"/>
              </w:rPr>
            </w:pPr>
            <w:r>
              <w:rPr>
                <w:i/>
                <w:sz w:val="21"/>
                <w:szCs w:val="21"/>
                <w:lang w:val="sv-SE"/>
              </w:rPr>
              <w:t>Caragana intermedia Kuang.et H. CFu</w:t>
            </w:r>
          </w:p>
        </w:tc>
        <w:tc>
          <w:tcPr>
            <w:tcW w:w="1196" w:type="dxa"/>
            <w:tcMar>
              <w:left w:w="28" w:type="dxa"/>
              <w:right w:w="28" w:type="dxa"/>
            </w:tcMar>
            <w:vAlign w:val="center"/>
          </w:tcPr>
          <w:p w14:paraId="345F1F2C"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403BB041" w14:textId="77777777" w:rsidR="009C353B" w:rsidRDefault="009C353B">
            <w:pPr>
              <w:spacing w:line="240" w:lineRule="exact"/>
              <w:jc w:val="center"/>
              <w:rPr>
                <w:rFonts w:hint="eastAsia"/>
                <w:sz w:val="21"/>
                <w:szCs w:val="21"/>
              </w:rPr>
            </w:pPr>
          </w:p>
        </w:tc>
      </w:tr>
      <w:tr w:rsidR="009C353B" w14:paraId="5D66EB67" w14:textId="77777777">
        <w:trPr>
          <w:trHeight w:val="312"/>
        </w:trPr>
        <w:tc>
          <w:tcPr>
            <w:tcW w:w="515" w:type="dxa"/>
            <w:tcMar>
              <w:left w:w="28" w:type="dxa"/>
              <w:right w:w="28" w:type="dxa"/>
            </w:tcMar>
            <w:vAlign w:val="center"/>
          </w:tcPr>
          <w:p w14:paraId="1ADB1237" w14:textId="77777777" w:rsidR="009C353B" w:rsidRDefault="00000000">
            <w:pPr>
              <w:spacing w:line="240" w:lineRule="exact"/>
              <w:jc w:val="center"/>
              <w:rPr>
                <w:rFonts w:hint="eastAsia"/>
                <w:sz w:val="21"/>
                <w:szCs w:val="21"/>
              </w:rPr>
            </w:pPr>
            <w:r>
              <w:rPr>
                <w:sz w:val="21"/>
                <w:szCs w:val="21"/>
              </w:rPr>
              <w:t>1</w:t>
            </w:r>
            <w:r>
              <w:rPr>
                <w:rFonts w:hint="eastAsia"/>
                <w:sz w:val="21"/>
                <w:szCs w:val="21"/>
              </w:rPr>
              <w:t>4</w:t>
            </w:r>
          </w:p>
        </w:tc>
        <w:tc>
          <w:tcPr>
            <w:tcW w:w="1423" w:type="dxa"/>
            <w:tcMar>
              <w:left w:w="28" w:type="dxa"/>
              <w:right w:w="28" w:type="dxa"/>
            </w:tcMar>
            <w:vAlign w:val="center"/>
          </w:tcPr>
          <w:p w14:paraId="61567F5A" w14:textId="77777777" w:rsidR="009C353B" w:rsidRDefault="00000000">
            <w:pPr>
              <w:spacing w:line="240" w:lineRule="exact"/>
              <w:jc w:val="center"/>
              <w:rPr>
                <w:rFonts w:hint="eastAsia"/>
                <w:sz w:val="21"/>
                <w:szCs w:val="21"/>
              </w:rPr>
            </w:pPr>
            <w:r>
              <w:rPr>
                <w:sz w:val="21"/>
                <w:szCs w:val="21"/>
              </w:rPr>
              <w:t>内蒙古黄芪</w:t>
            </w:r>
          </w:p>
        </w:tc>
        <w:tc>
          <w:tcPr>
            <w:tcW w:w="4368" w:type="dxa"/>
            <w:tcMar>
              <w:left w:w="28" w:type="dxa"/>
              <w:right w:w="28" w:type="dxa"/>
            </w:tcMar>
            <w:vAlign w:val="center"/>
          </w:tcPr>
          <w:p w14:paraId="4E608273" w14:textId="77777777" w:rsidR="009C353B" w:rsidRDefault="00000000">
            <w:pPr>
              <w:spacing w:line="240" w:lineRule="exact"/>
              <w:jc w:val="center"/>
              <w:rPr>
                <w:rFonts w:hint="eastAsia"/>
                <w:i/>
                <w:sz w:val="21"/>
                <w:szCs w:val="21"/>
              </w:rPr>
            </w:pPr>
            <w:r>
              <w:rPr>
                <w:i/>
                <w:sz w:val="21"/>
                <w:szCs w:val="21"/>
              </w:rPr>
              <w:t>Astragalus mongholicus Bunge</w:t>
            </w:r>
          </w:p>
        </w:tc>
        <w:tc>
          <w:tcPr>
            <w:tcW w:w="1196" w:type="dxa"/>
            <w:tcMar>
              <w:left w:w="28" w:type="dxa"/>
              <w:right w:w="28" w:type="dxa"/>
            </w:tcMar>
            <w:vAlign w:val="center"/>
          </w:tcPr>
          <w:p w14:paraId="67795F0D"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3640576E" w14:textId="77777777" w:rsidR="009C353B" w:rsidRDefault="009C353B">
            <w:pPr>
              <w:spacing w:line="240" w:lineRule="exact"/>
              <w:jc w:val="center"/>
              <w:rPr>
                <w:rFonts w:hint="eastAsia"/>
                <w:sz w:val="21"/>
                <w:szCs w:val="21"/>
              </w:rPr>
            </w:pPr>
          </w:p>
        </w:tc>
      </w:tr>
      <w:tr w:rsidR="009C353B" w14:paraId="47321125" w14:textId="77777777">
        <w:trPr>
          <w:trHeight w:val="312"/>
        </w:trPr>
        <w:tc>
          <w:tcPr>
            <w:tcW w:w="515" w:type="dxa"/>
            <w:tcMar>
              <w:left w:w="28" w:type="dxa"/>
              <w:right w:w="28" w:type="dxa"/>
            </w:tcMar>
            <w:vAlign w:val="center"/>
          </w:tcPr>
          <w:p w14:paraId="5061C375" w14:textId="77777777" w:rsidR="009C353B" w:rsidRDefault="00000000">
            <w:pPr>
              <w:spacing w:line="240" w:lineRule="exact"/>
              <w:jc w:val="center"/>
              <w:rPr>
                <w:rFonts w:hint="eastAsia"/>
                <w:sz w:val="21"/>
                <w:szCs w:val="21"/>
              </w:rPr>
            </w:pPr>
            <w:r>
              <w:rPr>
                <w:sz w:val="21"/>
                <w:szCs w:val="21"/>
              </w:rPr>
              <w:t>1</w:t>
            </w:r>
            <w:r>
              <w:rPr>
                <w:rFonts w:hint="eastAsia"/>
                <w:sz w:val="21"/>
                <w:szCs w:val="21"/>
              </w:rPr>
              <w:t>5</w:t>
            </w:r>
          </w:p>
        </w:tc>
        <w:tc>
          <w:tcPr>
            <w:tcW w:w="1423" w:type="dxa"/>
            <w:tcMar>
              <w:left w:w="28" w:type="dxa"/>
              <w:right w:w="28" w:type="dxa"/>
            </w:tcMar>
            <w:vAlign w:val="center"/>
          </w:tcPr>
          <w:p w14:paraId="51942EB4" w14:textId="77777777" w:rsidR="009C353B" w:rsidRDefault="00000000">
            <w:pPr>
              <w:spacing w:line="240" w:lineRule="exact"/>
              <w:jc w:val="center"/>
              <w:rPr>
                <w:rFonts w:hint="eastAsia"/>
                <w:sz w:val="21"/>
                <w:szCs w:val="21"/>
              </w:rPr>
            </w:pPr>
            <w:r>
              <w:rPr>
                <w:sz w:val="21"/>
                <w:szCs w:val="21"/>
              </w:rPr>
              <w:t>草木樨黄芪</w:t>
            </w:r>
          </w:p>
        </w:tc>
        <w:tc>
          <w:tcPr>
            <w:tcW w:w="4368" w:type="dxa"/>
            <w:tcMar>
              <w:left w:w="28" w:type="dxa"/>
              <w:right w:w="28" w:type="dxa"/>
            </w:tcMar>
            <w:vAlign w:val="center"/>
          </w:tcPr>
          <w:p w14:paraId="3CD08901" w14:textId="77777777" w:rsidR="009C353B" w:rsidRDefault="00000000">
            <w:pPr>
              <w:spacing w:line="240" w:lineRule="exact"/>
              <w:jc w:val="center"/>
              <w:rPr>
                <w:rFonts w:hint="eastAsia"/>
                <w:i/>
                <w:sz w:val="21"/>
                <w:szCs w:val="21"/>
              </w:rPr>
            </w:pPr>
            <w:r>
              <w:rPr>
                <w:i/>
                <w:sz w:val="21"/>
                <w:szCs w:val="21"/>
              </w:rPr>
              <w:t>Astragalus melilotoides pall</w:t>
            </w:r>
          </w:p>
        </w:tc>
        <w:tc>
          <w:tcPr>
            <w:tcW w:w="1196" w:type="dxa"/>
            <w:tcMar>
              <w:left w:w="28" w:type="dxa"/>
              <w:right w:w="28" w:type="dxa"/>
            </w:tcMar>
            <w:vAlign w:val="center"/>
          </w:tcPr>
          <w:p w14:paraId="2724CE7F"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4A129D87" w14:textId="77777777" w:rsidR="009C353B" w:rsidRDefault="009C353B">
            <w:pPr>
              <w:spacing w:line="240" w:lineRule="exact"/>
              <w:jc w:val="center"/>
              <w:rPr>
                <w:rFonts w:hint="eastAsia"/>
                <w:sz w:val="21"/>
                <w:szCs w:val="21"/>
              </w:rPr>
            </w:pPr>
          </w:p>
        </w:tc>
      </w:tr>
      <w:tr w:rsidR="009C353B" w14:paraId="3AA1F90F" w14:textId="77777777">
        <w:trPr>
          <w:trHeight w:val="312"/>
        </w:trPr>
        <w:tc>
          <w:tcPr>
            <w:tcW w:w="515" w:type="dxa"/>
            <w:tcMar>
              <w:left w:w="28" w:type="dxa"/>
              <w:right w:w="28" w:type="dxa"/>
            </w:tcMar>
            <w:vAlign w:val="center"/>
          </w:tcPr>
          <w:p w14:paraId="66C88EC2" w14:textId="77777777" w:rsidR="009C353B" w:rsidRDefault="00000000">
            <w:pPr>
              <w:spacing w:line="240" w:lineRule="exact"/>
              <w:jc w:val="center"/>
              <w:rPr>
                <w:rFonts w:hint="eastAsia"/>
                <w:sz w:val="21"/>
                <w:szCs w:val="21"/>
              </w:rPr>
            </w:pPr>
            <w:r>
              <w:rPr>
                <w:rFonts w:hint="eastAsia"/>
                <w:sz w:val="21"/>
                <w:szCs w:val="21"/>
              </w:rPr>
              <w:t>16</w:t>
            </w:r>
          </w:p>
        </w:tc>
        <w:tc>
          <w:tcPr>
            <w:tcW w:w="1423" w:type="dxa"/>
            <w:tcMar>
              <w:left w:w="28" w:type="dxa"/>
              <w:right w:w="28" w:type="dxa"/>
            </w:tcMar>
            <w:vAlign w:val="center"/>
          </w:tcPr>
          <w:p w14:paraId="37198BE8" w14:textId="77777777" w:rsidR="009C353B" w:rsidRDefault="00000000">
            <w:pPr>
              <w:spacing w:line="240" w:lineRule="exact"/>
              <w:jc w:val="center"/>
              <w:rPr>
                <w:rFonts w:hint="eastAsia"/>
                <w:sz w:val="21"/>
                <w:szCs w:val="21"/>
              </w:rPr>
            </w:pPr>
            <w:r>
              <w:rPr>
                <w:sz w:val="21"/>
                <w:szCs w:val="21"/>
              </w:rPr>
              <w:t>荒漠黄芪</w:t>
            </w:r>
          </w:p>
        </w:tc>
        <w:tc>
          <w:tcPr>
            <w:tcW w:w="4368" w:type="dxa"/>
            <w:tcMar>
              <w:left w:w="28" w:type="dxa"/>
              <w:right w:w="28" w:type="dxa"/>
            </w:tcMar>
            <w:vAlign w:val="center"/>
          </w:tcPr>
          <w:p w14:paraId="6A191E8B" w14:textId="77777777" w:rsidR="009C353B" w:rsidRDefault="00000000">
            <w:pPr>
              <w:spacing w:line="240" w:lineRule="exact"/>
              <w:jc w:val="center"/>
              <w:rPr>
                <w:rFonts w:hint="eastAsia"/>
                <w:i/>
                <w:sz w:val="21"/>
                <w:szCs w:val="21"/>
                <w:lang w:val="de-DE"/>
              </w:rPr>
            </w:pPr>
            <w:r>
              <w:rPr>
                <w:i/>
                <w:sz w:val="21"/>
                <w:szCs w:val="21"/>
                <w:lang w:val="de-DE"/>
              </w:rPr>
              <w:t>Astragalus alachanensis H. C. Fu</w:t>
            </w:r>
          </w:p>
        </w:tc>
        <w:tc>
          <w:tcPr>
            <w:tcW w:w="1196" w:type="dxa"/>
            <w:tcMar>
              <w:left w:w="28" w:type="dxa"/>
              <w:right w:w="28" w:type="dxa"/>
            </w:tcMar>
            <w:vAlign w:val="center"/>
          </w:tcPr>
          <w:p w14:paraId="60B59D7A"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32672923" w14:textId="77777777" w:rsidR="009C353B" w:rsidRDefault="009C353B">
            <w:pPr>
              <w:spacing w:line="240" w:lineRule="exact"/>
              <w:jc w:val="center"/>
              <w:rPr>
                <w:rFonts w:hint="eastAsia"/>
                <w:sz w:val="21"/>
                <w:szCs w:val="21"/>
              </w:rPr>
            </w:pPr>
          </w:p>
        </w:tc>
      </w:tr>
      <w:tr w:rsidR="009C353B" w14:paraId="10DD720D" w14:textId="77777777">
        <w:trPr>
          <w:trHeight w:val="312"/>
        </w:trPr>
        <w:tc>
          <w:tcPr>
            <w:tcW w:w="515" w:type="dxa"/>
            <w:tcMar>
              <w:left w:w="28" w:type="dxa"/>
              <w:right w:w="28" w:type="dxa"/>
            </w:tcMar>
            <w:vAlign w:val="center"/>
          </w:tcPr>
          <w:p w14:paraId="72DC8A04" w14:textId="77777777" w:rsidR="009C353B" w:rsidRDefault="00000000">
            <w:pPr>
              <w:spacing w:line="240" w:lineRule="exact"/>
              <w:jc w:val="center"/>
              <w:rPr>
                <w:rFonts w:hint="eastAsia"/>
                <w:sz w:val="21"/>
                <w:szCs w:val="21"/>
              </w:rPr>
            </w:pPr>
            <w:r>
              <w:rPr>
                <w:rFonts w:hint="eastAsia"/>
                <w:sz w:val="21"/>
                <w:szCs w:val="21"/>
              </w:rPr>
              <w:t>17</w:t>
            </w:r>
          </w:p>
        </w:tc>
        <w:tc>
          <w:tcPr>
            <w:tcW w:w="1423" w:type="dxa"/>
            <w:tcMar>
              <w:left w:w="28" w:type="dxa"/>
              <w:right w:w="28" w:type="dxa"/>
            </w:tcMar>
            <w:vAlign w:val="center"/>
          </w:tcPr>
          <w:p w14:paraId="11A7A5EE" w14:textId="77777777" w:rsidR="009C353B" w:rsidRDefault="00000000">
            <w:pPr>
              <w:spacing w:line="240" w:lineRule="exact"/>
              <w:jc w:val="center"/>
              <w:rPr>
                <w:rFonts w:hint="eastAsia"/>
                <w:sz w:val="21"/>
                <w:szCs w:val="21"/>
              </w:rPr>
            </w:pPr>
            <w:r>
              <w:rPr>
                <w:sz w:val="21"/>
                <w:szCs w:val="21"/>
              </w:rPr>
              <w:t>猫头刺</w:t>
            </w:r>
          </w:p>
        </w:tc>
        <w:tc>
          <w:tcPr>
            <w:tcW w:w="4368" w:type="dxa"/>
            <w:tcMar>
              <w:left w:w="28" w:type="dxa"/>
              <w:right w:w="28" w:type="dxa"/>
            </w:tcMar>
            <w:vAlign w:val="center"/>
          </w:tcPr>
          <w:p w14:paraId="67955348" w14:textId="77777777" w:rsidR="009C353B" w:rsidRDefault="00000000">
            <w:pPr>
              <w:spacing w:line="240" w:lineRule="exact"/>
              <w:jc w:val="center"/>
              <w:rPr>
                <w:rFonts w:hint="eastAsia"/>
                <w:i/>
                <w:sz w:val="21"/>
                <w:szCs w:val="21"/>
              </w:rPr>
            </w:pPr>
            <w:r>
              <w:rPr>
                <w:i/>
                <w:sz w:val="21"/>
                <w:szCs w:val="21"/>
              </w:rPr>
              <w:t>Oxytropis aciphylla Ledeb.</w:t>
            </w:r>
          </w:p>
        </w:tc>
        <w:tc>
          <w:tcPr>
            <w:tcW w:w="1196" w:type="dxa"/>
            <w:tcMar>
              <w:left w:w="28" w:type="dxa"/>
              <w:right w:w="28" w:type="dxa"/>
            </w:tcMar>
            <w:vAlign w:val="center"/>
          </w:tcPr>
          <w:p w14:paraId="66A8D75B"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765AB4F8" w14:textId="77777777" w:rsidR="009C353B" w:rsidRDefault="009C353B">
            <w:pPr>
              <w:spacing w:line="240" w:lineRule="exact"/>
              <w:jc w:val="center"/>
              <w:rPr>
                <w:rFonts w:hint="eastAsia"/>
                <w:sz w:val="21"/>
                <w:szCs w:val="21"/>
              </w:rPr>
            </w:pPr>
          </w:p>
        </w:tc>
      </w:tr>
      <w:tr w:rsidR="009C353B" w14:paraId="21CD3941" w14:textId="77777777">
        <w:trPr>
          <w:trHeight w:val="312"/>
        </w:trPr>
        <w:tc>
          <w:tcPr>
            <w:tcW w:w="515" w:type="dxa"/>
            <w:tcMar>
              <w:left w:w="28" w:type="dxa"/>
              <w:right w:w="28" w:type="dxa"/>
            </w:tcMar>
            <w:vAlign w:val="center"/>
          </w:tcPr>
          <w:p w14:paraId="1A6D1C31" w14:textId="77777777" w:rsidR="009C353B" w:rsidRDefault="009C353B">
            <w:pPr>
              <w:spacing w:line="240" w:lineRule="exact"/>
              <w:jc w:val="center"/>
              <w:rPr>
                <w:rFonts w:hint="eastAsia"/>
                <w:sz w:val="21"/>
                <w:szCs w:val="21"/>
              </w:rPr>
            </w:pPr>
          </w:p>
        </w:tc>
        <w:tc>
          <w:tcPr>
            <w:tcW w:w="1423" w:type="dxa"/>
            <w:tcMar>
              <w:left w:w="28" w:type="dxa"/>
              <w:right w:w="28" w:type="dxa"/>
            </w:tcMar>
            <w:vAlign w:val="center"/>
          </w:tcPr>
          <w:p w14:paraId="66DF3181" w14:textId="77777777" w:rsidR="009C353B" w:rsidRDefault="00000000">
            <w:pPr>
              <w:spacing w:line="240" w:lineRule="exact"/>
              <w:jc w:val="center"/>
              <w:rPr>
                <w:rFonts w:hint="eastAsia"/>
                <w:sz w:val="21"/>
                <w:szCs w:val="21"/>
              </w:rPr>
            </w:pPr>
            <w:r>
              <w:rPr>
                <w:sz w:val="21"/>
                <w:szCs w:val="21"/>
              </w:rPr>
              <w:t>柽柳科</w:t>
            </w:r>
          </w:p>
        </w:tc>
        <w:tc>
          <w:tcPr>
            <w:tcW w:w="4368" w:type="dxa"/>
            <w:tcMar>
              <w:left w:w="28" w:type="dxa"/>
              <w:right w:w="28" w:type="dxa"/>
            </w:tcMar>
            <w:vAlign w:val="center"/>
          </w:tcPr>
          <w:p w14:paraId="1B7B1A6D" w14:textId="77777777" w:rsidR="009C353B" w:rsidRDefault="00000000">
            <w:pPr>
              <w:spacing w:line="240" w:lineRule="exact"/>
              <w:jc w:val="center"/>
              <w:rPr>
                <w:rFonts w:hint="eastAsia"/>
                <w:i/>
                <w:sz w:val="21"/>
                <w:szCs w:val="21"/>
              </w:rPr>
            </w:pPr>
            <w:r>
              <w:rPr>
                <w:i/>
                <w:sz w:val="21"/>
                <w:szCs w:val="21"/>
              </w:rPr>
              <w:t>Tamaricaceae</w:t>
            </w:r>
          </w:p>
        </w:tc>
        <w:tc>
          <w:tcPr>
            <w:tcW w:w="1196" w:type="dxa"/>
            <w:tcMar>
              <w:left w:w="28" w:type="dxa"/>
              <w:right w:w="28" w:type="dxa"/>
            </w:tcMar>
            <w:vAlign w:val="center"/>
          </w:tcPr>
          <w:p w14:paraId="5CB1850A" w14:textId="77777777" w:rsidR="009C353B" w:rsidRDefault="009C353B">
            <w:pPr>
              <w:spacing w:line="240" w:lineRule="exact"/>
              <w:jc w:val="center"/>
              <w:rPr>
                <w:rFonts w:hint="eastAsia"/>
                <w:sz w:val="21"/>
                <w:szCs w:val="21"/>
              </w:rPr>
            </w:pPr>
          </w:p>
        </w:tc>
        <w:tc>
          <w:tcPr>
            <w:tcW w:w="1426" w:type="dxa"/>
            <w:tcMar>
              <w:left w:w="28" w:type="dxa"/>
              <w:right w:w="28" w:type="dxa"/>
            </w:tcMar>
            <w:vAlign w:val="center"/>
          </w:tcPr>
          <w:p w14:paraId="2149A860" w14:textId="77777777" w:rsidR="009C353B" w:rsidRDefault="009C353B">
            <w:pPr>
              <w:spacing w:line="240" w:lineRule="exact"/>
              <w:jc w:val="center"/>
              <w:rPr>
                <w:rFonts w:hint="eastAsia"/>
                <w:sz w:val="21"/>
                <w:szCs w:val="21"/>
              </w:rPr>
            </w:pPr>
          </w:p>
        </w:tc>
      </w:tr>
      <w:tr w:rsidR="009C353B" w14:paraId="385F968F" w14:textId="77777777">
        <w:trPr>
          <w:trHeight w:val="312"/>
        </w:trPr>
        <w:tc>
          <w:tcPr>
            <w:tcW w:w="515" w:type="dxa"/>
            <w:tcMar>
              <w:left w:w="28" w:type="dxa"/>
              <w:right w:w="28" w:type="dxa"/>
            </w:tcMar>
            <w:vAlign w:val="center"/>
          </w:tcPr>
          <w:p w14:paraId="591A25F0" w14:textId="77777777" w:rsidR="009C353B" w:rsidRDefault="00000000">
            <w:pPr>
              <w:spacing w:line="240" w:lineRule="exact"/>
              <w:jc w:val="center"/>
              <w:rPr>
                <w:rFonts w:hint="eastAsia"/>
                <w:sz w:val="21"/>
                <w:szCs w:val="21"/>
              </w:rPr>
            </w:pPr>
            <w:r>
              <w:rPr>
                <w:rFonts w:hint="eastAsia"/>
                <w:sz w:val="21"/>
                <w:szCs w:val="21"/>
              </w:rPr>
              <w:t>18</w:t>
            </w:r>
          </w:p>
        </w:tc>
        <w:tc>
          <w:tcPr>
            <w:tcW w:w="1423" w:type="dxa"/>
            <w:tcMar>
              <w:left w:w="28" w:type="dxa"/>
              <w:right w:w="28" w:type="dxa"/>
            </w:tcMar>
            <w:vAlign w:val="center"/>
          </w:tcPr>
          <w:p w14:paraId="5B2E5249" w14:textId="77777777" w:rsidR="009C353B" w:rsidRDefault="00000000">
            <w:pPr>
              <w:spacing w:line="240" w:lineRule="exact"/>
              <w:jc w:val="center"/>
              <w:rPr>
                <w:rFonts w:hint="eastAsia"/>
                <w:sz w:val="21"/>
                <w:szCs w:val="21"/>
              </w:rPr>
            </w:pPr>
            <w:r>
              <w:rPr>
                <w:sz w:val="21"/>
                <w:szCs w:val="21"/>
              </w:rPr>
              <w:t>红砂</w:t>
            </w:r>
          </w:p>
        </w:tc>
        <w:tc>
          <w:tcPr>
            <w:tcW w:w="4368" w:type="dxa"/>
            <w:tcMar>
              <w:left w:w="28" w:type="dxa"/>
              <w:right w:w="28" w:type="dxa"/>
            </w:tcMar>
            <w:vAlign w:val="center"/>
          </w:tcPr>
          <w:p w14:paraId="1B179C27" w14:textId="77777777" w:rsidR="009C353B" w:rsidRDefault="00000000">
            <w:pPr>
              <w:spacing w:line="240" w:lineRule="exact"/>
              <w:jc w:val="center"/>
              <w:rPr>
                <w:rFonts w:hint="eastAsia"/>
                <w:i/>
                <w:sz w:val="21"/>
                <w:szCs w:val="21"/>
              </w:rPr>
            </w:pPr>
            <w:r>
              <w:rPr>
                <w:i/>
                <w:sz w:val="21"/>
                <w:szCs w:val="21"/>
              </w:rPr>
              <w:t>Reaumuria Soongorica(pall.) Maxim</w:t>
            </w:r>
          </w:p>
        </w:tc>
        <w:tc>
          <w:tcPr>
            <w:tcW w:w="1196" w:type="dxa"/>
            <w:tcMar>
              <w:left w:w="28" w:type="dxa"/>
              <w:right w:w="28" w:type="dxa"/>
            </w:tcMar>
            <w:vAlign w:val="center"/>
          </w:tcPr>
          <w:p w14:paraId="73CE51A4" w14:textId="77777777" w:rsidR="009C353B" w:rsidRDefault="00000000">
            <w:pPr>
              <w:spacing w:line="240" w:lineRule="exact"/>
              <w:jc w:val="center"/>
              <w:rPr>
                <w:rFonts w:hint="eastAsia"/>
                <w:sz w:val="21"/>
                <w:szCs w:val="21"/>
              </w:rPr>
            </w:pPr>
            <w:r>
              <w:rPr>
                <w:sz w:val="21"/>
                <w:szCs w:val="21"/>
              </w:rPr>
              <w:t>沙地</w:t>
            </w:r>
          </w:p>
        </w:tc>
        <w:tc>
          <w:tcPr>
            <w:tcW w:w="1426" w:type="dxa"/>
            <w:tcMar>
              <w:left w:w="28" w:type="dxa"/>
              <w:right w:w="28" w:type="dxa"/>
            </w:tcMar>
            <w:vAlign w:val="center"/>
          </w:tcPr>
          <w:p w14:paraId="4D1EF9BD" w14:textId="77777777" w:rsidR="009C353B" w:rsidRDefault="009C353B">
            <w:pPr>
              <w:spacing w:line="240" w:lineRule="exact"/>
              <w:jc w:val="center"/>
              <w:rPr>
                <w:rFonts w:hint="eastAsia"/>
                <w:sz w:val="21"/>
                <w:szCs w:val="21"/>
              </w:rPr>
            </w:pPr>
          </w:p>
        </w:tc>
      </w:tr>
      <w:tr w:rsidR="009C353B" w14:paraId="160C3733" w14:textId="77777777">
        <w:trPr>
          <w:trHeight w:val="312"/>
        </w:trPr>
        <w:tc>
          <w:tcPr>
            <w:tcW w:w="515" w:type="dxa"/>
            <w:tcMar>
              <w:left w:w="28" w:type="dxa"/>
              <w:right w:w="28" w:type="dxa"/>
            </w:tcMar>
            <w:vAlign w:val="center"/>
          </w:tcPr>
          <w:p w14:paraId="461FD00E" w14:textId="77777777" w:rsidR="009C353B" w:rsidRDefault="009C353B">
            <w:pPr>
              <w:spacing w:line="240" w:lineRule="exact"/>
              <w:jc w:val="center"/>
              <w:rPr>
                <w:rFonts w:hint="eastAsia"/>
                <w:sz w:val="21"/>
                <w:szCs w:val="21"/>
              </w:rPr>
            </w:pPr>
          </w:p>
        </w:tc>
        <w:tc>
          <w:tcPr>
            <w:tcW w:w="1423" w:type="dxa"/>
            <w:tcMar>
              <w:left w:w="28" w:type="dxa"/>
              <w:right w:w="28" w:type="dxa"/>
            </w:tcMar>
            <w:vAlign w:val="center"/>
          </w:tcPr>
          <w:p w14:paraId="4D7D7656" w14:textId="77777777" w:rsidR="009C353B" w:rsidRDefault="00000000">
            <w:pPr>
              <w:spacing w:line="240" w:lineRule="exact"/>
              <w:jc w:val="center"/>
              <w:rPr>
                <w:rFonts w:hint="eastAsia"/>
                <w:sz w:val="21"/>
                <w:szCs w:val="21"/>
              </w:rPr>
            </w:pPr>
            <w:r>
              <w:rPr>
                <w:sz w:val="21"/>
                <w:szCs w:val="21"/>
              </w:rPr>
              <w:t>菊科</w:t>
            </w:r>
          </w:p>
        </w:tc>
        <w:tc>
          <w:tcPr>
            <w:tcW w:w="4368" w:type="dxa"/>
            <w:tcMar>
              <w:left w:w="28" w:type="dxa"/>
              <w:right w:w="28" w:type="dxa"/>
            </w:tcMar>
            <w:vAlign w:val="center"/>
          </w:tcPr>
          <w:p w14:paraId="6131A57F" w14:textId="77777777" w:rsidR="009C353B" w:rsidRDefault="00000000">
            <w:pPr>
              <w:spacing w:line="240" w:lineRule="exact"/>
              <w:jc w:val="center"/>
              <w:rPr>
                <w:rFonts w:hint="eastAsia"/>
                <w:i/>
                <w:sz w:val="21"/>
                <w:szCs w:val="21"/>
              </w:rPr>
            </w:pPr>
            <w:r>
              <w:rPr>
                <w:i/>
                <w:sz w:val="21"/>
                <w:szCs w:val="21"/>
              </w:rPr>
              <w:t>Compsitae</w:t>
            </w:r>
          </w:p>
        </w:tc>
        <w:tc>
          <w:tcPr>
            <w:tcW w:w="1196" w:type="dxa"/>
            <w:tcMar>
              <w:left w:w="28" w:type="dxa"/>
              <w:right w:w="28" w:type="dxa"/>
            </w:tcMar>
            <w:vAlign w:val="center"/>
          </w:tcPr>
          <w:p w14:paraId="48A6D453" w14:textId="77777777" w:rsidR="009C353B" w:rsidRDefault="009C353B">
            <w:pPr>
              <w:spacing w:line="240" w:lineRule="exact"/>
              <w:jc w:val="center"/>
              <w:rPr>
                <w:rFonts w:hint="eastAsia"/>
                <w:sz w:val="21"/>
                <w:szCs w:val="21"/>
              </w:rPr>
            </w:pPr>
          </w:p>
        </w:tc>
        <w:tc>
          <w:tcPr>
            <w:tcW w:w="1426" w:type="dxa"/>
            <w:tcMar>
              <w:left w:w="28" w:type="dxa"/>
              <w:right w:w="28" w:type="dxa"/>
            </w:tcMar>
            <w:vAlign w:val="center"/>
          </w:tcPr>
          <w:p w14:paraId="432C502A" w14:textId="77777777" w:rsidR="009C353B" w:rsidRDefault="009C353B">
            <w:pPr>
              <w:spacing w:line="240" w:lineRule="exact"/>
              <w:jc w:val="center"/>
              <w:rPr>
                <w:rFonts w:hint="eastAsia"/>
                <w:sz w:val="21"/>
                <w:szCs w:val="21"/>
              </w:rPr>
            </w:pPr>
          </w:p>
        </w:tc>
      </w:tr>
      <w:tr w:rsidR="009C353B" w14:paraId="39B6DC37" w14:textId="77777777">
        <w:trPr>
          <w:trHeight w:val="312"/>
        </w:trPr>
        <w:tc>
          <w:tcPr>
            <w:tcW w:w="515" w:type="dxa"/>
            <w:tcMar>
              <w:left w:w="28" w:type="dxa"/>
              <w:right w:w="28" w:type="dxa"/>
            </w:tcMar>
            <w:vAlign w:val="center"/>
          </w:tcPr>
          <w:p w14:paraId="6DAE4E21" w14:textId="77777777" w:rsidR="009C353B" w:rsidRDefault="00000000">
            <w:pPr>
              <w:spacing w:line="240" w:lineRule="exact"/>
              <w:jc w:val="center"/>
              <w:rPr>
                <w:rFonts w:hint="eastAsia"/>
                <w:sz w:val="21"/>
                <w:szCs w:val="21"/>
              </w:rPr>
            </w:pPr>
            <w:r>
              <w:rPr>
                <w:rFonts w:hint="eastAsia"/>
                <w:sz w:val="21"/>
                <w:szCs w:val="21"/>
              </w:rPr>
              <w:t>19</w:t>
            </w:r>
          </w:p>
        </w:tc>
        <w:tc>
          <w:tcPr>
            <w:tcW w:w="1423" w:type="dxa"/>
            <w:tcMar>
              <w:left w:w="28" w:type="dxa"/>
              <w:right w:w="28" w:type="dxa"/>
            </w:tcMar>
            <w:vAlign w:val="center"/>
          </w:tcPr>
          <w:p w14:paraId="52F84771" w14:textId="77777777" w:rsidR="009C353B" w:rsidRDefault="00000000">
            <w:pPr>
              <w:spacing w:line="240" w:lineRule="exact"/>
              <w:jc w:val="center"/>
              <w:rPr>
                <w:rFonts w:hint="eastAsia"/>
                <w:sz w:val="21"/>
                <w:szCs w:val="21"/>
              </w:rPr>
            </w:pPr>
            <w:r>
              <w:rPr>
                <w:sz w:val="21"/>
                <w:szCs w:val="21"/>
              </w:rPr>
              <w:t>冷蒿</w:t>
            </w:r>
          </w:p>
        </w:tc>
        <w:tc>
          <w:tcPr>
            <w:tcW w:w="4368" w:type="dxa"/>
            <w:tcMar>
              <w:left w:w="28" w:type="dxa"/>
              <w:right w:w="28" w:type="dxa"/>
            </w:tcMar>
            <w:vAlign w:val="center"/>
          </w:tcPr>
          <w:p w14:paraId="19D992D8" w14:textId="77777777" w:rsidR="009C353B" w:rsidRDefault="00000000">
            <w:pPr>
              <w:spacing w:line="240" w:lineRule="exact"/>
              <w:jc w:val="center"/>
              <w:rPr>
                <w:rFonts w:hint="eastAsia"/>
                <w:i/>
                <w:sz w:val="21"/>
                <w:szCs w:val="21"/>
              </w:rPr>
            </w:pPr>
            <w:r>
              <w:rPr>
                <w:i/>
                <w:sz w:val="21"/>
                <w:szCs w:val="21"/>
              </w:rPr>
              <w:t>Artemisia giraldii Pampan.</w:t>
            </w:r>
          </w:p>
        </w:tc>
        <w:tc>
          <w:tcPr>
            <w:tcW w:w="1196" w:type="dxa"/>
            <w:tcMar>
              <w:left w:w="28" w:type="dxa"/>
              <w:right w:w="28" w:type="dxa"/>
            </w:tcMar>
            <w:vAlign w:val="center"/>
          </w:tcPr>
          <w:p w14:paraId="4AE3254F"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071B346D" w14:textId="77777777" w:rsidR="009C353B" w:rsidRDefault="009C353B">
            <w:pPr>
              <w:spacing w:line="240" w:lineRule="exact"/>
              <w:jc w:val="center"/>
              <w:rPr>
                <w:rFonts w:hint="eastAsia"/>
                <w:sz w:val="21"/>
                <w:szCs w:val="21"/>
              </w:rPr>
            </w:pPr>
          </w:p>
        </w:tc>
      </w:tr>
      <w:tr w:rsidR="009C353B" w14:paraId="10F1BC6D" w14:textId="77777777">
        <w:trPr>
          <w:trHeight w:val="312"/>
        </w:trPr>
        <w:tc>
          <w:tcPr>
            <w:tcW w:w="515" w:type="dxa"/>
            <w:tcMar>
              <w:left w:w="28" w:type="dxa"/>
              <w:right w:w="28" w:type="dxa"/>
            </w:tcMar>
            <w:vAlign w:val="center"/>
          </w:tcPr>
          <w:p w14:paraId="372B00AC" w14:textId="77777777" w:rsidR="009C353B" w:rsidRDefault="00000000">
            <w:pPr>
              <w:spacing w:line="240" w:lineRule="exact"/>
              <w:jc w:val="center"/>
              <w:rPr>
                <w:rFonts w:hint="eastAsia"/>
                <w:sz w:val="21"/>
                <w:szCs w:val="21"/>
              </w:rPr>
            </w:pPr>
            <w:r>
              <w:rPr>
                <w:rFonts w:hint="eastAsia"/>
                <w:sz w:val="21"/>
                <w:szCs w:val="21"/>
              </w:rPr>
              <w:t>20</w:t>
            </w:r>
          </w:p>
        </w:tc>
        <w:tc>
          <w:tcPr>
            <w:tcW w:w="1423" w:type="dxa"/>
            <w:tcMar>
              <w:left w:w="28" w:type="dxa"/>
              <w:right w:w="28" w:type="dxa"/>
            </w:tcMar>
            <w:vAlign w:val="center"/>
          </w:tcPr>
          <w:p w14:paraId="07C5A665" w14:textId="77777777" w:rsidR="009C353B" w:rsidRDefault="00000000">
            <w:pPr>
              <w:spacing w:line="240" w:lineRule="exact"/>
              <w:jc w:val="center"/>
              <w:rPr>
                <w:rFonts w:hint="eastAsia"/>
                <w:sz w:val="21"/>
                <w:szCs w:val="21"/>
              </w:rPr>
            </w:pPr>
            <w:r>
              <w:rPr>
                <w:sz w:val="21"/>
                <w:szCs w:val="21"/>
              </w:rPr>
              <w:t>油蒿</w:t>
            </w:r>
          </w:p>
        </w:tc>
        <w:tc>
          <w:tcPr>
            <w:tcW w:w="4368" w:type="dxa"/>
            <w:tcMar>
              <w:left w:w="28" w:type="dxa"/>
              <w:right w:w="28" w:type="dxa"/>
            </w:tcMar>
            <w:vAlign w:val="center"/>
          </w:tcPr>
          <w:p w14:paraId="448D3759" w14:textId="77777777" w:rsidR="009C353B" w:rsidRDefault="00000000">
            <w:pPr>
              <w:spacing w:line="240" w:lineRule="exact"/>
              <w:jc w:val="center"/>
              <w:rPr>
                <w:rFonts w:hint="eastAsia"/>
                <w:i/>
                <w:sz w:val="21"/>
                <w:szCs w:val="21"/>
              </w:rPr>
            </w:pPr>
            <w:r>
              <w:rPr>
                <w:i/>
                <w:sz w:val="21"/>
                <w:szCs w:val="21"/>
              </w:rPr>
              <w:t>Artemisia ordocsica Krosch</w:t>
            </w:r>
          </w:p>
        </w:tc>
        <w:tc>
          <w:tcPr>
            <w:tcW w:w="1196" w:type="dxa"/>
            <w:tcMar>
              <w:left w:w="28" w:type="dxa"/>
              <w:right w:w="28" w:type="dxa"/>
            </w:tcMar>
            <w:vAlign w:val="center"/>
          </w:tcPr>
          <w:p w14:paraId="7891362F" w14:textId="77777777" w:rsidR="009C353B" w:rsidRDefault="00000000">
            <w:pPr>
              <w:spacing w:line="240" w:lineRule="exact"/>
              <w:jc w:val="center"/>
              <w:rPr>
                <w:rFonts w:hint="eastAsia"/>
                <w:sz w:val="21"/>
                <w:szCs w:val="21"/>
              </w:rPr>
            </w:pPr>
            <w:r>
              <w:rPr>
                <w:sz w:val="21"/>
                <w:szCs w:val="21"/>
              </w:rPr>
              <w:t>草地、沙地</w:t>
            </w:r>
          </w:p>
        </w:tc>
        <w:tc>
          <w:tcPr>
            <w:tcW w:w="1426" w:type="dxa"/>
            <w:tcMar>
              <w:left w:w="28" w:type="dxa"/>
              <w:right w:w="28" w:type="dxa"/>
            </w:tcMar>
            <w:vAlign w:val="center"/>
          </w:tcPr>
          <w:p w14:paraId="75D895A4" w14:textId="77777777" w:rsidR="009C353B" w:rsidRDefault="009C353B">
            <w:pPr>
              <w:spacing w:line="240" w:lineRule="exact"/>
              <w:jc w:val="center"/>
              <w:rPr>
                <w:rFonts w:hint="eastAsia"/>
                <w:sz w:val="21"/>
                <w:szCs w:val="21"/>
              </w:rPr>
            </w:pPr>
          </w:p>
        </w:tc>
      </w:tr>
      <w:tr w:rsidR="009C353B" w14:paraId="54E30270" w14:textId="77777777">
        <w:trPr>
          <w:trHeight w:val="312"/>
        </w:trPr>
        <w:tc>
          <w:tcPr>
            <w:tcW w:w="515" w:type="dxa"/>
            <w:tcMar>
              <w:left w:w="28" w:type="dxa"/>
              <w:right w:w="28" w:type="dxa"/>
            </w:tcMar>
            <w:vAlign w:val="center"/>
          </w:tcPr>
          <w:p w14:paraId="24D66137" w14:textId="77777777" w:rsidR="009C353B" w:rsidRDefault="00000000">
            <w:pPr>
              <w:spacing w:line="240" w:lineRule="exact"/>
              <w:jc w:val="center"/>
              <w:rPr>
                <w:rFonts w:hint="eastAsia"/>
                <w:sz w:val="21"/>
                <w:szCs w:val="21"/>
              </w:rPr>
            </w:pPr>
            <w:r>
              <w:rPr>
                <w:rFonts w:hint="eastAsia"/>
                <w:sz w:val="21"/>
                <w:szCs w:val="21"/>
              </w:rPr>
              <w:t>21</w:t>
            </w:r>
          </w:p>
        </w:tc>
        <w:tc>
          <w:tcPr>
            <w:tcW w:w="1423" w:type="dxa"/>
            <w:tcMar>
              <w:left w:w="28" w:type="dxa"/>
              <w:right w:w="28" w:type="dxa"/>
            </w:tcMar>
            <w:vAlign w:val="center"/>
          </w:tcPr>
          <w:p w14:paraId="4F5C369F" w14:textId="77777777" w:rsidR="009C353B" w:rsidRDefault="00000000">
            <w:pPr>
              <w:spacing w:line="240" w:lineRule="exact"/>
              <w:jc w:val="center"/>
              <w:rPr>
                <w:rFonts w:hint="eastAsia"/>
                <w:sz w:val="21"/>
                <w:szCs w:val="21"/>
              </w:rPr>
            </w:pPr>
            <w:r>
              <w:rPr>
                <w:sz w:val="21"/>
                <w:szCs w:val="21"/>
              </w:rPr>
              <w:t>阿尔泰狗哇花</w:t>
            </w:r>
          </w:p>
        </w:tc>
        <w:tc>
          <w:tcPr>
            <w:tcW w:w="4368" w:type="dxa"/>
            <w:tcMar>
              <w:left w:w="28" w:type="dxa"/>
              <w:right w:w="28" w:type="dxa"/>
            </w:tcMar>
            <w:vAlign w:val="center"/>
          </w:tcPr>
          <w:p w14:paraId="1FA86215" w14:textId="77777777" w:rsidR="009C353B" w:rsidRDefault="00000000">
            <w:pPr>
              <w:spacing w:line="240" w:lineRule="exact"/>
              <w:jc w:val="center"/>
              <w:rPr>
                <w:rFonts w:hint="eastAsia"/>
                <w:i/>
                <w:sz w:val="21"/>
                <w:szCs w:val="21"/>
              </w:rPr>
            </w:pPr>
            <w:r>
              <w:rPr>
                <w:i/>
                <w:sz w:val="21"/>
                <w:szCs w:val="21"/>
              </w:rPr>
              <w:t>Heteropappus altaicus Novopokr:</w:t>
            </w:r>
          </w:p>
        </w:tc>
        <w:tc>
          <w:tcPr>
            <w:tcW w:w="1196" w:type="dxa"/>
            <w:tcMar>
              <w:left w:w="28" w:type="dxa"/>
              <w:right w:w="28" w:type="dxa"/>
            </w:tcMar>
            <w:vAlign w:val="center"/>
          </w:tcPr>
          <w:p w14:paraId="19C77DD2" w14:textId="77777777" w:rsidR="009C353B" w:rsidRDefault="00000000">
            <w:pPr>
              <w:spacing w:line="240" w:lineRule="exact"/>
              <w:jc w:val="center"/>
              <w:rPr>
                <w:rFonts w:hint="eastAsia"/>
                <w:sz w:val="21"/>
                <w:szCs w:val="21"/>
              </w:rPr>
            </w:pPr>
            <w:r>
              <w:rPr>
                <w:sz w:val="21"/>
                <w:szCs w:val="21"/>
              </w:rPr>
              <w:t>草地</w:t>
            </w:r>
          </w:p>
        </w:tc>
        <w:tc>
          <w:tcPr>
            <w:tcW w:w="1426" w:type="dxa"/>
            <w:tcMar>
              <w:left w:w="28" w:type="dxa"/>
              <w:right w:w="28" w:type="dxa"/>
            </w:tcMar>
            <w:vAlign w:val="center"/>
          </w:tcPr>
          <w:p w14:paraId="1532B1FD" w14:textId="77777777" w:rsidR="009C353B" w:rsidRDefault="009C353B">
            <w:pPr>
              <w:spacing w:line="240" w:lineRule="exact"/>
              <w:jc w:val="center"/>
              <w:rPr>
                <w:rFonts w:hint="eastAsia"/>
                <w:sz w:val="21"/>
                <w:szCs w:val="21"/>
              </w:rPr>
            </w:pPr>
          </w:p>
        </w:tc>
      </w:tr>
      <w:tr w:rsidR="009C353B" w14:paraId="52E04D7E" w14:textId="77777777">
        <w:trPr>
          <w:trHeight w:val="312"/>
        </w:trPr>
        <w:tc>
          <w:tcPr>
            <w:tcW w:w="515" w:type="dxa"/>
            <w:tcMar>
              <w:left w:w="28" w:type="dxa"/>
              <w:right w:w="28" w:type="dxa"/>
            </w:tcMar>
            <w:vAlign w:val="center"/>
          </w:tcPr>
          <w:p w14:paraId="23E16020" w14:textId="77777777" w:rsidR="009C353B" w:rsidRDefault="00000000">
            <w:pPr>
              <w:spacing w:line="240" w:lineRule="exact"/>
              <w:jc w:val="center"/>
              <w:rPr>
                <w:rFonts w:hint="eastAsia"/>
                <w:sz w:val="21"/>
                <w:szCs w:val="21"/>
              </w:rPr>
            </w:pPr>
            <w:r>
              <w:rPr>
                <w:rFonts w:hint="eastAsia"/>
                <w:sz w:val="21"/>
                <w:szCs w:val="21"/>
              </w:rPr>
              <w:t>22</w:t>
            </w:r>
          </w:p>
        </w:tc>
        <w:tc>
          <w:tcPr>
            <w:tcW w:w="1423" w:type="dxa"/>
            <w:tcMar>
              <w:left w:w="28" w:type="dxa"/>
              <w:right w:w="28" w:type="dxa"/>
            </w:tcMar>
            <w:vAlign w:val="center"/>
          </w:tcPr>
          <w:p w14:paraId="18317283" w14:textId="77777777" w:rsidR="009C353B" w:rsidRDefault="00000000">
            <w:pPr>
              <w:spacing w:line="240" w:lineRule="exact"/>
              <w:jc w:val="center"/>
              <w:rPr>
                <w:rFonts w:hint="eastAsia"/>
                <w:sz w:val="21"/>
                <w:szCs w:val="21"/>
              </w:rPr>
            </w:pPr>
            <w:r>
              <w:rPr>
                <w:sz w:val="21"/>
                <w:szCs w:val="21"/>
              </w:rPr>
              <w:t>麻花头</w:t>
            </w:r>
          </w:p>
        </w:tc>
        <w:tc>
          <w:tcPr>
            <w:tcW w:w="4368" w:type="dxa"/>
            <w:tcMar>
              <w:left w:w="28" w:type="dxa"/>
              <w:right w:w="28" w:type="dxa"/>
            </w:tcMar>
            <w:vAlign w:val="center"/>
          </w:tcPr>
          <w:p w14:paraId="3C02B89F" w14:textId="77777777" w:rsidR="009C353B" w:rsidRDefault="00000000">
            <w:pPr>
              <w:spacing w:line="240" w:lineRule="exact"/>
              <w:jc w:val="center"/>
              <w:rPr>
                <w:rFonts w:hint="eastAsia"/>
                <w:i/>
                <w:sz w:val="21"/>
                <w:szCs w:val="21"/>
              </w:rPr>
            </w:pPr>
            <w:r>
              <w:rPr>
                <w:i/>
                <w:sz w:val="21"/>
                <w:szCs w:val="21"/>
              </w:rPr>
              <w:t>Serratula coronata L.</w:t>
            </w:r>
          </w:p>
        </w:tc>
        <w:tc>
          <w:tcPr>
            <w:tcW w:w="1196" w:type="dxa"/>
            <w:tcMar>
              <w:left w:w="28" w:type="dxa"/>
              <w:right w:w="28" w:type="dxa"/>
            </w:tcMar>
            <w:vAlign w:val="center"/>
          </w:tcPr>
          <w:p w14:paraId="4F718BF8" w14:textId="77777777" w:rsidR="009C353B" w:rsidRDefault="00000000">
            <w:pPr>
              <w:spacing w:line="240" w:lineRule="exact"/>
              <w:jc w:val="center"/>
              <w:rPr>
                <w:rFonts w:hint="eastAsia"/>
                <w:sz w:val="21"/>
                <w:szCs w:val="21"/>
              </w:rPr>
            </w:pPr>
            <w:r>
              <w:rPr>
                <w:sz w:val="21"/>
                <w:szCs w:val="21"/>
              </w:rPr>
              <w:t>草地</w:t>
            </w:r>
          </w:p>
        </w:tc>
        <w:tc>
          <w:tcPr>
            <w:tcW w:w="1426" w:type="dxa"/>
            <w:tcMar>
              <w:left w:w="28" w:type="dxa"/>
              <w:right w:w="28" w:type="dxa"/>
            </w:tcMar>
            <w:vAlign w:val="center"/>
          </w:tcPr>
          <w:p w14:paraId="52138BA0" w14:textId="77777777" w:rsidR="009C353B" w:rsidRDefault="009C353B">
            <w:pPr>
              <w:spacing w:line="240" w:lineRule="exact"/>
              <w:jc w:val="center"/>
              <w:rPr>
                <w:rFonts w:hint="eastAsia"/>
                <w:sz w:val="21"/>
                <w:szCs w:val="21"/>
              </w:rPr>
            </w:pPr>
          </w:p>
        </w:tc>
      </w:tr>
      <w:tr w:rsidR="009C353B" w14:paraId="1AFD0387" w14:textId="77777777">
        <w:trPr>
          <w:trHeight w:val="312"/>
        </w:trPr>
        <w:tc>
          <w:tcPr>
            <w:tcW w:w="515" w:type="dxa"/>
            <w:tcMar>
              <w:left w:w="28" w:type="dxa"/>
              <w:right w:w="28" w:type="dxa"/>
            </w:tcMar>
            <w:vAlign w:val="center"/>
          </w:tcPr>
          <w:p w14:paraId="0209C8D9" w14:textId="77777777" w:rsidR="009C353B" w:rsidRDefault="009C353B">
            <w:pPr>
              <w:spacing w:line="240" w:lineRule="exact"/>
              <w:jc w:val="center"/>
              <w:rPr>
                <w:rFonts w:hint="eastAsia"/>
                <w:sz w:val="21"/>
                <w:szCs w:val="21"/>
              </w:rPr>
            </w:pPr>
          </w:p>
        </w:tc>
        <w:tc>
          <w:tcPr>
            <w:tcW w:w="1423" w:type="dxa"/>
            <w:tcMar>
              <w:left w:w="28" w:type="dxa"/>
              <w:right w:w="28" w:type="dxa"/>
            </w:tcMar>
            <w:vAlign w:val="center"/>
          </w:tcPr>
          <w:p w14:paraId="4C6AD9CA" w14:textId="77777777" w:rsidR="009C353B" w:rsidRDefault="00000000">
            <w:pPr>
              <w:spacing w:line="240" w:lineRule="exact"/>
              <w:jc w:val="center"/>
              <w:rPr>
                <w:rFonts w:hint="eastAsia"/>
                <w:sz w:val="21"/>
                <w:szCs w:val="21"/>
              </w:rPr>
            </w:pPr>
            <w:r>
              <w:rPr>
                <w:sz w:val="21"/>
                <w:szCs w:val="21"/>
              </w:rPr>
              <w:t>禾本科</w:t>
            </w:r>
          </w:p>
        </w:tc>
        <w:tc>
          <w:tcPr>
            <w:tcW w:w="4368" w:type="dxa"/>
            <w:tcMar>
              <w:left w:w="28" w:type="dxa"/>
              <w:right w:w="28" w:type="dxa"/>
            </w:tcMar>
            <w:vAlign w:val="center"/>
          </w:tcPr>
          <w:p w14:paraId="3A31F3A0" w14:textId="77777777" w:rsidR="009C353B" w:rsidRDefault="00000000">
            <w:pPr>
              <w:spacing w:line="240" w:lineRule="exact"/>
              <w:jc w:val="center"/>
              <w:rPr>
                <w:rFonts w:hint="eastAsia"/>
                <w:i/>
                <w:sz w:val="21"/>
                <w:szCs w:val="21"/>
              </w:rPr>
            </w:pPr>
            <w:r>
              <w:rPr>
                <w:i/>
                <w:sz w:val="21"/>
                <w:szCs w:val="21"/>
              </w:rPr>
              <w:t>Grarnineae</w:t>
            </w:r>
          </w:p>
        </w:tc>
        <w:tc>
          <w:tcPr>
            <w:tcW w:w="1196" w:type="dxa"/>
            <w:tcMar>
              <w:left w:w="28" w:type="dxa"/>
              <w:right w:w="28" w:type="dxa"/>
            </w:tcMar>
            <w:vAlign w:val="center"/>
          </w:tcPr>
          <w:p w14:paraId="295C186B" w14:textId="77777777" w:rsidR="009C353B" w:rsidRDefault="009C353B">
            <w:pPr>
              <w:spacing w:line="240" w:lineRule="exact"/>
              <w:jc w:val="center"/>
              <w:rPr>
                <w:rFonts w:hint="eastAsia"/>
                <w:sz w:val="21"/>
                <w:szCs w:val="21"/>
              </w:rPr>
            </w:pPr>
          </w:p>
        </w:tc>
        <w:tc>
          <w:tcPr>
            <w:tcW w:w="1426" w:type="dxa"/>
            <w:tcMar>
              <w:left w:w="28" w:type="dxa"/>
              <w:right w:w="28" w:type="dxa"/>
            </w:tcMar>
            <w:vAlign w:val="center"/>
          </w:tcPr>
          <w:p w14:paraId="4D218BCD" w14:textId="77777777" w:rsidR="009C353B" w:rsidRDefault="009C353B">
            <w:pPr>
              <w:spacing w:line="240" w:lineRule="exact"/>
              <w:jc w:val="center"/>
              <w:rPr>
                <w:rFonts w:hint="eastAsia"/>
                <w:sz w:val="21"/>
                <w:szCs w:val="21"/>
              </w:rPr>
            </w:pPr>
          </w:p>
        </w:tc>
      </w:tr>
      <w:tr w:rsidR="009C353B" w14:paraId="378CECD7" w14:textId="77777777">
        <w:trPr>
          <w:trHeight w:val="312"/>
        </w:trPr>
        <w:tc>
          <w:tcPr>
            <w:tcW w:w="515" w:type="dxa"/>
            <w:tcMar>
              <w:left w:w="28" w:type="dxa"/>
              <w:right w:w="28" w:type="dxa"/>
            </w:tcMar>
            <w:vAlign w:val="center"/>
          </w:tcPr>
          <w:p w14:paraId="777D1387" w14:textId="77777777" w:rsidR="009C353B" w:rsidRDefault="00000000">
            <w:pPr>
              <w:spacing w:line="240" w:lineRule="exact"/>
              <w:jc w:val="center"/>
              <w:rPr>
                <w:rFonts w:hint="eastAsia"/>
                <w:sz w:val="21"/>
                <w:szCs w:val="21"/>
              </w:rPr>
            </w:pPr>
            <w:r>
              <w:rPr>
                <w:rFonts w:hint="eastAsia"/>
                <w:sz w:val="21"/>
                <w:szCs w:val="21"/>
              </w:rPr>
              <w:t>23</w:t>
            </w:r>
          </w:p>
        </w:tc>
        <w:tc>
          <w:tcPr>
            <w:tcW w:w="1423" w:type="dxa"/>
            <w:tcMar>
              <w:left w:w="28" w:type="dxa"/>
              <w:right w:w="28" w:type="dxa"/>
            </w:tcMar>
            <w:vAlign w:val="center"/>
          </w:tcPr>
          <w:p w14:paraId="146318CF" w14:textId="77777777" w:rsidR="009C353B" w:rsidRDefault="00000000">
            <w:pPr>
              <w:spacing w:line="240" w:lineRule="exact"/>
              <w:jc w:val="center"/>
              <w:rPr>
                <w:rFonts w:hint="eastAsia"/>
                <w:sz w:val="21"/>
                <w:szCs w:val="21"/>
              </w:rPr>
            </w:pPr>
            <w:r>
              <w:rPr>
                <w:sz w:val="21"/>
                <w:szCs w:val="21"/>
              </w:rPr>
              <w:t>芨芨草</w:t>
            </w:r>
          </w:p>
        </w:tc>
        <w:tc>
          <w:tcPr>
            <w:tcW w:w="4368" w:type="dxa"/>
            <w:tcMar>
              <w:left w:w="28" w:type="dxa"/>
              <w:right w:w="28" w:type="dxa"/>
            </w:tcMar>
            <w:vAlign w:val="center"/>
          </w:tcPr>
          <w:p w14:paraId="38BB6CEE" w14:textId="77777777" w:rsidR="009C353B" w:rsidRDefault="00000000">
            <w:pPr>
              <w:spacing w:line="240" w:lineRule="exact"/>
              <w:jc w:val="center"/>
              <w:rPr>
                <w:rFonts w:hint="eastAsia"/>
                <w:i/>
                <w:sz w:val="21"/>
                <w:szCs w:val="21"/>
              </w:rPr>
            </w:pPr>
            <w:r>
              <w:rPr>
                <w:i/>
                <w:sz w:val="21"/>
                <w:szCs w:val="21"/>
              </w:rPr>
              <w:t>Achnatherum splendens(Trin.)Nevski</w:t>
            </w:r>
          </w:p>
        </w:tc>
        <w:tc>
          <w:tcPr>
            <w:tcW w:w="1196" w:type="dxa"/>
            <w:tcMar>
              <w:left w:w="28" w:type="dxa"/>
              <w:right w:w="28" w:type="dxa"/>
            </w:tcMar>
            <w:vAlign w:val="center"/>
          </w:tcPr>
          <w:p w14:paraId="094EB4FD" w14:textId="77777777" w:rsidR="009C353B" w:rsidRDefault="00000000">
            <w:pPr>
              <w:spacing w:line="240" w:lineRule="exact"/>
              <w:jc w:val="center"/>
              <w:rPr>
                <w:rFonts w:hint="eastAsia"/>
                <w:sz w:val="21"/>
                <w:szCs w:val="21"/>
              </w:rPr>
            </w:pPr>
            <w:r>
              <w:rPr>
                <w:sz w:val="21"/>
                <w:szCs w:val="21"/>
              </w:rPr>
              <w:t>草</w:t>
            </w:r>
            <w:r>
              <w:rPr>
                <w:rFonts w:hint="eastAsia"/>
                <w:sz w:val="21"/>
                <w:szCs w:val="21"/>
              </w:rPr>
              <w:t>地</w:t>
            </w:r>
          </w:p>
        </w:tc>
        <w:tc>
          <w:tcPr>
            <w:tcW w:w="1426" w:type="dxa"/>
            <w:tcMar>
              <w:left w:w="28" w:type="dxa"/>
              <w:right w:w="28" w:type="dxa"/>
            </w:tcMar>
            <w:vAlign w:val="center"/>
          </w:tcPr>
          <w:p w14:paraId="2B820F2D" w14:textId="77777777" w:rsidR="009C353B" w:rsidRDefault="009C353B">
            <w:pPr>
              <w:spacing w:line="240" w:lineRule="exact"/>
              <w:jc w:val="center"/>
              <w:rPr>
                <w:rFonts w:hint="eastAsia"/>
                <w:sz w:val="21"/>
                <w:szCs w:val="21"/>
              </w:rPr>
            </w:pPr>
          </w:p>
        </w:tc>
      </w:tr>
      <w:tr w:rsidR="009C353B" w14:paraId="09CC2162" w14:textId="77777777">
        <w:trPr>
          <w:trHeight w:val="312"/>
        </w:trPr>
        <w:tc>
          <w:tcPr>
            <w:tcW w:w="515" w:type="dxa"/>
            <w:tcMar>
              <w:left w:w="28" w:type="dxa"/>
              <w:right w:w="28" w:type="dxa"/>
            </w:tcMar>
            <w:vAlign w:val="center"/>
          </w:tcPr>
          <w:p w14:paraId="3466D67D" w14:textId="77777777" w:rsidR="009C353B" w:rsidRDefault="00000000">
            <w:pPr>
              <w:spacing w:line="240" w:lineRule="exact"/>
              <w:jc w:val="center"/>
              <w:rPr>
                <w:rFonts w:hint="eastAsia"/>
                <w:sz w:val="21"/>
                <w:szCs w:val="21"/>
              </w:rPr>
            </w:pPr>
            <w:r>
              <w:rPr>
                <w:rFonts w:hint="eastAsia"/>
                <w:sz w:val="21"/>
                <w:szCs w:val="21"/>
              </w:rPr>
              <w:t>24</w:t>
            </w:r>
          </w:p>
        </w:tc>
        <w:tc>
          <w:tcPr>
            <w:tcW w:w="1423" w:type="dxa"/>
            <w:tcMar>
              <w:left w:w="28" w:type="dxa"/>
              <w:right w:w="28" w:type="dxa"/>
            </w:tcMar>
            <w:vAlign w:val="center"/>
          </w:tcPr>
          <w:p w14:paraId="683F3FD7" w14:textId="77777777" w:rsidR="009C353B" w:rsidRDefault="00000000">
            <w:pPr>
              <w:spacing w:line="240" w:lineRule="exact"/>
              <w:jc w:val="center"/>
              <w:rPr>
                <w:rFonts w:hint="eastAsia"/>
                <w:sz w:val="21"/>
                <w:szCs w:val="21"/>
              </w:rPr>
            </w:pPr>
            <w:r>
              <w:rPr>
                <w:sz w:val="21"/>
                <w:szCs w:val="21"/>
              </w:rPr>
              <w:t>羊草</w:t>
            </w:r>
          </w:p>
        </w:tc>
        <w:tc>
          <w:tcPr>
            <w:tcW w:w="4368" w:type="dxa"/>
            <w:tcMar>
              <w:left w:w="28" w:type="dxa"/>
              <w:right w:w="28" w:type="dxa"/>
            </w:tcMar>
            <w:vAlign w:val="center"/>
          </w:tcPr>
          <w:p w14:paraId="5D81116A" w14:textId="77777777" w:rsidR="009C353B" w:rsidRDefault="00000000">
            <w:pPr>
              <w:spacing w:line="240" w:lineRule="exact"/>
              <w:jc w:val="center"/>
              <w:rPr>
                <w:rFonts w:hint="eastAsia"/>
                <w:i/>
                <w:sz w:val="21"/>
                <w:szCs w:val="21"/>
              </w:rPr>
            </w:pPr>
            <w:r>
              <w:rPr>
                <w:i/>
                <w:sz w:val="21"/>
                <w:szCs w:val="21"/>
              </w:rPr>
              <w:t>Aneurolepidium chinense Kitagawa</w:t>
            </w:r>
          </w:p>
        </w:tc>
        <w:tc>
          <w:tcPr>
            <w:tcW w:w="1196" w:type="dxa"/>
            <w:tcMar>
              <w:left w:w="28" w:type="dxa"/>
              <w:right w:w="28" w:type="dxa"/>
            </w:tcMar>
            <w:vAlign w:val="center"/>
          </w:tcPr>
          <w:p w14:paraId="3B860871" w14:textId="77777777" w:rsidR="009C353B" w:rsidRDefault="00000000">
            <w:pPr>
              <w:spacing w:line="240" w:lineRule="exact"/>
              <w:jc w:val="center"/>
              <w:rPr>
                <w:rFonts w:hint="eastAsia"/>
                <w:sz w:val="21"/>
                <w:szCs w:val="21"/>
              </w:rPr>
            </w:pPr>
            <w:r>
              <w:rPr>
                <w:sz w:val="21"/>
                <w:szCs w:val="21"/>
              </w:rPr>
              <w:t>草地</w:t>
            </w:r>
          </w:p>
        </w:tc>
        <w:tc>
          <w:tcPr>
            <w:tcW w:w="1426" w:type="dxa"/>
            <w:tcMar>
              <w:left w:w="28" w:type="dxa"/>
              <w:right w:w="28" w:type="dxa"/>
            </w:tcMar>
            <w:vAlign w:val="center"/>
          </w:tcPr>
          <w:p w14:paraId="1FFEB756" w14:textId="77777777" w:rsidR="009C353B" w:rsidRDefault="009C353B">
            <w:pPr>
              <w:spacing w:line="240" w:lineRule="exact"/>
              <w:jc w:val="center"/>
              <w:rPr>
                <w:rFonts w:hint="eastAsia"/>
                <w:sz w:val="21"/>
                <w:szCs w:val="21"/>
              </w:rPr>
            </w:pPr>
          </w:p>
        </w:tc>
      </w:tr>
      <w:tr w:rsidR="009C353B" w14:paraId="4647C3FA" w14:textId="77777777">
        <w:trPr>
          <w:trHeight w:val="312"/>
        </w:trPr>
        <w:tc>
          <w:tcPr>
            <w:tcW w:w="515" w:type="dxa"/>
            <w:tcMar>
              <w:left w:w="28" w:type="dxa"/>
              <w:right w:w="28" w:type="dxa"/>
            </w:tcMar>
            <w:vAlign w:val="center"/>
          </w:tcPr>
          <w:p w14:paraId="7729567C" w14:textId="77777777" w:rsidR="009C353B" w:rsidRDefault="00000000">
            <w:pPr>
              <w:spacing w:line="240" w:lineRule="exact"/>
              <w:jc w:val="center"/>
              <w:rPr>
                <w:rFonts w:hint="eastAsia"/>
                <w:sz w:val="21"/>
                <w:szCs w:val="21"/>
              </w:rPr>
            </w:pPr>
            <w:r>
              <w:rPr>
                <w:rFonts w:hint="eastAsia"/>
                <w:sz w:val="21"/>
                <w:szCs w:val="21"/>
              </w:rPr>
              <w:t>25</w:t>
            </w:r>
          </w:p>
        </w:tc>
        <w:tc>
          <w:tcPr>
            <w:tcW w:w="1423" w:type="dxa"/>
            <w:tcMar>
              <w:left w:w="28" w:type="dxa"/>
              <w:right w:w="28" w:type="dxa"/>
            </w:tcMar>
            <w:vAlign w:val="center"/>
          </w:tcPr>
          <w:p w14:paraId="07E7C17F" w14:textId="77777777" w:rsidR="009C353B" w:rsidRDefault="00000000">
            <w:pPr>
              <w:spacing w:line="240" w:lineRule="exact"/>
              <w:jc w:val="center"/>
              <w:rPr>
                <w:rFonts w:hint="eastAsia"/>
                <w:sz w:val="21"/>
                <w:szCs w:val="21"/>
              </w:rPr>
            </w:pPr>
            <w:r>
              <w:rPr>
                <w:sz w:val="21"/>
                <w:szCs w:val="21"/>
              </w:rPr>
              <w:t>无芒隐子草</w:t>
            </w:r>
          </w:p>
        </w:tc>
        <w:tc>
          <w:tcPr>
            <w:tcW w:w="4368" w:type="dxa"/>
            <w:tcMar>
              <w:left w:w="28" w:type="dxa"/>
              <w:right w:w="28" w:type="dxa"/>
            </w:tcMar>
            <w:vAlign w:val="center"/>
          </w:tcPr>
          <w:p w14:paraId="60F6CEB8" w14:textId="77777777" w:rsidR="009C353B" w:rsidRDefault="00000000">
            <w:pPr>
              <w:spacing w:line="240" w:lineRule="exact"/>
              <w:jc w:val="center"/>
              <w:rPr>
                <w:rFonts w:hint="eastAsia"/>
                <w:i/>
                <w:sz w:val="21"/>
                <w:szCs w:val="21"/>
              </w:rPr>
            </w:pPr>
            <w:r>
              <w:rPr>
                <w:i/>
                <w:sz w:val="21"/>
                <w:szCs w:val="21"/>
              </w:rPr>
              <w:t>Cleistogenes songarica(Roshev.)Ohwi</w:t>
            </w:r>
          </w:p>
        </w:tc>
        <w:tc>
          <w:tcPr>
            <w:tcW w:w="1196" w:type="dxa"/>
            <w:tcMar>
              <w:left w:w="28" w:type="dxa"/>
              <w:right w:w="28" w:type="dxa"/>
            </w:tcMar>
            <w:vAlign w:val="center"/>
          </w:tcPr>
          <w:p w14:paraId="776561C6" w14:textId="77777777" w:rsidR="009C353B" w:rsidRDefault="00000000">
            <w:pPr>
              <w:spacing w:line="240" w:lineRule="exact"/>
              <w:jc w:val="center"/>
              <w:rPr>
                <w:rFonts w:hint="eastAsia"/>
                <w:sz w:val="21"/>
                <w:szCs w:val="21"/>
              </w:rPr>
            </w:pPr>
            <w:r>
              <w:rPr>
                <w:sz w:val="21"/>
                <w:szCs w:val="21"/>
              </w:rPr>
              <w:t>草地</w:t>
            </w:r>
          </w:p>
        </w:tc>
        <w:tc>
          <w:tcPr>
            <w:tcW w:w="1426" w:type="dxa"/>
            <w:tcMar>
              <w:left w:w="28" w:type="dxa"/>
              <w:right w:w="28" w:type="dxa"/>
            </w:tcMar>
            <w:vAlign w:val="center"/>
          </w:tcPr>
          <w:p w14:paraId="0764EF94" w14:textId="77777777" w:rsidR="009C353B" w:rsidRDefault="009C353B">
            <w:pPr>
              <w:spacing w:line="240" w:lineRule="exact"/>
              <w:jc w:val="center"/>
              <w:rPr>
                <w:rFonts w:hint="eastAsia"/>
                <w:sz w:val="21"/>
                <w:szCs w:val="21"/>
              </w:rPr>
            </w:pPr>
          </w:p>
        </w:tc>
      </w:tr>
      <w:tr w:rsidR="009C353B" w14:paraId="4E81A2BC" w14:textId="77777777">
        <w:trPr>
          <w:trHeight w:val="312"/>
        </w:trPr>
        <w:tc>
          <w:tcPr>
            <w:tcW w:w="515" w:type="dxa"/>
            <w:tcMar>
              <w:left w:w="28" w:type="dxa"/>
              <w:right w:w="28" w:type="dxa"/>
            </w:tcMar>
            <w:vAlign w:val="center"/>
          </w:tcPr>
          <w:p w14:paraId="4A362509" w14:textId="77777777" w:rsidR="009C353B" w:rsidRDefault="00000000">
            <w:pPr>
              <w:spacing w:line="240" w:lineRule="exact"/>
              <w:jc w:val="center"/>
              <w:rPr>
                <w:rFonts w:hint="eastAsia"/>
                <w:sz w:val="21"/>
                <w:szCs w:val="21"/>
              </w:rPr>
            </w:pPr>
            <w:r>
              <w:rPr>
                <w:rFonts w:hint="eastAsia"/>
                <w:sz w:val="21"/>
                <w:szCs w:val="21"/>
              </w:rPr>
              <w:t>26</w:t>
            </w:r>
          </w:p>
        </w:tc>
        <w:tc>
          <w:tcPr>
            <w:tcW w:w="1423" w:type="dxa"/>
            <w:tcMar>
              <w:left w:w="28" w:type="dxa"/>
              <w:right w:w="28" w:type="dxa"/>
            </w:tcMar>
            <w:vAlign w:val="center"/>
          </w:tcPr>
          <w:p w14:paraId="1A37B498" w14:textId="77777777" w:rsidR="009C353B" w:rsidRDefault="00000000">
            <w:pPr>
              <w:spacing w:line="240" w:lineRule="exact"/>
              <w:jc w:val="center"/>
              <w:rPr>
                <w:rFonts w:hint="eastAsia"/>
                <w:sz w:val="21"/>
                <w:szCs w:val="21"/>
              </w:rPr>
            </w:pPr>
            <w:r>
              <w:rPr>
                <w:sz w:val="21"/>
                <w:szCs w:val="21"/>
              </w:rPr>
              <w:t>狗尾草</w:t>
            </w:r>
          </w:p>
        </w:tc>
        <w:tc>
          <w:tcPr>
            <w:tcW w:w="4368" w:type="dxa"/>
            <w:tcMar>
              <w:left w:w="28" w:type="dxa"/>
              <w:right w:w="28" w:type="dxa"/>
            </w:tcMar>
            <w:vAlign w:val="center"/>
          </w:tcPr>
          <w:p w14:paraId="6617FB64" w14:textId="77777777" w:rsidR="009C353B" w:rsidRDefault="00000000">
            <w:pPr>
              <w:spacing w:line="240" w:lineRule="exact"/>
              <w:jc w:val="center"/>
              <w:rPr>
                <w:rFonts w:hint="eastAsia"/>
                <w:i/>
                <w:sz w:val="21"/>
                <w:szCs w:val="21"/>
              </w:rPr>
            </w:pPr>
            <w:r>
              <w:rPr>
                <w:i/>
                <w:sz w:val="21"/>
                <w:szCs w:val="21"/>
              </w:rPr>
              <w:t>Pennisetum alopecuroides (</w:t>
            </w:r>
            <w:r>
              <w:rPr>
                <w:rFonts w:hint="eastAsia"/>
                <w:i/>
                <w:sz w:val="21"/>
                <w:szCs w:val="21"/>
              </w:rPr>
              <w:t>L</w:t>
            </w:r>
            <w:r>
              <w:rPr>
                <w:i/>
                <w:sz w:val="21"/>
                <w:szCs w:val="21"/>
              </w:rPr>
              <w:t>.) Spreng.</w:t>
            </w:r>
          </w:p>
        </w:tc>
        <w:tc>
          <w:tcPr>
            <w:tcW w:w="1196" w:type="dxa"/>
            <w:tcMar>
              <w:left w:w="28" w:type="dxa"/>
              <w:right w:w="28" w:type="dxa"/>
            </w:tcMar>
            <w:vAlign w:val="center"/>
          </w:tcPr>
          <w:p w14:paraId="411412CE" w14:textId="77777777" w:rsidR="009C353B" w:rsidRDefault="00000000">
            <w:pPr>
              <w:spacing w:line="240" w:lineRule="exact"/>
              <w:jc w:val="center"/>
              <w:rPr>
                <w:rFonts w:hint="eastAsia"/>
                <w:sz w:val="21"/>
                <w:szCs w:val="21"/>
              </w:rPr>
            </w:pPr>
            <w:r>
              <w:rPr>
                <w:sz w:val="21"/>
                <w:szCs w:val="21"/>
              </w:rPr>
              <w:t>草地</w:t>
            </w:r>
          </w:p>
        </w:tc>
        <w:tc>
          <w:tcPr>
            <w:tcW w:w="1426" w:type="dxa"/>
            <w:tcMar>
              <w:left w:w="28" w:type="dxa"/>
              <w:right w:w="28" w:type="dxa"/>
            </w:tcMar>
            <w:vAlign w:val="center"/>
          </w:tcPr>
          <w:p w14:paraId="3A223CC2" w14:textId="77777777" w:rsidR="009C353B" w:rsidRDefault="009C353B">
            <w:pPr>
              <w:spacing w:line="240" w:lineRule="exact"/>
              <w:jc w:val="center"/>
              <w:rPr>
                <w:rFonts w:hint="eastAsia"/>
                <w:sz w:val="21"/>
                <w:szCs w:val="21"/>
              </w:rPr>
            </w:pPr>
          </w:p>
        </w:tc>
      </w:tr>
      <w:tr w:rsidR="009C353B" w14:paraId="12FCABAD" w14:textId="77777777">
        <w:trPr>
          <w:trHeight w:val="312"/>
        </w:trPr>
        <w:tc>
          <w:tcPr>
            <w:tcW w:w="515" w:type="dxa"/>
            <w:tcMar>
              <w:left w:w="28" w:type="dxa"/>
              <w:right w:w="28" w:type="dxa"/>
            </w:tcMar>
            <w:vAlign w:val="center"/>
          </w:tcPr>
          <w:p w14:paraId="5E4CF258" w14:textId="77777777" w:rsidR="009C353B" w:rsidRDefault="00000000">
            <w:pPr>
              <w:spacing w:line="240" w:lineRule="exact"/>
              <w:jc w:val="center"/>
              <w:rPr>
                <w:rFonts w:hint="eastAsia"/>
                <w:sz w:val="21"/>
                <w:szCs w:val="21"/>
              </w:rPr>
            </w:pPr>
            <w:r>
              <w:rPr>
                <w:rFonts w:hint="eastAsia"/>
                <w:sz w:val="21"/>
                <w:szCs w:val="21"/>
              </w:rPr>
              <w:t>27</w:t>
            </w:r>
          </w:p>
        </w:tc>
        <w:tc>
          <w:tcPr>
            <w:tcW w:w="1423" w:type="dxa"/>
            <w:tcMar>
              <w:left w:w="28" w:type="dxa"/>
              <w:right w:w="28" w:type="dxa"/>
            </w:tcMar>
            <w:vAlign w:val="center"/>
          </w:tcPr>
          <w:p w14:paraId="48F9F0F6" w14:textId="77777777" w:rsidR="009C353B" w:rsidRDefault="00000000">
            <w:pPr>
              <w:spacing w:line="240" w:lineRule="exact"/>
              <w:jc w:val="center"/>
              <w:rPr>
                <w:rFonts w:hint="eastAsia"/>
                <w:sz w:val="21"/>
                <w:szCs w:val="21"/>
              </w:rPr>
            </w:pPr>
            <w:r>
              <w:rPr>
                <w:sz w:val="21"/>
                <w:szCs w:val="21"/>
              </w:rPr>
              <w:t>短花针茅</w:t>
            </w:r>
          </w:p>
        </w:tc>
        <w:tc>
          <w:tcPr>
            <w:tcW w:w="4368" w:type="dxa"/>
            <w:tcMar>
              <w:left w:w="28" w:type="dxa"/>
              <w:right w:w="28" w:type="dxa"/>
            </w:tcMar>
            <w:vAlign w:val="center"/>
          </w:tcPr>
          <w:p w14:paraId="379DE2C9" w14:textId="77777777" w:rsidR="009C353B" w:rsidRDefault="00000000">
            <w:pPr>
              <w:spacing w:line="240" w:lineRule="exact"/>
              <w:jc w:val="center"/>
              <w:rPr>
                <w:rFonts w:hint="eastAsia"/>
                <w:i/>
                <w:sz w:val="21"/>
                <w:szCs w:val="21"/>
              </w:rPr>
            </w:pPr>
            <w:r>
              <w:rPr>
                <w:i/>
                <w:sz w:val="21"/>
                <w:szCs w:val="21"/>
              </w:rPr>
              <w:t>Stipa breviflora Griseb</w:t>
            </w:r>
          </w:p>
        </w:tc>
        <w:tc>
          <w:tcPr>
            <w:tcW w:w="1196" w:type="dxa"/>
            <w:tcMar>
              <w:left w:w="28" w:type="dxa"/>
              <w:right w:w="28" w:type="dxa"/>
            </w:tcMar>
            <w:vAlign w:val="center"/>
          </w:tcPr>
          <w:p w14:paraId="3F12158E" w14:textId="77777777" w:rsidR="009C353B" w:rsidRDefault="00000000">
            <w:pPr>
              <w:spacing w:line="240" w:lineRule="exact"/>
              <w:jc w:val="center"/>
              <w:rPr>
                <w:rFonts w:hint="eastAsia"/>
                <w:sz w:val="21"/>
                <w:szCs w:val="21"/>
              </w:rPr>
            </w:pPr>
            <w:r>
              <w:rPr>
                <w:sz w:val="21"/>
                <w:szCs w:val="21"/>
              </w:rPr>
              <w:t>草地</w:t>
            </w:r>
          </w:p>
        </w:tc>
        <w:tc>
          <w:tcPr>
            <w:tcW w:w="1426" w:type="dxa"/>
            <w:tcMar>
              <w:left w:w="28" w:type="dxa"/>
              <w:right w:w="28" w:type="dxa"/>
            </w:tcMar>
            <w:vAlign w:val="center"/>
          </w:tcPr>
          <w:p w14:paraId="33D1CEF0" w14:textId="77777777" w:rsidR="009C353B" w:rsidRDefault="009C353B">
            <w:pPr>
              <w:spacing w:line="240" w:lineRule="exact"/>
              <w:jc w:val="center"/>
              <w:rPr>
                <w:rFonts w:hint="eastAsia"/>
                <w:sz w:val="21"/>
                <w:szCs w:val="21"/>
              </w:rPr>
            </w:pPr>
          </w:p>
        </w:tc>
      </w:tr>
      <w:tr w:rsidR="009C353B" w14:paraId="364F8E04" w14:textId="77777777">
        <w:trPr>
          <w:trHeight w:val="312"/>
        </w:trPr>
        <w:tc>
          <w:tcPr>
            <w:tcW w:w="515" w:type="dxa"/>
            <w:tcMar>
              <w:left w:w="28" w:type="dxa"/>
              <w:right w:w="28" w:type="dxa"/>
            </w:tcMar>
            <w:vAlign w:val="center"/>
          </w:tcPr>
          <w:p w14:paraId="0252C133" w14:textId="77777777" w:rsidR="009C353B" w:rsidRDefault="00000000">
            <w:pPr>
              <w:spacing w:line="240" w:lineRule="exact"/>
              <w:jc w:val="center"/>
              <w:rPr>
                <w:rFonts w:hint="eastAsia"/>
                <w:sz w:val="21"/>
                <w:szCs w:val="21"/>
              </w:rPr>
            </w:pPr>
            <w:r>
              <w:rPr>
                <w:rFonts w:hint="eastAsia"/>
                <w:sz w:val="21"/>
                <w:szCs w:val="21"/>
              </w:rPr>
              <w:t>28</w:t>
            </w:r>
          </w:p>
        </w:tc>
        <w:tc>
          <w:tcPr>
            <w:tcW w:w="1423" w:type="dxa"/>
            <w:tcMar>
              <w:left w:w="28" w:type="dxa"/>
              <w:right w:w="28" w:type="dxa"/>
            </w:tcMar>
            <w:vAlign w:val="center"/>
          </w:tcPr>
          <w:p w14:paraId="3BCA8197" w14:textId="77777777" w:rsidR="009C353B" w:rsidRDefault="00000000">
            <w:pPr>
              <w:spacing w:line="240" w:lineRule="exact"/>
              <w:jc w:val="center"/>
              <w:rPr>
                <w:rFonts w:hint="eastAsia"/>
                <w:sz w:val="21"/>
                <w:szCs w:val="21"/>
              </w:rPr>
            </w:pPr>
            <w:r>
              <w:rPr>
                <w:sz w:val="21"/>
                <w:szCs w:val="21"/>
              </w:rPr>
              <w:t>戈壁针茅</w:t>
            </w:r>
          </w:p>
        </w:tc>
        <w:tc>
          <w:tcPr>
            <w:tcW w:w="4368" w:type="dxa"/>
            <w:tcMar>
              <w:left w:w="28" w:type="dxa"/>
              <w:right w:w="28" w:type="dxa"/>
            </w:tcMar>
            <w:vAlign w:val="center"/>
          </w:tcPr>
          <w:p w14:paraId="62DA634F" w14:textId="77777777" w:rsidR="009C353B" w:rsidRDefault="00000000">
            <w:pPr>
              <w:spacing w:line="240" w:lineRule="exact"/>
              <w:jc w:val="center"/>
              <w:rPr>
                <w:rFonts w:hint="eastAsia"/>
                <w:i/>
                <w:sz w:val="21"/>
                <w:szCs w:val="21"/>
              </w:rPr>
            </w:pPr>
            <w:r>
              <w:rPr>
                <w:i/>
                <w:sz w:val="21"/>
                <w:szCs w:val="21"/>
              </w:rPr>
              <w:t>Stipa goboca Rishev.</w:t>
            </w:r>
          </w:p>
        </w:tc>
        <w:tc>
          <w:tcPr>
            <w:tcW w:w="1196" w:type="dxa"/>
            <w:tcMar>
              <w:left w:w="28" w:type="dxa"/>
              <w:right w:w="28" w:type="dxa"/>
            </w:tcMar>
            <w:vAlign w:val="center"/>
          </w:tcPr>
          <w:p w14:paraId="6F20BC4A" w14:textId="77777777" w:rsidR="009C353B" w:rsidRDefault="00000000">
            <w:pPr>
              <w:spacing w:line="240" w:lineRule="exact"/>
              <w:jc w:val="center"/>
              <w:rPr>
                <w:rFonts w:hint="eastAsia"/>
                <w:sz w:val="21"/>
                <w:szCs w:val="21"/>
              </w:rPr>
            </w:pPr>
            <w:r>
              <w:rPr>
                <w:sz w:val="21"/>
                <w:szCs w:val="21"/>
              </w:rPr>
              <w:t>草地</w:t>
            </w:r>
          </w:p>
        </w:tc>
        <w:tc>
          <w:tcPr>
            <w:tcW w:w="1426" w:type="dxa"/>
            <w:tcMar>
              <w:left w:w="28" w:type="dxa"/>
              <w:right w:w="28" w:type="dxa"/>
            </w:tcMar>
            <w:vAlign w:val="center"/>
          </w:tcPr>
          <w:p w14:paraId="55E466FB" w14:textId="77777777" w:rsidR="009C353B" w:rsidRDefault="009C353B">
            <w:pPr>
              <w:spacing w:line="240" w:lineRule="exact"/>
              <w:jc w:val="center"/>
              <w:rPr>
                <w:rFonts w:hint="eastAsia"/>
                <w:sz w:val="21"/>
                <w:szCs w:val="21"/>
              </w:rPr>
            </w:pPr>
          </w:p>
        </w:tc>
      </w:tr>
      <w:tr w:rsidR="009C353B" w14:paraId="2B86D83D" w14:textId="77777777">
        <w:trPr>
          <w:trHeight w:val="312"/>
        </w:trPr>
        <w:tc>
          <w:tcPr>
            <w:tcW w:w="515" w:type="dxa"/>
            <w:tcMar>
              <w:left w:w="28" w:type="dxa"/>
              <w:right w:w="28" w:type="dxa"/>
            </w:tcMar>
            <w:vAlign w:val="center"/>
          </w:tcPr>
          <w:p w14:paraId="2507F956" w14:textId="77777777" w:rsidR="009C353B" w:rsidRDefault="00000000">
            <w:pPr>
              <w:spacing w:line="240" w:lineRule="exact"/>
              <w:jc w:val="center"/>
              <w:rPr>
                <w:rFonts w:hint="eastAsia"/>
                <w:sz w:val="21"/>
                <w:szCs w:val="21"/>
              </w:rPr>
            </w:pPr>
            <w:r>
              <w:rPr>
                <w:rFonts w:hint="eastAsia"/>
                <w:sz w:val="21"/>
                <w:szCs w:val="21"/>
              </w:rPr>
              <w:t>29</w:t>
            </w:r>
          </w:p>
        </w:tc>
        <w:tc>
          <w:tcPr>
            <w:tcW w:w="1423" w:type="dxa"/>
            <w:tcMar>
              <w:left w:w="28" w:type="dxa"/>
              <w:right w:w="28" w:type="dxa"/>
            </w:tcMar>
            <w:vAlign w:val="center"/>
          </w:tcPr>
          <w:p w14:paraId="3DF50F77" w14:textId="77777777" w:rsidR="009C353B" w:rsidRDefault="00000000">
            <w:pPr>
              <w:spacing w:line="240" w:lineRule="exact"/>
              <w:jc w:val="center"/>
              <w:rPr>
                <w:rFonts w:hint="eastAsia"/>
                <w:sz w:val="21"/>
                <w:szCs w:val="21"/>
              </w:rPr>
            </w:pPr>
            <w:r>
              <w:rPr>
                <w:sz w:val="21"/>
                <w:szCs w:val="21"/>
              </w:rPr>
              <w:t>沙生针茅</w:t>
            </w:r>
          </w:p>
        </w:tc>
        <w:tc>
          <w:tcPr>
            <w:tcW w:w="4368" w:type="dxa"/>
            <w:tcMar>
              <w:left w:w="28" w:type="dxa"/>
              <w:right w:w="28" w:type="dxa"/>
            </w:tcMar>
            <w:vAlign w:val="center"/>
          </w:tcPr>
          <w:p w14:paraId="7D5F1D0C" w14:textId="77777777" w:rsidR="009C353B" w:rsidRDefault="00000000">
            <w:pPr>
              <w:spacing w:line="240" w:lineRule="exact"/>
              <w:jc w:val="center"/>
              <w:rPr>
                <w:rFonts w:hint="eastAsia"/>
                <w:i/>
                <w:sz w:val="21"/>
                <w:szCs w:val="21"/>
              </w:rPr>
            </w:pPr>
            <w:r>
              <w:rPr>
                <w:i/>
                <w:sz w:val="21"/>
                <w:szCs w:val="21"/>
              </w:rPr>
              <w:t>Stipa glareosa P. smirn</w:t>
            </w:r>
          </w:p>
        </w:tc>
        <w:tc>
          <w:tcPr>
            <w:tcW w:w="1196" w:type="dxa"/>
            <w:tcMar>
              <w:left w:w="28" w:type="dxa"/>
              <w:right w:w="28" w:type="dxa"/>
            </w:tcMar>
            <w:vAlign w:val="center"/>
          </w:tcPr>
          <w:p w14:paraId="44EA46E0" w14:textId="77777777" w:rsidR="009C353B" w:rsidRDefault="00000000">
            <w:pPr>
              <w:spacing w:line="240" w:lineRule="exact"/>
              <w:jc w:val="center"/>
              <w:rPr>
                <w:rFonts w:hint="eastAsia"/>
                <w:sz w:val="21"/>
                <w:szCs w:val="21"/>
              </w:rPr>
            </w:pPr>
            <w:r>
              <w:rPr>
                <w:sz w:val="21"/>
                <w:szCs w:val="21"/>
              </w:rPr>
              <w:t>草地</w:t>
            </w:r>
          </w:p>
        </w:tc>
        <w:tc>
          <w:tcPr>
            <w:tcW w:w="1426" w:type="dxa"/>
            <w:tcMar>
              <w:left w:w="28" w:type="dxa"/>
              <w:right w:w="28" w:type="dxa"/>
            </w:tcMar>
            <w:vAlign w:val="center"/>
          </w:tcPr>
          <w:p w14:paraId="6AADE068" w14:textId="77777777" w:rsidR="009C353B" w:rsidRDefault="009C353B">
            <w:pPr>
              <w:spacing w:line="240" w:lineRule="exact"/>
              <w:jc w:val="center"/>
              <w:rPr>
                <w:rFonts w:hint="eastAsia"/>
                <w:sz w:val="21"/>
                <w:szCs w:val="21"/>
              </w:rPr>
            </w:pPr>
          </w:p>
        </w:tc>
      </w:tr>
      <w:tr w:rsidR="009C353B" w14:paraId="509BD089" w14:textId="77777777">
        <w:trPr>
          <w:trHeight w:val="312"/>
        </w:trPr>
        <w:tc>
          <w:tcPr>
            <w:tcW w:w="515" w:type="dxa"/>
            <w:tcMar>
              <w:left w:w="28" w:type="dxa"/>
              <w:right w:w="28" w:type="dxa"/>
            </w:tcMar>
            <w:vAlign w:val="center"/>
          </w:tcPr>
          <w:p w14:paraId="6F22698F" w14:textId="77777777" w:rsidR="009C353B" w:rsidRDefault="00000000">
            <w:pPr>
              <w:spacing w:line="240" w:lineRule="exact"/>
              <w:jc w:val="center"/>
              <w:rPr>
                <w:rFonts w:hint="eastAsia"/>
                <w:sz w:val="21"/>
                <w:szCs w:val="21"/>
              </w:rPr>
            </w:pPr>
            <w:r>
              <w:rPr>
                <w:rFonts w:hint="eastAsia"/>
                <w:sz w:val="21"/>
                <w:szCs w:val="21"/>
              </w:rPr>
              <w:t>30</w:t>
            </w:r>
          </w:p>
        </w:tc>
        <w:tc>
          <w:tcPr>
            <w:tcW w:w="1423" w:type="dxa"/>
            <w:tcMar>
              <w:left w:w="28" w:type="dxa"/>
              <w:right w:w="28" w:type="dxa"/>
            </w:tcMar>
            <w:vAlign w:val="center"/>
          </w:tcPr>
          <w:p w14:paraId="16388525" w14:textId="77777777" w:rsidR="009C353B" w:rsidRDefault="00000000">
            <w:pPr>
              <w:spacing w:line="240" w:lineRule="exact"/>
              <w:jc w:val="center"/>
              <w:rPr>
                <w:rFonts w:hint="eastAsia"/>
                <w:sz w:val="21"/>
                <w:szCs w:val="21"/>
              </w:rPr>
            </w:pPr>
            <w:r>
              <w:rPr>
                <w:rFonts w:hint="eastAsia"/>
                <w:sz w:val="21"/>
                <w:szCs w:val="21"/>
              </w:rPr>
              <w:t>狼尾草</w:t>
            </w:r>
          </w:p>
        </w:tc>
        <w:tc>
          <w:tcPr>
            <w:tcW w:w="4368" w:type="dxa"/>
            <w:tcMar>
              <w:left w:w="28" w:type="dxa"/>
              <w:right w:w="28" w:type="dxa"/>
            </w:tcMar>
            <w:vAlign w:val="center"/>
          </w:tcPr>
          <w:p w14:paraId="11588907" w14:textId="77777777" w:rsidR="009C353B" w:rsidRDefault="00000000">
            <w:pPr>
              <w:spacing w:line="240" w:lineRule="exact"/>
              <w:jc w:val="center"/>
              <w:rPr>
                <w:rFonts w:hint="eastAsia"/>
                <w:i/>
                <w:sz w:val="21"/>
                <w:szCs w:val="21"/>
              </w:rPr>
            </w:pPr>
            <w:r>
              <w:rPr>
                <w:i/>
                <w:sz w:val="21"/>
                <w:szCs w:val="21"/>
              </w:rPr>
              <w:t>Pennisetum alopecuroides (L.) Spreng.</w:t>
            </w:r>
          </w:p>
        </w:tc>
        <w:tc>
          <w:tcPr>
            <w:tcW w:w="1196" w:type="dxa"/>
            <w:tcMar>
              <w:left w:w="28" w:type="dxa"/>
              <w:right w:w="28" w:type="dxa"/>
            </w:tcMar>
            <w:vAlign w:val="center"/>
          </w:tcPr>
          <w:p w14:paraId="0C8D87F2" w14:textId="77777777" w:rsidR="009C353B" w:rsidRDefault="00000000">
            <w:pPr>
              <w:spacing w:line="240" w:lineRule="exact"/>
              <w:jc w:val="center"/>
              <w:rPr>
                <w:rFonts w:hint="eastAsia"/>
                <w:sz w:val="21"/>
                <w:szCs w:val="21"/>
              </w:rPr>
            </w:pPr>
            <w:r>
              <w:rPr>
                <w:rFonts w:hint="eastAsia"/>
                <w:sz w:val="21"/>
                <w:szCs w:val="21"/>
              </w:rPr>
              <w:t>草地</w:t>
            </w:r>
          </w:p>
        </w:tc>
        <w:tc>
          <w:tcPr>
            <w:tcW w:w="1426" w:type="dxa"/>
            <w:tcMar>
              <w:left w:w="28" w:type="dxa"/>
              <w:right w:w="28" w:type="dxa"/>
            </w:tcMar>
            <w:vAlign w:val="center"/>
          </w:tcPr>
          <w:p w14:paraId="2CA4FD72" w14:textId="77777777" w:rsidR="009C353B" w:rsidRDefault="009C353B">
            <w:pPr>
              <w:spacing w:line="240" w:lineRule="exact"/>
              <w:jc w:val="center"/>
              <w:rPr>
                <w:rFonts w:hint="eastAsia"/>
                <w:sz w:val="21"/>
                <w:szCs w:val="21"/>
              </w:rPr>
            </w:pPr>
          </w:p>
        </w:tc>
      </w:tr>
      <w:tr w:rsidR="009C353B" w14:paraId="39721093" w14:textId="77777777">
        <w:trPr>
          <w:trHeight w:val="312"/>
        </w:trPr>
        <w:tc>
          <w:tcPr>
            <w:tcW w:w="515" w:type="dxa"/>
            <w:tcMar>
              <w:left w:w="28" w:type="dxa"/>
              <w:right w:w="28" w:type="dxa"/>
            </w:tcMar>
            <w:vAlign w:val="center"/>
          </w:tcPr>
          <w:p w14:paraId="049BF49C" w14:textId="77777777" w:rsidR="009C353B" w:rsidRDefault="009C353B">
            <w:pPr>
              <w:spacing w:line="240" w:lineRule="exact"/>
              <w:jc w:val="center"/>
              <w:rPr>
                <w:rFonts w:hint="eastAsia"/>
                <w:sz w:val="21"/>
                <w:szCs w:val="21"/>
              </w:rPr>
            </w:pPr>
          </w:p>
        </w:tc>
        <w:tc>
          <w:tcPr>
            <w:tcW w:w="1423" w:type="dxa"/>
            <w:tcMar>
              <w:left w:w="28" w:type="dxa"/>
              <w:right w:w="28" w:type="dxa"/>
            </w:tcMar>
            <w:vAlign w:val="center"/>
          </w:tcPr>
          <w:p w14:paraId="6E03BA2B" w14:textId="77777777" w:rsidR="009C353B" w:rsidRDefault="00000000">
            <w:pPr>
              <w:spacing w:line="240" w:lineRule="exact"/>
              <w:jc w:val="center"/>
              <w:rPr>
                <w:rFonts w:hint="eastAsia"/>
                <w:sz w:val="21"/>
                <w:szCs w:val="21"/>
              </w:rPr>
            </w:pPr>
            <w:r>
              <w:rPr>
                <w:sz w:val="21"/>
                <w:szCs w:val="21"/>
              </w:rPr>
              <w:t>鸢尾科</w:t>
            </w:r>
          </w:p>
        </w:tc>
        <w:tc>
          <w:tcPr>
            <w:tcW w:w="4368" w:type="dxa"/>
            <w:tcMar>
              <w:left w:w="28" w:type="dxa"/>
              <w:right w:w="28" w:type="dxa"/>
            </w:tcMar>
            <w:vAlign w:val="center"/>
          </w:tcPr>
          <w:p w14:paraId="2009F7FD" w14:textId="77777777" w:rsidR="009C353B" w:rsidRDefault="00000000">
            <w:pPr>
              <w:spacing w:line="240" w:lineRule="exact"/>
              <w:jc w:val="center"/>
              <w:rPr>
                <w:rFonts w:hint="eastAsia"/>
                <w:i/>
                <w:sz w:val="21"/>
                <w:szCs w:val="21"/>
              </w:rPr>
            </w:pPr>
            <w:r>
              <w:rPr>
                <w:i/>
                <w:sz w:val="21"/>
                <w:szCs w:val="21"/>
              </w:rPr>
              <w:t>fridaceae</w:t>
            </w:r>
          </w:p>
        </w:tc>
        <w:tc>
          <w:tcPr>
            <w:tcW w:w="1196" w:type="dxa"/>
            <w:tcMar>
              <w:left w:w="28" w:type="dxa"/>
              <w:right w:w="28" w:type="dxa"/>
            </w:tcMar>
            <w:vAlign w:val="center"/>
          </w:tcPr>
          <w:p w14:paraId="397B5BD5" w14:textId="77777777" w:rsidR="009C353B" w:rsidRDefault="009C353B">
            <w:pPr>
              <w:spacing w:line="240" w:lineRule="exact"/>
              <w:jc w:val="center"/>
              <w:rPr>
                <w:rFonts w:hint="eastAsia"/>
                <w:sz w:val="21"/>
                <w:szCs w:val="21"/>
              </w:rPr>
            </w:pPr>
          </w:p>
        </w:tc>
        <w:tc>
          <w:tcPr>
            <w:tcW w:w="1426" w:type="dxa"/>
            <w:tcMar>
              <w:left w:w="28" w:type="dxa"/>
              <w:right w:w="28" w:type="dxa"/>
            </w:tcMar>
            <w:vAlign w:val="center"/>
          </w:tcPr>
          <w:p w14:paraId="4C7ED9B0" w14:textId="77777777" w:rsidR="009C353B" w:rsidRDefault="009C353B">
            <w:pPr>
              <w:spacing w:line="240" w:lineRule="exact"/>
              <w:jc w:val="center"/>
              <w:rPr>
                <w:rFonts w:hint="eastAsia"/>
                <w:sz w:val="21"/>
                <w:szCs w:val="21"/>
              </w:rPr>
            </w:pPr>
          </w:p>
        </w:tc>
      </w:tr>
      <w:tr w:rsidR="009C353B" w14:paraId="3F4D2D89" w14:textId="77777777">
        <w:trPr>
          <w:trHeight w:val="312"/>
        </w:trPr>
        <w:tc>
          <w:tcPr>
            <w:tcW w:w="515" w:type="dxa"/>
            <w:tcMar>
              <w:left w:w="28" w:type="dxa"/>
              <w:right w:w="28" w:type="dxa"/>
            </w:tcMar>
            <w:vAlign w:val="center"/>
          </w:tcPr>
          <w:p w14:paraId="67F2B6DC" w14:textId="77777777" w:rsidR="009C353B" w:rsidRDefault="00000000">
            <w:pPr>
              <w:spacing w:line="240" w:lineRule="exact"/>
              <w:ind w:firstLineChars="50" w:firstLine="105"/>
              <w:jc w:val="center"/>
              <w:rPr>
                <w:rFonts w:hint="eastAsia"/>
                <w:sz w:val="21"/>
                <w:szCs w:val="21"/>
              </w:rPr>
            </w:pPr>
            <w:r>
              <w:rPr>
                <w:rFonts w:hint="eastAsia"/>
                <w:sz w:val="21"/>
                <w:szCs w:val="21"/>
              </w:rPr>
              <w:t>31</w:t>
            </w:r>
          </w:p>
        </w:tc>
        <w:tc>
          <w:tcPr>
            <w:tcW w:w="1423" w:type="dxa"/>
            <w:tcMar>
              <w:left w:w="28" w:type="dxa"/>
              <w:right w:w="28" w:type="dxa"/>
            </w:tcMar>
            <w:vAlign w:val="center"/>
          </w:tcPr>
          <w:p w14:paraId="655DFF7E" w14:textId="77777777" w:rsidR="009C353B" w:rsidRDefault="00000000">
            <w:pPr>
              <w:spacing w:line="240" w:lineRule="exact"/>
              <w:jc w:val="center"/>
              <w:rPr>
                <w:rFonts w:hint="eastAsia"/>
                <w:sz w:val="21"/>
                <w:szCs w:val="21"/>
              </w:rPr>
            </w:pPr>
            <w:r>
              <w:rPr>
                <w:sz w:val="21"/>
                <w:szCs w:val="21"/>
              </w:rPr>
              <w:t>阔叶鸢尾</w:t>
            </w:r>
          </w:p>
        </w:tc>
        <w:tc>
          <w:tcPr>
            <w:tcW w:w="4368" w:type="dxa"/>
            <w:tcMar>
              <w:left w:w="28" w:type="dxa"/>
              <w:right w:w="28" w:type="dxa"/>
            </w:tcMar>
            <w:vAlign w:val="center"/>
          </w:tcPr>
          <w:p w14:paraId="621F825A" w14:textId="77777777" w:rsidR="009C353B" w:rsidRDefault="00000000">
            <w:pPr>
              <w:spacing w:line="240" w:lineRule="exact"/>
              <w:jc w:val="center"/>
              <w:rPr>
                <w:rFonts w:hint="eastAsia"/>
                <w:i/>
                <w:sz w:val="21"/>
                <w:szCs w:val="21"/>
              </w:rPr>
            </w:pPr>
            <w:r>
              <w:rPr>
                <w:i/>
                <w:sz w:val="21"/>
                <w:szCs w:val="21"/>
              </w:rPr>
              <w:t>Iris tenuifolia Pall.</w:t>
            </w:r>
          </w:p>
        </w:tc>
        <w:tc>
          <w:tcPr>
            <w:tcW w:w="1196" w:type="dxa"/>
            <w:tcMar>
              <w:left w:w="28" w:type="dxa"/>
              <w:right w:w="28" w:type="dxa"/>
            </w:tcMar>
            <w:vAlign w:val="center"/>
          </w:tcPr>
          <w:p w14:paraId="6DD8A104" w14:textId="77777777" w:rsidR="009C353B" w:rsidRDefault="00000000">
            <w:pPr>
              <w:spacing w:line="240" w:lineRule="exact"/>
              <w:jc w:val="center"/>
              <w:rPr>
                <w:rFonts w:hint="eastAsia"/>
                <w:sz w:val="21"/>
                <w:szCs w:val="21"/>
              </w:rPr>
            </w:pPr>
            <w:r>
              <w:rPr>
                <w:sz w:val="21"/>
                <w:szCs w:val="21"/>
              </w:rPr>
              <w:t>草地</w:t>
            </w:r>
          </w:p>
        </w:tc>
        <w:tc>
          <w:tcPr>
            <w:tcW w:w="1426" w:type="dxa"/>
            <w:tcMar>
              <w:left w:w="28" w:type="dxa"/>
              <w:right w:w="28" w:type="dxa"/>
            </w:tcMar>
            <w:vAlign w:val="center"/>
          </w:tcPr>
          <w:p w14:paraId="2AA60CFE" w14:textId="77777777" w:rsidR="009C353B" w:rsidRDefault="009C353B">
            <w:pPr>
              <w:spacing w:line="240" w:lineRule="exact"/>
              <w:jc w:val="center"/>
              <w:rPr>
                <w:rFonts w:hint="eastAsia"/>
                <w:sz w:val="21"/>
                <w:szCs w:val="21"/>
              </w:rPr>
            </w:pPr>
          </w:p>
        </w:tc>
      </w:tr>
      <w:tr w:rsidR="009C353B" w14:paraId="79D13E90" w14:textId="77777777">
        <w:trPr>
          <w:trHeight w:val="312"/>
        </w:trPr>
        <w:tc>
          <w:tcPr>
            <w:tcW w:w="515" w:type="dxa"/>
            <w:tcMar>
              <w:left w:w="28" w:type="dxa"/>
              <w:right w:w="28" w:type="dxa"/>
            </w:tcMar>
            <w:vAlign w:val="center"/>
          </w:tcPr>
          <w:p w14:paraId="0ED8C2A1" w14:textId="77777777" w:rsidR="009C353B" w:rsidRDefault="009C353B">
            <w:pPr>
              <w:spacing w:line="240" w:lineRule="exact"/>
              <w:ind w:firstLineChars="50" w:firstLine="105"/>
              <w:jc w:val="center"/>
              <w:rPr>
                <w:rFonts w:hint="eastAsia"/>
                <w:sz w:val="21"/>
                <w:szCs w:val="21"/>
              </w:rPr>
            </w:pPr>
          </w:p>
        </w:tc>
        <w:tc>
          <w:tcPr>
            <w:tcW w:w="1423" w:type="dxa"/>
            <w:tcMar>
              <w:left w:w="28" w:type="dxa"/>
              <w:right w:w="28" w:type="dxa"/>
            </w:tcMar>
            <w:vAlign w:val="center"/>
          </w:tcPr>
          <w:p w14:paraId="2CAF5682" w14:textId="77777777" w:rsidR="009C353B" w:rsidRDefault="00000000">
            <w:pPr>
              <w:spacing w:line="240" w:lineRule="exact"/>
              <w:jc w:val="center"/>
              <w:rPr>
                <w:rFonts w:hint="eastAsia"/>
                <w:sz w:val="21"/>
                <w:szCs w:val="21"/>
              </w:rPr>
            </w:pPr>
            <w:r>
              <w:rPr>
                <w:rFonts w:hint="eastAsia"/>
                <w:sz w:val="21"/>
                <w:szCs w:val="21"/>
              </w:rPr>
              <w:t>莎草科</w:t>
            </w:r>
          </w:p>
        </w:tc>
        <w:tc>
          <w:tcPr>
            <w:tcW w:w="4368" w:type="dxa"/>
            <w:tcMar>
              <w:left w:w="28" w:type="dxa"/>
              <w:right w:w="28" w:type="dxa"/>
            </w:tcMar>
            <w:vAlign w:val="center"/>
          </w:tcPr>
          <w:p w14:paraId="5D967FA8" w14:textId="77777777" w:rsidR="009C353B" w:rsidRDefault="00000000">
            <w:pPr>
              <w:spacing w:line="240" w:lineRule="exact"/>
              <w:jc w:val="center"/>
              <w:rPr>
                <w:rFonts w:hint="eastAsia"/>
                <w:i/>
                <w:sz w:val="21"/>
                <w:szCs w:val="21"/>
              </w:rPr>
            </w:pPr>
            <w:hyperlink r:id="rId208" w:tgtFrame="_blank" w:history="1">
              <w:r>
                <w:rPr>
                  <w:i/>
                  <w:sz w:val="21"/>
                  <w:szCs w:val="21"/>
                </w:rPr>
                <w:t>Cyperaceae</w:t>
              </w:r>
            </w:hyperlink>
          </w:p>
        </w:tc>
        <w:tc>
          <w:tcPr>
            <w:tcW w:w="1196" w:type="dxa"/>
            <w:tcMar>
              <w:left w:w="28" w:type="dxa"/>
              <w:right w:w="28" w:type="dxa"/>
            </w:tcMar>
            <w:vAlign w:val="center"/>
          </w:tcPr>
          <w:p w14:paraId="71AC4657" w14:textId="77777777" w:rsidR="009C353B" w:rsidRDefault="009C353B">
            <w:pPr>
              <w:spacing w:line="240" w:lineRule="exact"/>
              <w:jc w:val="center"/>
              <w:rPr>
                <w:rFonts w:hint="eastAsia"/>
                <w:sz w:val="21"/>
                <w:szCs w:val="21"/>
              </w:rPr>
            </w:pPr>
          </w:p>
        </w:tc>
        <w:tc>
          <w:tcPr>
            <w:tcW w:w="1426" w:type="dxa"/>
            <w:tcMar>
              <w:left w:w="28" w:type="dxa"/>
              <w:right w:w="28" w:type="dxa"/>
            </w:tcMar>
            <w:vAlign w:val="center"/>
          </w:tcPr>
          <w:p w14:paraId="79137089" w14:textId="77777777" w:rsidR="009C353B" w:rsidRDefault="009C353B">
            <w:pPr>
              <w:spacing w:line="240" w:lineRule="exact"/>
              <w:jc w:val="center"/>
              <w:rPr>
                <w:rFonts w:hint="eastAsia"/>
                <w:sz w:val="21"/>
                <w:szCs w:val="21"/>
              </w:rPr>
            </w:pPr>
          </w:p>
        </w:tc>
      </w:tr>
      <w:tr w:rsidR="009C353B" w14:paraId="1ED4B187" w14:textId="77777777">
        <w:trPr>
          <w:trHeight w:val="312"/>
        </w:trPr>
        <w:tc>
          <w:tcPr>
            <w:tcW w:w="515" w:type="dxa"/>
            <w:tcMar>
              <w:left w:w="28" w:type="dxa"/>
              <w:right w:w="28" w:type="dxa"/>
            </w:tcMar>
            <w:vAlign w:val="center"/>
          </w:tcPr>
          <w:p w14:paraId="6B5A11D2" w14:textId="77777777" w:rsidR="009C353B" w:rsidRDefault="009C353B">
            <w:pPr>
              <w:spacing w:line="240" w:lineRule="exact"/>
              <w:ind w:firstLineChars="50" w:firstLine="105"/>
              <w:jc w:val="center"/>
              <w:rPr>
                <w:rFonts w:hint="eastAsia"/>
                <w:sz w:val="21"/>
                <w:szCs w:val="21"/>
              </w:rPr>
            </w:pPr>
          </w:p>
        </w:tc>
        <w:tc>
          <w:tcPr>
            <w:tcW w:w="1423" w:type="dxa"/>
            <w:tcMar>
              <w:left w:w="28" w:type="dxa"/>
              <w:right w:w="28" w:type="dxa"/>
            </w:tcMar>
            <w:vAlign w:val="center"/>
          </w:tcPr>
          <w:p w14:paraId="796A9AB3" w14:textId="77777777" w:rsidR="009C353B" w:rsidRDefault="00000000">
            <w:pPr>
              <w:spacing w:line="240" w:lineRule="exact"/>
              <w:jc w:val="center"/>
              <w:rPr>
                <w:rFonts w:hint="eastAsia"/>
                <w:sz w:val="21"/>
                <w:szCs w:val="21"/>
              </w:rPr>
            </w:pPr>
            <w:r>
              <w:rPr>
                <w:rFonts w:hint="eastAsia"/>
                <w:sz w:val="21"/>
                <w:szCs w:val="21"/>
              </w:rPr>
              <w:t>白颖苔草</w:t>
            </w:r>
          </w:p>
        </w:tc>
        <w:tc>
          <w:tcPr>
            <w:tcW w:w="4368" w:type="dxa"/>
            <w:tcMar>
              <w:left w:w="28" w:type="dxa"/>
              <w:right w:w="28" w:type="dxa"/>
            </w:tcMar>
            <w:vAlign w:val="center"/>
          </w:tcPr>
          <w:p w14:paraId="09BDB726" w14:textId="77777777" w:rsidR="009C353B" w:rsidRDefault="00000000">
            <w:pPr>
              <w:spacing w:line="240" w:lineRule="exact"/>
              <w:jc w:val="center"/>
              <w:rPr>
                <w:rFonts w:hint="eastAsia"/>
                <w:i/>
                <w:sz w:val="21"/>
                <w:szCs w:val="21"/>
              </w:rPr>
            </w:pPr>
            <w:r>
              <w:rPr>
                <w:i/>
                <w:sz w:val="21"/>
                <w:szCs w:val="21"/>
              </w:rPr>
              <w:t>C.duriusculasubsp. rigescens</w:t>
            </w:r>
          </w:p>
        </w:tc>
        <w:tc>
          <w:tcPr>
            <w:tcW w:w="1196" w:type="dxa"/>
            <w:tcMar>
              <w:left w:w="28" w:type="dxa"/>
              <w:right w:w="28" w:type="dxa"/>
            </w:tcMar>
            <w:vAlign w:val="center"/>
          </w:tcPr>
          <w:p w14:paraId="4E27D27E" w14:textId="77777777" w:rsidR="009C353B" w:rsidRDefault="00000000">
            <w:pPr>
              <w:spacing w:line="240" w:lineRule="exact"/>
              <w:jc w:val="center"/>
              <w:rPr>
                <w:rFonts w:hint="eastAsia"/>
                <w:sz w:val="21"/>
                <w:szCs w:val="21"/>
              </w:rPr>
            </w:pPr>
            <w:r>
              <w:rPr>
                <w:rFonts w:hint="eastAsia"/>
                <w:sz w:val="21"/>
                <w:szCs w:val="21"/>
              </w:rPr>
              <w:t>草地</w:t>
            </w:r>
          </w:p>
        </w:tc>
        <w:tc>
          <w:tcPr>
            <w:tcW w:w="1426" w:type="dxa"/>
            <w:tcMar>
              <w:left w:w="28" w:type="dxa"/>
              <w:right w:w="28" w:type="dxa"/>
            </w:tcMar>
            <w:vAlign w:val="center"/>
          </w:tcPr>
          <w:p w14:paraId="68C3139F" w14:textId="77777777" w:rsidR="009C353B" w:rsidRDefault="009C353B">
            <w:pPr>
              <w:spacing w:line="240" w:lineRule="exact"/>
              <w:jc w:val="center"/>
              <w:rPr>
                <w:rFonts w:hint="eastAsia"/>
                <w:sz w:val="21"/>
                <w:szCs w:val="21"/>
              </w:rPr>
            </w:pPr>
          </w:p>
        </w:tc>
      </w:tr>
    </w:tbl>
    <w:bookmarkEnd w:id="130"/>
    <w:p w14:paraId="60AB37B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重点保护植物：沙冬青</w:t>
      </w:r>
    </w:p>
    <w:p w14:paraId="2384959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1</w:t>
      </w:r>
      <w:r>
        <w:rPr>
          <w:rFonts w:ascii="Times New Roman" w:hAnsi="Times New Roman" w:hint="eastAsia"/>
          <w:szCs w:val="24"/>
        </w:rPr>
        <w:t>）形态特征</w:t>
      </w:r>
    </w:p>
    <w:p w14:paraId="306B60E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常绿灌木，高</w:t>
      </w:r>
      <w:r>
        <w:rPr>
          <w:rFonts w:ascii="Times New Roman" w:hAnsi="Times New Roman"/>
          <w:szCs w:val="24"/>
        </w:rPr>
        <w:t>1.5-2</w:t>
      </w:r>
      <w:r>
        <w:rPr>
          <w:rFonts w:ascii="Times New Roman" w:hAnsi="Times New Roman"/>
          <w:szCs w:val="24"/>
        </w:rPr>
        <w:t>米，粗壮；树皮黄绿色，木材褐色。茎多叉状分枝，圆柱形，具沟棱，幼被灰白色短柔毛，后渐稀疏。</w:t>
      </w:r>
      <w:r>
        <w:rPr>
          <w:rFonts w:ascii="Times New Roman" w:hAnsi="Times New Roman"/>
          <w:szCs w:val="24"/>
        </w:rPr>
        <w:t>3</w:t>
      </w:r>
      <w:r>
        <w:rPr>
          <w:rFonts w:ascii="Times New Roman" w:hAnsi="Times New Roman"/>
          <w:szCs w:val="24"/>
        </w:rPr>
        <w:t>小叶，偶为单叶；叶柄长</w:t>
      </w:r>
      <w:r>
        <w:rPr>
          <w:rFonts w:ascii="Times New Roman" w:hAnsi="Times New Roman"/>
          <w:szCs w:val="24"/>
        </w:rPr>
        <w:t>5-15</w:t>
      </w:r>
      <w:r>
        <w:rPr>
          <w:rFonts w:ascii="Times New Roman" w:hAnsi="Times New Roman"/>
          <w:szCs w:val="24"/>
        </w:rPr>
        <w:t>毫米，密被灰白色短柔毛；托叶小，三角形或三角状披针形，贴生叶柄，被银白色绒毛；小叶菱状椭圆形或阔披针形，长</w:t>
      </w:r>
      <w:r>
        <w:rPr>
          <w:rFonts w:ascii="Times New Roman" w:hAnsi="Times New Roman"/>
          <w:szCs w:val="24"/>
        </w:rPr>
        <w:t>2-3.5</w:t>
      </w:r>
      <w:r>
        <w:rPr>
          <w:rFonts w:ascii="Times New Roman" w:hAnsi="Times New Roman"/>
          <w:szCs w:val="24"/>
        </w:rPr>
        <w:t>厘米，宽</w:t>
      </w:r>
      <w:r>
        <w:rPr>
          <w:rFonts w:ascii="Times New Roman" w:hAnsi="Times New Roman"/>
          <w:szCs w:val="24"/>
        </w:rPr>
        <w:t>6-20</w:t>
      </w:r>
      <w:r>
        <w:rPr>
          <w:rFonts w:ascii="Times New Roman" w:hAnsi="Times New Roman"/>
          <w:szCs w:val="24"/>
        </w:rPr>
        <w:t>毫米，两面密被银白色绒毛，全缘，侧脉几不明显。</w:t>
      </w:r>
    </w:p>
    <w:p w14:paraId="227052D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总状</w:t>
      </w:r>
      <w:hyperlink r:id="rId209" w:tgtFrame="_blank" w:history="1">
        <w:r>
          <w:rPr>
            <w:rFonts w:ascii="Times New Roman" w:hAnsi="Times New Roman"/>
            <w:szCs w:val="24"/>
          </w:rPr>
          <w:t>花序</w:t>
        </w:r>
      </w:hyperlink>
      <w:r>
        <w:rPr>
          <w:rFonts w:ascii="Times New Roman" w:hAnsi="Times New Roman"/>
          <w:szCs w:val="24"/>
        </w:rPr>
        <w:t>顶生枝端，花互生，</w:t>
      </w:r>
      <w:r>
        <w:rPr>
          <w:rFonts w:ascii="Times New Roman" w:hAnsi="Times New Roman"/>
          <w:szCs w:val="24"/>
        </w:rPr>
        <w:t>8-12</w:t>
      </w:r>
      <w:r>
        <w:rPr>
          <w:rFonts w:ascii="Times New Roman" w:hAnsi="Times New Roman"/>
          <w:szCs w:val="24"/>
        </w:rPr>
        <w:t>朵密集；苞片卵形，长</w:t>
      </w:r>
      <w:r>
        <w:rPr>
          <w:rFonts w:ascii="Times New Roman" w:hAnsi="Times New Roman"/>
          <w:szCs w:val="24"/>
        </w:rPr>
        <w:t>5-6</w:t>
      </w:r>
      <w:r>
        <w:rPr>
          <w:rFonts w:ascii="Times New Roman" w:hAnsi="Times New Roman"/>
          <w:szCs w:val="24"/>
        </w:rPr>
        <w:t>毫米，密被短柔毛，脱落；花梗长约</w:t>
      </w:r>
      <w:r>
        <w:rPr>
          <w:rFonts w:ascii="Times New Roman" w:hAnsi="Times New Roman"/>
          <w:szCs w:val="24"/>
        </w:rPr>
        <w:t>1</w:t>
      </w:r>
      <w:r>
        <w:rPr>
          <w:rFonts w:ascii="Times New Roman" w:hAnsi="Times New Roman"/>
          <w:szCs w:val="24"/>
        </w:rPr>
        <w:t>厘米，近无毛，中部有</w:t>
      </w:r>
      <w:r>
        <w:rPr>
          <w:rFonts w:ascii="Times New Roman" w:hAnsi="Times New Roman"/>
          <w:szCs w:val="24"/>
        </w:rPr>
        <w:t>2</w:t>
      </w:r>
      <w:r>
        <w:rPr>
          <w:rFonts w:ascii="Times New Roman" w:hAnsi="Times New Roman"/>
          <w:szCs w:val="24"/>
        </w:rPr>
        <w:t>枚小苞片；萼钟形，薄革质，长</w:t>
      </w:r>
      <w:r>
        <w:rPr>
          <w:rFonts w:ascii="Times New Roman" w:hAnsi="Times New Roman"/>
          <w:szCs w:val="24"/>
        </w:rPr>
        <w:t>5-7</w:t>
      </w:r>
      <w:r>
        <w:rPr>
          <w:rFonts w:ascii="Times New Roman" w:hAnsi="Times New Roman"/>
          <w:szCs w:val="24"/>
        </w:rPr>
        <w:t>毫米，萼齿</w:t>
      </w:r>
      <w:r>
        <w:rPr>
          <w:rFonts w:ascii="Times New Roman" w:hAnsi="Times New Roman"/>
          <w:szCs w:val="24"/>
        </w:rPr>
        <w:t>5</w:t>
      </w:r>
      <w:r>
        <w:rPr>
          <w:rFonts w:ascii="Times New Roman" w:hAnsi="Times New Roman"/>
          <w:szCs w:val="24"/>
        </w:rPr>
        <w:t>，阔三角形，上方</w:t>
      </w:r>
      <w:r>
        <w:rPr>
          <w:rFonts w:ascii="Times New Roman" w:hAnsi="Times New Roman"/>
          <w:szCs w:val="24"/>
        </w:rPr>
        <w:t>2</w:t>
      </w:r>
      <w:r>
        <w:rPr>
          <w:rFonts w:ascii="Times New Roman" w:hAnsi="Times New Roman"/>
          <w:szCs w:val="24"/>
        </w:rPr>
        <w:t>齿合生为一较大的齿；花冠黄色，花瓣均具长瓣柄，旗瓣倒卵形，长约</w:t>
      </w:r>
      <w:r>
        <w:rPr>
          <w:rFonts w:ascii="Times New Roman" w:hAnsi="Times New Roman"/>
          <w:szCs w:val="24"/>
        </w:rPr>
        <w:t>2</w:t>
      </w:r>
      <w:r>
        <w:rPr>
          <w:rFonts w:ascii="Times New Roman" w:hAnsi="Times New Roman"/>
          <w:szCs w:val="24"/>
        </w:rPr>
        <w:t>厘米，翼瓣比龙骨瓣短，长圆形，长</w:t>
      </w:r>
      <w:r>
        <w:rPr>
          <w:rFonts w:ascii="Times New Roman" w:hAnsi="Times New Roman"/>
          <w:szCs w:val="24"/>
        </w:rPr>
        <w:t>1.7</w:t>
      </w:r>
      <w:r>
        <w:rPr>
          <w:rFonts w:ascii="Times New Roman" w:hAnsi="Times New Roman"/>
          <w:szCs w:val="24"/>
        </w:rPr>
        <w:t>厘米，其中瓣柄长</w:t>
      </w:r>
      <w:r>
        <w:rPr>
          <w:rFonts w:ascii="Times New Roman" w:hAnsi="Times New Roman"/>
          <w:szCs w:val="24"/>
        </w:rPr>
        <w:t>5</w:t>
      </w:r>
      <w:r>
        <w:rPr>
          <w:rFonts w:ascii="Times New Roman" w:hAnsi="Times New Roman"/>
          <w:szCs w:val="24"/>
        </w:rPr>
        <w:t>毫米，龙骨瓣分离，基部有长</w:t>
      </w:r>
      <w:r>
        <w:rPr>
          <w:rFonts w:ascii="Times New Roman" w:hAnsi="Times New Roman"/>
          <w:szCs w:val="24"/>
        </w:rPr>
        <w:t>2</w:t>
      </w:r>
      <w:r>
        <w:rPr>
          <w:rFonts w:ascii="Times New Roman" w:hAnsi="Times New Roman"/>
          <w:szCs w:val="24"/>
        </w:rPr>
        <w:t>毫米的耳；子房具柄，线形，无毛。</w:t>
      </w:r>
    </w:p>
    <w:p w14:paraId="4A27817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荚果扁平，线形，长</w:t>
      </w:r>
      <w:r>
        <w:rPr>
          <w:rFonts w:ascii="Times New Roman" w:hAnsi="Times New Roman"/>
          <w:szCs w:val="24"/>
        </w:rPr>
        <w:t>5-8</w:t>
      </w:r>
      <w:r>
        <w:rPr>
          <w:rFonts w:ascii="Times New Roman" w:hAnsi="Times New Roman"/>
          <w:szCs w:val="24"/>
        </w:rPr>
        <w:t>厘米，宽</w:t>
      </w:r>
      <w:r>
        <w:rPr>
          <w:rFonts w:ascii="Times New Roman" w:hAnsi="Times New Roman"/>
          <w:szCs w:val="24"/>
        </w:rPr>
        <w:t>15-20</w:t>
      </w:r>
      <w:r>
        <w:rPr>
          <w:rFonts w:ascii="Times New Roman" w:hAnsi="Times New Roman"/>
          <w:szCs w:val="24"/>
        </w:rPr>
        <w:t>毫米，无毛，先端锐尖，基部具果颈，果颈长</w:t>
      </w:r>
      <w:r>
        <w:rPr>
          <w:rFonts w:ascii="Times New Roman" w:hAnsi="Times New Roman"/>
          <w:szCs w:val="24"/>
        </w:rPr>
        <w:t>8-10</w:t>
      </w:r>
      <w:r>
        <w:rPr>
          <w:rFonts w:ascii="Times New Roman" w:hAnsi="Times New Roman"/>
          <w:szCs w:val="24"/>
        </w:rPr>
        <w:t>毫米；有种子</w:t>
      </w:r>
      <w:r>
        <w:rPr>
          <w:rFonts w:ascii="Times New Roman" w:hAnsi="Times New Roman"/>
          <w:szCs w:val="24"/>
        </w:rPr>
        <w:t>2-5</w:t>
      </w:r>
      <w:r>
        <w:rPr>
          <w:rFonts w:ascii="Times New Roman" w:hAnsi="Times New Roman"/>
          <w:szCs w:val="24"/>
        </w:rPr>
        <w:t>粒。种子圆肾形，径约</w:t>
      </w:r>
      <w:r>
        <w:rPr>
          <w:rFonts w:ascii="Times New Roman" w:hAnsi="Times New Roman"/>
          <w:szCs w:val="24"/>
        </w:rPr>
        <w:t>6</w:t>
      </w:r>
      <w:r>
        <w:rPr>
          <w:rFonts w:ascii="Times New Roman" w:hAnsi="Times New Roman"/>
          <w:szCs w:val="24"/>
        </w:rPr>
        <w:t>毫米。花期</w:t>
      </w:r>
      <w:r>
        <w:rPr>
          <w:rFonts w:ascii="Times New Roman" w:hAnsi="Times New Roman"/>
          <w:szCs w:val="24"/>
        </w:rPr>
        <w:t>4-5</w:t>
      </w:r>
      <w:r>
        <w:rPr>
          <w:rFonts w:ascii="Times New Roman" w:hAnsi="Times New Roman"/>
          <w:szCs w:val="24"/>
        </w:rPr>
        <w:t>月，果期</w:t>
      </w:r>
      <w:r>
        <w:rPr>
          <w:rFonts w:ascii="Times New Roman" w:hAnsi="Times New Roman"/>
          <w:szCs w:val="24"/>
        </w:rPr>
        <w:t>5-6</w:t>
      </w:r>
      <w:r>
        <w:rPr>
          <w:rFonts w:ascii="Times New Roman" w:hAnsi="Times New Roman"/>
          <w:szCs w:val="24"/>
        </w:rPr>
        <w:t>月。</w:t>
      </w:r>
    </w:p>
    <w:p w14:paraId="689E66E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2</w:t>
      </w:r>
      <w:r>
        <w:rPr>
          <w:rFonts w:ascii="Times New Roman" w:hAnsi="Times New Roman" w:hint="eastAsia"/>
          <w:szCs w:val="24"/>
        </w:rPr>
        <w:t>）生长环境</w:t>
      </w:r>
    </w:p>
    <w:p w14:paraId="1FDEA05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沙冬青能在恶劣的自然环境中生长，具有较厚的角质层、密实的表皮毛，气孔下陷，抗旱性、抗热性强，耐寒、耐盐、耐贫瘠，保水性强，在极度缺水的状况下仍能正常生长。常与柠条、霸王、沙蒿组成共建的群系，群系多呈小片状分布。其伴生植物是锦鸡儿、柠条、猫头刺，根瘤菌具有抗逆性，与沙冬青表现出相似性，这表明生态环境对豆科植物根瘤菌共生体有重要的影响。</w:t>
      </w:r>
    </w:p>
    <w:p w14:paraId="3ABAA73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3</w:t>
      </w:r>
      <w:r>
        <w:rPr>
          <w:rFonts w:ascii="Times New Roman" w:hAnsi="Times New Roman" w:hint="eastAsia"/>
          <w:szCs w:val="24"/>
        </w:rPr>
        <w:t>）分布范围</w:t>
      </w:r>
    </w:p>
    <w:p w14:paraId="25AEA36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分布于中国内蒙古、宁夏、甘肃。生于沙丘、河滩边台地，为良好的固沙植物。</w:t>
      </w:r>
    </w:p>
    <w:p w14:paraId="37BEA05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4</w:t>
      </w:r>
      <w:r>
        <w:rPr>
          <w:rFonts w:ascii="Times New Roman" w:hAnsi="Times New Roman" w:hint="eastAsia"/>
          <w:szCs w:val="24"/>
        </w:rPr>
        <w:t>）主要价值</w:t>
      </w:r>
    </w:p>
    <w:p w14:paraId="271B381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沙冬青能够抗风沙，生长季节茂密、碧绿，由于沙冬青是北方惟一的常绿灌木，是良好的蜜源植物，更是人烟稀少的荒漠和难以管护的荒山秃岭营造水土保持林的优良树种。</w:t>
      </w:r>
      <w:bookmarkStart w:id="131" w:name="ref_4"/>
    </w:p>
    <w:p w14:paraId="5A43096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沙冬青作为蒙药之一，其叶子煮水服用可以治疗肺病、咳嗽、咳痰、腹痛；枝叶入药，能祛风、活血、止痛，外用主治冻疮、慢性风湿性关节炎等。其叶和嫩枝含有多种生物碱，性温有毒，牲畜少有啃食，可作为杀虫剂。种子富含油脂，其脂肪酸组成中亚油酸含量高达</w:t>
      </w:r>
      <w:r>
        <w:rPr>
          <w:rFonts w:ascii="Times New Roman" w:hAnsi="Times New Roman"/>
          <w:szCs w:val="24"/>
        </w:rPr>
        <w:t>87.6%</w:t>
      </w:r>
      <w:r>
        <w:rPr>
          <w:rFonts w:ascii="Times New Roman" w:hAnsi="Times New Roman"/>
          <w:szCs w:val="24"/>
        </w:rPr>
        <w:t>，在食品、化工、医疗保健方面有很大的潜力。</w:t>
      </w:r>
      <w:bookmarkEnd w:id="131"/>
    </w:p>
    <w:p w14:paraId="58CC2F0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沙冬青还可作为铁路、公路和高速公路建设通过荒漠、半荒漠、荒漠草原地带的护路树种和隔离带树种。同时，沙冬青也可作为城市绿化树种或绿篱，一年四季长青，便于修剪。</w:t>
      </w:r>
    </w:p>
    <w:p w14:paraId="2C34D00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5</w:t>
      </w:r>
      <w:r>
        <w:rPr>
          <w:rFonts w:ascii="Times New Roman" w:hAnsi="Times New Roman" w:hint="eastAsia"/>
          <w:szCs w:val="24"/>
        </w:rPr>
        <w:t>）保护状况</w:t>
      </w:r>
    </w:p>
    <w:p w14:paraId="011D3DA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w:instrText>
      </w:r>
      <w:r>
        <w:rPr>
          <w:rFonts w:ascii="Times New Roman" w:hAnsi="Times New Roman" w:hint="eastAsia"/>
          <w:szCs w:val="24"/>
        </w:rPr>
        <w:instrText>= 1 \* GB3</w:instrText>
      </w:r>
      <w:r>
        <w:rPr>
          <w:rFonts w:ascii="Times New Roman" w:hAnsi="Times New Roman"/>
          <w:szCs w:val="24"/>
        </w:rPr>
        <w:instrText xml:space="preserve"> </w:instrText>
      </w:r>
      <w:r>
        <w:rPr>
          <w:rFonts w:ascii="Times New Roman" w:hAnsi="Times New Roman"/>
          <w:szCs w:val="24"/>
        </w:rPr>
        <w:fldChar w:fldCharType="separate"/>
      </w:r>
      <w:r>
        <w:rPr>
          <w:rFonts w:ascii="Times New Roman" w:hAnsi="Times New Roman" w:hint="eastAsia"/>
          <w:szCs w:val="24"/>
        </w:rPr>
        <w:t>①</w:t>
      </w:r>
      <w:r>
        <w:rPr>
          <w:rFonts w:ascii="Times New Roman" w:hAnsi="Times New Roman"/>
          <w:szCs w:val="24"/>
        </w:rPr>
        <w:fldChar w:fldCharType="end"/>
      </w:r>
      <w:r>
        <w:rPr>
          <w:rFonts w:ascii="Times New Roman" w:hAnsi="Times New Roman" w:hint="eastAsia"/>
          <w:szCs w:val="24"/>
        </w:rPr>
        <w:t>物种现状</w:t>
      </w:r>
    </w:p>
    <w:p w14:paraId="59D3612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沙冬青的天然分布区主要在中国西北荒漠、半荒漠地区，该区域风大干旱，自然条件严酷。沙冬青的繁殖方式主要是种子繁殖，其它繁殖方式难以成活，而种子萌发需要较高的土壤含水量，因此在水分匮乏的分布区内，沙冬青天然更新能力差；而沙冬青的主要繁殖材料种子，成熟前后易受到虫害和鸟害的影响，真正落入土中的完好种子不到</w:t>
      </w:r>
      <w:r>
        <w:rPr>
          <w:rFonts w:ascii="Times New Roman" w:hAnsi="Times New Roman"/>
          <w:szCs w:val="24"/>
        </w:rPr>
        <w:t>5%</w:t>
      </w:r>
      <w:r>
        <w:rPr>
          <w:rFonts w:ascii="Times New Roman" w:hAnsi="Times New Roman"/>
          <w:szCs w:val="24"/>
        </w:rPr>
        <w:t>，造成沙冬青天然更新植株极其匮乏。由于砍伐破坏，已濒临绝种。</w:t>
      </w:r>
    </w:p>
    <w:p w14:paraId="1D43BA9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w:instrText>
      </w:r>
      <w:r>
        <w:rPr>
          <w:rFonts w:ascii="Times New Roman" w:hAnsi="Times New Roman" w:hint="eastAsia"/>
          <w:szCs w:val="24"/>
        </w:rPr>
        <w:instrText>= 2 \* GB3</w:instrText>
      </w:r>
      <w:r>
        <w:rPr>
          <w:rFonts w:ascii="Times New Roman" w:hAnsi="Times New Roman"/>
          <w:szCs w:val="24"/>
        </w:rPr>
        <w:instrText xml:space="preserve"> </w:instrText>
      </w:r>
      <w:r>
        <w:rPr>
          <w:rFonts w:ascii="Times New Roman" w:hAnsi="Times New Roman"/>
          <w:szCs w:val="24"/>
        </w:rPr>
        <w:fldChar w:fldCharType="separate"/>
      </w:r>
      <w:r>
        <w:rPr>
          <w:rFonts w:ascii="Times New Roman" w:hAnsi="Times New Roman" w:hint="eastAsia"/>
          <w:szCs w:val="24"/>
        </w:rPr>
        <w:t>②</w:t>
      </w:r>
      <w:r>
        <w:rPr>
          <w:rFonts w:ascii="Times New Roman" w:hAnsi="Times New Roman"/>
          <w:szCs w:val="24"/>
        </w:rPr>
        <w:fldChar w:fldCharType="end"/>
      </w:r>
      <w:r>
        <w:rPr>
          <w:rFonts w:ascii="Times New Roman" w:hAnsi="Times New Roman" w:hint="eastAsia"/>
          <w:szCs w:val="24"/>
        </w:rPr>
        <w:t>保护价值</w:t>
      </w:r>
    </w:p>
    <w:p w14:paraId="4A59FD7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沙冬青是中国重点保护的第一批珍稀濒危物种，为古第三纪孑遗种、亚洲中部特有物种，也是中国西北荒漠地区惟一的超旱生常绿阔叶灌木树种。沙冬青不仅是鉴定古地质年代发生重大变化的活化石，还可为古气候变化和古地理环境变迁的研究提供重要依据，具有重要的科学意义。</w:t>
      </w:r>
    </w:p>
    <w:p w14:paraId="795E549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w:instrText>
      </w:r>
      <w:r>
        <w:rPr>
          <w:rFonts w:ascii="Times New Roman" w:hAnsi="Times New Roman" w:hint="eastAsia"/>
          <w:szCs w:val="24"/>
        </w:rPr>
        <w:instrText>= 3 \* GB3</w:instrText>
      </w:r>
      <w:r>
        <w:rPr>
          <w:rFonts w:ascii="Times New Roman" w:hAnsi="Times New Roman"/>
          <w:szCs w:val="24"/>
        </w:rPr>
        <w:instrText xml:space="preserve"> </w:instrText>
      </w:r>
      <w:r>
        <w:rPr>
          <w:rFonts w:ascii="Times New Roman" w:hAnsi="Times New Roman"/>
          <w:szCs w:val="24"/>
        </w:rPr>
        <w:fldChar w:fldCharType="separate"/>
      </w:r>
      <w:r>
        <w:rPr>
          <w:rFonts w:ascii="Times New Roman" w:hAnsi="Times New Roman" w:hint="eastAsia"/>
          <w:szCs w:val="24"/>
        </w:rPr>
        <w:t>③</w:t>
      </w:r>
      <w:r>
        <w:rPr>
          <w:rFonts w:ascii="Times New Roman" w:hAnsi="Times New Roman"/>
          <w:szCs w:val="24"/>
        </w:rPr>
        <w:fldChar w:fldCharType="end"/>
      </w:r>
      <w:r>
        <w:rPr>
          <w:rFonts w:ascii="Times New Roman" w:hAnsi="Times New Roman" w:hint="eastAsia"/>
          <w:szCs w:val="24"/>
        </w:rPr>
        <w:t>保护措施</w:t>
      </w:r>
    </w:p>
    <w:p w14:paraId="32DFF6D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在沙冬青分布较集中的地区可通过建立自然保护区、人工促进天然群落恢复、扩大栽培区域的实践及繁殖与培育技术的研究等方式进行保护。</w:t>
      </w:r>
    </w:p>
    <w:p w14:paraId="550CF210"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rPr>
        <w:t xml:space="preserve">3.4.6 </w:t>
      </w:r>
      <w:r>
        <w:rPr>
          <w:rFonts w:ascii="Times New Roman"/>
        </w:rPr>
        <w:t>动物现状评价</w:t>
      </w:r>
    </w:p>
    <w:p w14:paraId="6CAF41D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项目所在地区在中国动物地理区划中属古北界的蒙新区</w:t>
      </w:r>
      <w:r>
        <w:rPr>
          <w:rFonts w:ascii="Times New Roman" w:hAnsi="Times New Roman"/>
          <w:szCs w:val="24"/>
        </w:rPr>
        <w:t>-</w:t>
      </w:r>
      <w:r>
        <w:rPr>
          <w:rFonts w:ascii="Times New Roman" w:hAnsi="Times New Roman"/>
          <w:szCs w:val="24"/>
        </w:rPr>
        <w:t>东部草原亚区</w:t>
      </w:r>
      <w:r>
        <w:rPr>
          <w:rFonts w:ascii="Times New Roman" w:hAnsi="Times New Roman"/>
          <w:szCs w:val="24"/>
        </w:rPr>
        <w:t>-</w:t>
      </w:r>
      <w:r>
        <w:rPr>
          <w:rFonts w:ascii="Times New Roman" w:hAnsi="Times New Roman" w:hint="eastAsia"/>
          <w:szCs w:val="24"/>
        </w:rPr>
        <w:t>宁中间山盆地缓坡丘陵及北部平原</w:t>
      </w:r>
      <w:r>
        <w:rPr>
          <w:rFonts w:ascii="Times New Roman" w:hAnsi="Times New Roman"/>
          <w:szCs w:val="24"/>
        </w:rPr>
        <w:t>省。</w:t>
      </w:r>
      <w:r>
        <w:rPr>
          <w:rFonts w:ascii="Times New Roman" w:hAnsi="Times New Roman" w:hint="eastAsia"/>
          <w:szCs w:val="24"/>
        </w:rPr>
        <w:t>根据《宁夏回族自治区资源环境地图集》中野生动物区划和分布图，评价区分布的野生动物有鸿雁、绿头鸭、斑嘴鸭、大小天鹅、大、白尾海雕、草原雕、灰鹤、蓑衣鹤、石鸡、中华鳖、花背蟾蜍、丽斑麻蜥、鹅喉羚、兔狲、达乌里黄鼠、五趾跳鼠、达乌里鼠兔、蒙古兔。宁夏野生动物区划图和分布图见图</w:t>
      </w:r>
      <w:r>
        <w:rPr>
          <w:rFonts w:ascii="Times New Roman" w:hAnsi="Times New Roman" w:hint="eastAsia"/>
          <w:szCs w:val="24"/>
        </w:rPr>
        <w:t>3</w:t>
      </w:r>
      <w:r>
        <w:rPr>
          <w:rFonts w:ascii="Times New Roman" w:hAnsi="Times New Roman"/>
          <w:szCs w:val="24"/>
        </w:rPr>
        <w:t>.4-7</w:t>
      </w:r>
      <w:r>
        <w:rPr>
          <w:rFonts w:ascii="Times New Roman" w:hAnsi="Times New Roman" w:hint="eastAsia"/>
          <w:szCs w:val="24"/>
        </w:rPr>
        <w:t>。</w:t>
      </w:r>
      <w:r>
        <w:rPr>
          <w:rFonts w:ascii="Times New Roman" w:hAnsi="Times New Roman"/>
          <w:szCs w:val="24"/>
        </w:rPr>
        <w:t>该区常见动物名录见表</w:t>
      </w:r>
      <w:r>
        <w:rPr>
          <w:rFonts w:ascii="Times New Roman" w:hAnsi="Times New Roman"/>
          <w:szCs w:val="24"/>
        </w:rPr>
        <w:t>3.4-</w:t>
      </w:r>
      <w:r>
        <w:rPr>
          <w:rFonts w:ascii="Times New Roman" w:hAnsi="Times New Roman" w:hint="eastAsia"/>
          <w:szCs w:val="24"/>
        </w:rPr>
        <w:t>18</w:t>
      </w:r>
      <w:r>
        <w:rPr>
          <w:rFonts w:ascii="Times New Roman" w:hAnsi="Times New Roman"/>
          <w:szCs w:val="24"/>
        </w:rPr>
        <w:t>。</w:t>
      </w:r>
    </w:p>
    <w:p w14:paraId="1A7E3392" w14:textId="77777777" w:rsidR="009C353B" w:rsidRDefault="00000000">
      <w:pPr>
        <w:adjustRightInd w:val="0"/>
        <w:snapToGrid w:val="0"/>
        <w:spacing w:line="440" w:lineRule="exact"/>
        <w:ind w:firstLineChars="200" w:firstLine="482"/>
        <w:jc w:val="center"/>
        <w:rPr>
          <w:rFonts w:ascii="Times New Roman" w:hAnsi="Times New Roman"/>
          <w:b/>
        </w:rPr>
      </w:pPr>
      <w:r>
        <w:rPr>
          <w:rFonts w:ascii="Times New Roman" w:hint="eastAsia"/>
          <w:b/>
        </w:rPr>
        <w:t>评价区常见</w:t>
      </w:r>
      <w:r>
        <w:rPr>
          <w:rFonts w:ascii="Times New Roman"/>
          <w:b/>
        </w:rPr>
        <w:t>动物名录</w:t>
      </w:r>
    </w:p>
    <w:p w14:paraId="768D26C0" w14:textId="77777777" w:rsidR="009C353B" w:rsidRDefault="00000000">
      <w:pPr>
        <w:widowControl/>
        <w:adjustRightInd w:val="0"/>
        <w:snapToGrid w:val="0"/>
        <w:spacing w:line="440" w:lineRule="exact"/>
        <w:outlineLvl w:val="4"/>
        <w:rPr>
          <w:rFonts w:ascii="Times New Roman" w:hAnsi="Times New Roman"/>
          <w:kern w:val="0"/>
        </w:rPr>
      </w:pPr>
      <w:r>
        <w:rPr>
          <w:rFonts w:ascii="Times New Roman"/>
          <w:kern w:val="0"/>
        </w:rPr>
        <w:t>表</w:t>
      </w:r>
      <w:r>
        <w:rPr>
          <w:rFonts w:ascii="Times New Roman" w:hAnsi="Times New Roman"/>
          <w:kern w:val="0"/>
        </w:rPr>
        <w:t>3.4-</w:t>
      </w:r>
      <w:r>
        <w:rPr>
          <w:rFonts w:ascii="Times New Roman" w:hAnsi="Times New Roman" w:hint="eastAsia"/>
          <w:kern w:val="0"/>
        </w:rPr>
        <w:t>18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0"/>
        <w:gridCol w:w="1470"/>
        <w:gridCol w:w="3833"/>
        <w:gridCol w:w="1244"/>
        <w:gridCol w:w="1990"/>
      </w:tblGrid>
      <w:tr w:rsidR="009C353B" w14:paraId="7FB28F4D" w14:textId="77777777">
        <w:trPr>
          <w:trHeight w:val="334"/>
          <w:tblHeader/>
          <w:jc w:val="center"/>
        </w:trPr>
        <w:tc>
          <w:tcPr>
            <w:tcW w:w="750" w:type="dxa"/>
            <w:vAlign w:val="center"/>
          </w:tcPr>
          <w:p w14:paraId="2014953A"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序号</w:t>
            </w:r>
          </w:p>
        </w:tc>
        <w:tc>
          <w:tcPr>
            <w:tcW w:w="1470" w:type="dxa"/>
            <w:vAlign w:val="center"/>
          </w:tcPr>
          <w:p w14:paraId="50ADA71D"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中文名</w:t>
            </w:r>
          </w:p>
        </w:tc>
        <w:tc>
          <w:tcPr>
            <w:tcW w:w="3833" w:type="dxa"/>
            <w:vAlign w:val="center"/>
          </w:tcPr>
          <w:p w14:paraId="30F0E398"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学名</w:t>
            </w:r>
          </w:p>
        </w:tc>
        <w:tc>
          <w:tcPr>
            <w:tcW w:w="1244" w:type="dxa"/>
            <w:vAlign w:val="center"/>
          </w:tcPr>
          <w:p w14:paraId="245812D1"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保护类型</w:t>
            </w:r>
          </w:p>
        </w:tc>
        <w:tc>
          <w:tcPr>
            <w:tcW w:w="1990" w:type="dxa"/>
            <w:vAlign w:val="center"/>
          </w:tcPr>
          <w:p w14:paraId="61D6922C"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分布生境类型</w:t>
            </w:r>
          </w:p>
        </w:tc>
      </w:tr>
      <w:tr w:rsidR="009C353B" w14:paraId="5F531843" w14:textId="77777777">
        <w:trPr>
          <w:trHeight w:val="318"/>
          <w:jc w:val="center"/>
        </w:trPr>
        <w:tc>
          <w:tcPr>
            <w:tcW w:w="9287" w:type="dxa"/>
            <w:gridSpan w:val="5"/>
            <w:vAlign w:val="center"/>
          </w:tcPr>
          <w:p w14:paraId="00307DB4"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一．两栖纲</w:t>
            </w:r>
            <w:r>
              <w:rPr>
                <w:rFonts w:ascii="Times New Roman" w:hAnsi="Times New Roman"/>
                <w:iCs/>
                <w:sz w:val="21"/>
                <w:szCs w:val="21"/>
              </w:rPr>
              <w:t>Amphibian</w:t>
            </w:r>
          </w:p>
        </w:tc>
      </w:tr>
      <w:tr w:rsidR="009C353B" w14:paraId="74A4E910" w14:textId="77777777">
        <w:trPr>
          <w:trHeight w:val="334"/>
          <w:jc w:val="center"/>
        </w:trPr>
        <w:tc>
          <w:tcPr>
            <w:tcW w:w="9287" w:type="dxa"/>
            <w:gridSpan w:val="5"/>
            <w:vAlign w:val="center"/>
          </w:tcPr>
          <w:p w14:paraId="11D6B330"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无尾目</w:t>
            </w:r>
            <w:r>
              <w:rPr>
                <w:rFonts w:ascii="Times New Roman" w:hAnsi="Times New Roman"/>
                <w:sz w:val="21"/>
                <w:szCs w:val="21"/>
                <w:shd w:val="clear" w:color="auto" w:fill="FFFFFF"/>
              </w:rPr>
              <w:t>Anura</w:t>
            </w:r>
          </w:p>
        </w:tc>
      </w:tr>
      <w:tr w:rsidR="009C353B" w14:paraId="5665FC6E" w14:textId="77777777">
        <w:trPr>
          <w:trHeight w:val="334"/>
          <w:jc w:val="center"/>
        </w:trPr>
        <w:tc>
          <w:tcPr>
            <w:tcW w:w="750" w:type="dxa"/>
            <w:vAlign w:val="center"/>
          </w:tcPr>
          <w:p w14:paraId="758E0697"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1</w:t>
            </w:r>
          </w:p>
        </w:tc>
        <w:tc>
          <w:tcPr>
            <w:tcW w:w="1470" w:type="dxa"/>
            <w:vAlign w:val="center"/>
          </w:tcPr>
          <w:p w14:paraId="649FD1C1"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花背蟾蜍</w:t>
            </w:r>
          </w:p>
        </w:tc>
        <w:tc>
          <w:tcPr>
            <w:tcW w:w="3833" w:type="dxa"/>
            <w:vAlign w:val="center"/>
          </w:tcPr>
          <w:p w14:paraId="623EBF8A" w14:textId="77777777" w:rsidR="009C353B" w:rsidRDefault="00000000">
            <w:pPr>
              <w:spacing w:line="240" w:lineRule="exact"/>
              <w:jc w:val="center"/>
              <w:rPr>
                <w:rFonts w:ascii="Times New Roman" w:hAnsi="Times New Roman"/>
                <w:b/>
                <w:i/>
                <w:sz w:val="21"/>
                <w:szCs w:val="21"/>
              </w:rPr>
            </w:pPr>
            <w:r>
              <w:rPr>
                <w:rFonts w:ascii="Times New Roman" w:hAnsi="Times New Roman"/>
                <w:i/>
                <w:sz w:val="21"/>
                <w:szCs w:val="21"/>
              </w:rPr>
              <w:t>B</w:t>
            </w:r>
            <w:r>
              <w:rPr>
                <w:rFonts w:ascii="Times New Roman" w:hAnsi="Times New Roman"/>
                <w:i/>
                <w:sz w:val="21"/>
                <w:szCs w:val="21"/>
              </w:rPr>
              <w:t>．</w:t>
            </w:r>
            <w:r>
              <w:rPr>
                <w:rFonts w:ascii="Times New Roman" w:hAnsi="Times New Roman"/>
                <w:i/>
                <w:sz w:val="21"/>
                <w:szCs w:val="21"/>
              </w:rPr>
              <w:t>raddei strauch</w:t>
            </w:r>
          </w:p>
        </w:tc>
        <w:tc>
          <w:tcPr>
            <w:tcW w:w="1244" w:type="dxa"/>
            <w:vAlign w:val="center"/>
          </w:tcPr>
          <w:p w14:paraId="1C46F697" w14:textId="77777777" w:rsidR="009C353B" w:rsidRDefault="009C353B">
            <w:pPr>
              <w:spacing w:line="240" w:lineRule="exact"/>
              <w:jc w:val="center"/>
              <w:rPr>
                <w:rFonts w:ascii="Times New Roman" w:hAnsi="Times New Roman"/>
                <w:sz w:val="21"/>
                <w:szCs w:val="21"/>
              </w:rPr>
            </w:pPr>
          </w:p>
        </w:tc>
        <w:tc>
          <w:tcPr>
            <w:tcW w:w="1990" w:type="dxa"/>
            <w:vAlign w:val="center"/>
          </w:tcPr>
          <w:p w14:paraId="696EB015"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水域、河滩地</w:t>
            </w:r>
          </w:p>
        </w:tc>
      </w:tr>
      <w:tr w:rsidR="009C353B" w14:paraId="75C6B92D" w14:textId="77777777">
        <w:trPr>
          <w:trHeight w:val="334"/>
          <w:jc w:val="center"/>
        </w:trPr>
        <w:tc>
          <w:tcPr>
            <w:tcW w:w="9287" w:type="dxa"/>
            <w:gridSpan w:val="5"/>
            <w:vAlign w:val="center"/>
          </w:tcPr>
          <w:p w14:paraId="2191E9E5"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二、爬行纲</w:t>
            </w:r>
            <w:r>
              <w:rPr>
                <w:rFonts w:ascii="Times New Roman" w:hAnsi="Times New Roman"/>
                <w:sz w:val="21"/>
                <w:szCs w:val="21"/>
                <w:shd w:val="clear" w:color="auto" w:fill="FFFFFF"/>
              </w:rPr>
              <w:t>Reptilia</w:t>
            </w:r>
          </w:p>
        </w:tc>
      </w:tr>
      <w:tr w:rsidR="009C353B" w14:paraId="1297A295" w14:textId="77777777">
        <w:trPr>
          <w:trHeight w:val="318"/>
          <w:jc w:val="center"/>
        </w:trPr>
        <w:tc>
          <w:tcPr>
            <w:tcW w:w="9287" w:type="dxa"/>
            <w:gridSpan w:val="5"/>
            <w:vAlign w:val="center"/>
          </w:tcPr>
          <w:p w14:paraId="63BADC05"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(l)</w:t>
            </w:r>
            <w:r>
              <w:rPr>
                <w:rFonts w:ascii="Times New Roman" w:hAnsi="Times New Roman"/>
                <w:sz w:val="21"/>
                <w:szCs w:val="21"/>
              </w:rPr>
              <w:t>龟鳖目</w:t>
            </w:r>
            <w:r>
              <w:rPr>
                <w:rFonts w:ascii="Times New Roman" w:hAnsi="Times New Roman"/>
                <w:sz w:val="21"/>
                <w:szCs w:val="21"/>
                <w:shd w:val="clear" w:color="auto" w:fill="FFFFFF"/>
              </w:rPr>
              <w:t>Tesudines</w:t>
            </w:r>
          </w:p>
        </w:tc>
      </w:tr>
      <w:tr w:rsidR="009C353B" w14:paraId="7EC95145" w14:textId="77777777">
        <w:trPr>
          <w:trHeight w:val="334"/>
          <w:jc w:val="center"/>
        </w:trPr>
        <w:tc>
          <w:tcPr>
            <w:tcW w:w="750" w:type="dxa"/>
            <w:vAlign w:val="center"/>
          </w:tcPr>
          <w:p w14:paraId="5E44DDC8"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2</w:t>
            </w:r>
          </w:p>
        </w:tc>
        <w:tc>
          <w:tcPr>
            <w:tcW w:w="1470" w:type="dxa"/>
            <w:vAlign w:val="center"/>
          </w:tcPr>
          <w:p w14:paraId="12FD2F94"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中华鳖</w:t>
            </w:r>
          </w:p>
        </w:tc>
        <w:tc>
          <w:tcPr>
            <w:tcW w:w="3833" w:type="dxa"/>
            <w:vAlign w:val="center"/>
          </w:tcPr>
          <w:p w14:paraId="16170627"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Trionyx Sinensis</w:t>
            </w:r>
          </w:p>
        </w:tc>
        <w:tc>
          <w:tcPr>
            <w:tcW w:w="1244" w:type="dxa"/>
            <w:vAlign w:val="center"/>
          </w:tcPr>
          <w:p w14:paraId="0C53C14A" w14:textId="77777777" w:rsidR="009C353B" w:rsidRDefault="009C353B">
            <w:pPr>
              <w:spacing w:line="240" w:lineRule="exact"/>
              <w:jc w:val="center"/>
              <w:rPr>
                <w:rFonts w:ascii="Times New Roman" w:hAnsi="Times New Roman"/>
                <w:sz w:val="21"/>
                <w:szCs w:val="21"/>
              </w:rPr>
            </w:pPr>
          </w:p>
        </w:tc>
        <w:tc>
          <w:tcPr>
            <w:tcW w:w="1990" w:type="dxa"/>
            <w:vAlign w:val="center"/>
          </w:tcPr>
          <w:p w14:paraId="042AF36D"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水域、河滩地</w:t>
            </w:r>
          </w:p>
        </w:tc>
      </w:tr>
      <w:tr w:rsidR="009C353B" w14:paraId="03961132" w14:textId="77777777">
        <w:trPr>
          <w:trHeight w:val="334"/>
          <w:jc w:val="center"/>
        </w:trPr>
        <w:tc>
          <w:tcPr>
            <w:tcW w:w="9287" w:type="dxa"/>
            <w:gridSpan w:val="5"/>
            <w:vAlign w:val="center"/>
          </w:tcPr>
          <w:p w14:paraId="0C3FB882"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(2)</w:t>
            </w:r>
            <w:r>
              <w:rPr>
                <w:rFonts w:ascii="Times New Roman" w:hAnsi="Times New Roman" w:hint="eastAsia"/>
                <w:sz w:val="21"/>
                <w:szCs w:val="21"/>
              </w:rPr>
              <w:t>蜥蜴目</w:t>
            </w:r>
            <w:r>
              <w:rPr>
                <w:rFonts w:ascii="Times New Roman" w:hAnsi="Times New Roman"/>
                <w:sz w:val="21"/>
                <w:szCs w:val="21"/>
              </w:rPr>
              <w:t>Lacertiformes</w:t>
            </w:r>
          </w:p>
        </w:tc>
      </w:tr>
      <w:tr w:rsidR="009C353B" w14:paraId="25C90573" w14:textId="77777777">
        <w:trPr>
          <w:trHeight w:val="334"/>
          <w:jc w:val="center"/>
        </w:trPr>
        <w:tc>
          <w:tcPr>
            <w:tcW w:w="750" w:type="dxa"/>
            <w:vAlign w:val="center"/>
          </w:tcPr>
          <w:p w14:paraId="2F1E66F5"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3</w:t>
            </w:r>
          </w:p>
        </w:tc>
        <w:tc>
          <w:tcPr>
            <w:tcW w:w="1470" w:type="dxa"/>
            <w:vAlign w:val="center"/>
          </w:tcPr>
          <w:p w14:paraId="3C609CE5"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丽斑麻</w:t>
            </w:r>
            <w:r>
              <w:rPr>
                <w:rFonts w:ascii="Times New Roman" w:hAnsi="Times New Roman" w:hint="eastAsia"/>
                <w:sz w:val="21"/>
                <w:szCs w:val="21"/>
              </w:rPr>
              <w:t>蜥</w:t>
            </w:r>
          </w:p>
        </w:tc>
        <w:tc>
          <w:tcPr>
            <w:tcW w:w="3833" w:type="dxa"/>
            <w:vAlign w:val="center"/>
          </w:tcPr>
          <w:p w14:paraId="616FD980"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Eremias argus peters</w:t>
            </w:r>
          </w:p>
        </w:tc>
        <w:tc>
          <w:tcPr>
            <w:tcW w:w="1244" w:type="dxa"/>
            <w:vAlign w:val="center"/>
          </w:tcPr>
          <w:p w14:paraId="1AF7FB50" w14:textId="77777777" w:rsidR="009C353B" w:rsidRDefault="009C353B">
            <w:pPr>
              <w:spacing w:line="240" w:lineRule="exact"/>
              <w:jc w:val="center"/>
              <w:rPr>
                <w:rFonts w:ascii="Times New Roman" w:hAnsi="Times New Roman"/>
                <w:sz w:val="21"/>
                <w:szCs w:val="21"/>
              </w:rPr>
            </w:pPr>
          </w:p>
        </w:tc>
        <w:tc>
          <w:tcPr>
            <w:tcW w:w="1990" w:type="dxa"/>
            <w:vAlign w:val="center"/>
          </w:tcPr>
          <w:p w14:paraId="3670F08C"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草地、灌丛、沙地</w:t>
            </w:r>
          </w:p>
        </w:tc>
      </w:tr>
      <w:tr w:rsidR="009C353B" w14:paraId="386E8753" w14:textId="77777777">
        <w:trPr>
          <w:trHeight w:val="334"/>
          <w:jc w:val="center"/>
        </w:trPr>
        <w:tc>
          <w:tcPr>
            <w:tcW w:w="9287" w:type="dxa"/>
            <w:gridSpan w:val="5"/>
            <w:vAlign w:val="center"/>
          </w:tcPr>
          <w:p w14:paraId="2BE2D768"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三、鸟纲</w:t>
            </w:r>
            <w:r>
              <w:rPr>
                <w:rFonts w:ascii="Times New Roman" w:hAnsi="Times New Roman"/>
                <w:sz w:val="21"/>
                <w:szCs w:val="21"/>
                <w:shd w:val="clear" w:color="auto" w:fill="FFFFFF"/>
              </w:rPr>
              <w:t>Aves</w:t>
            </w:r>
          </w:p>
        </w:tc>
      </w:tr>
      <w:tr w:rsidR="009C353B" w14:paraId="547D9386" w14:textId="77777777">
        <w:trPr>
          <w:trHeight w:val="318"/>
          <w:jc w:val="center"/>
        </w:trPr>
        <w:tc>
          <w:tcPr>
            <w:tcW w:w="9287" w:type="dxa"/>
            <w:gridSpan w:val="5"/>
            <w:vAlign w:val="center"/>
          </w:tcPr>
          <w:p w14:paraId="034A4D21"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鸡形目</w:t>
            </w:r>
            <w:r>
              <w:rPr>
                <w:rFonts w:ascii="Times New Roman" w:hAnsi="Times New Roman"/>
                <w:sz w:val="21"/>
                <w:szCs w:val="21"/>
                <w:shd w:val="clear" w:color="auto" w:fill="FFFFFF"/>
              </w:rPr>
              <w:t>Galliformes</w:t>
            </w:r>
          </w:p>
        </w:tc>
      </w:tr>
      <w:tr w:rsidR="009C353B" w14:paraId="6C5641BE" w14:textId="77777777">
        <w:trPr>
          <w:trHeight w:val="334"/>
          <w:jc w:val="center"/>
        </w:trPr>
        <w:tc>
          <w:tcPr>
            <w:tcW w:w="750" w:type="dxa"/>
            <w:vAlign w:val="center"/>
          </w:tcPr>
          <w:p w14:paraId="70915FC9"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4</w:t>
            </w:r>
          </w:p>
        </w:tc>
        <w:tc>
          <w:tcPr>
            <w:tcW w:w="1470" w:type="dxa"/>
            <w:vAlign w:val="center"/>
          </w:tcPr>
          <w:p w14:paraId="14148647"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石鸡</w:t>
            </w:r>
          </w:p>
        </w:tc>
        <w:tc>
          <w:tcPr>
            <w:tcW w:w="3833" w:type="dxa"/>
            <w:vAlign w:val="center"/>
          </w:tcPr>
          <w:p w14:paraId="727006C4"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Alectoris graeca(meisner)</w:t>
            </w:r>
          </w:p>
        </w:tc>
        <w:tc>
          <w:tcPr>
            <w:tcW w:w="1244" w:type="dxa"/>
            <w:vAlign w:val="center"/>
          </w:tcPr>
          <w:p w14:paraId="4EC07727" w14:textId="77777777" w:rsidR="009C353B" w:rsidRDefault="009C353B">
            <w:pPr>
              <w:spacing w:line="240" w:lineRule="exact"/>
              <w:jc w:val="center"/>
              <w:rPr>
                <w:rFonts w:ascii="Times New Roman" w:hAnsi="Times New Roman"/>
                <w:sz w:val="21"/>
                <w:szCs w:val="21"/>
              </w:rPr>
            </w:pPr>
          </w:p>
        </w:tc>
        <w:tc>
          <w:tcPr>
            <w:tcW w:w="1990" w:type="dxa"/>
            <w:vAlign w:val="center"/>
          </w:tcPr>
          <w:p w14:paraId="48A7E703"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草地、灌丛</w:t>
            </w:r>
          </w:p>
        </w:tc>
      </w:tr>
      <w:tr w:rsidR="009C353B" w14:paraId="5B6B5C7E" w14:textId="77777777">
        <w:trPr>
          <w:trHeight w:val="318"/>
          <w:jc w:val="center"/>
        </w:trPr>
        <w:tc>
          <w:tcPr>
            <w:tcW w:w="9287" w:type="dxa"/>
            <w:gridSpan w:val="5"/>
            <w:vAlign w:val="center"/>
          </w:tcPr>
          <w:p w14:paraId="4425063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2)</w:t>
            </w:r>
            <w:r>
              <w:rPr>
                <w:rFonts w:ascii="Times New Roman" w:hAnsi="Times New Roman" w:hint="eastAsia"/>
                <w:sz w:val="21"/>
                <w:szCs w:val="21"/>
              </w:rPr>
              <w:t>隼形目</w:t>
            </w:r>
            <w:r>
              <w:rPr>
                <w:rFonts w:ascii="Times New Roman" w:hAnsi="Times New Roman"/>
                <w:sz w:val="21"/>
                <w:szCs w:val="21"/>
                <w:shd w:val="clear" w:color="auto" w:fill="FFFFFF"/>
              </w:rPr>
              <w:t>Falconiformes</w:t>
            </w:r>
          </w:p>
        </w:tc>
      </w:tr>
      <w:tr w:rsidR="009C353B" w14:paraId="05D3F8A6" w14:textId="77777777">
        <w:trPr>
          <w:trHeight w:val="334"/>
          <w:jc w:val="center"/>
        </w:trPr>
        <w:tc>
          <w:tcPr>
            <w:tcW w:w="750" w:type="dxa"/>
            <w:vAlign w:val="center"/>
          </w:tcPr>
          <w:p w14:paraId="40C82DAF"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5</w:t>
            </w:r>
          </w:p>
        </w:tc>
        <w:tc>
          <w:tcPr>
            <w:tcW w:w="1470" w:type="dxa"/>
            <w:vAlign w:val="center"/>
          </w:tcPr>
          <w:p w14:paraId="5A8D593B"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大</w:t>
            </w:r>
          </w:p>
        </w:tc>
        <w:tc>
          <w:tcPr>
            <w:tcW w:w="3833" w:type="dxa"/>
            <w:vAlign w:val="center"/>
          </w:tcPr>
          <w:p w14:paraId="7BA51149"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Buteo hemilasius</w:t>
            </w:r>
          </w:p>
        </w:tc>
        <w:tc>
          <w:tcPr>
            <w:tcW w:w="1244" w:type="dxa"/>
            <w:vAlign w:val="center"/>
          </w:tcPr>
          <w:p w14:paraId="06950A18"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国家二级</w:t>
            </w:r>
          </w:p>
        </w:tc>
        <w:tc>
          <w:tcPr>
            <w:tcW w:w="1990" w:type="dxa"/>
            <w:vAlign w:val="center"/>
          </w:tcPr>
          <w:p w14:paraId="1EB0F5D7" w14:textId="77777777" w:rsidR="009C353B" w:rsidRDefault="00000000">
            <w:pPr>
              <w:spacing w:line="240" w:lineRule="exact"/>
              <w:jc w:val="center"/>
              <w:rPr>
                <w:rFonts w:ascii="Times New Roman" w:hAnsi="Times New Roman"/>
                <w:sz w:val="21"/>
                <w:szCs w:val="21"/>
              </w:rPr>
            </w:pPr>
            <w:r>
              <w:rPr>
                <w:rFonts w:ascii="Arial" w:hAnsi="Arial" w:cs="Arial"/>
                <w:sz w:val="21"/>
                <w:szCs w:val="21"/>
                <w:shd w:val="clear" w:color="auto" w:fill="FFFFFF"/>
              </w:rPr>
              <w:t>草原</w:t>
            </w:r>
            <w:r>
              <w:rPr>
                <w:rFonts w:ascii="Arial" w:hAnsi="Arial" w:cs="Arial" w:hint="eastAsia"/>
                <w:sz w:val="21"/>
                <w:szCs w:val="21"/>
                <w:shd w:val="clear" w:color="auto" w:fill="FFFFFF"/>
              </w:rPr>
              <w:t>、</w:t>
            </w:r>
            <w:r>
              <w:rPr>
                <w:rFonts w:ascii="Arial" w:hAnsi="Arial" w:cs="Arial"/>
                <w:sz w:val="21"/>
                <w:szCs w:val="21"/>
                <w:shd w:val="clear" w:color="auto" w:fill="FFFFFF"/>
              </w:rPr>
              <w:t>荒漠</w:t>
            </w:r>
          </w:p>
        </w:tc>
      </w:tr>
      <w:tr w:rsidR="009C353B" w14:paraId="7B340BA9" w14:textId="77777777">
        <w:trPr>
          <w:trHeight w:val="318"/>
          <w:jc w:val="center"/>
        </w:trPr>
        <w:tc>
          <w:tcPr>
            <w:tcW w:w="750" w:type="dxa"/>
            <w:vAlign w:val="center"/>
          </w:tcPr>
          <w:p w14:paraId="2FF6ACFB"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6</w:t>
            </w:r>
          </w:p>
        </w:tc>
        <w:tc>
          <w:tcPr>
            <w:tcW w:w="1470" w:type="dxa"/>
            <w:vAlign w:val="center"/>
          </w:tcPr>
          <w:p w14:paraId="2556E743"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白尾海雕</w:t>
            </w:r>
          </w:p>
        </w:tc>
        <w:tc>
          <w:tcPr>
            <w:tcW w:w="3833" w:type="dxa"/>
            <w:vAlign w:val="center"/>
          </w:tcPr>
          <w:p w14:paraId="11F2B329"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Haliaeetus albicilla</w:t>
            </w:r>
          </w:p>
        </w:tc>
        <w:tc>
          <w:tcPr>
            <w:tcW w:w="1244" w:type="dxa"/>
            <w:vAlign w:val="center"/>
          </w:tcPr>
          <w:p w14:paraId="26CFD9C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国家一级</w:t>
            </w:r>
          </w:p>
        </w:tc>
        <w:tc>
          <w:tcPr>
            <w:tcW w:w="1990" w:type="dxa"/>
            <w:vAlign w:val="center"/>
          </w:tcPr>
          <w:p w14:paraId="0EE17AE3" w14:textId="77777777" w:rsidR="009C353B" w:rsidRDefault="00000000">
            <w:pPr>
              <w:spacing w:line="240" w:lineRule="exact"/>
              <w:jc w:val="center"/>
              <w:rPr>
                <w:rFonts w:ascii="Times New Roman" w:hAnsi="Times New Roman"/>
                <w:sz w:val="21"/>
                <w:szCs w:val="21"/>
              </w:rPr>
            </w:pPr>
            <w:r>
              <w:rPr>
                <w:rFonts w:ascii="Arial" w:hAnsi="Arial" w:cs="Arial"/>
                <w:sz w:val="21"/>
                <w:szCs w:val="21"/>
                <w:shd w:val="clear" w:color="auto" w:fill="FFFFFF"/>
              </w:rPr>
              <w:t>有高大树木的水域</w:t>
            </w:r>
          </w:p>
        </w:tc>
      </w:tr>
      <w:tr w:rsidR="009C353B" w14:paraId="47AEEBDA" w14:textId="77777777">
        <w:trPr>
          <w:trHeight w:val="334"/>
          <w:jc w:val="center"/>
        </w:trPr>
        <w:tc>
          <w:tcPr>
            <w:tcW w:w="750" w:type="dxa"/>
            <w:vAlign w:val="center"/>
          </w:tcPr>
          <w:p w14:paraId="16B05140"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7</w:t>
            </w:r>
          </w:p>
        </w:tc>
        <w:tc>
          <w:tcPr>
            <w:tcW w:w="1470" w:type="dxa"/>
            <w:vAlign w:val="center"/>
          </w:tcPr>
          <w:p w14:paraId="0529CBA9"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草原雕</w:t>
            </w:r>
          </w:p>
        </w:tc>
        <w:tc>
          <w:tcPr>
            <w:tcW w:w="3833" w:type="dxa"/>
            <w:vAlign w:val="center"/>
          </w:tcPr>
          <w:p w14:paraId="2F76C9D8"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Aquila nipalensis</w:t>
            </w:r>
          </w:p>
        </w:tc>
        <w:tc>
          <w:tcPr>
            <w:tcW w:w="1244" w:type="dxa"/>
            <w:vAlign w:val="center"/>
          </w:tcPr>
          <w:p w14:paraId="7B2A26D3" w14:textId="77777777" w:rsidR="009C353B" w:rsidRDefault="009C353B">
            <w:pPr>
              <w:spacing w:line="240" w:lineRule="exact"/>
              <w:jc w:val="center"/>
              <w:rPr>
                <w:rFonts w:ascii="Times New Roman" w:hAnsi="Times New Roman"/>
                <w:sz w:val="21"/>
                <w:szCs w:val="21"/>
              </w:rPr>
            </w:pPr>
          </w:p>
        </w:tc>
        <w:tc>
          <w:tcPr>
            <w:tcW w:w="1990" w:type="dxa"/>
            <w:vAlign w:val="center"/>
          </w:tcPr>
          <w:p w14:paraId="1B20782C"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荒漠草地</w:t>
            </w:r>
          </w:p>
        </w:tc>
      </w:tr>
      <w:tr w:rsidR="009C353B" w14:paraId="7DEB9646" w14:textId="77777777">
        <w:trPr>
          <w:trHeight w:val="334"/>
          <w:jc w:val="center"/>
        </w:trPr>
        <w:tc>
          <w:tcPr>
            <w:tcW w:w="9287" w:type="dxa"/>
            <w:gridSpan w:val="5"/>
            <w:vAlign w:val="center"/>
          </w:tcPr>
          <w:p w14:paraId="1C9AE90F"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3)</w:t>
            </w:r>
            <w:r>
              <w:rPr>
                <w:rFonts w:ascii="Times New Roman" w:hAnsi="Times New Roman" w:hint="eastAsia"/>
                <w:sz w:val="21"/>
                <w:szCs w:val="21"/>
              </w:rPr>
              <w:t>鹤形目</w:t>
            </w:r>
            <w:r>
              <w:rPr>
                <w:rFonts w:ascii="Times New Roman" w:hAnsi="Times New Roman"/>
                <w:sz w:val="21"/>
                <w:szCs w:val="21"/>
              </w:rPr>
              <w:t>Gruiformes</w:t>
            </w:r>
          </w:p>
        </w:tc>
      </w:tr>
      <w:tr w:rsidR="009C353B" w14:paraId="199DEAFF" w14:textId="77777777">
        <w:trPr>
          <w:trHeight w:val="318"/>
          <w:jc w:val="center"/>
        </w:trPr>
        <w:tc>
          <w:tcPr>
            <w:tcW w:w="750" w:type="dxa"/>
            <w:vAlign w:val="center"/>
          </w:tcPr>
          <w:p w14:paraId="51F0F39D"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8</w:t>
            </w:r>
          </w:p>
        </w:tc>
        <w:tc>
          <w:tcPr>
            <w:tcW w:w="1470" w:type="dxa"/>
            <w:vAlign w:val="center"/>
          </w:tcPr>
          <w:p w14:paraId="23BEB55D"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灰鹤</w:t>
            </w:r>
          </w:p>
        </w:tc>
        <w:tc>
          <w:tcPr>
            <w:tcW w:w="3833" w:type="dxa"/>
            <w:vAlign w:val="center"/>
          </w:tcPr>
          <w:p w14:paraId="664076C4" w14:textId="77777777" w:rsidR="009C353B" w:rsidRDefault="00000000">
            <w:pPr>
              <w:spacing w:line="240" w:lineRule="exact"/>
              <w:jc w:val="center"/>
              <w:rPr>
                <w:rFonts w:ascii="Times New Roman" w:hAnsi="Times New Roman"/>
                <w:i/>
                <w:iCs/>
                <w:sz w:val="21"/>
                <w:szCs w:val="21"/>
              </w:rPr>
            </w:pPr>
            <w:r>
              <w:rPr>
                <w:rFonts w:ascii="Times New Roman" w:hAnsi="Times New Roman"/>
                <w:i/>
                <w:iCs/>
                <w:sz w:val="21"/>
                <w:szCs w:val="21"/>
              </w:rPr>
              <w:t>Grus grus</w:t>
            </w:r>
          </w:p>
        </w:tc>
        <w:tc>
          <w:tcPr>
            <w:tcW w:w="1244" w:type="dxa"/>
            <w:vAlign w:val="center"/>
          </w:tcPr>
          <w:p w14:paraId="5219301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国家二级</w:t>
            </w:r>
          </w:p>
        </w:tc>
        <w:tc>
          <w:tcPr>
            <w:tcW w:w="1990" w:type="dxa"/>
            <w:vAlign w:val="center"/>
          </w:tcPr>
          <w:p w14:paraId="2B55E77A" w14:textId="77777777" w:rsidR="009C353B" w:rsidRDefault="00000000">
            <w:pPr>
              <w:spacing w:line="240" w:lineRule="exact"/>
              <w:jc w:val="center"/>
              <w:rPr>
                <w:rFonts w:ascii="Times New Roman" w:hAnsi="Times New Roman"/>
                <w:sz w:val="21"/>
                <w:szCs w:val="21"/>
              </w:rPr>
            </w:pPr>
            <w:r>
              <w:rPr>
                <w:rFonts w:ascii="Arial" w:hAnsi="Arial" w:cs="Arial"/>
                <w:sz w:val="21"/>
                <w:szCs w:val="21"/>
                <w:shd w:val="clear" w:color="auto" w:fill="FFFFFF"/>
              </w:rPr>
              <w:t>草地、沼泽、河滩</w:t>
            </w:r>
          </w:p>
        </w:tc>
      </w:tr>
      <w:tr w:rsidR="009C353B" w14:paraId="5C4A5AD1" w14:textId="77777777">
        <w:trPr>
          <w:trHeight w:val="334"/>
          <w:jc w:val="center"/>
        </w:trPr>
        <w:tc>
          <w:tcPr>
            <w:tcW w:w="750" w:type="dxa"/>
            <w:vAlign w:val="center"/>
          </w:tcPr>
          <w:p w14:paraId="5A4CEA8A"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9</w:t>
            </w:r>
          </w:p>
        </w:tc>
        <w:tc>
          <w:tcPr>
            <w:tcW w:w="1470" w:type="dxa"/>
            <w:vAlign w:val="center"/>
          </w:tcPr>
          <w:p w14:paraId="53CE88EC"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蓑衣鹤</w:t>
            </w:r>
          </w:p>
        </w:tc>
        <w:tc>
          <w:tcPr>
            <w:tcW w:w="3833" w:type="dxa"/>
            <w:vAlign w:val="center"/>
          </w:tcPr>
          <w:p w14:paraId="3567A8F1" w14:textId="77777777" w:rsidR="009C353B" w:rsidRDefault="00000000">
            <w:pPr>
              <w:spacing w:line="240" w:lineRule="exact"/>
              <w:jc w:val="center"/>
              <w:rPr>
                <w:rFonts w:ascii="Times New Roman" w:hAnsi="Times New Roman"/>
                <w:i/>
                <w:iCs/>
                <w:sz w:val="21"/>
                <w:szCs w:val="21"/>
              </w:rPr>
            </w:pPr>
            <w:r>
              <w:rPr>
                <w:rFonts w:ascii="Times New Roman" w:hAnsi="Times New Roman"/>
                <w:i/>
                <w:iCs/>
                <w:sz w:val="21"/>
                <w:szCs w:val="21"/>
              </w:rPr>
              <w:t>Anthropoides virgo</w:t>
            </w:r>
          </w:p>
        </w:tc>
        <w:tc>
          <w:tcPr>
            <w:tcW w:w="1244" w:type="dxa"/>
            <w:vAlign w:val="center"/>
          </w:tcPr>
          <w:p w14:paraId="64C8EBE8"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国家二级</w:t>
            </w:r>
          </w:p>
        </w:tc>
        <w:tc>
          <w:tcPr>
            <w:tcW w:w="1990" w:type="dxa"/>
            <w:vAlign w:val="center"/>
          </w:tcPr>
          <w:p w14:paraId="0B0F12A1" w14:textId="77777777" w:rsidR="009C353B" w:rsidRDefault="00000000">
            <w:pPr>
              <w:spacing w:line="240" w:lineRule="exact"/>
              <w:jc w:val="center"/>
              <w:rPr>
                <w:rFonts w:ascii="Times New Roman" w:hAnsi="Times New Roman"/>
                <w:sz w:val="21"/>
                <w:szCs w:val="21"/>
              </w:rPr>
            </w:pPr>
            <w:r>
              <w:rPr>
                <w:rFonts w:ascii="Arial" w:hAnsi="Arial" w:cs="Arial"/>
                <w:sz w:val="21"/>
                <w:szCs w:val="21"/>
                <w:shd w:val="clear" w:color="auto" w:fill="FFFFFF"/>
              </w:rPr>
              <w:t>湖泊、河谷、半荒漠</w:t>
            </w:r>
          </w:p>
        </w:tc>
      </w:tr>
      <w:tr w:rsidR="009C353B" w14:paraId="0A534F67" w14:textId="77777777">
        <w:trPr>
          <w:trHeight w:val="318"/>
          <w:jc w:val="center"/>
        </w:trPr>
        <w:tc>
          <w:tcPr>
            <w:tcW w:w="9287" w:type="dxa"/>
            <w:gridSpan w:val="5"/>
            <w:vAlign w:val="center"/>
          </w:tcPr>
          <w:p w14:paraId="2B8AE3D6" w14:textId="77777777" w:rsidR="009C353B" w:rsidRDefault="00000000">
            <w:pPr>
              <w:spacing w:line="240" w:lineRule="exact"/>
              <w:jc w:val="center"/>
              <w:rPr>
                <w:rFonts w:ascii="Times New Roman" w:hAnsi="Times New Roman"/>
                <w:sz w:val="21"/>
                <w:szCs w:val="21"/>
              </w:rPr>
            </w:pPr>
            <w:r>
              <w:rPr>
                <w:rFonts w:ascii="Arial" w:hAnsi="Arial" w:cs="Arial" w:hint="eastAsia"/>
                <w:sz w:val="21"/>
                <w:szCs w:val="21"/>
                <w:shd w:val="clear" w:color="auto" w:fill="FFFFFF"/>
              </w:rPr>
              <w:t>(</w:t>
            </w:r>
            <w:r>
              <w:rPr>
                <w:rFonts w:ascii="Arial" w:hAnsi="Arial" w:cs="Arial"/>
                <w:sz w:val="21"/>
                <w:szCs w:val="21"/>
                <w:shd w:val="clear" w:color="auto" w:fill="FFFFFF"/>
              </w:rPr>
              <w:t>4)</w:t>
            </w:r>
            <w:r>
              <w:rPr>
                <w:rFonts w:ascii="Arial" w:hAnsi="Arial" w:cs="Arial"/>
                <w:sz w:val="21"/>
                <w:szCs w:val="21"/>
                <w:shd w:val="clear" w:color="auto" w:fill="FFFFFF"/>
              </w:rPr>
              <w:t>雁形目</w:t>
            </w:r>
            <w:r>
              <w:rPr>
                <w:rFonts w:ascii="Arial" w:hAnsi="Arial" w:cs="Arial"/>
                <w:sz w:val="21"/>
                <w:szCs w:val="21"/>
                <w:shd w:val="clear" w:color="auto" w:fill="FFFFFF"/>
              </w:rPr>
              <w:t>Anseriformes</w:t>
            </w:r>
          </w:p>
        </w:tc>
      </w:tr>
      <w:tr w:rsidR="009C353B" w14:paraId="4CB99141" w14:textId="77777777">
        <w:trPr>
          <w:trHeight w:val="334"/>
          <w:jc w:val="center"/>
        </w:trPr>
        <w:tc>
          <w:tcPr>
            <w:tcW w:w="750" w:type="dxa"/>
            <w:vAlign w:val="center"/>
          </w:tcPr>
          <w:p w14:paraId="3919E0E9"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0</w:t>
            </w:r>
          </w:p>
        </w:tc>
        <w:tc>
          <w:tcPr>
            <w:tcW w:w="1470" w:type="dxa"/>
            <w:vAlign w:val="center"/>
          </w:tcPr>
          <w:p w14:paraId="30D610DB"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鸿雁</w:t>
            </w:r>
          </w:p>
        </w:tc>
        <w:tc>
          <w:tcPr>
            <w:tcW w:w="3833" w:type="dxa"/>
            <w:vAlign w:val="center"/>
          </w:tcPr>
          <w:p w14:paraId="1F515C9B"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Anser cygnoides</w:t>
            </w:r>
          </w:p>
        </w:tc>
        <w:tc>
          <w:tcPr>
            <w:tcW w:w="1244" w:type="dxa"/>
            <w:vAlign w:val="center"/>
          </w:tcPr>
          <w:p w14:paraId="0F5A5EE2" w14:textId="77777777" w:rsidR="009C353B" w:rsidRDefault="009C353B">
            <w:pPr>
              <w:spacing w:line="240" w:lineRule="exact"/>
              <w:jc w:val="center"/>
              <w:rPr>
                <w:rFonts w:ascii="Times New Roman" w:hAnsi="Times New Roman"/>
                <w:sz w:val="21"/>
                <w:szCs w:val="21"/>
              </w:rPr>
            </w:pPr>
          </w:p>
        </w:tc>
        <w:tc>
          <w:tcPr>
            <w:tcW w:w="1990" w:type="dxa"/>
            <w:vAlign w:val="center"/>
          </w:tcPr>
          <w:p w14:paraId="18F6BCE6" w14:textId="77777777" w:rsidR="009C353B" w:rsidRDefault="00000000">
            <w:pPr>
              <w:spacing w:line="240" w:lineRule="exact"/>
              <w:jc w:val="center"/>
              <w:rPr>
                <w:rFonts w:ascii="Times New Roman" w:hAnsi="Times New Roman"/>
                <w:sz w:val="21"/>
                <w:szCs w:val="21"/>
              </w:rPr>
            </w:pPr>
            <w:r>
              <w:rPr>
                <w:rFonts w:ascii="Arial" w:hAnsi="Arial" w:cs="Arial"/>
                <w:sz w:val="21"/>
                <w:szCs w:val="21"/>
                <w:shd w:val="clear" w:color="auto" w:fill="FFFFFF"/>
              </w:rPr>
              <w:t>湖泊、水塘、河流、沼泽</w:t>
            </w:r>
          </w:p>
        </w:tc>
      </w:tr>
      <w:tr w:rsidR="009C353B" w14:paraId="582CDE16" w14:textId="77777777">
        <w:trPr>
          <w:trHeight w:val="334"/>
          <w:jc w:val="center"/>
        </w:trPr>
        <w:tc>
          <w:tcPr>
            <w:tcW w:w="750" w:type="dxa"/>
            <w:vAlign w:val="center"/>
          </w:tcPr>
          <w:p w14:paraId="0606525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1</w:t>
            </w:r>
          </w:p>
        </w:tc>
        <w:tc>
          <w:tcPr>
            <w:tcW w:w="1470" w:type="dxa"/>
            <w:vAlign w:val="center"/>
          </w:tcPr>
          <w:p w14:paraId="3B90AFE3"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绿头鸭</w:t>
            </w:r>
          </w:p>
        </w:tc>
        <w:tc>
          <w:tcPr>
            <w:tcW w:w="3833" w:type="dxa"/>
            <w:vAlign w:val="center"/>
          </w:tcPr>
          <w:p w14:paraId="38B875BA"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Anas platyrhynchos</w:t>
            </w:r>
          </w:p>
        </w:tc>
        <w:tc>
          <w:tcPr>
            <w:tcW w:w="1244" w:type="dxa"/>
            <w:vAlign w:val="center"/>
          </w:tcPr>
          <w:p w14:paraId="17892761" w14:textId="77777777" w:rsidR="009C353B" w:rsidRDefault="009C353B">
            <w:pPr>
              <w:spacing w:line="240" w:lineRule="exact"/>
              <w:jc w:val="center"/>
              <w:rPr>
                <w:rFonts w:ascii="Times New Roman" w:hAnsi="Times New Roman"/>
                <w:sz w:val="21"/>
                <w:szCs w:val="21"/>
              </w:rPr>
            </w:pPr>
          </w:p>
        </w:tc>
        <w:tc>
          <w:tcPr>
            <w:tcW w:w="1990" w:type="dxa"/>
            <w:vAlign w:val="center"/>
          </w:tcPr>
          <w:p w14:paraId="03B880AB" w14:textId="77777777" w:rsidR="009C353B" w:rsidRDefault="00000000">
            <w:pPr>
              <w:spacing w:line="240" w:lineRule="exact"/>
              <w:jc w:val="center"/>
              <w:rPr>
                <w:rFonts w:ascii="Times New Roman" w:hAnsi="Times New Roman"/>
                <w:sz w:val="21"/>
                <w:szCs w:val="21"/>
              </w:rPr>
            </w:pPr>
            <w:r>
              <w:rPr>
                <w:rFonts w:ascii="Arial" w:hAnsi="Arial" w:cs="Arial"/>
                <w:sz w:val="21"/>
                <w:szCs w:val="21"/>
                <w:shd w:val="clear" w:color="auto" w:fill="FFFFFF"/>
              </w:rPr>
              <w:t>湖泊、河流、池塘、沼泽</w:t>
            </w:r>
          </w:p>
        </w:tc>
      </w:tr>
      <w:tr w:rsidR="009C353B" w14:paraId="5DF8F7AE" w14:textId="77777777">
        <w:trPr>
          <w:trHeight w:val="334"/>
          <w:jc w:val="center"/>
        </w:trPr>
        <w:tc>
          <w:tcPr>
            <w:tcW w:w="750" w:type="dxa"/>
            <w:vAlign w:val="center"/>
          </w:tcPr>
          <w:p w14:paraId="4C50D426"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12</w:t>
            </w:r>
          </w:p>
        </w:tc>
        <w:tc>
          <w:tcPr>
            <w:tcW w:w="1470" w:type="dxa"/>
            <w:vAlign w:val="center"/>
          </w:tcPr>
          <w:p w14:paraId="53E78DB2"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斑嘴鸭</w:t>
            </w:r>
          </w:p>
        </w:tc>
        <w:tc>
          <w:tcPr>
            <w:tcW w:w="3833" w:type="dxa"/>
            <w:vAlign w:val="center"/>
          </w:tcPr>
          <w:p w14:paraId="7533C1F9"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Anas zonorhyncha</w:t>
            </w:r>
          </w:p>
        </w:tc>
        <w:tc>
          <w:tcPr>
            <w:tcW w:w="1244" w:type="dxa"/>
            <w:vAlign w:val="center"/>
          </w:tcPr>
          <w:p w14:paraId="5DA56544" w14:textId="77777777" w:rsidR="009C353B" w:rsidRDefault="009C353B">
            <w:pPr>
              <w:spacing w:line="240" w:lineRule="exact"/>
              <w:jc w:val="center"/>
              <w:rPr>
                <w:rFonts w:ascii="Times New Roman" w:hAnsi="Times New Roman"/>
                <w:sz w:val="21"/>
                <w:szCs w:val="21"/>
              </w:rPr>
            </w:pPr>
          </w:p>
        </w:tc>
        <w:tc>
          <w:tcPr>
            <w:tcW w:w="1990" w:type="dxa"/>
            <w:vAlign w:val="center"/>
          </w:tcPr>
          <w:p w14:paraId="2D2ACCA1" w14:textId="77777777" w:rsidR="009C353B" w:rsidRDefault="00000000">
            <w:pPr>
              <w:spacing w:line="240" w:lineRule="exact"/>
              <w:jc w:val="center"/>
              <w:rPr>
                <w:rFonts w:ascii="Times New Roman" w:hAnsi="Times New Roman"/>
                <w:sz w:val="21"/>
                <w:szCs w:val="21"/>
              </w:rPr>
            </w:pPr>
            <w:r>
              <w:rPr>
                <w:rFonts w:ascii="Arial" w:hAnsi="Arial" w:cs="Arial"/>
                <w:sz w:val="21"/>
                <w:szCs w:val="21"/>
                <w:shd w:val="clear" w:color="auto" w:fill="FFFFFF"/>
              </w:rPr>
              <w:t>湖泊、河流、池塘、沼泽</w:t>
            </w:r>
          </w:p>
        </w:tc>
      </w:tr>
      <w:tr w:rsidR="009C353B" w14:paraId="20C77747" w14:textId="77777777">
        <w:trPr>
          <w:trHeight w:val="334"/>
          <w:jc w:val="center"/>
        </w:trPr>
        <w:tc>
          <w:tcPr>
            <w:tcW w:w="750" w:type="dxa"/>
            <w:vAlign w:val="center"/>
          </w:tcPr>
          <w:p w14:paraId="3342BB15"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3</w:t>
            </w:r>
          </w:p>
        </w:tc>
        <w:tc>
          <w:tcPr>
            <w:tcW w:w="1470" w:type="dxa"/>
            <w:vAlign w:val="center"/>
          </w:tcPr>
          <w:p w14:paraId="220FEB8C"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小天鹅</w:t>
            </w:r>
          </w:p>
        </w:tc>
        <w:tc>
          <w:tcPr>
            <w:tcW w:w="3833" w:type="dxa"/>
            <w:vAlign w:val="center"/>
          </w:tcPr>
          <w:p w14:paraId="57CC284F"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Cygnus columbianus</w:t>
            </w:r>
          </w:p>
        </w:tc>
        <w:tc>
          <w:tcPr>
            <w:tcW w:w="1244" w:type="dxa"/>
            <w:vAlign w:val="center"/>
          </w:tcPr>
          <w:p w14:paraId="4E333F5B"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国家二级</w:t>
            </w:r>
          </w:p>
        </w:tc>
        <w:tc>
          <w:tcPr>
            <w:tcW w:w="1990" w:type="dxa"/>
            <w:vAlign w:val="center"/>
          </w:tcPr>
          <w:p w14:paraId="1F126C0A" w14:textId="77777777" w:rsidR="009C353B" w:rsidRDefault="00000000">
            <w:pPr>
              <w:spacing w:line="240" w:lineRule="exact"/>
              <w:jc w:val="center"/>
              <w:rPr>
                <w:rFonts w:ascii="Arial" w:hAnsi="Arial" w:cs="Arial"/>
                <w:sz w:val="21"/>
                <w:szCs w:val="21"/>
                <w:shd w:val="clear" w:color="auto" w:fill="FFFFFF"/>
              </w:rPr>
            </w:pPr>
            <w:r>
              <w:rPr>
                <w:rFonts w:ascii="Arial" w:hAnsi="Arial" w:cs="Arial"/>
                <w:sz w:val="21"/>
                <w:szCs w:val="21"/>
                <w:shd w:val="clear" w:color="auto" w:fill="FFFFFF"/>
              </w:rPr>
              <w:t>湖泊、河流、池塘、沼泽</w:t>
            </w:r>
          </w:p>
        </w:tc>
      </w:tr>
      <w:tr w:rsidR="009C353B" w14:paraId="5AF572D0" w14:textId="77777777">
        <w:trPr>
          <w:trHeight w:val="334"/>
          <w:jc w:val="center"/>
        </w:trPr>
        <w:tc>
          <w:tcPr>
            <w:tcW w:w="750" w:type="dxa"/>
            <w:vAlign w:val="center"/>
          </w:tcPr>
          <w:p w14:paraId="1F37A8C0"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4</w:t>
            </w:r>
          </w:p>
        </w:tc>
        <w:tc>
          <w:tcPr>
            <w:tcW w:w="1470" w:type="dxa"/>
            <w:vAlign w:val="center"/>
          </w:tcPr>
          <w:p w14:paraId="35518BF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大天鹅</w:t>
            </w:r>
          </w:p>
        </w:tc>
        <w:tc>
          <w:tcPr>
            <w:tcW w:w="3833" w:type="dxa"/>
            <w:vAlign w:val="center"/>
          </w:tcPr>
          <w:p w14:paraId="14726D40"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Cygnus cygnus</w:t>
            </w:r>
          </w:p>
        </w:tc>
        <w:tc>
          <w:tcPr>
            <w:tcW w:w="1244" w:type="dxa"/>
            <w:vAlign w:val="center"/>
          </w:tcPr>
          <w:p w14:paraId="04D5FBC8"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国家二级</w:t>
            </w:r>
          </w:p>
        </w:tc>
        <w:tc>
          <w:tcPr>
            <w:tcW w:w="1990" w:type="dxa"/>
            <w:vAlign w:val="center"/>
          </w:tcPr>
          <w:p w14:paraId="2028DEBB" w14:textId="77777777" w:rsidR="009C353B" w:rsidRDefault="00000000">
            <w:pPr>
              <w:spacing w:line="240" w:lineRule="exact"/>
              <w:jc w:val="center"/>
              <w:rPr>
                <w:rFonts w:ascii="Arial" w:hAnsi="Arial" w:cs="Arial"/>
                <w:sz w:val="21"/>
                <w:szCs w:val="21"/>
                <w:shd w:val="clear" w:color="auto" w:fill="FFFFFF"/>
              </w:rPr>
            </w:pPr>
            <w:r>
              <w:rPr>
                <w:rFonts w:ascii="Arial" w:hAnsi="Arial" w:cs="Arial"/>
                <w:sz w:val="21"/>
                <w:szCs w:val="21"/>
                <w:shd w:val="clear" w:color="auto" w:fill="FFFFFF"/>
              </w:rPr>
              <w:t>湖泊、河流、池塘、沼泽</w:t>
            </w:r>
          </w:p>
        </w:tc>
      </w:tr>
      <w:tr w:rsidR="009C353B" w14:paraId="35811CFF" w14:textId="77777777">
        <w:trPr>
          <w:trHeight w:val="318"/>
          <w:jc w:val="center"/>
        </w:trPr>
        <w:tc>
          <w:tcPr>
            <w:tcW w:w="9287" w:type="dxa"/>
            <w:gridSpan w:val="5"/>
            <w:vAlign w:val="center"/>
          </w:tcPr>
          <w:p w14:paraId="15428F53"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四、哺乳纲</w:t>
            </w:r>
            <w:r>
              <w:rPr>
                <w:rFonts w:ascii="Times New Roman" w:hAnsi="Times New Roman"/>
                <w:sz w:val="21"/>
                <w:szCs w:val="21"/>
                <w:shd w:val="clear" w:color="auto" w:fill="FFFFFF"/>
              </w:rPr>
              <w:t>Mammalia</w:t>
            </w:r>
          </w:p>
        </w:tc>
      </w:tr>
      <w:tr w:rsidR="009C353B" w14:paraId="4A6456FD" w14:textId="77777777">
        <w:trPr>
          <w:trHeight w:val="334"/>
          <w:jc w:val="center"/>
        </w:trPr>
        <w:tc>
          <w:tcPr>
            <w:tcW w:w="9287" w:type="dxa"/>
            <w:gridSpan w:val="5"/>
            <w:vAlign w:val="center"/>
          </w:tcPr>
          <w:p w14:paraId="3542452B"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1)</w:t>
            </w:r>
            <w:r>
              <w:rPr>
                <w:rFonts w:ascii="Times New Roman" w:hAnsi="Times New Roman"/>
                <w:sz w:val="21"/>
                <w:szCs w:val="21"/>
              </w:rPr>
              <w:t>偶蹄目</w:t>
            </w:r>
            <w:r>
              <w:rPr>
                <w:rFonts w:ascii="Times New Roman" w:hAnsi="Times New Roman"/>
                <w:sz w:val="21"/>
                <w:szCs w:val="21"/>
              </w:rPr>
              <w:t>Artiodactyla</w:t>
            </w:r>
          </w:p>
        </w:tc>
      </w:tr>
      <w:tr w:rsidR="009C353B" w14:paraId="7328E43B" w14:textId="77777777">
        <w:trPr>
          <w:trHeight w:val="318"/>
          <w:jc w:val="center"/>
        </w:trPr>
        <w:tc>
          <w:tcPr>
            <w:tcW w:w="750" w:type="dxa"/>
            <w:vAlign w:val="center"/>
          </w:tcPr>
          <w:p w14:paraId="066A15FC"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15</w:t>
            </w:r>
          </w:p>
        </w:tc>
        <w:tc>
          <w:tcPr>
            <w:tcW w:w="1470" w:type="dxa"/>
            <w:vAlign w:val="center"/>
          </w:tcPr>
          <w:p w14:paraId="2EDA118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鹅喉羚</w:t>
            </w:r>
          </w:p>
        </w:tc>
        <w:tc>
          <w:tcPr>
            <w:tcW w:w="3833" w:type="dxa"/>
            <w:vAlign w:val="center"/>
          </w:tcPr>
          <w:p w14:paraId="7EDE5B19"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Gazella subgutturosa</w:t>
            </w:r>
          </w:p>
        </w:tc>
        <w:tc>
          <w:tcPr>
            <w:tcW w:w="1244" w:type="dxa"/>
            <w:vAlign w:val="center"/>
          </w:tcPr>
          <w:p w14:paraId="3359DB19"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国家二级</w:t>
            </w:r>
          </w:p>
        </w:tc>
        <w:tc>
          <w:tcPr>
            <w:tcW w:w="1990" w:type="dxa"/>
            <w:vAlign w:val="center"/>
          </w:tcPr>
          <w:p w14:paraId="1937223B" w14:textId="77777777" w:rsidR="009C353B" w:rsidRDefault="00000000">
            <w:pPr>
              <w:spacing w:line="240" w:lineRule="exact"/>
              <w:jc w:val="center"/>
              <w:rPr>
                <w:rFonts w:ascii="Times New Roman" w:hAnsi="Times New Roman"/>
                <w:sz w:val="21"/>
                <w:szCs w:val="21"/>
              </w:rPr>
            </w:pPr>
            <w:r>
              <w:rPr>
                <w:rFonts w:ascii="Arial" w:hAnsi="Arial" w:cs="Arial"/>
                <w:sz w:val="21"/>
                <w:szCs w:val="21"/>
                <w:shd w:val="clear" w:color="auto" w:fill="FFFFFF"/>
              </w:rPr>
              <w:t>荒漠</w:t>
            </w:r>
            <w:r>
              <w:rPr>
                <w:rFonts w:ascii="Arial" w:hAnsi="Arial" w:cs="Arial" w:hint="eastAsia"/>
                <w:sz w:val="21"/>
                <w:szCs w:val="21"/>
                <w:shd w:val="clear" w:color="auto" w:fill="FFFFFF"/>
              </w:rPr>
              <w:t>、</w:t>
            </w:r>
            <w:r>
              <w:rPr>
                <w:rFonts w:ascii="Arial" w:hAnsi="Arial" w:cs="Arial"/>
                <w:sz w:val="21"/>
                <w:szCs w:val="21"/>
                <w:shd w:val="clear" w:color="auto" w:fill="FFFFFF"/>
              </w:rPr>
              <w:t>半荒漠地区</w:t>
            </w:r>
          </w:p>
        </w:tc>
      </w:tr>
      <w:tr w:rsidR="009C353B" w14:paraId="684D93DF" w14:textId="77777777">
        <w:trPr>
          <w:trHeight w:val="318"/>
          <w:jc w:val="center"/>
        </w:trPr>
        <w:tc>
          <w:tcPr>
            <w:tcW w:w="9287" w:type="dxa"/>
            <w:gridSpan w:val="5"/>
            <w:vAlign w:val="center"/>
          </w:tcPr>
          <w:p w14:paraId="02C8B17C"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2)</w:t>
            </w:r>
            <w:r>
              <w:rPr>
                <w:rFonts w:ascii="Times New Roman" w:hAnsi="Times New Roman" w:hint="eastAsia"/>
                <w:sz w:val="21"/>
                <w:szCs w:val="21"/>
              </w:rPr>
              <w:t>食肉目</w:t>
            </w:r>
            <w:r>
              <w:rPr>
                <w:rFonts w:ascii="Times New Roman" w:hAnsi="Times New Roman" w:hint="eastAsia"/>
                <w:sz w:val="21"/>
                <w:szCs w:val="21"/>
              </w:rPr>
              <w:t>C</w:t>
            </w:r>
            <w:r>
              <w:rPr>
                <w:rFonts w:ascii="Times New Roman" w:hAnsi="Times New Roman"/>
                <w:sz w:val="21"/>
                <w:szCs w:val="21"/>
              </w:rPr>
              <w:t>arnivora</w:t>
            </w:r>
          </w:p>
        </w:tc>
      </w:tr>
      <w:tr w:rsidR="009C353B" w14:paraId="790C41A5" w14:textId="77777777">
        <w:trPr>
          <w:trHeight w:val="318"/>
          <w:jc w:val="center"/>
        </w:trPr>
        <w:tc>
          <w:tcPr>
            <w:tcW w:w="750" w:type="dxa"/>
            <w:vAlign w:val="center"/>
          </w:tcPr>
          <w:p w14:paraId="032ECA34"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6</w:t>
            </w:r>
          </w:p>
        </w:tc>
        <w:tc>
          <w:tcPr>
            <w:tcW w:w="1470" w:type="dxa"/>
            <w:vAlign w:val="center"/>
          </w:tcPr>
          <w:p w14:paraId="350FDE7F"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兔狲</w:t>
            </w:r>
          </w:p>
        </w:tc>
        <w:tc>
          <w:tcPr>
            <w:tcW w:w="3833" w:type="dxa"/>
            <w:vAlign w:val="center"/>
          </w:tcPr>
          <w:p w14:paraId="3CD76B0E"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Felis manul</w:t>
            </w:r>
          </w:p>
        </w:tc>
        <w:tc>
          <w:tcPr>
            <w:tcW w:w="1244" w:type="dxa"/>
            <w:vAlign w:val="center"/>
          </w:tcPr>
          <w:p w14:paraId="2F32DC6B"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国家二级</w:t>
            </w:r>
          </w:p>
        </w:tc>
        <w:tc>
          <w:tcPr>
            <w:tcW w:w="1990" w:type="dxa"/>
            <w:vAlign w:val="center"/>
          </w:tcPr>
          <w:p w14:paraId="4D3EB0AA" w14:textId="77777777" w:rsidR="009C353B" w:rsidRDefault="00000000">
            <w:pPr>
              <w:spacing w:line="240" w:lineRule="exact"/>
              <w:jc w:val="center"/>
              <w:rPr>
                <w:rFonts w:ascii="Times New Roman" w:hAnsi="Times New Roman"/>
                <w:sz w:val="21"/>
                <w:szCs w:val="21"/>
              </w:rPr>
            </w:pPr>
            <w:r>
              <w:rPr>
                <w:rFonts w:ascii="Arial" w:hAnsi="Arial" w:cs="Arial"/>
                <w:sz w:val="21"/>
                <w:szCs w:val="21"/>
                <w:shd w:val="clear" w:color="auto" w:fill="FFFFFF"/>
              </w:rPr>
              <w:t>灌丛草原、荒漠草原、荒漠</w:t>
            </w:r>
          </w:p>
        </w:tc>
      </w:tr>
      <w:tr w:rsidR="009C353B" w14:paraId="275DD3D9" w14:textId="77777777">
        <w:trPr>
          <w:trHeight w:val="318"/>
          <w:jc w:val="center"/>
        </w:trPr>
        <w:tc>
          <w:tcPr>
            <w:tcW w:w="9287" w:type="dxa"/>
            <w:gridSpan w:val="5"/>
            <w:vAlign w:val="center"/>
          </w:tcPr>
          <w:p w14:paraId="663F599D"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啮齿目</w:t>
            </w:r>
            <w:r>
              <w:rPr>
                <w:rFonts w:ascii="Times New Roman" w:hAnsi="Times New Roman"/>
                <w:sz w:val="21"/>
                <w:szCs w:val="21"/>
              </w:rPr>
              <w:t>Rodentia</w:t>
            </w:r>
          </w:p>
        </w:tc>
      </w:tr>
      <w:tr w:rsidR="009C353B" w14:paraId="758C090D" w14:textId="77777777">
        <w:trPr>
          <w:trHeight w:val="318"/>
          <w:jc w:val="center"/>
        </w:trPr>
        <w:tc>
          <w:tcPr>
            <w:tcW w:w="750" w:type="dxa"/>
            <w:vAlign w:val="center"/>
          </w:tcPr>
          <w:p w14:paraId="5594F051"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17</w:t>
            </w:r>
          </w:p>
        </w:tc>
        <w:tc>
          <w:tcPr>
            <w:tcW w:w="1470" w:type="dxa"/>
            <w:vAlign w:val="center"/>
          </w:tcPr>
          <w:p w14:paraId="4DD42E03"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达乌里鼠兔</w:t>
            </w:r>
          </w:p>
        </w:tc>
        <w:tc>
          <w:tcPr>
            <w:tcW w:w="3833" w:type="dxa"/>
            <w:vAlign w:val="center"/>
          </w:tcPr>
          <w:p w14:paraId="5FF61A15"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Ochotona dauurica</w:t>
            </w:r>
          </w:p>
        </w:tc>
        <w:tc>
          <w:tcPr>
            <w:tcW w:w="1244" w:type="dxa"/>
            <w:vAlign w:val="center"/>
          </w:tcPr>
          <w:p w14:paraId="7F536E2B" w14:textId="77777777" w:rsidR="009C353B" w:rsidRDefault="009C353B">
            <w:pPr>
              <w:spacing w:line="240" w:lineRule="exact"/>
              <w:jc w:val="center"/>
              <w:rPr>
                <w:rFonts w:ascii="Times New Roman" w:hAnsi="Times New Roman"/>
                <w:sz w:val="21"/>
                <w:szCs w:val="21"/>
              </w:rPr>
            </w:pPr>
          </w:p>
        </w:tc>
        <w:tc>
          <w:tcPr>
            <w:tcW w:w="1990" w:type="dxa"/>
            <w:vAlign w:val="center"/>
          </w:tcPr>
          <w:p w14:paraId="3EB65FF5"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草地、</w:t>
            </w:r>
            <w:r>
              <w:rPr>
                <w:rFonts w:ascii="Times New Roman" w:hAnsi="Times New Roman" w:hint="eastAsia"/>
                <w:sz w:val="21"/>
                <w:szCs w:val="21"/>
              </w:rPr>
              <w:t>灌丛</w:t>
            </w:r>
          </w:p>
        </w:tc>
      </w:tr>
      <w:tr w:rsidR="009C353B" w14:paraId="376E10D6" w14:textId="77777777">
        <w:trPr>
          <w:trHeight w:val="334"/>
          <w:jc w:val="center"/>
        </w:trPr>
        <w:tc>
          <w:tcPr>
            <w:tcW w:w="750" w:type="dxa"/>
            <w:vAlign w:val="center"/>
          </w:tcPr>
          <w:p w14:paraId="184429C4"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18</w:t>
            </w:r>
          </w:p>
        </w:tc>
        <w:tc>
          <w:tcPr>
            <w:tcW w:w="1470" w:type="dxa"/>
            <w:vAlign w:val="center"/>
          </w:tcPr>
          <w:p w14:paraId="0A03095E"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蒙古兔</w:t>
            </w:r>
          </w:p>
        </w:tc>
        <w:tc>
          <w:tcPr>
            <w:tcW w:w="3833" w:type="dxa"/>
            <w:vAlign w:val="center"/>
          </w:tcPr>
          <w:p w14:paraId="318B015D"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Lepus tolai tolai</w:t>
            </w:r>
          </w:p>
        </w:tc>
        <w:tc>
          <w:tcPr>
            <w:tcW w:w="1244" w:type="dxa"/>
            <w:vAlign w:val="center"/>
          </w:tcPr>
          <w:p w14:paraId="3CC018B0" w14:textId="77777777" w:rsidR="009C353B" w:rsidRDefault="009C353B">
            <w:pPr>
              <w:spacing w:line="240" w:lineRule="exact"/>
              <w:jc w:val="center"/>
              <w:rPr>
                <w:rFonts w:ascii="Times New Roman" w:hAnsi="Times New Roman"/>
                <w:sz w:val="21"/>
                <w:szCs w:val="21"/>
              </w:rPr>
            </w:pPr>
          </w:p>
        </w:tc>
        <w:tc>
          <w:tcPr>
            <w:tcW w:w="1990" w:type="dxa"/>
            <w:vAlign w:val="center"/>
          </w:tcPr>
          <w:p w14:paraId="307FF1DA"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草地、</w:t>
            </w:r>
            <w:r>
              <w:rPr>
                <w:rFonts w:ascii="Times New Roman" w:hAnsi="Times New Roman" w:hint="eastAsia"/>
                <w:sz w:val="21"/>
                <w:szCs w:val="21"/>
              </w:rPr>
              <w:t>灌丛</w:t>
            </w:r>
          </w:p>
        </w:tc>
      </w:tr>
      <w:tr w:rsidR="009C353B" w14:paraId="5D9DF886" w14:textId="77777777">
        <w:trPr>
          <w:trHeight w:val="318"/>
          <w:jc w:val="center"/>
        </w:trPr>
        <w:tc>
          <w:tcPr>
            <w:tcW w:w="750" w:type="dxa"/>
            <w:vAlign w:val="center"/>
          </w:tcPr>
          <w:p w14:paraId="1488B703"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19</w:t>
            </w:r>
          </w:p>
        </w:tc>
        <w:tc>
          <w:tcPr>
            <w:tcW w:w="1470" w:type="dxa"/>
            <w:vAlign w:val="center"/>
          </w:tcPr>
          <w:p w14:paraId="5BE1BCB0"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五</w:t>
            </w:r>
            <w:r>
              <w:rPr>
                <w:rFonts w:ascii="Times New Roman" w:hAnsi="Times New Roman"/>
                <w:sz w:val="21"/>
                <w:szCs w:val="21"/>
              </w:rPr>
              <w:t>趾跳鼠</w:t>
            </w:r>
          </w:p>
        </w:tc>
        <w:tc>
          <w:tcPr>
            <w:tcW w:w="3833" w:type="dxa"/>
            <w:vAlign w:val="center"/>
          </w:tcPr>
          <w:p w14:paraId="7E109A87"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Allactaga sibirica</w:t>
            </w:r>
          </w:p>
        </w:tc>
        <w:tc>
          <w:tcPr>
            <w:tcW w:w="1244" w:type="dxa"/>
            <w:vAlign w:val="center"/>
          </w:tcPr>
          <w:p w14:paraId="5E053124" w14:textId="77777777" w:rsidR="009C353B" w:rsidRDefault="009C353B">
            <w:pPr>
              <w:spacing w:line="240" w:lineRule="exact"/>
              <w:jc w:val="center"/>
              <w:rPr>
                <w:rFonts w:ascii="Times New Roman" w:hAnsi="Times New Roman"/>
                <w:sz w:val="21"/>
                <w:szCs w:val="21"/>
              </w:rPr>
            </w:pPr>
          </w:p>
        </w:tc>
        <w:tc>
          <w:tcPr>
            <w:tcW w:w="1990" w:type="dxa"/>
            <w:vAlign w:val="center"/>
          </w:tcPr>
          <w:p w14:paraId="083B14EA"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草地、</w:t>
            </w:r>
            <w:r>
              <w:rPr>
                <w:rFonts w:ascii="Times New Roman" w:hAnsi="Times New Roman" w:hint="eastAsia"/>
                <w:sz w:val="21"/>
                <w:szCs w:val="21"/>
              </w:rPr>
              <w:t>荒漠</w:t>
            </w:r>
          </w:p>
        </w:tc>
      </w:tr>
      <w:tr w:rsidR="009C353B" w14:paraId="0AC133C2" w14:textId="77777777">
        <w:trPr>
          <w:trHeight w:val="334"/>
          <w:jc w:val="center"/>
        </w:trPr>
        <w:tc>
          <w:tcPr>
            <w:tcW w:w="750" w:type="dxa"/>
            <w:vAlign w:val="center"/>
          </w:tcPr>
          <w:p w14:paraId="10540A45"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20</w:t>
            </w:r>
          </w:p>
        </w:tc>
        <w:tc>
          <w:tcPr>
            <w:tcW w:w="1470" w:type="dxa"/>
            <w:vAlign w:val="center"/>
          </w:tcPr>
          <w:p w14:paraId="031AA787"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达乌</w:t>
            </w:r>
            <w:r>
              <w:rPr>
                <w:rFonts w:ascii="Times New Roman" w:hAnsi="Times New Roman" w:hint="eastAsia"/>
                <w:sz w:val="21"/>
                <w:szCs w:val="21"/>
              </w:rPr>
              <w:t>里</w:t>
            </w:r>
            <w:r>
              <w:rPr>
                <w:rFonts w:ascii="Times New Roman" w:hAnsi="Times New Roman"/>
                <w:sz w:val="21"/>
                <w:szCs w:val="21"/>
              </w:rPr>
              <w:t>黄鼠</w:t>
            </w:r>
          </w:p>
        </w:tc>
        <w:tc>
          <w:tcPr>
            <w:tcW w:w="3833" w:type="dxa"/>
            <w:vAlign w:val="center"/>
          </w:tcPr>
          <w:p w14:paraId="30998AD6" w14:textId="77777777" w:rsidR="009C353B" w:rsidRDefault="00000000">
            <w:pPr>
              <w:spacing w:line="240" w:lineRule="exact"/>
              <w:jc w:val="center"/>
              <w:rPr>
                <w:rFonts w:ascii="Times New Roman" w:hAnsi="Times New Roman"/>
                <w:i/>
                <w:sz w:val="21"/>
                <w:szCs w:val="21"/>
              </w:rPr>
            </w:pPr>
            <w:r>
              <w:rPr>
                <w:rFonts w:ascii="Times New Roman" w:hAnsi="Times New Roman"/>
                <w:i/>
                <w:sz w:val="21"/>
                <w:szCs w:val="21"/>
              </w:rPr>
              <w:t>Spermophilus dauricus</w:t>
            </w:r>
          </w:p>
        </w:tc>
        <w:tc>
          <w:tcPr>
            <w:tcW w:w="1244" w:type="dxa"/>
            <w:vAlign w:val="center"/>
          </w:tcPr>
          <w:p w14:paraId="0D6FEE58" w14:textId="77777777" w:rsidR="009C353B" w:rsidRDefault="009C353B">
            <w:pPr>
              <w:spacing w:line="240" w:lineRule="exact"/>
              <w:jc w:val="center"/>
              <w:rPr>
                <w:rFonts w:ascii="Times New Roman" w:hAnsi="Times New Roman"/>
                <w:sz w:val="21"/>
                <w:szCs w:val="21"/>
              </w:rPr>
            </w:pPr>
          </w:p>
        </w:tc>
        <w:tc>
          <w:tcPr>
            <w:tcW w:w="1990" w:type="dxa"/>
            <w:vAlign w:val="center"/>
          </w:tcPr>
          <w:p w14:paraId="1A174BBC"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草地、</w:t>
            </w:r>
            <w:r>
              <w:rPr>
                <w:rFonts w:ascii="Times New Roman" w:hAnsi="Times New Roman" w:hint="eastAsia"/>
                <w:sz w:val="21"/>
                <w:szCs w:val="21"/>
              </w:rPr>
              <w:t>荒漠</w:t>
            </w:r>
          </w:p>
        </w:tc>
      </w:tr>
    </w:tbl>
    <w:p w14:paraId="30EB3F6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根据《国家重点保护野生动物名录》，其中白尾海雕为国家一级保护动物，大、灰鹤、蓑衣鹤、大天鹅、小天鹅、鹅喉羚和兔狲为国家二级保护动物。保护动物生活习性及生境情况如下：</w:t>
      </w:r>
    </w:p>
    <w:p w14:paraId="4BEBB5B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）白尾海雕</w:t>
      </w:r>
    </w:p>
    <w:p w14:paraId="2CA73E3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形态特征：</w:t>
      </w:r>
      <w:r>
        <w:rPr>
          <w:rFonts w:ascii="Times New Roman" w:hAnsi="Times New Roman"/>
          <w:szCs w:val="24"/>
        </w:rPr>
        <w:t>白尾海雕的头、颈淡黄褐色或沙褐色，具暗褐色羽轴纹，前额基部尤浅；肩部羽色亦稍浅淡，多为土褐色，并杂有暗色斑点；后颈羽毛较长，为披针形；背以下上体暗褐色，腰及尾上</w:t>
      </w:r>
      <w:hyperlink r:id="rId210" w:tgtFrame="_blank" w:history="1">
        <w:r>
          <w:rPr>
            <w:rFonts w:ascii="Times New Roman" w:hAnsi="Times New Roman"/>
            <w:szCs w:val="24"/>
          </w:rPr>
          <w:t>覆羽</w:t>
        </w:r>
      </w:hyperlink>
      <w:r>
        <w:rPr>
          <w:rFonts w:ascii="Times New Roman" w:hAnsi="Times New Roman"/>
          <w:szCs w:val="24"/>
        </w:rPr>
        <w:t>暗棕褐色，具暗褐色羽轴纹和斑纹，尾上覆羽杂有白斑，尾较短，呈楔状，纯白色，翅上覆羽褐色，呈淡黄褐色羽缘，</w:t>
      </w:r>
      <w:hyperlink r:id="rId211" w:tgtFrame="_blank" w:history="1">
        <w:r>
          <w:rPr>
            <w:rFonts w:ascii="Times New Roman" w:hAnsi="Times New Roman"/>
            <w:szCs w:val="24"/>
          </w:rPr>
          <w:t>飞羽</w:t>
        </w:r>
      </w:hyperlink>
      <w:r>
        <w:rPr>
          <w:rFonts w:ascii="Times New Roman" w:hAnsi="Times New Roman"/>
          <w:szCs w:val="24"/>
        </w:rPr>
        <w:t>黑褐色。下体颏、喉淡黄褐色，胸部羽毛呈披针形，淡褐色，具暗褐色羽轴纹和淡色羽缘；其余下体褐色，尾下覆羽淡棕色，具褐色斑；翅下覆羽与腋羽暗褐色。</w:t>
      </w:r>
    </w:p>
    <w:p w14:paraId="270BA7A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栖息环境：</w:t>
      </w:r>
      <w:r>
        <w:rPr>
          <w:rFonts w:ascii="Times New Roman" w:hAnsi="Times New Roman"/>
          <w:szCs w:val="24"/>
        </w:rPr>
        <w:t>栖息于湖泊、河流、海岸、岛屿及河口地区，繁殖期间尤其喜欢在有高大树木的水域或森林地区的开阔湖泊与河流地带。</w:t>
      </w:r>
    </w:p>
    <w:p w14:paraId="052C081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生活习性：</w:t>
      </w:r>
      <w:r>
        <w:rPr>
          <w:rFonts w:ascii="Times New Roman" w:hAnsi="Times New Roman"/>
          <w:szCs w:val="24"/>
        </w:rPr>
        <w:t>白尾海雕白天活动，单独或成对在大的湖面和海面上空飞翔，冬季有时亦见</w:t>
      </w:r>
      <w:r>
        <w:rPr>
          <w:rFonts w:ascii="Times New Roman" w:hAnsi="Times New Roman"/>
          <w:szCs w:val="24"/>
        </w:rPr>
        <w:t>3-5</w:t>
      </w:r>
      <w:r>
        <w:rPr>
          <w:rFonts w:ascii="Times New Roman" w:hAnsi="Times New Roman"/>
          <w:szCs w:val="24"/>
        </w:rPr>
        <w:t>只在高空翱翔。飞翔时两翅平直，常轻轻扇动飞行一阵后接着又是短暂的滑翔，有时亦能快速地扇动两翅飞翔。休息时停栖在岩石和地面上，有时也长时间停立在乔木枝头。主要以鱼为食，常在水面低空飞行，发现鱼后利用爪伸入水中抓捕。此外，也捕食鸟类和中小型哺乳动物，如各种野鸭、大雁、天鹅、雉鸡、鼠类、野兔、狍子等，也吃腐肉和动物尸体。在冬季食物缺乏时，偶尔也攻击家禽和家畜，如猫、狗、羊等。常通过在空中翱翔和滑翔搜寻猎物。</w:t>
      </w:r>
      <w:r>
        <w:rPr>
          <w:rFonts w:ascii="Times New Roman" w:hAnsi="Times New Roman" w:hint="eastAsia"/>
          <w:szCs w:val="24"/>
        </w:rPr>
        <w:t>白尾海雕在</w:t>
      </w:r>
      <w:r>
        <w:rPr>
          <w:rFonts w:ascii="Times New Roman" w:hAnsi="Times New Roman"/>
          <w:szCs w:val="24"/>
        </w:rPr>
        <w:t>中国黑龙江省和内蒙古大兴安岭地区为</w:t>
      </w:r>
      <w:hyperlink r:id="rId212" w:tgtFrame="_blank" w:history="1">
        <w:r>
          <w:rPr>
            <w:rFonts w:ascii="Times New Roman" w:hAnsi="Times New Roman"/>
            <w:szCs w:val="24"/>
          </w:rPr>
          <w:t>夏候鸟</w:t>
        </w:r>
      </w:hyperlink>
      <w:r>
        <w:rPr>
          <w:rFonts w:ascii="Times New Roman" w:hAnsi="Times New Roman"/>
          <w:szCs w:val="24"/>
        </w:rPr>
        <w:t>，其他地区为冬候鸟或旅鸟。越冬区域北至辽东半岛，南至东南沿海、香港和台湾。冬季于</w:t>
      </w:r>
      <w:r>
        <w:rPr>
          <w:rFonts w:ascii="Times New Roman" w:hAnsi="Times New Roman"/>
          <w:szCs w:val="24"/>
        </w:rPr>
        <w:t>10-11</w:t>
      </w:r>
      <w:r>
        <w:rPr>
          <w:rFonts w:ascii="Times New Roman" w:hAnsi="Times New Roman"/>
          <w:szCs w:val="24"/>
        </w:rPr>
        <w:t>月迁来越冬地，春季最晚于</w:t>
      </w:r>
      <w:r>
        <w:rPr>
          <w:rFonts w:ascii="Times New Roman" w:hAnsi="Times New Roman"/>
          <w:szCs w:val="24"/>
        </w:rPr>
        <w:t>3-4</w:t>
      </w:r>
      <w:r>
        <w:rPr>
          <w:rFonts w:ascii="Times New Roman" w:hAnsi="Times New Roman"/>
          <w:szCs w:val="24"/>
        </w:rPr>
        <w:t>月离开越冬地。</w:t>
      </w:r>
      <w:r>
        <w:rPr>
          <w:rFonts w:ascii="Times New Roman" w:hAnsi="Times New Roman" w:hint="eastAsia"/>
          <w:szCs w:val="24"/>
        </w:rPr>
        <w:t>白尾海雕在评价区为旅鸟。</w:t>
      </w:r>
    </w:p>
    <w:p w14:paraId="054014D5"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）大</w:t>
      </w:r>
    </w:p>
    <w:p w14:paraId="066BF01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形态特征：</w:t>
      </w:r>
      <w:r>
        <w:rPr>
          <w:rFonts w:ascii="Times New Roman" w:hAnsi="Times New Roman"/>
          <w:szCs w:val="24"/>
        </w:rPr>
        <w:t>大鵟体长</w:t>
      </w:r>
      <w:r>
        <w:rPr>
          <w:rFonts w:ascii="Times New Roman" w:hAnsi="Times New Roman"/>
          <w:szCs w:val="24"/>
        </w:rPr>
        <w:t>57-71</w:t>
      </w:r>
      <w:r>
        <w:rPr>
          <w:rFonts w:ascii="Times New Roman" w:hAnsi="Times New Roman"/>
          <w:szCs w:val="24"/>
        </w:rPr>
        <w:t>厘米，体重</w:t>
      </w:r>
      <w:r>
        <w:rPr>
          <w:rFonts w:ascii="Times New Roman" w:hAnsi="Times New Roman"/>
          <w:szCs w:val="24"/>
        </w:rPr>
        <w:t>1320-2100</w:t>
      </w:r>
      <w:r>
        <w:rPr>
          <w:rFonts w:ascii="Times New Roman" w:hAnsi="Times New Roman"/>
          <w:szCs w:val="24"/>
        </w:rPr>
        <w:t>克。它的体色变化较大，分暗型、淡型两种色型。暗型上体暗褐色，肩和翼上覆羽缘淡褐色，头和颈部羽色稍淡，羽缘棕黄色，眉纹黑色，尾淡褐色，具</w:t>
      </w:r>
      <w:r>
        <w:rPr>
          <w:rFonts w:ascii="Times New Roman" w:hAnsi="Times New Roman"/>
          <w:szCs w:val="24"/>
        </w:rPr>
        <w:t>6</w:t>
      </w:r>
      <w:r>
        <w:rPr>
          <w:rFonts w:ascii="Times New Roman" w:hAnsi="Times New Roman"/>
          <w:szCs w:val="24"/>
        </w:rPr>
        <w:t>条淡褐色和白色横斑，羽干及羽缘白色，翅暗褐色，飞羽</w:t>
      </w:r>
      <w:hyperlink r:id="rId213" w:tgtFrame="_blank" w:history="1">
        <w:r>
          <w:rPr>
            <w:rFonts w:ascii="Times New Roman" w:hAnsi="Times New Roman"/>
            <w:szCs w:val="24"/>
          </w:rPr>
          <w:t>内翈</w:t>
        </w:r>
      </w:hyperlink>
      <w:r>
        <w:rPr>
          <w:rFonts w:ascii="Times New Roman" w:hAnsi="Times New Roman"/>
          <w:szCs w:val="24"/>
        </w:rPr>
        <w:t>基部白色，次级飞羽及内侧覆羽具暗色横斑，内翈边缘白色并具暗色点斑，翅下飞羽基部白色，形成白斑。下体淡棕色，具暗色羽干纹及横纹。覆腿羽暗褐色；淡型头顶、后颈几为纯白色，具暗色羽干纹。眼先灰黑色，耳羽暗褐，背、肩、腹暗褐色，具棕白色纵纹的羽缘。尾羽淡褐色，羽干纹及外侧尾羽内翈近白色，具</w:t>
      </w:r>
      <w:r>
        <w:rPr>
          <w:rFonts w:ascii="Times New Roman" w:hAnsi="Times New Roman"/>
          <w:szCs w:val="24"/>
        </w:rPr>
        <w:t>8-9</w:t>
      </w:r>
      <w:r>
        <w:rPr>
          <w:rFonts w:ascii="Times New Roman" w:hAnsi="Times New Roman"/>
          <w:szCs w:val="24"/>
        </w:rPr>
        <w:t>条暗褐色横斑，尾上覆羽淡棕色，具暗褐色横斑，飞羽的斑纹与暗型的相似，但羽色较暗型为淡。下体白色淡棕，胸侧、下腹及两胁具褐色斑，尾下腹羽白色，覆腿羽暗褐色。大鵟虹膜黄褐色，嘴黑褐色，腊膜绿黄色，跗跖和趾黄褐色，爪黑色。</w:t>
      </w:r>
    </w:p>
    <w:p w14:paraId="75E7865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栖息环境：</w:t>
      </w:r>
      <w:r>
        <w:rPr>
          <w:rFonts w:ascii="Times New Roman" w:hAnsi="Times New Roman"/>
          <w:szCs w:val="24"/>
        </w:rPr>
        <w:t>栖息于山地、山脚平原和草原等地区，也出现在高山林缘和开阔的山地草原与荒漠地带，垂直分布高度可以达到</w:t>
      </w:r>
      <w:r>
        <w:rPr>
          <w:rFonts w:ascii="Times New Roman" w:hAnsi="Times New Roman"/>
          <w:szCs w:val="24"/>
        </w:rPr>
        <w:t>4000</w:t>
      </w:r>
      <w:r>
        <w:rPr>
          <w:rFonts w:ascii="Times New Roman" w:hAnsi="Times New Roman"/>
          <w:szCs w:val="24"/>
        </w:rPr>
        <w:t>米以上的高原和山区。冬季也常出现在低山丘陵和山脚平原地带的农田、芦苇沼泽附近。</w:t>
      </w:r>
    </w:p>
    <w:p w14:paraId="4E19907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生活习性：</w:t>
      </w:r>
      <w:r>
        <w:rPr>
          <w:rFonts w:ascii="Times New Roman" w:hAnsi="Times New Roman"/>
          <w:szCs w:val="24"/>
        </w:rPr>
        <w:t>主要为留鸟，部分迁徙。春季多于三月末四月初到达繁殖地，秋季多在</w:t>
      </w:r>
      <w:r>
        <w:rPr>
          <w:rFonts w:ascii="Times New Roman" w:hAnsi="Times New Roman"/>
          <w:szCs w:val="24"/>
        </w:rPr>
        <w:t>10</w:t>
      </w:r>
      <w:r>
        <w:rPr>
          <w:rFonts w:ascii="Times New Roman" w:hAnsi="Times New Roman"/>
          <w:szCs w:val="24"/>
        </w:rPr>
        <w:t>月末至</w:t>
      </w:r>
      <w:r>
        <w:rPr>
          <w:rFonts w:ascii="Times New Roman" w:hAnsi="Times New Roman"/>
          <w:szCs w:val="24"/>
        </w:rPr>
        <w:t>11</w:t>
      </w:r>
      <w:r>
        <w:rPr>
          <w:rFonts w:ascii="Times New Roman" w:hAnsi="Times New Roman"/>
          <w:szCs w:val="24"/>
        </w:rPr>
        <w:t>月中旬离开繁殖地。在中国的繁殖种群主要为留鸟，部分迁往繁殖地南部越冬</w:t>
      </w:r>
      <w:r>
        <w:rPr>
          <w:rFonts w:ascii="Times New Roman" w:hAnsi="Times New Roman" w:hint="eastAsia"/>
          <w:szCs w:val="24"/>
        </w:rPr>
        <w:t>。</w:t>
      </w:r>
    </w:p>
    <w:p w14:paraId="45C835E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大鵟平时白天活动。常单独或小群活动，飞翔时两翼鼓动较慢，常在天气暖和的时候在空中作圈状翱翔。此外还有上飞、下飞、斜垂飞、直线飞、低飞而转斜垂上树飞、树间飞、短距离跳跃飞、长距离滑翔飞、空中驱赶飞、追逐嬉戏、飞获得猎物飞，以及各种打斗时的飞行等方式，堪称花样繁多。性凶猛、也十分机警，休息时多栖息地上、岩石顶上或树森林突出物上。冬季与鸢混在一起在松柏镇居民屋后的林缘地带觅食。找到食物者一边煽动翅膀，一边跑开，防止其他的鸟前来争夺。休息时多栖于地上、山顶、树梢或其他突出物体上。</w:t>
      </w:r>
      <w:bookmarkStart w:id="132" w:name="ref_[4]_1123654"/>
      <w:r>
        <w:rPr>
          <w:rFonts w:ascii="Times New Roman" w:hAnsi="Times New Roman"/>
          <w:szCs w:val="24"/>
        </w:rPr>
        <w:t> </w:t>
      </w:r>
      <w:bookmarkEnd w:id="132"/>
    </w:p>
    <w:p w14:paraId="2CC9488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主要以啮齿动物，蛙、蜥蜴、野兔、蛇、黄鼠、鼠兔、旱獭、雉鸡、石鸡、昆虫等动物性食物为食。捕食方式主要通过在空中盘旋飞翔，或者站在地上和高处等待捕获物。通过锐利的眼睛观察和寻觅，一旦发现地面猎物，突然快速俯冲而下，用利爪抓捕。此外也栖息于树枝或电线杆上等高处等待猎物，当猎物出现在眼前时才突袭捕猎。它捕蛇的技术十分高超，用脚抓获以后便振翅飞到</w:t>
      </w:r>
      <w:r>
        <w:rPr>
          <w:rFonts w:ascii="Times New Roman" w:hAnsi="Times New Roman"/>
          <w:szCs w:val="24"/>
        </w:rPr>
        <w:t>300</w:t>
      </w:r>
      <w:r>
        <w:rPr>
          <w:rFonts w:ascii="Times New Roman" w:hAnsi="Times New Roman"/>
          <w:szCs w:val="24"/>
        </w:rPr>
        <w:t>米以上的空中，而不甘心束手就擒的蛇弯曲着身体，准备缠绕大鵟的双脚，但大鵟却突然伸直双腿和脚爪，将蛇撒开，使其跌落在地上，然后俯冲而下，再次将蛇抓起，带到空中，重复前面的动作，直到蛇失去了反抗的能力后，才降落到地面上将其慢慢地吞食。</w:t>
      </w:r>
    </w:p>
    <w:p w14:paraId="40F0E3F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）灰鹤</w:t>
      </w:r>
    </w:p>
    <w:p w14:paraId="74669B6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形态特征：</w:t>
      </w:r>
      <w:r>
        <w:rPr>
          <w:rFonts w:ascii="Times New Roman" w:hAnsi="Times New Roman"/>
          <w:szCs w:val="24"/>
        </w:rPr>
        <w:t>灰鹤是大型涉禽，后趾小而高位，不能与前三趾对握，因此不能栖息在树上。成鸟两性相似，雌鹤略小。前额和眼先黑色，被有稀疏的黑色毛状短羽，冠部几乎无羽，裸出的皮肤为红色。眼后有一白色宽纹穿过耳羽至后枕，再沿颈部向下到上背，身体其余部分为石板灰色，在背、腰灰色较深，胸、翅灰色较淡，背常沾有褐色。喉、前颈和后颈灰黑色。初级飞羽、次级飞羽端部、尾羽端部和尾上覆羽为黑色；三级飞羽灰色，先端略黑，且延长弯曲成弓状，其羽端的羽枝分离成毛发状。虹膜红褐色；嘴黑绿色，端部沾黄；腿和脚灰黑色。</w:t>
      </w:r>
    </w:p>
    <w:p w14:paraId="1F639C8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栖息环境：</w:t>
      </w:r>
      <w:r>
        <w:rPr>
          <w:rFonts w:ascii="Times New Roman" w:hAnsi="Times New Roman"/>
          <w:szCs w:val="24"/>
        </w:rPr>
        <w:t>栖息于开阔平原、草地、沼泽、河滩、旷野、湖泊以及农田地带；其中尤为喜欢以富有水边植物的开阔湖泊和沼泽地带。常栖息于沼泽草甸，沼泽中多草丘和水洼地，水生植物有水麦冬、水毛茛和薹草等</w:t>
      </w:r>
      <w:r>
        <w:rPr>
          <w:rFonts w:ascii="Times New Roman" w:hAnsi="Times New Roman"/>
          <w:szCs w:val="24"/>
        </w:rPr>
        <w:t>20</w:t>
      </w:r>
      <w:r>
        <w:rPr>
          <w:rFonts w:ascii="Times New Roman" w:hAnsi="Times New Roman"/>
          <w:szCs w:val="24"/>
        </w:rPr>
        <w:t>多种；在中国黑龙江省林甸县灰鹤栖息在芦苇沼泽，有芦苇、狭叶甜茅、菰、小猩藻等植物；在迁徙途中的停歇地和越冬地，主要栖息在河流、湖泊、水库或海岸附近，常到农田中觅食，回到河漫滩、沼泽地或海滩夜宿，例如，在山西省河津县黄河滩越冬的灰鹤，白天主要在作物地中觅食休息，以花生地中最多，夜间在距河岸</w:t>
      </w:r>
      <w:r>
        <w:rPr>
          <w:rFonts w:ascii="Times New Roman" w:hAnsi="Times New Roman"/>
          <w:szCs w:val="24"/>
        </w:rPr>
        <w:t>1-2</w:t>
      </w:r>
      <w:r>
        <w:rPr>
          <w:rFonts w:ascii="Times New Roman" w:hAnsi="Times New Roman"/>
          <w:szCs w:val="24"/>
        </w:rPr>
        <w:t>千米处四面环水的沙滩或荒草丛生的小岛上过夜，但从未见到灰鹤在耕地内集群过夜。</w:t>
      </w:r>
    </w:p>
    <w:p w14:paraId="4B77A04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生活习性：</w:t>
      </w:r>
      <w:r>
        <w:rPr>
          <w:rFonts w:ascii="Times New Roman" w:hAnsi="Times New Roman"/>
          <w:szCs w:val="24"/>
        </w:rPr>
        <w:t>灰鹤成</w:t>
      </w:r>
      <w:r>
        <w:rPr>
          <w:rFonts w:ascii="Times New Roman" w:hAnsi="Times New Roman"/>
          <w:szCs w:val="24"/>
        </w:rPr>
        <w:t>5-10</w:t>
      </w:r>
      <w:r>
        <w:rPr>
          <w:rFonts w:ascii="Times New Roman" w:hAnsi="Times New Roman"/>
          <w:szCs w:val="24"/>
        </w:rPr>
        <w:t>余只的小群活动，迁徒期间有时集群多达</w:t>
      </w:r>
      <w:r>
        <w:rPr>
          <w:rFonts w:ascii="Times New Roman" w:hAnsi="Times New Roman"/>
          <w:szCs w:val="24"/>
        </w:rPr>
        <w:t>40-50</w:t>
      </w:r>
      <w:r>
        <w:rPr>
          <w:rFonts w:ascii="Times New Roman" w:hAnsi="Times New Roman"/>
          <w:szCs w:val="24"/>
        </w:rPr>
        <w:t>只，在冬天越冬地集群个体多达数百只。性机警，胆小怕人。活动和觅食时常有一只鹤担任警戒任务，不时的伸颈注视四周动静，发现有危险，立刻长鸣一声，并振翅飞翔，其他鹤亦立刻齐声长鸣，振翅而飞。飞行时排列成</w:t>
      </w:r>
      <w:r>
        <w:rPr>
          <w:rFonts w:ascii="Times New Roman" w:hAnsi="Times New Roman"/>
          <w:szCs w:val="24"/>
        </w:rPr>
        <w:t>‘V’</w:t>
      </w:r>
      <w:r>
        <w:rPr>
          <w:rFonts w:ascii="Times New Roman" w:hAnsi="Times New Roman"/>
          <w:szCs w:val="24"/>
        </w:rPr>
        <w:t>字或</w:t>
      </w:r>
      <w:r>
        <w:rPr>
          <w:rFonts w:ascii="Times New Roman" w:hAnsi="Times New Roman"/>
          <w:szCs w:val="24"/>
        </w:rPr>
        <w:t>‘</w:t>
      </w:r>
      <w:r>
        <w:rPr>
          <w:rFonts w:ascii="Times New Roman" w:hAnsi="Times New Roman"/>
          <w:szCs w:val="24"/>
        </w:rPr>
        <w:t>人</w:t>
      </w:r>
      <w:r>
        <w:rPr>
          <w:rFonts w:ascii="Times New Roman" w:hAnsi="Times New Roman"/>
          <w:szCs w:val="24"/>
        </w:rPr>
        <w:t>’</w:t>
      </w:r>
      <w:r>
        <w:rPr>
          <w:rFonts w:ascii="Times New Roman" w:hAnsi="Times New Roman"/>
          <w:szCs w:val="24"/>
        </w:rPr>
        <w:t>字形，头、颈向前伸直，脚向后直伸。栖息时常一只脚站立，另只脚收于腹部</w:t>
      </w:r>
      <w:bookmarkStart w:id="133" w:name="ref_[3]_17993"/>
      <w:r>
        <w:rPr>
          <w:rFonts w:ascii="Times New Roman" w:hAnsi="Times New Roman" w:hint="eastAsia"/>
          <w:szCs w:val="24"/>
        </w:rPr>
        <w:t>。</w:t>
      </w:r>
      <w:r>
        <w:rPr>
          <w:rFonts w:ascii="Times New Roman" w:hAnsi="Times New Roman"/>
          <w:szCs w:val="24"/>
        </w:rPr>
        <w:t> </w:t>
      </w:r>
      <w:bookmarkStart w:id="134" w:name="ref_3"/>
      <w:bookmarkEnd w:id="133"/>
      <w:bookmarkEnd w:id="134"/>
    </w:p>
    <w:p w14:paraId="474BE1F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杂食性，但以植物为主，包括根、茎、叶、果实和种子，喜食芦苇的根和叶，夏季也吃昆虫、蚯蚓、蛙、蛇、鼠等，它能利用新的生境并适应不同生境中的不同食物，从水生植物、谷粒和种子到小型无脊椎动物。在草海越冬的灰鹤，吃豆类、玉米、马铃薯、胡萝卜、萝卜、白菜、菠菜、冬小麦、水葱及荆三棱的根茎，也兼吃一些动物性食物，常见的有中华田螺、铜锈环棱螺、胀肚环棱螺和犁型环棱螺；在中国云南省个旧市，据</w:t>
      </w:r>
      <w:r>
        <w:rPr>
          <w:rFonts w:ascii="Times New Roman" w:hAnsi="Times New Roman"/>
          <w:szCs w:val="24"/>
        </w:rPr>
        <w:t>1971-1978</w:t>
      </w:r>
      <w:r>
        <w:rPr>
          <w:rFonts w:ascii="Times New Roman" w:hAnsi="Times New Roman"/>
          <w:szCs w:val="24"/>
        </w:rPr>
        <w:t>年对</w:t>
      </w:r>
      <w:r>
        <w:rPr>
          <w:rFonts w:ascii="Times New Roman" w:hAnsi="Times New Roman"/>
          <w:szCs w:val="24"/>
        </w:rPr>
        <w:t>20</w:t>
      </w:r>
      <w:r>
        <w:rPr>
          <w:rFonts w:ascii="Times New Roman" w:hAnsi="Times New Roman"/>
          <w:szCs w:val="24"/>
        </w:rPr>
        <w:t>只灰鹤胃的食物剖验，发现主要以甘薯及花生为食，其中</w:t>
      </w:r>
      <w:r>
        <w:rPr>
          <w:rFonts w:ascii="Times New Roman" w:hAnsi="Times New Roman"/>
          <w:szCs w:val="24"/>
        </w:rPr>
        <w:t>5</w:t>
      </w:r>
      <w:r>
        <w:rPr>
          <w:rFonts w:ascii="Times New Roman" w:hAnsi="Times New Roman"/>
          <w:szCs w:val="24"/>
        </w:rPr>
        <w:t>个胃内有少量的白色草根；在海南省临高间剖验</w:t>
      </w:r>
      <w:r>
        <w:rPr>
          <w:rFonts w:ascii="Times New Roman" w:hAnsi="Times New Roman"/>
          <w:szCs w:val="24"/>
        </w:rPr>
        <w:t>3</w:t>
      </w:r>
      <w:r>
        <w:rPr>
          <w:rFonts w:ascii="Times New Roman" w:hAnsi="Times New Roman"/>
          <w:szCs w:val="24"/>
        </w:rPr>
        <w:t>个胃，内有谷粒及其碎屑占</w:t>
      </w:r>
      <w:r>
        <w:rPr>
          <w:rFonts w:ascii="Times New Roman" w:hAnsi="Times New Roman"/>
          <w:szCs w:val="24"/>
        </w:rPr>
        <w:t>81%</w:t>
      </w:r>
      <w:r>
        <w:rPr>
          <w:rFonts w:ascii="Times New Roman" w:hAnsi="Times New Roman"/>
          <w:szCs w:val="24"/>
        </w:rPr>
        <w:t>，也有小螺及其他动物残体占</w:t>
      </w:r>
      <w:r>
        <w:rPr>
          <w:rFonts w:ascii="Times New Roman" w:hAnsi="Times New Roman"/>
          <w:szCs w:val="24"/>
        </w:rPr>
        <w:t>18.4%</w:t>
      </w:r>
      <w:r>
        <w:rPr>
          <w:rFonts w:ascii="Times New Roman" w:hAnsi="Times New Roman"/>
          <w:szCs w:val="24"/>
        </w:rPr>
        <w:t>，在</w:t>
      </w:r>
      <w:r>
        <w:rPr>
          <w:rFonts w:ascii="Times New Roman" w:hAnsi="Times New Roman"/>
          <w:szCs w:val="24"/>
        </w:rPr>
        <w:t>1</w:t>
      </w:r>
      <w:r>
        <w:rPr>
          <w:rFonts w:ascii="Times New Roman" w:hAnsi="Times New Roman"/>
          <w:szCs w:val="24"/>
        </w:rPr>
        <w:t>个胃内有稻谷</w:t>
      </w:r>
      <w:r>
        <w:rPr>
          <w:rFonts w:ascii="Times New Roman" w:hAnsi="Times New Roman"/>
          <w:szCs w:val="24"/>
        </w:rPr>
        <w:t>885</w:t>
      </w:r>
      <w:r>
        <w:rPr>
          <w:rFonts w:ascii="Times New Roman" w:hAnsi="Times New Roman"/>
          <w:szCs w:val="24"/>
        </w:rPr>
        <w:t>粒，该鸟还可将整穗吞下，有见其到晒谷场盗食；在黄河三角洲，野外观察灰鹤主要食物有玉米、花生、豆类、麦苗、水草等，也吃部分螺和鱼、虾，其觅食场所主要集中在有残留的农作物地带、草场内和沼泽地带。</w:t>
      </w:r>
    </w:p>
    <w:p w14:paraId="4527857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4</w:t>
      </w:r>
      <w:r>
        <w:rPr>
          <w:rFonts w:ascii="Times New Roman" w:hAnsi="Times New Roman" w:hint="eastAsia"/>
          <w:szCs w:val="24"/>
        </w:rPr>
        <w:t>）蓑衣鹤</w:t>
      </w:r>
    </w:p>
    <w:p w14:paraId="1838C2F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形态特征：</w:t>
      </w:r>
      <w:r>
        <w:rPr>
          <w:rFonts w:ascii="Times New Roman" w:hAnsi="Times New Roman"/>
          <w:szCs w:val="24"/>
        </w:rPr>
        <w:t>头侧、颏、喉和前颈黑色；眼后和</w:t>
      </w:r>
      <w:hyperlink r:id="rId214" w:tgtFrame="_blank" w:history="1">
        <w:r>
          <w:rPr>
            <w:rFonts w:ascii="Times New Roman" w:hAnsi="Times New Roman"/>
            <w:szCs w:val="24"/>
          </w:rPr>
          <w:t>耳羽</w:t>
        </w:r>
      </w:hyperlink>
      <w:r>
        <w:rPr>
          <w:rFonts w:ascii="Times New Roman" w:hAnsi="Times New Roman"/>
          <w:szCs w:val="24"/>
        </w:rPr>
        <w:t>白色，羽毛延长成束状，垂于头侧；头顶珍珠灰色；喉和前颈羽毛也极度延长成蓑状，悬垂于前胸。其余头、颈和体羽蓝灰色；大覆羽和</w:t>
      </w:r>
      <w:hyperlink r:id="rId215" w:tgtFrame="_blank" w:history="1">
        <w:r>
          <w:rPr>
            <w:rFonts w:ascii="Times New Roman" w:hAnsi="Times New Roman"/>
            <w:szCs w:val="24"/>
          </w:rPr>
          <w:t>初级飞羽</w:t>
        </w:r>
      </w:hyperlink>
      <w:r>
        <w:rPr>
          <w:rFonts w:ascii="Times New Roman" w:hAnsi="Times New Roman"/>
          <w:szCs w:val="24"/>
        </w:rPr>
        <w:t>灰黑色，内侧</w:t>
      </w:r>
      <w:hyperlink r:id="rId216" w:tgtFrame="_blank" w:history="1">
        <w:r>
          <w:rPr>
            <w:rFonts w:ascii="Times New Roman" w:hAnsi="Times New Roman"/>
            <w:szCs w:val="24"/>
          </w:rPr>
          <w:t>次级飞羽</w:t>
        </w:r>
      </w:hyperlink>
      <w:r>
        <w:rPr>
          <w:rFonts w:ascii="Times New Roman" w:hAnsi="Times New Roman"/>
          <w:szCs w:val="24"/>
        </w:rPr>
        <w:t>和三级飞羽延长，覆盖于尾上，也为石板灰色，但羽端黑色。</w:t>
      </w:r>
      <w:hyperlink r:id="rId217" w:tgtFrame="_blank" w:history="1">
        <w:r>
          <w:rPr>
            <w:rFonts w:ascii="Times New Roman" w:hAnsi="Times New Roman"/>
            <w:szCs w:val="24"/>
          </w:rPr>
          <w:t>虹膜</w:t>
        </w:r>
      </w:hyperlink>
      <w:r>
        <w:rPr>
          <w:rFonts w:ascii="Times New Roman" w:hAnsi="Times New Roman"/>
          <w:szCs w:val="24"/>
        </w:rPr>
        <w:t>红色或紫红色，嘴黄绿色，脚和趾黑色。</w:t>
      </w:r>
    </w:p>
    <w:p w14:paraId="549C13D5"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栖息环境：</w:t>
      </w:r>
      <w:r>
        <w:rPr>
          <w:rFonts w:ascii="Times New Roman" w:hAnsi="Times New Roman"/>
          <w:szCs w:val="24"/>
        </w:rPr>
        <w:t>栖息于开阔平原草地、草甸沼泽、芦苇沼泽、</w:t>
      </w:r>
      <w:hyperlink r:id="rId218" w:tgtFrame="_blank" w:history="1">
        <w:r>
          <w:rPr>
            <w:rFonts w:ascii="Times New Roman" w:hAnsi="Times New Roman"/>
            <w:szCs w:val="24"/>
          </w:rPr>
          <w:t>苇塘</w:t>
        </w:r>
      </w:hyperlink>
      <w:r>
        <w:rPr>
          <w:rFonts w:ascii="Times New Roman" w:hAnsi="Times New Roman"/>
          <w:szCs w:val="24"/>
        </w:rPr>
        <w:t>、湖泊、河谷、半荒漠和高原</w:t>
      </w:r>
      <w:hyperlink r:id="rId219" w:tgtFrame="_blank" w:history="1">
        <w:r>
          <w:rPr>
            <w:rFonts w:ascii="Times New Roman" w:hAnsi="Times New Roman"/>
            <w:szCs w:val="24"/>
          </w:rPr>
          <w:t>湖泊</w:t>
        </w:r>
      </w:hyperlink>
      <w:r>
        <w:rPr>
          <w:rFonts w:ascii="Times New Roman" w:hAnsi="Times New Roman"/>
          <w:szCs w:val="24"/>
        </w:rPr>
        <w:t>草甸等各种环境中，有时也到农田地活动，特别是秋冬季节。栖地高度最高可达</w:t>
      </w:r>
      <w:r>
        <w:rPr>
          <w:rFonts w:ascii="Times New Roman" w:hAnsi="Times New Roman"/>
          <w:szCs w:val="24"/>
        </w:rPr>
        <w:t>5000</w:t>
      </w:r>
      <w:r>
        <w:rPr>
          <w:rFonts w:ascii="Times New Roman" w:hAnsi="Times New Roman"/>
          <w:szCs w:val="24"/>
        </w:rPr>
        <w:t>米左右的高原地区。</w:t>
      </w:r>
    </w:p>
    <w:p w14:paraId="02B1C2A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生活习性：</w:t>
      </w:r>
      <w:r>
        <w:rPr>
          <w:rFonts w:ascii="Times New Roman" w:hAnsi="Times New Roman"/>
          <w:szCs w:val="24"/>
        </w:rPr>
        <w:t>除繁殖期成对活动外，多呈家族</w:t>
      </w:r>
      <w:r>
        <w:rPr>
          <w:rFonts w:ascii="Times New Roman" w:hAnsi="Times New Roman" w:hint="eastAsia"/>
          <w:szCs w:val="24"/>
        </w:rPr>
        <w:t>或</w:t>
      </w:r>
      <w:r>
        <w:rPr>
          <w:rFonts w:ascii="Times New Roman" w:hAnsi="Times New Roman"/>
          <w:szCs w:val="24"/>
        </w:rPr>
        <w:t>小群活动，有时也见单只活动的。常活动在水边浅水处或水域附近地势较高的</w:t>
      </w:r>
      <w:hyperlink r:id="rId220" w:tgtFrame="_blank" w:history="1">
        <w:r>
          <w:rPr>
            <w:rFonts w:ascii="Times New Roman" w:hAnsi="Times New Roman"/>
            <w:szCs w:val="24"/>
          </w:rPr>
          <w:t>羊草</w:t>
        </w:r>
      </w:hyperlink>
      <w:r>
        <w:rPr>
          <w:rFonts w:ascii="Times New Roman" w:hAnsi="Times New Roman"/>
          <w:szCs w:val="24"/>
        </w:rPr>
        <w:t>草甸上。性胆小而机警，善奔走，常远远地避开人类，也不愿与其他鹤类合群。</w:t>
      </w:r>
      <w:bookmarkStart w:id="135" w:name="ref_2"/>
      <w:bookmarkEnd w:id="135"/>
      <w:r>
        <w:rPr>
          <w:rFonts w:ascii="Times New Roman" w:hAnsi="Times New Roman"/>
          <w:szCs w:val="24"/>
        </w:rPr>
        <w:t>春季于</w:t>
      </w:r>
      <w:r>
        <w:rPr>
          <w:rFonts w:ascii="Times New Roman" w:hAnsi="Times New Roman"/>
          <w:szCs w:val="24"/>
        </w:rPr>
        <w:t>3</w:t>
      </w:r>
      <w:r>
        <w:rPr>
          <w:rFonts w:ascii="Times New Roman" w:hAnsi="Times New Roman"/>
          <w:szCs w:val="24"/>
        </w:rPr>
        <w:t>月中旬到达吉林西部繁殖地，</w:t>
      </w:r>
      <w:r>
        <w:rPr>
          <w:rFonts w:ascii="Times New Roman" w:hAnsi="Times New Roman"/>
          <w:szCs w:val="24"/>
        </w:rPr>
        <w:t>3</w:t>
      </w:r>
      <w:r>
        <w:rPr>
          <w:rFonts w:ascii="Times New Roman" w:hAnsi="Times New Roman"/>
          <w:szCs w:val="24"/>
        </w:rPr>
        <w:t>月末</w:t>
      </w:r>
      <w:r>
        <w:rPr>
          <w:rFonts w:ascii="Times New Roman" w:hAnsi="Times New Roman"/>
          <w:szCs w:val="24"/>
        </w:rPr>
        <w:t>4</w:t>
      </w:r>
      <w:r>
        <w:rPr>
          <w:rFonts w:ascii="Times New Roman" w:hAnsi="Times New Roman"/>
          <w:szCs w:val="24"/>
        </w:rPr>
        <w:t>月初到达黑龙江和内蒙呼伦贝尔盟。秋季于</w:t>
      </w:r>
      <w:r>
        <w:rPr>
          <w:rFonts w:ascii="Times New Roman" w:hAnsi="Times New Roman"/>
          <w:szCs w:val="24"/>
        </w:rPr>
        <w:t>10</w:t>
      </w:r>
      <w:r>
        <w:rPr>
          <w:rFonts w:ascii="Times New Roman" w:hAnsi="Times New Roman"/>
          <w:szCs w:val="24"/>
        </w:rPr>
        <w:t>月中下旬南迁，成家族群或小群迁飞。主要以各种小型鱼类、虾、蛙、蝌蚪、</w:t>
      </w:r>
      <w:hyperlink r:id="rId221" w:tgtFrame="_blank" w:history="1">
        <w:r>
          <w:rPr>
            <w:rFonts w:ascii="Times New Roman" w:hAnsi="Times New Roman"/>
            <w:szCs w:val="24"/>
          </w:rPr>
          <w:t>水生昆虫</w:t>
        </w:r>
      </w:hyperlink>
      <w:r>
        <w:rPr>
          <w:rFonts w:ascii="Times New Roman" w:hAnsi="Times New Roman"/>
          <w:szCs w:val="24"/>
        </w:rPr>
        <w:t>、植物嫩芽、叶、草子，以及农作物</w:t>
      </w:r>
      <w:hyperlink r:id="rId222" w:tgtFrame="_blank" w:history="1">
        <w:r>
          <w:rPr>
            <w:rFonts w:ascii="Times New Roman" w:hAnsi="Times New Roman"/>
            <w:szCs w:val="24"/>
          </w:rPr>
          <w:t>玉米</w:t>
        </w:r>
      </w:hyperlink>
      <w:r>
        <w:rPr>
          <w:rFonts w:ascii="Times New Roman" w:hAnsi="Times New Roman"/>
          <w:szCs w:val="24"/>
        </w:rPr>
        <w:t>、小麦等食物为食，边走边食。</w:t>
      </w:r>
    </w:p>
    <w:p w14:paraId="78842B5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5</w:t>
      </w:r>
      <w:r>
        <w:rPr>
          <w:rFonts w:ascii="Times New Roman" w:hAnsi="Times New Roman" w:hint="eastAsia"/>
          <w:szCs w:val="24"/>
        </w:rPr>
        <w:t>）大天鹅</w:t>
      </w:r>
    </w:p>
    <w:p w14:paraId="017FCA2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形态特征：</w:t>
      </w:r>
      <w:r>
        <w:rPr>
          <w:rFonts w:ascii="Times New Roman" w:hAnsi="Times New Roman"/>
          <w:szCs w:val="24"/>
        </w:rPr>
        <w:t>大天鹅全身的羽毛均为雪白的颜色，雌雄同色，雌略较雄小，全身洁白，仅头稍沾棕黄色。</w:t>
      </w:r>
      <w:hyperlink r:id="rId223" w:tgtFrame="_blank" w:history="1">
        <w:r>
          <w:rPr>
            <w:rFonts w:ascii="Times New Roman" w:hAnsi="Times New Roman"/>
            <w:szCs w:val="24"/>
          </w:rPr>
          <w:t>虹膜</w:t>
        </w:r>
      </w:hyperlink>
      <w:r>
        <w:rPr>
          <w:rFonts w:ascii="Times New Roman" w:hAnsi="Times New Roman"/>
          <w:szCs w:val="24"/>
        </w:rPr>
        <w:t>暗褐色，嘴黑色，上嘴基部黄色，此黄斑沿两侧向前延伸至鼻孔之下，形成一喇叭形。嘴端黑色。</w:t>
      </w:r>
      <w:hyperlink r:id="rId224" w:tgtFrame="_blank" w:history="1">
        <w:r>
          <w:rPr>
            <w:rFonts w:ascii="Times New Roman" w:hAnsi="Times New Roman"/>
            <w:szCs w:val="24"/>
          </w:rPr>
          <w:t>跗蹠</w:t>
        </w:r>
      </w:hyperlink>
      <w:r>
        <w:rPr>
          <w:rFonts w:ascii="Times New Roman" w:hAnsi="Times New Roman"/>
          <w:szCs w:val="24"/>
        </w:rPr>
        <w:t>、蹼、爪亦为黑色。幼鸟全身灰褐色，头和颈部较暗，下体、尾和飞羽较淡，嘴基部粉红色，嘴端黑色。大天鹅的喙部有丰富的触觉感受器，叫做赫伯小体，主要生于上、下嘴尖端的里面，仅在上嘴边缘每平方毫米就有</w:t>
      </w:r>
      <w:r>
        <w:rPr>
          <w:rFonts w:ascii="Times New Roman" w:hAnsi="Times New Roman"/>
          <w:szCs w:val="24"/>
        </w:rPr>
        <w:t>27</w:t>
      </w:r>
      <w:r>
        <w:rPr>
          <w:rFonts w:ascii="Times New Roman" w:hAnsi="Times New Roman"/>
          <w:szCs w:val="24"/>
        </w:rPr>
        <w:t>个，比人类手指上的还要多，它就是靠嘴缘灵敏的触觉在水中寻觅食物。幼鸟身上是灰棕色羽毛，嘴呈暗肉色。一年后它们才完全长出和成鸟的羽毛相同的白羽毛</w:t>
      </w:r>
      <w:r>
        <w:rPr>
          <w:rFonts w:ascii="Times New Roman" w:hAnsi="Times New Roman" w:hint="eastAsia"/>
          <w:szCs w:val="24"/>
        </w:rPr>
        <w:t>。</w:t>
      </w:r>
    </w:p>
    <w:p w14:paraId="1E7B1C6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栖息环境：</w:t>
      </w:r>
      <w:r>
        <w:rPr>
          <w:rFonts w:ascii="Times New Roman" w:hAnsi="Times New Roman"/>
          <w:szCs w:val="24"/>
        </w:rPr>
        <w:t>在繁殖期喜欢栖息在开阔的、食物丰富的浅水水域中，如富有水生植物的湖泊、水塘和流速缓慢的河流，特别是在针叶林带，最喜桦树林带和无林的高原湖泊与水塘，冬季则主要栖息在多草的大型湖泊、水库、水塘、河流、海滩和开阔的农田地带。</w:t>
      </w:r>
    </w:p>
    <w:p w14:paraId="73FD53E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生活习性：</w:t>
      </w:r>
      <w:r>
        <w:rPr>
          <w:rFonts w:ascii="Times New Roman" w:hAnsi="Times New Roman"/>
          <w:szCs w:val="24"/>
        </w:rPr>
        <w:t>性喜集群，除繁殖期外常成群生活，特别是冬季，常呈家族群活动，有时也多至数十至数百只的大群栖息在一起。性胆小，警惕性极高，活动和栖息时远离岸边，游泳亦多在开阔的水域，甚至晚上亦栖息在离岸较远的水中。主要在早晨和黄昏觅食。觅食地和栖息地常常在一起或相距不远。如无干扰，它们通常不换地方，栖息地较为固定。视力亦很好，很远即能发现危险而游走。通常多在水上活动。善游泳，一般不潜水。游泳时颈向上伸直，与水面成垂直姿势。游泳缓慢从容，姿势优美。除非迫不得已，一般很少起飞。由于体躯大而笨重，起飞不甚灵活，需两翅急剧拍打水面，两脚在水面奔跑一定距离才能飞起。有时边飞边鸣和边游边叫，叫声单调而粗哑，有似喇叭声。主要以水生植物叶、茎、种子和根茎为食，如莲藕、胡颓子和水草。嘴的掘食能力很强，它甚至能挖掘埋藏于淤泥下</w:t>
      </w:r>
      <w:r>
        <w:rPr>
          <w:rFonts w:ascii="Times New Roman" w:hAnsi="Times New Roman"/>
          <w:szCs w:val="24"/>
        </w:rPr>
        <w:t>0.5</w:t>
      </w:r>
      <w:r>
        <w:rPr>
          <w:rFonts w:ascii="Times New Roman" w:hAnsi="Times New Roman"/>
          <w:szCs w:val="24"/>
        </w:rPr>
        <w:t>米处的食物。冬季有时也到农田觅食谷物和幼苗。除植物性食物外，也吃少量动物性食物，如软体动物、水生昆虫和其他水生无脊椎动物。</w:t>
      </w:r>
      <w:hyperlink r:id="rId225" w:tgtFrame="_blank" w:history="1">
        <w:r>
          <w:rPr>
            <w:rFonts w:ascii="Times New Roman" w:hAnsi="Times New Roman"/>
            <w:szCs w:val="24"/>
          </w:rPr>
          <w:t>候鸟</w:t>
        </w:r>
      </w:hyperlink>
      <w:r>
        <w:rPr>
          <w:rFonts w:ascii="Times New Roman" w:hAnsi="Times New Roman"/>
          <w:szCs w:val="24"/>
        </w:rPr>
        <w:t>，每年的</w:t>
      </w:r>
      <w:r>
        <w:rPr>
          <w:rFonts w:ascii="Times New Roman" w:hAnsi="Times New Roman"/>
          <w:szCs w:val="24"/>
        </w:rPr>
        <w:t>9</w:t>
      </w:r>
      <w:r>
        <w:rPr>
          <w:rFonts w:ascii="Times New Roman" w:hAnsi="Times New Roman"/>
          <w:szCs w:val="24"/>
        </w:rPr>
        <w:t>月中下旬开始离开繁殖地往越冬地</w:t>
      </w:r>
      <w:hyperlink r:id="rId226" w:tgtFrame="_blank" w:history="1">
        <w:r>
          <w:rPr>
            <w:rFonts w:ascii="Times New Roman" w:hAnsi="Times New Roman"/>
            <w:szCs w:val="24"/>
          </w:rPr>
          <w:t>迁徙</w:t>
        </w:r>
      </w:hyperlink>
      <w:r>
        <w:rPr>
          <w:rFonts w:ascii="Times New Roman" w:hAnsi="Times New Roman"/>
          <w:szCs w:val="24"/>
        </w:rPr>
        <w:t>，</w:t>
      </w:r>
      <w:r>
        <w:rPr>
          <w:rFonts w:ascii="Times New Roman" w:hAnsi="Times New Roman"/>
          <w:szCs w:val="24"/>
        </w:rPr>
        <w:t>10</w:t>
      </w:r>
      <w:r>
        <w:rPr>
          <w:rFonts w:ascii="Times New Roman" w:hAnsi="Times New Roman"/>
          <w:szCs w:val="24"/>
        </w:rPr>
        <w:t>月下旬至</w:t>
      </w:r>
      <w:r>
        <w:rPr>
          <w:rFonts w:ascii="Times New Roman" w:hAnsi="Times New Roman"/>
          <w:szCs w:val="24"/>
        </w:rPr>
        <w:t>11</w:t>
      </w:r>
      <w:r>
        <w:rPr>
          <w:rFonts w:ascii="Times New Roman" w:hAnsi="Times New Roman"/>
          <w:szCs w:val="24"/>
        </w:rPr>
        <w:t>月初到达</w:t>
      </w:r>
      <w:hyperlink r:id="rId227" w:tgtFrame="_blank" w:history="1">
        <w:r>
          <w:rPr>
            <w:rFonts w:ascii="Times New Roman" w:hAnsi="Times New Roman"/>
            <w:szCs w:val="24"/>
          </w:rPr>
          <w:t>越冬地</w:t>
        </w:r>
      </w:hyperlink>
      <w:r>
        <w:rPr>
          <w:rFonts w:ascii="Times New Roman" w:hAnsi="Times New Roman"/>
          <w:szCs w:val="24"/>
        </w:rPr>
        <w:t>。翌年</w:t>
      </w:r>
      <w:r>
        <w:rPr>
          <w:rFonts w:ascii="Times New Roman" w:hAnsi="Times New Roman"/>
          <w:szCs w:val="24"/>
        </w:rPr>
        <w:t>2</w:t>
      </w:r>
      <w:r>
        <w:rPr>
          <w:rFonts w:ascii="Times New Roman" w:hAnsi="Times New Roman"/>
          <w:szCs w:val="24"/>
        </w:rPr>
        <w:t>月末</w:t>
      </w:r>
      <w:r>
        <w:rPr>
          <w:rFonts w:ascii="Times New Roman" w:hAnsi="Times New Roman"/>
          <w:szCs w:val="24"/>
        </w:rPr>
        <w:t>3</w:t>
      </w:r>
      <w:r>
        <w:rPr>
          <w:rFonts w:ascii="Times New Roman" w:hAnsi="Times New Roman"/>
          <w:szCs w:val="24"/>
        </w:rPr>
        <w:t>月初又离开越冬地往繁殖地迁徙，</w:t>
      </w:r>
      <w:r>
        <w:rPr>
          <w:rFonts w:ascii="Times New Roman" w:hAnsi="Times New Roman"/>
          <w:szCs w:val="24"/>
        </w:rPr>
        <w:t>3</w:t>
      </w:r>
      <w:r>
        <w:rPr>
          <w:rFonts w:ascii="Times New Roman" w:hAnsi="Times New Roman"/>
          <w:szCs w:val="24"/>
        </w:rPr>
        <w:t>月末</w:t>
      </w:r>
      <w:r>
        <w:rPr>
          <w:rFonts w:ascii="Times New Roman" w:hAnsi="Times New Roman"/>
          <w:szCs w:val="24"/>
        </w:rPr>
        <w:t>4</w:t>
      </w:r>
      <w:r>
        <w:rPr>
          <w:rFonts w:ascii="Times New Roman" w:hAnsi="Times New Roman"/>
          <w:szCs w:val="24"/>
        </w:rPr>
        <w:t>月初到达繁殖地。迁徙时常成</w:t>
      </w:r>
      <w:r>
        <w:rPr>
          <w:rFonts w:ascii="Times New Roman" w:hAnsi="Times New Roman"/>
          <w:szCs w:val="24"/>
        </w:rPr>
        <w:t>6-20</w:t>
      </w:r>
      <w:r>
        <w:rPr>
          <w:rFonts w:ascii="Times New Roman" w:hAnsi="Times New Roman"/>
          <w:szCs w:val="24"/>
        </w:rPr>
        <w:t>多只的小群或家族群迁飞。飞行高度较高，队列整齐，常成</w:t>
      </w:r>
      <w:r>
        <w:rPr>
          <w:rFonts w:ascii="Times New Roman" w:hAnsi="Times New Roman"/>
          <w:szCs w:val="24"/>
        </w:rPr>
        <w:t>“</w:t>
      </w:r>
      <w:r>
        <w:rPr>
          <w:rFonts w:ascii="Times New Roman" w:hAnsi="Times New Roman"/>
          <w:szCs w:val="24"/>
        </w:rPr>
        <w:t>一</w:t>
      </w:r>
      <w:r>
        <w:rPr>
          <w:rFonts w:ascii="Times New Roman" w:hAnsi="Times New Roman"/>
          <w:szCs w:val="24"/>
        </w:rPr>
        <w:t>”</w:t>
      </w:r>
      <w:r>
        <w:rPr>
          <w:rFonts w:ascii="Times New Roman" w:hAnsi="Times New Roman"/>
          <w:szCs w:val="24"/>
        </w:rPr>
        <w:t>字形、</w:t>
      </w:r>
      <w:r>
        <w:rPr>
          <w:rFonts w:ascii="Times New Roman" w:hAnsi="Times New Roman"/>
          <w:szCs w:val="24"/>
        </w:rPr>
        <w:t>“</w:t>
      </w:r>
      <w:r>
        <w:rPr>
          <w:rFonts w:ascii="Times New Roman" w:hAnsi="Times New Roman"/>
          <w:szCs w:val="24"/>
        </w:rPr>
        <w:t>人</w:t>
      </w:r>
      <w:r>
        <w:rPr>
          <w:rFonts w:ascii="Times New Roman" w:hAnsi="Times New Roman"/>
          <w:szCs w:val="24"/>
        </w:rPr>
        <w:t>”</w:t>
      </w:r>
      <w:r>
        <w:rPr>
          <w:rFonts w:ascii="Times New Roman" w:hAnsi="Times New Roman"/>
          <w:szCs w:val="24"/>
        </w:rPr>
        <w:t>字形和</w:t>
      </w:r>
      <w:r>
        <w:rPr>
          <w:rFonts w:ascii="Times New Roman" w:hAnsi="Times New Roman"/>
          <w:szCs w:val="24"/>
        </w:rPr>
        <w:t>“V”</w:t>
      </w:r>
      <w:r>
        <w:rPr>
          <w:rFonts w:ascii="Times New Roman" w:hAnsi="Times New Roman"/>
          <w:szCs w:val="24"/>
        </w:rPr>
        <w:t>字形。通常边飞边鸣，鸣声响亮而单调，有似</w:t>
      </w:r>
      <w:r>
        <w:rPr>
          <w:rFonts w:ascii="Times New Roman" w:hAnsi="Times New Roman"/>
          <w:szCs w:val="24"/>
        </w:rPr>
        <w:t>“ho-ho-”</w:t>
      </w:r>
      <w:r>
        <w:rPr>
          <w:rFonts w:ascii="Times New Roman" w:hAnsi="Times New Roman"/>
          <w:szCs w:val="24"/>
        </w:rPr>
        <w:t>或</w:t>
      </w:r>
      <w:r>
        <w:rPr>
          <w:rFonts w:ascii="Times New Roman" w:hAnsi="Times New Roman"/>
          <w:szCs w:val="24"/>
        </w:rPr>
        <w:t>“hour-”</w:t>
      </w:r>
      <w:r>
        <w:rPr>
          <w:rFonts w:ascii="Times New Roman" w:hAnsi="Times New Roman"/>
          <w:szCs w:val="24"/>
        </w:rPr>
        <w:t>的喇叭声音。迁徙多沿湖泊、河流等水域地区进行，沿途不断停息和觅食，因此迁徙持续时间较长。每年</w:t>
      </w:r>
      <w:r>
        <w:rPr>
          <w:rFonts w:ascii="Times New Roman" w:hAnsi="Times New Roman"/>
          <w:szCs w:val="24"/>
        </w:rPr>
        <w:t>10</w:t>
      </w:r>
      <w:r>
        <w:rPr>
          <w:rFonts w:ascii="Times New Roman" w:hAnsi="Times New Roman"/>
          <w:szCs w:val="24"/>
        </w:rPr>
        <w:t>月上旬，成鸟和幼鸟都已经全部换好了羽毛，具备了长途迁徙到越冬地的能力，大天鹅便开始分成小批陆续向南方飞去。最早迁离的是不繁殖的</w:t>
      </w:r>
      <w:hyperlink r:id="rId228" w:tgtFrame="_blank" w:history="1">
        <w:r>
          <w:rPr>
            <w:rFonts w:ascii="Times New Roman" w:hAnsi="Times New Roman"/>
            <w:szCs w:val="24"/>
          </w:rPr>
          <w:t>亚成鸟</w:t>
        </w:r>
      </w:hyperlink>
      <w:r>
        <w:rPr>
          <w:rFonts w:ascii="Times New Roman" w:hAnsi="Times New Roman"/>
          <w:szCs w:val="24"/>
        </w:rPr>
        <w:t>，携带幼鸟的成鸟稍晚离开，迁飞多在夜间进行，以免遭到猛禽等天敌的袭击，到</w:t>
      </w:r>
      <w:r>
        <w:rPr>
          <w:rFonts w:ascii="Times New Roman" w:hAnsi="Times New Roman"/>
          <w:szCs w:val="24"/>
        </w:rPr>
        <w:t>11</w:t>
      </w:r>
      <w:r>
        <w:rPr>
          <w:rFonts w:ascii="Times New Roman" w:hAnsi="Times New Roman"/>
          <w:szCs w:val="24"/>
        </w:rPr>
        <w:t>月底全部迁离繁殖地。可以飞越海拔</w:t>
      </w:r>
      <w:r>
        <w:rPr>
          <w:rFonts w:ascii="Times New Roman" w:hAnsi="Times New Roman"/>
          <w:szCs w:val="24"/>
        </w:rPr>
        <w:t>8000</w:t>
      </w:r>
      <w:r>
        <w:rPr>
          <w:rFonts w:ascii="Times New Roman" w:hAnsi="Times New Roman"/>
          <w:szCs w:val="24"/>
        </w:rPr>
        <w:t>多米的世界屋脊</w:t>
      </w:r>
      <w:r>
        <w:rPr>
          <w:rFonts w:ascii="Times New Roman" w:hAnsi="Times New Roman"/>
          <w:szCs w:val="24"/>
        </w:rPr>
        <w:t>─</w:t>
      </w:r>
      <w:r>
        <w:rPr>
          <w:rFonts w:ascii="Times New Roman" w:hAnsi="Times New Roman"/>
          <w:szCs w:val="24"/>
        </w:rPr>
        <w:t>珠穆朗玛峰。</w:t>
      </w:r>
    </w:p>
    <w:p w14:paraId="58891BB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6</w:t>
      </w:r>
      <w:r>
        <w:rPr>
          <w:rFonts w:ascii="Times New Roman" w:hAnsi="Times New Roman" w:hint="eastAsia"/>
          <w:szCs w:val="24"/>
        </w:rPr>
        <w:t>）小天鹅</w:t>
      </w:r>
    </w:p>
    <w:p w14:paraId="1EF8829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形态特征：</w:t>
      </w:r>
      <w:r>
        <w:rPr>
          <w:rFonts w:ascii="Times New Roman" w:hAnsi="Times New Roman"/>
          <w:szCs w:val="24"/>
        </w:rPr>
        <w:t>大型水禽，体重</w:t>
      </w:r>
      <w:r>
        <w:rPr>
          <w:rFonts w:ascii="Times New Roman" w:hAnsi="Times New Roman"/>
          <w:szCs w:val="24"/>
        </w:rPr>
        <w:t>4~7</w:t>
      </w:r>
      <w:r>
        <w:rPr>
          <w:rFonts w:ascii="Times New Roman" w:hAnsi="Times New Roman"/>
          <w:szCs w:val="24"/>
        </w:rPr>
        <w:t>千克，体长</w:t>
      </w:r>
      <w:r>
        <w:rPr>
          <w:rFonts w:ascii="Times New Roman" w:hAnsi="Times New Roman"/>
          <w:szCs w:val="24"/>
        </w:rPr>
        <w:t>110~135</w:t>
      </w:r>
      <w:r>
        <w:rPr>
          <w:rFonts w:ascii="Times New Roman" w:hAnsi="Times New Roman"/>
          <w:szCs w:val="24"/>
        </w:rPr>
        <w:t>厘米。全身洁白，嘴端黑色，嘴基黄色，外形和</w:t>
      </w:r>
      <w:hyperlink r:id="rId229" w:tgtFrame="_blank" w:history="1">
        <w:r>
          <w:rPr>
            <w:rFonts w:ascii="Times New Roman" w:hAnsi="Times New Roman"/>
            <w:szCs w:val="24"/>
          </w:rPr>
          <w:t>大天鹅</w:t>
        </w:r>
      </w:hyperlink>
      <w:r>
        <w:rPr>
          <w:rFonts w:ascii="Times New Roman" w:hAnsi="Times New Roman"/>
          <w:szCs w:val="24"/>
        </w:rPr>
        <w:t>非常相似，但体型明显较大天鹅小，颈和嘴亦较大天鹅短，嘴上黑斑大，黄斑小，黄斑仅限于嘴基两侧，沿嘴缘不前伸于鼻孔之下；鸣声清脆，有似</w:t>
      </w:r>
      <w:r>
        <w:rPr>
          <w:rFonts w:ascii="Times New Roman" w:hAnsi="Times New Roman"/>
          <w:szCs w:val="24"/>
        </w:rPr>
        <w:t>“Kou-kou”</w:t>
      </w:r>
      <w:r>
        <w:rPr>
          <w:rFonts w:ascii="Times New Roman" w:hAnsi="Times New Roman"/>
          <w:szCs w:val="24"/>
        </w:rPr>
        <w:t>的哨声，而不像大天鹅的喇叭声。野外不难区别。</w:t>
      </w:r>
      <w:hyperlink r:id="rId230" w:tgtFrame="_blank" w:history="1">
        <w:r>
          <w:rPr>
            <w:rFonts w:ascii="Times New Roman" w:hAnsi="Times New Roman"/>
            <w:szCs w:val="24"/>
          </w:rPr>
          <w:t>雪雁</w:t>
        </w:r>
      </w:hyperlink>
      <w:r>
        <w:rPr>
          <w:rFonts w:ascii="Times New Roman" w:hAnsi="Times New Roman"/>
          <w:szCs w:val="24"/>
        </w:rPr>
        <w:t>和小天鹅也较相似，全身白色，但雪雁体型较小，嘴呈赤红色，嘴上无黑斑，</w:t>
      </w:r>
      <w:hyperlink r:id="rId231" w:tgtFrame="_blank" w:history="1">
        <w:r>
          <w:rPr>
            <w:rFonts w:ascii="Times New Roman" w:hAnsi="Times New Roman"/>
            <w:szCs w:val="24"/>
          </w:rPr>
          <w:t>初级飞羽</w:t>
        </w:r>
      </w:hyperlink>
      <w:r>
        <w:rPr>
          <w:rFonts w:ascii="Times New Roman" w:hAnsi="Times New Roman"/>
          <w:szCs w:val="24"/>
        </w:rPr>
        <w:t>黑色，站立时尾部呈黑色，飞翔时翅尖呈黑色，明显与小天鹅不同。两性同色，雌体略小，成鸟全身羽毛白色，仅头顶至枕部常略沾棕黄色。虹膜棕色，嘴黑灰色，上嘴基部两侧黄斑向前延伸最多仅及鼻孔；</w:t>
      </w:r>
      <w:hyperlink r:id="rId232" w:tgtFrame="_blank" w:history="1">
        <w:r>
          <w:rPr>
            <w:rFonts w:ascii="Times New Roman" w:hAnsi="Times New Roman"/>
            <w:szCs w:val="24"/>
          </w:rPr>
          <w:t>跗蹠</w:t>
        </w:r>
      </w:hyperlink>
      <w:r>
        <w:rPr>
          <w:rFonts w:ascii="Times New Roman" w:hAnsi="Times New Roman"/>
          <w:szCs w:val="24"/>
        </w:rPr>
        <w:t>、蹼和爪黑色。幼鸟全身淡灰褐色，嘴基粉红色，嘴端黑色。</w:t>
      </w:r>
    </w:p>
    <w:p w14:paraId="3EB779A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栖息环境：</w:t>
      </w:r>
      <w:r>
        <w:rPr>
          <w:rFonts w:ascii="Times New Roman" w:hAnsi="Times New Roman"/>
          <w:szCs w:val="24"/>
        </w:rPr>
        <w:t>小天鹅在繁殖期主要栖息于开阔的湖泊、</w:t>
      </w:r>
      <w:hyperlink r:id="rId233" w:tgtFrame="_blank" w:history="1">
        <w:r>
          <w:rPr>
            <w:rFonts w:ascii="Times New Roman" w:hAnsi="Times New Roman"/>
            <w:szCs w:val="24"/>
          </w:rPr>
          <w:t>水塘</w:t>
        </w:r>
      </w:hyperlink>
      <w:r>
        <w:rPr>
          <w:rFonts w:ascii="Times New Roman" w:hAnsi="Times New Roman"/>
          <w:szCs w:val="24"/>
        </w:rPr>
        <w:t>、</w:t>
      </w:r>
      <w:hyperlink r:id="rId234" w:tgtFrame="_blank" w:history="1">
        <w:r>
          <w:rPr>
            <w:rFonts w:ascii="Times New Roman" w:hAnsi="Times New Roman"/>
            <w:szCs w:val="24"/>
          </w:rPr>
          <w:t>沼泽</w:t>
        </w:r>
      </w:hyperlink>
      <w:r>
        <w:rPr>
          <w:rFonts w:ascii="Times New Roman" w:hAnsi="Times New Roman"/>
          <w:szCs w:val="24"/>
        </w:rPr>
        <w:t>、水流缓慢的河流和邻近的苔原低地和苔原沼泽地上。冬季主要栖息在多</w:t>
      </w:r>
      <w:hyperlink r:id="rId235" w:tgtFrame="_blank" w:history="1">
        <w:r>
          <w:rPr>
            <w:rFonts w:ascii="Times New Roman" w:hAnsi="Times New Roman"/>
            <w:szCs w:val="24"/>
          </w:rPr>
          <w:t>芦苇</w:t>
        </w:r>
      </w:hyperlink>
      <w:r>
        <w:rPr>
          <w:rFonts w:ascii="Times New Roman" w:hAnsi="Times New Roman"/>
          <w:szCs w:val="24"/>
        </w:rPr>
        <w:t>、</w:t>
      </w:r>
      <w:hyperlink r:id="rId236" w:tgtFrame="_blank" w:history="1">
        <w:r>
          <w:rPr>
            <w:rFonts w:ascii="Times New Roman" w:hAnsi="Times New Roman"/>
            <w:szCs w:val="24"/>
          </w:rPr>
          <w:t>蒲草</w:t>
        </w:r>
      </w:hyperlink>
      <w:r>
        <w:rPr>
          <w:rFonts w:ascii="Times New Roman" w:hAnsi="Times New Roman"/>
          <w:szCs w:val="24"/>
        </w:rPr>
        <w:t>和其他水生植物的大型湖泊、水库、水塘与河湾等地方，也出现在湿草地和水淹平原、沼泽、</w:t>
      </w:r>
      <w:hyperlink r:id="rId237" w:tgtFrame="_blank" w:history="1">
        <w:r>
          <w:rPr>
            <w:rFonts w:ascii="Times New Roman" w:hAnsi="Times New Roman"/>
            <w:szCs w:val="24"/>
          </w:rPr>
          <w:t>海滩</w:t>
        </w:r>
      </w:hyperlink>
      <w:r>
        <w:rPr>
          <w:rFonts w:ascii="Times New Roman" w:hAnsi="Times New Roman"/>
          <w:szCs w:val="24"/>
        </w:rPr>
        <w:t>及河口地带。有时甚至出现在农田</w:t>
      </w:r>
      <w:hyperlink r:id="rId238" w:tgtFrame="_blank" w:history="1">
        <w:r>
          <w:rPr>
            <w:rFonts w:ascii="Times New Roman" w:hAnsi="Times New Roman"/>
            <w:szCs w:val="24"/>
          </w:rPr>
          <w:t>原野</w:t>
        </w:r>
      </w:hyperlink>
      <w:r>
        <w:rPr>
          <w:rFonts w:ascii="Times New Roman" w:hAnsi="Times New Roman"/>
          <w:szCs w:val="24"/>
        </w:rPr>
        <w:t>。</w:t>
      </w:r>
    </w:p>
    <w:p w14:paraId="1FC3EE5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生活习性：</w:t>
      </w:r>
      <w:r>
        <w:rPr>
          <w:rFonts w:ascii="Times New Roman" w:hAnsi="Times New Roman"/>
          <w:szCs w:val="24"/>
        </w:rPr>
        <w:t>性喜集群，除繁殖期外常呈小群或家族群活动。有时也和大天鹅在一起混群，行动极为小心谨慎，常常远远的离开人群和其他危险物。在水中游泳和栖息时，也常在距离岸边较远的地方。性活泼，游泳时颈部垂直竖立。鸣声高而清脆，常常显得有些嘈杂。主要以水生植物的叶、根、茎和种子等为食，也吃少量螺类、软体动物、水生昆虫和其他小型水生动物，有时还吃农作物的种子、幼苗和粮食。常呈小群或家族群觅食，觅食之前常先有一对不断地在觅食地点的上空盘旋侦察，确认没有危险的时候才去觅食，觅食期间还不时地伸长颈部观察四周，行动极为谨慎小心。</w:t>
      </w:r>
      <w:r>
        <w:rPr>
          <w:rFonts w:ascii="Times New Roman" w:hAnsi="Times New Roman"/>
          <w:szCs w:val="24"/>
        </w:rPr>
        <w:t>8</w:t>
      </w:r>
      <w:r>
        <w:rPr>
          <w:rFonts w:ascii="Times New Roman" w:hAnsi="Times New Roman"/>
          <w:szCs w:val="24"/>
        </w:rPr>
        <w:t>月末</w:t>
      </w:r>
      <w:r>
        <w:rPr>
          <w:rFonts w:ascii="Times New Roman" w:hAnsi="Times New Roman"/>
          <w:szCs w:val="24"/>
        </w:rPr>
        <w:t>9</w:t>
      </w:r>
      <w:r>
        <w:rPr>
          <w:rFonts w:ascii="Times New Roman" w:hAnsi="Times New Roman"/>
          <w:szCs w:val="24"/>
        </w:rPr>
        <w:t>月初离开繁殖地前往越冬地，翌年</w:t>
      </w:r>
      <w:r>
        <w:rPr>
          <w:rFonts w:ascii="Times New Roman" w:hAnsi="Times New Roman"/>
          <w:szCs w:val="24"/>
        </w:rPr>
        <w:t>3</w:t>
      </w:r>
      <w:r>
        <w:rPr>
          <w:rFonts w:ascii="Times New Roman" w:hAnsi="Times New Roman"/>
          <w:szCs w:val="24"/>
        </w:rPr>
        <w:t>月中下旬从越冬地迁往繁殖地。通常成</w:t>
      </w:r>
      <w:r>
        <w:rPr>
          <w:rFonts w:ascii="Times New Roman" w:hAnsi="Times New Roman"/>
          <w:szCs w:val="24"/>
        </w:rPr>
        <w:t>6~10</w:t>
      </w:r>
      <w:r>
        <w:rPr>
          <w:rFonts w:ascii="Times New Roman" w:hAnsi="Times New Roman"/>
          <w:szCs w:val="24"/>
        </w:rPr>
        <w:t>余只的小群或家族群迁徙。迁徙是逐步进行的，沿途常在富有食物的湖泊地区停息，有时甚至直到天变冷后才逐渐南迁，因此到达我国南部越冬地的时间多在</w:t>
      </w:r>
      <w:r>
        <w:rPr>
          <w:rFonts w:ascii="Times New Roman" w:hAnsi="Times New Roman"/>
          <w:szCs w:val="24"/>
        </w:rPr>
        <w:t>11</w:t>
      </w:r>
      <w:r>
        <w:rPr>
          <w:rFonts w:ascii="Times New Roman" w:hAnsi="Times New Roman"/>
          <w:szCs w:val="24"/>
        </w:rPr>
        <w:t>月初至</w:t>
      </w:r>
      <w:r>
        <w:rPr>
          <w:rFonts w:ascii="Times New Roman" w:hAnsi="Times New Roman"/>
          <w:szCs w:val="24"/>
        </w:rPr>
        <w:t>11</w:t>
      </w:r>
      <w:r>
        <w:rPr>
          <w:rFonts w:ascii="Times New Roman" w:hAnsi="Times New Roman"/>
          <w:szCs w:val="24"/>
        </w:rPr>
        <w:t>月中下旬。到达繁殖地的时间通常在</w:t>
      </w:r>
      <w:r>
        <w:rPr>
          <w:rFonts w:ascii="Times New Roman" w:hAnsi="Times New Roman"/>
          <w:szCs w:val="24"/>
        </w:rPr>
        <w:t>5</w:t>
      </w:r>
      <w:r>
        <w:rPr>
          <w:rFonts w:ascii="Times New Roman" w:hAnsi="Times New Roman"/>
          <w:szCs w:val="24"/>
        </w:rPr>
        <w:t>月末至</w:t>
      </w:r>
      <w:r>
        <w:rPr>
          <w:rFonts w:ascii="Times New Roman" w:hAnsi="Times New Roman"/>
          <w:szCs w:val="24"/>
        </w:rPr>
        <w:t>6</w:t>
      </w:r>
      <w:r>
        <w:rPr>
          <w:rFonts w:ascii="Times New Roman" w:hAnsi="Times New Roman"/>
          <w:szCs w:val="24"/>
        </w:rPr>
        <w:t>月初。</w:t>
      </w:r>
    </w:p>
    <w:p w14:paraId="3A9B493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7</w:t>
      </w:r>
      <w:r>
        <w:rPr>
          <w:rFonts w:ascii="Times New Roman" w:hAnsi="Times New Roman" w:hint="eastAsia"/>
          <w:szCs w:val="24"/>
        </w:rPr>
        <w:t>）鹅喉羚</w:t>
      </w:r>
    </w:p>
    <w:p w14:paraId="7253782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形态特征：</w:t>
      </w:r>
      <w:r>
        <w:rPr>
          <w:rFonts w:ascii="Times New Roman" w:hAnsi="Times New Roman"/>
          <w:szCs w:val="24"/>
        </w:rPr>
        <w:t>鹅喉羚属典型的荒漠、半荒漠区域生存的动物，体形似</w:t>
      </w:r>
      <w:hyperlink r:id="rId239" w:tgtFrame="_blank" w:history="1">
        <w:r>
          <w:rPr>
            <w:rFonts w:ascii="Times New Roman" w:hAnsi="Times New Roman"/>
            <w:szCs w:val="24"/>
          </w:rPr>
          <w:t>黄羊</w:t>
        </w:r>
      </w:hyperlink>
      <w:r>
        <w:rPr>
          <w:rFonts w:ascii="Times New Roman" w:hAnsi="Times New Roman"/>
          <w:szCs w:val="24"/>
        </w:rPr>
        <w:t>，因雄羚在发情期喉部肥大，状如鹅喉，故得名</w:t>
      </w:r>
      <w:r>
        <w:rPr>
          <w:rFonts w:ascii="Times New Roman" w:hAnsi="Times New Roman"/>
          <w:szCs w:val="24"/>
        </w:rPr>
        <w:t>“</w:t>
      </w:r>
      <w:r>
        <w:rPr>
          <w:rFonts w:ascii="Times New Roman" w:hAnsi="Times New Roman"/>
          <w:szCs w:val="24"/>
        </w:rPr>
        <w:t>鹅喉羚</w:t>
      </w:r>
      <w:r>
        <w:rPr>
          <w:rFonts w:ascii="Times New Roman" w:hAnsi="Times New Roman"/>
          <w:szCs w:val="24"/>
        </w:rPr>
        <w:t>”</w:t>
      </w:r>
      <w:r>
        <w:rPr>
          <w:rFonts w:ascii="Times New Roman" w:hAnsi="Times New Roman"/>
          <w:szCs w:val="24"/>
        </w:rPr>
        <w:t>。鹅喉羚颈细而长，雄兽颈下有甲状腺肿，形似鹅喉，故称鹅喉羚。上体毛色沙黄或棕黄，吻鼻部由上唇到眼平线白色，有的个体略染棕黄色调，额部、眼间至角基及枕部均棕灰，其间杂以少许黑毛，耳外面沙黄，下唇及喉中线亦为白色，而与胸部、腹部及四肢内侧之白色相连。</w:t>
      </w:r>
    </w:p>
    <w:p w14:paraId="07352F1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栖息环境：</w:t>
      </w:r>
      <w:r>
        <w:rPr>
          <w:rFonts w:ascii="Times New Roman" w:hAnsi="Times New Roman"/>
          <w:szCs w:val="24"/>
        </w:rPr>
        <w:t>鹅喉羚属于典型的荒漠和半荒漠地区的种类，栖息在海拔</w:t>
      </w:r>
      <w:r>
        <w:rPr>
          <w:rFonts w:ascii="Times New Roman" w:hAnsi="Times New Roman"/>
          <w:szCs w:val="24"/>
        </w:rPr>
        <w:t>300-6000</w:t>
      </w:r>
      <w:r>
        <w:rPr>
          <w:rFonts w:ascii="Times New Roman" w:hAnsi="Times New Roman"/>
          <w:szCs w:val="24"/>
        </w:rPr>
        <w:t>米之间的干燥荒凉的沙漠和半沙漠地区。</w:t>
      </w:r>
    </w:p>
    <w:p w14:paraId="1E5D0ED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生活习性：</w:t>
      </w:r>
      <w:r>
        <w:rPr>
          <w:rFonts w:ascii="Times New Roman" w:hAnsi="Times New Roman"/>
          <w:szCs w:val="24"/>
        </w:rPr>
        <w:t>鹅喉羚多白天活支常结成几只至几十只的小群活动动，善于奔跑马观花，以青草等植物为食</w:t>
      </w:r>
      <w:bookmarkStart w:id="136" w:name="ref_[4]_25219"/>
      <w:r>
        <w:rPr>
          <w:rFonts w:ascii="Times New Roman" w:hAnsi="Times New Roman" w:hint="eastAsia"/>
          <w:szCs w:val="24"/>
        </w:rPr>
        <w:t>。</w:t>
      </w:r>
      <w:r>
        <w:rPr>
          <w:rFonts w:ascii="Times New Roman" w:hAnsi="Times New Roman"/>
          <w:szCs w:val="24"/>
        </w:rPr>
        <w:t> </w:t>
      </w:r>
      <w:bookmarkEnd w:id="136"/>
      <w:r>
        <w:rPr>
          <w:rFonts w:ascii="Times New Roman" w:hAnsi="Times New Roman"/>
          <w:szCs w:val="24"/>
        </w:rPr>
        <w:t> </w:t>
      </w:r>
      <w:r>
        <w:rPr>
          <w:rFonts w:ascii="Times New Roman" w:hAnsi="Times New Roman"/>
          <w:szCs w:val="24"/>
        </w:rPr>
        <w:t>鹅喉羚共采食</w:t>
      </w:r>
      <w:r>
        <w:rPr>
          <w:rFonts w:ascii="Times New Roman" w:hAnsi="Times New Roman"/>
          <w:szCs w:val="24"/>
        </w:rPr>
        <w:t>16</w:t>
      </w:r>
      <w:r>
        <w:rPr>
          <w:rFonts w:ascii="Times New Roman" w:hAnsi="Times New Roman"/>
          <w:szCs w:val="24"/>
        </w:rPr>
        <w:t>科</w:t>
      </w:r>
      <w:r>
        <w:rPr>
          <w:rFonts w:ascii="Times New Roman" w:hAnsi="Times New Roman"/>
          <w:szCs w:val="24"/>
        </w:rPr>
        <w:t>47</w:t>
      </w:r>
      <w:r>
        <w:rPr>
          <w:rFonts w:ascii="Times New Roman" w:hAnsi="Times New Roman"/>
          <w:szCs w:val="24"/>
        </w:rPr>
        <w:t>种植物，不同季节间鹅喉羚食性有明显变化，秋季采食</w:t>
      </w:r>
      <w:r>
        <w:rPr>
          <w:rFonts w:ascii="Times New Roman" w:hAnsi="Times New Roman"/>
          <w:szCs w:val="24"/>
        </w:rPr>
        <w:t>7</w:t>
      </w:r>
      <w:r>
        <w:rPr>
          <w:rFonts w:ascii="Times New Roman" w:hAnsi="Times New Roman"/>
          <w:szCs w:val="24"/>
        </w:rPr>
        <w:t>科</w:t>
      </w:r>
      <w:r>
        <w:rPr>
          <w:rFonts w:ascii="Times New Roman" w:hAnsi="Times New Roman"/>
          <w:szCs w:val="24"/>
        </w:rPr>
        <w:t>24</w:t>
      </w:r>
      <w:r>
        <w:rPr>
          <w:rFonts w:ascii="Times New Roman" w:hAnsi="Times New Roman"/>
          <w:szCs w:val="24"/>
        </w:rPr>
        <w:t>种植物，冬季采食</w:t>
      </w:r>
      <w:r>
        <w:rPr>
          <w:rFonts w:ascii="Times New Roman" w:hAnsi="Times New Roman"/>
          <w:szCs w:val="24"/>
        </w:rPr>
        <w:t>6</w:t>
      </w:r>
      <w:r>
        <w:rPr>
          <w:rFonts w:ascii="Times New Roman" w:hAnsi="Times New Roman"/>
          <w:szCs w:val="24"/>
        </w:rPr>
        <w:t>科</w:t>
      </w:r>
      <w:r>
        <w:rPr>
          <w:rFonts w:ascii="Times New Roman" w:hAnsi="Times New Roman"/>
          <w:szCs w:val="24"/>
        </w:rPr>
        <w:t>17</w:t>
      </w:r>
      <w:r>
        <w:rPr>
          <w:rFonts w:ascii="Times New Roman" w:hAnsi="Times New Roman"/>
          <w:szCs w:val="24"/>
        </w:rPr>
        <w:t>种植物，春季采食</w:t>
      </w:r>
      <w:r>
        <w:rPr>
          <w:rFonts w:ascii="Times New Roman" w:hAnsi="Times New Roman"/>
          <w:szCs w:val="24"/>
        </w:rPr>
        <w:t>16</w:t>
      </w:r>
      <w:r>
        <w:rPr>
          <w:rFonts w:ascii="Times New Roman" w:hAnsi="Times New Roman"/>
          <w:szCs w:val="24"/>
        </w:rPr>
        <w:t>科</w:t>
      </w:r>
      <w:r>
        <w:rPr>
          <w:rFonts w:ascii="Times New Roman" w:hAnsi="Times New Roman"/>
          <w:szCs w:val="24"/>
        </w:rPr>
        <w:t>41</w:t>
      </w:r>
      <w:r>
        <w:rPr>
          <w:rFonts w:ascii="Times New Roman" w:hAnsi="Times New Roman"/>
          <w:szCs w:val="24"/>
        </w:rPr>
        <w:t>种植物，夏季采食</w:t>
      </w:r>
      <w:r>
        <w:rPr>
          <w:rFonts w:ascii="Times New Roman" w:hAnsi="Times New Roman"/>
          <w:szCs w:val="24"/>
        </w:rPr>
        <w:t>12</w:t>
      </w:r>
      <w:r>
        <w:rPr>
          <w:rFonts w:ascii="Times New Roman" w:hAnsi="Times New Roman"/>
          <w:szCs w:val="24"/>
        </w:rPr>
        <w:t>科</w:t>
      </w:r>
      <w:r>
        <w:rPr>
          <w:rFonts w:ascii="Times New Roman" w:hAnsi="Times New Roman"/>
          <w:szCs w:val="24"/>
        </w:rPr>
        <w:t>30</w:t>
      </w:r>
      <w:r>
        <w:rPr>
          <w:rFonts w:ascii="Times New Roman" w:hAnsi="Times New Roman"/>
          <w:szCs w:val="24"/>
        </w:rPr>
        <w:t>种植物，藜科、禾本科植物是鹅喉羚全年的主要食物来源，占鹅喉羚总采食量的</w:t>
      </w:r>
      <w:r>
        <w:rPr>
          <w:rFonts w:ascii="Times New Roman" w:hAnsi="Times New Roman"/>
          <w:szCs w:val="24"/>
        </w:rPr>
        <w:t>38.8-85.1%</w:t>
      </w:r>
      <w:r>
        <w:rPr>
          <w:rFonts w:ascii="Times New Roman" w:hAnsi="Times New Roman"/>
          <w:szCs w:val="24"/>
        </w:rPr>
        <w:t>，非禾本科草本植物也在鹅喉羚食物中占有重要地位；春季和夏季鹅喉羚采食较多的驼绒藜，秋季和冬季梭梭被较多采食。由于干旱胁迫，春季、夏季和秋季鹅喉羚吸食含水量较高的多葱根，粗枝猪毛菜等非禾本科草植物。冬季鹅喉羚与绵羊之间生态位宽度相近，食物重叠指数高达</w:t>
      </w:r>
      <w:r>
        <w:rPr>
          <w:rFonts w:ascii="Times New Roman" w:hAnsi="Times New Roman"/>
          <w:szCs w:val="24"/>
        </w:rPr>
        <w:t>76.6%</w:t>
      </w:r>
      <w:r>
        <w:rPr>
          <w:rFonts w:ascii="Times New Roman" w:hAnsi="Times New Roman"/>
          <w:szCs w:val="24"/>
        </w:rPr>
        <w:t>，绵羊与和喉羚之间食物竞争明显。</w:t>
      </w:r>
      <w:r>
        <w:rPr>
          <w:rFonts w:ascii="Times New Roman" w:hAnsi="Times New Roman"/>
          <w:szCs w:val="24"/>
        </w:rPr>
        <w:t> </w:t>
      </w:r>
      <w:r>
        <w:rPr>
          <w:rFonts w:ascii="Times New Roman" w:hAnsi="Times New Roman"/>
          <w:szCs w:val="24"/>
        </w:rPr>
        <w:t>鹅喉羚夏季主要选择半滩、下坡位，海拔</w:t>
      </w:r>
      <w:r>
        <w:rPr>
          <w:rFonts w:ascii="Times New Roman" w:hAnsi="Times New Roman"/>
          <w:szCs w:val="24"/>
        </w:rPr>
        <w:t>910m</w:t>
      </w:r>
      <w:r>
        <w:rPr>
          <w:rFonts w:ascii="Times New Roman" w:hAnsi="Times New Roman"/>
          <w:szCs w:val="24"/>
        </w:rPr>
        <w:t>以上、与水源距离较远、远离道路、远离居民点、高隐蔽级、中低植被密度和中高草本密度的区域作为卧息地，而冬季鹅喉羚主要选择山坡、阳坡和半阴半阳坡、中上坡位和下坡位、</w:t>
      </w:r>
      <w:r>
        <w:rPr>
          <w:rFonts w:ascii="Times New Roman" w:hAnsi="Times New Roman"/>
          <w:szCs w:val="24"/>
        </w:rPr>
        <w:t>900-1000m</w:t>
      </w:r>
      <w:r>
        <w:rPr>
          <w:rFonts w:ascii="Times New Roman" w:hAnsi="Times New Roman"/>
          <w:szCs w:val="24"/>
        </w:rPr>
        <w:t>的高度范围、离道路大于</w:t>
      </w:r>
      <w:r>
        <w:rPr>
          <w:rFonts w:ascii="Times New Roman" w:hAnsi="Times New Roman"/>
          <w:szCs w:val="24"/>
        </w:rPr>
        <w:t>2000m</w:t>
      </w:r>
      <w:r>
        <w:rPr>
          <w:rFonts w:ascii="Times New Roman" w:hAnsi="Times New Roman"/>
          <w:szCs w:val="24"/>
        </w:rPr>
        <w:t>的距离、靠近居民点、中低隐蔽级、中等雪深</w:t>
      </w:r>
      <w:r>
        <w:rPr>
          <w:rFonts w:ascii="Times New Roman" w:hAnsi="Times New Roman"/>
          <w:szCs w:val="24"/>
        </w:rPr>
        <w:t>1cm-3cm</w:t>
      </w:r>
      <w:r>
        <w:rPr>
          <w:rFonts w:ascii="Times New Roman" w:hAnsi="Times New Roman"/>
          <w:szCs w:val="24"/>
        </w:rPr>
        <w:t>、中高植被密度和中高草本密度的区域作为卧息地。</w:t>
      </w:r>
    </w:p>
    <w:p w14:paraId="730EA3B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8</w:t>
      </w:r>
      <w:r>
        <w:rPr>
          <w:rFonts w:ascii="Times New Roman" w:hAnsi="Times New Roman" w:hint="eastAsia"/>
          <w:szCs w:val="24"/>
        </w:rPr>
        <w:t>）兔狲</w:t>
      </w:r>
    </w:p>
    <w:p w14:paraId="13AAC4D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形态特征：</w:t>
      </w:r>
      <w:r>
        <w:rPr>
          <w:rFonts w:ascii="Times New Roman" w:hAnsi="Times New Roman"/>
          <w:szCs w:val="24"/>
        </w:rPr>
        <w:t>兔狲体重</w:t>
      </w:r>
      <w:r>
        <w:rPr>
          <w:rFonts w:ascii="Times New Roman" w:hAnsi="Times New Roman"/>
          <w:szCs w:val="24"/>
        </w:rPr>
        <w:t>2</w:t>
      </w:r>
      <w:r>
        <w:rPr>
          <w:rFonts w:ascii="Times New Roman" w:hAnsi="Times New Roman"/>
          <w:szCs w:val="24"/>
        </w:rPr>
        <w:t>千克，体长</w:t>
      </w:r>
      <w:r>
        <w:rPr>
          <w:rFonts w:ascii="Times New Roman" w:hAnsi="Times New Roman"/>
          <w:szCs w:val="24"/>
        </w:rPr>
        <w:t>50-65</w:t>
      </w:r>
      <w:r>
        <w:rPr>
          <w:rFonts w:ascii="Times New Roman" w:hAnsi="Times New Roman"/>
          <w:szCs w:val="24"/>
        </w:rPr>
        <w:t>厘米。体形粗壮而短，大小似家猫。兔狲的额部较宽，吻部很短，瞳孔为淡绿色，收缩时呈圆形，但上下方有小的裂隙，呈圆纺锤形。耳短宽，耳尖圆钝，两耳距离较远，耳背为红灰色。全身被毛极密而软，绒毛丰厚，尤其是腹部的毛很长，为背毛长度的一倍多。背中线棕黑色，体后部有较多隐暗的黑色细横放，头部灰色，带有一些黑斑，眼内角白色，颊部有两个细黑纹，下颌黄白色，体腹面乳白色，颈下方和前肢之间浅褐色，四肢颜色较背部稍淡，亦有</w:t>
      </w:r>
      <w:r>
        <w:rPr>
          <w:rFonts w:ascii="Times New Roman" w:hAnsi="Times New Roman"/>
          <w:szCs w:val="24"/>
        </w:rPr>
        <w:t>2</w:t>
      </w:r>
      <w:r>
        <w:rPr>
          <w:rFonts w:ascii="Times New Roman" w:hAnsi="Times New Roman"/>
          <w:szCs w:val="24"/>
        </w:rPr>
        <w:t>、</w:t>
      </w:r>
      <w:r>
        <w:rPr>
          <w:rFonts w:ascii="Times New Roman" w:hAnsi="Times New Roman"/>
          <w:szCs w:val="24"/>
        </w:rPr>
        <w:t>3</w:t>
      </w:r>
      <w:r>
        <w:rPr>
          <w:rFonts w:ascii="Times New Roman" w:hAnsi="Times New Roman"/>
          <w:szCs w:val="24"/>
        </w:rPr>
        <w:t>条短而模糊的黑色横放，尾巴粗圆，长度约为</w:t>
      </w:r>
      <w:r>
        <w:rPr>
          <w:rFonts w:ascii="Times New Roman" w:hAnsi="Times New Roman"/>
          <w:szCs w:val="24"/>
        </w:rPr>
        <w:t>20-30</w:t>
      </w:r>
      <w:r>
        <w:rPr>
          <w:rFonts w:ascii="Times New Roman" w:hAnsi="Times New Roman"/>
          <w:szCs w:val="24"/>
        </w:rPr>
        <w:t>厘米，上面有明显的</w:t>
      </w:r>
      <w:r>
        <w:rPr>
          <w:rFonts w:ascii="Times New Roman" w:hAnsi="Times New Roman"/>
          <w:szCs w:val="24"/>
        </w:rPr>
        <w:t xml:space="preserve"> 6-8</w:t>
      </w:r>
      <w:r>
        <w:rPr>
          <w:rFonts w:ascii="Times New Roman" w:hAnsi="Times New Roman"/>
          <w:szCs w:val="24"/>
        </w:rPr>
        <w:t>条黑色的环细纹，尾巴的尖端长毛为黑色。幼仔身上横纹显着，比较宽而长，尾上有</w:t>
      </w:r>
      <w:r>
        <w:rPr>
          <w:rFonts w:ascii="Times New Roman" w:hAnsi="Times New Roman"/>
          <w:szCs w:val="24"/>
        </w:rPr>
        <w:t>6</w:t>
      </w:r>
      <w:r>
        <w:rPr>
          <w:rFonts w:ascii="Times New Roman" w:hAnsi="Times New Roman"/>
          <w:szCs w:val="24"/>
        </w:rPr>
        <w:t>条纹。</w:t>
      </w:r>
    </w:p>
    <w:p w14:paraId="194E82F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栖息环境：</w:t>
      </w:r>
      <w:r>
        <w:rPr>
          <w:rFonts w:ascii="Times New Roman" w:hAnsi="Times New Roman"/>
          <w:szCs w:val="24"/>
        </w:rPr>
        <w:t>栖息于灌丛草原、荒漠草原、荒漠与戈壁，亦能生活在林中、丘陵及山地。在上述生境的岩石缝隙或石洞居住</w:t>
      </w:r>
      <w:r>
        <w:rPr>
          <w:rFonts w:ascii="Times New Roman" w:hAnsi="Times New Roman" w:hint="eastAsia"/>
          <w:szCs w:val="24"/>
        </w:rPr>
        <w:t>。</w:t>
      </w:r>
      <w:r>
        <w:rPr>
          <w:rFonts w:ascii="Times New Roman" w:hAnsi="Times New Roman"/>
          <w:szCs w:val="24"/>
        </w:rPr>
        <w:t>能适应寒冷、贫瘠的环境，常单独栖居于岩石缝里或利用旱獭的洞穴。巢穴通路弯曲，深度一般在</w:t>
      </w:r>
      <w:r>
        <w:rPr>
          <w:rFonts w:ascii="Times New Roman" w:hAnsi="Times New Roman"/>
          <w:szCs w:val="24"/>
        </w:rPr>
        <w:t>2</w:t>
      </w:r>
      <w:r>
        <w:rPr>
          <w:rFonts w:ascii="Times New Roman" w:hAnsi="Times New Roman"/>
          <w:szCs w:val="24"/>
        </w:rPr>
        <w:t>米以上。属夜行性动物，但晨昏活动频繁，多在黄昏开始活动和猎食。冬季食物缺乏时白天也出来觅食，或移居村落附近。视觉和听觉发达，遇危险时则迅速逃窜或隐蔽在临时的土洞中。腹部的长毛和绒毛具有很好的保暖作用，有利于长时间地伏卧在冻土地或雪地上，伺机捕猎。叫声似家猫，但较粗野。主要以鼠类为食，也吃野兔、鼠兔、沙鸡等。以野禽、旱獭和各种鼠类为食。</w:t>
      </w:r>
    </w:p>
    <w:p w14:paraId="7401FD5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szCs w:val="24"/>
        </w:rPr>
        <w:t>本区野生动物区系具有荒漠草原动物的特征，野生动物主要为荒漠草原动物。</w:t>
      </w:r>
      <w:r>
        <w:rPr>
          <w:rFonts w:hint="eastAsia"/>
          <w:szCs w:val="21"/>
        </w:rPr>
        <w:t>由于横城矿区开发历史久远，时间跨度长，</w:t>
      </w:r>
      <w:r>
        <w:rPr>
          <w:rFonts w:ascii="Times New Roman" w:hAnsi="Times New Roman" w:hint="eastAsia"/>
          <w:szCs w:val="24"/>
        </w:rPr>
        <w:t>评价区内及周边近年来工业开发</w:t>
      </w:r>
      <w:r>
        <w:rPr>
          <w:rFonts w:ascii="Times New Roman" w:hAnsi="Times New Roman"/>
          <w:szCs w:val="24"/>
        </w:rPr>
        <w:t>程度</w:t>
      </w:r>
      <w:r>
        <w:rPr>
          <w:rFonts w:ascii="Times New Roman" w:hAnsi="Times New Roman" w:hint="eastAsia"/>
          <w:szCs w:val="24"/>
        </w:rPr>
        <w:t>较</w:t>
      </w:r>
      <w:r>
        <w:rPr>
          <w:rFonts w:ascii="Times New Roman" w:hAnsi="Times New Roman"/>
          <w:szCs w:val="24"/>
        </w:rPr>
        <w:t>高，</w:t>
      </w:r>
      <w:r>
        <w:rPr>
          <w:rFonts w:ascii="Times New Roman" w:hAnsi="Times New Roman" w:hint="eastAsia"/>
          <w:szCs w:val="24"/>
        </w:rPr>
        <w:t>人类活动频繁，</w:t>
      </w:r>
      <w:r>
        <w:rPr>
          <w:rFonts w:hint="eastAsia"/>
          <w:szCs w:val="21"/>
        </w:rPr>
        <w:t>并且矿区内线性工程广布，野生动物原活动范围被切割，生境破碎化严重，</w:t>
      </w:r>
      <w:r>
        <w:rPr>
          <w:rFonts w:ascii="Times New Roman" w:hAnsi="Times New Roman"/>
          <w:szCs w:val="24"/>
        </w:rPr>
        <w:t>适宜野生动物栖息环境有限，所以它们往往退缩在白芨滩国家级自然保护区</w:t>
      </w:r>
      <w:r>
        <w:rPr>
          <w:rFonts w:ascii="Times New Roman" w:hAnsi="Times New Roman" w:hint="eastAsia"/>
          <w:szCs w:val="24"/>
        </w:rPr>
        <w:t>的核心区内</w:t>
      </w:r>
      <w:r>
        <w:rPr>
          <w:rFonts w:ascii="Times New Roman" w:hAnsi="Times New Roman"/>
          <w:szCs w:val="24"/>
        </w:rPr>
        <w:t>。经走访调查，评价区内未发现《国家重点保护野生动物名录》中的保护动物</w:t>
      </w:r>
      <w:r>
        <w:rPr>
          <w:rFonts w:ascii="Times New Roman" w:hAnsi="Times New Roman" w:hint="eastAsia"/>
          <w:szCs w:val="24"/>
        </w:rPr>
        <w:t>，</w:t>
      </w:r>
      <w:r>
        <w:rPr>
          <w:rFonts w:ascii="Times New Roman" w:hAnsi="Times New Roman"/>
          <w:szCs w:val="24"/>
        </w:rPr>
        <w:t>只有小型哺乳动物、爬行类动物和鸟类出没，优势种为达乌</w:t>
      </w:r>
      <w:r>
        <w:rPr>
          <w:rFonts w:ascii="Times New Roman" w:hAnsi="Times New Roman" w:hint="eastAsia"/>
          <w:szCs w:val="24"/>
        </w:rPr>
        <w:t>里</w:t>
      </w:r>
      <w:r>
        <w:rPr>
          <w:rFonts w:ascii="Times New Roman" w:hAnsi="Times New Roman"/>
          <w:szCs w:val="24"/>
        </w:rPr>
        <w:t>黄鼠、</w:t>
      </w:r>
      <w:r>
        <w:rPr>
          <w:rFonts w:ascii="Times New Roman" w:hAnsi="Times New Roman" w:hint="eastAsia"/>
          <w:szCs w:val="24"/>
        </w:rPr>
        <w:t>五趾跳鼠</w:t>
      </w:r>
      <w:r>
        <w:rPr>
          <w:rFonts w:ascii="Times New Roman" w:hAnsi="Times New Roman"/>
          <w:szCs w:val="24"/>
        </w:rPr>
        <w:t>等</w:t>
      </w:r>
      <w:r>
        <w:rPr>
          <w:rFonts w:ascii="Times New Roman" w:hAnsi="Times New Roman" w:hint="eastAsia"/>
          <w:szCs w:val="24"/>
        </w:rPr>
        <w:t>，</w:t>
      </w:r>
      <w:r>
        <w:rPr>
          <w:rFonts w:ascii="Times New Roman" w:hAnsi="Times New Roman"/>
          <w:szCs w:val="24"/>
        </w:rPr>
        <w:t>这些野生动物均为广布种。</w:t>
      </w:r>
    </w:p>
    <w:p w14:paraId="0B5FD4E3"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rPr>
        <w:t xml:space="preserve">3.4.7 </w:t>
      </w:r>
      <w:r>
        <w:rPr>
          <w:rFonts w:ascii="Times New Roman" w:hAnsi="Times New Roman"/>
        </w:rPr>
        <w:t>土壤现状评价</w:t>
      </w:r>
    </w:p>
    <w:p w14:paraId="7676AE7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土壤类型受地形、地貌、成土母质、气候、植被等因素的影响</w:t>
      </w:r>
      <w:r>
        <w:rPr>
          <w:rFonts w:ascii="Times New Roman" w:hAnsi="Times New Roman" w:hint="eastAsia"/>
          <w:szCs w:val="24"/>
        </w:rPr>
        <w:t>，</w:t>
      </w:r>
      <w:r>
        <w:rPr>
          <w:rFonts w:ascii="Times New Roman" w:hAnsi="Times New Roman"/>
          <w:szCs w:val="24"/>
        </w:rPr>
        <w:t>由于</w:t>
      </w:r>
      <w:r>
        <w:rPr>
          <w:rFonts w:ascii="Times New Roman" w:hAnsi="Times New Roman" w:hint="eastAsia"/>
          <w:szCs w:val="24"/>
        </w:rPr>
        <w:t>评价区</w:t>
      </w:r>
      <w:r>
        <w:rPr>
          <w:rFonts w:ascii="Times New Roman" w:hAnsi="Times New Roman"/>
          <w:szCs w:val="24"/>
        </w:rPr>
        <w:t>内海拔差距不大，地形较以丘陵缓坡和平地为主，故土壤类型主要为水平分布。根据《中国土壤分类与代码》</w:t>
      </w:r>
      <w:r>
        <w:rPr>
          <w:rFonts w:ascii="Times New Roman" w:hAnsi="Times New Roman"/>
          <w:szCs w:val="24"/>
        </w:rPr>
        <w:t>(GB/T17296-2009)</w:t>
      </w:r>
      <w:r>
        <w:rPr>
          <w:rFonts w:ascii="Times New Roman" w:hAnsi="Times New Roman"/>
          <w:szCs w:val="24"/>
        </w:rPr>
        <w:t>，结合宁夏灵武的土壤资源普查结果，</w:t>
      </w:r>
      <w:r>
        <w:rPr>
          <w:rFonts w:ascii="Times New Roman" w:hAnsi="Times New Roman" w:hint="eastAsia"/>
          <w:szCs w:val="24"/>
        </w:rPr>
        <w:t>评价区分布的土壤类型主要为灰钙土和风沙土，还分布有小面积的潮土。</w:t>
      </w:r>
    </w:p>
    <w:p w14:paraId="420F758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）灰钙土</w:t>
      </w:r>
    </w:p>
    <w:p w14:paraId="661B95E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灰钙土是由黄土母质形成的土壤，其分布与漠境土壤灰漠土和风沙土相接。灰钙土成土过程仍以腐殖质累积和钙化过程为主，但具有漠境土壤形成过程的某些特点。土壤腐殖质的积累也比较弱，含量最多的表土层不过</w:t>
      </w:r>
      <w:r>
        <w:rPr>
          <w:rFonts w:ascii="Times New Roman" w:hAnsi="Times New Roman"/>
          <w:szCs w:val="24"/>
        </w:rPr>
        <w:t>0.5</w:t>
      </w:r>
      <w:r>
        <w:rPr>
          <w:rFonts w:ascii="Times New Roman" w:hAnsi="Times New Roman" w:hint="eastAsia"/>
          <w:szCs w:val="24"/>
        </w:rPr>
        <w:t>～</w:t>
      </w:r>
      <w:r>
        <w:rPr>
          <w:rFonts w:ascii="Times New Roman" w:hAnsi="Times New Roman"/>
          <w:szCs w:val="24"/>
        </w:rPr>
        <w:t>3</w:t>
      </w:r>
      <w:r>
        <w:rPr>
          <w:rFonts w:ascii="Times New Roman" w:hAnsi="Times New Roman" w:hint="eastAsia"/>
          <w:szCs w:val="24"/>
        </w:rPr>
        <w:t>％之间。灰钙土剖面层次分化比较微弱，这是它与其它钙层土的主要区别，几乎看不到白色钙积层。通常只在</w:t>
      </w:r>
      <w:r>
        <w:rPr>
          <w:rFonts w:ascii="Times New Roman" w:hAnsi="Times New Roman"/>
          <w:szCs w:val="24"/>
        </w:rPr>
        <w:t>15</w:t>
      </w:r>
      <w:r>
        <w:rPr>
          <w:rFonts w:ascii="Times New Roman" w:hAnsi="Times New Roman" w:hint="eastAsia"/>
          <w:szCs w:val="24"/>
        </w:rPr>
        <w:t>～</w:t>
      </w:r>
      <w:r>
        <w:rPr>
          <w:rFonts w:ascii="Times New Roman" w:hAnsi="Times New Roman"/>
          <w:szCs w:val="24"/>
        </w:rPr>
        <w:t>30</w:t>
      </w:r>
      <w:r>
        <w:rPr>
          <w:rFonts w:ascii="Times New Roman" w:hAnsi="Times New Roman" w:hint="eastAsia"/>
          <w:szCs w:val="24"/>
        </w:rPr>
        <w:t>cm</w:t>
      </w:r>
      <w:r>
        <w:rPr>
          <w:rFonts w:ascii="Times New Roman" w:hAnsi="Times New Roman" w:hint="eastAsia"/>
          <w:szCs w:val="24"/>
        </w:rPr>
        <w:t>以下见到一些像菌丝或点状的白色碳酸钙斑点，厚度</w:t>
      </w:r>
      <w:r>
        <w:rPr>
          <w:rFonts w:ascii="Times New Roman" w:hAnsi="Times New Roman"/>
          <w:szCs w:val="24"/>
        </w:rPr>
        <w:t>20</w:t>
      </w:r>
      <w:r>
        <w:rPr>
          <w:rFonts w:ascii="Times New Roman" w:hAnsi="Times New Roman" w:hint="eastAsia"/>
          <w:szCs w:val="24"/>
        </w:rPr>
        <w:t>～</w:t>
      </w:r>
      <w:r>
        <w:rPr>
          <w:rFonts w:ascii="Times New Roman" w:hAnsi="Times New Roman"/>
          <w:szCs w:val="24"/>
        </w:rPr>
        <w:t>30cm</w:t>
      </w:r>
      <w:r>
        <w:rPr>
          <w:rFonts w:ascii="Times New Roman" w:hAnsi="Times New Roman" w:hint="eastAsia"/>
          <w:szCs w:val="24"/>
        </w:rPr>
        <w:t>左右，含碳酸钙</w:t>
      </w:r>
      <w:r>
        <w:rPr>
          <w:rFonts w:ascii="Times New Roman" w:hAnsi="Times New Roman"/>
          <w:szCs w:val="24"/>
        </w:rPr>
        <w:t>12</w:t>
      </w:r>
      <w:r>
        <w:rPr>
          <w:rFonts w:ascii="Times New Roman" w:hAnsi="Times New Roman" w:hint="eastAsia"/>
          <w:szCs w:val="24"/>
        </w:rPr>
        <w:t>～</w:t>
      </w:r>
      <w:r>
        <w:rPr>
          <w:rFonts w:ascii="Times New Roman" w:hAnsi="Times New Roman"/>
          <w:szCs w:val="24"/>
        </w:rPr>
        <w:t>25</w:t>
      </w:r>
      <w:r>
        <w:rPr>
          <w:rFonts w:ascii="Times New Roman" w:hAnsi="Times New Roman" w:hint="eastAsia"/>
          <w:szCs w:val="24"/>
        </w:rPr>
        <w:t>％，这也是它不同于其它钙层土的地方。石膏和盐分不像棕钙土那样普遍，出现的部位也深一些，多数在</w:t>
      </w:r>
      <w:r>
        <w:rPr>
          <w:rFonts w:ascii="Times New Roman" w:hAnsi="Times New Roman"/>
          <w:szCs w:val="24"/>
        </w:rPr>
        <w:t>90cm</w:t>
      </w:r>
      <w:r>
        <w:rPr>
          <w:rFonts w:ascii="Times New Roman" w:hAnsi="Times New Roman" w:hint="eastAsia"/>
          <w:szCs w:val="24"/>
        </w:rPr>
        <w:t>以下才能见到。石膏含量</w:t>
      </w:r>
      <w:r>
        <w:rPr>
          <w:rFonts w:ascii="Times New Roman" w:hAnsi="Times New Roman"/>
          <w:szCs w:val="24"/>
        </w:rPr>
        <w:t>6</w:t>
      </w:r>
      <w:r>
        <w:rPr>
          <w:rFonts w:ascii="Times New Roman" w:hAnsi="Times New Roman" w:hint="eastAsia"/>
          <w:szCs w:val="24"/>
        </w:rPr>
        <w:t>％左右，易溶盐为</w:t>
      </w:r>
      <w:r>
        <w:rPr>
          <w:rFonts w:ascii="Times New Roman" w:hAnsi="Times New Roman"/>
          <w:szCs w:val="24"/>
        </w:rPr>
        <w:t>1</w:t>
      </w:r>
      <w:r>
        <w:rPr>
          <w:rFonts w:ascii="Times New Roman" w:hAnsi="Times New Roman" w:hint="eastAsia"/>
          <w:szCs w:val="24"/>
        </w:rPr>
        <w:t>～</w:t>
      </w:r>
      <w:r>
        <w:rPr>
          <w:rFonts w:ascii="Times New Roman" w:hAnsi="Times New Roman"/>
          <w:szCs w:val="24"/>
        </w:rPr>
        <w:t>2</w:t>
      </w:r>
      <w:r>
        <w:rPr>
          <w:rFonts w:ascii="Times New Roman" w:hAnsi="Times New Roman" w:hint="eastAsia"/>
          <w:szCs w:val="24"/>
        </w:rPr>
        <w:t>％，成分以硫酸盐为主，土壤也是碱性反应，</w:t>
      </w:r>
      <w:r>
        <w:rPr>
          <w:rFonts w:ascii="Times New Roman" w:hAnsi="Times New Roman"/>
          <w:szCs w:val="24"/>
        </w:rPr>
        <w:t>pH</w:t>
      </w:r>
      <w:r>
        <w:rPr>
          <w:rFonts w:ascii="Times New Roman" w:hAnsi="Times New Roman" w:hint="eastAsia"/>
          <w:szCs w:val="24"/>
        </w:rPr>
        <w:t>值</w:t>
      </w:r>
      <w:r>
        <w:rPr>
          <w:rFonts w:ascii="Times New Roman" w:hAnsi="Times New Roman"/>
          <w:szCs w:val="24"/>
        </w:rPr>
        <w:t>8.0</w:t>
      </w:r>
      <w:r>
        <w:rPr>
          <w:rFonts w:ascii="Times New Roman" w:hAnsi="Times New Roman" w:hint="eastAsia"/>
          <w:szCs w:val="24"/>
        </w:rPr>
        <w:t>～</w:t>
      </w:r>
      <w:r>
        <w:rPr>
          <w:rFonts w:ascii="Times New Roman" w:hAnsi="Times New Roman"/>
          <w:szCs w:val="24"/>
        </w:rPr>
        <w:t>9.5</w:t>
      </w:r>
      <w:r>
        <w:rPr>
          <w:rFonts w:ascii="Times New Roman" w:hAnsi="Times New Roman" w:hint="eastAsia"/>
          <w:szCs w:val="24"/>
        </w:rPr>
        <w:t>，少数也有碱化现象，</w:t>
      </w:r>
      <w:r>
        <w:rPr>
          <w:rFonts w:ascii="Times New Roman" w:hAnsi="Times New Roman"/>
          <w:szCs w:val="24"/>
        </w:rPr>
        <w:t>根据</w:t>
      </w:r>
      <w:r>
        <w:rPr>
          <w:rFonts w:ascii="Times New Roman" w:hAnsi="Times New Roman" w:hint="eastAsia"/>
          <w:szCs w:val="24"/>
        </w:rPr>
        <w:t>本次评价</w:t>
      </w:r>
      <w:r>
        <w:rPr>
          <w:rFonts w:ascii="Times New Roman" w:hAnsi="Times New Roman"/>
          <w:szCs w:val="24"/>
        </w:rPr>
        <w:t>监测结果</w:t>
      </w:r>
      <w:r>
        <w:rPr>
          <w:rFonts w:ascii="Times New Roman" w:hAnsi="Times New Roman" w:hint="eastAsia"/>
          <w:szCs w:val="24"/>
        </w:rPr>
        <w:t>，</w:t>
      </w:r>
      <w:r>
        <w:rPr>
          <w:rFonts w:ascii="Times New Roman" w:hAnsi="Times New Roman"/>
          <w:szCs w:val="24"/>
        </w:rPr>
        <w:t>矿区土壤有轻度碱化现象</w:t>
      </w:r>
      <w:r>
        <w:rPr>
          <w:rFonts w:ascii="Times New Roman" w:hAnsi="Times New Roman" w:hint="eastAsia"/>
          <w:szCs w:val="24"/>
        </w:rPr>
        <w:t>。但土壤质地以轻壤、中壤土为主。地面也有细小的裂缝和很薄的假结皮，上边生着较多黑色的地衣和藻类。灰钙土可分为盐化灰钙土、淡灰钙土与草甸灰钙土三亚类。灰钙土亚类具土类典型特征；淡灰钙土亚类较干旱，表土有机质含量</w:t>
      </w:r>
      <w:r>
        <w:rPr>
          <w:rFonts w:ascii="Times New Roman" w:hAnsi="Times New Roman"/>
          <w:szCs w:val="24"/>
        </w:rPr>
        <w:t>&lt;1%</w:t>
      </w:r>
      <w:r>
        <w:rPr>
          <w:rFonts w:ascii="Times New Roman" w:hAnsi="Times New Roman" w:hint="eastAsia"/>
          <w:szCs w:val="24"/>
        </w:rPr>
        <w:t>；草甸灰钙土亚类腐殖化作用强，底土有锈色斑纹；盐化灰钙土亚类盐分聚明显。</w:t>
      </w:r>
    </w:p>
    <w:p w14:paraId="4B538A8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）风沙土</w:t>
      </w:r>
    </w:p>
    <w:p w14:paraId="5EF71AD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评价区内风沙土为草原风沙土亚类，</w:t>
      </w:r>
      <w:r>
        <w:rPr>
          <w:rFonts w:ascii="Times New Roman" w:hAnsi="Times New Roman"/>
          <w:szCs w:val="24"/>
        </w:rPr>
        <w:t>通体多为壤质砂土，表层碎块状结构，母质层为单粒状结构，碳酸钙含量较低，土壤多呈中性至碱性反应，养分含量较低。</w:t>
      </w:r>
      <w:r>
        <w:rPr>
          <w:rFonts w:ascii="Times New Roman" w:hAnsi="Times New Roman" w:hint="eastAsia"/>
          <w:szCs w:val="24"/>
        </w:rPr>
        <w:t>草原风沙土剖面</w:t>
      </w:r>
      <w:r>
        <w:rPr>
          <w:rFonts w:ascii="Times New Roman" w:hAnsi="Times New Roman"/>
          <w:szCs w:val="24"/>
        </w:rPr>
        <w:t>无明显的腐殖质层和淋溶淀积层，一般由薄而淡的腐殖质层和深厚的母质层组成，剖面构型为</w:t>
      </w:r>
      <w:r>
        <w:rPr>
          <w:rFonts w:ascii="Times New Roman" w:hAnsi="Times New Roman"/>
          <w:szCs w:val="24"/>
        </w:rPr>
        <w:t>A-C</w:t>
      </w:r>
      <w:r>
        <w:rPr>
          <w:rFonts w:ascii="Times New Roman" w:hAnsi="Times New Roman"/>
          <w:szCs w:val="24"/>
        </w:rPr>
        <w:t>或</w:t>
      </w:r>
      <w:r>
        <w:rPr>
          <w:rFonts w:ascii="Times New Roman" w:hAnsi="Times New Roman"/>
          <w:szCs w:val="24"/>
        </w:rPr>
        <w:t>C</w:t>
      </w:r>
      <w:r>
        <w:rPr>
          <w:rFonts w:ascii="Times New Roman" w:hAnsi="Times New Roman"/>
          <w:szCs w:val="24"/>
        </w:rPr>
        <w:t>型。流动阶段土壤剖面分异不明显，呈灰黄色或淡黄色，单粒状结构。固定和半固定阶段的土壤剖面层次有微弱的分化，腐殖质层（</w:t>
      </w:r>
      <w:r>
        <w:rPr>
          <w:rFonts w:ascii="Times New Roman" w:hAnsi="Times New Roman"/>
          <w:szCs w:val="24"/>
        </w:rPr>
        <w:t>A</w:t>
      </w:r>
      <w:r>
        <w:rPr>
          <w:rFonts w:ascii="Times New Roman" w:hAnsi="Times New Roman"/>
          <w:szCs w:val="24"/>
        </w:rPr>
        <w:t>）厚</w:t>
      </w:r>
      <w:r>
        <w:rPr>
          <w:rFonts w:ascii="Times New Roman" w:hAnsi="Times New Roman"/>
          <w:szCs w:val="24"/>
        </w:rPr>
        <w:t>10</w:t>
      </w:r>
      <w:r>
        <w:rPr>
          <w:rFonts w:ascii="Times New Roman" w:hAnsi="Times New Roman"/>
          <w:szCs w:val="24"/>
        </w:rPr>
        <w:t>到</w:t>
      </w:r>
      <w:r>
        <w:rPr>
          <w:rFonts w:ascii="Times New Roman" w:hAnsi="Times New Roman"/>
          <w:szCs w:val="24"/>
        </w:rPr>
        <w:t>30</w:t>
      </w:r>
      <w:r>
        <w:rPr>
          <w:rFonts w:ascii="Times New Roman" w:hAnsi="Times New Roman"/>
          <w:szCs w:val="24"/>
        </w:rPr>
        <w:t>厘米，地表有厚</w:t>
      </w:r>
      <w:r>
        <w:rPr>
          <w:rFonts w:ascii="Times New Roman" w:hAnsi="Times New Roman"/>
          <w:szCs w:val="24"/>
        </w:rPr>
        <w:t>0.1</w:t>
      </w:r>
      <w:r>
        <w:rPr>
          <w:rFonts w:ascii="Times New Roman" w:hAnsi="Times New Roman"/>
          <w:szCs w:val="24"/>
        </w:rPr>
        <w:t>毫米的褐色结皮层，棕色或灰棕色，弱块状结构。母质层（</w:t>
      </w:r>
      <w:r>
        <w:rPr>
          <w:rFonts w:ascii="Times New Roman" w:hAnsi="Times New Roman"/>
          <w:szCs w:val="24"/>
        </w:rPr>
        <w:t>C</w:t>
      </w:r>
      <w:r>
        <w:rPr>
          <w:rFonts w:ascii="Times New Roman" w:hAnsi="Times New Roman"/>
          <w:szCs w:val="24"/>
        </w:rPr>
        <w:t>）深厚，黄色。淡黄色或灰白色，单粒状结构。通体壤质砂土，无石灰反应，半数以上的沙丘已固定或半固定，土壤发育较荒漠风沙土为好，剖面发生分异，多为</w:t>
      </w:r>
      <w:r>
        <w:rPr>
          <w:rFonts w:ascii="Times New Roman" w:hAnsi="Times New Roman"/>
          <w:szCs w:val="24"/>
        </w:rPr>
        <w:t>A-C</w:t>
      </w:r>
      <w:r>
        <w:rPr>
          <w:rFonts w:ascii="Times New Roman" w:hAnsi="Times New Roman"/>
          <w:szCs w:val="24"/>
        </w:rPr>
        <w:t>型。</w:t>
      </w:r>
    </w:p>
    <w:p w14:paraId="48CC845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）潮土</w:t>
      </w:r>
    </w:p>
    <w:p w14:paraId="68FEC5B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评价区内潮土主要分布在河流两岸，土壤</w:t>
      </w:r>
      <w:r>
        <w:rPr>
          <w:rFonts w:ascii="Times New Roman" w:hAnsi="Times New Roman"/>
          <w:szCs w:val="24"/>
        </w:rPr>
        <w:t>剖面性状均匀。同一土壤剖面，颜色没有明显变异。</w:t>
      </w:r>
      <w:hyperlink r:id="rId240" w:tgtFrame="_blank" w:history="1">
        <w:r>
          <w:rPr>
            <w:rFonts w:ascii="Times New Roman" w:hAnsi="Times New Roman"/>
            <w:szCs w:val="24"/>
          </w:rPr>
          <w:t>土壤质地</w:t>
        </w:r>
      </w:hyperlink>
      <w:r>
        <w:rPr>
          <w:rFonts w:ascii="Times New Roman" w:hAnsi="Times New Roman"/>
          <w:szCs w:val="24"/>
        </w:rPr>
        <w:t>一般为壤质土，垂直方向的变化很小，上下两自然层次之间，粒级分选不明显。土壤有机质及</w:t>
      </w:r>
      <w:r>
        <w:rPr>
          <w:rFonts w:ascii="Times New Roman" w:hAnsi="Times New Roman"/>
          <w:szCs w:val="24"/>
        </w:rPr>
        <w:t>N</w:t>
      </w:r>
      <w:r>
        <w:rPr>
          <w:rFonts w:ascii="Times New Roman" w:hAnsi="Times New Roman"/>
          <w:szCs w:val="24"/>
        </w:rPr>
        <w:t>、</w:t>
      </w:r>
      <w:r>
        <w:rPr>
          <w:rFonts w:ascii="Times New Roman" w:hAnsi="Times New Roman"/>
          <w:szCs w:val="24"/>
        </w:rPr>
        <w:t>P</w:t>
      </w:r>
      <w:r>
        <w:rPr>
          <w:rFonts w:ascii="Times New Roman" w:hAnsi="Times New Roman"/>
          <w:szCs w:val="24"/>
        </w:rPr>
        <w:t>、</w:t>
      </w:r>
      <w:r>
        <w:rPr>
          <w:rFonts w:ascii="Times New Roman" w:hAnsi="Times New Roman"/>
          <w:szCs w:val="24"/>
        </w:rPr>
        <w:t>K</w:t>
      </w:r>
      <w:r>
        <w:rPr>
          <w:rFonts w:ascii="Times New Roman" w:hAnsi="Times New Roman"/>
          <w:szCs w:val="24"/>
        </w:rPr>
        <w:t>养分含量以耕层较高，平均值分别在</w:t>
      </w:r>
      <w:r>
        <w:rPr>
          <w:rFonts w:ascii="Times New Roman" w:hAnsi="Times New Roman"/>
          <w:szCs w:val="24"/>
        </w:rPr>
        <w:t>12g/kg</w:t>
      </w:r>
      <w:r>
        <w:rPr>
          <w:rFonts w:ascii="Times New Roman" w:hAnsi="Times New Roman"/>
          <w:szCs w:val="24"/>
        </w:rPr>
        <w:t>，</w:t>
      </w:r>
      <w:r>
        <w:rPr>
          <w:rFonts w:ascii="Times New Roman" w:hAnsi="Times New Roman"/>
          <w:szCs w:val="24"/>
        </w:rPr>
        <w:t>0</w:t>
      </w:r>
      <w:r>
        <w:rPr>
          <w:rFonts w:ascii="Times New Roman" w:hAnsi="Times New Roman"/>
          <w:szCs w:val="24"/>
        </w:rPr>
        <w:t>．</w:t>
      </w:r>
      <w:r>
        <w:rPr>
          <w:rFonts w:ascii="Times New Roman" w:hAnsi="Times New Roman"/>
          <w:szCs w:val="24"/>
        </w:rPr>
        <w:t>8g/kg</w:t>
      </w:r>
      <w:r>
        <w:rPr>
          <w:rFonts w:ascii="Times New Roman" w:hAnsi="Times New Roman"/>
          <w:szCs w:val="24"/>
        </w:rPr>
        <w:t>，</w:t>
      </w:r>
      <w:r>
        <w:rPr>
          <w:rFonts w:ascii="Times New Roman" w:hAnsi="Times New Roman"/>
          <w:szCs w:val="24"/>
        </w:rPr>
        <w:t>0</w:t>
      </w:r>
      <w:r>
        <w:rPr>
          <w:rFonts w:ascii="Times New Roman" w:hAnsi="Times New Roman" w:hint="eastAsia"/>
          <w:szCs w:val="24"/>
        </w:rPr>
        <w:t>.</w:t>
      </w:r>
      <w:r>
        <w:rPr>
          <w:rFonts w:ascii="Times New Roman" w:hAnsi="Times New Roman"/>
          <w:szCs w:val="24"/>
        </w:rPr>
        <w:t>7g/kg</w:t>
      </w:r>
      <w:r>
        <w:rPr>
          <w:rFonts w:ascii="Times New Roman" w:hAnsi="Times New Roman"/>
          <w:szCs w:val="24"/>
        </w:rPr>
        <w:t>及</w:t>
      </w:r>
      <w:r>
        <w:rPr>
          <w:rFonts w:ascii="Times New Roman" w:hAnsi="Times New Roman"/>
          <w:szCs w:val="24"/>
        </w:rPr>
        <w:t>18g/kg</w:t>
      </w:r>
      <w:r>
        <w:rPr>
          <w:rFonts w:ascii="Times New Roman" w:hAnsi="Times New Roman"/>
          <w:szCs w:val="24"/>
        </w:rPr>
        <w:t>左右；自灌淤耕层向下缓慢递减，相邻两自然层次之间，相差不超过</w:t>
      </w:r>
      <w:r>
        <w:rPr>
          <w:rFonts w:ascii="Times New Roman" w:hAnsi="Times New Roman"/>
          <w:szCs w:val="24"/>
        </w:rPr>
        <w:t>40%</w:t>
      </w:r>
      <w:r>
        <w:rPr>
          <w:rFonts w:ascii="Times New Roman" w:hAnsi="Times New Roman"/>
          <w:szCs w:val="24"/>
        </w:rPr>
        <w:t>；灌淤心土层有机质含量最低不小于</w:t>
      </w:r>
      <w:r>
        <w:rPr>
          <w:rFonts w:ascii="Times New Roman" w:hAnsi="Times New Roman"/>
          <w:szCs w:val="24"/>
        </w:rPr>
        <w:t>5g/kg</w:t>
      </w:r>
      <w:r>
        <w:rPr>
          <w:rFonts w:ascii="Times New Roman" w:hAnsi="Times New Roman"/>
          <w:szCs w:val="24"/>
        </w:rPr>
        <w:t>。</w:t>
      </w:r>
      <w:hyperlink r:id="rId241" w:tgtFrame="_blank" w:history="1">
        <w:r>
          <w:rPr>
            <w:rFonts w:ascii="Times New Roman" w:hAnsi="Times New Roman"/>
            <w:szCs w:val="24"/>
          </w:rPr>
          <w:t>碳酸钙</w:t>
        </w:r>
      </w:hyperlink>
      <w:r>
        <w:rPr>
          <w:rFonts w:ascii="Times New Roman" w:hAnsi="Times New Roman"/>
          <w:szCs w:val="24"/>
        </w:rPr>
        <w:t>含量一般为</w:t>
      </w:r>
      <w:r>
        <w:rPr>
          <w:rFonts w:ascii="Times New Roman" w:hAnsi="Times New Roman"/>
          <w:szCs w:val="24"/>
        </w:rPr>
        <w:t>12%</w:t>
      </w:r>
      <w:r>
        <w:rPr>
          <w:rFonts w:ascii="Times New Roman" w:hAnsi="Times New Roman"/>
          <w:szCs w:val="24"/>
        </w:rPr>
        <w:t>左右，同一</w:t>
      </w:r>
      <w:hyperlink r:id="rId242" w:tgtFrame="_blank" w:history="1">
        <w:r>
          <w:rPr>
            <w:rFonts w:ascii="Times New Roman" w:hAnsi="Times New Roman"/>
            <w:szCs w:val="24"/>
          </w:rPr>
          <w:t>剖面</w:t>
        </w:r>
      </w:hyperlink>
      <w:r>
        <w:rPr>
          <w:rFonts w:ascii="Times New Roman" w:hAnsi="Times New Roman"/>
          <w:szCs w:val="24"/>
        </w:rPr>
        <w:t>的垂直变化很小，相邻两自然层次之间，相差不超过</w:t>
      </w:r>
      <w:r>
        <w:rPr>
          <w:rFonts w:ascii="Times New Roman" w:hAnsi="Times New Roman"/>
          <w:szCs w:val="24"/>
        </w:rPr>
        <w:t>15%</w:t>
      </w:r>
      <w:r>
        <w:rPr>
          <w:rFonts w:ascii="Times New Roman" w:hAnsi="Times New Roman"/>
          <w:szCs w:val="24"/>
        </w:rPr>
        <w:t>。</w:t>
      </w:r>
    </w:p>
    <w:p w14:paraId="10F3E6D5"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评价区及矿区范围内土壤类型见图</w:t>
      </w:r>
      <w:r>
        <w:rPr>
          <w:rFonts w:ascii="Times New Roman" w:hAnsi="Times New Roman"/>
          <w:szCs w:val="24"/>
        </w:rPr>
        <w:t>3.4-8</w:t>
      </w:r>
      <w:r>
        <w:rPr>
          <w:rFonts w:ascii="Times New Roman" w:hAnsi="Times New Roman"/>
          <w:szCs w:val="24"/>
        </w:rPr>
        <w:t>，面积及百分比见表</w:t>
      </w:r>
      <w:r>
        <w:rPr>
          <w:rFonts w:ascii="Times New Roman" w:hAnsi="Times New Roman"/>
          <w:szCs w:val="24"/>
        </w:rPr>
        <w:t>3.4-1</w:t>
      </w:r>
      <w:r>
        <w:rPr>
          <w:rFonts w:ascii="Times New Roman" w:hAnsi="Times New Roman" w:hint="eastAsia"/>
          <w:szCs w:val="24"/>
        </w:rPr>
        <w:t>9</w:t>
      </w:r>
      <w:r>
        <w:rPr>
          <w:rFonts w:ascii="Times New Roman" w:hAnsi="Times New Roman"/>
          <w:szCs w:val="24"/>
        </w:rPr>
        <w:t>。</w:t>
      </w:r>
      <w:r>
        <w:rPr>
          <w:rFonts w:ascii="Times New Roman" w:hAnsi="Times New Roman"/>
          <w:szCs w:val="24"/>
        </w:rPr>
        <w:t xml:space="preserve"> </w:t>
      </w:r>
    </w:p>
    <w:p w14:paraId="77EB3BB0" w14:textId="77777777" w:rsidR="009C353B" w:rsidRDefault="00000000">
      <w:pPr>
        <w:adjustRightInd w:val="0"/>
        <w:snapToGrid w:val="0"/>
        <w:spacing w:line="440" w:lineRule="exact"/>
        <w:ind w:firstLineChars="200" w:firstLine="482"/>
        <w:jc w:val="center"/>
        <w:rPr>
          <w:rFonts w:ascii="Times New Roman" w:hAnsi="Times New Roman"/>
          <w:b/>
        </w:rPr>
      </w:pPr>
      <w:r>
        <w:rPr>
          <w:rFonts w:ascii="Times New Roman" w:hAnsi="Times New Roman"/>
          <w:b/>
        </w:rPr>
        <w:t>评价区土壤类型面积</w:t>
      </w:r>
      <w:r>
        <w:rPr>
          <w:rFonts w:ascii="Times New Roman" w:hAnsi="Times New Roman" w:hint="eastAsia"/>
          <w:b/>
        </w:rPr>
        <w:t>统计</w:t>
      </w:r>
      <w:r>
        <w:rPr>
          <w:rFonts w:ascii="Times New Roman" w:hAnsi="Times New Roman"/>
          <w:b/>
        </w:rPr>
        <w:t>表</w:t>
      </w:r>
    </w:p>
    <w:p w14:paraId="165DC5A0" w14:textId="77777777" w:rsidR="009C353B" w:rsidRDefault="00000000">
      <w:pPr>
        <w:widowControl/>
        <w:adjustRightInd w:val="0"/>
        <w:snapToGrid w:val="0"/>
        <w:spacing w:line="440" w:lineRule="exact"/>
        <w:outlineLvl w:val="4"/>
        <w:rPr>
          <w:rFonts w:ascii="Times New Roman" w:hAnsi="Times New Roman"/>
          <w:kern w:val="0"/>
        </w:rPr>
      </w:pPr>
      <w:bookmarkStart w:id="137" w:name="_Toc279866279"/>
      <w:r>
        <w:rPr>
          <w:rFonts w:ascii="Times New Roman" w:hAnsi="Times New Roman"/>
          <w:kern w:val="0"/>
        </w:rPr>
        <w:t>表</w:t>
      </w:r>
      <w:r>
        <w:rPr>
          <w:rFonts w:ascii="Times New Roman" w:hAnsi="Times New Roman"/>
          <w:kern w:val="0"/>
        </w:rPr>
        <w:t>3.4-</w:t>
      </w:r>
      <w:bookmarkEnd w:id="137"/>
      <w:r>
        <w:rPr>
          <w:rFonts w:ascii="Times New Roman" w:hAnsi="Times New Roman"/>
          <w:kern w:val="0"/>
        </w:rPr>
        <w:t>1</w:t>
      </w:r>
      <w:r>
        <w:rPr>
          <w:rFonts w:ascii="Times New Roman" w:hAnsi="Times New Roman" w:hint="eastAsia"/>
          <w:kern w:val="0"/>
        </w:rPr>
        <w:t>9</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6"/>
        <w:gridCol w:w="1884"/>
        <w:gridCol w:w="1883"/>
        <w:gridCol w:w="1883"/>
        <w:gridCol w:w="1883"/>
      </w:tblGrid>
      <w:tr w:rsidR="009C353B" w14:paraId="2DF70F3A" w14:textId="77777777">
        <w:trPr>
          <w:trHeight w:val="300"/>
          <w:jc w:val="center"/>
        </w:trPr>
        <w:tc>
          <w:tcPr>
            <w:tcW w:w="860" w:type="pct"/>
            <w:vMerge w:val="restart"/>
            <w:shd w:val="clear" w:color="auto" w:fill="auto"/>
            <w:noWrap/>
            <w:tcMar>
              <w:top w:w="15" w:type="dxa"/>
              <w:left w:w="15" w:type="dxa"/>
              <w:right w:w="15" w:type="dxa"/>
            </w:tcMar>
            <w:vAlign w:val="center"/>
          </w:tcPr>
          <w:p w14:paraId="26735A2D"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土壤类型</w:t>
            </w:r>
          </w:p>
        </w:tc>
        <w:tc>
          <w:tcPr>
            <w:tcW w:w="2070" w:type="pct"/>
            <w:gridSpan w:val="2"/>
            <w:shd w:val="clear" w:color="auto" w:fill="auto"/>
            <w:tcMar>
              <w:top w:w="15" w:type="dxa"/>
              <w:left w:w="15" w:type="dxa"/>
              <w:right w:w="15" w:type="dxa"/>
            </w:tcMar>
            <w:vAlign w:val="center"/>
          </w:tcPr>
          <w:p w14:paraId="32573C07"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评价区</w:t>
            </w:r>
          </w:p>
        </w:tc>
        <w:tc>
          <w:tcPr>
            <w:tcW w:w="2070" w:type="pct"/>
            <w:gridSpan w:val="2"/>
            <w:shd w:val="clear" w:color="auto" w:fill="auto"/>
            <w:tcMar>
              <w:top w:w="15" w:type="dxa"/>
              <w:left w:w="15" w:type="dxa"/>
              <w:right w:w="15" w:type="dxa"/>
            </w:tcMar>
            <w:vAlign w:val="center"/>
          </w:tcPr>
          <w:p w14:paraId="57A69D8D"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矿</w:t>
            </w:r>
            <w:r>
              <w:rPr>
                <w:rFonts w:ascii="Times New Roman" w:hAnsi="Times New Roman"/>
                <w:kern w:val="0"/>
                <w:sz w:val="21"/>
                <w:szCs w:val="21"/>
                <w:lang w:bidi="ar"/>
              </w:rPr>
              <w:t xml:space="preserve">  </w:t>
            </w:r>
            <w:r>
              <w:rPr>
                <w:rFonts w:ascii="Times New Roman" w:hAnsi="Times New Roman"/>
                <w:kern w:val="0"/>
                <w:sz w:val="21"/>
                <w:szCs w:val="21"/>
                <w:lang w:bidi="ar"/>
              </w:rPr>
              <w:t>区</w:t>
            </w:r>
          </w:p>
        </w:tc>
      </w:tr>
      <w:tr w:rsidR="009C353B" w14:paraId="623BE54D" w14:textId="77777777">
        <w:trPr>
          <w:trHeight w:val="380"/>
          <w:jc w:val="center"/>
        </w:trPr>
        <w:tc>
          <w:tcPr>
            <w:tcW w:w="860" w:type="pct"/>
            <w:vMerge/>
            <w:shd w:val="clear" w:color="auto" w:fill="auto"/>
            <w:noWrap/>
            <w:tcMar>
              <w:top w:w="15" w:type="dxa"/>
              <w:left w:w="15" w:type="dxa"/>
              <w:right w:w="15" w:type="dxa"/>
            </w:tcMar>
            <w:vAlign w:val="center"/>
          </w:tcPr>
          <w:p w14:paraId="7A0FF836" w14:textId="77777777" w:rsidR="009C353B" w:rsidRDefault="009C353B">
            <w:pPr>
              <w:jc w:val="center"/>
              <w:rPr>
                <w:rFonts w:ascii="Times New Roman" w:hAnsi="Times New Roman"/>
                <w:sz w:val="21"/>
                <w:szCs w:val="21"/>
              </w:rPr>
            </w:pPr>
          </w:p>
        </w:tc>
        <w:tc>
          <w:tcPr>
            <w:tcW w:w="1035" w:type="pct"/>
            <w:shd w:val="clear" w:color="auto" w:fill="auto"/>
            <w:tcMar>
              <w:top w:w="15" w:type="dxa"/>
              <w:left w:w="15" w:type="dxa"/>
              <w:right w:w="15" w:type="dxa"/>
            </w:tcMar>
            <w:vAlign w:val="center"/>
          </w:tcPr>
          <w:p w14:paraId="51B22F25"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面积（</w:t>
            </w:r>
            <w:r>
              <w:rPr>
                <w:rFonts w:ascii="Times New Roman" w:hAnsi="Times New Roman"/>
                <w:kern w:val="0"/>
                <w:sz w:val="21"/>
                <w:szCs w:val="21"/>
                <w:lang w:bidi="ar"/>
              </w:rPr>
              <w:t>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c>
          <w:tcPr>
            <w:tcW w:w="1035" w:type="pct"/>
            <w:shd w:val="clear" w:color="auto" w:fill="auto"/>
            <w:tcMar>
              <w:top w:w="15" w:type="dxa"/>
              <w:left w:w="15" w:type="dxa"/>
              <w:right w:w="15" w:type="dxa"/>
            </w:tcMar>
            <w:vAlign w:val="center"/>
          </w:tcPr>
          <w:p w14:paraId="3BC77E46"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比例（</w:t>
            </w:r>
            <w:r>
              <w:rPr>
                <w:rFonts w:ascii="Times New Roman" w:hAnsi="Times New Roman"/>
                <w:kern w:val="0"/>
                <w:sz w:val="21"/>
                <w:szCs w:val="21"/>
                <w:lang w:bidi="ar"/>
              </w:rPr>
              <w:t>%</w:t>
            </w:r>
            <w:r>
              <w:rPr>
                <w:rFonts w:ascii="Times New Roman" w:hAnsi="Times New Roman"/>
                <w:kern w:val="0"/>
                <w:sz w:val="21"/>
                <w:szCs w:val="21"/>
                <w:lang w:bidi="ar"/>
              </w:rPr>
              <w:t>）</w:t>
            </w:r>
          </w:p>
        </w:tc>
        <w:tc>
          <w:tcPr>
            <w:tcW w:w="1035" w:type="pct"/>
            <w:shd w:val="clear" w:color="auto" w:fill="auto"/>
            <w:tcMar>
              <w:top w:w="15" w:type="dxa"/>
              <w:left w:w="15" w:type="dxa"/>
              <w:right w:w="15" w:type="dxa"/>
            </w:tcMar>
            <w:vAlign w:val="center"/>
          </w:tcPr>
          <w:p w14:paraId="6F44297B"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面积（</w:t>
            </w:r>
            <w:r>
              <w:rPr>
                <w:rFonts w:ascii="Times New Roman" w:hAnsi="Times New Roman"/>
                <w:kern w:val="0"/>
                <w:sz w:val="21"/>
                <w:szCs w:val="21"/>
                <w:lang w:bidi="ar"/>
              </w:rPr>
              <w:t>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c>
          <w:tcPr>
            <w:tcW w:w="1035" w:type="pct"/>
            <w:shd w:val="clear" w:color="auto" w:fill="auto"/>
            <w:tcMar>
              <w:top w:w="15" w:type="dxa"/>
              <w:left w:w="15" w:type="dxa"/>
              <w:right w:w="15" w:type="dxa"/>
            </w:tcMar>
            <w:vAlign w:val="center"/>
          </w:tcPr>
          <w:p w14:paraId="24F83CA9"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比例（</w:t>
            </w:r>
            <w:r>
              <w:rPr>
                <w:rFonts w:ascii="Times New Roman" w:hAnsi="Times New Roman"/>
                <w:kern w:val="0"/>
                <w:sz w:val="21"/>
                <w:szCs w:val="21"/>
                <w:lang w:bidi="ar"/>
              </w:rPr>
              <w:t>%</w:t>
            </w:r>
            <w:r>
              <w:rPr>
                <w:rFonts w:ascii="Times New Roman" w:hAnsi="Times New Roman"/>
                <w:kern w:val="0"/>
                <w:sz w:val="21"/>
                <w:szCs w:val="21"/>
                <w:lang w:bidi="ar"/>
              </w:rPr>
              <w:t>）</w:t>
            </w:r>
          </w:p>
        </w:tc>
      </w:tr>
      <w:tr w:rsidR="009C353B" w14:paraId="66CE55F7" w14:textId="77777777">
        <w:trPr>
          <w:trHeight w:val="285"/>
          <w:jc w:val="center"/>
        </w:trPr>
        <w:tc>
          <w:tcPr>
            <w:tcW w:w="860" w:type="pct"/>
            <w:shd w:val="clear" w:color="auto" w:fill="auto"/>
            <w:noWrap/>
            <w:tcMar>
              <w:top w:w="15" w:type="dxa"/>
              <w:left w:w="15" w:type="dxa"/>
              <w:right w:w="15" w:type="dxa"/>
            </w:tcMar>
            <w:vAlign w:val="center"/>
          </w:tcPr>
          <w:p w14:paraId="2ED8A6DF"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灰钙土</w:t>
            </w:r>
          </w:p>
        </w:tc>
        <w:tc>
          <w:tcPr>
            <w:tcW w:w="1035" w:type="pct"/>
            <w:shd w:val="clear" w:color="auto" w:fill="auto"/>
            <w:noWrap/>
            <w:tcMar>
              <w:top w:w="15" w:type="dxa"/>
              <w:left w:w="15" w:type="dxa"/>
              <w:right w:w="15" w:type="dxa"/>
            </w:tcMar>
            <w:vAlign w:val="center"/>
          </w:tcPr>
          <w:p w14:paraId="48868211"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231.31</w:t>
            </w:r>
          </w:p>
        </w:tc>
        <w:tc>
          <w:tcPr>
            <w:tcW w:w="1035" w:type="pct"/>
            <w:shd w:val="clear" w:color="auto" w:fill="auto"/>
            <w:noWrap/>
            <w:tcMar>
              <w:top w:w="15" w:type="dxa"/>
              <w:left w:w="15" w:type="dxa"/>
              <w:right w:w="15" w:type="dxa"/>
            </w:tcMar>
            <w:vAlign w:val="center"/>
          </w:tcPr>
          <w:p w14:paraId="6B38A3D5"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73.64</w:t>
            </w:r>
          </w:p>
        </w:tc>
        <w:tc>
          <w:tcPr>
            <w:tcW w:w="1035" w:type="pct"/>
            <w:shd w:val="clear" w:color="auto" w:fill="auto"/>
            <w:noWrap/>
            <w:tcMar>
              <w:top w:w="15" w:type="dxa"/>
              <w:left w:w="15" w:type="dxa"/>
              <w:right w:w="15" w:type="dxa"/>
            </w:tcMar>
            <w:vAlign w:val="center"/>
          </w:tcPr>
          <w:p w14:paraId="76F22487"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77.48</w:t>
            </w:r>
          </w:p>
        </w:tc>
        <w:tc>
          <w:tcPr>
            <w:tcW w:w="1035" w:type="pct"/>
            <w:shd w:val="clear" w:color="auto" w:fill="auto"/>
            <w:noWrap/>
            <w:tcMar>
              <w:top w:w="15" w:type="dxa"/>
              <w:left w:w="15" w:type="dxa"/>
              <w:right w:w="15" w:type="dxa"/>
            </w:tcMar>
            <w:vAlign w:val="center"/>
          </w:tcPr>
          <w:p w14:paraId="42703C83"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90.09</w:t>
            </w:r>
          </w:p>
        </w:tc>
      </w:tr>
      <w:tr w:rsidR="009C353B" w14:paraId="59E0FFF3" w14:textId="77777777">
        <w:trPr>
          <w:trHeight w:val="285"/>
          <w:jc w:val="center"/>
        </w:trPr>
        <w:tc>
          <w:tcPr>
            <w:tcW w:w="860" w:type="pct"/>
            <w:shd w:val="clear" w:color="auto" w:fill="auto"/>
            <w:noWrap/>
            <w:tcMar>
              <w:top w:w="15" w:type="dxa"/>
              <w:left w:w="15" w:type="dxa"/>
              <w:right w:w="15" w:type="dxa"/>
            </w:tcMar>
            <w:vAlign w:val="center"/>
          </w:tcPr>
          <w:p w14:paraId="14C4BF8C"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风沙土</w:t>
            </w:r>
          </w:p>
        </w:tc>
        <w:tc>
          <w:tcPr>
            <w:tcW w:w="1035" w:type="pct"/>
            <w:shd w:val="clear" w:color="auto" w:fill="auto"/>
            <w:noWrap/>
            <w:tcMar>
              <w:top w:w="15" w:type="dxa"/>
              <w:left w:w="15" w:type="dxa"/>
              <w:right w:w="15" w:type="dxa"/>
            </w:tcMar>
            <w:vAlign w:val="center"/>
          </w:tcPr>
          <w:p w14:paraId="5AF51707"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78.10</w:t>
            </w:r>
          </w:p>
        </w:tc>
        <w:tc>
          <w:tcPr>
            <w:tcW w:w="1035" w:type="pct"/>
            <w:shd w:val="clear" w:color="auto" w:fill="auto"/>
            <w:noWrap/>
            <w:tcMar>
              <w:top w:w="15" w:type="dxa"/>
              <w:left w:w="15" w:type="dxa"/>
              <w:right w:w="15" w:type="dxa"/>
            </w:tcMar>
            <w:vAlign w:val="center"/>
          </w:tcPr>
          <w:p w14:paraId="07815817"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24.86</w:t>
            </w:r>
          </w:p>
        </w:tc>
        <w:tc>
          <w:tcPr>
            <w:tcW w:w="1035" w:type="pct"/>
            <w:shd w:val="clear" w:color="auto" w:fill="auto"/>
            <w:noWrap/>
            <w:tcMar>
              <w:top w:w="15" w:type="dxa"/>
              <w:left w:w="15" w:type="dxa"/>
              <w:right w:w="15" w:type="dxa"/>
            </w:tcMar>
            <w:vAlign w:val="center"/>
          </w:tcPr>
          <w:p w14:paraId="081D1717"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6.52</w:t>
            </w:r>
          </w:p>
        </w:tc>
        <w:tc>
          <w:tcPr>
            <w:tcW w:w="1035" w:type="pct"/>
            <w:shd w:val="clear" w:color="auto" w:fill="auto"/>
            <w:noWrap/>
            <w:tcMar>
              <w:top w:w="15" w:type="dxa"/>
              <w:left w:w="15" w:type="dxa"/>
              <w:right w:w="15" w:type="dxa"/>
            </w:tcMar>
            <w:vAlign w:val="center"/>
          </w:tcPr>
          <w:p w14:paraId="5F0B91B0"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7.59</w:t>
            </w:r>
          </w:p>
        </w:tc>
      </w:tr>
      <w:tr w:rsidR="009C353B" w14:paraId="32EA7594" w14:textId="77777777">
        <w:trPr>
          <w:trHeight w:val="285"/>
          <w:jc w:val="center"/>
        </w:trPr>
        <w:tc>
          <w:tcPr>
            <w:tcW w:w="860" w:type="pct"/>
            <w:shd w:val="clear" w:color="auto" w:fill="auto"/>
            <w:noWrap/>
            <w:tcMar>
              <w:top w:w="15" w:type="dxa"/>
              <w:left w:w="15" w:type="dxa"/>
              <w:right w:w="15" w:type="dxa"/>
            </w:tcMar>
            <w:vAlign w:val="center"/>
          </w:tcPr>
          <w:p w14:paraId="27C80683"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潮土</w:t>
            </w:r>
          </w:p>
        </w:tc>
        <w:tc>
          <w:tcPr>
            <w:tcW w:w="1035" w:type="pct"/>
            <w:shd w:val="clear" w:color="auto" w:fill="auto"/>
            <w:noWrap/>
            <w:tcMar>
              <w:top w:w="15" w:type="dxa"/>
              <w:left w:w="15" w:type="dxa"/>
              <w:right w:w="15" w:type="dxa"/>
            </w:tcMar>
            <w:vAlign w:val="center"/>
          </w:tcPr>
          <w:p w14:paraId="3FAEA562"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4.69</w:t>
            </w:r>
          </w:p>
        </w:tc>
        <w:tc>
          <w:tcPr>
            <w:tcW w:w="1035" w:type="pct"/>
            <w:shd w:val="clear" w:color="auto" w:fill="auto"/>
            <w:noWrap/>
            <w:tcMar>
              <w:top w:w="15" w:type="dxa"/>
              <w:left w:w="15" w:type="dxa"/>
              <w:right w:w="15" w:type="dxa"/>
            </w:tcMar>
            <w:vAlign w:val="center"/>
          </w:tcPr>
          <w:p w14:paraId="2A0B799E"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1.49</w:t>
            </w:r>
          </w:p>
        </w:tc>
        <w:tc>
          <w:tcPr>
            <w:tcW w:w="1035" w:type="pct"/>
            <w:shd w:val="clear" w:color="auto" w:fill="auto"/>
            <w:noWrap/>
            <w:tcMar>
              <w:top w:w="15" w:type="dxa"/>
              <w:left w:w="15" w:type="dxa"/>
              <w:right w:w="15" w:type="dxa"/>
            </w:tcMar>
            <w:vAlign w:val="center"/>
          </w:tcPr>
          <w:p w14:paraId="15457426"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2.00</w:t>
            </w:r>
          </w:p>
        </w:tc>
        <w:tc>
          <w:tcPr>
            <w:tcW w:w="1035" w:type="pct"/>
            <w:shd w:val="clear" w:color="auto" w:fill="auto"/>
            <w:noWrap/>
            <w:tcMar>
              <w:top w:w="15" w:type="dxa"/>
              <w:left w:w="15" w:type="dxa"/>
              <w:right w:w="15" w:type="dxa"/>
            </w:tcMar>
            <w:vAlign w:val="center"/>
          </w:tcPr>
          <w:p w14:paraId="24858FCD"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2.32</w:t>
            </w:r>
          </w:p>
        </w:tc>
      </w:tr>
      <w:tr w:rsidR="009C353B" w14:paraId="3C984C91" w14:textId="77777777">
        <w:trPr>
          <w:trHeight w:val="285"/>
          <w:jc w:val="center"/>
        </w:trPr>
        <w:tc>
          <w:tcPr>
            <w:tcW w:w="860" w:type="pct"/>
            <w:shd w:val="clear" w:color="auto" w:fill="auto"/>
            <w:noWrap/>
            <w:tcMar>
              <w:top w:w="15" w:type="dxa"/>
              <w:left w:w="15" w:type="dxa"/>
              <w:right w:w="15" w:type="dxa"/>
            </w:tcMar>
            <w:vAlign w:val="center"/>
          </w:tcPr>
          <w:p w14:paraId="67AD7AE4"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合计</w:t>
            </w:r>
          </w:p>
        </w:tc>
        <w:tc>
          <w:tcPr>
            <w:tcW w:w="1035" w:type="pct"/>
            <w:shd w:val="clear" w:color="auto" w:fill="auto"/>
            <w:noWrap/>
            <w:tcMar>
              <w:top w:w="15" w:type="dxa"/>
              <w:left w:w="15" w:type="dxa"/>
              <w:right w:w="15" w:type="dxa"/>
            </w:tcMar>
            <w:vAlign w:val="center"/>
          </w:tcPr>
          <w:p w14:paraId="05506BA7"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314.10</w:t>
            </w:r>
          </w:p>
        </w:tc>
        <w:tc>
          <w:tcPr>
            <w:tcW w:w="1035" w:type="pct"/>
            <w:shd w:val="clear" w:color="auto" w:fill="auto"/>
            <w:noWrap/>
            <w:tcMar>
              <w:top w:w="15" w:type="dxa"/>
              <w:left w:w="15" w:type="dxa"/>
              <w:right w:w="15" w:type="dxa"/>
            </w:tcMar>
            <w:vAlign w:val="center"/>
          </w:tcPr>
          <w:p w14:paraId="793E8B94"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100.00</w:t>
            </w:r>
          </w:p>
        </w:tc>
        <w:tc>
          <w:tcPr>
            <w:tcW w:w="1035" w:type="pct"/>
            <w:shd w:val="clear" w:color="auto" w:fill="auto"/>
            <w:noWrap/>
            <w:tcMar>
              <w:top w:w="15" w:type="dxa"/>
              <w:left w:w="15" w:type="dxa"/>
              <w:right w:w="15" w:type="dxa"/>
            </w:tcMar>
            <w:vAlign w:val="center"/>
          </w:tcPr>
          <w:p w14:paraId="6F7DA985"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86.00</w:t>
            </w:r>
          </w:p>
        </w:tc>
        <w:tc>
          <w:tcPr>
            <w:tcW w:w="1035" w:type="pct"/>
            <w:shd w:val="clear" w:color="auto" w:fill="auto"/>
            <w:noWrap/>
            <w:tcMar>
              <w:top w:w="15" w:type="dxa"/>
              <w:left w:w="15" w:type="dxa"/>
              <w:right w:w="15" w:type="dxa"/>
            </w:tcMar>
            <w:vAlign w:val="center"/>
          </w:tcPr>
          <w:p w14:paraId="42DD3DCA"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100.00</w:t>
            </w:r>
          </w:p>
        </w:tc>
      </w:tr>
    </w:tbl>
    <w:p w14:paraId="39BE3CE1"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rPr>
        <w:t xml:space="preserve">3.4.8 </w:t>
      </w:r>
      <w:r>
        <w:rPr>
          <w:rFonts w:ascii="Times New Roman"/>
        </w:rPr>
        <w:t>土壤侵蚀现状调查与评价</w:t>
      </w:r>
    </w:p>
    <w:p w14:paraId="52325449" w14:textId="77777777" w:rsidR="009C353B" w:rsidRDefault="00000000">
      <w:pPr>
        <w:adjustRightInd w:val="0"/>
        <w:snapToGrid w:val="0"/>
        <w:spacing w:line="440" w:lineRule="exact"/>
        <w:ind w:firstLineChars="200" w:firstLine="480"/>
        <w:rPr>
          <w:rFonts w:ascii="Times New Roman" w:hAnsi="Times New Roman"/>
          <w:szCs w:val="24"/>
        </w:rPr>
      </w:pPr>
      <w:bookmarkStart w:id="138" w:name="_Toc230711102"/>
      <w:r>
        <w:rPr>
          <w:rFonts w:ascii="Times New Roman" w:hAnsi="Times New Roman"/>
          <w:szCs w:val="24"/>
        </w:rPr>
        <w:t>项目区处于鄂尔多斯台地和毛乌素沙地西南缘，气候干燥，植被稀疏。</w:t>
      </w:r>
      <w:r>
        <w:rPr>
          <w:rFonts w:ascii="Times New Roman" w:hAnsi="Times New Roman" w:hint="eastAsia"/>
          <w:szCs w:val="24"/>
        </w:rPr>
        <w:t>根据</w:t>
      </w:r>
      <w:r>
        <w:rPr>
          <w:rFonts w:ascii="Times New Roman" w:hAnsi="Times New Roman"/>
          <w:szCs w:val="24"/>
        </w:rPr>
        <w:t>《土壤侵蚀分类分级标准》（</w:t>
      </w:r>
      <w:r>
        <w:rPr>
          <w:rFonts w:ascii="Times New Roman" w:hAnsi="Times New Roman"/>
          <w:szCs w:val="24"/>
        </w:rPr>
        <w:t>SL 190-2007</w:t>
      </w:r>
      <w:r>
        <w:rPr>
          <w:rFonts w:ascii="Times New Roman" w:hAnsi="Times New Roman"/>
          <w:szCs w:val="24"/>
        </w:rPr>
        <w:t>），评价区水土流失类型以为风力侵蚀为主，兼有水力侵蚀</w:t>
      </w:r>
      <w:r>
        <w:rPr>
          <w:rFonts w:ascii="Times New Roman" w:hAnsi="Times New Roman" w:hint="eastAsia"/>
          <w:szCs w:val="24"/>
        </w:rPr>
        <w:t>，风力侵蚀和水力侵蚀强度分级标准见表</w:t>
      </w:r>
      <w:r>
        <w:rPr>
          <w:rFonts w:ascii="Times New Roman" w:hAnsi="Times New Roman" w:hint="eastAsia"/>
          <w:szCs w:val="24"/>
        </w:rPr>
        <w:t>3.4-20</w:t>
      </w:r>
      <w:r>
        <w:rPr>
          <w:rFonts w:ascii="Times New Roman" w:hAnsi="Times New Roman" w:hint="eastAsia"/>
          <w:szCs w:val="24"/>
        </w:rPr>
        <w:t>和表</w:t>
      </w:r>
      <w:r>
        <w:rPr>
          <w:rFonts w:ascii="Times New Roman" w:hAnsi="Times New Roman" w:hint="eastAsia"/>
          <w:szCs w:val="24"/>
        </w:rPr>
        <w:t>3.4-21</w:t>
      </w:r>
      <w:r>
        <w:rPr>
          <w:rFonts w:ascii="Times New Roman" w:hAnsi="Times New Roman" w:hint="eastAsia"/>
          <w:szCs w:val="24"/>
        </w:rPr>
        <w:t>。</w:t>
      </w:r>
    </w:p>
    <w:p w14:paraId="6FD8587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根据《全国水土保持规划国家级水土流失重点预防区和重点治理区复核划分成果》，</w:t>
      </w:r>
      <w:r>
        <w:rPr>
          <w:rFonts w:ascii="Times New Roman" w:hAnsi="Times New Roman" w:hint="eastAsia"/>
          <w:szCs w:val="24"/>
        </w:rPr>
        <w:t>评价区所在的灵武市既不属于国家级水土流失重点预防区也不属于国家级重点治理区。</w:t>
      </w:r>
    </w:p>
    <w:p w14:paraId="59C6FFA2" w14:textId="77777777" w:rsidR="009C353B" w:rsidRDefault="009C353B">
      <w:pPr>
        <w:adjustRightInd w:val="0"/>
        <w:snapToGrid w:val="0"/>
        <w:spacing w:line="440" w:lineRule="exact"/>
        <w:ind w:firstLineChars="200" w:firstLine="480"/>
        <w:rPr>
          <w:rFonts w:ascii="Times New Roman" w:hAnsi="Times New Roman"/>
          <w:szCs w:val="24"/>
        </w:rPr>
      </w:pPr>
    </w:p>
    <w:bookmarkEnd w:id="138"/>
    <w:p w14:paraId="4249D66C" w14:textId="77777777" w:rsidR="009C353B" w:rsidRDefault="00000000">
      <w:pPr>
        <w:pStyle w:val="affffff0"/>
        <w:snapToGrid/>
        <w:spacing w:line="360" w:lineRule="auto"/>
        <w:jc w:val="center"/>
        <w:rPr>
          <w:rFonts w:ascii="Times New Roman" w:hAnsi="Times New Roman"/>
        </w:rPr>
      </w:pPr>
      <w:r>
        <w:rPr>
          <w:rFonts w:ascii="Times New Roman"/>
        </w:rPr>
        <w:t>风力侵蚀强度分级</w:t>
      </w:r>
    </w:p>
    <w:p w14:paraId="25B3CEA5" w14:textId="77777777" w:rsidR="009C353B" w:rsidRDefault="00000000">
      <w:pPr>
        <w:pStyle w:val="affffd"/>
        <w:spacing w:line="240" w:lineRule="auto"/>
        <w:rPr>
          <w:rStyle w:val="CharChar6"/>
          <w:rFonts w:ascii="Times New Roman" w:hAnsi="Times New Roman"/>
        </w:rPr>
      </w:pPr>
      <w:r>
        <w:rPr>
          <w:rStyle w:val="CharChar6"/>
          <w:rFonts w:ascii="Times New Roman"/>
        </w:rPr>
        <w:t>表</w:t>
      </w:r>
      <w:r>
        <w:rPr>
          <w:rStyle w:val="CharChar6"/>
          <w:rFonts w:ascii="Times New Roman" w:hAnsi="Times New Roman" w:hint="eastAsia"/>
        </w:rPr>
        <w:t>3.4-20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8"/>
        <w:gridCol w:w="3244"/>
        <w:gridCol w:w="1544"/>
        <w:gridCol w:w="1391"/>
        <w:gridCol w:w="1600"/>
      </w:tblGrid>
      <w:tr w:rsidR="009C353B" w14:paraId="04212EC5" w14:textId="77777777">
        <w:trPr>
          <w:trHeight w:val="284"/>
        </w:trPr>
        <w:tc>
          <w:tcPr>
            <w:tcW w:w="1384" w:type="dxa"/>
            <w:vAlign w:val="center"/>
          </w:tcPr>
          <w:p w14:paraId="7E0B4882" w14:textId="77777777" w:rsidR="009C353B" w:rsidRDefault="00000000">
            <w:pPr>
              <w:jc w:val="center"/>
              <w:rPr>
                <w:rFonts w:ascii="Times New Roman" w:hAnsi="Times New Roman"/>
                <w:sz w:val="21"/>
                <w:szCs w:val="21"/>
              </w:rPr>
            </w:pPr>
            <w:r>
              <w:rPr>
                <w:rFonts w:ascii="Times New Roman"/>
                <w:sz w:val="21"/>
                <w:szCs w:val="21"/>
              </w:rPr>
              <w:t>级别</w:t>
            </w:r>
          </w:p>
        </w:tc>
        <w:tc>
          <w:tcPr>
            <w:tcW w:w="2977" w:type="dxa"/>
            <w:vAlign w:val="center"/>
          </w:tcPr>
          <w:p w14:paraId="11E9A8C0" w14:textId="77777777" w:rsidR="009C353B" w:rsidRDefault="00000000">
            <w:pPr>
              <w:jc w:val="center"/>
              <w:rPr>
                <w:rFonts w:ascii="Times New Roman" w:hAnsi="Times New Roman"/>
                <w:sz w:val="21"/>
                <w:szCs w:val="21"/>
              </w:rPr>
            </w:pPr>
            <w:r>
              <w:rPr>
                <w:rFonts w:ascii="Times New Roman"/>
                <w:sz w:val="21"/>
                <w:szCs w:val="21"/>
              </w:rPr>
              <w:t>床面形态</w:t>
            </w:r>
          </w:p>
          <w:p w14:paraId="4BFB9B9A" w14:textId="77777777" w:rsidR="009C353B" w:rsidRDefault="00000000">
            <w:pPr>
              <w:jc w:val="center"/>
              <w:rPr>
                <w:rFonts w:ascii="Times New Roman" w:hAnsi="Times New Roman"/>
                <w:sz w:val="21"/>
                <w:szCs w:val="21"/>
              </w:rPr>
            </w:pPr>
            <w:r>
              <w:rPr>
                <w:rFonts w:ascii="Times New Roman"/>
                <w:sz w:val="21"/>
                <w:szCs w:val="21"/>
              </w:rPr>
              <w:t>（地表形态）</w:t>
            </w:r>
          </w:p>
        </w:tc>
        <w:tc>
          <w:tcPr>
            <w:tcW w:w="1417" w:type="dxa"/>
            <w:vAlign w:val="center"/>
          </w:tcPr>
          <w:p w14:paraId="0E8D3239" w14:textId="77777777" w:rsidR="009C353B" w:rsidRDefault="00000000">
            <w:pPr>
              <w:jc w:val="center"/>
              <w:rPr>
                <w:rFonts w:ascii="Times New Roman" w:hAnsi="Times New Roman"/>
                <w:sz w:val="21"/>
                <w:szCs w:val="21"/>
              </w:rPr>
            </w:pPr>
            <w:r>
              <w:rPr>
                <w:rFonts w:ascii="Times New Roman"/>
                <w:sz w:val="21"/>
                <w:szCs w:val="21"/>
              </w:rPr>
              <w:t>植被覆盖度</w:t>
            </w:r>
            <w:r>
              <w:rPr>
                <w:rFonts w:ascii="Times New Roman" w:hAnsi="Times New Roman"/>
                <w:sz w:val="21"/>
                <w:szCs w:val="21"/>
              </w:rPr>
              <w:t>(%)</w:t>
            </w:r>
          </w:p>
          <w:p w14:paraId="59CC6EED" w14:textId="77777777" w:rsidR="009C353B" w:rsidRDefault="00000000">
            <w:pPr>
              <w:jc w:val="center"/>
              <w:rPr>
                <w:rFonts w:ascii="Times New Roman" w:hAnsi="Times New Roman"/>
                <w:sz w:val="21"/>
                <w:szCs w:val="21"/>
              </w:rPr>
            </w:pPr>
            <w:r>
              <w:rPr>
                <w:rFonts w:ascii="Times New Roman" w:hAnsi="Times New Roman"/>
                <w:sz w:val="21"/>
                <w:szCs w:val="21"/>
              </w:rPr>
              <w:t>(</w:t>
            </w:r>
            <w:r>
              <w:rPr>
                <w:rFonts w:ascii="Times New Roman"/>
                <w:sz w:val="21"/>
                <w:szCs w:val="21"/>
              </w:rPr>
              <w:t>非流沙面积</w:t>
            </w:r>
            <w:r>
              <w:rPr>
                <w:rFonts w:ascii="Times New Roman" w:hAnsi="Times New Roman"/>
                <w:sz w:val="21"/>
                <w:szCs w:val="21"/>
              </w:rPr>
              <w:t>)</w:t>
            </w:r>
          </w:p>
        </w:tc>
        <w:tc>
          <w:tcPr>
            <w:tcW w:w="1276" w:type="dxa"/>
            <w:vAlign w:val="center"/>
          </w:tcPr>
          <w:p w14:paraId="12C8591C" w14:textId="77777777" w:rsidR="009C353B" w:rsidRDefault="00000000">
            <w:pPr>
              <w:jc w:val="center"/>
              <w:rPr>
                <w:rFonts w:ascii="Times New Roman" w:hAnsi="Times New Roman"/>
                <w:sz w:val="21"/>
                <w:szCs w:val="21"/>
              </w:rPr>
            </w:pPr>
            <w:r>
              <w:rPr>
                <w:rFonts w:ascii="Times New Roman"/>
                <w:sz w:val="21"/>
                <w:szCs w:val="21"/>
              </w:rPr>
              <w:t>风蚀厚度</w:t>
            </w:r>
            <w:r>
              <w:rPr>
                <w:rFonts w:ascii="Times New Roman" w:hAnsi="Times New Roman"/>
                <w:sz w:val="21"/>
                <w:szCs w:val="21"/>
              </w:rPr>
              <w:t>(mm/a)</w:t>
            </w:r>
          </w:p>
        </w:tc>
        <w:tc>
          <w:tcPr>
            <w:tcW w:w="1468" w:type="dxa"/>
            <w:vAlign w:val="center"/>
          </w:tcPr>
          <w:p w14:paraId="2B0F46F0" w14:textId="77777777" w:rsidR="009C353B" w:rsidRDefault="00000000">
            <w:pPr>
              <w:jc w:val="center"/>
              <w:rPr>
                <w:rFonts w:ascii="Times New Roman" w:hAnsi="Times New Roman"/>
                <w:sz w:val="21"/>
                <w:szCs w:val="21"/>
              </w:rPr>
            </w:pPr>
            <w:r>
              <w:rPr>
                <w:rFonts w:ascii="Times New Roman"/>
                <w:sz w:val="21"/>
                <w:szCs w:val="21"/>
              </w:rPr>
              <w:t>侵蚀模数</w:t>
            </w:r>
            <w:r>
              <w:rPr>
                <w:rFonts w:ascii="Times New Roman" w:hAnsi="Times New Roman"/>
                <w:sz w:val="21"/>
                <w:szCs w:val="21"/>
              </w:rPr>
              <w:t>〔</w:t>
            </w:r>
            <w:r>
              <w:rPr>
                <w:rFonts w:ascii="Times New Roman" w:hAnsi="Times New Roman"/>
                <w:sz w:val="21"/>
                <w:szCs w:val="21"/>
              </w:rPr>
              <w:t>t/(km</w:t>
            </w:r>
            <w:r>
              <w:rPr>
                <w:rFonts w:ascii="Times New Roman" w:hAnsi="Times New Roman"/>
                <w:sz w:val="21"/>
                <w:szCs w:val="21"/>
                <w:vertAlign w:val="superscript"/>
              </w:rPr>
              <w:t>2</w:t>
            </w:r>
            <w:r>
              <w:rPr>
                <w:rFonts w:ascii="Times New Roman" w:hAnsi="Times New Roman"/>
                <w:sz w:val="21"/>
                <w:szCs w:val="21"/>
              </w:rPr>
              <w:t>·a)</w:t>
            </w:r>
          </w:p>
        </w:tc>
      </w:tr>
      <w:tr w:rsidR="009C353B" w14:paraId="1453FE6A" w14:textId="77777777">
        <w:trPr>
          <w:trHeight w:val="284"/>
        </w:trPr>
        <w:tc>
          <w:tcPr>
            <w:tcW w:w="1384" w:type="dxa"/>
            <w:vAlign w:val="center"/>
          </w:tcPr>
          <w:p w14:paraId="080BFD48" w14:textId="77777777" w:rsidR="009C353B" w:rsidRDefault="00000000">
            <w:pPr>
              <w:pStyle w:val="afffff7"/>
              <w:adjustRightInd/>
              <w:spacing w:line="240" w:lineRule="auto"/>
              <w:jc w:val="center"/>
              <w:rPr>
                <w:rFonts w:ascii="Times New Roman" w:hAnsi="Times New Roman"/>
                <w:szCs w:val="21"/>
              </w:rPr>
            </w:pPr>
            <w:r>
              <w:rPr>
                <w:rFonts w:ascii="Times New Roman"/>
                <w:szCs w:val="21"/>
              </w:rPr>
              <w:t>微度侵蚀</w:t>
            </w:r>
          </w:p>
        </w:tc>
        <w:tc>
          <w:tcPr>
            <w:tcW w:w="2977" w:type="dxa"/>
            <w:vAlign w:val="center"/>
          </w:tcPr>
          <w:p w14:paraId="4F007218" w14:textId="77777777" w:rsidR="009C353B" w:rsidRDefault="00000000">
            <w:pPr>
              <w:jc w:val="center"/>
              <w:rPr>
                <w:rFonts w:ascii="Times New Roman" w:hAnsi="Times New Roman"/>
                <w:sz w:val="21"/>
                <w:szCs w:val="21"/>
              </w:rPr>
            </w:pPr>
            <w:r>
              <w:rPr>
                <w:rFonts w:ascii="Times New Roman"/>
                <w:sz w:val="21"/>
                <w:szCs w:val="21"/>
              </w:rPr>
              <w:t>固定沙丘、沙地和滩地</w:t>
            </w:r>
          </w:p>
        </w:tc>
        <w:tc>
          <w:tcPr>
            <w:tcW w:w="1417" w:type="dxa"/>
            <w:vAlign w:val="center"/>
          </w:tcPr>
          <w:p w14:paraId="5F25F2BC" w14:textId="77777777" w:rsidR="009C353B" w:rsidRDefault="00000000">
            <w:pPr>
              <w:jc w:val="center"/>
              <w:rPr>
                <w:rFonts w:ascii="Times New Roman" w:hAnsi="Times New Roman"/>
                <w:sz w:val="21"/>
                <w:szCs w:val="21"/>
              </w:rPr>
            </w:pPr>
            <w:r>
              <w:rPr>
                <w:rFonts w:ascii="Times New Roman" w:hAnsi="Times New Roman"/>
                <w:sz w:val="21"/>
                <w:szCs w:val="21"/>
              </w:rPr>
              <w:t>&gt;70</w:t>
            </w:r>
          </w:p>
        </w:tc>
        <w:tc>
          <w:tcPr>
            <w:tcW w:w="1276" w:type="dxa"/>
            <w:vAlign w:val="center"/>
          </w:tcPr>
          <w:p w14:paraId="4DDE0557" w14:textId="77777777" w:rsidR="009C353B" w:rsidRDefault="00000000">
            <w:pPr>
              <w:jc w:val="center"/>
              <w:rPr>
                <w:rFonts w:ascii="Times New Roman" w:hAnsi="Times New Roman"/>
                <w:sz w:val="21"/>
                <w:szCs w:val="21"/>
              </w:rPr>
            </w:pPr>
            <w:r>
              <w:rPr>
                <w:rFonts w:ascii="Times New Roman" w:hAnsi="Times New Roman"/>
                <w:sz w:val="21"/>
                <w:szCs w:val="21"/>
              </w:rPr>
              <w:t>&lt;2</w:t>
            </w:r>
          </w:p>
        </w:tc>
        <w:tc>
          <w:tcPr>
            <w:tcW w:w="1468" w:type="dxa"/>
            <w:vAlign w:val="center"/>
          </w:tcPr>
          <w:p w14:paraId="597FBBC9" w14:textId="77777777" w:rsidR="009C353B" w:rsidRDefault="00000000">
            <w:pPr>
              <w:jc w:val="center"/>
              <w:rPr>
                <w:rFonts w:ascii="Times New Roman" w:hAnsi="Times New Roman"/>
                <w:sz w:val="21"/>
                <w:szCs w:val="21"/>
              </w:rPr>
            </w:pPr>
            <w:r>
              <w:rPr>
                <w:rFonts w:ascii="Times New Roman" w:hAnsi="Times New Roman"/>
                <w:sz w:val="21"/>
                <w:szCs w:val="21"/>
              </w:rPr>
              <w:t>&lt;200</w:t>
            </w:r>
          </w:p>
        </w:tc>
      </w:tr>
      <w:tr w:rsidR="009C353B" w14:paraId="57B1FBA0" w14:textId="77777777">
        <w:trPr>
          <w:trHeight w:val="284"/>
        </w:trPr>
        <w:tc>
          <w:tcPr>
            <w:tcW w:w="1384" w:type="dxa"/>
            <w:vAlign w:val="center"/>
          </w:tcPr>
          <w:p w14:paraId="7553EDAA" w14:textId="77777777" w:rsidR="009C353B" w:rsidRDefault="00000000">
            <w:pPr>
              <w:pStyle w:val="afffff7"/>
              <w:adjustRightInd/>
              <w:spacing w:line="240" w:lineRule="auto"/>
              <w:jc w:val="center"/>
              <w:rPr>
                <w:rFonts w:ascii="Times New Roman" w:hAnsi="Times New Roman"/>
                <w:szCs w:val="21"/>
              </w:rPr>
            </w:pPr>
            <w:r>
              <w:rPr>
                <w:rFonts w:ascii="Times New Roman"/>
                <w:szCs w:val="21"/>
              </w:rPr>
              <w:t>轻度侵蚀</w:t>
            </w:r>
          </w:p>
        </w:tc>
        <w:tc>
          <w:tcPr>
            <w:tcW w:w="2977" w:type="dxa"/>
            <w:vAlign w:val="center"/>
          </w:tcPr>
          <w:p w14:paraId="2FD185B3" w14:textId="77777777" w:rsidR="009C353B" w:rsidRDefault="00000000">
            <w:pPr>
              <w:jc w:val="center"/>
              <w:rPr>
                <w:rFonts w:ascii="Times New Roman" w:hAnsi="Times New Roman"/>
                <w:sz w:val="21"/>
                <w:szCs w:val="21"/>
              </w:rPr>
            </w:pPr>
            <w:r>
              <w:rPr>
                <w:rFonts w:ascii="Times New Roman"/>
                <w:sz w:val="21"/>
                <w:szCs w:val="21"/>
              </w:rPr>
              <w:t>固定沙丘、半固定沙丘、沙地</w:t>
            </w:r>
          </w:p>
        </w:tc>
        <w:tc>
          <w:tcPr>
            <w:tcW w:w="1417" w:type="dxa"/>
            <w:vAlign w:val="center"/>
          </w:tcPr>
          <w:p w14:paraId="1402F015" w14:textId="77777777" w:rsidR="009C353B" w:rsidRDefault="00000000">
            <w:pPr>
              <w:jc w:val="center"/>
              <w:rPr>
                <w:rFonts w:ascii="Times New Roman" w:hAnsi="Times New Roman"/>
                <w:sz w:val="21"/>
                <w:szCs w:val="21"/>
              </w:rPr>
            </w:pPr>
            <w:r>
              <w:rPr>
                <w:rFonts w:ascii="Times New Roman" w:hAnsi="Times New Roman"/>
                <w:sz w:val="21"/>
                <w:szCs w:val="21"/>
              </w:rPr>
              <w:t>70~50</w:t>
            </w:r>
          </w:p>
        </w:tc>
        <w:tc>
          <w:tcPr>
            <w:tcW w:w="1276" w:type="dxa"/>
            <w:vAlign w:val="center"/>
          </w:tcPr>
          <w:p w14:paraId="4FC1171E" w14:textId="77777777" w:rsidR="009C353B" w:rsidRDefault="00000000">
            <w:pPr>
              <w:jc w:val="center"/>
              <w:rPr>
                <w:rFonts w:ascii="Times New Roman" w:hAnsi="Times New Roman"/>
                <w:sz w:val="21"/>
                <w:szCs w:val="21"/>
              </w:rPr>
            </w:pPr>
            <w:r>
              <w:rPr>
                <w:rFonts w:ascii="Times New Roman" w:hAnsi="Times New Roman"/>
                <w:sz w:val="21"/>
                <w:szCs w:val="21"/>
              </w:rPr>
              <w:t>2~10</w:t>
            </w:r>
          </w:p>
        </w:tc>
        <w:tc>
          <w:tcPr>
            <w:tcW w:w="1468" w:type="dxa"/>
            <w:vAlign w:val="center"/>
          </w:tcPr>
          <w:p w14:paraId="3DA0AA4C" w14:textId="77777777" w:rsidR="009C353B" w:rsidRDefault="00000000">
            <w:pPr>
              <w:jc w:val="center"/>
              <w:rPr>
                <w:rFonts w:ascii="Times New Roman" w:hAnsi="Times New Roman"/>
                <w:sz w:val="21"/>
                <w:szCs w:val="21"/>
              </w:rPr>
            </w:pPr>
            <w:r>
              <w:rPr>
                <w:rFonts w:ascii="Times New Roman" w:hAnsi="Times New Roman"/>
                <w:sz w:val="21"/>
                <w:szCs w:val="21"/>
              </w:rPr>
              <w:t>200~2500</w:t>
            </w:r>
          </w:p>
        </w:tc>
      </w:tr>
      <w:tr w:rsidR="009C353B" w14:paraId="1FA58C7E" w14:textId="77777777">
        <w:trPr>
          <w:trHeight w:val="284"/>
        </w:trPr>
        <w:tc>
          <w:tcPr>
            <w:tcW w:w="1384" w:type="dxa"/>
            <w:vAlign w:val="center"/>
          </w:tcPr>
          <w:p w14:paraId="620F170B" w14:textId="77777777" w:rsidR="009C353B" w:rsidRDefault="00000000">
            <w:pPr>
              <w:pStyle w:val="afffff7"/>
              <w:adjustRightInd/>
              <w:spacing w:line="240" w:lineRule="auto"/>
              <w:jc w:val="center"/>
              <w:rPr>
                <w:rFonts w:ascii="Times New Roman" w:hAnsi="Times New Roman"/>
                <w:szCs w:val="21"/>
              </w:rPr>
            </w:pPr>
            <w:r>
              <w:rPr>
                <w:rFonts w:ascii="Times New Roman"/>
                <w:szCs w:val="21"/>
              </w:rPr>
              <w:t>中度侵蚀</w:t>
            </w:r>
          </w:p>
        </w:tc>
        <w:tc>
          <w:tcPr>
            <w:tcW w:w="2977" w:type="dxa"/>
            <w:vAlign w:val="center"/>
          </w:tcPr>
          <w:p w14:paraId="77F3ECBD" w14:textId="77777777" w:rsidR="009C353B" w:rsidRDefault="00000000">
            <w:pPr>
              <w:jc w:val="center"/>
              <w:rPr>
                <w:rFonts w:ascii="Times New Roman" w:hAnsi="Times New Roman"/>
                <w:sz w:val="21"/>
                <w:szCs w:val="21"/>
              </w:rPr>
            </w:pPr>
            <w:r>
              <w:rPr>
                <w:rFonts w:ascii="Times New Roman"/>
                <w:sz w:val="21"/>
                <w:szCs w:val="21"/>
              </w:rPr>
              <w:t>半固定沙丘、沙地</w:t>
            </w:r>
          </w:p>
        </w:tc>
        <w:tc>
          <w:tcPr>
            <w:tcW w:w="1417" w:type="dxa"/>
            <w:vAlign w:val="center"/>
          </w:tcPr>
          <w:p w14:paraId="63CE1681" w14:textId="77777777" w:rsidR="009C353B" w:rsidRDefault="00000000">
            <w:pPr>
              <w:jc w:val="center"/>
              <w:rPr>
                <w:rFonts w:ascii="Times New Roman" w:hAnsi="Times New Roman"/>
                <w:sz w:val="21"/>
                <w:szCs w:val="21"/>
              </w:rPr>
            </w:pPr>
            <w:r>
              <w:rPr>
                <w:rFonts w:ascii="Times New Roman" w:hAnsi="Times New Roman"/>
                <w:sz w:val="21"/>
                <w:szCs w:val="21"/>
              </w:rPr>
              <w:t>50~30</w:t>
            </w:r>
          </w:p>
        </w:tc>
        <w:tc>
          <w:tcPr>
            <w:tcW w:w="1276" w:type="dxa"/>
            <w:vAlign w:val="center"/>
          </w:tcPr>
          <w:p w14:paraId="744238D6" w14:textId="77777777" w:rsidR="009C353B" w:rsidRDefault="00000000">
            <w:pPr>
              <w:jc w:val="center"/>
              <w:rPr>
                <w:rFonts w:ascii="Times New Roman" w:hAnsi="Times New Roman"/>
                <w:sz w:val="21"/>
                <w:szCs w:val="21"/>
              </w:rPr>
            </w:pPr>
            <w:r>
              <w:rPr>
                <w:rFonts w:ascii="Times New Roman" w:hAnsi="Times New Roman"/>
                <w:sz w:val="21"/>
                <w:szCs w:val="21"/>
              </w:rPr>
              <w:t>10~25</w:t>
            </w:r>
          </w:p>
        </w:tc>
        <w:tc>
          <w:tcPr>
            <w:tcW w:w="1468" w:type="dxa"/>
            <w:vAlign w:val="center"/>
          </w:tcPr>
          <w:p w14:paraId="2B8B721D" w14:textId="77777777" w:rsidR="009C353B" w:rsidRDefault="00000000">
            <w:pPr>
              <w:pStyle w:val="afffff7"/>
              <w:adjustRightInd/>
              <w:spacing w:line="240" w:lineRule="auto"/>
              <w:jc w:val="center"/>
              <w:rPr>
                <w:rFonts w:ascii="Times New Roman" w:hAnsi="Times New Roman"/>
                <w:szCs w:val="21"/>
              </w:rPr>
            </w:pPr>
            <w:r>
              <w:rPr>
                <w:rFonts w:ascii="Times New Roman" w:hAnsi="Times New Roman"/>
                <w:szCs w:val="21"/>
              </w:rPr>
              <w:t>2500~5000</w:t>
            </w:r>
          </w:p>
        </w:tc>
      </w:tr>
      <w:tr w:rsidR="009C353B" w14:paraId="22C10CC0" w14:textId="77777777">
        <w:trPr>
          <w:trHeight w:val="284"/>
        </w:trPr>
        <w:tc>
          <w:tcPr>
            <w:tcW w:w="1384" w:type="dxa"/>
            <w:vAlign w:val="center"/>
          </w:tcPr>
          <w:p w14:paraId="2D0B7BF7" w14:textId="77777777" w:rsidR="009C353B" w:rsidRDefault="00000000">
            <w:pPr>
              <w:pStyle w:val="afffff7"/>
              <w:adjustRightInd/>
              <w:spacing w:line="240" w:lineRule="auto"/>
              <w:jc w:val="center"/>
              <w:rPr>
                <w:rFonts w:ascii="Times New Roman" w:hAnsi="Times New Roman"/>
                <w:szCs w:val="21"/>
              </w:rPr>
            </w:pPr>
            <w:r>
              <w:rPr>
                <w:rFonts w:ascii="Times New Roman"/>
                <w:szCs w:val="21"/>
              </w:rPr>
              <w:t>强烈侵蚀</w:t>
            </w:r>
          </w:p>
        </w:tc>
        <w:tc>
          <w:tcPr>
            <w:tcW w:w="2977" w:type="dxa"/>
            <w:vAlign w:val="center"/>
          </w:tcPr>
          <w:p w14:paraId="2C9F836E" w14:textId="77777777" w:rsidR="009C353B" w:rsidRDefault="00000000">
            <w:pPr>
              <w:jc w:val="center"/>
              <w:rPr>
                <w:rFonts w:ascii="Times New Roman" w:hAnsi="Times New Roman"/>
                <w:sz w:val="21"/>
                <w:szCs w:val="21"/>
              </w:rPr>
            </w:pPr>
            <w:r>
              <w:rPr>
                <w:rFonts w:ascii="Times New Roman"/>
                <w:sz w:val="21"/>
                <w:szCs w:val="21"/>
              </w:rPr>
              <w:t>半固定沙丘、流动沙丘、沙地</w:t>
            </w:r>
          </w:p>
        </w:tc>
        <w:tc>
          <w:tcPr>
            <w:tcW w:w="1417" w:type="dxa"/>
            <w:vAlign w:val="center"/>
          </w:tcPr>
          <w:p w14:paraId="7E81DE7C" w14:textId="77777777" w:rsidR="009C353B" w:rsidRDefault="00000000">
            <w:pPr>
              <w:jc w:val="center"/>
              <w:rPr>
                <w:rFonts w:ascii="Times New Roman" w:hAnsi="Times New Roman"/>
                <w:sz w:val="21"/>
                <w:szCs w:val="21"/>
              </w:rPr>
            </w:pPr>
            <w:r>
              <w:rPr>
                <w:rFonts w:ascii="Times New Roman" w:hAnsi="Times New Roman"/>
                <w:sz w:val="21"/>
                <w:szCs w:val="21"/>
              </w:rPr>
              <w:t>30~10</w:t>
            </w:r>
          </w:p>
        </w:tc>
        <w:tc>
          <w:tcPr>
            <w:tcW w:w="1276" w:type="dxa"/>
            <w:vAlign w:val="center"/>
          </w:tcPr>
          <w:p w14:paraId="57413ED8" w14:textId="77777777" w:rsidR="009C353B" w:rsidRDefault="00000000">
            <w:pPr>
              <w:jc w:val="center"/>
              <w:rPr>
                <w:rFonts w:ascii="Times New Roman" w:hAnsi="Times New Roman"/>
                <w:sz w:val="21"/>
                <w:szCs w:val="21"/>
              </w:rPr>
            </w:pPr>
            <w:r>
              <w:rPr>
                <w:rFonts w:ascii="Times New Roman" w:hAnsi="Times New Roman"/>
                <w:sz w:val="21"/>
                <w:szCs w:val="21"/>
              </w:rPr>
              <w:t>25~50</w:t>
            </w:r>
          </w:p>
        </w:tc>
        <w:tc>
          <w:tcPr>
            <w:tcW w:w="1468" w:type="dxa"/>
            <w:vAlign w:val="center"/>
          </w:tcPr>
          <w:p w14:paraId="7D14D1C9" w14:textId="77777777" w:rsidR="009C353B" w:rsidRDefault="00000000">
            <w:pPr>
              <w:pStyle w:val="afffff7"/>
              <w:adjustRightInd/>
              <w:spacing w:line="240" w:lineRule="auto"/>
              <w:jc w:val="center"/>
              <w:rPr>
                <w:rFonts w:ascii="Times New Roman" w:hAnsi="Times New Roman"/>
                <w:szCs w:val="21"/>
              </w:rPr>
            </w:pPr>
            <w:r>
              <w:rPr>
                <w:rFonts w:ascii="Times New Roman" w:hAnsi="Times New Roman"/>
                <w:szCs w:val="21"/>
              </w:rPr>
              <w:t>5000~8000</w:t>
            </w:r>
          </w:p>
        </w:tc>
      </w:tr>
      <w:tr w:rsidR="009C353B" w14:paraId="1E9650B5" w14:textId="77777777">
        <w:trPr>
          <w:trHeight w:val="284"/>
        </w:trPr>
        <w:tc>
          <w:tcPr>
            <w:tcW w:w="1384" w:type="dxa"/>
            <w:vAlign w:val="center"/>
          </w:tcPr>
          <w:p w14:paraId="6312D79F" w14:textId="77777777" w:rsidR="009C353B" w:rsidRDefault="00000000">
            <w:pPr>
              <w:pStyle w:val="afffff7"/>
              <w:adjustRightInd/>
              <w:spacing w:line="240" w:lineRule="auto"/>
              <w:jc w:val="center"/>
              <w:rPr>
                <w:rFonts w:ascii="Times New Roman" w:hAnsi="Times New Roman"/>
                <w:szCs w:val="21"/>
              </w:rPr>
            </w:pPr>
            <w:r>
              <w:rPr>
                <w:rFonts w:ascii="Times New Roman"/>
                <w:szCs w:val="21"/>
              </w:rPr>
              <w:t>极强烈侵蚀</w:t>
            </w:r>
          </w:p>
        </w:tc>
        <w:tc>
          <w:tcPr>
            <w:tcW w:w="2977" w:type="dxa"/>
            <w:vAlign w:val="center"/>
          </w:tcPr>
          <w:p w14:paraId="64E6DF9A" w14:textId="77777777" w:rsidR="009C353B" w:rsidRDefault="00000000">
            <w:pPr>
              <w:jc w:val="center"/>
              <w:rPr>
                <w:rFonts w:ascii="Times New Roman" w:hAnsi="Times New Roman"/>
                <w:sz w:val="21"/>
                <w:szCs w:val="21"/>
              </w:rPr>
            </w:pPr>
            <w:r>
              <w:rPr>
                <w:rFonts w:ascii="Times New Roman"/>
                <w:sz w:val="21"/>
                <w:szCs w:val="21"/>
              </w:rPr>
              <w:t>流动沙丘、沙地</w:t>
            </w:r>
          </w:p>
        </w:tc>
        <w:tc>
          <w:tcPr>
            <w:tcW w:w="1417" w:type="dxa"/>
            <w:vAlign w:val="center"/>
          </w:tcPr>
          <w:p w14:paraId="081D05EB" w14:textId="77777777" w:rsidR="009C353B" w:rsidRDefault="00000000">
            <w:pPr>
              <w:jc w:val="center"/>
              <w:rPr>
                <w:rFonts w:ascii="Times New Roman" w:hAnsi="Times New Roman"/>
                <w:sz w:val="21"/>
                <w:szCs w:val="21"/>
              </w:rPr>
            </w:pPr>
            <w:r>
              <w:rPr>
                <w:rFonts w:ascii="Times New Roman" w:hAnsi="Times New Roman"/>
                <w:sz w:val="21"/>
                <w:szCs w:val="21"/>
              </w:rPr>
              <w:t>&lt;10</w:t>
            </w:r>
          </w:p>
        </w:tc>
        <w:tc>
          <w:tcPr>
            <w:tcW w:w="1276" w:type="dxa"/>
            <w:vAlign w:val="center"/>
          </w:tcPr>
          <w:p w14:paraId="5C78BC38" w14:textId="77777777" w:rsidR="009C353B" w:rsidRDefault="00000000">
            <w:pPr>
              <w:jc w:val="center"/>
              <w:rPr>
                <w:rFonts w:ascii="Times New Roman" w:hAnsi="Times New Roman"/>
                <w:sz w:val="21"/>
                <w:szCs w:val="21"/>
              </w:rPr>
            </w:pPr>
            <w:r>
              <w:rPr>
                <w:rFonts w:ascii="Times New Roman" w:hAnsi="Times New Roman"/>
                <w:sz w:val="21"/>
                <w:szCs w:val="21"/>
              </w:rPr>
              <w:t>50~100</w:t>
            </w:r>
          </w:p>
        </w:tc>
        <w:tc>
          <w:tcPr>
            <w:tcW w:w="1468" w:type="dxa"/>
            <w:vAlign w:val="center"/>
          </w:tcPr>
          <w:p w14:paraId="1ED9A4DC" w14:textId="77777777" w:rsidR="009C353B" w:rsidRDefault="00000000">
            <w:pPr>
              <w:pStyle w:val="afffff7"/>
              <w:adjustRightInd/>
              <w:spacing w:line="240" w:lineRule="auto"/>
              <w:jc w:val="center"/>
              <w:rPr>
                <w:rFonts w:ascii="Times New Roman" w:hAnsi="Times New Roman"/>
                <w:szCs w:val="21"/>
              </w:rPr>
            </w:pPr>
            <w:r>
              <w:rPr>
                <w:rFonts w:ascii="Times New Roman" w:hAnsi="Times New Roman"/>
                <w:szCs w:val="21"/>
              </w:rPr>
              <w:t>8000~15000</w:t>
            </w:r>
          </w:p>
        </w:tc>
      </w:tr>
      <w:tr w:rsidR="009C353B" w14:paraId="03B97CE4" w14:textId="77777777">
        <w:trPr>
          <w:trHeight w:val="284"/>
        </w:trPr>
        <w:tc>
          <w:tcPr>
            <w:tcW w:w="1384" w:type="dxa"/>
            <w:vAlign w:val="center"/>
          </w:tcPr>
          <w:p w14:paraId="07A2FFDB" w14:textId="77777777" w:rsidR="009C353B" w:rsidRDefault="00000000">
            <w:pPr>
              <w:pStyle w:val="afffff7"/>
              <w:adjustRightInd/>
              <w:spacing w:line="240" w:lineRule="auto"/>
              <w:jc w:val="center"/>
              <w:rPr>
                <w:rFonts w:ascii="Times New Roman" w:hAnsi="Times New Roman"/>
                <w:szCs w:val="21"/>
              </w:rPr>
            </w:pPr>
            <w:r>
              <w:rPr>
                <w:rFonts w:ascii="Times New Roman"/>
                <w:szCs w:val="21"/>
              </w:rPr>
              <w:t>剧烈侵蚀</w:t>
            </w:r>
          </w:p>
        </w:tc>
        <w:tc>
          <w:tcPr>
            <w:tcW w:w="2977" w:type="dxa"/>
            <w:vAlign w:val="center"/>
          </w:tcPr>
          <w:p w14:paraId="133E2EB5" w14:textId="77777777" w:rsidR="009C353B" w:rsidRDefault="00000000">
            <w:pPr>
              <w:jc w:val="center"/>
              <w:rPr>
                <w:rFonts w:ascii="Times New Roman" w:hAnsi="Times New Roman"/>
                <w:sz w:val="21"/>
                <w:szCs w:val="21"/>
              </w:rPr>
            </w:pPr>
            <w:r>
              <w:rPr>
                <w:rFonts w:ascii="Times New Roman"/>
                <w:sz w:val="21"/>
                <w:szCs w:val="21"/>
              </w:rPr>
              <w:t>大片流动沙丘</w:t>
            </w:r>
          </w:p>
        </w:tc>
        <w:tc>
          <w:tcPr>
            <w:tcW w:w="1417" w:type="dxa"/>
            <w:vAlign w:val="center"/>
          </w:tcPr>
          <w:p w14:paraId="5392876E" w14:textId="77777777" w:rsidR="009C353B" w:rsidRDefault="00000000">
            <w:pPr>
              <w:jc w:val="center"/>
              <w:rPr>
                <w:rFonts w:ascii="Times New Roman" w:hAnsi="Times New Roman"/>
                <w:sz w:val="21"/>
                <w:szCs w:val="21"/>
              </w:rPr>
            </w:pPr>
            <w:r>
              <w:rPr>
                <w:rFonts w:ascii="Times New Roman" w:hAnsi="Times New Roman"/>
                <w:sz w:val="21"/>
                <w:szCs w:val="21"/>
              </w:rPr>
              <w:t>&lt;10</w:t>
            </w:r>
          </w:p>
        </w:tc>
        <w:tc>
          <w:tcPr>
            <w:tcW w:w="1276" w:type="dxa"/>
            <w:vAlign w:val="center"/>
          </w:tcPr>
          <w:p w14:paraId="37627136" w14:textId="77777777" w:rsidR="009C353B" w:rsidRDefault="00000000">
            <w:pPr>
              <w:jc w:val="center"/>
              <w:rPr>
                <w:rFonts w:ascii="Times New Roman" w:hAnsi="Times New Roman"/>
                <w:sz w:val="21"/>
                <w:szCs w:val="21"/>
              </w:rPr>
            </w:pPr>
            <w:r>
              <w:rPr>
                <w:rFonts w:ascii="Times New Roman" w:hAnsi="Times New Roman"/>
                <w:sz w:val="21"/>
                <w:szCs w:val="21"/>
              </w:rPr>
              <w:t>&gt;100</w:t>
            </w:r>
          </w:p>
        </w:tc>
        <w:tc>
          <w:tcPr>
            <w:tcW w:w="1468" w:type="dxa"/>
            <w:vAlign w:val="center"/>
          </w:tcPr>
          <w:p w14:paraId="569DEDD2" w14:textId="77777777" w:rsidR="009C353B" w:rsidRDefault="00000000">
            <w:pPr>
              <w:pStyle w:val="afffff7"/>
              <w:adjustRightInd/>
              <w:spacing w:line="240" w:lineRule="auto"/>
              <w:jc w:val="center"/>
              <w:rPr>
                <w:rFonts w:ascii="Times New Roman" w:hAnsi="Times New Roman"/>
                <w:szCs w:val="21"/>
              </w:rPr>
            </w:pPr>
            <w:r>
              <w:rPr>
                <w:rFonts w:ascii="Times New Roman" w:hAnsi="Times New Roman"/>
                <w:szCs w:val="21"/>
              </w:rPr>
              <w:t>&gt;15000</w:t>
            </w:r>
          </w:p>
        </w:tc>
      </w:tr>
    </w:tbl>
    <w:p w14:paraId="7DF8E402" w14:textId="77777777" w:rsidR="009C353B" w:rsidRDefault="00000000">
      <w:pPr>
        <w:pStyle w:val="affffff0"/>
        <w:adjustRightInd w:val="0"/>
        <w:spacing w:line="440" w:lineRule="exact"/>
        <w:jc w:val="center"/>
        <w:rPr>
          <w:rFonts w:ascii="Times New Roman" w:hAnsi="Times New Roman"/>
        </w:rPr>
      </w:pPr>
      <w:r>
        <w:rPr>
          <w:rFonts w:ascii="Times New Roman"/>
        </w:rPr>
        <w:t>水力侵蚀强度分级指标</w:t>
      </w:r>
    </w:p>
    <w:p w14:paraId="50500EDF" w14:textId="77777777" w:rsidR="009C353B" w:rsidRDefault="00000000">
      <w:pPr>
        <w:pStyle w:val="affffd"/>
        <w:spacing w:line="440" w:lineRule="exact"/>
        <w:rPr>
          <w:rFonts w:ascii="Times New Roman" w:hAnsi="Times New Roman"/>
        </w:rPr>
      </w:pPr>
      <w:r>
        <w:rPr>
          <w:rStyle w:val="CharChar6"/>
          <w:rFonts w:ascii="Times New Roman"/>
        </w:rPr>
        <w:t>表</w:t>
      </w:r>
      <w:r>
        <w:rPr>
          <w:rStyle w:val="CharChar6"/>
          <w:rFonts w:ascii="Times New Roman" w:hAnsi="Times New Roman" w:hint="eastAsia"/>
        </w:rPr>
        <w:t>3.4-21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3102"/>
        <w:gridCol w:w="3100"/>
      </w:tblGrid>
      <w:tr w:rsidR="009C353B" w14:paraId="1CECD38F" w14:textId="77777777">
        <w:trPr>
          <w:cantSplit/>
          <w:trHeight w:val="284"/>
          <w:jc w:val="center"/>
        </w:trPr>
        <w:tc>
          <w:tcPr>
            <w:tcW w:w="1661" w:type="pct"/>
            <w:tcBorders>
              <w:top w:val="single" w:sz="4" w:space="0" w:color="auto"/>
              <w:left w:val="single" w:sz="4" w:space="0" w:color="auto"/>
              <w:bottom w:val="single" w:sz="4" w:space="0" w:color="auto"/>
              <w:right w:val="single" w:sz="4" w:space="0" w:color="auto"/>
            </w:tcBorders>
            <w:vAlign w:val="center"/>
          </w:tcPr>
          <w:p w14:paraId="2A575B74" w14:textId="77777777" w:rsidR="009C353B" w:rsidRDefault="00000000">
            <w:pPr>
              <w:pStyle w:val="afffff7"/>
              <w:spacing w:line="240" w:lineRule="auto"/>
              <w:jc w:val="center"/>
              <w:rPr>
                <w:rFonts w:ascii="Times New Roman" w:hAnsi="Times New Roman"/>
              </w:rPr>
            </w:pPr>
            <w:r>
              <w:rPr>
                <w:rFonts w:ascii="Times New Roman"/>
              </w:rPr>
              <w:t>侵蚀等级</w:t>
            </w:r>
          </w:p>
        </w:tc>
        <w:tc>
          <w:tcPr>
            <w:tcW w:w="1670" w:type="pct"/>
            <w:tcBorders>
              <w:top w:val="single" w:sz="4" w:space="0" w:color="auto"/>
              <w:left w:val="single" w:sz="4" w:space="0" w:color="auto"/>
              <w:bottom w:val="single" w:sz="4" w:space="0" w:color="auto"/>
              <w:right w:val="single" w:sz="4" w:space="0" w:color="auto"/>
            </w:tcBorders>
            <w:vAlign w:val="center"/>
          </w:tcPr>
          <w:p w14:paraId="745C2DD4" w14:textId="77777777" w:rsidR="009C353B" w:rsidRDefault="00000000">
            <w:pPr>
              <w:pStyle w:val="afffff7"/>
              <w:spacing w:line="240" w:lineRule="auto"/>
              <w:jc w:val="center"/>
              <w:rPr>
                <w:rFonts w:ascii="Times New Roman" w:hAnsi="Times New Roman"/>
              </w:rPr>
            </w:pPr>
            <w:r>
              <w:rPr>
                <w:rFonts w:ascii="Times New Roman"/>
              </w:rPr>
              <w:t>平均侵蚀模数</w:t>
            </w:r>
            <w:r>
              <w:rPr>
                <w:rFonts w:ascii="Times New Roman" w:hAnsi="Times New Roman"/>
              </w:rPr>
              <w:t>〔</w:t>
            </w:r>
            <w:r>
              <w:rPr>
                <w:rFonts w:ascii="Times New Roman" w:hAnsi="Times New Roman"/>
              </w:rPr>
              <w:t>t/(km</w:t>
            </w:r>
            <w:r>
              <w:rPr>
                <w:rFonts w:ascii="Times New Roman" w:hAnsi="Times New Roman"/>
                <w:vertAlign w:val="superscript"/>
              </w:rPr>
              <w:t>2</w:t>
            </w:r>
            <w:r>
              <w:rPr>
                <w:rFonts w:ascii="Times New Roman" w:hAnsi="Times New Roman"/>
              </w:rPr>
              <w:t>·a)</w:t>
            </w:r>
            <w:r>
              <w:rPr>
                <w:rFonts w:ascii="Times New Roman" w:hAnsi="Times New Roman"/>
              </w:rPr>
              <w:t>〕</w:t>
            </w:r>
          </w:p>
        </w:tc>
        <w:tc>
          <w:tcPr>
            <w:tcW w:w="1669" w:type="pct"/>
            <w:tcBorders>
              <w:top w:val="single" w:sz="4" w:space="0" w:color="auto"/>
              <w:left w:val="single" w:sz="4" w:space="0" w:color="auto"/>
              <w:bottom w:val="single" w:sz="4" w:space="0" w:color="auto"/>
              <w:right w:val="single" w:sz="4" w:space="0" w:color="auto"/>
            </w:tcBorders>
            <w:vAlign w:val="center"/>
          </w:tcPr>
          <w:p w14:paraId="0F57232B" w14:textId="77777777" w:rsidR="009C353B" w:rsidRDefault="00000000">
            <w:pPr>
              <w:pStyle w:val="afffff7"/>
              <w:spacing w:line="240" w:lineRule="auto"/>
              <w:jc w:val="center"/>
              <w:rPr>
                <w:rFonts w:ascii="Times New Roman" w:hAnsi="Times New Roman"/>
              </w:rPr>
            </w:pPr>
            <w:r>
              <w:rPr>
                <w:rFonts w:ascii="Times New Roman"/>
              </w:rPr>
              <w:t>平均流失厚度</w:t>
            </w:r>
            <w:r>
              <w:rPr>
                <w:rFonts w:ascii="Times New Roman" w:hAnsi="Times New Roman"/>
              </w:rPr>
              <w:t>(mm/a)</w:t>
            </w:r>
          </w:p>
        </w:tc>
      </w:tr>
      <w:tr w:rsidR="009C353B" w14:paraId="7E42260B" w14:textId="77777777">
        <w:trPr>
          <w:cantSplit/>
          <w:trHeight w:val="284"/>
          <w:jc w:val="center"/>
        </w:trPr>
        <w:tc>
          <w:tcPr>
            <w:tcW w:w="1661" w:type="pct"/>
            <w:tcBorders>
              <w:top w:val="single" w:sz="4" w:space="0" w:color="auto"/>
              <w:left w:val="single" w:sz="4" w:space="0" w:color="auto"/>
              <w:bottom w:val="single" w:sz="4" w:space="0" w:color="auto"/>
              <w:right w:val="single" w:sz="4" w:space="0" w:color="auto"/>
            </w:tcBorders>
            <w:vAlign w:val="center"/>
          </w:tcPr>
          <w:p w14:paraId="447CCB7F" w14:textId="77777777" w:rsidR="009C353B" w:rsidRDefault="00000000">
            <w:pPr>
              <w:pStyle w:val="afffff7"/>
              <w:spacing w:line="240" w:lineRule="auto"/>
              <w:jc w:val="center"/>
              <w:rPr>
                <w:rFonts w:ascii="Times New Roman" w:hAnsi="Times New Roman"/>
              </w:rPr>
            </w:pPr>
            <w:r>
              <w:rPr>
                <w:rFonts w:ascii="Times New Roman"/>
              </w:rPr>
              <w:t>微度侵蚀</w:t>
            </w:r>
          </w:p>
        </w:tc>
        <w:tc>
          <w:tcPr>
            <w:tcW w:w="1670" w:type="pct"/>
            <w:tcBorders>
              <w:top w:val="single" w:sz="4" w:space="0" w:color="auto"/>
              <w:left w:val="single" w:sz="4" w:space="0" w:color="auto"/>
              <w:bottom w:val="single" w:sz="4" w:space="0" w:color="auto"/>
              <w:right w:val="single" w:sz="4" w:space="0" w:color="auto"/>
            </w:tcBorders>
            <w:vAlign w:val="center"/>
          </w:tcPr>
          <w:p w14:paraId="0297A9F9" w14:textId="77777777" w:rsidR="009C353B" w:rsidRDefault="00000000">
            <w:pPr>
              <w:pStyle w:val="afffff7"/>
              <w:spacing w:line="240" w:lineRule="auto"/>
              <w:jc w:val="center"/>
              <w:rPr>
                <w:rFonts w:ascii="Times New Roman" w:hAnsi="Times New Roman"/>
              </w:rPr>
            </w:pPr>
            <w:r>
              <w:rPr>
                <w:rFonts w:ascii="Times New Roman" w:hAnsi="Times New Roman"/>
              </w:rPr>
              <w:t>&lt;200</w:t>
            </w:r>
            <w:r>
              <w:rPr>
                <w:rFonts w:ascii="Times New Roman"/>
              </w:rPr>
              <w:t>，</w:t>
            </w:r>
            <w:r>
              <w:rPr>
                <w:rFonts w:ascii="Times New Roman" w:hAnsi="Times New Roman"/>
              </w:rPr>
              <w:t>&lt;500</w:t>
            </w:r>
            <w:r>
              <w:rPr>
                <w:rFonts w:ascii="Times New Roman"/>
              </w:rPr>
              <w:t>，</w:t>
            </w:r>
            <w:r>
              <w:rPr>
                <w:rFonts w:ascii="Times New Roman" w:hAnsi="Times New Roman"/>
              </w:rPr>
              <w:t>&lt;1000</w:t>
            </w:r>
          </w:p>
        </w:tc>
        <w:tc>
          <w:tcPr>
            <w:tcW w:w="1669" w:type="pct"/>
            <w:tcBorders>
              <w:top w:val="single" w:sz="4" w:space="0" w:color="auto"/>
              <w:left w:val="single" w:sz="4" w:space="0" w:color="auto"/>
              <w:bottom w:val="single" w:sz="4" w:space="0" w:color="auto"/>
              <w:right w:val="single" w:sz="4" w:space="0" w:color="auto"/>
            </w:tcBorders>
            <w:vAlign w:val="center"/>
          </w:tcPr>
          <w:p w14:paraId="0F6058FA" w14:textId="77777777" w:rsidR="009C353B" w:rsidRDefault="00000000">
            <w:pPr>
              <w:pStyle w:val="afffff7"/>
              <w:spacing w:line="240" w:lineRule="auto"/>
              <w:jc w:val="center"/>
              <w:rPr>
                <w:rFonts w:ascii="Times New Roman" w:hAnsi="Times New Roman"/>
              </w:rPr>
            </w:pPr>
            <w:r>
              <w:rPr>
                <w:rFonts w:ascii="Times New Roman" w:hAnsi="Times New Roman"/>
              </w:rPr>
              <w:t>&lt;0.15</w:t>
            </w:r>
            <w:r>
              <w:rPr>
                <w:rFonts w:ascii="Times New Roman"/>
              </w:rPr>
              <w:t>，</w:t>
            </w:r>
            <w:r>
              <w:rPr>
                <w:rFonts w:ascii="Times New Roman" w:hAnsi="Times New Roman"/>
              </w:rPr>
              <w:t>&lt;0.37</w:t>
            </w:r>
            <w:r>
              <w:rPr>
                <w:rFonts w:ascii="Times New Roman"/>
              </w:rPr>
              <w:t>，</w:t>
            </w:r>
            <w:r>
              <w:rPr>
                <w:rFonts w:ascii="Times New Roman" w:hAnsi="Times New Roman"/>
              </w:rPr>
              <w:t>&lt;0.74</w:t>
            </w:r>
          </w:p>
        </w:tc>
      </w:tr>
      <w:tr w:rsidR="009C353B" w14:paraId="0DD38B7D" w14:textId="77777777">
        <w:trPr>
          <w:cantSplit/>
          <w:trHeight w:val="284"/>
          <w:jc w:val="center"/>
        </w:trPr>
        <w:tc>
          <w:tcPr>
            <w:tcW w:w="1661" w:type="pct"/>
            <w:tcBorders>
              <w:top w:val="single" w:sz="4" w:space="0" w:color="auto"/>
              <w:left w:val="single" w:sz="4" w:space="0" w:color="auto"/>
              <w:bottom w:val="single" w:sz="4" w:space="0" w:color="auto"/>
              <w:right w:val="single" w:sz="4" w:space="0" w:color="auto"/>
            </w:tcBorders>
            <w:vAlign w:val="center"/>
          </w:tcPr>
          <w:p w14:paraId="4ABA5FD1" w14:textId="77777777" w:rsidR="009C353B" w:rsidRDefault="00000000">
            <w:pPr>
              <w:pStyle w:val="afffff7"/>
              <w:spacing w:line="240" w:lineRule="auto"/>
              <w:jc w:val="center"/>
              <w:rPr>
                <w:rFonts w:ascii="Times New Roman" w:hAnsi="Times New Roman"/>
              </w:rPr>
            </w:pPr>
            <w:r>
              <w:rPr>
                <w:rFonts w:ascii="Times New Roman"/>
              </w:rPr>
              <w:t>轻度侵蚀</w:t>
            </w:r>
          </w:p>
        </w:tc>
        <w:tc>
          <w:tcPr>
            <w:tcW w:w="1670" w:type="pct"/>
            <w:tcBorders>
              <w:top w:val="single" w:sz="4" w:space="0" w:color="auto"/>
              <w:left w:val="single" w:sz="4" w:space="0" w:color="auto"/>
              <w:bottom w:val="single" w:sz="4" w:space="0" w:color="auto"/>
              <w:right w:val="single" w:sz="4" w:space="0" w:color="auto"/>
            </w:tcBorders>
            <w:vAlign w:val="center"/>
          </w:tcPr>
          <w:p w14:paraId="6AFABD73" w14:textId="77777777" w:rsidR="009C353B" w:rsidRDefault="00000000">
            <w:pPr>
              <w:pStyle w:val="afffff7"/>
              <w:spacing w:line="240" w:lineRule="auto"/>
              <w:jc w:val="center"/>
              <w:rPr>
                <w:rFonts w:ascii="Times New Roman" w:hAnsi="Times New Roman"/>
              </w:rPr>
            </w:pPr>
            <w:r>
              <w:rPr>
                <w:rFonts w:ascii="Times New Roman" w:hAnsi="Times New Roman"/>
              </w:rPr>
              <w:t>200</w:t>
            </w:r>
            <w:r>
              <w:rPr>
                <w:rFonts w:ascii="Times New Roman"/>
              </w:rPr>
              <w:t>，</w:t>
            </w:r>
            <w:r>
              <w:rPr>
                <w:rFonts w:ascii="Times New Roman" w:hAnsi="Times New Roman"/>
              </w:rPr>
              <w:t>500</w:t>
            </w:r>
            <w:r>
              <w:rPr>
                <w:rFonts w:ascii="Times New Roman"/>
              </w:rPr>
              <w:t>，</w:t>
            </w:r>
            <w:r>
              <w:rPr>
                <w:rFonts w:ascii="Times New Roman" w:hAnsi="Times New Roman"/>
              </w:rPr>
              <w:t>1000~2500</w:t>
            </w:r>
          </w:p>
        </w:tc>
        <w:tc>
          <w:tcPr>
            <w:tcW w:w="1669" w:type="pct"/>
            <w:tcBorders>
              <w:top w:val="single" w:sz="4" w:space="0" w:color="auto"/>
              <w:left w:val="single" w:sz="4" w:space="0" w:color="auto"/>
              <w:bottom w:val="single" w:sz="4" w:space="0" w:color="auto"/>
              <w:right w:val="single" w:sz="4" w:space="0" w:color="auto"/>
            </w:tcBorders>
            <w:vAlign w:val="center"/>
          </w:tcPr>
          <w:p w14:paraId="3042CD87" w14:textId="77777777" w:rsidR="009C353B" w:rsidRDefault="00000000">
            <w:pPr>
              <w:pStyle w:val="afffff7"/>
              <w:spacing w:line="240" w:lineRule="auto"/>
              <w:jc w:val="center"/>
              <w:rPr>
                <w:rFonts w:ascii="Times New Roman" w:hAnsi="Times New Roman"/>
              </w:rPr>
            </w:pPr>
            <w:r>
              <w:rPr>
                <w:rFonts w:ascii="Times New Roman" w:hAnsi="Times New Roman"/>
              </w:rPr>
              <w:t>0.15</w:t>
            </w:r>
            <w:r>
              <w:rPr>
                <w:rFonts w:ascii="Times New Roman"/>
              </w:rPr>
              <w:t>，</w:t>
            </w:r>
            <w:r>
              <w:rPr>
                <w:rFonts w:ascii="Times New Roman" w:hAnsi="Times New Roman"/>
              </w:rPr>
              <w:t>0.37</w:t>
            </w:r>
            <w:r>
              <w:rPr>
                <w:rFonts w:ascii="Times New Roman"/>
              </w:rPr>
              <w:t>，</w:t>
            </w:r>
            <w:r>
              <w:rPr>
                <w:rFonts w:ascii="Times New Roman" w:hAnsi="Times New Roman"/>
              </w:rPr>
              <w:t>0.74~1.9</w:t>
            </w:r>
          </w:p>
        </w:tc>
      </w:tr>
      <w:tr w:rsidR="009C353B" w14:paraId="11462667" w14:textId="77777777">
        <w:trPr>
          <w:cantSplit/>
          <w:trHeight w:val="284"/>
          <w:jc w:val="center"/>
        </w:trPr>
        <w:tc>
          <w:tcPr>
            <w:tcW w:w="1661" w:type="pct"/>
            <w:tcBorders>
              <w:top w:val="single" w:sz="4" w:space="0" w:color="auto"/>
              <w:left w:val="single" w:sz="4" w:space="0" w:color="auto"/>
              <w:bottom w:val="single" w:sz="4" w:space="0" w:color="auto"/>
              <w:right w:val="single" w:sz="4" w:space="0" w:color="auto"/>
            </w:tcBorders>
            <w:vAlign w:val="center"/>
          </w:tcPr>
          <w:p w14:paraId="079AECEA" w14:textId="77777777" w:rsidR="009C353B" w:rsidRDefault="00000000">
            <w:pPr>
              <w:pStyle w:val="afffff7"/>
              <w:spacing w:line="240" w:lineRule="auto"/>
              <w:jc w:val="center"/>
              <w:rPr>
                <w:rFonts w:ascii="Times New Roman" w:hAnsi="Times New Roman"/>
              </w:rPr>
            </w:pPr>
            <w:r>
              <w:rPr>
                <w:rFonts w:ascii="Times New Roman"/>
              </w:rPr>
              <w:t>中度侵蚀</w:t>
            </w:r>
          </w:p>
        </w:tc>
        <w:tc>
          <w:tcPr>
            <w:tcW w:w="1670" w:type="pct"/>
            <w:tcBorders>
              <w:top w:val="single" w:sz="4" w:space="0" w:color="auto"/>
              <w:left w:val="single" w:sz="4" w:space="0" w:color="auto"/>
              <w:bottom w:val="single" w:sz="4" w:space="0" w:color="auto"/>
              <w:right w:val="single" w:sz="4" w:space="0" w:color="auto"/>
            </w:tcBorders>
            <w:vAlign w:val="center"/>
          </w:tcPr>
          <w:p w14:paraId="5D7F90D1" w14:textId="77777777" w:rsidR="009C353B" w:rsidRDefault="00000000">
            <w:pPr>
              <w:pStyle w:val="afffff7"/>
              <w:spacing w:line="240" w:lineRule="auto"/>
              <w:jc w:val="center"/>
              <w:rPr>
                <w:rFonts w:ascii="Times New Roman" w:hAnsi="Times New Roman"/>
              </w:rPr>
            </w:pPr>
            <w:r>
              <w:rPr>
                <w:rFonts w:ascii="Times New Roman" w:hAnsi="Times New Roman"/>
              </w:rPr>
              <w:t>2500~5000</w:t>
            </w:r>
          </w:p>
        </w:tc>
        <w:tc>
          <w:tcPr>
            <w:tcW w:w="1669" w:type="pct"/>
            <w:tcBorders>
              <w:top w:val="single" w:sz="4" w:space="0" w:color="auto"/>
              <w:left w:val="single" w:sz="4" w:space="0" w:color="auto"/>
              <w:bottom w:val="single" w:sz="4" w:space="0" w:color="auto"/>
              <w:right w:val="single" w:sz="4" w:space="0" w:color="auto"/>
            </w:tcBorders>
            <w:vAlign w:val="center"/>
          </w:tcPr>
          <w:p w14:paraId="01E38A88" w14:textId="77777777" w:rsidR="009C353B" w:rsidRDefault="00000000">
            <w:pPr>
              <w:pStyle w:val="afffff7"/>
              <w:spacing w:line="240" w:lineRule="auto"/>
              <w:jc w:val="center"/>
              <w:rPr>
                <w:rFonts w:ascii="Times New Roman" w:hAnsi="Times New Roman"/>
              </w:rPr>
            </w:pPr>
            <w:r>
              <w:rPr>
                <w:rFonts w:ascii="Times New Roman" w:hAnsi="Times New Roman"/>
              </w:rPr>
              <w:t>1.9~3.7</w:t>
            </w:r>
          </w:p>
        </w:tc>
      </w:tr>
      <w:tr w:rsidR="009C353B" w14:paraId="0433F277" w14:textId="77777777">
        <w:trPr>
          <w:cantSplit/>
          <w:trHeight w:val="284"/>
          <w:jc w:val="center"/>
        </w:trPr>
        <w:tc>
          <w:tcPr>
            <w:tcW w:w="1661" w:type="pct"/>
            <w:tcBorders>
              <w:top w:val="single" w:sz="4" w:space="0" w:color="auto"/>
              <w:left w:val="single" w:sz="4" w:space="0" w:color="auto"/>
              <w:bottom w:val="single" w:sz="4" w:space="0" w:color="auto"/>
              <w:right w:val="single" w:sz="4" w:space="0" w:color="auto"/>
            </w:tcBorders>
            <w:vAlign w:val="center"/>
          </w:tcPr>
          <w:p w14:paraId="4B3BEA3A" w14:textId="77777777" w:rsidR="009C353B" w:rsidRDefault="00000000">
            <w:pPr>
              <w:pStyle w:val="afffff7"/>
              <w:spacing w:line="240" w:lineRule="auto"/>
              <w:jc w:val="center"/>
              <w:rPr>
                <w:rFonts w:ascii="Times New Roman" w:hAnsi="Times New Roman"/>
              </w:rPr>
            </w:pPr>
            <w:r>
              <w:rPr>
                <w:rFonts w:ascii="Times New Roman"/>
              </w:rPr>
              <w:t>强烈侵蚀</w:t>
            </w:r>
          </w:p>
        </w:tc>
        <w:tc>
          <w:tcPr>
            <w:tcW w:w="1670" w:type="pct"/>
            <w:tcBorders>
              <w:top w:val="single" w:sz="4" w:space="0" w:color="auto"/>
              <w:left w:val="single" w:sz="4" w:space="0" w:color="auto"/>
              <w:bottom w:val="single" w:sz="4" w:space="0" w:color="auto"/>
              <w:right w:val="single" w:sz="4" w:space="0" w:color="auto"/>
            </w:tcBorders>
            <w:vAlign w:val="center"/>
          </w:tcPr>
          <w:p w14:paraId="54959560" w14:textId="77777777" w:rsidR="009C353B" w:rsidRDefault="00000000">
            <w:pPr>
              <w:pStyle w:val="afffff7"/>
              <w:spacing w:line="240" w:lineRule="auto"/>
              <w:jc w:val="center"/>
              <w:rPr>
                <w:rFonts w:ascii="Times New Roman" w:hAnsi="Times New Roman"/>
              </w:rPr>
            </w:pPr>
            <w:r>
              <w:rPr>
                <w:rFonts w:ascii="Times New Roman" w:hAnsi="Times New Roman"/>
              </w:rPr>
              <w:t>5000~8000</w:t>
            </w:r>
          </w:p>
        </w:tc>
        <w:tc>
          <w:tcPr>
            <w:tcW w:w="1669" w:type="pct"/>
            <w:tcBorders>
              <w:top w:val="single" w:sz="4" w:space="0" w:color="auto"/>
              <w:left w:val="single" w:sz="4" w:space="0" w:color="auto"/>
              <w:bottom w:val="single" w:sz="4" w:space="0" w:color="auto"/>
              <w:right w:val="single" w:sz="4" w:space="0" w:color="auto"/>
            </w:tcBorders>
            <w:vAlign w:val="center"/>
          </w:tcPr>
          <w:p w14:paraId="099069B5" w14:textId="77777777" w:rsidR="009C353B" w:rsidRDefault="00000000">
            <w:pPr>
              <w:pStyle w:val="afffff7"/>
              <w:spacing w:line="240" w:lineRule="auto"/>
              <w:jc w:val="center"/>
              <w:rPr>
                <w:rFonts w:ascii="Times New Roman" w:hAnsi="Times New Roman"/>
              </w:rPr>
            </w:pPr>
            <w:r>
              <w:rPr>
                <w:rFonts w:ascii="Times New Roman" w:hAnsi="Times New Roman"/>
              </w:rPr>
              <w:t>3.7~5.9</w:t>
            </w:r>
          </w:p>
        </w:tc>
      </w:tr>
      <w:tr w:rsidR="009C353B" w14:paraId="2620EC74" w14:textId="77777777">
        <w:trPr>
          <w:cantSplit/>
          <w:trHeight w:val="284"/>
          <w:jc w:val="center"/>
        </w:trPr>
        <w:tc>
          <w:tcPr>
            <w:tcW w:w="1661" w:type="pct"/>
            <w:tcBorders>
              <w:top w:val="single" w:sz="4" w:space="0" w:color="auto"/>
              <w:left w:val="single" w:sz="4" w:space="0" w:color="auto"/>
              <w:bottom w:val="single" w:sz="4" w:space="0" w:color="auto"/>
              <w:right w:val="single" w:sz="4" w:space="0" w:color="auto"/>
            </w:tcBorders>
            <w:vAlign w:val="center"/>
          </w:tcPr>
          <w:p w14:paraId="57E96B10" w14:textId="77777777" w:rsidR="009C353B" w:rsidRDefault="00000000">
            <w:pPr>
              <w:pStyle w:val="afffff7"/>
              <w:spacing w:line="240" w:lineRule="auto"/>
              <w:jc w:val="center"/>
              <w:rPr>
                <w:rFonts w:ascii="Times New Roman" w:hAnsi="Times New Roman"/>
              </w:rPr>
            </w:pPr>
            <w:r>
              <w:rPr>
                <w:rFonts w:ascii="Times New Roman"/>
              </w:rPr>
              <w:t>极强烈侵蚀</w:t>
            </w:r>
          </w:p>
        </w:tc>
        <w:tc>
          <w:tcPr>
            <w:tcW w:w="1670" w:type="pct"/>
            <w:tcBorders>
              <w:top w:val="single" w:sz="4" w:space="0" w:color="auto"/>
              <w:left w:val="single" w:sz="4" w:space="0" w:color="auto"/>
              <w:bottom w:val="single" w:sz="4" w:space="0" w:color="auto"/>
              <w:right w:val="single" w:sz="4" w:space="0" w:color="auto"/>
            </w:tcBorders>
            <w:vAlign w:val="center"/>
          </w:tcPr>
          <w:p w14:paraId="30BD289E" w14:textId="77777777" w:rsidR="009C353B" w:rsidRDefault="00000000">
            <w:pPr>
              <w:pStyle w:val="afffff7"/>
              <w:spacing w:line="240" w:lineRule="auto"/>
              <w:jc w:val="center"/>
              <w:rPr>
                <w:rFonts w:ascii="Times New Roman" w:hAnsi="Times New Roman"/>
              </w:rPr>
            </w:pPr>
            <w:r>
              <w:rPr>
                <w:rFonts w:ascii="Times New Roman" w:hAnsi="Times New Roman"/>
              </w:rPr>
              <w:t>8000~15000</w:t>
            </w:r>
          </w:p>
        </w:tc>
        <w:tc>
          <w:tcPr>
            <w:tcW w:w="1669" w:type="pct"/>
            <w:tcBorders>
              <w:top w:val="single" w:sz="4" w:space="0" w:color="auto"/>
              <w:left w:val="single" w:sz="4" w:space="0" w:color="auto"/>
              <w:bottom w:val="single" w:sz="4" w:space="0" w:color="auto"/>
              <w:right w:val="single" w:sz="4" w:space="0" w:color="auto"/>
            </w:tcBorders>
            <w:vAlign w:val="center"/>
          </w:tcPr>
          <w:p w14:paraId="63CC0D23" w14:textId="77777777" w:rsidR="009C353B" w:rsidRDefault="00000000">
            <w:pPr>
              <w:pStyle w:val="afffff7"/>
              <w:spacing w:line="240" w:lineRule="auto"/>
              <w:jc w:val="center"/>
              <w:rPr>
                <w:rFonts w:ascii="Times New Roman" w:hAnsi="Times New Roman"/>
              </w:rPr>
            </w:pPr>
            <w:r>
              <w:rPr>
                <w:rFonts w:ascii="Times New Roman" w:hAnsi="Times New Roman"/>
              </w:rPr>
              <w:t>5.9~11.1</w:t>
            </w:r>
          </w:p>
        </w:tc>
      </w:tr>
      <w:tr w:rsidR="009C353B" w14:paraId="09BD8B1A" w14:textId="77777777">
        <w:trPr>
          <w:cantSplit/>
          <w:trHeight w:val="284"/>
          <w:jc w:val="center"/>
        </w:trPr>
        <w:tc>
          <w:tcPr>
            <w:tcW w:w="1661" w:type="pct"/>
            <w:tcBorders>
              <w:top w:val="single" w:sz="4" w:space="0" w:color="auto"/>
              <w:left w:val="single" w:sz="4" w:space="0" w:color="auto"/>
              <w:bottom w:val="single" w:sz="4" w:space="0" w:color="auto"/>
              <w:right w:val="single" w:sz="4" w:space="0" w:color="auto"/>
            </w:tcBorders>
            <w:vAlign w:val="center"/>
          </w:tcPr>
          <w:p w14:paraId="581BF7D4" w14:textId="77777777" w:rsidR="009C353B" w:rsidRDefault="00000000">
            <w:pPr>
              <w:pStyle w:val="afffff7"/>
              <w:spacing w:line="240" w:lineRule="auto"/>
              <w:jc w:val="center"/>
              <w:rPr>
                <w:rFonts w:ascii="Times New Roman" w:hAnsi="Times New Roman"/>
              </w:rPr>
            </w:pPr>
            <w:r>
              <w:rPr>
                <w:rFonts w:ascii="Times New Roman"/>
              </w:rPr>
              <w:t>剧烈侵蚀</w:t>
            </w:r>
          </w:p>
        </w:tc>
        <w:tc>
          <w:tcPr>
            <w:tcW w:w="1670" w:type="pct"/>
            <w:tcBorders>
              <w:top w:val="single" w:sz="4" w:space="0" w:color="auto"/>
              <w:left w:val="single" w:sz="4" w:space="0" w:color="auto"/>
              <w:bottom w:val="single" w:sz="4" w:space="0" w:color="auto"/>
              <w:right w:val="single" w:sz="4" w:space="0" w:color="auto"/>
            </w:tcBorders>
            <w:vAlign w:val="center"/>
          </w:tcPr>
          <w:p w14:paraId="43FF6A1D" w14:textId="77777777" w:rsidR="009C353B" w:rsidRDefault="00000000">
            <w:pPr>
              <w:pStyle w:val="afffff7"/>
              <w:spacing w:line="240" w:lineRule="auto"/>
              <w:jc w:val="center"/>
              <w:rPr>
                <w:rFonts w:ascii="Times New Roman" w:hAnsi="Times New Roman"/>
              </w:rPr>
            </w:pPr>
            <w:r>
              <w:rPr>
                <w:rFonts w:ascii="Times New Roman" w:hAnsi="Times New Roman"/>
              </w:rPr>
              <w:t>&gt;15000</w:t>
            </w:r>
          </w:p>
        </w:tc>
        <w:tc>
          <w:tcPr>
            <w:tcW w:w="1669" w:type="pct"/>
            <w:tcBorders>
              <w:top w:val="single" w:sz="4" w:space="0" w:color="auto"/>
              <w:left w:val="single" w:sz="4" w:space="0" w:color="auto"/>
              <w:bottom w:val="single" w:sz="4" w:space="0" w:color="auto"/>
              <w:right w:val="single" w:sz="4" w:space="0" w:color="auto"/>
            </w:tcBorders>
            <w:vAlign w:val="center"/>
          </w:tcPr>
          <w:p w14:paraId="3896BC2B" w14:textId="77777777" w:rsidR="009C353B" w:rsidRDefault="00000000">
            <w:pPr>
              <w:pStyle w:val="afffff7"/>
              <w:spacing w:line="240" w:lineRule="auto"/>
              <w:jc w:val="center"/>
              <w:rPr>
                <w:rFonts w:ascii="Times New Roman" w:hAnsi="Times New Roman"/>
              </w:rPr>
            </w:pPr>
            <w:r>
              <w:rPr>
                <w:rFonts w:ascii="Times New Roman" w:hAnsi="Times New Roman"/>
              </w:rPr>
              <w:t>&gt;11.1</w:t>
            </w:r>
          </w:p>
        </w:tc>
      </w:tr>
    </w:tbl>
    <w:p w14:paraId="478E10E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采用遥感影像作为土壤侵蚀信息获取的主要信息源，通过</w:t>
      </w:r>
      <w:r>
        <w:rPr>
          <w:rFonts w:ascii="Times New Roman" w:hAnsi="Times New Roman"/>
          <w:szCs w:val="24"/>
        </w:rPr>
        <w:t>3S</w:t>
      </w:r>
      <w:r>
        <w:rPr>
          <w:rFonts w:ascii="Times New Roman" w:hAnsi="Times New Roman"/>
          <w:szCs w:val="24"/>
        </w:rPr>
        <w:t>技术，结合地形坡度、地表植被及土壤类型因素，划分出</w:t>
      </w:r>
      <w:r>
        <w:rPr>
          <w:rFonts w:ascii="Times New Roman" w:hAnsi="Times New Roman" w:hint="eastAsia"/>
          <w:szCs w:val="24"/>
        </w:rPr>
        <w:t>评价区</w:t>
      </w:r>
      <w:r>
        <w:rPr>
          <w:rFonts w:ascii="Times New Roman" w:hAnsi="Times New Roman"/>
          <w:szCs w:val="24"/>
        </w:rPr>
        <w:t>土壤侵蚀分布图。</w:t>
      </w:r>
      <w:r>
        <w:rPr>
          <w:rFonts w:ascii="Times New Roman" w:hAnsi="Times New Roman" w:hint="eastAsia"/>
          <w:szCs w:val="24"/>
        </w:rPr>
        <w:t>评价区内的原始地貌土壤侵蚀强度以中度侵蚀为主，局部半固定沙丘土壤侵蚀强度达到强烈侵蚀。区域内工业开发程度较高，施工扰动区域的土壤侵蚀强度可到达极强烈侵蚀。评价区内土壤侵蚀强度分布情况</w:t>
      </w:r>
      <w:r>
        <w:rPr>
          <w:rFonts w:ascii="Times New Roman" w:hAnsi="Times New Roman"/>
          <w:szCs w:val="24"/>
        </w:rPr>
        <w:t>见表</w:t>
      </w:r>
      <w:r>
        <w:rPr>
          <w:rFonts w:ascii="Times New Roman" w:hAnsi="Times New Roman"/>
          <w:szCs w:val="24"/>
        </w:rPr>
        <w:t>3.4-</w:t>
      </w:r>
      <w:r>
        <w:rPr>
          <w:rFonts w:ascii="Times New Roman" w:hAnsi="Times New Roman" w:hint="eastAsia"/>
          <w:szCs w:val="24"/>
        </w:rPr>
        <w:t>22</w:t>
      </w:r>
      <w:r>
        <w:rPr>
          <w:rFonts w:ascii="Times New Roman" w:hAnsi="Times New Roman" w:hint="eastAsia"/>
          <w:szCs w:val="24"/>
        </w:rPr>
        <w:t>和</w:t>
      </w:r>
      <w:r>
        <w:rPr>
          <w:rFonts w:ascii="Times New Roman" w:hAnsi="Times New Roman"/>
          <w:szCs w:val="24"/>
        </w:rPr>
        <w:t>图</w:t>
      </w:r>
      <w:r>
        <w:rPr>
          <w:rFonts w:ascii="Times New Roman" w:hAnsi="Times New Roman"/>
          <w:szCs w:val="24"/>
        </w:rPr>
        <w:t>3.4-9</w:t>
      </w:r>
      <w:r>
        <w:rPr>
          <w:rFonts w:ascii="Times New Roman" w:hAnsi="Times New Roman"/>
          <w:szCs w:val="24"/>
        </w:rPr>
        <w:t>。</w:t>
      </w:r>
    </w:p>
    <w:p w14:paraId="302A5690" w14:textId="77777777" w:rsidR="009C353B" w:rsidRDefault="00000000">
      <w:pPr>
        <w:adjustRightInd w:val="0"/>
        <w:snapToGrid w:val="0"/>
        <w:spacing w:line="440" w:lineRule="exact"/>
        <w:ind w:firstLineChars="200" w:firstLine="482"/>
        <w:jc w:val="center"/>
        <w:rPr>
          <w:rFonts w:ascii="Times New Roman" w:hAnsi="Times New Roman"/>
          <w:b/>
        </w:rPr>
      </w:pPr>
      <w:r>
        <w:rPr>
          <w:rFonts w:ascii="Times New Roman" w:hAnsi="Times New Roman"/>
          <w:b/>
        </w:rPr>
        <w:t>评价区</w:t>
      </w:r>
      <w:r>
        <w:rPr>
          <w:rFonts w:ascii="Times New Roman" w:hAnsi="Times New Roman" w:hint="eastAsia"/>
          <w:b/>
        </w:rPr>
        <w:t>土壤侵蚀强度</w:t>
      </w:r>
      <w:r>
        <w:rPr>
          <w:rFonts w:ascii="Times New Roman" w:hAnsi="Times New Roman"/>
          <w:b/>
        </w:rPr>
        <w:t>统计</w:t>
      </w:r>
      <w:r>
        <w:rPr>
          <w:rFonts w:ascii="Times New Roman" w:hAnsi="Times New Roman" w:hint="eastAsia"/>
          <w:b/>
        </w:rPr>
        <w:t>表</w:t>
      </w:r>
    </w:p>
    <w:p w14:paraId="6347AF72" w14:textId="77777777" w:rsidR="009C353B" w:rsidRDefault="00000000">
      <w:pPr>
        <w:widowControl/>
        <w:adjustRightInd w:val="0"/>
        <w:snapToGrid w:val="0"/>
        <w:spacing w:line="440" w:lineRule="exact"/>
        <w:outlineLvl w:val="4"/>
        <w:rPr>
          <w:rFonts w:ascii="Times New Roman" w:hAnsi="Times New Roman"/>
          <w:kern w:val="0"/>
        </w:rPr>
      </w:pPr>
      <w:r>
        <w:rPr>
          <w:rFonts w:ascii="Times New Roman" w:hAnsi="Times New Roman"/>
          <w:kern w:val="0"/>
        </w:rPr>
        <w:t>表</w:t>
      </w:r>
      <w:r>
        <w:rPr>
          <w:rFonts w:ascii="Times New Roman" w:hAnsi="Times New Roman"/>
          <w:kern w:val="0"/>
        </w:rPr>
        <w:t>3.4-</w:t>
      </w:r>
      <w:r>
        <w:rPr>
          <w:rFonts w:ascii="Times New Roman" w:hAnsi="Times New Roman" w:hint="eastAsia"/>
          <w:kern w:val="0"/>
        </w:rPr>
        <w:t>22</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72"/>
        <w:gridCol w:w="1379"/>
        <w:gridCol w:w="1380"/>
        <w:gridCol w:w="1934"/>
        <w:gridCol w:w="1934"/>
      </w:tblGrid>
      <w:tr w:rsidR="009C353B" w14:paraId="68208FC5" w14:textId="77777777">
        <w:trPr>
          <w:trHeight w:val="300"/>
        </w:trPr>
        <w:tc>
          <w:tcPr>
            <w:tcW w:w="1357" w:type="pct"/>
            <w:vMerge w:val="restart"/>
            <w:shd w:val="clear" w:color="auto" w:fill="auto"/>
            <w:noWrap/>
            <w:tcMar>
              <w:top w:w="15" w:type="dxa"/>
              <w:left w:w="15" w:type="dxa"/>
              <w:right w:w="15" w:type="dxa"/>
            </w:tcMar>
            <w:vAlign w:val="center"/>
          </w:tcPr>
          <w:p w14:paraId="5022A026"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土壤侵蚀分级</w:t>
            </w:r>
          </w:p>
        </w:tc>
        <w:tc>
          <w:tcPr>
            <w:tcW w:w="1515" w:type="pct"/>
            <w:gridSpan w:val="2"/>
            <w:shd w:val="clear" w:color="auto" w:fill="auto"/>
            <w:tcMar>
              <w:top w:w="15" w:type="dxa"/>
              <w:left w:w="15" w:type="dxa"/>
              <w:right w:w="15" w:type="dxa"/>
            </w:tcMar>
            <w:vAlign w:val="center"/>
          </w:tcPr>
          <w:p w14:paraId="5B66B5AF"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评价区</w:t>
            </w:r>
          </w:p>
        </w:tc>
        <w:tc>
          <w:tcPr>
            <w:tcW w:w="2126" w:type="pct"/>
            <w:gridSpan w:val="2"/>
            <w:shd w:val="clear" w:color="auto" w:fill="auto"/>
            <w:tcMar>
              <w:top w:w="15" w:type="dxa"/>
              <w:left w:w="15" w:type="dxa"/>
              <w:right w:w="15" w:type="dxa"/>
            </w:tcMar>
            <w:vAlign w:val="center"/>
          </w:tcPr>
          <w:p w14:paraId="0E54D949"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矿区</w:t>
            </w:r>
          </w:p>
        </w:tc>
      </w:tr>
      <w:tr w:rsidR="009C353B" w14:paraId="726D381A" w14:textId="77777777">
        <w:trPr>
          <w:trHeight w:val="540"/>
        </w:trPr>
        <w:tc>
          <w:tcPr>
            <w:tcW w:w="1357" w:type="pct"/>
            <w:vMerge/>
            <w:shd w:val="clear" w:color="auto" w:fill="auto"/>
            <w:noWrap/>
            <w:tcMar>
              <w:top w:w="15" w:type="dxa"/>
              <w:left w:w="15" w:type="dxa"/>
              <w:right w:w="15" w:type="dxa"/>
            </w:tcMar>
            <w:vAlign w:val="center"/>
          </w:tcPr>
          <w:p w14:paraId="443878FE" w14:textId="77777777" w:rsidR="009C353B" w:rsidRDefault="009C353B">
            <w:pPr>
              <w:jc w:val="center"/>
              <w:rPr>
                <w:rFonts w:ascii="Times New Roman" w:hAnsi="Times New Roman"/>
                <w:sz w:val="21"/>
                <w:szCs w:val="21"/>
              </w:rPr>
            </w:pPr>
          </w:p>
        </w:tc>
        <w:tc>
          <w:tcPr>
            <w:tcW w:w="757" w:type="pct"/>
            <w:shd w:val="clear" w:color="auto" w:fill="auto"/>
            <w:tcMar>
              <w:top w:w="15" w:type="dxa"/>
              <w:left w:w="15" w:type="dxa"/>
              <w:right w:w="15" w:type="dxa"/>
            </w:tcMar>
            <w:vAlign w:val="center"/>
          </w:tcPr>
          <w:p w14:paraId="45868EDA"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面积（</w:t>
            </w:r>
            <w:r>
              <w:rPr>
                <w:rFonts w:ascii="Times New Roman" w:hAnsi="Times New Roman"/>
                <w:kern w:val="0"/>
                <w:sz w:val="21"/>
                <w:szCs w:val="21"/>
                <w:lang w:bidi="ar"/>
              </w:rPr>
              <w:t>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c>
          <w:tcPr>
            <w:tcW w:w="758" w:type="pct"/>
            <w:shd w:val="clear" w:color="auto" w:fill="auto"/>
            <w:tcMar>
              <w:top w:w="15" w:type="dxa"/>
              <w:left w:w="15" w:type="dxa"/>
              <w:right w:w="15" w:type="dxa"/>
            </w:tcMar>
            <w:vAlign w:val="center"/>
          </w:tcPr>
          <w:p w14:paraId="56230E38"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比例（</w:t>
            </w:r>
            <w:r>
              <w:rPr>
                <w:rFonts w:ascii="Times New Roman" w:hAnsi="Times New Roman"/>
                <w:kern w:val="0"/>
                <w:sz w:val="21"/>
                <w:szCs w:val="21"/>
                <w:lang w:bidi="ar"/>
              </w:rPr>
              <w:t>%</w:t>
            </w:r>
            <w:r>
              <w:rPr>
                <w:rFonts w:ascii="Times New Roman" w:hAnsi="Times New Roman"/>
                <w:kern w:val="0"/>
                <w:sz w:val="21"/>
                <w:szCs w:val="21"/>
                <w:lang w:bidi="ar"/>
              </w:rPr>
              <w:t>）</w:t>
            </w:r>
          </w:p>
        </w:tc>
        <w:tc>
          <w:tcPr>
            <w:tcW w:w="1063" w:type="pct"/>
            <w:shd w:val="clear" w:color="auto" w:fill="auto"/>
            <w:tcMar>
              <w:top w:w="15" w:type="dxa"/>
              <w:left w:w="15" w:type="dxa"/>
              <w:right w:w="15" w:type="dxa"/>
            </w:tcMar>
            <w:vAlign w:val="center"/>
          </w:tcPr>
          <w:p w14:paraId="19E5700F"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面积（</w:t>
            </w:r>
            <w:r>
              <w:rPr>
                <w:rFonts w:ascii="Times New Roman" w:hAnsi="Times New Roman"/>
                <w:kern w:val="0"/>
                <w:sz w:val="21"/>
                <w:szCs w:val="21"/>
                <w:lang w:bidi="ar"/>
              </w:rPr>
              <w:t>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c>
          <w:tcPr>
            <w:tcW w:w="1063" w:type="pct"/>
            <w:shd w:val="clear" w:color="auto" w:fill="auto"/>
            <w:tcMar>
              <w:top w:w="15" w:type="dxa"/>
              <w:left w:w="15" w:type="dxa"/>
              <w:right w:w="15" w:type="dxa"/>
            </w:tcMar>
            <w:vAlign w:val="center"/>
          </w:tcPr>
          <w:p w14:paraId="1208B0A4"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比例（</w:t>
            </w:r>
            <w:r>
              <w:rPr>
                <w:rFonts w:ascii="Times New Roman" w:hAnsi="Times New Roman"/>
                <w:kern w:val="0"/>
                <w:sz w:val="21"/>
                <w:szCs w:val="21"/>
                <w:lang w:bidi="ar"/>
              </w:rPr>
              <w:t>%</w:t>
            </w:r>
            <w:r>
              <w:rPr>
                <w:rFonts w:ascii="Times New Roman" w:hAnsi="Times New Roman"/>
                <w:kern w:val="0"/>
                <w:sz w:val="21"/>
                <w:szCs w:val="21"/>
                <w:lang w:bidi="ar"/>
              </w:rPr>
              <w:t>）</w:t>
            </w:r>
          </w:p>
        </w:tc>
      </w:tr>
      <w:tr w:rsidR="009C353B" w14:paraId="12A14AC7" w14:textId="77777777">
        <w:trPr>
          <w:trHeight w:val="285"/>
        </w:trPr>
        <w:tc>
          <w:tcPr>
            <w:tcW w:w="1357" w:type="pct"/>
            <w:shd w:val="clear" w:color="auto" w:fill="auto"/>
            <w:noWrap/>
            <w:tcMar>
              <w:top w:w="15" w:type="dxa"/>
              <w:left w:w="15" w:type="dxa"/>
              <w:right w:w="15" w:type="dxa"/>
            </w:tcMar>
            <w:vAlign w:val="center"/>
          </w:tcPr>
          <w:p w14:paraId="630E23F2"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微度侵蚀</w:t>
            </w:r>
          </w:p>
        </w:tc>
        <w:tc>
          <w:tcPr>
            <w:tcW w:w="757" w:type="pct"/>
            <w:shd w:val="clear" w:color="auto" w:fill="auto"/>
            <w:noWrap/>
            <w:tcMar>
              <w:top w:w="15" w:type="dxa"/>
              <w:left w:w="15" w:type="dxa"/>
              <w:right w:w="15" w:type="dxa"/>
            </w:tcMar>
            <w:vAlign w:val="center"/>
          </w:tcPr>
          <w:p w14:paraId="3085E756"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44.54</w:t>
            </w:r>
          </w:p>
        </w:tc>
        <w:tc>
          <w:tcPr>
            <w:tcW w:w="758" w:type="pct"/>
            <w:shd w:val="clear" w:color="auto" w:fill="auto"/>
            <w:noWrap/>
            <w:tcMar>
              <w:top w:w="15" w:type="dxa"/>
              <w:left w:w="15" w:type="dxa"/>
              <w:right w:w="15" w:type="dxa"/>
            </w:tcMar>
            <w:vAlign w:val="center"/>
          </w:tcPr>
          <w:p w14:paraId="1C08A1B7"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14.18</w:t>
            </w:r>
          </w:p>
        </w:tc>
        <w:tc>
          <w:tcPr>
            <w:tcW w:w="1063" w:type="pct"/>
            <w:shd w:val="clear" w:color="auto" w:fill="auto"/>
            <w:noWrap/>
            <w:tcMar>
              <w:top w:w="15" w:type="dxa"/>
              <w:left w:w="15" w:type="dxa"/>
              <w:right w:w="15" w:type="dxa"/>
            </w:tcMar>
            <w:vAlign w:val="center"/>
          </w:tcPr>
          <w:p w14:paraId="1230AA4C"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8.75</w:t>
            </w:r>
          </w:p>
        </w:tc>
        <w:tc>
          <w:tcPr>
            <w:tcW w:w="1063" w:type="pct"/>
            <w:shd w:val="clear" w:color="auto" w:fill="auto"/>
            <w:noWrap/>
            <w:tcMar>
              <w:top w:w="15" w:type="dxa"/>
              <w:left w:w="15" w:type="dxa"/>
              <w:right w:w="15" w:type="dxa"/>
            </w:tcMar>
            <w:vAlign w:val="center"/>
          </w:tcPr>
          <w:p w14:paraId="7001DDA7"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10.17</w:t>
            </w:r>
          </w:p>
        </w:tc>
      </w:tr>
      <w:tr w:rsidR="009C353B" w14:paraId="58373D6D" w14:textId="77777777">
        <w:trPr>
          <w:trHeight w:val="285"/>
        </w:trPr>
        <w:tc>
          <w:tcPr>
            <w:tcW w:w="1357" w:type="pct"/>
            <w:shd w:val="clear" w:color="auto" w:fill="auto"/>
            <w:noWrap/>
            <w:tcMar>
              <w:top w:w="15" w:type="dxa"/>
              <w:left w:w="15" w:type="dxa"/>
              <w:right w:w="15" w:type="dxa"/>
            </w:tcMar>
            <w:vAlign w:val="center"/>
          </w:tcPr>
          <w:p w14:paraId="50BE788D"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轻度侵蚀</w:t>
            </w:r>
          </w:p>
        </w:tc>
        <w:tc>
          <w:tcPr>
            <w:tcW w:w="757" w:type="pct"/>
            <w:shd w:val="clear" w:color="auto" w:fill="auto"/>
            <w:noWrap/>
            <w:tcMar>
              <w:top w:w="15" w:type="dxa"/>
              <w:left w:w="15" w:type="dxa"/>
              <w:right w:w="15" w:type="dxa"/>
            </w:tcMar>
            <w:vAlign w:val="center"/>
          </w:tcPr>
          <w:p w14:paraId="3623A545"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38.60</w:t>
            </w:r>
          </w:p>
        </w:tc>
        <w:tc>
          <w:tcPr>
            <w:tcW w:w="758" w:type="pct"/>
            <w:shd w:val="clear" w:color="auto" w:fill="auto"/>
            <w:noWrap/>
            <w:tcMar>
              <w:top w:w="15" w:type="dxa"/>
              <w:left w:w="15" w:type="dxa"/>
              <w:right w:w="15" w:type="dxa"/>
            </w:tcMar>
            <w:vAlign w:val="center"/>
          </w:tcPr>
          <w:p w14:paraId="10881F10"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12.29</w:t>
            </w:r>
          </w:p>
        </w:tc>
        <w:tc>
          <w:tcPr>
            <w:tcW w:w="1063" w:type="pct"/>
            <w:shd w:val="clear" w:color="auto" w:fill="auto"/>
            <w:noWrap/>
            <w:tcMar>
              <w:top w:w="15" w:type="dxa"/>
              <w:left w:w="15" w:type="dxa"/>
              <w:right w:w="15" w:type="dxa"/>
            </w:tcMar>
            <w:vAlign w:val="center"/>
          </w:tcPr>
          <w:p w14:paraId="511C57DE"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15.76</w:t>
            </w:r>
          </w:p>
        </w:tc>
        <w:tc>
          <w:tcPr>
            <w:tcW w:w="1063" w:type="pct"/>
            <w:shd w:val="clear" w:color="auto" w:fill="auto"/>
            <w:noWrap/>
            <w:tcMar>
              <w:top w:w="15" w:type="dxa"/>
              <w:left w:w="15" w:type="dxa"/>
              <w:right w:w="15" w:type="dxa"/>
            </w:tcMar>
            <w:vAlign w:val="center"/>
          </w:tcPr>
          <w:p w14:paraId="4763BC2F"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18.32</w:t>
            </w:r>
          </w:p>
        </w:tc>
      </w:tr>
      <w:tr w:rsidR="009C353B" w14:paraId="4D1048E4" w14:textId="77777777">
        <w:trPr>
          <w:trHeight w:val="285"/>
        </w:trPr>
        <w:tc>
          <w:tcPr>
            <w:tcW w:w="1357" w:type="pct"/>
            <w:shd w:val="clear" w:color="auto" w:fill="auto"/>
            <w:noWrap/>
            <w:tcMar>
              <w:top w:w="15" w:type="dxa"/>
              <w:left w:w="15" w:type="dxa"/>
              <w:right w:w="15" w:type="dxa"/>
            </w:tcMar>
            <w:vAlign w:val="center"/>
          </w:tcPr>
          <w:p w14:paraId="5A3C5D15"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中度侵蚀</w:t>
            </w:r>
          </w:p>
        </w:tc>
        <w:tc>
          <w:tcPr>
            <w:tcW w:w="757" w:type="pct"/>
            <w:shd w:val="clear" w:color="auto" w:fill="auto"/>
            <w:noWrap/>
            <w:tcMar>
              <w:top w:w="15" w:type="dxa"/>
              <w:left w:w="15" w:type="dxa"/>
              <w:right w:w="15" w:type="dxa"/>
            </w:tcMar>
            <w:vAlign w:val="center"/>
          </w:tcPr>
          <w:p w14:paraId="58CBCA57"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202.38</w:t>
            </w:r>
          </w:p>
        </w:tc>
        <w:tc>
          <w:tcPr>
            <w:tcW w:w="758" w:type="pct"/>
            <w:shd w:val="clear" w:color="auto" w:fill="auto"/>
            <w:noWrap/>
            <w:tcMar>
              <w:top w:w="15" w:type="dxa"/>
              <w:left w:w="15" w:type="dxa"/>
              <w:right w:w="15" w:type="dxa"/>
            </w:tcMar>
            <w:vAlign w:val="center"/>
          </w:tcPr>
          <w:p w14:paraId="1D1E5209"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64.43</w:t>
            </w:r>
          </w:p>
        </w:tc>
        <w:tc>
          <w:tcPr>
            <w:tcW w:w="1063" w:type="pct"/>
            <w:shd w:val="clear" w:color="auto" w:fill="auto"/>
            <w:noWrap/>
            <w:tcMar>
              <w:top w:w="15" w:type="dxa"/>
              <w:left w:w="15" w:type="dxa"/>
              <w:right w:w="15" w:type="dxa"/>
            </w:tcMar>
            <w:vAlign w:val="center"/>
          </w:tcPr>
          <w:p w14:paraId="2F3DE25C"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54.86</w:t>
            </w:r>
          </w:p>
        </w:tc>
        <w:tc>
          <w:tcPr>
            <w:tcW w:w="1063" w:type="pct"/>
            <w:shd w:val="clear" w:color="auto" w:fill="auto"/>
            <w:noWrap/>
            <w:tcMar>
              <w:top w:w="15" w:type="dxa"/>
              <w:left w:w="15" w:type="dxa"/>
              <w:right w:w="15" w:type="dxa"/>
            </w:tcMar>
            <w:vAlign w:val="center"/>
          </w:tcPr>
          <w:p w14:paraId="7421BB03"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63.7</w:t>
            </w:r>
            <w:r>
              <w:rPr>
                <w:rFonts w:ascii="Times New Roman" w:hAnsi="Times New Roman" w:hint="eastAsia"/>
                <w:kern w:val="0"/>
                <w:sz w:val="21"/>
                <w:szCs w:val="21"/>
                <w:lang w:bidi="ar"/>
              </w:rPr>
              <w:t>8</w:t>
            </w:r>
          </w:p>
        </w:tc>
      </w:tr>
      <w:tr w:rsidR="009C353B" w14:paraId="5AC61D35" w14:textId="77777777">
        <w:trPr>
          <w:trHeight w:val="285"/>
        </w:trPr>
        <w:tc>
          <w:tcPr>
            <w:tcW w:w="1357" w:type="pct"/>
            <w:shd w:val="clear" w:color="auto" w:fill="auto"/>
            <w:noWrap/>
            <w:tcMar>
              <w:top w:w="15" w:type="dxa"/>
              <w:left w:w="15" w:type="dxa"/>
              <w:right w:w="15" w:type="dxa"/>
            </w:tcMar>
            <w:vAlign w:val="center"/>
          </w:tcPr>
          <w:p w14:paraId="04C934C3"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强烈侵蚀</w:t>
            </w:r>
          </w:p>
        </w:tc>
        <w:tc>
          <w:tcPr>
            <w:tcW w:w="757" w:type="pct"/>
            <w:shd w:val="clear" w:color="auto" w:fill="auto"/>
            <w:noWrap/>
            <w:tcMar>
              <w:top w:w="15" w:type="dxa"/>
              <w:left w:w="15" w:type="dxa"/>
              <w:right w:w="15" w:type="dxa"/>
            </w:tcMar>
            <w:vAlign w:val="center"/>
          </w:tcPr>
          <w:p w14:paraId="35F9DFD4"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15.52</w:t>
            </w:r>
          </w:p>
        </w:tc>
        <w:tc>
          <w:tcPr>
            <w:tcW w:w="758" w:type="pct"/>
            <w:shd w:val="clear" w:color="auto" w:fill="auto"/>
            <w:noWrap/>
            <w:tcMar>
              <w:top w:w="15" w:type="dxa"/>
              <w:left w:w="15" w:type="dxa"/>
              <w:right w:w="15" w:type="dxa"/>
            </w:tcMar>
            <w:vAlign w:val="center"/>
          </w:tcPr>
          <w:p w14:paraId="4E0C8A54"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4.94</w:t>
            </w:r>
          </w:p>
        </w:tc>
        <w:tc>
          <w:tcPr>
            <w:tcW w:w="1063" w:type="pct"/>
            <w:shd w:val="clear" w:color="auto" w:fill="auto"/>
            <w:noWrap/>
            <w:tcMar>
              <w:top w:w="15" w:type="dxa"/>
              <w:left w:w="15" w:type="dxa"/>
              <w:right w:w="15" w:type="dxa"/>
            </w:tcMar>
            <w:vAlign w:val="center"/>
          </w:tcPr>
          <w:p w14:paraId="522388D7"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1.51</w:t>
            </w:r>
          </w:p>
        </w:tc>
        <w:tc>
          <w:tcPr>
            <w:tcW w:w="1063" w:type="pct"/>
            <w:shd w:val="clear" w:color="auto" w:fill="auto"/>
            <w:noWrap/>
            <w:tcMar>
              <w:top w:w="15" w:type="dxa"/>
              <w:left w:w="15" w:type="dxa"/>
              <w:right w:w="15" w:type="dxa"/>
            </w:tcMar>
            <w:vAlign w:val="center"/>
          </w:tcPr>
          <w:p w14:paraId="38456F28"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1.75</w:t>
            </w:r>
          </w:p>
        </w:tc>
      </w:tr>
      <w:tr w:rsidR="009C353B" w14:paraId="6A739754" w14:textId="77777777">
        <w:trPr>
          <w:trHeight w:val="285"/>
        </w:trPr>
        <w:tc>
          <w:tcPr>
            <w:tcW w:w="1357" w:type="pct"/>
            <w:shd w:val="clear" w:color="auto" w:fill="auto"/>
            <w:noWrap/>
            <w:tcMar>
              <w:top w:w="15" w:type="dxa"/>
              <w:left w:w="15" w:type="dxa"/>
              <w:right w:w="15" w:type="dxa"/>
            </w:tcMar>
            <w:vAlign w:val="center"/>
          </w:tcPr>
          <w:p w14:paraId="7D5B659F"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极强烈侵蚀</w:t>
            </w:r>
          </w:p>
        </w:tc>
        <w:tc>
          <w:tcPr>
            <w:tcW w:w="757" w:type="pct"/>
            <w:shd w:val="clear" w:color="auto" w:fill="auto"/>
            <w:noWrap/>
            <w:tcMar>
              <w:top w:w="15" w:type="dxa"/>
              <w:left w:w="15" w:type="dxa"/>
              <w:right w:w="15" w:type="dxa"/>
            </w:tcMar>
            <w:vAlign w:val="center"/>
          </w:tcPr>
          <w:p w14:paraId="36569021"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13.06</w:t>
            </w:r>
          </w:p>
        </w:tc>
        <w:tc>
          <w:tcPr>
            <w:tcW w:w="758" w:type="pct"/>
            <w:shd w:val="clear" w:color="auto" w:fill="auto"/>
            <w:noWrap/>
            <w:tcMar>
              <w:top w:w="15" w:type="dxa"/>
              <w:left w:w="15" w:type="dxa"/>
              <w:right w:w="15" w:type="dxa"/>
            </w:tcMar>
            <w:vAlign w:val="center"/>
          </w:tcPr>
          <w:p w14:paraId="31E41622"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4.16</w:t>
            </w:r>
          </w:p>
        </w:tc>
        <w:tc>
          <w:tcPr>
            <w:tcW w:w="1063" w:type="pct"/>
            <w:shd w:val="clear" w:color="auto" w:fill="auto"/>
            <w:noWrap/>
            <w:tcMar>
              <w:top w:w="15" w:type="dxa"/>
              <w:left w:w="15" w:type="dxa"/>
              <w:right w:w="15" w:type="dxa"/>
            </w:tcMar>
            <w:vAlign w:val="center"/>
          </w:tcPr>
          <w:p w14:paraId="1631EF85"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5.1</w:t>
            </w:r>
            <w:r>
              <w:rPr>
                <w:rFonts w:ascii="Times New Roman" w:hAnsi="Times New Roman" w:hint="eastAsia"/>
                <w:kern w:val="0"/>
                <w:sz w:val="21"/>
                <w:szCs w:val="21"/>
                <w:lang w:bidi="ar"/>
              </w:rPr>
              <w:t>4</w:t>
            </w:r>
          </w:p>
        </w:tc>
        <w:tc>
          <w:tcPr>
            <w:tcW w:w="1063" w:type="pct"/>
            <w:shd w:val="clear" w:color="auto" w:fill="auto"/>
            <w:noWrap/>
            <w:tcMar>
              <w:top w:w="15" w:type="dxa"/>
              <w:left w:w="15" w:type="dxa"/>
              <w:right w:w="15" w:type="dxa"/>
            </w:tcMar>
            <w:vAlign w:val="center"/>
          </w:tcPr>
          <w:p w14:paraId="14BE7AA4"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5.9</w:t>
            </w:r>
            <w:r>
              <w:rPr>
                <w:rFonts w:ascii="Times New Roman" w:hAnsi="Times New Roman" w:hint="eastAsia"/>
                <w:kern w:val="0"/>
                <w:sz w:val="21"/>
                <w:szCs w:val="21"/>
                <w:lang w:bidi="ar"/>
              </w:rPr>
              <w:t>7</w:t>
            </w:r>
          </w:p>
        </w:tc>
      </w:tr>
      <w:tr w:rsidR="009C353B" w14:paraId="2179B78B" w14:textId="77777777">
        <w:trPr>
          <w:trHeight w:val="285"/>
        </w:trPr>
        <w:tc>
          <w:tcPr>
            <w:tcW w:w="1357" w:type="pct"/>
            <w:shd w:val="clear" w:color="auto" w:fill="auto"/>
            <w:noWrap/>
            <w:tcMar>
              <w:top w:w="15" w:type="dxa"/>
              <w:left w:w="15" w:type="dxa"/>
              <w:right w:w="15" w:type="dxa"/>
            </w:tcMar>
            <w:vAlign w:val="center"/>
          </w:tcPr>
          <w:p w14:paraId="6F8162BB"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合计</w:t>
            </w:r>
          </w:p>
        </w:tc>
        <w:tc>
          <w:tcPr>
            <w:tcW w:w="757" w:type="pct"/>
            <w:shd w:val="clear" w:color="auto" w:fill="auto"/>
            <w:noWrap/>
            <w:tcMar>
              <w:top w:w="15" w:type="dxa"/>
              <w:left w:w="15" w:type="dxa"/>
              <w:right w:w="15" w:type="dxa"/>
            </w:tcMar>
            <w:vAlign w:val="center"/>
          </w:tcPr>
          <w:p w14:paraId="51B58B61"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314.10</w:t>
            </w:r>
          </w:p>
        </w:tc>
        <w:tc>
          <w:tcPr>
            <w:tcW w:w="758" w:type="pct"/>
            <w:shd w:val="clear" w:color="auto" w:fill="auto"/>
            <w:noWrap/>
            <w:tcMar>
              <w:top w:w="15" w:type="dxa"/>
              <w:left w:w="15" w:type="dxa"/>
              <w:right w:w="15" w:type="dxa"/>
            </w:tcMar>
            <w:vAlign w:val="center"/>
          </w:tcPr>
          <w:p w14:paraId="3CB0F45C"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100.00</w:t>
            </w:r>
          </w:p>
        </w:tc>
        <w:tc>
          <w:tcPr>
            <w:tcW w:w="1063" w:type="pct"/>
            <w:shd w:val="clear" w:color="auto" w:fill="auto"/>
            <w:noWrap/>
            <w:tcMar>
              <w:top w:w="15" w:type="dxa"/>
              <w:left w:w="15" w:type="dxa"/>
              <w:right w:w="15" w:type="dxa"/>
            </w:tcMar>
            <w:vAlign w:val="center"/>
          </w:tcPr>
          <w:p w14:paraId="6B9B4B61"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86.0</w:t>
            </w:r>
            <w:r>
              <w:rPr>
                <w:rFonts w:ascii="Times New Roman" w:hAnsi="Times New Roman" w:hint="eastAsia"/>
                <w:kern w:val="0"/>
                <w:sz w:val="21"/>
                <w:szCs w:val="21"/>
                <w:lang w:bidi="ar"/>
              </w:rPr>
              <w:t>1</w:t>
            </w:r>
          </w:p>
        </w:tc>
        <w:tc>
          <w:tcPr>
            <w:tcW w:w="1063" w:type="pct"/>
            <w:shd w:val="clear" w:color="auto" w:fill="auto"/>
            <w:noWrap/>
            <w:tcMar>
              <w:top w:w="15" w:type="dxa"/>
              <w:left w:w="15" w:type="dxa"/>
              <w:right w:w="15" w:type="dxa"/>
            </w:tcMar>
            <w:vAlign w:val="center"/>
          </w:tcPr>
          <w:p w14:paraId="3FA7BFE6" w14:textId="77777777" w:rsidR="009C353B" w:rsidRDefault="00000000">
            <w:pPr>
              <w:widowControl/>
              <w:jc w:val="center"/>
              <w:textAlignment w:val="center"/>
              <w:rPr>
                <w:rFonts w:ascii="Times New Roman" w:hAnsi="Times New Roman"/>
                <w:sz w:val="21"/>
                <w:szCs w:val="21"/>
              </w:rPr>
            </w:pPr>
            <w:r>
              <w:rPr>
                <w:rFonts w:ascii="Times New Roman" w:hAnsi="Times New Roman"/>
                <w:kern w:val="0"/>
                <w:sz w:val="21"/>
                <w:szCs w:val="21"/>
                <w:lang w:bidi="ar"/>
              </w:rPr>
              <w:t>100.00</w:t>
            </w:r>
          </w:p>
        </w:tc>
      </w:tr>
    </w:tbl>
    <w:p w14:paraId="558312EE"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rPr>
        <w:t xml:space="preserve">3.4.9  </w:t>
      </w:r>
      <w:r>
        <w:rPr>
          <w:rFonts w:ascii="Times New Roman" w:hAnsi="Times New Roman"/>
        </w:rPr>
        <w:t>生态</w:t>
      </w:r>
      <w:r>
        <w:rPr>
          <w:rFonts w:ascii="Times New Roman" w:hAnsi="Times New Roman" w:hint="eastAsia"/>
        </w:rPr>
        <w:t>系统</w:t>
      </w:r>
      <w:r>
        <w:rPr>
          <w:rFonts w:ascii="Times New Roman" w:hAnsi="Times New Roman"/>
        </w:rPr>
        <w:t>现状评价</w:t>
      </w:r>
    </w:p>
    <w:p w14:paraId="207A2096" w14:textId="77777777" w:rsidR="009C353B" w:rsidRDefault="00000000">
      <w:pPr>
        <w:pStyle w:val="forth"/>
        <w:adjustRightInd w:val="0"/>
        <w:snapToGrid w:val="0"/>
        <w:spacing w:before="0" w:after="0" w:line="440" w:lineRule="exact"/>
        <w:rPr>
          <w:rFonts w:ascii="Times New Roman" w:hAnsi="Times New Roman"/>
        </w:rPr>
      </w:pPr>
      <w:r>
        <w:rPr>
          <w:rFonts w:ascii="Times New Roman" w:hAnsi="Times New Roman"/>
        </w:rPr>
        <w:t xml:space="preserve">3.4.9.1 </w:t>
      </w:r>
      <w:r>
        <w:rPr>
          <w:rFonts w:ascii="Times New Roman" w:hAnsi="Times New Roman"/>
        </w:rPr>
        <w:t>生态环境质量评价</w:t>
      </w:r>
    </w:p>
    <w:p w14:paraId="0840D21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景观生态体系的质量现状是由区域内自然环境、各种生物以及人类社会之间复杂的相互作用来决定的。从景观生态学结构与功能相匹配的观点出发，结构是否合理可以决定了景观功能状况的优劣。本次生态环境质量评价采用景观生态学理论来评价项目评价区的生态质量，采用传统生态学中优势度值法，通过计算各拼块的优势度，确定生态系统中的模地，对评价区环境质量状况作出判定，在景观的三组分（缀块、廊道和模地）中，模地是景观的背景区域，是一种重要的景观元素类型，在很大程度上决定了景观的性质，对景观的动态起着主导作用。判定模地有三个标准，即相对面积要大、连通程度要高、具有动态控制能力。对景观模地的判定一般采用生态学中重要值的方法决定某一缀块在景观中的优势（优势度值），其计算如下：</w:t>
      </w:r>
    </w:p>
    <w:p w14:paraId="39C88DA7" w14:textId="77777777" w:rsidR="009C353B" w:rsidRDefault="00000000">
      <w:pPr>
        <w:pStyle w:val="3f4"/>
        <w:adjustRightInd w:val="0"/>
        <w:snapToGrid w:val="0"/>
        <w:spacing w:line="440" w:lineRule="exact"/>
        <w:ind w:firstLineChars="0" w:firstLine="0"/>
        <w:rPr>
          <w:rFonts w:ascii="Times New Roman" w:hAnsi="Times New Roman"/>
        </w:rPr>
      </w:pPr>
      <w:r>
        <w:rPr>
          <w:rFonts w:ascii="Times New Roman" w:hAnsi="Times New Roman"/>
          <w:noProof/>
        </w:rPr>
        <w:drawing>
          <wp:anchor distT="0" distB="0" distL="114300" distR="114300" simplePos="0" relativeHeight="251659264" behindDoc="0" locked="0" layoutInCell="1" allowOverlap="1" wp14:anchorId="7346C739" wp14:editId="7D55CB7E">
            <wp:simplePos x="0" y="0"/>
            <wp:positionH relativeFrom="column">
              <wp:posOffset>1736090</wp:posOffset>
            </wp:positionH>
            <wp:positionV relativeFrom="paragraph">
              <wp:posOffset>237490</wp:posOffset>
            </wp:positionV>
            <wp:extent cx="1990725" cy="390525"/>
            <wp:effectExtent l="0" t="0" r="9525" b="9525"/>
            <wp:wrapSquare wrapText="bothSides"/>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a:xfrm>
                      <a:off x="0" y="0"/>
                      <a:ext cx="1990725" cy="390525"/>
                    </a:xfrm>
                    <a:prstGeom prst="rect">
                      <a:avLst/>
                    </a:prstGeom>
                    <a:noFill/>
                    <a:ln>
                      <a:noFill/>
                    </a:ln>
                  </pic:spPr>
                </pic:pic>
              </a:graphicData>
            </a:graphic>
          </wp:anchor>
        </w:drawing>
      </w:r>
    </w:p>
    <w:p w14:paraId="5DEF1C94" w14:textId="77777777" w:rsidR="009C353B" w:rsidRDefault="009C353B">
      <w:pPr>
        <w:pStyle w:val="3f4"/>
        <w:adjustRightInd w:val="0"/>
        <w:snapToGrid w:val="0"/>
        <w:spacing w:line="440" w:lineRule="exact"/>
        <w:ind w:firstLine="480"/>
        <w:rPr>
          <w:rFonts w:ascii="Times New Roman" w:hAnsi="Times New Roman"/>
        </w:rPr>
      </w:pPr>
    </w:p>
    <w:p w14:paraId="39283C99" w14:textId="77777777" w:rsidR="009C353B" w:rsidRDefault="00000000">
      <w:pPr>
        <w:pStyle w:val="3f4"/>
        <w:adjustRightInd w:val="0"/>
        <w:snapToGrid w:val="0"/>
        <w:spacing w:beforeLines="50" w:before="120" w:line="440" w:lineRule="exact"/>
        <w:ind w:firstLine="480"/>
        <w:rPr>
          <w:rFonts w:ascii="Times New Roman" w:hAnsi="Times New Roman"/>
        </w:rPr>
      </w:pPr>
      <w:r>
        <w:rPr>
          <w:rFonts w:ascii="Times New Roman" w:hAnsi="Times New Roman"/>
        </w:rPr>
        <w:t>式中：</w:t>
      </w:r>
    </w:p>
    <w:p w14:paraId="57A98376" w14:textId="77777777" w:rsidR="009C353B" w:rsidRDefault="00000000">
      <w:pPr>
        <w:pStyle w:val="3f4"/>
        <w:adjustRightInd w:val="0"/>
        <w:snapToGrid w:val="0"/>
        <w:spacing w:line="440" w:lineRule="exact"/>
        <w:ind w:firstLine="480"/>
        <w:rPr>
          <w:rFonts w:ascii="Times New Roman" w:hAnsi="Times New Roman"/>
        </w:rPr>
      </w:pPr>
      <w:r>
        <w:rPr>
          <w:rFonts w:ascii="Times New Roman" w:hAnsi="Times New Roman"/>
        </w:rPr>
        <w:object w:dxaOrig="382" w:dyaOrig="246" w14:anchorId="5F6C8F4B">
          <v:shape id="_x0000_i1108" type="#_x0000_t75" style="width:19.1pt;height:12.55pt" o:ole="">
            <v:imagedata r:id="rId244" o:title=""/>
          </v:shape>
          <o:OLEObject Type="Embed" ProgID="Equation.3" ShapeID="_x0000_i1108" DrawAspect="Content" ObjectID="_1826209207" r:id="rId245"/>
        </w:object>
      </w:r>
      <w:r>
        <w:rPr>
          <w:rFonts w:ascii="Times New Roman" w:hAnsi="Times New Roman"/>
        </w:rPr>
        <w:t>——</w:t>
      </w:r>
      <w:r>
        <w:rPr>
          <w:rFonts w:ascii="Times New Roman" w:hAnsi="Times New Roman"/>
        </w:rPr>
        <w:t>为优势度；</w:t>
      </w:r>
    </w:p>
    <w:p w14:paraId="1D252374" w14:textId="77777777" w:rsidR="009C353B" w:rsidRDefault="00000000">
      <w:pPr>
        <w:adjustRightInd w:val="0"/>
        <w:snapToGrid w:val="0"/>
        <w:spacing w:line="240" w:lineRule="atLeast"/>
        <w:ind w:firstLine="482"/>
        <w:rPr>
          <w:rFonts w:ascii="Times New Roman" w:hAnsi="Times New Roman"/>
        </w:rPr>
      </w:pPr>
      <w:r>
        <w:rPr>
          <w:rFonts w:ascii="Times New Roman" w:hAnsi="Times New Roman"/>
        </w:rPr>
        <w:object w:dxaOrig="382" w:dyaOrig="246" w14:anchorId="62C20716">
          <v:shape id="_x0000_i1109" type="#_x0000_t75" style="width:19.1pt;height:12.55pt" o:ole="">
            <v:imagedata r:id="rId246" o:title=""/>
          </v:shape>
          <o:OLEObject Type="Embed" ProgID="Equation.3" ShapeID="_x0000_i1109" DrawAspect="Content" ObjectID="_1826209208" r:id="rId247"/>
        </w:object>
      </w:r>
      <w:r>
        <w:rPr>
          <w:rFonts w:ascii="Times New Roman" w:hAnsi="Times New Roman"/>
        </w:rPr>
        <w:t>——</w:t>
      </w:r>
      <w:r>
        <w:rPr>
          <w:rFonts w:ascii="Times New Roman" w:hAnsi="Times New Roman"/>
        </w:rPr>
        <w:t>拼块密度，其计算式为：</w:t>
      </w:r>
      <w:r>
        <w:rPr>
          <w:rFonts w:ascii="Times New Roman" w:hAnsi="Times New Roman"/>
          <w:position w:val="-26"/>
        </w:rPr>
        <w:object w:dxaOrig="2868" w:dyaOrig="591" w14:anchorId="4896C4D6">
          <v:shape id="_x0000_i1110" type="#_x0000_t75" style="width:143.45pt;height:29.45pt" o:ole="">
            <v:imagedata r:id="rId248" o:title=""/>
          </v:shape>
          <o:OLEObject Type="Embed" ProgID="Equation.3" ShapeID="_x0000_i1110" DrawAspect="Content" ObjectID="_1826209209" r:id="rId249"/>
        </w:object>
      </w:r>
      <w:r>
        <w:rPr>
          <w:rFonts w:ascii="Times New Roman" w:hAnsi="Times New Roman"/>
        </w:rPr>
        <w:t>；</w:t>
      </w:r>
    </w:p>
    <w:p w14:paraId="34CDEDF6" w14:textId="77777777" w:rsidR="009C353B" w:rsidRDefault="00000000">
      <w:pPr>
        <w:adjustRightInd w:val="0"/>
        <w:snapToGrid w:val="0"/>
        <w:spacing w:line="240" w:lineRule="atLeast"/>
        <w:ind w:firstLine="482"/>
        <w:rPr>
          <w:rFonts w:ascii="Times New Roman" w:hAnsi="Times New Roman"/>
        </w:rPr>
      </w:pPr>
      <w:r>
        <w:rPr>
          <w:rFonts w:ascii="Times New Roman" w:hAnsi="Times New Roman"/>
        </w:rPr>
        <w:object w:dxaOrig="382" w:dyaOrig="222" w14:anchorId="5B0A2A85">
          <v:shape id="_x0000_i1111" type="#_x0000_t75" style="width:19.1pt;height:10.9pt" o:ole="">
            <v:imagedata r:id="rId250" o:title=""/>
          </v:shape>
          <o:OLEObject Type="Embed" ProgID="Equation.3" ShapeID="_x0000_i1111" DrawAspect="Content" ObjectID="_1826209210" r:id="rId251"/>
        </w:object>
      </w:r>
      <w:r>
        <w:rPr>
          <w:rFonts w:ascii="Times New Roman" w:hAnsi="Times New Roman"/>
        </w:rPr>
        <w:t>——</w:t>
      </w:r>
      <w:r>
        <w:rPr>
          <w:rFonts w:ascii="Times New Roman" w:hAnsi="Times New Roman"/>
        </w:rPr>
        <w:t>频率，其计算式为：</w:t>
      </w:r>
      <w:r>
        <w:rPr>
          <w:rFonts w:ascii="Times New Roman" w:hAnsi="Times New Roman"/>
          <w:position w:val="-26"/>
        </w:rPr>
        <w:object w:dxaOrig="3434" w:dyaOrig="591" w14:anchorId="300E15EC">
          <v:shape id="_x0000_i1112" type="#_x0000_t75" style="width:171.8pt;height:29.45pt" o:ole="">
            <v:imagedata r:id="rId252" o:title=""/>
          </v:shape>
          <o:OLEObject Type="Embed" ProgID="Equation.3" ShapeID="_x0000_i1112" DrawAspect="Content" ObjectID="_1826209211" r:id="rId253"/>
        </w:object>
      </w:r>
      <w:r>
        <w:rPr>
          <w:rFonts w:ascii="Times New Roman" w:hAnsi="Times New Roman"/>
        </w:rPr>
        <w:t>，以</w:t>
      </w:r>
      <w:r>
        <w:rPr>
          <w:rFonts w:ascii="Times New Roman" w:hAnsi="Times New Roman"/>
        </w:rPr>
        <w:t>1000m×1000m</w:t>
      </w:r>
      <w:r>
        <w:rPr>
          <w:rFonts w:ascii="Times New Roman" w:hAnsi="Times New Roman"/>
        </w:rPr>
        <w:t>为一个样方；</w:t>
      </w:r>
    </w:p>
    <w:p w14:paraId="5B2EC185" w14:textId="77777777" w:rsidR="009C353B" w:rsidRDefault="00000000">
      <w:pPr>
        <w:adjustRightInd w:val="0"/>
        <w:snapToGrid w:val="0"/>
        <w:spacing w:line="240" w:lineRule="atLeast"/>
        <w:ind w:firstLine="482"/>
        <w:rPr>
          <w:rFonts w:ascii="Times New Roman" w:hAnsi="Times New Roman"/>
        </w:rPr>
      </w:pPr>
      <w:r>
        <w:rPr>
          <w:rFonts w:ascii="Times New Roman" w:hAnsi="Times New Roman"/>
        </w:rPr>
        <w:object w:dxaOrig="382" w:dyaOrig="222" w14:anchorId="276BBDE7">
          <v:shape id="_x0000_i1113" type="#_x0000_t75" style="width:19.1pt;height:10.9pt" o:ole="">
            <v:imagedata r:id="rId254" o:title=""/>
          </v:shape>
          <o:OLEObject Type="Embed" ProgID="Equation.3" ShapeID="_x0000_i1113" DrawAspect="Content" ObjectID="_1826209212" r:id="rId255"/>
        </w:object>
      </w:r>
      <w:r>
        <w:rPr>
          <w:rFonts w:ascii="Times New Roman" w:hAnsi="Times New Roman"/>
        </w:rPr>
        <w:t>——</w:t>
      </w:r>
      <w:r>
        <w:rPr>
          <w:rFonts w:ascii="Times New Roman" w:hAnsi="Times New Roman"/>
        </w:rPr>
        <w:t>景观比例，其计算式为：</w:t>
      </w:r>
      <w:r>
        <w:rPr>
          <w:rFonts w:ascii="Times New Roman" w:hAnsi="Times New Roman"/>
          <w:position w:val="-26"/>
        </w:rPr>
        <w:object w:dxaOrig="2942" w:dyaOrig="591" w14:anchorId="6B60FF1D">
          <v:shape id="_x0000_i1114" type="#_x0000_t75" style="width:147.25pt;height:29.45pt" o:ole="">
            <v:imagedata r:id="rId256" o:title=""/>
          </v:shape>
          <o:OLEObject Type="Embed" ProgID="Equation.3" ShapeID="_x0000_i1114" DrawAspect="Content" ObjectID="_1826209213" r:id="rId257"/>
        </w:object>
      </w:r>
      <w:r>
        <w:rPr>
          <w:rFonts w:ascii="Times New Roman" w:hAnsi="Times New Roman"/>
        </w:rPr>
        <w:t>。</w:t>
      </w:r>
    </w:p>
    <w:p w14:paraId="2BC2EC46" w14:textId="77777777" w:rsidR="009C353B" w:rsidRDefault="00000000">
      <w:pPr>
        <w:pStyle w:val="3f4"/>
        <w:adjustRightInd w:val="0"/>
        <w:snapToGrid w:val="0"/>
        <w:spacing w:line="440" w:lineRule="exact"/>
        <w:ind w:firstLine="480"/>
        <w:rPr>
          <w:rFonts w:ascii="Times New Roman" w:hAnsi="Times New Roman"/>
          <w:szCs w:val="22"/>
        </w:rPr>
      </w:pPr>
      <w:r>
        <w:rPr>
          <w:rFonts w:ascii="Times New Roman" w:hAnsi="Times New Roman" w:hint="eastAsia"/>
          <w:szCs w:val="22"/>
        </w:rPr>
        <w:t>横城矿区生态评价范围面积为</w:t>
      </w:r>
      <w:r>
        <w:rPr>
          <w:rFonts w:ascii="Times New Roman" w:hAnsi="Times New Roman" w:hint="eastAsia"/>
          <w:szCs w:val="22"/>
        </w:rPr>
        <w:t>314.10</w:t>
      </w:r>
      <w:r>
        <w:rPr>
          <w:rFonts w:ascii="Times New Roman" w:hAnsi="Times New Roman"/>
          <w:szCs w:val="22"/>
        </w:rPr>
        <w:t>km</w:t>
      </w:r>
      <w:r>
        <w:rPr>
          <w:rFonts w:ascii="Times New Roman" w:hAnsi="Times New Roman"/>
          <w:szCs w:val="22"/>
          <w:vertAlign w:val="superscript"/>
        </w:rPr>
        <w:t>2</w:t>
      </w:r>
      <w:r>
        <w:rPr>
          <w:rFonts w:ascii="Times New Roman" w:hAnsi="Times New Roman" w:hint="eastAsia"/>
          <w:szCs w:val="22"/>
        </w:rPr>
        <w:t>，按</w:t>
      </w:r>
      <w:r>
        <w:rPr>
          <w:rFonts w:ascii="Times New Roman" w:hAnsi="Times New Roman"/>
          <w:szCs w:val="22"/>
        </w:rPr>
        <w:t>1000m</w:t>
      </w:r>
      <w:r>
        <w:rPr>
          <w:rFonts w:ascii="Times New Roman" w:hAnsi="Times New Roman"/>
          <w:noProof/>
          <w:szCs w:val="22"/>
        </w:rPr>
        <w:drawing>
          <wp:inline distT="0" distB="0" distL="0" distR="0" wp14:anchorId="0327DE38" wp14:editId="2B84C65D">
            <wp:extent cx="116205" cy="1225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a:xfrm>
                      <a:off x="0" y="0"/>
                      <a:ext cx="116205" cy="122555"/>
                    </a:xfrm>
                    <a:prstGeom prst="rect">
                      <a:avLst/>
                    </a:prstGeom>
                    <a:noFill/>
                    <a:ln>
                      <a:noFill/>
                    </a:ln>
                  </pic:spPr>
                </pic:pic>
              </a:graphicData>
            </a:graphic>
          </wp:inline>
        </w:drawing>
      </w:r>
      <w:r>
        <w:rPr>
          <w:rFonts w:ascii="Times New Roman" w:hAnsi="Times New Roman"/>
          <w:szCs w:val="22"/>
        </w:rPr>
        <w:t>1000m</w:t>
      </w:r>
      <w:r>
        <w:rPr>
          <w:rFonts w:ascii="Times New Roman" w:hAnsi="Times New Roman" w:hint="eastAsia"/>
          <w:szCs w:val="22"/>
        </w:rPr>
        <w:t>对评价范围进行样方划分，共计样方</w:t>
      </w:r>
      <w:r>
        <w:rPr>
          <w:rFonts w:ascii="Times New Roman" w:hAnsi="Times New Roman" w:hint="eastAsia"/>
          <w:szCs w:val="22"/>
        </w:rPr>
        <w:t>362</w:t>
      </w:r>
      <w:r>
        <w:rPr>
          <w:rFonts w:ascii="Times New Roman" w:hAnsi="Times New Roman" w:hint="eastAsia"/>
          <w:szCs w:val="22"/>
        </w:rPr>
        <w:t>个，按照优势度计算公式</w:t>
      </w:r>
      <w:r>
        <w:rPr>
          <w:rFonts w:ascii="Times New Roman" w:hAnsi="Times New Roman"/>
          <w:szCs w:val="22"/>
        </w:rPr>
        <w:t>计算后，结果见表</w:t>
      </w:r>
      <w:r>
        <w:rPr>
          <w:rFonts w:ascii="Times New Roman" w:hAnsi="Times New Roman"/>
          <w:szCs w:val="22"/>
        </w:rPr>
        <w:t>3.4-</w:t>
      </w:r>
      <w:r>
        <w:rPr>
          <w:rFonts w:ascii="Times New Roman" w:hAnsi="Times New Roman" w:hint="eastAsia"/>
          <w:szCs w:val="22"/>
        </w:rPr>
        <w:t>23</w:t>
      </w:r>
      <w:r>
        <w:rPr>
          <w:rFonts w:ascii="Times New Roman" w:hAnsi="Times New Roman"/>
          <w:szCs w:val="22"/>
        </w:rPr>
        <w:t>。</w:t>
      </w:r>
    </w:p>
    <w:p w14:paraId="6FEF14EA" w14:textId="77777777" w:rsidR="009C353B" w:rsidRDefault="00000000">
      <w:pPr>
        <w:spacing w:line="440" w:lineRule="exact"/>
        <w:ind w:firstLineChars="200" w:firstLine="482"/>
        <w:jc w:val="center"/>
        <w:rPr>
          <w:rFonts w:ascii="Times New Roman" w:hAnsi="Times New Roman"/>
          <w:b/>
        </w:rPr>
      </w:pPr>
      <w:r>
        <w:rPr>
          <w:rFonts w:ascii="Times New Roman" w:hAnsi="Times New Roman"/>
          <w:b/>
        </w:rPr>
        <w:t>评价区各类缀块优势度值</w:t>
      </w:r>
    </w:p>
    <w:p w14:paraId="42024CE5" w14:textId="77777777" w:rsidR="009C353B" w:rsidRDefault="00000000">
      <w:pPr>
        <w:pStyle w:val="affffd"/>
        <w:rPr>
          <w:rFonts w:ascii="Times New Roman" w:hAnsi="Times New Roman"/>
        </w:rPr>
      </w:pPr>
      <w:r>
        <w:rPr>
          <w:rFonts w:ascii="Times New Roman" w:hAnsi="Times New Roman"/>
        </w:rPr>
        <w:t>表</w:t>
      </w:r>
      <w:r>
        <w:rPr>
          <w:rFonts w:ascii="Times New Roman" w:hAnsi="Times New Roman"/>
        </w:rPr>
        <w:t>3.4-</w:t>
      </w:r>
      <w:r>
        <w:rPr>
          <w:rFonts w:ascii="Times New Roman" w:hAnsi="Times New Roman" w:hint="eastAsia"/>
        </w:rPr>
        <w:t>23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3"/>
        <w:gridCol w:w="1855"/>
        <w:gridCol w:w="1856"/>
        <w:gridCol w:w="1856"/>
        <w:gridCol w:w="1867"/>
      </w:tblGrid>
      <w:tr w:rsidR="009C353B" w14:paraId="78F089C7" w14:textId="77777777">
        <w:trPr>
          <w:trHeight w:val="375"/>
          <w:tblHeader/>
        </w:trPr>
        <w:tc>
          <w:tcPr>
            <w:tcW w:w="998" w:type="pct"/>
            <w:shd w:val="clear" w:color="auto" w:fill="auto"/>
            <w:vAlign w:val="center"/>
          </w:tcPr>
          <w:p w14:paraId="6D4CB8A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缀块类型</w:t>
            </w:r>
          </w:p>
        </w:tc>
        <w:tc>
          <w:tcPr>
            <w:tcW w:w="999" w:type="pct"/>
            <w:shd w:val="clear" w:color="auto" w:fill="auto"/>
            <w:vAlign w:val="center"/>
          </w:tcPr>
          <w:p w14:paraId="3354686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R</w:t>
            </w:r>
            <w:r>
              <w:rPr>
                <w:rFonts w:ascii="Times New Roman" w:hAnsi="Times New Roman"/>
                <w:kern w:val="0"/>
                <w:sz w:val="21"/>
                <w:szCs w:val="21"/>
                <w:vertAlign w:val="subscript"/>
              </w:rPr>
              <w:t>d</w:t>
            </w:r>
            <w:r>
              <w:rPr>
                <w:rFonts w:ascii="Times New Roman" w:hAnsi="Times New Roman"/>
                <w:kern w:val="0"/>
                <w:sz w:val="21"/>
                <w:szCs w:val="21"/>
              </w:rPr>
              <w:t>（</w:t>
            </w:r>
            <w:r>
              <w:rPr>
                <w:rFonts w:ascii="Times New Roman" w:hAnsi="Times New Roman"/>
                <w:kern w:val="0"/>
                <w:sz w:val="21"/>
                <w:szCs w:val="21"/>
              </w:rPr>
              <w:t>%</w:t>
            </w:r>
            <w:r>
              <w:rPr>
                <w:rFonts w:ascii="Times New Roman" w:hAnsi="Times New Roman"/>
                <w:kern w:val="0"/>
                <w:sz w:val="21"/>
                <w:szCs w:val="21"/>
              </w:rPr>
              <w:t>）</w:t>
            </w:r>
          </w:p>
        </w:tc>
        <w:tc>
          <w:tcPr>
            <w:tcW w:w="999" w:type="pct"/>
            <w:shd w:val="clear" w:color="auto" w:fill="auto"/>
            <w:vAlign w:val="center"/>
          </w:tcPr>
          <w:p w14:paraId="48364F4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R</w:t>
            </w:r>
            <w:r>
              <w:rPr>
                <w:rFonts w:ascii="Times New Roman" w:hAnsi="Times New Roman"/>
                <w:kern w:val="0"/>
                <w:sz w:val="21"/>
                <w:szCs w:val="21"/>
                <w:vertAlign w:val="subscript"/>
              </w:rPr>
              <w:t>f</w:t>
            </w:r>
            <w:r>
              <w:rPr>
                <w:rFonts w:ascii="Times New Roman" w:hAnsi="Times New Roman"/>
                <w:kern w:val="0"/>
                <w:sz w:val="21"/>
                <w:szCs w:val="21"/>
              </w:rPr>
              <w:t>（</w:t>
            </w:r>
            <w:r>
              <w:rPr>
                <w:rFonts w:ascii="Times New Roman" w:hAnsi="Times New Roman"/>
                <w:kern w:val="0"/>
                <w:sz w:val="21"/>
                <w:szCs w:val="21"/>
              </w:rPr>
              <w:t>%</w:t>
            </w:r>
            <w:r>
              <w:rPr>
                <w:rFonts w:ascii="Times New Roman" w:hAnsi="Times New Roman"/>
                <w:kern w:val="0"/>
                <w:sz w:val="21"/>
                <w:szCs w:val="21"/>
              </w:rPr>
              <w:t>）</w:t>
            </w:r>
          </w:p>
        </w:tc>
        <w:tc>
          <w:tcPr>
            <w:tcW w:w="999" w:type="pct"/>
            <w:shd w:val="clear" w:color="auto" w:fill="auto"/>
            <w:vAlign w:val="center"/>
          </w:tcPr>
          <w:p w14:paraId="668CF79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L</w:t>
            </w:r>
            <w:r>
              <w:rPr>
                <w:rFonts w:ascii="Times New Roman" w:hAnsi="Times New Roman"/>
                <w:kern w:val="0"/>
                <w:sz w:val="21"/>
                <w:szCs w:val="21"/>
                <w:vertAlign w:val="subscript"/>
              </w:rPr>
              <w:t>p</w:t>
            </w:r>
            <w:r>
              <w:rPr>
                <w:rFonts w:ascii="Times New Roman" w:hAnsi="Times New Roman"/>
                <w:kern w:val="0"/>
                <w:sz w:val="21"/>
                <w:szCs w:val="21"/>
              </w:rPr>
              <w:t>（</w:t>
            </w:r>
            <w:r>
              <w:rPr>
                <w:rFonts w:ascii="Times New Roman" w:hAnsi="Times New Roman"/>
                <w:kern w:val="0"/>
                <w:sz w:val="21"/>
                <w:szCs w:val="21"/>
              </w:rPr>
              <w:t>%</w:t>
            </w:r>
            <w:r>
              <w:rPr>
                <w:rFonts w:ascii="Times New Roman" w:hAnsi="Times New Roman"/>
                <w:kern w:val="0"/>
                <w:sz w:val="21"/>
                <w:szCs w:val="21"/>
              </w:rPr>
              <w:t>）</w:t>
            </w:r>
          </w:p>
        </w:tc>
        <w:tc>
          <w:tcPr>
            <w:tcW w:w="1003" w:type="pct"/>
            <w:shd w:val="clear" w:color="auto" w:fill="auto"/>
            <w:vAlign w:val="center"/>
          </w:tcPr>
          <w:p w14:paraId="4902512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w:t>
            </w:r>
            <w:r>
              <w:rPr>
                <w:rFonts w:ascii="Times New Roman" w:hAnsi="Times New Roman"/>
                <w:kern w:val="0"/>
                <w:sz w:val="21"/>
                <w:szCs w:val="21"/>
                <w:vertAlign w:val="subscript"/>
              </w:rPr>
              <w:t>o</w:t>
            </w:r>
            <w:r>
              <w:rPr>
                <w:rFonts w:ascii="Times New Roman" w:hAnsi="Times New Roman"/>
                <w:kern w:val="0"/>
                <w:sz w:val="21"/>
                <w:szCs w:val="21"/>
              </w:rPr>
              <w:t>（</w:t>
            </w:r>
            <w:r>
              <w:rPr>
                <w:rFonts w:ascii="Times New Roman" w:hAnsi="Times New Roman"/>
                <w:kern w:val="0"/>
                <w:sz w:val="21"/>
                <w:szCs w:val="21"/>
              </w:rPr>
              <w:t>%</w:t>
            </w:r>
            <w:r>
              <w:rPr>
                <w:rFonts w:ascii="Times New Roman" w:hAnsi="Times New Roman"/>
                <w:kern w:val="0"/>
                <w:sz w:val="21"/>
                <w:szCs w:val="21"/>
              </w:rPr>
              <w:t>）</w:t>
            </w:r>
          </w:p>
        </w:tc>
      </w:tr>
      <w:tr w:rsidR="009C353B" w14:paraId="6DA422E9" w14:textId="77777777">
        <w:trPr>
          <w:trHeight w:val="285"/>
        </w:trPr>
        <w:tc>
          <w:tcPr>
            <w:tcW w:w="998" w:type="pct"/>
            <w:shd w:val="clear" w:color="auto" w:fill="auto"/>
            <w:noWrap/>
            <w:vAlign w:val="center"/>
          </w:tcPr>
          <w:p w14:paraId="3EE2891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乔木林地</w:t>
            </w:r>
          </w:p>
        </w:tc>
        <w:tc>
          <w:tcPr>
            <w:tcW w:w="999" w:type="pct"/>
            <w:shd w:val="clear" w:color="auto" w:fill="auto"/>
            <w:noWrap/>
            <w:vAlign w:val="center"/>
          </w:tcPr>
          <w:p w14:paraId="13B2CDB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4.48</w:t>
            </w:r>
          </w:p>
        </w:tc>
        <w:tc>
          <w:tcPr>
            <w:tcW w:w="999" w:type="pct"/>
            <w:shd w:val="clear" w:color="auto" w:fill="auto"/>
            <w:noWrap/>
            <w:vAlign w:val="center"/>
          </w:tcPr>
          <w:p w14:paraId="4D8AB77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29.28</w:t>
            </w:r>
          </w:p>
        </w:tc>
        <w:tc>
          <w:tcPr>
            <w:tcW w:w="999" w:type="pct"/>
            <w:shd w:val="clear" w:color="auto" w:fill="auto"/>
            <w:noWrap/>
            <w:vAlign w:val="center"/>
          </w:tcPr>
          <w:p w14:paraId="5DACAC0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2.81</w:t>
            </w:r>
          </w:p>
        </w:tc>
        <w:tc>
          <w:tcPr>
            <w:tcW w:w="1003" w:type="pct"/>
            <w:shd w:val="clear" w:color="auto" w:fill="auto"/>
            <w:noWrap/>
            <w:vAlign w:val="center"/>
          </w:tcPr>
          <w:p w14:paraId="4450DFB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9.84</w:t>
            </w:r>
          </w:p>
        </w:tc>
      </w:tr>
      <w:tr w:rsidR="009C353B" w14:paraId="3C974089" w14:textId="77777777">
        <w:trPr>
          <w:trHeight w:val="285"/>
        </w:trPr>
        <w:tc>
          <w:tcPr>
            <w:tcW w:w="998" w:type="pct"/>
            <w:shd w:val="clear" w:color="auto" w:fill="auto"/>
            <w:noWrap/>
            <w:vAlign w:val="center"/>
          </w:tcPr>
          <w:p w14:paraId="4CDC28E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灌木林地</w:t>
            </w:r>
          </w:p>
        </w:tc>
        <w:tc>
          <w:tcPr>
            <w:tcW w:w="999" w:type="pct"/>
            <w:shd w:val="clear" w:color="auto" w:fill="auto"/>
            <w:noWrap/>
            <w:vAlign w:val="center"/>
          </w:tcPr>
          <w:p w14:paraId="3519DAE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22.26</w:t>
            </w:r>
          </w:p>
        </w:tc>
        <w:tc>
          <w:tcPr>
            <w:tcW w:w="999" w:type="pct"/>
            <w:shd w:val="clear" w:color="auto" w:fill="auto"/>
            <w:noWrap/>
            <w:vAlign w:val="center"/>
          </w:tcPr>
          <w:p w14:paraId="3BEF46C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49.72</w:t>
            </w:r>
          </w:p>
        </w:tc>
        <w:tc>
          <w:tcPr>
            <w:tcW w:w="999" w:type="pct"/>
            <w:shd w:val="clear" w:color="auto" w:fill="auto"/>
            <w:noWrap/>
            <w:vAlign w:val="center"/>
          </w:tcPr>
          <w:p w14:paraId="657B13F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4.08</w:t>
            </w:r>
          </w:p>
        </w:tc>
        <w:tc>
          <w:tcPr>
            <w:tcW w:w="1003" w:type="pct"/>
            <w:shd w:val="clear" w:color="auto" w:fill="auto"/>
            <w:noWrap/>
            <w:vAlign w:val="center"/>
          </w:tcPr>
          <w:p w14:paraId="3DBAA6A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20.04</w:t>
            </w:r>
          </w:p>
        </w:tc>
      </w:tr>
      <w:tr w:rsidR="009C353B" w14:paraId="04962843" w14:textId="77777777">
        <w:trPr>
          <w:trHeight w:val="285"/>
        </w:trPr>
        <w:tc>
          <w:tcPr>
            <w:tcW w:w="998" w:type="pct"/>
            <w:shd w:val="clear" w:color="auto" w:fill="auto"/>
            <w:noWrap/>
            <w:vAlign w:val="center"/>
          </w:tcPr>
          <w:p w14:paraId="11939DA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天然牧草地</w:t>
            </w:r>
          </w:p>
        </w:tc>
        <w:tc>
          <w:tcPr>
            <w:tcW w:w="999" w:type="pct"/>
            <w:shd w:val="clear" w:color="auto" w:fill="auto"/>
            <w:noWrap/>
            <w:vAlign w:val="center"/>
          </w:tcPr>
          <w:p w14:paraId="6713563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48.12</w:t>
            </w:r>
          </w:p>
        </w:tc>
        <w:tc>
          <w:tcPr>
            <w:tcW w:w="999" w:type="pct"/>
            <w:shd w:val="clear" w:color="auto" w:fill="auto"/>
            <w:noWrap/>
            <w:vAlign w:val="center"/>
          </w:tcPr>
          <w:p w14:paraId="6BDEB02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95.58</w:t>
            </w:r>
          </w:p>
        </w:tc>
        <w:tc>
          <w:tcPr>
            <w:tcW w:w="999" w:type="pct"/>
            <w:shd w:val="clear" w:color="auto" w:fill="auto"/>
            <w:noWrap/>
            <w:vAlign w:val="center"/>
          </w:tcPr>
          <w:p w14:paraId="5918A8E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55.91</w:t>
            </w:r>
          </w:p>
        </w:tc>
        <w:tc>
          <w:tcPr>
            <w:tcW w:w="1003" w:type="pct"/>
            <w:shd w:val="clear" w:color="auto" w:fill="auto"/>
            <w:noWrap/>
            <w:vAlign w:val="center"/>
          </w:tcPr>
          <w:p w14:paraId="22146C9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63.88</w:t>
            </w:r>
          </w:p>
        </w:tc>
      </w:tr>
      <w:tr w:rsidR="009C353B" w14:paraId="5C5E9A01" w14:textId="77777777">
        <w:trPr>
          <w:trHeight w:val="285"/>
        </w:trPr>
        <w:tc>
          <w:tcPr>
            <w:tcW w:w="998" w:type="pct"/>
            <w:shd w:val="clear" w:color="auto" w:fill="auto"/>
            <w:noWrap/>
            <w:vAlign w:val="center"/>
          </w:tcPr>
          <w:p w14:paraId="0F93323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工矿用地</w:t>
            </w:r>
          </w:p>
        </w:tc>
        <w:tc>
          <w:tcPr>
            <w:tcW w:w="999" w:type="pct"/>
            <w:shd w:val="clear" w:color="auto" w:fill="auto"/>
            <w:noWrap/>
            <w:vAlign w:val="center"/>
          </w:tcPr>
          <w:p w14:paraId="1CF9167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1.30</w:t>
            </w:r>
          </w:p>
        </w:tc>
        <w:tc>
          <w:tcPr>
            <w:tcW w:w="999" w:type="pct"/>
            <w:shd w:val="clear" w:color="auto" w:fill="auto"/>
            <w:noWrap/>
            <w:vAlign w:val="center"/>
          </w:tcPr>
          <w:p w14:paraId="1AE04B9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32.87</w:t>
            </w:r>
          </w:p>
        </w:tc>
        <w:tc>
          <w:tcPr>
            <w:tcW w:w="999" w:type="pct"/>
            <w:shd w:val="clear" w:color="auto" w:fill="auto"/>
            <w:noWrap/>
            <w:vAlign w:val="center"/>
          </w:tcPr>
          <w:p w14:paraId="29C1CB8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9.07</w:t>
            </w:r>
          </w:p>
        </w:tc>
        <w:tc>
          <w:tcPr>
            <w:tcW w:w="1003" w:type="pct"/>
            <w:shd w:val="clear" w:color="auto" w:fill="auto"/>
            <w:noWrap/>
            <w:vAlign w:val="center"/>
          </w:tcPr>
          <w:p w14:paraId="0AAAFAA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13.08</w:t>
            </w:r>
          </w:p>
        </w:tc>
      </w:tr>
      <w:tr w:rsidR="009C353B" w14:paraId="4024A482" w14:textId="77777777">
        <w:trPr>
          <w:trHeight w:val="285"/>
        </w:trPr>
        <w:tc>
          <w:tcPr>
            <w:tcW w:w="998" w:type="pct"/>
            <w:shd w:val="clear" w:color="auto" w:fill="auto"/>
            <w:noWrap/>
            <w:vAlign w:val="center"/>
          </w:tcPr>
          <w:p w14:paraId="3447013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城镇住宅用地</w:t>
            </w:r>
          </w:p>
        </w:tc>
        <w:tc>
          <w:tcPr>
            <w:tcW w:w="999" w:type="pct"/>
            <w:shd w:val="clear" w:color="auto" w:fill="auto"/>
            <w:noWrap/>
            <w:vAlign w:val="center"/>
          </w:tcPr>
          <w:p w14:paraId="23056CB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c>
          <w:tcPr>
            <w:tcW w:w="999" w:type="pct"/>
            <w:shd w:val="clear" w:color="auto" w:fill="auto"/>
            <w:noWrap/>
            <w:vAlign w:val="center"/>
          </w:tcPr>
          <w:p w14:paraId="2227D5D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1.66</w:t>
            </w:r>
          </w:p>
        </w:tc>
        <w:tc>
          <w:tcPr>
            <w:tcW w:w="999" w:type="pct"/>
            <w:shd w:val="clear" w:color="auto" w:fill="auto"/>
            <w:noWrap/>
            <w:vAlign w:val="center"/>
          </w:tcPr>
          <w:p w14:paraId="6D433F2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0.31</w:t>
            </w:r>
          </w:p>
        </w:tc>
        <w:tc>
          <w:tcPr>
            <w:tcW w:w="1003" w:type="pct"/>
            <w:shd w:val="clear" w:color="auto" w:fill="auto"/>
            <w:noWrap/>
            <w:vAlign w:val="center"/>
          </w:tcPr>
          <w:p w14:paraId="47DB38F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0.58</w:t>
            </w:r>
          </w:p>
        </w:tc>
      </w:tr>
      <w:tr w:rsidR="009C353B" w14:paraId="0AE8B87B" w14:textId="77777777">
        <w:trPr>
          <w:trHeight w:val="285"/>
        </w:trPr>
        <w:tc>
          <w:tcPr>
            <w:tcW w:w="998" w:type="pct"/>
            <w:shd w:val="clear" w:color="auto" w:fill="auto"/>
            <w:noWrap/>
            <w:vAlign w:val="center"/>
          </w:tcPr>
          <w:p w14:paraId="58C7EE1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农村住宅用地</w:t>
            </w:r>
          </w:p>
        </w:tc>
        <w:tc>
          <w:tcPr>
            <w:tcW w:w="999" w:type="pct"/>
            <w:shd w:val="clear" w:color="auto" w:fill="auto"/>
            <w:noWrap/>
            <w:vAlign w:val="center"/>
          </w:tcPr>
          <w:p w14:paraId="09059A3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0.02</w:t>
            </w:r>
          </w:p>
        </w:tc>
        <w:tc>
          <w:tcPr>
            <w:tcW w:w="999" w:type="pct"/>
            <w:shd w:val="clear" w:color="auto" w:fill="auto"/>
            <w:noWrap/>
            <w:vAlign w:val="center"/>
          </w:tcPr>
          <w:p w14:paraId="36F8CEE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1.38</w:t>
            </w:r>
          </w:p>
        </w:tc>
        <w:tc>
          <w:tcPr>
            <w:tcW w:w="999" w:type="pct"/>
            <w:shd w:val="clear" w:color="auto" w:fill="auto"/>
            <w:noWrap/>
            <w:vAlign w:val="center"/>
          </w:tcPr>
          <w:p w14:paraId="02260E8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0.20</w:t>
            </w:r>
          </w:p>
        </w:tc>
        <w:tc>
          <w:tcPr>
            <w:tcW w:w="1003" w:type="pct"/>
            <w:shd w:val="clear" w:color="auto" w:fill="auto"/>
            <w:noWrap/>
            <w:vAlign w:val="center"/>
          </w:tcPr>
          <w:p w14:paraId="0907CA4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0.45</w:t>
            </w:r>
          </w:p>
        </w:tc>
      </w:tr>
      <w:tr w:rsidR="009C353B" w14:paraId="47E8BC01" w14:textId="77777777">
        <w:trPr>
          <w:trHeight w:val="285"/>
        </w:trPr>
        <w:tc>
          <w:tcPr>
            <w:tcW w:w="998" w:type="pct"/>
            <w:shd w:val="clear" w:color="auto" w:fill="auto"/>
            <w:noWrap/>
            <w:vAlign w:val="center"/>
          </w:tcPr>
          <w:p w14:paraId="1CF9FC4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铁路用地</w:t>
            </w:r>
          </w:p>
        </w:tc>
        <w:tc>
          <w:tcPr>
            <w:tcW w:w="999" w:type="pct"/>
            <w:shd w:val="clear" w:color="auto" w:fill="auto"/>
            <w:noWrap/>
            <w:vAlign w:val="center"/>
          </w:tcPr>
          <w:p w14:paraId="3D4EE8F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0.07</w:t>
            </w:r>
          </w:p>
        </w:tc>
        <w:tc>
          <w:tcPr>
            <w:tcW w:w="999" w:type="pct"/>
            <w:shd w:val="clear" w:color="auto" w:fill="auto"/>
            <w:noWrap/>
            <w:vAlign w:val="center"/>
          </w:tcPr>
          <w:p w14:paraId="174C03C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17.68</w:t>
            </w:r>
          </w:p>
        </w:tc>
        <w:tc>
          <w:tcPr>
            <w:tcW w:w="999" w:type="pct"/>
            <w:shd w:val="clear" w:color="auto" w:fill="auto"/>
            <w:noWrap/>
            <w:vAlign w:val="center"/>
          </w:tcPr>
          <w:p w14:paraId="5A39BE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0.41</w:t>
            </w:r>
          </w:p>
        </w:tc>
        <w:tc>
          <w:tcPr>
            <w:tcW w:w="1003" w:type="pct"/>
            <w:shd w:val="clear" w:color="auto" w:fill="auto"/>
            <w:noWrap/>
            <w:vAlign w:val="center"/>
          </w:tcPr>
          <w:p w14:paraId="743C49D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4.64</w:t>
            </w:r>
          </w:p>
        </w:tc>
      </w:tr>
      <w:tr w:rsidR="009C353B" w14:paraId="2D8E6576" w14:textId="77777777">
        <w:trPr>
          <w:trHeight w:val="285"/>
        </w:trPr>
        <w:tc>
          <w:tcPr>
            <w:tcW w:w="998" w:type="pct"/>
            <w:shd w:val="clear" w:color="auto" w:fill="auto"/>
            <w:noWrap/>
            <w:vAlign w:val="center"/>
          </w:tcPr>
          <w:p w14:paraId="46814D8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公路用地</w:t>
            </w:r>
          </w:p>
        </w:tc>
        <w:tc>
          <w:tcPr>
            <w:tcW w:w="999" w:type="pct"/>
            <w:shd w:val="clear" w:color="auto" w:fill="auto"/>
            <w:noWrap/>
            <w:vAlign w:val="center"/>
          </w:tcPr>
          <w:p w14:paraId="6988F63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0.05</w:t>
            </w:r>
          </w:p>
        </w:tc>
        <w:tc>
          <w:tcPr>
            <w:tcW w:w="999" w:type="pct"/>
            <w:shd w:val="clear" w:color="auto" w:fill="auto"/>
            <w:noWrap/>
            <w:vAlign w:val="center"/>
          </w:tcPr>
          <w:p w14:paraId="465B37B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51.66</w:t>
            </w:r>
          </w:p>
        </w:tc>
        <w:tc>
          <w:tcPr>
            <w:tcW w:w="999" w:type="pct"/>
            <w:shd w:val="clear" w:color="auto" w:fill="auto"/>
            <w:noWrap/>
            <w:vAlign w:val="center"/>
          </w:tcPr>
          <w:p w14:paraId="3475FC4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1.67</w:t>
            </w:r>
          </w:p>
        </w:tc>
        <w:tc>
          <w:tcPr>
            <w:tcW w:w="1003" w:type="pct"/>
            <w:shd w:val="clear" w:color="auto" w:fill="auto"/>
            <w:noWrap/>
            <w:vAlign w:val="center"/>
          </w:tcPr>
          <w:p w14:paraId="2D5B95C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13.76</w:t>
            </w:r>
          </w:p>
        </w:tc>
      </w:tr>
      <w:tr w:rsidR="009C353B" w14:paraId="6FCBAA93" w14:textId="77777777">
        <w:trPr>
          <w:trHeight w:val="285"/>
        </w:trPr>
        <w:tc>
          <w:tcPr>
            <w:tcW w:w="998" w:type="pct"/>
            <w:shd w:val="clear" w:color="auto" w:fill="auto"/>
            <w:noWrap/>
            <w:vAlign w:val="center"/>
          </w:tcPr>
          <w:p w14:paraId="4AD73C1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农村道路</w:t>
            </w:r>
          </w:p>
        </w:tc>
        <w:tc>
          <w:tcPr>
            <w:tcW w:w="999" w:type="pct"/>
            <w:shd w:val="clear" w:color="auto" w:fill="auto"/>
            <w:noWrap/>
            <w:vAlign w:val="center"/>
          </w:tcPr>
          <w:p w14:paraId="3E29A24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0.70</w:t>
            </w:r>
          </w:p>
        </w:tc>
        <w:tc>
          <w:tcPr>
            <w:tcW w:w="999" w:type="pct"/>
            <w:shd w:val="clear" w:color="auto" w:fill="auto"/>
            <w:noWrap/>
            <w:vAlign w:val="center"/>
          </w:tcPr>
          <w:p w14:paraId="5E43B97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33.15</w:t>
            </w:r>
          </w:p>
        </w:tc>
        <w:tc>
          <w:tcPr>
            <w:tcW w:w="999" w:type="pct"/>
            <w:shd w:val="clear" w:color="auto" w:fill="auto"/>
            <w:noWrap/>
            <w:vAlign w:val="center"/>
          </w:tcPr>
          <w:p w14:paraId="672FCA9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0.28</w:t>
            </w:r>
          </w:p>
        </w:tc>
        <w:tc>
          <w:tcPr>
            <w:tcW w:w="1003" w:type="pct"/>
            <w:shd w:val="clear" w:color="auto" w:fill="auto"/>
            <w:noWrap/>
            <w:vAlign w:val="center"/>
          </w:tcPr>
          <w:p w14:paraId="2F7D2A4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8.60</w:t>
            </w:r>
          </w:p>
        </w:tc>
      </w:tr>
      <w:tr w:rsidR="009C353B" w14:paraId="39BC9B50" w14:textId="77777777">
        <w:trPr>
          <w:trHeight w:val="285"/>
        </w:trPr>
        <w:tc>
          <w:tcPr>
            <w:tcW w:w="998" w:type="pct"/>
            <w:shd w:val="clear" w:color="auto" w:fill="auto"/>
            <w:noWrap/>
            <w:vAlign w:val="center"/>
          </w:tcPr>
          <w:p w14:paraId="735BBFD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河流水面</w:t>
            </w:r>
          </w:p>
        </w:tc>
        <w:tc>
          <w:tcPr>
            <w:tcW w:w="999" w:type="pct"/>
            <w:shd w:val="clear" w:color="auto" w:fill="auto"/>
            <w:noWrap/>
            <w:vAlign w:val="center"/>
          </w:tcPr>
          <w:p w14:paraId="21DC61D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0.46</w:t>
            </w:r>
          </w:p>
        </w:tc>
        <w:tc>
          <w:tcPr>
            <w:tcW w:w="999" w:type="pct"/>
            <w:shd w:val="clear" w:color="auto" w:fill="auto"/>
            <w:noWrap/>
            <w:vAlign w:val="center"/>
          </w:tcPr>
          <w:p w14:paraId="1EA360B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14.33</w:t>
            </w:r>
          </w:p>
        </w:tc>
        <w:tc>
          <w:tcPr>
            <w:tcW w:w="999" w:type="pct"/>
            <w:shd w:val="clear" w:color="auto" w:fill="auto"/>
            <w:noWrap/>
            <w:vAlign w:val="center"/>
          </w:tcPr>
          <w:p w14:paraId="7CC2D30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0.94</w:t>
            </w:r>
          </w:p>
        </w:tc>
        <w:tc>
          <w:tcPr>
            <w:tcW w:w="1003" w:type="pct"/>
            <w:shd w:val="clear" w:color="auto" w:fill="auto"/>
            <w:noWrap/>
            <w:vAlign w:val="center"/>
          </w:tcPr>
          <w:p w14:paraId="59269F5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4.17</w:t>
            </w:r>
          </w:p>
        </w:tc>
      </w:tr>
      <w:tr w:rsidR="009C353B" w14:paraId="4C81E225" w14:textId="77777777">
        <w:trPr>
          <w:trHeight w:val="285"/>
        </w:trPr>
        <w:tc>
          <w:tcPr>
            <w:tcW w:w="998" w:type="pct"/>
            <w:shd w:val="clear" w:color="auto" w:fill="auto"/>
            <w:noWrap/>
            <w:vAlign w:val="center"/>
          </w:tcPr>
          <w:p w14:paraId="139F0E7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水库水面</w:t>
            </w:r>
          </w:p>
        </w:tc>
        <w:tc>
          <w:tcPr>
            <w:tcW w:w="999" w:type="pct"/>
            <w:shd w:val="clear" w:color="auto" w:fill="auto"/>
            <w:noWrap/>
            <w:vAlign w:val="center"/>
          </w:tcPr>
          <w:p w14:paraId="57FA291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0.09</w:t>
            </w:r>
          </w:p>
        </w:tc>
        <w:tc>
          <w:tcPr>
            <w:tcW w:w="999" w:type="pct"/>
            <w:shd w:val="clear" w:color="auto" w:fill="auto"/>
            <w:noWrap/>
            <w:vAlign w:val="center"/>
          </w:tcPr>
          <w:p w14:paraId="3306627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3.57</w:t>
            </w:r>
          </w:p>
        </w:tc>
        <w:tc>
          <w:tcPr>
            <w:tcW w:w="999" w:type="pct"/>
            <w:shd w:val="clear" w:color="auto" w:fill="auto"/>
            <w:noWrap/>
            <w:vAlign w:val="center"/>
          </w:tcPr>
          <w:p w14:paraId="16FC61A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1.12</w:t>
            </w:r>
          </w:p>
        </w:tc>
        <w:tc>
          <w:tcPr>
            <w:tcW w:w="1003" w:type="pct"/>
            <w:shd w:val="clear" w:color="auto" w:fill="auto"/>
            <w:noWrap/>
            <w:vAlign w:val="center"/>
          </w:tcPr>
          <w:p w14:paraId="6B3ADEC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1.47</w:t>
            </w:r>
          </w:p>
        </w:tc>
      </w:tr>
      <w:tr w:rsidR="009C353B" w14:paraId="550A9956" w14:textId="77777777">
        <w:trPr>
          <w:trHeight w:val="285"/>
        </w:trPr>
        <w:tc>
          <w:tcPr>
            <w:tcW w:w="998" w:type="pct"/>
            <w:shd w:val="clear" w:color="auto" w:fill="auto"/>
            <w:noWrap/>
            <w:vAlign w:val="center"/>
          </w:tcPr>
          <w:p w14:paraId="2DCD7B8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坑塘水面</w:t>
            </w:r>
          </w:p>
        </w:tc>
        <w:tc>
          <w:tcPr>
            <w:tcW w:w="999" w:type="pct"/>
            <w:shd w:val="clear" w:color="auto" w:fill="auto"/>
            <w:noWrap/>
            <w:vAlign w:val="center"/>
          </w:tcPr>
          <w:p w14:paraId="3F09054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0.16</w:t>
            </w:r>
          </w:p>
        </w:tc>
        <w:tc>
          <w:tcPr>
            <w:tcW w:w="999" w:type="pct"/>
            <w:shd w:val="clear" w:color="auto" w:fill="auto"/>
            <w:noWrap/>
            <w:vAlign w:val="center"/>
          </w:tcPr>
          <w:p w14:paraId="581CF5D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3.01</w:t>
            </w:r>
          </w:p>
        </w:tc>
        <w:tc>
          <w:tcPr>
            <w:tcW w:w="999" w:type="pct"/>
            <w:shd w:val="clear" w:color="auto" w:fill="auto"/>
            <w:noWrap/>
            <w:vAlign w:val="center"/>
          </w:tcPr>
          <w:p w14:paraId="6A114DD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0.15</w:t>
            </w:r>
          </w:p>
        </w:tc>
        <w:tc>
          <w:tcPr>
            <w:tcW w:w="1003" w:type="pct"/>
            <w:shd w:val="clear" w:color="auto" w:fill="auto"/>
            <w:noWrap/>
            <w:vAlign w:val="center"/>
          </w:tcPr>
          <w:p w14:paraId="34E5200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0.87</w:t>
            </w:r>
          </w:p>
        </w:tc>
      </w:tr>
      <w:tr w:rsidR="009C353B" w14:paraId="1375AEE6" w14:textId="77777777">
        <w:trPr>
          <w:trHeight w:val="285"/>
        </w:trPr>
        <w:tc>
          <w:tcPr>
            <w:tcW w:w="998" w:type="pct"/>
            <w:shd w:val="clear" w:color="auto" w:fill="auto"/>
            <w:noWrap/>
            <w:vAlign w:val="center"/>
          </w:tcPr>
          <w:p w14:paraId="12A96E8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内陆滩涂</w:t>
            </w:r>
          </w:p>
        </w:tc>
        <w:tc>
          <w:tcPr>
            <w:tcW w:w="999" w:type="pct"/>
            <w:shd w:val="clear" w:color="auto" w:fill="auto"/>
            <w:noWrap/>
            <w:vAlign w:val="center"/>
          </w:tcPr>
          <w:p w14:paraId="0903102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0.30</w:t>
            </w:r>
          </w:p>
        </w:tc>
        <w:tc>
          <w:tcPr>
            <w:tcW w:w="999" w:type="pct"/>
            <w:shd w:val="clear" w:color="auto" w:fill="auto"/>
            <w:noWrap/>
            <w:vAlign w:val="center"/>
          </w:tcPr>
          <w:p w14:paraId="558FAED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6.56</w:t>
            </w:r>
          </w:p>
        </w:tc>
        <w:tc>
          <w:tcPr>
            <w:tcW w:w="999" w:type="pct"/>
            <w:shd w:val="clear" w:color="auto" w:fill="auto"/>
            <w:noWrap/>
            <w:vAlign w:val="center"/>
          </w:tcPr>
          <w:p w14:paraId="04324B1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0.32</w:t>
            </w:r>
          </w:p>
        </w:tc>
        <w:tc>
          <w:tcPr>
            <w:tcW w:w="1003" w:type="pct"/>
            <w:shd w:val="clear" w:color="auto" w:fill="auto"/>
            <w:noWrap/>
            <w:vAlign w:val="center"/>
          </w:tcPr>
          <w:p w14:paraId="1876751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1.88</w:t>
            </w:r>
          </w:p>
        </w:tc>
      </w:tr>
      <w:tr w:rsidR="009C353B" w14:paraId="65AE0DD6" w14:textId="77777777">
        <w:trPr>
          <w:trHeight w:val="285"/>
        </w:trPr>
        <w:tc>
          <w:tcPr>
            <w:tcW w:w="998" w:type="pct"/>
            <w:shd w:val="clear" w:color="auto" w:fill="auto"/>
            <w:noWrap/>
            <w:vAlign w:val="center"/>
          </w:tcPr>
          <w:p w14:paraId="24C356F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沙地</w:t>
            </w:r>
          </w:p>
        </w:tc>
        <w:tc>
          <w:tcPr>
            <w:tcW w:w="999" w:type="pct"/>
            <w:shd w:val="clear" w:color="auto" w:fill="auto"/>
            <w:noWrap/>
            <w:vAlign w:val="center"/>
          </w:tcPr>
          <w:p w14:paraId="74ED12E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0.09</w:t>
            </w:r>
          </w:p>
        </w:tc>
        <w:tc>
          <w:tcPr>
            <w:tcW w:w="999" w:type="pct"/>
            <w:shd w:val="clear" w:color="auto" w:fill="auto"/>
            <w:noWrap/>
            <w:vAlign w:val="center"/>
          </w:tcPr>
          <w:p w14:paraId="45FB36C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7.90</w:t>
            </w:r>
          </w:p>
        </w:tc>
        <w:tc>
          <w:tcPr>
            <w:tcW w:w="999" w:type="pct"/>
            <w:shd w:val="clear" w:color="auto" w:fill="auto"/>
            <w:noWrap/>
            <w:vAlign w:val="center"/>
          </w:tcPr>
          <w:p w14:paraId="517265A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2.58</w:t>
            </w:r>
          </w:p>
        </w:tc>
        <w:tc>
          <w:tcPr>
            <w:tcW w:w="1003" w:type="pct"/>
            <w:shd w:val="clear" w:color="auto" w:fill="auto"/>
            <w:noWrap/>
            <w:vAlign w:val="center"/>
          </w:tcPr>
          <w:p w14:paraId="2CB2E2A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3.29</w:t>
            </w:r>
          </w:p>
        </w:tc>
      </w:tr>
      <w:tr w:rsidR="009C353B" w14:paraId="3DCDC6CB" w14:textId="77777777">
        <w:trPr>
          <w:trHeight w:val="285"/>
        </w:trPr>
        <w:tc>
          <w:tcPr>
            <w:tcW w:w="998" w:type="pct"/>
            <w:shd w:val="clear" w:color="auto" w:fill="auto"/>
            <w:noWrap/>
            <w:vAlign w:val="center"/>
          </w:tcPr>
          <w:p w14:paraId="6155BD8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裸土地</w:t>
            </w:r>
          </w:p>
        </w:tc>
        <w:tc>
          <w:tcPr>
            <w:tcW w:w="999" w:type="pct"/>
            <w:shd w:val="clear" w:color="auto" w:fill="auto"/>
            <w:noWrap/>
            <w:vAlign w:val="center"/>
          </w:tcPr>
          <w:p w14:paraId="3154EEB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21.42</w:t>
            </w:r>
          </w:p>
        </w:tc>
        <w:tc>
          <w:tcPr>
            <w:tcW w:w="999" w:type="pct"/>
            <w:shd w:val="clear" w:color="auto" w:fill="auto"/>
            <w:noWrap/>
            <w:vAlign w:val="center"/>
          </w:tcPr>
          <w:p w14:paraId="2257847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62.50</w:t>
            </w:r>
          </w:p>
        </w:tc>
        <w:tc>
          <w:tcPr>
            <w:tcW w:w="999" w:type="pct"/>
            <w:shd w:val="clear" w:color="auto" w:fill="auto"/>
            <w:noWrap/>
            <w:vAlign w:val="center"/>
          </w:tcPr>
          <w:p w14:paraId="12812E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3.06</w:t>
            </w:r>
          </w:p>
        </w:tc>
        <w:tc>
          <w:tcPr>
            <w:tcW w:w="1003" w:type="pct"/>
            <w:shd w:val="clear" w:color="auto" w:fill="auto"/>
            <w:noWrap/>
            <w:vAlign w:val="center"/>
          </w:tcPr>
          <w:p w14:paraId="00CFC53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22.51</w:t>
            </w:r>
          </w:p>
        </w:tc>
      </w:tr>
      <w:tr w:rsidR="009C353B" w14:paraId="0EA4A37D" w14:textId="77777777">
        <w:trPr>
          <w:trHeight w:val="285"/>
        </w:trPr>
        <w:tc>
          <w:tcPr>
            <w:tcW w:w="5000" w:type="pct"/>
            <w:gridSpan w:val="5"/>
            <w:shd w:val="clear" w:color="auto" w:fill="auto"/>
            <w:noWrap/>
            <w:vAlign w:val="center"/>
          </w:tcPr>
          <w:p w14:paraId="1A501E3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注：</w:t>
            </w:r>
            <w:r>
              <w:rPr>
                <w:rFonts w:ascii="Times New Roman" w:hAnsi="Times New Roman"/>
                <w:kern w:val="0"/>
                <w:sz w:val="21"/>
                <w:szCs w:val="21"/>
              </w:rPr>
              <w:t>Rd —</w:t>
            </w:r>
            <w:r>
              <w:rPr>
                <w:rFonts w:ascii="Times New Roman" w:hAnsi="Times New Roman"/>
                <w:kern w:val="0"/>
                <w:sz w:val="21"/>
                <w:szCs w:val="21"/>
              </w:rPr>
              <w:t>密度；</w:t>
            </w:r>
            <w:r>
              <w:rPr>
                <w:rFonts w:ascii="Times New Roman" w:hAnsi="Times New Roman"/>
                <w:kern w:val="0"/>
                <w:sz w:val="21"/>
                <w:szCs w:val="21"/>
              </w:rPr>
              <w:t>Rf —</w:t>
            </w:r>
            <w:r>
              <w:rPr>
                <w:rFonts w:ascii="Times New Roman" w:hAnsi="Times New Roman"/>
                <w:kern w:val="0"/>
                <w:sz w:val="21"/>
                <w:szCs w:val="21"/>
              </w:rPr>
              <w:t>频率；</w:t>
            </w:r>
            <w:r>
              <w:rPr>
                <w:rFonts w:ascii="Times New Roman" w:hAnsi="Times New Roman"/>
                <w:kern w:val="0"/>
                <w:sz w:val="21"/>
                <w:szCs w:val="21"/>
              </w:rPr>
              <w:t>Lp—</w:t>
            </w:r>
            <w:r>
              <w:rPr>
                <w:rFonts w:ascii="Times New Roman" w:hAnsi="Times New Roman"/>
                <w:kern w:val="0"/>
                <w:sz w:val="21"/>
                <w:szCs w:val="21"/>
              </w:rPr>
              <w:t>景观比率；</w:t>
            </w:r>
            <w:r>
              <w:rPr>
                <w:rFonts w:ascii="Times New Roman" w:hAnsi="Times New Roman"/>
                <w:kern w:val="0"/>
                <w:sz w:val="21"/>
                <w:szCs w:val="21"/>
              </w:rPr>
              <w:t>Do—</w:t>
            </w:r>
            <w:r>
              <w:rPr>
                <w:rFonts w:ascii="Times New Roman" w:hAnsi="Times New Roman"/>
                <w:kern w:val="0"/>
                <w:sz w:val="21"/>
                <w:szCs w:val="21"/>
              </w:rPr>
              <w:t>优势度</w:t>
            </w:r>
          </w:p>
        </w:tc>
      </w:tr>
    </w:tbl>
    <w:p w14:paraId="5D20B505" w14:textId="77777777" w:rsidR="009C353B" w:rsidRDefault="00000000">
      <w:pPr>
        <w:spacing w:line="440" w:lineRule="exact"/>
        <w:ind w:firstLineChars="200" w:firstLine="480"/>
        <w:rPr>
          <w:rFonts w:ascii="Times New Roman" w:hint="eastAsia"/>
          <w:szCs w:val="24"/>
        </w:rPr>
      </w:pPr>
      <w:r>
        <w:rPr>
          <w:rFonts w:ascii="Times New Roman" w:hAnsi="Times New Roman"/>
          <w:szCs w:val="24"/>
        </w:rPr>
        <w:t>由表</w:t>
      </w:r>
      <w:r>
        <w:rPr>
          <w:rFonts w:ascii="Times New Roman" w:hAnsi="Times New Roman"/>
          <w:szCs w:val="24"/>
        </w:rPr>
        <w:t>3.4-</w:t>
      </w:r>
      <w:r>
        <w:rPr>
          <w:rFonts w:ascii="Times New Roman" w:hAnsi="Times New Roman" w:hint="eastAsia"/>
          <w:szCs w:val="24"/>
        </w:rPr>
        <w:t>23</w:t>
      </w:r>
      <w:r>
        <w:rPr>
          <w:rFonts w:ascii="Times New Roman" w:hAnsi="Times New Roman"/>
          <w:szCs w:val="24"/>
        </w:rPr>
        <w:t>数据显示，在上述景观类型中，草地是环境资源拼块中对生态环境质量调控能力最强的高亚稳定性元素类型，其优势度最高，达到了</w:t>
      </w:r>
      <w:r>
        <w:rPr>
          <w:rFonts w:ascii="Times New Roman" w:hAnsi="Times New Roman" w:hint="eastAsia"/>
          <w:szCs w:val="24"/>
        </w:rPr>
        <w:t>63.88</w:t>
      </w:r>
      <w:r>
        <w:rPr>
          <w:rFonts w:ascii="Times New Roman" w:hAnsi="Times New Roman"/>
          <w:szCs w:val="24"/>
        </w:rPr>
        <w:t>%</w:t>
      </w:r>
      <w:r>
        <w:rPr>
          <w:rFonts w:ascii="Times New Roman" w:hAnsi="Times New Roman"/>
          <w:szCs w:val="24"/>
        </w:rPr>
        <w:t>，连通程度也较高（</w:t>
      </w:r>
      <w:r>
        <w:rPr>
          <w:rFonts w:ascii="Times New Roman" w:hAnsi="Times New Roman"/>
          <w:szCs w:val="24"/>
        </w:rPr>
        <w:t>R</w:t>
      </w:r>
      <w:r>
        <w:rPr>
          <w:rFonts w:ascii="Times New Roman" w:hAnsi="Times New Roman"/>
          <w:szCs w:val="24"/>
          <w:vertAlign w:val="subscript"/>
        </w:rPr>
        <w:t>d</w:t>
      </w:r>
      <w:r>
        <w:rPr>
          <w:rFonts w:ascii="Times New Roman" w:hAnsi="Times New Roman"/>
          <w:szCs w:val="24"/>
        </w:rPr>
        <w:t>为</w:t>
      </w:r>
      <w:r>
        <w:rPr>
          <w:rFonts w:ascii="Times New Roman" w:hAnsi="Times New Roman" w:hint="eastAsia"/>
          <w:szCs w:val="24"/>
        </w:rPr>
        <w:t>48.12</w:t>
      </w:r>
      <w:r>
        <w:rPr>
          <w:rFonts w:ascii="Times New Roman" w:hAnsi="Times New Roman"/>
          <w:szCs w:val="24"/>
        </w:rPr>
        <w:t>%</w:t>
      </w:r>
      <w:r>
        <w:rPr>
          <w:rFonts w:ascii="Times New Roman" w:hAnsi="Times New Roman"/>
          <w:szCs w:val="24"/>
        </w:rPr>
        <w:t>，</w:t>
      </w:r>
      <w:r>
        <w:rPr>
          <w:rFonts w:ascii="Times New Roman" w:hAnsi="Times New Roman"/>
          <w:szCs w:val="24"/>
        </w:rPr>
        <w:t>R</w:t>
      </w:r>
      <w:r>
        <w:rPr>
          <w:rFonts w:ascii="Times New Roman" w:hAnsi="Times New Roman"/>
          <w:szCs w:val="24"/>
          <w:vertAlign w:val="subscript"/>
        </w:rPr>
        <w:t>f</w:t>
      </w:r>
      <w:r>
        <w:rPr>
          <w:rFonts w:ascii="Times New Roman" w:hAnsi="Times New Roman"/>
          <w:szCs w:val="24"/>
        </w:rPr>
        <w:t xml:space="preserve"> </w:t>
      </w:r>
      <w:r>
        <w:rPr>
          <w:rFonts w:ascii="Times New Roman" w:hAnsi="Times New Roman"/>
          <w:szCs w:val="24"/>
        </w:rPr>
        <w:t>为</w:t>
      </w:r>
      <w:r>
        <w:rPr>
          <w:rFonts w:ascii="Times New Roman" w:hAnsi="Times New Roman" w:hint="eastAsia"/>
          <w:szCs w:val="24"/>
        </w:rPr>
        <w:t>95.58</w:t>
      </w:r>
      <w:r>
        <w:rPr>
          <w:rFonts w:ascii="Times New Roman" w:hAnsi="Times New Roman"/>
          <w:szCs w:val="24"/>
        </w:rPr>
        <w:t>%</w:t>
      </w:r>
      <w:r>
        <w:rPr>
          <w:rFonts w:ascii="Times New Roman" w:hAnsi="Times New Roman"/>
          <w:szCs w:val="24"/>
        </w:rPr>
        <w:t>）。除了草地以外，优势度较高的还有</w:t>
      </w:r>
      <w:r>
        <w:rPr>
          <w:rFonts w:ascii="Times New Roman" w:hAnsi="Times New Roman" w:hint="eastAsia"/>
          <w:szCs w:val="24"/>
        </w:rPr>
        <w:t>灌木林地</w:t>
      </w:r>
      <w:r>
        <w:rPr>
          <w:rFonts w:ascii="Times New Roman" w:hAnsi="Times New Roman"/>
          <w:szCs w:val="24"/>
        </w:rPr>
        <w:t>，</w:t>
      </w:r>
      <w:r>
        <w:rPr>
          <w:rFonts w:ascii="Times New Roman" w:hAnsi="Times New Roman" w:hint="eastAsia"/>
          <w:szCs w:val="24"/>
        </w:rPr>
        <w:t>优势度</w:t>
      </w:r>
      <w:r>
        <w:rPr>
          <w:rFonts w:ascii="Times New Roman" w:hAnsi="Times New Roman"/>
          <w:szCs w:val="24"/>
        </w:rPr>
        <w:t>为</w:t>
      </w:r>
      <w:r>
        <w:rPr>
          <w:rFonts w:ascii="Times New Roman" w:hAnsi="Times New Roman" w:hint="eastAsia"/>
          <w:szCs w:val="24"/>
        </w:rPr>
        <w:t>20.04</w:t>
      </w:r>
      <w:r>
        <w:rPr>
          <w:rFonts w:ascii="Times New Roman" w:hAnsi="Times New Roman"/>
          <w:szCs w:val="24"/>
        </w:rPr>
        <w:t>%</w:t>
      </w:r>
      <w:r>
        <w:rPr>
          <w:rFonts w:ascii="Times New Roman" w:hAnsi="Times New Roman"/>
          <w:szCs w:val="24"/>
        </w:rPr>
        <w:t>，对环境质量也具有较强的调控能力。在评价区</w:t>
      </w:r>
      <w:r>
        <w:rPr>
          <w:rFonts w:ascii="Times New Roman" w:hAnsi="Times New Roman" w:hint="eastAsia"/>
          <w:szCs w:val="24"/>
        </w:rPr>
        <w:t>工矿用地、裸土地、铁路用地、公路用地和农村道路</w:t>
      </w:r>
      <w:r>
        <w:rPr>
          <w:rFonts w:ascii="Times New Roman" w:hAnsi="Times New Roman"/>
          <w:szCs w:val="24"/>
        </w:rPr>
        <w:t>的优势度分别为</w:t>
      </w:r>
      <w:r>
        <w:rPr>
          <w:rFonts w:ascii="Times New Roman" w:hAnsi="Times New Roman" w:hint="eastAsia"/>
          <w:szCs w:val="24"/>
        </w:rPr>
        <w:t>13.08</w:t>
      </w:r>
      <w:r>
        <w:rPr>
          <w:rFonts w:ascii="Times New Roman" w:hAnsi="Times New Roman"/>
          <w:szCs w:val="24"/>
        </w:rPr>
        <w:t>%</w:t>
      </w:r>
      <w:r>
        <w:rPr>
          <w:rFonts w:ascii="Times New Roman" w:hAnsi="Times New Roman"/>
          <w:szCs w:val="24"/>
        </w:rPr>
        <w:t>、</w:t>
      </w:r>
      <w:r>
        <w:rPr>
          <w:rFonts w:ascii="Times New Roman" w:hAnsi="Times New Roman" w:hint="eastAsia"/>
          <w:szCs w:val="24"/>
        </w:rPr>
        <w:t>22.51</w:t>
      </w:r>
      <w:r>
        <w:rPr>
          <w:rFonts w:ascii="Times New Roman" w:hAnsi="Times New Roman"/>
          <w:szCs w:val="24"/>
        </w:rPr>
        <w:t>%</w:t>
      </w:r>
      <w:r>
        <w:rPr>
          <w:rFonts w:ascii="Times New Roman" w:hAnsi="Times New Roman"/>
          <w:szCs w:val="24"/>
        </w:rPr>
        <w:t>、</w:t>
      </w:r>
      <w:r>
        <w:rPr>
          <w:rFonts w:ascii="Times New Roman" w:hAnsi="Times New Roman" w:hint="eastAsia"/>
          <w:szCs w:val="24"/>
        </w:rPr>
        <w:t>4.64</w:t>
      </w:r>
      <w:r>
        <w:rPr>
          <w:rFonts w:ascii="Times New Roman" w:hAnsi="Times New Roman"/>
          <w:szCs w:val="24"/>
        </w:rPr>
        <w:t>%</w:t>
      </w:r>
      <w:r>
        <w:rPr>
          <w:rFonts w:ascii="Times New Roman" w:hAnsi="Times New Roman"/>
          <w:szCs w:val="24"/>
        </w:rPr>
        <w:t>、</w:t>
      </w:r>
      <w:r>
        <w:rPr>
          <w:rFonts w:ascii="Times New Roman" w:hAnsi="Times New Roman" w:hint="eastAsia"/>
          <w:szCs w:val="24"/>
        </w:rPr>
        <w:t>13.76</w:t>
      </w:r>
      <w:r>
        <w:rPr>
          <w:rFonts w:ascii="Times New Roman" w:hAnsi="Times New Roman"/>
          <w:szCs w:val="24"/>
        </w:rPr>
        <w:t>%</w:t>
      </w:r>
      <w:r>
        <w:rPr>
          <w:rFonts w:ascii="Times New Roman" w:hAnsi="Times New Roman" w:hint="eastAsia"/>
          <w:szCs w:val="24"/>
        </w:rPr>
        <w:t>、</w:t>
      </w:r>
      <w:r>
        <w:rPr>
          <w:rFonts w:ascii="Times New Roman" w:hAnsi="Times New Roman" w:hint="eastAsia"/>
          <w:szCs w:val="24"/>
        </w:rPr>
        <w:t>8.60%</w:t>
      </w:r>
      <w:r>
        <w:rPr>
          <w:rFonts w:ascii="Times New Roman" w:hAnsi="Times New Roman" w:hint="eastAsia"/>
          <w:szCs w:val="24"/>
        </w:rPr>
        <w:t>，</w:t>
      </w:r>
      <w:r>
        <w:rPr>
          <w:rFonts w:ascii="Times New Roman" w:hAnsi="Times New Roman"/>
          <w:szCs w:val="24"/>
        </w:rPr>
        <w:t>说明区域</w:t>
      </w:r>
      <w:r>
        <w:rPr>
          <w:rFonts w:ascii="Times New Roman" w:hAnsi="Times New Roman" w:hint="eastAsia"/>
          <w:szCs w:val="24"/>
        </w:rPr>
        <w:t>受到</w:t>
      </w:r>
      <w:r>
        <w:rPr>
          <w:rFonts w:ascii="Times New Roman" w:hAnsi="Times New Roman"/>
          <w:szCs w:val="24"/>
        </w:rPr>
        <w:t>人为干扰，干扰程度</w:t>
      </w:r>
      <w:r>
        <w:rPr>
          <w:rFonts w:ascii="Times New Roman" w:hAnsi="Times New Roman" w:hint="eastAsia"/>
          <w:szCs w:val="24"/>
        </w:rPr>
        <w:t>较</w:t>
      </w:r>
      <w:r>
        <w:rPr>
          <w:rFonts w:ascii="Times New Roman" w:hAnsi="Times New Roman"/>
          <w:szCs w:val="24"/>
        </w:rPr>
        <w:t>强。</w:t>
      </w:r>
    </w:p>
    <w:p w14:paraId="4ACD6D03" w14:textId="77777777" w:rsidR="009C353B" w:rsidRDefault="00000000">
      <w:pPr>
        <w:pStyle w:val="forth"/>
        <w:spacing w:before="0" w:after="0" w:line="440" w:lineRule="exact"/>
        <w:rPr>
          <w:rFonts w:ascii="Times New Roman" w:hAnsi="Times New Roman"/>
        </w:rPr>
      </w:pPr>
      <w:bookmarkStart w:id="139" w:name="_Toc206578318"/>
      <w:r>
        <w:rPr>
          <w:rFonts w:ascii="Times New Roman" w:hAnsi="Times New Roman"/>
        </w:rPr>
        <w:t xml:space="preserve">3.4.9.2 </w:t>
      </w:r>
      <w:r>
        <w:rPr>
          <w:rFonts w:ascii="Times New Roman" w:hAnsi="Times New Roman"/>
        </w:rPr>
        <w:t>生态完整性评价</w:t>
      </w:r>
      <w:bookmarkEnd w:id="139"/>
    </w:p>
    <w:p w14:paraId="45DBF105"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生态完整性是生态系统维持各生态因子相互关系并达到最佳状态的自然特性，反映了生态系统的健康程度。运用景观生态学的原理与方法对区域的生态完整性现状进行评价，即从生态系统生产力和稳定性两个方面对该区域生态系统的结构和功能状况进行分析。</w:t>
      </w:r>
    </w:p>
    <w:p w14:paraId="21BA19FF"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w:t>
      </w:r>
      <w:r>
        <w:rPr>
          <w:rFonts w:ascii="Times New Roman" w:hAnsi="Times New Roman"/>
          <w:szCs w:val="24"/>
        </w:rPr>
        <w:t>生产力评价</w:t>
      </w:r>
    </w:p>
    <w:p w14:paraId="7B84028E"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1</w:t>
      </w:r>
      <w:r>
        <w:rPr>
          <w:rFonts w:ascii="Times New Roman" w:hAnsi="Times New Roman" w:hint="eastAsia"/>
          <w:szCs w:val="24"/>
        </w:rPr>
        <w:t>）</w:t>
      </w:r>
      <w:r>
        <w:rPr>
          <w:rFonts w:ascii="Times New Roman" w:hAnsi="Times New Roman"/>
          <w:szCs w:val="24"/>
        </w:rPr>
        <w:t>生产力水平等级划分标准</w:t>
      </w:r>
    </w:p>
    <w:p w14:paraId="12630743"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为了充分了解评价区生产力水平，通过</w:t>
      </w:r>
      <w:r>
        <w:rPr>
          <w:rFonts w:ascii="Times New Roman" w:hAnsi="Times New Roman"/>
          <w:szCs w:val="24"/>
        </w:rPr>
        <w:t>NPP</w:t>
      </w:r>
      <w:r>
        <w:rPr>
          <w:rFonts w:ascii="Times New Roman" w:hAnsi="Times New Roman"/>
          <w:szCs w:val="24"/>
        </w:rPr>
        <w:t>估算模型计算出评价区生态系统净第一性生产力，按照奥德姆划分法，将地球上生态系统按照生产力的高低划分为</w:t>
      </w:r>
      <w:r>
        <w:rPr>
          <w:rFonts w:ascii="Times New Roman" w:hAnsi="Times New Roman"/>
          <w:szCs w:val="24"/>
        </w:rPr>
        <w:t>4</w:t>
      </w:r>
      <w:r>
        <w:rPr>
          <w:rFonts w:ascii="Times New Roman" w:hAnsi="Times New Roman"/>
          <w:szCs w:val="24"/>
        </w:rPr>
        <w:t>个等级，见表</w:t>
      </w:r>
      <w:r>
        <w:rPr>
          <w:rFonts w:ascii="Times New Roman" w:hAnsi="Times New Roman" w:hint="eastAsia"/>
          <w:szCs w:val="24"/>
        </w:rPr>
        <w:t>3.4-24</w:t>
      </w:r>
      <w:r>
        <w:rPr>
          <w:rFonts w:ascii="Times New Roman" w:hAnsi="Times New Roman"/>
          <w:szCs w:val="24"/>
        </w:rPr>
        <w:t>，以此判别评价区内植被的生产力水平。</w:t>
      </w:r>
    </w:p>
    <w:p w14:paraId="7C1A4A9C" w14:textId="77777777" w:rsidR="009C353B" w:rsidRDefault="00000000">
      <w:pPr>
        <w:spacing w:line="520" w:lineRule="exact"/>
        <w:jc w:val="center"/>
        <w:rPr>
          <w:rFonts w:ascii="Times New Roman" w:hAnsi="Times New Roman"/>
          <w:b/>
        </w:rPr>
      </w:pPr>
      <w:r>
        <w:rPr>
          <w:rFonts w:ascii="Times New Roman" w:hAnsi="Times New Roman"/>
          <w:b/>
        </w:rPr>
        <w:t>地球上生态系统生产力水平等级划分</w:t>
      </w:r>
    </w:p>
    <w:p w14:paraId="17AD487F" w14:textId="77777777" w:rsidR="009C353B" w:rsidRDefault="00000000">
      <w:pPr>
        <w:adjustRightInd w:val="0"/>
        <w:snapToGrid w:val="0"/>
        <w:spacing w:line="240" w:lineRule="atLeast"/>
        <w:outlineLvl w:val="4"/>
        <w:rPr>
          <w:rFonts w:ascii="Times New Roman" w:hAnsi="Times New Roman"/>
        </w:rPr>
      </w:pPr>
      <w:r>
        <w:rPr>
          <w:rFonts w:ascii="Times New Roman" w:hAnsi="Times New Roman"/>
        </w:rPr>
        <w:t>表</w:t>
      </w:r>
      <w:r>
        <w:rPr>
          <w:rFonts w:ascii="Times New Roman" w:hAnsi="Times New Roman" w:hint="eastAsia"/>
        </w:rPr>
        <w:t>3.4-24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3841"/>
        <w:gridCol w:w="3891"/>
      </w:tblGrid>
      <w:tr w:rsidR="009C353B" w14:paraId="6E6D8077" w14:textId="77777777">
        <w:trPr>
          <w:trHeight w:val="360"/>
          <w:jc w:val="center"/>
        </w:trPr>
        <w:tc>
          <w:tcPr>
            <w:tcW w:w="1554" w:type="dxa"/>
            <w:tcBorders>
              <w:top w:val="single" w:sz="4" w:space="0" w:color="auto"/>
              <w:left w:val="single" w:sz="4" w:space="0" w:color="auto"/>
              <w:bottom w:val="single" w:sz="4" w:space="0" w:color="auto"/>
              <w:right w:val="single" w:sz="4" w:space="0" w:color="auto"/>
            </w:tcBorders>
            <w:vAlign w:val="center"/>
          </w:tcPr>
          <w:p w14:paraId="6DC2F37F"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评价等级</w:t>
            </w:r>
          </w:p>
        </w:tc>
        <w:tc>
          <w:tcPr>
            <w:tcW w:w="3841" w:type="dxa"/>
            <w:tcBorders>
              <w:top w:val="single" w:sz="4" w:space="0" w:color="auto"/>
              <w:left w:val="single" w:sz="4" w:space="0" w:color="auto"/>
              <w:bottom w:val="single" w:sz="4" w:space="0" w:color="auto"/>
              <w:right w:val="single" w:sz="4" w:space="0" w:color="auto"/>
            </w:tcBorders>
            <w:vAlign w:val="center"/>
          </w:tcPr>
          <w:p w14:paraId="6B04344A"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生产力判断标准</w:t>
            </w:r>
            <w:r>
              <w:rPr>
                <w:rFonts w:ascii="Times New Roman" w:hAnsi="Times New Roman"/>
                <w:kern w:val="0"/>
                <w:sz w:val="21"/>
                <w:szCs w:val="21"/>
              </w:rPr>
              <w:t>gC/(m</w:t>
            </w:r>
            <w:r>
              <w:rPr>
                <w:rFonts w:ascii="Times New Roman" w:hAnsi="Times New Roman"/>
                <w:kern w:val="0"/>
                <w:sz w:val="21"/>
                <w:szCs w:val="21"/>
                <w:vertAlign w:val="superscript"/>
              </w:rPr>
              <w:t>2</w:t>
            </w:r>
            <w:r>
              <w:rPr>
                <w:rFonts w:ascii="Times New Roman" w:hAnsi="Times New Roman"/>
                <w:kern w:val="0"/>
                <w:sz w:val="21"/>
                <w:szCs w:val="21"/>
              </w:rPr>
              <w:t>.a)</w:t>
            </w:r>
          </w:p>
        </w:tc>
        <w:tc>
          <w:tcPr>
            <w:tcW w:w="3891" w:type="dxa"/>
            <w:tcBorders>
              <w:top w:val="single" w:sz="4" w:space="0" w:color="auto"/>
              <w:left w:val="single" w:sz="4" w:space="0" w:color="auto"/>
              <w:bottom w:val="single" w:sz="4" w:space="0" w:color="auto"/>
              <w:right w:val="single" w:sz="4" w:space="0" w:color="auto"/>
            </w:tcBorders>
            <w:vAlign w:val="center"/>
          </w:tcPr>
          <w:p w14:paraId="1B56DD1E"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生态类型举例</w:t>
            </w:r>
          </w:p>
        </w:tc>
      </w:tr>
      <w:tr w:rsidR="009C353B" w14:paraId="0FA290D2" w14:textId="77777777">
        <w:trPr>
          <w:trHeight w:val="284"/>
          <w:jc w:val="center"/>
        </w:trPr>
        <w:tc>
          <w:tcPr>
            <w:tcW w:w="1554" w:type="dxa"/>
            <w:tcBorders>
              <w:top w:val="single" w:sz="4" w:space="0" w:color="auto"/>
              <w:left w:val="single" w:sz="4" w:space="0" w:color="auto"/>
              <w:bottom w:val="single" w:sz="4" w:space="0" w:color="auto"/>
              <w:right w:val="single" w:sz="4" w:space="0" w:color="auto"/>
            </w:tcBorders>
            <w:vAlign w:val="center"/>
          </w:tcPr>
          <w:p w14:paraId="79E65AC0"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最低</w:t>
            </w:r>
          </w:p>
        </w:tc>
        <w:tc>
          <w:tcPr>
            <w:tcW w:w="3841" w:type="dxa"/>
            <w:tcBorders>
              <w:top w:val="single" w:sz="4" w:space="0" w:color="auto"/>
              <w:left w:val="single" w:sz="4" w:space="0" w:color="auto"/>
              <w:bottom w:val="single" w:sz="4" w:space="0" w:color="auto"/>
              <w:right w:val="single" w:sz="4" w:space="0" w:color="auto"/>
            </w:tcBorders>
            <w:vAlign w:val="center"/>
          </w:tcPr>
          <w:p w14:paraId="15346BF7"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182.50</w:t>
            </w:r>
          </w:p>
        </w:tc>
        <w:tc>
          <w:tcPr>
            <w:tcW w:w="3891" w:type="dxa"/>
            <w:tcBorders>
              <w:top w:val="single" w:sz="4" w:space="0" w:color="auto"/>
              <w:left w:val="single" w:sz="4" w:space="0" w:color="auto"/>
              <w:bottom w:val="single" w:sz="4" w:space="0" w:color="auto"/>
              <w:right w:val="single" w:sz="4" w:space="0" w:color="auto"/>
            </w:tcBorders>
            <w:vAlign w:val="center"/>
          </w:tcPr>
          <w:p w14:paraId="171EB215"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荒漠和深海</w:t>
            </w:r>
          </w:p>
        </w:tc>
      </w:tr>
      <w:tr w:rsidR="009C353B" w14:paraId="7C9B2943" w14:textId="77777777">
        <w:trPr>
          <w:trHeight w:val="315"/>
          <w:jc w:val="center"/>
        </w:trPr>
        <w:tc>
          <w:tcPr>
            <w:tcW w:w="1554" w:type="dxa"/>
            <w:tcBorders>
              <w:top w:val="single" w:sz="4" w:space="0" w:color="auto"/>
              <w:left w:val="single" w:sz="4" w:space="0" w:color="auto"/>
              <w:bottom w:val="single" w:sz="4" w:space="0" w:color="auto"/>
              <w:right w:val="single" w:sz="4" w:space="0" w:color="auto"/>
            </w:tcBorders>
            <w:vAlign w:val="center"/>
          </w:tcPr>
          <w:p w14:paraId="6A9A7CD0"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较低</w:t>
            </w:r>
          </w:p>
        </w:tc>
        <w:tc>
          <w:tcPr>
            <w:tcW w:w="3841" w:type="dxa"/>
            <w:tcBorders>
              <w:top w:val="single" w:sz="4" w:space="0" w:color="auto"/>
              <w:left w:val="single" w:sz="4" w:space="0" w:color="auto"/>
              <w:bottom w:val="single" w:sz="4" w:space="0" w:color="auto"/>
              <w:right w:val="single" w:sz="4" w:space="0" w:color="auto"/>
            </w:tcBorders>
            <w:vAlign w:val="center"/>
          </w:tcPr>
          <w:p w14:paraId="43B31E11"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182.50 ~ 1080</w:t>
            </w:r>
          </w:p>
        </w:tc>
        <w:tc>
          <w:tcPr>
            <w:tcW w:w="3891" w:type="dxa"/>
            <w:tcBorders>
              <w:top w:val="single" w:sz="4" w:space="0" w:color="auto"/>
              <w:left w:val="single" w:sz="4" w:space="0" w:color="auto"/>
              <w:bottom w:val="single" w:sz="4" w:space="0" w:color="auto"/>
              <w:right w:val="single" w:sz="4" w:space="0" w:color="auto"/>
            </w:tcBorders>
            <w:vAlign w:val="center"/>
          </w:tcPr>
          <w:p w14:paraId="4995383C" w14:textId="77777777" w:rsidR="009C353B" w:rsidRDefault="00000000">
            <w:pPr>
              <w:spacing w:line="240" w:lineRule="exact"/>
              <w:rPr>
                <w:rFonts w:ascii="Times New Roman" w:hAnsi="Times New Roman"/>
                <w:sz w:val="21"/>
                <w:szCs w:val="21"/>
              </w:rPr>
            </w:pPr>
            <w:r>
              <w:rPr>
                <w:rFonts w:ascii="Times New Roman" w:hAnsi="Times New Roman"/>
                <w:sz w:val="21"/>
                <w:szCs w:val="21"/>
              </w:rPr>
              <w:t>山地森林、热带稀树草原、某些农耕地、半干旱草原、深湖和大陆架</w:t>
            </w:r>
          </w:p>
        </w:tc>
      </w:tr>
      <w:tr w:rsidR="009C353B" w14:paraId="13EFAF4D" w14:textId="77777777">
        <w:trPr>
          <w:trHeight w:val="360"/>
          <w:jc w:val="center"/>
        </w:trPr>
        <w:tc>
          <w:tcPr>
            <w:tcW w:w="1554" w:type="dxa"/>
            <w:tcBorders>
              <w:top w:val="single" w:sz="4" w:space="0" w:color="auto"/>
              <w:left w:val="single" w:sz="4" w:space="0" w:color="auto"/>
              <w:bottom w:val="single" w:sz="4" w:space="0" w:color="auto"/>
              <w:right w:val="single" w:sz="4" w:space="0" w:color="auto"/>
            </w:tcBorders>
            <w:vAlign w:val="center"/>
          </w:tcPr>
          <w:p w14:paraId="678AFCE1"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较高</w:t>
            </w:r>
          </w:p>
        </w:tc>
        <w:tc>
          <w:tcPr>
            <w:tcW w:w="3841" w:type="dxa"/>
            <w:tcBorders>
              <w:top w:val="single" w:sz="4" w:space="0" w:color="auto"/>
              <w:left w:val="single" w:sz="4" w:space="0" w:color="auto"/>
              <w:bottom w:val="single" w:sz="4" w:space="0" w:color="auto"/>
              <w:right w:val="single" w:sz="4" w:space="0" w:color="auto"/>
            </w:tcBorders>
            <w:vAlign w:val="center"/>
          </w:tcPr>
          <w:p w14:paraId="5A142239"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1080 ~ 3600</w:t>
            </w:r>
          </w:p>
        </w:tc>
        <w:tc>
          <w:tcPr>
            <w:tcW w:w="3891" w:type="dxa"/>
            <w:tcBorders>
              <w:top w:val="single" w:sz="4" w:space="0" w:color="auto"/>
              <w:left w:val="single" w:sz="4" w:space="0" w:color="auto"/>
              <w:bottom w:val="single" w:sz="4" w:space="0" w:color="auto"/>
              <w:right w:val="single" w:sz="4" w:space="0" w:color="auto"/>
            </w:tcBorders>
            <w:vAlign w:val="center"/>
          </w:tcPr>
          <w:p w14:paraId="5171C06B"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热带雨林、农耕地和浅湖</w:t>
            </w:r>
          </w:p>
        </w:tc>
      </w:tr>
      <w:tr w:rsidR="009C353B" w14:paraId="6CBF9525" w14:textId="77777777">
        <w:trPr>
          <w:trHeight w:val="360"/>
          <w:jc w:val="center"/>
        </w:trPr>
        <w:tc>
          <w:tcPr>
            <w:tcW w:w="1554" w:type="dxa"/>
            <w:tcBorders>
              <w:top w:val="single" w:sz="4" w:space="0" w:color="auto"/>
              <w:left w:val="single" w:sz="4" w:space="0" w:color="auto"/>
              <w:bottom w:val="single" w:sz="4" w:space="0" w:color="auto"/>
              <w:right w:val="single" w:sz="4" w:space="0" w:color="auto"/>
            </w:tcBorders>
            <w:vAlign w:val="center"/>
          </w:tcPr>
          <w:p w14:paraId="6D24DC0F"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最高</w:t>
            </w:r>
          </w:p>
        </w:tc>
        <w:tc>
          <w:tcPr>
            <w:tcW w:w="3841" w:type="dxa"/>
            <w:tcBorders>
              <w:top w:val="single" w:sz="4" w:space="0" w:color="auto"/>
              <w:left w:val="single" w:sz="4" w:space="0" w:color="auto"/>
              <w:bottom w:val="single" w:sz="4" w:space="0" w:color="auto"/>
              <w:right w:val="single" w:sz="4" w:space="0" w:color="auto"/>
            </w:tcBorders>
            <w:vAlign w:val="center"/>
          </w:tcPr>
          <w:p w14:paraId="3A1B2968" w14:textId="77777777" w:rsidR="009C353B" w:rsidRDefault="00000000">
            <w:pPr>
              <w:spacing w:line="240" w:lineRule="exact"/>
              <w:jc w:val="center"/>
              <w:rPr>
                <w:rFonts w:ascii="Times New Roman" w:hAnsi="Times New Roman"/>
                <w:sz w:val="21"/>
                <w:szCs w:val="21"/>
              </w:rPr>
            </w:pPr>
            <w:r>
              <w:rPr>
                <w:rFonts w:ascii="Times New Roman" w:hAnsi="Times New Roman"/>
                <w:sz w:val="21"/>
                <w:szCs w:val="21"/>
              </w:rPr>
              <w:t>3600 ~ 7200</w:t>
            </w:r>
          </w:p>
        </w:tc>
        <w:tc>
          <w:tcPr>
            <w:tcW w:w="3891" w:type="dxa"/>
            <w:tcBorders>
              <w:top w:val="single" w:sz="4" w:space="0" w:color="auto"/>
              <w:left w:val="single" w:sz="4" w:space="0" w:color="auto"/>
              <w:bottom w:val="single" w:sz="4" w:space="0" w:color="auto"/>
              <w:right w:val="single" w:sz="4" w:space="0" w:color="auto"/>
            </w:tcBorders>
            <w:vAlign w:val="center"/>
          </w:tcPr>
          <w:p w14:paraId="3F103B4B" w14:textId="77777777" w:rsidR="009C353B" w:rsidRDefault="00000000">
            <w:pPr>
              <w:spacing w:line="240" w:lineRule="exact"/>
              <w:rPr>
                <w:rFonts w:ascii="Times New Roman" w:hAnsi="Times New Roman"/>
                <w:sz w:val="21"/>
                <w:szCs w:val="21"/>
              </w:rPr>
            </w:pPr>
            <w:r>
              <w:rPr>
                <w:rFonts w:ascii="Times New Roman" w:hAnsi="Times New Roman"/>
                <w:sz w:val="21"/>
                <w:szCs w:val="21"/>
              </w:rPr>
              <w:t>少数特殊生态系统、如农业高产用、河漫滩、三角洲、珊瑚礁和红树林等</w:t>
            </w:r>
          </w:p>
        </w:tc>
      </w:tr>
    </w:tbl>
    <w:p w14:paraId="0CC991AC" w14:textId="77777777" w:rsidR="009C353B" w:rsidRDefault="00000000">
      <w:pPr>
        <w:adjustRightInd w:val="0"/>
        <w:snapToGrid w:val="0"/>
        <w:spacing w:line="440" w:lineRule="exact"/>
        <w:ind w:left="480"/>
        <w:rPr>
          <w:rFonts w:ascii="Times New Roman" w:hAnsi="Times New Roman"/>
          <w:szCs w:val="24"/>
        </w:rPr>
      </w:pPr>
      <w:r>
        <w:rPr>
          <w:rFonts w:ascii="Times New Roman" w:hAnsi="Times New Roman" w:hint="eastAsia"/>
          <w:szCs w:val="24"/>
        </w:rPr>
        <w:t>2</w:t>
      </w:r>
      <w:r>
        <w:rPr>
          <w:rFonts w:ascii="Times New Roman" w:hAnsi="Times New Roman" w:hint="eastAsia"/>
          <w:szCs w:val="24"/>
        </w:rPr>
        <w:t>）</w:t>
      </w:r>
      <w:r>
        <w:rPr>
          <w:rFonts w:ascii="Times New Roman" w:hAnsi="Times New Roman"/>
          <w:szCs w:val="24"/>
        </w:rPr>
        <w:t>NPP</w:t>
      </w:r>
      <w:r>
        <w:rPr>
          <w:rFonts w:ascii="Times New Roman" w:hAnsi="Times New Roman"/>
          <w:szCs w:val="24"/>
        </w:rPr>
        <w:t>模型</w:t>
      </w:r>
    </w:p>
    <w:p w14:paraId="2BE6363F" w14:textId="77777777" w:rsidR="009C353B" w:rsidRDefault="00000000">
      <w:pPr>
        <w:adjustRightInd w:val="0"/>
        <w:snapToGrid w:val="0"/>
        <w:spacing w:afterLines="50" w:after="120" w:line="440" w:lineRule="exact"/>
        <w:ind w:firstLineChars="200" w:firstLine="480"/>
        <w:rPr>
          <w:rFonts w:ascii="Times New Roman" w:hAnsi="Times New Roman"/>
          <w:szCs w:val="24"/>
        </w:rPr>
      </w:pPr>
      <w:r>
        <w:rPr>
          <w:rFonts w:ascii="Times New Roman" w:hAnsi="Times New Roman"/>
          <w:szCs w:val="24"/>
        </w:rPr>
        <w:t>根据</w:t>
      </w:r>
      <w:r>
        <w:rPr>
          <w:rFonts w:ascii="Times New Roman" w:hAnsi="Times New Roman"/>
          <w:szCs w:val="24"/>
        </w:rPr>
        <w:t>NPP</w:t>
      </w:r>
      <w:r>
        <w:rPr>
          <w:rFonts w:ascii="Times New Roman" w:hAnsi="Times New Roman"/>
          <w:szCs w:val="24"/>
        </w:rPr>
        <w:t>与植物吸收的光合有效辐射（</w:t>
      </w:r>
      <w:r>
        <w:rPr>
          <w:rFonts w:ascii="Times New Roman" w:hAnsi="Times New Roman"/>
          <w:szCs w:val="24"/>
        </w:rPr>
        <w:t>APAR</w:t>
      </w:r>
      <w:r>
        <w:rPr>
          <w:rFonts w:ascii="Times New Roman" w:hAnsi="Times New Roman"/>
          <w:szCs w:val="24"/>
        </w:rPr>
        <w:t>）和植物将所吸收的光合有效辐射转化为有机物的关系构建基于遥感卫星数据的</w:t>
      </w:r>
      <w:r>
        <w:rPr>
          <w:rFonts w:ascii="Times New Roman" w:hAnsi="Times New Roman"/>
          <w:szCs w:val="24"/>
        </w:rPr>
        <w:t>NPP</w:t>
      </w:r>
      <w:r>
        <w:rPr>
          <w:rFonts w:ascii="Times New Roman" w:hAnsi="Times New Roman"/>
          <w:szCs w:val="24"/>
        </w:rPr>
        <w:t>估算模型，即</w:t>
      </w:r>
      <w:r>
        <w:rPr>
          <w:rFonts w:ascii="Times New Roman" w:hAnsi="Times New Roman"/>
          <w:szCs w:val="24"/>
        </w:rPr>
        <w:t>NPP</w:t>
      </w:r>
      <w:r>
        <w:rPr>
          <w:rFonts w:ascii="Times New Roman" w:hAnsi="Times New Roman"/>
          <w:szCs w:val="24"/>
        </w:rPr>
        <w:t>可以由植物吸收的光合有效辐射（</w:t>
      </w:r>
      <w:r>
        <w:rPr>
          <w:rFonts w:ascii="Times New Roman" w:hAnsi="Times New Roman"/>
          <w:noProof/>
          <w:szCs w:val="24"/>
        </w:rPr>
        <w:drawing>
          <wp:inline distT="0" distB="0" distL="0" distR="0" wp14:anchorId="1FBAA439" wp14:editId="563ADF4B">
            <wp:extent cx="426085" cy="162560"/>
            <wp:effectExtent l="0" t="0" r="0" b="0"/>
            <wp:docPr id="507"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507"/>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a:xfrm>
                      <a:off x="0" y="0"/>
                      <a:ext cx="426085" cy="162560"/>
                    </a:xfrm>
                    <a:prstGeom prst="rect">
                      <a:avLst/>
                    </a:prstGeom>
                    <a:noFill/>
                    <a:ln>
                      <a:noFill/>
                    </a:ln>
                  </pic:spPr>
                </pic:pic>
              </a:graphicData>
            </a:graphic>
          </wp:inline>
        </w:drawing>
      </w:r>
      <w:r>
        <w:rPr>
          <w:rFonts w:ascii="Times New Roman" w:hAnsi="Times New Roman"/>
          <w:szCs w:val="24"/>
        </w:rPr>
        <w:t>）和光利用率（</w:t>
      </w:r>
      <w:r>
        <w:rPr>
          <w:rFonts w:ascii="Times New Roman" w:hAnsi="Times New Roman"/>
          <w:noProof/>
          <w:szCs w:val="24"/>
        </w:rPr>
        <w:drawing>
          <wp:inline distT="0" distB="0" distL="0" distR="0" wp14:anchorId="2B95301E" wp14:editId="1563A9A5">
            <wp:extent cx="123190" cy="140335"/>
            <wp:effectExtent l="0" t="0" r="0" b="0"/>
            <wp:docPr id="508"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508"/>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w:t>
      </w:r>
      <w:r>
        <w:rPr>
          <w:rFonts w:ascii="Times New Roman" w:hAnsi="Times New Roman"/>
          <w:szCs w:val="24"/>
        </w:rPr>
        <w:t>2</w:t>
      </w:r>
      <w:r>
        <w:rPr>
          <w:rFonts w:ascii="Times New Roman" w:hAnsi="Times New Roman"/>
          <w:szCs w:val="24"/>
        </w:rPr>
        <w:t>个因子来表示，其估算公式如下：</w:t>
      </w:r>
      <w:r>
        <w:rPr>
          <w:rFonts w:ascii="Times New Roman" w:hAnsi="Times New Roman"/>
          <w:szCs w:val="24"/>
        </w:rPr>
        <w:t xml:space="preserve"> </w:t>
      </w:r>
    </w:p>
    <w:p w14:paraId="39BBE2A8" w14:textId="77777777" w:rsidR="009C353B" w:rsidRDefault="00000000">
      <w:pPr>
        <w:spacing w:line="440" w:lineRule="exact"/>
        <w:ind w:firstLineChars="200" w:firstLine="480"/>
        <w:jc w:val="center"/>
        <w:rPr>
          <w:rFonts w:ascii="Times New Roman" w:hAnsi="Times New Roman"/>
          <w:szCs w:val="24"/>
        </w:rPr>
      </w:pPr>
      <w:r>
        <w:rPr>
          <w:rFonts w:ascii="Times New Roman" w:hAnsi="Times New Roman"/>
          <w:noProof/>
          <w:szCs w:val="24"/>
        </w:rPr>
        <w:drawing>
          <wp:inline distT="0" distB="0" distL="0" distR="0" wp14:anchorId="2B6FE201" wp14:editId="7E3E09A4">
            <wp:extent cx="2008505" cy="201930"/>
            <wp:effectExtent l="0" t="0" r="0" b="0"/>
            <wp:docPr id="509"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509"/>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a:xfrm>
                      <a:off x="0" y="0"/>
                      <a:ext cx="2008505" cy="201930"/>
                    </a:xfrm>
                    <a:prstGeom prst="rect">
                      <a:avLst/>
                    </a:prstGeom>
                    <a:noFill/>
                    <a:ln>
                      <a:noFill/>
                    </a:ln>
                  </pic:spPr>
                </pic:pic>
              </a:graphicData>
            </a:graphic>
          </wp:inline>
        </w:drawing>
      </w:r>
    </w:p>
    <w:p w14:paraId="77F323B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式中，</w:t>
      </w:r>
      <w:r>
        <w:rPr>
          <w:rFonts w:ascii="Times New Roman" w:hAnsi="Times New Roman"/>
          <w:noProof/>
          <w:szCs w:val="24"/>
        </w:rPr>
        <w:drawing>
          <wp:inline distT="0" distB="0" distL="0" distR="0" wp14:anchorId="2D04CB25" wp14:editId="2BF219F1">
            <wp:extent cx="84455" cy="151765"/>
            <wp:effectExtent l="0" t="0" r="0" b="0"/>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a:xfrm>
                      <a:off x="0" y="0"/>
                      <a:ext cx="84455" cy="151765"/>
                    </a:xfrm>
                    <a:prstGeom prst="rect">
                      <a:avLst/>
                    </a:prstGeom>
                    <a:noFill/>
                    <a:ln>
                      <a:noFill/>
                    </a:ln>
                  </pic:spPr>
                </pic:pic>
              </a:graphicData>
            </a:graphic>
          </wp:inline>
        </w:drawing>
      </w:r>
      <w:r>
        <w:rPr>
          <w:rFonts w:ascii="Times New Roman" w:hAnsi="Times New Roman"/>
          <w:szCs w:val="24"/>
        </w:rPr>
        <w:t>表示时间，</w:t>
      </w:r>
      <w:r>
        <w:rPr>
          <w:rFonts w:ascii="Times New Roman" w:hAnsi="Times New Roman"/>
          <w:noProof/>
          <w:szCs w:val="24"/>
        </w:rPr>
        <w:drawing>
          <wp:inline distT="0" distB="0" distL="0" distR="0" wp14:anchorId="01DA01AE" wp14:editId="237F1C7F">
            <wp:extent cx="123190" cy="140335"/>
            <wp:effectExtent l="0" t="0" r="0" b="0"/>
            <wp:docPr id="511" name="图片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图片 511"/>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表示空间位置；</w:t>
      </w:r>
      <w:r>
        <w:rPr>
          <w:rFonts w:ascii="Times New Roman" w:hAnsi="Times New Roman"/>
          <w:noProof/>
          <w:szCs w:val="24"/>
        </w:rPr>
        <w:drawing>
          <wp:inline distT="0" distB="0" distL="0" distR="0" wp14:anchorId="5E74F507" wp14:editId="47E8E38F">
            <wp:extent cx="409575" cy="15176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a:xfrm>
                      <a:off x="0" y="0"/>
                      <a:ext cx="409575" cy="151765"/>
                    </a:xfrm>
                    <a:prstGeom prst="rect">
                      <a:avLst/>
                    </a:prstGeom>
                    <a:noFill/>
                    <a:ln>
                      <a:noFill/>
                    </a:ln>
                  </pic:spPr>
                </pic:pic>
              </a:graphicData>
            </a:graphic>
          </wp:inline>
        </w:drawing>
      </w:r>
      <w:r>
        <w:rPr>
          <w:rFonts w:ascii="Times New Roman" w:hAnsi="Times New Roman"/>
          <w:szCs w:val="24"/>
        </w:rPr>
        <w:t>（</w:t>
      </w:r>
      <w:r>
        <w:rPr>
          <w:rFonts w:ascii="Times New Roman" w:hAnsi="Times New Roman"/>
          <w:noProof/>
          <w:szCs w:val="24"/>
        </w:rPr>
        <w:drawing>
          <wp:inline distT="0" distB="0" distL="0" distR="0" wp14:anchorId="4C6ED2DE" wp14:editId="529C7A65">
            <wp:extent cx="123190" cy="14033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w:t>
      </w:r>
      <w:r>
        <w:rPr>
          <w:rFonts w:ascii="Times New Roman" w:hAnsi="Times New Roman"/>
          <w:noProof/>
          <w:szCs w:val="24"/>
        </w:rPr>
        <w:drawing>
          <wp:inline distT="0" distB="0" distL="0" distR="0" wp14:anchorId="5810562C" wp14:editId="05C6BBE4">
            <wp:extent cx="84455" cy="15176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a:xfrm>
                      <a:off x="0" y="0"/>
                      <a:ext cx="84455" cy="151765"/>
                    </a:xfrm>
                    <a:prstGeom prst="rect">
                      <a:avLst/>
                    </a:prstGeom>
                    <a:noFill/>
                    <a:ln>
                      <a:noFill/>
                    </a:ln>
                  </pic:spPr>
                </pic:pic>
              </a:graphicData>
            </a:graphic>
          </wp:inline>
        </w:drawing>
      </w:r>
      <w:r>
        <w:rPr>
          <w:rFonts w:ascii="Times New Roman" w:hAnsi="Times New Roman"/>
          <w:szCs w:val="24"/>
        </w:rPr>
        <w:t>）表示像元</w:t>
      </w:r>
      <w:r>
        <w:rPr>
          <w:rFonts w:ascii="Times New Roman" w:hAnsi="Times New Roman"/>
          <w:noProof/>
          <w:szCs w:val="24"/>
        </w:rPr>
        <w:drawing>
          <wp:inline distT="0" distB="0" distL="0" distR="0" wp14:anchorId="3422CE81" wp14:editId="3658F8F1">
            <wp:extent cx="123190" cy="14033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在</w:t>
      </w:r>
      <w:r>
        <w:rPr>
          <w:rFonts w:ascii="Times New Roman" w:hAnsi="Times New Roman"/>
          <w:noProof/>
          <w:szCs w:val="24"/>
        </w:rPr>
        <w:drawing>
          <wp:inline distT="0" distB="0" distL="0" distR="0" wp14:anchorId="0E52F35F" wp14:editId="1F4F315F">
            <wp:extent cx="84455" cy="151765"/>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a:xfrm>
                      <a:off x="0" y="0"/>
                      <a:ext cx="84455" cy="151765"/>
                    </a:xfrm>
                    <a:prstGeom prst="rect">
                      <a:avLst/>
                    </a:prstGeom>
                    <a:noFill/>
                    <a:ln>
                      <a:noFill/>
                    </a:ln>
                  </pic:spPr>
                </pic:pic>
              </a:graphicData>
            </a:graphic>
          </wp:inline>
        </w:drawing>
      </w:r>
      <w:r>
        <w:rPr>
          <w:rFonts w:ascii="Times New Roman" w:hAnsi="Times New Roman"/>
          <w:szCs w:val="24"/>
        </w:rPr>
        <w:t>月份吸收的光合有效辐射（</w:t>
      </w:r>
      <w:r>
        <w:rPr>
          <w:rFonts w:ascii="Times New Roman" w:hAnsi="Times New Roman"/>
          <w:szCs w:val="24"/>
        </w:rPr>
        <w:t>MJ/m</w:t>
      </w:r>
      <w:r>
        <w:rPr>
          <w:rFonts w:ascii="Times New Roman" w:hAnsi="Times New Roman"/>
          <w:szCs w:val="24"/>
          <w:vertAlign w:val="superscript"/>
        </w:rPr>
        <w:t>2</w:t>
      </w:r>
      <w:r>
        <w:rPr>
          <w:rFonts w:ascii="Times New Roman" w:hAnsi="Times New Roman"/>
          <w:szCs w:val="24"/>
        </w:rPr>
        <w:t>/</w:t>
      </w:r>
      <w:r>
        <w:rPr>
          <w:rFonts w:ascii="Times New Roman" w:hAnsi="Times New Roman"/>
          <w:szCs w:val="24"/>
        </w:rPr>
        <w:t>月）；</w:t>
      </w:r>
      <w:r>
        <w:rPr>
          <w:rFonts w:ascii="Times New Roman" w:hAnsi="Times New Roman"/>
          <w:noProof/>
          <w:szCs w:val="24"/>
        </w:rPr>
        <w:drawing>
          <wp:inline distT="0" distB="0" distL="0" distR="0" wp14:anchorId="3C25C348" wp14:editId="0FC17CB9">
            <wp:extent cx="123190" cy="140335"/>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w:t>
      </w:r>
      <w:r>
        <w:rPr>
          <w:rFonts w:ascii="Times New Roman" w:hAnsi="Times New Roman"/>
          <w:noProof/>
          <w:szCs w:val="24"/>
        </w:rPr>
        <w:drawing>
          <wp:inline distT="0" distB="0" distL="0" distR="0" wp14:anchorId="0CDA7756" wp14:editId="3420E593">
            <wp:extent cx="123190" cy="140335"/>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w:t>
      </w:r>
      <w:r>
        <w:rPr>
          <w:rFonts w:ascii="Times New Roman" w:hAnsi="Times New Roman"/>
          <w:noProof/>
          <w:szCs w:val="24"/>
        </w:rPr>
        <w:drawing>
          <wp:inline distT="0" distB="0" distL="0" distR="0" wp14:anchorId="6D140F3E" wp14:editId="3599AB5F">
            <wp:extent cx="84455" cy="151765"/>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a:xfrm>
                      <a:off x="0" y="0"/>
                      <a:ext cx="84455" cy="151765"/>
                    </a:xfrm>
                    <a:prstGeom prst="rect">
                      <a:avLst/>
                    </a:prstGeom>
                    <a:noFill/>
                    <a:ln>
                      <a:noFill/>
                    </a:ln>
                  </pic:spPr>
                </pic:pic>
              </a:graphicData>
            </a:graphic>
          </wp:inline>
        </w:drawing>
      </w:r>
      <w:r>
        <w:rPr>
          <w:rFonts w:ascii="Times New Roman" w:hAnsi="Times New Roman"/>
          <w:szCs w:val="24"/>
        </w:rPr>
        <w:t>）表示像元</w:t>
      </w:r>
      <w:r>
        <w:rPr>
          <w:rFonts w:ascii="Times New Roman" w:hAnsi="Times New Roman"/>
          <w:noProof/>
          <w:szCs w:val="24"/>
        </w:rPr>
        <w:drawing>
          <wp:inline distT="0" distB="0" distL="0" distR="0" wp14:anchorId="63501A13" wp14:editId="13053E72">
            <wp:extent cx="123190" cy="140335"/>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在</w:t>
      </w:r>
      <w:r>
        <w:rPr>
          <w:rFonts w:ascii="Times New Roman" w:hAnsi="Times New Roman"/>
          <w:noProof/>
          <w:szCs w:val="24"/>
        </w:rPr>
        <w:drawing>
          <wp:inline distT="0" distB="0" distL="0" distR="0" wp14:anchorId="4B395256" wp14:editId="71188C8C">
            <wp:extent cx="84455" cy="151765"/>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a:xfrm>
                      <a:off x="0" y="0"/>
                      <a:ext cx="84455" cy="151765"/>
                    </a:xfrm>
                    <a:prstGeom prst="rect">
                      <a:avLst/>
                    </a:prstGeom>
                    <a:noFill/>
                    <a:ln>
                      <a:noFill/>
                    </a:ln>
                  </pic:spPr>
                </pic:pic>
              </a:graphicData>
            </a:graphic>
          </wp:inline>
        </w:drawing>
      </w:r>
      <w:r>
        <w:rPr>
          <w:rFonts w:ascii="Times New Roman" w:hAnsi="Times New Roman"/>
          <w:szCs w:val="24"/>
        </w:rPr>
        <w:t>月份的实际光能利用率（</w:t>
      </w:r>
      <w:r>
        <w:rPr>
          <w:rFonts w:ascii="Times New Roman" w:hAnsi="Times New Roman"/>
          <w:szCs w:val="24"/>
        </w:rPr>
        <w:t>g/MJ</w:t>
      </w:r>
      <w:r>
        <w:rPr>
          <w:rFonts w:ascii="Times New Roman" w:hAnsi="Times New Roman"/>
          <w:szCs w:val="24"/>
        </w:rPr>
        <w:t>）。</w:t>
      </w:r>
    </w:p>
    <w:p w14:paraId="45AE17C5" w14:textId="77777777" w:rsidR="009C353B" w:rsidRDefault="00000000">
      <w:pPr>
        <w:spacing w:afterLines="50" w:after="120" w:line="440" w:lineRule="exact"/>
        <w:ind w:firstLineChars="200" w:firstLine="480"/>
        <w:rPr>
          <w:rFonts w:ascii="Times New Roman" w:hAnsi="Times New Roman"/>
          <w:szCs w:val="24"/>
        </w:rPr>
      </w:pPr>
      <w:r>
        <w:rPr>
          <w:rFonts w:ascii="Times New Roman" w:hAnsi="Times New Roman"/>
          <w:szCs w:val="24"/>
        </w:rPr>
        <w:t>植被吸收的光合有效辐射取决于太阳总辐射和植物本身的特征，光合有效辐射（</w:t>
      </w:r>
      <w:r>
        <w:rPr>
          <w:rFonts w:ascii="Times New Roman" w:hAnsi="Times New Roman"/>
          <w:szCs w:val="24"/>
        </w:rPr>
        <w:t>APAR</w:t>
      </w:r>
      <w:r>
        <w:rPr>
          <w:rFonts w:ascii="Times New Roman" w:hAnsi="Times New Roman"/>
          <w:szCs w:val="24"/>
        </w:rPr>
        <w:t>）的估算用下式计算。</w:t>
      </w:r>
    </w:p>
    <w:p w14:paraId="42D2B6CF" w14:textId="77777777" w:rsidR="009C353B" w:rsidRDefault="00000000">
      <w:pPr>
        <w:spacing w:line="440" w:lineRule="exact"/>
        <w:ind w:firstLineChars="200" w:firstLine="480"/>
        <w:jc w:val="center"/>
        <w:rPr>
          <w:rFonts w:ascii="Times New Roman" w:hAnsi="Times New Roman"/>
          <w:szCs w:val="24"/>
        </w:rPr>
      </w:pPr>
      <w:r>
        <w:rPr>
          <w:rFonts w:ascii="Times New Roman" w:hAnsi="Times New Roman"/>
          <w:noProof/>
          <w:szCs w:val="24"/>
        </w:rPr>
        <w:drawing>
          <wp:inline distT="0" distB="0" distL="0" distR="0" wp14:anchorId="55D4D8DC" wp14:editId="61904F74">
            <wp:extent cx="2507615" cy="20193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a:xfrm>
                      <a:off x="0" y="0"/>
                      <a:ext cx="2507615" cy="201930"/>
                    </a:xfrm>
                    <a:prstGeom prst="rect">
                      <a:avLst/>
                    </a:prstGeom>
                    <a:noFill/>
                    <a:ln>
                      <a:noFill/>
                    </a:ln>
                  </pic:spPr>
                </pic:pic>
              </a:graphicData>
            </a:graphic>
          </wp:inline>
        </w:drawing>
      </w:r>
    </w:p>
    <w:p w14:paraId="28BBFFA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式中：</w:t>
      </w:r>
      <w:r>
        <w:rPr>
          <w:rFonts w:ascii="Times New Roman" w:hAnsi="Times New Roman"/>
          <w:i/>
          <w:szCs w:val="24"/>
        </w:rPr>
        <w:t>SOL</w:t>
      </w:r>
      <w:r>
        <w:rPr>
          <w:rFonts w:ascii="Times New Roman" w:hAnsi="Times New Roman"/>
          <w:szCs w:val="24"/>
        </w:rPr>
        <w:t>（</w:t>
      </w:r>
      <w:r>
        <w:rPr>
          <w:rFonts w:ascii="Times New Roman" w:hAnsi="Times New Roman"/>
          <w:szCs w:val="24"/>
        </w:rPr>
        <w:t>x</w:t>
      </w:r>
      <w:r>
        <w:rPr>
          <w:rFonts w:ascii="Times New Roman" w:hAnsi="Times New Roman"/>
          <w:szCs w:val="24"/>
        </w:rPr>
        <w:t>，</w:t>
      </w:r>
      <w:r>
        <w:rPr>
          <w:rFonts w:ascii="Times New Roman" w:hAnsi="Times New Roman"/>
          <w:szCs w:val="24"/>
        </w:rPr>
        <w:t>t</w:t>
      </w:r>
      <w:r>
        <w:rPr>
          <w:rFonts w:ascii="Times New Roman" w:hAnsi="Times New Roman"/>
          <w:szCs w:val="24"/>
        </w:rPr>
        <w:t>）表示</w:t>
      </w:r>
      <w:r>
        <w:rPr>
          <w:rFonts w:ascii="Times New Roman" w:hAnsi="Times New Roman"/>
          <w:szCs w:val="24"/>
        </w:rPr>
        <w:t>t</w:t>
      </w:r>
      <w:r>
        <w:rPr>
          <w:rFonts w:ascii="Times New Roman" w:hAnsi="Times New Roman"/>
          <w:szCs w:val="24"/>
        </w:rPr>
        <w:t>月在像元</w:t>
      </w:r>
      <w:r>
        <w:rPr>
          <w:rFonts w:ascii="Times New Roman" w:hAnsi="Times New Roman"/>
          <w:szCs w:val="24"/>
        </w:rPr>
        <w:t>x</w:t>
      </w:r>
      <w:r>
        <w:rPr>
          <w:rFonts w:ascii="Times New Roman" w:hAnsi="Times New Roman"/>
          <w:szCs w:val="24"/>
        </w:rPr>
        <w:t>处的太阳总辐射量（</w:t>
      </w:r>
      <w:r>
        <w:rPr>
          <w:rFonts w:ascii="Times New Roman" w:hAnsi="Times New Roman"/>
          <w:szCs w:val="24"/>
        </w:rPr>
        <w:t>MJ/m</w:t>
      </w:r>
      <w:r>
        <w:rPr>
          <w:rFonts w:ascii="Times New Roman" w:hAnsi="Times New Roman"/>
          <w:szCs w:val="24"/>
          <w:vertAlign w:val="superscript"/>
        </w:rPr>
        <w:t>2</w:t>
      </w:r>
      <w:r>
        <w:rPr>
          <w:rFonts w:ascii="Times New Roman" w:hAnsi="Times New Roman"/>
          <w:szCs w:val="24"/>
        </w:rPr>
        <w:t>）；</w:t>
      </w:r>
      <w:r>
        <w:rPr>
          <w:rFonts w:ascii="Times New Roman" w:hAnsi="Times New Roman"/>
          <w:szCs w:val="24"/>
        </w:rPr>
        <w:t>FPAR</w:t>
      </w:r>
      <w:r>
        <w:rPr>
          <w:rFonts w:ascii="Times New Roman" w:hAnsi="Times New Roman"/>
          <w:szCs w:val="24"/>
        </w:rPr>
        <w:t>（</w:t>
      </w:r>
      <w:r>
        <w:rPr>
          <w:rFonts w:ascii="Times New Roman" w:hAnsi="Times New Roman"/>
          <w:szCs w:val="24"/>
        </w:rPr>
        <w:t>x</w:t>
      </w:r>
      <w:r>
        <w:rPr>
          <w:rFonts w:ascii="Times New Roman" w:hAnsi="Times New Roman"/>
          <w:szCs w:val="24"/>
        </w:rPr>
        <w:t>，</w:t>
      </w:r>
      <w:r>
        <w:rPr>
          <w:rFonts w:ascii="Times New Roman" w:hAnsi="Times New Roman"/>
          <w:szCs w:val="24"/>
        </w:rPr>
        <w:t>t</w:t>
      </w:r>
      <w:r>
        <w:rPr>
          <w:rFonts w:ascii="Times New Roman" w:hAnsi="Times New Roman"/>
          <w:szCs w:val="24"/>
        </w:rPr>
        <w:t>）为植被层对入射光合有效辐射的吸收比例；常数</w:t>
      </w:r>
      <w:r>
        <w:rPr>
          <w:rFonts w:ascii="Times New Roman" w:hAnsi="Times New Roman"/>
          <w:szCs w:val="24"/>
        </w:rPr>
        <w:t>0.5</w:t>
      </w:r>
      <w:r>
        <w:rPr>
          <w:rFonts w:ascii="Times New Roman" w:hAnsi="Times New Roman"/>
          <w:szCs w:val="24"/>
        </w:rPr>
        <w:t>表示植被所能利用的太阳有效辐射（波长为</w:t>
      </w:r>
      <w:r>
        <w:rPr>
          <w:rFonts w:ascii="Times New Roman" w:hAnsi="Times New Roman"/>
          <w:szCs w:val="24"/>
        </w:rPr>
        <w:t>0.38</w:t>
      </w:r>
      <w:r>
        <w:rPr>
          <w:rFonts w:ascii="Times New Roman" w:hAnsi="Times New Roman"/>
          <w:szCs w:val="24"/>
        </w:rPr>
        <w:t>～</w:t>
      </w:r>
      <w:r>
        <w:rPr>
          <w:rFonts w:ascii="Times New Roman" w:hAnsi="Times New Roman"/>
          <w:szCs w:val="24"/>
        </w:rPr>
        <w:t>0.71μm</w:t>
      </w:r>
      <w:r>
        <w:rPr>
          <w:rFonts w:ascii="Times New Roman" w:hAnsi="Times New Roman"/>
          <w:szCs w:val="24"/>
        </w:rPr>
        <w:t>）占太阳总辐射的比例。</w:t>
      </w:r>
    </w:p>
    <w:p w14:paraId="4F4BD5C7" w14:textId="77777777" w:rsidR="009C353B" w:rsidRDefault="00000000">
      <w:pPr>
        <w:autoSpaceDE w:val="0"/>
        <w:autoSpaceDN w:val="0"/>
        <w:adjustRightInd w:val="0"/>
        <w:spacing w:line="440" w:lineRule="exact"/>
        <w:ind w:firstLineChars="200" w:firstLine="480"/>
        <w:rPr>
          <w:rFonts w:ascii="Times New Roman" w:hAnsi="Times New Roman"/>
          <w:kern w:val="0"/>
          <w:szCs w:val="24"/>
        </w:rPr>
      </w:pPr>
      <w:r>
        <w:rPr>
          <w:rFonts w:ascii="Times New Roman" w:hAnsi="Times New Roman"/>
          <w:kern w:val="0"/>
          <w:szCs w:val="24"/>
        </w:rPr>
        <w:t>环境因子如气温、土壤水分状况以及大气水汽压差等会通过影响植物的光合能力而调节植被的</w:t>
      </w:r>
      <w:r>
        <w:rPr>
          <w:rFonts w:ascii="Times New Roman" w:hAnsi="Times New Roman"/>
          <w:kern w:val="0"/>
          <w:szCs w:val="24"/>
        </w:rPr>
        <w:t>NPP</w:t>
      </w:r>
      <w:r>
        <w:rPr>
          <w:rFonts w:ascii="Times New Roman" w:hAnsi="Times New Roman"/>
          <w:kern w:val="0"/>
          <w:szCs w:val="24"/>
        </w:rPr>
        <w:t>。在遥感模型中，这些因子对</w:t>
      </w:r>
      <w:r>
        <w:rPr>
          <w:rFonts w:ascii="Times New Roman" w:hAnsi="Times New Roman"/>
          <w:kern w:val="0"/>
          <w:szCs w:val="24"/>
        </w:rPr>
        <w:t>NPP</w:t>
      </w:r>
      <w:r>
        <w:rPr>
          <w:rFonts w:ascii="Times New Roman" w:hAnsi="Times New Roman"/>
          <w:kern w:val="0"/>
          <w:szCs w:val="24"/>
        </w:rPr>
        <w:t>的调控是通过对最大光能利用率进行调节而实现的。</w:t>
      </w:r>
      <w:r>
        <w:rPr>
          <w:rFonts w:ascii="Times New Roman" w:hAnsi="Times New Roman"/>
          <w:szCs w:val="24"/>
        </w:rPr>
        <w:t>光能利用率</w:t>
      </w:r>
      <w:r>
        <w:rPr>
          <w:rFonts w:ascii="Times New Roman" w:hAnsi="Times New Roman"/>
          <w:szCs w:val="24"/>
        </w:rPr>
        <w:object w:dxaOrig="197" w:dyaOrig="222" w14:anchorId="784505AE">
          <v:shape id="_x0000_i1115" type="#_x0000_t75" style="width:9.8pt;height:10.9pt" o:ole="">
            <v:imagedata r:id="rId265" o:title=""/>
          </v:shape>
          <o:OLEObject Type="Embed" ProgID="Equation.3" ShapeID="_x0000_i1115" DrawAspect="Content" ObjectID="_1826209214" r:id="rId266"/>
        </w:object>
      </w:r>
      <w:r>
        <w:rPr>
          <w:rFonts w:ascii="Times New Roman" w:hAnsi="Times New Roman"/>
          <w:szCs w:val="24"/>
        </w:rPr>
        <w:t>的估算用下式计算：</w:t>
      </w:r>
    </w:p>
    <w:p w14:paraId="2B5515E6" w14:textId="77777777" w:rsidR="009C353B" w:rsidRDefault="00000000">
      <w:pPr>
        <w:spacing w:line="440" w:lineRule="exact"/>
        <w:ind w:firstLineChars="200" w:firstLine="480"/>
        <w:jc w:val="center"/>
        <w:rPr>
          <w:rFonts w:ascii="Times New Roman" w:hAnsi="Times New Roman"/>
          <w:szCs w:val="24"/>
        </w:rPr>
      </w:pPr>
      <w:r>
        <w:rPr>
          <w:rFonts w:ascii="Times New Roman" w:hAnsi="Times New Roman"/>
          <w:position w:val="-12"/>
          <w:szCs w:val="24"/>
        </w:rPr>
        <w:object w:dxaOrig="4148" w:dyaOrig="382" w14:anchorId="0AF7DDAC">
          <v:shape id="_x0000_i1116" type="#_x0000_t75" style="width:207.25pt;height:19.1pt" o:ole="">
            <v:imagedata r:id="rId267" o:title=""/>
          </v:shape>
          <o:OLEObject Type="Embed" ProgID="Equation.3" ShapeID="_x0000_i1116" DrawAspect="Content" ObjectID="_1826209215" r:id="rId268"/>
        </w:object>
      </w:r>
    </w:p>
    <w:p w14:paraId="7A35F3E4" w14:textId="77777777" w:rsidR="009C353B" w:rsidRDefault="00000000">
      <w:pPr>
        <w:autoSpaceDE w:val="0"/>
        <w:autoSpaceDN w:val="0"/>
        <w:adjustRightInd w:val="0"/>
        <w:spacing w:line="440" w:lineRule="exact"/>
        <w:ind w:firstLineChars="200" w:firstLine="480"/>
        <w:rPr>
          <w:rFonts w:ascii="Times New Roman" w:hAnsi="Times New Roman"/>
          <w:kern w:val="0"/>
          <w:szCs w:val="24"/>
        </w:rPr>
      </w:pPr>
      <w:r>
        <w:rPr>
          <w:rFonts w:ascii="Times New Roman" w:hAnsi="Times New Roman"/>
          <w:kern w:val="0"/>
          <w:szCs w:val="24"/>
        </w:rPr>
        <w:t>式中，</w:t>
      </w:r>
      <w:r>
        <w:rPr>
          <w:rFonts w:ascii="Times New Roman" w:hAnsi="Times New Roman"/>
          <w:position w:val="-12"/>
          <w:szCs w:val="24"/>
        </w:rPr>
        <w:object w:dxaOrig="849" w:dyaOrig="382" w14:anchorId="61FFD3E4">
          <v:shape id="_x0000_i1117" type="#_x0000_t75" style="width:42.55pt;height:19.1pt" o:ole="">
            <v:imagedata r:id="rId269" o:title=""/>
          </v:shape>
          <o:OLEObject Type="Embed" ProgID="Equation.3" ShapeID="_x0000_i1117" DrawAspect="Content" ObjectID="_1826209216" r:id="rId270"/>
        </w:object>
      </w:r>
      <w:r>
        <w:rPr>
          <w:rFonts w:ascii="Times New Roman" w:hAnsi="Times New Roman"/>
          <w:kern w:val="0"/>
          <w:szCs w:val="24"/>
        </w:rPr>
        <w:t>和</w:t>
      </w:r>
      <w:r>
        <w:rPr>
          <w:rFonts w:ascii="Times New Roman" w:hAnsi="Times New Roman"/>
          <w:position w:val="-12"/>
          <w:szCs w:val="24"/>
        </w:rPr>
        <w:object w:dxaOrig="862" w:dyaOrig="382" w14:anchorId="2E70CBD0">
          <v:shape id="_x0000_i1118" type="#_x0000_t75" style="width:43.1pt;height:19.1pt" o:ole="">
            <v:imagedata r:id="rId271" o:title=""/>
          </v:shape>
          <o:OLEObject Type="Embed" ProgID="Equation.3" ShapeID="_x0000_i1118" DrawAspect="Content" ObjectID="_1826209217" r:id="rId272"/>
        </w:object>
      </w:r>
      <w:r>
        <w:rPr>
          <w:rFonts w:ascii="Times New Roman" w:hAnsi="Times New Roman"/>
          <w:kern w:val="0"/>
          <w:szCs w:val="24"/>
        </w:rPr>
        <w:t>表示低温和高温对光能利用率的胁迫作用；</w:t>
      </w:r>
      <w:r>
        <w:rPr>
          <w:rFonts w:ascii="Times New Roman" w:hAnsi="Times New Roman"/>
          <w:position w:val="-12"/>
          <w:szCs w:val="24"/>
        </w:rPr>
        <w:object w:dxaOrig="862" w:dyaOrig="382" w14:anchorId="3847B950">
          <v:shape id="_x0000_i1119" type="#_x0000_t75" style="width:43.1pt;height:19.1pt" o:ole="">
            <v:imagedata r:id="rId273" o:title=""/>
          </v:shape>
          <o:OLEObject Type="Embed" ProgID="Equation.3" ShapeID="_x0000_i1119" DrawAspect="Content" ObjectID="_1826209218" r:id="rId274"/>
        </w:object>
      </w:r>
      <w:r>
        <w:rPr>
          <w:rFonts w:ascii="Times New Roman" w:hAnsi="Times New Roman"/>
          <w:kern w:val="0"/>
          <w:szCs w:val="24"/>
        </w:rPr>
        <w:t>为水分胁迫影响系数，反映水分条件的影响；</w:t>
      </w:r>
      <w:r>
        <w:rPr>
          <w:rFonts w:ascii="Times New Roman" w:hAnsi="Times New Roman"/>
          <w:position w:val="-12"/>
          <w:szCs w:val="24"/>
        </w:rPr>
        <w:object w:dxaOrig="443" w:dyaOrig="382" w14:anchorId="329D083B">
          <v:shape id="_x0000_i1120" type="#_x0000_t75" style="width:22.35pt;height:19.1pt" o:ole="">
            <v:imagedata r:id="rId275" o:title=""/>
          </v:shape>
          <o:OLEObject Type="Embed" ProgID="Equation.3" ShapeID="_x0000_i1120" DrawAspect="Content" ObjectID="_1826209219" r:id="rId276"/>
        </w:object>
      </w:r>
      <w:r>
        <w:rPr>
          <w:rFonts w:ascii="Times New Roman" w:hAnsi="Times New Roman"/>
          <w:kern w:val="0"/>
          <w:szCs w:val="24"/>
        </w:rPr>
        <w:t>是理想条件下的最大光能利用率（</w:t>
      </w:r>
      <w:r>
        <w:rPr>
          <w:rFonts w:ascii="Times New Roman" w:hAnsi="Times New Roman"/>
          <w:kern w:val="0"/>
          <w:szCs w:val="24"/>
        </w:rPr>
        <w:t>gC·MJ</w:t>
      </w:r>
      <w:r>
        <w:rPr>
          <w:rFonts w:ascii="Times New Roman" w:hAnsi="Times New Roman"/>
          <w:kern w:val="0"/>
          <w:szCs w:val="24"/>
          <w:vertAlign w:val="superscript"/>
        </w:rPr>
        <w:t>-1</w:t>
      </w:r>
      <w:r>
        <w:rPr>
          <w:rFonts w:ascii="Times New Roman" w:hAnsi="Times New Roman"/>
          <w:kern w:val="0"/>
          <w:szCs w:val="24"/>
        </w:rPr>
        <w:t>）。</w:t>
      </w:r>
    </w:p>
    <w:p w14:paraId="02DA5BC8" w14:textId="77777777" w:rsidR="009C353B" w:rsidRDefault="00000000">
      <w:pPr>
        <w:spacing w:line="440" w:lineRule="exact"/>
        <w:ind w:firstLineChars="200" w:firstLine="480"/>
        <w:rPr>
          <w:rFonts w:ascii="Times New Roman" w:hAnsi="Times New Roman"/>
        </w:rPr>
      </w:pPr>
      <w:r>
        <w:rPr>
          <w:rFonts w:ascii="Times New Roman" w:hAnsi="Times New Roman"/>
        </w:rPr>
        <w:t>3</w:t>
      </w:r>
      <w:r>
        <w:rPr>
          <w:rFonts w:ascii="Times New Roman" w:hAnsi="Times New Roman"/>
        </w:rPr>
        <w:t>）评价区生产力评价</w:t>
      </w:r>
    </w:p>
    <w:p w14:paraId="0DFFB524" w14:textId="77777777" w:rsidR="009C353B" w:rsidRDefault="00000000">
      <w:pPr>
        <w:spacing w:line="440" w:lineRule="exact"/>
        <w:ind w:firstLineChars="200" w:firstLine="480"/>
        <w:rPr>
          <w:rFonts w:ascii="Times New Roman" w:hAnsi="Times New Roman"/>
        </w:rPr>
      </w:pPr>
      <w:r>
        <w:rPr>
          <w:rFonts w:ascii="Times New Roman" w:hAnsi="Times New Roman"/>
        </w:rPr>
        <w:t>对选取的遥感影像，利用遥感图像处理软件经几何校正、图像增强等进行解译，对各类环境信息数据及相关图件处理软件进行综合分析，通过</w:t>
      </w:r>
      <w:r>
        <w:rPr>
          <w:rFonts w:ascii="Times New Roman" w:hAnsi="Times New Roman"/>
        </w:rPr>
        <w:t>NPP</w:t>
      </w:r>
      <w:r>
        <w:rPr>
          <w:rFonts w:ascii="Times New Roman" w:hAnsi="Times New Roman"/>
        </w:rPr>
        <w:t>估算模型得到评价区内生态研究所需的相关数据。在野外实地调查和卫片解译的基础上，综合生态评价区地表植被覆盖现状和植被立地情况，各植被类型净第一性生产力情况见表</w:t>
      </w:r>
      <w:r>
        <w:rPr>
          <w:rFonts w:ascii="Times New Roman" w:hAnsi="Times New Roman" w:hint="eastAsia"/>
        </w:rPr>
        <w:t>3.4-25</w:t>
      </w:r>
      <w:r>
        <w:rPr>
          <w:rFonts w:ascii="Times New Roman" w:hAnsi="Times New Roman"/>
        </w:rPr>
        <w:t>。</w:t>
      </w:r>
    </w:p>
    <w:p w14:paraId="25D4E360" w14:textId="77777777" w:rsidR="009C353B" w:rsidRDefault="00000000">
      <w:pPr>
        <w:spacing w:line="520" w:lineRule="exact"/>
        <w:jc w:val="center"/>
        <w:rPr>
          <w:rFonts w:ascii="Times New Roman" w:hAnsi="Times New Roman"/>
          <w:b/>
        </w:rPr>
      </w:pPr>
      <w:r>
        <w:rPr>
          <w:rFonts w:ascii="Times New Roman" w:hAnsi="Times New Roman" w:hint="eastAsia"/>
          <w:b/>
        </w:rPr>
        <w:t>评价区各植被类型生产力情况统计表</w:t>
      </w:r>
    </w:p>
    <w:p w14:paraId="73239451" w14:textId="77777777" w:rsidR="009C353B" w:rsidRDefault="00000000">
      <w:pPr>
        <w:adjustRightInd w:val="0"/>
        <w:snapToGrid w:val="0"/>
        <w:spacing w:line="240" w:lineRule="atLeast"/>
        <w:outlineLvl w:val="4"/>
        <w:rPr>
          <w:rFonts w:ascii="Times New Roman" w:hAnsi="Times New Roman"/>
          <w:b/>
        </w:rPr>
      </w:pPr>
      <w:r>
        <w:rPr>
          <w:rFonts w:ascii="Times New Roman" w:hAnsi="Times New Roman"/>
        </w:rPr>
        <w:t>表</w:t>
      </w:r>
      <w:r>
        <w:rPr>
          <w:rFonts w:ascii="Times New Roman" w:hAnsi="Times New Roman" w:hint="eastAsia"/>
        </w:rPr>
        <w:t>3.4-25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1"/>
        <w:gridCol w:w="2322"/>
        <w:gridCol w:w="2322"/>
        <w:gridCol w:w="2322"/>
      </w:tblGrid>
      <w:tr w:rsidR="009C353B" w14:paraId="4EB287D3" w14:textId="77777777">
        <w:trPr>
          <w:trHeight w:val="609"/>
          <w:jc w:val="center"/>
        </w:trPr>
        <w:tc>
          <w:tcPr>
            <w:tcW w:w="1250" w:type="pct"/>
            <w:shd w:val="clear" w:color="auto" w:fill="auto"/>
            <w:vAlign w:val="center"/>
          </w:tcPr>
          <w:p w14:paraId="36FDDB5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植被类型</w:t>
            </w:r>
          </w:p>
        </w:tc>
        <w:tc>
          <w:tcPr>
            <w:tcW w:w="1250" w:type="pct"/>
            <w:shd w:val="clear" w:color="auto" w:fill="auto"/>
            <w:vAlign w:val="center"/>
          </w:tcPr>
          <w:p w14:paraId="43D4727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面积（</w:t>
            </w:r>
            <w:r>
              <w:rPr>
                <w:rFonts w:ascii="Times New Roman" w:hAnsi="Times New Roman"/>
                <w:kern w:val="0"/>
                <w:sz w:val="21"/>
                <w:szCs w:val="21"/>
              </w:rPr>
              <w:t>km</w:t>
            </w:r>
            <w:r>
              <w:rPr>
                <w:rFonts w:ascii="Times New Roman" w:hAnsi="Times New Roman"/>
                <w:kern w:val="0"/>
                <w:sz w:val="21"/>
                <w:szCs w:val="21"/>
                <w:vertAlign w:val="superscript"/>
              </w:rPr>
              <w:t>2</w:t>
            </w:r>
            <w:r>
              <w:rPr>
                <w:rFonts w:ascii="Times New Roman" w:hAnsi="Times New Roman"/>
                <w:kern w:val="0"/>
                <w:sz w:val="21"/>
                <w:szCs w:val="21"/>
              </w:rPr>
              <w:t>）</w:t>
            </w:r>
          </w:p>
        </w:tc>
        <w:tc>
          <w:tcPr>
            <w:tcW w:w="1250" w:type="pct"/>
            <w:shd w:val="clear" w:color="auto" w:fill="auto"/>
            <w:vAlign w:val="center"/>
          </w:tcPr>
          <w:p w14:paraId="4837511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比例（</w:t>
            </w:r>
            <w:r>
              <w:rPr>
                <w:rFonts w:ascii="Times New Roman" w:hAnsi="Times New Roman"/>
                <w:kern w:val="0"/>
                <w:sz w:val="21"/>
                <w:szCs w:val="21"/>
              </w:rPr>
              <w:t>%</w:t>
            </w:r>
            <w:r>
              <w:rPr>
                <w:rFonts w:ascii="Times New Roman" w:hAnsi="Times New Roman"/>
                <w:kern w:val="0"/>
                <w:sz w:val="21"/>
                <w:szCs w:val="21"/>
              </w:rPr>
              <w:t>）</w:t>
            </w:r>
          </w:p>
        </w:tc>
        <w:tc>
          <w:tcPr>
            <w:tcW w:w="1250" w:type="pct"/>
            <w:shd w:val="clear" w:color="auto" w:fill="auto"/>
            <w:vAlign w:val="center"/>
          </w:tcPr>
          <w:p w14:paraId="0D2E926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生产力（</w:t>
            </w:r>
            <w:r>
              <w:rPr>
                <w:rFonts w:ascii="Times New Roman" w:hAnsi="Times New Roman"/>
                <w:kern w:val="0"/>
                <w:sz w:val="21"/>
                <w:szCs w:val="21"/>
              </w:rPr>
              <w:t>gC/(m</w:t>
            </w:r>
            <w:r>
              <w:rPr>
                <w:rFonts w:ascii="Times New Roman" w:hAnsi="Times New Roman"/>
                <w:kern w:val="0"/>
                <w:sz w:val="21"/>
                <w:szCs w:val="21"/>
                <w:vertAlign w:val="superscript"/>
              </w:rPr>
              <w:t>2·</w:t>
            </w:r>
            <w:r>
              <w:rPr>
                <w:rFonts w:ascii="Times New Roman" w:hAnsi="Times New Roman"/>
                <w:kern w:val="0"/>
                <w:sz w:val="21"/>
                <w:szCs w:val="21"/>
              </w:rPr>
              <w:t>a)</w:t>
            </w:r>
            <w:r>
              <w:rPr>
                <w:rFonts w:ascii="Times New Roman" w:hAnsi="Times New Roman"/>
                <w:kern w:val="0"/>
                <w:sz w:val="21"/>
                <w:szCs w:val="21"/>
              </w:rPr>
              <w:t>）</w:t>
            </w:r>
          </w:p>
        </w:tc>
      </w:tr>
      <w:tr w:rsidR="009C353B" w14:paraId="6ED8EE1E" w14:textId="77777777">
        <w:trPr>
          <w:trHeight w:val="285"/>
          <w:jc w:val="center"/>
        </w:trPr>
        <w:tc>
          <w:tcPr>
            <w:tcW w:w="1250" w:type="pct"/>
            <w:shd w:val="clear" w:color="auto" w:fill="auto"/>
            <w:noWrap/>
            <w:vAlign w:val="center"/>
          </w:tcPr>
          <w:p w14:paraId="32119BC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刺槐、杨树、樟子松</w:t>
            </w:r>
          </w:p>
        </w:tc>
        <w:tc>
          <w:tcPr>
            <w:tcW w:w="1250" w:type="pct"/>
            <w:shd w:val="clear" w:color="auto" w:fill="auto"/>
            <w:noWrap/>
            <w:vAlign w:val="center"/>
          </w:tcPr>
          <w:p w14:paraId="6891A08B" w14:textId="77777777" w:rsidR="009C353B" w:rsidRDefault="00000000">
            <w:pPr>
              <w:widowControl/>
              <w:jc w:val="center"/>
              <w:rPr>
                <w:rFonts w:ascii="Times New Roman" w:hAnsi="Times New Roman"/>
                <w:kern w:val="0"/>
                <w:sz w:val="21"/>
                <w:szCs w:val="21"/>
              </w:rPr>
            </w:pPr>
            <w:r>
              <w:rPr>
                <w:rFonts w:ascii="Times New Roman" w:eastAsia="等线" w:hAnsi="Times New Roman"/>
                <w:sz w:val="21"/>
                <w:szCs w:val="21"/>
              </w:rPr>
              <w:t xml:space="preserve">30.13 </w:t>
            </w:r>
          </w:p>
        </w:tc>
        <w:tc>
          <w:tcPr>
            <w:tcW w:w="1250" w:type="pct"/>
            <w:shd w:val="clear" w:color="auto" w:fill="auto"/>
            <w:noWrap/>
            <w:vAlign w:val="center"/>
          </w:tcPr>
          <w:p w14:paraId="35C8D561" w14:textId="77777777" w:rsidR="009C353B" w:rsidRDefault="00000000">
            <w:pPr>
              <w:widowControl/>
              <w:jc w:val="center"/>
              <w:rPr>
                <w:rFonts w:ascii="Times New Roman" w:hAnsi="Times New Roman"/>
                <w:kern w:val="0"/>
                <w:sz w:val="21"/>
                <w:szCs w:val="21"/>
              </w:rPr>
            </w:pPr>
            <w:r>
              <w:rPr>
                <w:rFonts w:ascii="Times New Roman" w:eastAsia="等线" w:hAnsi="Times New Roman"/>
                <w:sz w:val="21"/>
                <w:szCs w:val="21"/>
              </w:rPr>
              <w:t xml:space="preserve">9.59 </w:t>
            </w:r>
          </w:p>
        </w:tc>
        <w:tc>
          <w:tcPr>
            <w:tcW w:w="1250" w:type="pct"/>
            <w:shd w:val="clear" w:color="auto" w:fill="auto"/>
            <w:noWrap/>
            <w:vAlign w:val="center"/>
          </w:tcPr>
          <w:p w14:paraId="74AEBEC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852.20</w:t>
            </w:r>
          </w:p>
        </w:tc>
      </w:tr>
      <w:tr w:rsidR="009C353B" w14:paraId="45C44ACE" w14:textId="77777777">
        <w:trPr>
          <w:trHeight w:val="285"/>
          <w:jc w:val="center"/>
        </w:trPr>
        <w:tc>
          <w:tcPr>
            <w:tcW w:w="1250" w:type="pct"/>
            <w:shd w:val="clear" w:color="auto" w:fill="auto"/>
            <w:noWrap/>
            <w:vAlign w:val="center"/>
          </w:tcPr>
          <w:p w14:paraId="1333E66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柠条灌丛</w:t>
            </w:r>
          </w:p>
        </w:tc>
        <w:tc>
          <w:tcPr>
            <w:tcW w:w="1250" w:type="pct"/>
            <w:shd w:val="clear" w:color="auto" w:fill="auto"/>
            <w:noWrap/>
            <w:vAlign w:val="center"/>
          </w:tcPr>
          <w:p w14:paraId="491B518A" w14:textId="77777777" w:rsidR="009C353B" w:rsidRDefault="00000000">
            <w:pPr>
              <w:widowControl/>
              <w:jc w:val="center"/>
              <w:rPr>
                <w:rFonts w:ascii="Times New Roman" w:hAnsi="Times New Roman"/>
                <w:kern w:val="0"/>
                <w:sz w:val="21"/>
                <w:szCs w:val="21"/>
              </w:rPr>
            </w:pPr>
            <w:r>
              <w:rPr>
                <w:rFonts w:ascii="Times New Roman" w:eastAsia="等线" w:hAnsi="Times New Roman"/>
                <w:sz w:val="21"/>
                <w:szCs w:val="21"/>
              </w:rPr>
              <w:t xml:space="preserve">80.78 </w:t>
            </w:r>
          </w:p>
        </w:tc>
        <w:tc>
          <w:tcPr>
            <w:tcW w:w="1250" w:type="pct"/>
            <w:shd w:val="clear" w:color="auto" w:fill="auto"/>
            <w:noWrap/>
            <w:vAlign w:val="center"/>
          </w:tcPr>
          <w:p w14:paraId="3813FD97" w14:textId="77777777" w:rsidR="009C353B" w:rsidRDefault="00000000">
            <w:pPr>
              <w:widowControl/>
              <w:jc w:val="center"/>
              <w:rPr>
                <w:rFonts w:ascii="Times New Roman" w:hAnsi="Times New Roman"/>
                <w:kern w:val="0"/>
                <w:sz w:val="21"/>
                <w:szCs w:val="21"/>
              </w:rPr>
            </w:pPr>
            <w:r>
              <w:rPr>
                <w:rFonts w:ascii="Times New Roman" w:eastAsia="等线" w:hAnsi="Times New Roman"/>
                <w:sz w:val="21"/>
                <w:szCs w:val="21"/>
              </w:rPr>
              <w:t xml:space="preserve">25.72 </w:t>
            </w:r>
          </w:p>
        </w:tc>
        <w:tc>
          <w:tcPr>
            <w:tcW w:w="1250" w:type="pct"/>
            <w:shd w:val="clear" w:color="auto" w:fill="auto"/>
            <w:noWrap/>
            <w:vAlign w:val="center"/>
          </w:tcPr>
          <w:p w14:paraId="71F4574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694.26</w:t>
            </w:r>
          </w:p>
        </w:tc>
      </w:tr>
      <w:tr w:rsidR="009C353B" w14:paraId="31B6CAFD" w14:textId="77777777">
        <w:trPr>
          <w:trHeight w:val="285"/>
          <w:jc w:val="center"/>
        </w:trPr>
        <w:tc>
          <w:tcPr>
            <w:tcW w:w="1250" w:type="pct"/>
            <w:shd w:val="clear" w:color="auto" w:fill="auto"/>
            <w:noWrap/>
            <w:vAlign w:val="center"/>
          </w:tcPr>
          <w:p w14:paraId="167693C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猫头刺旱生杂类草荒漠草原</w:t>
            </w:r>
          </w:p>
        </w:tc>
        <w:tc>
          <w:tcPr>
            <w:tcW w:w="1250" w:type="pct"/>
            <w:shd w:val="clear" w:color="auto" w:fill="auto"/>
            <w:noWrap/>
            <w:vAlign w:val="center"/>
          </w:tcPr>
          <w:p w14:paraId="5E103C6A" w14:textId="77777777" w:rsidR="009C353B" w:rsidRDefault="00000000">
            <w:pPr>
              <w:widowControl/>
              <w:jc w:val="center"/>
              <w:rPr>
                <w:rFonts w:ascii="Times New Roman" w:hAnsi="Times New Roman"/>
                <w:kern w:val="0"/>
                <w:sz w:val="21"/>
                <w:szCs w:val="21"/>
              </w:rPr>
            </w:pPr>
            <w:r>
              <w:rPr>
                <w:rFonts w:ascii="Times New Roman" w:eastAsia="等线" w:hAnsi="Times New Roman"/>
                <w:sz w:val="21"/>
                <w:szCs w:val="21"/>
              </w:rPr>
              <w:t xml:space="preserve">135.38 </w:t>
            </w:r>
          </w:p>
        </w:tc>
        <w:tc>
          <w:tcPr>
            <w:tcW w:w="1250" w:type="pct"/>
            <w:shd w:val="clear" w:color="auto" w:fill="auto"/>
            <w:noWrap/>
            <w:vAlign w:val="center"/>
          </w:tcPr>
          <w:p w14:paraId="2FEAA9C4" w14:textId="77777777" w:rsidR="009C353B" w:rsidRDefault="00000000">
            <w:pPr>
              <w:widowControl/>
              <w:jc w:val="center"/>
              <w:rPr>
                <w:rFonts w:ascii="Times New Roman" w:hAnsi="Times New Roman"/>
                <w:kern w:val="0"/>
                <w:sz w:val="21"/>
                <w:szCs w:val="21"/>
              </w:rPr>
            </w:pPr>
            <w:r>
              <w:rPr>
                <w:rFonts w:ascii="Times New Roman" w:eastAsia="等线" w:hAnsi="Times New Roman"/>
                <w:sz w:val="21"/>
                <w:szCs w:val="21"/>
              </w:rPr>
              <w:t xml:space="preserve">43.10 </w:t>
            </w:r>
          </w:p>
        </w:tc>
        <w:tc>
          <w:tcPr>
            <w:tcW w:w="1250" w:type="pct"/>
            <w:shd w:val="clear" w:color="auto" w:fill="auto"/>
            <w:noWrap/>
            <w:vAlign w:val="center"/>
          </w:tcPr>
          <w:p w14:paraId="587F965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212.40</w:t>
            </w:r>
          </w:p>
        </w:tc>
      </w:tr>
      <w:tr w:rsidR="009C353B" w14:paraId="5B101769" w14:textId="77777777">
        <w:trPr>
          <w:trHeight w:val="285"/>
          <w:jc w:val="center"/>
        </w:trPr>
        <w:tc>
          <w:tcPr>
            <w:tcW w:w="1250" w:type="pct"/>
            <w:shd w:val="clear" w:color="auto" w:fill="auto"/>
            <w:noWrap/>
            <w:vAlign w:val="center"/>
          </w:tcPr>
          <w:p w14:paraId="4C9627C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草原带沙生植被</w:t>
            </w:r>
          </w:p>
        </w:tc>
        <w:tc>
          <w:tcPr>
            <w:tcW w:w="1250" w:type="pct"/>
            <w:shd w:val="clear" w:color="auto" w:fill="auto"/>
            <w:noWrap/>
            <w:vAlign w:val="center"/>
          </w:tcPr>
          <w:p w14:paraId="3780A4EE" w14:textId="77777777" w:rsidR="009C353B" w:rsidRDefault="00000000">
            <w:pPr>
              <w:widowControl/>
              <w:jc w:val="center"/>
              <w:rPr>
                <w:rFonts w:ascii="Times New Roman" w:hAnsi="Times New Roman"/>
                <w:kern w:val="0"/>
                <w:sz w:val="21"/>
                <w:szCs w:val="21"/>
              </w:rPr>
            </w:pPr>
            <w:r>
              <w:rPr>
                <w:rFonts w:ascii="Times New Roman" w:eastAsia="等线" w:hAnsi="Times New Roman"/>
                <w:sz w:val="21"/>
                <w:szCs w:val="21"/>
              </w:rPr>
              <w:t xml:space="preserve">9.17 </w:t>
            </w:r>
          </w:p>
        </w:tc>
        <w:tc>
          <w:tcPr>
            <w:tcW w:w="1250" w:type="pct"/>
            <w:shd w:val="clear" w:color="auto" w:fill="auto"/>
            <w:noWrap/>
            <w:vAlign w:val="center"/>
          </w:tcPr>
          <w:p w14:paraId="5D441BAC" w14:textId="77777777" w:rsidR="009C353B" w:rsidRDefault="00000000">
            <w:pPr>
              <w:widowControl/>
              <w:jc w:val="center"/>
              <w:rPr>
                <w:rFonts w:ascii="Times New Roman" w:hAnsi="Times New Roman"/>
                <w:kern w:val="0"/>
                <w:sz w:val="21"/>
                <w:szCs w:val="21"/>
              </w:rPr>
            </w:pPr>
            <w:r>
              <w:rPr>
                <w:rFonts w:ascii="Times New Roman" w:eastAsia="等线" w:hAnsi="Times New Roman"/>
                <w:sz w:val="21"/>
                <w:szCs w:val="21"/>
              </w:rPr>
              <w:t xml:space="preserve">2.92 </w:t>
            </w:r>
          </w:p>
        </w:tc>
        <w:tc>
          <w:tcPr>
            <w:tcW w:w="1250" w:type="pct"/>
            <w:shd w:val="clear" w:color="auto" w:fill="auto"/>
            <w:noWrap/>
            <w:vAlign w:val="center"/>
          </w:tcPr>
          <w:p w14:paraId="18E66DD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135.24</w:t>
            </w:r>
          </w:p>
        </w:tc>
      </w:tr>
      <w:tr w:rsidR="009C353B" w14:paraId="31475444" w14:textId="77777777">
        <w:trPr>
          <w:trHeight w:val="300"/>
          <w:jc w:val="center"/>
        </w:trPr>
        <w:tc>
          <w:tcPr>
            <w:tcW w:w="1250" w:type="pct"/>
            <w:shd w:val="clear" w:color="auto" w:fill="auto"/>
            <w:vAlign w:val="center"/>
          </w:tcPr>
          <w:p w14:paraId="135EF63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其他类型</w:t>
            </w:r>
          </w:p>
        </w:tc>
        <w:tc>
          <w:tcPr>
            <w:tcW w:w="1250" w:type="pct"/>
            <w:shd w:val="clear" w:color="auto" w:fill="auto"/>
            <w:noWrap/>
            <w:vAlign w:val="center"/>
          </w:tcPr>
          <w:p w14:paraId="3D18FC2B" w14:textId="77777777" w:rsidR="009C353B" w:rsidRDefault="00000000">
            <w:pPr>
              <w:widowControl/>
              <w:jc w:val="center"/>
              <w:rPr>
                <w:rFonts w:ascii="Times New Roman" w:hAnsi="Times New Roman"/>
                <w:kern w:val="0"/>
                <w:sz w:val="21"/>
                <w:szCs w:val="21"/>
              </w:rPr>
            </w:pPr>
            <w:r>
              <w:rPr>
                <w:rFonts w:ascii="Times New Roman" w:eastAsia="等线" w:hAnsi="Times New Roman"/>
                <w:sz w:val="21"/>
                <w:szCs w:val="21"/>
              </w:rPr>
              <w:t xml:space="preserve">58.63 </w:t>
            </w:r>
          </w:p>
        </w:tc>
        <w:tc>
          <w:tcPr>
            <w:tcW w:w="1250" w:type="pct"/>
            <w:shd w:val="clear" w:color="auto" w:fill="auto"/>
            <w:noWrap/>
            <w:vAlign w:val="center"/>
          </w:tcPr>
          <w:p w14:paraId="028EC315" w14:textId="77777777" w:rsidR="009C353B" w:rsidRDefault="00000000">
            <w:pPr>
              <w:widowControl/>
              <w:jc w:val="center"/>
              <w:rPr>
                <w:rFonts w:ascii="Times New Roman" w:hAnsi="Times New Roman"/>
                <w:kern w:val="0"/>
                <w:sz w:val="21"/>
                <w:szCs w:val="21"/>
              </w:rPr>
            </w:pPr>
            <w:r>
              <w:rPr>
                <w:rFonts w:ascii="Times New Roman" w:eastAsia="等线" w:hAnsi="Times New Roman"/>
                <w:sz w:val="21"/>
                <w:szCs w:val="21"/>
              </w:rPr>
              <w:t xml:space="preserve">18.67 </w:t>
            </w:r>
          </w:p>
        </w:tc>
        <w:tc>
          <w:tcPr>
            <w:tcW w:w="1250" w:type="pct"/>
            <w:shd w:val="clear" w:color="auto" w:fill="auto"/>
            <w:noWrap/>
            <w:vAlign w:val="center"/>
          </w:tcPr>
          <w:p w14:paraId="39DEBEB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r>
      <w:tr w:rsidR="009C353B" w14:paraId="775FCF48" w14:textId="77777777">
        <w:trPr>
          <w:trHeight w:val="285"/>
          <w:jc w:val="center"/>
        </w:trPr>
        <w:tc>
          <w:tcPr>
            <w:tcW w:w="1250" w:type="pct"/>
            <w:shd w:val="clear" w:color="auto" w:fill="auto"/>
            <w:vAlign w:val="center"/>
          </w:tcPr>
          <w:p w14:paraId="187880C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合计</w:t>
            </w:r>
          </w:p>
        </w:tc>
        <w:tc>
          <w:tcPr>
            <w:tcW w:w="1250" w:type="pct"/>
            <w:shd w:val="clear" w:color="auto" w:fill="auto"/>
            <w:noWrap/>
            <w:vAlign w:val="center"/>
          </w:tcPr>
          <w:p w14:paraId="61F053F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314.10</w:t>
            </w:r>
          </w:p>
        </w:tc>
        <w:tc>
          <w:tcPr>
            <w:tcW w:w="1250" w:type="pct"/>
            <w:shd w:val="clear" w:color="auto" w:fill="auto"/>
            <w:noWrap/>
            <w:vAlign w:val="center"/>
          </w:tcPr>
          <w:p w14:paraId="5BD1FB2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100.00</w:t>
            </w:r>
          </w:p>
        </w:tc>
        <w:tc>
          <w:tcPr>
            <w:tcW w:w="1250" w:type="pct"/>
            <w:shd w:val="clear" w:color="auto" w:fill="auto"/>
            <w:noWrap/>
            <w:vAlign w:val="center"/>
          </w:tcPr>
          <w:p w14:paraId="219BF70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218.98</w:t>
            </w:r>
          </w:p>
        </w:tc>
      </w:tr>
    </w:tbl>
    <w:p w14:paraId="319FE8E8" w14:textId="77777777" w:rsidR="009C353B" w:rsidRDefault="00000000">
      <w:pPr>
        <w:spacing w:line="440" w:lineRule="exact"/>
        <w:ind w:firstLineChars="200" w:firstLine="480"/>
        <w:rPr>
          <w:rFonts w:ascii="Times New Roman" w:hAnsi="Times New Roman"/>
        </w:rPr>
      </w:pPr>
      <w:r>
        <w:rPr>
          <w:rFonts w:ascii="Times New Roman" w:hAnsi="Times New Roman"/>
        </w:rPr>
        <w:t>从估算结果和判断标准来看，评价区平均净生产力为</w:t>
      </w:r>
      <w:r>
        <w:rPr>
          <w:rFonts w:ascii="Times New Roman" w:hAnsi="Times New Roman" w:hint="eastAsia"/>
        </w:rPr>
        <w:t>218.98</w:t>
      </w:r>
      <w:r>
        <w:rPr>
          <w:rFonts w:ascii="Times New Roman" w:hAnsi="Times New Roman"/>
        </w:rPr>
        <w:t>gC/(m</w:t>
      </w:r>
      <w:r>
        <w:rPr>
          <w:rFonts w:ascii="Times New Roman" w:hAnsi="Times New Roman"/>
          <w:vertAlign w:val="superscript"/>
        </w:rPr>
        <w:t>2</w:t>
      </w:r>
      <w:r>
        <w:rPr>
          <w:rFonts w:ascii="Times New Roman" w:hAnsi="Times New Roman"/>
        </w:rPr>
        <w:t>·a)</w:t>
      </w:r>
      <w:r>
        <w:rPr>
          <w:rFonts w:ascii="Times New Roman" w:hAnsi="Times New Roman"/>
        </w:rPr>
        <w:t>，按照奥德姆划分法，处于</w:t>
      </w:r>
      <w:r>
        <w:rPr>
          <w:rFonts w:ascii="Times New Roman" w:hAnsi="Times New Roman"/>
        </w:rPr>
        <w:t>182.50~1080gC/(m</w:t>
      </w:r>
      <w:r>
        <w:rPr>
          <w:rFonts w:ascii="Times New Roman" w:hAnsi="Times New Roman"/>
          <w:vertAlign w:val="superscript"/>
        </w:rPr>
        <w:t>2</w:t>
      </w:r>
      <w:r>
        <w:rPr>
          <w:rFonts w:ascii="Times New Roman" w:hAnsi="Times New Roman"/>
        </w:rPr>
        <w:t>.a)</w:t>
      </w:r>
      <w:r>
        <w:rPr>
          <w:rFonts w:ascii="Times New Roman" w:hAnsi="Times New Roman"/>
        </w:rPr>
        <w:t>的判断标准内，属于全球生态系统生产力</w:t>
      </w:r>
      <w:r>
        <w:rPr>
          <w:rFonts w:ascii="Times New Roman" w:hAnsi="Times New Roman"/>
        </w:rPr>
        <w:t>“</w:t>
      </w:r>
      <w:r>
        <w:rPr>
          <w:rFonts w:ascii="Times New Roman" w:hAnsi="Times New Roman"/>
        </w:rPr>
        <w:t>较低</w:t>
      </w:r>
      <w:r>
        <w:rPr>
          <w:rFonts w:ascii="Times New Roman" w:hAnsi="Times New Roman"/>
        </w:rPr>
        <w:t>”</w:t>
      </w:r>
      <w:r>
        <w:rPr>
          <w:rFonts w:ascii="Times New Roman" w:hAnsi="Times New Roman"/>
        </w:rPr>
        <w:t>水平，说明由于评价区受气候和人类活动等因素的影响，植被生产力较低。</w:t>
      </w:r>
    </w:p>
    <w:p w14:paraId="5EB6C78C" w14:textId="77777777" w:rsidR="009C353B" w:rsidRDefault="00000000">
      <w:pPr>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）生态系统稳定性评价</w:t>
      </w:r>
    </w:p>
    <w:p w14:paraId="251239B3" w14:textId="77777777" w:rsidR="009C353B" w:rsidRDefault="00000000">
      <w:pPr>
        <w:spacing w:line="440" w:lineRule="exact"/>
        <w:ind w:firstLineChars="200" w:firstLine="480"/>
        <w:rPr>
          <w:rFonts w:ascii="Times New Roman" w:hAnsi="Times New Roman"/>
        </w:rPr>
      </w:pPr>
      <w:r>
        <w:rPr>
          <w:rFonts w:ascii="Times New Roman" w:hAnsi="Times New Roman"/>
        </w:rPr>
        <w:t>生态系统稳定性包括两种特征，即生态系统对干扰的阻抗能力和受到干扰后的恢复能力。</w:t>
      </w:r>
    </w:p>
    <w:p w14:paraId="473C5AD3" w14:textId="77777777" w:rsidR="009C353B" w:rsidRDefault="00000000">
      <w:pPr>
        <w:spacing w:line="440" w:lineRule="exact"/>
        <w:ind w:firstLineChars="200" w:firstLine="480"/>
        <w:rPr>
          <w:rFonts w:ascii="Times New Roman" w:hAnsi="Times New Roman"/>
        </w:rPr>
      </w:pPr>
      <w:r>
        <w:rPr>
          <w:rFonts w:ascii="Times New Roman" w:hAnsi="Times New Roman"/>
        </w:rPr>
        <w:t>1</w:t>
      </w:r>
      <w:r>
        <w:rPr>
          <w:rFonts w:ascii="Times New Roman" w:hAnsi="Times New Roman"/>
        </w:rPr>
        <w:t>）恢复稳定性</w:t>
      </w:r>
    </w:p>
    <w:p w14:paraId="71751F79" w14:textId="77777777" w:rsidR="009C353B" w:rsidRDefault="00000000">
      <w:pPr>
        <w:spacing w:line="440" w:lineRule="exact"/>
        <w:ind w:firstLineChars="200" w:firstLine="480"/>
        <w:rPr>
          <w:rFonts w:ascii="Times New Roman" w:hAnsi="Times New Roman"/>
        </w:rPr>
      </w:pPr>
      <w:r>
        <w:rPr>
          <w:rFonts w:ascii="Times New Roman" w:hAnsi="Times New Roman"/>
        </w:rPr>
        <w:t>对生态系统的恢复稳定性的度量可以采用对植被生物量度量的方法进行。植被生产力越大，则生态系统受到干扰后恢复到原状态的能力就越强。从表</w:t>
      </w:r>
      <w:r>
        <w:rPr>
          <w:rFonts w:ascii="Times New Roman" w:hAnsi="Times New Roman" w:hint="eastAsia"/>
        </w:rPr>
        <w:t>3.4-20</w:t>
      </w:r>
      <w:r>
        <w:rPr>
          <w:rFonts w:ascii="Times New Roman" w:hAnsi="Times New Roman"/>
        </w:rPr>
        <w:t>可以看出，</w:t>
      </w:r>
      <w:r>
        <w:rPr>
          <w:rFonts w:ascii="Times New Roman" w:hAnsi="Times New Roman" w:hint="eastAsia"/>
        </w:rPr>
        <w:t>落叶阔叶</w:t>
      </w:r>
      <w:r>
        <w:rPr>
          <w:rFonts w:ascii="Times New Roman" w:hAnsi="Times New Roman"/>
        </w:rPr>
        <w:t>林的生产力最大为</w:t>
      </w:r>
      <w:r>
        <w:rPr>
          <w:rFonts w:ascii="Times New Roman" w:hAnsi="Times New Roman" w:hint="eastAsia"/>
        </w:rPr>
        <w:t>852.20</w:t>
      </w:r>
      <w:r>
        <w:rPr>
          <w:rFonts w:ascii="Times New Roman" w:hAnsi="Times New Roman"/>
        </w:rPr>
        <w:t>gC /(m</w:t>
      </w:r>
      <w:r>
        <w:rPr>
          <w:rFonts w:ascii="Times New Roman" w:hAnsi="Times New Roman"/>
          <w:vertAlign w:val="superscript"/>
        </w:rPr>
        <w:t xml:space="preserve">2 </w:t>
      </w:r>
      <w:r>
        <w:rPr>
          <w:rFonts w:ascii="Times New Roman" w:hAnsi="Times New Roman"/>
        </w:rPr>
        <w:t>. a)</w:t>
      </w:r>
      <w:r>
        <w:rPr>
          <w:rFonts w:ascii="Times New Roman" w:hAnsi="Times New Roman"/>
        </w:rPr>
        <w:t>，其恢复稳定性最强，</w:t>
      </w:r>
      <w:r>
        <w:rPr>
          <w:rFonts w:ascii="Times New Roman" w:hAnsi="Times New Roman" w:hint="eastAsia"/>
        </w:rPr>
        <w:t>但落叶阔叶</w:t>
      </w:r>
      <w:r>
        <w:rPr>
          <w:rFonts w:ascii="Times New Roman" w:hAnsi="Times New Roman"/>
        </w:rPr>
        <w:t>林地在评价区所占比例</w:t>
      </w:r>
      <w:r>
        <w:rPr>
          <w:rFonts w:ascii="Times New Roman" w:hAnsi="Times New Roman" w:hint="eastAsia"/>
        </w:rPr>
        <w:t>较小</w:t>
      </w:r>
      <w:r>
        <w:rPr>
          <w:rFonts w:ascii="Times New Roman" w:hAnsi="Times New Roman"/>
        </w:rPr>
        <w:t>，</w:t>
      </w:r>
      <w:r>
        <w:rPr>
          <w:rFonts w:ascii="Times New Roman" w:hAnsi="Times New Roman" w:hint="eastAsia"/>
        </w:rPr>
        <w:t>对区域生态系统稳定性的贡献较低。评价区内</w:t>
      </w:r>
      <w:r>
        <w:rPr>
          <w:rFonts w:ascii="Times New Roman" w:hAnsi="Times New Roman"/>
        </w:rPr>
        <w:t>猫头刺旱生杂类草荒漠草原</w:t>
      </w:r>
      <w:r>
        <w:rPr>
          <w:rFonts w:ascii="Times New Roman" w:hAnsi="Times New Roman" w:hint="eastAsia"/>
        </w:rPr>
        <w:t>面积较大，占评价区面积的</w:t>
      </w:r>
      <w:r>
        <w:rPr>
          <w:rFonts w:ascii="Times New Roman" w:hAnsi="Times New Roman" w:hint="eastAsia"/>
        </w:rPr>
        <w:t>4</w:t>
      </w:r>
      <w:r>
        <w:rPr>
          <w:rFonts w:ascii="Times New Roman" w:hAnsi="Times New Roman"/>
        </w:rPr>
        <w:t>3.10</w:t>
      </w:r>
      <w:r>
        <w:rPr>
          <w:rFonts w:ascii="Times New Roman" w:hAnsi="Times New Roman" w:hint="eastAsia"/>
        </w:rPr>
        <w:t>%</w:t>
      </w:r>
      <w:r>
        <w:rPr>
          <w:rFonts w:ascii="Times New Roman" w:hAnsi="Times New Roman" w:hint="eastAsia"/>
        </w:rPr>
        <w:t>，</w:t>
      </w:r>
      <w:r>
        <w:rPr>
          <w:rFonts w:ascii="Times New Roman" w:hAnsi="Times New Roman"/>
        </w:rPr>
        <w:t>对区域生态系统稳定性具有决定性作用。</w:t>
      </w:r>
      <w:r>
        <w:rPr>
          <w:rFonts w:ascii="Times New Roman" w:hAnsi="Times New Roman" w:hint="eastAsia"/>
        </w:rPr>
        <w:t>评价区的平均生产力</w:t>
      </w:r>
      <w:r>
        <w:rPr>
          <w:rFonts w:ascii="Times New Roman" w:hAnsi="Times New Roman"/>
        </w:rPr>
        <w:t>在生产力水平划分中处于较低的水平，</w:t>
      </w:r>
      <w:r>
        <w:rPr>
          <w:rFonts w:ascii="Times New Roman" w:hAnsi="Times New Roman" w:hint="eastAsia"/>
        </w:rPr>
        <w:t>但</w:t>
      </w:r>
      <w:r>
        <w:rPr>
          <w:rFonts w:ascii="Times New Roman" w:hAnsi="Times New Roman"/>
        </w:rPr>
        <w:t>接近阈值</w:t>
      </w:r>
      <w:r>
        <w:rPr>
          <w:rFonts w:ascii="Times New Roman" w:hAnsi="Times New Roman" w:hint="eastAsia"/>
        </w:rPr>
        <w:t>下</w:t>
      </w:r>
      <w:r>
        <w:rPr>
          <w:rFonts w:ascii="Times New Roman" w:hAnsi="Times New Roman"/>
        </w:rPr>
        <w:t>线，恢复稳定性较</w:t>
      </w:r>
      <w:r>
        <w:rPr>
          <w:rFonts w:ascii="Times New Roman" w:hAnsi="Times New Roman" w:hint="eastAsia"/>
        </w:rPr>
        <w:t>差</w:t>
      </w:r>
      <w:r>
        <w:rPr>
          <w:rFonts w:ascii="Times New Roman" w:hAnsi="Times New Roman"/>
        </w:rPr>
        <w:t>。</w:t>
      </w:r>
    </w:p>
    <w:p w14:paraId="35456875" w14:textId="77777777" w:rsidR="009C353B" w:rsidRDefault="00000000">
      <w:pPr>
        <w:spacing w:line="440" w:lineRule="exact"/>
        <w:ind w:firstLineChars="200" w:firstLine="480"/>
        <w:rPr>
          <w:rFonts w:ascii="Times New Roman" w:hAnsi="Times New Roman"/>
        </w:rPr>
      </w:pPr>
      <w:r>
        <w:rPr>
          <w:rFonts w:ascii="Times New Roman" w:hAnsi="Times New Roman"/>
        </w:rPr>
        <w:t>2</w:t>
      </w:r>
      <w:r>
        <w:rPr>
          <w:rFonts w:ascii="Times New Roman" w:hAnsi="Times New Roman"/>
        </w:rPr>
        <w:t>）阻抗稳定性</w:t>
      </w:r>
    </w:p>
    <w:p w14:paraId="42C521F3" w14:textId="77777777" w:rsidR="009C353B" w:rsidRDefault="00000000">
      <w:pPr>
        <w:spacing w:line="440" w:lineRule="exact"/>
        <w:ind w:firstLineChars="200" w:firstLine="480"/>
        <w:rPr>
          <w:rFonts w:ascii="Times New Roman" w:hAnsi="Times New Roman"/>
        </w:rPr>
      </w:pPr>
      <w:r>
        <w:rPr>
          <w:rFonts w:ascii="Times New Roman" w:hAnsi="Times New Roman"/>
        </w:rPr>
        <w:t>生态系统的阻抗稳定性与植被的异质化程度密切。通过对评价区内植被类型分布的分析，评价区内植被主要为</w:t>
      </w:r>
      <w:r>
        <w:rPr>
          <w:rFonts w:ascii="Times New Roman" w:hAnsi="Times New Roman" w:hint="eastAsia"/>
        </w:rPr>
        <w:t>荒漠植被</w:t>
      </w:r>
      <w:r>
        <w:rPr>
          <w:rFonts w:ascii="Times New Roman" w:hAnsi="Times New Roman"/>
        </w:rPr>
        <w:t>，植被类型较为单调，异质化程度不高，具有一定的阻抗稳定性，但稳定性较低。</w:t>
      </w:r>
    </w:p>
    <w:p w14:paraId="1FB45221" w14:textId="77777777" w:rsidR="009C353B" w:rsidRDefault="00000000">
      <w:pPr>
        <w:spacing w:line="440" w:lineRule="exact"/>
        <w:ind w:firstLineChars="200" w:firstLine="480"/>
        <w:rPr>
          <w:rFonts w:ascii="Times New Roman" w:hAnsi="Times New Roman"/>
        </w:rPr>
      </w:pPr>
      <w:r>
        <w:rPr>
          <w:rFonts w:ascii="Times New Roman" w:hAnsi="Times New Roman"/>
        </w:rPr>
        <w:t>综上所述，目前评价区内生态系统的生产力较</w:t>
      </w:r>
      <w:r>
        <w:rPr>
          <w:rFonts w:ascii="Times New Roman" w:hAnsi="Times New Roman" w:hint="eastAsia"/>
        </w:rPr>
        <w:t>低</w:t>
      </w:r>
      <w:r>
        <w:rPr>
          <w:rFonts w:ascii="Times New Roman" w:hAnsi="Times New Roman"/>
        </w:rPr>
        <w:t>，生态系统结构与功能</w:t>
      </w:r>
      <w:r>
        <w:rPr>
          <w:rFonts w:ascii="Times New Roman" w:hAnsi="Times New Roman" w:hint="eastAsia"/>
        </w:rPr>
        <w:t>稳定性较差</w:t>
      </w:r>
      <w:r>
        <w:rPr>
          <w:rFonts w:ascii="Times New Roman" w:hAnsi="Times New Roman"/>
        </w:rPr>
        <w:t>。</w:t>
      </w:r>
    </w:p>
    <w:p w14:paraId="63BF7036" w14:textId="77777777" w:rsidR="009C353B" w:rsidRDefault="009C353B">
      <w:pPr>
        <w:spacing w:line="440" w:lineRule="exact"/>
        <w:ind w:firstLineChars="200" w:firstLine="480"/>
        <w:rPr>
          <w:rFonts w:ascii="Times New Roman" w:hAnsi="Times New Roman"/>
        </w:rPr>
      </w:pPr>
    </w:p>
    <w:p w14:paraId="4240B89C" w14:textId="77777777" w:rsidR="009C353B" w:rsidRDefault="009C353B">
      <w:pPr>
        <w:pStyle w:val="a9"/>
        <w:spacing w:line="440" w:lineRule="exact"/>
        <w:ind w:firstLine="480"/>
        <w:rPr>
          <w:rFonts w:ascii="Times New Roman" w:hint="eastAsia"/>
          <w:sz w:val="24"/>
          <w:szCs w:val="24"/>
        </w:rPr>
        <w:sectPr w:rsidR="009C353B">
          <w:headerReference w:type="default" r:id="rId277"/>
          <w:pgSz w:w="11907" w:h="16840"/>
          <w:pgMar w:top="1701" w:right="1418" w:bottom="1418" w:left="1418" w:header="1134" w:footer="851" w:gutter="0"/>
          <w:paperSrc w:first="7" w:other="7"/>
          <w:cols w:space="720"/>
          <w:docGrid w:linePitch="312"/>
        </w:sectPr>
      </w:pPr>
    </w:p>
    <w:p w14:paraId="47F70F37" w14:textId="77777777" w:rsidR="009C353B" w:rsidRDefault="00000000">
      <w:pPr>
        <w:pStyle w:val="hp1"/>
        <w:ind w:firstLineChars="0" w:firstLine="0"/>
        <w:jc w:val="center"/>
        <w:rPr>
          <w:rFonts w:ascii="Times New Roman" w:eastAsia="宋体" w:hAnsi="Times New Roman"/>
          <w:sz w:val="36"/>
        </w:rPr>
      </w:pPr>
      <w:bookmarkStart w:id="140" w:name="_Toc59189833"/>
      <w:r>
        <w:rPr>
          <w:rFonts w:ascii="Times New Roman" w:eastAsia="宋体" w:hAnsi="Times New Roman"/>
          <w:sz w:val="36"/>
        </w:rPr>
        <w:t xml:space="preserve">4 </w:t>
      </w:r>
      <w:r>
        <w:rPr>
          <w:rFonts w:ascii="Times New Roman" w:eastAsia="宋体" w:hAnsi="Times New Roman" w:hint="eastAsia"/>
          <w:sz w:val="36"/>
        </w:rPr>
        <w:t>矿区开发环境影响回顾性评价</w:t>
      </w:r>
      <w:bookmarkEnd w:id="140"/>
    </w:p>
    <w:p w14:paraId="6C0F82F3" w14:textId="77777777" w:rsidR="009C353B" w:rsidRDefault="00000000">
      <w:pPr>
        <w:pStyle w:val="2"/>
        <w:snapToGrid w:val="0"/>
        <w:spacing w:line="440" w:lineRule="exact"/>
        <w:rPr>
          <w:rFonts w:ascii="Times New Roman" w:eastAsia="宋体" w:hAnsi="Times New Roman"/>
          <w:b/>
          <w:sz w:val="28"/>
        </w:rPr>
      </w:pPr>
      <w:bookmarkStart w:id="141" w:name="_Toc59189834"/>
      <w:r>
        <w:rPr>
          <w:rFonts w:ascii="Times New Roman" w:eastAsia="宋体" w:hAnsi="Times New Roman" w:hint="eastAsia"/>
          <w:b/>
          <w:sz w:val="28"/>
        </w:rPr>
        <w:t xml:space="preserve">4.1 </w:t>
      </w:r>
      <w:r>
        <w:rPr>
          <w:rFonts w:ascii="Times New Roman" w:eastAsia="宋体" w:hAnsi="Times New Roman" w:hint="eastAsia"/>
          <w:b/>
          <w:sz w:val="28"/>
        </w:rPr>
        <w:t>矿区开发概况回顾</w:t>
      </w:r>
      <w:bookmarkEnd w:id="141"/>
    </w:p>
    <w:p w14:paraId="2A1F998B"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4.</w:t>
      </w:r>
      <w:r>
        <w:rPr>
          <w:rFonts w:ascii="Times New Roman" w:hAnsi="Times New Roman" w:hint="eastAsia"/>
          <w:sz w:val="24"/>
        </w:rPr>
        <w:t>1</w:t>
      </w:r>
      <w:r>
        <w:rPr>
          <w:rFonts w:ascii="Times New Roman" w:hAnsi="Times New Roman"/>
          <w:sz w:val="24"/>
        </w:rPr>
        <w:t>.</w:t>
      </w:r>
      <w:r>
        <w:rPr>
          <w:rFonts w:ascii="Times New Roman" w:hAnsi="Times New Roman" w:hint="eastAsia"/>
          <w:sz w:val="24"/>
        </w:rPr>
        <w:t>1</w:t>
      </w:r>
      <w:r>
        <w:rPr>
          <w:rFonts w:ascii="Times New Roman" w:hAnsi="Times New Roman"/>
          <w:sz w:val="24"/>
        </w:rPr>
        <w:t xml:space="preserve"> </w:t>
      </w:r>
      <w:r>
        <w:rPr>
          <w:rFonts w:ascii="Times New Roman" w:hAnsi="Times New Roman" w:hint="eastAsia"/>
          <w:sz w:val="24"/>
        </w:rPr>
        <w:t>矿区开发历史</w:t>
      </w:r>
    </w:p>
    <w:p w14:paraId="19522751" w14:textId="77777777" w:rsidR="009C353B" w:rsidRDefault="00000000">
      <w:pPr>
        <w:adjustRightInd w:val="0"/>
        <w:snapToGrid w:val="0"/>
        <w:spacing w:line="440" w:lineRule="exact"/>
        <w:ind w:firstLineChars="200" w:firstLine="480"/>
        <w:rPr>
          <w:rFonts w:ascii="Times New Roman" w:hint="eastAsia"/>
        </w:rPr>
      </w:pPr>
      <w:r>
        <w:rPr>
          <w:rFonts w:ascii="Times New Roman"/>
        </w:rPr>
        <w:t>200</w:t>
      </w:r>
      <w:r>
        <w:rPr>
          <w:rFonts w:ascii="Times New Roman" w:hint="eastAsia"/>
        </w:rPr>
        <w:t>3</w:t>
      </w:r>
      <w:r>
        <w:rPr>
          <w:rFonts w:ascii="Times New Roman"/>
        </w:rPr>
        <w:t>年原</w:t>
      </w:r>
      <w:r>
        <w:rPr>
          <w:rFonts w:ascii="Times New Roman" w:hint="eastAsia"/>
        </w:rPr>
        <w:t>中煤国际工程集团北京华宇工程有限公司</w:t>
      </w:r>
      <w:r>
        <w:rPr>
          <w:rFonts w:ascii="Times New Roman"/>
        </w:rPr>
        <w:t>编制了《</w:t>
      </w:r>
      <w:r>
        <w:rPr>
          <w:rFonts w:ascii="Times New Roman" w:hint="eastAsia"/>
        </w:rPr>
        <w:t>宁夏回族自治区横城矿区总体规划</w:t>
      </w:r>
      <w:r>
        <w:rPr>
          <w:rFonts w:ascii="Times New Roman"/>
        </w:rPr>
        <w:t>》</w:t>
      </w:r>
      <w:r>
        <w:rPr>
          <w:rFonts w:ascii="Times New Roman" w:hint="eastAsia"/>
        </w:rPr>
        <w:t>，</w:t>
      </w:r>
      <w:r>
        <w:rPr>
          <w:rFonts w:ascii="Times New Roman" w:hint="eastAsia"/>
        </w:rPr>
        <w:t>2</w:t>
      </w:r>
      <w:r>
        <w:rPr>
          <w:rFonts w:ascii="Times New Roman"/>
        </w:rPr>
        <w:t>004</w:t>
      </w:r>
      <w:r>
        <w:rPr>
          <w:rFonts w:ascii="Times New Roman" w:hint="eastAsia"/>
        </w:rPr>
        <w:t>年</w:t>
      </w:r>
      <w:r>
        <w:rPr>
          <w:rFonts w:ascii="Times New Roman"/>
        </w:rPr>
        <w:t>国家发展和改革委员会</w:t>
      </w:r>
      <w:r>
        <w:rPr>
          <w:rFonts w:ascii="Times New Roman" w:hint="eastAsia"/>
        </w:rPr>
        <w:t>以《国家发展改革委关于宁夏横城矿区总体规划的批复》（发改能源〔</w:t>
      </w:r>
      <w:r>
        <w:rPr>
          <w:rFonts w:ascii="Times New Roman" w:hint="eastAsia"/>
        </w:rPr>
        <w:t>2004</w:t>
      </w:r>
      <w:r>
        <w:rPr>
          <w:rFonts w:ascii="Times New Roman" w:hint="eastAsia"/>
        </w:rPr>
        <w:t>〕</w:t>
      </w:r>
      <w:r>
        <w:rPr>
          <w:rFonts w:ascii="Times New Roman" w:hint="eastAsia"/>
        </w:rPr>
        <w:t>2166</w:t>
      </w:r>
      <w:r>
        <w:rPr>
          <w:rFonts w:ascii="Times New Roman" w:hint="eastAsia"/>
        </w:rPr>
        <w:t>号）对总体规划进行了批复：矿区划分为</w:t>
      </w:r>
      <w:r>
        <w:rPr>
          <w:rFonts w:ascii="Times New Roman"/>
        </w:rPr>
        <w:t>4</w:t>
      </w:r>
      <w:r>
        <w:rPr>
          <w:rFonts w:ascii="Times New Roman" w:hint="eastAsia"/>
        </w:rPr>
        <w:t>个井田开发，规划范围</w:t>
      </w:r>
      <w:r>
        <w:rPr>
          <w:rFonts w:ascii="Times New Roman"/>
        </w:rPr>
        <w:t>58</w:t>
      </w:r>
      <w:r>
        <w:rPr>
          <w:rFonts w:ascii="Times New Roman" w:hint="eastAsia"/>
        </w:rPr>
        <w:t>km</w:t>
      </w:r>
      <w:r>
        <w:rPr>
          <w:rFonts w:ascii="Times New Roman" w:hint="eastAsia"/>
          <w:vertAlign w:val="superscript"/>
        </w:rPr>
        <w:t>2</w:t>
      </w:r>
      <w:r>
        <w:rPr>
          <w:rFonts w:ascii="Times New Roman" w:hint="eastAsia"/>
        </w:rPr>
        <w:t>，总规模</w:t>
      </w:r>
      <w:r>
        <w:rPr>
          <w:rFonts w:ascii="Times New Roman"/>
        </w:rPr>
        <w:t>6.0</w:t>
      </w:r>
      <w:r>
        <w:rPr>
          <w:rFonts w:ascii="Times New Roman" w:hint="eastAsia"/>
        </w:rPr>
        <w:t>Mt/a</w:t>
      </w:r>
      <w:r>
        <w:rPr>
          <w:rFonts w:ascii="Times New Roman" w:hint="eastAsia"/>
        </w:rPr>
        <w:t>，分别为马莲台矿井及选煤厂（</w:t>
      </w:r>
      <w:r>
        <w:rPr>
          <w:rFonts w:ascii="Times New Roman" w:hint="eastAsia"/>
        </w:rPr>
        <w:t>2</w:t>
      </w:r>
      <w:r>
        <w:rPr>
          <w:rFonts w:ascii="Times New Roman"/>
        </w:rPr>
        <w:t>.4</w:t>
      </w:r>
      <w:r>
        <w:rPr>
          <w:rFonts w:ascii="Times New Roman" w:hint="eastAsia"/>
        </w:rPr>
        <w:t>Mt/a</w:t>
      </w:r>
      <w:r>
        <w:rPr>
          <w:rFonts w:ascii="Times New Roman"/>
        </w:rPr>
        <w:t>）</w:t>
      </w:r>
      <w:r>
        <w:rPr>
          <w:rFonts w:ascii="Times New Roman" w:hint="eastAsia"/>
        </w:rPr>
        <w:t>、任家庄矿井及选煤厂（</w:t>
      </w:r>
      <w:r>
        <w:rPr>
          <w:rFonts w:ascii="Times New Roman" w:hint="eastAsia"/>
        </w:rPr>
        <w:t>2</w:t>
      </w:r>
      <w:r>
        <w:rPr>
          <w:rFonts w:ascii="Times New Roman"/>
        </w:rPr>
        <w:t>.4</w:t>
      </w:r>
      <w:r>
        <w:rPr>
          <w:rFonts w:ascii="Times New Roman" w:hint="eastAsia"/>
        </w:rPr>
        <w:t>Mt/a</w:t>
      </w:r>
      <w:r>
        <w:rPr>
          <w:rFonts w:ascii="Times New Roman"/>
        </w:rPr>
        <w:t>）</w:t>
      </w:r>
      <w:r>
        <w:rPr>
          <w:rFonts w:ascii="Times New Roman" w:hint="eastAsia"/>
        </w:rPr>
        <w:t>、红石湾矿井（</w:t>
      </w:r>
      <w:r>
        <w:rPr>
          <w:rFonts w:ascii="Times New Roman"/>
        </w:rPr>
        <w:t>0.6</w:t>
      </w:r>
      <w:r>
        <w:rPr>
          <w:rFonts w:ascii="Times New Roman" w:hint="eastAsia"/>
        </w:rPr>
        <w:t>Mt/a</w:t>
      </w:r>
      <w:r>
        <w:rPr>
          <w:rFonts w:ascii="Times New Roman"/>
        </w:rPr>
        <w:t>）</w:t>
      </w:r>
      <w:r>
        <w:rPr>
          <w:rFonts w:ascii="Times New Roman" w:hint="eastAsia"/>
        </w:rPr>
        <w:t>、丁家梁矿井（</w:t>
      </w:r>
      <w:r>
        <w:rPr>
          <w:rFonts w:ascii="Times New Roman"/>
        </w:rPr>
        <w:t>0.6</w:t>
      </w:r>
      <w:r>
        <w:rPr>
          <w:rFonts w:ascii="Times New Roman" w:hint="eastAsia"/>
        </w:rPr>
        <w:t>Mt/a</w:t>
      </w:r>
      <w:r>
        <w:rPr>
          <w:rFonts w:ascii="Times New Roman"/>
        </w:rPr>
        <w:t>）</w:t>
      </w:r>
      <w:r>
        <w:rPr>
          <w:rFonts w:ascii="Times New Roman" w:hint="eastAsia"/>
        </w:rPr>
        <w:t>。</w:t>
      </w:r>
    </w:p>
    <w:p w14:paraId="7FBAFC4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规划</w:t>
      </w:r>
      <w:r>
        <w:rPr>
          <w:rFonts w:ascii="Times New Roman"/>
        </w:rPr>
        <w:t>实施</w:t>
      </w:r>
      <w:r>
        <w:rPr>
          <w:rFonts w:ascii="Times New Roman" w:hint="eastAsia"/>
        </w:rPr>
        <w:t>至今，马莲台矿井（</w:t>
      </w:r>
      <w:r>
        <w:rPr>
          <w:rFonts w:ascii="Times New Roman"/>
        </w:rPr>
        <w:t>3.6</w:t>
      </w:r>
      <w:r>
        <w:rPr>
          <w:rFonts w:ascii="Times New Roman" w:hint="eastAsia"/>
        </w:rPr>
        <w:t>Mt/a</w:t>
      </w:r>
      <w:r>
        <w:rPr>
          <w:rFonts w:ascii="Times New Roman"/>
        </w:rPr>
        <w:t>）</w:t>
      </w:r>
      <w:r>
        <w:rPr>
          <w:rFonts w:ascii="Times New Roman" w:hint="eastAsia"/>
        </w:rPr>
        <w:t>、任家庄矿井及选煤厂（</w:t>
      </w:r>
      <w:r>
        <w:rPr>
          <w:rFonts w:ascii="Times New Roman"/>
        </w:rPr>
        <w:t>3.6</w:t>
      </w:r>
      <w:r>
        <w:rPr>
          <w:rFonts w:ascii="Times New Roman" w:hint="eastAsia"/>
        </w:rPr>
        <w:t>Mt/a</w:t>
      </w:r>
      <w:r>
        <w:rPr>
          <w:rFonts w:ascii="Times New Roman"/>
        </w:rPr>
        <w:t>）</w:t>
      </w:r>
      <w:r>
        <w:rPr>
          <w:rFonts w:ascii="Times New Roman" w:hint="eastAsia"/>
        </w:rPr>
        <w:t>、红石湾矿井及选煤厂（</w:t>
      </w:r>
      <w:r>
        <w:rPr>
          <w:rFonts w:ascii="Times New Roman"/>
        </w:rPr>
        <w:t>1.1</w:t>
      </w:r>
      <w:r>
        <w:rPr>
          <w:rFonts w:ascii="Times New Roman" w:hint="eastAsia"/>
        </w:rPr>
        <w:t>Mt/a</w:t>
      </w:r>
      <w:r>
        <w:rPr>
          <w:rFonts w:ascii="Times New Roman"/>
        </w:rPr>
        <w:t>）</w:t>
      </w:r>
      <w:r>
        <w:rPr>
          <w:rFonts w:ascii="Times New Roman" w:hint="eastAsia"/>
        </w:rPr>
        <w:t>已建成投产且规模变大，丁家梁矿井在建，目前处于停建状态。各矿投产时间及产能核增时间见表</w:t>
      </w:r>
      <w:r>
        <w:rPr>
          <w:rFonts w:ascii="Times New Roman" w:hint="eastAsia"/>
        </w:rPr>
        <w:t>4</w:t>
      </w:r>
      <w:r>
        <w:rPr>
          <w:rFonts w:ascii="Times New Roman"/>
        </w:rPr>
        <w:t>.1</w:t>
      </w:r>
      <w:r>
        <w:rPr>
          <w:rFonts w:ascii="Times New Roman" w:hint="eastAsia"/>
        </w:rPr>
        <w:t>-</w:t>
      </w:r>
      <w:r>
        <w:rPr>
          <w:rFonts w:ascii="Times New Roman"/>
        </w:rPr>
        <w:t>1</w:t>
      </w:r>
      <w:r>
        <w:rPr>
          <w:rFonts w:ascii="Times New Roman" w:hint="eastAsia"/>
        </w:rPr>
        <w:t>。</w:t>
      </w:r>
    </w:p>
    <w:p w14:paraId="436D364A" w14:textId="77777777" w:rsidR="009C353B" w:rsidRDefault="00000000">
      <w:pPr>
        <w:adjustRightInd w:val="0"/>
        <w:snapToGrid w:val="0"/>
        <w:spacing w:line="440" w:lineRule="exact"/>
        <w:jc w:val="center"/>
        <w:rPr>
          <w:rFonts w:ascii="Times New Roman" w:hAnsi="Times New Roman"/>
          <w:b/>
        </w:rPr>
      </w:pPr>
      <w:r>
        <w:rPr>
          <w:rFonts w:ascii="Times New Roman"/>
          <w:b/>
        </w:rPr>
        <w:t>矿区规划</w:t>
      </w:r>
      <w:r>
        <w:rPr>
          <w:rFonts w:ascii="Times New Roman" w:hint="eastAsia"/>
          <w:b/>
        </w:rPr>
        <w:t>各矿投产及产能核增时间</w:t>
      </w:r>
      <w:r>
        <w:rPr>
          <w:rFonts w:ascii="Times New Roman"/>
          <w:b/>
        </w:rPr>
        <w:t>一览表</w:t>
      </w:r>
    </w:p>
    <w:p w14:paraId="4FC89085" w14:textId="77777777" w:rsidR="009C353B" w:rsidRDefault="00000000">
      <w:pPr>
        <w:adjustRightInd w:val="0"/>
        <w:snapToGrid w:val="0"/>
        <w:spacing w:line="440" w:lineRule="exact"/>
        <w:outlineLvl w:val="4"/>
        <w:rPr>
          <w:rFonts w:ascii="Times New Roman" w:hAnsi="Times New Roman"/>
        </w:rPr>
      </w:pPr>
      <w:r>
        <w:rPr>
          <w:rFonts w:ascii="Times New Roman"/>
        </w:rPr>
        <w:t>表</w:t>
      </w:r>
      <w:r>
        <w:rPr>
          <w:rFonts w:ascii="Times New Roman" w:hAnsi="Times New Roman"/>
        </w:rPr>
        <w:t>4.</w:t>
      </w:r>
      <w:r>
        <w:rPr>
          <w:rFonts w:ascii="Times New Roman" w:hAnsi="Times New Roman" w:hint="eastAsia"/>
        </w:rPr>
        <w:t>1-1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94"/>
        <w:gridCol w:w="1345"/>
        <w:gridCol w:w="1337"/>
        <w:gridCol w:w="1984"/>
        <w:gridCol w:w="2127"/>
        <w:gridCol w:w="1898"/>
      </w:tblGrid>
      <w:tr w:rsidR="009C353B" w14:paraId="50672FBC" w14:textId="77777777">
        <w:trPr>
          <w:trHeight w:val="397"/>
          <w:tblHeader/>
          <w:jc w:val="center"/>
        </w:trPr>
        <w:tc>
          <w:tcPr>
            <w:tcW w:w="494" w:type="dxa"/>
            <w:vMerge w:val="restart"/>
            <w:vAlign w:val="center"/>
          </w:tcPr>
          <w:p w14:paraId="5C5D1DC6"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序号</w:t>
            </w:r>
          </w:p>
        </w:tc>
        <w:tc>
          <w:tcPr>
            <w:tcW w:w="1345" w:type="dxa"/>
            <w:vMerge w:val="restart"/>
            <w:vAlign w:val="center"/>
          </w:tcPr>
          <w:p w14:paraId="7B4C1E80"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项目</w:t>
            </w:r>
          </w:p>
        </w:tc>
        <w:tc>
          <w:tcPr>
            <w:tcW w:w="1337" w:type="dxa"/>
            <w:vMerge w:val="restart"/>
            <w:vAlign w:val="center"/>
          </w:tcPr>
          <w:p w14:paraId="323B121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开工时间</w:t>
            </w:r>
          </w:p>
        </w:tc>
        <w:tc>
          <w:tcPr>
            <w:tcW w:w="1984" w:type="dxa"/>
            <w:vMerge w:val="restart"/>
            <w:vAlign w:val="center"/>
          </w:tcPr>
          <w:p w14:paraId="1F31739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投产时间及规模</w:t>
            </w:r>
          </w:p>
        </w:tc>
        <w:tc>
          <w:tcPr>
            <w:tcW w:w="2127" w:type="dxa"/>
            <w:vMerge w:val="restart"/>
            <w:vAlign w:val="center"/>
          </w:tcPr>
          <w:p w14:paraId="472C3807"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产能核增时间及规模</w:t>
            </w:r>
          </w:p>
        </w:tc>
        <w:tc>
          <w:tcPr>
            <w:tcW w:w="1898" w:type="dxa"/>
            <w:vMerge w:val="restart"/>
            <w:vAlign w:val="center"/>
          </w:tcPr>
          <w:p w14:paraId="066E4C06"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备注</w:t>
            </w:r>
          </w:p>
        </w:tc>
      </w:tr>
      <w:tr w:rsidR="009C353B" w14:paraId="616C5F77" w14:textId="77777777">
        <w:trPr>
          <w:trHeight w:val="397"/>
          <w:tblHeader/>
          <w:jc w:val="center"/>
        </w:trPr>
        <w:tc>
          <w:tcPr>
            <w:tcW w:w="494" w:type="dxa"/>
            <w:vMerge/>
            <w:vAlign w:val="center"/>
          </w:tcPr>
          <w:p w14:paraId="219F29EC" w14:textId="77777777" w:rsidR="009C353B" w:rsidRDefault="009C353B">
            <w:pPr>
              <w:widowControl/>
              <w:adjustRightInd w:val="0"/>
              <w:snapToGrid w:val="0"/>
              <w:spacing w:line="240" w:lineRule="atLeast"/>
              <w:jc w:val="left"/>
              <w:rPr>
                <w:rFonts w:ascii="Times New Roman" w:hAnsi="Times New Roman"/>
                <w:kern w:val="0"/>
                <w:sz w:val="21"/>
                <w:szCs w:val="21"/>
              </w:rPr>
            </w:pPr>
          </w:p>
        </w:tc>
        <w:tc>
          <w:tcPr>
            <w:tcW w:w="1345" w:type="dxa"/>
            <w:vMerge/>
            <w:vAlign w:val="center"/>
          </w:tcPr>
          <w:p w14:paraId="7218086A" w14:textId="77777777" w:rsidR="009C353B" w:rsidRDefault="009C353B">
            <w:pPr>
              <w:widowControl/>
              <w:adjustRightInd w:val="0"/>
              <w:snapToGrid w:val="0"/>
              <w:spacing w:line="240" w:lineRule="atLeast"/>
              <w:jc w:val="left"/>
              <w:rPr>
                <w:rFonts w:ascii="Times New Roman" w:hAnsi="Times New Roman"/>
                <w:kern w:val="0"/>
                <w:sz w:val="21"/>
                <w:szCs w:val="21"/>
              </w:rPr>
            </w:pPr>
          </w:p>
        </w:tc>
        <w:tc>
          <w:tcPr>
            <w:tcW w:w="1337" w:type="dxa"/>
            <w:vMerge/>
            <w:vAlign w:val="center"/>
          </w:tcPr>
          <w:p w14:paraId="1F07C7DD"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984" w:type="dxa"/>
            <w:vMerge/>
            <w:vAlign w:val="center"/>
          </w:tcPr>
          <w:p w14:paraId="088B3EC8"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2127" w:type="dxa"/>
            <w:vMerge/>
            <w:vAlign w:val="center"/>
          </w:tcPr>
          <w:p w14:paraId="60F43BCC" w14:textId="77777777" w:rsidR="009C353B" w:rsidRDefault="009C353B">
            <w:pPr>
              <w:widowControl/>
              <w:adjustRightInd w:val="0"/>
              <w:snapToGrid w:val="0"/>
              <w:spacing w:line="240" w:lineRule="atLeast"/>
              <w:jc w:val="center"/>
              <w:rPr>
                <w:rFonts w:ascii="Times New Roman" w:hAnsi="Times New Roman"/>
                <w:kern w:val="0"/>
                <w:sz w:val="21"/>
                <w:szCs w:val="21"/>
              </w:rPr>
            </w:pPr>
          </w:p>
        </w:tc>
        <w:tc>
          <w:tcPr>
            <w:tcW w:w="1898" w:type="dxa"/>
            <w:vMerge/>
            <w:vAlign w:val="center"/>
          </w:tcPr>
          <w:p w14:paraId="14A6E358" w14:textId="77777777" w:rsidR="009C353B" w:rsidRDefault="009C353B">
            <w:pPr>
              <w:widowControl/>
              <w:adjustRightInd w:val="0"/>
              <w:snapToGrid w:val="0"/>
              <w:spacing w:line="240" w:lineRule="atLeast"/>
              <w:jc w:val="center"/>
              <w:rPr>
                <w:rFonts w:ascii="Times New Roman" w:hAnsi="Times New Roman"/>
                <w:kern w:val="0"/>
                <w:sz w:val="21"/>
                <w:szCs w:val="21"/>
              </w:rPr>
            </w:pPr>
          </w:p>
        </w:tc>
      </w:tr>
      <w:tr w:rsidR="009C353B" w14:paraId="67D7089A" w14:textId="77777777">
        <w:trPr>
          <w:trHeight w:val="397"/>
          <w:jc w:val="center"/>
        </w:trPr>
        <w:tc>
          <w:tcPr>
            <w:tcW w:w="494" w:type="dxa"/>
            <w:vAlign w:val="center"/>
          </w:tcPr>
          <w:p w14:paraId="1597306D"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p>
        </w:tc>
        <w:tc>
          <w:tcPr>
            <w:tcW w:w="1345" w:type="dxa"/>
            <w:vAlign w:val="center"/>
          </w:tcPr>
          <w:p w14:paraId="6429710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马莲台煤矿项目</w:t>
            </w:r>
          </w:p>
        </w:tc>
        <w:tc>
          <w:tcPr>
            <w:tcW w:w="1337" w:type="dxa"/>
            <w:vAlign w:val="center"/>
          </w:tcPr>
          <w:p w14:paraId="24E30D6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006</w:t>
            </w:r>
            <w:r>
              <w:rPr>
                <w:rFonts w:ascii="Times New Roman" w:hAnsi="Times New Roman" w:hint="eastAsia"/>
                <w:kern w:val="0"/>
                <w:sz w:val="21"/>
                <w:szCs w:val="21"/>
              </w:rPr>
              <w:t>年</w:t>
            </w:r>
          </w:p>
        </w:tc>
        <w:tc>
          <w:tcPr>
            <w:tcW w:w="1984" w:type="dxa"/>
            <w:vAlign w:val="center"/>
          </w:tcPr>
          <w:p w14:paraId="3586617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010</w:t>
            </w:r>
            <w:r>
              <w:rPr>
                <w:rFonts w:ascii="Times New Roman" w:hAnsi="Times New Roman" w:hint="eastAsia"/>
                <w:kern w:val="0"/>
                <w:sz w:val="21"/>
                <w:szCs w:val="21"/>
              </w:rPr>
              <w:t>年，</w:t>
            </w:r>
            <w:r>
              <w:rPr>
                <w:rFonts w:ascii="Times New Roman" w:hAnsi="Times New Roman" w:hint="eastAsia"/>
                <w:kern w:val="0"/>
                <w:sz w:val="21"/>
                <w:szCs w:val="21"/>
              </w:rPr>
              <w:t>2</w:t>
            </w:r>
            <w:r>
              <w:rPr>
                <w:rFonts w:ascii="Times New Roman" w:hAnsi="Times New Roman"/>
                <w:kern w:val="0"/>
                <w:sz w:val="21"/>
                <w:szCs w:val="21"/>
              </w:rPr>
              <w:t>.4</w:t>
            </w:r>
            <w:r>
              <w:rPr>
                <w:rFonts w:ascii="Times New Roman" w:hAnsi="Times New Roman" w:hint="eastAsia"/>
                <w:kern w:val="0"/>
                <w:sz w:val="21"/>
                <w:szCs w:val="21"/>
              </w:rPr>
              <w:t>Mt</w:t>
            </w:r>
            <w:r>
              <w:rPr>
                <w:rFonts w:ascii="Times New Roman" w:hAnsi="Times New Roman"/>
                <w:kern w:val="0"/>
                <w:sz w:val="21"/>
                <w:szCs w:val="21"/>
              </w:rPr>
              <w:t>/</w:t>
            </w:r>
            <w:r>
              <w:rPr>
                <w:rFonts w:ascii="Times New Roman" w:hAnsi="Times New Roman" w:hint="eastAsia"/>
                <w:kern w:val="0"/>
                <w:sz w:val="21"/>
                <w:szCs w:val="21"/>
              </w:rPr>
              <w:t>a</w:t>
            </w:r>
          </w:p>
        </w:tc>
        <w:tc>
          <w:tcPr>
            <w:tcW w:w="2127" w:type="dxa"/>
            <w:vAlign w:val="center"/>
          </w:tcPr>
          <w:p w14:paraId="7F56EB46"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016</w:t>
            </w:r>
            <w:r>
              <w:rPr>
                <w:rFonts w:ascii="Times New Roman" w:hAnsi="Times New Roman" w:hint="eastAsia"/>
                <w:kern w:val="0"/>
                <w:sz w:val="21"/>
                <w:szCs w:val="21"/>
              </w:rPr>
              <w:t>年，</w:t>
            </w:r>
            <w:r>
              <w:rPr>
                <w:rFonts w:ascii="Times New Roman" w:hAnsi="Times New Roman"/>
                <w:kern w:val="0"/>
                <w:sz w:val="21"/>
                <w:szCs w:val="21"/>
              </w:rPr>
              <w:t>3.6</w:t>
            </w:r>
            <w:r>
              <w:rPr>
                <w:rFonts w:ascii="Times New Roman" w:hAnsi="Times New Roman" w:hint="eastAsia"/>
                <w:kern w:val="0"/>
                <w:sz w:val="21"/>
                <w:szCs w:val="21"/>
              </w:rPr>
              <w:t>Mt</w:t>
            </w:r>
            <w:r>
              <w:rPr>
                <w:rFonts w:ascii="Times New Roman" w:hAnsi="Times New Roman"/>
                <w:kern w:val="0"/>
                <w:sz w:val="21"/>
                <w:szCs w:val="21"/>
              </w:rPr>
              <w:t>/</w:t>
            </w:r>
            <w:r>
              <w:rPr>
                <w:rFonts w:ascii="Times New Roman" w:hAnsi="Times New Roman" w:hint="eastAsia"/>
                <w:kern w:val="0"/>
                <w:sz w:val="21"/>
                <w:szCs w:val="21"/>
              </w:rPr>
              <w:t>a</w:t>
            </w:r>
          </w:p>
        </w:tc>
        <w:tc>
          <w:tcPr>
            <w:tcW w:w="1898" w:type="dxa"/>
            <w:vAlign w:val="center"/>
          </w:tcPr>
          <w:p w14:paraId="448CC7B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w:t>
            </w:r>
          </w:p>
        </w:tc>
      </w:tr>
      <w:tr w:rsidR="009C353B" w14:paraId="29E38475" w14:textId="77777777">
        <w:trPr>
          <w:trHeight w:val="397"/>
          <w:jc w:val="center"/>
        </w:trPr>
        <w:tc>
          <w:tcPr>
            <w:tcW w:w="494" w:type="dxa"/>
            <w:vAlign w:val="center"/>
          </w:tcPr>
          <w:p w14:paraId="3F71FA9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2</w:t>
            </w:r>
          </w:p>
        </w:tc>
        <w:tc>
          <w:tcPr>
            <w:tcW w:w="1345" w:type="dxa"/>
            <w:vAlign w:val="center"/>
          </w:tcPr>
          <w:p w14:paraId="12A6B23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任家庄煤矿项目</w:t>
            </w:r>
          </w:p>
        </w:tc>
        <w:tc>
          <w:tcPr>
            <w:tcW w:w="1337" w:type="dxa"/>
            <w:vAlign w:val="center"/>
          </w:tcPr>
          <w:p w14:paraId="200EE502"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006</w:t>
            </w:r>
            <w:r>
              <w:rPr>
                <w:rFonts w:ascii="Times New Roman" w:hAnsi="Times New Roman" w:hint="eastAsia"/>
                <w:kern w:val="0"/>
                <w:sz w:val="21"/>
                <w:szCs w:val="21"/>
              </w:rPr>
              <w:t>年</w:t>
            </w:r>
          </w:p>
        </w:tc>
        <w:tc>
          <w:tcPr>
            <w:tcW w:w="1984" w:type="dxa"/>
            <w:vAlign w:val="center"/>
          </w:tcPr>
          <w:p w14:paraId="7674441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009</w:t>
            </w:r>
            <w:r>
              <w:rPr>
                <w:rFonts w:ascii="Times New Roman" w:hAnsi="Times New Roman" w:hint="eastAsia"/>
                <w:kern w:val="0"/>
                <w:sz w:val="21"/>
                <w:szCs w:val="21"/>
              </w:rPr>
              <w:t>年，</w:t>
            </w:r>
            <w:r>
              <w:rPr>
                <w:rFonts w:ascii="Times New Roman" w:hAnsi="Times New Roman" w:hint="eastAsia"/>
                <w:kern w:val="0"/>
                <w:sz w:val="21"/>
                <w:szCs w:val="21"/>
              </w:rPr>
              <w:t>2</w:t>
            </w:r>
            <w:r>
              <w:rPr>
                <w:rFonts w:ascii="Times New Roman" w:hAnsi="Times New Roman"/>
                <w:kern w:val="0"/>
                <w:sz w:val="21"/>
                <w:szCs w:val="21"/>
              </w:rPr>
              <w:t>.4</w:t>
            </w:r>
            <w:r>
              <w:rPr>
                <w:rFonts w:ascii="Times New Roman" w:hAnsi="Times New Roman" w:hint="eastAsia"/>
                <w:kern w:val="0"/>
                <w:sz w:val="21"/>
                <w:szCs w:val="21"/>
              </w:rPr>
              <w:t>Mt</w:t>
            </w:r>
            <w:r>
              <w:rPr>
                <w:rFonts w:ascii="Times New Roman" w:hAnsi="Times New Roman"/>
                <w:kern w:val="0"/>
                <w:sz w:val="21"/>
                <w:szCs w:val="21"/>
              </w:rPr>
              <w:t>/</w:t>
            </w:r>
            <w:r>
              <w:rPr>
                <w:rFonts w:ascii="Times New Roman" w:hAnsi="Times New Roman" w:hint="eastAsia"/>
                <w:kern w:val="0"/>
                <w:sz w:val="21"/>
                <w:szCs w:val="21"/>
              </w:rPr>
              <w:t>a</w:t>
            </w:r>
          </w:p>
        </w:tc>
        <w:tc>
          <w:tcPr>
            <w:tcW w:w="2127" w:type="dxa"/>
            <w:vAlign w:val="center"/>
          </w:tcPr>
          <w:p w14:paraId="6564C8F8"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016</w:t>
            </w:r>
            <w:r>
              <w:rPr>
                <w:rFonts w:ascii="Times New Roman" w:hAnsi="Times New Roman" w:hint="eastAsia"/>
                <w:kern w:val="0"/>
                <w:sz w:val="21"/>
                <w:szCs w:val="21"/>
              </w:rPr>
              <w:t>年，</w:t>
            </w:r>
            <w:r>
              <w:rPr>
                <w:rFonts w:ascii="Times New Roman" w:hAnsi="Times New Roman"/>
                <w:kern w:val="0"/>
                <w:sz w:val="21"/>
                <w:szCs w:val="21"/>
              </w:rPr>
              <w:t>3.6</w:t>
            </w:r>
            <w:r>
              <w:rPr>
                <w:rFonts w:ascii="Times New Roman" w:hAnsi="Times New Roman" w:hint="eastAsia"/>
                <w:kern w:val="0"/>
                <w:sz w:val="21"/>
                <w:szCs w:val="21"/>
              </w:rPr>
              <w:t>Mt</w:t>
            </w:r>
            <w:r>
              <w:rPr>
                <w:rFonts w:ascii="Times New Roman" w:hAnsi="Times New Roman"/>
                <w:kern w:val="0"/>
                <w:sz w:val="21"/>
                <w:szCs w:val="21"/>
              </w:rPr>
              <w:t>/</w:t>
            </w:r>
            <w:r>
              <w:rPr>
                <w:rFonts w:ascii="Times New Roman" w:hAnsi="Times New Roman" w:hint="eastAsia"/>
                <w:kern w:val="0"/>
                <w:sz w:val="21"/>
                <w:szCs w:val="21"/>
              </w:rPr>
              <w:t>a</w:t>
            </w:r>
          </w:p>
        </w:tc>
        <w:tc>
          <w:tcPr>
            <w:tcW w:w="1898" w:type="dxa"/>
            <w:vAlign w:val="center"/>
          </w:tcPr>
          <w:p w14:paraId="667ECF4C"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w:t>
            </w:r>
          </w:p>
        </w:tc>
      </w:tr>
      <w:tr w:rsidR="009C353B" w14:paraId="67253E4E" w14:textId="77777777">
        <w:trPr>
          <w:trHeight w:val="397"/>
          <w:jc w:val="center"/>
        </w:trPr>
        <w:tc>
          <w:tcPr>
            <w:tcW w:w="494" w:type="dxa"/>
            <w:vAlign w:val="center"/>
          </w:tcPr>
          <w:p w14:paraId="185D3AEC"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3</w:t>
            </w:r>
          </w:p>
        </w:tc>
        <w:tc>
          <w:tcPr>
            <w:tcW w:w="1345" w:type="dxa"/>
            <w:vAlign w:val="center"/>
          </w:tcPr>
          <w:p w14:paraId="4BAA2EF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红石湾煤矿项目</w:t>
            </w:r>
          </w:p>
        </w:tc>
        <w:tc>
          <w:tcPr>
            <w:tcW w:w="1337" w:type="dxa"/>
            <w:vAlign w:val="center"/>
          </w:tcPr>
          <w:p w14:paraId="5AD8EBFC"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008</w:t>
            </w:r>
            <w:r>
              <w:rPr>
                <w:rFonts w:ascii="Times New Roman" w:hAnsi="Times New Roman" w:hint="eastAsia"/>
                <w:kern w:val="0"/>
                <w:sz w:val="21"/>
                <w:szCs w:val="21"/>
              </w:rPr>
              <w:t>年</w:t>
            </w:r>
          </w:p>
        </w:tc>
        <w:tc>
          <w:tcPr>
            <w:tcW w:w="1984" w:type="dxa"/>
            <w:vAlign w:val="center"/>
          </w:tcPr>
          <w:p w14:paraId="4EE2011B"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012</w:t>
            </w:r>
            <w:r>
              <w:rPr>
                <w:rFonts w:ascii="Times New Roman" w:hAnsi="Times New Roman" w:hint="eastAsia"/>
                <w:kern w:val="0"/>
                <w:sz w:val="21"/>
                <w:szCs w:val="21"/>
              </w:rPr>
              <w:t>年，</w:t>
            </w:r>
            <w:r>
              <w:rPr>
                <w:rFonts w:ascii="Times New Roman" w:hAnsi="Times New Roman"/>
                <w:kern w:val="0"/>
                <w:sz w:val="21"/>
                <w:szCs w:val="21"/>
              </w:rPr>
              <w:t>0.6</w:t>
            </w:r>
            <w:r>
              <w:rPr>
                <w:rFonts w:ascii="Times New Roman" w:hAnsi="Times New Roman" w:hint="eastAsia"/>
                <w:kern w:val="0"/>
                <w:sz w:val="21"/>
                <w:szCs w:val="21"/>
              </w:rPr>
              <w:t>Mt</w:t>
            </w:r>
            <w:r>
              <w:rPr>
                <w:rFonts w:ascii="Times New Roman" w:hAnsi="Times New Roman"/>
                <w:kern w:val="0"/>
                <w:sz w:val="21"/>
                <w:szCs w:val="21"/>
              </w:rPr>
              <w:t>/</w:t>
            </w:r>
            <w:r>
              <w:rPr>
                <w:rFonts w:ascii="Times New Roman" w:hAnsi="Times New Roman" w:hint="eastAsia"/>
                <w:kern w:val="0"/>
                <w:sz w:val="21"/>
                <w:szCs w:val="21"/>
              </w:rPr>
              <w:t>a</w:t>
            </w:r>
          </w:p>
        </w:tc>
        <w:tc>
          <w:tcPr>
            <w:tcW w:w="2127" w:type="dxa"/>
            <w:vAlign w:val="center"/>
          </w:tcPr>
          <w:p w14:paraId="4F514B7D"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020</w:t>
            </w:r>
            <w:r>
              <w:rPr>
                <w:rFonts w:ascii="Times New Roman" w:hAnsi="Times New Roman" w:hint="eastAsia"/>
                <w:kern w:val="0"/>
                <w:sz w:val="21"/>
                <w:szCs w:val="21"/>
              </w:rPr>
              <w:t>年，</w:t>
            </w:r>
            <w:r>
              <w:rPr>
                <w:rFonts w:ascii="Times New Roman" w:hAnsi="Times New Roman"/>
                <w:kern w:val="0"/>
                <w:sz w:val="21"/>
                <w:szCs w:val="21"/>
              </w:rPr>
              <w:t>1.1</w:t>
            </w:r>
            <w:r>
              <w:rPr>
                <w:rFonts w:ascii="Times New Roman" w:hAnsi="Times New Roman" w:hint="eastAsia"/>
                <w:kern w:val="0"/>
                <w:sz w:val="21"/>
                <w:szCs w:val="21"/>
              </w:rPr>
              <w:t>Mt</w:t>
            </w:r>
            <w:r>
              <w:rPr>
                <w:rFonts w:ascii="Times New Roman" w:hAnsi="Times New Roman"/>
                <w:kern w:val="0"/>
                <w:sz w:val="21"/>
                <w:szCs w:val="21"/>
              </w:rPr>
              <w:t>/</w:t>
            </w:r>
            <w:r>
              <w:rPr>
                <w:rFonts w:ascii="Times New Roman" w:hAnsi="Times New Roman" w:hint="eastAsia"/>
                <w:kern w:val="0"/>
                <w:sz w:val="21"/>
                <w:szCs w:val="21"/>
              </w:rPr>
              <w:t>a</w:t>
            </w:r>
          </w:p>
        </w:tc>
        <w:tc>
          <w:tcPr>
            <w:tcW w:w="1898" w:type="dxa"/>
            <w:vAlign w:val="center"/>
          </w:tcPr>
          <w:p w14:paraId="7CC9DCB6"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产能核增环评文件已编制完成，正在进行评审程序</w:t>
            </w:r>
          </w:p>
        </w:tc>
      </w:tr>
      <w:tr w:rsidR="009C353B" w14:paraId="7A657021" w14:textId="77777777">
        <w:trPr>
          <w:trHeight w:val="397"/>
          <w:jc w:val="center"/>
        </w:trPr>
        <w:tc>
          <w:tcPr>
            <w:tcW w:w="494" w:type="dxa"/>
            <w:vAlign w:val="center"/>
          </w:tcPr>
          <w:p w14:paraId="1AD430D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4</w:t>
            </w:r>
          </w:p>
        </w:tc>
        <w:tc>
          <w:tcPr>
            <w:tcW w:w="1345" w:type="dxa"/>
            <w:vAlign w:val="center"/>
          </w:tcPr>
          <w:p w14:paraId="5962A7A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丁家梁煤矿</w:t>
            </w:r>
            <w:r>
              <w:rPr>
                <w:rFonts w:ascii="Times New Roman" w:hAnsi="Times New Roman"/>
                <w:kern w:val="0"/>
                <w:sz w:val="21"/>
                <w:szCs w:val="21"/>
              </w:rPr>
              <w:t>项目</w:t>
            </w:r>
          </w:p>
        </w:tc>
        <w:tc>
          <w:tcPr>
            <w:tcW w:w="1337" w:type="dxa"/>
            <w:vAlign w:val="center"/>
          </w:tcPr>
          <w:p w14:paraId="38C5D18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012</w:t>
            </w:r>
            <w:r>
              <w:rPr>
                <w:rFonts w:ascii="Times New Roman" w:hAnsi="Times New Roman" w:hint="eastAsia"/>
                <w:kern w:val="0"/>
                <w:sz w:val="21"/>
                <w:szCs w:val="21"/>
              </w:rPr>
              <w:t>年</w:t>
            </w:r>
          </w:p>
        </w:tc>
        <w:tc>
          <w:tcPr>
            <w:tcW w:w="1984" w:type="dxa"/>
            <w:vAlign w:val="center"/>
          </w:tcPr>
          <w:p w14:paraId="18044CE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在建（停工），尚未投产</w:t>
            </w:r>
          </w:p>
        </w:tc>
        <w:tc>
          <w:tcPr>
            <w:tcW w:w="2127" w:type="dxa"/>
            <w:vAlign w:val="center"/>
          </w:tcPr>
          <w:p w14:paraId="78066B51"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w:t>
            </w:r>
          </w:p>
        </w:tc>
        <w:tc>
          <w:tcPr>
            <w:tcW w:w="1898" w:type="dxa"/>
            <w:vAlign w:val="center"/>
          </w:tcPr>
          <w:p w14:paraId="294FEDE0"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w:t>
            </w:r>
          </w:p>
        </w:tc>
      </w:tr>
    </w:tbl>
    <w:p w14:paraId="208BA650"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4.</w:t>
      </w:r>
      <w:r>
        <w:rPr>
          <w:rFonts w:ascii="Times New Roman" w:hAnsi="Times New Roman" w:hint="eastAsia"/>
          <w:sz w:val="24"/>
        </w:rPr>
        <w:t>1</w:t>
      </w:r>
      <w:r>
        <w:rPr>
          <w:rFonts w:ascii="Times New Roman" w:hAnsi="Times New Roman"/>
          <w:sz w:val="24"/>
        </w:rPr>
        <w:t>.</w:t>
      </w:r>
      <w:r>
        <w:rPr>
          <w:rFonts w:ascii="Times New Roman" w:hAnsi="Times New Roman" w:hint="eastAsia"/>
          <w:sz w:val="24"/>
        </w:rPr>
        <w:t>2</w:t>
      </w:r>
      <w:r>
        <w:rPr>
          <w:rFonts w:ascii="Times New Roman" w:hAnsi="Times New Roman"/>
          <w:sz w:val="24"/>
        </w:rPr>
        <w:t xml:space="preserve"> </w:t>
      </w:r>
      <w:r>
        <w:rPr>
          <w:rFonts w:ascii="Times New Roman" w:hAnsi="Times New Roman"/>
          <w:sz w:val="24"/>
        </w:rPr>
        <w:t>企业</w:t>
      </w:r>
      <w:r>
        <w:rPr>
          <w:rFonts w:ascii="Times New Roman" w:hAnsi="Times New Roman"/>
          <w:sz w:val="24"/>
        </w:rPr>
        <w:t>”</w:t>
      </w:r>
      <w:r>
        <w:rPr>
          <w:rFonts w:ascii="Times New Roman" w:hAnsi="Times New Roman"/>
          <w:sz w:val="24"/>
        </w:rPr>
        <w:t>三同时</w:t>
      </w:r>
      <w:r>
        <w:rPr>
          <w:rFonts w:ascii="Times New Roman" w:hAnsi="Times New Roman"/>
          <w:sz w:val="24"/>
        </w:rPr>
        <w:t>”</w:t>
      </w:r>
      <w:r>
        <w:rPr>
          <w:rFonts w:ascii="Times New Roman" w:hAnsi="Times New Roman"/>
          <w:sz w:val="24"/>
        </w:rPr>
        <w:t>执行情况</w:t>
      </w:r>
    </w:p>
    <w:p w14:paraId="28781C83" w14:textId="77777777" w:rsidR="009C353B" w:rsidRDefault="00000000">
      <w:pPr>
        <w:adjustRightInd w:val="0"/>
        <w:snapToGrid w:val="0"/>
        <w:spacing w:line="440" w:lineRule="exact"/>
        <w:ind w:firstLineChars="200" w:firstLine="480"/>
        <w:rPr>
          <w:rFonts w:ascii="Times New Roman" w:hint="eastAsia"/>
        </w:rPr>
      </w:pPr>
      <w:r>
        <w:rPr>
          <w:rFonts w:ascii="Times New Roman"/>
        </w:rPr>
        <w:t>横城矿区</w:t>
      </w:r>
      <w:r>
        <w:rPr>
          <w:rFonts w:ascii="Times New Roman" w:hint="eastAsia"/>
        </w:rPr>
        <w:t>各</w:t>
      </w:r>
      <w:r>
        <w:rPr>
          <w:rFonts w:ascii="Times New Roman"/>
        </w:rPr>
        <w:t>矿井均严格执行了《中华人民共和国环境影响评价法》、《建设项目环境保护管理条例》、《建设项目竣工环境保护验收管理办法》等环保法律法规，</w:t>
      </w:r>
      <w:r>
        <w:rPr>
          <w:rFonts w:ascii="Times New Roman" w:hint="eastAsia"/>
        </w:rPr>
        <w:t>马莲台</w:t>
      </w:r>
      <w:r>
        <w:rPr>
          <w:rFonts w:ascii="Times New Roman" w:hAnsi="Times New Roman" w:hint="eastAsia"/>
        </w:rPr>
        <w:t>煤矿</w:t>
      </w:r>
      <w:r>
        <w:rPr>
          <w:rFonts w:ascii="Times New Roman" w:hint="eastAsia"/>
        </w:rPr>
        <w:t>、任家庄</w:t>
      </w:r>
      <w:r>
        <w:rPr>
          <w:rFonts w:ascii="Times New Roman" w:hAnsi="Times New Roman" w:hint="eastAsia"/>
        </w:rPr>
        <w:t>煤矿</w:t>
      </w:r>
      <w:r>
        <w:rPr>
          <w:rFonts w:ascii="Times New Roman" w:hint="eastAsia"/>
        </w:rPr>
        <w:t>、红石湾</w:t>
      </w:r>
      <w:r>
        <w:rPr>
          <w:rFonts w:ascii="Times New Roman" w:hAnsi="Times New Roman" w:hint="eastAsia"/>
        </w:rPr>
        <w:t>煤矿建设</w:t>
      </w:r>
      <w:r>
        <w:rPr>
          <w:rFonts w:ascii="Times New Roman"/>
        </w:rPr>
        <w:t>项目</w:t>
      </w:r>
      <w:r>
        <w:rPr>
          <w:rFonts w:ascii="Times New Roman" w:hint="eastAsia"/>
        </w:rPr>
        <w:t>均</w:t>
      </w:r>
      <w:r>
        <w:rPr>
          <w:rFonts w:ascii="Times New Roman"/>
        </w:rPr>
        <w:t>依法编制了环境影响评价文件，执行了环保</w:t>
      </w:r>
      <w:r>
        <w:rPr>
          <w:rFonts w:ascii="Times New Roman" w:hAnsi="Times New Roman"/>
        </w:rPr>
        <w:t>“</w:t>
      </w:r>
      <w:r>
        <w:rPr>
          <w:rFonts w:ascii="Times New Roman"/>
        </w:rPr>
        <w:t>三同时</w:t>
      </w:r>
      <w:r>
        <w:rPr>
          <w:rFonts w:ascii="Times New Roman" w:hAnsi="Times New Roman"/>
        </w:rPr>
        <w:t>”</w:t>
      </w:r>
      <w:r>
        <w:rPr>
          <w:rFonts w:ascii="Times New Roman"/>
        </w:rPr>
        <w:t>制度，并通过了各级环保管理部门的</w:t>
      </w:r>
      <w:r>
        <w:rPr>
          <w:rFonts w:ascii="Times New Roman" w:hAnsi="Times New Roman"/>
        </w:rPr>
        <w:t>“</w:t>
      </w:r>
      <w:r>
        <w:rPr>
          <w:rFonts w:ascii="Times New Roman"/>
        </w:rPr>
        <w:t>三同时</w:t>
      </w:r>
      <w:r>
        <w:rPr>
          <w:rFonts w:ascii="Times New Roman" w:hAnsi="Times New Roman"/>
        </w:rPr>
        <w:t>”</w:t>
      </w:r>
      <w:r>
        <w:rPr>
          <w:rFonts w:ascii="Times New Roman"/>
        </w:rPr>
        <w:t>验收。各矿产能核增后</w:t>
      </w:r>
      <w:r>
        <w:rPr>
          <w:rFonts w:ascii="Times New Roman" w:hint="eastAsia"/>
        </w:rPr>
        <w:t>，按照宁夏回族自治区《自治区人民政府办公厅关于印发清理整顿环保违规建设项目工作方案的通知》（宁办政发〔</w:t>
      </w:r>
      <w:r>
        <w:rPr>
          <w:rFonts w:ascii="Times New Roman"/>
        </w:rPr>
        <w:t>2016</w:t>
      </w:r>
      <w:r>
        <w:rPr>
          <w:rFonts w:ascii="Times New Roman"/>
        </w:rPr>
        <w:t>〕</w:t>
      </w:r>
      <w:r>
        <w:rPr>
          <w:rFonts w:ascii="Times New Roman"/>
        </w:rPr>
        <w:t>29</w:t>
      </w:r>
      <w:r>
        <w:rPr>
          <w:rFonts w:ascii="Times New Roman" w:hint="eastAsia"/>
        </w:rPr>
        <w:t>号）文件要求，马莲台</w:t>
      </w:r>
      <w:r>
        <w:rPr>
          <w:rFonts w:ascii="Times New Roman" w:hAnsi="Times New Roman" w:hint="eastAsia"/>
        </w:rPr>
        <w:t>煤矿</w:t>
      </w:r>
      <w:r>
        <w:rPr>
          <w:rFonts w:ascii="Times New Roman" w:hint="eastAsia"/>
        </w:rPr>
        <w:t>、任家庄</w:t>
      </w:r>
      <w:r>
        <w:rPr>
          <w:rFonts w:ascii="Times New Roman" w:hAnsi="Times New Roman" w:hint="eastAsia"/>
        </w:rPr>
        <w:t>煤矿</w:t>
      </w:r>
      <w:r>
        <w:rPr>
          <w:rFonts w:ascii="Times New Roman" w:hint="eastAsia"/>
        </w:rPr>
        <w:t>、红石湾</w:t>
      </w:r>
      <w:r>
        <w:rPr>
          <w:rFonts w:ascii="Times New Roman" w:hAnsi="Times New Roman" w:hint="eastAsia"/>
        </w:rPr>
        <w:t>煤矿产能核增</w:t>
      </w:r>
      <w:r>
        <w:rPr>
          <w:rFonts w:ascii="Times New Roman"/>
        </w:rPr>
        <w:t>项目</w:t>
      </w:r>
      <w:r>
        <w:rPr>
          <w:rFonts w:ascii="Times New Roman" w:hint="eastAsia"/>
        </w:rPr>
        <w:t>分别编制完成《现状环境影响评估报告》并完成在宁夏回族自治区环境保护厅的备案。</w:t>
      </w:r>
      <w:r>
        <w:rPr>
          <w:rFonts w:ascii="Times New Roman" w:hAnsi="Times New Roman" w:hint="eastAsia"/>
        </w:rPr>
        <w:t>丁家梁煤矿</w:t>
      </w:r>
      <w:r>
        <w:rPr>
          <w:rFonts w:ascii="Times New Roman"/>
        </w:rPr>
        <w:t>项目依法编制了环境影响评价文件</w:t>
      </w:r>
      <w:r>
        <w:rPr>
          <w:rFonts w:ascii="Times New Roman" w:hint="eastAsia"/>
        </w:rPr>
        <w:t>，并通过评审取得批复，目前正在建设中。</w:t>
      </w:r>
    </w:p>
    <w:p w14:paraId="22EA9214" w14:textId="77777777" w:rsidR="009C353B" w:rsidRDefault="00000000">
      <w:pPr>
        <w:adjustRightInd w:val="0"/>
        <w:snapToGrid w:val="0"/>
        <w:spacing w:line="440" w:lineRule="exact"/>
        <w:ind w:firstLineChars="200" w:firstLine="480"/>
        <w:rPr>
          <w:rFonts w:ascii="Times New Roman" w:hint="eastAsia"/>
        </w:rPr>
      </w:pPr>
      <w:r>
        <w:rPr>
          <w:rFonts w:ascii="Times New Roman"/>
        </w:rPr>
        <w:t>横城矿区</w:t>
      </w:r>
      <w:r>
        <w:rPr>
          <w:rFonts w:ascii="Times New Roman" w:hint="eastAsia"/>
        </w:rPr>
        <w:t>规划</w:t>
      </w:r>
      <w:r>
        <w:rPr>
          <w:rFonts w:ascii="Times New Roman"/>
        </w:rPr>
        <w:t>项目环境影响评价及竣工环境保护验收情况见表</w:t>
      </w:r>
      <w:r>
        <w:rPr>
          <w:rFonts w:ascii="Times New Roman" w:hAnsi="Times New Roman"/>
        </w:rPr>
        <w:t>4.</w:t>
      </w:r>
      <w:r>
        <w:rPr>
          <w:rFonts w:ascii="Times New Roman" w:hAnsi="Times New Roman" w:hint="eastAsia"/>
        </w:rPr>
        <w:t>1</w:t>
      </w:r>
      <w:r>
        <w:rPr>
          <w:rFonts w:ascii="Times New Roman" w:hAnsi="Times New Roman"/>
        </w:rPr>
        <w:t>-2</w:t>
      </w:r>
      <w:r>
        <w:rPr>
          <w:rFonts w:ascii="Times New Roman"/>
        </w:rPr>
        <w:t>。</w:t>
      </w:r>
    </w:p>
    <w:p w14:paraId="1BF2BD7E" w14:textId="77777777" w:rsidR="009C353B" w:rsidRDefault="00000000">
      <w:pPr>
        <w:adjustRightInd w:val="0"/>
        <w:snapToGrid w:val="0"/>
        <w:spacing w:line="440" w:lineRule="exact"/>
        <w:jc w:val="center"/>
        <w:rPr>
          <w:rFonts w:ascii="Times New Roman" w:hAnsi="Times New Roman"/>
          <w:b/>
        </w:rPr>
      </w:pPr>
      <w:r>
        <w:rPr>
          <w:rFonts w:ascii="Times New Roman"/>
          <w:b/>
        </w:rPr>
        <w:t>矿区规划</w:t>
      </w:r>
      <w:r>
        <w:rPr>
          <w:rFonts w:ascii="Times New Roman" w:hint="eastAsia"/>
          <w:b/>
        </w:rPr>
        <w:t>项目环评</w:t>
      </w:r>
      <w:r>
        <w:rPr>
          <w:rFonts w:ascii="Times New Roman"/>
          <w:b/>
        </w:rPr>
        <w:t>及验收情况一览表</w:t>
      </w:r>
    </w:p>
    <w:p w14:paraId="4A5C5567" w14:textId="77777777" w:rsidR="009C353B" w:rsidRDefault="00000000">
      <w:pPr>
        <w:adjustRightInd w:val="0"/>
        <w:snapToGrid w:val="0"/>
        <w:spacing w:line="440" w:lineRule="exact"/>
        <w:outlineLvl w:val="4"/>
        <w:rPr>
          <w:rFonts w:ascii="Times New Roman" w:hAnsi="Times New Roman"/>
        </w:rPr>
      </w:pPr>
      <w:r>
        <w:rPr>
          <w:rFonts w:ascii="Times New Roman"/>
        </w:rPr>
        <w:t>表</w:t>
      </w:r>
      <w:r>
        <w:rPr>
          <w:rFonts w:ascii="Times New Roman" w:hAnsi="Times New Roman"/>
        </w:rPr>
        <w:t>4.</w:t>
      </w:r>
      <w:r>
        <w:rPr>
          <w:rFonts w:ascii="Times New Roman" w:hAnsi="Times New Roman" w:hint="eastAsia"/>
        </w:rPr>
        <w:t>1-</w:t>
      </w:r>
      <w:r>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4"/>
        <w:gridCol w:w="1154"/>
        <w:gridCol w:w="1292"/>
        <w:gridCol w:w="1437"/>
        <w:gridCol w:w="1293"/>
        <w:gridCol w:w="1292"/>
        <w:gridCol w:w="1096"/>
        <w:gridCol w:w="1197"/>
      </w:tblGrid>
      <w:tr w:rsidR="009C353B" w14:paraId="48B50C39" w14:textId="77777777">
        <w:trPr>
          <w:trHeight w:val="397"/>
          <w:tblHeader/>
        </w:trPr>
        <w:tc>
          <w:tcPr>
            <w:tcW w:w="424" w:type="dxa"/>
            <w:vMerge w:val="restart"/>
            <w:vAlign w:val="center"/>
          </w:tcPr>
          <w:p w14:paraId="534526F6"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序号</w:t>
            </w:r>
          </w:p>
        </w:tc>
        <w:tc>
          <w:tcPr>
            <w:tcW w:w="1154" w:type="dxa"/>
            <w:vMerge w:val="restart"/>
            <w:vAlign w:val="center"/>
          </w:tcPr>
          <w:p w14:paraId="1EF47D5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项目</w:t>
            </w:r>
          </w:p>
        </w:tc>
        <w:tc>
          <w:tcPr>
            <w:tcW w:w="2729" w:type="dxa"/>
            <w:gridSpan w:val="2"/>
            <w:vAlign w:val="center"/>
          </w:tcPr>
          <w:p w14:paraId="2479418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环境影响评价</w:t>
            </w:r>
          </w:p>
        </w:tc>
        <w:tc>
          <w:tcPr>
            <w:tcW w:w="2585" w:type="dxa"/>
            <w:gridSpan w:val="2"/>
            <w:vAlign w:val="center"/>
          </w:tcPr>
          <w:p w14:paraId="5AD2D5F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竣工环保验收</w:t>
            </w:r>
          </w:p>
        </w:tc>
        <w:tc>
          <w:tcPr>
            <w:tcW w:w="2293" w:type="dxa"/>
            <w:gridSpan w:val="2"/>
            <w:vAlign w:val="center"/>
          </w:tcPr>
          <w:p w14:paraId="65675858"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产能核增环评</w:t>
            </w:r>
          </w:p>
        </w:tc>
      </w:tr>
      <w:tr w:rsidR="009C353B" w14:paraId="295C751D" w14:textId="77777777">
        <w:trPr>
          <w:trHeight w:val="397"/>
          <w:tblHeader/>
        </w:trPr>
        <w:tc>
          <w:tcPr>
            <w:tcW w:w="424" w:type="dxa"/>
            <w:vMerge/>
            <w:vAlign w:val="center"/>
          </w:tcPr>
          <w:p w14:paraId="64A2C1E5" w14:textId="77777777" w:rsidR="009C353B" w:rsidRDefault="009C353B">
            <w:pPr>
              <w:widowControl/>
              <w:adjustRightInd w:val="0"/>
              <w:snapToGrid w:val="0"/>
              <w:spacing w:line="240" w:lineRule="atLeast"/>
              <w:jc w:val="left"/>
              <w:rPr>
                <w:rFonts w:ascii="Times New Roman" w:hAnsi="Times New Roman"/>
                <w:kern w:val="0"/>
                <w:sz w:val="21"/>
                <w:szCs w:val="21"/>
              </w:rPr>
            </w:pPr>
          </w:p>
        </w:tc>
        <w:tc>
          <w:tcPr>
            <w:tcW w:w="1154" w:type="dxa"/>
            <w:vMerge/>
            <w:vAlign w:val="center"/>
          </w:tcPr>
          <w:p w14:paraId="52F54A34" w14:textId="77777777" w:rsidR="009C353B" w:rsidRDefault="009C353B">
            <w:pPr>
              <w:widowControl/>
              <w:adjustRightInd w:val="0"/>
              <w:snapToGrid w:val="0"/>
              <w:spacing w:line="240" w:lineRule="atLeast"/>
              <w:jc w:val="left"/>
              <w:rPr>
                <w:rFonts w:ascii="Times New Roman" w:hAnsi="Times New Roman"/>
                <w:kern w:val="0"/>
                <w:sz w:val="21"/>
                <w:szCs w:val="21"/>
              </w:rPr>
            </w:pPr>
          </w:p>
        </w:tc>
        <w:tc>
          <w:tcPr>
            <w:tcW w:w="1292" w:type="dxa"/>
            <w:vAlign w:val="center"/>
          </w:tcPr>
          <w:p w14:paraId="272C88D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审批单位</w:t>
            </w:r>
          </w:p>
        </w:tc>
        <w:tc>
          <w:tcPr>
            <w:tcW w:w="1437" w:type="dxa"/>
            <w:vAlign w:val="center"/>
          </w:tcPr>
          <w:p w14:paraId="728A01FB"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文号</w:t>
            </w:r>
          </w:p>
        </w:tc>
        <w:tc>
          <w:tcPr>
            <w:tcW w:w="1293" w:type="dxa"/>
            <w:vAlign w:val="center"/>
          </w:tcPr>
          <w:p w14:paraId="337AF9A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审批单位</w:t>
            </w:r>
          </w:p>
        </w:tc>
        <w:tc>
          <w:tcPr>
            <w:tcW w:w="1292" w:type="dxa"/>
            <w:vAlign w:val="center"/>
          </w:tcPr>
          <w:p w14:paraId="0FC7BB02"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文号</w:t>
            </w:r>
          </w:p>
        </w:tc>
        <w:tc>
          <w:tcPr>
            <w:tcW w:w="1096" w:type="dxa"/>
            <w:vAlign w:val="center"/>
          </w:tcPr>
          <w:p w14:paraId="7C5DF89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审批单位</w:t>
            </w:r>
          </w:p>
        </w:tc>
        <w:tc>
          <w:tcPr>
            <w:tcW w:w="1197" w:type="dxa"/>
            <w:vAlign w:val="center"/>
          </w:tcPr>
          <w:p w14:paraId="3C15BF66"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文号</w:t>
            </w:r>
          </w:p>
        </w:tc>
      </w:tr>
      <w:tr w:rsidR="009C353B" w14:paraId="35933B32" w14:textId="77777777">
        <w:trPr>
          <w:trHeight w:val="397"/>
        </w:trPr>
        <w:tc>
          <w:tcPr>
            <w:tcW w:w="424" w:type="dxa"/>
            <w:vAlign w:val="center"/>
          </w:tcPr>
          <w:p w14:paraId="5B0590D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w:t>
            </w:r>
          </w:p>
        </w:tc>
        <w:tc>
          <w:tcPr>
            <w:tcW w:w="1154" w:type="dxa"/>
            <w:vAlign w:val="center"/>
          </w:tcPr>
          <w:p w14:paraId="7F92172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马莲台煤矿项目</w:t>
            </w:r>
          </w:p>
        </w:tc>
        <w:tc>
          <w:tcPr>
            <w:tcW w:w="1292" w:type="dxa"/>
            <w:vAlign w:val="center"/>
          </w:tcPr>
          <w:p w14:paraId="228F93A8"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原国家环境保护总局</w:t>
            </w:r>
          </w:p>
        </w:tc>
        <w:tc>
          <w:tcPr>
            <w:tcW w:w="1437" w:type="dxa"/>
            <w:vAlign w:val="center"/>
          </w:tcPr>
          <w:p w14:paraId="79204EFF"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环</w:t>
            </w:r>
            <w:r>
              <w:rPr>
                <w:rFonts w:ascii="Times New Roman" w:hAnsi="Times New Roman" w:hint="eastAsia"/>
                <w:kern w:val="0"/>
                <w:sz w:val="21"/>
                <w:szCs w:val="21"/>
              </w:rPr>
              <w:t>审</w:t>
            </w:r>
          </w:p>
          <w:p w14:paraId="67838AF7"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kern w:val="0"/>
                <w:sz w:val="21"/>
                <w:szCs w:val="21"/>
              </w:rPr>
              <w:t>2006</w:t>
            </w:r>
            <w:r>
              <w:rPr>
                <w:rFonts w:ascii="Times New Roman" w:hAnsi="Times New Roman"/>
                <w:kern w:val="0"/>
                <w:sz w:val="21"/>
                <w:szCs w:val="21"/>
              </w:rPr>
              <w:t>〕</w:t>
            </w:r>
            <w:r>
              <w:rPr>
                <w:rFonts w:ascii="Times New Roman" w:hAnsi="Times New Roman"/>
                <w:kern w:val="0"/>
                <w:sz w:val="21"/>
                <w:szCs w:val="21"/>
              </w:rPr>
              <w:t>180</w:t>
            </w:r>
            <w:r>
              <w:rPr>
                <w:rFonts w:ascii="Times New Roman" w:hAnsi="Times New Roman"/>
                <w:kern w:val="0"/>
                <w:sz w:val="21"/>
                <w:szCs w:val="21"/>
              </w:rPr>
              <w:t>号</w:t>
            </w:r>
          </w:p>
        </w:tc>
        <w:tc>
          <w:tcPr>
            <w:tcW w:w="1293" w:type="dxa"/>
            <w:vAlign w:val="center"/>
          </w:tcPr>
          <w:p w14:paraId="3C770929"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原环境保护</w:t>
            </w:r>
            <w:r>
              <w:rPr>
                <w:rFonts w:ascii="Times New Roman" w:hAnsi="Times New Roman" w:hint="eastAsia"/>
                <w:kern w:val="0"/>
                <w:sz w:val="21"/>
                <w:szCs w:val="21"/>
              </w:rPr>
              <w:t>部</w:t>
            </w:r>
          </w:p>
        </w:tc>
        <w:tc>
          <w:tcPr>
            <w:tcW w:w="1292" w:type="dxa"/>
            <w:vAlign w:val="center"/>
          </w:tcPr>
          <w:p w14:paraId="3DA74528"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环验</w:t>
            </w:r>
          </w:p>
          <w:p w14:paraId="5514F28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kern w:val="0"/>
                <w:sz w:val="21"/>
                <w:szCs w:val="21"/>
              </w:rPr>
              <w:t>2010</w:t>
            </w:r>
            <w:r>
              <w:rPr>
                <w:rFonts w:ascii="Times New Roman" w:hAnsi="Times New Roman"/>
                <w:kern w:val="0"/>
                <w:sz w:val="21"/>
                <w:szCs w:val="21"/>
              </w:rPr>
              <w:t>〕</w:t>
            </w:r>
            <w:r>
              <w:rPr>
                <w:rFonts w:ascii="Times New Roman" w:hAnsi="Times New Roman"/>
                <w:kern w:val="0"/>
                <w:sz w:val="21"/>
                <w:szCs w:val="21"/>
              </w:rPr>
              <w:t>26</w:t>
            </w:r>
            <w:r>
              <w:rPr>
                <w:rFonts w:ascii="Times New Roman" w:hAnsi="Times New Roman"/>
                <w:kern w:val="0"/>
                <w:sz w:val="21"/>
                <w:szCs w:val="21"/>
              </w:rPr>
              <w:t>号</w:t>
            </w:r>
          </w:p>
        </w:tc>
        <w:tc>
          <w:tcPr>
            <w:tcW w:w="1096" w:type="dxa"/>
            <w:vAlign w:val="center"/>
          </w:tcPr>
          <w:p w14:paraId="1FA86368"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原</w:t>
            </w:r>
            <w:r>
              <w:rPr>
                <w:rFonts w:ascii="Times New Roman" w:hAnsi="Times New Roman" w:hint="eastAsia"/>
                <w:kern w:val="0"/>
                <w:sz w:val="21"/>
                <w:szCs w:val="21"/>
              </w:rPr>
              <w:t>宁夏回族自治区环境保护厅</w:t>
            </w:r>
          </w:p>
        </w:tc>
        <w:tc>
          <w:tcPr>
            <w:tcW w:w="1197" w:type="dxa"/>
            <w:vAlign w:val="center"/>
          </w:tcPr>
          <w:p w14:paraId="19FA622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宁环函〔</w:t>
            </w:r>
            <w:r>
              <w:rPr>
                <w:rFonts w:ascii="Times New Roman" w:hAnsi="Times New Roman" w:hint="eastAsia"/>
                <w:kern w:val="0"/>
                <w:sz w:val="21"/>
                <w:szCs w:val="21"/>
              </w:rPr>
              <w:t>201</w:t>
            </w:r>
            <w:r>
              <w:rPr>
                <w:rFonts w:ascii="Times New Roman" w:hAnsi="Times New Roman"/>
                <w:kern w:val="0"/>
                <w:sz w:val="21"/>
                <w:szCs w:val="21"/>
              </w:rPr>
              <w:t>6</w:t>
            </w:r>
            <w:r>
              <w:rPr>
                <w:rFonts w:ascii="Times New Roman" w:hAnsi="Times New Roman" w:hint="eastAsia"/>
                <w:kern w:val="0"/>
                <w:sz w:val="21"/>
                <w:szCs w:val="21"/>
              </w:rPr>
              <w:t>〕</w:t>
            </w:r>
            <w:r>
              <w:rPr>
                <w:rFonts w:ascii="Times New Roman" w:hAnsi="Times New Roman"/>
                <w:kern w:val="0"/>
                <w:sz w:val="21"/>
                <w:szCs w:val="21"/>
              </w:rPr>
              <w:t>136</w:t>
            </w:r>
            <w:r>
              <w:rPr>
                <w:rFonts w:ascii="Times New Roman" w:hAnsi="Times New Roman" w:hint="eastAsia"/>
                <w:kern w:val="0"/>
                <w:sz w:val="21"/>
                <w:szCs w:val="21"/>
              </w:rPr>
              <w:t>号</w:t>
            </w:r>
          </w:p>
        </w:tc>
      </w:tr>
      <w:tr w:rsidR="009C353B" w14:paraId="1D504C60" w14:textId="77777777">
        <w:trPr>
          <w:trHeight w:val="397"/>
        </w:trPr>
        <w:tc>
          <w:tcPr>
            <w:tcW w:w="424" w:type="dxa"/>
            <w:vAlign w:val="center"/>
          </w:tcPr>
          <w:p w14:paraId="6C52B146"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2</w:t>
            </w:r>
          </w:p>
        </w:tc>
        <w:tc>
          <w:tcPr>
            <w:tcW w:w="1154" w:type="dxa"/>
            <w:vAlign w:val="center"/>
          </w:tcPr>
          <w:p w14:paraId="3B67A88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任家庄煤矿项目</w:t>
            </w:r>
          </w:p>
        </w:tc>
        <w:tc>
          <w:tcPr>
            <w:tcW w:w="1292" w:type="dxa"/>
            <w:vAlign w:val="center"/>
          </w:tcPr>
          <w:p w14:paraId="12B9955F"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原国家环境保护总局</w:t>
            </w:r>
          </w:p>
        </w:tc>
        <w:tc>
          <w:tcPr>
            <w:tcW w:w="1437" w:type="dxa"/>
            <w:vAlign w:val="center"/>
          </w:tcPr>
          <w:p w14:paraId="74A40BD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环</w:t>
            </w:r>
            <w:r>
              <w:rPr>
                <w:rFonts w:ascii="Times New Roman" w:hAnsi="Times New Roman" w:hint="eastAsia"/>
                <w:kern w:val="0"/>
                <w:sz w:val="21"/>
                <w:szCs w:val="21"/>
              </w:rPr>
              <w:t>审</w:t>
            </w:r>
          </w:p>
          <w:p w14:paraId="5466348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kern w:val="0"/>
                <w:sz w:val="21"/>
                <w:szCs w:val="21"/>
              </w:rPr>
              <w:t>2006</w:t>
            </w:r>
            <w:r>
              <w:rPr>
                <w:rFonts w:ascii="Times New Roman" w:hAnsi="Times New Roman"/>
                <w:kern w:val="0"/>
                <w:sz w:val="21"/>
                <w:szCs w:val="21"/>
              </w:rPr>
              <w:t>〕</w:t>
            </w:r>
            <w:r>
              <w:rPr>
                <w:rFonts w:ascii="Times New Roman" w:hAnsi="Times New Roman"/>
                <w:kern w:val="0"/>
                <w:sz w:val="21"/>
                <w:szCs w:val="21"/>
              </w:rPr>
              <w:t>179</w:t>
            </w:r>
            <w:r>
              <w:rPr>
                <w:rFonts w:ascii="Times New Roman" w:hAnsi="Times New Roman"/>
                <w:kern w:val="0"/>
                <w:sz w:val="21"/>
                <w:szCs w:val="21"/>
              </w:rPr>
              <w:t>号</w:t>
            </w:r>
          </w:p>
        </w:tc>
        <w:tc>
          <w:tcPr>
            <w:tcW w:w="1293" w:type="dxa"/>
            <w:vAlign w:val="center"/>
          </w:tcPr>
          <w:p w14:paraId="6FF92223"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原环境保护</w:t>
            </w:r>
            <w:r>
              <w:rPr>
                <w:rFonts w:ascii="Times New Roman" w:hAnsi="Times New Roman" w:hint="eastAsia"/>
                <w:kern w:val="0"/>
                <w:sz w:val="21"/>
                <w:szCs w:val="21"/>
              </w:rPr>
              <w:t>部</w:t>
            </w:r>
          </w:p>
        </w:tc>
        <w:tc>
          <w:tcPr>
            <w:tcW w:w="1292" w:type="dxa"/>
            <w:vAlign w:val="center"/>
          </w:tcPr>
          <w:p w14:paraId="439F7A6C"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环验</w:t>
            </w:r>
          </w:p>
          <w:p w14:paraId="582855AD"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kern w:val="0"/>
                <w:sz w:val="21"/>
                <w:szCs w:val="21"/>
              </w:rPr>
              <w:t>2009</w:t>
            </w:r>
            <w:r>
              <w:rPr>
                <w:rFonts w:ascii="Times New Roman" w:hAnsi="Times New Roman"/>
                <w:kern w:val="0"/>
                <w:sz w:val="21"/>
                <w:szCs w:val="21"/>
              </w:rPr>
              <w:t>〕</w:t>
            </w:r>
            <w:r>
              <w:rPr>
                <w:rFonts w:ascii="Times New Roman" w:hAnsi="Times New Roman"/>
                <w:kern w:val="0"/>
                <w:sz w:val="21"/>
                <w:szCs w:val="21"/>
              </w:rPr>
              <w:t>55</w:t>
            </w:r>
            <w:r>
              <w:rPr>
                <w:rFonts w:ascii="Times New Roman" w:hAnsi="Times New Roman"/>
                <w:kern w:val="0"/>
                <w:sz w:val="21"/>
                <w:szCs w:val="21"/>
              </w:rPr>
              <w:t>号</w:t>
            </w:r>
          </w:p>
        </w:tc>
        <w:tc>
          <w:tcPr>
            <w:tcW w:w="1096" w:type="dxa"/>
            <w:vAlign w:val="center"/>
          </w:tcPr>
          <w:p w14:paraId="1E6BC2E3"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原</w:t>
            </w:r>
            <w:r>
              <w:rPr>
                <w:rFonts w:ascii="Times New Roman" w:hAnsi="Times New Roman" w:hint="eastAsia"/>
                <w:kern w:val="0"/>
                <w:sz w:val="21"/>
                <w:szCs w:val="21"/>
              </w:rPr>
              <w:t>宁夏回族自治区环境保护厅</w:t>
            </w:r>
          </w:p>
        </w:tc>
        <w:tc>
          <w:tcPr>
            <w:tcW w:w="1197" w:type="dxa"/>
            <w:vAlign w:val="center"/>
          </w:tcPr>
          <w:p w14:paraId="27204DAA"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宁环函〔</w:t>
            </w:r>
            <w:r>
              <w:rPr>
                <w:rFonts w:ascii="Times New Roman" w:hAnsi="Times New Roman" w:hint="eastAsia"/>
                <w:kern w:val="0"/>
                <w:sz w:val="21"/>
                <w:szCs w:val="21"/>
              </w:rPr>
              <w:t>201</w:t>
            </w:r>
            <w:r>
              <w:rPr>
                <w:rFonts w:ascii="Times New Roman" w:hAnsi="Times New Roman"/>
                <w:kern w:val="0"/>
                <w:sz w:val="21"/>
                <w:szCs w:val="21"/>
              </w:rPr>
              <w:t>6</w:t>
            </w:r>
            <w:r>
              <w:rPr>
                <w:rFonts w:ascii="Times New Roman" w:hAnsi="Times New Roman" w:hint="eastAsia"/>
                <w:kern w:val="0"/>
                <w:sz w:val="21"/>
                <w:szCs w:val="21"/>
              </w:rPr>
              <w:t>〕</w:t>
            </w:r>
            <w:r>
              <w:rPr>
                <w:rFonts w:ascii="Times New Roman" w:hAnsi="Times New Roman"/>
                <w:kern w:val="0"/>
                <w:sz w:val="21"/>
                <w:szCs w:val="21"/>
              </w:rPr>
              <w:t>539</w:t>
            </w:r>
            <w:r>
              <w:rPr>
                <w:rFonts w:ascii="Times New Roman" w:hAnsi="Times New Roman" w:hint="eastAsia"/>
                <w:kern w:val="0"/>
                <w:sz w:val="21"/>
                <w:szCs w:val="21"/>
              </w:rPr>
              <w:t>号</w:t>
            </w:r>
          </w:p>
        </w:tc>
      </w:tr>
      <w:tr w:rsidR="009C353B" w14:paraId="05A06AD0" w14:textId="77777777">
        <w:trPr>
          <w:trHeight w:val="397"/>
        </w:trPr>
        <w:tc>
          <w:tcPr>
            <w:tcW w:w="424" w:type="dxa"/>
            <w:vAlign w:val="center"/>
          </w:tcPr>
          <w:p w14:paraId="2C8EBBA5"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3</w:t>
            </w:r>
          </w:p>
        </w:tc>
        <w:tc>
          <w:tcPr>
            <w:tcW w:w="1154" w:type="dxa"/>
            <w:vAlign w:val="center"/>
          </w:tcPr>
          <w:p w14:paraId="7AC1685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红石湾煤矿项目</w:t>
            </w:r>
          </w:p>
        </w:tc>
        <w:tc>
          <w:tcPr>
            <w:tcW w:w="1292" w:type="dxa"/>
            <w:vAlign w:val="center"/>
          </w:tcPr>
          <w:p w14:paraId="68CC51FA"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原</w:t>
            </w:r>
            <w:r>
              <w:rPr>
                <w:rFonts w:ascii="Times New Roman" w:hAnsi="Times New Roman" w:hint="eastAsia"/>
                <w:kern w:val="0"/>
                <w:sz w:val="21"/>
                <w:szCs w:val="21"/>
              </w:rPr>
              <w:t>宁夏回族自治区环境保护局</w:t>
            </w:r>
          </w:p>
        </w:tc>
        <w:tc>
          <w:tcPr>
            <w:tcW w:w="1437" w:type="dxa"/>
            <w:vAlign w:val="center"/>
          </w:tcPr>
          <w:p w14:paraId="0171E094"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宁</w:t>
            </w:r>
            <w:r>
              <w:rPr>
                <w:rFonts w:ascii="Times New Roman" w:hAnsi="Times New Roman"/>
                <w:kern w:val="0"/>
                <w:sz w:val="21"/>
                <w:szCs w:val="21"/>
              </w:rPr>
              <w:t>环审</w:t>
            </w:r>
            <w:r>
              <w:rPr>
                <w:rFonts w:ascii="Times New Roman" w:hAnsi="Times New Roman" w:hint="eastAsia"/>
                <w:kern w:val="0"/>
                <w:sz w:val="21"/>
                <w:szCs w:val="21"/>
              </w:rPr>
              <w:t>发</w:t>
            </w:r>
            <w:r>
              <w:rPr>
                <w:rFonts w:ascii="Times New Roman" w:hAnsi="Times New Roman"/>
                <w:kern w:val="0"/>
                <w:sz w:val="21"/>
                <w:szCs w:val="21"/>
              </w:rPr>
              <w:t>〔</w:t>
            </w:r>
            <w:r>
              <w:rPr>
                <w:rFonts w:ascii="Times New Roman" w:hAnsi="Times New Roman"/>
                <w:kern w:val="0"/>
                <w:sz w:val="21"/>
                <w:szCs w:val="21"/>
              </w:rPr>
              <w:t>2008</w:t>
            </w:r>
            <w:r>
              <w:rPr>
                <w:rFonts w:ascii="Times New Roman" w:hAnsi="Times New Roman"/>
                <w:kern w:val="0"/>
                <w:sz w:val="21"/>
                <w:szCs w:val="21"/>
              </w:rPr>
              <w:t>〕</w:t>
            </w:r>
            <w:r>
              <w:rPr>
                <w:rFonts w:ascii="Times New Roman" w:hAnsi="Times New Roman"/>
                <w:kern w:val="0"/>
                <w:sz w:val="21"/>
                <w:szCs w:val="21"/>
              </w:rPr>
              <w:t>19</w:t>
            </w:r>
            <w:r>
              <w:rPr>
                <w:rFonts w:ascii="Times New Roman" w:hAnsi="Times New Roman"/>
                <w:kern w:val="0"/>
                <w:sz w:val="21"/>
                <w:szCs w:val="21"/>
              </w:rPr>
              <w:t>号</w:t>
            </w:r>
          </w:p>
        </w:tc>
        <w:tc>
          <w:tcPr>
            <w:tcW w:w="1293" w:type="dxa"/>
            <w:vAlign w:val="center"/>
          </w:tcPr>
          <w:p w14:paraId="08C151CE"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原</w:t>
            </w:r>
            <w:r>
              <w:rPr>
                <w:rFonts w:ascii="Times New Roman" w:hAnsi="Times New Roman" w:hint="eastAsia"/>
                <w:kern w:val="0"/>
                <w:sz w:val="21"/>
                <w:szCs w:val="21"/>
              </w:rPr>
              <w:t>宁夏回族自治区环境保护厅</w:t>
            </w:r>
          </w:p>
        </w:tc>
        <w:tc>
          <w:tcPr>
            <w:tcW w:w="1292" w:type="dxa"/>
            <w:vAlign w:val="center"/>
          </w:tcPr>
          <w:p w14:paraId="7B6BFC9D"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宁环验〔</w:t>
            </w:r>
            <w:r>
              <w:rPr>
                <w:rFonts w:ascii="Times New Roman" w:hAnsi="Times New Roman" w:hint="eastAsia"/>
                <w:kern w:val="0"/>
                <w:sz w:val="21"/>
                <w:szCs w:val="21"/>
              </w:rPr>
              <w:t>2012</w:t>
            </w:r>
            <w:r>
              <w:rPr>
                <w:rFonts w:ascii="Times New Roman" w:hAnsi="Times New Roman" w:hint="eastAsia"/>
                <w:kern w:val="0"/>
                <w:sz w:val="21"/>
                <w:szCs w:val="21"/>
              </w:rPr>
              <w:t>〕</w:t>
            </w:r>
            <w:r>
              <w:rPr>
                <w:rFonts w:ascii="Times New Roman" w:hAnsi="Times New Roman" w:hint="eastAsia"/>
                <w:kern w:val="0"/>
                <w:sz w:val="21"/>
                <w:szCs w:val="21"/>
              </w:rPr>
              <w:t>62</w:t>
            </w:r>
            <w:r>
              <w:rPr>
                <w:rFonts w:ascii="Times New Roman" w:hAnsi="Times New Roman" w:hint="eastAsia"/>
                <w:kern w:val="0"/>
                <w:sz w:val="21"/>
                <w:szCs w:val="21"/>
              </w:rPr>
              <w:t>号</w:t>
            </w:r>
          </w:p>
        </w:tc>
        <w:tc>
          <w:tcPr>
            <w:tcW w:w="2293" w:type="dxa"/>
            <w:gridSpan w:val="2"/>
            <w:vAlign w:val="center"/>
          </w:tcPr>
          <w:p w14:paraId="78C701E3"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产能核增环评文件已编制完成，正在进行评审程序</w:t>
            </w:r>
          </w:p>
        </w:tc>
      </w:tr>
      <w:tr w:rsidR="009C353B" w14:paraId="2B1FC849" w14:textId="77777777">
        <w:trPr>
          <w:trHeight w:val="397"/>
        </w:trPr>
        <w:tc>
          <w:tcPr>
            <w:tcW w:w="424" w:type="dxa"/>
            <w:vAlign w:val="center"/>
          </w:tcPr>
          <w:p w14:paraId="762E5F16"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4</w:t>
            </w:r>
          </w:p>
        </w:tc>
        <w:tc>
          <w:tcPr>
            <w:tcW w:w="1154" w:type="dxa"/>
            <w:vAlign w:val="center"/>
          </w:tcPr>
          <w:p w14:paraId="6C02D1A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丁家梁煤矿</w:t>
            </w:r>
            <w:r>
              <w:rPr>
                <w:rFonts w:ascii="Times New Roman" w:hAnsi="Times New Roman"/>
                <w:kern w:val="0"/>
                <w:sz w:val="21"/>
                <w:szCs w:val="21"/>
              </w:rPr>
              <w:t>项目</w:t>
            </w:r>
          </w:p>
        </w:tc>
        <w:tc>
          <w:tcPr>
            <w:tcW w:w="1292" w:type="dxa"/>
            <w:vAlign w:val="center"/>
          </w:tcPr>
          <w:p w14:paraId="43325E91"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原</w:t>
            </w:r>
            <w:r>
              <w:rPr>
                <w:rFonts w:ascii="Times New Roman" w:hAnsi="Times New Roman" w:hint="eastAsia"/>
                <w:kern w:val="0"/>
                <w:sz w:val="21"/>
                <w:szCs w:val="21"/>
              </w:rPr>
              <w:t>宁夏回族自治区环境保护局</w:t>
            </w:r>
          </w:p>
        </w:tc>
        <w:tc>
          <w:tcPr>
            <w:tcW w:w="1437" w:type="dxa"/>
            <w:vAlign w:val="center"/>
          </w:tcPr>
          <w:p w14:paraId="7E62CB98"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宁</w:t>
            </w:r>
            <w:r>
              <w:rPr>
                <w:rFonts w:ascii="Times New Roman" w:hAnsi="Times New Roman"/>
                <w:kern w:val="0"/>
                <w:sz w:val="21"/>
                <w:szCs w:val="21"/>
              </w:rPr>
              <w:t>环审</w:t>
            </w:r>
            <w:r>
              <w:rPr>
                <w:rFonts w:ascii="Times New Roman" w:hAnsi="Times New Roman" w:hint="eastAsia"/>
                <w:kern w:val="0"/>
                <w:sz w:val="21"/>
                <w:szCs w:val="21"/>
              </w:rPr>
              <w:t>发</w:t>
            </w:r>
            <w:r>
              <w:rPr>
                <w:rFonts w:ascii="Times New Roman" w:hAnsi="Times New Roman"/>
                <w:kern w:val="0"/>
                <w:sz w:val="21"/>
                <w:szCs w:val="21"/>
              </w:rPr>
              <w:t>〔</w:t>
            </w:r>
            <w:r>
              <w:rPr>
                <w:rFonts w:ascii="Times New Roman" w:hAnsi="Times New Roman"/>
                <w:kern w:val="0"/>
                <w:sz w:val="21"/>
                <w:szCs w:val="21"/>
              </w:rPr>
              <w:t>2012</w:t>
            </w:r>
            <w:r>
              <w:rPr>
                <w:rFonts w:ascii="Times New Roman" w:hAnsi="Times New Roman"/>
                <w:kern w:val="0"/>
                <w:sz w:val="21"/>
                <w:szCs w:val="21"/>
              </w:rPr>
              <w:t>〕</w:t>
            </w:r>
            <w:r>
              <w:rPr>
                <w:rFonts w:ascii="Times New Roman" w:hAnsi="Times New Roman"/>
                <w:kern w:val="0"/>
                <w:sz w:val="21"/>
                <w:szCs w:val="21"/>
              </w:rPr>
              <w:t>30</w:t>
            </w:r>
            <w:r>
              <w:rPr>
                <w:rFonts w:ascii="Times New Roman" w:hAnsi="Times New Roman"/>
                <w:kern w:val="0"/>
                <w:sz w:val="21"/>
                <w:szCs w:val="21"/>
              </w:rPr>
              <w:t>号</w:t>
            </w:r>
          </w:p>
        </w:tc>
        <w:tc>
          <w:tcPr>
            <w:tcW w:w="1293" w:type="dxa"/>
            <w:vAlign w:val="center"/>
          </w:tcPr>
          <w:p w14:paraId="2F298E24"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w:t>
            </w:r>
          </w:p>
        </w:tc>
        <w:tc>
          <w:tcPr>
            <w:tcW w:w="1292" w:type="dxa"/>
            <w:vAlign w:val="center"/>
          </w:tcPr>
          <w:p w14:paraId="683EC1BC"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w:t>
            </w:r>
          </w:p>
        </w:tc>
        <w:tc>
          <w:tcPr>
            <w:tcW w:w="1096" w:type="dxa"/>
            <w:vAlign w:val="center"/>
          </w:tcPr>
          <w:p w14:paraId="4A9B2E26"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w:t>
            </w:r>
          </w:p>
        </w:tc>
        <w:tc>
          <w:tcPr>
            <w:tcW w:w="1197" w:type="dxa"/>
            <w:vAlign w:val="center"/>
          </w:tcPr>
          <w:p w14:paraId="3E465460"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w:t>
            </w:r>
          </w:p>
        </w:tc>
      </w:tr>
    </w:tbl>
    <w:p w14:paraId="7D535116" w14:textId="77777777" w:rsidR="009C353B" w:rsidRDefault="009C353B">
      <w:pPr>
        <w:adjustRightInd w:val="0"/>
        <w:snapToGrid w:val="0"/>
        <w:spacing w:line="440" w:lineRule="exact"/>
        <w:ind w:firstLineChars="200" w:firstLine="480"/>
        <w:rPr>
          <w:rFonts w:ascii="Times New Roman" w:hAnsi="Times New Roman"/>
        </w:rPr>
      </w:pPr>
    </w:p>
    <w:p w14:paraId="005ABE85"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w:t>
      </w:r>
      <w:r>
        <w:rPr>
          <w:rFonts w:ascii="Times New Roman" w:hAnsi="Times New Roman"/>
          <w:sz w:val="24"/>
        </w:rPr>
        <w:t xml:space="preserve">.1.3 </w:t>
      </w:r>
      <w:r>
        <w:rPr>
          <w:rFonts w:ascii="Times New Roman" w:hAnsi="Times New Roman"/>
          <w:sz w:val="24"/>
        </w:rPr>
        <w:t>环评批复要求及环保备案</w:t>
      </w:r>
      <w:r>
        <w:rPr>
          <w:rFonts w:ascii="Times New Roman" w:hAnsi="Times New Roman" w:hint="eastAsia"/>
          <w:sz w:val="24"/>
        </w:rPr>
        <w:t>批复要求</w:t>
      </w:r>
      <w:r>
        <w:rPr>
          <w:rFonts w:ascii="Times New Roman" w:hAnsi="Times New Roman"/>
          <w:sz w:val="24"/>
        </w:rPr>
        <w:t>落实情况</w:t>
      </w:r>
    </w:p>
    <w:p w14:paraId="344B9BC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横城矿区各</w:t>
      </w:r>
      <w:r>
        <w:rPr>
          <w:rFonts w:ascii="Times New Roman" w:hAnsi="Times New Roman"/>
        </w:rPr>
        <w:t>煤矿项目环评批复要求及环保备案中提出的各项整改要求</w:t>
      </w:r>
      <w:r>
        <w:rPr>
          <w:rFonts w:ascii="Times New Roman" w:hAnsi="Times New Roman" w:hint="eastAsia"/>
        </w:rPr>
        <w:t>均</w:t>
      </w:r>
      <w:r>
        <w:rPr>
          <w:rFonts w:ascii="Times New Roman" w:hAnsi="Times New Roman"/>
        </w:rPr>
        <w:t>得到了落实，</w:t>
      </w:r>
      <w:r>
        <w:rPr>
          <w:rFonts w:ascii="Times New Roman" w:hAnsi="Times New Roman" w:hint="eastAsia"/>
        </w:rPr>
        <w:t>部分</w:t>
      </w:r>
      <w:r>
        <w:rPr>
          <w:rFonts w:ascii="Times New Roman" w:hAnsi="Times New Roman"/>
        </w:rPr>
        <w:t>措施根据现行环境保护要求进行了</w:t>
      </w:r>
      <w:r>
        <w:rPr>
          <w:rFonts w:ascii="Times New Roman" w:hAnsi="Times New Roman" w:hint="eastAsia"/>
        </w:rPr>
        <w:t>升级</w:t>
      </w:r>
      <w:r>
        <w:rPr>
          <w:rFonts w:ascii="Times New Roman" w:hAnsi="Times New Roman"/>
        </w:rPr>
        <w:t>改造，详细落实情况</w:t>
      </w:r>
      <w:r>
        <w:rPr>
          <w:rFonts w:ascii="Times New Roman" w:hAnsi="Times New Roman" w:hint="eastAsia"/>
        </w:rPr>
        <w:t>见表</w:t>
      </w:r>
      <w:r>
        <w:rPr>
          <w:rFonts w:ascii="Times New Roman" w:hAnsi="Times New Roman" w:hint="eastAsia"/>
        </w:rPr>
        <w:t>4.1</w:t>
      </w:r>
      <w:r>
        <w:rPr>
          <w:rFonts w:ascii="Times New Roman" w:hAnsi="Times New Roman"/>
        </w:rPr>
        <w:t>-3</w:t>
      </w:r>
      <w:r>
        <w:rPr>
          <w:rFonts w:ascii="Times New Roman" w:hAnsi="Times New Roman" w:hint="eastAsia"/>
        </w:rPr>
        <w:t>。</w:t>
      </w:r>
    </w:p>
    <w:p w14:paraId="53A4FD1C" w14:textId="77777777" w:rsidR="009C353B" w:rsidRDefault="009C353B">
      <w:pPr>
        <w:adjustRightInd w:val="0"/>
        <w:snapToGrid w:val="0"/>
        <w:spacing w:line="440" w:lineRule="exact"/>
        <w:ind w:firstLineChars="200" w:firstLine="562"/>
        <w:rPr>
          <w:rFonts w:ascii="Times New Roman" w:hAnsi="Times New Roman"/>
          <w:b/>
          <w:sz w:val="28"/>
        </w:rPr>
        <w:sectPr w:rsidR="009C353B">
          <w:headerReference w:type="default" r:id="rId278"/>
          <w:pgSz w:w="11907" w:h="16840"/>
          <w:pgMar w:top="1701" w:right="1418" w:bottom="1418" w:left="1418" w:header="1134" w:footer="851" w:gutter="0"/>
          <w:paperSrc w:first="7" w:other="7"/>
          <w:cols w:space="720"/>
          <w:docGrid w:linePitch="312"/>
        </w:sectPr>
      </w:pPr>
    </w:p>
    <w:p w14:paraId="7B8F0A23" w14:textId="77777777" w:rsidR="009C353B" w:rsidRDefault="00000000">
      <w:pPr>
        <w:adjustRightInd w:val="0"/>
        <w:snapToGrid w:val="0"/>
        <w:spacing w:line="440" w:lineRule="exact"/>
        <w:jc w:val="center"/>
        <w:rPr>
          <w:rFonts w:ascii="Times New Roman" w:hAnsi="Times New Roman"/>
          <w:b/>
        </w:rPr>
      </w:pPr>
      <w:r>
        <w:rPr>
          <w:rFonts w:ascii="Times New Roman" w:hAnsi="Times New Roman"/>
          <w:b/>
        </w:rPr>
        <w:t>煤矿项目环评批复要求及环保备案中提出的各项整改要求的落实情况一览表</w:t>
      </w:r>
    </w:p>
    <w:p w14:paraId="3984E14B" w14:textId="77777777" w:rsidR="009C353B" w:rsidRDefault="00000000">
      <w:pPr>
        <w:adjustRightInd w:val="0"/>
        <w:snapToGrid w:val="0"/>
        <w:spacing w:line="440" w:lineRule="exact"/>
        <w:outlineLvl w:val="4"/>
        <w:rPr>
          <w:rFonts w:ascii="Times New Roman" w:hAnsi="Times New Roman"/>
        </w:rPr>
      </w:pPr>
      <w:r>
        <w:rPr>
          <w:rFonts w:ascii="Times New Roman" w:hAnsi="Times New Roman"/>
        </w:rPr>
        <w:t>表</w:t>
      </w:r>
      <w:r>
        <w:rPr>
          <w:rFonts w:ascii="Times New Roman" w:hAnsi="Times New Roman"/>
        </w:rPr>
        <w:t>4.1-3</w:t>
      </w:r>
    </w:p>
    <w:tbl>
      <w:tblPr>
        <w:tblW w:w="136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733"/>
        <w:gridCol w:w="3094"/>
        <w:gridCol w:w="3828"/>
        <w:gridCol w:w="3118"/>
        <w:gridCol w:w="1276"/>
        <w:gridCol w:w="1563"/>
      </w:tblGrid>
      <w:tr w:rsidR="009C353B" w14:paraId="58E5FD35" w14:textId="77777777">
        <w:trPr>
          <w:trHeight w:val="568"/>
          <w:tblHeader/>
          <w:jc w:val="center"/>
        </w:trPr>
        <w:tc>
          <w:tcPr>
            <w:tcW w:w="733" w:type="dxa"/>
            <w:vAlign w:val="center"/>
          </w:tcPr>
          <w:p w14:paraId="39C3C866" w14:textId="77777777" w:rsidR="009C353B" w:rsidRDefault="00000000">
            <w:pPr>
              <w:jc w:val="center"/>
              <w:rPr>
                <w:rFonts w:ascii="Times New Roman" w:hAnsi="Times New Roman"/>
                <w:b/>
                <w:sz w:val="18"/>
                <w:szCs w:val="18"/>
              </w:rPr>
            </w:pPr>
            <w:bookmarkStart w:id="142" w:name="_Hlk55292051"/>
            <w:r>
              <w:rPr>
                <w:rFonts w:ascii="Times New Roman" w:hAnsi="Times New Roman"/>
                <w:b/>
                <w:sz w:val="18"/>
                <w:szCs w:val="18"/>
              </w:rPr>
              <w:t>矿井</w:t>
            </w:r>
          </w:p>
        </w:tc>
        <w:tc>
          <w:tcPr>
            <w:tcW w:w="3094" w:type="dxa"/>
            <w:vAlign w:val="center"/>
          </w:tcPr>
          <w:p w14:paraId="26EBB5D7" w14:textId="77777777" w:rsidR="009C353B" w:rsidRDefault="00000000">
            <w:pPr>
              <w:jc w:val="center"/>
              <w:rPr>
                <w:rFonts w:ascii="Times New Roman" w:hAnsi="Times New Roman"/>
                <w:b/>
                <w:sz w:val="18"/>
                <w:szCs w:val="18"/>
              </w:rPr>
            </w:pPr>
            <w:r>
              <w:rPr>
                <w:rFonts w:ascii="Times New Roman" w:hAnsi="Times New Roman"/>
                <w:b/>
                <w:sz w:val="18"/>
                <w:szCs w:val="18"/>
              </w:rPr>
              <w:t>环评要求措施</w:t>
            </w:r>
          </w:p>
        </w:tc>
        <w:tc>
          <w:tcPr>
            <w:tcW w:w="3828" w:type="dxa"/>
            <w:vAlign w:val="center"/>
          </w:tcPr>
          <w:p w14:paraId="3BABC934" w14:textId="77777777" w:rsidR="009C353B" w:rsidRDefault="00000000">
            <w:pPr>
              <w:jc w:val="center"/>
              <w:rPr>
                <w:rFonts w:ascii="Times New Roman" w:hAnsi="Times New Roman"/>
                <w:b/>
                <w:sz w:val="18"/>
                <w:szCs w:val="18"/>
              </w:rPr>
            </w:pPr>
            <w:r>
              <w:rPr>
                <w:rFonts w:ascii="Times New Roman" w:hAnsi="Times New Roman"/>
                <w:b/>
                <w:sz w:val="18"/>
                <w:szCs w:val="18"/>
              </w:rPr>
              <w:t>产能核增环境评估报告批复要求措施</w:t>
            </w:r>
          </w:p>
        </w:tc>
        <w:tc>
          <w:tcPr>
            <w:tcW w:w="3118" w:type="dxa"/>
            <w:vAlign w:val="center"/>
          </w:tcPr>
          <w:p w14:paraId="4852B066" w14:textId="77777777" w:rsidR="009C353B" w:rsidRDefault="00000000">
            <w:pPr>
              <w:jc w:val="center"/>
              <w:rPr>
                <w:rFonts w:ascii="Times New Roman" w:hAnsi="Times New Roman"/>
                <w:b/>
                <w:sz w:val="18"/>
                <w:szCs w:val="18"/>
              </w:rPr>
            </w:pPr>
            <w:r>
              <w:rPr>
                <w:rFonts w:ascii="Times New Roman" w:hAnsi="Times New Roman"/>
                <w:b/>
                <w:sz w:val="18"/>
                <w:szCs w:val="18"/>
              </w:rPr>
              <w:t>实际采取措施</w:t>
            </w:r>
          </w:p>
        </w:tc>
        <w:tc>
          <w:tcPr>
            <w:tcW w:w="1276" w:type="dxa"/>
            <w:vAlign w:val="center"/>
          </w:tcPr>
          <w:p w14:paraId="27461119" w14:textId="77777777" w:rsidR="009C353B" w:rsidRDefault="00000000">
            <w:pPr>
              <w:jc w:val="center"/>
              <w:rPr>
                <w:rFonts w:ascii="Times New Roman" w:hAnsi="Times New Roman"/>
                <w:b/>
                <w:sz w:val="18"/>
                <w:szCs w:val="18"/>
              </w:rPr>
            </w:pPr>
            <w:r>
              <w:rPr>
                <w:rFonts w:ascii="Times New Roman" w:hAnsi="Times New Roman"/>
                <w:b/>
                <w:sz w:val="18"/>
                <w:szCs w:val="18"/>
              </w:rPr>
              <w:t>是否落实</w:t>
            </w:r>
          </w:p>
        </w:tc>
        <w:tc>
          <w:tcPr>
            <w:tcW w:w="1563" w:type="dxa"/>
            <w:vAlign w:val="center"/>
          </w:tcPr>
          <w:p w14:paraId="460AAFF8" w14:textId="77777777" w:rsidR="009C353B" w:rsidRDefault="00000000">
            <w:pPr>
              <w:jc w:val="center"/>
              <w:rPr>
                <w:rFonts w:ascii="Times New Roman" w:hAnsi="Times New Roman"/>
                <w:b/>
                <w:sz w:val="18"/>
                <w:szCs w:val="18"/>
              </w:rPr>
            </w:pPr>
            <w:r>
              <w:rPr>
                <w:rFonts w:ascii="Times New Roman" w:hAnsi="Times New Roman"/>
                <w:b/>
                <w:sz w:val="18"/>
                <w:szCs w:val="18"/>
              </w:rPr>
              <w:t>环保措施、设施</w:t>
            </w:r>
          </w:p>
          <w:p w14:paraId="230D864D" w14:textId="77777777" w:rsidR="009C353B" w:rsidRDefault="00000000">
            <w:pPr>
              <w:jc w:val="center"/>
              <w:rPr>
                <w:rFonts w:ascii="Times New Roman" w:hAnsi="Times New Roman"/>
                <w:b/>
                <w:sz w:val="18"/>
                <w:szCs w:val="18"/>
              </w:rPr>
            </w:pPr>
            <w:r>
              <w:rPr>
                <w:rFonts w:ascii="Times New Roman" w:hAnsi="Times New Roman"/>
                <w:b/>
                <w:sz w:val="18"/>
                <w:szCs w:val="18"/>
              </w:rPr>
              <w:t>变更或优化情况</w:t>
            </w:r>
          </w:p>
        </w:tc>
      </w:tr>
      <w:tr w:rsidR="009C353B" w14:paraId="0EB6D168" w14:textId="77777777">
        <w:trPr>
          <w:trHeight w:val="178"/>
          <w:jc w:val="center"/>
        </w:trPr>
        <w:tc>
          <w:tcPr>
            <w:tcW w:w="733" w:type="dxa"/>
            <w:vMerge w:val="restart"/>
            <w:vAlign w:val="center"/>
          </w:tcPr>
          <w:p w14:paraId="0A2FADCD" w14:textId="77777777" w:rsidR="009C353B" w:rsidRDefault="00000000">
            <w:pPr>
              <w:jc w:val="center"/>
              <w:rPr>
                <w:rFonts w:ascii="Times New Roman" w:hAnsi="Times New Roman"/>
                <w:b/>
                <w:bCs/>
                <w:sz w:val="18"/>
                <w:szCs w:val="18"/>
              </w:rPr>
            </w:pPr>
            <w:r>
              <w:rPr>
                <w:rFonts w:ascii="Times New Roman" w:hAnsi="Times New Roman"/>
                <w:b/>
                <w:bCs/>
                <w:sz w:val="18"/>
                <w:szCs w:val="18"/>
              </w:rPr>
              <w:t>任家庄煤矿</w:t>
            </w:r>
          </w:p>
        </w:tc>
        <w:tc>
          <w:tcPr>
            <w:tcW w:w="3094" w:type="dxa"/>
            <w:vAlign w:val="center"/>
          </w:tcPr>
          <w:p w14:paraId="622B5941" w14:textId="77777777" w:rsidR="009C353B" w:rsidRDefault="00000000">
            <w:pPr>
              <w:rPr>
                <w:rFonts w:ascii="Times New Roman" w:hAnsi="Times New Roman"/>
                <w:sz w:val="18"/>
                <w:szCs w:val="18"/>
              </w:rPr>
            </w:pPr>
            <w:r>
              <w:rPr>
                <w:rFonts w:ascii="Times New Roman" w:hAnsi="Times New Roman"/>
                <w:sz w:val="18"/>
                <w:szCs w:val="18"/>
              </w:rPr>
              <w:t>1</w:t>
            </w:r>
            <w:r>
              <w:rPr>
                <w:rFonts w:ascii="Times New Roman" w:hAnsi="Times New Roman"/>
                <w:sz w:val="18"/>
                <w:szCs w:val="18"/>
              </w:rPr>
              <w:t>、锅炉配置多管旋风除尘器进行除尘除尘效率大于</w:t>
            </w:r>
            <w:r>
              <w:rPr>
                <w:rFonts w:ascii="Times New Roman" w:hAnsi="Times New Roman"/>
                <w:sz w:val="18"/>
                <w:szCs w:val="18"/>
              </w:rPr>
              <w:t>95%</w:t>
            </w:r>
          </w:p>
          <w:p w14:paraId="340BECE7" w14:textId="77777777" w:rsidR="009C353B" w:rsidRDefault="00000000">
            <w:pPr>
              <w:rPr>
                <w:rFonts w:ascii="Times New Roman" w:hAnsi="Times New Roman"/>
                <w:sz w:val="18"/>
                <w:szCs w:val="18"/>
              </w:rPr>
            </w:pPr>
            <w:r>
              <w:rPr>
                <w:rFonts w:ascii="Times New Roman" w:hAnsi="Times New Roman"/>
                <w:sz w:val="18"/>
                <w:szCs w:val="18"/>
              </w:rPr>
              <w:t>2</w:t>
            </w:r>
            <w:r>
              <w:rPr>
                <w:rFonts w:ascii="Times New Roman" w:hAnsi="Times New Roman"/>
                <w:sz w:val="18"/>
                <w:szCs w:val="18"/>
              </w:rPr>
              <w:t>、破碎分输送场所的煤</w:t>
            </w:r>
            <w:r>
              <w:rPr>
                <w:rFonts w:ascii="Times New Roman" w:hAnsi="Times New Roman"/>
                <w:sz w:val="18"/>
                <w:szCs w:val="18"/>
              </w:rPr>
              <w:t>(</w:t>
            </w:r>
            <w:r>
              <w:rPr>
                <w:rFonts w:ascii="Times New Roman" w:hAnsi="Times New Roman"/>
                <w:sz w:val="18"/>
                <w:szCs w:val="18"/>
              </w:rPr>
              <w:t>粉</w:t>
            </w:r>
            <w:r>
              <w:rPr>
                <w:rFonts w:ascii="Times New Roman" w:hAnsi="Times New Roman"/>
                <w:sz w:val="18"/>
                <w:szCs w:val="18"/>
              </w:rPr>
              <w:t>)</w:t>
            </w:r>
            <w:r>
              <w:rPr>
                <w:rFonts w:ascii="Times New Roman" w:hAnsi="Times New Roman"/>
                <w:sz w:val="18"/>
                <w:szCs w:val="18"/>
              </w:rPr>
              <w:t>尘治理，可以结合噪声的防治同时进</w:t>
            </w:r>
          </w:p>
          <w:p w14:paraId="488C2F09" w14:textId="77777777" w:rsidR="009C353B" w:rsidRDefault="00000000">
            <w:pPr>
              <w:rPr>
                <w:rFonts w:ascii="Times New Roman" w:hAnsi="Times New Roman"/>
                <w:sz w:val="18"/>
                <w:szCs w:val="18"/>
              </w:rPr>
            </w:pPr>
            <w:r>
              <w:rPr>
                <w:rFonts w:ascii="Times New Roman" w:hAnsi="Times New Roman"/>
                <w:sz w:val="18"/>
                <w:szCs w:val="18"/>
              </w:rPr>
              <w:t>21</w:t>
            </w:r>
            <w:r>
              <w:rPr>
                <w:rFonts w:ascii="Times New Roman" w:hAnsi="Times New Roman"/>
                <w:sz w:val="18"/>
                <w:szCs w:val="18"/>
              </w:rPr>
              <w:t>、对皮带输送机、刮板机尽可能采用半园型玻璃钢罩密封；各输送装置机头机尾，设集尘罩，在罩上设</w:t>
            </w:r>
            <w:r>
              <w:rPr>
                <w:rFonts w:ascii="Times New Roman" w:hAnsi="Times New Roman"/>
                <w:sz w:val="18"/>
                <w:szCs w:val="18"/>
              </w:rPr>
              <w:t>FM</w:t>
            </w:r>
            <w:r>
              <w:rPr>
                <w:rFonts w:ascii="Times New Roman" w:hAnsi="Times New Roman"/>
                <w:sz w:val="18"/>
                <w:szCs w:val="18"/>
              </w:rPr>
              <w:t>型下饲式袋式除尘器</w:t>
            </w:r>
          </w:p>
          <w:p w14:paraId="44F5534C" w14:textId="77777777" w:rsidR="009C353B" w:rsidRDefault="00000000">
            <w:pPr>
              <w:rPr>
                <w:rFonts w:ascii="Times New Roman" w:hAnsi="Times New Roman"/>
                <w:sz w:val="18"/>
                <w:szCs w:val="18"/>
              </w:rPr>
            </w:pPr>
            <w:r>
              <w:rPr>
                <w:rFonts w:ascii="Times New Roman" w:hAnsi="Times New Roman"/>
                <w:sz w:val="18"/>
                <w:szCs w:val="18"/>
              </w:rPr>
              <w:t>22</w:t>
            </w:r>
            <w:r>
              <w:rPr>
                <w:rFonts w:ascii="Times New Roman" w:hAnsi="Times New Roman"/>
                <w:sz w:val="18"/>
                <w:szCs w:val="18"/>
              </w:rPr>
              <w:t>对破碎机产尘等设备建设围护结构</w:t>
            </w:r>
          </w:p>
          <w:p w14:paraId="12895B16" w14:textId="77777777" w:rsidR="009C353B" w:rsidRDefault="00000000">
            <w:pPr>
              <w:rPr>
                <w:rFonts w:ascii="Times New Roman" w:hAnsi="Times New Roman"/>
                <w:sz w:val="18"/>
                <w:szCs w:val="18"/>
              </w:rPr>
            </w:pPr>
            <w:r>
              <w:rPr>
                <w:rFonts w:ascii="Times New Roman" w:hAnsi="Times New Roman"/>
                <w:sz w:val="18"/>
                <w:szCs w:val="18"/>
              </w:rPr>
              <w:t>23</w:t>
            </w:r>
            <w:r>
              <w:rPr>
                <w:rFonts w:ascii="Times New Roman" w:hAnsi="Times New Roman"/>
                <w:sz w:val="18"/>
                <w:szCs w:val="18"/>
              </w:rPr>
              <w:t>、对体型较大的振动筛等除隔吸声围护外，要设吸集尘系统，通过系统将粉尘集中引向回转反吹袋式除尘器。</w:t>
            </w:r>
          </w:p>
          <w:p w14:paraId="3A78119E" w14:textId="77777777" w:rsidR="009C353B" w:rsidRDefault="00000000">
            <w:pPr>
              <w:rPr>
                <w:rFonts w:ascii="Times New Roman" w:hAnsi="Times New Roman"/>
                <w:sz w:val="18"/>
                <w:szCs w:val="18"/>
              </w:rPr>
            </w:pPr>
            <w:r>
              <w:rPr>
                <w:rFonts w:ascii="Times New Roman" w:hAnsi="Times New Roman"/>
                <w:sz w:val="18"/>
                <w:szCs w:val="18"/>
              </w:rPr>
              <w:t>3</w:t>
            </w:r>
            <w:r>
              <w:rPr>
                <w:rFonts w:ascii="Times New Roman" w:hAnsi="Times New Roman"/>
                <w:sz w:val="18"/>
                <w:szCs w:val="18"/>
              </w:rPr>
              <w:t>、对工业场地内及附近的运输道路经常洒水、清扫</w:t>
            </w:r>
          </w:p>
        </w:tc>
        <w:tc>
          <w:tcPr>
            <w:tcW w:w="3828" w:type="dxa"/>
            <w:vAlign w:val="center"/>
          </w:tcPr>
          <w:p w14:paraId="2B489DD6" w14:textId="77777777" w:rsidR="009C353B" w:rsidRDefault="00000000">
            <w:pPr>
              <w:widowControl/>
              <w:jc w:val="left"/>
              <w:rPr>
                <w:rFonts w:ascii="Times New Roman" w:hAnsi="Times New Roman"/>
                <w:sz w:val="18"/>
                <w:szCs w:val="18"/>
              </w:rPr>
            </w:pPr>
            <w:r>
              <w:rPr>
                <w:rFonts w:ascii="Times New Roman" w:hAnsi="Times New Roman"/>
                <w:sz w:val="18"/>
                <w:szCs w:val="18"/>
              </w:rPr>
              <w:t>加强项目运行、生产的环境。做好大气污染的防治工作。确保锅炉烟尘，二氧化硫及氧化物排放符合《锅炉大气污染物排放标准》</w:t>
            </w:r>
            <w:r>
              <w:rPr>
                <w:rFonts w:ascii="Times New Roman" w:hAnsi="Times New Roman"/>
                <w:sz w:val="18"/>
                <w:szCs w:val="18"/>
              </w:rPr>
              <w:t>(GB13271-2014)</w:t>
            </w:r>
            <w:r>
              <w:rPr>
                <w:rFonts w:ascii="Times New Roman" w:hAnsi="Times New Roman"/>
                <w:sz w:val="18"/>
                <w:szCs w:val="18"/>
              </w:rPr>
              <w:t>表</w:t>
            </w:r>
            <w:r>
              <w:rPr>
                <w:rFonts w:ascii="Times New Roman" w:hAnsi="Times New Roman"/>
                <w:sz w:val="18"/>
                <w:szCs w:val="18"/>
              </w:rPr>
              <w:t>3</w:t>
            </w:r>
            <w:r>
              <w:rPr>
                <w:rFonts w:ascii="Times New Roman" w:hAnsi="Times New Roman"/>
                <w:sz w:val="18"/>
                <w:szCs w:val="18"/>
              </w:rPr>
              <w:t>特别排放限值要求，矸石场颗粒物、二氧化硫无组织排放符合《煤炭工业污染物排放标准》</w:t>
            </w:r>
            <w:r>
              <w:rPr>
                <w:rFonts w:ascii="Times New Roman" w:hAnsi="Times New Roman"/>
                <w:sz w:val="18"/>
                <w:szCs w:val="18"/>
              </w:rPr>
              <w:t>(GB20246-2006)</w:t>
            </w:r>
            <w:r>
              <w:rPr>
                <w:rFonts w:ascii="Times New Roman" w:hAnsi="Times New Roman"/>
                <w:sz w:val="18"/>
                <w:szCs w:val="18"/>
              </w:rPr>
              <w:t>相关限值要求</w:t>
            </w:r>
          </w:p>
          <w:p w14:paraId="1BDBE081" w14:textId="77777777" w:rsidR="009C353B" w:rsidRDefault="009C353B">
            <w:pPr>
              <w:widowControl/>
              <w:jc w:val="left"/>
              <w:rPr>
                <w:rFonts w:ascii="Times New Roman" w:hAnsi="Times New Roman"/>
                <w:sz w:val="18"/>
                <w:szCs w:val="18"/>
              </w:rPr>
            </w:pPr>
          </w:p>
        </w:tc>
        <w:tc>
          <w:tcPr>
            <w:tcW w:w="3118" w:type="dxa"/>
            <w:vAlign w:val="center"/>
          </w:tcPr>
          <w:p w14:paraId="5D406C75" w14:textId="77777777" w:rsidR="009C353B" w:rsidRDefault="00000000">
            <w:pPr>
              <w:widowControl/>
              <w:jc w:val="left"/>
              <w:rPr>
                <w:rFonts w:ascii="Times New Roman" w:hAnsi="Times New Roman"/>
                <w:sz w:val="18"/>
                <w:szCs w:val="18"/>
              </w:rPr>
            </w:pPr>
            <w:r>
              <w:rPr>
                <w:rFonts w:ascii="Times New Roman" w:hAnsi="Times New Roman"/>
                <w:sz w:val="18"/>
                <w:szCs w:val="18"/>
              </w:rPr>
              <w:t>任家庄现采用燃气锅炉供热，锅炉大气污染物排放符合《锅炉大气污染物排放标准》</w:t>
            </w:r>
            <w:r>
              <w:rPr>
                <w:rFonts w:ascii="Times New Roman" w:hAnsi="Times New Roman"/>
                <w:sz w:val="18"/>
                <w:szCs w:val="18"/>
              </w:rPr>
              <w:t>(GB13271-2014)</w:t>
            </w:r>
            <w:r>
              <w:rPr>
                <w:rFonts w:ascii="Times New Roman" w:hAnsi="Times New Roman"/>
                <w:sz w:val="18"/>
                <w:szCs w:val="18"/>
              </w:rPr>
              <w:t>表</w:t>
            </w:r>
            <w:r>
              <w:rPr>
                <w:rFonts w:ascii="Times New Roman" w:hAnsi="Times New Roman"/>
                <w:sz w:val="18"/>
                <w:szCs w:val="18"/>
              </w:rPr>
              <w:t>3</w:t>
            </w:r>
            <w:r>
              <w:rPr>
                <w:rFonts w:ascii="Times New Roman" w:hAnsi="Times New Roman"/>
                <w:sz w:val="18"/>
                <w:szCs w:val="18"/>
              </w:rPr>
              <w:t>特别排放限值要求；</w:t>
            </w:r>
          </w:p>
          <w:p w14:paraId="0B8DBC2B" w14:textId="77777777" w:rsidR="009C353B" w:rsidRDefault="00000000">
            <w:pPr>
              <w:rPr>
                <w:rFonts w:ascii="Times New Roman" w:hAnsi="Times New Roman"/>
                <w:sz w:val="18"/>
                <w:szCs w:val="18"/>
              </w:rPr>
            </w:pPr>
            <w:r>
              <w:rPr>
                <w:rFonts w:ascii="Times New Roman" w:hAnsi="Times New Roman"/>
                <w:sz w:val="18"/>
                <w:szCs w:val="18"/>
              </w:rPr>
              <w:t>排矸场已完成绿化覆土生态恢复治理，排矸场颗粒物、二氧化硫无组织排放符合《煤炭工业污染物排放标准》</w:t>
            </w:r>
            <w:r>
              <w:rPr>
                <w:rFonts w:ascii="Times New Roman" w:hAnsi="Times New Roman"/>
                <w:sz w:val="18"/>
                <w:szCs w:val="18"/>
              </w:rPr>
              <w:t>(GB20246-2006)</w:t>
            </w:r>
            <w:r>
              <w:rPr>
                <w:rFonts w:ascii="Times New Roman" w:hAnsi="Times New Roman"/>
                <w:sz w:val="18"/>
                <w:szCs w:val="18"/>
              </w:rPr>
              <w:t>相关限值要求。筛分破碎环节安装了除尘器。</w:t>
            </w:r>
          </w:p>
          <w:p w14:paraId="5778742B" w14:textId="77777777" w:rsidR="009C353B" w:rsidRDefault="00000000">
            <w:pPr>
              <w:rPr>
                <w:rFonts w:ascii="Times New Roman" w:hAnsi="Times New Roman"/>
                <w:sz w:val="18"/>
                <w:szCs w:val="18"/>
              </w:rPr>
            </w:pPr>
            <w:r>
              <w:rPr>
                <w:rFonts w:ascii="Times New Roman" w:hAnsi="Times New Roman"/>
                <w:sz w:val="18"/>
                <w:szCs w:val="18"/>
              </w:rPr>
              <w:t>皮带栈桥、洗煤厂</w:t>
            </w:r>
            <w:r>
              <w:rPr>
                <w:rFonts w:ascii="Times New Roman" w:hAnsi="Times New Roman"/>
                <w:sz w:val="18"/>
                <w:szCs w:val="18"/>
              </w:rPr>
              <w:t>(</w:t>
            </w:r>
            <w:r>
              <w:rPr>
                <w:rFonts w:ascii="Times New Roman" w:hAnsi="Times New Roman"/>
                <w:sz w:val="18"/>
                <w:szCs w:val="18"/>
              </w:rPr>
              <w:t>含筛分破碎</w:t>
            </w:r>
            <w:r>
              <w:rPr>
                <w:rFonts w:ascii="Times New Roman" w:hAnsi="Times New Roman"/>
                <w:sz w:val="18"/>
                <w:szCs w:val="18"/>
              </w:rPr>
              <w:t>)</w:t>
            </w:r>
            <w:r>
              <w:rPr>
                <w:rFonts w:ascii="Times New Roman" w:hAnsi="Times New Roman"/>
                <w:sz w:val="18"/>
                <w:szCs w:val="18"/>
              </w:rPr>
              <w:t>、原煤仓、产品仓全部封闭：转载点采取局部喷淋措施。购置了洒水车对场地和道路定时洒水。</w:t>
            </w:r>
          </w:p>
        </w:tc>
        <w:tc>
          <w:tcPr>
            <w:tcW w:w="1276" w:type="dxa"/>
            <w:vAlign w:val="center"/>
          </w:tcPr>
          <w:p w14:paraId="430D7874"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76D2C404" w14:textId="77777777" w:rsidR="009C353B" w:rsidRDefault="00000000">
            <w:pPr>
              <w:rPr>
                <w:rFonts w:ascii="Times New Roman" w:hAnsi="Times New Roman"/>
                <w:sz w:val="18"/>
                <w:szCs w:val="18"/>
              </w:rPr>
            </w:pPr>
            <w:r>
              <w:rPr>
                <w:rFonts w:ascii="Times New Roman" w:hAnsi="Times New Roman" w:hint="eastAsia"/>
                <w:sz w:val="18"/>
                <w:szCs w:val="18"/>
              </w:rPr>
              <w:t>优化。</w:t>
            </w:r>
            <w:r>
              <w:rPr>
                <w:rFonts w:ascii="Times New Roman" w:hAnsi="Times New Roman"/>
                <w:sz w:val="18"/>
                <w:szCs w:val="18"/>
              </w:rPr>
              <w:t>原环评阶段燃煤锅炉现已改为燃气锅炉</w:t>
            </w:r>
          </w:p>
        </w:tc>
      </w:tr>
      <w:tr w:rsidR="009C353B" w14:paraId="7CFF5546" w14:textId="77777777">
        <w:trPr>
          <w:trHeight w:val="568"/>
          <w:jc w:val="center"/>
        </w:trPr>
        <w:tc>
          <w:tcPr>
            <w:tcW w:w="733" w:type="dxa"/>
            <w:vMerge/>
            <w:vAlign w:val="center"/>
          </w:tcPr>
          <w:p w14:paraId="168C3151" w14:textId="77777777" w:rsidR="009C353B" w:rsidRDefault="009C353B">
            <w:pPr>
              <w:jc w:val="center"/>
              <w:rPr>
                <w:rFonts w:ascii="Times New Roman" w:hAnsi="Times New Roman"/>
                <w:sz w:val="18"/>
                <w:szCs w:val="18"/>
              </w:rPr>
            </w:pPr>
          </w:p>
        </w:tc>
        <w:tc>
          <w:tcPr>
            <w:tcW w:w="3094" w:type="dxa"/>
            <w:vAlign w:val="center"/>
          </w:tcPr>
          <w:p w14:paraId="1B4C9C30" w14:textId="77777777" w:rsidR="009C353B" w:rsidRDefault="00000000">
            <w:pPr>
              <w:rPr>
                <w:rFonts w:ascii="Times New Roman" w:hAnsi="Times New Roman"/>
                <w:sz w:val="18"/>
                <w:szCs w:val="18"/>
              </w:rPr>
            </w:pPr>
            <w:r>
              <w:rPr>
                <w:rFonts w:ascii="Times New Roman" w:hAnsi="Times New Roman"/>
                <w:sz w:val="18"/>
                <w:szCs w:val="18"/>
              </w:rPr>
              <w:t>1</w:t>
            </w:r>
            <w:r>
              <w:rPr>
                <w:rFonts w:ascii="Times New Roman" w:hAnsi="Times New Roman"/>
                <w:sz w:val="18"/>
                <w:szCs w:val="18"/>
              </w:rPr>
              <w:t>、井下排水：煤矿应在工业场地建设包括贮水池、泵站、管网系统在内的井下水回用系统。采用的处理工艺为混凝沉淀</w:t>
            </w:r>
            <w:r>
              <w:rPr>
                <w:rFonts w:ascii="Times New Roman" w:hAnsi="Times New Roman"/>
                <w:sz w:val="18"/>
                <w:szCs w:val="18"/>
              </w:rPr>
              <w:t>+</w:t>
            </w:r>
            <w:r>
              <w:rPr>
                <w:rFonts w:ascii="Times New Roman" w:hAnsi="Times New Roman"/>
                <w:sz w:val="18"/>
                <w:szCs w:val="18"/>
              </w:rPr>
              <w:t>净水器</w:t>
            </w:r>
            <w:r>
              <w:rPr>
                <w:rFonts w:ascii="Times New Roman" w:hAnsi="Times New Roman"/>
                <w:sz w:val="18"/>
                <w:szCs w:val="18"/>
              </w:rPr>
              <w:t>(</w:t>
            </w:r>
            <w:r>
              <w:rPr>
                <w:rFonts w:ascii="Times New Roman" w:hAnsi="Times New Roman"/>
                <w:sz w:val="18"/>
                <w:szCs w:val="18"/>
              </w:rPr>
              <w:t>含消毒</w:t>
            </w:r>
            <w:r>
              <w:rPr>
                <w:rFonts w:ascii="Times New Roman" w:hAnsi="Times New Roman"/>
                <w:sz w:val="18"/>
                <w:szCs w:val="18"/>
              </w:rPr>
              <w:t>)</w:t>
            </w:r>
            <w:r>
              <w:rPr>
                <w:rFonts w:ascii="Times New Roman" w:hAnsi="Times New Roman"/>
                <w:sz w:val="18"/>
                <w:szCs w:val="18"/>
              </w:rPr>
              <w:t>的联合处理方式。处理后的井下排水可用于井下消防洒水等用途，剩余部分排入沙葱沟入西天河，全部用于灵州矸石电厂的循环补充水</w:t>
            </w:r>
          </w:p>
          <w:p w14:paraId="651093E9" w14:textId="77777777" w:rsidR="009C353B" w:rsidRDefault="00000000">
            <w:pPr>
              <w:rPr>
                <w:rFonts w:ascii="Times New Roman" w:hAnsi="Times New Roman"/>
                <w:sz w:val="18"/>
                <w:szCs w:val="18"/>
              </w:rPr>
            </w:pPr>
            <w:r>
              <w:rPr>
                <w:rFonts w:ascii="Times New Roman" w:hAnsi="Times New Roman"/>
                <w:sz w:val="18"/>
                <w:szCs w:val="18"/>
              </w:rPr>
              <w:t>2</w:t>
            </w:r>
            <w:r>
              <w:rPr>
                <w:rFonts w:ascii="Times New Roman" w:hAnsi="Times New Roman"/>
                <w:sz w:val="18"/>
                <w:szCs w:val="18"/>
              </w:rPr>
              <w:t>、生活污水：采用地埋式一体化生活污水处理设备处理经处理后用于厂区缘化而道路洒水、选矸用水</w:t>
            </w:r>
          </w:p>
        </w:tc>
        <w:tc>
          <w:tcPr>
            <w:tcW w:w="3828" w:type="dxa"/>
            <w:vAlign w:val="center"/>
          </w:tcPr>
          <w:p w14:paraId="48072D82" w14:textId="77777777" w:rsidR="009C353B" w:rsidRDefault="00000000">
            <w:pPr>
              <w:widowControl/>
              <w:jc w:val="left"/>
              <w:rPr>
                <w:rFonts w:ascii="Times New Roman" w:hAnsi="Times New Roman"/>
                <w:sz w:val="18"/>
                <w:szCs w:val="18"/>
              </w:rPr>
            </w:pPr>
            <w:r>
              <w:rPr>
                <w:rFonts w:ascii="Times New Roman" w:hAnsi="Times New Roman"/>
                <w:sz w:val="18"/>
                <w:szCs w:val="18"/>
              </w:rPr>
              <w:t>做好水污染防治工作。</w:t>
            </w:r>
          </w:p>
          <w:p w14:paraId="5669A23A" w14:textId="77777777" w:rsidR="009C353B" w:rsidRDefault="00000000">
            <w:pPr>
              <w:widowControl/>
              <w:jc w:val="left"/>
              <w:rPr>
                <w:rFonts w:ascii="Times New Roman" w:hAnsi="Times New Roman"/>
                <w:sz w:val="18"/>
                <w:szCs w:val="18"/>
              </w:rPr>
            </w:pPr>
            <w:r>
              <w:rPr>
                <w:rFonts w:ascii="Times New Roman" w:hAnsi="Times New Roman"/>
                <w:sz w:val="18"/>
                <w:szCs w:val="18"/>
              </w:rPr>
              <w:t>确保各污水处理设施正常、稳定运行，矿井涌水经混凝沉淀处理后，部分回用于井下巷道降尘储煤场及矸石场降尘、洗煤厂补充水，剩余部分经反渗适处理须到《城市污水再生利用工业用水质》</w:t>
            </w:r>
            <w:r>
              <w:rPr>
                <w:rFonts w:ascii="Times New Roman" w:hAnsi="Times New Roman"/>
                <w:sz w:val="18"/>
                <w:szCs w:val="18"/>
              </w:rPr>
              <w:t>(GB/T1923205</w:t>
            </w:r>
            <w:r>
              <w:rPr>
                <w:rFonts w:ascii="Times New Roman" w:hAnsi="Times New Roman"/>
                <w:sz w:val="18"/>
                <w:szCs w:val="18"/>
              </w:rPr>
              <w:t>后作为井下工作面采煤设备冷却水、煤场降尘业场地生活污水经坐活污水处理站处理，水质须达到《城水再生利用绿地灌溉水质》</w:t>
            </w:r>
            <w:r>
              <w:rPr>
                <w:rFonts w:ascii="Times New Roman" w:hAnsi="Times New Roman"/>
                <w:sz w:val="18"/>
                <w:szCs w:val="18"/>
              </w:rPr>
              <w:t>(GB/T25492010)</w:t>
            </w:r>
            <w:r>
              <w:rPr>
                <w:rFonts w:ascii="Times New Roman" w:hAnsi="Times New Roman"/>
                <w:sz w:val="18"/>
                <w:szCs w:val="18"/>
              </w:rPr>
              <w:t>后夏季用于工业场地绿化降尘，冬季暂存于生活污水蓄水池。</w:t>
            </w:r>
            <w:r>
              <w:rPr>
                <w:rFonts w:ascii="Times New Roman" w:hAnsi="Times New Roman"/>
                <w:sz w:val="18"/>
                <w:szCs w:val="18"/>
              </w:rPr>
              <w:t>(</w:t>
            </w:r>
            <w:r>
              <w:rPr>
                <w:rFonts w:ascii="Times New Roman" w:hAnsi="Times New Roman"/>
                <w:sz w:val="18"/>
                <w:szCs w:val="18"/>
              </w:rPr>
              <w:t>利用现有石场西侧的一处天然注地建设生活污水蓄水池，实现经达标处理后的活水各储夏用</w:t>
            </w:r>
            <w:r>
              <w:rPr>
                <w:rFonts w:ascii="Times New Roman" w:hAnsi="Times New Roman"/>
                <w:sz w:val="18"/>
                <w:szCs w:val="18"/>
              </w:rPr>
              <w:t>)</w:t>
            </w:r>
          </w:p>
        </w:tc>
        <w:tc>
          <w:tcPr>
            <w:tcW w:w="3118" w:type="dxa"/>
            <w:vAlign w:val="center"/>
          </w:tcPr>
          <w:p w14:paraId="2D816848" w14:textId="77777777" w:rsidR="009C353B" w:rsidRDefault="00000000">
            <w:pPr>
              <w:widowControl/>
              <w:jc w:val="left"/>
              <w:rPr>
                <w:rFonts w:ascii="Times New Roman" w:hAnsi="Times New Roman"/>
                <w:sz w:val="18"/>
                <w:szCs w:val="18"/>
              </w:rPr>
            </w:pPr>
            <w:r>
              <w:rPr>
                <w:rFonts w:ascii="Times New Roman" w:hAnsi="Times New Roman"/>
                <w:sz w:val="18"/>
                <w:szCs w:val="18"/>
              </w:rPr>
              <w:t>矿井涌水经混凝沉淀处理后，部分回用于井下巷道降尘储煤场及矸石场降尘、洗煤厂补充水，剩余部分经反渗适处理达到《城市污水再生利用工业用水质》</w:t>
            </w:r>
            <w:r>
              <w:rPr>
                <w:rFonts w:ascii="Times New Roman" w:hAnsi="Times New Roman"/>
                <w:sz w:val="18"/>
                <w:szCs w:val="18"/>
              </w:rPr>
              <w:t>(GB/T1923205</w:t>
            </w:r>
            <w:r>
              <w:rPr>
                <w:rFonts w:ascii="Times New Roman" w:hAnsi="Times New Roman"/>
                <w:sz w:val="18"/>
                <w:szCs w:val="18"/>
              </w:rPr>
              <w:t>后作为井下工作面采煤设备冷却水、生产、地面绿化等。生活污水经生活污水处理站处理后，水质达到《城水污水再生利用绿地灌溉水质》</w:t>
            </w:r>
            <w:r>
              <w:rPr>
                <w:rFonts w:ascii="Times New Roman" w:hAnsi="Times New Roman"/>
                <w:sz w:val="18"/>
                <w:szCs w:val="18"/>
              </w:rPr>
              <w:t>(GB/T25499-2010)</w:t>
            </w:r>
            <w:r>
              <w:rPr>
                <w:rFonts w:ascii="Times New Roman" w:hAnsi="Times New Roman"/>
                <w:sz w:val="18"/>
                <w:szCs w:val="18"/>
              </w:rPr>
              <w:t>后夏季用于工业场地绿化降尘，冬季暂存于生活污水蓄水池。实现经达标处理后的生活水储存，夏季复用</w:t>
            </w:r>
          </w:p>
        </w:tc>
        <w:tc>
          <w:tcPr>
            <w:tcW w:w="1276" w:type="dxa"/>
            <w:vAlign w:val="center"/>
          </w:tcPr>
          <w:p w14:paraId="588A6A7F"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512469E5" w14:textId="77777777" w:rsidR="009C353B" w:rsidRDefault="00000000">
            <w:pPr>
              <w:widowControl/>
              <w:jc w:val="left"/>
              <w:rPr>
                <w:rFonts w:ascii="Times New Roman" w:hAnsi="Times New Roman"/>
                <w:sz w:val="18"/>
                <w:szCs w:val="18"/>
              </w:rPr>
            </w:pPr>
            <w:r>
              <w:rPr>
                <w:rFonts w:ascii="Times New Roman" w:hAnsi="Times New Roman"/>
                <w:sz w:val="18"/>
                <w:szCs w:val="18"/>
              </w:rPr>
              <w:t>未发生变化</w:t>
            </w:r>
          </w:p>
        </w:tc>
      </w:tr>
      <w:tr w:rsidR="009C353B" w14:paraId="530C4E0F" w14:textId="77777777">
        <w:trPr>
          <w:trHeight w:val="568"/>
          <w:jc w:val="center"/>
        </w:trPr>
        <w:tc>
          <w:tcPr>
            <w:tcW w:w="733" w:type="dxa"/>
            <w:vMerge/>
            <w:vAlign w:val="center"/>
          </w:tcPr>
          <w:p w14:paraId="6A774B86" w14:textId="77777777" w:rsidR="009C353B" w:rsidRDefault="009C353B">
            <w:pPr>
              <w:jc w:val="center"/>
              <w:rPr>
                <w:rFonts w:ascii="Times New Roman" w:hAnsi="Times New Roman"/>
                <w:sz w:val="18"/>
                <w:szCs w:val="18"/>
              </w:rPr>
            </w:pPr>
          </w:p>
        </w:tc>
        <w:tc>
          <w:tcPr>
            <w:tcW w:w="3094" w:type="dxa"/>
            <w:vAlign w:val="center"/>
          </w:tcPr>
          <w:p w14:paraId="7D993F80" w14:textId="77777777" w:rsidR="009C353B" w:rsidRDefault="00000000">
            <w:pPr>
              <w:rPr>
                <w:rFonts w:ascii="Times New Roman" w:hAnsi="Times New Roman"/>
                <w:sz w:val="18"/>
                <w:szCs w:val="18"/>
              </w:rPr>
            </w:pPr>
            <w:r>
              <w:rPr>
                <w:rFonts w:ascii="Times New Roman" w:hAnsi="Times New Roman"/>
                <w:sz w:val="18"/>
                <w:szCs w:val="18"/>
              </w:rPr>
              <w:t>1</w:t>
            </w:r>
            <w:r>
              <w:rPr>
                <w:rFonts w:ascii="Times New Roman" w:hAnsi="Times New Roman"/>
                <w:sz w:val="18"/>
                <w:szCs w:val="18"/>
              </w:rPr>
              <w:t>、煤矸石</w:t>
            </w:r>
          </w:p>
          <w:p w14:paraId="7B25F9F2" w14:textId="77777777" w:rsidR="009C353B" w:rsidRDefault="00000000">
            <w:pPr>
              <w:rPr>
                <w:rFonts w:ascii="Times New Roman" w:hAnsi="Times New Roman"/>
                <w:sz w:val="18"/>
                <w:szCs w:val="18"/>
              </w:rPr>
            </w:pPr>
            <w:r>
              <w:rPr>
                <w:rFonts w:ascii="Times New Roman" w:hAnsi="Times New Roman"/>
                <w:sz w:val="18"/>
                <w:szCs w:val="18"/>
              </w:rPr>
              <w:t>1-1</w:t>
            </w:r>
            <w:r>
              <w:rPr>
                <w:rFonts w:ascii="Times New Roman" w:hAnsi="Times New Roman"/>
                <w:sz w:val="18"/>
                <w:szCs w:val="18"/>
              </w:rPr>
              <w:t>、任家庄矿井尚未开工建设，无法直接取煤矸石炉渣进行分析化验。从最安全的角度出发，矸石堆场接</w:t>
            </w:r>
            <w:r>
              <w:rPr>
                <w:rFonts w:ascii="Times New Roman" w:hAnsi="Times New Roman"/>
                <w:sz w:val="18"/>
                <w:szCs w:val="18"/>
              </w:rPr>
              <w:t>Ⅱ</w:t>
            </w:r>
            <w:r>
              <w:rPr>
                <w:rFonts w:ascii="Times New Roman" w:hAnsi="Times New Roman"/>
                <w:sz w:val="18"/>
                <w:szCs w:val="18"/>
              </w:rPr>
              <w:t>类贮存场设计，下部做防渗处理。</w:t>
            </w:r>
          </w:p>
          <w:p w14:paraId="7AF2C135" w14:textId="77777777" w:rsidR="009C353B" w:rsidRDefault="00000000">
            <w:pPr>
              <w:rPr>
                <w:rFonts w:ascii="Times New Roman" w:hAnsi="Times New Roman"/>
                <w:sz w:val="18"/>
                <w:szCs w:val="18"/>
              </w:rPr>
            </w:pPr>
            <w:r>
              <w:rPr>
                <w:rFonts w:ascii="Times New Roman" w:hAnsi="Times New Roman"/>
                <w:sz w:val="18"/>
                <w:szCs w:val="18"/>
              </w:rPr>
              <w:t>1-2</w:t>
            </w:r>
            <w:r>
              <w:rPr>
                <w:rFonts w:ascii="Times New Roman" w:hAnsi="Times New Roman"/>
                <w:sz w:val="18"/>
                <w:szCs w:val="18"/>
              </w:rPr>
              <w:t>、建设期井巷掘进矸石用作地基材料。</w:t>
            </w:r>
          </w:p>
          <w:p w14:paraId="4DEAF7AD" w14:textId="77777777" w:rsidR="009C353B" w:rsidRDefault="00000000">
            <w:pPr>
              <w:rPr>
                <w:rFonts w:ascii="Times New Roman" w:hAnsi="Times New Roman"/>
                <w:sz w:val="18"/>
                <w:szCs w:val="18"/>
              </w:rPr>
            </w:pPr>
            <w:r>
              <w:rPr>
                <w:rFonts w:ascii="Times New Roman" w:hAnsi="Times New Roman"/>
                <w:sz w:val="18"/>
                <w:szCs w:val="18"/>
              </w:rPr>
              <w:t>1-3</w:t>
            </w:r>
            <w:r>
              <w:rPr>
                <w:rFonts w:ascii="Times New Roman" w:hAnsi="Times New Roman"/>
                <w:sz w:val="18"/>
                <w:szCs w:val="18"/>
              </w:rPr>
              <w:t>、生产期掘进矸石排至排矸场堆存后，覆土恢复植被：</w:t>
            </w:r>
          </w:p>
          <w:p w14:paraId="4A2C9791" w14:textId="77777777" w:rsidR="009C353B" w:rsidRDefault="00000000">
            <w:pPr>
              <w:rPr>
                <w:rFonts w:ascii="Times New Roman" w:hAnsi="Times New Roman"/>
                <w:sz w:val="18"/>
                <w:szCs w:val="18"/>
              </w:rPr>
            </w:pPr>
            <w:r>
              <w:rPr>
                <w:rFonts w:ascii="Times New Roman" w:hAnsi="Times New Roman"/>
                <w:sz w:val="18"/>
                <w:szCs w:val="18"/>
              </w:rPr>
              <w:t>1-4</w:t>
            </w:r>
            <w:r>
              <w:rPr>
                <w:rFonts w:ascii="Times New Roman" w:hAnsi="Times New Roman"/>
                <w:sz w:val="18"/>
                <w:szCs w:val="18"/>
              </w:rPr>
              <w:t>、机械排矸车间产生的矸石全部运至灵州矸石电厂使废物用。</w:t>
            </w:r>
          </w:p>
          <w:p w14:paraId="2BBF68D9" w14:textId="77777777" w:rsidR="009C353B" w:rsidRDefault="00000000">
            <w:pPr>
              <w:rPr>
                <w:rFonts w:ascii="Times New Roman" w:hAnsi="Times New Roman"/>
                <w:sz w:val="18"/>
                <w:szCs w:val="18"/>
              </w:rPr>
            </w:pPr>
            <w:r>
              <w:rPr>
                <w:rFonts w:ascii="Times New Roman" w:hAnsi="Times New Roman"/>
                <w:sz w:val="18"/>
                <w:szCs w:val="18"/>
              </w:rPr>
              <w:t>2</w:t>
            </w:r>
            <w:r>
              <w:rPr>
                <w:rFonts w:ascii="Times New Roman" w:hAnsi="Times New Roman"/>
                <w:sz w:val="18"/>
                <w:szCs w:val="18"/>
              </w:rPr>
              <w:t>、生活垃圾</w:t>
            </w:r>
          </w:p>
          <w:p w14:paraId="69261822" w14:textId="77777777" w:rsidR="009C353B" w:rsidRDefault="00000000">
            <w:pPr>
              <w:rPr>
                <w:rFonts w:ascii="Times New Roman" w:hAnsi="Times New Roman"/>
                <w:sz w:val="18"/>
                <w:szCs w:val="18"/>
              </w:rPr>
            </w:pPr>
            <w:r>
              <w:rPr>
                <w:rFonts w:ascii="Times New Roman" w:hAnsi="Times New Roman"/>
                <w:sz w:val="18"/>
                <w:szCs w:val="18"/>
              </w:rPr>
              <w:t>生活垃圾交至矿区环卫部门统一进行处理。工业场地内应设垃圾储存箱，并派专人负责定期及时清运。</w:t>
            </w:r>
          </w:p>
          <w:p w14:paraId="7578BF3E" w14:textId="77777777" w:rsidR="009C353B" w:rsidRDefault="00000000">
            <w:pPr>
              <w:rPr>
                <w:rFonts w:ascii="Times New Roman" w:hAnsi="Times New Roman"/>
                <w:sz w:val="18"/>
                <w:szCs w:val="18"/>
              </w:rPr>
            </w:pPr>
            <w:r>
              <w:rPr>
                <w:rFonts w:ascii="Times New Roman" w:hAnsi="Times New Roman"/>
                <w:sz w:val="18"/>
                <w:szCs w:val="18"/>
              </w:rPr>
              <w:t>3</w:t>
            </w:r>
            <w:r>
              <w:rPr>
                <w:rFonts w:ascii="Times New Roman" w:hAnsi="Times New Roman"/>
                <w:sz w:val="18"/>
                <w:szCs w:val="18"/>
              </w:rPr>
              <w:t>、污泥处理</w:t>
            </w:r>
          </w:p>
          <w:p w14:paraId="344DA722" w14:textId="77777777" w:rsidR="009C353B" w:rsidRDefault="00000000">
            <w:pPr>
              <w:rPr>
                <w:rFonts w:ascii="Times New Roman" w:hAnsi="Times New Roman"/>
                <w:sz w:val="18"/>
                <w:szCs w:val="18"/>
              </w:rPr>
            </w:pPr>
            <w:r>
              <w:rPr>
                <w:rFonts w:ascii="Times New Roman" w:hAnsi="Times New Roman"/>
                <w:sz w:val="18"/>
                <w:szCs w:val="18"/>
              </w:rPr>
              <w:t>3-1</w:t>
            </w:r>
            <w:r>
              <w:rPr>
                <w:rFonts w:ascii="Times New Roman" w:hAnsi="Times New Roman"/>
                <w:sz w:val="18"/>
                <w:szCs w:val="18"/>
              </w:rPr>
              <w:t>、生活污水处理站污泥，经堆肥用于农田</w:t>
            </w:r>
          </w:p>
          <w:p w14:paraId="221195B3" w14:textId="77777777" w:rsidR="009C353B" w:rsidRDefault="00000000">
            <w:pPr>
              <w:rPr>
                <w:rFonts w:ascii="Times New Roman" w:hAnsi="Times New Roman"/>
                <w:sz w:val="18"/>
                <w:szCs w:val="18"/>
              </w:rPr>
            </w:pPr>
            <w:r>
              <w:rPr>
                <w:rFonts w:ascii="Times New Roman" w:hAnsi="Times New Roman"/>
                <w:sz w:val="18"/>
                <w:szCs w:val="18"/>
              </w:rPr>
              <w:t>32</w:t>
            </w:r>
            <w:r>
              <w:rPr>
                <w:rFonts w:ascii="Times New Roman" w:hAnsi="Times New Roman"/>
                <w:sz w:val="18"/>
                <w:szCs w:val="18"/>
              </w:rPr>
              <w:t>、井下水处理站污泥，定期重力排出，掺入末煤销售。</w:t>
            </w:r>
          </w:p>
        </w:tc>
        <w:tc>
          <w:tcPr>
            <w:tcW w:w="3828" w:type="dxa"/>
            <w:vAlign w:val="center"/>
          </w:tcPr>
          <w:p w14:paraId="17A8BF68" w14:textId="77777777" w:rsidR="009C353B" w:rsidRDefault="00000000">
            <w:pPr>
              <w:widowControl/>
              <w:jc w:val="left"/>
              <w:rPr>
                <w:rFonts w:ascii="Times New Roman" w:hAnsi="Times New Roman"/>
                <w:sz w:val="18"/>
                <w:szCs w:val="18"/>
              </w:rPr>
            </w:pPr>
            <w:r>
              <w:rPr>
                <w:rFonts w:ascii="Times New Roman" w:hAnsi="Times New Roman"/>
                <w:sz w:val="18"/>
                <w:szCs w:val="18"/>
              </w:rPr>
              <w:t>确保各类固体废物按规定规范妥善处理处置主业场现有矸石场已超库容须立即停用，进行生态恢复，并按《一般工业固体废物贮存、处置场污染控制标</w:t>
            </w:r>
            <w:r>
              <w:rPr>
                <w:rFonts w:ascii="Times New Roman" w:hAnsi="Times New Roman"/>
                <w:sz w:val="18"/>
                <w:szCs w:val="18"/>
              </w:rPr>
              <w:t>(GB1859200)</w:t>
            </w:r>
            <w:r>
              <w:rPr>
                <w:rFonts w:ascii="Times New Roman" w:hAnsi="Times New Roman"/>
                <w:sz w:val="18"/>
                <w:szCs w:val="18"/>
              </w:rPr>
              <w:t>建设矸石堆场挡土墙、排水设施及地下水监测井，并规范做好相关凤险防范等工作。同时应积极建设新矸石场</w:t>
            </w:r>
            <w:r>
              <w:rPr>
                <w:rFonts w:ascii="Times New Roman" w:hAnsi="Times New Roman"/>
                <w:sz w:val="18"/>
                <w:szCs w:val="18"/>
              </w:rPr>
              <w:t>(</w:t>
            </w:r>
            <w:r>
              <w:rPr>
                <w:rFonts w:ascii="Times New Roman" w:hAnsi="Times New Roman"/>
                <w:sz w:val="18"/>
                <w:szCs w:val="18"/>
              </w:rPr>
              <w:t>另行环评</w:t>
            </w:r>
            <w:r>
              <w:rPr>
                <w:rFonts w:ascii="Times New Roman" w:hAnsi="Times New Roman"/>
                <w:sz w:val="18"/>
                <w:szCs w:val="18"/>
              </w:rPr>
              <w:t>)</w:t>
            </w:r>
            <w:r>
              <w:rPr>
                <w:rFonts w:ascii="Times New Roman" w:hAnsi="Times New Roman"/>
                <w:sz w:val="18"/>
                <w:szCs w:val="18"/>
              </w:rPr>
              <w:t>期间产生的矸石积极寻求利用途径最大限度进行综合利用，无法综合利用，暂运红石湾煤矿矸石场堆放。锅炉灰渣全部回用于并下巷道铺设。不得堆放至矸石堆场。供暖工程改造完成后，采暖由临河动力站蒸汽热源供给，将不再产生锅炉灰渣，生活污水处理站产生污泥进行处理使其含水率小于</w:t>
            </w:r>
            <w:r>
              <w:rPr>
                <w:rFonts w:ascii="Times New Roman" w:hAnsi="Times New Roman"/>
                <w:sz w:val="18"/>
                <w:szCs w:val="18"/>
              </w:rPr>
              <w:t>50%</w:t>
            </w:r>
            <w:r>
              <w:rPr>
                <w:rFonts w:ascii="Times New Roman" w:hAnsi="Times New Roman"/>
                <w:sz w:val="18"/>
                <w:szCs w:val="18"/>
              </w:rPr>
              <w:t>后，送环卫部门统一处置，不得堆放至矸石堆场</w:t>
            </w:r>
          </w:p>
          <w:p w14:paraId="3FC3C848" w14:textId="77777777" w:rsidR="009C353B" w:rsidRDefault="00000000">
            <w:pPr>
              <w:widowControl/>
              <w:jc w:val="left"/>
              <w:rPr>
                <w:rFonts w:ascii="Times New Roman" w:hAnsi="Times New Roman"/>
                <w:sz w:val="18"/>
                <w:szCs w:val="18"/>
              </w:rPr>
            </w:pPr>
            <w:r>
              <w:rPr>
                <w:rFonts w:ascii="Times New Roman" w:hAnsi="Times New Roman"/>
                <w:sz w:val="18"/>
                <w:szCs w:val="18"/>
              </w:rPr>
              <w:t>项目运行过程中产生的废机油等属于危险废物，委托有资质的单位安全处置。危废处置措施及危废暂存间建设等需符合《危险废物贮存污染控制标准》（</w:t>
            </w:r>
            <w:r>
              <w:rPr>
                <w:rFonts w:ascii="Times New Roman" w:hAnsi="Times New Roman"/>
                <w:sz w:val="18"/>
                <w:szCs w:val="18"/>
              </w:rPr>
              <w:t>GB8597-2001</w:t>
            </w:r>
            <w:r>
              <w:rPr>
                <w:rFonts w:ascii="Times New Roman" w:hAnsi="Times New Roman"/>
                <w:sz w:val="18"/>
                <w:szCs w:val="18"/>
              </w:rPr>
              <w:t>）及</w:t>
            </w:r>
            <w:r>
              <w:rPr>
                <w:rFonts w:ascii="Times New Roman" w:hAnsi="Times New Roman"/>
                <w:sz w:val="18"/>
                <w:szCs w:val="18"/>
              </w:rPr>
              <w:t>2013</w:t>
            </w:r>
            <w:r>
              <w:rPr>
                <w:rFonts w:ascii="Times New Roman" w:hAnsi="Times New Roman"/>
                <w:sz w:val="18"/>
                <w:szCs w:val="18"/>
              </w:rPr>
              <w:t>年修改单要求。</w:t>
            </w:r>
          </w:p>
        </w:tc>
        <w:tc>
          <w:tcPr>
            <w:tcW w:w="3118" w:type="dxa"/>
            <w:vAlign w:val="center"/>
          </w:tcPr>
          <w:p w14:paraId="54E74148" w14:textId="77777777" w:rsidR="009C353B" w:rsidRDefault="00000000">
            <w:pPr>
              <w:widowControl/>
              <w:jc w:val="left"/>
              <w:rPr>
                <w:rFonts w:ascii="Times New Roman" w:hAnsi="Times New Roman"/>
                <w:sz w:val="18"/>
                <w:szCs w:val="18"/>
              </w:rPr>
            </w:pPr>
            <w:r>
              <w:rPr>
                <w:rFonts w:ascii="Times New Roman" w:hAnsi="Times New Roman"/>
                <w:sz w:val="18"/>
                <w:szCs w:val="18"/>
              </w:rPr>
              <w:t>现有矸石场已停用，并完成生态恢复，并按《一般工业固体废物贮存、处置场污染控制标</w:t>
            </w:r>
            <w:r>
              <w:rPr>
                <w:rFonts w:ascii="Times New Roman" w:hAnsi="Times New Roman"/>
                <w:sz w:val="18"/>
                <w:szCs w:val="18"/>
              </w:rPr>
              <w:t>(GB1859200)</w:t>
            </w:r>
            <w:r>
              <w:rPr>
                <w:rFonts w:ascii="Times New Roman" w:hAnsi="Times New Roman"/>
                <w:sz w:val="18"/>
                <w:szCs w:val="18"/>
              </w:rPr>
              <w:t>建设矸石堆场挡土墙、排水设施及地下水监测井等。</w:t>
            </w:r>
          </w:p>
          <w:p w14:paraId="46C039CD" w14:textId="77777777" w:rsidR="009C353B" w:rsidRDefault="00000000">
            <w:pPr>
              <w:widowControl/>
              <w:jc w:val="left"/>
              <w:rPr>
                <w:rFonts w:ascii="Times New Roman" w:hAnsi="Times New Roman"/>
                <w:sz w:val="18"/>
                <w:szCs w:val="18"/>
              </w:rPr>
            </w:pPr>
            <w:r>
              <w:rPr>
                <w:rFonts w:ascii="Times New Roman" w:hAnsi="Times New Roman"/>
                <w:sz w:val="18"/>
                <w:szCs w:val="18"/>
              </w:rPr>
              <w:t>积极燃气锅炉改造已经完成，不再产生锅炉灰渣。</w:t>
            </w:r>
          </w:p>
          <w:p w14:paraId="577654B9" w14:textId="77777777" w:rsidR="009C353B" w:rsidRDefault="00000000">
            <w:pPr>
              <w:widowControl/>
              <w:jc w:val="left"/>
              <w:rPr>
                <w:rFonts w:ascii="Times New Roman" w:hAnsi="Times New Roman"/>
                <w:sz w:val="18"/>
                <w:szCs w:val="18"/>
              </w:rPr>
            </w:pPr>
            <w:r>
              <w:rPr>
                <w:rFonts w:ascii="Times New Roman" w:hAnsi="Times New Roman"/>
                <w:sz w:val="18"/>
                <w:szCs w:val="18"/>
              </w:rPr>
              <w:t>生活污水处理站产生污泥进行处理使其含水率小于</w:t>
            </w:r>
            <w:r>
              <w:rPr>
                <w:rFonts w:ascii="Times New Roman" w:hAnsi="Times New Roman"/>
                <w:sz w:val="18"/>
                <w:szCs w:val="18"/>
              </w:rPr>
              <w:t>50%</w:t>
            </w:r>
            <w:r>
              <w:rPr>
                <w:rFonts w:ascii="Times New Roman" w:hAnsi="Times New Roman"/>
                <w:sz w:val="18"/>
                <w:szCs w:val="18"/>
              </w:rPr>
              <w:t>后，送环卫部门统一处置。</w:t>
            </w:r>
          </w:p>
          <w:p w14:paraId="719D2295" w14:textId="77777777" w:rsidR="009C353B" w:rsidRDefault="00000000">
            <w:pPr>
              <w:widowControl/>
              <w:jc w:val="left"/>
              <w:rPr>
                <w:rFonts w:ascii="Times New Roman" w:hAnsi="Times New Roman"/>
                <w:sz w:val="18"/>
                <w:szCs w:val="18"/>
              </w:rPr>
            </w:pPr>
            <w:r>
              <w:rPr>
                <w:rFonts w:ascii="Times New Roman" w:hAnsi="Times New Roman"/>
                <w:sz w:val="18"/>
                <w:szCs w:val="18"/>
              </w:rPr>
              <w:t>项目运行过程中产生的废机油等属于危险废物，已委托有资质的单位安全处置。危废处置措施及危废暂存间建设等需符合《危险废物贮存污染控制标准》（</w:t>
            </w:r>
            <w:r>
              <w:rPr>
                <w:rFonts w:ascii="Times New Roman" w:hAnsi="Times New Roman"/>
                <w:sz w:val="18"/>
                <w:szCs w:val="18"/>
              </w:rPr>
              <w:t>GB18597-2001</w:t>
            </w:r>
            <w:r>
              <w:rPr>
                <w:rFonts w:ascii="Times New Roman" w:hAnsi="Times New Roman"/>
                <w:sz w:val="18"/>
                <w:szCs w:val="18"/>
              </w:rPr>
              <w:t>）及</w:t>
            </w:r>
            <w:r>
              <w:rPr>
                <w:rFonts w:ascii="Times New Roman" w:hAnsi="Times New Roman"/>
                <w:sz w:val="18"/>
                <w:szCs w:val="18"/>
              </w:rPr>
              <w:t>2013</w:t>
            </w:r>
            <w:r>
              <w:rPr>
                <w:rFonts w:ascii="Times New Roman" w:hAnsi="Times New Roman"/>
                <w:sz w:val="18"/>
                <w:szCs w:val="18"/>
              </w:rPr>
              <w:t>年修改单要求。</w:t>
            </w:r>
          </w:p>
        </w:tc>
        <w:tc>
          <w:tcPr>
            <w:tcW w:w="1276" w:type="dxa"/>
            <w:vAlign w:val="center"/>
          </w:tcPr>
          <w:p w14:paraId="3444A51E" w14:textId="77777777" w:rsidR="009C353B" w:rsidRDefault="00000000">
            <w:pPr>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487F3475" w14:textId="77777777" w:rsidR="009C353B" w:rsidRDefault="00000000">
            <w:pPr>
              <w:widowControl/>
              <w:jc w:val="left"/>
              <w:rPr>
                <w:rFonts w:ascii="Times New Roman" w:hAnsi="Times New Roman"/>
                <w:sz w:val="18"/>
                <w:szCs w:val="18"/>
              </w:rPr>
            </w:pPr>
            <w:r>
              <w:rPr>
                <w:rFonts w:ascii="Times New Roman" w:hAnsi="Times New Roman"/>
                <w:sz w:val="18"/>
                <w:szCs w:val="18"/>
              </w:rPr>
              <w:t>未发生变化</w:t>
            </w:r>
          </w:p>
        </w:tc>
      </w:tr>
      <w:tr w:rsidR="009C353B" w14:paraId="5B3AB1CB" w14:textId="77777777">
        <w:trPr>
          <w:trHeight w:val="568"/>
          <w:jc w:val="center"/>
        </w:trPr>
        <w:tc>
          <w:tcPr>
            <w:tcW w:w="733" w:type="dxa"/>
            <w:vMerge/>
            <w:vAlign w:val="center"/>
          </w:tcPr>
          <w:p w14:paraId="1A1B8253" w14:textId="77777777" w:rsidR="009C353B" w:rsidRDefault="009C353B">
            <w:pPr>
              <w:jc w:val="center"/>
              <w:rPr>
                <w:rFonts w:ascii="Times New Roman" w:hAnsi="Times New Roman"/>
                <w:sz w:val="18"/>
                <w:szCs w:val="18"/>
              </w:rPr>
            </w:pPr>
          </w:p>
        </w:tc>
        <w:tc>
          <w:tcPr>
            <w:tcW w:w="3094" w:type="dxa"/>
            <w:vAlign w:val="center"/>
          </w:tcPr>
          <w:p w14:paraId="2C635AB5" w14:textId="77777777" w:rsidR="009C353B" w:rsidRDefault="00000000">
            <w:pPr>
              <w:rPr>
                <w:rFonts w:ascii="Times New Roman" w:hAnsi="Times New Roman"/>
                <w:sz w:val="18"/>
                <w:szCs w:val="18"/>
              </w:rPr>
            </w:pPr>
            <w:r>
              <w:rPr>
                <w:rFonts w:ascii="Times New Roman" w:hAnsi="Times New Roman"/>
                <w:sz w:val="18"/>
                <w:szCs w:val="18"/>
              </w:rPr>
              <w:t>1</w:t>
            </w:r>
            <w:r>
              <w:rPr>
                <w:rFonts w:ascii="Times New Roman" w:hAnsi="Times New Roman"/>
                <w:sz w:val="18"/>
                <w:szCs w:val="18"/>
              </w:rPr>
              <w:t>、破碎机等独立单元的产噪设备，在其四周围护隔吸声导向板</w:t>
            </w:r>
          </w:p>
          <w:p w14:paraId="7A9BA033" w14:textId="77777777" w:rsidR="009C353B" w:rsidRDefault="00000000">
            <w:pPr>
              <w:rPr>
                <w:rFonts w:ascii="Times New Roman" w:hAnsi="Times New Roman"/>
                <w:sz w:val="18"/>
                <w:szCs w:val="18"/>
              </w:rPr>
            </w:pPr>
            <w:r>
              <w:rPr>
                <w:rFonts w:ascii="Times New Roman" w:hAnsi="Times New Roman"/>
                <w:sz w:val="18"/>
                <w:szCs w:val="18"/>
              </w:rPr>
              <w:t>对体型较大的振动筛等设隔吸声围护。</w:t>
            </w:r>
          </w:p>
          <w:p w14:paraId="3F5DCB8C" w14:textId="77777777" w:rsidR="009C353B" w:rsidRDefault="00000000">
            <w:pPr>
              <w:rPr>
                <w:rFonts w:ascii="Times New Roman" w:hAnsi="Times New Roman"/>
                <w:sz w:val="18"/>
                <w:szCs w:val="18"/>
              </w:rPr>
            </w:pPr>
            <w:r>
              <w:rPr>
                <w:rFonts w:ascii="Times New Roman" w:hAnsi="Times New Roman"/>
                <w:sz w:val="18"/>
                <w:szCs w:val="18"/>
              </w:rPr>
              <w:t>2</w:t>
            </w:r>
            <w:r>
              <w:rPr>
                <w:rFonts w:ascii="Times New Roman" w:hAnsi="Times New Roman"/>
                <w:sz w:val="18"/>
                <w:szCs w:val="18"/>
              </w:rPr>
              <w:t>、对溜槽、溜斗等要进行阻尼减振处置，具体的办法是在其外壁涂装阻尼材料</w:t>
            </w:r>
            <w:r>
              <w:rPr>
                <w:rFonts w:ascii="Times New Roman" w:hAnsi="Times New Roman"/>
                <w:sz w:val="18"/>
                <w:szCs w:val="18"/>
              </w:rPr>
              <w:t>(</w:t>
            </w:r>
            <w:r>
              <w:rPr>
                <w:rFonts w:ascii="Times New Roman" w:hAnsi="Times New Roman"/>
                <w:sz w:val="18"/>
                <w:szCs w:val="18"/>
              </w:rPr>
              <w:t>如水性沥青</w:t>
            </w:r>
            <w:r>
              <w:rPr>
                <w:rFonts w:ascii="Times New Roman" w:hAnsi="Times New Roman"/>
                <w:sz w:val="18"/>
                <w:szCs w:val="18"/>
              </w:rPr>
              <w:t>)</w:t>
            </w:r>
            <w:r>
              <w:rPr>
                <w:rFonts w:ascii="Times New Roman" w:hAnsi="Times New Roman"/>
                <w:sz w:val="18"/>
                <w:szCs w:val="18"/>
              </w:rPr>
              <w:t>和用吸声材料（如离心玻璃棉毡）帖敷围护</w:t>
            </w:r>
          </w:p>
          <w:p w14:paraId="0C569FFD" w14:textId="77777777" w:rsidR="009C353B" w:rsidRDefault="00000000">
            <w:pPr>
              <w:rPr>
                <w:rFonts w:ascii="Times New Roman" w:hAnsi="Times New Roman"/>
                <w:sz w:val="18"/>
                <w:szCs w:val="18"/>
              </w:rPr>
            </w:pPr>
            <w:r>
              <w:rPr>
                <w:rFonts w:ascii="Times New Roman" w:hAnsi="Times New Roman"/>
                <w:sz w:val="18"/>
                <w:szCs w:val="18"/>
              </w:rPr>
              <w:t>3</w:t>
            </w:r>
            <w:r>
              <w:rPr>
                <w:rFonts w:ascii="Times New Roman" w:hAnsi="Times New Roman"/>
                <w:sz w:val="18"/>
                <w:szCs w:val="18"/>
              </w:rPr>
              <w:t>、在风机口上加设消声塔或折流式出风消声道</w:t>
            </w:r>
          </w:p>
          <w:p w14:paraId="7244767D" w14:textId="77777777" w:rsidR="009C353B" w:rsidRDefault="00000000">
            <w:pPr>
              <w:rPr>
                <w:rFonts w:ascii="Times New Roman" w:hAnsi="Times New Roman"/>
                <w:sz w:val="18"/>
                <w:szCs w:val="18"/>
              </w:rPr>
            </w:pPr>
            <w:r>
              <w:rPr>
                <w:rFonts w:ascii="Times New Roman" w:hAnsi="Times New Roman"/>
                <w:sz w:val="18"/>
                <w:szCs w:val="18"/>
              </w:rPr>
              <w:t>4</w:t>
            </w:r>
            <w:r>
              <w:rPr>
                <w:rFonts w:ascii="Times New Roman" w:hAnsi="Times New Roman"/>
                <w:sz w:val="18"/>
                <w:szCs w:val="18"/>
              </w:rPr>
              <w:t>、对坑木加工房的门窗设计为采光隔吸声结构，并禁止坑木房在夜间运行</w:t>
            </w:r>
          </w:p>
          <w:p w14:paraId="4782817C" w14:textId="77777777" w:rsidR="009C353B" w:rsidRDefault="00000000">
            <w:pPr>
              <w:rPr>
                <w:rFonts w:ascii="Times New Roman" w:hAnsi="Times New Roman"/>
                <w:sz w:val="18"/>
                <w:szCs w:val="18"/>
              </w:rPr>
            </w:pPr>
            <w:r>
              <w:rPr>
                <w:rFonts w:ascii="Times New Roman" w:hAnsi="Times New Roman"/>
                <w:sz w:val="18"/>
                <w:szCs w:val="18"/>
              </w:rPr>
              <w:t>5</w:t>
            </w:r>
            <w:r>
              <w:rPr>
                <w:rFonts w:ascii="Times New Roman" w:hAnsi="Times New Roman"/>
                <w:sz w:val="18"/>
                <w:szCs w:val="18"/>
              </w:rPr>
              <w:t>、锅炉房鼓、引风机安装时应设惰性基础和减振垫，分别加设进风口和出风口消声器。</w:t>
            </w:r>
          </w:p>
          <w:p w14:paraId="74AE576C" w14:textId="77777777" w:rsidR="009C353B" w:rsidRDefault="00000000">
            <w:pPr>
              <w:rPr>
                <w:rFonts w:ascii="Times New Roman" w:hAnsi="Times New Roman"/>
                <w:sz w:val="18"/>
                <w:szCs w:val="18"/>
              </w:rPr>
            </w:pPr>
            <w:r>
              <w:rPr>
                <w:rFonts w:ascii="Times New Roman" w:hAnsi="Times New Roman"/>
                <w:sz w:val="18"/>
                <w:szCs w:val="18"/>
              </w:rPr>
              <w:t>6</w:t>
            </w:r>
            <w:r>
              <w:rPr>
                <w:rFonts w:ascii="Times New Roman" w:hAnsi="Times New Roman"/>
                <w:sz w:val="18"/>
                <w:szCs w:val="18"/>
              </w:rPr>
              <w:t>、在厂界四周种柏阔叶，针叶交防护林带，周边绿化带为</w:t>
            </w:r>
            <w:r>
              <w:rPr>
                <w:rFonts w:ascii="Times New Roman" w:hAnsi="Times New Roman"/>
                <w:sz w:val="18"/>
                <w:szCs w:val="18"/>
              </w:rPr>
              <w:t>20</w:t>
            </w:r>
            <w:r>
              <w:rPr>
                <w:rFonts w:ascii="Times New Roman" w:hAnsi="Times New Roman"/>
                <w:sz w:val="18"/>
                <w:szCs w:val="18"/>
              </w:rPr>
              <w:t>米宽</w:t>
            </w:r>
          </w:p>
        </w:tc>
        <w:tc>
          <w:tcPr>
            <w:tcW w:w="3828" w:type="dxa"/>
            <w:vAlign w:val="center"/>
          </w:tcPr>
          <w:p w14:paraId="5F5CC138" w14:textId="77777777" w:rsidR="009C353B" w:rsidRDefault="00000000">
            <w:pPr>
              <w:widowControl/>
              <w:jc w:val="left"/>
              <w:rPr>
                <w:rFonts w:ascii="Times New Roman" w:hAnsi="Times New Roman"/>
                <w:sz w:val="18"/>
                <w:szCs w:val="18"/>
              </w:rPr>
            </w:pPr>
            <w:r>
              <w:rPr>
                <w:rFonts w:ascii="Times New Roman" w:hAnsi="Times New Roman"/>
                <w:sz w:val="18"/>
                <w:szCs w:val="18"/>
              </w:rPr>
              <w:t>各工业广场边界噪声须符合《工业企业厂界环境排放标准》</w:t>
            </w:r>
            <w:r>
              <w:rPr>
                <w:rFonts w:ascii="Times New Roman" w:hAnsi="Times New Roman"/>
                <w:sz w:val="18"/>
                <w:szCs w:val="18"/>
              </w:rPr>
              <w:t>(012348-20083</w:t>
            </w:r>
            <w:r>
              <w:rPr>
                <w:rFonts w:ascii="Times New Roman" w:hAnsi="Times New Roman"/>
                <w:sz w:val="18"/>
                <w:szCs w:val="18"/>
              </w:rPr>
              <w:t>类标准要求。</w:t>
            </w:r>
            <w:r>
              <w:rPr>
                <w:rFonts w:ascii="Times New Roman" w:hAnsi="Times New Roman"/>
                <w:sz w:val="18"/>
                <w:szCs w:val="18"/>
              </w:rPr>
              <w:t xml:space="preserve">                              </w:t>
            </w:r>
          </w:p>
          <w:p w14:paraId="046D6C45" w14:textId="77777777" w:rsidR="009C353B" w:rsidRDefault="00000000">
            <w:pPr>
              <w:widowControl/>
              <w:jc w:val="left"/>
              <w:rPr>
                <w:rFonts w:ascii="Times New Roman" w:hAnsi="Times New Roman"/>
                <w:sz w:val="18"/>
                <w:szCs w:val="18"/>
              </w:rPr>
            </w:pPr>
            <w:r>
              <w:rPr>
                <w:rFonts w:ascii="Times New Roman" w:hAnsi="Times New Roman"/>
                <w:sz w:val="18"/>
                <w:szCs w:val="18"/>
              </w:rPr>
              <w:t xml:space="preserve">     </w:t>
            </w:r>
          </w:p>
        </w:tc>
        <w:tc>
          <w:tcPr>
            <w:tcW w:w="3118" w:type="dxa"/>
            <w:vAlign w:val="center"/>
          </w:tcPr>
          <w:p w14:paraId="74DF4E42" w14:textId="77777777" w:rsidR="009C353B" w:rsidRDefault="00000000">
            <w:pPr>
              <w:widowControl/>
              <w:jc w:val="left"/>
              <w:rPr>
                <w:rFonts w:ascii="Times New Roman" w:hAnsi="Times New Roman"/>
                <w:sz w:val="18"/>
                <w:szCs w:val="18"/>
              </w:rPr>
            </w:pPr>
            <w:r>
              <w:rPr>
                <w:rFonts w:ascii="Times New Roman" w:hAnsi="Times New Roman"/>
                <w:sz w:val="18"/>
                <w:szCs w:val="18"/>
              </w:rPr>
              <w:t>1</w:t>
            </w:r>
            <w:r>
              <w:rPr>
                <w:rFonts w:ascii="Times New Roman" w:hAnsi="Times New Roman"/>
                <w:sz w:val="18"/>
                <w:szCs w:val="18"/>
              </w:rPr>
              <w:t>、破碎机等独立单元的产噪设备，在其四周围护隔吸声导向板</w:t>
            </w:r>
          </w:p>
          <w:p w14:paraId="35CA26D9" w14:textId="77777777" w:rsidR="009C353B" w:rsidRDefault="00000000">
            <w:pPr>
              <w:widowControl/>
              <w:jc w:val="left"/>
              <w:rPr>
                <w:rFonts w:ascii="Times New Roman" w:hAnsi="Times New Roman"/>
                <w:sz w:val="18"/>
                <w:szCs w:val="18"/>
              </w:rPr>
            </w:pPr>
            <w:r>
              <w:rPr>
                <w:rFonts w:ascii="Times New Roman" w:hAnsi="Times New Roman"/>
                <w:sz w:val="18"/>
                <w:szCs w:val="18"/>
              </w:rPr>
              <w:t>对体型较大的振动筛等设隔吸声围护。</w:t>
            </w:r>
          </w:p>
          <w:p w14:paraId="274129D3" w14:textId="77777777" w:rsidR="009C353B" w:rsidRDefault="00000000">
            <w:pPr>
              <w:widowControl/>
              <w:jc w:val="left"/>
              <w:rPr>
                <w:rFonts w:ascii="Times New Roman" w:hAnsi="Times New Roman"/>
                <w:sz w:val="18"/>
                <w:szCs w:val="18"/>
              </w:rPr>
            </w:pPr>
            <w:r>
              <w:rPr>
                <w:rFonts w:ascii="Times New Roman" w:hAnsi="Times New Roman"/>
                <w:sz w:val="18"/>
                <w:szCs w:val="18"/>
              </w:rPr>
              <w:t>2</w:t>
            </w:r>
            <w:r>
              <w:rPr>
                <w:rFonts w:ascii="Times New Roman" w:hAnsi="Times New Roman"/>
                <w:sz w:val="18"/>
                <w:szCs w:val="18"/>
              </w:rPr>
              <w:t>、对溜槽、溜斗等要进行阻尼减振处置，具体的办法是在其外壁涂装阻尼材料</w:t>
            </w:r>
            <w:r>
              <w:rPr>
                <w:rFonts w:ascii="Times New Roman" w:hAnsi="Times New Roman"/>
                <w:sz w:val="18"/>
                <w:szCs w:val="18"/>
              </w:rPr>
              <w:t>(</w:t>
            </w:r>
            <w:r>
              <w:rPr>
                <w:rFonts w:ascii="Times New Roman" w:hAnsi="Times New Roman"/>
                <w:sz w:val="18"/>
                <w:szCs w:val="18"/>
              </w:rPr>
              <w:t>如水性沥青</w:t>
            </w:r>
            <w:r>
              <w:rPr>
                <w:rFonts w:ascii="Times New Roman" w:hAnsi="Times New Roman"/>
                <w:sz w:val="18"/>
                <w:szCs w:val="18"/>
              </w:rPr>
              <w:t>)</w:t>
            </w:r>
            <w:r>
              <w:rPr>
                <w:rFonts w:ascii="Times New Roman" w:hAnsi="Times New Roman"/>
                <w:sz w:val="18"/>
                <w:szCs w:val="18"/>
              </w:rPr>
              <w:t>和用吸声材料（如离心玻璃棉毡）帖敷围护</w:t>
            </w:r>
          </w:p>
          <w:p w14:paraId="09EE5913" w14:textId="77777777" w:rsidR="009C353B" w:rsidRDefault="00000000">
            <w:pPr>
              <w:widowControl/>
              <w:jc w:val="left"/>
              <w:rPr>
                <w:rFonts w:ascii="Times New Roman" w:hAnsi="Times New Roman"/>
                <w:sz w:val="18"/>
                <w:szCs w:val="18"/>
              </w:rPr>
            </w:pPr>
            <w:r>
              <w:rPr>
                <w:rFonts w:ascii="Times New Roman" w:hAnsi="Times New Roman"/>
                <w:sz w:val="18"/>
                <w:szCs w:val="18"/>
              </w:rPr>
              <w:t>3</w:t>
            </w:r>
            <w:r>
              <w:rPr>
                <w:rFonts w:ascii="Times New Roman" w:hAnsi="Times New Roman"/>
                <w:sz w:val="18"/>
                <w:szCs w:val="18"/>
              </w:rPr>
              <w:t>、高噪声设备与基础采用弹性连接，风机对旋式通风机的出风口安装吸音材料、消音器。空压机、绞车、主运输机、锅炉风机等高噪声设备布置在隔音间内。</w:t>
            </w:r>
          </w:p>
          <w:p w14:paraId="17DBE414" w14:textId="77777777" w:rsidR="009C353B" w:rsidRDefault="00000000">
            <w:pPr>
              <w:widowControl/>
              <w:jc w:val="left"/>
              <w:rPr>
                <w:rFonts w:ascii="Times New Roman" w:hAnsi="Times New Roman"/>
                <w:sz w:val="18"/>
                <w:szCs w:val="18"/>
              </w:rPr>
            </w:pPr>
            <w:r>
              <w:rPr>
                <w:rFonts w:ascii="Times New Roman" w:hAnsi="Times New Roman"/>
                <w:sz w:val="18"/>
                <w:szCs w:val="18"/>
              </w:rPr>
              <w:t>4</w:t>
            </w:r>
            <w:r>
              <w:rPr>
                <w:rFonts w:ascii="Times New Roman" w:hAnsi="Times New Roman"/>
                <w:sz w:val="18"/>
                <w:szCs w:val="18"/>
              </w:rPr>
              <w:t>、在厂界四周种柏阔叶，针叶交防护林带，周边绿化带为</w:t>
            </w:r>
            <w:r>
              <w:rPr>
                <w:rFonts w:ascii="Times New Roman" w:hAnsi="Times New Roman"/>
                <w:sz w:val="18"/>
                <w:szCs w:val="18"/>
              </w:rPr>
              <w:t>20</w:t>
            </w:r>
            <w:r>
              <w:rPr>
                <w:rFonts w:ascii="Times New Roman" w:hAnsi="Times New Roman"/>
                <w:sz w:val="18"/>
                <w:szCs w:val="18"/>
              </w:rPr>
              <w:t>米宽</w:t>
            </w:r>
          </w:p>
        </w:tc>
        <w:tc>
          <w:tcPr>
            <w:tcW w:w="1276" w:type="dxa"/>
            <w:vAlign w:val="center"/>
          </w:tcPr>
          <w:p w14:paraId="69C99341"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75230318" w14:textId="77777777" w:rsidR="009C353B" w:rsidRDefault="00000000">
            <w:pPr>
              <w:widowControl/>
              <w:jc w:val="left"/>
              <w:rPr>
                <w:rFonts w:ascii="Times New Roman" w:hAnsi="Times New Roman"/>
                <w:sz w:val="18"/>
                <w:szCs w:val="18"/>
              </w:rPr>
            </w:pPr>
            <w:r>
              <w:rPr>
                <w:rFonts w:ascii="Times New Roman" w:hAnsi="Times New Roman" w:hint="eastAsia"/>
                <w:sz w:val="18"/>
                <w:szCs w:val="18"/>
              </w:rPr>
              <w:t>优化。</w:t>
            </w:r>
            <w:r>
              <w:rPr>
                <w:rFonts w:ascii="Times New Roman" w:hAnsi="Times New Roman"/>
                <w:sz w:val="18"/>
                <w:szCs w:val="18"/>
              </w:rPr>
              <w:t>对主通风机、局部通风机等噪声较大的设备进行降噪声改造。</w:t>
            </w:r>
          </w:p>
        </w:tc>
      </w:tr>
      <w:tr w:rsidR="009C353B" w14:paraId="47682164" w14:textId="77777777">
        <w:trPr>
          <w:trHeight w:val="568"/>
          <w:jc w:val="center"/>
        </w:trPr>
        <w:tc>
          <w:tcPr>
            <w:tcW w:w="733" w:type="dxa"/>
            <w:vMerge/>
            <w:vAlign w:val="center"/>
          </w:tcPr>
          <w:p w14:paraId="75C39F2C" w14:textId="77777777" w:rsidR="009C353B" w:rsidRDefault="009C353B">
            <w:pPr>
              <w:jc w:val="center"/>
              <w:rPr>
                <w:rFonts w:ascii="Times New Roman" w:hAnsi="Times New Roman"/>
                <w:sz w:val="18"/>
                <w:szCs w:val="18"/>
              </w:rPr>
            </w:pPr>
          </w:p>
        </w:tc>
        <w:tc>
          <w:tcPr>
            <w:tcW w:w="3094" w:type="dxa"/>
            <w:vAlign w:val="center"/>
          </w:tcPr>
          <w:p w14:paraId="6CBE406F" w14:textId="77777777" w:rsidR="009C353B" w:rsidRDefault="00000000">
            <w:pPr>
              <w:rPr>
                <w:rFonts w:ascii="Times New Roman" w:hAnsi="Times New Roman"/>
                <w:sz w:val="18"/>
                <w:szCs w:val="18"/>
              </w:rPr>
            </w:pPr>
            <w:r>
              <w:rPr>
                <w:rFonts w:ascii="Times New Roman" w:hAnsi="Times New Roman"/>
                <w:sz w:val="18"/>
                <w:szCs w:val="18"/>
              </w:rPr>
              <w:t>靠近白芨滩国家级自然保护区侧井田边界段留</w:t>
            </w:r>
            <w:r>
              <w:rPr>
                <w:rFonts w:ascii="Times New Roman" w:hAnsi="Times New Roman"/>
                <w:sz w:val="18"/>
                <w:szCs w:val="18"/>
              </w:rPr>
              <w:t>20</w:t>
            </w:r>
            <w:r>
              <w:rPr>
                <w:rFonts w:ascii="Times New Roman" w:hAnsi="Times New Roman"/>
                <w:sz w:val="18"/>
                <w:szCs w:val="18"/>
              </w:rPr>
              <w:t>米宽的保护煤柱。</w:t>
            </w:r>
          </w:p>
          <w:p w14:paraId="59BAE06D" w14:textId="77777777" w:rsidR="009C353B" w:rsidRDefault="00000000">
            <w:pPr>
              <w:rPr>
                <w:rFonts w:ascii="Times New Roman" w:hAnsi="Times New Roman"/>
                <w:sz w:val="18"/>
                <w:szCs w:val="18"/>
              </w:rPr>
            </w:pPr>
            <w:r>
              <w:rPr>
                <w:rFonts w:ascii="Times New Roman" w:hAnsi="Times New Roman"/>
                <w:sz w:val="18"/>
                <w:szCs w:val="18"/>
              </w:rPr>
              <w:t>及时堵塞裂缝，平整沉陷台阶，以防止沉陷区的水土流失。对沉陷造成的土地破坏，影响林草、农作物正常生长时，应及时补偿、恢复，同时结合退耕还林还草计划，种植林草，以改善生态环境。</w:t>
            </w:r>
          </w:p>
          <w:p w14:paraId="7140AA68" w14:textId="77777777" w:rsidR="009C353B" w:rsidRDefault="00000000">
            <w:pPr>
              <w:rPr>
                <w:rFonts w:ascii="Times New Roman" w:hAnsi="Times New Roman"/>
                <w:sz w:val="18"/>
                <w:szCs w:val="18"/>
              </w:rPr>
            </w:pPr>
            <w:r>
              <w:rPr>
                <w:rFonts w:ascii="Times New Roman" w:hAnsi="Times New Roman"/>
                <w:sz w:val="18"/>
                <w:szCs w:val="18"/>
              </w:rPr>
              <w:t>在矿井工业场地周边、公路两侧等人类活动常到达的区域种草种树，营造新林，以改善生态环境。</w:t>
            </w:r>
          </w:p>
          <w:p w14:paraId="58D65ECD" w14:textId="77777777" w:rsidR="009C353B" w:rsidRDefault="00000000">
            <w:pPr>
              <w:rPr>
                <w:rFonts w:ascii="Times New Roman" w:hAnsi="Times New Roman"/>
                <w:sz w:val="18"/>
                <w:szCs w:val="18"/>
              </w:rPr>
            </w:pPr>
            <w:r>
              <w:rPr>
                <w:rFonts w:ascii="Times New Roman" w:hAnsi="Times New Roman"/>
                <w:sz w:val="18"/>
                <w:szCs w:val="18"/>
              </w:rPr>
              <w:t>建立地表移动和沉陷观测站，在背斜轴部区域，还应设环境立地下水位观测站，观测井下开采对第四系冲洪积层潜水的影响，从而制定相应措施进行防治。</w:t>
            </w:r>
          </w:p>
          <w:p w14:paraId="32FFC49A" w14:textId="77777777" w:rsidR="009C353B" w:rsidRDefault="00000000">
            <w:pPr>
              <w:rPr>
                <w:rFonts w:ascii="Times New Roman" w:hAnsi="Times New Roman"/>
                <w:sz w:val="18"/>
                <w:szCs w:val="18"/>
              </w:rPr>
            </w:pPr>
            <w:r>
              <w:rPr>
                <w:rFonts w:ascii="Times New Roman" w:hAnsi="Times New Roman"/>
                <w:sz w:val="18"/>
                <w:szCs w:val="18"/>
              </w:rPr>
              <w:t>矸石场防治措施整体上采用先挡后</w:t>
            </w:r>
          </w:p>
          <w:p w14:paraId="19261187" w14:textId="77777777" w:rsidR="009C353B" w:rsidRDefault="00000000">
            <w:pPr>
              <w:rPr>
                <w:rFonts w:ascii="Times New Roman" w:hAnsi="Times New Roman"/>
                <w:sz w:val="18"/>
                <w:szCs w:val="18"/>
              </w:rPr>
            </w:pPr>
            <w:r>
              <w:rPr>
                <w:rFonts w:ascii="Times New Roman" w:hAnsi="Times New Roman"/>
                <w:sz w:val="18"/>
                <w:szCs w:val="18"/>
              </w:rPr>
              <w:t>后弃，覆土整治，复垦绿化</w:t>
            </w:r>
            <w:r>
              <w:rPr>
                <w:rFonts w:ascii="Times New Roman" w:hAnsi="Times New Roman"/>
                <w:sz w:val="18"/>
                <w:szCs w:val="18"/>
              </w:rPr>
              <w:t>”</w:t>
            </w:r>
            <w:r>
              <w:rPr>
                <w:rFonts w:ascii="Times New Roman" w:hAnsi="Times New Roman"/>
                <w:sz w:val="18"/>
                <w:szCs w:val="18"/>
              </w:rPr>
              <w:t>。</w:t>
            </w:r>
          </w:p>
        </w:tc>
        <w:tc>
          <w:tcPr>
            <w:tcW w:w="3828" w:type="dxa"/>
            <w:vAlign w:val="center"/>
          </w:tcPr>
          <w:p w14:paraId="647B29C1" w14:textId="77777777" w:rsidR="009C353B" w:rsidRDefault="00000000">
            <w:pPr>
              <w:rPr>
                <w:rFonts w:ascii="Times New Roman" w:hAnsi="Times New Roman"/>
                <w:sz w:val="18"/>
                <w:szCs w:val="18"/>
              </w:rPr>
            </w:pPr>
            <w:r>
              <w:rPr>
                <w:rFonts w:ascii="Times New Roman" w:hAnsi="Times New Roman"/>
                <w:sz w:val="18"/>
                <w:szCs w:val="18"/>
              </w:rPr>
              <w:t>按照《现状评估报告》要求，在邻近保护区的井田边界留设保护煤柱，积极配合保护区管理部门做好相关保护工作。受地表沉陷影响的土地，落实《矿山地质环境保护与恢复治理方案》《现状评估报告》等提出的生态环境保护及恢复措施。</w:t>
            </w:r>
          </w:p>
        </w:tc>
        <w:tc>
          <w:tcPr>
            <w:tcW w:w="3118" w:type="dxa"/>
            <w:vAlign w:val="center"/>
          </w:tcPr>
          <w:p w14:paraId="63FDB66A" w14:textId="77777777" w:rsidR="009C353B" w:rsidRDefault="00000000">
            <w:pPr>
              <w:widowControl/>
              <w:jc w:val="left"/>
              <w:rPr>
                <w:rFonts w:ascii="Times New Roman" w:hAnsi="Times New Roman"/>
                <w:sz w:val="18"/>
                <w:szCs w:val="18"/>
              </w:rPr>
            </w:pPr>
            <w:r>
              <w:rPr>
                <w:rFonts w:ascii="Times New Roman" w:hAnsi="Times New Roman"/>
                <w:sz w:val="18"/>
                <w:szCs w:val="18"/>
              </w:rPr>
              <w:t>按照要求在邻近保护区的井田边界留设保护煤柱。受地表沉陷影响的土地，编制《矿山地质环境保护与恢复治理方案》、定期开展生态环保治理与水土保持监测等提出的生态环境保护及恢复措施。</w:t>
            </w:r>
          </w:p>
        </w:tc>
        <w:tc>
          <w:tcPr>
            <w:tcW w:w="1276" w:type="dxa"/>
            <w:vAlign w:val="center"/>
          </w:tcPr>
          <w:p w14:paraId="174BF087" w14:textId="77777777" w:rsidR="009C353B" w:rsidRDefault="00000000">
            <w:pPr>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575733B9" w14:textId="77777777" w:rsidR="009C353B" w:rsidRDefault="00000000">
            <w:pPr>
              <w:widowControl/>
              <w:jc w:val="left"/>
              <w:rPr>
                <w:rFonts w:ascii="Times New Roman" w:hAnsi="Times New Roman"/>
                <w:sz w:val="18"/>
                <w:szCs w:val="18"/>
              </w:rPr>
            </w:pPr>
            <w:r>
              <w:rPr>
                <w:rFonts w:ascii="Times New Roman" w:hAnsi="Times New Roman"/>
                <w:sz w:val="18"/>
                <w:szCs w:val="18"/>
              </w:rPr>
              <w:t>未发生变化</w:t>
            </w:r>
          </w:p>
        </w:tc>
      </w:tr>
      <w:tr w:rsidR="009C353B" w14:paraId="3D508967" w14:textId="77777777">
        <w:trPr>
          <w:trHeight w:val="568"/>
          <w:jc w:val="center"/>
        </w:trPr>
        <w:tc>
          <w:tcPr>
            <w:tcW w:w="733" w:type="dxa"/>
            <w:vMerge w:val="restart"/>
            <w:vAlign w:val="center"/>
          </w:tcPr>
          <w:p w14:paraId="00D5C35D" w14:textId="77777777" w:rsidR="009C353B" w:rsidRDefault="00000000">
            <w:pPr>
              <w:jc w:val="center"/>
              <w:rPr>
                <w:rFonts w:ascii="Times New Roman" w:hAnsi="Times New Roman"/>
                <w:sz w:val="18"/>
                <w:szCs w:val="18"/>
              </w:rPr>
            </w:pPr>
            <w:r>
              <w:rPr>
                <w:rFonts w:ascii="Times New Roman" w:hAnsi="Times New Roman"/>
                <w:sz w:val="18"/>
                <w:szCs w:val="18"/>
              </w:rPr>
              <w:t>马莲台煤矿</w:t>
            </w:r>
          </w:p>
        </w:tc>
        <w:tc>
          <w:tcPr>
            <w:tcW w:w="3094" w:type="dxa"/>
            <w:vAlign w:val="center"/>
          </w:tcPr>
          <w:p w14:paraId="23B46595" w14:textId="77777777" w:rsidR="009C353B" w:rsidRDefault="00000000">
            <w:pPr>
              <w:rPr>
                <w:rFonts w:ascii="Times New Roman" w:hAnsi="Times New Roman"/>
                <w:sz w:val="18"/>
                <w:szCs w:val="18"/>
              </w:rPr>
            </w:pPr>
            <w:r>
              <w:rPr>
                <w:rFonts w:ascii="Times New Roman" w:hAnsi="Times New Roman"/>
                <w:kern w:val="0"/>
                <w:sz w:val="18"/>
                <w:szCs w:val="18"/>
              </w:rPr>
              <w:t>随着瓦斯涌出量的增加，该项目后期将由低瓦斯矿井变为高瓦斯矿井，建设单位应及时制定瓦斯综合利用方案，并予实施。</w:t>
            </w:r>
          </w:p>
        </w:tc>
        <w:tc>
          <w:tcPr>
            <w:tcW w:w="3828" w:type="dxa"/>
            <w:vAlign w:val="center"/>
          </w:tcPr>
          <w:p w14:paraId="5AA9D1B5" w14:textId="77777777" w:rsidR="009C353B" w:rsidRDefault="00000000">
            <w:pPr>
              <w:rPr>
                <w:rFonts w:ascii="Times New Roman" w:hAnsi="Times New Roman"/>
                <w:sz w:val="18"/>
                <w:szCs w:val="18"/>
              </w:rPr>
            </w:pPr>
            <w:r>
              <w:rPr>
                <w:rFonts w:ascii="Times New Roman" w:hAnsi="Times New Roman"/>
                <w:sz w:val="18"/>
                <w:szCs w:val="18"/>
              </w:rPr>
              <w:t>加强项目运行、生产的环境管理，做好大气污染防治工作。确保筛分、转载、储煤等过程中颗粒物无组织排放浓度符合《煤炭工业污染物排放标准》</w:t>
            </w:r>
            <w:r>
              <w:rPr>
                <w:rFonts w:ascii="Times New Roman" w:hAnsi="Times New Roman"/>
                <w:sz w:val="18"/>
                <w:szCs w:val="18"/>
              </w:rPr>
              <w:t>(GB20246-2006)</w:t>
            </w:r>
            <w:r>
              <w:rPr>
                <w:rFonts w:ascii="Times New Roman" w:hAnsi="Times New Roman"/>
                <w:sz w:val="18"/>
                <w:szCs w:val="18"/>
              </w:rPr>
              <w:t>无组织排放限值要求。</w:t>
            </w:r>
          </w:p>
          <w:p w14:paraId="3FDEE428" w14:textId="77777777" w:rsidR="009C353B" w:rsidRDefault="00000000">
            <w:pPr>
              <w:rPr>
                <w:rFonts w:ascii="Times New Roman" w:hAnsi="Times New Roman"/>
                <w:sz w:val="18"/>
                <w:szCs w:val="18"/>
              </w:rPr>
            </w:pPr>
            <w:r>
              <w:rPr>
                <w:rFonts w:ascii="Times New Roman" w:hAnsi="Times New Roman"/>
                <w:sz w:val="18"/>
                <w:szCs w:val="18"/>
              </w:rPr>
              <w:t>本项目采暖依托宁夏宝丰能源集团股份有限公司甲醇厂</w:t>
            </w:r>
            <w:r>
              <w:rPr>
                <w:rFonts w:ascii="Times New Roman" w:hAnsi="Times New Roman"/>
                <w:sz w:val="18"/>
                <w:szCs w:val="18"/>
              </w:rPr>
              <w:t>5×25</w:t>
            </w:r>
            <w:r>
              <w:rPr>
                <w:rFonts w:ascii="Times New Roman" w:hAnsi="Times New Roman"/>
                <w:sz w:val="18"/>
                <w:szCs w:val="18"/>
              </w:rPr>
              <w:t>米瓦自备热电站供给</w:t>
            </w:r>
          </w:p>
        </w:tc>
        <w:tc>
          <w:tcPr>
            <w:tcW w:w="3118" w:type="dxa"/>
            <w:vAlign w:val="center"/>
          </w:tcPr>
          <w:p w14:paraId="64E3BB21" w14:textId="77777777" w:rsidR="009C353B" w:rsidRDefault="00000000">
            <w:pPr>
              <w:widowControl/>
              <w:jc w:val="left"/>
              <w:rPr>
                <w:rFonts w:ascii="Times New Roman" w:hAnsi="Times New Roman"/>
                <w:sz w:val="18"/>
                <w:szCs w:val="18"/>
              </w:rPr>
            </w:pPr>
            <w:r>
              <w:rPr>
                <w:rFonts w:ascii="Times New Roman" w:hAnsi="Times New Roman"/>
                <w:sz w:val="18"/>
                <w:szCs w:val="18"/>
              </w:rPr>
              <w:t>马莲台煤矿在筛转载和给煤过程中采用喷雾降低煤尘浓度，地面皮带转运采用廊桥封闭运输，且运输过程中颗粒物无组织排放浓度符合《煤炭工业污染物排放标准》</w:t>
            </w:r>
            <w:r>
              <w:rPr>
                <w:rFonts w:ascii="Times New Roman" w:hAnsi="Times New Roman"/>
                <w:sz w:val="18"/>
                <w:szCs w:val="18"/>
              </w:rPr>
              <w:t>(GB20246-2006)</w:t>
            </w:r>
            <w:r>
              <w:rPr>
                <w:rFonts w:ascii="Times New Roman" w:hAnsi="Times New Roman"/>
                <w:sz w:val="18"/>
                <w:szCs w:val="18"/>
              </w:rPr>
              <w:t>无组织排放限值要求。</w:t>
            </w:r>
          </w:p>
        </w:tc>
        <w:tc>
          <w:tcPr>
            <w:tcW w:w="1276" w:type="dxa"/>
            <w:vAlign w:val="center"/>
          </w:tcPr>
          <w:p w14:paraId="0F8ED0B6"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74E982EC" w14:textId="77777777" w:rsidR="009C353B" w:rsidRDefault="00000000">
            <w:pPr>
              <w:widowControl/>
              <w:jc w:val="left"/>
              <w:rPr>
                <w:rFonts w:ascii="Times New Roman" w:hAnsi="Times New Roman"/>
                <w:sz w:val="18"/>
                <w:szCs w:val="18"/>
              </w:rPr>
            </w:pPr>
            <w:r>
              <w:rPr>
                <w:rFonts w:ascii="Times New Roman" w:hAnsi="Times New Roman"/>
                <w:sz w:val="18"/>
                <w:szCs w:val="18"/>
              </w:rPr>
              <w:t>未发生变化</w:t>
            </w:r>
          </w:p>
        </w:tc>
      </w:tr>
      <w:tr w:rsidR="009C353B" w14:paraId="44EFB95E" w14:textId="77777777">
        <w:trPr>
          <w:trHeight w:val="568"/>
          <w:jc w:val="center"/>
        </w:trPr>
        <w:tc>
          <w:tcPr>
            <w:tcW w:w="733" w:type="dxa"/>
            <w:vMerge/>
            <w:vAlign w:val="center"/>
          </w:tcPr>
          <w:p w14:paraId="55B3FD06" w14:textId="77777777" w:rsidR="009C353B" w:rsidRDefault="009C353B">
            <w:pPr>
              <w:jc w:val="center"/>
              <w:rPr>
                <w:rFonts w:ascii="Times New Roman" w:hAnsi="Times New Roman"/>
                <w:sz w:val="18"/>
                <w:szCs w:val="18"/>
              </w:rPr>
            </w:pPr>
          </w:p>
        </w:tc>
        <w:tc>
          <w:tcPr>
            <w:tcW w:w="3094" w:type="dxa"/>
            <w:vAlign w:val="center"/>
          </w:tcPr>
          <w:p w14:paraId="74FEA964" w14:textId="77777777" w:rsidR="009C353B" w:rsidRDefault="00000000">
            <w:pPr>
              <w:rPr>
                <w:rFonts w:ascii="Times New Roman" w:hAnsi="Times New Roman"/>
                <w:sz w:val="18"/>
                <w:szCs w:val="18"/>
              </w:rPr>
            </w:pPr>
            <w:r>
              <w:rPr>
                <w:rFonts w:ascii="Times New Roman" w:hAnsi="Times New Roman"/>
                <w:kern w:val="0"/>
                <w:sz w:val="18"/>
                <w:szCs w:val="18"/>
              </w:rPr>
              <w:t>落实水资源保护和综合利用措施。提高矿井水综合利用率。地面生产、生活、井下消防仅能利用</w:t>
            </w:r>
            <w:r>
              <w:rPr>
                <w:rFonts w:ascii="Times New Roman" w:hAnsi="Times New Roman"/>
                <w:kern w:val="0"/>
                <w:sz w:val="18"/>
                <w:szCs w:val="18"/>
              </w:rPr>
              <w:t>70</w:t>
            </w:r>
            <w:r>
              <w:rPr>
                <w:rFonts w:ascii="Times New Roman" w:hAnsi="Times New Roman"/>
                <w:kern w:val="0"/>
                <w:sz w:val="18"/>
                <w:szCs w:val="18"/>
              </w:rPr>
              <w:t>％的矿井水量，其余部分应同处理后的工业场地生产、生活污废水回用于附近宝丰公司所属的焦化厂、选煤厂及园区绿化，不外排。</w:t>
            </w:r>
          </w:p>
        </w:tc>
        <w:tc>
          <w:tcPr>
            <w:tcW w:w="3828" w:type="dxa"/>
            <w:vAlign w:val="center"/>
          </w:tcPr>
          <w:p w14:paraId="68B555D7" w14:textId="77777777" w:rsidR="009C353B" w:rsidRDefault="00000000">
            <w:pPr>
              <w:rPr>
                <w:rFonts w:ascii="Times New Roman" w:hAnsi="Times New Roman"/>
                <w:sz w:val="18"/>
                <w:szCs w:val="18"/>
              </w:rPr>
            </w:pPr>
            <w:r>
              <w:rPr>
                <w:rFonts w:ascii="Times New Roman" w:hAnsi="Times New Roman"/>
                <w:sz w:val="18"/>
                <w:szCs w:val="18"/>
              </w:rPr>
              <w:t>做好水污染防治工作。确保各污水处理设施正常、稳定运行。部分矿井水排入宁夏宝丰能源集团股份有限公司选煤厂经沉淀池处理达到《城市污水再生利用工业用水水质》</w:t>
            </w:r>
            <w:r>
              <w:rPr>
                <w:rFonts w:ascii="Times New Roman" w:hAnsi="Times New Roman"/>
                <w:sz w:val="18"/>
                <w:szCs w:val="18"/>
              </w:rPr>
              <w:t>(GB/T19923-2005)</w:t>
            </w:r>
            <w:r>
              <w:rPr>
                <w:rFonts w:ascii="Times New Roman" w:hAnsi="Times New Roman"/>
                <w:sz w:val="18"/>
                <w:szCs w:val="18"/>
              </w:rPr>
              <w:t>敞开式循环冷却水系统补充水水质标准后，用于选煤厂洗煤；部分矿井水与工业场地坐产生活废水排入宁夏宝丰能源集团股价有限公司污水处理站处理达到《城市污水再生利用</w:t>
            </w:r>
            <w:r>
              <w:rPr>
                <w:rFonts w:ascii="Times New Roman" w:hAnsi="Times New Roman"/>
                <w:sz w:val="18"/>
                <w:szCs w:val="18"/>
              </w:rPr>
              <w:t>·</w:t>
            </w:r>
            <w:r>
              <w:rPr>
                <w:rFonts w:ascii="Times New Roman" w:hAnsi="Times New Roman"/>
                <w:sz w:val="18"/>
                <w:szCs w:val="18"/>
              </w:rPr>
              <w:t>工业用水水质》</w:t>
            </w:r>
            <w:r>
              <w:rPr>
                <w:rFonts w:ascii="Times New Roman" w:hAnsi="Times New Roman"/>
                <w:sz w:val="18"/>
                <w:szCs w:val="18"/>
              </w:rPr>
              <w:t>(GB/T19923-2005)</w:t>
            </w:r>
            <w:r>
              <w:rPr>
                <w:rFonts w:ascii="Times New Roman" w:hAnsi="Times New Roman"/>
                <w:sz w:val="18"/>
                <w:szCs w:val="18"/>
              </w:rPr>
              <w:t>敞开式循环冷却水系统补充水水质标准后，用于绿化、地面降尘及焦化厂熄焦</w:t>
            </w:r>
          </w:p>
        </w:tc>
        <w:tc>
          <w:tcPr>
            <w:tcW w:w="3118" w:type="dxa"/>
            <w:vAlign w:val="center"/>
          </w:tcPr>
          <w:p w14:paraId="0FAB0455" w14:textId="77777777" w:rsidR="009C353B" w:rsidRDefault="00000000">
            <w:pPr>
              <w:widowControl/>
              <w:jc w:val="left"/>
              <w:rPr>
                <w:rFonts w:ascii="Times New Roman" w:hAnsi="Times New Roman"/>
                <w:sz w:val="18"/>
                <w:szCs w:val="18"/>
              </w:rPr>
            </w:pPr>
            <w:r>
              <w:rPr>
                <w:rFonts w:ascii="Times New Roman" w:hAnsi="Times New Roman"/>
                <w:sz w:val="18"/>
                <w:szCs w:val="18"/>
              </w:rPr>
              <w:t>宁夏宝丰能源集团股份有限公司污水处理站污水处理设施正常和稳定运行。马莲台煤矿矿井水全部经洗煤厂沉淀后用于洗煤，水质符合《城市污水再生利用工业用水水质》</w:t>
            </w:r>
            <w:r>
              <w:rPr>
                <w:rFonts w:ascii="Times New Roman" w:hAnsi="Times New Roman"/>
                <w:sz w:val="18"/>
                <w:szCs w:val="18"/>
              </w:rPr>
              <w:t>(GB/T19923-2005)</w:t>
            </w:r>
            <w:r>
              <w:rPr>
                <w:rFonts w:ascii="Times New Roman" w:hAnsi="Times New Roman"/>
                <w:sz w:val="18"/>
                <w:szCs w:val="18"/>
              </w:rPr>
              <w:t>敞开式循环冷却水系统补充水水质标准。</w:t>
            </w:r>
          </w:p>
        </w:tc>
        <w:tc>
          <w:tcPr>
            <w:tcW w:w="1276" w:type="dxa"/>
            <w:vAlign w:val="center"/>
          </w:tcPr>
          <w:p w14:paraId="2ED1E195"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44C7ED84" w14:textId="77777777" w:rsidR="009C353B" w:rsidRDefault="00000000">
            <w:pPr>
              <w:widowControl/>
              <w:jc w:val="left"/>
              <w:rPr>
                <w:rFonts w:ascii="Times New Roman" w:hAnsi="Times New Roman"/>
                <w:sz w:val="18"/>
                <w:szCs w:val="18"/>
              </w:rPr>
            </w:pPr>
            <w:r>
              <w:rPr>
                <w:rFonts w:ascii="Times New Roman" w:hAnsi="Times New Roman"/>
                <w:sz w:val="18"/>
                <w:szCs w:val="18"/>
              </w:rPr>
              <w:t>未发生变化</w:t>
            </w:r>
          </w:p>
        </w:tc>
      </w:tr>
      <w:tr w:rsidR="009C353B" w14:paraId="451877EF" w14:textId="77777777">
        <w:trPr>
          <w:trHeight w:val="568"/>
          <w:jc w:val="center"/>
        </w:trPr>
        <w:tc>
          <w:tcPr>
            <w:tcW w:w="733" w:type="dxa"/>
            <w:vMerge/>
            <w:vAlign w:val="center"/>
          </w:tcPr>
          <w:p w14:paraId="3BA731E0" w14:textId="77777777" w:rsidR="009C353B" w:rsidRDefault="009C353B">
            <w:pPr>
              <w:jc w:val="center"/>
              <w:rPr>
                <w:rFonts w:ascii="Times New Roman" w:hAnsi="Times New Roman"/>
                <w:sz w:val="18"/>
                <w:szCs w:val="18"/>
              </w:rPr>
            </w:pPr>
          </w:p>
        </w:tc>
        <w:tc>
          <w:tcPr>
            <w:tcW w:w="3094" w:type="dxa"/>
            <w:vAlign w:val="center"/>
          </w:tcPr>
          <w:p w14:paraId="18313957" w14:textId="77777777" w:rsidR="009C353B" w:rsidRDefault="009C353B">
            <w:pPr>
              <w:rPr>
                <w:rFonts w:ascii="Times New Roman" w:hAnsi="Times New Roman"/>
                <w:sz w:val="18"/>
                <w:szCs w:val="18"/>
              </w:rPr>
            </w:pPr>
          </w:p>
        </w:tc>
        <w:tc>
          <w:tcPr>
            <w:tcW w:w="3828" w:type="dxa"/>
            <w:vAlign w:val="center"/>
          </w:tcPr>
          <w:p w14:paraId="337185B7" w14:textId="77777777" w:rsidR="009C353B" w:rsidRDefault="00000000">
            <w:pPr>
              <w:rPr>
                <w:rFonts w:ascii="Times New Roman" w:hAnsi="Times New Roman"/>
                <w:sz w:val="18"/>
                <w:szCs w:val="18"/>
              </w:rPr>
            </w:pPr>
            <w:r>
              <w:rPr>
                <w:rFonts w:ascii="Times New Roman" w:hAnsi="Times New Roman"/>
                <w:sz w:val="18"/>
                <w:szCs w:val="18"/>
              </w:rPr>
              <w:t>厂界噪声须符合《工业企业厂界环境噪声排放标准》</w:t>
            </w:r>
            <w:r>
              <w:rPr>
                <w:rFonts w:ascii="Times New Roman" w:hAnsi="Times New Roman"/>
                <w:sz w:val="18"/>
                <w:szCs w:val="18"/>
              </w:rPr>
              <w:t>(GB12348-2008)3</w:t>
            </w:r>
            <w:r>
              <w:rPr>
                <w:rFonts w:ascii="Times New Roman" w:hAnsi="Times New Roman"/>
                <w:sz w:val="18"/>
                <w:szCs w:val="18"/>
              </w:rPr>
              <w:t>类标准要求</w:t>
            </w:r>
          </w:p>
          <w:p w14:paraId="25237F6B" w14:textId="77777777" w:rsidR="009C353B" w:rsidRDefault="009C353B">
            <w:pPr>
              <w:rPr>
                <w:rFonts w:ascii="Times New Roman" w:hAnsi="Times New Roman"/>
                <w:sz w:val="18"/>
                <w:szCs w:val="18"/>
              </w:rPr>
            </w:pPr>
          </w:p>
        </w:tc>
        <w:tc>
          <w:tcPr>
            <w:tcW w:w="3118" w:type="dxa"/>
            <w:vAlign w:val="center"/>
          </w:tcPr>
          <w:p w14:paraId="5DDBFFB7" w14:textId="77777777" w:rsidR="009C353B" w:rsidRDefault="00000000">
            <w:pPr>
              <w:widowControl/>
              <w:jc w:val="left"/>
              <w:rPr>
                <w:rFonts w:ascii="Times New Roman" w:hAnsi="Times New Roman"/>
                <w:sz w:val="18"/>
                <w:szCs w:val="18"/>
              </w:rPr>
            </w:pPr>
            <w:r>
              <w:rPr>
                <w:rFonts w:ascii="Times New Roman" w:hAnsi="Times New Roman"/>
                <w:sz w:val="18"/>
                <w:szCs w:val="18"/>
              </w:rPr>
              <w:t>维修、装备车间和驱动机房噪声符合符合《工业企业厂界环境噪声排放标准》</w:t>
            </w:r>
            <w:r>
              <w:rPr>
                <w:rFonts w:ascii="Times New Roman" w:hAnsi="Times New Roman"/>
                <w:sz w:val="18"/>
                <w:szCs w:val="18"/>
              </w:rPr>
              <w:t>(GB12348-2008)3</w:t>
            </w:r>
            <w:r>
              <w:rPr>
                <w:rFonts w:ascii="Times New Roman" w:hAnsi="Times New Roman"/>
                <w:sz w:val="18"/>
                <w:szCs w:val="18"/>
              </w:rPr>
              <w:t>类标准要求</w:t>
            </w:r>
          </w:p>
        </w:tc>
        <w:tc>
          <w:tcPr>
            <w:tcW w:w="1276" w:type="dxa"/>
            <w:vAlign w:val="center"/>
          </w:tcPr>
          <w:p w14:paraId="5BEDF322"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52954F85" w14:textId="77777777" w:rsidR="009C353B" w:rsidRDefault="00000000">
            <w:pPr>
              <w:widowControl/>
              <w:jc w:val="left"/>
              <w:rPr>
                <w:rFonts w:ascii="Times New Roman" w:hAnsi="Times New Roman"/>
                <w:sz w:val="18"/>
                <w:szCs w:val="18"/>
              </w:rPr>
            </w:pPr>
            <w:r>
              <w:rPr>
                <w:rFonts w:ascii="Times New Roman" w:hAnsi="Times New Roman"/>
                <w:sz w:val="18"/>
                <w:szCs w:val="18"/>
              </w:rPr>
              <w:t>未发生变化</w:t>
            </w:r>
          </w:p>
        </w:tc>
      </w:tr>
      <w:tr w:rsidR="009C353B" w14:paraId="09EDC951" w14:textId="77777777">
        <w:trPr>
          <w:trHeight w:val="568"/>
          <w:jc w:val="center"/>
        </w:trPr>
        <w:tc>
          <w:tcPr>
            <w:tcW w:w="733" w:type="dxa"/>
            <w:vMerge/>
            <w:vAlign w:val="center"/>
          </w:tcPr>
          <w:p w14:paraId="56BDE4C3" w14:textId="77777777" w:rsidR="009C353B" w:rsidRDefault="009C353B">
            <w:pPr>
              <w:jc w:val="center"/>
              <w:rPr>
                <w:rFonts w:ascii="Times New Roman" w:hAnsi="Times New Roman"/>
                <w:sz w:val="18"/>
                <w:szCs w:val="18"/>
              </w:rPr>
            </w:pPr>
          </w:p>
        </w:tc>
        <w:tc>
          <w:tcPr>
            <w:tcW w:w="3094" w:type="dxa"/>
            <w:vAlign w:val="center"/>
          </w:tcPr>
          <w:p w14:paraId="4DFDFDFB" w14:textId="77777777" w:rsidR="009C353B" w:rsidRDefault="00000000">
            <w:pPr>
              <w:autoSpaceDE w:val="0"/>
              <w:autoSpaceDN w:val="0"/>
              <w:adjustRightInd w:val="0"/>
              <w:snapToGrid w:val="0"/>
              <w:spacing w:line="280" w:lineRule="exact"/>
              <w:rPr>
                <w:rFonts w:ascii="Times New Roman" w:hAnsi="Times New Roman"/>
                <w:kern w:val="0"/>
                <w:sz w:val="18"/>
                <w:szCs w:val="18"/>
              </w:rPr>
            </w:pPr>
            <w:r>
              <w:rPr>
                <w:rFonts w:ascii="Times New Roman" w:hAnsi="Times New Roman"/>
                <w:kern w:val="0"/>
                <w:sz w:val="18"/>
                <w:szCs w:val="18"/>
              </w:rPr>
              <w:t>应积极寻求煤矸石的综合利用途径。</w:t>
            </w:r>
          </w:p>
          <w:p w14:paraId="24056AAA" w14:textId="77777777" w:rsidR="009C353B" w:rsidRDefault="00000000">
            <w:pPr>
              <w:rPr>
                <w:rFonts w:ascii="Times New Roman" w:hAnsi="Times New Roman"/>
                <w:sz w:val="18"/>
                <w:szCs w:val="18"/>
              </w:rPr>
            </w:pPr>
            <w:r>
              <w:rPr>
                <w:rFonts w:ascii="Times New Roman" w:hAnsi="Times New Roman"/>
                <w:kern w:val="0"/>
                <w:sz w:val="18"/>
                <w:szCs w:val="18"/>
              </w:rPr>
              <w:t>排矸场按</w:t>
            </w:r>
            <w:r>
              <w:rPr>
                <w:rFonts w:ascii="Times New Roman" w:hAnsi="Times New Roman"/>
                <w:kern w:val="0"/>
                <w:sz w:val="18"/>
                <w:szCs w:val="18"/>
              </w:rPr>
              <w:t>Ⅱ</w:t>
            </w:r>
            <w:r>
              <w:rPr>
                <w:rFonts w:ascii="Times New Roman" w:hAnsi="Times New Roman"/>
                <w:kern w:val="0"/>
                <w:sz w:val="18"/>
                <w:szCs w:val="18"/>
              </w:rPr>
              <w:t>类场标准设计，底部做防渗处理，采取分类、台阶状堆高法，喷洒石灰乳，覆土绿化，防止自燃和水土流失。</w:t>
            </w:r>
          </w:p>
        </w:tc>
        <w:tc>
          <w:tcPr>
            <w:tcW w:w="3828" w:type="dxa"/>
            <w:vAlign w:val="center"/>
          </w:tcPr>
          <w:p w14:paraId="7ED9C57C" w14:textId="77777777" w:rsidR="009C353B" w:rsidRDefault="00000000">
            <w:pPr>
              <w:rPr>
                <w:rFonts w:ascii="Times New Roman" w:hAnsi="Times New Roman"/>
                <w:sz w:val="18"/>
                <w:szCs w:val="18"/>
              </w:rPr>
            </w:pPr>
            <w:r>
              <w:rPr>
                <w:rFonts w:ascii="Times New Roman" w:hAnsi="Times New Roman"/>
                <w:sz w:val="18"/>
                <w:szCs w:val="18"/>
              </w:rPr>
              <w:t>确保各类固体废物按规定规范妥善处理处置。一般固体废物应综合利用，综合利用不畅时依托已建成的矸石场暂存</w:t>
            </w:r>
          </w:p>
        </w:tc>
        <w:tc>
          <w:tcPr>
            <w:tcW w:w="3118" w:type="dxa"/>
            <w:vAlign w:val="center"/>
          </w:tcPr>
          <w:p w14:paraId="037A1C10" w14:textId="77777777" w:rsidR="009C353B" w:rsidRDefault="00000000">
            <w:pPr>
              <w:widowControl/>
              <w:jc w:val="left"/>
              <w:rPr>
                <w:rFonts w:ascii="Times New Roman" w:hAnsi="Times New Roman"/>
                <w:sz w:val="18"/>
                <w:szCs w:val="18"/>
              </w:rPr>
            </w:pPr>
            <w:r>
              <w:rPr>
                <w:rFonts w:ascii="Times New Roman" w:hAnsi="Times New Roman"/>
                <w:sz w:val="18"/>
                <w:szCs w:val="18"/>
              </w:rPr>
              <w:t>排矸场按照</w:t>
            </w:r>
            <w:r>
              <w:rPr>
                <w:rFonts w:ascii="Times New Roman" w:hAnsi="Times New Roman"/>
                <w:sz w:val="18"/>
                <w:szCs w:val="18"/>
              </w:rPr>
              <w:t>Ⅱ</w:t>
            </w:r>
            <w:r>
              <w:rPr>
                <w:rFonts w:ascii="Times New Roman" w:hAnsi="Times New Roman"/>
                <w:sz w:val="18"/>
                <w:szCs w:val="18"/>
              </w:rPr>
              <w:t>类场标准设计施工，底部采取防渗处理，达到服务年限的排矸场已封场绿化。</w:t>
            </w:r>
          </w:p>
        </w:tc>
        <w:tc>
          <w:tcPr>
            <w:tcW w:w="1276" w:type="dxa"/>
            <w:vAlign w:val="center"/>
          </w:tcPr>
          <w:p w14:paraId="7E934895"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735473DD" w14:textId="77777777" w:rsidR="009C353B" w:rsidRDefault="00000000">
            <w:pPr>
              <w:widowControl/>
              <w:jc w:val="left"/>
              <w:rPr>
                <w:rFonts w:ascii="Times New Roman" w:hAnsi="Times New Roman"/>
                <w:sz w:val="18"/>
                <w:szCs w:val="18"/>
              </w:rPr>
            </w:pPr>
            <w:r>
              <w:rPr>
                <w:rFonts w:ascii="Times New Roman" w:hAnsi="Times New Roman"/>
                <w:sz w:val="18"/>
                <w:szCs w:val="18"/>
              </w:rPr>
              <w:t>未发生变化</w:t>
            </w:r>
          </w:p>
        </w:tc>
      </w:tr>
      <w:tr w:rsidR="009C353B" w14:paraId="5D744166" w14:textId="77777777">
        <w:trPr>
          <w:trHeight w:val="568"/>
          <w:jc w:val="center"/>
        </w:trPr>
        <w:tc>
          <w:tcPr>
            <w:tcW w:w="733" w:type="dxa"/>
            <w:vMerge/>
            <w:vAlign w:val="center"/>
          </w:tcPr>
          <w:p w14:paraId="0250EECA" w14:textId="77777777" w:rsidR="009C353B" w:rsidRDefault="009C353B">
            <w:pPr>
              <w:jc w:val="center"/>
              <w:rPr>
                <w:rFonts w:ascii="Times New Roman" w:hAnsi="Times New Roman"/>
                <w:sz w:val="18"/>
                <w:szCs w:val="18"/>
              </w:rPr>
            </w:pPr>
          </w:p>
        </w:tc>
        <w:tc>
          <w:tcPr>
            <w:tcW w:w="3094" w:type="dxa"/>
            <w:vAlign w:val="center"/>
          </w:tcPr>
          <w:p w14:paraId="75E55DFF" w14:textId="77777777" w:rsidR="009C353B" w:rsidRDefault="00000000">
            <w:pPr>
              <w:autoSpaceDE w:val="0"/>
              <w:autoSpaceDN w:val="0"/>
              <w:adjustRightInd w:val="0"/>
              <w:snapToGrid w:val="0"/>
              <w:spacing w:line="280" w:lineRule="exact"/>
              <w:rPr>
                <w:rFonts w:ascii="Times New Roman" w:hAnsi="Times New Roman"/>
                <w:kern w:val="0"/>
                <w:sz w:val="18"/>
                <w:szCs w:val="18"/>
              </w:rPr>
            </w:pPr>
            <w:r>
              <w:rPr>
                <w:rFonts w:ascii="Times New Roman" w:hAnsi="Times New Roman"/>
                <w:kern w:val="0"/>
                <w:sz w:val="18"/>
                <w:szCs w:val="18"/>
              </w:rPr>
              <w:t>对沉陷裂缝和沉陷台阶，应通过工程措施及时填堵、平整，恢复植被，防止因地表沉陷加剧水土流失和土地沙化。对井田范围内地表沉陷、沙丘活化等进行观测，根据沉陷、变形情况做好土地复垦。</w:t>
            </w:r>
          </w:p>
          <w:p w14:paraId="7B53FCB1" w14:textId="77777777" w:rsidR="009C353B" w:rsidRDefault="00000000">
            <w:pPr>
              <w:autoSpaceDE w:val="0"/>
              <w:autoSpaceDN w:val="0"/>
              <w:adjustRightInd w:val="0"/>
              <w:snapToGrid w:val="0"/>
              <w:spacing w:line="280" w:lineRule="exact"/>
              <w:rPr>
                <w:rFonts w:ascii="Times New Roman" w:hAnsi="Times New Roman"/>
                <w:kern w:val="0"/>
                <w:sz w:val="18"/>
                <w:szCs w:val="18"/>
              </w:rPr>
            </w:pPr>
            <w:r>
              <w:rPr>
                <w:rFonts w:ascii="Times New Roman" w:hAnsi="Times New Roman"/>
                <w:kern w:val="0"/>
                <w:sz w:val="18"/>
                <w:szCs w:val="18"/>
              </w:rPr>
              <w:t>落实生态补偿费用，专款用于综合整治。</w:t>
            </w:r>
          </w:p>
          <w:p w14:paraId="60120936" w14:textId="77777777" w:rsidR="009C353B" w:rsidRDefault="00000000">
            <w:pPr>
              <w:rPr>
                <w:rFonts w:ascii="Times New Roman" w:hAnsi="Times New Roman"/>
                <w:sz w:val="18"/>
                <w:szCs w:val="18"/>
              </w:rPr>
            </w:pPr>
            <w:r>
              <w:rPr>
                <w:rFonts w:ascii="Times New Roman" w:hAnsi="Times New Roman"/>
                <w:kern w:val="0"/>
                <w:sz w:val="18"/>
                <w:szCs w:val="18"/>
              </w:rPr>
              <w:t>井田内须留设足够保护煤柱并加强观测，确保明长城遗址、张家窑村、边沟、银青高速公路和宝宁公路不受影响。</w:t>
            </w:r>
          </w:p>
        </w:tc>
        <w:tc>
          <w:tcPr>
            <w:tcW w:w="3828" w:type="dxa"/>
            <w:vAlign w:val="center"/>
          </w:tcPr>
          <w:p w14:paraId="2EF840A6" w14:textId="77777777" w:rsidR="009C353B" w:rsidRDefault="00000000">
            <w:pPr>
              <w:rPr>
                <w:rFonts w:ascii="Times New Roman" w:hAnsi="Times New Roman"/>
                <w:sz w:val="18"/>
                <w:szCs w:val="18"/>
              </w:rPr>
            </w:pPr>
            <w:r>
              <w:rPr>
                <w:rFonts w:ascii="Times New Roman" w:hAnsi="Times New Roman"/>
                <w:sz w:val="18"/>
                <w:szCs w:val="18"/>
              </w:rPr>
              <w:t>项目单位须严格落实《现状评估报告》中提出的各项整改措施，落实环保主体责任及《关于宁夏宝丰能源集团股份有限公司马莲台煤矿项目的环保承诺函》，确保按期完成西厂界噪声防治、制定并落实固废综合利用方案、设置水文观测井、进行沉陷区生态治理等现有环境问题的整改。</w:t>
            </w:r>
          </w:p>
        </w:tc>
        <w:tc>
          <w:tcPr>
            <w:tcW w:w="3118" w:type="dxa"/>
            <w:vAlign w:val="center"/>
          </w:tcPr>
          <w:p w14:paraId="04D4E697" w14:textId="77777777" w:rsidR="009C353B" w:rsidRDefault="00000000">
            <w:pPr>
              <w:widowControl/>
              <w:jc w:val="left"/>
              <w:rPr>
                <w:rFonts w:ascii="Times New Roman" w:hAnsi="Times New Roman"/>
                <w:sz w:val="18"/>
                <w:szCs w:val="18"/>
              </w:rPr>
            </w:pPr>
            <w:r>
              <w:rPr>
                <w:rFonts w:ascii="Times New Roman" w:hAnsi="Times New Roman"/>
                <w:sz w:val="18"/>
                <w:szCs w:val="18"/>
              </w:rPr>
              <w:t>我矿通过填堵、平整和恢复植被等工程措施治理沉陷裂缝，防止水土流失和土地沙化加剧。我矿定期组织对沉陷区进行观测。生态补偿费用按照要求用于沉陷区综合整治。</w:t>
            </w:r>
          </w:p>
        </w:tc>
        <w:tc>
          <w:tcPr>
            <w:tcW w:w="1276" w:type="dxa"/>
            <w:vAlign w:val="center"/>
          </w:tcPr>
          <w:p w14:paraId="769EF0DD"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4A8B4F76" w14:textId="77777777" w:rsidR="009C353B" w:rsidRDefault="00000000">
            <w:pPr>
              <w:widowControl/>
              <w:jc w:val="left"/>
              <w:rPr>
                <w:rFonts w:ascii="Times New Roman" w:hAnsi="Times New Roman"/>
                <w:sz w:val="18"/>
                <w:szCs w:val="18"/>
              </w:rPr>
            </w:pPr>
            <w:r>
              <w:rPr>
                <w:rFonts w:ascii="Times New Roman" w:hAnsi="Times New Roman"/>
                <w:sz w:val="18"/>
                <w:szCs w:val="18"/>
              </w:rPr>
              <w:t>未发生变化</w:t>
            </w:r>
          </w:p>
        </w:tc>
      </w:tr>
      <w:tr w:rsidR="009C353B" w14:paraId="0CF4C947" w14:textId="77777777">
        <w:trPr>
          <w:trHeight w:val="568"/>
          <w:jc w:val="center"/>
        </w:trPr>
        <w:tc>
          <w:tcPr>
            <w:tcW w:w="733" w:type="dxa"/>
            <w:vMerge w:val="restart"/>
            <w:vAlign w:val="center"/>
          </w:tcPr>
          <w:p w14:paraId="4FFDD699" w14:textId="77777777" w:rsidR="009C353B" w:rsidRDefault="00000000">
            <w:pPr>
              <w:jc w:val="center"/>
              <w:rPr>
                <w:rFonts w:ascii="Times New Roman" w:hAnsi="Times New Roman"/>
                <w:sz w:val="18"/>
                <w:szCs w:val="18"/>
              </w:rPr>
            </w:pPr>
            <w:r>
              <w:rPr>
                <w:rFonts w:ascii="Times New Roman" w:hAnsi="Times New Roman"/>
                <w:sz w:val="18"/>
                <w:szCs w:val="18"/>
              </w:rPr>
              <w:t>红石湾煤矿</w:t>
            </w:r>
          </w:p>
        </w:tc>
        <w:tc>
          <w:tcPr>
            <w:tcW w:w="3094" w:type="dxa"/>
            <w:vAlign w:val="center"/>
          </w:tcPr>
          <w:p w14:paraId="581E7EAD" w14:textId="77777777" w:rsidR="009C353B" w:rsidRDefault="00000000">
            <w:pPr>
              <w:rPr>
                <w:rFonts w:ascii="Times New Roman" w:hAnsi="Times New Roman"/>
                <w:sz w:val="18"/>
                <w:szCs w:val="18"/>
              </w:rPr>
            </w:pPr>
            <w:r>
              <w:rPr>
                <w:rFonts w:ascii="Times New Roman" w:hAnsi="Times New Roman"/>
                <w:sz w:val="18"/>
                <w:szCs w:val="18"/>
              </w:rPr>
              <w:t>该工程对沉陷裂缝和沉陷台阶，应通过工程措施及时填堵、平整，恢复植被，防治因地表沉陷加剧水土流失和土地沙化。井田内须留设足够保护煤柱，确保矿井设施的使用安全。</w:t>
            </w:r>
          </w:p>
        </w:tc>
        <w:tc>
          <w:tcPr>
            <w:tcW w:w="3828" w:type="dxa"/>
            <w:vAlign w:val="center"/>
          </w:tcPr>
          <w:p w14:paraId="24EE9D8C" w14:textId="77777777" w:rsidR="009C353B" w:rsidRDefault="00000000">
            <w:pPr>
              <w:jc w:val="center"/>
              <w:rPr>
                <w:rFonts w:ascii="Times New Roman" w:hAnsi="Times New Roman"/>
                <w:sz w:val="18"/>
                <w:szCs w:val="18"/>
              </w:rPr>
            </w:pPr>
            <w:r>
              <w:rPr>
                <w:rFonts w:ascii="Times New Roman" w:hAnsi="Times New Roman"/>
                <w:sz w:val="18"/>
                <w:szCs w:val="18"/>
              </w:rPr>
              <w:t>/</w:t>
            </w:r>
          </w:p>
        </w:tc>
        <w:tc>
          <w:tcPr>
            <w:tcW w:w="3118" w:type="dxa"/>
            <w:vAlign w:val="center"/>
          </w:tcPr>
          <w:p w14:paraId="711ED082" w14:textId="77777777" w:rsidR="009C353B" w:rsidRDefault="00000000">
            <w:pPr>
              <w:widowControl/>
              <w:jc w:val="left"/>
              <w:rPr>
                <w:rFonts w:ascii="Times New Roman" w:hAnsi="Times New Roman"/>
                <w:sz w:val="18"/>
                <w:szCs w:val="18"/>
              </w:rPr>
            </w:pPr>
            <w:r>
              <w:rPr>
                <w:rFonts w:cs="宋体" w:hint="eastAsia"/>
                <w:sz w:val="18"/>
                <w:szCs w:val="18"/>
              </w:rPr>
              <w:t>⑴</w:t>
            </w:r>
            <w:r>
              <w:rPr>
                <w:rFonts w:ascii="Times New Roman" w:hAnsi="Times New Roman"/>
                <w:sz w:val="18"/>
                <w:szCs w:val="18"/>
              </w:rPr>
              <w:t>沉陷区生态恢复措施与井田开采计划相结合，边开采、边恢复、边利用，使生态恢复措施贯穿于煤矿生产全过程。</w:t>
            </w:r>
          </w:p>
          <w:p w14:paraId="46320476" w14:textId="77777777" w:rsidR="009C353B" w:rsidRDefault="00000000">
            <w:pPr>
              <w:widowControl/>
              <w:jc w:val="left"/>
              <w:rPr>
                <w:rFonts w:ascii="Times New Roman" w:hAnsi="Times New Roman"/>
                <w:sz w:val="18"/>
                <w:szCs w:val="18"/>
              </w:rPr>
            </w:pPr>
            <w:r>
              <w:rPr>
                <w:rFonts w:cs="宋体" w:hint="eastAsia"/>
                <w:sz w:val="18"/>
                <w:szCs w:val="18"/>
              </w:rPr>
              <w:t>⑵</w:t>
            </w:r>
            <w:r>
              <w:rPr>
                <w:rFonts w:ascii="Times New Roman" w:hAnsi="Times New Roman"/>
                <w:sz w:val="18"/>
                <w:szCs w:val="18"/>
              </w:rPr>
              <w:t>因地制宜的原则，即根据沉陷区不同的土地类型和土地利用方式，制定与气象、土壤等条件以及植被生长条件相适宜的生态恢复措施。</w:t>
            </w:r>
          </w:p>
          <w:p w14:paraId="07E1F8D0" w14:textId="77777777" w:rsidR="009C353B" w:rsidRDefault="00000000">
            <w:pPr>
              <w:widowControl/>
              <w:jc w:val="left"/>
              <w:rPr>
                <w:rFonts w:ascii="Times New Roman" w:hAnsi="Times New Roman"/>
                <w:sz w:val="18"/>
                <w:szCs w:val="18"/>
              </w:rPr>
            </w:pPr>
            <w:r>
              <w:rPr>
                <w:rFonts w:ascii="Times New Roman" w:hAnsi="Times New Roman"/>
                <w:sz w:val="18"/>
                <w:szCs w:val="18"/>
              </w:rPr>
              <w:t>井田内留设的安全煤柱主要有：</w:t>
            </w:r>
          </w:p>
          <w:p w14:paraId="03130428" w14:textId="77777777" w:rsidR="009C353B" w:rsidRDefault="00000000">
            <w:pPr>
              <w:widowControl/>
              <w:jc w:val="left"/>
              <w:rPr>
                <w:rFonts w:ascii="Times New Roman" w:hAnsi="Times New Roman"/>
                <w:sz w:val="18"/>
                <w:szCs w:val="18"/>
              </w:rPr>
            </w:pPr>
            <w:r>
              <w:rPr>
                <w:rFonts w:cs="宋体" w:hint="eastAsia"/>
                <w:sz w:val="18"/>
                <w:szCs w:val="18"/>
              </w:rPr>
              <w:t>①</w:t>
            </w:r>
            <w:r>
              <w:rPr>
                <w:rFonts w:ascii="Times New Roman" w:hAnsi="Times New Roman"/>
                <w:sz w:val="18"/>
                <w:szCs w:val="18"/>
              </w:rPr>
              <w:t>断层煤柱</w:t>
            </w:r>
            <w:r>
              <w:rPr>
                <w:rFonts w:cs="宋体" w:hint="eastAsia"/>
                <w:sz w:val="18"/>
                <w:szCs w:val="18"/>
              </w:rPr>
              <w:t>②</w:t>
            </w:r>
            <w:r>
              <w:rPr>
                <w:rFonts w:ascii="Times New Roman" w:hAnsi="Times New Roman"/>
                <w:sz w:val="18"/>
                <w:szCs w:val="18"/>
              </w:rPr>
              <w:t>井田境界煤柱</w:t>
            </w:r>
            <w:r>
              <w:rPr>
                <w:rFonts w:cs="宋体" w:hint="eastAsia"/>
                <w:sz w:val="18"/>
                <w:szCs w:val="18"/>
              </w:rPr>
              <w:t>③</w:t>
            </w:r>
            <w:r>
              <w:rPr>
                <w:rFonts w:ascii="Times New Roman" w:hAnsi="Times New Roman"/>
                <w:sz w:val="18"/>
                <w:szCs w:val="18"/>
              </w:rPr>
              <w:t>工业场地保护煤柱</w:t>
            </w:r>
            <w:r>
              <w:rPr>
                <w:rFonts w:cs="宋体" w:hint="eastAsia"/>
                <w:sz w:val="18"/>
                <w:szCs w:val="18"/>
              </w:rPr>
              <w:t>④</w:t>
            </w:r>
            <w:r>
              <w:rPr>
                <w:rFonts w:ascii="Times New Roman" w:hAnsi="Times New Roman"/>
                <w:sz w:val="18"/>
                <w:szCs w:val="18"/>
              </w:rPr>
              <w:t>主要井巷保护煤柱</w:t>
            </w:r>
          </w:p>
        </w:tc>
        <w:tc>
          <w:tcPr>
            <w:tcW w:w="1276" w:type="dxa"/>
            <w:vAlign w:val="center"/>
          </w:tcPr>
          <w:p w14:paraId="0B9315AD"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24B34899" w14:textId="77777777" w:rsidR="009C353B" w:rsidRDefault="00000000">
            <w:pPr>
              <w:widowControl/>
              <w:jc w:val="left"/>
              <w:rPr>
                <w:rFonts w:ascii="Times New Roman" w:hAnsi="Times New Roman"/>
                <w:sz w:val="18"/>
                <w:szCs w:val="18"/>
              </w:rPr>
            </w:pPr>
            <w:r>
              <w:rPr>
                <w:rFonts w:ascii="Times New Roman" w:hAnsi="Times New Roman"/>
                <w:sz w:val="18"/>
                <w:szCs w:val="18"/>
              </w:rPr>
              <w:t>未发生变化</w:t>
            </w:r>
          </w:p>
        </w:tc>
      </w:tr>
      <w:tr w:rsidR="009C353B" w14:paraId="70F57D74" w14:textId="77777777">
        <w:trPr>
          <w:trHeight w:val="568"/>
          <w:jc w:val="center"/>
        </w:trPr>
        <w:tc>
          <w:tcPr>
            <w:tcW w:w="733" w:type="dxa"/>
            <w:vMerge/>
            <w:vAlign w:val="center"/>
          </w:tcPr>
          <w:p w14:paraId="25DA59C3" w14:textId="77777777" w:rsidR="009C353B" w:rsidRDefault="009C353B">
            <w:pPr>
              <w:jc w:val="center"/>
              <w:rPr>
                <w:rFonts w:ascii="Times New Roman" w:hAnsi="Times New Roman"/>
                <w:sz w:val="18"/>
                <w:szCs w:val="18"/>
              </w:rPr>
            </w:pPr>
          </w:p>
        </w:tc>
        <w:tc>
          <w:tcPr>
            <w:tcW w:w="3094" w:type="dxa"/>
            <w:vAlign w:val="center"/>
          </w:tcPr>
          <w:p w14:paraId="44B24912" w14:textId="77777777" w:rsidR="009C353B" w:rsidRDefault="00000000">
            <w:pPr>
              <w:rPr>
                <w:rFonts w:ascii="Times New Roman" w:hAnsi="Times New Roman"/>
                <w:sz w:val="18"/>
                <w:szCs w:val="18"/>
              </w:rPr>
            </w:pPr>
            <w:r>
              <w:rPr>
                <w:rFonts w:ascii="Times New Roman" w:hAnsi="Times New Roman"/>
                <w:sz w:val="18"/>
                <w:szCs w:val="18"/>
              </w:rPr>
              <w:t>施工场尘以须采取洏水降尘措施。露天堆储的材料缅用塑料薄膜遮盖，在转载点、装车点、筛分破碎点、矸石处置场要设置洒水降尘系统。</w:t>
            </w:r>
          </w:p>
          <w:p w14:paraId="06AA14B7" w14:textId="77777777" w:rsidR="009C353B" w:rsidRDefault="00000000">
            <w:pPr>
              <w:rPr>
                <w:rFonts w:ascii="Times New Roman" w:hAnsi="Times New Roman"/>
                <w:sz w:val="18"/>
                <w:szCs w:val="18"/>
              </w:rPr>
            </w:pPr>
            <w:r>
              <w:rPr>
                <w:rFonts w:ascii="Times New Roman" w:hAnsi="Times New Roman"/>
                <w:sz w:val="18"/>
                <w:szCs w:val="18"/>
              </w:rPr>
              <w:t>锅炉须用低硫煤，釆用麻石水膜除尘器</w:t>
            </w:r>
            <w:r>
              <w:rPr>
                <w:rFonts w:ascii="Times New Roman" w:hAnsi="Times New Roman"/>
                <w:sz w:val="18"/>
                <w:szCs w:val="18"/>
              </w:rPr>
              <w:t>+</w:t>
            </w:r>
            <w:r>
              <w:rPr>
                <w:rFonts w:ascii="Times New Roman" w:hAnsi="Times New Roman"/>
                <w:sz w:val="18"/>
                <w:szCs w:val="18"/>
              </w:rPr>
              <w:t>斜板交換器处理后通过</w:t>
            </w:r>
            <w:r>
              <w:rPr>
                <w:rFonts w:ascii="Times New Roman" w:hAnsi="Times New Roman"/>
                <w:sz w:val="18"/>
                <w:szCs w:val="18"/>
              </w:rPr>
              <w:t>45m</w:t>
            </w:r>
            <w:r>
              <w:rPr>
                <w:rFonts w:ascii="Times New Roman" w:hAnsi="Times New Roman"/>
                <w:sz w:val="18"/>
                <w:szCs w:val="18"/>
              </w:rPr>
              <w:t>高烟囱排放，使污染物达标排放。</w:t>
            </w:r>
          </w:p>
        </w:tc>
        <w:tc>
          <w:tcPr>
            <w:tcW w:w="3828" w:type="dxa"/>
            <w:vAlign w:val="center"/>
          </w:tcPr>
          <w:p w14:paraId="45E9721E" w14:textId="77777777" w:rsidR="009C353B" w:rsidRDefault="00000000">
            <w:pPr>
              <w:jc w:val="center"/>
              <w:rPr>
                <w:rFonts w:ascii="Times New Roman" w:hAnsi="Times New Roman"/>
                <w:sz w:val="18"/>
                <w:szCs w:val="18"/>
              </w:rPr>
            </w:pPr>
            <w:r>
              <w:rPr>
                <w:rFonts w:ascii="Times New Roman" w:hAnsi="Times New Roman"/>
                <w:sz w:val="18"/>
                <w:szCs w:val="18"/>
              </w:rPr>
              <w:t>/</w:t>
            </w:r>
          </w:p>
        </w:tc>
        <w:tc>
          <w:tcPr>
            <w:tcW w:w="3118" w:type="dxa"/>
            <w:vAlign w:val="center"/>
          </w:tcPr>
          <w:p w14:paraId="27CBC73C" w14:textId="77777777" w:rsidR="009C353B" w:rsidRDefault="00000000">
            <w:pPr>
              <w:widowControl/>
              <w:jc w:val="left"/>
              <w:rPr>
                <w:rFonts w:ascii="Times New Roman" w:hAnsi="Times New Roman"/>
                <w:sz w:val="18"/>
                <w:szCs w:val="18"/>
              </w:rPr>
            </w:pPr>
            <w:r>
              <w:rPr>
                <w:rFonts w:ascii="Times New Roman" w:hAnsi="Times New Roman"/>
                <w:sz w:val="18"/>
                <w:szCs w:val="18"/>
              </w:rPr>
              <w:t>储煤场临时煤堆用环保绿网遮盖，煤场设有喷淋系统并购置了洒水车对场地和道路定时洒水降尘。</w:t>
            </w:r>
          </w:p>
        </w:tc>
        <w:tc>
          <w:tcPr>
            <w:tcW w:w="1276" w:type="dxa"/>
            <w:vAlign w:val="center"/>
          </w:tcPr>
          <w:p w14:paraId="4FA71692"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5819CDB5" w14:textId="77777777" w:rsidR="009C353B" w:rsidRDefault="00000000">
            <w:pPr>
              <w:widowControl/>
              <w:jc w:val="left"/>
              <w:rPr>
                <w:rFonts w:ascii="Times New Roman" w:hAnsi="Times New Roman"/>
                <w:sz w:val="18"/>
                <w:szCs w:val="18"/>
              </w:rPr>
            </w:pPr>
            <w:r>
              <w:rPr>
                <w:rFonts w:ascii="Times New Roman" w:hAnsi="Times New Roman" w:hint="eastAsia"/>
                <w:sz w:val="18"/>
                <w:szCs w:val="18"/>
              </w:rPr>
              <w:t>优化。</w:t>
            </w:r>
            <w:r>
              <w:rPr>
                <w:rFonts w:ascii="Times New Roman" w:hAnsi="Times New Roman"/>
                <w:sz w:val="18"/>
                <w:szCs w:val="18"/>
              </w:rPr>
              <w:t>原有</w:t>
            </w:r>
            <w:r>
              <w:rPr>
                <w:rFonts w:ascii="Times New Roman" w:hAnsi="Times New Roman"/>
                <w:sz w:val="18"/>
                <w:szCs w:val="18"/>
              </w:rPr>
              <w:t>3</w:t>
            </w:r>
            <w:r>
              <w:rPr>
                <w:rFonts w:ascii="Times New Roman" w:hAnsi="Times New Roman"/>
                <w:sz w:val="18"/>
                <w:szCs w:val="18"/>
              </w:rPr>
              <w:t>台</w:t>
            </w:r>
            <w:r>
              <w:rPr>
                <w:rFonts w:ascii="Times New Roman" w:hAnsi="Times New Roman"/>
                <w:sz w:val="18"/>
                <w:szCs w:val="18"/>
              </w:rPr>
              <w:t>10</w:t>
            </w:r>
            <w:r>
              <w:rPr>
                <w:rFonts w:ascii="Times New Roman" w:hAnsi="Times New Roman"/>
                <w:sz w:val="18"/>
                <w:szCs w:val="18"/>
              </w:rPr>
              <w:t>吨和</w:t>
            </w:r>
            <w:r>
              <w:rPr>
                <w:rFonts w:ascii="Times New Roman" w:hAnsi="Times New Roman"/>
                <w:sz w:val="18"/>
                <w:szCs w:val="18"/>
              </w:rPr>
              <w:t>1</w:t>
            </w:r>
            <w:r>
              <w:rPr>
                <w:rFonts w:ascii="Times New Roman" w:hAnsi="Times New Roman"/>
                <w:sz w:val="18"/>
                <w:szCs w:val="18"/>
              </w:rPr>
              <w:t>台</w:t>
            </w:r>
            <w:r>
              <w:rPr>
                <w:rFonts w:ascii="Times New Roman" w:hAnsi="Times New Roman"/>
                <w:sz w:val="18"/>
                <w:szCs w:val="18"/>
              </w:rPr>
              <w:t>4</w:t>
            </w:r>
            <w:r>
              <w:rPr>
                <w:rFonts w:ascii="Times New Roman" w:hAnsi="Times New Roman"/>
                <w:sz w:val="18"/>
                <w:szCs w:val="18"/>
              </w:rPr>
              <w:t>吨燃煤锅炉已于</w:t>
            </w:r>
            <w:r>
              <w:rPr>
                <w:rFonts w:ascii="Times New Roman" w:hAnsi="Times New Roman"/>
                <w:sz w:val="18"/>
                <w:szCs w:val="18"/>
              </w:rPr>
              <w:t>2018</w:t>
            </w:r>
            <w:r>
              <w:rPr>
                <w:rFonts w:ascii="Times New Roman" w:hAnsi="Times New Roman"/>
                <w:sz w:val="18"/>
                <w:szCs w:val="18"/>
              </w:rPr>
              <w:t>年全部拆除，冬季供暖接入银川中科环保电力有限公司生活垃圾焚烧发电厂余热。</w:t>
            </w:r>
          </w:p>
        </w:tc>
      </w:tr>
      <w:tr w:rsidR="009C353B" w14:paraId="631806C0" w14:textId="77777777">
        <w:trPr>
          <w:trHeight w:val="568"/>
          <w:jc w:val="center"/>
        </w:trPr>
        <w:tc>
          <w:tcPr>
            <w:tcW w:w="733" w:type="dxa"/>
            <w:vMerge/>
            <w:vAlign w:val="center"/>
          </w:tcPr>
          <w:p w14:paraId="14DAD024" w14:textId="77777777" w:rsidR="009C353B" w:rsidRDefault="009C353B">
            <w:pPr>
              <w:jc w:val="center"/>
              <w:rPr>
                <w:rFonts w:ascii="Times New Roman" w:hAnsi="Times New Roman"/>
                <w:sz w:val="18"/>
                <w:szCs w:val="18"/>
              </w:rPr>
            </w:pPr>
          </w:p>
        </w:tc>
        <w:tc>
          <w:tcPr>
            <w:tcW w:w="3094" w:type="dxa"/>
            <w:vAlign w:val="center"/>
          </w:tcPr>
          <w:p w14:paraId="296FB871" w14:textId="77777777" w:rsidR="009C353B" w:rsidRDefault="00000000">
            <w:pPr>
              <w:rPr>
                <w:rFonts w:ascii="Times New Roman" w:hAnsi="Times New Roman"/>
                <w:sz w:val="18"/>
                <w:szCs w:val="18"/>
              </w:rPr>
            </w:pPr>
            <w:r>
              <w:rPr>
                <w:rFonts w:ascii="Times New Roman" w:hAnsi="Times New Roman"/>
                <w:sz w:val="18"/>
                <w:szCs w:val="18"/>
              </w:rPr>
              <w:t>按照环评报告书的要求落实水资源保护和综合利用措施。提高矿井水综合利用率。项目在实际生产后，矿井水经深度处理后作为生产、生活用水和周边电厂等企业用水：浓盐废水、经沉淀后用于工业广场及矸石堆场降尘。生产、生活污水采用地埋式一体化污水处理装置处理达标后，用于工业广场及周边绿化，不外排。</w:t>
            </w:r>
          </w:p>
        </w:tc>
        <w:tc>
          <w:tcPr>
            <w:tcW w:w="3828" w:type="dxa"/>
            <w:vAlign w:val="center"/>
          </w:tcPr>
          <w:p w14:paraId="3E0385D7" w14:textId="77777777" w:rsidR="009C353B" w:rsidRDefault="00000000">
            <w:pPr>
              <w:jc w:val="center"/>
              <w:rPr>
                <w:rFonts w:ascii="Times New Roman" w:hAnsi="Times New Roman"/>
                <w:sz w:val="18"/>
                <w:szCs w:val="18"/>
              </w:rPr>
            </w:pPr>
            <w:r>
              <w:rPr>
                <w:rFonts w:ascii="Times New Roman" w:hAnsi="Times New Roman"/>
                <w:sz w:val="18"/>
                <w:szCs w:val="18"/>
              </w:rPr>
              <w:t>/</w:t>
            </w:r>
          </w:p>
        </w:tc>
        <w:tc>
          <w:tcPr>
            <w:tcW w:w="3118" w:type="dxa"/>
            <w:vAlign w:val="center"/>
          </w:tcPr>
          <w:p w14:paraId="28326B30" w14:textId="77777777" w:rsidR="009C353B" w:rsidRDefault="00000000">
            <w:pPr>
              <w:widowControl/>
              <w:jc w:val="left"/>
              <w:rPr>
                <w:rFonts w:ascii="Times New Roman" w:hAnsi="Times New Roman"/>
                <w:sz w:val="18"/>
                <w:szCs w:val="18"/>
              </w:rPr>
            </w:pPr>
            <w:r>
              <w:rPr>
                <w:rFonts w:ascii="Times New Roman" w:hAnsi="Times New Roman" w:hint="eastAsia"/>
                <w:sz w:val="18"/>
                <w:szCs w:val="18"/>
              </w:rPr>
              <w:t>现有矿井水处理站</w:t>
            </w:r>
            <w:r>
              <w:rPr>
                <w:rFonts w:ascii="Times New Roman" w:hAnsi="Times New Roman"/>
                <w:sz w:val="18"/>
                <w:szCs w:val="18"/>
              </w:rPr>
              <w:t>1</w:t>
            </w:r>
            <w:r>
              <w:rPr>
                <w:rFonts w:ascii="Times New Roman" w:hAnsi="Times New Roman" w:hint="eastAsia"/>
                <w:sz w:val="18"/>
                <w:szCs w:val="18"/>
              </w:rPr>
              <w:t>座，处理规模</w:t>
            </w:r>
            <w:r>
              <w:rPr>
                <w:rFonts w:ascii="Times New Roman" w:hAnsi="Times New Roman"/>
                <w:sz w:val="18"/>
                <w:szCs w:val="18"/>
              </w:rPr>
              <w:t>8640m</w:t>
            </w:r>
            <w:r>
              <w:rPr>
                <w:rFonts w:ascii="Times New Roman" w:hAnsi="Times New Roman"/>
                <w:sz w:val="18"/>
                <w:szCs w:val="18"/>
                <w:vertAlign w:val="superscript"/>
              </w:rPr>
              <w:t>3</w:t>
            </w:r>
            <w:r>
              <w:rPr>
                <w:rFonts w:ascii="Times New Roman" w:hAnsi="Times New Roman"/>
                <w:sz w:val="18"/>
                <w:szCs w:val="18"/>
              </w:rPr>
              <w:t>/d</w:t>
            </w:r>
            <w:r>
              <w:rPr>
                <w:rFonts w:ascii="Times New Roman" w:hAnsi="Times New Roman" w:hint="eastAsia"/>
                <w:sz w:val="18"/>
                <w:szCs w:val="18"/>
              </w:rPr>
              <w:t>，采用混凝</w:t>
            </w:r>
            <w:r>
              <w:rPr>
                <w:rFonts w:ascii="Times New Roman" w:hAnsi="Times New Roman"/>
                <w:sz w:val="18"/>
                <w:szCs w:val="18"/>
              </w:rPr>
              <w:t>+</w:t>
            </w:r>
            <w:r>
              <w:rPr>
                <w:rFonts w:ascii="Times New Roman" w:hAnsi="Times New Roman" w:hint="eastAsia"/>
                <w:sz w:val="18"/>
                <w:szCs w:val="18"/>
              </w:rPr>
              <w:t>沉淀</w:t>
            </w:r>
            <w:r>
              <w:rPr>
                <w:rFonts w:ascii="Times New Roman" w:hAnsi="Times New Roman"/>
                <w:sz w:val="18"/>
                <w:szCs w:val="18"/>
              </w:rPr>
              <w:t>”</w:t>
            </w:r>
            <w:r>
              <w:rPr>
                <w:rFonts w:ascii="Times New Roman" w:hAnsi="Times New Roman" w:hint="eastAsia"/>
                <w:sz w:val="18"/>
                <w:szCs w:val="18"/>
              </w:rPr>
              <w:t>处理工艺进行处理，用于地面及井下生产、洒水抑尘等，不外排。现状涌水量</w:t>
            </w:r>
            <w:r>
              <w:rPr>
                <w:rFonts w:ascii="Times New Roman" w:hAnsi="Times New Roman"/>
                <w:sz w:val="18"/>
                <w:szCs w:val="18"/>
              </w:rPr>
              <w:t>2544m</w:t>
            </w:r>
            <w:r>
              <w:rPr>
                <w:rFonts w:ascii="Times New Roman" w:hAnsi="Times New Roman"/>
                <w:sz w:val="18"/>
                <w:szCs w:val="18"/>
                <w:vertAlign w:val="superscript"/>
              </w:rPr>
              <w:t>3</w:t>
            </w:r>
            <w:r>
              <w:rPr>
                <w:rFonts w:ascii="Times New Roman" w:hAnsi="Times New Roman"/>
                <w:sz w:val="18"/>
                <w:szCs w:val="18"/>
              </w:rPr>
              <w:t>/d</w:t>
            </w:r>
            <w:r>
              <w:rPr>
                <w:rFonts w:ascii="Times New Roman" w:hAnsi="Times New Roman" w:hint="eastAsia"/>
                <w:sz w:val="18"/>
                <w:szCs w:val="18"/>
              </w:rPr>
              <w:t>，依托现有矿井水处理设施进行处理，处理水量未超过设计规模。</w:t>
            </w:r>
          </w:p>
          <w:p w14:paraId="3146E15C" w14:textId="77777777" w:rsidR="009C353B" w:rsidRDefault="00000000">
            <w:pPr>
              <w:widowControl/>
              <w:jc w:val="left"/>
              <w:rPr>
                <w:rFonts w:ascii="Times New Roman" w:hAnsi="Times New Roman"/>
                <w:sz w:val="18"/>
                <w:szCs w:val="18"/>
              </w:rPr>
            </w:pPr>
            <w:r>
              <w:rPr>
                <w:rFonts w:ascii="Times New Roman" w:hAnsi="Times New Roman" w:hint="eastAsia"/>
                <w:sz w:val="18"/>
                <w:szCs w:val="18"/>
              </w:rPr>
              <w:t>生活污水产生量</w:t>
            </w:r>
            <w:r>
              <w:rPr>
                <w:rFonts w:ascii="Times New Roman" w:hAnsi="Times New Roman" w:hint="eastAsia"/>
                <w:sz w:val="18"/>
                <w:szCs w:val="18"/>
              </w:rPr>
              <w:t>1</w:t>
            </w:r>
            <w:r>
              <w:rPr>
                <w:rFonts w:ascii="Times New Roman" w:hAnsi="Times New Roman"/>
                <w:sz w:val="18"/>
                <w:szCs w:val="18"/>
              </w:rPr>
              <w:t>30 m</w:t>
            </w:r>
            <w:r>
              <w:rPr>
                <w:rFonts w:ascii="Times New Roman" w:hAnsi="Times New Roman"/>
                <w:sz w:val="18"/>
                <w:szCs w:val="18"/>
                <w:vertAlign w:val="superscript"/>
              </w:rPr>
              <w:t>3</w:t>
            </w:r>
            <w:r>
              <w:rPr>
                <w:rFonts w:ascii="Times New Roman" w:hAnsi="Times New Roman"/>
                <w:sz w:val="18"/>
                <w:szCs w:val="18"/>
              </w:rPr>
              <w:t>/d</w:t>
            </w:r>
            <w:r>
              <w:rPr>
                <w:rFonts w:ascii="Times New Roman" w:hAnsi="Times New Roman" w:hint="eastAsia"/>
                <w:sz w:val="18"/>
                <w:szCs w:val="18"/>
              </w:rPr>
              <w:t>，现有生活污水处理设施</w:t>
            </w:r>
            <w:r>
              <w:rPr>
                <w:rFonts w:ascii="Times New Roman" w:hAnsi="Times New Roman"/>
                <w:sz w:val="18"/>
                <w:szCs w:val="18"/>
              </w:rPr>
              <w:t>1</w:t>
            </w:r>
            <w:r>
              <w:rPr>
                <w:rFonts w:ascii="Times New Roman" w:hAnsi="Times New Roman" w:hint="eastAsia"/>
                <w:sz w:val="18"/>
                <w:szCs w:val="18"/>
              </w:rPr>
              <w:t>座，处理规模</w:t>
            </w:r>
            <w:r>
              <w:rPr>
                <w:rFonts w:ascii="Times New Roman" w:hAnsi="Times New Roman"/>
                <w:sz w:val="18"/>
                <w:szCs w:val="18"/>
              </w:rPr>
              <w:t>480m</w:t>
            </w:r>
            <w:r>
              <w:rPr>
                <w:rFonts w:ascii="Times New Roman" w:hAnsi="Times New Roman"/>
                <w:sz w:val="18"/>
                <w:szCs w:val="18"/>
                <w:vertAlign w:val="superscript"/>
              </w:rPr>
              <w:t>3</w:t>
            </w:r>
            <w:r>
              <w:rPr>
                <w:rFonts w:ascii="Times New Roman" w:hAnsi="Times New Roman"/>
                <w:sz w:val="18"/>
                <w:szCs w:val="18"/>
              </w:rPr>
              <w:t>/d</w:t>
            </w:r>
            <w:r>
              <w:rPr>
                <w:rFonts w:ascii="Times New Roman" w:hAnsi="Times New Roman" w:hint="eastAsia"/>
                <w:sz w:val="18"/>
                <w:szCs w:val="18"/>
              </w:rPr>
              <w:t>，采用</w:t>
            </w:r>
            <w:r>
              <w:rPr>
                <w:rFonts w:ascii="Times New Roman" w:hAnsi="Times New Roman"/>
                <w:sz w:val="18"/>
                <w:szCs w:val="18"/>
              </w:rPr>
              <w:t>A</w:t>
            </w:r>
            <w:r>
              <w:rPr>
                <w:rFonts w:ascii="Times New Roman" w:hAnsi="Times New Roman"/>
                <w:sz w:val="18"/>
                <w:szCs w:val="18"/>
                <w:vertAlign w:val="superscript"/>
              </w:rPr>
              <w:t>2</w:t>
            </w:r>
            <w:r>
              <w:rPr>
                <w:rFonts w:ascii="Times New Roman" w:hAnsi="Times New Roman"/>
                <w:sz w:val="18"/>
                <w:szCs w:val="18"/>
              </w:rPr>
              <w:t>/O</w:t>
            </w:r>
            <w:r>
              <w:rPr>
                <w:rFonts w:ascii="Times New Roman" w:hAnsi="Times New Roman" w:hint="eastAsia"/>
                <w:sz w:val="18"/>
                <w:szCs w:val="18"/>
              </w:rPr>
              <w:t>处理工艺，处理后全部用于工业场地的绿化，冬季不能综合利用的生活污水全部送生活污水蓄水池暂存，用于夏季绿化，无外排。</w:t>
            </w:r>
          </w:p>
        </w:tc>
        <w:tc>
          <w:tcPr>
            <w:tcW w:w="1276" w:type="dxa"/>
            <w:vAlign w:val="center"/>
          </w:tcPr>
          <w:p w14:paraId="074066DC"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4CB6B0A1" w14:textId="77777777" w:rsidR="009C353B" w:rsidRDefault="00000000">
            <w:pPr>
              <w:widowControl/>
              <w:jc w:val="left"/>
              <w:rPr>
                <w:rFonts w:ascii="Times New Roman" w:hAnsi="Times New Roman"/>
                <w:sz w:val="18"/>
                <w:szCs w:val="18"/>
              </w:rPr>
            </w:pPr>
            <w:r>
              <w:rPr>
                <w:rFonts w:ascii="Times New Roman" w:hAnsi="Times New Roman" w:hint="eastAsia"/>
                <w:sz w:val="18"/>
                <w:szCs w:val="18"/>
              </w:rPr>
              <w:t>优化。红石湾矿井水和生活污水处理站于</w:t>
            </w:r>
            <w:r>
              <w:rPr>
                <w:rFonts w:ascii="Times New Roman" w:hAnsi="Times New Roman"/>
                <w:sz w:val="18"/>
                <w:szCs w:val="18"/>
              </w:rPr>
              <w:t>2020</w:t>
            </w:r>
            <w:r>
              <w:rPr>
                <w:rFonts w:ascii="Times New Roman" w:hAnsi="Times New Roman" w:hint="eastAsia"/>
                <w:sz w:val="18"/>
                <w:szCs w:val="18"/>
              </w:rPr>
              <w:t>年</w:t>
            </w:r>
            <w:r>
              <w:rPr>
                <w:rFonts w:ascii="Times New Roman" w:hAnsi="Times New Roman"/>
                <w:sz w:val="18"/>
                <w:szCs w:val="18"/>
              </w:rPr>
              <w:t>8</w:t>
            </w:r>
            <w:r>
              <w:rPr>
                <w:rFonts w:ascii="Times New Roman" w:hAnsi="Times New Roman" w:hint="eastAsia"/>
                <w:sz w:val="18"/>
                <w:szCs w:val="18"/>
              </w:rPr>
              <w:t>月底开始升级改造，在改造过程中，建设了临时蓄水池储存改造过程中（</w:t>
            </w:r>
            <w:r>
              <w:rPr>
                <w:rFonts w:ascii="Times New Roman" w:hAnsi="Times New Roman"/>
                <w:sz w:val="18"/>
                <w:szCs w:val="18"/>
              </w:rPr>
              <w:t>30</w:t>
            </w:r>
            <w:r>
              <w:rPr>
                <w:rFonts w:ascii="Times New Roman" w:hAnsi="Times New Roman" w:hint="eastAsia"/>
                <w:sz w:val="18"/>
                <w:szCs w:val="18"/>
              </w:rPr>
              <w:t>天）生活污水，改造完成后储存的生活污水经过处理后全部回用；矿井水设施为</w:t>
            </w:r>
            <w:r>
              <w:rPr>
                <w:rFonts w:ascii="Times New Roman" w:hAnsi="Times New Roman"/>
                <w:sz w:val="18"/>
                <w:szCs w:val="18"/>
              </w:rPr>
              <w:t>2</w:t>
            </w:r>
            <w:r>
              <w:rPr>
                <w:rFonts w:ascii="Times New Roman" w:hAnsi="Times New Roman" w:hint="eastAsia"/>
                <w:sz w:val="18"/>
                <w:szCs w:val="18"/>
              </w:rPr>
              <w:t>套</w:t>
            </w:r>
            <w:r>
              <w:rPr>
                <w:rFonts w:ascii="Times New Roman" w:hAnsi="Times New Roman"/>
                <w:sz w:val="18"/>
                <w:szCs w:val="18"/>
              </w:rPr>
              <w:t>3500m3/d</w:t>
            </w:r>
            <w:r>
              <w:rPr>
                <w:rFonts w:ascii="Times New Roman" w:hAnsi="Times New Roman" w:hint="eastAsia"/>
                <w:sz w:val="18"/>
                <w:szCs w:val="18"/>
              </w:rPr>
              <w:t>，矿井水处理站改造中，</w:t>
            </w:r>
            <w:r>
              <w:rPr>
                <w:rFonts w:ascii="Times New Roman" w:hAnsi="Times New Roman"/>
                <w:sz w:val="18"/>
                <w:szCs w:val="18"/>
              </w:rPr>
              <w:t>1</w:t>
            </w:r>
            <w:r>
              <w:rPr>
                <w:rFonts w:ascii="Times New Roman" w:hAnsi="Times New Roman" w:hint="eastAsia"/>
                <w:sz w:val="18"/>
                <w:szCs w:val="18"/>
              </w:rPr>
              <w:t>用</w:t>
            </w:r>
            <w:r>
              <w:rPr>
                <w:rFonts w:ascii="Times New Roman" w:hAnsi="Times New Roman"/>
                <w:sz w:val="18"/>
                <w:szCs w:val="18"/>
              </w:rPr>
              <w:t>1</w:t>
            </w:r>
            <w:r>
              <w:rPr>
                <w:rFonts w:ascii="Times New Roman" w:hAnsi="Times New Roman" w:hint="eastAsia"/>
                <w:sz w:val="18"/>
                <w:szCs w:val="18"/>
              </w:rPr>
              <w:t>改造，确保了矿井水处理站改造过程中矿井水经过了全部处理。</w:t>
            </w:r>
          </w:p>
          <w:p w14:paraId="17A2FEDC" w14:textId="77777777" w:rsidR="009C353B" w:rsidRDefault="00000000">
            <w:pPr>
              <w:widowControl/>
              <w:jc w:val="left"/>
              <w:rPr>
                <w:rFonts w:ascii="Times New Roman" w:hAnsi="Times New Roman"/>
                <w:sz w:val="18"/>
                <w:szCs w:val="18"/>
              </w:rPr>
            </w:pPr>
            <w:r>
              <w:rPr>
                <w:rFonts w:ascii="Times New Roman" w:hAnsi="Times New Roman" w:hint="eastAsia"/>
                <w:sz w:val="18"/>
                <w:szCs w:val="18"/>
              </w:rPr>
              <w:t>项目环保设施改造期间，设施停用在当地环保部门进行备案，</w:t>
            </w:r>
            <w:r>
              <w:rPr>
                <w:rFonts w:ascii="Times New Roman" w:hAnsi="Times New Roman"/>
                <w:sz w:val="18"/>
                <w:szCs w:val="18"/>
              </w:rPr>
              <w:t>2020</w:t>
            </w:r>
            <w:r>
              <w:rPr>
                <w:rFonts w:ascii="Times New Roman" w:hAnsi="Times New Roman" w:hint="eastAsia"/>
                <w:sz w:val="18"/>
                <w:szCs w:val="18"/>
              </w:rPr>
              <w:t>年</w:t>
            </w:r>
            <w:r>
              <w:rPr>
                <w:rFonts w:ascii="Times New Roman" w:hAnsi="Times New Roman"/>
                <w:sz w:val="18"/>
                <w:szCs w:val="18"/>
              </w:rPr>
              <w:t>9</w:t>
            </w:r>
            <w:r>
              <w:rPr>
                <w:rFonts w:ascii="Times New Roman" w:hAnsi="Times New Roman" w:hint="eastAsia"/>
                <w:sz w:val="18"/>
                <w:szCs w:val="18"/>
              </w:rPr>
              <w:t>月底完成了水处理设施的全部改造，并投入使用。</w:t>
            </w:r>
          </w:p>
        </w:tc>
      </w:tr>
      <w:tr w:rsidR="009C353B" w14:paraId="77DBD7BA" w14:textId="77777777">
        <w:trPr>
          <w:trHeight w:val="568"/>
          <w:jc w:val="center"/>
        </w:trPr>
        <w:tc>
          <w:tcPr>
            <w:tcW w:w="733" w:type="dxa"/>
            <w:vMerge/>
            <w:vAlign w:val="center"/>
          </w:tcPr>
          <w:p w14:paraId="2BC7E2DF" w14:textId="77777777" w:rsidR="009C353B" w:rsidRDefault="009C353B">
            <w:pPr>
              <w:jc w:val="center"/>
              <w:rPr>
                <w:rFonts w:ascii="Times New Roman" w:hAnsi="Times New Roman"/>
                <w:sz w:val="18"/>
                <w:szCs w:val="18"/>
              </w:rPr>
            </w:pPr>
          </w:p>
        </w:tc>
        <w:tc>
          <w:tcPr>
            <w:tcW w:w="3094" w:type="dxa"/>
            <w:vAlign w:val="center"/>
          </w:tcPr>
          <w:p w14:paraId="2E5746CD" w14:textId="77777777" w:rsidR="009C353B" w:rsidRDefault="00000000">
            <w:pPr>
              <w:rPr>
                <w:rFonts w:ascii="Times New Roman" w:hAnsi="Times New Roman"/>
                <w:sz w:val="18"/>
                <w:szCs w:val="18"/>
              </w:rPr>
            </w:pPr>
            <w:r>
              <w:rPr>
                <w:rFonts w:ascii="Times New Roman" w:hAnsi="Times New Roman"/>
                <w:sz w:val="18"/>
                <w:szCs w:val="18"/>
              </w:rPr>
              <w:t>做好水土保持方案中应执行的般性水土防治措施和工作。</w:t>
            </w:r>
          </w:p>
        </w:tc>
        <w:tc>
          <w:tcPr>
            <w:tcW w:w="3828" w:type="dxa"/>
            <w:vAlign w:val="center"/>
          </w:tcPr>
          <w:p w14:paraId="6543EC61" w14:textId="77777777" w:rsidR="009C353B" w:rsidRDefault="00000000">
            <w:pPr>
              <w:jc w:val="center"/>
              <w:rPr>
                <w:rFonts w:ascii="Times New Roman" w:hAnsi="Times New Roman"/>
                <w:sz w:val="18"/>
                <w:szCs w:val="18"/>
              </w:rPr>
            </w:pPr>
            <w:r>
              <w:rPr>
                <w:rFonts w:ascii="Times New Roman" w:hAnsi="Times New Roman"/>
                <w:sz w:val="18"/>
                <w:szCs w:val="18"/>
              </w:rPr>
              <w:t>/</w:t>
            </w:r>
          </w:p>
        </w:tc>
        <w:tc>
          <w:tcPr>
            <w:tcW w:w="3118" w:type="dxa"/>
            <w:vAlign w:val="center"/>
          </w:tcPr>
          <w:p w14:paraId="79D03122" w14:textId="77777777" w:rsidR="009C353B" w:rsidRDefault="00000000">
            <w:pPr>
              <w:widowControl/>
              <w:jc w:val="left"/>
              <w:rPr>
                <w:rFonts w:ascii="Times New Roman" w:hAnsi="Times New Roman"/>
                <w:sz w:val="18"/>
                <w:szCs w:val="18"/>
              </w:rPr>
            </w:pPr>
            <w:r>
              <w:rPr>
                <w:rFonts w:ascii="Times New Roman" w:hAnsi="Times New Roman"/>
                <w:sz w:val="18"/>
                <w:szCs w:val="18"/>
              </w:rPr>
              <w:t>落实了水土保持方案确定的防治措施，实施了挡渣墙、边坡防护、砾石覆盖、土地整治、厂区绿化等措施。</w:t>
            </w:r>
          </w:p>
        </w:tc>
        <w:tc>
          <w:tcPr>
            <w:tcW w:w="1276" w:type="dxa"/>
            <w:vAlign w:val="center"/>
          </w:tcPr>
          <w:p w14:paraId="42F9D4C5"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0564674E" w14:textId="77777777" w:rsidR="009C353B" w:rsidRDefault="00000000">
            <w:pPr>
              <w:widowControl/>
              <w:jc w:val="left"/>
              <w:rPr>
                <w:rFonts w:ascii="Times New Roman" w:hAnsi="Times New Roman"/>
                <w:sz w:val="18"/>
                <w:szCs w:val="18"/>
              </w:rPr>
            </w:pPr>
            <w:r>
              <w:rPr>
                <w:rFonts w:ascii="Times New Roman" w:hAnsi="Times New Roman"/>
                <w:sz w:val="18"/>
                <w:szCs w:val="18"/>
              </w:rPr>
              <w:t>未发生变化</w:t>
            </w:r>
          </w:p>
        </w:tc>
      </w:tr>
      <w:tr w:rsidR="009C353B" w14:paraId="7C6989BB" w14:textId="77777777">
        <w:trPr>
          <w:trHeight w:val="568"/>
          <w:jc w:val="center"/>
        </w:trPr>
        <w:tc>
          <w:tcPr>
            <w:tcW w:w="733" w:type="dxa"/>
            <w:vMerge/>
            <w:vAlign w:val="center"/>
          </w:tcPr>
          <w:p w14:paraId="47EFE3D8" w14:textId="77777777" w:rsidR="009C353B" w:rsidRDefault="009C353B">
            <w:pPr>
              <w:jc w:val="center"/>
              <w:rPr>
                <w:rFonts w:ascii="Times New Roman" w:hAnsi="Times New Roman"/>
                <w:sz w:val="18"/>
                <w:szCs w:val="18"/>
              </w:rPr>
            </w:pPr>
          </w:p>
        </w:tc>
        <w:tc>
          <w:tcPr>
            <w:tcW w:w="3094" w:type="dxa"/>
            <w:vAlign w:val="center"/>
          </w:tcPr>
          <w:p w14:paraId="5904B740" w14:textId="77777777" w:rsidR="009C353B" w:rsidRDefault="00000000">
            <w:pPr>
              <w:rPr>
                <w:rFonts w:ascii="Times New Roman" w:hAnsi="Times New Roman"/>
                <w:sz w:val="18"/>
                <w:szCs w:val="18"/>
              </w:rPr>
            </w:pPr>
            <w:r>
              <w:rPr>
                <w:rFonts w:ascii="Times New Roman" w:hAnsi="Times New Roman"/>
                <w:sz w:val="18"/>
                <w:szCs w:val="18"/>
              </w:rPr>
              <w:t>临时排矸场要及时碾压，通过洒水提高表面含水率，在四周种植绿化带。临时排矸场服务期满后，要覆土绿化。</w:t>
            </w:r>
          </w:p>
          <w:p w14:paraId="24F6EDAA" w14:textId="77777777" w:rsidR="009C353B" w:rsidRDefault="00000000">
            <w:pPr>
              <w:rPr>
                <w:rFonts w:ascii="Times New Roman" w:hAnsi="Times New Roman"/>
                <w:sz w:val="18"/>
                <w:szCs w:val="18"/>
              </w:rPr>
            </w:pPr>
            <w:r>
              <w:rPr>
                <w:rFonts w:ascii="Times New Roman" w:hAnsi="Times New Roman"/>
                <w:sz w:val="18"/>
                <w:szCs w:val="18"/>
              </w:rPr>
              <w:t>提高矸石综合利用率，矸石要优先用于灵州矸石电厂作为燃料，剩余部分排至临时排矸场，排矸场选址与建设必须符合《一般工</w:t>
            </w:r>
          </w:p>
          <w:p w14:paraId="30085D50" w14:textId="77777777" w:rsidR="009C353B" w:rsidRDefault="00000000">
            <w:pPr>
              <w:rPr>
                <w:rFonts w:ascii="Times New Roman" w:hAnsi="Times New Roman"/>
                <w:sz w:val="18"/>
                <w:szCs w:val="18"/>
              </w:rPr>
            </w:pPr>
            <w:r>
              <w:rPr>
                <w:rFonts w:ascii="Times New Roman" w:hAnsi="Times New Roman"/>
                <w:sz w:val="18"/>
                <w:szCs w:val="18"/>
              </w:rPr>
              <w:t>业固体废物贮存、处置场污染控制标准》</w:t>
            </w:r>
            <w:r>
              <w:rPr>
                <w:rFonts w:ascii="Times New Roman" w:hAnsi="Times New Roman"/>
                <w:sz w:val="18"/>
                <w:szCs w:val="18"/>
              </w:rPr>
              <w:t>(GB18599-2001)</w:t>
            </w:r>
            <w:r>
              <w:rPr>
                <w:rFonts w:ascii="Times New Roman" w:hAnsi="Times New Roman"/>
                <w:sz w:val="18"/>
                <w:szCs w:val="18"/>
              </w:rPr>
              <w:t>。</w:t>
            </w:r>
          </w:p>
        </w:tc>
        <w:tc>
          <w:tcPr>
            <w:tcW w:w="3828" w:type="dxa"/>
            <w:vAlign w:val="center"/>
          </w:tcPr>
          <w:p w14:paraId="4BF095A3" w14:textId="77777777" w:rsidR="009C353B" w:rsidRDefault="00000000">
            <w:pPr>
              <w:jc w:val="center"/>
              <w:rPr>
                <w:rFonts w:ascii="Times New Roman" w:hAnsi="Times New Roman"/>
                <w:sz w:val="18"/>
                <w:szCs w:val="18"/>
              </w:rPr>
            </w:pPr>
            <w:r>
              <w:rPr>
                <w:rFonts w:ascii="Times New Roman" w:hAnsi="Times New Roman"/>
                <w:sz w:val="18"/>
                <w:szCs w:val="18"/>
              </w:rPr>
              <w:t>/</w:t>
            </w:r>
          </w:p>
        </w:tc>
        <w:tc>
          <w:tcPr>
            <w:tcW w:w="3118" w:type="dxa"/>
            <w:vAlign w:val="center"/>
          </w:tcPr>
          <w:p w14:paraId="67A9644E" w14:textId="77777777" w:rsidR="009C353B" w:rsidRDefault="00000000">
            <w:pPr>
              <w:widowControl/>
              <w:jc w:val="left"/>
              <w:rPr>
                <w:rFonts w:ascii="Times New Roman" w:hAnsi="Times New Roman"/>
                <w:sz w:val="18"/>
                <w:szCs w:val="18"/>
              </w:rPr>
            </w:pPr>
            <w:r>
              <w:rPr>
                <w:rFonts w:ascii="Times New Roman" w:hAnsi="Times New Roman"/>
                <w:sz w:val="18"/>
                <w:szCs w:val="18"/>
              </w:rPr>
              <w:t>排矸场实行了分层碾压、洒水抑尘、覆土绿化等措施</w:t>
            </w:r>
          </w:p>
        </w:tc>
        <w:tc>
          <w:tcPr>
            <w:tcW w:w="1276" w:type="dxa"/>
            <w:vAlign w:val="center"/>
          </w:tcPr>
          <w:p w14:paraId="6879F939" w14:textId="77777777" w:rsidR="009C353B" w:rsidRDefault="00000000">
            <w:pPr>
              <w:widowControl/>
              <w:jc w:val="left"/>
              <w:rPr>
                <w:rFonts w:ascii="Times New Roman" w:hAnsi="Times New Roman"/>
                <w:sz w:val="18"/>
                <w:szCs w:val="18"/>
              </w:rPr>
            </w:pPr>
            <w:r>
              <w:rPr>
                <w:rFonts w:ascii="Times New Roman" w:hAnsi="Times New Roman"/>
                <w:sz w:val="18"/>
                <w:szCs w:val="18"/>
              </w:rPr>
              <w:t>已落实环评、评估报告中要求</w:t>
            </w:r>
          </w:p>
        </w:tc>
        <w:tc>
          <w:tcPr>
            <w:tcW w:w="1563" w:type="dxa"/>
            <w:vAlign w:val="center"/>
          </w:tcPr>
          <w:p w14:paraId="2A5AE756" w14:textId="77777777" w:rsidR="009C353B" w:rsidRDefault="00000000">
            <w:pPr>
              <w:widowControl/>
              <w:jc w:val="left"/>
              <w:rPr>
                <w:rFonts w:ascii="Times New Roman" w:hAnsi="Times New Roman"/>
                <w:sz w:val="18"/>
                <w:szCs w:val="18"/>
              </w:rPr>
            </w:pPr>
            <w:r>
              <w:rPr>
                <w:rFonts w:ascii="Times New Roman" w:hAnsi="Times New Roman"/>
                <w:sz w:val="18"/>
                <w:szCs w:val="18"/>
              </w:rPr>
              <w:t>未发生变化</w:t>
            </w:r>
          </w:p>
        </w:tc>
      </w:tr>
      <w:bookmarkEnd w:id="142"/>
    </w:tbl>
    <w:p w14:paraId="77D5D3AD" w14:textId="77777777" w:rsidR="009C353B" w:rsidRDefault="009C353B">
      <w:pPr>
        <w:adjustRightInd w:val="0"/>
        <w:snapToGrid w:val="0"/>
        <w:spacing w:line="440" w:lineRule="exact"/>
        <w:ind w:firstLineChars="200" w:firstLine="480"/>
        <w:rPr>
          <w:rFonts w:ascii="Times New Roman" w:hAnsi="Times New Roman"/>
        </w:rPr>
      </w:pPr>
    </w:p>
    <w:p w14:paraId="612680B7" w14:textId="77777777" w:rsidR="009C353B" w:rsidRDefault="009C353B">
      <w:pPr>
        <w:adjustRightInd w:val="0"/>
        <w:snapToGrid w:val="0"/>
        <w:spacing w:line="440" w:lineRule="exact"/>
        <w:ind w:firstLineChars="200" w:firstLine="482"/>
        <w:rPr>
          <w:rFonts w:ascii="Times New Roman" w:hint="eastAsia"/>
          <w:b/>
        </w:rPr>
        <w:sectPr w:rsidR="009C353B">
          <w:pgSz w:w="16840" w:h="11907" w:orient="landscape"/>
          <w:pgMar w:top="1418" w:right="1418" w:bottom="1418" w:left="1701" w:header="1134" w:footer="851" w:gutter="0"/>
          <w:paperSrc w:first="7" w:other="7"/>
          <w:cols w:space="720"/>
          <w:docGrid w:linePitch="312"/>
        </w:sectPr>
      </w:pPr>
    </w:p>
    <w:p w14:paraId="1D24E9D7" w14:textId="77777777" w:rsidR="009C353B" w:rsidRDefault="00000000">
      <w:pPr>
        <w:pStyle w:val="2"/>
        <w:snapToGrid w:val="0"/>
        <w:spacing w:line="440" w:lineRule="exact"/>
        <w:rPr>
          <w:rFonts w:ascii="Times New Roman" w:eastAsia="宋体" w:hAnsi="Times New Roman"/>
          <w:b/>
          <w:sz w:val="28"/>
        </w:rPr>
      </w:pPr>
      <w:bookmarkStart w:id="143" w:name="_Toc59189835"/>
      <w:r>
        <w:rPr>
          <w:rFonts w:ascii="Times New Roman" w:eastAsia="宋体" w:hAnsi="Times New Roman" w:hint="eastAsia"/>
          <w:b/>
          <w:sz w:val="28"/>
        </w:rPr>
        <w:t>4.2</w:t>
      </w:r>
      <w:r>
        <w:rPr>
          <w:rFonts w:ascii="Times New Roman" w:eastAsia="宋体" w:hAnsi="Times New Roman"/>
          <w:b/>
          <w:sz w:val="28"/>
        </w:rPr>
        <w:t xml:space="preserve"> </w:t>
      </w:r>
      <w:r>
        <w:rPr>
          <w:rFonts w:ascii="Times New Roman" w:eastAsia="宋体" w:hAnsi="Times New Roman" w:hint="eastAsia"/>
          <w:b/>
          <w:sz w:val="28"/>
        </w:rPr>
        <w:t>矿区污染类环境影响回顾性评价</w:t>
      </w:r>
      <w:bookmarkEnd w:id="143"/>
    </w:p>
    <w:p w14:paraId="2C2B8C29"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 xml:space="preserve">4.2.1 </w:t>
      </w:r>
      <w:r>
        <w:rPr>
          <w:rFonts w:ascii="Times New Roman" w:hAnsi="Times New Roman" w:hint="eastAsia"/>
          <w:sz w:val="24"/>
        </w:rPr>
        <w:t>大气污染源、污染物及环保设施</w:t>
      </w:r>
    </w:p>
    <w:p w14:paraId="1DACDD6F"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w:t>
      </w:r>
      <w:r>
        <w:rPr>
          <w:rFonts w:ascii="Times New Roman" w:hint="eastAsia"/>
          <w:szCs w:val="24"/>
        </w:rPr>
        <w:t>1</w:t>
      </w:r>
      <w:r>
        <w:rPr>
          <w:rFonts w:ascii="Times New Roman" w:hint="eastAsia"/>
          <w:szCs w:val="24"/>
        </w:rPr>
        <w:t>）无</w:t>
      </w:r>
      <w:r>
        <w:rPr>
          <w:rFonts w:ascii="Times New Roman"/>
          <w:szCs w:val="24"/>
        </w:rPr>
        <w:t>组织排放</w:t>
      </w:r>
    </w:p>
    <w:p w14:paraId="0BB7AB51"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矿区目前无组织排放源主要为各煤矿原煤在储存、运输、装卸过程中产生的扬尘。</w:t>
      </w:r>
    </w:p>
    <w:p w14:paraId="2033FA8D"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任家庄煤矿在各皮带转载点安装了喷淋设施，皮带栈桥和厂房封闭，对道路及时洒水，对矸石堆场及时覆土碾压，对运输车辆加盖篷布，对筛分破碎环节设置了除尘器。红石湾煤矿对转载点、装车点、筛分破碎点等产尘环节设置洒水降尘措施，对临时排矸场分区分层堆放且采取洒水措施，对运输车辆进行篷布遮盖。马莲台煤矿的筛分破碎车间封闭并配置喷雾洒水措施，煤炭输送采用封闭式皮带走廊，转载点安装喷淋洒水装置等。丁家梁煤矿尚未投产运行。</w:t>
      </w:r>
    </w:p>
    <w:p w14:paraId="051FA89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本次评价对马莲台临时排矸场（在用）、红石湾临时排矸场（在用）、任家庄临时排矸场（已恢复）以及红石湾工业场地、任家庄工业场地的无组织大气污染物排放进行了监测，监测点位见图</w:t>
      </w:r>
      <w:r>
        <w:rPr>
          <w:rFonts w:ascii="Times New Roman" w:hAnsi="Times New Roman" w:hint="eastAsia"/>
        </w:rPr>
        <w:t>4</w:t>
      </w:r>
      <w:r>
        <w:rPr>
          <w:rFonts w:ascii="Times New Roman" w:hAnsi="Times New Roman"/>
        </w:rPr>
        <w:t>.2</w:t>
      </w:r>
      <w:r>
        <w:rPr>
          <w:rFonts w:ascii="Times New Roman" w:hAnsi="Times New Roman" w:hint="eastAsia"/>
        </w:rPr>
        <w:t>-</w:t>
      </w:r>
      <w:r>
        <w:rPr>
          <w:rFonts w:ascii="Times New Roman" w:hAnsi="Times New Roman"/>
        </w:rPr>
        <w:t>1</w:t>
      </w:r>
      <w:r>
        <w:rPr>
          <w:rFonts w:ascii="Times New Roman" w:hAnsi="Times New Roman" w:hint="eastAsia"/>
        </w:rPr>
        <w:t>，监测结果见表</w:t>
      </w:r>
      <w:r>
        <w:rPr>
          <w:rFonts w:ascii="Times New Roman" w:hAnsi="Times New Roman" w:hint="eastAsia"/>
        </w:rPr>
        <w:t>4.2-1</w:t>
      </w:r>
      <w:r>
        <w:rPr>
          <w:rFonts w:ascii="Times New Roman" w:hAnsi="Times New Roman" w:hint="eastAsia"/>
        </w:rPr>
        <w:t>。</w:t>
      </w:r>
    </w:p>
    <w:p w14:paraId="2A92CF78" w14:textId="77777777" w:rsidR="009C353B" w:rsidRDefault="009C353B">
      <w:pPr>
        <w:adjustRightInd w:val="0"/>
        <w:snapToGrid w:val="0"/>
        <w:spacing w:line="440" w:lineRule="exact"/>
        <w:ind w:firstLineChars="200" w:firstLine="480"/>
        <w:rPr>
          <w:rFonts w:ascii="Times New Roman" w:hAnsi="Times New Roman"/>
        </w:rPr>
      </w:pPr>
    </w:p>
    <w:p w14:paraId="5D2DEDAF" w14:textId="77777777" w:rsidR="009C353B" w:rsidRDefault="00000000">
      <w:pPr>
        <w:adjustRightInd w:val="0"/>
        <w:snapToGrid w:val="0"/>
        <w:spacing w:line="440" w:lineRule="exact"/>
        <w:jc w:val="center"/>
        <w:rPr>
          <w:rFonts w:ascii="Times New Roman" w:hAnsi="Times New Roman"/>
          <w:b/>
        </w:rPr>
      </w:pPr>
      <w:r>
        <w:rPr>
          <w:rFonts w:ascii="Times New Roman" w:hAnsi="Times New Roman" w:hint="eastAsia"/>
          <w:b/>
        </w:rPr>
        <w:t>矿区无组织大气污染物监测结果</w:t>
      </w:r>
    </w:p>
    <w:p w14:paraId="46042A2A" w14:textId="77777777" w:rsidR="009C353B" w:rsidRDefault="00000000">
      <w:pPr>
        <w:adjustRightInd w:val="0"/>
        <w:snapToGrid w:val="0"/>
        <w:spacing w:line="440" w:lineRule="exact"/>
        <w:ind w:firstLineChars="200" w:firstLine="480"/>
        <w:outlineLvl w:val="4"/>
        <w:rPr>
          <w:rFonts w:ascii="Times New Roman" w:hAnsi="Times New Roman"/>
          <w:vertAlign w:val="superscript"/>
        </w:rPr>
      </w:pPr>
      <w:r>
        <w:rPr>
          <w:rFonts w:ascii="Times New Roman" w:hAnsi="Times New Roman" w:hint="eastAsia"/>
          <w:szCs w:val="24"/>
        </w:rPr>
        <w:t>表</w:t>
      </w:r>
      <w:r>
        <w:rPr>
          <w:rFonts w:ascii="Times New Roman" w:hAnsi="Times New Roman" w:hint="eastAsia"/>
          <w:szCs w:val="24"/>
        </w:rPr>
        <w:t xml:space="preserve">4.2-1             </w:t>
      </w:r>
      <w:r>
        <w:rPr>
          <w:rFonts w:ascii="Times New Roman" w:hAnsi="Times New Roman"/>
          <w:szCs w:val="24"/>
        </w:rPr>
        <w:t xml:space="preserve"> </w:t>
      </w:r>
      <w:r>
        <w:rPr>
          <w:rFonts w:ascii="Times New Roman" w:hAnsi="Times New Roman" w:hint="eastAsia"/>
          <w:szCs w:val="24"/>
        </w:rPr>
        <w:t xml:space="preserve">                              </w:t>
      </w:r>
      <w:r>
        <w:rPr>
          <w:rFonts w:ascii="Times New Roman" w:hAnsi="Times New Roman"/>
          <w:szCs w:val="24"/>
        </w:rPr>
        <w:t xml:space="preserve">      </w:t>
      </w:r>
      <w:r>
        <w:rPr>
          <w:rFonts w:ascii="Times New Roman" w:hAnsi="Times New Roman"/>
          <w:szCs w:val="24"/>
        </w:rPr>
        <w:t>单位</w:t>
      </w:r>
      <w:r>
        <w:rPr>
          <w:rFonts w:ascii="Times New Roman" w:hAnsi="Times New Roman" w:hint="eastAsia"/>
          <w:szCs w:val="24"/>
        </w:rPr>
        <w:t>：</w:t>
      </w:r>
      <w:r>
        <w:rPr>
          <w:rFonts w:ascii="Times New Roman" w:hAnsi="Times New Roman"/>
          <w:szCs w:val="24"/>
        </w:rPr>
        <w:t>mg/m</w:t>
      </w:r>
      <w:r>
        <w:rPr>
          <w:rFonts w:ascii="Times New Roman" w:hAnsi="Times New Roman"/>
          <w:szCs w:val="24"/>
          <w:vertAlign w:val="superscript"/>
        </w:rPr>
        <w:t>3</w:t>
      </w:r>
    </w:p>
    <w:tbl>
      <w:tblPr>
        <w:tblW w:w="9273"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418"/>
        <w:gridCol w:w="992"/>
        <w:gridCol w:w="1134"/>
        <w:gridCol w:w="1134"/>
        <w:gridCol w:w="1134"/>
        <w:gridCol w:w="1133"/>
        <w:gridCol w:w="1185"/>
        <w:gridCol w:w="1143"/>
      </w:tblGrid>
      <w:tr w:rsidR="009C353B" w14:paraId="6301FA2A" w14:textId="77777777">
        <w:trPr>
          <w:trHeight w:val="407"/>
        </w:trPr>
        <w:tc>
          <w:tcPr>
            <w:tcW w:w="2410" w:type="dxa"/>
            <w:gridSpan w:val="2"/>
            <w:vAlign w:val="center"/>
          </w:tcPr>
          <w:p w14:paraId="28D27410" w14:textId="77777777" w:rsidR="009C353B" w:rsidRDefault="00000000">
            <w:pPr>
              <w:jc w:val="center"/>
              <w:rPr>
                <w:rFonts w:ascii="Times New Roman" w:hAnsi="Times New Roman"/>
                <w:sz w:val="21"/>
                <w:szCs w:val="21"/>
              </w:rPr>
            </w:pPr>
            <w:r>
              <w:rPr>
                <w:rFonts w:ascii="Times New Roman"/>
                <w:sz w:val="21"/>
                <w:szCs w:val="21"/>
              </w:rPr>
              <w:t>监测项目</w:t>
            </w:r>
          </w:p>
        </w:tc>
        <w:tc>
          <w:tcPr>
            <w:tcW w:w="3402" w:type="dxa"/>
            <w:gridSpan w:val="3"/>
            <w:vAlign w:val="center"/>
          </w:tcPr>
          <w:p w14:paraId="2CBB4562" w14:textId="77777777" w:rsidR="009C353B" w:rsidRDefault="00000000">
            <w:pPr>
              <w:jc w:val="center"/>
              <w:rPr>
                <w:rFonts w:ascii="Times New Roman" w:hAnsi="Times New Roman"/>
                <w:sz w:val="21"/>
                <w:szCs w:val="21"/>
              </w:rPr>
            </w:pPr>
            <w:r>
              <w:rPr>
                <w:rFonts w:ascii="Times New Roman"/>
                <w:sz w:val="21"/>
                <w:szCs w:val="21"/>
              </w:rPr>
              <w:t>颗粒物</w:t>
            </w:r>
          </w:p>
        </w:tc>
        <w:tc>
          <w:tcPr>
            <w:tcW w:w="3461" w:type="dxa"/>
            <w:gridSpan w:val="3"/>
            <w:vAlign w:val="center"/>
          </w:tcPr>
          <w:p w14:paraId="27618397" w14:textId="77777777" w:rsidR="009C353B" w:rsidRDefault="00000000">
            <w:pPr>
              <w:jc w:val="center"/>
              <w:rPr>
                <w:rFonts w:ascii="Times New Roman" w:hAnsi="Times New Roman"/>
                <w:sz w:val="21"/>
                <w:szCs w:val="21"/>
              </w:rPr>
            </w:pPr>
            <w:r>
              <w:rPr>
                <w:rFonts w:ascii="Times New Roman"/>
                <w:sz w:val="21"/>
                <w:szCs w:val="21"/>
              </w:rPr>
              <w:t>颗粒物</w:t>
            </w:r>
          </w:p>
        </w:tc>
      </w:tr>
      <w:tr w:rsidR="009C353B" w14:paraId="681B3527" w14:textId="77777777">
        <w:trPr>
          <w:trHeight w:hRule="exact" w:val="386"/>
        </w:trPr>
        <w:tc>
          <w:tcPr>
            <w:tcW w:w="2410" w:type="dxa"/>
            <w:gridSpan w:val="2"/>
            <w:vAlign w:val="center"/>
          </w:tcPr>
          <w:p w14:paraId="5DE713F1" w14:textId="77777777" w:rsidR="009C353B" w:rsidRDefault="00000000">
            <w:pPr>
              <w:jc w:val="center"/>
              <w:rPr>
                <w:rFonts w:ascii="Times New Roman" w:hAnsi="Times New Roman"/>
                <w:sz w:val="21"/>
                <w:szCs w:val="21"/>
              </w:rPr>
            </w:pPr>
            <w:r>
              <w:rPr>
                <w:rFonts w:ascii="Times New Roman"/>
                <w:sz w:val="21"/>
                <w:szCs w:val="21"/>
              </w:rPr>
              <w:t>监测时间</w:t>
            </w:r>
          </w:p>
        </w:tc>
        <w:tc>
          <w:tcPr>
            <w:tcW w:w="3402" w:type="dxa"/>
            <w:gridSpan w:val="3"/>
            <w:vAlign w:val="center"/>
          </w:tcPr>
          <w:p w14:paraId="04F4F9F8" w14:textId="77777777" w:rsidR="009C353B" w:rsidRDefault="00000000">
            <w:pPr>
              <w:jc w:val="center"/>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7</w:t>
            </w:r>
            <w:r>
              <w:rPr>
                <w:rFonts w:ascii="Times New Roman" w:hAnsi="Times New Roman" w:hint="eastAsia"/>
                <w:sz w:val="21"/>
                <w:szCs w:val="21"/>
              </w:rPr>
              <w:t>日</w:t>
            </w:r>
          </w:p>
        </w:tc>
        <w:tc>
          <w:tcPr>
            <w:tcW w:w="3461" w:type="dxa"/>
            <w:gridSpan w:val="3"/>
            <w:vAlign w:val="center"/>
          </w:tcPr>
          <w:p w14:paraId="45264468" w14:textId="77777777" w:rsidR="009C353B" w:rsidRDefault="00000000">
            <w:pPr>
              <w:jc w:val="center"/>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8</w:t>
            </w:r>
            <w:r>
              <w:rPr>
                <w:rFonts w:ascii="Times New Roman" w:hAnsi="Times New Roman" w:hint="eastAsia"/>
                <w:sz w:val="21"/>
                <w:szCs w:val="21"/>
              </w:rPr>
              <w:t>日</w:t>
            </w:r>
          </w:p>
        </w:tc>
      </w:tr>
      <w:tr w:rsidR="009C353B" w14:paraId="0897C8B7" w14:textId="77777777">
        <w:trPr>
          <w:trHeight w:hRule="exact" w:val="370"/>
        </w:trPr>
        <w:tc>
          <w:tcPr>
            <w:tcW w:w="1418" w:type="dxa"/>
            <w:vMerge w:val="restart"/>
            <w:vAlign w:val="center"/>
          </w:tcPr>
          <w:p w14:paraId="76D2FE2B" w14:textId="77777777" w:rsidR="009C353B" w:rsidRDefault="00000000">
            <w:pPr>
              <w:jc w:val="center"/>
              <w:rPr>
                <w:rFonts w:ascii="Times New Roman" w:hint="eastAsia"/>
                <w:sz w:val="21"/>
                <w:szCs w:val="21"/>
              </w:rPr>
            </w:pPr>
            <w:r>
              <w:rPr>
                <w:rFonts w:ascii="Times New Roman" w:hint="eastAsia"/>
                <w:sz w:val="21"/>
                <w:szCs w:val="21"/>
              </w:rPr>
              <w:t>马莲台临时排矸场（在用）</w:t>
            </w:r>
          </w:p>
        </w:tc>
        <w:tc>
          <w:tcPr>
            <w:tcW w:w="992" w:type="dxa"/>
            <w:vAlign w:val="center"/>
          </w:tcPr>
          <w:p w14:paraId="176DB222" w14:textId="77777777" w:rsidR="009C353B" w:rsidRDefault="00000000">
            <w:pPr>
              <w:ind w:leftChars="34" w:left="82"/>
              <w:jc w:val="center"/>
              <w:rPr>
                <w:rFonts w:ascii="Times New Roman" w:hint="eastAsia"/>
                <w:sz w:val="21"/>
                <w:szCs w:val="21"/>
              </w:rPr>
            </w:pPr>
            <w:r>
              <w:rPr>
                <w:rFonts w:ascii="Times New Roman"/>
                <w:sz w:val="21"/>
                <w:szCs w:val="21"/>
              </w:rPr>
              <w:t>1#</w:t>
            </w:r>
          </w:p>
        </w:tc>
        <w:tc>
          <w:tcPr>
            <w:tcW w:w="1134" w:type="dxa"/>
            <w:vAlign w:val="center"/>
          </w:tcPr>
          <w:p w14:paraId="6657753A" w14:textId="77777777" w:rsidR="009C353B" w:rsidRDefault="00000000">
            <w:pPr>
              <w:ind w:leftChars="34" w:left="82"/>
              <w:jc w:val="center"/>
              <w:rPr>
                <w:rFonts w:ascii="Times New Roman" w:hint="eastAsia"/>
                <w:sz w:val="21"/>
                <w:szCs w:val="21"/>
              </w:rPr>
            </w:pPr>
            <w:r>
              <w:rPr>
                <w:rFonts w:ascii="Times New Roman"/>
                <w:sz w:val="21"/>
                <w:szCs w:val="21"/>
              </w:rPr>
              <w:t>0.21</w:t>
            </w:r>
            <w:r>
              <w:rPr>
                <w:rFonts w:ascii="Times New Roman" w:hint="eastAsia"/>
                <w:sz w:val="21"/>
                <w:szCs w:val="21"/>
              </w:rPr>
              <w:t>0</w:t>
            </w:r>
          </w:p>
        </w:tc>
        <w:tc>
          <w:tcPr>
            <w:tcW w:w="1134" w:type="dxa"/>
            <w:vAlign w:val="center"/>
          </w:tcPr>
          <w:p w14:paraId="443918B9" w14:textId="77777777" w:rsidR="009C353B" w:rsidRDefault="00000000">
            <w:pPr>
              <w:ind w:leftChars="34" w:left="82"/>
              <w:jc w:val="center"/>
              <w:rPr>
                <w:rFonts w:ascii="Times New Roman" w:hint="eastAsia"/>
                <w:sz w:val="21"/>
                <w:szCs w:val="21"/>
              </w:rPr>
            </w:pPr>
            <w:r>
              <w:rPr>
                <w:rFonts w:ascii="Times New Roman"/>
                <w:sz w:val="21"/>
                <w:szCs w:val="21"/>
              </w:rPr>
              <w:t>0.25</w:t>
            </w:r>
            <w:r>
              <w:rPr>
                <w:rFonts w:ascii="Times New Roman" w:hint="eastAsia"/>
                <w:sz w:val="21"/>
                <w:szCs w:val="21"/>
              </w:rPr>
              <w:t>0</w:t>
            </w:r>
          </w:p>
        </w:tc>
        <w:tc>
          <w:tcPr>
            <w:tcW w:w="1134" w:type="dxa"/>
            <w:vAlign w:val="center"/>
          </w:tcPr>
          <w:p w14:paraId="5D764533" w14:textId="77777777" w:rsidR="009C353B" w:rsidRDefault="00000000">
            <w:pPr>
              <w:ind w:leftChars="34" w:left="82"/>
              <w:jc w:val="center"/>
              <w:rPr>
                <w:rFonts w:ascii="Times New Roman" w:hint="eastAsia"/>
                <w:sz w:val="21"/>
                <w:szCs w:val="21"/>
              </w:rPr>
            </w:pPr>
            <w:r>
              <w:rPr>
                <w:rFonts w:ascii="Times New Roman"/>
                <w:sz w:val="21"/>
                <w:szCs w:val="21"/>
              </w:rPr>
              <w:t>0.242</w:t>
            </w:r>
          </w:p>
        </w:tc>
        <w:tc>
          <w:tcPr>
            <w:tcW w:w="1133" w:type="dxa"/>
            <w:vAlign w:val="center"/>
          </w:tcPr>
          <w:p w14:paraId="1D49A71F" w14:textId="77777777" w:rsidR="009C353B" w:rsidRDefault="00000000">
            <w:pPr>
              <w:ind w:leftChars="34" w:left="82"/>
              <w:jc w:val="center"/>
              <w:rPr>
                <w:rFonts w:ascii="Times New Roman" w:hint="eastAsia"/>
                <w:sz w:val="21"/>
                <w:szCs w:val="21"/>
              </w:rPr>
            </w:pPr>
            <w:r>
              <w:rPr>
                <w:rFonts w:ascii="Times New Roman"/>
                <w:sz w:val="21"/>
                <w:szCs w:val="21"/>
              </w:rPr>
              <w:t>0.215</w:t>
            </w:r>
          </w:p>
        </w:tc>
        <w:tc>
          <w:tcPr>
            <w:tcW w:w="1185" w:type="dxa"/>
            <w:vAlign w:val="center"/>
          </w:tcPr>
          <w:p w14:paraId="2D9D11D3" w14:textId="77777777" w:rsidR="009C353B" w:rsidRDefault="00000000">
            <w:pPr>
              <w:ind w:leftChars="34" w:left="82"/>
              <w:jc w:val="center"/>
              <w:rPr>
                <w:rFonts w:ascii="Times New Roman" w:hint="eastAsia"/>
                <w:sz w:val="21"/>
                <w:szCs w:val="21"/>
              </w:rPr>
            </w:pPr>
            <w:r>
              <w:rPr>
                <w:rFonts w:ascii="Times New Roman"/>
                <w:sz w:val="21"/>
                <w:szCs w:val="21"/>
              </w:rPr>
              <w:t>0.23</w:t>
            </w:r>
            <w:r>
              <w:rPr>
                <w:rFonts w:ascii="Times New Roman" w:hint="eastAsia"/>
                <w:sz w:val="21"/>
                <w:szCs w:val="21"/>
              </w:rPr>
              <w:t>0</w:t>
            </w:r>
          </w:p>
        </w:tc>
        <w:tc>
          <w:tcPr>
            <w:tcW w:w="1143" w:type="dxa"/>
            <w:vAlign w:val="center"/>
          </w:tcPr>
          <w:p w14:paraId="7DC1A304" w14:textId="77777777" w:rsidR="009C353B" w:rsidRDefault="00000000">
            <w:pPr>
              <w:ind w:leftChars="34" w:left="82"/>
              <w:jc w:val="center"/>
              <w:rPr>
                <w:rFonts w:ascii="Times New Roman" w:hint="eastAsia"/>
                <w:sz w:val="21"/>
                <w:szCs w:val="21"/>
              </w:rPr>
            </w:pPr>
            <w:r>
              <w:rPr>
                <w:rFonts w:ascii="Times New Roman"/>
                <w:sz w:val="21"/>
                <w:szCs w:val="21"/>
              </w:rPr>
              <w:t>0.26</w:t>
            </w:r>
            <w:r>
              <w:rPr>
                <w:rFonts w:ascii="Times New Roman" w:hint="eastAsia"/>
                <w:sz w:val="21"/>
                <w:szCs w:val="21"/>
              </w:rPr>
              <w:t>0</w:t>
            </w:r>
          </w:p>
        </w:tc>
      </w:tr>
      <w:tr w:rsidR="009C353B" w14:paraId="691B7504" w14:textId="77777777">
        <w:trPr>
          <w:trHeight w:hRule="exact" w:val="370"/>
        </w:trPr>
        <w:tc>
          <w:tcPr>
            <w:tcW w:w="1418" w:type="dxa"/>
            <w:vMerge/>
            <w:vAlign w:val="center"/>
          </w:tcPr>
          <w:p w14:paraId="41FBDC7D" w14:textId="77777777" w:rsidR="009C353B" w:rsidRDefault="009C353B">
            <w:pPr>
              <w:jc w:val="center"/>
              <w:rPr>
                <w:rFonts w:ascii="Times New Roman" w:hint="eastAsia"/>
                <w:sz w:val="21"/>
                <w:szCs w:val="21"/>
              </w:rPr>
            </w:pPr>
          </w:p>
        </w:tc>
        <w:tc>
          <w:tcPr>
            <w:tcW w:w="992" w:type="dxa"/>
            <w:vAlign w:val="center"/>
          </w:tcPr>
          <w:p w14:paraId="7646703D" w14:textId="77777777" w:rsidR="009C353B" w:rsidRDefault="00000000">
            <w:pPr>
              <w:jc w:val="center"/>
              <w:rPr>
                <w:rFonts w:ascii="Times New Roman" w:hint="eastAsia"/>
                <w:sz w:val="21"/>
                <w:szCs w:val="21"/>
              </w:rPr>
            </w:pPr>
            <w:r>
              <w:rPr>
                <w:rFonts w:ascii="Times New Roman"/>
                <w:sz w:val="21"/>
                <w:szCs w:val="21"/>
              </w:rPr>
              <w:t>2#</w:t>
            </w:r>
          </w:p>
        </w:tc>
        <w:tc>
          <w:tcPr>
            <w:tcW w:w="1134" w:type="dxa"/>
            <w:vAlign w:val="center"/>
          </w:tcPr>
          <w:p w14:paraId="074CC348" w14:textId="77777777" w:rsidR="009C353B" w:rsidRDefault="00000000">
            <w:pPr>
              <w:ind w:leftChars="34" w:left="82"/>
              <w:jc w:val="center"/>
              <w:rPr>
                <w:rFonts w:ascii="Times New Roman" w:hint="eastAsia"/>
                <w:sz w:val="21"/>
                <w:szCs w:val="21"/>
              </w:rPr>
            </w:pPr>
            <w:r>
              <w:rPr>
                <w:rFonts w:ascii="Times New Roman"/>
                <w:sz w:val="21"/>
                <w:szCs w:val="21"/>
              </w:rPr>
              <w:t>0.34</w:t>
            </w:r>
            <w:r>
              <w:rPr>
                <w:rFonts w:ascii="Times New Roman" w:hint="eastAsia"/>
                <w:sz w:val="21"/>
                <w:szCs w:val="21"/>
              </w:rPr>
              <w:t>0</w:t>
            </w:r>
          </w:p>
        </w:tc>
        <w:tc>
          <w:tcPr>
            <w:tcW w:w="1134" w:type="dxa"/>
            <w:vAlign w:val="center"/>
          </w:tcPr>
          <w:p w14:paraId="26EC6305" w14:textId="77777777" w:rsidR="009C353B" w:rsidRDefault="00000000">
            <w:pPr>
              <w:ind w:leftChars="34" w:left="82"/>
              <w:jc w:val="center"/>
              <w:rPr>
                <w:rFonts w:ascii="Times New Roman" w:hint="eastAsia"/>
                <w:sz w:val="21"/>
                <w:szCs w:val="21"/>
              </w:rPr>
            </w:pPr>
            <w:r>
              <w:rPr>
                <w:rFonts w:ascii="Times New Roman"/>
                <w:sz w:val="21"/>
                <w:szCs w:val="21"/>
              </w:rPr>
              <w:t>0.3</w:t>
            </w:r>
            <w:r>
              <w:rPr>
                <w:rFonts w:ascii="Times New Roman" w:hint="eastAsia"/>
                <w:sz w:val="21"/>
                <w:szCs w:val="21"/>
              </w:rPr>
              <w:t>00</w:t>
            </w:r>
          </w:p>
        </w:tc>
        <w:tc>
          <w:tcPr>
            <w:tcW w:w="1134" w:type="dxa"/>
            <w:vAlign w:val="center"/>
          </w:tcPr>
          <w:p w14:paraId="559F83B1" w14:textId="77777777" w:rsidR="009C353B" w:rsidRDefault="00000000">
            <w:pPr>
              <w:ind w:leftChars="34" w:left="82"/>
              <w:jc w:val="center"/>
              <w:rPr>
                <w:rFonts w:ascii="Times New Roman" w:hint="eastAsia"/>
                <w:sz w:val="21"/>
                <w:szCs w:val="21"/>
              </w:rPr>
            </w:pPr>
            <w:r>
              <w:rPr>
                <w:rFonts w:ascii="Times New Roman"/>
                <w:sz w:val="21"/>
                <w:szCs w:val="21"/>
              </w:rPr>
              <w:t>0.33</w:t>
            </w:r>
            <w:r>
              <w:rPr>
                <w:rFonts w:ascii="Times New Roman" w:hint="eastAsia"/>
                <w:sz w:val="21"/>
                <w:szCs w:val="21"/>
              </w:rPr>
              <w:t>0</w:t>
            </w:r>
          </w:p>
        </w:tc>
        <w:tc>
          <w:tcPr>
            <w:tcW w:w="1133" w:type="dxa"/>
            <w:vAlign w:val="center"/>
          </w:tcPr>
          <w:p w14:paraId="638C0513" w14:textId="77777777" w:rsidR="009C353B" w:rsidRDefault="00000000">
            <w:pPr>
              <w:ind w:leftChars="34" w:left="82"/>
              <w:jc w:val="center"/>
              <w:rPr>
                <w:rFonts w:ascii="Times New Roman" w:hint="eastAsia"/>
                <w:sz w:val="21"/>
                <w:szCs w:val="21"/>
              </w:rPr>
            </w:pPr>
            <w:r>
              <w:rPr>
                <w:rFonts w:ascii="Times New Roman"/>
                <w:sz w:val="21"/>
                <w:szCs w:val="21"/>
              </w:rPr>
              <w:t>0.315</w:t>
            </w:r>
          </w:p>
        </w:tc>
        <w:tc>
          <w:tcPr>
            <w:tcW w:w="1185" w:type="dxa"/>
            <w:vAlign w:val="center"/>
          </w:tcPr>
          <w:p w14:paraId="0DAB99B3" w14:textId="77777777" w:rsidR="009C353B" w:rsidRDefault="00000000">
            <w:pPr>
              <w:ind w:leftChars="34" w:left="82"/>
              <w:jc w:val="center"/>
              <w:rPr>
                <w:rFonts w:ascii="Times New Roman" w:hint="eastAsia"/>
                <w:sz w:val="21"/>
                <w:szCs w:val="21"/>
              </w:rPr>
            </w:pPr>
            <w:r>
              <w:rPr>
                <w:rFonts w:ascii="Times New Roman"/>
                <w:sz w:val="21"/>
                <w:szCs w:val="21"/>
              </w:rPr>
              <w:t>0.325</w:t>
            </w:r>
          </w:p>
        </w:tc>
        <w:tc>
          <w:tcPr>
            <w:tcW w:w="1143" w:type="dxa"/>
            <w:vAlign w:val="center"/>
          </w:tcPr>
          <w:p w14:paraId="0B341BCE" w14:textId="77777777" w:rsidR="009C353B" w:rsidRDefault="00000000">
            <w:pPr>
              <w:ind w:leftChars="34" w:left="82"/>
              <w:jc w:val="center"/>
              <w:rPr>
                <w:rFonts w:ascii="Times New Roman" w:hint="eastAsia"/>
                <w:sz w:val="21"/>
                <w:szCs w:val="21"/>
              </w:rPr>
            </w:pPr>
            <w:r>
              <w:rPr>
                <w:rFonts w:ascii="Times New Roman"/>
                <w:sz w:val="21"/>
                <w:szCs w:val="21"/>
              </w:rPr>
              <w:t>0.425</w:t>
            </w:r>
          </w:p>
        </w:tc>
      </w:tr>
      <w:tr w:rsidR="009C353B" w14:paraId="138649A5" w14:textId="77777777">
        <w:trPr>
          <w:trHeight w:hRule="exact" w:val="370"/>
        </w:trPr>
        <w:tc>
          <w:tcPr>
            <w:tcW w:w="1418" w:type="dxa"/>
            <w:vMerge/>
            <w:vAlign w:val="center"/>
          </w:tcPr>
          <w:p w14:paraId="5D6509B8" w14:textId="77777777" w:rsidR="009C353B" w:rsidRDefault="009C353B">
            <w:pPr>
              <w:jc w:val="center"/>
              <w:rPr>
                <w:rFonts w:ascii="Times New Roman" w:hint="eastAsia"/>
                <w:sz w:val="21"/>
                <w:szCs w:val="21"/>
              </w:rPr>
            </w:pPr>
          </w:p>
        </w:tc>
        <w:tc>
          <w:tcPr>
            <w:tcW w:w="992" w:type="dxa"/>
            <w:vAlign w:val="center"/>
          </w:tcPr>
          <w:p w14:paraId="0832CDEF" w14:textId="77777777" w:rsidR="009C353B" w:rsidRDefault="00000000">
            <w:pPr>
              <w:jc w:val="center"/>
              <w:rPr>
                <w:rFonts w:ascii="Times New Roman" w:hint="eastAsia"/>
                <w:sz w:val="21"/>
                <w:szCs w:val="21"/>
              </w:rPr>
            </w:pPr>
            <w:r>
              <w:rPr>
                <w:rFonts w:ascii="Times New Roman"/>
                <w:sz w:val="21"/>
                <w:szCs w:val="21"/>
              </w:rPr>
              <w:t>3#</w:t>
            </w:r>
          </w:p>
        </w:tc>
        <w:tc>
          <w:tcPr>
            <w:tcW w:w="1134" w:type="dxa"/>
            <w:vAlign w:val="center"/>
          </w:tcPr>
          <w:p w14:paraId="2013077E" w14:textId="77777777" w:rsidR="009C353B" w:rsidRDefault="00000000">
            <w:pPr>
              <w:ind w:leftChars="34" w:left="82"/>
              <w:jc w:val="center"/>
              <w:rPr>
                <w:rFonts w:ascii="Times New Roman" w:hint="eastAsia"/>
                <w:sz w:val="21"/>
                <w:szCs w:val="21"/>
              </w:rPr>
            </w:pPr>
            <w:r>
              <w:rPr>
                <w:rFonts w:ascii="Times New Roman"/>
                <w:sz w:val="21"/>
                <w:szCs w:val="21"/>
              </w:rPr>
              <w:t>0.382</w:t>
            </w:r>
          </w:p>
        </w:tc>
        <w:tc>
          <w:tcPr>
            <w:tcW w:w="1134" w:type="dxa"/>
            <w:vAlign w:val="center"/>
          </w:tcPr>
          <w:p w14:paraId="1513330F" w14:textId="77777777" w:rsidR="009C353B" w:rsidRDefault="00000000">
            <w:pPr>
              <w:ind w:leftChars="34" w:left="82"/>
              <w:jc w:val="center"/>
              <w:rPr>
                <w:rFonts w:ascii="Times New Roman" w:hint="eastAsia"/>
                <w:sz w:val="21"/>
                <w:szCs w:val="21"/>
              </w:rPr>
            </w:pPr>
            <w:r>
              <w:rPr>
                <w:rFonts w:ascii="Times New Roman"/>
                <w:sz w:val="21"/>
                <w:szCs w:val="21"/>
              </w:rPr>
              <w:t>0.31</w:t>
            </w:r>
            <w:r>
              <w:rPr>
                <w:rFonts w:ascii="Times New Roman" w:hint="eastAsia"/>
                <w:sz w:val="21"/>
                <w:szCs w:val="21"/>
              </w:rPr>
              <w:t>0</w:t>
            </w:r>
          </w:p>
        </w:tc>
        <w:tc>
          <w:tcPr>
            <w:tcW w:w="1134" w:type="dxa"/>
            <w:vAlign w:val="center"/>
          </w:tcPr>
          <w:p w14:paraId="1C9A8877" w14:textId="77777777" w:rsidR="009C353B" w:rsidRDefault="00000000">
            <w:pPr>
              <w:ind w:leftChars="34" w:left="82"/>
              <w:jc w:val="center"/>
              <w:rPr>
                <w:rFonts w:ascii="Times New Roman" w:hint="eastAsia"/>
                <w:sz w:val="21"/>
                <w:szCs w:val="21"/>
              </w:rPr>
            </w:pPr>
            <w:r>
              <w:rPr>
                <w:rFonts w:ascii="Times New Roman"/>
                <w:sz w:val="21"/>
                <w:szCs w:val="21"/>
              </w:rPr>
              <w:t>0.303</w:t>
            </w:r>
          </w:p>
        </w:tc>
        <w:tc>
          <w:tcPr>
            <w:tcW w:w="1133" w:type="dxa"/>
            <w:vAlign w:val="center"/>
          </w:tcPr>
          <w:p w14:paraId="6F71F1AD" w14:textId="77777777" w:rsidR="009C353B" w:rsidRDefault="00000000">
            <w:pPr>
              <w:ind w:leftChars="34" w:left="82"/>
              <w:jc w:val="center"/>
              <w:rPr>
                <w:rFonts w:ascii="Times New Roman" w:hint="eastAsia"/>
                <w:sz w:val="21"/>
                <w:szCs w:val="21"/>
              </w:rPr>
            </w:pPr>
            <w:r>
              <w:rPr>
                <w:rFonts w:ascii="Times New Roman"/>
                <w:sz w:val="21"/>
                <w:szCs w:val="21"/>
              </w:rPr>
              <w:t>0.335</w:t>
            </w:r>
          </w:p>
        </w:tc>
        <w:tc>
          <w:tcPr>
            <w:tcW w:w="1185" w:type="dxa"/>
            <w:vAlign w:val="center"/>
          </w:tcPr>
          <w:p w14:paraId="01517FC0" w14:textId="77777777" w:rsidR="009C353B" w:rsidRDefault="00000000">
            <w:pPr>
              <w:ind w:leftChars="34" w:left="82"/>
              <w:jc w:val="center"/>
              <w:rPr>
                <w:rFonts w:ascii="Times New Roman" w:hint="eastAsia"/>
                <w:sz w:val="21"/>
                <w:szCs w:val="21"/>
              </w:rPr>
            </w:pPr>
            <w:r>
              <w:rPr>
                <w:rFonts w:ascii="Times New Roman"/>
                <w:sz w:val="21"/>
                <w:szCs w:val="21"/>
              </w:rPr>
              <w:t>0.318</w:t>
            </w:r>
          </w:p>
        </w:tc>
        <w:tc>
          <w:tcPr>
            <w:tcW w:w="1143" w:type="dxa"/>
            <w:vAlign w:val="center"/>
          </w:tcPr>
          <w:p w14:paraId="2E9E8CA4" w14:textId="77777777" w:rsidR="009C353B" w:rsidRDefault="00000000">
            <w:pPr>
              <w:ind w:leftChars="34" w:left="82"/>
              <w:jc w:val="center"/>
              <w:rPr>
                <w:rFonts w:ascii="Times New Roman" w:hint="eastAsia"/>
                <w:sz w:val="21"/>
                <w:szCs w:val="21"/>
              </w:rPr>
            </w:pPr>
            <w:r>
              <w:rPr>
                <w:rFonts w:ascii="Times New Roman"/>
                <w:sz w:val="21"/>
                <w:szCs w:val="21"/>
              </w:rPr>
              <w:t>0.408</w:t>
            </w:r>
          </w:p>
        </w:tc>
      </w:tr>
      <w:tr w:rsidR="009C353B" w14:paraId="5F47B390" w14:textId="77777777">
        <w:trPr>
          <w:trHeight w:hRule="exact" w:val="370"/>
        </w:trPr>
        <w:tc>
          <w:tcPr>
            <w:tcW w:w="1418" w:type="dxa"/>
            <w:vMerge/>
            <w:vAlign w:val="center"/>
          </w:tcPr>
          <w:p w14:paraId="21C40AA9" w14:textId="77777777" w:rsidR="009C353B" w:rsidRDefault="009C353B">
            <w:pPr>
              <w:jc w:val="center"/>
              <w:rPr>
                <w:rFonts w:ascii="Times New Roman" w:hint="eastAsia"/>
                <w:sz w:val="21"/>
                <w:szCs w:val="21"/>
              </w:rPr>
            </w:pPr>
          </w:p>
        </w:tc>
        <w:tc>
          <w:tcPr>
            <w:tcW w:w="992" w:type="dxa"/>
            <w:vAlign w:val="center"/>
          </w:tcPr>
          <w:p w14:paraId="78D9AAB4" w14:textId="77777777" w:rsidR="009C353B" w:rsidRDefault="00000000">
            <w:pPr>
              <w:jc w:val="center"/>
              <w:rPr>
                <w:rFonts w:ascii="Times New Roman" w:hint="eastAsia"/>
                <w:sz w:val="21"/>
                <w:szCs w:val="21"/>
              </w:rPr>
            </w:pPr>
            <w:r>
              <w:rPr>
                <w:rFonts w:ascii="Times New Roman"/>
                <w:sz w:val="21"/>
                <w:szCs w:val="21"/>
              </w:rPr>
              <w:t>4#</w:t>
            </w:r>
          </w:p>
        </w:tc>
        <w:tc>
          <w:tcPr>
            <w:tcW w:w="1134" w:type="dxa"/>
            <w:vAlign w:val="center"/>
          </w:tcPr>
          <w:p w14:paraId="5176B184" w14:textId="77777777" w:rsidR="009C353B" w:rsidRDefault="00000000">
            <w:pPr>
              <w:ind w:leftChars="34" w:left="82"/>
              <w:jc w:val="center"/>
              <w:rPr>
                <w:rFonts w:ascii="Times New Roman" w:hint="eastAsia"/>
                <w:sz w:val="21"/>
                <w:szCs w:val="21"/>
              </w:rPr>
            </w:pPr>
            <w:r>
              <w:rPr>
                <w:rFonts w:ascii="Times New Roman"/>
                <w:sz w:val="21"/>
                <w:szCs w:val="21"/>
              </w:rPr>
              <w:t>0.375</w:t>
            </w:r>
          </w:p>
        </w:tc>
        <w:tc>
          <w:tcPr>
            <w:tcW w:w="1134" w:type="dxa"/>
            <w:vAlign w:val="center"/>
          </w:tcPr>
          <w:p w14:paraId="5184E966" w14:textId="77777777" w:rsidR="009C353B" w:rsidRDefault="00000000">
            <w:pPr>
              <w:ind w:leftChars="34" w:left="82"/>
              <w:jc w:val="center"/>
              <w:rPr>
                <w:rFonts w:ascii="Times New Roman" w:hint="eastAsia"/>
                <w:sz w:val="21"/>
                <w:szCs w:val="21"/>
              </w:rPr>
            </w:pPr>
            <w:r>
              <w:rPr>
                <w:rFonts w:ascii="Times New Roman"/>
                <w:sz w:val="21"/>
                <w:szCs w:val="21"/>
              </w:rPr>
              <w:t>0.443</w:t>
            </w:r>
          </w:p>
        </w:tc>
        <w:tc>
          <w:tcPr>
            <w:tcW w:w="1134" w:type="dxa"/>
            <w:vAlign w:val="center"/>
          </w:tcPr>
          <w:p w14:paraId="72FABCBA" w14:textId="77777777" w:rsidR="009C353B" w:rsidRDefault="00000000">
            <w:pPr>
              <w:ind w:leftChars="34" w:left="82"/>
              <w:jc w:val="center"/>
              <w:rPr>
                <w:rFonts w:ascii="Times New Roman" w:hint="eastAsia"/>
                <w:sz w:val="21"/>
                <w:szCs w:val="21"/>
              </w:rPr>
            </w:pPr>
            <w:r>
              <w:rPr>
                <w:rFonts w:ascii="Times New Roman"/>
                <w:sz w:val="21"/>
                <w:szCs w:val="21"/>
              </w:rPr>
              <w:t>0.417</w:t>
            </w:r>
          </w:p>
        </w:tc>
        <w:tc>
          <w:tcPr>
            <w:tcW w:w="1133" w:type="dxa"/>
            <w:vAlign w:val="center"/>
          </w:tcPr>
          <w:p w14:paraId="18272123" w14:textId="77777777" w:rsidR="009C353B" w:rsidRDefault="00000000">
            <w:pPr>
              <w:ind w:leftChars="34" w:left="82"/>
              <w:jc w:val="center"/>
              <w:rPr>
                <w:rFonts w:ascii="Times New Roman" w:hint="eastAsia"/>
                <w:sz w:val="21"/>
                <w:szCs w:val="21"/>
              </w:rPr>
            </w:pPr>
            <w:r>
              <w:rPr>
                <w:rFonts w:ascii="Times New Roman"/>
                <w:sz w:val="21"/>
                <w:szCs w:val="21"/>
              </w:rPr>
              <w:t>0.392</w:t>
            </w:r>
          </w:p>
        </w:tc>
        <w:tc>
          <w:tcPr>
            <w:tcW w:w="1185" w:type="dxa"/>
            <w:vAlign w:val="center"/>
          </w:tcPr>
          <w:p w14:paraId="302EEF0B" w14:textId="77777777" w:rsidR="009C353B" w:rsidRDefault="00000000">
            <w:pPr>
              <w:ind w:leftChars="34" w:left="82"/>
              <w:jc w:val="center"/>
              <w:rPr>
                <w:rFonts w:ascii="Times New Roman" w:hint="eastAsia"/>
                <w:sz w:val="21"/>
                <w:szCs w:val="21"/>
              </w:rPr>
            </w:pPr>
            <w:r>
              <w:rPr>
                <w:rFonts w:ascii="Times New Roman"/>
                <w:sz w:val="21"/>
                <w:szCs w:val="21"/>
              </w:rPr>
              <w:t>0.41</w:t>
            </w:r>
            <w:r>
              <w:rPr>
                <w:rFonts w:ascii="Times New Roman" w:hint="eastAsia"/>
                <w:sz w:val="21"/>
                <w:szCs w:val="21"/>
              </w:rPr>
              <w:t>0</w:t>
            </w:r>
          </w:p>
        </w:tc>
        <w:tc>
          <w:tcPr>
            <w:tcW w:w="1143" w:type="dxa"/>
            <w:vAlign w:val="center"/>
          </w:tcPr>
          <w:p w14:paraId="13953CBC" w14:textId="77777777" w:rsidR="009C353B" w:rsidRDefault="00000000">
            <w:pPr>
              <w:ind w:leftChars="34" w:left="82"/>
              <w:jc w:val="center"/>
              <w:rPr>
                <w:rFonts w:ascii="Times New Roman" w:hint="eastAsia"/>
                <w:sz w:val="21"/>
                <w:szCs w:val="21"/>
              </w:rPr>
            </w:pPr>
            <w:r>
              <w:rPr>
                <w:rFonts w:ascii="Times New Roman"/>
                <w:sz w:val="21"/>
                <w:szCs w:val="21"/>
              </w:rPr>
              <w:t>0.372</w:t>
            </w:r>
          </w:p>
        </w:tc>
      </w:tr>
      <w:tr w:rsidR="009C353B" w14:paraId="1F67D5CD" w14:textId="77777777">
        <w:trPr>
          <w:trHeight w:hRule="exact" w:val="370"/>
        </w:trPr>
        <w:tc>
          <w:tcPr>
            <w:tcW w:w="1418" w:type="dxa"/>
            <w:vMerge w:val="restart"/>
            <w:vAlign w:val="center"/>
          </w:tcPr>
          <w:p w14:paraId="5CC08F26" w14:textId="77777777" w:rsidR="009C353B" w:rsidRDefault="00000000">
            <w:pPr>
              <w:jc w:val="center"/>
              <w:rPr>
                <w:rFonts w:ascii="Times New Roman" w:hint="eastAsia"/>
                <w:sz w:val="21"/>
                <w:szCs w:val="21"/>
              </w:rPr>
            </w:pPr>
            <w:r>
              <w:rPr>
                <w:rFonts w:ascii="Times New Roman" w:hint="eastAsia"/>
                <w:sz w:val="21"/>
                <w:szCs w:val="21"/>
              </w:rPr>
              <w:t>红石湾临时排矸场（在用）</w:t>
            </w:r>
          </w:p>
        </w:tc>
        <w:tc>
          <w:tcPr>
            <w:tcW w:w="992" w:type="dxa"/>
            <w:vAlign w:val="center"/>
          </w:tcPr>
          <w:p w14:paraId="62409DF6" w14:textId="77777777" w:rsidR="009C353B" w:rsidRDefault="00000000">
            <w:pPr>
              <w:ind w:leftChars="34" w:left="82"/>
              <w:jc w:val="center"/>
              <w:rPr>
                <w:rFonts w:ascii="Times New Roman" w:hint="eastAsia"/>
                <w:sz w:val="21"/>
                <w:szCs w:val="21"/>
              </w:rPr>
            </w:pPr>
            <w:r>
              <w:rPr>
                <w:rFonts w:ascii="Times New Roman" w:hint="eastAsia"/>
                <w:sz w:val="21"/>
                <w:szCs w:val="21"/>
              </w:rPr>
              <w:t>5</w:t>
            </w:r>
            <w:r>
              <w:rPr>
                <w:rFonts w:ascii="Times New Roman"/>
                <w:sz w:val="21"/>
                <w:szCs w:val="21"/>
              </w:rPr>
              <w:t>#</w:t>
            </w:r>
          </w:p>
        </w:tc>
        <w:tc>
          <w:tcPr>
            <w:tcW w:w="1134" w:type="dxa"/>
            <w:vAlign w:val="center"/>
          </w:tcPr>
          <w:p w14:paraId="63F8DB8E" w14:textId="77777777" w:rsidR="009C353B" w:rsidRDefault="00000000">
            <w:pPr>
              <w:ind w:leftChars="34" w:left="82"/>
              <w:jc w:val="center"/>
              <w:rPr>
                <w:rFonts w:ascii="Times New Roman" w:hint="eastAsia"/>
                <w:sz w:val="21"/>
                <w:szCs w:val="21"/>
              </w:rPr>
            </w:pPr>
            <w:r>
              <w:rPr>
                <w:rFonts w:ascii="Times New Roman"/>
                <w:sz w:val="21"/>
                <w:szCs w:val="21"/>
              </w:rPr>
              <w:t>0.238</w:t>
            </w:r>
          </w:p>
        </w:tc>
        <w:tc>
          <w:tcPr>
            <w:tcW w:w="1134" w:type="dxa"/>
            <w:vAlign w:val="center"/>
          </w:tcPr>
          <w:p w14:paraId="5D0BB3B8" w14:textId="77777777" w:rsidR="009C353B" w:rsidRDefault="00000000">
            <w:pPr>
              <w:ind w:leftChars="34" w:left="82"/>
              <w:jc w:val="center"/>
              <w:rPr>
                <w:rFonts w:ascii="Times New Roman" w:hint="eastAsia"/>
                <w:sz w:val="21"/>
                <w:szCs w:val="21"/>
              </w:rPr>
            </w:pPr>
            <w:r>
              <w:rPr>
                <w:rFonts w:ascii="Times New Roman"/>
                <w:sz w:val="21"/>
                <w:szCs w:val="21"/>
              </w:rPr>
              <w:t>0.222</w:t>
            </w:r>
          </w:p>
        </w:tc>
        <w:tc>
          <w:tcPr>
            <w:tcW w:w="1134" w:type="dxa"/>
            <w:vAlign w:val="center"/>
          </w:tcPr>
          <w:p w14:paraId="24FA9195" w14:textId="77777777" w:rsidR="009C353B" w:rsidRDefault="00000000">
            <w:pPr>
              <w:ind w:leftChars="34" w:left="82"/>
              <w:jc w:val="center"/>
              <w:rPr>
                <w:rFonts w:ascii="Times New Roman" w:hint="eastAsia"/>
                <w:sz w:val="21"/>
                <w:szCs w:val="21"/>
              </w:rPr>
            </w:pPr>
            <w:r>
              <w:rPr>
                <w:rFonts w:ascii="Times New Roman"/>
                <w:sz w:val="21"/>
                <w:szCs w:val="21"/>
              </w:rPr>
              <w:t>0.258</w:t>
            </w:r>
          </w:p>
        </w:tc>
        <w:tc>
          <w:tcPr>
            <w:tcW w:w="1133" w:type="dxa"/>
            <w:vAlign w:val="center"/>
          </w:tcPr>
          <w:p w14:paraId="3BAFBEA5" w14:textId="77777777" w:rsidR="009C353B" w:rsidRDefault="00000000">
            <w:pPr>
              <w:ind w:leftChars="34" w:left="82"/>
              <w:jc w:val="center"/>
              <w:rPr>
                <w:rFonts w:ascii="Times New Roman" w:hint="eastAsia"/>
                <w:sz w:val="21"/>
                <w:szCs w:val="21"/>
              </w:rPr>
            </w:pPr>
            <w:r>
              <w:rPr>
                <w:rFonts w:ascii="Times New Roman"/>
                <w:sz w:val="21"/>
                <w:szCs w:val="21"/>
              </w:rPr>
              <w:t>0.255</w:t>
            </w:r>
          </w:p>
        </w:tc>
        <w:tc>
          <w:tcPr>
            <w:tcW w:w="1185" w:type="dxa"/>
            <w:vAlign w:val="center"/>
          </w:tcPr>
          <w:p w14:paraId="60319EA6" w14:textId="77777777" w:rsidR="009C353B" w:rsidRDefault="00000000">
            <w:pPr>
              <w:ind w:leftChars="34" w:left="82"/>
              <w:jc w:val="center"/>
              <w:rPr>
                <w:rFonts w:ascii="Times New Roman" w:hint="eastAsia"/>
                <w:sz w:val="21"/>
                <w:szCs w:val="21"/>
              </w:rPr>
            </w:pPr>
            <w:r>
              <w:rPr>
                <w:rFonts w:ascii="Times New Roman"/>
                <w:sz w:val="21"/>
                <w:szCs w:val="21"/>
              </w:rPr>
              <w:t>0.232</w:t>
            </w:r>
          </w:p>
        </w:tc>
        <w:tc>
          <w:tcPr>
            <w:tcW w:w="1143" w:type="dxa"/>
            <w:vAlign w:val="center"/>
          </w:tcPr>
          <w:p w14:paraId="6AA036EB" w14:textId="77777777" w:rsidR="009C353B" w:rsidRDefault="00000000">
            <w:pPr>
              <w:ind w:leftChars="34" w:left="82"/>
              <w:jc w:val="center"/>
              <w:rPr>
                <w:rFonts w:ascii="Times New Roman" w:hint="eastAsia"/>
                <w:sz w:val="21"/>
                <w:szCs w:val="21"/>
              </w:rPr>
            </w:pPr>
            <w:r>
              <w:rPr>
                <w:rFonts w:ascii="Times New Roman"/>
                <w:sz w:val="21"/>
                <w:szCs w:val="21"/>
              </w:rPr>
              <w:t>0.213</w:t>
            </w:r>
          </w:p>
        </w:tc>
      </w:tr>
      <w:tr w:rsidR="009C353B" w14:paraId="2CC54AE2" w14:textId="77777777">
        <w:trPr>
          <w:trHeight w:hRule="exact" w:val="370"/>
        </w:trPr>
        <w:tc>
          <w:tcPr>
            <w:tcW w:w="1418" w:type="dxa"/>
            <w:vMerge/>
            <w:vAlign w:val="center"/>
          </w:tcPr>
          <w:p w14:paraId="6D81D9AF" w14:textId="77777777" w:rsidR="009C353B" w:rsidRDefault="009C353B">
            <w:pPr>
              <w:jc w:val="center"/>
              <w:rPr>
                <w:rFonts w:ascii="Times New Roman" w:hint="eastAsia"/>
                <w:sz w:val="21"/>
                <w:szCs w:val="21"/>
              </w:rPr>
            </w:pPr>
          </w:p>
        </w:tc>
        <w:tc>
          <w:tcPr>
            <w:tcW w:w="992" w:type="dxa"/>
            <w:vAlign w:val="center"/>
          </w:tcPr>
          <w:p w14:paraId="298901F7" w14:textId="77777777" w:rsidR="009C353B" w:rsidRDefault="00000000">
            <w:pPr>
              <w:jc w:val="center"/>
              <w:rPr>
                <w:rFonts w:ascii="Times New Roman" w:hint="eastAsia"/>
                <w:sz w:val="21"/>
                <w:szCs w:val="21"/>
              </w:rPr>
            </w:pPr>
            <w:r>
              <w:rPr>
                <w:rFonts w:ascii="Times New Roman" w:hint="eastAsia"/>
                <w:sz w:val="21"/>
                <w:szCs w:val="21"/>
              </w:rPr>
              <w:t>6</w:t>
            </w:r>
            <w:r>
              <w:rPr>
                <w:rFonts w:ascii="Times New Roman"/>
                <w:sz w:val="21"/>
                <w:szCs w:val="21"/>
              </w:rPr>
              <w:t>#</w:t>
            </w:r>
          </w:p>
        </w:tc>
        <w:tc>
          <w:tcPr>
            <w:tcW w:w="1134" w:type="dxa"/>
            <w:vAlign w:val="center"/>
          </w:tcPr>
          <w:p w14:paraId="081D3015" w14:textId="77777777" w:rsidR="009C353B" w:rsidRDefault="00000000">
            <w:pPr>
              <w:ind w:leftChars="34" w:left="82"/>
              <w:jc w:val="center"/>
              <w:rPr>
                <w:rFonts w:ascii="Times New Roman" w:hint="eastAsia"/>
                <w:sz w:val="21"/>
                <w:szCs w:val="21"/>
              </w:rPr>
            </w:pPr>
            <w:r>
              <w:rPr>
                <w:rFonts w:ascii="Times New Roman"/>
                <w:sz w:val="21"/>
                <w:szCs w:val="21"/>
              </w:rPr>
              <w:t>0.383</w:t>
            </w:r>
          </w:p>
        </w:tc>
        <w:tc>
          <w:tcPr>
            <w:tcW w:w="1134" w:type="dxa"/>
            <w:vAlign w:val="center"/>
          </w:tcPr>
          <w:p w14:paraId="62CA56D1" w14:textId="77777777" w:rsidR="009C353B" w:rsidRDefault="00000000">
            <w:pPr>
              <w:ind w:leftChars="34" w:left="82"/>
              <w:jc w:val="center"/>
              <w:rPr>
                <w:rFonts w:ascii="Times New Roman" w:hint="eastAsia"/>
                <w:sz w:val="21"/>
                <w:szCs w:val="21"/>
              </w:rPr>
            </w:pPr>
            <w:r>
              <w:rPr>
                <w:rFonts w:ascii="Times New Roman"/>
                <w:sz w:val="21"/>
                <w:szCs w:val="21"/>
              </w:rPr>
              <w:t>0.353</w:t>
            </w:r>
          </w:p>
        </w:tc>
        <w:tc>
          <w:tcPr>
            <w:tcW w:w="1134" w:type="dxa"/>
            <w:vAlign w:val="center"/>
          </w:tcPr>
          <w:p w14:paraId="07716AD1" w14:textId="77777777" w:rsidR="009C353B" w:rsidRDefault="00000000">
            <w:pPr>
              <w:ind w:leftChars="34" w:left="82"/>
              <w:jc w:val="center"/>
              <w:rPr>
                <w:rFonts w:ascii="Times New Roman" w:hint="eastAsia"/>
                <w:sz w:val="21"/>
                <w:szCs w:val="21"/>
              </w:rPr>
            </w:pPr>
            <w:r>
              <w:rPr>
                <w:rFonts w:ascii="Times New Roman"/>
                <w:sz w:val="21"/>
                <w:szCs w:val="21"/>
              </w:rPr>
              <w:t>0.43</w:t>
            </w:r>
            <w:r>
              <w:rPr>
                <w:rFonts w:ascii="Times New Roman" w:hint="eastAsia"/>
                <w:sz w:val="21"/>
                <w:szCs w:val="21"/>
              </w:rPr>
              <w:t>0</w:t>
            </w:r>
          </w:p>
        </w:tc>
        <w:tc>
          <w:tcPr>
            <w:tcW w:w="1133" w:type="dxa"/>
            <w:vAlign w:val="center"/>
          </w:tcPr>
          <w:p w14:paraId="251B9411" w14:textId="77777777" w:rsidR="009C353B" w:rsidRDefault="00000000">
            <w:pPr>
              <w:ind w:leftChars="34" w:left="82"/>
              <w:jc w:val="center"/>
              <w:rPr>
                <w:rFonts w:ascii="Times New Roman" w:hint="eastAsia"/>
                <w:sz w:val="21"/>
                <w:szCs w:val="21"/>
              </w:rPr>
            </w:pPr>
            <w:r>
              <w:rPr>
                <w:rFonts w:ascii="Times New Roman"/>
                <w:sz w:val="21"/>
                <w:szCs w:val="21"/>
              </w:rPr>
              <w:t>0.293</w:t>
            </w:r>
          </w:p>
        </w:tc>
        <w:tc>
          <w:tcPr>
            <w:tcW w:w="1185" w:type="dxa"/>
            <w:vAlign w:val="center"/>
          </w:tcPr>
          <w:p w14:paraId="2E0C163C" w14:textId="77777777" w:rsidR="009C353B" w:rsidRDefault="00000000">
            <w:pPr>
              <w:ind w:leftChars="34" w:left="82"/>
              <w:jc w:val="center"/>
              <w:rPr>
                <w:rFonts w:ascii="Times New Roman" w:hint="eastAsia"/>
                <w:sz w:val="21"/>
                <w:szCs w:val="21"/>
              </w:rPr>
            </w:pPr>
            <w:r>
              <w:rPr>
                <w:rFonts w:ascii="Times New Roman"/>
                <w:sz w:val="21"/>
                <w:szCs w:val="21"/>
              </w:rPr>
              <w:t>0.305</w:t>
            </w:r>
          </w:p>
        </w:tc>
        <w:tc>
          <w:tcPr>
            <w:tcW w:w="1143" w:type="dxa"/>
            <w:vAlign w:val="center"/>
          </w:tcPr>
          <w:p w14:paraId="20BDCF45" w14:textId="77777777" w:rsidR="009C353B" w:rsidRDefault="00000000">
            <w:pPr>
              <w:ind w:leftChars="34" w:left="82"/>
              <w:jc w:val="center"/>
              <w:rPr>
                <w:rFonts w:ascii="Times New Roman" w:hint="eastAsia"/>
                <w:sz w:val="21"/>
                <w:szCs w:val="21"/>
              </w:rPr>
            </w:pPr>
            <w:r>
              <w:rPr>
                <w:rFonts w:ascii="Times New Roman"/>
                <w:sz w:val="21"/>
                <w:szCs w:val="21"/>
              </w:rPr>
              <w:t>0.327</w:t>
            </w:r>
          </w:p>
        </w:tc>
      </w:tr>
      <w:tr w:rsidR="009C353B" w14:paraId="5605162B" w14:textId="77777777">
        <w:trPr>
          <w:trHeight w:hRule="exact" w:val="370"/>
        </w:trPr>
        <w:tc>
          <w:tcPr>
            <w:tcW w:w="1418" w:type="dxa"/>
            <w:vMerge/>
            <w:vAlign w:val="center"/>
          </w:tcPr>
          <w:p w14:paraId="27D67826" w14:textId="77777777" w:rsidR="009C353B" w:rsidRDefault="009C353B">
            <w:pPr>
              <w:jc w:val="center"/>
              <w:rPr>
                <w:rFonts w:ascii="Times New Roman" w:hint="eastAsia"/>
                <w:sz w:val="21"/>
                <w:szCs w:val="21"/>
              </w:rPr>
            </w:pPr>
          </w:p>
        </w:tc>
        <w:tc>
          <w:tcPr>
            <w:tcW w:w="992" w:type="dxa"/>
            <w:vAlign w:val="center"/>
          </w:tcPr>
          <w:p w14:paraId="69CC1E8C" w14:textId="77777777" w:rsidR="009C353B" w:rsidRDefault="00000000">
            <w:pPr>
              <w:jc w:val="center"/>
              <w:rPr>
                <w:rFonts w:ascii="Times New Roman" w:hint="eastAsia"/>
                <w:sz w:val="21"/>
                <w:szCs w:val="21"/>
              </w:rPr>
            </w:pPr>
            <w:r>
              <w:rPr>
                <w:rFonts w:ascii="Times New Roman" w:hint="eastAsia"/>
                <w:sz w:val="21"/>
                <w:szCs w:val="21"/>
              </w:rPr>
              <w:t>7</w:t>
            </w:r>
            <w:r>
              <w:rPr>
                <w:rFonts w:ascii="Times New Roman"/>
                <w:sz w:val="21"/>
                <w:szCs w:val="21"/>
              </w:rPr>
              <w:t>#</w:t>
            </w:r>
          </w:p>
        </w:tc>
        <w:tc>
          <w:tcPr>
            <w:tcW w:w="1134" w:type="dxa"/>
            <w:vAlign w:val="center"/>
          </w:tcPr>
          <w:p w14:paraId="56BCCB68" w14:textId="77777777" w:rsidR="009C353B" w:rsidRDefault="00000000">
            <w:pPr>
              <w:ind w:leftChars="34" w:left="82"/>
              <w:jc w:val="center"/>
              <w:rPr>
                <w:rFonts w:ascii="Times New Roman" w:hint="eastAsia"/>
                <w:sz w:val="21"/>
                <w:szCs w:val="21"/>
              </w:rPr>
            </w:pPr>
            <w:r>
              <w:rPr>
                <w:rFonts w:ascii="Times New Roman"/>
                <w:sz w:val="21"/>
                <w:szCs w:val="21"/>
              </w:rPr>
              <w:t>0.347</w:t>
            </w:r>
          </w:p>
        </w:tc>
        <w:tc>
          <w:tcPr>
            <w:tcW w:w="1134" w:type="dxa"/>
            <w:vAlign w:val="center"/>
          </w:tcPr>
          <w:p w14:paraId="23D439DD" w14:textId="77777777" w:rsidR="009C353B" w:rsidRDefault="00000000">
            <w:pPr>
              <w:ind w:leftChars="34" w:left="82"/>
              <w:jc w:val="center"/>
              <w:rPr>
                <w:rFonts w:ascii="Times New Roman" w:hint="eastAsia"/>
                <w:sz w:val="21"/>
                <w:szCs w:val="21"/>
              </w:rPr>
            </w:pPr>
            <w:r>
              <w:rPr>
                <w:rFonts w:ascii="Times New Roman"/>
                <w:sz w:val="21"/>
                <w:szCs w:val="21"/>
              </w:rPr>
              <w:t>0.333</w:t>
            </w:r>
          </w:p>
        </w:tc>
        <w:tc>
          <w:tcPr>
            <w:tcW w:w="1134" w:type="dxa"/>
            <w:vAlign w:val="center"/>
          </w:tcPr>
          <w:p w14:paraId="1FBC8809" w14:textId="77777777" w:rsidR="009C353B" w:rsidRDefault="00000000">
            <w:pPr>
              <w:ind w:leftChars="34" w:left="82"/>
              <w:jc w:val="center"/>
              <w:rPr>
                <w:rFonts w:ascii="Times New Roman" w:hint="eastAsia"/>
                <w:sz w:val="21"/>
                <w:szCs w:val="21"/>
              </w:rPr>
            </w:pPr>
            <w:r>
              <w:rPr>
                <w:rFonts w:ascii="Times New Roman"/>
                <w:sz w:val="21"/>
                <w:szCs w:val="21"/>
              </w:rPr>
              <w:t>0.407</w:t>
            </w:r>
          </w:p>
        </w:tc>
        <w:tc>
          <w:tcPr>
            <w:tcW w:w="1133" w:type="dxa"/>
            <w:vAlign w:val="center"/>
          </w:tcPr>
          <w:p w14:paraId="1EBB9651" w14:textId="77777777" w:rsidR="009C353B" w:rsidRDefault="00000000">
            <w:pPr>
              <w:ind w:leftChars="34" w:left="82"/>
              <w:jc w:val="center"/>
              <w:rPr>
                <w:rFonts w:ascii="Times New Roman" w:hint="eastAsia"/>
                <w:sz w:val="21"/>
                <w:szCs w:val="21"/>
              </w:rPr>
            </w:pPr>
            <w:r>
              <w:rPr>
                <w:rFonts w:ascii="Times New Roman"/>
                <w:sz w:val="21"/>
                <w:szCs w:val="21"/>
              </w:rPr>
              <w:t>0.335</w:t>
            </w:r>
          </w:p>
        </w:tc>
        <w:tc>
          <w:tcPr>
            <w:tcW w:w="1185" w:type="dxa"/>
            <w:vAlign w:val="center"/>
          </w:tcPr>
          <w:p w14:paraId="1D825B1F" w14:textId="77777777" w:rsidR="009C353B" w:rsidRDefault="00000000">
            <w:pPr>
              <w:ind w:leftChars="34" w:left="82"/>
              <w:jc w:val="center"/>
              <w:rPr>
                <w:rFonts w:ascii="Times New Roman" w:hint="eastAsia"/>
                <w:sz w:val="21"/>
                <w:szCs w:val="21"/>
              </w:rPr>
            </w:pPr>
            <w:r>
              <w:rPr>
                <w:rFonts w:ascii="Times New Roman"/>
                <w:sz w:val="21"/>
                <w:szCs w:val="21"/>
              </w:rPr>
              <w:t>0.388</w:t>
            </w:r>
          </w:p>
        </w:tc>
        <w:tc>
          <w:tcPr>
            <w:tcW w:w="1143" w:type="dxa"/>
            <w:vAlign w:val="center"/>
          </w:tcPr>
          <w:p w14:paraId="2CEE88DB" w14:textId="77777777" w:rsidR="009C353B" w:rsidRDefault="00000000">
            <w:pPr>
              <w:ind w:leftChars="34" w:left="82"/>
              <w:jc w:val="center"/>
              <w:rPr>
                <w:rFonts w:ascii="Times New Roman" w:hint="eastAsia"/>
                <w:sz w:val="21"/>
                <w:szCs w:val="21"/>
              </w:rPr>
            </w:pPr>
            <w:r>
              <w:rPr>
                <w:rFonts w:ascii="Times New Roman"/>
                <w:sz w:val="21"/>
                <w:szCs w:val="21"/>
              </w:rPr>
              <w:t>0.365</w:t>
            </w:r>
          </w:p>
        </w:tc>
      </w:tr>
      <w:tr w:rsidR="009C353B" w14:paraId="78C3EB11" w14:textId="77777777">
        <w:trPr>
          <w:trHeight w:hRule="exact" w:val="370"/>
        </w:trPr>
        <w:tc>
          <w:tcPr>
            <w:tcW w:w="1418" w:type="dxa"/>
            <w:vMerge/>
            <w:vAlign w:val="center"/>
          </w:tcPr>
          <w:p w14:paraId="1C305CF2" w14:textId="77777777" w:rsidR="009C353B" w:rsidRDefault="009C353B">
            <w:pPr>
              <w:jc w:val="center"/>
              <w:rPr>
                <w:rFonts w:ascii="Times New Roman" w:hint="eastAsia"/>
                <w:sz w:val="21"/>
                <w:szCs w:val="21"/>
              </w:rPr>
            </w:pPr>
          </w:p>
        </w:tc>
        <w:tc>
          <w:tcPr>
            <w:tcW w:w="992" w:type="dxa"/>
            <w:vAlign w:val="center"/>
          </w:tcPr>
          <w:p w14:paraId="066A63EB" w14:textId="77777777" w:rsidR="009C353B" w:rsidRDefault="00000000">
            <w:pPr>
              <w:jc w:val="center"/>
              <w:rPr>
                <w:rFonts w:ascii="Times New Roman" w:hint="eastAsia"/>
                <w:sz w:val="21"/>
                <w:szCs w:val="21"/>
              </w:rPr>
            </w:pPr>
            <w:r>
              <w:rPr>
                <w:rFonts w:ascii="Times New Roman" w:hint="eastAsia"/>
                <w:sz w:val="21"/>
                <w:szCs w:val="21"/>
              </w:rPr>
              <w:t>8</w:t>
            </w:r>
            <w:r>
              <w:rPr>
                <w:rFonts w:ascii="Times New Roman"/>
                <w:sz w:val="21"/>
                <w:szCs w:val="21"/>
              </w:rPr>
              <w:t>#</w:t>
            </w:r>
          </w:p>
        </w:tc>
        <w:tc>
          <w:tcPr>
            <w:tcW w:w="1134" w:type="dxa"/>
            <w:vAlign w:val="center"/>
          </w:tcPr>
          <w:p w14:paraId="3A87E418" w14:textId="77777777" w:rsidR="009C353B" w:rsidRDefault="00000000">
            <w:pPr>
              <w:ind w:leftChars="34" w:left="82"/>
              <w:jc w:val="center"/>
              <w:rPr>
                <w:rFonts w:ascii="Times New Roman" w:hint="eastAsia"/>
                <w:sz w:val="21"/>
                <w:szCs w:val="21"/>
              </w:rPr>
            </w:pPr>
            <w:r>
              <w:rPr>
                <w:rFonts w:ascii="Times New Roman"/>
                <w:sz w:val="21"/>
                <w:szCs w:val="21"/>
              </w:rPr>
              <w:t>0.397</w:t>
            </w:r>
          </w:p>
        </w:tc>
        <w:tc>
          <w:tcPr>
            <w:tcW w:w="1134" w:type="dxa"/>
            <w:vAlign w:val="center"/>
          </w:tcPr>
          <w:p w14:paraId="0A464FA1" w14:textId="77777777" w:rsidR="009C353B" w:rsidRDefault="00000000">
            <w:pPr>
              <w:ind w:leftChars="34" w:left="82"/>
              <w:jc w:val="center"/>
              <w:rPr>
                <w:rFonts w:ascii="Times New Roman" w:hint="eastAsia"/>
                <w:sz w:val="21"/>
                <w:szCs w:val="21"/>
              </w:rPr>
            </w:pPr>
            <w:r>
              <w:rPr>
                <w:rFonts w:ascii="Times New Roman"/>
                <w:sz w:val="21"/>
                <w:szCs w:val="21"/>
              </w:rPr>
              <w:t>0.377</w:t>
            </w:r>
          </w:p>
        </w:tc>
        <w:tc>
          <w:tcPr>
            <w:tcW w:w="1134" w:type="dxa"/>
            <w:vAlign w:val="center"/>
          </w:tcPr>
          <w:p w14:paraId="46697DF9" w14:textId="77777777" w:rsidR="009C353B" w:rsidRDefault="00000000">
            <w:pPr>
              <w:ind w:leftChars="34" w:left="82"/>
              <w:jc w:val="center"/>
              <w:rPr>
                <w:rFonts w:ascii="Times New Roman" w:hint="eastAsia"/>
                <w:sz w:val="21"/>
                <w:szCs w:val="21"/>
              </w:rPr>
            </w:pPr>
            <w:r>
              <w:rPr>
                <w:rFonts w:ascii="Times New Roman"/>
                <w:sz w:val="21"/>
                <w:szCs w:val="21"/>
              </w:rPr>
              <w:t>0.31</w:t>
            </w:r>
            <w:r>
              <w:rPr>
                <w:rFonts w:ascii="Times New Roman" w:hint="eastAsia"/>
                <w:sz w:val="21"/>
                <w:szCs w:val="21"/>
              </w:rPr>
              <w:t>0</w:t>
            </w:r>
          </w:p>
        </w:tc>
        <w:tc>
          <w:tcPr>
            <w:tcW w:w="1133" w:type="dxa"/>
            <w:vAlign w:val="center"/>
          </w:tcPr>
          <w:p w14:paraId="581292EC" w14:textId="77777777" w:rsidR="009C353B" w:rsidRDefault="00000000">
            <w:pPr>
              <w:ind w:leftChars="34" w:left="82"/>
              <w:jc w:val="center"/>
              <w:rPr>
                <w:rFonts w:ascii="Times New Roman" w:hint="eastAsia"/>
                <w:sz w:val="21"/>
                <w:szCs w:val="21"/>
              </w:rPr>
            </w:pPr>
            <w:r>
              <w:rPr>
                <w:rFonts w:ascii="Times New Roman"/>
                <w:sz w:val="21"/>
                <w:szCs w:val="21"/>
              </w:rPr>
              <w:t>0.315</w:t>
            </w:r>
          </w:p>
        </w:tc>
        <w:tc>
          <w:tcPr>
            <w:tcW w:w="1185" w:type="dxa"/>
            <w:vAlign w:val="center"/>
          </w:tcPr>
          <w:p w14:paraId="5B9B3CED" w14:textId="77777777" w:rsidR="009C353B" w:rsidRDefault="00000000">
            <w:pPr>
              <w:ind w:leftChars="34" w:left="82"/>
              <w:jc w:val="center"/>
              <w:rPr>
                <w:rFonts w:ascii="Times New Roman" w:hint="eastAsia"/>
                <w:sz w:val="21"/>
                <w:szCs w:val="21"/>
              </w:rPr>
            </w:pPr>
            <w:r>
              <w:rPr>
                <w:rFonts w:ascii="Times New Roman"/>
                <w:sz w:val="21"/>
                <w:szCs w:val="21"/>
              </w:rPr>
              <w:t>0.393</w:t>
            </w:r>
          </w:p>
        </w:tc>
        <w:tc>
          <w:tcPr>
            <w:tcW w:w="1143" w:type="dxa"/>
            <w:vAlign w:val="center"/>
          </w:tcPr>
          <w:p w14:paraId="6D7D3E17" w14:textId="77777777" w:rsidR="009C353B" w:rsidRDefault="00000000">
            <w:pPr>
              <w:ind w:leftChars="34" w:left="82"/>
              <w:jc w:val="center"/>
              <w:rPr>
                <w:rFonts w:ascii="Times New Roman" w:hint="eastAsia"/>
                <w:sz w:val="21"/>
                <w:szCs w:val="21"/>
              </w:rPr>
            </w:pPr>
            <w:r>
              <w:rPr>
                <w:rFonts w:ascii="Times New Roman"/>
                <w:sz w:val="21"/>
                <w:szCs w:val="21"/>
              </w:rPr>
              <w:t>0.448</w:t>
            </w:r>
          </w:p>
        </w:tc>
      </w:tr>
      <w:tr w:rsidR="009C353B" w14:paraId="1B2F101F" w14:textId="77777777">
        <w:trPr>
          <w:trHeight w:hRule="exact" w:val="370"/>
        </w:trPr>
        <w:tc>
          <w:tcPr>
            <w:tcW w:w="2410" w:type="dxa"/>
            <w:gridSpan w:val="2"/>
            <w:vAlign w:val="center"/>
          </w:tcPr>
          <w:p w14:paraId="0F1DEEFA" w14:textId="77777777" w:rsidR="009C353B" w:rsidRDefault="00000000">
            <w:pPr>
              <w:jc w:val="center"/>
              <w:rPr>
                <w:rFonts w:ascii="Times New Roman" w:hAnsi="Times New Roman"/>
                <w:sz w:val="21"/>
                <w:szCs w:val="21"/>
              </w:rPr>
            </w:pPr>
            <w:r>
              <w:rPr>
                <w:rFonts w:ascii="Times New Roman"/>
                <w:sz w:val="21"/>
                <w:szCs w:val="21"/>
              </w:rPr>
              <w:t>监测时间</w:t>
            </w:r>
          </w:p>
        </w:tc>
        <w:tc>
          <w:tcPr>
            <w:tcW w:w="3402" w:type="dxa"/>
            <w:gridSpan w:val="3"/>
            <w:vAlign w:val="center"/>
          </w:tcPr>
          <w:p w14:paraId="0A65B3C8" w14:textId="77777777" w:rsidR="009C353B" w:rsidRDefault="00000000">
            <w:pPr>
              <w:jc w:val="center"/>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9</w:t>
            </w:r>
            <w:r>
              <w:rPr>
                <w:rFonts w:ascii="Times New Roman" w:hAnsi="Times New Roman" w:hint="eastAsia"/>
                <w:sz w:val="21"/>
                <w:szCs w:val="21"/>
              </w:rPr>
              <w:t>日</w:t>
            </w:r>
          </w:p>
        </w:tc>
        <w:tc>
          <w:tcPr>
            <w:tcW w:w="3461" w:type="dxa"/>
            <w:gridSpan w:val="3"/>
            <w:vAlign w:val="center"/>
          </w:tcPr>
          <w:p w14:paraId="7AAEB3A7" w14:textId="77777777" w:rsidR="009C353B" w:rsidRDefault="00000000">
            <w:pPr>
              <w:jc w:val="center"/>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10</w:t>
            </w:r>
            <w:r>
              <w:rPr>
                <w:rFonts w:ascii="Times New Roman" w:hAnsi="Times New Roman" w:hint="eastAsia"/>
                <w:sz w:val="21"/>
                <w:szCs w:val="21"/>
              </w:rPr>
              <w:t>日</w:t>
            </w:r>
          </w:p>
        </w:tc>
      </w:tr>
      <w:tr w:rsidR="009C353B" w14:paraId="57485E9F" w14:textId="77777777">
        <w:trPr>
          <w:trHeight w:hRule="exact" w:val="370"/>
        </w:trPr>
        <w:tc>
          <w:tcPr>
            <w:tcW w:w="1418" w:type="dxa"/>
            <w:vMerge w:val="restart"/>
            <w:vAlign w:val="center"/>
          </w:tcPr>
          <w:p w14:paraId="778A31E0" w14:textId="77777777" w:rsidR="009C353B" w:rsidRDefault="00000000">
            <w:pPr>
              <w:jc w:val="center"/>
              <w:rPr>
                <w:rFonts w:ascii="Times New Roman" w:hint="eastAsia"/>
                <w:sz w:val="21"/>
                <w:szCs w:val="21"/>
              </w:rPr>
            </w:pPr>
            <w:r>
              <w:rPr>
                <w:rFonts w:ascii="Times New Roman" w:hint="eastAsia"/>
                <w:sz w:val="21"/>
                <w:szCs w:val="21"/>
              </w:rPr>
              <w:t>任家庄临时排矸场（已恢复）</w:t>
            </w:r>
          </w:p>
        </w:tc>
        <w:tc>
          <w:tcPr>
            <w:tcW w:w="992" w:type="dxa"/>
            <w:vAlign w:val="center"/>
          </w:tcPr>
          <w:p w14:paraId="0BA85C8F" w14:textId="77777777" w:rsidR="009C353B" w:rsidRDefault="00000000">
            <w:pPr>
              <w:ind w:leftChars="34" w:left="82"/>
              <w:jc w:val="center"/>
              <w:rPr>
                <w:rFonts w:ascii="Times New Roman" w:hint="eastAsia"/>
                <w:sz w:val="21"/>
                <w:szCs w:val="21"/>
              </w:rPr>
            </w:pPr>
            <w:r>
              <w:rPr>
                <w:rFonts w:ascii="Times New Roman" w:hint="eastAsia"/>
                <w:sz w:val="21"/>
                <w:szCs w:val="21"/>
              </w:rPr>
              <w:t>9</w:t>
            </w:r>
            <w:r>
              <w:rPr>
                <w:rFonts w:ascii="Times New Roman"/>
                <w:sz w:val="21"/>
                <w:szCs w:val="21"/>
              </w:rPr>
              <w:t>#</w:t>
            </w:r>
          </w:p>
        </w:tc>
        <w:tc>
          <w:tcPr>
            <w:tcW w:w="1134" w:type="dxa"/>
            <w:vAlign w:val="center"/>
          </w:tcPr>
          <w:p w14:paraId="54F388EE" w14:textId="77777777" w:rsidR="009C353B" w:rsidRDefault="00000000">
            <w:pPr>
              <w:ind w:leftChars="34" w:left="82"/>
              <w:jc w:val="center"/>
              <w:rPr>
                <w:rFonts w:ascii="Times New Roman" w:hint="eastAsia"/>
                <w:sz w:val="21"/>
                <w:szCs w:val="21"/>
              </w:rPr>
            </w:pPr>
            <w:r>
              <w:rPr>
                <w:rFonts w:ascii="Times New Roman"/>
                <w:sz w:val="21"/>
                <w:szCs w:val="21"/>
              </w:rPr>
              <w:t>0.277</w:t>
            </w:r>
          </w:p>
        </w:tc>
        <w:tc>
          <w:tcPr>
            <w:tcW w:w="1134" w:type="dxa"/>
            <w:vAlign w:val="center"/>
          </w:tcPr>
          <w:p w14:paraId="1DD8E808" w14:textId="77777777" w:rsidR="009C353B" w:rsidRDefault="00000000">
            <w:pPr>
              <w:ind w:leftChars="34" w:left="82"/>
              <w:jc w:val="center"/>
              <w:rPr>
                <w:rFonts w:ascii="Times New Roman" w:hint="eastAsia"/>
                <w:sz w:val="21"/>
                <w:szCs w:val="21"/>
              </w:rPr>
            </w:pPr>
            <w:r>
              <w:rPr>
                <w:rFonts w:ascii="Times New Roman"/>
                <w:sz w:val="21"/>
                <w:szCs w:val="21"/>
              </w:rPr>
              <w:t>0.333</w:t>
            </w:r>
          </w:p>
        </w:tc>
        <w:tc>
          <w:tcPr>
            <w:tcW w:w="1134" w:type="dxa"/>
            <w:vAlign w:val="center"/>
          </w:tcPr>
          <w:p w14:paraId="254A3F05" w14:textId="77777777" w:rsidR="009C353B" w:rsidRDefault="00000000">
            <w:pPr>
              <w:ind w:leftChars="34" w:left="82"/>
              <w:jc w:val="center"/>
              <w:rPr>
                <w:rFonts w:ascii="Times New Roman" w:hint="eastAsia"/>
                <w:sz w:val="21"/>
                <w:szCs w:val="21"/>
              </w:rPr>
            </w:pPr>
            <w:r>
              <w:rPr>
                <w:rFonts w:ascii="Times New Roman"/>
                <w:sz w:val="21"/>
                <w:szCs w:val="21"/>
              </w:rPr>
              <w:t>0.258</w:t>
            </w:r>
          </w:p>
        </w:tc>
        <w:tc>
          <w:tcPr>
            <w:tcW w:w="1133" w:type="dxa"/>
            <w:vAlign w:val="center"/>
          </w:tcPr>
          <w:p w14:paraId="2C605A91" w14:textId="77777777" w:rsidR="009C353B" w:rsidRDefault="00000000">
            <w:pPr>
              <w:ind w:leftChars="34" w:left="82"/>
              <w:jc w:val="center"/>
              <w:rPr>
                <w:rFonts w:ascii="Times New Roman" w:hint="eastAsia"/>
                <w:sz w:val="21"/>
                <w:szCs w:val="21"/>
              </w:rPr>
            </w:pPr>
            <w:r>
              <w:rPr>
                <w:rFonts w:ascii="Times New Roman"/>
                <w:sz w:val="21"/>
                <w:szCs w:val="21"/>
              </w:rPr>
              <w:t>0.308</w:t>
            </w:r>
          </w:p>
        </w:tc>
        <w:tc>
          <w:tcPr>
            <w:tcW w:w="1185" w:type="dxa"/>
            <w:vAlign w:val="center"/>
          </w:tcPr>
          <w:p w14:paraId="077F258D" w14:textId="77777777" w:rsidR="009C353B" w:rsidRDefault="00000000">
            <w:pPr>
              <w:ind w:leftChars="34" w:left="82"/>
              <w:jc w:val="center"/>
              <w:rPr>
                <w:rFonts w:ascii="Times New Roman" w:hint="eastAsia"/>
                <w:sz w:val="21"/>
                <w:szCs w:val="21"/>
              </w:rPr>
            </w:pPr>
            <w:r>
              <w:rPr>
                <w:rFonts w:ascii="Times New Roman"/>
                <w:sz w:val="21"/>
                <w:szCs w:val="21"/>
              </w:rPr>
              <w:t>0.383</w:t>
            </w:r>
          </w:p>
        </w:tc>
        <w:tc>
          <w:tcPr>
            <w:tcW w:w="1143" w:type="dxa"/>
            <w:vAlign w:val="center"/>
          </w:tcPr>
          <w:p w14:paraId="33D04088" w14:textId="77777777" w:rsidR="009C353B" w:rsidRDefault="00000000">
            <w:pPr>
              <w:ind w:leftChars="34" w:left="82"/>
              <w:jc w:val="center"/>
              <w:rPr>
                <w:rFonts w:ascii="Times New Roman" w:hint="eastAsia"/>
                <w:sz w:val="21"/>
                <w:szCs w:val="21"/>
              </w:rPr>
            </w:pPr>
            <w:r>
              <w:rPr>
                <w:rFonts w:ascii="Times New Roman"/>
                <w:sz w:val="21"/>
                <w:szCs w:val="21"/>
              </w:rPr>
              <w:t>0.347</w:t>
            </w:r>
          </w:p>
        </w:tc>
      </w:tr>
      <w:tr w:rsidR="009C353B" w14:paraId="088C131E" w14:textId="77777777">
        <w:trPr>
          <w:trHeight w:hRule="exact" w:val="370"/>
        </w:trPr>
        <w:tc>
          <w:tcPr>
            <w:tcW w:w="1418" w:type="dxa"/>
            <w:vMerge/>
            <w:vAlign w:val="center"/>
          </w:tcPr>
          <w:p w14:paraId="0E62E2F7" w14:textId="77777777" w:rsidR="009C353B" w:rsidRDefault="009C353B">
            <w:pPr>
              <w:jc w:val="center"/>
              <w:rPr>
                <w:rFonts w:ascii="Times New Roman" w:hint="eastAsia"/>
                <w:sz w:val="21"/>
                <w:szCs w:val="21"/>
              </w:rPr>
            </w:pPr>
          </w:p>
        </w:tc>
        <w:tc>
          <w:tcPr>
            <w:tcW w:w="992" w:type="dxa"/>
            <w:vAlign w:val="center"/>
          </w:tcPr>
          <w:p w14:paraId="02A9D21C" w14:textId="77777777" w:rsidR="009C353B" w:rsidRDefault="00000000">
            <w:pPr>
              <w:jc w:val="center"/>
              <w:rPr>
                <w:rFonts w:ascii="Times New Roman" w:hint="eastAsia"/>
                <w:sz w:val="21"/>
                <w:szCs w:val="21"/>
              </w:rPr>
            </w:pPr>
            <w:r>
              <w:rPr>
                <w:rFonts w:ascii="Times New Roman" w:hint="eastAsia"/>
                <w:sz w:val="21"/>
                <w:szCs w:val="21"/>
              </w:rPr>
              <w:t>10</w:t>
            </w:r>
            <w:r>
              <w:rPr>
                <w:rFonts w:ascii="Times New Roman"/>
                <w:sz w:val="21"/>
                <w:szCs w:val="21"/>
              </w:rPr>
              <w:t>#</w:t>
            </w:r>
          </w:p>
        </w:tc>
        <w:tc>
          <w:tcPr>
            <w:tcW w:w="1134" w:type="dxa"/>
            <w:vAlign w:val="center"/>
          </w:tcPr>
          <w:p w14:paraId="47EE2E60" w14:textId="77777777" w:rsidR="009C353B" w:rsidRDefault="00000000">
            <w:pPr>
              <w:ind w:leftChars="34" w:left="82"/>
              <w:jc w:val="center"/>
              <w:rPr>
                <w:rFonts w:ascii="Times New Roman" w:hint="eastAsia"/>
                <w:sz w:val="21"/>
                <w:szCs w:val="21"/>
              </w:rPr>
            </w:pPr>
            <w:r>
              <w:rPr>
                <w:rFonts w:ascii="Times New Roman"/>
                <w:sz w:val="21"/>
                <w:szCs w:val="21"/>
              </w:rPr>
              <w:t>0.468</w:t>
            </w:r>
          </w:p>
        </w:tc>
        <w:tc>
          <w:tcPr>
            <w:tcW w:w="1134" w:type="dxa"/>
            <w:vAlign w:val="center"/>
          </w:tcPr>
          <w:p w14:paraId="1775E72E" w14:textId="77777777" w:rsidR="009C353B" w:rsidRDefault="00000000">
            <w:pPr>
              <w:ind w:leftChars="34" w:left="82"/>
              <w:jc w:val="center"/>
              <w:rPr>
                <w:rFonts w:ascii="Times New Roman" w:hint="eastAsia"/>
                <w:sz w:val="21"/>
                <w:szCs w:val="21"/>
              </w:rPr>
            </w:pPr>
            <w:r>
              <w:rPr>
                <w:rFonts w:ascii="Times New Roman"/>
                <w:sz w:val="21"/>
                <w:szCs w:val="21"/>
              </w:rPr>
              <w:t>0.513</w:t>
            </w:r>
          </w:p>
        </w:tc>
        <w:tc>
          <w:tcPr>
            <w:tcW w:w="1134" w:type="dxa"/>
            <w:vAlign w:val="center"/>
          </w:tcPr>
          <w:p w14:paraId="21329313" w14:textId="77777777" w:rsidR="009C353B" w:rsidRDefault="00000000">
            <w:pPr>
              <w:ind w:leftChars="34" w:left="82"/>
              <w:jc w:val="center"/>
              <w:rPr>
                <w:rFonts w:ascii="Times New Roman" w:hint="eastAsia"/>
                <w:sz w:val="21"/>
                <w:szCs w:val="21"/>
              </w:rPr>
            </w:pPr>
            <w:r>
              <w:rPr>
                <w:rFonts w:ascii="Times New Roman"/>
                <w:sz w:val="21"/>
                <w:szCs w:val="21"/>
              </w:rPr>
              <w:t>0.443</w:t>
            </w:r>
          </w:p>
        </w:tc>
        <w:tc>
          <w:tcPr>
            <w:tcW w:w="1133" w:type="dxa"/>
            <w:vAlign w:val="center"/>
          </w:tcPr>
          <w:p w14:paraId="2C40FEB2" w14:textId="77777777" w:rsidR="009C353B" w:rsidRDefault="00000000">
            <w:pPr>
              <w:ind w:leftChars="34" w:left="82"/>
              <w:jc w:val="center"/>
              <w:rPr>
                <w:rFonts w:ascii="Times New Roman" w:hint="eastAsia"/>
                <w:sz w:val="21"/>
                <w:szCs w:val="21"/>
              </w:rPr>
            </w:pPr>
            <w:r>
              <w:rPr>
                <w:rFonts w:ascii="Times New Roman"/>
                <w:sz w:val="21"/>
                <w:szCs w:val="21"/>
              </w:rPr>
              <w:t>0.445</w:t>
            </w:r>
          </w:p>
        </w:tc>
        <w:tc>
          <w:tcPr>
            <w:tcW w:w="1185" w:type="dxa"/>
            <w:vAlign w:val="center"/>
          </w:tcPr>
          <w:p w14:paraId="5477AE62" w14:textId="77777777" w:rsidR="009C353B" w:rsidRDefault="00000000">
            <w:pPr>
              <w:ind w:leftChars="34" w:left="82"/>
              <w:jc w:val="center"/>
              <w:rPr>
                <w:rFonts w:ascii="Times New Roman" w:hint="eastAsia"/>
                <w:sz w:val="21"/>
                <w:szCs w:val="21"/>
              </w:rPr>
            </w:pPr>
            <w:r>
              <w:rPr>
                <w:rFonts w:ascii="Times New Roman"/>
                <w:sz w:val="21"/>
                <w:szCs w:val="21"/>
              </w:rPr>
              <w:t>0.423</w:t>
            </w:r>
          </w:p>
        </w:tc>
        <w:tc>
          <w:tcPr>
            <w:tcW w:w="1143" w:type="dxa"/>
            <w:vAlign w:val="center"/>
          </w:tcPr>
          <w:p w14:paraId="0E69B687" w14:textId="77777777" w:rsidR="009C353B" w:rsidRDefault="00000000">
            <w:pPr>
              <w:ind w:leftChars="34" w:left="82"/>
              <w:jc w:val="center"/>
              <w:rPr>
                <w:rFonts w:ascii="Times New Roman" w:hint="eastAsia"/>
                <w:sz w:val="21"/>
                <w:szCs w:val="21"/>
              </w:rPr>
            </w:pPr>
            <w:r>
              <w:rPr>
                <w:rFonts w:ascii="Times New Roman"/>
                <w:sz w:val="21"/>
                <w:szCs w:val="21"/>
              </w:rPr>
              <w:t>0.537</w:t>
            </w:r>
          </w:p>
        </w:tc>
      </w:tr>
      <w:tr w:rsidR="009C353B" w14:paraId="25159003" w14:textId="77777777">
        <w:trPr>
          <w:trHeight w:hRule="exact" w:val="370"/>
        </w:trPr>
        <w:tc>
          <w:tcPr>
            <w:tcW w:w="1418" w:type="dxa"/>
            <w:vMerge/>
            <w:vAlign w:val="center"/>
          </w:tcPr>
          <w:p w14:paraId="00C6109D" w14:textId="77777777" w:rsidR="009C353B" w:rsidRDefault="009C353B">
            <w:pPr>
              <w:jc w:val="center"/>
              <w:rPr>
                <w:rFonts w:ascii="Times New Roman" w:hint="eastAsia"/>
                <w:sz w:val="21"/>
                <w:szCs w:val="21"/>
              </w:rPr>
            </w:pPr>
          </w:p>
        </w:tc>
        <w:tc>
          <w:tcPr>
            <w:tcW w:w="992" w:type="dxa"/>
            <w:vAlign w:val="center"/>
          </w:tcPr>
          <w:p w14:paraId="4977F8AD" w14:textId="77777777" w:rsidR="009C353B" w:rsidRDefault="00000000">
            <w:pPr>
              <w:jc w:val="center"/>
              <w:rPr>
                <w:rFonts w:ascii="Times New Roman" w:hint="eastAsia"/>
                <w:sz w:val="21"/>
                <w:szCs w:val="21"/>
              </w:rPr>
            </w:pPr>
            <w:r>
              <w:rPr>
                <w:rFonts w:ascii="Times New Roman" w:hint="eastAsia"/>
                <w:sz w:val="21"/>
                <w:szCs w:val="21"/>
              </w:rPr>
              <w:t>11</w:t>
            </w:r>
            <w:r>
              <w:rPr>
                <w:rFonts w:ascii="Times New Roman"/>
                <w:sz w:val="21"/>
                <w:szCs w:val="21"/>
              </w:rPr>
              <w:t>#</w:t>
            </w:r>
          </w:p>
        </w:tc>
        <w:tc>
          <w:tcPr>
            <w:tcW w:w="1134" w:type="dxa"/>
            <w:vAlign w:val="center"/>
          </w:tcPr>
          <w:p w14:paraId="1A8BF40C" w14:textId="77777777" w:rsidR="009C353B" w:rsidRDefault="00000000">
            <w:pPr>
              <w:ind w:leftChars="34" w:left="82"/>
              <w:jc w:val="center"/>
              <w:rPr>
                <w:rFonts w:ascii="Times New Roman" w:hint="eastAsia"/>
                <w:sz w:val="21"/>
                <w:szCs w:val="21"/>
              </w:rPr>
            </w:pPr>
            <w:r>
              <w:rPr>
                <w:rFonts w:ascii="Times New Roman"/>
                <w:sz w:val="21"/>
                <w:szCs w:val="21"/>
              </w:rPr>
              <w:t>0.403</w:t>
            </w:r>
          </w:p>
        </w:tc>
        <w:tc>
          <w:tcPr>
            <w:tcW w:w="1134" w:type="dxa"/>
            <w:vAlign w:val="center"/>
          </w:tcPr>
          <w:p w14:paraId="061E1E38" w14:textId="77777777" w:rsidR="009C353B" w:rsidRDefault="00000000">
            <w:pPr>
              <w:ind w:leftChars="34" w:left="82"/>
              <w:jc w:val="center"/>
              <w:rPr>
                <w:rFonts w:ascii="Times New Roman" w:hint="eastAsia"/>
                <w:sz w:val="21"/>
                <w:szCs w:val="21"/>
              </w:rPr>
            </w:pPr>
            <w:r>
              <w:rPr>
                <w:rFonts w:ascii="Times New Roman"/>
                <w:sz w:val="21"/>
                <w:szCs w:val="21"/>
              </w:rPr>
              <w:t>0.46</w:t>
            </w:r>
            <w:r>
              <w:rPr>
                <w:rFonts w:ascii="Times New Roman" w:hint="eastAsia"/>
                <w:sz w:val="21"/>
                <w:szCs w:val="21"/>
              </w:rPr>
              <w:t>0</w:t>
            </w:r>
          </w:p>
        </w:tc>
        <w:tc>
          <w:tcPr>
            <w:tcW w:w="1134" w:type="dxa"/>
            <w:vAlign w:val="center"/>
          </w:tcPr>
          <w:p w14:paraId="4C7A041D" w14:textId="77777777" w:rsidR="009C353B" w:rsidRDefault="00000000">
            <w:pPr>
              <w:ind w:leftChars="34" w:left="82"/>
              <w:jc w:val="center"/>
              <w:rPr>
                <w:rFonts w:ascii="Times New Roman" w:hint="eastAsia"/>
                <w:sz w:val="21"/>
                <w:szCs w:val="21"/>
              </w:rPr>
            </w:pPr>
            <w:r>
              <w:rPr>
                <w:rFonts w:ascii="Times New Roman"/>
                <w:sz w:val="21"/>
                <w:szCs w:val="21"/>
              </w:rPr>
              <w:t>0.497</w:t>
            </w:r>
          </w:p>
        </w:tc>
        <w:tc>
          <w:tcPr>
            <w:tcW w:w="1133" w:type="dxa"/>
            <w:vAlign w:val="center"/>
          </w:tcPr>
          <w:p w14:paraId="7FFCA818" w14:textId="77777777" w:rsidR="009C353B" w:rsidRDefault="00000000">
            <w:pPr>
              <w:ind w:leftChars="34" w:left="82"/>
              <w:jc w:val="center"/>
              <w:rPr>
                <w:rFonts w:ascii="Times New Roman" w:hint="eastAsia"/>
                <w:sz w:val="21"/>
                <w:szCs w:val="21"/>
              </w:rPr>
            </w:pPr>
            <w:r>
              <w:rPr>
                <w:rFonts w:ascii="Times New Roman"/>
                <w:sz w:val="21"/>
                <w:szCs w:val="21"/>
              </w:rPr>
              <w:t>0.418</w:t>
            </w:r>
          </w:p>
        </w:tc>
        <w:tc>
          <w:tcPr>
            <w:tcW w:w="1185" w:type="dxa"/>
            <w:vAlign w:val="center"/>
          </w:tcPr>
          <w:p w14:paraId="1AC99F93" w14:textId="77777777" w:rsidR="009C353B" w:rsidRDefault="00000000">
            <w:pPr>
              <w:ind w:leftChars="34" w:left="82"/>
              <w:jc w:val="center"/>
              <w:rPr>
                <w:rFonts w:ascii="Times New Roman" w:hint="eastAsia"/>
                <w:sz w:val="21"/>
                <w:szCs w:val="21"/>
              </w:rPr>
            </w:pPr>
            <w:r>
              <w:rPr>
                <w:rFonts w:ascii="Times New Roman"/>
                <w:sz w:val="21"/>
                <w:szCs w:val="21"/>
              </w:rPr>
              <w:t>0.447</w:t>
            </w:r>
          </w:p>
        </w:tc>
        <w:tc>
          <w:tcPr>
            <w:tcW w:w="1143" w:type="dxa"/>
            <w:vAlign w:val="center"/>
          </w:tcPr>
          <w:p w14:paraId="43FB91CF" w14:textId="77777777" w:rsidR="009C353B" w:rsidRDefault="00000000">
            <w:pPr>
              <w:ind w:leftChars="34" w:left="82"/>
              <w:jc w:val="center"/>
              <w:rPr>
                <w:rFonts w:ascii="Times New Roman" w:hint="eastAsia"/>
                <w:sz w:val="21"/>
                <w:szCs w:val="21"/>
              </w:rPr>
            </w:pPr>
            <w:r>
              <w:rPr>
                <w:rFonts w:ascii="Times New Roman"/>
                <w:sz w:val="21"/>
                <w:szCs w:val="21"/>
              </w:rPr>
              <w:t>0.488</w:t>
            </w:r>
          </w:p>
        </w:tc>
      </w:tr>
      <w:tr w:rsidR="009C353B" w14:paraId="47390642" w14:textId="77777777">
        <w:trPr>
          <w:trHeight w:hRule="exact" w:val="370"/>
        </w:trPr>
        <w:tc>
          <w:tcPr>
            <w:tcW w:w="1418" w:type="dxa"/>
            <w:vMerge/>
            <w:vAlign w:val="center"/>
          </w:tcPr>
          <w:p w14:paraId="47428673" w14:textId="77777777" w:rsidR="009C353B" w:rsidRDefault="009C353B">
            <w:pPr>
              <w:jc w:val="center"/>
              <w:rPr>
                <w:rFonts w:ascii="Times New Roman" w:hint="eastAsia"/>
                <w:sz w:val="21"/>
                <w:szCs w:val="21"/>
              </w:rPr>
            </w:pPr>
          </w:p>
        </w:tc>
        <w:tc>
          <w:tcPr>
            <w:tcW w:w="992" w:type="dxa"/>
            <w:vAlign w:val="center"/>
          </w:tcPr>
          <w:p w14:paraId="5E2CCEEE" w14:textId="77777777" w:rsidR="009C353B" w:rsidRDefault="00000000">
            <w:pPr>
              <w:jc w:val="center"/>
              <w:rPr>
                <w:rFonts w:ascii="Times New Roman" w:hint="eastAsia"/>
                <w:sz w:val="21"/>
                <w:szCs w:val="21"/>
              </w:rPr>
            </w:pPr>
            <w:r>
              <w:rPr>
                <w:rFonts w:ascii="Times New Roman" w:hint="eastAsia"/>
                <w:sz w:val="21"/>
                <w:szCs w:val="21"/>
              </w:rPr>
              <w:t>12</w:t>
            </w:r>
            <w:r>
              <w:rPr>
                <w:rFonts w:ascii="Times New Roman"/>
                <w:sz w:val="21"/>
                <w:szCs w:val="21"/>
              </w:rPr>
              <w:t>#</w:t>
            </w:r>
          </w:p>
        </w:tc>
        <w:tc>
          <w:tcPr>
            <w:tcW w:w="1134" w:type="dxa"/>
            <w:vAlign w:val="center"/>
          </w:tcPr>
          <w:p w14:paraId="780B628A" w14:textId="77777777" w:rsidR="009C353B" w:rsidRDefault="00000000">
            <w:pPr>
              <w:ind w:leftChars="34" w:left="82"/>
              <w:jc w:val="center"/>
              <w:rPr>
                <w:rFonts w:ascii="Times New Roman" w:hint="eastAsia"/>
                <w:sz w:val="21"/>
                <w:szCs w:val="21"/>
              </w:rPr>
            </w:pPr>
            <w:r>
              <w:rPr>
                <w:rFonts w:ascii="Times New Roman"/>
                <w:sz w:val="21"/>
                <w:szCs w:val="21"/>
              </w:rPr>
              <w:t>0.45</w:t>
            </w:r>
            <w:r>
              <w:rPr>
                <w:rFonts w:ascii="Times New Roman" w:hint="eastAsia"/>
                <w:sz w:val="21"/>
                <w:szCs w:val="21"/>
              </w:rPr>
              <w:t>0</w:t>
            </w:r>
          </w:p>
        </w:tc>
        <w:tc>
          <w:tcPr>
            <w:tcW w:w="1134" w:type="dxa"/>
            <w:vAlign w:val="center"/>
          </w:tcPr>
          <w:p w14:paraId="67D03F6B" w14:textId="77777777" w:rsidR="009C353B" w:rsidRDefault="00000000">
            <w:pPr>
              <w:ind w:leftChars="34" w:left="82"/>
              <w:jc w:val="center"/>
              <w:rPr>
                <w:rFonts w:ascii="Times New Roman" w:hint="eastAsia"/>
                <w:sz w:val="21"/>
                <w:szCs w:val="21"/>
              </w:rPr>
            </w:pPr>
            <w:r>
              <w:rPr>
                <w:rFonts w:ascii="Times New Roman"/>
                <w:sz w:val="21"/>
                <w:szCs w:val="21"/>
              </w:rPr>
              <w:t>0.405</w:t>
            </w:r>
          </w:p>
        </w:tc>
        <w:tc>
          <w:tcPr>
            <w:tcW w:w="1134" w:type="dxa"/>
            <w:vAlign w:val="center"/>
          </w:tcPr>
          <w:p w14:paraId="3B1DCC4E" w14:textId="77777777" w:rsidR="009C353B" w:rsidRDefault="00000000">
            <w:pPr>
              <w:ind w:leftChars="34" w:left="82"/>
              <w:jc w:val="center"/>
              <w:rPr>
                <w:rFonts w:ascii="Times New Roman" w:hint="eastAsia"/>
                <w:sz w:val="21"/>
                <w:szCs w:val="21"/>
              </w:rPr>
            </w:pPr>
            <w:r>
              <w:rPr>
                <w:rFonts w:ascii="Times New Roman"/>
                <w:sz w:val="21"/>
                <w:szCs w:val="21"/>
              </w:rPr>
              <w:t>0.415</w:t>
            </w:r>
          </w:p>
        </w:tc>
        <w:tc>
          <w:tcPr>
            <w:tcW w:w="1133" w:type="dxa"/>
            <w:vAlign w:val="center"/>
          </w:tcPr>
          <w:p w14:paraId="01339D6A" w14:textId="77777777" w:rsidR="009C353B" w:rsidRDefault="00000000">
            <w:pPr>
              <w:ind w:leftChars="34" w:left="82"/>
              <w:jc w:val="center"/>
              <w:rPr>
                <w:rFonts w:ascii="Times New Roman" w:hint="eastAsia"/>
                <w:sz w:val="21"/>
                <w:szCs w:val="21"/>
              </w:rPr>
            </w:pPr>
            <w:r>
              <w:rPr>
                <w:rFonts w:ascii="Times New Roman"/>
                <w:sz w:val="21"/>
                <w:szCs w:val="21"/>
              </w:rPr>
              <w:t>0.448</w:t>
            </w:r>
          </w:p>
        </w:tc>
        <w:tc>
          <w:tcPr>
            <w:tcW w:w="1185" w:type="dxa"/>
            <w:vAlign w:val="center"/>
          </w:tcPr>
          <w:p w14:paraId="342A8D27" w14:textId="77777777" w:rsidR="009C353B" w:rsidRDefault="00000000">
            <w:pPr>
              <w:ind w:leftChars="34" w:left="82"/>
              <w:jc w:val="center"/>
              <w:rPr>
                <w:rFonts w:ascii="Times New Roman" w:hint="eastAsia"/>
                <w:sz w:val="21"/>
                <w:szCs w:val="21"/>
              </w:rPr>
            </w:pPr>
            <w:r>
              <w:rPr>
                <w:rFonts w:ascii="Times New Roman"/>
                <w:sz w:val="21"/>
                <w:szCs w:val="21"/>
              </w:rPr>
              <w:t>0.547</w:t>
            </w:r>
          </w:p>
        </w:tc>
        <w:tc>
          <w:tcPr>
            <w:tcW w:w="1143" w:type="dxa"/>
            <w:vAlign w:val="center"/>
          </w:tcPr>
          <w:p w14:paraId="5F75D9FF" w14:textId="77777777" w:rsidR="009C353B" w:rsidRDefault="00000000">
            <w:pPr>
              <w:ind w:leftChars="34" w:left="82"/>
              <w:jc w:val="center"/>
              <w:rPr>
                <w:rFonts w:ascii="Times New Roman" w:hint="eastAsia"/>
                <w:sz w:val="21"/>
                <w:szCs w:val="21"/>
              </w:rPr>
            </w:pPr>
            <w:r>
              <w:rPr>
                <w:rFonts w:ascii="Times New Roman"/>
                <w:sz w:val="21"/>
                <w:szCs w:val="21"/>
              </w:rPr>
              <w:t>0.487</w:t>
            </w:r>
          </w:p>
        </w:tc>
      </w:tr>
      <w:tr w:rsidR="009C353B" w14:paraId="1BE4D536" w14:textId="77777777">
        <w:trPr>
          <w:trHeight w:hRule="exact" w:val="370"/>
        </w:trPr>
        <w:tc>
          <w:tcPr>
            <w:tcW w:w="2410" w:type="dxa"/>
            <w:gridSpan w:val="2"/>
            <w:vAlign w:val="center"/>
          </w:tcPr>
          <w:p w14:paraId="71B1E272" w14:textId="77777777" w:rsidR="009C353B" w:rsidRDefault="00000000">
            <w:pPr>
              <w:jc w:val="center"/>
              <w:rPr>
                <w:rFonts w:ascii="Times New Roman" w:hAnsi="Times New Roman"/>
                <w:sz w:val="21"/>
                <w:szCs w:val="21"/>
              </w:rPr>
            </w:pPr>
            <w:r>
              <w:rPr>
                <w:rFonts w:ascii="Times New Roman"/>
                <w:sz w:val="21"/>
                <w:szCs w:val="21"/>
              </w:rPr>
              <w:t>监测时间</w:t>
            </w:r>
          </w:p>
        </w:tc>
        <w:tc>
          <w:tcPr>
            <w:tcW w:w="3402" w:type="dxa"/>
            <w:gridSpan w:val="3"/>
            <w:vAlign w:val="center"/>
          </w:tcPr>
          <w:p w14:paraId="504932C3" w14:textId="77777777" w:rsidR="009C353B" w:rsidRDefault="00000000">
            <w:pPr>
              <w:jc w:val="center"/>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7</w:t>
            </w:r>
            <w:r>
              <w:rPr>
                <w:rFonts w:ascii="Times New Roman" w:hAnsi="Times New Roman" w:hint="eastAsia"/>
                <w:sz w:val="21"/>
                <w:szCs w:val="21"/>
              </w:rPr>
              <w:t>日</w:t>
            </w:r>
          </w:p>
        </w:tc>
        <w:tc>
          <w:tcPr>
            <w:tcW w:w="3461" w:type="dxa"/>
            <w:gridSpan w:val="3"/>
            <w:vAlign w:val="center"/>
          </w:tcPr>
          <w:p w14:paraId="232D4CB7" w14:textId="77777777" w:rsidR="009C353B" w:rsidRDefault="00000000">
            <w:pPr>
              <w:jc w:val="center"/>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8</w:t>
            </w:r>
            <w:r>
              <w:rPr>
                <w:rFonts w:ascii="Times New Roman" w:hAnsi="Times New Roman" w:hint="eastAsia"/>
                <w:sz w:val="21"/>
                <w:szCs w:val="21"/>
              </w:rPr>
              <w:t>日</w:t>
            </w:r>
          </w:p>
        </w:tc>
      </w:tr>
      <w:tr w:rsidR="009C353B" w14:paraId="4986BCCD" w14:textId="77777777">
        <w:trPr>
          <w:trHeight w:hRule="exact" w:val="370"/>
        </w:trPr>
        <w:tc>
          <w:tcPr>
            <w:tcW w:w="1418" w:type="dxa"/>
            <w:vMerge w:val="restart"/>
            <w:vAlign w:val="center"/>
          </w:tcPr>
          <w:p w14:paraId="34D42C18" w14:textId="77777777" w:rsidR="009C353B" w:rsidRDefault="00000000">
            <w:pPr>
              <w:jc w:val="center"/>
              <w:rPr>
                <w:rFonts w:ascii="Times New Roman" w:hint="eastAsia"/>
                <w:sz w:val="21"/>
                <w:szCs w:val="21"/>
              </w:rPr>
            </w:pPr>
            <w:r>
              <w:rPr>
                <w:rFonts w:ascii="Times New Roman" w:hint="eastAsia"/>
                <w:sz w:val="21"/>
                <w:szCs w:val="21"/>
              </w:rPr>
              <w:t>红石湾</w:t>
            </w:r>
          </w:p>
          <w:p w14:paraId="4AAC6664" w14:textId="77777777" w:rsidR="009C353B" w:rsidRDefault="00000000">
            <w:pPr>
              <w:jc w:val="center"/>
              <w:rPr>
                <w:rFonts w:ascii="Times New Roman" w:hint="eastAsia"/>
                <w:sz w:val="21"/>
                <w:szCs w:val="21"/>
              </w:rPr>
            </w:pPr>
            <w:r>
              <w:rPr>
                <w:rFonts w:ascii="Times New Roman" w:hint="eastAsia"/>
                <w:sz w:val="21"/>
                <w:szCs w:val="21"/>
              </w:rPr>
              <w:t>工业场地</w:t>
            </w:r>
          </w:p>
        </w:tc>
        <w:tc>
          <w:tcPr>
            <w:tcW w:w="992" w:type="dxa"/>
            <w:vAlign w:val="center"/>
          </w:tcPr>
          <w:p w14:paraId="52E0E3B7" w14:textId="77777777" w:rsidR="009C353B" w:rsidRDefault="00000000">
            <w:pPr>
              <w:ind w:leftChars="34" w:left="82"/>
              <w:jc w:val="center"/>
              <w:rPr>
                <w:rFonts w:ascii="Times New Roman" w:hint="eastAsia"/>
                <w:sz w:val="21"/>
                <w:szCs w:val="21"/>
              </w:rPr>
            </w:pPr>
            <w:r>
              <w:rPr>
                <w:rFonts w:ascii="Times New Roman"/>
                <w:sz w:val="21"/>
                <w:szCs w:val="21"/>
              </w:rPr>
              <w:t>13#</w:t>
            </w:r>
          </w:p>
        </w:tc>
        <w:tc>
          <w:tcPr>
            <w:tcW w:w="1134" w:type="dxa"/>
            <w:vAlign w:val="center"/>
          </w:tcPr>
          <w:p w14:paraId="188CD812" w14:textId="77777777" w:rsidR="009C353B" w:rsidRDefault="00000000">
            <w:pPr>
              <w:ind w:leftChars="34" w:left="82"/>
              <w:jc w:val="center"/>
              <w:rPr>
                <w:rFonts w:ascii="Times New Roman" w:hint="eastAsia"/>
                <w:sz w:val="21"/>
                <w:szCs w:val="21"/>
              </w:rPr>
            </w:pPr>
            <w:r>
              <w:rPr>
                <w:rFonts w:ascii="Times New Roman"/>
                <w:sz w:val="21"/>
                <w:szCs w:val="21"/>
              </w:rPr>
              <w:t>0.343</w:t>
            </w:r>
          </w:p>
        </w:tc>
        <w:tc>
          <w:tcPr>
            <w:tcW w:w="1134" w:type="dxa"/>
            <w:vAlign w:val="center"/>
          </w:tcPr>
          <w:p w14:paraId="6E49F64A" w14:textId="77777777" w:rsidR="009C353B" w:rsidRDefault="00000000">
            <w:pPr>
              <w:ind w:leftChars="34" w:left="82"/>
              <w:jc w:val="center"/>
              <w:rPr>
                <w:rFonts w:ascii="Times New Roman" w:hint="eastAsia"/>
                <w:sz w:val="21"/>
                <w:szCs w:val="21"/>
              </w:rPr>
            </w:pPr>
            <w:r>
              <w:rPr>
                <w:rFonts w:ascii="Times New Roman"/>
                <w:sz w:val="21"/>
                <w:szCs w:val="21"/>
              </w:rPr>
              <w:t>0.263</w:t>
            </w:r>
          </w:p>
        </w:tc>
        <w:tc>
          <w:tcPr>
            <w:tcW w:w="1134" w:type="dxa"/>
            <w:vAlign w:val="center"/>
          </w:tcPr>
          <w:p w14:paraId="267A673A" w14:textId="77777777" w:rsidR="009C353B" w:rsidRDefault="00000000">
            <w:pPr>
              <w:ind w:leftChars="34" w:left="82"/>
              <w:jc w:val="center"/>
              <w:rPr>
                <w:rFonts w:ascii="Times New Roman" w:hint="eastAsia"/>
                <w:sz w:val="21"/>
                <w:szCs w:val="21"/>
              </w:rPr>
            </w:pPr>
            <w:r>
              <w:rPr>
                <w:rFonts w:ascii="Times New Roman"/>
                <w:sz w:val="21"/>
                <w:szCs w:val="21"/>
              </w:rPr>
              <w:t>0.36</w:t>
            </w:r>
            <w:r>
              <w:rPr>
                <w:rFonts w:ascii="Times New Roman" w:hint="eastAsia"/>
                <w:sz w:val="21"/>
                <w:szCs w:val="21"/>
              </w:rPr>
              <w:t>0</w:t>
            </w:r>
          </w:p>
        </w:tc>
        <w:tc>
          <w:tcPr>
            <w:tcW w:w="1133" w:type="dxa"/>
            <w:vAlign w:val="center"/>
          </w:tcPr>
          <w:p w14:paraId="40D6D6BD" w14:textId="77777777" w:rsidR="009C353B" w:rsidRDefault="00000000">
            <w:pPr>
              <w:ind w:leftChars="34" w:left="82"/>
              <w:jc w:val="center"/>
              <w:rPr>
                <w:rFonts w:ascii="Times New Roman" w:hint="eastAsia"/>
                <w:sz w:val="21"/>
                <w:szCs w:val="21"/>
              </w:rPr>
            </w:pPr>
            <w:r>
              <w:rPr>
                <w:rFonts w:ascii="Times New Roman"/>
                <w:sz w:val="21"/>
                <w:szCs w:val="21"/>
              </w:rPr>
              <w:t>0.308</w:t>
            </w:r>
          </w:p>
        </w:tc>
        <w:tc>
          <w:tcPr>
            <w:tcW w:w="1185" w:type="dxa"/>
            <w:vAlign w:val="center"/>
          </w:tcPr>
          <w:p w14:paraId="0CF8F31F" w14:textId="77777777" w:rsidR="009C353B" w:rsidRDefault="00000000">
            <w:pPr>
              <w:ind w:leftChars="34" w:left="82"/>
              <w:jc w:val="center"/>
              <w:rPr>
                <w:rFonts w:ascii="Times New Roman" w:hint="eastAsia"/>
                <w:sz w:val="21"/>
                <w:szCs w:val="21"/>
              </w:rPr>
            </w:pPr>
            <w:r>
              <w:rPr>
                <w:rFonts w:ascii="Times New Roman"/>
                <w:sz w:val="21"/>
                <w:szCs w:val="21"/>
              </w:rPr>
              <w:t>0.335</w:t>
            </w:r>
          </w:p>
        </w:tc>
        <w:tc>
          <w:tcPr>
            <w:tcW w:w="1143" w:type="dxa"/>
            <w:vAlign w:val="center"/>
          </w:tcPr>
          <w:p w14:paraId="4593934D" w14:textId="77777777" w:rsidR="009C353B" w:rsidRDefault="00000000">
            <w:pPr>
              <w:ind w:leftChars="34" w:left="82"/>
              <w:jc w:val="center"/>
              <w:rPr>
                <w:rFonts w:ascii="Times New Roman" w:hint="eastAsia"/>
                <w:sz w:val="21"/>
                <w:szCs w:val="21"/>
              </w:rPr>
            </w:pPr>
            <w:r>
              <w:rPr>
                <w:rFonts w:ascii="Times New Roman"/>
                <w:sz w:val="21"/>
                <w:szCs w:val="21"/>
              </w:rPr>
              <w:t>0.398</w:t>
            </w:r>
          </w:p>
        </w:tc>
      </w:tr>
      <w:tr w:rsidR="009C353B" w14:paraId="0EBC7F57" w14:textId="77777777">
        <w:trPr>
          <w:trHeight w:hRule="exact" w:val="370"/>
        </w:trPr>
        <w:tc>
          <w:tcPr>
            <w:tcW w:w="1418" w:type="dxa"/>
            <w:vMerge/>
            <w:vAlign w:val="center"/>
          </w:tcPr>
          <w:p w14:paraId="5105D76B" w14:textId="77777777" w:rsidR="009C353B" w:rsidRDefault="009C353B">
            <w:pPr>
              <w:jc w:val="center"/>
              <w:rPr>
                <w:rFonts w:ascii="Times New Roman" w:hint="eastAsia"/>
                <w:sz w:val="21"/>
                <w:szCs w:val="21"/>
              </w:rPr>
            </w:pPr>
          </w:p>
        </w:tc>
        <w:tc>
          <w:tcPr>
            <w:tcW w:w="992" w:type="dxa"/>
            <w:vAlign w:val="center"/>
          </w:tcPr>
          <w:p w14:paraId="682600A1" w14:textId="77777777" w:rsidR="009C353B" w:rsidRDefault="00000000">
            <w:pPr>
              <w:jc w:val="center"/>
              <w:rPr>
                <w:rFonts w:ascii="Times New Roman" w:hint="eastAsia"/>
                <w:sz w:val="21"/>
                <w:szCs w:val="21"/>
              </w:rPr>
            </w:pPr>
            <w:r>
              <w:rPr>
                <w:rFonts w:ascii="Times New Roman"/>
                <w:sz w:val="21"/>
                <w:szCs w:val="21"/>
              </w:rPr>
              <w:t>14#</w:t>
            </w:r>
          </w:p>
        </w:tc>
        <w:tc>
          <w:tcPr>
            <w:tcW w:w="1134" w:type="dxa"/>
            <w:vAlign w:val="center"/>
          </w:tcPr>
          <w:p w14:paraId="14F31BC0" w14:textId="77777777" w:rsidR="009C353B" w:rsidRDefault="00000000">
            <w:pPr>
              <w:ind w:leftChars="34" w:left="82"/>
              <w:jc w:val="center"/>
              <w:rPr>
                <w:rFonts w:ascii="Times New Roman" w:hint="eastAsia"/>
                <w:sz w:val="21"/>
                <w:szCs w:val="21"/>
              </w:rPr>
            </w:pPr>
            <w:r>
              <w:rPr>
                <w:rFonts w:ascii="Times New Roman"/>
                <w:sz w:val="21"/>
                <w:szCs w:val="21"/>
              </w:rPr>
              <w:t>0.482</w:t>
            </w:r>
          </w:p>
        </w:tc>
        <w:tc>
          <w:tcPr>
            <w:tcW w:w="1134" w:type="dxa"/>
            <w:vAlign w:val="center"/>
          </w:tcPr>
          <w:p w14:paraId="4D7C4082" w14:textId="77777777" w:rsidR="009C353B" w:rsidRDefault="00000000">
            <w:pPr>
              <w:ind w:leftChars="34" w:left="82"/>
              <w:jc w:val="center"/>
              <w:rPr>
                <w:rFonts w:ascii="Times New Roman" w:hint="eastAsia"/>
                <w:sz w:val="21"/>
                <w:szCs w:val="21"/>
              </w:rPr>
            </w:pPr>
            <w:r>
              <w:rPr>
                <w:rFonts w:ascii="Times New Roman"/>
                <w:sz w:val="21"/>
                <w:szCs w:val="21"/>
              </w:rPr>
              <w:t>0.44</w:t>
            </w:r>
            <w:r>
              <w:rPr>
                <w:rFonts w:ascii="Times New Roman" w:hint="eastAsia"/>
                <w:sz w:val="21"/>
                <w:szCs w:val="21"/>
              </w:rPr>
              <w:t>0</w:t>
            </w:r>
          </w:p>
        </w:tc>
        <w:tc>
          <w:tcPr>
            <w:tcW w:w="1134" w:type="dxa"/>
            <w:vAlign w:val="center"/>
          </w:tcPr>
          <w:p w14:paraId="32C39810" w14:textId="77777777" w:rsidR="009C353B" w:rsidRDefault="00000000">
            <w:pPr>
              <w:ind w:leftChars="34" w:left="82"/>
              <w:jc w:val="center"/>
              <w:rPr>
                <w:rFonts w:ascii="Times New Roman" w:hint="eastAsia"/>
                <w:sz w:val="21"/>
                <w:szCs w:val="21"/>
              </w:rPr>
            </w:pPr>
            <w:r>
              <w:rPr>
                <w:rFonts w:ascii="Times New Roman"/>
                <w:sz w:val="21"/>
                <w:szCs w:val="21"/>
              </w:rPr>
              <w:t>0.39</w:t>
            </w:r>
            <w:r>
              <w:rPr>
                <w:rFonts w:ascii="Times New Roman" w:hint="eastAsia"/>
                <w:sz w:val="21"/>
                <w:szCs w:val="21"/>
              </w:rPr>
              <w:t>0</w:t>
            </w:r>
          </w:p>
        </w:tc>
        <w:tc>
          <w:tcPr>
            <w:tcW w:w="1133" w:type="dxa"/>
            <w:vAlign w:val="center"/>
          </w:tcPr>
          <w:p w14:paraId="14AD79AD" w14:textId="77777777" w:rsidR="009C353B" w:rsidRDefault="00000000">
            <w:pPr>
              <w:ind w:leftChars="34" w:left="82"/>
              <w:jc w:val="center"/>
              <w:rPr>
                <w:rFonts w:ascii="Times New Roman" w:hint="eastAsia"/>
                <w:sz w:val="21"/>
                <w:szCs w:val="21"/>
              </w:rPr>
            </w:pPr>
            <w:r>
              <w:rPr>
                <w:rFonts w:ascii="Times New Roman"/>
                <w:sz w:val="21"/>
                <w:szCs w:val="21"/>
              </w:rPr>
              <w:t>0.483</w:t>
            </w:r>
          </w:p>
        </w:tc>
        <w:tc>
          <w:tcPr>
            <w:tcW w:w="1185" w:type="dxa"/>
            <w:vAlign w:val="center"/>
          </w:tcPr>
          <w:p w14:paraId="5E21AFD9" w14:textId="77777777" w:rsidR="009C353B" w:rsidRDefault="00000000">
            <w:pPr>
              <w:ind w:leftChars="34" w:left="82"/>
              <w:jc w:val="center"/>
              <w:rPr>
                <w:rFonts w:ascii="Times New Roman" w:hint="eastAsia"/>
                <w:sz w:val="21"/>
                <w:szCs w:val="21"/>
              </w:rPr>
            </w:pPr>
            <w:r>
              <w:rPr>
                <w:rFonts w:ascii="Times New Roman"/>
                <w:sz w:val="21"/>
                <w:szCs w:val="21"/>
              </w:rPr>
              <w:t>0.543</w:t>
            </w:r>
          </w:p>
        </w:tc>
        <w:tc>
          <w:tcPr>
            <w:tcW w:w="1143" w:type="dxa"/>
            <w:vAlign w:val="center"/>
          </w:tcPr>
          <w:p w14:paraId="4D63F50B" w14:textId="77777777" w:rsidR="009C353B" w:rsidRDefault="00000000">
            <w:pPr>
              <w:ind w:leftChars="34" w:left="82"/>
              <w:jc w:val="center"/>
              <w:rPr>
                <w:rFonts w:ascii="Times New Roman" w:hint="eastAsia"/>
                <w:sz w:val="21"/>
                <w:szCs w:val="21"/>
              </w:rPr>
            </w:pPr>
            <w:r>
              <w:rPr>
                <w:rFonts w:ascii="Times New Roman"/>
                <w:sz w:val="21"/>
                <w:szCs w:val="21"/>
              </w:rPr>
              <w:t>0.463</w:t>
            </w:r>
          </w:p>
        </w:tc>
      </w:tr>
      <w:tr w:rsidR="009C353B" w14:paraId="4A4313D0" w14:textId="77777777">
        <w:trPr>
          <w:trHeight w:hRule="exact" w:val="370"/>
        </w:trPr>
        <w:tc>
          <w:tcPr>
            <w:tcW w:w="1418" w:type="dxa"/>
            <w:vMerge/>
            <w:vAlign w:val="center"/>
          </w:tcPr>
          <w:p w14:paraId="706DE5FF" w14:textId="77777777" w:rsidR="009C353B" w:rsidRDefault="009C353B">
            <w:pPr>
              <w:jc w:val="center"/>
              <w:rPr>
                <w:rFonts w:ascii="Times New Roman" w:hint="eastAsia"/>
                <w:sz w:val="21"/>
                <w:szCs w:val="21"/>
              </w:rPr>
            </w:pPr>
          </w:p>
        </w:tc>
        <w:tc>
          <w:tcPr>
            <w:tcW w:w="992" w:type="dxa"/>
            <w:vAlign w:val="center"/>
          </w:tcPr>
          <w:p w14:paraId="431D6D16" w14:textId="77777777" w:rsidR="009C353B" w:rsidRDefault="00000000">
            <w:pPr>
              <w:jc w:val="center"/>
              <w:rPr>
                <w:rFonts w:ascii="Times New Roman" w:hint="eastAsia"/>
                <w:sz w:val="21"/>
                <w:szCs w:val="21"/>
              </w:rPr>
            </w:pPr>
            <w:r>
              <w:rPr>
                <w:rFonts w:ascii="Times New Roman"/>
                <w:sz w:val="21"/>
                <w:szCs w:val="21"/>
              </w:rPr>
              <w:t>15#</w:t>
            </w:r>
          </w:p>
        </w:tc>
        <w:tc>
          <w:tcPr>
            <w:tcW w:w="1134" w:type="dxa"/>
            <w:vAlign w:val="center"/>
          </w:tcPr>
          <w:p w14:paraId="5AEEABCC" w14:textId="77777777" w:rsidR="009C353B" w:rsidRDefault="00000000">
            <w:pPr>
              <w:ind w:leftChars="34" w:left="82"/>
              <w:jc w:val="center"/>
              <w:rPr>
                <w:rFonts w:ascii="Times New Roman" w:hint="eastAsia"/>
                <w:sz w:val="21"/>
                <w:szCs w:val="21"/>
              </w:rPr>
            </w:pPr>
            <w:r>
              <w:rPr>
                <w:rFonts w:ascii="Times New Roman"/>
                <w:sz w:val="21"/>
                <w:szCs w:val="21"/>
              </w:rPr>
              <w:t>0.465</w:t>
            </w:r>
          </w:p>
        </w:tc>
        <w:tc>
          <w:tcPr>
            <w:tcW w:w="1134" w:type="dxa"/>
            <w:vAlign w:val="center"/>
          </w:tcPr>
          <w:p w14:paraId="1141A3E7" w14:textId="77777777" w:rsidR="009C353B" w:rsidRDefault="00000000">
            <w:pPr>
              <w:ind w:leftChars="34" w:left="82"/>
              <w:jc w:val="center"/>
              <w:rPr>
                <w:rFonts w:ascii="Times New Roman" w:hint="eastAsia"/>
                <w:sz w:val="21"/>
                <w:szCs w:val="21"/>
              </w:rPr>
            </w:pPr>
            <w:r>
              <w:rPr>
                <w:rFonts w:ascii="Times New Roman"/>
                <w:sz w:val="21"/>
                <w:szCs w:val="21"/>
              </w:rPr>
              <w:t>0.447</w:t>
            </w:r>
          </w:p>
        </w:tc>
        <w:tc>
          <w:tcPr>
            <w:tcW w:w="1134" w:type="dxa"/>
            <w:vAlign w:val="center"/>
          </w:tcPr>
          <w:p w14:paraId="1E3992E3" w14:textId="77777777" w:rsidR="009C353B" w:rsidRDefault="00000000">
            <w:pPr>
              <w:ind w:leftChars="34" w:left="82"/>
              <w:jc w:val="center"/>
              <w:rPr>
                <w:rFonts w:ascii="Times New Roman" w:hint="eastAsia"/>
                <w:sz w:val="21"/>
                <w:szCs w:val="21"/>
              </w:rPr>
            </w:pPr>
            <w:r>
              <w:rPr>
                <w:rFonts w:ascii="Times New Roman"/>
                <w:sz w:val="21"/>
                <w:szCs w:val="21"/>
              </w:rPr>
              <w:t>0.415</w:t>
            </w:r>
          </w:p>
        </w:tc>
        <w:tc>
          <w:tcPr>
            <w:tcW w:w="1133" w:type="dxa"/>
            <w:vAlign w:val="center"/>
          </w:tcPr>
          <w:p w14:paraId="21C4CA43" w14:textId="77777777" w:rsidR="009C353B" w:rsidRDefault="00000000">
            <w:pPr>
              <w:ind w:leftChars="34" w:left="82"/>
              <w:jc w:val="center"/>
              <w:rPr>
                <w:rFonts w:ascii="Times New Roman" w:hint="eastAsia"/>
                <w:sz w:val="21"/>
                <w:szCs w:val="21"/>
              </w:rPr>
            </w:pPr>
            <w:r>
              <w:rPr>
                <w:rFonts w:ascii="Times New Roman"/>
                <w:sz w:val="21"/>
                <w:szCs w:val="21"/>
              </w:rPr>
              <w:t>0.423</w:t>
            </w:r>
          </w:p>
        </w:tc>
        <w:tc>
          <w:tcPr>
            <w:tcW w:w="1185" w:type="dxa"/>
            <w:vAlign w:val="center"/>
          </w:tcPr>
          <w:p w14:paraId="15901DDF" w14:textId="77777777" w:rsidR="009C353B" w:rsidRDefault="00000000">
            <w:pPr>
              <w:ind w:leftChars="34" w:left="82"/>
              <w:jc w:val="center"/>
              <w:rPr>
                <w:rFonts w:ascii="Times New Roman" w:hint="eastAsia"/>
                <w:sz w:val="21"/>
                <w:szCs w:val="21"/>
              </w:rPr>
            </w:pPr>
            <w:r>
              <w:rPr>
                <w:rFonts w:ascii="Times New Roman"/>
                <w:sz w:val="21"/>
                <w:szCs w:val="21"/>
              </w:rPr>
              <w:t>0.543</w:t>
            </w:r>
          </w:p>
        </w:tc>
        <w:tc>
          <w:tcPr>
            <w:tcW w:w="1143" w:type="dxa"/>
            <w:vAlign w:val="center"/>
          </w:tcPr>
          <w:p w14:paraId="54D6A9F6" w14:textId="77777777" w:rsidR="009C353B" w:rsidRDefault="00000000">
            <w:pPr>
              <w:ind w:leftChars="34" w:left="82"/>
              <w:jc w:val="center"/>
              <w:rPr>
                <w:rFonts w:ascii="Times New Roman" w:hint="eastAsia"/>
                <w:sz w:val="21"/>
                <w:szCs w:val="21"/>
              </w:rPr>
            </w:pPr>
            <w:r>
              <w:rPr>
                <w:rFonts w:ascii="Times New Roman"/>
                <w:sz w:val="21"/>
                <w:szCs w:val="21"/>
              </w:rPr>
              <w:t>0.518</w:t>
            </w:r>
          </w:p>
        </w:tc>
      </w:tr>
      <w:tr w:rsidR="009C353B" w14:paraId="3C509BD6" w14:textId="77777777">
        <w:trPr>
          <w:trHeight w:hRule="exact" w:val="370"/>
        </w:trPr>
        <w:tc>
          <w:tcPr>
            <w:tcW w:w="1418" w:type="dxa"/>
            <w:vMerge/>
            <w:vAlign w:val="center"/>
          </w:tcPr>
          <w:p w14:paraId="0A5BFD6A" w14:textId="77777777" w:rsidR="009C353B" w:rsidRDefault="009C353B">
            <w:pPr>
              <w:jc w:val="center"/>
              <w:rPr>
                <w:rFonts w:ascii="Times New Roman" w:hint="eastAsia"/>
                <w:sz w:val="21"/>
                <w:szCs w:val="21"/>
              </w:rPr>
            </w:pPr>
          </w:p>
        </w:tc>
        <w:tc>
          <w:tcPr>
            <w:tcW w:w="992" w:type="dxa"/>
            <w:vAlign w:val="center"/>
          </w:tcPr>
          <w:p w14:paraId="06157FBD" w14:textId="77777777" w:rsidR="009C353B" w:rsidRDefault="00000000">
            <w:pPr>
              <w:jc w:val="center"/>
              <w:rPr>
                <w:rFonts w:ascii="Times New Roman" w:hint="eastAsia"/>
                <w:sz w:val="21"/>
                <w:szCs w:val="21"/>
              </w:rPr>
            </w:pPr>
            <w:r>
              <w:rPr>
                <w:rFonts w:ascii="Times New Roman"/>
                <w:sz w:val="21"/>
                <w:szCs w:val="21"/>
              </w:rPr>
              <w:t>16#</w:t>
            </w:r>
          </w:p>
        </w:tc>
        <w:tc>
          <w:tcPr>
            <w:tcW w:w="1134" w:type="dxa"/>
            <w:vAlign w:val="center"/>
          </w:tcPr>
          <w:p w14:paraId="01D219EE" w14:textId="77777777" w:rsidR="009C353B" w:rsidRDefault="00000000">
            <w:pPr>
              <w:ind w:leftChars="34" w:left="82"/>
              <w:jc w:val="center"/>
              <w:rPr>
                <w:rFonts w:ascii="Times New Roman" w:hint="eastAsia"/>
                <w:sz w:val="21"/>
                <w:szCs w:val="21"/>
              </w:rPr>
            </w:pPr>
            <w:r>
              <w:rPr>
                <w:rFonts w:ascii="Times New Roman"/>
                <w:sz w:val="21"/>
                <w:szCs w:val="21"/>
              </w:rPr>
              <w:t>0.497</w:t>
            </w:r>
          </w:p>
        </w:tc>
        <w:tc>
          <w:tcPr>
            <w:tcW w:w="1134" w:type="dxa"/>
            <w:vAlign w:val="center"/>
          </w:tcPr>
          <w:p w14:paraId="74396FA3" w14:textId="77777777" w:rsidR="009C353B" w:rsidRDefault="00000000">
            <w:pPr>
              <w:ind w:leftChars="34" w:left="82"/>
              <w:jc w:val="center"/>
              <w:rPr>
                <w:rFonts w:ascii="Times New Roman" w:hint="eastAsia"/>
                <w:sz w:val="21"/>
                <w:szCs w:val="21"/>
              </w:rPr>
            </w:pPr>
            <w:r>
              <w:rPr>
                <w:rFonts w:ascii="Times New Roman"/>
                <w:sz w:val="21"/>
                <w:szCs w:val="21"/>
              </w:rPr>
              <w:t>0.527</w:t>
            </w:r>
          </w:p>
        </w:tc>
        <w:tc>
          <w:tcPr>
            <w:tcW w:w="1134" w:type="dxa"/>
            <w:vAlign w:val="center"/>
          </w:tcPr>
          <w:p w14:paraId="5A7CB88D" w14:textId="77777777" w:rsidR="009C353B" w:rsidRDefault="00000000">
            <w:pPr>
              <w:ind w:leftChars="34" w:left="82"/>
              <w:jc w:val="center"/>
              <w:rPr>
                <w:rFonts w:ascii="Times New Roman" w:hint="eastAsia"/>
                <w:sz w:val="21"/>
                <w:szCs w:val="21"/>
              </w:rPr>
            </w:pPr>
            <w:r>
              <w:rPr>
                <w:rFonts w:ascii="Times New Roman"/>
                <w:sz w:val="21"/>
                <w:szCs w:val="21"/>
              </w:rPr>
              <w:t>0.467</w:t>
            </w:r>
          </w:p>
        </w:tc>
        <w:tc>
          <w:tcPr>
            <w:tcW w:w="1133" w:type="dxa"/>
            <w:vAlign w:val="center"/>
          </w:tcPr>
          <w:p w14:paraId="7DC0DF32" w14:textId="77777777" w:rsidR="009C353B" w:rsidRDefault="00000000">
            <w:pPr>
              <w:ind w:leftChars="34" w:left="82"/>
              <w:jc w:val="center"/>
              <w:rPr>
                <w:rFonts w:ascii="Times New Roman" w:hint="eastAsia"/>
                <w:sz w:val="21"/>
                <w:szCs w:val="21"/>
              </w:rPr>
            </w:pPr>
            <w:r>
              <w:rPr>
                <w:rFonts w:ascii="Times New Roman"/>
                <w:sz w:val="21"/>
                <w:szCs w:val="21"/>
              </w:rPr>
              <w:t>0.46</w:t>
            </w:r>
            <w:r>
              <w:rPr>
                <w:rFonts w:ascii="Times New Roman" w:hint="eastAsia"/>
                <w:sz w:val="21"/>
                <w:szCs w:val="21"/>
              </w:rPr>
              <w:t>0</w:t>
            </w:r>
          </w:p>
        </w:tc>
        <w:tc>
          <w:tcPr>
            <w:tcW w:w="1185" w:type="dxa"/>
            <w:vAlign w:val="center"/>
          </w:tcPr>
          <w:p w14:paraId="6B3F8988" w14:textId="77777777" w:rsidR="009C353B" w:rsidRDefault="00000000">
            <w:pPr>
              <w:ind w:leftChars="34" w:left="82"/>
              <w:jc w:val="center"/>
              <w:rPr>
                <w:rFonts w:ascii="Times New Roman" w:hint="eastAsia"/>
                <w:sz w:val="21"/>
                <w:szCs w:val="21"/>
              </w:rPr>
            </w:pPr>
            <w:r>
              <w:rPr>
                <w:rFonts w:ascii="Times New Roman"/>
                <w:sz w:val="21"/>
                <w:szCs w:val="21"/>
              </w:rPr>
              <w:t>0.41</w:t>
            </w:r>
            <w:r>
              <w:rPr>
                <w:rFonts w:ascii="Times New Roman" w:hint="eastAsia"/>
                <w:sz w:val="21"/>
                <w:szCs w:val="21"/>
              </w:rPr>
              <w:t>0</w:t>
            </w:r>
          </w:p>
        </w:tc>
        <w:tc>
          <w:tcPr>
            <w:tcW w:w="1143" w:type="dxa"/>
            <w:vAlign w:val="center"/>
          </w:tcPr>
          <w:p w14:paraId="7F8C16B8" w14:textId="77777777" w:rsidR="009C353B" w:rsidRDefault="00000000">
            <w:pPr>
              <w:ind w:leftChars="34" w:left="82"/>
              <w:jc w:val="center"/>
              <w:rPr>
                <w:rFonts w:ascii="Times New Roman" w:hint="eastAsia"/>
                <w:sz w:val="21"/>
                <w:szCs w:val="21"/>
              </w:rPr>
            </w:pPr>
            <w:r>
              <w:rPr>
                <w:rFonts w:ascii="Times New Roman"/>
                <w:sz w:val="21"/>
                <w:szCs w:val="21"/>
              </w:rPr>
              <w:t>0.478</w:t>
            </w:r>
          </w:p>
        </w:tc>
      </w:tr>
      <w:tr w:rsidR="009C353B" w14:paraId="4DC1C293" w14:textId="77777777">
        <w:trPr>
          <w:trHeight w:hRule="exact" w:val="370"/>
        </w:trPr>
        <w:tc>
          <w:tcPr>
            <w:tcW w:w="2410" w:type="dxa"/>
            <w:gridSpan w:val="2"/>
            <w:vAlign w:val="center"/>
          </w:tcPr>
          <w:p w14:paraId="7B77387B" w14:textId="77777777" w:rsidR="009C353B" w:rsidRDefault="00000000">
            <w:pPr>
              <w:jc w:val="center"/>
              <w:rPr>
                <w:rFonts w:ascii="Times New Roman" w:hAnsi="Times New Roman"/>
                <w:sz w:val="21"/>
                <w:szCs w:val="21"/>
              </w:rPr>
            </w:pPr>
            <w:r>
              <w:rPr>
                <w:rFonts w:ascii="Times New Roman"/>
                <w:sz w:val="21"/>
                <w:szCs w:val="21"/>
              </w:rPr>
              <w:t>监测时间</w:t>
            </w:r>
          </w:p>
        </w:tc>
        <w:tc>
          <w:tcPr>
            <w:tcW w:w="3402" w:type="dxa"/>
            <w:gridSpan w:val="3"/>
            <w:vAlign w:val="center"/>
          </w:tcPr>
          <w:p w14:paraId="27BEBB6C" w14:textId="77777777" w:rsidR="009C353B" w:rsidRDefault="00000000">
            <w:pPr>
              <w:jc w:val="center"/>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9</w:t>
            </w:r>
            <w:r>
              <w:rPr>
                <w:rFonts w:ascii="Times New Roman" w:hAnsi="Times New Roman" w:hint="eastAsia"/>
                <w:sz w:val="21"/>
                <w:szCs w:val="21"/>
              </w:rPr>
              <w:t>日</w:t>
            </w:r>
          </w:p>
        </w:tc>
        <w:tc>
          <w:tcPr>
            <w:tcW w:w="3461" w:type="dxa"/>
            <w:gridSpan w:val="3"/>
            <w:vAlign w:val="center"/>
          </w:tcPr>
          <w:p w14:paraId="5B28F812" w14:textId="77777777" w:rsidR="009C353B" w:rsidRDefault="00000000">
            <w:pPr>
              <w:jc w:val="center"/>
              <w:rPr>
                <w:rFonts w:ascii="Times New Roman" w:hAnsi="Times New Roman"/>
                <w:sz w:val="21"/>
                <w:szCs w:val="21"/>
              </w:rPr>
            </w:pPr>
            <w:r>
              <w:rPr>
                <w:rFonts w:ascii="Times New Roman" w:hAnsi="Times New Roman" w:hint="eastAsia"/>
                <w:sz w:val="21"/>
                <w:szCs w:val="21"/>
              </w:rPr>
              <w:t>2020</w:t>
            </w:r>
            <w:r>
              <w:rPr>
                <w:rFonts w:ascii="Times New Roman" w:hAnsi="Times New Roman" w:hint="eastAsia"/>
                <w:sz w:val="21"/>
                <w:szCs w:val="21"/>
              </w:rPr>
              <w:t>年</w:t>
            </w:r>
            <w:r>
              <w:rPr>
                <w:rFonts w:ascii="Times New Roman" w:hAnsi="Times New Roman" w:hint="eastAsia"/>
                <w:sz w:val="21"/>
                <w:szCs w:val="21"/>
              </w:rPr>
              <w:t>8</w:t>
            </w:r>
            <w:r>
              <w:rPr>
                <w:rFonts w:ascii="Times New Roman" w:hAnsi="Times New Roman" w:hint="eastAsia"/>
                <w:sz w:val="21"/>
                <w:szCs w:val="21"/>
              </w:rPr>
              <w:t>月</w:t>
            </w:r>
            <w:r>
              <w:rPr>
                <w:rFonts w:ascii="Times New Roman" w:hAnsi="Times New Roman" w:hint="eastAsia"/>
                <w:sz w:val="21"/>
                <w:szCs w:val="21"/>
              </w:rPr>
              <w:t>10</w:t>
            </w:r>
            <w:r>
              <w:rPr>
                <w:rFonts w:ascii="Times New Roman" w:hAnsi="Times New Roman" w:hint="eastAsia"/>
                <w:sz w:val="21"/>
                <w:szCs w:val="21"/>
              </w:rPr>
              <w:t>日</w:t>
            </w:r>
          </w:p>
        </w:tc>
      </w:tr>
      <w:tr w:rsidR="009C353B" w14:paraId="3199A767" w14:textId="77777777">
        <w:trPr>
          <w:trHeight w:hRule="exact" w:val="370"/>
        </w:trPr>
        <w:tc>
          <w:tcPr>
            <w:tcW w:w="1418" w:type="dxa"/>
            <w:vMerge w:val="restart"/>
            <w:vAlign w:val="center"/>
          </w:tcPr>
          <w:p w14:paraId="1D525ACB" w14:textId="77777777" w:rsidR="009C353B" w:rsidRDefault="00000000">
            <w:pPr>
              <w:jc w:val="center"/>
              <w:rPr>
                <w:rFonts w:ascii="Times New Roman" w:hint="eastAsia"/>
                <w:sz w:val="21"/>
                <w:szCs w:val="21"/>
              </w:rPr>
            </w:pPr>
            <w:r>
              <w:rPr>
                <w:rFonts w:ascii="Times New Roman" w:hint="eastAsia"/>
                <w:sz w:val="21"/>
                <w:szCs w:val="21"/>
              </w:rPr>
              <w:t>任家庄</w:t>
            </w:r>
          </w:p>
          <w:p w14:paraId="7B71EBF8" w14:textId="77777777" w:rsidR="009C353B" w:rsidRDefault="00000000">
            <w:pPr>
              <w:jc w:val="center"/>
              <w:rPr>
                <w:rFonts w:ascii="Times New Roman" w:hint="eastAsia"/>
                <w:sz w:val="21"/>
                <w:szCs w:val="21"/>
              </w:rPr>
            </w:pPr>
            <w:r>
              <w:rPr>
                <w:rFonts w:ascii="Times New Roman" w:hint="eastAsia"/>
                <w:sz w:val="21"/>
                <w:szCs w:val="21"/>
              </w:rPr>
              <w:t>工业场地</w:t>
            </w:r>
          </w:p>
        </w:tc>
        <w:tc>
          <w:tcPr>
            <w:tcW w:w="992" w:type="dxa"/>
            <w:vAlign w:val="center"/>
          </w:tcPr>
          <w:p w14:paraId="5C767B35" w14:textId="77777777" w:rsidR="009C353B" w:rsidRDefault="00000000">
            <w:pPr>
              <w:ind w:leftChars="34" w:left="82"/>
              <w:jc w:val="center"/>
              <w:rPr>
                <w:rFonts w:ascii="Times New Roman" w:hint="eastAsia"/>
                <w:sz w:val="21"/>
                <w:szCs w:val="21"/>
              </w:rPr>
            </w:pPr>
            <w:r>
              <w:rPr>
                <w:rFonts w:ascii="Times New Roman"/>
                <w:sz w:val="21"/>
                <w:szCs w:val="21"/>
              </w:rPr>
              <w:t>17#</w:t>
            </w:r>
          </w:p>
        </w:tc>
        <w:tc>
          <w:tcPr>
            <w:tcW w:w="1134" w:type="dxa"/>
            <w:vAlign w:val="center"/>
          </w:tcPr>
          <w:p w14:paraId="486192AB" w14:textId="77777777" w:rsidR="009C353B" w:rsidRDefault="00000000">
            <w:pPr>
              <w:ind w:leftChars="34" w:left="82"/>
              <w:jc w:val="center"/>
              <w:rPr>
                <w:rFonts w:ascii="Times New Roman" w:hint="eastAsia"/>
                <w:sz w:val="21"/>
                <w:szCs w:val="21"/>
              </w:rPr>
            </w:pPr>
            <w:r>
              <w:rPr>
                <w:rFonts w:ascii="Times New Roman"/>
                <w:sz w:val="21"/>
                <w:szCs w:val="21"/>
              </w:rPr>
              <w:t>0.36</w:t>
            </w:r>
            <w:r>
              <w:rPr>
                <w:rFonts w:ascii="Times New Roman" w:hint="eastAsia"/>
                <w:sz w:val="21"/>
                <w:szCs w:val="21"/>
              </w:rPr>
              <w:t>0</w:t>
            </w:r>
          </w:p>
        </w:tc>
        <w:tc>
          <w:tcPr>
            <w:tcW w:w="1134" w:type="dxa"/>
            <w:vAlign w:val="center"/>
          </w:tcPr>
          <w:p w14:paraId="624491F8" w14:textId="77777777" w:rsidR="009C353B" w:rsidRDefault="00000000">
            <w:pPr>
              <w:ind w:leftChars="34" w:left="82"/>
              <w:jc w:val="center"/>
              <w:rPr>
                <w:rFonts w:ascii="Times New Roman" w:hint="eastAsia"/>
                <w:sz w:val="21"/>
                <w:szCs w:val="21"/>
              </w:rPr>
            </w:pPr>
            <w:r>
              <w:rPr>
                <w:rFonts w:ascii="Times New Roman"/>
                <w:sz w:val="21"/>
                <w:szCs w:val="21"/>
              </w:rPr>
              <w:t>0.39</w:t>
            </w:r>
            <w:r>
              <w:rPr>
                <w:rFonts w:ascii="Times New Roman" w:hint="eastAsia"/>
                <w:sz w:val="21"/>
                <w:szCs w:val="21"/>
              </w:rPr>
              <w:t>0</w:t>
            </w:r>
          </w:p>
        </w:tc>
        <w:tc>
          <w:tcPr>
            <w:tcW w:w="1134" w:type="dxa"/>
            <w:vAlign w:val="center"/>
          </w:tcPr>
          <w:p w14:paraId="7BA0CDDA" w14:textId="77777777" w:rsidR="009C353B" w:rsidRDefault="00000000">
            <w:pPr>
              <w:ind w:leftChars="34" w:left="82"/>
              <w:jc w:val="center"/>
              <w:rPr>
                <w:rFonts w:ascii="Times New Roman" w:hint="eastAsia"/>
                <w:sz w:val="21"/>
                <w:szCs w:val="21"/>
              </w:rPr>
            </w:pPr>
            <w:r>
              <w:rPr>
                <w:rFonts w:ascii="Times New Roman"/>
                <w:sz w:val="21"/>
                <w:szCs w:val="21"/>
              </w:rPr>
              <w:t>0.32</w:t>
            </w:r>
            <w:r>
              <w:rPr>
                <w:rFonts w:ascii="Times New Roman" w:hint="eastAsia"/>
                <w:sz w:val="21"/>
                <w:szCs w:val="21"/>
              </w:rPr>
              <w:t>0</w:t>
            </w:r>
          </w:p>
        </w:tc>
        <w:tc>
          <w:tcPr>
            <w:tcW w:w="1133" w:type="dxa"/>
            <w:vAlign w:val="center"/>
          </w:tcPr>
          <w:p w14:paraId="63062093" w14:textId="77777777" w:rsidR="009C353B" w:rsidRDefault="00000000">
            <w:pPr>
              <w:ind w:leftChars="34" w:left="82"/>
              <w:jc w:val="center"/>
              <w:rPr>
                <w:rFonts w:ascii="Times New Roman" w:hint="eastAsia"/>
                <w:sz w:val="21"/>
                <w:szCs w:val="21"/>
              </w:rPr>
            </w:pPr>
            <w:r>
              <w:rPr>
                <w:rFonts w:ascii="Times New Roman"/>
                <w:sz w:val="21"/>
                <w:szCs w:val="21"/>
              </w:rPr>
              <w:t>0.41</w:t>
            </w:r>
            <w:r>
              <w:rPr>
                <w:rFonts w:ascii="Times New Roman" w:hint="eastAsia"/>
                <w:sz w:val="21"/>
                <w:szCs w:val="21"/>
              </w:rPr>
              <w:t>0</w:t>
            </w:r>
          </w:p>
        </w:tc>
        <w:tc>
          <w:tcPr>
            <w:tcW w:w="1185" w:type="dxa"/>
            <w:vAlign w:val="center"/>
          </w:tcPr>
          <w:p w14:paraId="7D1C9552" w14:textId="77777777" w:rsidR="009C353B" w:rsidRDefault="00000000">
            <w:pPr>
              <w:ind w:leftChars="34" w:left="82"/>
              <w:jc w:val="center"/>
              <w:rPr>
                <w:rFonts w:ascii="Times New Roman" w:hint="eastAsia"/>
                <w:sz w:val="21"/>
                <w:szCs w:val="21"/>
              </w:rPr>
            </w:pPr>
            <w:r>
              <w:rPr>
                <w:rFonts w:ascii="Times New Roman"/>
                <w:sz w:val="21"/>
                <w:szCs w:val="21"/>
              </w:rPr>
              <w:t>0.537</w:t>
            </w:r>
          </w:p>
        </w:tc>
        <w:tc>
          <w:tcPr>
            <w:tcW w:w="1143" w:type="dxa"/>
            <w:vAlign w:val="center"/>
          </w:tcPr>
          <w:p w14:paraId="4C995689" w14:textId="77777777" w:rsidR="009C353B" w:rsidRDefault="00000000">
            <w:pPr>
              <w:ind w:leftChars="34" w:left="82"/>
              <w:jc w:val="center"/>
              <w:rPr>
                <w:rFonts w:ascii="Times New Roman" w:hint="eastAsia"/>
                <w:sz w:val="21"/>
                <w:szCs w:val="21"/>
              </w:rPr>
            </w:pPr>
            <w:r>
              <w:rPr>
                <w:rFonts w:ascii="Times New Roman"/>
                <w:sz w:val="21"/>
                <w:szCs w:val="21"/>
              </w:rPr>
              <w:t>0.558</w:t>
            </w:r>
          </w:p>
        </w:tc>
      </w:tr>
      <w:tr w:rsidR="009C353B" w14:paraId="153233AA" w14:textId="77777777">
        <w:trPr>
          <w:trHeight w:hRule="exact" w:val="370"/>
        </w:trPr>
        <w:tc>
          <w:tcPr>
            <w:tcW w:w="1418" w:type="dxa"/>
            <w:vMerge/>
            <w:vAlign w:val="center"/>
          </w:tcPr>
          <w:p w14:paraId="6EB7E7E4" w14:textId="77777777" w:rsidR="009C353B" w:rsidRDefault="009C353B">
            <w:pPr>
              <w:jc w:val="center"/>
              <w:rPr>
                <w:rFonts w:ascii="Times New Roman" w:hint="eastAsia"/>
                <w:sz w:val="21"/>
                <w:szCs w:val="21"/>
              </w:rPr>
            </w:pPr>
          </w:p>
        </w:tc>
        <w:tc>
          <w:tcPr>
            <w:tcW w:w="992" w:type="dxa"/>
            <w:vAlign w:val="center"/>
          </w:tcPr>
          <w:p w14:paraId="20480EFD" w14:textId="77777777" w:rsidR="009C353B" w:rsidRDefault="00000000">
            <w:pPr>
              <w:jc w:val="center"/>
              <w:rPr>
                <w:rFonts w:ascii="Times New Roman" w:hint="eastAsia"/>
                <w:sz w:val="21"/>
                <w:szCs w:val="21"/>
              </w:rPr>
            </w:pPr>
            <w:r>
              <w:rPr>
                <w:rFonts w:ascii="Times New Roman"/>
                <w:sz w:val="21"/>
                <w:szCs w:val="21"/>
              </w:rPr>
              <w:t>18#</w:t>
            </w:r>
          </w:p>
        </w:tc>
        <w:tc>
          <w:tcPr>
            <w:tcW w:w="1134" w:type="dxa"/>
            <w:vAlign w:val="center"/>
          </w:tcPr>
          <w:p w14:paraId="0773CED0" w14:textId="77777777" w:rsidR="009C353B" w:rsidRDefault="00000000">
            <w:pPr>
              <w:ind w:leftChars="34" w:left="82"/>
              <w:jc w:val="center"/>
              <w:rPr>
                <w:rFonts w:ascii="Times New Roman" w:hint="eastAsia"/>
                <w:sz w:val="21"/>
                <w:szCs w:val="21"/>
              </w:rPr>
            </w:pPr>
            <w:r>
              <w:rPr>
                <w:rFonts w:ascii="Times New Roman"/>
                <w:sz w:val="21"/>
                <w:szCs w:val="21"/>
              </w:rPr>
              <w:t>0.447</w:t>
            </w:r>
          </w:p>
        </w:tc>
        <w:tc>
          <w:tcPr>
            <w:tcW w:w="1134" w:type="dxa"/>
            <w:vAlign w:val="center"/>
          </w:tcPr>
          <w:p w14:paraId="00D1BF4F" w14:textId="77777777" w:rsidR="009C353B" w:rsidRDefault="00000000">
            <w:pPr>
              <w:ind w:leftChars="34" w:left="82"/>
              <w:jc w:val="center"/>
              <w:rPr>
                <w:rFonts w:ascii="Times New Roman" w:hint="eastAsia"/>
                <w:sz w:val="21"/>
                <w:szCs w:val="21"/>
              </w:rPr>
            </w:pPr>
            <w:r>
              <w:rPr>
                <w:rFonts w:ascii="Times New Roman"/>
                <w:sz w:val="21"/>
                <w:szCs w:val="21"/>
              </w:rPr>
              <w:t>0.498</w:t>
            </w:r>
          </w:p>
        </w:tc>
        <w:tc>
          <w:tcPr>
            <w:tcW w:w="1134" w:type="dxa"/>
            <w:vAlign w:val="center"/>
          </w:tcPr>
          <w:p w14:paraId="09A4E097" w14:textId="77777777" w:rsidR="009C353B" w:rsidRDefault="00000000">
            <w:pPr>
              <w:ind w:leftChars="34" w:left="82"/>
              <w:jc w:val="center"/>
              <w:rPr>
                <w:rFonts w:ascii="Times New Roman" w:hint="eastAsia"/>
                <w:sz w:val="21"/>
                <w:szCs w:val="21"/>
              </w:rPr>
            </w:pPr>
            <w:r>
              <w:rPr>
                <w:rFonts w:ascii="Times New Roman"/>
                <w:sz w:val="21"/>
                <w:szCs w:val="21"/>
              </w:rPr>
              <w:t>0.423</w:t>
            </w:r>
          </w:p>
        </w:tc>
        <w:tc>
          <w:tcPr>
            <w:tcW w:w="1133" w:type="dxa"/>
            <w:vAlign w:val="center"/>
          </w:tcPr>
          <w:p w14:paraId="1548BEC0" w14:textId="77777777" w:rsidR="009C353B" w:rsidRDefault="00000000">
            <w:pPr>
              <w:ind w:leftChars="34" w:left="82"/>
              <w:jc w:val="center"/>
              <w:rPr>
                <w:rFonts w:ascii="Times New Roman" w:hint="eastAsia"/>
                <w:sz w:val="21"/>
                <w:szCs w:val="21"/>
              </w:rPr>
            </w:pPr>
            <w:r>
              <w:rPr>
                <w:rFonts w:ascii="Times New Roman"/>
                <w:sz w:val="21"/>
                <w:szCs w:val="21"/>
              </w:rPr>
              <w:t>0.477</w:t>
            </w:r>
          </w:p>
        </w:tc>
        <w:tc>
          <w:tcPr>
            <w:tcW w:w="1185" w:type="dxa"/>
            <w:vAlign w:val="center"/>
          </w:tcPr>
          <w:p w14:paraId="22CA8C14" w14:textId="77777777" w:rsidR="009C353B" w:rsidRDefault="00000000">
            <w:pPr>
              <w:ind w:leftChars="34" w:left="82"/>
              <w:jc w:val="center"/>
              <w:rPr>
                <w:rFonts w:ascii="Times New Roman" w:hint="eastAsia"/>
                <w:sz w:val="21"/>
                <w:szCs w:val="21"/>
              </w:rPr>
            </w:pPr>
            <w:r>
              <w:rPr>
                <w:rFonts w:ascii="Times New Roman"/>
                <w:sz w:val="21"/>
                <w:szCs w:val="21"/>
              </w:rPr>
              <w:t>0.453</w:t>
            </w:r>
          </w:p>
        </w:tc>
        <w:tc>
          <w:tcPr>
            <w:tcW w:w="1143" w:type="dxa"/>
            <w:vAlign w:val="center"/>
          </w:tcPr>
          <w:p w14:paraId="4F6C9F90" w14:textId="77777777" w:rsidR="009C353B" w:rsidRDefault="00000000">
            <w:pPr>
              <w:ind w:leftChars="34" w:left="82"/>
              <w:jc w:val="center"/>
              <w:rPr>
                <w:rFonts w:ascii="Times New Roman" w:hint="eastAsia"/>
                <w:sz w:val="21"/>
                <w:szCs w:val="21"/>
              </w:rPr>
            </w:pPr>
            <w:r>
              <w:rPr>
                <w:rFonts w:ascii="Times New Roman"/>
                <w:sz w:val="21"/>
                <w:szCs w:val="21"/>
              </w:rPr>
              <w:t>0.587</w:t>
            </w:r>
          </w:p>
        </w:tc>
      </w:tr>
      <w:tr w:rsidR="009C353B" w14:paraId="7B2E318A" w14:textId="77777777">
        <w:trPr>
          <w:trHeight w:hRule="exact" w:val="370"/>
        </w:trPr>
        <w:tc>
          <w:tcPr>
            <w:tcW w:w="1418" w:type="dxa"/>
            <w:vMerge/>
            <w:vAlign w:val="center"/>
          </w:tcPr>
          <w:p w14:paraId="41F4C28C" w14:textId="77777777" w:rsidR="009C353B" w:rsidRDefault="009C353B">
            <w:pPr>
              <w:jc w:val="center"/>
              <w:rPr>
                <w:rFonts w:ascii="Times New Roman" w:hint="eastAsia"/>
                <w:sz w:val="21"/>
                <w:szCs w:val="21"/>
              </w:rPr>
            </w:pPr>
          </w:p>
        </w:tc>
        <w:tc>
          <w:tcPr>
            <w:tcW w:w="992" w:type="dxa"/>
            <w:vAlign w:val="center"/>
          </w:tcPr>
          <w:p w14:paraId="65D83AC4" w14:textId="77777777" w:rsidR="009C353B" w:rsidRDefault="00000000">
            <w:pPr>
              <w:jc w:val="center"/>
              <w:rPr>
                <w:rFonts w:ascii="Times New Roman" w:hint="eastAsia"/>
                <w:sz w:val="21"/>
                <w:szCs w:val="21"/>
              </w:rPr>
            </w:pPr>
            <w:r>
              <w:rPr>
                <w:rFonts w:ascii="Times New Roman"/>
                <w:sz w:val="21"/>
                <w:szCs w:val="21"/>
              </w:rPr>
              <w:t>19#</w:t>
            </w:r>
          </w:p>
        </w:tc>
        <w:tc>
          <w:tcPr>
            <w:tcW w:w="1134" w:type="dxa"/>
            <w:vAlign w:val="center"/>
          </w:tcPr>
          <w:p w14:paraId="33535D1A" w14:textId="77777777" w:rsidR="009C353B" w:rsidRDefault="00000000">
            <w:pPr>
              <w:ind w:leftChars="34" w:left="82"/>
              <w:jc w:val="center"/>
              <w:rPr>
                <w:rFonts w:ascii="Times New Roman" w:hint="eastAsia"/>
                <w:sz w:val="21"/>
                <w:szCs w:val="21"/>
              </w:rPr>
            </w:pPr>
            <w:r>
              <w:rPr>
                <w:rFonts w:ascii="Times New Roman"/>
                <w:sz w:val="21"/>
                <w:szCs w:val="21"/>
              </w:rPr>
              <w:t>0.542</w:t>
            </w:r>
          </w:p>
        </w:tc>
        <w:tc>
          <w:tcPr>
            <w:tcW w:w="1134" w:type="dxa"/>
            <w:vAlign w:val="center"/>
          </w:tcPr>
          <w:p w14:paraId="20277781" w14:textId="77777777" w:rsidR="009C353B" w:rsidRDefault="00000000">
            <w:pPr>
              <w:ind w:leftChars="34" w:left="82"/>
              <w:jc w:val="center"/>
              <w:rPr>
                <w:rFonts w:ascii="Times New Roman" w:hint="eastAsia"/>
                <w:sz w:val="21"/>
                <w:szCs w:val="21"/>
              </w:rPr>
            </w:pPr>
            <w:r>
              <w:rPr>
                <w:rFonts w:ascii="Times New Roman"/>
                <w:sz w:val="21"/>
                <w:szCs w:val="21"/>
              </w:rPr>
              <w:t>0.502</w:t>
            </w:r>
          </w:p>
        </w:tc>
        <w:tc>
          <w:tcPr>
            <w:tcW w:w="1134" w:type="dxa"/>
            <w:vAlign w:val="center"/>
          </w:tcPr>
          <w:p w14:paraId="2520472A" w14:textId="77777777" w:rsidR="009C353B" w:rsidRDefault="00000000">
            <w:pPr>
              <w:ind w:leftChars="34" w:left="82"/>
              <w:jc w:val="center"/>
              <w:rPr>
                <w:rFonts w:ascii="Times New Roman" w:hint="eastAsia"/>
                <w:sz w:val="21"/>
                <w:szCs w:val="21"/>
              </w:rPr>
            </w:pPr>
            <w:r>
              <w:rPr>
                <w:rFonts w:ascii="Times New Roman"/>
                <w:sz w:val="21"/>
                <w:szCs w:val="21"/>
              </w:rPr>
              <w:t>0.48</w:t>
            </w:r>
            <w:r>
              <w:rPr>
                <w:rFonts w:ascii="Times New Roman" w:hint="eastAsia"/>
                <w:sz w:val="21"/>
                <w:szCs w:val="21"/>
              </w:rPr>
              <w:t>0</w:t>
            </w:r>
          </w:p>
        </w:tc>
        <w:tc>
          <w:tcPr>
            <w:tcW w:w="1133" w:type="dxa"/>
            <w:vAlign w:val="center"/>
          </w:tcPr>
          <w:p w14:paraId="6256CBAE" w14:textId="77777777" w:rsidR="009C353B" w:rsidRDefault="00000000">
            <w:pPr>
              <w:ind w:leftChars="34" w:left="82"/>
              <w:jc w:val="center"/>
              <w:rPr>
                <w:rFonts w:ascii="Times New Roman" w:hint="eastAsia"/>
                <w:sz w:val="21"/>
                <w:szCs w:val="21"/>
              </w:rPr>
            </w:pPr>
            <w:r>
              <w:rPr>
                <w:rFonts w:ascii="Times New Roman"/>
                <w:sz w:val="21"/>
                <w:szCs w:val="21"/>
              </w:rPr>
              <w:t>0.402</w:t>
            </w:r>
          </w:p>
        </w:tc>
        <w:tc>
          <w:tcPr>
            <w:tcW w:w="1185" w:type="dxa"/>
            <w:vAlign w:val="center"/>
          </w:tcPr>
          <w:p w14:paraId="36D0BF9B" w14:textId="77777777" w:rsidR="009C353B" w:rsidRDefault="00000000">
            <w:pPr>
              <w:ind w:leftChars="34" w:left="82"/>
              <w:jc w:val="center"/>
              <w:rPr>
                <w:rFonts w:ascii="Times New Roman" w:hint="eastAsia"/>
                <w:sz w:val="21"/>
                <w:szCs w:val="21"/>
              </w:rPr>
            </w:pPr>
            <w:r>
              <w:rPr>
                <w:rFonts w:ascii="Times New Roman"/>
                <w:sz w:val="21"/>
                <w:szCs w:val="21"/>
              </w:rPr>
              <w:t>0.595</w:t>
            </w:r>
          </w:p>
        </w:tc>
        <w:tc>
          <w:tcPr>
            <w:tcW w:w="1143" w:type="dxa"/>
            <w:vAlign w:val="center"/>
          </w:tcPr>
          <w:p w14:paraId="01537EA5" w14:textId="77777777" w:rsidR="009C353B" w:rsidRDefault="00000000">
            <w:pPr>
              <w:ind w:leftChars="34" w:left="82"/>
              <w:jc w:val="center"/>
              <w:rPr>
                <w:rFonts w:ascii="Times New Roman" w:hint="eastAsia"/>
                <w:sz w:val="21"/>
                <w:szCs w:val="21"/>
              </w:rPr>
            </w:pPr>
            <w:r>
              <w:rPr>
                <w:rFonts w:ascii="Times New Roman"/>
                <w:sz w:val="21"/>
                <w:szCs w:val="21"/>
              </w:rPr>
              <w:t>0.495</w:t>
            </w:r>
          </w:p>
        </w:tc>
      </w:tr>
      <w:tr w:rsidR="009C353B" w14:paraId="4D14B31E" w14:textId="77777777">
        <w:trPr>
          <w:trHeight w:hRule="exact" w:val="370"/>
        </w:trPr>
        <w:tc>
          <w:tcPr>
            <w:tcW w:w="1418" w:type="dxa"/>
            <w:vMerge/>
            <w:vAlign w:val="center"/>
          </w:tcPr>
          <w:p w14:paraId="362F84C7" w14:textId="77777777" w:rsidR="009C353B" w:rsidRDefault="009C353B">
            <w:pPr>
              <w:jc w:val="center"/>
              <w:rPr>
                <w:rFonts w:ascii="Times New Roman" w:hint="eastAsia"/>
                <w:sz w:val="21"/>
                <w:szCs w:val="21"/>
              </w:rPr>
            </w:pPr>
          </w:p>
        </w:tc>
        <w:tc>
          <w:tcPr>
            <w:tcW w:w="992" w:type="dxa"/>
            <w:vAlign w:val="center"/>
          </w:tcPr>
          <w:p w14:paraId="58059F3B" w14:textId="77777777" w:rsidR="009C353B" w:rsidRDefault="00000000">
            <w:pPr>
              <w:jc w:val="center"/>
              <w:rPr>
                <w:rFonts w:ascii="Times New Roman" w:hint="eastAsia"/>
                <w:sz w:val="21"/>
                <w:szCs w:val="21"/>
              </w:rPr>
            </w:pPr>
            <w:r>
              <w:rPr>
                <w:rFonts w:ascii="Times New Roman"/>
                <w:sz w:val="21"/>
                <w:szCs w:val="21"/>
              </w:rPr>
              <w:t>20#</w:t>
            </w:r>
          </w:p>
        </w:tc>
        <w:tc>
          <w:tcPr>
            <w:tcW w:w="1134" w:type="dxa"/>
            <w:vAlign w:val="center"/>
          </w:tcPr>
          <w:p w14:paraId="6ABA8B93" w14:textId="77777777" w:rsidR="009C353B" w:rsidRDefault="00000000">
            <w:pPr>
              <w:ind w:leftChars="34" w:left="82"/>
              <w:jc w:val="center"/>
              <w:rPr>
                <w:rFonts w:ascii="Times New Roman" w:hint="eastAsia"/>
                <w:sz w:val="21"/>
                <w:szCs w:val="21"/>
              </w:rPr>
            </w:pPr>
            <w:r>
              <w:rPr>
                <w:rFonts w:ascii="Times New Roman"/>
                <w:sz w:val="21"/>
                <w:szCs w:val="21"/>
              </w:rPr>
              <w:t>0.442</w:t>
            </w:r>
          </w:p>
        </w:tc>
        <w:tc>
          <w:tcPr>
            <w:tcW w:w="1134" w:type="dxa"/>
            <w:vAlign w:val="center"/>
          </w:tcPr>
          <w:p w14:paraId="11896AE2" w14:textId="77777777" w:rsidR="009C353B" w:rsidRDefault="00000000">
            <w:pPr>
              <w:ind w:leftChars="34" w:left="82"/>
              <w:jc w:val="center"/>
              <w:rPr>
                <w:rFonts w:ascii="Times New Roman" w:hint="eastAsia"/>
                <w:sz w:val="21"/>
                <w:szCs w:val="21"/>
              </w:rPr>
            </w:pPr>
            <w:r>
              <w:rPr>
                <w:rFonts w:ascii="Times New Roman"/>
                <w:sz w:val="21"/>
                <w:szCs w:val="21"/>
              </w:rPr>
              <w:t>0.515</w:t>
            </w:r>
          </w:p>
        </w:tc>
        <w:tc>
          <w:tcPr>
            <w:tcW w:w="1134" w:type="dxa"/>
            <w:vAlign w:val="center"/>
          </w:tcPr>
          <w:p w14:paraId="5FD629D4" w14:textId="77777777" w:rsidR="009C353B" w:rsidRDefault="00000000">
            <w:pPr>
              <w:ind w:leftChars="34" w:left="82"/>
              <w:jc w:val="center"/>
              <w:rPr>
                <w:rFonts w:ascii="Times New Roman" w:hint="eastAsia"/>
                <w:sz w:val="21"/>
                <w:szCs w:val="21"/>
              </w:rPr>
            </w:pPr>
            <w:r>
              <w:rPr>
                <w:rFonts w:ascii="Times New Roman"/>
                <w:sz w:val="21"/>
                <w:szCs w:val="21"/>
              </w:rPr>
              <w:t>0.483</w:t>
            </w:r>
          </w:p>
        </w:tc>
        <w:tc>
          <w:tcPr>
            <w:tcW w:w="1133" w:type="dxa"/>
            <w:vAlign w:val="center"/>
          </w:tcPr>
          <w:p w14:paraId="360FA007" w14:textId="77777777" w:rsidR="009C353B" w:rsidRDefault="00000000">
            <w:pPr>
              <w:ind w:leftChars="34" w:left="82"/>
              <w:jc w:val="center"/>
              <w:rPr>
                <w:rFonts w:ascii="Times New Roman" w:hint="eastAsia"/>
                <w:sz w:val="21"/>
                <w:szCs w:val="21"/>
              </w:rPr>
            </w:pPr>
            <w:r>
              <w:rPr>
                <w:rFonts w:ascii="Times New Roman"/>
                <w:sz w:val="21"/>
                <w:szCs w:val="21"/>
              </w:rPr>
              <w:t>0.445</w:t>
            </w:r>
          </w:p>
        </w:tc>
        <w:tc>
          <w:tcPr>
            <w:tcW w:w="1185" w:type="dxa"/>
            <w:vAlign w:val="center"/>
          </w:tcPr>
          <w:p w14:paraId="107B099B" w14:textId="77777777" w:rsidR="009C353B" w:rsidRDefault="00000000">
            <w:pPr>
              <w:ind w:leftChars="34" w:left="82"/>
              <w:jc w:val="center"/>
              <w:rPr>
                <w:rFonts w:ascii="Times New Roman" w:hint="eastAsia"/>
                <w:sz w:val="21"/>
                <w:szCs w:val="21"/>
              </w:rPr>
            </w:pPr>
            <w:r>
              <w:rPr>
                <w:rFonts w:ascii="Times New Roman"/>
                <w:sz w:val="21"/>
                <w:szCs w:val="21"/>
              </w:rPr>
              <w:t>0.518</w:t>
            </w:r>
          </w:p>
        </w:tc>
        <w:tc>
          <w:tcPr>
            <w:tcW w:w="1143" w:type="dxa"/>
            <w:vAlign w:val="center"/>
          </w:tcPr>
          <w:p w14:paraId="5B2C49B6" w14:textId="77777777" w:rsidR="009C353B" w:rsidRDefault="00000000">
            <w:pPr>
              <w:ind w:leftChars="34" w:left="82"/>
              <w:jc w:val="center"/>
              <w:rPr>
                <w:rFonts w:ascii="Times New Roman" w:hint="eastAsia"/>
                <w:sz w:val="21"/>
                <w:szCs w:val="21"/>
              </w:rPr>
            </w:pPr>
            <w:r>
              <w:rPr>
                <w:rFonts w:ascii="Times New Roman"/>
                <w:sz w:val="21"/>
                <w:szCs w:val="21"/>
              </w:rPr>
              <w:t>0.472</w:t>
            </w:r>
          </w:p>
        </w:tc>
      </w:tr>
    </w:tbl>
    <w:p w14:paraId="2E28643C" w14:textId="77777777" w:rsidR="009C353B" w:rsidRDefault="00000000">
      <w:pPr>
        <w:adjustRightInd w:val="0"/>
        <w:snapToGrid w:val="0"/>
        <w:spacing w:line="440" w:lineRule="exact"/>
        <w:ind w:firstLineChars="200" w:firstLine="480"/>
        <w:rPr>
          <w:rFonts w:ascii="Times New Roman" w:hint="eastAsia"/>
        </w:rPr>
      </w:pPr>
      <w:r>
        <w:rPr>
          <w:rFonts w:ascii="Times New Roman"/>
        </w:rPr>
        <w:t>根据监测结果，矿区内各工业场地、临时排矸场无组织大气污染物浓度均小于</w:t>
      </w:r>
      <w:r>
        <w:rPr>
          <w:rFonts w:ascii="Times New Roman" w:hAnsi="Times New Roman"/>
        </w:rPr>
        <w:t>1.0mg/m</w:t>
      </w:r>
      <w:r>
        <w:rPr>
          <w:rFonts w:ascii="Times New Roman" w:hAnsi="Times New Roman"/>
          <w:vertAlign w:val="superscript"/>
        </w:rPr>
        <w:t>3</w:t>
      </w:r>
      <w:r>
        <w:rPr>
          <w:rFonts w:ascii="Times New Roman"/>
        </w:rPr>
        <w:t>，最大为</w:t>
      </w:r>
      <w:r>
        <w:rPr>
          <w:rFonts w:ascii="Times New Roman" w:hAnsi="Times New Roman" w:hint="eastAsia"/>
        </w:rPr>
        <w:t>0.595</w:t>
      </w:r>
      <w:r>
        <w:rPr>
          <w:rFonts w:ascii="Times New Roman" w:hAnsi="Times New Roman"/>
        </w:rPr>
        <w:t>mg/m</w:t>
      </w:r>
      <w:r>
        <w:rPr>
          <w:rFonts w:ascii="Times New Roman" w:hAnsi="Times New Roman"/>
          <w:vertAlign w:val="superscript"/>
        </w:rPr>
        <w:t>3</w:t>
      </w:r>
      <w:r>
        <w:rPr>
          <w:rFonts w:ascii="Times New Roman"/>
        </w:rPr>
        <w:t>，各工业场地、临时排矸场无组织颗粒物排放浓度满足《煤炭工业污染物排放标准》（</w:t>
      </w:r>
      <w:r>
        <w:rPr>
          <w:rFonts w:ascii="Times New Roman" w:hAnsi="Times New Roman"/>
        </w:rPr>
        <w:t>GB20426-2006</w:t>
      </w:r>
      <w:r>
        <w:rPr>
          <w:rFonts w:ascii="Times New Roman"/>
        </w:rPr>
        <w:t>）无组织排放限值（监控点与参照点浓度差值）小于</w:t>
      </w:r>
      <w:r>
        <w:rPr>
          <w:rFonts w:ascii="Times New Roman" w:hAnsi="Times New Roman"/>
        </w:rPr>
        <w:t>1.0mg/Nm</w:t>
      </w:r>
      <w:r>
        <w:rPr>
          <w:rFonts w:ascii="Times New Roman" w:hAnsi="Times New Roman"/>
          <w:vertAlign w:val="superscript"/>
        </w:rPr>
        <w:t>3</w:t>
      </w:r>
      <w:r>
        <w:rPr>
          <w:rFonts w:ascii="Times New Roman"/>
        </w:rPr>
        <w:t>的要求。</w:t>
      </w:r>
    </w:p>
    <w:p w14:paraId="5E9A1F92" w14:textId="77777777" w:rsidR="009C353B" w:rsidRDefault="00000000">
      <w:pPr>
        <w:adjustRightInd w:val="0"/>
        <w:snapToGrid w:val="0"/>
        <w:spacing w:line="360" w:lineRule="auto"/>
        <w:ind w:firstLineChars="200" w:firstLine="480"/>
        <w:jc w:val="center"/>
        <w:rPr>
          <w:rFonts w:ascii="Times New Roman" w:hint="eastAsia"/>
        </w:rPr>
      </w:pPr>
      <w:r>
        <w:rPr>
          <w:noProof/>
        </w:rPr>
        <w:drawing>
          <wp:inline distT="0" distB="0" distL="0" distR="0" wp14:anchorId="4D5194ED" wp14:editId="4DCB2B9A">
            <wp:extent cx="3829685" cy="3504565"/>
            <wp:effectExtent l="0" t="0" r="0" b="635"/>
            <wp:docPr id="1024" name="图片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1024"/>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a:xfrm>
                      <a:off x="0" y="0"/>
                      <a:ext cx="3847990" cy="3521084"/>
                    </a:xfrm>
                    <a:prstGeom prst="rect">
                      <a:avLst/>
                    </a:prstGeom>
                    <a:noFill/>
                    <a:ln>
                      <a:noFill/>
                    </a:ln>
                  </pic:spPr>
                </pic:pic>
              </a:graphicData>
            </a:graphic>
          </wp:inline>
        </w:drawing>
      </w:r>
    </w:p>
    <w:p w14:paraId="59BA12B5" w14:textId="77777777" w:rsidR="009C353B" w:rsidRDefault="00000000">
      <w:pPr>
        <w:adjustRightInd w:val="0"/>
        <w:snapToGrid w:val="0"/>
        <w:spacing w:line="360" w:lineRule="auto"/>
        <w:ind w:firstLineChars="200" w:firstLine="482"/>
        <w:jc w:val="center"/>
        <w:rPr>
          <w:rFonts w:ascii="Times New Roman" w:hint="eastAsia"/>
          <w:b/>
          <w:bCs/>
        </w:rPr>
      </w:pPr>
      <w:r>
        <w:rPr>
          <w:rFonts w:ascii="Times New Roman" w:hint="eastAsia"/>
          <w:b/>
          <w:bCs/>
        </w:rPr>
        <w:t>无组织监测点位图（</w:t>
      </w:r>
      <w:r>
        <w:rPr>
          <w:rFonts w:ascii="Times New Roman" w:hint="eastAsia"/>
          <w:b/>
          <w:bCs/>
        </w:rPr>
        <w:t>1</w:t>
      </w:r>
      <w:r>
        <w:rPr>
          <w:rFonts w:ascii="Times New Roman" w:hint="eastAsia"/>
          <w:b/>
          <w:bCs/>
        </w:rPr>
        <w:t>）</w:t>
      </w:r>
    </w:p>
    <w:p w14:paraId="526C8E75" w14:textId="77777777" w:rsidR="009C353B" w:rsidRDefault="00000000">
      <w:pPr>
        <w:adjustRightInd w:val="0"/>
        <w:snapToGrid w:val="0"/>
        <w:spacing w:line="360" w:lineRule="auto"/>
        <w:ind w:firstLineChars="200" w:firstLine="480"/>
        <w:jc w:val="center"/>
        <w:rPr>
          <w:rFonts w:ascii="Times New Roman" w:hint="eastAsia"/>
        </w:rPr>
      </w:pPr>
      <w:r>
        <w:rPr>
          <w:noProof/>
        </w:rPr>
        <w:drawing>
          <wp:inline distT="0" distB="0" distL="0" distR="0" wp14:anchorId="0654952E" wp14:editId="75EBBE34">
            <wp:extent cx="3674745" cy="3649345"/>
            <wp:effectExtent l="0" t="0" r="1905" b="8255"/>
            <wp:docPr id="1025" name="图片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1025"/>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a:xfrm>
                      <a:off x="0" y="0"/>
                      <a:ext cx="3678908" cy="3653608"/>
                    </a:xfrm>
                    <a:prstGeom prst="rect">
                      <a:avLst/>
                    </a:prstGeom>
                    <a:noFill/>
                    <a:ln>
                      <a:noFill/>
                    </a:ln>
                  </pic:spPr>
                </pic:pic>
              </a:graphicData>
            </a:graphic>
          </wp:inline>
        </w:drawing>
      </w:r>
    </w:p>
    <w:p w14:paraId="29A1FD24" w14:textId="77777777" w:rsidR="009C353B" w:rsidRDefault="00000000">
      <w:pPr>
        <w:adjustRightInd w:val="0"/>
        <w:snapToGrid w:val="0"/>
        <w:spacing w:line="360" w:lineRule="auto"/>
        <w:ind w:firstLineChars="200" w:firstLine="482"/>
        <w:jc w:val="center"/>
        <w:rPr>
          <w:rFonts w:ascii="Times New Roman" w:hint="eastAsia"/>
        </w:rPr>
      </w:pPr>
      <w:r>
        <w:rPr>
          <w:rFonts w:ascii="Times New Roman" w:hint="eastAsia"/>
          <w:b/>
          <w:bCs/>
        </w:rPr>
        <w:t>无组织监测点位图（</w:t>
      </w:r>
      <w:r>
        <w:rPr>
          <w:rFonts w:ascii="Times New Roman"/>
          <w:b/>
          <w:bCs/>
        </w:rPr>
        <w:t>2</w:t>
      </w:r>
      <w:r>
        <w:rPr>
          <w:rFonts w:ascii="Times New Roman" w:hint="eastAsia"/>
          <w:b/>
          <w:bCs/>
        </w:rPr>
        <w:t>）</w:t>
      </w:r>
    </w:p>
    <w:p w14:paraId="4679115D" w14:textId="77777777" w:rsidR="009C353B" w:rsidRDefault="00000000">
      <w:pPr>
        <w:adjustRightInd w:val="0"/>
        <w:snapToGrid w:val="0"/>
        <w:spacing w:line="360" w:lineRule="auto"/>
        <w:ind w:firstLineChars="200" w:firstLine="480"/>
        <w:jc w:val="center"/>
        <w:rPr>
          <w:rFonts w:ascii="Times New Roman" w:hint="eastAsia"/>
        </w:rPr>
      </w:pPr>
      <w:r>
        <w:rPr>
          <w:noProof/>
        </w:rPr>
        <w:drawing>
          <wp:inline distT="0" distB="0" distL="0" distR="0" wp14:anchorId="6FECCF71" wp14:editId="6ADF1A4F">
            <wp:extent cx="5063490" cy="3691890"/>
            <wp:effectExtent l="0" t="0" r="3810" b="3810"/>
            <wp:docPr id="1026" name="图片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026"/>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a:xfrm>
                      <a:off x="0" y="0"/>
                      <a:ext cx="5070862" cy="3697108"/>
                    </a:xfrm>
                    <a:prstGeom prst="rect">
                      <a:avLst/>
                    </a:prstGeom>
                    <a:noFill/>
                    <a:ln>
                      <a:noFill/>
                    </a:ln>
                  </pic:spPr>
                </pic:pic>
              </a:graphicData>
            </a:graphic>
          </wp:inline>
        </w:drawing>
      </w:r>
    </w:p>
    <w:p w14:paraId="2D9BFAF9" w14:textId="77777777" w:rsidR="009C353B" w:rsidRDefault="00000000">
      <w:pPr>
        <w:adjustRightInd w:val="0"/>
        <w:snapToGrid w:val="0"/>
        <w:spacing w:line="360" w:lineRule="auto"/>
        <w:ind w:firstLineChars="200" w:firstLine="482"/>
        <w:jc w:val="center"/>
        <w:rPr>
          <w:rFonts w:ascii="Times New Roman" w:hint="eastAsia"/>
        </w:rPr>
      </w:pPr>
      <w:r>
        <w:rPr>
          <w:rFonts w:ascii="Times New Roman" w:hint="eastAsia"/>
          <w:b/>
          <w:bCs/>
        </w:rPr>
        <w:t>无组织监测点位图（</w:t>
      </w:r>
      <w:r>
        <w:rPr>
          <w:rFonts w:ascii="Times New Roman"/>
          <w:b/>
          <w:bCs/>
        </w:rPr>
        <w:t>3</w:t>
      </w:r>
      <w:r>
        <w:rPr>
          <w:rFonts w:ascii="Times New Roman" w:hint="eastAsia"/>
          <w:b/>
          <w:bCs/>
        </w:rPr>
        <w:t>）</w:t>
      </w:r>
    </w:p>
    <w:p w14:paraId="53F7E24C" w14:textId="77777777" w:rsidR="009C353B" w:rsidRDefault="00000000">
      <w:pPr>
        <w:adjustRightInd w:val="0"/>
        <w:snapToGrid w:val="0"/>
        <w:spacing w:line="360" w:lineRule="auto"/>
        <w:ind w:firstLineChars="200" w:firstLine="480"/>
        <w:jc w:val="center"/>
        <w:rPr>
          <w:rFonts w:ascii="Times New Roman" w:hint="eastAsia"/>
        </w:rPr>
      </w:pPr>
      <w:r>
        <w:rPr>
          <w:noProof/>
        </w:rPr>
        <w:drawing>
          <wp:inline distT="0" distB="0" distL="0" distR="0" wp14:anchorId="0C013712" wp14:editId="25AA7672">
            <wp:extent cx="4183380" cy="4004310"/>
            <wp:effectExtent l="0" t="0" r="7620" b="0"/>
            <wp:docPr id="1027" name="图片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027"/>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a:xfrm>
                      <a:off x="0" y="0"/>
                      <a:ext cx="4189894" cy="4010466"/>
                    </a:xfrm>
                    <a:prstGeom prst="rect">
                      <a:avLst/>
                    </a:prstGeom>
                    <a:noFill/>
                    <a:ln>
                      <a:noFill/>
                    </a:ln>
                  </pic:spPr>
                </pic:pic>
              </a:graphicData>
            </a:graphic>
          </wp:inline>
        </w:drawing>
      </w:r>
    </w:p>
    <w:p w14:paraId="67B14E28" w14:textId="77777777" w:rsidR="009C353B" w:rsidRDefault="00000000">
      <w:pPr>
        <w:adjustRightInd w:val="0"/>
        <w:snapToGrid w:val="0"/>
        <w:spacing w:line="360" w:lineRule="auto"/>
        <w:ind w:firstLineChars="200" w:firstLine="482"/>
        <w:jc w:val="center"/>
        <w:rPr>
          <w:rFonts w:ascii="Times New Roman" w:hint="eastAsia"/>
        </w:rPr>
      </w:pPr>
      <w:r>
        <w:rPr>
          <w:rFonts w:ascii="Times New Roman" w:hint="eastAsia"/>
          <w:b/>
          <w:bCs/>
        </w:rPr>
        <w:t>无组织监测点位图（</w:t>
      </w:r>
      <w:r>
        <w:rPr>
          <w:rFonts w:ascii="Times New Roman"/>
          <w:b/>
          <w:bCs/>
        </w:rPr>
        <w:t>4</w:t>
      </w:r>
      <w:r>
        <w:rPr>
          <w:rFonts w:ascii="Times New Roman" w:hint="eastAsia"/>
          <w:b/>
          <w:bCs/>
        </w:rPr>
        <w:t>）</w:t>
      </w:r>
    </w:p>
    <w:p w14:paraId="1810387D" w14:textId="77777777" w:rsidR="009C353B" w:rsidRDefault="00000000">
      <w:pPr>
        <w:adjustRightInd w:val="0"/>
        <w:snapToGrid w:val="0"/>
        <w:spacing w:line="360" w:lineRule="auto"/>
        <w:ind w:firstLineChars="200" w:firstLine="480"/>
        <w:jc w:val="center"/>
        <w:rPr>
          <w:rFonts w:ascii="Times New Roman" w:hint="eastAsia"/>
        </w:rPr>
      </w:pPr>
      <w:r>
        <w:rPr>
          <w:noProof/>
        </w:rPr>
        <w:drawing>
          <wp:inline distT="0" distB="0" distL="0" distR="0" wp14:anchorId="178EC324" wp14:editId="5AE0F9BE">
            <wp:extent cx="5149850" cy="3044825"/>
            <wp:effectExtent l="0" t="0" r="0" b="3175"/>
            <wp:docPr id="1028" name="图片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028"/>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a:xfrm>
                      <a:off x="0" y="0"/>
                      <a:ext cx="5160558" cy="3051456"/>
                    </a:xfrm>
                    <a:prstGeom prst="rect">
                      <a:avLst/>
                    </a:prstGeom>
                    <a:noFill/>
                    <a:ln>
                      <a:noFill/>
                    </a:ln>
                  </pic:spPr>
                </pic:pic>
              </a:graphicData>
            </a:graphic>
          </wp:inline>
        </w:drawing>
      </w:r>
    </w:p>
    <w:p w14:paraId="4153D2BA" w14:textId="77777777" w:rsidR="009C353B" w:rsidRDefault="00000000">
      <w:pPr>
        <w:adjustRightInd w:val="0"/>
        <w:snapToGrid w:val="0"/>
        <w:spacing w:line="360" w:lineRule="auto"/>
        <w:ind w:firstLineChars="200" w:firstLine="482"/>
        <w:jc w:val="center"/>
        <w:rPr>
          <w:rFonts w:ascii="Times New Roman" w:hint="eastAsia"/>
        </w:rPr>
      </w:pPr>
      <w:r>
        <w:rPr>
          <w:rFonts w:ascii="Times New Roman" w:hint="eastAsia"/>
          <w:b/>
          <w:bCs/>
        </w:rPr>
        <w:t>无组织监测点位图（</w:t>
      </w:r>
      <w:r>
        <w:rPr>
          <w:rFonts w:ascii="Times New Roman"/>
          <w:b/>
          <w:bCs/>
        </w:rPr>
        <w:t>5</w:t>
      </w:r>
      <w:r>
        <w:rPr>
          <w:rFonts w:ascii="Times New Roman" w:hint="eastAsia"/>
          <w:b/>
          <w:bCs/>
        </w:rPr>
        <w:t>）</w:t>
      </w:r>
    </w:p>
    <w:p w14:paraId="47C7EFB4" w14:textId="77777777" w:rsidR="009C353B" w:rsidRDefault="00000000">
      <w:pPr>
        <w:adjustRightInd w:val="0"/>
        <w:snapToGrid w:val="0"/>
        <w:spacing w:line="360" w:lineRule="auto"/>
        <w:ind w:firstLineChars="200" w:firstLine="482"/>
        <w:jc w:val="center"/>
        <w:rPr>
          <w:rFonts w:ascii="Times New Roman" w:hint="eastAsia"/>
          <w:b/>
          <w:bCs/>
        </w:rPr>
      </w:pPr>
      <w:r>
        <w:rPr>
          <w:rFonts w:ascii="Times New Roman" w:hint="eastAsia"/>
          <w:b/>
          <w:bCs/>
        </w:rPr>
        <w:t>图</w:t>
      </w:r>
      <w:r>
        <w:rPr>
          <w:rFonts w:ascii="Times New Roman" w:hint="eastAsia"/>
          <w:b/>
          <w:bCs/>
        </w:rPr>
        <w:t>4</w:t>
      </w:r>
      <w:r>
        <w:rPr>
          <w:rFonts w:ascii="Times New Roman"/>
          <w:b/>
          <w:bCs/>
        </w:rPr>
        <w:t>.2</w:t>
      </w:r>
      <w:r>
        <w:rPr>
          <w:rFonts w:ascii="Times New Roman" w:hint="eastAsia"/>
          <w:b/>
          <w:bCs/>
        </w:rPr>
        <w:t>-</w:t>
      </w:r>
      <w:r>
        <w:rPr>
          <w:rFonts w:ascii="Times New Roman"/>
          <w:b/>
          <w:bCs/>
        </w:rPr>
        <w:t xml:space="preserve">1 </w:t>
      </w:r>
      <w:r>
        <w:rPr>
          <w:rFonts w:ascii="Times New Roman" w:hint="eastAsia"/>
          <w:b/>
          <w:bCs/>
        </w:rPr>
        <w:t>矿区无组织监测点位图（</w:t>
      </w:r>
      <w:r>
        <w:rPr>
          <w:rFonts w:ascii="Times New Roman"/>
          <w:b/>
          <w:bCs/>
        </w:rPr>
        <w:t>1</w:t>
      </w:r>
      <w:r>
        <w:rPr>
          <w:rFonts w:ascii="Times New Roman" w:hint="eastAsia"/>
          <w:b/>
          <w:bCs/>
        </w:rPr>
        <w:t>）——（</w:t>
      </w:r>
      <w:r>
        <w:rPr>
          <w:rFonts w:ascii="Times New Roman" w:hint="eastAsia"/>
          <w:b/>
          <w:bCs/>
        </w:rPr>
        <w:t>5</w:t>
      </w:r>
      <w:r>
        <w:rPr>
          <w:rFonts w:ascii="Times New Roman" w:hint="eastAsia"/>
          <w:b/>
          <w:bCs/>
        </w:rPr>
        <w:t>）</w:t>
      </w:r>
    </w:p>
    <w:p w14:paraId="5C43A6D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）有</w:t>
      </w:r>
      <w:r>
        <w:rPr>
          <w:rFonts w:ascii="Times New Roman" w:hAnsi="Times New Roman"/>
        </w:rPr>
        <w:t>组织排放</w:t>
      </w:r>
    </w:p>
    <w:p w14:paraId="2A63F61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矿区有组织排放源主要为各煤矿工业场地供热锅炉房的锅炉烟气，此前矿区</w:t>
      </w:r>
      <w:r>
        <w:rPr>
          <w:rFonts w:ascii="Times New Roman" w:hAnsi="Times New Roman"/>
        </w:rPr>
        <w:t>各煤矿均按照地方大气污染防治和蓝天保卫战的有关要求</w:t>
      </w:r>
      <w:r>
        <w:rPr>
          <w:rFonts w:ascii="Times New Roman" w:hAnsi="Times New Roman" w:hint="eastAsia"/>
        </w:rPr>
        <w:t>均</w:t>
      </w:r>
      <w:r>
        <w:rPr>
          <w:rFonts w:ascii="Times New Roman" w:hAnsi="Times New Roman"/>
        </w:rPr>
        <w:t>对锅炉房进行了升级改造</w:t>
      </w:r>
      <w:r>
        <w:rPr>
          <w:rFonts w:ascii="Times New Roman" w:hAnsi="Times New Roman" w:hint="eastAsia"/>
        </w:rPr>
        <w:t>，</w:t>
      </w:r>
      <w:r>
        <w:rPr>
          <w:rFonts w:ascii="Times New Roman" w:hAnsi="Times New Roman"/>
        </w:rPr>
        <w:t>由原来的燃煤锅炉升级改造为燃气锅炉或采用电厂余热供热</w:t>
      </w:r>
      <w:r>
        <w:rPr>
          <w:rFonts w:ascii="Times New Roman" w:hAnsi="Times New Roman" w:hint="eastAsia"/>
        </w:rPr>
        <w:t>。</w:t>
      </w:r>
    </w:p>
    <w:p w14:paraId="57E3EF5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矿区煤矿工业场地各阶段供热情况见表</w:t>
      </w:r>
      <w:r>
        <w:rPr>
          <w:rFonts w:ascii="Times New Roman" w:hAnsi="Times New Roman" w:hint="eastAsia"/>
        </w:rPr>
        <w:t>4.2-2</w:t>
      </w:r>
      <w:r>
        <w:rPr>
          <w:rFonts w:ascii="Times New Roman" w:hAnsi="Times New Roman" w:hint="eastAsia"/>
        </w:rPr>
        <w:t>。</w:t>
      </w:r>
    </w:p>
    <w:p w14:paraId="5E611460" w14:textId="77777777" w:rsidR="009C353B" w:rsidRDefault="00000000">
      <w:pPr>
        <w:adjustRightInd w:val="0"/>
        <w:snapToGrid w:val="0"/>
        <w:spacing w:line="440" w:lineRule="exact"/>
        <w:jc w:val="center"/>
        <w:rPr>
          <w:rFonts w:ascii="Times New Roman" w:hAnsi="Times New Roman"/>
          <w:b/>
        </w:rPr>
      </w:pPr>
      <w:r>
        <w:rPr>
          <w:rFonts w:ascii="Times New Roman" w:hAnsi="Times New Roman" w:hint="eastAsia"/>
          <w:b/>
        </w:rPr>
        <w:t>矿区煤矿工业场地各阶段供热情况</w:t>
      </w:r>
    </w:p>
    <w:p w14:paraId="4D577CD1" w14:textId="77777777" w:rsidR="009C353B" w:rsidRDefault="00000000">
      <w:pPr>
        <w:adjustRightInd w:val="0"/>
        <w:snapToGrid w:val="0"/>
        <w:spacing w:line="440" w:lineRule="exact"/>
        <w:ind w:firstLineChars="200" w:firstLine="480"/>
        <w:outlineLvl w:val="4"/>
        <w:rPr>
          <w:rFonts w:ascii="Times New Roman" w:hAnsi="Times New Roman"/>
          <w:szCs w:val="24"/>
        </w:rPr>
      </w:pPr>
      <w:r>
        <w:rPr>
          <w:rFonts w:ascii="Times New Roman" w:hAnsi="Times New Roman" w:hint="eastAsia"/>
          <w:szCs w:val="24"/>
        </w:rPr>
        <w:t>表</w:t>
      </w:r>
      <w:r>
        <w:rPr>
          <w:rFonts w:ascii="Times New Roman" w:hAnsi="Times New Roman" w:hint="eastAsia"/>
          <w:szCs w:val="24"/>
        </w:rPr>
        <w:t>4.2-2</w:t>
      </w:r>
    </w:p>
    <w:tbl>
      <w:tblPr>
        <w:tblStyle w:val="afffb"/>
        <w:tblW w:w="5000" w:type="pct"/>
        <w:jc w:val="center"/>
        <w:tblLook w:val="04A0" w:firstRow="1" w:lastRow="0" w:firstColumn="1" w:lastColumn="0" w:noHBand="0" w:noVBand="1"/>
      </w:tblPr>
      <w:tblGrid>
        <w:gridCol w:w="1125"/>
        <w:gridCol w:w="2268"/>
        <w:gridCol w:w="2268"/>
        <w:gridCol w:w="1843"/>
        <w:gridCol w:w="1783"/>
      </w:tblGrid>
      <w:tr w:rsidR="009C353B" w14:paraId="04CF4217" w14:textId="77777777">
        <w:trPr>
          <w:trHeight w:val="514"/>
          <w:tblHeader/>
          <w:jc w:val="center"/>
        </w:trPr>
        <w:tc>
          <w:tcPr>
            <w:tcW w:w="1125" w:type="dxa"/>
            <w:vAlign w:val="center"/>
          </w:tcPr>
          <w:p w14:paraId="305C44E1" w14:textId="77777777" w:rsidR="009C353B" w:rsidRDefault="00000000">
            <w:pPr>
              <w:adjustRightInd w:val="0"/>
              <w:snapToGrid w:val="0"/>
              <w:jc w:val="center"/>
              <w:rPr>
                <w:rFonts w:ascii="Times New Roman" w:hAnsi="Times New Roman"/>
                <w:sz w:val="21"/>
                <w:szCs w:val="21"/>
              </w:rPr>
            </w:pPr>
            <w:r>
              <w:rPr>
                <w:rFonts w:ascii="Times New Roman"/>
                <w:sz w:val="21"/>
                <w:szCs w:val="21"/>
              </w:rPr>
              <w:t>煤矿名称</w:t>
            </w:r>
          </w:p>
        </w:tc>
        <w:tc>
          <w:tcPr>
            <w:tcW w:w="2268" w:type="dxa"/>
            <w:vAlign w:val="center"/>
          </w:tcPr>
          <w:p w14:paraId="5ECB353E" w14:textId="77777777" w:rsidR="009C353B" w:rsidRDefault="00000000">
            <w:pPr>
              <w:adjustRightInd w:val="0"/>
              <w:snapToGrid w:val="0"/>
              <w:jc w:val="center"/>
              <w:rPr>
                <w:rFonts w:ascii="Times New Roman" w:hAnsi="Times New Roman"/>
                <w:sz w:val="21"/>
                <w:szCs w:val="21"/>
              </w:rPr>
            </w:pPr>
            <w:r>
              <w:rPr>
                <w:rFonts w:ascii="Times New Roman"/>
                <w:sz w:val="21"/>
                <w:szCs w:val="21"/>
              </w:rPr>
              <w:t>环评阶段</w:t>
            </w:r>
          </w:p>
        </w:tc>
        <w:tc>
          <w:tcPr>
            <w:tcW w:w="2268" w:type="dxa"/>
            <w:vAlign w:val="center"/>
          </w:tcPr>
          <w:p w14:paraId="34C66CA2" w14:textId="77777777" w:rsidR="009C353B" w:rsidRDefault="00000000">
            <w:pPr>
              <w:adjustRightInd w:val="0"/>
              <w:snapToGrid w:val="0"/>
              <w:jc w:val="center"/>
              <w:rPr>
                <w:rFonts w:ascii="Times New Roman" w:hAnsi="Times New Roman"/>
                <w:sz w:val="21"/>
                <w:szCs w:val="21"/>
              </w:rPr>
            </w:pPr>
            <w:r>
              <w:rPr>
                <w:rFonts w:ascii="Times New Roman"/>
                <w:sz w:val="21"/>
                <w:szCs w:val="21"/>
              </w:rPr>
              <w:t>验收阶段</w:t>
            </w:r>
          </w:p>
        </w:tc>
        <w:tc>
          <w:tcPr>
            <w:tcW w:w="1843" w:type="dxa"/>
            <w:vAlign w:val="center"/>
          </w:tcPr>
          <w:p w14:paraId="3B4245EA" w14:textId="77777777" w:rsidR="009C353B" w:rsidRDefault="00000000">
            <w:pPr>
              <w:adjustRightInd w:val="0"/>
              <w:snapToGrid w:val="0"/>
              <w:jc w:val="center"/>
              <w:rPr>
                <w:rFonts w:ascii="Times New Roman" w:hAnsi="Times New Roman"/>
                <w:sz w:val="21"/>
                <w:szCs w:val="21"/>
              </w:rPr>
            </w:pPr>
            <w:r>
              <w:rPr>
                <w:rFonts w:ascii="Times New Roman"/>
                <w:sz w:val="21"/>
                <w:szCs w:val="21"/>
              </w:rPr>
              <w:t>现状</w:t>
            </w:r>
          </w:p>
        </w:tc>
        <w:tc>
          <w:tcPr>
            <w:tcW w:w="1783" w:type="dxa"/>
            <w:vAlign w:val="center"/>
          </w:tcPr>
          <w:p w14:paraId="7880EB49" w14:textId="77777777" w:rsidR="009C353B" w:rsidRDefault="00000000">
            <w:pPr>
              <w:adjustRightInd w:val="0"/>
              <w:snapToGrid w:val="0"/>
              <w:jc w:val="center"/>
              <w:rPr>
                <w:rFonts w:ascii="Times New Roman" w:hAnsi="Times New Roman"/>
                <w:sz w:val="21"/>
                <w:szCs w:val="21"/>
              </w:rPr>
            </w:pPr>
            <w:r>
              <w:rPr>
                <w:rFonts w:ascii="Times New Roman"/>
                <w:sz w:val="21"/>
                <w:szCs w:val="21"/>
              </w:rPr>
              <w:t>本次规划</w:t>
            </w:r>
          </w:p>
        </w:tc>
      </w:tr>
      <w:tr w:rsidR="009C353B" w14:paraId="53FE7E9A" w14:textId="77777777">
        <w:trPr>
          <w:trHeight w:val="988"/>
          <w:jc w:val="center"/>
        </w:trPr>
        <w:tc>
          <w:tcPr>
            <w:tcW w:w="1125" w:type="dxa"/>
            <w:vAlign w:val="center"/>
          </w:tcPr>
          <w:p w14:paraId="1E27157E" w14:textId="77777777" w:rsidR="009C353B" w:rsidRDefault="00000000">
            <w:pPr>
              <w:adjustRightInd w:val="0"/>
              <w:snapToGrid w:val="0"/>
              <w:jc w:val="center"/>
              <w:rPr>
                <w:rFonts w:ascii="Times New Roman" w:hint="eastAsia"/>
                <w:sz w:val="21"/>
                <w:szCs w:val="21"/>
              </w:rPr>
            </w:pPr>
            <w:r>
              <w:rPr>
                <w:rFonts w:ascii="Times New Roman"/>
                <w:sz w:val="21"/>
                <w:szCs w:val="21"/>
              </w:rPr>
              <w:t>马莲台</w:t>
            </w:r>
          </w:p>
          <w:p w14:paraId="5C7051E5" w14:textId="77777777" w:rsidR="009C353B" w:rsidRDefault="00000000">
            <w:pPr>
              <w:adjustRightInd w:val="0"/>
              <w:snapToGrid w:val="0"/>
              <w:jc w:val="center"/>
              <w:rPr>
                <w:rFonts w:ascii="Times New Roman" w:hAnsi="Times New Roman"/>
                <w:sz w:val="21"/>
                <w:szCs w:val="21"/>
              </w:rPr>
            </w:pPr>
            <w:r>
              <w:rPr>
                <w:rFonts w:ascii="Times New Roman"/>
                <w:sz w:val="21"/>
                <w:szCs w:val="21"/>
              </w:rPr>
              <w:t>煤矿</w:t>
            </w:r>
          </w:p>
        </w:tc>
        <w:tc>
          <w:tcPr>
            <w:tcW w:w="2268" w:type="dxa"/>
            <w:vAlign w:val="center"/>
          </w:tcPr>
          <w:p w14:paraId="5C02B733" w14:textId="77777777" w:rsidR="009C353B" w:rsidRDefault="00000000">
            <w:pPr>
              <w:adjustRightInd w:val="0"/>
              <w:snapToGrid w:val="0"/>
              <w:jc w:val="center"/>
              <w:rPr>
                <w:rFonts w:ascii="Times New Roman" w:hAnsi="Times New Roman"/>
                <w:sz w:val="21"/>
                <w:szCs w:val="21"/>
              </w:rPr>
            </w:pPr>
            <w:r>
              <w:rPr>
                <w:rFonts w:ascii="Times New Roman"/>
                <w:sz w:val="21"/>
                <w:szCs w:val="21"/>
                <w:lang w:val="zh-CN"/>
              </w:rPr>
              <w:t>锅炉房</w:t>
            </w:r>
            <w:r>
              <w:rPr>
                <w:rFonts w:ascii="Times New Roman" w:hAnsi="Times New Roman"/>
                <w:sz w:val="21"/>
                <w:szCs w:val="21"/>
                <w:lang w:val="zh-CN"/>
              </w:rPr>
              <w:t>1</w:t>
            </w:r>
            <w:r>
              <w:rPr>
                <w:rFonts w:ascii="Times New Roman"/>
                <w:sz w:val="21"/>
                <w:szCs w:val="21"/>
                <w:lang w:val="zh-CN"/>
              </w:rPr>
              <w:t>座，设置</w:t>
            </w:r>
            <w:r>
              <w:rPr>
                <w:rFonts w:ascii="Times New Roman" w:hAnsi="Times New Roman"/>
                <w:sz w:val="21"/>
                <w:szCs w:val="21"/>
                <w:lang w:val="zh-CN"/>
              </w:rPr>
              <w:t>2</w:t>
            </w:r>
            <w:r>
              <w:rPr>
                <w:rFonts w:ascii="Times New Roman"/>
                <w:sz w:val="21"/>
                <w:szCs w:val="21"/>
                <w:lang w:val="zh-CN"/>
              </w:rPr>
              <w:t>台</w:t>
            </w:r>
            <w:r>
              <w:rPr>
                <w:rFonts w:ascii="Times New Roman" w:hAnsi="Times New Roman"/>
                <w:sz w:val="21"/>
                <w:szCs w:val="21"/>
              </w:rPr>
              <w:t>10t/h</w:t>
            </w:r>
            <w:r>
              <w:rPr>
                <w:rFonts w:ascii="Times New Roman"/>
                <w:sz w:val="21"/>
                <w:szCs w:val="21"/>
              </w:rPr>
              <w:t>燃煤</w:t>
            </w:r>
            <w:r>
              <w:rPr>
                <w:rFonts w:ascii="Times New Roman"/>
                <w:sz w:val="21"/>
                <w:szCs w:val="21"/>
                <w:lang w:val="zh-CN"/>
              </w:rPr>
              <w:t>蒸汽锅炉和</w:t>
            </w:r>
            <w:r>
              <w:rPr>
                <w:rFonts w:ascii="Times New Roman" w:hAnsi="Times New Roman"/>
                <w:sz w:val="21"/>
                <w:szCs w:val="21"/>
                <w:lang w:val="zh-CN"/>
              </w:rPr>
              <w:t>1</w:t>
            </w:r>
            <w:r>
              <w:rPr>
                <w:rFonts w:ascii="Times New Roman"/>
                <w:sz w:val="21"/>
                <w:szCs w:val="21"/>
                <w:lang w:val="zh-CN"/>
              </w:rPr>
              <w:t>台</w:t>
            </w:r>
            <w:r>
              <w:rPr>
                <w:rFonts w:ascii="Times New Roman" w:hAnsi="Times New Roman"/>
                <w:sz w:val="21"/>
                <w:szCs w:val="21"/>
              </w:rPr>
              <w:t>2t/h</w:t>
            </w:r>
            <w:r>
              <w:rPr>
                <w:rFonts w:ascii="Times New Roman"/>
                <w:sz w:val="21"/>
                <w:szCs w:val="21"/>
              </w:rPr>
              <w:t>燃煤</w:t>
            </w:r>
            <w:r>
              <w:rPr>
                <w:rFonts w:ascii="Times New Roman"/>
                <w:sz w:val="21"/>
                <w:szCs w:val="21"/>
                <w:lang w:val="zh-CN"/>
              </w:rPr>
              <w:t>蒸汽锅炉</w:t>
            </w:r>
          </w:p>
        </w:tc>
        <w:tc>
          <w:tcPr>
            <w:tcW w:w="2268" w:type="dxa"/>
            <w:vAlign w:val="center"/>
          </w:tcPr>
          <w:p w14:paraId="6F3B06C7" w14:textId="77777777" w:rsidR="009C353B" w:rsidRDefault="00000000">
            <w:pPr>
              <w:adjustRightInd w:val="0"/>
              <w:snapToGrid w:val="0"/>
              <w:jc w:val="center"/>
              <w:rPr>
                <w:rFonts w:ascii="Times New Roman" w:hAnsi="Times New Roman"/>
                <w:sz w:val="21"/>
                <w:szCs w:val="21"/>
              </w:rPr>
            </w:pPr>
            <w:r>
              <w:rPr>
                <w:rFonts w:ascii="Times New Roman" w:hint="eastAsia"/>
                <w:sz w:val="21"/>
                <w:szCs w:val="21"/>
              </w:rPr>
              <w:t>2</w:t>
            </w:r>
            <w:r>
              <w:rPr>
                <w:rFonts w:ascii="Times New Roman"/>
                <w:sz w:val="21"/>
                <w:szCs w:val="21"/>
              </w:rPr>
              <w:t>010</w:t>
            </w:r>
            <w:r>
              <w:rPr>
                <w:rFonts w:ascii="Times New Roman"/>
                <w:sz w:val="21"/>
                <w:szCs w:val="21"/>
              </w:rPr>
              <w:t>年验收宁夏宝丰能源有限公司甲醇厂</w:t>
            </w:r>
            <w:r>
              <w:rPr>
                <w:rFonts w:ascii="Times New Roman" w:hAnsi="Times New Roman"/>
                <w:sz w:val="21"/>
                <w:szCs w:val="21"/>
              </w:rPr>
              <w:t>5×25MW</w:t>
            </w:r>
            <w:r>
              <w:rPr>
                <w:rFonts w:ascii="Times New Roman"/>
                <w:sz w:val="21"/>
                <w:szCs w:val="21"/>
              </w:rPr>
              <w:t>自备热电站供热</w:t>
            </w:r>
          </w:p>
        </w:tc>
        <w:tc>
          <w:tcPr>
            <w:tcW w:w="1843" w:type="dxa"/>
            <w:vAlign w:val="center"/>
          </w:tcPr>
          <w:p w14:paraId="467FE5AC" w14:textId="77777777" w:rsidR="009C353B" w:rsidRDefault="00000000">
            <w:pPr>
              <w:adjustRightInd w:val="0"/>
              <w:snapToGrid w:val="0"/>
              <w:jc w:val="center"/>
              <w:rPr>
                <w:rFonts w:ascii="Times New Roman" w:hAnsi="Times New Roman"/>
                <w:sz w:val="21"/>
                <w:szCs w:val="21"/>
              </w:rPr>
            </w:pPr>
            <w:r>
              <w:rPr>
                <w:rFonts w:ascii="Times New Roman" w:hint="eastAsia"/>
                <w:sz w:val="21"/>
                <w:szCs w:val="21"/>
              </w:rPr>
              <w:t>临河</w:t>
            </w:r>
            <w:r>
              <w:rPr>
                <w:rFonts w:ascii="Times New Roman"/>
                <w:sz w:val="21"/>
                <w:szCs w:val="21"/>
              </w:rPr>
              <w:t>工业园区</w:t>
            </w:r>
            <w:r>
              <w:rPr>
                <w:rFonts w:ascii="Times New Roman" w:hint="eastAsia"/>
                <w:sz w:val="21"/>
                <w:szCs w:val="21"/>
              </w:rPr>
              <w:t>甲醇厂</w:t>
            </w:r>
            <w:r>
              <w:rPr>
                <w:rFonts w:ascii="Times New Roman" w:hint="eastAsia"/>
                <w:sz w:val="21"/>
                <w:szCs w:val="21"/>
              </w:rPr>
              <w:t>5</w:t>
            </w:r>
            <w:r>
              <w:rPr>
                <w:rFonts w:hint="eastAsia"/>
                <w:sz w:val="21"/>
                <w:szCs w:val="21"/>
              </w:rPr>
              <w:t>×</w:t>
            </w:r>
            <w:r>
              <w:rPr>
                <w:rFonts w:ascii="Times New Roman" w:hint="eastAsia"/>
                <w:sz w:val="21"/>
                <w:szCs w:val="21"/>
              </w:rPr>
              <w:t>25MW</w:t>
            </w:r>
            <w:r>
              <w:rPr>
                <w:rFonts w:ascii="Times New Roman" w:hint="eastAsia"/>
                <w:sz w:val="21"/>
                <w:szCs w:val="21"/>
              </w:rPr>
              <w:t>自备热电站</w:t>
            </w:r>
            <w:r>
              <w:rPr>
                <w:rFonts w:ascii="Times New Roman"/>
                <w:sz w:val="21"/>
                <w:szCs w:val="21"/>
              </w:rPr>
              <w:t>供热</w:t>
            </w:r>
          </w:p>
        </w:tc>
        <w:tc>
          <w:tcPr>
            <w:tcW w:w="1783" w:type="dxa"/>
            <w:vAlign w:val="center"/>
          </w:tcPr>
          <w:p w14:paraId="339AC82F" w14:textId="77777777" w:rsidR="009C353B" w:rsidRDefault="00000000">
            <w:pPr>
              <w:adjustRightInd w:val="0"/>
              <w:snapToGrid w:val="0"/>
              <w:rPr>
                <w:rFonts w:ascii="Times New Roman" w:hAnsi="Times New Roman"/>
                <w:sz w:val="21"/>
                <w:szCs w:val="21"/>
              </w:rPr>
            </w:pPr>
            <w:r>
              <w:rPr>
                <w:rFonts w:ascii="Times New Roman"/>
                <w:sz w:val="21"/>
                <w:szCs w:val="21"/>
              </w:rPr>
              <w:t>现状利用外部热源</w:t>
            </w:r>
            <w:r>
              <w:rPr>
                <w:rFonts w:ascii="Times New Roman" w:hint="eastAsia"/>
                <w:sz w:val="21"/>
                <w:szCs w:val="21"/>
              </w:rPr>
              <w:t>，</w:t>
            </w:r>
            <w:r>
              <w:rPr>
                <w:rFonts w:ascii="Times New Roman"/>
                <w:sz w:val="21"/>
                <w:szCs w:val="21"/>
              </w:rPr>
              <w:t>无污染物排放</w:t>
            </w:r>
            <w:r>
              <w:rPr>
                <w:rFonts w:ascii="Times New Roman" w:hint="eastAsia"/>
                <w:sz w:val="21"/>
                <w:szCs w:val="21"/>
              </w:rPr>
              <w:t>，</w:t>
            </w:r>
            <w:r>
              <w:rPr>
                <w:rFonts w:ascii="Times New Roman"/>
                <w:sz w:val="21"/>
                <w:szCs w:val="21"/>
              </w:rPr>
              <w:t>本次规划不做调整</w:t>
            </w:r>
            <w:r>
              <w:rPr>
                <w:rFonts w:ascii="Times New Roman" w:hint="eastAsia"/>
                <w:sz w:val="21"/>
                <w:szCs w:val="21"/>
              </w:rPr>
              <w:t>。</w:t>
            </w:r>
          </w:p>
        </w:tc>
      </w:tr>
      <w:tr w:rsidR="009C353B" w14:paraId="399BEE4A" w14:textId="77777777">
        <w:trPr>
          <w:trHeight w:val="1258"/>
          <w:jc w:val="center"/>
        </w:trPr>
        <w:tc>
          <w:tcPr>
            <w:tcW w:w="1125" w:type="dxa"/>
            <w:vAlign w:val="center"/>
          </w:tcPr>
          <w:p w14:paraId="654BB761" w14:textId="77777777" w:rsidR="009C353B" w:rsidRDefault="00000000">
            <w:pPr>
              <w:adjustRightInd w:val="0"/>
              <w:snapToGrid w:val="0"/>
              <w:jc w:val="center"/>
              <w:rPr>
                <w:rFonts w:ascii="Times New Roman" w:hint="eastAsia"/>
                <w:sz w:val="21"/>
                <w:szCs w:val="21"/>
              </w:rPr>
            </w:pPr>
            <w:r>
              <w:rPr>
                <w:rFonts w:ascii="Times New Roman"/>
                <w:sz w:val="21"/>
                <w:szCs w:val="21"/>
              </w:rPr>
              <w:t>红石湾</w:t>
            </w:r>
          </w:p>
          <w:p w14:paraId="24C6F17C" w14:textId="77777777" w:rsidR="009C353B" w:rsidRDefault="00000000">
            <w:pPr>
              <w:adjustRightInd w:val="0"/>
              <w:snapToGrid w:val="0"/>
              <w:jc w:val="center"/>
              <w:rPr>
                <w:rFonts w:ascii="Times New Roman" w:hAnsi="Times New Roman"/>
                <w:sz w:val="21"/>
                <w:szCs w:val="21"/>
              </w:rPr>
            </w:pPr>
            <w:r>
              <w:rPr>
                <w:rFonts w:ascii="Times New Roman"/>
                <w:sz w:val="21"/>
                <w:szCs w:val="21"/>
              </w:rPr>
              <w:t>煤矿</w:t>
            </w:r>
          </w:p>
        </w:tc>
        <w:tc>
          <w:tcPr>
            <w:tcW w:w="2268" w:type="dxa"/>
            <w:vAlign w:val="center"/>
          </w:tcPr>
          <w:p w14:paraId="7F2AF570" w14:textId="77777777" w:rsidR="009C353B" w:rsidRDefault="00000000">
            <w:pPr>
              <w:adjustRightInd w:val="0"/>
              <w:snapToGrid w:val="0"/>
              <w:jc w:val="center"/>
              <w:rPr>
                <w:rFonts w:ascii="Times New Roman" w:hAnsi="Times New Roman"/>
                <w:sz w:val="21"/>
                <w:szCs w:val="21"/>
              </w:rPr>
            </w:pPr>
            <w:r>
              <w:rPr>
                <w:rFonts w:ascii="Times New Roman"/>
                <w:sz w:val="21"/>
                <w:szCs w:val="21"/>
                <w:lang w:val="zh-CN"/>
              </w:rPr>
              <w:t>锅炉房</w:t>
            </w:r>
            <w:r>
              <w:rPr>
                <w:rFonts w:ascii="Times New Roman" w:hAnsi="Times New Roman"/>
                <w:sz w:val="21"/>
                <w:szCs w:val="21"/>
                <w:lang w:val="zh-CN"/>
              </w:rPr>
              <w:t>1</w:t>
            </w:r>
            <w:r>
              <w:rPr>
                <w:rFonts w:ascii="Times New Roman"/>
                <w:sz w:val="21"/>
                <w:szCs w:val="21"/>
                <w:lang w:val="zh-CN"/>
              </w:rPr>
              <w:t>座，设置</w:t>
            </w:r>
            <w:r>
              <w:rPr>
                <w:rFonts w:ascii="Times New Roman" w:hAnsi="Times New Roman"/>
                <w:sz w:val="21"/>
                <w:szCs w:val="21"/>
                <w:lang w:val="zh-CN"/>
              </w:rPr>
              <w:t>2</w:t>
            </w:r>
            <w:r>
              <w:rPr>
                <w:rFonts w:ascii="Times New Roman"/>
                <w:sz w:val="21"/>
                <w:szCs w:val="21"/>
                <w:lang w:val="zh-CN"/>
              </w:rPr>
              <w:t>台</w:t>
            </w:r>
            <w:r>
              <w:rPr>
                <w:rFonts w:ascii="Times New Roman" w:hAnsi="Times New Roman"/>
                <w:sz w:val="21"/>
                <w:szCs w:val="21"/>
              </w:rPr>
              <w:t>10t/h</w:t>
            </w:r>
            <w:r>
              <w:rPr>
                <w:rFonts w:ascii="Times New Roman"/>
                <w:sz w:val="21"/>
                <w:szCs w:val="21"/>
              </w:rPr>
              <w:t>燃煤</w:t>
            </w:r>
            <w:r>
              <w:rPr>
                <w:rFonts w:ascii="Times New Roman"/>
                <w:sz w:val="21"/>
                <w:szCs w:val="21"/>
                <w:lang w:val="zh-CN"/>
              </w:rPr>
              <w:t>蒸汽锅炉和</w:t>
            </w:r>
            <w:r>
              <w:rPr>
                <w:rFonts w:ascii="Times New Roman" w:hAnsi="Times New Roman"/>
                <w:sz w:val="21"/>
                <w:szCs w:val="21"/>
                <w:lang w:val="zh-CN"/>
              </w:rPr>
              <w:t>1</w:t>
            </w:r>
            <w:r>
              <w:rPr>
                <w:rFonts w:ascii="Times New Roman"/>
                <w:sz w:val="21"/>
                <w:szCs w:val="21"/>
                <w:lang w:val="zh-CN"/>
              </w:rPr>
              <w:t>台</w:t>
            </w:r>
            <w:r>
              <w:rPr>
                <w:rFonts w:ascii="Times New Roman" w:hAnsi="Times New Roman"/>
                <w:sz w:val="21"/>
                <w:szCs w:val="21"/>
              </w:rPr>
              <w:t>4t/h</w:t>
            </w:r>
            <w:r>
              <w:rPr>
                <w:rFonts w:ascii="Times New Roman"/>
                <w:sz w:val="21"/>
                <w:szCs w:val="21"/>
              </w:rPr>
              <w:t>燃煤</w:t>
            </w:r>
            <w:r>
              <w:rPr>
                <w:rFonts w:ascii="Times New Roman"/>
                <w:sz w:val="21"/>
                <w:szCs w:val="21"/>
                <w:lang w:val="zh-CN"/>
              </w:rPr>
              <w:t>蒸汽锅炉</w:t>
            </w:r>
          </w:p>
        </w:tc>
        <w:tc>
          <w:tcPr>
            <w:tcW w:w="2268" w:type="dxa"/>
            <w:vAlign w:val="center"/>
          </w:tcPr>
          <w:p w14:paraId="2E16D043" w14:textId="77777777" w:rsidR="009C353B" w:rsidRDefault="00000000">
            <w:pPr>
              <w:adjustRightInd w:val="0"/>
              <w:snapToGrid w:val="0"/>
              <w:jc w:val="center"/>
              <w:rPr>
                <w:rFonts w:ascii="Times New Roman" w:hAnsi="Times New Roman"/>
                <w:sz w:val="21"/>
                <w:szCs w:val="21"/>
              </w:rPr>
            </w:pPr>
            <w:r>
              <w:rPr>
                <w:rFonts w:ascii="Times New Roman"/>
                <w:sz w:val="21"/>
                <w:szCs w:val="21"/>
                <w:lang w:val="zh-CN"/>
              </w:rPr>
              <w:t>锅炉房</w:t>
            </w:r>
            <w:r>
              <w:rPr>
                <w:rFonts w:ascii="Times New Roman" w:hAnsi="Times New Roman"/>
                <w:sz w:val="21"/>
                <w:szCs w:val="21"/>
                <w:lang w:val="zh-CN"/>
              </w:rPr>
              <w:t>1</w:t>
            </w:r>
            <w:r>
              <w:rPr>
                <w:rFonts w:ascii="Times New Roman"/>
                <w:sz w:val="21"/>
                <w:szCs w:val="21"/>
                <w:lang w:val="zh-CN"/>
              </w:rPr>
              <w:t>座，设置</w:t>
            </w:r>
            <w:r>
              <w:rPr>
                <w:rFonts w:ascii="Times New Roman" w:hAnsi="Times New Roman"/>
                <w:sz w:val="21"/>
                <w:szCs w:val="21"/>
                <w:lang w:val="zh-CN"/>
              </w:rPr>
              <w:t>2</w:t>
            </w:r>
            <w:r>
              <w:rPr>
                <w:rFonts w:ascii="Times New Roman"/>
                <w:sz w:val="21"/>
                <w:szCs w:val="21"/>
                <w:lang w:val="zh-CN"/>
              </w:rPr>
              <w:t>台</w:t>
            </w:r>
            <w:r>
              <w:rPr>
                <w:rFonts w:ascii="Times New Roman" w:hAnsi="Times New Roman"/>
                <w:sz w:val="21"/>
                <w:szCs w:val="21"/>
              </w:rPr>
              <w:t>10t/h</w:t>
            </w:r>
            <w:r>
              <w:rPr>
                <w:rFonts w:ascii="Times New Roman"/>
                <w:sz w:val="21"/>
                <w:szCs w:val="21"/>
              </w:rPr>
              <w:t>燃煤</w:t>
            </w:r>
            <w:r>
              <w:rPr>
                <w:rFonts w:ascii="Times New Roman"/>
                <w:sz w:val="21"/>
                <w:szCs w:val="21"/>
                <w:lang w:val="zh-CN"/>
              </w:rPr>
              <w:t>蒸汽锅炉和</w:t>
            </w:r>
            <w:r>
              <w:rPr>
                <w:rFonts w:ascii="Times New Roman" w:hAnsi="Times New Roman"/>
                <w:sz w:val="21"/>
                <w:szCs w:val="21"/>
                <w:lang w:val="zh-CN"/>
              </w:rPr>
              <w:t>1</w:t>
            </w:r>
            <w:r>
              <w:rPr>
                <w:rFonts w:ascii="Times New Roman"/>
                <w:sz w:val="21"/>
                <w:szCs w:val="21"/>
                <w:lang w:val="zh-CN"/>
              </w:rPr>
              <w:t>台</w:t>
            </w:r>
            <w:r>
              <w:rPr>
                <w:rFonts w:ascii="Times New Roman" w:hAnsi="Times New Roman"/>
                <w:sz w:val="21"/>
                <w:szCs w:val="21"/>
              </w:rPr>
              <w:t>4t/h</w:t>
            </w:r>
            <w:r>
              <w:rPr>
                <w:rFonts w:ascii="Times New Roman"/>
                <w:sz w:val="21"/>
                <w:szCs w:val="21"/>
              </w:rPr>
              <w:t>燃煤</w:t>
            </w:r>
            <w:r>
              <w:rPr>
                <w:rFonts w:ascii="Times New Roman"/>
                <w:sz w:val="21"/>
                <w:szCs w:val="21"/>
                <w:lang w:val="zh-CN"/>
              </w:rPr>
              <w:t>蒸汽锅炉</w:t>
            </w:r>
          </w:p>
        </w:tc>
        <w:tc>
          <w:tcPr>
            <w:tcW w:w="1843" w:type="dxa"/>
            <w:vAlign w:val="center"/>
          </w:tcPr>
          <w:p w14:paraId="3C405682" w14:textId="77777777" w:rsidR="009C353B" w:rsidRDefault="00000000">
            <w:pPr>
              <w:adjustRightInd w:val="0"/>
              <w:snapToGrid w:val="0"/>
              <w:jc w:val="center"/>
              <w:rPr>
                <w:rFonts w:ascii="Times New Roman" w:hint="eastAsia"/>
                <w:sz w:val="21"/>
                <w:szCs w:val="21"/>
              </w:rPr>
            </w:pPr>
            <w:r>
              <w:rPr>
                <w:rFonts w:ascii="Times New Roman" w:hint="eastAsia"/>
                <w:sz w:val="21"/>
                <w:szCs w:val="21"/>
              </w:rPr>
              <w:t>2</w:t>
            </w:r>
            <w:r>
              <w:rPr>
                <w:rFonts w:ascii="Times New Roman"/>
                <w:sz w:val="21"/>
                <w:szCs w:val="21"/>
              </w:rPr>
              <w:t>018</w:t>
            </w:r>
            <w:r>
              <w:rPr>
                <w:rFonts w:ascii="Times New Roman" w:hint="eastAsia"/>
                <w:sz w:val="21"/>
                <w:szCs w:val="21"/>
              </w:rPr>
              <w:t>年供热改为银川中科环保电力有限公司生活垃圾焚烧发电厂余热</w:t>
            </w:r>
          </w:p>
        </w:tc>
        <w:tc>
          <w:tcPr>
            <w:tcW w:w="1783" w:type="dxa"/>
            <w:vAlign w:val="center"/>
          </w:tcPr>
          <w:p w14:paraId="0B438D99" w14:textId="77777777" w:rsidR="009C353B" w:rsidRDefault="00000000">
            <w:pPr>
              <w:adjustRightInd w:val="0"/>
              <w:snapToGrid w:val="0"/>
              <w:jc w:val="center"/>
              <w:rPr>
                <w:rFonts w:ascii="Times New Roman" w:hAnsi="Times New Roman"/>
                <w:sz w:val="21"/>
                <w:szCs w:val="21"/>
              </w:rPr>
            </w:pPr>
            <w:r>
              <w:rPr>
                <w:rFonts w:ascii="Times New Roman"/>
                <w:sz w:val="21"/>
                <w:szCs w:val="21"/>
              </w:rPr>
              <w:t>现状利用外部热源</w:t>
            </w:r>
            <w:r>
              <w:rPr>
                <w:rFonts w:ascii="Times New Roman" w:hint="eastAsia"/>
                <w:sz w:val="21"/>
                <w:szCs w:val="21"/>
              </w:rPr>
              <w:t>，</w:t>
            </w:r>
            <w:r>
              <w:rPr>
                <w:rFonts w:ascii="Times New Roman"/>
                <w:sz w:val="21"/>
                <w:szCs w:val="21"/>
              </w:rPr>
              <w:t>无污染物排放</w:t>
            </w:r>
            <w:r>
              <w:rPr>
                <w:rFonts w:ascii="Times New Roman" w:hint="eastAsia"/>
                <w:sz w:val="21"/>
                <w:szCs w:val="21"/>
              </w:rPr>
              <w:t>，</w:t>
            </w:r>
            <w:r>
              <w:rPr>
                <w:rFonts w:ascii="Times New Roman"/>
                <w:sz w:val="21"/>
                <w:szCs w:val="21"/>
              </w:rPr>
              <w:t>本次规划不做调整</w:t>
            </w:r>
            <w:r>
              <w:rPr>
                <w:rFonts w:ascii="Times New Roman" w:hint="eastAsia"/>
                <w:sz w:val="21"/>
                <w:szCs w:val="21"/>
              </w:rPr>
              <w:t>。</w:t>
            </w:r>
          </w:p>
        </w:tc>
      </w:tr>
      <w:tr w:rsidR="009C353B" w14:paraId="4BA4B348" w14:textId="77777777">
        <w:trPr>
          <w:trHeight w:val="1700"/>
          <w:jc w:val="center"/>
        </w:trPr>
        <w:tc>
          <w:tcPr>
            <w:tcW w:w="1125" w:type="dxa"/>
            <w:vAlign w:val="center"/>
          </w:tcPr>
          <w:p w14:paraId="2E116034" w14:textId="77777777" w:rsidR="009C353B" w:rsidRDefault="00000000">
            <w:pPr>
              <w:adjustRightInd w:val="0"/>
              <w:snapToGrid w:val="0"/>
              <w:jc w:val="center"/>
              <w:rPr>
                <w:rFonts w:ascii="Times New Roman" w:hint="eastAsia"/>
                <w:sz w:val="21"/>
                <w:szCs w:val="21"/>
              </w:rPr>
            </w:pPr>
            <w:r>
              <w:rPr>
                <w:rFonts w:ascii="Times New Roman"/>
                <w:sz w:val="21"/>
                <w:szCs w:val="21"/>
              </w:rPr>
              <w:t>任家庄</w:t>
            </w:r>
          </w:p>
          <w:p w14:paraId="6BA48421" w14:textId="77777777" w:rsidR="009C353B" w:rsidRDefault="00000000">
            <w:pPr>
              <w:adjustRightInd w:val="0"/>
              <w:snapToGrid w:val="0"/>
              <w:jc w:val="center"/>
              <w:rPr>
                <w:rFonts w:ascii="Times New Roman" w:hAnsi="Times New Roman"/>
                <w:sz w:val="21"/>
                <w:szCs w:val="21"/>
              </w:rPr>
            </w:pPr>
            <w:r>
              <w:rPr>
                <w:rFonts w:ascii="Times New Roman"/>
                <w:sz w:val="21"/>
                <w:szCs w:val="21"/>
              </w:rPr>
              <w:t>煤矿</w:t>
            </w:r>
          </w:p>
        </w:tc>
        <w:tc>
          <w:tcPr>
            <w:tcW w:w="2268" w:type="dxa"/>
            <w:vAlign w:val="center"/>
          </w:tcPr>
          <w:p w14:paraId="216DCCA4" w14:textId="77777777" w:rsidR="009C353B" w:rsidRDefault="00000000">
            <w:pPr>
              <w:adjustRightInd w:val="0"/>
              <w:snapToGrid w:val="0"/>
              <w:jc w:val="center"/>
              <w:rPr>
                <w:rFonts w:ascii="Times New Roman" w:hAnsi="Times New Roman"/>
                <w:sz w:val="21"/>
                <w:szCs w:val="21"/>
              </w:rPr>
            </w:pPr>
            <w:r>
              <w:rPr>
                <w:rFonts w:ascii="Times New Roman"/>
                <w:sz w:val="21"/>
                <w:szCs w:val="21"/>
                <w:lang w:val="zh-CN"/>
              </w:rPr>
              <w:t>锅炉房</w:t>
            </w:r>
            <w:r>
              <w:rPr>
                <w:rFonts w:ascii="Times New Roman" w:hAnsi="Times New Roman"/>
                <w:sz w:val="21"/>
                <w:szCs w:val="21"/>
                <w:lang w:val="zh-CN"/>
              </w:rPr>
              <w:t>1</w:t>
            </w:r>
            <w:r>
              <w:rPr>
                <w:rFonts w:ascii="Times New Roman"/>
                <w:sz w:val="21"/>
                <w:szCs w:val="21"/>
                <w:lang w:val="zh-CN"/>
              </w:rPr>
              <w:t>座，设置</w:t>
            </w:r>
            <w:r>
              <w:rPr>
                <w:rFonts w:ascii="Times New Roman" w:hAnsi="Times New Roman"/>
                <w:sz w:val="21"/>
                <w:szCs w:val="21"/>
                <w:lang w:val="zh-CN"/>
              </w:rPr>
              <w:t>2</w:t>
            </w:r>
            <w:r>
              <w:rPr>
                <w:rFonts w:ascii="Times New Roman"/>
                <w:sz w:val="21"/>
                <w:szCs w:val="21"/>
                <w:lang w:val="zh-CN"/>
              </w:rPr>
              <w:t>台</w:t>
            </w:r>
            <w:r>
              <w:rPr>
                <w:rFonts w:ascii="Times New Roman" w:hAnsi="Times New Roman"/>
                <w:sz w:val="21"/>
                <w:szCs w:val="21"/>
              </w:rPr>
              <w:t>10t/h</w:t>
            </w:r>
            <w:r>
              <w:rPr>
                <w:rFonts w:ascii="Times New Roman"/>
                <w:sz w:val="21"/>
                <w:szCs w:val="21"/>
              </w:rPr>
              <w:t>燃煤</w:t>
            </w:r>
            <w:r>
              <w:rPr>
                <w:rFonts w:ascii="Times New Roman"/>
                <w:sz w:val="21"/>
                <w:szCs w:val="21"/>
                <w:lang w:val="zh-CN"/>
              </w:rPr>
              <w:t>蒸汽锅炉和</w:t>
            </w:r>
            <w:r>
              <w:rPr>
                <w:rFonts w:ascii="Times New Roman" w:hAnsi="Times New Roman"/>
                <w:sz w:val="21"/>
                <w:szCs w:val="21"/>
                <w:lang w:val="zh-CN"/>
              </w:rPr>
              <w:t>1</w:t>
            </w:r>
            <w:r>
              <w:rPr>
                <w:rFonts w:ascii="Times New Roman"/>
                <w:sz w:val="21"/>
                <w:szCs w:val="21"/>
                <w:lang w:val="zh-CN"/>
              </w:rPr>
              <w:t>台</w:t>
            </w:r>
            <w:r>
              <w:rPr>
                <w:rFonts w:ascii="Times New Roman" w:hAnsi="Times New Roman"/>
                <w:sz w:val="21"/>
                <w:szCs w:val="21"/>
              </w:rPr>
              <w:t>4t/h</w:t>
            </w:r>
            <w:r>
              <w:rPr>
                <w:rFonts w:ascii="Times New Roman"/>
                <w:sz w:val="21"/>
                <w:szCs w:val="21"/>
              </w:rPr>
              <w:t>燃煤</w:t>
            </w:r>
            <w:r>
              <w:rPr>
                <w:rFonts w:ascii="Times New Roman"/>
                <w:sz w:val="21"/>
                <w:szCs w:val="21"/>
                <w:lang w:val="zh-CN"/>
              </w:rPr>
              <w:t>蒸汽锅炉</w:t>
            </w:r>
          </w:p>
        </w:tc>
        <w:tc>
          <w:tcPr>
            <w:tcW w:w="2268" w:type="dxa"/>
            <w:vAlign w:val="center"/>
          </w:tcPr>
          <w:p w14:paraId="0C5083BA" w14:textId="77777777" w:rsidR="009C353B" w:rsidRDefault="00000000">
            <w:pPr>
              <w:adjustRightInd w:val="0"/>
              <w:snapToGrid w:val="0"/>
              <w:jc w:val="center"/>
              <w:rPr>
                <w:rFonts w:ascii="Times New Roman" w:hAnsi="Times New Roman"/>
                <w:sz w:val="21"/>
                <w:szCs w:val="21"/>
              </w:rPr>
            </w:pPr>
            <w:r>
              <w:rPr>
                <w:rFonts w:ascii="Times New Roman"/>
                <w:sz w:val="21"/>
                <w:szCs w:val="21"/>
                <w:lang w:val="zh-CN"/>
              </w:rPr>
              <w:t>锅炉房</w:t>
            </w:r>
            <w:r>
              <w:rPr>
                <w:rFonts w:ascii="Times New Roman" w:hAnsi="Times New Roman"/>
                <w:sz w:val="21"/>
                <w:szCs w:val="21"/>
                <w:lang w:val="zh-CN"/>
              </w:rPr>
              <w:t>1</w:t>
            </w:r>
            <w:r>
              <w:rPr>
                <w:rFonts w:ascii="Times New Roman"/>
                <w:sz w:val="21"/>
                <w:szCs w:val="21"/>
                <w:lang w:val="zh-CN"/>
              </w:rPr>
              <w:t>座，设置</w:t>
            </w:r>
            <w:r>
              <w:rPr>
                <w:rFonts w:ascii="Times New Roman" w:hAnsi="Times New Roman"/>
                <w:sz w:val="21"/>
                <w:szCs w:val="21"/>
                <w:lang w:val="zh-CN"/>
              </w:rPr>
              <w:t>1</w:t>
            </w:r>
            <w:r>
              <w:rPr>
                <w:rFonts w:ascii="Times New Roman"/>
                <w:sz w:val="21"/>
                <w:szCs w:val="21"/>
                <w:lang w:val="zh-CN"/>
              </w:rPr>
              <w:t>台</w:t>
            </w:r>
            <w:r>
              <w:rPr>
                <w:rFonts w:ascii="Times New Roman" w:hAnsi="Times New Roman"/>
                <w:sz w:val="21"/>
                <w:szCs w:val="21"/>
              </w:rPr>
              <w:t>20t/h</w:t>
            </w:r>
            <w:r>
              <w:rPr>
                <w:rFonts w:ascii="Times New Roman"/>
                <w:sz w:val="21"/>
                <w:szCs w:val="21"/>
              </w:rPr>
              <w:t>燃煤</w:t>
            </w:r>
            <w:r>
              <w:rPr>
                <w:rFonts w:ascii="Times New Roman"/>
                <w:sz w:val="21"/>
                <w:szCs w:val="21"/>
                <w:lang w:val="zh-CN"/>
              </w:rPr>
              <w:t>蒸汽锅炉、</w:t>
            </w:r>
            <w:r>
              <w:rPr>
                <w:rFonts w:ascii="Times New Roman" w:hAnsi="Times New Roman"/>
                <w:sz w:val="21"/>
                <w:szCs w:val="21"/>
                <w:lang w:val="zh-CN"/>
              </w:rPr>
              <w:t>1</w:t>
            </w:r>
            <w:r>
              <w:rPr>
                <w:rFonts w:ascii="Times New Roman"/>
                <w:sz w:val="21"/>
                <w:szCs w:val="21"/>
                <w:lang w:val="zh-CN"/>
              </w:rPr>
              <w:t>台</w:t>
            </w:r>
            <w:r>
              <w:rPr>
                <w:rFonts w:ascii="Times New Roman" w:hAnsi="Times New Roman"/>
                <w:sz w:val="21"/>
                <w:szCs w:val="21"/>
                <w:lang w:val="zh-CN"/>
              </w:rPr>
              <w:t>10</w:t>
            </w:r>
            <w:r>
              <w:rPr>
                <w:rFonts w:ascii="Times New Roman" w:hAnsi="Times New Roman"/>
                <w:sz w:val="21"/>
                <w:szCs w:val="21"/>
              </w:rPr>
              <w:t>t/h</w:t>
            </w:r>
            <w:r>
              <w:rPr>
                <w:rFonts w:ascii="Times New Roman"/>
                <w:sz w:val="21"/>
                <w:szCs w:val="21"/>
              </w:rPr>
              <w:t>燃煤</w:t>
            </w:r>
            <w:r>
              <w:rPr>
                <w:rFonts w:ascii="Times New Roman"/>
                <w:sz w:val="21"/>
                <w:szCs w:val="21"/>
                <w:lang w:val="zh-CN"/>
              </w:rPr>
              <w:t>蒸汽锅炉、</w:t>
            </w:r>
            <w:r>
              <w:rPr>
                <w:rFonts w:ascii="Times New Roman" w:hAnsi="Times New Roman"/>
                <w:sz w:val="21"/>
                <w:szCs w:val="21"/>
                <w:lang w:val="zh-CN"/>
              </w:rPr>
              <w:t>1</w:t>
            </w:r>
            <w:r>
              <w:rPr>
                <w:rFonts w:ascii="Times New Roman"/>
                <w:sz w:val="21"/>
                <w:szCs w:val="21"/>
                <w:lang w:val="zh-CN"/>
              </w:rPr>
              <w:t>台</w:t>
            </w:r>
            <w:r>
              <w:rPr>
                <w:rFonts w:ascii="Times New Roman" w:hAnsi="Times New Roman"/>
                <w:sz w:val="21"/>
                <w:szCs w:val="21"/>
                <w:lang w:val="zh-CN"/>
              </w:rPr>
              <w:t>4</w:t>
            </w:r>
            <w:r>
              <w:rPr>
                <w:rFonts w:ascii="Times New Roman" w:hAnsi="Times New Roman"/>
                <w:sz w:val="21"/>
                <w:szCs w:val="21"/>
              </w:rPr>
              <w:t>t/h</w:t>
            </w:r>
            <w:r>
              <w:rPr>
                <w:rFonts w:ascii="Times New Roman"/>
                <w:sz w:val="21"/>
                <w:szCs w:val="21"/>
              </w:rPr>
              <w:t>燃煤</w:t>
            </w:r>
            <w:r>
              <w:rPr>
                <w:rFonts w:ascii="Times New Roman"/>
                <w:sz w:val="21"/>
                <w:szCs w:val="21"/>
                <w:lang w:val="zh-CN"/>
              </w:rPr>
              <w:t>蒸汽锅炉</w:t>
            </w:r>
          </w:p>
        </w:tc>
        <w:tc>
          <w:tcPr>
            <w:tcW w:w="1843" w:type="dxa"/>
            <w:vAlign w:val="center"/>
          </w:tcPr>
          <w:p w14:paraId="07DA2960" w14:textId="77777777" w:rsidR="009C353B" w:rsidRDefault="00000000">
            <w:pPr>
              <w:adjustRightInd w:val="0"/>
              <w:snapToGrid w:val="0"/>
              <w:jc w:val="center"/>
              <w:rPr>
                <w:rFonts w:ascii="Times New Roman" w:hAnsi="Times New Roman"/>
                <w:sz w:val="21"/>
                <w:szCs w:val="21"/>
              </w:rPr>
            </w:pPr>
            <w:r>
              <w:rPr>
                <w:rFonts w:ascii="Times New Roman"/>
                <w:sz w:val="21"/>
                <w:szCs w:val="21"/>
              </w:rPr>
              <w:t>锅炉房</w:t>
            </w:r>
            <w:r>
              <w:rPr>
                <w:rFonts w:ascii="Times New Roman" w:hint="eastAsia"/>
                <w:sz w:val="21"/>
                <w:szCs w:val="21"/>
              </w:rPr>
              <w:t>2</w:t>
            </w:r>
            <w:r>
              <w:rPr>
                <w:rFonts w:ascii="Times New Roman" w:hint="eastAsia"/>
                <w:sz w:val="21"/>
                <w:szCs w:val="21"/>
              </w:rPr>
              <w:t>座，</w:t>
            </w:r>
            <w:r>
              <w:rPr>
                <w:rFonts w:ascii="Times New Roman"/>
                <w:sz w:val="21"/>
                <w:szCs w:val="21"/>
              </w:rPr>
              <w:t>主工广设置</w:t>
            </w:r>
            <w:r>
              <w:rPr>
                <w:rFonts w:ascii="Times New Roman" w:hint="eastAsia"/>
                <w:sz w:val="21"/>
                <w:szCs w:val="21"/>
              </w:rPr>
              <w:t>2</w:t>
            </w:r>
            <w:r>
              <w:rPr>
                <w:rFonts w:ascii="Times New Roman" w:hint="eastAsia"/>
                <w:sz w:val="21"/>
                <w:szCs w:val="21"/>
              </w:rPr>
              <w:t>台</w:t>
            </w:r>
            <w:r>
              <w:rPr>
                <w:rFonts w:ascii="Times New Roman" w:hAnsi="Times New Roman"/>
                <w:sz w:val="21"/>
                <w:szCs w:val="21"/>
              </w:rPr>
              <w:t>20t/h</w:t>
            </w:r>
            <w:r>
              <w:rPr>
                <w:rFonts w:ascii="Times New Roman" w:hAnsi="Times New Roman"/>
                <w:sz w:val="21"/>
                <w:szCs w:val="21"/>
              </w:rPr>
              <w:t>燃气锅炉</w:t>
            </w:r>
            <w:r>
              <w:rPr>
                <w:rFonts w:ascii="Times New Roman" w:hAnsi="Times New Roman" w:hint="eastAsia"/>
                <w:sz w:val="21"/>
                <w:szCs w:val="21"/>
              </w:rPr>
              <w:t>，</w:t>
            </w:r>
            <w:r>
              <w:rPr>
                <w:rFonts w:ascii="Times New Roman" w:hAnsi="Times New Roman"/>
                <w:sz w:val="21"/>
                <w:szCs w:val="21"/>
              </w:rPr>
              <w:t>副立井设置</w:t>
            </w:r>
            <w:r>
              <w:rPr>
                <w:rFonts w:ascii="Times New Roman" w:hAnsi="Times New Roman" w:hint="eastAsia"/>
                <w:sz w:val="21"/>
                <w:szCs w:val="21"/>
              </w:rPr>
              <w:t>4</w:t>
            </w:r>
            <w:r>
              <w:rPr>
                <w:rFonts w:ascii="Times New Roman" w:hAnsi="Times New Roman" w:hint="eastAsia"/>
                <w:sz w:val="21"/>
                <w:szCs w:val="21"/>
              </w:rPr>
              <w:t>台</w:t>
            </w:r>
            <w:r>
              <w:rPr>
                <w:rFonts w:ascii="Times New Roman" w:hAnsi="Times New Roman" w:hint="eastAsia"/>
                <w:sz w:val="21"/>
                <w:szCs w:val="21"/>
              </w:rPr>
              <w:t>4</w:t>
            </w:r>
            <w:r>
              <w:rPr>
                <w:rFonts w:ascii="Times New Roman" w:hAnsi="Times New Roman"/>
                <w:sz w:val="21"/>
                <w:szCs w:val="21"/>
              </w:rPr>
              <w:t>t/h</w:t>
            </w:r>
            <w:r>
              <w:rPr>
                <w:rFonts w:ascii="Times New Roman" w:hAnsi="Times New Roman"/>
                <w:sz w:val="21"/>
                <w:szCs w:val="21"/>
              </w:rPr>
              <w:t>燃气锅炉</w:t>
            </w:r>
          </w:p>
        </w:tc>
        <w:tc>
          <w:tcPr>
            <w:tcW w:w="1783" w:type="dxa"/>
            <w:vAlign w:val="center"/>
          </w:tcPr>
          <w:p w14:paraId="57720132" w14:textId="77777777" w:rsidR="009C353B" w:rsidRDefault="00000000">
            <w:pPr>
              <w:adjustRightInd w:val="0"/>
              <w:snapToGrid w:val="0"/>
              <w:jc w:val="center"/>
              <w:rPr>
                <w:rFonts w:ascii="Times New Roman" w:hAnsi="Times New Roman"/>
                <w:sz w:val="21"/>
                <w:szCs w:val="21"/>
              </w:rPr>
            </w:pPr>
            <w:r>
              <w:rPr>
                <w:rFonts w:ascii="Times New Roman" w:hint="eastAsia"/>
                <w:sz w:val="21"/>
                <w:szCs w:val="21"/>
              </w:rPr>
              <w:t>项目</w:t>
            </w:r>
            <w:r>
              <w:rPr>
                <w:rFonts w:ascii="Times New Roman"/>
                <w:sz w:val="21"/>
                <w:szCs w:val="21"/>
              </w:rPr>
              <w:t>供热均采用天然气清洁燃料</w:t>
            </w:r>
            <w:r>
              <w:rPr>
                <w:rFonts w:ascii="Times New Roman" w:hint="eastAsia"/>
                <w:sz w:val="21"/>
                <w:szCs w:val="21"/>
              </w:rPr>
              <w:t>，</w:t>
            </w:r>
            <w:r>
              <w:rPr>
                <w:rFonts w:ascii="Times New Roman"/>
                <w:sz w:val="21"/>
                <w:szCs w:val="21"/>
              </w:rPr>
              <w:t>根据现状监测各类污染物排放达标</w:t>
            </w:r>
            <w:r>
              <w:rPr>
                <w:rFonts w:ascii="Times New Roman" w:hint="eastAsia"/>
                <w:sz w:val="21"/>
                <w:szCs w:val="21"/>
              </w:rPr>
              <w:t>，</w:t>
            </w:r>
            <w:r>
              <w:rPr>
                <w:rFonts w:ascii="Times New Roman"/>
                <w:sz w:val="21"/>
                <w:szCs w:val="21"/>
              </w:rPr>
              <w:t>本次规划不做调整</w:t>
            </w:r>
          </w:p>
        </w:tc>
      </w:tr>
      <w:tr w:rsidR="009C353B" w14:paraId="3EF8865A" w14:textId="77777777">
        <w:trPr>
          <w:trHeight w:val="694"/>
          <w:jc w:val="center"/>
        </w:trPr>
        <w:tc>
          <w:tcPr>
            <w:tcW w:w="1125" w:type="dxa"/>
            <w:vAlign w:val="center"/>
          </w:tcPr>
          <w:p w14:paraId="087E9C03" w14:textId="77777777" w:rsidR="009C353B" w:rsidRDefault="00000000">
            <w:pPr>
              <w:adjustRightInd w:val="0"/>
              <w:snapToGrid w:val="0"/>
              <w:jc w:val="center"/>
              <w:rPr>
                <w:rFonts w:ascii="Times New Roman" w:hint="eastAsia"/>
                <w:sz w:val="21"/>
                <w:szCs w:val="21"/>
              </w:rPr>
            </w:pPr>
            <w:r>
              <w:rPr>
                <w:rFonts w:ascii="Times New Roman"/>
                <w:sz w:val="21"/>
                <w:szCs w:val="21"/>
              </w:rPr>
              <w:t>丁家梁</w:t>
            </w:r>
          </w:p>
          <w:p w14:paraId="7C33E42C" w14:textId="77777777" w:rsidR="009C353B" w:rsidRDefault="00000000">
            <w:pPr>
              <w:adjustRightInd w:val="0"/>
              <w:snapToGrid w:val="0"/>
              <w:jc w:val="center"/>
              <w:rPr>
                <w:rFonts w:ascii="Times New Roman" w:hAnsi="Times New Roman"/>
                <w:sz w:val="21"/>
                <w:szCs w:val="21"/>
              </w:rPr>
            </w:pPr>
            <w:r>
              <w:rPr>
                <w:rFonts w:ascii="Times New Roman"/>
                <w:sz w:val="21"/>
                <w:szCs w:val="21"/>
              </w:rPr>
              <w:t>煤矿</w:t>
            </w:r>
          </w:p>
        </w:tc>
        <w:tc>
          <w:tcPr>
            <w:tcW w:w="2268" w:type="dxa"/>
            <w:vAlign w:val="center"/>
          </w:tcPr>
          <w:p w14:paraId="6DC557F4" w14:textId="77777777" w:rsidR="009C353B" w:rsidRDefault="00000000">
            <w:pPr>
              <w:adjustRightInd w:val="0"/>
              <w:snapToGrid w:val="0"/>
              <w:jc w:val="center"/>
              <w:rPr>
                <w:rFonts w:ascii="Times New Roman" w:hAnsi="Times New Roman"/>
                <w:sz w:val="21"/>
                <w:szCs w:val="21"/>
              </w:rPr>
            </w:pPr>
            <w:r>
              <w:rPr>
                <w:rFonts w:ascii="Times New Roman"/>
                <w:sz w:val="21"/>
                <w:szCs w:val="21"/>
              </w:rPr>
              <w:t>锅炉房</w:t>
            </w:r>
            <w:r>
              <w:rPr>
                <w:rFonts w:ascii="Times New Roman" w:hAnsi="Times New Roman"/>
                <w:sz w:val="21"/>
                <w:szCs w:val="21"/>
              </w:rPr>
              <w:t>1</w:t>
            </w:r>
            <w:r>
              <w:rPr>
                <w:rFonts w:ascii="Times New Roman"/>
                <w:sz w:val="21"/>
                <w:szCs w:val="21"/>
              </w:rPr>
              <w:t>座，设置</w:t>
            </w:r>
            <w:r>
              <w:rPr>
                <w:rFonts w:ascii="Times New Roman" w:hAnsi="Times New Roman"/>
                <w:sz w:val="21"/>
                <w:szCs w:val="21"/>
              </w:rPr>
              <w:t>3</w:t>
            </w:r>
            <w:r>
              <w:rPr>
                <w:rFonts w:ascii="Times New Roman"/>
                <w:sz w:val="21"/>
                <w:szCs w:val="21"/>
              </w:rPr>
              <w:t>台</w:t>
            </w:r>
            <w:r>
              <w:rPr>
                <w:rFonts w:ascii="Times New Roman" w:hAnsi="Times New Roman"/>
                <w:sz w:val="21"/>
                <w:szCs w:val="21"/>
              </w:rPr>
              <w:t>6t/h</w:t>
            </w:r>
            <w:r>
              <w:rPr>
                <w:rFonts w:ascii="Times New Roman"/>
                <w:sz w:val="21"/>
                <w:szCs w:val="21"/>
              </w:rPr>
              <w:t>燃煤蒸汽锅炉</w:t>
            </w:r>
          </w:p>
        </w:tc>
        <w:tc>
          <w:tcPr>
            <w:tcW w:w="2268" w:type="dxa"/>
            <w:vAlign w:val="center"/>
          </w:tcPr>
          <w:p w14:paraId="46CC221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843" w:type="dxa"/>
            <w:vAlign w:val="center"/>
          </w:tcPr>
          <w:p w14:paraId="2045200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锅炉房</w:t>
            </w:r>
            <w:r>
              <w:rPr>
                <w:rFonts w:ascii="Times New Roman" w:hAnsi="Times New Roman" w:hint="eastAsia"/>
                <w:sz w:val="21"/>
                <w:szCs w:val="21"/>
              </w:rPr>
              <w:t>1</w:t>
            </w:r>
            <w:r>
              <w:rPr>
                <w:rFonts w:ascii="Times New Roman" w:hAnsi="Times New Roman" w:hint="eastAsia"/>
                <w:sz w:val="21"/>
                <w:szCs w:val="21"/>
              </w:rPr>
              <w:t>座，设置</w:t>
            </w:r>
            <w:r>
              <w:rPr>
                <w:rFonts w:ascii="Times New Roman" w:hint="eastAsia"/>
                <w:sz w:val="21"/>
                <w:szCs w:val="21"/>
              </w:rPr>
              <w:t>2</w:t>
            </w:r>
            <w:r>
              <w:rPr>
                <w:rFonts w:ascii="Times New Roman" w:hint="eastAsia"/>
                <w:sz w:val="21"/>
                <w:szCs w:val="21"/>
              </w:rPr>
              <w:t>台</w:t>
            </w:r>
            <w:r>
              <w:rPr>
                <w:rFonts w:ascii="Times New Roman" w:hAnsi="Times New Roman" w:hint="eastAsia"/>
                <w:sz w:val="21"/>
                <w:szCs w:val="21"/>
              </w:rPr>
              <w:t>1</w:t>
            </w:r>
            <w:r>
              <w:rPr>
                <w:rFonts w:ascii="Times New Roman" w:hAnsi="Times New Roman"/>
                <w:sz w:val="21"/>
                <w:szCs w:val="21"/>
              </w:rPr>
              <w:t>0t/h</w:t>
            </w:r>
            <w:r>
              <w:rPr>
                <w:rFonts w:ascii="Times New Roman" w:hAnsi="Times New Roman"/>
                <w:sz w:val="21"/>
                <w:szCs w:val="21"/>
              </w:rPr>
              <w:t>燃气锅炉</w:t>
            </w:r>
            <w:r>
              <w:rPr>
                <w:rFonts w:ascii="Times New Roman" w:hAnsi="Times New Roman" w:hint="eastAsia"/>
                <w:sz w:val="21"/>
                <w:szCs w:val="21"/>
              </w:rPr>
              <w:t>，已建，</w:t>
            </w:r>
            <w:r>
              <w:rPr>
                <w:rFonts w:ascii="Times New Roman" w:hAnsi="Times New Roman"/>
                <w:sz w:val="21"/>
                <w:szCs w:val="21"/>
              </w:rPr>
              <w:t>未运行</w:t>
            </w:r>
          </w:p>
        </w:tc>
        <w:tc>
          <w:tcPr>
            <w:tcW w:w="1783" w:type="dxa"/>
            <w:vAlign w:val="center"/>
          </w:tcPr>
          <w:p w14:paraId="16EA8B8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燃气锅炉已建成，根据类比分析可满足达标排放要求，本次规划不做调整</w:t>
            </w:r>
          </w:p>
        </w:tc>
      </w:tr>
    </w:tbl>
    <w:p w14:paraId="5F46F44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根据表</w:t>
      </w:r>
      <w:r>
        <w:rPr>
          <w:rFonts w:ascii="Times New Roman" w:hAnsi="Times New Roman" w:hint="eastAsia"/>
        </w:rPr>
        <w:t>4.2-2</w:t>
      </w:r>
      <w:r>
        <w:rPr>
          <w:rFonts w:ascii="Times New Roman" w:hAnsi="Times New Roman" w:hint="eastAsia"/>
        </w:rPr>
        <w:t>可知，目前横城矿区有组织大气污染物排放仅来自任家庄煤矿锅炉房的燃气锅炉。</w:t>
      </w:r>
    </w:p>
    <w:p w14:paraId="4016098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任家庄煤矿共设置</w:t>
      </w:r>
      <w:r>
        <w:rPr>
          <w:rFonts w:ascii="Times New Roman" w:hAnsi="Times New Roman" w:hint="eastAsia"/>
        </w:rPr>
        <w:t>2</w:t>
      </w:r>
      <w:r>
        <w:rPr>
          <w:rFonts w:ascii="Times New Roman" w:hAnsi="Times New Roman" w:hint="eastAsia"/>
        </w:rPr>
        <w:t>座锅炉房，</w:t>
      </w:r>
      <w:r>
        <w:rPr>
          <w:rFonts w:ascii="Times New Roman" w:hAnsi="Times New Roman"/>
        </w:rPr>
        <w:t>主工广锅炉房设置</w:t>
      </w:r>
      <w:r>
        <w:rPr>
          <w:rFonts w:ascii="Times New Roman" w:hAnsi="Times New Roman" w:hint="eastAsia"/>
        </w:rPr>
        <w:t>2</w:t>
      </w:r>
      <w:r>
        <w:rPr>
          <w:rFonts w:ascii="Times New Roman" w:hAnsi="Times New Roman" w:hint="eastAsia"/>
        </w:rPr>
        <w:t>台</w:t>
      </w:r>
      <w:r>
        <w:rPr>
          <w:rFonts w:ascii="Times New Roman" w:hAnsi="Times New Roman"/>
        </w:rPr>
        <w:t>20t/h</w:t>
      </w:r>
      <w:r>
        <w:rPr>
          <w:rFonts w:ascii="Times New Roman" w:hAnsi="Times New Roman"/>
        </w:rPr>
        <w:t>燃气锅炉</w:t>
      </w:r>
      <w:r>
        <w:rPr>
          <w:rFonts w:ascii="Times New Roman" w:hAnsi="Times New Roman" w:hint="eastAsia"/>
        </w:rPr>
        <w:t>，</w:t>
      </w:r>
      <w:r>
        <w:rPr>
          <w:rFonts w:ascii="Times New Roman" w:hAnsi="Times New Roman"/>
        </w:rPr>
        <w:t>副立井锅炉房设置</w:t>
      </w:r>
      <w:r>
        <w:rPr>
          <w:rFonts w:ascii="Times New Roman" w:hAnsi="Times New Roman" w:hint="eastAsia"/>
        </w:rPr>
        <w:t>4</w:t>
      </w:r>
      <w:r>
        <w:rPr>
          <w:rFonts w:ascii="Times New Roman" w:hAnsi="Times New Roman" w:hint="eastAsia"/>
        </w:rPr>
        <w:t>台</w:t>
      </w:r>
      <w:r>
        <w:rPr>
          <w:rFonts w:ascii="Times New Roman" w:hAnsi="Times New Roman" w:hint="eastAsia"/>
        </w:rPr>
        <w:t>4</w:t>
      </w:r>
      <w:r>
        <w:rPr>
          <w:rFonts w:ascii="Times New Roman" w:hAnsi="Times New Roman"/>
        </w:rPr>
        <w:t>t/h</w:t>
      </w:r>
      <w:r>
        <w:rPr>
          <w:rFonts w:ascii="Times New Roman" w:hAnsi="Times New Roman"/>
        </w:rPr>
        <w:t>燃气锅炉</w:t>
      </w:r>
      <w:r>
        <w:rPr>
          <w:rFonts w:ascii="Times New Roman" w:hAnsi="Times New Roman" w:hint="eastAsia"/>
        </w:rPr>
        <w:t>。</w:t>
      </w:r>
      <w:r>
        <w:rPr>
          <w:rFonts w:ascii="Times New Roman" w:hAnsi="Times New Roman"/>
        </w:rPr>
        <w:t>主工广</w:t>
      </w:r>
      <w:r>
        <w:rPr>
          <w:rFonts w:ascii="Times New Roman" w:hAnsi="Times New Roman" w:hint="eastAsia"/>
        </w:rPr>
        <w:t>2</w:t>
      </w:r>
      <w:r>
        <w:rPr>
          <w:rFonts w:ascii="Times New Roman" w:hAnsi="Times New Roman" w:hint="eastAsia"/>
        </w:rPr>
        <w:t>台</w:t>
      </w:r>
      <w:r>
        <w:rPr>
          <w:rFonts w:ascii="Times New Roman" w:hAnsi="Times New Roman"/>
        </w:rPr>
        <w:t>20t/h</w:t>
      </w:r>
      <w:r>
        <w:rPr>
          <w:rFonts w:ascii="Times New Roman" w:hAnsi="Times New Roman"/>
        </w:rPr>
        <w:t>燃气锅炉分别配置低氮燃烧器</w:t>
      </w:r>
      <w:r>
        <w:rPr>
          <w:rFonts w:ascii="Times New Roman" w:hAnsi="Times New Roman" w:hint="eastAsia"/>
        </w:rPr>
        <w:t>，</w:t>
      </w:r>
      <w:r>
        <w:rPr>
          <w:rFonts w:ascii="Times New Roman" w:hAnsi="Times New Roman"/>
        </w:rPr>
        <w:t>烟气通过</w:t>
      </w:r>
      <w:r>
        <w:rPr>
          <w:rFonts w:ascii="Times New Roman" w:hAnsi="Times New Roman" w:hint="eastAsia"/>
        </w:rPr>
        <w:t>1</w:t>
      </w:r>
      <w:r>
        <w:rPr>
          <w:rFonts w:ascii="Times New Roman" w:hAnsi="Times New Roman" w:hint="eastAsia"/>
        </w:rPr>
        <w:t>根</w:t>
      </w:r>
      <w:r>
        <w:rPr>
          <w:rFonts w:ascii="Times New Roman" w:hAnsi="Times New Roman"/>
        </w:rPr>
        <w:t>高</w:t>
      </w:r>
      <w:r>
        <w:rPr>
          <w:rFonts w:ascii="Times New Roman" w:hAnsi="Times New Roman" w:hint="eastAsia"/>
        </w:rPr>
        <w:t>12m</w:t>
      </w:r>
      <w:r>
        <w:rPr>
          <w:rFonts w:ascii="Times New Roman" w:hAnsi="Times New Roman" w:hint="eastAsia"/>
        </w:rPr>
        <w:t>、内径</w:t>
      </w:r>
      <w:r>
        <w:rPr>
          <w:rFonts w:ascii="Times New Roman" w:hAnsi="Times New Roman" w:hint="eastAsia"/>
        </w:rPr>
        <w:t>1.6m</w:t>
      </w:r>
      <w:r>
        <w:rPr>
          <w:rFonts w:ascii="Times New Roman" w:hAnsi="Times New Roman" w:hint="eastAsia"/>
        </w:rPr>
        <w:t>的烟囱排放；</w:t>
      </w:r>
      <w:r>
        <w:rPr>
          <w:rFonts w:ascii="Times New Roman" w:hAnsi="Times New Roman"/>
        </w:rPr>
        <w:t>副立井</w:t>
      </w:r>
      <w:r>
        <w:rPr>
          <w:rFonts w:ascii="Times New Roman" w:hAnsi="Times New Roman" w:hint="eastAsia"/>
        </w:rPr>
        <w:t>4</w:t>
      </w:r>
      <w:r>
        <w:rPr>
          <w:rFonts w:ascii="Times New Roman" w:hAnsi="Times New Roman" w:hint="eastAsia"/>
        </w:rPr>
        <w:t>台</w:t>
      </w:r>
      <w:r>
        <w:rPr>
          <w:rFonts w:ascii="Times New Roman" w:hAnsi="Times New Roman" w:hint="eastAsia"/>
        </w:rPr>
        <w:t>4</w:t>
      </w:r>
      <w:r>
        <w:rPr>
          <w:rFonts w:ascii="Times New Roman" w:hAnsi="Times New Roman"/>
        </w:rPr>
        <w:t>t/h</w:t>
      </w:r>
      <w:r>
        <w:rPr>
          <w:rFonts w:ascii="Times New Roman" w:hAnsi="Times New Roman"/>
        </w:rPr>
        <w:t>燃气锅炉分别配置低氮燃烧器</w:t>
      </w:r>
      <w:r>
        <w:rPr>
          <w:rFonts w:ascii="Times New Roman" w:hAnsi="Times New Roman" w:hint="eastAsia"/>
        </w:rPr>
        <w:t>，</w:t>
      </w:r>
      <w:r>
        <w:rPr>
          <w:rFonts w:ascii="Times New Roman" w:hAnsi="Times New Roman"/>
        </w:rPr>
        <w:t>烟气通过</w:t>
      </w:r>
      <w:r>
        <w:rPr>
          <w:rFonts w:ascii="Times New Roman" w:hAnsi="Times New Roman" w:hint="eastAsia"/>
        </w:rPr>
        <w:t>4</w:t>
      </w:r>
      <w:r>
        <w:rPr>
          <w:rFonts w:ascii="Times New Roman" w:hAnsi="Times New Roman" w:hint="eastAsia"/>
        </w:rPr>
        <w:t>根</w:t>
      </w:r>
      <w:r>
        <w:rPr>
          <w:rFonts w:ascii="Times New Roman" w:hAnsi="Times New Roman"/>
        </w:rPr>
        <w:t>高</w:t>
      </w:r>
      <w:r>
        <w:rPr>
          <w:rFonts w:ascii="Times New Roman" w:hAnsi="Times New Roman" w:hint="eastAsia"/>
        </w:rPr>
        <w:t>8m</w:t>
      </w:r>
      <w:r>
        <w:rPr>
          <w:rFonts w:ascii="Times New Roman" w:hAnsi="Times New Roman" w:hint="eastAsia"/>
        </w:rPr>
        <w:t>、内径</w:t>
      </w:r>
      <w:r>
        <w:rPr>
          <w:rFonts w:ascii="Times New Roman" w:hAnsi="Times New Roman" w:hint="eastAsia"/>
        </w:rPr>
        <w:t>0.4m</w:t>
      </w:r>
      <w:r>
        <w:rPr>
          <w:rFonts w:ascii="Times New Roman" w:hAnsi="Times New Roman" w:hint="eastAsia"/>
        </w:rPr>
        <w:t>的烟囱排放。</w:t>
      </w:r>
    </w:p>
    <w:p w14:paraId="28777F2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煤矿锅炉房燃气锅炉现状情况见图</w:t>
      </w:r>
      <w:r>
        <w:rPr>
          <w:rFonts w:ascii="Times New Roman" w:hAnsi="Times New Roman" w:hint="eastAsia"/>
        </w:rPr>
        <w:t>4.2-</w:t>
      </w:r>
      <w:r>
        <w:rPr>
          <w:rFonts w:ascii="Times New Roman" w:hAnsi="Times New Roman"/>
        </w:rPr>
        <w:t>6</w:t>
      </w:r>
      <w:r>
        <w:rPr>
          <w:rFonts w:ascii="Times New Roman" w:hAnsi="Times New Roman" w:hint="eastAsia"/>
        </w:rPr>
        <w:t>。</w:t>
      </w:r>
    </w:p>
    <w:p w14:paraId="0B565E47" w14:textId="77777777" w:rsidR="009C353B" w:rsidRDefault="00000000">
      <w:pPr>
        <w:adjustRightInd w:val="0"/>
        <w:snapToGrid w:val="0"/>
        <w:rPr>
          <w:rFonts w:ascii="Times New Roman" w:hAnsi="Times New Roman"/>
        </w:rPr>
      </w:pPr>
      <w:r>
        <w:rPr>
          <w:rFonts w:ascii="Times New Roman" w:hAnsi="Times New Roman" w:hint="eastAsia"/>
          <w:noProof/>
        </w:rPr>
        <w:drawing>
          <wp:inline distT="0" distB="0" distL="0" distR="0" wp14:anchorId="03D9DAAC" wp14:editId="57A6BA7F">
            <wp:extent cx="2733675" cy="2055495"/>
            <wp:effectExtent l="19050" t="0" r="9525" b="0"/>
            <wp:docPr id="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1"/>
                    <pic:cNvPicPr>
                      <a:picLocks noChangeAspect="1" noChangeArrowheads="1"/>
                    </pic:cNvPicPr>
                  </pic:nvPicPr>
                  <pic:blipFill>
                    <a:blip r:embed="rId284" cstate="print"/>
                    <a:srcRect/>
                    <a:stretch>
                      <a:fillRect/>
                    </a:stretch>
                  </pic:blipFill>
                  <pic:spPr>
                    <a:xfrm>
                      <a:off x="0" y="0"/>
                      <a:ext cx="2719531" cy="2045379"/>
                    </a:xfrm>
                    <a:prstGeom prst="rect">
                      <a:avLst/>
                    </a:prstGeom>
                    <a:noFill/>
                    <a:ln w="9525">
                      <a:noFill/>
                      <a:miter lim="800000"/>
                      <a:headEnd/>
                      <a:tailEnd/>
                    </a:ln>
                  </pic:spPr>
                </pic:pic>
              </a:graphicData>
            </a:graphic>
          </wp:inline>
        </w:drawing>
      </w:r>
      <w:r>
        <w:rPr>
          <w:rFonts w:ascii="Times New Roman" w:hAnsi="Times New Roman" w:hint="eastAsia"/>
        </w:rPr>
        <w:t xml:space="preserve"> </w:t>
      </w:r>
      <w:r>
        <w:rPr>
          <w:rFonts w:ascii="Times New Roman" w:hAnsi="Times New Roman" w:hint="eastAsia"/>
          <w:noProof/>
        </w:rPr>
        <w:drawing>
          <wp:inline distT="0" distB="0" distL="0" distR="0" wp14:anchorId="324D74F3" wp14:editId="608C6DCF">
            <wp:extent cx="2730500" cy="2057400"/>
            <wp:effectExtent l="1905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285" cstate="print"/>
                    <a:srcRect/>
                    <a:stretch>
                      <a:fillRect/>
                    </a:stretch>
                  </pic:blipFill>
                  <pic:spPr>
                    <a:xfrm>
                      <a:off x="0" y="0"/>
                      <a:ext cx="2730727" cy="2057270"/>
                    </a:xfrm>
                    <a:prstGeom prst="rect">
                      <a:avLst/>
                    </a:prstGeom>
                    <a:noFill/>
                    <a:ln w="9525">
                      <a:noFill/>
                      <a:miter lim="800000"/>
                      <a:headEnd/>
                      <a:tailEnd/>
                    </a:ln>
                  </pic:spPr>
                </pic:pic>
              </a:graphicData>
            </a:graphic>
          </wp:inline>
        </w:drawing>
      </w:r>
    </w:p>
    <w:p w14:paraId="0B6B927A" w14:textId="77777777" w:rsidR="009C353B" w:rsidRDefault="009C353B">
      <w:pPr>
        <w:adjustRightInd w:val="0"/>
        <w:snapToGrid w:val="0"/>
        <w:rPr>
          <w:rFonts w:ascii="Times New Roman" w:hAnsi="Times New Roman"/>
        </w:rPr>
      </w:pPr>
    </w:p>
    <w:p w14:paraId="38DF0D24" w14:textId="77777777" w:rsidR="009C353B" w:rsidRDefault="00000000">
      <w:pPr>
        <w:adjustRightInd w:val="0"/>
        <w:snapToGrid w:val="0"/>
        <w:rPr>
          <w:rFonts w:ascii="Times New Roman" w:hAnsi="Times New Roman"/>
        </w:rPr>
      </w:pPr>
      <w:r>
        <w:rPr>
          <w:rFonts w:ascii="Times New Roman" w:hAnsi="Times New Roman" w:hint="eastAsia"/>
          <w:noProof/>
        </w:rPr>
        <w:drawing>
          <wp:inline distT="0" distB="0" distL="0" distR="0" wp14:anchorId="065D8EBF" wp14:editId="4E39E21E">
            <wp:extent cx="1857375" cy="2477135"/>
            <wp:effectExtent l="19050" t="0" r="9525" b="0"/>
            <wp:docPr id="4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3"/>
                    <pic:cNvPicPr>
                      <a:picLocks noChangeAspect="1" noChangeArrowheads="1"/>
                    </pic:cNvPicPr>
                  </pic:nvPicPr>
                  <pic:blipFill>
                    <a:blip r:embed="rId286" cstate="print"/>
                    <a:srcRect/>
                    <a:stretch>
                      <a:fillRect/>
                    </a:stretch>
                  </pic:blipFill>
                  <pic:spPr>
                    <a:xfrm>
                      <a:off x="0" y="0"/>
                      <a:ext cx="1858158" cy="2478588"/>
                    </a:xfrm>
                    <a:prstGeom prst="rect">
                      <a:avLst/>
                    </a:prstGeom>
                    <a:noFill/>
                    <a:ln w="9525">
                      <a:noFill/>
                      <a:miter lim="800000"/>
                      <a:headEnd/>
                      <a:tailEnd/>
                    </a:ln>
                  </pic:spPr>
                </pic:pic>
              </a:graphicData>
            </a:graphic>
          </wp:inline>
        </w:drawing>
      </w:r>
      <w:r>
        <w:rPr>
          <w:rFonts w:ascii="Times New Roman" w:hAnsi="Times New Roman" w:hint="eastAsia"/>
          <w:noProof/>
        </w:rPr>
        <w:drawing>
          <wp:inline distT="0" distB="0" distL="0" distR="0" wp14:anchorId="1DA48399" wp14:editId="4B59513C">
            <wp:extent cx="1849120" cy="2476500"/>
            <wp:effectExtent l="19050" t="0" r="0" b="0"/>
            <wp:docPr id="4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图片 4"/>
                    <pic:cNvPicPr>
                      <a:picLocks noChangeAspect="1" noChangeArrowheads="1"/>
                    </pic:cNvPicPr>
                  </pic:nvPicPr>
                  <pic:blipFill>
                    <a:blip r:embed="rId287" cstate="print"/>
                    <a:srcRect/>
                    <a:stretch>
                      <a:fillRect/>
                    </a:stretch>
                  </pic:blipFill>
                  <pic:spPr>
                    <a:xfrm>
                      <a:off x="0" y="0"/>
                      <a:ext cx="1851221" cy="2478702"/>
                    </a:xfrm>
                    <a:prstGeom prst="rect">
                      <a:avLst/>
                    </a:prstGeom>
                    <a:noFill/>
                    <a:ln w="9525">
                      <a:noFill/>
                      <a:miter lim="800000"/>
                      <a:headEnd/>
                      <a:tailEnd/>
                    </a:ln>
                  </pic:spPr>
                </pic:pic>
              </a:graphicData>
            </a:graphic>
          </wp:inline>
        </w:drawing>
      </w:r>
      <w:r>
        <w:rPr>
          <w:rFonts w:ascii="Times New Roman" w:hAnsi="Times New Roman" w:hint="eastAsia"/>
          <w:noProof/>
        </w:rPr>
        <w:drawing>
          <wp:inline distT="0" distB="0" distL="0" distR="0" wp14:anchorId="3C8E3DAB" wp14:editId="37E09EEA">
            <wp:extent cx="1856105" cy="2476500"/>
            <wp:effectExtent l="19050" t="0" r="0" b="0"/>
            <wp:docPr id="4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5"/>
                    <pic:cNvPicPr>
                      <a:picLocks noChangeAspect="1" noChangeArrowheads="1"/>
                    </pic:cNvPicPr>
                  </pic:nvPicPr>
                  <pic:blipFill>
                    <a:blip r:embed="rId288" cstate="print"/>
                    <a:srcRect/>
                    <a:stretch>
                      <a:fillRect/>
                    </a:stretch>
                  </pic:blipFill>
                  <pic:spPr>
                    <a:xfrm>
                      <a:off x="0" y="0"/>
                      <a:ext cx="1857375" cy="2477543"/>
                    </a:xfrm>
                    <a:prstGeom prst="rect">
                      <a:avLst/>
                    </a:prstGeom>
                    <a:noFill/>
                    <a:ln w="9525">
                      <a:noFill/>
                      <a:miter lim="800000"/>
                      <a:headEnd/>
                      <a:tailEnd/>
                    </a:ln>
                  </pic:spPr>
                </pic:pic>
              </a:graphicData>
            </a:graphic>
          </wp:inline>
        </w:drawing>
      </w:r>
    </w:p>
    <w:p w14:paraId="6007E81B" w14:textId="77777777" w:rsidR="009C353B" w:rsidRDefault="00000000">
      <w:pPr>
        <w:adjustRightInd w:val="0"/>
        <w:snapToGrid w:val="0"/>
        <w:spacing w:line="440" w:lineRule="exact"/>
        <w:jc w:val="center"/>
        <w:rPr>
          <w:rFonts w:ascii="Times New Roman" w:hAnsi="Times New Roman"/>
          <w:b/>
        </w:rPr>
      </w:pPr>
      <w:r>
        <w:rPr>
          <w:rFonts w:ascii="Times New Roman" w:hAnsi="Times New Roman"/>
          <w:b/>
        </w:rPr>
        <w:t>图</w:t>
      </w:r>
      <w:r>
        <w:rPr>
          <w:rFonts w:ascii="Times New Roman" w:hAnsi="Times New Roman"/>
          <w:b/>
        </w:rPr>
        <w:t xml:space="preserve">4.2-6 </w:t>
      </w:r>
      <w:r>
        <w:rPr>
          <w:rFonts w:ascii="Times New Roman" w:hAnsi="Times New Roman" w:hint="eastAsia"/>
          <w:b/>
        </w:rPr>
        <w:t>任家庄</w:t>
      </w:r>
      <w:r>
        <w:rPr>
          <w:rFonts w:ascii="Times New Roman" w:hAnsi="Times New Roman"/>
          <w:b/>
        </w:rPr>
        <w:t>煤矿锅炉房燃气锅炉</w:t>
      </w:r>
    </w:p>
    <w:p w14:paraId="2A603F55" w14:textId="77777777" w:rsidR="009C353B" w:rsidRDefault="009C353B">
      <w:pPr>
        <w:adjustRightInd w:val="0"/>
        <w:snapToGrid w:val="0"/>
        <w:spacing w:beforeLines="50" w:before="120" w:line="440" w:lineRule="exact"/>
        <w:ind w:firstLineChars="200" w:firstLine="480"/>
        <w:rPr>
          <w:rFonts w:ascii="Times New Roman" w:hAnsi="Times New Roman"/>
        </w:rPr>
      </w:pPr>
    </w:p>
    <w:p w14:paraId="496A6C75" w14:textId="77777777" w:rsidR="009C353B" w:rsidRDefault="00000000">
      <w:pPr>
        <w:adjustRightInd w:val="0"/>
        <w:snapToGrid w:val="0"/>
        <w:spacing w:beforeLines="50" w:before="120" w:line="440" w:lineRule="exact"/>
        <w:ind w:firstLineChars="200" w:firstLine="480"/>
        <w:rPr>
          <w:rFonts w:ascii="Times New Roman" w:hAnsi="Times New Roman"/>
        </w:rPr>
      </w:pPr>
      <w:r>
        <w:rPr>
          <w:rFonts w:ascii="Times New Roman" w:hAnsi="Times New Roman" w:hint="eastAsia"/>
        </w:rPr>
        <w:t>本次评价收集了</w:t>
      </w:r>
      <w:r>
        <w:rPr>
          <w:rFonts w:ascii="Times New Roman" w:hAnsi="Times New Roman" w:hint="eastAsia"/>
        </w:rPr>
        <w:t>2019</w:t>
      </w:r>
      <w:r>
        <w:rPr>
          <w:rFonts w:ascii="Times New Roman" w:hAnsi="Times New Roman" w:hint="eastAsia"/>
        </w:rPr>
        <w:t>年和</w:t>
      </w:r>
      <w:r>
        <w:rPr>
          <w:rFonts w:ascii="Times New Roman" w:hAnsi="Times New Roman" w:hint="eastAsia"/>
        </w:rPr>
        <w:t>2020</w:t>
      </w:r>
      <w:r>
        <w:rPr>
          <w:rFonts w:ascii="Times New Roman" w:hAnsi="Times New Roman" w:hint="eastAsia"/>
        </w:rPr>
        <w:t>年锅炉房燃气锅炉烟气例行监测数据，具体见表</w:t>
      </w:r>
      <w:r>
        <w:rPr>
          <w:rFonts w:ascii="Times New Roman" w:hAnsi="Times New Roman" w:hint="eastAsia"/>
        </w:rPr>
        <w:t>4.2-3</w:t>
      </w:r>
      <w:r>
        <w:rPr>
          <w:rFonts w:ascii="Times New Roman" w:hAnsi="Times New Roman" w:hint="eastAsia"/>
        </w:rPr>
        <w:t>。</w:t>
      </w:r>
    </w:p>
    <w:p w14:paraId="12CF9069" w14:textId="77777777" w:rsidR="009C353B" w:rsidRDefault="00000000">
      <w:pPr>
        <w:adjustRightInd w:val="0"/>
        <w:snapToGrid w:val="0"/>
        <w:spacing w:line="440" w:lineRule="exact"/>
        <w:jc w:val="center"/>
        <w:rPr>
          <w:rFonts w:ascii="Times New Roman" w:hAnsi="Times New Roman"/>
          <w:b/>
        </w:rPr>
      </w:pPr>
      <w:r>
        <w:rPr>
          <w:rFonts w:ascii="Times New Roman" w:hAnsi="Times New Roman" w:hint="eastAsia"/>
          <w:b/>
        </w:rPr>
        <w:t>任家庄燃气锅炉烟气监测结果</w:t>
      </w:r>
    </w:p>
    <w:p w14:paraId="3FE3BFB2" w14:textId="77777777" w:rsidR="009C353B" w:rsidRDefault="00000000">
      <w:pPr>
        <w:adjustRightInd w:val="0"/>
        <w:snapToGrid w:val="0"/>
        <w:spacing w:line="440" w:lineRule="exact"/>
        <w:ind w:firstLineChars="200" w:firstLine="480"/>
        <w:outlineLvl w:val="4"/>
        <w:rPr>
          <w:rFonts w:ascii="Times New Roman" w:hAnsi="Times New Roman"/>
          <w:szCs w:val="24"/>
        </w:rPr>
      </w:pPr>
      <w:r>
        <w:rPr>
          <w:rFonts w:ascii="Times New Roman" w:hAnsi="Times New Roman" w:hint="eastAsia"/>
          <w:szCs w:val="24"/>
        </w:rPr>
        <w:t>表</w:t>
      </w:r>
      <w:r>
        <w:rPr>
          <w:rFonts w:ascii="Times New Roman" w:hAnsi="Times New Roman" w:hint="eastAsia"/>
          <w:szCs w:val="24"/>
        </w:rPr>
        <w:t>4.2-3</w:t>
      </w:r>
    </w:p>
    <w:tbl>
      <w:tblPr>
        <w:tblStyle w:val="afffb"/>
        <w:tblW w:w="5000" w:type="pct"/>
        <w:jc w:val="center"/>
        <w:tblLook w:val="04A0" w:firstRow="1" w:lastRow="0" w:firstColumn="1" w:lastColumn="0" w:noHBand="0" w:noVBand="1"/>
      </w:tblPr>
      <w:tblGrid>
        <w:gridCol w:w="1458"/>
        <w:gridCol w:w="1153"/>
        <w:gridCol w:w="1120"/>
        <w:gridCol w:w="1118"/>
        <w:gridCol w:w="1107"/>
        <w:gridCol w:w="1118"/>
        <w:gridCol w:w="1095"/>
        <w:gridCol w:w="1118"/>
      </w:tblGrid>
      <w:tr w:rsidR="009C353B" w14:paraId="3171AEEE" w14:textId="77777777">
        <w:trPr>
          <w:trHeight w:val="382"/>
          <w:jc w:val="center"/>
        </w:trPr>
        <w:tc>
          <w:tcPr>
            <w:tcW w:w="1422" w:type="dxa"/>
            <w:vMerge w:val="restart"/>
            <w:vAlign w:val="center"/>
          </w:tcPr>
          <w:p w14:paraId="1F3DE84E" w14:textId="77777777" w:rsidR="009C353B" w:rsidRDefault="00000000">
            <w:pPr>
              <w:adjustRightInd w:val="0"/>
              <w:snapToGrid w:val="0"/>
              <w:jc w:val="center"/>
              <w:rPr>
                <w:rFonts w:ascii="Times New Roman" w:hAnsi="Times New Roman"/>
                <w:sz w:val="21"/>
                <w:szCs w:val="21"/>
              </w:rPr>
            </w:pPr>
            <w:r>
              <w:rPr>
                <w:rFonts w:ascii="Times New Roman"/>
                <w:sz w:val="21"/>
                <w:szCs w:val="21"/>
              </w:rPr>
              <w:t>监测点位</w:t>
            </w:r>
          </w:p>
        </w:tc>
        <w:tc>
          <w:tcPr>
            <w:tcW w:w="1125" w:type="dxa"/>
            <w:vMerge w:val="restart"/>
            <w:vAlign w:val="center"/>
          </w:tcPr>
          <w:p w14:paraId="2505CD9B" w14:textId="77777777" w:rsidR="009C353B" w:rsidRDefault="00000000">
            <w:pPr>
              <w:adjustRightInd w:val="0"/>
              <w:snapToGrid w:val="0"/>
              <w:jc w:val="center"/>
              <w:rPr>
                <w:rFonts w:ascii="Times New Roman" w:hAnsi="Times New Roman"/>
                <w:sz w:val="21"/>
                <w:szCs w:val="21"/>
              </w:rPr>
            </w:pPr>
            <w:r>
              <w:rPr>
                <w:rFonts w:ascii="Times New Roman"/>
                <w:sz w:val="21"/>
                <w:szCs w:val="21"/>
              </w:rPr>
              <w:t>监测时间</w:t>
            </w:r>
          </w:p>
        </w:tc>
        <w:tc>
          <w:tcPr>
            <w:tcW w:w="2184" w:type="dxa"/>
            <w:gridSpan w:val="2"/>
            <w:vAlign w:val="center"/>
          </w:tcPr>
          <w:p w14:paraId="6AAD81E8" w14:textId="77777777" w:rsidR="009C353B" w:rsidRDefault="00000000">
            <w:pPr>
              <w:adjustRightInd w:val="0"/>
              <w:snapToGrid w:val="0"/>
              <w:jc w:val="center"/>
              <w:rPr>
                <w:rFonts w:ascii="Times New Roman" w:hAnsi="Times New Roman"/>
                <w:sz w:val="21"/>
                <w:szCs w:val="21"/>
              </w:rPr>
            </w:pPr>
            <w:r>
              <w:rPr>
                <w:rFonts w:ascii="Times New Roman"/>
                <w:sz w:val="21"/>
                <w:szCs w:val="21"/>
              </w:rPr>
              <w:t>颗粒物</w:t>
            </w:r>
          </w:p>
        </w:tc>
        <w:tc>
          <w:tcPr>
            <w:tcW w:w="2171" w:type="dxa"/>
            <w:gridSpan w:val="2"/>
            <w:vAlign w:val="center"/>
          </w:tcPr>
          <w:p w14:paraId="1D5D8FE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tc>
        <w:tc>
          <w:tcPr>
            <w:tcW w:w="2159" w:type="dxa"/>
            <w:gridSpan w:val="2"/>
            <w:vAlign w:val="center"/>
          </w:tcPr>
          <w:p w14:paraId="2965621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NOx</w:t>
            </w:r>
          </w:p>
        </w:tc>
      </w:tr>
      <w:tr w:rsidR="009C353B" w14:paraId="2253C699" w14:textId="77777777">
        <w:trPr>
          <w:trHeight w:val="685"/>
          <w:jc w:val="center"/>
        </w:trPr>
        <w:tc>
          <w:tcPr>
            <w:tcW w:w="1422" w:type="dxa"/>
            <w:vMerge/>
            <w:vAlign w:val="center"/>
          </w:tcPr>
          <w:p w14:paraId="7150A35F" w14:textId="77777777" w:rsidR="009C353B" w:rsidRDefault="009C353B">
            <w:pPr>
              <w:adjustRightInd w:val="0"/>
              <w:snapToGrid w:val="0"/>
              <w:jc w:val="center"/>
              <w:rPr>
                <w:rFonts w:ascii="Times New Roman" w:hAnsi="Times New Roman"/>
                <w:sz w:val="21"/>
                <w:szCs w:val="21"/>
              </w:rPr>
            </w:pPr>
          </w:p>
        </w:tc>
        <w:tc>
          <w:tcPr>
            <w:tcW w:w="1125" w:type="dxa"/>
            <w:vMerge/>
            <w:vAlign w:val="center"/>
          </w:tcPr>
          <w:p w14:paraId="3D985538" w14:textId="77777777" w:rsidR="009C353B" w:rsidRDefault="009C353B">
            <w:pPr>
              <w:adjustRightInd w:val="0"/>
              <w:snapToGrid w:val="0"/>
              <w:jc w:val="center"/>
              <w:rPr>
                <w:rFonts w:ascii="Times New Roman" w:hAnsi="Times New Roman"/>
                <w:sz w:val="21"/>
                <w:szCs w:val="21"/>
              </w:rPr>
            </w:pPr>
          </w:p>
        </w:tc>
        <w:tc>
          <w:tcPr>
            <w:tcW w:w="1093" w:type="dxa"/>
            <w:vAlign w:val="center"/>
          </w:tcPr>
          <w:p w14:paraId="180A19CA" w14:textId="77777777" w:rsidR="009C353B" w:rsidRDefault="00000000">
            <w:pPr>
              <w:adjustRightInd w:val="0"/>
              <w:snapToGrid w:val="0"/>
              <w:jc w:val="center"/>
              <w:rPr>
                <w:rFonts w:ascii="Times New Roman" w:hAnsi="Times New Roman"/>
                <w:sz w:val="21"/>
                <w:szCs w:val="21"/>
              </w:rPr>
            </w:pPr>
            <w:r>
              <w:rPr>
                <w:rFonts w:ascii="Times New Roman"/>
                <w:sz w:val="21"/>
                <w:szCs w:val="21"/>
              </w:rPr>
              <w:t>排放速率</w:t>
            </w:r>
          </w:p>
          <w:p w14:paraId="568C290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kg/h</w:t>
            </w:r>
          </w:p>
        </w:tc>
        <w:tc>
          <w:tcPr>
            <w:tcW w:w="1091" w:type="dxa"/>
            <w:vAlign w:val="center"/>
          </w:tcPr>
          <w:p w14:paraId="5A0FF3A6" w14:textId="77777777" w:rsidR="009C353B" w:rsidRDefault="00000000">
            <w:pPr>
              <w:adjustRightInd w:val="0"/>
              <w:snapToGrid w:val="0"/>
              <w:jc w:val="center"/>
              <w:rPr>
                <w:rFonts w:ascii="Times New Roman" w:hAnsi="Times New Roman"/>
                <w:sz w:val="21"/>
                <w:szCs w:val="21"/>
              </w:rPr>
            </w:pPr>
            <w:r>
              <w:rPr>
                <w:rFonts w:ascii="Times New Roman"/>
                <w:sz w:val="21"/>
                <w:szCs w:val="21"/>
              </w:rPr>
              <w:t>排放浓度</w:t>
            </w:r>
          </w:p>
          <w:p w14:paraId="310300E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mg/m</w:t>
            </w:r>
            <w:r>
              <w:rPr>
                <w:rFonts w:ascii="Times New Roman" w:hAnsi="Times New Roman"/>
                <w:sz w:val="21"/>
                <w:szCs w:val="21"/>
                <w:vertAlign w:val="superscript"/>
              </w:rPr>
              <w:t>3</w:t>
            </w:r>
          </w:p>
        </w:tc>
        <w:tc>
          <w:tcPr>
            <w:tcW w:w="1080" w:type="dxa"/>
            <w:vAlign w:val="center"/>
          </w:tcPr>
          <w:p w14:paraId="5B471A80" w14:textId="77777777" w:rsidR="009C353B" w:rsidRDefault="00000000">
            <w:pPr>
              <w:adjustRightInd w:val="0"/>
              <w:snapToGrid w:val="0"/>
              <w:jc w:val="center"/>
              <w:rPr>
                <w:rFonts w:ascii="Times New Roman" w:hAnsi="Times New Roman"/>
                <w:sz w:val="21"/>
                <w:szCs w:val="21"/>
              </w:rPr>
            </w:pPr>
            <w:r>
              <w:rPr>
                <w:rFonts w:ascii="Times New Roman"/>
                <w:sz w:val="21"/>
                <w:szCs w:val="21"/>
              </w:rPr>
              <w:t>排放速率</w:t>
            </w:r>
          </w:p>
          <w:p w14:paraId="51D0864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kg/h</w:t>
            </w:r>
          </w:p>
        </w:tc>
        <w:tc>
          <w:tcPr>
            <w:tcW w:w="1091" w:type="dxa"/>
            <w:vAlign w:val="center"/>
          </w:tcPr>
          <w:p w14:paraId="47BB38B7" w14:textId="77777777" w:rsidR="009C353B" w:rsidRDefault="00000000">
            <w:pPr>
              <w:adjustRightInd w:val="0"/>
              <w:snapToGrid w:val="0"/>
              <w:jc w:val="center"/>
              <w:rPr>
                <w:rFonts w:ascii="Times New Roman" w:hAnsi="Times New Roman"/>
                <w:sz w:val="21"/>
                <w:szCs w:val="21"/>
              </w:rPr>
            </w:pPr>
            <w:r>
              <w:rPr>
                <w:rFonts w:ascii="Times New Roman"/>
                <w:sz w:val="21"/>
                <w:szCs w:val="21"/>
              </w:rPr>
              <w:t>排放浓度</w:t>
            </w:r>
          </w:p>
          <w:p w14:paraId="747B9AC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mg/m</w:t>
            </w:r>
            <w:r>
              <w:rPr>
                <w:rFonts w:ascii="Times New Roman" w:hAnsi="Times New Roman"/>
                <w:sz w:val="21"/>
                <w:szCs w:val="21"/>
                <w:vertAlign w:val="superscript"/>
              </w:rPr>
              <w:t>3</w:t>
            </w:r>
          </w:p>
        </w:tc>
        <w:tc>
          <w:tcPr>
            <w:tcW w:w="1068" w:type="dxa"/>
            <w:vAlign w:val="center"/>
          </w:tcPr>
          <w:p w14:paraId="44EE678A" w14:textId="77777777" w:rsidR="009C353B" w:rsidRDefault="00000000">
            <w:pPr>
              <w:adjustRightInd w:val="0"/>
              <w:snapToGrid w:val="0"/>
              <w:jc w:val="center"/>
              <w:rPr>
                <w:rFonts w:ascii="Times New Roman" w:hAnsi="Times New Roman"/>
                <w:sz w:val="21"/>
                <w:szCs w:val="21"/>
              </w:rPr>
            </w:pPr>
            <w:r>
              <w:rPr>
                <w:rFonts w:ascii="Times New Roman"/>
                <w:sz w:val="21"/>
                <w:szCs w:val="21"/>
              </w:rPr>
              <w:t>排放速率</w:t>
            </w:r>
          </w:p>
          <w:p w14:paraId="0906F47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kg/h</w:t>
            </w:r>
          </w:p>
        </w:tc>
        <w:tc>
          <w:tcPr>
            <w:tcW w:w="1091" w:type="dxa"/>
            <w:vAlign w:val="center"/>
          </w:tcPr>
          <w:p w14:paraId="6ADD898A" w14:textId="77777777" w:rsidR="009C353B" w:rsidRDefault="00000000">
            <w:pPr>
              <w:adjustRightInd w:val="0"/>
              <w:snapToGrid w:val="0"/>
              <w:jc w:val="center"/>
              <w:rPr>
                <w:rFonts w:ascii="Times New Roman" w:hAnsi="Times New Roman"/>
                <w:sz w:val="21"/>
                <w:szCs w:val="21"/>
              </w:rPr>
            </w:pPr>
            <w:r>
              <w:rPr>
                <w:rFonts w:ascii="Times New Roman"/>
                <w:sz w:val="21"/>
                <w:szCs w:val="21"/>
              </w:rPr>
              <w:t>排放浓度</w:t>
            </w:r>
          </w:p>
          <w:p w14:paraId="4FF26D3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mg/m</w:t>
            </w:r>
            <w:r>
              <w:rPr>
                <w:rFonts w:ascii="Times New Roman" w:hAnsi="Times New Roman"/>
                <w:sz w:val="21"/>
                <w:szCs w:val="21"/>
                <w:vertAlign w:val="superscript"/>
              </w:rPr>
              <w:t>3</w:t>
            </w:r>
          </w:p>
        </w:tc>
      </w:tr>
      <w:tr w:rsidR="009C353B" w14:paraId="2AF71190" w14:textId="77777777">
        <w:trPr>
          <w:trHeight w:val="695"/>
          <w:jc w:val="center"/>
        </w:trPr>
        <w:tc>
          <w:tcPr>
            <w:tcW w:w="1422" w:type="dxa"/>
            <w:vAlign w:val="center"/>
          </w:tcPr>
          <w:p w14:paraId="02F68E3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副立井锅炉房</w:t>
            </w:r>
            <w:r>
              <w:rPr>
                <w:rFonts w:ascii="Times New Roman" w:hAnsi="Times New Roman" w:hint="eastAsia"/>
                <w:sz w:val="21"/>
                <w:szCs w:val="21"/>
              </w:rPr>
              <w:t>3#</w:t>
            </w:r>
            <w:r>
              <w:rPr>
                <w:rFonts w:ascii="Times New Roman" w:hAnsi="Times New Roman" w:hint="eastAsia"/>
                <w:sz w:val="21"/>
                <w:szCs w:val="21"/>
              </w:rPr>
              <w:t>锅炉一时段</w:t>
            </w:r>
          </w:p>
        </w:tc>
        <w:tc>
          <w:tcPr>
            <w:tcW w:w="1125" w:type="dxa"/>
            <w:vAlign w:val="center"/>
          </w:tcPr>
          <w:p w14:paraId="47BB658B"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2019.3.25</w:t>
            </w:r>
          </w:p>
        </w:tc>
        <w:tc>
          <w:tcPr>
            <w:tcW w:w="1093" w:type="dxa"/>
            <w:vAlign w:val="center"/>
          </w:tcPr>
          <w:p w14:paraId="7B3365D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91" w:type="dxa"/>
            <w:vAlign w:val="center"/>
          </w:tcPr>
          <w:p w14:paraId="7DD763A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80" w:type="dxa"/>
            <w:vAlign w:val="center"/>
          </w:tcPr>
          <w:p w14:paraId="4B175A2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0.002</w:t>
            </w:r>
          </w:p>
        </w:tc>
        <w:tc>
          <w:tcPr>
            <w:tcW w:w="1091" w:type="dxa"/>
            <w:vAlign w:val="center"/>
          </w:tcPr>
          <w:p w14:paraId="59EB866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2.7</w:t>
            </w:r>
          </w:p>
        </w:tc>
        <w:tc>
          <w:tcPr>
            <w:tcW w:w="1068" w:type="dxa"/>
            <w:vAlign w:val="center"/>
          </w:tcPr>
          <w:p w14:paraId="3B90FD2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0.01</w:t>
            </w:r>
          </w:p>
        </w:tc>
        <w:tc>
          <w:tcPr>
            <w:tcW w:w="1091" w:type="dxa"/>
            <w:vAlign w:val="center"/>
          </w:tcPr>
          <w:p w14:paraId="444BCCA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16.2</w:t>
            </w:r>
          </w:p>
        </w:tc>
      </w:tr>
      <w:tr w:rsidR="009C353B" w14:paraId="5801219D" w14:textId="77777777">
        <w:trPr>
          <w:trHeight w:val="705"/>
          <w:jc w:val="center"/>
        </w:trPr>
        <w:tc>
          <w:tcPr>
            <w:tcW w:w="1422" w:type="dxa"/>
            <w:vAlign w:val="center"/>
          </w:tcPr>
          <w:p w14:paraId="6369948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副立井锅炉房</w:t>
            </w:r>
            <w:r>
              <w:rPr>
                <w:rFonts w:ascii="Times New Roman" w:hAnsi="Times New Roman" w:hint="eastAsia"/>
                <w:sz w:val="21"/>
                <w:szCs w:val="21"/>
              </w:rPr>
              <w:t>3#</w:t>
            </w:r>
            <w:r>
              <w:rPr>
                <w:rFonts w:ascii="Times New Roman" w:hAnsi="Times New Roman" w:hint="eastAsia"/>
                <w:sz w:val="21"/>
                <w:szCs w:val="21"/>
              </w:rPr>
              <w:t>锅炉二时段</w:t>
            </w:r>
          </w:p>
        </w:tc>
        <w:tc>
          <w:tcPr>
            <w:tcW w:w="1125" w:type="dxa"/>
            <w:vAlign w:val="center"/>
          </w:tcPr>
          <w:p w14:paraId="6475043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2019.3.25</w:t>
            </w:r>
          </w:p>
        </w:tc>
        <w:tc>
          <w:tcPr>
            <w:tcW w:w="1093" w:type="dxa"/>
            <w:vAlign w:val="center"/>
          </w:tcPr>
          <w:p w14:paraId="782FC31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0.03</w:t>
            </w:r>
          </w:p>
        </w:tc>
        <w:tc>
          <w:tcPr>
            <w:tcW w:w="1091" w:type="dxa"/>
            <w:vAlign w:val="center"/>
          </w:tcPr>
          <w:p w14:paraId="5B5D298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3.4</w:t>
            </w:r>
          </w:p>
        </w:tc>
        <w:tc>
          <w:tcPr>
            <w:tcW w:w="1080" w:type="dxa"/>
            <w:vAlign w:val="center"/>
          </w:tcPr>
          <w:p w14:paraId="200EA21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0.01</w:t>
            </w:r>
          </w:p>
        </w:tc>
        <w:tc>
          <w:tcPr>
            <w:tcW w:w="1091" w:type="dxa"/>
            <w:vAlign w:val="center"/>
          </w:tcPr>
          <w:p w14:paraId="6C6C3C5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5</w:t>
            </w:r>
          </w:p>
        </w:tc>
        <w:tc>
          <w:tcPr>
            <w:tcW w:w="1068" w:type="dxa"/>
            <w:vAlign w:val="center"/>
          </w:tcPr>
          <w:p w14:paraId="0F53D17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0.02</w:t>
            </w:r>
          </w:p>
        </w:tc>
        <w:tc>
          <w:tcPr>
            <w:tcW w:w="1091" w:type="dxa"/>
            <w:vAlign w:val="center"/>
          </w:tcPr>
          <w:p w14:paraId="1D977F7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w:t>
            </w:r>
          </w:p>
        </w:tc>
      </w:tr>
      <w:tr w:rsidR="009C353B" w14:paraId="3EE14F14" w14:textId="77777777">
        <w:trPr>
          <w:trHeight w:val="687"/>
          <w:jc w:val="center"/>
        </w:trPr>
        <w:tc>
          <w:tcPr>
            <w:tcW w:w="1422" w:type="dxa"/>
            <w:vAlign w:val="center"/>
          </w:tcPr>
          <w:p w14:paraId="3E735EC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副立井锅炉房</w:t>
            </w:r>
            <w:r>
              <w:rPr>
                <w:rFonts w:ascii="Times New Roman" w:hAnsi="Times New Roman" w:hint="eastAsia"/>
                <w:sz w:val="21"/>
                <w:szCs w:val="21"/>
              </w:rPr>
              <w:t>3#</w:t>
            </w:r>
            <w:r>
              <w:rPr>
                <w:rFonts w:ascii="Times New Roman" w:hAnsi="Times New Roman" w:hint="eastAsia"/>
                <w:sz w:val="21"/>
                <w:szCs w:val="21"/>
              </w:rPr>
              <w:t>锅炉三时段</w:t>
            </w:r>
          </w:p>
        </w:tc>
        <w:tc>
          <w:tcPr>
            <w:tcW w:w="1125" w:type="dxa"/>
            <w:vAlign w:val="center"/>
          </w:tcPr>
          <w:p w14:paraId="6B07AA7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2019.3.25</w:t>
            </w:r>
          </w:p>
        </w:tc>
        <w:tc>
          <w:tcPr>
            <w:tcW w:w="1093" w:type="dxa"/>
            <w:vAlign w:val="center"/>
          </w:tcPr>
          <w:p w14:paraId="2024987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0.01</w:t>
            </w:r>
          </w:p>
        </w:tc>
        <w:tc>
          <w:tcPr>
            <w:tcW w:w="1091" w:type="dxa"/>
            <w:vAlign w:val="center"/>
          </w:tcPr>
          <w:p w14:paraId="36F8D37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w:t>
            </w:r>
          </w:p>
        </w:tc>
        <w:tc>
          <w:tcPr>
            <w:tcW w:w="1080" w:type="dxa"/>
            <w:vAlign w:val="center"/>
          </w:tcPr>
          <w:p w14:paraId="02D60AE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0.03</w:t>
            </w:r>
          </w:p>
        </w:tc>
        <w:tc>
          <w:tcPr>
            <w:tcW w:w="1091" w:type="dxa"/>
            <w:vAlign w:val="center"/>
          </w:tcPr>
          <w:p w14:paraId="686BEA2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w:t>
            </w:r>
          </w:p>
        </w:tc>
        <w:tc>
          <w:tcPr>
            <w:tcW w:w="1068" w:type="dxa"/>
            <w:vAlign w:val="center"/>
          </w:tcPr>
          <w:p w14:paraId="0F02852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0.02</w:t>
            </w:r>
          </w:p>
        </w:tc>
        <w:tc>
          <w:tcPr>
            <w:tcW w:w="1091" w:type="dxa"/>
            <w:vAlign w:val="center"/>
          </w:tcPr>
          <w:p w14:paraId="6EBC0A3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21</w:t>
            </w:r>
          </w:p>
        </w:tc>
      </w:tr>
      <w:tr w:rsidR="009C353B" w14:paraId="52C5FC03" w14:textId="77777777">
        <w:trPr>
          <w:trHeight w:val="710"/>
          <w:jc w:val="center"/>
        </w:trPr>
        <w:tc>
          <w:tcPr>
            <w:tcW w:w="1422" w:type="dxa"/>
            <w:vAlign w:val="center"/>
          </w:tcPr>
          <w:p w14:paraId="64A37D6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副立井锅炉房</w:t>
            </w:r>
            <w:r>
              <w:rPr>
                <w:rFonts w:ascii="Times New Roman" w:hAnsi="Times New Roman" w:hint="eastAsia"/>
                <w:sz w:val="21"/>
                <w:szCs w:val="21"/>
              </w:rPr>
              <w:t>3#</w:t>
            </w:r>
            <w:r>
              <w:rPr>
                <w:rFonts w:ascii="Times New Roman" w:hAnsi="Times New Roman" w:hint="eastAsia"/>
                <w:sz w:val="21"/>
                <w:szCs w:val="21"/>
              </w:rPr>
              <w:t>锅炉一时段</w:t>
            </w:r>
          </w:p>
        </w:tc>
        <w:tc>
          <w:tcPr>
            <w:tcW w:w="1125" w:type="dxa"/>
            <w:vAlign w:val="center"/>
          </w:tcPr>
          <w:p w14:paraId="6F0F52D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2019.3.26</w:t>
            </w:r>
          </w:p>
        </w:tc>
        <w:tc>
          <w:tcPr>
            <w:tcW w:w="1093" w:type="dxa"/>
            <w:vAlign w:val="center"/>
          </w:tcPr>
          <w:p w14:paraId="39E96A8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91" w:type="dxa"/>
            <w:vAlign w:val="center"/>
          </w:tcPr>
          <w:p w14:paraId="4AA7A876"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80" w:type="dxa"/>
            <w:vAlign w:val="center"/>
          </w:tcPr>
          <w:p w14:paraId="1CF6894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0.04</w:t>
            </w:r>
          </w:p>
        </w:tc>
        <w:tc>
          <w:tcPr>
            <w:tcW w:w="1091" w:type="dxa"/>
            <w:vAlign w:val="center"/>
          </w:tcPr>
          <w:p w14:paraId="38FDAE3B"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w:t>
            </w:r>
          </w:p>
        </w:tc>
        <w:tc>
          <w:tcPr>
            <w:tcW w:w="1068" w:type="dxa"/>
            <w:vAlign w:val="center"/>
          </w:tcPr>
          <w:p w14:paraId="7711D8C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0.03</w:t>
            </w:r>
          </w:p>
        </w:tc>
        <w:tc>
          <w:tcPr>
            <w:tcW w:w="1091" w:type="dxa"/>
            <w:vAlign w:val="center"/>
          </w:tcPr>
          <w:p w14:paraId="02B7731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19</w:t>
            </w:r>
          </w:p>
        </w:tc>
      </w:tr>
      <w:tr w:rsidR="009C353B" w14:paraId="4210B01B" w14:textId="77777777">
        <w:trPr>
          <w:trHeight w:val="693"/>
          <w:jc w:val="center"/>
        </w:trPr>
        <w:tc>
          <w:tcPr>
            <w:tcW w:w="1422" w:type="dxa"/>
            <w:vAlign w:val="center"/>
          </w:tcPr>
          <w:p w14:paraId="1061D8B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副立井锅炉房</w:t>
            </w:r>
            <w:r>
              <w:rPr>
                <w:rFonts w:ascii="Times New Roman" w:hAnsi="Times New Roman" w:hint="eastAsia"/>
                <w:sz w:val="21"/>
                <w:szCs w:val="21"/>
              </w:rPr>
              <w:t>3#</w:t>
            </w:r>
            <w:r>
              <w:rPr>
                <w:rFonts w:ascii="Times New Roman" w:hAnsi="Times New Roman" w:hint="eastAsia"/>
                <w:sz w:val="21"/>
                <w:szCs w:val="21"/>
              </w:rPr>
              <w:t>锅炉二时段</w:t>
            </w:r>
          </w:p>
        </w:tc>
        <w:tc>
          <w:tcPr>
            <w:tcW w:w="1125" w:type="dxa"/>
            <w:vAlign w:val="center"/>
          </w:tcPr>
          <w:p w14:paraId="14C36B8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2019.3.26</w:t>
            </w:r>
          </w:p>
        </w:tc>
        <w:tc>
          <w:tcPr>
            <w:tcW w:w="1093" w:type="dxa"/>
            <w:vAlign w:val="center"/>
          </w:tcPr>
          <w:p w14:paraId="2800D05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0.004</w:t>
            </w:r>
          </w:p>
        </w:tc>
        <w:tc>
          <w:tcPr>
            <w:tcW w:w="1091" w:type="dxa"/>
            <w:vAlign w:val="center"/>
          </w:tcPr>
          <w:p w14:paraId="4246741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0.4</w:t>
            </w:r>
          </w:p>
        </w:tc>
        <w:tc>
          <w:tcPr>
            <w:tcW w:w="1080" w:type="dxa"/>
            <w:vAlign w:val="center"/>
          </w:tcPr>
          <w:p w14:paraId="23DFD326"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0.01</w:t>
            </w:r>
          </w:p>
        </w:tc>
        <w:tc>
          <w:tcPr>
            <w:tcW w:w="1091" w:type="dxa"/>
            <w:vAlign w:val="center"/>
          </w:tcPr>
          <w:p w14:paraId="5CB40EE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w:t>
            </w:r>
          </w:p>
        </w:tc>
        <w:tc>
          <w:tcPr>
            <w:tcW w:w="1068" w:type="dxa"/>
            <w:vAlign w:val="center"/>
          </w:tcPr>
          <w:p w14:paraId="02AC934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0.03</w:t>
            </w:r>
          </w:p>
        </w:tc>
        <w:tc>
          <w:tcPr>
            <w:tcW w:w="1091" w:type="dxa"/>
            <w:vAlign w:val="center"/>
          </w:tcPr>
          <w:p w14:paraId="319BD39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w:t>
            </w:r>
          </w:p>
        </w:tc>
      </w:tr>
      <w:tr w:rsidR="009C353B" w14:paraId="1CD26EB6" w14:textId="77777777">
        <w:trPr>
          <w:trHeight w:val="703"/>
          <w:jc w:val="center"/>
        </w:trPr>
        <w:tc>
          <w:tcPr>
            <w:tcW w:w="1422" w:type="dxa"/>
            <w:vAlign w:val="center"/>
          </w:tcPr>
          <w:p w14:paraId="1540D66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副立井锅炉房</w:t>
            </w:r>
            <w:r>
              <w:rPr>
                <w:rFonts w:ascii="Times New Roman" w:hAnsi="Times New Roman" w:hint="eastAsia"/>
                <w:sz w:val="21"/>
                <w:szCs w:val="21"/>
              </w:rPr>
              <w:t>3#</w:t>
            </w:r>
            <w:r>
              <w:rPr>
                <w:rFonts w:ascii="Times New Roman" w:hAnsi="Times New Roman" w:hint="eastAsia"/>
                <w:sz w:val="21"/>
                <w:szCs w:val="21"/>
              </w:rPr>
              <w:t>锅炉三时段</w:t>
            </w:r>
          </w:p>
        </w:tc>
        <w:tc>
          <w:tcPr>
            <w:tcW w:w="1125" w:type="dxa"/>
            <w:vAlign w:val="center"/>
          </w:tcPr>
          <w:p w14:paraId="736DD1A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2019.3.26</w:t>
            </w:r>
          </w:p>
        </w:tc>
        <w:tc>
          <w:tcPr>
            <w:tcW w:w="1093" w:type="dxa"/>
            <w:vAlign w:val="center"/>
          </w:tcPr>
          <w:p w14:paraId="5711FD1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91" w:type="dxa"/>
            <w:vAlign w:val="center"/>
          </w:tcPr>
          <w:p w14:paraId="682839F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80" w:type="dxa"/>
            <w:vAlign w:val="center"/>
          </w:tcPr>
          <w:p w14:paraId="6A43CEC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0.01</w:t>
            </w:r>
          </w:p>
        </w:tc>
        <w:tc>
          <w:tcPr>
            <w:tcW w:w="1091" w:type="dxa"/>
            <w:vAlign w:val="center"/>
          </w:tcPr>
          <w:p w14:paraId="4660AEA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w:t>
            </w:r>
          </w:p>
        </w:tc>
        <w:tc>
          <w:tcPr>
            <w:tcW w:w="1068" w:type="dxa"/>
            <w:vAlign w:val="center"/>
          </w:tcPr>
          <w:p w14:paraId="0618973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0.02</w:t>
            </w:r>
          </w:p>
        </w:tc>
        <w:tc>
          <w:tcPr>
            <w:tcW w:w="1091" w:type="dxa"/>
            <w:vAlign w:val="center"/>
          </w:tcPr>
          <w:p w14:paraId="786D869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18</w:t>
            </w:r>
          </w:p>
        </w:tc>
      </w:tr>
      <w:tr w:rsidR="009C353B" w14:paraId="45673A9A" w14:textId="77777777">
        <w:trPr>
          <w:trHeight w:val="713"/>
          <w:jc w:val="center"/>
        </w:trPr>
        <w:tc>
          <w:tcPr>
            <w:tcW w:w="1422" w:type="dxa"/>
            <w:vAlign w:val="center"/>
          </w:tcPr>
          <w:p w14:paraId="4FEDF3C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主工广锅炉房</w:t>
            </w:r>
            <w:r>
              <w:rPr>
                <w:rFonts w:ascii="Times New Roman" w:hAnsi="Times New Roman" w:hint="eastAsia"/>
                <w:sz w:val="21"/>
                <w:szCs w:val="21"/>
              </w:rPr>
              <w:t>1#</w:t>
            </w:r>
            <w:r>
              <w:rPr>
                <w:rFonts w:ascii="Times New Roman" w:hAnsi="Times New Roman"/>
                <w:sz w:val="21"/>
                <w:szCs w:val="21"/>
              </w:rPr>
              <w:t>锅炉</w:t>
            </w:r>
          </w:p>
        </w:tc>
        <w:tc>
          <w:tcPr>
            <w:tcW w:w="1125" w:type="dxa"/>
            <w:vAlign w:val="center"/>
          </w:tcPr>
          <w:p w14:paraId="76AE64A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2020.1.3</w:t>
            </w:r>
          </w:p>
        </w:tc>
        <w:tc>
          <w:tcPr>
            <w:tcW w:w="1093" w:type="dxa"/>
            <w:vAlign w:val="center"/>
          </w:tcPr>
          <w:p w14:paraId="1B580D1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0.03</w:t>
            </w:r>
          </w:p>
        </w:tc>
        <w:tc>
          <w:tcPr>
            <w:tcW w:w="1091" w:type="dxa"/>
            <w:vAlign w:val="center"/>
          </w:tcPr>
          <w:p w14:paraId="1BFB350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1.3</w:t>
            </w:r>
          </w:p>
        </w:tc>
        <w:tc>
          <w:tcPr>
            <w:tcW w:w="1080" w:type="dxa"/>
            <w:vAlign w:val="center"/>
          </w:tcPr>
          <w:p w14:paraId="0F2D0E5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91" w:type="dxa"/>
            <w:vAlign w:val="center"/>
          </w:tcPr>
          <w:p w14:paraId="4E8B716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68" w:type="dxa"/>
            <w:vAlign w:val="center"/>
          </w:tcPr>
          <w:p w14:paraId="568946F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0.88</w:t>
            </w:r>
          </w:p>
        </w:tc>
        <w:tc>
          <w:tcPr>
            <w:tcW w:w="1091" w:type="dxa"/>
            <w:vAlign w:val="center"/>
          </w:tcPr>
          <w:p w14:paraId="6B7367E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45</w:t>
            </w:r>
          </w:p>
        </w:tc>
      </w:tr>
      <w:tr w:rsidR="009C353B" w14:paraId="7BA46D28" w14:textId="77777777">
        <w:trPr>
          <w:trHeight w:val="681"/>
          <w:jc w:val="center"/>
        </w:trPr>
        <w:tc>
          <w:tcPr>
            <w:tcW w:w="1422" w:type="dxa"/>
            <w:vAlign w:val="center"/>
          </w:tcPr>
          <w:p w14:paraId="24400CA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副立井锅炉房</w:t>
            </w:r>
            <w:r>
              <w:rPr>
                <w:rFonts w:ascii="Times New Roman" w:hAnsi="Times New Roman" w:hint="eastAsia"/>
                <w:sz w:val="21"/>
                <w:szCs w:val="21"/>
              </w:rPr>
              <w:t>1#</w:t>
            </w:r>
            <w:r>
              <w:rPr>
                <w:rFonts w:ascii="Times New Roman" w:hAnsi="Times New Roman" w:hint="eastAsia"/>
                <w:sz w:val="21"/>
                <w:szCs w:val="21"/>
              </w:rPr>
              <w:t>锅炉</w:t>
            </w:r>
          </w:p>
        </w:tc>
        <w:tc>
          <w:tcPr>
            <w:tcW w:w="1125" w:type="dxa"/>
            <w:vAlign w:val="center"/>
          </w:tcPr>
          <w:p w14:paraId="4832FD7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2020.1.3</w:t>
            </w:r>
          </w:p>
        </w:tc>
        <w:tc>
          <w:tcPr>
            <w:tcW w:w="1093" w:type="dxa"/>
            <w:vAlign w:val="center"/>
          </w:tcPr>
          <w:p w14:paraId="6731EBE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0.0003</w:t>
            </w:r>
          </w:p>
        </w:tc>
        <w:tc>
          <w:tcPr>
            <w:tcW w:w="1091" w:type="dxa"/>
            <w:vAlign w:val="center"/>
          </w:tcPr>
          <w:p w14:paraId="0133256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3.9</w:t>
            </w:r>
          </w:p>
        </w:tc>
        <w:tc>
          <w:tcPr>
            <w:tcW w:w="1080" w:type="dxa"/>
            <w:vAlign w:val="center"/>
          </w:tcPr>
          <w:p w14:paraId="222EB44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91" w:type="dxa"/>
            <w:vAlign w:val="center"/>
          </w:tcPr>
          <w:p w14:paraId="74C651F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68" w:type="dxa"/>
            <w:vAlign w:val="center"/>
          </w:tcPr>
          <w:p w14:paraId="774478F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0.01</w:t>
            </w:r>
          </w:p>
        </w:tc>
        <w:tc>
          <w:tcPr>
            <w:tcW w:w="1091" w:type="dxa"/>
            <w:vAlign w:val="center"/>
          </w:tcPr>
          <w:p w14:paraId="18E09AE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18</w:t>
            </w:r>
          </w:p>
        </w:tc>
      </w:tr>
      <w:tr w:rsidR="009C353B" w14:paraId="142FE26D" w14:textId="77777777">
        <w:trPr>
          <w:trHeight w:val="701"/>
          <w:jc w:val="center"/>
        </w:trPr>
        <w:tc>
          <w:tcPr>
            <w:tcW w:w="2547" w:type="dxa"/>
            <w:gridSpan w:val="2"/>
            <w:vAlign w:val="center"/>
          </w:tcPr>
          <w:p w14:paraId="6DFC896B"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《锅炉大气污染物排放标准》（</w:t>
            </w:r>
            <w:r>
              <w:rPr>
                <w:rFonts w:ascii="Times New Roman" w:hAnsi="Times New Roman" w:hint="eastAsia"/>
                <w:sz w:val="21"/>
                <w:szCs w:val="21"/>
              </w:rPr>
              <w:t>GB13271-2014</w:t>
            </w:r>
            <w:r>
              <w:rPr>
                <w:rFonts w:ascii="Times New Roman" w:hAnsi="Times New Roman" w:hint="eastAsia"/>
                <w:sz w:val="21"/>
                <w:szCs w:val="21"/>
              </w:rPr>
              <w:t>）表</w:t>
            </w:r>
            <w:r>
              <w:rPr>
                <w:rFonts w:ascii="Times New Roman" w:hAnsi="Times New Roman" w:hint="eastAsia"/>
                <w:sz w:val="21"/>
                <w:szCs w:val="21"/>
              </w:rPr>
              <w:t>3</w:t>
            </w:r>
          </w:p>
        </w:tc>
        <w:tc>
          <w:tcPr>
            <w:tcW w:w="1093" w:type="dxa"/>
            <w:vAlign w:val="center"/>
          </w:tcPr>
          <w:p w14:paraId="0C30D1A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91" w:type="dxa"/>
            <w:vAlign w:val="center"/>
          </w:tcPr>
          <w:p w14:paraId="47E87A7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w:t>
            </w:r>
          </w:p>
        </w:tc>
        <w:tc>
          <w:tcPr>
            <w:tcW w:w="1080" w:type="dxa"/>
            <w:vAlign w:val="center"/>
          </w:tcPr>
          <w:p w14:paraId="3CAE1B6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91" w:type="dxa"/>
            <w:vAlign w:val="center"/>
          </w:tcPr>
          <w:p w14:paraId="7E5E8D9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50</w:t>
            </w:r>
          </w:p>
        </w:tc>
        <w:tc>
          <w:tcPr>
            <w:tcW w:w="1068" w:type="dxa"/>
            <w:vAlign w:val="center"/>
          </w:tcPr>
          <w:p w14:paraId="0C6AE32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w:t>
            </w:r>
          </w:p>
        </w:tc>
        <w:tc>
          <w:tcPr>
            <w:tcW w:w="1091" w:type="dxa"/>
            <w:vAlign w:val="center"/>
          </w:tcPr>
          <w:p w14:paraId="7B98137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150</w:t>
            </w:r>
          </w:p>
        </w:tc>
      </w:tr>
    </w:tbl>
    <w:p w14:paraId="0C0E1E9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根据监测结果可知，任家庄煤矿主工广和副立井锅炉房燃气锅炉排放烟气中</w:t>
      </w:r>
      <w:r>
        <w:rPr>
          <w:rFonts w:ascii="Times New Roman" w:hAnsi="Times New Roman"/>
        </w:rPr>
        <w:t>颗粒物浓度为</w:t>
      </w:r>
      <w:r>
        <w:rPr>
          <w:rFonts w:ascii="Times New Roman" w:hAnsi="Times New Roman" w:hint="eastAsia"/>
        </w:rPr>
        <w:t>0.4-3.9</w:t>
      </w:r>
      <w:r>
        <w:rPr>
          <w:rFonts w:ascii="Times New Roman" w:hAnsi="Times New Roman"/>
        </w:rPr>
        <w:t>mg/Nm</w:t>
      </w:r>
      <w:r>
        <w:rPr>
          <w:rFonts w:ascii="Times New Roman" w:hAnsi="Times New Roman"/>
          <w:vertAlign w:val="superscript"/>
        </w:rPr>
        <w:t>3</w:t>
      </w:r>
      <w:r>
        <w:rPr>
          <w:rFonts w:ascii="Times New Roman" w:hAnsi="Times New Roman"/>
        </w:rPr>
        <w:t>、</w:t>
      </w:r>
      <w:r>
        <w:rPr>
          <w:rFonts w:ascii="Times New Roman" w:hAnsi="Times New Roman"/>
        </w:rPr>
        <w:t>SO</w:t>
      </w:r>
      <w:r>
        <w:rPr>
          <w:rFonts w:ascii="Times New Roman" w:hAnsi="Times New Roman"/>
          <w:vertAlign w:val="subscript"/>
        </w:rPr>
        <w:t>2</w:t>
      </w:r>
      <w:r>
        <w:rPr>
          <w:rFonts w:ascii="Times New Roman" w:hAnsi="Times New Roman"/>
        </w:rPr>
        <w:t>浓度为</w:t>
      </w:r>
      <w:r>
        <w:rPr>
          <w:rFonts w:ascii="Times New Roman" w:hAnsi="Times New Roman" w:hint="eastAsia"/>
        </w:rPr>
        <w:t>2.7-5</w:t>
      </w:r>
      <w:r>
        <w:rPr>
          <w:rFonts w:ascii="Times New Roman" w:hAnsi="Times New Roman"/>
        </w:rPr>
        <w:t>mg/Nm</w:t>
      </w:r>
      <w:r>
        <w:rPr>
          <w:rFonts w:ascii="Times New Roman" w:hAnsi="Times New Roman"/>
          <w:vertAlign w:val="superscript"/>
        </w:rPr>
        <w:t>3</w:t>
      </w:r>
      <w:r>
        <w:rPr>
          <w:rFonts w:ascii="Times New Roman" w:hAnsi="Times New Roman" w:hint="eastAsia"/>
        </w:rPr>
        <w:t>、</w:t>
      </w:r>
      <w:r>
        <w:rPr>
          <w:rFonts w:ascii="Times New Roman" w:hAnsi="Times New Roman" w:hint="eastAsia"/>
        </w:rPr>
        <w:t>N</w:t>
      </w:r>
      <w:r>
        <w:rPr>
          <w:rFonts w:ascii="Times New Roman" w:hAnsi="Times New Roman"/>
        </w:rPr>
        <w:t>O</w:t>
      </w:r>
      <w:r>
        <w:rPr>
          <w:rFonts w:ascii="Times New Roman" w:hAnsi="Times New Roman" w:hint="eastAsia"/>
        </w:rPr>
        <w:t>x</w:t>
      </w:r>
      <w:r>
        <w:rPr>
          <w:rFonts w:ascii="Times New Roman" w:hAnsi="Times New Roman"/>
        </w:rPr>
        <w:t>浓度为</w:t>
      </w:r>
      <w:r>
        <w:rPr>
          <w:rFonts w:ascii="Times New Roman" w:hAnsi="Times New Roman" w:hint="eastAsia"/>
        </w:rPr>
        <w:t>16.2-45</w:t>
      </w:r>
      <w:r>
        <w:rPr>
          <w:rFonts w:ascii="Times New Roman" w:hAnsi="Times New Roman"/>
        </w:rPr>
        <w:t>mg/Nm</w:t>
      </w:r>
      <w:r>
        <w:rPr>
          <w:rFonts w:ascii="Times New Roman" w:hAnsi="Times New Roman"/>
          <w:vertAlign w:val="superscript"/>
        </w:rPr>
        <w:t>3</w:t>
      </w:r>
      <w:r>
        <w:rPr>
          <w:rFonts w:ascii="Times New Roman" w:hAnsi="Times New Roman" w:hint="eastAsia"/>
        </w:rPr>
        <w:t>，颗粒物、</w:t>
      </w:r>
      <w:r>
        <w:rPr>
          <w:rFonts w:ascii="Times New Roman" w:hAnsi="Times New Roman"/>
        </w:rPr>
        <w:t>SO</w:t>
      </w:r>
      <w:r>
        <w:rPr>
          <w:rFonts w:ascii="Times New Roman" w:hAnsi="Times New Roman"/>
          <w:vertAlign w:val="subscript"/>
        </w:rPr>
        <w:t>2</w:t>
      </w:r>
      <w:r>
        <w:rPr>
          <w:rFonts w:ascii="Times New Roman" w:hAnsi="Times New Roman" w:hint="eastAsia"/>
        </w:rPr>
        <w:t>、</w:t>
      </w:r>
      <w:r>
        <w:rPr>
          <w:rFonts w:ascii="Times New Roman" w:hAnsi="Times New Roman" w:hint="eastAsia"/>
        </w:rPr>
        <w:t>N</w:t>
      </w:r>
      <w:r>
        <w:rPr>
          <w:rFonts w:ascii="Times New Roman" w:hAnsi="Times New Roman"/>
        </w:rPr>
        <w:t>O</w:t>
      </w:r>
      <w:r>
        <w:rPr>
          <w:rFonts w:ascii="Times New Roman" w:hAnsi="Times New Roman" w:hint="eastAsia"/>
        </w:rPr>
        <w:t>x</w:t>
      </w:r>
      <w:r>
        <w:rPr>
          <w:rFonts w:ascii="Times New Roman" w:hAnsi="Times New Roman" w:hint="eastAsia"/>
        </w:rPr>
        <w:t>排放浓度均满足《锅炉大气污染物排放标准》（</w:t>
      </w:r>
      <w:r>
        <w:rPr>
          <w:rFonts w:ascii="Times New Roman" w:hAnsi="Times New Roman"/>
        </w:rPr>
        <w:t>GB13</w:t>
      </w:r>
      <w:r>
        <w:rPr>
          <w:rFonts w:ascii="Times New Roman" w:hAnsi="Times New Roman" w:hint="eastAsia"/>
        </w:rPr>
        <w:t>271</w:t>
      </w:r>
      <w:r>
        <w:rPr>
          <w:rFonts w:ascii="Times New Roman" w:hAnsi="Times New Roman"/>
        </w:rPr>
        <w:t>-20</w:t>
      </w:r>
      <w:r>
        <w:rPr>
          <w:rFonts w:ascii="Times New Roman" w:hAnsi="Times New Roman" w:hint="eastAsia"/>
        </w:rPr>
        <w:t>14</w:t>
      </w:r>
      <w:r>
        <w:rPr>
          <w:rFonts w:ascii="Times New Roman" w:hAnsi="Times New Roman" w:hint="eastAsia"/>
        </w:rPr>
        <w:t>）中表</w:t>
      </w:r>
      <w:r>
        <w:rPr>
          <w:rFonts w:ascii="Times New Roman" w:hAnsi="Times New Roman" w:hint="eastAsia"/>
        </w:rPr>
        <w:t>3</w:t>
      </w:r>
      <w:r>
        <w:rPr>
          <w:rFonts w:ascii="Times New Roman" w:hAnsi="Times New Roman" w:hint="eastAsia"/>
        </w:rPr>
        <w:t>特别排放限值。</w:t>
      </w:r>
    </w:p>
    <w:p w14:paraId="14B7E956" w14:textId="77777777" w:rsidR="009C353B" w:rsidRDefault="00000000">
      <w:pPr>
        <w:pStyle w:val="3"/>
        <w:adjustRightInd w:val="0"/>
        <w:snapToGrid w:val="0"/>
        <w:spacing w:before="0" w:after="0" w:line="440" w:lineRule="exact"/>
        <w:rPr>
          <w:rFonts w:ascii="Times New Roman" w:hAnsi="Times New Roman"/>
          <w:sz w:val="24"/>
          <w:szCs w:val="24"/>
        </w:rPr>
      </w:pPr>
      <w:r>
        <w:rPr>
          <w:rFonts w:ascii="Times New Roman" w:hAnsi="Times New Roman"/>
          <w:sz w:val="24"/>
          <w:szCs w:val="24"/>
        </w:rPr>
        <w:t xml:space="preserve">4.2.2 </w:t>
      </w:r>
      <w:r>
        <w:rPr>
          <w:rFonts w:ascii="Times New Roman"/>
          <w:sz w:val="24"/>
          <w:szCs w:val="24"/>
        </w:rPr>
        <w:t>水污染源、污染物及环保设施情况</w:t>
      </w:r>
    </w:p>
    <w:p w14:paraId="6E7F4C5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）目前各矿水处理设施</w:t>
      </w:r>
    </w:p>
    <w:p w14:paraId="24A0F6C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丁家梁矿井在建，</w:t>
      </w:r>
      <w:r>
        <w:rPr>
          <w:rFonts w:ascii="Times New Roman" w:hAnsi="Times New Roman"/>
          <w:szCs w:val="24"/>
        </w:rPr>
        <w:t>任家庄</w:t>
      </w:r>
      <w:r>
        <w:rPr>
          <w:rFonts w:ascii="Times New Roman" w:hAnsi="Times New Roman" w:hint="eastAsia"/>
          <w:szCs w:val="24"/>
        </w:rPr>
        <w:t>、</w:t>
      </w:r>
      <w:r>
        <w:rPr>
          <w:rFonts w:ascii="Times New Roman" w:hAnsi="Times New Roman"/>
          <w:szCs w:val="24"/>
        </w:rPr>
        <w:t>马莲台</w:t>
      </w:r>
      <w:r>
        <w:rPr>
          <w:rFonts w:ascii="Times New Roman" w:hAnsi="Times New Roman" w:hint="eastAsia"/>
          <w:szCs w:val="24"/>
        </w:rPr>
        <w:t>、</w:t>
      </w:r>
      <w:r>
        <w:rPr>
          <w:rFonts w:ascii="Times New Roman" w:hAnsi="Times New Roman"/>
          <w:szCs w:val="24"/>
        </w:rPr>
        <w:t>红石湾</w:t>
      </w:r>
      <w:r>
        <w:rPr>
          <w:rFonts w:ascii="Times New Roman" w:hAnsi="Times New Roman" w:hint="eastAsia"/>
          <w:szCs w:val="24"/>
        </w:rPr>
        <w:t>矿井为生产矿井，三矿水污染源主要为</w:t>
      </w:r>
      <w:r>
        <w:rPr>
          <w:rFonts w:ascii="Times New Roman" w:hAnsi="Times New Roman"/>
          <w:szCs w:val="24"/>
        </w:rPr>
        <w:t>矿井井下排水</w:t>
      </w:r>
      <w:r>
        <w:rPr>
          <w:rFonts w:ascii="Times New Roman" w:hAnsi="Times New Roman" w:hint="eastAsia"/>
          <w:szCs w:val="24"/>
        </w:rPr>
        <w:t>、</w:t>
      </w:r>
      <w:r>
        <w:rPr>
          <w:rFonts w:ascii="Times New Roman" w:hAnsi="Times New Roman"/>
          <w:szCs w:val="24"/>
        </w:rPr>
        <w:t>工业场地生产生活污废水</w:t>
      </w:r>
      <w:r>
        <w:rPr>
          <w:rFonts w:ascii="Times New Roman" w:hAnsi="Times New Roman" w:hint="eastAsia"/>
          <w:szCs w:val="24"/>
        </w:rPr>
        <w:t>及选煤厂煤泥水。选煤厂煤泥水悬浮物和</w:t>
      </w:r>
      <w:r>
        <w:rPr>
          <w:rFonts w:ascii="Times New Roman" w:hAnsi="Times New Roman"/>
          <w:szCs w:val="24"/>
        </w:rPr>
        <w:t>COD</w:t>
      </w:r>
      <w:r>
        <w:rPr>
          <w:rFonts w:ascii="Times New Roman" w:hAnsi="Times New Roman"/>
          <w:szCs w:val="24"/>
        </w:rPr>
        <w:t>含量高，排放对外环境影响很大</w:t>
      </w:r>
      <w:r>
        <w:rPr>
          <w:rFonts w:ascii="Times New Roman" w:hAnsi="Times New Roman" w:hint="eastAsia"/>
          <w:szCs w:val="24"/>
        </w:rPr>
        <w:t>，各矿井煤泥水一级闭路循环，不外排。</w:t>
      </w:r>
      <w:r>
        <w:rPr>
          <w:rFonts w:ascii="Times New Roman" w:hAnsi="Times New Roman"/>
          <w:szCs w:val="24"/>
        </w:rPr>
        <w:t>矿井井下排水主要是地下煤、岩层涌水和井下生产废水</w:t>
      </w:r>
      <w:r>
        <w:rPr>
          <w:rFonts w:ascii="Times New Roman" w:hAnsi="Times New Roman"/>
          <w:szCs w:val="24"/>
        </w:rPr>
        <w:t>(</w:t>
      </w:r>
      <w:r>
        <w:rPr>
          <w:rFonts w:ascii="Times New Roman" w:hAnsi="Times New Roman"/>
          <w:szCs w:val="24"/>
        </w:rPr>
        <w:t>降尘、消防</w:t>
      </w:r>
      <w:r>
        <w:rPr>
          <w:rFonts w:ascii="Times New Roman" w:hAnsi="Times New Roman" w:hint="eastAsia"/>
          <w:szCs w:val="24"/>
        </w:rPr>
        <w:t>回</w:t>
      </w:r>
      <w:r>
        <w:rPr>
          <w:rFonts w:ascii="Times New Roman" w:hAnsi="Times New Roman"/>
          <w:szCs w:val="24"/>
        </w:rPr>
        <w:t>水</w:t>
      </w:r>
      <w:r>
        <w:rPr>
          <w:rFonts w:ascii="Times New Roman" w:hAnsi="Times New Roman"/>
          <w:szCs w:val="24"/>
        </w:rPr>
        <w:t>)</w:t>
      </w:r>
      <w:r>
        <w:rPr>
          <w:rFonts w:ascii="Times New Roman" w:hAnsi="Times New Roman"/>
          <w:szCs w:val="24"/>
        </w:rPr>
        <w:t>，这部分水中的主要污染物为</w:t>
      </w:r>
      <w:r>
        <w:rPr>
          <w:rFonts w:ascii="Times New Roman" w:hAnsi="Times New Roman"/>
          <w:szCs w:val="24"/>
        </w:rPr>
        <w:t>SS</w:t>
      </w:r>
      <w:r>
        <w:rPr>
          <w:rFonts w:ascii="Times New Roman" w:hAnsi="Times New Roman"/>
          <w:szCs w:val="24"/>
        </w:rPr>
        <w:t>、</w:t>
      </w:r>
      <w:r>
        <w:rPr>
          <w:rFonts w:ascii="Times New Roman" w:hAnsi="Times New Roman"/>
          <w:szCs w:val="24"/>
        </w:rPr>
        <w:t>COD</w:t>
      </w:r>
      <w:r>
        <w:rPr>
          <w:rFonts w:ascii="Times New Roman" w:hAnsi="Times New Roman"/>
          <w:szCs w:val="24"/>
        </w:rPr>
        <w:t>、</w:t>
      </w:r>
      <w:r>
        <w:rPr>
          <w:rFonts w:ascii="Times New Roman" w:hAnsi="Times New Roman"/>
          <w:szCs w:val="24"/>
        </w:rPr>
        <w:t>BOD</w:t>
      </w:r>
      <w:r>
        <w:rPr>
          <w:rFonts w:ascii="Times New Roman" w:hAnsi="Times New Roman"/>
          <w:szCs w:val="24"/>
          <w:vertAlign w:val="subscript"/>
        </w:rPr>
        <w:t>5</w:t>
      </w:r>
      <w:r>
        <w:rPr>
          <w:rFonts w:ascii="Times New Roman" w:hAnsi="Times New Roman"/>
          <w:szCs w:val="24"/>
        </w:rPr>
        <w:t>、硫化物、氟化物等；生产、生活污水主要是来自浴室，食堂、洗衣房、卫生间及办公楼的生活污水和锅炉房等生产部门排放的污废水，主要污染物为</w:t>
      </w:r>
      <w:r>
        <w:rPr>
          <w:rFonts w:ascii="Times New Roman" w:hAnsi="Times New Roman"/>
          <w:szCs w:val="24"/>
        </w:rPr>
        <w:t>pH</w:t>
      </w:r>
      <w:r>
        <w:rPr>
          <w:rFonts w:ascii="Times New Roman" w:hAnsi="Times New Roman"/>
          <w:szCs w:val="24"/>
        </w:rPr>
        <w:t>、</w:t>
      </w:r>
      <w:r>
        <w:rPr>
          <w:rFonts w:ascii="Times New Roman" w:hAnsi="Times New Roman"/>
          <w:szCs w:val="24"/>
        </w:rPr>
        <w:t>SS</w:t>
      </w:r>
      <w:r>
        <w:rPr>
          <w:rFonts w:ascii="Times New Roman" w:hAnsi="Times New Roman"/>
          <w:szCs w:val="24"/>
        </w:rPr>
        <w:t>、</w:t>
      </w:r>
      <w:r>
        <w:rPr>
          <w:rFonts w:ascii="Times New Roman" w:hAnsi="Times New Roman"/>
          <w:szCs w:val="24"/>
        </w:rPr>
        <w:t>CODcr</w:t>
      </w:r>
      <w:r>
        <w:rPr>
          <w:rFonts w:ascii="Times New Roman" w:hAnsi="Times New Roman"/>
          <w:szCs w:val="24"/>
        </w:rPr>
        <w:t>、</w:t>
      </w:r>
      <w:r>
        <w:rPr>
          <w:rFonts w:ascii="Times New Roman" w:hAnsi="Times New Roman"/>
          <w:szCs w:val="24"/>
        </w:rPr>
        <w:t>BOD</w:t>
      </w:r>
      <w:r>
        <w:rPr>
          <w:rFonts w:ascii="Times New Roman" w:hAnsi="Times New Roman"/>
          <w:szCs w:val="24"/>
          <w:vertAlign w:val="subscript"/>
        </w:rPr>
        <w:t>5</w:t>
      </w:r>
      <w:r>
        <w:rPr>
          <w:rFonts w:ascii="Times New Roman" w:hAnsi="Times New Roman"/>
          <w:szCs w:val="24"/>
        </w:rPr>
        <w:t>、</w:t>
      </w:r>
      <w:r>
        <w:rPr>
          <w:rFonts w:ascii="Times New Roman" w:hAnsi="Times New Roman"/>
          <w:szCs w:val="24"/>
        </w:rPr>
        <w:t>LAS</w:t>
      </w:r>
      <w:r>
        <w:rPr>
          <w:rFonts w:ascii="Times New Roman" w:hAnsi="Times New Roman"/>
          <w:szCs w:val="24"/>
        </w:rPr>
        <w:t>、动植物油、氨氮等。</w:t>
      </w:r>
    </w:p>
    <w:p w14:paraId="4E291C1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马莲台</w:t>
      </w:r>
      <w:r>
        <w:rPr>
          <w:rFonts w:ascii="Times New Roman" w:hAnsi="Times New Roman" w:hint="eastAsia"/>
          <w:szCs w:val="24"/>
        </w:rPr>
        <w:t>矿井位于临河工业园区</w:t>
      </w:r>
      <w:r>
        <w:rPr>
          <w:rFonts w:ascii="Times New Roman" w:hAnsi="Times New Roman" w:hint="eastAsia"/>
          <w:szCs w:val="24"/>
        </w:rPr>
        <w:t>B</w:t>
      </w:r>
      <w:r>
        <w:rPr>
          <w:rFonts w:ascii="Times New Roman" w:hAnsi="Times New Roman" w:hint="eastAsia"/>
          <w:szCs w:val="24"/>
        </w:rPr>
        <w:t>区内，其矿井水及生活污水处理均依托园区污水处理设施，即宁夏宝丰能源集团股份有限公司污水处理站。该污水处理站位于临河工业园区</w:t>
      </w:r>
      <w:r>
        <w:rPr>
          <w:rFonts w:ascii="Times New Roman" w:hAnsi="Times New Roman" w:hint="eastAsia"/>
          <w:szCs w:val="24"/>
        </w:rPr>
        <w:t>B</w:t>
      </w:r>
      <w:r>
        <w:rPr>
          <w:rFonts w:ascii="Times New Roman" w:hAnsi="Times New Roman" w:hint="eastAsia"/>
          <w:szCs w:val="24"/>
        </w:rPr>
        <w:t>区工业场地内，</w:t>
      </w:r>
      <w:r>
        <w:rPr>
          <w:rFonts w:ascii="Times New Roman" w:hAnsi="Times New Roman" w:hint="eastAsia"/>
          <w:szCs w:val="24"/>
        </w:rPr>
        <w:t>2</w:t>
      </w:r>
      <w:r>
        <w:rPr>
          <w:rFonts w:ascii="Times New Roman" w:hAnsi="Times New Roman"/>
          <w:szCs w:val="24"/>
        </w:rPr>
        <w:t>009</w:t>
      </w:r>
      <w:r>
        <w:rPr>
          <w:rFonts w:ascii="Times New Roman" w:hAnsi="Times New Roman" w:hint="eastAsia"/>
          <w:szCs w:val="24"/>
        </w:rPr>
        <w:t>年</w:t>
      </w:r>
      <w:r>
        <w:rPr>
          <w:rFonts w:ascii="Times New Roman" w:hAnsi="Times New Roman" w:hint="eastAsia"/>
          <w:szCs w:val="24"/>
        </w:rPr>
        <w:t>9</w:t>
      </w:r>
      <w:r>
        <w:rPr>
          <w:rFonts w:ascii="Times New Roman" w:hAnsi="Times New Roman" w:hint="eastAsia"/>
          <w:szCs w:val="24"/>
        </w:rPr>
        <w:t>月建成投入使用，后</w:t>
      </w:r>
      <w:r>
        <w:rPr>
          <w:rFonts w:ascii="Times New Roman" w:hAnsi="Times New Roman"/>
          <w:szCs w:val="24"/>
        </w:rPr>
        <w:t>分别于</w:t>
      </w:r>
      <w:r>
        <w:rPr>
          <w:rFonts w:ascii="Times New Roman" w:hAnsi="Times New Roman"/>
          <w:szCs w:val="24"/>
        </w:rPr>
        <w:t>2014</w:t>
      </w:r>
      <w:r>
        <w:rPr>
          <w:rFonts w:ascii="Times New Roman" w:hAnsi="Times New Roman"/>
          <w:szCs w:val="24"/>
        </w:rPr>
        <w:t>年</w:t>
      </w:r>
      <w:r>
        <w:rPr>
          <w:rFonts w:ascii="Times New Roman" w:hAnsi="Times New Roman"/>
          <w:szCs w:val="24"/>
        </w:rPr>
        <w:t>7</w:t>
      </w:r>
      <w:r>
        <w:rPr>
          <w:rFonts w:ascii="Times New Roman" w:hAnsi="Times New Roman"/>
          <w:szCs w:val="24"/>
        </w:rPr>
        <w:t>月，</w:t>
      </w:r>
      <w:r>
        <w:rPr>
          <w:rFonts w:ascii="Times New Roman" w:hAnsi="Times New Roman"/>
          <w:szCs w:val="24"/>
        </w:rPr>
        <w:t>2015</w:t>
      </w:r>
      <w:r>
        <w:rPr>
          <w:rFonts w:ascii="Times New Roman" w:hAnsi="Times New Roman"/>
          <w:szCs w:val="24"/>
        </w:rPr>
        <w:t>年</w:t>
      </w:r>
      <w:r>
        <w:rPr>
          <w:rFonts w:ascii="Times New Roman" w:hAnsi="Times New Roman"/>
          <w:szCs w:val="24"/>
        </w:rPr>
        <w:t>1</w:t>
      </w:r>
      <w:r>
        <w:rPr>
          <w:rFonts w:ascii="Times New Roman" w:hAnsi="Times New Roman"/>
          <w:szCs w:val="24"/>
        </w:rPr>
        <w:t>月</w:t>
      </w:r>
      <w:r>
        <w:rPr>
          <w:rFonts w:ascii="Times New Roman" w:hAnsi="Times New Roman" w:hint="eastAsia"/>
          <w:szCs w:val="24"/>
        </w:rPr>
        <w:t>进行扩建，目前</w:t>
      </w:r>
      <w:r>
        <w:rPr>
          <w:rFonts w:ascii="Times New Roman" w:hAnsi="Times New Roman"/>
          <w:szCs w:val="24"/>
        </w:rPr>
        <w:t>污水</w:t>
      </w:r>
      <w:r>
        <w:rPr>
          <w:rFonts w:ascii="Times New Roman" w:hAnsi="Times New Roman" w:hint="eastAsia"/>
          <w:szCs w:val="24"/>
        </w:rPr>
        <w:t>处理系统两套，规模分别为</w:t>
      </w:r>
      <w:r>
        <w:rPr>
          <w:rFonts w:ascii="Times New Roman" w:hAnsi="Times New Roman"/>
          <w:szCs w:val="24"/>
        </w:rPr>
        <w:t>550</w:t>
      </w:r>
      <w:r>
        <w:rPr>
          <w:rFonts w:ascii="Times New Roman" w:hAnsi="Times New Roman" w:hint="eastAsia"/>
        </w:rPr>
        <w:t>m</w:t>
      </w:r>
      <w:r>
        <w:rPr>
          <w:rFonts w:ascii="Times New Roman" w:hAnsi="Times New Roman"/>
          <w:vertAlign w:val="superscript"/>
        </w:rPr>
        <w:t>3</w:t>
      </w:r>
      <w:r>
        <w:rPr>
          <w:rFonts w:ascii="Times New Roman" w:hAnsi="Times New Roman"/>
        </w:rPr>
        <w:t>/</w:t>
      </w:r>
      <w:r>
        <w:rPr>
          <w:rFonts w:ascii="Times New Roman" w:hAnsi="Times New Roman" w:hint="eastAsia"/>
        </w:rPr>
        <w:t>h</w:t>
      </w:r>
      <w:r>
        <w:rPr>
          <w:rFonts w:ascii="Times New Roman" w:hAnsi="Times New Roman" w:hint="eastAsia"/>
          <w:szCs w:val="24"/>
        </w:rPr>
        <w:t>和</w:t>
      </w:r>
      <w:r>
        <w:rPr>
          <w:rFonts w:ascii="Times New Roman" w:hAnsi="Times New Roman"/>
          <w:szCs w:val="24"/>
        </w:rPr>
        <w:t>650</w:t>
      </w:r>
      <w:r>
        <w:rPr>
          <w:rFonts w:ascii="Times New Roman" w:hAnsi="Times New Roman" w:hint="eastAsia"/>
        </w:rPr>
        <w:t>m</w:t>
      </w:r>
      <w:r>
        <w:rPr>
          <w:rFonts w:ascii="Times New Roman" w:hAnsi="Times New Roman"/>
          <w:vertAlign w:val="superscript"/>
        </w:rPr>
        <w:t>3</w:t>
      </w:r>
      <w:r>
        <w:rPr>
          <w:rFonts w:ascii="Times New Roman" w:hAnsi="Times New Roman"/>
        </w:rPr>
        <w:t>/</w:t>
      </w:r>
      <w:r>
        <w:rPr>
          <w:rFonts w:ascii="Times New Roman" w:hAnsi="Times New Roman" w:hint="eastAsia"/>
        </w:rPr>
        <w:t>h</w:t>
      </w:r>
      <w:r>
        <w:rPr>
          <w:rFonts w:ascii="Times New Roman" w:hAnsi="Times New Roman" w:hint="eastAsia"/>
          <w:szCs w:val="24"/>
        </w:rPr>
        <w:t>。同时建有</w:t>
      </w:r>
      <w:r>
        <w:rPr>
          <w:rFonts w:ascii="Times New Roman" w:hAnsi="Times New Roman"/>
          <w:szCs w:val="24"/>
        </w:rPr>
        <w:t>450</w:t>
      </w:r>
      <w:r>
        <w:rPr>
          <w:rFonts w:ascii="Times New Roman" w:hAnsi="Times New Roman" w:hint="eastAsia"/>
        </w:rPr>
        <w:t>m</w:t>
      </w:r>
      <w:r>
        <w:rPr>
          <w:rFonts w:ascii="Times New Roman" w:hAnsi="Times New Roman"/>
          <w:vertAlign w:val="superscript"/>
        </w:rPr>
        <w:t>3</w:t>
      </w:r>
      <w:r>
        <w:rPr>
          <w:rFonts w:ascii="Times New Roman" w:hAnsi="Times New Roman"/>
        </w:rPr>
        <w:t>/</w:t>
      </w:r>
      <w:r>
        <w:rPr>
          <w:rFonts w:ascii="Times New Roman" w:hAnsi="Times New Roman" w:hint="eastAsia"/>
        </w:rPr>
        <w:t>h</w:t>
      </w:r>
      <w:r>
        <w:rPr>
          <w:rFonts w:ascii="Times New Roman" w:hAnsi="Times New Roman"/>
          <w:szCs w:val="24"/>
        </w:rPr>
        <w:t>清净下水装置</w:t>
      </w:r>
      <w:r>
        <w:rPr>
          <w:rFonts w:ascii="Times New Roman" w:hAnsi="Times New Roman" w:hint="eastAsia"/>
          <w:szCs w:val="24"/>
        </w:rPr>
        <w:t>、</w:t>
      </w:r>
      <w:r>
        <w:rPr>
          <w:rFonts w:ascii="Times New Roman" w:hAnsi="Times New Roman"/>
          <w:szCs w:val="24"/>
        </w:rPr>
        <w:t>800</w:t>
      </w:r>
      <w:r>
        <w:rPr>
          <w:rFonts w:ascii="Times New Roman" w:hAnsi="Times New Roman" w:hint="eastAsia"/>
        </w:rPr>
        <w:t>m</w:t>
      </w:r>
      <w:r>
        <w:rPr>
          <w:rFonts w:ascii="Times New Roman" w:hAnsi="Times New Roman"/>
          <w:vertAlign w:val="superscript"/>
        </w:rPr>
        <w:t>3</w:t>
      </w:r>
      <w:r>
        <w:rPr>
          <w:rFonts w:ascii="Times New Roman" w:hAnsi="Times New Roman"/>
        </w:rPr>
        <w:t>/</w:t>
      </w:r>
      <w:r>
        <w:rPr>
          <w:rFonts w:ascii="Times New Roman" w:hAnsi="Times New Roman" w:hint="eastAsia"/>
        </w:rPr>
        <w:t>h</w:t>
      </w:r>
      <w:r>
        <w:rPr>
          <w:rFonts w:ascii="Times New Roman" w:hAnsi="Times New Roman"/>
          <w:szCs w:val="24"/>
        </w:rPr>
        <w:t>中水回用装置</w:t>
      </w:r>
      <w:r>
        <w:rPr>
          <w:rFonts w:ascii="Times New Roman" w:hAnsi="Times New Roman" w:hint="eastAsia"/>
          <w:szCs w:val="24"/>
        </w:rPr>
        <w:t>。</w:t>
      </w:r>
      <w:r>
        <w:rPr>
          <w:rFonts w:ascii="Times New Roman" w:hAnsi="Times New Roman"/>
          <w:szCs w:val="24"/>
        </w:rPr>
        <w:t>任家庄</w:t>
      </w:r>
      <w:r>
        <w:rPr>
          <w:rFonts w:ascii="Times New Roman" w:hAnsi="Times New Roman" w:hint="eastAsia"/>
          <w:szCs w:val="24"/>
        </w:rPr>
        <w:t>矿井、</w:t>
      </w:r>
      <w:r>
        <w:rPr>
          <w:rFonts w:ascii="Times New Roman" w:hAnsi="Times New Roman"/>
          <w:szCs w:val="24"/>
        </w:rPr>
        <w:t>红石湾</w:t>
      </w:r>
      <w:r>
        <w:rPr>
          <w:rFonts w:ascii="Times New Roman" w:hAnsi="Times New Roman" w:hint="eastAsia"/>
          <w:szCs w:val="24"/>
        </w:rPr>
        <w:t>矿井均建设了矿井水处理站和生活污水处理站对污废水进行处理。</w:t>
      </w:r>
      <w:r>
        <w:rPr>
          <w:rFonts w:ascii="Times New Roman" w:hAnsi="Times New Roman"/>
          <w:szCs w:val="24"/>
        </w:rPr>
        <w:t>矿区</w:t>
      </w:r>
      <w:r>
        <w:rPr>
          <w:rFonts w:ascii="Times New Roman" w:hAnsi="Times New Roman" w:hint="eastAsia"/>
          <w:szCs w:val="24"/>
        </w:rPr>
        <w:t>环评、现阶段</w:t>
      </w:r>
      <w:r>
        <w:rPr>
          <w:rFonts w:ascii="Times New Roman" w:hAnsi="Times New Roman"/>
          <w:szCs w:val="24"/>
        </w:rPr>
        <w:t>主要污废水产生及处理设施情况见表</w:t>
      </w:r>
      <w:r>
        <w:rPr>
          <w:rFonts w:ascii="Times New Roman" w:hAnsi="Times New Roman" w:hint="eastAsia"/>
          <w:szCs w:val="24"/>
        </w:rPr>
        <w:t>4.2-</w:t>
      </w:r>
      <w:r>
        <w:rPr>
          <w:rFonts w:ascii="Times New Roman" w:hAnsi="Times New Roman"/>
          <w:szCs w:val="24"/>
        </w:rPr>
        <w:t>4</w:t>
      </w:r>
      <w:r>
        <w:rPr>
          <w:rFonts w:ascii="Times New Roman" w:hAnsi="Times New Roman"/>
          <w:szCs w:val="24"/>
        </w:rPr>
        <w:t>，见图</w:t>
      </w:r>
      <w:r>
        <w:rPr>
          <w:rFonts w:ascii="Times New Roman" w:hAnsi="Times New Roman" w:hint="eastAsia"/>
          <w:szCs w:val="24"/>
        </w:rPr>
        <w:t>4.2-</w:t>
      </w:r>
      <w:r>
        <w:rPr>
          <w:rFonts w:ascii="Times New Roman" w:hAnsi="Times New Roman"/>
          <w:szCs w:val="24"/>
        </w:rPr>
        <w:t>7</w:t>
      </w:r>
      <w:r>
        <w:rPr>
          <w:rFonts w:ascii="Times New Roman" w:hAnsi="Times New Roman"/>
          <w:szCs w:val="24"/>
        </w:rPr>
        <w:t>。</w:t>
      </w:r>
    </w:p>
    <w:p w14:paraId="1A26B336" w14:textId="77777777" w:rsidR="009C353B" w:rsidRDefault="009C353B">
      <w:pPr>
        <w:adjustRightInd w:val="0"/>
        <w:snapToGrid w:val="0"/>
        <w:spacing w:line="440" w:lineRule="exact"/>
        <w:ind w:firstLineChars="200" w:firstLine="480"/>
        <w:rPr>
          <w:rFonts w:ascii="Times New Roman" w:hAnsi="Times New Roman"/>
          <w:szCs w:val="24"/>
        </w:rPr>
        <w:sectPr w:rsidR="009C353B">
          <w:pgSz w:w="11907" w:h="16840"/>
          <w:pgMar w:top="1701" w:right="1418" w:bottom="1418" w:left="1418" w:header="1134" w:footer="851" w:gutter="0"/>
          <w:paperSrc w:first="7" w:other="7"/>
          <w:cols w:space="720"/>
          <w:docGrid w:linePitch="312"/>
        </w:sectPr>
      </w:pPr>
    </w:p>
    <w:p w14:paraId="59B5DBD5" w14:textId="77777777" w:rsidR="009C353B" w:rsidRDefault="00000000">
      <w:pPr>
        <w:adjustRightInd w:val="0"/>
        <w:snapToGrid w:val="0"/>
        <w:spacing w:line="440" w:lineRule="exact"/>
        <w:jc w:val="center"/>
        <w:rPr>
          <w:rFonts w:ascii="Times New Roman" w:hAnsi="Times New Roman"/>
          <w:b/>
          <w:szCs w:val="24"/>
        </w:rPr>
      </w:pPr>
      <w:bookmarkStart w:id="144" w:name="_Hlk48150781"/>
      <w:r>
        <w:rPr>
          <w:rFonts w:ascii="Times New Roman" w:hAnsi="Times New Roman"/>
          <w:b/>
          <w:szCs w:val="24"/>
        </w:rPr>
        <w:t>矿区主要污废水处理设施情况表</w:t>
      </w:r>
    </w:p>
    <w:p w14:paraId="30BF6394" w14:textId="77777777" w:rsidR="009C353B" w:rsidRDefault="00000000">
      <w:pPr>
        <w:adjustRightInd w:val="0"/>
        <w:snapToGrid w:val="0"/>
        <w:spacing w:line="440" w:lineRule="exact"/>
        <w:ind w:firstLineChars="200" w:firstLine="480"/>
        <w:outlineLvl w:val="4"/>
        <w:rPr>
          <w:rFonts w:ascii="Times New Roman" w:hAnsi="Times New Roman"/>
          <w:szCs w:val="24"/>
        </w:rPr>
      </w:pPr>
      <w:r>
        <w:rPr>
          <w:rFonts w:ascii="Times New Roman" w:hAnsi="Times New Roman"/>
          <w:szCs w:val="24"/>
        </w:rPr>
        <w:t>表</w:t>
      </w:r>
      <w:r>
        <w:rPr>
          <w:rFonts w:ascii="Times New Roman" w:hAnsi="Times New Roman" w:hint="eastAsia"/>
          <w:szCs w:val="24"/>
        </w:rPr>
        <w:t>4.2-</w:t>
      </w:r>
      <w:r>
        <w:rPr>
          <w:rFonts w:ascii="Times New Roman" w:hAnsi="Times New Roman"/>
          <w:szCs w:val="24"/>
        </w:rPr>
        <w:t>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
        <w:gridCol w:w="495"/>
        <w:gridCol w:w="636"/>
        <w:gridCol w:w="1011"/>
        <w:gridCol w:w="2551"/>
        <w:gridCol w:w="1552"/>
        <w:gridCol w:w="1142"/>
        <w:gridCol w:w="3369"/>
        <w:gridCol w:w="33"/>
        <w:gridCol w:w="2970"/>
      </w:tblGrid>
      <w:tr w:rsidR="009C353B" w14:paraId="19370F10" w14:textId="77777777">
        <w:trPr>
          <w:trHeight w:val="340"/>
          <w:tblHeader/>
          <w:jc w:val="center"/>
        </w:trPr>
        <w:tc>
          <w:tcPr>
            <w:tcW w:w="1013" w:type="dxa"/>
            <w:gridSpan w:val="2"/>
            <w:vMerge w:val="restart"/>
            <w:shd w:val="clear" w:color="auto" w:fill="auto"/>
            <w:vAlign w:val="center"/>
          </w:tcPr>
          <w:bookmarkEnd w:id="144"/>
          <w:p w14:paraId="395BFF81" w14:textId="77777777" w:rsidR="009C353B" w:rsidRDefault="00000000">
            <w:pPr>
              <w:jc w:val="center"/>
              <w:rPr>
                <w:rFonts w:ascii="Times New Roman" w:hAnsi="Times New Roman"/>
                <w:sz w:val="21"/>
                <w:szCs w:val="21"/>
              </w:rPr>
            </w:pPr>
            <w:r>
              <w:rPr>
                <w:rFonts w:ascii="Times New Roman" w:hAnsi="Times New Roman"/>
                <w:sz w:val="21"/>
                <w:szCs w:val="21"/>
              </w:rPr>
              <w:t>名称</w:t>
            </w:r>
          </w:p>
        </w:tc>
        <w:tc>
          <w:tcPr>
            <w:tcW w:w="5750" w:type="dxa"/>
            <w:gridSpan w:val="4"/>
            <w:shd w:val="clear" w:color="auto" w:fill="auto"/>
            <w:vAlign w:val="center"/>
          </w:tcPr>
          <w:p w14:paraId="1965D06E" w14:textId="77777777" w:rsidR="009C353B" w:rsidRDefault="00000000">
            <w:pPr>
              <w:jc w:val="center"/>
              <w:rPr>
                <w:rFonts w:ascii="Times New Roman" w:hAnsi="Times New Roman"/>
                <w:sz w:val="21"/>
                <w:szCs w:val="21"/>
              </w:rPr>
            </w:pPr>
            <w:r>
              <w:rPr>
                <w:rFonts w:ascii="Times New Roman" w:hAnsi="Times New Roman"/>
                <w:sz w:val="21"/>
                <w:szCs w:val="21"/>
              </w:rPr>
              <w:t>设计</w:t>
            </w:r>
            <w:r>
              <w:rPr>
                <w:rFonts w:ascii="Times New Roman" w:hAnsi="Times New Roman"/>
                <w:sz w:val="21"/>
                <w:szCs w:val="21"/>
              </w:rPr>
              <w:t>/</w:t>
            </w:r>
            <w:r>
              <w:rPr>
                <w:rFonts w:ascii="Times New Roman" w:hAnsi="Times New Roman"/>
                <w:sz w:val="21"/>
                <w:szCs w:val="21"/>
              </w:rPr>
              <w:t>环境影响评价阶段</w:t>
            </w:r>
          </w:p>
        </w:tc>
        <w:tc>
          <w:tcPr>
            <w:tcW w:w="7514" w:type="dxa"/>
            <w:gridSpan w:val="4"/>
            <w:shd w:val="clear" w:color="auto" w:fill="auto"/>
            <w:vAlign w:val="center"/>
          </w:tcPr>
          <w:p w14:paraId="71F9DA42" w14:textId="77777777" w:rsidR="009C353B" w:rsidRDefault="00000000">
            <w:pPr>
              <w:jc w:val="center"/>
              <w:rPr>
                <w:rFonts w:ascii="Times New Roman" w:hAnsi="Times New Roman"/>
                <w:sz w:val="21"/>
                <w:szCs w:val="21"/>
              </w:rPr>
            </w:pPr>
            <w:r>
              <w:rPr>
                <w:rFonts w:ascii="Times New Roman" w:hAnsi="Times New Roman"/>
                <w:sz w:val="21"/>
                <w:szCs w:val="21"/>
              </w:rPr>
              <w:t>现状</w:t>
            </w:r>
          </w:p>
        </w:tc>
      </w:tr>
      <w:tr w:rsidR="009C353B" w14:paraId="2F44F827" w14:textId="77777777">
        <w:trPr>
          <w:trHeight w:val="340"/>
          <w:tblHeader/>
          <w:jc w:val="center"/>
        </w:trPr>
        <w:tc>
          <w:tcPr>
            <w:tcW w:w="1013" w:type="dxa"/>
            <w:gridSpan w:val="2"/>
            <w:vMerge/>
            <w:shd w:val="clear" w:color="auto" w:fill="auto"/>
            <w:vAlign w:val="center"/>
          </w:tcPr>
          <w:p w14:paraId="7049A0AB" w14:textId="77777777" w:rsidR="009C353B" w:rsidRDefault="009C353B">
            <w:pPr>
              <w:jc w:val="center"/>
              <w:rPr>
                <w:rFonts w:ascii="Times New Roman" w:hAnsi="Times New Roman"/>
                <w:sz w:val="21"/>
                <w:szCs w:val="21"/>
              </w:rPr>
            </w:pPr>
          </w:p>
        </w:tc>
        <w:tc>
          <w:tcPr>
            <w:tcW w:w="636" w:type="dxa"/>
            <w:shd w:val="clear" w:color="auto" w:fill="auto"/>
            <w:vAlign w:val="center"/>
          </w:tcPr>
          <w:p w14:paraId="53A5A161" w14:textId="77777777" w:rsidR="009C353B" w:rsidRDefault="00000000">
            <w:pPr>
              <w:jc w:val="center"/>
              <w:rPr>
                <w:rFonts w:ascii="Times New Roman" w:hAnsi="Times New Roman"/>
                <w:sz w:val="21"/>
                <w:szCs w:val="21"/>
              </w:rPr>
            </w:pPr>
            <w:r>
              <w:rPr>
                <w:rFonts w:ascii="Times New Roman" w:hAnsi="Times New Roman"/>
                <w:sz w:val="21"/>
                <w:szCs w:val="21"/>
              </w:rPr>
              <w:t>年份</w:t>
            </w:r>
          </w:p>
        </w:tc>
        <w:tc>
          <w:tcPr>
            <w:tcW w:w="1011" w:type="dxa"/>
            <w:shd w:val="clear" w:color="auto" w:fill="auto"/>
            <w:vAlign w:val="center"/>
          </w:tcPr>
          <w:p w14:paraId="142CD763" w14:textId="77777777" w:rsidR="009C353B" w:rsidRDefault="00000000">
            <w:pPr>
              <w:jc w:val="center"/>
              <w:rPr>
                <w:rFonts w:ascii="Times New Roman" w:hAnsi="Times New Roman"/>
                <w:sz w:val="21"/>
                <w:szCs w:val="21"/>
              </w:rPr>
            </w:pPr>
            <w:r>
              <w:rPr>
                <w:rFonts w:ascii="Times New Roman" w:hAnsi="Times New Roman"/>
                <w:sz w:val="21"/>
                <w:szCs w:val="21"/>
              </w:rPr>
              <w:t>产生量</w:t>
            </w:r>
          </w:p>
        </w:tc>
        <w:tc>
          <w:tcPr>
            <w:tcW w:w="2551" w:type="dxa"/>
            <w:shd w:val="clear" w:color="auto" w:fill="auto"/>
            <w:vAlign w:val="center"/>
          </w:tcPr>
          <w:p w14:paraId="174FBFF1" w14:textId="77777777" w:rsidR="009C353B" w:rsidRDefault="00000000">
            <w:pPr>
              <w:jc w:val="center"/>
              <w:rPr>
                <w:rFonts w:ascii="Times New Roman" w:hAnsi="Times New Roman"/>
                <w:sz w:val="21"/>
                <w:szCs w:val="21"/>
              </w:rPr>
            </w:pPr>
            <w:r>
              <w:rPr>
                <w:rFonts w:ascii="Times New Roman" w:hAnsi="Times New Roman"/>
                <w:sz w:val="21"/>
                <w:szCs w:val="21"/>
              </w:rPr>
              <w:t>处理设施规模及处理工艺</w:t>
            </w:r>
          </w:p>
        </w:tc>
        <w:tc>
          <w:tcPr>
            <w:tcW w:w="1552" w:type="dxa"/>
            <w:shd w:val="clear" w:color="auto" w:fill="auto"/>
            <w:vAlign w:val="center"/>
          </w:tcPr>
          <w:p w14:paraId="69834542" w14:textId="77777777" w:rsidR="009C353B" w:rsidRDefault="00000000">
            <w:pPr>
              <w:jc w:val="center"/>
              <w:rPr>
                <w:rFonts w:ascii="Times New Roman" w:hAnsi="Times New Roman"/>
                <w:sz w:val="21"/>
                <w:szCs w:val="21"/>
              </w:rPr>
            </w:pPr>
            <w:r>
              <w:rPr>
                <w:rFonts w:ascii="Times New Roman" w:hAnsi="Times New Roman"/>
                <w:sz w:val="21"/>
                <w:szCs w:val="21"/>
              </w:rPr>
              <w:t>去向</w:t>
            </w:r>
          </w:p>
        </w:tc>
        <w:tc>
          <w:tcPr>
            <w:tcW w:w="1142" w:type="dxa"/>
            <w:shd w:val="clear" w:color="auto" w:fill="auto"/>
            <w:vAlign w:val="center"/>
          </w:tcPr>
          <w:p w14:paraId="6C04E478" w14:textId="77777777" w:rsidR="009C353B" w:rsidRDefault="00000000">
            <w:pPr>
              <w:jc w:val="center"/>
              <w:rPr>
                <w:rFonts w:ascii="Times New Roman" w:hAnsi="Times New Roman"/>
                <w:sz w:val="21"/>
                <w:szCs w:val="21"/>
              </w:rPr>
            </w:pPr>
            <w:r>
              <w:rPr>
                <w:rFonts w:ascii="Times New Roman" w:hAnsi="Times New Roman"/>
                <w:sz w:val="21"/>
                <w:szCs w:val="21"/>
              </w:rPr>
              <w:t>产生量</w:t>
            </w:r>
          </w:p>
        </w:tc>
        <w:tc>
          <w:tcPr>
            <w:tcW w:w="3402" w:type="dxa"/>
            <w:gridSpan w:val="2"/>
            <w:shd w:val="clear" w:color="auto" w:fill="auto"/>
            <w:vAlign w:val="center"/>
          </w:tcPr>
          <w:p w14:paraId="12BDB43A" w14:textId="77777777" w:rsidR="009C353B" w:rsidRDefault="00000000">
            <w:pPr>
              <w:jc w:val="center"/>
              <w:rPr>
                <w:rFonts w:ascii="Times New Roman" w:hAnsi="Times New Roman"/>
                <w:sz w:val="21"/>
                <w:szCs w:val="21"/>
              </w:rPr>
            </w:pPr>
            <w:r>
              <w:rPr>
                <w:rFonts w:ascii="Times New Roman" w:hAnsi="Times New Roman"/>
                <w:sz w:val="21"/>
                <w:szCs w:val="21"/>
              </w:rPr>
              <w:t>处理设施规模及处理工艺</w:t>
            </w:r>
          </w:p>
        </w:tc>
        <w:tc>
          <w:tcPr>
            <w:tcW w:w="2970" w:type="dxa"/>
            <w:shd w:val="clear" w:color="auto" w:fill="auto"/>
            <w:vAlign w:val="center"/>
          </w:tcPr>
          <w:p w14:paraId="12B7C673" w14:textId="77777777" w:rsidR="009C353B" w:rsidRDefault="00000000">
            <w:pPr>
              <w:jc w:val="center"/>
              <w:rPr>
                <w:rFonts w:ascii="Times New Roman" w:hAnsi="Times New Roman"/>
                <w:sz w:val="21"/>
                <w:szCs w:val="21"/>
              </w:rPr>
            </w:pPr>
            <w:r>
              <w:rPr>
                <w:rFonts w:ascii="Times New Roman" w:hAnsi="Times New Roman"/>
                <w:sz w:val="21"/>
                <w:szCs w:val="21"/>
              </w:rPr>
              <w:t>去向</w:t>
            </w:r>
          </w:p>
        </w:tc>
      </w:tr>
      <w:tr w:rsidR="009C353B" w14:paraId="6B4EE914" w14:textId="77777777">
        <w:trPr>
          <w:trHeight w:val="340"/>
          <w:jc w:val="center"/>
        </w:trPr>
        <w:tc>
          <w:tcPr>
            <w:tcW w:w="518" w:type="dxa"/>
            <w:vMerge w:val="restart"/>
            <w:shd w:val="clear" w:color="auto" w:fill="auto"/>
            <w:vAlign w:val="center"/>
          </w:tcPr>
          <w:p w14:paraId="03F0C9DC" w14:textId="77777777" w:rsidR="009C353B" w:rsidRDefault="00000000">
            <w:pPr>
              <w:jc w:val="center"/>
              <w:rPr>
                <w:rFonts w:ascii="Times New Roman" w:hAnsi="Times New Roman"/>
                <w:sz w:val="21"/>
                <w:szCs w:val="21"/>
              </w:rPr>
            </w:pPr>
            <w:r>
              <w:rPr>
                <w:rFonts w:ascii="Times New Roman" w:hAnsi="Times New Roman"/>
                <w:sz w:val="21"/>
                <w:szCs w:val="21"/>
              </w:rPr>
              <w:t>任家庄</w:t>
            </w:r>
            <w:r>
              <w:rPr>
                <w:rFonts w:ascii="Times New Roman" w:hAnsi="Times New Roman" w:hint="eastAsia"/>
                <w:sz w:val="21"/>
                <w:szCs w:val="21"/>
              </w:rPr>
              <w:t>煤矿</w:t>
            </w:r>
          </w:p>
        </w:tc>
        <w:tc>
          <w:tcPr>
            <w:tcW w:w="495" w:type="dxa"/>
            <w:shd w:val="clear" w:color="auto" w:fill="auto"/>
            <w:vAlign w:val="center"/>
          </w:tcPr>
          <w:p w14:paraId="477CC0A8" w14:textId="77777777" w:rsidR="009C353B" w:rsidRDefault="00000000">
            <w:pPr>
              <w:jc w:val="center"/>
              <w:rPr>
                <w:rFonts w:ascii="Times New Roman" w:hAnsi="Times New Roman"/>
                <w:sz w:val="21"/>
                <w:szCs w:val="21"/>
              </w:rPr>
            </w:pPr>
            <w:r>
              <w:rPr>
                <w:rFonts w:ascii="Times New Roman" w:hAnsi="Times New Roman"/>
                <w:sz w:val="21"/>
                <w:szCs w:val="21"/>
              </w:rPr>
              <w:t>生活污水</w:t>
            </w:r>
          </w:p>
        </w:tc>
        <w:tc>
          <w:tcPr>
            <w:tcW w:w="636" w:type="dxa"/>
            <w:vMerge w:val="restart"/>
            <w:shd w:val="clear" w:color="auto" w:fill="auto"/>
            <w:vAlign w:val="center"/>
          </w:tcPr>
          <w:p w14:paraId="17F7CEAA" w14:textId="77777777" w:rsidR="009C353B" w:rsidRDefault="00000000">
            <w:pPr>
              <w:jc w:val="center"/>
              <w:rPr>
                <w:rFonts w:ascii="Times New Roman" w:hAnsi="Times New Roman"/>
                <w:sz w:val="21"/>
                <w:szCs w:val="21"/>
              </w:rPr>
            </w:pPr>
            <w:r>
              <w:rPr>
                <w:rFonts w:ascii="Times New Roman" w:hAnsi="Times New Roman"/>
                <w:sz w:val="21"/>
                <w:szCs w:val="21"/>
              </w:rPr>
              <w:t>2006</w:t>
            </w:r>
          </w:p>
        </w:tc>
        <w:tc>
          <w:tcPr>
            <w:tcW w:w="1011" w:type="dxa"/>
            <w:shd w:val="clear" w:color="auto" w:fill="auto"/>
            <w:vAlign w:val="center"/>
          </w:tcPr>
          <w:p w14:paraId="18C01D3D" w14:textId="77777777" w:rsidR="009C353B" w:rsidRDefault="00000000">
            <w:pPr>
              <w:jc w:val="center"/>
              <w:rPr>
                <w:rFonts w:ascii="Times New Roman" w:hAnsi="Times New Roman"/>
                <w:sz w:val="21"/>
                <w:szCs w:val="21"/>
              </w:rPr>
            </w:pPr>
            <w:r>
              <w:rPr>
                <w:rFonts w:ascii="Times New Roman" w:hAnsi="Times New Roman"/>
                <w:sz w:val="21"/>
                <w:szCs w:val="21"/>
              </w:rPr>
              <w:t>571.7</w:t>
            </w:r>
          </w:p>
          <w:p w14:paraId="1D2E5998" w14:textId="77777777" w:rsidR="009C353B" w:rsidRDefault="00000000">
            <w:pPr>
              <w:jc w:val="center"/>
              <w:rPr>
                <w:rFonts w:ascii="Times New Roman" w:hAnsi="Times New Roman"/>
                <w:sz w:val="21"/>
                <w:szCs w:val="21"/>
              </w:rPr>
            </w:pP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2551" w:type="dxa"/>
            <w:shd w:val="clear" w:color="auto" w:fill="auto"/>
            <w:vAlign w:val="center"/>
          </w:tcPr>
          <w:p w14:paraId="162FEB0C" w14:textId="77777777" w:rsidR="009C353B" w:rsidRDefault="00000000">
            <w:pPr>
              <w:jc w:val="center"/>
              <w:rPr>
                <w:rFonts w:ascii="Times New Roman" w:hAnsi="Times New Roman"/>
                <w:sz w:val="21"/>
                <w:szCs w:val="21"/>
              </w:rPr>
            </w:pPr>
            <w:r>
              <w:rPr>
                <w:rFonts w:ascii="Times New Roman" w:hAnsi="Times New Roman"/>
                <w:sz w:val="21"/>
                <w:szCs w:val="21"/>
              </w:rPr>
              <w:t>生活污水处理站</w:t>
            </w:r>
            <w:r>
              <w:rPr>
                <w:rFonts w:ascii="Times New Roman" w:hAnsi="Times New Roman"/>
                <w:sz w:val="21"/>
                <w:szCs w:val="21"/>
              </w:rPr>
              <w:t>1</w:t>
            </w:r>
            <w:r>
              <w:rPr>
                <w:rFonts w:ascii="Times New Roman" w:hAnsi="Times New Roman"/>
                <w:sz w:val="21"/>
                <w:szCs w:val="21"/>
              </w:rPr>
              <w:t>座，处理能力</w:t>
            </w:r>
            <w:r>
              <w:rPr>
                <w:rFonts w:ascii="Times New Roman" w:hAnsi="Times New Roman"/>
                <w:sz w:val="21"/>
                <w:szCs w:val="21"/>
              </w:rPr>
              <w:t>15m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化粪池等预处理＋二级生化处理、回用系统</w:t>
            </w:r>
            <w:r>
              <w:rPr>
                <w:rFonts w:ascii="Times New Roman" w:hAnsi="Times New Roman"/>
                <w:sz w:val="21"/>
                <w:szCs w:val="21"/>
              </w:rPr>
              <w:t>)</w:t>
            </w:r>
          </w:p>
        </w:tc>
        <w:tc>
          <w:tcPr>
            <w:tcW w:w="1552" w:type="dxa"/>
            <w:shd w:val="clear" w:color="auto" w:fill="auto"/>
            <w:vAlign w:val="center"/>
          </w:tcPr>
          <w:p w14:paraId="4758E222" w14:textId="77777777" w:rsidR="009C353B" w:rsidRDefault="00000000">
            <w:pPr>
              <w:jc w:val="center"/>
              <w:rPr>
                <w:rFonts w:ascii="Times New Roman" w:hAnsi="Times New Roman"/>
                <w:sz w:val="21"/>
                <w:szCs w:val="21"/>
              </w:rPr>
            </w:pPr>
            <w:r>
              <w:rPr>
                <w:rFonts w:ascii="Times New Roman" w:hAnsi="Times New Roman"/>
                <w:sz w:val="21"/>
                <w:szCs w:val="21"/>
              </w:rPr>
              <w:t>处理后，用于厂区绿化冲洗、地面道路洒水、选矸用水</w:t>
            </w:r>
          </w:p>
        </w:tc>
        <w:tc>
          <w:tcPr>
            <w:tcW w:w="1142" w:type="dxa"/>
            <w:shd w:val="clear" w:color="auto" w:fill="auto"/>
            <w:vAlign w:val="center"/>
          </w:tcPr>
          <w:p w14:paraId="37E803B9" w14:textId="77777777" w:rsidR="009C353B" w:rsidRDefault="00000000">
            <w:pPr>
              <w:jc w:val="center"/>
              <w:rPr>
                <w:rFonts w:ascii="Times New Roman" w:hAnsi="Times New Roman"/>
                <w:sz w:val="21"/>
                <w:szCs w:val="21"/>
              </w:rPr>
            </w:pPr>
            <w:r>
              <w:rPr>
                <w:rFonts w:ascii="Times New Roman" w:hAnsi="Times New Roman" w:hint="eastAsia"/>
                <w:sz w:val="21"/>
                <w:szCs w:val="21"/>
              </w:rPr>
              <w:t>177.58</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p w14:paraId="5AE3B416" w14:textId="77777777" w:rsidR="009C353B" w:rsidRDefault="009C353B">
            <w:pPr>
              <w:jc w:val="center"/>
              <w:rPr>
                <w:rFonts w:ascii="Times New Roman" w:hAnsi="Times New Roman"/>
                <w:sz w:val="21"/>
                <w:szCs w:val="21"/>
              </w:rPr>
            </w:pPr>
          </w:p>
        </w:tc>
        <w:tc>
          <w:tcPr>
            <w:tcW w:w="3402" w:type="dxa"/>
            <w:gridSpan w:val="2"/>
            <w:shd w:val="clear" w:color="auto" w:fill="auto"/>
            <w:vAlign w:val="center"/>
          </w:tcPr>
          <w:p w14:paraId="6C808EB3" w14:textId="77777777" w:rsidR="009C353B" w:rsidRDefault="00000000">
            <w:pPr>
              <w:jc w:val="center"/>
              <w:rPr>
                <w:rFonts w:ascii="Times New Roman" w:hAnsi="Times New Roman"/>
                <w:sz w:val="21"/>
                <w:szCs w:val="21"/>
              </w:rPr>
            </w:pPr>
            <w:r>
              <w:rPr>
                <w:rFonts w:ascii="Times New Roman" w:hAnsi="Times New Roman"/>
                <w:sz w:val="21"/>
                <w:szCs w:val="21"/>
              </w:rPr>
              <w:t>地埋式一体化生活污水处理设备，处理能力</w:t>
            </w:r>
            <w:r>
              <w:rPr>
                <w:rFonts w:ascii="Times New Roman" w:hAnsi="Times New Roman"/>
                <w:sz w:val="21"/>
                <w:szCs w:val="21"/>
              </w:rPr>
              <w:t xml:space="preserve"> 40m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hint="eastAsia"/>
                <w:sz w:val="21"/>
                <w:szCs w:val="21"/>
              </w:rPr>
              <w:t>（</w:t>
            </w:r>
            <w:r>
              <w:rPr>
                <w:rFonts w:ascii="Times New Roman" w:hAnsi="Times New Roman" w:hint="eastAsia"/>
                <w:sz w:val="21"/>
                <w:szCs w:val="21"/>
              </w:rPr>
              <w:t>8</w:t>
            </w:r>
            <w:r>
              <w:rPr>
                <w:rFonts w:ascii="Times New Roman" w:hAnsi="Times New Roman"/>
                <w:sz w:val="21"/>
                <w:szCs w:val="21"/>
              </w:rPr>
              <w:t>00 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hint="eastAsia"/>
                <w:sz w:val="21"/>
                <w:szCs w:val="21"/>
              </w:rPr>
              <w:t>）</w:t>
            </w:r>
            <w:r>
              <w:rPr>
                <w:rFonts w:ascii="Times New Roman" w:hAnsi="Times New Roman"/>
                <w:sz w:val="21"/>
                <w:szCs w:val="21"/>
              </w:rPr>
              <w:t>，工艺为</w:t>
            </w:r>
            <w:r>
              <w:rPr>
                <w:rFonts w:ascii="Times New Roman" w:hAnsi="Times New Roman"/>
                <w:sz w:val="21"/>
                <w:szCs w:val="21"/>
              </w:rPr>
              <w:t>“</w:t>
            </w:r>
            <w:r>
              <w:rPr>
                <w:rFonts w:ascii="Times New Roman" w:hAnsi="Times New Roman"/>
                <w:sz w:val="21"/>
                <w:szCs w:val="21"/>
              </w:rPr>
              <w:t>格栅</w:t>
            </w:r>
            <w:r>
              <w:rPr>
                <w:rFonts w:ascii="Times New Roman" w:hAnsi="Times New Roman"/>
                <w:sz w:val="21"/>
                <w:szCs w:val="21"/>
              </w:rPr>
              <w:t xml:space="preserve">+A/O </w:t>
            </w:r>
            <w:r>
              <w:rPr>
                <w:rFonts w:ascii="Times New Roman" w:hAnsi="Times New Roman"/>
                <w:sz w:val="21"/>
                <w:szCs w:val="21"/>
              </w:rPr>
              <w:t>生化</w:t>
            </w:r>
            <w:r>
              <w:rPr>
                <w:rFonts w:ascii="Times New Roman" w:hAnsi="Times New Roman"/>
                <w:sz w:val="21"/>
                <w:szCs w:val="21"/>
              </w:rPr>
              <w:t>+</w:t>
            </w:r>
            <w:r>
              <w:rPr>
                <w:rFonts w:ascii="Times New Roman" w:hAnsi="Times New Roman"/>
                <w:sz w:val="21"/>
                <w:szCs w:val="21"/>
              </w:rPr>
              <w:t>沉淀</w:t>
            </w:r>
            <w:r>
              <w:rPr>
                <w:rFonts w:ascii="Times New Roman" w:hAnsi="Times New Roman"/>
                <w:sz w:val="21"/>
                <w:szCs w:val="21"/>
              </w:rPr>
              <w:t>+</w:t>
            </w:r>
            <w:r>
              <w:rPr>
                <w:rFonts w:ascii="Times New Roman" w:hAnsi="Times New Roman"/>
                <w:sz w:val="21"/>
                <w:szCs w:val="21"/>
              </w:rPr>
              <w:t>消毒</w:t>
            </w:r>
            <w:r>
              <w:rPr>
                <w:rFonts w:ascii="Times New Roman" w:hAnsi="Times New Roman"/>
                <w:sz w:val="21"/>
                <w:szCs w:val="21"/>
              </w:rPr>
              <w:t>”</w:t>
            </w:r>
            <w:r>
              <w:rPr>
                <w:rFonts w:ascii="Times New Roman" w:hAnsi="Times New Roman" w:hint="eastAsia"/>
                <w:sz w:val="21"/>
                <w:szCs w:val="21"/>
              </w:rPr>
              <w:t>；矸石场西侧建设</w:t>
            </w:r>
            <w:r>
              <w:rPr>
                <w:rFonts w:ascii="Times New Roman" w:hAnsi="Times New Roman"/>
                <w:sz w:val="21"/>
                <w:szCs w:val="21"/>
              </w:rPr>
              <w:t>5</w:t>
            </w:r>
            <w:r>
              <w:rPr>
                <w:rFonts w:ascii="Times New Roman" w:hAnsi="Times New Roman"/>
                <w:sz w:val="21"/>
                <w:szCs w:val="21"/>
              </w:rPr>
              <w:t>万</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 xml:space="preserve"> </w:t>
            </w:r>
            <w:r>
              <w:rPr>
                <w:rFonts w:ascii="Times New Roman" w:hAnsi="Times New Roman"/>
                <w:sz w:val="21"/>
                <w:szCs w:val="21"/>
              </w:rPr>
              <w:t>蓄水池</w:t>
            </w:r>
            <w:r>
              <w:rPr>
                <w:rFonts w:ascii="Times New Roman" w:hAnsi="Times New Roman"/>
                <w:sz w:val="21"/>
                <w:szCs w:val="21"/>
              </w:rPr>
              <w:t xml:space="preserve"> 1 </w:t>
            </w:r>
            <w:r>
              <w:rPr>
                <w:rFonts w:ascii="Times New Roman" w:hAnsi="Times New Roman"/>
                <w:sz w:val="21"/>
                <w:szCs w:val="21"/>
              </w:rPr>
              <w:t>座，采取有效的防渗</w:t>
            </w:r>
            <w:r>
              <w:rPr>
                <w:rFonts w:ascii="Times New Roman" w:hAnsi="Times New Roman" w:hint="eastAsia"/>
                <w:sz w:val="21"/>
                <w:szCs w:val="21"/>
              </w:rPr>
              <w:t>措施</w:t>
            </w:r>
          </w:p>
        </w:tc>
        <w:tc>
          <w:tcPr>
            <w:tcW w:w="2970" w:type="dxa"/>
            <w:shd w:val="clear" w:color="auto" w:fill="auto"/>
            <w:vAlign w:val="center"/>
          </w:tcPr>
          <w:p w14:paraId="1AEF59A6" w14:textId="77777777" w:rsidR="009C353B" w:rsidRDefault="00000000">
            <w:pPr>
              <w:jc w:val="center"/>
              <w:rPr>
                <w:rFonts w:ascii="Times New Roman" w:hAnsi="Times New Roman"/>
                <w:sz w:val="21"/>
                <w:szCs w:val="21"/>
              </w:rPr>
            </w:pPr>
            <w:r>
              <w:rPr>
                <w:rFonts w:ascii="Times New Roman" w:hAnsi="Times New Roman" w:hint="eastAsia"/>
                <w:sz w:val="21"/>
                <w:szCs w:val="21"/>
              </w:rPr>
              <w:t>夏季用于工业场地绿化，冬季暂存于生活污水蓄水池。</w:t>
            </w:r>
            <w:r>
              <w:rPr>
                <w:rFonts w:ascii="Times New Roman" w:hAnsi="Times New Roman"/>
                <w:sz w:val="21"/>
                <w:szCs w:val="21"/>
              </w:rPr>
              <w:t>(</w:t>
            </w:r>
            <w:r>
              <w:rPr>
                <w:rFonts w:ascii="Times New Roman" w:hAnsi="Times New Roman"/>
                <w:sz w:val="21"/>
                <w:szCs w:val="21"/>
              </w:rPr>
              <w:t>利用现有矸石场西侧的生活污水蓄水池，实现经达标处理后的</w:t>
            </w:r>
            <w:r>
              <w:rPr>
                <w:rFonts w:ascii="Times New Roman" w:hAnsi="Times New Roman" w:hint="eastAsia"/>
                <w:sz w:val="21"/>
                <w:szCs w:val="21"/>
              </w:rPr>
              <w:t>生活污水冬储夏用</w:t>
            </w:r>
            <w:r>
              <w:rPr>
                <w:rFonts w:ascii="Times New Roman" w:hAnsi="Times New Roman"/>
                <w:sz w:val="21"/>
                <w:szCs w:val="21"/>
              </w:rPr>
              <w:t>)</w:t>
            </w:r>
          </w:p>
        </w:tc>
      </w:tr>
      <w:tr w:rsidR="009C353B" w14:paraId="44645AB5" w14:textId="77777777">
        <w:trPr>
          <w:trHeight w:val="340"/>
          <w:jc w:val="center"/>
        </w:trPr>
        <w:tc>
          <w:tcPr>
            <w:tcW w:w="518" w:type="dxa"/>
            <w:vMerge/>
            <w:shd w:val="clear" w:color="auto" w:fill="auto"/>
            <w:vAlign w:val="center"/>
          </w:tcPr>
          <w:p w14:paraId="4D5091CF" w14:textId="77777777" w:rsidR="009C353B" w:rsidRDefault="009C353B">
            <w:pPr>
              <w:jc w:val="center"/>
              <w:rPr>
                <w:rFonts w:ascii="Times New Roman" w:hAnsi="Times New Roman"/>
                <w:sz w:val="21"/>
                <w:szCs w:val="21"/>
              </w:rPr>
            </w:pPr>
          </w:p>
        </w:tc>
        <w:tc>
          <w:tcPr>
            <w:tcW w:w="495" w:type="dxa"/>
            <w:shd w:val="clear" w:color="auto" w:fill="auto"/>
            <w:vAlign w:val="center"/>
          </w:tcPr>
          <w:p w14:paraId="26F6A19F" w14:textId="77777777" w:rsidR="009C353B" w:rsidRDefault="00000000">
            <w:pPr>
              <w:jc w:val="center"/>
              <w:rPr>
                <w:rFonts w:ascii="Times New Roman" w:hAnsi="Times New Roman"/>
                <w:sz w:val="21"/>
                <w:szCs w:val="21"/>
              </w:rPr>
            </w:pPr>
            <w:r>
              <w:rPr>
                <w:rFonts w:ascii="Times New Roman" w:hAnsi="Times New Roman"/>
                <w:sz w:val="21"/>
                <w:szCs w:val="21"/>
              </w:rPr>
              <w:t>矿井水</w:t>
            </w:r>
          </w:p>
        </w:tc>
        <w:tc>
          <w:tcPr>
            <w:tcW w:w="636" w:type="dxa"/>
            <w:vMerge/>
            <w:shd w:val="clear" w:color="auto" w:fill="auto"/>
            <w:vAlign w:val="center"/>
          </w:tcPr>
          <w:p w14:paraId="5EA3080F" w14:textId="77777777" w:rsidR="009C353B" w:rsidRDefault="009C353B">
            <w:pPr>
              <w:jc w:val="center"/>
              <w:rPr>
                <w:rFonts w:ascii="Times New Roman" w:hAnsi="Times New Roman"/>
                <w:sz w:val="21"/>
                <w:szCs w:val="21"/>
              </w:rPr>
            </w:pPr>
          </w:p>
        </w:tc>
        <w:tc>
          <w:tcPr>
            <w:tcW w:w="1011" w:type="dxa"/>
            <w:shd w:val="clear" w:color="auto" w:fill="auto"/>
            <w:vAlign w:val="center"/>
          </w:tcPr>
          <w:p w14:paraId="2F79033D" w14:textId="77777777" w:rsidR="009C353B" w:rsidRDefault="00000000">
            <w:pPr>
              <w:jc w:val="center"/>
              <w:rPr>
                <w:rFonts w:ascii="Times New Roman" w:hAnsi="Times New Roman"/>
                <w:sz w:val="21"/>
                <w:szCs w:val="21"/>
              </w:rPr>
            </w:pPr>
            <w:r>
              <w:rPr>
                <w:rFonts w:ascii="Times New Roman" w:hAnsi="Times New Roman"/>
                <w:sz w:val="21"/>
                <w:szCs w:val="21"/>
              </w:rPr>
              <w:t>10704</w:t>
            </w:r>
          </w:p>
          <w:p w14:paraId="507E0231" w14:textId="77777777" w:rsidR="009C353B" w:rsidRDefault="00000000">
            <w:pPr>
              <w:jc w:val="center"/>
              <w:rPr>
                <w:rFonts w:ascii="Times New Roman" w:hAnsi="Times New Roman"/>
                <w:sz w:val="21"/>
                <w:szCs w:val="21"/>
              </w:rPr>
            </w:pP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2551" w:type="dxa"/>
            <w:shd w:val="clear" w:color="auto" w:fill="auto"/>
            <w:vAlign w:val="center"/>
          </w:tcPr>
          <w:p w14:paraId="0D26F323" w14:textId="77777777" w:rsidR="009C353B" w:rsidRDefault="00000000">
            <w:pPr>
              <w:jc w:val="center"/>
              <w:rPr>
                <w:rFonts w:ascii="Times New Roman" w:hAnsi="Times New Roman"/>
                <w:sz w:val="21"/>
                <w:szCs w:val="21"/>
              </w:rPr>
            </w:pPr>
            <w:r>
              <w:rPr>
                <w:rFonts w:ascii="Times New Roman" w:hAnsi="Times New Roman"/>
                <w:sz w:val="21"/>
                <w:szCs w:val="21"/>
              </w:rPr>
              <w:t>设计井下排水处理站一座，处理规模为</w:t>
            </w:r>
            <w:r>
              <w:rPr>
                <w:rFonts w:ascii="Times New Roman" w:hAnsi="Times New Roman"/>
                <w:sz w:val="21"/>
                <w:szCs w:val="21"/>
              </w:rPr>
              <w:t>12000m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。处理工艺为混凝沉淀</w:t>
            </w:r>
            <w:r>
              <w:rPr>
                <w:rFonts w:ascii="Times New Roman" w:hAnsi="Times New Roman"/>
                <w:sz w:val="21"/>
                <w:szCs w:val="21"/>
              </w:rPr>
              <w:t>+</w:t>
            </w:r>
            <w:r>
              <w:rPr>
                <w:rFonts w:ascii="Times New Roman" w:hAnsi="Times New Roman"/>
                <w:sz w:val="21"/>
                <w:szCs w:val="21"/>
              </w:rPr>
              <w:t>净水器</w:t>
            </w:r>
            <w:r>
              <w:rPr>
                <w:rFonts w:ascii="Times New Roman" w:hAnsi="Times New Roman"/>
                <w:sz w:val="21"/>
                <w:szCs w:val="21"/>
              </w:rPr>
              <w:t>(</w:t>
            </w:r>
            <w:r>
              <w:rPr>
                <w:rFonts w:ascii="Times New Roman" w:hAnsi="Times New Roman"/>
                <w:sz w:val="21"/>
                <w:szCs w:val="21"/>
              </w:rPr>
              <w:t>含消毒</w:t>
            </w:r>
            <w:r>
              <w:rPr>
                <w:rFonts w:ascii="Times New Roman" w:hAnsi="Times New Roman"/>
                <w:sz w:val="21"/>
                <w:szCs w:val="21"/>
              </w:rPr>
              <w:t>)</w:t>
            </w:r>
            <w:r>
              <w:rPr>
                <w:rFonts w:ascii="Times New Roman" w:hAnsi="Times New Roman"/>
                <w:sz w:val="21"/>
                <w:szCs w:val="21"/>
              </w:rPr>
              <w:t>的联合处理方式</w:t>
            </w:r>
          </w:p>
        </w:tc>
        <w:tc>
          <w:tcPr>
            <w:tcW w:w="1552" w:type="dxa"/>
            <w:shd w:val="clear" w:color="auto" w:fill="auto"/>
            <w:vAlign w:val="center"/>
          </w:tcPr>
          <w:p w14:paraId="2A4A3752" w14:textId="77777777" w:rsidR="009C353B" w:rsidRDefault="00000000">
            <w:pPr>
              <w:jc w:val="center"/>
              <w:rPr>
                <w:rFonts w:ascii="Times New Roman" w:hAnsi="Times New Roman"/>
                <w:sz w:val="21"/>
                <w:szCs w:val="21"/>
              </w:rPr>
            </w:pPr>
            <w:r>
              <w:rPr>
                <w:rFonts w:ascii="Times New Roman" w:hAnsi="Times New Roman"/>
                <w:sz w:val="21"/>
                <w:szCs w:val="21"/>
              </w:rPr>
              <w:t>处理后回用于井下消防洒水等用途，剩余矿井水经沙葱沟排入大河子沟，全部用于灵州矸石电厂的循环补充用水</w:t>
            </w:r>
          </w:p>
        </w:tc>
        <w:tc>
          <w:tcPr>
            <w:tcW w:w="1142" w:type="dxa"/>
            <w:shd w:val="clear" w:color="auto" w:fill="auto"/>
            <w:vAlign w:val="center"/>
          </w:tcPr>
          <w:p w14:paraId="7C3901B4" w14:textId="77777777" w:rsidR="009C353B" w:rsidRDefault="00000000">
            <w:pPr>
              <w:jc w:val="center"/>
              <w:rPr>
                <w:rFonts w:ascii="Times New Roman" w:hAnsi="Times New Roman"/>
                <w:sz w:val="21"/>
                <w:szCs w:val="21"/>
              </w:rPr>
            </w:pPr>
            <w:r>
              <w:rPr>
                <w:rFonts w:ascii="Times New Roman" w:hAnsi="Times New Roman"/>
                <w:sz w:val="21"/>
                <w:szCs w:val="21"/>
              </w:rPr>
              <w:t>1790</w:t>
            </w:r>
            <w:r>
              <w:rPr>
                <w:rFonts w:ascii="Times New Roman" w:hAnsi="Times New Roman" w:hint="eastAsia"/>
                <w:sz w:val="21"/>
                <w:szCs w:val="21"/>
              </w:rPr>
              <w:t>m</w:t>
            </w:r>
            <w:r>
              <w:rPr>
                <w:rFonts w:ascii="Times New Roman" w:hAnsi="Times New Roman"/>
                <w:snapToGrid w:val="0"/>
                <w:sz w:val="21"/>
                <w:szCs w:val="21"/>
                <w:vertAlign w:val="superscript"/>
              </w:rPr>
              <w:t>3</w:t>
            </w:r>
            <w:r>
              <w:rPr>
                <w:rFonts w:ascii="Times New Roman" w:hAnsi="Times New Roman"/>
                <w:snapToGrid w:val="0"/>
                <w:sz w:val="21"/>
                <w:szCs w:val="21"/>
              </w:rPr>
              <w:t>/d</w:t>
            </w:r>
          </w:p>
        </w:tc>
        <w:tc>
          <w:tcPr>
            <w:tcW w:w="3402" w:type="dxa"/>
            <w:gridSpan w:val="2"/>
            <w:shd w:val="clear" w:color="auto" w:fill="auto"/>
            <w:vAlign w:val="center"/>
          </w:tcPr>
          <w:p w14:paraId="32034A15" w14:textId="77777777" w:rsidR="009C353B" w:rsidRDefault="00000000">
            <w:pPr>
              <w:jc w:val="center"/>
              <w:rPr>
                <w:rFonts w:ascii="Times New Roman" w:hAnsi="Times New Roman"/>
                <w:sz w:val="21"/>
                <w:szCs w:val="21"/>
              </w:rPr>
            </w:pPr>
            <w:r>
              <w:rPr>
                <w:rFonts w:ascii="Times New Roman" w:hAnsi="Times New Roman"/>
                <w:sz w:val="21"/>
                <w:szCs w:val="21"/>
              </w:rPr>
              <w:t>矿井水处理站一座：</w:t>
            </w:r>
            <w:r>
              <w:rPr>
                <w:rFonts w:ascii="Times New Roman" w:hAnsi="Times New Roman"/>
                <w:sz w:val="21"/>
                <w:szCs w:val="21"/>
              </w:rPr>
              <w:t>“</w:t>
            </w:r>
            <w:r>
              <w:rPr>
                <w:rFonts w:ascii="Times New Roman" w:hAnsi="Times New Roman"/>
                <w:sz w:val="21"/>
                <w:szCs w:val="21"/>
              </w:rPr>
              <w:t>混凝沉淀（高密度迷宫斜板净水器）（</w:t>
            </w:r>
            <w:r>
              <w:rPr>
                <w:rFonts w:ascii="Times New Roman" w:hAnsi="Times New Roman"/>
                <w:sz w:val="21"/>
                <w:szCs w:val="21"/>
              </w:rPr>
              <w:t>4×100m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过滤（重力式无阀过滤器）（</w:t>
            </w:r>
            <w:r>
              <w:rPr>
                <w:rFonts w:ascii="Times New Roman" w:hAnsi="Times New Roman"/>
                <w:sz w:val="21"/>
                <w:szCs w:val="21"/>
              </w:rPr>
              <w:t>4×125m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，处理能力</w:t>
            </w:r>
            <w:r>
              <w:rPr>
                <w:rFonts w:ascii="Times New Roman" w:hAnsi="Times New Roman"/>
                <w:sz w:val="21"/>
                <w:szCs w:val="21"/>
              </w:rPr>
              <w:t xml:space="preserve"> 400m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hint="eastAsia"/>
                <w:sz w:val="21"/>
                <w:szCs w:val="21"/>
              </w:rPr>
              <w:t>（</w:t>
            </w:r>
            <w:r>
              <w:rPr>
                <w:rFonts w:ascii="Times New Roman" w:hAnsi="Times New Roman" w:hint="eastAsia"/>
                <w:sz w:val="21"/>
                <w:szCs w:val="21"/>
              </w:rPr>
              <w:t>8</w:t>
            </w:r>
            <w:r>
              <w:rPr>
                <w:rFonts w:ascii="Times New Roman" w:hAnsi="Times New Roman"/>
                <w:sz w:val="21"/>
                <w:szCs w:val="21"/>
              </w:rPr>
              <w:t>000 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hint="eastAsia"/>
                <w:sz w:val="21"/>
                <w:szCs w:val="21"/>
              </w:rPr>
              <w:t>）</w:t>
            </w:r>
            <w:r>
              <w:rPr>
                <w:rFonts w:ascii="Times New Roman" w:hAnsi="Times New Roman"/>
                <w:sz w:val="21"/>
                <w:szCs w:val="21"/>
              </w:rPr>
              <w:t>；</w:t>
            </w:r>
          </w:p>
          <w:p w14:paraId="433DCC7D" w14:textId="77777777" w:rsidR="009C353B" w:rsidRDefault="00000000">
            <w:pPr>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过滤（多介质过滤器</w:t>
            </w:r>
            <w:r>
              <w:rPr>
                <w:rFonts w:ascii="Times New Roman" w:hAnsi="Times New Roman"/>
                <w:sz w:val="21"/>
                <w:szCs w:val="21"/>
              </w:rPr>
              <w:t xml:space="preserve"> 5×46.8m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活性炭过滤器</w:t>
            </w:r>
            <w:r>
              <w:rPr>
                <w:rFonts w:ascii="Times New Roman" w:hAnsi="Times New Roman"/>
                <w:sz w:val="21"/>
                <w:szCs w:val="21"/>
              </w:rPr>
              <w:t>3×74m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反渗透（</w:t>
            </w:r>
            <w:r>
              <w:rPr>
                <w:rFonts w:ascii="Times New Roman" w:hAnsi="Times New Roman"/>
                <w:sz w:val="21"/>
                <w:szCs w:val="21"/>
              </w:rPr>
              <w:t>2×70m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处理工艺，处理能力</w:t>
            </w:r>
            <w:r>
              <w:rPr>
                <w:rFonts w:ascii="Times New Roman" w:hAnsi="Times New Roman"/>
                <w:sz w:val="21"/>
                <w:szCs w:val="21"/>
              </w:rPr>
              <w:t>140m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hint="eastAsia"/>
                <w:sz w:val="21"/>
                <w:szCs w:val="21"/>
              </w:rPr>
              <w:t>（</w:t>
            </w:r>
            <w:r>
              <w:rPr>
                <w:rFonts w:ascii="Times New Roman" w:hAnsi="Times New Roman"/>
                <w:sz w:val="21"/>
                <w:szCs w:val="21"/>
              </w:rPr>
              <w:t>2800 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hint="eastAsia"/>
                <w:sz w:val="21"/>
                <w:szCs w:val="21"/>
              </w:rPr>
              <w:t>）</w:t>
            </w:r>
          </w:p>
        </w:tc>
        <w:tc>
          <w:tcPr>
            <w:tcW w:w="2970" w:type="dxa"/>
            <w:shd w:val="clear" w:color="auto" w:fill="auto"/>
            <w:vAlign w:val="center"/>
          </w:tcPr>
          <w:p w14:paraId="34DAAE7A" w14:textId="77777777" w:rsidR="009C353B" w:rsidRDefault="00000000">
            <w:pPr>
              <w:jc w:val="center"/>
              <w:rPr>
                <w:rFonts w:ascii="Times New Roman" w:hAnsi="Times New Roman"/>
                <w:sz w:val="21"/>
                <w:szCs w:val="21"/>
              </w:rPr>
            </w:pPr>
            <w:r>
              <w:rPr>
                <w:rFonts w:ascii="Times New Roman" w:hAnsi="Times New Roman" w:hint="eastAsia"/>
                <w:sz w:val="21"/>
                <w:szCs w:val="21"/>
              </w:rPr>
              <w:t>矿井涌水经混凝沉淀处理后，部分回用于井下巷道降尘，储煤场及矸石场降尘、洗煤厂补充水，剩余部分经反渗透处理达标</w:t>
            </w:r>
            <w:r>
              <w:rPr>
                <w:rFonts w:ascii="Times New Roman" w:hAnsi="Times New Roman"/>
                <w:sz w:val="21"/>
                <w:szCs w:val="21"/>
              </w:rPr>
              <w:t>后作为井下工作面采煤设备冷却水、生产、地面绿化等。</w:t>
            </w:r>
          </w:p>
        </w:tc>
      </w:tr>
      <w:tr w:rsidR="009C353B" w14:paraId="06F35924" w14:textId="77777777">
        <w:trPr>
          <w:trHeight w:val="340"/>
          <w:jc w:val="center"/>
        </w:trPr>
        <w:tc>
          <w:tcPr>
            <w:tcW w:w="518" w:type="dxa"/>
            <w:vMerge w:val="restart"/>
            <w:shd w:val="clear" w:color="auto" w:fill="auto"/>
            <w:vAlign w:val="center"/>
          </w:tcPr>
          <w:p w14:paraId="58F8AA2B" w14:textId="77777777" w:rsidR="009C353B" w:rsidRDefault="00000000">
            <w:pPr>
              <w:jc w:val="center"/>
              <w:rPr>
                <w:rFonts w:ascii="Times New Roman" w:hAnsi="Times New Roman"/>
                <w:sz w:val="21"/>
                <w:szCs w:val="21"/>
              </w:rPr>
            </w:pPr>
            <w:r>
              <w:rPr>
                <w:rFonts w:ascii="Times New Roman" w:hAnsi="Times New Roman"/>
                <w:sz w:val="21"/>
                <w:szCs w:val="21"/>
              </w:rPr>
              <w:t>马莲台</w:t>
            </w:r>
            <w:r>
              <w:rPr>
                <w:rFonts w:ascii="Times New Roman" w:hAnsi="Times New Roman" w:hint="eastAsia"/>
                <w:sz w:val="21"/>
                <w:szCs w:val="21"/>
              </w:rPr>
              <w:t>煤矿</w:t>
            </w:r>
          </w:p>
        </w:tc>
        <w:tc>
          <w:tcPr>
            <w:tcW w:w="495" w:type="dxa"/>
            <w:shd w:val="clear" w:color="auto" w:fill="auto"/>
            <w:vAlign w:val="center"/>
          </w:tcPr>
          <w:p w14:paraId="56A51A59" w14:textId="77777777" w:rsidR="009C353B" w:rsidRDefault="00000000">
            <w:pPr>
              <w:jc w:val="center"/>
              <w:rPr>
                <w:rFonts w:ascii="Times New Roman" w:hAnsi="Times New Roman"/>
                <w:sz w:val="21"/>
                <w:szCs w:val="21"/>
              </w:rPr>
            </w:pPr>
            <w:r>
              <w:rPr>
                <w:rFonts w:ascii="Times New Roman" w:hAnsi="Times New Roman"/>
                <w:sz w:val="21"/>
                <w:szCs w:val="21"/>
              </w:rPr>
              <w:t>生活污水</w:t>
            </w:r>
          </w:p>
        </w:tc>
        <w:tc>
          <w:tcPr>
            <w:tcW w:w="636" w:type="dxa"/>
            <w:vMerge w:val="restart"/>
            <w:shd w:val="clear" w:color="auto" w:fill="auto"/>
            <w:vAlign w:val="center"/>
          </w:tcPr>
          <w:p w14:paraId="16F0A34C" w14:textId="77777777" w:rsidR="009C353B" w:rsidRDefault="00000000">
            <w:pPr>
              <w:jc w:val="center"/>
              <w:rPr>
                <w:rFonts w:ascii="Times New Roman" w:hAnsi="Times New Roman"/>
                <w:sz w:val="21"/>
                <w:szCs w:val="21"/>
              </w:rPr>
            </w:pPr>
            <w:r>
              <w:rPr>
                <w:rFonts w:ascii="Times New Roman" w:hAnsi="Times New Roman"/>
                <w:sz w:val="21"/>
                <w:szCs w:val="21"/>
              </w:rPr>
              <w:t>2006</w:t>
            </w:r>
          </w:p>
        </w:tc>
        <w:tc>
          <w:tcPr>
            <w:tcW w:w="1011" w:type="dxa"/>
            <w:shd w:val="clear" w:color="auto" w:fill="auto"/>
            <w:vAlign w:val="center"/>
          </w:tcPr>
          <w:p w14:paraId="28B561B8" w14:textId="77777777" w:rsidR="009C353B" w:rsidRDefault="00000000">
            <w:pPr>
              <w:jc w:val="center"/>
              <w:rPr>
                <w:rFonts w:ascii="Times New Roman" w:hAnsi="Times New Roman"/>
                <w:sz w:val="21"/>
                <w:szCs w:val="21"/>
              </w:rPr>
            </w:pPr>
            <w:r>
              <w:rPr>
                <w:rFonts w:ascii="Times New Roman" w:hAnsi="Times New Roman"/>
                <w:sz w:val="21"/>
                <w:szCs w:val="21"/>
              </w:rPr>
              <w:t>574.92</w:t>
            </w:r>
          </w:p>
          <w:p w14:paraId="517291C8" w14:textId="77777777" w:rsidR="009C353B" w:rsidRDefault="00000000">
            <w:pPr>
              <w:jc w:val="center"/>
              <w:rPr>
                <w:rFonts w:ascii="Times New Roman" w:hAnsi="Times New Roman"/>
                <w:sz w:val="21"/>
                <w:szCs w:val="21"/>
              </w:rPr>
            </w:pP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2551" w:type="dxa"/>
            <w:shd w:val="clear" w:color="auto" w:fill="auto"/>
            <w:vAlign w:val="center"/>
          </w:tcPr>
          <w:p w14:paraId="334F7981" w14:textId="77777777" w:rsidR="009C353B" w:rsidRDefault="00000000">
            <w:pPr>
              <w:jc w:val="center"/>
              <w:rPr>
                <w:rFonts w:ascii="Times New Roman" w:hAnsi="Times New Roman"/>
                <w:sz w:val="21"/>
                <w:szCs w:val="21"/>
              </w:rPr>
            </w:pPr>
            <w:r>
              <w:rPr>
                <w:rFonts w:ascii="Times New Roman" w:hAnsi="Times New Roman"/>
                <w:sz w:val="21"/>
                <w:szCs w:val="21"/>
              </w:rPr>
              <w:t>拟建设一座处理规模为</w:t>
            </w:r>
            <w:r>
              <w:rPr>
                <w:rFonts w:ascii="Times New Roman" w:hAnsi="Times New Roman"/>
                <w:sz w:val="21"/>
                <w:szCs w:val="21"/>
              </w:rPr>
              <w:t>600m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的生活污水处理站，</w:t>
            </w:r>
            <w:r>
              <w:rPr>
                <w:rFonts w:ascii="Times New Roman" w:hAnsi="Times New Roman"/>
                <w:sz w:val="21"/>
                <w:szCs w:val="21"/>
                <w:lang w:val="zh-CN"/>
              </w:rPr>
              <w:t>处理工艺选择生物接触氧化法处理后消毒</w:t>
            </w:r>
          </w:p>
        </w:tc>
        <w:tc>
          <w:tcPr>
            <w:tcW w:w="1552" w:type="dxa"/>
            <w:shd w:val="clear" w:color="auto" w:fill="auto"/>
            <w:vAlign w:val="center"/>
          </w:tcPr>
          <w:p w14:paraId="0AF50728" w14:textId="77777777" w:rsidR="009C353B" w:rsidRDefault="00000000">
            <w:pPr>
              <w:jc w:val="center"/>
              <w:rPr>
                <w:rFonts w:ascii="Times New Roman" w:hAnsi="Times New Roman"/>
                <w:sz w:val="21"/>
                <w:szCs w:val="21"/>
              </w:rPr>
            </w:pPr>
            <w:r>
              <w:rPr>
                <w:rFonts w:ascii="Times New Roman" w:hAnsi="Times New Roman"/>
                <w:sz w:val="21"/>
                <w:szCs w:val="21"/>
              </w:rPr>
              <w:t>回用不外排</w:t>
            </w:r>
          </w:p>
        </w:tc>
        <w:tc>
          <w:tcPr>
            <w:tcW w:w="1142" w:type="dxa"/>
            <w:shd w:val="clear" w:color="auto" w:fill="auto"/>
            <w:vAlign w:val="center"/>
          </w:tcPr>
          <w:p w14:paraId="75205355" w14:textId="77777777" w:rsidR="009C353B" w:rsidRDefault="00000000">
            <w:pPr>
              <w:jc w:val="center"/>
              <w:rPr>
                <w:rFonts w:ascii="Times New Roman" w:hAnsi="Times New Roman"/>
                <w:sz w:val="21"/>
                <w:szCs w:val="21"/>
              </w:rPr>
            </w:pPr>
            <w:r>
              <w:rPr>
                <w:rFonts w:ascii="Times New Roman" w:hAnsi="Times New Roman" w:hint="eastAsia"/>
                <w:sz w:val="21"/>
                <w:szCs w:val="21"/>
              </w:rPr>
              <w:t>340.9</w:t>
            </w:r>
            <w:r>
              <w:rPr>
                <w:rFonts w:ascii="Times New Roman" w:hAnsi="Times New Roman"/>
                <w:sz w:val="21"/>
                <w:szCs w:val="21"/>
              </w:rPr>
              <w:t>m</w:t>
            </w:r>
            <w:r>
              <w:rPr>
                <w:rFonts w:ascii="Times New Roman" w:hAnsi="Times New Roman"/>
                <w:snapToGrid w:val="0"/>
                <w:sz w:val="21"/>
                <w:szCs w:val="21"/>
                <w:vertAlign w:val="superscript"/>
              </w:rPr>
              <w:t>3</w:t>
            </w:r>
            <w:r>
              <w:rPr>
                <w:rFonts w:ascii="Times New Roman" w:hAnsi="Times New Roman"/>
                <w:snapToGrid w:val="0"/>
                <w:sz w:val="21"/>
                <w:szCs w:val="21"/>
              </w:rPr>
              <w:t>/d</w:t>
            </w:r>
          </w:p>
        </w:tc>
        <w:tc>
          <w:tcPr>
            <w:tcW w:w="3402" w:type="dxa"/>
            <w:gridSpan w:val="2"/>
            <w:shd w:val="clear" w:color="auto" w:fill="auto"/>
            <w:vAlign w:val="center"/>
          </w:tcPr>
          <w:p w14:paraId="7429E0DB" w14:textId="77777777" w:rsidR="009C353B" w:rsidRDefault="00000000">
            <w:pPr>
              <w:jc w:val="center"/>
              <w:rPr>
                <w:rFonts w:ascii="Times New Roman" w:hAnsi="Times New Roman"/>
                <w:sz w:val="21"/>
                <w:szCs w:val="21"/>
              </w:rPr>
            </w:pPr>
            <w:r>
              <w:rPr>
                <w:rFonts w:ascii="Times New Roman" w:hAnsi="Times New Roman" w:hint="eastAsia"/>
                <w:sz w:val="21"/>
                <w:szCs w:val="21"/>
              </w:rPr>
              <w:t>生产生活废水依托宁夏宝丰能源集团股份有限公司污水处理站。处理工艺为“预处理＋强化生物脱氮</w:t>
            </w:r>
            <w:r>
              <w:rPr>
                <w:rFonts w:ascii="Times New Roman" w:hAnsi="Times New Roman"/>
                <w:sz w:val="21"/>
                <w:szCs w:val="21"/>
              </w:rPr>
              <w:t>QWSTN+</w:t>
            </w:r>
            <w:r>
              <w:rPr>
                <w:rFonts w:ascii="Times New Roman" w:hAnsi="Times New Roman"/>
                <w:sz w:val="21"/>
                <w:szCs w:val="21"/>
              </w:rPr>
              <w:t>深度处理工艺</w:t>
            </w:r>
            <w:r>
              <w:rPr>
                <w:rFonts w:ascii="Times New Roman" w:hAnsi="Times New Roman"/>
                <w:sz w:val="21"/>
                <w:szCs w:val="21"/>
              </w:rPr>
              <w:t>”</w:t>
            </w:r>
          </w:p>
        </w:tc>
        <w:tc>
          <w:tcPr>
            <w:tcW w:w="2970" w:type="dxa"/>
            <w:shd w:val="clear" w:color="auto" w:fill="auto"/>
            <w:vAlign w:val="center"/>
          </w:tcPr>
          <w:p w14:paraId="05A430DE" w14:textId="77777777" w:rsidR="009C353B" w:rsidRDefault="00000000">
            <w:pPr>
              <w:jc w:val="center"/>
              <w:rPr>
                <w:rFonts w:ascii="Times New Roman" w:hAnsi="Times New Roman"/>
                <w:sz w:val="21"/>
                <w:szCs w:val="21"/>
              </w:rPr>
            </w:pPr>
            <w:r>
              <w:rPr>
                <w:rFonts w:ascii="Times New Roman" w:hAnsi="Times New Roman" w:hint="eastAsia"/>
                <w:sz w:val="21"/>
                <w:szCs w:val="21"/>
              </w:rPr>
              <w:t>经污水处理站</w:t>
            </w:r>
            <w:r>
              <w:rPr>
                <w:rFonts w:ascii="Times New Roman" w:hAnsi="Times New Roman" w:hint="eastAsia"/>
                <w:snapToGrid w:val="0"/>
                <w:sz w:val="21"/>
                <w:szCs w:val="21"/>
              </w:rPr>
              <w:t>处理后</w:t>
            </w:r>
            <w:r>
              <w:rPr>
                <w:rFonts w:ascii="Times New Roman" w:hAnsi="Times New Roman" w:hint="eastAsia"/>
                <w:sz w:val="21"/>
                <w:szCs w:val="21"/>
              </w:rPr>
              <w:t>部分用于场地绿化、道路洒水，其余用于宁夏宝丰能源集团股份有限公司焦化厂熄焦</w:t>
            </w:r>
          </w:p>
        </w:tc>
      </w:tr>
      <w:tr w:rsidR="009C353B" w14:paraId="7407B885" w14:textId="77777777">
        <w:trPr>
          <w:trHeight w:val="340"/>
          <w:jc w:val="center"/>
        </w:trPr>
        <w:tc>
          <w:tcPr>
            <w:tcW w:w="518" w:type="dxa"/>
            <w:vMerge/>
            <w:shd w:val="clear" w:color="auto" w:fill="auto"/>
            <w:vAlign w:val="center"/>
          </w:tcPr>
          <w:p w14:paraId="40AF7F2A" w14:textId="77777777" w:rsidR="009C353B" w:rsidRDefault="009C353B">
            <w:pPr>
              <w:jc w:val="center"/>
              <w:rPr>
                <w:rFonts w:ascii="Times New Roman" w:hAnsi="Times New Roman"/>
                <w:sz w:val="21"/>
                <w:szCs w:val="21"/>
              </w:rPr>
            </w:pPr>
          </w:p>
        </w:tc>
        <w:tc>
          <w:tcPr>
            <w:tcW w:w="495" w:type="dxa"/>
            <w:shd w:val="clear" w:color="auto" w:fill="auto"/>
            <w:vAlign w:val="center"/>
          </w:tcPr>
          <w:p w14:paraId="27AE33DE" w14:textId="77777777" w:rsidR="009C353B" w:rsidRDefault="00000000">
            <w:pPr>
              <w:jc w:val="center"/>
              <w:rPr>
                <w:rFonts w:ascii="Times New Roman" w:hAnsi="Times New Roman"/>
                <w:sz w:val="21"/>
                <w:szCs w:val="21"/>
              </w:rPr>
            </w:pPr>
            <w:r>
              <w:rPr>
                <w:rFonts w:ascii="Times New Roman" w:hAnsi="Times New Roman"/>
                <w:sz w:val="21"/>
                <w:szCs w:val="21"/>
              </w:rPr>
              <w:t>矿井水</w:t>
            </w:r>
          </w:p>
        </w:tc>
        <w:tc>
          <w:tcPr>
            <w:tcW w:w="636" w:type="dxa"/>
            <w:vMerge/>
            <w:shd w:val="clear" w:color="auto" w:fill="auto"/>
            <w:vAlign w:val="center"/>
          </w:tcPr>
          <w:p w14:paraId="61089BAC" w14:textId="77777777" w:rsidR="009C353B" w:rsidRDefault="009C353B">
            <w:pPr>
              <w:jc w:val="center"/>
              <w:rPr>
                <w:rFonts w:ascii="Times New Roman" w:hAnsi="Times New Roman"/>
                <w:sz w:val="21"/>
                <w:szCs w:val="21"/>
              </w:rPr>
            </w:pPr>
          </w:p>
        </w:tc>
        <w:tc>
          <w:tcPr>
            <w:tcW w:w="1011" w:type="dxa"/>
            <w:shd w:val="clear" w:color="auto" w:fill="auto"/>
            <w:vAlign w:val="center"/>
          </w:tcPr>
          <w:p w14:paraId="2248EF07" w14:textId="77777777" w:rsidR="009C353B" w:rsidRDefault="00000000">
            <w:pPr>
              <w:jc w:val="center"/>
              <w:rPr>
                <w:rFonts w:ascii="Times New Roman" w:hAnsi="Times New Roman"/>
                <w:sz w:val="21"/>
                <w:szCs w:val="21"/>
              </w:rPr>
            </w:pPr>
            <w:r>
              <w:rPr>
                <w:rFonts w:ascii="Times New Roman" w:hAnsi="Times New Roman"/>
                <w:sz w:val="21"/>
                <w:szCs w:val="21"/>
              </w:rPr>
              <w:t>4320</w:t>
            </w:r>
          </w:p>
          <w:p w14:paraId="63069557" w14:textId="77777777" w:rsidR="009C353B" w:rsidRDefault="00000000">
            <w:pPr>
              <w:jc w:val="center"/>
              <w:rPr>
                <w:rFonts w:ascii="Times New Roman" w:hAnsi="Times New Roman"/>
                <w:sz w:val="21"/>
                <w:szCs w:val="21"/>
              </w:rPr>
            </w:pP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2551" w:type="dxa"/>
            <w:shd w:val="clear" w:color="auto" w:fill="auto"/>
            <w:vAlign w:val="center"/>
          </w:tcPr>
          <w:p w14:paraId="0E9C147C" w14:textId="77777777" w:rsidR="009C353B" w:rsidRDefault="00000000">
            <w:pPr>
              <w:jc w:val="center"/>
              <w:rPr>
                <w:rFonts w:ascii="Times New Roman" w:hAnsi="Times New Roman"/>
                <w:sz w:val="21"/>
                <w:szCs w:val="21"/>
              </w:rPr>
            </w:pPr>
            <w:r>
              <w:rPr>
                <w:rFonts w:ascii="Times New Roman" w:hAnsi="Times New Roman"/>
                <w:sz w:val="21"/>
                <w:szCs w:val="21"/>
              </w:rPr>
              <w:t>拟建设一座处理规模为</w:t>
            </w:r>
            <w:r>
              <w:rPr>
                <w:rFonts w:ascii="Times New Roman" w:hAnsi="Times New Roman"/>
                <w:sz w:val="21"/>
                <w:szCs w:val="21"/>
              </w:rPr>
              <w:t>5000m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的井下水处理站，处理工艺采用混凝、沉淀、消毒等工艺</w:t>
            </w:r>
          </w:p>
        </w:tc>
        <w:tc>
          <w:tcPr>
            <w:tcW w:w="1552" w:type="dxa"/>
            <w:shd w:val="clear" w:color="auto" w:fill="auto"/>
            <w:vAlign w:val="center"/>
          </w:tcPr>
          <w:p w14:paraId="14CA7F6A" w14:textId="77777777" w:rsidR="009C353B" w:rsidRDefault="00000000">
            <w:pPr>
              <w:jc w:val="center"/>
              <w:rPr>
                <w:rFonts w:ascii="Times New Roman" w:hAnsi="Times New Roman"/>
                <w:sz w:val="21"/>
                <w:szCs w:val="21"/>
              </w:rPr>
            </w:pPr>
            <w:r>
              <w:rPr>
                <w:rFonts w:ascii="Times New Roman" w:hAnsi="Times New Roman"/>
                <w:sz w:val="21"/>
                <w:szCs w:val="21"/>
              </w:rPr>
              <w:t>处理后回用于生产用水及井下消防洒水</w:t>
            </w:r>
          </w:p>
        </w:tc>
        <w:tc>
          <w:tcPr>
            <w:tcW w:w="1142" w:type="dxa"/>
            <w:shd w:val="clear" w:color="auto" w:fill="auto"/>
            <w:vAlign w:val="center"/>
          </w:tcPr>
          <w:p w14:paraId="3786B8FC" w14:textId="77777777" w:rsidR="009C353B" w:rsidRDefault="00000000">
            <w:pPr>
              <w:jc w:val="center"/>
              <w:rPr>
                <w:rFonts w:ascii="Times New Roman" w:hAnsi="Times New Roman"/>
                <w:sz w:val="21"/>
                <w:szCs w:val="21"/>
              </w:rPr>
            </w:pPr>
            <w:r>
              <w:rPr>
                <w:rFonts w:ascii="Times New Roman" w:hAnsi="Times New Roman" w:hint="eastAsia"/>
                <w:sz w:val="21"/>
                <w:szCs w:val="21"/>
              </w:rPr>
              <w:t>2561m</w:t>
            </w:r>
            <w:r>
              <w:rPr>
                <w:rFonts w:ascii="Times New Roman" w:hAnsi="Times New Roman"/>
                <w:snapToGrid w:val="0"/>
                <w:sz w:val="21"/>
                <w:szCs w:val="21"/>
                <w:vertAlign w:val="superscript"/>
              </w:rPr>
              <w:t>3</w:t>
            </w:r>
            <w:r>
              <w:rPr>
                <w:rFonts w:ascii="Times New Roman" w:hAnsi="Times New Roman"/>
                <w:snapToGrid w:val="0"/>
                <w:sz w:val="21"/>
                <w:szCs w:val="21"/>
              </w:rPr>
              <w:t>/d</w:t>
            </w:r>
          </w:p>
        </w:tc>
        <w:tc>
          <w:tcPr>
            <w:tcW w:w="3402" w:type="dxa"/>
            <w:gridSpan w:val="2"/>
            <w:shd w:val="clear" w:color="auto" w:fill="auto"/>
            <w:vAlign w:val="center"/>
          </w:tcPr>
          <w:p w14:paraId="46736D38" w14:textId="77777777" w:rsidR="009C353B" w:rsidRDefault="00000000">
            <w:pPr>
              <w:jc w:val="center"/>
              <w:rPr>
                <w:rFonts w:ascii="Times New Roman" w:hAnsi="Times New Roman"/>
                <w:sz w:val="21"/>
                <w:szCs w:val="21"/>
              </w:rPr>
            </w:pPr>
            <w:bookmarkStart w:id="145" w:name="_Hlk59177670"/>
            <w:r>
              <w:rPr>
                <w:rFonts w:ascii="Times New Roman" w:hAnsi="Times New Roman" w:hint="eastAsia"/>
                <w:sz w:val="21"/>
                <w:szCs w:val="21"/>
              </w:rPr>
              <w:t>矿井水经</w:t>
            </w:r>
            <w:bookmarkStart w:id="146" w:name="_Hlk59181100"/>
            <w:r>
              <w:rPr>
                <w:rFonts w:ascii="Times New Roman" w:hAnsi="Times New Roman" w:hint="eastAsia"/>
                <w:sz w:val="21"/>
                <w:szCs w:val="21"/>
              </w:rPr>
              <w:t>宁夏宝丰能源集团股份有限公司选煤厂沉淀池</w:t>
            </w:r>
            <w:bookmarkEnd w:id="146"/>
            <w:r>
              <w:rPr>
                <w:rFonts w:ascii="Times New Roman" w:hAnsi="Times New Roman" w:hint="eastAsia"/>
                <w:sz w:val="21"/>
                <w:szCs w:val="21"/>
              </w:rPr>
              <w:t>处理后用于选煤厂洗煤，处理工艺：浓缩池沉淀</w:t>
            </w:r>
            <w:bookmarkEnd w:id="145"/>
          </w:p>
        </w:tc>
        <w:tc>
          <w:tcPr>
            <w:tcW w:w="2970" w:type="dxa"/>
            <w:shd w:val="clear" w:color="auto" w:fill="auto"/>
            <w:vAlign w:val="center"/>
          </w:tcPr>
          <w:p w14:paraId="5531D6BB" w14:textId="77777777" w:rsidR="009C353B" w:rsidRDefault="00000000">
            <w:pPr>
              <w:jc w:val="center"/>
              <w:rPr>
                <w:rFonts w:ascii="Times New Roman" w:hAnsi="Times New Roman"/>
                <w:sz w:val="21"/>
                <w:szCs w:val="21"/>
              </w:rPr>
            </w:pPr>
            <w:r>
              <w:rPr>
                <w:rFonts w:ascii="Times New Roman" w:hAnsi="Times New Roman" w:hint="eastAsia"/>
                <w:sz w:val="21"/>
                <w:szCs w:val="21"/>
              </w:rPr>
              <w:t>经选煤厂沉淀池处理后用于选煤厂洗煤</w:t>
            </w:r>
          </w:p>
        </w:tc>
      </w:tr>
      <w:tr w:rsidR="009C353B" w14:paraId="2C71CFFD" w14:textId="77777777">
        <w:trPr>
          <w:trHeight w:val="340"/>
          <w:jc w:val="center"/>
        </w:trPr>
        <w:tc>
          <w:tcPr>
            <w:tcW w:w="518" w:type="dxa"/>
            <w:vMerge w:val="restart"/>
            <w:shd w:val="clear" w:color="auto" w:fill="auto"/>
            <w:vAlign w:val="center"/>
          </w:tcPr>
          <w:p w14:paraId="673EB86E" w14:textId="77777777" w:rsidR="009C353B" w:rsidRDefault="00000000">
            <w:pPr>
              <w:jc w:val="center"/>
              <w:rPr>
                <w:rFonts w:ascii="Times New Roman" w:hAnsi="Times New Roman"/>
                <w:sz w:val="21"/>
                <w:szCs w:val="21"/>
              </w:rPr>
            </w:pPr>
            <w:r>
              <w:rPr>
                <w:rFonts w:ascii="Times New Roman" w:hAnsi="Times New Roman"/>
                <w:sz w:val="21"/>
                <w:szCs w:val="21"/>
              </w:rPr>
              <w:t>红石湾</w:t>
            </w:r>
            <w:r>
              <w:rPr>
                <w:rFonts w:ascii="Times New Roman" w:hAnsi="Times New Roman" w:hint="eastAsia"/>
                <w:sz w:val="21"/>
                <w:szCs w:val="21"/>
              </w:rPr>
              <w:t>煤矿</w:t>
            </w:r>
          </w:p>
        </w:tc>
        <w:tc>
          <w:tcPr>
            <w:tcW w:w="495" w:type="dxa"/>
            <w:shd w:val="clear" w:color="auto" w:fill="auto"/>
            <w:vAlign w:val="center"/>
          </w:tcPr>
          <w:p w14:paraId="6C364660" w14:textId="77777777" w:rsidR="009C353B" w:rsidRDefault="00000000">
            <w:pPr>
              <w:jc w:val="center"/>
              <w:rPr>
                <w:rFonts w:ascii="Times New Roman" w:hAnsi="Times New Roman"/>
                <w:sz w:val="21"/>
                <w:szCs w:val="21"/>
              </w:rPr>
            </w:pPr>
            <w:r>
              <w:rPr>
                <w:rFonts w:ascii="Times New Roman" w:hAnsi="Times New Roman"/>
                <w:sz w:val="21"/>
                <w:szCs w:val="21"/>
              </w:rPr>
              <w:t>生活污水</w:t>
            </w:r>
          </w:p>
        </w:tc>
        <w:tc>
          <w:tcPr>
            <w:tcW w:w="636" w:type="dxa"/>
            <w:vMerge w:val="restart"/>
            <w:shd w:val="clear" w:color="auto" w:fill="auto"/>
            <w:vAlign w:val="center"/>
          </w:tcPr>
          <w:p w14:paraId="7936B8B9" w14:textId="77777777" w:rsidR="009C353B" w:rsidRDefault="00000000">
            <w:pPr>
              <w:jc w:val="center"/>
              <w:rPr>
                <w:rFonts w:ascii="Times New Roman" w:hAnsi="Times New Roman"/>
                <w:sz w:val="21"/>
                <w:szCs w:val="21"/>
              </w:rPr>
            </w:pPr>
            <w:r>
              <w:rPr>
                <w:rFonts w:ascii="Times New Roman" w:hAnsi="Times New Roman"/>
                <w:sz w:val="21"/>
                <w:szCs w:val="21"/>
              </w:rPr>
              <w:t>2008</w:t>
            </w:r>
          </w:p>
        </w:tc>
        <w:tc>
          <w:tcPr>
            <w:tcW w:w="1011" w:type="dxa"/>
            <w:shd w:val="clear" w:color="auto" w:fill="auto"/>
            <w:vAlign w:val="center"/>
          </w:tcPr>
          <w:p w14:paraId="4359881E" w14:textId="77777777" w:rsidR="009C353B" w:rsidRDefault="00000000">
            <w:pPr>
              <w:jc w:val="center"/>
              <w:rPr>
                <w:rFonts w:ascii="Times New Roman" w:hAnsi="Times New Roman"/>
                <w:sz w:val="21"/>
                <w:szCs w:val="21"/>
              </w:rPr>
            </w:pPr>
            <w:r>
              <w:rPr>
                <w:rFonts w:ascii="Times New Roman" w:hAnsi="Times New Roman"/>
                <w:sz w:val="21"/>
                <w:szCs w:val="21"/>
              </w:rPr>
              <w:t xml:space="preserve">341.06 </w:t>
            </w:r>
          </w:p>
          <w:p w14:paraId="5CC7CAED" w14:textId="77777777" w:rsidR="009C353B" w:rsidRDefault="00000000">
            <w:pPr>
              <w:jc w:val="center"/>
              <w:rPr>
                <w:rFonts w:ascii="Times New Roman" w:hAnsi="Times New Roman"/>
                <w:sz w:val="21"/>
                <w:szCs w:val="21"/>
              </w:rPr>
            </w:pP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2551" w:type="dxa"/>
            <w:shd w:val="clear" w:color="auto" w:fill="auto"/>
            <w:vAlign w:val="center"/>
          </w:tcPr>
          <w:p w14:paraId="77C0D2BE" w14:textId="77777777" w:rsidR="009C353B" w:rsidRDefault="00000000">
            <w:pPr>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套处理能力</w:t>
            </w:r>
            <w:r>
              <w:rPr>
                <w:rFonts w:ascii="Times New Roman" w:hAnsi="Times New Roman"/>
                <w:sz w:val="21"/>
                <w:szCs w:val="21"/>
              </w:rPr>
              <w:t>15m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一体化地埋式污水处理装置，采用氧化处理工艺</w:t>
            </w:r>
          </w:p>
        </w:tc>
        <w:tc>
          <w:tcPr>
            <w:tcW w:w="1552" w:type="dxa"/>
            <w:shd w:val="clear" w:color="auto" w:fill="auto"/>
            <w:vAlign w:val="center"/>
          </w:tcPr>
          <w:p w14:paraId="3B61AB66" w14:textId="77777777" w:rsidR="009C353B" w:rsidRDefault="00000000">
            <w:pPr>
              <w:jc w:val="center"/>
              <w:rPr>
                <w:rFonts w:ascii="Times New Roman" w:hAnsi="Times New Roman"/>
                <w:sz w:val="21"/>
                <w:szCs w:val="21"/>
              </w:rPr>
            </w:pPr>
            <w:r>
              <w:rPr>
                <w:rFonts w:ascii="Times New Roman" w:hAnsi="Times New Roman"/>
                <w:sz w:val="21"/>
                <w:szCs w:val="21"/>
              </w:rPr>
              <w:t>全部回用，不外排</w:t>
            </w:r>
          </w:p>
        </w:tc>
        <w:tc>
          <w:tcPr>
            <w:tcW w:w="1142" w:type="dxa"/>
            <w:shd w:val="clear" w:color="auto" w:fill="auto"/>
            <w:vAlign w:val="center"/>
          </w:tcPr>
          <w:p w14:paraId="2CF942F2" w14:textId="77777777" w:rsidR="009C353B" w:rsidRDefault="00000000">
            <w:pPr>
              <w:jc w:val="center"/>
              <w:rPr>
                <w:rFonts w:ascii="Times New Roman" w:hAnsi="Times New Roman"/>
                <w:sz w:val="21"/>
                <w:szCs w:val="21"/>
              </w:rPr>
            </w:pPr>
            <w:r>
              <w:rPr>
                <w:rFonts w:ascii="Times New Roman" w:hAnsi="Times New Roman"/>
                <w:sz w:val="21"/>
                <w:szCs w:val="21"/>
              </w:rPr>
              <w:t>130m</w:t>
            </w:r>
            <w:r>
              <w:rPr>
                <w:rFonts w:ascii="Times New Roman" w:hAnsi="Times New Roman"/>
                <w:sz w:val="21"/>
                <w:szCs w:val="21"/>
                <w:vertAlign w:val="superscript"/>
              </w:rPr>
              <w:t>3</w:t>
            </w:r>
            <w:r>
              <w:rPr>
                <w:rFonts w:ascii="Times New Roman" w:hAnsi="Times New Roman"/>
                <w:sz w:val="21"/>
                <w:szCs w:val="21"/>
              </w:rPr>
              <w:t>/d</w:t>
            </w:r>
          </w:p>
        </w:tc>
        <w:tc>
          <w:tcPr>
            <w:tcW w:w="3369" w:type="dxa"/>
            <w:shd w:val="clear" w:color="auto" w:fill="auto"/>
            <w:vAlign w:val="center"/>
          </w:tcPr>
          <w:p w14:paraId="7189FE0D" w14:textId="77777777" w:rsidR="009C353B" w:rsidRDefault="00000000">
            <w:pPr>
              <w:jc w:val="center"/>
              <w:rPr>
                <w:rFonts w:ascii="Times New Roman" w:hAnsi="Times New Roman"/>
                <w:sz w:val="21"/>
                <w:szCs w:val="21"/>
              </w:rPr>
            </w:pPr>
            <w:r>
              <w:rPr>
                <w:rFonts w:ascii="Times New Roman" w:hAnsi="Times New Roman" w:hint="eastAsia"/>
                <w:sz w:val="21"/>
                <w:szCs w:val="21"/>
              </w:rPr>
              <w:t>现有</w:t>
            </w:r>
            <w:r>
              <w:rPr>
                <w:rFonts w:ascii="Times New Roman" w:hAnsi="Times New Roman"/>
                <w:sz w:val="21"/>
                <w:szCs w:val="21"/>
              </w:rPr>
              <w:t>生活污水处理设施</w:t>
            </w:r>
            <w:r>
              <w:rPr>
                <w:rFonts w:ascii="Times New Roman" w:hAnsi="Times New Roman"/>
                <w:sz w:val="21"/>
                <w:szCs w:val="21"/>
              </w:rPr>
              <w:t>1</w:t>
            </w:r>
            <w:r>
              <w:rPr>
                <w:rFonts w:ascii="Times New Roman" w:hAnsi="Times New Roman"/>
                <w:sz w:val="21"/>
                <w:szCs w:val="21"/>
              </w:rPr>
              <w:t>座，处理规模</w:t>
            </w:r>
            <w:r>
              <w:rPr>
                <w:rFonts w:ascii="Times New Roman" w:hAnsi="Times New Roman"/>
                <w:sz w:val="21"/>
                <w:szCs w:val="21"/>
              </w:rPr>
              <w:t>480m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，采用</w:t>
            </w:r>
            <w:r>
              <w:rPr>
                <w:rFonts w:ascii="Times New Roman" w:hAnsi="Times New Roman"/>
                <w:sz w:val="21"/>
                <w:szCs w:val="21"/>
              </w:rPr>
              <w:t>A</w:t>
            </w:r>
            <w:r>
              <w:rPr>
                <w:rFonts w:ascii="Times New Roman" w:hAnsi="Times New Roman"/>
                <w:sz w:val="21"/>
                <w:szCs w:val="21"/>
                <w:vertAlign w:val="superscript"/>
              </w:rPr>
              <w:t>2</w:t>
            </w:r>
            <w:r>
              <w:rPr>
                <w:rFonts w:ascii="Times New Roman" w:hAnsi="Times New Roman"/>
                <w:sz w:val="21"/>
                <w:szCs w:val="21"/>
              </w:rPr>
              <w:t>/O</w:t>
            </w:r>
            <w:r>
              <w:rPr>
                <w:rFonts w:ascii="Times New Roman" w:hAnsi="Times New Roman"/>
                <w:sz w:val="21"/>
                <w:szCs w:val="21"/>
              </w:rPr>
              <w:t>处理工艺</w:t>
            </w:r>
          </w:p>
        </w:tc>
        <w:tc>
          <w:tcPr>
            <w:tcW w:w="3003" w:type="dxa"/>
            <w:gridSpan w:val="2"/>
            <w:shd w:val="clear" w:color="auto" w:fill="auto"/>
            <w:vAlign w:val="center"/>
          </w:tcPr>
          <w:p w14:paraId="55E42525" w14:textId="77777777" w:rsidR="009C353B" w:rsidRDefault="00000000">
            <w:pPr>
              <w:jc w:val="center"/>
              <w:rPr>
                <w:rFonts w:ascii="Times New Roman" w:hAnsi="Times New Roman"/>
                <w:sz w:val="21"/>
                <w:szCs w:val="21"/>
              </w:rPr>
            </w:pPr>
            <w:r>
              <w:rPr>
                <w:rFonts w:ascii="Times New Roman" w:hAnsi="Times New Roman" w:hint="eastAsia"/>
                <w:sz w:val="21"/>
                <w:szCs w:val="21"/>
              </w:rPr>
              <w:t>处理后全部用于工业场地的绿化，冬季不能综合利用的生活污水全部送生活污水蓄水池暂存，用于夏季绿化，无外排</w:t>
            </w:r>
          </w:p>
        </w:tc>
      </w:tr>
      <w:tr w:rsidR="009C353B" w14:paraId="76CDF51A" w14:textId="77777777">
        <w:trPr>
          <w:trHeight w:val="340"/>
          <w:jc w:val="center"/>
        </w:trPr>
        <w:tc>
          <w:tcPr>
            <w:tcW w:w="518" w:type="dxa"/>
            <w:vMerge/>
            <w:shd w:val="clear" w:color="auto" w:fill="auto"/>
            <w:vAlign w:val="center"/>
          </w:tcPr>
          <w:p w14:paraId="2544E4B2" w14:textId="77777777" w:rsidR="009C353B" w:rsidRDefault="009C353B">
            <w:pPr>
              <w:jc w:val="center"/>
              <w:rPr>
                <w:rFonts w:ascii="Times New Roman" w:hAnsi="Times New Roman"/>
                <w:sz w:val="21"/>
                <w:szCs w:val="21"/>
              </w:rPr>
            </w:pPr>
          </w:p>
        </w:tc>
        <w:tc>
          <w:tcPr>
            <w:tcW w:w="495" w:type="dxa"/>
            <w:shd w:val="clear" w:color="auto" w:fill="auto"/>
            <w:vAlign w:val="center"/>
          </w:tcPr>
          <w:p w14:paraId="5F063496" w14:textId="77777777" w:rsidR="009C353B" w:rsidRDefault="00000000">
            <w:pPr>
              <w:jc w:val="center"/>
              <w:rPr>
                <w:rFonts w:ascii="Times New Roman" w:hAnsi="Times New Roman"/>
                <w:sz w:val="21"/>
                <w:szCs w:val="21"/>
              </w:rPr>
            </w:pPr>
            <w:r>
              <w:rPr>
                <w:rFonts w:ascii="Times New Roman" w:hAnsi="Times New Roman"/>
                <w:sz w:val="21"/>
                <w:szCs w:val="21"/>
              </w:rPr>
              <w:t>矿井水</w:t>
            </w:r>
          </w:p>
        </w:tc>
        <w:tc>
          <w:tcPr>
            <w:tcW w:w="636" w:type="dxa"/>
            <w:vMerge/>
            <w:shd w:val="clear" w:color="auto" w:fill="auto"/>
            <w:vAlign w:val="center"/>
          </w:tcPr>
          <w:p w14:paraId="0C1C59FA" w14:textId="77777777" w:rsidR="009C353B" w:rsidRDefault="009C353B">
            <w:pPr>
              <w:jc w:val="center"/>
              <w:rPr>
                <w:rFonts w:ascii="Times New Roman" w:hAnsi="Times New Roman"/>
                <w:sz w:val="21"/>
                <w:szCs w:val="21"/>
              </w:rPr>
            </w:pPr>
          </w:p>
        </w:tc>
        <w:tc>
          <w:tcPr>
            <w:tcW w:w="1011" w:type="dxa"/>
            <w:shd w:val="clear" w:color="auto" w:fill="auto"/>
            <w:vAlign w:val="center"/>
          </w:tcPr>
          <w:p w14:paraId="36B48C7C" w14:textId="77777777" w:rsidR="009C353B" w:rsidRDefault="00000000">
            <w:pPr>
              <w:jc w:val="center"/>
              <w:rPr>
                <w:rFonts w:ascii="Times New Roman" w:hAnsi="Times New Roman"/>
                <w:sz w:val="21"/>
                <w:szCs w:val="21"/>
              </w:rPr>
            </w:pPr>
            <w:r>
              <w:rPr>
                <w:rFonts w:ascii="Times New Roman" w:hAnsi="Times New Roman"/>
                <w:sz w:val="21"/>
                <w:szCs w:val="21"/>
              </w:rPr>
              <w:t>8640</w:t>
            </w:r>
          </w:p>
          <w:p w14:paraId="477E4185" w14:textId="77777777" w:rsidR="009C353B" w:rsidRDefault="00000000">
            <w:pPr>
              <w:jc w:val="center"/>
              <w:rPr>
                <w:rFonts w:ascii="Times New Roman" w:hAnsi="Times New Roman"/>
                <w:sz w:val="21"/>
                <w:szCs w:val="21"/>
              </w:rPr>
            </w:pP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2551" w:type="dxa"/>
            <w:shd w:val="clear" w:color="auto" w:fill="auto"/>
            <w:vAlign w:val="center"/>
          </w:tcPr>
          <w:p w14:paraId="51A4684D" w14:textId="77777777" w:rsidR="009C353B" w:rsidRDefault="00000000">
            <w:pPr>
              <w:jc w:val="center"/>
              <w:rPr>
                <w:rFonts w:ascii="Times New Roman" w:hAnsi="Times New Roman"/>
                <w:sz w:val="21"/>
                <w:szCs w:val="21"/>
              </w:rPr>
            </w:pPr>
            <w:r>
              <w:rPr>
                <w:rFonts w:ascii="Times New Roman" w:hAnsi="Times New Roman"/>
                <w:sz w:val="21"/>
                <w:szCs w:val="21"/>
              </w:rPr>
              <w:t>矿井水预处理站：设计规模</w:t>
            </w:r>
            <w:r>
              <w:rPr>
                <w:rFonts w:ascii="Times New Roman" w:hAnsi="Times New Roman"/>
                <w:sz w:val="21"/>
                <w:szCs w:val="21"/>
              </w:rPr>
              <w:t>10800m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，工艺为混凝、沉淀、过滤及消毒；深度处理装置：设计规模</w:t>
            </w:r>
            <w:r>
              <w:rPr>
                <w:rFonts w:ascii="Times New Roman" w:hAnsi="Times New Roman"/>
                <w:sz w:val="21"/>
                <w:szCs w:val="21"/>
              </w:rPr>
              <w:t>7000m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，工艺为过滤、反渗透除盐</w:t>
            </w:r>
          </w:p>
        </w:tc>
        <w:tc>
          <w:tcPr>
            <w:tcW w:w="1552" w:type="dxa"/>
            <w:shd w:val="clear" w:color="auto" w:fill="auto"/>
            <w:vAlign w:val="center"/>
          </w:tcPr>
          <w:p w14:paraId="2B423BC6" w14:textId="77777777" w:rsidR="009C353B" w:rsidRDefault="00000000">
            <w:pPr>
              <w:jc w:val="center"/>
              <w:rPr>
                <w:rFonts w:ascii="Times New Roman" w:hAnsi="Times New Roman"/>
                <w:sz w:val="21"/>
                <w:szCs w:val="21"/>
              </w:rPr>
            </w:pPr>
            <w:r>
              <w:rPr>
                <w:rFonts w:ascii="Times New Roman" w:hAnsi="Times New Roman"/>
                <w:sz w:val="21"/>
                <w:szCs w:val="21"/>
              </w:rPr>
              <w:t>经处理后排入水洞沟或作为周边电厂用水</w:t>
            </w:r>
          </w:p>
        </w:tc>
        <w:tc>
          <w:tcPr>
            <w:tcW w:w="1142" w:type="dxa"/>
            <w:shd w:val="clear" w:color="auto" w:fill="auto"/>
            <w:vAlign w:val="center"/>
          </w:tcPr>
          <w:p w14:paraId="26FBE0B1" w14:textId="77777777" w:rsidR="009C353B" w:rsidRDefault="00000000">
            <w:pPr>
              <w:jc w:val="center"/>
              <w:rPr>
                <w:rFonts w:ascii="Times New Roman" w:hAnsi="Times New Roman"/>
                <w:sz w:val="21"/>
                <w:szCs w:val="21"/>
              </w:rPr>
            </w:pPr>
            <w:r>
              <w:rPr>
                <w:rFonts w:ascii="Times New Roman" w:hAnsi="Times New Roman" w:hint="eastAsia"/>
                <w:sz w:val="21"/>
                <w:szCs w:val="21"/>
              </w:rPr>
              <w:t>2160</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3369" w:type="dxa"/>
            <w:shd w:val="clear" w:color="auto" w:fill="auto"/>
            <w:vAlign w:val="center"/>
          </w:tcPr>
          <w:p w14:paraId="27E79DE6" w14:textId="77777777" w:rsidR="009C353B" w:rsidRDefault="00000000">
            <w:pPr>
              <w:jc w:val="left"/>
              <w:rPr>
                <w:rFonts w:ascii="Times New Roman" w:hAnsi="Times New Roman"/>
                <w:sz w:val="21"/>
                <w:szCs w:val="21"/>
              </w:rPr>
            </w:pPr>
            <w:r>
              <w:rPr>
                <w:rFonts w:ascii="Times New Roman" w:hAnsi="Times New Roman" w:hint="eastAsia"/>
                <w:sz w:val="21"/>
                <w:szCs w:val="21"/>
              </w:rPr>
              <w:t>现有</w:t>
            </w:r>
            <w:r>
              <w:rPr>
                <w:rFonts w:ascii="Times New Roman" w:hAnsi="Times New Roman"/>
                <w:sz w:val="21"/>
                <w:szCs w:val="21"/>
              </w:rPr>
              <w:t>矿井水处理站</w:t>
            </w:r>
            <w:r>
              <w:rPr>
                <w:rFonts w:ascii="Times New Roman" w:hAnsi="Times New Roman" w:hint="eastAsia"/>
                <w:sz w:val="21"/>
                <w:szCs w:val="21"/>
              </w:rPr>
              <w:t>2</w:t>
            </w:r>
            <w:r>
              <w:rPr>
                <w:rFonts w:ascii="Times New Roman" w:hAnsi="Times New Roman"/>
                <w:sz w:val="21"/>
                <w:szCs w:val="21"/>
              </w:rPr>
              <w:t>座，处理规模</w:t>
            </w:r>
            <w:r>
              <w:rPr>
                <w:rFonts w:ascii="Times New Roman" w:hAnsi="Times New Roman" w:hint="eastAsia"/>
                <w:sz w:val="21"/>
                <w:szCs w:val="21"/>
              </w:rPr>
              <w:t>均为</w:t>
            </w:r>
            <w:r>
              <w:rPr>
                <w:rFonts w:ascii="Times New Roman" w:hAnsi="Times New Roman" w:hint="eastAsia"/>
                <w:sz w:val="21"/>
                <w:szCs w:val="21"/>
              </w:rPr>
              <w:t>3500</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，采用混凝</w:t>
            </w:r>
            <w:r>
              <w:rPr>
                <w:rFonts w:ascii="Times New Roman" w:hAnsi="Times New Roman"/>
                <w:sz w:val="21"/>
                <w:szCs w:val="21"/>
              </w:rPr>
              <w:t>+</w:t>
            </w:r>
            <w:r>
              <w:rPr>
                <w:rFonts w:ascii="Times New Roman" w:hAnsi="Times New Roman"/>
                <w:sz w:val="21"/>
                <w:szCs w:val="21"/>
              </w:rPr>
              <w:t>沉淀</w:t>
            </w:r>
            <w:r>
              <w:rPr>
                <w:rFonts w:ascii="Times New Roman" w:hAnsi="Times New Roman"/>
                <w:sz w:val="21"/>
                <w:szCs w:val="21"/>
              </w:rPr>
              <w:t>”</w:t>
            </w:r>
            <w:r>
              <w:rPr>
                <w:rFonts w:ascii="Times New Roman" w:hAnsi="Times New Roman"/>
                <w:sz w:val="21"/>
                <w:szCs w:val="21"/>
              </w:rPr>
              <w:t>处理工艺进行处理</w:t>
            </w:r>
          </w:p>
        </w:tc>
        <w:tc>
          <w:tcPr>
            <w:tcW w:w="3003" w:type="dxa"/>
            <w:gridSpan w:val="2"/>
            <w:shd w:val="clear" w:color="auto" w:fill="auto"/>
            <w:vAlign w:val="center"/>
          </w:tcPr>
          <w:p w14:paraId="7BA151D9" w14:textId="77777777" w:rsidR="009C353B" w:rsidRDefault="00000000">
            <w:pPr>
              <w:jc w:val="left"/>
              <w:rPr>
                <w:rFonts w:ascii="Times New Roman" w:hAnsi="Times New Roman"/>
                <w:sz w:val="21"/>
                <w:szCs w:val="21"/>
              </w:rPr>
            </w:pPr>
            <w:r>
              <w:rPr>
                <w:rFonts w:ascii="Times New Roman" w:hAnsi="Times New Roman" w:hint="eastAsia"/>
                <w:sz w:val="21"/>
                <w:szCs w:val="21"/>
              </w:rPr>
              <w:t>现状涌水量</w:t>
            </w:r>
            <w:r>
              <w:rPr>
                <w:rFonts w:ascii="Times New Roman" w:hAnsi="Times New Roman" w:hint="eastAsia"/>
                <w:sz w:val="21"/>
                <w:szCs w:val="21"/>
              </w:rPr>
              <w:t>2160</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，依托现有矿井水处理设施进行处理，</w:t>
            </w:r>
            <w:bookmarkStart w:id="147" w:name="_Hlk61510619"/>
            <w:r>
              <w:rPr>
                <w:rFonts w:ascii="Times New Roman" w:hAnsi="Times New Roman"/>
                <w:sz w:val="21"/>
                <w:szCs w:val="21"/>
              </w:rPr>
              <w:t>用于地面及井下生产、洒水抑尘</w:t>
            </w:r>
            <w:r>
              <w:rPr>
                <w:rFonts w:ascii="Times New Roman" w:hAnsi="Times New Roman" w:hint="eastAsia"/>
                <w:sz w:val="21"/>
                <w:szCs w:val="21"/>
              </w:rPr>
              <w:t>、黄泥灌浆用水</w:t>
            </w:r>
            <w:r>
              <w:rPr>
                <w:rFonts w:ascii="Times New Roman" w:hAnsi="Times New Roman"/>
                <w:sz w:val="21"/>
                <w:szCs w:val="21"/>
              </w:rPr>
              <w:t>等，不外排</w:t>
            </w:r>
            <w:r>
              <w:rPr>
                <w:rFonts w:ascii="Times New Roman" w:hAnsi="Times New Roman" w:hint="eastAsia"/>
                <w:sz w:val="21"/>
                <w:szCs w:val="21"/>
              </w:rPr>
              <w:t>。</w:t>
            </w:r>
            <w:bookmarkEnd w:id="147"/>
          </w:p>
        </w:tc>
      </w:tr>
    </w:tbl>
    <w:p w14:paraId="5640EFA3" w14:textId="77777777" w:rsidR="009C353B" w:rsidRDefault="009C353B">
      <w:pPr>
        <w:rPr>
          <w:rFonts w:ascii="Times New Roman" w:hAnsi="Times New Roman"/>
          <w:szCs w:val="24"/>
        </w:rPr>
        <w:sectPr w:rsidR="009C353B">
          <w:headerReference w:type="default" r:id="rId289"/>
          <w:pgSz w:w="16840" w:h="11907" w:orient="landscape"/>
          <w:pgMar w:top="1531" w:right="1418" w:bottom="1418" w:left="1361" w:header="1134" w:footer="851" w:gutter="0"/>
          <w:paperSrc w:first="7" w:other="7"/>
          <w:cols w:space="720"/>
          <w:docGrid w:linePitch="326"/>
        </w:sectPr>
      </w:pPr>
    </w:p>
    <w:p w14:paraId="1436308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）水处理设施效果及存在问题</w:t>
      </w:r>
    </w:p>
    <w:p w14:paraId="7DF0B5F5"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1</w:t>
      </w:r>
      <w:r>
        <w:rPr>
          <w:rFonts w:ascii="Times New Roman" w:hAnsi="Times New Roman"/>
          <w:szCs w:val="24"/>
        </w:rPr>
        <w:t>）任家庄煤矿实际涌水量平均为</w:t>
      </w:r>
      <w:r>
        <w:rPr>
          <w:rFonts w:ascii="Times New Roman" w:hAnsi="Times New Roman"/>
          <w:szCs w:val="24"/>
        </w:rPr>
        <w:t>1790m</w:t>
      </w:r>
      <w:r>
        <w:rPr>
          <w:rFonts w:ascii="Times New Roman" w:hAnsi="Times New Roman"/>
          <w:snapToGrid w:val="0"/>
          <w:szCs w:val="24"/>
          <w:vertAlign w:val="superscript"/>
        </w:rPr>
        <w:t>3</w:t>
      </w:r>
      <w:r>
        <w:rPr>
          <w:rFonts w:ascii="Times New Roman" w:hAnsi="Times New Roman"/>
          <w:snapToGrid w:val="0"/>
          <w:szCs w:val="24"/>
        </w:rPr>
        <w:t>/d</w:t>
      </w:r>
      <w:r>
        <w:rPr>
          <w:rFonts w:ascii="Times New Roman" w:hAnsi="Times New Roman"/>
          <w:szCs w:val="24"/>
        </w:rPr>
        <w:t>，设有矿井水处理站一座：原设计工艺为</w:t>
      </w:r>
      <w:r>
        <w:rPr>
          <w:rFonts w:ascii="Times New Roman" w:hAnsi="Times New Roman"/>
          <w:szCs w:val="24"/>
        </w:rPr>
        <w:t>“</w:t>
      </w:r>
      <w:r>
        <w:rPr>
          <w:rFonts w:ascii="Times New Roman" w:hAnsi="Times New Roman"/>
          <w:szCs w:val="24"/>
        </w:rPr>
        <w:t>混凝沉淀（高密度迷宫斜板净水器）（</w:t>
      </w:r>
      <w:r>
        <w:rPr>
          <w:rFonts w:ascii="Times New Roman" w:hAnsi="Times New Roman"/>
          <w:szCs w:val="24"/>
        </w:rPr>
        <w:t>4×100m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w:t>
      </w:r>
      <w:r>
        <w:rPr>
          <w:rFonts w:ascii="Times New Roman" w:hAnsi="Times New Roman"/>
          <w:szCs w:val="24"/>
        </w:rPr>
        <w:t>+</w:t>
      </w:r>
      <w:r>
        <w:rPr>
          <w:rFonts w:ascii="Times New Roman" w:hAnsi="Times New Roman"/>
          <w:szCs w:val="24"/>
        </w:rPr>
        <w:t>过滤（重力式无阀过滤器）（</w:t>
      </w:r>
      <w:r>
        <w:rPr>
          <w:rFonts w:ascii="Times New Roman" w:hAnsi="Times New Roman"/>
          <w:szCs w:val="24"/>
        </w:rPr>
        <w:t>4×125m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w:t>
      </w:r>
      <w:r>
        <w:rPr>
          <w:rFonts w:ascii="Times New Roman" w:hAnsi="Times New Roman"/>
          <w:szCs w:val="24"/>
        </w:rPr>
        <w:t>”</w:t>
      </w:r>
      <w:r>
        <w:rPr>
          <w:rFonts w:ascii="Times New Roman" w:hAnsi="Times New Roman"/>
          <w:szCs w:val="24"/>
        </w:rPr>
        <w:t>，处理能力</w:t>
      </w:r>
      <w:r>
        <w:rPr>
          <w:rFonts w:ascii="Times New Roman" w:hAnsi="Times New Roman"/>
          <w:szCs w:val="24"/>
        </w:rPr>
        <w:t xml:space="preserve"> 400m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，处理后水质符合《煤炭工业污染物排放标准》（</w:t>
      </w:r>
      <w:r>
        <w:rPr>
          <w:rFonts w:ascii="Times New Roman" w:hAnsi="Times New Roman"/>
          <w:szCs w:val="24"/>
        </w:rPr>
        <w:t>GB20426-2006</w:t>
      </w:r>
      <w:r>
        <w:rPr>
          <w:rFonts w:ascii="Times New Roman" w:hAnsi="Times New Roman"/>
          <w:szCs w:val="24"/>
        </w:rPr>
        <w:t>），回用于井下巷道降尘、储煤场及矸石场降尘，并作为洗煤厂补充水；考虑到提高处理后水质、扩展回用途径，增加</w:t>
      </w:r>
      <w:r>
        <w:rPr>
          <w:rFonts w:ascii="Times New Roman" w:hAnsi="Times New Roman"/>
          <w:szCs w:val="24"/>
        </w:rPr>
        <w:t>“</w:t>
      </w:r>
      <w:r>
        <w:rPr>
          <w:rFonts w:ascii="Times New Roman" w:hAnsi="Times New Roman"/>
          <w:szCs w:val="24"/>
        </w:rPr>
        <w:t>过滤（多介质过滤器</w:t>
      </w:r>
      <w:r>
        <w:rPr>
          <w:rFonts w:ascii="Times New Roman" w:hAnsi="Times New Roman"/>
          <w:szCs w:val="24"/>
        </w:rPr>
        <w:t xml:space="preserve"> 5×46.8m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活性炭过滤器</w:t>
      </w:r>
      <w:r>
        <w:rPr>
          <w:rFonts w:ascii="Times New Roman" w:hAnsi="Times New Roman"/>
          <w:szCs w:val="24"/>
        </w:rPr>
        <w:t xml:space="preserve"> 3×74m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w:t>
      </w:r>
      <w:r>
        <w:rPr>
          <w:rFonts w:ascii="Times New Roman" w:hAnsi="Times New Roman"/>
          <w:szCs w:val="24"/>
        </w:rPr>
        <w:t>+</w:t>
      </w:r>
      <w:r>
        <w:rPr>
          <w:rFonts w:ascii="Times New Roman" w:hAnsi="Times New Roman"/>
          <w:szCs w:val="24"/>
        </w:rPr>
        <w:t>反渗透（</w:t>
      </w:r>
      <w:r>
        <w:rPr>
          <w:rFonts w:ascii="Times New Roman" w:hAnsi="Times New Roman"/>
          <w:szCs w:val="24"/>
        </w:rPr>
        <w:t>2×70m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w:t>
      </w:r>
      <w:r>
        <w:rPr>
          <w:rFonts w:ascii="Times New Roman" w:hAnsi="Times New Roman"/>
          <w:szCs w:val="24"/>
        </w:rPr>
        <w:t>”</w:t>
      </w:r>
      <w:r>
        <w:rPr>
          <w:rFonts w:ascii="Times New Roman" w:hAnsi="Times New Roman"/>
          <w:szCs w:val="24"/>
        </w:rPr>
        <w:t>处理工艺，处理能力</w:t>
      </w:r>
      <w:r>
        <w:rPr>
          <w:rFonts w:ascii="Times New Roman" w:hAnsi="Times New Roman"/>
          <w:szCs w:val="24"/>
        </w:rPr>
        <w:t xml:space="preserve"> 140m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，处理后水质符合《煤炭工业污染物排放标准》（</w:t>
      </w:r>
      <w:r>
        <w:rPr>
          <w:rFonts w:ascii="Times New Roman" w:hAnsi="Times New Roman"/>
          <w:szCs w:val="24"/>
        </w:rPr>
        <w:t>GB20426-2006</w:t>
      </w:r>
      <w:r>
        <w:rPr>
          <w:rFonts w:ascii="Times New Roman" w:hAnsi="Times New Roman"/>
          <w:szCs w:val="24"/>
        </w:rPr>
        <w:t>）和《城市污水再生利用</w:t>
      </w:r>
      <w:r>
        <w:rPr>
          <w:rFonts w:ascii="Times New Roman" w:hAnsi="Times New Roman"/>
          <w:szCs w:val="24"/>
        </w:rPr>
        <w:t xml:space="preserve"> </w:t>
      </w:r>
      <w:r>
        <w:rPr>
          <w:rFonts w:ascii="Times New Roman" w:hAnsi="Times New Roman"/>
          <w:szCs w:val="24"/>
        </w:rPr>
        <w:t>工业用水水质》（</w:t>
      </w:r>
      <w:r>
        <w:rPr>
          <w:rFonts w:ascii="Times New Roman" w:hAnsi="Times New Roman"/>
          <w:szCs w:val="24"/>
        </w:rPr>
        <w:t>GB/T19923-2005</w:t>
      </w:r>
      <w:r>
        <w:rPr>
          <w:rFonts w:ascii="Times New Roman" w:hAnsi="Times New Roman"/>
          <w:szCs w:val="24"/>
        </w:rPr>
        <w:t>）工艺与产品用水标准，回用作为井下工作面采煤设备冷却水、乳化液配制用水、工作面降尘用水等。</w:t>
      </w:r>
    </w:p>
    <w:p w14:paraId="16816F11"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生活污水量平均约为</w:t>
      </w:r>
      <w:r>
        <w:rPr>
          <w:rFonts w:ascii="Times New Roman" w:hAnsi="Times New Roman"/>
          <w:spacing w:val="-17"/>
          <w:szCs w:val="24"/>
        </w:rPr>
        <w:t xml:space="preserve"> </w:t>
      </w:r>
      <w:r>
        <w:rPr>
          <w:rFonts w:ascii="Times New Roman" w:hAnsi="Times New Roman"/>
          <w:szCs w:val="24"/>
        </w:rPr>
        <w:t>177.58m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，现主工业场地有生活污水处理站</w:t>
      </w:r>
      <w:r>
        <w:rPr>
          <w:rFonts w:ascii="Times New Roman" w:hAnsi="Times New Roman"/>
          <w:szCs w:val="24"/>
        </w:rPr>
        <w:t xml:space="preserve"> 1 </w:t>
      </w:r>
      <w:r>
        <w:rPr>
          <w:rFonts w:ascii="Times New Roman" w:hAnsi="Times New Roman"/>
          <w:szCs w:val="24"/>
        </w:rPr>
        <w:t>座，采用地埋式一体化生活污水处理设备，处理能力</w:t>
      </w:r>
      <w:r>
        <w:rPr>
          <w:rFonts w:ascii="Times New Roman" w:hAnsi="Times New Roman"/>
          <w:szCs w:val="24"/>
        </w:rPr>
        <w:t xml:space="preserve"> 40m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，工艺为</w:t>
      </w:r>
      <w:r>
        <w:rPr>
          <w:rFonts w:ascii="Times New Roman" w:hAnsi="Times New Roman"/>
          <w:szCs w:val="24"/>
        </w:rPr>
        <w:t>“</w:t>
      </w:r>
      <w:r>
        <w:rPr>
          <w:rFonts w:ascii="Times New Roman" w:hAnsi="Times New Roman"/>
          <w:szCs w:val="24"/>
        </w:rPr>
        <w:t>格栅</w:t>
      </w:r>
      <w:r>
        <w:rPr>
          <w:rFonts w:ascii="Times New Roman" w:hAnsi="Times New Roman"/>
          <w:szCs w:val="24"/>
        </w:rPr>
        <w:t xml:space="preserve">+A/O </w:t>
      </w:r>
      <w:r>
        <w:rPr>
          <w:rFonts w:ascii="Times New Roman" w:hAnsi="Times New Roman"/>
          <w:szCs w:val="24"/>
        </w:rPr>
        <w:t>生化</w:t>
      </w:r>
      <w:r>
        <w:rPr>
          <w:rFonts w:ascii="Times New Roman" w:hAnsi="Times New Roman"/>
          <w:szCs w:val="24"/>
        </w:rPr>
        <w:t>+</w:t>
      </w:r>
      <w:r>
        <w:rPr>
          <w:rFonts w:ascii="Times New Roman" w:hAnsi="Times New Roman"/>
          <w:szCs w:val="24"/>
        </w:rPr>
        <w:t>沉淀</w:t>
      </w:r>
      <w:r>
        <w:rPr>
          <w:rFonts w:ascii="Times New Roman" w:hAnsi="Times New Roman"/>
          <w:szCs w:val="24"/>
        </w:rPr>
        <w:t>+</w:t>
      </w:r>
      <w:r>
        <w:rPr>
          <w:rFonts w:ascii="Times New Roman" w:hAnsi="Times New Roman"/>
          <w:szCs w:val="24"/>
        </w:rPr>
        <w:t>消毒</w:t>
      </w:r>
      <w:r>
        <w:rPr>
          <w:rFonts w:ascii="Times New Roman" w:hAnsi="Times New Roman"/>
          <w:szCs w:val="24"/>
        </w:rPr>
        <w:t>”</w:t>
      </w:r>
      <w:r>
        <w:rPr>
          <w:rFonts w:ascii="Times New Roman" w:hAnsi="Times New Roman"/>
          <w:szCs w:val="24"/>
        </w:rPr>
        <w:t>。主工业场地的生活污水经过处理后，水质符合《城市污水再生利用</w:t>
      </w:r>
      <w:r>
        <w:rPr>
          <w:rFonts w:ascii="Times New Roman" w:hAnsi="Times New Roman"/>
          <w:szCs w:val="24"/>
        </w:rPr>
        <w:t xml:space="preserve"> </w:t>
      </w:r>
      <w:r>
        <w:rPr>
          <w:rFonts w:ascii="Times New Roman" w:hAnsi="Times New Roman"/>
          <w:szCs w:val="24"/>
        </w:rPr>
        <w:t>绿地灌溉水质》（</w:t>
      </w:r>
      <w:r>
        <w:rPr>
          <w:rFonts w:ascii="Times New Roman" w:hAnsi="Times New Roman"/>
          <w:szCs w:val="24"/>
        </w:rPr>
        <w:t>GB/T25499-2010</w:t>
      </w:r>
      <w:r>
        <w:rPr>
          <w:rFonts w:ascii="Times New Roman" w:hAnsi="Times New Roman"/>
          <w:szCs w:val="24"/>
        </w:rPr>
        <w:t>）标准，回用于主工业场地的绿化及洒水降尘。中部副立井工业场地建有化粪池</w:t>
      </w:r>
      <w:r>
        <w:rPr>
          <w:rFonts w:ascii="Times New Roman" w:hAnsi="Times New Roman"/>
          <w:szCs w:val="24"/>
        </w:rPr>
        <w:t xml:space="preserve"> 1 </w:t>
      </w:r>
      <w:r>
        <w:rPr>
          <w:rFonts w:ascii="Times New Roman" w:hAnsi="Times New Roman"/>
          <w:szCs w:val="24"/>
        </w:rPr>
        <w:t>座，容积</w:t>
      </w:r>
      <w:r>
        <w:rPr>
          <w:rFonts w:ascii="Times New Roman" w:hAnsi="Times New Roman"/>
          <w:szCs w:val="24"/>
        </w:rPr>
        <w:t xml:space="preserve"> 50m</w:t>
      </w:r>
      <w:r>
        <w:rPr>
          <w:rFonts w:ascii="Times New Roman" w:hAnsi="Times New Roman"/>
          <w:szCs w:val="24"/>
          <w:vertAlign w:val="superscript"/>
        </w:rPr>
        <w:t>3</w:t>
      </w:r>
      <w:r>
        <w:rPr>
          <w:rFonts w:ascii="Times New Roman" w:hAnsi="Times New Roman"/>
          <w:szCs w:val="24"/>
        </w:rPr>
        <w:t>；中部副立井工业场地的生活污水定期抽取，送至主工业场地生活污水处理站处理后，回用于工业场地绿化及洒水降尘。矸石场西侧建设</w:t>
      </w:r>
      <w:r>
        <w:rPr>
          <w:rFonts w:ascii="Times New Roman" w:hAnsi="Times New Roman"/>
          <w:szCs w:val="24"/>
        </w:rPr>
        <w:t>5</w:t>
      </w:r>
      <w:r>
        <w:rPr>
          <w:rFonts w:ascii="Times New Roman" w:hAnsi="Times New Roman"/>
          <w:szCs w:val="24"/>
        </w:rPr>
        <w:t>万</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 xml:space="preserve"> </w:t>
      </w:r>
      <w:r>
        <w:rPr>
          <w:rFonts w:ascii="Times New Roman" w:hAnsi="Times New Roman"/>
          <w:szCs w:val="24"/>
        </w:rPr>
        <w:t>蓄水池</w:t>
      </w:r>
      <w:r>
        <w:rPr>
          <w:rFonts w:ascii="Times New Roman" w:hAnsi="Times New Roman"/>
          <w:szCs w:val="24"/>
        </w:rPr>
        <w:t xml:space="preserve"> 1 </w:t>
      </w:r>
      <w:r>
        <w:rPr>
          <w:rFonts w:ascii="Times New Roman" w:hAnsi="Times New Roman"/>
          <w:szCs w:val="24"/>
        </w:rPr>
        <w:t>座，冬季生活污水处理达标后贮存于蓄水池中，次年抽回复用。</w:t>
      </w:r>
    </w:p>
    <w:p w14:paraId="7E8EAAC6" w14:textId="77777777" w:rsidR="009C353B" w:rsidRDefault="00000000">
      <w:pPr>
        <w:spacing w:line="440" w:lineRule="exact"/>
        <w:ind w:firstLineChars="200" w:firstLine="480"/>
        <w:rPr>
          <w:rFonts w:asciiTheme="minorEastAsia" w:eastAsiaTheme="minorEastAsia" w:hAnsiTheme="minorEastAsia" w:hint="eastAsia"/>
          <w:szCs w:val="24"/>
        </w:rPr>
      </w:pPr>
      <w:r>
        <w:rPr>
          <w:rFonts w:ascii="Times New Roman" w:hAnsi="Times New Roman"/>
          <w:szCs w:val="24"/>
        </w:rPr>
        <w:t>任家庄污废水处理设施处理效果较好，处理后全部回用不外排。矿井水及生活污水处理站检测数据见下表。</w:t>
      </w:r>
    </w:p>
    <w:p w14:paraId="423A78B2" w14:textId="77777777" w:rsidR="009C353B" w:rsidRDefault="00000000">
      <w:pPr>
        <w:spacing w:line="440" w:lineRule="exact"/>
        <w:ind w:firstLineChars="200" w:firstLine="480"/>
        <w:jc w:val="center"/>
        <w:rPr>
          <w:rFonts w:asciiTheme="minorEastAsia" w:eastAsiaTheme="minorEastAsia" w:hAnsiTheme="minorEastAsia" w:hint="eastAsia"/>
          <w:szCs w:val="24"/>
        </w:rPr>
      </w:pPr>
      <w:r>
        <w:rPr>
          <w:rFonts w:asciiTheme="minorEastAsia" w:eastAsiaTheme="minorEastAsia" w:hAnsiTheme="minorEastAsia" w:hint="eastAsia"/>
          <w:szCs w:val="24"/>
        </w:rPr>
        <w:t>任家庄矿井水检测数据</w:t>
      </w:r>
    </w:p>
    <w:p w14:paraId="58352DCA" w14:textId="77777777" w:rsidR="009C353B" w:rsidRDefault="00000000">
      <w:pPr>
        <w:adjustRightInd w:val="0"/>
        <w:snapToGrid w:val="0"/>
        <w:spacing w:line="440" w:lineRule="exact"/>
        <w:ind w:firstLineChars="200" w:firstLine="480"/>
        <w:outlineLvl w:val="4"/>
        <w:rPr>
          <w:rFonts w:ascii="Times New Roman" w:hAnsi="Times New Roman"/>
          <w:szCs w:val="24"/>
        </w:rPr>
      </w:pPr>
      <w:r>
        <w:rPr>
          <w:rFonts w:ascii="Times New Roman" w:hAnsi="Times New Roman" w:hint="eastAsia"/>
          <w:szCs w:val="24"/>
        </w:rPr>
        <w:t>表</w:t>
      </w:r>
      <w:r>
        <w:rPr>
          <w:rFonts w:ascii="Times New Roman" w:hAnsi="Times New Roman" w:hint="eastAsia"/>
          <w:szCs w:val="24"/>
        </w:rPr>
        <w:t>4</w:t>
      </w:r>
      <w:r>
        <w:rPr>
          <w:rFonts w:ascii="Times New Roman" w:hAnsi="Times New Roman"/>
          <w:szCs w:val="24"/>
        </w:rPr>
        <w:t>.2</w:t>
      </w:r>
      <w:r>
        <w:rPr>
          <w:rFonts w:ascii="Times New Roman" w:hAnsi="Times New Roman" w:hint="eastAsia"/>
          <w:szCs w:val="24"/>
        </w:rPr>
        <w:t>-</w:t>
      </w:r>
      <w:r>
        <w:rPr>
          <w:rFonts w:ascii="Times New Roman" w:hAnsi="Times New Roman"/>
          <w:szCs w:val="24"/>
        </w:rPr>
        <w:t>5</w:t>
      </w:r>
    </w:p>
    <w:tbl>
      <w:tblPr>
        <w:tblStyle w:val="afffb"/>
        <w:tblW w:w="5000" w:type="pct"/>
        <w:tblLook w:val="04A0" w:firstRow="1" w:lastRow="0" w:firstColumn="1" w:lastColumn="0" w:noHBand="0" w:noVBand="1"/>
      </w:tblPr>
      <w:tblGrid>
        <w:gridCol w:w="602"/>
        <w:gridCol w:w="1056"/>
        <w:gridCol w:w="1183"/>
        <w:gridCol w:w="648"/>
        <w:gridCol w:w="1075"/>
        <w:gridCol w:w="1943"/>
        <w:gridCol w:w="2780"/>
      </w:tblGrid>
      <w:tr w:rsidR="009C353B" w14:paraId="399CBE18" w14:textId="77777777">
        <w:trPr>
          <w:trHeight w:hRule="exact" w:val="1110"/>
        </w:trPr>
        <w:tc>
          <w:tcPr>
            <w:tcW w:w="335" w:type="pct"/>
            <w:vAlign w:val="center"/>
          </w:tcPr>
          <w:p w14:paraId="0B2A7228" w14:textId="77777777" w:rsidR="009C353B" w:rsidRDefault="00000000">
            <w:pPr>
              <w:jc w:val="center"/>
              <w:rPr>
                <w:rFonts w:ascii="Times New Roman" w:hAnsi="Times New Roman"/>
                <w:sz w:val="21"/>
                <w:szCs w:val="21"/>
              </w:rPr>
            </w:pPr>
            <w:r>
              <w:rPr>
                <w:rFonts w:ascii="Times New Roman" w:hAnsi="Times New Roman"/>
                <w:sz w:val="21"/>
                <w:szCs w:val="21"/>
              </w:rPr>
              <w:t>检测地点</w:t>
            </w:r>
          </w:p>
        </w:tc>
        <w:tc>
          <w:tcPr>
            <w:tcW w:w="569" w:type="pct"/>
            <w:vAlign w:val="center"/>
          </w:tcPr>
          <w:p w14:paraId="766A1EDA" w14:textId="77777777" w:rsidR="009C353B" w:rsidRDefault="00000000">
            <w:pPr>
              <w:jc w:val="center"/>
              <w:rPr>
                <w:rFonts w:ascii="Times New Roman" w:hAnsi="Times New Roman"/>
                <w:sz w:val="21"/>
                <w:szCs w:val="21"/>
              </w:rPr>
            </w:pPr>
            <w:r>
              <w:rPr>
                <w:rFonts w:ascii="Times New Roman" w:hAnsi="Times New Roman"/>
                <w:sz w:val="21"/>
                <w:szCs w:val="21"/>
              </w:rPr>
              <w:t>检测日期</w:t>
            </w:r>
          </w:p>
        </w:tc>
        <w:tc>
          <w:tcPr>
            <w:tcW w:w="658" w:type="pct"/>
            <w:vAlign w:val="center"/>
          </w:tcPr>
          <w:p w14:paraId="602E857B" w14:textId="77777777" w:rsidR="009C353B" w:rsidRDefault="00000000">
            <w:pPr>
              <w:jc w:val="center"/>
              <w:rPr>
                <w:rFonts w:ascii="Times New Roman" w:hAnsi="Times New Roman"/>
                <w:sz w:val="21"/>
                <w:szCs w:val="21"/>
              </w:rPr>
            </w:pPr>
            <w:r>
              <w:rPr>
                <w:rFonts w:ascii="Times New Roman" w:hAnsi="Times New Roman"/>
                <w:sz w:val="21"/>
                <w:szCs w:val="21"/>
              </w:rPr>
              <w:t>检测项目</w:t>
            </w:r>
          </w:p>
        </w:tc>
        <w:tc>
          <w:tcPr>
            <w:tcW w:w="349" w:type="pct"/>
            <w:vAlign w:val="center"/>
          </w:tcPr>
          <w:p w14:paraId="73C3BC49" w14:textId="77777777" w:rsidR="009C353B" w:rsidRDefault="00000000">
            <w:pPr>
              <w:jc w:val="center"/>
              <w:rPr>
                <w:rFonts w:ascii="Times New Roman" w:hAnsi="Times New Roman"/>
                <w:sz w:val="21"/>
                <w:szCs w:val="21"/>
              </w:rPr>
            </w:pPr>
            <w:r>
              <w:rPr>
                <w:rFonts w:ascii="Times New Roman" w:hAnsi="Times New Roman"/>
                <w:sz w:val="21"/>
                <w:szCs w:val="21"/>
              </w:rPr>
              <w:t>单位</w:t>
            </w:r>
          </w:p>
        </w:tc>
        <w:tc>
          <w:tcPr>
            <w:tcW w:w="589" w:type="pct"/>
            <w:vAlign w:val="center"/>
          </w:tcPr>
          <w:p w14:paraId="371B3F58" w14:textId="77777777" w:rsidR="009C353B" w:rsidRDefault="00000000">
            <w:pPr>
              <w:jc w:val="center"/>
              <w:rPr>
                <w:rFonts w:ascii="Times New Roman" w:hAnsi="Times New Roman"/>
                <w:sz w:val="21"/>
                <w:szCs w:val="21"/>
              </w:rPr>
            </w:pPr>
            <w:r>
              <w:rPr>
                <w:rFonts w:ascii="Times New Roman" w:hAnsi="Times New Roman"/>
                <w:sz w:val="21"/>
                <w:szCs w:val="21"/>
              </w:rPr>
              <w:t>检测结果</w:t>
            </w:r>
          </w:p>
        </w:tc>
        <w:tc>
          <w:tcPr>
            <w:tcW w:w="992" w:type="pct"/>
            <w:vAlign w:val="center"/>
          </w:tcPr>
          <w:p w14:paraId="2B59F281" w14:textId="77777777" w:rsidR="009C353B" w:rsidRDefault="00000000">
            <w:pPr>
              <w:jc w:val="center"/>
              <w:rPr>
                <w:rFonts w:ascii="Times New Roman" w:hAnsi="Times New Roman"/>
                <w:sz w:val="21"/>
                <w:szCs w:val="21"/>
              </w:rPr>
            </w:pPr>
            <w:r>
              <w:rPr>
                <w:rFonts w:ascii="Times New Roman" w:hAnsi="Times New Roman" w:hint="eastAsia"/>
                <w:sz w:val="21"/>
                <w:szCs w:val="21"/>
              </w:rPr>
              <w:t>《煤炭工业污染物排放标准》（</w:t>
            </w:r>
            <w:r>
              <w:rPr>
                <w:rFonts w:ascii="Times New Roman" w:hAnsi="Times New Roman"/>
                <w:sz w:val="21"/>
                <w:szCs w:val="21"/>
              </w:rPr>
              <w:t>GB20426-2006</w:t>
            </w:r>
            <w:r>
              <w:rPr>
                <w:rFonts w:ascii="Times New Roman" w:hAnsi="Times New Roman"/>
                <w:sz w:val="21"/>
                <w:szCs w:val="21"/>
              </w:rPr>
              <w:t>）</w:t>
            </w:r>
          </w:p>
        </w:tc>
        <w:tc>
          <w:tcPr>
            <w:tcW w:w="1507" w:type="pct"/>
            <w:vAlign w:val="center"/>
          </w:tcPr>
          <w:p w14:paraId="34B9090B" w14:textId="77777777" w:rsidR="009C353B" w:rsidRDefault="00000000">
            <w:pPr>
              <w:jc w:val="center"/>
              <w:rPr>
                <w:rFonts w:ascii="Times New Roman" w:hAnsi="Times New Roman"/>
                <w:sz w:val="21"/>
                <w:szCs w:val="21"/>
              </w:rPr>
            </w:pPr>
            <w:r>
              <w:rPr>
                <w:rFonts w:ascii="Times New Roman" w:hAnsi="Times New Roman" w:hint="eastAsia"/>
                <w:sz w:val="21"/>
                <w:szCs w:val="21"/>
              </w:rPr>
              <w:t>《城市污水再生利用</w:t>
            </w:r>
            <w:r>
              <w:rPr>
                <w:rFonts w:ascii="Times New Roman" w:hAnsi="Times New Roman"/>
                <w:sz w:val="21"/>
                <w:szCs w:val="21"/>
              </w:rPr>
              <w:t xml:space="preserve"> </w:t>
            </w:r>
            <w:r>
              <w:rPr>
                <w:rFonts w:ascii="Times New Roman" w:hAnsi="Times New Roman"/>
                <w:sz w:val="21"/>
                <w:szCs w:val="21"/>
              </w:rPr>
              <w:t>工业用水水质》（</w:t>
            </w:r>
            <w:r>
              <w:rPr>
                <w:rFonts w:ascii="Times New Roman" w:hAnsi="Times New Roman"/>
                <w:sz w:val="21"/>
                <w:szCs w:val="21"/>
              </w:rPr>
              <w:t>GB/T19923-2005</w:t>
            </w:r>
            <w:r>
              <w:rPr>
                <w:rFonts w:ascii="Times New Roman" w:hAnsi="Times New Roman"/>
                <w:sz w:val="21"/>
                <w:szCs w:val="21"/>
              </w:rPr>
              <w:t>）工艺与产品用水标准</w:t>
            </w:r>
          </w:p>
        </w:tc>
      </w:tr>
      <w:tr w:rsidR="009C353B" w14:paraId="37773514" w14:textId="77777777">
        <w:trPr>
          <w:trHeight w:hRule="exact" w:val="340"/>
        </w:trPr>
        <w:tc>
          <w:tcPr>
            <w:tcW w:w="335" w:type="pct"/>
            <w:vMerge w:val="restart"/>
            <w:vAlign w:val="center"/>
          </w:tcPr>
          <w:p w14:paraId="4D35630E" w14:textId="77777777" w:rsidR="009C353B" w:rsidRDefault="00000000">
            <w:pPr>
              <w:jc w:val="center"/>
              <w:rPr>
                <w:rFonts w:ascii="Times New Roman" w:hAnsi="Times New Roman"/>
                <w:sz w:val="21"/>
                <w:szCs w:val="21"/>
              </w:rPr>
            </w:pPr>
            <w:r>
              <w:rPr>
                <w:rFonts w:ascii="Times New Roman" w:hAnsi="Times New Roman"/>
                <w:sz w:val="21"/>
                <w:szCs w:val="21"/>
              </w:rPr>
              <w:t>深度处理产水池</w:t>
            </w:r>
          </w:p>
        </w:tc>
        <w:tc>
          <w:tcPr>
            <w:tcW w:w="569" w:type="pct"/>
            <w:vMerge w:val="restart"/>
            <w:vAlign w:val="center"/>
          </w:tcPr>
          <w:p w14:paraId="1425DCBE" w14:textId="77777777" w:rsidR="009C353B" w:rsidRDefault="00000000">
            <w:pPr>
              <w:jc w:val="center"/>
              <w:rPr>
                <w:rFonts w:ascii="Times New Roman" w:hAnsi="Times New Roman"/>
                <w:sz w:val="21"/>
                <w:szCs w:val="21"/>
              </w:rPr>
            </w:pPr>
            <w:r>
              <w:rPr>
                <w:rFonts w:ascii="Times New Roman" w:hAnsi="Times New Roman"/>
                <w:sz w:val="21"/>
                <w:szCs w:val="21"/>
              </w:rPr>
              <w:t>2020.4.16</w:t>
            </w:r>
          </w:p>
        </w:tc>
        <w:tc>
          <w:tcPr>
            <w:tcW w:w="658" w:type="pct"/>
            <w:vAlign w:val="center"/>
          </w:tcPr>
          <w:p w14:paraId="0B921189" w14:textId="77777777" w:rsidR="009C353B" w:rsidRDefault="00000000">
            <w:pPr>
              <w:jc w:val="center"/>
              <w:rPr>
                <w:rFonts w:ascii="Times New Roman" w:hAnsi="Times New Roman"/>
                <w:sz w:val="21"/>
                <w:szCs w:val="21"/>
              </w:rPr>
            </w:pPr>
            <w:r>
              <w:rPr>
                <w:rFonts w:ascii="Times New Roman" w:hAnsi="Times New Roman"/>
                <w:sz w:val="21"/>
                <w:szCs w:val="21"/>
              </w:rPr>
              <w:t>pH</w:t>
            </w:r>
            <w:r>
              <w:rPr>
                <w:rFonts w:ascii="Times New Roman" w:hAnsi="Times New Roman"/>
                <w:sz w:val="21"/>
                <w:szCs w:val="21"/>
              </w:rPr>
              <w:t>值</w:t>
            </w:r>
          </w:p>
        </w:tc>
        <w:tc>
          <w:tcPr>
            <w:tcW w:w="349" w:type="pct"/>
            <w:vAlign w:val="center"/>
          </w:tcPr>
          <w:p w14:paraId="7DB76432" w14:textId="77777777" w:rsidR="009C353B" w:rsidRDefault="00000000">
            <w:pPr>
              <w:jc w:val="center"/>
              <w:rPr>
                <w:rFonts w:ascii="Times New Roman" w:hAnsi="Times New Roman"/>
                <w:sz w:val="21"/>
                <w:szCs w:val="21"/>
              </w:rPr>
            </w:pPr>
            <w:r>
              <w:rPr>
                <w:rFonts w:ascii="Times New Roman" w:hAnsi="Times New Roman"/>
                <w:sz w:val="21"/>
                <w:szCs w:val="21"/>
              </w:rPr>
              <w:t>无量纲</w:t>
            </w:r>
          </w:p>
        </w:tc>
        <w:tc>
          <w:tcPr>
            <w:tcW w:w="589" w:type="pct"/>
            <w:vAlign w:val="center"/>
          </w:tcPr>
          <w:p w14:paraId="7F8BD18A" w14:textId="77777777" w:rsidR="009C353B" w:rsidRDefault="00000000">
            <w:pPr>
              <w:jc w:val="center"/>
              <w:rPr>
                <w:rFonts w:ascii="Times New Roman" w:hAnsi="Times New Roman"/>
                <w:sz w:val="21"/>
                <w:szCs w:val="21"/>
              </w:rPr>
            </w:pPr>
            <w:r>
              <w:rPr>
                <w:rFonts w:ascii="Times New Roman" w:hAnsi="Times New Roman"/>
                <w:sz w:val="21"/>
                <w:szCs w:val="21"/>
              </w:rPr>
              <w:t>7.6</w:t>
            </w:r>
          </w:p>
        </w:tc>
        <w:tc>
          <w:tcPr>
            <w:tcW w:w="992" w:type="pct"/>
          </w:tcPr>
          <w:p w14:paraId="31F2933E" w14:textId="77777777" w:rsidR="009C353B" w:rsidRDefault="00000000">
            <w:pPr>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~9</w:t>
            </w:r>
          </w:p>
        </w:tc>
        <w:tc>
          <w:tcPr>
            <w:tcW w:w="1507" w:type="pct"/>
          </w:tcPr>
          <w:p w14:paraId="420791F5" w14:textId="77777777" w:rsidR="009C353B" w:rsidRDefault="00000000">
            <w:pPr>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.5~8.5</w:t>
            </w:r>
          </w:p>
        </w:tc>
      </w:tr>
      <w:tr w:rsidR="009C353B" w14:paraId="71D9E2FF" w14:textId="77777777">
        <w:trPr>
          <w:trHeight w:hRule="exact" w:val="340"/>
        </w:trPr>
        <w:tc>
          <w:tcPr>
            <w:tcW w:w="335" w:type="pct"/>
            <w:vMerge/>
            <w:vAlign w:val="center"/>
          </w:tcPr>
          <w:p w14:paraId="733C0845" w14:textId="77777777" w:rsidR="009C353B" w:rsidRDefault="009C353B">
            <w:pPr>
              <w:jc w:val="center"/>
              <w:rPr>
                <w:rFonts w:ascii="Times New Roman" w:hAnsi="Times New Roman"/>
                <w:sz w:val="21"/>
                <w:szCs w:val="21"/>
              </w:rPr>
            </w:pPr>
          </w:p>
        </w:tc>
        <w:tc>
          <w:tcPr>
            <w:tcW w:w="569" w:type="pct"/>
            <w:vMerge/>
            <w:vAlign w:val="center"/>
          </w:tcPr>
          <w:p w14:paraId="61162E42" w14:textId="77777777" w:rsidR="009C353B" w:rsidRDefault="009C353B">
            <w:pPr>
              <w:jc w:val="center"/>
              <w:rPr>
                <w:rFonts w:ascii="Times New Roman" w:hAnsi="Times New Roman"/>
                <w:sz w:val="21"/>
                <w:szCs w:val="21"/>
              </w:rPr>
            </w:pPr>
          </w:p>
        </w:tc>
        <w:tc>
          <w:tcPr>
            <w:tcW w:w="658" w:type="pct"/>
            <w:vAlign w:val="center"/>
          </w:tcPr>
          <w:p w14:paraId="2AF98919" w14:textId="77777777" w:rsidR="009C353B" w:rsidRDefault="00000000">
            <w:pPr>
              <w:jc w:val="center"/>
              <w:rPr>
                <w:rFonts w:ascii="Times New Roman" w:hAnsi="Times New Roman"/>
                <w:sz w:val="21"/>
                <w:szCs w:val="21"/>
              </w:rPr>
            </w:pPr>
            <w:r>
              <w:rPr>
                <w:rFonts w:ascii="Times New Roman" w:hAnsi="Times New Roman"/>
                <w:sz w:val="21"/>
                <w:szCs w:val="21"/>
              </w:rPr>
              <w:t>浊度</w:t>
            </w:r>
          </w:p>
        </w:tc>
        <w:tc>
          <w:tcPr>
            <w:tcW w:w="349" w:type="pct"/>
            <w:vAlign w:val="center"/>
          </w:tcPr>
          <w:p w14:paraId="420D45DF" w14:textId="77777777" w:rsidR="009C353B" w:rsidRDefault="00000000">
            <w:pPr>
              <w:jc w:val="center"/>
              <w:rPr>
                <w:rFonts w:ascii="Times New Roman" w:hAnsi="Times New Roman"/>
                <w:sz w:val="21"/>
                <w:szCs w:val="21"/>
              </w:rPr>
            </w:pPr>
            <w:r>
              <w:rPr>
                <w:rFonts w:ascii="Times New Roman" w:hAnsi="Times New Roman"/>
                <w:sz w:val="21"/>
                <w:szCs w:val="21"/>
              </w:rPr>
              <w:t>NTU</w:t>
            </w:r>
          </w:p>
        </w:tc>
        <w:tc>
          <w:tcPr>
            <w:tcW w:w="589" w:type="pct"/>
            <w:vAlign w:val="center"/>
          </w:tcPr>
          <w:p w14:paraId="123E41EC" w14:textId="77777777" w:rsidR="009C353B" w:rsidRDefault="00000000">
            <w:pPr>
              <w:jc w:val="center"/>
              <w:rPr>
                <w:rFonts w:ascii="Times New Roman" w:hAnsi="Times New Roman"/>
                <w:sz w:val="21"/>
                <w:szCs w:val="21"/>
              </w:rPr>
            </w:pPr>
            <w:r>
              <w:rPr>
                <w:rFonts w:ascii="Times New Roman" w:hAnsi="Times New Roman"/>
                <w:sz w:val="21"/>
                <w:szCs w:val="21"/>
              </w:rPr>
              <w:t>0.06</w:t>
            </w:r>
          </w:p>
        </w:tc>
        <w:tc>
          <w:tcPr>
            <w:tcW w:w="992" w:type="pct"/>
          </w:tcPr>
          <w:p w14:paraId="7973C044"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c>
          <w:tcPr>
            <w:tcW w:w="1507" w:type="pct"/>
          </w:tcPr>
          <w:p w14:paraId="68A3E01F" w14:textId="77777777" w:rsidR="009C353B" w:rsidRDefault="00000000">
            <w:pPr>
              <w:jc w:val="center"/>
              <w:rPr>
                <w:rFonts w:ascii="Times New Roman" w:hAnsi="Times New Roman"/>
                <w:sz w:val="21"/>
                <w:szCs w:val="21"/>
              </w:rPr>
            </w:pPr>
            <w:r>
              <w:rPr>
                <w:rFonts w:ascii="Times New Roman" w:hAnsi="Times New Roman" w:hint="eastAsia"/>
                <w:sz w:val="21"/>
                <w:szCs w:val="21"/>
              </w:rPr>
              <w:t>5</w:t>
            </w:r>
          </w:p>
        </w:tc>
      </w:tr>
      <w:tr w:rsidR="009C353B" w14:paraId="08A1E050" w14:textId="77777777">
        <w:trPr>
          <w:trHeight w:hRule="exact" w:val="340"/>
        </w:trPr>
        <w:tc>
          <w:tcPr>
            <w:tcW w:w="335" w:type="pct"/>
            <w:vMerge/>
            <w:vAlign w:val="center"/>
          </w:tcPr>
          <w:p w14:paraId="4EE63364" w14:textId="77777777" w:rsidR="009C353B" w:rsidRDefault="009C353B">
            <w:pPr>
              <w:jc w:val="center"/>
              <w:rPr>
                <w:rFonts w:ascii="Times New Roman" w:hAnsi="Times New Roman"/>
                <w:sz w:val="21"/>
                <w:szCs w:val="21"/>
              </w:rPr>
            </w:pPr>
          </w:p>
        </w:tc>
        <w:tc>
          <w:tcPr>
            <w:tcW w:w="569" w:type="pct"/>
            <w:vMerge/>
            <w:vAlign w:val="center"/>
          </w:tcPr>
          <w:p w14:paraId="704E6CC0" w14:textId="77777777" w:rsidR="009C353B" w:rsidRDefault="009C353B">
            <w:pPr>
              <w:jc w:val="center"/>
              <w:rPr>
                <w:rFonts w:ascii="Times New Roman" w:hAnsi="Times New Roman"/>
                <w:sz w:val="21"/>
                <w:szCs w:val="21"/>
              </w:rPr>
            </w:pPr>
          </w:p>
        </w:tc>
        <w:tc>
          <w:tcPr>
            <w:tcW w:w="658" w:type="pct"/>
            <w:vAlign w:val="center"/>
          </w:tcPr>
          <w:p w14:paraId="0BAEF166" w14:textId="77777777" w:rsidR="009C353B" w:rsidRDefault="00000000">
            <w:pPr>
              <w:jc w:val="center"/>
              <w:rPr>
                <w:rFonts w:ascii="Times New Roman" w:hAnsi="Times New Roman"/>
                <w:sz w:val="21"/>
                <w:szCs w:val="21"/>
              </w:rPr>
            </w:pPr>
            <w:r>
              <w:rPr>
                <w:rFonts w:ascii="Times New Roman" w:hAnsi="Times New Roman"/>
                <w:sz w:val="21"/>
                <w:szCs w:val="21"/>
              </w:rPr>
              <w:t>总硬度</w:t>
            </w:r>
          </w:p>
        </w:tc>
        <w:tc>
          <w:tcPr>
            <w:tcW w:w="349" w:type="pct"/>
            <w:vAlign w:val="center"/>
          </w:tcPr>
          <w:p w14:paraId="516F7C0B"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589" w:type="pct"/>
            <w:vAlign w:val="center"/>
          </w:tcPr>
          <w:p w14:paraId="3CF68F5B" w14:textId="77777777" w:rsidR="009C353B" w:rsidRDefault="00000000">
            <w:pPr>
              <w:jc w:val="center"/>
              <w:rPr>
                <w:rFonts w:ascii="Times New Roman" w:hAnsi="Times New Roman"/>
                <w:sz w:val="21"/>
                <w:szCs w:val="21"/>
              </w:rPr>
            </w:pPr>
            <w:r>
              <w:rPr>
                <w:rFonts w:ascii="Times New Roman" w:hAnsi="Times New Roman"/>
                <w:sz w:val="21"/>
                <w:szCs w:val="21"/>
              </w:rPr>
              <w:t>194.3</w:t>
            </w:r>
          </w:p>
        </w:tc>
        <w:tc>
          <w:tcPr>
            <w:tcW w:w="992" w:type="pct"/>
          </w:tcPr>
          <w:p w14:paraId="59E67C56"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c>
          <w:tcPr>
            <w:tcW w:w="1507" w:type="pct"/>
          </w:tcPr>
          <w:p w14:paraId="7A3CC6C1" w14:textId="77777777" w:rsidR="009C353B" w:rsidRDefault="00000000">
            <w:pPr>
              <w:jc w:val="center"/>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50</w:t>
            </w:r>
          </w:p>
        </w:tc>
      </w:tr>
      <w:tr w:rsidR="009C353B" w14:paraId="77905001" w14:textId="77777777">
        <w:trPr>
          <w:trHeight w:hRule="exact" w:val="545"/>
        </w:trPr>
        <w:tc>
          <w:tcPr>
            <w:tcW w:w="335" w:type="pct"/>
            <w:vMerge/>
            <w:vAlign w:val="center"/>
          </w:tcPr>
          <w:p w14:paraId="45271CD4" w14:textId="77777777" w:rsidR="009C353B" w:rsidRDefault="009C353B">
            <w:pPr>
              <w:jc w:val="center"/>
              <w:rPr>
                <w:rFonts w:ascii="Times New Roman" w:hAnsi="Times New Roman"/>
                <w:sz w:val="21"/>
                <w:szCs w:val="21"/>
              </w:rPr>
            </w:pPr>
          </w:p>
        </w:tc>
        <w:tc>
          <w:tcPr>
            <w:tcW w:w="569" w:type="pct"/>
            <w:vMerge/>
            <w:vAlign w:val="center"/>
          </w:tcPr>
          <w:p w14:paraId="0889BA99" w14:textId="77777777" w:rsidR="009C353B" w:rsidRDefault="009C353B">
            <w:pPr>
              <w:jc w:val="center"/>
              <w:rPr>
                <w:rFonts w:ascii="Times New Roman" w:hAnsi="Times New Roman"/>
                <w:sz w:val="21"/>
                <w:szCs w:val="21"/>
              </w:rPr>
            </w:pPr>
          </w:p>
        </w:tc>
        <w:tc>
          <w:tcPr>
            <w:tcW w:w="658" w:type="pct"/>
            <w:vAlign w:val="center"/>
          </w:tcPr>
          <w:p w14:paraId="26C8414C" w14:textId="77777777" w:rsidR="009C353B" w:rsidRDefault="00000000">
            <w:pPr>
              <w:jc w:val="center"/>
              <w:rPr>
                <w:rFonts w:ascii="Times New Roman" w:hAnsi="Times New Roman"/>
                <w:sz w:val="21"/>
                <w:szCs w:val="21"/>
              </w:rPr>
            </w:pPr>
            <w:r>
              <w:rPr>
                <w:rFonts w:ascii="Times New Roman" w:hAnsi="Times New Roman"/>
                <w:sz w:val="21"/>
                <w:szCs w:val="21"/>
              </w:rPr>
              <w:t>溶解性总固体</w:t>
            </w:r>
          </w:p>
        </w:tc>
        <w:tc>
          <w:tcPr>
            <w:tcW w:w="349" w:type="pct"/>
            <w:vAlign w:val="center"/>
          </w:tcPr>
          <w:p w14:paraId="6B7DBF8C"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589" w:type="pct"/>
            <w:vAlign w:val="center"/>
          </w:tcPr>
          <w:p w14:paraId="522A4DE0" w14:textId="77777777" w:rsidR="009C353B" w:rsidRDefault="00000000">
            <w:pPr>
              <w:jc w:val="center"/>
              <w:rPr>
                <w:rFonts w:ascii="Times New Roman" w:hAnsi="Times New Roman"/>
                <w:sz w:val="21"/>
                <w:szCs w:val="21"/>
              </w:rPr>
            </w:pPr>
            <w:r>
              <w:rPr>
                <w:rFonts w:ascii="Times New Roman" w:hAnsi="Times New Roman"/>
                <w:sz w:val="21"/>
                <w:szCs w:val="21"/>
              </w:rPr>
              <w:t>684</w:t>
            </w:r>
          </w:p>
        </w:tc>
        <w:tc>
          <w:tcPr>
            <w:tcW w:w="992" w:type="pct"/>
          </w:tcPr>
          <w:p w14:paraId="3BFA797F"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c>
          <w:tcPr>
            <w:tcW w:w="1507" w:type="pct"/>
            <w:vAlign w:val="center"/>
          </w:tcPr>
          <w:p w14:paraId="1313BEED" w14:textId="77777777" w:rsidR="009C353B" w:rsidRDefault="00000000">
            <w:pPr>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000</w:t>
            </w:r>
          </w:p>
        </w:tc>
      </w:tr>
      <w:tr w:rsidR="009C353B" w14:paraId="411C726A" w14:textId="77777777">
        <w:trPr>
          <w:trHeight w:hRule="exact" w:val="340"/>
        </w:trPr>
        <w:tc>
          <w:tcPr>
            <w:tcW w:w="335" w:type="pct"/>
            <w:vMerge/>
            <w:vAlign w:val="center"/>
          </w:tcPr>
          <w:p w14:paraId="765A2242" w14:textId="77777777" w:rsidR="009C353B" w:rsidRDefault="009C353B">
            <w:pPr>
              <w:jc w:val="center"/>
              <w:rPr>
                <w:rFonts w:ascii="Times New Roman" w:hAnsi="Times New Roman"/>
                <w:sz w:val="21"/>
                <w:szCs w:val="21"/>
              </w:rPr>
            </w:pPr>
          </w:p>
        </w:tc>
        <w:tc>
          <w:tcPr>
            <w:tcW w:w="569" w:type="pct"/>
            <w:vMerge/>
            <w:vAlign w:val="center"/>
          </w:tcPr>
          <w:p w14:paraId="7AE12D64" w14:textId="77777777" w:rsidR="009C353B" w:rsidRDefault="009C353B">
            <w:pPr>
              <w:jc w:val="center"/>
              <w:rPr>
                <w:rFonts w:ascii="Times New Roman" w:hAnsi="Times New Roman"/>
                <w:sz w:val="21"/>
                <w:szCs w:val="21"/>
              </w:rPr>
            </w:pPr>
          </w:p>
        </w:tc>
        <w:tc>
          <w:tcPr>
            <w:tcW w:w="658" w:type="pct"/>
            <w:vAlign w:val="center"/>
          </w:tcPr>
          <w:p w14:paraId="2B97596E" w14:textId="77777777" w:rsidR="009C353B" w:rsidRDefault="00000000">
            <w:pPr>
              <w:jc w:val="center"/>
              <w:rPr>
                <w:rFonts w:ascii="Times New Roman" w:hAnsi="Times New Roman"/>
                <w:sz w:val="21"/>
                <w:szCs w:val="21"/>
              </w:rPr>
            </w:pPr>
            <w:r>
              <w:rPr>
                <w:rFonts w:ascii="Times New Roman" w:hAnsi="Times New Roman"/>
                <w:sz w:val="21"/>
                <w:szCs w:val="21"/>
              </w:rPr>
              <w:t>氯离子</w:t>
            </w:r>
          </w:p>
        </w:tc>
        <w:tc>
          <w:tcPr>
            <w:tcW w:w="349" w:type="pct"/>
            <w:vAlign w:val="center"/>
          </w:tcPr>
          <w:p w14:paraId="684E8D6D"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589" w:type="pct"/>
            <w:vAlign w:val="center"/>
          </w:tcPr>
          <w:p w14:paraId="28947ED8" w14:textId="77777777" w:rsidR="009C353B" w:rsidRDefault="00000000">
            <w:pPr>
              <w:jc w:val="center"/>
              <w:rPr>
                <w:rFonts w:ascii="Times New Roman" w:hAnsi="Times New Roman"/>
                <w:sz w:val="21"/>
                <w:szCs w:val="21"/>
              </w:rPr>
            </w:pPr>
            <w:r>
              <w:rPr>
                <w:rFonts w:ascii="Times New Roman" w:hAnsi="Times New Roman"/>
                <w:sz w:val="21"/>
                <w:szCs w:val="21"/>
              </w:rPr>
              <w:t>187</w:t>
            </w:r>
          </w:p>
        </w:tc>
        <w:tc>
          <w:tcPr>
            <w:tcW w:w="992" w:type="pct"/>
          </w:tcPr>
          <w:p w14:paraId="63D2DBB0"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c>
          <w:tcPr>
            <w:tcW w:w="1507" w:type="pct"/>
          </w:tcPr>
          <w:p w14:paraId="2B42EA1F" w14:textId="77777777" w:rsidR="009C353B" w:rsidRDefault="00000000">
            <w:pPr>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50</w:t>
            </w:r>
          </w:p>
        </w:tc>
      </w:tr>
      <w:tr w:rsidR="009C353B" w14:paraId="173BF80D" w14:textId="77777777">
        <w:trPr>
          <w:trHeight w:hRule="exact" w:val="340"/>
        </w:trPr>
        <w:tc>
          <w:tcPr>
            <w:tcW w:w="335" w:type="pct"/>
            <w:vMerge/>
            <w:vAlign w:val="center"/>
          </w:tcPr>
          <w:p w14:paraId="7B5E2D76" w14:textId="77777777" w:rsidR="009C353B" w:rsidRDefault="009C353B">
            <w:pPr>
              <w:jc w:val="center"/>
              <w:rPr>
                <w:rFonts w:ascii="Times New Roman" w:hAnsi="Times New Roman"/>
                <w:sz w:val="21"/>
                <w:szCs w:val="21"/>
              </w:rPr>
            </w:pPr>
          </w:p>
        </w:tc>
        <w:tc>
          <w:tcPr>
            <w:tcW w:w="569" w:type="pct"/>
            <w:vMerge/>
            <w:vAlign w:val="center"/>
          </w:tcPr>
          <w:p w14:paraId="670309B7" w14:textId="77777777" w:rsidR="009C353B" w:rsidRDefault="009C353B">
            <w:pPr>
              <w:jc w:val="center"/>
              <w:rPr>
                <w:rFonts w:ascii="Times New Roman" w:hAnsi="Times New Roman"/>
                <w:sz w:val="21"/>
                <w:szCs w:val="21"/>
              </w:rPr>
            </w:pPr>
          </w:p>
        </w:tc>
        <w:tc>
          <w:tcPr>
            <w:tcW w:w="658" w:type="pct"/>
            <w:vAlign w:val="center"/>
          </w:tcPr>
          <w:p w14:paraId="7A98A970" w14:textId="77777777" w:rsidR="009C353B" w:rsidRDefault="00000000">
            <w:pPr>
              <w:jc w:val="center"/>
              <w:rPr>
                <w:rFonts w:ascii="Times New Roman" w:hAnsi="Times New Roman"/>
                <w:sz w:val="21"/>
                <w:szCs w:val="21"/>
              </w:rPr>
            </w:pPr>
            <w:r>
              <w:rPr>
                <w:rFonts w:ascii="Times New Roman" w:hAnsi="Times New Roman"/>
                <w:sz w:val="21"/>
                <w:szCs w:val="21"/>
              </w:rPr>
              <w:t>硫酸盐</w:t>
            </w:r>
          </w:p>
        </w:tc>
        <w:tc>
          <w:tcPr>
            <w:tcW w:w="349" w:type="pct"/>
            <w:vAlign w:val="center"/>
          </w:tcPr>
          <w:p w14:paraId="4DA92679"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589" w:type="pct"/>
            <w:vAlign w:val="center"/>
          </w:tcPr>
          <w:p w14:paraId="6D35C24D" w14:textId="77777777" w:rsidR="009C353B" w:rsidRDefault="00000000">
            <w:pPr>
              <w:jc w:val="center"/>
              <w:rPr>
                <w:rFonts w:ascii="Times New Roman" w:hAnsi="Times New Roman"/>
                <w:sz w:val="21"/>
                <w:szCs w:val="21"/>
              </w:rPr>
            </w:pPr>
            <w:r>
              <w:rPr>
                <w:rFonts w:ascii="Times New Roman" w:hAnsi="Times New Roman"/>
                <w:sz w:val="21"/>
                <w:szCs w:val="21"/>
              </w:rPr>
              <w:t>155.4</w:t>
            </w:r>
          </w:p>
        </w:tc>
        <w:tc>
          <w:tcPr>
            <w:tcW w:w="992" w:type="pct"/>
          </w:tcPr>
          <w:p w14:paraId="426BF5B7"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c>
          <w:tcPr>
            <w:tcW w:w="1507" w:type="pct"/>
          </w:tcPr>
          <w:p w14:paraId="42BE3D21" w14:textId="77777777" w:rsidR="009C353B" w:rsidRDefault="00000000">
            <w:pPr>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50</w:t>
            </w:r>
          </w:p>
        </w:tc>
      </w:tr>
    </w:tbl>
    <w:p w14:paraId="72A7D520" w14:textId="77777777" w:rsidR="009C353B" w:rsidRDefault="009C353B">
      <w:pPr>
        <w:spacing w:line="440" w:lineRule="exact"/>
        <w:ind w:firstLineChars="200" w:firstLine="480"/>
        <w:rPr>
          <w:rFonts w:asciiTheme="minorEastAsia" w:eastAsiaTheme="minorEastAsia" w:hAnsiTheme="minorEastAsia" w:hint="eastAsia"/>
          <w:szCs w:val="24"/>
        </w:rPr>
      </w:pPr>
    </w:p>
    <w:p w14:paraId="2BA814A1" w14:textId="77777777" w:rsidR="009C353B" w:rsidRDefault="009C353B">
      <w:pPr>
        <w:spacing w:line="440" w:lineRule="exact"/>
        <w:ind w:firstLineChars="200" w:firstLine="480"/>
        <w:jc w:val="center"/>
        <w:rPr>
          <w:rFonts w:asciiTheme="minorEastAsia" w:eastAsiaTheme="minorEastAsia" w:hAnsiTheme="minorEastAsia" w:hint="eastAsia"/>
          <w:szCs w:val="24"/>
        </w:rPr>
      </w:pPr>
    </w:p>
    <w:p w14:paraId="6A2C1C75" w14:textId="77777777" w:rsidR="009C353B" w:rsidRDefault="00000000">
      <w:pPr>
        <w:spacing w:line="440" w:lineRule="exact"/>
        <w:ind w:firstLineChars="200" w:firstLine="480"/>
        <w:jc w:val="center"/>
        <w:rPr>
          <w:rFonts w:asciiTheme="minorEastAsia" w:eastAsiaTheme="minorEastAsia" w:hAnsiTheme="minorEastAsia" w:hint="eastAsia"/>
          <w:szCs w:val="24"/>
        </w:rPr>
      </w:pPr>
      <w:r>
        <w:rPr>
          <w:rFonts w:asciiTheme="minorEastAsia" w:eastAsiaTheme="minorEastAsia" w:hAnsiTheme="minorEastAsia" w:hint="eastAsia"/>
          <w:szCs w:val="24"/>
        </w:rPr>
        <w:t>任家庄生活污水检测数据</w:t>
      </w:r>
    </w:p>
    <w:p w14:paraId="394CA8A5" w14:textId="77777777" w:rsidR="009C353B" w:rsidRDefault="00000000">
      <w:pPr>
        <w:adjustRightInd w:val="0"/>
        <w:snapToGrid w:val="0"/>
        <w:spacing w:line="440" w:lineRule="exact"/>
        <w:ind w:firstLineChars="200" w:firstLine="480"/>
        <w:outlineLvl w:val="4"/>
        <w:rPr>
          <w:rFonts w:ascii="Times New Roman" w:hAnsi="Times New Roman"/>
          <w:szCs w:val="24"/>
        </w:rPr>
      </w:pPr>
      <w:r>
        <w:rPr>
          <w:rFonts w:ascii="Times New Roman" w:hAnsi="Times New Roman" w:hint="eastAsia"/>
          <w:szCs w:val="24"/>
        </w:rPr>
        <w:t>表</w:t>
      </w:r>
      <w:r>
        <w:rPr>
          <w:rFonts w:ascii="Times New Roman" w:hAnsi="Times New Roman" w:hint="eastAsia"/>
          <w:szCs w:val="24"/>
        </w:rPr>
        <w:t>4</w:t>
      </w:r>
      <w:r>
        <w:rPr>
          <w:rFonts w:ascii="Times New Roman" w:hAnsi="Times New Roman"/>
          <w:szCs w:val="24"/>
        </w:rPr>
        <w:t>.2</w:t>
      </w:r>
      <w:r>
        <w:rPr>
          <w:rFonts w:ascii="Times New Roman" w:hAnsi="Times New Roman" w:hint="eastAsia"/>
          <w:szCs w:val="24"/>
        </w:rPr>
        <w:t>-</w:t>
      </w:r>
      <w:r>
        <w:rPr>
          <w:rFonts w:ascii="Times New Roman" w:hAnsi="Times New Roman"/>
          <w:szCs w:val="24"/>
        </w:rPr>
        <w:t>6</w:t>
      </w:r>
    </w:p>
    <w:tbl>
      <w:tblPr>
        <w:tblStyle w:val="afffb"/>
        <w:tblW w:w="5000" w:type="pct"/>
        <w:tblLook w:val="04A0" w:firstRow="1" w:lastRow="0" w:firstColumn="1" w:lastColumn="0" w:noHBand="0" w:noVBand="1"/>
      </w:tblPr>
      <w:tblGrid>
        <w:gridCol w:w="670"/>
        <w:gridCol w:w="1057"/>
        <w:gridCol w:w="1337"/>
        <w:gridCol w:w="648"/>
        <w:gridCol w:w="791"/>
        <w:gridCol w:w="2468"/>
        <w:gridCol w:w="2316"/>
      </w:tblGrid>
      <w:tr w:rsidR="009C353B" w14:paraId="2554EC79" w14:textId="77777777">
        <w:trPr>
          <w:trHeight w:hRule="exact" w:val="977"/>
        </w:trPr>
        <w:tc>
          <w:tcPr>
            <w:tcW w:w="360" w:type="pct"/>
            <w:vAlign w:val="center"/>
          </w:tcPr>
          <w:p w14:paraId="4CEE8A3F" w14:textId="77777777" w:rsidR="009C353B" w:rsidRDefault="00000000">
            <w:pPr>
              <w:jc w:val="center"/>
              <w:rPr>
                <w:rFonts w:ascii="Times New Roman" w:hAnsi="Times New Roman"/>
                <w:sz w:val="21"/>
                <w:szCs w:val="21"/>
              </w:rPr>
            </w:pPr>
            <w:r>
              <w:rPr>
                <w:rFonts w:ascii="Times New Roman" w:hAnsi="Times New Roman"/>
                <w:sz w:val="21"/>
                <w:szCs w:val="21"/>
              </w:rPr>
              <w:t>检测地点</w:t>
            </w:r>
          </w:p>
        </w:tc>
        <w:tc>
          <w:tcPr>
            <w:tcW w:w="569" w:type="pct"/>
            <w:vAlign w:val="center"/>
          </w:tcPr>
          <w:p w14:paraId="763A7796" w14:textId="77777777" w:rsidR="009C353B" w:rsidRDefault="00000000">
            <w:pPr>
              <w:jc w:val="center"/>
              <w:rPr>
                <w:rFonts w:ascii="Times New Roman" w:hAnsi="Times New Roman"/>
                <w:sz w:val="21"/>
                <w:szCs w:val="21"/>
              </w:rPr>
            </w:pPr>
            <w:r>
              <w:rPr>
                <w:rFonts w:ascii="Times New Roman" w:hAnsi="Times New Roman"/>
                <w:sz w:val="21"/>
                <w:szCs w:val="21"/>
              </w:rPr>
              <w:t>检测日期</w:t>
            </w:r>
          </w:p>
        </w:tc>
        <w:tc>
          <w:tcPr>
            <w:tcW w:w="720" w:type="pct"/>
            <w:vAlign w:val="center"/>
          </w:tcPr>
          <w:p w14:paraId="3C0ABA7E" w14:textId="77777777" w:rsidR="009C353B" w:rsidRDefault="00000000">
            <w:pPr>
              <w:jc w:val="center"/>
              <w:rPr>
                <w:rFonts w:ascii="Times New Roman" w:hAnsi="Times New Roman"/>
                <w:sz w:val="21"/>
                <w:szCs w:val="21"/>
              </w:rPr>
            </w:pPr>
            <w:r>
              <w:rPr>
                <w:rFonts w:ascii="Times New Roman" w:hAnsi="Times New Roman"/>
                <w:sz w:val="21"/>
                <w:szCs w:val="21"/>
              </w:rPr>
              <w:t>检测项目</w:t>
            </w:r>
          </w:p>
        </w:tc>
        <w:tc>
          <w:tcPr>
            <w:tcW w:w="349" w:type="pct"/>
            <w:vAlign w:val="center"/>
          </w:tcPr>
          <w:p w14:paraId="02A13723" w14:textId="77777777" w:rsidR="009C353B" w:rsidRDefault="00000000">
            <w:pPr>
              <w:jc w:val="center"/>
              <w:rPr>
                <w:rFonts w:ascii="Times New Roman" w:hAnsi="Times New Roman"/>
                <w:sz w:val="21"/>
                <w:szCs w:val="21"/>
              </w:rPr>
            </w:pPr>
            <w:r>
              <w:rPr>
                <w:rFonts w:ascii="Times New Roman" w:hAnsi="Times New Roman"/>
                <w:sz w:val="21"/>
                <w:szCs w:val="21"/>
              </w:rPr>
              <w:t>单位</w:t>
            </w:r>
          </w:p>
        </w:tc>
        <w:tc>
          <w:tcPr>
            <w:tcW w:w="426" w:type="pct"/>
            <w:vAlign w:val="center"/>
          </w:tcPr>
          <w:p w14:paraId="7DCCF880" w14:textId="77777777" w:rsidR="009C353B" w:rsidRDefault="00000000">
            <w:pPr>
              <w:jc w:val="center"/>
              <w:rPr>
                <w:rFonts w:ascii="Times New Roman" w:hAnsi="Times New Roman"/>
                <w:sz w:val="21"/>
                <w:szCs w:val="21"/>
              </w:rPr>
            </w:pPr>
            <w:r>
              <w:rPr>
                <w:rFonts w:ascii="Times New Roman" w:hAnsi="Times New Roman"/>
                <w:sz w:val="21"/>
                <w:szCs w:val="21"/>
              </w:rPr>
              <w:t>检测结果</w:t>
            </w:r>
          </w:p>
        </w:tc>
        <w:tc>
          <w:tcPr>
            <w:tcW w:w="1329" w:type="pct"/>
            <w:vAlign w:val="center"/>
          </w:tcPr>
          <w:p w14:paraId="3B664EF3" w14:textId="77777777" w:rsidR="009C353B" w:rsidRDefault="00000000">
            <w:pPr>
              <w:jc w:val="center"/>
              <w:rPr>
                <w:rFonts w:ascii="Times New Roman" w:hAnsi="Times New Roman"/>
                <w:sz w:val="21"/>
                <w:szCs w:val="21"/>
              </w:rPr>
            </w:pPr>
            <w:r>
              <w:rPr>
                <w:rFonts w:ascii="Times New Roman" w:hAnsi="Times New Roman" w:hint="eastAsia"/>
                <w:sz w:val="21"/>
                <w:szCs w:val="21"/>
              </w:rPr>
              <w:t>《城市污水再生利用</w:t>
            </w:r>
            <w:r>
              <w:rPr>
                <w:rFonts w:ascii="Times New Roman" w:hAnsi="Times New Roman"/>
                <w:sz w:val="21"/>
                <w:szCs w:val="21"/>
              </w:rPr>
              <w:t xml:space="preserve"> </w:t>
            </w:r>
            <w:r>
              <w:rPr>
                <w:rFonts w:ascii="Times New Roman" w:hAnsi="Times New Roman"/>
                <w:sz w:val="21"/>
                <w:szCs w:val="21"/>
              </w:rPr>
              <w:t>绿地灌溉水质》（</w:t>
            </w:r>
            <w:r>
              <w:rPr>
                <w:rFonts w:ascii="Times New Roman" w:hAnsi="Times New Roman"/>
                <w:sz w:val="21"/>
                <w:szCs w:val="21"/>
              </w:rPr>
              <w:t>GB/T25499-2010</w:t>
            </w:r>
            <w:r>
              <w:rPr>
                <w:rFonts w:ascii="Times New Roman" w:hAnsi="Times New Roman"/>
                <w:sz w:val="21"/>
                <w:szCs w:val="21"/>
              </w:rPr>
              <w:t>）标准</w:t>
            </w:r>
          </w:p>
        </w:tc>
        <w:tc>
          <w:tcPr>
            <w:tcW w:w="1247" w:type="pct"/>
          </w:tcPr>
          <w:p w14:paraId="5EEF81D7" w14:textId="77777777" w:rsidR="009C353B" w:rsidRDefault="00000000">
            <w:pPr>
              <w:jc w:val="center"/>
              <w:rPr>
                <w:rFonts w:ascii="Times New Roman" w:hAnsi="Times New Roman"/>
                <w:sz w:val="21"/>
                <w:szCs w:val="21"/>
              </w:rPr>
            </w:pPr>
            <w:r>
              <w:rPr>
                <w:rFonts w:ascii="Times New Roman" w:hAnsi="Times New Roman" w:hint="eastAsia"/>
                <w:sz w:val="21"/>
                <w:szCs w:val="21"/>
              </w:rPr>
              <w:t>《城镇污水处理厂污染物排放标准》</w:t>
            </w:r>
            <w:r>
              <w:rPr>
                <w:rFonts w:ascii="Times New Roman" w:hAnsi="Times New Roman"/>
                <w:sz w:val="21"/>
                <w:szCs w:val="21"/>
              </w:rPr>
              <w:t>GB18918-2002</w:t>
            </w:r>
            <w:r>
              <w:rPr>
                <w:rFonts w:ascii="Times New Roman" w:hAnsi="Times New Roman" w:hint="eastAsia"/>
                <w:sz w:val="21"/>
                <w:szCs w:val="21"/>
              </w:rPr>
              <w:t>一级</w:t>
            </w:r>
            <w:r>
              <w:rPr>
                <w:rFonts w:ascii="Times New Roman" w:hAnsi="Times New Roman" w:hint="eastAsia"/>
                <w:sz w:val="21"/>
                <w:szCs w:val="21"/>
              </w:rPr>
              <w:t>A</w:t>
            </w:r>
          </w:p>
        </w:tc>
      </w:tr>
      <w:tr w:rsidR="009C353B" w14:paraId="3C80052F" w14:textId="77777777">
        <w:trPr>
          <w:trHeight w:hRule="exact" w:val="565"/>
        </w:trPr>
        <w:tc>
          <w:tcPr>
            <w:tcW w:w="360" w:type="pct"/>
            <w:vMerge w:val="restart"/>
            <w:vAlign w:val="center"/>
          </w:tcPr>
          <w:p w14:paraId="4600AFDB" w14:textId="77777777" w:rsidR="009C353B" w:rsidRDefault="00000000">
            <w:pPr>
              <w:jc w:val="center"/>
              <w:rPr>
                <w:rFonts w:ascii="Times New Roman" w:hAnsi="Times New Roman"/>
                <w:sz w:val="21"/>
                <w:szCs w:val="21"/>
              </w:rPr>
            </w:pPr>
            <w:r>
              <w:rPr>
                <w:rFonts w:ascii="Times New Roman" w:hAnsi="Times New Roman" w:hint="eastAsia"/>
                <w:sz w:val="21"/>
                <w:szCs w:val="21"/>
              </w:rPr>
              <w:t>处理后复用水池</w:t>
            </w:r>
          </w:p>
        </w:tc>
        <w:tc>
          <w:tcPr>
            <w:tcW w:w="569" w:type="pct"/>
            <w:vMerge w:val="restart"/>
            <w:vAlign w:val="center"/>
          </w:tcPr>
          <w:p w14:paraId="23672C7E" w14:textId="77777777" w:rsidR="009C353B" w:rsidRDefault="00000000">
            <w:pPr>
              <w:jc w:val="center"/>
              <w:rPr>
                <w:rFonts w:ascii="Times New Roman" w:hAnsi="Times New Roman"/>
                <w:sz w:val="21"/>
                <w:szCs w:val="21"/>
              </w:rPr>
            </w:pPr>
            <w:r>
              <w:rPr>
                <w:rFonts w:ascii="Times New Roman" w:hAnsi="Times New Roman"/>
                <w:sz w:val="21"/>
                <w:szCs w:val="21"/>
              </w:rPr>
              <w:t>2020.4.16</w:t>
            </w:r>
          </w:p>
        </w:tc>
        <w:tc>
          <w:tcPr>
            <w:tcW w:w="720" w:type="pct"/>
            <w:vAlign w:val="center"/>
          </w:tcPr>
          <w:p w14:paraId="48229FA3" w14:textId="77777777" w:rsidR="009C353B" w:rsidRDefault="00000000">
            <w:pPr>
              <w:jc w:val="center"/>
              <w:rPr>
                <w:rFonts w:ascii="Times New Roman" w:hAnsi="Times New Roman"/>
                <w:sz w:val="21"/>
                <w:szCs w:val="21"/>
              </w:rPr>
            </w:pPr>
            <w:r>
              <w:rPr>
                <w:rFonts w:ascii="Times New Roman" w:hAnsi="Times New Roman"/>
                <w:sz w:val="21"/>
                <w:szCs w:val="21"/>
              </w:rPr>
              <w:t>pH</w:t>
            </w:r>
            <w:r>
              <w:rPr>
                <w:rFonts w:ascii="Times New Roman" w:hAnsi="Times New Roman"/>
                <w:sz w:val="21"/>
                <w:szCs w:val="21"/>
              </w:rPr>
              <w:t>值</w:t>
            </w:r>
          </w:p>
        </w:tc>
        <w:tc>
          <w:tcPr>
            <w:tcW w:w="349" w:type="pct"/>
            <w:vAlign w:val="center"/>
          </w:tcPr>
          <w:p w14:paraId="7352FD17" w14:textId="77777777" w:rsidR="009C353B" w:rsidRDefault="00000000">
            <w:pPr>
              <w:jc w:val="center"/>
              <w:rPr>
                <w:rFonts w:ascii="Times New Roman" w:hAnsi="Times New Roman"/>
                <w:sz w:val="21"/>
                <w:szCs w:val="21"/>
              </w:rPr>
            </w:pPr>
            <w:r>
              <w:rPr>
                <w:rFonts w:ascii="Times New Roman" w:hAnsi="Times New Roman"/>
                <w:sz w:val="21"/>
                <w:szCs w:val="21"/>
              </w:rPr>
              <w:t>无量纲</w:t>
            </w:r>
          </w:p>
        </w:tc>
        <w:tc>
          <w:tcPr>
            <w:tcW w:w="426" w:type="pct"/>
            <w:vAlign w:val="center"/>
          </w:tcPr>
          <w:p w14:paraId="51C44321" w14:textId="77777777" w:rsidR="009C353B" w:rsidRDefault="00000000">
            <w:pPr>
              <w:jc w:val="center"/>
              <w:rPr>
                <w:rFonts w:ascii="Times New Roman" w:hAnsi="Times New Roman"/>
                <w:sz w:val="21"/>
                <w:szCs w:val="21"/>
              </w:rPr>
            </w:pPr>
            <w:r>
              <w:rPr>
                <w:rFonts w:ascii="Times New Roman" w:hAnsi="Times New Roman" w:hint="eastAsia"/>
                <w:sz w:val="21"/>
                <w:szCs w:val="21"/>
              </w:rPr>
              <w:t>7.6</w:t>
            </w:r>
          </w:p>
        </w:tc>
        <w:tc>
          <w:tcPr>
            <w:tcW w:w="1329" w:type="pct"/>
          </w:tcPr>
          <w:p w14:paraId="715038DB"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c>
          <w:tcPr>
            <w:tcW w:w="1247" w:type="pct"/>
          </w:tcPr>
          <w:p w14:paraId="2DA20AAB"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r>
      <w:tr w:rsidR="009C353B" w14:paraId="266BE778" w14:textId="77777777">
        <w:trPr>
          <w:trHeight w:hRule="exact" w:val="340"/>
        </w:trPr>
        <w:tc>
          <w:tcPr>
            <w:tcW w:w="360" w:type="pct"/>
            <w:vMerge/>
            <w:vAlign w:val="center"/>
          </w:tcPr>
          <w:p w14:paraId="1653A55B" w14:textId="77777777" w:rsidR="009C353B" w:rsidRDefault="009C353B">
            <w:pPr>
              <w:jc w:val="center"/>
              <w:rPr>
                <w:rFonts w:ascii="Times New Roman" w:hAnsi="Times New Roman"/>
                <w:sz w:val="21"/>
                <w:szCs w:val="21"/>
              </w:rPr>
            </w:pPr>
          </w:p>
        </w:tc>
        <w:tc>
          <w:tcPr>
            <w:tcW w:w="569" w:type="pct"/>
            <w:vMerge/>
            <w:vAlign w:val="center"/>
          </w:tcPr>
          <w:p w14:paraId="21FB6043" w14:textId="77777777" w:rsidR="009C353B" w:rsidRDefault="009C353B">
            <w:pPr>
              <w:jc w:val="center"/>
              <w:rPr>
                <w:rFonts w:ascii="Times New Roman" w:hAnsi="Times New Roman"/>
                <w:sz w:val="21"/>
                <w:szCs w:val="21"/>
              </w:rPr>
            </w:pPr>
          </w:p>
        </w:tc>
        <w:tc>
          <w:tcPr>
            <w:tcW w:w="720" w:type="pct"/>
            <w:vAlign w:val="center"/>
          </w:tcPr>
          <w:p w14:paraId="43A8B9C4" w14:textId="77777777" w:rsidR="009C353B" w:rsidRDefault="00000000">
            <w:pPr>
              <w:jc w:val="center"/>
              <w:rPr>
                <w:rFonts w:ascii="Times New Roman" w:hAnsi="Times New Roman"/>
                <w:sz w:val="21"/>
                <w:szCs w:val="21"/>
              </w:rPr>
            </w:pPr>
            <w:r>
              <w:rPr>
                <w:rFonts w:ascii="Times New Roman" w:hAnsi="Times New Roman" w:hint="eastAsia"/>
                <w:sz w:val="21"/>
                <w:szCs w:val="21"/>
              </w:rPr>
              <w:t>色度</w:t>
            </w:r>
          </w:p>
        </w:tc>
        <w:tc>
          <w:tcPr>
            <w:tcW w:w="349" w:type="pct"/>
            <w:vAlign w:val="center"/>
          </w:tcPr>
          <w:p w14:paraId="3AEB5C5C" w14:textId="77777777" w:rsidR="009C353B" w:rsidRDefault="00000000">
            <w:pPr>
              <w:jc w:val="center"/>
              <w:rPr>
                <w:rFonts w:ascii="Times New Roman" w:hAnsi="Times New Roman"/>
                <w:sz w:val="21"/>
                <w:szCs w:val="21"/>
              </w:rPr>
            </w:pPr>
            <w:r>
              <w:rPr>
                <w:rFonts w:ascii="Times New Roman" w:hAnsi="Times New Roman" w:hint="eastAsia"/>
                <w:sz w:val="21"/>
                <w:szCs w:val="21"/>
              </w:rPr>
              <w:t>倍</w:t>
            </w:r>
          </w:p>
        </w:tc>
        <w:tc>
          <w:tcPr>
            <w:tcW w:w="426" w:type="pct"/>
            <w:vAlign w:val="center"/>
          </w:tcPr>
          <w:p w14:paraId="72430C30" w14:textId="77777777" w:rsidR="009C353B" w:rsidRDefault="00000000">
            <w:pPr>
              <w:jc w:val="center"/>
              <w:rPr>
                <w:rFonts w:ascii="Times New Roman" w:hAnsi="Times New Roman"/>
                <w:sz w:val="21"/>
                <w:szCs w:val="21"/>
              </w:rPr>
            </w:pPr>
            <w:r>
              <w:rPr>
                <w:rFonts w:ascii="Times New Roman" w:hAnsi="Times New Roman" w:hint="eastAsia"/>
                <w:sz w:val="21"/>
                <w:szCs w:val="21"/>
              </w:rPr>
              <w:t>10</w:t>
            </w:r>
          </w:p>
        </w:tc>
        <w:tc>
          <w:tcPr>
            <w:tcW w:w="1329" w:type="pct"/>
          </w:tcPr>
          <w:p w14:paraId="11377451" w14:textId="77777777" w:rsidR="009C353B" w:rsidRDefault="00000000">
            <w:pPr>
              <w:jc w:val="center"/>
              <w:rPr>
                <w:rFonts w:ascii="Times New Roman" w:hAnsi="Times New Roman"/>
                <w:sz w:val="21"/>
                <w:szCs w:val="21"/>
              </w:rPr>
            </w:pPr>
            <w:r>
              <w:rPr>
                <w:rFonts w:ascii="Times New Roman" w:hAnsi="Times New Roman" w:hint="eastAsia"/>
                <w:sz w:val="21"/>
                <w:szCs w:val="21"/>
              </w:rPr>
              <w:t>30</w:t>
            </w:r>
          </w:p>
        </w:tc>
        <w:tc>
          <w:tcPr>
            <w:tcW w:w="1247" w:type="pct"/>
          </w:tcPr>
          <w:p w14:paraId="17760A0A" w14:textId="77777777" w:rsidR="009C353B" w:rsidRDefault="00000000">
            <w:pPr>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0</w:t>
            </w:r>
          </w:p>
        </w:tc>
      </w:tr>
      <w:tr w:rsidR="009C353B" w14:paraId="5F4F5780" w14:textId="77777777">
        <w:trPr>
          <w:trHeight w:hRule="exact" w:val="340"/>
        </w:trPr>
        <w:tc>
          <w:tcPr>
            <w:tcW w:w="360" w:type="pct"/>
            <w:vMerge/>
            <w:vAlign w:val="center"/>
          </w:tcPr>
          <w:p w14:paraId="149BA529" w14:textId="77777777" w:rsidR="009C353B" w:rsidRDefault="009C353B">
            <w:pPr>
              <w:jc w:val="center"/>
              <w:rPr>
                <w:rFonts w:ascii="Times New Roman" w:hAnsi="Times New Roman"/>
                <w:sz w:val="21"/>
                <w:szCs w:val="21"/>
              </w:rPr>
            </w:pPr>
          </w:p>
        </w:tc>
        <w:tc>
          <w:tcPr>
            <w:tcW w:w="569" w:type="pct"/>
            <w:vMerge/>
            <w:vAlign w:val="center"/>
          </w:tcPr>
          <w:p w14:paraId="321BE312" w14:textId="77777777" w:rsidR="009C353B" w:rsidRDefault="009C353B">
            <w:pPr>
              <w:jc w:val="center"/>
              <w:rPr>
                <w:rFonts w:ascii="Times New Roman" w:hAnsi="Times New Roman"/>
                <w:sz w:val="21"/>
                <w:szCs w:val="21"/>
              </w:rPr>
            </w:pPr>
          </w:p>
        </w:tc>
        <w:tc>
          <w:tcPr>
            <w:tcW w:w="720" w:type="pct"/>
            <w:vAlign w:val="center"/>
          </w:tcPr>
          <w:p w14:paraId="72E306D2" w14:textId="77777777" w:rsidR="009C353B" w:rsidRDefault="00000000">
            <w:pPr>
              <w:jc w:val="center"/>
              <w:rPr>
                <w:rFonts w:ascii="Times New Roman" w:hAnsi="Times New Roman"/>
                <w:sz w:val="21"/>
                <w:szCs w:val="21"/>
              </w:rPr>
            </w:pPr>
            <w:r>
              <w:rPr>
                <w:rFonts w:ascii="Times New Roman" w:hAnsi="Times New Roman"/>
                <w:sz w:val="21"/>
                <w:szCs w:val="21"/>
              </w:rPr>
              <w:t>浊度</w:t>
            </w:r>
          </w:p>
        </w:tc>
        <w:tc>
          <w:tcPr>
            <w:tcW w:w="349" w:type="pct"/>
            <w:vAlign w:val="center"/>
          </w:tcPr>
          <w:p w14:paraId="0A89ABF7" w14:textId="77777777" w:rsidR="009C353B" w:rsidRDefault="00000000">
            <w:pPr>
              <w:jc w:val="center"/>
              <w:rPr>
                <w:rFonts w:ascii="Times New Roman" w:hAnsi="Times New Roman"/>
                <w:sz w:val="21"/>
                <w:szCs w:val="21"/>
              </w:rPr>
            </w:pPr>
            <w:r>
              <w:rPr>
                <w:rFonts w:ascii="Times New Roman" w:hAnsi="Times New Roman"/>
                <w:sz w:val="21"/>
                <w:szCs w:val="21"/>
              </w:rPr>
              <w:t>NTU</w:t>
            </w:r>
          </w:p>
        </w:tc>
        <w:tc>
          <w:tcPr>
            <w:tcW w:w="426" w:type="pct"/>
            <w:vAlign w:val="center"/>
          </w:tcPr>
          <w:p w14:paraId="5E96D801" w14:textId="77777777" w:rsidR="009C353B" w:rsidRDefault="00000000">
            <w:pPr>
              <w:jc w:val="center"/>
              <w:rPr>
                <w:rFonts w:ascii="Times New Roman" w:hAnsi="Times New Roman"/>
                <w:sz w:val="21"/>
                <w:szCs w:val="21"/>
              </w:rPr>
            </w:pPr>
            <w:r>
              <w:rPr>
                <w:rFonts w:ascii="Times New Roman" w:hAnsi="Times New Roman" w:hint="eastAsia"/>
                <w:sz w:val="21"/>
                <w:szCs w:val="21"/>
              </w:rPr>
              <w:t>2.01</w:t>
            </w:r>
          </w:p>
        </w:tc>
        <w:tc>
          <w:tcPr>
            <w:tcW w:w="1329" w:type="pct"/>
          </w:tcPr>
          <w:p w14:paraId="5BE97DD2" w14:textId="77777777" w:rsidR="009C353B" w:rsidRDefault="00000000">
            <w:pPr>
              <w:jc w:val="center"/>
              <w:rPr>
                <w:rFonts w:ascii="Times New Roman" w:hAnsi="Times New Roman"/>
                <w:sz w:val="21"/>
                <w:szCs w:val="21"/>
              </w:rPr>
            </w:pPr>
            <w:r>
              <w:rPr>
                <w:rFonts w:ascii="Times New Roman" w:hAnsi="Times New Roman" w:hint="eastAsia"/>
                <w:sz w:val="21"/>
                <w:szCs w:val="21"/>
              </w:rPr>
              <w:t>5</w:t>
            </w:r>
          </w:p>
        </w:tc>
        <w:tc>
          <w:tcPr>
            <w:tcW w:w="1247" w:type="pct"/>
          </w:tcPr>
          <w:p w14:paraId="278CCADD"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r>
      <w:tr w:rsidR="009C353B" w14:paraId="53410039" w14:textId="77777777">
        <w:trPr>
          <w:trHeight w:hRule="exact" w:val="665"/>
        </w:trPr>
        <w:tc>
          <w:tcPr>
            <w:tcW w:w="360" w:type="pct"/>
            <w:vMerge/>
            <w:vAlign w:val="center"/>
          </w:tcPr>
          <w:p w14:paraId="01DCB3D4" w14:textId="77777777" w:rsidR="009C353B" w:rsidRDefault="009C353B">
            <w:pPr>
              <w:jc w:val="center"/>
              <w:rPr>
                <w:rFonts w:ascii="Times New Roman" w:hAnsi="Times New Roman"/>
                <w:sz w:val="21"/>
                <w:szCs w:val="21"/>
              </w:rPr>
            </w:pPr>
          </w:p>
        </w:tc>
        <w:tc>
          <w:tcPr>
            <w:tcW w:w="569" w:type="pct"/>
            <w:vMerge/>
            <w:vAlign w:val="center"/>
          </w:tcPr>
          <w:p w14:paraId="0AEB75D4" w14:textId="77777777" w:rsidR="009C353B" w:rsidRDefault="009C353B">
            <w:pPr>
              <w:jc w:val="center"/>
              <w:rPr>
                <w:rFonts w:ascii="Times New Roman" w:hAnsi="Times New Roman"/>
                <w:sz w:val="21"/>
                <w:szCs w:val="21"/>
              </w:rPr>
            </w:pPr>
          </w:p>
        </w:tc>
        <w:tc>
          <w:tcPr>
            <w:tcW w:w="720" w:type="pct"/>
            <w:vAlign w:val="center"/>
          </w:tcPr>
          <w:p w14:paraId="06140722" w14:textId="77777777" w:rsidR="009C353B" w:rsidRDefault="00000000">
            <w:pPr>
              <w:jc w:val="center"/>
              <w:rPr>
                <w:rFonts w:ascii="Times New Roman" w:hAnsi="Times New Roman"/>
                <w:sz w:val="21"/>
                <w:szCs w:val="21"/>
              </w:rPr>
            </w:pPr>
            <w:r>
              <w:rPr>
                <w:rFonts w:ascii="Times New Roman" w:hAnsi="Times New Roman"/>
                <w:sz w:val="21"/>
                <w:szCs w:val="21"/>
              </w:rPr>
              <w:t>溶解性总固体</w:t>
            </w:r>
          </w:p>
        </w:tc>
        <w:tc>
          <w:tcPr>
            <w:tcW w:w="349" w:type="pct"/>
            <w:vAlign w:val="center"/>
          </w:tcPr>
          <w:p w14:paraId="496267E7"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426" w:type="pct"/>
            <w:vAlign w:val="center"/>
          </w:tcPr>
          <w:p w14:paraId="5F38DB37" w14:textId="77777777" w:rsidR="009C353B" w:rsidRDefault="00000000">
            <w:pPr>
              <w:jc w:val="center"/>
              <w:rPr>
                <w:rFonts w:ascii="Times New Roman" w:hAnsi="Times New Roman"/>
                <w:sz w:val="21"/>
                <w:szCs w:val="21"/>
              </w:rPr>
            </w:pPr>
            <w:r>
              <w:rPr>
                <w:rFonts w:ascii="Times New Roman" w:hAnsi="Times New Roman" w:hint="eastAsia"/>
                <w:sz w:val="21"/>
                <w:szCs w:val="21"/>
              </w:rPr>
              <w:t>909</w:t>
            </w:r>
          </w:p>
        </w:tc>
        <w:tc>
          <w:tcPr>
            <w:tcW w:w="1329" w:type="pct"/>
          </w:tcPr>
          <w:p w14:paraId="233EBF2C" w14:textId="77777777" w:rsidR="009C353B" w:rsidRDefault="00000000">
            <w:pPr>
              <w:jc w:val="center"/>
              <w:rPr>
                <w:rFonts w:ascii="Times New Roman" w:hAnsi="Times New Roman"/>
                <w:sz w:val="21"/>
                <w:szCs w:val="21"/>
              </w:rPr>
            </w:pPr>
            <w:r>
              <w:rPr>
                <w:rFonts w:ascii="Times New Roman" w:hAnsi="Times New Roman" w:hint="eastAsia"/>
                <w:sz w:val="21"/>
                <w:szCs w:val="21"/>
              </w:rPr>
              <w:t>1000</w:t>
            </w:r>
          </w:p>
        </w:tc>
        <w:tc>
          <w:tcPr>
            <w:tcW w:w="1247" w:type="pct"/>
          </w:tcPr>
          <w:p w14:paraId="3938CDEE"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r>
      <w:tr w:rsidR="009C353B" w14:paraId="3F2FE356" w14:textId="77777777">
        <w:trPr>
          <w:trHeight w:hRule="exact" w:val="340"/>
        </w:trPr>
        <w:tc>
          <w:tcPr>
            <w:tcW w:w="360" w:type="pct"/>
            <w:vMerge/>
            <w:vAlign w:val="center"/>
          </w:tcPr>
          <w:p w14:paraId="7FB25F99" w14:textId="77777777" w:rsidR="009C353B" w:rsidRDefault="009C353B">
            <w:pPr>
              <w:jc w:val="center"/>
              <w:rPr>
                <w:rFonts w:ascii="Times New Roman" w:hAnsi="Times New Roman"/>
                <w:sz w:val="21"/>
                <w:szCs w:val="21"/>
              </w:rPr>
            </w:pPr>
          </w:p>
        </w:tc>
        <w:tc>
          <w:tcPr>
            <w:tcW w:w="569" w:type="pct"/>
            <w:vMerge/>
            <w:vAlign w:val="center"/>
          </w:tcPr>
          <w:p w14:paraId="790A6910" w14:textId="77777777" w:rsidR="009C353B" w:rsidRDefault="009C353B">
            <w:pPr>
              <w:jc w:val="center"/>
              <w:rPr>
                <w:rFonts w:ascii="Times New Roman" w:hAnsi="Times New Roman"/>
                <w:sz w:val="21"/>
                <w:szCs w:val="21"/>
              </w:rPr>
            </w:pPr>
          </w:p>
        </w:tc>
        <w:tc>
          <w:tcPr>
            <w:tcW w:w="720" w:type="pct"/>
            <w:vAlign w:val="center"/>
          </w:tcPr>
          <w:p w14:paraId="1F6D8E04" w14:textId="77777777" w:rsidR="009C353B" w:rsidRDefault="00000000">
            <w:pPr>
              <w:jc w:val="center"/>
              <w:rPr>
                <w:rFonts w:ascii="Times New Roman" w:hAnsi="Times New Roman"/>
                <w:sz w:val="21"/>
                <w:szCs w:val="21"/>
              </w:rPr>
            </w:pPr>
            <w:r>
              <w:rPr>
                <w:rFonts w:ascii="Times New Roman" w:hAnsi="Times New Roman" w:hint="eastAsia"/>
                <w:sz w:val="21"/>
                <w:szCs w:val="21"/>
              </w:rPr>
              <w:t>化学需氧量</w:t>
            </w:r>
          </w:p>
        </w:tc>
        <w:tc>
          <w:tcPr>
            <w:tcW w:w="349" w:type="pct"/>
            <w:vAlign w:val="center"/>
          </w:tcPr>
          <w:p w14:paraId="48EDE507"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426" w:type="pct"/>
            <w:vAlign w:val="center"/>
          </w:tcPr>
          <w:p w14:paraId="69781282" w14:textId="77777777" w:rsidR="009C353B" w:rsidRDefault="00000000">
            <w:pPr>
              <w:jc w:val="center"/>
              <w:rPr>
                <w:rFonts w:ascii="Times New Roman" w:hAnsi="Times New Roman"/>
                <w:sz w:val="21"/>
                <w:szCs w:val="21"/>
              </w:rPr>
            </w:pPr>
            <w:r>
              <w:rPr>
                <w:rFonts w:ascii="Times New Roman" w:hAnsi="Times New Roman" w:hint="eastAsia"/>
                <w:sz w:val="21"/>
                <w:szCs w:val="21"/>
              </w:rPr>
              <w:t>33</w:t>
            </w:r>
          </w:p>
        </w:tc>
        <w:tc>
          <w:tcPr>
            <w:tcW w:w="1329" w:type="pct"/>
          </w:tcPr>
          <w:p w14:paraId="3E6B04AE"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c>
          <w:tcPr>
            <w:tcW w:w="1247" w:type="pct"/>
          </w:tcPr>
          <w:p w14:paraId="2A9F5FED" w14:textId="77777777" w:rsidR="009C353B" w:rsidRDefault="00000000">
            <w:pPr>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0</w:t>
            </w:r>
          </w:p>
        </w:tc>
      </w:tr>
      <w:tr w:rsidR="009C353B" w14:paraId="5FFE74E4" w14:textId="77777777">
        <w:trPr>
          <w:trHeight w:hRule="exact" w:val="340"/>
        </w:trPr>
        <w:tc>
          <w:tcPr>
            <w:tcW w:w="360" w:type="pct"/>
            <w:vMerge/>
            <w:vAlign w:val="center"/>
          </w:tcPr>
          <w:p w14:paraId="2B3124B9" w14:textId="77777777" w:rsidR="009C353B" w:rsidRDefault="009C353B">
            <w:pPr>
              <w:jc w:val="center"/>
              <w:rPr>
                <w:rFonts w:ascii="Times New Roman" w:hAnsi="Times New Roman"/>
                <w:sz w:val="21"/>
                <w:szCs w:val="21"/>
              </w:rPr>
            </w:pPr>
          </w:p>
        </w:tc>
        <w:tc>
          <w:tcPr>
            <w:tcW w:w="569" w:type="pct"/>
            <w:vMerge/>
            <w:vAlign w:val="center"/>
          </w:tcPr>
          <w:p w14:paraId="175A95D1" w14:textId="77777777" w:rsidR="009C353B" w:rsidRDefault="009C353B">
            <w:pPr>
              <w:jc w:val="center"/>
              <w:rPr>
                <w:rFonts w:ascii="Times New Roman" w:hAnsi="Times New Roman"/>
                <w:sz w:val="21"/>
                <w:szCs w:val="21"/>
              </w:rPr>
            </w:pPr>
          </w:p>
        </w:tc>
        <w:tc>
          <w:tcPr>
            <w:tcW w:w="720" w:type="pct"/>
            <w:vAlign w:val="center"/>
          </w:tcPr>
          <w:p w14:paraId="093226C8" w14:textId="77777777" w:rsidR="009C353B" w:rsidRDefault="00000000">
            <w:pPr>
              <w:jc w:val="center"/>
              <w:rPr>
                <w:rFonts w:ascii="Times New Roman" w:hAnsi="Times New Roman"/>
                <w:sz w:val="21"/>
                <w:szCs w:val="21"/>
              </w:rPr>
            </w:pPr>
            <w:r>
              <w:rPr>
                <w:rFonts w:ascii="Times New Roman" w:hAnsi="Times New Roman" w:hint="eastAsia"/>
                <w:sz w:val="21"/>
                <w:szCs w:val="21"/>
              </w:rPr>
              <w:t>总磷</w:t>
            </w:r>
          </w:p>
        </w:tc>
        <w:tc>
          <w:tcPr>
            <w:tcW w:w="349" w:type="pct"/>
            <w:vAlign w:val="center"/>
          </w:tcPr>
          <w:p w14:paraId="64066E71"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426" w:type="pct"/>
            <w:vAlign w:val="center"/>
          </w:tcPr>
          <w:p w14:paraId="65C7D032" w14:textId="77777777" w:rsidR="009C353B" w:rsidRDefault="00000000">
            <w:pPr>
              <w:jc w:val="center"/>
              <w:rPr>
                <w:rFonts w:ascii="Times New Roman" w:hAnsi="Times New Roman"/>
                <w:sz w:val="21"/>
                <w:szCs w:val="21"/>
              </w:rPr>
            </w:pPr>
            <w:r>
              <w:rPr>
                <w:rFonts w:ascii="Times New Roman" w:hAnsi="Times New Roman" w:hint="eastAsia"/>
                <w:sz w:val="21"/>
                <w:szCs w:val="21"/>
              </w:rPr>
              <w:t>1.17</w:t>
            </w:r>
          </w:p>
        </w:tc>
        <w:tc>
          <w:tcPr>
            <w:tcW w:w="1329" w:type="pct"/>
          </w:tcPr>
          <w:p w14:paraId="3D8B04A0"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c>
          <w:tcPr>
            <w:tcW w:w="1247" w:type="pct"/>
          </w:tcPr>
          <w:p w14:paraId="193D4EA3" w14:textId="77777777" w:rsidR="009C353B" w:rsidRDefault="00000000">
            <w:pPr>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.5</w:t>
            </w:r>
          </w:p>
        </w:tc>
      </w:tr>
      <w:tr w:rsidR="009C353B" w14:paraId="6B0F1689" w14:textId="77777777">
        <w:trPr>
          <w:trHeight w:hRule="exact" w:val="340"/>
        </w:trPr>
        <w:tc>
          <w:tcPr>
            <w:tcW w:w="360" w:type="pct"/>
            <w:vMerge/>
            <w:vAlign w:val="center"/>
          </w:tcPr>
          <w:p w14:paraId="3FD73914" w14:textId="77777777" w:rsidR="009C353B" w:rsidRDefault="009C353B">
            <w:pPr>
              <w:jc w:val="center"/>
              <w:rPr>
                <w:rFonts w:ascii="Times New Roman" w:hAnsi="Times New Roman"/>
                <w:sz w:val="21"/>
                <w:szCs w:val="21"/>
              </w:rPr>
            </w:pPr>
          </w:p>
        </w:tc>
        <w:tc>
          <w:tcPr>
            <w:tcW w:w="569" w:type="pct"/>
            <w:vMerge/>
            <w:vAlign w:val="center"/>
          </w:tcPr>
          <w:p w14:paraId="3EB57D79" w14:textId="77777777" w:rsidR="009C353B" w:rsidRDefault="009C353B">
            <w:pPr>
              <w:jc w:val="center"/>
              <w:rPr>
                <w:rFonts w:ascii="Times New Roman" w:hAnsi="Times New Roman"/>
                <w:sz w:val="21"/>
                <w:szCs w:val="21"/>
              </w:rPr>
            </w:pPr>
          </w:p>
        </w:tc>
        <w:tc>
          <w:tcPr>
            <w:tcW w:w="720" w:type="pct"/>
            <w:vAlign w:val="center"/>
          </w:tcPr>
          <w:p w14:paraId="539B5031" w14:textId="77777777" w:rsidR="009C353B" w:rsidRDefault="00000000">
            <w:pPr>
              <w:jc w:val="center"/>
              <w:rPr>
                <w:rFonts w:ascii="Times New Roman" w:hAnsi="Times New Roman"/>
                <w:sz w:val="21"/>
                <w:szCs w:val="21"/>
              </w:rPr>
            </w:pPr>
            <w:r>
              <w:rPr>
                <w:rFonts w:ascii="Times New Roman" w:hAnsi="Times New Roman" w:hint="eastAsia"/>
                <w:sz w:val="21"/>
                <w:szCs w:val="21"/>
              </w:rPr>
              <w:t>生化需氧量</w:t>
            </w:r>
          </w:p>
        </w:tc>
        <w:tc>
          <w:tcPr>
            <w:tcW w:w="349" w:type="pct"/>
            <w:vAlign w:val="center"/>
          </w:tcPr>
          <w:p w14:paraId="08603B59"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426" w:type="pct"/>
            <w:vAlign w:val="center"/>
          </w:tcPr>
          <w:p w14:paraId="6ED18D1C" w14:textId="77777777" w:rsidR="009C353B" w:rsidRDefault="00000000">
            <w:pPr>
              <w:jc w:val="center"/>
              <w:rPr>
                <w:rFonts w:ascii="Times New Roman" w:hAnsi="Times New Roman"/>
                <w:sz w:val="21"/>
                <w:szCs w:val="21"/>
              </w:rPr>
            </w:pPr>
            <w:r>
              <w:rPr>
                <w:rFonts w:ascii="Times New Roman" w:hAnsi="Times New Roman" w:hint="eastAsia"/>
                <w:sz w:val="21"/>
                <w:szCs w:val="21"/>
              </w:rPr>
              <w:t>2.3</w:t>
            </w:r>
          </w:p>
        </w:tc>
        <w:tc>
          <w:tcPr>
            <w:tcW w:w="1329" w:type="pct"/>
          </w:tcPr>
          <w:p w14:paraId="781F6BD2" w14:textId="77777777" w:rsidR="009C353B" w:rsidRDefault="00000000">
            <w:pPr>
              <w:jc w:val="center"/>
              <w:rPr>
                <w:rFonts w:ascii="Times New Roman" w:hAnsi="Times New Roman"/>
                <w:sz w:val="21"/>
                <w:szCs w:val="21"/>
              </w:rPr>
            </w:pPr>
            <w:r>
              <w:rPr>
                <w:rFonts w:ascii="Times New Roman" w:hAnsi="Times New Roman" w:hint="eastAsia"/>
                <w:sz w:val="21"/>
                <w:szCs w:val="21"/>
              </w:rPr>
              <w:t>20</w:t>
            </w:r>
          </w:p>
        </w:tc>
        <w:tc>
          <w:tcPr>
            <w:tcW w:w="1247" w:type="pct"/>
          </w:tcPr>
          <w:p w14:paraId="687852D8" w14:textId="77777777" w:rsidR="009C353B" w:rsidRDefault="00000000">
            <w:pPr>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0</w:t>
            </w:r>
          </w:p>
        </w:tc>
      </w:tr>
      <w:tr w:rsidR="009C353B" w14:paraId="7CE21D64" w14:textId="77777777">
        <w:trPr>
          <w:trHeight w:hRule="exact" w:val="340"/>
        </w:trPr>
        <w:tc>
          <w:tcPr>
            <w:tcW w:w="360" w:type="pct"/>
            <w:vMerge/>
            <w:vAlign w:val="center"/>
          </w:tcPr>
          <w:p w14:paraId="3CE07F74" w14:textId="77777777" w:rsidR="009C353B" w:rsidRDefault="009C353B">
            <w:pPr>
              <w:jc w:val="center"/>
              <w:rPr>
                <w:rFonts w:ascii="Times New Roman" w:hAnsi="Times New Roman"/>
                <w:sz w:val="21"/>
                <w:szCs w:val="21"/>
              </w:rPr>
            </w:pPr>
          </w:p>
        </w:tc>
        <w:tc>
          <w:tcPr>
            <w:tcW w:w="569" w:type="pct"/>
            <w:vMerge/>
            <w:vAlign w:val="center"/>
          </w:tcPr>
          <w:p w14:paraId="0B865E62" w14:textId="77777777" w:rsidR="009C353B" w:rsidRDefault="009C353B">
            <w:pPr>
              <w:jc w:val="center"/>
              <w:rPr>
                <w:rFonts w:ascii="Times New Roman" w:hAnsi="Times New Roman"/>
                <w:sz w:val="21"/>
                <w:szCs w:val="21"/>
              </w:rPr>
            </w:pPr>
          </w:p>
        </w:tc>
        <w:tc>
          <w:tcPr>
            <w:tcW w:w="720" w:type="pct"/>
            <w:vAlign w:val="center"/>
          </w:tcPr>
          <w:p w14:paraId="3CDF95E4" w14:textId="77777777" w:rsidR="009C353B" w:rsidRDefault="00000000">
            <w:pPr>
              <w:jc w:val="center"/>
              <w:rPr>
                <w:rFonts w:ascii="Times New Roman" w:hAnsi="Times New Roman"/>
                <w:sz w:val="21"/>
                <w:szCs w:val="21"/>
              </w:rPr>
            </w:pPr>
            <w:r>
              <w:rPr>
                <w:rFonts w:ascii="Times New Roman" w:hAnsi="Times New Roman" w:hint="eastAsia"/>
                <w:sz w:val="21"/>
                <w:szCs w:val="21"/>
              </w:rPr>
              <w:t>氨氮</w:t>
            </w:r>
          </w:p>
        </w:tc>
        <w:tc>
          <w:tcPr>
            <w:tcW w:w="349" w:type="pct"/>
            <w:vAlign w:val="center"/>
          </w:tcPr>
          <w:p w14:paraId="68861FD2"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426" w:type="pct"/>
            <w:vAlign w:val="center"/>
          </w:tcPr>
          <w:p w14:paraId="7C7FACE1" w14:textId="77777777" w:rsidR="009C353B" w:rsidRDefault="00000000">
            <w:pPr>
              <w:jc w:val="center"/>
              <w:rPr>
                <w:rFonts w:ascii="Times New Roman" w:hAnsi="Times New Roman"/>
                <w:sz w:val="21"/>
                <w:szCs w:val="21"/>
              </w:rPr>
            </w:pPr>
            <w:r>
              <w:rPr>
                <w:rFonts w:ascii="Times New Roman" w:hAnsi="Times New Roman" w:hint="eastAsia"/>
                <w:sz w:val="21"/>
                <w:szCs w:val="21"/>
              </w:rPr>
              <w:t>10.08</w:t>
            </w:r>
          </w:p>
        </w:tc>
        <w:tc>
          <w:tcPr>
            <w:tcW w:w="1329" w:type="pct"/>
          </w:tcPr>
          <w:p w14:paraId="49181BAA" w14:textId="77777777" w:rsidR="009C353B" w:rsidRDefault="00000000">
            <w:pPr>
              <w:jc w:val="center"/>
              <w:rPr>
                <w:rFonts w:ascii="Times New Roman" w:hAnsi="Times New Roman"/>
                <w:sz w:val="21"/>
                <w:szCs w:val="21"/>
              </w:rPr>
            </w:pPr>
            <w:r>
              <w:rPr>
                <w:rFonts w:ascii="Times New Roman" w:hAnsi="Times New Roman" w:hint="eastAsia"/>
                <w:sz w:val="21"/>
                <w:szCs w:val="21"/>
              </w:rPr>
              <w:t>20</w:t>
            </w:r>
          </w:p>
        </w:tc>
        <w:tc>
          <w:tcPr>
            <w:tcW w:w="1247" w:type="pct"/>
          </w:tcPr>
          <w:p w14:paraId="3CEA2033" w14:textId="77777777" w:rsidR="009C353B" w:rsidRDefault="00000000">
            <w:pPr>
              <w:jc w:val="center"/>
              <w:rPr>
                <w:rFonts w:ascii="Times New Roman" w:hAnsi="Times New Roman"/>
                <w:sz w:val="21"/>
                <w:szCs w:val="21"/>
              </w:rPr>
            </w:pPr>
            <w:r>
              <w:rPr>
                <w:rFonts w:ascii="Times New Roman" w:hAnsi="Times New Roman" w:hint="eastAsia"/>
                <w:sz w:val="21"/>
                <w:szCs w:val="21"/>
              </w:rPr>
              <w:t>5</w:t>
            </w:r>
          </w:p>
        </w:tc>
      </w:tr>
      <w:tr w:rsidR="009C353B" w14:paraId="4D77161B" w14:textId="77777777">
        <w:trPr>
          <w:trHeight w:hRule="exact" w:val="340"/>
        </w:trPr>
        <w:tc>
          <w:tcPr>
            <w:tcW w:w="360" w:type="pct"/>
            <w:vMerge/>
            <w:vAlign w:val="center"/>
          </w:tcPr>
          <w:p w14:paraId="098E6F81" w14:textId="77777777" w:rsidR="009C353B" w:rsidRDefault="009C353B">
            <w:pPr>
              <w:jc w:val="center"/>
              <w:rPr>
                <w:rFonts w:ascii="Times New Roman" w:hAnsi="Times New Roman"/>
                <w:sz w:val="21"/>
                <w:szCs w:val="21"/>
              </w:rPr>
            </w:pPr>
          </w:p>
        </w:tc>
        <w:tc>
          <w:tcPr>
            <w:tcW w:w="569" w:type="pct"/>
            <w:vMerge/>
            <w:vAlign w:val="center"/>
          </w:tcPr>
          <w:p w14:paraId="38586A2D" w14:textId="77777777" w:rsidR="009C353B" w:rsidRDefault="009C353B">
            <w:pPr>
              <w:jc w:val="center"/>
              <w:rPr>
                <w:rFonts w:ascii="Times New Roman" w:hAnsi="Times New Roman"/>
                <w:sz w:val="21"/>
                <w:szCs w:val="21"/>
              </w:rPr>
            </w:pPr>
          </w:p>
        </w:tc>
        <w:tc>
          <w:tcPr>
            <w:tcW w:w="720" w:type="pct"/>
            <w:vAlign w:val="center"/>
          </w:tcPr>
          <w:p w14:paraId="32EE10AC" w14:textId="77777777" w:rsidR="009C353B" w:rsidRDefault="00000000">
            <w:pPr>
              <w:jc w:val="center"/>
              <w:rPr>
                <w:rFonts w:ascii="Times New Roman" w:hAnsi="Times New Roman"/>
                <w:sz w:val="21"/>
                <w:szCs w:val="21"/>
              </w:rPr>
            </w:pPr>
            <w:r>
              <w:rPr>
                <w:rFonts w:ascii="Times New Roman" w:hAnsi="Times New Roman" w:hint="eastAsia"/>
                <w:sz w:val="21"/>
                <w:szCs w:val="21"/>
              </w:rPr>
              <w:t>铁</w:t>
            </w:r>
          </w:p>
        </w:tc>
        <w:tc>
          <w:tcPr>
            <w:tcW w:w="349" w:type="pct"/>
            <w:vAlign w:val="center"/>
          </w:tcPr>
          <w:p w14:paraId="72026588"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426" w:type="pct"/>
            <w:vAlign w:val="center"/>
          </w:tcPr>
          <w:p w14:paraId="60FE0472" w14:textId="77777777" w:rsidR="009C353B" w:rsidRDefault="00000000">
            <w:pPr>
              <w:jc w:val="center"/>
              <w:rPr>
                <w:rFonts w:ascii="Times New Roman" w:hAnsi="Times New Roman"/>
                <w:sz w:val="21"/>
                <w:szCs w:val="21"/>
              </w:rPr>
            </w:pPr>
            <w:r>
              <w:rPr>
                <w:rFonts w:ascii="Times New Roman" w:hAnsi="Times New Roman" w:hint="eastAsia"/>
                <w:sz w:val="21"/>
                <w:szCs w:val="21"/>
              </w:rPr>
              <w:t>0.07</w:t>
            </w:r>
          </w:p>
        </w:tc>
        <w:tc>
          <w:tcPr>
            <w:tcW w:w="1329" w:type="pct"/>
          </w:tcPr>
          <w:p w14:paraId="0BFD74F1" w14:textId="77777777" w:rsidR="009C353B" w:rsidRDefault="00000000">
            <w:pPr>
              <w:jc w:val="center"/>
              <w:rPr>
                <w:rFonts w:ascii="Times New Roman" w:hAnsi="Times New Roman"/>
                <w:sz w:val="21"/>
                <w:szCs w:val="21"/>
              </w:rPr>
            </w:pPr>
            <w:r>
              <w:rPr>
                <w:rFonts w:ascii="Times New Roman" w:hAnsi="Times New Roman" w:hint="eastAsia"/>
                <w:sz w:val="21"/>
                <w:szCs w:val="21"/>
              </w:rPr>
              <w:t>1.5</w:t>
            </w:r>
          </w:p>
        </w:tc>
        <w:tc>
          <w:tcPr>
            <w:tcW w:w="1247" w:type="pct"/>
          </w:tcPr>
          <w:p w14:paraId="157BE7C4"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r>
      <w:tr w:rsidR="009C353B" w14:paraId="1E1C03DB" w14:textId="77777777">
        <w:trPr>
          <w:trHeight w:hRule="exact" w:val="340"/>
        </w:trPr>
        <w:tc>
          <w:tcPr>
            <w:tcW w:w="360" w:type="pct"/>
            <w:vMerge/>
            <w:vAlign w:val="center"/>
          </w:tcPr>
          <w:p w14:paraId="6C97E3B8" w14:textId="77777777" w:rsidR="009C353B" w:rsidRDefault="009C353B">
            <w:pPr>
              <w:jc w:val="center"/>
              <w:rPr>
                <w:rFonts w:ascii="Times New Roman" w:hAnsi="Times New Roman"/>
                <w:sz w:val="21"/>
                <w:szCs w:val="21"/>
              </w:rPr>
            </w:pPr>
          </w:p>
        </w:tc>
        <w:tc>
          <w:tcPr>
            <w:tcW w:w="569" w:type="pct"/>
            <w:vMerge/>
            <w:vAlign w:val="center"/>
          </w:tcPr>
          <w:p w14:paraId="1A0808DA" w14:textId="77777777" w:rsidR="009C353B" w:rsidRDefault="009C353B">
            <w:pPr>
              <w:jc w:val="center"/>
              <w:rPr>
                <w:rFonts w:ascii="Times New Roman" w:hAnsi="Times New Roman"/>
                <w:sz w:val="21"/>
                <w:szCs w:val="21"/>
              </w:rPr>
            </w:pPr>
          </w:p>
        </w:tc>
        <w:tc>
          <w:tcPr>
            <w:tcW w:w="720" w:type="pct"/>
            <w:vAlign w:val="center"/>
          </w:tcPr>
          <w:p w14:paraId="4148422D" w14:textId="77777777" w:rsidR="009C353B" w:rsidRDefault="00000000">
            <w:pPr>
              <w:jc w:val="center"/>
              <w:rPr>
                <w:rFonts w:ascii="Times New Roman" w:hAnsi="Times New Roman"/>
                <w:sz w:val="21"/>
                <w:szCs w:val="21"/>
              </w:rPr>
            </w:pPr>
            <w:r>
              <w:rPr>
                <w:rFonts w:ascii="Times New Roman" w:hAnsi="Times New Roman" w:hint="eastAsia"/>
                <w:sz w:val="21"/>
                <w:szCs w:val="21"/>
              </w:rPr>
              <w:t>锰</w:t>
            </w:r>
          </w:p>
        </w:tc>
        <w:tc>
          <w:tcPr>
            <w:tcW w:w="349" w:type="pct"/>
            <w:vAlign w:val="center"/>
          </w:tcPr>
          <w:p w14:paraId="0C1F8DEB"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426" w:type="pct"/>
            <w:vAlign w:val="center"/>
          </w:tcPr>
          <w:p w14:paraId="3194347B" w14:textId="77777777" w:rsidR="009C353B" w:rsidRDefault="00000000">
            <w:pPr>
              <w:jc w:val="center"/>
              <w:rPr>
                <w:rFonts w:ascii="Times New Roman" w:hAnsi="Times New Roman"/>
                <w:sz w:val="21"/>
                <w:szCs w:val="21"/>
              </w:rPr>
            </w:pPr>
            <w:r>
              <w:rPr>
                <w:rFonts w:ascii="Times New Roman" w:hAnsi="Times New Roman" w:hint="eastAsia"/>
                <w:sz w:val="21"/>
                <w:szCs w:val="21"/>
              </w:rPr>
              <w:t>0.13</w:t>
            </w:r>
          </w:p>
        </w:tc>
        <w:tc>
          <w:tcPr>
            <w:tcW w:w="1329" w:type="pct"/>
          </w:tcPr>
          <w:p w14:paraId="1DAE30CC" w14:textId="77777777" w:rsidR="009C353B" w:rsidRDefault="00000000">
            <w:pPr>
              <w:jc w:val="center"/>
              <w:rPr>
                <w:rFonts w:ascii="Times New Roman" w:hAnsi="Times New Roman"/>
                <w:sz w:val="21"/>
                <w:szCs w:val="21"/>
              </w:rPr>
            </w:pPr>
            <w:r>
              <w:rPr>
                <w:rFonts w:ascii="Times New Roman" w:hAnsi="Times New Roman" w:hint="eastAsia"/>
                <w:sz w:val="21"/>
                <w:szCs w:val="21"/>
              </w:rPr>
              <w:t>0.3</w:t>
            </w:r>
          </w:p>
        </w:tc>
        <w:tc>
          <w:tcPr>
            <w:tcW w:w="1247" w:type="pct"/>
          </w:tcPr>
          <w:p w14:paraId="3E92BAFB" w14:textId="77777777" w:rsidR="009C353B" w:rsidRDefault="00000000">
            <w:pPr>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.0</w:t>
            </w:r>
          </w:p>
        </w:tc>
      </w:tr>
      <w:tr w:rsidR="009C353B" w14:paraId="51559126" w14:textId="77777777">
        <w:trPr>
          <w:trHeight w:hRule="exact" w:val="340"/>
        </w:trPr>
        <w:tc>
          <w:tcPr>
            <w:tcW w:w="360" w:type="pct"/>
            <w:vMerge/>
            <w:vAlign w:val="center"/>
          </w:tcPr>
          <w:p w14:paraId="33CCA5C7" w14:textId="77777777" w:rsidR="009C353B" w:rsidRDefault="009C353B">
            <w:pPr>
              <w:jc w:val="center"/>
              <w:rPr>
                <w:rFonts w:ascii="Times New Roman" w:hAnsi="Times New Roman"/>
                <w:sz w:val="21"/>
                <w:szCs w:val="21"/>
              </w:rPr>
            </w:pPr>
          </w:p>
        </w:tc>
        <w:tc>
          <w:tcPr>
            <w:tcW w:w="569" w:type="pct"/>
            <w:vMerge/>
            <w:vAlign w:val="center"/>
          </w:tcPr>
          <w:p w14:paraId="4D008621" w14:textId="77777777" w:rsidR="009C353B" w:rsidRDefault="009C353B">
            <w:pPr>
              <w:jc w:val="center"/>
              <w:rPr>
                <w:rFonts w:ascii="Times New Roman" w:hAnsi="Times New Roman"/>
                <w:sz w:val="21"/>
                <w:szCs w:val="21"/>
              </w:rPr>
            </w:pPr>
          </w:p>
        </w:tc>
        <w:tc>
          <w:tcPr>
            <w:tcW w:w="720" w:type="pct"/>
            <w:vAlign w:val="center"/>
          </w:tcPr>
          <w:p w14:paraId="28267ABA" w14:textId="77777777" w:rsidR="009C353B" w:rsidRDefault="00000000">
            <w:pPr>
              <w:jc w:val="center"/>
              <w:rPr>
                <w:rFonts w:ascii="Times New Roman" w:hAnsi="Times New Roman"/>
                <w:sz w:val="21"/>
                <w:szCs w:val="21"/>
              </w:rPr>
            </w:pPr>
            <w:r>
              <w:rPr>
                <w:rFonts w:ascii="Times New Roman" w:hAnsi="Times New Roman" w:hint="eastAsia"/>
                <w:sz w:val="21"/>
                <w:szCs w:val="21"/>
              </w:rPr>
              <w:t>石油类</w:t>
            </w:r>
          </w:p>
        </w:tc>
        <w:tc>
          <w:tcPr>
            <w:tcW w:w="349" w:type="pct"/>
            <w:vAlign w:val="center"/>
          </w:tcPr>
          <w:p w14:paraId="673F0A22"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426" w:type="pct"/>
            <w:vAlign w:val="center"/>
          </w:tcPr>
          <w:p w14:paraId="7874AF03" w14:textId="77777777" w:rsidR="009C353B" w:rsidRDefault="00000000">
            <w:pPr>
              <w:jc w:val="center"/>
              <w:rPr>
                <w:rFonts w:ascii="Times New Roman" w:hAnsi="Times New Roman"/>
                <w:sz w:val="21"/>
                <w:szCs w:val="21"/>
              </w:rPr>
            </w:pPr>
            <w:r>
              <w:rPr>
                <w:rFonts w:ascii="Times New Roman" w:hAnsi="Times New Roman" w:hint="eastAsia"/>
                <w:sz w:val="21"/>
                <w:szCs w:val="21"/>
              </w:rPr>
              <w:t>&lt;</w:t>
            </w:r>
            <w:r>
              <w:rPr>
                <w:rFonts w:ascii="Times New Roman" w:hAnsi="Times New Roman"/>
                <w:sz w:val="21"/>
                <w:szCs w:val="21"/>
              </w:rPr>
              <w:t>0.06</w:t>
            </w:r>
          </w:p>
        </w:tc>
        <w:tc>
          <w:tcPr>
            <w:tcW w:w="1329" w:type="pct"/>
          </w:tcPr>
          <w:p w14:paraId="2F6AFF2D"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c>
          <w:tcPr>
            <w:tcW w:w="1247" w:type="pct"/>
          </w:tcPr>
          <w:p w14:paraId="36CC2934" w14:textId="77777777" w:rsidR="009C353B" w:rsidRDefault="00000000">
            <w:pPr>
              <w:jc w:val="center"/>
              <w:rPr>
                <w:rFonts w:ascii="Times New Roman" w:hAnsi="Times New Roman"/>
                <w:sz w:val="21"/>
                <w:szCs w:val="21"/>
              </w:rPr>
            </w:pPr>
            <w:r>
              <w:rPr>
                <w:rFonts w:ascii="Times New Roman" w:hAnsi="Times New Roman" w:hint="eastAsia"/>
                <w:sz w:val="21"/>
                <w:szCs w:val="21"/>
              </w:rPr>
              <w:t>1</w:t>
            </w:r>
          </w:p>
        </w:tc>
      </w:tr>
    </w:tbl>
    <w:p w14:paraId="5AAE2FCD" w14:textId="77777777" w:rsidR="009C353B" w:rsidRDefault="009C353B">
      <w:pPr>
        <w:spacing w:line="440" w:lineRule="exact"/>
        <w:ind w:firstLineChars="200" w:firstLine="480"/>
        <w:rPr>
          <w:rFonts w:asciiTheme="minorEastAsia" w:eastAsiaTheme="minorEastAsia" w:hAnsiTheme="minorEastAsia" w:hint="eastAsia"/>
          <w:szCs w:val="24"/>
        </w:rPr>
      </w:pPr>
    </w:p>
    <w:p w14:paraId="676CB2DF" w14:textId="77777777" w:rsidR="009C353B" w:rsidRDefault="00000000">
      <w:pPr>
        <w:spacing w:line="440" w:lineRule="exact"/>
        <w:ind w:firstLineChars="200" w:firstLine="480"/>
        <w:rPr>
          <w:rFonts w:asciiTheme="minorEastAsia" w:eastAsiaTheme="minorEastAsia" w:hAnsiTheme="minorEastAsia" w:hint="eastAsia"/>
          <w:szCs w:val="24"/>
        </w:rPr>
      </w:pPr>
      <w:r>
        <w:rPr>
          <w:rFonts w:asciiTheme="minorEastAsia" w:eastAsiaTheme="minorEastAsia" w:hAnsiTheme="minorEastAsia" w:hint="eastAsia"/>
          <w:szCs w:val="24"/>
        </w:rPr>
        <w:t>2）马莲台煤矿部分矿井水经宁夏宝丰能源集团股份有限公司选煤厂沉淀池处理后用于选煤厂洗煤，其余矿井水及生产生活废水依托宁夏宝丰能源有限公司污水处理站。矿井水每天产生量为</w:t>
      </w:r>
      <w:r>
        <w:rPr>
          <w:rFonts w:ascii="Times New Roman" w:hAnsi="Times New Roman" w:hint="eastAsia"/>
          <w:szCs w:val="21"/>
        </w:rPr>
        <w:t>2561m</w:t>
      </w:r>
      <w:r>
        <w:rPr>
          <w:rFonts w:ascii="Times New Roman" w:hAnsi="Times New Roman"/>
          <w:snapToGrid w:val="0"/>
          <w:szCs w:val="21"/>
          <w:vertAlign w:val="superscript"/>
        </w:rPr>
        <w:t>3</w:t>
      </w:r>
      <w:r>
        <w:rPr>
          <w:rFonts w:ascii="Times New Roman" w:hAnsi="Times New Roman"/>
          <w:snapToGrid w:val="0"/>
          <w:szCs w:val="21"/>
        </w:rPr>
        <w:t>/d</w:t>
      </w:r>
      <w:r>
        <w:rPr>
          <w:rFonts w:asciiTheme="minorEastAsia" w:eastAsiaTheme="minorEastAsia" w:hAnsiTheme="minorEastAsia" w:hint="eastAsia"/>
          <w:szCs w:val="24"/>
        </w:rPr>
        <w:t>，</w:t>
      </w:r>
      <w:r>
        <w:rPr>
          <w:rFonts w:ascii="Times New Roman" w:eastAsiaTheme="minorEastAsia" w:hAnsi="Times New Roman"/>
          <w:szCs w:val="24"/>
        </w:rPr>
        <w:t>工业场地生产生活废水每天产生量为</w:t>
      </w:r>
      <w:r>
        <w:rPr>
          <w:rFonts w:ascii="Times New Roman" w:eastAsiaTheme="minorEastAsia" w:hAnsi="Times New Roman" w:hint="eastAsia"/>
          <w:szCs w:val="24"/>
        </w:rPr>
        <w:t>340.9</w:t>
      </w:r>
      <w:r>
        <w:rPr>
          <w:rFonts w:ascii="Times New Roman" w:eastAsiaTheme="minorEastAsia" w:hAnsi="Times New Roman"/>
          <w:szCs w:val="24"/>
        </w:rPr>
        <w:t>m</w:t>
      </w:r>
      <w:r>
        <w:rPr>
          <w:rFonts w:ascii="Times New Roman" w:eastAsiaTheme="minorEastAsia" w:hAnsi="Times New Roman"/>
          <w:szCs w:val="24"/>
          <w:vertAlign w:val="superscript"/>
        </w:rPr>
        <w:t>3</w:t>
      </w:r>
      <w:r>
        <w:rPr>
          <w:rFonts w:ascii="Times New Roman" w:eastAsiaTheme="minorEastAsia" w:hAnsi="Times New Roman"/>
          <w:szCs w:val="24"/>
        </w:rPr>
        <w:t>/d</w:t>
      </w:r>
      <w:r>
        <w:rPr>
          <w:rFonts w:ascii="Times New Roman" w:eastAsiaTheme="minorEastAsia" w:hAnsi="Times New Roman"/>
          <w:szCs w:val="24"/>
        </w:rPr>
        <w:t>。矿井水经选煤厂沉淀池处理后达到《城市污水再生利用</w:t>
      </w:r>
      <w:r>
        <w:rPr>
          <w:rFonts w:ascii="Times New Roman" w:eastAsiaTheme="minorEastAsia" w:hAnsi="Times New Roman"/>
          <w:szCs w:val="24"/>
        </w:rPr>
        <w:t>·</w:t>
      </w:r>
      <w:r>
        <w:rPr>
          <w:rFonts w:ascii="Times New Roman" w:eastAsiaTheme="minorEastAsia" w:hAnsi="Times New Roman"/>
          <w:szCs w:val="24"/>
        </w:rPr>
        <w:t>工业用水水质》（</w:t>
      </w:r>
      <w:r>
        <w:rPr>
          <w:rFonts w:ascii="Times New Roman" w:eastAsiaTheme="minorEastAsia" w:hAnsi="Times New Roman"/>
          <w:szCs w:val="24"/>
        </w:rPr>
        <w:t>GB/T 19923-2005</w:t>
      </w:r>
      <w:r>
        <w:rPr>
          <w:rFonts w:ascii="Times New Roman" w:eastAsiaTheme="minorEastAsia" w:hAnsi="Times New Roman"/>
          <w:szCs w:val="24"/>
        </w:rPr>
        <w:t>）敞开式循环冷却水系统补充水水质标准后，用于选煤厂洗煤。工业场地生产生活废水及依托宁夏宝丰能源集团股份有限公司污水处理站处理，污水处理站出水满足《城市污水再生利用</w:t>
      </w:r>
      <w:r>
        <w:rPr>
          <w:rFonts w:ascii="Times New Roman" w:eastAsiaTheme="minorEastAsia" w:hAnsi="Times New Roman"/>
          <w:szCs w:val="24"/>
        </w:rPr>
        <w:t>·</w:t>
      </w:r>
      <w:r>
        <w:rPr>
          <w:rFonts w:ascii="Times New Roman" w:eastAsiaTheme="minorEastAsia" w:hAnsi="Times New Roman"/>
          <w:szCs w:val="24"/>
        </w:rPr>
        <w:t>工业用水水质》（</w:t>
      </w:r>
      <w:r>
        <w:rPr>
          <w:rFonts w:ascii="Times New Roman" w:eastAsiaTheme="minorEastAsia" w:hAnsi="Times New Roman"/>
          <w:szCs w:val="24"/>
        </w:rPr>
        <w:t>GB/T 19923-2005</w:t>
      </w:r>
      <w:r>
        <w:rPr>
          <w:rFonts w:ascii="Times New Roman" w:eastAsiaTheme="minorEastAsia" w:hAnsi="Times New Roman"/>
          <w:szCs w:val="24"/>
        </w:rPr>
        <w:t>）敞开式循环冷却水系统补充水水质标准后，部分用于场地绿化、道路洒水，其余用于宁夏宝丰能源集团股份有限公司焦化厂熄焦。</w:t>
      </w:r>
    </w:p>
    <w:p w14:paraId="50170853" w14:textId="77777777" w:rsidR="009C353B" w:rsidRDefault="00000000">
      <w:pPr>
        <w:spacing w:line="440" w:lineRule="exact"/>
        <w:ind w:firstLineChars="200" w:firstLine="480"/>
        <w:rPr>
          <w:rFonts w:ascii="Times New Roman" w:eastAsiaTheme="minorEastAsia" w:hAnsi="Times New Roman"/>
          <w:szCs w:val="24"/>
        </w:rPr>
      </w:pPr>
      <w:r>
        <w:rPr>
          <w:rFonts w:ascii="Times New Roman" w:eastAsiaTheme="minorEastAsia" w:hAnsi="Times New Roman"/>
          <w:szCs w:val="24"/>
        </w:rPr>
        <w:t>2012</w:t>
      </w:r>
      <w:r>
        <w:rPr>
          <w:rFonts w:ascii="Times New Roman" w:eastAsiaTheme="minorEastAsia" w:hAnsi="Times New Roman"/>
          <w:szCs w:val="24"/>
        </w:rPr>
        <w:t>年</w:t>
      </w:r>
      <w:r>
        <w:rPr>
          <w:rFonts w:ascii="Times New Roman" w:eastAsiaTheme="minorEastAsia" w:hAnsi="Times New Roman"/>
          <w:szCs w:val="24"/>
        </w:rPr>
        <w:t>7</w:t>
      </w:r>
      <w:r>
        <w:rPr>
          <w:rFonts w:ascii="Times New Roman" w:eastAsiaTheme="minorEastAsia" w:hAnsi="Times New Roman"/>
          <w:szCs w:val="24"/>
        </w:rPr>
        <w:t>月</w:t>
      </w:r>
      <w:r>
        <w:rPr>
          <w:rFonts w:ascii="Times New Roman" w:eastAsiaTheme="minorEastAsia" w:hAnsi="Times New Roman"/>
          <w:szCs w:val="24"/>
        </w:rPr>
        <w:t>16</w:t>
      </w:r>
      <w:r>
        <w:rPr>
          <w:rFonts w:ascii="Times New Roman" w:eastAsiaTheme="minorEastAsia" w:hAnsi="Times New Roman"/>
          <w:szCs w:val="24"/>
        </w:rPr>
        <w:t>日自治区环保厅以宁环验表</w:t>
      </w:r>
      <w:r>
        <w:rPr>
          <w:rFonts w:ascii="Times New Roman" w:eastAsiaTheme="minorEastAsia" w:hAnsi="Times New Roman"/>
          <w:szCs w:val="24"/>
        </w:rPr>
        <w:t>[2012]5</w:t>
      </w:r>
      <w:r>
        <w:rPr>
          <w:rFonts w:ascii="Times New Roman" w:eastAsiaTheme="minorEastAsia" w:hAnsi="Times New Roman"/>
          <w:szCs w:val="24"/>
        </w:rPr>
        <w:t>号对污水处理站进行了验收，根据自治区环境监测中心站对污水处理厂总排口的验收监测数据表明，污水处理站总排口出水水质日均浓度范围</w:t>
      </w:r>
      <w:r>
        <w:rPr>
          <w:rFonts w:ascii="Times New Roman" w:eastAsiaTheme="minorEastAsia" w:hAnsi="Times New Roman" w:hint="eastAsia"/>
          <w:szCs w:val="24"/>
        </w:rPr>
        <w:t>见下表：</w:t>
      </w:r>
    </w:p>
    <w:p w14:paraId="1EA746E6" w14:textId="77777777" w:rsidR="009C353B" w:rsidRDefault="00000000">
      <w:pPr>
        <w:spacing w:line="440" w:lineRule="exact"/>
        <w:ind w:firstLineChars="200" w:firstLine="480"/>
        <w:jc w:val="center"/>
        <w:rPr>
          <w:rFonts w:asciiTheme="minorEastAsia" w:eastAsiaTheme="minorEastAsia" w:hAnsiTheme="minorEastAsia" w:hint="eastAsia"/>
          <w:szCs w:val="24"/>
        </w:rPr>
      </w:pPr>
      <w:r>
        <w:rPr>
          <w:rFonts w:asciiTheme="minorEastAsia" w:eastAsiaTheme="minorEastAsia" w:hAnsiTheme="minorEastAsia" w:hint="eastAsia"/>
          <w:szCs w:val="24"/>
        </w:rPr>
        <w:t>宁</w:t>
      </w:r>
      <w:r>
        <w:rPr>
          <w:rFonts w:asciiTheme="minorEastAsia" w:eastAsiaTheme="minorEastAsia" w:hAnsiTheme="minorEastAsia"/>
          <w:szCs w:val="24"/>
        </w:rPr>
        <w:t>夏宝丰能源集团股份有限公司污水处理站</w:t>
      </w:r>
      <w:r>
        <w:rPr>
          <w:rFonts w:asciiTheme="minorEastAsia" w:eastAsiaTheme="minorEastAsia" w:hAnsiTheme="minorEastAsia" w:hint="eastAsia"/>
          <w:szCs w:val="24"/>
        </w:rPr>
        <w:t>监测数据</w:t>
      </w:r>
    </w:p>
    <w:p w14:paraId="1257AADE" w14:textId="77777777" w:rsidR="009C353B" w:rsidRDefault="00000000">
      <w:pPr>
        <w:adjustRightInd w:val="0"/>
        <w:snapToGrid w:val="0"/>
        <w:spacing w:line="440" w:lineRule="exact"/>
        <w:ind w:firstLineChars="200" w:firstLine="480"/>
        <w:outlineLvl w:val="4"/>
        <w:rPr>
          <w:rFonts w:ascii="Times New Roman" w:hAnsi="Times New Roman"/>
          <w:szCs w:val="24"/>
        </w:rPr>
      </w:pPr>
      <w:r>
        <w:rPr>
          <w:rFonts w:ascii="Times New Roman" w:hAnsi="Times New Roman"/>
          <w:szCs w:val="24"/>
        </w:rPr>
        <w:t>表</w:t>
      </w:r>
      <w:r>
        <w:rPr>
          <w:rFonts w:ascii="Times New Roman" w:hAnsi="Times New Roman"/>
          <w:szCs w:val="24"/>
        </w:rPr>
        <w:t>4.2-7</w:t>
      </w:r>
    </w:p>
    <w:tbl>
      <w:tblPr>
        <w:tblStyle w:val="afffb"/>
        <w:tblW w:w="0" w:type="auto"/>
        <w:tblLook w:val="04A0" w:firstRow="1" w:lastRow="0" w:firstColumn="1" w:lastColumn="0" w:noHBand="0" w:noVBand="1"/>
      </w:tblPr>
      <w:tblGrid>
        <w:gridCol w:w="1384"/>
        <w:gridCol w:w="1134"/>
        <w:gridCol w:w="1559"/>
        <w:gridCol w:w="2977"/>
        <w:gridCol w:w="2233"/>
      </w:tblGrid>
      <w:tr w:rsidR="009C353B" w14:paraId="712A1EC9" w14:textId="77777777">
        <w:trPr>
          <w:trHeight w:hRule="exact" w:val="1154"/>
        </w:trPr>
        <w:tc>
          <w:tcPr>
            <w:tcW w:w="1384" w:type="dxa"/>
            <w:vAlign w:val="center"/>
          </w:tcPr>
          <w:p w14:paraId="4842BACC" w14:textId="77777777" w:rsidR="009C353B" w:rsidRDefault="00000000">
            <w:pPr>
              <w:jc w:val="center"/>
              <w:rPr>
                <w:rFonts w:ascii="Times New Roman" w:hAnsi="Times New Roman"/>
                <w:sz w:val="21"/>
                <w:szCs w:val="21"/>
              </w:rPr>
            </w:pPr>
            <w:r>
              <w:rPr>
                <w:rFonts w:ascii="Times New Roman" w:hAnsi="Times New Roman"/>
                <w:sz w:val="21"/>
                <w:szCs w:val="21"/>
              </w:rPr>
              <w:t>监测项目</w:t>
            </w:r>
          </w:p>
        </w:tc>
        <w:tc>
          <w:tcPr>
            <w:tcW w:w="1134" w:type="dxa"/>
            <w:vAlign w:val="center"/>
          </w:tcPr>
          <w:p w14:paraId="43050E22" w14:textId="77777777" w:rsidR="009C353B" w:rsidRDefault="00000000">
            <w:pPr>
              <w:jc w:val="center"/>
              <w:rPr>
                <w:rFonts w:ascii="Times New Roman" w:hAnsi="Times New Roman"/>
                <w:sz w:val="21"/>
                <w:szCs w:val="21"/>
              </w:rPr>
            </w:pPr>
            <w:r>
              <w:rPr>
                <w:rFonts w:ascii="Times New Roman" w:hAnsi="Times New Roman"/>
                <w:sz w:val="21"/>
                <w:szCs w:val="21"/>
              </w:rPr>
              <w:t>单位</w:t>
            </w:r>
          </w:p>
        </w:tc>
        <w:tc>
          <w:tcPr>
            <w:tcW w:w="1559" w:type="dxa"/>
            <w:vAlign w:val="center"/>
          </w:tcPr>
          <w:p w14:paraId="33FC0904" w14:textId="77777777" w:rsidR="009C353B" w:rsidRDefault="00000000">
            <w:pPr>
              <w:jc w:val="center"/>
              <w:rPr>
                <w:rFonts w:ascii="Times New Roman" w:hAnsi="Times New Roman"/>
                <w:sz w:val="21"/>
                <w:szCs w:val="21"/>
              </w:rPr>
            </w:pPr>
            <w:r>
              <w:rPr>
                <w:rFonts w:ascii="Times New Roman" w:hAnsi="Times New Roman"/>
                <w:sz w:val="21"/>
                <w:szCs w:val="21"/>
              </w:rPr>
              <w:t>监测结果</w:t>
            </w:r>
          </w:p>
        </w:tc>
        <w:tc>
          <w:tcPr>
            <w:tcW w:w="2977" w:type="dxa"/>
            <w:vAlign w:val="center"/>
          </w:tcPr>
          <w:p w14:paraId="66F2B00C" w14:textId="77777777" w:rsidR="009C353B" w:rsidRDefault="00000000">
            <w:pPr>
              <w:jc w:val="center"/>
              <w:rPr>
                <w:rFonts w:ascii="Times New Roman" w:hAnsi="Times New Roman"/>
                <w:sz w:val="21"/>
                <w:szCs w:val="21"/>
              </w:rPr>
            </w:pPr>
            <w:r>
              <w:rPr>
                <w:rFonts w:ascii="Times New Roman" w:hAnsi="Times New Roman"/>
                <w:sz w:val="21"/>
                <w:szCs w:val="21"/>
              </w:rPr>
              <w:t>《城市污水再生利用</w:t>
            </w:r>
            <w:r>
              <w:rPr>
                <w:rFonts w:ascii="Times New Roman" w:hAnsi="Times New Roman"/>
                <w:sz w:val="21"/>
                <w:szCs w:val="21"/>
              </w:rPr>
              <w:t xml:space="preserve"> </w:t>
            </w:r>
            <w:r>
              <w:rPr>
                <w:rFonts w:ascii="Times New Roman" w:hAnsi="Times New Roman"/>
                <w:sz w:val="21"/>
                <w:szCs w:val="21"/>
              </w:rPr>
              <w:t>工业用水水质》（</w:t>
            </w:r>
            <w:r>
              <w:rPr>
                <w:rFonts w:ascii="Times New Roman" w:hAnsi="Times New Roman"/>
                <w:sz w:val="21"/>
                <w:szCs w:val="21"/>
              </w:rPr>
              <w:t>GB/T 19923-2005</w:t>
            </w:r>
            <w:r>
              <w:rPr>
                <w:rFonts w:ascii="Times New Roman" w:hAnsi="Times New Roman"/>
                <w:sz w:val="21"/>
                <w:szCs w:val="21"/>
              </w:rPr>
              <w:t>）敞开式循环冷却水标准</w:t>
            </w:r>
          </w:p>
        </w:tc>
        <w:tc>
          <w:tcPr>
            <w:tcW w:w="2233" w:type="dxa"/>
            <w:vAlign w:val="center"/>
          </w:tcPr>
          <w:p w14:paraId="0758B526" w14:textId="77777777" w:rsidR="009C353B" w:rsidRDefault="00000000">
            <w:pPr>
              <w:jc w:val="center"/>
              <w:rPr>
                <w:rFonts w:ascii="Times New Roman" w:hAnsi="Times New Roman"/>
                <w:sz w:val="21"/>
                <w:szCs w:val="21"/>
              </w:rPr>
            </w:pPr>
            <w:r>
              <w:rPr>
                <w:rFonts w:ascii="Times New Roman" w:hAnsi="Times New Roman"/>
                <w:sz w:val="21"/>
                <w:szCs w:val="21"/>
              </w:rPr>
              <w:t>《污水综合排放标准》（</w:t>
            </w:r>
            <w:r>
              <w:rPr>
                <w:rFonts w:ascii="Times New Roman" w:hAnsi="Times New Roman"/>
                <w:sz w:val="21"/>
                <w:szCs w:val="21"/>
              </w:rPr>
              <w:t>GB8978-1996</w:t>
            </w:r>
            <w:r>
              <w:rPr>
                <w:rFonts w:ascii="Times New Roman" w:hAnsi="Times New Roman"/>
                <w:sz w:val="21"/>
                <w:szCs w:val="21"/>
              </w:rPr>
              <w:t>）二级排放标准</w:t>
            </w:r>
          </w:p>
        </w:tc>
      </w:tr>
      <w:tr w:rsidR="009C353B" w14:paraId="37E634D9" w14:textId="77777777">
        <w:trPr>
          <w:trHeight w:hRule="exact" w:val="340"/>
        </w:trPr>
        <w:tc>
          <w:tcPr>
            <w:tcW w:w="1384" w:type="dxa"/>
            <w:vAlign w:val="center"/>
          </w:tcPr>
          <w:p w14:paraId="77EBF6C2" w14:textId="77777777" w:rsidR="009C353B" w:rsidRDefault="00000000">
            <w:pPr>
              <w:jc w:val="center"/>
              <w:rPr>
                <w:rFonts w:ascii="Times New Roman" w:hAnsi="Times New Roman"/>
                <w:sz w:val="21"/>
                <w:szCs w:val="21"/>
              </w:rPr>
            </w:pPr>
            <w:r>
              <w:rPr>
                <w:rFonts w:ascii="Times New Roman" w:hAnsi="Times New Roman"/>
                <w:sz w:val="21"/>
                <w:szCs w:val="21"/>
              </w:rPr>
              <w:t>pH</w:t>
            </w:r>
          </w:p>
        </w:tc>
        <w:tc>
          <w:tcPr>
            <w:tcW w:w="1134" w:type="dxa"/>
            <w:vAlign w:val="center"/>
          </w:tcPr>
          <w:p w14:paraId="3266667D" w14:textId="77777777" w:rsidR="009C353B" w:rsidRDefault="00000000">
            <w:pPr>
              <w:jc w:val="center"/>
              <w:rPr>
                <w:rFonts w:ascii="Times New Roman" w:hAnsi="Times New Roman"/>
                <w:sz w:val="21"/>
                <w:szCs w:val="21"/>
              </w:rPr>
            </w:pPr>
            <w:r>
              <w:rPr>
                <w:rFonts w:ascii="Times New Roman" w:hAnsi="Times New Roman"/>
                <w:sz w:val="21"/>
                <w:szCs w:val="21"/>
              </w:rPr>
              <w:t>无量纲</w:t>
            </w:r>
          </w:p>
        </w:tc>
        <w:tc>
          <w:tcPr>
            <w:tcW w:w="1559" w:type="dxa"/>
            <w:vAlign w:val="center"/>
          </w:tcPr>
          <w:p w14:paraId="1D76A68C" w14:textId="77777777" w:rsidR="009C353B" w:rsidRDefault="00000000">
            <w:pPr>
              <w:jc w:val="center"/>
              <w:rPr>
                <w:rFonts w:ascii="Times New Roman" w:hAnsi="Times New Roman"/>
                <w:sz w:val="21"/>
                <w:szCs w:val="21"/>
              </w:rPr>
            </w:pPr>
            <w:r>
              <w:rPr>
                <w:rFonts w:ascii="Times New Roman" w:hAnsi="Times New Roman"/>
                <w:sz w:val="21"/>
                <w:szCs w:val="21"/>
              </w:rPr>
              <w:t>7.54~8.31</w:t>
            </w:r>
          </w:p>
        </w:tc>
        <w:tc>
          <w:tcPr>
            <w:tcW w:w="2977" w:type="dxa"/>
            <w:vAlign w:val="center"/>
          </w:tcPr>
          <w:p w14:paraId="6BE01A3B" w14:textId="77777777" w:rsidR="009C353B" w:rsidRDefault="00000000">
            <w:pPr>
              <w:jc w:val="center"/>
              <w:rPr>
                <w:rFonts w:ascii="Times New Roman" w:hAnsi="Times New Roman"/>
                <w:sz w:val="21"/>
                <w:szCs w:val="21"/>
              </w:rPr>
            </w:pPr>
            <w:r>
              <w:rPr>
                <w:rFonts w:ascii="Times New Roman" w:hAnsi="Times New Roman"/>
                <w:sz w:val="21"/>
                <w:szCs w:val="21"/>
              </w:rPr>
              <w:t>6.5~8.5</w:t>
            </w:r>
          </w:p>
        </w:tc>
        <w:tc>
          <w:tcPr>
            <w:tcW w:w="2233" w:type="dxa"/>
            <w:vAlign w:val="center"/>
          </w:tcPr>
          <w:p w14:paraId="0F5B2D51" w14:textId="77777777" w:rsidR="009C353B" w:rsidRDefault="00000000">
            <w:pPr>
              <w:jc w:val="center"/>
              <w:rPr>
                <w:rFonts w:ascii="Times New Roman" w:hAnsi="Times New Roman"/>
                <w:sz w:val="21"/>
                <w:szCs w:val="21"/>
              </w:rPr>
            </w:pPr>
            <w:r>
              <w:rPr>
                <w:rFonts w:ascii="Times New Roman" w:hAnsi="Times New Roman"/>
                <w:sz w:val="21"/>
                <w:szCs w:val="21"/>
              </w:rPr>
              <w:t>6~9</w:t>
            </w:r>
          </w:p>
        </w:tc>
      </w:tr>
      <w:tr w:rsidR="009C353B" w14:paraId="5A98CFDE" w14:textId="77777777">
        <w:trPr>
          <w:trHeight w:hRule="exact" w:val="340"/>
        </w:trPr>
        <w:tc>
          <w:tcPr>
            <w:tcW w:w="1384" w:type="dxa"/>
            <w:vAlign w:val="center"/>
          </w:tcPr>
          <w:p w14:paraId="15863A0F" w14:textId="77777777" w:rsidR="009C353B" w:rsidRDefault="00000000">
            <w:pPr>
              <w:jc w:val="center"/>
              <w:rPr>
                <w:rFonts w:ascii="Times New Roman" w:hAnsi="Times New Roman"/>
                <w:sz w:val="21"/>
                <w:szCs w:val="21"/>
              </w:rPr>
            </w:pPr>
            <w:r>
              <w:rPr>
                <w:rFonts w:ascii="Times New Roman" w:hAnsi="Times New Roman"/>
                <w:sz w:val="21"/>
                <w:szCs w:val="21"/>
              </w:rPr>
              <w:t>浊度</w:t>
            </w:r>
          </w:p>
        </w:tc>
        <w:tc>
          <w:tcPr>
            <w:tcW w:w="1134" w:type="dxa"/>
            <w:vAlign w:val="center"/>
          </w:tcPr>
          <w:p w14:paraId="596E0107" w14:textId="77777777" w:rsidR="009C353B" w:rsidRDefault="00000000">
            <w:pPr>
              <w:jc w:val="center"/>
              <w:rPr>
                <w:rFonts w:ascii="Times New Roman" w:hAnsi="Times New Roman"/>
                <w:sz w:val="21"/>
                <w:szCs w:val="21"/>
              </w:rPr>
            </w:pPr>
            <w:r>
              <w:rPr>
                <w:rFonts w:ascii="Times New Roman" w:hAnsi="Times New Roman"/>
                <w:sz w:val="21"/>
                <w:szCs w:val="21"/>
              </w:rPr>
              <w:t>NTU</w:t>
            </w:r>
          </w:p>
        </w:tc>
        <w:tc>
          <w:tcPr>
            <w:tcW w:w="1559" w:type="dxa"/>
            <w:vAlign w:val="center"/>
          </w:tcPr>
          <w:p w14:paraId="6C2A507E" w14:textId="77777777" w:rsidR="009C353B" w:rsidRDefault="00000000">
            <w:pPr>
              <w:jc w:val="center"/>
              <w:rPr>
                <w:rFonts w:ascii="Times New Roman" w:hAnsi="Times New Roman"/>
                <w:sz w:val="21"/>
                <w:szCs w:val="21"/>
              </w:rPr>
            </w:pPr>
            <w:r>
              <w:rPr>
                <w:rFonts w:ascii="Times New Roman" w:hAnsi="Times New Roman"/>
                <w:sz w:val="21"/>
                <w:szCs w:val="21"/>
              </w:rPr>
              <w:t>3.96</w:t>
            </w:r>
          </w:p>
        </w:tc>
        <w:tc>
          <w:tcPr>
            <w:tcW w:w="2977" w:type="dxa"/>
            <w:vAlign w:val="center"/>
          </w:tcPr>
          <w:p w14:paraId="2E5EE1A5" w14:textId="77777777" w:rsidR="009C353B" w:rsidRDefault="00000000">
            <w:pPr>
              <w:jc w:val="center"/>
              <w:rPr>
                <w:rFonts w:ascii="Times New Roman" w:hAnsi="Times New Roman"/>
                <w:sz w:val="21"/>
                <w:szCs w:val="21"/>
              </w:rPr>
            </w:pPr>
            <w:r>
              <w:rPr>
                <w:rFonts w:ascii="Times New Roman" w:hAnsi="Times New Roman"/>
                <w:sz w:val="21"/>
                <w:szCs w:val="21"/>
              </w:rPr>
              <w:t>5</w:t>
            </w:r>
          </w:p>
        </w:tc>
        <w:tc>
          <w:tcPr>
            <w:tcW w:w="2233" w:type="dxa"/>
            <w:vAlign w:val="center"/>
          </w:tcPr>
          <w:p w14:paraId="090331C4" w14:textId="77777777" w:rsidR="009C353B" w:rsidRDefault="00000000">
            <w:pPr>
              <w:jc w:val="center"/>
              <w:rPr>
                <w:rFonts w:ascii="Times New Roman" w:hAnsi="Times New Roman"/>
                <w:sz w:val="21"/>
                <w:szCs w:val="21"/>
              </w:rPr>
            </w:pPr>
            <w:r>
              <w:rPr>
                <w:rFonts w:ascii="Times New Roman" w:hAnsi="Times New Roman"/>
                <w:sz w:val="21"/>
                <w:szCs w:val="21"/>
              </w:rPr>
              <w:t>/</w:t>
            </w:r>
          </w:p>
        </w:tc>
      </w:tr>
      <w:tr w:rsidR="009C353B" w14:paraId="25C9DFA6" w14:textId="77777777">
        <w:trPr>
          <w:trHeight w:hRule="exact" w:val="340"/>
        </w:trPr>
        <w:tc>
          <w:tcPr>
            <w:tcW w:w="1384" w:type="dxa"/>
            <w:vAlign w:val="center"/>
          </w:tcPr>
          <w:p w14:paraId="336B632C" w14:textId="77777777" w:rsidR="009C353B" w:rsidRDefault="00000000">
            <w:pPr>
              <w:jc w:val="center"/>
              <w:rPr>
                <w:rFonts w:ascii="Times New Roman" w:hAnsi="Times New Roman"/>
                <w:sz w:val="21"/>
                <w:szCs w:val="21"/>
              </w:rPr>
            </w:pPr>
            <w:r>
              <w:rPr>
                <w:rFonts w:ascii="Times New Roman" w:hAnsi="Times New Roman"/>
                <w:sz w:val="21"/>
                <w:szCs w:val="21"/>
              </w:rPr>
              <w:t>BOD</w:t>
            </w:r>
            <w:r>
              <w:rPr>
                <w:rFonts w:ascii="Times New Roman" w:hAnsi="Times New Roman"/>
                <w:sz w:val="21"/>
                <w:szCs w:val="21"/>
                <w:vertAlign w:val="subscript"/>
              </w:rPr>
              <w:t>5</w:t>
            </w:r>
          </w:p>
        </w:tc>
        <w:tc>
          <w:tcPr>
            <w:tcW w:w="1134" w:type="dxa"/>
            <w:vAlign w:val="center"/>
          </w:tcPr>
          <w:p w14:paraId="39C85B90"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566D6F37" w14:textId="77777777" w:rsidR="009C353B" w:rsidRDefault="00000000">
            <w:pPr>
              <w:jc w:val="center"/>
              <w:rPr>
                <w:rFonts w:ascii="Times New Roman" w:hAnsi="Times New Roman"/>
                <w:sz w:val="21"/>
                <w:szCs w:val="21"/>
              </w:rPr>
            </w:pPr>
            <w:r>
              <w:rPr>
                <w:rFonts w:ascii="Times New Roman" w:hAnsi="Times New Roman"/>
                <w:sz w:val="21"/>
                <w:szCs w:val="21"/>
              </w:rPr>
              <w:t>7</w:t>
            </w:r>
          </w:p>
        </w:tc>
        <w:tc>
          <w:tcPr>
            <w:tcW w:w="2977" w:type="dxa"/>
            <w:vAlign w:val="center"/>
          </w:tcPr>
          <w:p w14:paraId="3F506AE5" w14:textId="77777777" w:rsidR="009C353B" w:rsidRDefault="00000000">
            <w:pPr>
              <w:jc w:val="center"/>
              <w:rPr>
                <w:rFonts w:ascii="Times New Roman" w:hAnsi="Times New Roman"/>
                <w:sz w:val="21"/>
                <w:szCs w:val="21"/>
              </w:rPr>
            </w:pPr>
            <w:r>
              <w:rPr>
                <w:rFonts w:ascii="Times New Roman" w:hAnsi="Times New Roman"/>
                <w:sz w:val="21"/>
                <w:szCs w:val="21"/>
              </w:rPr>
              <w:t>10</w:t>
            </w:r>
          </w:p>
        </w:tc>
        <w:tc>
          <w:tcPr>
            <w:tcW w:w="2233" w:type="dxa"/>
            <w:vAlign w:val="center"/>
          </w:tcPr>
          <w:p w14:paraId="0B21ABD6" w14:textId="77777777" w:rsidR="009C353B" w:rsidRDefault="00000000">
            <w:pPr>
              <w:jc w:val="center"/>
              <w:rPr>
                <w:rFonts w:ascii="Times New Roman" w:hAnsi="Times New Roman"/>
                <w:sz w:val="21"/>
                <w:szCs w:val="21"/>
              </w:rPr>
            </w:pPr>
            <w:r>
              <w:rPr>
                <w:rFonts w:ascii="Times New Roman" w:hAnsi="Times New Roman"/>
                <w:sz w:val="21"/>
                <w:szCs w:val="21"/>
              </w:rPr>
              <w:t>60</w:t>
            </w:r>
          </w:p>
        </w:tc>
      </w:tr>
      <w:tr w:rsidR="009C353B" w14:paraId="431E084B" w14:textId="77777777">
        <w:trPr>
          <w:trHeight w:hRule="exact" w:val="340"/>
        </w:trPr>
        <w:tc>
          <w:tcPr>
            <w:tcW w:w="1384" w:type="dxa"/>
            <w:vAlign w:val="center"/>
          </w:tcPr>
          <w:p w14:paraId="4C95B1E7" w14:textId="77777777" w:rsidR="009C353B" w:rsidRDefault="00000000">
            <w:pPr>
              <w:jc w:val="center"/>
              <w:rPr>
                <w:rFonts w:ascii="Times New Roman" w:hAnsi="Times New Roman"/>
                <w:sz w:val="21"/>
                <w:szCs w:val="21"/>
              </w:rPr>
            </w:pPr>
            <w:r>
              <w:rPr>
                <w:rFonts w:ascii="Times New Roman" w:hAnsi="Times New Roman"/>
                <w:sz w:val="21"/>
                <w:szCs w:val="21"/>
              </w:rPr>
              <w:t>CODcr</w:t>
            </w:r>
          </w:p>
        </w:tc>
        <w:tc>
          <w:tcPr>
            <w:tcW w:w="1134" w:type="dxa"/>
            <w:vAlign w:val="center"/>
          </w:tcPr>
          <w:p w14:paraId="25D6D984"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3E635453" w14:textId="77777777" w:rsidR="009C353B" w:rsidRDefault="00000000">
            <w:pPr>
              <w:jc w:val="center"/>
              <w:rPr>
                <w:rFonts w:ascii="Times New Roman" w:hAnsi="Times New Roman"/>
                <w:sz w:val="21"/>
                <w:szCs w:val="21"/>
              </w:rPr>
            </w:pPr>
            <w:r>
              <w:rPr>
                <w:rFonts w:ascii="Times New Roman" w:hAnsi="Times New Roman"/>
                <w:sz w:val="21"/>
                <w:szCs w:val="21"/>
              </w:rPr>
              <w:t>31~35</w:t>
            </w:r>
          </w:p>
        </w:tc>
        <w:tc>
          <w:tcPr>
            <w:tcW w:w="2977" w:type="dxa"/>
            <w:vAlign w:val="center"/>
          </w:tcPr>
          <w:p w14:paraId="03A6D6E9" w14:textId="77777777" w:rsidR="009C353B" w:rsidRDefault="00000000">
            <w:pPr>
              <w:jc w:val="center"/>
              <w:rPr>
                <w:rFonts w:ascii="Times New Roman" w:hAnsi="Times New Roman"/>
                <w:sz w:val="21"/>
                <w:szCs w:val="21"/>
              </w:rPr>
            </w:pPr>
            <w:r>
              <w:rPr>
                <w:rFonts w:ascii="Times New Roman" w:hAnsi="Times New Roman"/>
                <w:sz w:val="21"/>
                <w:szCs w:val="21"/>
              </w:rPr>
              <w:t>60</w:t>
            </w:r>
          </w:p>
        </w:tc>
        <w:tc>
          <w:tcPr>
            <w:tcW w:w="2233" w:type="dxa"/>
            <w:vAlign w:val="center"/>
          </w:tcPr>
          <w:p w14:paraId="328F6B8F" w14:textId="77777777" w:rsidR="009C353B" w:rsidRDefault="00000000">
            <w:pPr>
              <w:jc w:val="center"/>
              <w:rPr>
                <w:rFonts w:ascii="Times New Roman" w:hAnsi="Times New Roman"/>
                <w:sz w:val="21"/>
                <w:szCs w:val="21"/>
              </w:rPr>
            </w:pPr>
            <w:r>
              <w:rPr>
                <w:rFonts w:ascii="Times New Roman" w:hAnsi="Times New Roman"/>
                <w:sz w:val="21"/>
                <w:szCs w:val="21"/>
              </w:rPr>
              <w:t>150</w:t>
            </w:r>
          </w:p>
        </w:tc>
      </w:tr>
      <w:tr w:rsidR="009C353B" w14:paraId="30D61384" w14:textId="77777777">
        <w:trPr>
          <w:trHeight w:hRule="exact" w:val="340"/>
        </w:trPr>
        <w:tc>
          <w:tcPr>
            <w:tcW w:w="1384" w:type="dxa"/>
            <w:vAlign w:val="center"/>
          </w:tcPr>
          <w:p w14:paraId="7230F9B0" w14:textId="77777777" w:rsidR="009C353B" w:rsidRDefault="00000000">
            <w:pPr>
              <w:jc w:val="center"/>
              <w:rPr>
                <w:rFonts w:ascii="Times New Roman" w:hAnsi="Times New Roman"/>
                <w:sz w:val="21"/>
                <w:szCs w:val="21"/>
              </w:rPr>
            </w:pPr>
            <w:r>
              <w:rPr>
                <w:rFonts w:ascii="Times New Roman" w:hAnsi="Times New Roman"/>
                <w:sz w:val="21"/>
                <w:szCs w:val="21"/>
              </w:rPr>
              <w:t>氨氮</w:t>
            </w:r>
          </w:p>
        </w:tc>
        <w:tc>
          <w:tcPr>
            <w:tcW w:w="1134" w:type="dxa"/>
            <w:vAlign w:val="center"/>
          </w:tcPr>
          <w:p w14:paraId="5BE7C9F9"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663C4B2B" w14:textId="77777777" w:rsidR="009C353B" w:rsidRDefault="00000000">
            <w:pPr>
              <w:jc w:val="center"/>
              <w:rPr>
                <w:rFonts w:ascii="Times New Roman" w:hAnsi="Times New Roman"/>
                <w:sz w:val="21"/>
                <w:szCs w:val="21"/>
              </w:rPr>
            </w:pPr>
            <w:r>
              <w:rPr>
                <w:rFonts w:ascii="Times New Roman" w:hAnsi="Times New Roman"/>
                <w:sz w:val="21"/>
                <w:szCs w:val="21"/>
              </w:rPr>
              <w:t>0.631~0.706</w:t>
            </w:r>
          </w:p>
        </w:tc>
        <w:tc>
          <w:tcPr>
            <w:tcW w:w="2977" w:type="dxa"/>
            <w:vAlign w:val="center"/>
          </w:tcPr>
          <w:p w14:paraId="321C982C" w14:textId="77777777" w:rsidR="009C353B" w:rsidRDefault="00000000">
            <w:pPr>
              <w:jc w:val="center"/>
              <w:rPr>
                <w:rFonts w:ascii="Times New Roman" w:hAnsi="Times New Roman"/>
                <w:sz w:val="21"/>
                <w:szCs w:val="21"/>
              </w:rPr>
            </w:pPr>
            <w:r>
              <w:rPr>
                <w:rFonts w:ascii="Times New Roman" w:hAnsi="Times New Roman"/>
                <w:sz w:val="21"/>
                <w:szCs w:val="21"/>
              </w:rPr>
              <w:t>10</w:t>
            </w:r>
          </w:p>
        </w:tc>
        <w:tc>
          <w:tcPr>
            <w:tcW w:w="2233" w:type="dxa"/>
            <w:vAlign w:val="center"/>
          </w:tcPr>
          <w:p w14:paraId="0E06AAE0" w14:textId="77777777" w:rsidR="009C353B" w:rsidRDefault="00000000">
            <w:pPr>
              <w:jc w:val="center"/>
              <w:rPr>
                <w:rFonts w:ascii="Times New Roman" w:hAnsi="Times New Roman"/>
                <w:sz w:val="21"/>
                <w:szCs w:val="21"/>
              </w:rPr>
            </w:pPr>
            <w:r>
              <w:rPr>
                <w:rFonts w:ascii="Times New Roman" w:hAnsi="Times New Roman"/>
                <w:sz w:val="21"/>
                <w:szCs w:val="21"/>
              </w:rPr>
              <w:t>25</w:t>
            </w:r>
          </w:p>
        </w:tc>
      </w:tr>
      <w:tr w:rsidR="009C353B" w14:paraId="5E3FADA3" w14:textId="77777777">
        <w:trPr>
          <w:trHeight w:hRule="exact" w:val="340"/>
        </w:trPr>
        <w:tc>
          <w:tcPr>
            <w:tcW w:w="1384" w:type="dxa"/>
            <w:vAlign w:val="center"/>
          </w:tcPr>
          <w:p w14:paraId="1FB77503" w14:textId="77777777" w:rsidR="009C353B" w:rsidRDefault="00000000">
            <w:pPr>
              <w:jc w:val="center"/>
              <w:rPr>
                <w:rFonts w:ascii="Times New Roman" w:hAnsi="Times New Roman"/>
                <w:sz w:val="21"/>
                <w:szCs w:val="21"/>
              </w:rPr>
            </w:pPr>
            <w:r>
              <w:rPr>
                <w:rFonts w:ascii="Times New Roman" w:hAnsi="Times New Roman"/>
                <w:sz w:val="21"/>
                <w:szCs w:val="21"/>
              </w:rPr>
              <w:t>总磷</w:t>
            </w:r>
          </w:p>
        </w:tc>
        <w:tc>
          <w:tcPr>
            <w:tcW w:w="1134" w:type="dxa"/>
            <w:vAlign w:val="center"/>
          </w:tcPr>
          <w:p w14:paraId="5C10C78F"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0AC4A021" w14:textId="77777777" w:rsidR="009C353B" w:rsidRDefault="00000000">
            <w:pPr>
              <w:jc w:val="center"/>
              <w:rPr>
                <w:rFonts w:ascii="Times New Roman" w:hAnsi="Times New Roman"/>
                <w:sz w:val="21"/>
                <w:szCs w:val="21"/>
              </w:rPr>
            </w:pPr>
            <w:r>
              <w:rPr>
                <w:rFonts w:ascii="Times New Roman" w:hAnsi="Times New Roman"/>
                <w:sz w:val="21"/>
                <w:szCs w:val="21"/>
              </w:rPr>
              <w:t>0.34</w:t>
            </w:r>
          </w:p>
        </w:tc>
        <w:tc>
          <w:tcPr>
            <w:tcW w:w="2977" w:type="dxa"/>
            <w:vAlign w:val="center"/>
          </w:tcPr>
          <w:p w14:paraId="343FCA09" w14:textId="77777777" w:rsidR="009C353B" w:rsidRDefault="00000000">
            <w:pPr>
              <w:jc w:val="center"/>
              <w:rPr>
                <w:rFonts w:ascii="Times New Roman" w:hAnsi="Times New Roman"/>
                <w:sz w:val="21"/>
                <w:szCs w:val="21"/>
              </w:rPr>
            </w:pPr>
            <w:r>
              <w:rPr>
                <w:rFonts w:ascii="Times New Roman" w:hAnsi="Times New Roman"/>
                <w:sz w:val="21"/>
                <w:szCs w:val="21"/>
              </w:rPr>
              <w:t>1</w:t>
            </w:r>
          </w:p>
        </w:tc>
        <w:tc>
          <w:tcPr>
            <w:tcW w:w="2233" w:type="dxa"/>
            <w:vAlign w:val="center"/>
          </w:tcPr>
          <w:p w14:paraId="0E369004" w14:textId="77777777" w:rsidR="009C353B" w:rsidRDefault="00000000">
            <w:pPr>
              <w:jc w:val="center"/>
              <w:rPr>
                <w:rFonts w:ascii="Times New Roman" w:hAnsi="Times New Roman"/>
                <w:sz w:val="21"/>
                <w:szCs w:val="21"/>
              </w:rPr>
            </w:pPr>
            <w:r>
              <w:rPr>
                <w:rFonts w:ascii="Times New Roman" w:hAnsi="Times New Roman"/>
                <w:sz w:val="21"/>
                <w:szCs w:val="21"/>
              </w:rPr>
              <w:t>/</w:t>
            </w:r>
          </w:p>
        </w:tc>
      </w:tr>
      <w:tr w:rsidR="009C353B" w14:paraId="76441DEE" w14:textId="77777777">
        <w:trPr>
          <w:trHeight w:hRule="exact" w:val="630"/>
        </w:trPr>
        <w:tc>
          <w:tcPr>
            <w:tcW w:w="1384" w:type="dxa"/>
            <w:vAlign w:val="center"/>
          </w:tcPr>
          <w:p w14:paraId="4BF52B4B" w14:textId="77777777" w:rsidR="009C353B" w:rsidRDefault="00000000">
            <w:pPr>
              <w:jc w:val="center"/>
              <w:rPr>
                <w:rFonts w:ascii="Times New Roman" w:hAnsi="Times New Roman"/>
                <w:sz w:val="21"/>
                <w:szCs w:val="21"/>
              </w:rPr>
            </w:pPr>
            <w:r>
              <w:rPr>
                <w:rFonts w:ascii="Times New Roman" w:hAnsi="Times New Roman"/>
                <w:sz w:val="21"/>
                <w:szCs w:val="21"/>
              </w:rPr>
              <w:t>阴离子表面活性剂</w:t>
            </w:r>
          </w:p>
        </w:tc>
        <w:tc>
          <w:tcPr>
            <w:tcW w:w="1134" w:type="dxa"/>
            <w:vAlign w:val="center"/>
          </w:tcPr>
          <w:p w14:paraId="178AB75D"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3FA91977" w14:textId="77777777" w:rsidR="009C353B" w:rsidRDefault="00000000">
            <w:pPr>
              <w:jc w:val="center"/>
              <w:rPr>
                <w:rFonts w:ascii="Times New Roman" w:hAnsi="Times New Roman"/>
                <w:sz w:val="21"/>
                <w:szCs w:val="21"/>
              </w:rPr>
            </w:pPr>
            <w:r>
              <w:rPr>
                <w:rFonts w:ascii="Times New Roman" w:hAnsi="Times New Roman"/>
                <w:sz w:val="21"/>
                <w:szCs w:val="21"/>
              </w:rPr>
              <w:t>0.181~0.227</w:t>
            </w:r>
          </w:p>
        </w:tc>
        <w:tc>
          <w:tcPr>
            <w:tcW w:w="2977" w:type="dxa"/>
            <w:vAlign w:val="center"/>
          </w:tcPr>
          <w:p w14:paraId="5542CA4A" w14:textId="77777777" w:rsidR="009C353B" w:rsidRDefault="00000000">
            <w:pPr>
              <w:jc w:val="center"/>
              <w:rPr>
                <w:rFonts w:ascii="Times New Roman" w:hAnsi="Times New Roman"/>
                <w:sz w:val="21"/>
                <w:szCs w:val="21"/>
              </w:rPr>
            </w:pPr>
            <w:r>
              <w:rPr>
                <w:rFonts w:ascii="Times New Roman" w:hAnsi="Times New Roman"/>
                <w:sz w:val="21"/>
                <w:szCs w:val="21"/>
              </w:rPr>
              <w:t>0.5</w:t>
            </w:r>
          </w:p>
        </w:tc>
        <w:tc>
          <w:tcPr>
            <w:tcW w:w="2233" w:type="dxa"/>
            <w:vAlign w:val="center"/>
          </w:tcPr>
          <w:p w14:paraId="7E574D79" w14:textId="77777777" w:rsidR="009C353B" w:rsidRDefault="00000000">
            <w:pPr>
              <w:jc w:val="center"/>
              <w:rPr>
                <w:rFonts w:ascii="Times New Roman" w:hAnsi="Times New Roman"/>
                <w:sz w:val="21"/>
                <w:szCs w:val="21"/>
              </w:rPr>
            </w:pPr>
            <w:r>
              <w:rPr>
                <w:rFonts w:ascii="Times New Roman" w:hAnsi="Times New Roman"/>
                <w:sz w:val="21"/>
                <w:szCs w:val="21"/>
              </w:rPr>
              <w:t>10</w:t>
            </w:r>
          </w:p>
        </w:tc>
      </w:tr>
      <w:tr w:rsidR="009C353B" w14:paraId="0405701E" w14:textId="77777777">
        <w:trPr>
          <w:trHeight w:hRule="exact" w:val="340"/>
        </w:trPr>
        <w:tc>
          <w:tcPr>
            <w:tcW w:w="1384" w:type="dxa"/>
            <w:vAlign w:val="center"/>
          </w:tcPr>
          <w:p w14:paraId="2E3D20C8" w14:textId="77777777" w:rsidR="009C353B" w:rsidRDefault="00000000">
            <w:pPr>
              <w:jc w:val="center"/>
              <w:rPr>
                <w:rFonts w:ascii="Times New Roman" w:hAnsi="Times New Roman"/>
                <w:sz w:val="21"/>
                <w:szCs w:val="21"/>
              </w:rPr>
            </w:pPr>
            <w:r>
              <w:rPr>
                <w:rFonts w:ascii="Times New Roman" w:hAnsi="Times New Roman"/>
                <w:sz w:val="21"/>
                <w:szCs w:val="21"/>
              </w:rPr>
              <w:t>粪大肠菌群</w:t>
            </w:r>
          </w:p>
        </w:tc>
        <w:tc>
          <w:tcPr>
            <w:tcW w:w="1134" w:type="dxa"/>
            <w:vAlign w:val="center"/>
          </w:tcPr>
          <w:p w14:paraId="7A1F7317" w14:textId="77777777" w:rsidR="009C353B" w:rsidRDefault="00000000">
            <w:pPr>
              <w:jc w:val="center"/>
              <w:rPr>
                <w:rFonts w:ascii="Times New Roman" w:hAnsi="Times New Roman"/>
                <w:sz w:val="21"/>
                <w:szCs w:val="21"/>
              </w:rPr>
            </w:pPr>
            <w:r>
              <w:rPr>
                <w:rFonts w:ascii="Times New Roman" w:hAnsi="Times New Roman"/>
                <w:sz w:val="21"/>
                <w:szCs w:val="21"/>
              </w:rPr>
              <w:t>个</w:t>
            </w:r>
            <w:r>
              <w:rPr>
                <w:rFonts w:ascii="Times New Roman" w:hAnsi="Times New Roman"/>
                <w:sz w:val="21"/>
                <w:szCs w:val="21"/>
              </w:rPr>
              <w:t>/l</w:t>
            </w:r>
          </w:p>
        </w:tc>
        <w:tc>
          <w:tcPr>
            <w:tcW w:w="1559" w:type="dxa"/>
            <w:vAlign w:val="center"/>
          </w:tcPr>
          <w:p w14:paraId="238F42C7" w14:textId="77777777" w:rsidR="009C353B" w:rsidRDefault="00000000">
            <w:pPr>
              <w:jc w:val="center"/>
              <w:rPr>
                <w:rFonts w:ascii="Times New Roman" w:hAnsi="Times New Roman"/>
                <w:sz w:val="21"/>
                <w:szCs w:val="21"/>
              </w:rPr>
            </w:pPr>
            <w:r>
              <w:rPr>
                <w:rFonts w:ascii="Times New Roman" w:hAnsi="Times New Roman"/>
                <w:sz w:val="21"/>
                <w:szCs w:val="21"/>
              </w:rPr>
              <w:t>&lt;20</w:t>
            </w:r>
          </w:p>
        </w:tc>
        <w:tc>
          <w:tcPr>
            <w:tcW w:w="2977" w:type="dxa"/>
            <w:vAlign w:val="center"/>
          </w:tcPr>
          <w:p w14:paraId="4A0184DD" w14:textId="77777777" w:rsidR="009C353B" w:rsidRDefault="00000000">
            <w:pPr>
              <w:jc w:val="center"/>
              <w:rPr>
                <w:rFonts w:ascii="Times New Roman" w:hAnsi="Times New Roman"/>
                <w:sz w:val="21"/>
                <w:szCs w:val="21"/>
              </w:rPr>
            </w:pPr>
            <w:r>
              <w:rPr>
                <w:rFonts w:ascii="Times New Roman" w:hAnsi="Times New Roman"/>
                <w:sz w:val="21"/>
                <w:szCs w:val="21"/>
              </w:rPr>
              <w:t>2000</w:t>
            </w:r>
          </w:p>
        </w:tc>
        <w:tc>
          <w:tcPr>
            <w:tcW w:w="2233" w:type="dxa"/>
            <w:vAlign w:val="center"/>
          </w:tcPr>
          <w:p w14:paraId="3752F172" w14:textId="77777777" w:rsidR="009C353B" w:rsidRDefault="00000000">
            <w:pPr>
              <w:jc w:val="center"/>
              <w:rPr>
                <w:rFonts w:ascii="Times New Roman" w:hAnsi="Times New Roman"/>
                <w:sz w:val="21"/>
                <w:szCs w:val="21"/>
              </w:rPr>
            </w:pPr>
            <w:r>
              <w:rPr>
                <w:rFonts w:ascii="Times New Roman" w:hAnsi="Times New Roman"/>
                <w:sz w:val="21"/>
                <w:szCs w:val="21"/>
              </w:rPr>
              <w:t>/</w:t>
            </w:r>
          </w:p>
        </w:tc>
      </w:tr>
      <w:tr w:rsidR="009C353B" w14:paraId="7BF46191" w14:textId="77777777">
        <w:trPr>
          <w:trHeight w:hRule="exact" w:val="340"/>
        </w:trPr>
        <w:tc>
          <w:tcPr>
            <w:tcW w:w="1384" w:type="dxa"/>
            <w:vAlign w:val="center"/>
          </w:tcPr>
          <w:p w14:paraId="5FAAF03C" w14:textId="77777777" w:rsidR="009C353B" w:rsidRDefault="00000000">
            <w:pPr>
              <w:jc w:val="center"/>
              <w:rPr>
                <w:rFonts w:ascii="Times New Roman" w:hAnsi="Times New Roman"/>
                <w:sz w:val="21"/>
                <w:szCs w:val="21"/>
              </w:rPr>
            </w:pPr>
            <w:r>
              <w:rPr>
                <w:rFonts w:ascii="Times New Roman" w:hAnsi="Times New Roman"/>
                <w:sz w:val="21"/>
                <w:szCs w:val="21"/>
              </w:rPr>
              <w:t>石油类</w:t>
            </w:r>
          </w:p>
        </w:tc>
        <w:tc>
          <w:tcPr>
            <w:tcW w:w="1134" w:type="dxa"/>
            <w:vAlign w:val="center"/>
          </w:tcPr>
          <w:p w14:paraId="3BCF169F"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12A3B006" w14:textId="77777777" w:rsidR="009C353B" w:rsidRDefault="00000000">
            <w:pPr>
              <w:jc w:val="center"/>
              <w:rPr>
                <w:rFonts w:ascii="Times New Roman" w:hAnsi="Times New Roman"/>
                <w:sz w:val="21"/>
                <w:szCs w:val="21"/>
              </w:rPr>
            </w:pPr>
            <w:r>
              <w:rPr>
                <w:rFonts w:ascii="Times New Roman" w:hAnsi="Times New Roman"/>
                <w:sz w:val="21"/>
                <w:szCs w:val="21"/>
              </w:rPr>
              <w:t>0.01~0.02</w:t>
            </w:r>
          </w:p>
        </w:tc>
        <w:tc>
          <w:tcPr>
            <w:tcW w:w="2977" w:type="dxa"/>
            <w:vAlign w:val="center"/>
          </w:tcPr>
          <w:p w14:paraId="2CA49CFD" w14:textId="77777777" w:rsidR="009C353B" w:rsidRDefault="00000000">
            <w:pPr>
              <w:jc w:val="center"/>
              <w:rPr>
                <w:rFonts w:ascii="Times New Roman" w:hAnsi="Times New Roman"/>
                <w:sz w:val="21"/>
                <w:szCs w:val="21"/>
              </w:rPr>
            </w:pPr>
            <w:r>
              <w:rPr>
                <w:rFonts w:ascii="Times New Roman" w:hAnsi="Times New Roman"/>
                <w:sz w:val="21"/>
                <w:szCs w:val="21"/>
              </w:rPr>
              <w:t>1</w:t>
            </w:r>
          </w:p>
        </w:tc>
        <w:tc>
          <w:tcPr>
            <w:tcW w:w="2233" w:type="dxa"/>
            <w:vAlign w:val="center"/>
          </w:tcPr>
          <w:p w14:paraId="42276256" w14:textId="77777777" w:rsidR="009C353B" w:rsidRDefault="00000000">
            <w:pPr>
              <w:jc w:val="center"/>
              <w:rPr>
                <w:rFonts w:ascii="Times New Roman" w:hAnsi="Times New Roman"/>
                <w:sz w:val="21"/>
                <w:szCs w:val="21"/>
              </w:rPr>
            </w:pPr>
            <w:r>
              <w:rPr>
                <w:rFonts w:ascii="Times New Roman" w:hAnsi="Times New Roman"/>
                <w:sz w:val="21"/>
                <w:szCs w:val="21"/>
              </w:rPr>
              <w:t>10</w:t>
            </w:r>
          </w:p>
        </w:tc>
      </w:tr>
      <w:tr w:rsidR="009C353B" w14:paraId="23F45DA9" w14:textId="77777777">
        <w:trPr>
          <w:trHeight w:hRule="exact" w:val="340"/>
        </w:trPr>
        <w:tc>
          <w:tcPr>
            <w:tcW w:w="1384" w:type="dxa"/>
            <w:vAlign w:val="center"/>
          </w:tcPr>
          <w:p w14:paraId="69500031" w14:textId="77777777" w:rsidR="009C353B" w:rsidRDefault="00000000">
            <w:pPr>
              <w:jc w:val="center"/>
              <w:rPr>
                <w:rFonts w:ascii="Times New Roman" w:hAnsi="Times New Roman"/>
                <w:sz w:val="21"/>
                <w:szCs w:val="21"/>
              </w:rPr>
            </w:pPr>
            <w:r>
              <w:rPr>
                <w:rFonts w:ascii="Times New Roman" w:hAnsi="Times New Roman"/>
                <w:sz w:val="21"/>
                <w:szCs w:val="21"/>
              </w:rPr>
              <w:t>色度</w:t>
            </w:r>
          </w:p>
        </w:tc>
        <w:tc>
          <w:tcPr>
            <w:tcW w:w="1134" w:type="dxa"/>
            <w:vAlign w:val="center"/>
          </w:tcPr>
          <w:p w14:paraId="3D245635" w14:textId="77777777" w:rsidR="009C353B" w:rsidRDefault="00000000">
            <w:pPr>
              <w:jc w:val="center"/>
              <w:rPr>
                <w:rFonts w:ascii="Times New Roman" w:hAnsi="Times New Roman"/>
                <w:sz w:val="21"/>
                <w:szCs w:val="21"/>
              </w:rPr>
            </w:pPr>
            <w:r>
              <w:rPr>
                <w:rFonts w:ascii="Times New Roman" w:hAnsi="Times New Roman"/>
                <w:sz w:val="21"/>
                <w:szCs w:val="21"/>
              </w:rPr>
              <w:t>倍</w:t>
            </w:r>
          </w:p>
        </w:tc>
        <w:tc>
          <w:tcPr>
            <w:tcW w:w="1559" w:type="dxa"/>
            <w:vAlign w:val="center"/>
          </w:tcPr>
          <w:p w14:paraId="360BF324" w14:textId="77777777" w:rsidR="009C353B" w:rsidRDefault="00000000">
            <w:pPr>
              <w:jc w:val="center"/>
              <w:rPr>
                <w:rFonts w:ascii="Times New Roman" w:hAnsi="Times New Roman"/>
                <w:sz w:val="21"/>
                <w:szCs w:val="21"/>
              </w:rPr>
            </w:pPr>
            <w:r>
              <w:rPr>
                <w:rFonts w:ascii="Times New Roman" w:hAnsi="Times New Roman"/>
                <w:sz w:val="21"/>
                <w:szCs w:val="21"/>
              </w:rPr>
              <w:t>5~6</w:t>
            </w:r>
          </w:p>
        </w:tc>
        <w:tc>
          <w:tcPr>
            <w:tcW w:w="2977" w:type="dxa"/>
            <w:vAlign w:val="center"/>
          </w:tcPr>
          <w:p w14:paraId="037B7549" w14:textId="77777777" w:rsidR="009C353B" w:rsidRDefault="00000000">
            <w:pPr>
              <w:jc w:val="center"/>
              <w:rPr>
                <w:rFonts w:ascii="Times New Roman" w:hAnsi="Times New Roman"/>
                <w:sz w:val="21"/>
                <w:szCs w:val="21"/>
              </w:rPr>
            </w:pPr>
            <w:r>
              <w:rPr>
                <w:rFonts w:ascii="Times New Roman" w:hAnsi="Times New Roman"/>
                <w:sz w:val="21"/>
                <w:szCs w:val="21"/>
              </w:rPr>
              <w:t>30</w:t>
            </w:r>
          </w:p>
        </w:tc>
        <w:tc>
          <w:tcPr>
            <w:tcW w:w="2233" w:type="dxa"/>
            <w:vAlign w:val="center"/>
          </w:tcPr>
          <w:p w14:paraId="324F36C1" w14:textId="77777777" w:rsidR="009C353B" w:rsidRDefault="00000000">
            <w:pPr>
              <w:jc w:val="center"/>
              <w:rPr>
                <w:rFonts w:ascii="Times New Roman" w:hAnsi="Times New Roman"/>
                <w:sz w:val="21"/>
                <w:szCs w:val="21"/>
              </w:rPr>
            </w:pPr>
            <w:r>
              <w:rPr>
                <w:rFonts w:ascii="Times New Roman" w:hAnsi="Times New Roman"/>
                <w:sz w:val="21"/>
                <w:szCs w:val="21"/>
              </w:rPr>
              <w:t>80</w:t>
            </w:r>
          </w:p>
        </w:tc>
      </w:tr>
      <w:tr w:rsidR="009C353B" w14:paraId="3E284E61" w14:textId="77777777">
        <w:trPr>
          <w:trHeight w:hRule="exact" w:val="340"/>
        </w:trPr>
        <w:tc>
          <w:tcPr>
            <w:tcW w:w="1384" w:type="dxa"/>
            <w:vAlign w:val="center"/>
          </w:tcPr>
          <w:p w14:paraId="70B9E42C" w14:textId="77777777" w:rsidR="009C353B" w:rsidRDefault="00000000">
            <w:pPr>
              <w:jc w:val="center"/>
              <w:rPr>
                <w:rFonts w:ascii="Times New Roman" w:hAnsi="Times New Roman"/>
                <w:sz w:val="21"/>
                <w:szCs w:val="21"/>
              </w:rPr>
            </w:pPr>
            <w:r>
              <w:rPr>
                <w:rFonts w:ascii="Times New Roman" w:hAnsi="Times New Roman"/>
                <w:sz w:val="21"/>
                <w:szCs w:val="21"/>
              </w:rPr>
              <w:t>余氯</w:t>
            </w:r>
          </w:p>
        </w:tc>
        <w:tc>
          <w:tcPr>
            <w:tcW w:w="1134" w:type="dxa"/>
            <w:vAlign w:val="center"/>
          </w:tcPr>
          <w:p w14:paraId="26736CA3"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351B7E69" w14:textId="77777777" w:rsidR="009C353B" w:rsidRDefault="00000000">
            <w:pPr>
              <w:jc w:val="center"/>
              <w:rPr>
                <w:rFonts w:ascii="Times New Roman" w:hAnsi="Times New Roman"/>
                <w:sz w:val="21"/>
                <w:szCs w:val="21"/>
              </w:rPr>
            </w:pPr>
            <w:r>
              <w:rPr>
                <w:rFonts w:ascii="Times New Roman" w:hAnsi="Times New Roman"/>
                <w:sz w:val="21"/>
                <w:szCs w:val="21"/>
              </w:rPr>
              <w:t>0.19</w:t>
            </w:r>
          </w:p>
        </w:tc>
        <w:tc>
          <w:tcPr>
            <w:tcW w:w="2977" w:type="dxa"/>
            <w:vAlign w:val="center"/>
          </w:tcPr>
          <w:p w14:paraId="7ACD49C6" w14:textId="77777777" w:rsidR="009C353B" w:rsidRDefault="00000000">
            <w:pPr>
              <w:jc w:val="center"/>
              <w:rPr>
                <w:rFonts w:ascii="Times New Roman" w:hAnsi="Times New Roman"/>
                <w:sz w:val="21"/>
                <w:szCs w:val="21"/>
              </w:rPr>
            </w:pPr>
            <w:r>
              <w:rPr>
                <w:rFonts w:ascii="Times New Roman" w:hAnsi="Times New Roman"/>
                <w:sz w:val="21"/>
                <w:szCs w:val="21"/>
              </w:rPr>
              <w:t>≥0.05</w:t>
            </w:r>
          </w:p>
        </w:tc>
        <w:tc>
          <w:tcPr>
            <w:tcW w:w="2233" w:type="dxa"/>
            <w:vAlign w:val="center"/>
          </w:tcPr>
          <w:p w14:paraId="309423A5" w14:textId="77777777" w:rsidR="009C353B" w:rsidRDefault="00000000">
            <w:pPr>
              <w:jc w:val="center"/>
              <w:rPr>
                <w:rFonts w:ascii="Times New Roman" w:hAnsi="Times New Roman"/>
                <w:sz w:val="21"/>
                <w:szCs w:val="21"/>
              </w:rPr>
            </w:pPr>
            <w:r>
              <w:rPr>
                <w:rFonts w:ascii="Times New Roman" w:hAnsi="Times New Roman"/>
                <w:sz w:val="21"/>
                <w:szCs w:val="21"/>
              </w:rPr>
              <w:t>/</w:t>
            </w:r>
          </w:p>
        </w:tc>
      </w:tr>
      <w:tr w:rsidR="009C353B" w14:paraId="4850DD31" w14:textId="77777777">
        <w:trPr>
          <w:trHeight w:hRule="exact" w:val="340"/>
        </w:trPr>
        <w:tc>
          <w:tcPr>
            <w:tcW w:w="1384" w:type="dxa"/>
            <w:vAlign w:val="center"/>
          </w:tcPr>
          <w:p w14:paraId="2B53A61F" w14:textId="77777777" w:rsidR="009C353B" w:rsidRDefault="00000000">
            <w:pPr>
              <w:jc w:val="center"/>
              <w:rPr>
                <w:rFonts w:ascii="Times New Roman" w:hAnsi="Times New Roman"/>
                <w:sz w:val="21"/>
                <w:szCs w:val="21"/>
              </w:rPr>
            </w:pPr>
            <w:r>
              <w:rPr>
                <w:rFonts w:ascii="Times New Roman" w:hAnsi="Times New Roman"/>
                <w:sz w:val="21"/>
                <w:szCs w:val="21"/>
              </w:rPr>
              <w:t>总硬度</w:t>
            </w:r>
          </w:p>
        </w:tc>
        <w:tc>
          <w:tcPr>
            <w:tcW w:w="1134" w:type="dxa"/>
            <w:vAlign w:val="center"/>
          </w:tcPr>
          <w:p w14:paraId="4318C6A8"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2889FB3E" w14:textId="77777777" w:rsidR="009C353B" w:rsidRDefault="00000000">
            <w:pPr>
              <w:jc w:val="center"/>
              <w:rPr>
                <w:rFonts w:ascii="Times New Roman" w:hAnsi="Times New Roman"/>
                <w:sz w:val="21"/>
                <w:szCs w:val="21"/>
              </w:rPr>
            </w:pPr>
            <w:r>
              <w:rPr>
                <w:rFonts w:ascii="Times New Roman" w:hAnsi="Times New Roman"/>
                <w:sz w:val="21"/>
                <w:szCs w:val="21"/>
              </w:rPr>
              <w:t>224~234</w:t>
            </w:r>
          </w:p>
        </w:tc>
        <w:tc>
          <w:tcPr>
            <w:tcW w:w="2977" w:type="dxa"/>
            <w:vAlign w:val="center"/>
          </w:tcPr>
          <w:p w14:paraId="507835B1" w14:textId="77777777" w:rsidR="009C353B" w:rsidRDefault="00000000">
            <w:pPr>
              <w:jc w:val="center"/>
              <w:rPr>
                <w:rFonts w:ascii="Times New Roman" w:hAnsi="Times New Roman"/>
                <w:sz w:val="21"/>
                <w:szCs w:val="21"/>
              </w:rPr>
            </w:pPr>
            <w:r>
              <w:rPr>
                <w:rFonts w:ascii="Times New Roman" w:hAnsi="Times New Roman"/>
                <w:sz w:val="21"/>
                <w:szCs w:val="21"/>
              </w:rPr>
              <w:t>450</w:t>
            </w:r>
          </w:p>
        </w:tc>
        <w:tc>
          <w:tcPr>
            <w:tcW w:w="2233" w:type="dxa"/>
            <w:vAlign w:val="center"/>
          </w:tcPr>
          <w:p w14:paraId="2EB09BAC" w14:textId="77777777" w:rsidR="009C353B" w:rsidRDefault="00000000">
            <w:pPr>
              <w:jc w:val="center"/>
              <w:rPr>
                <w:rFonts w:ascii="Times New Roman" w:hAnsi="Times New Roman"/>
                <w:sz w:val="21"/>
                <w:szCs w:val="21"/>
              </w:rPr>
            </w:pPr>
            <w:r>
              <w:rPr>
                <w:rFonts w:ascii="Times New Roman" w:hAnsi="Times New Roman"/>
                <w:sz w:val="21"/>
                <w:szCs w:val="21"/>
              </w:rPr>
              <w:t>/</w:t>
            </w:r>
          </w:p>
        </w:tc>
      </w:tr>
      <w:tr w:rsidR="009C353B" w14:paraId="1EAF48FA" w14:textId="77777777">
        <w:trPr>
          <w:trHeight w:hRule="exact" w:val="340"/>
        </w:trPr>
        <w:tc>
          <w:tcPr>
            <w:tcW w:w="1384" w:type="dxa"/>
            <w:vAlign w:val="center"/>
          </w:tcPr>
          <w:p w14:paraId="6142741F" w14:textId="77777777" w:rsidR="009C353B" w:rsidRDefault="00000000">
            <w:pPr>
              <w:jc w:val="center"/>
              <w:rPr>
                <w:rFonts w:ascii="Times New Roman" w:hAnsi="Times New Roman"/>
                <w:sz w:val="21"/>
                <w:szCs w:val="21"/>
              </w:rPr>
            </w:pPr>
            <w:r>
              <w:rPr>
                <w:rFonts w:ascii="Times New Roman" w:hAnsi="Times New Roman"/>
                <w:sz w:val="21"/>
                <w:szCs w:val="21"/>
              </w:rPr>
              <w:t>总铁</w:t>
            </w:r>
          </w:p>
        </w:tc>
        <w:tc>
          <w:tcPr>
            <w:tcW w:w="1134" w:type="dxa"/>
            <w:vAlign w:val="center"/>
          </w:tcPr>
          <w:p w14:paraId="4D6DA280"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01FFEF28" w14:textId="77777777" w:rsidR="009C353B" w:rsidRDefault="00000000">
            <w:pPr>
              <w:jc w:val="center"/>
              <w:rPr>
                <w:rFonts w:ascii="Times New Roman" w:hAnsi="Times New Roman"/>
                <w:sz w:val="21"/>
                <w:szCs w:val="21"/>
              </w:rPr>
            </w:pPr>
            <w:r>
              <w:rPr>
                <w:rFonts w:ascii="Times New Roman" w:hAnsi="Times New Roman"/>
                <w:sz w:val="21"/>
                <w:szCs w:val="21"/>
              </w:rPr>
              <w:t>0.115~0.12</w:t>
            </w:r>
          </w:p>
        </w:tc>
        <w:tc>
          <w:tcPr>
            <w:tcW w:w="2977" w:type="dxa"/>
            <w:vAlign w:val="center"/>
          </w:tcPr>
          <w:p w14:paraId="52867F29" w14:textId="77777777" w:rsidR="009C353B" w:rsidRDefault="00000000">
            <w:pPr>
              <w:jc w:val="center"/>
              <w:rPr>
                <w:rFonts w:ascii="Times New Roman" w:hAnsi="Times New Roman"/>
                <w:sz w:val="21"/>
                <w:szCs w:val="21"/>
              </w:rPr>
            </w:pPr>
            <w:r>
              <w:rPr>
                <w:rFonts w:ascii="Times New Roman" w:hAnsi="Times New Roman"/>
                <w:sz w:val="21"/>
                <w:szCs w:val="21"/>
              </w:rPr>
              <w:t>0.3</w:t>
            </w:r>
          </w:p>
        </w:tc>
        <w:tc>
          <w:tcPr>
            <w:tcW w:w="2233" w:type="dxa"/>
            <w:vAlign w:val="center"/>
          </w:tcPr>
          <w:p w14:paraId="0CC9397E" w14:textId="77777777" w:rsidR="009C353B" w:rsidRDefault="00000000">
            <w:pPr>
              <w:jc w:val="center"/>
              <w:rPr>
                <w:rFonts w:ascii="Times New Roman" w:hAnsi="Times New Roman"/>
                <w:sz w:val="21"/>
                <w:szCs w:val="21"/>
              </w:rPr>
            </w:pPr>
            <w:r>
              <w:rPr>
                <w:rFonts w:ascii="Times New Roman" w:hAnsi="Times New Roman"/>
                <w:sz w:val="21"/>
                <w:szCs w:val="21"/>
              </w:rPr>
              <w:t>/</w:t>
            </w:r>
          </w:p>
        </w:tc>
      </w:tr>
      <w:tr w:rsidR="009C353B" w14:paraId="7E2485DE" w14:textId="77777777">
        <w:trPr>
          <w:trHeight w:hRule="exact" w:val="340"/>
        </w:trPr>
        <w:tc>
          <w:tcPr>
            <w:tcW w:w="1384" w:type="dxa"/>
            <w:vAlign w:val="center"/>
          </w:tcPr>
          <w:p w14:paraId="458F6D1F" w14:textId="77777777" w:rsidR="009C353B" w:rsidRDefault="00000000">
            <w:pPr>
              <w:jc w:val="center"/>
              <w:rPr>
                <w:rFonts w:ascii="Times New Roman" w:hAnsi="Times New Roman"/>
                <w:sz w:val="21"/>
                <w:szCs w:val="21"/>
              </w:rPr>
            </w:pPr>
            <w:r>
              <w:rPr>
                <w:rFonts w:ascii="Times New Roman" w:hAnsi="Times New Roman"/>
                <w:sz w:val="21"/>
                <w:szCs w:val="21"/>
              </w:rPr>
              <w:t>总锰</w:t>
            </w:r>
          </w:p>
        </w:tc>
        <w:tc>
          <w:tcPr>
            <w:tcW w:w="1134" w:type="dxa"/>
            <w:vAlign w:val="center"/>
          </w:tcPr>
          <w:p w14:paraId="2A5A10FC"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5C4A5B67" w14:textId="77777777" w:rsidR="009C353B" w:rsidRDefault="00000000">
            <w:pPr>
              <w:jc w:val="center"/>
              <w:rPr>
                <w:rFonts w:ascii="Times New Roman" w:hAnsi="Times New Roman"/>
                <w:sz w:val="21"/>
                <w:szCs w:val="21"/>
              </w:rPr>
            </w:pPr>
            <w:r>
              <w:rPr>
                <w:rFonts w:ascii="Times New Roman" w:hAnsi="Times New Roman"/>
                <w:sz w:val="21"/>
                <w:szCs w:val="21"/>
              </w:rPr>
              <w:t>0.066~0.077</w:t>
            </w:r>
          </w:p>
        </w:tc>
        <w:tc>
          <w:tcPr>
            <w:tcW w:w="2977" w:type="dxa"/>
            <w:vAlign w:val="center"/>
          </w:tcPr>
          <w:p w14:paraId="2BA15FAD" w14:textId="77777777" w:rsidR="009C353B" w:rsidRDefault="00000000">
            <w:pPr>
              <w:jc w:val="center"/>
              <w:rPr>
                <w:rFonts w:ascii="Times New Roman" w:hAnsi="Times New Roman"/>
                <w:sz w:val="21"/>
                <w:szCs w:val="21"/>
              </w:rPr>
            </w:pPr>
            <w:r>
              <w:rPr>
                <w:rFonts w:ascii="Times New Roman" w:hAnsi="Times New Roman"/>
                <w:sz w:val="21"/>
                <w:szCs w:val="21"/>
              </w:rPr>
              <w:t>0.1</w:t>
            </w:r>
          </w:p>
        </w:tc>
        <w:tc>
          <w:tcPr>
            <w:tcW w:w="2233" w:type="dxa"/>
            <w:vAlign w:val="center"/>
          </w:tcPr>
          <w:p w14:paraId="68E040D8" w14:textId="77777777" w:rsidR="009C353B" w:rsidRDefault="00000000">
            <w:pPr>
              <w:jc w:val="center"/>
              <w:rPr>
                <w:rFonts w:ascii="Times New Roman" w:hAnsi="Times New Roman"/>
                <w:sz w:val="21"/>
                <w:szCs w:val="21"/>
              </w:rPr>
            </w:pPr>
            <w:r>
              <w:rPr>
                <w:rFonts w:ascii="Times New Roman" w:hAnsi="Times New Roman"/>
                <w:sz w:val="21"/>
                <w:szCs w:val="21"/>
              </w:rPr>
              <w:t>2.0</w:t>
            </w:r>
          </w:p>
        </w:tc>
      </w:tr>
      <w:tr w:rsidR="009C353B" w14:paraId="207D8B3C" w14:textId="77777777">
        <w:trPr>
          <w:trHeight w:hRule="exact" w:val="340"/>
        </w:trPr>
        <w:tc>
          <w:tcPr>
            <w:tcW w:w="1384" w:type="dxa"/>
            <w:vAlign w:val="center"/>
          </w:tcPr>
          <w:p w14:paraId="5A3088F6" w14:textId="77777777" w:rsidR="009C353B" w:rsidRDefault="00000000">
            <w:pPr>
              <w:jc w:val="center"/>
              <w:rPr>
                <w:rFonts w:ascii="Times New Roman" w:hAnsi="Times New Roman"/>
                <w:sz w:val="21"/>
                <w:szCs w:val="21"/>
              </w:rPr>
            </w:pPr>
            <w:r>
              <w:rPr>
                <w:rFonts w:ascii="Times New Roman" w:hAnsi="Times New Roman"/>
                <w:sz w:val="21"/>
                <w:szCs w:val="21"/>
              </w:rPr>
              <w:t>挥发酚</w:t>
            </w:r>
          </w:p>
        </w:tc>
        <w:tc>
          <w:tcPr>
            <w:tcW w:w="1134" w:type="dxa"/>
            <w:vAlign w:val="center"/>
          </w:tcPr>
          <w:p w14:paraId="13033430"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7CF5E1B6" w14:textId="77777777" w:rsidR="009C353B" w:rsidRDefault="00000000">
            <w:pPr>
              <w:jc w:val="center"/>
              <w:rPr>
                <w:rFonts w:ascii="Times New Roman" w:hAnsi="Times New Roman"/>
                <w:sz w:val="21"/>
                <w:szCs w:val="21"/>
              </w:rPr>
            </w:pPr>
            <w:r>
              <w:rPr>
                <w:rFonts w:ascii="Times New Roman" w:hAnsi="Times New Roman"/>
                <w:sz w:val="21"/>
                <w:szCs w:val="21"/>
              </w:rPr>
              <w:t>&lt;0.002</w:t>
            </w:r>
          </w:p>
        </w:tc>
        <w:tc>
          <w:tcPr>
            <w:tcW w:w="2977" w:type="dxa"/>
            <w:vAlign w:val="center"/>
          </w:tcPr>
          <w:p w14:paraId="7FE0FFDF" w14:textId="77777777" w:rsidR="009C353B" w:rsidRDefault="00000000">
            <w:pPr>
              <w:jc w:val="center"/>
              <w:rPr>
                <w:rFonts w:ascii="Times New Roman" w:hAnsi="Times New Roman"/>
                <w:sz w:val="21"/>
                <w:szCs w:val="21"/>
              </w:rPr>
            </w:pPr>
            <w:r>
              <w:rPr>
                <w:rFonts w:ascii="Times New Roman" w:hAnsi="Times New Roman"/>
                <w:sz w:val="21"/>
                <w:szCs w:val="21"/>
              </w:rPr>
              <w:t>/</w:t>
            </w:r>
          </w:p>
        </w:tc>
        <w:tc>
          <w:tcPr>
            <w:tcW w:w="2233" w:type="dxa"/>
            <w:vAlign w:val="center"/>
          </w:tcPr>
          <w:p w14:paraId="75C4F87B" w14:textId="77777777" w:rsidR="009C353B" w:rsidRDefault="00000000">
            <w:pPr>
              <w:jc w:val="center"/>
              <w:rPr>
                <w:rFonts w:ascii="Times New Roman" w:hAnsi="Times New Roman"/>
                <w:sz w:val="21"/>
                <w:szCs w:val="21"/>
              </w:rPr>
            </w:pPr>
            <w:r>
              <w:rPr>
                <w:rFonts w:ascii="Times New Roman" w:hAnsi="Times New Roman"/>
                <w:sz w:val="21"/>
                <w:szCs w:val="21"/>
              </w:rPr>
              <w:t>0.5</w:t>
            </w:r>
          </w:p>
        </w:tc>
      </w:tr>
      <w:tr w:rsidR="009C353B" w14:paraId="78B67046" w14:textId="77777777">
        <w:trPr>
          <w:trHeight w:hRule="exact" w:val="340"/>
        </w:trPr>
        <w:tc>
          <w:tcPr>
            <w:tcW w:w="1384" w:type="dxa"/>
            <w:vAlign w:val="center"/>
          </w:tcPr>
          <w:p w14:paraId="0B533CB7" w14:textId="77777777" w:rsidR="009C353B" w:rsidRDefault="00000000">
            <w:pPr>
              <w:jc w:val="center"/>
              <w:rPr>
                <w:rFonts w:ascii="Times New Roman" w:hAnsi="Times New Roman"/>
                <w:sz w:val="21"/>
                <w:szCs w:val="21"/>
              </w:rPr>
            </w:pPr>
            <w:r>
              <w:rPr>
                <w:rFonts w:ascii="Times New Roman" w:hAnsi="Times New Roman"/>
                <w:sz w:val="21"/>
                <w:szCs w:val="21"/>
              </w:rPr>
              <w:t>总氰化物</w:t>
            </w:r>
          </w:p>
        </w:tc>
        <w:tc>
          <w:tcPr>
            <w:tcW w:w="1134" w:type="dxa"/>
            <w:vAlign w:val="center"/>
          </w:tcPr>
          <w:p w14:paraId="134CE9A3" w14:textId="77777777" w:rsidR="009C353B" w:rsidRDefault="00000000">
            <w:pPr>
              <w:jc w:val="center"/>
              <w:rPr>
                <w:rFonts w:ascii="Times New Roman" w:hAnsi="Times New Roman"/>
                <w:sz w:val="21"/>
                <w:szCs w:val="21"/>
              </w:rPr>
            </w:pPr>
            <w:r>
              <w:rPr>
                <w:rFonts w:ascii="Times New Roman" w:hAnsi="Times New Roman"/>
                <w:sz w:val="21"/>
                <w:szCs w:val="21"/>
              </w:rPr>
              <w:t>mg/l</w:t>
            </w:r>
          </w:p>
        </w:tc>
        <w:tc>
          <w:tcPr>
            <w:tcW w:w="1559" w:type="dxa"/>
            <w:vAlign w:val="center"/>
          </w:tcPr>
          <w:p w14:paraId="08ABCBB0" w14:textId="77777777" w:rsidR="009C353B" w:rsidRDefault="00000000">
            <w:pPr>
              <w:jc w:val="center"/>
              <w:rPr>
                <w:rFonts w:ascii="Times New Roman" w:hAnsi="Times New Roman"/>
                <w:sz w:val="21"/>
                <w:szCs w:val="21"/>
              </w:rPr>
            </w:pPr>
            <w:r>
              <w:rPr>
                <w:rFonts w:ascii="Times New Roman" w:hAnsi="Times New Roman"/>
                <w:sz w:val="21"/>
                <w:szCs w:val="21"/>
              </w:rPr>
              <w:t>0.16~0.292</w:t>
            </w:r>
          </w:p>
        </w:tc>
        <w:tc>
          <w:tcPr>
            <w:tcW w:w="2977" w:type="dxa"/>
            <w:vAlign w:val="center"/>
          </w:tcPr>
          <w:p w14:paraId="41B1DEA0" w14:textId="77777777" w:rsidR="009C353B" w:rsidRDefault="00000000">
            <w:pPr>
              <w:jc w:val="center"/>
              <w:rPr>
                <w:rFonts w:ascii="Times New Roman" w:hAnsi="Times New Roman"/>
                <w:sz w:val="21"/>
                <w:szCs w:val="21"/>
              </w:rPr>
            </w:pPr>
            <w:r>
              <w:rPr>
                <w:rFonts w:ascii="Times New Roman" w:hAnsi="Times New Roman"/>
                <w:sz w:val="21"/>
                <w:szCs w:val="21"/>
              </w:rPr>
              <w:t>/</w:t>
            </w:r>
          </w:p>
        </w:tc>
        <w:tc>
          <w:tcPr>
            <w:tcW w:w="2233" w:type="dxa"/>
            <w:vAlign w:val="center"/>
          </w:tcPr>
          <w:p w14:paraId="5FB68919" w14:textId="77777777" w:rsidR="009C353B" w:rsidRDefault="00000000">
            <w:pPr>
              <w:jc w:val="center"/>
              <w:rPr>
                <w:rFonts w:ascii="Times New Roman" w:hAnsi="Times New Roman"/>
                <w:sz w:val="21"/>
                <w:szCs w:val="21"/>
              </w:rPr>
            </w:pPr>
            <w:r>
              <w:rPr>
                <w:rFonts w:ascii="Times New Roman" w:hAnsi="Times New Roman"/>
                <w:sz w:val="21"/>
                <w:szCs w:val="21"/>
              </w:rPr>
              <w:t>0.5</w:t>
            </w:r>
          </w:p>
        </w:tc>
      </w:tr>
    </w:tbl>
    <w:p w14:paraId="09FE38BA" w14:textId="77777777" w:rsidR="009C353B" w:rsidRDefault="009C353B">
      <w:pPr>
        <w:spacing w:line="440" w:lineRule="exact"/>
        <w:rPr>
          <w:rFonts w:asciiTheme="minorEastAsia" w:eastAsiaTheme="minorEastAsia" w:hAnsiTheme="minorEastAsia" w:hint="eastAsia"/>
          <w:szCs w:val="24"/>
        </w:rPr>
      </w:pPr>
    </w:p>
    <w:p w14:paraId="78D2DE74" w14:textId="77777777" w:rsidR="009C353B" w:rsidRDefault="00000000">
      <w:pPr>
        <w:spacing w:line="440" w:lineRule="exact"/>
        <w:ind w:firstLineChars="200" w:firstLine="480"/>
        <w:rPr>
          <w:rFonts w:ascii="Times New Roman" w:eastAsiaTheme="minorEastAsia" w:hAnsi="Times New Roman"/>
          <w:szCs w:val="24"/>
        </w:rPr>
      </w:pPr>
      <w:r>
        <w:rPr>
          <w:rFonts w:ascii="Times New Roman" w:eastAsiaTheme="minorEastAsia" w:hAnsi="Times New Roman"/>
          <w:szCs w:val="24"/>
        </w:rPr>
        <w:t>同时矿井水经混凝、沉淀等处理后，处理后出水水质：</w:t>
      </w:r>
      <w:r>
        <w:rPr>
          <w:rFonts w:ascii="Times New Roman" w:eastAsiaTheme="minorEastAsia" w:hAnsi="Times New Roman"/>
          <w:szCs w:val="24"/>
        </w:rPr>
        <w:t>COD</w:t>
      </w:r>
      <w:r>
        <w:rPr>
          <w:rFonts w:ascii="Times New Roman" w:eastAsiaTheme="minorEastAsia" w:hAnsi="Times New Roman"/>
          <w:szCs w:val="24"/>
          <w:vertAlign w:val="subscript"/>
        </w:rPr>
        <w:t>Cr</w:t>
      </w:r>
      <w:r>
        <w:rPr>
          <w:rFonts w:ascii="Times New Roman" w:eastAsiaTheme="minorEastAsia" w:hAnsi="Times New Roman"/>
          <w:szCs w:val="24"/>
        </w:rPr>
        <w:t>≤50mg/L</w:t>
      </w:r>
      <w:r>
        <w:rPr>
          <w:rFonts w:ascii="Times New Roman" w:eastAsiaTheme="minorEastAsia" w:hAnsi="Times New Roman"/>
          <w:szCs w:val="24"/>
        </w:rPr>
        <w:t>，</w:t>
      </w:r>
      <w:r>
        <w:rPr>
          <w:rFonts w:ascii="Times New Roman" w:eastAsiaTheme="minorEastAsia" w:hAnsi="Times New Roman"/>
          <w:szCs w:val="24"/>
        </w:rPr>
        <w:t>SS≤10mg/L</w:t>
      </w:r>
      <w:r>
        <w:rPr>
          <w:rFonts w:ascii="Times New Roman" w:eastAsiaTheme="minorEastAsia" w:hAnsi="Times New Roman"/>
          <w:szCs w:val="24"/>
        </w:rPr>
        <w:t>，污染物去除率平均为：</w:t>
      </w:r>
      <w:r>
        <w:rPr>
          <w:rFonts w:ascii="Times New Roman" w:eastAsiaTheme="minorEastAsia" w:hAnsi="Times New Roman"/>
          <w:szCs w:val="24"/>
        </w:rPr>
        <w:t>COD</w:t>
      </w:r>
      <w:r>
        <w:rPr>
          <w:rFonts w:ascii="Times New Roman" w:eastAsiaTheme="minorEastAsia" w:hAnsi="Times New Roman"/>
          <w:szCs w:val="24"/>
          <w:vertAlign w:val="subscript"/>
        </w:rPr>
        <w:t>Cr</w:t>
      </w:r>
      <w:r>
        <w:rPr>
          <w:rFonts w:ascii="Times New Roman" w:eastAsiaTheme="minorEastAsia" w:hAnsi="Times New Roman"/>
          <w:szCs w:val="24"/>
        </w:rPr>
        <w:t>去除效率</w:t>
      </w:r>
      <w:r>
        <w:rPr>
          <w:rFonts w:ascii="Times New Roman" w:eastAsiaTheme="minorEastAsia" w:hAnsi="Times New Roman"/>
          <w:szCs w:val="24"/>
        </w:rPr>
        <w:t>20%</w:t>
      </w:r>
      <w:r>
        <w:rPr>
          <w:rFonts w:ascii="Times New Roman" w:eastAsiaTheme="minorEastAsia" w:hAnsi="Times New Roman"/>
          <w:szCs w:val="24"/>
        </w:rPr>
        <w:t>，</w:t>
      </w:r>
      <w:r>
        <w:rPr>
          <w:rFonts w:ascii="Times New Roman" w:eastAsiaTheme="minorEastAsia" w:hAnsi="Times New Roman"/>
          <w:szCs w:val="24"/>
        </w:rPr>
        <w:t>SS</w:t>
      </w:r>
      <w:r>
        <w:rPr>
          <w:rFonts w:ascii="Times New Roman" w:eastAsiaTheme="minorEastAsia" w:hAnsi="Times New Roman"/>
          <w:szCs w:val="24"/>
        </w:rPr>
        <w:t>去除效率</w:t>
      </w:r>
      <w:r>
        <w:rPr>
          <w:rFonts w:ascii="Times New Roman" w:eastAsiaTheme="minorEastAsia" w:hAnsi="Times New Roman"/>
          <w:szCs w:val="24"/>
        </w:rPr>
        <w:t>90%</w:t>
      </w:r>
      <w:r>
        <w:rPr>
          <w:rFonts w:ascii="Times New Roman" w:eastAsiaTheme="minorEastAsia" w:hAnsi="Times New Roman"/>
          <w:szCs w:val="24"/>
        </w:rPr>
        <w:t>，也符合《城市污水再生利用</w:t>
      </w:r>
      <w:r>
        <w:rPr>
          <w:rFonts w:ascii="Times New Roman" w:eastAsiaTheme="minorEastAsia" w:hAnsi="Times New Roman"/>
          <w:szCs w:val="24"/>
        </w:rPr>
        <w:t xml:space="preserve"> </w:t>
      </w:r>
      <w:r>
        <w:rPr>
          <w:rFonts w:ascii="Times New Roman" w:eastAsiaTheme="minorEastAsia" w:hAnsi="Times New Roman"/>
          <w:szCs w:val="24"/>
        </w:rPr>
        <w:t>工业用水水质》（</w:t>
      </w:r>
      <w:r>
        <w:rPr>
          <w:rFonts w:ascii="Times New Roman" w:eastAsiaTheme="minorEastAsia" w:hAnsi="Times New Roman"/>
          <w:szCs w:val="24"/>
        </w:rPr>
        <w:t>GB/T 19923-2005</w:t>
      </w:r>
      <w:r>
        <w:rPr>
          <w:rFonts w:ascii="Times New Roman" w:eastAsiaTheme="minorEastAsia" w:hAnsi="Times New Roman"/>
          <w:szCs w:val="24"/>
        </w:rPr>
        <w:t>）敞开式循环冷却水相关标准。</w:t>
      </w:r>
    </w:p>
    <w:p w14:paraId="4CAD12C2" w14:textId="77777777" w:rsidR="009C353B" w:rsidRDefault="00000000">
      <w:pPr>
        <w:spacing w:line="440" w:lineRule="exact"/>
        <w:ind w:firstLineChars="200" w:firstLine="480"/>
        <w:rPr>
          <w:rFonts w:ascii="Times New Roman" w:eastAsiaTheme="minorEastAsia" w:hAnsi="Times New Roman"/>
          <w:szCs w:val="24"/>
        </w:rPr>
      </w:pPr>
      <w:r>
        <w:rPr>
          <w:rFonts w:ascii="Times New Roman" w:eastAsiaTheme="minorEastAsia" w:hAnsi="Times New Roman"/>
          <w:szCs w:val="24"/>
        </w:rPr>
        <w:t>马莲台污废水依托宁夏宝丰能源有限公司污水处理站及选煤厂沉淀池处理效果较好，处理后全部综合利用，不外排。</w:t>
      </w:r>
    </w:p>
    <w:p w14:paraId="26B577D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3</w:t>
      </w:r>
      <w:r>
        <w:rPr>
          <w:rFonts w:ascii="Times New Roman" w:hAnsi="Times New Roman" w:hint="eastAsia"/>
          <w:szCs w:val="24"/>
        </w:rPr>
        <w:t>）红石湾生活污水处理设施因主工艺（</w:t>
      </w:r>
      <w:r>
        <w:rPr>
          <w:rFonts w:ascii="Times New Roman" w:hAnsi="Times New Roman"/>
          <w:szCs w:val="24"/>
        </w:rPr>
        <w:t>A</w:t>
      </w:r>
      <w:r>
        <w:rPr>
          <w:rFonts w:ascii="Times New Roman" w:hAnsi="Times New Roman"/>
          <w:szCs w:val="24"/>
          <w:vertAlign w:val="superscript"/>
        </w:rPr>
        <w:t>2</w:t>
      </w:r>
      <w:r>
        <w:rPr>
          <w:rFonts w:ascii="Times New Roman" w:hAnsi="Times New Roman"/>
          <w:szCs w:val="24"/>
        </w:rPr>
        <w:t>/O</w:t>
      </w:r>
      <w:r>
        <w:rPr>
          <w:rFonts w:ascii="Times New Roman" w:hAnsi="Times New Roman"/>
          <w:szCs w:val="24"/>
        </w:rPr>
        <w:t>）池体内部分填料坍塌、工艺钢管存在腐蚀问题、泵组及消毒等设备老化，出水无法长期稳定达标；矿井水处理设施部分工艺设施设备老化、混凝沉淀段水力混凝效果偏弱、加药装置自动化程度低、污泥暂存池及浓缩设施运行效果较差，不能满足污水稳定达标要求。</w:t>
      </w:r>
    </w:p>
    <w:p w14:paraId="1AC2508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红石湾矿井水和生活污水处理站于</w:t>
      </w:r>
      <w:r>
        <w:rPr>
          <w:rFonts w:ascii="Times New Roman" w:hAnsi="Times New Roman"/>
          <w:szCs w:val="24"/>
        </w:rPr>
        <w:t>2020</w:t>
      </w:r>
      <w:r>
        <w:rPr>
          <w:rFonts w:ascii="Times New Roman" w:hAnsi="Times New Roman"/>
          <w:szCs w:val="24"/>
        </w:rPr>
        <w:t>年</w:t>
      </w:r>
      <w:r>
        <w:rPr>
          <w:rFonts w:ascii="Times New Roman" w:hAnsi="Times New Roman"/>
          <w:szCs w:val="24"/>
        </w:rPr>
        <w:t>8</w:t>
      </w:r>
      <w:r>
        <w:rPr>
          <w:rFonts w:ascii="Times New Roman" w:hAnsi="Times New Roman"/>
          <w:szCs w:val="24"/>
        </w:rPr>
        <w:t>月底开始升级改造，在改造过程中，建设了临时蓄水池储存改造过程中（</w:t>
      </w:r>
      <w:r>
        <w:rPr>
          <w:rFonts w:ascii="Times New Roman" w:hAnsi="Times New Roman"/>
          <w:szCs w:val="24"/>
        </w:rPr>
        <w:t>30</w:t>
      </w:r>
      <w:r>
        <w:rPr>
          <w:rFonts w:ascii="Times New Roman" w:hAnsi="Times New Roman"/>
          <w:szCs w:val="24"/>
        </w:rPr>
        <w:t>天）生活污水，</w:t>
      </w:r>
      <w:r>
        <w:rPr>
          <w:rFonts w:ascii="Times New Roman" w:hAnsi="Times New Roman" w:hint="eastAsia"/>
          <w:szCs w:val="24"/>
        </w:rPr>
        <w:t>红石湾生活污水产生量</w:t>
      </w:r>
      <w:r>
        <w:rPr>
          <w:rFonts w:ascii="Times New Roman" w:hAnsi="Times New Roman" w:hint="eastAsia"/>
          <w:szCs w:val="24"/>
        </w:rPr>
        <w:t>130m</w:t>
      </w:r>
      <w:r>
        <w:rPr>
          <w:rFonts w:ascii="Times New Roman" w:hAnsi="Times New Roman"/>
          <w:szCs w:val="24"/>
          <w:vertAlign w:val="superscript"/>
        </w:rPr>
        <w:t>3</w:t>
      </w:r>
      <w:r>
        <w:rPr>
          <w:rFonts w:ascii="Times New Roman" w:hAnsi="Times New Roman"/>
          <w:szCs w:val="24"/>
        </w:rPr>
        <w:t>/d</w:t>
      </w:r>
      <w:r>
        <w:rPr>
          <w:rFonts w:ascii="Times New Roman" w:hAnsi="Times New Roman" w:hint="eastAsia"/>
          <w:szCs w:val="24"/>
        </w:rPr>
        <w:t>，</w:t>
      </w:r>
      <w:r>
        <w:rPr>
          <w:rFonts w:ascii="Times New Roman" w:hAnsi="Times New Roman"/>
          <w:szCs w:val="24"/>
        </w:rPr>
        <w:t>改造完成后储存的生活污水经过处理后全部</w:t>
      </w:r>
      <w:r>
        <w:rPr>
          <w:rFonts w:ascii="Times New Roman" w:hAnsi="Times New Roman" w:hint="eastAsia"/>
          <w:szCs w:val="24"/>
        </w:rPr>
        <w:t>回用</w:t>
      </w:r>
      <w:r>
        <w:rPr>
          <w:rFonts w:ascii="Times New Roman" w:hAnsi="Times New Roman"/>
          <w:szCs w:val="24"/>
        </w:rPr>
        <w:t>；矿井水设施为</w:t>
      </w:r>
      <w:r>
        <w:rPr>
          <w:rFonts w:ascii="Times New Roman" w:hAnsi="Times New Roman"/>
          <w:szCs w:val="24"/>
        </w:rPr>
        <w:t>2</w:t>
      </w:r>
      <w:r>
        <w:rPr>
          <w:rFonts w:ascii="Times New Roman" w:hAnsi="Times New Roman"/>
          <w:szCs w:val="24"/>
        </w:rPr>
        <w:t>套</w:t>
      </w:r>
      <w:r>
        <w:rPr>
          <w:rFonts w:ascii="Times New Roman" w:hAnsi="Times New Roman" w:hint="eastAsia"/>
          <w:szCs w:val="24"/>
        </w:rPr>
        <w:t>，处理规模均为</w:t>
      </w:r>
      <w:r>
        <w:rPr>
          <w:rFonts w:ascii="Times New Roman" w:hAnsi="Times New Roman"/>
          <w:szCs w:val="24"/>
        </w:rPr>
        <w:t>3500m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，矿井水处理站改造中，</w:t>
      </w:r>
      <w:r>
        <w:rPr>
          <w:rFonts w:ascii="Times New Roman" w:hAnsi="Times New Roman"/>
          <w:szCs w:val="24"/>
        </w:rPr>
        <w:t>1</w:t>
      </w:r>
      <w:r>
        <w:rPr>
          <w:rFonts w:ascii="Times New Roman" w:hAnsi="Times New Roman"/>
          <w:szCs w:val="24"/>
        </w:rPr>
        <w:t>用</w:t>
      </w:r>
      <w:r>
        <w:rPr>
          <w:rFonts w:ascii="Times New Roman" w:hAnsi="Times New Roman"/>
          <w:szCs w:val="24"/>
        </w:rPr>
        <w:t>1</w:t>
      </w:r>
      <w:r>
        <w:rPr>
          <w:rFonts w:ascii="Times New Roman" w:hAnsi="Times New Roman"/>
          <w:szCs w:val="24"/>
        </w:rPr>
        <w:t>改造，</w:t>
      </w:r>
      <w:r>
        <w:rPr>
          <w:rFonts w:ascii="Times New Roman" w:hAnsi="Times New Roman" w:hint="eastAsia"/>
          <w:szCs w:val="24"/>
        </w:rPr>
        <w:t>现红石湾矿井水产生量约</w:t>
      </w:r>
      <w:r>
        <w:rPr>
          <w:rFonts w:ascii="Times New Roman" w:hAnsi="Times New Roman" w:hint="eastAsia"/>
          <w:szCs w:val="24"/>
        </w:rPr>
        <w:t>2160</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/d</w:t>
      </w:r>
      <w:r>
        <w:rPr>
          <w:rFonts w:ascii="Times New Roman" w:hAnsi="Times New Roman" w:hint="eastAsia"/>
          <w:szCs w:val="24"/>
        </w:rPr>
        <w:t>，故</w:t>
      </w:r>
      <w:r>
        <w:rPr>
          <w:rFonts w:ascii="Times New Roman" w:hAnsi="Times New Roman"/>
          <w:szCs w:val="24"/>
        </w:rPr>
        <w:t>确保了矿井水处理站改造过程中矿井水经过了全部处理。</w:t>
      </w:r>
      <w:r>
        <w:rPr>
          <w:rFonts w:ascii="Times New Roman" w:hAnsi="Times New Roman" w:hint="eastAsia"/>
          <w:szCs w:val="24"/>
        </w:rPr>
        <w:t>处理后用于地面及井下生产、洒水抑尘、黄泥灌浆用水等，不外排。</w:t>
      </w:r>
    </w:p>
    <w:p w14:paraId="2B97854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项目环保设施改造期间，设施停用在当地环保部门进行备案，</w:t>
      </w:r>
      <w:r>
        <w:rPr>
          <w:rFonts w:ascii="Times New Roman" w:hAnsi="Times New Roman"/>
          <w:szCs w:val="24"/>
        </w:rPr>
        <w:t>2020</w:t>
      </w:r>
      <w:r>
        <w:rPr>
          <w:rFonts w:ascii="Times New Roman" w:hAnsi="Times New Roman"/>
          <w:szCs w:val="24"/>
        </w:rPr>
        <w:t>年</w:t>
      </w:r>
      <w:r>
        <w:rPr>
          <w:rFonts w:ascii="Times New Roman" w:hAnsi="Times New Roman"/>
          <w:szCs w:val="24"/>
        </w:rPr>
        <w:t>9</w:t>
      </w:r>
      <w:r>
        <w:rPr>
          <w:rFonts w:ascii="Times New Roman" w:hAnsi="Times New Roman"/>
          <w:szCs w:val="24"/>
        </w:rPr>
        <w:t>月底完成了水处理设施的改造</w:t>
      </w:r>
      <w:r>
        <w:rPr>
          <w:rFonts w:ascii="Times New Roman" w:hAnsi="Times New Roman" w:hint="eastAsia"/>
          <w:szCs w:val="24"/>
        </w:rPr>
        <w:t>。红石湾污废水经处理设施处理后全部回用不外排。矿井水及生活污水处理站检测数据见下表。</w:t>
      </w:r>
    </w:p>
    <w:p w14:paraId="6EE1173C" w14:textId="77777777" w:rsidR="009C353B" w:rsidRDefault="00000000">
      <w:pPr>
        <w:spacing w:line="440" w:lineRule="exact"/>
        <w:ind w:firstLineChars="200" w:firstLine="480"/>
        <w:jc w:val="center"/>
        <w:rPr>
          <w:rFonts w:asciiTheme="minorEastAsia" w:eastAsiaTheme="minorEastAsia" w:hAnsiTheme="minorEastAsia" w:hint="eastAsia"/>
          <w:szCs w:val="24"/>
        </w:rPr>
      </w:pPr>
      <w:r>
        <w:rPr>
          <w:rFonts w:asciiTheme="minorEastAsia" w:eastAsiaTheme="minorEastAsia" w:hAnsiTheme="minorEastAsia" w:hint="eastAsia"/>
          <w:szCs w:val="24"/>
        </w:rPr>
        <w:t>红石湾矿井水处理站预处理出水水质检测数据</w:t>
      </w:r>
    </w:p>
    <w:p w14:paraId="4C455135" w14:textId="77777777" w:rsidR="009C353B" w:rsidRDefault="00000000">
      <w:pPr>
        <w:adjustRightInd w:val="0"/>
        <w:snapToGrid w:val="0"/>
        <w:spacing w:line="440" w:lineRule="exact"/>
        <w:ind w:firstLineChars="200" w:firstLine="480"/>
        <w:outlineLvl w:val="4"/>
        <w:rPr>
          <w:rFonts w:ascii="Times New Roman" w:hAnsi="Times New Roman"/>
          <w:szCs w:val="24"/>
        </w:rPr>
      </w:pPr>
      <w:r>
        <w:rPr>
          <w:rFonts w:ascii="Times New Roman" w:hAnsi="Times New Roman" w:hint="eastAsia"/>
          <w:szCs w:val="24"/>
        </w:rPr>
        <w:t>表</w:t>
      </w:r>
      <w:r>
        <w:rPr>
          <w:rFonts w:ascii="Times New Roman" w:hAnsi="Times New Roman" w:hint="eastAsia"/>
          <w:szCs w:val="24"/>
        </w:rPr>
        <w:t>4</w:t>
      </w:r>
      <w:r>
        <w:rPr>
          <w:rFonts w:ascii="Times New Roman" w:hAnsi="Times New Roman"/>
          <w:szCs w:val="24"/>
        </w:rPr>
        <w:t>.2</w:t>
      </w:r>
      <w:r>
        <w:rPr>
          <w:rFonts w:ascii="Times New Roman" w:hAnsi="Times New Roman" w:hint="eastAsia"/>
          <w:szCs w:val="24"/>
        </w:rPr>
        <w:t>-8</w:t>
      </w:r>
    </w:p>
    <w:tbl>
      <w:tblPr>
        <w:tblStyle w:val="afffb"/>
        <w:tblW w:w="5000" w:type="pct"/>
        <w:tblLook w:val="04A0" w:firstRow="1" w:lastRow="0" w:firstColumn="1" w:lastColumn="0" w:noHBand="0" w:noVBand="1"/>
      </w:tblPr>
      <w:tblGrid>
        <w:gridCol w:w="1663"/>
        <w:gridCol w:w="1856"/>
        <w:gridCol w:w="1048"/>
        <w:gridCol w:w="1672"/>
        <w:gridCol w:w="3048"/>
      </w:tblGrid>
      <w:tr w:rsidR="009C353B" w14:paraId="7BE0EC16" w14:textId="77777777">
        <w:trPr>
          <w:trHeight w:hRule="exact" w:val="1110"/>
        </w:trPr>
        <w:tc>
          <w:tcPr>
            <w:tcW w:w="895" w:type="pct"/>
            <w:vAlign w:val="center"/>
          </w:tcPr>
          <w:p w14:paraId="1A493433" w14:textId="77777777" w:rsidR="009C353B" w:rsidRDefault="00000000">
            <w:pPr>
              <w:jc w:val="center"/>
              <w:rPr>
                <w:rFonts w:ascii="Times New Roman" w:hAnsi="Times New Roman"/>
                <w:sz w:val="21"/>
                <w:szCs w:val="21"/>
              </w:rPr>
            </w:pPr>
            <w:r>
              <w:rPr>
                <w:rFonts w:ascii="Times New Roman" w:hAnsi="Times New Roman"/>
                <w:sz w:val="21"/>
                <w:szCs w:val="21"/>
              </w:rPr>
              <w:t>检测日期</w:t>
            </w:r>
          </w:p>
        </w:tc>
        <w:tc>
          <w:tcPr>
            <w:tcW w:w="999" w:type="pct"/>
            <w:vAlign w:val="center"/>
          </w:tcPr>
          <w:p w14:paraId="0564491F" w14:textId="77777777" w:rsidR="009C353B" w:rsidRDefault="00000000">
            <w:pPr>
              <w:jc w:val="center"/>
              <w:rPr>
                <w:rFonts w:ascii="Times New Roman" w:hAnsi="Times New Roman"/>
                <w:sz w:val="21"/>
                <w:szCs w:val="21"/>
              </w:rPr>
            </w:pPr>
            <w:r>
              <w:rPr>
                <w:rFonts w:ascii="Times New Roman" w:hAnsi="Times New Roman"/>
                <w:sz w:val="21"/>
                <w:szCs w:val="21"/>
              </w:rPr>
              <w:t>检测项目</w:t>
            </w:r>
          </w:p>
        </w:tc>
        <w:tc>
          <w:tcPr>
            <w:tcW w:w="564" w:type="pct"/>
            <w:vAlign w:val="center"/>
          </w:tcPr>
          <w:p w14:paraId="7355CD66" w14:textId="77777777" w:rsidR="009C353B" w:rsidRDefault="00000000">
            <w:pPr>
              <w:jc w:val="center"/>
              <w:rPr>
                <w:rFonts w:ascii="Times New Roman" w:hAnsi="Times New Roman"/>
                <w:sz w:val="21"/>
                <w:szCs w:val="21"/>
              </w:rPr>
            </w:pPr>
            <w:r>
              <w:rPr>
                <w:rFonts w:ascii="Times New Roman" w:hAnsi="Times New Roman"/>
                <w:sz w:val="21"/>
                <w:szCs w:val="21"/>
              </w:rPr>
              <w:t>单位</w:t>
            </w:r>
          </w:p>
        </w:tc>
        <w:tc>
          <w:tcPr>
            <w:tcW w:w="900" w:type="pct"/>
            <w:vAlign w:val="center"/>
          </w:tcPr>
          <w:p w14:paraId="3DB5C987" w14:textId="77777777" w:rsidR="009C353B" w:rsidRDefault="00000000">
            <w:pPr>
              <w:jc w:val="center"/>
              <w:rPr>
                <w:rFonts w:ascii="Times New Roman" w:hAnsi="Times New Roman"/>
                <w:sz w:val="21"/>
                <w:szCs w:val="21"/>
              </w:rPr>
            </w:pPr>
            <w:r>
              <w:rPr>
                <w:rFonts w:ascii="Times New Roman" w:hAnsi="Times New Roman"/>
                <w:sz w:val="21"/>
                <w:szCs w:val="21"/>
              </w:rPr>
              <w:t>检测结果</w:t>
            </w:r>
          </w:p>
        </w:tc>
        <w:tc>
          <w:tcPr>
            <w:tcW w:w="1641" w:type="pct"/>
            <w:vAlign w:val="center"/>
          </w:tcPr>
          <w:p w14:paraId="0201031C" w14:textId="77777777" w:rsidR="009C353B" w:rsidRDefault="00000000">
            <w:pPr>
              <w:jc w:val="center"/>
              <w:rPr>
                <w:rFonts w:ascii="Times New Roman" w:hAnsi="Times New Roman"/>
                <w:sz w:val="21"/>
                <w:szCs w:val="21"/>
              </w:rPr>
            </w:pPr>
            <w:r>
              <w:rPr>
                <w:rFonts w:ascii="Times New Roman" w:hAnsi="Times New Roman" w:hint="eastAsia"/>
                <w:sz w:val="21"/>
                <w:szCs w:val="21"/>
              </w:rPr>
              <w:t>《煤炭工业污染物排放标准》（</w:t>
            </w:r>
            <w:r>
              <w:rPr>
                <w:rFonts w:ascii="Times New Roman" w:hAnsi="Times New Roman"/>
                <w:sz w:val="21"/>
                <w:szCs w:val="21"/>
              </w:rPr>
              <w:t>GB20426-2006</w:t>
            </w:r>
            <w:r>
              <w:rPr>
                <w:rFonts w:ascii="Times New Roman" w:hAnsi="Times New Roman"/>
                <w:sz w:val="21"/>
                <w:szCs w:val="21"/>
              </w:rPr>
              <w:t>）</w:t>
            </w:r>
          </w:p>
        </w:tc>
      </w:tr>
      <w:tr w:rsidR="009C353B" w14:paraId="519548CE" w14:textId="77777777">
        <w:trPr>
          <w:trHeight w:hRule="exact" w:val="573"/>
        </w:trPr>
        <w:tc>
          <w:tcPr>
            <w:tcW w:w="895" w:type="pct"/>
            <w:vMerge w:val="restart"/>
            <w:vAlign w:val="center"/>
          </w:tcPr>
          <w:p w14:paraId="7ECDFA8E" w14:textId="77777777" w:rsidR="009C353B" w:rsidRDefault="00000000">
            <w:pPr>
              <w:jc w:val="center"/>
              <w:rPr>
                <w:rFonts w:ascii="Times New Roman" w:hAnsi="Times New Roman"/>
                <w:sz w:val="21"/>
                <w:szCs w:val="21"/>
              </w:rPr>
            </w:pPr>
            <w:r>
              <w:rPr>
                <w:rFonts w:ascii="Times New Roman" w:hAnsi="Times New Roman" w:hint="eastAsia"/>
                <w:sz w:val="21"/>
                <w:szCs w:val="21"/>
              </w:rPr>
              <w:t>2020/11/2</w:t>
            </w:r>
          </w:p>
        </w:tc>
        <w:tc>
          <w:tcPr>
            <w:tcW w:w="999" w:type="pct"/>
            <w:shd w:val="clear" w:color="auto" w:fill="auto"/>
            <w:vAlign w:val="center"/>
          </w:tcPr>
          <w:p w14:paraId="3F122660" w14:textId="77777777" w:rsidR="009C353B" w:rsidRDefault="00000000">
            <w:pPr>
              <w:jc w:val="center"/>
              <w:rPr>
                <w:rFonts w:ascii="Times New Roman" w:hAnsi="Times New Roman"/>
                <w:sz w:val="21"/>
                <w:szCs w:val="21"/>
              </w:rPr>
            </w:pPr>
            <w:r>
              <w:rPr>
                <w:rFonts w:ascii="Arial" w:hAnsi="Arial" w:cs="Arial"/>
                <w:kern w:val="0"/>
                <w:sz w:val="20"/>
              </w:rPr>
              <w:t>pH</w:t>
            </w:r>
          </w:p>
        </w:tc>
        <w:tc>
          <w:tcPr>
            <w:tcW w:w="564" w:type="pct"/>
            <w:shd w:val="clear" w:color="auto" w:fill="auto"/>
            <w:vAlign w:val="center"/>
          </w:tcPr>
          <w:p w14:paraId="36571667" w14:textId="77777777" w:rsidR="009C353B" w:rsidRDefault="00000000">
            <w:pPr>
              <w:jc w:val="center"/>
              <w:rPr>
                <w:rFonts w:ascii="Times New Roman" w:hAnsi="Times New Roman"/>
                <w:sz w:val="21"/>
                <w:szCs w:val="21"/>
              </w:rPr>
            </w:pPr>
            <w:r>
              <w:rPr>
                <w:rFonts w:ascii="Arial" w:hAnsi="Arial" w:cs="Arial"/>
                <w:kern w:val="0"/>
                <w:sz w:val="20"/>
              </w:rPr>
              <w:t>无量纲</w:t>
            </w:r>
          </w:p>
        </w:tc>
        <w:tc>
          <w:tcPr>
            <w:tcW w:w="900" w:type="pct"/>
            <w:shd w:val="clear" w:color="auto" w:fill="auto"/>
            <w:vAlign w:val="center"/>
          </w:tcPr>
          <w:p w14:paraId="46034BFA" w14:textId="77777777" w:rsidR="009C353B" w:rsidRDefault="00000000">
            <w:pPr>
              <w:jc w:val="center"/>
              <w:rPr>
                <w:rFonts w:ascii="Times New Roman" w:hAnsi="Times New Roman"/>
                <w:sz w:val="21"/>
                <w:szCs w:val="21"/>
              </w:rPr>
            </w:pPr>
            <w:r>
              <w:rPr>
                <w:rFonts w:ascii="Arial" w:hAnsi="Arial" w:cs="Arial"/>
                <w:kern w:val="0"/>
                <w:sz w:val="20"/>
              </w:rPr>
              <w:t>7.64</w:t>
            </w:r>
          </w:p>
        </w:tc>
        <w:tc>
          <w:tcPr>
            <w:tcW w:w="1641" w:type="pct"/>
            <w:vAlign w:val="center"/>
          </w:tcPr>
          <w:p w14:paraId="07869881" w14:textId="77777777" w:rsidR="009C353B" w:rsidRDefault="00000000">
            <w:pPr>
              <w:jc w:val="center"/>
              <w:rPr>
                <w:rFonts w:ascii="Times New Roman" w:hAnsi="Times New Roman"/>
                <w:sz w:val="21"/>
                <w:szCs w:val="21"/>
              </w:rPr>
            </w:pPr>
            <w:r>
              <w:rPr>
                <w:rFonts w:ascii="Times New Roman" w:hAnsi="Times New Roman" w:hint="eastAsia"/>
                <w:sz w:val="21"/>
                <w:szCs w:val="21"/>
              </w:rPr>
              <w:t>6~9</w:t>
            </w:r>
          </w:p>
        </w:tc>
      </w:tr>
      <w:tr w:rsidR="009C353B" w14:paraId="6B4F3C15" w14:textId="77777777">
        <w:trPr>
          <w:trHeight w:hRule="exact" w:val="340"/>
        </w:trPr>
        <w:tc>
          <w:tcPr>
            <w:tcW w:w="895" w:type="pct"/>
            <w:vMerge/>
            <w:vAlign w:val="center"/>
          </w:tcPr>
          <w:p w14:paraId="6716ECA9" w14:textId="77777777" w:rsidR="009C353B" w:rsidRDefault="009C353B">
            <w:pPr>
              <w:jc w:val="center"/>
              <w:rPr>
                <w:rFonts w:ascii="Times New Roman" w:hAnsi="Times New Roman"/>
                <w:sz w:val="21"/>
                <w:szCs w:val="21"/>
              </w:rPr>
            </w:pPr>
          </w:p>
        </w:tc>
        <w:tc>
          <w:tcPr>
            <w:tcW w:w="999" w:type="pct"/>
            <w:shd w:val="clear" w:color="auto" w:fill="auto"/>
            <w:vAlign w:val="center"/>
          </w:tcPr>
          <w:p w14:paraId="758209D3" w14:textId="77777777" w:rsidR="009C353B" w:rsidRDefault="00000000">
            <w:pPr>
              <w:jc w:val="center"/>
              <w:rPr>
                <w:rFonts w:ascii="Times New Roman" w:hAnsi="Times New Roman"/>
                <w:sz w:val="21"/>
                <w:szCs w:val="21"/>
              </w:rPr>
            </w:pPr>
            <w:r>
              <w:rPr>
                <w:rFonts w:ascii="Arial" w:hAnsi="Arial" w:cs="Arial"/>
                <w:kern w:val="0"/>
                <w:sz w:val="20"/>
              </w:rPr>
              <w:t>悬浮物</w:t>
            </w:r>
          </w:p>
        </w:tc>
        <w:tc>
          <w:tcPr>
            <w:tcW w:w="564" w:type="pct"/>
            <w:shd w:val="clear" w:color="auto" w:fill="auto"/>
            <w:vAlign w:val="center"/>
          </w:tcPr>
          <w:p w14:paraId="18BFDC37" w14:textId="77777777" w:rsidR="009C353B" w:rsidRDefault="00000000">
            <w:pPr>
              <w:jc w:val="center"/>
              <w:rPr>
                <w:rFonts w:ascii="Times New Roman" w:hAnsi="Times New Roman"/>
                <w:sz w:val="21"/>
                <w:szCs w:val="21"/>
              </w:rPr>
            </w:pPr>
            <w:r>
              <w:rPr>
                <w:rFonts w:ascii="Arial" w:hAnsi="Arial" w:cs="Arial"/>
                <w:kern w:val="0"/>
                <w:sz w:val="20"/>
              </w:rPr>
              <w:t>mg/L</w:t>
            </w:r>
          </w:p>
        </w:tc>
        <w:tc>
          <w:tcPr>
            <w:tcW w:w="900" w:type="pct"/>
            <w:shd w:val="clear" w:color="auto" w:fill="auto"/>
            <w:vAlign w:val="center"/>
          </w:tcPr>
          <w:p w14:paraId="136FE780" w14:textId="77777777" w:rsidR="009C353B" w:rsidRDefault="00000000">
            <w:pPr>
              <w:jc w:val="center"/>
              <w:rPr>
                <w:rFonts w:ascii="Times New Roman" w:hAnsi="Times New Roman"/>
                <w:sz w:val="21"/>
                <w:szCs w:val="21"/>
              </w:rPr>
            </w:pPr>
            <w:r>
              <w:rPr>
                <w:rFonts w:ascii="Arial" w:hAnsi="Arial" w:cs="Arial"/>
                <w:kern w:val="0"/>
                <w:sz w:val="20"/>
              </w:rPr>
              <w:t>40</w:t>
            </w:r>
          </w:p>
        </w:tc>
        <w:tc>
          <w:tcPr>
            <w:tcW w:w="1641" w:type="pct"/>
          </w:tcPr>
          <w:p w14:paraId="4710D1D9" w14:textId="77777777" w:rsidR="009C353B" w:rsidRDefault="00000000">
            <w:pPr>
              <w:jc w:val="center"/>
              <w:rPr>
                <w:rFonts w:ascii="Times New Roman" w:hAnsi="Times New Roman"/>
                <w:sz w:val="21"/>
                <w:szCs w:val="21"/>
              </w:rPr>
            </w:pPr>
            <w:r>
              <w:rPr>
                <w:rFonts w:ascii="Times New Roman" w:hAnsi="Times New Roman" w:hint="eastAsia"/>
                <w:sz w:val="21"/>
                <w:szCs w:val="21"/>
              </w:rPr>
              <w:t>70</w:t>
            </w:r>
          </w:p>
        </w:tc>
      </w:tr>
      <w:tr w:rsidR="009C353B" w14:paraId="00CEBAA8" w14:textId="77777777">
        <w:trPr>
          <w:trHeight w:hRule="exact" w:val="340"/>
        </w:trPr>
        <w:tc>
          <w:tcPr>
            <w:tcW w:w="895" w:type="pct"/>
            <w:vMerge/>
            <w:vAlign w:val="center"/>
          </w:tcPr>
          <w:p w14:paraId="59C0F20E" w14:textId="77777777" w:rsidR="009C353B" w:rsidRDefault="009C353B">
            <w:pPr>
              <w:jc w:val="center"/>
              <w:rPr>
                <w:rFonts w:ascii="Times New Roman" w:hAnsi="Times New Roman"/>
                <w:sz w:val="21"/>
                <w:szCs w:val="21"/>
              </w:rPr>
            </w:pPr>
          </w:p>
        </w:tc>
        <w:tc>
          <w:tcPr>
            <w:tcW w:w="999" w:type="pct"/>
            <w:shd w:val="clear" w:color="auto" w:fill="auto"/>
            <w:vAlign w:val="center"/>
          </w:tcPr>
          <w:p w14:paraId="5A12E9D0" w14:textId="77777777" w:rsidR="009C353B" w:rsidRDefault="00000000">
            <w:pPr>
              <w:jc w:val="center"/>
              <w:rPr>
                <w:rFonts w:ascii="Times New Roman" w:hAnsi="Times New Roman"/>
                <w:sz w:val="21"/>
                <w:szCs w:val="21"/>
              </w:rPr>
            </w:pPr>
            <w:r>
              <w:rPr>
                <w:rFonts w:ascii="Arial" w:hAnsi="Arial" w:cs="Arial"/>
                <w:kern w:val="0"/>
                <w:sz w:val="20"/>
              </w:rPr>
              <w:t>氨氮</w:t>
            </w:r>
          </w:p>
        </w:tc>
        <w:tc>
          <w:tcPr>
            <w:tcW w:w="564" w:type="pct"/>
            <w:shd w:val="clear" w:color="auto" w:fill="auto"/>
            <w:vAlign w:val="center"/>
          </w:tcPr>
          <w:p w14:paraId="22A0AB87" w14:textId="77777777" w:rsidR="009C353B" w:rsidRDefault="00000000">
            <w:pPr>
              <w:jc w:val="center"/>
              <w:rPr>
                <w:rFonts w:ascii="Times New Roman" w:hAnsi="Times New Roman"/>
                <w:sz w:val="21"/>
                <w:szCs w:val="21"/>
              </w:rPr>
            </w:pPr>
            <w:r>
              <w:rPr>
                <w:rFonts w:ascii="Arial" w:hAnsi="Arial" w:cs="Arial"/>
                <w:kern w:val="0"/>
                <w:sz w:val="20"/>
              </w:rPr>
              <w:t>mg/L</w:t>
            </w:r>
          </w:p>
        </w:tc>
        <w:tc>
          <w:tcPr>
            <w:tcW w:w="900" w:type="pct"/>
            <w:shd w:val="clear" w:color="auto" w:fill="auto"/>
            <w:vAlign w:val="center"/>
          </w:tcPr>
          <w:p w14:paraId="08E12127" w14:textId="77777777" w:rsidR="009C353B" w:rsidRDefault="00000000">
            <w:pPr>
              <w:jc w:val="center"/>
              <w:rPr>
                <w:rFonts w:ascii="Times New Roman" w:hAnsi="Times New Roman"/>
                <w:sz w:val="21"/>
                <w:szCs w:val="21"/>
              </w:rPr>
            </w:pPr>
            <w:r>
              <w:rPr>
                <w:rFonts w:ascii="Arial" w:hAnsi="Arial" w:cs="Arial"/>
                <w:kern w:val="0"/>
                <w:sz w:val="20"/>
              </w:rPr>
              <w:t>1.02</w:t>
            </w:r>
          </w:p>
        </w:tc>
        <w:tc>
          <w:tcPr>
            <w:tcW w:w="1641" w:type="pct"/>
          </w:tcPr>
          <w:p w14:paraId="3FC1971B"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r>
      <w:tr w:rsidR="009C353B" w14:paraId="5E903329" w14:textId="77777777">
        <w:trPr>
          <w:trHeight w:hRule="exact" w:val="545"/>
        </w:trPr>
        <w:tc>
          <w:tcPr>
            <w:tcW w:w="895" w:type="pct"/>
            <w:vMerge/>
            <w:vAlign w:val="center"/>
          </w:tcPr>
          <w:p w14:paraId="15DB7C53" w14:textId="77777777" w:rsidR="009C353B" w:rsidRDefault="009C353B">
            <w:pPr>
              <w:jc w:val="center"/>
              <w:rPr>
                <w:rFonts w:ascii="Times New Roman" w:hAnsi="Times New Roman"/>
                <w:sz w:val="21"/>
                <w:szCs w:val="21"/>
              </w:rPr>
            </w:pPr>
          </w:p>
        </w:tc>
        <w:tc>
          <w:tcPr>
            <w:tcW w:w="999" w:type="pct"/>
            <w:shd w:val="clear" w:color="auto" w:fill="auto"/>
            <w:vAlign w:val="center"/>
          </w:tcPr>
          <w:p w14:paraId="203D45F6" w14:textId="77777777" w:rsidR="009C353B" w:rsidRDefault="00000000">
            <w:pPr>
              <w:jc w:val="center"/>
              <w:rPr>
                <w:rFonts w:ascii="Times New Roman" w:hAnsi="Times New Roman"/>
                <w:sz w:val="21"/>
                <w:szCs w:val="21"/>
              </w:rPr>
            </w:pPr>
            <w:r>
              <w:rPr>
                <w:rFonts w:ascii="Arial" w:hAnsi="Arial" w:cs="Arial"/>
                <w:kern w:val="0"/>
                <w:sz w:val="20"/>
              </w:rPr>
              <w:t>化学需氧量</w:t>
            </w:r>
          </w:p>
        </w:tc>
        <w:tc>
          <w:tcPr>
            <w:tcW w:w="564" w:type="pct"/>
            <w:shd w:val="clear" w:color="auto" w:fill="auto"/>
            <w:vAlign w:val="center"/>
          </w:tcPr>
          <w:p w14:paraId="69B1AA1F" w14:textId="77777777" w:rsidR="009C353B" w:rsidRDefault="00000000">
            <w:pPr>
              <w:jc w:val="center"/>
              <w:rPr>
                <w:rFonts w:ascii="Times New Roman" w:hAnsi="Times New Roman"/>
                <w:sz w:val="21"/>
                <w:szCs w:val="21"/>
              </w:rPr>
            </w:pPr>
            <w:r>
              <w:rPr>
                <w:rFonts w:ascii="Arial" w:hAnsi="Arial" w:cs="Arial"/>
                <w:kern w:val="0"/>
                <w:sz w:val="20"/>
              </w:rPr>
              <w:t>mg/L</w:t>
            </w:r>
          </w:p>
        </w:tc>
        <w:tc>
          <w:tcPr>
            <w:tcW w:w="900" w:type="pct"/>
            <w:shd w:val="clear" w:color="auto" w:fill="auto"/>
            <w:vAlign w:val="center"/>
          </w:tcPr>
          <w:p w14:paraId="5FD84ED9" w14:textId="77777777" w:rsidR="009C353B" w:rsidRDefault="00000000">
            <w:pPr>
              <w:jc w:val="center"/>
              <w:rPr>
                <w:rFonts w:ascii="Times New Roman" w:hAnsi="Times New Roman"/>
                <w:sz w:val="21"/>
                <w:szCs w:val="21"/>
              </w:rPr>
            </w:pPr>
            <w:r>
              <w:rPr>
                <w:rFonts w:ascii="Arial" w:hAnsi="Arial" w:cs="Arial"/>
                <w:kern w:val="0"/>
                <w:sz w:val="20"/>
              </w:rPr>
              <w:t>19</w:t>
            </w:r>
          </w:p>
        </w:tc>
        <w:tc>
          <w:tcPr>
            <w:tcW w:w="1641" w:type="pct"/>
          </w:tcPr>
          <w:p w14:paraId="0855CC6D" w14:textId="77777777" w:rsidR="009C353B" w:rsidRDefault="00000000">
            <w:pPr>
              <w:jc w:val="center"/>
              <w:rPr>
                <w:rFonts w:ascii="Times New Roman" w:hAnsi="Times New Roman"/>
                <w:sz w:val="21"/>
                <w:szCs w:val="21"/>
              </w:rPr>
            </w:pPr>
            <w:r>
              <w:rPr>
                <w:rFonts w:ascii="Times New Roman" w:hAnsi="Times New Roman" w:hint="eastAsia"/>
                <w:sz w:val="21"/>
                <w:szCs w:val="21"/>
              </w:rPr>
              <w:t>70</w:t>
            </w:r>
          </w:p>
        </w:tc>
      </w:tr>
      <w:tr w:rsidR="009C353B" w14:paraId="50223423" w14:textId="77777777">
        <w:trPr>
          <w:trHeight w:hRule="exact" w:val="340"/>
        </w:trPr>
        <w:tc>
          <w:tcPr>
            <w:tcW w:w="895" w:type="pct"/>
            <w:vMerge/>
            <w:vAlign w:val="center"/>
          </w:tcPr>
          <w:p w14:paraId="5D078342" w14:textId="77777777" w:rsidR="009C353B" w:rsidRDefault="009C353B">
            <w:pPr>
              <w:jc w:val="center"/>
              <w:rPr>
                <w:rFonts w:ascii="Times New Roman" w:hAnsi="Times New Roman"/>
                <w:sz w:val="21"/>
                <w:szCs w:val="21"/>
              </w:rPr>
            </w:pPr>
          </w:p>
        </w:tc>
        <w:tc>
          <w:tcPr>
            <w:tcW w:w="999" w:type="pct"/>
            <w:shd w:val="clear" w:color="auto" w:fill="auto"/>
            <w:vAlign w:val="center"/>
          </w:tcPr>
          <w:p w14:paraId="0443733E" w14:textId="77777777" w:rsidR="009C353B" w:rsidRDefault="00000000">
            <w:pPr>
              <w:jc w:val="center"/>
              <w:rPr>
                <w:rFonts w:ascii="Times New Roman" w:hAnsi="Times New Roman"/>
                <w:sz w:val="21"/>
                <w:szCs w:val="21"/>
              </w:rPr>
            </w:pPr>
            <w:r>
              <w:rPr>
                <w:rFonts w:ascii="Arial" w:hAnsi="Arial" w:cs="Arial"/>
                <w:kern w:val="0"/>
                <w:sz w:val="20"/>
              </w:rPr>
              <w:t>氟化物</w:t>
            </w:r>
          </w:p>
        </w:tc>
        <w:tc>
          <w:tcPr>
            <w:tcW w:w="564" w:type="pct"/>
            <w:shd w:val="clear" w:color="auto" w:fill="auto"/>
            <w:vAlign w:val="center"/>
          </w:tcPr>
          <w:p w14:paraId="2AA8B318" w14:textId="77777777" w:rsidR="009C353B" w:rsidRDefault="00000000">
            <w:pPr>
              <w:jc w:val="center"/>
              <w:rPr>
                <w:rFonts w:ascii="Times New Roman" w:hAnsi="Times New Roman"/>
                <w:sz w:val="21"/>
                <w:szCs w:val="21"/>
              </w:rPr>
            </w:pPr>
            <w:r>
              <w:rPr>
                <w:rFonts w:ascii="Arial" w:hAnsi="Arial" w:cs="Arial"/>
                <w:kern w:val="0"/>
                <w:sz w:val="20"/>
              </w:rPr>
              <w:t>mg/L</w:t>
            </w:r>
          </w:p>
        </w:tc>
        <w:tc>
          <w:tcPr>
            <w:tcW w:w="900" w:type="pct"/>
            <w:shd w:val="clear" w:color="auto" w:fill="auto"/>
            <w:vAlign w:val="center"/>
          </w:tcPr>
          <w:p w14:paraId="24EB6195" w14:textId="77777777" w:rsidR="009C353B" w:rsidRDefault="00000000">
            <w:pPr>
              <w:jc w:val="center"/>
              <w:rPr>
                <w:rFonts w:ascii="Times New Roman" w:hAnsi="Times New Roman"/>
                <w:sz w:val="21"/>
                <w:szCs w:val="21"/>
              </w:rPr>
            </w:pPr>
            <w:r>
              <w:rPr>
                <w:rFonts w:ascii="Arial" w:hAnsi="Arial" w:cs="Arial"/>
                <w:kern w:val="0"/>
                <w:sz w:val="20"/>
              </w:rPr>
              <w:t>1.36</w:t>
            </w:r>
          </w:p>
        </w:tc>
        <w:tc>
          <w:tcPr>
            <w:tcW w:w="1641" w:type="pct"/>
          </w:tcPr>
          <w:p w14:paraId="750B5E01" w14:textId="77777777" w:rsidR="009C353B" w:rsidRDefault="00000000">
            <w:pPr>
              <w:jc w:val="center"/>
              <w:rPr>
                <w:rFonts w:ascii="Times New Roman" w:hAnsi="Times New Roman"/>
                <w:sz w:val="21"/>
                <w:szCs w:val="21"/>
              </w:rPr>
            </w:pPr>
            <w:r>
              <w:rPr>
                <w:rFonts w:ascii="Times New Roman" w:hAnsi="Times New Roman" w:hint="eastAsia"/>
                <w:sz w:val="21"/>
                <w:szCs w:val="21"/>
              </w:rPr>
              <w:t>10</w:t>
            </w:r>
          </w:p>
        </w:tc>
      </w:tr>
      <w:tr w:rsidR="009C353B" w14:paraId="3CB0E2F6" w14:textId="77777777">
        <w:trPr>
          <w:trHeight w:hRule="exact" w:val="340"/>
        </w:trPr>
        <w:tc>
          <w:tcPr>
            <w:tcW w:w="895" w:type="pct"/>
            <w:vMerge/>
            <w:vAlign w:val="center"/>
          </w:tcPr>
          <w:p w14:paraId="4B371295" w14:textId="77777777" w:rsidR="009C353B" w:rsidRDefault="009C353B">
            <w:pPr>
              <w:jc w:val="center"/>
              <w:rPr>
                <w:rFonts w:ascii="Times New Roman" w:hAnsi="Times New Roman"/>
                <w:sz w:val="21"/>
                <w:szCs w:val="21"/>
              </w:rPr>
            </w:pPr>
          </w:p>
        </w:tc>
        <w:tc>
          <w:tcPr>
            <w:tcW w:w="999" w:type="pct"/>
            <w:shd w:val="clear" w:color="auto" w:fill="auto"/>
            <w:vAlign w:val="center"/>
          </w:tcPr>
          <w:p w14:paraId="1AD0BF3D" w14:textId="77777777" w:rsidR="009C353B" w:rsidRDefault="00000000">
            <w:pPr>
              <w:jc w:val="center"/>
              <w:rPr>
                <w:rFonts w:ascii="Times New Roman" w:hAnsi="Times New Roman"/>
                <w:sz w:val="21"/>
                <w:szCs w:val="21"/>
              </w:rPr>
            </w:pPr>
            <w:r>
              <w:rPr>
                <w:rFonts w:ascii="Arial" w:hAnsi="Arial" w:cs="Arial"/>
                <w:kern w:val="0"/>
                <w:sz w:val="20"/>
              </w:rPr>
              <w:t>矿化度</w:t>
            </w:r>
          </w:p>
        </w:tc>
        <w:tc>
          <w:tcPr>
            <w:tcW w:w="564" w:type="pct"/>
            <w:shd w:val="clear" w:color="auto" w:fill="auto"/>
            <w:vAlign w:val="center"/>
          </w:tcPr>
          <w:p w14:paraId="55454A38" w14:textId="77777777" w:rsidR="009C353B" w:rsidRDefault="00000000">
            <w:pPr>
              <w:jc w:val="center"/>
              <w:rPr>
                <w:rFonts w:ascii="Times New Roman" w:hAnsi="Times New Roman"/>
                <w:sz w:val="21"/>
                <w:szCs w:val="21"/>
              </w:rPr>
            </w:pPr>
            <w:r>
              <w:rPr>
                <w:rFonts w:ascii="Arial" w:hAnsi="Arial" w:cs="Arial"/>
                <w:kern w:val="0"/>
                <w:sz w:val="20"/>
              </w:rPr>
              <w:t>mg/L</w:t>
            </w:r>
          </w:p>
        </w:tc>
        <w:tc>
          <w:tcPr>
            <w:tcW w:w="900" w:type="pct"/>
            <w:shd w:val="clear" w:color="auto" w:fill="auto"/>
            <w:vAlign w:val="center"/>
          </w:tcPr>
          <w:p w14:paraId="5E3D35FC" w14:textId="77777777" w:rsidR="009C353B" w:rsidRDefault="00000000">
            <w:pPr>
              <w:jc w:val="center"/>
              <w:rPr>
                <w:rFonts w:ascii="Times New Roman" w:hAnsi="Times New Roman"/>
                <w:sz w:val="21"/>
                <w:szCs w:val="21"/>
              </w:rPr>
            </w:pPr>
            <w:r>
              <w:rPr>
                <w:rFonts w:ascii="Arial" w:hAnsi="Arial" w:cs="Arial"/>
                <w:kern w:val="0"/>
                <w:sz w:val="20"/>
              </w:rPr>
              <w:t>2804</w:t>
            </w:r>
          </w:p>
        </w:tc>
        <w:tc>
          <w:tcPr>
            <w:tcW w:w="1641" w:type="pct"/>
          </w:tcPr>
          <w:p w14:paraId="6D4CF71C"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r>
      <w:tr w:rsidR="009C353B" w14:paraId="5893E126" w14:textId="77777777">
        <w:trPr>
          <w:trHeight w:hRule="exact" w:val="340"/>
        </w:trPr>
        <w:tc>
          <w:tcPr>
            <w:tcW w:w="895" w:type="pct"/>
            <w:vMerge/>
            <w:vAlign w:val="center"/>
          </w:tcPr>
          <w:p w14:paraId="68FFBF85" w14:textId="77777777" w:rsidR="009C353B" w:rsidRDefault="009C353B">
            <w:pPr>
              <w:jc w:val="center"/>
              <w:rPr>
                <w:rFonts w:ascii="Times New Roman" w:hAnsi="Times New Roman"/>
                <w:sz w:val="21"/>
                <w:szCs w:val="21"/>
              </w:rPr>
            </w:pPr>
          </w:p>
        </w:tc>
        <w:tc>
          <w:tcPr>
            <w:tcW w:w="999" w:type="pct"/>
            <w:shd w:val="clear" w:color="auto" w:fill="auto"/>
            <w:vAlign w:val="center"/>
          </w:tcPr>
          <w:p w14:paraId="36634E73" w14:textId="77777777" w:rsidR="009C353B" w:rsidRDefault="00000000">
            <w:pPr>
              <w:jc w:val="center"/>
              <w:rPr>
                <w:rFonts w:ascii="Times New Roman" w:hAnsi="Times New Roman"/>
                <w:sz w:val="21"/>
                <w:szCs w:val="21"/>
              </w:rPr>
            </w:pPr>
            <w:r>
              <w:rPr>
                <w:rFonts w:ascii="Arial" w:hAnsi="Arial" w:cs="Arial"/>
                <w:kern w:val="0"/>
                <w:sz w:val="20"/>
              </w:rPr>
              <w:t>石油类</w:t>
            </w:r>
          </w:p>
        </w:tc>
        <w:tc>
          <w:tcPr>
            <w:tcW w:w="564" w:type="pct"/>
            <w:shd w:val="clear" w:color="auto" w:fill="auto"/>
            <w:vAlign w:val="center"/>
          </w:tcPr>
          <w:p w14:paraId="1AC5524B" w14:textId="77777777" w:rsidR="009C353B" w:rsidRDefault="00000000">
            <w:pPr>
              <w:jc w:val="center"/>
              <w:rPr>
                <w:rFonts w:ascii="Times New Roman" w:hAnsi="Times New Roman"/>
                <w:sz w:val="21"/>
                <w:szCs w:val="21"/>
              </w:rPr>
            </w:pPr>
            <w:r>
              <w:rPr>
                <w:rFonts w:ascii="Arial" w:hAnsi="Arial" w:cs="Arial"/>
                <w:kern w:val="0"/>
                <w:sz w:val="20"/>
              </w:rPr>
              <w:t>mg/L</w:t>
            </w:r>
          </w:p>
        </w:tc>
        <w:tc>
          <w:tcPr>
            <w:tcW w:w="900" w:type="pct"/>
            <w:shd w:val="clear" w:color="auto" w:fill="auto"/>
            <w:vAlign w:val="center"/>
          </w:tcPr>
          <w:p w14:paraId="1EF2C9C9" w14:textId="77777777" w:rsidR="009C353B" w:rsidRDefault="00000000">
            <w:pPr>
              <w:jc w:val="center"/>
              <w:rPr>
                <w:rFonts w:ascii="Times New Roman" w:hAnsi="Times New Roman"/>
                <w:sz w:val="21"/>
                <w:szCs w:val="21"/>
              </w:rPr>
            </w:pPr>
            <w:r>
              <w:rPr>
                <w:rFonts w:ascii="Arial" w:hAnsi="Arial" w:cs="Arial"/>
                <w:kern w:val="0"/>
                <w:sz w:val="20"/>
              </w:rPr>
              <w:t>0.06ND</w:t>
            </w:r>
          </w:p>
        </w:tc>
        <w:tc>
          <w:tcPr>
            <w:tcW w:w="1641" w:type="pct"/>
          </w:tcPr>
          <w:p w14:paraId="6333E2E2" w14:textId="77777777" w:rsidR="009C353B" w:rsidRDefault="00000000">
            <w:pPr>
              <w:jc w:val="center"/>
              <w:rPr>
                <w:rFonts w:ascii="Times New Roman" w:hAnsi="Times New Roman"/>
                <w:sz w:val="21"/>
                <w:szCs w:val="21"/>
              </w:rPr>
            </w:pPr>
            <w:r>
              <w:rPr>
                <w:rFonts w:ascii="Times New Roman" w:hAnsi="Times New Roman" w:hint="eastAsia"/>
                <w:sz w:val="21"/>
                <w:szCs w:val="21"/>
              </w:rPr>
              <w:t>10</w:t>
            </w:r>
          </w:p>
        </w:tc>
      </w:tr>
      <w:tr w:rsidR="009C353B" w14:paraId="247FC699" w14:textId="77777777">
        <w:trPr>
          <w:trHeight w:hRule="exact" w:val="340"/>
        </w:trPr>
        <w:tc>
          <w:tcPr>
            <w:tcW w:w="895" w:type="pct"/>
            <w:vMerge/>
            <w:vAlign w:val="center"/>
          </w:tcPr>
          <w:p w14:paraId="3C3161F8" w14:textId="77777777" w:rsidR="009C353B" w:rsidRDefault="009C353B">
            <w:pPr>
              <w:jc w:val="center"/>
              <w:rPr>
                <w:rFonts w:ascii="Times New Roman" w:hAnsi="Times New Roman"/>
                <w:sz w:val="21"/>
                <w:szCs w:val="21"/>
              </w:rPr>
            </w:pPr>
          </w:p>
        </w:tc>
        <w:tc>
          <w:tcPr>
            <w:tcW w:w="999" w:type="pct"/>
            <w:shd w:val="clear" w:color="auto" w:fill="auto"/>
            <w:vAlign w:val="center"/>
          </w:tcPr>
          <w:p w14:paraId="4D8847E7" w14:textId="77777777" w:rsidR="009C353B" w:rsidRDefault="00000000">
            <w:pPr>
              <w:jc w:val="center"/>
              <w:rPr>
                <w:rFonts w:ascii="Times New Roman" w:hAnsi="Times New Roman"/>
                <w:sz w:val="21"/>
                <w:szCs w:val="21"/>
              </w:rPr>
            </w:pPr>
            <w:r>
              <w:rPr>
                <w:rFonts w:ascii="Arial" w:hAnsi="Arial" w:cs="Arial"/>
                <w:kern w:val="0"/>
                <w:sz w:val="20"/>
              </w:rPr>
              <w:t>铁</w:t>
            </w:r>
          </w:p>
        </w:tc>
        <w:tc>
          <w:tcPr>
            <w:tcW w:w="564" w:type="pct"/>
            <w:shd w:val="clear" w:color="auto" w:fill="auto"/>
            <w:vAlign w:val="center"/>
          </w:tcPr>
          <w:p w14:paraId="003B3679" w14:textId="77777777" w:rsidR="009C353B" w:rsidRDefault="00000000">
            <w:pPr>
              <w:jc w:val="center"/>
              <w:rPr>
                <w:rFonts w:ascii="Times New Roman" w:hAnsi="Times New Roman"/>
                <w:sz w:val="21"/>
                <w:szCs w:val="21"/>
              </w:rPr>
            </w:pPr>
            <w:r>
              <w:rPr>
                <w:rFonts w:ascii="Arial" w:hAnsi="Arial" w:cs="Arial"/>
                <w:kern w:val="0"/>
                <w:sz w:val="20"/>
              </w:rPr>
              <w:t>mg/L</w:t>
            </w:r>
          </w:p>
        </w:tc>
        <w:tc>
          <w:tcPr>
            <w:tcW w:w="900" w:type="pct"/>
            <w:shd w:val="clear" w:color="auto" w:fill="auto"/>
            <w:vAlign w:val="center"/>
          </w:tcPr>
          <w:p w14:paraId="7AA5735B" w14:textId="77777777" w:rsidR="009C353B" w:rsidRDefault="00000000">
            <w:pPr>
              <w:jc w:val="center"/>
              <w:rPr>
                <w:rFonts w:ascii="Times New Roman" w:hAnsi="Times New Roman"/>
                <w:sz w:val="21"/>
                <w:szCs w:val="21"/>
              </w:rPr>
            </w:pPr>
            <w:r>
              <w:rPr>
                <w:rFonts w:ascii="Arial" w:hAnsi="Arial" w:cs="Arial"/>
                <w:kern w:val="0"/>
                <w:sz w:val="20"/>
              </w:rPr>
              <w:t>0.03ND</w:t>
            </w:r>
          </w:p>
        </w:tc>
        <w:tc>
          <w:tcPr>
            <w:tcW w:w="1641" w:type="pct"/>
          </w:tcPr>
          <w:p w14:paraId="38475B21" w14:textId="77777777" w:rsidR="009C353B" w:rsidRDefault="00000000">
            <w:pPr>
              <w:jc w:val="center"/>
              <w:rPr>
                <w:rFonts w:ascii="Times New Roman" w:hAnsi="Times New Roman"/>
                <w:sz w:val="21"/>
                <w:szCs w:val="21"/>
              </w:rPr>
            </w:pPr>
            <w:r>
              <w:rPr>
                <w:rFonts w:ascii="Times New Roman" w:hAnsi="Times New Roman" w:hint="eastAsia"/>
                <w:sz w:val="21"/>
                <w:szCs w:val="21"/>
              </w:rPr>
              <w:t>7</w:t>
            </w:r>
          </w:p>
        </w:tc>
      </w:tr>
      <w:tr w:rsidR="009C353B" w14:paraId="4AE9D107" w14:textId="77777777">
        <w:trPr>
          <w:trHeight w:hRule="exact" w:val="340"/>
        </w:trPr>
        <w:tc>
          <w:tcPr>
            <w:tcW w:w="895" w:type="pct"/>
            <w:vMerge/>
            <w:vAlign w:val="center"/>
          </w:tcPr>
          <w:p w14:paraId="54F2AB9B" w14:textId="77777777" w:rsidR="009C353B" w:rsidRDefault="009C353B">
            <w:pPr>
              <w:jc w:val="center"/>
              <w:rPr>
                <w:rFonts w:ascii="Times New Roman" w:hAnsi="Times New Roman"/>
                <w:sz w:val="21"/>
                <w:szCs w:val="21"/>
              </w:rPr>
            </w:pPr>
          </w:p>
        </w:tc>
        <w:tc>
          <w:tcPr>
            <w:tcW w:w="999" w:type="pct"/>
            <w:shd w:val="clear" w:color="auto" w:fill="auto"/>
            <w:vAlign w:val="center"/>
          </w:tcPr>
          <w:p w14:paraId="7CAE32D8" w14:textId="77777777" w:rsidR="009C353B" w:rsidRDefault="00000000">
            <w:pPr>
              <w:jc w:val="center"/>
              <w:rPr>
                <w:rFonts w:ascii="Times New Roman" w:hAnsi="Times New Roman"/>
                <w:sz w:val="21"/>
                <w:szCs w:val="21"/>
              </w:rPr>
            </w:pPr>
            <w:r>
              <w:rPr>
                <w:rFonts w:ascii="Arial" w:hAnsi="Arial" w:cs="Arial"/>
                <w:kern w:val="0"/>
                <w:sz w:val="20"/>
              </w:rPr>
              <w:t>锰</w:t>
            </w:r>
          </w:p>
        </w:tc>
        <w:tc>
          <w:tcPr>
            <w:tcW w:w="564" w:type="pct"/>
            <w:shd w:val="clear" w:color="auto" w:fill="auto"/>
            <w:vAlign w:val="center"/>
          </w:tcPr>
          <w:p w14:paraId="41E18AFE" w14:textId="77777777" w:rsidR="009C353B" w:rsidRDefault="00000000">
            <w:pPr>
              <w:jc w:val="center"/>
              <w:rPr>
                <w:rFonts w:ascii="Times New Roman" w:hAnsi="Times New Roman"/>
                <w:sz w:val="21"/>
                <w:szCs w:val="21"/>
              </w:rPr>
            </w:pPr>
            <w:r>
              <w:rPr>
                <w:rFonts w:ascii="Arial" w:hAnsi="Arial" w:cs="Arial"/>
                <w:kern w:val="0"/>
                <w:sz w:val="20"/>
              </w:rPr>
              <w:t>mg/L</w:t>
            </w:r>
          </w:p>
        </w:tc>
        <w:tc>
          <w:tcPr>
            <w:tcW w:w="900" w:type="pct"/>
            <w:shd w:val="clear" w:color="auto" w:fill="auto"/>
            <w:vAlign w:val="center"/>
          </w:tcPr>
          <w:p w14:paraId="049E1C4D" w14:textId="77777777" w:rsidR="009C353B" w:rsidRDefault="00000000">
            <w:pPr>
              <w:jc w:val="center"/>
              <w:rPr>
                <w:rFonts w:ascii="Times New Roman" w:hAnsi="Times New Roman"/>
                <w:sz w:val="21"/>
                <w:szCs w:val="21"/>
              </w:rPr>
            </w:pPr>
            <w:r>
              <w:rPr>
                <w:rFonts w:ascii="Arial" w:hAnsi="Arial" w:cs="Arial"/>
                <w:kern w:val="0"/>
                <w:sz w:val="20"/>
              </w:rPr>
              <w:t>0.01ND</w:t>
            </w:r>
          </w:p>
        </w:tc>
        <w:tc>
          <w:tcPr>
            <w:tcW w:w="1641" w:type="pct"/>
          </w:tcPr>
          <w:p w14:paraId="40B06A46" w14:textId="77777777" w:rsidR="009C353B" w:rsidRDefault="00000000">
            <w:pPr>
              <w:jc w:val="center"/>
              <w:rPr>
                <w:rFonts w:ascii="Times New Roman" w:hAnsi="Times New Roman"/>
                <w:sz w:val="21"/>
                <w:szCs w:val="21"/>
              </w:rPr>
            </w:pPr>
            <w:r>
              <w:rPr>
                <w:rFonts w:ascii="Times New Roman" w:hAnsi="Times New Roman" w:hint="eastAsia"/>
                <w:sz w:val="21"/>
                <w:szCs w:val="21"/>
              </w:rPr>
              <w:t>4</w:t>
            </w:r>
          </w:p>
        </w:tc>
      </w:tr>
      <w:tr w:rsidR="009C353B" w14:paraId="771FBEFE" w14:textId="77777777">
        <w:trPr>
          <w:trHeight w:hRule="exact" w:val="340"/>
        </w:trPr>
        <w:tc>
          <w:tcPr>
            <w:tcW w:w="895" w:type="pct"/>
            <w:vMerge/>
            <w:vAlign w:val="center"/>
          </w:tcPr>
          <w:p w14:paraId="0704CBF8" w14:textId="77777777" w:rsidR="009C353B" w:rsidRDefault="009C353B">
            <w:pPr>
              <w:jc w:val="center"/>
              <w:rPr>
                <w:rFonts w:ascii="Times New Roman" w:hAnsi="Times New Roman"/>
                <w:sz w:val="21"/>
                <w:szCs w:val="21"/>
              </w:rPr>
            </w:pPr>
          </w:p>
        </w:tc>
        <w:tc>
          <w:tcPr>
            <w:tcW w:w="999" w:type="pct"/>
            <w:shd w:val="clear" w:color="auto" w:fill="auto"/>
            <w:vAlign w:val="center"/>
          </w:tcPr>
          <w:p w14:paraId="5E119513" w14:textId="77777777" w:rsidR="009C353B" w:rsidRDefault="00000000">
            <w:pPr>
              <w:jc w:val="center"/>
              <w:rPr>
                <w:rFonts w:ascii="Times New Roman" w:hAnsi="Times New Roman"/>
                <w:sz w:val="21"/>
                <w:szCs w:val="21"/>
              </w:rPr>
            </w:pPr>
            <w:r>
              <w:rPr>
                <w:rFonts w:ascii="Arial" w:hAnsi="Arial" w:cs="Arial"/>
                <w:kern w:val="0"/>
                <w:sz w:val="20"/>
              </w:rPr>
              <w:t>铅</w:t>
            </w:r>
          </w:p>
        </w:tc>
        <w:tc>
          <w:tcPr>
            <w:tcW w:w="564" w:type="pct"/>
            <w:shd w:val="clear" w:color="auto" w:fill="auto"/>
            <w:vAlign w:val="center"/>
          </w:tcPr>
          <w:p w14:paraId="6390EBA4" w14:textId="77777777" w:rsidR="009C353B" w:rsidRDefault="00000000">
            <w:pPr>
              <w:jc w:val="center"/>
              <w:rPr>
                <w:rFonts w:ascii="Times New Roman" w:hAnsi="Times New Roman"/>
                <w:sz w:val="21"/>
                <w:szCs w:val="21"/>
              </w:rPr>
            </w:pPr>
            <w:r>
              <w:rPr>
                <w:rFonts w:ascii="Arial" w:hAnsi="Arial" w:cs="Arial"/>
                <w:kern w:val="0"/>
                <w:sz w:val="20"/>
              </w:rPr>
              <w:t>ug/L</w:t>
            </w:r>
          </w:p>
        </w:tc>
        <w:tc>
          <w:tcPr>
            <w:tcW w:w="900" w:type="pct"/>
            <w:shd w:val="clear" w:color="auto" w:fill="auto"/>
            <w:vAlign w:val="center"/>
          </w:tcPr>
          <w:p w14:paraId="49ACE871" w14:textId="77777777" w:rsidR="009C353B" w:rsidRDefault="00000000">
            <w:pPr>
              <w:jc w:val="center"/>
              <w:rPr>
                <w:rFonts w:ascii="Times New Roman" w:hAnsi="Times New Roman"/>
                <w:sz w:val="21"/>
                <w:szCs w:val="21"/>
              </w:rPr>
            </w:pPr>
            <w:r>
              <w:rPr>
                <w:rFonts w:ascii="Arial" w:hAnsi="Arial" w:cs="Arial"/>
                <w:kern w:val="0"/>
                <w:sz w:val="20"/>
              </w:rPr>
              <w:t>4.4</w:t>
            </w:r>
          </w:p>
        </w:tc>
        <w:tc>
          <w:tcPr>
            <w:tcW w:w="1641" w:type="pct"/>
          </w:tcPr>
          <w:p w14:paraId="095E062E" w14:textId="77777777" w:rsidR="009C353B" w:rsidRDefault="00000000">
            <w:pPr>
              <w:jc w:val="center"/>
              <w:rPr>
                <w:rFonts w:ascii="Times New Roman" w:hAnsi="Times New Roman"/>
                <w:sz w:val="21"/>
                <w:szCs w:val="21"/>
              </w:rPr>
            </w:pPr>
            <w:r>
              <w:rPr>
                <w:rFonts w:ascii="Times New Roman" w:hAnsi="Times New Roman" w:hint="eastAsia"/>
                <w:sz w:val="21"/>
                <w:szCs w:val="21"/>
              </w:rPr>
              <w:t>500</w:t>
            </w:r>
          </w:p>
        </w:tc>
      </w:tr>
      <w:tr w:rsidR="009C353B" w14:paraId="3B5E02D8" w14:textId="77777777">
        <w:trPr>
          <w:trHeight w:hRule="exact" w:val="340"/>
        </w:trPr>
        <w:tc>
          <w:tcPr>
            <w:tcW w:w="895" w:type="pct"/>
            <w:vMerge/>
            <w:vAlign w:val="center"/>
          </w:tcPr>
          <w:p w14:paraId="17EEFD87" w14:textId="77777777" w:rsidR="009C353B" w:rsidRDefault="009C353B">
            <w:pPr>
              <w:jc w:val="center"/>
              <w:rPr>
                <w:rFonts w:ascii="Times New Roman" w:hAnsi="Times New Roman"/>
                <w:sz w:val="21"/>
                <w:szCs w:val="21"/>
              </w:rPr>
            </w:pPr>
          </w:p>
        </w:tc>
        <w:tc>
          <w:tcPr>
            <w:tcW w:w="999" w:type="pct"/>
            <w:shd w:val="clear" w:color="auto" w:fill="auto"/>
            <w:vAlign w:val="center"/>
          </w:tcPr>
          <w:p w14:paraId="4680E335" w14:textId="77777777" w:rsidR="009C353B" w:rsidRDefault="00000000">
            <w:pPr>
              <w:jc w:val="center"/>
              <w:rPr>
                <w:rFonts w:ascii="Times New Roman" w:hAnsi="Times New Roman"/>
                <w:sz w:val="21"/>
                <w:szCs w:val="21"/>
              </w:rPr>
            </w:pPr>
            <w:r>
              <w:rPr>
                <w:rFonts w:ascii="Arial" w:hAnsi="Arial" w:cs="Arial"/>
                <w:kern w:val="0"/>
                <w:sz w:val="20"/>
              </w:rPr>
              <w:t>镉</w:t>
            </w:r>
          </w:p>
        </w:tc>
        <w:tc>
          <w:tcPr>
            <w:tcW w:w="564" w:type="pct"/>
            <w:shd w:val="clear" w:color="auto" w:fill="auto"/>
            <w:vAlign w:val="center"/>
          </w:tcPr>
          <w:p w14:paraId="599946D0" w14:textId="77777777" w:rsidR="009C353B" w:rsidRDefault="00000000">
            <w:pPr>
              <w:jc w:val="center"/>
              <w:rPr>
                <w:rFonts w:ascii="Times New Roman" w:hAnsi="Times New Roman"/>
                <w:sz w:val="21"/>
                <w:szCs w:val="21"/>
              </w:rPr>
            </w:pPr>
            <w:r>
              <w:rPr>
                <w:rFonts w:ascii="微软雅黑" w:eastAsia="微软雅黑" w:hAnsi="微软雅黑" w:cs="Arial" w:hint="eastAsia"/>
                <w:kern w:val="0"/>
                <w:sz w:val="20"/>
              </w:rPr>
              <w:t>µ</w:t>
            </w:r>
            <w:r>
              <w:rPr>
                <w:rFonts w:ascii="微软雅黑" w:eastAsia="微软雅黑" w:hAnsi="微软雅黑" w:cs="Arial"/>
                <w:kern w:val="0"/>
                <w:sz w:val="20"/>
              </w:rPr>
              <w:t>g/</w:t>
            </w:r>
            <w:r>
              <w:rPr>
                <w:rFonts w:ascii="Arial" w:hAnsi="Arial" w:cs="Arial"/>
                <w:kern w:val="0"/>
                <w:sz w:val="20"/>
              </w:rPr>
              <w:t>L</w:t>
            </w:r>
          </w:p>
        </w:tc>
        <w:tc>
          <w:tcPr>
            <w:tcW w:w="900" w:type="pct"/>
            <w:shd w:val="clear" w:color="auto" w:fill="auto"/>
            <w:vAlign w:val="center"/>
          </w:tcPr>
          <w:p w14:paraId="683E7C3E" w14:textId="77777777" w:rsidR="009C353B" w:rsidRDefault="00000000">
            <w:pPr>
              <w:jc w:val="center"/>
              <w:rPr>
                <w:rFonts w:ascii="Times New Roman" w:hAnsi="Times New Roman"/>
                <w:sz w:val="21"/>
                <w:szCs w:val="21"/>
              </w:rPr>
            </w:pPr>
            <w:r>
              <w:rPr>
                <w:rFonts w:ascii="Arial" w:hAnsi="Arial" w:cs="Arial"/>
                <w:kern w:val="0"/>
                <w:sz w:val="20"/>
              </w:rPr>
              <w:t>0.30</w:t>
            </w:r>
          </w:p>
        </w:tc>
        <w:tc>
          <w:tcPr>
            <w:tcW w:w="1641" w:type="pct"/>
          </w:tcPr>
          <w:p w14:paraId="403138D4" w14:textId="77777777" w:rsidR="009C353B" w:rsidRDefault="00000000">
            <w:pPr>
              <w:jc w:val="center"/>
              <w:rPr>
                <w:rFonts w:ascii="Times New Roman" w:hAnsi="Times New Roman"/>
                <w:sz w:val="21"/>
                <w:szCs w:val="21"/>
              </w:rPr>
            </w:pPr>
            <w:r>
              <w:rPr>
                <w:rFonts w:ascii="Times New Roman" w:hAnsi="Times New Roman" w:hint="eastAsia"/>
                <w:sz w:val="21"/>
                <w:szCs w:val="21"/>
              </w:rPr>
              <w:t>100</w:t>
            </w:r>
          </w:p>
        </w:tc>
      </w:tr>
      <w:tr w:rsidR="009C353B" w14:paraId="01512C59" w14:textId="77777777">
        <w:trPr>
          <w:trHeight w:hRule="exact" w:val="340"/>
        </w:trPr>
        <w:tc>
          <w:tcPr>
            <w:tcW w:w="895" w:type="pct"/>
            <w:vMerge/>
            <w:vAlign w:val="center"/>
          </w:tcPr>
          <w:p w14:paraId="209FEC8A" w14:textId="77777777" w:rsidR="009C353B" w:rsidRDefault="009C353B">
            <w:pPr>
              <w:jc w:val="center"/>
              <w:rPr>
                <w:rFonts w:ascii="Times New Roman" w:hAnsi="Times New Roman"/>
                <w:sz w:val="21"/>
                <w:szCs w:val="21"/>
              </w:rPr>
            </w:pPr>
          </w:p>
        </w:tc>
        <w:tc>
          <w:tcPr>
            <w:tcW w:w="999" w:type="pct"/>
            <w:shd w:val="clear" w:color="auto" w:fill="auto"/>
            <w:vAlign w:val="center"/>
          </w:tcPr>
          <w:p w14:paraId="32423C55" w14:textId="77777777" w:rsidR="009C353B" w:rsidRDefault="00000000">
            <w:pPr>
              <w:jc w:val="center"/>
              <w:rPr>
                <w:rFonts w:ascii="Times New Roman" w:hAnsi="Times New Roman"/>
                <w:sz w:val="21"/>
                <w:szCs w:val="21"/>
              </w:rPr>
            </w:pPr>
            <w:r>
              <w:rPr>
                <w:rFonts w:ascii="Arial" w:hAnsi="Arial" w:cs="Arial"/>
                <w:kern w:val="0"/>
                <w:sz w:val="20"/>
              </w:rPr>
              <w:t>锌</w:t>
            </w:r>
          </w:p>
        </w:tc>
        <w:tc>
          <w:tcPr>
            <w:tcW w:w="564" w:type="pct"/>
            <w:shd w:val="clear" w:color="auto" w:fill="auto"/>
            <w:vAlign w:val="center"/>
          </w:tcPr>
          <w:p w14:paraId="32114652" w14:textId="77777777" w:rsidR="009C353B" w:rsidRDefault="00000000">
            <w:pPr>
              <w:jc w:val="center"/>
              <w:rPr>
                <w:rFonts w:ascii="Times New Roman" w:hAnsi="Times New Roman"/>
                <w:sz w:val="21"/>
                <w:szCs w:val="21"/>
              </w:rPr>
            </w:pPr>
            <w:r>
              <w:rPr>
                <w:rFonts w:ascii="微软雅黑" w:eastAsia="微软雅黑" w:hAnsi="微软雅黑" w:cs="Arial" w:hint="eastAsia"/>
                <w:kern w:val="0"/>
                <w:sz w:val="20"/>
              </w:rPr>
              <w:t>µ</w:t>
            </w:r>
            <w:r>
              <w:rPr>
                <w:rFonts w:ascii="Arial" w:hAnsi="Arial" w:cs="Arial"/>
                <w:kern w:val="0"/>
                <w:sz w:val="20"/>
              </w:rPr>
              <w:t>g</w:t>
            </w:r>
            <w:r>
              <w:rPr>
                <w:rFonts w:ascii="Arial" w:hAnsi="Arial" w:cs="Arial" w:hint="eastAsia"/>
                <w:kern w:val="0"/>
                <w:sz w:val="20"/>
              </w:rPr>
              <w:t>/</w:t>
            </w:r>
            <w:r>
              <w:rPr>
                <w:rFonts w:ascii="Arial" w:hAnsi="Arial" w:cs="Arial"/>
                <w:kern w:val="0"/>
                <w:sz w:val="20"/>
              </w:rPr>
              <w:t>L</w:t>
            </w:r>
          </w:p>
        </w:tc>
        <w:tc>
          <w:tcPr>
            <w:tcW w:w="900" w:type="pct"/>
            <w:shd w:val="clear" w:color="auto" w:fill="auto"/>
            <w:vAlign w:val="center"/>
          </w:tcPr>
          <w:p w14:paraId="5BC38F87" w14:textId="77777777" w:rsidR="009C353B" w:rsidRDefault="00000000">
            <w:pPr>
              <w:jc w:val="center"/>
              <w:rPr>
                <w:rFonts w:ascii="Times New Roman" w:hAnsi="Times New Roman"/>
                <w:sz w:val="21"/>
                <w:szCs w:val="21"/>
              </w:rPr>
            </w:pPr>
            <w:r>
              <w:rPr>
                <w:rFonts w:ascii="Arial" w:hAnsi="Arial" w:cs="Arial"/>
                <w:kern w:val="0"/>
                <w:sz w:val="20"/>
              </w:rPr>
              <w:t>0.002ND</w:t>
            </w:r>
          </w:p>
        </w:tc>
        <w:tc>
          <w:tcPr>
            <w:tcW w:w="1641" w:type="pct"/>
          </w:tcPr>
          <w:p w14:paraId="786622C7" w14:textId="77777777" w:rsidR="009C353B" w:rsidRDefault="00000000">
            <w:pPr>
              <w:jc w:val="center"/>
              <w:rPr>
                <w:rFonts w:ascii="Times New Roman" w:hAnsi="Times New Roman"/>
                <w:sz w:val="21"/>
                <w:szCs w:val="21"/>
              </w:rPr>
            </w:pPr>
            <w:r>
              <w:rPr>
                <w:rFonts w:ascii="Times New Roman" w:hAnsi="Times New Roman" w:hint="eastAsia"/>
                <w:sz w:val="21"/>
                <w:szCs w:val="21"/>
              </w:rPr>
              <w:t>2000</w:t>
            </w:r>
          </w:p>
        </w:tc>
      </w:tr>
      <w:tr w:rsidR="009C353B" w14:paraId="1F5FFA70" w14:textId="77777777">
        <w:trPr>
          <w:trHeight w:hRule="exact" w:val="340"/>
        </w:trPr>
        <w:tc>
          <w:tcPr>
            <w:tcW w:w="895" w:type="pct"/>
            <w:vMerge/>
            <w:vAlign w:val="center"/>
          </w:tcPr>
          <w:p w14:paraId="221F1625" w14:textId="77777777" w:rsidR="009C353B" w:rsidRDefault="009C353B">
            <w:pPr>
              <w:jc w:val="center"/>
              <w:rPr>
                <w:rFonts w:ascii="Times New Roman" w:hAnsi="Times New Roman"/>
                <w:sz w:val="21"/>
                <w:szCs w:val="21"/>
              </w:rPr>
            </w:pPr>
          </w:p>
        </w:tc>
        <w:tc>
          <w:tcPr>
            <w:tcW w:w="999" w:type="pct"/>
            <w:shd w:val="clear" w:color="auto" w:fill="auto"/>
            <w:vAlign w:val="center"/>
          </w:tcPr>
          <w:p w14:paraId="1DA14BAE" w14:textId="77777777" w:rsidR="009C353B" w:rsidRDefault="00000000">
            <w:pPr>
              <w:jc w:val="center"/>
              <w:rPr>
                <w:rFonts w:ascii="Times New Roman" w:hAnsi="Times New Roman"/>
                <w:sz w:val="21"/>
                <w:szCs w:val="21"/>
              </w:rPr>
            </w:pPr>
            <w:r>
              <w:rPr>
                <w:rFonts w:ascii="Arial" w:hAnsi="Arial" w:cs="Arial"/>
                <w:kern w:val="0"/>
                <w:sz w:val="20"/>
              </w:rPr>
              <w:t>汞</w:t>
            </w:r>
          </w:p>
        </w:tc>
        <w:tc>
          <w:tcPr>
            <w:tcW w:w="564" w:type="pct"/>
            <w:shd w:val="clear" w:color="auto" w:fill="auto"/>
            <w:vAlign w:val="center"/>
          </w:tcPr>
          <w:p w14:paraId="4FE12711" w14:textId="77777777" w:rsidR="009C353B" w:rsidRDefault="00000000">
            <w:pPr>
              <w:jc w:val="center"/>
              <w:rPr>
                <w:rFonts w:ascii="Times New Roman" w:hAnsi="Times New Roman"/>
                <w:sz w:val="21"/>
                <w:szCs w:val="21"/>
              </w:rPr>
            </w:pPr>
            <w:r>
              <w:rPr>
                <w:rFonts w:ascii="微软雅黑" w:eastAsia="微软雅黑" w:hAnsi="微软雅黑" w:cs="Arial" w:hint="eastAsia"/>
                <w:kern w:val="0"/>
                <w:sz w:val="20"/>
              </w:rPr>
              <w:t>µ</w:t>
            </w:r>
            <w:r>
              <w:rPr>
                <w:rFonts w:ascii="Arial" w:hAnsi="Arial" w:cs="Arial"/>
                <w:kern w:val="0"/>
                <w:sz w:val="20"/>
              </w:rPr>
              <w:t>g/L</w:t>
            </w:r>
          </w:p>
        </w:tc>
        <w:tc>
          <w:tcPr>
            <w:tcW w:w="900" w:type="pct"/>
            <w:shd w:val="clear" w:color="auto" w:fill="auto"/>
            <w:vAlign w:val="center"/>
          </w:tcPr>
          <w:p w14:paraId="0BA49900" w14:textId="77777777" w:rsidR="009C353B" w:rsidRDefault="00000000">
            <w:pPr>
              <w:jc w:val="center"/>
              <w:rPr>
                <w:rFonts w:ascii="Times New Roman" w:hAnsi="Times New Roman"/>
                <w:sz w:val="21"/>
                <w:szCs w:val="21"/>
              </w:rPr>
            </w:pPr>
            <w:r>
              <w:rPr>
                <w:rFonts w:ascii="Arial" w:hAnsi="Arial" w:cs="Arial"/>
                <w:kern w:val="0"/>
                <w:sz w:val="20"/>
              </w:rPr>
              <w:t>0.39</w:t>
            </w:r>
          </w:p>
        </w:tc>
        <w:tc>
          <w:tcPr>
            <w:tcW w:w="1641" w:type="pct"/>
          </w:tcPr>
          <w:p w14:paraId="448E3A50" w14:textId="77777777" w:rsidR="009C353B" w:rsidRDefault="00000000">
            <w:pPr>
              <w:jc w:val="center"/>
              <w:rPr>
                <w:rFonts w:ascii="Times New Roman" w:hAnsi="Times New Roman"/>
                <w:sz w:val="21"/>
                <w:szCs w:val="21"/>
              </w:rPr>
            </w:pPr>
            <w:r>
              <w:rPr>
                <w:rFonts w:ascii="Times New Roman" w:hAnsi="Times New Roman" w:hint="eastAsia"/>
                <w:sz w:val="21"/>
                <w:szCs w:val="21"/>
              </w:rPr>
              <w:t>50</w:t>
            </w:r>
          </w:p>
        </w:tc>
      </w:tr>
      <w:tr w:rsidR="009C353B" w14:paraId="3E671AF3" w14:textId="77777777">
        <w:trPr>
          <w:trHeight w:hRule="exact" w:val="340"/>
        </w:trPr>
        <w:tc>
          <w:tcPr>
            <w:tcW w:w="895" w:type="pct"/>
            <w:vMerge/>
            <w:vAlign w:val="center"/>
          </w:tcPr>
          <w:p w14:paraId="40175954" w14:textId="77777777" w:rsidR="009C353B" w:rsidRDefault="009C353B">
            <w:pPr>
              <w:jc w:val="center"/>
              <w:rPr>
                <w:rFonts w:ascii="Times New Roman" w:hAnsi="Times New Roman"/>
                <w:sz w:val="21"/>
                <w:szCs w:val="21"/>
              </w:rPr>
            </w:pPr>
          </w:p>
        </w:tc>
        <w:tc>
          <w:tcPr>
            <w:tcW w:w="999" w:type="pct"/>
            <w:shd w:val="clear" w:color="auto" w:fill="auto"/>
            <w:vAlign w:val="center"/>
          </w:tcPr>
          <w:p w14:paraId="5ACABFA9" w14:textId="77777777" w:rsidR="009C353B" w:rsidRDefault="00000000">
            <w:pPr>
              <w:jc w:val="center"/>
              <w:rPr>
                <w:rFonts w:ascii="Times New Roman" w:hAnsi="Times New Roman"/>
                <w:sz w:val="21"/>
                <w:szCs w:val="21"/>
              </w:rPr>
            </w:pPr>
            <w:r>
              <w:rPr>
                <w:rFonts w:ascii="Arial" w:hAnsi="Arial" w:cs="Arial"/>
                <w:kern w:val="0"/>
                <w:sz w:val="20"/>
              </w:rPr>
              <w:t>砷</w:t>
            </w:r>
          </w:p>
        </w:tc>
        <w:tc>
          <w:tcPr>
            <w:tcW w:w="564" w:type="pct"/>
            <w:shd w:val="clear" w:color="auto" w:fill="auto"/>
            <w:vAlign w:val="center"/>
          </w:tcPr>
          <w:p w14:paraId="2F278F90" w14:textId="77777777" w:rsidR="009C353B" w:rsidRDefault="00000000">
            <w:pPr>
              <w:jc w:val="center"/>
              <w:rPr>
                <w:rFonts w:ascii="Times New Roman" w:hAnsi="Times New Roman"/>
                <w:sz w:val="21"/>
                <w:szCs w:val="21"/>
              </w:rPr>
            </w:pPr>
            <w:r>
              <w:rPr>
                <w:rFonts w:ascii="微软雅黑" w:eastAsia="微软雅黑" w:hAnsi="微软雅黑" w:cs="Arial" w:hint="eastAsia"/>
                <w:kern w:val="0"/>
                <w:sz w:val="20"/>
              </w:rPr>
              <w:t>µ</w:t>
            </w:r>
            <w:r>
              <w:rPr>
                <w:rFonts w:ascii="Arial" w:hAnsi="Arial" w:cs="Arial"/>
                <w:kern w:val="0"/>
                <w:sz w:val="20"/>
              </w:rPr>
              <w:t>g</w:t>
            </w:r>
            <w:r>
              <w:rPr>
                <w:rFonts w:ascii="Arial" w:hAnsi="Arial" w:cs="Arial" w:hint="eastAsia"/>
                <w:kern w:val="0"/>
                <w:sz w:val="20"/>
              </w:rPr>
              <w:t>/</w:t>
            </w:r>
            <w:r>
              <w:rPr>
                <w:rFonts w:ascii="Arial" w:hAnsi="Arial" w:cs="Arial"/>
                <w:kern w:val="0"/>
                <w:sz w:val="20"/>
              </w:rPr>
              <w:t>L</w:t>
            </w:r>
          </w:p>
        </w:tc>
        <w:tc>
          <w:tcPr>
            <w:tcW w:w="900" w:type="pct"/>
            <w:shd w:val="clear" w:color="auto" w:fill="auto"/>
            <w:vAlign w:val="center"/>
          </w:tcPr>
          <w:p w14:paraId="1BBB40A3" w14:textId="77777777" w:rsidR="009C353B" w:rsidRDefault="00000000">
            <w:pPr>
              <w:jc w:val="center"/>
              <w:rPr>
                <w:rFonts w:ascii="Times New Roman" w:hAnsi="Times New Roman"/>
                <w:sz w:val="21"/>
                <w:szCs w:val="21"/>
              </w:rPr>
            </w:pPr>
            <w:r>
              <w:rPr>
                <w:rFonts w:ascii="Arial" w:hAnsi="Arial" w:cs="Arial"/>
                <w:kern w:val="0"/>
                <w:sz w:val="20"/>
              </w:rPr>
              <w:t>1.8</w:t>
            </w:r>
          </w:p>
        </w:tc>
        <w:tc>
          <w:tcPr>
            <w:tcW w:w="1641" w:type="pct"/>
          </w:tcPr>
          <w:p w14:paraId="79AB5EF7" w14:textId="77777777" w:rsidR="009C353B" w:rsidRDefault="00000000">
            <w:pPr>
              <w:jc w:val="center"/>
              <w:rPr>
                <w:rFonts w:ascii="Times New Roman" w:hAnsi="Times New Roman"/>
                <w:sz w:val="21"/>
                <w:szCs w:val="21"/>
              </w:rPr>
            </w:pPr>
            <w:r>
              <w:rPr>
                <w:rFonts w:ascii="Times New Roman" w:hAnsi="Times New Roman" w:hint="eastAsia"/>
                <w:sz w:val="21"/>
                <w:szCs w:val="21"/>
              </w:rPr>
              <w:t>500</w:t>
            </w:r>
          </w:p>
        </w:tc>
      </w:tr>
    </w:tbl>
    <w:p w14:paraId="1481A170" w14:textId="77777777" w:rsidR="009C353B" w:rsidRDefault="00000000">
      <w:pPr>
        <w:spacing w:line="440" w:lineRule="exact"/>
        <w:ind w:firstLineChars="200" w:firstLine="480"/>
        <w:rPr>
          <w:rFonts w:asciiTheme="minorEastAsia" w:eastAsiaTheme="minorEastAsia" w:hAnsiTheme="minorEastAsia" w:hint="eastAsia"/>
          <w:szCs w:val="24"/>
        </w:rPr>
      </w:pPr>
      <w:r>
        <w:rPr>
          <w:rFonts w:asciiTheme="minorEastAsia" w:eastAsiaTheme="minorEastAsia" w:hAnsiTheme="minorEastAsia" w:hint="eastAsia"/>
          <w:szCs w:val="24"/>
        </w:rPr>
        <w:t>经处理达到《煤炭工业污染物排放标准》（</w:t>
      </w:r>
      <w:r>
        <w:rPr>
          <w:rFonts w:asciiTheme="minorEastAsia" w:eastAsiaTheme="minorEastAsia" w:hAnsiTheme="minorEastAsia"/>
          <w:szCs w:val="24"/>
        </w:rPr>
        <w:t>GB20426-2006）标准后全部用于地面及井下生产，地面抑尘等，水资源全部综合利用。</w:t>
      </w:r>
    </w:p>
    <w:p w14:paraId="4C1B1244" w14:textId="77777777" w:rsidR="009C353B" w:rsidRDefault="00000000">
      <w:pPr>
        <w:spacing w:line="440" w:lineRule="exact"/>
        <w:ind w:firstLineChars="200" w:firstLine="480"/>
        <w:jc w:val="center"/>
        <w:rPr>
          <w:rFonts w:asciiTheme="minorEastAsia" w:eastAsiaTheme="minorEastAsia" w:hAnsiTheme="minorEastAsia" w:hint="eastAsia"/>
          <w:szCs w:val="24"/>
        </w:rPr>
      </w:pPr>
      <w:r>
        <w:rPr>
          <w:rFonts w:asciiTheme="minorEastAsia" w:eastAsiaTheme="minorEastAsia" w:hAnsiTheme="minorEastAsia" w:hint="eastAsia"/>
          <w:szCs w:val="24"/>
        </w:rPr>
        <w:t>红石湾生活污水处理站出水水质检测数据</w:t>
      </w:r>
    </w:p>
    <w:p w14:paraId="4598869B" w14:textId="77777777" w:rsidR="009C353B" w:rsidRDefault="00000000">
      <w:pPr>
        <w:adjustRightInd w:val="0"/>
        <w:snapToGrid w:val="0"/>
        <w:spacing w:line="440" w:lineRule="exact"/>
        <w:ind w:firstLineChars="200" w:firstLine="480"/>
        <w:outlineLvl w:val="4"/>
        <w:rPr>
          <w:rFonts w:ascii="Times New Roman" w:hAnsi="Times New Roman"/>
          <w:szCs w:val="24"/>
        </w:rPr>
      </w:pPr>
      <w:r>
        <w:rPr>
          <w:rFonts w:ascii="Times New Roman" w:hAnsi="Times New Roman" w:hint="eastAsia"/>
          <w:szCs w:val="24"/>
        </w:rPr>
        <w:t>表</w:t>
      </w:r>
      <w:r>
        <w:rPr>
          <w:rFonts w:ascii="Times New Roman" w:hAnsi="Times New Roman" w:hint="eastAsia"/>
          <w:szCs w:val="24"/>
        </w:rPr>
        <w:t>4</w:t>
      </w:r>
      <w:r>
        <w:rPr>
          <w:rFonts w:ascii="Times New Roman" w:hAnsi="Times New Roman"/>
          <w:szCs w:val="24"/>
        </w:rPr>
        <w:t>.2</w:t>
      </w:r>
      <w:r>
        <w:rPr>
          <w:rFonts w:ascii="Times New Roman" w:hAnsi="Times New Roman" w:hint="eastAsia"/>
          <w:szCs w:val="24"/>
        </w:rPr>
        <w:t>-9</w:t>
      </w:r>
    </w:p>
    <w:tbl>
      <w:tblPr>
        <w:tblStyle w:val="afffb"/>
        <w:tblW w:w="5000" w:type="pct"/>
        <w:tblLook w:val="04A0" w:firstRow="1" w:lastRow="0" w:firstColumn="1" w:lastColumn="0" w:noHBand="0" w:noVBand="1"/>
      </w:tblPr>
      <w:tblGrid>
        <w:gridCol w:w="1555"/>
        <w:gridCol w:w="1896"/>
        <w:gridCol w:w="968"/>
        <w:gridCol w:w="1311"/>
        <w:gridCol w:w="3557"/>
      </w:tblGrid>
      <w:tr w:rsidR="009C353B" w14:paraId="7390BCF5" w14:textId="77777777">
        <w:trPr>
          <w:trHeight w:hRule="exact" w:val="977"/>
        </w:trPr>
        <w:tc>
          <w:tcPr>
            <w:tcW w:w="837" w:type="pct"/>
            <w:vAlign w:val="center"/>
          </w:tcPr>
          <w:p w14:paraId="0770C23A" w14:textId="77777777" w:rsidR="009C353B" w:rsidRDefault="00000000">
            <w:pPr>
              <w:jc w:val="center"/>
              <w:rPr>
                <w:rFonts w:ascii="Times New Roman" w:hAnsi="Times New Roman"/>
                <w:sz w:val="21"/>
                <w:szCs w:val="21"/>
              </w:rPr>
            </w:pPr>
            <w:r>
              <w:rPr>
                <w:rFonts w:ascii="Times New Roman" w:hAnsi="Times New Roman"/>
                <w:sz w:val="21"/>
                <w:szCs w:val="21"/>
              </w:rPr>
              <w:t>检测日期</w:t>
            </w:r>
          </w:p>
        </w:tc>
        <w:tc>
          <w:tcPr>
            <w:tcW w:w="1021" w:type="pct"/>
            <w:vAlign w:val="center"/>
          </w:tcPr>
          <w:p w14:paraId="0BD7DD5A" w14:textId="77777777" w:rsidR="009C353B" w:rsidRDefault="00000000">
            <w:pPr>
              <w:jc w:val="center"/>
              <w:rPr>
                <w:rFonts w:ascii="Times New Roman" w:hAnsi="Times New Roman"/>
                <w:sz w:val="21"/>
                <w:szCs w:val="21"/>
              </w:rPr>
            </w:pPr>
            <w:r>
              <w:rPr>
                <w:rFonts w:ascii="Times New Roman" w:hAnsi="Times New Roman"/>
                <w:sz w:val="21"/>
                <w:szCs w:val="21"/>
              </w:rPr>
              <w:t>检测项目</w:t>
            </w:r>
          </w:p>
        </w:tc>
        <w:tc>
          <w:tcPr>
            <w:tcW w:w="521" w:type="pct"/>
            <w:vAlign w:val="center"/>
          </w:tcPr>
          <w:p w14:paraId="73537499" w14:textId="77777777" w:rsidR="009C353B" w:rsidRDefault="00000000">
            <w:pPr>
              <w:jc w:val="center"/>
              <w:rPr>
                <w:rFonts w:ascii="Times New Roman" w:hAnsi="Times New Roman"/>
                <w:sz w:val="21"/>
                <w:szCs w:val="21"/>
              </w:rPr>
            </w:pPr>
            <w:r>
              <w:rPr>
                <w:rFonts w:ascii="Times New Roman" w:hAnsi="Times New Roman"/>
                <w:sz w:val="21"/>
                <w:szCs w:val="21"/>
              </w:rPr>
              <w:t>单位</w:t>
            </w:r>
          </w:p>
        </w:tc>
        <w:tc>
          <w:tcPr>
            <w:tcW w:w="706" w:type="pct"/>
            <w:vAlign w:val="center"/>
          </w:tcPr>
          <w:p w14:paraId="63AD068B" w14:textId="77777777" w:rsidR="009C353B" w:rsidRDefault="00000000">
            <w:pPr>
              <w:jc w:val="center"/>
              <w:rPr>
                <w:rFonts w:ascii="Times New Roman" w:hAnsi="Times New Roman"/>
                <w:sz w:val="21"/>
                <w:szCs w:val="21"/>
              </w:rPr>
            </w:pPr>
            <w:r>
              <w:rPr>
                <w:rFonts w:ascii="Times New Roman" w:hAnsi="Times New Roman"/>
                <w:sz w:val="21"/>
                <w:szCs w:val="21"/>
              </w:rPr>
              <w:t>检测结果</w:t>
            </w:r>
          </w:p>
        </w:tc>
        <w:tc>
          <w:tcPr>
            <w:tcW w:w="1915" w:type="pct"/>
            <w:vAlign w:val="center"/>
          </w:tcPr>
          <w:p w14:paraId="7FE0F129" w14:textId="77777777" w:rsidR="009C353B" w:rsidRDefault="00000000">
            <w:pPr>
              <w:jc w:val="center"/>
              <w:rPr>
                <w:rFonts w:ascii="Times New Roman" w:hAnsi="Times New Roman"/>
                <w:sz w:val="21"/>
                <w:szCs w:val="21"/>
              </w:rPr>
            </w:pPr>
            <w:r>
              <w:rPr>
                <w:rFonts w:ascii="Times New Roman" w:hAnsi="Times New Roman" w:hint="eastAsia"/>
                <w:sz w:val="21"/>
                <w:szCs w:val="21"/>
              </w:rPr>
              <w:t>《城市污水再生利用</w:t>
            </w:r>
            <w:r>
              <w:rPr>
                <w:rFonts w:ascii="Times New Roman" w:hAnsi="Times New Roman"/>
                <w:sz w:val="21"/>
                <w:szCs w:val="21"/>
              </w:rPr>
              <w:t xml:space="preserve"> </w:t>
            </w:r>
            <w:r>
              <w:rPr>
                <w:rFonts w:ascii="Times New Roman" w:hAnsi="Times New Roman"/>
                <w:sz w:val="21"/>
                <w:szCs w:val="21"/>
              </w:rPr>
              <w:t>城市杂用水水质》（</w:t>
            </w:r>
            <w:r>
              <w:rPr>
                <w:rFonts w:ascii="Times New Roman" w:hAnsi="Times New Roman"/>
                <w:sz w:val="21"/>
                <w:szCs w:val="21"/>
              </w:rPr>
              <w:t>GB/T18920-2002</w:t>
            </w:r>
            <w:r>
              <w:rPr>
                <w:rFonts w:ascii="Times New Roman" w:hAnsi="Times New Roman"/>
                <w:sz w:val="21"/>
                <w:szCs w:val="21"/>
              </w:rPr>
              <w:t>）中绿化用水水质要求</w:t>
            </w:r>
          </w:p>
        </w:tc>
      </w:tr>
      <w:tr w:rsidR="009C353B" w14:paraId="360A4A53" w14:textId="77777777">
        <w:trPr>
          <w:trHeight w:hRule="exact" w:val="565"/>
        </w:trPr>
        <w:tc>
          <w:tcPr>
            <w:tcW w:w="837" w:type="pct"/>
            <w:vMerge w:val="restart"/>
            <w:vAlign w:val="center"/>
          </w:tcPr>
          <w:p w14:paraId="12AE0801" w14:textId="77777777" w:rsidR="009C353B" w:rsidRDefault="00000000">
            <w:pPr>
              <w:jc w:val="center"/>
              <w:rPr>
                <w:rFonts w:ascii="Times New Roman" w:hAnsi="Times New Roman"/>
                <w:sz w:val="21"/>
                <w:szCs w:val="21"/>
              </w:rPr>
            </w:pPr>
            <w:r>
              <w:rPr>
                <w:rFonts w:ascii="Times New Roman" w:hAnsi="Times New Roman" w:hint="eastAsia"/>
                <w:sz w:val="21"/>
                <w:szCs w:val="21"/>
              </w:rPr>
              <w:t>2020/11/2</w:t>
            </w:r>
          </w:p>
        </w:tc>
        <w:tc>
          <w:tcPr>
            <w:tcW w:w="1021" w:type="pct"/>
            <w:shd w:val="clear" w:color="auto" w:fill="auto"/>
            <w:vAlign w:val="center"/>
          </w:tcPr>
          <w:p w14:paraId="3975D1B9" w14:textId="77777777" w:rsidR="009C353B" w:rsidRDefault="00000000">
            <w:pPr>
              <w:jc w:val="center"/>
              <w:rPr>
                <w:rFonts w:ascii="Times New Roman" w:hAnsi="Times New Roman"/>
                <w:sz w:val="21"/>
                <w:szCs w:val="21"/>
              </w:rPr>
            </w:pPr>
            <w:r>
              <w:rPr>
                <w:rFonts w:ascii="Arial" w:hAnsi="Arial" w:cs="Arial"/>
                <w:kern w:val="0"/>
                <w:sz w:val="20"/>
              </w:rPr>
              <w:t>pH</w:t>
            </w:r>
          </w:p>
        </w:tc>
        <w:tc>
          <w:tcPr>
            <w:tcW w:w="521" w:type="pct"/>
            <w:shd w:val="clear" w:color="auto" w:fill="auto"/>
            <w:vAlign w:val="center"/>
          </w:tcPr>
          <w:p w14:paraId="77FB8B5B" w14:textId="77777777" w:rsidR="009C353B" w:rsidRDefault="00000000">
            <w:pPr>
              <w:jc w:val="center"/>
              <w:rPr>
                <w:rFonts w:ascii="Times New Roman" w:hAnsi="Times New Roman"/>
                <w:sz w:val="21"/>
                <w:szCs w:val="21"/>
              </w:rPr>
            </w:pPr>
            <w:r>
              <w:rPr>
                <w:rFonts w:ascii="Arial" w:hAnsi="Arial" w:cs="Arial"/>
                <w:kern w:val="0"/>
                <w:sz w:val="20"/>
              </w:rPr>
              <w:t>无量纲</w:t>
            </w:r>
          </w:p>
        </w:tc>
        <w:tc>
          <w:tcPr>
            <w:tcW w:w="706" w:type="pct"/>
            <w:shd w:val="clear" w:color="auto" w:fill="auto"/>
            <w:vAlign w:val="center"/>
          </w:tcPr>
          <w:p w14:paraId="081E2A82" w14:textId="77777777" w:rsidR="009C353B" w:rsidRDefault="00000000">
            <w:pPr>
              <w:jc w:val="center"/>
              <w:rPr>
                <w:rFonts w:ascii="Times New Roman" w:hAnsi="Times New Roman"/>
                <w:sz w:val="21"/>
                <w:szCs w:val="21"/>
              </w:rPr>
            </w:pPr>
            <w:r>
              <w:rPr>
                <w:rFonts w:ascii="Arial" w:hAnsi="Arial" w:cs="Arial"/>
                <w:kern w:val="0"/>
                <w:sz w:val="20"/>
              </w:rPr>
              <w:t>7.60</w:t>
            </w:r>
          </w:p>
        </w:tc>
        <w:tc>
          <w:tcPr>
            <w:tcW w:w="1915" w:type="pct"/>
            <w:vAlign w:val="center"/>
          </w:tcPr>
          <w:p w14:paraId="085167DD" w14:textId="77777777" w:rsidR="009C353B" w:rsidRDefault="00000000">
            <w:pPr>
              <w:jc w:val="center"/>
              <w:rPr>
                <w:rFonts w:ascii="Times New Roman" w:hAnsi="Times New Roman"/>
                <w:sz w:val="21"/>
                <w:szCs w:val="21"/>
              </w:rPr>
            </w:pPr>
            <w:r>
              <w:rPr>
                <w:rFonts w:ascii="Arial" w:hAnsi="Arial" w:cs="Arial" w:hint="eastAsia"/>
                <w:kern w:val="0"/>
                <w:sz w:val="20"/>
              </w:rPr>
              <w:t>6</w:t>
            </w:r>
            <w:r>
              <w:rPr>
                <w:rFonts w:ascii="Arial" w:hAnsi="Arial" w:cs="Arial"/>
                <w:kern w:val="0"/>
                <w:sz w:val="20"/>
              </w:rPr>
              <w:t>.0~9.0</w:t>
            </w:r>
          </w:p>
        </w:tc>
      </w:tr>
      <w:tr w:rsidR="009C353B" w14:paraId="2D758D02" w14:textId="77777777">
        <w:trPr>
          <w:trHeight w:hRule="exact" w:val="340"/>
        </w:trPr>
        <w:tc>
          <w:tcPr>
            <w:tcW w:w="837" w:type="pct"/>
            <w:vMerge/>
            <w:vAlign w:val="center"/>
          </w:tcPr>
          <w:p w14:paraId="43D21F1B" w14:textId="77777777" w:rsidR="009C353B" w:rsidRDefault="009C353B">
            <w:pPr>
              <w:jc w:val="center"/>
              <w:rPr>
                <w:rFonts w:ascii="Times New Roman" w:hAnsi="Times New Roman"/>
                <w:sz w:val="21"/>
                <w:szCs w:val="21"/>
              </w:rPr>
            </w:pPr>
          </w:p>
        </w:tc>
        <w:tc>
          <w:tcPr>
            <w:tcW w:w="1021" w:type="pct"/>
            <w:shd w:val="clear" w:color="auto" w:fill="auto"/>
            <w:vAlign w:val="center"/>
          </w:tcPr>
          <w:p w14:paraId="6F001730" w14:textId="77777777" w:rsidR="009C353B" w:rsidRDefault="00000000">
            <w:pPr>
              <w:jc w:val="center"/>
              <w:rPr>
                <w:rFonts w:ascii="Times New Roman" w:hAnsi="Times New Roman"/>
                <w:sz w:val="21"/>
                <w:szCs w:val="21"/>
              </w:rPr>
            </w:pPr>
            <w:r>
              <w:rPr>
                <w:rFonts w:ascii="Arial" w:hAnsi="Arial" w:cs="Arial"/>
                <w:kern w:val="0"/>
                <w:sz w:val="20"/>
              </w:rPr>
              <w:t>悬浮物</w:t>
            </w:r>
          </w:p>
        </w:tc>
        <w:tc>
          <w:tcPr>
            <w:tcW w:w="521" w:type="pct"/>
            <w:shd w:val="clear" w:color="auto" w:fill="auto"/>
            <w:vAlign w:val="center"/>
          </w:tcPr>
          <w:p w14:paraId="7186781B" w14:textId="77777777" w:rsidR="009C353B" w:rsidRDefault="00000000">
            <w:pPr>
              <w:jc w:val="center"/>
              <w:rPr>
                <w:rFonts w:ascii="Times New Roman" w:hAnsi="Times New Roman"/>
                <w:sz w:val="21"/>
                <w:szCs w:val="21"/>
              </w:rPr>
            </w:pPr>
            <w:r>
              <w:rPr>
                <w:rFonts w:ascii="Arial" w:hAnsi="Arial" w:cs="Arial"/>
                <w:kern w:val="0"/>
                <w:sz w:val="20"/>
              </w:rPr>
              <w:t>mg/L</w:t>
            </w:r>
          </w:p>
        </w:tc>
        <w:tc>
          <w:tcPr>
            <w:tcW w:w="706" w:type="pct"/>
            <w:shd w:val="clear" w:color="auto" w:fill="auto"/>
            <w:vAlign w:val="center"/>
          </w:tcPr>
          <w:p w14:paraId="4EBAA4C2" w14:textId="77777777" w:rsidR="009C353B" w:rsidRDefault="00000000">
            <w:pPr>
              <w:jc w:val="center"/>
              <w:rPr>
                <w:rFonts w:ascii="Times New Roman" w:hAnsi="Times New Roman"/>
                <w:sz w:val="21"/>
                <w:szCs w:val="21"/>
              </w:rPr>
            </w:pPr>
            <w:r>
              <w:rPr>
                <w:rFonts w:ascii="Arial" w:hAnsi="Arial" w:cs="Arial"/>
                <w:kern w:val="0"/>
                <w:sz w:val="20"/>
              </w:rPr>
              <w:t>22</w:t>
            </w:r>
          </w:p>
        </w:tc>
        <w:tc>
          <w:tcPr>
            <w:tcW w:w="1915" w:type="pct"/>
            <w:vAlign w:val="center"/>
          </w:tcPr>
          <w:p w14:paraId="694F978B" w14:textId="77777777" w:rsidR="009C353B" w:rsidRDefault="00000000">
            <w:pPr>
              <w:jc w:val="center"/>
              <w:rPr>
                <w:rFonts w:ascii="Times New Roman" w:hAnsi="Times New Roman"/>
                <w:sz w:val="21"/>
                <w:szCs w:val="21"/>
              </w:rPr>
            </w:pPr>
            <w:r>
              <w:rPr>
                <w:rFonts w:ascii="Arial" w:hAnsi="Arial" w:cs="Arial" w:hint="eastAsia"/>
                <w:kern w:val="0"/>
                <w:sz w:val="20"/>
              </w:rPr>
              <w:t>/</w:t>
            </w:r>
          </w:p>
        </w:tc>
      </w:tr>
      <w:tr w:rsidR="009C353B" w14:paraId="0C8A1937" w14:textId="77777777">
        <w:trPr>
          <w:trHeight w:hRule="exact" w:val="340"/>
        </w:trPr>
        <w:tc>
          <w:tcPr>
            <w:tcW w:w="837" w:type="pct"/>
            <w:vMerge/>
            <w:vAlign w:val="center"/>
          </w:tcPr>
          <w:p w14:paraId="11AF5395" w14:textId="77777777" w:rsidR="009C353B" w:rsidRDefault="009C353B">
            <w:pPr>
              <w:jc w:val="center"/>
              <w:rPr>
                <w:rFonts w:ascii="Times New Roman" w:hAnsi="Times New Roman"/>
                <w:sz w:val="21"/>
                <w:szCs w:val="21"/>
              </w:rPr>
            </w:pPr>
          </w:p>
        </w:tc>
        <w:tc>
          <w:tcPr>
            <w:tcW w:w="1021" w:type="pct"/>
            <w:shd w:val="clear" w:color="auto" w:fill="auto"/>
            <w:vAlign w:val="center"/>
          </w:tcPr>
          <w:p w14:paraId="0E26240B" w14:textId="77777777" w:rsidR="009C353B" w:rsidRDefault="00000000">
            <w:pPr>
              <w:jc w:val="center"/>
              <w:rPr>
                <w:rFonts w:ascii="Times New Roman" w:hAnsi="Times New Roman"/>
                <w:sz w:val="21"/>
                <w:szCs w:val="21"/>
              </w:rPr>
            </w:pPr>
            <w:r>
              <w:rPr>
                <w:rFonts w:ascii="Arial" w:hAnsi="Arial" w:cs="Arial"/>
                <w:kern w:val="0"/>
                <w:sz w:val="20"/>
              </w:rPr>
              <w:t>氨氮</w:t>
            </w:r>
          </w:p>
        </w:tc>
        <w:tc>
          <w:tcPr>
            <w:tcW w:w="521" w:type="pct"/>
            <w:shd w:val="clear" w:color="auto" w:fill="auto"/>
            <w:vAlign w:val="center"/>
          </w:tcPr>
          <w:p w14:paraId="68417437" w14:textId="77777777" w:rsidR="009C353B" w:rsidRDefault="00000000">
            <w:pPr>
              <w:jc w:val="center"/>
              <w:rPr>
                <w:rFonts w:ascii="Times New Roman" w:hAnsi="Times New Roman"/>
                <w:sz w:val="21"/>
                <w:szCs w:val="21"/>
              </w:rPr>
            </w:pPr>
            <w:r>
              <w:rPr>
                <w:rFonts w:ascii="Arial" w:hAnsi="Arial" w:cs="Arial"/>
                <w:kern w:val="0"/>
                <w:sz w:val="20"/>
              </w:rPr>
              <w:t>mg/L</w:t>
            </w:r>
          </w:p>
        </w:tc>
        <w:tc>
          <w:tcPr>
            <w:tcW w:w="706" w:type="pct"/>
            <w:shd w:val="clear" w:color="auto" w:fill="auto"/>
            <w:vAlign w:val="center"/>
          </w:tcPr>
          <w:p w14:paraId="321440FE" w14:textId="77777777" w:rsidR="009C353B" w:rsidRDefault="00000000">
            <w:pPr>
              <w:jc w:val="center"/>
              <w:rPr>
                <w:rFonts w:ascii="Times New Roman" w:hAnsi="Times New Roman"/>
                <w:sz w:val="21"/>
                <w:szCs w:val="21"/>
              </w:rPr>
            </w:pPr>
            <w:r>
              <w:rPr>
                <w:rFonts w:ascii="Arial" w:hAnsi="Arial" w:cs="Arial"/>
                <w:kern w:val="0"/>
                <w:sz w:val="20"/>
              </w:rPr>
              <w:t>5.66</w:t>
            </w:r>
          </w:p>
        </w:tc>
        <w:tc>
          <w:tcPr>
            <w:tcW w:w="1915" w:type="pct"/>
            <w:vAlign w:val="center"/>
          </w:tcPr>
          <w:p w14:paraId="4E0E1009" w14:textId="77777777" w:rsidR="009C353B" w:rsidRDefault="00000000">
            <w:pPr>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0</w:t>
            </w:r>
          </w:p>
        </w:tc>
      </w:tr>
      <w:tr w:rsidR="009C353B" w14:paraId="4A49838B" w14:textId="77777777">
        <w:trPr>
          <w:trHeight w:hRule="exact" w:val="665"/>
        </w:trPr>
        <w:tc>
          <w:tcPr>
            <w:tcW w:w="837" w:type="pct"/>
            <w:vMerge/>
            <w:vAlign w:val="center"/>
          </w:tcPr>
          <w:p w14:paraId="28F614B2" w14:textId="77777777" w:rsidR="009C353B" w:rsidRDefault="009C353B">
            <w:pPr>
              <w:jc w:val="center"/>
              <w:rPr>
                <w:rFonts w:ascii="Times New Roman" w:hAnsi="Times New Roman"/>
                <w:sz w:val="21"/>
                <w:szCs w:val="21"/>
              </w:rPr>
            </w:pPr>
          </w:p>
        </w:tc>
        <w:tc>
          <w:tcPr>
            <w:tcW w:w="1021" w:type="pct"/>
            <w:shd w:val="clear" w:color="auto" w:fill="auto"/>
            <w:vAlign w:val="center"/>
          </w:tcPr>
          <w:p w14:paraId="0384AF9C" w14:textId="77777777" w:rsidR="009C353B" w:rsidRDefault="00000000">
            <w:pPr>
              <w:jc w:val="center"/>
              <w:rPr>
                <w:rFonts w:ascii="Times New Roman" w:hAnsi="Times New Roman"/>
                <w:sz w:val="21"/>
                <w:szCs w:val="21"/>
              </w:rPr>
            </w:pPr>
            <w:r>
              <w:rPr>
                <w:rFonts w:ascii="Arial" w:hAnsi="Arial" w:cs="Arial"/>
                <w:kern w:val="0"/>
                <w:sz w:val="20"/>
              </w:rPr>
              <w:t>化学需氧量</w:t>
            </w:r>
          </w:p>
        </w:tc>
        <w:tc>
          <w:tcPr>
            <w:tcW w:w="521" w:type="pct"/>
            <w:shd w:val="clear" w:color="auto" w:fill="auto"/>
            <w:vAlign w:val="center"/>
          </w:tcPr>
          <w:p w14:paraId="145196F7" w14:textId="77777777" w:rsidR="009C353B" w:rsidRDefault="00000000">
            <w:pPr>
              <w:jc w:val="center"/>
              <w:rPr>
                <w:rFonts w:ascii="Times New Roman" w:hAnsi="Times New Roman"/>
                <w:sz w:val="21"/>
                <w:szCs w:val="21"/>
              </w:rPr>
            </w:pPr>
            <w:r>
              <w:rPr>
                <w:rFonts w:ascii="Arial" w:hAnsi="Arial" w:cs="Arial"/>
                <w:kern w:val="0"/>
                <w:sz w:val="20"/>
              </w:rPr>
              <w:t>mg/L</w:t>
            </w:r>
          </w:p>
        </w:tc>
        <w:tc>
          <w:tcPr>
            <w:tcW w:w="706" w:type="pct"/>
            <w:shd w:val="clear" w:color="auto" w:fill="auto"/>
            <w:vAlign w:val="center"/>
          </w:tcPr>
          <w:p w14:paraId="19194A6A" w14:textId="77777777" w:rsidR="009C353B" w:rsidRDefault="00000000">
            <w:pPr>
              <w:jc w:val="center"/>
              <w:rPr>
                <w:rFonts w:ascii="Times New Roman" w:hAnsi="Times New Roman"/>
                <w:sz w:val="21"/>
                <w:szCs w:val="21"/>
              </w:rPr>
            </w:pPr>
            <w:r>
              <w:rPr>
                <w:rFonts w:ascii="Arial" w:hAnsi="Arial" w:cs="Arial"/>
                <w:kern w:val="0"/>
                <w:sz w:val="20"/>
              </w:rPr>
              <w:t>31</w:t>
            </w:r>
          </w:p>
        </w:tc>
        <w:tc>
          <w:tcPr>
            <w:tcW w:w="1915" w:type="pct"/>
            <w:vAlign w:val="center"/>
          </w:tcPr>
          <w:p w14:paraId="7A487F53" w14:textId="77777777" w:rsidR="009C353B" w:rsidRDefault="00000000">
            <w:pPr>
              <w:jc w:val="center"/>
              <w:rPr>
                <w:rFonts w:ascii="Times New Roman" w:hAnsi="Times New Roman"/>
                <w:sz w:val="21"/>
                <w:szCs w:val="21"/>
              </w:rPr>
            </w:pPr>
            <w:r>
              <w:rPr>
                <w:rFonts w:ascii="Arial" w:hAnsi="Arial" w:cs="Arial" w:hint="eastAsia"/>
                <w:kern w:val="0"/>
                <w:sz w:val="20"/>
              </w:rPr>
              <w:t>/</w:t>
            </w:r>
          </w:p>
        </w:tc>
      </w:tr>
      <w:tr w:rsidR="009C353B" w14:paraId="3CFE44D0" w14:textId="77777777">
        <w:trPr>
          <w:trHeight w:hRule="exact" w:val="340"/>
        </w:trPr>
        <w:tc>
          <w:tcPr>
            <w:tcW w:w="837" w:type="pct"/>
            <w:vMerge/>
            <w:vAlign w:val="center"/>
          </w:tcPr>
          <w:p w14:paraId="01485706" w14:textId="77777777" w:rsidR="009C353B" w:rsidRDefault="009C353B">
            <w:pPr>
              <w:jc w:val="center"/>
              <w:rPr>
                <w:rFonts w:ascii="Times New Roman" w:hAnsi="Times New Roman"/>
                <w:sz w:val="21"/>
                <w:szCs w:val="21"/>
              </w:rPr>
            </w:pPr>
          </w:p>
        </w:tc>
        <w:tc>
          <w:tcPr>
            <w:tcW w:w="1021" w:type="pct"/>
            <w:shd w:val="clear" w:color="auto" w:fill="auto"/>
            <w:vAlign w:val="center"/>
          </w:tcPr>
          <w:p w14:paraId="4F3F2764" w14:textId="77777777" w:rsidR="009C353B" w:rsidRDefault="00000000">
            <w:pPr>
              <w:jc w:val="center"/>
              <w:rPr>
                <w:rFonts w:ascii="Times New Roman" w:hAnsi="Times New Roman"/>
                <w:sz w:val="21"/>
                <w:szCs w:val="21"/>
              </w:rPr>
            </w:pPr>
            <w:r>
              <w:rPr>
                <w:rFonts w:ascii="Arial" w:hAnsi="Arial" w:cs="Arial"/>
                <w:kern w:val="0"/>
                <w:sz w:val="20"/>
              </w:rPr>
              <w:t>五日生化需氧量</w:t>
            </w:r>
          </w:p>
        </w:tc>
        <w:tc>
          <w:tcPr>
            <w:tcW w:w="521" w:type="pct"/>
            <w:shd w:val="clear" w:color="auto" w:fill="auto"/>
            <w:vAlign w:val="center"/>
          </w:tcPr>
          <w:p w14:paraId="44D71998" w14:textId="77777777" w:rsidR="009C353B" w:rsidRDefault="00000000">
            <w:pPr>
              <w:jc w:val="center"/>
              <w:rPr>
                <w:rFonts w:ascii="Times New Roman" w:hAnsi="Times New Roman"/>
                <w:sz w:val="21"/>
                <w:szCs w:val="21"/>
              </w:rPr>
            </w:pPr>
            <w:r>
              <w:rPr>
                <w:rFonts w:ascii="Arial" w:hAnsi="Arial" w:cs="Arial"/>
                <w:kern w:val="0"/>
                <w:sz w:val="20"/>
              </w:rPr>
              <w:t>mg/L</w:t>
            </w:r>
          </w:p>
        </w:tc>
        <w:tc>
          <w:tcPr>
            <w:tcW w:w="706" w:type="pct"/>
            <w:shd w:val="clear" w:color="auto" w:fill="auto"/>
            <w:vAlign w:val="center"/>
          </w:tcPr>
          <w:p w14:paraId="0AFDC19A" w14:textId="77777777" w:rsidR="009C353B" w:rsidRDefault="00000000">
            <w:pPr>
              <w:jc w:val="center"/>
              <w:rPr>
                <w:rFonts w:ascii="Times New Roman" w:hAnsi="Times New Roman"/>
                <w:sz w:val="21"/>
                <w:szCs w:val="21"/>
              </w:rPr>
            </w:pPr>
            <w:r>
              <w:rPr>
                <w:rFonts w:ascii="Arial" w:hAnsi="Arial" w:cs="Arial"/>
                <w:kern w:val="0"/>
                <w:sz w:val="20"/>
              </w:rPr>
              <w:t>9.8</w:t>
            </w:r>
          </w:p>
        </w:tc>
        <w:tc>
          <w:tcPr>
            <w:tcW w:w="1915" w:type="pct"/>
            <w:vAlign w:val="center"/>
          </w:tcPr>
          <w:p w14:paraId="43F8DB34" w14:textId="77777777" w:rsidR="009C353B" w:rsidRDefault="00000000">
            <w:pPr>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0</w:t>
            </w:r>
          </w:p>
        </w:tc>
      </w:tr>
      <w:tr w:rsidR="009C353B" w14:paraId="15657213" w14:textId="77777777">
        <w:trPr>
          <w:trHeight w:hRule="exact" w:val="340"/>
        </w:trPr>
        <w:tc>
          <w:tcPr>
            <w:tcW w:w="837" w:type="pct"/>
            <w:vMerge/>
            <w:vAlign w:val="center"/>
          </w:tcPr>
          <w:p w14:paraId="01A2C120" w14:textId="77777777" w:rsidR="009C353B" w:rsidRDefault="009C353B">
            <w:pPr>
              <w:jc w:val="center"/>
              <w:rPr>
                <w:rFonts w:ascii="Times New Roman" w:hAnsi="Times New Roman"/>
                <w:sz w:val="21"/>
                <w:szCs w:val="21"/>
              </w:rPr>
            </w:pPr>
          </w:p>
        </w:tc>
        <w:tc>
          <w:tcPr>
            <w:tcW w:w="1021" w:type="pct"/>
            <w:shd w:val="clear" w:color="auto" w:fill="auto"/>
            <w:vAlign w:val="center"/>
          </w:tcPr>
          <w:p w14:paraId="5BD788C5" w14:textId="77777777" w:rsidR="009C353B" w:rsidRDefault="00000000">
            <w:pPr>
              <w:jc w:val="center"/>
              <w:rPr>
                <w:rFonts w:ascii="Times New Roman" w:hAnsi="Times New Roman"/>
                <w:sz w:val="21"/>
                <w:szCs w:val="21"/>
              </w:rPr>
            </w:pPr>
            <w:r>
              <w:rPr>
                <w:rFonts w:ascii="Arial" w:hAnsi="Arial" w:cs="Arial"/>
                <w:kern w:val="0"/>
                <w:sz w:val="20"/>
              </w:rPr>
              <w:t>溶解性总固体</w:t>
            </w:r>
          </w:p>
        </w:tc>
        <w:tc>
          <w:tcPr>
            <w:tcW w:w="521" w:type="pct"/>
            <w:shd w:val="clear" w:color="auto" w:fill="auto"/>
            <w:vAlign w:val="center"/>
          </w:tcPr>
          <w:p w14:paraId="76A6C47B" w14:textId="77777777" w:rsidR="009C353B" w:rsidRDefault="00000000">
            <w:pPr>
              <w:jc w:val="center"/>
              <w:rPr>
                <w:rFonts w:ascii="Times New Roman" w:hAnsi="Times New Roman"/>
                <w:sz w:val="21"/>
                <w:szCs w:val="21"/>
              </w:rPr>
            </w:pPr>
            <w:r>
              <w:rPr>
                <w:rFonts w:ascii="Arial" w:hAnsi="Arial" w:cs="Arial"/>
                <w:kern w:val="0"/>
                <w:sz w:val="20"/>
              </w:rPr>
              <w:t>mg/L</w:t>
            </w:r>
          </w:p>
        </w:tc>
        <w:tc>
          <w:tcPr>
            <w:tcW w:w="706" w:type="pct"/>
            <w:shd w:val="clear" w:color="auto" w:fill="auto"/>
            <w:vAlign w:val="center"/>
          </w:tcPr>
          <w:p w14:paraId="76CCA2F5" w14:textId="77777777" w:rsidR="009C353B" w:rsidRDefault="00000000">
            <w:pPr>
              <w:jc w:val="center"/>
              <w:rPr>
                <w:rFonts w:ascii="Times New Roman" w:hAnsi="Times New Roman"/>
                <w:sz w:val="21"/>
                <w:szCs w:val="21"/>
              </w:rPr>
            </w:pPr>
            <w:r>
              <w:rPr>
                <w:rFonts w:ascii="Arial" w:hAnsi="Arial" w:cs="Arial"/>
                <w:kern w:val="0"/>
                <w:sz w:val="20"/>
              </w:rPr>
              <w:t>863</w:t>
            </w:r>
          </w:p>
        </w:tc>
        <w:tc>
          <w:tcPr>
            <w:tcW w:w="1915" w:type="pct"/>
            <w:vAlign w:val="center"/>
          </w:tcPr>
          <w:p w14:paraId="23949002" w14:textId="77777777" w:rsidR="009C353B" w:rsidRDefault="00000000">
            <w:pPr>
              <w:jc w:val="center"/>
              <w:rPr>
                <w:rFonts w:ascii="Times New Roman" w:hAnsi="Times New Roman"/>
                <w:sz w:val="21"/>
                <w:szCs w:val="21"/>
              </w:rPr>
            </w:pPr>
            <w:r>
              <w:rPr>
                <w:rFonts w:ascii="Arial" w:hAnsi="Arial" w:cs="Arial" w:hint="eastAsia"/>
                <w:kern w:val="0"/>
                <w:sz w:val="20"/>
              </w:rPr>
              <w:t>1</w:t>
            </w:r>
            <w:r>
              <w:rPr>
                <w:rFonts w:ascii="Arial" w:hAnsi="Arial" w:cs="Arial"/>
                <w:kern w:val="0"/>
                <w:sz w:val="20"/>
              </w:rPr>
              <w:t>000</w:t>
            </w:r>
          </w:p>
        </w:tc>
      </w:tr>
      <w:tr w:rsidR="009C353B" w14:paraId="711C1D3B" w14:textId="77777777">
        <w:trPr>
          <w:trHeight w:hRule="exact" w:val="340"/>
        </w:trPr>
        <w:tc>
          <w:tcPr>
            <w:tcW w:w="837" w:type="pct"/>
            <w:vMerge/>
            <w:vAlign w:val="center"/>
          </w:tcPr>
          <w:p w14:paraId="6FD5F21B" w14:textId="77777777" w:rsidR="009C353B" w:rsidRDefault="009C353B">
            <w:pPr>
              <w:jc w:val="center"/>
              <w:rPr>
                <w:rFonts w:ascii="Times New Roman" w:hAnsi="Times New Roman"/>
                <w:sz w:val="21"/>
                <w:szCs w:val="21"/>
              </w:rPr>
            </w:pPr>
          </w:p>
        </w:tc>
        <w:tc>
          <w:tcPr>
            <w:tcW w:w="1021" w:type="pct"/>
            <w:shd w:val="clear" w:color="auto" w:fill="auto"/>
            <w:vAlign w:val="center"/>
          </w:tcPr>
          <w:p w14:paraId="7DB5E047" w14:textId="77777777" w:rsidR="009C353B" w:rsidRDefault="00000000">
            <w:pPr>
              <w:jc w:val="center"/>
              <w:rPr>
                <w:rFonts w:ascii="Times New Roman" w:hAnsi="Times New Roman"/>
                <w:sz w:val="21"/>
                <w:szCs w:val="21"/>
              </w:rPr>
            </w:pPr>
            <w:r>
              <w:rPr>
                <w:rFonts w:ascii="Arial" w:hAnsi="Arial" w:cs="Arial"/>
                <w:kern w:val="0"/>
                <w:sz w:val="20"/>
              </w:rPr>
              <w:t>阴离子表面活性剂</w:t>
            </w:r>
          </w:p>
        </w:tc>
        <w:tc>
          <w:tcPr>
            <w:tcW w:w="521" w:type="pct"/>
            <w:shd w:val="clear" w:color="auto" w:fill="auto"/>
            <w:vAlign w:val="center"/>
          </w:tcPr>
          <w:p w14:paraId="456A0857" w14:textId="77777777" w:rsidR="009C353B" w:rsidRDefault="00000000">
            <w:pPr>
              <w:jc w:val="center"/>
              <w:rPr>
                <w:rFonts w:ascii="Times New Roman" w:hAnsi="Times New Roman"/>
                <w:sz w:val="21"/>
                <w:szCs w:val="21"/>
              </w:rPr>
            </w:pPr>
            <w:r>
              <w:rPr>
                <w:rFonts w:ascii="Arial" w:hAnsi="Arial" w:cs="Arial"/>
                <w:kern w:val="0"/>
                <w:sz w:val="20"/>
              </w:rPr>
              <w:t>mg/L</w:t>
            </w:r>
          </w:p>
        </w:tc>
        <w:tc>
          <w:tcPr>
            <w:tcW w:w="706" w:type="pct"/>
            <w:shd w:val="clear" w:color="auto" w:fill="auto"/>
            <w:vAlign w:val="center"/>
          </w:tcPr>
          <w:p w14:paraId="0FCED7E3" w14:textId="77777777" w:rsidR="009C353B" w:rsidRDefault="00000000">
            <w:pPr>
              <w:jc w:val="center"/>
              <w:rPr>
                <w:rFonts w:ascii="Times New Roman" w:hAnsi="Times New Roman"/>
                <w:sz w:val="21"/>
                <w:szCs w:val="21"/>
              </w:rPr>
            </w:pPr>
            <w:r>
              <w:rPr>
                <w:rFonts w:ascii="Arial" w:hAnsi="Arial" w:cs="Arial"/>
                <w:kern w:val="0"/>
                <w:sz w:val="20"/>
              </w:rPr>
              <w:t>0.05ND</w:t>
            </w:r>
          </w:p>
        </w:tc>
        <w:tc>
          <w:tcPr>
            <w:tcW w:w="1915" w:type="pct"/>
            <w:vAlign w:val="center"/>
          </w:tcPr>
          <w:p w14:paraId="0D3CD09F" w14:textId="77777777" w:rsidR="009C353B" w:rsidRDefault="00000000">
            <w:pPr>
              <w:jc w:val="center"/>
              <w:rPr>
                <w:rFonts w:ascii="Times New Roman" w:hAnsi="Times New Roman"/>
                <w:sz w:val="21"/>
                <w:szCs w:val="21"/>
              </w:rPr>
            </w:pPr>
            <w:r>
              <w:rPr>
                <w:rFonts w:ascii="Arial" w:hAnsi="Arial" w:cs="Arial" w:hint="eastAsia"/>
                <w:kern w:val="0"/>
                <w:sz w:val="20"/>
              </w:rPr>
              <w:t>1</w:t>
            </w:r>
            <w:r>
              <w:rPr>
                <w:rFonts w:ascii="Arial" w:hAnsi="Arial" w:cs="Arial"/>
                <w:kern w:val="0"/>
                <w:sz w:val="20"/>
              </w:rPr>
              <w:t>.0</w:t>
            </w:r>
          </w:p>
        </w:tc>
      </w:tr>
      <w:tr w:rsidR="009C353B" w14:paraId="3CE1984C" w14:textId="77777777">
        <w:trPr>
          <w:trHeight w:hRule="exact" w:val="340"/>
        </w:trPr>
        <w:tc>
          <w:tcPr>
            <w:tcW w:w="837" w:type="pct"/>
            <w:vMerge/>
            <w:vAlign w:val="center"/>
          </w:tcPr>
          <w:p w14:paraId="5E9A467C" w14:textId="77777777" w:rsidR="009C353B" w:rsidRDefault="009C353B">
            <w:pPr>
              <w:jc w:val="center"/>
              <w:rPr>
                <w:rFonts w:ascii="Times New Roman" w:hAnsi="Times New Roman"/>
                <w:sz w:val="21"/>
                <w:szCs w:val="21"/>
              </w:rPr>
            </w:pPr>
          </w:p>
        </w:tc>
        <w:tc>
          <w:tcPr>
            <w:tcW w:w="1021" w:type="pct"/>
            <w:shd w:val="clear" w:color="auto" w:fill="auto"/>
            <w:vAlign w:val="center"/>
          </w:tcPr>
          <w:p w14:paraId="5F8EEC2B" w14:textId="77777777" w:rsidR="009C353B" w:rsidRDefault="00000000">
            <w:pPr>
              <w:jc w:val="center"/>
              <w:rPr>
                <w:rFonts w:ascii="Times New Roman" w:hAnsi="Times New Roman"/>
                <w:sz w:val="21"/>
                <w:szCs w:val="21"/>
              </w:rPr>
            </w:pPr>
            <w:r>
              <w:rPr>
                <w:rFonts w:ascii="Arial" w:hAnsi="Arial" w:cs="Arial"/>
                <w:kern w:val="0"/>
                <w:sz w:val="20"/>
              </w:rPr>
              <w:t>铁</w:t>
            </w:r>
          </w:p>
        </w:tc>
        <w:tc>
          <w:tcPr>
            <w:tcW w:w="521" w:type="pct"/>
            <w:shd w:val="clear" w:color="auto" w:fill="auto"/>
            <w:vAlign w:val="center"/>
          </w:tcPr>
          <w:p w14:paraId="090727C2" w14:textId="77777777" w:rsidR="009C353B" w:rsidRDefault="00000000">
            <w:pPr>
              <w:jc w:val="center"/>
              <w:rPr>
                <w:rFonts w:ascii="Times New Roman" w:hAnsi="Times New Roman"/>
                <w:sz w:val="21"/>
                <w:szCs w:val="21"/>
              </w:rPr>
            </w:pPr>
            <w:r>
              <w:rPr>
                <w:rFonts w:ascii="Arial" w:hAnsi="Arial" w:cs="Arial"/>
                <w:kern w:val="0"/>
                <w:sz w:val="20"/>
              </w:rPr>
              <w:t>mg/L</w:t>
            </w:r>
          </w:p>
        </w:tc>
        <w:tc>
          <w:tcPr>
            <w:tcW w:w="706" w:type="pct"/>
            <w:shd w:val="clear" w:color="auto" w:fill="auto"/>
            <w:vAlign w:val="center"/>
          </w:tcPr>
          <w:p w14:paraId="728CF3CC" w14:textId="77777777" w:rsidR="009C353B" w:rsidRDefault="00000000">
            <w:pPr>
              <w:jc w:val="center"/>
              <w:rPr>
                <w:rFonts w:ascii="Times New Roman" w:hAnsi="Times New Roman"/>
                <w:sz w:val="21"/>
                <w:szCs w:val="21"/>
              </w:rPr>
            </w:pPr>
            <w:r>
              <w:rPr>
                <w:rFonts w:ascii="Arial" w:hAnsi="Arial" w:cs="Arial"/>
                <w:kern w:val="0"/>
                <w:sz w:val="20"/>
              </w:rPr>
              <w:t>0.03ND</w:t>
            </w:r>
          </w:p>
        </w:tc>
        <w:tc>
          <w:tcPr>
            <w:tcW w:w="1915" w:type="pct"/>
            <w:vAlign w:val="center"/>
          </w:tcPr>
          <w:p w14:paraId="2471CD66" w14:textId="77777777" w:rsidR="009C353B" w:rsidRDefault="00000000">
            <w:pPr>
              <w:jc w:val="center"/>
              <w:rPr>
                <w:rFonts w:ascii="Times New Roman" w:hAnsi="Times New Roman"/>
                <w:sz w:val="21"/>
                <w:szCs w:val="21"/>
              </w:rPr>
            </w:pPr>
            <w:r>
              <w:rPr>
                <w:rFonts w:ascii="Arial" w:hAnsi="Arial" w:cs="Arial" w:hint="eastAsia"/>
                <w:kern w:val="0"/>
                <w:sz w:val="20"/>
              </w:rPr>
              <w:t>/</w:t>
            </w:r>
          </w:p>
        </w:tc>
      </w:tr>
      <w:tr w:rsidR="009C353B" w14:paraId="529A4A32" w14:textId="77777777">
        <w:trPr>
          <w:trHeight w:hRule="exact" w:val="340"/>
        </w:trPr>
        <w:tc>
          <w:tcPr>
            <w:tcW w:w="837" w:type="pct"/>
            <w:vMerge/>
            <w:vAlign w:val="center"/>
          </w:tcPr>
          <w:p w14:paraId="359C7812" w14:textId="77777777" w:rsidR="009C353B" w:rsidRDefault="009C353B">
            <w:pPr>
              <w:jc w:val="center"/>
              <w:rPr>
                <w:rFonts w:ascii="Times New Roman" w:hAnsi="Times New Roman"/>
                <w:sz w:val="21"/>
                <w:szCs w:val="21"/>
              </w:rPr>
            </w:pPr>
          </w:p>
        </w:tc>
        <w:tc>
          <w:tcPr>
            <w:tcW w:w="1021" w:type="pct"/>
            <w:shd w:val="clear" w:color="auto" w:fill="auto"/>
            <w:vAlign w:val="center"/>
          </w:tcPr>
          <w:p w14:paraId="4EB729EC" w14:textId="77777777" w:rsidR="009C353B" w:rsidRDefault="00000000">
            <w:pPr>
              <w:jc w:val="center"/>
              <w:rPr>
                <w:rFonts w:ascii="Times New Roman" w:hAnsi="Times New Roman"/>
                <w:sz w:val="21"/>
                <w:szCs w:val="21"/>
              </w:rPr>
            </w:pPr>
            <w:r>
              <w:rPr>
                <w:rFonts w:ascii="Arial" w:hAnsi="Arial" w:cs="Arial"/>
                <w:kern w:val="0"/>
                <w:sz w:val="20"/>
              </w:rPr>
              <w:t>锰</w:t>
            </w:r>
          </w:p>
        </w:tc>
        <w:tc>
          <w:tcPr>
            <w:tcW w:w="521" w:type="pct"/>
            <w:shd w:val="clear" w:color="auto" w:fill="auto"/>
            <w:vAlign w:val="center"/>
          </w:tcPr>
          <w:p w14:paraId="63D02557" w14:textId="77777777" w:rsidR="009C353B" w:rsidRDefault="00000000">
            <w:pPr>
              <w:jc w:val="center"/>
              <w:rPr>
                <w:rFonts w:ascii="Times New Roman" w:hAnsi="Times New Roman"/>
                <w:sz w:val="21"/>
                <w:szCs w:val="21"/>
              </w:rPr>
            </w:pPr>
            <w:r>
              <w:rPr>
                <w:rFonts w:ascii="Arial" w:hAnsi="Arial" w:cs="Arial"/>
                <w:kern w:val="0"/>
                <w:sz w:val="20"/>
              </w:rPr>
              <w:t>mg/L</w:t>
            </w:r>
          </w:p>
        </w:tc>
        <w:tc>
          <w:tcPr>
            <w:tcW w:w="706" w:type="pct"/>
            <w:shd w:val="clear" w:color="auto" w:fill="auto"/>
            <w:vAlign w:val="center"/>
          </w:tcPr>
          <w:p w14:paraId="433555F1" w14:textId="77777777" w:rsidR="009C353B" w:rsidRDefault="00000000">
            <w:pPr>
              <w:jc w:val="center"/>
              <w:rPr>
                <w:rFonts w:ascii="Times New Roman" w:hAnsi="Times New Roman"/>
                <w:sz w:val="21"/>
                <w:szCs w:val="21"/>
              </w:rPr>
            </w:pPr>
            <w:r>
              <w:rPr>
                <w:rFonts w:ascii="Arial" w:hAnsi="Arial" w:cs="Arial"/>
                <w:kern w:val="0"/>
                <w:sz w:val="20"/>
              </w:rPr>
              <w:t>0.01ND</w:t>
            </w:r>
          </w:p>
        </w:tc>
        <w:tc>
          <w:tcPr>
            <w:tcW w:w="1915" w:type="pct"/>
            <w:vAlign w:val="center"/>
          </w:tcPr>
          <w:p w14:paraId="702EE87F" w14:textId="77777777" w:rsidR="009C353B" w:rsidRDefault="00000000">
            <w:pPr>
              <w:jc w:val="center"/>
              <w:rPr>
                <w:rFonts w:ascii="Times New Roman" w:hAnsi="Times New Roman"/>
                <w:sz w:val="21"/>
                <w:szCs w:val="21"/>
              </w:rPr>
            </w:pPr>
            <w:r>
              <w:rPr>
                <w:rFonts w:ascii="Arial" w:hAnsi="Arial" w:cs="Arial" w:hint="eastAsia"/>
                <w:kern w:val="0"/>
                <w:sz w:val="20"/>
              </w:rPr>
              <w:t>/</w:t>
            </w:r>
          </w:p>
        </w:tc>
      </w:tr>
      <w:tr w:rsidR="009C353B" w14:paraId="7965B0DF" w14:textId="77777777">
        <w:trPr>
          <w:trHeight w:hRule="exact" w:val="340"/>
        </w:trPr>
        <w:tc>
          <w:tcPr>
            <w:tcW w:w="837" w:type="pct"/>
            <w:vMerge/>
            <w:vAlign w:val="center"/>
          </w:tcPr>
          <w:p w14:paraId="041D35F6" w14:textId="77777777" w:rsidR="009C353B" w:rsidRDefault="009C353B">
            <w:pPr>
              <w:jc w:val="center"/>
              <w:rPr>
                <w:rFonts w:ascii="Times New Roman" w:hAnsi="Times New Roman"/>
                <w:sz w:val="21"/>
                <w:szCs w:val="21"/>
              </w:rPr>
            </w:pPr>
          </w:p>
        </w:tc>
        <w:tc>
          <w:tcPr>
            <w:tcW w:w="1021" w:type="pct"/>
            <w:shd w:val="clear" w:color="auto" w:fill="auto"/>
            <w:vAlign w:val="center"/>
          </w:tcPr>
          <w:p w14:paraId="6FABD104" w14:textId="77777777" w:rsidR="009C353B" w:rsidRDefault="00000000">
            <w:pPr>
              <w:jc w:val="center"/>
              <w:rPr>
                <w:rFonts w:ascii="Times New Roman" w:hAnsi="Times New Roman"/>
                <w:sz w:val="21"/>
                <w:szCs w:val="21"/>
              </w:rPr>
            </w:pPr>
            <w:r>
              <w:rPr>
                <w:rFonts w:ascii="Arial" w:hAnsi="Arial" w:cs="Arial"/>
                <w:kern w:val="0"/>
                <w:sz w:val="20"/>
              </w:rPr>
              <w:t>铅</w:t>
            </w:r>
          </w:p>
        </w:tc>
        <w:tc>
          <w:tcPr>
            <w:tcW w:w="521" w:type="pct"/>
            <w:shd w:val="clear" w:color="auto" w:fill="auto"/>
            <w:vAlign w:val="center"/>
          </w:tcPr>
          <w:p w14:paraId="2D7E7E91" w14:textId="77777777" w:rsidR="009C353B" w:rsidRDefault="00000000">
            <w:pPr>
              <w:jc w:val="center"/>
              <w:rPr>
                <w:rFonts w:ascii="Times New Roman" w:hAnsi="Times New Roman"/>
                <w:sz w:val="21"/>
                <w:szCs w:val="21"/>
              </w:rPr>
            </w:pPr>
            <w:r>
              <w:rPr>
                <w:rFonts w:ascii="微软雅黑" w:eastAsia="微软雅黑" w:hAnsi="微软雅黑" w:cs="Arial" w:hint="eastAsia"/>
                <w:kern w:val="0"/>
                <w:sz w:val="20"/>
              </w:rPr>
              <w:t>µ</w:t>
            </w:r>
            <w:r>
              <w:rPr>
                <w:rFonts w:ascii="Arial" w:hAnsi="Arial" w:cs="Arial"/>
                <w:kern w:val="0"/>
                <w:sz w:val="20"/>
              </w:rPr>
              <w:t>gL</w:t>
            </w:r>
          </w:p>
        </w:tc>
        <w:tc>
          <w:tcPr>
            <w:tcW w:w="706" w:type="pct"/>
            <w:shd w:val="clear" w:color="auto" w:fill="auto"/>
            <w:vAlign w:val="center"/>
          </w:tcPr>
          <w:p w14:paraId="68CA3ABE" w14:textId="77777777" w:rsidR="009C353B" w:rsidRDefault="00000000">
            <w:pPr>
              <w:jc w:val="center"/>
              <w:rPr>
                <w:rFonts w:ascii="Times New Roman" w:hAnsi="Times New Roman"/>
                <w:sz w:val="21"/>
                <w:szCs w:val="21"/>
              </w:rPr>
            </w:pPr>
            <w:r>
              <w:rPr>
                <w:rFonts w:ascii="Arial" w:hAnsi="Arial" w:cs="Arial"/>
                <w:kern w:val="0"/>
                <w:sz w:val="20"/>
              </w:rPr>
              <w:t>1.1</w:t>
            </w:r>
          </w:p>
        </w:tc>
        <w:tc>
          <w:tcPr>
            <w:tcW w:w="1915" w:type="pct"/>
            <w:vAlign w:val="center"/>
          </w:tcPr>
          <w:p w14:paraId="313C8276" w14:textId="77777777" w:rsidR="009C353B" w:rsidRDefault="00000000">
            <w:pPr>
              <w:jc w:val="center"/>
              <w:rPr>
                <w:rFonts w:ascii="Times New Roman" w:hAnsi="Times New Roman"/>
                <w:sz w:val="21"/>
                <w:szCs w:val="21"/>
              </w:rPr>
            </w:pPr>
            <w:r>
              <w:rPr>
                <w:rFonts w:ascii="Arial" w:hAnsi="Arial" w:cs="Arial" w:hint="eastAsia"/>
                <w:kern w:val="0"/>
                <w:sz w:val="20"/>
              </w:rPr>
              <w:t>/</w:t>
            </w:r>
          </w:p>
        </w:tc>
      </w:tr>
      <w:tr w:rsidR="009C353B" w14:paraId="2BB4772A" w14:textId="77777777">
        <w:trPr>
          <w:trHeight w:hRule="exact" w:val="340"/>
        </w:trPr>
        <w:tc>
          <w:tcPr>
            <w:tcW w:w="837" w:type="pct"/>
            <w:vMerge/>
            <w:vAlign w:val="center"/>
          </w:tcPr>
          <w:p w14:paraId="4D3F4A34" w14:textId="77777777" w:rsidR="009C353B" w:rsidRDefault="009C353B">
            <w:pPr>
              <w:jc w:val="center"/>
              <w:rPr>
                <w:rFonts w:ascii="Times New Roman" w:hAnsi="Times New Roman"/>
                <w:sz w:val="21"/>
                <w:szCs w:val="21"/>
              </w:rPr>
            </w:pPr>
          </w:p>
        </w:tc>
        <w:tc>
          <w:tcPr>
            <w:tcW w:w="1021" w:type="pct"/>
            <w:shd w:val="clear" w:color="auto" w:fill="auto"/>
            <w:vAlign w:val="center"/>
          </w:tcPr>
          <w:p w14:paraId="100E9C03" w14:textId="77777777" w:rsidR="009C353B" w:rsidRDefault="00000000">
            <w:pPr>
              <w:jc w:val="center"/>
              <w:rPr>
                <w:rFonts w:ascii="Times New Roman" w:hAnsi="Times New Roman"/>
                <w:sz w:val="21"/>
                <w:szCs w:val="21"/>
              </w:rPr>
            </w:pPr>
            <w:r>
              <w:rPr>
                <w:rFonts w:ascii="Arial" w:hAnsi="Arial" w:cs="Arial"/>
                <w:kern w:val="0"/>
                <w:sz w:val="20"/>
              </w:rPr>
              <w:t>镉</w:t>
            </w:r>
          </w:p>
        </w:tc>
        <w:tc>
          <w:tcPr>
            <w:tcW w:w="521" w:type="pct"/>
            <w:shd w:val="clear" w:color="auto" w:fill="auto"/>
            <w:vAlign w:val="center"/>
          </w:tcPr>
          <w:p w14:paraId="1B83E0E1" w14:textId="77777777" w:rsidR="009C353B" w:rsidRDefault="00000000">
            <w:pPr>
              <w:jc w:val="center"/>
              <w:rPr>
                <w:rFonts w:ascii="Times New Roman" w:hAnsi="Times New Roman"/>
                <w:sz w:val="21"/>
                <w:szCs w:val="21"/>
              </w:rPr>
            </w:pPr>
            <w:r>
              <w:rPr>
                <w:rFonts w:ascii="微软雅黑" w:eastAsia="微软雅黑" w:hAnsi="微软雅黑" w:cs="Arial" w:hint="eastAsia"/>
                <w:kern w:val="0"/>
                <w:sz w:val="20"/>
              </w:rPr>
              <w:t>µ</w:t>
            </w:r>
            <w:r>
              <w:rPr>
                <w:rFonts w:ascii="Arial" w:hAnsi="Arial" w:cs="Arial"/>
                <w:kern w:val="0"/>
                <w:sz w:val="20"/>
              </w:rPr>
              <w:t>gL</w:t>
            </w:r>
          </w:p>
        </w:tc>
        <w:tc>
          <w:tcPr>
            <w:tcW w:w="706" w:type="pct"/>
            <w:shd w:val="clear" w:color="auto" w:fill="auto"/>
            <w:vAlign w:val="center"/>
          </w:tcPr>
          <w:p w14:paraId="2D56DDA6" w14:textId="77777777" w:rsidR="009C353B" w:rsidRDefault="00000000">
            <w:pPr>
              <w:jc w:val="center"/>
              <w:rPr>
                <w:rFonts w:ascii="Times New Roman" w:hAnsi="Times New Roman"/>
                <w:sz w:val="21"/>
                <w:szCs w:val="21"/>
              </w:rPr>
            </w:pPr>
            <w:r>
              <w:rPr>
                <w:rFonts w:ascii="Arial" w:hAnsi="Arial" w:cs="Arial"/>
                <w:kern w:val="0"/>
                <w:sz w:val="20"/>
              </w:rPr>
              <w:t>0.02ND</w:t>
            </w:r>
          </w:p>
        </w:tc>
        <w:tc>
          <w:tcPr>
            <w:tcW w:w="1915" w:type="pct"/>
            <w:vAlign w:val="center"/>
          </w:tcPr>
          <w:p w14:paraId="7881EED6" w14:textId="77777777" w:rsidR="009C353B" w:rsidRDefault="00000000">
            <w:pPr>
              <w:jc w:val="center"/>
              <w:rPr>
                <w:rFonts w:ascii="Times New Roman" w:hAnsi="Times New Roman"/>
                <w:sz w:val="21"/>
                <w:szCs w:val="21"/>
              </w:rPr>
            </w:pPr>
            <w:r>
              <w:rPr>
                <w:rFonts w:ascii="Arial" w:hAnsi="Arial" w:cs="Arial" w:hint="eastAsia"/>
                <w:kern w:val="0"/>
                <w:sz w:val="20"/>
              </w:rPr>
              <w:t>/</w:t>
            </w:r>
          </w:p>
        </w:tc>
      </w:tr>
      <w:tr w:rsidR="009C353B" w14:paraId="2DE10F30" w14:textId="77777777">
        <w:trPr>
          <w:trHeight w:hRule="exact" w:val="340"/>
        </w:trPr>
        <w:tc>
          <w:tcPr>
            <w:tcW w:w="837" w:type="pct"/>
            <w:vMerge/>
            <w:vAlign w:val="center"/>
          </w:tcPr>
          <w:p w14:paraId="454C3DA1" w14:textId="77777777" w:rsidR="009C353B" w:rsidRDefault="009C353B">
            <w:pPr>
              <w:jc w:val="center"/>
              <w:rPr>
                <w:rFonts w:ascii="Times New Roman" w:hAnsi="Times New Roman"/>
                <w:sz w:val="21"/>
                <w:szCs w:val="21"/>
              </w:rPr>
            </w:pPr>
          </w:p>
        </w:tc>
        <w:tc>
          <w:tcPr>
            <w:tcW w:w="1021" w:type="pct"/>
            <w:shd w:val="clear" w:color="auto" w:fill="auto"/>
            <w:vAlign w:val="center"/>
          </w:tcPr>
          <w:p w14:paraId="18E52C3F" w14:textId="77777777" w:rsidR="009C353B" w:rsidRDefault="00000000">
            <w:pPr>
              <w:jc w:val="center"/>
              <w:rPr>
                <w:rFonts w:ascii="Times New Roman" w:hAnsi="Times New Roman"/>
                <w:sz w:val="21"/>
                <w:szCs w:val="21"/>
              </w:rPr>
            </w:pPr>
            <w:r>
              <w:rPr>
                <w:rFonts w:ascii="Arial" w:hAnsi="Arial" w:cs="Arial"/>
                <w:kern w:val="0"/>
                <w:sz w:val="20"/>
              </w:rPr>
              <w:t>锌</w:t>
            </w:r>
          </w:p>
        </w:tc>
        <w:tc>
          <w:tcPr>
            <w:tcW w:w="521" w:type="pct"/>
            <w:shd w:val="clear" w:color="auto" w:fill="auto"/>
            <w:vAlign w:val="center"/>
          </w:tcPr>
          <w:p w14:paraId="2ADF2FCD" w14:textId="77777777" w:rsidR="009C353B" w:rsidRDefault="00000000">
            <w:pPr>
              <w:jc w:val="center"/>
              <w:rPr>
                <w:rFonts w:ascii="Times New Roman" w:hAnsi="Times New Roman"/>
                <w:sz w:val="21"/>
                <w:szCs w:val="21"/>
              </w:rPr>
            </w:pPr>
            <w:r>
              <w:rPr>
                <w:rFonts w:ascii="Arial" w:hAnsi="Arial" w:cs="Arial"/>
                <w:kern w:val="0"/>
                <w:sz w:val="20"/>
              </w:rPr>
              <w:t>mg/L</w:t>
            </w:r>
          </w:p>
        </w:tc>
        <w:tc>
          <w:tcPr>
            <w:tcW w:w="706" w:type="pct"/>
            <w:shd w:val="clear" w:color="auto" w:fill="auto"/>
            <w:vAlign w:val="center"/>
          </w:tcPr>
          <w:p w14:paraId="4F3986D1" w14:textId="77777777" w:rsidR="009C353B" w:rsidRDefault="00000000">
            <w:pPr>
              <w:jc w:val="center"/>
              <w:rPr>
                <w:rFonts w:ascii="Times New Roman" w:hAnsi="Times New Roman"/>
                <w:sz w:val="21"/>
                <w:szCs w:val="21"/>
              </w:rPr>
            </w:pPr>
            <w:r>
              <w:rPr>
                <w:rFonts w:ascii="Arial" w:hAnsi="Arial" w:cs="Arial"/>
                <w:kern w:val="0"/>
                <w:sz w:val="20"/>
              </w:rPr>
              <w:t>0.024</w:t>
            </w:r>
          </w:p>
        </w:tc>
        <w:tc>
          <w:tcPr>
            <w:tcW w:w="1915" w:type="pct"/>
            <w:vAlign w:val="center"/>
          </w:tcPr>
          <w:p w14:paraId="6CF5D45E" w14:textId="77777777" w:rsidR="009C353B" w:rsidRDefault="00000000">
            <w:pPr>
              <w:jc w:val="center"/>
              <w:rPr>
                <w:rFonts w:ascii="Times New Roman" w:hAnsi="Times New Roman"/>
                <w:sz w:val="21"/>
                <w:szCs w:val="21"/>
              </w:rPr>
            </w:pPr>
            <w:r>
              <w:rPr>
                <w:rFonts w:ascii="Arial" w:hAnsi="Arial" w:cs="Arial" w:hint="eastAsia"/>
                <w:kern w:val="0"/>
                <w:sz w:val="20"/>
              </w:rPr>
              <w:t>/</w:t>
            </w:r>
          </w:p>
        </w:tc>
      </w:tr>
      <w:tr w:rsidR="009C353B" w14:paraId="62B269D5" w14:textId="77777777">
        <w:trPr>
          <w:trHeight w:hRule="exact" w:val="340"/>
        </w:trPr>
        <w:tc>
          <w:tcPr>
            <w:tcW w:w="837" w:type="pct"/>
            <w:vAlign w:val="center"/>
          </w:tcPr>
          <w:p w14:paraId="2E1073CA" w14:textId="77777777" w:rsidR="009C353B" w:rsidRDefault="009C353B">
            <w:pPr>
              <w:jc w:val="center"/>
              <w:rPr>
                <w:rFonts w:ascii="Times New Roman" w:hAnsi="Times New Roman"/>
                <w:sz w:val="21"/>
                <w:szCs w:val="21"/>
              </w:rPr>
            </w:pPr>
          </w:p>
        </w:tc>
        <w:tc>
          <w:tcPr>
            <w:tcW w:w="1021" w:type="pct"/>
            <w:shd w:val="clear" w:color="auto" w:fill="auto"/>
            <w:vAlign w:val="center"/>
          </w:tcPr>
          <w:p w14:paraId="4836CD92" w14:textId="77777777" w:rsidR="009C353B" w:rsidRDefault="00000000">
            <w:pPr>
              <w:jc w:val="center"/>
              <w:rPr>
                <w:rFonts w:ascii="Arial" w:hAnsi="Arial" w:cs="Arial"/>
                <w:kern w:val="0"/>
                <w:sz w:val="20"/>
              </w:rPr>
            </w:pPr>
            <w:r>
              <w:rPr>
                <w:rFonts w:ascii="Arial" w:hAnsi="Arial" w:cs="Arial" w:hint="eastAsia"/>
                <w:kern w:val="0"/>
                <w:sz w:val="20"/>
              </w:rPr>
              <w:t>铜</w:t>
            </w:r>
          </w:p>
        </w:tc>
        <w:tc>
          <w:tcPr>
            <w:tcW w:w="521" w:type="pct"/>
            <w:shd w:val="clear" w:color="auto" w:fill="auto"/>
            <w:vAlign w:val="center"/>
          </w:tcPr>
          <w:p w14:paraId="797934ED" w14:textId="77777777" w:rsidR="009C353B" w:rsidRDefault="00000000">
            <w:pPr>
              <w:jc w:val="center"/>
              <w:rPr>
                <w:rFonts w:ascii="Arial" w:hAnsi="Arial" w:cs="Arial"/>
                <w:kern w:val="0"/>
                <w:sz w:val="20"/>
              </w:rPr>
            </w:pPr>
            <w:r>
              <w:rPr>
                <w:rFonts w:ascii="微软雅黑" w:eastAsia="微软雅黑" w:hAnsi="微软雅黑" w:cs="Arial" w:hint="eastAsia"/>
                <w:kern w:val="0"/>
                <w:sz w:val="20"/>
              </w:rPr>
              <w:t>µ</w:t>
            </w:r>
            <w:r>
              <w:rPr>
                <w:rFonts w:ascii="Arial" w:hAnsi="Arial" w:cs="Arial"/>
                <w:kern w:val="0"/>
                <w:sz w:val="20"/>
              </w:rPr>
              <w:t>gL</w:t>
            </w:r>
          </w:p>
        </w:tc>
        <w:tc>
          <w:tcPr>
            <w:tcW w:w="706" w:type="pct"/>
            <w:shd w:val="clear" w:color="auto" w:fill="auto"/>
            <w:vAlign w:val="center"/>
          </w:tcPr>
          <w:p w14:paraId="39F04E9A" w14:textId="77777777" w:rsidR="009C353B" w:rsidRDefault="00000000">
            <w:pPr>
              <w:jc w:val="center"/>
              <w:rPr>
                <w:rFonts w:ascii="Arial" w:hAnsi="Arial" w:cs="Arial"/>
                <w:kern w:val="0"/>
                <w:sz w:val="20"/>
              </w:rPr>
            </w:pPr>
            <w:r>
              <w:rPr>
                <w:rFonts w:ascii="Arial" w:hAnsi="Arial" w:cs="Arial" w:hint="eastAsia"/>
                <w:kern w:val="0"/>
                <w:sz w:val="20"/>
              </w:rPr>
              <w:t>0.3</w:t>
            </w:r>
            <w:r>
              <w:rPr>
                <w:rFonts w:ascii="Arial" w:hAnsi="Arial" w:cs="Arial"/>
                <w:kern w:val="0"/>
                <w:sz w:val="20"/>
              </w:rPr>
              <w:t>ND</w:t>
            </w:r>
          </w:p>
        </w:tc>
        <w:tc>
          <w:tcPr>
            <w:tcW w:w="1915" w:type="pct"/>
            <w:vAlign w:val="center"/>
          </w:tcPr>
          <w:p w14:paraId="53043001" w14:textId="77777777" w:rsidR="009C353B" w:rsidRDefault="00000000">
            <w:pPr>
              <w:jc w:val="center"/>
              <w:rPr>
                <w:rFonts w:ascii="Arial" w:hAnsi="Arial" w:cs="Arial"/>
                <w:kern w:val="0"/>
                <w:sz w:val="20"/>
              </w:rPr>
            </w:pPr>
            <w:r>
              <w:rPr>
                <w:rFonts w:ascii="Arial" w:hAnsi="Arial" w:cs="Arial" w:hint="eastAsia"/>
                <w:kern w:val="0"/>
                <w:sz w:val="20"/>
              </w:rPr>
              <w:t>/</w:t>
            </w:r>
          </w:p>
        </w:tc>
      </w:tr>
    </w:tbl>
    <w:p w14:paraId="7192F78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现有生活污水经处理达到《城市污水再生利用</w:t>
      </w:r>
      <w:r>
        <w:rPr>
          <w:rFonts w:ascii="Times New Roman" w:hAnsi="Times New Roman"/>
          <w:szCs w:val="24"/>
        </w:rPr>
        <w:t xml:space="preserve"> </w:t>
      </w:r>
      <w:r>
        <w:rPr>
          <w:rFonts w:ascii="Times New Roman" w:hAnsi="Times New Roman"/>
          <w:szCs w:val="24"/>
        </w:rPr>
        <w:t>城市杂用水水质》（</w:t>
      </w:r>
      <w:r>
        <w:rPr>
          <w:rFonts w:ascii="Times New Roman" w:hAnsi="Times New Roman"/>
          <w:szCs w:val="24"/>
        </w:rPr>
        <w:t>GB/T18920-2002</w:t>
      </w:r>
      <w:r>
        <w:rPr>
          <w:rFonts w:ascii="Times New Roman" w:hAnsi="Times New Roman"/>
          <w:szCs w:val="24"/>
        </w:rPr>
        <w:t>）中绿化用水水质要求后用于工业场地绿化，不外排</w:t>
      </w:r>
      <w:r>
        <w:rPr>
          <w:rFonts w:ascii="Times New Roman" w:hAnsi="Times New Roman" w:hint="eastAsia"/>
          <w:szCs w:val="24"/>
        </w:rPr>
        <w:t>。</w:t>
      </w:r>
    </w:p>
    <w:p w14:paraId="2E2FE0F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）污废水综合利用途径及可行性分析</w:t>
      </w:r>
    </w:p>
    <w:p w14:paraId="7DD76B6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1</w:t>
      </w:r>
      <w:r>
        <w:rPr>
          <w:rFonts w:ascii="Times New Roman" w:hAnsi="Times New Roman" w:hint="eastAsia"/>
          <w:szCs w:val="24"/>
        </w:rPr>
        <w:t>）生活污水综合利用途径及可行性分析</w:t>
      </w:r>
    </w:p>
    <w:p w14:paraId="4C3F52C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根据对任家庄、马莲台、红石湾煤矿污废水实际产生量以及各矿通过相应利用途径的实际回用量分析，说明各煤矿污废水综合利用途径的可行性。由现场实际调查，任家庄、马莲台、红石湾煤矿污废水年实际产生量、实际回用量及利用途径见下表</w:t>
      </w:r>
      <w:r>
        <w:rPr>
          <w:rFonts w:ascii="Times New Roman" w:hAnsi="Times New Roman" w:hint="eastAsia"/>
          <w:szCs w:val="24"/>
        </w:rPr>
        <w:t>4.2-10</w:t>
      </w:r>
      <w:r>
        <w:rPr>
          <w:rFonts w:ascii="Times New Roman" w:hAnsi="Times New Roman" w:hint="eastAsia"/>
          <w:szCs w:val="24"/>
        </w:rPr>
        <w:t>。</w:t>
      </w:r>
    </w:p>
    <w:p w14:paraId="3457CE40" w14:textId="77777777" w:rsidR="009C353B" w:rsidRDefault="00000000">
      <w:pPr>
        <w:adjustRightInd w:val="0"/>
        <w:snapToGrid w:val="0"/>
        <w:spacing w:line="440" w:lineRule="exact"/>
        <w:ind w:firstLineChars="200" w:firstLine="480"/>
        <w:jc w:val="center"/>
        <w:rPr>
          <w:rFonts w:ascii="Times New Roman" w:hAnsi="Times New Roman"/>
          <w:szCs w:val="24"/>
        </w:rPr>
      </w:pPr>
      <w:r>
        <w:rPr>
          <w:rFonts w:ascii="Times New Roman" w:hAnsi="Times New Roman" w:hint="eastAsia"/>
          <w:szCs w:val="24"/>
        </w:rPr>
        <w:t>各煤矿生活污水实际产生量、回用量及利用途径</w:t>
      </w:r>
    </w:p>
    <w:p w14:paraId="27902FF0" w14:textId="77777777" w:rsidR="009C353B" w:rsidRDefault="00000000">
      <w:pPr>
        <w:adjustRightInd w:val="0"/>
        <w:snapToGrid w:val="0"/>
        <w:spacing w:line="440" w:lineRule="exact"/>
        <w:ind w:firstLineChars="200" w:firstLine="480"/>
        <w:outlineLvl w:val="4"/>
        <w:rPr>
          <w:rFonts w:ascii="Times New Roman" w:hAnsi="Times New Roman"/>
          <w:szCs w:val="24"/>
        </w:rPr>
      </w:pPr>
      <w:r>
        <w:rPr>
          <w:rFonts w:ascii="Times New Roman" w:hAnsi="Times New Roman" w:hint="eastAsia"/>
          <w:szCs w:val="24"/>
        </w:rPr>
        <w:t>表</w:t>
      </w:r>
      <w:r>
        <w:rPr>
          <w:rFonts w:ascii="Times New Roman" w:hAnsi="Times New Roman" w:hint="eastAsia"/>
          <w:szCs w:val="24"/>
        </w:rPr>
        <w:t>4.2-10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842"/>
        <w:gridCol w:w="3704"/>
        <w:gridCol w:w="1460"/>
        <w:gridCol w:w="1180"/>
      </w:tblGrid>
      <w:tr w:rsidR="009C353B" w14:paraId="7593B9C3" w14:textId="77777777">
        <w:trPr>
          <w:trHeight w:val="340"/>
        </w:trPr>
        <w:tc>
          <w:tcPr>
            <w:tcW w:w="1101" w:type="dxa"/>
            <w:shd w:val="clear" w:color="auto" w:fill="auto"/>
            <w:noWrap/>
            <w:vAlign w:val="center"/>
          </w:tcPr>
          <w:p w14:paraId="618BD6FD" w14:textId="77777777" w:rsidR="009C353B" w:rsidRDefault="00000000">
            <w:pPr>
              <w:widowControl/>
              <w:jc w:val="center"/>
              <w:rPr>
                <w:rFonts w:ascii="Times New Roman" w:hAnsi="Times New Roman"/>
                <w:kern w:val="0"/>
                <w:sz w:val="21"/>
                <w:szCs w:val="21"/>
              </w:rPr>
            </w:pPr>
            <w:bookmarkStart w:id="148" w:name="_Hlk61522568"/>
            <w:r>
              <w:rPr>
                <w:rFonts w:ascii="Times New Roman" w:hAnsi="Times New Roman" w:hint="eastAsia"/>
                <w:kern w:val="0"/>
                <w:sz w:val="21"/>
                <w:szCs w:val="21"/>
              </w:rPr>
              <w:t>煤矿</w:t>
            </w:r>
          </w:p>
        </w:tc>
        <w:tc>
          <w:tcPr>
            <w:tcW w:w="1842" w:type="dxa"/>
            <w:shd w:val="clear" w:color="auto" w:fill="auto"/>
            <w:noWrap/>
            <w:vAlign w:val="center"/>
          </w:tcPr>
          <w:p w14:paraId="4CC388B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实际</w:t>
            </w:r>
            <w:r>
              <w:rPr>
                <w:rFonts w:ascii="Times New Roman" w:hAnsi="Times New Roman"/>
                <w:kern w:val="0"/>
                <w:sz w:val="21"/>
                <w:szCs w:val="21"/>
              </w:rPr>
              <w:t>产生量（</w:t>
            </w:r>
            <w:r>
              <w:rPr>
                <w:rFonts w:ascii="Times New Roman" w:hAnsi="Times New Roman" w:hint="eastAsia"/>
                <w:kern w:val="0"/>
                <w:sz w:val="21"/>
                <w:szCs w:val="21"/>
              </w:rPr>
              <w:t>m</w:t>
            </w:r>
            <w:r>
              <w:rPr>
                <w:rFonts w:ascii="Times New Roman" w:hAnsi="Times New Roman"/>
                <w:kern w:val="0"/>
                <w:sz w:val="21"/>
                <w:szCs w:val="21"/>
                <w:vertAlign w:val="superscript"/>
              </w:rPr>
              <w:t>3</w:t>
            </w:r>
            <w:r>
              <w:rPr>
                <w:rFonts w:ascii="Times New Roman" w:hAnsi="Times New Roman"/>
                <w:kern w:val="0"/>
                <w:sz w:val="21"/>
                <w:szCs w:val="21"/>
              </w:rPr>
              <w:t>/</w:t>
            </w:r>
            <w:r>
              <w:rPr>
                <w:rFonts w:ascii="Times New Roman" w:hAnsi="Times New Roman" w:hint="eastAsia"/>
                <w:kern w:val="0"/>
                <w:sz w:val="21"/>
                <w:szCs w:val="21"/>
              </w:rPr>
              <w:t>d</w:t>
            </w:r>
            <w:r>
              <w:rPr>
                <w:rFonts w:ascii="Times New Roman" w:hAnsi="Times New Roman"/>
                <w:kern w:val="0"/>
                <w:sz w:val="21"/>
                <w:szCs w:val="21"/>
              </w:rPr>
              <w:t>）</w:t>
            </w:r>
          </w:p>
        </w:tc>
        <w:tc>
          <w:tcPr>
            <w:tcW w:w="3704" w:type="dxa"/>
            <w:shd w:val="clear" w:color="auto" w:fill="auto"/>
            <w:noWrap/>
            <w:vAlign w:val="center"/>
          </w:tcPr>
          <w:p w14:paraId="0460C86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利用途径</w:t>
            </w:r>
          </w:p>
        </w:tc>
        <w:tc>
          <w:tcPr>
            <w:tcW w:w="1460" w:type="dxa"/>
            <w:shd w:val="clear" w:color="auto" w:fill="auto"/>
            <w:noWrap/>
            <w:vAlign w:val="center"/>
          </w:tcPr>
          <w:p w14:paraId="0FF4A47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实际</w:t>
            </w:r>
            <w:r>
              <w:rPr>
                <w:rFonts w:ascii="Times New Roman" w:hAnsi="Times New Roman"/>
                <w:kern w:val="0"/>
                <w:sz w:val="21"/>
                <w:szCs w:val="21"/>
              </w:rPr>
              <w:t>回用量（</w:t>
            </w:r>
            <w:r>
              <w:rPr>
                <w:rFonts w:ascii="Times New Roman" w:hAnsi="Times New Roman" w:hint="eastAsia"/>
                <w:kern w:val="0"/>
                <w:sz w:val="21"/>
                <w:szCs w:val="21"/>
              </w:rPr>
              <w:t>m</w:t>
            </w:r>
            <w:r>
              <w:rPr>
                <w:rFonts w:ascii="Times New Roman" w:hAnsi="Times New Roman"/>
                <w:kern w:val="0"/>
                <w:sz w:val="21"/>
                <w:szCs w:val="21"/>
                <w:vertAlign w:val="superscript"/>
              </w:rPr>
              <w:t>3</w:t>
            </w:r>
            <w:r>
              <w:rPr>
                <w:rFonts w:ascii="Times New Roman" w:hAnsi="Times New Roman"/>
                <w:kern w:val="0"/>
                <w:sz w:val="21"/>
                <w:szCs w:val="21"/>
              </w:rPr>
              <w:t>/</w:t>
            </w:r>
            <w:r>
              <w:rPr>
                <w:rFonts w:ascii="Times New Roman" w:hAnsi="Times New Roman" w:hint="eastAsia"/>
                <w:kern w:val="0"/>
                <w:sz w:val="21"/>
                <w:szCs w:val="21"/>
              </w:rPr>
              <w:t>d</w:t>
            </w:r>
            <w:r>
              <w:rPr>
                <w:rFonts w:ascii="Times New Roman" w:hAnsi="Times New Roman"/>
                <w:kern w:val="0"/>
                <w:sz w:val="21"/>
                <w:szCs w:val="21"/>
              </w:rPr>
              <w:t>）</w:t>
            </w:r>
          </w:p>
        </w:tc>
        <w:tc>
          <w:tcPr>
            <w:tcW w:w="1180" w:type="dxa"/>
            <w:shd w:val="clear" w:color="auto" w:fill="auto"/>
            <w:noWrap/>
            <w:vAlign w:val="center"/>
          </w:tcPr>
          <w:p w14:paraId="3755E73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剩余量（</w:t>
            </w:r>
            <w:r>
              <w:rPr>
                <w:rFonts w:ascii="Times New Roman" w:hAnsi="Times New Roman" w:hint="eastAsia"/>
                <w:kern w:val="0"/>
                <w:sz w:val="21"/>
                <w:szCs w:val="21"/>
              </w:rPr>
              <w:t>m</w:t>
            </w:r>
            <w:r>
              <w:rPr>
                <w:rFonts w:ascii="Times New Roman" w:hAnsi="Times New Roman"/>
                <w:kern w:val="0"/>
                <w:sz w:val="21"/>
                <w:szCs w:val="21"/>
                <w:vertAlign w:val="superscript"/>
              </w:rPr>
              <w:t>3</w:t>
            </w:r>
            <w:r>
              <w:rPr>
                <w:rFonts w:ascii="Times New Roman" w:hAnsi="Times New Roman"/>
                <w:kern w:val="0"/>
                <w:sz w:val="21"/>
                <w:szCs w:val="21"/>
              </w:rPr>
              <w:t>/</w:t>
            </w:r>
            <w:r>
              <w:rPr>
                <w:rFonts w:ascii="Times New Roman" w:hAnsi="Times New Roman" w:hint="eastAsia"/>
                <w:kern w:val="0"/>
                <w:sz w:val="21"/>
                <w:szCs w:val="21"/>
              </w:rPr>
              <w:t>d</w:t>
            </w:r>
            <w:r>
              <w:rPr>
                <w:rFonts w:ascii="Times New Roman" w:hAnsi="Times New Roman"/>
                <w:kern w:val="0"/>
                <w:sz w:val="21"/>
                <w:szCs w:val="21"/>
              </w:rPr>
              <w:t>）</w:t>
            </w:r>
          </w:p>
        </w:tc>
      </w:tr>
      <w:tr w:rsidR="009C353B" w14:paraId="7B44EF86" w14:textId="77777777">
        <w:trPr>
          <w:trHeight w:val="340"/>
        </w:trPr>
        <w:tc>
          <w:tcPr>
            <w:tcW w:w="1101" w:type="dxa"/>
            <w:shd w:val="clear" w:color="auto" w:fill="auto"/>
            <w:noWrap/>
            <w:vAlign w:val="center"/>
          </w:tcPr>
          <w:p w14:paraId="3F4A620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任家庄</w:t>
            </w:r>
          </w:p>
        </w:tc>
        <w:tc>
          <w:tcPr>
            <w:tcW w:w="1842" w:type="dxa"/>
            <w:shd w:val="clear" w:color="auto" w:fill="auto"/>
            <w:noWrap/>
            <w:vAlign w:val="center"/>
          </w:tcPr>
          <w:p w14:paraId="23A0827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177.58</w:t>
            </w:r>
          </w:p>
        </w:tc>
        <w:tc>
          <w:tcPr>
            <w:tcW w:w="3704" w:type="dxa"/>
            <w:shd w:val="clear" w:color="auto" w:fill="auto"/>
            <w:noWrap/>
            <w:vAlign w:val="center"/>
          </w:tcPr>
          <w:p w14:paraId="5FB8C3E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绿化，冬季暂存于生活污水蓄水池</w:t>
            </w:r>
          </w:p>
        </w:tc>
        <w:tc>
          <w:tcPr>
            <w:tcW w:w="1460" w:type="dxa"/>
            <w:shd w:val="clear" w:color="auto" w:fill="auto"/>
            <w:noWrap/>
            <w:vAlign w:val="center"/>
          </w:tcPr>
          <w:p w14:paraId="4E3F434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177.58</w:t>
            </w:r>
          </w:p>
        </w:tc>
        <w:tc>
          <w:tcPr>
            <w:tcW w:w="1180" w:type="dxa"/>
            <w:shd w:val="clear" w:color="auto" w:fill="auto"/>
            <w:noWrap/>
            <w:vAlign w:val="center"/>
          </w:tcPr>
          <w:p w14:paraId="6C0447D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w:t>
            </w:r>
          </w:p>
        </w:tc>
      </w:tr>
      <w:tr w:rsidR="009C353B" w14:paraId="55EC7C75" w14:textId="77777777">
        <w:trPr>
          <w:trHeight w:val="340"/>
        </w:trPr>
        <w:tc>
          <w:tcPr>
            <w:tcW w:w="1101" w:type="dxa"/>
            <w:shd w:val="clear" w:color="auto" w:fill="auto"/>
            <w:noWrap/>
            <w:vAlign w:val="center"/>
          </w:tcPr>
          <w:p w14:paraId="1EA5E19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马莲台</w:t>
            </w:r>
          </w:p>
        </w:tc>
        <w:tc>
          <w:tcPr>
            <w:tcW w:w="1842" w:type="dxa"/>
            <w:shd w:val="clear" w:color="auto" w:fill="auto"/>
            <w:noWrap/>
            <w:vAlign w:val="center"/>
          </w:tcPr>
          <w:p w14:paraId="5CCC25B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340.9</w:t>
            </w:r>
          </w:p>
        </w:tc>
        <w:tc>
          <w:tcPr>
            <w:tcW w:w="3704" w:type="dxa"/>
            <w:shd w:val="clear" w:color="auto" w:fill="auto"/>
            <w:noWrap/>
            <w:vAlign w:val="center"/>
          </w:tcPr>
          <w:p w14:paraId="1ECF986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绿化用水</w:t>
            </w:r>
          </w:p>
        </w:tc>
        <w:tc>
          <w:tcPr>
            <w:tcW w:w="1460" w:type="dxa"/>
            <w:shd w:val="clear" w:color="auto" w:fill="auto"/>
            <w:noWrap/>
            <w:vAlign w:val="center"/>
          </w:tcPr>
          <w:p w14:paraId="1D156BE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340.9</w:t>
            </w:r>
          </w:p>
        </w:tc>
        <w:tc>
          <w:tcPr>
            <w:tcW w:w="1180" w:type="dxa"/>
            <w:shd w:val="clear" w:color="auto" w:fill="auto"/>
            <w:noWrap/>
            <w:vAlign w:val="center"/>
          </w:tcPr>
          <w:p w14:paraId="59D8316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w:t>
            </w:r>
          </w:p>
        </w:tc>
      </w:tr>
      <w:tr w:rsidR="009C353B" w14:paraId="581CF792" w14:textId="77777777">
        <w:trPr>
          <w:trHeight w:val="340"/>
        </w:trPr>
        <w:tc>
          <w:tcPr>
            <w:tcW w:w="1101" w:type="dxa"/>
            <w:shd w:val="clear" w:color="auto" w:fill="auto"/>
            <w:noWrap/>
            <w:vAlign w:val="center"/>
          </w:tcPr>
          <w:p w14:paraId="6C6F833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红石湾</w:t>
            </w:r>
          </w:p>
        </w:tc>
        <w:tc>
          <w:tcPr>
            <w:tcW w:w="1842" w:type="dxa"/>
            <w:shd w:val="clear" w:color="auto" w:fill="auto"/>
            <w:noWrap/>
            <w:vAlign w:val="center"/>
          </w:tcPr>
          <w:p w14:paraId="0D0AF39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130</w:t>
            </w:r>
          </w:p>
        </w:tc>
        <w:tc>
          <w:tcPr>
            <w:tcW w:w="3704" w:type="dxa"/>
            <w:shd w:val="clear" w:color="auto" w:fill="auto"/>
            <w:noWrap/>
            <w:vAlign w:val="center"/>
          </w:tcPr>
          <w:p w14:paraId="782E8F8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绿化，冬季不能综合利用的全部送生活污水蓄水池暂存，用于夏季绿化</w:t>
            </w:r>
          </w:p>
        </w:tc>
        <w:tc>
          <w:tcPr>
            <w:tcW w:w="1460" w:type="dxa"/>
            <w:shd w:val="clear" w:color="auto" w:fill="auto"/>
            <w:noWrap/>
            <w:vAlign w:val="center"/>
          </w:tcPr>
          <w:p w14:paraId="2D456BC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130</w:t>
            </w:r>
          </w:p>
        </w:tc>
        <w:tc>
          <w:tcPr>
            <w:tcW w:w="1180" w:type="dxa"/>
            <w:shd w:val="clear" w:color="auto" w:fill="auto"/>
            <w:noWrap/>
            <w:vAlign w:val="center"/>
          </w:tcPr>
          <w:p w14:paraId="5B43EE6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w:t>
            </w:r>
          </w:p>
        </w:tc>
      </w:tr>
    </w:tbl>
    <w:bookmarkEnd w:id="148"/>
    <w:p w14:paraId="6A52914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由表</w:t>
      </w:r>
      <w:r>
        <w:rPr>
          <w:rFonts w:ascii="Times New Roman" w:hAnsi="Times New Roman" w:hint="eastAsia"/>
          <w:szCs w:val="24"/>
        </w:rPr>
        <w:t>4.2-10</w:t>
      </w:r>
      <w:r>
        <w:rPr>
          <w:rFonts w:ascii="Times New Roman" w:hAnsi="Times New Roman" w:hint="eastAsia"/>
          <w:szCs w:val="24"/>
        </w:rPr>
        <w:t>，任家庄煤矿实际产生生活污水约</w:t>
      </w:r>
      <w:r>
        <w:rPr>
          <w:rFonts w:ascii="Times New Roman" w:hAnsi="Times New Roman" w:hint="eastAsia"/>
          <w:szCs w:val="24"/>
        </w:rPr>
        <w:t>177.58m</w:t>
      </w:r>
      <w:r>
        <w:rPr>
          <w:rFonts w:ascii="Times New Roman" w:hAnsi="Times New Roman"/>
          <w:szCs w:val="24"/>
          <w:vertAlign w:val="superscript"/>
        </w:rPr>
        <w:t>3</w:t>
      </w:r>
      <w:r>
        <w:rPr>
          <w:rFonts w:ascii="Times New Roman" w:hAnsi="Times New Roman"/>
          <w:szCs w:val="24"/>
        </w:rPr>
        <w:t>/d</w:t>
      </w:r>
      <w:r>
        <w:rPr>
          <w:rFonts w:ascii="Times New Roman" w:hAnsi="Times New Roman" w:hint="eastAsia"/>
          <w:szCs w:val="24"/>
        </w:rPr>
        <w:t>，处理达标后均作为绿化用水，全部实际得到了利用；马莲台煤矿实际产生生活污水约</w:t>
      </w:r>
      <w:r>
        <w:rPr>
          <w:rFonts w:ascii="Times New Roman" w:hAnsi="Times New Roman" w:hint="eastAsia"/>
          <w:szCs w:val="24"/>
        </w:rPr>
        <w:t>340.9 m</w:t>
      </w:r>
      <w:r>
        <w:rPr>
          <w:rFonts w:ascii="Times New Roman" w:hAnsi="Times New Roman"/>
          <w:szCs w:val="24"/>
          <w:vertAlign w:val="superscript"/>
        </w:rPr>
        <w:t>3</w:t>
      </w:r>
      <w:r>
        <w:rPr>
          <w:rFonts w:ascii="Times New Roman" w:hAnsi="Times New Roman"/>
          <w:szCs w:val="24"/>
        </w:rPr>
        <w:t>/d</w:t>
      </w:r>
      <w:r>
        <w:rPr>
          <w:rFonts w:ascii="Times New Roman" w:hAnsi="Times New Roman" w:hint="eastAsia"/>
          <w:szCs w:val="24"/>
        </w:rPr>
        <w:t>，处理达标后用作绿化用水，全部得到了利用；红石湾煤矿产生约</w:t>
      </w:r>
      <w:r>
        <w:rPr>
          <w:rFonts w:ascii="Times New Roman" w:hAnsi="Times New Roman"/>
          <w:szCs w:val="24"/>
        </w:rPr>
        <w:t>130</w:t>
      </w:r>
      <w:r>
        <w:rPr>
          <w:rFonts w:ascii="Times New Roman" w:hAnsi="Times New Roman" w:hint="eastAsia"/>
          <w:szCs w:val="24"/>
        </w:rPr>
        <w:t>m</w:t>
      </w:r>
      <w:r>
        <w:rPr>
          <w:rFonts w:ascii="Times New Roman" w:hAnsi="Times New Roman"/>
          <w:szCs w:val="24"/>
          <w:vertAlign w:val="superscript"/>
        </w:rPr>
        <w:t>3</w:t>
      </w:r>
      <w:r>
        <w:rPr>
          <w:rFonts w:ascii="Times New Roman" w:hAnsi="Times New Roman"/>
          <w:szCs w:val="24"/>
        </w:rPr>
        <w:t>/d</w:t>
      </w:r>
      <w:r>
        <w:rPr>
          <w:rFonts w:ascii="Times New Roman" w:hAnsi="Times New Roman" w:hint="eastAsia"/>
          <w:szCs w:val="24"/>
        </w:rPr>
        <w:t>生活污水，处理达标后作为绿化用水，冬季不能综合利用的全部</w:t>
      </w:r>
      <w:r>
        <w:rPr>
          <w:rFonts w:ascii="Times New Roman" w:hAnsi="Times New Roman"/>
          <w:szCs w:val="24"/>
        </w:rPr>
        <w:t>送</w:t>
      </w:r>
      <w:r>
        <w:rPr>
          <w:rFonts w:ascii="Times New Roman" w:hAnsi="Times New Roman" w:hint="eastAsia"/>
          <w:szCs w:val="24"/>
        </w:rPr>
        <w:t>往</w:t>
      </w:r>
      <w:r>
        <w:rPr>
          <w:rFonts w:ascii="Times New Roman" w:hAnsi="Times New Roman"/>
          <w:szCs w:val="24"/>
        </w:rPr>
        <w:t>生活污水蓄水池暂存，用于夏季绿化</w:t>
      </w:r>
      <w:r>
        <w:rPr>
          <w:rFonts w:ascii="Times New Roman" w:hAnsi="Times New Roman" w:hint="eastAsia"/>
          <w:szCs w:val="24"/>
        </w:rPr>
        <w:t>。</w:t>
      </w:r>
    </w:p>
    <w:p w14:paraId="7C9D1B1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根据以上分析，任家庄、马莲台、红石湾煤矿生活污水处理设施运行良好，产生的生活污水均能根据回用途径全部实际得到综合利用。</w:t>
      </w:r>
    </w:p>
    <w:p w14:paraId="32249B85"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2</w:t>
      </w:r>
      <w:r>
        <w:rPr>
          <w:rFonts w:ascii="Times New Roman" w:hAnsi="Times New Roman" w:hint="eastAsia"/>
          <w:szCs w:val="24"/>
        </w:rPr>
        <w:t>）高矿化度矿井水综合利用途径及可行性分析</w:t>
      </w:r>
    </w:p>
    <w:p w14:paraId="416EFB4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矿区地下水总体矿化度背景值高，各矿井下采煤均疏排高矿化度矿井水，现各矿矿井水产生量分别为：任家庄</w:t>
      </w:r>
      <w:r>
        <w:rPr>
          <w:rFonts w:ascii="Times New Roman" w:hAnsi="Times New Roman" w:hint="eastAsia"/>
          <w:szCs w:val="24"/>
        </w:rPr>
        <w:t>1790m</w:t>
      </w:r>
      <w:r>
        <w:rPr>
          <w:rFonts w:ascii="Times New Roman" w:hAnsi="Times New Roman"/>
          <w:szCs w:val="24"/>
          <w:vertAlign w:val="superscript"/>
        </w:rPr>
        <w:t>3</w:t>
      </w:r>
      <w:r>
        <w:rPr>
          <w:rFonts w:ascii="Times New Roman" w:hAnsi="Times New Roman"/>
          <w:szCs w:val="24"/>
        </w:rPr>
        <w:t>/</w:t>
      </w:r>
      <w:r>
        <w:rPr>
          <w:rFonts w:ascii="Times New Roman" w:hAnsi="Times New Roman" w:hint="eastAsia"/>
          <w:szCs w:val="24"/>
        </w:rPr>
        <w:t>d</w:t>
      </w:r>
      <w:r>
        <w:rPr>
          <w:rFonts w:ascii="Times New Roman" w:hAnsi="Times New Roman" w:hint="eastAsia"/>
          <w:szCs w:val="24"/>
        </w:rPr>
        <w:t>，马莲台</w:t>
      </w:r>
      <w:r>
        <w:rPr>
          <w:rFonts w:ascii="Times New Roman" w:hAnsi="Times New Roman" w:hint="eastAsia"/>
          <w:szCs w:val="24"/>
        </w:rPr>
        <w:t>2561 m</w:t>
      </w:r>
      <w:r>
        <w:rPr>
          <w:rFonts w:ascii="Times New Roman" w:hAnsi="Times New Roman"/>
          <w:szCs w:val="24"/>
          <w:vertAlign w:val="superscript"/>
        </w:rPr>
        <w:t>3</w:t>
      </w:r>
      <w:r>
        <w:rPr>
          <w:rFonts w:ascii="Times New Roman" w:hAnsi="Times New Roman"/>
          <w:szCs w:val="24"/>
        </w:rPr>
        <w:t>/</w:t>
      </w:r>
      <w:r>
        <w:rPr>
          <w:rFonts w:ascii="Times New Roman" w:hAnsi="Times New Roman" w:hint="eastAsia"/>
          <w:szCs w:val="24"/>
        </w:rPr>
        <w:t>d</w:t>
      </w:r>
      <w:r>
        <w:rPr>
          <w:rFonts w:ascii="Times New Roman" w:hAnsi="Times New Roman" w:hint="eastAsia"/>
          <w:szCs w:val="24"/>
        </w:rPr>
        <w:t>，红石湾</w:t>
      </w:r>
      <w:r>
        <w:rPr>
          <w:rFonts w:ascii="Times New Roman" w:hAnsi="Times New Roman" w:hint="eastAsia"/>
          <w:szCs w:val="24"/>
        </w:rPr>
        <w:t>2160m</w:t>
      </w:r>
      <w:r>
        <w:rPr>
          <w:rFonts w:ascii="Times New Roman" w:hAnsi="Times New Roman"/>
          <w:szCs w:val="24"/>
          <w:vertAlign w:val="superscript"/>
        </w:rPr>
        <w:t>3</w:t>
      </w:r>
      <w:r>
        <w:rPr>
          <w:rFonts w:ascii="Times New Roman" w:hAnsi="Times New Roman"/>
          <w:szCs w:val="24"/>
        </w:rPr>
        <w:t>/</w:t>
      </w:r>
      <w:r>
        <w:rPr>
          <w:rFonts w:ascii="Times New Roman" w:hAnsi="Times New Roman" w:hint="eastAsia"/>
          <w:szCs w:val="24"/>
        </w:rPr>
        <w:t>d</w:t>
      </w:r>
      <w:r>
        <w:rPr>
          <w:rFonts w:ascii="Times New Roman" w:hAnsi="Times New Roman" w:hint="eastAsia"/>
          <w:szCs w:val="24"/>
        </w:rPr>
        <w:t>。各煤矿高矿化度矿井水回用情况见表</w:t>
      </w:r>
      <w:r>
        <w:rPr>
          <w:rFonts w:ascii="Times New Roman" w:hAnsi="Times New Roman" w:hint="eastAsia"/>
          <w:szCs w:val="24"/>
        </w:rPr>
        <w:t>4.2-11</w:t>
      </w:r>
      <w:r>
        <w:rPr>
          <w:rFonts w:ascii="Times New Roman" w:hAnsi="Times New Roman" w:hint="eastAsia"/>
          <w:szCs w:val="24"/>
        </w:rPr>
        <w:t>。</w:t>
      </w:r>
    </w:p>
    <w:p w14:paraId="59AADB50" w14:textId="77777777" w:rsidR="009C353B" w:rsidRDefault="00000000">
      <w:pPr>
        <w:adjustRightInd w:val="0"/>
        <w:snapToGrid w:val="0"/>
        <w:spacing w:line="440" w:lineRule="exact"/>
        <w:ind w:firstLineChars="200" w:firstLine="480"/>
        <w:jc w:val="center"/>
        <w:rPr>
          <w:rFonts w:ascii="Times New Roman" w:hAnsi="Times New Roman"/>
          <w:szCs w:val="24"/>
        </w:rPr>
      </w:pPr>
      <w:r>
        <w:rPr>
          <w:rFonts w:ascii="Times New Roman" w:hAnsi="Times New Roman" w:hint="eastAsia"/>
          <w:szCs w:val="24"/>
        </w:rPr>
        <w:t>各煤矿高矿化度矿井水实际产生量、回用量及利用途径</w:t>
      </w:r>
    </w:p>
    <w:p w14:paraId="0AAC63F5" w14:textId="77777777" w:rsidR="009C353B" w:rsidRDefault="00000000">
      <w:pPr>
        <w:adjustRightInd w:val="0"/>
        <w:snapToGrid w:val="0"/>
        <w:spacing w:line="440" w:lineRule="exact"/>
        <w:ind w:firstLineChars="200" w:firstLine="480"/>
        <w:outlineLvl w:val="4"/>
        <w:rPr>
          <w:rFonts w:ascii="Times New Roman" w:hAnsi="Times New Roman"/>
          <w:szCs w:val="24"/>
        </w:rPr>
      </w:pPr>
      <w:r>
        <w:rPr>
          <w:rFonts w:ascii="Times New Roman" w:hAnsi="Times New Roman" w:hint="eastAsia"/>
          <w:szCs w:val="24"/>
        </w:rPr>
        <w:t>表</w:t>
      </w:r>
      <w:r>
        <w:rPr>
          <w:rFonts w:ascii="Times New Roman" w:hAnsi="Times New Roman" w:hint="eastAsia"/>
          <w:szCs w:val="24"/>
        </w:rPr>
        <w:t>4.2-11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134"/>
        <w:gridCol w:w="1417"/>
        <w:gridCol w:w="3645"/>
        <w:gridCol w:w="1066"/>
        <w:gridCol w:w="1066"/>
      </w:tblGrid>
      <w:tr w:rsidR="009C353B" w14:paraId="406F425B" w14:textId="77777777">
        <w:trPr>
          <w:trHeight w:val="285"/>
        </w:trPr>
        <w:tc>
          <w:tcPr>
            <w:tcW w:w="959" w:type="dxa"/>
            <w:shd w:val="clear" w:color="auto" w:fill="auto"/>
            <w:noWrap/>
            <w:vAlign w:val="center"/>
          </w:tcPr>
          <w:p w14:paraId="128363F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煤矿</w:t>
            </w:r>
          </w:p>
        </w:tc>
        <w:tc>
          <w:tcPr>
            <w:tcW w:w="1134" w:type="dxa"/>
            <w:shd w:val="clear" w:color="auto" w:fill="auto"/>
            <w:noWrap/>
            <w:vAlign w:val="center"/>
          </w:tcPr>
          <w:p w14:paraId="559E591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污废水</w:t>
            </w:r>
          </w:p>
        </w:tc>
        <w:tc>
          <w:tcPr>
            <w:tcW w:w="1417" w:type="dxa"/>
            <w:shd w:val="clear" w:color="auto" w:fill="auto"/>
            <w:noWrap/>
            <w:vAlign w:val="center"/>
          </w:tcPr>
          <w:p w14:paraId="36CC8BD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实际</w:t>
            </w:r>
            <w:r>
              <w:rPr>
                <w:rFonts w:ascii="Times New Roman" w:hAnsi="Times New Roman"/>
                <w:kern w:val="0"/>
                <w:sz w:val="21"/>
                <w:szCs w:val="21"/>
              </w:rPr>
              <w:t>产生量（</w:t>
            </w:r>
            <w:r>
              <w:rPr>
                <w:rFonts w:ascii="Times New Roman" w:hAnsi="Times New Roman" w:hint="eastAsia"/>
                <w:kern w:val="0"/>
                <w:sz w:val="21"/>
                <w:szCs w:val="21"/>
              </w:rPr>
              <w:t>m</w:t>
            </w:r>
            <w:r>
              <w:rPr>
                <w:rFonts w:ascii="Times New Roman" w:hAnsi="Times New Roman"/>
                <w:kern w:val="0"/>
                <w:sz w:val="21"/>
                <w:szCs w:val="21"/>
                <w:vertAlign w:val="superscript"/>
              </w:rPr>
              <w:t>3</w:t>
            </w:r>
            <w:r>
              <w:rPr>
                <w:rFonts w:ascii="Times New Roman" w:hAnsi="Times New Roman"/>
                <w:kern w:val="0"/>
                <w:sz w:val="21"/>
                <w:szCs w:val="21"/>
              </w:rPr>
              <w:t>/</w:t>
            </w:r>
            <w:r>
              <w:rPr>
                <w:rFonts w:ascii="Times New Roman" w:hAnsi="Times New Roman" w:hint="eastAsia"/>
                <w:kern w:val="0"/>
                <w:sz w:val="21"/>
                <w:szCs w:val="21"/>
              </w:rPr>
              <w:t>d</w:t>
            </w:r>
            <w:r>
              <w:rPr>
                <w:rFonts w:ascii="Times New Roman" w:hAnsi="Times New Roman"/>
                <w:kern w:val="0"/>
                <w:sz w:val="21"/>
                <w:szCs w:val="21"/>
              </w:rPr>
              <w:t>）</w:t>
            </w:r>
          </w:p>
        </w:tc>
        <w:tc>
          <w:tcPr>
            <w:tcW w:w="3645" w:type="dxa"/>
            <w:shd w:val="clear" w:color="auto" w:fill="auto"/>
            <w:noWrap/>
            <w:vAlign w:val="center"/>
          </w:tcPr>
          <w:p w14:paraId="601D91B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利用途径</w:t>
            </w:r>
          </w:p>
        </w:tc>
        <w:tc>
          <w:tcPr>
            <w:tcW w:w="1066" w:type="dxa"/>
            <w:shd w:val="clear" w:color="auto" w:fill="auto"/>
            <w:noWrap/>
            <w:vAlign w:val="center"/>
          </w:tcPr>
          <w:p w14:paraId="696B244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实际</w:t>
            </w:r>
            <w:r>
              <w:rPr>
                <w:rFonts w:ascii="Times New Roman" w:hAnsi="Times New Roman"/>
                <w:kern w:val="0"/>
                <w:sz w:val="21"/>
                <w:szCs w:val="21"/>
              </w:rPr>
              <w:t>回用量（</w:t>
            </w:r>
            <w:r>
              <w:rPr>
                <w:rFonts w:ascii="Times New Roman" w:hAnsi="Times New Roman" w:hint="eastAsia"/>
                <w:kern w:val="0"/>
                <w:sz w:val="21"/>
                <w:szCs w:val="21"/>
              </w:rPr>
              <w:t>m</w:t>
            </w:r>
            <w:r>
              <w:rPr>
                <w:rFonts w:ascii="Times New Roman" w:hAnsi="Times New Roman"/>
                <w:kern w:val="0"/>
                <w:sz w:val="21"/>
                <w:szCs w:val="21"/>
                <w:vertAlign w:val="superscript"/>
              </w:rPr>
              <w:t>3</w:t>
            </w:r>
            <w:r>
              <w:rPr>
                <w:rFonts w:ascii="Times New Roman" w:hAnsi="Times New Roman"/>
                <w:kern w:val="0"/>
                <w:sz w:val="21"/>
                <w:szCs w:val="21"/>
              </w:rPr>
              <w:t>/</w:t>
            </w:r>
            <w:r>
              <w:rPr>
                <w:rFonts w:ascii="Times New Roman" w:hAnsi="Times New Roman" w:hint="eastAsia"/>
                <w:kern w:val="0"/>
                <w:sz w:val="21"/>
                <w:szCs w:val="21"/>
              </w:rPr>
              <w:t>d</w:t>
            </w:r>
            <w:r>
              <w:rPr>
                <w:rFonts w:ascii="Times New Roman" w:hAnsi="Times New Roman"/>
                <w:kern w:val="0"/>
                <w:sz w:val="21"/>
                <w:szCs w:val="21"/>
              </w:rPr>
              <w:t>）</w:t>
            </w:r>
          </w:p>
        </w:tc>
        <w:tc>
          <w:tcPr>
            <w:tcW w:w="1066" w:type="dxa"/>
            <w:shd w:val="clear" w:color="auto" w:fill="auto"/>
            <w:noWrap/>
            <w:vAlign w:val="center"/>
          </w:tcPr>
          <w:p w14:paraId="4E5C27C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剩余量（</w:t>
            </w:r>
            <w:r>
              <w:rPr>
                <w:rFonts w:ascii="Times New Roman" w:hAnsi="Times New Roman" w:hint="eastAsia"/>
                <w:kern w:val="0"/>
                <w:sz w:val="21"/>
                <w:szCs w:val="21"/>
              </w:rPr>
              <w:t>m</w:t>
            </w:r>
            <w:r>
              <w:rPr>
                <w:rFonts w:ascii="Times New Roman" w:hAnsi="Times New Roman"/>
                <w:kern w:val="0"/>
                <w:sz w:val="21"/>
                <w:szCs w:val="21"/>
                <w:vertAlign w:val="superscript"/>
              </w:rPr>
              <w:t>3</w:t>
            </w:r>
            <w:r>
              <w:rPr>
                <w:rFonts w:ascii="Times New Roman" w:hAnsi="Times New Roman"/>
                <w:kern w:val="0"/>
                <w:sz w:val="21"/>
                <w:szCs w:val="21"/>
              </w:rPr>
              <w:t>/</w:t>
            </w:r>
            <w:r>
              <w:rPr>
                <w:rFonts w:ascii="Times New Roman" w:hAnsi="Times New Roman" w:hint="eastAsia"/>
                <w:kern w:val="0"/>
                <w:sz w:val="21"/>
                <w:szCs w:val="21"/>
              </w:rPr>
              <w:t>d</w:t>
            </w:r>
            <w:r>
              <w:rPr>
                <w:rFonts w:ascii="Times New Roman" w:hAnsi="Times New Roman"/>
                <w:kern w:val="0"/>
                <w:sz w:val="21"/>
                <w:szCs w:val="21"/>
              </w:rPr>
              <w:t>）</w:t>
            </w:r>
          </w:p>
        </w:tc>
      </w:tr>
      <w:tr w:rsidR="009C353B" w14:paraId="6F0AEE27" w14:textId="77777777">
        <w:trPr>
          <w:trHeight w:val="285"/>
        </w:trPr>
        <w:tc>
          <w:tcPr>
            <w:tcW w:w="959" w:type="dxa"/>
            <w:shd w:val="clear" w:color="auto" w:fill="auto"/>
            <w:noWrap/>
            <w:vAlign w:val="center"/>
          </w:tcPr>
          <w:p w14:paraId="07516BF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任家庄</w:t>
            </w:r>
          </w:p>
        </w:tc>
        <w:tc>
          <w:tcPr>
            <w:tcW w:w="1134" w:type="dxa"/>
            <w:shd w:val="clear" w:color="auto" w:fill="auto"/>
            <w:noWrap/>
            <w:vAlign w:val="center"/>
          </w:tcPr>
          <w:p w14:paraId="59A77A1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矿井水</w:t>
            </w:r>
          </w:p>
        </w:tc>
        <w:tc>
          <w:tcPr>
            <w:tcW w:w="1417" w:type="dxa"/>
            <w:shd w:val="clear" w:color="auto" w:fill="auto"/>
            <w:noWrap/>
            <w:vAlign w:val="center"/>
          </w:tcPr>
          <w:p w14:paraId="0904516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1790</w:t>
            </w:r>
          </w:p>
        </w:tc>
        <w:tc>
          <w:tcPr>
            <w:tcW w:w="3645" w:type="dxa"/>
            <w:shd w:val="clear" w:color="auto" w:fill="auto"/>
            <w:noWrap/>
            <w:vAlign w:val="center"/>
          </w:tcPr>
          <w:p w14:paraId="05B4807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井下巷道降尘，储煤场及矸石场降尘、洗煤厂补充水、井下工作面采煤设备冷却水、生产、地面绿化等</w:t>
            </w:r>
          </w:p>
        </w:tc>
        <w:tc>
          <w:tcPr>
            <w:tcW w:w="1066" w:type="dxa"/>
            <w:shd w:val="clear" w:color="auto" w:fill="auto"/>
            <w:noWrap/>
            <w:vAlign w:val="center"/>
          </w:tcPr>
          <w:p w14:paraId="78B2169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1790</w:t>
            </w:r>
          </w:p>
        </w:tc>
        <w:tc>
          <w:tcPr>
            <w:tcW w:w="1066" w:type="dxa"/>
            <w:shd w:val="clear" w:color="auto" w:fill="auto"/>
            <w:noWrap/>
            <w:vAlign w:val="center"/>
          </w:tcPr>
          <w:p w14:paraId="6319C79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w:t>
            </w:r>
          </w:p>
        </w:tc>
      </w:tr>
      <w:tr w:rsidR="009C353B" w14:paraId="09B19B4D" w14:textId="77777777">
        <w:trPr>
          <w:trHeight w:val="285"/>
        </w:trPr>
        <w:tc>
          <w:tcPr>
            <w:tcW w:w="959" w:type="dxa"/>
            <w:shd w:val="clear" w:color="auto" w:fill="auto"/>
            <w:noWrap/>
            <w:vAlign w:val="center"/>
          </w:tcPr>
          <w:p w14:paraId="115F498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马莲台</w:t>
            </w:r>
          </w:p>
        </w:tc>
        <w:tc>
          <w:tcPr>
            <w:tcW w:w="1134" w:type="dxa"/>
            <w:shd w:val="clear" w:color="auto" w:fill="auto"/>
            <w:noWrap/>
            <w:vAlign w:val="center"/>
          </w:tcPr>
          <w:p w14:paraId="0F938CB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矿井水</w:t>
            </w:r>
          </w:p>
        </w:tc>
        <w:tc>
          <w:tcPr>
            <w:tcW w:w="1417" w:type="dxa"/>
            <w:shd w:val="clear" w:color="auto" w:fill="auto"/>
            <w:noWrap/>
            <w:vAlign w:val="center"/>
          </w:tcPr>
          <w:p w14:paraId="2A8B155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2561</w:t>
            </w:r>
          </w:p>
        </w:tc>
        <w:tc>
          <w:tcPr>
            <w:tcW w:w="3645" w:type="dxa"/>
            <w:shd w:val="clear" w:color="auto" w:fill="auto"/>
            <w:noWrap/>
            <w:vAlign w:val="center"/>
          </w:tcPr>
          <w:p w14:paraId="34BD720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处理后用于选煤厂洗煤</w:t>
            </w:r>
          </w:p>
        </w:tc>
        <w:tc>
          <w:tcPr>
            <w:tcW w:w="1066" w:type="dxa"/>
            <w:shd w:val="clear" w:color="auto" w:fill="auto"/>
            <w:noWrap/>
            <w:vAlign w:val="center"/>
          </w:tcPr>
          <w:p w14:paraId="62CD74A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2561</w:t>
            </w:r>
          </w:p>
        </w:tc>
        <w:tc>
          <w:tcPr>
            <w:tcW w:w="1066" w:type="dxa"/>
            <w:shd w:val="clear" w:color="auto" w:fill="auto"/>
            <w:noWrap/>
            <w:vAlign w:val="center"/>
          </w:tcPr>
          <w:p w14:paraId="7F01F8C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w:t>
            </w:r>
          </w:p>
        </w:tc>
      </w:tr>
      <w:tr w:rsidR="009C353B" w14:paraId="2CAA883F" w14:textId="77777777">
        <w:trPr>
          <w:trHeight w:val="285"/>
        </w:trPr>
        <w:tc>
          <w:tcPr>
            <w:tcW w:w="959" w:type="dxa"/>
            <w:shd w:val="clear" w:color="auto" w:fill="auto"/>
            <w:noWrap/>
            <w:vAlign w:val="center"/>
          </w:tcPr>
          <w:p w14:paraId="7D9F84A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红石湾</w:t>
            </w:r>
          </w:p>
        </w:tc>
        <w:tc>
          <w:tcPr>
            <w:tcW w:w="1134" w:type="dxa"/>
            <w:shd w:val="clear" w:color="auto" w:fill="auto"/>
            <w:noWrap/>
            <w:vAlign w:val="center"/>
          </w:tcPr>
          <w:p w14:paraId="6BB0F6E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矿井水</w:t>
            </w:r>
          </w:p>
        </w:tc>
        <w:tc>
          <w:tcPr>
            <w:tcW w:w="1417" w:type="dxa"/>
            <w:shd w:val="clear" w:color="auto" w:fill="auto"/>
            <w:noWrap/>
            <w:vAlign w:val="center"/>
          </w:tcPr>
          <w:p w14:paraId="7EFCB5A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2160</w:t>
            </w:r>
          </w:p>
        </w:tc>
        <w:tc>
          <w:tcPr>
            <w:tcW w:w="3645" w:type="dxa"/>
            <w:shd w:val="clear" w:color="auto" w:fill="auto"/>
            <w:noWrap/>
            <w:vAlign w:val="center"/>
          </w:tcPr>
          <w:p w14:paraId="3FD2FC9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用于地面及井下生产、洒水抑尘</w:t>
            </w:r>
            <w:r>
              <w:rPr>
                <w:rFonts w:ascii="Times New Roman" w:hAnsi="Times New Roman" w:hint="eastAsia"/>
                <w:kern w:val="0"/>
                <w:sz w:val="21"/>
                <w:szCs w:val="21"/>
              </w:rPr>
              <w:t>、黄泥灌浆用水</w:t>
            </w:r>
            <w:r>
              <w:rPr>
                <w:rFonts w:ascii="Times New Roman" w:hAnsi="Times New Roman"/>
                <w:kern w:val="0"/>
                <w:sz w:val="21"/>
                <w:szCs w:val="21"/>
              </w:rPr>
              <w:t>等</w:t>
            </w:r>
          </w:p>
        </w:tc>
        <w:tc>
          <w:tcPr>
            <w:tcW w:w="1066" w:type="dxa"/>
            <w:shd w:val="clear" w:color="auto" w:fill="auto"/>
            <w:noWrap/>
            <w:vAlign w:val="center"/>
          </w:tcPr>
          <w:p w14:paraId="1C3072F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2160</w:t>
            </w:r>
          </w:p>
        </w:tc>
        <w:tc>
          <w:tcPr>
            <w:tcW w:w="1066" w:type="dxa"/>
            <w:shd w:val="clear" w:color="auto" w:fill="auto"/>
            <w:noWrap/>
            <w:vAlign w:val="center"/>
          </w:tcPr>
          <w:p w14:paraId="09B62B5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w:t>
            </w:r>
          </w:p>
        </w:tc>
      </w:tr>
    </w:tbl>
    <w:p w14:paraId="25399D3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任家庄煤矿高矿化度矿井疏排水实际产生量约</w:t>
      </w:r>
      <w:r>
        <w:rPr>
          <w:rFonts w:ascii="Times New Roman" w:hAnsi="Times New Roman"/>
          <w:szCs w:val="24"/>
        </w:rPr>
        <w:t>1790m</w:t>
      </w:r>
      <w:r>
        <w:rPr>
          <w:rFonts w:ascii="Times New Roman" w:hAnsi="Times New Roman"/>
          <w:szCs w:val="24"/>
          <w:vertAlign w:val="superscript"/>
        </w:rPr>
        <w:t>3</w:t>
      </w:r>
      <w:r>
        <w:rPr>
          <w:rFonts w:ascii="Times New Roman" w:hAnsi="Times New Roman"/>
          <w:szCs w:val="24"/>
        </w:rPr>
        <w:t>/d</w:t>
      </w:r>
      <w:r>
        <w:rPr>
          <w:rFonts w:ascii="Times New Roman" w:hAnsi="Times New Roman" w:hint="eastAsia"/>
          <w:szCs w:val="24"/>
        </w:rPr>
        <w:t>，经混凝沉淀处理后，部分回用于井下巷道降尘，储煤场及矸石场降尘、洗煤厂补充水，剩余部分经反渗透处理达标后作为井下工作面采煤设备冷却水、生产、地面绿化等。由实际回用量及剩余量数据，任家庄煤矿高矿化度井下涌水全部进行了综合利用。</w:t>
      </w:r>
    </w:p>
    <w:p w14:paraId="2E51605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马莲台煤矿高矿化度矿井疏排水实际产生量约</w:t>
      </w:r>
      <w:r>
        <w:rPr>
          <w:rFonts w:ascii="Times New Roman" w:hAnsi="Times New Roman"/>
          <w:szCs w:val="24"/>
        </w:rPr>
        <w:t>2561m</w:t>
      </w:r>
      <w:r>
        <w:rPr>
          <w:rFonts w:ascii="Times New Roman" w:hAnsi="Times New Roman"/>
          <w:szCs w:val="24"/>
          <w:vertAlign w:val="superscript"/>
        </w:rPr>
        <w:t>3</w:t>
      </w:r>
      <w:r>
        <w:rPr>
          <w:rFonts w:ascii="Times New Roman" w:hAnsi="Times New Roman"/>
          <w:szCs w:val="24"/>
        </w:rPr>
        <w:t>/d</w:t>
      </w:r>
      <w:r>
        <w:rPr>
          <w:rFonts w:ascii="Times New Roman" w:hAnsi="Times New Roman" w:hint="eastAsia"/>
          <w:szCs w:val="24"/>
        </w:rPr>
        <w:t>，矿井水经宁夏宝丰能源集团股份有限公司选煤厂沉淀池处理后用于选煤厂洗煤，选煤厂规模为</w:t>
      </w:r>
      <w:r>
        <w:rPr>
          <w:rFonts w:ascii="Times New Roman" w:hAnsi="Times New Roman" w:hint="eastAsia"/>
          <w:szCs w:val="24"/>
        </w:rPr>
        <w:t>10</w:t>
      </w:r>
      <w:r>
        <w:rPr>
          <w:rFonts w:ascii="Times New Roman" w:hAnsi="Times New Roman"/>
          <w:szCs w:val="24"/>
        </w:rPr>
        <w:t>.0M</w:t>
      </w:r>
      <w:r>
        <w:rPr>
          <w:rFonts w:ascii="Times New Roman" w:hAnsi="Times New Roman" w:hint="eastAsia"/>
          <w:szCs w:val="24"/>
        </w:rPr>
        <w:t>t</w:t>
      </w:r>
      <w:r>
        <w:rPr>
          <w:rFonts w:ascii="Times New Roman" w:hAnsi="Times New Roman"/>
          <w:szCs w:val="24"/>
        </w:rPr>
        <w:t>/a</w:t>
      </w:r>
      <w:r>
        <w:rPr>
          <w:rFonts w:ascii="Times New Roman" w:hAnsi="Times New Roman" w:hint="eastAsia"/>
          <w:szCs w:val="24"/>
        </w:rPr>
        <w:t>，产生的矿井水处理后均能用于洗煤。由实际回用量及剩余量数据，马莲台煤矿高矿化度井下涌水全部进行了综合利用。</w:t>
      </w:r>
    </w:p>
    <w:p w14:paraId="02EA7C4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红石湾煤矿高矿化度矿井疏排水实际产生量约</w:t>
      </w:r>
      <w:r>
        <w:rPr>
          <w:rFonts w:ascii="Times New Roman" w:hAnsi="Times New Roman" w:hint="eastAsia"/>
          <w:szCs w:val="24"/>
        </w:rPr>
        <w:t>2160</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/d</w:t>
      </w:r>
      <w:r>
        <w:rPr>
          <w:rFonts w:ascii="Times New Roman" w:hAnsi="Times New Roman" w:hint="eastAsia"/>
          <w:szCs w:val="24"/>
        </w:rPr>
        <w:t>矿井水，采用混凝</w:t>
      </w:r>
      <w:r>
        <w:rPr>
          <w:rFonts w:ascii="Times New Roman" w:hAnsi="Times New Roman"/>
          <w:szCs w:val="24"/>
        </w:rPr>
        <w:t>+</w:t>
      </w:r>
      <w:r>
        <w:rPr>
          <w:rFonts w:ascii="Times New Roman" w:hAnsi="Times New Roman"/>
          <w:szCs w:val="24"/>
        </w:rPr>
        <w:t>沉淀</w:t>
      </w:r>
      <w:r>
        <w:rPr>
          <w:rFonts w:ascii="Times New Roman" w:hAnsi="Times New Roman"/>
          <w:szCs w:val="24"/>
        </w:rPr>
        <w:t>”</w:t>
      </w:r>
      <w:r>
        <w:rPr>
          <w:rFonts w:ascii="Times New Roman" w:hAnsi="Times New Roman"/>
          <w:szCs w:val="24"/>
        </w:rPr>
        <w:t>处理工艺进行处理</w:t>
      </w:r>
      <w:r>
        <w:rPr>
          <w:rFonts w:ascii="Times New Roman" w:hAnsi="Times New Roman" w:hint="eastAsia"/>
          <w:szCs w:val="24"/>
        </w:rPr>
        <w:t>，处理后用于地面及井下生产、洒水抑尘、黄泥灌浆用水等，由实际回用量及剩余量数据，红石湾煤矿高矿化度井下涌水全部进行了综合利用。</w:t>
      </w:r>
    </w:p>
    <w:p w14:paraId="78AF1F0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根据以上各矿高矿化度矿井水回用情况及实地调查，任家庄、马莲台、红石湾矿井水处理设施运行良好，各矿对矿井水均全部进行了综合利用，各矿矿井水矿化度稍高，</w:t>
      </w:r>
      <w:r>
        <w:rPr>
          <w:rFonts w:ascii="Times New Roman" w:hAnsi="Times New Roman"/>
          <w:szCs w:val="24"/>
        </w:rPr>
        <w:t>其中</w:t>
      </w:r>
      <w:r>
        <w:rPr>
          <w:rFonts w:ascii="Times New Roman" w:hAnsi="Times New Roman" w:hint="eastAsia"/>
          <w:szCs w:val="24"/>
        </w:rPr>
        <w:t>任家庄煤矿对矿井水进行了脱盐处理后综合利用，</w:t>
      </w:r>
      <w:r>
        <w:rPr>
          <w:rFonts w:ascii="Times New Roman" w:hAnsi="Times New Roman"/>
          <w:szCs w:val="24"/>
        </w:rPr>
        <w:t>马</w:t>
      </w:r>
      <w:r>
        <w:rPr>
          <w:rFonts w:ascii="Times New Roman" w:hAnsi="Times New Roman" w:hint="eastAsia"/>
          <w:szCs w:val="24"/>
        </w:rPr>
        <w:t>莲台煤矿矿井水全部用于选煤厂作为生产用水综合利用。红石湾矿井水未进行脱盐处理，</w:t>
      </w:r>
      <w:r>
        <w:rPr>
          <w:rFonts w:ascii="Times New Roman" w:hAnsi="Times New Roman"/>
          <w:szCs w:val="24"/>
        </w:rPr>
        <w:t>有</w:t>
      </w:r>
      <w:r>
        <w:rPr>
          <w:rFonts w:ascii="Times New Roman" w:hAnsi="Times New Roman" w:hint="eastAsia"/>
          <w:szCs w:val="24"/>
        </w:rPr>
        <w:t>部分用于绿化洒水，</w:t>
      </w:r>
      <w:r>
        <w:rPr>
          <w:rFonts w:ascii="Times New Roman" w:hAnsi="Times New Roman"/>
          <w:szCs w:val="24"/>
        </w:rPr>
        <w:t>不能</w:t>
      </w:r>
      <w:r>
        <w:rPr>
          <w:rFonts w:ascii="Times New Roman" w:hAnsi="Times New Roman" w:hint="eastAsia"/>
          <w:szCs w:val="24"/>
        </w:rPr>
        <w:t>满足绿化洒水水质要求，不合理，</w:t>
      </w:r>
      <w:r>
        <w:rPr>
          <w:rFonts w:ascii="Times New Roman" w:hAnsi="Times New Roman"/>
          <w:szCs w:val="24"/>
        </w:rPr>
        <w:t>建议</w:t>
      </w:r>
      <w:r>
        <w:rPr>
          <w:rFonts w:ascii="Times New Roman" w:hAnsi="Times New Roman" w:hint="eastAsia"/>
          <w:szCs w:val="24"/>
        </w:rPr>
        <w:t>后续根据分质用水要求，进行脱盐处理，</w:t>
      </w:r>
      <w:r>
        <w:rPr>
          <w:rFonts w:ascii="Times New Roman" w:hAnsi="Times New Roman"/>
          <w:szCs w:val="24"/>
        </w:rPr>
        <w:t>用于</w:t>
      </w:r>
      <w:r>
        <w:rPr>
          <w:rFonts w:ascii="Times New Roman" w:hAnsi="Times New Roman" w:hint="eastAsia"/>
          <w:szCs w:val="24"/>
        </w:rPr>
        <w:t>绿化洒水的矿井水水质应满足矿化度小于</w:t>
      </w:r>
      <w:r>
        <w:rPr>
          <w:rFonts w:ascii="Times New Roman" w:hAnsi="Times New Roman" w:hint="eastAsia"/>
          <w:szCs w:val="24"/>
        </w:rPr>
        <w:t>1000mg/L</w:t>
      </w:r>
      <w:r>
        <w:rPr>
          <w:rFonts w:ascii="Times New Roman" w:hAnsi="Times New Roman" w:hint="eastAsia"/>
          <w:szCs w:val="24"/>
        </w:rPr>
        <w:t>要求，</w:t>
      </w:r>
      <w:r>
        <w:rPr>
          <w:rFonts w:ascii="Times New Roman" w:hAnsi="Times New Roman"/>
          <w:szCs w:val="24"/>
        </w:rPr>
        <w:t>避免</w:t>
      </w:r>
      <w:r>
        <w:rPr>
          <w:rFonts w:ascii="Times New Roman" w:hAnsi="Times New Roman" w:hint="eastAsia"/>
          <w:szCs w:val="24"/>
        </w:rPr>
        <w:t>洒水矿化度高影响外环境。</w:t>
      </w:r>
    </w:p>
    <w:p w14:paraId="71469BA6" w14:textId="77777777" w:rsidR="009C353B" w:rsidRDefault="009C353B">
      <w:pPr>
        <w:adjustRightInd w:val="0"/>
        <w:snapToGrid w:val="0"/>
        <w:spacing w:line="440" w:lineRule="exact"/>
        <w:rPr>
          <w:rFonts w:ascii="Times New Roman" w:hAnsi="Times New Roman"/>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96"/>
        <w:gridCol w:w="4197"/>
      </w:tblGrid>
      <w:tr w:rsidR="009C353B" w14:paraId="62FAA5ED" w14:textId="77777777">
        <w:trPr>
          <w:trHeight w:val="277"/>
          <w:jc w:val="center"/>
        </w:trPr>
        <w:tc>
          <w:tcPr>
            <w:tcW w:w="4196" w:type="dxa"/>
            <w:tcBorders>
              <w:top w:val="single" w:sz="4" w:space="0" w:color="auto"/>
              <w:left w:val="single" w:sz="4" w:space="0" w:color="auto"/>
              <w:bottom w:val="single" w:sz="4" w:space="0" w:color="auto"/>
              <w:right w:val="single" w:sz="4" w:space="0" w:color="auto"/>
            </w:tcBorders>
            <w:vAlign w:val="center"/>
          </w:tcPr>
          <w:p w14:paraId="3CCE1821" w14:textId="77777777" w:rsidR="009C353B" w:rsidRDefault="00000000">
            <w:pPr>
              <w:adjustRightInd w:val="0"/>
              <w:snapToGrid w:val="0"/>
              <w:jc w:val="center"/>
              <w:rPr>
                <w:rFonts w:ascii="Times New Roman" w:hAnsi="Times New Roman"/>
              </w:rPr>
            </w:pPr>
            <w:r>
              <w:rPr>
                <w:rFonts w:ascii="Times New Roman" w:hAnsi="Times New Roman"/>
                <w:noProof/>
              </w:rPr>
              <w:drawing>
                <wp:inline distT="0" distB="0" distL="0" distR="0" wp14:anchorId="3F3D5006" wp14:editId="2E33C7EE">
                  <wp:extent cx="2527300" cy="2286000"/>
                  <wp:effectExtent l="0" t="0" r="635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2527300" cy="2286000"/>
                          </a:xfrm>
                          <a:prstGeom prst="rect">
                            <a:avLst/>
                          </a:prstGeom>
                        </pic:spPr>
                      </pic:pic>
                    </a:graphicData>
                  </a:graphic>
                </wp:inline>
              </w:drawing>
            </w:r>
          </w:p>
        </w:tc>
        <w:tc>
          <w:tcPr>
            <w:tcW w:w="4197" w:type="dxa"/>
            <w:tcBorders>
              <w:top w:val="single" w:sz="4" w:space="0" w:color="auto"/>
              <w:left w:val="single" w:sz="4" w:space="0" w:color="auto"/>
              <w:bottom w:val="single" w:sz="4" w:space="0" w:color="auto"/>
              <w:right w:val="single" w:sz="4" w:space="0" w:color="auto"/>
            </w:tcBorders>
            <w:vAlign w:val="center"/>
          </w:tcPr>
          <w:p w14:paraId="49808853" w14:textId="77777777" w:rsidR="009C353B" w:rsidRDefault="00000000">
            <w:pPr>
              <w:adjustRightInd w:val="0"/>
              <w:snapToGrid w:val="0"/>
              <w:jc w:val="center"/>
              <w:rPr>
                <w:rFonts w:ascii="Times New Roman" w:hAnsi="Times New Roman"/>
              </w:rPr>
            </w:pPr>
            <w:r>
              <w:rPr>
                <w:rFonts w:ascii="Times New Roman" w:hAnsi="Times New Roman"/>
                <w:noProof/>
              </w:rPr>
              <w:drawing>
                <wp:inline distT="0" distB="0" distL="0" distR="0" wp14:anchorId="1389AF75" wp14:editId="241CE59C">
                  <wp:extent cx="2527935" cy="2266950"/>
                  <wp:effectExtent l="0" t="0" r="571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2527935" cy="2266950"/>
                          </a:xfrm>
                          <a:prstGeom prst="rect">
                            <a:avLst/>
                          </a:prstGeom>
                        </pic:spPr>
                      </pic:pic>
                    </a:graphicData>
                  </a:graphic>
                </wp:inline>
              </w:drawing>
            </w:r>
          </w:p>
        </w:tc>
      </w:tr>
      <w:tr w:rsidR="009C353B" w14:paraId="297CB4EB" w14:textId="77777777">
        <w:trPr>
          <w:trHeight w:val="277"/>
          <w:jc w:val="center"/>
        </w:trPr>
        <w:tc>
          <w:tcPr>
            <w:tcW w:w="4196" w:type="dxa"/>
            <w:tcBorders>
              <w:top w:val="single" w:sz="4" w:space="0" w:color="auto"/>
              <w:left w:val="single" w:sz="4" w:space="0" w:color="auto"/>
              <w:bottom w:val="single" w:sz="4" w:space="0" w:color="auto"/>
              <w:right w:val="single" w:sz="4" w:space="0" w:color="auto"/>
            </w:tcBorders>
            <w:vAlign w:val="center"/>
          </w:tcPr>
          <w:p w14:paraId="44BC63C4" w14:textId="77777777" w:rsidR="009C353B" w:rsidRDefault="00000000">
            <w:pPr>
              <w:adjustRightInd w:val="0"/>
              <w:snapToGrid w:val="0"/>
              <w:jc w:val="center"/>
              <w:rPr>
                <w:rFonts w:ascii="Times New Roman" w:hAnsi="Times New Roman"/>
                <w:b/>
                <w:bCs/>
              </w:rPr>
            </w:pPr>
            <w:r>
              <w:rPr>
                <w:rFonts w:ascii="Times New Roman" w:hAnsi="Times New Roman" w:hint="eastAsia"/>
                <w:b/>
                <w:bCs/>
              </w:rPr>
              <w:t>红石湾生活污水处理工艺流程</w:t>
            </w:r>
          </w:p>
        </w:tc>
        <w:tc>
          <w:tcPr>
            <w:tcW w:w="4197" w:type="dxa"/>
            <w:tcBorders>
              <w:top w:val="single" w:sz="4" w:space="0" w:color="auto"/>
              <w:left w:val="single" w:sz="4" w:space="0" w:color="auto"/>
              <w:bottom w:val="single" w:sz="4" w:space="0" w:color="auto"/>
              <w:right w:val="single" w:sz="4" w:space="0" w:color="auto"/>
            </w:tcBorders>
            <w:vAlign w:val="center"/>
          </w:tcPr>
          <w:p w14:paraId="0A4C3AE9" w14:textId="77777777" w:rsidR="009C353B" w:rsidRDefault="00000000">
            <w:pPr>
              <w:adjustRightInd w:val="0"/>
              <w:snapToGrid w:val="0"/>
              <w:jc w:val="center"/>
              <w:rPr>
                <w:rFonts w:ascii="Times New Roman" w:hAnsi="Times New Roman"/>
                <w:b/>
                <w:bCs/>
              </w:rPr>
            </w:pPr>
            <w:r>
              <w:rPr>
                <w:rFonts w:ascii="Times New Roman" w:hAnsi="Times New Roman" w:hint="eastAsia"/>
                <w:b/>
                <w:bCs/>
              </w:rPr>
              <w:t>红石湾矿井水处理工艺流程</w:t>
            </w:r>
          </w:p>
        </w:tc>
      </w:tr>
      <w:tr w:rsidR="009C353B" w14:paraId="7FD5F12E" w14:textId="77777777">
        <w:trPr>
          <w:trHeight w:val="277"/>
          <w:jc w:val="center"/>
        </w:trPr>
        <w:tc>
          <w:tcPr>
            <w:tcW w:w="4196" w:type="dxa"/>
            <w:tcBorders>
              <w:top w:val="single" w:sz="4" w:space="0" w:color="auto"/>
              <w:left w:val="single" w:sz="4" w:space="0" w:color="auto"/>
              <w:bottom w:val="single" w:sz="4" w:space="0" w:color="auto"/>
              <w:right w:val="single" w:sz="4" w:space="0" w:color="auto"/>
            </w:tcBorders>
            <w:vAlign w:val="center"/>
          </w:tcPr>
          <w:p w14:paraId="30355EA8" w14:textId="77777777" w:rsidR="009C353B" w:rsidRDefault="00000000">
            <w:pPr>
              <w:adjustRightInd w:val="0"/>
              <w:snapToGrid w:val="0"/>
              <w:jc w:val="center"/>
              <w:rPr>
                <w:rFonts w:hint="eastAsia"/>
                <w:b/>
              </w:rPr>
            </w:pPr>
            <w:r>
              <w:rPr>
                <w:rFonts w:ascii="Times New Roman" w:hAnsi="Times New Roman"/>
                <w:noProof/>
              </w:rPr>
              <w:drawing>
                <wp:inline distT="0" distB="0" distL="0" distR="0" wp14:anchorId="03A15DCE" wp14:editId="609849ED">
                  <wp:extent cx="2409825" cy="238379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a:xfrm>
                            <a:off x="0" y="0"/>
                            <a:ext cx="2433630" cy="2407782"/>
                          </a:xfrm>
                          <a:prstGeom prst="rect">
                            <a:avLst/>
                          </a:prstGeom>
                          <a:noFill/>
                          <a:ln>
                            <a:noFill/>
                          </a:ln>
                        </pic:spPr>
                      </pic:pic>
                    </a:graphicData>
                  </a:graphic>
                </wp:inline>
              </w:drawing>
            </w:r>
          </w:p>
        </w:tc>
        <w:tc>
          <w:tcPr>
            <w:tcW w:w="4197" w:type="dxa"/>
            <w:tcBorders>
              <w:top w:val="single" w:sz="4" w:space="0" w:color="auto"/>
              <w:left w:val="single" w:sz="4" w:space="0" w:color="auto"/>
              <w:bottom w:val="single" w:sz="4" w:space="0" w:color="auto"/>
              <w:right w:val="single" w:sz="4" w:space="0" w:color="auto"/>
            </w:tcBorders>
            <w:vAlign w:val="center"/>
          </w:tcPr>
          <w:p w14:paraId="0A7D3138" w14:textId="77777777" w:rsidR="009C353B" w:rsidRDefault="00000000">
            <w:pPr>
              <w:adjustRightInd w:val="0"/>
              <w:snapToGrid w:val="0"/>
              <w:jc w:val="center"/>
              <w:rPr>
                <w:rFonts w:hint="eastAsia"/>
                <w:b/>
              </w:rPr>
            </w:pPr>
            <w:r>
              <w:rPr>
                <w:rFonts w:ascii="Times New Roman" w:hAnsi="Times New Roman"/>
                <w:noProof/>
              </w:rPr>
              <w:drawing>
                <wp:inline distT="0" distB="0" distL="0" distR="0" wp14:anchorId="4D58FBBD" wp14:editId="69BE580D">
                  <wp:extent cx="2366010" cy="2437130"/>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a:xfrm>
                            <a:off x="0" y="0"/>
                            <a:ext cx="2388377" cy="2459614"/>
                          </a:xfrm>
                          <a:prstGeom prst="rect">
                            <a:avLst/>
                          </a:prstGeom>
                          <a:noFill/>
                          <a:ln>
                            <a:noFill/>
                          </a:ln>
                        </pic:spPr>
                      </pic:pic>
                    </a:graphicData>
                  </a:graphic>
                </wp:inline>
              </w:drawing>
            </w:r>
          </w:p>
        </w:tc>
      </w:tr>
      <w:tr w:rsidR="009C353B" w14:paraId="01675508" w14:textId="77777777">
        <w:trPr>
          <w:trHeight w:val="277"/>
          <w:jc w:val="center"/>
        </w:trPr>
        <w:tc>
          <w:tcPr>
            <w:tcW w:w="4196" w:type="dxa"/>
            <w:tcBorders>
              <w:top w:val="single" w:sz="4" w:space="0" w:color="auto"/>
              <w:left w:val="single" w:sz="4" w:space="0" w:color="auto"/>
              <w:bottom w:val="single" w:sz="4" w:space="0" w:color="auto"/>
              <w:right w:val="single" w:sz="4" w:space="0" w:color="auto"/>
            </w:tcBorders>
            <w:vAlign w:val="center"/>
          </w:tcPr>
          <w:p w14:paraId="4D92689F" w14:textId="77777777" w:rsidR="009C353B" w:rsidRDefault="00000000">
            <w:pPr>
              <w:adjustRightInd w:val="0"/>
              <w:snapToGrid w:val="0"/>
              <w:jc w:val="center"/>
              <w:rPr>
                <w:rFonts w:hint="eastAsia"/>
                <w:b/>
              </w:rPr>
            </w:pPr>
            <w:r>
              <w:rPr>
                <w:rFonts w:hint="eastAsia"/>
                <w:b/>
              </w:rPr>
              <w:t>红石湾</w:t>
            </w:r>
            <w:r>
              <w:rPr>
                <w:rFonts w:ascii="Times New Roman" w:hAnsi="Times New Roman"/>
                <w:b/>
                <w:bCs/>
                <w:szCs w:val="24"/>
              </w:rPr>
              <w:t>生活污水一体化处理池</w:t>
            </w:r>
          </w:p>
        </w:tc>
        <w:tc>
          <w:tcPr>
            <w:tcW w:w="4197" w:type="dxa"/>
            <w:tcBorders>
              <w:top w:val="single" w:sz="4" w:space="0" w:color="auto"/>
              <w:left w:val="single" w:sz="4" w:space="0" w:color="auto"/>
              <w:bottom w:val="single" w:sz="4" w:space="0" w:color="auto"/>
              <w:right w:val="single" w:sz="4" w:space="0" w:color="auto"/>
            </w:tcBorders>
            <w:vAlign w:val="center"/>
          </w:tcPr>
          <w:p w14:paraId="04C47FCC" w14:textId="77777777" w:rsidR="009C353B" w:rsidRDefault="00000000">
            <w:pPr>
              <w:adjustRightInd w:val="0"/>
              <w:snapToGrid w:val="0"/>
              <w:jc w:val="center"/>
              <w:rPr>
                <w:rFonts w:hint="eastAsia"/>
                <w:b/>
              </w:rPr>
            </w:pPr>
            <w:r>
              <w:rPr>
                <w:rFonts w:ascii="Times New Roman" w:hAnsi="Times New Roman" w:hint="eastAsia"/>
                <w:b/>
                <w:bCs/>
                <w:szCs w:val="24"/>
              </w:rPr>
              <w:t>红石湾</w:t>
            </w:r>
            <w:r>
              <w:rPr>
                <w:rFonts w:ascii="Times New Roman" w:hAnsi="Times New Roman"/>
                <w:b/>
                <w:bCs/>
                <w:szCs w:val="24"/>
              </w:rPr>
              <w:t>矿井水絮凝沉淀池</w:t>
            </w:r>
          </w:p>
        </w:tc>
      </w:tr>
      <w:tr w:rsidR="009C353B" w14:paraId="05BBBD27" w14:textId="77777777">
        <w:trPr>
          <w:trHeight w:val="277"/>
          <w:jc w:val="center"/>
        </w:trPr>
        <w:tc>
          <w:tcPr>
            <w:tcW w:w="4196" w:type="dxa"/>
            <w:tcBorders>
              <w:top w:val="single" w:sz="4" w:space="0" w:color="auto"/>
              <w:left w:val="single" w:sz="4" w:space="0" w:color="auto"/>
              <w:bottom w:val="single" w:sz="4" w:space="0" w:color="auto"/>
              <w:right w:val="single" w:sz="4" w:space="0" w:color="auto"/>
            </w:tcBorders>
            <w:vAlign w:val="center"/>
          </w:tcPr>
          <w:p w14:paraId="7435D5EA" w14:textId="77777777" w:rsidR="009C353B" w:rsidRDefault="00000000">
            <w:pPr>
              <w:adjustRightInd w:val="0"/>
              <w:snapToGrid w:val="0"/>
              <w:jc w:val="center"/>
              <w:rPr>
                <w:rFonts w:hint="eastAsia"/>
                <w:b/>
              </w:rPr>
            </w:pPr>
            <w:r>
              <w:rPr>
                <w:rFonts w:hint="eastAsia"/>
                <w:b/>
                <w:noProof/>
              </w:rPr>
              <w:drawing>
                <wp:inline distT="0" distB="0" distL="0" distR="0" wp14:anchorId="4644D51F" wp14:editId="59B0DD67">
                  <wp:extent cx="2438400" cy="24384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2449323" cy="2449323"/>
                          </a:xfrm>
                          <a:prstGeom prst="rect">
                            <a:avLst/>
                          </a:prstGeom>
                        </pic:spPr>
                      </pic:pic>
                    </a:graphicData>
                  </a:graphic>
                </wp:inline>
              </w:drawing>
            </w:r>
          </w:p>
        </w:tc>
        <w:tc>
          <w:tcPr>
            <w:tcW w:w="4197" w:type="dxa"/>
            <w:tcBorders>
              <w:top w:val="single" w:sz="4" w:space="0" w:color="auto"/>
              <w:left w:val="single" w:sz="4" w:space="0" w:color="auto"/>
              <w:bottom w:val="single" w:sz="4" w:space="0" w:color="auto"/>
              <w:right w:val="single" w:sz="4" w:space="0" w:color="auto"/>
            </w:tcBorders>
            <w:vAlign w:val="center"/>
          </w:tcPr>
          <w:p w14:paraId="505C732F" w14:textId="77777777" w:rsidR="009C353B" w:rsidRDefault="00000000">
            <w:pPr>
              <w:adjustRightInd w:val="0"/>
              <w:snapToGrid w:val="0"/>
              <w:jc w:val="center"/>
              <w:rPr>
                <w:rFonts w:ascii="Times New Roman" w:hAnsi="Times New Roman"/>
                <w:b/>
                <w:bCs/>
                <w:szCs w:val="24"/>
              </w:rPr>
            </w:pPr>
            <w:r>
              <w:rPr>
                <w:rFonts w:ascii="Times New Roman" w:hAnsi="Times New Roman" w:hint="eastAsia"/>
                <w:b/>
                <w:bCs/>
                <w:noProof/>
                <w:szCs w:val="24"/>
              </w:rPr>
              <w:drawing>
                <wp:inline distT="0" distB="0" distL="0" distR="0" wp14:anchorId="712A9BC5" wp14:editId="0AA6CF3A">
                  <wp:extent cx="2527935" cy="2410460"/>
                  <wp:effectExtent l="0" t="0" r="5715" b="889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95" cstate="print">
                            <a:extLst>
                              <a:ext uri="{28A0092B-C50C-407E-A947-70E740481C1C}">
                                <a14:useLocalDpi xmlns:a14="http://schemas.microsoft.com/office/drawing/2010/main" val="0"/>
                              </a:ext>
                            </a:extLst>
                          </a:blip>
                          <a:stretch>
                            <a:fillRect/>
                          </a:stretch>
                        </pic:blipFill>
                        <pic:spPr>
                          <a:xfrm>
                            <a:off x="0" y="0"/>
                            <a:ext cx="2527935" cy="2410460"/>
                          </a:xfrm>
                          <a:prstGeom prst="rect">
                            <a:avLst/>
                          </a:prstGeom>
                        </pic:spPr>
                      </pic:pic>
                    </a:graphicData>
                  </a:graphic>
                </wp:inline>
              </w:drawing>
            </w:r>
          </w:p>
        </w:tc>
      </w:tr>
      <w:tr w:rsidR="009C353B" w14:paraId="319475CF" w14:textId="77777777">
        <w:trPr>
          <w:trHeight w:val="277"/>
          <w:jc w:val="center"/>
        </w:trPr>
        <w:tc>
          <w:tcPr>
            <w:tcW w:w="4196" w:type="dxa"/>
            <w:tcBorders>
              <w:top w:val="single" w:sz="4" w:space="0" w:color="auto"/>
              <w:left w:val="single" w:sz="4" w:space="0" w:color="auto"/>
              <w:bottom w:val="single" w:sz="4" w:space="0" w:color="auto"/>
              <w:right w:val="single" w:sz="4" w:space="0" w:color="auto"/>
            </w:tcBorders>
            <w:vAlign w:val="center"/>
          </w:tcPr>
          <w:p w14:paraId="0E5423F0" w14:textId="77777777" w:rsidR="009C353B" w:rsidRDefault="00000000">
            <w:pPr>
              <w:adjustRightInd w:val="0"/>
              <w:snapToGrid w:val="0"/>
              <w:jc w:val="center"/>
              <w:rPr>
                <w:rFonts w:hint="eastAsia"/>
                <w:b/>
              </w:rPr>
            </w:pPr>
            <w:r>
              <w:rPr>
                <w:rFonts w:hint="eastAsia"/>
                <w:b/>
              </w:rPr>
              <w:t>红石湾生活污水处理消毒设施</w:t>
            </w:r>
          </w:p>
        </w:tc>
        <w:tc>
          <w:tcPr>
            <w:tcW w:w="4197" w:type="dxa"/>
            <w:tcBorders>
              <w:top w:val="single" w:sz="4" w:space="0" w:color="auto"/>
              <w:left w:val="single" w:sz="4" w:space="0" w:color="auto"/>
              <w:bottom w:val="single" w:sz="4" w:space="0" w:color="auto"/>
              <w:right w:val="single" w:sz="4" w:space="0" w:color="auto"/>
            </w:tcBorders>
            <w:vAlign w:val="center"/>
          </w:tcPr>
          <w:p w14:paraId="4CF36C74" w14:textId="77777777" w:rsidR="009C353B" w:rsidRDefault="00000000">
            <w:pPr>
              <w:adjustRightInd w:val="0"/>
              <w:snapToGrid w:val="0"/>
              <w:jc w:val="center"/>
              <w:rPr>
                <w:rFonts w:ascii="Times New Roman" w:hAnsi="Times New Roman"/>
                <w:b/>
                <w:bCs/>
                <w:szCs w:val="24"/>
              </w:rPr>
            </w:pPr>
            <w:r>
              <w:rPr>
                <w:rFonts w:ascii="Times New Roman" w:hAnsi="Times New Roman" w:hint="eastAsia"/>
                <w:b/>
                <w:bCs/>
                <w:szCs w:val="24"/>
              </w:rPr>
              <w:t>红石湾蓄水池</w:t>
            </w:r>
          </w:p>
        </w:tc>
      </w:tr>
      <w:tr w:rsidR="009C353B" w14:paraId="140B95A0" w14:textId="77777777">
        <w:trPr>
          <w:trHeight w:val="277"/>
          <w:jc w:val="center"/>
        </w:trPr>
        <w:tc>
          <w:tcPr>
            <w:tcW w:w="4196" w:type="dxa"/>
            <w:tcBorders>
              <w:top w:val="single" w:sz="4" w:space="0" w:color="auto"/>
              <w:left w:val="single" w:sz="4" w:space="0" w:color="auto"/>
              <w:bottom w:val="single" w:sz="4" w:space="0" w:color="auto"/>
              <w:right w:val="single" w:sz="4" w:space="0" w:color="auto"/>
            </w:tcBorders>
            <w:vAlign w:val="center"/>
          </w:tcPr>
          <w:p w14:paraId="27784D9C" w14:textId="77777777" w:rsidR="009C353B" w:rsidRDefault="00000000">
            <w:pPr>
              <w:adjustRightInd w:val="0"/>
              <w:snapToGrid w:val="0"/>
              <w:jc w:val="center"/>
              <w:rPr>
                <w:rFonts w:hint="eastAsia"/>
                <w:b/>
              </w:rPr>
            </w:pPr>
            <w:r>
              <w:rPr>
                <w:rFonts w:hint="eastAsia"/>
                <w:b/>
                <w:noProof/>
              </w:rPr>
              <w:drawing>
                <wp:inline distT="0" distB="0" distL="0" distR="0" wp14:anchorId="3C68A4E2" wp14:editId="158A5084">
                  <wp:extent cx="2527300" cy="2200275"/>
                  <wp:effectExtent l="0" t="0" r="635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2527300" cy="2200275"/>
                          </a:xfrm>
                          <a:prstGeom prst="rect">
                            <a:avLst/>
                          </a:prstGeom>
                        </pic:spPr>
                      </pic:pic>
                    </a:graphicData>
                  </a:graphic>
                </wp:inline>
              </w:drawing>
            </w:r>
          </w:p>
        </w:tc>
        <w:tc>
          <w:tcPr>
            <w:tcW w:w="4197" w:type="dxa"/>
            <w:tcBorders>
              <w:top w:val="single" w:sz="4" w:space="0" w:color="auto"/>
              <w:left w:val="single" w:sz="4" w:space="0" w:color="auto"/>
              <w:bottom w:val="single" w:sz="4" w:space="0" w:color="auto"/>
              <w:right w:val="single" w:sz="4" w:space="0" w:color="auto"/>
            </w:tcBorders>
            <w:vAlign w:val="center"/>
          </w:tcPr>
          <w:p w14:paraId="4D46111E" w14:textId="77777777" w:rsidR="009C353B" w:rsidRDefault="00000000">
            <w:pPr>
              <w:adjustRightInd w:val="0"/>
              <w:snapToGrid w:val="0"/>
              <w:jc w:val="center"/>
              <w:rPr>
                <w:rFonts w:ascii="Times New Roman" w:hAnsi="Times New Roman"/>
                <w:b/>
                <w:bCs/>
                <w:szCs w:val="24"/>
              </w:rPr>
            </w:pPr>
            <w:r>
              <w:rPr>
                <w:rFonts w:ascii="Times New Roman" w:hAnsi="Times New Roman" w:hint="eastAsia"/>
                <w:b/>
                <w:bCs/>
                <w:noProof/>
                <w:szCs w:val="24"/>
              </w:rPr>
              <w:drawing>
                <wp:inline distT="0" distB="0" distL="0" distR="0" wp14:anchorId="763F8655" wp14:editId="7E11556C">
                  <wp:extent cx="2527935" cy="2114550"/>
                  <wp:effectExtent l="0" t="0" r="5715"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2527935" cy="2114550"/>
                          </a:xfrm>
                          <a:prstGeom prst="rect">
                            <a:avLst/>
                          </a:prstGeom>
                        </pic:spPr>
                      </pic:pic>
                    </a:graphicData>
                  </a:graphic>
                </wp:inline>
              </w:drawing>
            </w:r>
          </w:p>
        </w:tc>
      </w:tr>
      <w:tr w:rsidR="009C353B" w14:paraId="0CDBEB48" w14:textId="77777777">
        <w:trPr>
          <w:trHeight w:val="277"/>
          <w:jc w:val="center"/>
        </w:trPr>
        <w:tc>
          <w:tcPr>
            <w:tcW w:w="4196" w:type="dxa"/>
            <w:tcBorders>
              <w:top w:val="single" w:sz="4" w:space="0" w:color="auto"/>
              <w:left w:val="single" w:sz="4" w:space="0" w:color="auto"/>
              <w:bottom w:val="single" w:sz="4" w:space="0" w:color="auto"/>
              <w:right w:val="single" w:sz="4" w:space="0" w:color="auto"/>
            </w:tcBorders>
            <w:vAlign w:val="center"/>
          </w:tcPr>
          <w:p w14:paraId="1B77D9EB" w14:textId="77777777" w:rsidR="009C353B" w:rsidRDefault="00000000">
            <w:pPr>
              <w:adjustRightInd w:val="0"/>
              <w:snapToGrid w:val="0"/>
              <w:jc w:val="center"/>
              <w:rPr>
                <w:rFonts w:hint="eastAsia"/>
                <w:b/>
              </w:rPr>
            </w:pPr>
            <w:r>
              <w:rPr>
                <w:rFonts w:hint="eastAsia"/>
                <w:b/>
              </w:rPr>
              <w:t>任家庄生活污水处理工艺流程</w:t>
            </w:r>
          </w:p>
        </w:tc>
        <w:tc>
          <w:tcPr>
            <w:tcW w:w="4197" w:type="dxa"/>
            <w:tcBorders>
              <w:top w:val="single" w:sz="4" w:space="0" w:color="auto"/>
              <w:left w:val="single" w:sz="4" w:space="0" w:color="auto"/>
              <w:bottom w:val="single" w:sz="4" w:space="0" w:color="auto"/>
              <w:right w:val="single" w:sz="4" w:space="0" w:color="auto"/>
            </w:tcBorders>
            <w:vAlign w:val="center"/>
          </w:tcPr>
          <w:p w14:paraId="5FEFC816" w14:textId="77777777" w:rsidR="009C353B" w:rsidRDefault="00000000">
            <w:pPr>
              <w:adjustRightInd w:val="0"/>
              <w:snapToGrid w:val="0"/>
              <w:jc w:val="center"/>
              <w:rPr>
                <w:rFonts w:ascii="Times New Roman" w:hAnsi="Times New Roman"/>
                <w:b/>
                <w:bCs/>
                <w:szCs w:val="24"/>
              </w:rPr>
            </w:pPr>
            <w:r>
              <w:rPr>
                <w:rFonts w:ascii="Times New Roman" w:hAnsi="Times New Roman" w:hint="eastAsia"/>
                <w:b/>
                <w:bCs/>
                <w:szCs w:val="24"/>
              </w:rPr>
              <w:t>任家庄矿井水处理工艺流程</w:t>
            </w:r>
          </w:p>
        </w:tc>
      </w:tr>
      <w:tr w:rsidR="009C353B" w14:paraId="01FCC89A" w14:textId="77777777">
        <w:trPr>
          <w:jc w:val="center"/>
        </w:trPr>
        <w:tc>
          <w:tcPr>
            <w:tcW w:w="4196" w:type="dxa"/>
            <w:vAlign w:val="center"/>
          </w:tcPr>
          <w:p w14:paraId="6BDDE339" w14:textId="77777777" w:rsidR="009C353B" w:rsidRDefault="00000000">
            <w:pPr>
              <w:adjustRightInd w:val="0"/>
              <w:snapToGrid w:val="0"/>
              <w:jc w:val="center"/>
              <w:rPr>
                <w:rFonts w:hint="eastAsia"/>
                <w:b/>
              </w:rPr>
            </w:pPr>
            <w:r>
              <w:rPr>
                <w:rFonts w:ascii="Times New Roman" w:hAnsi="Times New Roman"/>
                <w:noProof/>
              </w:rPr>
              <w:drawing>
                <wp:inline distT="0" distB="0" distL="0" distR="0" wp14:anchorId="7A071BD3" wp14:editId="7DC356C6">
                  <wp:extent cx="2347595" cy="258127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a:xfrm>
                            <a:off x="0" y="0"/>
                            <a:ext cx="2350774" cy="2584753"/>
                          </a:xfrm>
                          <a:prstGeom prst="rect">
                            <a:avLst/>
                          </a:prstGeom>
                          <a:noFill/>
                          <a:ln>
                            <a:noFill/>
                          </a:ln>
                        </pic:spPr>
                      </pic:pic>
                    </a:graphicData>
                  </a:graphic>
                </wp:inline>
              </w:drawing>
            </w:r>
          </w:p>
        </w:tc>
        <w:tc>
          <w:tcPr>
            <w:tcW w:w="4197" w:type="dxa"/>
            <w:vAlign w:val="center"/>
          </w:tcPr>
          <w:p w14:paraId="3A62F925" w14:textId="77777777" w:rsidR="009C353B" w:rsidRDefault="00000000">
            <w:pPr>
              <w:adjustRightInd w:val="0"/>
              <w:snapToGrid w:val="0"/>
              <w:jc w:val="center"/>
              <w:rPr>
                <w:rFonts w:hint="eastAsia"/>
                <w:b/>
              </w:rPr>
            </w:pPr>
            <w:r>
              <w:rPr>
                <w:rFonts w:ascii="Times New Roman" w:hAnsi="Times New Roman"/>
                <w:noProof/>
              </w:rPr>
              <w:drawing>
                <wp:inline distT="0" distB="0" distL="0" distR="0" wp14:anchorId="49E4E423" wp14:editId="6D10F671">
                  <wp:extent cx="2519680" cy="2644775"/>
                  <wp:effectExtent l="0" t="0" r="0" b="317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a:xfrm>
                            <a:off x="0" y="0"/>
                            <a:ext cx="2524433" cy="2650095"/>
                          </a:xfrm>
                          <a:prstGeom prst="rect">
                            <a:avLst/>
                          </a:prstGeom>
                          <a:noFill/>
                          <a:ln>
                            <a:noFill/>
                          </a:ln>
                        </pic:spPr>
                      </pic:pic>
                    </a:graphicData>
                  </a:graphic>
                </wp:inline>
              </w:drawing>
            </w:r>
          </w:p>
        </w:tc>
      </w:tr>
      <w:tr w:rsidR="009C353B" w14:paraId="29A3E628" w14:textId="77777777">
        <w:trPr>
          <w:jc w:val="center"/>
        </w:trPr>
        <w:tc>
          <w:tcPr>
            <w:tcW w:w="4196" w:type="dxa"/>
            <w:vAlign w:val="center"/>
          </w:tcPr>
          <w:p w14:paraId="59A86C59" w14:textId="77777777" w:rsidR="009C353B" w:rsidRDefault="00000000">
            <w:pPr>
              <w:adjustRightInd w:val="0"/>
              <w:snapToGrid w:val="0"/>
              <w:jc w:val="center"/>
              <w:rPr>
                <w:rFonts w:hint="eastAsia"/>
                <w:b/>
              </w:rPr>
            </w:pPr>
            <w:r>
              <w:rPr>
                <w:rFonts w:ascii="Times New Roman" w:hAnsi="Times New Roman" w:hint="eastAsia"/>
                <w:b/>
                <w:bCs/>
                <w:szCs w:val="24"/>
              </w:rPr>
              <w:t>任家庄</w:t>
            </w:r>
            <w:r>
              <w:rPr>
                <w:rFonts w:ascii="Times New Roman" w:hAnsi="Times New Roman"/>
                <w:b/>
                <w:bCs/>
                <w:szCs w:val="24"/>
              </w:rPr>
              <w:t>生活污水调节池</w:t>
            </w:r>
          </w:p>
        </w:tc>
        <w:tc>
          <w:tcPr>
            <w:tcW w:w="4197" w:type="dxa"/>
            <w:vAlign w:val="center"/>
          </w:tcPr>
          <w:p w14:paraId="2D517936" w14:textId="77777777" w:rsidR="009C353B" w:rsidRDefault="00000000">
            <w:pPr>
              <w:adjustRightInd w:val="0"/>
              <w:snapToGrid w:val="0"/>
              <w:jc w:val="center"/>
              <w:rPr>
                <w:rFonts w:hint="eastAsia"/>
                <w:b/>
              </w:rPr>
            </w:pPr>
            <w:r>
              <w:rPr>
                <w:rFonts w:hint="eastAsia"/>
                <w:b/>
              </w:rPr>
              <w:t>任家庄</w:t>
            </w:r>
            <w:r>
              <w:rPr>
                <w:rFonts w:ascii="Times New Roman" w:hAnsi="Times New Roman"/>
                <w:b/>
                <w:bCs/>
                <w:szCs w:val="24"/>
              </w:rPr>
              <w:t>矿井水处理设施</w:t>
            </w:r>
          </w:p>
        </w:tc>
      </w:tr>
      <w:tr w:rsidR="009C353B" w14:paraId="13A9E314" w14:textId="77777777">
        <w:trPr>
          <w:jc w:val="center"/>
        </w:trPr>
        <w:tc>
          <w:tcPr>
            <w:tcW w:w="4196" w:type="dxa"/>
            <w:vAlign w:val="center"/>
          </w:tcPr>
          <w:p w14:paraId="0FC168B2" w14:textId="77777777" w:rsidR="009C353B" w:rsidRDefault="00000000">
            <w:pPr>
              <w:adjustRightInd w:val="0"/>
              <w:snapToGrid w:val="0"/>
              <w:jc w:val="center"/>
              <w:rPr>
                <w:rFonts w:hint="eastAsia"/>
                <w:b/>
              </w:rPr>
            </w:pPr>
            <w:r>
              <w:rPr>
                <w:noProof/>
              </w:rPr>
              <w:drawing>
                <wp:inline distT="0" distB="0" distL="0" distR="0" wp14:anchorId="3ECB4430" wp14:editId="1703B816">
                  <wp:extent cx="2509520" cy="2613660"/>
                  <wp:effectExtent l="0" t="0" r="508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a:xfrm>
                            <a:off x="0" y="0"/>
                            <a:ext cx="2532330" cy="2637210"/>
                          </a:xfrm>
                          <a:prstGeom prst="rect">
                            <a:avLst/>
                          </a:prstGeom>
                          <a:noFill/>
                          <a:ln>
                            <a:noFill/>
                          </a:ln>
                        </pic:spPr>
                      </pic:pic>
                    </a:graphicData>
                  </a:graphic>
                </wp:inline>
              </w:drawing>
            </w:r>
          </w:p>
        </w:tc>
        <w:tc>
          <w:tcPr>
            <w:tcW w:w="4197" w:type="dxa"/>
            <w:vAlign w:val="center"/>
          </w:tcPr>
          <w:p w14:paraId="09DA382E" w14:textId="77777777" w:rsidR="009C353B" w:rsidRDefault="00000000">
            <w:pPr>
              <w:adjustRightInd w:val="0"/>
              <w:snapToGrid w:val="0"/>
              <w:jc w:val="center"/>
              <w:rPr>
                <w:rFonts w:hint="eastAsia"/>
                <w:b/>
              </w:rPr>
            </w:pPr>
            <w:r>
              <w:rPr>
                <w:noProof/>
              </w:rPr>
              <w:drawing>
                <wp:inline distT="0" distB="0" distL="0" distR="0" wp14:anchorId="04B9E4E2" wp14:editId="6A8E711D">
                  <wp:extent cx="2466975" cy="261366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a:xfrm>
                            <a:off x="0" y="0"/>
                            <a:ext cx="2478588" cy="2626108"/>
                          </a:xfrm>
                          <a:prstGeom prst="rect">
                            <a:avLst/>
                          </a:prstGeom>
                          <a:noFill/>
                          <a:ln>
                            <a:noFill/>
                          </a:ln>
                        </pic:spPr>
                      </pic:pic>
                    </a:graphicData>
                  </a:graphic>
                </wp:inline>
              </w:drawing>
            </w:r>
          </w:p>
        </w:tc>
      </w:tr>
      <w:tr w:rsidR="009C353B" w14:paraId="72899933" w14:textId="77777777">
        <w:trPr>
          <w:jc w:val="center"/>
        </w:trPr>
        <w:tc>
          <w:tcPr>
            <w:tcW w:w="4196" w:type="dxa"/>
            <w:vAlign w:val="center"/>
          </w:tcPr>
          <w:p w14:paraId="777929BD" w14:textId="77777777" w:rsidR="009C353B" w:rsidRDefault="00000000">
            <w:pPr>
              <w:adjustRightInd w:val="0"/>
              <w:snapToGrid w:val="0"/>
              <w:jc w:val="center"/>
              <w:rPr>
                <w:rFonts w:hint="eastAsia"/>
                <w:b/>
              </w:rPr>
            </w:pPr>
            <w:r>
              <w:rPr>
                <w:rFonts w:hint="eastAsia"/>
                <w:b/>
              </w:rPr>
              <w:t>宝丰园区污水处理站</w:t>
            </w:r>
            <w:r>
              <w:rPr>
                <w:rFonts w:ascii="Times New Roman" w:hAnsi="Times New Roman" w:hint="eastAsia"/>
                <w:b/>
                <w:bCs/>
                <w:szCs w:val="24"/>
              </w:rPr>
              <w:t>污泥浓缩池</w:t>
            </w:r>
          </w:p>
        </w:tc>
        <w:tc>
          <w:tcPr>
            <w:tcW w:w="4197" w:type="dxa"/>
            <w:vAlign w:val="center"/>
          </w:tcPr>
          <w:p w14:paraId="7E432FB1" w14:textId="77777777" w:rsidR="009C353B" w:rsidRDefault="00000000">
            <w:pPr>
              <w:adjustRightInd w:val="0"/>
              <w:snapToGrid w:val="0"/>
              <w:jc w:val="center"/>
              <w:rPr>
                <w:rFonts w:hint="eastAsia"/>
                <w:b/>
              </w:rPr>
            </w:pPr>
            <w:r>
              <w:rPr>
                <w:rFonts w:hint="eastAsia"/>
                <w:b/>
              </w:rPr>
              <w:t>宝丰园区污水处理站</w:t>
            </w:r>
            <w:r>
              <w:rPr>
                <w:rFonts w:ascii="Times New Roman" w:hAnsi="Times New Roman" w:hint="eastAsia"/>
                <w:b/>
                <w:bCs/>
                <w:szCs w:val="24"/>
              </w:rPr>
              <w:t>沉淀池</w:t>
            </w:r>
          </w:p>
        </w:tc>
      </w:tr>
      <w:tr w:rsidR="009C353B" w14:paraId="05350C13" w14:textId="77777777">
        <w:trPr>
          <w:jc w:val="center"/>
        </w:trPr>
        <w:tc>
          <w:tcPr>
            <w:tcW w:w="4196" w:type="dxa"/>
            <w:vAlign w:val="center"/>
          </w:tcPr>
          <w:p w14:paraId="23C73C21" w14:textId="77777777" w:rsidR="009C353B" w:rsidRDefault="00000000">
            <w:pPr>
              <w:adjustRightInd w:val="0"/>
              <w:snapToGrid w:val="0"/>
              <w:jc w:val="center"/>
              <w:rPr>
                <w:rFonts w:hint="eastAsia"/>
                <w:b/>
              </w:rPr>
            </w:pPr>
            <w:r>
              <w:rPr>
                <w:rFonts w:hint="eastAsia"/>
                <w:b/>
                <w:noProof/>
              </w:rPr>
              <w:drawing>
                <wp:inline distT="0" distB="0" distL="0" distR="0" wp14:anchorId="75965C85" wp14:editId="2468453E">
                  <wp:extent cx="2527300" cy="2466975"/>
                  <wp:effectExtent l="0" t="0" r="635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2527300" cy="2466975"/>
                          </a:xfrm>
                          <a:prstGeom prst="rect">
                            <a:avLst/>
                          </a:prstGeom>
                        </pic:spPr>
                      </pic:pic>
                    </a:graphicData>
                  </a:graphic>
                </wp:inline>
              </w:drawing>
            </w:r>
          </w:p>
        </w:tc>
        <w:tc>
          <w:tcPr>
            <w:tcW w:w="4197" w:type="dxa"/>
            <w:vAlign w:val="center"/>
          </w:tcPr>
          <w:p w14:paraId="2D5A888B" w14:textId="77777777" w:rsidR="009C353B" w:rsidRDefault="00000000">
            <w:pPr>
              <w:adjustRightInd w:val="0"/>
              <w:snapToGrid w:val="0"/>
              <w:jc w:val="center"/>
              <w:rPr>
                <w:rFonts w:hint="eastAsia"/>
                <w:b/>
              </w:rPr>
            </w:pPr>
            <w:r>
              <w:rPr>
                <w:rFonts w:hint="eastAsia"/>
                <w:b/>
                <w:noProof/>
              </w:rPr>
              <w:drawing>
                <wp:inline distT="0" distB="0" distL="0" distR="0" wp14:anchorId="4F3516CB" wp14:editId="42B83739">
                  <wp:extent cx="2527935" cy="2419350"/>
                  <wp:effectExtent l="0" t="0" r="571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2527935" cy="2419350"/>
                          </a:xfrm>
                          <a:prstGeom prst="rect">
                            <a:avLst/>
                          </a:prstGeom>
                        </pic:spPr>
                      </pic:pic>
                    </a:graphicData>
                  </a:graphic>
                </wp:inline>
              </w:drawing>
            </w:r>
          </w:p>
        </w:tc>
      </w:tr>
      <w:tr w:rsidR="009C353B" w14:paraId="16B4EF81" w14:textId="77777777">
        <w:trPr>
          <w:jc w:val="center"/>
        </w:trPr>
        <w:tc>
          <w:tcPr>
            <w:tcW w:w="4196" w:type="dxa"/>
            <w:vAlign w:val="center"/>
          </w:tcPr>
          <w:p w14:paraId="5F1CE4A1" w14:textId="77777777" w:rsidR="009C353B" w:rsidRDefault="00000000">
            <w:pPr>
              <w:adjustRightInd w:val="0"/>
              <w:snapToGrid w:val="0"/>
              <w:jc w:val="center"/>
              <w:rPr>
                <w:rFonts w:hint="eastAsia"/>
                <w:b/>
              </w:rPr>
            </w:pPr>
            <w:r>
              <w:rPr>
                <w:rFonts w:hint="eastAsia"/>
                <w:b/>
              </w:rPr>
              <w:t>宝丰园区污水处理站中间水池</w:t>
            </w:r>
          </w:p>
        </w:tc>
        <w:tc>
          <w:tcPr>
            <w:tcW w:w="4197" w:type="dxa"/>
            <w:vAlign w:val="center"/>
          </w:tcPr>
          <w:p w14:paraId="727BE960" w14:textId="77777777" w:rsidR="009C353B" w:rsidRDefault="00000000">
            <w:pPr>
              <w:adjustRightInd w:val="0"/>
              <w:snapToGrid w:val="0"/>
              <w:jc w:val="center"/>
              <w:rPr>
                <w:rFonts w:hint="eastAsia"/>
                <w:b/>
              </w:rPr>
            </w:pPr>
            <w:r>
              <w:rPr>
                <w:rFonts w:hint="eastAsia"/>
                <w:b/>
              </w:rPr>
              <w:t>宝丰园区污水处理站M</w:t>
            </w:r>
            <w:r>
              <w:rPr>
                <w:b/>
              </w:rPr>
              <w:t>BR</w:t>
            </w:r>
            <w:r>
              <w:rPr>
                <w:rFonts w:hint="eastAsia"/>
                <w:b/>
              </w:rPr>
              <w:t>系统</w:t>
            </w:r>
          </w:p>
        </w:tc>
      </w:tr>
    </w:tbl>
    <w:p w14:paraId="3654E36F" w14:textId="77777777" w:rsidR="009C353B" w:rsidRDefault="00000000">
      <w:pPr>
        <w:adjustRightInd w:val="0"/>
        <w:snapToGrid w:val="0"/>
        <w:spacing w:line="440" w:lineRule="exact"/>
        <w:jc w:val="center"/>
        <w:rPr>
          <w:rFonts w:ascii="Times New Roman" w:hint="eastAsia"/>
          <w:b/>
          <w:bCs/>
          <w:szCs w:val="24"/>
        </w:rPr>
      </w:pPr>
      <w:r>
        <w:rPr>
          <w:rFonts w:ascii="Times New Roman"/>
          <w:b/>
          <w:bCs/>
          <w:szCs w:val="24"/>
        </w:rPr>
        <w:t>图</w:t>
      </w:r>
      <w:r>
        <w:rPr>
          <w:rFonts w:ascii="Times New Roman"/>
          <w:b/>
          <w:bCs/>
          <w:szCs w:val="24"/>
        </w:rPr>
        <w:t xml:space="preserve">4.2-7 </w:t>
      </w:r>
      <w:r>
        <w:rPr>
          <w:rFonts w:ascii="Times New Roman" w:hint="eastAsia"/>
          <w:b/>
          <w:bCs/>
          <w:szCs w:val="24"/>
        </w:rPr>
        <w:t>各煤矿水处理设施</w:t>
      </w:r>
      <w:r>
        <w:rPr>
          <w:rFonts w:ascii="Times New Roman"/>
          <w:b/>
          <w:bCs/>
          <w:szCs w:val="24"/>
        </w:rPr>
        <w:t>现状图</w:t>
      </w:r>
    </w:p>
    <w:p w14:paraId="71A5DC4F" w14:textId="77777777" w:rsidR="009C353B" w:rsidRDefault="00000000">
      <w:pPr>
        <w:pStyle w:val="3"/>
        <w:adjustRightInd w:val="0"/>
        <w:snapToGrid w:val="0"/>
        <w:spacing w:before="0" w:after="0" w:line="440" w:lineRule="exact"/>
        <w:rPr>
          <w:rFonts w:hint="eastAsia"/>
        </w:rPr>
      </w:pPr>
      <w:r>
        <w:rPr>
          <w:rFonts w:ascii="Times New Roman" w:hAnsi="Times New Roman"/>
          <w:sz w:val="24"/>
        </w:rPr>
        <w:t>4.2.</w:t>
      </w:r>
      <w:r>
        <w:rPr>
          <w:rFonts w:ascii="Times New Roman" w:hAnsi="Times New Roman" w:hint="eastAsia"/>
          <w:sz w:val="24"/>
        </w:rPr>
        <w:t>3</w:t>
      </w:r>
      <w:r>
        <w:rPr>
          <w:rFonts w:ascii="Times New Roman" w:hAnsi="Times New Roman"/>
          <w:sz w:val="24"/>
        </w:rPr>
        <w:t xml:space="preserve"> </w:t>
      </w:r>
      <w:r>
        <w:rPr>
          <w:rFonts w:ascii="Times New Roman" w:hAnsi="Times New Roman"/>
          <w:sz w:val="24"/>
        </w:rPr>
        <w:t>矿区固废处理处置回顾性分析</w:t>
      </w:r>
    </w:p>
    <w:p w14:paraId="0301AB61" w14:textId="77777777" w:rsidR="009C353B" w:rsidRDefault="00000000">
      <w:pPr>
        <w:adjustRightInd w:val="0"/>
        <w:snapToGrid w:val="0"/>
        <w:spacing w:line="440" w:lineRule="exact"/>
        <w:ind w:firstLineChars="200" w:firstLine="480"/>
        <w:rPr>
          <w:rFonts w:ascii="Times New Roman" w:hAnsi="Times New Roman"/>
          <w:szCs w:val="24"/>
        </w:rPr>
      </w:pPr>
      <w:bookmarkStart w:id="149" w:name="_Hlk48402653"/>
      <w:r>
        <w:rPr>
          <w:rFonts w:ascii="Times New Roman" w:hAnsi="Times New Roman" w:hint="eastAsia"/>
          <w:szCs w:val="24"/>
        </w:rPr>
        <w:t>矿区固体废物处置主要为红石湾矿井、</w:t>
      </w:r>
      <w:r>
        <w:rPr>
          <w:rFonts w:ascii="Times New Roman" w:hAnsi="Times New Roman"/>
          <w:szCs w:val="24"/>
        </w:rPr>
        <w:t>马莲台</w:t>
      </w:r>
      <w:r>
        <w:rPr>
          <w:rFonts w:ascii="Times New Roman" w:hAnsi="Times New Roman" w:hint="eastAsia"/>
          <w:szCs w:val="24"/>
        </w:rPr>
        <w:t>矿井</w:t>
      </w:r>
      <w:r>
        <w:rPr>
          <w:rFonts w:ascii="Times New Roman" w:hAnsi="Times New Roman"/>
          <w:szCs w:val="24"/>
        </w:rPr>
        <w:t>、任家庄</w:t>
      </w:r>
      <w:r>
        <w:rPr>
          <w:rFonts w:ascii="Times New Roman" w:hAnsi="Times New Roman" w:hint="eastAsia"/>
          <w:szCs w:val="24"/>
        </w:rPr>
        <w:t>矿井矸石处置、生活垃圾处置、水处理站污泥处置、危废处置。</w:t>
      </w:r>
    </w:p>
    <w:bookmarkEnd w:id="149"/>
    <w:p w14:paraId="72185245" w14:textId="77777777" w:rsidR="009C353B" w:rsidRDefault="00000000">
      <w:pPr>
        <w:adjustRightInd w:val="0"/>
        <w:snapToGrid w:val="0"/>
        <w:spacing w:line="440" w:lineRule="exact"/>
        <w:ind w:firstLineChars="200" w:firstLine="482"/>
        <w:rPr>
          <w:rFonts w:ascii="Times New Roman" w:hint="eastAsia"/>
          <w:b/>
        </w:rPr>
      </w:pPr>
      <w:r>
        <w:rPr>
          <w:rFonts w:ascii="Times New Roman" w:hint="eastAsia"/>
          <w:b/>
        </w:rPr>
        <w:t>（</w:t>
      </w:r>
      <w:r>
        <w:rPr>
          <w:rFonts w:ascii="Times New Roman" w:hAnsi="Times New Roman"/>
          <w:b/>
        </w:rPr>
        <w:t>1</w:t>
      </w:r>
      <w:r>
        <w:rPr>
          <w:rFonts w:ascii="Times New Roman" w:hint="eastAsia"/>
          <w:b/>
        </w:rPr>
        <w:t>）矸石处置</w:t>
      </w:r>
    </w:p>
    <w:p w14:paraId="2A191D7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矸石类别主要分为掘进矸石和洗选矸石。</w:t>
      </w:r>
    </w:p>
    <w:p w14:paraId="208BA36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三个生产矿井掘进矸石均</w:t>
      </w:r>
      <w:r>
        <w:rPr>
          <w:rFonts w:ascii="Times New Roman" w:hAnsi="Times New Roman"/>
          <w:szCs w:val="24"/>
        </w:rPr>
        <w:t>不出井</w:t>
      </w:r>
      <w:r>
        <w:rPr>
          <w:rFonts w:ascii="Times New Roman" w:hAnsi="Times New Roman" w:hint="eastAsia"/>
          <w:szCs w:val="24"/>
        </w:rPr>
        <w:t>，</w:t>
      </w:r>
      <w:r>
        <w:rPr>
          <w:rFonts w:ascii="Times New Roman" w:hAnsi="Times New Roman"/>
          <w:szCs w:val="24"/>
        </w:rPr>
        <w:t>在井下处置，</w:t>
      </w:r>
      <w:r>
        <w:rPr>
          <w:rFonts w:ascii="Times New Roman" w:hAnsi="Times New Roman" w:hint="eastAsia"/>
          <w:szCs w:val="24"/>
        </w:rPr>
        <w:t>洗选矸石均运至各自排矸场排弃。矸石处置情况见表</w:t>
      </w:r>
      <w:r>
        <w:rPr>
          <w:rFonts w:ascii="Times New Roman" w:hAnsi="Times New Roman" w:hint="eastAsia"/>
          <w:szCs w:val="24"/>
        </w:rPr>
        <w:t>4.2-</w:t>
      </w:r>
      <w:r>
        <w:rPr>
          <w:rFonts w:ascii="Times New Roman" w:hAnsi="Times New Roman"/>
          <w:szCs w:val="24"/>
        </w:rPr>
        <w:t>12</w:t>
      </w:r>
      <w:r>
        <w:rPr>
          <w:rFonts w:ascii="Times New Roman" w:hAnsi="Times New Roman" w:hint="eastAsia"/>
          <w:szCs w:val="24"/>
        </w:rPr>
        <w:t>。</w:t>
      </w:r>
    </w:p>
    <w:p w14:paraId="2808DCCC" w14:textId="77777777" w:rsidR="009C353B" w:rsidRDefault="00000000">
      <w:pPr>
        <w:pStyle w:val="affffff0"/>
        <w:keepNext/>
        <w:adjustRightInd w:val="0"/>
        <w:spacing w:line="240" w:lineRule="auto"/>
        <w:jc w:val="center"/>
        <w:rPr>
          <w:rFonts w:ascii="Times New Roman" w:hAnsi="Times New Roman"/>
        </w:rPr>
      </w:pPr>
      <w:r>
        <w:rPr>
          <w:rFonts w:ascii="Times New Roman" w:hAnsi="Times New Roman"/>
        </w:rPr>
        <w:t>矿区</w:t>
      </w:r>
      <w:r>
        <w:rPr>
          <w:rFonts w:ascii="Times New Roman" w:hAnsi="Times New Roman" w:hint="eastAsia"/>
        </w:rPr>
        <w:t>内各矿井矸石处置现状</w:t>
      </w:r>
      <w:r>
        <w:rPr>
          <w:rFonts w:ascii="Times New Roman" w:hAnsi="Times New Roman"/>
        </w:rPr>
        <w:t>一览表</w:t>
      </w:r>
    </w:p>
    <w:p w14:paraId="770B35EE" w14:textId="77777777" w:rsidR="009C353B" w:rsidRDefault="00000000">
      <w:pPr>
        <w:pStyle w:val="affffd"/>
        <w:spacing w:line="240" w:lineRule="auto"/>
        <w:rPr>
          <w:rFonts w:ascii="Times New Roman" w:hAnsi="Times New Roman"/>
        </w:rPr>
      </w:pPr>
      <w:r>
        <w:rPr>
          <w:rFonts w:ascii="Times New Roman" w:hAnsi="Times New Roman"/>
        </w:rPr>
        <w:t>表</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12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
        <w:gridCol w:w="1417"/>
        <w:gridCol w:w="1134"/>
        <w:gridCol w:w="6090"/>
      </w:tblGrid>
      <w:tr w:rsidR="009C353B" w14:paraId="6E631CA2" w14:textId="77777777">
        <w:trPr>
          <w:trHeight w:val="448"/>
          <w:jc w:val="center"/>
        </w:trPr>
        <w:tc>
          <w:tcPr>
            <w:tcW w:w="415" w:type="dxa"/>
            <w:tcBorders>
              <w:top w:val="single" w:sz="8" w:space="0" w:color="auto"/>
              <w:left w:val="single" w:sz="8" w:space="0" w:color="auto"/>
            </w:tcBorders>
            <w:vAlign w:val="center"/>
          </w:tcPr>
          <w:p w14:paraId="0420D1AB"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hint="eastAsia"/>
                <w:sz w:val="21"/>
                <w:szCs w:val="21"/>
              </w:rPr>
              <w:t>序号</w:t>
            </w:r>
          </w:p>
        </w:tc>
        <w:tc>
          <w:tcPr>
            <w:tcW w:w="1417" w:type="dxa"/>
            <w:tcBorders>
              <w:top w:val="single" w:sz="8" w:space="0" w:color="auto"/>
              <w:right w:val="single" w:sz="8" w:space="0" w:color="auto"/>
            </w:tcBorders>
            <w:vAlign w:val="center"/>
          </w:tcPr>
          <w:p w14:paraId="7A18374D"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sz w:val="21"/>
                <w:szCs w:val="21"/>
              </w:rPr>
              <w:t>名称</w:t>
            </w:r>
          </w:p>
        </w:tc>
        <w:tc>
          <w:tcPr>
            <w:tcW w:w="1134" w:type="dxa"/>
            <w:tcBorders>
              <w:top w:val="single" w:sz="8" w:space="0" w:color="auto"/>
              <w:right w:val="single" w:sz="2" w:space="0" w:color="auto"/>
            </w:tcBorders>
            <w:vAlign w:val="center"/>
          </w:tcPr>
          <w:p w14:paraId="0E0E8F4B" w14:textId="77777777" w:rsidR="009C353B" w:rsidRDefault="00000000">
            <w:pPr>
              <w:snapToGrid w:val="0"/>
              <w:ind w:rightChars="-64" w:right="-154"/>
              <w:jc w:val="center"/>
              <w:rPr>
                <w:rFonts w:ascii="Times New Roman" w:hAnsi="Times New Roman"/>
                <w:sz w:val="21"/>
                <w:szCs w:val="21"/>
              </w:rPr>
            </w:pPr>
            <w:r>
              <w:rPr>
                <w:rFonts w:ascii="Times New Roman" w:hAnsi="Times New Roman"/>
                <w:sz w:val="21"/>
                <w:szCs w:val="21"/>
              </w:rPr>
              <w:t>矸石产量</w:t>
            </w:r>
          </w:p>
          <w:p w14:paraId="5F9BEFB5" w14:textId="77777777" w:rsidR="009C353B" w:rsidRDefault="00000000">
            <w:pPr>
              <w:snapToGrid w:val="0"/>
              <w:ind w:rightChars="-64" w:right="-154"/>
              <w:jc w:val="center"/>
              <w:rPr>
                <w:rFonts w:ascii="Times New Roman" w:hAnsi="Times New Roman"/>
                <w:sz w:val="21"/>
                <w:szCs w:val="21"/>
              </w:rPr>
            </w:pPr>
            <w:r>
              <w:rPr>
                <w:rFonts w:ascii="Times New Roman" w:hAnsi="Times New Roman" w:hint="eastAsia"/>
                <w:sz w:val="21"/>
                <w:szCs w:val="21"/>
              </w:rPr>
              <w:t>（万</w:t>
            </w:r>
            <w:r>
              <w:rPr>
                <w:rFonts w:ascii="Times New Roman" w:hAnsi="Times New Roman"/>
                <w:sz w:val="21"/>
                <w:szCs w:val="21"/>
              </w:rPr>
              <w:t>t/ a</w:t>
            </w:r>
            <w:r>
              <w:rPr>
                <w:rFonts w:ascii="Times New Roman" w:hAnsi="Times New Roman" w:hint="eastAsia"/>
                <w:sz w:val="21"/>
                <w:szCs w:val="21"/>
              </w:rPr>
              <w:t>）</w:t>
            </w:r>
          </w:p>
        </w:tc>
        <w:tc>
          <w:tcPr>
            <w:tcW w:w="6090" w:type="dxa"/>
            <w:tcBorders>
              <w:top w:val="single" w:sz="8" w:space="0" w:color="auto"/>
              <w:right w:val="single" w:sz="2" w:space="0" w:color="auto"/>
            </w:tcBorders>
            <w:vAlign w:val="center"/>
          </w:tcPr>
          <w:p w14:paraId="7C47ED2F"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hint="eastAsia"/>
                <w:sz w:val="21"/>
                <w:szCs w:val="21"/>
              </w:rPr>
              <w:t>矸石处置现状</w:t>
            </w:r>
          </w:p>
        </w:tc>
      </w:tr>
      <w:tr w:rsidR="009C353B" w14:paraId="35ED1DE7" w14:textId="77777777">
        <w:trPr>
          <w:trHeight w:val="316"/>
          <w:jc w:val="center"/>
        </w:trPr>
        <w:tc>
          <w:tcPr>
            <w:tcW w:w="415" w:type="dxa"/>
            <w:tcBorders>
              <w:left w:val="single" w:sz="8" w:space="0" w:color="auto"/>
            </w:tcBorders>
            <w:vAlign w:val="center"/>
          </w:tcPr>
          <w:p w14:paraId="6B4E56BB"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hint="eastAsia"/>
                <w:sz w:val="21"/>
                <w:szCs w:val="21"/>
              </w:rPr>
              <w:t>1</w:t>
            </w:r>
          </w:p>
        </w:tc>
        <w:tc>
          <w:tcPr>
            <w:tcW w:w="1417" w:type="dxa"/>
            <w:tcBorders>
              <w:right w:val="single" w:sz="8" w:space="0" w:color="auto"/>
            </w:tcBorders>
            <w:vAlign w:val="center"/>
          </w:tcPr>
          <w:p w14:paraId="376222B8"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红石湾煤矿</w:t>
            </w:r>
          </w:p>
        </w:tc>
        <w:tc>
          <w:tcPr>
            <w:tcW w:w="1134" w:type="dxa"/>
            <w:vAlign w:val="center"/>
          </w:tcPr>
          <w:p w14:paraId="4ADABE24"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掘进：</w:t>
            </w:r>
            <w:r>
              <w:rPr>
                <w:rFonts w:ascii="Times New Roman" w:hAnsi="Times New Roman"/>
                <w:sz w:val="21"/>
                <w:szCs w:val="21"/>
              </w:rPr>
              <w:t>8.7</w:t>
            </w:r>
          </w:p>
          <w:p w14:paraId="44BD47FD"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洗选：</w:t>
            </w:r>
            <w:r>
              <w:rPr>
                <w:rFonts w:ascii="Times New Roman" w:hAnsi="Times New Roman" w:hint="eastAsia"/>
                <w:sz w:val="21"/>
                <w:szCs w:val="21"/>
              </w:rPr>
              <w:t>36</w:t>
            </w:r>
          </w:p>
        </w:tc>
        <w:tc>
          <w:tcPr>
            <w:tcW w:w="6090" w:type="dxa"/>
            <w:vAlign w:val="center"/>
          </w:tcPr>
          <w:p w14:paraId="2C7F97BE"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矿井建设临时排矸场</w:t>
            </w:r>
            <w:r>
              <w:rPr>
                <w:rFonts w:ascii="Times New Roman" w:hAnsi="Times New Roman" w:hint="eastAsia"/>
                <w:sz w:val="21"/>
                <w:szCs w:val="21"/>
              </w:rPr>
              <w:t>1</w:t>
            </w:r>
            <w:r>
              <w:rPr>
                <w:rFonts w:ascii="Times New Roman" w:hAnsi="Times New Roman" w:hint="eastAsia"/>
                <w:sz w:val="21"/>
                <w:szCs w:val="21"/>
              </w:rPr>
              <w:t>座，位于工业场地西南侧</w:t>
            </w:r>
            <w:r>
              <w:rPr>
                <w:rFonts w:ascii="Times New Roman" w:hAnsi="Times New Roman" w:hint="eastAsia"/>
                <w:sz w:val="21"/>
                <w:szCs w:val="21"/>
              </w:rPr>
              <w:t>2km</w:t>
            </w:r>
            <w:r>
              <w:rPr>
                <w:rFonts w:ascii="Times New Roman" w:hAnsi="Times New Roman" w:hint="eastAsia"/>
                <w:sz w:val="21"/>
                <w:szCs w:val="21"/>
              </w:rPr>
              <w:t>处，占地面积</w:t>
            </w:r>
            <w:r>
              <w:rPr>
                <w:rFonts w:ascii="Times New Roman" w:hAnsi="Times New Roman" w:hint="eastAsia"/>
                <w:sz w:val="21"/>
                <w:szCs w:val="21"/>
              </w:rPr>
              <w:t>2.00hm</w:t>
            </w:r>
            <w:r>
              <w:rPr>
                <w:rFonts w:ascii="Times New Roman" w:hAnsi="Times New Roman" w:hint="eastAsia"/>
                <w:sz w:val="21"/>
                <w:szCs w:val="21"/>
                <w:vertAlign w:val="superscript"/>
              </w:rPr>
              <w:t>2</w:t>
            </w:r>
            <w:r>
              <w:rPr>
                <w:rFonts w:ascii="Times New Roman" w:hAnsi="Times New Roman" w:hint="eastAsia"/>
                <w:sz w:val="21"/>
                <w:szCs w:val="21"/>
              </w:rPr>
              <w:t>，总库容</w:t>
            </w:r>
            <w:r>
              <w:rPr>
                <w:rFonts w:ascii="Times New Roman" w:hAnsi="Times New Roman" w:hint="eastAsia"/>
                <w:sz w:val="21"/>
                <w:szCs w:val="21"/>
              </w:rPr>
              <w:t>14</w:t>
            </w:r>
            <w:r>
              <w:rPr>
                <w:rFonts w:ascii="Times New Roman" w:hAnsi="Times New Roman" w:hint="eastAsia"/>
                <w:sz w:val="21"/>
                <w:szCs w:val="21"/>
              </w:rPr>
              <w:t>万</w:t>
            </w:r>
            <w:r>
              <w:rPr>
                <w:rFonts w:ascii="Times New Roman" w:hAnsi="Times New Roman" w:hint="eastAsia"/>
                <w:sz w:val="21"/>
                <w:szCs w:val="21"/>
              </w:rPr>
              <w:t>m</w:t>
            </w:r>
            <w:r>
              <w:rPr>
                <w:rFonts w:ascii="Times New Roman" w:hAnsi="Times New Roman" w:hint="eastAsia"/>
                <w:sz w:val="21"/>
                <w:szCs w:val="21"/>
                <w:vertAlign w:val="superscript"/>
              </w:rPr>
              <w:t>3</w:t>
            </w:r>
            <w:r>
              <w:rPr>
                <w:rFonts w:ascii="Times New Roman" w:hAnsi="Times New Roman" w:hint="eastAsia"/>
                <w:sz w:val="21"/>
                <w:szCs w:val="21"/>
              </w:rPr>
              <w:t>。排矸场目前已暂存矸石</w:t>
            </w:r>
            <w:r>
              <w:rPr>
                <w:rFonts w:ascii="Times New Roman" w:hAnsi="Times New Roman" w:hint="eastAsia"/>
                <w:sz w:val="21"/>
                <w:szCs w:val="21"/>
              </w:rPr>
              <w:t>16.61</w:t>
            </w:r>
            <w:r>
              <w:rPr>
                <w:rFonts w:ascii="Times New Roman" w:hAnsi="Times New Roman" w:hint="eastAsia"/>
                <w:sz w:val="21"/>
                <w:szCs w:val="21"/>
              </w:rPr>
              <w:t>万</w:t>
            </w:r>
            <w:r>
              <w:rPr>
                <w:rFonts w:ascii="Times New Roman" w:hAnsi="Times New Roman" w:hint="eastAsia"/>
                <w:sz w:val="21"/>
                <w:szCs w:val="21"/>
              </w:rPr>
              <w:t>t</w:t>
            </w:r>
            <w:r>
              <w:rPr>
                <w:rFonts w:ascii="Times New Roman" w:hAnsi="Times New Roman" w:hint="eastAsia"/>
                <w:sz w:val="21"/>
                <w:szCs w:val="21"/>
              </w:rPr>
              <w:t>（</w:t>
            </w:r>
            <w:r>
              <w:rPr>
                <w:rFonts w:ascii="Times New Roman" w:hAnsi="Times New Roman" w:hint="eastAsia"/>
                <w:sz w:val="21"/>
                <w:szCs w:val="21"/>
              </w:rPr>
              <w:t>10.38</w:t>
            </w:r>
            <w:r>
              <w:rPr>
                <w:rFonts w:ascii="Times New Roman" w:hAnsi="Times New Roman" w:hint="eastAsia"/>
                <w:sz w:val="21"/>
                <w:szCs w:val="21"/>
              </w:rPr>
              <w:t>万</w:t>
            </w:r>
            <w:r>
              <w:rPr>
                <w:rFonts w:ascii="Times New Roman" w:hAnsi="Times New Roman" w:hint="eastAsia"/>
                <w:sz w:val="21"/>
                <w:szCs w:val="21"/>
              </w:rPr>
              <w:t>m</w:t>
            </w:r>
            <w:r>
              <w:rPr>
                <w:rFonts w:ascii="Times New Roman" w:hAnsi="Times New Roman" w:hint="eastAsia"/>
                <w:sz w:val="21"/>
                <w:szCs w:val="21"/>
                <w:vertAlign w:val="superscript"/>
              </w:rPr>
              <w:t>3</w:t>
            </w:r>
            <w:r>
              <w:rPr>
                <w:rFonts w:ascii="Times New Roman" w:hAnsi="Times New Roman" w:hint="eastAsia"/>
                <w:sz w:val="21"/>
                <w:szCs w:val="21"/>
              </w:rPr>
              <w:t>），剩余容量</w:t>
            </w:r>
            <w:r>
              <w:rPr>
                <w:rFonts w:ascii="Times New Roman" w:hAnsi="Times New Roman" w:hint="eastAsia"/>
                <w:sz w:val="21"/>
                <w:szCs w:val="21"/>
              </w:rPr>
              <w:t>3.62</w:t>
            </w:r>
            <w:r>
              <w:rPr>
                <w:rFonts w:ascii="Times New Roman" w:hAnsi="Times New Roman" w:hint="eastAsia"/>
                <w:sz w:val="21"/>
                <w:szCs w:val="21"/>
              </w:rPr>
              <w:t>万</w:t>
            </w:r>
            <w:r>
              <w:rPr>
                <w:rFonts w:ascii="Times New Roman" w:hAnsi="Times New Roman" w:hint="eastAsia"/>
                <w:sz w:val="21"/>
                <w:szCs w:val="21"/>
              </w:rPr>
              <w:t>m</w:t>
            </w:r>
            <w:r>
              <w:rPr>
                <w:rFonts w:ascii="Times New Roman" w:hAnsi="Times New Roman" w:hint="eastAsia"/>
                <w:sz w:val="21"/>
                <w:szCs w:val="21"/>
                <w:vertAlign w:val="superscript"/>
              </w:rPr>
              <w:t>3</w:t>
            </w:r>
            <w:r>
              <w:rPr>
                <w:rFonts w:ascii="Times New Roman" w:hAnsi="Times New Roman" w:hint="eastAsia"/>
                <w:sz w:val="21"/>
                <w:szCs w:val="21"/>
              </w:rPr>
              <w:t>，后续矸石充填沉陷区。目前无洗选矸石产生。</w:t>
            </w:r>
          </w:p>
        </w:tc>
      </w:tr>
      <w:tr w:rsidR="009C353B" w14:paraId="2CCD3201" w14:textId="77777777">
        <w:trPr>
          <w:trHeight w:val="316"/>
          <w:jc w:val="center"/>
        </w:trPr>
        <w:tc>
          <w:tcPr>
            <w:tcW w:w="415" w:type="dxa"/>
            <w:tcBorders>
              <w:left w:val="single" w:sz="8" w:space="0" w:color="auto"/>
            </w:tcBorders>
            <w:vAlign w:val="center"/>
          </w:tcPr>
          <w:p w14:paraId="64A10480"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hint="eastAsia"/>
                <w:sz w:val="21"/>
                <w:szCs w:val="21"/>
              </w:rPr>
              <w:t>2</w:t>
            </w:r>
          </w:p>
        </w:tc>
        <w:tc>
          <w:tcPr>
            <w:tcW w:w="1417" w:type="dxa"/>
            <w:tcBorders>
              <w:right w:val="single" w:sz="8" w:space="0" w:color="auto"/>
            </w:tcBorders>
            <w:vAlign w:val="center"/>
          </w:tcPr>
          <w:p w14:paraId="10369DAF"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马莲台煤矿</w:t>
            </w:r>
          </w:p>
        </w:tc>
        <w:tc>
          <w:tcPr>
            <w:tcW w:w="1134" w:type="dxa"/>
            <w:vAlign w:val="center"/>
          </w:tcPr>
          <w:p w14:paraId="1A4C0DBB"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掘进：</w:t>
            </w:r>
            <w:r>
              <w:rPr>
                <w:rFonts w:ascii="Times New Roman" w:hAnsi="Times New Roman"/>
                <w:sz w:val="21"/>
                <w:szCs w:val="21"/>
              </w:rPr>
              <w:t>37</w:t>
            </w:r>
          </w:p>
          <w:p w14:paraId="72B77986"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洗选：</w:t>
            </w:r>
            <w:r>
              <w:rPr>
                <w:rFonts w:ascii="Times New Roman" w:hAnsi="Times New Roman" w:hint="eastAsia"/>
                <w:sz w:val="21"/>
                <w:szCs w:val="21"/>
              </w:rPr>
              <w:t>311</w:t>
            </w:r>
          </w:p>
        </w:tc>
        <w:tc>
          <w:tcPr>
            <w:tcW w:w="6090" w:type="dxa"/>
            <w:vAlign w:val="center"/>
          </w:tcPr>
          <w:p w14:paraId="03BE0B89"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原排矸场位于工业场地东北的部分冲沟及东侧的平地，该场地已服务期满并封场绿化。现阶段排矸场已取得环评批复，位于工业场地东北</w:t>
            </w:r>
            <w:r>
              <w:rPr>
                <w:rFonts w:ascii="Times New Roman" w:hAnsi="Times New Roman" w:hint="eastAsia"/>
                <w:sz w:val="21"/>
                <w:szCs w:val="21"/>
              </w:rPr>
              <w:t>600</w:t>
            </w:r>
            <w:r>
              <w:rPr>
                <w:rFonts w:ascii="Times New Roman" w:hAnsi="Times New Roman" w:hint="eastAsia"/>
                <w:sz w:val="21"/>
                <w:szCs w:val="21"/>
              </w:rPr>
              <w:t>米，水洞沟以南，占地约</w:t>
            </w:r>
            <w:r>
              <w:rPr>
                <w:rFonts w:ascii="Times New Roman" w:hAnsi="Times New Roman" w:hint="eastAsia"/>
                <w:sz w:val="21"/>
                <w:szCs w:val="21"/>
              </w:rPr>
              <w:t>33hm</w:t>
            </w:r>
            <w:r>
              <w:rPr>
                <w:rFonts w:ascii="Times New Roman" w:hAnsi="Times New Roman" w:hint="eastAsia"/>
                <w:sz w:val="21"/>
                <w:szCs w:val="21"/>
                <w:vertAlign w:val="superscript"/>
              </w:rPr>
              <w:t>2</w:t>
            </w:r>
            <w:r>
              <w:rPr>
                <w:rFonts w:ascii="Times New Roman" w:hAnsi="Times New Roman" w:hint="eastAsia"/>
                <w:sz w:val="21"/>
                <w:szCs w:val="21"/>
              </w:rPr>
              <w:t>，总库容</w:t>
            </w:r>
            <w:r>
              <w:rPr>
                <w:rFonts w:ascii="Times New Roman" w:hAnsi="Times New Roman" w:hint="eastAsia"/>
                <w:sz w:val="21"/>
                <w:szCs w:val="21"/>
              </w:rPr>
              <w:t>560</w:t>
            </w:r>
            <w:r>
              <w:rPr>
                <w:rFonts w:ascii="Times New Roman" w:hAnsi="Times New Roman" w:hint="eastAsia"/>
                <w:sz w:val="21"/>
                <w:szCs w:val="21"/>
              </w:rPr>
              <w:t>万</w:t>
            </w:r>
            <w:r>
              <w:rPr>
                <w:rFonts w:ascii="Times New Roman" w:hAnsi="Times New Roman" w:hint="eastAsia"/>
                <w:sz w:val="21"/>
                <w:szCs w:val="21"/>
              </w:rPr>
              <w:t>m</w:t>
            </w:r>
            <w:r>
              <w:rPr>
                <w:rFonts w:ascii="Times New Roman" w:hAnsi="Times New Roman" w:hint="eastAsia"/>
                <w:sz w:val="21"/>
                <w:szCs w:val="21"/>
                <w:vertAlign w:val="superscript"/>
              </w:rPr>
              <w:t>3</w:t>
            </w:r>
            <w:r>
              <w:rPr>
                <w:rFonts w:ascii="Times New Roman" w:hAnsi="Times New Roman" w:hint="eastAsia"/>
                <w:sz w:val="21"/>
                <w:szCs w:val="21"/>
              </w:rPr>
              <w:t>。</w:t>
            </w:r>
          </w:p>
        </w:tc>
      </w:tr>
      <w:tr w:rsidR="009C353B" w14:paraId="5F015768" w14:textId="77777777">
        <w:trPr>
          <w:trHeight w:val="316"/>
          <w:jc w:val="center"/>
        </w:trPr>
        <w:tc>
          <w:tcPr>
            <w:tcW w:w="415" w:type="dxa"/>
            <w:tcBorders>
              <w:left w:val="single" w:sz="8" w:space="0" w:color="auto"/>
            </w:tcBorders>
            <w:vAlign w:val="center"/>
          </w:tcPr>
          <w:p w14:paraId="570422C9"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hint="eastAsia"/>
                <w:sz w:val="21"/>
                <w:szCs w:val="21"/>
              </w:rPr>
              <w:t>3</w:t>
            </w:r>
          </w:p>
        </w:tc>
        <w:tc>
          <w:tcPr>
            <w:tcW w:w="1417" w:type="dxa"/>
            <w:tcBorders>
              <w:right w:val="single" w:sz="8" w:space="0" w:color="auto"/>
            </w:tcBorders>
            <w:vAlign w:val="center"/>
          </w:tcPr>
          <w:p w14:paraId="54B74B5D"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任家庄煤矿</w:t>
            </w:r>
          </w:p>
        </w:tc>
        <w:tc>
          <w:tcPr>
            <w:tcW w:w="1134" w:type="dxa"/>
            <w:vAlign w:val="center"/>
          </w:tcPr>
          <w:p w14:paraId="16D32087"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掘进：</w:t>
            </w:r>
            <w:r>
              <w:rPr>
                <w:rFonts w:ascii="Times New Roman" w:hAnsi="Times New Roman"/>
                <w:sz w:val="21"/>
                <w:szCs w:val="21"/>
              </w:rPr>
              <w:t>9</w:t>
            </w:r>
          </w:p>
          <w:p w14:paraId="3C93AA8B"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洗选：</w:t>
            </w:r>
            <w:r>
              <w:rPr>
                <w:rFonts w:ascii="Times New Roman" w:hAnsi="Times New Roman" w:hint="eastAsia"/>
                <w:sz w:val="21"/>
                <w:szCs w:val="21"/>
              </w:rPr>
              <w:t>148</w:t>
            </w:r>
          </w:p>
        </w:tc>
        <w:tc>
          <w:tcPr>
            <w:tcW w:w="6090" w:type="dxa"/>
            <w:vAlign w:val="center"/>
          </w:tcPr>
          <w:p w14:paraId="080265A0"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原排矸场位于工业场地南</w:t>
            </w:r>
            <w:r>
              <w:rPr>
                <w:rFonts w:ascii="Times New Roman" w:hAnsi="Times New Roman" w:hint="eastAsia"/>
                <w:sz w:val="21"/>
                <w:szCs w:val="21"/>
              </w:rPr>
              <w:t>1.5km</w:t>
            </w:r>
            <w:r>
              <w:rPr>
                <w:rFonts w:ascii="Times New Roman" w:hAnsi="Times New Roman" w:hint="eastAsia"/>
                <w:sz w:val="21"/>
                <w:szCs w:val="21"/>
              </w:rPr>
              <w:t>处，占地面积</w:t>
            </w:r>
            <w:r>
              <w:rPr>
                <w:rFonts w:ascii="Times New Roman" w:hAnsi="Times New Roman" w:hint="eastAsia"/>
                <w:sz w:val="21"/>
                <w:szCs w:val="21"/>
              </w:rPr>
              <w:t>7.12hm</w:t>
            </w:r>
            <w:r>
              <w:rPr>
                <w:rFonts w:ascii="Times New Roman" w:hAnsi="Times New Roman" w:hint="eastAsia"/>
                <w:sz w:val="21"/>
                <w:szCs w:val="21"/>
                <w:vertAlign w:val="superscript"/>
              </w:rPr>
              <w:t>2</w:t>
            </w:r>
            <w:r>
              <w:rPr>
                <w:rFonts w:ascii="Times New Roman" w:hAnsi="Times New Roman" w:hint="eastAsia"/>
                <w:sz w:val="21"/>
                <w:szCs w:val="21"/>
              </w:rPr>
              <w:t>，容量为</w:t>
            </w:r>
            <w:r>
              <w:rPr>
                <w:rFonts w:ascii="Times New Roman" w:hAnsi="Times New Roman" w:hint="eastAsia"/>
                <w:sz w:val="21"/>
                <w:szCs w:val="21"/>
              </w:rPr>
              <w:t>85</w:t>
            </w:r>
            <w:r>
              <w:rPr>
                <w:rFonts w:ascii="Times New Roman" w:hAnsi="Times New Roman" w:hint="eastAsia"/>
                <w:sz w:val="21"/>
                <w:szCs w:val="21"/>
              </w:rPr>
              <w:t>万</w:t>
            </w:r>
            <w:r>
              <w:rPr>
                <w:rFonts w:ascii="Times New Roman" w:hAnsi="Times New Roman" w:hint="eastAsia"/>
                <w:sz w:val="21"/>
                <w:szCs w:val="21"/>
              </w:rPr>
              <w:t>m</w:t>
            </w:r>
            <w:r>
              <w:rPr>
                <w:rFonts w:ascii="Times New Roman" w:hAnsi="Times New Roman" w:hint="eastAsia"/>
                <w:sz w:val="21"/>
                <w:szCs w:val="21"/>
                <w:vertAlign w:val="superscript"/>
              </w:rPr>
              <w:t>3</w:t>
            </w:r>
            <w:r>
              <w:rPr>
                <w:rFonts w:ascii="Times New Roman" w:hAnsi="Times New Roman" w:hint="eastAsia"/>
                <w:sz w:val="21"/>
                <w:szCs w:val="21"/>
              </w:rPr>
              <w:t>，已服务期满并覆土绿化。现阶段矸石委托宁夏聚鑫融工贸有限公司进行处置。</w:t>
            </w:r>
          </w:p>
        </w:tc>
      </w:tr>
    </w:tbl>
    <w:p w14:paraId="5183180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目前三个</w:t>
      </w:r>
      <w:r>
        <w:rPr>
          <w:rFonts w:ascii="Times New Roman" w:hAnsi="Times New Roman"/>
          <w:szCs w:val="24"/>
        </w:rPr>
        <w:t>生产矿井</w:t>
      </w:r>
      <w:r>
        <w:rPr>
          <w:rFonts w:ascii="Times New Roman" w:hAnsi="Times New Roman" w:hint="eastAsia"/>
          <w:szCs w:val="24"/>
        </w:rPr>
        <w:t>排矸场中</w:t>
      </w:r>
      <w:r>
        <w:rPr>
          <w:rFonts w:ascii="Times New Roman" w:hAnsi="Times New Roman"/>
          <w:szCs w:val="24"/>
        </w:rPr>
        <w:t>，任家庄煤矿</w:t>
      </w:r>
      <w:r>
        <w:rPr>
          <w:rFonts w:ascii="Times New Roman" w:hAnsi="Times New Roman" w:hint="eastAsia"/>
          <w:szCs w:val="24"/>
        </w:rPr>
        <w:t>原</w:t>
      </w:r>
      <w:r>
        <w:rPr>
          <w:rFonts w:ascii="Times New Roman" w:hAnsi="Times New Roman"/>
          <w:szCs w:val="24"/>
        </w:rPr>
        <w:t>矸石场已</w:t>
      </w:r>
      <w:r>
        <w:rPr>
          <w:rFonts w:ascii="Times New Roman" w:hAnsi="Times New Roman" w:hint="eastAsia"/>
          <w:szCs w:val="24"/>
        </w:rPr>
        <w:t>封场</w:t>
      </w:r>
      <w:r>
        <w:rPr>
          <w:rFonts w:ascii="Times New Roman" w:hAnsi="Times New Roman"/>
          <w:szCs w:val="24"/>
        </w:rPr>
        <w:t>并全部覆土绿化，</w:t>
      </w:r>
      <w:r>
        <w:rPr>
          <w:rFonts w:ascii="Times New Roman" w:hAnsi="Times New Roman" w:hint="eastAsia"/>
          <w:szCs w:val="24"/>
        </w:rPr>
        <w:t>现有</w:t>
      </w:r>
      <w:r>
        <w:rPr>
          <w:rFonts w:ascii="Times New Roman" w:hAnsi="Times New Roman"/>
          <w:szCs w:val="24"/>
        </w:rPr>
        <w:t>矸石</w:t>
      </w:r>
      <w:r>
        <w:rPr>
          <w:rFonts w:ascii="Times New Roman" w:hAnsi="Times New Roman" w:hint="eastAsia"/>
          <w:szCs w:val="24"/>
        </w:rPr>
        <w:t>外委宁夏聚鑫融工贸有限公司进行</w:t>
      </w:r>
      <w:r>
        <w:rPr>
          <w:rFonts w:ascii="Times New Roman" w:hAnsi="Times New Roman"/>
          <w:szCs w:val="24"/>
        </w:rPr>
        <w:t>处理</w:t>
      </w:r>
      <w:r>
        <w:rPr>
          <w:rFonts w:ascii="Times New Roman" w:hAnsi="Times New Roman" w:hint="eastAsia"/>
          <w:szCs w:val="24"/>
        </w:rPr>
        <w:t>，并依法签订处置合同。宁夏聚鑫融工贸有限公司</w:t>
      </w:r>
      <w:r>
        <w:rPr>
          <w:rFonts w:ascii="Times New Roman" w:hAnsi="Times New Roman"/>
          <w:szCs w:val="24"/>
        </w:rPr>
        <w:t>成立于</w:t>
      </w:r>
      <w:r>
        <w:rPr>
          <w:rFonts w:ascii="Times New Roman" w:hAnsi="Times New Roman"/>
          <w:szCs w:val="24"/>
        </w:rPr>
        <w:t>2015</w:t>
      </w:r>
      <w:r>
        <w:rPr>
          <w:rFonts w:ascii="Times New Roman" w:hAnsi="Times New Roman"/>
          <w:szCs w:val="24"/>
        </w:rPr>
        <w:t>年，经营范围包括煤矸石、煤炭的加工及销售；水泥、水泥熟料及水泥制品、粉煤灰的销售</w:t>
      </w:r>
      <w:r>
        <w:rPr>
          <w:rFonts w:ascii="Times New Roman" w:hAnsi="Times New Roman" w:hint="eastAsia"/>
          <w:szCs w:val="24"/>
        </w:rPr>
        <w:t>等。</w:t>
      </w:r>
    </w:p>
    <w:p w14:paraId="2D3DD04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红石湾</w:t>
      </w:r>
      <w:r>
        <w:rPr>
          <w:rFonts w:ascii="Times New Roman" w:hAnsi="Times New Roman"/>
          <w:szCs w:val="24"/>
        </w:rPr>
        <w:t>煤矿排矸场</w:t>
      </w:r>
      <w:r>
        <w:rPr>
          <w:rFonts w:ascii="Times New Roman" w:hAnsi="Times New Roman" w:hint="eastAsia"/>
          <w:szCs w:val="24"/>
        </w:rPr>
        <w:t>正在使用中，部分已覆土绿化。</w:t>
      </w:r>
    </w:p>
    <w:p w14:paraId="376C5125"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马莲台</w:t>
      </w:r>
      <w:r>
        <w:rPr>
          <w:rFonts w:ascii="Times New Roman" w:hAnsi="Times New Roman"/>
          <w:szCs w:val="24"/>
        </w:rPr>
        <w:t>煤矿</w:t>
      </w:r>
      <w:r>
        <w:rPr>
          <w:rFonts w:ascii="Times New Roman" w:hAnsi="Times New Roman" w:hint="eastAsia"/>
          <w:szCs w:val="24"/>
        </w:rPr>
        <w:t>原</w:t>
      </w:r>
      <w:r>
        <w:rPr>
          <w:rFonts w:ascii="Times New Roman" w:hAnsi="Times New Roman"/>
          <w:szCs w:val="24"/>
        </w:rPr>
        <w:t>排矸场已于</w:t>
      </w:r>
      <w:r>
        <w:rPr>
          <w:rFonts w:ascii="Times New Roman" w:hAnsi="Times New Roman" w:hint="eastAsia"/>
          <w:szCs w:val="24"/>
        </w:rPr>
        <w:t>2012</w:t>
      </w:r>
      <w:r>
        <w:rPr>
          <w:rFonts w:ascii="Times New Roman" w:hAnsi="Times New Roman" w:hint="eastAsia"/>
          <w:szCs w:val="24"/>
        </w:rPr>
        <w:t>年</w:t>
      </w:r>
      <w:r>
        <w:rPr>
          <w:rFonts w:ascii="Times New Roman" w:hAnsi="Times New Roman"/>
          <w:szCs w:val="24"/>
        </w:rPr>
        <w:t>封场并覆土绿化，现排矸场</w:t>
      </w:r>
      <w:r>
        <w:rPr>
          <w:rFonts w:ascii="Times New Roman" w:hAnsi="Times New Roman" w:hint="eastAsia"/>
          <w:szCs w:val="24"/>
        </w:rPr>
        <w:t>正在使用中，部分</w:t>
      </w:r>
      <w:r>
        <w:rPr>
          <w:rFonts w:ascii="Times New Roman" w:hAnsi="Times New Roman"/>
          <w:szCs w:val="24"/>
        </w:rPr>
        <w:t>已覆土绿化。</w:t>
      </w:r>
    </w:p>
    <w:p w14:paraId="5171BD0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排矸场情况见图</w:t>
      </w:r>
      <w:r>
        <w:rPr>
          <w:rFonts w:ascii="Times New Roman" w:hAnsi="Times New Roman" w:hint="eastAsia"/>
          <w:szCs w:val="24"/>
        </w:rPr>
        <w:t>4</w:t>
      </w:r>
      <w:r>
        <w:rPr>
          <w:rFonts w:ascii="Times New Roman" w:hAnsi="Times New Roman"/>
          <w:szCs w:val="24"/>
        </w:rPr>
        <w:t>.2</w:t>
      </w:r>
      <w:r>
        <w:rPr>
          <w:rFonts w:ascii="Times New Roman" w:hAnsi="Times New Roman" w:hint="eastAsia"/>
          <w:szCs w:val="24"/>
        </w:rPr>
        <w:t>-</w:t>
      </w:r>
      <w:r>
        <w:rPr>
          <w:rFonts w:ascii="Times New Roman" w:hAnsi="Times New Roman"/>
          <w:szCs w:val="24"/>
        </w:rPr>
        <w:t>8</w:t>
      </w:r>
      <w:r>
        <w:rPr>
          <w:rFonts w:ascii="Times New Roman" w:hAnsi="Times New Roman" w:hint="eastAsia"/>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96"/>
        <w:gridCol w:w="4197"/>
      </w:tblGrid>
      <w:tr w:rsidR="009C353B" w14:paraId="625D9D6B" w14:textId="77777777">
        <w:trPr>
          <w:trHeight w:val="2597"/>
          <w:jc w:val="center"/>
        </w:trPr>
        <w:tc>
          <w:tcPr>
            <w:tcW w:w="4196" w:type="dxa"/>
            <w:tcBorders>
              <w:top w:val="single" w:sz="4" w:space="0" w:color="auto"/>
              <w:left w:val="single" w:sz="4" w:space="0" w:color="auto"/>
              <w:bottom w:val="single" w:sz="4" w:space="0" w:color="auto"/>
              <w:right w:val="single" w:sz="4" w:space="0" w:color="auto"/>
            </w:tcBorders>
            <w:vAlign w:val="center"/>
          </w:tcPr>
          <w:p w14:paraId="136C8A8F" w14:textId="77777777" w:rsidR="009C353B" w:rsidRDefault="00000000">
            <w:pPr>
              <w:adjustRightInd w:val="0"/>
              <w:snapToGrid w:val="0"/>
              <w:jc w:val="center"/>
              <w:rPr>
                <w:rFonts w:hint="eastAsia"/>
                <w:b/>
              </w:rPr>
            </w:pPr>
            <w:r>
              <w:rPr>
                <w:b/>
                <w:noProof/>
              </w:rPr>
              <w:drawing>
                <wp:inline distT="0" distB="0" distL="0" distR="0" wp14:anchorId="302B5881" wp14:editId="09EF1BB1">
                  <wp:extent cx="2315210" cy="1594485"/>
                  <wp:effectExtent l="0" t="0" r="8890" b="5715"/>
                  <wp:docPr id="503"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503"/>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a:xfrm>
                            <a:off x="0" y="0"/>
                            <a:ext cx="2322857" cy="1600123"/>
                          </a:xfrm>
                          <a:prstGeom prst="rect">
                            <a:avLst/>
                          </a:prstGeom>
                          <a:noFill/>
                        </pic:spPr>
                      </pic:pic>
                    </a:graphicData>
                  </a:graphic>
                </wp:inline>
              </w:drawing>
            </w:r>
          </w:p>
        </w:tc>
        <w:tc>
          <w:tcPr>
            <w:tcW w:w="4197" w:type="dxa"/>
            <w:tcBorders>
              <w:top w:val="single" w:sz="4" w:space="0" w:color="auto"/>
              <w:left w:val="single" w:sz="4" w:space="0" w:color="auto"/>
              <w:bottom w:val="single" w:sz="4" w:space="0" w:color="auto"/>
              <w:right w:val="single" w:sz="4" w:space="0" w:color="auto"/>
            </w:tcBorders>
            <w:vAlign w:val="center"/>
          </w:tcPr>
          <w:p w14:paraId="460C5675" w14:textId="77777777" w:rsidR="009C353B" w:rsidRDefault="00000000">
            <w:pPr>
              <w:adjustRightInd w:val="0"/>
              <w:snapToGrid w:val="0"/>
              <w:jc w:val="center"/>
              <w:rPr>
                <w:rFonts w:hint="eastAsia"/>
                <w:b/>
              </w:rPr>
            </w:pPr>
            <w:r>
              <w:rPr>
                <w:noProof/>
              </w:rPr>
              <w:drawing>
                <wp:inline distT="0" distB="0" distL="0" distR="0" wp14:anchorId="35060C13" wp14:editId="440A0646">
                  <wp:extent cx="2308860" cy="1635760"/>
                  <wp:effectExtent l="0" t="0" r="0" b="2540"/>
                  <wp:docPr id="504"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图片 504"/>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a:xfrm>
                            <a:off x="0" y="0"/>
                            <a:ext cx="2325391" cy="1647053"/>
                          </a:xfrm>
                          <a:prstGeom prst="rect">
                            <a:avLst/>
                          </a:prstGeom>
                          <a:noFill/>
                          <a:ln>
                            <a:noFill/>
                          </a:ln>
                        </pic:spPr>
                      </pic:pic>
                    </a:graphicData>
                  </a:graphic>
                </wp:inline>
              </w:drawing>
            </w:r>
          </w:p>
        </w:tc>
      </w:tr>
      <w:tr w:rsidR="009C353B" w14:paraId="3DA6483B" w14:textId="77777777">
        <w:trPr>
          <w:jc w:val="center"/>
        </w:trPr>
        <w:tc>
          <w:tcPr>
            <w:tcW w:w="8393" w:type="dxa"/>
            <w:gridSpan w:val="2"/>
            <w:vAlign w:val="center"/>
          </w:tcPr>
          <w:p w14:paraId="3C6D06AF" w14:textId="77777777" w:rsidR="009C353B" w:rsidRDefault="00000000">
            <w:pPr>
              <w:adjustRightInd w:val="0"/>
              <w:snapToGrid w:val="0"/>
              <w:jc w:val="center"/>
              <w:rPr>
                <w:rFonts w:hint="eastAsia"/>
                <w:b/>
              </w:rPr>
            </w:pPr>
            <w:r>
              <w:rPr>
                <w:rFonts w:ascii="Times New Roman" w:hint="eastAsia"/>
                <w:sz w:val="21"/>
                <w:szCs w:val="16"/>
              </w:rPr>
              <w:t>任家庄原</w:t>
            </w:r>
            <w:r>
              <w:rPr>
                <w:rFonts w:ascii="Times New Roman"/>
                <w:sz w:val="21"/>
                <w:szCs w:val="16"/>
              </w:rPr>
              <w:t>排矸场</w:t>
            </w:r>
            <w:r>
              <w:rPr>
                <w:rFonts w:ascii="Times New Roman" w:hint="eastAsia"/>
                <w:sz w:val="21"/>
                <w:szCs w:val="16"/>
              </w:rPr>
              <w:t xml:space="preserve"> </w:t>
            </w:r>
            <w:r>
              <w:rPr>
                <w:rFonts w:ascii="Times New Roman" w:hint="eastAsia"/>
                <w:sz w:val="21"/>
                <w:szCs w:val="16"/>
              </w:rPr>
              <w:t>已恢复</w:t>
            </w:r>
          </w:p>
        </w:tc>
      </w:tr>
      <w:tr w:rsidR="009C353B" w14:paraId="7C05D51E" w14:textId="77777777">
        <w:trPr>
          <w:trHeight w:val="2609"/>
          <w:jc w:val="center"/>
        </w:trPr>
        <w:tc>
          <w:tcPr>
            <w:tcW w:w="4196" w:type="dxa"/>
            <w:vAlign w:val="center"/>
          </w:tcPr>
          <w:p w14:paraId="2F2DE56A" w14:textId="77777777" w:rsidR="009C353B" w:rsidRDefault="00000000">
            <w:pPr>
              <w:adjustRightInd w:val="0"/>
              <w:snapToGrid w:val="0"/>
              <w:jc w:val="center"/>
              <w:rPr>
                <w:rFonts w:hint="eastAsia"/>
                <w:b/>
              </w:rPr>
            </w:pPr>
            <w:r>
              <w:rPr>
                <w:b/>
                <w:noProof/>
              </w:rPr>
              <w:drawing>
                <wp:inline distT="0" distB="0" distL="0" distR="0" wp14:anchorId="4F9F8F4F" wp14:editId="3749A869">
                  <wp:extent cx="2322830" cy="1603375"/>
                  <wp:effectExtent l="0" t="0" r="1270" b="0"/>
                  <wp:docPr id="501"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501"/>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a:xfrm>
                            <a:off x="0" y="0"/>
                            <a:ext cx="2322830" cy="1603375"/>
                          </a:xfrm>
                          <a:prstGeom prst="rect">
                            <a:avLst/>
                          </a:prstGeom>
                          <a:noFill/>
                        </pic:spPr>
                      </pic:pic>
                    </a:graphicData>
                  </a:graphic>
                </wp:inline>
              </w:drawing>
            </w:r>
          </w:p>
        </w:tc>
        <w:tc>
          <w:tcPr>
            <w:tcW w:w="4197" w:type="dxa"/>
            <w:vAlign w:val="center"/>
          </w:tcPr>
          <w:p w14:paraId="0EC6CF27" w14:textId="77777777" w:rsidR="009C353B" w:rsidRDefault="00000000">
            <w:pPr>
              <w:adjustRightInd w:val="0"/>
              <w:snapToGrid w:val="0"/>
              <w:jc w:val="center"/>
              <w:rPr>
                <w:rFonts w:hint="eastAsia"/>
                <w:b/>
              </w:rPr>
            </w:pPr>
            <w:r>
              <w:rPr>
                <w:noProof/>
              </w:rPr>
              <w:drawing>
                <wp:inline distT="0" distB="0" distL="0" distR="0" wp14:anchorId="1FCE8E67" wp14:editId="5239B91E">
                  <wp:extent cx="2296795" cy="1626870"/>
                  <wp:effectExtent l="0" t="0" r="8255" b="0"/>
                  <wp:docPr id="506" name="图片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图片 506"/>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a:xfrm>
                            <a:off x="0" y="0"/>
                            <a:ext cx="2319064" cy="1642633"/>
                          </a:xfrm>
                          <a:prstGeom prst="rect">
                            <a:avLst/>
                          </a:prstGeom>
                          <a:noFill/>
                          <a:ln>
                            <a:noFill/>
                          </a:ln>
                        </pic:spPr>
                      </pic:pic>
                    </a:graphicData>
                  </a:graphic>
                </wp:inline>
              </w:drawing>
            </w:r>
          </w:p>
        </w:tc>
      </w:tr>
      <w:tr w:rsidR="009C353B" w14:paraId="7AAD9964" w14:textId="77777777">
        <w:trPr>
          <w:jc w:val="center"/>
        </w:trPr>
        <w:tc>
          <w:tcPr>
            <w:tcW w:w="4196" w:type="dxa"/>
            <w:vAlign w:val="center"/>
          </w:tcPr>
          <w:p w14:paraId="06CDEAD2" w14:textId="77777777" w:rsidR="009C353B" w:rsidRDefault="00000000">
            <w:pPr>
              <w:adjustRightInd w:val="0"/>
              <w:snapToGrid w:val="0"/>
              <w:jc w:val="center"/>
              <w:rPr>
                <w:rFonts w:hint="eastAsia"/>
                <w:b/>
                <w:sz w:val="22"/>
                <w:szCs w:val="18"/>
              </w:rPr>
            </w:pPr>
            <w:r>
              <w:rPr>
                <w:rFonts w:ascii="Times New Roman" w:hint="eastAsia"/>
                <w:sz w:val="22"/>
                <w:szCs w:val="18"/>
              </w:rPr>
              <w:t>红石湾</w:t>
            </w:r>
            <w:r>
              <w:rPr>
                <w:rFonts w:ascii="Times New Roman"/>
                <w:sz w:val="22"/>
                <w:szCs w:val="18"/>
              </w:rPr>
              <w:t>排矸场</w:t>
            </w:r>
            <w:r>
              <w:rPr>
                <w:rFonts w:ascii="Times New Roman" w:hint="eastAsia"/>
                <w:sz w:val="22"/>
                <w:szCs w:val="18"/>
              </w:rPr>
              <w:t xml:space="preserve"> </w:t>
            </w:r>
            <w:r>
              <w:rPr>
                <w:rFonts w:ascii="Times New Roman" w:hint="eastAsia"/>
                <w:sz w:val="22"/>
                <w:szCs w:val="18"/>
              </w:rPr>
              <w:t>恢复区</w:t>
            </w:r>
          </w:p>
        </w:tc>
        <w:tc>
          <w:tcPr>
            <w:tcW w:w="4197" w:type="dxa"/>
            <w:vAlign w:val="center"/>
          </w:tcPr>
          <w:p w14:paraId="24B624C7" w14:textId="77777777" w:rsidR="009C353B" w:rsidRDefault="00000000">
            <w:pPr>
              <w:adjustRightInd w:val="0"/>
              <w:snapToGrid w:val="0"/>
              <w:jc w:val="center"/>
              <w:rPr>
                <w:rFonts w:hint="eastAsia"/>
                <w:b/>
                <w:sz w:val="22"/>
                <w:szCs w:val="18"/>
              </w:rPr>
            </w:pPr>
            <w:r>
              <w:rPr>
                <w:rFonts w:ascii="Times New Roman" w:hint="eastAsia"/>
                <w:sz w:val="22"/>
                <w:szCs w:val="18"/>
              </w:rPr>
              <w:t>红石湾</w:t>
            </w:r>
            <w:r>
              <w:rPr>
                <w:rFonts w:ascii="Times New Roman"/>
                <w:sz w:val="22"/>
                <w:szCs w:val="18"/>
              </w:rPr>
              <w:t>排矸场</w:t>
            </w:r>
            <w:r>
              <w:rPr>
                <w:rFonts w:ascii="Times New Roman" w:hint="eastAsia"/>
                <w:sz w:val="22"/>
                <w:szCs w:val="18"/>
              </w:rPr>
              <w:t xml:space="preserve"> </w:t>
            </w:r>
            <w:r>
              <w:rPr>
                <w:rFonts w:ascii="Times New Roman" w:hint="eastAsia"/>
                <w:sz w:val="22"/>
                <w:szCs w:val="18"/>
              </w:rPr>
              <w:t>在用区</w:t>
            </w:r>
          </w:p>
        </w:tc>
      </w:tr>
      <w:tr w:rsidR="009C353B" w14:paraId="44977361" w14:textId="77777777">
        <w:trPr>
          <w:jc w:val="center"/>
        </w:trPr>
        <w:tc>
          <w:tcPr>
            <w:tcW w:w="4196" w:type="dxa"/>
            <w:vAlign w:val="center"/>
          </w:tcPr>
          <w:p w14:paraId="70E28CE2" w14:textId="77777777" w:rsidR="009C353B" w:rsidRDefault="00000000">
            <w:pPr>
              <w:adjustRightInd w:val="0"/>
              <w:snapToGrid w:val="0"/>
              <w:jc w:val="center"/>
              <w:rPr>
                <w:rFonts w:ascii="Times New Roman" w:hint="eastAsia"/>
              </w:rPr>
            </w:pPr>
            <w:r>
              <w:rPr>
                <w:b/>
                <w:noProof/>
              </w:rPr>
              <w:drawing>
                <wp:inline distT="0" distB="0" distL="0" distR="0" wp14:anchorId="0B7F9A7B" wp14:editId="39560759">
                  <wp:extent cx="2268220" cy="1591310"/>
                  <wp:effectExtent l="0" t="0" r="0" b="8890"/>
                  <wp:docPr id="502"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502"/>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a:xfrm>
                            <a:off x="0" y="0"/>
                            <a:ext cx="2268220" cy="1591310"/>
                          </a:xfrm>
                          <a:prstGeom prst="rect">
                            <a:avLst/>
                          </a:prstGeom>
                          <a:noFill/>
                        </pic:spPr>
                      </pic:pic>
                    </a:graphicData>
                  </a:graphic>
                </wp:inline>
              </w:drawing>
            </w:r>
          </w:p>
        </w:tc>
        <w:tc>
          <w:tcPr>
            <w:tcW w:w="4197" w:type="dxa"/>
            <w:vAlign w:val="center"/>
          </w:tcPr>
          <w:p w14:paraId="3E43A82C" w14:textId="77777777" w:rsidR="009C353B" w:rsidRDefault="00000000">
            <w:pPr>
              <w:adjustRightInd w:val="0"/>
              <w:snapToGrid w:val="0"/>
              <w:jc w:val="center"/>
              <w:rPr>
                <w:rFonts w:ascii="Times New Roman" w:hint="eastAsia"/>
              </w:rPr>
            </w:pPr>
            <w:r>
              <w:rPr>
                <w:noProof/>
              </w:rPr>
              <w:drawing>
                <wp:inline distT="0" distB="0" distL="0" distR="0" wp14:anchorId="3464B0AF" wp14:editId="15DAEAC4">
                  <wp:extent cx="2258695" cy="1584325"/>
                  <wp:effectExtent l="0" t="0" r="8255" b="0"/>
                  <wp:docPr id="505"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图片 505"/>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a:xfrm>
                            <a:off x="0" y="0"/>
                            <a:ext cx="2274026" cy="1595008"/>
                          </a:xfrm>
                          <a:prstGeom prst="rect">
                            <a:avLst/>
                          </a:prstGeom>
                          <a:noFill/>
                          <a:ln>
                            <a:noFill/>
                          </a:ln>
                        </pic:spPr>
                      </pic:pic>
                    </a:graphicData>
                  </a:graphic>
                </wp:inline>
              </w:drawing>
            </w:r>
          </w:p>
        </w:tc>
      </w:tr>
      <w:tr w:rsidR="009C353B" w14:paraId="35958349" w14:textId="77777777">
        <w:trPr>
          <w:jc w:val="center"/>
        </w:trPr>
        <w:tc>
          <w:tcPr>
            <w:tcW w:w="4196" w:type="dxa"/>
            <w:vAlign w:val="center"/>
          </w:tcPr>
          <w:p w14:paraId="01323073" w14:textId="77777777" w:rsidR="009C353B" w:rsidRDefault="00000000">
            <w:pPr>
              <w:adjustRightInd w:val="0"/>
              <w:snapToGrid w:val="0"/>
              <w:jc w:val="center"/>
              <w:rPr>
                <w:rFonts w:ascii="Times New Roman" w:hint="eastAsia"/>
                <w:sz w:val="21"/>
                <w:szCs w:val="16"/>
              </w:rPr>
            </w:pPr>
            <w:r>
              <w:rPr>
                <w:rFonts w:ascii="Times New Roman" w:hint="eastAsia"/>
                <w:sz w:val="21"/>
                <w:szCs w:val="16"/>
              </w:rPr>
              <w:t>马莲台</w:t>
            </w:r>
            <w:r>
              <w:rPr>
                <w:rFonts w:ascii="Times New Roman"/>
                <w:sz w:val="21"/>
                <w:szCs w:val="16"/>
              </w:rPr>
              <w:t>排矸场</w:t>
            </w:r>
            <w:r>
              <w:rPr>
                <w:rFonts w:ascii="Times New Roman" w:hint="eastAsia"/>
                <w:sz w:val="21"/>
                <w:szCs w:val="16"/>
              </w:rPr>
              <w:t xml:space="preserve"> </w:t>
            </w:r>
            <w:r>
              <w:rPr>
                <w:rFonts w:ascii="Times New Roman" w:hint="eastAsia"/>
                <w:sz w:val="21"/>
                <w:szCs w:val="16"/>
              </w:rPr>
              <w:t>恢复区</w:t>
            </w:r>
          </w:p>
        </w:tc>
        <w:tc>
          <w:tcPr>
            <w:tcW w:w="4197" w:type="dxa"/>
            <w:vAlign w:val="center"/>
          </w:tcPr>
          <w:p w14:paraId="7D7967F1" w14:textId="77777777" w:rsidR="009C353B" w:rsidRDefault="00000000">
            <w:pPr>
              <w:adjustRightInd w:val="0"/>
              <w:snapToGrid w:val="0"/>
              <w:jc w:val="center"/>
              <w:rPr>
                <w:rFonts w:ascii="Times New Roman" w:hint="eastAsia"/>
                <w:sz w:val="21"/>
                <w:szCs w:val="16"/>
              </w:rPr>
            </w:pPr>
            <w:r>
              <w:rPr>
                <w:rFonts w:ascii="Times New Roman" w:hint="eastAsia"/>
                <w:sz w:val="21"/>
                <w:szCs w:val="16"/>
              </w:rPr>
              <w:t>马莲台</w:t>
            </w:r>
            <w:r>
              <w:rPr>
                <w:rFonts w:ascii="Times New Roman"/>
                <w:sz w:val="21"/>
                <w:szCs w:val="16"/>
              </w:rPr>
              <w:t>排矸场</w:t>
            </w:r>
            <w:r>
              <w:rPr>
                <w:rFonts w:ascii="Times New Roman" w:hint="eastAsia"/>
                <w:sz w:val="21"/>
                <w:szCs w:val="16"/>
              </w:rPr>
              <w:t xml:space="preserve"> </w:t>
            </w:r>
            <w:r>
              <w:rPr>
                <w:rFonts w:ascii="Times New Roman" w:hint="eastAsia"/>
                <w:sz w:val="21"/>
                <w:szCs w:val="16"/>
              </w:rPr>
              <w:t>在用区</w:t>
            </w:r>
          </w:p>
        </w:tc>
      </w:tr>
    </w:tbl>
    <w:p w14:paraId="43DA5AC4" w14:textId="77777777" w:rsidR="009C353B" w:rsidRDefault="00000000">
      <w:pPr>
        <w:adjustRightInd w:val="0"/>
        <w:snapToGrid w:val="0"/>
        <w:spacing w:line="440" w:lineRule="exact"/>
        <w:jc w:val="center"/>
        <w:rPr>
          <w:rFonts w:ascii="Times New Roman" w:hint="eastAsia"/>
          <w:b/>
        </w:rPr>
      </w:pPr>
      <w:r>
        <w:rPr>
          <w:rFonts w:ascii="Times New Roman"/>
          <w:b/>
          <w:bCs/>
          <w:szCs w:val="24"/>
        </w:rPr>
        <w:t>图</w:t>
      </w:r>
      <w:r>
        <w:rPr>
          <w:rFonts w:ascii="Times New Roman"/>
          <w:b/>
          <w:bCs/>
          <w:szCs w:val="24"/>
        </w:rPr>
        <w:t xml:space="preserve">4.2-8 </w:t>
      </w:r>
      <w:r>
        <w:rPr>
          <w:rFonts w:ascii="Times New Roman" w:hint="eastAsia"/>
          <w:b/>
        </w:rPr>
        <w:t>排矸场现状图</w:t>
      </w:r>
    </w:p>
    <w:p w14:paraId="2AD8E37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根据表</w:t>
      </w:r>
      <w:r>
        <w:rPr>
          <w:rFonts w:ascii="Times New Roman" w:hAnsi="Times New Roman" w:hint="eastAsia"/>
          <w:szCs w:val="24"/>
        </w:rPr>
        <w:t>4.2-8</w:t>
      </w:r>
      <w:r>
        <w:rPr>
          <w:rFonts w:ascii="Times New Roman" w:hAnsi="Times New Roman" w:hint="eastAsia"/>
          <w:szCs w:val="24"/>
        </w:rPr>
        <w:t>可知，矿区产生的掘进矸石</w:t>
      </w:r>
      <w:r>
        <w:rPr>
          <w:rFonts w:ascii="Times New Roman" w:hAnsi="Times New Roman" w:hint="eastAsia"/>
        </w:rPr>
        <w:t>各矿井生产期间，原则不升井，回填井下废弃巷道，对环境基本无影响，处置方式是合理的。</w:t>
      </w:r>
      <w:r>
        <w:rPr>
          <w:rFonts w:ascii="Times New Roman" w:hAnsi="Times New Roman" w:hint="eastAsia"/>
          <w:szCs w:val="24"/>
        </w:rPr>
        <w:t>洗选矸石目前以运往排矸场处置为主，虽然符合其环评文件及批复要求，但由于相关环评文件批复时间较久，与现行环境保护政策的要求还有一定距离。所以，一方面各矿应继续做好排矸场的拦挡工程、生态恢复工作，另一方面还应以现行环保政策要求为准，矸石应寻求多种综合利用途径，可采取以下如井下充填、沉陷区治理等方法，</w:t>
      </w:r>
      <w:r>
        <w:rPr>
          <w:rFonts w:ascii="Times New Roman" w:hAnsi="Times New Roman"/>
          <w:szCs w:val="24"/>
        </w:rPr>
        <w:t>提高煤矿矸石利用率</w:t>
      </w:r>
      <w:r>
        <w:rPr>
          <w:rFonts w:ascii="Times New Roman" w:hAnsi="Times New Roman" w:hint="eastAsia"/>
          <w:szCs w:val="24"/>
        </w:rPr>
        <w:t>：</w:t>
      </w:r>
    </w:p>
    <w:p w14:paraId="5D9B83B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1</w:t>
      </w:r>
      <w:r>
        <w:rPr>
          <w:rFonts w:ascii="Times New Roman" w:hAnsi="Times New Roman" w:hint="eastAsia"/>
        </w:rPr>
        <w:t>）宁东镇</w:t>
      </w:r>
      <w:r>
        <w:rPr>
          <w:rFonts w:ascii="Times New Roman" w:hAnsi="Times New Roman"/>
        </w:rPr>
        <w:t>内</w:t>
      </w:r>
      <w:r>
        <w:rPr>
          <w:rFonts w:ascii="Times New Roman" w:hAnsi="Times New Roman" w:hint="eastAsia"/>
        </w:rPr>
        <w:t>现</w:t>
      </w:r>
      <w:r>
        <w:rPr>
          <w:rFonts w:ascii="Times New Roman" w:hAnsi="Times New Roman"/>
        </w:rPr>
        <w:t>建有</w:t>
      </w:r>
      <w:r>
        <w:rPr>
          <w:rFonts w:ascii="Times New Roman" w:hAnsi="Times New Roman" w:hint="eastAsia"/>
        </w:rPr>
        <w:t>灵州矸石电厂（</w:t>
      </w:r>
      <w:r>
        <w:rPr>
          <w:rFonts w:ascii="Times New Roman" w:hAnsi="Times New Roman"/>
        </w:rPr>
        <w:t>2×</w:t>
      </w:r>
      <w:r>
        <w:rPr>
          <w:rFonts w:ascii="Times New Roman" w:hAnsi="Times New Roman" w:hint="eastAsia"/>
        </w:rPr>
        <w:t>135</w:t>
      </w:r>
      <w:r>
        <w:rPr>
          <w:rFonts w:ascii="Times New Roman" w:hAnsi="Times New Roman"/>
        </w:rPr>
        <w:t>MW</w:t>
      </w:r>
      <w:r>
        <w:rPr>
          <w:rFonts w:ascii="Times New Roman" w:hAnsi="Times New Roman" w:hint="eastAsia"/>
        </w:rPr>
        <w:t>）</w:t>
      </w:r>
      <w:r>
        <w:rPr>
          <w:rFonts w:ascii="Times New Roman" w:hAnsi="Times New Roman"/>
        </w:rPr>
        <w:t>项目，距</w:t>
      </w:r>
      <w:r>
        <w:rPr>
          <w:rFonts w:ascii="Times New Roman" w:hAnsi="Times New Roman" w:hint="eastAsia"/>
        </w:rPr>
        <w:t>红石湾、马莲台和任家庄</w:t>
      </w:r>
      <w:r>
        <w:rPr>
          <w:rFonts w:ascii="Times New Roman" w:hAnsi="Times New Roman"/>
        </w:rPr>
        <w:t>煤矿工业场地</w:t>
      </w:r>
      <w:r>
        <w:rPr>
          <w:rFonts w:ascii="Times New Roman" w:hAnsi="Times New Roman" w:hint="eastAsia"/>
        </w:rPr>
        <w:t>不大于</w:t>
      </w:r>
      <w:r>
        <w:rPr>
          <w:rFonts w:ascii="Times New Roman" w:hAnsi="Times New Roman" w:hint="eastAsia"/>
        </w:rPr>
        <w:t>10</w:t>
      </w:r>
      <w:r>
        <w:rPr>
          <w:rFonts w:ascii="Times New Roman" w:hAnsi="Times New Roman"/>
        </w:rPr>
        <w:t>km</w:t>
      </w:r>
      <w:r>
        <w:rPr>
          <w:rFonts w:ascii="Times New Roman" w:hAnsi="Times New Roman" w:hint="eastAsia"/>
        </w:rPr>
        <w:t>，年需煤矸石约</w:t>
      </w:r>
      <w:r>
        <w:rPr>
          <w:rFonts w:ascii="Times New Roman" w:hAnsi="Times New Roman" w:hint="eastAsia"/>
        </w:rPr>
        <w:t>80</w:t>
      </w:r>
      <w:r>
        <w:rPr>
          <w:rFonts w:ascii="Times New Roman" w:hAnsi="Times New Roman" w:hint="eastAsia"/>
        </w:rPr>
        <w:t>万吨，可运至灵州矸石电厂进行综合利用</w:t>
      </w:r>
      <w:r>
        <w:rPr>
          <w:rFonts w:ascii="Times New Roman" w:hAnsi="Times New Roman"/>
        </w:rPr>
        <w:t>。</w:t>
      </w:r>
    </w:p>
    <w:p w14:paraId="3219708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2</w:t>
      </w:r>
      <w:r>
        <w:rPr>
          <w:rFonts w:ascii="Times New Roman" w:hAnsi="Times New Roman" w:hint="eastAsia"/>
        </w:rPr>
        <w:t>）规划建设有宝丰低热值煤综合利用电厂（</w:t>
      </w:r>
      <w:r>
        <w:rPr>
          <w:rFonts w:ascii="Times New Roman" w:hAnsi="Times New Roman"/>
        </w:rPr>
        <w:t>2×</w:t>
      </w:r>
      <w:r>
        <w:rPr>
          <w:rFonts w:ascii="Times New Roman" w:hAnsi="Times New Roman" w:hint="eastAsia"/>
        </w:rPr>
        <w:t>350</w:t>
      </w:r>
      <w:r>
        <w:rPr>
          <w:rFonts w:ascii="Times New Roman" w:hAnsi="Times New Roman"/>
        </w:rPr>
        <w:t>MW</w:t>
      </w:r>
      <w:r>
        <w:rPr>
          <w:rFonts w:ascii="Times New Roman" w:hAnsi="Times New Roman" w:hint="eastAsia"/>
        </w:rPr>
        <w:t>），建成后年需煤矸石约</w:t>
      </w:r>
      <w:r>
        <w:rPr>
          <w:rFonts w:ascii="Times New Roman" w:hAnsi="Times New Roman" w:hint="eastAsia"/>
        </w:rPr>
        <w:t>300</w:t>
      </w:r>
      <w:r>
        <w:rPr>
          <w:rFonts w:ascii="Times New Roman" w:hAnsi="Times New Roman" w:hint="eastAsia"/>
        </w:rPr>
        <w:t>万吨，位于马莲台和红石湾煤矿之间，建成后可大量效消耗洗选矸石。</w:t>
      </w:r>
    </w:p>
    <w:p w14:paraId="14FFC65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3</w:t>
      </w:r>
      <w:r>
        <w:rPr>
          <w:rFonts w:ascii="Times New Roman" w:hint="eastAsia"/>
        </w:rPr>
        <w:t>）可</w:t>
      </w:r>
      <w:r>
        <w:rPr>
          <w:rFonts w:ascii="Times New Roman"/>
        </w:rPr>
        <w:t>用于充填沉陷裂缝</w:t>
      </w:r>
      <w:r>
        <w:rPr>
          <w:rFonts w:ascii="Times New Roman" w:hint="eastAsia"/>
        </w:rPr>
        <w:t>，</w:t>
      </w:r>
      <w:r>
        <w:rPr>
          <w:rFonts w:ascii="Times New Roman"/>
        </w:rPr>
        <w:t>或用于沉陷区治理</w:t>
      </w:r>
      <w:r>
        <w:rPr>
          <w:rFonts w:ascii="Times New Roman" w:hint="eastAsia"/>
        </w:rPr>
        <w:t>，</w:t>
      </w:r>
      <w:r>
        <w:rPr>
          <w:rFonts w:ascii="Times New Roman" w:hAnsi="Times New Roman"/>
          <w:szCs w:val="21"/>
        </w:rPr>
        <w:t>或用于</w:t>
      </w:r>
      <w:r>
        <w:rPr>
          <w:rFonts w:ascii="Times New Roman"/>
        </w:rPr>
        <w:t>宁东城镇市政</w:t>
      </w:r>
      <w:r>
        <w:rPr>
          <w:rFonts w:ascii="Times New Roman" w:hint="eastAsia"/>
        </w:rPr>
        <w:t>、</w:t>
      </w:r>
      <w:r>
        <w:rPr>
          <w:rFonts w:ascii="Times New Roman"/>
        </w:rPr>
        <w:t>道路建设作为填垫</w:t>
      </w:r>
      <w:r>
        <w:rPr>
          <w:rFonts w:ascii="Times New Roman" w:hAnsi="Times New Roman"/>
        </w:rPr>
        <w:t>材料。</w:t>
      </w:r>
    </w:p>
    <w:p w14:paraId="3368A769" w14:textId="77777777" w:rsidR="009C353B" w:rsidRDefault="00000000">
      <w:pPr>
        <w:adjustRightInd w:val="0"/>
        <w:snapToGrid w:val="0"/>
        <w:spacing w:line="440" w:lineRule="exact"/>
        <w:ind w:firstLineChars="200" w:firstLine="480"/>
        <w:rPr>
          <w:rFonts w:ascii="Times New Roman" w:hAnsi="Times New Roman"/>
          <w:szCs w:val="21"/>
        </w:rPr>
      </w:pPr>
      <w:r>
        <w:rPr>
          <w:rFonts w:ascii="Times New Roman" w:hAnsi="Times New Roman"/>
          <w:szCs w:val="21"/>
        </w:rPr>
        <w:t>本矿区任家庄煤矿排矸场生态恢复治理效果良好，此方式是可行的。本次环评根据已发生沉陷的实际观测参数预测，横城矿区开采后沉陷面积累计</w:t>
      </w:r>
      <w:r>
        <w:rPr>
          <w:rFonts w:ascii="Times New Roman" w:hAnsi="Times New Roman"/>
          <w:szCs w:val="21"/>
        </w:rPr>
        <w:t>58.02km</w:t>
      </w:r>
      <w:r>
        <w:rPr>
          <w:rFonts w:ascii="Times New Roman" w:hAnsi="Times New Roman"/>
          <w:szCs w:val="21"/>
          <w:vertAlign w:val="superscript"/>
        </w:rPr>
        <w:t>2</w:t>
      </w:r>
      <w:r>
        <w:rPr>
          <w:rFonts w:ascii="Times New Roman" w:hAnsi="Times New Roman"/>
          <w:szCs w:val="21"/>
        </w:rPr>
        <w:t>，地表下沉值最大累计可达到</w:t>
      </w:r>
      <w:r>
        <w:rPr>
          <w:rFonts w:ascii="Times New Roman" w:hAnsi="Times New Roman"/>
          <w:szCs w:val="21"/>
        </w:rPr>
        <w:t>21.52m</w:t>
      </w:r>
      <w:r>
        <w:rPr>
          <w:rFonts w:ascii="Times New Roman" w:hAnsi="Times New Roman"/>
          <w:szCs w:val="21"/>
        </w:rPr>
        <w:t>（任家庄），最小累计地表下沉值也可达到</w:t>
      </w:r>
      <w:r>
        <w:rPr>
          <w:rFonts w:ascii="Times New Roman" w:hAnsi="Times New Roman"/>
          <w:szCs w:val="21"/>
        </w:rPr>
        <w:t>10.82m</w:t>
      </w:r>
      <w:r>
        <w:rPr>
          <w:rFonts w:ascii="Times New Roman" w:hAnsi="Times New Roman"/>
          <w:szCs w:val="21"/>
        </w:rPr>
        <w:t>（丁家梁）。根据估算，按沉陷区充填高度为</w:t>
      </w:r>
      <w:r>
        <w:rPr>
          <w:rFonts w:ascii="Times New Roman" w:hAnsi="Times New Roman"/>
          <w:szCs w:val="21"/>
        </w:rPr>
        <w:t>10m</w:t>
      </w:r>
      <w:r>
        <w:rPr>
          <w:rFonts w:ascii="Times New Roman" w:hAnsi="Times New Roman"/>
          <w:szCs w:val="21"/>
        </w:rPr>
        <w:t>，面积</w:t>
      </w:r>
      <w:r>
        <w:rPr>
          <w:rFonts w:ascii="Times New Roman" w:hAnsi="Times New Roman"/>
          <w:szCs w:val="21"/>
        </w:rPr>
        <w:t>58km</w:t>
      </w:r>
      <w:r>
        <w:rPr>
          <w:rFonts w:ascii="Times New Roman" w:hAnsi="Times New Roman"/>
          <w:szCs w:val="21"/>
          <w:vertAlign w:val="superscript"/>
        </w:rPr>
        <w:t>2</w:t>
      </w:r>
      <w:r>
        <w:rPr>
          <w:rFonts w:ascii="Times New Roman" w:hAnsi="Times New Roman"/>
          <w:szCs w:val="21"/>
        </w:rPr>
        <w:t>估算，可消耗煤矸石约</w:t>
      </w:r>
      <w:r>
        <w:rPr>
          <w:rFonts w:ascii="Times New Roman" w:hAnsi="Times New Roman"/>
          <w:szCs w:val="21"/>
        </w:rPr>
        <w:t>58000</w:t>
      </w:r>
      <w:r>
        <w:rPr>
          <w:rFonts w:ascii="Times New Roman" w:hAnsi="Times New Roman"/>
          <w:szCs w:val="21"/>
        </w:rPr>
        <w:t>万</w:t>
      </w:r>
      <w:r>
        <w:rPr>
          <w:rFonts w:ascii="Times New Roman" w:hAnsi="Times New Roman"/>
          <w:szCs w:val="21"/>
        </w:rPr>
        <w:t>m</w:t>
      </w:r>
      <w:r>
        <w:rPr>
          <w:rFonts w:ascii="Times New Roman" w:hAnsi="Times New Roman"/>
          <w:szCs w:val="21"/>
          <w:vertAlign w:val="superscript"/>
        </w:rPr>
        <w:t>3</w:t>
      </w:r>
      <w:r>
        <w:rPr>
          <w:rFonts w:ascii="Times New Roman" w:hAnsi="Times New Roman"/>
          <w:szCs w:val="21"/>
        </w:rPr>
        <w:t>，共约</w:t>
      </w:r>
      <w:r>
        <w:rPr>
          <w:rFonts w:ascii="Times New Roman" w:hAnsi="Times New Roman"/>
          <w:szCs w:val="21"/>
        </w:rPr>
        <w:t>98600</w:t>
      </w:r>
      <w:r>
        <w:rPr>
          <w:rFonts w:ascii="Times New Roman" w:hAnsi="Times New Roman"/>
          <w:szCs w:val="21"/>
        </w:rPr>
        <w:t>万吨。</w:t>
      </w:r>
    </w:p>
    <w:p w14:paraId="50EB3CA3" w14:textId="77777777" w:rsidR="009C353B" w:rsidRDefault="00000000">
      <w:pPr>
        <w:adjustRightInd w:val="0"/>
        <w:snapToGrid w:val="0"/>
        <w:spacing w:line="440" w:lineRule="exact"/>
        <w:ind w:firstLineChars="200" w:firstLine="480"/>
        <w:rPr>
          <w:rFonts w:ascii="Times New Roman" w:hAnsi="Times New Roman"/>
          <w:szCs w:val="21"/>
        </w:rPr>
      </w:pPr>
      <w:r>
        <w:rPr>
          <w:rFonts w:ascii="Times New Roman" w:hAnsi="Times New Roman"/>
          <w:szCs w:val="21"/>
        </w:rPr>
        <w:t>4</w:t>
      </w:r>
      <w:r>
        <w:rPr>
          <w:rFonts w:ascii="Times New Roman" w:hAnsi="Times New Roman"/>
          <w:szCs w:val="21"/>
        </w:rPr>
        <w:t>）后续可将矸石用于充填煤柱区，回收煤柱区煤炭资源。</w:t>
      </w:r>
    </w:p>
    <w:p w14:paraId="6B821CB8" w14:textId="77777777" w:rsidR="009C353B" w:rsidRDefault="00000000">
      <w:pPr>
        <w:adjustRightInd w:val="0"/>
        <w:snapToGrid w:val="0"/>
        <w:spacing w:line="440" w:lineRule="exact"/>
        <w:ind w:firstLineChars="200" w:firstLine="480"/>
        <w:rPr>
          <w:rFonts w:ascii="Times New Roman" w:hAnsi="Times New Roman"/>
          <w:szCs w:val="21"/>
        </w:rPr>
      </w:pPr>
      <w:r>
        <w:rPr>
          <w:rFonts w:ascii="Times New Roman" w:hAnsi="Times New Roman"/>
          <w:szCs w:val="21"/>
        </w:rPr>
        <w:t>井下充填置换煤柱资源既满足资源回收，也能有效的处置矸石，并能满足地面保护要求，是可行的。而且矿区高压输电线、工业园区、高速公路等也留设大范围煤柱，对以上地区采用矸石充填回收置换煤柱可回收大量煤炭资源。根据矿区平均煤厚</w:t>
      </w:r>
      <w:r>
        <w:rPr>
          <w:rFonts w:ascii="Times New Roman" w:hAnsi="Times New Roman"/>
          <w:szCs w:val="21"/>
        </w:rPr>
        <w:t>12m</w:t>
      </w:r>
      <w:r>
        <w:rPr>
          <w:rFonts w:ascii="Times New Roman" w:hAnsi="Times New Roman"/>
          <w:szCs w:val="21"/>
        </w:rPr>
        <w:t>以及煤柱区分布面积约</w:t>
      </w:r>
      <w:r>
        <w:rPr>
          <w:rFonts w:ascii="Times New Roman" w:hAnsi="Times New Roman"/>
          <w:szCs w:val="21"/>
        </w:rPr>
        <w:t>24km</w:t>
      </w:r>
      <w:r>
        <w:rPr>
          <w:rFonts w:ascii="Times New Roman" w:hAnsi="Times New Roman"/>
          <w:szCs w:val="21"/>
          <w:vertAlign w:val="superscript"/>
        </w:rPr>
        <w:t>2</w:t>
      </w:r>
      <w:r>
        <w:rPr>
          <w:rFonts w:ascii="Times New Roman" w:hAnsi="Times New Roman"/>
          <w:szCs w:val="21"/>
        </w:rPr>
        <w:t>粗略估算，可回收资源量约</w:t>
      </w:r>
      <w:r>
        <w:rPr>
          <w:rFonts w:ascii="Times New Roman" w:hAnsi="Times New Roman"/>
          <w:szCs w:val="21"/>
        </w:rPr>
        <w:t>28800</w:t>
      </w:r>
      <w:r>
        <w:rPr>
          <w:rFonts w:ascii="Times New Roman" w:hAnsi="Times New Roman"/>
          <w:szCs w:val="21"/>
        </w:rPr>
        <w:t>万</w:t>
      </w:r>
      <w:r>
        <w:rPr>
          <w:rFonts w:ascii="Times New Roman" w:hAnsi="Times New Roman"/>
          <w:szCs w:val="21"/>
        </w:rPr>
        <w:t>m</w:t>
      </w:r>
      <w:r>
        <w:rPr>
          <w:rFonts w:ascii="Times New Roman" w:hAnsi="Times New Roman"/>
          <w:szCs w:val="21"/>
          <w:vertAlign w:val="superscript"/>
        </w:rPr>
        <w:t>3</w:t>
      </w:r>
      <w:r>
        <w:rPr>
          <w:rFonts w:ascii="Times New Roman" w:hAnsi="Times New Roman"/>
          <w:szCs w:val="21"/>
        </w:rPr>
        <w:t>，根据已开展充填开采置换煤柱资源的煤矿资料，充填开采置换煤柱充填物一般为矸石、水泥、粉煤灰共同构成的充填料，其中矸石比例约为</w:t>
      </w:r>
      <w:r>
        <w:rPr>
          <w:rFonts w:ascii="Times New Roman" w:hAnsi="Times New Roman"/>
          <w:szCs w:val="21"/>
        </w:rPr>
        <w:t>0.7</w:t>
      </w:r>
      <w:r>
        <w:rPr>
          <w:rFonts w:ascii="Times New Roman" w:hAnsi="Times New Roman"/>
          <w:szCs w:val="21"/>
        </w:rPr>
        <w:t>，经计算可消耗矸石量约</w:t>
      </w:r>
      <w:r>
        <w:rPr>
          <w:rFonts w:ascii="Times New Roman" w:hAnsi="Times New Roman"/>
          <w:szCs w:val="21"/>
        </w:rPr>
        <w:t>20160</w:t>
      </w:r>
      <w:r>
        <w:rPr>
          <w:rFonts w:ascii="Times New Roman" w:hAnsi="Times New Roman"/>
          <w:szCs w:val="21"/>
        </w:rPr>
        <w:t>万吨。</w:t>
      </w:r>
    </w:p>
    <w:p w14:paraId="7994A11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采取以上综合利用方式可有效的消耗大量煤矸石，</w:t>
      </w:r>
      <w:r>
        <w:rPr>
          <w:rFonts w:ascii="Times New Roman" w:hAnsi="Times New Roman" w:hint="eastAsia"/>
        </w:rPr>
        <w:t>处置方式是合理的。</w:t>
      </w:r>
    </w:p>
    <w:p w14:paraId="55F434D6" w14:textId="77777777" w:rsidR="009C353B" w:rsidRDefault="00000000">
      <w:pPr>
        <w:adjustRightInd w:val="0"/>
        <w:snapToGrid w:val="0"/>
        <w:spacing w:line="440" w:lineRule="exact"/>
        <w:ind w:firstLineChars="200" w:firstLine="482"/>
        <w:rPr>
          <w:rFonts w:ascii="Times New Roman" w:hAnsi="Times New Roman"/>
          <w:b/>
          <w:szCs w:val="24"/>
        </w:rPr>
      </w:pPr>
      <w:r>
        <w:rPr>
          <w:rFonts w:ascii="Times New Roman" w:hAnsi="Times New Roman" w:hint="eastAsia"/>
          <w:b/>
          <w:szCs w:val="24"/>
        </w:rPr>
        <w:t>（</w:t>
      </w:r>
      <w:r>
        <w:rPr>
          <w:rFonts w:ascii="Times New Roman" w:hAnsi="Times New Roman"/>
          <w:b/>
          <w:szCs w:val="24"/>
        </w:rPr>
        <w:t>2</w:t>
      </w:r>
      <w:r>
        <w:rPr>
          <w:rFonts w:ascii="Times New Roman" w:hAnsi="Times New Roman" w:hint="eastAsia"/>
          <w:b/>
          <w:szCs w:val="24"/>
        </w:rPr>
        <w:t>）生活垃圾及</w:t>
      </w:r>
      <w:r>
        <w:rPr>
          <w:rFonts w:ascii="Times New Roman" w:hAnsi="Times New Roman"/>
          <w:b/>
          <w:szCs w:val="24"/>
        </w:rPr>
        <w:t>污水处理站污泥</w:t>
      </w:r>
      <w:r>
        <w:rPr>
          <w:rFonts w:ascii="Times New Roman" w:hAnsi="Times New Roman" w:hint="eastAsia"/>
          <w:b/>
          <w:szCs w:val="24"/>
        </w:rPr>
        <w:t>处置</w:t>
      </w:r>
    </w:p>
    <w:p w14:paraId="149BD4F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1</w:t>
      </w:r>
      <w:r>
        <w:rPr>
          <w:rFonts w:ascii="Times New Roman" w:hAnsi="Times New Roman" w:hint="eastAsia"/>
          <w:szCs w:val="24"/>
        </w:rPr>
        <w:t>）生活垃圾</w:t>
      </w:r>
    </w:p>
    <w:p w14:paraId="39464F7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红石湾</w:t>
      </w:r>
      <w:r>
        <w:rPr>
          <w:rFonts w:ascii="Times New Roman" w:hAnsi="Times New Roman"/>
          <w:szCs w:val="24"/>
        </w:rPr>
        <w:t>矿井生活垃圾</w:t>
      </w:r>
      <w:r>
        <w:rPr>
          <w:rFonts w:ascii="Times New Roman" w:hAnsi="Times New Roman" w:hint="eastAsia"/>
          <w:szCs w:val="24"/>
        </w:rPr>
        <w:t>经垃圾箱收集后，定期送银川中科环保电力有限公司生活垃圾焚烧发电厂集中处理。</w:t>
      </w:r>
    </w:p>
    <w:p w14:paraId="596451F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马莲台</w:t>
      </w:r>
      <w:r>
        <w:rPr>
          <w:rFonts w:ascii="Times New Roman" w:hAnsi="Times New Roman"/>
          <w:szCs w:val="24"/>
        </w:rPr>
        <w:t>矿井</w:t>
      </w:r>
      <w:r>
        <w:rPr>
          <w:rFonts w:ascii="Times New Roman" w:hAnsi="Times New Roman" w:hint="eastAsia"/>
          <w:szCs w:val="24"/>
        </w:rPr>
        <w:t>生活垃圾依托宁夏宝丰能源集团股份有限公司物业公司统一收集送至宁东垃圾处理场集中处理。</w:t>
      </w:r>
    </w:p>
    <w:p w14:paraId="78AA401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任家庄</w:t>
      </w:r>
      <w:r>
        <w:rPr>
          <w:rFonts w:ascii="Times New Roman" w:hAnsi="Times New Roman"/>
          <w:szCs w:val="24"/>
        </w:rPr>
        <w:t>矿井</w:t>
      </w:r>
      <w:r>
        <w:rPr>
          <w:rFonts w:ascii="Times New Roman" w:hAnsi="Times New Roman" w:hint="eastAsia"/>
          <w:szCs w:val="24"/>
        </w:rPr>
        <w:t>生活垃圾</w:t>
      </w:r>
      <w:r>
        <w:rPr>
          <w:rFonts w:ascii="Times New Roman" w:hAnsi="Times New Roman"/>
          <w:szCs w:val="24"/>
        </w:rPr>
        <w:t>经收集后</w:t>
      </w:r>
      <w:r>
        <w:rPr>
          <w:rFonts w:ascii="Times New Roman" w:hAnsi="Times New Roman" w:hint="eastAsia"/>
          <w:szCs w:val="24"/>
        </w:rPr>
        <w:t>，由宁东镇中心区物业处集中外运至宁东镇统一处理。</w:t>
      </w:r>
    </w:p>
    <w:p w14:paraId="366A4CE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2</w:t>
      </w:r>
      <w:r>
        <w:rPr>
          <w:rFonts w:ascii="Times New Roman" w:hAnsi="Times New Roman" w:hint="eastAsia"/>
          <w:szCs w:val="24"/>
        </w:rPr>
        <w:t>）水处理站污泥</w:t>
      </w:r>
    </w:p>
    <w:p w14:paraId="27155F4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任家庄</w:t>
      </w:r>
      <w:r>
        <w:rPr>
          <w:rFonts w:ascii="Times New Roman" w:hAnsi="Times New Roman"/>
          <w:szCs w:val="24"/>
        </w:rPr>
        <w:t>及红石湾煤矿</w:t>
      </w:r>
      <w:r>
        <w:rPr>
          <w:rFonts w:ascii="Times New Roman" w:hAnsi="Times New Roman" w:hint="eastAsia"/>
          <w:szCs w:val="24"/>
        </w:rPr>
        <w:t>生活污水处理站</w:t>
      </w:r>
      <w:r>
        <w:rPr>
          <w:rFonts w:ascii="Times New Roman" w:hAnsi="Times New Roman"/>
          <w:szCs w:val="24"/>
        </w:rPr>
        <w:t>污泥经脱水后由当地环卫部门统一处理。</w:t>
      </w:r>
      <w:r>
        <w:rPr>
          <w:rFonts w:ascii="Times New Roman" w:hAnsi="Times New Roman" w:hint="eastAsia"/>
          <w:szCs w:val="24"/>
        </w:rPr>
        <w:t>任家庄</w:t>
      </w:r>
      <w:r>
        <w:rPr>
          <w:rFonts w:ascii="Times New Roman" w:hAnsi="Times New Roman"/>
          <w:szCs w:val="24"/>
        </w:rPr>
        <w:t>及红石湾煤矿</w:t>
      </w:r>
      <w:r>
        <w:rPr>
          <w:rFonts w:ascii="Times New Roman" w:hAnsi="Times New Roman" w:hint="eastAsia"/>
          <w:szCs w:val="24"/>
        </w:rPr>
        <w:t>矿井水处理站污泥经脱水后掺入产品销售。</w:t>
      </w:r>
    </w:p>
    <w:p w14:paraId="79F548C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马莲台煤矿生活污水、矿井水经过管网送至临河园区</w:t>
      </w:r>
      <w:r>
        <w:rPr>
          <w:rFonts w:ascii="Times New Roman" w:hAnsi="Times New Roman" w:hint="eastAsia"/>
          <w:szCs w:val="24"/>
        </w:rPr>
        <w:t>B</w:t>
      </w:r>
      <w:r>
        <w:rPr>
          <w:rFonts w:ascii="Times New Roman" w:hAnsi="Times New Roman" w:hint="eastAsia"/>
          <w:szCs w:val="24"/>
        </w:rPr>
        <w:t>区的园区水处理站处理，其产生的污泥由园区水处理站统一收集处置。</w:t>
      </w:r>
    </w:p>
    <w:p w14:paraId="51F63BFB" w14:textId="77777777" w:rsidR="009C353B" w:rsidRDefault="00000000">
      <w:pPr>
        <w:adjustRightInd w:val="0"/>
        <w:snapToGrid w:val="0"/>
        <w:spacing w:line="440" w:lineRule="exact"/>
        <w:ind w:firstLineChars="200" w:firstLine="482"/>
        <w:rPr>
          <w:rFonts w:hint="eastAsia"/>
          <w:b/>
        </w:rPr>
      </w:pPr>
      <w:r>
        <w:rPr>
          <w:rFonts w:hint="eastAsia"/>
          <w:b/>
        </w:rPr>
        <w:t>（3）危废</w:t>
      </w:r>
      <w:r>
        <w:rPr>
          <w:b/>
        </w:rPr>
        <w:t>处置</w:t>
      </w:r>
    </w:p>
    <w:p w14:paraId="6E67FAD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危废主要</w:t>
      </w:r>
      <w:r>
        <w:rPr>
          <w:rFonts w:ascii="Times New Roman" w:hAnsi="Times New Roman"/>
          <w:szCs w:val="24"/>
        </w:rPr>
        <w:t>包括废矿物油及废矿物油桶。</w:t>
      </w:r>
      <w:r>
        <w:rPr>
          <w:rFonts w:ascii="Times New Roman" w:hAnsi="Times New Roman" w:hint="eastAsia"/>
          <w:szCs w:val="24"/>
        </w:rPr>
        <w:t>本矿区三个生产矿井的危废均委托有资质的单位进行处理。危废去向见表</w:t>
      </w:r>
      <w:r>
        <w:rPr>
          <w:rFonts w:ascii="Times New Roman" w:hAnsi="Times New Roman" w:hint="eastAsia"/>
          <w:szCs w:val="24"/>
        </w:rPr>
        <w:t>4</w:t>
      </w:r>
      <w:r>
        <w:rPr>
          <w:rFonts w:ascii="Times New Roman" w:hAnsi="Times New Roman"/>
          <w:szCs w:val="24"/>
        </w:rPr>
        <w:t>.2</w:t>
      </w:r>
      <w:r>
        <w:rPr>
          <w:rFonts w:ascii="Times New Roman" w:hAnsi="Times New Roman" w:hint="eastAsia"/>
          <w:szCs w:val="24"/>
        </w:rPr>
        <w:t>-</w:t>
      </w:r>
      <w:r>
        <w:rPr>
          <w:rFonts w:ascii="Times New Roman" w:hAnsi="Times New Roman"/>
          <w:szCs w:val="24"/>
        </w:rPr>
        <w:t>13</w:t>
      </w:r>
      <w:r>
        <w:rPr>
          <w:rFonts w:ascii="Times New Roman" w:hAnsi="Times New Roman" w:hint="eastAsia"/>
          <w:szCs w:val="24"/>
        </w:rPr>
        <w:t>。</w:t>
      </w:r>
    </w:p>
    <w:p w14:paraId="260F61E7" w14:textId="77777777" w:rsidR="009C353B" w:rsidRDefault="00000000">
      <w:pPr>
        <w:adjustRightInd w:val="0"/>
        <w:snapToGrid w:val="0"/>
        <w:spacing w:line="440" w:lineRule="exact"/>
        <w:jc w:val="center"/>
        <w:rPr>
          <w:rFonts w:hint="eastAsia"/>
        </w:rPr>
      </w:pPr>
      <w:r>
        <w:rPr>
          <w:rFonts w:hint="eastAsia"/>
        </w:rPr>
        <w:t>矿区危险废物接收单位一览表</w:t>
      </w:r>
    </w:p>
    <w:p w14:paraId="372B9331" w14:textId="77777777" w:rsidR="009C353B" w:rsidRDefault="00000000">
      <w:pPr>
        <w:pStyle w:val="affffd"/>
        <w:spacing w:line="240" w:lineRule="auto"/>
        <w:rPr>
          <w:rFonts w:ascii="Times New Roman" w:hAnsi="Times New Roman"/>
        </w:rPr>
      </w:pPr>
      <w:r>
        <w:rPr>
          <w:rFonts w:ascii="Times New Roman" w:hAnsi="Times New Roman" w:hint="eastAsia"/>
        </w:rPr>
        <w:t>表</w:t>
      </w:r>
      <w:r>
        <w:rPr>
          <w:rFonts w:ascii="Times New Roman" w:hAnsi="Times New Roman" w:hint="eastAsia"/>
        </w:rPr>
        <w:t>4</w:t>
      </w:r>
      <w:r>
        <w:rPr>
          <w:rFonts w:ascii="Times New Roman" w:hAnsi="Times New Roman"/>
        </w:rPr>
        <w:t>.2</w:t>
      </w:r>
      <w:r>
        <w:rPr>
          <w:rFonts w:ascii="Times New Roman" w:hAnsi="Times New Roman" w:hint="eastAsia"/>
        </w:rPr>
        <w:t>-</w:t>
      </w:r>
      <w:r>
        <w:rPr>
          <w:rFonts w:ascii="Times New Roman" w:hAnsi="Times New Roman"/>
        </w:rPr>
        <w:t>13</w:t>
      </w:r>
    </w:p>
    <w:tbl>
      <w:tblPr>
        <w:tblStyle w:val="afffb"/>
        <w:tblW w:w="5000" w:type="pct"/>
        <w:jc w:val="center"/>
        <w:tblLayout w:type="fixed"/>
        <w:tblLook w:val="04A0" w:firstRow="1" w:lastRow="0" w:firstColumn="1" w:lastColumn="0" w:noHBand="0" w:noVBand="1"/>
      </w:tblPr>
      <w:tblGrid>
        <w:gridCol w:w="1703"/>
        <w:gridCol w:w="2453"/>
        <w:gridCol w:w="2611"/>
        <w:gridCol w:w="2520"/>
      </w:tblGrid>
      <w:tr w:rsidR="009C353B" w14:paraId="2E6F09FF" w14:textId="77777777">
        <w:trPr>
          <w:trHeight w:val="673"/>
          <w:jc w:val="center"/>
        </w:trPr>
        <w:tc>
          <w:tcPr>
            <w:tcW w:w="1703" w:type="dxa"/>
            <w:tcBorders>
              <w:tl2br w:val="single" w:sz="4" w:space="0" w:color="auto"/>
            </w:tcBorders>
            <w:vAlign w:val="center"/>
          </w:tcPr>
          <w:p w14:paraId="1DBA8217" w14:textId="77777777" w:rsidR="009C353B" w:rsidRDefault="00000000">
            <w:pPr>
              <w:pStyle w:val="afffff7"/>
              <w:jc w:val="center"/>
              <w:rPr>
                <w:rFonts w:ascii="Times New Roman" w:hAnsi="Times New Roman"/>
              </w:rPr>
            </w:pPr>
            <w:r>
              <w:rPr>
                <w:rFonts w:ascii="Times New Roman" w:hAnsi="Times New Roman" w:hint="eastAsia"/>
              </w:rPr>
              <w:t xml:space="preserve"> </w:t>
            </w:r>
            <w:r>
              <w:rPr>
                <w:rFonts w:ascii="Times New Roman" w:hAnsi="Times New Roman"/>
              </w:rPr>
              <w:t xml:space="preserve">        </w:t>
            </w:r>
            <w:r>
              <w:rPr>
                <w:rFonts w:ascii="Times New Roman" w:hAnsi="Times New Roman" w:hint="eastAsia"/>
              </w:rPr>
              <w:t>矿井</w:t>
            </w:r>
          </w:p>
          <w:p w14:paraId="171D642E" w14:textId="77777777" w:rsidR="009C353B" w:rsidRDefault="00000000">
            <w:pPr>
              <w:pStyle w:val="afffff7"/>
              <w:rPr>
                <w:rFonts w:ascii="Times New Roman" w:hAnsi="Times New Roman"/>
              </w:rPr>
            </w:pPr>
            <w:r>
              <w:rPr>
                <w:rFonts w:ascii="Times New Roman" w:hAnsi="Times New Roman" w:hint="eastAsia"/>
              </w:rPr>
              <w:t>危废种类</w:t>
            </w:r>
          </w:p>
        </w:tc>
        <w:tc>
          <w:tcPr>
            <w:tcW w:w="2453" w:type="dxa"/>
            <w:vAlign w:val="center"/>
          </w:tcPr>
          <w:p w14:paraId="5D98F88C" w14:textId="77777777" w:rsidR="009C353B" w:rsidRDefault="00000000">
            <w:pPr>
              <w:pStyle w:val="afffff7"/>
              <w:jc w:val="center"/>
              <w:rPr>
                <w:rFonts w:ascii="Times New Roman" w:hAnsi="Times New Roman"/>
              </w:rPr>
            </w:pPr>
            <w:r>
              <w:rPr>
                <w:rFonts w:ascii="Times New Roman" w:hAnsi="Times New Roman" w:hint="eastAsia"/>
              </w:rPr>
              <w:t>红石湾矿井</w:t>
            </w:r>
          </w:p>
        </w:tc>
        <w:tc>
          <w:tcPr>
            <w:tcW w:w="2611" w:type="dxa"/>
            <w:vAlign w:val="center"/>
          </w:tcPr>
          <w:p w14:paraId="508409C5" w14:textId="77777777" w:rsidR="009C353B" w:rsidRDefault="00000000">
            <w:pPr>
              <w:pStyle w:val="afffff7"/>
              <w:jc w:val="center"/>
              <w:rPr>
                <w:rFonts w:ascii="Times New Roman" w:hAnsi="Times New Roman"/>
              </w:rPr>
            </w:pPr>
            <w:r>
              <w:rPr>
                <w:rFonts w:ascii="Times New Roman" w:hAnsi="Times New Roman" w:hint="eastAsia"/>
              </w:rPr>
              <w:t>马莲台矿井</w:t>
            </w:r>
          </w:p>
        </w:tc>
        <w:tc>
          <w:tcPr>
            <w:tcW w:w="2520" w:type="dxa"/>
            <w:vAlign w:val="center"/>
          </w:tcPr>
          <w:p w14:paraId="7477AE85" w14:textId="77777777" w:rsidR="009C353B" w:rsidRDefault="00000000">
            <w:pPr>
              <w:pStyle w:val="afffff7"/>
              <w:jc w:val="center"/>
              <w:rPr>
                <w:rFonts w:ascii="Times New Roman" w:hAnsi="Times New Roman"/>
              </w:rPr>
            </w:pPr>
            <w:r>
              <w:rPr>
                <w:rFonts w:ascii="Times New Roman" w:hAnsi="Times New Roman" w:hint="eastAsia"/>
              </w:rPr>
              <w:t>任家庄矿井</w:t>
            </w:r>
          </w:p>
        </w:tc>
      </w:tr>
      <w:tr w:rsidR="009C353B" w14:paraId="79B0C29F" w14:textId="77777777">
        <w:trPr>
          <w:trHeight w:val="736"/>
          <w:jc w:val="center"/>
        </w:trPr>
        <w:tc>
          <w:tcPr>
            <w:tcW w:w="1703" w:type="dxa"/>
            <w:vAlign w:val="center"/>
          </w:tcPr>
          <w:p w14:paraId="74DF41D7" w14:textId="77777777" w:rsidR="009C353B" w:rsidRDefault="00000000">
            <w:pPr>
              <w:pStyle w:val="afffff7"/>
              <w:jc w:val="center"/>
              <w:rPr>
                <w:rFonts w:ascii="Times New Roman" w:hAnsi="Times New Roman"/>
              </w:rPr>
            </w:pPr>
            <w:r>
              <w:rPr>
                <w:rFonts w:ascii="Times New Roman" w:hAnsi="Times New Roman" w:hint="eastAsia"/>
              </w:rPr>
              <w:t>废矿物油</w:t>
            </w:r>
          </w:p>
        </w:tc>
        <w:tc>
          <w:tcPr>
            <w:tcW w:w="2453" w:type="dxa"/>
            <w:vAlign w:val="center"/>
          </w:tcPr>
          <w:p w14:paraId="33EDDCE0" w14:textId="77777777" w:rsidR="009C353B" w:rsidRDefault="00000000">
            <w:pPr>
              <w:pStyle w:val="afffff7"/>
              <w:jc w:val="center"/>
              <w:rPr>
                <w:rFonts w:ascii="Times New Roman" w:hAnsi="Times New Roman"/>
              </w:rPr>
            </w:pPr>
            <w:r>
              <w:rPr>
                <w:rFonts w:ascii="Times New Roman" w:hAnsi="Times New Roman" w:hint="eastAsia"/>
              </w:rPr>
              <w:t>宁夏华平科瑞能源化工有限公司</w:t>
            </w:r>
          </w:p>
        </w:tc>
        <w:tc>
          <w:tcPr>
            <w:tcW w:w="2611" w:type="dxa"/>
            <w:vAlign w:val="center"/>
          </w:tcPr>
          <w:p w14:paraId="473F5C4F" w14:textId="77777777" w:rsidR="009C353B" w:rsidRDefault="00000000">
            <w:pPr>
              <w:pStyle w:val="afffff7"/>
              <w:jc w:val="center"/>
              <w:rPr>
                <w:rFonts w:ascii="Times New Roman" w:hAnsi="Times New Roman"/>
              </w:rPr>
            </w:pPr>
            <w:r>
              <w:rPr>
                <w:rFonts w:ascii="Times New Roman" w:hAnsi="Times New Roman" w:hint="eastAsia"/>
              </w:rPr>
              <w:t>临河工业园区统一收集外委处置</w:t>
            </w:r>
          </w:p>
        </w:tc>
        <w:tc>
          <w:tcPr>
            <w:tcW w:w="2520" w:type="dxa"/>
            <w:vAlign w:val="center"/>
          </w:tcPr>
          <w:p w14:paraId="64C521DB" w14:textId="77777777" w:rsidR="009C353B" w:rsidRDefault="00000000">
            <w:pPr>
              <w:pStyle w:val="afffff7"/>
              <w:jc w:val="center"/>
              <w:rPr>
                <w:rFonts w:ascii="Times New Roman" w:hAnsi="Times New Roman"/>
              </w:rPr>
            </w:pPr>
            <w:r>
              <w:rPr>
                <w:rFonts w:ascii="Times New Roman" w:hAnsi="Times New Roman" w:hint="eastAsia"/>
              </w:rPr>
              <w:t>宁夏华平科瑞能源化工有限公司</w:t>
            </w:r>
          </w:p>
        </w:tc>
      </w:tr>
      <w:tr w:rsidR="009C353B" w14:paraId="18B63CB1" w14:textId="77777777">
        <w:trPr>
          <w:trHeight w:val="705"/>
          <w:jc w:val="center"/>
        </w:trPr>
        <w:tc>
          <w:tcPr>
            <w:tcW w:w="1703" w:type="dxa"/>
            <w:vAlign w:val="center"/>
          </w:tcPr>
          <w:p w14:paraId="0D273577" w14:textId="77777777" w:rsidR="009C353B" w:rsidRDefault="00000000">
            <w:pPr>
              <w:pStyle w:val="afffff7"/>
              <w:jc w:val="center"/>
              <w:rPr>
                <w:rFonts w:ascii="Times New Roman" w:hAnsi="Times New Roman"/>
              </w:rPr>
            </w:pPr>
            <w:r>
              <w:rPr>
                <w:rFonts w:ascii="Times New Roman" w:hAnsi="Times New Roman" w:hint="eastAsia"/>
              </w:rPr>
              <w:t>废油桶</w:t>
            </w:r>
          </w:p>
        </w:tc>
        <w:tc>
          <w:tcPr>
            <w:tcW w:w="2453" w:type="dxa"/>
            <w:vAlign w:val="center"/>
          </w:tcPr>
          <w:p w14:paraId="343AD8B1" w14:textId="77777777" w:rsidR="009C353B" w:rsidRDefault="00000000">
            <w:pPr>
              <w:pStyle w:val="afffff7"/>
              <w:jc w:val="center"/>
              <w:rPr>
                <w:rFonts w:ascii="Times New Roman" w:hAnsi="Times New Roman"/>
              </w:rPr>
            </w:pPr>
            <w:r>
              <w:rPr>
                <w:rFonts w:ascii="Times New Roman" w:hAnsi="Times New Roman" w:hint="eastAsia"/>
              </w:rPr>
              <w:t>河南亿得帮环保科技有限公司</w:t>
            </w:r>
          </w:p>
        </w:tc>
        <w:tc>
          <w:tcPr>
            <w:tcW w:w="2611" w:type="dxa"/>
            <w:vAlign w:val="center"/>
          </w:tcPr>
          <w:p w14:paraId="5097DC8F" w14:textId="77777777" w:rsidR="009C353B" w:rsidRDefault="00000000">
            <w:pPr>
              <w:pStyle w:val="afffff7"/>
              <w:jc w:val="center"/>
              <w:rPr>
                <w:rFonts w:ascii="Times New Roman" w:hAnsi="Times New Roman"/>
              </w:rPr>
            </w:pPr>
            <w:r>
              <w:rPr>
                <w:rFonts w:ascii="Times New Roman" w:hAnsi="Times New Roman" w:hint="eastAsia"/>
              </w:rPr>
              <w:t>临河工业园区统一收集外委处置</w:t>
            </w:r>
          </w:p>
        </w:tc>
        <w:tc>
          <w:tcPr>
            <w:tcW w:w="2520" w:type="dxa"/>
            <w:vAlign w:val="center"/>
          </w:tcPr>
          <w:p w14:paraId="6CF5471E" w14:textId="77777777" w:rsidR="009C353B" w:rsidRDefault="00000000">
            <w:pPr>
              <w:pStyle w:val="afffff7"/>
              <w:jc w:val="center"/>
              <w:rPr>
                <w:rFonts w:ascii="Times New Roman" w:hAnsi="Times New Roman"/>
              </w:rPr>
            </w:pPr>
            <w:r>
              <w:rPr>
                <w:rFonts w:ascii="Times New Roman" w:hAnsi="Times New Roman" w:hint="eastAsia"/>
              </w:rPr>
              <w:t>河南亿得帮环保科技有限公司</w:t>
            </w:r>
          </w:p>
        </w:tc>
      </w:tr>
    </w:tbl>
    <w:p w14:paraId="22431045" w14:textId="77777777" w:rsidR="009C353B" w:rsidRDefault="00000000">
      <w:pPr>
        <w:adjustRightInd w:val="0"/>
        <w:snapToGrid w:val="0"/>
        <w:spacing w:line="440" w:lineRule="exact"/>
        <w:ind w:firstLineChars="200" w:firstLine="480"/>
        <w:rPr>
          <w:rFonts w:ascii="Times New Roman" w:hint="eastAsia"/>
        </w:rPr>
      </w:pPr>
      <w:r>
        <w:rPr>
          <w:rFonts w:ascii="Times New Roman"/>
        </w:rPr>
        <w:t>宁夏华平科瑞能源化工有限公司</w:t>
      </w:r>
      <w:r>
        <w:rPr>
          <w:rFonts w:ascii="Times New Roman" w:hint="eastAsia"/>
        </w:rPr>
        <w:t>：</w:t>
      </w:r>
      <w:r>
        <w:rPr>
          <w:rFonts w:ascii="Times New Roman"/>
        </w:rPr>
        <w:t>成立于</w:t>
      </w:r>
      <w:r>
        <w:rPr>
          <w:rFonts w:ascii="Times New Roman"/>
        </w:rPr>
        <w:t>2013</w:t>
      </w:r>
      <w:r>
        <w:rPr>
          <w:rFonts w:ascii="Times New Roman"/>
        </w:rPr>
        <w:t>年</w:t>
      </w:r>
      <w:r>
        <w:rPr>
          <w:rFonts w:ascii="Times New Roman"/>
        </w:rPr>
        <w:t>10</w:t>
      </w:r>
      <w:r>
        <w:rPr>
          <w:rFonts w:ascii="Times New Roman"/>
        </w:rPr>
        <w:t>月</w:t>
      </w:r>
      <w:r>
        <w:rPr>
          <w:rFonts w:ascii="Times New Roman"/>
        </w:rPr>
        <w:t>11</w:t>
      </w:r>
      <w:r>
        <w:rPr>
          <w:rFonts w:ascii="Times New Roman"/>
        </w:rPr>
        <w:t>日，经营范围包括资源再生及综合利用技术；化工商品</w:t>
      </w:r>
      <w:r>
        <w:rPr>
          <w:rFonts w:ascii="Times New Roman"/>
        </w:rPr>
        <w:t>(</w:t>
      </w:r>
      <w:r>
        <w:rPr>
          <w:rFonts w:ascii="Times New Roman"/>
        </w:rPr>
        <w:t>不含危险化学品）、原油加工及石油制品制造；热力生产和供应、</w:t>
      </w:r>
      <w:r>
        <w:rPr>
          <w:rFonts w:ascii="Times New Roman"/>
        </w:rPr>
        <w:t>20</w:t>
      </w:r>
      <w:r>
        <w:rPr>
          <w:rFonts w:ascii="Times New Roman"/>
        </w:rPr>
        <w:t>万吨油品加工，</w:t>
      </w:r>
      <w:r>
        <w:rPr>
          <w:rFonts w:ascii="Times New Roman"/>
        </w:rPr>
        <w:t>10</w:t>
      </w:r>
      <w:r>
        <w:rPr>
          <w:rFonts w:ascii="Times New Roman"/>
        </w:rPr>
        <w:t>万吨凝析油加工，</w:t>
      </w:r>
      <w:r>
        <w:rPr>
          <w:rFonts w:ascii="Times New Roman"/>
        </w:rPr>
        <w:t>5</w:t>
      </w:r>
      <w:r>
        <w:rPr>
          <w:rFonts w:ascii="Times New Roman"/>
        </w:rPr>
        <w:t>万吨废油加工，煤基车用汽油组分调和，煤基车用柴油组分调和</w:t>
      </w:r>
      <w:r>
        <w:rPr>
          <w:rFonts w:ascii="Times New Roman" w:hint="eastAsia"/>
        </w:rPr>
        <w:t>等。</w:t>
      </w:r>
    </w:p>
    <w:p w14:paraId="01D3E2D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河南亿得帮环保科技有限公司：</w:t>
      </w:r>
      <w:r>
        <w:rPr>
          <w:rFonts w:ascii="Times New Roman"/>
        </w:rPr>
        <w:t>成立于</w:t>
      </w:r>
      <w:r>
        <w:rPr>
          <w:rFonts w:ascii="Times New Roman"/>
        </w:rPr>
        <w:t>2017</w:t>
      </w:r>
      <w:r>
        <w:rPr>
          <w:rFonts w:ascii="Times New Roman"/>
        </w:rPr>
        <w:t>年</w:t>
      </w:r>
      <w:r>
        <w:rPr>
          <w:rFonts w:ascii="Times New Roman"/>
        </w:rPr>
        <w:t>07</w:t>
      </w:r>
      <w:r>
        <w:rPr>
          <w:rFonts w:ascii="Times New Roman"/>
        </w:rPr>
        <w:t>月</w:t>
      </w:r>
      <w:r>
        <w:rPr>
          <w:rFonts w:ascii="Times New Roman"/>
        </w:rPr>
        <w:t>12</w:t>
      </w:r>
      <w:r>
        <w:rPr>
          <w:rFonts w:ascii="Times New Roman"/>
        </w:rPr>
        <w:t>日，经营范围包括废旧塑料、废电子产品、废铅蓄电池、废旧金属及贵金属综合回收利用及生产加工销售；危险废物收集、贮存、处置、利用及销售（以核实的危险废物经营许可证为准）</w:t>
      </w:r>
      <w:r>
        <w:rPr>
          <w:rFonts w:ascii="Times New Roman" w:hint="eastAsia"/>
        </w:rPr>
        <w:t>。</w:t>
      </w:r>
    </w:p>
    <w:p w14:paraId="38B2E9D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临河工业园区危废统一收集后，</w:t>
      </w:r>
      <w:r>
        <w:rPr>
          <w:rFonts w:ascii="Times New Roman"/>
        </w:rPr>
        <w:t>根据废物性质进行分类收集、安全储存，采取回收、处置和综合利用的方式处置固体废物。产生的危险废物送往有危险废物处置资质的单位处置，对危险废物进行有效控制，主要处置去向包括宁夏德坤环保科技实业集团有限公司等</w:t>
      </w:r>
      <w:r>
        <w:rPr>
          <w:rFonts w:ascii="Times New Roman"/>
        </w:rPr>
        <w:t>13</w:t>
      </w:r>
      <w:r>
        <w:rPr>
          <w:rFonts w:ascii="Times New Roman"/>
        </w:rPr>
        <w:t>家危废处置单位。宁夏德坤环保科技实业集团有限公司成立于</w:t>
      </w:r>
      <w:r>
        <w:rPr>
          <w:rFonts w:ascii="Times New Roman"/>
        </w:rPr>
        <w:t>2010</w:t>
      </w:r>
      <w:r>
        <w:rPr>
          <w:rFonts w:ascii="Times New Roman"/>
        </w:rPr>
        <w:t>年</w:t>
      </w:r>
      <w:r>
        <w:rPr>
          <w:rFonts w:ascii="Times New Roman"/>
        </w:rPr>
        <w:t>10</w:t>
      </w:r>
      <w:r>
        <w:rPr>
          <w:rFonts w:ascii="Times New Roman"/>
        </w:rPr>
        <w:t>月</w:t>
      </w:r>
      <w:r>
        <w:rPr>
          <w:rFonts w:ascii="Times New Roman"/>
        </w:rPr>
        <w:t>21</w:t>
      </w:r>
      <w:r>
        <w:rPr>
          <w:rFonts w:ascii="Times New Roman"/>
        </w:rPr>
        <w:t>日，经营范围包括危险废物和医疗废物的收集、转运、处置及综合回收利用；危险废物、生活垃圾、电子废弃物、化工产品（不含危险化学品）的运输</w:t>
      </w:r>
      <w:r>
        <w:rPr>
          <w:rFonts w:ascii="Times New Roman" w:hint="eastAsia"/>
        </w:rPr>
        <w:t>。</w:t>
      </w:r>
    </w:p>
    <w:p w14:paraId="42C0ACE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各危废接受单位均具有相应运营资质和处理能力。</w:t>
      </w:r>
    </w:p>
    <w:p w14:paraId="74B4F5D2" w14:textId="77777777" w:rsidR="009C353B" w:rsidRDefault="009C353B">
      <w:pPr>
        <w:adjustRightInd w:val="0"/>
        <w:snapToGrid w:val="0"/>
        <w:spacing w:line="440" w:lineRule="exact"/>
        <w:jc w:val="center"/>
        <w:rPr>
          <w:rFonts w:hint="eastAsia"/>
        </w:rPr>
      </w:pPr>
    </w:p>
    <w:p w14:paraId="5D47816F" w14:textId="77777777" w:rsidR="009C353B" w:rsidRDefault="009C353B">
      <w:pPr>
        <w:adjustRightInd w:val="0"/>
        <w:snapToGrid w:val="0"/>
        <w:spacing w:line="440" w:lineRule="exact"/>
        <w:jc w:val="center"/>
        <w:rPr>
          <w:rFonts w:hint="eastAsia"/>
        </w:rPr>
      </w:pPr>
    </w:p>
    <w:p w14:paraId="1B3D5AD0" w14:textId="77777777" w:rsidR="009C353B" w:rsidRDefault="009C353B">
      <w:pPr>
        <w:adjustRightInd w:val="0"/>
        <w:snapToGrid w:val="0"/>
        <w:spacing w:line="440" w:lineRule="exact"/>
        <w:jc w:val="center"/>
        <w:rPr>
          <w:rFonts w:hint="eastAsia"/>
        </w:rPr>
      </w:pPr>
    </w:p>
    <w:p w14:paraId="1BD1AF16" w14:textId="77777777" w:rsidR="009C353B" w:rsidRDefault="009C353B">
      <w:pPr>
        <w:adjustRightInd w:val="0"/>
        <w:snapToGrid w:val="0"/>
        <w:spacing w:line="440" w:lineRule="exact"/>
        <w:jc w:val="center"/>
        <w:rPr>
          <w:rFonts w:hint="eastAsia"/>
        </w:rPr>
      </w:pPr>
    </w:p>
    <w:p w14:paraId="5636AA72" w14:textId="77777777" w:rsidR="009C353B" w:rsidRDefault="009C353B">
      <w:pPr>
        <w:rPr>
          <w:rFonts w:ascii="仿宋_GB2312" w:eastAsia="仿宋_GB2312" w:hint="eastAsia"/>
        </w:rPr>
        <w:sectPr w:rsidR="009C353B">
          <w:headerReference w:type="default" r:id="rId310"/>
          <w:pgSz w:w="11907" w:h="16840"/>
          <w:pgMar w:top="1701" w:right="1418" w:bottom="1247" w:left="1418" w:header="1134" w:footer="851" w:gutter="0"/>
          <w:paperSrc w:first="7" w:other="7"/>
          <w:cols w:space="720"/>
          <w:docGrid w:linePitch="326"/>
        </w:sectPr>
      </w:pPr>
    </w:p>
    <w:p w14:paraId="0A35ADE3"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4.2.4 </w:t>
      </w:r>
      <w:r>
        <w:rPr>
          <w:rFonts w:ascii="Times New Roman" w:hAnsi="Times New Roman"/>
          <w:sz w:val="24"/>
        </w:rPr>
        <w:t>噪声污染源</w:t>
      </w:r>
      <w:r>
        <w:rPr>
          <w:rFonts w:ascii="Times New Roman" w:hAnsi="Times New Roman" w:hint="eastAsia"/>
          <w:sz w:val="24"/>
        </w:rPr>
        <w:t>及</w:t>
      </w:r>
      <w:r>
        <w:rPr>
          <w:rFonts w:ascii="Times New Roman" w:hAnsi="Times New Roman"/>
          <w:sz w:val="24"/>
        </w:rPr>
        <w:t>治理设施情况</w:t>
      </w:r>
    </w:p>
    <w:p w14:paraId="485C821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w:t>
      </w:r>
      <w:r>
        <w:rPr>
          <w:rFonts w:ascii="Times New Roman"/>
        </w:rPr>
        <w:t>噪声源主要</w:t>
      </w:r>
      <w:r>
        <w:rPr>
          <w:rFonts w:ascii="Times New Roman" w:hint="eastAsia"/>
        </w:rPr>
        <w:t>是现有生产矿井马莲台煤矿、红石湾煤矿及选煤厂、任家庄及选煤厂</w:t>
      </w:r>
      <w:r>
        <w:rPr>
          <w:rFonts w:ascii="Times New Roman"/>
        </w:rPr>
        <w:t>噪声源。</w:t>
      </w:r>
      <w:r>
        <w:rPr>
          <w:rFonts w:ascii="Times New Roman" w:hint="eastAsia"/>
        </w:rPr>
        <w:t>丁家梁煤矿在建。</w:t>
      </w:r>
    </w:p>
    <w:p w14:paraId="1FF818D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矿区三个矿井均已投产运行，目前主要噪声为煤炭生产噪声和车辆运输产生的交通噪声。各</w:t>
      </w:r>
      <w:r>
        <w:rPr>
          <w:rFonts w:ascii="Times New Roman"/>
        </w:rPr>
        <w:t>矿井</w:t>
      </w:r>
      <w:r>
        <w:rPr>
          <w:rFonts w:ascii="Times New Roman" w:hint="eastAsia"/>
        </w:rPr>
        <w:t>及选煤厂工业场地内主要</w:t>
      </w:r>
      <w:r>
        <w:rPr>
          <w:rFonts w:ascii="Times New Roman"/>
        </w:rPr>
        <w:t>噪声源</w:t>
      </w:r>
      <w:r>
        <w:rPr>
          <w:rFonts w:ascii="Times New Roman" w:hint="eastAsia"/>
        </w:rPr>
        <w:t>为</w:t>
      </w:r>
      <w:r>
        <w:rPr>
          <w:rFonts w:ascii="Times New Roman"/>
        </w:rPr>
        <w:t>提升系统提升机、通风机、压风机</w:t>
      </w:r>
      <w:r>
        <w:rPr>
          <w:rFonts w:ascii="Times New Roman" w:hint="eastAsia"/>
        </w:rPr>
        <w:t>、</w:t>
      </w:r>
      <w:r>
        <w:rPr>
          <w:rFonts w:ascii="Times New Roman"/>
        </w:rPr>
        <w:t>空压机、水泵</w:t>
      </w:r>
      <w:r>
        <w:rPr>
          <w:rFonts w:ascii="Times New Roman" w:hint="eastAsia"/>
        </w:rPr>
        <w:t>、</w:t>
      </w:r>
      <w:r>
        <w:rPr>
          <w:rFonts w:ascii="Times New Roman"/>
        </w:rPr>
        <w:t>筛分破碎车间破碎机、振动筛</w:t>
      </w:r>
      <w:r>
        <w:rPr>
          <w:rFonts w:ascii="Times New Roman" w:hint="eastAsia"/>
        </w:rPr>
        <w:t>及主</w:t>
      </w:r>
      <w:r>
        <w:rPr>
          <w:rFonts w:ascii="Times New Roman"/>
        </w:rPr>
        <w:t>厂房洗选设备等。</w:t>
      </w:r>
    </w:p>
    <w:p w14:paraId="0BDD60C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已采取</w:t>
      </w:r>
      <w:r>
        <w:rPr>
          <w:rFonts w:ascii="Times New Roman"/>
        </w:rPr>
        <w:t>的噪声污染防治措施</w:t>
      </w:r>
      <w:r>
        <w:rPr>
          <w:rFonts w:ascii="Times New Roman" w:hint="eastAsia"/>
        </w:rPr>
        <w:t>包括选用低噪声设备，风机</w:t>
      </w:r>
      <w:r>
        <w:rPr>
          <w:rFonts w:ascii="Times New Roman"/>
        </w:rPr>
        <w:t>、空压机设置消声器、</w:t>
      </w:r>
      <w:r>
        <w:rPr>
          <w:rFonts w:ascii="Times New Roman" w:hint="eastAsia"/>
        </w:rPr>
        <w:t>风机</w:t>
      </w:r>
      <w:r>
        <w:rPr>
          <w:rFonts w:ascii="Times New Roman"/>
        </w:rPr>
        <w:t>设置扩散塔，</w:t>
      </w:r>
      <w:r>
        <w:rPr>
          <w:rFonts w:ascii="Times New Roman" w:hint="eastAsia"/>
        </w:rPr>
        <w:t>水泵采用柔性接头连接；</w:t>
      </w:r>
      <w:r>
        <w:rPr>
          <w:rFonts w:ascii="Times New Roman"/>
        </w:rPr>
        <w:t>设置减振基础等</w:t>
      </w:r>
      <w:r>
        <w:rPr>
          <w:rFonts w:ascii="Times New Roman" w:hint="eastAsia"/>
        </w:rPr>
        <w:t>隔声、消声、</w:t>
      </w:r>
      <w:r>
        <w:rPr>
          <w:rFonts w:ascii="Times New Roman"/>
        </w:rPr>
        <w:t>减振</w:t>
      </w:r>
      <w:r>
        <w:rPr>
          <w:rFonts w:ascii="Times New Roman" w:hint="eastAsia"/>
        </w:rPr>
        <w:t>等降噪措施。</w:t>
      </w:r>
    </w:p>
    <w:p w14:paraId="46D5502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根据红石湾煤矿</w:t>
      </w:r>
      <w:r>
        <w:rPr>
          <w:rFonts w:ascii="Times New Roman" w:hint="eastAsia"/>
        </w:rPr>
        <w:t>2020</w:t>
      </w:r>
      <w:r>
        <w:rPr>
          <w:rFonts w:ascii="Times New Roman" w:hint="eastAsia"/>
        </w:rPr>
        <w:t>年</w:t>
      </w:r>
      <w:r>
        <w:rPr>
          <w:rFonts w:ascii="Times New Roman" w:hint="eastAsia"/>
        </w:rPr>
        <w:t>3</w:t>
      </w:r>
      <w:r>
        <w:rPr>
          <w:rFonts w:ascii="Times New Roman" w:hint="eastAsia"/>
        </w:rPr>
        <w:t>月噪声监测结果及任家庄煤矿本次评价</w:t>
      </w:r>
      <w:r>
        <w:rPr>
          <w:rFonts w:ascii="Times New Roman"/>
        </w:rPr>
        <w:t>监测结果，</w:t>
      </w:r>
      <w:r>
        <w:rPr>
          <w:rFonts w:ascii="Times New Roman" w:hint="eastAsia"/>
        </w:rPr>
        <w:t>各矿厂界噪声均满足《工业企业厂界环境噪声排放标准》（</w:t>
      </w:r>
      <w:r>
        <w:rPr>
          <w:rFonts w:ascii="Times New Roman"/>
        </w:rPr>
        <w:t>GB12348-2008</w:t>
      </w:r>
      <w:r>
        <w:rPr>
          <w:rFonts w:ascii="Times New Roman" w:hint="eastAsia"/>
        </w:rPr>
        <w:t>）</w:t>
      </w:r>
      <w:r>
        <w:rPr>
          <w:rFonts w:ascii="Times New Roman"/>
        </w:rPr>
        <w:t xml:space="preserve">3 </w:t>
      </w:r>
      <w:r>
        <w:rPr>
          <w:rFonts w:ascii="Times New Roman" w:hint="eastAsia"/>
        </w:rPr>
        <w:t>类标准。</w:t>
      </w:r>
    </w:p>
    <w:p w14:paraId="00710765" w14:textId="77777777" w:rsidR="009C353B" w:rsidRDefault="00000000">
      <w:pPr>
        <w:pStyle w:val="2"/>
        <w:snapToGrid w:val="0"/>
        <w:spacing w:line="440" w:lineRule="exact"/>
        <w:rPr>
          <w:rFonts w:ascii="Times New Roman" w:eastAsia="宋体" w:hAnsi="Times New Roman"/>
          <w:b/>
          <w:sz w:val="28"/>
        </w:rPr>
      </w:pPr>
      <w:bookmarkStart w:id="150" w:name="_Toc59189836"/>
      <w:r>
        <w:rPr>
          <w:rFonts w:ascii="Times New Roman" w:eastAsia="宋体" w:hAnsi="Times New Roman" w:hint="eastAsia"/>
          <w:b/>
          <w:sz w:val="28"/>
        </w:rPr>
        <w:t>4.3</w:t>
      </w:r>
      <w:r>
        <w:rPr>
          <w:rFonts w:ascii="Times New Roman" w:eastAsia="宋体" w:hAnsi="Times New Roman"/>
          <w:b/>
          <w:sz w:val="28"/>
        </w:rPr>
        <w:t xml:space="preserve"> </w:t>
      </w:r>
      <w:r>
        <w:rPr>
          <w:rFonts w:ascii="Times New Roman" w:eastAsia="宋体" w:hAnsi="Times New Roman" w:hint="eastAsia"/>
          <w:b/>
          <w:sz w:val="28"/>
        </w:rPr>
        <w:t>矿区环境质量回顾评价</w:t>
      </w:r>
      <w:bookmarkEnd w:id="150"/>
    </w:p>
    <w:p w14:paraId="0B3560A5" w14:textId="77777777" w:rsidR="009C353B" w:rsidRDefault="00000000">
      <w:pPr>
        <w:adjustRightInd w:val="0"/>
        <w:snapToGrid w:val="0"/>
        <w:spacing w:line="440" w:lineRule="exact"/>
        <w:ind w:firstLineChars="200" w:firstLine="480"/>
        <w:rPr>
          <w:rFonts w:ascii="Times New Roman" w:hint="eastAsia"/>
        </w:rPr>
      </w:pPr>
      <w:r>
        <w:rPr>
          <w:rFonts w:ascii="Times New Roman"/>
        </w:rPr>
        <w:t>矿区</w:t>
      </w:r>
      <w:r>
        <w:rPr>
          <w:rFonts w:ascii="Times New Roman" w:hint="eastAsia"/>
        </w:rPr>
        <w:t>任家庄煤矿于</w:t>
      </w:r>
      <w:r>
        <w:rPr>
          <w:rFonts w:ascii="Times New Roman" w:hint="eastAsia"/>
        </w:rPr>
        <w:t>2</w:t>
      </w:r>
      <w:r>
        <w:rPr>
          <w:rFonts w:ascii="Times New Roman"/>
        </w:rPr>
        <w:t>008</w:t>
      </w:r>
      <w:r>
        <w:rPr>
          <w:rFonts w:ascii="Times New Roman" w:hint="eastAsia"/>
        </w:rPr>
        <w:t>年建成，马莲台煤矿</w:t>
      </w:r>
      <w:r>
        <w:rPr>
          <w:rFonts w:ascii="Times New Roman" w:hint="eastAsia"/>
        </w:rPr>
        <w:t>2</w:t>
      </w:r>
      <w:r>
        <w:rPr>
          <w:rFonts w:ascii="Times New Roman"/>
        </w:rPr>
        <w:t>010</w:t>
      </w:r>
      <w:r>
        <w:rPr>
          <w:rFonts w:ascii="Times New Roman" w:hint="eastAsia"/>
        </w:rPr>
        <w:t>年建成、红石湾煤矿</w:t>
      </w:r>
      <w:r>
        <w:rPr>
          <w:rFonts w:ascii="Times New Roman" w:hint="eastAsia"/>
        </w:rPr>
        <w:t>2</w:t>
      </w:r>
      <w:r>
        <w:rPr>
          <w:rFonts w:ascii="Times New Roman"/>
        </w:rPr>
        <w:t>012</w:t>
      </w:r>
      <w:r>
        <w:rPr>
          <w:rFonts w:ascii="Times New Roman" w:hint="eastAsia"/>
        </w:rPr>
        <w:t>年建成，各矿生产至今，时间最长的任家庄煤矿</w:t>
      </w:r>
      <w:r>
        <w:rPr>
          <w:rFonts w:ascii="Times New Roman"/>
        </w:rPr>
        <w:t>已</w:t>
      </w:r>
      <w:r>
        <w:rPr>
          <w:rFonts w:ascii="Times New Roman" w:hint="eastAsia"/>
        </w:rPr>
        <w:t>生产</w:t>
      </w:r>
      <w:r>
        <w:rPr>
          <w:rFonts w:ascii="Times New Roman"/>
        </w:rPr>
        <w:t>12</w:t>
      </w:r>
      <w:r>
        <w:rPr>
          <w:rFonts w:ascii="Times New Roman" w:hint="eastAsia"/>
        </w:rPr>
        <w:t>年。</w:t>
      </w:r>
      <w:r>
        <w:rPr>
          <w:rFonts w:ascii="Times New Roman"/>
        </w:rPr>
        <w:t>本次</w:t>
      </w:r>
      <w:r>
        <w:rPr>
          <w:rFonts w:ascii="Times New Roman" w:hint="eastAsia"/>
        </w:rPr>
        <w:t>评价</w:t>
      </w:r>
      <w:r>
        <w:rPr>
          <w:rFonts w:ascii="Times New Roman"/>
        </w:rPr>
        <w:t>对</w:t>
      </w:r>
      <w:r>
        <w:rPr>
          <w:rFonts w:ascii="Times New Roman" w:hint="eastAsia"/>
        </w:rPr>
        <w:t>矿区</w:t>
      </w:r>
      <w:r>
        <w:rPr>
          <w:rFonts w:ascii="Times New Roman"/>
        </w:rPr>
        <w:t>环境质量的回顾性评价主要利用</w:t>
      </w:r>
      <w:r>
        <w:rPr>
          <w:rFonts w:ascii="Times New Roman" w:hint="eastAsia"/>
        </w:rPr>
        <w:t>矿区内各项目环评、</w:t>
      </w:r>
      <w:r>
        <w:rPr>
          <w:rFonts w:ascii="Times New Roman"/>
        </w:rPr>
        <w:t>验收阶段</w:t>
      </w:r>
      <w:r>
        <w:rPr>
          <w:rFonts w:ascii="Times New Roman" w:hint="eastAsia"/>
        </w:rPr>
        <w:t>、产能核增环境现状评估对矿区环境质量的历次监测数据</w:t>
      </w:r>
      <w:r>
        <w:rPr>
          <w:rFonts w:ascii="Times New Roman"/>
        </w:rPr>
        <w:t>进行分析。</w:t>
      </w:r>
    </w:p>
    <w:p w14:paraId="19C96134"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4.</w:t>
      </w:r>
      <w:r>
        <w:rPr>
          <w:rFonts w:ascii="Times New Roman" w:hAnsi="Times New Roman" w:hint="eastAsia"/>
          <w:sz w:val="24"/>
        </w:rPr>
        <w:t>3</w:t>
      </w:r>
      <w:r>
        <w:rPr>
          <w:rFonts w:ascii="Times New Roman" w:hAnsi="Times New Roman"/>
          <w:sz w:val="24"/>
        </w:rPr>
        <w:t xml:space="preserve">.1 </w:t>
      </w:r>
      <w:r>
        <w:rPr>
          <w:rFonts w:ascii="Times New Roman" w:hAnsi="Times New Roman"/>
          <w:sz w:val="24"/>
        </w:rPr>
        <w:t>矿区环境空气</w:t>
      </w:r>
      <w:r>
        <w:rPr>
          <w:rFonts w:ascii="Times New Roman" w:hAnsi="Times New Roman" w:hint="eastAsia"/>
          <w:sz w:val="24"/>
        </w:rPr>
        <w:t>质量回顾性评价</w:t>
      </w:r>
    </w:p>
    <w:p w14:paraId="5DA2BCE7"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本次</w:t>
      </w:r>
      <w:r>
        <w:rPr>
          <w:rFonts w:ascii="Times New Roman"/>
          <w:szCs w:val="24"/>
        </w:rPr>
        <w:t>评价收集了《宁夏宝丰能源集团有限公司马莲台煤矿项目竣工环境保护验收调查报告》（</w:t>
      </w:r>
      <w:r>
        <w:rPr>
          <w:rFonts w:ascii="Times New Roman" w:hAnsi="Times New Roman"/>
          <w:szCs w:val="24"/>
        </w:rPr>
        <w:t>2009</w:t>
      </w:r>
      <w:r>
        <w:rPr>
          <w:rFonts w:ascii="Times New Roman"/>
          <w:szCs w:val="24"/>
        </w:rPr>
        <w:t>年</w:t>
      </w:r>
      <w:r>
        <w:rPr>
          <w:rFonts w:ascii="Times New Roman" w:hAnsi="Times New Roman"/>
          <w:szCs w:val="24"/>
        </w:rPr>
        <w:t>12</w:t>
      </w:r>
      <w:r>
        <w:rPr>
          <w:rFonts w:ascii="Times New Roman"/>
          <w:szCs w:val="24"/>
        </w:rPr>
        <w:t>月）、《宁夏煤业集团有限责任公司任家庄煤矿环境影响报告书》（</w:t>
      </w:r>
      <w:r>
        <w:rPr>
          <w:rFonts w:ascii="Times New Roman" w:hAnsi="Times New Roman"/>
          <w:szCs w:val="24"/>
        </w:rPr>
        <w:t>2005</w:t>
      </w:r>
      <w:r>
        <w:rPr>
          <w:rFonts w:ascii="Times New Roman"/>
          <w:szCs w:val="24"/>
        </w:rPr>
        <w:t>年</w:t>
      </w:r>
      <w:r>
        <w:rPr>
          <w:rFonts w:ascii="Times New Roman" w:hAnsi="Times New Roman"/>
          <w:szCs w:val="24"/>
        </w:rPr>
        <w:t>12</w:t>
      </w:r>
      <w:r>
        <w:rPr>
          <w:rFonts w:ascii="Times New Roman"/>
          <w:szCs w:val="24"/>
        </w:rPr>
        <w:t>月）、《神华宁夏煤业集团有限责任公司红石湾煤矿项目环境影响报告书》（</w:t>
      </w:r>
      <w:r>
        <w:rPr>
          <w:rFonts w:ascii="Times New Roman" w:hAnsi="Times New Roman"/>
          <w:szCs w:val="24"/>
        </w:rPr>
        <w:t>2008</w:t>
      </w:r>
      <w:r>
        <w:rPr>
          <w:rFonts w:ascii="Times New Roman"/>
          <w:szCs w:val="24"/>
        </w:rPr>
        <w:t>年</w:t>
      </w:r>
      <w:r>
        <w:rPr>
          <w:rFonts w:ascii="Times New Roman" w:hAnsi="Times New Roman"/>
          <w:szCs w:val="24"/>
        </w:rPr>
        <w:t>11</w:t>
      </w:r>
      <w:r>
        <w:rPr>
          <w:rFonts w:ascii="Times New Roman"/>
          <w:szCs w:val="24"/>
        </w:rPr>
        <w:t>月）、《宁夏宝丰能源集团有限公司丁家梁煤矿项目环境影响报告书》（</w:t>
      </w:r>
      <w:r>
        <w:rPr>
          <w:rFonts w:ascii="Times New Roman" w:hAnsi="Times New Roman"/>
          <w:szCs w:val="24"/>
        </w:rPr>
        <w:t>2012</w:t>
      </w:r>
      <w:r>
        <w:rPr>
          <w:rFonts w:ascii="Times New Roman"/>
          <w:szCs w:val="24"/>
        </w:rPr>
        <w:t>年</w:t>
      </w:r>
      <w:r>
        <w:rPr>
          <w:rFonts w:ascii="Times New Roman" w:hAnsi="Times New Roman"/>
          <w:szCs w:val="24"/>
        </w:rPr>
        <w:t>3</w:t>
      </w:r>
      <w:r>
        <w:rPr>
          <w:rFonts w:ascii="Times New Roman"/>
          <w:szCs w:val="24"/>
        </w:rPr>
        <w:t>月）、《宁东基地现代煤化工产业示范区总体规划环境影响报告书》（</w:t>
      </w:r>
      <w:r>
        <w:rPr>
          <w:rFonts w:ascii="Times New Roman" w:hAnsi="Times New Roman"/>
          <w:szCs w:val="24"/>
        </w:rPr>
        <w:t>2019</w:t>
      </w:r>
      <w:r>
        <w:rPr>
          <w:rFonts w:ascii="Times New Roman"/>
          <w:szCs w:val="24"/>
        </w:rPr>
        <w:t>年</w:t>
      </w:r>
      <w:r>
        <w:rPr>
          <w:rFonts w:ascii="Times New Roman" w:hAnsi="Times New Roman"/>
          <w:szCs w:val="24"/>
        </w:rPr>
        <w:t>3</w:t>
      </w:r>
      <w:r>
        <w:rPr>
          <w:rFonts w:ascii="Times New Roman"/>
          <w:szCs w:val="24"/>
        </w:rPr>
        <w:t>月）等环境影响报告书</w:t>
      </w:r>
      <w:r>
        <w:rPr>
          <w:rFonts w:ascii="Times New Roman" w:hint="eastAsia"/>
          <w:szCs w:val="24"/>
        </w:rPr>
        <w:t>或</w:t>
      </w:r>
      <w:r>
        <w:rPr>
          <w:rFonts w:ascii="Times New Roman"/>
          <w:szCs w:val="24"/>
        </w:rPr>
        <w:t>竣工验收调查报告中的环境质量现状监测数据，监测数据见表</w:t>
      </w:r>
      <w:r>
        <w:rPr>
          <w:rFonts w:ascii="Times New Roman"/>
          <w:szCs w:val="24"/>
        </w:rPr>
        <w:t>4.3-1</w:t>
      </w:r>
      <w:r>
        <w:rPr>
          <w:rFonts w:ascii="Times New Roman" w:hint="eastAsia"/>
          <w:szCs w:val="24"/>
        </w:rPr>
        <w:t>、</w:t>
      </w:r>
      <w:r>
        <w:rPr>
          <w:rFonts w:ascii="Times New Roman" w:hint="eastAsia"/>
          <w:szCs w:val="24"/>
        </w:rPr>
        <w:t>4.3</w:t>
      </w:r>
      <w:r>
        <w:rPr>
          <w:rFonts w:ascii="Times New Roman"/>
          <w:szCs w:val="24"/>
        </w:rPr>
        <w:t>-2</w:t>
      </w:r>
      <w:r>
        <w:rPr>
          <w:rFonts w:ascii="Times New Roman" w:hint="eastAsia"/>
          <w:szCs w:val="24"/>
        </w:rPr>
        <w:t>、</w:t>
      </w:r>
      <w:r>
        <w:rPr>
          <w:rFonts w:ascii="Times New Roman" w:hint="eastAsia"/>
          <w:szCs w:val="24"/>
        </w:rPr>
        <w:t>4.3</w:t>
      </w:r>
      <w:r>
        <w:rPr>
          <w:rFonts w:ascii="Times New Roman"/>
          <w:szCs w:val="24"/>
        </w:rPr>
        <w:t>-3</w:t>
      </w:r>
      <w:r>
        <w:rPr>
          <w:rFonts w:ascii="Times New Roman" w:hint="eastAsia"/>
          <w:szCs w:val="24"/>
        </w:rPr>
        <w:t>和</w:t>
      </w:r>
      <w:r>
        <w:rPr>
          <w:rFonts w:ascii="Times New Roman" w:hint="eastAsia"/>
          <w:szCs w:val="24"/>
        </w:rPr>
        <w:t>4.3</w:t>
      </w:r>
      <w:r>
        <w:rPr>
          <w:rFonts w:ascii="Times New Roman"/>
          <w:szCs w:val="24"/>
        </w:rPr>
        <w:t>-4</w:t>
      </w:r>
      <w:r>
        <w:rPr>
          <w:rFonts w:ascii="Times New Roman"/>
          <w:szCs w:val="24"/>
        </w:rPr>
        <w:t>。</w:t>
      </w:r>
      <w:r>
        <w:rPr>
          <w:rFonts w:ascii="Times New Roman" w:hint="eastAsia"/>
          <w:szCs w:val="24"/>
        </w:rPr>
        <w:t>区域环境空气质量监测因子变化趋势见图</w:t>
      </w:r>
      <w:r>
        <w:rPr>
          <w:rFonts w:ascii="Times New Roman" w:hint="eastAsia"/>
          <w:szCs w:val="24"/>
        </w:rPr>
        <w:t>4</w:t>
      </w:r>
      <w:r>
        <w:rPr>
          <w:rFonts w:ascii="Times New Roman"/>
          <w:szCs w:val="24"/>
        </w:rPr>
        <w:t>.3</w:t>
      </w:r>
      <w:r>
        <w:rPr>
          <w:rFonts w:ascii="Times New Roman" w:hint="eastAsia"/>
          <w:szCs w:val="24"/>
        </w:rPr>
        <w:t>-</w:t>
      </w:r>
      <w:r>
        <w:rPr>
          <w:rFonts w:ascii="Times New Roman"/>
          <w:szCs w:val="24"/>
        </w:rPr>
        <w:t>1</w:t>
      </w:r>
      <w:r>
        <w:rPr>
          <w:rFonts w:ascii="Times New Roman" w:hint="eastAsia"/>
          <w:szCs w:val="24"/>
        </w:rPr>
        <w:t>。</w:t>
      </w:r>
    </w:p>
    <w:p w14:paraId="4735C42B" w14:textId="77777777" w:rsidR="009C353B" w:rsidRDefault="009C353B">
      <w:pPr>
        <w:adjustRightInd w:val="0"/>
        <w:snapToGrid w:val="0"/>
        <w:spacing w:line="440" w:lineRule="exact"/>
        <w:ind w:firstLineChars="200" w:firstLine="480"/>
        <w:rPr>
          <w:rFonts w:ascii="Times New Roman" w:hint="eastAsia"/>
          <w:szCs w:val="24"/>
        </w:rPr>
      </w:pPr>
    </w:p>
    <w:p w14:paraId="74B38A79" w14:textId="77777777" w:rsidR="009C353B" w:rsidRDefault="009C353B">
      <w:pPr>
        <w:adjustRightInd w:val="0"/>
        <w:snapToGrid w:val="0"/>
        <w:spacing w:line="440" w:lineRule="exact"/>
        <w:ind w:firstLineChars="200" w:firstLine="480"/>
        <w:rPr>
          <w:rFonts w:ascii="Times New Roman" w:hint="eastAsia"/>
          <w:szCs w:val="24"/>
        </w:rPr>
      </w:pPr>
    </w:p>
    <w:p w14:paraId="26D43088" w14:textId="77777777" w:rsidR="009C353B" w:rsidRDefault="009C353B">
      <w:pPr>
        <w:adjustRightInd w:val="0"/>
        <w:snapToGrid w:val="0"/>
        <w:spacing w:line="440" w:lineRule="exact"/>
        <w:ind w:firstLineChars="200" w:firstLine="480"/>
        <w:rPr>
          <w:rFonts w:ascii="Times New Roman" w:hint="eastAsia"/>
          <w:szCs w:val="24"/>
        </w:rPr>
      </w:pPr>
    </w:p>
    <w:p w14:paraId="35568C87" w14:textId="77777777" w:rsidR="009C353B" w:rsidRDefault="009C353B">
      <w:pPr>
        <w:adjustRightInd w:val="0"/>
        <w:snapToGrid w:val="0"/>
        <w:spacing w:line="440" w:lineRule="exact"/>
        <w:ind w:firstLineChars="200" w:firstLine="480"/>
        <w:rPr>
          <w:rFonts w:ascii="Times New Roman" w:hint="eastAsia"/>
          <w:szCs w:val="24"/>
        </w:rPr>
      </w:pPr>
    </w:p>
    <w:p w14:paraId="5459D695" w14:textId="77777777" w:rsidR="009C353B" w:rsidRDefault="009C353B">
      <w:pPr>
        <w:adjustRightInd w:val="0"/>
        <w:snapToGrid w:val="0"/>
        <w:spacing w:line="440" w:lineRule="exact"/>
        <w:ind w:firstLineChars="200" w:firstLine="480"/>
        <w:rPr>
          <w:rFonts w:ascii="Times New Roman" w:hint="eastAsia"/>
          <w:szCs w:val="24"/>
        </w:rPr>
      </w:pPr>
    </w:p>
    <w:p w14:paraId="1589ED2B" w14:textId="77777777" w:rsidR="009C353B" w:rsidRDefault="009C353B">
      <w:pPr>
        <w:adjustRightInd w:val="0"/>
        <w:snapToGrid w:val="0"/>
        <w:spacing w:line="440" w:lineRule="exact"/>
        <w:ind w:firstLineChars="200" w:firstLine="480"/>
        <w:rPr>
          <w:rFonts w:ascii="Times New Roman" w:hint="eastAsia"/>
          <w:szCs w:val="24"/>
        </w:rPr>
      </w:pPr>
    </w:p>
    <w:p w14:paraId="675C58B2" w14:textId="77777777" w:rsidR="009C353B" w:rsidRDefault="009C353B">
      <w:pPr>
        <w:adjustRightInd w:val="0"/>
        <w:snapToGrid w:val="0"/>
        <w:spacing w:line="440" w:lineRule="exact"/>
        <w:ind w:firstLineChars="200" w:firstLine="480"/>
        <w:rPr>
          <w:rFonts w:ascii="Times New Roman" w:hint="eastAsia"/>
          <w:szCs w:val="24"/>
        </w:rPr>
      </w:pPr>
    </w:p>
    <w:p w14:paraId="5CC388D7"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hint="eastAsia"/>
          <w:b/>
          <w:szCs w:val="24"/>
        </w:rPr>
        <w:t>任家庄煤矿环境空气质量监测结果</w:t>
      </w:r>
    </w:p>
    <w:p w14:paraId="54659AB0" w14:textId="77777777" w:rsidR="009C353B" w:rsidRDefault="00000000">
      <w:pPr>
        <w:adjustRightInd w:val="0"/>
        <w:snapToGrid w:val="0"/>
        <w:spacing w:line="440" w:lineRule="exact"/>
        <w:rPr>
          <w:rFonts w:ascii="Times New Roman" w:hAnsi="Times New Roman"/>
          <w:szCs w:val="24"/>
        </w:rPr>
      </w:pPr>
      <w:r>
        <w:rPr>
          <w:rFonts w:ascii="Times New Roman" w:hAnsi="Times New Roman" w:hint="eastAsia"/>
          <w:szCs w:val="24"/>
        </w:rPr>
        <w:t>表</w:t>
      </w:r>
      <w:r>
        <w:rPr>
          <w:rFonts w:ascii="Times New Roman" w:hAnsi="Times New Roman" w:hint="eastAsia"/>
          <w:szCs w:val="24"/>
        </w:rPr>
        <w:t>4.3-1</w:t>
      </w:r>
    </w:p>
    <w:tbl>
      <w:tblPr>
        <w:tblStyle w:val="afffb"/>
        <w:tblW w:w="0" w:type="auto"/>
        <w:tblLook w:val="04A0" w:firstRow="1" w:lastRow="0" w:firstColumn="1" w:lastColumn="0" w:noHBand="0" w:noVBand="1"/>
      </w:tblPr>
      <w:tblGrid>
        <w:gridCol w:w="1834"/>
        <w:gridCol w:w="2127"/>
        <w:gridCol w:w="1712"/>
        <w:gridCol w:w="1569"/>
        <w:gridCol w:w="1935"/>
      </w:tblGrid>
      <w:tr w:rsidR="009C353B" w14:paraId="130CDF99" w14:textId="77777777">
        <w:trPr>
          <w:trHeight w:val="351"/>
          <w:tblHeader/>
        </w:trPr>
        <w:tc>
          <w:tcPr>
            <w:tcW w:w="1834" w:type="dxa"/>
            <w:vMerge w:val="restart"/>
            <w:vAlign w:val="center"/>
          </w:tcPr>
          <w:p w14:paraId="58EC3212" w14:textId="77777777" w:rsidR="009C353B" w:rsidRDefault="00000000">
            <w:pPr>
              <w:adjustRightInd w:val="0"/>
              <w:snapToGrid w:val="0"/>
              <w:jc w:val="center"/>
              <w:rPr>
                <w:rFonts w:ascii="Times New Roman" w:hAnsi="Times New Roman"/>
                <w:sz w:val="21"/>
                <w:szCs w:val="21"/>
              </w:rPr>
            </w:pPr>
            <w:r>
              <w:rPr>
                <w:rFonts w:ascii="Times New Roman"/>
                <w:sz w:val="21"/>
                <w:szCs w:val="21"/>
              </w:rPr>
              <w:t>监测点位</w:t>
            </w:r>
          </w:p>
        </w:tc>
        <w:tc>
          <w:tcPr>
            <w:tcW w:w="2126" w:type="dxa"/>
            <w:vMerge w:val="restart"/>
            <w:vAlign w:val="center"/>
          </w:tcPr>
          <w:p w14:paraId="7849B819" w14:textId="77777777" w:rsidR="009C353B" w:rsidRDefault="00000000">
            <w:pPr>
              <w:adjustRightInd w:val="0"/>
              <w:snapToGrid w:val="0"/>
              <w:jc w:val="center"/>
              <w:rPr>
                <w:rFonts w:ascii="Times New Roman" w:hAnsi="Times New Roman"/>
                <w:sz w:val="21"/>
                <w:szCs w:val="21"/>
              </w:rPr>
            </w:pPr>
            <w:r>
              <w:rPr>
                <w:rFonts w:ascii="Times New Roman"/>
                <w:sz w:val="21"/>
                <w:szCs w:val="21"/>
              </w:rPr>
              <w:t>监测时间</w:t>
            </w:r>
          </w:p>
        </w:tc>
        <w:tc>
          <w:tcPr>
            <w:tcW w:w="5216" w:type="dxa"/>
            <w:gridSpan w:val="3"/>
            <w:vAlign w:val="center"/>
          </w:tcPr>
          <w:p w14:paraId="3F2895F0" w14:textId="77777777" w:rsidR="009C353B" w:rsidRDefault="00000000">
            <w:pPr>
              <w:adjustRightInd w:val="0"/>
              <w:snapToGrid w:val="0"/>
              <w:jc w:val="center"/>
              <w:rPr>
                <w:rFonts w:ascii="Times New Roman" w:hAnsi="Times New Roman"/>
                <w:sz w:val="21"/>
                <w:szCs w:val="21"/>
              </w:rPr>
            </w:pPr>
            <w:r>
              <w:rPr>
                <w:rFonts w:ascii="Times New Roman"/>
                <w:sz w:val="21"/>
                <w:szCs w:val="21"/>
              </w:rPr>
              <w:t>监测结果</w:t>
            </w:r>
            <w:r>
              <w:rPr>
                <w:rFonts w:ascii="Times New Roman"/>
                <w:bCs/>
                <w:sz w:val="21"/>
                <w:szCs w:val="21"/>
              </w:rPr>
              <w:t>（</w:t>
            </w:r>
            <w:r>
              <w:rPr>
                <w:rFonts w:ascii="Times New Roman" w:hAnsi="Times New Roman"/>
                <w:bCs/>
                <w:sz w:val="21"/>
                <w:szCs w:val="21"/>
              </w:rPr>
              <w:t>mg/m</w:t>
            </w:r>
            <w:r>
              <w:rPr>
                <w:rFonts w:ascii="Times New Roman" w:hAnsi="Times New Roman"/>
                <w:bCs/>
                <w:sz w:val="21"/>
                <w:szCs w:val="21"/>
                <w:vertAlign w:val="superscript"/>
              </w:rPr>
              <w:t>3</w:t>
            </w:r>
            <w:r>
              <w:rPr>
                <w:rFonts w:ascii="Times New Roman"/>
                <w:bCs/>
                <w:sz w:val="21"/>
                <w:szCs w:val="21"/>
              </w:rPr>
              <w:t>）</w:t>
            </w:r>
          </w:p>
        </w:tc>
      </w:tr>
      <w:tr w:rsidR="009C353B" w14:paraId="1BC0C4F4" w14:textId="77777777">
        <w:trPr>
          <w:trHeight w:val="351"/>
          <w:tblHeader/>
        </w:trPr>
        <w:tc>
          <w:tcPr>
            <w:tcW w:w="1834" w:type="dxa"/>
            <w:vMerge/>
            <w:vAlign w:val="center"/>
          </w:tcPr>
          <w:p w14:paraId="6FEAA807" w14:textId="77777777" w:rsidR="009C353B" w:rsidRDefault="009C353B">
            <w:pPr>
              <w:adjustRightInd w:val="0"/>
              <w:snapToGrid w:val="0"/>
              <w:jc w:val="center"/>
              <w:rPr>
                <w:rFonts w:ascii="Times New Roman" w:hAnsi="Times New Roman"/>
                <w:sz w:val="21"/>
                <w:szCs w:val="21"/>
              </w:rPr>
            </w:pPr>
          </w:p>
        </w:tc>
        <w:tc>
          <w:tcPr>
            <w:tcW w:w="2126" w:type="dxa"/>
            <w:vMerge/>
            <w:vAlign w:val="center"/>
          </w:tcPr>
          <w:p w14:paraId="183CFE45" w14:textId="77777777" w:rsidR="009C353B" w:rsidRDefault="009C353B">
            <w:pPr>
              <w:adjustRightInd w:val="0"/>
              <w:snapToGrid w:val="0"/>
              <w:jc w:val="center"/>
              <w:rPr>
                <w:rFonts w:ascii="Times New Roman" w:hAnsi="Times New Roman"/>
                <w:sz w:val="21"/>
                <w:szCs w:val="21"/>
              </w:rPr>
            </w:pPr>
          </w:p>
        </w:tc>
        <w:tc>
          <w:tcPr>
            <w:tcW w:w="1712" w:type="dxa"/>
            <w:vAlign w:val="center"/>
          </w:tcPr>
          <w:p w14:paraId="76F35BE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10</w:t>
            </w:r>
          </w:p>
        </w:tc>
        <w:tc>
          <w:tcPr>
            <w:tcW w:w="1569" w:type="dxa"/>
            <w:vAlign w:val="center"/>
          </w:tcPr>
          <w:p w14:paraId="711AA28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TSP</w:t>
            </w:r>
          </w:p>
        </w:tc>
        <w:tc>
          <w:tcPr>
            <w:tcW w:w="1934" w:type="dxa"/>
            <w:vAlign w:val="center"/>
          </w:tcPr>
          <w:p w14:paraId="25D9488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tc>
      </w:tr>
      <w:tr w:rsidR="009C353B" w14:paraId="67ADB2CF" w14:textId="77777777">
        <w:trPr>
          <w:trHeight w:val="335"/>
        </w:trPr>
        <w:tc>
          <w:tcPr>
            <w:tcW w:w="1834" w:type="dxa"/>
            <w:vAlign w:val="center"/>
          </w:tcPr>
          <w:p w14:paraId="4D5090EB" w14:textId="77777777" w:rsidR="009C353B" w:rsidRDefault="00000000">
            <w:pPr>
              <w:adjustRightInd w:val="0"/>
              <w:snapToGrid w:val="0"/>
              <w:jc w:val="left"/>
              <w:rPr>
                <w:rFonts w:ascii="Times New Roman" w:hAnsi="Times New Roman"/>
                <w:sz w:val="21"/>
                <w:szCs w:val="21"/>
              </w:rPr>
            </w:pPr>
            <w:r>
              <w:rPr>
                <w:rFonts w:ascii="Times New Roman" w:hAnsi="Times New Roman"/>
                <w:sz w:val="21"/>
                <w:szCs w:val="21"/>
              </w:rPr>
              <w:t xml:space="preserve">1# </w:t>
            </w:r>
            <w:r>
              <w:rPr>
                <w:rFonts w:ascii="Times New Roman"/>
                <w:sz w:val="21"/>
                <w:szCs w:val="21"/>
              </w:rPr>
              <w:t>矿井工业场地</w:t>
            </w:r>
          </w:p>
        </w:tc>
        <w:tc>
          <w:tcPr>
            <w:tcW w:w="2126" w:type="dxa"/>
            <w:vMerge w:val="restart"/>
            <w:vAlign w:val="center"/>
          </w:tcPr>
          <w:p w14:paraId="26D45DC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2005</w:t>
            </w:r>
            <w:r>
              <w:rPr>
                <w:rFonts w:ascii="Times New Roman"/>
                <w:sz w:val="21"/>
                <w:szCs w:val="21"/>
              </w:rPr>
              <w:t>年</w:t>
            </w:r>
            <w:r>
              <w:rPr>
                <w:rFonts w:ascii="Times New Roman" w:hAnsi="Times New Roman"/>
                <w:sz w:val="21"/>
                <w:szCs w:val="21"/>
              </w:rPr>
              <w:t>3</w:t>
            </w:r>
            <w:r>
              <w:rPr>
                <w:rFonts w:ascii="Times New Roman"/>
                <w:sz w:val="21"/>
                <w:szCs w:val="21"/>
              </w:rPr>
              <w:t>月</w:t>
            </w:r>
            <w:r>
              <w:rPr>
                <w:rFonts w:ascii="Times New Roman" w:hAnsi="Times New Roman"/>
                <w:sz w:val="21"/>
                <w:szCs w:val="21"/>
              </w:rPr>
              <w:t>14</w:t>
            </w:r>
            <w:r>
              <w:rPr>
                <w:rFonts w:ascii="Times New Roman"/>
                <w:sz w:val="21"/>
                <w:szCs w:val="21"/>
              </w:rPr>
              <w:t>日至</w:t>
            </w:r>
            <w:r>
              <w:rPr>
                <w:rFonts w:ascii="Times New Roman" w:hAnsi="Times New Roman"/>
                <w:sz w:val="21"/>
                <w:szCs w:val="21"/>
              </w:rPr>
              <w:t>2005</w:t>
            </w:r>
            <w:r>
              <w:rPr>
                <w:rFonts w:ascii="Times New Roman"/>
                <w:sz w:val="21"/>
                <w:szCs w:val="21"/>
              </w:rPr>
              <w:t>年</w:t>
            </w:r>
            <w:r>
              <w:rPr>
                <w:rFonts w:ascii="Times New Roman" w:hAnsi="Times New Roman"/>
                <w:sz w:val="21"/>
                <w:szCs w:val="21"/>
              </w:rPr>
              <w:t>3</w:t>
            </w:r>
            <w:r>
              <w:rPr>
                <w:rFonts w:ascii="Times New Roman"/>
                <w:sz w:val="21"/>
                <w:szCs w:val="21"/>
              </w:rPr>
              <w:t>月</w:t>
            </w:r>
            <w:r>
              <w:rPr>
                <w:rFonts w:ascii="Times New Roman" w:hAnsi="Times New Roman"/>
                <w:sz w:val="21"/>
                <w:szCs w:val="21"/>
              </w:rPr>
              <w:t>18</w:t>
            </w:r>
            <w:r>
              <w:rPr>
                <w:rFonts w:ascii="Times New Roman"/>
                <w:sz w:val="21"/>
                <w:szCs w:val="21"/>
              </w:rPr>
              <w:t>日</w:t>
            </w:r>
          </w:p>
        </w:tc>
        <w:tc>
          <w:tcPr>
            <w:tcW w:w="1712" w:type="dxa"/>
            <w:vAlign w:val="center"/>
          </w:tcPr>
          <w:p w14:paraId="3C1DEC3D" w14:textId="77777777" w:rsidR="009C353B" w:rsidRDefault="00000000">
            <w:pPr>
              <w:jc w:val="center"/>
              <w:rPr>
                <w:rFonts w:ascii="Times New Roman" w:hAnsi="Times New Roman"/>
                <w:bCs/>
                <w:sz w:val="21"/>
                <w:szCs w:val="21"/>
              </w:rPr>
            </w:pPr>
            <w:r>
              <w:rPr>
                <w:rFonts w:ascii="Times New Roman" w:hAnsi="Times New Roman"/>
                <w:bCs/>
                <w:sz w:val="21"/>
                <w:szCs w:val="21"/>
              </w:rPr>
              <w:t>0.064</w:t>
            </w:r>
            <w:r>
              <w:rPr>
                <w:rFonts w:ascii="Times New Roman" w:hint="eastAsia"/>
                <w:bCs/>
                <w:sz w:val="21"/>
                <w:szCs w:val="21"/>
              </w:rPr>
              <w:t>-</w:t>
            </w:r>
            <w:r>
              <w:rPr>
                <w:rFonts w:ascii="Times New Roman" w:hAnsi="Times New Roman"/>
                <w:bCs/>
                <w:sz w:val="21"/>
                <w:szCs w:val="21"/>
              </w:rPr>
              <w:t>0.356</w:t>
            </w:r>
          </w:p>
        </w:tc>
        <w:tc>
          <w:tcPr>
            <w:tcW w:w="1569" w:type="dxa"/>
            <w:vAlign w:val="center"/>
          </w:tcPr>
          <w:p w14:paraId="62FCB74D" w14:textId="77777777" w:rsidR="009C353B" w:rsidRDefault="00000000">
            <w:pPr>
              <w:jc w:val="center"/>
              <w:rPr>
                <w:rFonts w:ascii="Times New Roman" w:hAnsi="Times New Roman"/>
                <w:bCs/>
                <w:sz w:val="21"/>
                <w:szCs w:val="21"/>
              </w:rPr>
            </w:pPr>
            <w:r>
              <w:rPr>
                <w:rFonts w:ascii="Times New Roman" w:hAnsi="Times New Roman"/>
                <w:bCs/>
                <w:sz w:val="21"/>
                <w:szCs w:val="21"/>
              </w:rPr>
              <w:t>0.181</w:t>
            </w:r>
            <w:r>
              <w:rPr>
                <w:rFonts w:ascii="Times New Roman" w:hint="eastAsia"/>
                <w:bCs/>
                <w:sz w:val="21"/>
                <w:szCs w:val="21"/>
              </w:rPr>
              <w:t>-</w:t>
            </w:r>
            <w:r>
              <w:rPr>
                <w:rFonts w:ascii="Times New Roman" w:hAnsi="Times New Roman"/>
                <w:bCs/>
                <w:sz w:val="21"/>
                <w:szCs w:val="21"/>
              </w:rPr>
              <w:t>1.124</w:t>
            </w:r>
          </w:p>
        </w:tc>
        <w:tc>
          <w:tcPr>
            <w:tcW w:w="1934" w:type="dxa"/>
            <w:vAlign w:val="center"/>
          </w:tcPr>
          <w:p w14:paraId="1410E855" w14:textId="77777777" w:rsidR="009C353B" w:rsidRDefault="00000000">
            <w:pPr>
              <w:jc w:val="center"/>
              <w:rPr>
                <w:rFonts w:ascii="Times New Roman" w:hAnsi="Times New Roman"/>
                <w:sz w:val="21"/>
                <w:szCs w:val="21"/>
              </w:rPr>
            </w:pPr>
            <w:r>
              <w:rPr>
                <w:rFonts w:ascii="Times New Roman" w:hAnsi="Times New Roman" w:hint="eastAsia"/>
                <w:sz w:val="21"/>
                <w:szCs w:val="21"/>
              </w:rPr>
              <w:t>未检出</w:t>
            </w:r>
          </w:p>
        </w:tc>
      </w:tr>
      <w:tr w:rsidR="009C353B" w14:paraId="0568417D" w14:textId="77777777">
        <w:trPr>
          <w:trHeight w:val="351"/>
        </w:trPr>
        <w:tc>
          <w:tcPr>
            <w:tcW w:w="1834" w:type="dxa"/>
            <w:vAlign w:val="center"/>
          </w:tcPr>
          <w:p w14:paraId="0DB1964E" w14:textId="77777777" w:rsidR="009C353B" w:rsidRDefault="00000000">
            <w:pPr>
              <w:adjustRightInd w:val="0"/>
              <w:snapToGrid w:val="0"/>
              <w:jc w:val="left"/>
              <w:rPr>
                <w:rFonts w:ascii="Times New Roman" w:hAnsi="Times New Roman"/>
                <w:sz w:val="21"/>
                <w:szCs w:val="21"/>
              </w:rPr>
            </w:pPr>
            <w:r>
              <w:rPr>
                <w:rFonts w:ascii="Times New Roman" w:hAnsi="Times New Roman"/>
                <w:sz w:val="21"/>
                <w:szCs w:val="21"/>
              </w:rPr>
              <w:t xml:space="preserve">2# </w:t>
            </w:r>
            <w:r>
              <w:rPr>
                <w:rFonts w:ascii="Times New Roman"/>
                <w:sz w:val="21"/>
                <w:szCs w:val="21"/>
              </w:rPr>
              <w:t>风嘴子坡</w:t>
            </w:r>
          </w:p>
        </w:tc>
        <w:tc>
          <w:tcPr>
            <w:tcW w:w="2126" w:type="dxa"/>
            <w:vMerge/>
            <w:vAlign w:val="center"/>
          </w:tcPr>
          <w:p w14:paraId="70DFDF69" w14:textId="77777777" w:rsidR="009C353B" w:rsidRDefault="009C353B">
            <w:pPr>
              <w:adjustRightInd w:val="0"/>
              <w:snapToGrid w:val="0"/>
              <w:jc w:val="center"/>
              <w:rPr>
                <w:rFonts w:ascii="Times New Roman" w:hAnsi="Times New Roman"/>
                <w:sz w:val="21"/>
                <w:szCs w:val="21"/>
              </w:rPr>
            </w:pPr>
          </w:p>
        </w:tc>
        <w:tc>
          <w:tcPr>
            <w:tcW w:w="1712" w:type="dxa"/>
            <w:vAlign w:val="center"/>
          </w:tcPr>
          <w:p w14:paraId="578ABE5F" w14:textId="77777777" w:rsidR="009C353B" w:rsidRDefault="00000000">
            <w:pPr>
              <w:jc w:val="center"/>
              <w:rPr>
                <w:rFonts w:ascii="Times New Roman" w:hAnsi="Times New Roman"/>
                <w:bCs/>
                <w:sz w:val="21"/>
                <w:szCs w:val="21"/>
              </w:rPr>
            </w:pPr>
            <w:r>
              <w:rPr>
                <w:rFonts w:ascii="Times New Roman" w:hAnsi="Times New Roman"/>
                <w:bCs/>
                <w:sz w:val="21"/>
                <w:szCs w:val="21"/>
              </w:rPr>
              <w:t>0.113</w:t>
            </w:r>
            <w:r>
              <w:rPr>
                <w:rFonts w:ascii="Times New Roman" w:hint="eastAsia"/>
                <w:bCs/>
                <w:sz w:val="21"/>
                <w:szCs w:val="21"/>
              </w:rPr>
              <w:t>-</w:t>
            </w:r>
            <w:r>
              <w:rPr>
                <w:rFonts w:ascii="Times New Roman" w:hAnsi="Times New Roman"/>
                <w:bCs/>
                <w:sz w:val="21"/>
                <w:szCs w:val="21"/>
              </w:rPr>
              <w:t>0.900</w:t>
            </w:r>
          </w:p>
        </w:tc>
        <w:tc>
          <w:tcPr>
            <w:tcW w:w="1569" w:type="dxa"/>
            <w:vAlign w:val="center"/>
          </w:tcPr>
          <w:p w14:paraId="00B62CD7" w14:textId="77777777" w:rsidR="009C353B" w:rsidRDefault="00000000">
            <w:pPr>
              <w:jc w:val="center"/>
              <w:rPr>
                <w:rFonts w:ascii="Times New Roman" w:hAnsi="Times New Roman"/>
                <w:bCs/>
                <w:sz w:val="21"/>
                <w:szCs w:val="21"/>
              </w:rPr>
            </w:pPr>
            <w:r>
              <w:rPr>
                <w:rFonts w:ascii="Times New Roman" w:hAnsi="Times New Roman"/>
                <w:bCs/>
                <w:sz w:val="21"/>
                <w:szCs w:val="21"/>
              </w:rPr>
              <w:t>0.359</w:t>
            </w:r>
            <w:r>
              <w:rPr>
                <w:rFonts w:ascii="Times New Roman" w:hint="eastAsia"/>
                <w:bCs/>
                <w:sz w:val="21"/>
                <w:szCs w:val="21"/>
              </w:rPr>
              <w:t>-</w:t>
            </w:r>
            <w:r>
              <w:rPr>
                <w:rFonts w:ascii="Times New Roman" w:hAnsi="Times New Roman"/>
                <w:bCs/>
                <w:sz w:val="21"/>
                <w:szCs w:val="21"/>
              </w:rPr>
              <w:t>1.562</w:t>
            </w:r>
          </w:p>
        </w:tc>
        <w:tc>
          <w:tcPr>
            <w:tcW w:w="1934" w:type="dxa"/>
            <w:vAlign w:val="center"/>
          </w:tcPr>
          <w:p w14:paraId="67E2DDEA" w14:textId="77777777" w:rsidR="009C353B" w:rsidRDefault="00000000">
            <w:pPr>
              <w:jc w:val="center"/>
              <w:rPr>
                <w:rFonts w:ascii="Times New Roman" w:hAnsi="Times New Roman"/>
                <w:sz w:val="21"/>
                <w:szCs w:val="21"/>
              </w:rPr>
            </w:pPr>
            <w:r>
              <w:rPr>
                <w:rFonts w:ascii="Times New Roman" w:hAnsi="Times New Roman" w:hint="eastAsia"/>
                <w:sz w:val="21"/>
                <w:szCs w:val="21"/>
              </w:rPr>
              <w:t>未检出</w:t>
            </w:r>
            <w:r>
              <w:rPr>
                <w:rFonts w:ascii="Times New Roman" w:hint="eastAsia"/>
                <w:sz w:val="21"/>
                <w:szCs w:val="21"/>
              </w:rPr>
              <w:t>-</w:t>
            </w:r>
            <w:r>
              <w:rPr>
                <w:rFonts w:ascii="Times New Roman" w:hAnsi="Times New Roman"/>
                <w:sz w:val="21"/>
                <w:szCs w:val="21"/>
              </w:rPr>
              <w:t>0.019</w:t>
            </w:r>
          </w:p>
        </w:tc>
      </w:tr>
      <w:tr w:rsidR="009C353B" w14:paraId="7EBC183C" w14:textId="77777777">
        <w:trPr>
          <w:trHeight w:val="335"/>
        </w:trPr>
        <w:tc>
          <w:tcPr>
            <w:tcW w:w="1834" w:type="dxa"/>
            <w:vAlign w:val="center"/>
          </w:tcPr>
          <w:p w14:paraId="0BA5116F" w14:textId="77777777" w:rsidR="009C353B" w:rsidRDefault="00000000">
            <w:pPr>
              <w:adjustRightInd w:val="0"/>
              <w:snapToGrid w:val="0"/>
              <w:jc w:val="left"/>
              <w:rPr>
                <w:rFonts w:ascii="Times New Roman" w:hAnsi="Times New Roman"/>
                <w:sz w:val="21"/>
                <w:szCs w:val="21"/>
              </w:rPr>
            </w:pPr>
            <w:r>
              <w:rPr>
                <w:rFonts w:ascii="Times New Roman" w:hAnsi="Times New Roman"/>
                <w:sz w:val="21"/>
                <w:szCs w:val="21"/>
              </w:rPr>
              <w:t xml:space="preserve">3# </w:t>
            </w:r>
            <w:r>
              <w:rPr>
                <w:rFonts w:ascii="Times New Roman"/>
                <w:sz w:val="21"/>
                <w:szCs w:val="21"/>
              </w:rPr>
              <w:t>黄草坡</w:t>
            </w:r>
          </w:p>
        </w:tc>
        <w:tc>
          <w:tcPr>
            <w:tcW w:w="2126" w:type="dxa"/>
            <w:vMerge/>
            <w:vAlign w:val="center"/>
          </w:tcPr>
          <w:p w14:paraId="569A8B91" w14:textId="77777777" w:rsidR="009C353B" w:rsidRDefault="009C353B">
            <w:pPr>
              <w:adjustRightInd w:val="0"/>
              <w:snapToGrid w:val="0"/>
              <w:jc w:val="center"/>
              <w:rPr>
                <w:rFonts w:ascii="Times New Roman" w:hAnsi="Times New Roman"/>
                <w:sz w:val="21"/>
                <w:szCs w:val="21"/>
              </w:rPr>
            </w:pPr>
          </w:p>
        </w:tc>
        <w:tc>
          <w:tcPr>
            <w:tcW w:w="1712" w:type="dxa"/>
            <w:vAlign w:val="center"/>
          </w:tcPr>
          <w:p w14:paraId="01E91504" w14:textId="77777777" w:rsidR="009C353B" w:rsidRDefault="00000000">
            <w:pPr>
              <w:jc w:val="center"/>
              <w:rPr>
                <w:rFonts w:ascii="Times New Roman" w:hAnsi="Times New Roman"/>
                <w:bCs/>
                <w:sz w:val="21"/>
                <w:szCs w:val="21"/>
              </w:rPr>
            </w:pPr>
            <w:r>
              <w:rPr>
                <w:rFonts w:ascii="Times New Roman" w:hAnsi="Times New Roman"/>
                <w:bCs/>
                <w:sz w:val="21"/>
                <w:szCs w:val="21"/>
              </w:rPr>
              <w:t>0.096</w:t>
            </w:r>
            <w:r>
              <w:rPr>
                <w:rFonts w:ascii="Times New Roman" w:hint="eastAsia"/>
                <w:bCs/>
                <w:sz w:val="21"/>
                <w:szCs w:val="21"/>
              </w:rPr>
              <w:t>-</w:t>
            </w:r>
            <w:r>
              <w:rPr>
                <w:rFonts w:ascii="Times New Roman" w:hAnsi="Times New Roman"/>
                <w:bCs/>
                <w:sz w:val="21"/>
                <w:szCs w:val="21"/>
              </w:rPr>
              <w:t>0.470</w:t>
            </w:r>
          </w:p>
        </w:tc>
        <w:tc>
          <w:tcPr>
            <w:tcW w:w="1569" w:type="dxa"/>
            <w:vAlign w:val="center"/>
          </w:tcPr>
          <w:p w14:paraId="65D7FE09" w14:textId="77777777" w:rsidR="009C353B" w:rsidRDefault="00000000">
            <w:pPr>
              <w:jc w:val="center"/>
              <w:rPr>
                <w:rFonts w:ascii="Times New Roman" w:hAnsi="Times New Roman"/>
                <w:bCs/>
                <w:sz w:val="21"/>
                <w:szCs w:val="21"/>
              </w:rPr>
            </w:pPr>
            <w:r>
              <w:rPr>
                <w:rFonts w:ascii="Times New Roman" w:hAnsi="Times New Roman"/>
                <w:bCs/>
                <w:sz w:val="21"/>
                <w:szCs w:val="21"/>
              </w:rPr>
              <w:t>0.273</w:t>
            </w:r>
            <w:r>
              <w:rPr>
                <w:rFonts w:ascii="Times New Roman" w:hint="eastAsia"/>
                <w:bCs/>
                <w:sz w:val="21"/>
                <w:szCs w:val="21"/>
              </w:rPr>
              <w:t>-</w:t>
            </w:r>
            <w:r>
              <w:rPr>
                <w:rFonts w:ascii="Times New Roman" w:hAnsi="Times New Roman"/>
                <w:bCs/>
                <w:sz w:val="21"/>
                <w:szCs w:val="21"/>
              </w:rPr>
              <w:t>1.433</w:t>
            </w:r>
          </w:p>
        </w:tc>
        <w:tc>
          <w:tcPr>
            <w:tcW w:w="1934" w:type="dxa"/>
            <w:vAlign w:val="center"/>
          </w:tcPr>
          <w:p w14:paraId="2A399955" w14:textId="77777777" w:rsidR="009C353B" w:rsidRDefault="00000000">
            <w:pPr>
              <w:jc w:val="center"/>
              <w:rPr>
                <w:rFonts w:ascii="Times New Roman" w:hAnsi="Times New Roman"/>
                <w:sz w:val="21"/>
                <w:szCs w:val="21"/>
              </w:rPr>
            </w:pPr>
            <w:r>
              <w:rPr>
                <w:rFonts w:ascii="Times New Roman" w:hAnsi="Times New Roman"/>
                <w:sz w:val="21"/>
                <w:szCs w:val="21"/>
              </w:rPr>
              <w:t>0.012</w:t>
            </w:r>
            <w:r>
              <w:rPr>
                <w:rFonts w:ascii="Times New Roman" w:hint="eastAsia"/>
                <w:sz w:val="21"/>
                <w:szCs w:val="21"/>
              </w:rPr>
              <w:t>-</w:t>
            </w:r>
            <w:r>
              <w:rPr>
                <w:rFonts w:ascii="Times New Roman" w:hAnsi="Times New Roman"/>
                <w:sz w:val="21"/>
                <w:szCs w:val="21"/>
              </w:rPr>
              <w:t>0.016</w:t>
            </w:r>
          </w:p>
        </w:tc>
      </w:tr>
      <w:tr w:rsidR="009C353B" w14:paraId="2F0C2794" w14:textId="77777777">
        <w:trPr>
          <w:trHeight w:val="366"/>
        </w:trPr>
        <w:tc>
          <w:tcPr>
            <w:tcW w:w="1834" w:type="dxa"/>
            <w:vAlign w:val="center"/>
          </w:tcPr>
          <w:p w14:paraId="10FAA525" w14:textId="77777777" w:rsidR="009C353B" w:rsidRDefault="00000000">
            <w:pPr>
              <w:adjustRightInd w:val="0"/>
              <w:snapToGrid w:val="0"/>
              <w:jc w:val="left"/>
              <w:rPr>
                <w:rFonts w:ascii="Times New Roman" w:hAnsi="Times New Roman"/>
                <w:sz w:val="21"/>
                <w:szCs w:val="21"/>
              </w:rPr>
            </w:pPr>
            <w:r>
              <w:rPr>
                <w:rFonts w:ascii="Times New Roman" w:hAnsi="Times New Roman"/>
                <w:sz w:val="21"/>
                <w:szCs w:val="21"/>
              </w:rPr>
              <w:t xml:space="preserve">4# </w:t>
            </w:r>
            <w:r>
              <w:rPr>
                <w:rFonts w:ascii="Times New Roman"/>
                <w:sz w:val="21"/>
                <w:szCs w:val="21"/>
              </w:rPr>
              <w:t>丁家梁</w:t>
            </w:r>
          </w:p>
        </w:tc>
        <w:tc>
          <w:tcPr>
            <w:tcW w:w="2126" w:type="dxa"/>
            <w:vMerge/>
            <w:vAlign w:val="center"/>
          </w:tcPr>
          <w:p w14:paraId="7A9E2CEB" w14:textId="77777777" w:rsidR="009C353B" w:rsidRDefault="009C353B">
            <w:pPr>
              <w:adjustRightInd w:val="0"/>
              <w:snapToGrid w:val="0"/>
              <w:jc w:val="center"/>
              <w:rPr>
                <w:rFonts w:ascii="Times New Roman" w:hAnsi="Times New Roman"/>
                <w:sz w:val="21"/>
                <w:szCs w:val="21"/>
              </w:rPr>
            </w:pPr>
          </w:p>
        </w:tc>
        <w:tc>
          <w:tcPr>
            <w:tcW w:w="1712" w:type="dxa"/>
            <w:vAlign w:val="center"/>
          </w:tcPr>
          <w:p w14:paraId="212E2138" w14:textId="77777777" w:rsidR="009C353B" w:rsidRDefault="00000000">
            <w:pPr>
              <w:jc w:val="center"/>
              <w:rPr>
                <w:rFonts w:ascii="Times New Roman" w:hAnsi="Times New Roman"/>
                <w:bCs/>
                <w:sz w:val="21"/>
                <w:szCs w:val="21"/>
              </w:rPr>
            </w:pPr>
            <w:r>
              <w:rPr>
                <w:rFonts w:ascii="Times New Roman" w:hAnsi="Times New Roman"/>
                <w:bCs/>
                <w:sz w:val="21"/>
                <w:szCs w:val="21"/>
              </w:rPr>
              <w:t>0.047</w:t>
            </w:r>
            <w:r>
              <w:rPr>
                <w:rFonts w:ascii="Times New Roman" w:hint="eastAsia"/>
                <w:bCs/>
                <w:sz w:val="21"/>
                <w:szCs w:val="21"/>
              </w:rPr>
              <w:t>-</w:t>
            </w:r>
            <w:r>
              <w:rPr>
                <w:rFonts w:ascii="Times New Roman" w:hAnsi="Times New Roman"/>
                <w:bCs/>
                <w:sz w:val="21"/>
                <w:szCs w:val="21"/>
              </w:rPr>
              <w:t>0.458</w:t>
            </w:r>
          </w:p>
        </w:tc>
        <w:tc>
          <w:tcPr>
            <w:tcW w:w="1569" w:type="dxa"/>
            <w:vAlign w:val="center"/>
          </w:tcPr>
          <w:p w14:paraId="01BD1FEA" w14:textId="77777777" w:rsidR="009C353B" w:rsidRDefault="00000000">
            <w:pPr>
              <w:jc w:val="center"/>
              <w:rPr>
                <w:rFonts w:ascii="Times New Roman" w:hAnsi="Times New Roman"/>
                <w:bCs/>
                <w:sz w:val="21"/>
                <w:szCs w:val="21"/>
              </w:rPr>
            </w:pPr>
            <w:r>
              <w:rPr>
                <w:rFonts w:ascii="Times New Roman" w:hAnsi="Times New Roman"/>
                <w:bCs/>
                <w:sz w:val="21"/>
                <w:szCs w:val="21"/>
              </w:rPr>
              <w:t>0.231</w:t>
            </w:r>
            <w:r>
              <w:rPr>
                <w:rFonts w:ascii="Times New Roman" w:hint="eastAsia"/>
                <w:bCs/>
                <w:sz w:val="21"/>
                <w:szCs w:val="21"/>
              </w:rPr>
              <w:t>-</w:t>
            </w:r>
            <w:r>
              <w:rPr>
                <w:rFonts w:ascii="Times New Roman" w:hAnsi="Times New Roman"/>
                <w:bCs/>
                <w:sz w:val="21"/>
                <w:szCs w:val="21"/>
              </w:rPr>
              <w:t>1.673</w:t>
            </w:r>
          </w:p>
        </w:tc>
        <w:tc>
          <w:tcPr>
            <w:tcW w:w="1934" w:type="dxa"/>
            <w:vAlign w:val="center"/>
          </w:tcPr>
          <w:p w14:paraId="4F7DFAD2" w14:textId="77777777" w:rsidR="009C353B" w:rsidRDefault="00000000">
            <w:pPr>
              <w:jc w:val="center"/>
              <w:rPr>
                <w:rFonts w:ascii="Times New Roman" w:hAnsi="Times New Roman"/>
                <w:sz w:val="21"/>
                <w:szCs w:val="21"/>
              </w:rPr>
            </w:pPr>
            <w:r>
              <w:rPr>
                <w:rFonts w:ascii="Times New Roman" w:hAnsi="Times New Roman" w:hint="eastAsia"/>
                <w:sz w:val="21"/>
                <w:szCs w:val="21"/>
              </w:rPr>
              <w:t>未检出</w:t>
            </w:r>
            <w:r>
              <w:rPr>
                <w:rFonts w:ascii="Times New Roman" w:hint="eastAsia"/>
                <w:sz w:val="21"/>
                <w:szCs w:val="21"/>
              </w:rPr>
              <w:t>-</w:t>
            </w:r>
            <w:r>
              <w:rPr>
                <w:rFonts w:ascii="Times New Roman" w:hAnsi="Times New Roman"/>
                <w:sz w:val="21"/>
                <w:szCs w:val="21"/>
              </w:rPr>
              <w:t>0.009</w:t>
            </w:r>
          </w:p>
        </w:tc>
      </w:tr>
      <w:tr w:rsidR="009C353B" w14:paraId="57AE8DDB" w14:textId="77777777">
        <w:trPr>
          <w:trHeight w:val="335"/>
        </w:trPr>
        <w:tc>
          <w:tcPr>
            <w:tcW w:w="1834" w:type="dxa"/>
            <w:vAlign w:val="center"/>
          </w:tcPr>
          <w:p w14:paraId="005728B8" w14:textId="77777777" w:rsidR="009C353B" w:rsidRDefault="00000000">
            <w:pPr>
              <w:adjustRightInd w:val="0"/>
              <w:snapToGrid w:val="0"/>
              <w:jc w:val="left"/>
              <w:rPr>
                <w:rFonts w:ascii="Times New Roman" w:hAnsi="Times New Roman"/>
                <w:sz w:val="21"/>
                <w:szCs w:val="21"/>
              </w:rPr>
            </w:pPr>
            <w:r>
              <w:rPr>
                <w:rFonts w:ascii="Times New Roman" w:hAnsi="Times New Roman"/>
                <w:sz w:val="21"/>
                <w:szCs w:val="21"/>
              </w:rPr>
              <w:t xml:space="preserve">5# </w:t>
            </w:r>
            <w:r>
              <w:rPr>
                <w:rFonts w:ascii="Times New Roman"/>
                <w:sz w:val="21"/>
                <w:szCs w:val="21"/>
              </w:rPr>
              <w:t>岳家沟</w:t>
            </w:r>
          </w:p>
        </w:tc>
        <w:tc>
          <w:tcPr>
            <w:tcW w:w="2126" w:type="dxa"/>
            <w:vMerge/>
            <w:vAlign w:val="center"/>
          </w:tcPr>
          <w:p w14:paraId="2AC1C70E" w14:textId="77777777" w:rsidR="009C353B" w:rsidRDefault="009C353B">
            <w:pPr>
              <w:adjustRightInd w:val="0"/>
              <w:snapToGrid w:val="0"/>
              <w:jc w:val="center"/>
              <w:rPr>
                <w:rFonts w:ascii="Times New Roman" w:hAnsi="Times New Roman"/>
                <w:sz w:val="21"/>
                <w:szCs w:val="21"/>
              </w:rPr>
            </w:pPr>
          </w:p>
        </w:tc>
        <w:tc>
          <w:tcPr>
            <w:tcW w:w="1712" w:type="dxa"/>
            <w:vAlign w:val="center"/>
          </w:tcPr>
          <w:p w14:paraId="66FE1E01" w14:textId="77777777" w:rsidR="009C353B" w:rsidRDefault="00000000">
            <w:pPr>
              <w:jc w:val="center"/>
              <w:rPr>
                <w:rFonts w:ascii="Times New Roman" w:hAnsi="Times New Roman"/>
                <w:bCs/>
                <w:sz w:val="21"/>
                <w:szCs w:val="21"/>
              </w:rPr>
            </w:pPr>
            <w:r>
              <w:rPr>
                <w:rFonts w:ascii="Times New Roman" w:hAnsi="Times New Roman"/>
                <w:bCs/>
                <w:sz w:val="21"/>
                <w:szCs w:val="21"/>
              </w:rPr>
              <w:t>0.083</w:t>
            </w:r>
            <w:r>
              <w:rPr>
                <w:rFonts w:ascii="Times New Roman" w:hint="eastAsia"/>
                <w:bCs/>
                <w:sz w:val="21"/>
                <w:szCs w:val="21"/>
              </w:rPr>
              <w:t>-</w:t>
            </w:r>
            <w:r>
              <w:rPr>
                <w:rFonts w:ascii="Times New Roman" w:hAnsi="Times New Roman"/>
                <w:bCs/>
                <w:sz w:val="21"/>
                <w:szCs w:val="21"/>
              </w:rPr>
              <w:t>0.692</w:t>
            </w:r>
          </w:p>
        </w:tc>
        <w:tc>
          <w:tcPr>
            <w:tcW w:w="1569" w:type="dxa"/>
            <w:vAlign w:val="center"/>
          </w:tcPr>
          <w:p w14:paraId="3DD20440" w14:textId="77777777" w:rsidR="009C353B" w:rsidRDefault="00000000">
            <w:pPr>
              <w:jc w:val="center"/>
              <w:rPr>
                <w:rFonts w:ascii="Times New Roman" w:hAnsi="Times New Roman"/>
                <w:bCs/>
                <w:sz w:val="21"/>
                <w:szCs w:val="21"/>
              </w:rPr>
            </w:pPr>
            <w:r>
              <w:rPr>
                <w:rFonts w:ascii="Times New Roman" w:hAnsi="Times New Roman"/>
                <w:bCs/>
                <w:sz w:val="21"/>
                <w:szCs w:val="21"/>
              </w:rPr>
              <w:t>0.309</w:t>
            </w:r>
            <w:r>
              <w:rPr>
                <w:rFonts w:ascii="Times New Roman" w:hint="eastAsia"/>
                <w:bCs/>
                <w:sz w:val="21"/>
                <w:szCs w:val="21"/>
              </w:rPr>
              <w:t>-</w:t>
            </w:r>
            <w:r>
              <w:rPr>
                <w:rFonts w:ascii="Times New Roman" w:hAnsi="Times New Roman"/>
                <w:bCs/>
                <w:sz w:val="21"/>
                <w:szCs w:val="21"/>
              </w:rPr>
              <w:t>1.260</w:t>
            </w:r>
          </w:p>
        </w:tc>
        <w:tc>
          <w:tcPr>
            <w:tcW w:w="1934" w:type="dxa"/>
            <w:vAlign w:val="center"/>
          </w:tcPr>
          <w:p w14:paraId="3CF9D6B4" w14:textId="77777777" w:rsidR="009C353B" w:rsidRDefault="00000000">
            <w:pPr>
              <w:jc w:val="center"/>
              <w:rPr>
                <w:rFonts w:ascii="Times New Roman" w:hAnsi="Times New Roman"/>
                <w:sz w:val="21"/>
                <w:szCs w:val="21"/>
              </w:rPr>
            </w:pPr>
            <w:r>
              <w:rPr>
                <w:rFonts w:ascii="Times New Roman" w:hAnsi="Times New Roman" w:hint="eastAsia"/>
                <w:sz w:val="21"/>
                <w:szCs w:val="21"/>
              </w:rPr>
              <w:t>未检出</w:t>
            </w:r>
            <w:r>
              <w:rPr>
                <w:rFonts w:ascii="Times New Roman" w:hint="eastAsia"/>
                <w:sz w:val="21"/>
                <w:szCs w:val="21"/>
              </w:rPr>
              <w:t>-</w:t>
            </w:r>
            <w:r>
              <w:rPr>
                <w:rFonts w:ascii="Times New Roman" w:hAnsi="Times New Roman"/>
                <w:sz w:val="21"/>
                <w:szCs w:val="21"/>
              </w:rPr>
              <w:t>0.016</w:t>
            </w:r>
          </w:p>
        </w:tc>
      </w:tr>
      <w:tr w:rsidR="009C353B" w14:paraId="33BFF9D6" w14:textId="77777777">
        <w:trPr>
          <w:trHeight w:val="492"/>
        </w:trPr>
        <w:tc>
          <w:tcPr>
            <w:tcW w:w="3961" w:type="dxa"/>
            <w:gridSpan w:val="2"/>
            <w:vAlign w:val="center"/>
          </w:tcPr>
          <w:p w14:paraId="5E84FBEC" w14:textId="77777777" w:rsidR="009C353B" w:rsidRDefault="00000000">
            <w:pPr>
              <w:adjustRightInd w:val="0"/>
              <w:snapToGrid w:val="0"/>
              <w:jc w:val="center"/>
              <w:rPr>
                <w:rFonts w:ascii="Times New Roman" w:hAnsi="Times New Roman"/>
                <w:sz w:val="21"/>
                <w:szCs w:val="21"/>
              </w:rPr>
            </w:pPr>
            <w:r>
              <w:rPr>
                <w:rFonts w:ascii="Times New Roman"/>
                <w:sz w:val="21"/>
                <w:szCs w:val="21"/>
              </w:rPr>
              <w:t>《环境空气质量标准》二级标准</w:t>
            </w:r>
          </w:p>
        </w:tc>
        <w:tc>
          <w:tcPr>
            <w:tcW w:w="1712" w:type="dxa"/>
            <w:vAlign w:val="center"/>
          </w:tcPr>
          <w:p w14:paraId="2EC1861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0.15</w:t>
            </w:r>
          </w:p>
        </w:tc>
        <w:tc>
          <w:tcPr>
            <w:tcW w:w="1569" w:type="dxa"/>
            <w:vAlign w:val="center"/>
          </w:tcPr>
          <w:p w14:paraId="514310A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0.3</w:t>
            </w:r>
          </w:p>
        </w:tc>
        <w:tc>
          <w:tcPr>
            <w:tcW w:w="1934" w:type="dxa"/>
            <w:vAlign w:val="center"/>
          </w:tcPr>
          <w:p w14:paraId="14E1C14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0.15</w:t>
            </w:r>
          </w:p>
        </w:tc>
      </w:tr>
    </w:tbl>
    <w:p w14:paraId="66E0600E" w14:textId="77777777" w:rsidR="009C353B" w:rsidRDefault="009C353B">
      <w:pPr>
        <w:adjustRightInd w:val="0"/>
        <w:snapToGrid w:val="0"/>
        <w:spacing w:line="440" w:lineRule="exact"/>
        <w:jc w:val="center"/>
        <w:rPr>
          <w:rFonts w:ascii="Times New Roman" w:hAnsi="Times New Roman"/>
          <w:b/>
          <w:szCs w:val="24"/>
        </w:rPr>
      </w:pPr>
    </w:p>
    <w:p w14:paraId="48D1E6B5"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hint="eastAsia"/>
          <w:b/>
          <w:szCs w:val="24"/>
        </w:rPr>
        <w:t>丁家梁煤矿环境空气质量监测结果</w:t>
      </w:r>
    </w:p>
    <w:p w14:paraId="378C7DA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表</w:t>
      </w:r>
      <w:r>
        <w:rPr>
          <w:rFonts w:ascii="Times New Roman" w:hAnsi="Times New Roman" w:hint="eastAsia"/>
          <w:szCs w:val="24"/>
        </w:rPr>
        <w:t>4.3-2</w:t>
      </w:r>
    </w:p>
    <w:tbl>
      <w:tblPr>
        <w:tblStyle w:val="afffb"/>
        <w:tblW w:w="0" w:type="auto"/>
        <w:tblLook w:val="04A0" w:firstRow="1" w:lastRow="0" w:firstColumn="1" w:lastColumn="0" w:noHBand="0" w:noVBand="1"/>
      </w:tblPr>
      <w:tblGrid>
        <w:gridCol w:w="1830"/>
        <w:gridCol w:w="2121"/>
        <w:gridCol w:w="1707"/>
        <w:gridCol w:w="1565"/>
        <w:gridCol w:w="1930"/>
      </w:tblGrid>
      <w:tr w:rsidR="009C353B" w14:paraId="120D45B8" w14:textId="77777777">
        <w:trPr>
          <w:trHeight w:val="364"/>
        </w:trPr>
        <w:tc>
          <w:tcPr>
            <w:tcW w:w="1830" w:type="dxa"/>
            <w:vMerge w:val="restart"/>
            <w:vAlign w:val="center"/>
          </w:tcPr>
          <w:p w14:paraId="23BC5518" w14:textId="77777777" w:rsidR="009C353B" w:rsidRDefault="00000000">
            <w:pPr>
              <w:adjustRightInd w:val="0"/>
              <w:snapToGrid w:val="0"/>
              <w:jc w:val="center"/>
              <w:rPr>
                <w:rFonts w:ascii="Times New Roman" w:hAnsi="Times New Roman"/>
                <w:sz w:val="21"/>
                <w:szCs w:val="21"/>
              </w:rPr>
            </w:pPr>
            <w:r>
              <w:rPr>
                <w:rFonts w:ascii="Times New Roman"/>
                <w:sz w:val="21"/>
                <w:szCs w:val="21"/>
              </w:rPr>
              <w:t>监测点位</w:t>
            </w:r>
          </w:p>
        </w:tc>
        <w:tc>
          <w:tcPr>
            <w:tcW w:w="2121" w:type="dxa"/>
            <w:vMerge w:val="restart"/>
            <w:vAlign w:val="center"/>
          </w:tcPr>
          <w:p w14:paraId="0B1937C3" w14:textId="77777777" w:rsidR="009C353B" w:rsidRDefault="00000000">
            <w:pPr>
              <w:adjustRightInd w:val="0"/>
              <w:snapToGrid w:val="0"/>
              <w:jc w:val="center"/>
              <w:rPr>
                <w:rFonts w:ascii="Times New Roman" w:hAnsi="Times New Roman"/>
                <w:sz w:val="21"/>
                <w:szCs w:val="21"/>
              </w:rPr>
            </w:pPr>
            <w:r>
              <w:rPr>
                <w:rFonts w:ascii="Times New Roman"/>
                <w:sz w:val="21"/>
                <w:szCs w:val="21"/>
              </w:rPr>
              <w:t>监测时间</w:t>
            </w:r>
          </w:p>
        </w:tc>
        <w:tc>
          <w:tcPr>
            <w:tcW w:w="5202" w:type="dxa"/>
            <w:gridSpan w:val="3"/>
            <w:vAlign w:val="center"/>
          </w:tcPr>
          <w:p w14:paraId="617CF699" w14:textId="77777777" w:rsidR="009C353B" w:rsidRDefault="00000000">
            <w:pPr>
              <w:adjustRightInd w:val="0"/>
              <w:snapToGrid w:val="0"/>
              <w:jc w:val="center"/>
              <w:rPr>
                <w:rFonts w:ascii="Times New Roman" w:hAnsi="Times New Roman"/>
                <w:sz w:val="21"/>
                <w:szCs w:val="21"/>
              </w:rPr>
            </w:pPr>
            <w:r>
              <w:rPr>
                <w:rFonts w:ascii="Times New Roman"/>
                <w:sz w:val="21"/>
                <w:szCs w:val="21"/>
              </w:rPr>
              <w:t>监测结果</w:t>
            </w:r>
            <w:r>
              <w:rPr>
                <w:rFonts w:ascii="Times New Roman"/>
                <w:bCs/>
                <w:sz w:val="21"/>
                <w:szCs w:val="21"/>
              </w:rPr>
              <w:t>（</w:t>
            </w:r>
            <w:r>
              <w:rPr>
                <w:rFonts w:ascii="Times New Roman" w:hAnsi="Times New Roman"/>
                <w:bCs/>
                <w:sz w:val="21"/>
                <w:szCs w:val="21"/>
              </w:rPr>
              <w:t>mg/m</w:t>
            </w:r>
            <w:r>
              <w:rPr>
                <w:rFonts w:ascii="Times New Roman" w:hAnsi="Times New Roman"/>
                <w:bCs/>
                <w:sz w:val="21"/>
                <w:szCs w:val="21"/>
                <w:vertAlign w:val="superscript"/>
              </w:rPr>
              <w:t>3</w:t>
            </w:r>
            <w:r>
              <w:rPr>
                <w:rFonts w:ascii="Times New Roman"/>
                <w:bCs/>
                <w:sz w:val="21"/>
                <w:szCs w:val="21"/>
              </w:rPr>
              <w:t>）</w:t>
            </w:r>
          </w:p>
        </w:tc>
      </w:tr>
      <w:tr w:rsidR="009C353B" w14:paraId="5694B21B" w14:textId="77777777">
        <w:trPr>
          <w:trHeight w:val="348"/>
        </w:trPr>
        <w:tc>
          <w:tcPr>
            <w:tcW w:w="1830" w:type="dxa"/>
            <w:vMerge/>
            <w:vAlign w:val="center"/>
          </w:tcPr>
          <w:p w14:paraId="22385A2B" w14:textId="77777777" w:rsidR="009C353B" w:rsidRDefault="009C353B">
            <w:pPr>
              <w:adjustRightInd w:val="0"/>
              <w:snapToGrid w:val="0"/>
              <w:jc w:val="center"/>
              <w:rPr>
                <w:rFonts w:ascii="Times New Roman" w:hAnsi="Times New Roman"/>
                <w:sz w:val="21"/>
                <w:szCs w:val="21"/>
              </w:rPr>
            </w:pPr>
          </w:p>
        </w:tc>
        <w:tc>
          <w:tcPr>
            <w:tcW w:w="2121" w:type="dxa"/>
            <w:vMerge/>
            <w:vAlign w:val="center"/>
          </w:tcPr>
          <w:p w14:paraId="66E7F18B" w14:textId="77777777" w:rsidR="009C353B" w:rsidRDefault="009C353B">
            <w:pPr>
              <w:adjustRightInd w:val="0"/>
              <w:snapToGrid w:val="0"/>
              <w:jc w:val="center"/>
              <w:rPr>
                <w:rFonts w:ascii="Times New Roman" w:hAnsi="Times New Roman"/>
                <w:sz w:val="21"/>
                <w:szCs w:val="21"/>
              </w:rPr>
            </w:pPr>
          </w:p>
        </w:tc>
        <w:tc>
          <w:tcPr>
            <w:tcW w:w="1707" w:type="dxa"/>
            <w:vAlign w:val="center"/>
          </w:tcPr>
          <w:p w14:paraId="6B2A5E1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tc>
        <w:tc>
          <w:tcPr>
            <w:tcW w:w="1565" w:type="dxa"/>
            <w:vAlign w:val="center"/>
          </w:tcPr>
          <w:p w14:paraId="5368E7E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NO</w:t>
            </w:r>
            <w:r>
              <w:rPr>
                <w:rFonts w:ascii="Times New Roman" w:hAnsi="Times New Roman" w:hint="eastAsia"/>
                <w:sz w:val="21"/>
                <w:szCs w:val="21"/>
                <w:vertAlign w:val="subscript"/>
              </w:rPr>
              <w:t>2</w:t>
            </w:r>
          </w:p>
        </w:tc>
        <w:tc>
          <w:tcPr>
            <w:tcW w:w="1929" w:type="dxa"/>
            <w:vAlign w:val="center"/>
          </w:tcPr>
          <w:p w14:paraId="7A958ED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10</w:t>
            </w:r>
            <w:r>
              <w:rPr>
                <w:rFonts w:ascii="Times New Roman" w:hAnsi="Times New Roman" w:hint="eastAsia"/>
                <w:sz w:val="21"/>
                <w:szCs w:val="21"/>
              </w:rPr>
              <w:t>/</w:t>
            </w:r>
            <w:r>
              <w:rPr>
                <w:rFonts w:ascii="Times New Roman" w:hAnsi="Times New Roman"/>
                <w:sz w:val="21"/>
                <w:szCs w:val="21"/>
              </w:rPr>
              <w:t>TSP</w:t>
            </w:r>
          </w:p>
        </w:tc>
      </w:tr>
      <w:tr w:rsidR="009C353B" w14:paraId="6F30A621" w14:textId="77777777">
        <w:trPr>
          <w:trHeight w:val="381"/>
        </w:trPr>
        <w:tc>
          <w:tcPr>
            <w:tcW w:w="1830" w:type="dxa"/>
            <w:vAlign w:val="center"/>
          </w:tcPr>
          <w:p w14:paraId="2181890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 xml:space="preserve">1# </w:t>
            </w:r>
            <w:r>
              <w:rPr>
                <w:rFonts w:ascii="Times New Roman" w:hint="eastAsia"/>
                <w:sz w:val="21"/>
                <w:szCs w:val="21"/>
              </w:rPr>
              <w:t>李家圈</w:t>
            </w:r>
          </w:p>
        </w:tc>
        <w:tc>
          <w:tcPr>
            <w:tcW w:w="2121" w:type="dxa"/>
            <w:vMerge w:val="restart"/>
            <w:vAlign w:val="center"/>
          </w:tcPr>
          <w:p w14:paraId="0173B05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200</w:t>
            </w:r>
            <w:r>
              <w:rPr>
                <w:rFonts w:ascii="Times New Roman" w:hAnsi="Times New Roman" w:hint="eastAsia"/>
                <w:sz w:val="21"/>
                <w:szCs w:val="21"/>
              </w:rPr>
              <w:t>9</w:t>
            </w:r>
            <w:r>
              <w:rPr>
                <w:rFonts w:ascii="Times New Roman"/>
                <w:sz w:val="21"/>
                <w:szCs w:val="21"/>
              </w:rPr>
              <w:t>年</w:t>
            </w:r>
            <w:r>
              <w:rPr>
                <w:rFonts w:ascii="Times New Roman" w:hAnsi="Times New Roman" w:hint="eastAsia"/>
                <w:sz w:val="21"/>
                <w:szCs w:val="21"/>
              </w:rPr>
              <w:t>9</w:t>
            </w:r>
            <w:r>
              <w:rPr>
                <w:rFonts w:ascii="Times New Roman"/>
                <w:sz w:val="21"/>
                <w:szCs w:val="21"/>
              </w:rPr>
              <w:t>月</w:t>
            </w:r>
            <w:r>
              <w:rPr>
                <w:rFonts w:ascii="Times New Roman" w:hAnsi="Times New Roman"/>
                <w:sz w:val="21"/>
                <w:szCs w:val="21"/>
              </w:rPr>
              <w:t>1</w:t>
            </w:r>
            <w:r>
              <w:rPr>
                <w:rFonts w:ascii="Times New Roman" w:hAnsi="Times New Roman" w:hint="eastAsia"/>
                <w:sz w:val="21"/>
                <w:szCs w:val="21"/>
              </w:rPr>
              <w:t>3</w:t>
            </w:r>
            <w:r>
              <w:rPr>
                <w:rFonts w:ascii="Times New Roman"/>
                <w:sz w:val="21"/>
                <w:szCs w:val="21"/>
              </w:rPr>
              <w:t>日至</w:t>
            </w:r>
            <w:r>
              <w:rPr>
                <w:rFonts w:ascii="Times New Roman" w:hAnsi="Times New Roman"/>
                <w:sz w:val="21"/>
                <w:szCs w:val="21"/>
              </w:rPr>
              <w:t>200</w:t>
            </w:r>
            <w:r>
              <w:rPr>
                <w:rFonts w:ascii="Times New Roman" w:hAnsi="Times New Roman" w:hint="eastAsia"/>
                <w:sz w:val="21"/>
                <w:szCs w:val="21"/>
              </w:rPr>
              <w:t>9</w:t>
            </w:r>
            <w:r>
              <w:rPr>
                <w:rFonts w:ascii="Times New Roman"/>
                <w:sz w:val="21"/>
                <w:szCs w:val="21"/>
              </w:rPr>
              <w:t>年</w:t>
            </w:r>
            <w:r>
              <w:rPr>
                <w:rFonts w:ascii="Times New Roman" w:hAnsi="Times New Roman" w:hint="eastAsia"/>
                <w:sz w:val="21"/>
                <w:szCs w:val="21"/>
              </w:rPr>
              <w:t>9</w:t>
            </w:r>
            <w:r>
              <w:rPr>
                <w:rFonts w:ascii="Times New Roman"/>
                <w:sz w:val="21"/>
                <w:szCs w:val="21"/>
              </w:rPr>
              <w:t>月</w:t>
            </w:r>
            <w:r>
              <w:rPr>
                <w:rFonts w:ascii="Times New Roman" w:hAnsi="Times New Roman"/>
                <w:sz w:val="21"/>
                <w:szCs w:val="21"/>
              </w:rPr>
              <w:t>1</w:t>
            </w:r>
            <w:r>
              <w:rPr>
                <w:rFonts w:ascii="Times New Roman" w:hAnsi="Times New Roman" w:hint="eastAsia"/>
                <w:sz w:val="21"/>
                <w:szCs w:val="21"/>
              </w:rPr>
              <w:t>9</w:t>
            </w:r>
            <w:r>
              <w:rPr>
                <w:rFonts w:ascii="Times New Roman"/>
                <w:sz w:val="21"/>
                <w:szCs w:val="21"/>
              </w:rPr>
              <w:t>日</w:t>
            </w:r>
          </w:p>
        </w:tc>
        <w:tc>
          <w:tcPr>
            <w:tcW w:w="1707" w:type="dxa"/>
            <w:vAlign w:val="center"/>
          </w:tcPr>
          <w:p w14:paraId="4E417DD5" w14:textId="77777777" w:rsidR="009C353B" w:rsidRDefault="00000000">
            <w:pPr>
              <w:jc w:val="center"/>
              <w:rPr>
                <w:rFonts w:ascii="Times New Roman" w:hAnsi="Times New Roman"/>
                <w:bCs/>
                <w:sz w:val="21"/>
                <w:szCs w:val="21"/>
              </w:rPr>
            </w:pPr>
            <w:r>
              <w:rPr>
                <w:rFonts w:ascii="Times New Roman" w:hAnsi="Times New Roman"/>
                <w:bCs/>
                <w:sz w:val="21"/>
                <w:szCs w:val="21"/>
              </w:rPr>
              <w:t>未检出</w:t>
            </w:r>
            <w:r>
              <w:rPr>
                <w:rFonts w:ascii="Times New Roman" w:hAnsi="Times New Roman" w:hint="eastAsia"/>
                <w:bCs/>
                <w:sz w:val="21"/>
                <w:szCs w:val="21"/>
              </w:rPr>
              <w:t>-0.018</w:t>
            </w:r>
          </w:p>
        </w:tc>
        <w:tc>
          <w:tcPr>
            <w:tcW w:w="1565" w:type="dxa"/>
            <w:vAlign w:val="center"/>
          </w:tcPr>
          <w:p w14:paraId="41852800" w14:textId="77777777" w:rsidR="009C353B" w:rsidRDefault="00000000">
            <w:pPr>
              <w:jc w:val="center"/>
              <w:rPr>
                <w:rFonts w:ascii="Times New Roman" w:hAnsi="Times New Roman"/>
                <w:bCs/>
                <w:sz w:val="21"/>
                <w:szCs w:val="21"/>
              </w:rPr>
            </w:pPr>
            <w:r>
              <w:rPr>
                <w:rFonts w:ascii="Times New Roman" w:hAnsi="Times New Roman" w:hint="eastAsia"/>
                <w:bCs/>
                <w:sz w:val="21"/>
                <w:szCs w:val="21"/>
              </w:rPr>
              <w:t>0.021-0.033</w:t>
            </w:r>
          </w:p>
        </w:tc>
        <w:tc>
          <w:tcPr>
            <w:tcW w:w="1929" w:type="dxa"/>
            <w:vAlign w:val="center"/>
          </w:tcPr>
          <w:p w14:paraId="2C5C6237" w14:textId="77777777" w:rsidR="009C353B" w:rsidRDefault="00000000">
            <w:pPr>
              <w:jc w:val="center"/>
              <w:rPr>
                <w:rFonts w:ascii="Times New Roman" w:hAnsi="Times New Roman"/>
                <w:sz w:val="21"/>
                <w:szCs w:val="21"/>
              </w:rPr>
            </w:pPr>
            <w:r>
              <w:rPr>
                <w:rFonts w:ascii="Times New Roman" w:hAnsi="Times New Roman" w:hint="eastAsia"/>
                <w:sz w:val="21"/>
                <w:szCs w:val="21"/>
              </w:rPr>
              <w:t>0.114-0.143</w:t>
            </w:r>
            <w:r>
              <w:rPr>
                <w:rFonts w:ascii="Times New Roman" w:hAnsi="Times New Roman" w:hint="eastAsia"/>
                <w:sz w:val="21"/>
                <w:szCs w:val="21"/>
              </w:rPr>
              <w:t>（</w:t>
            </w:r>
            <w:r>
              <w:rPr>
                <w:rFonts w:ascii="Times New Roman" w:hAnsi="Times New Roman" w:hint="eastAsia"/>
                <w:sz w:val="21"/>
                <w:szCs w:val="21"/>
              </w:rPr>
              <w:t>PM</w:t>
            </w:r>
            <w:r>
              <w:rPr>
                <w:rFonts w:ascii="Times New Roman" w:hAnsi="Times New Roman" w:hint="eastAsia"/>
                <w:sz w:val="21"/>
                <w:szCs w:val="21"/>
                <w:vertAlign w:val="subscript"/>
              </w:rPr>
              <w:t>10</w:t>
            </w:r>
            <w:r>
              <w:rPr>
                <w:rFonts w:ascii="Times New Roman" w:hAnsi="Times New Roman" w:hint="eastAsia"/>
                <w:sz w:val="21"/>
                <w:szCs w:val="21"/>
              </w:rPr>
              <w:t>）</w:t>
            </w:r>
          </w:p>
        </w:tc>
      </w:tr>
      <w:tr w:rsidR="009C353B" w14:paraId="5EC87C44" w14:textId="77777777">
        <w:trPr>
          <w:trHeight w:val="364"/>
        </w:trPr>
        <w:tc>
          <w:tcPr>
            <w:tcW w:w="1830" w:type="dxa"/>
            <w:vAlign w:val="center"/>
          </w:tcPr>
          <w:p w14:paraId="38622B2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 xml:space="preserve">2# </w:t>
            </w:r>
            <w:r>
              <w:rPr>
                <w:rFonts w:ascii="Times New Roman" w:hint="eastAsia"/>
                <w:sz w:val="21"/>
                <w:szCs w:val="21"/>
              </w:rPr>
              <w:t>岳家沟</w:t>
            </w:r>
          </w:p>
        </w:tc>
        <w:tc>
          <w:tcPr>
            <w:tcW w:w="2121" w:type="dxa"/>
            <w:vMerge/>
            <w:vAlign w:val="center"/>
          </w:tcPr>
          <w:p w14:paraId="291DADF7" w14:textId="77777777" w:rsidR="009C353B" w:rsidRDefault="009C353B">
            <w:pPr>
              <w:adjustRightInd w:val="0"/>
              <w:snapToGrid w:val="0"/>
              <w:jc w:val="center"/>
              <w:rPr>
                <w:rFonts w:ascii="Times New Roman" w:hAnsi="Times New Roman"/>
                <w:sz w:val="21"/>
                <w:szCs w:val="21"/>
              </w:rPr>
            </w:pPr>
          </w:p>
        </w:tc>
        <w:tc>
          <w:tcPr>
            <w:tcW w:w="1707" w:type="dxa"/>
            <w:vAlign w:val="center"/>
          </w:tcPr>
          <w:p w14:paraId="72A7A4CF" w14:textId="77777777" w:rsidR="009C353B" w:rsidRDefault="00000000">
            <w:pPr>
              <w:jc w:val="center"/>
              <w:rPr>
                <w:rFonts w:ascii="Times New Roman" w:hAnsi="Times New Roman"/>
                <w:bCs/>
                <w:sz w:val="21"/>
                <w:szCs w:val="21"/>
              </w:rPr>
            </w:pPr>
            <w:r>
              <w:rPr>
                <w:rFonts w:ascii="Times New Roman" w:hAnsi="Times New Roman"/>
                <w:bCs/>
                <w:sz w:val="21"/>
                <w:szCs w:val="21"/>
              </w:rPr>
              <w:t>未检出</w:t>
            </w:r>
            <w:r>
              <w:rPr>
                <w:rFonts w:ascii="Times New Roman" w:hAnsi="Times New Roman" w:hint="eastAsia"/>
                <w:bCs/>
                <w:sz w:val="21"/>
                <w:szCs w:val="21"/>
              </w:rPr>
              <w:t>-0.023</w:t>
            </w:r>
          </w:p>
        </w:tc>
        <w:tc>
          <w:tcPr>
            <w:tcW w:w="1565" w:type="dxa"/>
            <w:vAlign w:val="center"/>
          </w:tcPr>
          <w:p w14:paraId="246A8F5D" w14:textId="77777777" w:rsidR="009C353B" w:rsidRDefault="00000000">
            <w:pPr>
              <w:jc w:val="center"/>
              <w:rPr>
                <w:rFonts w:ascii="Times New Roman" w:hAnsi="Times New Roman"/>
                <w:bCs/>
                <w:sz w:val="21"/>
                <w:szCs w:val="21"/>
              </w:rPr>
            </w:pPr>
            <w:r>
              <w:rPr>
                <w:rFonts w:ascii="Times New Roman" w:hAnsi="Times New Roman" w:hint="eastAsia"/>
                <w:bCs/>
                <w:sz w:val="21"/>
                <w:szCs w:val="21"/>
              </w:rPr>
              <w:t>0.010-0.036</w:t>
            </w:r>
          </w:p>
        </w:tc>
        <w:tc>
          <w:tcPr>
            <w:tcW w:w="1929" w:type="dxa"/>
            <w:vAlign w:val="center"/>
          </w:tcPr>
          <w:p w14:paraId="270AA77F" w14:textId="77777777" w:rsidR="009C353B" w:rsidRDefault="00000000">
            <w:pPr>
              <w:jc w:val="center"/>
              <w:rPr>
                <w:rFonts w:ascii="Times New Roman" w:hAnsi="Times New Roman"/>
                <w:sz w:val="21"/>
                <w:szCs w:val="21"/>
              </w:rPr>
            </w:pPr>
            <w:r>
              <w:rPr>
                <w:rFonts w:ascii="Times New Roman" w:hAnsi="Times New Roman" w:hint="eastAsia"/>
                <w:sz w:val="21"/>
                <w:szCs w:val="21"/>
              </w:rPr>
              <w:t>0.100-0.145</w:t>
            </w:r>
            <w:r>
              <w:rPr>
                <w:rFonts w:ascii="Times New Roman" w:hAnsi="Times New Roman" w:hint="eastAsia"/>
                <w:sz w:val="21"/>
                <w:szCs w:val="21"/>
              </w:rPr>
              <w:t>（</w:t>
            </w:r>
            <w:r>
              <w:rPr>
                <w:rFonts w:ascii="Times New Roman" w:hAnsi="Times New Roman" w:hint="eastAsia"/>
                <w:sz w:val="21"/>
                <w:szCs w:val="21"/>
              </w:rPr>
              <w:t>TSP</w:t>
            </w:r>
            <w:r>
              <w:rPr>
                <w:rFonts w:ascii="Times New Roman" w:hAnsi="Times New Roman" w:hint="eastAsia"/>
                <w:sz w:val="21"/>
                <w:szCs w:val="21"/>
              </w:rPr>
              <w:t>）</w:t>
            </w:r>
          </w:p>
        </w:tc>
      </w:tr>
      <w:tr w:rsidR="009C353B" w14:paraId="1EC28A4B" w14:textId="77777777">
        <w:trPr>
          <w:trHeight w:val="745"/>
        </w:trPr>
        <w:tc>
          <w:tcPr>
            <w:tcW w:w="1830" w:type="dxa"/>
            <w:vAlign w:val="center"/>
          </w:tcPr>
          <w:p w14:paraId="4C54215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 xml:space="preserve">3# </w:t>
            </w:r>
            <w:r>
              <w:rPr>
                <w:rFonts w:ascii="Times New Roman" w:hint="eastAsia"/>
                <w:sz w:val="21"/>
                <w:szCs w:val="21"/>
              </w:rPr>
              <w:t>白芨滩</w:t>
            </w:r>
            <w:r>
              <w:rPr>
                <w:rFonts w:ascii="Times New Roman"/>
                <w:sz w:val="21"/>
                <w:szCs w:val="21"/>
              </w:rPr>
              <w:t>自然保护区实验区</w:t>
            </w:r>
          </w:p>
        </w:tc>
        <w:tc>
          <w:tcPr>
            <w:tcW w:w="2121" w:type="dxa"/>
            <w:vMerge/>
            <w:vAlign w:val="center"/>
          </w:tcPr>
          <w:p w14:paraId="528F918B" w14:textId="77777777" w:rsidR="009C353B" w:rsidRDefault="009C353B">
            <w:pPr>
              <w:adjustRightInd w:val="0"/>
              <w:snapToGrid w:val="0"/>
              <w:jc w:val="center"/>
              <w:rPr>
                <w:rFonts w:ascii="Times New Roman" w:hAnsi="Times New Roman"/>
                <w:sz w:val="21"/>
                <w:szCs w:val="21"/>
              </w:rPr>
            </w:pPr>
          </w:p>
        </w:tc>
        <w:tc>
          <w:tcPr>
            <w:tcW w:w="1707" w:type="dxa"/>
            <w:vAlign w:val="center"/>
          </w:tcPr>
          <w:p w14:paraId="68CF6F44" w14:textId="77777777" w:rsidR="009C353B" w:rsidRDefault="00000000">
            <w:pPr>
              <w:jc w:val="center"/>
              <w:rPr>
                <w:rFonts w:ascii="Times New Roman" w:hAnsi="Times New Roman"/>
                <w:bCs/>
                <w:sz w:val="21"/>
                <w:szCs w:val="21"/>
              </w:rPr>
            </w:pPr>
            <w:r>
              <w:rPr>
                <w:rFonts w:ascii="Times New Roman" w:hAnsi="Times New Roman"/>
                <w:bCs/>
                <w:sz w:val="21"/>
                <w:szCs w:val="21"/>
              </w:rPr>
              <w:t>未检出</w:t>
            </w:r>
            <w:r>
              <w:rPr>
                <w:rFonts w:ascii="Times New Roman" w:hAnsi="Times New Roman" w:hint="eastAsia"/>
                <w:bCs/>
                <w:sz w:val="21"/>
                <w:szCs w:val="21"/>
              </w:rPr>
              <w:t>-0.018</w:t>
            </w:r>
          </w:p>
        </w:tc>
        <w:tc>
          <w:tcPr>
            <w:tcW w:w="1565" w:type="dxa"/>
            <w:vAlign w:val="center"/>
          </w:tcPr>
          <w:p w14:paraId="78EC6183" w14:textId="77777777" w:rsidR="009C353B" w:rsidRDefault="00000000">
            <w:pPr>
              <w:jc w:val="center"/>
              <w:rPr>
                <w:rFonts w:ascii="Times New Roman" w:hAnsi="Times New Roman"/>
                <w:bCs/>
                <w:sz w:val="21"/>
                <w:szCs w:val="21"/>
              </w:rPr>
            </w:pPr>
            <w:r>
              <w:rPr>
                <w:rFonts w:ascii="Times New Roman" w:hAnsi="Times New Roman" w:hint="eastAsia"/>
                <w:bCs/>
                <w:sz w:val="21"/>
                <w:szCs w:val="21"/>
              </w:rPr>
              <w:t>0.008-0.036</w:t>
            </w:r>
          </w:p>
        </w:tc>
        <w:tc>
          <w:tcPr>
            <w:tcW w:w="1929" w:type="dxa"/>
            <w:vAlign w:val="center"/>
          </w:tcPr>
          <w:p w14:paraId="1F65C851" w14:textId="77777777" w:rsidR="009C353B" w:rsidRDefault="00000000">
            <w:pPr>
              <w:jc w:val="center"/>
              <w:rPr>
                <w:rFonts w:ascii="Times New Roman" w:hAnsi="Times New Roman"/>
                <w:sz w:val="21"/>
                <w:szCs w:val="21"/>
              </w:rPr>
            </w:pPr>
            <w:r>
              <w:rPr>
                <w:rFonts w:ascii="Times New Roman" w:hAnsi="Times New Roman" w:hint="eastAsia"/>
                <w:sz w:val="21"/>
                <w:szCs w:val="21"/>
              </w:rPr>
              <w:t>0.101-0.189</w:t>
            </w:r>
            <w:r>
              <w:rPr>
                <w:rFonts w:ascii="Times New Roman" w:hAnsi="Times New Roman" w:hint="eastAsia"/>
                <w:sz w:val="21"/>
                <w:szCs w:val="21"/>
              </w:rPr>
              <w:t>（</w:t>
            </w:r>
            <w:r>
              <w:rPr>
                <w:rFonts w:ascii="Times New Roman" w:hAnsi="Times New Roman" w:hint="eastAsia"/>
                <w:sz w:val="21"/>
                <w:szCs w:val="21"/>
              </w:rPr>
              <w:t>PM</w:t>
            </w:r>
            <w:r>
              <w:rPr>
                <w:rFonts w:ascii="Times New Roman" w:hAnsi="Times New Roman" w:hint="eastAsia"/>
                <w:sz w:val="21"/>
                <w:szCs w:val="21"/>
                <w:vertAlign w:val="subscript"/>
              </w:rPr>
              <w:t>10</w:t>
            </w:r>
            <w:r>
              <w:rPr>
                <w:rFonts w:ascii="Times New Roman" w:hAnsi="Times New Roman" w:hint="eastAsia"/>
                <w:sz w:val="21"/>
                <w:szCs w:val="21"/>
              </w:rPr>
              <w:t>）</w:t>
            </w:r>
          </w:p>
        </w:tc>
      </w:tr>
      <w:tr w:rsidR="009C353B" w14:paraId="1156CEA4" w14:textId="77777777">
        <w:trPr>
          <w:trHeight w:val="381"/>
        </w:trPr>
        <w:tc>
          <w:tcPr>
            <w:tcW w:w="3951" w:type="dxa"/>
            <w:gridSpan w:val="2"/>
            <w:vAlign w:val="center"/>
          </w:tcPr>
          <w:p w14:paraId="284021EF" w14:textId="77777777" w:rsidR="009C353B" w:rsidRDefault="00000000">
            <w:pPr>
              <w:adjustRightInd w:val="0"/>
              <w:snapToGrid w:val="0"/>
              <w:jc w:val="center"/>
              <w:rPr>
                <w:rFonts w:ascii="Times New Roman" w:hAnsi="Times New Roman"/>
                <w:sz w:val="21"/>
                <w:szCs w:val="21"/>
              </w:rPr>
            </w:pPr>
            <w:r>
              <w:rPr>
                <w:rFonts w:ascii="Times New Roman"/>
                <w:sz w:val="21"/>
                <w:szCs w:val="21"/>
              </w:rPr>
              <w:t>《环境空气质量标准》</w:t>
            </w:r>
            <w:r>
              <w:rPr>
                <w:rFonts w:ascii="Times New Roman" w:hint="eastAsia"/>
                <w:sz w:val="21"/>
                <w:szCs w:val="21"/>
              </w:rPr>
              <w:t>一</w:t>
            </w:r>
            <w:r>
              <w:rPr>
                <w:rFonts w:ascii="Times New Roman"/>
                <w:sz w:val="21"/>
                <w:szCs w:val="21"/>
              </w:rPr>
              <w:t>级标准</w:t>
            </w:r>
          </w:p>
        </w:tc>
        <w:tc>
          <w:tcPr>
            <w:tcW w:w="1707" w:type="dxa"/>
            <w:vAlign w:val="center"/>
          </w:tcPr>
          <w:p w14:paraId="3F629AA0" w14:textId="77777777" w:rsidR="009C353B" w:rsidRDefault="00000000">
            <w:pPr>
              <w:jc w:val="center"/>
              <w:rPr>
                <w:rFonts w:ascii="Times New Roman" w:hAnsi="Times New Roman"/>
                <w:bCs/>
                <w:sz w:val="21"/>
                <w:szCs w:val="21"/>
              </w:rPr>
            </w:pPr>
            <w:r>
              <w:rPr>
                <w:rFonts w:ascii="Times New Roman" w:hAnsi="Times New Roman" w:hint="eastAsia"/>
                <w:bCs/>
                <w:sz w:val="21"/>
                <w:szCs w:val="21"/>
              </w:rPr>
              <w:t>0.05</w:t>
            </w:r>
          </w:p>
        </w:tc>
        <w:tc>
          <w:tcPr>
            <w:tcW w:w="1565" w:type="dxa"/>
            <w:vAlign w:val="center"/>
          </w:tcPr>
          <w:p w14:paraId="44D2CCEF" w14:textId="77777777" w:rsidR="009C353B" w:rsidRDefault="00000000">
            <w:pPr>
              <w:jc w:val="center"/>
              <w:rPr>
                <w:rFonts w:ascii="Times New Roman" w:hAnsi="Times New Roman"/>
                <w:bCs/>
                <w:sz w:val="21"/>
                <w:szCs w:val="21"/>
              </w:rPr>
            </w:pPr>
            <w:r>
              <w:rPr>
                <w:rFonts w:ascii="Times New Roman" w:hAnsi="Times New Roman" w:hint="eastAsia"/>
                <w:bCs/>
                <w:sz w:val="21"/>
                <w:szCs w:val="21"/>
              </w:rPr>
              <w:t>0.08</w:t>
            </w:r>
          </w:p>
        </w:tc>
        <w:tc>
          <w:tcPr>
            <w:tcW w:w="1929" w:type="dxa"/>
            <w:vAlign w:val="center"/>
          </w:tcPr>
          <w:p w14:paraId="660CBA5F" w14:textId="77777777" w:rsidR="009C353B" w:rsidRDefault="00000000">
            <w:pPr>
              <w:jc w:val="center"/>
              <w:rPr>
                <w:rFonts w:ascii="Times New Roman" w:hAnsi="Times New Roman"/>
                <w:sz w:val="21"/>
                <w:szCs w:val="21"/>
              </w:rPr>
            </w:pPr>
            <w:r>
              <w:rPr>
                <w:rFonts w:ascii="Times New Roman" w:hAnsi="Times New Roman" w:hint="eastAsia"/>
                <w:sz w:val="21"/>
                <w:szCs w:val="21"/>
              </w:rPr>
              <w:t>0.05</w:t>
            </w:r>
            <w:r>
              <w:rPr>
                <w:rFonts w:ascii="Times New Roman" w:hAnsi="Times New Roman" w:hint="eastAsia"/>
                <w:sz w:val="21"/>
                <w:szCs w:val="21"/>
              </w:rPr>
              <w:t>（</w:t>
            </w:r>
            <w:r>
              <w:rPr>
                <w:rFonts w:ascii="Times New Roman" w:hAnsi="Times New Roman" w:hint="eastAsia"/>
                <w:sz w:val="21"/>
                <w:szCs w:val="21"/>
              </w:rPr>
              <w:t>0.12</w:t>
            </w:r>
            <w:r>
              <w:rPr>
                <w:rFonts w:ascii="Times New Roman" w:hAnsi="Times New Roman" w:hint="eastAsia"/>
                <w:sz w:val="21"/>
                <w:szCs w:val="21"/>
              </w:rPr>
              <w:t>）</w:t>
            </w:r>
          </w:p>
        </w:tc>
      </w:tr>
      <w:tr w:rsidR="009C353B" w14:paraId="598375AA" w14:textId="77777777">
        <w:trPr>
          <w:trHeight w:val="534"/>
        </w:trPr>
        <w:tc>
          <w:tcPr>
            <w:tcW w:w="3951" w:type="dxa"/>
            <w:gridSpan w:val="2"/>
            <w:vAlign w:val="center"/>
          </w:tcPr>
          <w:p w14:paraId="4A423448" w14:textId="77777777" w:rsidR="009C353B" w:rsidRDefault="00000000">
            <w:pPr>
              <w:adjustRightInd w:val="0"/>
              <w:snapToGrid w:val="0"/>
              <w:jc w:val="center"/>
              <w:rPr>
                <w:rFonts w:ascii="Times New Roman" w:hAnsi="Times New Roman"/>
                <w:sz w:val="21"/>
                <w:szCs w:val="21"/>
              </w:rPr>
            </w:pPr>
            <w:r>
              <w:rPr>
                <w:rFonts w:ascii="Times New Roman"/>
                <w:sz w:val="21"/>
                <w:szCs w:val="21"/>
              </w:rPr>
              <w:t>《环境空气质量标准》二级标准</w:t>
            </w:r>
          </w:p>
        </w:tc>
        <w:tc>
          <w:tcPr>
            <w:tcW w:w="1707" w:type="dxa"/>
            <w:vAlign w:val="center"/>
          </w:tcPr>
          <w:p w14:paraId="68DC8BA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0.15</w:t>
            </w:r>
          </w:p>
        </w:tc>
        <w:tc>
          <w:tcPr>
            <w:tcW w:w="1565" w:type="dxa"/>
            <w:vAlign w:val="center"/>
          </w:tcPr>
          <w:p w14:paraId="6FE6ECF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0.08</w:t>
            </w:r>
          </w:p>
        </w:tc>
        <w:tc>
          <w:tcPr>
            <w:tcW w:w="1929" w:type="dxa"/>
            <w:vAlign w:val="center"/>
          </w:tcPr>
          <w:p w14:paraId="091DDBB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0.15</w:t>
            </w:r>
            <w:r>
              <w:rPr>
                <w:rFonts w:ascii="Times New Roman" w:hAnsi="Times New Roman" w:hint="eastAsia"/>
                <w:sz w:val="21"/>
                <w:szCs w:val="21"/>
              </w:rPr>
              <w:t>（</w:t>
            </w:r>
            <w:r>
              <w:rPr>
                <w:rFonts w:ascii="Times New Roman" w:hAnsi="Times New Roman" w:hint="eastAsia"/>
                <w:sz w:val="21"/>
                <w:szCs w:val="21"/>
              </w:rPr>
              <w:t>0.30</w:t>
            </w:r>
            <w:r>
              <w:rPr>
                <w:rFonts w:ascii="Times New Roman" w:hAnsi="Times New Roman" w:hint="eastAsia"/>
                <w:sz w:val="21"/>
                <w:szCs w:val="21"/>
              </w:rPr>
              <w:t>）</w:t>
            </w:r>
          </w:p>
        </w:tc>
      </w:tr>
    </w:tbl>
    <w:p w14:paraId="2345E7B5" w14:textId="77777777" w:rsidR="009C353B" w:rsidRDefault="009C353B">
      <w:pPr>
        <w:adjustRightInd w:val="0"/>
        <w:snapToGrid w:val="0"/>
        <w:spacing w:line="440" w:lineRule="exact"/>
        <w:jc w:val="center"/>
        <w:rPr>
          <w:rFonts w:ascii="Times New Roman" w:hAnsi="Times New Roman"/>
          <w:b/>
        </w:rPr>
      </w:pPr>
    </w:p>
    <w:p w14:paraId="4BD6C246" w14:textId="77777777" w:rsidR="009C353B" w:rsidRDefault="00000000">
      <w:pPr>
        <w:adjustRightInd w:val="0"/>
        <w:snapToGrid w:val="0"/>
        <w:spacing w:line="440" w:lineRule="exact"/>
        <w:jc w:val="center"/>
        <w:rPr>
          <w:rFonts w:ascii="Times New Roman" w:hAnsi="Times New Roman"/>
          <w:b/>
        </w:rPr>
      </w:pPr>
      <w:r>
        <w:rPr>
          <w:rFonts w:ascii="Times New Roman" w:hAnsi="Times New Roman" w:hint="eastAsia"/>
          <w:b/>
        </w:rPr>
        <w:t>宁东基地现代化煤化工产业示范区环境空气质量例行监测数据（年均浓度）</w:t>
      </w:r>
    </w:p>
    <w:p w14:paraId="08E7E820" w14:textId="77777777" w:rsidR="009C353B" w:rsidRDefault="00000000">
      <w:pPr>
        <w:adjustRightInd w:val="0"/>
        <w:snapToGrid w:val="0"/>
        <w:spacing w:line="440" w:lineRule="exact"/>
        <w:rPr>
          <w:rFonts w:ascii="Times New Roman" w:hAnsi="Times New Roman"/>
          <w:szCs w:val="24"/>
        </w:rPr>
      </w:pPr>
      <w:r>
        <w:rPr>
          <w:rFonts w:ascii="Times New Roman" w:hAnsi="Times New Roman" w:hint="eastAsia"/>
          <w:szCs w:val="24"/>
        </w:rPr>
        <w:t>表</w:t>
      </w:r>
      <w:r>
        <w:rPr>
          <w:rFonts w:ascii="Times New Roman" w:hAnsi="Times New Roman" w:hint="eastAsia"/>
          <w:szCs w:val="24"/>
        </w:rPr>
        <w:t xml:space="preserve">4.3-3                                </w:t>
      </w:r>
      <w:r>
        <w:rPr>
          <w:rFonts w:ascii="Times New Roman" w:hAnsi="Times New Roman"/>
          <w:szCs w:val="24"/>
        </w:rPr>
        <w:t xml:space="preserve">     </w:t>
      </w:r>
      <w:r>
        <w:rPr>
          <w:rFonts w:ascii="Times New Roman" w:hAnsi="Times New Roman" w:hint="eastAsia"/>
          <w:szCs w:val="24"/>
        </w:rPr>
        <w:t>单位：</w:t>
      </w:r>
      <w:r>
        <w:rPr>
          <w:rFonts w:ascii="Times New Roman" w:hAnsi="Times New Roman" w:hint="eastAsia"/>
          <w:szCs w:val="24"/>
        </w:rPr>
        <w:t>CO</w:t>
      </w:r>
      <w:r>
        <w:rPr>
          <w:rFonts w:ascii="Times New Roman" w:hAnsi="Times New Roman" w:hint="eastAsia"/>
          <w:szCs w:val="24"/>
        </w:rPr>
        <w:t>为</w:t>
      </w:r>
      <w:r>
        <w:rPr>
          <w:rFonts w:ascii="Times New Roman" w:hAnsi="Times New Roman"/>
          <w:bCs/>
          <w:szCs w:val="24"/>
        </w:rPr>
        <w:t>mg/m</w:t>
      </w:r>
      <w:r>
        <w:rPr>
          <w:rFonts w:ascii="Times New Roman" w:hAnsi="Times New Roman"/>
          <w:bCs/>
          <w:szCs w:val="24"/>
          <w:vertAlign w:val="superscript"/>
        </w:rPr>
        <w:t>3</w:t>
      </w:r>
      <w:r>
        <w:rPr>
          <w:rFonts w:ascii="Times New Roman" w:hAnsi="Times New Roman" w:hint="eastAsia"/>
          <w:bCs/>
          <w:szCs w:val="24"/>
        </w:rPr>
        <w:t>，</w:t>
      </w:r>
      <w:r>
        <w:rPr>
          <w:rFonts w:ascii="Times New Roman" w:hAnsi="Times New Roman"/>
          <w:bCs/>
          <w:szCs w:val="24"/>
        </w:rPr>
        <w:t>其余为</w:t>
      </w:r>
      <w:r>
        <w:rPr>
          <w:rFonts w:ascii="Times New Roman" w:hAnsi="Times New Roman" w:hint="eastAsia"/>
          <w:bCs/>
          <w:szCs w:val="24"/>
        </w:rPr>
        <w:t>u</w:t>
      </w:r>
      <w:r>
        <w:rPr>
          <w:rFonts w:ascii="Times New Roman" w:hAnsi="Times New Roman"/>
          <w:bCs/>
          <w:szCs w:val="24"/>
        </w:rPr>
        <w:t>g/m</w:t>
      </w:r>
      <w:r>
        <w:rPr>
          <w:rFonts w:ascii="Times New Roman" w:hAnsi="Times New Roman"/>
          <w:bCs/>
          <w:szCs w:val="24"/>
          <w:vertAlign w:val="superscript"/>
        </w:rPr>
        <w:t>3</w:t>
      </w:r>
    </w:p>
    <w:tbl>
      <w:tblPr>
        <w:tblStyle w:val="afffb"/>
        <w:tblW w:w="0" w:type="auto"/>
        <w:tblLook w:val="04A0" w:firstRow="1" w:lastRow="0" w:firstColumn="1" w:lastColumn="0" w:noHBand="0" w:noVBand="1"/>
      </w:tblPr>
      <w:tblGrid>
        <w:gridCol w:w="1668"/>
        <w:gridCol w:w="1275"/>
        <w:gridCol w:w="1276"/>
        <w:gridCol w:w="1276"/>
        <w:gridCol w:w="1276"/>
        <w:gridCol w:w="1134"/>
        <w:gridCol w:w="1213"/>
      </w:tblGrid>
      <w:tr w:rsidR="009C353B" w14:paraId="43FCC7CB" w14:textId="77777777">
        <w:trPr>
          <w:trHeight w:hRule="exact" w:val="397"/>
          <w:tblHeader/>
        </w:trPr>
        <w:tc>
          <w:tcPr>
            <w:tcW w:w="1668" w:type="dxa"/>
            <w:vMerge w:val="restart"/>
            <w:vAlign w:val="center"/>
          </w:tcPr>
          <w:p w14:paraId="43C0CE4B" w14:textId="77777777" w:rsidR="009C353B" w:rsidRDefault="00000000">
            <w:pPr>
              <w:adjustRightInd w:val="0"/>
              <w:snapToGrid w:val="0"/>
              <w:spacing w:line="440" w:lineRule="exact"/>
              <w:jc w:val="center"/>
              <w:rPr>
                <w:rFonts w:ascii="Times New Roman" w:hAnsi="Times New Roman"/>
                <w:sz w:val="21"/>
                <w:szCs w:val="21"/>
              </w:rPr>
            </w:pPr>
            <w:r>
              <w:rPr>
                <w:rFonts w:ascii="Times New Roman"/>
                <w:sz w:val="21"/>
                <w:szCs w:val="21"/>
              </w:rPr>
              <w:t>时间</w:t>
            </w:r>
          </w:p>
        </w:tc>
        <w:tc>
          <w:tcPr>
            <w:tcW w:w="7450" w:type="dxa"/>
            <w:gridSpan w:val="6"/>
            <w:vAlign w:val="center"/>
          </w:tcPr>
          <w:p w14:paraId="56B6F5B3" w14:textId="77777777" w:rsidR="009C353B" w:rsidRDefault="00000000">
            <w:pPr>
              <w:adjustRightInd w:val="0"/>
              <w:snapToGrid w:val="0"/>
              <w:jc w:val="center"/>
              <w:rPr>
                <w:rFonts w:ascii="Times New Roman" w:hAnsi="Times New Roman"/>
                <w:sz w:val="21"/>
                <w:szCs w:val="21"/>
              </w:rPr>
            </w:pPr>
            <w:r>
              <w:rPr>
                <w:rFonts w:ascii="Times New Roman"/>
                <w:sz w:val="21"/>
                <w:szCs w:val="21"/>
              </w:rPr>
              <w:t>鸭子荡水库站点</w:t>
            </w:r>
          </w:p>
        </w:tc>
      </w:tr>
      <w:tr w:rsidR="009C353B" w14:paraId="24640318" w14:textId="77777777">
        <w:trPr>
          <w:trHeight w:hRule="exact" w:val="397"/>
          <w:tblHeader/>
        </w:trPr>
        <w:tc>
          <w:tcPr>
            <w:tcW w:w="1668" w:type="dxa"/>
            <w:vMerge/>
            <w:vAlign w:val="center"/>
          </w:tcPr>
          <w:p w14:paraId="53898293" w14:textId="77777777" w:rsidR="009C353B" w:rsidRDefault="009C353B">
            <w:pPr>
              <w:adjustRightInd w:val="0"/>
              <w:snapToGrid w:val="0"/>
              <w:spacing w:line="440" w:lineRule="exact"/>
              <w:jc w:val="center"/>
              <w:rPr>
                <w:rFonts w:ascii="Times New Roman" w:hAnsi="Times New Roman"/>
                <w:sz w:val="21"/>
                <w:szCs w:val="21"/>
              </w:rPr>
            </w:pPr>
          </w:p>
        </w:tc>
        <w:tc>
          <w:tcPr>
            <w:tcW w:w="1275" w:type="dxa"/>
            <w:vAlign w:val="center"/>
          </w:tcPr>
          <w:p w14:paraId="5D63145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10</w:t>
            </w:r>
          </w:p>
        </w:tc>
        <w:tc>
          <w:tcPr>
            <w:tcW w:w="1276" w:type="dxa"/>
            <w:vAlign w:val="center"/>
          </w:tcPr>
          <w:p w14:paraId="3D10771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2.5</w:t>
            </w:r>
          </w:p>
        </w:tc>
        <w:tc>
          <w:tcPr>
            <w:tcW w:w="1276" w:type="dxa"/>
            <w:vAlign w:val="center"/>
          </w:tcPr>
          <w:p w14:paraId="3BB5A89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tc>
        <w:tc>
          <w:tcPr>
            <w:tcW w:w="1276" w:type="dxa"/>
            <w:vAlign w:val="center"/>
          </w:tcPr>
          <w:p w14:paraId="4312612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NO</w:t>
            </w:r>
            <w:r>
              <w:rPr>
                <w:rFonts w:ascii="Times New Roman" w:hAnsi="Times New Roman"/>
                <w:sz w:val="21"/>
                <w:szCs w:val="21"/>
                <w:vertAlign w:val="subscript"/>
              </w:rPr>
              <w:t>2</w:t>
            </w:r>
          </w:p>
        </w:tc>
        <w:tc>
          <w:tcPr>
            <w:tcW w:w="1134" w:type="dxa"/>
            <w:vAlign w:val="center"/>
          </w:tcPr>
          <w:p w14:paraId="3326185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CO</w:t>
            </w:r>
          </w:p>
        </w:tc>
        <w:tc>
          <w:tcPr>
            <w:tcW w:w="1213" w:type="dxa"/>
            <w:vAlign w:val="center"/>
          </w:tcPr>
          <w:p w14:paraId="5781AA0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O</w:t>
            </w:r>
            <w:r>
              <w:rPr>
                <w:rFonts w:ascii="Times New Roman" w:hAnsi="Times New Roman"/>
                <w:sz w:val="21"/>
                <w:szCs w:val="21"/>
                <w:vertAlign w:val="subscript"/>
              </w:rPr>
              <w:t>3</w:t>
            </w:r>
          </w:p>
        </w:tc>
      </w:tr>
      <w:tr w:rsidR="009C353B" w14:paraId="713F8B0D" w14:textId="77777777">
        <w:trPr>
          <w:trHeight w:hRule="exact" w:val="397"/>
          <w:tblHeader/>
        </w:trPr>
        <w:tc>
          <w:tcPr>
            <w:tcW w:w="1668" w:type="dxa"/>
            <w:vAlign w:val="center"/>
          </w:tcPr>
          <w:p w14:paraId="2BD7669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2014</w:t>
            </w:r>
            <w:r>
              <w:rPr>
                <w:rFonts w:ascii="Times New Roman"/>
                <w:sz w:val="21"/>
                <w:szCs w:val="21"/>
              </w:rPr>
              <w:t>（</w:t>
            </w:r>
            <w:r>
              <w:rPr>
                <w:rFonts w:ascii="Times New Roman" w:hAnsi="Times New Roman"/>
                <w:sz w:val="21"/>
                <w:szCs w:val="21"/>
              </w:rPr>
              <w:t>4-12</w:t>
            </w:r>
            <w:r>
              <w:rPr>
                <w:rFonts w:ascii="Times New Roman"/>
                <w:sz w:val="21"/>
                <w:szCs w:val="21"/>
              </w:rPr>
              <w:t>月）</w:t>
            </w:r>
          </w:p>
        </w:tc>
        <w:tc>
          <w:tcPr>
            <w:tcW w:w="1275" w:type="dxa"/>
            <w:vAlign w:val="center"/>
          </w:tcPr>
          <w:p w14:paraId="0186A10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156</w:t>
            </w:r>
          </w:p>
        </w:tc>
        <w:tc>
          <w:tcPr>
            <w:tcW w:w="1276" w:type="dxa"/>
            <w:vAlign w:val="center"/>
          </w:tcPr>
          <w:p w14:paraId="24DBF63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58</w:t>
            </w:r>
          </w:p>
        </w:tc>
        <w:tc>
          <w:tcPr>
            <w:tcW w:w="1276" w:type="dxa"/>
            <w:vAlign w:val="center"/>
          </w:tcPr>
          <w:p w14:paraId="258154B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39</w:t>
            </w:r>
          </w:p>
        </w:tc>
        <w:tc>
          <w:tcPr>
            <w:tcW w:w="1276" w:type="dxa"/>
            <w:vAlign w:val="center"/>
          </w:tcPr>
          <w:p w14:paraId="6D9B4F9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31</w:t>
            </w:r>
          </w:p>
        </w:tc>
        <w:tc>
          <w:tcPr>
            <w:tcW w:w="1134" w:type="dxa"/>
            <w:vAlign w:val="center"/>
          </w:tcPr>
          <w:p w14:paraId="7A4A813B"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1.9</w:t>
            </w:r>
          </w:p>
        </w:tc>
        <w:tc>
          <w:tcPr>
            <w:tcW w:w="1213" w:type="dxa"/>
            <w:vAlign w:val="center"/>
          </w:tcPr>
          <w:p w14:paraId="174C9D6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143</w:t>
            </w:r>
          </w:p>
        </w:tc>
      </w:tr>
      <w:tr w:rsidR="009C353B" w14:paraId="4E479AD6" w14:textId="77777777">
        <w:trPr>
          <w:trHeight w:hRule="exact" w:val="397"/>
          <w:tblHeader/>
        </w:trPr>
        <w:tc>
          <w:tcPr>
            <w:tcW w:w="1668" w:type="dxa"/>
            <w:vAlign w:val="center"/>
          </w:tcPr>
          <w:p w14:paraId="2DC65D9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2015</w:t>
            </w:r>
          </w:p>
        </w:tc>
        <w:tc>
          <w:tcPr>
            <w:tcW w:w="1275" w:type="dxa"/>
            <w:vAlign w:val="center"/>
          </w:tcPr>
          <w:p w14:paraId="2E0265D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95</w:t>
            </w:r>
          </w:p>
        </w:tc>
        <w:tc>
          <w:tcPr>
            <w:tcW w:w="1276" w:type="dxa"/>
            <w:vAlign w:val="center"/>
          </w:tcPr>
          <w:p w14:paraId="2D08E096"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34</w:t>
            </w:r>
          </w:p>
        </w:tc>
        <w:tc>
          <w:tcPr>
            <w:tcW w:w="1276" w:type="dxa"/>
            <w:vAlign w:val="center"/>
          </w:tcPr>
          <w:p w14:paraId="489CB64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23</w:t>
            </w:r>
          </w:p>
        </w:tc>
        <w:tc>
          <w:tcPr>
            <w:tcW w:w="1276" w:type="dxa"/>
            <w:vAlign w:val="center"/>
          </w:tcPr>
          <w:p w14:paraId="3F09AF3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17</w:t>
            </w:r>
          </w:p>
        </w:tc>
        <w:tc>
          <w:tcPr>
            <w:tcW w:w="1134" w:type="dxa"/>
            <w:vAlign w:val="center"/>
          </w:tcPr>
          <w:p w14:paraId="7192A5C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1.2</w:t>
            </w:r>
          </w:p>
        </w:tc>
        <w:tc>
          <w:tcPr>
            <w:tcW w:w="1213" w:type="dxa"/>
            <w:vAlign w:val="center"/>
          </w:tcPr>
          <w:p w14:paraId="21EE4E8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96</w:t>
            </w:r>
          </w:p>
        </w:tc>
      </w:tr>
      <w:tr w:rsidR="009C353B" w14:paraId="59F42B2B" w14:textId="77777777">
        <w:trPr>
          <w:trHeight w:hRule="exact" w:val="397"/>
          <w:tblHeader/>
        </w:trPr>
        <w:tc>
          <w:tcPr>
            <w:tcW w:w="1668" w:type="dxa"/>
            <w:vAlign w:val="center"/>
          </w:tcPr>
          <w:p w14:paraId="2C0BDF0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2016</w:t>
            </w:r>
          </w:p>
        </w:tc>
        <w:tc>
          <w:tcPr>
            <w:tcW w:w="1275" w:type="dxa"/>
            <w:vAlign w:val="center"/>
          </w:tcPr>
          <w:p w14:paraId="5E770C5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116</w:t>
            </w:r>
          </w:p>
        </w:tc>
        <w:tc>
          <w:tcPr>
            <w:tcW w:w="1276" w:type="dxa"/>
            <w:vAlign w:val="center"/>
          </w:tcPr>
          <w:p w14:paraId="182163C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38</w:t>
            </w:r>
          </w:p>
        </w:tc>
        <w:tc>
          <w:tcPr>
            <w:tcW w:w="1276" w:type="dxa"/>
            <w:vAlign w:val="center"/>
          </w:tcPr>
          <w:p w14:paraId="53FDEB5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21</w:t>
            </w:r>
          </w:p>
        </w:tc>
        <w:tc>
          <w:tcPr>
            <w:tcW w:w="1276" w:type="dxa"/>
            <w:vAlign w:val="center"/>
          </w:tcPr>
          <w:p w14:paraId="4F3B245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23</w:t>
            </w:r>
          </w:p>
        </w:tc>
        <w:tc>
          <w:tcPr>
            <w:tcW w:w="1134" w:type="dxa"/>
            <w:vAlign w:val="center"/>
          </w:tcPr>
          <w:p w14:paraId="2AEE7B2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1.6</w:t>
            </w:r>
          </w:p>
        </w:tc>
        <w:tc>
          <w:tcPr>
            <w:tcW w:w="1213" w:type="dxa"/>
            <w:vAlign w:val="center"/>
          </w:tcPr>
          <w:p w14:paraId="19F7FEB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130</w:t>
            </w:r>
          </w:p>
        </w:tc>
      </w:tr>
      <w:tr w:rsidR="009C353B" w14:paraId="766C3763" w14:textId="77777777">
        <w:trPr>
          <w:trHeight w:hRule="exact" w:val="397"/>
          <w:tblHeader/>
        </w:trPr>
        <w:tc>
          <w:tcPr>
            <w:tcW w:w="1668" w:type="dxa"/>
            <w:vAlign w:val="center"/>
          </w:tcPr>
          <w:p w14:paraId="0728E54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2017</w:t>
            </w:r>
          </w:p>
        </w:tc>
        <w:tc>
          <w:tcPr>
            <w:tcW w:w="1275" w:type="dxa"/>
            <w:vAlign w:val="center"/>
          </w:tcPr>
          <w:p w14:paraId="46F12B76"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106</w:t>
            </w:r>
          </w:p>
        </w:tc>
        <w:tc>
          <w:tcPr>
            <w:tcW w:w="1276" w:type="dxa"/>
            <w:vAlign w:val="center"/>
          </w:tcPr>
          <w:p w14:paraId="2D1D371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36</w:t>
            </w:r>
          </w:p>
        </w:tc>
        <w:tc>
          <w:tcPr>
            <w:tcW w:w="1276" w:type="dxa"/>
            <w:vAlign w:val="center"/>
          </w:tcPr>
          <w:p w14:paraId="54D661E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w:t>
            </w:r>
          </w:p>
        </w:tc>
        <w:tc>
          <w:tcPr>
            <w:tcW w:w="1276" w:type="dxa"/>
            <w:vAlign w:val="center"/>
          </w:tcPr>
          <w:p w14:paraId="3F77269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25</w:t>
            </w:r>
          </w:p>
        </w:tc>
        <w:tc>
          <w:tcPr>
            <w:tcW w:w="1134" w:type="dxa"/>
            <w:vAlign w:val="center"/>
          </w:tcPr>
          <w:p w14:paraId="590FA3B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1.6</w:t>
            </w:r>
          </w:p>
        </w:tc>
        <w:tc>
          <w:tcPr>
            <w:tcW w:w="1213" w:type="dxa"/>
            <w:vAlign w:val="center"/>
          </w:tcPr>
          <w:p w14:paraId="4808031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158</w:t>
            </w:r>
          </w:p>
        </w:tc>
      </w:tr>
      <w:tr w:rsidR="009C353B" w14:paraId="14C4893E" w14:textId="77777777">
        <w:trPr>
          <w:trHeight w:hRule="exact" w:val="397"/>
          <w:tblHeader/>
        </w:trPr>
        <w:tc>
          <w:tcPr>
            <w:tcW w:w="1668" w:type="dxa"/>
            <w:vAlign w:val="center"/>
          </w:tcPr>
          <w:p w14:paraId="3095D89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2018</w:t>
            </w:r>
          </w:p>
        </w:tc>
        <w:tc>
          <w:tcPr>
            <w:tcW w:w="1275" w:type="dxa"/>
            <w:vAlign w:val="center"/>
          </w:tcPr>
          <w:p w14:paraId="7FA2C3A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99</w:t>
            </w:r>
          </w:p>
        </w:tc>
        <w:tc>
          <w:tcPr>
            <w:tcW w:w="1276" w:type="dxa"/>
            <w:vAlign w:val="center"/>
          </w:tcPr>
          <w:p w14:paraId="2238398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33</w:t>
            </w:r>
          </w:p>
        </w:tc>
        <w:tc>
          <w:tcPr>
            <w:tcW w:w="1276" w:type="dxa"/>
            <w:vAlign w:val="center"/>
          </w:tcPr>
          <w:p w14:paraId="6204C17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14</w:t>
            </w:r>
          </w:p>
        </w:tc>
        <w:tc>
          <w:tcPr>
            <w:tcW w:w="1276" w:type="dxa"/>
            <w:vAlign w:val="center"/>
          </w:tcPr>
          <w:p w14:paraId="6B7E097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24</w:t>
            </w:r>
          </w:p>
        </w:tc>
        <w:tc>
          <w:tcPr>
            <w:tcW w:w="1134" w:type="dxa"/>
            <w:vAlign w:val="center"/>
          </w:tcPr>
          <w:p w14:paraId="5D3E901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2.2</w:t>
            </w:r>
          </w:p>
        </w:tc>
        <w:tc>
          <w:tcPr>
            <w:tcW w:w="1213" w:type="dxa"/>
            <w:vAlign w:val="center"/>
          </w:tcPr>
          <w:p w14:paraId="4429DB0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150</w:t>
            </w:r>
          </w:p>
        </w:tc>
      </w:tr>
      <w:tr w:rsidR="009C353B" w14:paraId="7B7D1C3E" w14:textId="77777777">
        <w:trPr>
          <w:trHeight w:hRule="exact" w:val="397"/>
          <w:tblHeader/>
        </w:trPr>
        <w:tc>
          <w:tcPr>
            <w:tcW w:w="1668" w:type="dxa"/>
            <w:vMerge w:val="restart"/>
            <w:vAlign w:val="center"/>
          </w:tcPr>
          <w:p w14:paraId="52D1C000" w14:textId="77777777" w:rsidR="009C353B" w:rsidRDefault="00000000">
            <w:pPr>
              <w:adjustRightInd w:val="0"/>
              <w:snapToGrid w:val="0"/>
              <w:jc w:val="center"/>
              <w:rPr>
                <w:rFonts w:ascii="Times New Roman" w:hAnsi="Times New Roman"/>
                <w:sz w:val="21"/>
                <w:szCs w:val="21"/>
              </w:rPr>
            </w:pPr>
            <w:r>
              <w:rPr>
                <w:rFonts w:ascii="Times New Roman"/>
                <w:sz w:val="21"/>
                <w:szCs w:val="21"/>
              </w:rPr>
              <w:t>时间</w:t>
            </w:r>
          </w:p>
        </w:tc>
        <w:tc>
          <w:tcPr>
            <w:tcW w:w="7450" w:type="dxa"/>
            <w:gridSpan w:val="6"/>
            <w:vAlign w:val="center"/>
          </w:tcPr>
          <w:p w14:paraId="53BFADD8" w14:textId="77777777" w:rsidR="009C353B" w:rsidRDefault="00000000">
            <w:pPr>
              <w:adjustRightInd w:val="0"/>
              <w:snapToGrid w:val="0"/>
              <w:jc w:val="center"/>
              <w:rPr>
                <w:rFonts w:ascii="Times New Roman" w:hAnsi="Times New Roman"/>
                <w:sz w:val="21"/>
                <w:szCs w:val="21"/>
              </w:rPr>
            </w:pPr>
            <w:r>
              <w:rPr>
                <w:rFonts w:ascii="Times New Roman"/>
                <w:sz w:val="21"/>
                <w:szCs w:val="21"/>
              </w:rPr>
              <w:t>煤化工园区站点</w:t>
            </w:r>
          </w:p>
        </w:tc>
      </w:tr>
      <w:tr w:rsidR="009C353B" w14:paraId="26010C55" w14:textId="77777777">
        <w:trPr>
          <w:trHeight w:hRule="exact" w:val="397"/>
          <w:tblHeader/>
        </w:trPr>
        <w:tc>
          <w:tcPr>
            <w:tcW w:w="1668" w:type="dxa"/>
            <w:vMerge/>
            <w:vAlign w:val="center"/>
          </w:tcPr>
          <w:p w14:paraId="09B1827E" w14:textId="77777777" w:rsidR="009C353B" w:rsidRDefault="009C353B">
            <w:pPr>
              <w:adjustRightInd w:val="0"/>
              <w:snapToGrid w:val="0"/>
              <w:jc w:val="center"/>
              <w:rPr>
                <w:rFonts w:ascii="Times New Roman" w:hAnsi="Times New Roman"/>
                <w:sz w:val="21"/>
                <w:szCs w:val="21"/>
              </w:rPr>
            </w:pPr>
          </w:p>
        </w:tc>
        <w:tc>
          <w:tcPr>
            <w:tcW w:w="1275" w:type="dxa"/>
            <w:vAlign w:val="center"/>
          </w:tcPr>
          <w:p w14:paraId="79E7DAE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10</w:t>
            </w:r>
          </w:p>
        </w:tc>
        <w:tc>
          <w:tcPr>
            <w:tcW w:w="1276" w:type="dxa"/>
            <w:vAlign w:val="center"/>
          </w:tcPr>
          <w:p w14:paraId="4EC707B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2.5</w:t>
            </w:r>
          </w:p>
        </w:tc>
        <w:tc>
          <w:tcPr>
            <w:tcW w:w="1276" w:type="dxa"/>
            <w:vAlign w:val="center"/>
          </w:tcPr>
          <w:p w14:paraId="44810D3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tc>
        <w:tc>
          <w:tcPr>
            <w:tcW w:w="1276" w:type="dxa"/>
            <w:vAlign w:val="center"/>
          </w:tcPr>
          <w:p w14:paraId="25E4E73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NO</w:t>
            </w:r>
            <w:r>
              <w:rPr>
                <w:rFonts w:ascii="Times New Roman" w:hAnsi="Times New Roman"/>
                <w:sz w:val="21"/>
                <w:szCs w:val="21"/>
                <w:vertAlign w:val="subscript"/>
              </w:rPr>
              <w:t>2</w:t>
            </w:r>
          </w:p>
        </w:tc>
        <w:tc>
          <w:tcPr>
            <w:tcW w:w="1134" w:type="dxa"/>
            <w:vAlign w:val="center"/>
          </w:tcPr>
          <w:p w14:paraId="5987534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CO</w:t>
            </w:r>
          </w:p>
        </w:tc>
        <w:tc>
          <w:tcPr>
            <w:tcW w:w="1213" w:type="dxa"/>
            <w:vAlign w:val="center"/>
          </w:tcPr>
          <w:p w14:paraId="3793391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O</w:t>
            </w:r>
            <w:r>
              <w:rPr>
                <w:rFonts w:ascii="Times New Roman" w:hAnsi="Times New Roman"/>
                <w:sz w:val="21"/>
                <w:szCs w:val="21"/>
                <w:vertAlign w:val="subscript"/>
              </w:rPr>
              <w:t>3</w:t>
            </w:r>
          </w:p>
        </w:tc>
      </w:tr>
      <w:tr w:rsidR="009C353B" w14:paraId="7CCC3190" w14:textId="77777777">
        <w:trPr>
          <w:trHeight w:hRule="exact" w:val="397"/>
          <w:tblHeader/>
        </w:trPr>
        <w:tc>
          <w:tcPr>
            <w:tcW w:w="1668" w:type="dxa"/>
            <w:vAlign w:val="center"/>
          </w:tcPr>
          <w:p w14:paraId="1142D37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2014</w:t>
            </w:r>
            <w:r>
              <w:rPr>
                <w:rFonts w:ascii="Times New Roman"/>
                <w:sz w:val="21"/>
                <w:szCs w:val="21"/>
              </w:rPr>
              <w:t>（</w:t>
            </w:r>
            <w:r>
              <w:rPr>
                <w:rFonts w:ascii="Times New Roman" w:hAnsi="Times New Roman"/>
                <w:sz w:val="21"/>
                <w:szCs w:val="21"/>
              </w:rPr>
              <w:t>4-12</w:t>
            </w:r>
            <w:r>
              <w:rPr>
                <w:rFonts w:ascii="Times New Roman"/>
                <w:sz w:val="21"/>
                <w:szCs w:val="21"/>
              </w:rPr>
              <w:t>月）</w:t>
            </w:r>
          </w:p>
        </w:tc>
        <w:tc>
          <w:tcPr>
            <w:tcW w:w="1275" w:type="dxa"/>
            <w:vAlign w:val="center"/>
          </w:tcPr>
          <w:p w14:paraId="4BB7A47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143</w:t>
            </w:r>
          </w:p>
        </w:tc>
        <w:tc>
          <w:tcPr>
            <w:tcW w:w="1276" w:type="dxa"/>
            <w:vAlign w:val="center"/>
          </w:tcPr>
          <w:p w14:paraId="5F2C7AE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59</w:t>
            </w:r>
          </w:p>
        </w:tc>
        <w:tc>
          <w:tcPr>
            <w:tcW w:w="1276" w:type="dxa"/>
            <w:vAlign w:val="center"/>
          </w:tcPr>
          <w:p w14:paraId="487514A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50</w:t>
            </w:r>
          </w:p>
        </w:tc>
        <w:tc>
          <w:tcPr>
            <w:tcW w:w="1276" w:type="dxa"/>
            <w:vAlign w:val="center"/>
          </w:tcPr>
          <w:p w14:paraId="4EA5AE0B"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24</w:t>
            </w:r>
          </w:p>
        </w:tc>
        <w:tc>
          <w:tcPr>
            <w:tcW w:w="1134" w:type="dxa"/>
            <w:vAlign w:val="center"/>
          </w:tcPr>
          <w:p w14:paraId="4512CD5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1.7</w:t>
            </w:r>
          </w:p>
        </w:tc>
        <w:tc>
          <w:tcPr>
            <w:tcW w:w="1213" w:type="dxa"/>
            <w:vAlign w:val="center"/>
          </w:tcPr>
          <w:p w14:paraId="7D5D3BC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123</w:t>
            </w:r>
          </w:p>
        </w:tc>
      </w:tr>
      <w:tr w:rsidR="009C353B" w14:paraId="40199AC4" w14:textId="77777777">
        <w:trPr>
          <w:trHeight w:hRule="exact" w:val="397"/>
          <w:tblHeader/>
        </w:trPr>
        <w:tc>
          <w:tcPr>
            <w:tcW w:w="1668" w:type="dxa"/>
            <w:vAlign w:val="center"/>
          </w:tcPr>
          <w:p w14:paraId="4096588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2015</w:t>
            </w:r>
          </w:p>
        </w:tc>
        <w:tc>
          <w:tcPr>
            <w:tcW w:w="1275" w:type="dxa"/>
            <w:vAlign w:val="center"/>
          </w:tcPr>
          <w:p w14:paraId="62CEE63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113</w:t>
            </w:r>
          </w:p>
        </w:tc>
        <w:tc>
          <w:tcPr>
            <w:tcW w:w="1276" w:type="dxa"/>
            <w:vAlign w:val="center"/>
          </w:tcPr>
          <w:p w14:paraId="3662CE8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49</w:t>
            </w:r>
          </w:p>
        </w:tc>
        <w:tc>
          <w:tcPr>
            <w:tcW w:w="1276" w:type="dxa"/>
            <w:vAlign w:val="center"/>
          </w:tcPr>
          <w:p w14:paraId="079914B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30</w:t>
            </w:r>
          </w:p>
        </w:tc>
        <w:tc>
          <w:tcPr>
            <w:tcW w:w="1276" w:type="dxa"/>
            <w:vAlign w:val="center"/>
          </w:tcPr>
          <w:p w14:paraId="16BD636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18</w:t>
            </w:r>
          </w:p>
        </w:tc>
        <w:tc>
          <w:tcPr>
            <w:tcW w:w="1134" w:type="dxa"/>
            <w:vAlign w:val="center"/>
          </w:tcPr>
          <w:p w14:paraId="7A9AA6C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1.1</w:t>
            </w:r>
          </w:p>
        </w:tc>
        <w:tc>
          <w:tcPr>
            <w:tcW w:w="1213" w:type="dxa"/>
            <w:vAlign w:val="center"/>
          </w:tcPr>
          <w:p w14:paraId="19FDFE8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58</w:t>
            </w:r>
          </w:p>
        </w:tc>
      </w:tr>
      <w:tr w:rsidR="009C353B" w14:paraId="6F710AEC" w14:textId="77777777">
        <w:trPr>
          <w:trHeight w:hRule="exact" w:val="397"/>
          <w:tblHeader/>
        </w:trPr>
        <w:tc>
          <w:tcPr>
            <w:tcW w:w="1668" w:type="dxa"/>
            <w:vAlign w:val="center"/>
          </w:tcPr>
          <w:p w14:paraId="31532D5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2016</w:t>
            </w:r>
          </w:p>
        </w:tc>
        <w:tc>
          <w:tcPr>
            <w:tcW w:w="1275" w:type="dxa"/>
            <w:vAlign w:val="center"/>
          </w:tcPr>
          <w:p w14:paraId="5F0032A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110</w:t>
            </w:r>
          </w:p>
        </w:tc>
        <w:tc>
          <w:tcPr>
            <w:tcW w:w="1276" w:type="dxa"/>
            <w:vAlign w:val="center"/>
          </w:tcPr>
          <w:p w14:paraId="25A44A1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47</w:t>
            </w:r>
          </w:p>
        </w:tc>
        <w:tc>
          <w:tcPr>
            <w:tcW w:w="1276" w:type="dxa"/>
            <w:vAlign w:val="center"/>
          </w:tcPr>
          <w:p w14:paraId="2ABC611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26</w:t>
            </w:r>
          </w:p>
        </w:tc>
        <w:tc>
          <w:tcPr>
            <w:tcW w:w="1276" w:type="dxa"/>
            <w:vAlign w:val="center"/>
          </w:tcPr>
          <w:p w14:paraId="17E5F41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18</w:t>
            </w:r>
          </w:p>
        </w:tc>
        <w:tc>
          <w:tcPr>
            <w:tcW w:w="1134" w:type="dxa"/>
            <w:vAlign w:val="center"/>
          </w:tcPr>
          <w:p w14:paraId="6BD2FC4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1.3</w:t>
            </w:r>
          </w:p>
        </w:tc>
        <w:tc>
          <w:tcPr>
            <w:tcW w:w="1213" w:type="dxa"/>
            <w:vAlign w:val="center"/>
          </w:tcPr>
          <w:p w14:paraId="1825711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148</w:t>
            </w:r>
          </w:p>
        </w:tc>
      </w:tr>
      <w:tr w:rsidR="009C353B" w14:paraId="1241C5C8" w14:textId="77777777">
        <w:trPr>
          <w:trHeight w:hRule="exact" w:val="397"/>
          <w:tblHeader/>
        </w:trPr>
        <w:tc>
          <w:tcPr>
            <w:tcW w:w="1668" w:type="dxa"/>
            <w:vAlign w:val="center"/>
          </w:tcPr>
          <w:p w14:paraId="5EBCF21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2017</w:t>
            </w:r>
          </w:p>
        </w:tc>
        <w:tc>
          <w:tcPr>
            <w:tcW w:w="1275" w:type="dxa"/>
            <w:vAlign w:val="center"/>
          </w:tcPr>
          <w:p w14:paraId="119FA3F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101</w:t>
            </w:r>
          </w:p>
        </w:tc>
        <w:tc>
          <w:tcPr>
            <w:tcW w:w="1276" w:type="dxa"/>
            <w:vAlign w:val="center"/>
          </w:tcPr>
          <w:p w14:paraId="3460EA4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44</w:t>
            </w:r>
          </w:p>
        </w:tc>
        <w:tc>
          <w:tcPr>
            <w:tcW w:w="1276" w:type="dxa"/>
            <w:vAlign w:val="center"/>
          </w:tcPr>
          <w:p w14:paraId="0508999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27</w:t>
            </w:r>
          </w:p>
        </w:tc>
        <w:tc>
          <w:tcPr>
            <w:tcW w:w="1276" w:type="dxa"/>
            <w:vAlign w:val="center"/>
          </w:tcPr>
          <w:p w14:paraId="35F7CEC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27</w:t>
            </w:r>
          </w:p>
        </w:tc>
        <w:tc>
          <w:tcPr>
            <w:tcW w:w="1134" w:type="dxa"/>
            <w:vAlign w:val="center"/>
          </w:tcPr>
          <w:p w14:paraId="7EC47B3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1.3</w:t>
            </w:r>
          </w:p>
        </w:tc>
        <w:tc>
          <w:tcPr>
            <w:tcW w:w="1213" w:type="dxa"/>
            <w:vAlign w:val="center"/>
          </w:tcPr>
          <w:p w14:paraId="52B8AFE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163</w:t>
            </w:r>
          </w:p>
        </w:tc>
      </w:tr>
      <w:tr w:rsidR="009C353B" w14:paraId="07DA5221" w14:textId="77777777">
        <w:trPr>
          <w:trHeight w:hRule="exact" w:val="397"/>
          <w:tblHeader/>
        </w:trPr>
        <w:tc>
          <w:tcPr>
            <w:tcW w:w="1668" w:type="dxa"/>
            <w:vAlign w:val="center"/>
          </w:tcPr>
          <w:p w14:paraId="004D435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2018</w:t>
            </w:r>
          </w:p>
        </w:tc>
        <w:tc>
          <w:tcPr>
            <w:tcW w:w="1275" w:type="dxa"/>
            <w:vAlign w:val="center"/>
          </w:tcPr>
          <w:p w14:paraId="2F1DA84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106</w:t>
            </w:r>
          </w:p>
        </w:tc>
        <w:tc>
          <w:tcPr>
            <w:tcW w:w="1276" w:type="dxa"/>
            <w:vAlign w:val="center"/>
          </w:tcPr>
          <w:p w14:paraId="1FCDFB7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41</w:t>
            </w:r>
          </w:p>
        </w:tc>
        <w:tc>
          <w:tcPr>
            <w:tcW w:w="1276" w:type="dxa"/>
            <w:vAlign w:val="center"/>
          </w:tcPr>
          <w:p w14:paraId="3C360C7B"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27</w:t>
            </w:r>
          </w:p>
        </w:tc>
        <w:tc>
          <w:tcPr>
            <w:tcW w:w="1276" w:type="dxa"/>
            <w:vAlign w:val="center"/>
          </w:tcPr>
          <w:p w14:paraId="0089A04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22</w:t>
            </w:r>
          </w:p>
        </w:tc>
        <w:tc>
          <w:tcPr>
            <w:tcW w:w="1134" w:type="dxa"/>
            <w:vAlign w:val="center"/>
          </w:tcPr>
          <w:p w14:paraId="3AD5A1B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1.2</w:t>
            </w:r>
          </w:p>
        </w:tc>
        <w:tc>
          <w:tcPr>
            <w:tcW w:w="1213" w:type="dxa"/>
            <w:vAlign w:val="center"/>
          </w:tcPr>
          <w:p w14:paraId="30AA145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143</w:t>
            </w:r>
          </w:p>
        </w:tc>
      </w:tr>
      <w:tr w:rsidR="009C353B" w14:paraId="618C1F8D" w14:textId="77777777">
        <w:trPr>
          <w:trHeight w:hRule="exact" w:val="397"/>
          <w:tblHeader/>
        </w:trPr>
        <w:tc>
          <w:tcPr>
            <w:tcW w:w="1668" w:type="dxa"/>
            <w:vMerge w:val="restart"/>
            <w:vAlign w:val="center"/>
          </w:tcPr>
          <w:p w14:paraId="5D8D6246" w14:textId="77777777" w:rsidR="009C353B" w:rsidRDefault="00000000">
            <w:pPr>
              <w:adjustRightInd w:val="0"/>
              <w:snapToGrid w:val="0"/>
              <w:jc w:val="center"/>
              <w:rPr>
                <w:rFonts w:ascii="Times New Roman" w:hAnsi="Times New Roman"/>
                <w:sz w:val="21"/>
                <w:szCs w:val="21"/>
              </w:rPr>
            </w:pPr>
            <w:r>
              <w:rPr>
                <w:rFonts w:ascii="Times New Roman"/>
                <w:sz w:val="21"/>
                <w:szCs w:val="21"/>
              </w:rPr>
              <w:t>时间</w:t>
            </w:r>
          </w:p>
        </w:tc>
        <w:tc>
          <w:tcPr>
            <w:tcW w:w="7450" w:type="dxa"/>
            <w:gridSpan w:val="6"/>
            <w:vAlign w:val="center"/>
          </w:tcPr>
          <w:p w14:paraId="140010AB" w14:textId="77777777" w:rsidR="009C353B" w:rsidRDefault="00000000">
            <w:pPr>
              <w:adjustRightInd w:val="0"/>
              <w:snapToGrid w:val="0"/>
              <w:jc w:val="center"/>
              <w:rPr>
                <w:rFonts w:ascii="Times New Roman" w:hAnsi="Times New Roman"/>
                <w:sz w:val="21"/>
                <w:szCs w:val="21"/>
              </w:rPr>
            </w:pPr>
            <w:r>
              <w:rPr>
                <w:rFonts w:ascii="Times New Roman"/>
                <w:sz w:val="21"/>
                <w:szCs w:val="21"/>
              </w:rPr>
              <w:t>临河工业区站点</w:t>
            </w:r>
          </w:p>
        </w:tc>
      </w:tr>
      <w:tr w:rsidR="009C353B" w14:paraId="48CEC690" w14:textId="77777777">
        <w:trPr>
          <w:trHeight w:hRule="exact" w:val="397"/>
          <w:tblHeader/>
        </w:trPr>
        <w:tc>
          <w:tcPr>
            <w:tcW w:w="1668" w:type="dxa"/>
            <w:vMerge/>
            <w:vAlign w:val="center"/>
          </w:tcPr>
          <w:p w14:paraId="57A33D3D" w14:textId="77777777" w:rsidR="009C353B" w:rsidRDefault="009C353B">
            <w:pPr>
              <w:adjustRightInd w:val="0"/>
              <w:snapToGrid w:val="0"/>
              <w:jc w:val="center"/>
              <w:rPr>
                <w:rFonts w:ascii="Times New Roman" w:hAnsi="Times New Roman"/>
                <w:sz w:val="21"/>
                <w:szCs w:val="21"/>
              </w:rPr>
            </w:pPr>
          </w:p>
        </w:tc>
        <w:tc>
          <w:tcPr>
            <w:tcW w:w="1275" w:type="dxa"/>
            <w:vAlign w:val="center"/>
          </w:tcPr>
          <w:p w14:paraId="2C711EE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10</w:t>
            </w:r>
          </w:p>
        </w:tc>
        <w:tc>
          <w:tcPr>
            <w:tcW w:w="1276" w:type="dxa"/>
            <w:vAlign w:val="center"/>
          </w:tcPr>
          <w:p w14:paraId="0ABB8AA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2.5</w:t>
            </w:r>
          </w:p>
        </w:tc>
        <w:tc>
          <w:tcPr>
            <w:tcW w:w="1276" w:type="dxa"/>
            <w:vAlign w:val="center"/>
          </w:tcPr>
          <w:p w14:paraId="57C27FA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tc>
        <w:tc>
          <w:tcPr>
            <w:tcW w:w="1276" w:type="dxa"/>
            <w:vAlign w:val="center"/>
          </w:tcPr>
          <w:p w14:paraId="5BA928B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NO</w:t>
            </w:r>
            <w:r>
              <w:rPr>
                <w:rFonts w:ascii="Times New Roman" w:hAnsi="Times New Roman"/>
                <w:sz w:val="21"/>
                <w:szCs w:val="21"/>
                <w:vertAlign w:val="subscript"/>
              </w:rPr>
              <w:t>2</w:t>
            </w:r>
          </w:p>
        </w:tc>
        <w:tc>
          <w:tcPr>
            <w:tcW w:w="1134" w:type="dxa"/>
            <w:vAlign w:val="center"/>
          </w:tcPr>
          <w:p w14:paraId="038B49D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CO</w:t>
            </w:r>
          </w:p>
        </w:tc>
        <w:tc>
          <w:tcPr>
            <w:tcW w:w="1213" w:type="dxa"/>
            <w:vAlign w:val="center"/>
          </w:tcPr>
          <w:p w14:paraId="119CD61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O</w:t>
            </w:r>
            <w:r>
              <w:rPr>
                <w:rFonts w:ascii="Times New Roman" w:hAnsi="Times New Roman"/>
                <w:sz w:val="21"/>
                <w:szCs w:val="21"/>
                <w:vertAlign w:val="subscript"/>
              </w:rPr>
              <w:t>3</w:t>
            </w:r>
          </w:p>
        </w:tc>
      </w:tr>
      <w:tr w:rsidR="009C353B" w14:paraId="69E40D9C" w14:textId="77777777">
        <w:trPr>
          <w:trHeight w:hRule="exact" w:val="397"/>
          <w:tblHeader/>
        </w:trPr>
        <w:tc>
          <w:tcPr>
            <w:tcW w:w="1668" w:type="dxa"/>
            <w:vAlign w:val="center"/>
          </w:tcPr>
          <w:p w14:paraId="3FA46CB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2014</w:t>
            </w:r>
            <w:r>
              <w:rPr>
                <w:rFonts w:ascii="Times New Roman"/>
                <w:sz w:val="21"/>
                <w:szCs w:val="21"/>
              </w:rPr>
              <w:t>（</w:t>
            </w:r>
            <w:r>
              <w:rPr>
                <w:rFonts w:ascii="Times New Roman" w:hAnsi="Times New Roman"/>
                <w:sz w:val="21"/>
                <w:szCs w:val="21"/>
              </w:rPr>
              <w:t>4-12</w:t>
            </w:r>
            <w:r>
              <w:rPr>
                <w:rFonts w:ascii="Times New Roman"/>
                <w:sz w:val="21"/>
                <w:szCs w:val="21"/>
              </w:rPr>
              <w:t>月）</w:t>
            </w:r>
          </w:p>
        </w:tc>
        <w:tc>
          <w:tcPr>
            <w:tcW w:w="1275" w:type="dxa"/>
            <w:vAlign w:val="center"/>
          </w:tcPr>
          <w:p w14:paraId="21EB594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159</w:t>
            </w:r>
          </w:p>
        </w:tc>
        <w:tc>
          <w:tcPr>
            <w:tcW w:w="1276" w:type="dxa"/>
            <w:vAlign w:val="center"/>
          </w:tcPr>
          <w:p w14:paraId="5CCC1C5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59</w:t>
            </w:r>
          </w:p>
        </w:tc>
        <w:tc>
          <w:tcPr>
            <w:tcW w:w="1276" w:type="dxa"/>
            <w:vAlign w:val="center"/>
          </w:tcPr>
          <w:p w14:paraId="1D67BD2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80</w:t>
            </w:r>
          </w:p>
        </w:tc>
        <w:tc>
          <w:tcPr>
            <w:tcW w:w="1276" w:type="dxa"/>
            <w:vAlign w:val="center"/>
          </w:tcPr>
          <w:p w14:paraId="2FD12816"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27</w:t>
            </w:r>
          </w:p>
        </w:tc>
        <w:tc>
          <w:tcPr>
            <w:tcW w:w="1134" w:type="dxa"/>
            <w:vAlign w:val="center"/>
          </w:tcPr>
          <w:p w14:paraId="05FBAB7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1.7</w:t>
            </w:r>
          </w:p>
        </w:tc>
        <w:tc>
          <w:tcPr>
            <w:tcW w:w="1213" w:type="dxa"/>
            <w:vAlign w:val="center"/>
          </w:tcPr>
          <w:p w14:paraId="22EC9A3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123</w:t>
            </w:r>
          </w:p>
        </w:tc>
      </w:tr>
      <w:tr w:rsidR="009C353B" w14:paraId="1251E8EA" w14:textId="77777777">
        <w:trPr>
          <w:trHeight w:hRule="exact" w:val="397"/>
          <w:tblHeader/>
        </w:trPr>
        <w:tc>
          <w:tcPr>
            <w:tcW w:w="1668" w:type="dxa"/>
            <w:vAlign w:val="center"/>
          </w:tcPr>
          <w:p w14:paraId="6CEB024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2015</w:t>
            </w:r>
          </w:p>
        </w:tc>
        <w:tc>
          <w:tcPr>
            <w:tcW w:w="1275" w:type="dxa"/>
            <w:vAlign w:val="center"/>
          </w:tcPr>
          <w:p w14:paraId="0EC300C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109</w:t>
            </w:r>
          </w:p>
        </w:tc>
        <w:tc>
          <w:tcPr>
            <w:tcW w:w="1276" w:type="dxa"/>
            <w:vAlign w:val="center"/>
          </w:tcPr>
          <w:p w14:paraId="6A01F24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43</w:t>
            </w:r>
          </w:p>
        </w:tc>
        <w:tc>
          <w:tcPr>
            <w:tcW w:w="1276" w:type="dxa"/>
            <w:vAlign w:val="center"/>
          </w:tcPr>
          <w:p w14:paraId="67B7ECF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33</w:t>
            </w:r>
          </w:p>
        </w:tc>
        <w:tc>
          <w:tcPr>
            <w:tcW w:w="1276" w:type="dxa"/>
            <w:vAlign w:val="center"/>
          </w:tcPr>
          <w:p w14:paraId="160AF73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18</w:t>
            </w:r>
          </w:p>
        </w:tc>
        <w:tc>
          <w:tcPr>
            <w:tcW w:w="1134" w:type="dxa"/>
            <w:vAlign w:val="center"/>
          </w:tcPr>
          <w:p w14:paraId="3DBB660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w:t>
            </w:r>
          </w:p>
        </w:tc>
        <w:tc>
          <w:tcPr>
            <w:tcW w:w="1213" w:type="dxa"/>
            <w:vAlign w:val="center"/>
          </w:tcPr>
          <w:p w14:paraId="5946F5D6"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88</w:t>
            </w:r>
          </w:p>
        </w:tc>
      </w:tr>
      <w:tr w:rsidR="009C353B" w14:paraId="34334A0A" w14:textId="77777777">
        <w:trPr>
          <w:trHeight w:hRule="exact" w:val="397"/>
          <w:tblHeader/>
        </w:trPr>
        <w:tc>
          <w:tcPr>
            <w:tcW w:w="1668" w:type="dxa"/>
            <w:vAlign w:val="center"/>
          </w:tcPr>
          <w:p w14:paraId="6B61082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2016</w:t>
            </w:r>
          </w:p>
        </w:tc>
        <w:tc>
          <w:tcPr>
            <w:tcW w:w="1275" w:type="dxa"/>
            <w:vAlign w:val="center"/>
          </w:tcPr>
          <w:p w14:paraId="04820A3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96</w:t>
            </w:r>
          </w:p>
        </w:tc>
        <w:tc>
          <w:tcPr>
            <w:tcW w:w="1276" w:type="dxa"/>
            <w:vAlign w:val="center"/>
          </w:tcPr>
          <w:p w14:paraId="0BCEE89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41</w:t>
            </w:r>
          </w:p>
        </w:tc>
        <w:tc>
          <w:tcPr>
            <w:tcW w:w="1276" w:type="dxa"/>
            <w:vAlign w:val="center"/>
          </w:tcPr>
          <w:p w14:paraId="1BBD2E4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34</w:t>
            </w:r>
          </w:p>
        </w:tc>
        <w:tc>
          <w:tcPr>
            <w:tcW w:w="1276" w:type="dxa"/>
            <w:vAlign w:val="center"/>
          </w:tcPr>
          <w:p w14:paraId="43A4988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24</w:t>
            </w:r>
          </w:p>
        </w:tc>
        <w:tc>
          <w:tcPr>
            <w:tcW w:w="1134" w:type="dxa"/>
            <w:vAlign w:val="center"/>
          </w:tcPr>
          <w:p w14:paraId="1C7C6B3B"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1.9</w:t>
            </w:r>
          </w:p>
        </w:tc>
        <w:tc>
          <w:tcPr>
            <w:tcW w:w="1213" w:type="dxa"/>
            <w:vAlign w:val="center"/>
          </w:tcPr>
          <w:p w14:paraId="6C2A776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145</w:t>
            </w:r>
          </w:p>
        </w:tc>
      </w:tr>
      <w:tr w:rsidR="009C353B" w14:paraId="572A42AE" w14:textId="77777777">
        <w:trPr>
          <w:trHeight w:hRule="exact" w:val="397"/>
          <w:tblHeader/>
        </w:trPr>
        <w:tc>
          <w:tcPr>
            <w:tcW w:w="1668" w:type="dxa"/>
            <w:vAlign w:val="center"/>
          </w:tcPr>
          <w:p w14:paraId="2EAC2E4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2017</w:t>
            </w:r>
          </w:p>
        </w:tc>
        <w:tc>
          <w:tcPr>
            <w:tcW w:w="1275" w:type="dxa"/>
            <w:vAlign w:val="center"/>
          </w:tcPr>
          <w:p w14:paraId="1E78796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95</w:t>
            </w:r>
          </w:p>
        </w:tc>
        <w:tc>
          <w:tcPr>
            <w:tcW w:w="1276" w:type="dxa"/>
            <w:vAlign w:val="center"/>
          </w:tcPr>
          <w:p w14:paraId="0ED5C72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38</w:t>
            </w:r>
          </w:p>
        </w:tc>
        <w:tc>
          <w:tcPr>
            <w:tcW w:w="1276" w:type="dxa"/>
            <w:vAlign w:val="center"/>
          </w:tcPr>
          <w:p w14:paraId="3A44C94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38</w:t>
            </w:r>
          </w:p>
        </w:tc>
        <w:tc>
          <w:tcPr>
            <w:tcW w:w="1276" w:type="dxa"/>
            <w:vAlign w:val="center"/>
          </w:tcPr>
          <w:p w14:paraId="7BEA7A8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27</w:t>
            </w:r>
          </w:p>
        </w:tc>
        <w:tc>
          <w:tcPr>
            <w:tcW w:w="1134" w:type="dxa"/>
            <w:vAlign w:val="center"/>
          </w:tcPr>
          <w:p w14:paraId="6D6BE07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w:t>
            </w:r>
          </w:p>
        </w:tc>
        <w:tc>
          <w:tcPr>
            <w:tcW w:w="1213" w:type="dxa"/>
            <w:vAlign w:val="center"/>
          </w:tcPr>
          <w:p w14:paraId="5E900C0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153</w:t>
            </w:r>
          </w:p>
        </w:tc>
      </w:tr>
      <w:tr w:rsidR="009C353B" w14:paraId="3B26CB40" w14:textId="77777777">
        <w:trPr>
          <w:trHeight w:hRule="exact" w:val="397"/>
          <w:tblHeader/>
        </w:trPr>
        <w:tc>
          <w:tcPr>
            <w:tcW w:w="1668" w:type="dxa"/>
            <w:vAlign w:val="center"/>
          </w:tcPr>
          <w:p w14:paraId="0B4CFAC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2018</w:t>
            </w:r>
          </w:p>
        </w:tc>
        <w:tc>
          <w:tcPr>
            <w:tcW w:w="1275" w:type="dxa"/>
            <w:vAlign w:val="center"/>
          </w:tcPr>
          <w:p w14:paraId="233CAD6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109</w:t>
            </w:r>
          </w:p>
        </w:tc>
        <w:tc>
          <w:tcPr>
            <w:tcW w:w="1276" w:type="dxa"/>
            <w:vAlign w:val="center"/>
          </w:tcPr>
          <w:p w14:paraId="69D4585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35</w:t>
            </w:r>
          </w:p>
        </w:tc>
        <w:tc>
          <w:tcPr>
            <w:tcW w:w="1276" w:type="dxa"/>
            <w:vAlign w:val="center"/>
          </w:tcPr>
          <w:p w14:paraId="124D4C2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34</w:t>
            </w:r>
          </w:p>
        </w:tc>
        <w:tc>
          <w:tcPr>
            <w:tcW w:w="1276" w:type="dxa"/>
            <w:vAlign w:val="center"/>
          </w:tcPr>
          <w:p w14:paraId="3A706D5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30</w:t>
            </w:r>
          </w:p>
        </w:tc>
        <w:tc>
          <w:tcPr>
            <w:tcW w:w="1134" w:type="dxa"/>
            <w:vAlign w:val="center"/>
          </w:tcPr>
          <w:p w14:paraId="0620247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1.8</w:t>
            </w:r>
          </w:p>
        </w:tc>
        <w:tc>
          <w:tcPr>
            <w:tcW w:w="1213" w:type="dxa"/>
            <w:vAlign w:val="center"/>
          </w:tcPr>
          <w:p w14:paraId="1A22912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142</w:t>
            </w:r>
          </w:p>
        </w:tc>
      </w:tr>
      <w:tr w:rsidR="009C353B" w14:paraId="3EF7D6C9" w14:textId="77777777">
        <w:trPr>
          <w:trHeight w:hRule="exact" w:val="397"/>
          <w:tblHeader/>
        </w:trPr>
        <w:tc>
          <w:tcPr>
            <w:tcW w:w="1668" w:type="dxa"/>
            <w:vMerge w:val="restart"/>
            <w:vAlign w:val="center"/>
          </w:tcPr>
          <w:p w14:paraId="5A50206D" w14:textId="77777777" w:rsidR="009C353B" w:rsidRDefault="00000000">
            <w:pPr>
              <w:adjustRightInd w:val="0"/>
              <w:snapToGrid w:val="0"/>
              <w:jc w:val="center"/>
              <w:rPr>
                <w:rFonts w:ascii="Times New Roman" w:hAnsi="Times New Roman"/>
                <w:sz w:val="21"/>
                <w:szCs w:val="21"/>
              </w:rPr>
            </w:pPr>
            <w:r>
              <w:rPr>
                <w:rFonts w:ascii="Times New Roman"/>
                <w:sz w:val="21"/>
                <w:szCs w:val="21"/>
              </w:rPr>
              <w:t>时间</w:t>
            </w:r>
          </w:p>
        </w:tc>
        <w:tc>
          <w:tcPr>
            <w:tcW w:w="7450" w:type="dxa"/>
            <w:gridSpan w:val="6"/>
            <w:vAlign w:val="center"/>
          </w:tcPr>
          <w:p w14:paraId="4EF8EF0E" w14:textId="77777777" w:rsidR="009C353B" w:rsidRDefault="00000000">
            <w:pPr>
              <w:adjustRightInd w:val="0"/>
              <w:snapToGrid w:val="0"/>
              <w:jc w:val="center"/>
              <w:rPr>
                <w:rFonts w:ascii="Times New Roman" w:hAnsi="Times New Roman"/>
                <w:sz w:val="21"/>
                <w:szCs w:val="21"/>
              </w:rPr>
            </w:pPr>
            <w:r>
              <w:rPr>
                <w:rFonts w:ascii="Times New Roman"/>
                <w:sz w:val="21"/>
                <w:szCs w:val="21"/>
              </w:rPr>
              <w:t>宁东基地</w:t>
            </w:r>
          </w:p>
        </w:tc>
      </w:tr>
      <w:tr w:rsidR="009C353B" w14:paraId="098CE64E" w14:textId="77777777">
        <w:trPr>
          <w:trHeight w:hRule="exact" w:val="397"/>
          <w:tblHeader/>
        </w:trPr>
        <w:tc>
          <w:tcPr>
            <w:tcW w:w="1668" w:type="dxa"/>
            <w:vMerge/>
            <w:vAlign w:val="center"/>
          </w:tcPr>
          <w:p w14:paraId="44F7A9AC" w14:textId="77777777" w:rsidR="009C353B" w:rsidRDefault="009C353B">
            <w:pPr>
              <w:adjustRightInd w:val="0"/>
              <w:snapToGrid w:val="0"/>
              <w:jc w:val="center"/>
              <w:rPr>
                <w:rFonts w:ascii="Times New Roman" w:hAnsi="Times New Roman"/>
                <w:sz w:val="21"/>
                <w:szCs w:val="21"/>
              </w:rPr>
            </w:pPr>
          </w:p>
        </w:tc>
        <w:tc>
          <w:tcPr>
            <w:tcW w:w="1275" w:type="dxa"/>
            <w:vAlign w:val="center"/>
          </w:tcPr>
          <w:p w14:paraId="6C34FE5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10</w:t>
            </w:r>
          </w:p>
        </w:tc>
        <w:tc>
          <w:tcPr>
            <w:tcW w:w="1276" w:type="dxa"/>
            <w:vAlign w:val="center"/>
          </w:tcPr>
          <w:p w14:paraId="480EBED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2.5</w:t>
            </w:r>
          </w:p>
        </w:tc>
        <w:tc>
          <w:tcPr>
            <w:tcW w:w="1276" w:type="dxa"/>
            <w:vAlign w:val="center"/>
          </w:tcPr>
          <w:p w14:paraId="78BC8A4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tc>
        <w:tc>
          <w:tcPr>
            <w:tcW w:w="1276" w:type="dxa"/>
            <w:vAlign w:val="center"/>
          </w:tcPr>
          <w:p w14:paraId="7411EB3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NO</w:t>
            </w:r>
            <w:r>
              <w:rPr>
                <w:rFonts w:ascii="Times New Roman" w:hAnsi="Times New Roman"/>
                <w:sz w:val="21"/>
                <w:szCs w:val="21"/>
                <w:vertAlign w:val="subscript"/>
              </w:rPr>
              <w:t>2</w:t>
            </w:r>
          </w:p>
        </w:tc>
        <w:tc>
          <w:tcPr>
            <w:tcW w:w="1134" w:type="dxa"/>
            <w:vAlign w:val="center"/>
          </w:tcPr>
          <w:p w14:paraId="6E7A390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CO</w:t>
            </w:r>
          </w:p>
        </w:tc>
        <w:tc>
          <w:tcPr>
            <w:tcW w:w="1213" w:type="dxa"/>
            <w:vAlign w:val="center"/>
          </w:tcPr>
          <w:p w14:paraId="61EAD8D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O</w:t>
            </w:r>
            <w:r>
              <w:rPr>
                <w:rFonts w:ascii="Times New Roman" w:hAnsi="Times New Roman"/>
                <w:sz w:val="21"/>
                <w:szCs w:val="21"/>
                <w:vertAlign w:val="subscript"/>
              </w:rPr>
              <w:t>3</w:t>
            </w:r>
          </w:p>
        </w:tc>
      </w:tr>
      <w:tr w:rsidR="009C353B" w14:paraId="7787CB56" w14:textId="77777777">
        <w:trPr>
          <w:trHeight w:hRule="exact" w:val="397"/>
          <w:tblHeader/>
        </w:trPr>
        <w:tc>
          <w:tcPr>
            <w:tcW w:w="1668" w:type="dxa"/>
            <w:vAlign w:val="center"/>
          </w:tcPr>
          <w:p w14:paraId="7D6BF50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2014</w:t>
            </w:r>
            <w:r>
              <w:rPr>
                <w:rFonts w:ascii="Times New Roman"/>
                <w:sz w:val="21"/>
                <w:szCs w:val="21"/>
              </w:rPr>
              <w:t>（</w:t>
            </w:r>
            <w:r>
              <w:rPr>
                <w:rFonts w:ascii="Times New Roman" w:hAnsi="Times New Roman"/>
                <w:sz w:val="21"/>
                <w:szCs w:val="21"/>
              </w:rPr>
              <w:t>4-12</w:t>
            </w:r>
            <w:r>
              <w:rPr>
                <w:rFonts w:ascii="Times New Roman"/>
                <w:sz w:val="21"/>
                <w:szCs w:val="21"/>
              </w:rPr>
              <w:t>月）</w:t>
            </w:r>
          </w:p>
        </w:tc>
        <w:tc>
          <w:tcPr>
            <w:tcW w:w="1275" w:type="dxa"/>
            <w:vAlign w:val="center"/>
          </w:tcPr>
          <w:p w14:paraId="31A424A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154</w:t>
            </w:r>
          </w:p>
        </w:tc>
        <w:tc>
          <w:tcPr>
            <w:tcW w:w="1276" w:type="dxa"/>
            <w:vAlign w:val="center"/>
          </w:tcPr>
          <w:p w14:paraId="011FC29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59</w:t>
            </w:r>
          </w:p>
        </w:tc>
        <w:tc>
          <w:tcPr>
            <w:tcW w:w="1276" w:type="dxa"/>
            <w:vAlign w:val="center"/>
          </w:tcPr>
          <w:p w14:paraId="3A77CD4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55</w:t>
            </w:r>
          </w:p>
        </w:tc>
        <w:tc>
          <w:tcPr>
            <w:tcW w:w="1276" w:type="dxa"/>
            <w:vAlign w:val="center"/>
          </w:tcPr>
          <w:p w14:paraId="210A004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27</w:t>
            </w:r>
          </w:p>
        </w:tc>
        <w:tc>
          <w:tcPr>
            <w:tcW w:w="1134" w:type="dxa"/>
            <w:vAlign w:val="center"/>
          </w:tcPr>
          <w:p w14:paraId="17B92B3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1.7</w:t>
            </w:r>
          </w:p>
        </w:tc>
        <w:tc>
          <w:tcPr>
            <w:tcW w:w="1213" w:type="dxa"/>
            <w:vAlign w:val="center"/>
          </w:tcPr>
          <w:p w14:paraId="35BB8FC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132</w:t>
            </w:r>
          </w:p>
        </w:tc>
      </w:tr>
      <w:tr w:rsidR="009C353B" w14:paraId="22D275CE" w14:textId="77777777">
        <w:trPr>
          <w:trHeight w:hRule="exact" w:val="397"/>
          <w:tblHeader/>
        </w:trPr>
        <w:tc>
          <w:tcPr>
            <w:tcW w:w="1668" w:type="dxa"/>
            <w:vAlign w:val="center"/>
          </w:tcPr>
          <w:p w14:paraId="2F90A0B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2015</w:t>
            </w:r>
          </w:p>
        </w:tc>
        <w:tc>
          <w:tcPr>
            <w:tcW w:w="1275" w:type="dxa"/>
            <w:vAlign w:val="center"/>
          </w:tcPr>
          <w:p w14:paraId="5A72A40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108</w:t>
            </w:r>
          </w:p>
        </w:tc>
        <w:tc>
          <w:tcPr>
            <w:tcW w:w="1276" w:type="dxa"/>
            <w:vAlign w:val="center"/>
          </w:tcPr>
          <w:p w14:paraId="7B0CBEE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42</w:t>
            </w:r>
          </w:p>
        </w:tc>
        <w:tc>
          <w:tcPr>
            <w:tcW w:w="1276" w:type="dxa"/>
            <w:vAlign w:val="center"/>
          </w:tcPr>
          <w:p w14:paraId="3304432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29</w:t>
            </w:r>
          </w:p>
        </w:tc>
        <w:tc>
          <w:tcPr>
            <w:tcW w:w="1276" w:type="dxa"/>
            <w:vAlign w:val="center"/>
          </w:tcPr>
          <w:p w14:paraId="4591725B"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w:t>
            </w:r>
          </w:p>
        </w:tc>
        <w:tc>
          <w:tcPr>
            <w:tcW w:w="1134" w:type="dxa"/>
            <w:vAlign w:val="center"/>
          </w:tcPr>
          <w:p w14:paraId="77DCED9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1.2</w:t>
            </w:r>
          </w:p>
        </w:tc>
        <w:tc>
          <w:tcPr>
            <w:tcW w:w="1213" w:type="dxa"/>
            <w:vAlign w:val="center"/>
          </w:tcPr>
          <w:p w14:paraId="7192ABB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84</w:t>
            </w:r>
          </w:p>
        </w:tc>
      </w:tr>
      <w:tr w:rsidR="009C353B" w14:paraId="006598F3" w14:textId="77777777">
        <w:trPr>
          <w:trHeight w:hRule="exact" w:val="397"/>
          <w:tblHeader/>
        </w:trPr>
        <w:tc>
          <w:tcPr>
            <w:tcW w:w="1668" w:type="dxa"/>
            <w:vAlign w:val="center"/>
          </w:tcPr>
          <w:p w14:paraId="7EFE301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2016</w:t>
            </w:r>
          </w:p>
        </w:tc>
        <w:tc>
          <w:tcPr>
            <w:tcW w:w="1275" w:type="dxa"/>
            <w:vAlign w:val="center"/>
          </w:tcPr>
          <w:p w14:paraId="7887841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112</w:t>
            </w:r>
          </w:p>
        </w:tc>
        <w:tc>
          <w:tcPr>
            <w:tcW w:w="1276" w:type="dxa"/>
            <w:vAlign w:val="center"/>
          </w:tcPr>
          <w:p w14:paraId="01E29CDB"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41</w:t>
            </w:r>
          </w:p>
        </w:tc>
        <w:tc>
          <w:tcPr>
            <w:tcW w:w="1276" w:type="dxa"/>
            <w:vAlign w:val="center"/>
          </w:tcPr>
          <w:p w14:paraId="6DA829D7"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27</w:t>
            </w:r>
          </w:p>
        </w:tc>
        <w:tc>
          <w:tcPr>
            <w:tcW w:w="1276" w:type="dxa"/>
            <w:vAlign w:val="center"/>
          </w:tcPr>
          <w:p w14:paraId="675A045B"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23</w:t>
            </w:r>
          </w:p>
        </w:tc>
        <w:tc>
          <w:tcPr>
            <w:tcW w:w="1134" w:type="dxa"/>
            <w:vAlign w:val="center"/>
          </w:tcPr>
          <w:p w14:paraId="0366138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w:t>
            </w:r>
          </w:p>
        </w:tc>
        <w:tc>
          <w:tcPr>
            <w:tcW w:w="1213" w:type="dxa"/>
            <w:vAlign w:val="center"/>
          </w:tcPr>
          <w:p w14:paraId="7E077D7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136</w:t>
            </w:r>
          </w:p>
        </w:tc>
      </w:tr>
      <w:tr w:rsidR="009C353B" w14:paraId="3F7F330A" w14:textId="77777777">
        <w:trPr>
          <w:trHeight w:hRule="exact" w:val="397"/>
          <w:tblHeader/>
        </w:trPr>
        <w:tc>
          <w:tcPr>
            <w:tcW w:w="1668" w:type="dxa"/>
            <w:vAlign w:val="center"/>
          </w:tcPr>
          <w:p w14:paraId="54A95DD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2017</w:t>
            </w:r>
          </w:p>
        </w:tc>
        <w:tc>
          <w:tcPr>
            <w:tcW w:w="1275" w:type="dxa"/>
            <w:vAlign w:val="center"/>
          </w:tcPr>
          <w:p w14:paraId="008210D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94</w:t>
            </w:r>
          </w:p>
        </w:tc>
        <w:tc>
          <w:tcPr>
            <w:tcW w:w="1276" w:type="dxa"/>
            <w:vAlign w:val="center"/>
          </w:tcPr>
          <w:p w14:paraId="18CC18F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37</w:t>
            </w:r>
          </w:p>
        </w:tc>
        <w:tc>
          <w:tcPr>
            <w:tcW w:w="1276" w:type="dxa"/>
            <w:vAlign w:val="center"/>
          </w:tcPr>
          <w:p w14:paraId="68E76D7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27</w:t>
            </w:r>
          </w:p>
        </w:tc>
        <w:tc>
          <w:tcPr>
            <w:tcW w:w="1276" w:type="dxa"/>
            <w:vAlign w:val="center"/>
          </w:tcPr>
          <w:p w14:paraId="115E4AA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27</w:t>
            </w:r>
          </w:p>
        </w:tc>
        <w:tc>
          <w:tcPr>
            <w:tcW w:w="1134" w:type="dxa"/>
            <w:vAlign w:val="center"/>
          </w:tcPr>
          <w:p w14:paraId="6961B1B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1.4</w:t>
            </w:r>
          </w:p>
        </w:tc>
        <w:tc>
          <w:tcPr>
            <w:tcW w:w="1213" w:type="dxa"/>
            <w:vAlign w:val="center"/>
          </w:tcPr>
          <w:p w14:paraId="63EABDC6"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159</w:t>
            </w:r>
          </w:p>
        </w:tc>
      </w:tr>
      <w:tr w:rsidR="009C353B" w14:paraId="36AF508A" w14:textId="77777777">
        <w:trPr>
          <w:trHeight w:hRule="exact" w:val="397"/>
          <w:tblHeader/>
        </w:trPr>
        <w:tc>
          <w:tcPr>
            <w:tcW w:w="1668" w:type="dxa"/>
            <w:vAlign w:val="center"/>
          </w:tcPr>
          <w:p w14:paraId="0DD5E5D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2018</w:t>
            </w:r>
          </w:p>
        </w:tc>
        <w:tc>
          <w:tcPr>
            <w:tcW w:w="1275" w:type="dxa"/>
            <w:vAlign w:val="center"/>
          </w:tcPr>
          <w:p w14:paraId="61E04A5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88</w:t>
            </w:r>
          </w:p>
        </w:tc>
        <w:tc>
          <w:tcPr>
            <w:tcW w:w="1276" w:type="dxa"/>
            <w:vAlign w:val="center"/>
          </w:tcPr>
          <w:p w14:paraId="748FE901"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31</w:t>
            </w:r>
          </w:p>
        </w:tc>
        <w:tc>
          <w:tcPr>
            <w:tcW w:w="1276" w:type="dxa"/>
            <w:vAlign w:val="center"/>
          </w:tcPr>
          <w:p w14:paraId="4FEAB49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34</w:t>
            </w:r>
          </w:p>
        </w:tc>
        <w:tc>
          <w:tcPr>
            <w:tcW w:w="1276" w:type="dxa"/>
            <w:vAlign w:val="center"/>
          </w:tcPr>
          <w:p w14:paraId="7A1DD30C"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30</w:t>
            </w:r>
          </w:p>
        </w:tc>
        <w:tc>
          <w:tcPr>
            <w:tcW w:w="1134" w:type="dxa"/>
            <w:vAlign w:val="center"/>
          </w:tcPr>
          <w:p w14:paraId="6536724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1.8</w:t>
            </w:r>
          </w:p>
        </w:tc>
        <w:tc>
          <w:tcPr>
            <w:tcW w:w="1213" w:type="dxa"/>
            <w:vAlign w:val="center"/>
          </w:tcPr>
          <w:p w14:paraId="74CB4F5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142</w:t>
            </w:r>
          </w:p>
        </w:tc>
      </w:tr>
      <w:tr w:rsidR="009C353B" w14:paraId="79BF03EB" w14:textId="77777777">
        <w:trPr>
          <w:trHeight w:hRule="exact" w:val="397"/>
          <w:tblHeader/>
        </w:trPr>
        <w:tc>
          <w:tcPr>
            <w:tcW w:w="1668" w:type="dxa"/>
            <w:vAlign w:val="center"/>
          </w:tcPr>
          <w:p w14:paraId="7EB17DE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2019</w:t>
            </w:r>
          </w:p>
        </w:tc>
        <w:tc>
          <w:tcPr>
            <w:tcW w:w="1275" w:type="dxa"/>
            <w:vAlign w:val="center"/>
          </w:tcPr>
          <w:p w14:paraId="7A37AA2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83</w:t>
            </w:r>
          </w:p>
        </w:tc>
        <w:tc>
          <w:tcPr>
            <w:tcW w:w="1276" w:type="dxa"/>
            <w:vAlign w:val="center"/>
          </w:tcPr>
          <w:p w14:paraId="4486C29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29</w:t>
            </w:r>
          </w:p>
        </w:tc>
        <w:tc>
          <w:tcPr>
            <w:tcW w:w="1276" w:type="dxa"/>
            <w:vAlign w:val="center"/>
          </w:tcPr>
          <w:p w14:paraId="00E374B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23</w:t>
            </w:r>
          </w:p>
        </w:tc>
        <w:tc>
          <w:tcPr>
            <w:tcW w:w="1276" w:type="dxa"/>
            <w:vAlign w:val="center"/>
          </w:tcPr>
          <w:p w14:paraId="31017F3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27</w:t>
            </w:r>
          </w:p>
        </w:tc>
        <w:tc>
          <w:tcPr>
            <w:tcW w:w="1134" w:type="dxa"/>
            <w:vAlign w:val="center"/>
          </w:tcPr>
          <w:p w14:paraId="217A996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1.1</w:t>
            </w:r>
          </w:p>
        </w:tc>
        <w:tc>
          <w:tcPr>
            <w:tcW w:w="1213" w:type="dxa"/>
            <w:vAlign w:val="center"/>
          </w:tcPr>
          <w:p w14:paraId="775B044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147</w:t>
            </w:r>
          </w:p>
        </w:tc>
      </w:tr>
    </w:tbl>
    <w:p w14:paraId="30064FEC" w14:textId="77777777" w:rsidR="009C353B" w:rsidRDefault="009C353B">
      <w:pPr>
        <w:adjustRightInd w:val="0"/>
        <w:snapToGrid w:val="0"/>
        <w:spacing w:line="440" w:lineRule="exact"/>
        <w:rPr>
          <w:rFonts w:ascii="Times New Roman" w:hAnsi="Times New Roman"/>
          <w:b/>
        </w:rPr>
      </w:pPr>
    </w:p>
    <w:tbl>
      <w:tblPr>
        <w:tblStyle w:val="afffb"/>
        <w:tblW w:w="0" w:type="auto"/>
        <w:jc w:val="center"/>
        <w:tblLook w:val="04A0" w:firstRow="1" w:lastRow="0" w:firstColumn="1" w:lastColumn="0" w:noHBand="0" w:noVBand="1"/>
      </w:tblPr>
      <w:tblGrid>
        <w:gridCol w:w="7476"/>
      </w:tblGrid>
      <w:tr w:rsidR="009C353B" w14:paraId="726E1731" w14:textId="77777777">
        <w:trPr>
          <w:jc w:val="center"/>
        </w:trPr>
        <w:tc>
          <w:tcPr>
            <w:tcW w:w="7476" w:type="dxa"/>
            <w:vAlign w:val="center"/>
          </w:tcPr>
          <w:p w14:paraId="7D34ECD1" w14:textId="77777777" w:rsidR="009C353B" w:rsidRDefault="00000000">
            <w:pPr>
              <w:adjustRightInd w:val="0"/>
              <w:snapToGrid w:val="0"/>
              <w:spacing w:line="360" w:lineRule="auto"/>
              <w:jc w:val="center"/>
              <w:rPr>
                <w:rFonts w:ascii="Times New Roman" w:hAnsi="Times New Roman"/>
                <w:sz w:val="21"/>
                <w:szCs w:val="21"/>
              </w:rPr>
            </w:pPr>
            <w:r>
              <w:rPr>
                <w:noProof/>
              </w:rPr>
              <w:drawing>
                <wp:inline distT="0" distB="0" distL="0" distR="0" wp14:anchorId="0A6D15BB" wp14:editId="15E76713">
                  <wp:extent cx="4572000" cy="2743200"/>
                  <wp:effectExtent l="19050" t="0" r="19050" b="0"/>
                  <wp:docPr id="483" name="图表 48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1"/>
                    </a:graphicData>
                  </a:graphic>
                </wp:inline>
              </w:drawing>
            </w:r>
          </w:p>
        </w:tc>
      </w:tr>
      <w:tr w:rsidR="009C353B" w14:paraId="3D930EA1" w14:textId="77777777">
        <w:trPr>
          <w:jc w:val="center"/>
        </w:trPr>
        <w:tc>
          <w:tcPr>
            <w:tcW w:w="7476" w:type="dxa"/>
            <w:vAlign w:val="center"/>
          </w:tcPr>
          <w:p w14:paraId="047CAA04" w14:textId="77777777" w:rsidR="009C353B" w:rsidRDefault="00000000">
            <w:pPr>
              <w:jc w:val="center"/>
              <w:rPr>
                <w:rFonts w:hint="eastAsia"/>
                <w:b/>
                <w:sz w:val="21"/>
                <w:szCs w:val="21"/>
              </w:rPr>
            </w:pPr>
            <w:r>
              <w:rPr>
                <w:rFonts w:ascii="Times New Roman" w:hAnsi="Times New Roman" w:hint="eastAsia"/>
                <w:b/>
                <w:sz w:val="21"/>
                <w:szCs w:val="21"/>
              </w:rPr>
              <w:t>区域</w:t>
            </w:r>
            <w:r>
              <w:rPr>
                <w:b/>
                <w:sz w:val="21"/>
                <w:szCs w:val="21"/>
              </w:rPr>
              <w:t>PM</w:t>
            </w:r>
            <w:r>
              <w:rPr>
                <w:b/>
                <w:sz w:val="21"/>
                <w:szCs w:val="21"/>
                <w:vertAlign w:val="subscript"/>
              </w:rPr>
              <w:t>10</w:t>
            </w:r>
            <w:r>
              <w:rPr>
                <w:rFonts w:hint="eastAsia"/>
                <w:b/>
                <w:sz w:val="21"/>
                <w:szCs w:val="21"/>
              </w:rPr>
              <w:t>变化趋势图</w:t>
            </w:r>
          </w:p>
        </w:tc>
      </w:tr>
      <w:tr w:rsidR="009C353B" w14:paraId="50C9542D" w14:textId="77777777">
        <w:trPr>
          <w:trHeight w:val="4101"/>
          <w:jc w:val="center"/>
        </w:trPr>
        <w:tc>
          <w:tcPr>
            <w:tcW w:w="7476" w:type="dxa"/>
            <w:vAlign w:val="center"/>
          </w:tcPr>
          <w:p w14:paraId="4DA512A6" w14:textId="77777777" w:rsidR="009C353B" w:rsidRDefault="00000000">
            <w:pPr>
              <w:jc w:val="center"/>
              <w:rPr>
                <w:rFonts w:ascii="Times New Roman" w:hAnsi="Times New Roman"/>
                <w:b/>
                <w:sz w:val="21"/>
                <w:szCs w:val="21"/>
              </w:rPr>
            </w:pPr>
            <w:r>
              <w:rPr>
                <w:noProof/>
              </w:rPr>
              <w:drawing>
                <wp:inline distT="0" distB="0" distL="0" distR="0" wp14:anchorId="696A09F5" wp14:editId="240CF5D7">
                  <wp:extent cx="4572000" cy="2743200"/>
                  <wp:effectExtent l="19050" t="0" r="19050" b="0"/>
                  <wp:docPr id="484" name="图表 484"/>
                  <wp:cNvGraphicFramePr/>
                  <a:graphic xmlns:a="http://schemas.openxmlformats.org/drawingml/2006/main">
                    <a:graphicData uri="http://schemas.openxmlformats.org/drawingml/2006/chart">
                      <c:chart xmlns:c="http://schemas.openxmlformats.org/drawingml/2006/chart" xmlns:r="http://schemas.openxmlformats.org/officeDocument/2006/relationships" r:id="rId312"/>
                    </a:graphicData>
                  </a:graphic>
                </wp:inline>
              </w:drawing>
            </w:r>
          </w:p>
        </w:tc>
      </w:tr>
      <w:tr w:rsidR="009C353B" w14:paraId="1AA1E387" w14:textId="77777777">
        <w:trPr>
          <w:jc w:val="center"/>
        </w:trPr>
        <w:tc>
          <w:tcPr>
            <w:tcW w:w="7476" w:type="dxa"/>
            <w:vAlign w:val="center"/>
          </w:tcPr>
          <w:p w14:paraId="56AF3570" w14:textId="77777777" w:rsidR="009C353B" w:rsidRDefault="00000000">
            <w:pPr>
              <w:jc w:val="center"/>
              <w:rPr>
                <w:rFonts w:ascii="Times New Roman" w:hAnsi="Times New Roman"/>
                <w:b/>
                <w:sz w:val="21"/>
                <w:szCs w:val="21"/>
              </w:rPr>
            </w:pPr>
            <w:r>
              <w:rPr>
                <w:rFonts w:ascii="Times New Roman" w:hAnsi="Times New Roman" w:hint="eastAsia"/>
                <w:b/>
                <w:sz w:val="21"/>
                <w:szCs w:val="21"/>
              </w:rPr>
              <w:t>区域</w:t>
            </w:r>
            <w:r>
              <w:rPr>
                <w:b/>
                <w:sz w:val="21"/>
                <w:szCs w:val="21"/>
              </w:rPr>
              <w:t>PM</w:t>
            </w:r>
            <w:r>
              <w:rPr>
                <w:b/>
                <w:sz w:val="21"/>
                <w:szCs w:val="21"/>
                <w:vertAlign w:val="subscript"/>
              </w:rPr>
              <w:t>2.5</w:t>
            </w:r>
            <w:r>
              <w:rPr>
                <w:rFonts w:hint="eastAsia"/>
                <w:b/>
                <w:sz w:val="21"/>
                <w:szCs w:val="21"/>
              </w:rPr>
              <w:t>变化趋势图</w:t>
            </w:r>
          </w:p>
        </w:tc>
      </w:tr>
      <w:tr w:rsidR="009C353B" w14:paraId="28A3DCDF" w14:textId="77777777">
        <w:trPr>
          <w:jc w:val="center"/>
        </w:trPr>
        <w:tc>
          <w:tcPr>
            <w:tcW w:w="7476" w:type="dxa"/>
            <w:vAlign w:val="center"/>
          </w:tcPr>
          <w:p w14:paraId="4FA283B7" w14:textId="77777777" w:rsidR="009C353B" w:rsidRDefault="00000000">
            <w:pPr>
              <w:jc w:val="center"/>
              <w:rPr>
                <w:rFonts w:ascii="Times New Roman" w:hAnsi="Times New Roman"/>
                <w:b/>
                <w:sz w:val="21"/>
                <w:szCs w:val="21"/>
              </w:rPr>
            </w:pPr>
            <w:r>
              <w:rPr>
                <w:noProof/>
              </w:rPr>
              <w:drawing>
                <wp:inline distT="0" distB="0" distL="0" distR="0" wp14:anchorId="203FF9EC" wp14:editId="51638AC8">
                  <wp:extent cx="4572000" cy="2552700"/>
                  <wp:effectExtent l="0" t="0" r="0" b="0"/>
                  <wp:docPr id="485" name="图表 48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3"/>
                    </a:graphicData>
                  </a:graphic>
                </wp:inline>
              </w:drawing>
            </w:r>
          </w:p>
        </w:tc>
      </w:tr>
      <w:tr w:rsidR="009C353B" w14:paraId="5D6A60E9" w14:textId="77777777">
        <w:trPr>
          <w:jc w:val="center"/>
        </w:trPr>
        <w:tc>
          <w:tcPr>
            <w:tcW w:w="7476" w:type="dxa"/>
            <w:vAlign w:val="center"/>
          </w:tcPr>
          <w:p w14:paraId="315D253D" w14:textId="77777777" w:rsidR="009C353B" w:rsidRDefault="00000000">
            <w:pPr>
              <w:jc w:val="center"/>
              <w:rPr>
                <w:rFonts w:ascii="Times New Roman" w:hAnsi="Times New Roman"/>
                <w:b/>
                <w:sz w:val="21"/>
                <w:szCs w:val="21"/>
              </w:rPr>
            </w:pPr>
            <w:r>
              <w:rPr>
                <w:rFonts w:ascii="Times New Roman" w:hAnsi="Times New Roman" w:hint="eastAsia"/>
                <w:b/>
                <w:sz w:val="21"/>
                <w:szCs w:val="21"/>
              </w:rPr>
              <w:t>区域</w:t>
            </w:r>
            <w:r>
              <w:rPr>
                <w:rFonts w:hint="eastAsia"/>
                <w:b/>
                <w:sz w:val="21"/>
                <w:szCs w:val="21"/>
              </w:rPr>
              <w:t>SO</w:t>
            </w:r>
            <w:r>
              <w:rPr>
                <w:b/>
                <w:sz w:val="21"/>
                <w:szCs w:val="21"/>
                <w:vertAlign w:val="subscript"/>
              </w:rPr>
              <w:t>2</w:t>
            </w:r>
            <w:r>
              <w:rPr>
                <w:rFonts w:hint="eastAsia"/>
                <w:b/>
                <w:sz w:val="21"/>
                <w:szCs w:val="21"/>
              </w:rPr>
              <w:t>变化趋势图</w:t>
            </w:r>
          </w:p>
        </w:tc>
      </w:tr>
      <w:tr w:rsidR="009C353B" w14:paraId="17A2F06F" w14:textId="77777777">
        <w:trPr>
          <w:jc w:val="center"/>
        </w:trPr>
        <w:tc>
          <w:tcPr>
            <w:tcW w:w="7476" w:type="dxa"/>
            <w:vAlign w:val="center"/>
          </w:tcPr>
          <w:p w14:paraId="5514BCFC" w14:textId="77777777" w:rsidR="009C353B" w:rsidRDefault="00000000">
            <w:pPr>
              <w:jc w:val="center"/>
              <w:rPr>
                <w:rFonts w:ascii="Times New Roman" w:hAnsi="Times New Roman"/>
                <w:b/>
                <w:sz w:val="21"/>
                <w:szCs w:val="21"/>
              </w:rPr>
            </w:pPr>
            <w:r>
              <w:rPr>
                <w:noProof/>
              </w:rPr>
              <w:drawing>
                <wp:inline distT="0" distB="0" distL="0" distR="0" wp14:anchorId="72CFEF66" wp14:editId="2E20069B">
                  <wp:extent cx="4572000" cy="2606040"/>
                  <wp:effectExtent l="0" t="0" r="0" b="3810"/>
                  <wp:docPr id="486" name="图表 48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4"/>
                    </a:graphicData>
                  </a:graphic>
                </wp:inline>
              </w:drawing>
            </w:r>
          </w:p>
        </w:tc>
      </w:tr>
      <w:tr w:rsidR="009C353B" w14:paraId="38C3C454" w14:textId="77777777">
        <w:trPr>
          <w:jc w:val="center"/>
        </w:trPr>
        <w:tc>
          <w:tcPr>
            <w:tcW w:w="7476" w:type="dxa"/>
            <w:vAlign w:val="center"/>
          </w:tcPr>
          <w:p w14:paraId="60EE807A" w14:textId="77777777" w:rsidR="009C353B" w:rsidRDefault="00000000">
            <w:pPr>
              <w:jc w:val="center"/>
              <w:rPr>
                <w:rFonts w:ascii="Times New Roman" w:hAnsi="Times New Roman"/>
                <w:b/>
                <w:sz w:val="21"/>
                <w:szCs w:val="21"/>
              </w:rPr>
            </w:pPr>
            <w:r>
              <w:rPr>
                <w:rFonts w:ascii="Times New Roman" w:hAnsi="Times New Roman" w:hint="eastAsia"/>
                <w:b/>
                <w:sz w:val="21"/>
                <w:szCs w:val="21"/>
              </w:rPr>
              <w:t>区域</w:t>
            </w:r>
            <w:r>
              <w:rPr>
                <w:rFonts w:hint="eastAsia"/>
                <w:b/>
                <w:sz w:val="21"/>
                <w:szCs w:val="21"/>
              </w:rPr>
              <w:t>NO</w:t>
            </w:r>
            <w:r>
              <w:rPr>
                <w:b/>
                <w:sz w:val="21"/>
                <w:szCs w:val="21"/>
                <w:vertAlign w:val="subscript"/>
              </w:rPr>
              <w:t>2</w:t>
            </w:r>
            <w:r>
              <w:rPr>
                <w:rFonts w:hint="eastAsia"/>
                <w:b/>
                <w:sz w:val="21"/>
                <w:szCs w:val="21"/>
              </w:rPr>
              <w:t>变化趋势图</w:t>
            </w:r>
          </w:p>
        </w:tc>
      </w:tr>
      <w:tr w:rsidR="009C353B" w14:paraId="0D2AC236" w14:textId="77777777">
        <w:trPr>
          <w:jc w:val="center"/>
        </w:trPr>
        <w:tc>
          <w:tcPr>
            <w:tcW w:w="7476" w:type="dxa"/>
            <w:vAlign w:val="center"/>
          </w:tcPr>
          <w:p w14:paraId="494F9598" w14:textId="77777777" w:rsidR="009C353B" w:rsidRDefault="00000000">
            <w:pPr>
              <w:jc w:val="center"/>
              <w:rPr>
                <w:rFonts w:ascii="Times New Roman" w:hAnsi="Times New Roman"/>
                <w:b/>
                <w:sz w:val="21"/>
                <w:szCs w:val="21"/>
              </w:rPr>
            </w:pPr>
            <w:r>
              <w:rPr>
                <w:noProof/>
              </w:rPr>
              <w:drawing>
                <wp:inline distT="0" distB="0" distL="0" distR="0" wp14:anchorId="1DAA272D" wp14:editId="23ADAC09">
                  <wp:extent cx="4572000" cy="2743200"/>
                  <wp:effectExtent l="19050" t="0" r="19050" b="0"/>
                  <wp:docPr id="487" name="图表 48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5"/>
                    </a:graphicData>
                  </a:graphic>
                </wp:inline>
              </w:drawing>
            </w:r>
          </w:p>
        </w:tc>
      </w:tr>
      <w:tr w:rsidR="009C353B" w14:paraId="2E69D16F" w14:textId="77777777">
        <w:trPr>
          <w:jc w:val="center"/>
        </w:trPr>
        <w:tc>
          <w:tcPr>
            <w:tcW w:w="7476" w:type="dxa"/>
            <w:vAlign w:val="center"/>
          </w:tcPr>
          <w:p w14:paraId="3C694ADD" w14:textId="77777777" w:rsidR="009C353B" w:rsidRDefault="00000000">
            <w:pPr>
              <w:jc w:val="center"/>
              <w:rPr>
                <w:rFonts w:ascii="Times New Roman" w:hAnsi="Times New Roman"/>
                <w:b/>
                <w:sz w:val="21"/>
                <w:szCs w:val="21"/>
              </w:rPr>
            </w:pPr>
            <w:r>
              <w:rPr>
                <w:rFonts w:ascii="Times New Roman" w:hAnsi="Times New Roman" w:hint="eastAsia"/>
                <w:b/>
                <w:sz w:val="21"/>
                <w:szCs w:val="21"/>
              </w:rPr>
              <w:t>区域</w:t>
            </w:r>
            <w:r>
              <w:rPr>
                <w:rFonts w:hint="eastAsia"/>
                <w:b/>
                <w:sz w:val="21"/>
                <w:szCs w:val="21"/>
              </w:rPr>
              <w:t>CO变化趋势图</w:t>
            </w:r>
          </w:p>
        </w:tc>
      </w:tr>
      <w:tr w:rsidR="009C353B" w14:paraId="52F274AE" w14:textId="77777777">
        <w:trPr>
          <w:jc w:val="center"/>
        </w:trPr>
        <w:tc>
          <w:tcPr>
            <w:tcW w:w="7476" w:type="dxa"/>
            <w:vAlign w:val="center"/>
          </w:tcPr>
          <w:p w14:paraId="2C945E4D" w14:textId="77777777" w:rsidR="009C353B" w:rsidRDefault="00000000">
            <w:pPr>
              <w:jc w:val="center"/>
              <w:rPr>
                <w:rFonts w:ascii="Times New Roman" w:hAnsi="Times New Roman"/>
                <w:b/>
                <w:sz w:val="21"/>
                <w:szCs w:val="21"/>
              </w:rPr>
            </w:pPr>
            <w:r>
              <w:rPr>
                <w:noProof/>
              </w:rPr>
              <w:drawing>
                <wp:inline distT="0" distB="0" distL="0" distR="0" wp14:anchorId="58ADA212" wp14:editId="182F6D59">
                  <wp:extent cx="4572000" cy="2397125"/>
                  <wp:effectExtent l="0" t="0" r="0" b="3175"/>
                  <wp:docPr id="488" name="图表 488"/>
                  <wp:cNvGraphicFramePr/>
                  <a:graphic xmlns:a="http://schemas.openxmlformats.org/drawingml/2006/main">
                    <a:graphicData uri="http://schemas.openxmlformats.org/drawingml/2006/chart">
                      <c:chart xmlns:c="http://schemas.openxmlformats.org/drawingml/2006/chart" xmlns:r="http://schemas.openxmlformats.org/officeDocument/2006/relationships" r:id="rId316"/>
                    </a:graphicData>
                  </a:graphic>
                </wp:inline>
              </w:drawing>
            </w:r>
          </w:p>
        </w:tc>
      </w:tr>
      <w:tr w:rsidR="009C353B" w14:paraId="6EA0AC04" w14:textId="77777777">
        <w:trPr>
          <w:jc w:val="center"/>
        </w:trPr>
        <w:tc>
          <w:tcPr>
            <w:tcW w:w="7476" w:type="dxa"/>
            <w:vAlign w:val="center"/>
          </w:tcPr>
          <w:p w14:paraId="3A7326B4" w14:textId="77777777" w:rsidR="009C353B" w:rsidRDefault="00000000">
            <w:pPr>
              <w:jc w:val="center"/>
              <w:rPr>
                <w:rFonts w:ascii="Times New Roman" w:hAnsi="Times New Roman"/>
                <w:b/>
                <w:sz w:val="21"/>
                <w:szCs w:val="21"/>
              </w:rPr>
            </w:pPr>
            <w:r>
              <w:rPr>
                <w:rFonts w:ascii="Times New Roman" w:hAnsi="Times New Roman" w:hint="eastAsia"/>
                <w:b/>
                <w:sz w:val="21"/>
                <w:szCs w:val="21"/>
              </w:rPr>
              <w:t>区域</w:t>
            </w:r>
            <w:r>
              <w:rPr>
                <w:rFonts w:hint="eastAsia"/>
                <w:b/>
                <w:sz w:val="21"/>
                <w:szCs w:val="21"/>
              </w:rPr>
              <w:t>O</w:t>
            </w:r>
            <w:r>
              <w:rPr>
                <w:b/>
                <w:sz w:val="21"/>
                <w:szCs w:val="21"/>
                <w:vertAlign w:val="subscript"/>
              </w:rPr>
              <w:t>3</w:t>
            </w:r>
            <w:r>
              <w:rPr>
                <w:rFonts w:hint="eastAsia"/>
                <w:b/>
                <w:sz w:val="21"/>
                <w:szCs w:val="21"/>
              </w:rPr>
              <w:t>变化趋势图</w:t>
            </w:r>
          </w:p>
        </w:tc>
      </w:tr>
    </w:tbl>
    <w:p w14:paraId="24F4137C" w14:textId="77777777" w:rsidR="009C353B" w:rsidRDefault="00000000">
      <w:pPr>
        <w:adjustRightInd w:val="0"/>
        <w:snapToGrid w:val="0"/>
        <w:spacing w:line="440" w:lineRule="exact"/>
        <w:jc w:val="center"/>
        <w:rPr>
          <w:rFonts w:ascii="Times New Roman" w:hint="eastAsia"/>
          <w:b/>
          <w:bCs/>
          <w:szCs w:val="24"/>
        </w:rPr>
      </w:pPr>
      <w:r>
        <w:rPr>
          <w:rFonts w:ascii="Times New Roman" w:hint="eastAsia"/>
          <w:b/>
          <w:bCs/>
          <w:szCs w:val="24"/>
        </w:rPr>
        <w:t>图</w:t>
      </w:r>
      <w:r>
        <w:rPr>
          <w:rFonts w:ascii="Times New Roman" w:hint="eastAsia"/>
          <w:b/>
          <w:bCs/>
          <w:szCs w:val="24"/>
        </w:rPr>
        <w:t>4</w:t>
      </w:r>
      <w:r>
        <w:rPr>
          <w:rFonts w:ascii="Times New Roman"/>
          <w:b/>
          <w:bCs/>
          <w:szCs w:val="24"/>
        </w:rPr>
        <w:t>.3</w:t>
      </w:r>
      <w:r>
        <w:rPr>
          <w:rFonts w:ascii="Times New Roman" w:hint="eastAsia"/>
          <w:b/>
          <w:bCs/>
          <w:szCs w:val="24"/>
        </w:rPr>
        <w:t>-</w:t>
      </w:r>
      <w:r>
        <w:rPr>
          <w:rFonts w:ascii="Times New Roman"/>
          <w:b/>
          <w:bCs/>
          <w:szCs w:val="24"/>
        </w:rPr>
        <w:t xml:space="preserve">1  </w:t>
      </w:r>
      <w:r>
        <w:rPr>
          <w:rFonts w:ascii="Times New Roman" w:hint="eastAsia"/>
          <w:b/>
          <w:bCs/>
          <w:szCs w:val="24"/>
        </w:rPr>
        <w:t>区域环境空气质量监测因子变化趋势图</w:t>
      </w:r>
    </w:p>
    <w:p w14:paraId="429C439B" w14:textId="77777777" w:rsidR="009C353B" w:rsidRDefault="00000000">
      <w:pPr>
        <w:adjustRightInd w:val="0"/>
        <w:snapToGrid w:val="0"/>
        <w:spacing w:line="440" w:lineRule="exact"/>
        <w:jc w:val="right"/>
        <w:rPr>
          <w:rFonts w:ascii="Times New Roman" w:hAnsi="Times New Roman"/>
          <w:szCs w:val="24"/>
        </w:rPr>
      </w:pPr>
      <w:r>
        <w:rPr>
          <w:rFonts w:ascii="Times New Roman" w:hAnsi="Times New Roman" w:hint="eastAsia"/>
          <w:b/>
        </w:rPr>
        <w:t>宁东基地现代化煤化工产业示范区环境空气质量补充监测数据（日均浓度）</w:t>
      </w:r>
      <w:r>
        <w:rPr>
          <w:rFonts w:ascii="Times New Roman" w:hAnsi="Times New Roman" w:hint="eastAsia"/>
          <w:szCs w:val="24"/>
        </w:rPr>
        <w:t xml:space="preserve">                               </w:t>
      </w:r>
      <w:r>
        <w:rPr>
          <w:rFonts w:ascii="Times New Roman" w:hAnsi="Times New Roman"/>
          <w:szCs w:val="24"/>
        </w:rPr>
        <w:t xml:space="preserve">       </w:t>
      </w:r>
      <w:r>
        <w:rPr>
          <w:rFonts w:ascii="Times New Roman" w:hAnsi="Times New Roman" w:hint="eastAsia"/>
          <w:szCs w:val="24"/>
        </w:rPr>
        <w:t>表</w:t>
      </w:r>
      <w:r>
        <w:rPr>
          <w:rFonts w:ascii="Times New Roman" w:hAnsi="Times New Roman" w:hint="eastAsia"/>
          <w:szCs w:val="24"/>
        </w:rPr>
        <w:t>4.3-4</w:t>
      </w:r>
      <w:r>
        <w:rPr>
          <w:rFonts w:ascii="Times New Roman" w:hAnsi="Times New Roman"/>
          <w:szCs w:val="24"/>
        </w:rPr>
        <w:t xml:space="preserve">                                         </w:t>
      </w:r>
      <w:r>
        <w:rPr>
          <w:rFonts w:ascii="Times New Roman" w:hAnsi="Times New Roman" w:hint="eastAsia"/>
          <w:szCs w:val="24"/>
        </w:rPr>
        <w:t>单位：</w:t>
      </w:r>
      <w:r>
        <w:rPr>
          <w:rFonts w:ascii="Times New Roman" w:hAnsi="Times New Roman" w:hint="eastAsia"/>
          <w:szCs w:val="24"/>
        </w:rPr>
        <w:t>CO</w:t>
      </w:r>
      <w:r>
        <w:rPr>
          <w:rFonts w:ascii="Times New Roman" w:hAnsi="Times New Roman" w:hint="eastAsia"/>
          <w:szCs w:val="24"/>
        </w:rPr>
        <w:t>为</w:t>
      </w:r>
      <w:r>
        <w:rPr>
          <w:rFonts w:ascii="Times New Roman" w:hAnsi="Times New Roman"/>
          <w:bCs/>
          <w:szCs w:val="24"/>
        </w:rPr>
        <w:t>mg/m</w:t>
      </w:r>
      <w:r>
        <w:rPr>
          <w:rFonts w:ascii="Times New Roman" w:hAnsi="Times New Roman"/>
          <w:bCs/>
          <w:szCs w:val="24"/>
          <w:vertAlign w:val="superscript"/>
        </w:rPr>
        <w:t>3</w:t>
      </w:r>
      <w:r>
        <w:rPr>
          <w:rFonts w:ascii="Times New Roman" w:hAnsi="Times New Roman" w:hint="eastAsia"/>
          <w:bCs/>
          <w:szCs w:val="24"/>
        </w:rPr>
        <w:t>，</w:t>
      </w:r>
      <w:r>
        <w:rPr>
          <w:rFonts w:ascii="Times New Roman" w:hAnsi="Times New Roman"/>
          <w:bCs/>
          <w:szCs w:val="24"/>
        </w:rPr>
        <w:t>其余为</w:t>
      </w:r>
      <w:r>
        <w:rPr>
          <w:rFonts w:ascii="Times New Roman" w:hAnsi="Times New Roman" w:hint="eastAsia"/>
          <w:bCs/>
          <w:szCs w:val="24"/>
        </w:rPr>
        <w:t>u</w:t>
      </w:r>
      <w:r>
        <w:rPr>
          <w:rFonts w:ascii="Times New Roman" w:hAnsi="Times New Roman"/>
          <w:bCs/>
          <w:szCs w:val="24"/>
        </w:rPr>
        <w:t>g/m</w:t>
      </w:r>
      <w:r>
        <w:rPr>
          <w:rFonts w:ascii="Times New Roman" w:hAnsi="Times New Roman"/>
          <w:bCs/>
          <w:szCs w:val="24"/>
          <w:vertAlign w:val="superscript"/>
        </w:rPr>
        <w:t>3</w:t>
      </w:r>
    </w:p>
    <w:tbl>
      <w:tblPr>
        <w:tblStyle w:val="afffb"/>
        <w:tblW w:w="9498" w:type="dxa"/>
        <w:tblInd w:w="-176" w:type="dxa"/>
        <w:tblLayout w:type="fixed"/>
        <w:tblLook w:val="04A0" w:firstRow="1" w:lastRow="0" w:firstColumn="1" w:lastColumn="0" w:noHBand="0" w:noVBand="1"/>
      </w:tblPr>
      <w:tblGrid>
        <w:gridCol w:w="2836"/>
        <w:gridCol w:w="1559"/>
        <w:gridCol w:w="851"/>
        <w:gridCol w:w="850"/>
        <w:gridCol w:w="851"/>
        <w:gridCol w:w="850"/>
        <w:gridCol w:w="851"/>
        <w:gridCol w:w="850"/>
      </w:tblGrid>
      <w:tr w:rsidR="009C353B" w14:paraId="43702B94" w14:textId="77777777">
        <w:trPr>
          <w:trHeight w:val="390"/>
        </w:trPr>
        <w:tc>
          <w:tcPr>
            <w:tcW w:w="2836" w:type="dxa"/>
            <w:vAlign w:val="center"/>
          </w:tcPr>
          <w:p w14:paraId="7FDA56B0" w14:textId="77777777" w:rsidR="009C353B" w:rsidRDefault="00000000">
            <w:pPr>
              <w:adjustRightInd w:val="0"/>
              <w:snapToGrid w:val="0"/>
              <w:jc w:val="center"/>
              <w:rPr>
                <w:rFonts w:ascii="Times New Roman" w:hAnsi="Times New Roman"/>
                <w:sz w:val="21"/>
                <w:szCs w:val="21"/>
              </w:rPr>
            </w:pPr>
            <w:r>
              <w:rPr>
                <w:rFonts w:ascii="Times New Roman"/>
                <w:sz w:val="21"/>
                <w:szCs w:val="21"/>
              </w:rPr>
              <w:t>监测点</w:t>
            </w:r>
          </w:p>
        </w:tc>
        <w:tc>
          <w:tcPr>
            <w:tcW w:w="1559" w:type="dxa"/>
            <w:vAlign w:val="center"/>
          </w:tcPr>
          <w:p w14:paraId="763CA5C8" w14:textId="77777777" w:rsidR="009C353B" w:rsidRDefault="00000000">
            <w:pPr>
              <w:adjustRightInd w:val="0"/>
              <w:snapToGrid w:val="0"/>
              <w:jc w:val="center"/>
              <w:rPr>
                <w:rFonts w:ascii="Times New Roman" w:hAnsi="Times New Roman"/>
                <w:sz w:val="21"/>
                <w:szCs w:val="21"/>
              </w:rPr>
            </w:pPr>
            <w:r>
              <w:rPr>
                <w:rFonts w:ascii="Times New Roman"/>
                <w:sz w:val="21"/>
                <w:szCs w:val="21"/>
              </w:rPr>
              <w:t>时间</w:t>
            </w:r>
          </w:p>
        </w:tc>
        <w:tc>
          <w:tcPr>
            <w:tcW w:w="851" w:type="dxa"/>
            <w:vAlign w:val="center"/>
          </w:tcPr>
          <w:p w14:paraId="0FB0CFA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tc>
        <w:tc>
          <w:tcPr>
            <w:tcW w:w="850" w:type="dxa"/>
            <w:vAlign w:val="center"/>
          </w:tcPr>
          <w:p w14:paraId="0D1A5BF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NO</w:t>
            </w:r>
            <w:r>
              <w:rPr>
                <w:rFonts w:ascii="Times New Roman" w:hAnsi="Times New Roman"/>
                <w:sz w:val="21"/>
                <w:szCs w:val="21"/>
                <w:vertAlign w:val="subscript"/>
              </w:rPr>
              <w:t>2</w:t>
            </w:r>
          </w:p>
        </w:tc>
        <w:tc>
          <w:tcPr>
            <w:tcW w:w="851" w:type="dxa"/>
            <w:vAlign w:val="center"/>
          </w:tcPr>
          <w:p w14:paraId="4745B0B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CO</w:t>
            </w:r>
          </w:p>
        </w:tc>
        <w:tc>
          <w:tcPr>
            <w:tcW w:w="850" w:type="dxa"/>
            <w:vAlign w:val="center"/>
          </w:tcPr>
          <w:p w14:paraId="579A6FD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10</w:t>
            </w:r>
          </w:p>
        </w:tc>
        <w:tc>
          <w:tcPr>
            <w:tcW w:w="851" w:type="dxa"/>
            <w:vAlign w:val="center"/>
          </w:tcPr>
          <w:p w14:paraId="5AC09C5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2.5</w:t>
            </w:r>
          </w:p>
        </w:tc>
        <w:tc>
          <w:tcPr>
            <w:tcW w:w="850" w:type="dxa"/>
            <w:vAlign w:val="center"/>
          </w:tcPr>
          <w:p w14:paraId="2A3B63C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O</w:t>
            </w:r>
            <w:r>
              <w:rPr>
                <w:rFonts w:ascii="Times New Roman" w:hAnsi="Times New Roman"/>
                <w:sz w:val="21"/>
                <w:szCs w:val="21"/>
                <w:vertAlign w:val="subscript"/>
              </w:rPr>
              <w:t>3</w:t>
            </w:r>
          </w:p>
        </w:tc>
      </w:tr>
      <w:tr w:rsidR="009C353B" w14:paraId="2D56ECE8" w14:textId="77777777">
        <w:trPr>
          <w:trHeight w:val="411"/>
        </w:trPr>
        <w:tc>
          <w:tcPr>
            <w:tcW w:w="2836" w:type="dxa"/>
            <w:vAlign w:val="center"/>
          </w:tcPr>
          <w:p w14:paraId="41449585" w14:textId="77777777" w:rsidR="009C353B" w:rsidRDefault="00000000">
            <w:pPr>
              <w:adjustRightInd w:val="0"/>
              <w:snapToGrid w:val="0"/>
              <w:jc w:val="center"/>
              <w:rPr>
                <w:rFonts w:ascii="Times New Roman" w:hAnsi="Times New Roman"/>
                <w:sz w:val="21"/>
                <w:szCs w:val="21"/>
              </w:rPr>
            </w:pPr>
            <w:r>
              <w:rPr>
                <w:rFonts w:ascii="Times New Roman"/>
                <w:sz w:val="21"/>
                <w:szCs w:val="21"/>
              </w:rPr>
              <w:t>张家窑</w:t>
            </w:r>
          </w:p>
        </w:tc>
        <w:tc>
          <w:tcPr>
            <w:tcW w:w="1559" w:type="dxa"/>
            <w:vMerge w:val="restart"/>
            <w:vAlign w:val="center"/>
          </w:tcPr>
          <w:p w14:paraId="7F28F77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2018</w:t>
            </w:r>
            <w:r>
              <w:rPr>
                <w:rFonts w:ascii="Times New Roman"/>
                <w:sz w:val="21"/>
                <w:szCs w:val="21"/>
              </w:rPr>
              <w:t>年</w:t>
            </w:r>
            <w:r>
              <w:rPr>
                <w:rFonts w:ascii="Times New Roman" w:hAnsi="Times New Roman"/>
                <w:sz w:val="21"/>
                <w:szCs w:val="21"/>
              </w:rPr>
              <w:t>12</w:t>
            </w:r>
            <w:r>
              <w:rPr>
                <w:rFonts w:ascii="Times New Roman"/>
                <w:sz w:val="21"/>
                <w:szCs w:val="21"/>
              </w:rPr>
              <w:t>月</w:t>
            </w:r>
            <w:r>
              <w:rPr>
                <w:rFonts w:ascii="Times New Roman" w:hAnsi="Times New Roman"/>
                <w:sz w:val="21"/>
                <w:szCs w:val="21"/>
              </w:rPr>
              <w:t>18</w:t>
            </w:r>
            <w:r>
              <w:rPr>
                <w:rFonts w:ascii="Times New Roman"/>
                <w:sz w:val="21"/>
                <w:szCs w:val="21"/>
              </w:rPr>
              <w:t>日至</w:t>
            </w:r>
            <w:r>
              <w:rPr>
                <w:rFonts w:ascii="Times New Roman" w:hAnsi="Times New Roman"/>
                <w:sz w:val="21"/>
                <w:szCs w:val="21"/>
              </w:rPr>
              <w:t>2019</w:t>
            </w:r>
            <w:r>
              <w:rPr>
                <w:rFonts w:ascii="Times New Roman"/>
                <w:sz w:val="21"/>
                <w:szCs w:val="21"/>
              </w:rPr>
              <w:t>年</w:t>
            </w:r>
            <w:r>
              <w:rPr>
                <w:rFonts w:ascii="Times New Roman" w:hAnsi="Times New Roman"/>
                <w:sz w:val="21"/>
                <w:szCs w:val="21"/>
              </w:rPr>
              <w:t>1</w:t>
            </w:r>
            <w:r>
              <w:rPr>
                <w:rFonts w:ascii="Times New Roman"/>
                <w:sz w:val="21"/>
                <w:szCs w:val="21"/>
              </w:rPr>
              <w:t>月</w:t>
            </w:r>
            <w:r>
              <w:rPr>
                <w:rFonts w:ascii="Times New Roman" w:hAnsi="Times New Roman"/>
                <w:sz w:val="21"/>
                <w:szCs w:val="21"/>
              </w:rPr>
              <w:t>9</w:t>
            </w:r>
            <w:r>
              <w:rPr>
                <w:rFonts w:ascii="Times New Roman"/>
                <w:sz w:val="21"/>
                <w:szCs w:val="21"/>
              </w:rPr>
              <w:t>日</w:t>
            </w:r>
          </w:p>
        </w:tc>
        <w:tc>
          <w:tcPr>
            <w:tcW w:w="851" w:type="dxa"/>
            <w:vAlign w:val="center"/>
          </w:tcPr>
          <w:p w14:paraId="61AA7C8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14</w:t>
            </w:r>
          </w:p>
        </w:tc>
        <w:tc>
          <w:tcPr>
            <w:tcW w:w="850" w:type="dxa"/>
            <w:vAlign w:val="center"/>
          </w:tcPr>
          <w:p w14:paraId="6477267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21</w:t>
            </w:r>
          </w:p>
        </w:tc>
        <w:tc>
          <w:tcPr>
            <w:tcW w:w="851" w:type="dxa"/>
            <w:vAlign w:val="center"/>
          </w:tcPr>
          <w:p w14:paraId="4A0BBFF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1.26</w:t>
            </w:r>
          </w:p>
        </w:tc>
        <w:tc>
          <w:tcPr>
            <w:tcW w:w="850" w:type="dxa"/>
            <w:vAlign w:val="center"/>
          </w:tcPr>
          <w:p w14:paraId="3FD0D9B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110</w:t>
            </w:r>
          </w:p>
        </w:tc>
        <w:tc>
          <w:tcPr>
            <w:tcW w:w="851" w:type="dxa"/>
            <w:vAlign w:val="center"/>
          </w:tcPr>
          <w:p w14:paraId="4A3D6A5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50</w:t>
            </w:r>
          </w:p>
        </w:tc>
        <w:tc>
          <w:tcPr>
            <w:tcW w:w="850" w:type="dxa"/>
            <w:vAlign w:val="center"/>
          </w:tcPr>
          <w:p w14:paraId="3126820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29</w:t>
            </w:r>
          </w:p>
        </w:tc>
      </w:tr>
      <w:tr w:rsidR="009C353B" w14:paraId="47E91A61" w14:textId="77777777">
        <w:trPr>
          <w:trHeight w:val="416"/>
        </w:trPr>
        <w:tc>
          <w:tcPr>
            <w:tcW w:w="2836" w:type="dxa"/>
            <w:vAlign w:val="center"/>
          </w:tcPr>
          <w:p w14:paraId="7ACB5A1E" w14:textId="77777777" w:rsidR="009C353B" w:rsidRDefault="00000000">
            <w:pPr>
              <w:adjustRightInd w:val="0"/>
              <w:snapToGrid w:val="0"/>
              <w:jc w:val="center"/>
              <w:rPr>
                <w:rFonts w:ascii="Times New Roman" w:hAnsi="Times New Roman"/>
                <w:sz w:val="21"/>
                <w:szCs w:val="21"/>
              </w:rPr>
            </w:pPr>
            <w:r>
              <w:rPr>
                <w:rFonts w:ascii="Times New Roman"/>
                <w:sz w:val="21"/>
                <w:szCs w:val="21"/>
              </w:rPr>
              <w:t>白芨滩自然保护区试验区</w:t>
            </w:r>
          </w:p>
        </w:tc>
        <w:tc>
          <w:tcPr>
            <w:tcW w:w="1559" w:type="dxa"/>
            <w:vMerge/>
            <w:vAlign w:val="center"/>
          </w:tcPr>
          <w:p w14:paraId="664D28EE" w14:textId="77777777" w:rsidR="009C353B" w:rsidRDefault="009C353B">
            <w:pPr>
              <w:adjustRightInd w:val="0"/>
              <w:snapToGrid w:val="0"/>
              <w:jc w:val="center"/>
              <w:rPr>
                <w:rFonts w:ascii="Times New Roman" w:hAnsi="Times New Roman"/>
                <w:sz w:val="21"/>
                <w:szCs w:val="21"/>
              </w:rPr>
            </w:pPr>
          </w:p>
        </w:tc>
        <w:tc>
          <w:tcPr>
            <w:tcW w:w="851" w:type="dxa"/>
            <w:vAlign w:val="center"/>
          </w:tcPr>
          <w:p w14:paraId="3928325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9</w:t>
            </w:r>
          </w:p>
        </w:tc>
        <w:tc>
          <w:tcPr>
            <w:tcW w:w="850" w:type="dxa"/>
            <w:vAlign w:val="center"/>
          </w:tcPr>
          <w:p w14:paraId="5620F5F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18</w:t>
            </w:r>
          </w:p>
        </w:tc>
        <w:tc>
          <w:tcPr>
            <w:tcW w:w="851" w:type="dxa"/>
            <w:vAlign w:val="center"/>
          </w:tcPr>
          <w:p w14:paraId="49882EC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1.23</w:t>
            </w:r>
          </w:p>
        </w:tc>
        <w:tc>
          <w:tcPr>
            <w:tcW w:w="850" w:type="dxa"/>
            <w:vAlign w:val="center"/>
          </w:tcPr>
          <w:p w14:paraId="0877C81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46</w:t>
            </w:r>
          </w:p>
        </w:tc>
        <w:tc>
          <w:tcPr>
            <w:tcW w:w="851" w:type="dxa"/>
            <w:vAlign w:val="center"/>
          </w:tcPr>
          <w:p w14:paraId="7644B40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33</w:t>
            </w:r>
          </w:p>
        </w:tc>
        <w:tc>
          <w:tcPr>
            <w:tcW w:w="850" w:type="dxa"/>
            <w:vAlign w:val="center"/>
          </w:tcPr>
          <w:p w14:paraId="44BAA8C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32</w:t>
            </w:r>
          </w:p>
        </w:tc>
      </w:tr>
      <w:tr w:rsidR="009C353B" w14:paraId="78089A5F" w14:textId="77777777">
        <w:trPr>
          <w:trHeight w:val="421"/>
        </w:trPr>
        <w:tc>
          <w:tcPr>
            <w:tcW w:w="2836" w:type="dxa"/>
            <w:vAlign w:val="center"/>
          </w:tcPr>
          <w:p w14:paraId="54A5D766" w14:textId="77777777" w:rsidR="009C353B" w:rsidRDefault="00000000">
            <w:pPr>
              <w:adjustRightInd w:val="0"/>
              <w:snapToGrid w:val="0"/>
              <w:jc w:val="center"/>
              <w:rPr>
                <w:rFonts w:ascii="Times New Roman" w:hAnsi="Times New Roman"/>
                <w:sz w:val="21"/>
                <w:szCs w:val="21"/>
              </w:rPr>
            </w:pPr>
            <w:r>
              <w:rPr>
                <w:rFonts w:ascii="Times New Roman"/>
                <w:sz w:val="21"/>
                <w:szCs w:val="21"/>
              </w:rPr>
              <w:t>水洞沟风井名胜区</w:t>
            </w:r>
          </w:p>
        </w:tc>
        <w:tc>
          <w:tcPr>
            <w:tcW w:w="1559" w:type="dxa"/>
            <w:vMerge/>
            <w:vAlign w:val="center"/>
          </w:tcPr>
          <w:p w14:paraId="79454DED" w14:textId="77777777" w:rsidR="009C353B" w:rsidRDefault="009C353B">
            <w:pPr>
              <w:adjustRightInd w:val="0"/>
              <w:snapToGrid w:val="0"/>
              <w:jc w:val="center"/>
              <w:rPr>
                <w:rFonts w:ascii="Times New Roman" w:hAnsi="Times New Roman"/>
                <w:sz w:val="21"/>
                <w:szCs w:val="21"/>
              </w:rPr>
            </w:pPr>
          </w:p>
        </w:tc>
        <w:tc>
          <w:tcPr>
            <w:tcW w:w="851" w:type="dxa"/>
            <w:vAlign w:val="center"/>
          </w:tcPr>
          <w:p w14:paraId="72CB702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10</w:t>
            </w:r>
          </w:p>
        </w:tc>
        <w:tc>
          <w:tcPr>
            <w:tcW w:w="850" w:type="dxa"/>
            <w:vAlign w:val="center"/>
          </w:tcPr>
          <w:p w14:paraId="019BBB4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19</w:t>
            </w:r>
          </w:p>
        </w:tc>
        <w:tc>
          <w:tcPr>
            <w:tcW w:w="851" w:type="dxa"/>
            <w:vAlign w:val="center"/>
          </w:tcPr>
          <w:p w14:paraId="4E6C648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1.26</w:t>
            </w:r>
          </w:p>
        </w:tc>
        <w:tc>
          <w:tcPr>
            <w:tcW w:w="850" w:type="dxa"/>
            <w:vAlign w:val="center"/>
          </w:tcPr>
          <w:p w14:paraId="2F59E27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48</w:t>
            </w:r>
          </w:p>
        </w:tc>
        <w:tc>
          <w:tcPr>
            <w:tcW w:w="851" w:type="dxa"/>
            <w:vAlign w:val="center"/>
          </w:tcPr>
          <w:p w14:paraId="2652D15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31</w:t>
            </w:r>
          </w:p>
        </w:tc>
        <w:tc>
          <w:tcPr>
            <w:tcW w:w="850" w:type="dxa"/>
            <w:vAlign w:val="center"/>
          </w:tcPr>
          <w:p w14:paraId="5235E11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35</w:t>
            </w:r>
          </w:p>
        </w:tc>
      </w:tr>
      <w:tr w:rsidR="009C353B" w14:paraId="7853DEF0" w14:textId="77777777">
        <w:trPr>
          <w:trHeight w:val="413"/>
        </w:trPr>
        <w:tc>
          <w:tcPr>
            <w:tcW w:w="2836" w:type="dxa"/>
            <w:vAlign w:val="center"/>
          </w:tcPr>
          <w:p w14:paraId="7D17341B" w14:textId="77777777" w:rsidR="009C353B" w:rsidRDefault="00000000">
            <w:pPr>
              <w:adjustRightInd w:val="0"/>
              <w:snapToGrid w:val="0"/>
              <w:jc w:val="center"/>
              <w:rPr>
                <w:rFonts w:ascii="Times New Roman" w:hAnsi="Times New Roman"/>
                <w:sz w:val="21"/>
                <w:szCs w:val="21"/>
              </w:rPr>
            </w:pPr>
            <w:r>
              <w:rPr>
                <w:rFonts w:ascii="Times New Roman"/>
                <w:sz w:val="21"/>
                <w:szCs w:val="21"/>
              </w:rPr>
              <w:t>青银高速（临近横山新村）</w:t>
            </w:r>
          </w:p>
        </w:tc>
        <w:tc>
          <w:tcPr>
            <w:tcW w:w="1559" w:type="dxa"/>
            <w:vMerge/>
            <w:vAlign w:val="center"/>
          </w:tcPr>
          <w:p w14:paraId="7E36EAEA" w14:textId="77777777" w:rsidR="009C353B" w:rsidRDefault="009C353B">
            <w:pPr>
              <w:adjustRightInd w:val="0"/>
              <w:snapToGrid w:val="0"/>
              <w:jc w:val="center"/>
              <w:rPr>
                <w:rFonts w:ascii="Times New Roman" w:hAnsi="Times New Roman"/>
                <w:sz w:val="21"/>
                <w:szCs w:val="21"/>
              </w:rPr>
            </w:pPr>
          </w:p>
        </w:tc>
        <w:tc>
          <w:tcPr>
            <w:tcW w:w="851" w:type="dxa"/>
            <w:vAlign w:val="center"/>
          </w:tcPr>
          <w:p w14:paraId="1BDEFDA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10</w:t>
            </w:r>
          </w:p>
        </w:tc>
        <w:tc>
          <w:tcPr>
            <w:tcW w:w="850" w:type="dxa"/>
            <w:vAlign w:val="center"/>
          </w:tcPr>
          <w:p w14:paraId="54B4F59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24</w:t>
            </w:r>
          </w:p>
        </w:tc>
        <w:tc>
          <w:tcPr>
            <w:tcW w:w="851" w:type="dxa"/>
            <w:vAlign w:val="center"/>
          </w:tcPr>
          <w:p w14:paraId="3D3F3FA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850" w:type="dxa"/>
            <w:vAlign w:val="center"/>
          </w:tcPr>
          <w:p w14:paraId="3E78FB2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851" w:type="dxa"/>
            <w:vAlign w:val="center"/>
          </w:tcPr>
          <w:p w14:paraId="4247BDB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850" w:type="dxa"/>
            <w:vAlign w:val="center"/>
          </w:tcPr>
          <w:p w14:paraId="5545F84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38</w:t>
            </w:r>
          </w:p>
        </w:tc>
      </w:tr>
      <w:tr w:rsidR="009C353B" w14:paraId="1A4EAF22" w14:textId="77777777">
        <w:trPr>
          <w:trHeight w:val="419"/>
        </w:trPr>
        <w:tc>
          <w:tcPr>
            <w:tcW w:w="2836" w:type="dxa"/>
            <w:vAlign w:val="center"/>
          </w:tcPr>
          <w:p w14:paraId="449CA123" w14:textId="77777777" w:rsidR="009C353B" w:rsidRDefault="00000000">
            <w:pPr>
              <w:adjustRightInd w:val="0"/>
              <w:snapToGrid w:val="0"/>
              <w:jc w:val="center"/>
              <w:rPr>
                <w:rFonts w:ascii="Times New Roman" w:hAnsi="Times New Roman"/>
                <w:sz w:val="21"/>
                <w:szCs w:val="21"/>
              </w:rPr>
            </w:pPr>
            <w:r>
              <w:rPr>
                <w:rFonts w:ascii="Times New Roman"/>
                <w:sz w:val="21"/>
                <w:szCs w:val="21"/>
              </w:rPr>
              <w:t>古青高速（临近甜水河村）</w:t>
            </w:r>
          </w:p>
        </w:tc>
        <w:tc>
          <w:tcPr>
            <w:tcW w:w="1559" w:type="dxa"/>
            <w:vMerge/>
            <w:vAlign w:val="center"/>
          </w:tcPr>
          <w:p w14:paraId="47DE909C" w14:textId="77777777" w:rsidR="009C353B" w:rsidRDefault="009C353B">
            <w:pPr>
              <w:adjustRightInd w:val="0"/>
              <w:snapToGrid w:val="0"/>
              <w:jc w:val="center"/>
              <w:rPr>
                <w:rFonts w:ascii="Times New Roman" w:hAnsi="Times New Roman"/>
                <w:sz w:val="21"/>
                <w:szCs w:val="21"/>
              </w:rPr>
            </w:pPr>
          </w:p>
        </w:tc>
        <w:tc>
          <w:tcPr>
            <w:tcW w:w="851" w:type="dxa"/>
            <w:vAlign w:val="center"/>
          </w:tcPr>
          <w:p w14:paraId="405E82C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11</w:t>
            </w:r>
          </w:p>
        </w:tc>
        <w:tc>
          <w:tcPr>
            <w:tcW w:w="850" w:type="dxa"/>
            <w:vAlign w:val="center"/>
          </w:tcPr>
          <w:p w14:paraId="04CC829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23</w:t>
            </w:r>
          </w:p>
        </w:tc>
        <w:tc>
          <w:tcPr>
            <w:tcW w:w="851" w:type="dxa"/>
            <w:vAlign w:val="center"/>
          </w:tcPr>
          <w:p w14:paraId="34BA69F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850" w:type="dxa"/>
            <w:vAlign w:val="center"/>
          </w:tcPr>
          <w:p w14:paraId="6E81034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851" w:type="dxa"/>
            <w:vAlign w:val="center"/>
          </w:tcPr>
          <w:p w14:paraId="666771A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850" w:type="dxa"/>
            <w:vAlign w:val="center"/>
          </w:tcPr>
          <w:p w14:paraId="297F78E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38</w:t>
            </w:r>
          </w:p>
        </w:tc>
      </w:tr>
      <w:tr w:rsidR="009C353B" w14:paraId="3AB9A96A" w14:textId="77777777">
        <w:trPr>
          <w:trHeight w:val="398"/>
        </w:trPr>
        <w:tc>
          <w:tcPr>
            <w:tcW w:w="4395" w:type="dxa"/>
            <w:gridSpan w:val="2"/>
            <w:vAlign w:val="center"/>
          </w:tcPr>
          <w:p w14:paraId="57A16412" w14:textId="77777777" w:rsidR="009C353B" w:rsidRDefault="00000000">
            <w:pPr>
              <w:adjustRightInd w:val="0"/>
              <w:snapToGrid w:val="0"/>
              <w:jc w:val="center"/>
              <w:rPr>
                <w:rFonts w:ascii="Times New Roman" w:hAnsi="Times New Roman"/>
                <w:sz w:val="21"/>
                <w:szCs w:val="21"/>
              </w:rPr>
            </w:pPr>
            <w:r>
              <w:rPr>
                <w:rFonts w:ascii="Times New Roman"/>
                <w:sz w:val="21"/>
                <w:szCs w:val="21"/>
              </w:rPr>
              <w:t>《环境空气质量标准》一类区标准</w:t>
            </w:r>
          </w:p>
        </w:tc>
        <w:tc>
          <w:tcPr>
            <w:tcW w:w="851" w:type="dxa"/>
            <w:vAlign w:val="center"/>
          </w:tcPr>
          <w:p w14:paraId="6588F3A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50</w:t>
            </w:r>
          </w:p>
        </w:tc>
        <w:tc>
          <w:tcPr>
            <w:tcW w:w="850" w:type="dxa"/>
            <w:vAlign w:val="center"/>
          </w:tcPr>
          <w:p w14:paraId="51F779A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40</w:t>
            </w:r>
          </w:p>
        </w:tc>
        <w:tc>
          <w:tcPr>
            <w:tcW w:w="851" w:type="dxa"/>
            <w:vAlign w:val="center"/>
          </w:tcPr>
          <w:p w14:paraId="1E03A3F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4</w:t>
            </w:r>
          </w:p>
        </w:tc>
        <w:tc>
          <w:tcPr>
            <w:tcW w:w="850" w:type="dxa"/>
            <w:vAlign w:val="center"/>
          </w:tcPr>
          <w:p w14:paraId="0CB4E99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50</w:t>
            </w:r>
          </w:p>
        </w:tc>
        <w:tc>
          <w:tcPr>
            <w:tcW w:w="851" w:type="dxa"/>
            <w:vAlign w:val="center"/>
          </w:tcPr>
          <w:p w14:paraId="1372BAB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35</w:t>
            </w:r>
          </w:p>
        </w:tc>
        <w:tc>
          <w:tcPr>
            <w:tcW w:w="850" w:type="dxa"/>
            <w:vAlign w:val="center"/>
          </w:tcPr>
          <w:p w14:paraId="337215C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100</w:t>
            </w:r>
          </w:p>
        </w:tc>
      </w:tr>
      <w:tr w:rsidR="009C353B" w14:paraId="12D771EC" w14:textId="77777777">
        <w:trPr>
          <w:trHeight w:val="417"/>
        </w:trPr>
        <w:tc>
          <w:tcPr>
            <w:tcW w:w="4395" w:type="dxa"/>
            <w:gridSpan w:val="2"/>
            <w:vAlign w:val="center"/>
          </w:tcPr>
          <w:p w14:paraId="7FA51D99" w14:textId="77777777" w:rsidR="009C353B" w:rsidRDefault="00000000">
            <w:pPr>
              <w:adjustRightInd w:val="0"/>
              <w:snapToGrid w:val="0"/>
              <w:jc w:val="center"/>
              <w:rPr>
                <w:rFonts w:ascii="Times New Roman" w:hAnsi="Times New Roman"/>
                <w:sz w:val="21"/>
                <w:szCs w:val="21"/>
              </w:rPr>
            </w:pPr>
            <w:r>
              <w:rPr>
                <w:rFonts w:ascii="Times New Roman"/>
                <w:sz w:val="21"/>
                <w:szCs w:val="21"/>
              </w:rPr>
              <w:t>《环境空气质量标准》二类区标准</w:t>
            </w:r>
          </w:p>
        </w:tc>
        <w:tc>
          <w:tcPr>
            <w:tcW w:w="851" w:type="dxa"/>
            <w:vAlign w:val="center"/>
          </w:tcPr>
          <w:p w14:paraId="7C6D6B7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150</w:t>
            </w:r>
          </w:p>
        </w:tc>
        <w:tc>
          <w:tcPr>
            <w:tcW w:w="850" w:type="dxa"/>
            <w:vAlign w:val="center"/>
          </w:tcPr>
          <w:p w14:paraId="0CC0C23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80</w:t>
            </w:r>
          </w:p>
        </w:tc>
        <w:tc>
          <w:tcPr>
            <w:tcW w:w="851" w:type="dxa"/>
            <w:vAlign w:val="center"/>
          </w:tcPr>
          <w:p w14:paraId="59E7C04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4</w:t>
            </w:r>
          </w:p>
        </w:tc>
        <w:tc>
          <w:tcPr>
            <w:tcW w:w="850" w:type="dxa"/>
            <w:vAlign w:val="center"/>
          </w:tcPr>
          <w:p w14:paraId="2AC826C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150</w:t>
            </w:r>
          </w:p>
        </w:tc>
        <w:tc>
          <w:tcPr>
            <w:tcW w:w="851" w:type="dxa"/>
            <w:vAlign w:val="center"/>
          </w:tcPr>
          <w:p w14:paraId="5B8488F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75</w:t>
            </w:r>
          </w:p>
        </w:tc>
        <w:tc>
          <w:tcPr>
            <w:tcW w:w="850" w:type="dxa"/>
            <w:vAlign w:val="center"/>
          </w:tcPr>
          <w:p w14:paraId="0687626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160</w:t>
            </w:r>
          </w:p>
        </w:tc>
      </w:tr>
      <w:tr w:rsidR="009C353B" w14:paraId="4A464584" w14:textId="77777777">
        <w:trPr>
          <w:trHeight w:val="707"/>
        </w:trPr>
        <w:tc>
          <w:tcPr>
            <w:tcW w:w="9498" w:type="dxa"/>
            <w:gridSpan w:val="8"/>
            <w:vAlign w:val="center"/>
          </w:tcPr>
          <w:p w14:paraId="6E3A3669" w14:textId="77777777" w:rsidR="009C353B" w:rsidRDefault="00000000">
            <w:pPr>
              <w:adjustRightInd w:val="0"/>
              <w:snapToGrid w:val="0"/>
              <w:jc w:val="left"/>
              <w:rPr>
                <w:rFonts w:ascii="Times New Roman" w:hAnsi="Times New Roman"/>
                <w:sz w:val="21"/>
                <w:szCs w:val="21"/>
              </w:rPr>
            </w:pPr>
            <w:r>
              <w:rPr>
                <w:rFonts w:ascii="Times New Roman"/>
                <w:sz w:val="21"/>
                <w:szCs w:val="21"/>
              </w:rPr>
              <w:t>注：张家窑、青银高速（临近横山新村）、古青高速（临近甜水河村）为二类区，白芨滩自然保护区试验区、水洞沟风井名胜区为</w:t>
            </w:r>
            <w:r>
              <w:rPr>
                <w:rFonts w:ascii="Times New Roman" w:hint="eastAsia"/>
                <w:sz w:val="21"/>
                <w:szCs w:val="21"/>
              </w:rPr>
              <w:t>一</w:t>
            </w:r>
            <w:r>
              <w:rPr>
                <w:rFonts w:ascii="Times New Roman"/>
                <w:sz w:val="21"/>
                <w:szCs w:val="21"/>
              </w:rPr>
              <w:t>类区。</w:t>
            </w:r>
          </w:p>
        </w:tc>
      </w:tr>
    </w:tbl>
    <w:p w14:paraId="04E5BE09" w14:textId="77777777" w:rsidR="009C353B" w:rsidRDefault="00000000">
      <w:pPr>
        <w:adjustRightInd w:val="0"/>
        <w:snapToGrid w:val="0"/>
        <w:spacing w:beforeLines="50" w:before="120" w:line="440" w:lineRule="exact"/>
        <w:ind w:firstLineChars="200" w:firstLine="480"/>
        <w:rPr>
          <w:rFonts w:ascii="Times New Roman" w:hint="eastAsia"/>
          <w:szCs w:val="24"/>
        </w:rPr>
      </w:pPr>
      <w:r>
        <w:rPr>
          <w:rFonts w:ascii="Times New Roman" w:hint="eastAsia"/>
          <w:szCs w:val="24"/>
        </w:rPr>
        <w:t>（</w:t>
      </w:r>
      <w:r>
        <w:rPr>
          <w:rFonts w:ascii="Times New Roman" w:hint="eastAsia"/>
          <w:szCs w:val="24"/>
        </w:rPr>
        <w:t>1</w:t>
      </w:r>
      <w:r>
        <w:rPr>
          <w:rFonts w:ascii="Times New Roman" w:hint="eastAsia"/>
          <w:szCs w:val="24"/>
        </w:rPr>
        <w:t>）矿区建设时间较早，</w:t>
      </w:r>
      <w:r>
        <w:rPr>
          <w:rFonts w:ascii="Times New Roman"/>
          <w:szCs w:val="24"/>
        </w:rPr>
        <w:t>根据收集到的</w:t>
      </w:r>
      <w:r>
        <w:rPr>
          <w:rFonts w:ascii="Times New Roman" w:hint="eastAsia"/>
          <w:szCs w:val="24"/>
        </w:rPr>
        <w:t>早期各矿环评、验收报告中</w:t>
      </w:r>
      <w:r>
        <w:rPr>
          <w:rFonts w:ascii="Times New Roman"/>
          <w:szCs w:val="24"/>
        </w:rPr>
        <w:t>环境空气质量现状情况可知</w:t>
      </w:r>
      <w:r>
        <w:rPr>
          <w:rFonts w:ascii="Times New Roman" w:hint="eastAsia"/>
          <w:szCs w:val="24"/>
        </w:rPr>
        <w:t>，</w:t>
      </w:r>
      <w:r>
        <w:rPr>
          <w:rFonts w:ascii="Times New Roman" w:hint="eastAsia"/>
          <w:szCs w:val="24"/>
        </w:rPr>
        <w:t>2005</w:t>
      </w:r>
      <w:r>
        <w:rPr>
          <w:rFonts w:ascii="Times New Roman" w:hint="eastAsia"/>
          <w:szCs w:val="24"/>
        </w:rPr>
        <w:t>年时矿区内环境质量现状监测点的</w:t>
      </w:r>
      <w:r>
        <w:rPr>
          <w:rFonts w:ascii="Times New Roman" w:hint="eastAsia"/>
          <w:szCs w:val="24"/>
        </w:rPr>
        <w:t>TSP</w:t>
      </w:r>
      <w:r>
        <w:rPr>
          <w:rFonts w:ascii="Times New Roman" w:hint="eastAsia"/>
          <w:szCs w:val="24"/>
        </w:rPr>
        <w:t>日均浓度为</w:t>
      </w:r>
      <w:r>
        <w:rPr>
          <w:rFonts w:ascii="Times New Roman" w:hint="eastAsia"/>
          <w:szCs w:val="24"/>
        </w:rPr>
        <w:t>0.181-1.673</w:t>
      </w:r>
      <w:r>
        <w:rPr>
          <w:rFonts w:ascii="Times New Roman" w:hAnsi="Times New Roman"/>
          <w:bCs/>
          <w:szCs w:val="24"/>
        </w:rPr>
        <w:t>mg/m</w:t>
      </w:r>
      <w:r>
        <w:rPr>
          <w:rFonts w:ascii="Times New Roman" w:hAnsi="Times New Roman"/>
          <w:bCs/>
          <w:szCs w:val="24"/>
          <w:vertAlign w:val="superscript"/>
        </w:rPr>
        <w:t>3</w:t>
      </w:r>
      <w:r>
        <w:rPr>
          <w:rFonts w:ascii="Times New Roman" w:hAnsi="Times New Roman" w:hint="eastAsia"/>
          <w:bCs/>
          <w:szCs w:val="24"/>
        </w:rPr>
        <w:t>、</w:t>
      </w:r>
      <w:r>
        <w:rPr>
          <w:rFonts w:ascii="Times New Roman"/>
          <w:szCs w:val="24"/>
        </w:rPr>
        <w:t>PM</w:t>
      </w:r>
      <w:r>
        <w:rPr>
          <w:rFonts w:ascii="Times New Roman"/>
          <w:szCs w:val="24"/>
          <w:vertAlign w:val="subscript"/>
        </w:rPr>
        <w:t>10</w:t>
      </w:r>
      <w:r>
        <w:rPr>
          <w:rFonts w:ascii="Times New Roman" w:hint="eastAsia"/>
          <w:szCs w:val="24"/>
        </w:rPr>
        <w:t>日均浓度为</w:t>
      </w:r>
      <w:r>
        <w:rPr>
          <w:rFonts w:ascii="Times New Roman" w:hint="eastAsia"/>
          <w:szCs w:val="24"/>
        </w:rPr>
        <w:t>0.047-0.900</w:t>
      </w:r>
      <w:r>
        <w:rPr>
          <w:rFonts w:ascii="Times New Roman" w:hAnsi="Times New Roman"/>
          <w:bCs/>
          <w:szCs w:val="24"/>
        </w:rPr>
        <w:t>mg/m</w:t>
      </w:r>
      <w:r>
        <w:rPr>
          <w:rFonts w:ascii="Times New Roman" w:hAnsi="Times New Roman"/>
          <w:bCs/>
          <w:szCs w:val="24"/>
          <w:vertAlign w:val="superscript"/>
        </w:rPr>
        <w:t>3</w:t>
      </w:r>
      <w:r>
        <w:rPr>
          <w:rFonts w:ascii="Times New Roman" w:hAnsi="Times New Roman" w:hint="eastAsia"/>
          <w:bCs/>
          <w:szCs w:val="24"/>
        </w:rPr>
        <w:t>，</w:t>
      </w:r>
      <w:r>
        <w:rPr>
          <w:rFonts w:ascii="Times New Roman" w:hint="eastAsia"/>
          <w:szCs w:val="24"/>
        </w:rPr>
        <w:t>均出现严重超标，超标原因主要是区域内属荒漠化草原区，监测期间属多风沙季节造成的。</w:t>
      </w:r>
      <w:r>
        <w:rPr>
          <w:rFonts w:ascii="Times New Roman" w:hint="eastAsia"/>
          <w:szCs w:val="24"/>
        </w:rPr>
        <w:t>2007</w:t>
      </w:r>
      <w:r>
        <w:rPr>
          <w:rFonts w:ascii="Times New Roman" w:hint="eastAsia"/>
          <w:szCs w:val="24"/>
        </w:rPr>
        <w:t>年</w:t>
      </w:r>
      <w:r>
        <w:rPr>
          <w:rFonts w:ascii="Times New Roman"/>
        </w:rPr>
        <w:t>银川市环境监测站对本</w:t>
      </w:r>
      <w:r>
        <w:rPr>
          <w:rFonts w:ascii="Times New Roman" w:hint="eastAsia"/>
        </w:rPr>
        <w:t>区域的环境现状监测结果可知，</w:t>
      </w:r>
      <w:r>
        <w:rPr>
          <w:rFonts w:ascii="Times New Roman" w:hint="eastAsia"/>
        </w:rPr>
        <w:t>SO</w:t>
      </w:r>
      <w:r>
        <w:rPr>
          <w:rFonts w:ascii="Times New Roman" w:hint="eastAsia"/>
          <w:vertAlign w:val="subscript"/>
        </w:rPr>
        <w:t>2</w:t>
      </w:r>
      <w:r>
        <w:rPr>
          <w:rFonts w:ascii="Times New Roman" w:hint="eastAsia"/>
        </w:rPr>
        <w:t>、</w:t>
      </w:r>
      <w:r>
        <w:rPr>
          <w:rFonts w:ascii="Times New Roman" w:hint="eastAsia"/>
        </w:rPr>
        <w:t>NO</w:t>
      </w:r>
      <w:r>
        <w:rPr>
          <w:rFonts w:ascii="Times New Roman" w:hint="eastAsia"/>
          <w:vertAlign w:val="subscript"/>
        </w:rPr>
        <w:t>2</w:t>
      </w:r>
      <w:r>
        <w:rPr>
          <w:rFonts w:ascii="Times New Roman" w:hint="eastAsia"/>
        </w:rPr>
        <w:t>小时浓度</w:t>
      </w:r>
      <w:r>
        <w:rPr>
          <w:rFonts w:ascii="Times New Roman" w:hAnsi="Times New Roman" w:hint="eastAsia"/>
          <w:bCs/>
          <w:szCs w:val="24"/>
        </w:rPr>
        <w:t>、</w:t>
      </w:r>
      <w:r>
        <w:rPr>
          <w:rFonts w:ascii="Times New Roman" w:hint="eastAsia"/>
        </w:rPr>
        <w:t>日均浓度均不超标；</w:t>
      </w:r>
      <w:r>
        <w:rPr>
          <w:rFonts w:ascii="Times New Roman" w:hint="eastAsia"/>
        </w:rPr>
        <w:t>TSP</w:t>
      </w:r>
      <w:r>
        <w:rPr>
          <w:rFonts w:ascii="Times New Roman" w:hint="eastAsia"/>
        </w:rPr>
        <w:t>、</w:t>
      </w:r>
      <w:r>
        <w:rPr>
          <w:rFonts w:ascii="Times New Roman" w:hint="eastAsia"/>
        </w:rPr>
        <w:t>PM</w:t>
      </w:r>
      <w:r>
        <w:rPr>
          <w:rFonts w:ascii="Times New Roman" w:hint="eastAsia"/>
          <w:vertAlign w:val="subscript"/>
        </w:rPr>
        <w:t>10</w:t>
      </w:r>
      <w:r>
        <w:rPr>
          <w:rFonts w:ascii="Times New Roman" w:hint="eastAsia"/>
        </w:rPr>
        <w:t>日均浓度均超标，超标倍数分别为</w:t>
      </w:r>
      <w:r>
        <w:rPr>
          <w:rFonts w:ascii="Times New Roman" w:hint="eastAsia"/>
        </w:rPr>
        <w:t>0.12</w:t>
      </w:r>
      <w:r>
        <w:rPr>
          <w:rFonts w:ascii="Times New Roman" w:hint="eastAsia"/>
        </w:rPr>
        <w:t>、</w:t>
      </w:r>
      <w:r>
        <w:rPr>
          <w:rFonts w:ascii="Times New Roman" w:hint="eastAsia"/>
        </w:rPr>
        <w:t>0.43</w:t>
      </w:r>
      <w:r>
        <w:rPr>
          <w:rFonts w:ascii="Times New Roman" w:hint="eastAsia"/>
        </w:rPr>
        <w:t>，超标原因是监测点均位于干旱、植被稀疏地带且宁东能源化工基地正处于开发建设阶段造成的。</w:t>
      </w:r>
      <w:r>
        <w:rPr>
          <w:rFonts w:ascii="Times New Roman" w:hint="eastAsia"/>
        </w:rPr>
        <w:t>2009</w:t>
      </w:r>
      <w:r>
        <w:rPr>
          <w:rFonts w:ascii="Times New Roman" w:hint="eastAsia"/>
        </w:rPr>
        <w:t>年时</w:t>
      </w:r>
      <w:r>
        <w:rPr>
          <w:rFonts w:ascii="Times New Roman" w:hint="eastAsia"/>
          <w:szCs w:val="24"/>
        </w:rPr>
        <w:t>矿区内环境质量现状监测点的</w:t>
      </w:r>
      <w:r>
        <w:rPr>
          <w:rFonts w:ascii="Times New Roman" w:hint="eastAsia"/>
          <w:szCs w:val="24"/>
        </w:rPr>
        <w:t>PM</w:t>
      </w:r>
      <w:r>
        <w:rPr>
          <w:rFonts w:ascii="Times New Roman" w:hint="eastAsia"/>
          <w:szCs w:val="24"/>
          <w:vertAlign w:val="subscript"/>
        </w:rPr>
        <w:t>10</w:t>
      </w:r>
      <w:r>
        <w:rPr>
          <w:rFonts w:ascii="Times New Roman" w:hint="eastAsia"/>
          <w:szCs w:val="24"/>
        </w:rPr>
        <w:t>日均浓度为</w:t>
      </w:r>
      <w:r>
        <w:rPr>
          <w:rFonts w:ascii="Times New Roman" w:hAnsi="Times New Roman" w:hint="eastAsia"/>
          <w:szCs w:val="24"/>
        </w:rPr>
        <w:t>0.101-0.189</w:t>
      </w:r>
      <w:r>
        <w:rPr>
          <w:rFonts w:ascii="Times New Roman" w:hAnsi="Times New Roman"/>
          <w:bCs/>
          <w:szCs w:val="24"/>
        </w:rPr>
        <w:t>mg/m</w:t>
      </w:r>
      <w:r>
        <w:rPr>
          <w:rFonts w:ascii="Times New Roman" w:hAnsi="Times New Roman"/>
          <w:bCs/>
          <w:szCs w:val="24"/>
          <w:vertAlign w:val="superscript"/>
        </w:rPr>
        <w:t>3</w:t>
      </w:r>
      <w:r>
        <w:rPr>
          <w:rFonts w:ascii="Times New Roman" w:hAnsi="Times New Roman" w:hint="eastAsia"/>
          <w:bCs/>
          <w:szCs w:val="24"/>
        </w:rPr>
        <w:t>，</w:t>
      </w:r>
      <w:r>
        <w:rPr>
          <w:rFonts w:ascii="Times New Roman" w:hint="eastAsia"/>
          <w:szCs w:val="24"/>
        </w:rPr>
        <w:t>仍然超标，超</w:t>
      </w:r>
      <w:r>
        <w:rPr>
          <w:rFonts w:ascii="Times New Roman" w:hint="eastAsia"/>
        </w:rPr>
        <w:t>标主要原因为监测点所在区域气候干旱，植被稀疏，颗粒物本底值较高等自然因素和秋季容易起尘所致；</w:t>
      </w:r>
      <w:r>
        <w:rPr>
          <w:rFonts w:ascii="Times New Roman" w:hint="eastAsia"/>
        </w:rPr>
        <w:t>SO</w:t>
      </w:r>
      <w:r>
        <w:rPr>
          <w:rFonts w:ascii="Times New Roman" w:hint="eastAsia"/>
          <w:vertAlign w:val="subscript"/>
        </w:rPr>
        <w:t>2</w:t>
      </w:r>
      <w:r>
        <w:rPr>
          <w:rFonts w:ascii="Times New Roman" w:hint="eastAsia"/>
        </w:rPr>
        <w:t>、</w:t>
      </w:r>
      <w:r>
        <w:rPr>
          <w:rFonts w:ascii="Times New Roman" w:hint="eastAsia"/>
        </w:rPr>
        <w:t>NO</w:t>
      </w:r>
      <w:r>
        <w:rPr>
          <w:rFonts w:ascii="Times New Roman" w:hint="eastAsia"/>
          <w:vertAlign w:val="subscript"/>
        </w:rPr>
        <w:t>2</w:t>
      </w:r>
      <w:r>
        <w:rPr>
          <w:rFonts w:ascii="Times New Roman" w:hint="eastAsia"/>
        </w:rPr>
        <w:t>的日均浓度仍然满足要求。</w:t>
      </w:r>
    </w:p>
    <w:p w14:paraId="7CB8140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w:t>
      </w:r>
      <w:r>
        <w:rPr>
          <w:rFonts w:ascii="Times New Roman" w:hint="eastAsia"/>
        </w:rPr>
        <w:t>2</w:t>
      </w:r>
      <w:r>
        <w:rPr>
          <w:rFonts w:ascii="Times New Roman" w:hint="eastAsia"/>
        </w:rPr>
        <w:t>）根据</w:t>
      </w:r>
      <w:r>
        <w:rPr>
          <w:rFonts w:ascii="Times New Roman" w:hAnsi="Times New Roman" w:hint="eastAsia"/>
        </w:rPr>
        <w:t>宁东基地现代化煤化工产业示范区各站点环境空气质量</w:t>
      </w:r>
      <w:r>
        <w:rPr>
          <w:rFonts w:ascii="Times New Roman" w:hAnsi="Times New Roman" w:hint="eastAsia"/>
        </w:rPr>
        <w:t>2</w:t>
      </w:r>
      <w:r>
        <w:rPr>
          <w:rFonts w:ascii="Times New Roman" w:hAnsi="Times New Roman"/>
        </w:rPr>
        <w:t>014</w:t>
      </w:r>
      <w:r>
        <w:rPr>
          <w:rFonts w:ascii="Times New Roman" w:hAnsi="Times New Roman" w:hint="eastAsia"/>
        </w:rPr>
        <w:t>至</w:t>
      </w:r>
      <w:r>
        <w:rPr>
          <w:rFonts w:ascii="Times New Roman" w:hAnsi="Times New Roman" w:hint="eastAsia"/>
        </w:rPr>
        <w:t>2</w:t>
      </w:r>
      <w:r>
        <w:rPr>
          <w:rFonts w:ascii="Times New Roman" w:hAnsi="Times New Roman"/>
        </w:rPr>
        <w:t>019</w:t>
      </w:r>
      <w:r>
        <w:rPr>
          <w:rFonts w:ascii="Times New Roman" w:hAnsi="Times New Roman" w:hint="eastAsia"/>
        </w:rPr>
        <w:t>年例行监测数据可知：</w:t>
      </w:r>
    </w:p>
    <w:p w14:paraId="3CE4D8D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PM</w:t>
      </w:r>
      <w:r>
        <w:rPr>
          <w:rFonts w:ascii="Times New Roman" w:hint="eastAsia"/>
          <w:vertAlign w:val="subscript"/>
        </w:rPr>
        <w:t>10</w:t>
      </w:r>
      <w:r>
        <w:rPr>
          <w:rFonts w:ascii="Times New Roman" w:hint="eastAsia"/>
        </w:rPr>
        <w:t>在</w:t>
      </w:r>
      <w:r>
        <w:rPr>
          <w:rFonts w:ascii="Times New Roman" w:hint="eastAsia"/>
        </w:rPr>
        <w:t>2014</w:t>
      </w:r>
      <w:r>
        <w:rPr>
          <w:rFonts w:ascii="Times New Roman" w:hint="eastAsia"/>
        </w:rPr>
        <w:t>年至</w:t>
      </w:r>
      <w:r>
        <w:rPr>
          <w:rFonts w:ascii="Times New Roman" w:hint="eastAsia"/>
        </w:rPr>
        <w:t>2019</w:t>
      </w:r>
      <w:r>
        <w:rPr>
          <w:rFonts w:ascii="Times New Roman" w:hint="eastAsia"/>
        </w:rPr>
        <w:t>年</w:t>
      </w:r>
      <w:r>
        <w:rPr>
          <w:rFonts w:ascii="Times New Roman" w:hAnsi="Times New Roman" w:hint="eastAsia"/>
          <w:bCs/>
          <w:szCs w:val="24"/>
        </w:rPr>
        <w:t>虽然仍存在超标现象，但</w:t>
      </w:r>
      <w:r>
        <w:rPr>
          <w:rFonts w:ascii="Times New Roman" w:hint="eastAsia"/>
        </w:rPr>
        <w:t>浓度在逐渐减小，为</w:t>
      </w:r>
      <w:r>
        <w:rPr>
          <w:rFonts w:ascii="Times New Roman" w:hint="eastAsia"/>
        </w:rPr>
        <w:t>0.083-0.159</w:t>
      </w:r>
      <w:r>
        <w:rPr>
          <w:rFonts w:ascii="Times New Roman" w:hAnsi="Times New Roman"/>
          <w:bCs/>
          <w:szCs w:val="24"/>
        </w:rPr>
        <w:t>mg/m</w:t>
      </w:r>
      <w:r>
        <w:rPr>
          <w:rFonts w:ascii="Times New Roman" w:hAnsi="Times New Roman"/>
          <w:bCs/>
          <w:szCs w:val="24"/>
          <w:vertAlign w:val="superscript"/>
        </w:rPr>
        <w:t>3</w:t>
      </w:r>
      <w:r>
        <w:rPr>
          <w:rFonts w:ascii="Times New Roman" w:hint="eastAsia"/>
        </w:rPr>
        <w:t>；</w:t>
      </w:r>
    </w:p>
    <w:p w14:paraId="3260500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PM</w:t>
      </w:r>
      <w:r>
        <w:rPr>
          <w:rFonts w:ascii="Times New Roman"/>
          <w:vertAlign w:val="subscript"/>
        </w:rPr>
        <w:t>2.5</w:t>
      </w:r>
      <w:r>
        <w:rPr>
          <w:rFonts w:ascii="Times New Roman" w:hint="eastAsia"/>
        </w:rPr>
        <w:t>、</w:t>
      </w:r>
      <w:r>
        <w:rPr>
          <w:rFonts w:ascii="Times New Roman" w:hint="eastAsia"/>
        </w:rPr>
        <w:t>SO</w:t>
      </w:r>
      <w:r>
        <w:rPr>
          <w:rFonts w:ascii="Times New Roman" w:hint="eastAsia"/>
          <w:vertAlign w:val="subscript"/>
        </w:rPr>
        <w:t>2</w:t>
      </w:r>
      <w:r>
        <w:rPr>
          <w:rFonts w:ascii="Times New Roman" w:hint="eastAsia"/>
        </w:rPr>
        <w:t>浓度在</w:t>
      </w:r>
      <w:r>
        <w:rPr>
          <w:rFonts w:ascii="Times New Roman" w:hint="eastAsia"/>
        </w:rPr>
        <w:t>2014</w:t>
      </w:r>
      <w:r>
        <w:rPr>
          <w:rFonts w:ascii="Times New Roman" w:hint="eastAsia"/>
        </w:rPr>
        <w:t>年至</w:t>
      </w:r>
      <w:r>
        <w:rPr>
          <w:rFonts w:ascii="Times New Roman" w:hint="eastAsia"/>
        </w:rPr>
        <w:t>2019</w:t>
      </w:r>
      <w:r>
        <w:rPr>
          <w:rFonts w:ascii="Times New Roman" w:hint="eastAsia"/>
        </w:rPr>
        <w:t>年间逐渐减小。</w:t>
      </w:r>
    </w:p>
    <w:p w14:paraId="33EC04A6"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bCs/>
          <w:szCs w:val="24"/>
        </w:rPr>
        <w:t>NO</w:t>
      </w:r>
      <w:r>
        <w:rPr>
          <w:rFonts w:ascii="Times New Roman" w:hAnsi="Times New Roman" w:hint="eastAsia"/>
          <w:bCs/>
          <w:szCs w:val="24"/>
          <w:vertAlign w:val="subscript"/>
        </w:rPr>
        <w:t>2</w:t>
      </w:r>
      <w:r>
        <w:rPr>
          <w:rFonts w:ascii="Times New Roman" w:hAnsi="Times New Roman" w:hint="eastAsia"/>
          <w:bCs/>
          <w:szCs w:val="24"/>
        </w:rPr>
        <w:t>、</w:t>
      </w:r>
      <w:r>
        <w:rPr>
          <w:rFonts w:ascii="Times New Roman" w:hAnsi="Times New Roman" w:hint="eastAsia"/>
          <w:bCs/>
          <w:szCs w:val="24"/>
        </w:rPr>
        <w:t>CO</w:t>
      </w:r>
      <w:r>
        <w:rPr>
          <w:rFonts w:ascii="Times New Roman" w:hAnsi="Times New Roman" w:hint="eastAsia"/>
          <w:bCs/>
          <w:szCs w:val="24"/>
        </w:rPr>
        <w:t>、</w:t>
      </w:r>
      <w:r>
        <w:rPr>
          <w:rFonts w:ascii="Times New Roman" w:hAnsi="Times New Roman" w:hint="eastAsia"/>
          <w:bCs/>
          <w:szCs w:val="24"/>
        </w:rPr>
        <w:t>O</w:t>
      </w:r>
      <w:r>
        <w:rPr>
          <w:rFonts w:ascii="Times New Roman" w:hAnsi="Times New Roman"/>
          <w:bCs/>
          <w:szCs w:val="24"/>
          <w:vertAlign w:val="subscript"/>
        </w:rPr>
        <w:t>3</w:t>
      </w:r>
      <w:r>
        <w:rPr>
          <w:rFonts w:ascii="Times New Roman" w:hint="eastAsia"/>
        </w:rPr>
        <w:t xml:space="preserve"> </w:t>
      </w:r>
      <w:r>
        <w:rPr>
          <w:rFonts w:ascii="Times New Roman" w:hint="eastAsia"/>
        </w:rPr>
        <w:t>的浓度波动较大，但</w:t>
      </w:r>
      <w:r>
        <w:rPr>
          <w:rFonts w:ascii="Times New Roman" w:hint="eastAsia"/>
        </w:rPr>
        <w:t>2</w:t>
      </w:r>
      <w:r>
        <w:rPr>
          <w:rFonts w:ascii="Times New Roman"/>
        </w:rPr>
        <w:t>019</w:t>
      </w:r>
      <w:r>
        <w:rPr>
          <w:rFonts w:ascii="Times New Roman" w:hint="eastAsia"/>
        </w:rPr>
        <w:t>年整体与</w:t>
      </w:r>
      <w:r>
        <w:rPr>
          <w:rFonts w:ascii="Times New Roman" w:hint="eastAsia"/>
        </w:rPr>
        <w:t>2</w:t>
      </w:r>
      <w:r>
        <w:rPr>
          <w:rFonts w:ascii="Times New Roman"/>
        </w:rPr>
        <w:t>014</w:t>
      </w:r>
      <w:r>
        <w:rPr>
          <w:rFonts w:ascii="Times New Roman" w:hint="eastAsia"/>
        </w:rPr>
        <w:t>年持平。</w:t>
      </w:r>
    </w:p>
    <w:p w14:paraId="007B2CCD" w14:textId="77777777" w:rsidR="009C353B" w:rsidRDefault="00000000">
      <w:pPr>
        <w:adjustRightInd w:val="0"/>
        <w:snapToGrid w:val="0"/>
        <w:spacing w:line="440" w:lineRule="exact"/>
        <w:ind w:firstLineChars="200" w:firstLine="480"/>
        <w:rPr>
          <w:rFonts w:ascii="Times New Roman" w:hint="eastAsia"/>
        </w:rPr>
      </w:pPr>
      <w:r>
        <w:rPr>
          <w:rFonts w:ascii="Times New Roman"/>
          <w:szCs w:val="24"/>
        </w:rPr>
        <w:t>综上</w:t>
      </w:r>
      <w:r>
        <w:rPr>
          <w:rFonts w:ascii="Times New Roman" w:hint="eastAsia"/>
          <w:szCs w:val="24"/>
        </w:rPr>
        <w:t>，本矿区</w:t>
      </w:r>
      <w:r>
        <w:rPr>
          <w:rFonts w:ascii="Times New Roman"/>
          <w:szCs w:val="24"/>
        </w:rPr>
        <w:t>所在区域环境空气质量长期趋于好转</w:t>
      </w:r>
      <w:r>
        <w:rPr>
          <w:rFonts w:ascii="Times New Roman" w:hint="eastAsia"/>
          <w:szCs w:val="24"/>
        </w:rPr>
        <w:t>，</w:t>
      </w:r>
      <w:r>
        <w:rPr>
          <w:rFonts w:ascii="Times New Roman"/>
          <w:szCs w:val="24"/>
        </w:rPr>
        <w:t>主要是本区环境保护与污染治理措施不断强化</w:t>
      </w:r>
      <w:r>
        <w:rPr>
          <w:rFonts w:ascii="Times New Roman" w:hint="eastAsia"/>
          <w:szCs w:val="24"/>
        </w:rPr>
        <w:t>，</w:t>
      </w:r>
      <w:r>
        <w:rPr>
          <w:rFonts w:ascii="Times New Roman"/>
          <w:szCs w:val="24"/>
        </w:rPr>
        <w:t>包括矿区在内的本地各企业大气污染防治措施不断升级改造</w:t>
      </w:r>
      <w:r>
        <w:rPr>
          <w:rFonts w:ascii="Times New Roman" w:hint="eastAsia"/>
          <w:szCs w:val="24"/>
        </w:rPr>
        <w:t>（如供暖由燃煤锅炉改造为燃气锅炉或电厂供热等），</w:t>
      </w:r>
      <w:r>
        <w:rPr>
          <w:rFonts w:ascii="Times New Roman"/>
          <w:szCs w:val="24"/>
        </w:rPr>
        <w:t>使得大气污染物的排放量逐渐减小</w:t>
      </w:r>
      <w:r>
        <w:rPr>
          <w:rFonts w:ascii="Times New Roman" w:hint="eastAsia"/>
          <w:szCs w:val="24"/>
        </w:rPr>
        <w:t>，</w:t>
      </w:r>
      <w:r>
        <w:rPr>
          <w:rFonts w:ascii="Times New Roman"/>
          <w:szCs w:val="24"/>
        </w:rPr>
        <w:t>环境空气质量得以改善</w:t>
      </w:r>
      <w:r>
        <w:rPr>
          <w:rFonts w:ascii="Times New Roman" w:hint="eastAsia"/>
          <w:szCs w:val="24"/>
        </w:rPr>
        <w:t>。</w:t>
      </w:r>
    </w:p>
    <w:p w14:paraId="10725572"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4.3.2</w:t>
      </w:r>
      <w:r>
        <w:rPr>
          <w:rFonts w:ascii="Times New Roman" w:hAnsi="Times New Roman"/>
          <w:sz w:val="24"/>
        </w:rPr>
        <w:t xml:space="preserve"> </w:t>
      </w:r>
      <w:r>
        <w:rPr>
          <w:rFonts w:ascii="Times New Roman" w:hAnsi="Times New Roman" w:hint="eastAsia"/>
          <w:sz w:val="24"/>
        </w:rPr>
        <w:t>矿区水环境</w:t>
      </w:r>
      <w:r>
        <w:rPr>
          <w:rFonts w:ascii="Times New Roman" w:hAnsi="Times New Roman"/>
          <w:sz w:val="24"/>
        </w:rPr>
        <w:t>质量回顾性评价</w:t>
      </w:r>
    </w:p>
    <w:p w14:paraId="0D44A6E6" w14:textId="77777777" w:rsidR="009C353B" w:rsidRDefault="00000000">
      <w:pPr>
        <w:pStyle w:val="4e"/>
        <w:adjustRightInd w:val="0"/>
        <w:snapToGrid w:val="0"/>
        <w:spacing w:before="0" w:after="0" w:line="440" w:lineRule="exact"/>
      </w:pPr>
      <w:r>
        <w:t>4.</w:t>
      </w:r>
      <w:r>
        <w:rPr>
          <w:rFonts w:hint="eastAsia"/>
        </w:rPr>
        <w:t>3</w:t>
      </w:r>
      <w:r>
        <w:t>.2</w:t>
      </w:r>
      <w:r>
        <w:rPr>
          <w:rFonts w:hint="eastAsia"/>
        </w:rPr>
        <w:t>.1</w:t>
      </w:r>
      <w:r>
        <w:t xml:space="preserve"> </w:t>
      </w:r>
      <w:r>
        <w:t>矿区地表水环境质量回顾评价</w:t>
      </w:r>
    </w:p>
    <w:p w14:paraId="1DC3722D" w14:textId="77777777" w:rsidR="009C353B" w:rsidRDefault="00000000">
      <w:pPr>
        <w:adjustRightInd w:val="0"/>
        <w:snapToGrid w:val="0"/>
        <w:spacing w:line="440" w:lineRule="exact"/>
        <w:ind w:firstLineChars="200" w:firstLine="480"/>
        <w:rPr>
          <w:rFonts w:ascii="Times New Roman" w:hAnsi="Times New Roman"/>
          <w:lang w:val="zh-CN"/>
        </w:rPr>
      </w:pPr>
      <w:r>
        <w:rPr>
          <w:rFonts w:ascii="Times New Roman" w:hAnsi="Times New Roman"/>
          <w:szCs w:val="24"/>
          <w:lang w:val="zh-CN"/>
        </w:rPr>
        <w:t>此次规划环评对矿区内水洞沟、大河子沟及鸭子荡水库进行</w:t>
      </w:r>
      <w:r>
        <w:rPr>
          <w:rFonts w:ascii="Times New Roman" w:hAnsi="Times New Roman" w:hint="eastAsia"/>
          <w:szCs w:val="24"/>
          <w:lang w:val="zh-CN"/>
        </w:rPr>
        <w:t>水</w:t>
      </w:r>
      <w:r>
        <w:rPr>
          <w:rFonts w:ascii="Times New Roman" w:hAnsi="Times New Roman"/>
          <w:szCs w:val="24"/>
          <w:lang w:val="zh-CN"/>
        </w:rPr>
        <w:t>环境质量回顾，</w:t>
      </w:r>
      <w:r>
        <w:rPr>
          <w:rFonts w:ascii="Times New Roman" w:hAnsi="Times New Roman" w:hint="eastAsia"/>
          <w:szCs w:val="24"/>
          <w:lang w:val="zh-CN"/>
        </w:rPr>
        <w:t>其</w:t>
      </w:r>
      <w:r>
        <w:rPr>
          <w:rFonts w:ascii="Times New Roman" w:hAnsi="Times New Roman"/>
          <w:szCs w:val="24"/>
          <w:lang w:val="zh-CN"/>
        </w:rPr>
        <w:t>与矿区位置关系见环境目标保护图</w:t>
      </w:r>
      <w:r>
        <w:rPr>
          <w:rFonts w:ascii="Times New Roman" w:hAnsi="Times New Roman" w:hint="eastAsia"/>
          <w:szCs w:val="24"/>
          <w:lang w:val="zh-CN"/>
        </w:rPr>
        <w:t>（图</w:t>
      </w:r>
      <w:r>
        <w:rPr>
          <w:rFonts w:ascii="Times New Roman" w:hAnsi="Times New Roman" w:hint="eastAsia"/>
          <w:szCs w:val="24"/>
          <w:lang w:val="zh-CN"/>
        </w:rPr>
        <w:t>1</w:t>
      </w:r>
      <w:r>
        <w:rPr>
          <w:rFonts w:ascii="Times New Roman" w:hAnsi="Times New Roman"/>
          <w:szCs w:val="24"/>
          <w:lang w:val="zh-CN"/>
        </w:rPr>
        <w:t>.8</w:t>
      </w:r>
      <w:r>
        <w:rPr>
          <w:rFonts w:ascii="Times New Roman" w:hAnsi="Times New Roman" w:hint="eastAsia"/>
          <w:szCs w:val="24"/>
          <w:lang w:val="zh-CN"/>
        </w:rPr>
        <w:t>-</w:t>
      </w:r>
      <w:r>
        <w:rPr>
          <w:rFonts w:ascii="Times New Roman" w:hAnsi="Times New Roman"/>
          <w:szCs w:val="24"/>
          <w:lang w:val="zh-CN"/>
        </w:rPr>
        <w:t>1</w:t>
      </w:r>
      <w:r>
        <w:rPr>
          <w:rFonts w:ascii="Times New Roman" w:hAnsi="Times New Roman" w:hint="eastAsia"/>
          <w:szCs w:val="24"/>
          <w:lang w:val="zh-CN"/>
        </w:rPr>
        <w:t>）。</w:t>
      </w:r>
    </w:p>
    <w:p w14:paraId="6DFFF569" w14:textId="77777777" w:rsidR="009C353B" w:rsidRDefault="00000000">
      <w:pPr>
        <w:adjustRightInd w:val="0"/>
        <w:snapToGrid w:val="0"/>
        <w:spacing w:line="440" w:lineRule="exact"/>
        <w:ind w:firstLineChars="200" w:firstLine="480"/>
        <w:rPr>
          <w:rFonts w:ascii="Times New Roman" w:hAnsi="Times New Roman"/>
          <w:szCs w:val="24"/>
          <w:lang w:val="zh-CN"/>
        </w:rPr>
      </w:pPr>
      <w:r>
        <w:rPr>
          <w:rFonts w:ascii="Times New Roman" w:hAnsi="Times New Roman"/>
          <w:szCs w:val="24"/>
          <w:lang w:val="zh-CN"/>
        </w:rPr>
        <w:t>本次评价</w:t>
      </w:r>
      <w:r>
        <w:rPr>
          <w:rFonts w:ascii="Times New Roman" w:hAnsi="Times New Roman" w:hint="eastAsia"/>
          <w:szCs w:val="24"/>
          <w:lang w:val="zh-CN"/>
        </w:rPr>
        <w:t>根据《宁夏煤业集团有限责任公司任家庄煤矿环评报告书》、《国网能源宁夏煤电有限公司甜水河矿井及选煤厂环境影响报告书》、《宁夏宝丰能源集团股份有限公司马莲台煤矿项目现状环境影响评估》、《神华宁夏煤业集团红石湾煤矿生产能力核定项目环境影响报告书》、《任家庄煤矿环境影响现状评估报告》、《宁东基地现代煤化工产业示范区总体规划环境影响报告书》、《宁东能源化工基地“十三五”开发总体规划环境影响报告书》、宁夏回族自治区地表水环境质量状况月报、宁东基地国控地表水断面鸭子荡水库采测数据及本次现状监测数据等资料，对</w:t>
      </w:r>
      <w:r>
        <w:rPr>
          <w:rFonts w:ascii="Times New Roman" w:hAnsi="Times New Roman"/>
          <w:szCs w:val="24"/>
          <w:lang w:val="zh-CN"/>
        </w:rPr>
        <w:t>大河子沟</w:t>
      </w:r>
      <w:r>
        <w:rPr>
          <w:rFonts w:ascii="Times New Roman" w:hAnsi="Times New Roman" w:hint="eastAsia"/>
          <w:szCs w:val="24"/>
          <w:lang w:val="zh-CN"/>
        </w:rPr>
        <w:t>、</w:t>
      </w:r>
      <w:r>
        <w:rPr>
          <w:rFonts w:ascii="Times New Roman" w:hAnsi="Times New Roman"/>
          <w:szCs w:val="24"/>
          <w:lang w:val="zh-CN"/>
        </w:rPr>
        <w:t>鸭子荡水库</w:t>
      </w:r>
      <w:r>
        <w:rPr>
          <w:rFonts w:ascii="Times New Roman" w:hAnsi="Times New Roman" w:hint="eastAsia"/>
          <w:szCs w:val="24"/>
          <w:lang w:val="zh-CN"/>
        </w:rPr>
        <w:t>、水洞沟进行水环境质量回顾性评价</w:t>
      </w:r>
      <w:r>
        <w:rPr>
          <w:rFonts w:ascii="Times New Roman" w:hAnsi="Times New Roman"/>
          <w:szCs w:val="24"/>
          <w:lang w:val="zh-CN"/>
        </w:rPr>
        <w:t>，</w:t>
      </w:r>
      <w:r>
        <w:rPr>
          <w:rFonts w:ascii="Times New Roman" w:hAnsi="Times New Roman" w:hint="eastAsia"/>
          <w:szCs w:val="24"/>
          <w:lang w:val="zh-CN"/>
        </w:rPr>
        <w:t>监测点位、监测时间及监测项目见表</w:t>
      </w:r>
      <w:r>
        <w:rPr>
          <w:rFonts w:ascii="Times New Roman" w:hAnsi="Times New Roman" w:hint="eastAsia"/>
          <w:szCs w:val="24"/>
          <w:lang w:val="zh-CN"/>
        </w:rPr>
        <w:t>4</w:t>
      </w:r>
      <w:r>
        <w:rPr>
          <w:rFonts w:ascii="Times New Roman" w:hAnsi="Times New Roman"/>
          <w:szCs w:val="24"/>
          <w:lang w:val="zh-CN"/>
        </w:rPr>
        <w:t>.3</w:t>
      </w:r>
      <w:r>
        <w:rPr>
          <w:rFonts w:ascii="Times New Roman" w:hAnsi="Times New Roman" w:hint="eastAsia"/>
          <w:szCs w:val="24"/>
          <w:lang w:val="zh-CN"/>
        </w:rPr>
        <w:t>-</w:t>
      </w:r>
      <w:r>
        <w:rPr>
          <w:rFonts w:ascii="Times New Roman" w:hAnsi="Times New Roman"/>
          <w:szCs w:val="24"/>
          <w:lang w:val="zh-CN"/>
        </w:rPr>
        <w:t>5</w:t>
      </w:r>
      <w:r>
        <w:rPr>
          <w:rFonts w:ascii="Times New Roman" w:hAnsi="Times New Roman" w:hint="eastAsia"/>
          <w:szCs w:val="24"/>
          <w:lang w:val="zh-CN"/>
        </w:rPr>
        <w:t>。</w:t>
      </w:r>
    </w:p>
    <w:p w14:paraId="0F76A32A"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hint="eastAsia"/>
          <w:b/>
          <w:szCs w:val="24"/>
        </w:rPr>
        <w:t>地表水监测点、监测时间及监测项目</w:t>
      </w:r>
    </w:p>
    <w:p w14:paraId="555E2E3D" w14:textId="77777777" w:rsidR="009C353B" w:rsidRDefault="00000000">
      <w:pPr>
        <w:adjustRightInd w:val="0"/>
        <w:snapToGrid w:val="0"/>
        <w:spacing w:line="440" w:lineRule="exact"/>
        <w:outlineLvl w:val="4"/>
        <w:rPr>
          <w:rFonts w:ascii="Times New Roman" w:hAnsi="Times New Roman"/>
          <w:szCs w:val="24"/>
        </w:rPr>
      </w:pPr>
      <w:r>
        <w:rPr>
          <w:rFonts w:ascii="Times New Roman" w:hAnsi="Times New Roman"/>
          <w:szCs w:val="24"/>
        </w:rPr>
        <w:t>表</w:t>
      </w:r>
      <w:r>
        <w:rPr>
          <w:rFonts w:ascii="Times New Roman" w:hAnsi="Times New Roman" w:hint="eastAsia"/>
          <w:szCs w:val="24"/>
        </w:rPr>
        <w:t>4</w:t>
      </w:r>
      <w:r>
        <w:rPr>
          <w:rFonts w:ascii="Times New Roman" w:hAnsi="Times New Roman"/>
          <w:szCs w:val="24"/>
        </w:rPr>
        <w:t>.3</w:t>
      </w:r>
      <w:r>
        <w:rPr>
          <w:rFonts w:ascii="Times New Roman" w:hAnsi="Times New Roman" w:hint="eastAsia"/>
          <w:szCs w:val="24"/>
        </w:rPr>
        <w:t>-</w:t>
      </w:r>
      <w:r>
        <w:rPr>
          <w:rFonts w:ascii="Times New Roman" w:hAnsi="Times New Roman"/>
          <w:szCs w:val="24"/>
        </w:rPr>
        <w:t>5</w:t>
      </w:r>
    </w:p>
    <w:tbl>
      <w:tblPr>
        <w:tblStyle w:val="afffffffffffffffffffffff6"/>
        <w:tblW w:w="5000" w:type="pct"/>
        <w:tblLook w:val="04A0" w:firstRow="1" w:lastRow="0" w:firstColumn="1" w:lastColumn="0" w:noHBand="0" w:noVBand="1"/>
      </w:tblPr>
      <w:tblGrid>
        <w:gridCol w:w="426"/>
        <w:gridCol w:w="1612"/>
        <w:gridCol w:w="676"/>
        <w:gridCol w:w="1930"/>
        <w:gridCol w:w="1939"/>
        <w:gridCol w:w="106"/>
        <w:gridCol w:w="2516"/>
        <w:gridCol w:w="82"/>
      </w:tblGrid>
      <w:tr w:rsidR="009C353B" w14:paraId="03667769" w14:textId="77777777">
        <w:trPr>
          <w:trHeight w:val="340"/>
          <w:tblHeader/>
        </w:trPr>
        <w:tc>
          <w:tcPr>
            <w:tcW w:w="426" w:type="dxa"/>
            <w:shd w:val="clear" w:color="auto" w:fill="auto"/>
            <w:noWrap/>
          </w:tcPr>
          <w:p w14:paraId="1920CBE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名称</w:t>
            </w:r>
          </w:p>
        </w:tc>
        <w:tc>
          <w:tcPr>
            <w:tcW w:w="1612" w:type="dxa"/>
          </w:tcPr>
          <w:p w14:paraId="1A3B2C6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数据来源</w:t>
            </w:r>
          </w:p>
        </w:tc>
        <w:tc>
          <w:tcPr>
            <w:tcW w:w="676" w:type="dxa"/>
            <w:shd w:val="clear" w:color="auto" w:fill="auto"/>
            <w:noWrap/>
          </w:tcPr>
          <w:p w14:paraId="6B23D3F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编号</w:t>
            </w:r>
          </w:p>
        </w:tc>
        <w:tc>
          <w:tcPr>
            <w:tcW w:w="1930" w:type="dxa"/>
            <w:shd w:val="clear" w:color="auto" w:fill="auto"/>
          </w:tcPr>
          <w:p w14:paraId="5888B04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监测时间</w:t>
            </w:r>
          </w:p>
        </w:tc>
        <w:tc>
          <w:tcPr>
            <w:tcW w:w="2045" w:type="dxa"/>
            <w:gridSpan w:val="2"/>
            <w:shd w:val="clear" w:color="auto" w:fill="auto"/>
            <w:noWrap/>
          </w:tcPr>
          <w:p w14:paraId="0EDFA17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位置</w:t>
            </w:r>
          </w:p>
        </w:tc>
        <w:tc>
          <w:tcPr>
            <w:tcW w:w="2598" w:type="dxa"/>
            <w:gridSpan w:val="2"/>
            <w:shd w:val="clear" w:color="auto" w:fill="auto"/>
            <w:noWrap/>
          </w:tcPr>
          <w:p w14:paraId="3442D80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监测项目</w:t>
            </w:r>
          </w:p>
        </w:tc>
      </w:tr>
      <w:tr w:rsidR="009C353B" w14:paraId="09E9C5C4" w14:textId="77777777">
        <w:trPr>
          <w:trHeight w:val="340"/>
        </w:trPr>
        <w:tc>
          <w:tcPr>
            <w:tcW w:w="426" w:type="dxa"/>
            <w:vMerge w:val="restart"/>
            <w:shd w:val="clear" w:color="auto" w:fill="auto"/>
            <w:noWrap/>
          </w:tcPr>
          <w:p w14:paraId="0CFFBC15"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大河子沟</w:t>
            </w:r>
          </w:p>
        </w:tc>
        <w:tc>
          <w:tcPr>
            <w:tcW w:w="1612" w:type="dxa"/>
            <w:vMerge w:val="restart"/>
          </w:tcPr>
          <w:p w14:paraId="49DF294D"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z w:val="21"/>
                <w:szCs w:val="21"/>
                <w:lang w:val="zh-CN"/>
              </w:rPr>
              <w:t>《宁夏煤业集团有限责任公司任家庄煤矿环评报告书》</w:t>
            </w:r>
          </w:p>
        </w:tc>
        <w:tc>
          <w:tcPr>
            <w:tcW w:w="676" w:type="dxa"/>
            <w:shd w:val="clear" w:color="auto" w:fill="auto"/>
            <w:noWrap/>
          </w:tcPr>
          <w:p w14:paraId="1140473E"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1#</w:t>
            </w:r>
          </w:p>
        </w:tc>
        <w:tc>
          <w:tcPr>
            <w:tcW w:w="1930" w:type="dxa"/>
            <w:vMerge w:val="restart"/>
            <w:shd w:val="clear" w:color="auto" w:fill="auto"/>
          </w:tcPr>
          <w:p w14:paraId="69F9C7F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2004/3</w:t>
            </w:r>
          </w:p>
        </w:tc>
        <w:tc>
          <w:tcPr>
            <w:tcW w:w="2045" w:type="dxa"/>
            <w:gridSpan w:val="2"/>
            <w:shd w:val="clear" w:color="auto" w:fill="auto"/>
            <w:noWrap/>
          </w:tcPr>
          <w:p w14:paraId="2E78987C"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z w:val="21"/>
                <w:szCs w:val="21"/>
              </w:rPr>
              <w:t>黄羊墩以西</w:t>
            </w:r>
            <w:r>
              <w:rPr>
                <w:rFonts w:ascii="Times New Roman" w:eastAsiaTheme="minorEastAsia" w:hAnsi="Times New Roman"/>
                <w:sz w:val="21"/>
                <w:szCs w:val="21"/>
              </w:rPr>
              <w:t>1800m</w:t>
            </w:r>
            <w:r>
              <w:rPr>
                <w:rFonts w:ascii="Times New Roman" w:eastAsiaTheme="minorEastAsia" w:hAnsi="Times New Roman"/>
                <w:sz w:val="21"/>
                <w:szCs w:val="21"/>
              </w:rPr>
              <w:t>处</w:t>
            </w:r>
          </w:p>
        </w:tc>
        <w:tc>
          <w:tcPr>
            <w:tcW w:w="2598" w:type="dxa"/>
            <w:gridSpan w:val="2"/>
            <w:vMerge w:val="restart"/>
            <w:shd w:val="clear" w:color="auto" w:fill="auto"/>
            <w:noWrap/>
          </w:tcPr>
          <w:p w14:paraId="637E936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w:t>
            </w:r>
            <w:r>
              <w:rPr>
                <w:rFonts w:ascii="Times New Roman" w:eastAsiaTheme="minorEastAsia" w:hAnsi="Times New Roman"/>
                <w:kern w:val="0"/>
                <w:sz w:val="21"/>
                <w:szCs w:val="21"/>
              </w:rPr>
              <w:t>CODcr</w:t>
            </w:r>
            <w:r>
              <w:rPr>
                <w:rFonts w:ascii="Times New Roman" w:eastAsiaTheme="minorEastAsia" w:hAnsi="Times New Roman"/>
                <w:kern w:val="0"/>
                <w:sz w:val="21"/>
                <w:szCs w:val="21"/>
              </w:rPr>
              <w:t>、氟化物、六价铬、石油类、硫酸盐、氯化物、全盐量</w:t>
            </w:r>
          </w:p>
        </w:tc>
      </w:tr>
      <w:tr w:rsidR="009C353B" w14:paraId="2112DDC1" w14:textId="77777777">
        <w:trPr>
          <w:trHeight w:val="340"/>
        </w:trPr>
        <w:tc>
          <w:tcPr>
            <w:tcW w:w="426" w:type="dxa"/>
            <w:vMerge/>
            <w:shd w:val="clear" w:color="auto" w:fill="auto"/>
            <w:noWrap/>
          </w:tcPr>
          <w:p w14:paraId="6854A088" w14:textId="77777777" w:rsidR="009C353B" w:rsidRDefault="009C353B">
            <w:pPr>
              <w:jc w:val="center"/>
              <w:rPr>
                <w:rFonts w:ascii="Times New Roman" w:eastAsiaTheme="minorEastAsia" w:hAnsi="Times New Roman"/>
                <w:kern w:val="0"/>
                <w:sz w:val="21"/>
                <w:szCs w:val="21"/>
              </w:rPr>
            </w:pPr>
          </w:p>
        </w:tc>
        <w:tc>
          <w:tcPr>
            <w:tcW w:w="1612" w:type="dxa"/>
            <w:vMerge/>
          </w:tcPr>
          <w:p w14:paraId="119F6151" w14:textId="77777777" w:rsidR="009C353B" w:rsidRDefault="009C353B">
            <w:pPr>
              <w:widowControl/>
              <w:jc w:val="center"/>
              <w:rPr>
                <w:rFonts w:ascii="Times New Roman" w:eastAsiaTheme="minorEastAsia" w:hAnsi="Times New Roman"/>
                <w:spacing w:val="-8"/>
                <w:sz w:val="21"/>
                <w:szCs w:val="21"/>
              </w:rPr>
            </w:pPr>
          </w:p>
        </w:tc>
        <w:tc>
          <w:tcPr>
            <w:tcW w:w="676" w:type="dxa"/>
            <w:shd w:val="clear" w:color="auto" w:fill="auto"/>
            <w:noWrap/>
          </w:tcPr>
          <w:p w14:paraId="2A652716"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2#</w:t>
            </w:r>
          </w:p>
        </w:tc>
        <w:tc>
          <w:tcPr>
            <w:tcW w:w="1930" w:type="dxa"/>
            <w:vMerge/>
            <w:shd w:val="clear" w:color="auto" w:fill="auto"/>
          </w:tcPr>
          <w:p w14:paraId="0599357C" w14:textId="77777777" w:rsidR="009C353B" w:rsidRDefault="009C353B">
            <w:pPr>
              <w:widowControl/>
              <w:jc w:val="center"/>
              <w:rPr>
                <w:rFonts w:ascii="Times New Roman" w:eastAsiaTheme="minorEastAsia" w:hAnsi="Times New Roman"/>
                <w:kern w:val="0"/>
                <w:sz w:val="21"/>
                <w:szCs w:val="21"/>
              </w:rPr>
            </w:pPr>
          </w:p>
        </w:tc>
        <w:tc>
          <w:tcPr>
            <w:tcW w:w="2045" w:type="dxa"/>
            <w:gridSpan w:val="2"/>
            <w:shd w:val="clear" w:color="auto" w:fill="auto"/>
            <w:noWrap/>
          </w:tcPr>
          <w:p w14:paraId="61A59C41"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z w:val="21"/>
                <w:szCs w:val="21"/>
              </w:rPr>
              <w:t>甜水河村北侧</w:t>
            </w:r>
          </w:p>
        </w:tc>
        <w:tc>
          <w:tcPr>
            <w:tcW w:w="2598" w:type="dxa"/>
            <w:gridSpan w:val="2"/>
            <w:vMerge/>
            <w:shd w:val="clear" w:color="auto" w:fill="auto"/>
            <w:noWrap/>
          </w:tcPr>
          <w:p w14:paraId="29684B06" w14:textId="77777777" w:rsidR="009C353B" w:rsidRDefault="009C353B">
            <w:pPr>
              <w:widowControl/>
              <w:jc w:val="center"/>
              <w:rPr>
                <w:rFonts w:ascii="Times New Roman" w:eastAsiaTheme="minorEastAsia" w:hAnsi="Times New Roman"/>
                <w:kern w:val="0"/>
                <w:sz w:val="21"/>
                <w:szCs w:val="21"/>
              </w:rPr>
            </w:pPr>
          </w:p>
        </w:tc>
      </w:tr>
      <w:tr w:rsidR="009C353B" w14:paraId="176EE188" w14:textId="77777777">
        <w:trPr>
          <w:trHeight w:val="340"/>
        </w:trPr>
        <w:tc>
          <w:tcPr>
            <w:tcW w:w="426" w:type="dxa"/>
            <w:vMerge/>
            <w:shd w:val="clear" w:color="auto" w:fill="auto"/>
            <w:noWrap/>
          </w:tcPr>
          <w:p w14:paraId="6BD1EDE8" w14:textId="77777777" w:rsidR="009C353B" w:rsidRDefault="009C353B">
            <w:pPr>
              <w:jc w:val="center"/>
              <w:rPr>
                <w:rFonts w:ascii="Times New Roman" w:eastAsiaTheme="minorEastAsia" w:hAnsi="Times New Roman"/>
                <w:kern w:val="0"/>
                <w:sz w:val="21"/>
                <w:szCs w:val="21"/>
              </w:rPr>
            </w:pPr>
          </w:p>
        </w:tc>
        <w:tc>
          <w:tcPr>
            <w:tcW w:w="1612" w:type="dxa"/>
            <w:vMerge/>
          </w:tcPr>
          <w:p w14:paraId="6FA0D158" w14:textId="77777777" w:rsidR="009C353B" w:rsidRDefault="009C353B">
            <w:pPr>
              <w:widowControl/>
              <w:jc w:val="center"/>
              <w:rPr>
                <w:rFonts w:ascii="Times New Roman" w:eastAsiaTheme="minorEastAsia" w:hAnsi="Times New Roman"/>
                <w:spacing w:val="-8"/>
                <w:sz w:val="21"/>
                <w:szCs w:val="21"/>
              </w:rPr>
            </w:pPr>
          </w:p>
        </w:tc>
        <w:tc>
          <w:tcPr>
            <w:tcW w:w="676" w:type="dxa"/>
            <w:shd w:val="clear" w:color="auto" w:fill="auto"/>
            <w:noWrap/>
          </w:tcPr>
          <w:p w14:paraId="078C04C0"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3#</w:t>
            </w:r>
          </w:p>
        </w:tc>
        <w:tc>
          <w:tcPr>
            <w:tcW w:w="1930" w:type="dxa"/>
            <w:vMerge/>
            <w:shd w:val="clear" w:color="auto" w:fill="auto"/>
          </w:tcPr>
          <w:p w14:paraId="219EDCE5" w14:textId="77777777" w:rsidR="009C353B" w:rsidRDefault="009C353B">
            <w:pPr>
              <w:widowControl/>
              <w:jc w:val="center"/>
              <w:rPr>
                <w:rFonts w:ascii="Times New Roman" w:eastAsiaTheme="minorEastAsia" w:hAnsi="Times New Roman"/>
                <w:kern w:val="0"/>
                <w:sz w:val="21"/>
                <w:szCs w:val="21"/>
              </w:rPr>
            </w:pPr>
          </w:p>
        </w:tc>
        <w:tc>
          <w:tcPr>
            <w:tcW w:w="2045" w:type="dxa"/>
            <w:gridSpan w:val="2"/>
            <w:shd w:val="clear" w:color="auto" w:fill="auto"/>
            <w:noWrap/>
          </w:tcPr>
          <w:p w14:paraId="668CF7EF"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z w:val="21"/>
                <w:szCs w:val="21"/>
              </w:rPr>
              <w:t>甜水河村以西</w:t>
            </w:r>
            <w:r>
              <w:rPr>
                <w:rFonts w:ascii="Times New Roman" w:eastAsiaTheme="minorEastAsia" w:hAnsi="Times New Roman"/>
                <w:sz w:val="21"/>
                <w:szCs w:val="21"/>
              </w:rPr>
              <w:t>2000m</w:t>
            </w:r>
            <w:r>
              <w:rPr>
                <w:rFonts w:ascii="Times New Roman" w:eastAsiaTheme="minorEastAsia" w:hAnsi="Times New Roman"/>
                <w:sz w:val="21"/>
                <w:szCs w:val="21"/>
              </w:rPr>
              <w:t>处</w:t>
            </w:r>
          </w:p>
        </w:tc>
        <w:tc>
          <w:tcPr>
            <w:tcW w:w="2598" w:type="dxa"/>
            <w:gridSpan w:val="2"/>
            <w:vMerge/>
            <w:shd w:val="clear" w:color="auto" w:fill="auto"/>
            <w:noWrap/>
          </w:tcPr>
          <w:p w14:paraId="49107540" w14:textId="77777777" w:rsidR="009C353B" w:rsidRDefault="009C353B">
            <w:pPr>
              <w:widowControl/>
              <w:jc w:val="center"/>
              <w:rPr>
                <w:rFonts w:ascii="Times New Roman" w:eastAsiaTheme="minorEastAsia" w:hAnsi="Times New Roman"/>
                <w:kern w:val="0"/>
                <w:sz w:val="21"/>
                <w:szCs w:val="21"/>
              </w:rPr>
            </w:pPr>
          </w:p>
        </w:tc>
      </w:tr>
      <w:tr w:rsidR="009C353B" w14:paraId="31E10BA5" w14:textId="77777777">
        <w:trPr>
          <w:trHeight w:val="340"/>
        </w:trPr>
        <w:tc>
          <w:tcPr>
            <w:tcW w:w="426" w:type="dxa"/>
            <w:vMerge/>
            <w:shd w:val="clear" w:color="auto" w:fill="auto"/>
            <w:noWrap/>
          </w:tcPr>
          <w:p w14:paraId="13CEEA9D" w14:textId="77777777" w:rsidR="009C353B" w:rsidRDefault="009C353B">
            <w:pPr>
              <w:widowControl/>
              <w:jc w:val="center"/>
              <w:rPr>
                <w:rFonts w:ascii="Times New Roman" w:eastAsiaTheme="minorEastAsia" w:hAnsi="Times New Roman"/>
                <w:kern w:val="0"/>
                <w:sz w:val="21"/>
                <w:szCs w:val="21"/>
              </w:rPr>
            </w:pPr>
          </w:p>
        </w:tc>
        <w:tc>
          <w:tcPr>
            <w:tcW w:w="1612" w:type="dxa"/>
            <w:vMerge w:val="restart"/>
          </w:tcPr>
          <w:p w14:paraId="040B321A"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z w:val="21"/>
                <w:szCs w:val="21"/>
                <w:lang w:val="zh-CN"/>
              </w:rPr>
              <w:t>《国网能源宁夏煤电有限公司甜水河矿井及选煤厂环境影响报告书》</w:t>
            </w:r>
          </w:p>
        </w:tc>
        <w:tc>
          <w:tcPr>
            <w:tcW w:w="676" w:type="dxa"/>
            <w:shd w:val="clear" w:color="auto" w:fill="auto"/>
            <w:noWrap/>
          </w:tcPr>
          <w:p w14:paraId="3C8DB13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pacing w:val="-8"/>
                <w:sz w:val="21"/>
                <w:szCs w:val="21"/>
              </w:rPr>
              <w:t>4#</w:t>
            </w:r>
          </w:p>
        </w:tc>
        <w:tc>
          <w:tcPr>
            <w:tcW w:w="1930" w:type="dxa"/>
            <w:vMerge w:val="restart"/>
            <w:shd w:val="clear" w:color="auto" w:fill="auto"/>
          </w:tcPr>
          <w:p w14:paraId="22D547E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2013/1/21~</w:t>
            </w:r>
          </w:p>
          <w:p w14:paraId="6B3535F9" w14:textId="77777777" w:rsidR="009C353B" w:rsidRDefault="00000000">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2013/1/23</w:t>
            </w:r>
          </w:p>
        </w:tc>
        <w:tc>
          <w:tcPr>
            <w:tcW w:w="2045" w:type="dxa"/>
            <w:gridSpan w:val="2"/>
            <w:shd w:val="clear" w:color="auto" w:fill="auto"/>
            <w:noWrap/>
          </w:tcPr>
          <w:p w14:paraId="73647A5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pacing w:val="-8"/>
                <w:sz w:val="21"/>
                <w:szCs w:val="21"/>
              </w:rPr>
              <w:t>沙葱沟入大河子沟上游</w:t>
            </w:r>
            <w:r>
              <w:rPr>
                <w:rFonts w:ascii="Times New Roman" w:eastAsiaTheme="minorEastAsia" w:hAnsi="Times New Roman"/>
                <w:spacing w:val="-8"/>
                <w:sz w:val="21"/>
                <w:szCs w:val="21"/>
              </w:rPr>
              <w:t>500m</w:t>
            </w:r>
          </w:p>
        </w:tc>
        <w:tc>
          <w:tcPr>
            <w:tcW w:w="2598" w:type="dxa"/>
            <w:gridSpan w:val="2"/>
            <w:vMerge w:val="restart"/>
            <w:shd w:val="clear" w:color="auto" w:fill="auto"/>
            <w:noWrap/>
          </w:tcPr>
          <w:p w14:paraId="70B6DA4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w:t>
            </w:r>
            <w:r>
              <w:rPr>
                <w:rFonts w:ascii="Times New Roman" w:eastAsiaTheme="minorEastAsia" w:hAnsi="Times New Roman"/>
                <w:kern w:val="0"/>
                <w:sz w:val="21"/>
                <w:szCs w:val="21"/>
              </w:rPr>
              <w:t>SS</w:t>
            </w:r>
            <w:r>
              <w:rPr>
                <w:rFonts w:ascii="Times New Roman" w:eastAsiaTheme="minorEastAsia" w:hAnsi="Times New Roman"/>
                <w:kern w:val="0"/>
                <w:sz w:val="21"/>
                <w:szCs w:val="21"/>
              </w:rPr>
              <w:t>、</w:t>
            </w:r>
            <w:r>
              <w:rPr>
                <w:rFonts w:ascii="Times New Roman" w:eastAsiaTheme="minorEastAsia" w:hAnsi="Times New Roman"/>
                <w:kern w:val="0"/>
                <w:sz w:val="21"/>
                <w:szCs w:val="21"/>
              </w:rPr>
              <w:t>COD</w:t>
            </w:r>
            <w:r>
              <w:rPr>
                <w:rFonts w:ascii="Times New Roman" w:eastAsiaTheme="minorEastAsia" w:hAnsi="Times New Roman"/>
                <w:kern w:val="0"/>
                <w:sz w:val="21"/>
                <w:szCs w:val="21"/>
              </w:rPr>
              <w:t>、</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、氨氮、氟化物、硫化物、石油类、挥发酚、高锰酸盐指数、溶解氧、氰化物、溶解性总固体、矿化度</w:t>
            </w:r>
          </w:p>
        </w:tc>
      </w:tr>
      <w:tr w:rsidR="009C353B" w14:paraId="14D7D16C" w14:textId="77777777">
        <w:trPr>
          <w:trHeight w:val="340"/>
        </w:trPr>
        <w:tc>
          <w:tcPr>
            <w:tcW w:w="426" w:type="dxa"/>
            <w:vMerge/>
            <w:shd w:val="clear" w:color="auto" w:fill="auto"/>
            <w:noWrap/>
          </w:tcPr>
          <w:p w14:paraId="21888CCA" w14:textId="77777777" w:rsidR="009C353B" w:rsidRDefault="009C353B">
            <w:pPr>
              <w:widowControl/>
              <w:jc w:val="center"/>
              <w:rPr>
                <w:rFonts w:ascii="Times New Roman" w:eastAsiaTheme="minorEastAsia" w:hAnsi="Times New Roman"/>
                <w:kern w:val="0"/>
                <w:sz w:val="21"/>
                <w:szCs w:val="21"/>
              </w:rPr>
            </w:pPr>
          </w:p>
        </w:tc>
        <w:tc>
          <w:tcPr>
            <w:tcW w:w="1612" w:type="dxa"/>
            <w:vMerge/>
          </w:tcPr>
          <w:p w14:paraId="0E8DDEAD" w14:textId="77777777" w:rsidR="009C353B" w:rsidRDefault="009C353B">
            <w:pPr>
              <w:widowControl/>
              <w:jc w:val="center"/>
              <w:rPr>
                <w:rFonts w:ascii="Times New Roman" w:eastAsiaTheme="minorEastAsia" w:hAnsi="Times New Roman"/>
                <w:spacing w:val="-8"/>
                <w:sz w:val="21"/>
                <w:szCs w:val="21"/>
              </w:rPr>
            </w:pPr>
          </w:p>
        </w:tc>
        <w:tc>
          <w:tcPr>
            <w:tcW w:w="676" w:type="dxa"/>
            <w:shd w:val="clear" w:color="auto" w:fill="auto"/>
            <w:noWrap/>
          </w:tcPr>
          <w:p w14:paraId="73A45CA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pacing w:val="-8"/>
                <w:sz w:val="21"/>
                <w:szCs w:val="21"/>
              </w:rPr>
              <w:t>5#</w:t>
            </w:r>
          </w:p>
        </w:tc>
        <w:tc>
          <w:tcPr>
            <w:tcW w:w="1930" w:type="dxa"/>
            <w:vMerge/>
            <w:shd w:val="clear" w:color="auto" w:fill="auto"/>
          </w:tcPr>
          <w:p w14:paraId="0383494A" w14:textId="77777777" w:rsidR="009C353B" w:rsidRDefault="009C353B">
            <w:pPr>
              <w:jc w:val="center"/>
              <w:rPr>
                <w:rFonts w:ascii="Times New Roman" w:eastAsiaTheme="minorEastAsia" w:hAnsi="Times New Roman"/>
                <w:kern w:val="0"/>
                <w:sz w:val="21"/>
                <w:szCs w:val="21"/>
              </w:rPr>
            </w:pPr>
          </w:p>
        </w:tc>
        <w:tc>
          <w:tcPr>
            <w:tcW w:w="2045" w:type="dxa"/>
            <w:gridSpan w:val="2"/>
            <w:shd w:val="clear" w:color="auto" w:fill="auto"/>
            <w:noWrap/>
          </w:tcPr>
          <w:p w14:paraId="5E9F4E7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pacing w:val="-8"/>
                <w:sz w:val="21"/>
                <w:szCs w:val="21"/>
              </w:rPr>
              <w:t>沙葱沟入大河子沟下游</w:t>
            </w:r>
            <w:r>
              <w:rPr>
                <w:rFonts w:ascii="Times New Roman" w:eastAsiaTheme="minorEastAsia" w:hAnsi="Times New Roman"/>
                <w:spacing w:val="-8"/>
                <w:sz w:val="21"/>
                <w:szCs w:val="21"/>
              </w:rPr>
              <w:t>500m</w:t>
            </w:r>
          </w:p>
        </w:tc>
        <w:tc>
          <w:tcPr>
            <w:tcW w:w="2598" w:type="dxa"/>
            <w:gridSpan w:val="2"/>
            <w:vMerge/>
            <w:shd w:val="clear" w:color="auto" w:fill="auto"/>
            <w:noWrap/>
          </w:tcPr>
          <w:p w14:paraId="2091CFA6" w14:textId="77777777" w:rsidR="009C353B" w:rsidRDefault="009C353B">
            <w:pPr>
              <w:widowControl/>
              <w:jc w:val="center"/>
              <w:rPr>
                <w:rFonts w:ascii="Times New Roman" w:eastAsiaTheme="minorEastAsia" w:hAnsi="Times New Roman"/>
                <w:kern w:val="0"/>
                <w:sz w:val="21"/>
                <w:szCs w:val="21"/>
              </w:rPr>
            </w:pPr>
          </w:p>
        </w:tc>
      </w:tr>
      <w:tr w:rsidR="009C353B" w14:paraId="34AD1EE5" w14:textId="77777777">
        <w:trPr>
          <w:trHeight w:val="340"/>
        </w:trPr>
        <w:tc>
          <w:tcPr>
            <w:tcW w:w="426" w:type="dxa"/>
            <w:vMerge/>
            <w:shd w:val="clear" w:color="auto" w:fill="auto"/>
            <w:noWrap/>
          </w:tcPr>
          <w:p w14:paraId="3689E5F7" w14:textId="77777777" w:rsidR="009C353B" w:rsidRDefault="009C353B">
            <w:pPr>
              <w:widowControl/>
              <w:jc w:val="center"/>
              <w:rPr>
                <w:rFonts w:ascii="Times New Roman" w:eastAsiaTheme="minorEastAsia" w:hAnsi="Times New Roman"/>
                <w:kern w:val="0"/>
                <w:sz w:val="21"/>
                <w:szCs w:val="21"/>
              </w:rPr>
            </w:pPr>
          </w:p>
        </w:tc>
        <w:tc>
          <w:tcPr>
            <w:tcW w:w="1612" w:type="dxa"/>
            <w:vMerge/>
          </w:tcPr>
          <w:p w14:paraId="63480461" w14:textId="77777777" w:rsidR="009C353B" w:rsidRDefault="009C353B">
            <w:pPr>
              <w:widowControl/>
              <w:jc w:val="center"/>
              <w:rPr>
                <w:rFonts w:ascii="Times New Roman" w:eastAsiaTheme="minorEastAsia" w:hAnsi="Times New Roman"/>
                <w:spacing w:val="-8"/>
                <w:sz w:val="21"/>
                <w:szCs w:val="21"/>
              </w:rPr>
            </w:pPr>
          </w:p>
        </w:tc>
        <w:tc>
          <w:tcPr>
            <w:tcW w:w="676" w:type="dxa"/>
            <w:shd w:val="clear" w:color="auto" w:fill="auto"/>
            <w:noWrap/>
          </w:tcPr>
          <w:p w14:paraId="5CDCDA4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pacing w:val="-8"/>
                <w:sz w:val="21"/>
                <w:szCs w:val="21"/>
              </w:rPr>
              <w:t>6#</w:t>
            </w:r>
          </w:p>
        </w:tc>
        <w:tc>
          <w:tcPr>
            <w:tcW w:w="1930" w:type="dxa"/>
            <w:vMerge/>
            <w:shd w:val="clear" w:color="auto" w:fill="auto"/>
          </w:tcPr>
          <w:p w14:paraId="1FAF8661" w14:textId="77777777" w:rsidR="009C353B" w:rsidRDefault="009C353B">
            <w:pPr>
              <w:widowControl/>
              <w:jc w:val="center"/>
              <w:rPr>
                <w:rFonts w:ascii="Times New Roman" w:eastAsiaTheme="minorEastAsia" w:hAnsi="Times New Roman"/>
                <w:kern w:val="0"/>
                <w:sz w:val="21"/>
                <w:szCs w:val="21"/>
              </w:rPr>
            </w:pPr>
          </w:p>
        </w:tc>
        <w:tc>
          <w:tcPr>
            <w:tcW w:w="2045" w:type="dxa"/>
            <w:gridSpan w:val="2"/>
            <w:shd w:val="clear" w:color="auto" w:fill="auto"/>
            <w:noWrap/>
          </w:tcPr>
          <w:p w14:paraId="2BC2F8E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pacing w:val="-8"/>
                <w:sz w:val="21"/>
                <w:szCs w:val="21"/>
              </w:rPr>
              <w:t>沙葱沟入大河子沟下游</w:t>
            </w:r>
            <w:r>
              <w:rPr>
                <w:rFonts w:ascii="Times New Roman" w:eastAsiaTheme="minorEastAsia" w:hAnsi="Times New Roman"/>
                <w:spacing w:val="-8"/>
                <w:sz w:val="21"/>
                <w:szCs w:val="21"/>
              </w:rPr>
              <w:t>5000m</w:t>
            </w:r>
          </w:p>
        </w:tc>
        <w:tc>
          <w:tcPr>
            <w:tcW w:w="2598" w:type="dxa"/>
            <w:gridSpan w:val="2"/>
            <w:vMerge/>
            <w:shd w:val="clear" w:color="auto" w:fill="auto"/>
            <w:noWrap/>
          </w:tcPr>
          <w:p w14:paraId="71D287B5" w14:textId="77777777" w:rsidR="009C353B" w:rsidRDefault="009C353B">
            <w:pPr>
              <w:widowControl/>
              <w:jc w:val="center"/>
              <w:rPr>
                <w:rFonts w:ascii="Times New Roman" w:eastAsiaTheme="minorEastAsia" w:hAnsi="Times New Roman"/>
                <w:kern w:val="0"/>
                <w:sz w:val="21"/>
                <w:szCs w:val="21"/>
              </w:rPr>
            </w:pPr>
          </w:p>
        </w:tc>
      </w:tr>
      <w:tr w:rsidR="009C353B" w14:paraId="22789CCE" w14:textId="77777777">
        <w:trPr>
          <w:trHeight w:val="858"/>
        </w:trPr>
        <w:tc>
          <w:tcPr>
            <w:tcW w:w="426" w:type="dxa"/>
            <w:vMerge/>
            <w:shd w:val="clear" w:color="auto" w:fill="auto"/>
            <w:noWrap/>
          </w:tcPr>
          <w:p w14:paraId="7086FFA5" w14:textId="77777777" w:rsidR="009C353B" w:rsidRDefault="009C353B">
            <w:pPr>
              <w:widowControl/>
              <w:jc w:val="center"/>
              <w:rPr>
                <w:rFonts w:ascii="Times New Roman" w:eastAsiaTheme="minorEastAsia" w:hAnsi="Times New Roman"/>
                <w:kern w:val="0"/>
                <w:sz w:val="21"/>
                <w:szCs w:val="21"/>
              </w:rPr>
            </w:pPr>
          </w:p>
        </w:tc>
        <w:tc>
          <w:tcPr>
            <w:tcW w:w="1612" w:type="dxa"/>
            <w:vMerge w:val="restart"/>
          </w:tcPr>
          <w:p w14:paraId="060A4F96"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z w:val="21"/>
                <w:szCs w:val="21"/>
                <w:lang w:val="zh-CN"/>
              </w:rPr>
              <w:t>《宁东基地现代煤化工产业示范区总体规划环境影响报告书》</w:t>
            </w:r>
          </w:p>
        </w:tc>
        <w:tc>
          <w:tcPr>
            <w:tcW w:w="676" w:type="dxa"/>
            <w:shd w:val="clear" w:color="auto" w:fill="auto"/>
            <w:noWrap/>
          </w:tcPr>
          <w:p w14:paraId="549BDDAC"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7#</w:t>
            </w:r>
          </w:p>
        </w:tc>
        <w:tc>
          <w:tcPr>
            <w:tcW w:w="1930" w:type="dxa"/>
            <w:vMerge w:val="restart"/>
            <w:shd w:val="clear" w:color="auto" w:fill="auto"/>
          </w:tcPr>
          <w:p w14:paraId="7A93E17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2016~2018</w:t>
            </w:r>
          </w:p>
        </w:tc>
        <w:tc>
          <w:tcPr>
            <w:tcW w:w="2045" w:type="dxa"/>
            <w:gridSpan w:val="2"/>
            <w:shd w:val="clear" w:color="auto" w:fill="auto"/>
            <w:noWrap/>
          </w:tcPr>
          <w:p w14:paraId="163D1468"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甜水河水库进水断面</w:t>
            </w:r>
          </w:p>
        </w:tc>
        <w:tc>
          <w:tcPr>
            <w:tcW w:w="2598" w:type="dxa"/>
            <w:gridSpan w:val="2"/>
            <w:vMerge w:val="restart"/>
            <w:shd w:val="clear" w:color="auto" w:fill="auto"/>
            <w:noWrap/>
          </w:tcPr>
          <w:p w14:paraId="4044979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、溶解氧、高锰酸钾指数、</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、氨氮、石油类、挥发酚、汞、铅、</w:t>
            </w:r>
            <w:r>
              <w:rPr>
                <w:rFonts w:ascii="Times New Roman" w:eastAsiaTheme="minorEastAsia" w:hAnsi="Times New Roman"/>
                <w:kern w:val="0"/>
                <w:sz w:val="21"/>
                <w:szCs w:val="21"/>
              </w:rPr>
              <w:t>COD</w:t>
            </w:r>
            <w:r>
              <w:rPr>
                <w:rFonts w:ascii="Times New Roman" w:eastAsiaTheme="minorEastAsia" w:hAnsi="Times New Roman"/>
                <w:kern w:val="0"/>
                <w:sz w:val="21"/>
                <w:szCs w:val="21"/>
              </w:rPr>
              <w:t>、总氮、总磷、铜、锌、氟化物、硒、砷、镉、六价铬、氰化物、阴离子表面活性剂、硫化物、粪大肠杆菌、溶解性总固体</w:t>
            </w:r>
          </w:p>
        </w:tc>
      </w:tr>
      <w:tr w:rsidR="009C353B" w14:paraId="6FA986D9" w14:textId="77777777">
        <w:trPr>
          <w:trHeight w:val="340"/>
        </w:trPr>
        <w:tc>
          <w:tcPr>
            <w:tcW w:w="426" w:type="dxa"/>
            <w:vMerge/>
            <w:shd w:val="clear" w:color="auto" w:fill="auto"/>
            <w:noWrap/>
          </w:tcPr>
          <w:p w14:paraId="0824449C" w14:textId="77777777" w:rsidR="009C353B" w:rsidRDefault="009C353B">
            <w:pPr>
              <w:widowControl/>
              <w:jc w:val="center"/>
              <w:rPr>
                <w:rFonts w:ascii="Times New Roman" w:eastAsiaTheme="minorEastAsia" w:hAnsi="Times New Roman"/>
                <w:kern w:val="0"/>
                <w:sz w:val="21"/>
                <w:szCs w:val="21"/>
              </w:rPr>
            </w:pPr>
          </w:p>
        </w:tc>
        <w:tc>
          <w:tcPr>
            <w:tcW w:w="1612" w:type="dxa"/>
            <w:vMerge/>
          </w:tcPr>
          <w:p w14:paraId="7268C9DE" w14:textId="77777777" w:rsidR="009C353B" w:rsidRDefault="009C353B">
            <w:pPr>
              <w:widowControl/>
              <w:jc w:val="center"/>
              <w:rPr>
                <w:rFonts w:ascii="Times New Roman" w:eastAsiaTheme="minorEastAsia" w:hAnsi="Times New Roman"/>
                <w:spacing w:val="-8"/>
                <w:sz w:val="21"/>
                <w:szCs w:val="21"/>
              </w:rPr>
            </w:pPr>
          </w:p>
        </w:tc>
        <w:tc>
          <w:tcPr>
            <w:tcW w:w="676" w:type="dxa"/>
            <w:shd w:val="clear" w:color="auto" w:fill="auto"/>
            <w:noWrap/>
          </w:tcPr>
          <w:p w14:paraId="39154881"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8#</w:t>
            </w:r>
          </w:p>
        </w:tc>
        <w:tc>
          <w:tcPr>
            <w:tcW w:w="1930" w:type="dxa"/>
            <w:vMerge/>
            <w:shd w:val="clear" w:color="auto" w:fill="auto"/>
          </w:tcPr>
          <w:p w14:paraId="008B4446" w14:textId="77777777" w:rsidR="009C353B" w:rsidRDefault="009C353B">
            <w:pPr>
              <w:widowControl/>
              <w:jc w:val="center"/>
              <w:rPr>
                <w:rFonts w:ascii="Times New Roman" w:eastAsiaTheme="minorEastAsia" w:hAnsi="Times New Roman"/>
                <w:kern w:val="0"/>
                <w:sz w:val="21"/>
                <w:szCs w:val="21"/>
              </w:rPr>
            </w:pPr>
          </w:p>
        </w:tc>
        <w:tc>
          <w:tcPr>
            <w:tcW w:w="2045" w:type="dxa"/>
            <w:gridSpan w:val="2"/>
            <w:shd w:val="clear" w:color="auto" w:fill="auto"/>
            <w:noWrap/>
          </w:tcPr>
          <w:p w14:paraId="79C6E8E0"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入东沟出水断面</w:t>
            </w:r>
          </w:p>
        </w:tc>
        <w:tc>
          <w:tcPr>
            <w:tcW w:w="2598" w:type="dxa"/>
            <w:gridSpan w:val="2"/>
            <w:vMerge/>
            <w:shd w:val="clear" w:color="auto" w:fill="auto"/>
            <w:noWrap/>
          </w:tcPr>
          <w:p w14:paraId="5EE0C319" w14:textId="77777777" w:rsidR="009C353B" w:rsidRDefault="009C353B">
            <w:pPr>
              <w:widowControl/>
              <w:jc w:val="center"/>
              <w:rPr>
                <w:rFonts w:ascii="Times New Roman" w:eastAsiaTheme="minorEastAsia" w:hAnsi="Times New Roman"/>
                <w:kern w:val="0"/>
                <w:sz w:val="21"/>
                <w:szCs w:val="21"/>
              </w:rPr>
            </w:pPr>
          </w:p>
        </w:tc>
      </w:tr>
      <w:tr w:rsidR="009C353B" w14:paraId="3A1FF5FC" w14:textId="77777777">
        <w:trPr>
          <w:trHeight w:val="673"/>
        </w:trPr>
        <w:tc>
          <w:tcPr>
            <w:tcW w:w="426" w:type="dxa"/>
            <w:vMerge/>
            <w:shd w:val="clear" w:color="auto" w:fill="auto"/>
            <w:noWrap/>
          </w:tcPr>
          <w:p w14:paraId="55A71AD5" w14:textId="77777777" w:rsidR="009C353B" w:rsidRDefault="009C353B">
            <w:pPr>
              <w:widowControl/>
              <w:jc w:val="center"/>
              <w:rPr>
                <w:rFonts w:ascii="Times New Roman" w:eastAsiaTheme="minorEastAsia" w:hAnsi="Times New Roman"/>
                <w:kern w:val="0"/>
                <w:sz w:val="21"/>
                <w:szCs w:val="21"/>
              </w:rPr>
            </w:pPr>
          </w:p>
        </w:tc>
        <w:tc>
          <w:tcPr>
            <w:tcW w:w="1612" w:type="dxa"/>
            <w:vMerge w:val="restart"/>
          </w:tcPr>
          <w:p w14:paraId="06BD3BB8"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《宁东能源化工基地</w:t>
            </w:r>
            <w:r>
              <w:rPr>
                <w:rFonts w:ascii="Times New Roman" w:eastAsiaTheme="minorEastAsia" w:hAnsi="Times New Roman"/>
                <w:spacing w:val="-8"/>
                <w:sz w:val="21"/>
                <w:szCs w:val="21"/>
              </w:rPr>
              <w:t>“</w:t>
            </w:r>
            <w:r>
              <w:rPr>
                <w:rFonts w:ascii="Times New Roman" w:eastAsiaTheme="minorEastAsia" w:hAnsi="Times New Roman"/>
                <w:spacing w:val="-8"/>
                <w:sz w:val="21"/>
                <w:szCs w:val="21"/>
              </w:rPr>
              <w:t>十三五</w:t>
            </w:r>
            <w:r>
              <w:rPr>
                <w:rFonts w:ascii="Times New Roman" w:eastAsiaTheme="minorEastAsia" w:hAnsi="Times New Roman"/>
                <w:spacing w:val="-8"/>
                <w:sz w:val="21"/>
                <w:szCs w:val="21"/>
              </w:rPr>
              <w:t>”</w:t>
            </w:r>
            <w:r>
              <w:rPr>
                <w:rFonts w:ascii="Times New Roman" w:eastAsiaTheme="minorEastAsia" w:hAnsi="Times New Roman"/>
                <w:spacing w:val="-8"/>
                <w:sz w:val="21"/>
                <w:szCs w:val="21"/>
              </w:rPr>
              <w:t>开发总体规划环境影响报告书》</w:t>
            </w:r>
          </w:p>
        </w:tc>
        <w:tc>
          <w:tcPr>
            <w:tcW w:w="676" w:type="dxa"/>
            <w:shd w:val="clear" w:color="auto" w:fill="auto"/>
            <w:noWrap/>
          </w:tcPr>
          <w:p w14:paraId="24A8A942"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9#</w:t>
            </w:r>
          </w:p>
        </w:tc>
        <w:tc>
          <w:tcPr>
            <w:tcW w:w="1930" w:type="dxa"/>
            <w:vMerge w:val="restart"/>
            <w:shd w:val="clear" w:color="auto" w:fill="auto"/>
          </w:tcPr>
          <w:p w14:paraId="7572114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2018/3/11~</w:t>
            </w:r>
          </w:p>
          <w:p w14:paraId="340DDBD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2018/3/12</w:t>
            </w:r>
          </w:p>
        </w:tc>
        <w:tc>
          <w:tcPr>
            <w:tcW w:w="2045" w:type="dxa"/>
            <w:gridSpan w:val="2"/>
            <w:shd w:val="clear" w:color="auto" w:fill="auto"/>
            <w:noWrap/>
          </w:tcPr>
          <w:p w14:paraId="12B8658F"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西天河上游</w:t>
            </w:r>
          </w:p>
        </w:tc>
        <w:tc>
          <w:tcPr>
            <w:tcW w:w="2598" w:type="dxa"/>
            <w:gridSpan w:val="2"/>
            <w:vMerge w:val="restart"/>
            <w:shd w:val="clear" w:color="auto" w:fill="auto"/>
            <w:noWrap/>
          </w:tcPr>
          <w:p w14:paraId="471CE23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w:t>
            </w:r>
            <w:r>
              <w:rPr>
                <w:rFonts w:ascii="Times New Roman" w:eastAsiaTheme="minorEastAsia" w:hAnsi="Times New Roman"/>
                <w:kern w:val="0"/>
                <w:sz w:val="21"/>
                <w:szCs w:val="21"/>
              </w:rPr>
              <w:t>COD</w:t>
            </w:r>
            <w:r>
              <w:rPr>
                <w:rFonts w:ascii="Times New Roman" w:eastAsiaTheme="minorEastAsia" w:hAnsi="Times New Roman"/>
                <w:kern w:val="0"/>
                <w:sz w:val="21"/>
                <w:szCs w:val="21"/>
              </w:rPr>
              <w:t>、</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、氨氮、氟化物、硫化物、石油类、挥发酚、高猛酸盐指数、溶解氧、氰化物、、总磷、铜、锌、硒、砷、汞、镉、六价铬、铅、阴离子表面活性剂、粪大肠菌群、全盐量</w:t>
            </w:r>
          </w:p>
        </w:tc>
      </w:tr>
      <w:tr w:rsidR="009C353B" w14:paraId="1B85B803" w14:textId="77777777">
        <w:trPr>
          <w:trHeight w:val="340"/>
        </w:trPr>
        <w:tc>
          <w:tcPr>
            <w:tcW w:w="426" w:type="dxa"/>
            <w:vMerge/>
            <w:shd w:val="clear" w:color="auto" w:fill="auto"/>
            <w:noWrap/>
          </w:tcPr>
          <w:p w14:paraId="772C8462" w14:textId="77777777" w:rsidR="009C353B" w:rsidRDefault="009C353B">
            <w:pPr>
              <w:widowControl/>
              <w:jc w:val="center"/>
              <w:rPr>
                <w:rFonts w:ascii="Times New Roman" w:eastAsiaTheme="minorEastAsia" w:hAnsi="Times New Roman"/>
                <w:kern w:val="0"/>
                <w:sz w:val="21"/>
                <w:szCs w:val="21"/>
              </w:rPr>
            </w:pPr>
          </w:p>
        </w:tc>
        <w:tc>
          <w:tcPr>
            <w:tcW w:w="1612" w:type="dxa"/>
            <w:vMerge/>
          </w:tcPr>
          <w:p w14:paraId="01DF9A84" w14:textId="77777777" w:rsidR="009C353B" w:rsidRDefault="009C353B">
            <w:pPr>
              <w:widowControl/>
              <w:jc w:val="center"/>
              <w:rPr>
                <w:rFonts w:ascii="Times New Roman" w:eastAsiaTheme="minorEastAsia" w:hAnsi="Times New Roman"/>
                <w:spacing w:val="-8"/>
                <w:sz w:val="21"/>
                <w:szCs w:val="21"/>
              </w:rPr>
            </w:pPr>
          </w:p>
        </w:tc>
        <w:tc>
          <w:tcPr>
            <w:tcW w:w="676" w:type="dxa"/>
            <w:shd w:val="clear" w:color="auto" w:fill="auto"/>
            <w:noWrap/>
          </w:tcPr>
          <w:p w14:paraId="7A37779E"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10#</w:t>
            </w:r>
          </w:p>
        </w:tc>
        <w:tc>
          <w:tcPr>
            <w:tcW w:w="1930" w:type="dxa"/>
            <w:vMerge/>
            <w:shd w:val="clear" w:color="auto" w:fill="auto"/>
          </w:tcPr>
          <w:p w14:paraId="3CF4D50C" w14:textId="77777777" w:rsidR="009C353B" w:rsidRDefault="009C353B">
            <w:pPr>
              <w:widowControl/>
              <w:jc w:val="center"/>
              <w:rPr>
                <w:rFonts w:ascii="Times New Roman" w:eastAsiaTheme="minorEastAsia" w:hAnsi="Times New Roman"/>
                <w:kern w:val="0"/>
                <w:sz w:val="21"/>
                <w:szCs w:val="21"/>
              </w:rPr>
            </w:pPr>
          </w:p>
        </w:tc>
        <w:tc>
          <w:tcPr>
            <w:tcW w:w="2045" w:type="dxa"/>
            <w:gridSpan w:val="2"/>
            <w:shd w:val="clear" w:color="auto" w:fill="auto"/>
            <w:noWrap/>
          </w:tcPr>
          <w:p w14:paraId="179E0674"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西天河下游</w:t>
            </w:r>
          </w:p>
        </w:tc>
        <w:tc>
          <w:tcPr>
            <w:tcW w:w="2598" w:type="dxa"/>
            <w:gridSpan w:val="2"/>
            <w:vMerge/>
            <w:shd w:val="clear" w:color="auto" w:fill="auto"/>
            <w:noWrap/>
          </w:tcPr>
          <w:p w14:paraId="246A427F" w14:textId="77777777" w:rsidR="009C353B" w:rsidRDefault="009C353B">
            <w:pPr>
              <w:widowControl/>
              <w:jc w:val="center"/>
              <w:rPr>
                <w:rFonts w:ascii="Times New Roman" w:eastAsiaTheme="minorEastAsia" w:hAnsi="Times New Roman"/>
                <w:kern w:val="0"/>
                <w:sz w:val="21"/>
                <w:szCs w:val="21"/>
              </w:rPr>
            </w:pPr>
          </w:p>
        </w:tc>
      </w:tr>
      <w:tr w:rsidR="009C353B" w14:paraId="7980B75D" w14:textId="77777777">
        <w:trPr>
          <w:trHeight w:val="1271"/>
        </w:trPr>
        <w:tc>
          <w:tcPr>
            <w:tcW w:w="426" w:type="dxa"/>
            <w:vMerge/>
            <w:shd w:val="clear" w:color="auto" w:fill="auto"/>
            <w:noWrap/>
          </w:tcPr>
          <w:p w14:paraId="73F11591" w14:textId="77777777" w:rsidR="009C353B" w:rsidRDefault="009C353B">
            <w:pPr>
              <w:widowControl/>
              <w:jc w:val="center"/>
              <w:rPr>
                <w:rFonts w:ascii="Times New Roman" w:eastAsiaTheme="minorEastAsia" w:hAnsi="Times New Roman"/>
                <w:kern w:val="0"/>
                <w:sz w:val="21"/>
                <w:szCs w:val="21"/>
              </w:rPr>
            </w:pPr>
          </w:p>
        </w:tc>
        <w:tc>
          <w:tcPr>
            <w:tcW w:w="1612" w:type="dxa"/>
            <w:vMerge w:val="restart"/>
          </w:tcPr>
          <w:p w14:paraId="02D54AA6"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本次监测</w:t>
            </w:r>
          </w:p>
        </w:tc>
        <w:tc>
          <w:tcPr>
            <w:tcW w:w="676" w:type="dxa"/>
            <w:shd w:val="clear" w:color="auto" w:fill="auto"/>
            <w:noWrap/>
          </w:tcPr>
          <w:p w14:paraId="4B9D763B"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11#</w:t>
            </w:r>
          </w:p>
        </w:tc>
        <w:tc>
          <w:tcPr>
            <w:tcW w:w="1930" w:type="dxa"/>
            <w:vMerge w:val="restart"/>
            <w:shd w:val="clear" w:color="auto" w:fill="auto"/>
          </w:tcPr>
          <w:p w14:paraId="72CD8A8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2020/8/7~2020/8/9</w:t>
            </w:r>
          </w:p>
        </w:tc>
        <w:tc>
          <w:tcPr>
            <w:tcW w:w="2045" w:type="dxa"/>
            <w:gridSpan w:val="2"/>
            <w:noWrap/>
          </w:tcPr>
          <w:p w14:paraId="52494140" w14:textId="77777777" w:rsidR="009C353B" w:rsidRDefault="00000000">
            <w:pPr>
              <w:widowControl/>
              <w:jc w:val="center"/>
              <w:rPr>
                <w:rFonts w:ascii="Times New Roman" w:eastAsiaTheme="minorEastAsia" w:hAnsi="Times New Roman"/>
                <w:sz w:val="21"/>
                <w:szCs w:val="21"/>
              </w:rPr>
            </w:pPr>
            <w:r>
              <w:rPr>
                <w:rFonts w:ascii="Times New Roman" w:eastAsiaTheme="minorEastAsia" w:hAnsi="Times New Roman"/>
                <w:sz w:val="21"/>
                <w:szCs w:val="21"/>
              </w:rPr>
              <w:t>大河子沟</w:t>
            </w:r>
          </w:p>
        </w:tc>
        <w:tc>
          <w:tcPr>
            <w:tcW w:w="2598" w:type="dxa"/>
            <w:gridSpan w:val="2"/>
            <w:vMerge w:val="restart"/>
            <w:shd w:val="clear" w:color="auto" w:fill="auto"/>
            <w:noWrap/>
          </w:tcPr>
          <w:p w14:paraId="5F59222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水温、</w:t>
            </w:r>
            <w:r>
              <w:rPr>
                <w:rFonts w:ascii="Times New Roman" w:eastAsiaTheme="minorEastAsia" w:hAnsi="Times New Roman"/>
                <w:kern w:val="0"/>
                <w:sz w:val="21"/>
                <w:szCs w:val="21"/>
              </w:rPr>
              <w:t>pH</w:t>
            </w:r>
            <w:r>
              <w:rPr>
                <w:rFonts w:ascii="Times New Roman" w:eastAsiaTheme="minorEastAsia" w:hAnsi="Times New Roman"/>
                <w:kern w:val="0"/>
                <w:sz w:val="21"/>
                <w:szCs w:val="21"/>
              </w:rPr>
              <w:t>、溶解氧、悬浮物、总残渣、</w:t>
            </w:r>
            <w:r>
              <w:rPr>
                <w:rFonts w:ascii="Times New Roman" w:eastAsiaTheme="minorEastAsia" w:hAnsi="Times New Roman"/>
                <w:kern w:val="0"/>
                <w:sz w:val="21"/>
                <w:szCs w:val="21"/>
              </w:rPr>
              <w:t>COD</w:t>
            </w:r>
            <w:r>
              <w:rPr>
                <w:rFonts w:ascii="Times New Roman" w:eastAsiaTheme="minorEastAsia" w:hAnsi="Times New Roman"/>
                <w:kern w:val="0"/>
                <w:sz w:val="21"/>
                <w:szCs w:val="21"/>
              </w:rPr>
              <w:t>、</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、高锰酸盐指数、氨氮、总氮、总磷、氟化物、氰化物、硫化物、挥发酚、六价铬、阴离子表面活性剂、石油类、粪大肠菌群、总铬、镉、汞、砷、铅、铁、锰、铜、锌、硒</w:t>
            </w:r>
          </w:p>
        </w:tc>
      </w:tr>
      <w:tr w:rsidR="009C353B" w14:paraId="0195DD9E" w14:textId="77777777">
        <w:trPr>
          <w:trHeight w:val="340"/>
        </w:trPr>
        <w:tc>
          <w:tcPr>
            <w:tcW w:w="426" w:type="dxa"/>
            <w:vMerge/>
            <w:shd w:val="clear" w:color="auto" w:fill="auto"/>
            <w:noWrap/>
          </w:tcPr>
          <w:p w14:paraId="5A0772A1" w14:textId="77777777" w:rsidR="009C353B" w:rsidRDefault="009C353B">
            <w:pPr>
              <w:widowControl/>
              <w:jc w:val="center"/>
              <w:rPr>
                <w:rFonts w:ascii="Times New Roman" w:eastAsiaTheme="minorEastAsia" w:hAnsi="Times New Roman"/>
                <w:kern w:val="0"/>
                <w:sz w:val="21"/>
                <w:szCs w:val="21"/>
              </w:rPr>
            </w:pPr>
          </w:p>
        </w:tc>
        <w:tc>
          <w:tcPr>
            <w:tcW w:w="1612" w:type="dxa"/>
            <w:vMerge/>
          </w:tcPr>
          <w:p w14:paraId="6AC57077" w14:textId="77777777" w:rsidR="009C353B" w:rsidRDefault="009C353B">
            <w:pPr>
              <w:widowControl/>
              <w:jc w:val="center"/>
              <w:rPr>
                <w:rFonts w:ascii="Times New Roman" w:eastAsiaTheme="minorEastAsia" w:hAnsi="Times New Roman"/>
                <w:spacing w:val="-8"/>
                <w:sz w:val="21"/>
                <w:szCs w:val="21"/>
              </w:rPr>
            </w:pPr>
          </w:p>
        </w:tc>
        <w:tc>
          <w:tcPr>
            <w:tcW w:w="676" w:type="dxa"/>
            <w:shd w:val="clear" w:color="auto" w:fill="auto"/>
            <w:noWrap/>
          </w:tcPr>
          <w:p w14:paraId="3378673D" w14:textId="77777777" w:rsidR="009C353B" w:rsidRDefault="00000000">
            <w:pPr>
              <w:widowControl/>
              <w:jc w:val="center"/>
              <w:rPr>
                <w:rFonts w:ascii="Times New Roman" w:eastAsiaTheme="minorEastAsia" w:hAnsi="Times New Roman"/>
                <w:spacing w:val="-8"/>
                <w:sz w:val="21"/>
                <w:szCs w:val="21"/>
              </w:rPr>
            </w:pPr>
            <w:r>
              <w:rPr>
                <w:rFonts w:ascii="Times New Roman" w:eastAsiaTheme="minorEastAsia" w:hAnsi="Times New Roman"/>
                <w:spacing w:val="-8"/>
                <w:sz w:val="21"/>
                <w:szCs w:val="21"/>
              </w:rPr>
              <w:t>12#</w:t>
            </w:r>
          </w:p>
        </w:tc>
        <w:tc>
          <w:tcPr>
            <w:tcW w:w="1930" w:type="dxa"/>
            <w:vMerge/>
            <w:shd w:val="clear" w:color="auto" w:fill="auto"/>
          </w:tcPr>
          <w:p w14:paraId="2D1D591E" w14:textId="77777777" w:rsidR="009C353B" w:rsidRDefault="009C353B">
            <w:pPr>
              <w:widowControl/>
              <w:jc w:val="center"/>
              <w:rPr>
                <w:rFonts w:ascii="Times New Roman" w:eastAsiaTheme="minorEastAsia" w:hAnsi="Times New Roman"/>
                <w:kern w:val="0"/>
                <w:sz w:val="21"/>
                <w:szCs w:val="21"/>
              </w:rPr>
            </w:pPr>
          </w:p>
        </w:tc>
        <w:tc>
          <w:tcPr>
            <w:tcW w:w="2045" w:type="dxa"/>
            <w:gridSpan w:val="2"/>
            <w:noWrap/>
          </w:tcPr>
          <w:p w14:paraId="59F09216" w14:textId="77777777" w:rsidR="009C353B" w:rsidRDefault="00000000">
            <w:pPr>
              <w:widowControl/>
              <w:jc w:val="center"/>
              <w:rPr>
                <w:rFonts w:ascii="Times New Roman" w:eastAsiaTheme="minorEastAsia" w:hAnsi="Times New Roman"/>
                <w:sz w:val="21"/>
                <w:szCs w:val="21"/>
              </w:rPr>
            </w:pPr>
            <w:r>
              <w:rPr>
                <w:rFonts w:ascii="Times New Roman" w:eastAsiaTheme="minorEastAsia" w:hAnsi="Times New Roman"/>
                <w:sz w:val="21"/>
                <w:szCs w:val="21"/>
              </w:rPr>
              <w:t>大河子沟</w:t>
            </w:r>
          </w:p>
        </w:tc>
        <w:tc>
          <w:tcPr>
            <w:tcW w:w="2598" w:type="dxa"/>
            <w:gridSpan w:val="2"/>
            <w:vMerge/>
            <w:shd w:val="clear" w:color="auto" w:fill="auto"/>
            <w:noWrap/>
          </w:tcPr>
          <w:p w14:paraId="7D214D0D" w14:textId="77777777" w:rsidR="009C353B" w:rsidRDefault="009C353B">
            <w:pPr>
              <w:widowControl/>
              <w:jc w:val="center"/>
              <w:rPr>
                <w:rFonts w:ascii="Times New Roman" w:eastAsiaTheme="minorEastAsia" w:hAnsi="Times New Roman"/>
                <w:kern w:val="0"/>
                <w:sz w:val="21"/>
                <w:szCs w:val="21"/>
              </w:rPr>
            </w:pPr>
          </w:p>
        </w:tc>
      </w:tr>
      <w:tr w:rsidR="009C353B" w14:paraId="73445292" w14:textId="77777777">
        <w:trPr>
          <w:trHeight w:val="655"/>
        </w:trPr>
        <w:tc>
          <w:tcPr>
            <w:tcW w:w="426" w:type="dxa"/>
            <w:vMerge w:val="restart"/>
            <w:shd w:val="clear" w:color="auto" w:fill="auto"/>
            <w:noWrap/>
          </w:tcPr>
          <w:p w14:paraId="6D63AD7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鸭子荡水库</w:t>
            </w:r>
          </w:p>
        </w:tc>
        <w:tc>
          <w:tcPr>
            <w:tcW w:w="1612" w:type="dxa"/>
            <w:vMerge w:val="restart"/>
          </w:tcPr>
          <w:p w14:paraId="2402C1D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z w:val="21"/>
                <w:szCs w:val="21"/>
                <w:lang w:val="zh-CN"/>
              </w:rPr>
              <w:t>《国网能源宁夏煤电有限公司甜水河矿井及选煤厂环境影响报告书》</w:t>
            </w:r>
          </w:p>
        </w:tc>
        <w:tc>
          <w:tcPr>
            <w:tcW w:w="676" w:type="dxa"/>
            <w:shd w:val="clear" w:color="auto" w:fill="auto"/>
            <w:noWrap/>
          </w:tcPr>
          <w:p w14:paraId="18D3340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1930" w:type="dxa"/>
            <w:vMerge w:val="restart"/>
            <w:shd w:val="clear" w:color="auto" w:fill="auto"/>
          </w:tcPr>
          <w:p w14:paraId="798042C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2013/1/21~</w:t>
            </w:r>
          </w:p>
          <w:p w14:paraId="488F337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2013/1/23</w:t>
            </w:r>
          </w:p>
        </w:tc>
        <w:tc>
          <w:tcPr>
            <w:tcW w:w="2045" w:type="dxa"/>
            <w:gridSpan w:val="2"/>
            <w:shd w:val="clear" w:color="auto" w:fill="auto"/>
            <w:noWrap/>
          </w:tcPr>
          <w:p w14:paraId="38B5843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pacing w:val="-8"/>
                <w:sz w:val="21"/>
                <w:szCs w:val="21"/>
              </w:rPr>
              <w:t>鸭子荡水库西部</w:t>
            </w:r>
            <w:r>
              <w:rPr>
                <w:rFonts w:ascii="Times New Roman" w:eastAsiaTheme="minorEastAsia" w:hAnsi="Times New Roman"/>
                <w:spacing w:val="-8"/>
                <w:sz w:val="21"/>
                <w:szCs w:val="21"/>
              </w:rPr>
              <w:t>600m</w:t>
            </w:r>
          </w:p>
        </w:tc>
        <w:tc>
          <w:tcPr>
            <w:tcW w:w="2598" w:type="dxa"/>
            <w:gridSpan w:val="2"/>
            <w:vMerge w:val="restart"/>
            <w:shd w:val="clear" w:color="auto" w:fill="auto"/>
            <w:noWrap/>
          </w:tcPr>
          <w:p w14:paraId="269D153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w:t>
            </w:r>
            <w:r>
              <w:rPr>
                <w:rFonts w:ascii="Times New Roman" w:eastAsiaTheme="minorEastAsia" w:hAnsi="Times New Roman"/>
                <w:kern w:val="0"/>
                <w:sz w:val="21"/>
                <w:szCs w:val="21"/>
              </w:rPr>
              <w:t>SS</w:t>
            </w:r>
            <w:r>
              <w:rPr>
                <w:rFonts w:ascii="Times New Roman" w:eastAsiaTheme="minorEastAsia" w:hAnsi="Times New Roman"/>
                <w:kern w:val="0"/>
                <w:sz w:val="21"/>
                <w:szCs w:val="21"/>
              </w:rPr>
              <w:t>、</w:t>
            </w:r>
            <w:r>
              <w:rPr>
                <w:rFonts w:ascii="Times New Roman" w:eastAsiaTheme="minorEastAsia" w:hAnsi="Times New Roman"/>
                <w:kern w:val="0"/>
                <w:sz w:val="21"/>
                <w:szCs w:val="21"/>
              </w:rPr>
              <w:t>COD</w:t>
            </w:r>
            <w:r>
              <w:rPr>
                <w:rFonts w:ascii="Times New Roman" w:eastAsiaTheme="minorEastAsia" w:hAnsi="Times New Roman"/>
                <w:kern w:val="0"/>
                <w:sz w:val="21"/>
                <w:szCs w:val="21"/>
              </w:rPr>
              <w:t>、</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、氨氮、氟化物、硫化物、石油类、挥发酚、高锰酸盐指数、溶解氧、氰化物、溶解性总固体、矿化度</w:t>
            </w:r>
          </w:p>
        </w:tc>
      </w:tr>
      <w:tr w:rsidR="009C353B" w14:paraId="79F9C0A6" w14:textId="77777777">
        <w:trPr>
          <w:trHeight w:val="340"/>
        </w:trPr>
        <w:tc>
          <w:tcPr>
            <w:tcW w:w="426" w:type="dxa"/>
            <w:vMerge/>
            <w:shd w:val="clear" w:color="auto" w:fill="auto"/>
            <w:noWrap/>
          </w:tcPr>
          <w:p w14:paraId="1F209896" w14:textId="77777777" w:rsidR="009C353B" w:rsidRDefault="009C353B">
            <w:pPr>
              <w:widowControl/>
              <w:jc w:val="center"/>
              <w:rPr>
                <w:rFonts w:ascii="Times New Roman" w:eastAsiaTheme="minorEastAsia" w:hAnsi="Times New Roman"/>
                <w:kern w:val="0"/>
                <w:sz w:val="21"/>
                <w:szCs w:val="21"/>
              </w:rPr>
            </w:pPr>
          </w:p>
        </w:tc>
        <w:tc>
          <w:tcPr>
            <w:tcW w:w="1612" w:type="dxa"/>
            <w:vMerge/>
          </w:tcPr>
          <w:p w14:paraId="408A7B8C" w14:textId="77777777" w:rsidR="009C353B" w:rsidRDefault="009C353B">
            <w:pPr>
              <w:widowControl/>
              <w:jc w:val="center"/>
              <w:rPr>
                <w:rFonts w:ascii="Times New Roman" w:eastAsiaTheme="minorEastAsia" w:hAnsi="Times New Roman"/>
                <w:kern w:val="0"/>
                <w:sz w:val="21"/>
                <w:szCs w:val="21"/>
              </w:rPr>
            </w:pPr>
          </w:p>
        </w:tc>
        <w:tc>
          <w:tcPr>
            <w:tcW w:w="676" w:type="dxa"/>
            <w:shd w:val="clear" w:color="auto" w:fill="auto"/>
            <w:noWrap/>
          </w:tcPr>
          <w:p w14:paraId="1BB2878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c>
          <w:tcPr>
            <w:tcW w:w="1930" w:type="dxa"/>
            <w:vMerge/>
            <w:shd w:val="clear" w:color="auto" w:fill="auto"/>
          </w:tcPr>
          <w:p w14:paraId="2B05D51B" w14:textId="77777777" w:rsidR="009C353B" w:rsidRDefault="009C353B">
            <w:pPr>
              <w:widowControl/>
              <w:jc w:val="center"/>
              <w:rPr>
                <w:rFonts w:ascii="Times New Roman" w:eastAsiaTheme="minorEastAsia" w:hAnsi="Times New Roman"/>
                <w:kern w:val="0"/>
                <w:sz w:val="21"/>
                <w:szCs w:val="21"/>
              </w:rPr>
            </w:pPr>
          </w:p>
        </w:tc>
        <w:tc>
          <w:tcPr>
            <w:tcW w:w="2045" w:type="dxa"/>
            <w:gridSpan w:val="2"/>
            <w:shd w:val="clear" w:color="auto" w:fill="auto"/>
            <w:noWrap/>
          </w:tcPr>
          <w:p w14:paraId="19CD33D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pacing w:val="-8"/>
                <w:sz w:val="21"/>
                <w:szCs w:val="21"/>
              </w:rPr>
              <w:t>鸭子荡水库北部</w:t>
            </w:r>
            <w:r>
              <w:rPr>
                <w:rFonts w:ascii="Times New Roman" w:eastAsiaTheme="minorEastAsia" w:hAnsi="Times New Roman"/>
                <w:spacing w:val="-8"/>
                <w:sz w:val="21"/>
                <w:szCs w:val="21"/>
              </w:rPr>
              <w:t>600m</w:t>
            </w:r>
          </w:p>
        </w:tc>
        <w:tc>
          <w:tcPr>
            <w:tcW w:w="2598" w:type="dxa"/>
            <w:gridSpan w:val="2"/>
            <w:vMerge/>
            <w:shd w:val="clear" w:color="auto" w:fill="auto"/>
            <w:noWrap/>
          </w:tcPr>
          <w:p w14:paraId="704AA06F" w14:textId="77777777" w:rsidR="009C353B" w:rsidRDefault="009C353B">
            <w:pPr>
              <w:widowControl/>
              <w:jc w:val="center"/>
              <w:rPr>
                <w:rFonts w:ascii="Times New Roman" w:eastAsiaTheme="minorEastAsia" w:hAnsi="Times New Roman"/>
                <w:kern w:val="0"/>
                <w:sz w:val="21"/>
                <w:szCs w:val="21"/>
              </w:rPr>
            </w:pPr>
          </w:p>
        </w:tc>
      </w:tr>
      <w:tr w:rsidR="009C353B" w14:paraId="60D77123" w14:textId="77777777">
        <w:trPr>
          <w:trHeight w:val="340"/>
        </w:trPr>
        <w:tc>
          <w:tcPr>
            <w:tcW w:w="426" w:type="dxa"/>
            <w:vMerge/>
            <w:shd w:val="clear" w:color="auto" w:fill="auto"/>
            <w:noWrap/>
          </w:tcPr>
          <w:p w14:paraId="7D60AA18" w14:textId="77777777" w:rsidR="009C353B" w:rsidRDefault="009C353B">
            <w:pPr>
              <w:widowControl/>
              <w:jc w:val="center"/>
              <w:rPr>
                <w:rFonts w:ascii="Times New Roman" w:eastAsiaTheme="minorEastAsia" w:hAnsi="Times New Roman"/>
                <w:kern w:val="0"/>
                <w:sz w:val="21"/>
                <w:szCs w:val="21"/>
              </w:rPr>
            </w:pPr>
          </w:p>
        </w:tc>
        <w:tc>
          <w:tcPr>
            <w:tcW w:w="1612" w:type="dxa"/>
          </w:tcPr>
          <w:p w14:paraId="006A5C6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《任家庄煤矿环境影响现状评估报告》</w:t>
            </w:r>
          </w:p>
        </w:tc>
        <w:tc>
          <w:tcPr>
            <w:tcW w:w="676" w:type="dxa"/>
            <w:shd w:val="clear" w:color="auto" w:fill="auto"/>
            <w:noWrap/>
          </w:tcPr>
          <w:p w14:paraId="0B685EE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1930" w:type="dxa"/>
            <w:shd w:val="clear" w:color="auto" w:fill="auto"/>
          </w:tcPr>
          <w:p w14:paraId="3E0D51D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2016/5/26</w:t>
            </w:r>
            <w:r>
              <w:rPr>
                <w:rFonts w:ascii="Times New Roman" w:eastAsiaTheme="minorEastAsia" w:hAnsi="Times New Roman"/>
                <w:kern w:val="0"/>
                <w:sz w:val="21"/>
                <w:szCs w:val="21"/>
              </w:rPr>
              <w:t>、</w:t>
            </w:r>
            <w:r>
              <w:rPr>
                <w:rFonts w:ascii="Times New Roman" w:eastAsiaTheme="minorEastAsia" w:hAnsi="Times New Roman"/>
                <w:kern w:val="0"/>
                <w:sz w:val="21"/>
                <w:szCs w:val="21"/>
              </w:rPr>
              <w:t>2016/5/27</w:t>
            </w:r>
          </w:p>
        </w:tc>
        <w:tc>
          <w:tcPr>
            <w:tcW w:w="2045" w:type="dxa"/>
            <w:gridSpan w:val="2"/>
            <w:shd w:val="clear" w:color="auto" w:fill="auto"/>
            <w:noWrap/>
          </w:tcPr>
          <w:p w14:paraId="200A1BA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鸭子荡水库</w:t>
            </w:r>
          </w:p>
        </w:tc>
        <w:tc>
          <w:tcPr>
            <w:tcW w:w="2598" w:type="dxa"/>
            <w:gridSpan w:val="2"/>
            <w:shd w:val="clear" w:color="auto" w:fill="auto"/>
            <w:noWrap/>
          </w:tcPr>
          <w:p w14:paraId="3ED3DD2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、溶解氧、</w:t>
            </w:r>
            <w:r>
              <w:rPr>
                <w:rFonts w:ascii="Times New Roman" w:eastAsiaTheme="minorEastAsia" w:hAnsi="Times New Roman"/>
                <w:kern w:val="0"/>
                <w:sz w:val="21"/>
                <w:szCs w:val="21"/>
              </w:rPr>
              <w:t>CODcr</w:t>
            </w:r>
            <w:r>
              <w:rPr>
                <w:rFonts w:ascii="Times New Roman" w:eastAsiaTheme="minorEastAsia" w:hAnsi="Times New Roman"/>
                <w:kern w:val="0"/>
                <w:sz w:val="21"/>
                <w:szCs w:val="21"/>
              </w:rPr>
              <w:t>、</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、氨氮、铜、锌、氟化物、硒、砷、汞、镉、铬</w:t>
            </w:r>
            <w:r>
              <w:rPr>
                <w:rFonts w:ascii="Times New Roman" w:eastAsiaTheme="minorEastAsia" w:hAnsi="Times New Roman"/>
                <w:kern w:val="0"/>
                <w:sz w:val="21"/>
                <w:szCs w:val="21"/>
              </w:rPr>
              <w:t>(</w:t>
            </w:r>
            <w:r>
              <w:rPr>
                <w:rFonts w:ascii="Times New Roman" w:eastAsiaTheme="minorEastAsia" w:hAnsi="Times New Roman"/>
                <w:kern w:val="0"/>
                <w:sz w:val="21"/>
                <w:szCs w:val="21"/>
              </w:rPr>
              <w:t>六价</w:t>
            </w:r>
            <w:r>
              <w:rPr>
                <w:rFonts w:ascii="Times New Roman" w:eastAsiaTheme="minorEastAsia" w:hAnsi="Times New Roman"/>
                <w:kern w:val="0"/>
                <w:sz w:val="21"/>
                <w:szCs w:val="21"/>
              </w:rPr>
              <w:t>)</w:t>
            </w:r>
            <w:r>
              <w:rPr>
                <w:rFonts w:ascii="Times New Roman" w:eastAsiaTheme="minorEastAsia" w:hAnsi="Times New Roman"/>
                <w:kern w:val="0"/>
                <w:sz w:val="21"/>
                <w:szCs w:val="21"/>
              </w:rPr>
              <w:t>、铅</w:t>
            </w:r>
          </w:p>
        </w:tc>
      </w:tr>
      <w:tr w:rsidR="009C353B" w14:paraId="4472800F" w14:textId="77777777">
        <w:trPr>
          <w:gridAfter w:val="1"/>
          <w:wAfter w:w="82" w:type="dxa"/>
          <w:trHeight w:val="340"/>
        </w:trPr>
        <w:tc>
          <w:tcPr>
            <w:tcW w:w="426" w:type="dxa"/>
            <w:vMerge/>
            <w:shd w:val="clear" w:color="auto" w:fill="auto"/>
            <w:noWrap/>
          </w:tcPr>
          <w:p w14:paraId="441C3B5C" w14:textId="77777777" w:rsidR="009C353B" w:rsidRDefault="009C353B">
            <w:pPr>
              <w:widowControl/>
              <w:jc w:val="center"/>
              <w:rPr>
                <w:rFonts w:ascii="Times New Roman" w:eastAsiaTheme="minorEastAsia" w:hAnsi="Times New Roman"/>
                <w:kern w:val="0"/>
                <w:sz w:val="21"/>
                <w:szCs w:val="21"/>
              </w:rPr>
            </w:pPr>
          </w:p>
        </w:tc>
        <w:tc>
          <w:tcPr>
            <w:tcW w:w="2288" w:type="dxa"/>
            <w:gridSpan w:val="2"/>
          </w:tcPr>
          <w:p w14:paraId="0A1E04A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宁夏回族自治区地表水环境质量状况月报、宁东基地国控地表水断面鸭子荡水库采测数据</w:t>
            </w:r>
          </w:p>
        </w:tc>
        <w:tc>
          <w:tcPr>
            <w:tcW w:w="1930" w:type="dxa"/>
            <w:shd w:val="clear" w:color="auto" w:fill="auto"/>
          </w:tcPr>
          <w:p w14:paraId="3CA43D8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2018/4~</w:t>
            </w:r>
          </w:p>
          <w:p w14:paraId="03DA126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2020/4</w:t>
            </w:r>
          </w:p>
        </w:tc>
        <w:tc>
          <w:tcPr>
            <w:tcW w:w="1939" w:type="dxa"/>
            <w:shd w:val="clear" w:color="auto" w:fill="auto"/>
            <w:noWrap/>
          </w:tcPr>
          <w:p w14:paraId="5FFFEA0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鸭子荡水库国控断面</w:t>
            </w:r>
          </w:p>
        </w:tc>
        <w:tc>
          <w:tcPr>
            <w:tcW w:w="2622" w:type="dxa"/>
            <w:gridSpan w:val="2"/>
            <w:shd w:val="clear" w:color="auto" w:fill="auto"/>
            <w:noWrap/>
          </w:tcPr>
          <w:p w14:paraId="77C10F3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电导率、水温、</w:t>
            </w:r>
            <w:r>
              <w:rPr>
                <w:rFonts w:ascii="Times New Roman" w:eastAsiaTheme="minorEastAsia" w:hAnsi="Times New Roman"/>
                <w:kern w:val="0"/>
                <w:sz w:val="21"/>
                <w:szCs w:val="21"/>
              </w:rPr>
              <w:t>pH</w:t>
            </w:r>
            <w:r>
              <w:rPr>
                <w:rFonts w:ascii="Times New Roman" w:eastAsiaTheme="minorEastAsia" w:hAnsi="Times New Roman"/>
                <w:kern w:val="0"/>
                <w:sz w:val="21"/>
                <w:szCs w:val="21"/>
              </w:rPr>
              <w:t>、溶解氧、透明度</w:t>
            </w:r>
            <w:r>
              <w:rPr>
                <w:rFonts w:ascii="Times New Roman" w:eastAsiaTheme="minorEastAsia" w:hAnsi="Times New Roman"/>
                <w:kern w:val="0"/>
                <w:sz w:val="21"/>
                <w:szCs w:val="21"/>
              </w:rPr>
              <w:t>)</w:t>
            </w:r>
            <w:r>
              <w:rPr>
                <w:rFonts w:ascii="Times New Roman" w:eastAsiaTheme="minorEastAsia" w:hAnsi="Times New Roman"/>
                <w:kern w:val="0"/>
                <w:sz w:val="21"/>
                <w:szCs w:val="21"/>
              </w:rPr>
              <w:t>、高锰酸钾指数、</w:t>
            </w:r>
            <w:r>
              <w:rPr>
                <w:rFonts w:ascii="Times New Roman" w:eastAsiaTheme="minorEastAsia" w:hAnsi="Times New Roman"/>
                <w:kern w:val="0"/>
                <w:sz w:val="21"/>
                <w:szCs w:val="21"/>
              </w:rPr>
              <w:t>COD Cr</w:t>
            </w:r>
            <w:r>
              <w:rPr>
                <w:rFonts w:ascii="Times New Roman" w:eastAsiaTheme="minorEastAsia" w:hAnsi="Times New Roman"/>
                <w:kern w:val="0"/>
                <w:sz w:val="21"/>
                <w:szCs w:val="21"/>
              </w:rPr>
              <w:t>、氨氮、总磷、总氮、铜、锌、铅、镉、</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、砷、硒、汞、六价铬、氟化物、氰化物、挥发酚、石油类、阴离子表面活性剂、硫化物</w:t>
            </w:r>
          </w:p>
        </w:tc>
      </w:tr>
      <w:tr w:rsidR="009C353B" w14:paraId="0AB99FF9" w14:textId="77777777">
        <w:trPr>
          <w:trHeight w:val="340"/>
        </w:trPr>
        <w:tc>
          <w:tcPr>
            <w:tcW w:w="426" w:type="dxa"/>
            <w:vMerge w:val="restart"/>
            <w:shd w:val="clear" w:color="auto" w:fill="auto"/>
            <w:noWrap/>
          </w:tcPr>
          <w:p w14:paraId="77A7A4A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水洞沟</w:t>
            </w:r>
          </w:p>
        </w:tc>
        <w:tc>
          <w:tcPr>
            <w:tcW w:w="1612" w:type="dxa"/>
            <w:vMerge w:val="restart"/>
          </w:tcPr>
          <w:p w14:paraId="756569E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《宁夏宝丰能源集团股份有限公司马莲台煤矿项目现状环境影响评估》</w:t>
            </w:r>
          </w:p>
        </w:tc>
        <w:tc>
          <w:tcPr>
            <w:tcW w:w="676" w:type="dxa"/>
            <w:shd w:val="clear" w:color="auto" w:fill="auto"/>
            <w:noWrap/>
          </w:tcPr>
          <w:p w14:paraId="4E9C698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1930" w:type="dxa"/>
            <w:vMerge w:val="restart"/>
            <w:shd w:val="clear" w:color="auto" w:fill="auto"/>
          </w:tcPr>
          <w:p w14:paraId="618868A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2015/12/8</w:t>
            </w:r>
            <w:r>
              <w:rPr>
                <w:rFonts w:ascii="Times New Roman" w:eastAsiaTheme="minorEastAsia" w:hAnsi="Times New Roman"/>
                <w:kern w:val="0"/>
                <w:sz w:val="21"/>
                <w:szCs w:val="21"/>
              </w:rPr>
              <w:t>、</w:t>
            </w:r>
            <w:r>
              <w:rPr>
                <w:rFonts w:ascii="Times New Roman" w:eastAsiaTheme="minorEastAsia" w:hAnsi="Times New Roman"/>
                <w:kern w:val="0"/>
                <w:sz w:val="21"/>
                <w:szCs w:val="21"/>
              </w:rPr>
              <w:t>2015/12/9</w:t>
            </w:r>
          </w:p>
        </w:tc>
        <w:tc>
          <w:tcPr>
            <w:tcW w:w="2045" w:type="dxa"/>
            <w:gridSpan w:val="2"/>
            <w:shd w:val="clear" w:color="auto" w:fill="auto"/>
            <w:noWrap/>
          </w:tcPr>
          <w:p w14:paraId="4924CDDA" w14:textId="77777777" w:rsidR="009C353B" w:rsidRDefault="00000000">
            <w:pPr>
              <w:widowControl/>
              <w:snapToGrid w:val="0"/>
              <w:jc w:val="center"/>
              <w:rPr>
                <w:rFonts w:ascii="Times New Roman" w:eastAsiaTheme="minorEastAsia" w:hAnsi="Times New Roman"/>
                <w:bCs/>
                <w:sz w:val="21"/>
                <w:szCs w:val="21"/>
              </w:rPr>
            </w:pPr>
            <w:r>
              <w:rPr>
                <w:rFonts w:ascii="Times New Roman" w:eastAsiaTheme="minorEastAsia" w:hAnsi="Times New Roman"/>
                <w:bCs/>
                <w:sz w:val="21"/>
                <w:szCs w:val="21"/>
              </w:rPr>
              <w:t>N 38°14’33.97”</w:t>
            </w:r>
          </w:p>
          <w:p w14:paraId="23F9FA9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bCs/>
                <w:sz w:val="21"/>
                <w:szCs w:val="21"/>
              </w:rPr>
              <w:t>E 106°34’58.27”</w:t>
            </w:r>
          </w:p>
        </w:tc>
        <w:tc>
          <w:tcPr>
            <w:tcW w:w="2598" w:type="dxa"/>
            <w:gridSpan w:val="2"/>
            <w:vMerge w:val="restart"/>
            <w:shd w:val="clear" w:color="auto" w:fill="auto"/>
            <w:noWrap/>
          </w:tcPr>
          <w:p w14:paraId="480F36E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w:t>
            </w:r>
            <w:r>
              <w:rPr>
                <w:rFonts w:ascii="Times New Roman" w:eastAsiaTheme="minorEastAsia" w:hAnsi="Times New Roman"/>
                <w:kern w:val="0"/>
                <w:sz w:val="21"/>
                <w:szCs w:val="21"/>
              </w:rPr>
              <w:t>COD</w:t>
            </w:r>
            <w:r>
              <w:rPr>
                <w:rFonts w:ascii="Times New Roman" w:eastAsiaTheme="minorEastAsia" w:hAnsi="Times New Roman"/>
                <w:kern w:val="0"/>
                <w:sz w:val="21"/>
                <w:szCs w:val="21"/>
              </w:rPr>
              <w:t>、</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、氨氮、石油类、硫化物、挥发酚、氰化物、氟化物、六价铬</w:t>
            </w:r>
          </w:p>
        </w:tc>
      </w:tr>
      <w:tr w:rsidR="009C353B" w14:paraId="268BEB6D" w14:textId="77777777">
        <w:trPr>
          <w:trHeight w:val="340"/>
        </w:trPr>
        <w:tc>
          <w:tcPr>
            <w:tcW w:w="426" w:type="dxa"/>
            <w:vMerge/>
            <w:shd w:val="clear" w:color="auto" w:fill="auto"/>
            <w:noWrap/>
          </w:tcPr>
          <w:p w14:paraId="0E3AD074" w14:textId="77777777" w:rsidR="009C353B" w:rsidRDefault="009C353B">
            <w:pPr>
              <w:widowControl/>
              <w:jc w:val="center"/>
              <w:rPr>
                <w:rFonts w:ascii="Times New Roman" w:eastAsiaTheme="minorEastAsia" w:hAnsi="Times New Roman"/>
                <w:kern w:val="0"/>
                <w:sz w:val="21"/>
                <w:szCs w:val="21"/>
              </w:rPr>
            </w:pPr>
          </w:p>
        </w:tc>
        <w:tc>
          <w:tcPr>
            <w:tcW w:w="1612" w:type="dxa"/>
            <w:vMerge/>
          </w:tcPr>
          <w:p w14:paraId="015BA013" w14:textId="77777777" w:rsidR="009C353B" w:rsidRDefault="009C353B">
            <w:pPr>
              <w:widowControl/>
              <w:jc w:val="center"/>
              <w:rPr>
                <w:rFonts w:ascii="Times New Roman" w:eastAsiaTheme="minorEastAsia" w:hAnsi="Times New Roman"/>
                <w:kern w:val="0"/>
                <w:sz w:val="21"/>
                <w:szCs w:val="21"/>
              </w:rPr>
            </w:pPr>
          </w:p>
        </w:tc>
        <w:tc>
          <w:tcPr>
            <w:tcW w:w="676" w:type="dxa"/>
            <w:shd w:val="clear" w:color="auto" w:fill="auto"/>
            <w:noWrap/>
          </w:tcPr>
          <w:p w14:paraId="3318B9A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c>
          <w:tcPr>
            <w:tcW w:w="1930" w:type="dxa"/>
            <w:vMerge/>
            <w:shd w:val="clear" w:color="auto" w:fill="auto"/>
          </w:tcPr>
          <w:p w14:paraId="5696A005" w14:textId="77777777" w:rsidR="009C353B" w:rsidRDefault="009C353B">
            <w:pPr>
              <w:widowControl/>
              <w:jc w:val="center"/>
              <w:rPr>
                <w:rFonts w:ascii="Times New Roman" w:eastAsiaTheme="minorEastAsia" w:hAnsi="Times New Roman"/>
                <w:kern w:val="0"/>
                <w:sz w:val="21"/>
                <w:szCs w:val="21"/>
              </w:rPr>
            </w:pPr>
          </w:p>
        </w:tc>
        <w:tc>
          <w:tcPr>
            <w:tcW w:w="2045" w:type="dxa"/>
            <w:gridSpan w:val="2"/>
            <w:shd w:val="clear" w:color="auto" w:fill="auto"/>
            <w:noWrap/>
          </w:tcPr>
          <w:p w14:paraId="6B85C42E" w14:textId="77777777" w:rsidR="009C353B" w:rsidRDefault="00000000">
            <w:pPr>
              <w:widowControl/>
              <w:snapToGrid w:val="0"/>
              <w:jc w:val="center"/>
              <w:rPr>
                <w:rFonts w:ascii="Times New Roman" w:eastAsiaTheme="minorEastAsia" w:hAnsi="Times New Roman"/>
                <w:bCs/>
                <w:sz w:val="21"/>
                <w:szCs w:val="21"/>
              </w:rPr>
            </w:pPr>
            <w:r>
              <w:rPr>
                <w:rFonts w:ascii="Times New Roman" w:eastAsiaTheme="minorEastAsia" w:hAnsi="Times New Roman"/>
                <w:bCs/>
                <w:sz w:val="21"/>
                <w:szCs w:val="21"/>
              </w:rPr>
              <w:t>N 38°13’51.89”</w:t>
            </w:r>
          </w:p>
          <w:p w14:paraId="05C4118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bCs/>
                <w:sz w:val="21"/>
                <w:szCs w:val="21"/>
              </w:rPr>
              <w:t>E 106°36’56.77”</w:t>
            </w:r>
          </w:p>
        </w:tc>
        <w:tc>
          <w:tcPr>
            <w:tcW w:w="2598" w:type="dxa"/>
            <w:gridSpan w:val="2"/>
            <w:vMerge/>
            <w:shd w:val="clear" w:color="auto" w:fill="auto"/>
            <w:noWrap/>
          </w:tcPr>
          <w:p w14:paraId="4DE0077B" w14:textId="77777777" w:rsidR="009C353B" w:rsidRDefault="009C353B">
            <w:pPr>
              <w:widowControl/>
              <w:jc w:val="center"/>
              <w:rPr>
                <w:rFonts w:ascii="Times New Roman" w:eastAsiaTheme="minorEastAsia" w:hAnsi="Times New Roman"/>
                <w:kern w:val="0"/>
                <w:sz w:val="21"/>
                <w:szCs w:val="21"/>
              </w:rPr>
            </w:pPr>
          </w:p>
        </w:tc>
      </w:tr>
      <w:tr w:rsidR="009C353B" w14:paraId="45CC3534" w14:textId="77777777">
        <w:trPr>
          <w:trHeight w:val="856"/>
        </w:trPr>
        <w:tc>
          <w:tcPr>
            <w:tcW w:w="426" w:type="dxa"/>
            <w:vMerge/>
            <w:shd w:val="clear" w:color="auto" w:fill="auto"/>
            <w:noWrap/>
          </w:tcPr>
          <w:p w14:paraId="60D38418" w14:textId="77777777" w:rsidR="009C353B" w:rsidRDefault="009C353B">
            <w:pPr>
              <w:widowControl/>
              <w:jc w:val="center"/>
              <w:rPr>
                <w:rFonts w:ascii="Times New Roman" w:eastAsiaTheme="minorEastAsia" w:hAnsi="Times New Roman"/>
                <w:kern w:val="0"/>
                <w:sz w:val="21"/>
                <w:szCs w:val="21"/>
              </w:rPr>
            </w:pPr>
          </w:p>
        </w:tc>
        <w:tc>
          <w:tcPr>
            <w:tcW w:w="1612" w:type="dxa"/>
            <w:vMerge w:val="restart"/>
          </w:tcPr>
          <w:p w14:paraId="2D7F823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《神华宁夏煤业集团红石湾煤矿生产能力核定项目》</w:t>
            </w:r>
          </w:p>
        </w:tc>
        <w:tc>
          <w:tcPr>
            <w:tcW w:w="676" w:type="dxa"/>
            <w:shd w:val="clear" w:color="auto" w:fill="auto"/>
            <w:noWrap/>
          </w:tcPr>
          <w:p w14:paraId="0FB2FDE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1930" w:type="dxa"/>
            <w:vMerge w:val="restart"/>
            <w:shd w:val="clear" w:color="auto" w:fill="auto"/>
          </w:tcPr>
          <w:p w14:paraId="60C347C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z w:val="21"/>
                <w:szCs w:val="21"/>
              </w:rPr>
              <w:t>2018/3/12</w:t>
            </w:r>
            <w:r>
              <w:rPr>
                <w:rFonts w:ascii="Times New Roman" w:eastAsiaTheme="minorEastAsia" w:hAnsi="Times New Roman"/>
                <w:sz w:val="21"/>
                <w:szCs w:val="21"/>
              </w:rPr>
              <w:t>、</w:t>
            </w:r>
            <w:r>
              <w:rPr>
                <w:rFonts w:ascii="Times New Roman" w:eastAsiaTheme="minorEastAsia" w:hAnsi="Times New Roman"/>
                <w:sz w:val="21"/>
                <w:szCs w:val="21"/>
              </w:rPr>
              <w:t>2018/3/13</w:t>
            </w:r>
          </w:p>
        </w:tc>
        <w:tc>
          <w:tcPr>
            <w:tcW w:w="2045" w:type="dxa"/>
            <w:gridSpan w:val="2"/>
            <w:shd w:val="clear" w:color="auto" w:fill="auto"/>
            <w:noWrap/>
          </w:tcPr>
          <w:p w14:paraId="3EA68F37" w14:textId="77777777" w:rsidR="009C353B" w:rsidRDefault="00000000">
            <w:pPr>
              <w:adjustRightInd w:val="0"/>
              <w:snapToGrid w:val="0"/>
              <w:jc w:val="center"/>
              <w:rPr>
                <w:rFonts w:ascii="Times New Roman" w:eastAsiaTheme="minorEastAsia" w:hAnsi="Times New Roman"/>
                <w:sz w:val="21"/>
                <w:szCs w:val="21"/>
                <w:lang w:val="de-DE"/>
              </w:rPr>
            </w:pPr>
            <w:r>
              <w:rPr>
                <w:rFonts w:ascii="Times New Roman" w:eastAsiaTheme="minorEastAsia" w:hAnsi="Times New Roman"/>
                <w:sz w:val="21"/>
                <w:szCs w:val="21"/>
                <w:lang w:val="de-DE"/>
              </w:rPr>
              <w:t>N</w:t>
            </w:r>
            <w:r>
              <w:rPr>
                <w:rFonts w:ascii="Times New Roman" w:eastAsiaTheme="minorEastAsia" w:hAnsi="Times New Roman"/>
                <w:sz w:val="21"/>
                <w:szCs w:val="21"/>
                <w:lang w:val="de-DE"/>
              </w:rPr>
              <w:t>：</w:t>
            </w:r>
            <w:r>
              <w:rPr>
                <w:rFonts w:ascii="Times New Roman" w:eastAsiaTheme="minorEastAsia" w:hAnsi="Times New Roman"/>
                <w:sz w:val="21"/>
                <w:szCs w:val="21"/>
                <w:lang w:val="de-DE"/>
              </w:rPr>
              <w:t>38°16′29.8″</w:t>
            </w:r>
          </w:p>
          <w:p w14:paraId="16D1019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z w:val="21"/>
                <w:szCs w:val="21"/>
                <w:lang w:val="de-DE"/>
              </w:rPr>
              <w:t>E</w:t>
            </w:r>
            <w:r>
              <w:rPr>
                <w:rFonts w:ascii="Times New Roman" w:eastAsiaTheme="minorEastAsia" w:hAnsi="Times New Roman"/>
                <w:sz w:val="21"/>
                <w:szCs w:val="21"/>
                <w:lang w:val="de-DE"/>
              </w:rPr>
              <w:t>：</w:t>
            </w:r>
            <w:r>
              <w:rPr>
                <w:rFonts w:ascii="Times New Roman" w:eastAsiaTheme="minorEastAsia" w:hAnsi="Times New Roman"/>
                <w:sz w:val="21"/>
                <w:szCs w:val="21"/>
                <w:lang w:val="de-DE"/>
              </w:rPr>
              <w:t>106°31′44.4″</w:t>
            </w:r>
          </w:p>
        </w:tc>
        <w:tc>
          <w:tcPr>
            <w:tcW w:w="2598" w:type="dxa"/>
            <w:gridSpan w:val="2"/>
            <w:vMerge w:val="restart"/>
            <w:shd w:val="clear" w:color="auto" w:fill="auto"/>
            <w:noWrap/>
          </w:tcPr>
          <w:p w14:paraId="6B375BD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w:t>
            </w:r>
            <w:r>
              <w:rPr>
                <w:rFonts w:ascii="Times New Roman" w:eastAsiaTheme="minorEastAsia" w:hAnsi="Times New Roman"/>
                <w:kern w:val="0"/>
                <w:sz w:val="21"/>
                <w:szCs w:val="21"/>
              </w:rPr>
              <w:t>COD</w:t>
            </w:r>
            <w:r>
              <w:rPr>
                <w:rFonts w:ascii="Times New Roman" w:eastAsiaTheme="minorEastAsia" w:hAnsi="Times New Roman"/>
                <w:kern w:val="0"/>
                <w:sz w:val="21"/>
                <w:szCs w:val="21"/>
              </w:rPr>
              <w:t>、</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、氨氮、石油类、硫化物、挥发酚、氰化物、氟化物、六价铬、高锰酸盐指数、溶解氧、总磷、砷、汞、总锌、总硒、总铜、总镉、总铅、阴离子表面活性剂</w:t>
            </w:r>
          </w:p>
        </w:tc>
      </w:tr>
      <w:tr w:rsidR="009C353B" w14:paraId="70C9A70F" w14:textId="77777777">
        <w:trPr>
          <w:trHeight w:val="340"/>
        </w:trPr>
        <w:tc>
          <w:tcPr>
            <w:tcW w:w="426" w:type="dxa"/>
            <w:vMerge/>
            <w:shd w:val="clear" w:color="auto" w:fill="auto"/>
            <w:noWrap/>
          </w:tcPr>
          <w:p w14:paraId="4621F8E9" w14:textId="77777777" w:rsidR="009C353B" w:rsidRDefault="009C353B">
            <w:pPr>
              <w:widowControl/>
              <w:jc w:val="center"/>
              <w:rPr>
                <w:rFonts w:ascii="Times New Roman" w:eastAsiaTheme="minorEastAsia" w:hAnsi="Times New Roman"/>
                <w:kern w:val="0"/>
                <w:sz w:val="21"/>
                <w:szCs w:val="21"/>
              </w:rPr>
            </w:pPr>
          </w:p>
        </w:tc>
        <w:tc>
          <w:tcPr>
            <w:tcW w:w="1612" w:type="dxa"/>
            <w:vMerge/>
          </w:tcPr>
          <w:p w14:paraId="2056E780" w14:textId="77777777" w:rsidR="009C353B" w:rsidRDefault="009C353B">
            <w:pPr>
              <w:widowControl/>
              <w:jc w:val="center"/>
              <w:rPr>
                <w:rFonts w:ascii="Times New Roman" w:eastAsiaTheme="minorEastAsia" w:hAnsi="Times New Roman"/>
                <w:kern w:val="0"/>
                <w:sz w:val="21"/>
                <w:szCs w:val="21"/>
              </w:rPr>
            </w:pPr>
          </w:p>
        </w:tc>
        <w:tc>
          <w:tcPr>
            <w:tcW w:w="676" w:type="dxa"/>
            <w:shd w:val="clear" w:color="auto" w:fill="auto"/>
            <w:noWrap/>
          </w:tcPr>
          <w:p w14:paraId="40FBDFB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1930" w:type="dxa"/>
            <w:vMerge/>
            <w:shd w:val="clear" w:color="auto" w:fill="auto"/>
          </w:tcPr>
          <w:p w14:paraId="19C2042A" w14:textId="77777777" w:rsidR="009C353B" w:rsidRDefault="009C353B">
            <w:pPr>
              <w:widowControl/>
              <w:jc w:val="center"/>
              <w:rPr>
                <w:rFonts w:ascii="Times New Roman" w:eastAsiaTheme="minorEastAsia" w:hAnsi="Times New Roman"/>
                <w:kern w:val="0"/>
                <w:sz w:val="21"/>
                <w:szCs w:val="21"/>
              </w:rPr>
            </w:pPr>
          </w:p>
        </w:tc>
        <w:tc>
          <w:tcPr>
            <w:tcW w:w="2045" w:type="dxa"/>
            <w:gridSpan w:val="2"/>
            <w:shd w:val="clear" w:color="auto" w:fill="auto"/>
            <w:noWrap/>
          </w:tcPr>
          <w:p w14:paraId="432677D4" w14:textId="77777777" w:rsidR="009C353B" w:rsidRDefault="00000000">
            <w:pPr>
              <w:adjustRightInd w:val="0"/>
              <w:snapToGrid w:val="0"/>
              <w:jc w:val="center"/>
              <w:rPr>
                <w:rFonts w:ascii="Times New Roman" w:eastAsiaTheme="minorEastAsia" w:hAnsi="Times New Roman"/>
                <w:sz w:val="21"/>
                <w:szCs w:val="21"/>
                <w:lang w:val="de-DE"/>
              </w:rPr>
            </w:pPr>
            <w:r>
              <w:rPr>
                <w:rFonts w:ascii="Times New Roman" w:eastAsiaTheme="minorEastAsia" w:hAnsi="Times New Roman"/>
                <w:sz w:val="21"/>
                <w:szCs w:val="21"/>
                <w:lang w:val="de-DE"/>
              </w:rPr>
              <w:t>N</w:t>
            </w:r>
            <w:r>
              <w:rPr>
                <w:rFonts w:ascii="Times New Roman" w:eastAsiaTheme="minorEastAsia" w:hAnsi="Times New Roman"/>
                <w:sz w:val="21"/>
                <w:szCs w:val="21"/>
                <w:lang w:val="de-DE"/>
              </w:rPr>
              <w:t>：</w:t>
            </w:r>
            <w:r>
              <w:rPr>
                <w:rFonts w:ascii="Times New Roman" w:eastAsiaTheme="minorEastAsia" w:hAnsi="Times New Roman"/>
                <w:sz w:val="21"/>
                <w:szCs w:val="21"/>
                <w:lang w:val="de-DE"/>
              </w:rPr>
              <w:t>38°13′25.7″</w:t>
            </w:r>
          </w:p>
          <w:p w14:paraId="35CFDF2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z w:val="21"/>
                <w:szCs w:val="21"/>
                <w:lang w:val="de-DE"/>
              </w:rPr>
              <w:t>E</w:t>
            </w:r>
            <w:r>
              <w:rPr>
                <w:rFonts w:ascii="Times New Roman" w:eastAsiaTheme="minorEastAsia" w:hAnsi="Times New Roman"/>
                <w:sz w:val="21"/>
                <w:szCs w:val="21"/>
                <w:lang w:val="de-DE"/>
              </w:rPr>
              <w:t>：</w:t>
            </w:r>
            <w:r>
              <w:rPr>
                <w:rFonts w:ascii="Times New Roman" w:eastAsiaTheme="minorEastAsia" w:hAnsi="Times New Roman"/>
                <w:sz w:val="21"/>
                <w:szCs w:val="21"/>
                <w:lang w:val="de-DE"/>
              </w:rPr>
              <w:t>106°38′17.1″</w:t>
            </w:r>
          </w:p>
        </w:tc>
        <w:tc>
          <w:tcPr>
            <w:tcW w:w="2598" w:type="dxa"/>
            <w:gridSpan w:val="2"/>
            <w:vMerge/>
            <w:shd w:val="clear" w:color="auto" w:fill="auto"/>
            <w:noWrap/>
          </w:tcPr>
          <w:p w14:paraId="02B18F0D" w14:textId="77777777" w:rsidR="009C353B" w:rsidRDefault="009C353B">
            <w:pPr>
              <w:widowControl/>
              <w:jc w:val="center"/>
              <w:rPr>
                <w:rFonts w:ascii="Times New Roman" w:eastAsiaTheme="minorEastAsia" w:hAnsi="Times New Roman"/>
                <w:kern w:val="0"/>
                <w:sz w:val="21"/>
                <w:szCs w:val="21"/>
              </w:rPr>
            </w:pPr>
          </w:p>
        </w:tc>
      </w:tr>
      <w:tr w:rsidR="009C353B" w14:paraId="1ABADCE5" w14:textId="77777777">
        <w:trPr>
          <w:trHeight w:val="340"/>
        </w:trPr>
        <w:tc>
          <w:tcPr>
            <w:tcW w:w="426" w:type="dxa"/>
            <w:vMerge/>
            <w:shd w:val="clear" w:color="auto" w:fill="auto"/>
            <w:noWrap/>
          </w:tcPr>
          <w:p w14:paraId="031AD348" w14:textId="77777777" w:rsidR="009C353B" w:rsidRDefault="009C353B">
            <w:pPr>
              <w:widowControl/>
              <w:jc w:val="center"/>
              <w:rPr>
                <w:rFonts w:ascii="Times New Roman" w:eastAsiaTheme="minorEastAsia" w:hAnsi="Times New Roman"/>
                <w:kern w:val="0"/>
                <w:sz w:val="21"/>
                <w:szCs w:val="21"/>
              </w:rPr>
            </w:pPr>
          </w:p>
        </w:tc>
        <w:tc>
          <w:tcPr>
            <w:tcW w:w="1612" w:type="dxa"/>
            <w:vMerge w:val="restart"/>
          </w:tcPr>
          <w:p w14:paraId="372819B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本次监测</w:t>
            </w:r>
          </w:p>
        </w:tc>
        <w:tc>
          <w:tcPr>
            <w:tcW w:w="676" w:type="dxa"/>
            <w:shd w:val="clear" w:color="auto" w:fill="auto"/>
            <w:noWrap/>
          </w:tcPr>
          <w:p w14:paraId="186E7F6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1930" w:type="dxa"/>
            <w:vMerge w:val="restart"/>
            <w:shd w:val="clear" w:color="auto" w:fill="auto"/>
          </w:tcPr>
          <w:p w14:paraId="621A9D0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2020/8/7</w:t>
            </w:r>
            <w:r>
              <w:rPr>
                <w:rFonts w:ascii="Times New Roman" w:eastAsiaTheme="minorEastAsia" w:hAnsi="Times New Roman"/>
                <w:kern w:val="0"/>
                <w:sz w:val="21"/>
                <w:szCs w:val="21"/>
              </w:rPr>
              <w:t>～</w:t>
            </w:r>
            <w:r>
              <w:rPr>
                <w:rFonts w:ascii="Times New Roman" w:eastAsiaTheme="minorEastAsia" w:hAnsi="Times New Roman"/>
                <w:kern w:val="0"/>
                <w:sz w:val="21"/>
                <w:szCs w:val="21"/>
              </w:rPr>
              <w:t>2020/8/9</w:t>
            </w:r>
          </w:p>
        </w:tc>
        <w:tc>
          <w:tcPr>
            <w:tcW w:w="2045" w:type="dxa"/>
            <w:gridSpan w:val="2"/>
            <w:noWrap/>
          </w:tcPr>
          <w:p w14:paraId="32073D75" w14:textId="77777777" w:rsidR="009C353B" w:rsidRDefault="00000000">
            <w:pPr>
              <w:adjustRightInd w:val="0"/>
              <w:snapToGrid w:val="0"/>
              <w:jc w:val="center"/>
              <w:rPr>
                <w:rFonts w:ascii="Times New Roman" w:eastAsiaTheme="minorEastAsia" w:hAnsi="Times New Roman"/>
                <w:sz w:val="21"/>
                <w:szCs w:val="21"/>
                <w:lang w:val="de-DE"/>
              </w:rPr>
            </w:pPr>
            <w:r>
              <w:rPr>
                <w:rFonts w:ascii="Times New Roman" w:eastAsiaTheme="minorEastAsia" w:hAnsi="Times New Roman"/>
                <w:kern w:val="0"/>
                <w:sz w:val="21"/>
                <w:szCs w:val="21"/>
              </w:rPr>
              <w:t>水洞沟古青高速</w:t>
            </w:r>
            <w:r>
              <w:rPr>
                <w:rFonts w:ascii="Times New Roman" w:eastAsiaTheme="minorEastAsia" w:hAnsi="Times New Roman"/>
                <w:kern w:val="0"/>
                <w:sz w:val="21"/>
                <w:szCs w:val="21"/>
              </w:rPr>
              <w:t>S12</w:t>
            </w:r>
            <w:r>
              <w:rPr>
                <w:rFonts w:ascii="Times New Roman" w:eastAsiaTheme="minorEastAsia" w:hAnsi="Times New Roman"/>
                <w:kern w:val="0"/>
                <w:sz w:val="21"/>
                <w:szCs w:val="21"/>
              </w:rPr>
              <w:t>西侧未进马莲台井田前（蒋家窑）</w:t>
            </w:r>
          </w:p>
        </w:tc>
        <w:tc>
          <w:tcPr>
            <w:tcW w:w="2598" w:type="dxa"/>
            <w:gridSpan w:val="2"/>
            <w:vMerge w:val="restart"/>
            <w:shd w:val="clear" w:color="auto" w:fill="auto"/>
            <w:noWrap/>
          </w:tcPr>
          <w:p w14:paraId="5ACD8D8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电导率、水温、</w:t>
            </w:r>
            <w:r>
              <w:rPr>
                <w:rFonts w:ascii="Times New Roman" w:eastAsiaTheme="minorEastAsia" w:hAnsi="Times New Roman"/>
                <w:kern w:val="0"/>
                <w:sz w:val="21"/>
                <w:szCs w:val="21"/>
              </w:rPr>
              <w:t>pH</w:t>
            </w:r>
            <w:r>
              <w:rPr>
                <w:rFonts w:ascii="Times New Roman" w:eastAsiaTheme="minorEastAsia" w:hAnsi="Times New Roman"/>
                <w:kern w:val="0"/>
                <w:sz w:val="21"/>
                <w:szCs w:val="21"/>
              </w:rPr>
              <w:t>值、溶解氧、透明度</w:t>
            </w:r>
            <w:r>
              <w:rPr>
                <w:rFonts w:ascii="Times New Roman" w:eastAsiaTheme="minorEastAsia" w:hAnsi="Times New Roman"/>
                <w:kern w:val="0"/>
                <w:sz w:val="21"/>
                <w:szCs w:val="21"/>
              </w:rPr>
              <w:t>)</w:t>
            </w:r>
            <w:r>
              <w:rPr>
                <w:rFonts w:ascii="Times New Roman" w:eastAsiaTheme="minorEastAsia" w:hAnsi="Times New Roman"/>
                <w:kern w:val="0"/>
                <w:sz w:val="21"/>
                <w:szCs w:val="21"/>
              </w:rPr>
              <w:t>、高锰酸钾指数、</w:t>
            </w:r>
            <w:r>
              <w:rPr>
                <w:rFonts w:ascii="Times New Roman" w:eastAsiaTheme="minorEastAsia" w:hAnsi="Times New Roman"/>
                <w:kern w:val="0"/>
                <w:sz w:val="21"/>
                <w:szCs w:val="21"/>
              </w:rPr>
              <w:t xml:space="preserve">COD </w:t>
            </w:r>
            <w:r>
              <w:rPr>
                <w:rFonts w:ascii="Times New Roman" w:eastAsiaTheme="minorEastAsia" w:hAnsi="Times New Roman"/>
                <w:kern w:val="0"/>
                <w:sz w:val="21"/>
                <w:szCs w:val="21"/>
              </w:rPr>
              <w:t>、氨氮、总磷、总氮、铜、锌、铅、镉、</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、砷、硒、汞、六价铬、氟化物、氰化物、挥发酚、石油类、阴离子表面活性剂、硫化物</w:t>
            </w:r>
          </w:p>
        </w:tc>
      </w:tr>
      <w:tr w:rsidR="009C353B" w14:paraId="52FFAEE8" w14:textId="77777777">
        <w:trPr>
          <w:trHeight w:val="340"/>
        </w:trPr>
        <w:tc>
          <w:tcPr>
            <w:tcW w:w="426" w:type="dxa"/>
            <w:vMerge/>
            <w:shd w:val="clear" w:color="auto" w:fill="auto"/>
            <w:noWrap/>
          </w:tcPr>
          <w:p w14:paraId="0DB8EBCD" w14:textId="77777777" w:rsidR="009C353B" w:rsidRDefault="009C353B">
            <w:pPr>
              <w:widowControl/>
              <w:jc w:val="center"/>
              <w:rPr>
                <w:rFonts w:ascii="Times New Roman" w:eastAsiaTheme="minorEastAsia" w:hAnsi="Times New Roman"/>
                <w:kern w:val="0"/>
                <w:sz w:val="21"/>
                <w:szCs w:val="21"/>
              </w:rPr>
            </w:pPr>
          </w:p>
        </w:tc>
        <w:tc>
          <w:tcPr>
            <w:tcW w:w="1612" w:type="dxa"/>
            <w:vMerge/>
          </w:tcPr>
          <w:p w14:paraId="0A3ACA34" w14:textId="77777777" w:rsidR="009C353B" w:rsidRDefault="009C353B">
            <w:pPr>
              <w:widowControl/>
              <w:jc w:val="center"/>
              <w:rPr>
                <w:rFonts w:ascii="Times New Roman" w:eastAsiaTheme="minorEastAsia" w:hAnsi="Times New Roman"/>
                <w:kern w:val="0"/>
                <w:sz w:val="21"/>
                <w:szCs w:val="21"/>
              </w:rPr>
            </w:pPr>
          </w:p>
        </w:tc>
        <w:tc>
          <w:tcPr>
            <w:tcW w:w="676" w:type="dxa"/>
            <w:shd w:val="clear" w:color="auto" w:fill="auto"/>
            <w:noWrap/>
          </w:tcPr>
          <w:p w14:paraId="0C6BDF3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w:t>
            </w:r>
          </w:p>
        </w:tc>
        <w:tc>
          <w:tcPr>
            <w:tcW w:w="1930" w:type="dxa"/>
            <w:vMerge/>
            <w:shd w:val="clear" w:color="auto" w:fill="auto"/>
          </w:tcPr>
          <w:p w14:paraId="216029C3" w14:textId="77777777" w:rsidR="009C353B" w:rsidRDefault="009C353B">
            <w:pPr>
              <w:widowControl/>
              <w:jc w:val="center"/>
              <w:rPr>
                <w:rFonts w:ascii="Times New Roman" w:eastAsiaTheme="minorEastAsia" w:hAnsi="Times New Roman"/>
                <w:kern w:val="0"/>
                <w:sz w:val="21"/>
                <w:szCs w:val="21"/>
              </w:rPr>
            </w:pPr>
          </w:p>
        </w:tc>
        <w:tc>
          <w:tcPr>
            <w:tcW w:w="2045" w:type="dxa"/>
            <w:gridSpan w:val="2"/>
            <w:noWrap/>
          </w:tcPr>
          <w:p w14:paraId="012EE853" w14:textId="77777777" w:rsidR="009C353B" w:rsidRDefault="00000000">
            <w:pPr>
              <w:adjustRightInd w:val="0"/>
              <w:snapToGrid w:val="0"/>
              <w:jc w:val="center"/>
              <w:rPr>
                <w:rFonts w:ascii="Times New Roman" w:eastAsiaTheme="minorEastAsia" w:hAnsi="Times New Roman"/>
                <w:sz w:val="21"/>
                <w:szCs w:val="21"/>
                <w:lang w:val="de-DE"/>
              </w:rPr>
            </w:pPr>
            <w:r>
              <w:rPr>
                <w:rFonts w:ascii="Times New Roman" w:eastAsiaTheme="minorEastAsia" w:hAnsi="Times New Roman"/>
                <w:sz w:val="21"/>
                <w:szCs w:val="21"/>
              </w:rPr>
              <w:t>水洞沟临河工业园区</w:t>
            </w:r>
            <w:r>
              <w:rPr>
                <w:rFonts w:ascii="Times New Roman" w:eastAsiaTheme="minorEastAsia" w:hAnsi="Times New Roman"/>
                <w:sz w:val="21"/>
                <w:szCs w:val="21"/>
              </w:rPr>
              <w:t>B</w:t>
            </w:r>
            <w:r>
              <w:rPr>
                <w:rFonts w:ascii="Times New Roman" w:eastAsiaTheme="minorEastAsia" w:hAnsi="Times New Roman"/>
                <w:sz w:val="21"/>
                <w:szCs w:val="21"/>
              </w:rPr>
              <w:t>区北侧（流出马莲台井田后约</w:t>
            </w:r>
            <w:r>
              <w:rPr>
                <w:rFonts w:ascii="Times New Roman" w:eastAsiaTheme="minorEastAsia" w:hAnsi="Times New Roman"/>
                <w:sz w:val="21"/>
                <w:szCs w:val="21"/>
              </w:rPr>
              <w:t>500m</w:t>
            </w:r>
            <w:r>
              <w:rPr>
                <w:rFonts w:ascii="Times New Roman" w:eastAsiaTheme="minorEastAsia" w:hAnsi="Times New Roman"/>
                <w:sz w:val="21"/>
                <w:szCs w:val="21"/>
              </w:rPr>
              <w:t>）</w:t>
            </w:r>
          </w:p>
        </w:tc>
        <w:tc>
          <w:tcPr>
            <w:tcW w:w="2598" w:type="dxa"/>
            <w:gridSpan w:val="2"/>
            <w:vMerge/>
            <w:shd w:val="clear" w:color="auto" w:fill="auto"/>
            <w:noWrap/>
          </w:tcPr>
          <w:p w14:paraId="7F935A64" w14:textId="77777777" w:rsidR="009C353B" w:rsidRDefault="009C353B">
            <w:pPr>
              <w:widowControl/>
              <w:jc w:val="center"/>
              <w:rPr>
                <w:rFonts w:ascii="Times New Roman" w:eastAsiaTheme="minorEastAsia" w:hAnsi="Times New Roman"/>
                <w:kern w:val="0"/>
                <w:sz w:val="21"/>
                <w:szCs w:val="21"/>
              </w:rPr>
            </w:pPr>
          </w:p>
        </w:tc>
      </w:tr>
      <w:tr w:rsidR="009C353B" w14:paraId="1D8F6EF7" w14:textId="77777777">
        <w:trPr>
          <w:trHeight w:val="340"/>
        </w:trPr>
        <w:tc>
          <w:tcPr>
            <w:tcW w:w="426" w:type="dxa"/>
            <w:vMerge/>
            <w:shd w:val="clear" w:color="auto" w:fill="auto"/>
            <w:noWrap/>
          </w:tcPr>
          <w:p w14:paraId="35E5D3F9" w14:textId="77777777" w:rsidR="009C353B" w:rsidRDefault="009C353B">
            <w:pPr>
              <w:widowControl/>
              <w:jc w:val="center"/>
              <w:rPr>
                <w:rFonts w:ascii="Times New Roman" w:eastAsiaTheme="minorEastAsia" w:hAnsi="Times New Roman"/>
                <w:kern w:val="0"/>
                <w:sz w:val="21"/>
                <w:szCs w:val="21"/>
              </w:rPr>
            </w:pPr>
          </w:p>
        </w:tc>
        <w:tc>
          <w:tcPr>
            <w:tcW w:w="1612" w:type="dxa"/>
            <w:vMerge/>
          </w:tcPr>
          <w:p w14:paraId="4D01BB31" w14:textId="77777777" w:rsidR="009C353B" w:rsidRDefault="009C353B">
            <w:pPr>
              <w:widowControl/>
              <w:jc w:val="center"/>
              <w:rPr>
                <w:rFonts w:ascii="Times New Roman" w:eastAsiaTheme="minorEastAsia" w:hAnsi="Times New Roman"/>
                <w:kern w:val="0"/>
                <w:sz w:val="21"/>
                <w:szCs w:val="21"/>
              </w:rPr>
            </w:pPr>
          </w:p>
        </w:tc>
        <w:tc>
          <w:tcPr>
            <w:tcW w:w="676" w:type="dxa"/>
            <w:shd w:val="clear" w:color="auto" w:fill="auto"/>
            <w:noWrap/>
          </w:tcPr>
          <w:p w14:paraId="5677286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w:t>
            </w:r>
          </w:p>
        </w:tc>
        <w:tc>
          <w:tcPr>
            <w:tcW w:w="1930" w:type="dxa"/>
            <w:vMerge/>
            <w:shd w:val="clear" w:color="auto" w:fill="auto"/>
          </w:tcPr>
          <w:p w14:paraId="3456F7CD" w14:textId="77777777" w:rsidR="009C353B" w:rsidRDefault="009C353B">
            <w:pPr>
              <w:widowControl/>
              <w:jc w:val="center"/>
              <w:rPr>
                <w:rFonts w:ascii="Times New Roman" w:eastAsiaTheme="minorEastAsia" w:hAnsi="Times New Roman"/>
                <w:kern w:val="0"/>
                <w:sz w:val="21"/>
                <w:szCs w:val="21"/>
              </w:rPr>
            </w:pPr>
          </w:p>
        </w:tc>
        <w:tc>
          <w:tcPr>
            <w:tcW w:w="2045" w:type="dxa"/>
            <w:gridSpan w:val="2"/>
            <w:noWrap/>
          </w:tcPr>
          <w:p w14:paraId="076D4646" w14:textId="77777777" w:rsidR="009C353B" w:rsidRDefault="00000000">
            <w:pPr>
              <w:adjustRightInd w:val="0"/>
              <w:snapToGrid w:val="0"/>
              <w:jc w:val="center"/>
              <w:rPr>
                <w:rFonts w:ascii="Times New Roman" w:eastAsiaTheme="minorEastAsia" w:hAnsi="Times New Roman"/>
                <w:sz w:val="21"/>
                <w:szCs w:val="21"/>
                <w:lang w:val="de-DE"/>
              </w:rPr>
            </w:pPr>
            <w:r>
              <w:rPr>
                <w:rFonts w:ascii="Times New Roman" w:eastAsiaTheme="minorEastAsia" w:hAnsi="Times New Roman"/>
                <w:sz w:val="21"/>
                <w:szCs w:val="21"/>
              </w:rPr>
              <w:t>水洞沟（流出红石湾井田后约</w:t>
            </w:r>
            <w:r>
              <w:rPr>
                <w:rFonts w:ascii="Times New Roman" w:eastAsiaTheme="minorEastAsia" w:hAnsi="Times New Roman"/>
                <w:sz w:val="21"/>
                <w:szCs w:val="21"/>
              </w:rPr>
              <w:t>500m</w:t>
            </w:r>
            <w:r>
              <w:rPr>
                <w:rFonts w:ascii="Times New Roman" w:eastAsiaTheme="minorEastAsia" w:hAnsi="Times New Roman"/>
                <w:sz w:val="21"/>
                <w:szCs w:val="21"/>
              </w:rPr>
              <w:t>）</w:t>
            </w:r>
          </w:p>
        </w:tc>
        <w:tc>
          <w:tcPr>
            <w:tcW w:w="2598" w:type="dxa"/>
            <w:gridSpan w:val="2"/>
            <w:vMerge/>
            <w:shd w:val="clear" w:color="auto" w:fill="auto"/>
            <w:noWrap/>
          </w:tcPr>
          <w:p w14:paraId="062D93E5" w14:textId="77777777" w:rsidR="009C353B" w:rsidRDefault="009C353B">
            <w:pPr>
              <w:widowControl/>
              <w:jc w:val="center"/>
              <w:rPr>
                <w:rFonts w:ascii="Times New Roman" w:eastAsiaTheme="minorEastAsia" w:hAnsi="Times New Roman"/>
                <w:kern w:val="0"/>
                <w:sz w:val="21"/>
                <w:szCs w:val="21"/>
              </w:rPr>
            </w:pPr>
          </w:p>
        </w:tc>
      </w:tr>
    </w:tbl>
    <w:p w14:paraId="22A0CB1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大河子沟水质往年及本次污染因子监测结果见表</w:t>
      </w:r>
      <w:r>
        <w:rPr>
          <w:rFonts w:ascii="Times New Roman" w:hAnsi="Times New Roman" w:hint="eastAsia"/>
          <w:szCs w:val="24"/>
        </w:rPr>
        <w:t>4.3-6</w:t>
      </w:r>
      <w:r>
        <w:rPr>
          <w:rFonts w:ascii="Times New Roman" w:hAnsi="Times New Roman" w:hint="eastAsia"/>
          <w:szCs w:val="24"/>
        </w:rPr>
        <w:t>：</w:t>
      </w:r>
      <w:bookmarkStart w:id="151" w:name="_Hlk58844383"/>
    </w:p>
    <w:p w14:paraId="0D9C8854"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大河子沟水质</w:t>
      </w:r>
      <w:r>
        <w:rPr>
          <w:rFonts w:ascii="Times New Roman" w:hAnsi="Times New Roman" w:hint="eastAsia"/>
          <w:b/>
          <w:szCs w:val="24"/>
        </w:rPr>
        <w:t>污染因子</w:t>
      </w:r>
      <w:r>
        <w:rPr>
          <w:rFonts w:ascii="Times New Roman" w:hAnsi="Times New Roman"/>
          <w:b/>
          <w:szCs w:val="24"/>
        </w:rPr>
        <w:t>监测结果</w:t>
      </w:r>
    </w:p>
    <w:p w14:paraId="4926B6DD" w14:textId="77777777" w:rsidR="009C353B" w:rsidRDefault="00000000">
      <w:pPr>
        <w:adjustRightInd w:val="0"/>
        <w:snapToGrid w:val="0"/>
        <w:spacing w:line="440" w:lineRule="exact"/>
        <w:ind w:firstLineChars="50" w:firstLine="120"/>
        <w:outlineLvl w:val="4"/>
        <w:rPr>
          <w:rFonts w:ascii="Times New Roman" w:hAnsi="Times New Roman"/>
          <w:szCs w:val="24"/>
        </w:rPr>
      </w:pPr>
      <w:r>
        <w:rPr>
          <w:rFonts w:ascii="Times New Roman" w:hAnsi="Times New Roman" w:hint="eastAsia"/>
          <w:szCs w:val="24"/>
        </w:rPr>
        <w:t>表</w:t>
      </w:r>
      <w:r>
        <w:rPr>
          <w:rFonts w:ascii="Times New Roman" w:hAnsi="Times New Roman" w:hint="eastAsia"/>
          <w:szCs w:val="24"/>
        </w:rPr>
        <w:t>4</w:t>
      </w:r>
      <w:r>
        <w:rPr>
          <w:rFonts w:ascii="Times New Roman" w:hAnsi="Times New Roman"/>
          <w:szCs w:val="24"/>
        </w:rPr>
        <w:t>.3</w:t>
      </w:r>
      <w:r>
        <w:rPr>
          <w:rFonts w:ascii="Times New Roman" w:hAnsi="Times New Roman" w:hint="eastAsia"/>
          <w:szCs w:val="24"/>
        </w:rPr>
        <w:t>-</w:t>
      </w:r>
      <w:r>
        <w:rPr>
          <w:rFonts w:ascii="Times New Roman" w:hAnsi="Times New Roman"/>
          <w:szCs w:val="24"/>
        </w:rPr>
        <w:t xml:space="preserve">6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756"/>
        <w:gridCol w:w="1151"/>
        <w:gridCol w:w="1511"/>
        <w:gridCol w:w="1056"/>
        <w:gridCol w:w="1476"/>
        <w:gridCol w:w="1056"/>
      </w:tblGrid>
      <w:tr w:rsidR="009C353B" w14:paraId="7FD8843D" w14:textId="77777777">
        <w:trPr>
          <w:trHeight w:val="340"/>
          <w:tblHeader/>
          <w:jc w:val="center"/>
        </w:trPr>
        <w:tc>
          <w:tcPr>
            <w:tcW w:w="0" w:type="auto"/>
            <w:shd w:val="clear" w:color="auto" w:fill="auto"/>
            <w:noWrap/>
            <w:vAlign w:val="center"/>
          </w:tcPr>
          <w:bookmarkEnd w:id="151"/>
          <w:p w14:paraId="6D42068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监测断面</w:t>
            </w:r>
          </w:p>
        </w:tc>
        <w:tc>
          <w:tcPr>
            <w:tcW w:w="1756" w:type="dxa"/>
            <w:shd w:val="clear" w:color="auto" w:fill="auto"/>
            <w:noWrap/>
            <w:vAlign w:val="center"/>
          </w:tcPr>
          <w:p w14:paraId="1901B63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污染指标</w:t>
            </w:r>
          </w:p>
        </w:tc>
        <w:tc>
          <w:tcPr>
            <w:tcW w:w="1151" w:type="dxa"/>
            <w:shd w:val="clear" w:color="auto" w:fill="auto"/>
            <w:noWrap/>
            <w:vAlign w:val="center"/>
          </w:tcPr>
          <w:p w14:paraId="71B782E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监测时间</w:t>
            </w:r>
          </w:p>
        </w:tc>
        <w:tc>
          <w:tcPr>
            <w:tcW w:w="0" w:type="auto"/>
            <w:shd w:val="clear" w:color="auto" w:fill="auto"/>
            <w:noWrap/>
            <w:vAlign w:val="center"/>
          </w:tcPr>
          <w:p w14:paraId="28253FC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浓度（</w:t>
            </w:r>
            <w:r>
              <w:rPr>
                <w:rFonts w:ascii="Times New Roman" w:hAnsi="Times New Roman"/>
                <w:kern w:val="0"/>
                <w:sz w:val="21"/>
                <w:szCs w:val="21"/>
              </w:rPr>
              <w:t>mg/L</w:t>
            </w:r>
            <w:r>
              <w:rPr>
                <w:rFonts w:ascii="Times New Roman" w:hAnsi="Times New Roman"/>
                <w:kern w:val="0"/>
                <w:sz w:val="21"/>
                <w:szCs w:val="21"/>
              </w:rPr>
              <w:t>）</w:t>
            </w:r>
          </w:p>
        </w:tc>
        <w:tc>
          <w:tcPr>
            <w:tcW w:w="0" w:type="auto"/>
            <w:shd w:val="clear" w:color="auto" w:fill="auto"/>
            <w:noWrap/>
            <w:vAlign w:val="center"/>
          </w:tcPr>
          <w:p w14:paraId="380D160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标准指数</w:t>
            </w:r>
          </w:p>
        </w:tc>
        <w:tc>
          <w:tcPr>
            <w:tcW w:w="0" w:type="auto"/>
            <w:shd w:val="clear" w:color="auto" w:fill="auto"/>
            <w:noWrap/>
            <w:vAlign w:val="center"/>
          </w:tcPr>
          <w:p w14:paraId="6911F43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划定水质目标</w:t>
            </w:r>
          </w:p>
        </w:tc>
        <w:tc>
          <w:tcPr>
            <w:tcW w:w="0" w:type="auto"/>
            <w:shd w:val="clear" w:color="auto" w:fill="auto"/>
            <w:noWrap/>
            <w:vAlign w:val="center"/>
          </w:tcPr>
          <w:p w14:paraId="70D393C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标准限值</w:t>
            </w:r>
          </w:p>
        </w:tc>
      </w:tr>
      <w:tr w:rsidR="009C353B" w14:paraId="4EDBFB1C" w14:textId="77777777">
        <w:trPr>
          <w:trHeight w:val="340"/>
          <w:jc w:val="center"/>
        </w:trPr>
        <w:tc>
          <w:tcPr>
            <w:tcW w:w="0" w:type="auto"/>
            <w:vMerge w:val="restart"/>
            <w:shd w:val="clear" w:color="auto" w:fill="auto"/>
            <w:noWrap/>
            <w:vAlign w:val="center"/>
          </w:tcPr>
          <w:p w14:paraId="305627A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c>
          <w:tcPr>
            <w:tcW w:w="1756" w:type="dxa"/>
            <w:shd w:val="clear" w:color="auto" w:fill="auto"/>
            <w:vAlign w:val="center"/>
          </w:tcPr>
          <w:p w14:paraId="743BDF2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vMerge w:val="restart"/>
            <w:shd w:val="clear" w:color="auto" w:fill="auto"/>
            <w:noWrap/>
            <w:vAlign w:val="center"/>
          </w:tcPr>
          <w:p w14:paraId="37EC987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2004</w:t>
            </w:r>
            <w:r>
              <w:rPr>
                <w:rFonts w:ascii="Times New Roman" w:hAnsi="Times New Roman" w:hint="eastAsia"/>
                <w:kern w:val="0"/>
                <w:sz w:val="21"/>
                <w:szCs w:val="21"/>
              </w:rPr>
              <w:t>/3</w:t>
            </w:r>
          </w:p>
        </w:tc>
        <w:tc>
          <w:tcPr>
            <w:tcW w:w="0" w:type="auto"/>
            <w:shd w:val="clear" w:color="auto" w:fill="auto"/>
            <w:vAlign w:val="center"/>
          </w:tcPr>
          <w:p w14:paraId="0AA1B0D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1.87</w:t>
            </w:r>
          </w:p>
        </w:tc>
        <w:tc>
          <w:tcPr>
            <w:tcW w:w="0" w:type="auto"/>
            <w:shd w:val="clear" w:color="auto" w:fill="auto"/>
            <w:vAlign w:val="center"/>
          </w:tcPr>
          <w:p w14:paraId="78094CD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1.25</w:t>
            </w:r>
          </w:p>
        </w:tc>
        <w:tc>
          <w:tcPr>
            <w:tcW w:w="0" w:type="auto"/>
            <w:vMerge w:val="restart"/>
            <w:shd w:val="clear" w:color="auto" w:fill="auto"/>
            <w:noWrap/>
            <w:vAlign w:val="center"/>
          </w:tcPr>
          <w:p w14:paraId="17D5CB2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V</w:t>
            </w:r>
            <w:r>
              <w:rPr>
                <w:rFonts w:ascii="Times New Roman" w:hAnsi="Times New Roman"/>
                <w:kern w:val="0"/>
                <w:sz w:val="21"/>
                <w:szCs w:val="21"/>
              </w:rPr>
              <w:t>类标准</w:t>
            </w:r>
          </w:p>
        </w:tc>
        <w:tc>
          <w:tcPr>
            <w:tcW w:w="0" w:type="auto"/>
            <w:shd w:val="clear" w:color="auto" w:fill="auto"/>
            <w:noWrap/>
            <w:vAlign w:val="center"/>
          </w:tcPr>
          <w:p w14:paraId="7FDFFC3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1929BDF8" w14:textId="77777777">
        <w:trPr>
          <w:trHeight w:val="340"/>
          <w:jc w:val="center"/>
        </w:trPr>
        <w:tc>
          <w:tcPr>
            <w:tcW w:w="0" w:type="auto"/>
            <w:vMerge/>
            <w:shd w:val="clear" w:color="auto" w:fill="auto"/>
            <w:noWrap/>
            <w:vAlign w:val="center"/>
          </w:tcPr>
          <w:p w14:paraId="683D4A4B" w14:textId="77777777" w:rsidR="009C353B" w:rsidRDefault="009C353B">
            <w:pPr>
              <w:widowControl/>
              <w:jc w:val="center"/>
              <w:rPr>
                <w:rFonts w:ascii="Times New Roman" w:hAnsi="Times New Roman"/>
                <w:kern w:val="0"/>
                <w:sz w:val="21"/>
                <w:szCs w:val="21"/>
              </w:rPr>
            </w:pPr>
          </w:p>
        </w:tc>
        <w:tc>
          <w:tcPr>
            <w:tcW w:w="1756" w:type="dxa"/>
            <w:shd w:val="clear" w:color="auto" w:fill="auto"/>
            <w:vAlign w:val="center"/>
          </w:tcPr>
          <w:p w14:paraId="1258196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BOD</w:t>
            </w:r>
            <w:r>
              <w:rPr>
                <w:rFonts w:ascii="Times New Roman" w:hAnsi="Times New Roman"/>
                <w:kern w:val="0"/>
                <w:sz w:val="21"/>
                <w:szCs w:val="21"/>
                <w:vertAlign w:val="subscript"/>
              </w:rPr>
              <w:t>5</w:t>
            </w:r>
          </w:p>
        </w:tc>
        <w:tc>
          <w:tcPr>
            <w:tcW w:w="1151" w:type="dxa"/>
            <w:vMerge/>
            <w:shd w:val="clear" w:color="auto" w:fill="auto"/>
            <w:noWrap/>
            <w:vAlign w:val="center"/>
          </w:tcPr>
          <w:p w14:paraId="58D27AEC" w14:textId="77777777" w:rsidR="009C353B" w:rsidRDefault="009C353B">
            <w:pPr>
              <w:widowControl/>
              <w:jc w:val="center"/>
              <w:rPr>
                <w:rFonts w:ascii="Times New Roman" w:hAnsi="Times New Roman"/>
                <w:kern w:val="0"/>
                <w:sz w:val="21"/>
                <w:szCs w:val="21"/>
              </w:rPr>
            </w:pPr>
          </w:p>
        </w:tc>
        <w:tc>
          <w:tcPr>
            <w:tcW w:w="0" w:type="auto"/>
            <w:shd w:val="clear" w:color="auto" w:fill="auto"/>
            <w:vAlign w:val="center"/>
          </w:tcPr>
          <w:p w14:paraId="1DC2A40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w:t>
            </w:r>
          </w:p>
        </w:tc>
        <w:tc>
          <w:tcPr>
            <w:tcW w:w="0" w:type="auto"/>
            <w:shd w:val="clear" w:color="auto" w:fill="auto"/>
            <w:vAlign w:val="center"/>
          </w:tcPr>
          <w:p w14:paraId="4F1B506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1.71</w:t>
            </w:r>
          </w:p>
        </w:tc>
        <w:tc>
          <w:tcPr>
            <w:tcW w:w="0" w:type="auto"/>
            <w:vMerge/>
            <w:shd w:val="clear" w:color="auto" w:fill="auto"/>
            <w:vAlign w:val="center"/>
          </w:tcPr>
          <w:p w14:paraId="65E91BB2"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AD85B0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p>
        </w:tc>
      </w:tr>
      <w:tr w:rsidR="009C353B" w14:paraId="5B389D53" w14:textId="77777777">
        <w:trPr>
          <w:trHeight w:val="340"/>
          <w:jc w:val="center"/>
        </w:trPr>
        <w:tc>
          <w:tcPr>
            <w:tcW w:w="0" w:type="auto"/>
            <w:vMerge/>
            <w:shd w:val="clear" w:color="auto" w:fill="auto"/>
            <w:noWrap/>
            <w:vAlign w:val="center"/>
          </w:tcPr>
          <w:p w14:paraId="71698811" w14:textId="77777777" w:rsidR="009C353B" w:rsidRDefault="009C353B">
            <w:pPr>
              <w:widowControl/>
              <w:jc w:val="center"/>
              <w:rPr>
                <w:rFonts w:ascii="Times New Roman" w:hAnsi="Times New Roman"/>
                <w:kern w:val="0"/>
                <w:sz w:val="21"/>
                <w:szCs w:val="21"/>
              </w:rPr>
            </w:pPr>
          </w:p>
        </w:tc>
        <w:tc>
          <w:tcPr>
            <w:tcW w:w="1756" w:type="dxa"/>
            <w:shd w:val="clear" w:color="auto" w:fill="auto"/>
            <w:vAlign w:val="center"/>
          </w:tcPr>
          <w:p w14:paraId="7895DE1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1151" w:type="dxa"/>
            <w:vMerge/>
            <w:shd w:val="clear" w:color="auto" w:fill="auto"/>
            <w:noWrap/>
            <w:vAlign w:val="center"/>
          </w:tcPr>
          <w:p w14:paraId="28774579" w14:textId="77777777" w:rsidR="009C353B" w:rsidRDefault="009C353B">
            <w:pPr>
              <w:widowControl/>
              <w:jc w:val="center"/>
              <w:rPr>
                <w:rFonts w:ascii="Times New Roman" w:hAnsi="Times New Roman"/>
                <w:kern w:val="0"/>
                <w:sz w:val="21"/>
                <w:szCs w:val="21"/>
              </w:rPr>
            </w:pPr>
          </w:p>
        </w:tc>
        <w:tc>
          <w:tcPr>
            <w:tcW w:w="0" w:type="auto"/>
            <w:shd w:val="clear" w:color="auto" w:fill="auto"/>
            <w:vAlign w:val="center"/>
          </w:tcPr>
          <w:p w14:paraId="02B0F05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195</w:t>
            </w:r>
          </w:p>
        </w:tc>
        <w:tc>
          <w:tcPr>
            <w:tcW w:w="0" w:type="auto"/>
            <w:shd w:val="clear" w:color="auto" w:fill="auto"/>
            <w:vAlign w:val="center"/>
          </w:tcPr>
          <w:p w14:paraId="590070E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4.88</w:t>
            </w:r>
          </w:p>
        </w:tc>
        <w:tc>
          <w:tcPr>
            <w:tcW w:w="0" w:type="auto"/>
            <w:vMerge/>
            <w:shd w:val="clear" w:color="auto" w:fill="auto"/>
            <w:vAlign w:val="center"/>
          </w:tcPr>
          <w:p w14:paraId="00F9069A"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C7EE58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40</w:t>
            </w:r>
          </w:p>
        </w:tc>
      </w:tr>
      <w:tr w:rsidR="009C353B" w14:paraId="27E0FBC8" w14:textId="77777777">
        <w:trPr>
          <w:trHeight w:val="340"/>
          <w:jc w:val="center"/>
        </w:trPr>
        <w:tc>
          <w:tcPr>
            <w:tcW w:w="0" w:type="auto"/>
            <w:vMerge w:val="restart"/>
            <w:shd w:val="clear" w:color="auto" w:fill="auto"/>
            <w:noWrap/>
            <w:vAlign w:val="center"/>
          </w:tcPr>
          <w:p w14:paraId="25F8556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w:t>
            </w:r>
          </w:p>
        </w:tc>
        <w:tc>
          <w:tcPr>
            <w:tcW w:w="1756" w:type="dxa"/>
            <w:shd w:val="clear" w:color="auto" w:fill="auto"/>
            <w:vAlign w:val="center"/>
          </w:tcPr>
          <w:p w14:paraId="42F0A7C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vMerge/>
            <w:shd w:val="clear" w:color="auto" w:fill="auto"/>
            <w:noWrap/>
            <w:vAlign w:val="center"/>
          </w:tcPr>
          <w:p w14:paraId="256278CF" w14:textId="77777777" w:rsidR="009C353B" w:rsidRDefault="009C353B">
            <w:pPr>
              <w:widowControl/>
              <w:jc w:val="center"/>
              <w:rPr>
                <w:rFonts w:ascii="Times New Roman" w:hAnsi="Times New Roman"/>
                <w:kern w:val="0"/>
                <w:sz w:val="21"/>
                <w:szCs w:val="21"/>
              </w:rPr>
            </w:pPr>
          </w:p>
        </w:tc>
        <w:tc>
          <w:tcPr>
            <w:tcW w:w="0" w:type="auto"/>
            <w:shd w:val="clear" w:color="auto" w:fill="auto"/>
            <w:vAlign w:val="center"/>
          </w:tcPr>
          <w:p w14:paraId="4DC1510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2.07</w:t>
            </w:r>
          </w:p>
        </w:tc>
        <w:tc>
          <w:tcPr>
            <w:tcW w:w="0" w:type="auto"/>
            <w:shd w:val="clear" w:color="auto" w:fill="auto"/>
            <w:vAlign w:val="center"/>
          </w:tcPr>
          <w:p w14:paraId="0C4F2DE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1.38</w:t>
            </w:r>
          </w:p>
        </w:tc>
        <w:tc>
          <w:tcPr>
            <w:tcW w:w="0" w:type="auto"/>
            <w:vMerge/>
            <w:shd w:val="clear" w:color="auto" w:fill="auto"/>
            <w:vAlign w:val="center"/>
          </w:tcPr>
          <w:p w14:paraId="549FAF29"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D0F87F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0909DB9B" w14:textId="77777777">
        <w:trPr>
          <w:trHeight w:val="340"/>
          <w:jc w:val="center"/>
        </w:trPr>
        <w:tc>
          <w:tcPr>
            <w:tcW w:w="0" w:type="auto"/>
            <w:vMerge/>
            <w:shd w:val="clear" w:color="auto" w:fill="auto"/>
            <w:noWrap/>
            <w:vAlign w:val="center"/>
          </w:tcPr>
          <w:p w14:paraId="7D27FFB2" w14:textId="77777777" w:rsidR="009C353B" w:rsidRDefault="009C353B">
            <w:pPr>
              <w:widowControl/>
              <w:jc w:val="center"/>
              <w:rPr>
                <w:rFonts w:ascii="Times New Roman" w:hAnsi="Times New Roman"/>
                <w:kern w:val="0"/>
                <w:sz w:val="21"/>
                <w:szCs w:val="21"/>
              </w:rPr>
            </w:pPr>
          </w:p>
        </w:tc>
        <w:tc>
          <w:tcPr>
            <w:tcW w:w="1756" w:type="dxa"/>
            <w:shd w:val="clear" w:color="auto" w:fill="auto"/>
            <w:vAlign w:val="center"/>
          </w:tcPr>
          <w:p w14:paraId="028939E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BOD</w:t>
            </w:r>
            <w:r>
              <w:rPr>
                <w:rFonts w:ascii="Times New Roman" w:hAnsi="Times New Roman"/>
                <w:kern w:val="0"/>
                <w:sz w:val="21"/>
                <w:szCs w:val="21"/>
                <w:vertAlign w:val="subscript"/>
              </w:rPr>
              <w:t>5</w:t>
            </w:r>
          </w:p>
        </w:tc>
        <w:tc>
          <w:tcPr>
            <w:tcW w:w="1151" w:type="dxa"/>
            <w:vMerge/>
            <w:shd w:val="clear" w:color="auto" w:fill="auto"/>
            <w:noWrap/>
            <w:vAlign w:val="center"/>
          </w:tcPr>
          <w:p w14:paraId="657F8F5C" w14:textId="77777777" w:rsidR="009C353B" w:rsidRDefault="009C353B">
            <w:pPr>
              <w:widowControl/>
              <w:jc w:val="center"/>
              <w:rPr>
                <w:rFonts w:ascii="Times New Roman" w:hAnsi="Times New Roman"/>
                <w:kern w:val="0"/>
                <w:sz w:val="21"/>
                <w:szCs w:val="21"/>
              </w:rPr>
            </w:pPr>
          </w:p>
        </w:tc>
        <w:tc>
          <w:tcPr>
            <w:tcW w:w="0" w:type="auto"/>
            <w:shd w:val="clear" w:color="auto" w:fill="auto"/>
            <w:vAlign w:val="center"/>
          </w:tcPr>
          <w:p w14:paraId="69ABB5F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w:t>
            </w:r>
          </w:p>
        </w:tc>
        <w:tc>
          <w:tcPr>
            <w:tcW w:w="0" w:type="auto"/>
            <w:shd w:val="clear" w:color="auto" w:fill="auto"/>
            <w:vAlign w:val="center"/>
          </w:tcPr>
          <w:p w14:paraId="7B705A4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w:t>
            </w:r>
          </w:p>
        </w:tc>
        <w:tc>
          <w:tcPr>
            <w:tcW w:w="0" w:type="auto"/>
            <w:vMerge/>
            <w:shd w:val="clear" w:color="auto" w:fill="auto"/>
            <w:vAlign w:val="center"/>
          </w:tcPr>
          <w:p w14:paraId="20456E8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2AE053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p>
        </w:tc>
      </w:tr>
      <w:tr w:rsidR="009C353B" w14:paraId="481DC14D" w14:textId="77777777">
        <w:trPr>
          <w:trHeight w:val="340"/>
          <w:jc w:val="center"/>
        </w:trPr>
        <w:tc>
          <w:tcPr>
            <w:tcW w:w="0" w:type="auto"/>
            <w:vMerge/>
            <w:shd w:val="clear" w:color="auto" w:fill="auto"/>
            <w:noWrap/>
            <w:vAlign w:val="center"/>
          </w:tcPr>
          <w:p w14:paraId="5A3A82A1" w14:textId="77777777" w:rsidR="009C353B" w:rsidRDefault="009C353B">
            <w:pPr>
              <w:widowControl/>
              <w:jc w:val="center"/>
              <w:rPr>
                <w:rFonts w:ascii="Times New Roman" w:hAnsi="Times New Roman"/>
                <w:kern w:val="0"/>
                <w:sz w:val="21"/>
                <w:szCs w:val="21"/>
              </w:rPr>
            </w:pPr>
          </w:p>
        </w:tc>
        <w:tc>
          <w:tcPr>
            <w:tcW w:w="1756" w:type="dxa"/>
            <w:shd w:val="clear" w:color="auto" w:fill="auto"/>
            <w:vAlign w:val="center"/>
          </w:tcPr>
          <w:p w14:paraId="11B2329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1151" w:type="dxa"/>
            <w:vMerge/>
            <w:shd w:val="clear" w:color="auto" w:fill="auto"/>
            <w:noWrap/>
            <w:vAlign w:val="center"/>
          </w:tcPr>
          <w:p w14:paraId="7C4C2F29" w14:textId="77777777" w:rsidR="009C353B" w:rsidRDefault="009C353B">
            <w:pPr>
              <w:widowControl/>
              <w:jc w:val="center"/>
              <w:rPr>
                <w:rFonts w:ascii="Times New Roman" w:hAnsi="Times New Roman"/>
                <w:kern w:val="0"/>
                <w:sz w:val="21"/>
                <w:szCs w:val="21"/>
              </w:rPr>
            </w:pPr>
          </w:p>
        </w:tc>
        <w:tc>
          <w:tcPr>
            <w:tcW w:w="0" w:type="auto"/>
            <w:shd w:val="clear" w:color="auto" w:fill="auto"/>
            <w:vAlign w:val="center"/>
          </w:tcPr>
          <w:p w14:paraId="11BA235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222</w:t>
            </w:r>
          </w:p>
        </w:tc>
        <w:tc>
          <w:tcPr>
            <w:tcW w:w="0" w:type="auto"/>
            <w:shd w:val="clear" w:color="auto" w:fill="auto"/>
            <w:vAlign w:val="center"/>
          </w:tcPr>
          <w:p w14:paraId="2CEAACB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5.55</w:t>
            </w:r>
          </w:p>
        </w:tc>
        <w:tc>
          <w:tcPr>
            <w:tcW w:w="0" w:type="auto"/>
            <w:vMerge/>
            <w:shd w:val="clear" w:color="auto" w:fill="auto"/>
            <w:vAlign w:val="center"/>
          </w:tcPr>
          <w:p w14:paraId="41F13988"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E38E7B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40</w:t>
            </w:r>
          </w:p>
        </w:tc>
      </w:tr>
      <w:tr w:rsidR="009C353B" w14:paraId="7DEB6747" w14:textId="77777777">
        <w:trPr>
          <w:trHeight w:val="340"/>
          <w:jc w:val="center"/>
        </w:trPr>
        <w:tc>
          <w:tcPr>
            <w:tcW w:w="0" w:type="auto"/>
            <w:vMerge w:val="restart"/>
            <w:shd w:val="clear" w:color="auto" w:fill="auto"/>
            <w:noWrap/>
            <w:vAlign w:val="center"/>
          </w:tcPr>
          <w:p w14:paraId="388D89C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p>
        </w:tc>
        <w:tc>
          <w:tcPr>
            <w:tcW w:w="1756" w:type="dxa"/>
            <w:shd w:val="clear" w:color="auto" w:fill="auto"/>
            <w:vAlign w:val="center"/>
          </w:tcPr>
          <w:p w14:paraId="28EC6DB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vMerge/>
            <w:shd w:val="clear" w:color="auto" w:fill="auto"/>
            <w:noWrap/>
            <w:vAlign w:val="center"/>
          </w:tcPr>
          <w:p w14:paraId="1139E312" w14:textId="77777777" w:rsidR="009C353B" w:rsidRDefault="009C353B">
            <w:pPr>
              <w:widowControl/>
              <w:jc w:val="center"/>
              <w:rPr>
                <w:rFonts w:ascii="Times New Roman" w:hAnsi="Times New Roman"/>
                <w:kern w:val="0"/>
                <w:sz w:val="21"/>
                <w:szCs w:val="21"/>
              </w:rPr>
            </w:pPr>
          </w:p>
        </w:tc>
        <w:tc>
          <w:tcPr>
            <w:tcW w:w="0" w:type="auto"/>
            <w:shd w:val="clear" w:color="auto" w:fill="auto"/>
            <w:vAlign w:val="center"/>
          </w:tcPr>
          <w:p w14:paraId="74C8D7F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2.18</w:t>
            </w:r>
          </w:p>
        </w:tc>
        <w:tc>
          <w:tcPr>
            <w:tcW w:w="0" w:type="auto"/>
            <w:shd w:val="clear" w:color="auto" w:fill="auto"/>
            <w:vAlign w:val="center"/>
          </w:tcPr>
          <w:p w14:paraId="58131CC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1.45</w:t>
            </w:r>
          </w:p>
        </w:tc>
        <w:tc>
          <w:tcPr>
            <w:tcW w:w="0" w:type="auto"/>
            <w:vMerge/>
            <w:shd w:val="clear" w:color="auto" w:fill="auto"/>
            <w:vAlign w:val="center"/>
          </w:tcPr>
          <w:p w14:paraId="7044526A"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81A8EF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0C4B9B73" w14:textId="77777777">
        <w:trPr>
          <w:trHeight w:val="340"/>
          <w:jc w:val="center"/>
        </w:trPr>
        <w:tc>
          <w:tcPr>
            <w:tcW w:w="0" w:type="auto"/>
            <w:vMerge/>
            <w:shd w:val="clear" w:color="auto" w:fill="auto"/>
            <w:noWrap/>
            <w:vAlign w:val="center"/>
          </w:tcPr>
          <w:p w14:paraId="4AE60EEC" w14:textId="77777777" w:rsidR="009C353B" w:rsidRDefault="009C353B">
            <w:pPr>
              <w:widowControl/>
              <w:jc w:val="center"/>
              <w:rPr>
                <w:rFonts w:ascii="Times New Roman" w:hAnsi="Times New Roman"/>
                <w:kern w:val="0"/>
                <w:sz w:val="21"/>
                <w:szCs w:val="21"/>
              </w:rPr>
            </w:pPr>
          </w:p>
        </w:tc>
        <w:tc>
          <w:tcPr>
            <w:tcW w:w="1756" w:type="dxa"/>
            <w:shd w:val="clear" w:color="auto" w:fill="auto"/>
            <w:vAlign w:val="center"/>
          </w:tcPr>
          <w:p w14:paraId="76D73E9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BOD</w:t>
            </w:r>
            <w:r>
              <w:rPr>
                <w:rFonts w:ascii="Times New Roman" w:hAnsi="Times New Roman"/>
                <w:kern w:val="0"/>
                <w:sz w:val="21"/>
                <w:szCs w:val="21"/>
                <w:vertAlign w:val="subscript"/>
              </w:rPr>
              <w:t>5</w:t>
            </w:r>
          </w:p>
        </w:tc>
        <w:tc>
          <w:tcPr>
            <w:tcW w:w="1151" w:type="dxa"/>
            <w:vMerge/>
            <w:shd w:val="clear" w:color="auto" w:fill="auto"/>
            <w:noWrap/>
            <w:vAlign w:val="center"/>
          </w:tcPr>
          <w:p w14:paraId="3A88EBF1" w14:textId="77777777" w:rsidR="009C353B" w:rsidRDefault="009C353B">
            <w:pPr>
              <w:widowControl/>
              <w:jc w:val="center"/>
              <w:rPr>
                <w:rFonts w:ascii="Times New Roman" w:hAnsi="Times New Roman"/>
                <w:kern w:val="0"/>
                <w:sz w:val="21"/>
                <w:szCs w:val="21"/>
              </w:rPr>
            </w:pPr>
          </w:p>
        </w:tc>
        <w:tc>
          <w:tcPr>
            <w:tcW w:w="0" w:type="auto"/>
            <w:shd w:val="clear" w:color="auto" w:fill="auto"/>
            <w:vAlign w:val="center"/>
          </w:tcPr>
          <w:p w14:paraId="31D0424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22</w:t>
            </w:r>
          </w:p>
        </w:tc>
        <w:tc>
          <w:tcPr>
            <w:tcW w:w="0" w:type="auto"/>
            <w:shd w:val="clear" w:color="auto" w:fill="auto"/>
            <w:vAlign w:val="center"/>
          </w:tcPr>
          <w:p w14:paraId="1D8CAEA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2.22</w:t>
            </w:r>
          </w:p>
        </w:tc>
        <w:tc>
          <w:tcPr>
            <w:tcW w:w="0" w:type="auto"/>
            <w:vMerge/>
            <w:shd w:val="clear" w:color="auto" w:fill="auto"/>
            <w:vAlign w:val="center"/>
          </w:tcPr>
          <w:p w14:paraId="39155AB1"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345153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w:t>
            </w:r>
          </w:p>
        </w:tc>
      </w:tr>
      <w:tr w:rsidR="009C353B" w14:paraId="3DB6CE21" w14:textId="77777777">
        <w:trPr>
          <w:trHeight w:val="340"/>
          <w:jc w:val="center"/>
        </w:trPr>
        <w:tc>
          <w:tcPr>
            <w:tcW w:w="0" w:type="auto"/>
            <w:vMerge/>
            <w:shd w:val="clear" w:color="auto" w:fill="auto"/>
            <w:noWrap/>
            <w:vAlign w:val="center"/>
          </w:tcPr>
          <w:p w14:paraId="4B9754A9" w14:textId="77777777" w:rsidR="009C353B" w:rsidRDefault="009C353B">
            <w:pPr>
              <w:widowControl/>
              <w:jc w:val="center"/>
              <w:rPr>
                <w:rFonts w:ascii="Times New Roman" w:hAnsi="Times New Roman"/>
                <w:kern w:val="0"/>
                <w:sz w:val="21"/>
                <w:szCs w:val="21"/>
              </w:rPr>
            </w:pPr>
          </w:p>
        </w:tc>
        <w:tc>
          <w:tcPr>
            <w:tcW w:w="1756" w:type="dxa"/>
            <w:shd w:val="clear" w:color="auto" w:fill="auto"/>
            <w:vAlign w:val="center"/>
          </w:tcPr>
          <w:p w14:paraId="0797A59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1151" w:type="dxa"/>
            <w:vMerge/>
            <w:shd w:val="clear" w:color="auto" w:fill="auto"/>
            <w:noWrap/>
            <w:vAlign w:val="center"/>
          </w:tcPr>
          <w:p w14:paraId="5FB93480" w14:textId="77777777" w:rsidR="009C353B" w:rsidRDefault="009C353B">
            <w:pPr>
              <w:widowControl/>
              <w:jc w:val="center"/>
              <w:rPr>
                <w:rFonts w:ascii="Times New Roman" w:hAnsi="Times New Roman"/>
                <w:kern w:val="0"/>
                <w:sz w:val="21"/>
                <w:szCs w:val="21"/>
              </w:rPr>
            </w:pPr>
          </w:p>
        </w:tc>
        <w:tc>
          <w:tcPr>
            <w:tcW w:w="0" w:type="auto"/>
            <w:shd w:val="clear" w:color="auto" w:fill="auto"/>
            <w:vAlign w:val="center"/>
          </w:tcPr>
          <w:p w14:paraId="5F2002B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200</w:t>
            </w:r>
          </w:p>
        </w:tc>
        <w:tc>
          <w:tcPr>
            <w:tcW w:w="0" w:type="auto"/>
            <w:shd w:val="clear" w:color="auto" w:fill="auto"/>
            <w:vAlign w:val="center"/>
          </w:tcPr>
          <w:p w14:paraId="6A16109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w:t>
            </w:r>
          </w:p>
        </w:tc>
        <w:tc>
          <w:tcPr>
            <w:tcW w:w="0" w:type="auto"/>
            <w:vMerge/>
            <w:shd w:val="clear" w:color="auto" w:fill="auto"/>
            <w:vAlign w:val="center"/>
          </w:tcPr>
          <w:p w14:paraId="6B88057D"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C477DE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40</w:t>
            </w:r>
          </w:p>
        </w:tc>
      </w:tr>
      <w:tr w:rsidR="009C353B" w14:paraId="521E8DF4" w14:textId="77777777">
        <w:trPr>
          <w:trHeight w:val="340"/>
          <w:jc w:val="center"/>
        </w:trPr>
        <w:tc>
          <w:tcPr>
            <w:tcW w:w="0" w:type="auto"/>
            <w:vMerge w:val="restart"/>
            <w:shd w:val="clear" w:color="auto" w:fill="auto"/>
            <w:noWrap/>
            <w:vAlign w:val="center"/>
          </w:tcPr>
          <w:p w14:paraId="290EAA7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w:t>
            </w:r>
          </w:p>
        </w:tc>
        <w:tc>
          <w:tcPr>
            <w:tcW w:w="1756" w:type="dxa"/>
            <w:vMerge w:val="restart"/>
            <w:shd w:val="clear" w:color="auto" w:fill="auto"/>
            <w:vAlign w:val="center"/>
          </w:tcPr>
          <w:p w14:paraId="32ADA4D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shd w:val="clear" w:color="auto" w:fill="auto"/>
            <w:noWrap/>
            <w:vAlign w:val="center"/>
          </w:tcPr>
          <w:p w14:paraId="4A98B1C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2013/1/21</w:t>
            </w:r>
          </w:p>
        </w:tc>
        <w:tc>
          <w:tcPr>
            <w:tcW w:w="0" w:type="auto"/>
            <w:shd w:val="clear" w:color="auto" w:fill="auto"/>
            <w:noWrap/>
            <w:vAlign w:val="center"/>
          </w:tcPr>
          <w:p w14:paraId="5EE80C0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1.78</w:t>
            </w:r>
          </w:p>
        </w:tc>
        <w:tc>
          <w:tcPr>
            <w:tcW w:w="0" w:type="auto"/>
            <w:shd w:val="clear" w:color="auto" w:fill="auto"/>
            <w:noWrap/>
            <w:vAlign w:val="center"/>
          </w:tcPr>
          <w:p w14:paraId="0723783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1.19</w:t>
            </w:r>
          </w:p>
        </w:tc>
        <w:tc>
          <w:tcPr>
            <w:tcW w:w="0" w:type="auto"/>
            <w:vMerge w:val="restart"/>
            <w:shd w:val="clear" w:color="auto" w:fill="auto"/>
            <w:noWrap/>
            <w:vAlign w:val="center"/>
          </w:tcPr>
          <w:p w14:paraId="76C7848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IV</w:t>
            </w:r>
            <w:r>
              <w:rPr>
                <w:rFonts w:ascii="Times New Roman" w:hAnsi="Times New Roman"/>
                <w:kern w:val="0"/>
                <w:sz w:val="21"/>
                <w:szCs w:val="21"/>
              </w:rPr>
              <w:t>类标准</w:t>
            </w:r>
          </w:p>
        </w:tc>
        <w:tc>
          <w:tcPr>
            <w:tcW w:w="0" w:type="auto"/>
            <w:shd w:val="clear" w:color="auto" w:fill="auto"/>
            <w:noWrap/>
            <w:vAlign w:val="center"/>
          </w:tcPr>
          <w:p w14:paraId="5F3367B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69960B53" w14:textId="77777777">
        <w:trPr>
          <w:trHeight w:val="340"/>
          <w:jc w:val="center"/>
        </w:trPr>
        <w:tc>
          <w:tcPr>
            <w:tcW w:w="0" w:type="auto"/>
            <w:vMerge/>
            <w:shd w:val="clear" w:color="auto" w:fill="auto"/>
            <w:noWrap/>
            <w:vAlign w:val="center"/>
          </w:tcPr>
          <w:p w14:paraId="7938A580"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0D3213DE"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5530E29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2013/1/22</w:t>
            </w:r>
          </w:p>
        </w:tc>
        <w:tc>
          <w:tcPr>
            <w:tcW w:w="0" w:type="auto"/>
            <w:shd w:val="clear" w:color="auto" w:fill="auto"/>
            <w:noWrap/>
            <w:vAlign w:val="center"/>
          </w:tcPr>
          <w:p w14:paraId="4F70DA5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1.74</w:t>
            </w:r>
          </w:p>
        </w:tc>
        <w:tc>
          <w:tcPr>
            <w:tcW w:w="0" w:type="auto"/>
            <w:shd w:val="clear" w:color="auto" w:fill="auto"/>
            <w:noWrap/>
            <w:vAlign w:val="center"/>
          </w:tcPr>
          <w:p w14:paraId="377563F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1.16</w:t>
            </w:r>
          </w:p>
        </w:tc>
        <w:tc>
          <w:tcPr>
            <w:tcW w:w="0" w:type="auto"/>
            <w:vMerge/>
            <w:shd w:val="clear" w:color="auto" w:fill="auto"/>
            <w:vAlign w:val="center"/>
          </w:tcPr>
          <w:p w14:paraId="2D89008E"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BE70AC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62F62766" w14:textId="77777777">
        <w:trPr>
          <w:trHeight w:val="340"/>
          <w:jc w:val="center"/>
        </w:trPr>
        <w:tc>
          <w:tcPr>
            <w:tcW w:w="0" w:type="auto"/>
            <w:vMerge/>
            <w:shd w:val="clear" w:color="auto" w:fill="auto"/>
            <w:noWrap/>
            <w:vAlign w:val="center"/>
          </w:tcPr>
          <w:p w14:paraId="3C3D597A"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189E6D7F"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10DB624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2013/1/23</w:t>
            </w:r>
          </w:p>
        </w:tc>
        <w:tc>
          <w:tcPr>
            <w:tcW w:w="0" w:type="auto"/>
            <w:shd w:val="clear" w:color="auto" w:fill="auto"/>
            <w:noWrap/>
            <w:vAlign w:val="center"/>
          </w:tcPr>
          <w:p w14:paraId="4B55052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1.75</w:t>
            </w:r>
          </w:p>
        </w:tc>
        <w:tc>
          <w:tcPr>
            <w:tcW w:w="0" w:type="auto"/>
            <w:shd w:val="clear" w:color="auto" w:fill="auto"/>
            <w:noWrap/>
            <w:vAlign w:val="center"/>
          </w:tcPr>
          <w:p w14:paraId="17B42D3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1.17</w:t>
            </w:r>
          </w:p>
        </w:tc>
        <w:tc>
          <w:tcPr>
            <w:tcW w:w="0" w:type="auto"/>
            <w:vMerge/>
            <w:shd w:val="clear" w:color="auto" w:fill="auto"/>
            <w:vAlign w:val="center"/>
          </w:tcPr>
          <w:p w14:paraId="76388F91"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2E8AB0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7C300C31" w14:textId="77777777">
        <w:trPr>
          <w:trHeight w:val="340"/>
          <w:jc w:val="center"/>
        </w:trPr>
        <w:tc>
          <w:tcPr>
            <w:tcW w:w="0" w:type="auto"/>
            <w:vMerge/>
            <w:shd w:val="clear" w:color="auto" w:fill="auto"/>
            <w:noWrap/>
            <w:vAlign w:val="center"/>
          </w:tcPr>
          <w:p w14:paraId="185257A3" w14:textId="77777777" w:rsidR="009C353B" w:rsidRDefault="009C353B">
            <w:pPr>
              <w:widowControl/>
              <w:jc w:val="center"/>
              <w:rPr>
                <w:rFonts w:ascii="Times New Roman" w:hAnsi="Times New Roman"/>
                <w:kern w:val="0"/>
                <w:sz w:val="21"/>
                <w:szCs w:val="21"/>
              </w:rPr>
            </w:pPr>
          </w:p>
        </w:tc>
        <w:tc>
          <w:tcPr>
            <w:tcW w:w="1756" w:type="dxa"/>
            <w:vMerge w:val="restart"/>
            <w:shd w:val="clear" w:color="auto" w:fill="auto"/>
            <w:vAlign w:val="center"/>
          </w:tcPr>
          <w:p w14:paraId="29F8CB0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挥发酚</w:t>
            </w:r>
          </w:p>
        </w:tc>
        <w:tc>
          <w:tcPr>
            <w:tcW w:w="1151" w:type="dxa"/>
            <w:shd w:val="clear" w:color="auto" w:fill="auto"/>
            <w:noWrap/>
            <w:vAlign w:val="center"/>
          </w:tcPr>
          <w:p w14:paraId="48928C7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2013/1/21</w:t>
            </w:r>
          </w:p>
        </w:tc>
        <w:tc>
          <w:tcPr>
            <w:tcW w:w="0" w:type="auto"/>
            <w:shd w:val="clear" w:color="auto" w:fill="auto"/>
            <w:noWrap/>
            <w:vAlign w:val="center"/>
          </w:tcPr>
          <w:p w14:paraId="3923636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0.04</w:t>
            </w:r>
          </w:p>
        </w:tc>
        <w:tc>
          <w:tcPr>
            <w:tcW w:w="0" w:type="auto"/>
            <w:shd w:val="clear" w:color="auto" w:fill="auto"/>
            <w:noWrap/>
            <w:vAlign w:val="center"/>
          </w:tcPr>
          <w:p w14:paraId="1DAA67A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4.00</w:t>
            </w:r>
          </w:p>
        </w:tc>
        <w:tc>
          <w:tcPr>
            <w:tcW w:w="0" w:type="auto"/>
            <w:vMerge/>
            <w:shd w:val="clear" w:color="auto" w:fill="auto"/>
            <w:vAlign w:val="center"/>
          </w:tcPr>
          <w:p w14:paraId="2D5637D9"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FA947B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12031FA7" w14:textId="77777777">
        <w:trPr>
          <w:trHeight w:val="340"/>
          <w:jc w:val="center"/>
        </w:trPr>
        <w:tc>
          <w:tcPr>
            <w:tcW w:w="0" w:type="auto"/>
            <w:vMerge/>
            <w:shd w:val="clear" w:color="auto" w:fill="auto"/>
            <w:noWrap/>
            <w:vAlign w:val="center"/>
          </w:tcPr>
          <w:p w14:paraId="5A50AB29"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63C32B5E"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5163AF6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2013/1/22</w:t>
            </w:r>
          </w:p>
        </w:tc>
        <w:tc>
          <w:tcPr>
            <w:tcW w:w="0" w:type="auto"/>
            <w:shd w:val="clear" w:color="auto" w:fill="auto"/>
            <w:noWrap/>
            <w:vAlign w:val="center"/>
          </w:tcPr>
          <w:p w14:paraId="784DF99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0.038</w:t>
            </w:r>
          </w:p>
        </w:tc>
        <w:tc>
          <w:tcPr>
            <w:tcW w:w="0" w:type="auto"/>
            <w:shd w:val="clear" w:color="auto" w:fill="auto"/>
            <w:noWrap/>
            <w:vAlign w:val="center"/>
          </w:tcPr>
          <w:p w14:paraId="626CB52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3.80</w:t>
            </w:r>
          </w:p>
        </w:tc>
        <w:tc>
          <w:tcPr>
            <w:tcW w:w="0" w:type="auto"/>
            <w:vMerge/>
            <w:shd w:val="clear" w:color="auto" w:fill="auto"/>
            <w:vAlign w:val="center"/>
          </w:tcPr>
          <w:p w14:paraId="7F6F567C"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D55DCC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7E51AD94" w14:textId="77777777">
        <w:trPr>
          <w:trHeight w:val="340"/>
          <w:jc w:val="center"/>
        </w:trPr>
        <w:tc>
          <w:tcPr>
            <w:tcW w:w="0" w:type="auto"/>
            <w:vMerge/>
            <w:shd w:val="clear" w:color="auto" w:fill="auto"/>
            <w:noWrap/>
            <w:vAlign w:val="center"/>
          </w:tcPr>
          <w:p w14:paraId="1CE1F20F"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230FD941"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320E681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2013/1/23</w:t>
            </w:r>
          </w:p>
        </w:tc>
        <w:tc>
          <w:tcPr>
            <w:tcW w:w="0" w:type="auto"/>
            <w:shd w:val="clear" w:color="auto" w:fill="auto"/>
            <w:noWrap/>
            <w:vAlign w:val="center"/>
          </w:tcPr>
          <w:p w14:paraId="6DBCB75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0.035</w:t>
            </w:r>
          </w:p>
        </w:tc>
        <w:tc>
          <w:tcPr>
            <w:tcW w:w="0" w:type="auto"/>
            <w:shd w:val="clear" w:color="auto" w:fill="auto"/>
            <w:noWrap/>
            <w:vAlign w:val="center"/>
          </w:tcPr>
          <w:p w14:paraId="7BD15A4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3.50</w:t>
            </w:r>
          </w:p>
        </w:tc>
        <w:tc>
          <w:tcPr>
            <w:tcW w:w="0" w:type="auto"/>
            <w:vMerge/>
            <w:shd w:val="clear" w:color="auto" w:fill="auto"/>
            <w:vAlign w:val="center"/>
          </w:tcPr>
          <w:p w14:paraId="2981CE2F"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3CF99F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55CE8208" w14:textId="77777777">
        <w:trPr>
          <w:trHeight w:val="340"/>
          <w:jc w:val="center"/>
        </w:trPr>
        <w:tc>
          <w:tcPr>
            <w:tcW w:w="0" w:type="auto"/>
            <w:vMerge w:val="restart"/>
            <w:shd w:val="clear" w:color="auto" w:fill="auto"/>
            <w:noWrap/>
            <w:vAlign w:val="center"/>
          </w:tcPr>
          <w:p w14:paraId="1E7D10D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w:t>
            </w:r>
          </w:p>
        </w:tc>
        <w:tc>
          <w:tcPr>
            <w:tcW w:w="1756" w:type="dxa"/>
            <w:vMerge w:val="restart"/>
            <w:shd w:val="clear" w:color="auto" w:fill="auto"/>
            <w:vAlign w:val="center"/>
          </w:tcPr>
          <w:p w14:paraId="3EFC98C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shd w:val="clear" w:color="auto" w:fill="auto"/>
            <w:noWrap/>
            <w:vAlign w:val="center"/>
          </w:tcPr>
          <w:p w14:paraId="7B7D970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2013/1/21</w:t>
            </w:r>
          </w:p>
        </w:tc>
        <w:tc>
          <w:tcPr>
            <w:tcW w:w="0" w:type="auto"/>
            <w:shd w:val="clear" w:color="auto" w:fill="auto"/>
            <w:noWrap/>
            <w:vAlign w:val="center"/>
          </w:tcPr>
          <w:p w14:paraId="1C17E31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1.29</w:t>
            </w:r>
          </w:p>
        </w:tc>
        <w:tc>
          <w:tcPr>
            <w:tcW w:w="0" w:type="auto"/>
            <w:shd w:val="clear" w:color="auto" w:fill="auto"/>
            <w:noWrap/>
            <w:vAlign w:val="center"/>
          </w:tcPr>
          <w:p w14:paraId="5B70242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vAlign w:val="center"/>
          </w:tcPr>
          <w:p w14:paraId="7827BF7C"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7E9F7A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736767D4" w14:textId="77777777">
        <w:trPr>
          <w:trHeight w:val="340"/>
          <w:jc w:val="center"/>
        </w:trPr>
        <w:tc>
          <w:tcPr>
            <w:tcW w:w="0" w:type="auto"/>
            <w:vMerge/>
            <w:shd w:val="clear" w:color="auto" w:fill="auto"/>
            <w:noWrap/>
            <w:vAlign w:val="center"/>
          </w:tcPr>
          <w:p w14:paraId="6E5F47DE"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5854FD1E"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4F7F504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2013/1/22</w:t>
            </w:r>
          </w:p>
        </w:tc>
        <w:tc>
          <w:tcPr>
            <w:tcW w:w="0" w:type="auto"/>
            <w:shd w:val="clear" w:color="auto" w:fill="auto"/>
            <w:noWrap/>
            <w:vAlign w:val="center"/>
          </w:tcPr>
          <w:p w14:paraId="6237683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1.32</w:t>
            </w:r>
          </w:p>
        </w:tc>
        <w:tc>
          <w:tcPr>
            <w:tcW w:w="0" w:type="auto"/>
            <w:shd w:val="clear" w:color="auto" w:fill="auto"/>
            <w:noWrap/>
            <w:vAlign w:val="center"/>
          </w:tcPr>
          <w:p w14:paraId="02A6F21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vAlign w:val="center"/>
          </w:tcPr>
          <w:p w14:paraId="59A0F3A1"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EAF3A9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7FAE9C59" w14:textId="77777777">
        <w:trPr>
          <w:trHeight w:val="340"/>
          <w:jc w:val="center"/>
        </w:trPr>
        <w:tc>
          <w:tcPr>
            <w:tcW w:w="0" w:type="auto"/>
            <w:vMerge/>
            <w:shd w:val="clear" w:color="auto" w:fill="auto"/>
            <w:noWrap/>
            <w:vAlign w:val="center"/>
          </w:tcPr>
          <w:p w14:paraId="610719F6"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687BEC93"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752FA70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2013/1/23</w:t>
            </w:r>
          </w:p>
        </w:tc>
        <w:tc>
          <w:tcPr>
            <w:tcW w:w="0" w:type="auto"/>
            <w:shd w:val="clear" w:color="auto" w:fill="auto"/>
            <w:noWrap/>
            <w:vAlign w:val="center"/>
          </w:tcPr>
          <w:p w14:paraId="4028B44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1.33</w:t>
            </w:r>
          </w:p>
        </w:tc>
        <w:tc>
          <w:tcPr>
            <w:tcW w:w="0" w:type="auto"/>
            <w:shd w:val="clear" w:color="auto" w:fill="auto"/>
            <w:noWrap/>
            <w:vAlign w:val="center"/>
          </w:tcPr>
          <w:p w14:paraId="7497F84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vAlign w:val="center"/>
          </w:tcPr>
          <w:p w14:paraId="051DA840"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DCC3F8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72197FE3" w14:textId="77777777">
        <w:trPr>
          <w:trHeight w:val="340"/>
          <w:jc w:val="center"/>
        </w:trPr>
        <w:tc>
          <w:tcPr>
            <w:tcW w:w="0" w:type="auto"/>
            <w:vMerge/>
            <w:shd w:val="clear" w:color="auto" w:fill="auto"/>
            <w:noWrap/>
            <w:vAlign w:val="center"/>
          </w:tcPr>
          <w:p w14:paraId="68B0EEE7" w14:textId="77777777" w:rsidR="009C353B" w:rsidRDefault="009C353B">
            <w:pPr>
              <w:widowControl/>
              <w:jc w:val="center"/>
              <w:rPr>
                <w:rFonts w:ascii="Times New Roman" w:hAnsi="Times New Roman"/>
                <w:kern w:val="0"/>
                <w:sz w:val="21"/>
                <w:szCs w:val="21"/>
              </w:rPr>
            </w:pPr>
          </w:p>
        </w:tc>
        <w:tc>
          <w:tcPr>
            <w:tcW w:w="1756" w:type="dxa"/>
            <w:vMerge w:val="restart"/>
            <w:shd w:val="clear" w:color="auto" w:fill="auto"/>
            <w:vAlign w:val="center"/>
          </w:tcPr>
          <w:p w14:paraId="66C9F56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挥发酚</w:t>
            </w:r>
          </w:p>
        </w:tc>
        <w:tc>
          <w:tcPr>
            <w:tcW w:w="1151" w:type="dxa"/>
            <w:shd w:val="clear" w:color="auto" w:fill="auto"/>
            <w:noWrap/>
            <w:vAlign w:val="center"/>
          </w:tcPr>
          <w:p w14:paraId="6CD82FF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2013/1/21</w:t>
            </w:r>
          </w:p>
        </w:tc>
        <w:tc>
          <w:tcPr>
            <w:tcW w:w="0" w:type="auto"/>
            <w:shd w:val="clear" w:color="auto" w:fill="auto"/>
            <w:noWrap/>
            <w:vAlign w:val="center"/>
          </w:tcPr>
          <w:p w14:paraId="3CB4A50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0.041</w:t>
            </w:r>
          </w:p>
        </w:tc>
        <w:tc>
          <w:tcPr>
            <w:tcW w:w="0" w:type="auto"/>
            <w:shd w:val="clear" w:color="auto" w:fill="auto"/>
            <w:noWrap/>
            <w:vAlign w:val="center"/>
          </w:tcPr>
          <w:p w14:paraId="792C652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4.10</w:t>
            </w:r>
          </w:p>
        </w:tc>
        <w:tc>
          <w:tcPr>
            <w:tcW w:w="0" w:type="auto"/>
            <w:vMerge/>
            <w:shd w:val="clear" w:color="auto" w:fill="auto"/>
            <w:vAlign w:val="center"/>
          </w:tcPr>
          <w:p w14:paraId="3731279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3C89C1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02EFA99D" w14:textId="77777777">
        <w:trPr>
          <w:trHeight w:val="340"/>
          <w:jc w:val="center"/>
        </w:trPr>
        <w:tc>
          <w:tcPr>
            <w:tcW w:w="0" w:type="auto"/>
            <w:vMerge/>
            <w:shd w:val="clear" w:color="auto" w:fill="auto"/>
            <w:noWrap/>
            <w:vAlign w:val="center"/>
          </w:tcPr>
          <w:p w14:paraId="574C1DC7"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1E1F2DF1"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2D32377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2013/1/22</w:t>
            </w:r>
          </w:p>
        </w:tc>
        <w:tc>
          <w:tcPr>
            <w:tcW w:w="0" w:type="auto"/>
            <w:shd w:val="clear" w:color="auto" w:fill="auto"/>
            <w:noWrap/>
            <w:vAlign w:val="center"/>
          </w:tcPr>
          <w:p w14:paraId="7A85A91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0.037</w:t>
            </w:r>
          </w:p>
        </w:tc>
        <w:tc>
          <w:tcPr>
            <w:tcW w:w="0" w:type="auto"/>
            <w:shd w:val="clear" w:color="auto" w:fill="auto"/>
            <w:noWrap/>
            <w:vAlign w:val="center"/>
          </w:tcPr>
          <w:p w14:paraId="74B3C1C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3.70</w:t>
            </w:r>
          </w:p>
        </w:tc>
        <w:tc>
          <w:tcPr>
            <w:tcW w:w="0" w:type="auto"/>
            <w:vMerge/>
            <w:shd w:val="clear" w:color="auto" w:fill="auto"/>
            <w:vAlign w:val="center"/>
          </w:tcPr>
          <w:p w14:paraId="2F1E9A09"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408068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11A96DA9" w14:textId="77777777">
        <w:trPr>
          <w:trHeight w:val="340"/>
          <w:jc w:val="center"/>
        </w:trPr>
        <w:tc>
          <w:tcPr>
            <w:tcW w:w="0" w:type="auto"/>
            <w:vMerge/>
            <w:shd w:val="clear" w:color="auto" w:fill="auto"/>
            <w:noWrap/>
            <w:vAlign w:val="center"/>
          </w:tcPr>
          <w:p w14:paraId="3F4A9878"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2BC8026C"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3311B70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2013/1/23</w:t>
            </w:r>
          </w:p>
        </w:tc>
        <w:tc>
          <w:tcPr>
            <w:tcW w:w="0" w:type="auto"/>
            <w:shd w:val="clear" w:color="auto" w:fill="auto"/>
            <w:noWrap/>
            <w:vAlign w:val="center"/>
          </w:tcPr>
          <w:p w14:paraId="49A6B66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0.037</w:t>
            </w:r>
          </w:p>
        </w:tc>
        <w:tc>
          <w:tcPr>
            <w:tcW w:w="0" w:type="auto"/>
            <w:shd w:val="clear" w:color="auto" w:fill="auto"/>
            <w:noWrap/>
            <w:vAlign w:val="center"/>
          </w:tcPr>
          <w:p w14:paraId="1BB0256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3.70</w:t>
            </w:r>
          </w:p>
        </w:tc>
        <w:tc>
          <w:tcPr>
            <w:tcW w:w="0" w:type="auto"/>
            <w:vMerge/>
            <w:shd w:val="clear" w:color="auto" w:fill="auto"/>
            <w:vAlign w:val="center"/>
          </w:tcPr>
          <w:p w14:paraId="4F977253"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009C3C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19B9CB70" w14:textId="77777777">
        <w:trPr>
          <w:trHeight w:val="340"/>
          <w:jc w:val="center"/>
        </w:trPr>
        <w:tc>
          <w:tcPr>
            <w:tcW w:w="0" w:type="auto"/>
            <w:vMerge w:val="restart"/>
            <w:shd w:val="clear" w:color="auto" w:fill="auto"/>
            <w:noWrap/>
            <w:vAlign w:val="center"/>
          </w:tcPr>
          <w:p w14:paraId="2BE0AC3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w:t>
            </w:r>
          </w:p>
        </w:tc>
        <w:tc>
          <w:tcPr>
            <w:tcW w:w="1756" w:type="dxa"/>
            <w:vMerge w:val="restart"/>
            <w:shd w:val="clear" w:color="auto" w:fill="auto"/>
            <w:vAlign w:val="center"/>
          </w:tcPr>
          <w:p w14:paraId="653C580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shd w:val="clear" w:color="auto" w:fill="auto"/>
            <w:noWrap/>
            <w:vAlign w:val="center"/>
          </w:tcPr>
          <w:p w14:paraId="5708D65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2013/1/21</w:t>
            </w:r>
          </w:p>
        </w:tc>
        <w:tc>
          <w:tcPr>
            <w:tcW w:w="0" w:type="auto"/>
            <w:shd w:val="clear" w:color="auto" w:fill="auto"/>
            <w:noWrap/>
            <w:vAlign w:val="center"/>
          </w:tcPr>
          <w:p w14:paraId="09136F0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1.62</w:t>
            </w:r>
          </w:p>
        </w:tc>
        <w:tc>
          <w:tcPr>
            <w:tcW w:w="0" w:type="auto"/>
            <w:shd w:val="clear" w:color="auto" w:fill="auto"/>
            <w:noWrap/>
            <w:vAlign w:val="center"/>
          </w:tcPr>
          <w:p w14:paraId="4996DB1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1.08</w:t>
            </w:r>
          </w:p>
        </w:tc>
        <w:tc>
          <w:tcPr>
            <w:tcW w:w="0" w:type="auto"/>
            <w:vMerge/>
            <w:shd w:val="clear" w:color="auto" w:fill="auto"/>
            <w:vAlign w:val="center"/>
          </w:tcPr>
          <w:p w14:paraId="3B6118F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7079A5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015A2B65" w14:textId="77777777">
        <w:trPr>
          <w:trHeight w:val="340"/>
          <w:jc w:val="center"/>
        </w:trPr>
        <w:tc>
          <w:tcPr>
            <w:tcW w:w="0" w:type="auto"/>
            <w:vMerge/>
            <w:shd w:val="clear" w:color="auto" w:fill="auto"/>
            <w:noWrap/>
            <w:vAlign w:val="center"/>
          </w:tcPr>
          <w:p w14:paraId="07BE3F83"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2897446E"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4E29008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2013/1/22</w:t>
            </w:r>
          </w:p>
        </w:tc>
        <w:tc>
          <w:tcPr>
            <w:tcW w:w="0" w:type="auto"/>
            <w:shd w:val="clear" w:color="auto" w:fill="auto"/>
            <w:noWrap/>
            <w:vAlign w:val="center"/>
          </w:tcPr>
          <w:p w14:paraId="16055F2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1.59</w:t>
            </w:r>
          </w:p>
        </w:tc>
        <w:tc>
          <w:tcPr>
            <w:tcW w:w="0" w:type="auto"/>
            <w:shd w:val="clear" w:color="auto" w:fill="auto"/>
            <w:noWrap/>
            <w:vAlign w:val="center"/>
          </w:tcPr>
          <w:p w14:paraId="67214D6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1.06</w:t>
            </w:r>
          </w:p>
        </w:tc>
        <w:tc>
          <w:tcPr>
            <w:tcW w:w="0" w:type="auto"/>
            <w:vMerge/>
            <w:shd w:val="clear" w:color="auto" w:fill="auto"/>
            <w:vAlign w:val="center"/>
          </w:tcPr>
          <w:p w14:paraId="03A2BB7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4FE784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6B5BE373" w14:textId="77777777">
        <w:trPr>
          <w:trHeight w:val="340"/>
          <w:jc w:val="center"/>
        </w:trPr>
        <w:tc>
          <w:tcPr>
            <w:tcW w:w="0" w:type="auto"/>
            <w:vMerge/>
            <w:shd w:val="clear" w:color="auto" w:fill="auto"/>
            <w:noWrap/>
            <w:vAlign w:val="center"/>
          </w:tcPr>
          <w:p w14:paraId="7B3F7A1C"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4D3C7BC2"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2464A2F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2013/1/23</w:t>
            </w:r>
          </w:p>
        </w:tc>
        <w:tc>
          <w:tcPr>
            <w:tcW w:w="0" w:type="auto"/>
            <w:shd w:val="clear" w:color="auto" w:fill="auto"/>
            <w:noWrap/>
            <w:vAlign w:val="center"/>
          </w:tcPr>
          <w:p w14:paraId="43CC76E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1.65</w:t>
            </w:r>
          </w:p>
        </w:tc>
        <w:tc>
          <w:tcPr>
            <w:tcW w:w="0" w:type="auto"/>
            <w:shd w:val="clear" w:color="auto" w:fill="auto"/>
            <w:noWrap/>
            <w:vAlign w:val="center"/>
          </w:tcPr>
          <w:p w14:paraId="15FA7D5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1.10</w:t>
            </w:r>
          </w:p>
        </w:tc>
        <w:tc>
          <w:tcPr>
            <w:tcW w:w="0" w:type="auto"/>
            <w:vMerge/>
            <w:shd w:val="clear" w:color="auto" w:fill="auto"/>
            <w:vAlign w:val="center"/>
          </w:tcPr>
          <w:p w14:paraId="45A680DD"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FAA82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19E0A4CD" w14:textId="77777777">
        <w:trPr>
          <w:trHeight w:val="340"/>
          <w:jc w:val="center"/>
        </w:trPr>
        <w:tc>
          <w:tcPr>
            <w:tcW w:w="0" w:type="auto"/>
            <w:vMerge/>
            <w:shd w:val="clear" w:color="auto" w:fill="auto"/>
            <w:noWrap/>
            <w:vAlign w:val="center"/>
          </w:tcPr>
          <w:p w14:paraId="3F3192E9" w14:textId="77777777" w:rsidR="009C353B" w:rsidRDefault="009C353B">
            <w:pPr>
              <w:widowControl/>
              <w:jc w:val="center"/>
              <w:rPr>
                <w:rFonts w:ascii="Times New Roman" w:hAnsi="Times New Roman"/>
                <w:kern w:val="0"/>
                <w:sz w:val="21"/>
                <w:szCs w:val="21"/>
              </w:rPr>
            </w:pPr>
          </w:p>
        </w:tc>
        <w:tc>
          <w:tcPr>
            <w:tcW w:w="1756" w:type="dxa"/>
            <w:vMerge w:val="restart"/>
            <w:shd w:val="clear" w:color="auto" w:fill="auto"/>
            <w:vAlign w:val="center"/>
          </w:tcPr>
          <w:p w14:paraId="6BDDD04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挥发酚</w:t>
            </w:r>
          </w:p>
        </w:tc>
        <w:tc>
          <w:tcPr>
            <w:tcW w:w="1151" w:type="dxa"/>
            <w:shd w:val="clear" w:color="auto" w:fill="auto"/>
            <w:noWrap/>
            <w:vAlign w:val="center"/>
          </w:tcPr>
          <w:p w14:paraId="378C399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2013/1/21</w:t>
            </w:r>
          </w:p>
        </w:tc>
        <w:tc>
          <w:tcPr>
            <w:tcW w:w="0" w:type="auto"/>
            <w:shd w:val="clear" w:color="auto" w:fill="auto"/>
            <w:noWrap/>
            <w:vAlign w:val="center"/>
          </w:tcPr>
          <w:p w14:paraId="198B25C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0.038</w:t>
            </w:r>
          </w:p>
        </w:tc>
        <w:tc>
          <w:tcPr>
            <w:tcW w:w="0" w:type="auto"/>
            <w:shd w:val="clear" w:color="auto" w:fill="auto"/>
            <w:noWrap/>
            <w:vAlign w:val="center"/>
          </w:tcPr>
          <w:p w14:paraId="0A3468A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3.80</w:t>
            </w:r>
          </w:p>
        </w:tc>
        <w:tc>
          <w:tcPr>
            <w:tcW w:w="0" w:type="auto"/>
            <w:vMerge/>
            <w:shd w:val="clear" w:color="auto" w:fill="auto"/>
            <w:vAlign w:val="center"/>
          </w:tcPr>
          <w:p w14:paraId="179ECA92"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1CE13F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0526F9F8" w14:textId="77777777">
        <w:trPr>
          <w:trHeight w:val="340"/>
          <w:jc w:val="center"/>
        </w:trPr>
        <w:tc>
          <w:tcPr>
            <w:tcW w:w="0" w:type="auto"/>
            <w:vMerge/>
            <w:shd w:val="clear" w:color="auto" w:fill="auto"/>
            <w:noWrap/>
            <w:vAlign w:val="center"/>
          </w:tcPr>
          <w:p w14:paraId="5A1F1D8B"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76BD4BDD"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57144C7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2013/1/22</w:t>
            </w:r>
          </w:p>
        </w:tc>
        <w:tc>
          <w:tcPr>
            <w:tcW w:w="0" w:type="auto"/>
            <w:shd w:val="clear" w:color="auto" w:fill="auto"/>
            <w:noWrap/>
            <w:vAlign w:val="center"/>
          </w:tcPr>
          <w:p w14:paraId="40C6D37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0.039</w:t>
            </w:r>
          </w:p>
        </w:tc>
        <w:tc>
          <w:tcPr>
            <w:tcW w:w="0" w:type="auto"/>
            <w:shd w:val="clear" w:color="auto" w:fill="auto"/>
            <w:noWrap/>
            <w:vAlign w:val="center"/>
          </w:tcPr>
          <w:p w14:paraId="26AA57D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3.90</w:t>
            </w:r>
          </w:p>
        </w:tc>
        <w:tc>
          <w:tcPr>
            <w:tcW w:w="0" w:type="auto"/>
            <w:vMerge/>
            <w:shd w:val="clear" w:color="auto" w:fill="auto"/>
            <w:vAlign w:val="center"/>
          </w:tcPr>
          <w:p w14:paraId="6FF89903"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F12F3F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24AE483E" w14:textId="77777777">
        <w:trPr>
          <w:trHeight w:val="340"/>
          <w:jc w:val="center"/>
        </w:trPr>
        <w:tc>
          <w:tcPr>
            <w:tcW w:w="0" w:type="auto"/>
            <w:vMerge/>
            <w:shd w:val="clear" w:color="auto" w:fill="auto"/>
            <w:noWrap/>
            <w:vAlign w:val="center"/>
          </w:tcPr>
          <w:p w14:paraId="43505664" w14:textId="77777777" w:rsidR="009C353B" w:rsidRDefault="009C353B">
            <w:pPr>
              <w:widowControl/>
              <w:jc w:val="center"/>
              <w:rPr>
                <w:rFonts w:ascii="Times New Roman" w:hAnsi="Times New Roman"/>
                <w:kern w:val="0"/>
                <w:sz w:val="21"/>
                <w:szCs w:val="21"/>
              </w:rPr>
            </w:pPr>
          </w:p>
        </w:tc>
        <w:tc>
          <w:tcPr>
            <w:tcW w:w="1756" w:type="dxa"/>
            <w:vMerge/>
            <w:shd w:val="clear" w:color="auto" w:fill="auto"/>
            <w:vAlign w:val="center"/>
          </w:tcPr>
          <w:p w14:paraId="7C0F161D" w14:textId="77777777" w:rsidR="009C353B" w:rsidRDefault="009C353B">
            <w:pPr>
              <w:widowControl/>
              <w:jc w:val="center"/>
              <w:rPr>
                <w:rFonts w:ascii="Times New Roman" w:hAnsi="Times New Roman"/>
                <w:kern w:val="0"/>
                <w:sz w:val="21"/>
                <w:szCs w:val="21"/>
              </w:rPr>
            </w:pPr>
          </w:p>
        </w:tc>
        <w:tc>
          <w:tcPr>
            <w:tcW w:w="1151" w:type="dxa"/>
            <w:shd w:val="clear" w:color="auto" w:fill="auto"/>
            <w:noWrap/>
            <w:vAlign w:val="center"/>
          </w:tcPr>
          <w:p w14:paraId="69D043E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2013/1/23</w:t>
            </w:r>
          </w:p>
        </w:tc>
        <w:tc>
          <w:tcPr>
            <w:tcW w:w="0" w:type="auto"/>
            <w:shd w:val="clear" w:color="auto" w:fill="auto"/>
            <w:noWrap/>
            <w:vAlign w:val="center"/>
          </w:tcPr>
          <w:p w14:paraId="75CAE2C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0.038</w:t>
            </w:r>
          </w:p>
        </w:tc>
        <w:tc>
          <w:tcPr>
            <w:tcW w:w="0" w:type="auto"/>
            <w:shd w:val="clear" w:color="auto" w:fill="auto"/>
            <w:noWrap/>
            <w:vAlign w:val="center"/>
          </w:tcPr>
          <w:p w14:paraId="036B5DB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3.80</w:t>
            </w:r>
          </w:p>
        </w:tc>
        <w:tc>
          <w:tcPr>
            <w:tcW w:w="0" w:type="auto"/>
            <w:vMerge/>
            <w:shd w:val="clear" w:color="auto" w:fill="auto"/>
            <w:vAlign w:val="center"/>
          </w:tcPr>
          <w:p w14:paraId="48F6F28C"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4C3C01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47BBE60D" w14:textId="77777777">
        <w:trPr>
          <w:trHeight w:val="340"/>
          <w:jc w:val="center"/>
        </w:trPr>
        <w:tc>
          <w:tcPr>
            <w:tcW w:w="0" w:type="auto"/>
            <w:vMerge w:val="restart"/>
            <w:shd w:val="clear" w:color="auto" w:fill="auto"/>
            <w:noWrap/>
            <w:vAlign w:val="center"/>
          </w:tcPr>
          <w:p w14:paraId="4D164A5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7#</w:t>
            </w:r>
          </w:p>
        </w:tc>
        <w:tc>
          <w:tcPr>
            <w:tcW w:w="1756" w:type="dxa"/>
            <w:shd w:val="clear" w:color="auto" w:fill="auto"/>
            <w:noWrap/>
            <w:vAlign w:val="center"/>
          </w:tcPr>
          <w:p w14:paraId="6B2EC0F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氨氮</w:t>
            </w:r>
          </w:p>
        </w:tc>
        <w:tc>
          <w:tcPr>
            <w:tcW w:w="1151" w:type="dxa"/>
            <w:vMerge w:val="restart"/>
            <w:shd w:val="clear" w:color="auto" w:fill="auto"/>
            <w:noWrap/>
            <w:vAlign w:val="center"/>
          </w:tcPr>
          <w:p w14:paraId="7BACFFD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2016</w:t>
            </w:r>
            <w:r>
              <w:rPr>
                <w:rFonts w:ascii="Times New Roman" w:hAnsi="Times New Roman" w:hint="eastAsia"/>
                <w:kern w:val="0"/>
                <w:sz w:val="21"/>
                <w:szCs w:val="21"/>
              </w:rPr>
              <w:t>年</w:t>
            </w:r>
          </w:p>
        </w:tc>
        <w:tc>
          <w:tcPr>
            <w:tcW w:w="0" w:type="auto"/>
            <w:shd w:val="clear" w:color="auto" w:fill="auto"/>
            <w:noWrap/>
            <w:vAlign w:val="center"/>
          </w:tcPr>
          <w:p w14:paraId="36DFEC1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9.66</w:t>
            </w:r>
          </w:p>
        </w:tc>
        <w:tc>
          <w:tcPr>
            <w:tcW w:w="0" w:type="auto"/>
            <w:shd w:val="clear" w:color="auto" w:fill="auto"/>
            <w:noWrap/>
            <w:vAlign w:val="center"/>
          </w:tcPr>
          <w:p w14:paraId="47711A7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6.44</w:t>
            </w:r>
          </w:p>
        </w:tc>
        <w:tc>
          <w:tcPr>
            <w:tcW w:w="0" w:type="auto"/>
            <w:vMerge/>
            <w:shd w:val="clear" w:color="auto" w:fill="auto"/>
            <w:vAlign w:val="center"/>
          </w:tcPr>
          <w:p w14:paraId="5911984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30BD37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47DC1A11" w14:textId="77777777">
        <w:trPr>
          <w:trHeight w:val="340"/>
          <w:jc w:val="center"/>
        </w:trPr>
        <w:tc>
          <w:tcPr>
            <w:tcW w:w="0" w:type="auto"/>
            <w:vMerge/>
            <w:shd w:val="clear" w:color="auto" w:fill="auto"/>
            <w:noWrap/>
            <w:vAlign w:val="center"/>
          </w:tcPr>
          <w:p w14:paraId="0E75638E"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487908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挥发酚</w:t>
            </w:r>
          </w:p>
        </w:tc>
        <w:tc>
          <w:tcPr>
            <w:tcW w:w="1151" w:type="dxa"/>
            <w:vMerge/>
            <w:shd w:val="clear" w:color="auto" w:fill="auto"/>
            <w:noWrap/>
            <w:vAlign w:val="center"/>
          </w:tcPr>
          <w:p w14:paraId="66469AD0"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DAE18B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5AF8228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vAlign w:val="center"/>
          </w:tcPr>
          <w:p w14:paraId="7C51E916"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D67F2D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2E0AEF45" w14:textId="77777777">
        <w:trPr>
          <w:trHeight w:val="340"/>
          <w:jc w:val="center"/>
        </w:trPr>
        <w:tc>
          <w:tcPr>
            <w:tcW w:w="0" w:type="auto"/>
            <w:vMerge/>
            <w:shd w:val="clear" w:color="auto" w:fill="auto"/>
            <w:noWrap/>
            <w:vAlign w:val="center"/>
          </w:tcPr>
          <w:p w14:paraId="61E0D0AC"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08B22FC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1151" w:type="dxa"/>
            <w:vMerge/>
            <w:shd w:val="clear" w:color="auto" w:fill="auto"/>
            <w:noWrap/>
            <w:vAlign w:val="center"/>
          </w:tcPr>
          <w:p w14:paraId="36E092BB"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069DFC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44</w:t>
            </w:r>
          </w:p>
        </w:tc>
        <w:tc>
          <w:tcPr>
            <w:tcW w:w="0" w:type="auto"/>
            <w:shd w:val="clear" w:color="auto" w:fill="auto"/>
            <w:noWrap/>
            <w:vAlign w:val="center"/>
          </w:tcPr>
          <w:p w14:paraId="58BBD3C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1.47</w:t>
            </w:r>
          </w:p>
        </w:tc>
        <w:tc>
          <w:tcPr>
            <w:tcW w:w="0" w:type="auto"/>
            <w:vMerge/>
            <w:shd w:val="clear" w:color="auto" w:fill="auto"/>
            <w:vAlign w:val="center"/>
          </w:tcPr>
          <w:p w14:paraId="38B943E1"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66DD18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r>
      <w:tr w:rsidR="009C353B" w14:paraId="476E79C1" w14:textId="77777777">
        <w:trPr>
          <w:trHeight w:val="340"/>
          <w:jc w:val="center"/>
        </w:trPr>
        <w:tc>
          <w:tcPr>
            <w:tcW w:w="0" w:type="auto"/>
            <w:vMerge/>
            <w:shd w:val="clear" w:color="auto" w:fill="auto"/>
            <w:noWrap/>
            <w:vAlign w:val="center"/>
          </w:tcPr>
          <w:p w14:paraId="748A06C0"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6E31E8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vMerge/>
            <w:shd w:val="clear" w:color="auto" w:fill="auto"/>
            <w:noWrap/>
            <w:vAlign w:val="center"/>
          </w:tcPr>
          <w:p w14:paraId="0B9F9DE1"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57876E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1.84</w:t>
            </w:r>
          </w:p>
        </w:tc>
        <w:tc>
          <w:tcPr>
            <w:tcW w:w="0" w:type="auto"/>
            <w:shd w:val="clear" w:color="auto" w:fill="auto"/>
            <w:noWrap/>
            <w:vAlign w:val="center"/>
          </w:tcPr>
          <w:p w14:paraId="7976AEF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1.23</w:t>
            </w:r>
          </w:p>
        </w:tc>
        <w:tc>
          <w:tcPr>
            <w:tcW w:w="0" w:type="auto"/>
            <w:vMerge/>
            <w:shd w:val="clear" w:color="auto" w:fill="auto"/>
            <w:vAlign w:val="center"/>
          </w:tcPr>
          <w:p w14:paraId="59244B1F"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062C00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238A81F4" w14:textId="77777777">
        <w:trPr>
          <w:trHeight w:val="340"/>
          <w:jc w:val="center"/>
        </w:trPr>
        <w:tc>
          <w:tcPr>
            <w:tcW w:w="0" w:type="auto"/>
            <w:vMerge w:val="restart"/>
            <w:shd w:val="clear" w:color="auto" w:fill="auto"/>
            <w:noWrap/>
            <w:vAlign w:val="center"/>
          </w:tcPr>
          <w:p w14:paraId="7441C27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8#</w:t>
            </w:r>
          </w:p>
        </w:tc>
        <w:tc>
          <w:tcPr>
            <w:tcW w:w="1756" w:type="dxa"/>
            <w:shd w:val="clear" w:color="auto" w:fill="auto"/>
            <w:noWrap/>
            <w:vAlign w:val="center"/>
          </w:tcPr>
          <w:p w14:paraId="19CD676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氨氮</w:t>
            </w:r>
          </w:p>
        </w:tc>
        <w:tc>
          <w:tcPr>
            <w:tcW w:w="1151" w:type="dxa"/>
            <w:vMerge/>
            <w:shd w:val="clear" w:color="auto" w:fill="auto"/>
            <w:noWrap/>
            <w:vAlign w:val="center"/>
          </w:tcPr>
          <w:p w14:paraId="7803D7AA"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675966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7.58</w:t>
            </w:r>
          </w:p>
        </w:tc>
        <w:tc>
          <w:tcPr>
            <w:tcW w:w="0" w:type="auto"/>
            <w:shd w:val="clear" w:color="auto" w:fill="auto"/>
            <w:noWrap/>
            <w:vAlign w:val="center"/>
          </w:tcPr>
          <w:p w14:paraId="281710B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5.05</w:t>
            </w:r>
          </w:p>
        </w:tc>
        <w:tc>
          <w:tcPr>
            <w:tcW w:w="0" w:type="auto"/>
            <w:vMerge/>
            <w:shd w:val="clear" w:color="auto" w:fill="auto"/>
            <w:vAlign w:val="center"/>
          </w:tcPr>
          <w:p w14:paraId="17E9BBB0"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CD21C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2C1006EB" w14:textId="77777777">
        <w:trPr>
          <w:trHeight w:val="340"/>
          <w:jc w:val="center"/>
        </w:trPr>
        <w:tc>
          <w:tcPr>
            <w:tcW w:w="0" w:type="auto"/>
            <w:vMerge/>
            <w:shd w:val="clear" w:color="auto" w:fill="auto"/>
            <w:noWrap/>
            <w:vAlign w:val="center"/>
          </w:tcPr>
          <w:p w14:paraId="13A82AB6"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357B3D0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挥发酚</w:t>
            </w:r>
          </w:p>
        </w:tc>
        <w:tc>
          <w:tcPr>
            <w:tcW w:w="1151" w:type="dxa"/>
            <w:vMerge/>
            <w:shd w:val="clear" w:color="auto" w:fill="auto"/>
            <w:noWrap/>
            <w:vAlign w:val="center"/>
          </w:tcPr>
          <w:p w14:paraId="53E0A56F"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C376B2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2516196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vAlign w:val="center"/>
          </w:tcPr>
          <w:p w14:paraId="5BDA19E0"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91F97D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314171F7" w14:textId="77777777">
        <w:trPr>
          <w:trHeight w:val="340"/>
          <w:jc w:val="center"/>
        </w:trPr>
        <w:tc>
          <w:tcPr>
            <w:tcW w:w="0" w:type="auto"/>
            <w:vMerge/>
            <w:shd w:val="clear" w:color="auto" w:fill="auto"/>
            <w:noWrap/>
            <w:vAlign w:val="center"/>
          </w:tcPr>
          <w:p w14:paraId="7DE61E9D"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0031648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1151" w:type="dxa"/>
            <w:vMerge/>
            <w:shd w:val="clear" w:color="auto" w:fill="auto"/>
            <w:noWrap/>
            <w:vAlign w:val="center"/>
          </w:tcPr>
          <w:p w14:paraId="01EB1DEA"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3E73F5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50</w:t>
            </w:r>
          </w:p>
        </w:tc>
        <w:tc>
          <w:tcPr>
            <w:tcW w:w="0" w:type="auto"/>
            <w:shd w:val="clear" w:color="auto" w:fill="auto"/>
            <w:noWrap/>
            <w:vAlign w:val="center"/>
          </w:tcPr>
          <w:p w14:paraId="4975268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1.67</w:t>
            </w:r>
          </w:p>
        </w:tc>
        <w:tc>
          <w:tcPr>
            <w:tcW w:w="0" w:type="auto"/>
            <w:vMerge/>
            <w:shd w:val="clear" w:color="auto" w:fill="auto"/>
            <w:vAlign w:val="center"/>
          </w:tcPr>
          <w:p w14:paraId="2E54361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FABEA1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r>
      <w:tr w:rsidR="009C353B" w14:paraId="4D8FDFF1" w14:textId="77777777">
        <w:trPr>
          <w:trHeight w:val="340"/>
          <w:jc w:val="center"/>
        </w:trPr>
        <w:tc>
          <w:tcPr>
            <w:tcW w:w="0" w:type="auto"/>
            <w:vMerge/>
            <w:shd w:val="clear" w:color="auto" w:fill="auto"/>
            <w:noWrap/>
            <w:vAlign w:val="center"/>
          </w:tcPr>
          <w:p w14:paraId="36BDEE51"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2F6C6E3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vMerge/>
            <w:shd w:val="clear" w:color="auto" w:fill="auto"/>
            <w:noWrap/>
            <w:vAlign w:val="center"/>
          </w:tcPr>
          <w:p w14:paraId="6DCE320A"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A628A9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1.87</w:t>
            </w:r>
          </w:p>
        </w:tc>
        <w:tc>
          <w:tcPr>
            <w:tcW w:w="0" w:type="auto"/>
            <w:shd w:val="clear" w:color="auto" w:fill="auto"/>
            <w:noWrap/>
            <w:vAlign w:val="center"/>
          </w:tcPr>
          <w:p w14:paraId="516B9E7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1.25</w:t>
            </w:r>
          </w:p>
        </w:tc>
        <w:tc>
          <w:tcPr>
            <w:tcW w:w="0" w:type="auto"/>
            <w:vMerge/>
            <w:shd w:val="clear" w:color="auto" w:fill="auto"/>
            <w:vAlign w:val="center"/>
          </w:tcPr>
          <w:p w14:paraId="28AC273C"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F69EC0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1B682EB2" w14:textId="77777777">
        <w:trPr>
          <w:trHeight w:val="340"/>
          <w:jc w:val="center"/>
        </w:trPr>
        <w:tc>
          <w:tcPr>
            <w:tcW w:w="0" w:type="auto"/>
            <w:vMerge w:val="restart"/>
            <w:shd w:val="clear" w:color="auto" w:fill="auto"/>
            <w:noWrap/>
            <w:vAlign w:val="center"/>
          </w:tcPr>
          <w:p w14:paraId="238F0AE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7#</w:t>
            </w:r>
          </w:p>
        </w:tc>
        <w:tc>
          <w:tcPr>
            <w:tcW w:w="1756" w:type="dxa"/>
            <w:shd w:val="clear" w:color="auto" w:fill="auto"/>
            <w:noWrap/>
            <w:vAlign w:val="center"/>
          </w:tcPr>
          <w:p w14:paraId="41A1038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氨氮</w:t>
            </w:r>
          </w:p>
        </w:tc>
        <w:tc>
          <w:tcPr>
            <w:tcW w:w="1151" w:type="dxa"/>
            <w:vMerge w:val="restart"/>
            <w:shd w:val="clear" w:color="auto" w:fill="auto"/>
            <w:noWrap/>
            <w:vAlign w:val="center"/>
          </w:tcPr>
          <w:p w14:paraId="5911F95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2017</w:t>
            </w:r>
            <w:r>
              <w:rPr>
                <w:rFonts w:ascii="Times New Roman" w:hAnsi="Times New Roman" w:hint="eastAsia"/>
                <w:kern w:val="0"/>
                <w:sz w:val="21"/>
                <w:szCs w:val="21"/>
              </w:rPr>
              <w:t>年</w:t>
            </w:r>
          </w:p>
        </w:tc>
        <w:tc>
          <w:tcPr>
            <w:tcW w:w="0" w:type="auto"/>
            <w:shd w:val="clear" w:color="auto" w:fill="auto"/>
            <w:noWrap/>
            <w:vAlign w:val="center"/>
          </w:tcPr>
          <w:p w14:paraId="21972C2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8.51</w:t>
            </w:r>
          </w:p>
        </w:tc>
        <w:tc>
          <w:tcPr>
            <w:tcW w:w="0" w:type="auto"/>
            <w:shd w:val="clear" w:color="auto" w:fill="auto"/>
            <w:noWrap/>
            <w:vAlign w:val="center"/>
          </w:tcPr>
          <w:p w14:paraId="3F860B8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5.67</w:t>
            </w:r>
          </w:p>
        </w:tc>
        <w:tc>
          <w:tcPr>
            <w:tcW w:w="0" w:type="auto"/>
            <w:vMerge/>
            <w:shd w:val="clear" w:color="auto" w:fill="auto"/>
            <w:vAlign w:val="center"/>
          </w:tcPr>
          <w:p w14:paraId="1474B301"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C03DDF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5F97E9D8" w14:textId="77777777">
        <w:trPr>
          <w:trHeight w:val="340"/>
          <w:jc w:val="center"/>
        </w:trPr>
        <w:tc>
          <w:tcPr>
            <w:tcW w:w="0" w:type="auto"/>
            <w:vMerge/>
            <w:shd w:val="clear" w:color="auto" w:fill="auto"/>
            <w:noWrap/>
            <w:vAlign w:val="center"/>
          </w:tcPr>
          <w:p w14:paraId="06D418D7"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11C9B01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挥发酚</w:t>
            </w:r>
          </w:p>
        </w:tc>
        <w:tc>
          <w:tcPr>
            <w:tcW w:w="1151" w:type="dxa"/>
            <w:vMerge/>
            <w:shd w:val="clear" w:color="auto" w:fill="auto"/>
            <w:noWrap/>
            <w:vAlign w:val="center"/>
          </w:tcPr>
          <w:p w14:paraId="01756735"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005119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0.0225</w:t>
            </w:r>
          </w:p>
        </w:tc>
        <w:tc>
          <w:tcPr>
            <w:tcW w:w="0" w:type="auto"/>
            <w:shd w:val="clear" w:color="auto" w:fill="auto"/>
            <w:noWrap/>
            <w:vAlign w:val="center"/>
          </w:tcPr>
          <w:p w14:paraId="2D81276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2.25</w:t>
            </w:r>
          </w:p>
        </w:tc>
        <w:tc>
          <w:tcPr>
            <w:tcW w:w="0" w:type="auto"/>
            <w:vMerge/>
            <w:shd w:val="clear" w:color="auto" w:fill="auto"/>
            <w:vAlign w:val="center"/>
          </w:tcPr>
          <w:p w14:paraId="4ED0587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9DEB37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4B15BC1E" w14:textId="77777777">
        <w:trPr>
          <w:trHeight w:val="340"/>
          <w:jc w:val="center"/>
        </w:trPr>
        <w:tc>
          <w:tcPr>
            <w:tcW w:w="0" w:type="auto"/>
            <w:vMerge/>
            <w:shd w:val="clear" w:color="auto" w:fill="auto"/>
            <w:noWrap/>
            <w:vAlign w:val="center"/>
          </w:tcPr>
          <w:p w14:paraId="61F2E8D8"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3EDB9D7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1151" w:type="dxa"/>
            <w:vMerge/>
            <w:shd w:val="clear" w:color="auto" w:fill="auto"/>
            <w:noWrap/>
            <w:vAlign w:val="center"/>
          </w:tcPr>
          <w:p w14:paraId="0A345611"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4D6855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c>
          <w:tcPr>
            <w:tcW w:w="0" w:type="auto"/>
            <w:shd w:val="clear" w:color="auto" w:fill="auto"/>
            <w:noWrap/>
            <w:vAlign w:val="center"/>
          </w:tcPr>
          <w:p w14:paraId="04C7540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c>
          <w:tcPr>
            <w:tcW w:w="0" w:type="auto"/>
            <w:vMerge/>
            <w:shd w:val="clear" w:color="auto" w:fill="auto"/>
            <w:vAlign w:val="center"/>
          </w:tcPr>
          <w:p w14:paraId="6DEF1ABB"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8E16CC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r>
      <w:tr w:rsidR="009C353B" w14:paraId="4027434D" w14:textId="77777777">
        <w:trPr>
          <w:trHeight w:val="340"/>
          <w:jc w:val="center"/>
        </w:trPr>
        <w:tc>
          <w:tcPr>
            <w:tcW w:w="0" w:type="auto"/>
            <w:vMerge/>
            <w:shd w:val="clear" w:color="auto" w:fill="auto"/>
            <w:noWrap/>
            <w:vAlign w:val="center"/>
          </w:tcPr>
          <w:p w14:paraId="1BDEB7D9"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4A3FB75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vMerge/>
            <w:shd w:val="clear" w:color="auto" w:fill="auto"/>
            <w:noWrap/>
            <w:vAlign w:val="center"/>
          </w:tcPr>
          <w:p w14:paraId="0969E864"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F04FEF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2.32</w:t>
            </w:r>
          </w:p>
        </w:tc>
        <w:tc>
          <w:tcPr>
            <w:tcW w:w="0" w:type="auto"/>
            <w:shd w:val="clear" w:color="auto" w:fill="auto"/>
            <w:noWrap/>
            <w:vAlign w:val="center"/>
          </w:tcPr>
          <w:p w14:paraId="3DB75F1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1.55</w:t>
            </w:r>
          </w:p>
        </w:tc>
        <w:tc>
          <w:tcPr>
            <w:tcW w:w="0" w:type="auto"/>
            <w:vMerge/>
            <w:shd w:val="clear" w:color="auto" w:fill="auto"/>
            <w:vAlign w:val="center"/>
          </w:tcPr>
          <w:p w14:paraId="3EC7E91F"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647161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61E6DC40" w14:textId="77777777">
        <w:trPr>
          <w:trHeight w:val="340"/>
          <w:jc w:val="center"/>
        </w:trPr>
        <w:tc>
          <w:tcPr>
            <w:tcW w:w="0" w:type="auto"/>
            <w:vMerge w:val="restart"/>
            <w:shd w:val="clear" w:color="auto" w:fill="auto"/>
            <w:noWrap/>
            <w:vAlign w:val="center"/>
          </w:tcPr>
          <w:p w14:paraId="3D4DBDB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8#</w:t>
            </w:r>
          </w:p>
        </w:tc>
        <w:tc>
          <w:tcPr>
            <w:tcW w:w="1756" w:type="dxa"/>
            <w:shd w:val="clear" w:color="auto" w:fill="auto"/>
            <w:noWrap/>
            <w:vAlign w:val="center"/>
          </w:tcPr>
          <w:p w14:paraId="6A74AA3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氨氮</w:t>
            </w:r>
          </w:p>
        </w:tc>
        <w:tc>
          <w:tcPr>
            <w:tcW w:w="1151" w:type="dxa"/>
            <w:vMerge/>
            <w:shd w:val="clear" w:color="auto" w:fill="auto"/>
            <w:noWrap/>
            <w:vAlign w:val="center"/>
          </w:tcPr>
          <w:p w14:paraId="18B1EBED"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CB4999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4.86</w:t>
            </w:r>
          </w:p>
        </w:tc>
        <w:tc>
          <w:tcPr>
            <w:tcW w:w="0" w:type="auto"/>
            <w:shd w:val="clear" w:color="auto" w:fill="auto"/>
            <w:noWrap/>
            <w:vAlign w:val="center"/>
          </w:tcPr>
          <w:p w14:paraId="377451E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3.24</w:t>
            </w:r>
          </w:p>
        </w:tc>
        <w:tc>
          <w:tcPr>
            <w:tcW w:w="0" w:type="auto"/>
            <w:vMerge/>
            <w:shd w:val="clear" w:color="auto" w:fill="auto"/>
            <w:vAlign w:val="center"/>
          </w:tcPr>
          <w:p w14:paraId="0476D912"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E724C5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796FEAC2" w14:textId="77777777">
        <w:trPr>
          <w:trHeight w:val="340"/>
          <w:jc w:val="center"/>
        </w:trPr>
        <w:tc>
          <w:tcPr>
            <w:tcW w:w="0" w:type="auto"/>
            <w:vMerge/>
            <w:shd w:val="clear" w:color="auto" w:fill="auto"/>
            <w:noWrap/>
            <w:vAlign w:val="center"/>
          </w:tcPr>
          <w:p w14:paraId="709C63C1"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3AABE18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挥发酚</w:t>
            </w:r>
          </w:p>
        </w:tc>
        <w:tc>
          <w:tcPr>
            <w:tcW w:w="1151" w:type="dxa"/>
            <w:vMerge/>
            <w:shd w:val="clear" w:color="auto" w:fill="auto"/>
            <w:noWrap/>
            <w:vAlign w:val="center"/>
          </w:tcPr>
          <w:p w14:paraId="6EF76F46"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574C6F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0C01D95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vAlign w:val="center"/>
          </w:tcPr>
          <w:p w14:paraId="3DFC59EA"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512486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32FC07DB" w14:textId="77777777">
        <w:trPr>
          <w:trHeight w:val="340"/>
          <w:jc w:val="center"/>
        </w:trPr>
        <w:tc>
          <w:tcPr>
            <w:tcW w:w="0" w:type="auto"/>
            <w:vMerge/>
            <w:shd w:val="clear" w:color="auto" w:fill="auto"/>
            <w:noWrap/>
            <w:vAlign w:val="center"/>
          </w:tcPr>
          <w:p w14:paraId="558E0ACA"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4540BA0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1151" w:type="dxa"/>
            <w:vMerge/>
            <w:shd w:val="clear" w:color="auto" w:fill="auto"/>
            <w:noWrap/>
            <w:vAlign w:val="center"/>
          </w:tcPr>
          <w:p w14:paraId="5F2D85CB"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072A21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26</w:t>
            </w:r>
          </w:p>
        </w:tc>
        <w:tc>
          <w:tcPr>
            <w:tcW w:w="0" w:type="auto"/>
            <w:shd w:val="clear" w:color="auto" w:fill="auto"/>
            <w:noWrap/>
            <w:vAlign w:val="center"/>
          </w:tcPr>
          <w:p w14:paraId="78C2763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0.87</w:t>
            </w:r>
          </w:p>
        </w:tc>
        <w:tc>
          <w:tcPr>
            <w:tcW w:w="0" w:type="auto"/>
            <w:vMerge/>
            <w:shd w:val="clear" w:color="auto" w:fill="auto"/>
            <w:vAlign w:val="center"/>
          </w:tcPr>
          <w:p w14:paraId="573F39CF"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F999BD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r>
      <w:tr w:rsidR="009C353B" w14:paraId="51D8FF26" w14:textId="77777777">
        <w:trPr>
          <w:trHeight w:val="340"/>
          <w:jc w:val="center"/>
        </w:trPr>
        <w:tc>
          <w:tcPr>
            <w:tcW w:w="0" w:type="auto"/>
            <w:vMerge/>
            <w:shd w:val="clear" w:color="auto" w:fill="auto"/>
            <w:noWrap/>
            <w:vAlign w:val="center"/>
          </w:tcPr>
          <w:p w14:paraId="09C62F5C"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131384E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vMerge/>
            <w:shd w:val="clear" w:color="auto" w:fill="auto"/>
            <w:noWrap/>
            <w:vAlign w:val="center"/>
          </w:tcPr>
          <w:p w14:paraId="6EDDAF3C"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998888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1.84</w:t>
            </w:r>
          </w:p>
        </w:tc>
        <w:tc>
          <w:tcPr>
            <w:tcW w:w="0" w:type="auto"/>
            <w:shd w:val="clear" w:color="auto" w:fill="auto"/>
            <w:noWrap/>
            <w:vAlign w:val="center"/>
          </w:tcPr>
          <w:p w14:paraId="7BBAAD6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1.23</w:t>
            </w:r>
          </w:p>
        </w:tc>
        <w:tc>
          <w:tcPr>
            <w:tcW w:w="0" w:type="auto"/>
            <w:vMerge/>
            <w:shd w:val="clear" w:color="auto" w:fill="auto"/>
            <w:vAlign w:val="center"/>
          </w:tcPr>
          <w:p w14:paraId="439C67F8"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24D7D9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4A99000D" w14:textId="77777777">
        <w:trPr>
          <w:trHeight w:val="340"/>
          <w:jc w:val="center"/>
        </w:trPr>
        <w:tc>
          <w:tcPr>
            <w:tcW w:w="0" w:type="auto"/>
            <w:vMerge w:val="restart"/>
            <w:shd w:val="clear" w:color="auto" w:fill="auto"/>
            <w:noWrap/>
            <w:vAlign w:val="center"/>
          </w:tcPr>
          <w:p w14:paraId="0CC12C1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7#</w:t>
            </w:r>
          </w:p>
        </w:tc>
        <w:tc>
          <w:tcPr>
            <w:tcW w:w="1756" w:type="dxa"/>
            <w:shd w:val="clear" w:color="auto" w:fill="auto"/>
            <w:noWrap/>
            <w:vAlign w:val="center"/>
          </w:tcPr>
          <w:p w14:paraId="69C5860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氨氮</w:t>
            </w:r>
          </w:p>
        </w:tc>
        <w:tc>
          <w:tcPr>
            <w:tcW w:w="1151" w:type="dxa"/>
            <w:vMerge w:val="restart"/>
            <w:shd w:val="clear" w:color="auto" w:fill="auto"/>
            <w:noWrap/>
            <w:vAlign w:val="center"/>
          </w:tcPr>
          <w:p w14:paraId="59B2ED2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w:t>
            </w:r>
            <w:r>
              <w:rPr>
                <w:rFonts w:ascii="Times New Roman" w:hAnsi="Times New Roman" w:hint="eastAsia"/>
                <w:kern w:val="0"/>
                <w:sz w:val="21"/>
                <w:szCs w:val="21"/>
              </w:rPr>
              <w:t>年</w:t>
            </w:r>
          </w:p>
        </w:tc>
        <w:tc>
          <w:tcPr>
            <w:tcW w:w="0" w:type="auto"/>
            <w:shd w:val="clear" w:color="auto" w:fill="auto"/>
            <w:noWrap/>
            <w:vAlign w:val="center"/>
          </w:tcPr>
          <w:p w14:paraId="404065E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7.2</w:t>
            </w:r>
          </w:p>
        </w:tc>
        <w:tc>
          <w:tcPr>
            <w:tcW w:w="0" w:type="auto"/>
            <w:shd w:val="clear" w:color="auto" w:fill="auto"/>
            <w:noWrap/>
            <w:vAlign w:val="center"/>
          </w:tcPr>
          <w:p w14:paraId="01932BD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4.8</w:t>
            </w:r>
          </w:p>
        </w:tc>
        <w:tc>
          <w:tcPr>
            <w:tcW w:w="0" w:type="auto"/>
            <w:vMerge/>
            <w:shd w:val="clear" w:color="auto" w:fill="auto"/>
            <w:vAlign w:val="center"/>
          </w:tcPr>
          <w:p w14:paraId="06066CF2"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F8E211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7580CA25" w14:textId="77777777">
        <w:trPr>
          <w:trHeight w:val="340"/>
          <w:jc w:val="center"/>
        </w:trPr>
        <w:tc>
          <w:tcPr>
            <w:tcW w:w="0" w:type="auto"/>
            <w:vMerge/>
            <w:shd w:val="clear" w:color="auto" w:fill="auto"/>
            <w:noWrap/>
            <w:vAlign w:val="center"/>
          </w:tcPr>
          <w:p w14:paraId="6AA3DB3F"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2B1EE8A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挥发酚</w:t>
            </w:r>
          </w:p>
        </w:tc>
        <w:tc>
          <w:tcPr>
            <w:tcW w:w="1151" w:type="dxa"/>
            <w:vMerge/>
            <w:shd w:val="clear" w:color="auto" w:fill="auto"/>
            <w:noWrap/>
            <w:vAlign w:val="center"/>
          </w:tcPr>
          <w:p w14:paraId="5BCF8C81"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44E222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shd w:val="clear" w:color="auto" w:fill="auto"/>
            <w:noWrap/>
            <w:vAlign w:val="center"/>
          </w:tcPr>
          <w:p w14:paraId="0481249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p>
        </w:tc>
        <w:tc>
          <w:tcPr>
            <w:tcW w:w="0" w:type="auto"/>
            <w:vMerge/>
            <w:shd w:val="clear" w:color="auto" w:fill="auto"/>
            <w:vAlign w:val="center"/>
          </w:tcPr>
          <w:p w14:paraId="69654FFA"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EBA209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37333FF4" w14:textId="77777777">
        <w:trPr>
          <w:trHeight w:val="340"/>
          <w:jc w:val="center"/>
        </w:trPr>
        <w:tc>
          <w:tcPr>
            <w:tcW w:w="0" w:type="auto"/>
            <w:vMerge/>
            <w:shd w:val="clear" w:color="auto" w:fill="auto"/>
            <w:noWrap/>
            <w:vAlign w:val="center"/>
          </w:tcPr>
          <w:p w14:paraId="68D7DB5C"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3C07443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1151" w:type="dxa"/>
            <w:vMerge/>
            <w:shd w:val="clear" w:color="auto" w:fill="auto"/>
            <w:noWrap/>
            <w:vAlign w:val="center"/>
          </w:tcPr>
          <w:p w14:paraId="7DD1E6F8"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896C03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c>
          <w:tcPr>
            <w:tcW w:w="0" w:type="auto"/>
            <w:shd w:val="clear" w:color="auto" w:fill="auto"/>
            <w:noWrap/>
            <w:vAlign w:val="center"/>
          </w:tcPr>
          <w:p w14:paraId="4A59BFA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c>
          <w:tcPr>
            <w:tcW w:w="0" w:type="auto"/>
            <w:vMerge/>
            <w:shd w:val="clear" w:color="auto" w:fill="auto"/>
            <w:vAlign w:val="center"/>
          </w:tcPr>
          <w:p w14:paraId="701A14E6"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3A0B45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r>
      <w:tr w:rsidR="009C353B" w14:paraId="0D376F8B" w14:textId="77777777">
        <w:trPr>
          <w:trHeight w:val="340"/>
          <w:jc w:val="center"/>
        </w:trPr>
        <w:tc>
          <w:tcPr>
            <w:tcW w:w="0" w:type="auto"/>
            <w:vMerge/>
            <w:shd w:val="clear" w:color="auto" w:fill="auto"/>
            <w:noWrap/>
            <w:vAlign w:val="center"/>
          </w:tcPr>
          <w:p w14:paraId="44293F05"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7D63725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vMerge/>
            <w:shd w:val="clear" w:color="auto" w:fill="auto"/>
            <w:noWrap/>
            <w:vAlign w:val="center"/>
          </w:tcPr>
          <w:p w14:paraId="6B255C8C"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35C5FD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2.24</w:t>
            </w:r>
          </w:p>
        </w:tc>
        <w:tc>
          <w:tcPr>
            <w:tcW w:w="0" w:type="auto"/>
            <w:shd w:val="clear" w:color="auto" w:fill="auto"/>
            <w:noWrap/>
            <w:vAlign w:val="center"/>
          </w:tcPr>
          <w:p w14:paraId="59D6AEF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1.49</w:t>
            </w:r>
          </w:p>
        </w:tc>
        <w:tc>
          <w:tcPr>
            <w:tcW w:w="0" w:type="auto"/>
            <w:vMerge/>
            <w:shd w:val="clear" w:color="auto" w:fill="auto"/>
            <w:vAlign w:val="center"/>
          </w:tcPr>
          <w:p w14:paraId="1C0372CE"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B58155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50621849" w14:textId="77777777">
        <w:trPr>
          <w:trHeight w:val="340"/>
          <w:jc w:val="center"/>
        </w:trPr>
        <w:tc>
          <w:tcPr>
            <w:tcW w:w="0" w:type="auto"/>
            <w:vMerge w:val="restart"/>
            <w:shd w:val="clear" w:color="auto" w:fill="auto"/>
            <w:noWrap/>
            <w:vAlign w:val="center"/>
          </w:tcPr>
          <w:p w14:paraId="22BEDF2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8#</w:t>
            </w:r>
          </w:p>
        </w:tc>
        <w:tc>
          <w:tcPr>
            <w:tcW w:w="1756" w:type="dxa"/>
            <w:shd w:val="clear" w:color="auto" w:fill="auto"/>
            <w:noWrap/>
            <w:vAlign w:val="center"/>
          </w:tcPr>
          <w:p w14:paraId="0F844CE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氨氮</w:t>
            </w:r>
          </w:p>
        </w:tc>
        <w:tc>
          <w:tcPr>
            <w:tcW w:w="1151" w:type="dxa"/>
            <w:vMerge/>
            <w:shd w:val="clear" w:color="auto" w:fill="auto"/>
            <w:noWrap/>
            <w:vAlign w:val="center"/>
          </w:tcPr>
          <w:p w14:paraId="61867941"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EE695D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3.6</w:t>
            </w:r>
          </w:p>
        </w:tc>
        <w:tc>
          <w:tcPr>
            <w:tcW w:w="0" w:type="auto"/>
            <w:shd w:val="clear" w:color="auto" w:fill="auto"/>
            <w:noWrap/>
            <w:vAlign w:val="center"/>
          </w:tcPr>
          <w:p w14:paraId="6F0E5FA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2.4</w:t>
            </w:r>
          </w:p>
        </w:tc>
        <w:tc>
          <w:tcPr>
            <w:tcW w:w="0" w:type="auto"/>
            <w:vMerge/>
            <w:shd w:val="clear" w:color="auto" w:fill="auto"/>
            <w:vAlign w:val="center"/>
          </w:tcPr>
          <w:p w14:paraId="15782C5D"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E4AA32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6B85407B" w14:textId="77777777">
        <w:trPr>
          <w:trHeight w:val="340"/>
          <w:jc w:val="center"/>
        </w:trPr>
        <w:tc>
          <w:tcPr>
            <w:tcW w:w="0" w:type="auto"/>
            <w:vMerge/>
            <w:shd w:val="clear" w:color="auto" w:fill="auto"/>
            <w:noWrap/>
            <w:vAlign w:val="center"/>
          </w:tcPr>
          <w:p w14:paraId="5E4A91CB"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6DC7FA7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挥发酚</w:t>
            </w:r>
          </w:p>
        </w:tc>
        <w:tc>
          <w:tcPr>
            <w:tcW w:w="1151" w:type="dxa"/>
            <w:vMerge/>
            <w:shd w:val="clear" w:color="auto" w:fill="auto"/>
            <w:noWrap/>
            <w:vAlign w:val="center"/>
          </w:tcPr>
          <w:p w14:paraId="2BE00896"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CB6313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0.0158</w:t>
            </w:r>
          </w:p>
        </w:tc>
        <w:tc>
          <w:tcPr>
            <w:tcW w:w="0" w:type="auto"/>
            <w:shd w:val="clear" w:color="auto" w:fill="auto"/>
            <w:noWrap/>
            <w:vAlign w:val="center"/>
          </w:tcPr>
          <w:p w14:paraId="048BEDB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1.58</w:t>
            </w:r>
          </w:p>
        </w:tc>
        <w:tc>
          <w:tcPr>
            <w:tcW w:w="0" w:type="auto"/>
            <w:vMerge/>
            <w:shd w:val="clear" w:color="auto" w:fill="auto"/>
            <w:vAlign w:val="center"/>
          </w:tcPr>
          <w:p w14:paraId="072A74CC"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2CF734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0.01</w:t>
            </w:r>
          </w:p>
        </w:tc>
      </w:tr>
      <w:tr w:rsidR="009C353B" w14:paraId="43276EBA" w14:textId="77777777">
        <w:trPr>
          <w:trHeight w:val="340"/>
          <w:jc w:val="center"/>
        </w:trPr>
        <w:tc>
          <w:tcPr>
            <w:tcW w:w="0" w:type="auto"/>
            <w:vMerge/>
            <w:shd w:val="clear" w:color="auto" w:fill="auto"/>
            <w:noWrap/>
            <w:vAlign w:val="center"/>
          </w:tcPr>
          <w:p w14:paraId="72078D8B"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26CDFCC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1151" w:type="dxa"/>
            <w:vMerge/>
            <w:shd w:val="clear" w:color="auto" w:fill="auto"/>
            <w:noWrap/>
            <w:vAlign w:val="center"/>
          </w:tcPr>
          <w:p w14:paraId="4766BB00"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B20D9F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37</w:t>
            </w:r>
          </w:p>
        </w:tc>
        <w:tc>
          <w:tcPr>
            <w:tcW w:w="0" w:type="auto"/>
            <w:shd w:val="clear" w:color="auto" w:fill="auto"/>
            <w:noWrap/>
            <w:vAlign w:val="center"/>
          </w:tcPr>
          <w:p w14:paraId="4657F42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1.23</w:t>
            </w:r>
          </w:p>
        </w:tc>
        <w:tc>
          <w:tcPr>
            <w:tcW w:w="0" w:type="auto"/>
            <w:vMerge/>
            <w:shd w:val="clear" w:color="auto" w:fill="auto"/>
            <w:vAlign w:val="center"/>
          </w:tcPr>
          <w:p w14:paraId="373EB1A5"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B31DE3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r>
      <w:tr w:rsidR="009C353B" w14:paraId="649D180F" w14:textId="77777777">
        <w:trPr>
          <w:trHeight w:val="340"/>
          <w:jc w:val="center"/>
        </w:trPr>
        <w:tc>
          <w:tcPr>
            <w:tcW w:w="0" w:type="auto"/>
            <w:vMerge/>
            <w:shd w:val="clear" w:color="auto" w:fill="auto"/>
            <w:noWrap/>
            <w:vAlign w:val="center"/>
          </w:tcPr>
          <w:p w14:paraId="5ACFA19F"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6A78389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151" w:type="dxa"/>
            <w:vMerge/>
            <w:shd w:val="clear" w:color="auto" w:fill="auto"/>
            <w:noWrap/>
            <w:vAlign w:val="center"/>
          </w:tcPr>
          <w:p w14:paraId="2120AF6F"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DF70B5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2.16</w:t>
            </w:r>
          </w:p>
        </w:tc>
        <w:tc>
          <w:tcPr>
            <w:tcW w:w="0" w:type="auto"/>
            <w:shd w:val="clear" w:color="auto" w:fill="auto"/>
            <w:noWrap/>
            <w:vAlign w:val="center"/>
          </w:tcPr>
          <w:p w14:paraId="097AF68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1.44</w:t>
            </w:r>
          </w:p>
        </w:tc>
        <w:tc>
          <w:tcPr>
            <w:tcW w:w="0" w:type="auto"/>
            <w:vMerge/>
            <w:shd w:val="clear" w:color="auto" w:fill="auto"/>
            <w:vAlign w:val="center"/>
          </w:tcPr>
          <w:p w14:paraId="4D505E80"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F463CF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55B6A0C4" w14:textId="77777777">
        <w:trPr>
          <w:trHeight w:val="340"/>
          <w:jc w:val="center"/>
        </w:trPr>
        <w:tc>
          <w:tcPr>
            <w:tcW w:w="0" w:type="auto"/>
            <w:vMerge w:val="restart"/>
            <w:shd w:val="clear" w:color="auto" w:fill="auto"/>
            <w:noWrap/>
            <w:vAlign w:val="center"/>
          </w:tcPr>
          <w:p w14:paraId="79B0D2D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9#</w:t>
            </w:r>
          </w:p>
        </w:tc>
        <w:tc>
          <w:tcPr>
            <w:tcW w:w="1756" w:type="dxa"/>
            <w:vMerge w:val="restart"/>
            <w:shd w:val="clear" w:color="auto" w:fill="auto"/>
            <w:noWrap/>
            <w:vAlign w:val="center"/>
          </w:tcPr>
          <w:p w14:paraId="0F9632D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1151" w:type="dxa"/>
            <w:vMerge w:val="restart"/>
            <w:shd w:val="clear" w:color="auto" w:fill="auto"/>
            <w:noWrap/>
            <w:vAlign w:val="center"/>
          </w:tcPr>
          <w:p w14:paraId="102931C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w:t>
            </w:r>
          </w:p>
        </w:tc>
        <w:tc>
          <w:tcPr>
            <w:tcW w:w="0" w:type="auto"/>
            <w:shd w:val="clear" w:color="auto" w:fill="auto"/>
            <w:noWrap/>
            <w:vAlign w:val="center"/>
          </w:tcPr>
          <w:p w14:paraId="1766962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195.68</w:t>
            </w:r>
          </w:p>
        </w:tc>
        <w:tc>
          <w:tcPr>
            <w:tcW w:w="0" w:type="auto"/>
            <w:shd w:val="clear" w:color="auto" w:fill="auto"/>
            <w:noWrap/>
            <w:vAlign w:val="center"/>
          </w:tcPr>
          <w:p w14:paraId="559C06C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6.52</w:t>
            </w:r>
          </w:p>
        </w:tc>
        <w:tc>
          <w:tcPr>
            <w:tcW w:w="0" w:type="auto"/>
            <w:vMerge/>
            <w:shd w:val="clear" w:color="auto" w:fill="auto"/>
            <w:vAlign w:val="center"/>
          </w:tcPr>
          <w:p w14:paraId="5DBBDBC0"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0AEA331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r>
      <w:tr w:rsidR="009C353B" w14:paraId="74A812D2" w14:textId="77777777">
        <w:trPr>
          <w:trHeight w:val="340"/>
          <w:jc w:val="center"/>
        </w:trPr>
        <w:tc>
          <w:tcPr>
            <w:tcW w:w="0" w:type="auto"/>
            <w:vMerge/>
            <w:shd w:val="clear" w:color="auto" w:fill="auto"/>
            <w:noWrap/>
            <w:vAlign w:val="center"/>
          </w:tcPr>
          <w:p w14:paraId="5A426DDF" w14:textId="77777777" w:rsidR="009C353B" w:rsidRDefault="009C353B">
            <w:pPr>
              <w:widowControl/>
              <w:jc w:val="center"/>
              <w:rPr>
                <w:rFonts w:ascii="Times New Roman" w:hAnsi="Times New Roman"/>
                <w:kern w:val="0"/>
                <w:sz w:val="21"/>
                <w:szCs w:val="21"/>
              </w:rPr>
            </w:pPr>
          </w:p>
        </w:tc>
        <w:tc>
          <w:tcPr>
            <w:tcW w:w="1756" w:type="dxa"/>
            <w:vMerge/>
            <w:shd w:val="clear" w:color="auto" w:fill="auto"/>
            <w:noWrap/>
            <w:vAlign w:val="center"/>
          </w:tcPr>
          <w:p w14:paraId="417DE8B7" w14:textId="77777777" w:rsidR="009C353B" w:rsidRDefault="009C353B">
            <w:pPr>
              <w:widowControl/>
              <w:jc w:val="center"/>
              <w:rPr>
                <w:rFonts w:ascii="Times New Roman" w:hAnsi="Times New Roman"/>
                <w:kern w:val="0"/>
                <w:sz w:val="21"/>
                <w:szCs w:val="21"/>
              </w:rPr>
            </w:pPr>
          </w:p>
        </w:tc>
        <w:tc>
          <w:tcPr>
            <w:tcW w:w="1151" w:type="dxa"/>
            <w:vMerge/>
            <w:shd w:val="clear" w:color="auto" w:fill="auto"/>
            <w:noWrap/>
            <w:vAlign w:val="center"/>
          </w:tcPr>
          <w:p w14:paraId="1655931E"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BF9A92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195.88</w:t>
            </w:r>
          </w:p>
        </w:tc>
        <w:tc>
          <w:tcPr>
            <w:tcW w:w="0" w:type="auto"/>
            <w:shd w:val="clear" w:color="auto" w:fill="auto"/>
            <w:noWrap/>
            <w:vAlign w:val="center"/>
          </w:tcPr>
          <w:p w14:paraId="63DC4E4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6.53</w:t>
            </w:r>
          </w:p>
        </w:tc>
        <w:tc>
          <w:tcPr>
            <w:tcW w:w="0" w:type="auto"/>
            <w:vMerge/>
            <w:shd w:val="clear" w:color="auto" w:fill="auto"/>
            <w:vAlign w:val="center"/>
          </w:tcPr>
          <w:p w14:paraId="15B32042"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13E93522" w14:textId="77777777" w:rsidR="009C353B" w:rsidRDefault="009C353B">
            <w:pPr>
              <w:widowControl/>
              <w:jc w:val="center"/>
              <w:rPr>
                <w:rFonts w:ascii="Times New Roman" w:hAnsi="Times New Roman"/>
                <w:kern w:val="0"/>
                <w:sz w:val="21"/>
                <w:szCs w:val="21"/>
              </w:rPr>
            </w:pPr>
          </w:p>
        </w:tc>
      </w:tr>
      <w:tr w:rsidR="009C353B" w14:paraId="1A71E934" w14:textId="77777777">
        <w:trPr>
          <w:trHeight w:val="340"/>
          <w:jc w:val="center"/>
        </w:trPr>
        <w:tc>
          <w:tcPr>
            <w:tcW w:w="0" w:type="auto"/>
            <w:vMerge/>
            <w:shd w:val="clear" w:color="auto" w:fill="auto"/>
            <w:noWrap/>
            <w:vAlign w:val="center"/>
          </w:tcPr>
          <w:p w14:paraId="6EE6E857" w14:textId="77777777" w:rsidR="009C353B" w:rsidRDefault="009C353B">
            <w:pPr>
              <w:widowControl/>
              <w:jc w:val="center"/>
              <w:rPr>
                <w:rFonts w:ascii="Times New Roman" w:hAnsi="Times New Roman"/>
                <w:kern w:val="0"/>
                <w:sz w:val="21"/>
                <w:szCs w:val="21"/>
              </w:rPr>
            </w:pPr>
          </w:p>
        </w:tc>
        <w:tc>
          <w:tcPr>
            <w:tcW w:w="1756" w:type="dxa"/>
            <w:vMerge w:val="restart"/>
            <w:shd w:val="clear" w:color="auto" w:fill="auto"/>
            <w:noWrap/>
            <w:vAlign w:val="center"/>
          </w:tcPr>
          <w:p w14:paraId="2B6C3AB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BOD</w:t>
            </w:r>
            <w:r>
              <w:rPr>
                <w:rFonts w:ascii="Times New Roman" w:hAnsi="Times New Roman"/>
                <w:kern w:val="0"/>
                <w:sz w:val="21"/>
                <w:szCs w:val="21"/>
                <w:vertAlign w:val="subscript"/>
              </w:rPr>
              <w:t>5</w:t>
            </w:r>
          </w:p>
        </w:tc>
        <w:tc>
          <w:tcPr>
            <w:tcW w:w="1151" w:type="dxa"/>
            <w:vMerge/>
            <w:shd w:val="clear" w:color="auto" w:fill="auto"/>
            <w:noWrap/>
            <w:vAlign w:val="center"/>
          </w:tcPr>
          <w:p w14:paraId="7215EBC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E0314F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64.52</w:t>
            </w:r>
          </w:p>
        </w:tc>
        <w:tc>
          <w:tcPr>
            <w:tcW w:w="0" w:type="auto"/>
            <w:shd w:val="clear" w:color="auto" w:fill="auto"/>
            <w:noWrap/>
            <w:vAlign w:val="center"/>
          </w:tcPr>
          <w:p w14:paraId="6747783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10.75</w:t>
            </w:r>
          </w:p>
        </w:tc>
        <w:tc>
          <w:tcPr>
            <w:tcW w:w="0" w:type="auto"/>
            <w:vMerge/>
            <w:shd w:val="clear" w:color="auto" w:fill="auto"/>
            <w:vAlign w:val="center"/>
          </w:tcPr>
          <w:p w14:paraId="3BDC53FD"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0E8EE19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r>
      <w:tr w:rsidR="009C353B" w14:paraId="74C9826D" w14:textId="77777777">
        <w:trPr>
          <w:trHeight w:val="340"/>
          <w:jc w:val="center"/>
        </w:trPr>
        <w:tc>
          <w:tcPr>
            <w:tcW w:w="0" w:type="auto"/>
            <w:vMerge/>
            <w:shd w:val="clear" w:color="auto" w:fill="auto"/>
            <w:noWrap/>
            <w:vAlign w:val="center"/>
          </w:tcPr>
          <w:p w14:paraId="1F0C26F7" w14:textId="77777777" w:rsidR="009C353B" w:rsidRDefault="009C353B">
            <w:pPr>
              <w:widowControl/>
              <w:jc w:val="center"/>
              <w:rPr>
                <w:rFonts w:ascii="Times New Roman" w:hAnsi="Times New Roman"/>
                <w:kern w:val="0"/>
                <w:sz w:val="21"/>
                <w:szCs w:val="21"/>
              </w:rPr>
            </w:pPr>
          </w:p>
        </w:tc>
        <w:tc>
          <w:tcPr>
            <w:tcW w:w="1756" w:type="dxa"/>
            <w:vMerge/>
            <w:shd w:val="clear" w:color="auto" w:fill="auto"/>
            <w:noWrap/>
            <w:vAlign w:val="center"/>
          </w:tcPr>
          <w:p w14:paraId="303F989D" w14:textId="77777777" w:rsidR="009C353B" w:rsidRDefault="009C353B">
            <w:pPr>
              <w:widowControl/>
              <w:jc w:val="center"/>
              <w:rPr>
                <w:rFonts w:ascii="Times New Roman" w:hAnsi="Times New Roman"/>
                <w:kern w:val="0"/>
                <w:sz w:val="21"/>
                <w:szCs w:val="21"/>
              </w:rPr>
            </w:pPr>
          </w:p>
        </w:tc>
        <w:tc>
          <w:tcPr>
            <w:tcW w:w="1151" w:type="dxa"/>
            <w:vMerge/>
            <w:shd w:val="clear" w:color="auto" w:fill="auto"/>
            <w:noWrap/>
            <w:vAlign w:val="center"/>
          </w:tcPr>
          <w:p w14:paraId="12CE926F"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9D4662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65.77</w:t>
            </w:r>
          </w:p>
        </w:tc>
        <w:tc>
          <w:tcPr>
            <w:tcW w:w="0" w:type="auto"/>
            <w:shd w:val="clear" w:color="auto" w:fill="auto"/>
            <w:noWrap/>
            <w:vAlign w:val="center"/>
          </w:tcPr>
          <w:p w14:paraId="0460622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10.96</w:t>
            </w:r>
          </w:p>
        </w:tc>
        <w:tc>
          <w:tcPr>
            <w:tcW w:w="0" w:type="auto"/>
            <w:vMerge/>
            <w:shd w:val="clear" w:color="auto" w:fill="auto"/>
            <w:vAlign w:val="center"/>
          </w:tcPr>
          <w:p w14:paraId="00A2468B"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6C78E3D6" w14:textId="77777777" w:rsidR="009C353B" w:rsidRDefault="009C353B">
            <w:pPr>
              <w:widowControl/>
              <w:jc w:val="center"/>
              <w:rPr>
                <w:rFonts w:ascii="Times New Roman" w:hAnsi="Times New Roman"/>
                <w:kern w:val="0"/>
                <w:sz w:val="21"/>
                <w:szCs w:val="21"/>
              </w:rPr>
            </w:pPr>
          </w:p>
        </w:tc>
      </w:tr>
      <w:tr w:rsidR="009C353B" w14:paraId="68156F51" w14:textId="77777777">
        <w:trPr>
          <w:trHeight w:val="340"/>
          <w:jc w:val="center"/>
        </w:trPr>
        <w:tc>
          <w:tcPr>
            <w:tcW w:w="0" w:type="auto"/>
            <w:vMerge/>
            <w:shd w:val="clear" w:color="auto" w:fill="auto"/>
            <w:noWrap/>
            <w:vAlign w:val="center"/>
          </w:tcPr>
          <w:p w14:paraId="719D7460" w14:textId="77777777" w:rsidR="009C353B" w:rsidRDefault="009C353B">
            <w:pPr>
              <w:widowControl/>
              <w:jc w:val="center"/>
              <w:rPr>
                <w:rFonts w:ascii="Times New Roman" w:hAnsi="Times New Roman"/>
                <w:kern w:val="0"/>
                <w:sz w:val="21"/>
                <w:szCs w:val="21"/>
              </w:rPr>
            </w:pPr>
          </w:p>
        </w:tc>
        <w:tc>
          <w:tcPr>
            <w:tcW w:w="1756" w:type="dxa"/>
            <w:vMerge w:val="restart"/>
            <w:shd w:val="clear" w:color="auto" w:fill="auto"/>
            <w:noWrap/>
            <w:vAlign w:val="center"/>
          </w:tcPr>
          <w:p w14:paraId="40866C8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1151" w:type="dxa"/>
            <w:vMerge/>
            <w:shd w:val="clear" w:color="auto" w:fill="auto"/>
            <w:noWrap/>
            <w:vAlign w:val="center"/>
          </w:tcPr>
          <w:p w14:paraId="7FFF49CA"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FBED22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0.86</w:t>
            </w:r>
          </w:p>
        </w:tc>
        <w:tc>
          <w:tcPr>
            <w:tcW w:w="0" w:type="auto"/>
            <w:shd w:val="clear" w:color="auto" w:fill="auto"/>
            <w:noWrap/>
            <w:vAlign w:val="center"/>
          </w:tcPr>
          <w:p w14:paraId="5691011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0.57</w:t>
            </w:r>
          </w:p>
        </w:tc>
        <w:tc>
          <w:tcPr>
            <w:tcW w:w="0" w:type="auto"/>
            <w:vMerge/>
            <w:shd w:val="clear" w:color="auto" w:fill="auto"/>
            <w:vAlign w:val="center"/>
          </w:tcPr>
          <w:p w14:paraId="13E421AF"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31ECE4E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1.5</w:t>
            </w:r>
          </w:p>
        </w:tc>
      </w:tr>
      <w:tr w:rsidR="009C353B" w14:paraId="7E67F24F" w14:textId="77777777">
        <w:trPr>
          <w:trHeight w:val="340"/>
          <w:jc w:val="center"/>
        </w:trPr>
        <w:tc>
          <w:tcPr>
            <w:tcW w:w="0" w:type="auto"/>
            <w:vMerge/>
            <w:shd w:val="clear" w:color="auto" w:fill="auto"/>
            <w:noWrap/>
            <w:vAlign w:val="center"/>
          </w:tcPr>
          <w:p w14:paraId="195C5FA1" w14:textId="77777777" w:rsidR="009C353B" w:rsidRDefault="009C353B">
            <w:pPr>
              <w:widowControl/>
              <w:jc w:val="center"/>
              <w:rPr>
                <w:rFonts w:ascii="Times New Roman" w:hAnsi="Times New Roman"/>
                <w:kern w:val="0"/>
                <w:sz w:val="21"/>
                <w:szCs w:val="21"/>
              </w:rPr>
            </w:pPr>
          </w:p>
        </w:tc>
        <w:tc>
          <w:tcPr>
            <w:tcW w:w="1756" w:type="dxa"/>
            <w:vMerge/>
            <w:shd w:val="clear" w:color="auto" w:fill="auto"/>
            <w:noWrap/>
            <w:vAlign w:val="center"/>
          </w:tcPr>
          <w:p w14:paraId="07CD57DE" w14:textId="77777777" w:rsidR="009C353B" w:rsidRDefault="009C353B">
            <w:pPr>
              <w:widowControl/>
              <w:jc w:val="center"/>
              <w:rPr>
                <w:rFonts w:ascii="Times New Roman" w:hAnsi="Times New Roman"/>
                <w:kern w:val="0"/>
                <w:sz w:val="21"/>
                <w:szCs w:val="21"/>
              </w:rPr>
            </w:pPr>
          </w:p>
        </w:tc>
        <w:tc>
          <w:tcPr>
            <w:tcW w:w="1151" w:type="dxa"/>
            <w:vMerge/>
            <w:shd w:val="clear" w:color="auto" w:fill="auto"/>
            <w:noWrap/>
            <w:vAlign w:val="center"/>
          </w:tcPr>
          <w:p w14:paraId="6BB091D9"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FD8267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0.66</w:t>
            </w:r>
          </w:p>
        </w:tc>
        <w:tc>
          <w:tcPr>
            <w:tcW w:w="0" w:type="auto"/>
            <w:shd w:val="clear" w:color="auto" w:fill="auto"/>
            <w:noWrap/>
            <w:vAlign w:val="center"/>
          </w:tcPr>
          <w:p w14:paraId="5249A8E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0.44</w:t>
            </w:r>
          </w:p>
        </w:tc>
        <w:tc>
          <w:tcPr>
            <w:tcW w:w="0" w:type="auto"/>
            <w:vMerge/>
            <w:shd w:val="clear" w:color="auto" w:fill="auto"/>
            <w:vAlign w:val="center"/>
          </w:tcPr>
          <w:p w14:paraId="6EE2A7B9"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08494851" w14:textId="77777777" w:rsidR="009C353B" w:rsidRDefault="009C353B">
            <w:pPr>
              <w:widowControl/>
              <w:jc w:val="center"/>
              <w:rPr>
                <w:rFonts w:ascii="Times New Roman" w:hAnsi="Times New Roman"/>
                <w:kern w:val="0"/>
                <w:sz w:val="21"/>
                <w:szCs w:val="21"/>
              </w:rPr>
            </w:pPr>
          </w:p>
        </w:tc>
      </w:tr>
      <w:tr w:rsidR="009C353B" w14:paraId="056CF0E3" w14:textId="77777777">
        <w:trPr>
          <w:trHeight w:val="340"/>
          <w:jc w:val="center"/>
        </w:trPr>
        <w:tc>
          <w:tcPr>
            <w:tcW w:w="0" w:type="auto"/>
            <w:vMerge w:val="restart"/>
            <w:shd w:val="clear" w:color="auto" w:fill="auto"/>
            <w:noWrap/>
            <w:vAlign w:val="center"/>
          </w:tcPr>
          <w:p w14:paraId="74C7CB5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10#</w:t>
            </w:r>
          </w:p>
        </w:tc>
        <w:tc>
          <w:tcPr>
            <w:tcW w:w="1756" w:type="dxa"/>
            <w:vMerge w:val="restart"/>
            <w:shd w:val="clear" w:color="auto" w:fill="auto"/>
            <w:noWrap/>
            <w:vAlign w:val="center"/>
          </w:tcPr>
          <w:p w14:paraId="2FCFBDC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1151" w:type="dxa"/>
            <w:vMerge/>
            <w:shd w:val="clear" w:color="auto" w:fill="auto"/>
            <w:noWrap/>
            <w:vAlign w:val="center"/>
          </w:tcPr>
          <w:p w14:paraId="4FAFCBDD"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62CB7F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64.62</w:t>
            </w:r>
          </w:p>
        </w:tc>
        <w:tc>
          <w:tcPr>
            <w:tcW w:w="0" w:type="auto"/>
            <w:shd w:val="clear" w:color="auto" w:fill="auto"/>
            <w:noWrap/>
            <w:vAlign w:val="center"/>
          </w:tcPr>
          <w:p w14:paraId="1C99B6E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2.15</w:t>
            </w:r>
          </w:p>
        </w:tc>
        <w:tc>
          <w:tcPr>
            <w:tcW w:w="0" w:type="auto"/>
            <w:vMerge/>
            <w:shd w:val="clear" w:color="auto" w:fill="auto"/>
            <w:vAlign w:val="center"/>
          </w:tcPr>
          <w:p w14:paraId="500981CC"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17C5417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30</w:t>
            </w:r>
          </w:p>
        </w:tc>
      </w:tr>
      <w:tr w:rsidR="009C353B" w14:paraId="5E985BC9" w14:textId="77777777">
        <w:trPr>
          <w:trHeight w:val="340"/>
          <w:jc w:val="center"/>
        </w:trPr>
        <w:tc>
          <w:tcPr>
            <w:tcW w:w="0" w:type="auto"/>
            <w:vMerge/>
            <w:shd w:val="clear" w:color="auto" w:fill="auto"/>
            <w:noWrap/>
            <w:vAlign w:val="center"/>
          </w:tcPr>
          <w:p w14:paraId="3F61DD9A" w14:textId="77777777" w:rsidR="009C353B" w:rsidRDefault="009C353B">
            <w:pPr>
              <w:widowControl/>
              <w:jc w:val="center"/>
              <w:rPr>
                <w:rFonts w:ascii="Times New Roman" w:hAnsi="Times New Roman"/>
                <w:kern w:val="0"/>
                <w:sz w:val="21"/>
                <w:szCs w:val="21"/>
              </w:rPr>
            </w:pPr>
          </w:p>
        </w:tc>
        <w:tc>
          <w:tcPr>
            <w:tcW w:w="1756" w:type="dxa"/>
            <w:vMerge/>
            <w:shd w:val="clear" w:color="auto" w:fill="auto"/>
            <w:noWrap/>
            <w:vAlign w:val="center"/>
          </w:tcPr>
          <w:p w14:paraId="287F2C12" w14:textId="77777777" w:rsidR="009C353B" w:rsidRDefault="009C353B">
            <w:pPr>
              <w:widowControl/>
              <w:jc w:val="center"/>
              <w:rPr>
                <w:rFonts w:ascii="Times New Roman" w:hAnsi="Times New Roman"/>
                <w:kern w:val="0"/>
                <w:sz w:val="21"/>
                <w:szCs w:val="21"/>
              </w:rPr>
            </w:pPr>
          </w:p>
        </w:tc>
        <w:tc>
          <w:tcPr>
            <w:tcW w:w="1151" w:type="dxa"/>
            <w:vMerge/>
            <w:shd w:val="clear" w:color="auto" w:fill="auto"/>
            <w:noWrap/>
            <w:vAlign w:val="center"/>
          </w:tcPr>
          <w:p w14:paraId="31CA8130"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0CACF5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65.02</w:t>
            </w:r>
          </w:p>
        </w:tc>
        <w:tc>
          <w:tcPr>
            <w:tcW w:w="0" w:type="auto"/>
            <w:shd w:val="clear" w:color="auto" w:fill="auto"/>
            <w:noWrap/>
            <w:vAlign w:val="center"/>
          </w:tcPr>
          <w:p w14:paraId="3F80888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2.17</w:t>
            </w:r>
          </w:p>
        </w:tc>
        <w:tc>
          <w:tcPr>
            <w:tcW w:w="0" w:type="auto"/>
            <w:vMerge/>
            <w:shd w:val="clear" w:color="auto" w:fill="auto"/>
            <w:vAlign w:val="center"/>
          </w:tcPr>
          <w:p w14:paraId="41029A08"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1BDBE978" w14:textId="77777777" w:rsidR="009C353B" w:rsidRDefault="009C353B">
            <w:pPr>
              <w:widowControl/>
              <w:jc w:val="center"/>
              <w:rPr>
                <w:rFonts w:ascii="Times New Roman" w:hAnsi="Times New Roman"/>
                <w:kern w:val="0"/>
                <w:sz w:val="21"/>
                <w:szCs w:val="21"/>
              </w:rPr>
            </w:pPr>
          </w:p>
        </w:tc>
      </w:tr>
      <w:tr w:rsidR="009C353B" w14:paraId="1CED772C" w14:textId="77777777">
        <w:trPr>
          <w:trHeight w:val="340"/>
          <w:jc w:val="center"/>
        </w:trPr>
        <w:tc>
          <w:tcPr>
            <w:tcW w:w="0" w:type="auto"/>
            <w:vMerge/>
            <w:shd w:val="clear" w:color="auto" w:fill="auto"/>
            <w:noWrap/>
            <w:vAlign w:val="center"/>
          </w:tcPr>
          <w:p w14:paraId="16061AE5" w14:textId="77777777" w:rsidR="009C353B" w:rsidRDefault="009C353B">
            <w:pPr>
              <w:widowControl/>
              <w:jc w:val="center"/>
              <w:rPr>
                <w:rFonts w:ascii="Times New Roman" w:hAnsi="Times New Roman"/>
                <w:kern w:val="0"/>
                <w:sz w:val="21"/>
                <w:szCs w:val="21"/>
              </w:rPr>
            </w:pPr>
          </w:p>
        </w:tc>
        <w:tc>
          <w:tcPr>
            <w:tcW w:w="1756" w:type="dxa"/>
            <w:vMerge w:val="restart"/>
            <w:shd w:val="clear" w:color="auto" w:fill="auto"/>
            <w:noWrap/>
            <w:vAlign w:val="center"/>
          </w:tcPr>
          <w:p w14:paraId="034273C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BOD</w:t>
            </w:r>
            <w:r>
              <w:rPr>
                <w:rFonts w:ascii="Times New Roman" w:hAnsi="Times New Roman"/>
                <w:kern w:val="0"/>
                <w:sz w:val="21"/>
                <w:szCs w:val="21"/>
                <w:vertAlign w:val="subscript"/>
              </w:rPr>
              <w:t>5</w:t>
            </w:r>
          </w:p>
        </w:tc>
        <w:tc>
          <w:tcPr>
            <w:tcW w:w="1151" w:type="dxa"/>
            <w:vMerge/>
            <w:shd w:val="clear" w:color="auto" w:fill="auto"/>
            <w:noWrap/>
            <w:vAlign w:val="center"/>
          </w:tcPr>
          <w:p w14:paraId="275F34D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A7AD66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22.38</w:t>
            </w:r>
          </w:p>
        </w:tc>
        <w:tc>
          <w:tcPr>
            <w:tcW w:w="0" w:type="auto"/>
            <w:shd w:val="clear" w:color="auto" w:fill="auto"/>
            <w:noWrap/>
            <w:vAlign w:val="center"/>
          </w:tcPr>
          <w:p w14:paraId="2580040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3.73</w:t>
            </w:r>
          </w:p>
        </w:tc>
        <w:tc>
          <w:tcPr>
            <w:tcW w:w="0" w:type="auto"/>
            <w:vMerge/>
            <w:shd w:val="clear" w:color="auto" w:fill="auto"/>
            <w:vAlign w:val="center"/>
          </w:tcPr>
          <w:p w14:paraId="3B27A636"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7B20306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r>
      <w:tr w:rsidR="009C353B" w14:paraId="7B6C4A50" w14:textId="77777777">
        <w:trPr>
          <w:trHeight w:val="340"/>
          <w:jc w:val="center"/>
        </w:trPr>
        <w:tc>
          <w:tcPr>
            <w:tcW w:w="0" w:type="auto"/>
            <w:vMerge/>
            <w:shd w:val="clear" w:color="auto" w:fill="auto"/>
            <w:noWrap/>
            <w:vAlign w:val="center"/>
          </w:tcPr>
          <w:p w14:paraId="5D019CCA" w14:textId="77777777" w:rsidR="009C353B" w:rsidRDefault="009C353B">
            <w:pPr>
              <w:widowControl/>
              <w:jc w:val="center"/>
              <w:rPr>
                <w:rFonts w:ascii="Times New Roman" w:hAnsi="Times New Roman"/>
                <w:kern w:val="0"/>
                <w:sz w:val="21"/>
                <w:szCs w:val="21"/>
              </w:rPr>
            </w:pPr>
          </w:p>
        </w:tc>
        <w:tc>
          <w:tcPr>
            <w:tcW w:w="1756" w:type="dxa"/>
            <w:vMerge/>
            <w:shd w:val="clear" w:color="auto" w:fill="auto"/>
            <w:noWrap/>
            <w:vAlign w:val="center"/>
          </w:tcPr>
          <w:p w14:paraId="21E8C801" w14:textId="77777777" w:rsidR="009C353B" w:rsidRDefault="009C353B">
            <w:pPr>
              <w:widowControl/>
              <w:jc w:val="center"/>
              <w:rPr>
                <w:rFonts w:ascii="Times New Roman" w:hAnsi="Times New Roman"/>
                <w:kern w:val="0"/>
                <w:sz w:val="21"/>
                <w:szCs w:val="21"/>
              </w:rPr>
            </w:pPr>
          </w:p>
        </w:tc>
        <w:tc>
          <w:tcPr>
            <w:tcW w:w="1151" w:type="dxa"/>
            <w:vMerge/>
            <w:shd w:val="clear" w:color="auto" w:fill="auto"/>
            <w:noWrap/>
            <w:vAlign w:val="center"/>
          </w:tcPr>
          <w:p w14:paraId="7A4D80F0"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A58685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21.86</w:t>
            </w:r>
          </w:p>
        </w:tc>
        <w:tc>
          <w:tcPr>
            <w:tcW w:w="0" w:type="auto"/>
            <w:shd w:val="clear" w:color="auto" w:fill="auto"/>
            <w:noWrap/>
            <w:vAlign w:val="center"/>
          </w:tcPr>
          <w:p w14:paraId="7CA7432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3.64</w:t>
            </w:r>
          </w:p>
        </w:tc>
        <w:tc>
          <w:tcPr>
            <w:tcW w:w="0" w:type="auto"/>
            <w:vMerge/>
            <w:shd w:val="clear" w:color="auto" w:fill="auto"/>
            <w:vAlign w:val="center"/>
          </w:tcPr>
          <w:p w14:paraId="37C7BA1C"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043B8BBB" w14:textId="77777777" w:rsidR="009C353B" w:rsidRDefault="009C353B">
            <w:pPr>
              <w:widowControl/>
              <w:jc w:val="center"/>
              <w:rPr>
                <w:rFonts w:ascii="Times New Roman" w:hAnsi="Times New Roman"/>
                <w:kern w:val="0"/>
                <w:sz w:val="21"/>
                <w:szCs w:val="21"/>
              </w:rPr>
            </w:pPr>
          </w:p>
        </w:tc>
      </w:tr>
      <w:tr w:rsidR="009C353B" w14:paraId="6A03204B" w14:textId="77777777">
        <w:trPr>
          <w:trHeight w:val="340"/>
          <w:jc w:val="center"/>
        </w:trPr>
        <w:tc>
          <w:tcPr>
            <w:tcW w:w="0" w:type="auto"/>
            <w:vMerge/>
            <w:shd w:val="clear" w:color="auto" w:fill="auto"/>
            <w:noWrap/>
            <w:vAlign w:val="center"/>
          </w:tcPr>
          <w:p w14:paraId="046BE6E9" w14:textId="77777777" w:rsidR="009C353B" w:rsidRDefault="009C353B">
            <w:pPr>
              <w:widowControl/>
              <w:jc w:val="center"/>
              <w:rPr>
                <w:rFonts w:ascii="Times New Roman" w:hAnsi="Times New Roman"/>
                <w:kern w:val="0"/>
                <w:sz w:val="21"/>
                <w:szCs w:val="21"/>
              </w:rPr>
            </w:pPr>
          </w:p>
        </w:tc>
        <w:tc>
          <w:tcPr>
            <w:tcW w:w="1756" w:type="dxa"/>
            <w:vMerge w:val="restart"/>
            <w:shd w:val="clear" w:color="auto" w:fill="auto"/>
            <w:noWrap/>
            <w:vAlign w:val="center"/>
          </w:tcPr>
          <w:p w14:paraId="3A86384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1151" w:type="dxa"/>
            <w:vMerge/>
            <w:shd w:val="clear" w:color="auto" w:fill="auto"/>
            <w:noWrap/>
            <w:vAlign w:val="center"/>
          </w:tcPr>
          <w:p w14:paraId="4A291DFC"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670168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1.16</w:t>
            </w:r>
          </w:p>
        </w:tc>
        <w:tc>
          <w:tcPr>
            <w:tcW w:w="0" w:type="auto"/>
            <w:shd w:val="clear" w:color="auto" w:fill="auto"/>
            <w:noWrap/>
            <w:vAlign w:val="center"/>
          </w:tcPr>
          <w:p w14:paraId="351C110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0.77</w:t>
            </w:r>
          </w:p>
        </w:tc>
        <w:tc>
          <w:tcPr>
            <w:tcW w:w="0" w:type="auto"/>
            <w:vMerge/>
            <w:shd w:val="clear" w:color="auto" w:fill="auto"/>
            <w:vAlign w:val="center"/>
          </w:tcPr>
          <w:p w14:paraId="10C716C9"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40C1E88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1.5</w:t>
            </w:r>
          </w:p>
        </w:tc>
      </w:tr>
      <w:tr w:rsidR="009C353B" w14:paraId="5AF23890" w14:textId="77777777">
        <w:trPr>
          <w:trHeight w:val="340"/>
          <w:jc w:val="center"/>
        </w:trPr>
        <w:tc>
          <w:tcPr>
            <w:tcW w:w="0" w:type="auto"/>
            <w:vMerge/>
            <w:shd w:val="clear" w:color="auto" w:fill="auto"/>
            <w:noWrap/>
            <w:vAlign w:val="center"/>
          </w:tcPr>
          <w:p w14:paraId="14FACA7F" w14:textId="77777777" w:rsidR="009C353B" w:rsidRDefault="009C353B">
            <w:pPr>
              <w:widowControl/>
              <w:jc w:val="center"/>
              <w:rPr>
                <w:rFonts w:ascii="Times New Roman" w:hAnsi="Times New Roman"/>
                <w:kern w:val="0"/>
                <w:sz w:val="21"/>
                <w:szCs w:val="21"/>
              </w:rPr>
            </w:pPr>
          </w:p>
        </w:tc>
        <w:tc>
          <w:tcPr>
            <w:tcW w:w="1756" w:type="dxa"/>
            <w:vMerge/>
            <w:shd w:val="clear" w:color="auto" w:fill="auto"/>
            <w:noWrap/>
            <w:vAlign w:val="center"/>
          </w:tcPr>
          <w:p w14:paraId="7437172A" w14:textId="77777777" w:rsidR="009C353B" w:rsidRDefault="009C353B">
            <w:pPr>
              <w:widowControl/>
              <w:jc w:val="center"/>
              <w:rPr>
                <w:rFonts w:ascii="Times New Roman" w:hAnsi="Times New Roman"/>
                <w:kern w:val="0"/>
                <w:sz w:val="21"/>
                <w:szCs w:val="21"/>
              </w:rPr>
            </w:pPr>
          </w:p>
        </w:tc>
        <w:tc>
          <w:tcPr>
            <w:tcW w:w="1151" w:type="dxa"/>
            <w:vMerge/>
            <w:shd w:val="clear" w:color="auto" w:fill="auto"/>
            <w:noWrap/>
            <w:vAlign w:val="center"/>
          </w:tcPr>
          <w:p w14:paraId="0080ACD5"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373238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0.94</w:t>
            </w:r>
          </w:p>
        </w:tc>
        <w:tc>
          <w:tcPr>
            <w:tcW w:w="0" w:type="auto"/>
            <w:shd w:val="clear" w:color="auto" w:fill="auto"/>
            <w:noWrap/>
            <w:vAlign w:val="center"/>
          </w:tcPr>
          <w:p w14:paraId="5327863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0.63</w:t>
            </w:r>
          </w:p>
        </w:tc>
        <w:tc>
          <w:tcPr>
            <w:tcW w:w="0" w:type="auto"/>
            <w:vMerge/>
            <w:shd w:val="clear" w:color="auto" w:fill="auto"/>
            <w:vAlign w:val="center"/>
          </w:tcPr>
          <w:p w14:paraId="2E55589B"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1B34FD9D" w14:textId="77777777" w:rsidR="009C353B" w:rsidRDefault="009C353B">
            <w:pPr>
              <w:widowControl/>
              <w:jc w:val="center"/>
              <w:rPr>
                <w:rFonts w:ascii="Times New Roman" w:hAnsi="Times New Roman"/>
                <w:kern w:val="0"/>
                <w:sz w:val="21"/>
                <w:szCs w:val="21"/>
              </w:rPr>
            </w:pPr>
          </w:p>
        </w:tc>
      </w:tr>
      <w:tr w:rsidR="009C353B" w14:paraId="61CCDF00" w14:textId="77777777">
        <w:trPr>
          <w:trHeight w:val="340"/>
          <w:jc w:val="center"/>
        </w:trPr>
        <w:tc>
          <w:tcPr>
            <w:tcW w:w="0" w:type="auto"/>
            <w:vMerge w:val="restart"/>
            <w:shd w:val="clear" w:color="auto" w:fill="auto"/>
            <w:noWrap/>
            <w:vAlign w:val="center"/>
          </w:tcPr>
          <w:p w14:paraId="1970E5E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1#</w:t>
            </w:r>
          </w:p>
        </w:tc>
        <w:tc>
          <w:tcPr>
            <w:tcW w:w="1756" w:type="dxa"/>
            <w:shd w:val="clear" w:color="auto" w:fill="auto"/>
            <w:noWrap/>
            <w:vAlign w:val="center"/>
          </w:tcPr>
          <w:p w14:paraId="1B31610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C</w:t>
            </w:r>
            <w:r>
              <w:rPr>
                <w:rFonts w:ascii="Times New Roman" w:hAnsi="Times New Roman"/>
                <w:kern w:val="0"/>
                <w:sz w:val="21"/>
                <w:szCs w:val="21"/>
              </w:rPr>
              <w:t>OD</w:t>
            </w:r>
          </w:p>
        </w:tc>
        <w:tc>
          <w:tcPr>
            <w:tcW w:w="1151" w:type="dxa"/>
            <w:vMerge w:val="restart"/>
            <w:shd w:val="clear" w:color="auto" w:fill="auto"/>
            <w:noWrap/>
            <w:vAlign w:val="center"/>
          </w:tcPr>
          <w:p w14:paraId="50634E2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2020/8/7</w:t>
            </w:r>
            <w:r>
              <w:rPr>
                <w:rFonts w:ascii="Times New Roman" w:hAnsi="Times New Roman"/>
                <w:kern w:val="0"/>
                <w:sz w:val="21"/>
                <w:szCs w:val="21"/>
              </w:rPr>
              <w:t xml:space="preserve"> </w:t>
            </w:r>
          </w:p>
        </w:tc>
        <w:tc>
          <w:tcPr>
            <w:tcW w:w="0" w:type="auto"/>
            <w:shd w:val="clear" w:color="auto" w:fill="auto"/>
            <w:noWrap/>
            <w:vAlign w:val="center"/>
          </w:tcPr>
          <w:p w14:paraId="0CB9685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24</w:t>
            </w:r>
          </w:p>
        </w:tc>
        <w:tc>
          <w:tcPr>
            <w:tcW w:w="0" w:type="auto"/>
            <w:shd w:val="clear" w:color="auto" w:fill="auto"/>
            <w:noWrap/>
            <w:vAlign w:val="center"/>
          </w:tcPr>
          <w:p w14:paraId="3FE479F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0.8</w:t>
            </w:r>
          </w:p>
        </w:tc>
        <w:tc>
          <w:tcPr>
            <w:tcW w:w="0" w:type="auto"/>
            <w:vMerge/>
            <w:shd w:val="clear" w:color="auto" w:fill="auto"/>
            <w:vAlign w:val="center"/>
          </w:tcPr>
          <w:p w14:paraId="3B28DB71"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977538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w:t>
            </w:r>
            <w:r>
              <w:rPr>
                <w:rFonts w:ascii="Times New Roman" w:hAnsi="Times New Roman"/>
                <w:kern w:val="0"/>
                <w:sz w:val="21"/>
                <w:szCs w:val="21"/>
              </w:rPr>
              <w:t>0</w:t>
            </w:r>
          </w:p>
        </w:tc>
      </w:tr>
      <w:tr w:rsidR="009C353B" w14:paraId="1F934B6F" w14:textId="77777777">
        <w:trPr>
          <w:trHeight w:val="340"/>
          <w:jc w:val="center"/>
        </w:trPr>
        <w:tc>
          <w:tcPr>
            <w:tcW w:w="0" w:type="auto"/>
            <w:vMerge/>
            <w:shd w:val="clear" w:color="auto" w:fill="auto"/>
            <w:noWrap/>
            <w:vAlign w:val="center"/>
          </w:tcPr>
          <w:p w14:paraId="0B93E53C"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43CDE74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B</w:t>
            </w:r>
            <w:r>
              <w:rPr>
                <w:rFonts w:ascii="Times New Roman" w:hAnsi="Times New Roman"/>
                <w:kern w:val="0"/>
                <w:sz w:val="21"/>
                <w:szCs w:val="21"/>
              </w:rPr>
              <w:t>OD</w:t>
            </w:r>
            <w:r>
              <w:rPr>
                <w:rFonts w:ascii="Times New Roman" w:hAnsi="Times New Roman"/>
                <w:kern w:val="0"/>
                <w:sz w:val="21"/>
                <w:szCs w:val="21"/>
                <w:vertAlign w:val="subscript"/>
              </w:rPr>
              <w:t>5</w:t>
            </w:r>
          </w:p>
        </w:tc>
        <w:tc>
          <w:tcPr>
            <w:tcW w:w="1151" w:type="dxa"/>
            <w:vMerge/>
            <w:shd w:val="clear" w:color="auto" w:fill="auto"/>
            <w:noWrap/>
            <w:vAlign w:val="center"/>
          </w:tcPr>
          <w:p w14:paraId="4D2F0070"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F309A8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.8</w:t>
            </w:r>
          </w:p>
        </w:tc>
        <w:tc>
          <w:tcPr>
            <w:tcW w:w="0" w:type="auto"/>
            <w:shd w:val="clear" w:color="auto" w:fill="auto"/>
            <w:noWrap/>
            <w:vAlign w:val="center"/>
          </w:tcPr>
          <w:p w14:paraId="26A4548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w:t>
            </w:r>
            <w:r>
              <w:rPr>
                <w:rFonts w:ascii="Times New Roman" w:hAnsi="Times New Roman"/>
                <w:kern w:val="0"/>
                <w:sz w:val="21"/>
                <w:szCs w:val="21"/>
              </w:rPr>
              <w:t>.8</w:t>
            </w:r>
          </w:p>
        </w:tc>
        <w:tc>
          <w:tcPr>
            <w:tcW w:w="0" w:type="auto"/>
            <w:vMerge/>
            <w:shd w:val="clear" w:color="auto" w:fill="auto"/>
            <w:vAlign w:val="center"/>
          </w:tcPr>
          <w:p w14:paraId="094C9193"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9795A8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r>
      <w:tr w:rsidR="009C353B" w14:paraId="150F9F36" w14:textId="77777777">
        <w:trPr>
          <w:trHeight w:val="340"/>
          <w:jc w:val="center"/>
        </w:trPr>
        <w:tc>
          <w:tcPr>
            <w:tcW w:w="0" w:type="auto"/>
            <w:vMerge/>
            <w:shd w:val="clear" w:color="auto" w:fill="auto"/>
            <w:noWrap/>
            <w:vAlign w:val="center"/>
          </w:tcPr>
          <w:p w14:paraId="70C198FE"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4E1746E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1151" w:type="dxa"/>
            <w:vMerge/>
            <w:shd w:val="clear" w:color="auto" w:fill="auto"/>
            <w:noWrap/>
            <w:vAlign w:val="center"/>
          </w:tcPr>
          <w:p w14:paraId="6E07E4DB"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FE396B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3.44</w:t>
            </w:r>
          </w:p>
        </w:tc>
        <w:tc>
          <w:tcPr>
            <w:tcW w:w="0" w:type="auto"/>
            <w:shd w:val="clear" w:color="auto" w:fill="auto"/>
            <w:noWrap/>
            <w:vAlign w:val="center"/>
          </w:tcPr>
          <w:p w14:paraId="191935A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2.29</w:t>
            </w:r>
          </w:p>
        </w:tc>
        <w:tc>
          <w:tcPr>
            <w:tcW w:w="0" w:type="auto"/>
            <w:vMerge/>
            <w:shd w:val="clear" w:color="auto" w:fill="auto"/>
            <w:vAlign w:val="center"/>
          </w:tcPr>
          <w:p w14:paraId="772C45B2"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87AAB6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.5</w:t>
            </w:r>
          </w:p>
        </w:tc>
      </w:tr>
      <w:tr w:rsidR="009C353B" w14:paraId="42E7FA24" w14:textId="77777777">
        <w:trPr>
          <w:trHeight w:val="340"/>
          <w:jc w:val="center"/>
        </w:trPr>
        <w:tc>
          <w:tcPr>
            <w:tcW w:w="0" w:type="auto"/>
            <w:vMerge/>
            <w:shd w:val="clear" w:color="auto" w:fill="auto"/>
            <w:noWrap/>
            <w:vAlign w:val="center"/>
          </w:tcPr>
          <w:p w14:paraId="135BA506"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3DD698D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COD</w:t>
            </w:r>
          </w:p>
        </w:tc>
        <w:tc>
          <w:tcPr>
            <w:tcW w:w="1151" w:type="dxa"/>
            <w:vMerge w:val="restart"/>
            <w:shd w:val="clear" w:color="auto" w:fill="auto"/>
            <w:noWrap/>
            <w:vAlign w:val="center"/>
          </w:tcPr>
          <w:p w14:paraId="6CB1684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2020/8/8</w:t>
            </w:r>
          </w:p>
        </w:tc>
        <w:tc>
          <w:tcPr>
            <w:tcW w:w="0" w:type="auto"/>
            <w:shd w:val="clear" w:color="auto" w:fill="auto"/>
            <w:noWrap/>
            <w:vAlign w:val="center"/>
          </w:tcPr>
          <w:p w14:paraId="6CF9A01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22</w:t>
            </w:r>
          </w:p>
        </w:tc>
        <w:tc>
          <w:tcPr>
            <w:tcW w:w="0" w:type="auto"/>
            <w:shd w:val="clear" w:color="auto" w:fill="auto"/>
            <w:noWrap/>
            <w:vAlign w:val="center"/>
          </w:tcPr>
          <w:p w14:paraId="3F80675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0.73</w:t>
            </w:r>
          </w:p>
        </w:tc>
        <w:tc>
          <w:tcPr>
            <w:tcW w:w="0" w:type="auto"/>
            <w:vMerge/>
            <w:shd w:val="clear" w:color="auto" w:fill="auto"/>
            <w:vAlign w:val="center"/>
          </w:tcPr>
          <w:p w14:paraId="3C09DA69"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10CCB8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w:t>
            </w:r>
            <w:r>
              <w:rPr>
                <w:rFonts w:ascii="Times New Roman" w:hAnsi="Times New Roman"/>
                <w:kern w:val="0"/>
                <w:sz w:val="21"/>
                <w:szCs w:val="21"/>
              </w:rPr>
              <w:t>0</w:t>
            </w:r>
          </w:p>
        </w:tc>
      </w:tr>
      <w:tr w:rsidR="009C353B" w14:paraId="7B89D3CD" w14:textId="77777777">
        <w:trPr>
          <w:trHeight w:val="340"/>
          <w:jc w:val="center"/>
        </w:trPr>
        <w:tc>
          <w:tcPr>
            <w:tcW w:w="0" w:type="auto"/>
            <w:vMerge/>
            <w:shd w:val="clear" w:color="auto" w:fill="auto"/>
            <w:noWrap/>
            <w:vAlign w:val="center"/>
          </w:tcPr>
          <w:p w14:paraId="58740E98"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7760BD0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B</w:t>
            </w:r>
            <w:r>
              <w:rPr>
                <w:rFonts w:ascii="Times New Roman" w:hAnsi="Times New Roman"/>
                <w:kern w:val="0"/>
                <w:sz w:val="21"/>
                <w:szCs w:val="21"/>
              </w:rPr>
              <w:t>OD</w:t>
            </w:r>
            <w:r>
              <w:rPr>
                <w:rFonts w:ascii="Times New Roman" w:hAnsi="Times New Roman"/>
                <w:kern w:val="0"/>
                <w:sz w:val="21"/>
                <w:szCs w:val="21"/>
                <w:vertAlign w:val="subscript"/>
              </w:rPr>
              <w:t>5</w:t>
            </w:r>
          </w:p>
        </w:tc>
        <w:tc>
          <w:tcPr>
            <w:tcW w:w="1151" w:type="dxa"/>
            <w:vMerge/>
            <w:shd w:val="clear" w:color="auto" w:fill="auto"/>
            <w:noWrap/>
            <w:vAlign w:val="center"/>
          </w:tcPr>
          <w:p w14:paraId="554181C6"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D1C720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.7</w:t>
            </w:r>
          </w:p>
        </w:tc>
        <w:tc>
          <w:tcPr>
            <w:tcW w:w="0" w:type="auto"/>
            <w:shd w:val="clear" w:color="auto" w:fill="auto"/>
            <w:noWrap/>
            <w:vAlign w:val="center"/>
          </w:tcPr>
          <w:p w14:paraId="575056D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w:t>
            </w:r>
            <w:r>
              <w:rPr>
                <w:rFonts w:ascii="Times New Roman" w:hAnsi="Times New Roman"/>
                <w:kern w:val="0"/>
                <w:sz w:val="21"/>
                <w:szCs w:val="21"/>
              </w:rPr>
              <w:t>.78</w:t>
            </w:r>
          </w:p>
        </w:tc>
        <w:tc>
          <w:tcPr>
            <w:tcW w:w="0" w:type="auto"/>
            <w:vMerge/>
            <w:shd w:val="clear" w:color="auto" w:fill="auto"/>
            <w:vAlign w:val="center"/>
          </w:tcPr>
          <w:p w14:paraId="4020EC3F"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A13FAD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r>
      <w:tr w:rsidR="009C353B" w14:paraId="766DD11E" w14:textId="77777777">
        <w:trPr>
          <w:trHeight w:val="340"/>
          <w:jc w:val="center"/>
        </w:trPr>
        <w:tc>
          <w:tcPr>
            <w:tcW w:w="0" w:type="auto"/>
            <w:vMerge/>
            <w:shd w:val="clear" w:color="auto" w:fill="auto"/>
            <w:noWrap/>
            <w:vAlign w:val="center"/>
          </w:tcPr>
          <w:p w14:paraId="718F624B"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24BADD2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1151" w:type="dxa"/>
            <w:vMerge/>
            <w:shd w:val="clear" w:color="auto" w:fill="auto"/>
            <w:noWrap/>
            <w:vAlign w:val="center"/>
          </w:tcPr>
          <w:p w14:paraId="2FC29EB2"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84EECB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4.18</w:t>
            </w:r>
          </w:p>
        </w:tc>
        <w:tc>
          <w:tcPr>
            <w:tcW w:w="0" w:type="auto"/>
            <w:shd w:val="clear" w:color="auto" w:fill="auto"/>
            <w:noWrap/>
            <w:vAlign w:val="center"/>
          </w:tcPr>
          <w:p w14:paraId="66DC822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2.79</w:t>
            </w:r>
          </w:p>
        </w:tc>
        <w:tc>
          <w:tcPr>
            <w:tcW w:w="0" w:type="auto"/>
            <w:vMerge/>
            <w:shd w:val="clear" w:color="auto" w:fill="auto"/>
            <w:vAlign w:val="center"/>
          </w:tcPr>
          <w:p w14:paraId="3479B8D5"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CB492B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.5</w:t>
            </w:r>
          </w:p>
        </w:tc>
      </w:tr>
      <w:tr w:rsidR="009C353B" w14:paraId="5A578986" w14:textId="77777777">
        <w:trPr>
          <w:trHeight w:val="340"/>
          <w:jc w:val="center"/>
        </w:trPr>
        <w:tc>
          <w:tcPr>
            <w:tcW w:w="0" w:type="auto"/>
            <w:vMerge/>
            <w:shd w:val="clear" w:color="auto" w:fill="auto"/>
            <w:noWrap/>
            <w:vAlign w:val="center"/>
          </w:tcPr>
          <w:p w14:paraId="6DFC6D26"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07F4316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COD</w:t>
            </w:r>
          </w:p>
        </w:tc>
        <w:tc>
          <w:tcPr>
            <w:tcW w:w="1151" w:type="dxa"/>
            <w:vMerge w:val="restart"/>
            <w:shd w:val="clear" w:color="auto" w:fill="auto"/>
            <w:noWrap/>
            <w:vAlign w:val="center"/>
          </w:tcPr>
          <w:p w14:paraId="3E1749B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2020/8/9</w:t>
            </w:r>
          </w:p>
        </w:tc>
        <w:tc>
          <w:tcPr>
            <w:tcW w:w="0" w:type="auto"/>
            <w:shd w:val="clear" w:color="auto" w:fill="auto"/>
            <w:noWrap/>
            <w:vAlign w:val="center"/>
          </w:tcPr>
          <w:p w14:paraId="1E7354B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25</w:t>
            </w:r>
          </w:p>
        </w:tc>
        <w:tc>
          <w:tcPr>
            <w:tcW w:w="0" w:type="auto"/>
            <w:shd w:val="clear" w:color="auto" w:fill="auto"/>
            <w:noWrap/>
            <w:vAlign w:val="center"/>
          </w:tcPr>
          <w:p w14:paraId="4985872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0.83</w:t>
            </w:r>
          </w:p>
        </w:tc>
        <w:tc>
          <w:tcPr>
            <w:tcW w:w="0" w:type="auto"/>
            <w:vMerge/>
            <w:shd w:val="clear" w:color="auto" w:fill="auto"/>
            <w:vAlign w:val="center"/>
          </w:tcPr>
          <w:p w14:paraId="229FF15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6CFA533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w:t>
            </w:r>
            <w:r>
              <w:rPr>
                <w:rFonts w:ascii="Times New Roman" w:hAnsi="Times New Roman"/>
                <w:kern w:val="0"/>
                <w:sz w:val="21"/>
                <w:szCs w:val="21"/>
              </w:rPr>
              <w:t>0</w:t>
            </w:r>
          </w:p>
        </w:tc>
      </w:tr>
      <w:tr w:rsidR="009C353B" w14:paraId="1383F0BF" w14:textId="77777777">
        <w:trPr>
          <w:trHeight w:val="340"/>
          <w:jc w:val="center"/>
        </w:trPr>
        <w:tc>
          <w:tcPr>
            <w:tcW w:w="0" w:type="auto"/>
            <w:vMerge/>
            <w:shd w:val="clear" w:color="auto" w:fill="auto"/>
            <w:noWrap/>
            <w:vAlign w:val="center"/>
          </w:tcPr>
          <w:p w14:paraId="6B43AF05"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1E9E4EC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B</w:t>
            </w:r>
            <w:r>
              <w:rPr>
                <w:rFonts w:ascii="Times New Roman" w:hAnsi="Times New Roman"/>
                <w:kern w:val="0"/>
                <w:sz w:val="21"/>
                <w:szCs w:val="21"/>
              </w:rPr>
              <w:t>OD</w:t>
            </w:r>
            <w:r>
              <w:rPr>
                <w:rFonts w:ascii="Times New Roman" w:hAnsi="Times New Roman"/>
                <w:kern w:val="0"/>
                <w:sz w:val="21"/>
                <w:szCs w:val="21"/>
                <w:vertAlign w:val="subscript"/>
              </w:rPr>
              <w:t>5</w:t>
            </w:r>
          </w:p>
        </w:tc>
        <w:tc>
          <w:tcPr>
            <w:tcW w:w="1151" w:type="dxa"/>
            <w:vMerge/>
            <w:shd w:val="clear" w:color="auto" w:fill="auto"/>
            <w:noWrap/>
            <w:vAlign w:val="center"/>
          </w:tcPr>
          <w:p w14:paraId="3A3FE003"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F8198C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.3</w:t>
            </w:r>
          </w:p>
        </w:tc>
        <w:tc>
          <w:tcPr>
            <w:tcW w:w="0" w:type="auto"/>
            <w:shd w:val="clear" w:color="auto" w:fill="auto"/>
            <w:noWrap/>
            <w:vAlign w:val="center"/>
          </w:tcPr>
          <w:p w14:paraId="69CEBAE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w:t>
            </w:r>
            <w:r>
              <w:rPr>
                <w:rFonts w:ascii="Times New Roman" w:hAnsi="Times New Roman"/>
                <w:kern w:val="0"/>
                <w:sz w:val="21"/>
                <w:szCs w:val="21"/>
              </w:rPr>
              <w:t>.88</w:t>
            </w:r>
          </w:p>
        </w:tc>
        <w:tc>
          <w:tcPr>
            <w:tcW w:w="0" w:type="auto"/>
            <w:vMerge/>
            <w:shd w:val="clear" w:color="auto" w:fill="auto"/>
            <w:vAlign w:val="center"/>
          </w:tcPr>
          <w:p w14:paraId="3AE5C52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BC945B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r>
      <w:tr w:rsidR="009C353B" w14:paraId="5EABFDC4" w14:textId="77777777">
        <w:trPr>
          <w:trHeight w:val="340"/>
          <w:jc w:val="center"/>
        </w:trPr>
        <w:tc>
          <w:tcPr>
            <w:tcW w:w="0" w:type="auto"/>
            <w:vMerge/>
            <w:shd w:val="clear" w:color="auto" w:fill="auto"/>
            <w:noWrap/>
            <w:vAlign w:val="center"/>
          </w:tcPr>
          <w:p w14:paraId="47B78782"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66D661F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1151" w:type="dxa"/>
            <w:vMerge/>
            <w:shd w:val="clear" w:color="auto" w:fill="auto"/>
            <w:noWrap/>
            <w:vAlign w:val="center"/>
          </w:tcPr>
          <w:p w14:paraId="49781A9D"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FA1DE7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4.33</w:t>
            </w:r>
          </w:p>
        </w:tc>
        <w:tc>
          <w:tcPr>
            <w:tcW w:w="0" w:type="auto"/>
            <w:shd w:val="clear" w:color="auto" w:fill="auto"/>
            <w:noWrap/>
            <w:vAlign w:val="center"/>
          </w:tcPr>
          <w:p w14:paraId="1FE1390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2.89</w:t>
            </w:r>
          </w:p>
        </w:tc>
        <w:tc>
          <w:tcPr>
            <w:tcW w:w="0" w:type="auto"/>
            <w:vMerge/>
            <w:shd w:val="clear" w:color="auto" w:fill="auto"/>
            <w:vAlign w:val="center"/>
          </w:tcPr>
          <w:p w14:paraId="1E549BCE"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EE9E96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.5</w:t>
            </w:r>
          </w:p>
        </w:tc>
      </w:tr>
      <w:tr w:rsidR="009C353B" w14:paraId="0F433316" w14:textId="77777777">
        <w:trPr>
          <w:trHeight w:val="340"/>
          <w:jc w:val="center"/>
        </w:trPr>
        <w:tc>
          <w:tcPr>
            <w:tcW w:w="0" w:type="auto"/>
            <w:vMerge w:val="restart"/>
            <w:shd w:val="clear" w:color="auto" w:fill="auto"/>
            <w:noWrap/>
            <w:vAlign w:val="center"/>
          </w:tcPr>
          <w:p w14:paraId="073330E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2</w:t>
            </w:r>
            <w:r>
              <w:rPr>
                <w:rFonts w:ascii="Times New Roman" w:hAnsi="Times New Roman" w:hint="eastAsia"/>
                <w:kern w:val="0"/>
                <w:sz w:val="21"/>
                <w:szCs w:val="21"/>
              </w:rPr>
              <w:t>#</w:t>
            </w:r>
          </w:p>
        </w:tc>
        <w:tc>
          <w:tcPr>
            <w:tcW w:w="1756" w:type="dxa"/>
            <w:shd w:val="clear" w:color="auto" w:fill="auto"/>
            <w:noWrap/>
            <w:vAlign w:val="center"/>
          </w:tcPr>
          <w:p w14:paraId="51E6F81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COD</w:t>
            </w:r>
          </w:p>
        </w:tc>
        <w:tc>
          <w:tcPr>
            <w:tcW w:w="1151" w:type="dxa"/>
            <w:vMerge w:val="restart"/>
            <w:shd w:val="clear" w:color="auto" w:fill="auto"/>
            <w:noWrap/>
            <w:vAlign w:val="center"/>
          </w:tcPr>
          <w:p w14:paraId="24C74CD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2020/8/7</w:t>
            </w:r>
            <w:r>
              <w:rPr>
                <w:rFonts w:ascii="Times New Roman" w:hAnsi="Times New Roman"/>
                <w:kern w:val="0"/>
                <w:sz w:val="21"/>
                <w:szCs w:val="21"/>
              </w:rPr>
              <w:t xml:space="preserve"> </w:t>
            </w:r>
          </w:p>
        </w:tc>
        <w:tc>
          <w:tcPr>
            <w:tcW w:w="0" w:type="auto"/>
            <w:shd w:val="clear" w:color="auto" w:fill="auto"/>
            <w:noWrap/>
            <w:vAlign w:val="center"/>
          </w:tcPr>
          <w:p w14:paraId="0CDC85F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38</w:t>
            </w:r>
          </w:p>
        </w:tc>
        <w:tc>
          <w:tcPr>
            <w:tcW w:w="0" w:type="auto"/>
            <w:shd w:val="clear" w:color="auto" w:fill="auto"/>
            <w:noWrap/>
            <w:vAlign w:val="center"/>
          </w:tcPr>
          <w:p w14:paraId="030C19B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1.27</w:t>
            </w:r>
          </w:p>
        </w:tc>
        <w:tc>
          <w:tcPr>
            <w:tcW w:w="0" w:type="auto"/>
            <w:vMerge/>
            <w:shd w:val="clear" w:color="auto" w:fill="auto"/>
            <w:vAlign w:val="center"/>
          </w:tcPr>
          <w:p w14:paraId="02444CAB"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13DE9E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w:t>
            </w:r>
            <w:r>
              <w:rPr>
                <w:rFonts w:ascii="Times New Roman" w:hAnsi="Times New Roman"/>
                <w:kern w:val="0"/>
                <w:sz w:val="21"/>
                <w:szCs w:val="21"/>
              </w:rPr>
              <w:t>0</w:t>
            </w:r>
          </w:p>
        </w:tc>
      </w:tr>
      <w:tr w:rsidR="009C353B" w14:paraId="276C54A5" w14:textId="77777777">
        <w:trPr>
          <w:trHeight w:val="340"/>
          <w:jc w:val="center"/>
        </w:trPr>
        <w:tc>
          <w:tcPr>
            <w:tcW w:w="0" w:type="auto"/>
            <w:vMerge/>
            <w:shd w:val="clear" w:color="auto" w:fill="auto"/>
            <w:noWrap/>
            <w:vAlign w:val="center"/>
          </w:tcPr>
          <w:p w14:paraId="200B7BA0"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739265F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B</w:t>
            </w:r>
            <w:r>
              <w:rPr>
                <w:rFonts w:ascii="Times New Roman" w:hAnsi="Times New Roman"/>
                <w:kern w:val="0"/>
                <w:sz w:val="21"/>
                <w:szCs w:val="21"/>
              </w:rPr>
              <w:t>OD</w:t>
            </w:r>
            <w:r>
              <w:rPr>
                <w:rFonts w:ascii="Times New Roman" w:hAnsi="Times New Roman"/>
                <w:kern w:val="0"/>
                <w:sz w:val="21"/>
                <w:szCs w:val="21"/>
                <w:vertAlign w:val="subscript"/>
              </w:rPr>
              <w:t>5</w:t>
            </w:r>
          </w:p>
        </w:tc>
        <w:tc>
          <w:tcPr>
            <w:tcW w:w="1151" w:type="dxa"/>
            <w:vMerge/>
            <w:shd w:val="clear" w:color="auto" w:fill="auto"/>
            <w:noWrap/>
            <w:vAlign w:val="center"/>
          </w:tcPr>
          <w:p w14:paraId="525F5966"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EF58AC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r>
              <w:rPr>
                <w:rFonts w:ascii="Times New Roman" w:hAnsi="Times New Roman"/>
                <w:kern w:val="0"/>
                <w:sz w:val="21"/>
                <w:szCs w:val="21"/>
              </w:rPr>
              <w:t>.3</w:t>
            </w:r>
          </w:p>
        </w:tc>
        <w:tc>
          <w:tcPr>
            <w:tcW w:w="0" w:type="auto"/>
            <w:shd w:val="clear" w:color="auto" w:fill="auto"/>
            <w:noWrap/>
            <w:vAlign w:val="center"/>
          </w:tcPr>
          <w:p w14:paraId="1CD9BD4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.05</w:t>
            </w:r>
          </w:p>
        </w:tc>
        <w:tc>
          <w:tcPr>
            <w:tcW w:w="0" w:type="auto"/>
            <w:vMerge/>
            <w:shd w:val="clear" w:color="auto" w:fill="auto"/>
            <w:vAlign w:val="center"/>
          </w:tcPr>
          <w:p w14:paraId="683EFD1F"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3816E2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r>
      <w:tr w:rsidR="009C353B" w14:paraId="61089C75" w14:textId="77777777">
        <w:trPr>
          <w:trHeight w:val="340"/>
          <w:jc w:val="center"/>
        </w:trPr>
        <w:tc>
          <w:tcPr>
            <w:tcW w:w="0" w:type="auto"/>
            <w:vMerge/>
            <w:shd w:val="clear" w:color="auto" w:fill="auto"/>
            <w:noWrap/>
            <w:vAlign w:val="center"/>
          </w:tcPr>
          <w:p w14:paraId="01F7FC70"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219BF48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1151" w:type="dxa"/>
            <w:vMerge/>
            <w:shd w:val="clear" w:color="auto" w:fill="auto"/>
            <w:noWrap/>
            <w:vAlign w:val="center"/>
          </w:tcPr>
          <w:p w14:paraId="7700E6D0"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8A3AF7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2.96</w:t>
            </w:r>
          </w:p>
        </w:tc>
        <w:tc>
          <w:tcPr>
            <w:tcW w:w="0" w:type="auto"/>
            <w:shd w:val="clear" w:color="auto" w:fill="auto"/>
            <w:noWrap/>
            <w:vAlign w:val="center"/>
          </w:tcPr>
          <w:p w14:paraId="3A9097B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1.97</w:t>
            </w:r>
          </w:p>
        </w:tc>
        <w:tc>
          <w:tcPr>
            <w:tcW w:w="0" w:type="auto"/>
            <w:vMerge/>
            <w:shd w:val="clear" w:color="auto" w:fill="auto"/>
            <w:vAlign w:val="center"/>
          </w:tcPr>
          <w:p w14:paraId="581A308F"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FC5C44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.5</w:t>
            </w:r>
          </w:p>
        </w:tc>
      </w:tr>
      <w:tr w:rsidR="009C353B" w14:paraId="5D6912A0" w14:textId="77777777">
        <w:trPr>
          <w:trHeight w:val="340"/>
          <w:jc w:val="center"/>
        </w:trPr>
        <w:tc>
          <w:tcPr>
            <w:tcW w:w="0" w:type="auto"/>
            <w:vMerge/>
            <w:shd w:val="clear" w:color="auto" w:fill="auto"/>
            <w:noWrap/>
            <w:vAlign w:val="center"/>
          </w:tcPr>
          <w:p w14:paraId="2267104B"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66E8D44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COD</w:t>
            </w:r>
          </w:p>
        </w:tc>
        <w:tc>
          <w:tcPr>
            <w:tcW w:w="1151" w:type="dxa"/>
            <w:vMerge w:val="restart"/>
            <w:shd w:val="clear" w:color="auto" w:fill="auto"/>
            <w:noWrap/>
            <w:vAlign w:val="center"/>
          </w:tcPr>
          <w:p w14:paraId="0D24892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2020/8/8</w:t>
            </w:r>
          </w:p>
        </w:tc>
        <w:tc>
          <w:tcPr>
            <w:tcW w:w="0" w:type="auto"/>
            <w:shd w:val="clear" w:color="auto" w:fill="auto"/>
            <w:noWrap/>
            <w:vAlign w:val="center"/>
          </w:tcPr>
          <w:p w14:paraId="4DAD689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34</w:t>
            </w:r>
          </w:p>
        </w:tc>
        <w:tc>
          <w:tcPr>
            <w:tcW w:w="0" w:type="auto"/>
            <w:shd w:val="clear" w:color="auto" w:fill="auto"/>
            <w:noWrap/>
            <w:vAlign w:val="center"/>
          </w:tcPr>
          <w:p w14:paraId="10924C2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1.13</w:t>
            </w:r>
          </w:p>
        </w:tc>
        <w:tc>
          <w:tcPr>
            <w:tcW w:w="0" w:type="auto"/>
            <w:vMerge/>
            <w:shd w:val="clear" w:color="auto" w:fill="auto"/>
            <w:vAlign w:val="center"/>
          </w:tcPr>
          <w:p w14:paraId="577FA80A"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75E72D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w:t>
            </w:r>
            <w:r>
              <w:rPr>
                <w:rFonts w:ascii="Times New Roman" w:hAnsi="Times New Roman"/>
                <w:kern w:val="0"/>
                <w:sz w:val="21"/>
                <w:szCs w:val="21"/>
              </w:rPr>
              <w:t>0</w:t>
            </w:r>
          </w:p>
        </w:tc>
      </w:tr>
      <w:tr w:rsidR="009C353B" w14:paraId="1C38130E" w14:textId="77777777">
        <w:trPr>
          <w:trHeight w:val="340"/>
          <w:jc w:val="center"/>
        </w:trPr>
        <w:tc>
          <w:tcPr>
            <w:tcW w:w="0" w:type="auto"/>
            <w:vMerge/>
            <w:shd w:val="clear" w:color="auto" w:fill="auto"/>
            <w:noWrap/>
            <w:vAlign w:val="center"/>
          </w:tcPr>
          <w:p w14:paraId="22FC6084"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470F5A0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B</w:t>
            </w:r>
            <w:r>
              <w:rPr>
                <w:rFonts w:ascii="Times New Roman" w:hAnsi="Times New Roman"/>
                <w:kern w:val="0"/>
                <w:sz w:val="21"/>
                <w:szCs w:val="21"/>
              </w:rPr>
              <w:t>OD</w:t>
            </w:r>
            <w:r>
              <w:rPr>
                <w:rFonts w:ascii="Times New Roman" w:hAnsi="Times New Roman"/>
                <w:kern w:val="0"/>
                <w:sz w:val="21"/>
                <w:szCs w:val="21"/>
                <w:vertAlign w:val="subscript"/>
              </w:rPr>
              <w:t>5</w:t>
            </w:r>
          </w:p>
        </w:tc>
        <w:tc>
          <w:tcPr>
            <w:tcW w:w="1151" w:type="dxa"/>
            <w:vMerge/>
            <w:shd w:val="clear" w:color="auto" w:fill="auto"/>
            <w:noWrap/>
            <w:vAlign w:val="center"/>
          </w:tcPr>
          <w:p w14:paraId="32FCBF17"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53BB05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r>
              <w:rPr>
                <w:rFonts w:ascii="Times New Roman" w:hAnsi="Times New Roman"/>
                <w:kern w:val="0"/>
                <w:sz w:val="21"/>
                <w:szCs w:val="21"/>
              </w:rPr>
              <w:t>.3</w:t>
            </w:r>
          </w:p>
        </w:tc>
        <w:tc>
          <w:tcPr>
            <w:tcW w:w="0" w:type="auto"/>
            <w:shd w:val="clear" w:color="auto" w:fill="auto"/>
            <w:noWrap/>
            <w:vAlign w:val="center"/>
          </w:tcPr>
          <w:p w14:paraId="7DE800E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.05</w:t>
            </w:r>
          </w:p>
        </w:tc>
        <w:tc>
          <w:tcPr>
            <w:tcW w:w="0" w:type="auto"/>
            <w:vMerge/>
            <w:shd w:val="clear" w:color="auto" w:fill="auto"/>
            <w:vAlign w:val="center"/>
          </w:tcPr>
          <w:p w14:paraId="4877397E"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20E56A9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r>
      <w:tr w:rsidR="009C353B" w14:paraId="05D2A34F" w14:textId="77777777">
        <w:trPr>
          <w:trHeight w:val="340"/>
          <w:jc w:val="center"/>
        </w:trPr>
        <w:tc>
          <w:tcPr>
            <w:tcW w:w="0" w:type="auto"/>
            <w:vMerge/>
            <w:shd w:val="clear" w:color="auto" w:fill="auto"/>
            <w:noWrap/>
            <w:vAlign w:val="center"/>
          </w:tcPr>
          <w:p w14:paraId="2E3FC9E4"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6031067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1151" w:type="dxa"/>
            <w:vMerge/>
            <w:shd w:val="clear" w:color="auto" w:fill="auto"/>
            <w:noWrap/>
            <w:vAlign w:val="center"/>
          </w:tcPr>
          <w:p w14:paraId="53D11C5A"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83999D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2.68</w:t>
            </w:r>
          </w:p>
        </w:tc>
        <w:tc>
          <w:tcPr>
            <w:tcW w:w="0" w:type="auto"/>
            <w:shd w:val="clear" w:color="auto" w:fill="auto"/>
            <w:noWrap/>
            <w:vAlign w:val="center"/>
          </w:tcPr>
          <w:p w14:paraId="74CF8B3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1.79</w:t>
            </w:r>
          </w:p>
        </w:tc>
        <w:tc>
          <w:tcPr>
            <w:tcW w:w="0" w:type="auto"/>
            <w:vMerge/>
            <w:shd w:val="clear" w:color="auto" w:fill="auto"/>
            <w:vAlign w:val="center"/>
          </w:tcPr>
          <w:p w14:paraId="591CD36F"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41E83F5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.5</w:t>
            </w:r>
          </w:p>
        </w:tc>
      </w:tr>
      <w:tr w:rsidR="009C353B" w14:paraId="1F13636C" w14:textId="77777777">
        <w:trPr>
          <w:trHeight w:val="340"/>
          <w:jc w:val="center"/>
        </w:trPr>
        <w:tc>
          <w:tcPr>
            <w:tcW w:w="0" w:type="auto"/>
            <w:vMerge/>
            <w:shd w:val="clear" w:color="auto" w:fill="auto"/>
            <w:noWrap/>
            <w:vAlign w:val="center"/>
          </w:tcPr>
          <w:p w14:paraId="7CCFB1BD"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46E287A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COD</w:t>
            </w:r>
          </w:p>
        </w:tc>
        <w:tc>
          <w:tcPr>
            <w:tcW w:w="1151" w:type="dxa"/>
            <w:vMerge w:val="restart"/>
            <w:shd w:val="clear" w:color="auto" w:fill="auto"/>
            <w:noWrap/>
            <w:vAlign w:val="center"/>
          </w:tcPr>
          <w:p w14:paraId="7B7B3CB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2020/8/9</w:t>
            </w:r>
          </w:p>
        </w:tc>
        <w:tc>
          <w:tcPr>
            <w:tcW w:w="0" w:type="auto"/>
            <w:shd w:val="clear" w:color="auto" w:fill="auto"/>
            <w:noWrap/>
            <w:vAlign w:val="center"/>
          </w:tcPr>
          <w:p w14:paraId="41D59FB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32</w:t>
            </w:r>
          </w:p>
        </w:tc>
        <w:tc>
          <w:tcPr>
            <w:tcW w:w="0" w:type="auto"/>
            <w:shd w:val="clear" w:color="auto" w:fill="auto"/>
            <w:noWrap/>
            <w:vAlign w:val="center"/>
          </w:tcPr>
          <w:p w14:paraId="3B5CD19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1.07</w:t>
            </w:r>
          </w:p>
        </w:tc>
        <w:tc>
          <w:tcPr>
            <w:tcW w:w="0" w:type="auto"/>
            <w:vMerge/>
            <w:shd w:val="clear" w:color="auto" w:fill="auto"/>
            <w:vAlign w:val="center"/>
          </w:tcPr>
          <w:p w14:paraId="72E0C0AD"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34CA99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w:t>
            </w:r>
            <w:r>
              <w:rPr>
                <w:rFonts w:ascii="Times New Roman" w:hAnsi="Times New Roman"/>
                <w:kern w:val="0"/>
                <w:sz w:val="21"/>
                <w:szCs w:val="21"/>
              </w:rPr>
              <w:t>0</w:t>
            </w:r>
          </w:p>
        </w:tc>
      </w:tr>
      <w:tr w:rsidR="009C353B" w14:paraId="067BB3F5" w14:textId="77777777">
        <w:trPr>
          <w:trHeight w:val="340"/>
          <w:jc w:val="center"/>
        </w:trPr>
        <w:tc>
          <w:tcPr>
            <w:tcW w:w="0" w:type="auto"/>
            <w:vMerge/>
            <w:shd w:val="clear" w:color="auto" w:fill="auto"/>
            <w:noWrap/>
            <w:vAlign w:val="center"/>
          </w:tcPr>
          <w:p w14:paraId="45D9DDFB"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5225C56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B</w:t>
            </w:r>
            <w:r>
              <w:rPr>
                <w:rFonts w:ascii="Times New Roman" w:hAnsi="Times New Roman"/>
                <w:kern w:val="0"/>
                <w:sz w:val="21"/>
                <w:szCs w:val="21"/>
              </w:rPr>
              <w:t>OD</w:t>
            </w:r>
            <w:r>
              <w:rPr>
                <w:rFonts w:ascii="Times New Roman" w:hAnsi="Times New Roman"/>
                <w:kern w:val="0"/>
                <w:sz w:val="21"/>
                <w:szCs w:val="21"/>
                <w:vertAlign w:val="subscript"/>
              </w:rPr>
              <w:t>5</w:t>
            </w:r>
          </w:p>
        </w:tc>
        <w:tc>
          <w:tcPr>
            <w:tcW w:w="1151" w:type="dxa"/>
            <w:vMerge/>
            <w:shd w:val="clear" w:color="auto" w:fill="auto"/>
            <w:noWrap/>
            <w:vAlign w:val="center"/>
          </w:tcPr>
          <w:p w14:paraId="0E136E8B"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A8487B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c>
          <w:tcPr>
            <w:tcW w:w="0" w:type="auto"/>
            <w:shd w:val="clear" w:color="auto" w:fill="auto"/>
            <w:noWrap/>
            <w:vAlign w:val="center"/>
          </w:tcPr>
          <w:p w14:paraId="69573A5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p>
        </w:tc>
        <w:tc>
          <w:tcPr>
            <w:tcW w:w="0" w:type="auto"/>
            <w:vMerge/>
            <w:shd w:val="clear" w:color="auto" w:fill="auto"/>
            <w:vAlign w:val="center"/>
          </w:tcPr>
          <w:p w14:paraId="5265102A"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A29F3D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r>
      <w:tr w:rsidR="009C353B" w14:paraId="185C45CE" w14:textId="77777777">
        <w:trPr>
          <w:trHeight w:val="340"/>
          <w:jc w:val="center"/>
        </w:trPr>
        <w:tc>
          <w:tcPr>
            <w:tcW w:w="0" w:type="auto"/>
            <w:vMerge/>
            <w:shd w:val="clear" w:color="auto" w:fill="auto"/>
            <w:noWrap/>
            <w:vAlign w:val="center"/>
          </w:tcPr>
          <w:p w14:paraId="52B36A5C" w14:textId="77777777" w:rsidR="009C353B" w:rsidRDefault="009C353B">
            <w:pPr>
              <w:widowControl/>
              <w:jc w:val="center"/>
              <w:rPr>
                <w:rFonts w:ascii="Times New Roman" w:hAnsi="Times New Roman"/>
                <w:kern w:val="0"/>
                <w:sz w:val="21"/>
                <w:szCs w:val="21"/>
              </w:rPr>
            </w:pPr>
          </w:p>
        </w:tc>
        <w:tc>
          <w:tcPr>
            <w:tcW w:w="1756" w:type="dxa"/>
            <w:shd w:val="clear" w:color="auto" w:fill="auto"/>
            <w:noWrap/>
            <w:vAlign w:val="center"/>
          </w:tcPr>
          <w:p w14:paraId="480439A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1151" w:type="dxa"/>
            <w:vMerge/>
            <w:shd w:val="clear" w:color="auto" w:fill="auto"/>
            <w:noWrap/>
            <w:vAlign w:val="center"/>
          </w:tcPr>
          <w:p w14:paraId="652429D5"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765C7B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3.02</w:t>
            </w:r>
          </w:p>
        </w:tc>
        <w:tc>
          <w:tcPr>
            <w:tcW w:w="0" w:type="auto"/>
            <w:shd w:val="clear" w:color="auto" w:fill="auto"/>
            <w:noWrap/>
            <w:vAlign w:val="center"/>
          </w:tcPr>
          <w:p w14:paraId="56AC850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2.01</w:t>
            </w:r>
          </w:p>
        </w:tc>
        <w:tc>
          <w:tcPr>
            <w:tcW w:w="0" w:type="auto"/>
            <w:vMerge/>
            <w:shd w:val="clear" w:color="auto" w:fill="auto"/>
            <w:vAlign w:val="center"/>
          </w:tcPr>
          <w:p w14:paraId="337983C4"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7C0BE9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.5</w:t>
            </w:r>
          </w:p>
        </w:tc>
      </w:tr>
    </w:tbl>
    <w:p w14:paraId="26EEA3FD" w14:textId="77777777" w:rsidR="009C353B" w:rsidRDefault="00000000">
      <w:pPr>
        <w:adjustRightInd w:val="0"/>
        <w:snapToGrid w:val="0"/>
        <w:spacing w:line="440" w:lineRule="exact"/>
        <w:ind w:firstLine="480"/>
        <w:rPr>
          <w:rFonts w:ascii="Times New Roman" w:hAnsi="Times New Roman"/>
          <w:szCs w:val="24"/>
          <w:lang w:val="zh-CN"/>
        </w:rPr>
      </w:pPr>
      <w:r>
        <w:rPr>
          <w:rFonts w:ascii="Times New Roman" w:hAnsi="Times New Roman" w:hint="eastAsia"/>
          <w:szCs w:val="24"/>
          <w:lang w:val="zh-CN"/>
        </w:rPr>
        <w:t>（</w:t>
      </w:r>
      <w:r>
        <w:rPr>
          <w:rFonts w:ascii="Times New Roman" w:hAnsi="Times New Roman" w:hint="eastAsia"/>
          <w:szCs w:val="24"/>
          <w:lang w:val="zh-CN"/>
        </w:rPr>
        <w:t>1</w:t>
      </w:r>
      <w:r>
        <w:rPr>
          <w:rFonts w:ascii="Times New Roman" w:hAnsi="Times New Roman" w:hint="eastAsia"/>
          <w:szCs w:val="24"/>
          <w:lang w:val="zh-CN"/>
        </w:rPr>
        <w:t>）由上表，根据《</w:t>
      </w:r>
      <w:r>
        <w:rPr>
          <w:rFonts w:ascii="Times New Roman" w:hAnsi="Times New Roman"/>
          <w:szCs w:val="24"/>
          <w:lang w:val="zh-CN"/>
        </w:rPr>
        <w:t>宁夏煤业集团有限责任公司任家庄煤矿环评报告书</w:t>
      </w:r>
      <w:r>
        <w:rPr>
          <w:rFonts w:ascii="Times New Roman" w:hAnsi="Times New Roman" w:hint="eastAsia"/>
          <w:szCs w:val="24"/>
          <w:lang w:val="zh-CN"/>
        </w:rPr>
        <w:t>》，</w:t>
      </w:r>
      <w:r>
        <w:rPr>
          <w:rFonts w:ascii="Times New Roman" w:hAnsi="Times New Roman"/>
          <w:szCs w:val="24"/>
          <w:lang w:val="zh-CN"/>
        </w:rPr>
        <w:t>2004</w:t>
      </w:r>
      <w:r>
        <w:rPr>
          <w:rFonts w:ascii="Times New Roman" w:hAnsi="Times New Roman"/>
          <w:szCs w:val="24"/>
          <w:lang w:val="zh-CN"/>
        </w:rPr>
        <w:t>年大河子沟监测项目</w:t>
      </w:r>
      <w:r>
        <w:rPr>
          <w:rFonts w:ascii="Times New Roman" w:hAnsi="Times New Roman" w:hint="eastAsia"/>
          <w:szCs w:val="24"/>
          <w:lang w:val="zh-CN"/>
        </w:rPr>
        <w:t>中氟化物、</w:t>
      </w:r>
      <w:r>
        <w:rPr>
          <w:rFonts w:ascii="Times New Roman" w:hAnsi="Times New Roman"/>
          <w:szCs w:val="24"/>
          <w:lang w:val="zh-CN"/>
        </w:rPr>
        <w:t>BOD</w:t>
      </w:r>
      <w:r>
        <w:rPr>
          <w:rFonts w:ascii="Times New Roman" w:hAnsi="Times New Roman"/>
          <w:szCs w:val="24"/>
          <w:vertAlign w:val="subscript"/>
          <w:lang w:val="zh-CN"/>
        </w:rPr>
        <w:t>5</w:t>
      </w:r>
      <w:r>
        <w:rPr>
          <w:rFonts w:ascii="Times New Roman" w:hAnsi="Times New Roman"/>
          <w:szCs w:val="24"/>
          <w:lang w:val="zh-CN"/>
        </w:rPr>
        <w:t>、</w:t>
      </w:r>
      <w:r>
        <w:rPr>
          <w:rFonts w:ascii="Times New Roman" w:hAnsi="Times New Roman"/>
          <w:szCs w:val="24"/>
          <w:lang w:val="zh-CN"/>
        </w:rPr>
        <w:t>COD</w:t>
      </w:r>
      <w:r>
        <w:rPr>
          <w:rFonts w:ascii="Times New Roman" w:hAnsi="Times New Roman"/>
          <w:szCs w:val="24"/>
          <w:lang w:val="zh-CN"/>
        </w:rPr>
        <w:t>不满足</w:t>
      </w:r>
      <w:r>
        <w:rPr>
          <w:rFonts w:ascii="Times New Roman" w:hAnsi="Times New Roman" w:hint="eastAsia"/>
          <w:szCs w:val="24"/>
          <w:lang w:val="zh-CN"/>
        </w:rPr>
        <w:t>当时划定目标《地表水环境质量标准》（</w:t>
      </w:r>
      <w:r>
        <w:rPr>
          <w:rFonts w:ascii="Times New Roman" w:hAnsi="Times New Roman"/>
          <w:szCs w:val="24"/>
          <w:lang w:val="zh-CN"/>
        </w:rPr>
        <w:t>GB3838-2002</w:t>
      </w:r>
      <w:r>
        <w:rPr>
          <w:rFonts w:ascii="Times New Roman" w:hAnsi="Times New Roman"/>
          <w:szCs w:val="24"/>
          <w:lang w:val="zh-CN"/>
        </w:rPr>
        <w:t>）</w:t>
      </w:r>
      <w:r>
        <w:rPr>
          <w:rFonts w:ascii="Times New Roman" w:hAnsi="Times New Roman"/>
          <w:szCs w:val="24"/>
          <w:lang w:val="zh-CN"/>
        </w:rPr>
        <w:t>V</w:t>
      </w:r>
      <w:r>
        <w:rPr>
          <w:rFonts w:ascii="Times New Roman" w:hAnsi="Times New Roman"/>
          <w:szCs w:val="24"/>
          <w:lang w:val="zh-CN"/>
        </w:rPr>
        <w:t>类标准</w:t>
      </w:r>
      <w:r>
        <w:rPr>
          <w:rFonts w:ascii="Times New Roman" w:hAnsi="Times New Roman" w:hint="eastAsia"/>
          <w:szCs w:val="24"/>
          <w:lang w:val="zh-CN"/>
        </w:rPr>
        <w:t>，氟化物浓度为</w:t>
      </w:r>
      <w:r>
        <w:rPr>
          <w:rFonts w:ascii="Times New Roman" w:hAnsi="Times New Roman" w:hint="eastAsia"/>
          <w:szCs w:val="24"/>
          <w:lang w:val="zh-CN"/>
        </w:rPr>
        <w:t>1.87~2.18mg</w:t>
      </w:r>
      <w:r>
        <w:rPr>
          <w:rFonts w:ascii="Times New Roman" w:hAnsi="Times New Roman"/>
          <w:szCs w:val="24"/>
          <w:lang w:val="zh-CN"/>
        </w:rPr>
        <w:t>/L</w:t>
      </w:r>
      <w:r>
        <w:rPr>
          <w:rFonts w:ascii="Times New Roman" w:hAnsi="Times New Roman" w:hint="eastAsia"/>
          <w:szCs w:val="24"/>
          <w:lang w:val="zh-CN"/>
        </w:rPr>
        <w:t>，</w:t>
      </w:r>
      <w:r>
        <w:rPr>
          <w:rFonts w:ascii="Times New Roman" w:hAnsi="Times New Roman"/>
          <w:szCs w:val="24"/>
          <w:lang w:val="zh-CN"/>
        </w:rPr>
        <w:t>BOD</w:t>
      </w:r>
      <w:r>
        <w:rPr>
          <w:rFonts w:ascii="Times New Roman" w:hAnsi="Times New Roman"/>
          <w:szCs w:val="24"/>
          <w:vertAlign w:val="subscript"/>
          <w:lang w:val="zh-CN"/>
        </w:rPr>
        <w:t>5</w:t>
      </w:r>
      <w:r>
        <w:rPr>
          <w:rFonts w:ascii="Times New Roman" w:hAnsi="Times New Roman" w:hint="eastAsia"/>
          <w:szCs w:val="24"/>
          <w:lang w:val="zh-CN"/>
        </w:rPr>
        <w:t>浓度</w:t>
      </w:r>
      <w:r>
        <w:rPr>
          <w:rFonts w:ascii="Times New Roman" w:hAnsi="Times New Roman" w:hint="eastAsia"/>
          <w:szCs w:val="24"/>
          <w:lang w:val="zh-CN"/>
        </w:rPr>
        <w:t>17~22mg</w:t>
      </w:r>
      <w:r>
        <w:rPr>
          <w:rFonts w:ascii="Times New Roman" w:hAnsi="Times New Roman"/>
          <w:szCs w:val="24"/>
          <w:lang w:val="zh-CN"/>
        </w:rPr>
        <w:t>/L</w:t>
      </w:r>
      <w:r>
        <w:rPr>
          <w:rFonts w:ascii="Times New Roman" w:hAnsi="Times New Roman" w:hint="eastAsia"/>
          <w:szCs w:val="24"/>
          <w:lang w:val="zh-CN"/>
        </w:rPr>
        <w:t>，</w:t>
      </w:r>
      <w:r>
        <w:rPr>
          <w:rFonts w:ascii="Times New Roman" w:hAnsi="Times New Roman" w:hint="eastAsia"/>
          <w:szCs w:val="24"/>
          <w:lang w:val="zh-CN"/>
        </w:rPr>
        <w:t>C</w:t>
      </w:r>
      <w:r>
        <w:rPr>
          <w:rFonts w:ascii="Times New Roman" w:hAnsi="Times New Roman"/>
          <w:szCs w:val="24"/>
          <w:lang w:val="zh-CN"/>
        </w:rPr>
        <w:t>OD</w:t>
      </w:r>
      <w:r>
        <w:rPr>
          <w:rFonts w:ascii="Times New Roman" w:hAnsi="Times New Roman" w:hint="eastAsia"/>
          <w:szCs w:val="24"/>
          <w:lang w:val="zh-CN"/>
        </w:rPr>
        <w:t>浓度</w:t>
      </w:r>
      <w:r>
        <w:rPr>
          <w:rFonts w:ascii="Times New Roman" w:hAnsi="Times New Roman" w:hint="eastAsia"/>
          <w:szCs w:val="24"/>
          <w:lang w:val="zh-CN"/>
        </w:rPr>
        <w:t>195~222mg</w:t>
      </w:r>
      <w:r>
        <w:rPr>
          <w:rFonts w:ascii="Times New Roman" w:hAnsi="Times New Roman"/>
          <w:szCs w:val="24"/>
          <w:lang w:val="zh-CN"/>
        </w:rPr>
        <w:t>/L</w:t>
      </w:r>
      <w:r>
        <w:rPr>
          <w:rFonts w:ascii="Times New Roman" w:hAnsi="Times New Roman" w:hint="eastAsia"/>
          <w:szCs w:val="24"/>
          <w:lang w:val="zh-CN"/>
        </w:rPr>
        <w:t>。超标原因：该地区氟化物背景值高，而且西天河沿途接纳部分工业废水和农田退水，致使氟化物</w:t>
      </w:r>
      <w:r>
        <w:rPr>
          <w:rFonts w:ascii="Times New Roman" w:hAnsi="Times New Roman"/>
          <w:szCs w:val="24"/>
          <w:lang w:val="zh-CN"/>
        </w:rPr>
        <w:t>、</w:t>
      </w:r>
      <w:r>
        <w:rPr>
          <w:rFonts w:ascii="Times New Roman" w:hAnsi="Times New Roman"/>
          <w:szCs w:val="24"/>
          <w:lang w:val="zh-CN"/>
        </w:rPr>
        <w:t>BOD</w:t>
      </w:r>
      <w:r>
        <w:rPr>
          <w:rFonts w:ascii="Times New Roman" w:hAnsi="Times New Roman"/>
          <w:szCs w:val="24"/>
          <w:vertAlign w:val="subscript"/>
          <w:lang w:val="zh-CN"/>
        </w:rPr>
        <w:t>5</w:t>
      </w:r>
      <w:r>
        <w:rPr>
          <w:rFonts w:ascii="Times New Roman" w:hAnsi="Times New Roman"/>
          <w:szCs w:val="24"/>
          <w:lang w:val="zh-CN"/>
        </w:rPr>
        <w:t>、</w:t>
      </w:r>
      <w:r>
        <w:rPr>
          <w:rFonts w:ascii="Times New Roman" w:hAnsi="Times New Roman"/>
          <w:szCs w:val="24"/>
          <w:lang w:val="zh-CN"/>
        </w:rPr>
        <w:t>COD</w:t>
      </w:r>
      <w:r>
        <w:rPr>
          <w:rFonts w:ascii="Times New Roman" w:hAnsi="Times New Roman"/>
          <w:szCs w:val="24"/>
          <w:lang w:val="zh-CN"/>
        </w:rPr>
        <w:t>超标</w:t>
      </w:r>
      <w:r>
        <w:rPr>
          <w:rFonts w:ascii="Times New Roman" w:hAnsi="Times New Roman" w:hint="eastAsia"/>
          <w:szCs w:val="24"/>
          <w:lang w:val="zh-CN"/>
        </w:rPr>
        <w:t>。</w:t>
      </w:r>
    </w:p>
    <w:p w14:paraId="2C15E492" w14:textId="77777777" w:rsidR="009C353B" w:rsidRDefault="00000000">
      <w:pPr>
        <w:adjustRightInd w:val="0"/>
        <w:snapToGrid w:val="0"/>
        <w:spacing w:line="440" w:lineRule="exact"/>
        <w:ind w:firstLine="480"/>
        <w:rPr>
          <w:rFonts w:ascii="Times New Roman" w:hAnsi="Times New Roman"/>
          <w:szCs w:val="24"/>
          <w:lang w:val="zh-CN"/>
        </w:rPr>
      </w:pPr>
      <w:r>
        <w:rPr>
          <w:rFonts w:ascii="Times New Roman" w:hAnsi="Times New Roman" w:hint="eastAsia"/>
          <w:szCs w:val="24"/>
          <w:lang w:val="zh-CN"/>
        </w:rPr>
        <w:t>根据《甜水河矿井及选煤厂环境影响报告书》，</w:t>
      </w:r>
      <w:r>
        <w:rPr>
          <w:rFonts w:ascii="Times New Roman" w:hAnsi="Times New Roman" w:hint="eastAsia"/>
          <w:szCs w:val="24"/>
          <w:lang w:val="zh-CN"/>
        </w:rPr>
        <w:t>2013</w:t>
      </w:r>
      <w:r>
        <w:rPr>
          <w:rFonts w:ascii="Times New Roman" w:hAnsi="Times New Roman" w:hint="eastAsia"/>
          <w:szCs w:val="24"/>
          <w:lang w:val="zh-CN"/>
        </w:rPr>
        <w:t>年大河子沟监测项目中氟化物、挥发酚不满足划定目标《地表水环境质量标准》（</w:t>
      </w:r>
      <w:r>
        <w:rPr>
          <w:rFonts w:ascii="Times New Roman" w:hAnsi="Times New Roman"/>
          <w:szCs w:val="24"/>
          <w:lang w:val="zh-CN"/>
        </w:rPr>
        <w:t>GB3838-2002</w:t>
      </w:r>
      <w:r>
        <w:rPr>
          <w:rFonts w:ascii="Times New Roman" w:hAnsi="Times New Roman"/>
          <w:szCs w:val="24"/>
          <w:lang w:val="zh-CN"/>
        </w:rPr>
        <w:t>）</w:t>
      </w:r>
      <w:r>
        <w:rPr>
          <w:rFonts w:ascii="Times New Roman" w:hAnsi="Times New Roman"/>
          <w:kern w:val="0"/>
          <w:szCs w:val="24"/>
        </w:rPr>
        <w:t>IV</w:t>
      </w:r>
      <w:r>
        <w:rPr>
          <w:rFonts w:ascii="Times New Roman" w:hAnsi="Times New Roman"/>
          <w:szCs w:val="24"/>
          <w:lang w:val="zh-CN"/>
        </w:rPr>
        <w:t>类标准</w:t>
      </w:r>
      <w:r>
        <w:rPr>
          <w:rFonts w:ascii="Times New Roman" w:hAnsi="Times New Roman" w:hint="eastAsia"/>
          <w:szCs w:val="24"/>
          <w:lang w:val="zh-CN"/>
        </w:rPr>
        <w:t>，且溶解性总固体和矿化度指标较高，矿化度最高达到了</w:t>
      </w:r>
      <w:r>
        <w:rPr>
          <w:rFonts w:ascii="Times New Roman" w:hAnsi="Times New Roman"/>
          <w:szCs w:val="24"/>
          <w:lang w:val="zh-CN"/>
        </w:rPr>
        <w:t>4178mg/L</w:t>
      </w:r>
      <w:r>
        <w:rPr>
          <w:rFonts w:ascii="Times New Roman" w:hAnsi="Times New Roman" w:hint="eastAsia"/>
          <w:szCs w:val="24"/>
          <w:lang w:val="zh-CN"/>
        </w:rPr>
        <w:t>。挥发酚超标、溶解性总固体和矿化度较高的原因是上游化工园区有大量工业废水和高盐废水排入大河子沟；氟化物超标主要与当地水质中氟化物背景值较高有关。</w:t>
      </w:r>
    </w:p>
    <w:p w14:paraId="5EEE8FB3" w14:textId="77777777" w:rsidR="009C353B" w:rsidRDefault="00000000">
      <w:pPr>
        <w:adjustRightInd w:val="0"/>
        <w:snapToGrid w:val="0"/>
        <w:spacing w:line="440" w:lineRule="exact"/>
        <w:ind w:firstLine="480"/>
        <w:rPr>
          <w:rFonts w:ascii="Times New Roman" w:hAnsi="Times New Roman"/>
          <w:szCs w:val="24"/>
          <w:lang w:val="zh-CN"/>
        </w:rPr>
      </w:pPr>
      <w:r>
        <w:rPr>
          <w:rFonts w:ascii="Times New Roman" w:hAnsi="Times New Roman" w:hint="eastAsia"/>
          <w:szCs w:val="24"/>
          <w:lang w:val="zh-CN"/>
        </w:rPr>
        <w:t>根据《宁东基地现代煤化工产业示范区总体规划环境影响报告书》，</w:t>
      </w:r>
      <w:r>
        <w:rPr>
          <w:rFonts w:ascii="Times New Roman" w:hAnsi="Times New Roman" w:hint="eastAsia"/>
          <w:szCs w:val="24"/>
          <w:lang w:val="zh-CN"/>
        </w:rPr>
        <w:t>2016</w:t>
      </w:r>
      <w:r>
        <w:rPr>
          <w:rFonts w:ascii="Times New Roman" w:hAnsi="Times New Roman"/>
          <w:szCs w:val="24"/>
          <w:lang w:val="zh-CN"/>
        </w:rPr>
        <w:t>~2018</w:t>
      </w:r>
      <w:r>
        <w:rPr>
          <w:rFonts w:ascii="Times New Roman" w:hAnsi="Times New Roman" w:hint="eastAsia"/>
          <w:szCs w:val="24"/>
          <w:lang w:val="zh-CN"/>
        </w:rPr>
        <w:t>年大河子沟监测项目中超标因子为氨氮、挥发酚、</w:t>
      </w:r>
      <w:r>
        <w:rPr>
          <w:rFonts w:ascii="Times New Roman" w:hAnsi="Times New Roman" w:hint="eastAsia"/>
          <w:szCs w:val="24"/>
          <w:lang w:val="zh-CN"/>
        </w:rPr>
        <w:t>C</w:t>
      </w:r>
      <w:r>
        <w:rPr>
          <w:rFonts w:ascii="Times New Roman" w:hAnsi="Times New Roman"/>
          <w:szCs w:val="24"/>
          <w:lang w:val="zh-CN"/>
        </w:rPr>
        <w:t>OD</w:t>
      </w:r>
      <w:r>
        <w:rPr>
          <w:rFonts w:ascii="Times New Roman" w:hAnsi="Times New Roman" w:hint="eastAsia"/>
          <w:szCs w:val="24"/>
          <w:lang w:val="zh-CN"/>
        </w:rPr>
        <w:t>、氟化物。超标原因与大河子沟上游接纳了工矿企业的生产生活废水及当地本身具有高氟的背景有关。</w:t>
      </w:r>
    </w:p>
    <w:p w14:paraId="010BBDFE" w14:textId="77777777" w:rsidR="009C353B" w:rsidRDefault="00000000">
      <w:pPr>
        <w:adjustRightInd w:val="0"/>
        <w:snapToGrid w:val="0"/>
        <w:spacing w:line="440" w:lineRule="exact"/>
        <w:ind w:firstLine="480"/>
        <w:rPr>
          <w:rFonts w:ascii="Times New Roman" w:hAnsi="Times New Roman"/>
          <w:szCs w:val="24"/>
          <w:lang w:val="zh-CN"/>
        </w:rPr>
      </w:pPr>
      <w:r>
        <w:rPr>
          <w:rFonts w:ascii="Times New Roman" w:hAnsi="Times New Roman" w:hint="eastAsia"/>
          <w:szCs w:val="24"/>
          <w:lang w:val="zh-CN"/>
        </w:rPr>
        <w:t>根据《宁东能源化工基地“十三五”开发总体规划环境影响报告书》，</w:t>
      </w:r>
      <w:r>
        <w:rPr>
          <w:rFonts w:ascii="Times New Roman" w:hAnsi="Times New Roman" w:hint="eastAsia"/>
          <w:szCs w:val="24"/>
          <w:lang w:val="zh-CN"/>
        </w:rPr>
        <w:t>2018</w:t>
      </w:r>
      <w:r>
        <w:rPr>
          <w:rFonts w:ascii="Times New Roman" w:hAnsi="Times New Roman" w:hint="eastAsia"/>
          <w:szCs w:val="24"/>
          <w:lang w:val="zh-CN"/>
        </w:rPr>
        <w:t>年</w:t>
      </w:r>
      <w:r>
        <w:rPr>
          <w:rFonts w:ascii="Times New Roman" w:hAnsi="Times New Roman" w:hint="eastAsia"/>
          <w:szCs w:val="24"/>
          <w:lang w:val="zh-CN"/>
        </w:rPr>
        <w:t>3</w:t>
      </w:r>
      <w:r>
        <w:rPr>
          <w:rFonts w:ascii="Times New Roman" w:hAnsi="Times New Roman" w:hint="eastAsia"/>
          <w:szCs w:val="24"/>
          <w:lang w:val="zh-CN"/>
        </w:rPr>
        <w:t>月大河子沟监测结果：超标因子为氟化物、</w:t>
      </w:r>
      <w:r>
        <w:rPr>
          <w:rFonts w:ascii="Times New Roman" w:hAnsi="Times New Roman" w:hint="eastAsia"/>
          <w:szCs w:val="24"/>
          <w:lang w:val="zh-CN"/>
        </w:rPr>
        <w:t>C</w:t>
      </w:r>
      <w:r>
        <w:rPr>
          <w:rFonts w:ascii="Times New Roman" w:hAnsi="Times New Roman"/>
          <w:szCs w:val="24"/>
          <w:lang w:val="zh-CN"/>
        </w:rPr>
        <w:t>OD</w:t>
      </w:r>
      <w:r>
        <w:rPr>
          <w:rFonts w:ascii="Times New Roman" w:hAnsi="Times New Roman" w:hint="eastAsia"/>
          <w:szCs w:val="24"/>
          <w:lang w:val="zh-CN"/>
        </w:rPr>
        <w:t>与</w:t>
      </w:r>
      <w:r>
        <w:rPr>
          <w:rFonts w:ascii="Times New Roman" w:hAnsi="Times New Roman" w:hint="eastAsia"/>
          <w:szCs w:val="24"/>
          <w:lang w:val="zh-CN"/>
        </w:rPr>
        <w:t>B</w:t>
      </w:r>
      <w:r>
        <w:rPr>
          <w:rFonts w:ascii="Times New Roman" w:hAnsi="Times New Roman"/>
          <w:szCs w:val="24"/>
          <w:lang w:val="zh-CN"/>
        </w:rPr>
        <w:t>OD</w:t>
      </w:r>
      <w:r>
        <w:rPr>
          <w:rFonts w:ascii="Times New Roman" w:hAnsi="Times New Roman"/>
          <w:szCs w:val="24"/>
          <w:vertAlign w:val="subscript"/>
          <w:lang w:val="zh-CN"/>
        </w:rPr>
        <w:t>5</w:t>
      </w:r>
      <w:r>
        <w:rPr>
          <w:rFonts w:ascii="Times New Roman" w:hAnsi="Times New Roman" w:hint="eastAsia"/>
          <w:szCs w:val="24"/>
          <w:lang w:val="zh-CN"/>
        </w:rPr>
        <w:t>。</w:t>
      </w:r>
      <w:r>
        <w:rPr>
          <w:rFonts w:ascii="Times New Roman" w:hAnsi="Times New Roman" w:hint="eastAsia"/>
          <w:szCs w:val="24"/>
          <w:lang w:val="zh-CN"/>
        </w:rPr>
        <w:t>C</w:t>
      </w:r>
      <w:r>
        <w:rPr>
          <w:rFonts w:ascii="Times New Roman" w:hAnsi="Times New Roman"/>
          <w:szCs w:val="24"/>
          <w:lang w:val="zh-CN"/>
        </w:rPr>
        <w:t>OD</w:t>
      </w:r>
      <w:r>
        <w:rPr>
          <w:rFonts w:ascii="Times New Roman" w:hAnsi="Times New Roman" w:hint="eastAsia"/>
          <w:szCs w:val="24"/>
          <w:lang w:val="zh-CN"/>
        </w:rPr>
        <w:t>、</w:t>
      </w:r>
      <w:r>
        <w:rPr>
          <w:rFonts w:ascii="Times New Roman" w:hAnsi="Times New Roman"/>
          <w:szCs w:val="24"/>
          <w:lang w:val="zh-CN"/>
        </w:rPr>
        <w:t>BOD</w:t>
      </w:r>
      <w:r>
        <w:rPr>
          <w:rFonts w:ascii="Times New Roman" w:hAnsi="Times New Roman" w:hint="eastAsia"/>
          <w:szCs w:val="24"/>
          <w:vertAlign w:val="subscript"/>
          <w:lang w:val="zh-CN"/>
        </w:rPr>
        <w:t>5</w:t>
      </w:r>
      <w:r>
        <w:rPr>
          <w:rFonts w:ascii="Times New Roman" w:hAnsi="Times New Roman" w:hint="eastAsia"/>
          <w:szCs w:val="24"/>
          <w:lang w:val="zh-CN"/>
        </w:rPr>
        <w:t>超标主要是接纳上游沿线居民生活污水以及开发区污水处理厂排污所致，氟化物超标主要是与当地本身具有高氟的背景有关</w:t>
      </w:r>
    </w:p>
    <w:p w14:paraId="3A846555" w14:textId="77777777" w:rsidR="009C353B" w:rsidRDefault="00000000">
      <w:pPr>
        <w:adjustRightInd w:val="0"/>
        <w:snapToGrid w:val="0"/>
        <w:spacing w:line="440" w:lineRule="exact"/>
        <w:ind w:firstLine="480"/>
        <w:rPr>
          <w:rFonts w:ascii="Times New Roman" w:hAnsi="Times New Roman"/>
          <w:szCs w:val="24"/>
          <w:lang w:val="zh-CN"/>
        </w:rPr>
      </w:pPr>
      <w:r>
        <w:rPr>
          <w:rFonts w:ascii="Times New Roman" w:hAnsi="Times New Roman" w:hint="eastAsia"/>
          <w:szCs w:val="24"/>
          <w:lang w:val="zh-CN"/>
        </w:rPr>
        <w:t>本次大河子沟监测结果超标因子为氟化物、</w:t>
      </w:r>
      <w:r>
        <w:rPr>
          <w:rFonts w:ascii="Times New Roman" w:hAnsi="Times New Roman" w:hint="eastAsia"/>
          <w:szCs w:val="24"/>
          <w:lang w:val="zh-CN"/>
        </w:rPr>
        <w:t>C</w:t>
      </w:r>
      <w:r>
        <w:rPr>
          <w:rFonts w:ascii="Times New Roman" w:hAnsi="Times New Roman"/>
          <w:szCs w:val="24"/>
          <w:lang w:val="zh-CN"/>
        </w:rPr>
        <w:t>OD</w:t>
      </w:r>
      <w:r>
        <w:rPr>
          <w:rFonts w:ascii="Times New Roman" w:hAnsi="Times New Roman" w:hint="eastAsia"/>
          <w:szCs w:val="24"/>
          <w:lang w:val="zh-CN"/>
        </w:rPr>
        <w:t>及</w:t>
      </w:r>
      <w:r>
        <w:rPr>
          <w:rFonts w:ascii="Times New Roman" w:hAnsi="Times New Roman" w:hint="eastAsia"/>
          <w:szCs w:val="24"/>
          <w:lang w:val="zh-CN"/>
        </w:rPr>
        <w:t>B</w:t>
      </w:r>
      <w:r>
        <w:rPr>
          <w:rFonts w:ascii="Times New Roman" w:hAnsi="Times New Roman"/>
          <w:szCs w:val="24"/>
          <w:lang w:val="zh-CN"/>
        </w:rPr>
        <w:t>OD</w:t>
      </w:r>
      <w:r>
        <w:rPr>
          <w:rFonts w:ascii="Times New Roman" w:hAnsi="Times New Roman"/>
          <w:szCs w:val="24"/>
          <w:vertAlign w:val="subscript"/>
          <w:lang w:val="zh-CN"/>
        </w:rPr>
        <w:t>5</w:t>
      </w:r>
      <w:r>
        <w:rPr>
          <w:rFonts w:ascii="Times New Roman" w:hAnsi="Times New Roman" w:hint="eastAsia"/>
          <w:szCs w:val="24"/>
          <w:lang w:val="zh-CN"/>
        </w:rPr>
        <w:t>。</w:t>
      </w:r>
    </w:p>
    <w:p w14:paraId="0430403B" w14:textId="77777777" w:rsidR="009C353B" w:rsidRDefault="00000000">
      <w:pPr>
        <w:adjustRightInd w:val="0"/>
        <w:snapToGrid w:val="0"/>
        <w:spacing w:line="440" w:lineRule="exact"/>
        <w:ind w:firstLine="480"/>
        <w:rPr>
          <w:rFonts w:ascii="Times New Roman" w:hAnsi="Times New Roman"/>
          <w:szCs w:val="24"/>
          <w:lang w:val="zh-CN"/>
        </w:rPr>
      </w:pPr>
      <w:r>
        <w:rPr>
          <w:rFonts w:ascii="Times New Roman" w:hAnsi="Times New Roman" w:hint="eastAsia"/>
          <w:szCs w:val="24"/>
          <w:lang w:val="zh-CN"/>
        </w:rPr>
        <w:t>（</w:t>
      </w:r>
      <w:r>
        <w:rPr>
          <w:rFonts w:ascii="Times New Roman" w:hAnsi="Times New Roman" w:hint="eastAsia"/>
          <w:szCs w:val="24"/>
          <w:lang w:val="zh-CN"/>
        </w:rPr>
        <w:t>2</w:t>
      </w:r>
      <w:r>
        <w:rPr>
          <w:rFonts w:ascii="Times New Roman" w:hAnsi="Times New Roman" w:hint="eastAsia"/>
          <w:szCs w:val="24"/>
          <w:lang w:val="zh-CN"/>
        </w:rPr>
        <w:t>）根据各阶段大河子沟监测断面位置分析，《甜水河矿井及选煤厂环境影响报告书》于</w:t>
      </w:r>
      <w:r>
        <w:rPr>
          <w:rFonts w:ascii="Times New Roman" w:hAnsi="Times New Roman" w:hint="eastAsia"/>
          <w:szCs w:val="24"/>
          <w:lang w:val="zh-CN"/>
        </w:rPr>
        <w:t>2013</w:t>
      </w:r>
      <w:r>
        <w:rPr>
          <w:rFonts w:ascii="Times New Roman" w:hAnsi="Times New Roman" w:hint="eastAsia"/>
          <w:szCs w:val="24"/>
          <w:lang w:val="zh-CN"/>
        </w:rPr>
        <w:t>年监测断面（沙葱沟入大河子沟上游</w:t>
      </w:r>
      <w:r>
        <w:rPr>
          <w:rFonts w:ascii="Times New Roman" w:hAnsi="Times New Roman"/>
          <w:szCs w:val="24"/>
          <w:lang w:val="zh-CN"/>
        </w:rPr>
        <w:t>500m</w:t>
      </w:r>
      <w:r>
        <w:rPr>
          <w:rFonts w:ascii="Times New Roman" w:hAnsi="Times New Roman" w:hint="eastAsia"/>
          <w:szCs w:val="24"/>
          <w:lang w:val="zh-CN"/>
        </w:rPr>
        <w:t>）、</w:t>
      </w:r>
      <w:bookmarkStart w:id="152" w:name="_Hlk58773957"/>
      <w:r>
        <w:rPr>
          <w:rFonts w:ascii="Times New Roman" w:hAnsi="Times New Roman" w:hint="eastAsia"/>
          <w:szCs w:val="24"/>
          <w:lang w:val="zh-CN"/>
        </w:rPr>
        <w:t>《宁东能源化工基地“十三五”开发总体规划环境影响报告书》</w:t>
      </w:r>
      <w:bookmarkEnd w:id="152"/>
      <w:r>
        <w:rPr>
          <w:rFonts w:ascii="Times New Roman" w:hAnsi="Times New Roman" w:hint="eastAsia"/>
          <w:szCs w:val="24"/>
          <w:lang w:val="zh-CN"/>
        </w:rPr>
        <w:t>于</w:t>
      </w:r>
      <w:r>
        <w:rPr>
          <w:rFonts w:ascii="Times New Roman" w:hAnsi="Times New Roman" w:hint="eastAsia"/>
          <w:szCs w:val="24"/>
          <w:lang w:val="zh-CN"/>
        </w:rPr>
        <w:t>2018</w:t>
      </w:r>
      <w:r>
        <w:rPr>
          <w:rFonts w:ascii="Times New Roman" w:hAnsi="Times New Roman" w:hint="eastAsia"/>
          <w:szCs w:val="24"/>
          <w:lang w:val="zh-CN"/>
        </w:rPr>
        <w:t>年监测断面（大河子沟上游）以及本次监测断面（</w:t>
      </w:r>
      <w:r>
        <w:rPr>
          <w:rFonts w:ascii="Times New Roman" w:hAnsi="Times New Roman" w:hint="eastAsia"/>
          <w:szCs w:val="24"/>
          <w:lang w:val="zh-CN"/>
        </w:rPr>
        <w:t>12#</w:t>
      </w:r>
      <w:r>
        <w:rPr>
          <w:rFonts w:ascii="Times New Roman" w:hAnsi="Times New Roman" w:hint="eastAsia"/>
          <w:szCs w:val="24"/>
          <w:lang w:val="zh-CN"/>
        </w:rPr>
        <w:t>大河子沟）位置相近，通过分析这三次监测断面的监测数据，以此来说明大河子沟水质变化。</w:t>
      </w:r>
    </w:p>
    <w:p w14:paraId="4A1CC7E9"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大河子沟监测</w:t>
      </w:r>
      <w:r>
        <w:rPr>
          <w:rFonts w:ascii="Times New Roman" w:hAnsi="Times New Roman" w:hint="eastAsia"/>
          <w:b/>
          <w:szCs w:val="24"/>
        </w:rPr>
        <w:t>点、监测时间及监测项目</w:t>
      </w:r>
    </w:p>
    <w:p w14:paraId="4D2E237D" w14:textId="77777777" w:rsidR="009C353B" w:rsidRDefault="00000000">
      <w:pPr>
        <w:adjustRightInd w:val="0"/>
        <w:snapToGrid w:val="0"/>
        <w:spacing w:line="440" w:lineRule="exact"/>
        <w:ind w:firstLineChars="50" w:firstLine="120"/>
        <w:outlineLvl w:val="4"/>
        <w:rPr>
          <w:rFonts w:ascii="Times New Roman" w:hAnsi="Times New Roman"/>
          <w:szCs w:val="24"/>
        </w:rPr>
      </w:pPr>
      <w:r>
        <w:rPr>
          <w:rFonts w:ascii="Times New Roman" w:hAnsi="Times New Roman" w:hint="eastAsia"/>
          <w:szCs w:val="24"/>
        </w:rPr>
        <w:t>表</w:t>
      </w:r>
      <w:r>
        <w:rPr>
          <w:rFonts w:ascii="Times New Roman" w:hAnsi="Times New Roman" w:hint="eastAsia"/>
          <w:szCs w:val="24"/>
        </w:rPr>
        <w:t>4</w:t>
      </w:r>
      <w:r>
        <w:rPr>
          <w:rFonts w:ascii="Times New Roman" w:hAnsi="Times New Roman"/>
          <w:szCs w:val="24"/>
        </w:rPr>
        <w:t>.3</w:t>
      </w:r>
      <w:r>
        <w:rPr>
          <w:rFonts w:ascii="Times New Roman" w:hAnsi="Times New Roman" w:hint="eastAsia"/>
          <w:szCs w:val="24"/>
        </w:rPr>
        <w:t>-</w:t>
      </w:r>
      <w:r>
        <w:rPr>
          <w:rFonts w:ascii="Times New Roman" w:hAnsi="Times New Roman"/>
          <w:szCs w:val="24"/>
        </w:rPr>
        <w:t>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843"/>
        <w:gridCol w:w="3263"/>
        <w:gridCol w:w="1077"/>
        <w:gridCol w:w="1862"/>
      </w:tblGrid>
      <w:tr w:rsidR="009C353B" w14:paraId="4A3E1E7C" w14:textId="77777777">
        <w:trPr>
          <w:trHeight w:val="285"/>
        </w:trPr>
        <w:tc>
          <w:tcPr>
            <w:tcW w:w="1242" w:type="dxa"/>
            <w:shd w:val="clear" w:color="auto" w:fill="auto"/>
            <w:noWrap/>
            <w:vAlign w:val="center"/>
          </w:tcPr>
          <w:p w14:paraId="7E14572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监测时间</w:t>
            </w:r>
          </w:p>
        </w:tc>
        <w:tc>
          <w:tcPr>
            <w:tcW w:w="1843" w:type="dxa"/>
            <w:vAlign w:val="center"/>
          </w:tcPr>
          <w:p w14:paraId="6D61B20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位置</w:t>
            </w:r>
          </w:p>
        </w:tc>
        <w:tc>
          <w:tcPr>
            <w:tcW w:w="3263" w:type="dxa"/>
            <w:shd w:val="clear" w:color="auto" w:fill="auto"/>
            <w:noWrap/>
            <w:vAlign w:val="center"/>
          </w:tcPr>
          <w:p w14:paraId="57F80F2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监测因子</w:t>
            </w:r>
          </w:p>
        </w:tc>
        <w:tc>
          <w:tcPr>
            <w:tcW w:w="1077" w:type="dxa"/>
            <w:shd w:val="clear" w:color="auto" w:fill="auto"/>
            <w:noWrap/>
            <w:vAlign w:val="center"/>
          </w:tcPr>
          <w:p w14:paraId="626A768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污染</w:t>
            </w:r>
            <w:r>
              <w:rPr>
                <w:rFonts w:ascii="Times New Roman" w:eastAsiaTheme="minorEastAsia" w:hAnsi="Times New Roman"/>
                <w:kern w:val="0"/>
                <w:sz w:val="21"/>
                <w:szCs w:val="21"/>
              </w:rPr>
              <w:t>因子</w:t>
            </w:r>
          </w:p>
        </w:tc>
        <w:tc>
          <w:tcPr>
            <w:tcW w:w="1862" w:type="dxa"/>
            <w:shd w:val="clear" w:color="auto" w:fill="auto"/>
            <w:noWrap/>
            <w:vAlign w:val="center"/>
          </w:tcPr>
          <w:p w14:paraId="295202B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数据来源</w:t>
            </w:r>
          </w:p>
        </w:tc>
      </w:tr>
      <w:tr w:rsidR="009C353B" w14:paraId="72A69BE5" w14:textId="77777777">
        <w:trPr>
          <w:trHeight w:val="1845"/>
        </w:trPr>
        <w:tc>
          <w:tcPr>
            <w:tcW w:w="1242" w:type="dxa"/>
            <w:shd w:val="clear" w:color="auto" w:fill="auto"/>
            <w:noWrap/>
            <w:vAlign w:val="center"/>
          </w:tcPr>
          <w:p w14:paraId="4C24614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2013</w:t>
            </w:r>
            <w:r>
              <w:rPr>
                <w:rFonts w:ascii="Times New Roman" w:eastAsiaTheme="minorEastAsia" w:hAnsi="Times New Roman"/>
                <w:kern w:val="0"/>
                <w:sz w:val="21"/>
                <w:szCs w:val="21"/>
              </w:rPr>
              <w:t>年</w:t>
            </w:r>
          </w:p>
        </w:tc>
        <w:tc>
          <w:tcPr>
            <w:tcW w:w="1843" w:type="dxa"/>
            <w:vAlign w:val="center"/>
          </w:tcPr>
          <w:p w14:paraId="2AB3A4C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z w:val="21"/>
                <w:szCs w:val="21"/>
                <w:lang w:val="zh-CN"/>
              </w:rPr>
              <w:t>沙葱沟入大河子沟上游</w:t>
            </w:r>
            <w:r>
              <w:rPr>
                <w:rFonts w:ascii="Times New Roman" w:eastAsiaTheme="minorEastAsia" w:hAnsi="Times New Roman"/>
                <w:sz w:val="21"/>
                <w:szCs w:val="21"/>
                <w:lang w:val="zh-CN"/>
              </w:rPr>
              <w:t>500m</w:t>
            </w:r>
          </w:p>
        </w:tc>
        <w:tc>
          <w:tcPr>
            <w:tcW w:w="3263" w:type="dxa"/>
            <w:shd w:val="clear" w:color="auto" w:fill="auto"/>
            <w:vAlign w:val="center"/>
          </w:tcPr>
          <w:p w14:paraId="48C60A1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w:t>
            </w:r>
            <w:r>
              <w:rPr>
                <w:rFonts w:ascii="Times New Roman" w:eastAsiaTheme="minorEastAsia" w:hAnsi="Times New Roman"/>
                <w:kern w:val="0"/>
                <w:sz w:val="21"/>
                <w:szCs w:val="21"/>
              </w:rPr>
              <w:t>SS</w:t>
            </w:r>
            <w:r>
              <w:rPr>
                <w:rFonts w:ascii="Times New Roman" w:eastAsiaTheme="minorEastAsia" w:hAnsi="Times New Roman"/>
                <w:kern w:val="0"/>
                <w:sz w:val="21"/>
                <w:szCs w:val="21"/>
              </w:rPr>
              <w:t>、</w:t>
            </w:r>
            <w:r>
              <w:rPr>
                <w:rFonts w:ascii="Times New Roman" w:eastAsiaTheme="minorEastAsia" w:hAnsi="Times New Roman"/>
                <w:kern w:val="0"/>
                <w:sz w:val="21"/>
                <w:szCs w:val="21"/>
              </w:rPr>
              <w:t>COD</w:t>
            </w:r>
            <w:r>
              <w:rPr>
                <w:rFonts w:ascii="Times New Roman" w:eastAsiaTheme="minorEastAsia" w:hAnsi="Times New Roman"/>
                <w:kern w:val="0"/>
                <w:sz w:val="21"/>
                <w:szCs w:val="21"/>
              </w:rPr>
              <w:t>、</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、氨氮、氟化物、硫化物、石油类、挥发酚、高锰酸盐指数、溶解氧、氰化物、溶解性总固体、矿化度共</w:t>
            </w:r>
            <w:r>
              <w:rPr>
                <w:rFonts w:ascii="Times New Roman" w:eastAsiaTheme="minorEastAsia" w:hAnsi="Times New Roman"/>
                <w:kern w:val="0"/>
                <w:sz w:val="21"/>
                <w:szCs w:val="21"/>
              </w:rPr>
              <w:t>14</w:t>
            </w:r>
            <w:r>
              <w:rPr>
                <w:rFonts w:ascii="Times New Roman" w:eastAsiaTheme="minorEastAsia" w:hAnsi="Times New Roman"/>
                <w:kern w:val="0"/>
                <w:sz w:val="21"/>
                <w:szCs w:val="21"/>
              </w:rPr>
              <w:t>项</w:t>
            </w:r>
          </w:p>
        </w:tc>
        <w:tc>
          <w:tcPr>
            <w:tcW w:w="1077" w:type="dxa"/>
            <w:shd w:val="clear" w:color="auto" w:fill="auto"/>
            <w:vAlign w:val="center"/>
          </w:tcPr>
          <w:p w14:paraId="707CED7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氟化物</w:t>
            </w:r>
          </w:p>
          <w:p w14:paraId="03AFC0E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挥发酚</w:t>
            </w:r>
          </w:p>
        </w:tc>
        <w:tc>
          <w:tcPr>
            <w:tcW w:w="1862" w:type="dxa"/>
            <w:shd w:val="clear" w:color="auto" w:fill="auto"/>
            <w:noWrap/>
            <w:vAlign w:val="center"/>
          </w:tcPr>
          <w:p w14:paraId="08885EB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z w:val="21"/>
                <w:szCs w:val="21"/>
                <w:lang w:val="zh-CN"/>
              </w:rPr>
              <w:t>《甜水河矿井及选煤厂环境影响报告书》</w:t>
            </w:r>
          </w:p>
        </w:tc>
      </w:tr>
      <w:tr w:rsidR="009C353B" w14:paraId="66F04672" w14:textId="77777777">
        <w:trPr>
          <w:trHeight w:val="2370"/>
        </w:trPr>
        <w:tc>
          <w:tcPr>
            <w:tcW w:w="1242" w:type="dxa"/>
            <w:shd w:val="clear" w:color="auto" w:fill="auto"/>
            <w:noWrap/>
            <w:vAlign w:val="center"/>
          </w:tcPr>
          <w:p w14:paraId="7CB7A55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2018</w:t>
            </w:r>
            <w:r>
              <w:rPr>
                <w:rFonts w:ascii="Times New Roman" w:eastAsiaTheme="minorEastAsia" w:hAnsi="Times New Roman"/>
                <w:kern w:val="0"/>
                <w:sz w:val="21"/>
                <w:szCs w:val="21"/>
              </w:rPr>
              <w:t>年</w:t>
            </w:r>
          </w:p>
        </w:tc>
        <w:tc>
          <w:tcPr>
            <w:tcW w:w="1843" w:type="dxa"/>
            <w:vAlign w:val="center"/>
          </w:tcPr>
          <w:p w14:paraId="2C4ECBE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z w:val="21"/>
                <w:szCs w:val="21"/>
                <w:lang w:val="zh-CN"/>
              </w:rPr>
              <w:t>大河子沟上游</w:t>
            </w:r>
          </w:p>
        </w:tc>
        <w:tc>
          <w:tcPr>
            <w:tcW w:w="3263" w:type="dxa"/>
            <w:shd w:val="clear" w:color="auto" w:fill="auto"/>
            <w:vAlign w:val="center"/>
          </w:tcPr>
          <w:p w14:paraId="65F139E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w:t>
            </w:r>
            <w:r>
              <w:rPr>
                <w:rFonts w:ascii="Times New Roman" w:eastAsiaTheme="minorEastAsia" w:hAnsi="Times New Roman"/>
                <w:kern w:val="0"/>
                <w:sz w:val="21"/>
                <w:szCs w:val="21"/>
              </w:rPr>
              <w:t>COD</w:t>
            </w:r>
            <w:r>
              <w:rPr>
                <w:rFonts w:ascii="Times New Roman" w:eastAsiaTheme="minorEastAsia" w:hAnsi="Times New Roman"/>
                <w:kern w:val="0"/>
                <w:sz w:val="21"/>
                <w:szCs w:val="21"/>
              </w:rPr>
              <w:t>、</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、氨氮、氟化物、硫化物、石油类、挥发酚、高猛酸盐指数、溶解氧、氰化物、、总磷、铜、锌、硒、砷、汞、镉、六价铬、铅、阴离子表面活性剂、粪大肠菌群、全盐量</w:t>
            </w:r>
          </w:p>
        </w:tc>
        <w:tc>
          <w:tcPr>
            <w:tcW w:w="1077" w:type="dxa"/>
            <w:shd w:val="clear" w:color="auto" w:fill="auto"/>
            <w:vAlign w:val="center"/>
          </w:tcPr>
          <w:p w14:paraId="72473CB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COD</w:t>
            </w:r>
          </w:p>
          <w:p w14:paraId="31F1249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p>
        </w:tc>
        <w:tc>
          <w:tcPr>
            <w:tcW w:w="1862" w:type="dxa"/>
            <w:shd w:val="clear" w:color="auto" w:fill="auto"/>
            <w:noWrap/>
            <w:vAlign w:val="center"/>
          </w:tcPr>
          <w:p w14:paraId="0B1605F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z w:val="21"/>
                <w:szCs w:val="21"/>
                <w:lang w:val="zh-CN"/>
              </w:rPr>
              <w:t>《宁东能源化工基地</w:t>
            </w:r>
            <w:r>
              <w:rPr>
                <w:rFonts w:ascii="Times New Roman" w:eastAsiaTheme="minorEastAsia" w:hAnsi="Times New Roman"/>
                <w:sz w:val="21"/>
                <w:szCs w:val="21"/>
                <w:lang w:val="zh-CN"/>
              </w:rPr>
              <w:t>“</w:t>
            </w:r>
            <w:r>
              <w:rPr>
                <w:rFonts w:ascii="Times New Roman" w:eastAsiaTheme="minorEastAsia" w:hAnsi="Times New Roman"/>
                <w:sz w:val="21"/>
                <w:szCs w:val="21"/>
                <w:lang w:val="zh-CN"/>
              </w:rPr>
              <w:t>十三五</w:t>
            </w:r>
            <w:r>
              <w:rPr>
                <w:rFonts w:ascii="Times New Roman" w:eastAsiaTheme="minorEastAsia" w:hAnsi="Times New Roman"/>
                <w:sz w:val="21"/>
                <w:szCs w:val="21"/>
                <w:lang w:val="zh-CN"/>
              </w:rPr>
              <w:t>”</w:t>
            </w:r>
            <w:r>
              <w:rPr>
                <w:rFonts w:ascii="Times New Roman" w:eastAsiaTheme="minorEastAsia" w:hAnsi="Times New Roman"/>
                <w:sz w:val="21"/>
                <w:szCs w:val="21"/>
                <w:lang w:val="zh-CN"/>
              </w:rPr>
              <w:t>开发总体规划环境影响报告书》</w:t>
            </w:r>
          </w:p>
        </w:tc>
      </w:tr>
      <w:tr w:rsidR="009C353B" w14:paraId="32FCE6DA" w14:textId="77777777">
        <w:trPr>
          <w:trHeight w:val="2370"/>
        </w:trPr>
        <w:tc>
          <w:tcPr>
            <w:tcW w:w="1242" w:type="dxa"/>
            <w:shd w:val="clear" w:color="auto" w:fill="auto"/>
            <w:noWrap/>
            <w:vAlign w:val="center"/>
          </w:tcPr>
          <w:p w14:paraId="2ACB829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w:t>
            </w:r>
            <w:r>
              <w:rPr>
                <w:rFonts w:ascii="Times New Roman" w:eastAsiaTheme="minorEastAsia" w:hAnsi="Times New Roman"/>
                <w:kern w:val="0"/>
                <w:sz w:val="21"/>
                <w:szCs w:val="21"/>
              </w:rPr>
              <w:t>年</w:t>
            </w:r>
          </w:p>
        </w:tc>
        <w:tc>
          <w:tcPr>
            <w:tcW w:w="1843" w:type="dxa"/>
            <w:vAlign w:val="center"/>
          </w:tcPr>
          <w:p w14:paraId="5C5CD7E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sz w:val="21"/>
                <w:szCs w:val="21"/>
                <w:lang w:val="zh-CN"/>
              </w:rPr>
              <w:t>12#</w:t>
            </w:r>
            <w:r>
              <w:rPr>
                <w:rFonts w:ascii="Times New Roman" w:eastAsiaTheme="minorEastAsia" w:hAnsi="Times New Roman"/>
                <w:sz w:val="21"/>
                <w:szCs w:val="21"/>
                <w:lang w:val="zh-CN"/>
              </w:rPr>
              <w:t>大河子沟</w:t>
            </w:r>
          </w:p>
        </w:tc>
        <w:tc>
          <w:tcPr>
            <w:tcW w:w="3263" w:type="dxa"/>
            <w:shd w:val="clear" w:color="auto" w:fill="auto"/>
            <w:vAlign w:val="center"/>
          </w:tcPr>
          <w:p w14:paraId="70D2BF7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、悬浮物、</w:t>
            </w:r>
            <w:r>
              <w:rPr>
                <w:rFonts w:ascii="Times New Roman" w:eastAsiaTheme="minorEastAsia" w:hAnsi="Times New Roman"/>
                <w:kern w:val="0"/>
                <w:sz w:val="21"/>
                <w:szCs w:val="21"/>
              </w:rPr>
              <w:t>COD</w:t>
            </w:r>
            <w:r>
              <w:rPr>
                <w:rFonts w:ascii="Times New Roman" w:eastAsiaTheme="minorEastAsia" w:hAnsi="Times New Roman"/>
                <w:kern w:val="0"/>
                <w:sz w:val="21"/>
                <w:szCs w:val="21"/>
              </w:rPr>
              <w:t>、</w:t>
            </w: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r>
              <w:rPr>
                <w:rFonts w:ascii="Times New Roman" w:eastAsiaTheme="minorEastAsia" w:hAnsi="Times New Roman"/>
                <w:kern w:val="0"/>
                <w:sz w:val="21"/>
                <w:szCs w:val="21"/>
              </w:rPr>
              <w:t>、氨氮、氟化物、硫化物、石油类、挥发酚、高猛酸盐指数、溶解氧、氰化物、溶解性总固体、总磷、铜、锌、硒、砷、汞、镉、六价铬、铅、阴离子表面活性剂、粪大肠菌群、总残渣、总氮、铁锰</w:t>
            </w:r>
          </w:p>
        </w:tc>
        <w:tc>
          <w:tcPr>
            <w:tcW w:w="1077" w:type="dxa"/>
            <w:shd w:val="clear" w:color="auto" w:fill="auto"/>
            <w:vAlign w:val="center"/>
          </w:tcPr>
          <w:p w14:paraId="6007DAD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COD</w:t>
            </w:r>
          </w:p>
          <w:p w14:paraId="28638DAD" w14:textId="77777777" w:rsidR="009C353B" w:rsidRDefault="00000000">
            <w:pPr>
              <w:widowControl/>
              <w:jc w:val="center"/>
              <w:rPr>
                <w:rFonts w:ascii="Times New Roman" w:eastAsiaTheme="minorEastAsia" w:hAnsi="Times New Roman"/>
                <w:kern w:val="0"/>
                <w:sz w:val="21"/>
                <w:szCs w:val="21"/>
                <w:vertAlign w:val="subscript"/>
              </w:rPr>
            </w:pPr>
            <w:r>
              <w:rPr>
                <w:rFonts w:ascii="Times New Roman" w:eastAsiaTheme="minorEastAsia" w:hAnsi="Times New Roman"/>
                <w:kern w:val="0"/>
                <w:sz w:val="21"/>
                <w:szCs w:val="21"/>
              </w:rPr>
              <w:t>BOD</w:t>
            </w:r>
            <w:r>
              <w:rPr>
                <w:rFonts w:ascii="Times New Roman" w:eastAsiaTheme="minorEastAsia" w:hAnsi="Times New Roman"/>
                <w:kern w:val="0"/>
                <w:sz w:val="21"/>
                <w:szCs w:val="21"/>
                <w:vertAlign w:val="subscript"/>
              </w:rPr>
              <w:t>5</w:t>
            </w:r>
          </w:p>
          <w:p w14:paraId="0E3EED5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氟化物</w:t>
            </w:r>
          </w:p>
        </w:tc>
        <w:tc>
          <w:tcPr>
            <w:tcW w:w="1862" w:type="dxa"/>
            <w:shd w:val="clear" w:color="auto" w:fill="auto"/>
            <w:noWrap/>
            <w:vAlign w:val="center"/>
          </w:tcPr>
          <w:p w14:paraId="1F23944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本次监测</w:t>
            </w:r>
          </w:p>
        </w:tc>
      </w:tr>
    </w:tbl>
    <w:p w14:paraId="2B30F85D" w14:textId="77777777" w:rsidR="009C353B" w:rsidRDefault="009C353B">
      <w:pPr>
        <w:adjustRightInd w:val="0"/>
        <w:snapToGrid w:val="0"/>
        <w:spacing w:line="440" w:lineRule="exact"/>
        <w:ind w:firstLine="480"/>
        <w:rPr>
          <w:rFonts w:ascii="Times New Roman" w:hAnsi="Times New Roman"/>
          <w:szCs w:val="24"/>
        </w:rPr>
      </w:pPr>
    </w:p>
    <w:p w14:paraId="10B4BFFC"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大河子沟</w:t>
      </w:r>
      <w:r>
        <w:rPr>
          <w:rFonts w:ascii="Times New Roman" w:hAnsi="Times New Roman" w:hint="eastAsia"/>
          <w:b/>
          <w:szCs w:val="24"/>
        </w:rPr>
        <w:t>水质污染因子对比表</w:t>
      </w:r>
    </w:p>
    <w:p w14:paraId="0135E2DE" w14:textId="77777777" w:rsidR="009C353B" w:rsidRDefault="00000000">
      <w:pPr>
        <w:adjustRightInd w:val="0"/>
        <w:snapToGrid w:val="0"/>
        <w:spacing w:line="440" w:lineRule="exact"/>
        <w:ind w:firstLineChars="50" w:firstLine="120"/>
        <w:outlineLvl w:val="4"/>
        <w:rPr>
          <w:rFonts w:ascii="Times New Roman" w:hAnsi="Times New Roman"/>
          <w:szCs w:val="24"/>
        </w:rPr>
      </w:pPr>
      <w:r>
        <w:rPr>
          <w:rFonts w:ascii="Times New Roman" w:hAnsi="Times New Roman" w:hint="eastAsia"/>
          <w:szCs w:val="24"/>
        </w:rPr>
        <w:t>表</w:t>
      </w:r>
      <w:r>
        <w:rPr>
          <w:rFonts w:ascii="Times New Roman" w:hAnsi="Times New Roman" w:hint="eastAsia"/>
          <w:szCs w:val="24"/>
        </w:rPr>
        <w:t>4</w:t>
      </w:r>
      <w:r>
        <w:rPr>
          <w:rFonts w:ascii="Times New Roman" w:hAnsi="Times New Roman"/>
          <w:szCs w:val="24"/>
        </w:rPr>
        <w:t>.3</w:t>
      </w:r>
      <w:r>
        <w:rPr>
          <w:rFonts w:ascii="Times New Roman" w:hAnsi="Times New Roman" w:hint="eastAsia"/>
          <w:szCs w:val="24"/>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1500"/>
        <w:gridCol w:w="1741"/>
        <w:gridCol w:w="2166"/>
        <w:gridCol w:w="2194"/>
      </w:tblGrid>
      <w:tr w:rsidR="009C353B" w14:paraId="42B760CD" w14:textId="77777777">
        <w:trPr>
          <w:trHeight w:val="679"/>
        </w:trPr>
        <w:tc>
          <w:tcPr>
            <w:tcW w:w="908" w:type="pct"/>
            <w:tcBorders>
              <w:tl2br w:val="single" w:sz="4" w:space="0" w:color="auto"/>
            </w:tcBorders>
            <w:shd w:val="clear" w:color="auto" w:fill="auto"/>
            <w:noWrap/>
            <w:vAlign w:val="center"/>
          </w:tcPr>
          <w:p w14:paraId="0B4D1A98" w14:textId="77777777" w:rsidR="009C353B" w:rsidRDefault="00000000">
            <w:pPr>
              <w:widowControl/>
              <w:jc w:val="center"/>
              <w:rPr>
                <w:rFonts w:ascii="Times New Roman" w:hAnsi="Times New Roman" w:cs="宋体"/>
                <w:kern w:val="0"/>
                <w:sz w:val="21"/>
                <w:szCs w:val="21"/>
              </w:rPr>
            </w:pPr>
            <w:bookmarkStart w:id="153" w:name="_Hlk58771654"/>
            <w:r>
              <w:rPr>
                <w:rFonts w:ascii="Times New Roman" w:hAnsi="Times New Roman" w:cs="宋体" w:hint="eastAsia"/>
                <w:kern w:val="0"/>
                <w:sz w:val="21"/>
                <w:szCs w:val="21"/>
              </w:rPr>
              <w:t xml:space="preserve"> </w:t>
            </w:r>
            <w:r>
              <w:rPr>
                <w:rFonts w:ascii="Times New Roman" w:hAnsi="Times New Roman" w:cs="宋体"/>
                <w:kern w:val="0"/>
                <w:sz w:val="21"/>
                <w:szCs w:val="21"/>
              </w:rPr>
              <w:t xml:space="preserve">     </w:t>
            </w:r>
            <w:r>
              <w:rPr>
                <w:rFonts w:ascii="Times New Roman" w:hAnsi="Times New Roman" w:cs="宋体" w:hint="eastAsia"/>
                <w:kern w:val="0"/>
                <w:sz w:val="21"/>
                <w:szCs w:val="21"/>
              </w:rPr>
              <w:t>污染因子</w:t>
            </w:r>
          </w:p>
          <w:p w14:paraId="2801F8B0" w14:textId="77777777" w:rsidR="009C353B" w:rsidRDefault="00000000">
            <w:pPr>
              <w:widowControl/>
              <w:rPr>
                <w:rFonts w:ascii="Times New Roman" w:hAnsi="Times New Roman" w:cs="宋体"/>
                <w:kern w:val="0"/>
                <w:sz w:val="21"/>
                <w:szCs w:val="21"/>
              </w:rPr>
            </w:pPr>
            <w:r>
              <w:rPr>
                <w:rFonts w:ascii="Times New Roman" w:hAnsi="Times New Roman" w:cs="宋体" w:hint="eastAsia"/>
                <w:kern w:val="0"/>
                <w:sz w:val="21"/>
                <w:szCs w:val="21"/>
              </w:rPr>
              <w:t>监测时间</w:t>
            </w:r>
          </w:p>
        </w:tc>
        <w:tc>
          <w:tcPr>
            <w:tcW w:w="808" w:type="pct"/>
            <w:shd w:val="clear" w:color="auto" w:fill="auto"/>
            <w:vAlign w:val="center"/>
          </w:tcPr>
          <w:p w14:paraId="6EAE3125" w14:textId="77777777" w:rsidR="009C353B" w:rsidRDefault="00000000">
            <w:pPr>
              <w:widowControl/>
              <w:jc w:val="center"/>
              <w:rPr>
                <w:rFonts w:cs="宋体" w:hint="eastAsia"/>
                <w:kern w:val="0"/>
                <w:sz w:val="21"/>
                <w:szCs w:val="21"/>
              </w:rPr>
            </w:pPr>
            <w:r>
              <w:rPr>
                <w:rFonts w:cs="宋体" w:hint="eastAsia"/>
                <w:kern w:val="0"/>
                <w:sz w:val="21"/>
                <w:szCs w:val="21"/>
              </w:rPr>
              <w:t>COD-平均(</w:t>
            </w:r>
            <w:r>
              <w:rPr>
                <w:rFonts w:cs="宋体"/>
                <w:kern w:val="0"/>
                <w:sz w:val="21"/>
                <w:szCs w:val="21"/>
              </w:rPr>
              <w:t>mg/L)</w:t>
            </w:r>
          </w:p>
        </w:tc>
        <w:tc>
          <w:tcPr>
            <w:tcW w:w="937" w:type="pct"/>
            <w:shd w:val="clear" w:color="auto" w:fill="auto"/>
            <w:noWrap/>
            <w:vAlign w:val="center"/>
          </w:tcPr>
          <w:p w14:paraId="2BA0394A" w14:textId="77777777" w:rsidR="009C353B" w:rsidRDefault="00000000">
            <w:pPr>
              <w:widowControl/>
              <w:jc w:val="center"/>
              <w:rPr>
                <w:rFonts w:cs="宋体" w:hint="eastAsia"/>
                <w:kern w:val="0"/>
                <w:sz w:val="21"/>
                <w:szCs w:val="21"/>
              </w:rPr>
            </w:pPr>
            <w:r>
              <w:rPr>
                <w:rFonts w:cs="宋体" w:hint="eastAsia"/>
                <w:kern w:val="0"/>
                <w:sz w:val="21"/>
                <w:szCs w:val="21"/>
              </w:rPr>
              <w:t>BOD</w:t>
            </w:r>
            <w:r>
              <w:rPr>
                <w:rFonts w:cs="宋体" w:hint="eastAsia"/>
                <w:kern w:val="0"/>
                <w:sz w:val="21"/>
                <w:szCs w:val="21"/>
                <w:vertAlign w:val="subscript"/>
              </w:rPr>
              <w:t>5</w:t>
            </w:r>
            <w:r>
              <w:rPr>
                <w:rFonts w:cs="宋体" w:hint="eastAsia"/>
                <w:kern w:val="0"/>
                <w:sz w:val="21"/>
                <w:szCs w:val="21"/>
              </w:rPr>
              <w:t>-平均(</w:t>
            </w:r>
            <w:r>
              <w:rPr>
                <w:rFonts w:cs="宋体"/>
                <w:kern w:val="0"/>
                <w:sz w:val="21"/>
                <w:szCs w:val="21"/>
              </w:rPr>
              <w:t>mg/L)</w:t>
            </w:r>
          </w:p>
        </w:tc>
        <w:tc>
          <w:tcPr>
            <w:tcW w:w="1166" w:type="pct"/>
            <w:shd w:val="clear" w:color="auto" w:fill="auto"/>
            <w:noWrap/>
            <w:vAlign w:val="center"/>
          </w:tcPr>
          <w:p w14:paraId="3CC289D9" w14:textId="77777777" w:rsidR="009C353B" w:rsidRDefault="00000000">
            <w:pPr>
              <w:widowControl/>
              <w:jc w:val="center"/>
              <w:rPr>
                <w:rFonts w:cs="宋体" w:hint="eastAsia"/>
                <w:kern w:val="0"/>
                <w:sz w:val="21"/>
                <w:szCs w:val="21"/>
              </w:rPr>
            </w:pPr>
            <w:r>
              <w:rPr>
                <w:rFonts w:cs="宋体" w:hint="eastAsia"/>
                <w:kern w:val="0"/>
                <w:sz w:val="21"/>
                <w:szCs w:val="21"/>
              </w:rPr>
              <w:t>氟化物-平均(</w:t>
            </w:r>
            <w:r>
              <w:rPr>
                <w:rFonts w:cs="宋体"/>
                <w:kern w:val="0"/>
                <w:sz w:val="21"/>
                <w:szCs w:val="21"/>
              </w:rPr>
              <w:t>mg/L)</w:t>
            </w:r>
          </w:p>
        </w:tc>
        <w:tc>
          <w:tcPr>
            <w:tcW w:w="1181" w:type="pct"/>
            <w:shd w:val="clear" w:color="auto" w:fill="auto"/>
            <w:noWrap/>
            <w:vAlign w:val="center"/>
          </w:tcPr>
          <w:p w14:paraId="0E2F2BFE" w14:textId="77777777" w:rsidR="009C353B" w:rsidRDefault="00000000">
            <w:pPr>
              <w:widowControl/>
              <w:jc w:val="center"/>
              <w:rPr>
                <w:rFonts w:cs="宋体" w:hint="eastAsia"/>
                <w:kern w:val="0"/>
                <w:sz w:val="21"/>
                <w:szCs w:val="21"/>
              </w:rPr>
            </w:pPr>
            <w:r>
              <w:rPr>
                <w:rFonts w:cs="宋体" w:hint="eastAsia"/>
                <w:kern w:val="0"/>
                <w:sz w:val="21"/>
                <w:szCs w:val="21"/>
              </w:rPr>
              <w:t>挥发酚-平均(</w:t>
            </w:r>
            <w:r>
              <w:rPr>
                <w:rFonts w:cs="宋体"/>
                <w:kern w:val="0"/>
                <w:sz w:val="21"/>
                <w:szCs w:val="21"/>
              </w:rPr>
              <w:t>mg/L)</w:t>
            </w:r>
          </w:p>
        </w:tc>
      </w:tr>
      <w:tr w:rsidR="009C353B" w14:paraId="7D9F08EC" w14:textId="77777777">
        <w:trPr>
          <w:trHeight w:val="340"/>
        </w:trPr>
        <w:tc>
          <w:tcPr>
            <w:tcW w:w="908" w:type="pct"/>
            <w:shd w:val="clear" w:color="auto" w:fill="auto"/>
            <w:noWrap/>
            <w:vAlign w:val="center"/>
          </w:tcPr>
          <w:p w14:paraId="100974CA" w14:textId="77777777" w:rsidR="009C353B" w:rsidRDefault="00000000">
            <w:pPr>
              <w:widowControl/>
              <w:jc w:val="center"/>
              <w:rPr>
                <w:rFonts w:cs="宋体" w:hint="eastAsia"/>
                <w:kern w:val="0"/>
                <w:sz w:val="21"/>
                <w:szCs w:val="21"/>
              </w:rPr>
            </w:pPr>
            <w:r>
              <w:rPr>
                <w:rFonts w:cs="宋体" w:hint="eastAsia"/>
                <w:kern w:val="0"/>
                <w:sz w:val="21"/>
                <w:szCs w:val="21"/>
              </w:rPr>
              <w:t>2013年</w:t>
            </w:r>
          </w:p>
        </w:tc>
        <w:tc>
          <w:tcPr>
            <w:tcW w:w="808" w:type="pct"/>
            <w:shd w:val="clear" w:color="auto" w:fill="auto"/>
            <w:noWrap/>
            <w:vAlign w:val="center"/>
          </w:tcPr>
          <w:p w14:paraId="55D21477" w14:textId="77777777" w:rsidR="009C353B" w:rsidRDefault="00000000">
            <w:pPr>
              <w:widowControl/>
              <w:jc w:val="center"/>
              <w:rPr>
                <w:rFonts w:cs="宋体" w:hint="eastAsia"/>
                <w:kern w:val="0"/>
                <w:sz w:val="21"/>
                <w:szCs w:val="21"/>
              </w:rPr>
            </w:pPr>
            <w:r>
              <w:rPr>
                <w:rFonts w:cs="宋体" w:hint="eastAsia"/>
                <w:kern w:val="0"/>
                <w:sz w:val="21"/>
                <w:szCs w:val="21"/>
              </w:rPr>
              <w:t>13</w:t>
            </w:r>
          </w:p>
        </w:tc>
        <w:tc>
          <w:tcPr>
            <w:tcW w:w="937" w:type="pct"/>
            <w:shd w:val="clear" w:color="auto" w:fill="auto"/>
            <w:noWrap/>
            <w:vAlign w:val="center"/>
          </w:tcPr>
          <w:p w14:paraId="77680413" w14:textId="77777777" w:rsidR="009C353B" w:rsidRDefault="00000000">
            <w:pPr>
              <w:widowControl/>
              <w:jc w:val="center"/>
              <w:rPr>
                <w:rFonts w:cs="宋体" w:hint="eastAsia"/>
                <w:kern w:val="0"/>
                <w:sz w:val="21"/>
                <w:szCs w:val="21"/>
              </w:rPr>
            </w:pPr>
            <w:r>
              <w:rPr>
                <w:rFonts w:cs="宋体" w:hint="eastAsia"/>
                <w:kern w:val="0"/>
                <w:sz w:val="21"/>
                <w:szCs w:val="21"/>
              </w:rPr>
              <w:t>3.68</w:t>
            </w:r>
          </w:p>
        </w:tc>
        <w:tc>
          <w:tcPr>
            <w:tcW w:w="1166" w:type="pct"/>
            <w:shd w:val="clear" w:color="auto" w:fill="auto"/>
            <w:noWrap/>
            <w:vAlign w:val="center"/>
          </w:tcPr>
          <w:p w14:paraId="6C714DDA" w14:textId="77777777" w:rsidR="009C353B" w:rsidRDefault="00000000">
            <w:pPr>
              <w:widowControl/>
              <w:jc w:val="center"/>
              <w:rPr>
                <w:rFonts w:cs="宋体" w:hint="eastAsia"/>
                <w:kern w:val="0"/>
                <w:sz w:val="21"/>
                <w:szCs w:val="21"/>
              </w:rPr>
            </w:pPr>
            <w:r>
              <w:rPr>
                <w:rFonts w:cs="宋体" w:hint="eastAsia"/>
                <w:kern w:val="0"/>
                <w:sz w:val="21"/>
                <w:szCs w:val="21"/>
              </w:rPr>
              <w:t>1.76</w:t>
            </w:r>
          </w:p>
        </w:tc>
        <w:tc>
          <w:tcPr>
            <w:tcW w:w="1181" w:type="pct"/>
            <w:shd w:val="clear" w:color="auto" w:fill="auto"/>
            <w:noWrap/>
            <w:vAlign w:val="center"/>
          </w:tcPr>
          <w:p w14:paraId="51C49543" w14:textId="77777777" w:rsidR="009C353B" w:rsidRDefault="00000000">
            <w:pPr>
              <w:widowControl/>
              <w:jc w:val="center"/>
              <w:rPr>
                <w:rFonts w:cs="宋体" w:hint="eastAsia"/>
                <w:kern w:val="0"/>
                <w:sz w:val="21"/>
                <w:szCs w:val="21"/>
              </w:rPr>
            </w:pPr>
            <w:r>
              <w:rPr>
                <w:rFonts w:cs="宋体" w:hint="eastAsia"/>
                <w:kern w:val="0"/>
                <w:sz w:val="21"/>
                <w:szCs w:val="21"/>
              </w:rPr>
              <w:t>0.038</w:t>
            </w:r>
          </w:p>
        </w:tc>
      </w:tr>
      <w:tr w:rsidR="009C353B" w14:paraId="07837177" w14:textId="77777777">
        <w:trPr>
          <w:trHeight w:val="340"/>
        </w:trPr>
        <w:tc>
          <w:tcPr>
            <w:tcW w:w="908" w:type="pct"/>
            <w:shd w:val="clear" w:color="auto" w:fill="auto"/>
            <w:noWrap/>
            <w:vAlign w:val="center"/>
          </w:tcPr>
          <w:p w14:paraId="592640EA" w14:textId="77777777" w:rsidR="009C353B" w:rsidRDefault="00000000">
            <w:pPr>
              <w:widowControl/>
              <w:jc w:val="center"/>
              <w:rPr>
                <w:rFonts w:cs="宋体" w:hint="eastAsia"/>
                <w:kern w:val="0"/>
                <w:sz w:val="21"/>
                <w:szCs w:val="21"/>
              </w:rPr>
            </w:pPr>
            <w:r>
              <w:rPr>
                <w:rFonts w:cs="宋体" w:hint="eastAsia"/>
                <w:kern w:val="0"/>
                <w:sz w:val="21"/>
                <w:szCs w:val="21"/>
              </w:rPr>
              <w:t>2018年</w:t>
            </w:r>
          </w:p>
        </w:tc>
        <w:tc>
          <w:tcPr>
            <w:tcW w:w="808" w:type="pct"/>
            <w:shd w:val="clear" w:color="auto" w:fill="auto"/>
            <w:noWrap/>
            <w:vAlign w:val="center"/>
          </w:tcPr>
          <w:p w14:paraId="2B954287" w14:textId="77777777" w:rsidR="009C353B" w:rsidRDefault="00000000">
            <w:pPr>
              <w:widowControl/>
              <w:jc w:val="center"/>
              <w:rPr>
                <w:rFonts w:cs="宋体" w:hint="eastAsia"/>
                <w:kern w:val="0"/>
                <w:sz w:val="21"/>
                <w:szCs w:val="21"/>
              </w:rPr>
            </w:pPr>
            <w:r>
              <w:rPr>
                <w:rFonts w:cs="宋体" w:hint="eastAsia"/>
                <w:kern w:val="0"/>
                <w:sz w:val="21"/>
                <w:szCs w:val="21"/>
              </w:rPr>
              <w:t>195.78</w:t>
            </w:r>
          </w:p>
        </w:tc>
        <w:tc>
          <w:tcPr>
            <w:tcW w:w="937" w:type="pct"/>
            <w:shd w:val="clear" w:color="auto" w:fill="auto"/>
            <w:noWrap/>
            <w:vAlign w:val="center"/>
          </w:tcPr>
          <w:p w14:paraId="1825EFA4" w14:textId="77777777" w:rsidR="009C353B" w:rsidRDefault="00000000">
            <w:pPr>
              <w:widowControl/>
              <w:jc w:val="center"/>
              <w:rPr>
                <w:rFonts w:cs="宋体" w:hint="eastAsia"/>
                <w:kern w:val="0"/>
                <w:sz w:val="21"/>
                <w:szCs w:val="21"/>
              </w:rPr>
            </w:pPr>
            <w:r>
              <w:rPr>
                <w:rFonts w:cs="宋体" w:hint="eastAsia"/>
                <w:kern w:val="0"/>
                <w:sz w:val="21"/>
                <w:szCs w:val="21"/>
              </w:rPr>
              <w:t>65.15</w:t>
            </w:r>
          </w:p>
        </w:tc>
        <w:tc>
          <w:tcPr>
            <w:tcW w:w="1166" w:type="pct"/>
            <w:shd w:val="clear" w:color="auto" w:fill="auto"/>
            <w:noWrap/>
            <w:vAlign w:val="center"/>
          </w:tcPr>
          <w:p w14:paraId="02671BB5" w14:textId="77777777" w:rsidR="009C353B" w:rsidRDefault="00000000">
            <w:pPr>
              <w:widowControl/>
              <w:jc w:val="center"/>
              <w:rPr>
                <w:rFonts w:cs="宋体" w:hint="eastAsia"/>
                <w:kern w:val="0"/>
                <w:sz w:val="21"/>
                <w:szCs w:val="21"/>
              </w:rPr>
            </w:pPr>
            <w:r>
              <w:rPr>
                <w:rFonts w:cs="宋体" w:hint="eastAsia"/>
                <w:kern w:val="0"/>
                <w:sz w:val="21"/>
                <w:szCs w:val="21"/>
              </w:rPr>
              <w:t>0.76</w:t>
            </w:r>
          </w:p>
        </w:tc>
        <w:tc>
          <w:tcPr>
            <w:tcW w:w="1181" w:type="pct"/>
            <w:shd w:val="clear" w:color="auto" w:fill="auto"/>
            <w:noWrap/>
            <w:vAlign w:val="center"/>
          </w:tcPr>
          <w:p w14:paraId="489E99EA" w14:textId="77777777" w:rsidR="009C353B" w:rsidRDefault="00000000">
            <w:pPr>
              <w:widowControl/>
              <w:jc w:val="center"/>
              <w:rPr>
                <w:rFonts w:cs="宋体" w:hint="eastAsia"/>
                <w:kern w:val="0"/>
                <w:sz w:val="21"/>
                <w:szCs w:val="21"/>
              </w:rPr>
            </w:pPr>
            <w:r>
              <w:rPr>
                <w:rFonts w:cs="宋体" w:hint="eastAsia"/>
                <w:kern w:val="0"/>
                <w:sz w:val="21"/>
                <w:szCs w:val="21"/>
              </w:rPr>
              <w:t>未检出</w:t>
            </w:r>
          </w:p>
        </w:tc>
      </w:tr>
      <w:tr w:rsidR="009C353B" w14:paraId="1A59F310" w14:textId="77777777">
        <w:trPr>
          <w:trHeight w:val="340"/>
        </w:trPr>
        <w:tc>
          <w:tcPr>
            <w:tcW w:w="908" w:type="pct"/>
            <w:shd w:val="clear" w:color="auto" w:fill="auto"/>
            <w:noWrap/>
            <w:vAlign w:val="center"/>
          </w:tcPr>
          <w:p w14:paraId="58A4A956" w14:textId="77777777" w:rsidR="009C353B" w:rsidRDefault="00000000">
            <w:pPr>
              <w:widowControl/>
              <w:jc w:val="center"/>
              <w:rPr>
                <w:rFonts w:cs="宋体" w:hint="eastAsia"/>
                <w:kern w:val="0"/>
                <w:sz w:val="21"/>
                <w:szCs w:val="21"/>
              </w:rPr>
            </w:pPr>
            <w:r>
              <w:rPr>
                <w:rFonts w:cs="宋体" w:hint="eastAsia"/>
                <w:kern w:val="0"/>
                <w:sz w:val="21"/>
                <w:szCs w:val="21"/>
              </w:rPr>
              <w:t>2020年</w:t>
            </w:r>
          </w:p>
        </w:tc>
        <w:tc>
          <w:tcPr>
            <w:tcW w:w="808" w:type="pct"/>
            <w:shd w:val="clear" w:color="auto" w:fill="auto"/>
            <w:noWrap/>
            <w:vAlign w:val="center"/>
          </w:tcPr>
          <w:p w14:paraId="4001308B" w14:textId="77777777" w:rsidR="009C353B" w:rsidRDefault="00000000">
            <w:pPr>
              <w:widowControl/>
              <w:jc w:val="center"/>
              <w:rPr>
                <w:rFonts w:cs="宋体" w:hint="eastAsia"/>
                <w:kern w:val="0"/>
                <w:sz w:val="21"/>
                <w:szCs w:val="21"/>
              </w:rPr>
            </w:pPr>
            <w:r>
              <w:rPr>
                <w:rFonts w:cs="宋体" w:hint="eastAsia"/>
                <w:kern w:val="0"/>
                <w:sz w:val="21"/>
                <w:szCs w:val="21"/>
              </w:rPr>
              <w:t>34.67</w:t>
            </w:r>
          </w:p>
        </w:tc>
        <w:tc>
          <w:tcPr>
            <w:tcW w:w="937" w:type="pct"/>
            <w:shd w:val="clear" w:color="auto" w:fill="auto"/>
            <w:noWrap/>
            <w:vAlign w:val="center"/>
          </w:tcPr>
          <w:p w14:paraId="08B01858" w14:textId="77777777" w:rsidR="009C353B" w:rsidRDefault="00000000">
            <w:pPr>
              <w:widowControl/>
              <w:jc w:val="center"/>
              <w:rPr>
                <w:rFonts w:cs="宋体" w:hint="eastAsia"/>
                <w:kern w:val="0"/>
                <w:sz w:val="21"/>
                <w:szCs w:val="21"/>
              </w:rPr>
            </w:pPr>
            <w:r>
              <w:rPr>
                <w:rFonts w:cs="宋体" w:hint="eastAsia"/>
                <w:kern w:val="0"/>
                <w:sz w:val="21"/>
                <w:szCs w:val="21"/>
              </w:rPr>
              <w:t>6.2</w:t>
            </w:r>
          </w:p>
        </w:tc>
        <w:tc>
          <w:tcPr>
            <w:tcW w:w="1166" w:type="pct"/>
            <w:shd w:val="clear" w:color="auto" w:fill="auto"/>
            <w:noWrap/>
            <w:vAlign w:val="center"/>
          </w:tcPr>
          <w:p w14:paraId="66A2A542" w14:textId="77777777" w:rsidR="009C353B" w:rsidRDefault="00000000">
            <w:pPr>
              <w:widowControl/>
              <w:jc w:val="center"/>
              <w:rPr>
                <w:rFonts w:cs="宋体" w:hint="eastAsia"/>
                <w:kern w:val="0"/>
                <w:sz w:val="21"/>
                <w:szCs w:val="21"/>
              </w:rPr>
            </w:pPr>
            <w:r>
              <w:rPr>
                <w:rFonts w:cs="宋体" w:hint="eastAsia"/>
                <w:kern w:val="0"/>
                <w:sz w:val="21"/>
                <w:szCs w:val="21"/>
              </w:rPr>
              <w:t>2.89</w:t>
            </w:r>
          </w:p>
        </w:tc>
        <w:tc>
          <w:tcPr>
            <w:tcW w:w="1181" w:type="pct"/>
            <w:shd w:val="clear" w:color="auto" w:fill="auto"/>
            <w:noWrap/>
            <w:vAlign w:val="center"/>
          </w:tcPr>
          <w:p w14:paraId="08AAC526" w14:textId="77777777" w:rsidR="009C353B" w:rsidRDefault="00000000">
            <w:pPr>
              <w:widowControl/>
              <w:jc w:val="center"/>
              <w:rPr>
                <w:rFonts w:cs="宋体" w:hint="eastAsia"/>
                <w:kern w:val="0"/>
                <w:sz w:val="21"/>
                <w:szCs w:val="21"/>
              </w:rPr>
            </w:pPr>
            <w:r>
              <w:rPr>
                <w:rFonts w:cs="宋体" w:hint="eastAsia"/>
                <w:kern w:val="0"/>
                <w:sz w:val="21"/>
                <w:szCs w:val="21"/>
              </w:rPr>
              <w:t>未检出</w:t>
            </w:r>
          </w:p>
        </w:tc>
      </w:tr>
      <w:bookmarkEnd w:id="153"/>
    </w:tbl>
    <w:p w14:paraId="07CE5F65" w14:textId="77777777" w:rsidR="009C353B" w:rsidRDefault="009C353B">
      <w:pPr>
        <w:adjustRightInd w:val="0"/>
        <w:snapToGrid w:val="0"/>
        <w:spacing w:line="440" w:lineRule="exact"/>
        <w:ind w:firstLine="480"/>
        <w:rPr>
          <w:rFonts w:ascii="Times New Roman" w:hAnsi="Times New Roman"/>
          <w:szCs w:val="24"/>
        </w:rPr>
      </w:pPr>
    </w:p>
    <w:tbl>
      <w:tblPr>
        <w:tblStyle w:val="afffb"/>
        <w:tblW w:w="0" w:type="auto"/>
        <w:jc w:val="center"/>
        <w:tblLook w:val="04A0" w:firstRow="1" w:lastRow="0" w:firstColumn="1" w:lastColumn="0" w:noHBand="0" w:noVBand="1"/>
      </w:tblPr>
      <w:tblGrid>
        <w:gridCol w:w="6803"/>
      </w:tblGrid>
      <w:tr w:rsidR="009C353B" w14:paraId="71DDD249" w14:textId="77777777">
        <w:trPr>
          <w:trHeight w:val="4195"/>
          <w:jc w:val="center"/>
        </w:trPr>
        <w:tc>
          <w:tcPr>
            <w:tcW w:w="6803" w:type="dxa"/>
            <w:vAlign w:val="center"/>
          </w:tcPr>
          <w:p w14:paraId="132E4A1C" w14:textId="77777777" w:rsidR="009C353B" w:rsidRDefault="00000000">
            <w:pPr>
              <w:adjustRightInd w:val="0"/>
              <w:snapToGrid w:val="0"/>
              <w:jc w:val="center"/>
              <w:rPr>
                <w:rFonts w:ascii="Times New Roman" w:hAnsi="Times New Roman"/>
                <w:b/>
                <w:bCs/>
                <w:sz w:val="21"/>
                <w:szCs w:val="21"/>
              </w:rPr>
            </w:pPr>
            <w:bookmarkStart w:id="154" w:name="_Hlk58846069"/>
            <w:r>
              <w:rPr>
                <w:rFonts w:ascii="Times New Roman" w:hAnsi="Times New Roman" w:hint="eastAsia"/>
                <w:b/>
                <w:bCs/>
                <w:noProof/>
                <w:sz w:val="21"/>
                <w:szCs w:val="21"/>
              </w:rPr>
              <w:drawing>
                <wp:inline distT="0" distB="0" distL="0" distR="0" wp14:anchorId="6E82BCE1" wp14:editId="289503DE">
                  <wp:extent cx="4165600" cy="2519680"/>
                  <wp:effectExtent l="0" t="0" r="6350" b="0"/>
                  <wp:docPr id="496"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图片 496"/>
                          <pic:cNvPicPr>
                            <a:picLocks noChangeAspect="1"/>
                          </pic:cNvPicPr>
                        </pic:nvPicPr>
                        <pic:blipFill>
                          <a:blip r:embed="rId317">
                            <a:extLst>
                              <a:ext uri="{28A0092B-C50C-407E-A947-70E740481C1C}">
                                <a14:useLocalDpi xmlns:a14="http://schemas.microsoft.com/office/drawing/2010/main" val="0"/>
                              </a:ext>
                            </a:extLst>
                          </a:blip>
                          <a:stretch>
                            <a:fillRect/>
                          </a:stretch>
                        </pic:blipFill>
                        <pic:spPr>
                          <a:xfrm>
                            <a:off x="0" y="0"/>
                            <a:ext cx="4166059" cy="2520000"/>
                          </a:xfrm>
                          <a:prstGeom prst="rect">
                            <a:avLst/>
                          </a:prstGeom>
                        </pic:spPr>
                      </pic:pic>
                    </a:graphicData>
                  </a:graphic>
                </wp:inline>
              </w:drawing>
            </w:r>
          </w:p>
        </w:tc>
      </w:tr>
      <w:tr w:rsidR="009C353B" w14:paraId="574498AF" w14:textId="77777777">
        <w:trPr>
          <w:trHeight w:val="340"/>
          <w:jc w:val="center"/>
        </w:trPr>
        <w:tc>
          <w:tcPr>
            <w:tcW w:w="6803" w:type="dxa"/>
            <w:vAlign w:val="center"/>
          </w:tcPr>
          <w:p w14:paraId="65D92A9C"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b/>
                <w:bCs/>
                <w:sz w:val="21"/>
                <w:szCs w:val="21"/>
              </w:rPr>
              <w:t>大河子沟</w:t>
            </w:r>
            <w:r>
              <w:rPr>
                <w:rFonts w:ascii="Times New Roman" w:hAnsi="Times New Roman" w:hint="eastAsia"/>
                <w:b/>
                <w:bCs/>
                <w:sz w:val="21"/>
                <w:szCs w:val="21"/>
              </w:rPr>
              <w:t>C</w:t>
            </w:r>
            <w:r>
              <w:rPr>
                <w:rFonts w:ascii="Times New Roman" w:hAnsi="Times New Roman"/>
                <w:b/>
                <w:bCs/>
                <w:sz w:val="21"/>
                <w:szCs w:val="21"/>
              </w:rPr>
              <w:t>OD</w:t>
            </w:r>
            <w:r>
              <w:rPr>
                <w:rFonts w:ascii="Times New Roman" w:hAnsi="Times New Roman" w:hint="eastAsia"/>
                <w:b/>
                <w:bCs/>
                <w:sz w:val="21"/>
                <w:szCs w:val="21"/>
              </w:rPr>
              <w:t>浓度变化趋势</w:t>
            </w:r>
          </w:p>
        </w:tc>
      </w:tr>
      <w:tr w:rsidR="009C353B" w14:paraId="56AF8D9E" w14:textId="77777777">
        <w:trPr>
          <w:trHeight w:val="4195"/>
          <w:jc w:val="center"/>
        </w:trPr>
        <w:tc>
          <w:tcPr>
            <w:tcW w:w="6803" w:type="dxa"/>
            <w:vAlign w:val="center"/>
          </w:tcPr>
          <w:p w14:paraId="7DA24EA2"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b/>
                <w:bCs/>
                <w:noProof/>
                <w:sz w:val="21"/>
                <w:szCs w:val="21"/>
              </w:rPr>
              <w:drawing>
                <wp:inline distT="0" distB="0" distL="0" distR="0" wp14:anchorId="77C22680" wp14:editId="6E4BE7F2">
                  <wp:extent cx="4168775" cy="2519680"/>
                  <wp:effectExtent l="0" t="0" r="3175" b="0"/>
                  <wp:docPr id="498" name="图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498"/>
                          <pic:cNvPicPr>
                            <a:picLocks noChangeAspect="1"/>
                          </pic:cNvPicPr>
                        </pic:nvPicPr>
                        <pic:blipFill>
                          <a:blip r:embed="rId318">
                            <a:extLst>
                              <a:ext uri="{28A0092B-C50C-407E-A947-70E740481C1C}">
                                <a14:useLocalDpi xmlns:a14="http://schemas.microsoft.com/office/drawing/2010/main" val="0"/>
                              </a:ext>
                            </a:extLst>
                          </a:blip>
                          <a:stretch>
                            <a:fillRect/>
                          </a:stretch>
                        </pic:blipFill>
                        <pic:spPr>
                          <a:xfrm>
                            <a:off x="0" y="0"/>
                            <a:ext cx="4168994" cy="2520000"/>
                          </a:xfrm>
                          <a:prstGeom prst="rect">
                            <a:avLst/>
                          </a:prstGeom>
                        </pic:spPr>
                      </pic:pic>
                    </a:graphicData>
                  </a:graphic>
                </wp:inline>
              </w:drawing>
            </w:r>
          </w:p>
        </w:tc>
      </w:tr>
      <w:tr w:rsidR="009C353B" w14:paraId="4375DD43" w14:textId="77777777">
        <w:trPr>
          <w:trHeight w:val="340"/>
          <w:jc w:val="center"/>
        </w:trPr>
        <w:tc>
          <w:tcPr>
            <w:tcW w:w="6803" w:type="dxa"/>
            <w:vAlign w:val="center"/>
          </w:tcPr>
          <w:p w14:paraId="27D8CE7A"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b/>
                <w:bCs/>
                <w:sz w:val="21"/>
                <w:szCs w:val="21"/>
              </w:rPr>
              <w:t>大河子沟</w:t>
            </w:r>
            <w:r>
              <w:rPr>
                <w:rFonts w:ascii="Times New Roman" w:hAnsi="Times New Roman"/>
                <w:b/>
                <w:bCs/>
                <w:sz w:val="21"/>
                <w:szCs w:val="21"/>
              </w:rPr>
              <w:t>BOD</w:t>
            </w:r>
            <w:r>
              <w:rPr>
                <w:rFonts w:ascii="Times New Roman" w:hAnsi="Times New Roman"/>
                <w:b/>
                <w:bCs/>
                <w:sz w:val="21"/>
                <w:szCs w:val="21"/>
                <w:vertAlign w:val="subscript"/>
              </w:rPr>
              <w:t>5</w:t>
            </w:r>
            <w:r>
              <w:rPr>
                <w:rFonts w:ascii="Times New Roman" w:hAnsi="Times New Roman" w:hint="eastAsia"/>
                <w:b/>
                <w:bCs/>
                <w:sz w:val="21"/>
                <w:szCs w:val="21"/>
              </w:rPr>
              <w:t>浓度变化趋势</w:t>
            </w:r>
          </w:p>
        </w:tc>
      </w:tr>
      <w:tr w:rsidR="009C353B" w14:paraId="34832B51" w14:textId="77777777">
        <w:trPr>
          <w:trHeight w:val="4195"/>
          <w:jc w:val="center"/>
        </w:trPr>
        <w:tc>
          <w:tcPr>
            <w:tcW w:w="6803" w:type="dxa"/>
            <w:vAlign w:val="center"/>
          </w:tcPr>
          <w:p w14:paraId="1BB61CFF"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b/>
                <w:bCs/>
                <w:noProof/>
                <w:sz w:val="21"/>
                <w:szCs w:val="21"/>
              </w:rPr>
              <w:drawing>
                <wp:inline distT="0" distB="0" distL="0" distR="0" wp14:anchorId="710E1B08" wp14:editId="4530064E">
                  <wp:extent cx="4143375" cy="2519680"/>
                  <wp:effectExtent l="0" t="0" r="0" b="0"/>
                  <wp:docPr id="499"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499"/>
                          <pic:cNvPicPr>
                            <a:picLocks noChangeAspect="1"/>
                          </pic:cNvPicPr>
                        </pic:nvPicPr>
                        <pic:blipFill>
                          <a:blip r:embed="rId319">
                            <a:extLst>
                              <a:ext uri="{28A0092B-C50C-407E-A947-70E740481C1C}">
                                <a14:useLocalDpi xmlns:a14="http://schemas.microsoft.com/office/drawing/2010/main" val="0"/>
                              </a:ext>
                            </a:extLst>
                          </a:blip>
                          <a:stretch>
                            <a:fillRect/>
                          </a:stretch>
                        </pic:blipFill>
                        <pic:spPr>
                          <a:xfrm>
                            <a:off x="0" y="0"/>
                            <a:ext cx="4143624" cy="2520000"/>
                          </a:xfrm>
                          <a:prstGeom prst="rect">
                            <a:avLst/>
                          </a:prstGeom>
                        </pic:spPr>
                      </pic:pic>
                    </a:graphicData>
                  </a:graphic>
                </wp:inline>
              </w:drawing>
            </w:r>
          </w:p>
        </w:tc>
      </w:tr>
      <w:tr w:rsidR="009C353B" w14:paraId="508E61B3" w14:textId="77777777">
        <w:trPr>
          <w:trHeight w:val="340"/>
          <w:jc w:val="center"/>
        </w:trPr>
        <w:tc>
          <w:tcPr>
            <w:tcW w:w="6803" w:type="dxa"/>
            <w:vAlign w:val="center"/>
          </w:tcPr>
          <w:p w14:paraId="2721A39C"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b/>
                <w:bCs/>
                <w:sz w:val="21"/>
                <w:szCs w:val="21"/>
              </w:rPr>
              <w:t>大河子沟氟化物浓度变化趋势</w:t>
            </w:r>
          </w:p>
        </w:tc>
      </w:tr>
      <w:tr w:rsidR="009C353B" w14:paraId="1B2D1CCD" w14:textId="77777777">
        <w:trPr>
          <w:trHeight w:val="4195"/>
          <w:jc w:val="center"/>
        </w:trPr>
        <w:tc>
          <w:tcPr>
            <w:tcW w:w="6803" w:type="dxa"/>
            <w:vAlign w:val="center"/>
          </w:tcPr>
          <w:p w14:paraId="0146FB8E"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b/>
                <w:bCs/>
                <w:noProof/>
                <w:sz w:val="21"/>
                <w:szCs w:val="21"/>
              </w:rPr>
              <w:drawing>
                <wp:inline distT="0" distB="0" distL="0" distR="0" wp14:anchorId="5E6EB6AD" wp14:editId="5862EA9B">
                  <wp:extent cx="4143375" cy="2519680"/>
                  <wp:effectExtent l="0" t="0" r="0" b="0"/>
                  <wp:docPr id="500"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500"/>
                          <pic:cNvPicPr>
                            <a:picLocks noChangeAspect="1"/>
                          </pic:cNvPicPr>
                        </pic:nvPicPr>
                        <pic:blipFill>
                          <a:blip r:embed="rId320">
                            <a:extLst>
                              <a:ext uri="{28A0092B-C50C-407E-A947-70E740481C1C}">
                                <a14:useLocalDpi xmlns:a14="http://schemas.microsoft.com/office/drawing/2010/main" val="0"/>
                              </a:ext>
                            </a:extLst>
                          </a:blip>
                          <a:stretch>
                            <a:fillRect/>
                          </a:stretch>
                        </pic:blipFill>
                        <pic:spPr>
                          <a:xfrm>
                            <a:off x="0" y="0"/>
                            <a:ext cx="4143624" cy="2520000"/>
                          </a:xfrm>
                          <a:prstGeom prst="rect">
                            <a:avLst/>
                          </a:prstGeom>
                        </pic:spPr>
                      </pic:pic>
                    </a:graphicData>
                  </a:graphic>
                </wp:inline>
              </w:drawing>
            </w:r>
          </w:p>
        </w:tc>
      </w:tr>
      <w:tr w:rsidR="009C353B" w14:paraId="7799384A" w14:textId="77777777">
        <w:trPr>
          <w:trHeight w:val="340"/>
          <w:jc w:val="center"/>
        </w:trPr>
        <w:tc>
          <w:tcPr>
            <w:tcW w:w="6803" w:type="dxa"/>
            <w:vAlign w:val="center"/>
          </w:tcPr>
          <w:p w14:paraId="2CB6B061"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b/>
                <w:bCs/>
                <w:sz w:val="21"/>
                <w:szCs w:val="21"/>
              </w:rPr>
              <w:t>大河子沟挥发酚浓度变化趋势</w:t>
            </w:r>
          </w:p>
        </w:tc>
      </w:tr>
    </w:tbl>
    <w:bookmarkEnd w:id="154"/>
    <w:p w14:paraId="4C11562C" w14:textId="77777777" w:rsidR="009C353B" w:rsidRDefault="00000000">
      <w:pPr>
        <w:adjustRightInd w:val="0"/>
        <w:snapToGrid w:val="0"/>
        <w:spacing w:line="440" w:lineRule="exact"/>
        <w:ind w:firstLine="480"/>
        <w:jc w:val="center"/>
        <w:rPr>
          <w:rFonts w:ascii="Times New Roman" w:hAnsi="Times New Roman"/>
          <w:b/>
          <w:bCs/>
          <w:szCs w:val="24"/>
        </w:rPr>
      </w:pPr>
      <w:r>
        <w:rPr>
          <w:rFonts w:ascii="Times New Roman" w:hAnsi="Times New Roman" w:hint="eastAsia"/>
          <w:b/>
          <w:bCs/>
          <w:szCs w:val="24"/>
        </w:rPr>
        <w:t>图</w:t>
      </w:r>
      <w:r>
        <w:rPr>
          <w:rFonts w:ascii="Times New Roman" w:hAnsi="Times New Roman" w:hint="eastAsia"/>
          <w:b/>
          <w:bCs/>
          <w:szCs w:val="24"/>
        </w:rPr>
        <w:t>4.3-2</w:t>
      </w:r>
      <w:r>
        <w:rPr>
          <w:rFonts w:ascii="Times New Roman" w:hAnsi="Times New Roman"/>
          <w:b/>
          <w:bCs/>
          <w:szCs w:val="24"/>
        </w:rPr>
        <w:t xml:space="preserve"> </w:t>
      </w:r>
      <w:r>
        <w:rPr>
          <w:rFonts w:ascii="Times New Roman" w:hAnsi="Times New Roman" w:hint="eastAsia"/>
          <w:b/>
          <w:bCs/>
          <w:szCs w:val="24"/>
        </w:rPr>
        <w:t>大河子沟水质污染因子变化趋势</w:t>
      </w:r>
    </w:p>
    <w:p w14:paraId="5023ABC7"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Ansi="Times New Roman" w:hint="eastAsia"/>
          <w:szCs w:val="24"/>
        </w:rPr>
        <w:t>由表</w:t>
      </w:r>
      <w:r>
        <w:rPr>
          <w:rFonts w:ascii="Times New Roman" w:hAnsi="Times New Roman" w:hint="eastAsia"/>
          <w:szCs w:val="24"/>
        </w:rPr>
        <w:t>4.3-8</w:t>
      </w:r>
      <w:r>
        <w:rPr>
          <w:rFonts w:ascii="Times New Roman" w:hAnsi="Times New Roman" w:hint="eastAsia"/>
          <w:szCs w:val="24"/>
        </w:rPr>
        <w:t>与图</w:t>
      </w:r>
      <w:r>
        <w:rPr>
          <w:rFonts w:ascii="Times New Roman" w:hAnsi="Times New Roman" w:hint="eastAsia"/>
          <w:szCs w:val="24"/>
        </w:rPr>
        <w:t>4.3-2</w:t>
      </w:r>
      <w:r>
        <w:rPr>
          <w:rFonts w:ascii="Times New Roman" w:hAnsi="Times New Roman" w:hint="eastAsia"/>
          <w:szCs w:val="24"/>
        </w:rPr>
        <w:t>可以看出大河子沟水质相应污染因子的变化情况，其主要污染因子包括</w:t>
      </w:r>
      <w:r>
        <w:rPr>
          <w:rFonts w:ascii="Times New Roman" w:hAnsi="Times New Roman" w:hint="eastAsia"/>
          <w:szCs w:val="24"/>
        </w:rPr>
        <w:t>C</w:t>
      </w:r>
      <w:r>
        <w:rPr>
          <w:rFonts w:ascii="Times New Roman" w:hAnsi="Times New Roman"/>
          <w:szCs w:val="24"/>
        </w:rPr>
        <w:t>OD</w:t>
      </w:r>
      <w:r>
        <w:rPr>
          <w:rFonts w:ascii="Times New Roman" w:hAnsi="Times New Roman" w:hint="eastAsia"/>
          <w:szCs w:val="24"/>
        </w:rPr>
        <w:t>、</w:t>
      </w:r>
      <w:r>
        <w:rPr>
          <w:rFonts w:ascii="Times New Roman" w:hAnsi="Times New Roman" w:hint="eastAsia"/>
          <w:szCs w:val="24"/>
        </w:rPr>
        <w:t>B</w:t>
      </w:r>
      <w:r>
        <w:rPr>
          <w:rFonts w:ascii="Times New Roman" w:hAnsi="Times New Roman"/>
          <w:szCs w:val="24"/>
        </w:rPr>
        <w:t>OD</w:t>
      </w:r>
      <w:r>
        <w:rPr>
          <w:rFonts w:ascii="Times New Roman" w:hAnsi="Times New Roman"/>
          <w:szCs w:val="24"/>
          <w:vertAlign w:val="subscript"/>
        </w:rPr>
        <w:t>5</w:t>
      </w:r>
      <w:r>
        <w:rPr>
          <w:rFonts w:ascii="Times New Roman" w:hAnsi="Times New Roman" w:hint="eastAsia"/>
          <w:szCs w:val="24"/>
        </w:rPr>
        <w:t>、氟化物、挥发酚</w:t>
      </w:r>
      <w:r>
        <w:rPr>
          <w:rFonts w:ascii="Times New Roman" w:hAnsi="Times New Roman" w:hint="eastAsia"/>
          <w:szCs w:val="24"/>
        </w:rPr>
        <w:t>4</w:t>
      </w:r>
      <w:r>
        <w:rPr>
          <w:rFonts w:ascii="Times New Roman" w:hAnsi="Times New Roman" w:hint="eastAsia"/>
          <w:szCs w:val="24"/>
        </w:rPr>
        <w:t>项。</w:t>
      </w:r>
      <w:r>
        <w:rPr>
          <w:rFonts w:ascii="Times New Roman" w:hAnsi="Times New Roman"/>
          <w:szCs w:val="24"/>
        </w:rPr>
        <w:t>COD</w:t>
      </w:r>
      <w:r>
        <w:rPr>
          <w:rFonts w:ascii="Times New Roman" w:hAnsi="Times New Roman" w:hint="eastAsia"/>
          <w:szCs w:val="24"/>
        </w:rPr>
        <w:t>、</w:t>
      </w:r>
      <w:r>
        <w:rPr>
          <w:rFonts w:ascii="Times New Roman" w:hAnsi="Times New Roman"/>
          <w:szCs w:val="24"/>
        </w:rPr>
        <w:t>BOD</w:t>
      </w:r>
      <w:r>
        <w:rPr>
          <w:rFonts w:ascii="Times New Roman" w:hAnsi="Times New Roman"/>
          <w:szCs w:val="24"/>
          <w:vertAlign w:val="subscript"/>
        </w:rPr>
        <w:t>5</w:t>
      </w:r>
      <w:r>
        <w:rPr>
          <w:rFonts w:ascii="Times New Roman" w:hAnsi="Times New Roman" w:hint="eastAsia"/>
          <w:szCs w:val="24"/>
        </w:rPr>
        <w:t>从</w:t>
      </w:r>
      <w:r>
        <w:rPr>
          <w:rFonts w:ascii="Times New Roman" w:hAnsi="Times New Roman" w:hint="eastAsia"/>
          <w:szCs w:val="24"/>
        </w:rPr>
        <w:t>2013</w:t>
      </w:r>
      <w:r>
        <w:rPr>
          <w:rFonts w:ascii="Times New Roman" w:hAnsi="Times New Roman" w:hint="eastAsia"/>
          <w:szCs w:val="24"/>
        </w:rPr>
        <w:t>年到</w:t>
      </w:r>
      <w:r>
        <w:rPr>
          <w:rFonts w:ascii="Times New Roman" w:hAnsi="Times New Roman" w:hint="eastAsia"/>
          <w:szCs w:val="24"/>
        </w:rPr>
        <w:t>2018</w:t>
      </w:r>
      <w:r>
        <w:rPr>
          <w:rFonts w:ascii="Times New Roman" w:hAnsi="Times New Roman" w:hint="eastAsia"/>
          <w:szCs w:val="24"/>
        </w:rPr>
        <w:t>年浓度上升，到</w:t>
      </w:r>
      <w:r>
        <w:rPr>
          <w:rFonts w:ascii="Times New Roman" w:hAnsi="Times New Roman" w:hint="eastAsia"/>
          <w:szCs w:val="24"/>
        </w:rPr>
        <w:t>2020</w:t>
      </w:r>
      <w:r>
        <w:rPr>
          <w:rFonts w:ascii="Times New Roman" w:hAnsi="Times New Roman" w:hint="eastAsia"/>
          <w:szCs w:val="24"/>
        </w:rPr>
        <w:t>年浓度下降；氟化物从</w:t>
      </w:r>
      <w:r>
        <w:rPr>
          <w:rFonts w:ascii="Times New Roman" w:hAnsi="Times New Roman" w:hint="eastAsia"/>
          <w:szCs w:val="24"/>
        </w:rPr>
        <w:t>2013</w:t>
      </w:r>
      <w:r>
        <w:rPr>
          <w:rFonts w:ascii="Times New Roman" w:hAnsi="Times New Roman" w:hint="eastAsia"/>
          <w:szCs w:val="24"/>
        </w:rPr>
        <w:t>到</w:t>
      </w:r>
      <w:r>
        <w:rPr>
          <w:rFonts w:ascii="Times New Roman" w:hAnsi="Times New Roman" w:hint="eastAsia"/>
          <w:szCs w:val="24"/>
        </w:rPr>
        <w:t>2018</w:t>
      </w:r>
      <w:r>
        <w:rPr>
          <w:rFonts w:ascii="Times New Roman" w:hAnsi="Times New Roman" w:hint="eastAsia"/>
          <w:szCs w:val="24"/>
        </w:rPr>
        <w:t>年呈下降趋势，到</w:t>
      </w:r>
      <w:r>
        <w:rPr>
          <w:rFonts w:ascii="Times New Roman" w:hAnsi="Times New Roman" w:hint="eastAsia"/>
          <w:szCs w:val="24"/>
        </w:rPr>
        <w:t>2020</w:t>
      </w:r>
      <w:r>
        <w:rPr>
          <w:rFonts w:ascii="Times New Roman" w:hAnsi="Times New Roman" w:hint="eastAsia"/>
          <w:szCs w:val="24"/>
        </w:rPr>
        <w:t>年呈上升趋势；挥发酚仅</w:t>
      </w:r>
      <w:r>
        <w:rPr>
          <w:rFonts w:ascii="Times New Roman" w:hAnsi="Times New Roman" w:hint="eastAsia"/>
          <w:szCs w:val="24"/>
        </w:rPr>
        <w:t>2013</w:t>
      </w:r>
      <w:r>
        <w:rPr>
          <w:rFonts w:ascii="Times New Roman" w:hAnsi="Times New Roman" w:hint="eastAsia"/>
          <w:szCs w:val="24"/>
        </w:rPr>
        <w:t>年超标，</w:t>
      </w:r>
      <w:r>
        <w:rPr>
          <w:rFonts w:ascii="Times New Roman" w:hAnsi="Times New Roman" w:hint="eastAsia"/>
          <w:szCs w:val="24"/>
        </w:rPr>
        <w:t>2018</w:t>
      </w:r>
      <w:r>
        <w:rPr>
          <w:rFonts w:ascii="Times New Roman" w:hAnsi="Times New Roman" w:hint="eastAsia"/>
          <w:szCs w:val="24"/>
        </w:rPr>
        <w:t>年及本次监测均未监测到挥发酚。</w:t>
      </w:r>
    </w:p>
    <w:p w14:paraId="0381CA50" w14:textId="77777777" w:rsidR="009C353B" w:rsidRDefault="00000000">
      <w:pPr>
        <w:adjustRightInd w:val="0"/>
        <w:snapToGrid w:val="0"/>
        <w:spacing w:line="440" w:lineRule="exact"/>
        <w:ind w:firstLineChars="200" w:firstLine="482"/>
        <w:jc w:val="center"/>
        <w:rPr>
          <w:rFonts w:ascii="Times New Roman" w:hAnsi="Times New Roman"/>
          <w:b/>
          <w:szCs w:val="24"/>
        </w:rPr>
      </w:pPr>
      <w:r>
        <w:rPr>
          <w:rFonts w:ascii="Times New Roman" w:hAnsi="Times New Roman" w:hint="eastAsia"/>
          <w:b/>
          <w:szCs w:val="24"/>
        </w:rPr>
        <w:t>水洞沟</w:t>
      </w:r>
      <w:r>
        <w:rPr>
          <w:rFonts w:ascii="Times New Roman" w:hAnsi="Times New Roman"/>
          <w:b/>
          <w:szCs w:val="24"/>
        </w:rPr>
        <w:t>水质</w:t>
      </w:r>
      <w:r>
        <w:rPr>
          <w:rFonts w:ascii="Times New Roman" w:hAnsi="Times New Roman" w:hint="eastAsia"/>
          <w:b/>
          <w:szCs w:val="24"/>
        </w:rPr>
        <w:t>污染因子</w:t>
      </w:r>
      <w:r>
        <w:rPr>
          <w:rFonts w:ascii="Times New Roman" w:hAnsi="Times New Roman"/>
          <w:b/>
          <w:szCs w:val="24"/>
        </w:rPr>
        <w:t>监测结果</w:t>
      </w:r>
    </w:p>
    <w:p w14:paraId="253B0A73" w14:textId="77777777" w:rsidR="009C353B" w:rsidRDefault="00000000">
      <w:pPr>
        <w:adjustRightInd w:val="0"/>
        <w:snapToGrid w:val="0"/>
        <w:spacing w:line="440" w:lineRule="exact"/>
        <w:outlineLvl w:val="4"/>
        <w:rPr>
          <w:rFonts w:ascii="Times New Roman" w:hAnsi="Times New Roman"/>
          <w:b/>
          <w:szCs w:val="24"/>
        </w:rPr>
      </w:pPr>
      <w:r>
        <w:rPr>
          <w:rFonts w:ascii="Times New Roman" w:hAnsi="Times New Roman" w:hint="eastAsia"/>
          <w:szCs w:val="24"/>
        </w:rPr>
        <w:t>表</w:t>
      </w:r>
      <w:r>
        <w:rPr>
          <w:rFonts w:ascii="Times New Roman" w:hAnsi="Times New Roman" w:hint="eastAsia"/>
          <w:szCs w:val="24"/>
        </w:rPr>
        <w:t>4</w:t>
      </w:r>
      <w:r>
        <w:rPr>
          <w:rFonts w:ascii="Times New Roman" w:hAnsi="Times New Roman"/>
          <w:szCs w:val="24"/>
        </w:rPr>
        <w:t>.3</w:t>
      </w:r>
      <w:r>
        <w:rPr>
          <w:rFonts w:ascii="Times New Roman" w:hAnsi="Times New Roman" w:hint="eastAsia"/>
          <w:szCs w:val="24"/>
        </w:rPr>
        <w:t>-9</w:t>
      </w:r>
      <w:r>
        <w:rPr>
          <w:rFonts w:ascii="Times New Roman" w:hAnsi="Times New Roman"/>
          <w:szCs w:val="24"/>
        </w:rPr>
        <w:t xml:space="preserve">                                                          </w:t>
      </w:r>
      <w:r>
        <w:rPr>
          <w:rFonts w:ascii="Times New Roman" w:hAnsi="Times New Roman"/>
          <w:b/>
          <w:szCs w:val="24"/>
        </w:rPr>
        <w:t>单位：</w:t>
      </w:r>
      <w:r>
        <w:rPr>
          <w:rFonts w:ascii="Times New Roman" w:hAnsi="Times New Roman"/>
          <w:b/>
          <w:szCs w:val="24"/>
        </w:rPr>
        <w:t>mg/l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1127"/>
        <w:gridCol w:w="1140"/>
        <w:gridCol w:w="1613"/>
        <w:gridCol w:w="1127"/>
        <w:gridCol w:w="1576"/>
        <w:gridCol w:w="1127"/>
      </w:tblGrid>
      <w:tr w:rsidR="009C353B" w14:paraId="109EEB0D" w14:textId="77777777">
        <w:trPr>
          <w:trHeight w:val="674"/>
        </w:trPr>
        <w:tc>
          <w:tcPr>
            <w:tcW w:w="0" w:type="auto"/>
            <w:shd w:val="clear" w:color="auto" w:fill="auto"/>
            <w:noWrap/>
            <w:vAlign w:val="center"/>
          </w:tcPr>
          <w:p w14:paraId="650C97C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监测断面</w:t>
            </w:r>
            <w:r>
              <w:rPr>
                <w:rFonts w:ascii="Times New Roman" w:hAnsi="Times New Roman" w:hint="eastAsia"/>
                <w:kern w:val="0"/>
                <w:sz w:val="21"/>
                <w:szCs w:val="21"/>
              </w:rPr>
              <w:t>编号</w:t>
            </w:r>
          </w:p>
        </w:tc>
        <w:tc>
          <w:tcPr>
            <w:tcW w:w="0" w:type="auto"/>
            <w:shd w:val="clear" w:color="auto" w:fill="auto"/>
            <w:noWrap/>
            <w:vAlign w:val="center"/>
          </w:tcPr>
          <w:p w14:paraId="2F2751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污染指标</w:t>
            </w:r>
          </w:p>
        </w:tc>
        <w:tc>
          <w:tcPr>
            <w:tcW w:w="0" w:type="auto"/>
            <w:shd w:val="clear" w:color="auto" w:fill="auto"/>
            <w:noWrap/>
            <w:vAlign w:val="center"/>
          </w:tcPr>
          <w:p w14:paraId="125C926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监测时间</w:t>
            </w:r>
          </w:p>
        </w:tc>
        <w:tc>
          <w:tcPr>
            <w:tcW w:w="0" w:type="auto"/>
            <w:shd w:val="clear" w:color="auto" w:fill="auto"/>
            <w:noWrap/>
            <w:vAlign w:val="center"/>
          </w:tcPr>
          <w:p w14:paraId="04691B8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浓度（</w:t>
            </w:r>
            <w:r>
              <w:rPr>
                <w:rFonts w:ascii="Times New Roman" w:hAnsi="Times New Roman"/>
                <w:kern w:val="0"/>
                <w:sz w:val="21"/>
                <w:szCs w:val="21"/>
              </w:rPr>
              <w:t>mg/L</w:t>
            </w:r>
            <w:r>
              <w:rPr>
                <w:rFonts w:ascii="Times New Roman" w:hAnsi="Times New Roman"/>
                <w:kern w:val="0"/>
                <w:sz w:val="21"/>
                <w:szCs w:val="21"/>
              </w:rPr>
              <w:t>）</w:t>
            </w:r>
          </w:p>
        </w:tc>
        <w:tc>
          <w:tcPr>
            <w:tcW w:w="0" w:type="auto"/>
            <w:shd w:val="clear" w:color="auto" w:fill="auto"/>
            <w:noWrap/>
            <w:vAlign w:val="center"/>
          </w:tcPr>
          <w:p w14:paraId="4F513CD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标准指数</w:t>
            </w:r>
          </w:p>
        </w:tc>
        <w:tc>
          <w:tcPr>
            <w:tcW w:w="0" w:type="auto"/>
            <w:shd w:val="clear" w:color="auto" w:fill="auto"/>
            <w:noWrap/>
            <w:vAlign w:val="center"/>
          </w:tcPr>
          <w:p w14:paraId="7A98E70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划定水质目标</w:t>
            </w:r>
          </w:p>
        </w:tc>
        <w:tc>
          <w:tcPr>
            <w:tcW w:w="0" w:type="auto"/>
            <w:shd w:val="clear" w:color="auto" w:fill="auto"/>
            <w:noWrap/>
            <w:vAlign w:val="center"/>
          </w:tcPr>
          <w:p w14:paraId="56E4550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标准限值</w:t>
            </w:r>
          </w:p>
        </w:tc>
      </w:tr>
      <w:tr w:rsidR="009C353B" w14:paraId="55EE20D3" w14:textId="77777777">
        <w:trPr>
          <w:trHeight w:hRule="exact" w:val="312"/>
        </w:trPr>
        <w:tc>
          <w:tcPr>
            <w:tcW w:w="0" w:type="auto"/>
            <w:vMerge w:val="restart"/>
            <w:shd w:val="clear" w:color="auto" w:fill="auto"/>
            <w:noWrap/>
            <w:vAlign w:val="center"/>
          </w:tcPr>
          <w:p w14:paraId="3BAC0EB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c>
          <w:tcPr>
            <w:tcW w:w="0" w:type="auto"/>
            <w:vMerge w:val="restart"/>
            <w:shd w:val="clear" w:color="auto" w:fill="auto"/>
            <w:vAlign w:val="center"/>
          </w:tcPr>
          <w:p w14:paraId="52BD56C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0" w:type="auto"/>
            <w:shd w:val="clear" w:color="auto" w:fill="auto"/>
            <w:noWrap/>
            <w:vAlign w:val="center"/>
          </w:tcPr>
          <w:p w14:paraId="44B6D10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2015/12/8</w:t>
            </w:r>
          </w:p>
        </w:tc>
        <w:tc>
          <w:tcPr>
            <w:tcW w:w="0" w:type="auto"/>
            <w:shd w:val="clear" w:color="auto" w:fill="auto"/>
            <w:vAlign w:val="center"/>
          </w:tcPr>
          <w:p w14:paraId="347DF75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5.71</w:t>
            </w:r>
          </w:p>
        </w:tc>
        <w:tc>
          <w:tcPr>
            <w:tcW w:w="0" w:type="auto"/>
            <w:shd w:val="clear" w:color="auto" w:fill="auto"/>
            <w:vAlign w:val="center"/>
          </w:tcPr>
          <w:p w14:paraId="5F86EA3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3.81</w:t>
            </w:r>
          </w:p>
        </w:tc>
        <w:tc>
          <w:tcPr>
            <w:tcW w:w="0" w:type="auto"/>
            <w:vMerge w:val="restart"/>
            <w:shd w:val="clear" w:color="auto" w:fill="auto"/>
            <w:noWrap/>
            <w:vAlign w:val="center"/>
          </w:tcPr>
          <w:p w14:paraId="55D36A5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IV</w:t>
            </w:r>
            <w:r>
              <w:rPr>
                <w:rFonts w:ascii="Times New Roman" w:hAnsi="Times New Roman"/>
                <w:kern w:val="0"/>
                <w:sz w:val="21"/>
                <w:szCs w:val="21"/>
              </w:rPr>
              <w:t>类标准</w:t>
            </w:r>
          </w:p>
        </w:tc>
        <w:tc>
          <w:tcPr>
            <w:tcW w:w="0" w:type="auto"/>
            <w:vMerge w:val="restart"/>
            <w:shd w:val="clear" w:color="auto" w:fill="auto"/>
            <w:noWrap/>
            <w:vAlign w:val="center"/>
          </w:tcPr>
          <w:p w14:paraId="2AA34DD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3813F396" w14:textId="77777777">
        <w:trPr>
          <w:trHeight w:hRule="exact" w:val="312"/>
        </w:trPr>
        <w:tc>
          <w:tcPr>
            <w:tcW w:w="0" w:type="auto"/>
            <w:vMerge/>
            <w:vAlign w:val="center"/>
          </w:tcPr>
          <w:p w14:paraId="2B6E11D3" w14:textId="77777777" w:rsidR="009C353B" w:rsidRDefault="009C353B">
            <w:pPr>
              <w:widowControl/>
              <w:jc w:val="center"/>
              <w:rPr>
                <w:rFonts w:ascii="Times New Roman" w:hAnsi="Times New Roman"/>
                <w:kern w:val="0"/>
                <w:sz w:val="21"/>
                <w:szCs w:val="21"/>
              </w:rPr>
            </w:pPr>
          </w:p>
        </w:tc>
        <w:tc>
          <w:tcPr>
            <w:tcW w:w="0" w:type="auto"/>
            <w:vMerge/>
            <w:vAlign w:val="center"/>
          </w:tcPr>
          <w:p w14:paraId="38AE96F5"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CE1FD8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2015/12/9</w:t>
            </w:r>
          </w:p>
        </w:tc>
        <w:tc>
          <w:tcPr>
            <w:tcW w:w="0" w:type="auto"/>
            <w:shd w:val="clear" w:color="auto" w:fill="auto"/>
            <w:vAlign w:val="center"/>
          </w:tcPr>
          <w:p w14:paraId="24C8440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5.71</w:t>
            </w:r>
          </w:p>
        </w:tc>
        <w:tc>
          <w:tcPr>
            <w:tcW w:w="0" w:type="auto"/>
            <w:shd w:val="clear" w:color="auto" w:fill="auto"/>
            <w:vAlign w:val="center"/>
          </w:tcPr>
          <w:p w14:paraId="31E61FB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3.81</w:t>
            </w:r>
          </w:p>
        </w:tc>
        <w:tc>
          <w:tcPr>
            <w:tcW w:w="0" w:type="auto"/>
            <w:vMerge/>
            <w:vAlign w:val="center"/>
          </w:tcPr>
          <w:p w14:paraId="645BE6FA" w14:textId="77777777" w:rsidR="009C353B" w:rsidRDefault="009C353B">
            <w:pPr>
              <w:widowControl/>
              <w:jc w:val="center"/>
              <w:rPr>
                <w:rFonts w:ascii="Times New Roman" w:hAnsi="Times New Roman"/>
                <w:kern w:val="0"/>
                <w:sz w:val="21"/>
                <w:szCs w:val="21"/>
              </w:rPr>
            </w:pPr>
          </w:p>
        </w:tc>
        <w:tc>
          <w:tcPr>
            <w:tcW w:w="0" w:type="auto"/>
            <w:vMerge/>
            <w:vAlign w:val="center"/>
          </w:tcPr>
          <w:p w14:paraId="34B8FECE" w14:textId="77777777" w:rsidR="009C353B" w:rsidRDefault="009C353B">
            <w:pPr>
              <w:widowControl/>
              <w:jc w:val="center"/>
              <w:rPr>
                <w:rFonts w:ascii="Times New Roman" w:hAnsi="Times New Roman"/>
                <w:kern w:val="0"/>
                <w:sz w:val="21"/>
                <w:szCs w:val="21"/>
              </w:rPr>
            </w:pPr>
          </w:p>
        </w:tc>
      </w:tr>
      <w:tr w:rsidR="009C353B" w14:paraId="44C8C85A" w14:textId="77777777">
        <w:trPr>
          <w:trHeight w:hRule="exact" w:val="312"/>
        </w:trPr>
        <w:tc>
          <w:tcPr>
            <w:tcW w:w="0" w:type="auto"/>
            <w:vMerge w:val="restart"/>
            <w:shd w:val="clear" w:color="auto" w:fill="auto"/>
            <w:noWrap/>
            <w:vAlign w:val="center"/>
          </w:tcPr>
          <w:p w14:paraId="707497A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w:t>
            </w:r>
          </w:p>
        </w:tc>
        <w:tc>
          <w:tcPr>
            <w:tcW w:w="0" w:type="auto"/>
            <w:vMerge w:val="restart"/>
            <w:shd w:val="clear" w:color="auto" w:fill="auto"/>
            <w:vAlign w:val="center"/>
          </w:tcPr>
          <w:p w14:paraId="43EB03E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0" w:type="auto"/>
            <w:shd w:val="clear" w:color="auto" w:fill="auto"/>
            <w:noWrap/>
            <w:vAlign w:val="center"/>
          </w:tcPr>
          <w:p w14:paraId="2A00FF0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2015/12/8</w:t>
            </w:r>
          </w:p>
        </w:tc>
        <w:tc>
          <w:tcPr>
            <w:tcW w:w="0" w:type="auto"/>
            <w:shd w:val="clear" w:color="auto" w:fill="auto"/>
            <w:vAlign w:val="center"/>
          </w:tcPr>
          <w:p w14:paraId="0345323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5.4</w:t>
            </w:r>
          </w:p>
        </w:tc>
        <w:tc>
          <w:tcPr>
            <w:tcW w:w="0" w:type="auto"/>
            <w:shd w:val="clear" w:color="auto" w:fill="auto"/>
            <w:vAlign w:val="center"/>
          </w:tcPr>
          <w:p w14:paraId="10A382E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3.49</w:t>
            </w:r>
          </w:p>
        </w:tc>
        <w:tc>
          <w:tcPr>
            <w:tcW w:w="0" w:type="auto"/>
            <w:vMerge/>
            <w:vAlign w:val="center"/>
          </w:tcPr>
          <w:p w14:paraId="6BE1B07C"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4C3C6A5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774DA640" w14:textId="77777777">
        <w:trPr>
          <w:trHeight w:hRule="exact" w:val="312"/>
        </w:trPr>
        <w:tc>
          <w:tcPr>
            <w:tcW w:w="0" w:type="auto"/>
            <w:vMerge/>
            <w:vAlign w:val="center"/>
          </w:tcPr>
          <w:p w14:paraId="65BAED60" w14:textId="77777777" w:rsidR="009C353B" w:rsidRDefault="009C353B">
            <w:pPr>
              <w:widowControl/>
              <w:jc w:val="center"/>
              <w:rPr>
                <w:rFonts w:ascii="Times New Roman" w:hAnsi="Times New Roman"/>
                <w:kern w:val="0"/>
                <w:sz w:val="21"/>
                <w:szCs w:val="21"/>
              </w:rPr>
            </w:pPr>
          </w:p>
        </w:tc>
        <w:tc>
          <w:tcPr>
            <w:tcW w:w="0" w:type="auto"/>
            <w:vMerge/>
            <w:vAlign w:val="center"/>
          </w:tcPr>
          <w:p w14:paraId="4F315D0E"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33CBD27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2015/12/9</w:t>
            </w:r>
          </w:p>
        </w:tc>
        <w:tc>
          <w:tcPr>
            <w:tcW w:w="0" w:type="auto"/>
            <w:shd w:val="clear" w:color="auto" w:fill="auto"/>
            <w:vAlign w:val="center"/>
          </w:tcPr>
          <w:p w14:paraId="2D567DD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5.4</w:t>
            </w:r>
          </w:p>
        </w:tc>
        <w:tc>
          <w:tcPr>
            <w:tcW w:w="0" w:type="auto"/>
            <w:shd w:val="clear" w:color="auto" w:fill="auto"/>
            <w:vAlign w:val="center"/>
          </w:tcPr>
          <w:p w14:paraId="6A26940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3.49</w:t>
            </w:r>
          </w:p>
        </w:tc>
        <w:tc>
          <w:tcPr>
            <w:tcW w:w="0" w:type="auto"/>
            <w:vMerge/>
            <w:vAlign w:val="center"/>
          </w:tcPr>
          <w:p w14:paraId="650A5C43" w14:textId="77777777" w:rsidR="009C353B" w:rsidRDefault="009C353B">
            <w:pPr>
              <w:widowControl/>
              <w:jc w:val="center"/>
              <w:rPr>
                <w:rFonts w:ascii="Times New Roman" w:hAnsi="Times New Roman"/>
                <w:kern w:val="0"/>
                <w:sz w:val="21"/>
                <w:szCs w:val="21"/>
              </w:rPr>
            </w:pPr>
          </w:p>
        </w:tc>
        <w:tc>
          <w:tcPr>
            <w:tcW w:w="0" w:type="auto"/>
            <w:vMerge/>
            <w:vAlign w:val="center"/>
          </w:tcPr>
          <w:p w14:paraId="59825041" w14:textId="77777777" w:rsidR="009C353B" w:rsidRDefault="009C353B">
            <w:pPr>
              <w:widowControl/>
              <w:jc w:val="center"/>
              <w:rPr>
                <w:rFonts w:ascii="Times New Roman" w:hAnsi="Times New Roman"/>
                <w:kern w:val="0"/>
                <w:sz w:val="21"/>
                <w:szCs w:val="21"/>
              </w:rPr>
            </w:pPr>
          </w:p>
        </w:tc>
      </w:tr>
      <w:tr w:rsidR="009C353B" w14:paraId="77405AD3" w14:textId="77777777">
        <w:trPr>
          <w:trHeight w:hRule="exact" w:val="312"/>
        </w:trPr>
        <w:tc>
          <w:tcPr>
            <w:tcW w:w="0" w:type="auto"/>
            <w:vMerge w:val="restart"/>
            <w:shd w:val="clear" w:color="auto" w:fill="auto"/>
            <w:noWrap/>
            <w:vAlign w:val="center"/>
          </w:tcPr>
          <w:p w14:paraId="78EFE0E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p>
        </w:tc>
        <w:tc>
          <w:tcPr>
            <w:tcW w:w="0" w:type="auto"/>
            <w:vMerge w:val="restart"/>
            <w:shd w:val="clear" w:color="auto" w:fill="auto"/>
            <w:vAlign w:val="center"/>
          </w:tcPr>
          <w:p w14:paraId="25930CD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0" w:type="auto"/>
            <w:shd w:val="clear" w:color="auto" w:fill="auto"/>
            <w:noWrap/>
            <w:vAlign w:val="center"/>
          </w:tcPr>
          <w:p w14:paraId="1560DD7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2018/3/11</w:t>
            </w:r>
          </w:p>
        </w:tc>
        <w:tc>
          <w:tcPr>
            <w:tcW w:w="0" w:type="auto"/>
            <w:shd w:val="clear" w:color="auto" w:fill="auto"/>
            <w:noWrap/>
            <w:vAlign w:val="center"/>
          </w:tcPr>
          <w:p w14:paraId="401BEE2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58.93</w:t>
            </w:r>
          </w:p>
        </w:tc>
        <w:tc>
          <w:tcPr>
            <w:tcW w:w="0" w:type="auto"/>
            <w:shd w:val="clear" w:color="auto" w:fill="auto"/>
            <w:noWrap/>
            <w:vAlign w:val="center"/>
          </w:tcPr>
          <w:p w14:paraId="0A8C073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1.96</w:t>
            </w:r>
          </w:p>
        </w:tc>
        <w:tc>
          <w:tcPr>
            <w:tcW w:w="0" w:type="auto"/>
            <w:vMerge/>
            <w:vAlign w:val="center"/>
          </w:tcPr>
          <w:p w14:paraId="38FC9F0B"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4E6E445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r>
      <w:tr w:rsidR="009C353B" w14:paraId="27FD03BD" w14:textId="77777777">
        <w:trPr>
          <w:trHeight w:hRule="exact" w:val="312"/>
        </w:trPr>
        <w:tc>
          <w:tcPr>
            <w:tcW w:w="0" w:type="auto"/>
            <w:vMerge/>
            <w:vAlign w:val="center"/>
          </w:tcPr>
          <w:p w14:paraId="7AE94AB5" w14:textId="77777777" w:rsidR="009C353B" w:rsidRDefault="009C353B">
            <w:pPr>
              <w:widowControl/>
              <w:jc w:val="center"/>
              <w:rPr>
                <w:rFonts w:ascii="Times New Roman" w:hAnsi="Times New Roman"/>
                <w:kern w:val="0"/>
                <w:sz w:val="21"/>
                <w:szCs w:val="21"/>
              </w:rPr>
            </w:pPr>
          </w:p>
        </w:tc>
        <w:tc>
          <w:tcPr>
            <w:tcW w:w="0" w:type="auto"/>
            <w:vMerge/>
            <w:vAlign w:val="center"/>
          </w:tcPr>
          <w:p w14:paraId="62E3FDE9"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F90ACB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2018/3/12</w:t>
            </w:r>
          </w:p>
        </w:tc>
        <w:tc>
          <w:tcPr>
            <w:tcW w:w="0" w:type="auto"/>
            <w:shd w:val="clear" w:color="auto" w:fill="auto"/>
            <w:noWrap/>
            <w:vAlign w:val="center"/>
          </w:tcPr>
          <w:p w14:paraId="4C3F810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59.94</w:t>
            </w:r>
          </w:p>
        </w:tc>
        <w:tc>
          <w:tcPr>
            <w:tcW w:w="0" w:type="auto"/>
            <w:shd w:val="clear" w:color="auto" w:fill="auto"/>
            <w:noWrap/>
            <w:vAlign w:val="center"/>
          </w:tcPr>
          <w:p w14:paraId="3B452C5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w:t>
            </w:r>
          </w:p>
        </w:tc>
        <w:tc>
          <w:tcPr>
            <w:tcW w:w="0" w:type="auto"/>
            <w:vMerge/>
            <w:vAlign w:val="center"/>
          </w:tcPr>
          <w:p w14:paraId="67C25CFE" w14:textId="77777777" w:rsidR="009C353B" w:rsidRDefault="009C353B">
            <w:pPr>
              <w:widowControl/>
              <w:jc w:val="center"/>
              <w:rPr>
                <w:rFonts w:ascii="Times New Roman" w:hAnsi="Times New Roman"/>
                <w:kern w:val="0"/>
                <w:sz w:val="21"/>
                <w:szCs w:val="21"/>
              </w:rPr>
            </w:pPr>
          </w:p>
        </w:tc>
        <w:tc>
          <w:tcPr>
            <w:tcW w:w="0" w:type="auto"/>
            <w:vMerge/>
            <w:vAlign w:val="center"/>
          </w:tcPr>
          <w:p w14:paraId="26766B3E" w14:textId="77777777" w:rsidR="009C353B" w:rsidRDefault="009C353B">
            <w:pPr>
              <w:widowControl/>
              <w:jc w:val="center"/>
              <w:rPr>
                <w:rFonts w:ascii="Times New Roman" w:hAnsi="Times New Roman"/>
                <w:kern w:val="0"/>
                <w:sz w:val="21"/>
                <w:szCs w:val="21"/>
              </w:rPr>
            </w:pPr>
          </w:p>
        </w:tc>
      </w:tr>
      <w:tr w:rsidR="009C353B" w14:paraId="6EF660F7" w14:textId="77777777">
        <w:trPr>
          <w:trHeight w:hRule="exact" w:val="312"/>
        </w:trPr>
        <w:tc>
          <w:tcPr>
            <w:tcW w:w="0" w:type="auto"/>
            <w:vMerge/>
            <w:vAlign w:val="center"/>
          </w:tcPr>
          <w:p w14:paraId="308537D0"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vAlign w:val="center"/>
          </w:tcPr>
          <w:p w14:paraId="01BAEB5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BOD</w:t>
            </w:r>
            <w:r>
              <w:rPr>
                <w:rFonts w:ascii="Times New Roman" w:hAnsi="Times New Roman"/>
                <w:kern w:val="0"/>
                <w:sz w:val="21"/>
                <w:szCs w:val="21"/>
                <w:vertAlign w:val="subscript"/>
              </w:rPr>
              <w:t>5</w:t>
            </w:r>
          </w:p>
        </w:tc>
        <w:tc>
          <w:tcPr>
            <w:tcW w:w="0" w:type="auto"/>
            <w:shd w:val="clear" w:color="auto" w:fill="auto"/>
            <w:noWrap/>
            <w:vAlign w:val="center"/>
          </w:tcPr>
          <w:p w14:paraId="7AE3856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2018/3/11</w:t>
            </w:r>
          </w:p>
        </w:tc>
        <w:tc>
          <w:tcPr>
            <w:tcW w:w="0" w:type="auto"/>
            <w:shd w:val="clear" w:color="auto" w:fill="auto"/>
            <w:noWrap/>
            <w:vAlign w:val="center"/>
          </w:tcPr>
          <w:p w14:paraId="0582AD7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20.36</w:t>
            </w:r>
          </w:p>
        </w:tc>
        <w:tc>
          <w:tcPr>
            <w:tcW w:w="0" w:type="auto"/>
            <w:shd w:val="clear" w:color="auto" w:fill="auto"/>
            <w:noWrap/>
            <w:vAlign w:val="center"/>
          </w:tcPr>
          <w:p w14:paraId="0145C3B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3.39</w:t>
            </w:r>
          </w:p>
        </w:tc>
        <w:tc>
          <w:tcPr>
            <w:tcW w:w="0" w:type="auto"/>
            <w:vMerge/>
            <w:vAlign w:val="center"/>
          </w:tcPr>
          <w:p w14:paraId="6C720544"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6D40EDF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w:t>
            </w:r>
          </w:p>
        </w:tc>
      </w:tr>
      <w:tr w:rsidR="009C353B" w14:paraId="5DFBBF4A" w14:textId="77777777">
        <w:trPr>
          <w:trHeight w:hRule="exact" w:val="312"/>
        </w:trPr>
        <w:tc>
          <w:tcPr>
            <w:tcW w:w="0" w:type="auto"/>
            <w:vMerge/>
            <w:vAlign w:val="center"/>
          </w:tcPr>
          <w:p w14:paraId="7CF2D924" w14:textId="77777777" w:rsidR="009C353B" w:rsidRDefault="009C353B">
            <w:pPr>
              <w:widowControl/>
              <w:jc w:val="center"/>
              <w:rPr>
                <w:rFonts w:ascii="Times New Roman" w:hAnsi="Times New Roman"/>
                <w:kern w:val="0"/>
                <w:sz w:val="21"/>
                <w:szCs w:val="21"/>
              </w:rPr>
            </w:pPr>
          </w:p>
        </w:tc>
        <w:tc>
          <w:tcPr>
            <w:tcW w:w="0" w:type="auto"/>
            <w:vMerge/>
            <w:vAlign w:val="center"/>
          </w:tcPr>
          <w:p w14:paraId="0B812C33"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589463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2018/3/12</w:t>
            </w:r>
          </w:p>
        </w:tc>
        <w:tc>
          <w:tcPr>
            <w:tcW w:w="0" w:type="auto"/>
            <w:shd w:val="clear" w:color="auto" w:fill="auto"/>
            <w:noWrap/>
            <w:vAlign w:val="center"/>
          </w:tcPr>
          <w:p w14:paraId="2E5793D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20.88</w:t>
            </w:r>
          </w:p>
        </w:tc>
        <w:tc>
          <w:tcPr>
            <w:tcW w:w="0" w:type="auto"/>
            <w:shd w:val="clear" w:color="auto" w:fill="auto"/>
            <w:noWrap/>
            <w:vAlign w:val="center"/>
          </w:tcPr>
          <w:p w14:paraId="70CF22E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3.48</w:t>
            </w:r>
          </w:p>
        </w:tc>
        <w:tc>
          <w:tcPr>
            <w:tcW w:w="0" w:type="auto"/>
            <w:vMerge/>
            <w:vAlign w:val="center"/>
          </w:tcPr>
          <w:p w14:paraId="557BC20D" w14:textId="77777777" w:rsidR="009C353B" w:rsidRDefault="009C353B">
            <w:pPr>
              <w:widowControl/>
              <w:jc w:val="center"/>
              <w:rPr>
                <w:rFonts w:ascii="Times New Roman" w:hAnsi="Times New Roman"/>
                <w:kern w:val="0"/>
                <w:sz w:val="21"/>
                <w:szCs w:val="21"/>
              </w:rPr>
            </w:pPr>
          </w:p>
        </w:tc>
        <w:tc>
          <w:tcPr>
            <w:tcW w:w="0" w:type="auto"/>
            <w:vMerge/>
            <w:vAlign w:val="center"/>
          </w:tcPr>
          <w:p w14:paraId="07D0528E" w14:textId="77777777" w:rsidR="009C353B" w:rsidRDefault="009C353B">
            <w:pPr>
              <w:widowControl/>
              <w:jc w:val="center"/>
              <w:rPr>
                <w:rFonts w:ascii="Times New Roman" w:hAnsi="Times New Roman"/>
                <w:kern w:val="0"/>
                <w:sz w:val="21"/>
                <w:szCs w:val="21"/>
              </w:rPr>
            </w:pPr>
          </w:p>
        </w:tc>
      </w:tr>
      <w:tr w:rsidR="009C353B" w14:paraId="1646150F" w14:textId="77777777">
        <w:trPr>
          <w:trHeight w:hRule="exact" w:val="312"/>
        </w:trPr>
        <w:tc>
          <w:tcPr>
            <w:tcW w:w="0" w:type="auto"/>
            <w:vMerge/>
            <w:vAlign w:val="center"/>
          </w:tcPr>
          <w:p w14:paraId="1DE67272"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vAlign w:val="center"/>
          </w:tcPr>
          <w:p w14:paraId="2CC13CD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氨氮</w:t>
            </w:r>
          </w:p>
        </w:tc>
        <w:tc>
          <w:tcPr>
            <w:tcW w:w="0" w:type="auto"/>
            <w:shd w:val="clear" w:color="auto" w:fill="auto"/>
            <w:noWrap/>
            <w:vAlign w:val="center"/>
          </w:tcPr>
          <w:p w14:paraId="0C48754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2018/3/11</w:t>
            </w:r>
          </w:p>
        </w:tc>
        <w:tc>
          <w:tcPr>
            <w:tcW w:w="0" w:type="auto"/>
            <w:shd w:val="clear" w:color="auto" w:fill="auto"/>
            <w:noWrap/>
            <w:vAlign w:val="center"/>
          </w:tcPr>
          <w:p w14:paraId="52C8D95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4.3</w:t>
            </w:r>
          </w:p>
        </w:tc>
        <w:tc>
          <w:tcPr>
            <w:tcW w:w="0" w:type="auto"/>
            <w:shd w:val="clear" w:color="auto" w:fill="auto"/>
            <w:noWrap/>
            <w:vAlign w:val="center"/>
          </w:tcPr>
          <w:p w14:paraId="7E47050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2.87</w:t>
            </w:r>
          </w:p>
        </w:tc>
        <w:tc>
          <w:tcPr>
            <w:tcW w:w="0" w:type="auto"/>
            <w:vMerge/>
            <w:vAlign w:val="center"/>
          </w:tcPr>
          <w:p w14:paraId="05987AEB"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45B044A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0243947C" w14:textId="77777777">
        <w:trPr>
          <w:trHeight w:hRule="exact" w:val="312"/>
        </w:trPr>
        <w:tc>
          <w:tcPr>
            <w:tcW w:w="0" w:type="auto"/>
            <w:vMerge/>
            <w:vAlign w:val="center"/>
          </w:tcPr>
          <w:p w14:paraId="19A28CE2" w14:textId="77777777" w:rsidR="009C353B" w:rsidRDefault="009C353B">
            <w:pPr>
              <w:widowControl/>
              <w:jc w:val="center"/>
              <w:rPr>
                <w:rFonts w:ascii="Times New Roman" w:hAnsi="Times New Roman"/>
                <w:kern w:val="0"/>
                <w:sz w:val="21"/>
                <w:szCs w:val="21"/>
              </w:rPr>
            </w:pPr>
          </w:p>
        </w:tc>
        <w:tc>
          <w:tcPr>
            <w:tcW w:w="0" w:type="auto"/>
            <w:vMerge/>
            <w:vAlign w:val="center"/>
          </w:tcPr>
          <w:p w14:paraId="0C0388EE"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7EA8C93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2018/3/12</w:t>
            </w:r>
          </w:p>
        </w:tc>
        <w:tc>
          <w:tcPr>
            <w:tcW w:w="0" w:type="auto"/>
            <w:shd w:val="clear" w:color="auto" w:fill="auto"/>
            <w:noWrap/>
            <w:vAlign w:val="center"/>
          </w:tcPr>
          <w:p w14:paraId="2C3CD42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4.3</w:t>
            </w:r>
          </w:p>
        </w:tc>
        <w:tc>
          <w:tcPr>
            <w:tcW w:w="0" w:type="auto"/>
            <w:shd w:val="clear" w:color="auto" w:fill="auto"/>
            <w:noWrap/>
            <w:vAlign w:val="center"/>
          </w:tcPr>
          <w:p w14:paraId="34A459A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2.87</w:t>
            </w:r>
          </w:p>
        </w:tc>
        <w:tc>
          <w:tcPr>
            <w:tcW w:w="0" w:type="auto"/>
            <w:vMerge/>
            <w:vAlign w:val="center"/>
          </w:tcPr>
          <w:p w14:paraId="201021F4" w14:textId="77777777" w:rsidR="009C353B" w:rsidRDefault="009C353B">
            <w:pPr>
              <w:widowControl/>
              <w:jc w:val="center"/>
              <w:rPr>
                <w:rFonts w:ascii="Times New Roman" w:hAnsi="Times New Roman"/>
                <w:kern w:val="0"/>
                <w:sz w:val="21"/>
                <w:szCs w:val="21"/>
              </w:rPr>
            </w:pPr>
          </w:p>
        </w:tc>
        <w:tc>
          <w:tcPr>
            <w:tcW w:w="0" w:type="auto"/>
            <w:vMerge/>
            <w:vAlign w:val="center"/>
          </w:tcPr>
          <w:p w14:paraId="25F34FA8" w14:textId="77777777" w:rsidR="009C353B" w:rsidRDefault="009C353B">
            <w:pPr>
              <w:widowControl/>
              <w:jc w:val="center"/>
              <w:rPr>
                <w:rFonts w:ascii="Times New Roman" w:hAnsi="Times New Roman"/>
                <w:kern w:val="0"/>
                <w:sz w:val="21"/>
                <w:szCs w:val="21"/>
              </w:rPr>
            </w:pPr>
          </w:p>
        </w:tc>
      </w:tr>
      <w:tr w:rsidR="009C353B" w14:paraId="3CF263BD" w14:textId="77777777">
        <w:trPr>
          <w:trHeight w:hRule="exact" w:val="312"/>
        </w:trPr>
        <w:tc>
          <w:tcPr>
            <w:tcW w:w="0" w:type="auto"/>
            <w:vMerge w:val="restart"/>
            <w:shd w:val="clear" w:color="auto" w:fill="auto"/>
            <w:noWrap/>
            <w:vAlign w:val="center"/>
          </w:tcPr>
          <w:p w14:paraId="75A4123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w:t>
            </w:r>
          </w:p>
        </w:tc>
        <w:tc>
          <w:tcPr>
            <w:tcW w:w="0" w:type="auto"/>
            <w:vMerge w:val="restart"/>
            <w:shd w:val="clear" w:color="auto" w:fill="auto"/>
            <w:vAlign w:val="center"/>
          </w:tcPr>
          <w:p w14:paraId="325BB88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0" w:type="auto"/>
            <w:shd w:val="clear" w:color="auto" w:fill="auto"/>
            <w:noWrap/>
            <w:vAlign w:val="center"/>
          </w:tcPr>
          <w:p w14:paraId="03C2D6D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2018/3/11</w:t>
            </w:r>
          </w:p>
        </w:tc>
        <w:tc>
          <w:tcPr>
            <w:tcW w:w="0" w:type="auto"/>
            <w:shd w:val="clear" w:color="auto" w:fill="auto"/>
            <w:noWrap/>
            <w:vAlign w:val="center"/>
          </w:tcPr>
          <w:p w14:paraId="64B951C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117.86</w:t>
            </w:r>
          </w:p>
        </w:tc>
        <w:tc>
          <w:tcPr>
            <w:tcW w:w="0" w:type="auto"/>
            <w:shd w:val="clear" w:color="auto" w:fill="auto"/>
            <w:noWrap/>
            <w:vAlign w:val="center"/>
          </w:tcPr>
          <w:p w14:paraId="3483C8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3.93</w:t>
            </w:r>
          </w:p>
        </w:tc>
        <w:tc>
          <w:tcPr>
            <w:tcW w:w="0" w:type="auto"/>
            <w:vMerge/>
            <w:vAlign w:val="center"/>
          </w:tcPr>
          <w:p w14:paraId="3EAE5067"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404F4AB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r>
      <w:tr w:rsidR="009C353B" w14:paraId="66B66F18" w14:textId="77777777">
        <w:trPr>
          <w:trHeight w:hRule="exact" w:val="312"/>
        </w:trPr>
        <w:tc>
          <w:tcPr>
            <w:tcW w:w="0" w:type="auto"/>
            <w:vMerge/>
            <w:vAlign w:val="center"/>
          </w:tcPr>
          <w:p w14:paraId="39E91CE8" w14:textId="77777777" w:rsidR="009C353B" w:rsidRDefault="009C353B">
            <w:pPr>
              <w:widowControl/>
              <w:jc w:val="center"/>
              <w:rPr>
                <w:rFonts w:ascii="Times New Roman" w:hAnsi="Times New Roman"/>
                <w:kern w:val="0"/>
                <w:sz w:val="21"/>
                <w:szCs w:val="21"/>
              </w:rPr>
            </w:pPr>
          </w:p>
        </w:tc>
        <w:tc>
          <w:tcPr>
            <w:tcW w:w="0" w:type="auto"/>
            <w:vMerge/>
            <w:vAlign w:val="center"/>
          </w:tcPr>
          <w:p w14:paraId="3F06C28E"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0162860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2018/3/12</w:t>
            </w:r>
          </w:p>
        </w:tc>
        <w:tc>
          <w:tcPr>
            <w:tcW w:w="0" w:type="auto"/>
            <w:shd w:val="clear" w:color="auto" w:fill="auto"/>
            <w:noWrap/>
            <w:vAlign w:val="center"/>
          </w:tcPr>
          <w:p w14:paraId="3BBB5B4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118.87</w:t>
            </w:r>
          </w:p>
        </w:tc>
        <w:tc>
          <w:tcPr>
            <w:tcW w:w="0" w:type="auto"/>
            <w:shd w:val="clear" w:color="auto" w:fill="auto"/>
            <w:noWrap/>
            <w:vAlign w:val="center"/>
          </w:tcPr>
          <w:p w14:paraId="1DA8C1B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3.96</w:t>
            </w:r>
          </w:p>
        </w:tc>
        <w:tc>
          <w:tcPr>
            <w:tcW w:w="0" w:type="auto"/>
            <w:vMerge/>
            <w:vAlign w:val="center"/>
          </w:tcPr>
          <w:p w14:paraId="6E1CDE33" w14:textId="77777777" w:rsidR="009C353B" w:rsidRDefault="009C353B">
            <w:pPr>
              <w:widowControl/>
              <w:jc w:val="center"/>
              <w:rPr>
                <w:rFonts w:ascii="Times New Roman" w:hAnsi="Times New Roman"/>
                <w:kern w:val="0"/>
                <w:sz w:val="21"/>
                <w:szCs w:val="21"/>
              </w:rPr>
            </w:pPr>
          </w:p>
        </w:tc>
        <w:tc>
          <w:tcPr>
            <w:tcW w:w="0" w:type="auto"/>
            <w:vMerge/>
            <w:vAlign w:val="center"/>
          </w:tcPr>
          <w:p w14:paraId="64853E5D" w14:textId="77777777" w:rsidR="009C353B" w:rsidRDefault="009C353B">
            <w:pPr>
              <w:widowControl/>
              <w:jc w:val="center"/>
              <w:rPr>
                <w:rFonts w:ascii="Times New Roman" w:hAnsi="Times New Roman"/>
                <w:kern w:val="0"/>
                <w:sz w:val="21"/>
                <w:szCs w:val="21"/>
              </w:rPr>
            </w:pPr>
          </w:p>
        </w:tc>
      </w:tr>
      <w:tr w:rsidR="009C353B" w14:paraId="179787F0" w14:textId="77777777">
        <w:trPr>
          <w:trHeight w:hRule="exact" w:val="312"/>
        </w:trPr>
        <w:tc>
          <w:tcPr>
            <w:tcW w:w="0" w:type="auto"/>
            <w:vMerge/>
            <w:vAlign w:val="center"/>
          </w:tcPr>
          <w:p w14:paraId="7FD0C87A"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vAlign w:val="center"/>
          </w:tcPr>
          <w:p w14:paraId="07A7EB9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BOD</w:t>
            </w:r>
            <w:r>
              <w:rPr>
                <w:rFonts w:ascii="Times New Roman" w:hAnsi="Times New Roman"/>
                <w:kern w:val="0"/>
                <w:sz w:val="21"/>
                <w:szCs w:val="21"/>
                <w:vertAlign w:val="subscript"/>
              </w:rPr>
              <w:t>5</w:t>
            </w:r>
          </w:p>
        </w:tc>
        <w:tc>
          <w:tcPr>
            <w:tcW w:w="0" w:type="auto"/>
            <w:shd w:val="clear" w:color="auto" w:fill="auto"/>
            <w:noWrap/>
            <w:vAlign w:val="center"/>
          </w:tcPr>
          <w:p w14:paraId="50055EF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2018/3/11</w:t>
            </w:r>
          </w:p>
        </w:tc>
        <w:tc>
          <w:tcPr>
            <w:tcW w:w="0" w:type="auto"/>
            <w:shd w:val="clear" w:color="auto" w:fill="auto"/>
            <w:noWrap/>
            <w:vAlign w:val="center"/>
          </w:tcPr>
          <w:p w14:paraId="7918E72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38.84</w:t>
            </w:r>
          </w:p>
        </w:tc>
        <w:tc>
          <w:tcPr>
            <w:tcW w:w="0" w:type="auto"/>
            <w:shd w:val="clear" w:color="auto" w:fill="auto"/>
            <w:noWrap/>
            <w:vAlign w:val="center"/>
          </w:tcPr>
          <w:p w14:paraId="4B695AB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6.47</w:t>
            </w:r>
          </w:p>
        </w:tc>
        <w:tc>
          <w:tcPr>
            <w:tcW w:w="0" w:type="auto"/>
            <w:vMerge/>
            <w:vAlign w:val="center"/>
          </w:tcPr>
          <w:p w14:paraId="23CA6006"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25D2807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w:t>
            </w:r>
          </w:p>
        </w:tc>
      </w:tr>
      <w:tr w:rsidR="009C353B" w14:paraId="3D792AF8" w14:textId="77777777">
        <w:trPr>
          <w:trHeight w:hRule="exact" w:val="312"/>
        </w:trPr>
        <w:tc>
          <w:tcPr>
            <w:tcW w:w="0" w:type="auto"/>
            <w:vMerge/>
            <w:vAlign w:val="center"/>
          </w:tcPr>
          <w:p w14:paraId="2B46BDD5" w14:textId="77777777" w:rsidR="009C353B" w:rsidRDefault="009C353B">
            <w:pPr>
              <w:widowControl/>
              <w:jc w:val="center"/>
              <w:rPr>
                <w:rFonts w:ascii="Times New Roman" w:hAnsi="Times New Roman"/>
                <w:kern w:val="0"/>
                <w:sz w:val="21"/>
                <w:szCs w:val="21"/>
              </w:rPr>
            </w:pPr>
          </w:p>
        </w:tc>
        <w:tc>
          <w:tcPr>
            <w:tcW w:w="0" w:type="auto"/>
            <w:vMerge/>
            <w:vAlign w:val="center"/>
          </w:tcPr>
          <w:p w14:paraId="53ED5E55"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5448C76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2018/3/12</w:t>
            </w:r>
          </w:p>
        </w:tc>
        <w:tc>
          <w:tcPr>
            <w:tcW w:w="0" w:type="auto"/>
            <w:shd w:val="clear" w:color="auto" w:fill="auto"/>
            <w:noWrap/>
            <w:vAlign w:val="center"/>
          </w:tcPr>
          <w:p w14:paraId="0717BE0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39.46</w:t>
            </w:r>
          </w:p>
        </w:tc>
        <w:tc>
          <w:tcPr>
            <w:tcW w:w="0" w:type="auto"/>
            <w:shd w:val="clear" w:color="auto" w:fill="auto"/>
            <w:noWrap/>
            <w:vAlign w:val="center"/>
          </w:tcPr>
          <w:p w14:paraId="34E1B7B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6.58</w:t>
            </w:r>
          </w:p>
        </w:tc>
        <w:tc>
          <w:tcPr>
            <w:tcW w:w="0" w:type="auto"/>
            <w:vMerge/>
            <w:vAlign w:val="center"/>
          </w:tcPr>
          <w:p w14:paraId="52517830" w14:textId="77777777" w:rsidR="009C353B" w:rsidRDefault="009C353B">
            <w:pPr>
              <w:widowControl/>
              <w:jc w:val="center"/>
              <w:rPr>
                <w:rFonts w:ascii="Times New Roman" w:hAnsi="Times New Roman"/>
                <w:kern w:val="0"/>
                <w:sz w:val="21"/>
                <w:szCs w:val="21"/>
              </w:rPr>
            </w:pPr>
          </w:p>
        </w:tc>
        <w:tc>
          <w:tcPr>
            <w:tcW w:w="0" w:type="auto"/>
            <w:vMerge/>
            <w:vAlign w:val="center"/>
          </w:tcPr>
          <w:p w14:paraId="1A7CB6B0" w14:textId="77777777" w:rsidR="009C353B" w:rsidRDefault="009C353B">
            <w:pPr>
              <w:widowControl/>
              <w:jc w:val="center"/>
              <w:rPr>
                <w:rFonts w:ascii="Times New Roman" w:hAnsi="Times New Roman"/>
                <w:kern w:val="0"/>
                <w:sz w:val="21"/>
                <w:szCs w:val="21"/>
              </w:rPr>
            </w:pPr>
          </w:p>
        </w:tc>
      </w:tr>
      <w:tr w:rsidR="009C353B" w14:paraId="7CA02FBF" w14:textId="77777777">
        <w:trPr>
          <w:trHeight w:hRule="exact" w:val="312"/>
        </w:trPr>
        <w:tc>
          <w:tcPr>
            <w:tcW w:w="0" w:type="auto"/>
            <w:vMerge/>
            <w:vAlign w:val="center"/>
          </w:tcPr>
          <w:p w14:paraId="6C724C4D"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vAlign w:val="center"/>
          </w:tcPr>
          <w:p w14:paraId="77E6088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氨氮</w:t>
            </w:r>
          </w:p>
        </w:tc>
        <w:tc>
          <w:tcPr>
            <w:tcW w:w="0" w:type="auto"/>
            <w:shd w:val="clear" w:color="auto" w:fill="auto"/>
            <w:noWrap/>
            <w:vAlign w:val="center"/>
          </w:tcPr>
          <w:p w14:paraId="4EE1114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2018/3/11</w:t>
            </w:r>
          </w:p>
        </w:tc>
        <w:tc>
          <w:tcPr>
            <w:tcW w:w="0" w:type="auto"/>
            <w:shd w:val="clear" w:color="auto" w:fill="auto"/>
            <w:noWrap/>
            <w:vAlign w:val="center"/>
          </w:tcPr>
          <w:p w14:paraId="2B61D27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0.16</w:t>
            </w:r>
          </w:p>
        </w:tc>
        <w:tc>
          <w:tcPr>
            <w:tcW w:w="0" w:type="auto"/>
            <w:shd w:val="clear" w:color="auto" w:fill="auto"/>
            <w:noWrap/>
            <w:vAlign w:val="center"/>
          </w:tcPr>
          <w:p w14:paraId="62D35BF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0.11</w:t>
            </w:r>
          </w:p>
        </w:tc>
        <w:tc>
          <w:tcPr>
            <w:tcW w:w="0" w:type="auto"/>
            <w:vMerge/>
            <w:vAlign w:val="center"/>
          </w:tcPr>
          <w:p w14:paraId="617B2868"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4CCA014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61C32EF3" w14:textId="77777777">
        <w:trPr>
          <w:trHeight w:hRule="exact" w:val="312"/>
        </w:trPr>
        <w:tc>
          <w:tcPr>
            <w:tcW w:w="0" w:type="auto"/>
            <w:vMerge/>
            <w:vAlign w:val="center"/>
          </w:tcPr>
          <w:p w14:paraId="2854B79C" w14:textId="77777777" w:rsidR="009C353B" w:rsidRDefault="009C353B">
            <w:pPr>
              <w:widowControl/>
              <w:jc w:val="center"/>
              <w:rPr>
                <w:rFonts w:ascii="Times New Roman" w:hAnsi="Times New Roman"/>
                <w:kern w:val="0"/>
                <w:sz w:val="21"/>
                <w:szCs w:val="21"/>
              </w:rPr>
            </w:pPr>
          </w:p>
        </w:tc>
        <w:tc>
          <w:tcPr>
            <w:tcW w:w="0" w:type="auto"/>
            <w:vMerge/>
            <w:vAlign w:val="center"/>
          </w:tcPr>
          <w:p w14:paraId="5514B403" w14:textId="77777777" w:rsidR="009C353B" w:rsidRDefault="009C353B">
            <w:pPr>
              <w:widowControl/>
              <w:jc w:val="center"/>
              <w:rPr>
                <w:rFonts w:ascii="Times New Roman" w:hAnsi="Times New Roman"/>
                <w:kern w:val="0"/>
                <w:sz w:val="21"/>
                <w:szCs w:val="21"/>
              </w:rPr>
            </w:pPr>
          </w:p>
        </w:tc>
        <w:tc>
          <w:tcPr>
            <w:tcW w:w="0" w:type="auto"/>
            <w:shd w:val="clear" w:color="auto" w:fill="auto"/>
            <w:noWrap/>
            <w:vAlign w:val="center"/>
          </w:tcPr>
          <w:p w14:paraId="164AB6D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2018/3/12</w:t>
            </w:r>
          </w:p>
        </w:tc>
        <w:tc>
          <w:tcPr>
            <w:tcW w:w="0" w:type="auto"/>
            <w:shd w:val="clear" w:color="auto" w:fill="auto"/>
            <w:noWrap/>
            <w:vAlign w:val="center"/>
          </w:tcPr>
          <w:p w14:paraId="4B5581E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0.17</w:t>
            </w:r>
          </w:p>
        </w:tc>
        <w:tc>
          <w:tcPr>
            <w:tcW w:w="0" w:type="auto"/>
            <w:shd w:val="clear" w:color="auto" w:fill="auto"/>
            <w:noWrap/>
            <w:vAlign w:val="center"/>
          </w:tcPr>
          <w:p w14:paraId="2A65DB1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0.11</w:t>
            </w:r>
          </w:p>
        </w:tc>
        <w:tc>
          <w:tcPr>
            <w:tcW w:w="0" w:type="auto"/>
            <w:vMerge/>
            <w:vAlign w:val="center"/>
          </w:tcPr>
          <w:p w14:paraId="20936045" w14:textId="77777777" w:rsidR="009C353B" w:rsidRDefault="009C353B">
            <w:pPr>
              <w:widowControl/>
              <w:jc w:val="center"/>
              <w:rPr>
                <w:rFonts w:ascii="Times New Roman" w:hAnsi="Times New Roman"/>
                <w:kern w:val="0"/>
                <w:sz w:val="21"/>
                <w:szCs w:val="21"/>
              </w:rPr>
            </w:pPr>
          </w:p>
        </w:tc>
        <w:tc>
          <w:tcPr>
            <w:tcW w:w="0" w:type="auto"/>
            <w:vMerge/>
            <w:vAlign w:val="center"/>
          </w:tcPr>
          <w:p w14:paraId="50E0F927" w14:textId="77777777" w:rsidR="009C353B" w:rsidRDefault="009C353B">
            <w:pPr>
              <w:widowControl/>
              <w:jc w:val="center"/>
              <w:rPr>
                <w:rFonts w:ascii="Times New Roman" w:hAnsi="Times New Roman"/>
                <w:kern w:val="0"/>
                <w:sz w:val="21"/>
                <w:szCs w:val="21"/>
              </w:rPr>
            </w:pPr>
          </w:p>
        </w:tc>
      </w:tr>
      <w:tr w:rsidR="009C353B" w14:paraId="041AD1FE" w14:textId="77777777">
        <w:trPr>
          <w:trHeight w:hRule="exact" w:val="312"/>
        </w:trPr>
        <w:tc>
          <w:tcPr>
            <w:tcW w:w="0" w:type="auto"/>
            <w:vMerge w:val="restart"/>
            <w:vAlign w:val="center"/>
          </w:tcPr>
          <w:p w14:paraId="17ECFBB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w:t>
            </w:r>
          </w:p>
        </w:tc>
        <w:tc>
          <w:tcPr>
            <w:tcW w:w="0" w:type="auto"/>
            <w:vMerge w:val="restart"/>
            <w:shd w:val="clear" w:color="auto" w:fill="auto"/>
            <w:noWrap/>
            <w:vAlign w:val="center"/>
          </w:tcPr>
          <w:p w14:paraId="79807FD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0" w:type="auto"/>
            <w:vAlign w:val="center"/>
          </w:tcPr>
          <w:p w14:paraId="51B5C42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2020/8/7</w:t>
            </w:r>
          </w:p>
        </w:tc>
        <w:tc>
          <w:tcPr>
            <w:tcW w:w="0" w:type="auto"/>
            <w:shd w:val="clear" w:color="auto" w:fill="auto"/>
            <w:noWrap/>
            <w:vAlign w:val="center"/>
          </w:tcPr>
          <w:p w14:paraId="4532229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35</w:t>
            </w:r>
          </w:p>
        </w:tc>
        <w:tc>
          <w:tcPr>
            <w:tcW w:w="0" w:type="auto"/>
            <w:shd w:val="clear" w:color="auto" w:fill="auto"/>
            <w:noWrap/>
            <w:vAlign w:val="center"/>
          </w:tcPr>
          <w:p w14:paraId="2F65FDA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1.17</w:t>
            </w:r>
          </w:p>
        </w:tc>
        <w:tc>
          <w:tcPr>
            <w:tcW w:w="0" w:type="auto"/>
            <w:vMerge/>
            <w:vAlign w:val="center"/>
          </w:tcPr>
          <w:p w14:paraId="76C1DB97"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061238D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w:t>
            </w:r>
          </w:p>
        </w:tc>
      </w:tr>
      <w:tr w:rsidR="009C353B" w14:paraId="47E2279F" w14:textId="77777777">
        <w:trPr>
          <w:trHeight w:hRule="exact" w:val="312"/>
        </w:trPr>
        <w:tc>
          <w:tcPr>
            <w:tcW w:w="0" w:type="auto"/>
            <w:vMerge/>
            <w:vAlign w:val="center"/>
          </w:tcPr>
          <w:p w14:paraId="13F6C0DD"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7C518B9D" w14:textId="77777777" w:rsidR="009C353B" w:rsidRDefault="009C353B">
            <w:pPr>
              <w:widowControl/>
              <w:jc w:val="center"/>
              <w:rPr>
                <w:rFonts w:ascii="Times New Roman" w:hAnsi="Times New Roman"/>
                <w:kern w:val="0"/>
                <w:sz w:val="21"/>
                <w:szCs w:val="21"/>
              </w:rPr>
            </w:pPr>
          </w:p>
        </w:tc>
        <w:tc>
          <w:tcPr>
            <w:tcW w:w="0" w:type="auto"/>
            <w:vAlign w:val="center"/>
          </w:tcPr>
          <w:p w14:paraId="5F66021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2020/8/8</w:t>
            </w:r>
          </w:p>
        </w:tc>
        <w:tc>
          <w:tcPr>
            <w:tcW w:w="0" w:type="auto"/>
            <w:shd w:val="clear" w:color="auto" w:fill="auto"/>
            <w:noWrap/>
            <w:vAlign w:val="center"/>
          </w:tcPr>
          <w:p w14:paraId="676C0AF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33</w:t>
            </w:r>
          </w:p>
        </w:tc>
        <w:tc>
          <w:tcPr>
            <w:tcW w:w="0" w:type="auto"/>
            <w:shd w:val="clear" w:color="auto" w:fill="auto"/>
            <w:noWrap/>
            <w:vAlign w:val="center"/>
          </w:tcPr>
          <w:p w14:paraId="36ECBBC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w:t>
            </w:r>
          </w:p>
        </w:tc>
        <w:tc>
          <w:tcPr>
            <w:tcW w:w="0" w:type="auto"/>
            <w:vMerge/>
            <w:vAlign w:val="center"/>
          </w:tcPr>
          <w:p w14:paraId="32ECC7A4"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40B3AC34" w14:textId="77777777" w:rsidR="009C353B" w:rsidRDefault="009C353B">
            <w:pPr>
              <w:widowControl/>
              <w:jc w:val="center"/>
              <w:rPr>
                <w:rFonts w:ascii="Times New Roman" w:hAnsi="Times New Roman"/>
                <w:kern w:val="0"/>
                <w:sz w:val="21"/>
                <w:szCs w:val="21"/>
              </w:rPr>
            </w:pPr>
          </w:p>
        </w:tc>
      </w:tr>
      <w:tr w:rsidR="009C353B" w14:paraId="3644B76E" w14:textId="77777777">
        <w:trPr>
          <w:trHeight w:hRule="exact" w:val="312"/>
        </w:trPr>
        <w:tc>
          <w:tcPr>
            <w:tcW w:w="0" w:type="auto"/>
            <w:vMerge/>
            <w:vAlign w:val="center"/>
          </w:tcPr>
          <w:p w14:paraId="4A16EBB5"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6C5D5CA3" w14:textId="77777777" w:rsidR="009C353B" w:rsidRDefault="009C353B">
            <w:pPr>
              <w:widowControl/>
              <w:jc w:val="center"/>
              <w:rPr>
                <w:rFonts w:ascii="Times New Roman" w:hAnsi="Times New Roman"/>
                <w:kern w:val="0"/>
                <w:sz w:val="21"/>
                <w:szCs w:val="21"/>
              </w:rPr>
            </w:pPr>
          </w:p>
        </w:tc>
        <w:tc>
          <w:tcPr>
            <w:tcW w:w="0" w:type="auto"/>
            <w:vAlign w:val="center"/>
          </w:tcPr>
          <w:p w14:paraId="54B7C9E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2020/8/9</w:t>
            </w:r>
          </w:p>
        </w:tc>
        <w:tc>
          <w:tcPr>
            <w:tcW w:w="0" w:type="auto"/>
            <w:shd w:val="clear" w:color="auto" w:fill="auto"/>
            <w:noWrap/>
            <w:vAlign w:val="center"/>
          </w:tcPr>
          <w:p w14:paraId="29C9AA5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32</w:t>
            </w:r>
          </w:p>
        </w:tc>
        <w:tc>
          <w:tcPr>
            <w:tcW w:w="0" w:type="auto"/>
            <w:shd w:val="clear" w:color="auto" w:fill="auto"/>
            <w:noWrap/>
            <w:vAlign w:val="center"/>
          </w:tcPr>
          <w:p w14:paraId="3897A18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1.07</w:t>
            </w:r>
          </w:p>
        </w:tc>
        <w:tc>
          <w:tcPr>
            <w:tcW w:w="0" w:type="auto"/>
            <w:vMerge/>
            <w:vAlign w:val="center"/>
          </w:tcPr>
          <w:p w14:paraId="2C1C38B8"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51B8B6AC" w14:textId="77777777" w:rsidR="009C353B" w:rsidRDefault="009C353B">
            <w:pPr>
              <w:widowControl/>
              <w:jc w:val="center"/>
              <w:rPr>
                <w:rFonts w:ascii="Times New Roman" w:hAnsi="Times New Roman"/>
                <w:kern w:val="0"/>
                <w:sz w:val="21"/>
                <w:szCs w:val="21"/>
              </w:rPr>
            </w:pPr>
          </w:p>
        </w:tc>
      </w:tr>
      <w:tr w:rsidR="009C353B" w14:paraId="62E1C881" w14:textId="77777777">
        <w:trPr>
          <w:trHeight w:hRule="exact" w:val="312"/>
        </w:trPr>
        <w:tc>
          <w:tcPr>
            <w:tcW w:w="0" w:type="auto"/>
            <w:vMerge/>
            <w:vAlign w:val="center"/>
          </w:tcPr>
          <w:p w14:paraId="053DD3BA"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2FF0351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B</w:t>
            </w:r>
            <w:r>
              <w:rPr>
                <w:rFonts w:ascii="Times New Roman" w:hAnsi="Times New Roman"/>
                <w:kern w:val="0"/>
                <w:sz w:val="21"/>
                <w:szCs w:val="21"/>
              </w:rPr>
              <w:t>OD</w:t>
            </w:r>
            <w:r>
              <w:rPr>
                <w:rFonts w:ascii="Times New Roman" w:hAnsi="Times New Roman"/>
                <w:kern w:val="0"/>
                <w:sz w:val="21"/>
                <w:szCs w:val="21"/>
                <w:vertAlign w:val="subscript"/>
              </w:rPr>
              <w:t>5</w:t>
            </w:r>
          </w:p>
        </w:tc>
        <w:tc>
          <w:tcPr>
            <w:tcW w:w="0" w:type="auto"/>
            <w:vAlign w:val="center"/>
          </w:tcPr>
          <w:p w14:paraId="2D31F89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2020/8/7</w:t>
            </w:r>
          </w:p>
        </w:tc>
        <w:tc>
          <w:tcPr>
            <w:tcW w:w="0" w:type="auto"/>
            <w:shd w:val="clear" w:color="auto" w:fill="auto"/>
            <w:noWrap/>
            <w:vAlign w:val="center"/>
          </w:tcPr>
          <w:p w14:paraId="7119AF8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c>
          <w:tcPr>
            <w:tcW w:w="0" w:type="auto"/>
            <w:shd w:val="clear" w:color="auto" w:fill="auto"/>
            <w:noWrap/>
            <w:vAlign w:val="center"/>
          </w:tcPr>
          <w:p w14:paraId="016F107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p>
        </w:tc>
        <w:tc>
          <w:tcPr>
            <w:tcW w:w="0" w:type="auto"/>
            <w:vMerge/>
            <w:vAlign w:val="center"/>
          </w:tcPr>
          <w:p w14:paraId="1CD7004B"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7F33020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r>
      <w:tr w:rsidR="009C353B" w14:paraId="443F8641" w14:textId="77777777">
        <w:trPr>
          <w:trHeight w:hRule="exact" w:val="312"/>
        </w:trPr>
        <w:tc>
          <w:tcPr>
            <w:tcW w:w="0" w:type="auto"/>
            <w:vMerge/>
            <w:vAlign w:val="center"/>
          </w:tcPr>
          <w:p w14:paraId="0AD5EC23"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4BD0A413" w14:textId="77777777" w:rsidR="009C353B" w:rsidRDefault="009C353B">
            <w:pPr>
              <w:widowControl/>
              <w:jc w:val="center"/>
              <w:rPr>
                <w:rFonts w:ascii="Times New Roman" w:hAnsi="Times New Roman"/>
                <w:kern w:val="0"/>
                <w:sz w:val="21"/>
                <w:szCs w:val="21"/>
              </w:rPr>
            </w:pPr>
          </w:p>
        </w:tc>
        <w:tc>
          <w:tcPr>
            <w:tcW w:w="0" w:type="auto"/>
            <w:vAlign w:val="center"/>
          </w:tcPr>
          <w:p w14:paraId="1E3350E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2020/8/8</w:t>
            </w:r>
          </w:p>
        </w:tc>
        <w:tc>
          <w:tcPr>
            <w:tcW w:w="0" w:type="auto"/>
            <w:shd w:val="clear" w:color="auto" w:fill="auto"/>
            <w:noWrap/>
            <w:vAlign w:val="center"/>
          </w:tcPr>
          <w:p w14:paraId="31B4A71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r>
              <w:rPr>
                <w:rFonts w:ascii="Times New Roman" w:hAnsi="Times New Roman"/>
                <w:kern w:val="0"/>
                <w:sz w:val="21"/>
                <w:szCs w:val="21"/>
              </w:rPr>
              <w:t>.1</w:t>
            </w:r>
          </w:p>
        </w:tc>
        <w:tc>
          <w:tcPr>
            <w:tcW w:w="0" w:type="auto"/>
            <w:shd w:val="clear" w:color="auto" w:fill="auto"/>
            <w:noWrap/>
            <w:vAlign w:val="center"/>
          </w:tcPr>
          <w:p w14:paraId="7A7B9F2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.02</w:t>
            </w:r>
          </w:p>
        </w:tc>
        <w:tc>
          <w:tcPr>
            <w:tcW w:w="0" w:type="auto"/>
            <w:vMerge/>
            <w:vAlign w:val="center"/>
          </w:tcPr>
          <w:p w14:paraId="7396A8E2"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75D9EBFF" w14:textId="77777777" w:rsidR="009C353B" w:rsidRDefault="009C353B">
            <w:pPr>
              <w:widowControl/>
              <w:jc w:val="center"/>
              <w:rPr>
                <w:rFonts w:ascii="Times New Roman" w:hAnsi="Times New Roman"/>
                <w:kern w:val="0"/>
                <w:sz w:val="21"/>
                <w:szCs w:val="21"/>
              </w:rPr>
            </w:pPr>
          </w:p>
        </w:tc>
      </w:tr>
      <w:tr w:rsidR="009C353B" w14:paraId="20C95FB1" w14:textId="77777777">
        <w:trPr>
          <w:trHeight w:hRule="exact" w:val="312"/>
        </w:trPr>
        <w:tc>
          <w:tcPr>
            <w:tcW w:w="0" w:type="auto"/>
            <w:vMerge/>
            <w:vAlign w:val="center"/>
          </w:tcPr>
          <w:p w14:paraId="540E45C0"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4296C44C" w14:textId="77777777" w:rsidR="009C353B" w:rsidRDefault="009C353B">
            <w:pPr>
              <w:widowControl/>
              <w:jc w:val="center"/>
              <w:rPr>
                <w:rFonts w:ascii="Times New Roman" w:hAnsi="Times New Roman"/>
                <w:kern w:val="0"/>
                <w:sz w:val="21"/>
                <w:szCs w:val="21"/>
              </w:rPr>
            </w:pPr>
          </w:p>
        </w:tc>
        <w:tc>
          <w:tcPr>
            <w:tcW w:w="0" w:type="auto"/>
            <w:vAlign w:val="center"/>
          </w:tcPr>
          <w:p w14:paraId="2CF5608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2020/8/9</w:t>
            </w:r>
          </w:p>
        </w:tc>
        <w:tc>
          <w:tcPr>
            <w:tcW w:w="0" w:type="auto"/>
            <w:shd w:val="clear" w:color="auto" w:fill="auto"/>
            <w:noWrap/>
            <w:vAlign w:val="center"/>
          </w:tcPr>
          <w:p w14:paraId="5C8477A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.8</w:t>
            </w:r>
          </w:p>
        </w:tc>
        <w:tc>
          <w:tcPr>
            <w:tcW w:w="0" w:type="auto"/>
            <w:shd w:val="clear" w:color="auto" w:fill="auto"/>
            <w:noWrap/>
            <w:vAlign w:val="center"/>
          </w:tcPr>
          <w:p w14:paraId="60F00BE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w:t>
            </w:r>
            <w:r>
              <w:rPr>
                <w:rFonts w:ascii="Times New Roman" w:hAnsi="Times New Roman"/>
                <w:kern w:val="0"/>
                <w:sz w:val="21"/>
                <w:szCs w:val="21"/>
              </w:rPr>
              <w:t>.97</w:t>
            </w:r>
          </w:p>
        </w:tc>
        <w:tc>
          <w:tcPr>
            <w:tcW w:w="0" w:type="auto"/>
            <w:vMerge/>
            <w:vAlign w:val="center"/>
          </w:tcPr>
          <w:p w14:paraId="74047D05"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6B3D1130" w14:textId="77777777" w:rsidR="009C353B" w:rsidRDefault="009C353B">
            <w:pPr>
              <w:widowControl/>
              <w:jc w:val="center"/>
              <w:rPr>
                <w:rFonts w:ascii="Times New Roman" w:hAnsi="Times New Roman"/>
                <w:kern w:val="0"/>
                <w:sz w:val="21"/>
                <w:szCs w:val="21"/>
              </w:rPr>
            </w:pPr>
          </w:p>
        </w:tc>
      </w:tr>
      <w:tr w:rsidR="009C353B" w14:paraId="57B1E7A8" w14:textId="77777777">
        <w:trPr>
          <w:trHeight w:hRule="exact" w:val="312"/>
        </w:trPr>
        <w:tc>
          <w:tcPr>
            <w:tcW w:w="0" w:type="auto"/>
            <w:vMerge/>
            <w:vAlign w:val="center"/>
          </w:tcPr>
          <w:p w14:paraId="6868C983"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170799F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0" w:type="auto"/>
            <w:vAlign w:val="center"/>
          </w:tcPr>
          <w:p w14:paraId="19AB018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2020/8/7</w:t>
            </w:r>
          </w:p>
        </w:tc>
        <w:tc>
          <w:tcPr>
            <w:tcW w:w="0" w:type="auto"/>
            <w:shd w:val="clear" w:color="auto" w:fill="auto"/>
            <w:noWrap/>
            <w:vAlign w:val="center"/>
          </w:tcPr>
          <w:p w14:paraId="5066A5F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2.74</w:t>
            </w:r>
          </w:p>
        </w:tc>
        <w:tc>
          <w:tcPr>
            <w:tcW w:w="0" w:type="auto"/>
            <w:shd w:val="clear" w:color="auto" w:fill="auto"/>
            <w:noWrap/>
            <w:vAlign w:val="center"/>
          </w:tcPr>
          <w:p w14:paraId="0CF982E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1.83</w:t>
            </w:r>
          </w:p>
        </w:tc>
        <w:tc>
          <w:tcPr>
            <w:tcW w:w="0" w:type="auto"/>
            <w:vMerge/>
            <w:vAlign w:val="center"/>
          </w:tcPr>
          <w:p w14:paraId="5B1F4B54"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5A99C1F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w:t>
            </w:r>
          </w:p>
        </w:tc>
      </w:tr>
      <w:tr w:rsidR="009C353B" w14:paraId="3EF6B26B" w14:textId="77777777">
        <w:trPr>
          <w:trHeight w:hRule="exact" w:val="312"/>
        </w:trPr>
        <w:tc>
          <w:tcPr>
            <w:tcW w:w="0" w:type="auto"/>
            <w:vMerge/>
            <w:vAlign w:val="center"/>
          </w:tcPr>
          <w:p w14:paraId="5F10FF35"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2A1B72AA" w14:textId="77777777" w:rsidR="009C353B" w:rsidRDefault="009C353B">
            <w:pPr>
              <w:widowControl/>
              <w:jc w:val="center"/>
              <w:rPr>
                <w:rFonts w:ascii="Times New Roman" w:hAnsi="Times New Roman"/>
                <w:kern w:val="0"/>
                <w:sz w:val="21"/>
                <w:szCs w:val="21"/>
              </w:rPr>
            </w:pPr>
          </w:p>
        </w:tc>
        <w:tc>
          <w:tcPr>
            <w:tcW w:w="0" w:type="auto"/>
            <w:vAlign w:val="center"/>
          </w:tcPr>
          <w:p w14:paraId="7A0AB88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2020/8/8</w:t>
            </w:r>
          </w:p>
        </w:tc>
        <w:tc>
          <w:tcPr>
            <w:tcW w:w="0" w:type="auto"/>
            <w:shd w:val="clear" w:color="auto" w:fill="auto"/>
            <w:noWrap/>
            <w:vAlign w:val="center"/>
          </w:tcPr>
          <w:p w14:paraId="0854F10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1.31</w:t>
            </w:r>
          </w:p>
        </w:tc>
        <w:tc>
          <w:tcPr>
            <w:tcW w:w="0" w:type="auto"/>
            <w:shd w:val="clear" w:color="auto" w:fill="auto"/>
            <w:noWrap/>
            <w:vAlign w:val="center"/>
          </w:tcPr>
          <w:p w14:paraId="3DB03E9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0.87</w:t>
            </w:r>
          </w:p>
        </w:tc>
        <w:tc>
          <w:tcPr>
            <w:tcW w:w="0" w:type="auto"/>
            <w:vMerge/>
            <w:vAlign w:val="center"/>
          </w:tcPr>
          <w:p w14:paraId="2D5DE98B"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06D5464D" w14:textId="77777777" w:rsidR="009C353B" w:rsidRDefault="009C353B">
            <w:pPr>
              <w:widowControl/>
              <w:jc w:val="center"/>
              <w:rPr>
                <w:rFonts w:ascii="Times New Roman" w:hAnsi="Times New Roman"/>
                <w:kern w:val="0"/>
                <w:sz w:val="21"/>
                <w:szCs w:val="21"/>
              </w:rPr>
            </w:pPr>
          </w:p>
        </w:tc>
      </w:tr>
      <w:tr w:rsidR="009C353B" w14:paraId="09901AF3" w14:textId="77777777">
        <w:trPr>
          <w:trHeight w:hRule="exact" w:val="312"/>
        </w:trPr>
        <w:tc>
          <w:tcPr>
            <w:tcW w:w="0" w:type="auto"/>
            <w:vMerge/>
            <w:vAlign w:val="center"/>
          </w:tcPr>
          <w:p w14:paraId="1927806D"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1B768900" w14:textId="77777777" w:rsidR="009C353B" w:rsidRDefault="009C353B">
            <w:pPr>
              <w:widowControl/>
              <w:jc w:val="center"/>
              <w:rPr>
                <w:rFonts w:ascii="Times New Roman" w:hAnsi="Times New Roman"/>
                <w:kern w:val="0"/>
                <w:sz w:val="21"/>
                <w:szCs w:val="21"/>
              </w:rPr>
            </w:pPr>
          </w:p>
        </w:tc>
        <w:tc>
          <w:tcPr>
            <w:tcW w:w="0" w:type="auto"/>
            <w:vAlign w:val="center"/>
          </w:tcPr>
          <w:p w14:paraId="2D728FB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2020/8/9</w:t>
            </w:r>
          </w:p>
        </w:tc>
        <w:tc>
          <w:tcPr>
            <w:tcW w:w="0" w:type="auto"/>
            <w:shd w:val="clear" w:color="auto" w:fill="auto"/>
            <w:noWrap/>
            <w:vAlign w:val="center"/>
          </w:tcPr>
          <w:p w14:paraId="1EFFC9E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1.35</w:t>
            </w:r>
          </w:p>
        </w:tc>
        <w:tc>
          <w:tcPr>
            <w:tcW w:w="0" w:type="auto"/>
            <w:shd w:val="clear" w:color="auto" w:fill="auto"/>
            <w:noWrap/>
            <w:vAlign w:val="center"/>
          </w:tcPr>
          <w:p w14:paraId="55F170C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0.9</w:t>
            </w:r>
          </w:p>
        </w:tc>
        <w:tc>
          <w:tcPr>
            <w:tcW w:w="0" w:type="auto"/>
            <w:vMerge/>
            <w:vAlign w:val="center"/>
          </w:tcPr>
          <w:p w14:paraId="2A8004D8"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0C468CB1" w14:textId="77777777" w:rsidR="009C353B" w:rsidRDefault="009C353B">
            <w:pPr>
              <w:widowControl/>
              <w:jc w:val="center"/>
              <w:rPr>
                <w:rFonts w:ascii="Times New Roman" w:hAnsi="Times New Roman"/>
                <w:kern w:val="0"/>
                <w:sz w:val="21"/>
                <w:szCs w:val="21"/>
              </w:rPr>
            </w:pPr>
          </w:p>
        </w:tc>
      </w:tr>
      <w:tr w:rsidR="009C353B" w14:paraId="3F543E55" w14:textId="77777777">
        <w:trPr>
          <w:trHeight w:hRule="exact" w:val="312"/>
        </w:trPr>
        <w:tc>
          <w:tcPr>
            <w:tcW w:w="0" w:type="auto"/>
            <w:vMerge w:val="restart"/>
            <w:vAlign w:val="center"/>
          </w:tcPr>
          <w:p w14:paraId="78669C0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r>
              <w:rPr>
                <w:rFonts w:ascii="Times New Roman" w:hAnsi="Times New Roman"/>
                <w:kern w:val="0"/>
                <w:sz w:val="21"/>
                <w:szCs w:val="21"/>
              </w:rPr>
              <w:t>#</w:t>
            </w:r>
          </w:p>
        </w:tc>
        <w:tc>
          <w:tcPr>
            <w:tcW w:w="0" w:type="auto"/>
            <w:vMerge w:val="restart"/>
            <w:shd w:val="clear" w:color="auto" w:fill="auto"/>
            <w:noWrap/>
            <w:vAlign w:val="center"/>
          </w:tcPr>
          <w:p w14:paraId="137D1B9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0" w:type="auto"/>
            <w:vAlign w:val="center"/>
          </w:tcPr>
          <w:p w14:paraId="4197BEA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2020/8/7</w:t>
            </w:r>
          </w:p>
        </w:tc>
        <w:tc>
          <w:tcPr>
            <w:tcW w:w="0" w:type="auto"/>
            <w:shd w:val="clear" w:color="auto" w:fill="auto"/>
            <w:noWrap/>
            <w:vAlign w:val="center"/>
          </w:tcPr>
          <w:p w14:paraId="7578F35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44</w:t>
            </w:r>
          </w:p>
        </w:tc>
        <w:tc>
          <w:tcPr>
            <w:tcW w:w="0" w:type="auto"/>
            <w:shd w:val="clear" w:color="auto" w:fill="auto"/>
            <w:noWrap/>
            <w:vAlign w:val="center"/>
          </w:tcPr>
          <w:p w14:paraId="3C1D1E9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1.47</w:t>
            </w:r>
          </w:p>
        </w:tc>
        <w:tc>
          <w:tcPr>
            <w:tcW w:w="0" w:type="auto"/>
            <w:vMerge/>
            <w:vAlign w:val="center"/>
          </w:tcPr>
          <w:p w14:paraId="442A43D1"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24788A0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30</w:t>
            </w:r>
          </w:p>
        </w:tc>
      </w:tr>
      <w:tr w:rsidR="009C353B" w14:paraId="1588F6A6" w14:textId="77777777">
        <w:trPr>
          <w:trHeight w:hRule="exact" w:val="312"/>
        </w:trPr>
        <w:tc>
          <w:tcPr>
            <w:tcW w:w="0" w:type="auto"/>
            <w:vMerge/>
            <w:vAlign w:val="center"/>
          </w:tcPr>
          <w:p w14:paraId="1DE80C29"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6A274D18" w14:textId="77777777" w:rsidR="009C353B" w:rsidRDefault="009C353B">
            <w:pPr>
              <w:widowControl/>
              <w:jc w:val="center"/>
              <w:rPr>
                <w:rFonts w:ascii="Times New Roman" w:hAnsi="Times New Roman"/>
                <w:kern w:val="0"/>
                <w:sz w:val="21"/>
                <w:szCs w:val="21"/>
              </w:rPr>
            </w:pPr>
          </w:p>
        </w:tc>
        <w:tc>
          <w:tcPr>
            <w:tcW w:w="0" w:type="auto"/>
            <w:vAlign w:val="center"/>
          </w:tcPr>
          <w:p w14:paraId="00C5878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2020/8/8</w:t>
            </w:r>
          </w:p>
        </w:tc>
        <w:tc>
          <w:tcPr>
            <w:tcW w:w="0" w:type="auto"/>
            <w:shd w:val="clear" w:color="auto" w:fill="auto"/>
            <w:noWrap/>
            <w:vAlign w:val="center"/>
          </w:tcPr>
          <w:p w14:paraId="34EC4E6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46</w:t>
            </w:r>
          </w:p>
        </w:tc>
        <w:tc>
          <w:tcPr>
            <w:tcW w:w="0" w:type="auto"/>
            <w:shd w:val="clear" w:color="auto" w:fill="auto"/>
            <w:noWrap/>
            <w:vAlign w:val="center"/>
          </w:tcPr>
          <w:p w14:paraId="6887DC5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1.53</w:t>
            </w:r>
          </w:p>
        </w:tc>
        <w:tc>
          <w:tcPr>
            <w:tcW w:w="0" w:type="auto"/>
            <w:vMerge/>
            <w:vAlign w:val="center"/>
          </w:tcPr>
          <w:p w14:paraId="3F1DF487"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7B3AB043" w14:textId="77777777" w:rsidR="009C353B" w:rsidRDefault="009C353B">
            <w:pPr>
              <w:widowControl/>
              <w:jc w:val="center"/>
              <w:rPr>
                <w:rFonts w:ascii="Times New Roman" w:hAnsi="Times New Roman"/>
                <w:kern w:val="0"/>
                <w:sz w:val="21"/>
                <w:szCs w:val="21"/>
              </w:rPr>
            </w:pPr>
          </w:p>
        </w:tc>
      </w:tr>
      <w:tr w:rsidR="009C353B" w14:paraId="54199D47" w14:textId="77777777">
        <w:trPr>
          <w:trHeight w:hRule="exact" w:val="312"/>
        </w:trPr>
        <w:tc>
          <w:tcPr>
            <w:tcW w:w="0" w:type="auto"/>
            <w:vMerge/>
            <w:vAlign w:val="center"/>
          </w:tcPr>
          <w:p w14:paraId="426AFEF8"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1DC44092" w14:textId="77777777" w:rsidR="009C353B" w:rsidRDefault="009C353B">
            <w:pPr>
              <w:widowControl/>
              <w:jc w:val="center"/>
              <w:rPr>
                <w:rFonts w:ascii="Times New Roman" w:hAnsi="Times New Roman"/>
                <w:kern w:val="0"/>
                <w:sz w:val="21"/>
                <w:szCs w:val="21"/>
              </w:rPr>
            </w:pPr>
          </w:p>
        </w:tc>
        <w:tc>
          <w:tcPr>
            <w:tcW w:w="0" w:type="auto"/>
            <w:vAlign w:val="center"/>
          </w:tcPr>
          <w:p w14:paraId="0CEDD7A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2020/8/9</w:t>
            </w:r>
          </w:p>
        </w:tc>
        <w:tc>
          <w:tcPr>
            <w:tcW w:w="0" w:type="auto"/>
            <w:shd w:val="clear" w:color="auto" w:fill="auto"/>
            <w:noWrap/>
            <w:vAlign w:val="center"/>
          </w:tcPr>
          <w:p w14:paraId="1B77583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42</w:t>
            </w:r>
          </w:p>
        </w:tc>
        <w:tc>
          <w:tcPr>
            <w:tcW w:w="0" w:type="auto"/>
            <w:shd w:val="clear" w:color="auto" w:fill="auto"/>
            <w:noWrap/>
            <w:vAlign w:val="center"/>
          </w:tcPr>
          <w:p w14:paraId="4C7F3BE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1.4</w:t>
            </w:r>
          </w:p>
        </w:tc>
        <w:tc>
          <w:tcPr>
            <w:tcW w:w="0" w:type="auto"/>
            <w:vMerge/>
            <w:vAlign w:val="center"/>
          </w:tcPr>
          <w:p w14:paraId="482AAAB2"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27E33FF7" w14:textId="77777777" w:rsidR="009C353B" w:rsidRDefault="009C353B">
            <w:pPr>
              <w:widowControl/>
              <w:jc w:val="center"/>
              <w:rPr>
                <w:rFonts w:ascii="Times New Roman" w:hAnsi="Times New Roman"/>
                <w:kern w:val="0"/>
                <w:sz w:val="21"/>
                <w:szCs w:val="21"/>
              </w:rPr>
            </w:pPr>
          </w:p>
        </w:tc>
      </w:tr>
      <w:tr w:rsidR="009C353B" w14:paraId="59A2352B" w14:textId="77777777">
        <w:trPr>
          <w:trHeight w:hRule="exact" w:val="312"/>
        </w:trPr>
        <w:tc>
          <w:tcPr>
            <w:tcW w:w="0" w:type="auto"/>
            <w:vMerge/>
            <w:vAlign w:val="center"/>
          </w:tcPr>
          <w:p w14:paraId="75B38F9F"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0499B70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B</w:t>
            </w:r>
            <w:r>
              <w:rPr>
                <w:rFonts w:ascii="Times New Roman" w:hAnsi="Times New Roman"/>
                <w:kern w:val="0"/>
                <w:sz w:val="21"/>
                <w:szCs w:val="21"/>
              </w:rPr>
              <w:t>OD</w:t>
            </w:r>
            <w:r>
              <w:rPr>
                <w:rFonts w:ascii="Times New Roman" w:hAnsi="Times New Roman"/>
                <w:kern w:val="0"/>
                <w:sz w:val="21"/>
                <w:szCs w:val="21"/>
                <w:vertAlign w:val="subscript"/>
              </w:rPr>
              <w:t>5</w:t>
            </w:r>
          </w:p>
        </w:tc>
        <w:tc>
          <w:tcPr>
            <w:tcW w:w="0" w:type="auto"/>
            <w:vAlign w:val="center"/>
          </w:tcPr>
          <w:p w14:paraId="180E7F1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2020/8/7</w:t>
            </w:r>
          </w:p>
        </w:tc>
        <w:tc>
          <w:tcPr>
            <w:tcW w:w="0" w:type="auto"/>
            <w:shd w:val="clear" w:color="auto" w:fill="auto"/>
            <w:noWrap/>
            <w:vAlign w:val="center"/>
          </w:tcPr>
          <w:p w14:paraId="7F2EC4D6"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.7</w:t>
            </w:r>
          </w:p>
        </w:tc>
        <w:tc>
          <w:tcPr>
            <w:tcW w:w="0" w:type="auto"/>
            <w:shd w:val="clear" w:color="auto" w:fill="auto"/>
            <w:noWrap/>
            <w:vAlign w:val="center"/>
          </w:tcPr>
          <w:p w14:paraId="40422F04"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.12</w:t>
            </w:r>
          </w:p>
        </w:tc>
        <w:tc>
          <w:tcPr>
            <w:tcW w:w="0" w:type="auto"/>
            <w:vMerge/>
            <w:vAlign w:val="center"/>
          </w:tcPr>
          <w:p w14:paraId="46128E3C"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50E76F3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r>
      <w:tr w:rsidR="009C353B" w14:paraId="44806B40" w14:textId="77777777">
        <w:trPr>
          <w:trHeight w:hRule="exact" w:val="312"/>
        </w:trPr>
        <w:tc>
          <w:tcPr>
            <w:tcW w:w="0" w:type="auto"/>
            <w:vMerge/>
            <w:vAlign w:val="center"/>
          </w:tcPr>
          <w:p w14:paraId="3EDEA88F"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7EF54C0A" w14:textId="77777777" w:rsidR="009C353B" w:rsidRDefault="009C353B">
            <w:pPr>
              <w:widowControl/>
              <w:jc w:val="center"/>
              <w:rPr>
                <w:rFonts w:ascii="Times New Roman" w:hAnsi="Times New Roman"/>
                <w:kern w:val="0"/>
                <w:sz w:val="21"/>
                <w:szCs w:val="21"/>
              </w:rPr>
            </w:pPr>
          </w:p>
        </w:tc>
        <w:tc>
          <w:tcPr>
            <w:tcW w:w="0" w:type="auto"/>
            <w:vAlign w:val="center"/>
          </w:tcPr>
          <w:p w14:paraId="2373108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2020/8/8</w:t>
            </w:r>
          </w:p>
        </w:tc>
        <w:tc>
          <w:tcPr>
            <w:tcW w:w="0" w:type="auto"/>
            <w:shd w:val="clear" w:color="auto" w:fill="auto"/>
            <w:noWrap/>
            <w:vAlign w:val="center"/>
          </w:tcPr>
          <w:p w14:paraId="104DA5F2"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.8</w:t>
            </w:r>
          </w:p>
        </w:tc>
        <w:tc>
          <w:tcPr>
            <w:tcW w:w="0" w:type="auto"/>
            <w:shd w:val="clear" w:color="auto" w:fill="auto"/>
            <w:noWrap/>
            <w:vAlign w:val="center"/>
          </w:tcPr>
          <w:p w14:paraId="0DE3F069"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.13</w:t>
            </w:r>
          </w:p>
        </w:tc>
        <w:tc>
          <w:tcPr>
            <w:tcW w:w="0" w:type="auto"/>
            <w:vMerge/>
            <w:vAlign w:val="center"/>
          </w:tcPr>
          <w:p w14:paraId="7C8AA829"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6E6219B0" w14:textId="77777777" w:rsidR="009C353B" w:rsidRDefault="009C353B">
            <w:pPr>
              <w:widowControl/>
              <w:jc w:val="center"/>
              <w:rPr>
                <w:rFonts w:ascii="Times New Roman" w:hAnsi="Times New Roman"/>
                <w:kern w:val="0"/>
                <w:sz w:val="21"/>
                <w:szCs w:val="21"/>
              </w:rPr>
            </w:pPr>
          </w:p>
        </w:tc>
      </w:tr>
      <w:tr w:rsidR="009C353B" w14:paraId="249E6991" w14:textId="77777777">
        <w:trPr>
          <w:trHeight w:hRule="exact" w:val="312"/>
        </w:trPr>
        <w:tc>
          <w:tcPr>
            <w:tcW w:w="0" w:type="auto"/>
            <w:vMerge/>
            <w:vAlign w:val="center"/>
          </w:tcPr>
          <w:p w14:paraId="0D9F48E6"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32BC6072" w14:textId="77777777" w:rsidR="009C353B" w:rsidRDefault="009C353B">
            <w:pPr>
              <w:widowControl/>
              <w:jc w:val="center"/>
              <w:rPr>
                <w:rFonts w:ascii="Times New Roman" w:hAnsi="Times New Roman"/>
                <w:kern w:val="0"/>
                <w:sz w:val="21"/>
                <w:szCs w:val="21"/>
              </w:rPr>
            </w:pPr>
          </w:p>
        </w:tc>
        <w:tc>
          <w:tcPr>
            <w:tcW w:w="0" w:type="auto"/>
            <w:vAlign w:val="center"/>
          </w:tcPr>
          <w:p w14:paraId="7FCCB46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2020/8/9</w:t>
            </w:r>
          </w:p>
        </w:tc>
        <w:tc>
          <w:tcPr>
            <w:tcW w:w="0" w:type="auto"/>
            <w:shd w:val="clear" w:color="auto" w:fill="auto"/>
            <w:noWrap/>
            <w:vAlign w:val="center"/>
          </w:tcPr>
          <w:p w14:paraId="6B32B095"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.5</w:t>
            </w:r>
          </w:p>
        </w:tc>
        <w:tc>
          <w:tcPr>
            <w:tcW w:w="0" w:type="auto"/>
            <w:shd w:val="clear" w:color="auto" w:fill="auto"/>
            <w:noWrap/>
            <w:vAlign w:val="center"/>
          </w:tcPr>
          <w:p w14:paraId="12AD2F0E"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.08</w:t>
            </w:r>
          </w:p>
        </w:tc>
        <w:tc>
          <w:tcPr>
            <w:tcW w:w="0" w:type="auto"/>
            <w:vMerge/>
            <w:vAlign w:val="center"/>
          </w:tcPr>
          <w:p w14:paraId="18F2E75B"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39A25B89" w14:textId="77777777" w:rsidR="009C353B" w:rsidRDefault="009C353B">
            <w:pPr>
              <w:widowControl/>
              <w:jc w:val="center"/>
              <w:rPr>
                <w:rFonts w:ascii="Times New Roman" w:hAnsi="Times New Roman"/>
                <w:kern w:val="0"/>
                <w:sz w:val="21"/>
                <w:szCs w:val="21"/>
              </w:rPr>
            </w:pPr>
          </w:p>
        </w:tc>
      </w:tr>
      <w:tr w:rsidR="009C353B" w14:paraId="05391873" w14:textId="77777777">
        <w:trPr>
          <w:trHeight w:hRule="exact" w:val="312"/>
        </w:trPr>
        <w:tc>
          <w:tcPr>
            <w:tcW w:w="0" w:type="auto"/>
            <w:vMerge/>
            <w:vAlign w:val="center"/>
          </w:tcPr>
          <w:p w14:paraId="6C44AE7F"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21E741A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0" w:type="auto"/>
            <w:vAlign w:val="center"/>
          </w:tcPr>
          <w:p w14:paraId="3FCDDBA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2020/8/7</w:t>
            </w:r>
          </w:p>
        </w:tc>
        <w:tc>
          <w:tcPr>
            <w:tcW w:w="0" w:type="auto"/>
            <w:shd w:val="clear" w:color="auto" w:fill="auto"/>
            <w:noWrap/>
            <w:vAlign w:val="center"/>
          </w:tcPr>
          <w:p w14:paraId="5770CD3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4.17</w:t>
            </w:r>
          </w:p>
        </w:tc>
        <w:tc>
          <w:tcPr>
            <w:tcW w:w="0" w:type="auto"/>
            <w:shd w:val="clear" w:color="auto" w:fill="auto"/>
            <w:noWrap/>
            <w:vAlign w:val="center"/>
          </w:tcPr>
          <w:p w14:paraId="1D7E9E1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2.78</w:t>
            </w:r>
          </w:p>
        </w:tc>
        <w:tc>
          <w:tcPr>
            <w:tcW w:w="0" w:type="auto"/>
            <w:vMerge/>
            <w:vAlign w:val="center"/>
          </w:tcPr>
          <w:p w14:paraId="1D84892B"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008EE6C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1.5</w:t>
            </w:r>
          </w:p>
        </w:tc>
      </w:tr>
      <w:tr w:rsidR="009C353B" w14:paraId="1217A09E" w14:textId="77777777">
        <w:trPr>
          <w:trHeight w:hRule="exact" w:val="312"/>
        </w:trPr>
        <w:tc>
          <w:tcPr>
            <w:tcW w:w="0" w:type="auto"/>
            <w:vMerge/>
            <w:vAlign w:val="center"/>
          </w:tcPr>
          <w:p w14:paraId="7A6B9C50"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0D5898AB" w14:textId="77777777" w:rsidR="009C353B" w:rsidRDefault="009C353B">
            <w:pPr>
              <w:widowControl/>
              <w:jc w:val="center"/>
              <w:rPr>
                <w:rFonts w:ascii="Times New Roman" w:hAnsi="Times New Roman"/>
                <w:kern w:val="0"/>
                <w:sz w:val="21"/>
                <w:szCs w:val="21"/>
              </w:rPr>
            </w:pPr>
          </w:p>
        </w:tc>
        <w:tc>
          <w:tcPr>
            <w:tcW w:w="0" w:type="auto"/>
            <w:vAlign w:val="center"/>
          </w:tcPr>
          <w:p w14:paraId="1AE5860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2020/8/8</w:t>
            </w:r>
          </w:p>
        </w:tc>
        <w:tc>
          <w:tcPr>
            <w:tcW w:w="0" w:type="auto"/>
            <w:shd w:val="clear" w:color="auto" w:fill="auto"/>
            <w:noWrap/>
            <w:vAlign w:val="center"/>
          </w:tcPr>
          <w:p w14:paraId="725487D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2.55</w:t>
            </w:r>
          </w:p>
        </w:tc>
        <w:tc>
          <w:tcPr>
            <w:tcW w:w="0" w:type="auto"/>
            <w:shd w:val="clear" w:color="auto" w:fill="auto"/>
            <w:noWrap/>
            <w:vAlign w:val="center"/>
          </w:tcPr>
          <w:p w14:paraId="2FEB811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1.7</w:t>
            </w:r>
          </w:p>
        </w:tc>
        <w:tc>
          <w:tcPr>
            <w:tcW w:w="0" w:type="auto"/>
            <w:vMerge/>
            <w:vAlign w:val="center"/>
          </w:tcPr>
          <w:p w14:paraId="78C44EA8"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1E0A742D" w14:textId="77777777" w:rsidR="009C353B" w:rsidRDefault="009C353B">
            <w:pPr>
              <w:widowControl/>
              <w:jc w:val="center"/>
              <w:rPr>
                <w:rFonts w:ascii="Times New Roman" w:hAnsi="Times New Roman"/>
                <w:kern w:val="0"/>
                <w:sz w:val="21"/>
                <w:szCs w:val="21"/>
              </w:rPr>
            </w:pPr>
          </w:p>
        </w:tc>
      </w:tr>
      <w:tr w:rsidR="009C353B" w14:paraId="0CE64904" w14:textId="77777777">
        <w:trPr>
          <w:trHeight w:hRule="exact" w:val="312"/>
        </w:trPr>
        <w:tc>
          <w:tcPr>
            <w:tcW w:w="0" w:type="auto"/>
            <w:vMerge/>
            <w:vAlign w:val="center"/>
          </w:tcPr>
          <w:p w14:paraId="2F797EB4"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62FE86CC" w14:textId="77777777" w:rsidR="009C353B" w:rsidRDefault="009C353B">
            <w:pPr>
              <w:widowControl/>
              <w:jc w:val="center"/>
              <w:rPr>
                <w:rFonts w:ascii="Times New Roman" w:hAnsi="Times New Roman"/>
                <w:kern w:val="0"/>
                <w:sz w:val="21"/>
                <w:szCs w:val="21"/>
              </w:rPr>
            </w:pPr>
          </w:p>
        </w:tc>
        <w:tc>
          <w:tcPr>
            <w:tcW w:w="0" w:type="auto"/>
            <w:vAlign w:val="center"/>
          </w:tcPr>
          <w:p w14:paraId="59861DE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2020/8/9</w:t>
            </w:r>
          </w:p>
        </w:tc>
        <w:tc>
          <w:tcPr>
            <w:tcW w:w="0" w:type="auto"/>
            <w:shd w:val="clear" w:color="auto" w:fill="auto"/>
            <w:noWrap/>
            <w:vAlign w:val="center"/>
          </w:tcPr>
          <w:p w14:paraId="0936AA1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2.48</w:t>
            </w:r>
          </w:p>
        </w:tc>
        <w:tc>
          <w:tcPr>
            <w:tcW w:w="0" w:type="auto"/>
            <w:shd w:val="clear" w:color="auto" w:fill="auto"/>
            <w:noWrap/>
            <w:vAlign w:val="center"/>
          </w:tcPr>
          <w:p w14:paraId="11283FE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1.65</w:t>
            </w:r>
          </w:p>
        </w:tc>
        <w:tc>
          <w:tcPr>
            <w:tcW w:w="0" w:type="auto"/>
            <w:vMerge/>
            <w:vAlign w:val="center"/>
          </w:tcPr>
          <w:p w14:paraId="50273018"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0A6CD9A5" w14:textId="77777777" w:rsidR="009C353B" w:rsidRDefault="009C353B">
            <w:pPr>
              <w:widowControl/>
              <w:jc w:val="center"/>
              <w:rPr>
                <w:rFonts w:ascii="Times New Roman" w:hAnsi="Times New Roman"/>
                <w:kern w:val="0"/>
                <w:sz w:val="21"/>
                <w:szCs w:val="21"/>
              </w:rPr>
            </w:pPr>
          </w:p>
        </w:tc>
      </w:tr>
      <w:tr w:rsidR="009C353B" w14:paraId="7BF14114" w14:textId="77777777">
        <w:trPr>
          <w:trHeight w:hRule="exact" w:val="312"/>
        </w:trPr>
        <w:tc>
          <w:tcPr>
            <w:tcW w:w="0" w:type="auto"/>
            <w:vMerge w:val="restart"/>
            <w:vAlign w:val="center"/>
          </w:tcPr>
          <w:p w14:paraId="798BC92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7</w:t>
            </w:r>
            <w:r>
              <w:rPr>
                <w:rFonts w:ascii="Times New Roman" w:hAnsi="Times New Roman"/>
                <w:kern w:val="0"/>
                <w:sz w:val="21"/>
                <w:szCs w:val="21"/>
              </w:rPr>
              <w:t>#</w:t>
            </w:r>
          </w:p>
        </w:tc>
        <w:tc>
          <w:tcPr>
            <w:tcW w:w="0" w:type="auto"/>
            <w:vMerge w:val="restart"/>
            <w:shd w:val="clear" w:color="auto" w:fill="auto"/>
            <w:noWrap/>
            <w:vAlign w:val="center"/>
          </w:tcPr>
          <w:p w14:paraId="02B1184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COD</w:t>
            </w:r>
          </w:p>
        </w:tc>
        <w:tc>
          <w:tcPr>
            <w:tcW w:w="0" w:type="auto"/>
            <w:vAlign w:val="center"/>
          </w:tcPr>
          <w:p w14:paraId="5EFCB19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2020/8/7</w:t>
            </w:r>
          </w:p>
        </w:tc>
        <w:tc>
          <w:tcPr>
            <w:tcW w:w="0" w:type="auto"/>
            <w:shd w:val="clear" w:color="auto" w:fill="auto"/>
            <w:noWrap/>
            <w:vAlign w:val="center"/>
          </w:tcPr>
          <w:p w14:paraId="1F367D6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30</w:t>
            </w:r>
          </w:p>
        </w:tc>
        <w:tc>
          <w:tcPr>
            <w:tcW w:w="0" w:type="auto"/>
            <w:shd w:val="clear" w:color="auto" w:fill="auto"/>
            <w:noWrap/>
            <w:vAlign w:val="center"/>
          </w:tcPr>
          <w:p w14:paraId="087586B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w:t>
            </w:r>
          </w:p>
        </w:tc>
        <w:tc>
          <w:tcPr>
            <w:tcW w:w="0" w:type="auto"/>
            <w:vMerge/>
            <w:vAlign w:val="center"/>
          </w:tcPr>
          <w:p w14:paraId="1FBE4ACA"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6247EA3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30</w:t>
            </w:r>
          </w:p>
        </w:tc>
      </w:tr>
      <w:tr w:rsidR="009C353B" w14:paraId="59C5F340" w14:textId="77777777">
        <w:trPr>
          <w:trHeight w:hRule="exact" w:val="312"/>
        </w:trPr>
        <w:tc>
          <w:tcPr>
            <w:tcW w:w="0" w:type="auto"/>
            <w:vMerge/>
            <w:vAlign w:val="center"/>
          </w:tcPr>
          <w:p w14:paraId="715A9B31"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3C009B9D" w14:textId="77777777" w:rsidR="009C353B" w:rsidRDefault="009C353B">
            <w:pPr>
              <w:widowControl/>
              <w:jc w:val="center"/>
              <w:rPr>
                <w:rFonts w:ascii="Times New Roman" w:hAnsi="Times New Roman"/>
                <w:kern w:val="0"/>
                <w:sz w:val="21"/>
                <w:szCs w:val="21"/>
              </w:rPr>
            </w:pPr>
          </w:p>
        </w:tc>
        <w:tc>
          <w:tcPr>
            <w:tcW w:w="0" w:type="auto"/>
            <w:vAlign w:val="center"/>
          </w:tcPr>
          <w:p w14:paraId="7E5EB6C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2020/8/8</w:t>
            </w:r>
          </w:p>
        </w:tc>
        <w:tc>
          <w:tcPr>
            <w:tcW w:w="0" w:type="auto"/>
            <w:shd w:val="clear" w:color="auto" w:fill="auto"/>
            <w:noWrap/>
            <w:vAlign w:val="center"/>
          </w:tcPr>
          <w:p w14:paraId="12966A2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29</w:t>
            </w:r>
          </w:p>
        </w:tc>
        <w:tc>
          <w:tcPr>
            <w:tcW w:w="0" w:type="auto"/>
            <w:shd w:val="clear" w:color="auto" w:fill="auto"/>
            <w:noWrap/>
            <w:vAlign w:val="center"/>
          </w:tcPr>
          <w:p w14:paraId="2F7311D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0.97</w:t>
            </w:r>
          </w:p>
        </w:tc>
        <w:tc>
          <w:tcPr>
            <w:tcW w:w="0" w:type="auto"/>
            <w:vMerge/>
            <w:vAlign w:val="center"/>
          </w:tcPr>
          <w:p w14:paraId="6C803D5E"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0EBF3E4E" w14:textId="77777777" w:rsidR="009C353B" w:rsidRDefault="009C353B">
            <w:pPr>
              <w:widowControl/>
              <w:jc w:val="center"/>
              <w:rPr>
                <w:rFonts w:ascii="Times New Roman" w:hAnsi="Times New Roman"/>
                <w:kern w:val="0"/>
                <w:sz w:val="21"/>
                <w:szCs w:val="21"/>
              </w:rPr>
            </w:pPr>
          </w:p>
        </w:tc>
      </w:tr>
      <w:tr w:rsidR="009C353B" w14:paraId="57D36AC3" w14:textId="77777777">
        <w:trPr>
          <w:trHeight w:hRule="exact" w:val="312"/>
        </w:trPr>
        <w:tc>
          <w:tcPr>
            <w:tcW w:w="0" w:type="auto"/>
            <w:vMerge/>
            <w:vAlign w:val="center"/>
          </w:tcPr>
          <w:p w14:paraId="1A11D1F1"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38AFCF69" w14:textId="77777777" w:rsidR="009C353B" w:rsidRDefault="009C353B">
            <w:pPr>
              <w:widowControl/>
              <w:jc w:val="center"/>
              <w:rPr>
                <w:rFonts w:ascii="Times New Roman" w:hAnsi="Times New Roman"/>
                <w:kern w:val="0"/>
                <w:sz w:val="21"/>
                <w:szCs w:val="21"/>
              </w:rPr>
            </w:pPr>
          </w:p>
        </w:tc>
        <w:tc>
          <w:tcPr>
            <w:tcW w:w="0" w:type="auto"/>
            <w:vAlign w:val="center"/>
          </w:tcPr>
          <w:p w14:paraId="4BB4C63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2020/8/9</w:t>
            </w:r>
          </w:p>
        </w:tc>
        <w:tc>
          <w:tcPr>
            <w:tcW w:w="0" w:type="auto"/>
            <w:shd w:val="clear" w:color="auto" w:fill="auto"/>
            <w:noWrap/>
            <w:vAlign w:val="center"/>
          </w:tcPr>
          <w:p w14:paraId="7124E20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28</w:t>
            </w:r>
          </w:p>
        </w:tc>
        <w:tc>
          <w:tcPr>
            <w:tcW w:w="0" w:type="auto"/>
            <w:shd w:val="clear" w:color="auto" w:fill="auto"/>
            <w:noWrap/>
            <w:vAlign w:val="center"/>
          </w:tcPr>
          <w:p w14:paraId="2EFF18C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0.93</w:t>
            </w:r>
          </w:p>
        </w:tc>
        <w:tc>
          <w:tcPr>
            <w:tcW w:w="0" w:type="auto"/>
            <w:vMerge/>
            <w:vAlign w:val="center"/>
          </w:tcPr>
          <w:p w14:paraId="0B667106"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740AA7C7" w14:textId="77777777" w:rsidR="009C353B" w:rsidRDefault="009C353B">
            <w:pPr>
              <w:widowControl/>
              <w:jc w:val="center"/>
              <w:rPr>
                <w:rFonts w:ascii="Times New Roman" w:hAnsi="Times New Roman"/>
                <w:kern w:val="0"/>
                <w:sz w:val="21"/>
                <w:szCs w:val="21"/>
              </w:rPr>
            </w:pPr>
          </w:p>
        </w:tc>
      </w:tr>
      <w:tr w:rsidR="009C353B" w14:paraId="1E6E1CC4" w14:textId="77777777">
        <w:trPr>
          <w:trHeight w:hRule="exact" w:val="312"/>
        </w:trPr>
        <w:tc>
          <w:tcPr>
            <w:tcW w:w="0" w:type="auto"/>
            <w:vMerge/>
            <w:vAlign w:val="center"/>
          </w:tcPr>
          <w:p w14:paraId="64B3A337"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5A894FC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B</w:t>
            </w:r>
            <w:r>
              <w:rPr>
                <w:rFonts w:ascii="Times New Roman" w:hAnsi="Times New Roman"/>
                <w:kern w:val="0"/>
                <w:sz w:val="21"/>
                <w:szCs w:val="21"/>
              </w:rPr>
              <w:t>OD</w:t>
            </w:r>
            <w:r>
              <w:rPr>
                <w:rFonts w:ascii="Times New Roman" w:hAnsi="Times New Roman"/>
                <w:kern w:val="0"/>
                <w:sz w:val="21"/>
                <w:szCs w:val="21"/>
                <w:vertAlign w:val="subscript"/>
              </w:rPr>
              <w:t>5</w:t>
            </w:r>
          </w:p>
        </w:tc>
        <w:tc>
          <w:tcPr>
            <w:tcW w:w="0" w:type="auto"/>
            <w:vAlign w:val="center"/>
          </w:tcPr>
          <w:p w14:paraId="60C6FE4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2020/8/7</w:t>
            </w:r>
          </w:p>
        </w:tc>
        <w:tc>
          <w:tcPr>
            <w:tcW w:w="0" w:type="auto"/>
            <w:shd w:val="clear" w:color="auto" w:fill="auto"/>
            <w:noWrap/>
            <w:vAlign w:val="center"/>
          </w:tcPr>
          <w:p w14:paraId="4D15DA5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.2</w:t>
            </w:r>
          </w:p>
        </w:tc>
        <w:tc>
          <w:tcPr>
            <w:tcW w:w="0" w:type="auto"/>
            <w:shd w:val="clear" w:color="auto" w:fill="auto"/>
            <w:noWrap/>
            <w:vAlign w:val="center"/>
          </w:tcPr>
          <w:p w14:paraId="5A65E85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w:t>
            </w:r>
            <w:r>
              <w:rPr>
                <w:rFonts w:ascii="Times New Roman" w:hAnsi="Times New Roman"/>
                <w:kern w:val="0"/>
                <w:sz w:val="21"/>
                <w:szCs w:val="21"/>
              </w:rPr>
              <w:t>.87</w:t>
            </w:r>
          </w:p>
        </w:tc>
        <w:tc>
          <w:tcPr>
            <w:tcW w:w="0" w:type="auto"/>
            <w:vMerge/>
            <w:vAlign w:val="center"/>
          </w:tcPr>
          <w:p w14:paraId="128F15F1"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16498B3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w:t>
            </w:r>
          </w:p>
        </w:tc>
      </w:tr>
      <w:tr w:rsidR="009C353B" w14:paraId="3025917E" w14:textId="77777777">
        <w:trPr>
          <w:trHeight w:hRule="exact" w:val="312"/>
        </w:trPr>
        <w:tc>
          <w:tcPr>
            <w:tcW w:w="0" w:type="auto"/>
            <w:vMerge/>
            <w:vAlign w:val="center"/>
          </w:tcPr>
          <w:p w14:paraId="01523AA3"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4AA031DE" w14:textId="77777777" w:rsidR="009C353B" w:rsidRDefault="009C353B">
            <w:pPr>
              <w:widowControl/>
              <w:jc w:val="center"/>
              <w:rPr>
                <w:rFonts w:ascii="Times New Roman" w:hAnsi="Times New Roman"/>
                <w:kern w:val="0"/>
                <w:sz w:val="21"/>
                <w:szCs w:val="21"/>
              </w:rPr>
            </w:pPr>
          </w:p>
        </w:tc>
        <w:tc>
          <w:tcPr>
            <w:tcW w:w="0" w:type="auto"/>
            <w:vAlign w:val="center"/>
          </w:tcPr>
          <w:p w14:paraId="7EA5E36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2020/8/8</w:t>
            </w:r>
          </w:p>
        </w:tc>
        <w:tc>
          <w:tcPr>
            <w:tcW w:w="0" w:type="auto"/>
            <w:shd w:val="clear" w:color="auto" w:fill="auto"/>
            <w:noWrap/>
            <w:vAlign w:val="center"/>
          </w:tcPr>
          <w:p w14:paraId="3D11858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5</w:t>
            </w:r>
            <w:r>
              <w:rPr>
                <w:rFonts w:ascii="Times New Roman" w:hAnsi="Times New Roman"/>
                <w:kern w:val="0"/>
                <w:sz w:val="21"/>
                <w:szCs w:val="21"/>
              </w:rPr>
              <w:t>.3</w:t>
            </w:r>
          </w:p>
        </w:tc>
        <w:tc>
          <w:tcPr>
            <w:tcW w:w="0" w:type="auto"/>
            <w:shd w:val="clear" w:color="auto" w:fill="auto"/>
            <w:noWrap/>
            <w:vAlign w:val="center"/>
          </w:tcPr>
          <w:p w14:paraId="643BDB1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w:t>
            </w:r>
            <w:r>
              <w:rPr>
                <w:rFonts w:ascii="Times New Roman" w:hAnsi="Times New Roman"/>
                <w:kern w:val="0"/>
                <w:sz w:val="21"/>
                <w:szCs w:val="21"/>
              </w:rPr>
              <w:t>.88</w:t>
            </w:r>
          </w:p>
        </w:tc>
        <w:tc>
          <w:tcPr>
            <w:tcW w:w="0" w:type="auto"/>
            <w:vMerge/>
            <w:vAlign w:val="center"/>
          </w:tcPr>
          <w:p w14:paraId="6751D048"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48B057D0" w14:textId="77777777" w:rsidR="009C353B" w:rsidRDefault="009C353B">
            <w:pPr>
              <w:widowControl/>
              <w:jc w:val="center"/>
              <w:rPr>
                <w:rFonts w:ascii="Times New Roman" w:hAnsi="Times New Roman"/>
                <w:kern w:val="0"/>
                <w:sz w:val="21"/>
                <w:szCs w:val="21"/>
              </w:rPr>
            </w:pPr>
          </w:p>
        </w:tc>
      </w:tr>
      <w:tr w:rsidR="009C353B" w14:paraId="41A9AB2D" w14:textId="77777777">
        <w:trPr>
          <w:trHeight w:hRule="exact" w:val="312"/>
        </w:trPr>
        <w:tc>
          <w:tcPr>
            <w:tcW w:w="0" w:type="auto"/>
            <w:vMerge/>
            <w:vAlign w:val="center"/>
          </w:tcPr>
          <w:p w14:paraId="2C4B5AD4"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61E83880" w14:textId="77777777" w:rsidR="009C353B" w:rsidRDefault="009C353B">
            <w:pPr>
              <w:widowControl/>
              <w:jc w:val="center"/>
              <w:rPr>
                <w:rFonts w:ascii="Times New Roman" w:hAnsi="Times New Roman"/>
                <w:kern w:val="0"/>
                <w:sz w:val="21"/>
                <w:szCs w:val="21"/>
              </w:rPr>
            </w:pPr>
          </w:p>
        </w:tc>
        <w:tc>
          <w:tcPr>
            <w:tcW w:w="0" w:type="auto"/>
            <w:vAlign w:val="center"/>
          </w:tcPr>
          <w:p w14:paraId="24CC7D4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2020/8/9</w:t>
            </w:r>
          </w:p>
        </w:tc>
        <w:tc>
          <w:tcPr>
            <w:tcW w:w="0" w:type="auto"/>
            <w:shd w:val="clear" w:color="auto" w:fill="auto"/>
            <w:noWrap/>
            <w:vAlign w:val="center"/>
          </w:tcPr>
          <w:p w14:paraId="53EE495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5</w:t>
            </w:r>
          </w:p>
        </w:tc>
        <w:tc>
          <w:tcPr>
            <w:tcW w:w="0" w:type="auto"/>
            <w:shd w:val="clear" w:color="auto" w:fill="auto"/>
            <w:noWrap/>
            <w:vAlign w:val="center"/>
          </w:tcPr>
          <w:p w14:paraId="778115F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w:t>
            </w:r>
            <w:r>
              <w:rPr>
                <w:rFonts w:ascii="Times New Roman" w:hAnsi="Times New Roman"/>
                <w:kern w:val="0"/>
                <w:sz w:val="21"/>
                <w:szCs w:val="21"/>
              </w:rPr>
              <w:t>83</w:t>
            </w:r>
          </w:p>
        </w:tc>
        <w:tc>
          <w:tcPr>
            <w:tcW w:w="0" w:type="auto"/>
            <w:vMerge/>
            <w:vAlign w:val="center"/>
          </w:tcPr>
          <w:p w14:paraId="2E350392"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42D6B34F" w14:textId="77777777" w:rsidR="009C353B" w:rsidRDefault="009C353B">
            <w:pPr>
              <w:widowControl/>
              <w:jc w:val="center"/>
              <w:rPr>
                <w:rFonts w:ascii="Times New Roman" w:hAnsi="Times New Roman"/>
                <w:kern w:val="0"/>
                <w:sz w:val="21"/>
                <w:szCs w:val="21"/>
              </w:rPr>
            </w:pPr>
          </w:p>
        </w:tc>
      </w:tr>
      <w:tr w:rsidR="009C353B" w14:paraId="3DBD85A6" w14:textId="77777777">
        <w:trPr>
          <w:trHeight w:hRule="exact" w:val="312"/>
        </w:trPr>
        <w:tc>
          <w:tcPr>
            <w:tcW w:w="0" w:type="auto"/>
            <w:vMerge/>
            <w:vAlign w:val="center"/>
          </w:tcPr>
          <w:p w14:paraId="2518B025"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3F2A4A4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总氮</w:t>
            </w:r>
          </w:p>
        </w:tc>
        <w:tc>
          <w:tcPr>
            <w:tcW w:w="0" w:type="auto"/>
            <w:vAlign w:val="center"/>
          </w:tcPr>
          <w:p w14:paraId="546FEFD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2020/8/7</w:t>
            </w:r>
          </w:p>
        </w:tc>
        <w:tc>
          <w:tcPr>
            <w:tcW w:w="0" w:type="auto"/>
            <w:shd w:val="clear" w:color="auto" w:fill="auto"/>
            <w:noWrap/>
            <w:vAlign w:val="center"/>
          </w:tcPr>
          <w:p w14:paraId="6550DC7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5.88</w:t>
            </w:r>
          </w:p>
        </w:tc>
        <w:tc>
          <w:tcPr>
            <w:tcW w:w="0" w:type="auto"/>
            <w:shd w:val="clear" w:color="auto" w:fill="auto"/>
            <w:noWrap/>
            <w:vAlign w:val="center"/>
          </w:tcPr>
          <w:p w14:paraId="6A27183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3.92</w:t>
            </w:r>
          </w:p>
        </w:tc>
        <w:tc>
          <w:tcPr>
            <w:tcW w:w="0" w:type="auto"/>
            <w:vMerge/>
            <w:vAlign w:val="center"/>
          </w:tcPr>
          <w:p w14:paraId="78D83B3C"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1A655D6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1.5</w:t>
            </w:r>
          </w:p>
        </w:tc>
      </w:tr>
      <w:tr w:rsidR="009C353B" w14:paraId="2F235097" w14:textId="77777777">
        <w:trPr>
          <w:trHeight w:hRule="exact" w:val="312"/>
        </w:trPr>
        <w:tc>
          <w:tcPr>
            <w:tcW w:w="0" w:type="auto"/>
            <w:vMerge/>
            <w:vAlign w:val="center"/>
          </w:tcPr>
          <w:p w14:paraId="2ABCF87D"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2E959C51" w14:textId="77777777" w:rsidR="009C353B" w:rsidRDefault="009C353B">
            <w:pPr>
              <w:widowControl/>
              <w:jc w:val="center"/>
              <w:rPr>
                <w:rFonts w:ascii="Times New Roman" w:hAnsi="Times New Roman"/>
                <w:kern w:val="0"/>
                <w:sz w:val="21"/>
                <w:szCs w:val="21"/>
              </w:rPr>
            </w:pPr>
          </w:p>
        </w:tc>
        <w:tc>
          <w:tcPr>
            <w:tcW w:w="0" w:type="auto"/>
            <w:vAlign w:val="center"/>
          </w:tcPr>
          <w:p w14:paraId="3C9A9F2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2020/8/8</w:t>
            </w:r>
          </w:p>
        </w:tc>
        <w:tc>
          <w:tcPr>
            <w:tcW w:w="0" w:type="auto"/>
            <w:shd w:val="clear" w:color="auto" w:fill="auto"/>
            <w:noWrap/>
            <w:vAlign w:val="center"/>
          </w:tcPr>
          <w:p w14:paraId="12D858D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5.77</w:t>
            </w:r>
          </w:p>
        </w:tc>
        <w:tc>
          <w:tcPr>
            <w:tcW w:w="0" w:type="auto"/>
            <w:shd w:val="clear" w:color="auto" w:fill="auto"/>
            <w:noWrap/>
            <w:vAlign w:val="center"/>
          </w:tcPr>
          <w:p w14:paraId="10D4D00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3.85</w:t>
            </w:r>
          </w:p>
        </w:tc>
        <w:tc>
          <w:tcPr>
            <w:tcW w:w="0" w:type="auto"/>
            <w:vMerge/>
            <w:vAlign w:val="center"/>
          </w:tcPr>
          <w:p w14:paraId="4F3D5E8E"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00614867" w14:textId="77777777" w:rsidR="009C353B" w:rsidRDefault="009C353B">
            <w:pPr>
              <w:widowControl/>
              <w:jc w:val="center"/>
              <w:rPr>
                <w:rFonts w:ascii="Times New Roman" w:hAnsi="Times New Roman"/>
                <w:kern w:val="0"/>
                <w:sz w:val="21"/>
                <w:szCs w:val="21"/>
              </w:rPr>
            </w:pPr>
          </w:p>
        </w:tc>
      </w:tr>
      <w:tr w:rsidR="009C353B" w14:paraId="79368702" w14:textId="77777777">
        <w:trPr>
          <w:trHeight w:hRule="exact" w:val="312"/>
        </w:trPr>
        <w:tc>
          <w:tcPr>
            <w:tcW w:w="0" w:type="auto"/>
            <w:vMerge/>
            <w:vAlign w:val="center"/>
          </w:tcPr>
          <w:p w14:paraId="78D77B08"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7D97E9BF" w14:textId="77777777" w:rsidR="009C353B" w:rsidRDefault="009C353B">
            <w:pPr>
              <w:widowControl/>
              <w:jc w:val="center"/>
              <w:rPr>
                <w:rFonts w:ascii="Times New Roman" w:hAnsi="Times New Roman"/>
                <w:kern w:val="0"/>
                <w:sz w:val="21"/>
                <w:szCs w:val="21"/>
              </w:rPr>
            </w:pPr>
          </w:p>
        </w:tc>
        <w:tc>
          <w:tcPr>
            <w:tcW w:w="0" w:type="auto"/>
            <w:vAlign w:val="center"/>
          </w:tcPr>
          <w:p w14:paraId="47EF50B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2020/8/9</w:t>
            </w:r>
          </w:p>
        </w:tc>
        <w:tc>
          <w:tcPr>
            <w:tcW w:w="0" w:type="auto"/>
            <w:shd w:val="clear" w:color="auto" w:fill="auto"/>
            <w:noWrap/>
            <w:vAlign w:val="center"/>
          </w:tcPr>
          <w:p w14:paraId="42F8D1A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5.8</w:t>
            </w:r>
          </w:p>
        </w:tc>
        <w:tc>
          <w:tcPr>
            <w:tcW w:w="0" w:type="auto"/>
            <w:shd w:val="clear" w:color="auto" w:fill="auto"/>
            <w:noWrap/>
            <w:vAlign w:val="center"/>
          </w:tcPr>
          <w:p w14:paraId="5E8FC49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3.87</w:t>
            </w:r>
          </w:p>
        </w:tc>
        <w:tc>
          <w:tcPr>
            <w:tcW w:w="0" w:type="auto"/>
            <w:vMerge/>
            <w:vAlign w:val="center"/>
          </w:tcPr>
          <w:p w14:paraId="4C75B54A"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5AB8A8F4" w14:textId="77777777" w:rsidR="009C353B" w:rsidRDefault="009C353B">
            <w:pPr>
              <w:widowControl/>
              <w:jc w:val="center"/>
              <w:rPr>
                <w:rFonts w:ascii="Times New Roman" w:hAnsi="Times New Roman"/>
                <w:kern w:val="0"/>
                <w:sz w:val="21"/>
                <w:szCs w:val="21"/>
              </w:rPr>
            </w:pPr>
          </w:p>
        </w:tc>
      </w:tr>
      <w:tr w:rsidR="009C353B" w14:paraId="5F118088" w14:textId="77777777">
        <w:trPr>
          <w:trHeight w:hRule="exact" w:val="312"/>
        </w:trPr>
        <w:tc>
          <w:tcPr>
            <w:tcW w:w="0" w:type="auto"/>
            <w:vMerge/>
            <w:vAlign w:val="center"/>
          </w:tcPr>
          <w:p w14:paraId="3BE646EC"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0C3B947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0" w:type="auto"/>
            <w:vAlign w:val="center"/>
          </w:tcPr>
          <w:p w14:paraId="64BC678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2020/8/7</w:t>
            </w:r>
          </w:p>
        </w:tc>
        <w:tc>
          <w:tcPr>
            <w:tcW w:w="0" w:type="auto"/>
            <w:shd w:val="clear" w:color="auto" w:fill="auto"/>
            <w:noWrap/>
            <w:vAlign w:val="center"/>
          </w:tcPr>
          <w:p w14:paraId="2ADDC53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4.3</w:t>
            </w:r>
          </w:p>
        </w:tc>
        <w:tc>
          <w:tcPr>
            <w:tcW w:w="0" w:type="auto"/>
            <w:shd w:val="clear" w:color="auto" w:fill="auto"/>
            <w:noWrap/>
            <w:vAlign w:val="center"/>
          </w:tcPr>
          <w:p w14:paraId="18E3E13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2.87</w:t>
            </w:r>
          </w:p>
        </w:tc>
        <w:tc>
          <w:tcPr>
            <w:tcW w:w="0" w:type="auto"/>
            <w:vMerge/>
            <w:vAlign w:val="center"/>
          </w:tcPr>
          <w:p w14:paraId="7944D093" w14:textId="77777777" w:rsidR="009C353B" w:rsidRDefault="009C353B">
            <w:pPr>
              <w:widowControl/>
              <w:jc w:val="center"/>
              <w:rPr>
                <w:rFonts w:ascii="Times New Roman" w:hAnsi="Times New Roman"/>
                <w:kern w:val="0"/>
                <w:sz w:val="21"/>
                <w:szCs w:val="21"/>
              </w:rPr>
            </w:pPr>
          </w:p>
        </w:tc>
        <w:tc>
          <w:tcPr>
            <w:tcW w:w="0" w:type="auto"/>
            <w:vMerge w:val="restart"/>
            <w:shd w:val="clear" w:color="auto" w:fill="auto"/>
            <w:noWrap/>
            <w:vAlign w:val="center"/>
          </w:tcPr>
          <w:p w14:paraId="60029B6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1.5</w:t>
            </w:r>
          </w:p>
        </w:tc>
      </w:tr>
      <w:tr w:rsidR="009C353B" w14:paraId="29D2EB34" w14:textId="77777777">
        <w:trPr>
          <w:trHeight w:hRule="exact" w:val="312"/>
        </w:trPr>
        <w:tc>
          <w:tcPr>
            <w:tcW w:w="0" w:type="auto"/>
            <w:vMerge/>
            <w:vAlign w:val="center"/>
          </w:tcPr>
          <w:p w14:paraId="3D7CDCBD"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7A2D17BF" w14:textId="77777777" w:rsidR="009C353B" w:rsidRDefault="009C353B">
            <w:pPr>
              <w:widowControl/>
              <w:jc w:val="center"/>
              <w:rPr>
                <w:rFonts w:ascii="Times New Roman" w:hAnsi="Times New Roman"/>
                <w:kern w:val="0"/>
                <w:sz w:val="21"/>
                <w:szCs w:val="21"/>
              </w:rPr>
            </w:pPr>
          </w:p>
        </w:tc>
        <w:tc>
          <w:tcPr>
            <w:tcW w:w="0" w:type="auto"/>
            <w:vAlign w:val="center"/>
          </w:tcPr>
          <w:p w14:paraId="2EF4F9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2020/8/8</w:t>
            </w:r>
          </w:p>
        </w:tc>
        <w:tc>
          <w:tcPr>
            <w:tcW w:w="0" w:type="auto"/>
            <w:shd w:val="clear" w:color="auto" w:fill="auto"/>
            <w:noWrap/>
            <w:vAlign w:val="center"/>
          </w:tcPr>
          <w:p w14:paraId="0713267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4.05</w:t>
            </w:r>
          </w:p>
        </w:tc>
        <w:tc>
          <w:tcPr>
            <w:tcW w:w="0" w:type="auto"/>
            <w:shd w:val="clear" w:color="auto" w:fill="auto"/>
            <w:noWrap/>
            <w:vAlign w:val="center"/>
          </w:tcPr>
          <w:p w14:paraId="04B7941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2.7</w:t>
            </w:r>
          </w:p>
        </w:tc>
        <w:tc>
          <w:tcPr>
            <w:tcW w:w="0" w:type="auto"/>
            <w:vMerge/>
            <w:vAlign w:val="center"/>
          </w:tcPr>
          <w:p w14:paraId="11B86583"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6A1B0670" w14:textId="77777777" w:rsidR="009C353B" w:rsidRDefault="009C353B">
            <w:pPr>
              <w:widowControl/>
              <w:jc w:val="center"/>
              <w:rPr>
                <w:rFonts w:ascii="Times New Roman" w:hAnsi="Times New Roman"/>
                <w:kern w:val="0"/>
                <w:sz w:val="21"/>
                <w:szCs w:val="21"/>
              </w:rPr>
            </w:pPr>
          </w:p>
        </w:tc>
      </w:tr>
      <w:tr w:rsidR="009C353B" w14:paraId="54B0615A" w14:textId="77777777">
        <w:trPr>
          <w:trHeight w:hRule="exact" w:val="312"/>
        </w:trPr>
        <w:tc>
          <w:tcPr>
            <w:tcW w:w="0" w:type="auto"/>
            <w:vMerge/>
            <w:vAlign w:val="center"/>
          </w:tcPr>
          <w:p w14:paraId="1B95EEAD"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61F232F2" w14:textId="77777777" w:rsidR="009C353B" w:rsidRDefault="009C353B">
            <w:pPr>
              <w:widowControl/>
              <w:jc w:val="center"/>
              <w:rPr>
                <w:rFonts w:ascii="Times New Roman" w:hAnsi="Times New Roman"/>
                <w:kern w:val="0"/>
                <w:sz w:val="21"/>
                <w:szCs w:val="21"/>
              </w:rPr>
            </w:pPr>
          </w:p>
        </w:tc>
        <w:tc>
          <w:tcPr>
            <w:tcW w:w="0" w:type="auto"/>
            <w:vAlign w:val="center"/>
          </w:tcPr>
          <w:p w14:paraId="23994E6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2020/8/9</w:t>
            </w:r>
          </w:p>
        </w:tc>
        <w:tc>
          <w:tcPr>
            <w:tcW w:w="0" w:type="auto"/>
            <w:shd w:val="clear" w:color="auto" w:fill="auto"/>
            <w:noWrap/>
            <w:vAlign w:val="center"/>
          </w:tcPr>
          <w:p w14:paraId="4B625D4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4.02</w:t>
            </w:r>
          </w:p>
        </w:tc>
        <w:tc>
          <w:tcPr>
            <w:tcW w:w="0" w:type="auto"/>
            <w:shd w:val="clear" w:color="auto" w:fill="auto"/>
            <w:noWrap/>
            <w:vAlign w:val="center"/>
          </w:tcPr>
          <w:p w14:paraId="17A130A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2.68</w:t>
            </w:r>
          </w:p>
        </w:tc>
        <w:tc>
          <w:tcPr>
            <w:tcW w:w="0" w:type="auto"/>
            <w:vMerge/>
            <w:vAlign w:val="center"/>
          </w:tcPr>
          <w:p w14:paraId="1DD54C6B" w14:textId="77777777" w:rsidR="009C353B" w:rsidRDefault="009C353B">
            <w:pPr>
              <w:widowControl/>
              <w:jc w:val="center"/>
              <w:rPr>
                <w:rFonts w:ascii="Times New Roman" w:hAnsi="Times New Roman"/>
                <w:kern w:val="0"/>
                <w:sz w:val="21"/>
                <w:szCs w:val="21"/>
              </w:rPr>
            </w:pPr>
          </w:p>
        </w:tc>
        <w:tc>
          <w:tcPr>
            <w:tcW w:w="0" w:type="auto"/>
            <w:vMerge/>
            <w:shd w:val="clear" w:color="auto" w:fill="auto"/>
            <w:noWrap/>
            <w:vAlign w:val="center"/>
          </w:tcPr>
          <w:p w14:paraId="1AE16A1C" w14:textId="77777777" w:rsidR="009C353B" w:rsidRDefault="009C353B">
            <w:pPr>
              <w:widowControl/>
              <w:jc w:val="center"/>
              <w:rPr>
                <w:rFonts w:ascii="Times New Roman" w:hAnsi="Times New Roman"/>
                <w:kern w:val="0"/>
                <w:sz w:val="21"/>
                <w:szCs w:val="21"/>
              </w:rPr>
            </w:pPr>
          </w:p>
        </w:tc>
      </w:tr>
    </w:tbl>
    <w:p w14:paraId="0D93A7D8" w14:textId="77777777" w:rsidR="009C353B" w:rsidRDefault="00000000">
      <w:pPr>
        <w:adjustRightInd w:val="0"/>
        <w:snapToGrid w:val="0"/>
        <w:spacing w:line="440" w:lineRule="exact"/>
        <w:ind w:firstLine="480"/>
        <w:rPr>
          <w:rFonts w:ascii="Times New Roman" w:hAnsi="Times New Roman"/>
          <w:szCs w:val="24"/>
          <w:lang w:val="zh-CN"/>
        </w:rPr>
      </w:pPr>
      <w:r>
        <w:rPr>
          <w:rFonts w:ascii="Times New Roman" w:hAnsi="Times New Roman" w:hint="eastAsia"/>
          <w:szCs w:val="24"/>
          <w:lang w:val="zh-CN"/>
        </w:rPr>
        <w:t>水洞沟水质目标为（《地表水环境质量标准》（</w:t>
      </w:r>
      <w:r>
        <w:rPr>
          <w:rFonts w:ascii="Times New Roman" w:hAnsi="Times New Roman"/>
          <w:szCs w:val="24"/>
          <w:lang w:val="zh-CN"/>
        </w:rPr>
        <w:t>GB3838-2002</w:t>
      </w:r>
      <w:r>
        <w:rPr>
          <w:rFonts w:ascii="Times New Roman" w:hAnsi="Times New Roman"/>
          <w:szCs w:val="24"/>
          <w:lang w:val="zh-CN"/>
        </w:rPr>
        <w:t>）</w:t>
      </w:r>
      <w:r>
        <w:rPr>
          <w:rFonts w:ascii="Times New Roman" w:hAnsi="Times New Roman"/>
          <w:szCs w:val="24"/>
          <w:lang w:val="zh-CN"/>
        </w:rPr>
        <w:t>IV</w:t>
      </w:r>
      <w:r>
        <w:rPr>
          <w:rFonts w:ascii="Times New Roman" w:hAnsi="Times New Roman"/>
          <w:szCs w:val="24"/>
          <w:lang w:val="zh-CN"/>
        </w:rPr>
        <w:t>类标准</w:t>
      </w:r>
      <w:r>
        <w:rPr>
          <w:rFonts w:ascii="Times New Roman" w:hAnsi="Times New Roman" w:hint="eastAsia"/>
          <w:szCs w:val="24"/>
          <w:lang w:val="zh-CN"/>
        </w:rPr>
        <w:t>，根据表</w:t>
      </w:r>
      <w:r>
        <w:rPr>
          <w:rFonts w:ascii="Times New Roman" w:hAnsi="Times New Roman" w:hint="eastAsia"/>
          <w:szCs w:val="24"/>
          <w:lang w:val="zh-CN"/>
        </w:rPr>
        <w:t>4</w:t>
      </w:r>
      <w:r>
        <w:rPr>
          <w:rFonts w:ascii="Times New Roman" w:hAnsi="Times New Roman"/>
          <w:szCs w:val="24"/>
          <w:lang w:val="zh-CN"/>
        </w:rPr>
        <w:t>.3-7</w:t>
      </w:r>
      <w:r>
        <w:rPr>
          <w:rFonts w:ascii="Times New Roman" w:hAnsi="Times New Roman" w:hint="eastAsia"/>
          <w:szCs w:val="24"/>
          <w:lang w:val="zh-CN"/>
        </w:rPr>
        <w:t>监测结果分析可知：</w:t>
      </w:r>
      <w:r>
        <w:rPr>
          <w:rFonts w:ascii="Times New Roman" w:hAnsi="Times New Roman" w:hint="eastAsia"/>
          <w:szCs w:val="24"/>
          <w:lang w:val="zh-CN"/>
        </w:rPr>
        <w:t>2</w:t>
      </w:r>
      <w:r>
        <w:rPr>
          <w:rFonts w:ascii="Times New Roman" w:hAnsi="Times New Roman"/>
          <w:szCs w:val="24"/>
          <w:lang w:val="zh-CN"/>
        </w:rPr>
        <w:t>015</w:t>
      </w:r>
      <w:r>
        <w:rPr>
          <w:rFonts w:ascii="Times New Roman" w:hAnsi="Times New Roman" w:hint="eastAsia"/>
          <w:szCs w:val="24"/>
          <w:lang w:val="zh-CN"/>
        </w:rPr>
        <w:t>年</w:t>
      </w:r>
      <w:r>
        <w:rPr>
          <w:rFonts w:ascii="Times New Roman" w:hAnsi="Times New Roman" w:hint="eastAsia"/>
          <w:szCs w:val="24"/>
          <w:lang w:val="zh-CN"/>
        </w:rPr>
        <w:t>1</w:t>
      </w:r>
      <w:r>
        <w:rPr>
          <w:rFonts w:ascii="Times New Roman" w:hAnsi="Times New Roman"/>
          <w:szCs w:val="24"/>
          <w:lang w:val="zh-CN"/>
        </w:rPr>
        <w:t>2</w:t>
      </w:r>
      <w:r>
        <w:rPr>
          <w:rFonts w:ascii="Times New Roman" w:hAnsi="Times New Roman" w:hint="eastAsia"/>
          <w:szCs w:val="24"/>
          <w:lang w:val="zh-CN"/>
        </w:rPr>
        <w:t>月水洞沟主要污染指标为氟化物；</w:t>
      </w:r>
      <w:r>
        <w:rPr>
          <w:rFonts w:ascii="Times New Roman" w:hAnsi="Times New Roman" w:hint="eastAsia"/>
          <w:szCs w:val="24"/>
          <w:lang w:val="zh-CN"/>
        </w:rPr>
        <w:t>2</w:t>
      </w:r>
      <w:r>
        <w:rPr>
          <w:rFonts w:ascii="Times New Roman" w:hAnsi="Times New Roman"/>
          <w:szCs w:val="24"/>
          <w:lang w:val="zh-CN"/>
        </w:rPr>
        <w:t>018</w:t>
      </w:r>
      <w:r>
        <w:rPr>
          <w:rFonts w:ascii="Times New Roman" w:hAnsi="Times New Roman" w:hint="eastAsia"/>
          <w:szCs w:val="24"/>
          <w:lang w:val="zh-CN"/>
        </w:rPr>
        <w:t>年</w:t>
      </w:r>
      <w:r>
        <w:rPr>
          <w:rFonts w:ascii="Times New Roman" w:hAnsi="Times New Roman" w:hint="eastAsia"/>
          <w:szCs w:val="24"/>
          <w:lang w:val="zh-CN"/>
        </w:rPr>
        <w:t>3</w:t>
      </w:r>
      <w:r>
        <w:rPr>
          <w:rFonts w:ascii="Times New Roman" w:hAnsi="Times New Roman" w:hint="eastAsia"/>
          <w:szCs w:val="24"/>
          <w:lang w:val="zh-CN"/>
        </w:rPr>
        <w:t>月主要污染因子有</w:t>
      </w:r>
      <w:r>
        <w:rPr>
          <w:rFonts w:ascii="Times New Roman" w:hAnsi="Times New Roman" w:hint="eastAsia"/>
          <w:szCs w:val="24"/>
          <w:lang w:val="zh-CN"/>
        </w:rPr>
        <w:t>C</w:t>
      </w:r>
      <w:r>
        <w:rPr>
          <w:rFonts w:ascii="Times New Roman" w:hAnsi="Times New Roman"/>
          <w:szCs w:val="24"/>
          <w:lang w:val="zh-CN"/>
        </w:rPr>
        <w:t>OD</w:t>
      </w:r>
      <w:r>
        <w:rPr>
          <w:rFonts w:ascii="Times New Roman" w:hAnsi="Times New Roman" w:hint="eastAsia"/>
          <w:szCs w:val="24"/>
          <w:lang w:val="zh-CN"/>
        </w:rPr>
        <w:t>、</w:t>
      </w:r>
      <w:r>
        <w:rPr>
          <w:rFonts w:ascii="Times New Roman" w:hAnsi="Times New Roman" w:hint="eastAsia"/>
          <w:szCs w:val="24"/>
          <w:lang w:val="zh-CN"/>
        </w:rPr>
        <w:t>B</w:t>
      </w:r>
      <w:r>
        <w:rPr>
          <w:rFonts w:ascii="Times New Roman" w:hAnsi="Times New Roman"/>
          <w:szCs w:val="24"/>
          <w:lang w:val="zh-CN"/>
        </w:rPr>
        <w:t>OD</w:t>
      </w:r>
      <w:r>
        <w:rPr>
          <w:rFonts w:ascii="Times New Roman" w:hAnsi="Times New Roman"/>
          <w:szCs w:val="24"/>
          <w:vertAlign w:val="subscript"/>
          <w:lang w:val="zh-CN"/>
        </w:rPr>
        <w:t>5</w:t>
      </w:r>
      <w:r>
        <w:rPr>
          <w:rFonts w:ascii="Times New Roman" w:hAnsi="Times New Roman" w:hint="eastAsia"/>
          <w:szCs w:val="24"/>
          <w:lang w:val="zh-CN"/>
        </w:rPr>
        <w:t>及氨氮；</w:t>
      </w:r>
      <w:r>
        <w:rPr>
          <w:rFonts w:ascii="Times New Roman" w:hAnsi="Times New Roman" w:hint="eastAsia"/>
          <w:szCs w:val="24"/>
          <w:lang w:val="zh-CN"/>
        </w:rPr>
        <w:t>2</w:t>
      </w:r>
      <w:r>
        <w:rPr>
          <w:rFonts w:ascii="Times New Roman" w:hAnsi="Times New Roman"/>
          <w:szCs w:val="24"/>
          <w:lang w:val="zh-CN"/>
        </w:rPr>
        <w:t>018</w:t>
      </w:r>
      <w:r>
        <w:rPr>
          <w:rFonts w:ascii="Times New Roman" w:hAnsi="Times New Roman" w:hint="eastAsia"/>
          <w:szCs w:val="24"/>
          <w:lang w:val="zh-CN"/>
        </w:rPr>
        <w:t>年</w:t>
      </w:r>
      <w:r>
        <w:rPr>
          <w:rFonts w:ascii="Times New Roman" w:hAnsi="Times New Roman" w:hint="eastAsia"/>
          <w:szCs w:val="24"/>
          <w:lang w:val="zh-CN"/>
        </w:rPr>
        <w:t>1</w:t>
      </w:r>
      <w:r>
        <w:rPr>
          <w:rFonts w:ascii="Times New Roman" w:hAnsi="Times New Roman"/>
          <w:szCs w:val="24"/>
          <w:lang w:val="zh-CN"/>
        </w:rPr>
        <w:t>2</w:t>
      </w:r>
      <w:r>
        <w:rPr>
          <w:rFonts w:ascii="Times New Roman" w:hAnsi="Times New Roman" w:hint="eastAsia"/>
          <w:szCs w:val="24"/>
          <w:lang w:val="zh-CN"/>
        </w:rPr>
        <w:t>月补充监测水洞沟污染指标为高锰酸钾指数、</w:t>
      </w:r>
      <w:r>
        <w:rPr>
          <w:rFonts w:ascii="Times New Roman" w:hAnsi="Times New Roman" w:hint="eastAsia"/>
          <w:szCs w:val="24"/>
          <w:lang w:val="zh-CN"/>
        </w:rPr>
        <w:t>C</w:t>
      </w:r>
      <w:r>
        <w:rPr>
          <w:rFonts w:ascii="Times New Roman" w:hAnsi="Times New Roman"/>
          <w:szCs w:val="24"/>
          <w:lang w:val="zh-CN"/>
        </w:rPr>
        <w:t>OD</w:t>
      </w:r>
      <w:r>
        <w:rPr>
          <w:rFonts w:ascii="Times New Roman" w:hAnsi="Times New Roman" w:hint="eastAsia"/>
          <w:szCs w:val="24"/>
          <w:lang w:val="zh-CN"/>
        </w:rPr>
        <w:t>、氟化物、</w:t>
      </w:r>
      <w:r>
        <w:rPr>
          <w:rFonts w:ascii="Times New Roman" w:hAnsi="Times New Roman" w:hint="eastAsia"/>
          <w:szCs w:val="24"/>
          <w:lang w:val="zh-CN"/>
        </w:rPr>
        <w:t>B</w:t>
      </w:r>
      <w:r>
        <w:rPr>
          <w:rFonts w:ascii="Times New Roman" w:hAnsi="Times New Roman"/>
          <w:szCs w:val="24"/>
          <w:lang w:val="zh-CN"/>
        </w:rPr>
        <w:t>OD</w:t>
      </w:r>
      <w:r>
        <w:rPr>
          <w:rFonts w:ascii="Times New Roman" w:hAnsi="Times New Roman"/>
          <w:szCs w:val="24"/>
          <w:vertAlign w:val="subscript"/>
          <w:lang w:val="zh-CN"/>
        </w:rPr>
        <w:t>5</w:t>
      </w:r>
      <w:r>
        <w:rPr>
          <w:rFonts w:ascii="Times New Roman" w:hAnsi="Times New Roman" w:hint="eastAsia"/>
          <w:szCs w:val="24"/>
          <w:lang w:val="zh-CN"/>
        </w:rPr>
        <w:t>；本次监测结果污染指标为氟化物、</w:t>
      </w:r>
      <w:r>
        <w:rPr>
          <w:rFonts w:ascii="Times New Roman" w:hAnsi="Times New Roman" w:hint="eastAsia"/>
          <w:szCs w:val="24"/>
          <w:lang w:val="zh-CN"/>
        </w:rPr>
        <w:t>C</w:t>
      </w:r>
      <w:r>
        <w:rPr>
          <w:rFonts w:ascii="Times New Roman" w:hAnsi="Times New Roman"/>
          <w:szCs w:val="24"/>
          <w:lang w:val="zh-CN"/>
        </w:rPr>
        <w:t>OD</w:t>
      </w:r>
      <w:r>
        <w:rPr>
          <w:rFonts w:ascii="Times New Roman" w:hAnsi="Times New Roman" w:hint="eastAsia"/>
          <w:szCs w:val="24"/>
          <w:lang w:val="zh-CN"/>
        </w:rPr>
        <w:t>、总氮。</w:t>
      </w:r>
    </w:p>
    <w:p w14:paraId="749ABD64" w14:textId="77777777" w:rsidR="009C353B" w:rsidRDefault="00000000">
      <w:pPr>
        <w:adjustRightInd w:val="0"/>
        <w:snapToGrid w:val="0"/>
        <w:spacing w:line="440" w:lineRule="exact"/>
        <w:ind w:firstLine="480"/>
        <w:rPr>
          <w:rFonts w:ascii="Times New Roman" w:hAnsi="Times New Roman"/>
          <w:szCs w:val="24"/>
          <w:lang w:val="zh-CN"/>
        </w:rPr>
      </w:pPr>
      <w:r>
        <w:rPr>
          <w:rFonts w:ascii="Times New Roman" w:hAnsi="Times New Roman" w:hint="eastAsia"/>
          <w:szCs w:val="24"/>
          <w:lang w:val="zh-CN"/>
        </w:rPr>
        <w:t>根据《宁夏宝丰能源集团股份有限公司马莲台煤矿项目现状环境影响评估》，</w:t>
      </w:r>
      <w:r>
        <w:rPr>
          <w:rFonts w:ascii="Times New Roman" w:hAnsi="Times New Roman" w:hint="eastAsia"/>
          <w:szCs w:val="24"/>
          <w:lang w:val="zh-CN"/>
        </w:rPr>
        <w:t>2015</w:t>
      </w:r>
      <w:r>
        <w:rPr>
          <w:rFonts w:ascii="Times New Roman" w:hAnsi="Times New Roman" w:hint="eastAsia"/>
          <w:szCs w:val="24"/>
          <w:lang w:val="zh-CN"/>
        </w:rPr>
        <w:t>年水洞沟超标因子为氟化物，氟化物浓度</w:t>
      </w:r>
      <w:r>
        <w:rPr>
          <w:rFonts w:ascii="Times New Roman" w:hAnsi="Times New Roman" w:hint="eastAsia"/>
          <w:szCs w:val="24"/>
          <w:lang w:val="zh-CN"/>
        </w:rPr>
        <w:t>5.4~5.71mg</w:t>
      </w:r>
      <w:r>
        <w:rPr>
          <w:rFonts w:ascii="Times New Roman" w:hAnsi="Times New Roman"/>
          <w:szCs w:val="24"/>
          <w:lang w:val="zh-CN"/>
        </w:rPr>
        <w:t>/L</w:t>
      </w:r>
      <w:r>
        <w:rPr>
          <w:rFonts w:ascii="Times New Roman" w:hAnsi="Times New Roman" w:hint="eastAsia"/>
          <w:szCs w:val="24"/>
          <w:lang w:val="zh-CN"/>
        </w:rPr>
        <w:t>，其余项目满足</w:t>
      </w:r>
      <w:r>
        <w:rPr>
          <w:rFonts w:ascii="Times New Roman" w:hAnsi="Times New Roman"/>
          <w:szCs w:val="24"/>
          <w:lang w:val="zh-CN"/>
        </w:rPr>
        <w:t>IV</w:t>
      </w:r>
      <w:r>
        <w:rPr>
          <w:rFonts w:ascii="Times New Roman" w:hAnsi="Times New Roman"/>
          <w:szCs w:val="24"/>
          <w:lang w:val="zh-CN"/>
        </w:rPr>
        <w:t>类标准</w:t>
      </w:r>
      <w:r>
        <w:rPr>
          <w:rFonts w:ascii="Times New Roman" w:hAnsi="Times New Roman" w:hint="eastAsia"/>
          <w:szCs w:val="24"/>
          <w:lang w:val="zh-CN"/>
        </w:rPr>
        <w:t>，氟化物超标与当地本身具有高氟的背景有关。</w:t>
      </w:r>
    </w:p>
    <w:p w14:paraId="6F60A0CF" w14:textId="77777777" w:rsidR="009C353B" w:rsidRDefault="00000000">
      <w:pPr>
        <w:adjustRightInd w:val="0"/>
        <w:snapToGrid w:val="0"/>
        <w:spacing w:line="440" w:lineRule="exact"/>
        <w:ind w:firstLine="480"/>
        <w:rPr>
          <w:rFonts w:ascii="Times New Roman" w:hAnsi="Times New Roman"/>
          <w:szCs w:val="24"/>
          <w:lang w:val="zh-CN"/>
        </w:rPr>
      </w:pPr>
      <w:r>
        <w:rPr>
          <w:rFonts w:ascii="Times New Roman" w:hAnsi="Times New Roman" w:hint="eastAsia"/>
          <w:szCs w:val="24"/>
          <w:lang w:val="zh-CN"/>
        </w:rPr>
        <w:t>根据《神华宁夏煤业集团红石湾煤矿生产能力核定项目》，</w:t>
      </w:r>
      <w:r>
        <w:rPr>
          <w:rFonts w:ascii="Times New Roman" w:hAnsi="Times New Roman" w:hint="eastAsia"/>
          <w:szCs w:val="24"/>
          <w:lang w:val="zh-CN"/>
        </w:rPr>
        <w:t>2018</w:t>
      </w:r>
      <w:r>
        <w:rPr>
          <w:rFonts w:ascii="Times New Roman" w:hAnsi="Times New Roman" w:hint="eastAsia"/>
          <w:szCs w:val="24"/>
          <w:lang w:val="zh-CN"/>
        </w:rPr>
        <w:t>年</w:t>
      </w:r>
      <w:r>
        <w:rPr>
          <w:rFonts w:ascii="Times New Roman" w:hAnsi="Times New Roman" w:hint="eastAsia"/>
          <w:szCs w:val="24"/>
          <w:lang w:val="zh-CN"/>
        </w:rPr>
        <w:t>3</w:t>
      </w:r>
      <w:r>
        <w:rPr>
          <w:rFonts w:ascii="Times New Roman" w:hAnsi="Times New Roman" w:hint="eastAsia"/>
          <w:szCs w:val="24"/>
          <w:lang w:val="zh-CN"/>
        </w:rPr>
        <w:t>月水洞沟监测断面超标因子</w:t>
      </w:r>
      <w:r>
        <w:rPr>
          <w:rFonts w:ascii="Times New Roman" w:hAnsi="Times New Roman" w:hint="eastAsia"/>
          <w:szCs w:val="24"/>
          <w:lang w:val="zh-CN"/>
        </w:rPr>
        <w:t>C</w:t>
      </w:r>
      <w:r>
        <w:rPr>
          <w:rFonts w:ascii="Times New Roman" w:hAnsi="Times New Roman"/>
          <w:szCs w:val="24"/>
          <w:lang w:val="zh-CN"/>
        </w:rPr>
        <w:t>OD</w:t>
      </w:r>
      <w:r>
        <w:rPr>
          <w:rFonts w:ascii="Times New Roman" w:hAnsi="Times New Roman" w:hint="eastAsia"/>
          <w:szCs w:val="24"/>
          <w:lang w:val="zh-CN"/>
        </w:rPr>
        <w:t>浓度</w:t>
      </w:r>
      <w:r>
        <w:rPr>
          <w:rFonts w:ascii="Times New Roman" w:hAnsi="Times New Roman" w:hint="eastAsia"/>
          <w:szCs w:val="24"/>
          <w:lang w:val="zh-CN"/>
        </w:rPr>
        <w:t>59.94~118.87mg</w:t>
      </w:r>
      <w:r>
        <w:rPr>
          <w:rFonts w:ascii="Times New Roman" w:hAnsi="Times New Roman"/>
          <w:szCs w:val="24"/>
          <w:lang w:val="zh-CN"/>
        </w:rPr>
        <w:t>/L</w:t>
      </w:r>
      <w:r>
        <w:rPr>
          <w:rFonts w:ascii="Times New Roman" w:hAnsi="Times New Roman" w:hint="eastAsia"/>
          <w:szCs w:val="24"/>
          <w:lang w:val="zh-CN"/>
        </w:rPr>
        <w:t>，</w:t>
      </w:r>
      <w:r>
        <w:rPr>
          <w:rFonts w:ascii="Times New Roman" w:hAnsi="Times New Roman" w:hint="eastAsia"/>
          <w:szCs w:val="24"/>
          <w:lang w:val="zh-CN"/>
        </w:rPr>
        <w:t>B</w:t>
      </w:r>
      <w:r>
        <w:rPr>
          <w:rFonts w:ascii="Times New Roman" w:hAnsi="Times New Roman"/>
          <w:szCs w:val="24"/>
          <w:lang w:val="zh-CN"/>
        </w:rPr>
        <w:t>OD</w:t>
      </w:r>
      <w:r>
        <w:rPr>
          <w:rFonts w:ascii="Times New Roman" w:hAnsi="Times New Roman"/>
          <w:szCs w:val="24"/>
          <w:vertAlign w:val="subscript"/>
          <w:lang w:val="zh-CN"/>
        </w:rPr>
        <w:t>5</w:t>
      </w:r>
      <w:r>
        <w:rPr>
          <w:rFonts w:ascii="Times New Roman" w:hAnsi="Times New Roman" w:hint="eastAsia"/>
          <w:szCs w:val="24"/>
          <w:lang w:val="zh-CN"/>
        </w:rPr>
        <w:t>浓度</w:t>
      </w:r>
      <w:r>
        <w:rPr>
          <w:rFonts w:ascii="Times New Roman" w:hAnsi="Times New Roman" w:hint="eastAsia"/>
          <w:szCs w:val="24"/>
          <w:lang w:val="zh-CN"/>
        </w:rPr>
        <w:t>20.88~39.46mg</w:t>
      </w:r>
      <w:r>
        <w:rPr>
          <w:rFonts w:ascii="Times New Roman" w:hAnsi="Times New Roman"/>
          <w:szCs w:val="24"/>
          <w:lang w:val="zh-CN"/>
        </w:rPr>
        <w:t>/L</w:t>
      </w:r>
      <w:r>
        <w:rPr>
          <w:rFonts w:ascii="Times New Roman" w:hAnsi="Times New Roman" w:hint="eastAsia"/>
          <w:szCs w:val="24"/>
          <w:lang w:val="zh-CN"/>
        </w:rPr>
        <w:t>，氨氮浓度</w:t>
      </w:r>
      <w:r>
        <w:rPr>
          <w:rFonts w:ascii="Times New Roman" w:hAnsi="Times New Roman" w:hint="eastAsia"/>
          <w:szCs w:val="24"/>
          <w:lang w:val="zh-CN"/>
        </w:rPr>
        <w:t>4</w:t>
      </w:r>
      <w:r>
        <w:rPr>
          <w:rFonts w:ascii="Times New Roman" w:hAnsi="Times New Roman"/>
          <w:szCs w:val="24"/>
          <w:lang w:val="zh-CN"/>
        </w:rPr>
        <w:t>.3mg/L</w:t>
      </w:r>
      <w:r>
        <w:rPr>
          <w:rFonts w:ascii="Times New Roman" w:hAnsi="Times New Roman" w:hint="eastAsia"/>
          <w:szCs w:val="24"/>
          <w:lang w:val="zh-CN"/>
        </w:rPr>
        <w:t>。其它项目满足</w:t>
      </w:r>
      <w:r>
        <w:rPr>
          <w:rFonts w:ascii="Times New Roman" w:hAnsi="Times New Roman"/>
          <w:szCs w:val="24"/>
          <w:lang w:val="zh-CN"/>
        </w:rPr>
        <w:t>IV</w:t>
      </w:r>
      <w:r>
        <w:rPr>
          <w:rFonts w:ascii="Times New Roman" w:hAnsi="Times New Roman"/>
          <w:szCs w:val="24"/>
          <w:lang w:val="zh-CN"/>
        </w:rPr>
        <w:t>类标准</w:t>
      </w:r>
      <w:r>
        <w:rPr>
          <w:rFonts w:ascii="Times New Roman" w:hAnsi="Times New Roman" w:hint="eastAsia"/>
          <w:szCs w:val="24"/>
          <w:lang w:val="zh-CN"/>
        </w:rPr>
        <w:t>。与</w:t>
      </w:r>
      <w:r>
        <w:rPr>
          <w:rFonts w:ascii="Times New Roman" w:hAnsi="Times New Roman" w:hint="eastAsia"/>
          <w:szCs w:val="24"/>
          <w:lang w:val="zh-CN"/>
        </w:rPr>
        <w:t>2015</w:t>
      </w:r>
      <w:r>
        <w:rPr>
          <w:rFonts w:ascii="Times New Roman" w:hAnsi="Times New Roman" w:hint="eastAsia"/>
          <w:szCs w:val="24"/>
          <w:lang w:val="zh-CN"/>
        </w:rPr>
        <w:t>年相比，氟化物浓度小于</w:t>
      </w:r>
      <w:r>
        <w:rPr>
          <w:rFonts w:ascii="Times New Roman" w:hAnsi="Times New Roman" w:hint="eastAsia"/>
          <w:szCs w:val="24"/>
          <w:lang w:val="zh-CN"/>
        </w:rPr>
        <w:t>1.5mg</w:t>
      </w:r>
      <w:r>
        <w:rPr>
          <w:rFonts w:ascii="Times New Roman" w:hAnsi="Times New Roman"/>
          <w:szCs w:val="24"/>
          <w:lang w:val="zh-CN"/>
        </w:rPr>
        <w:t>/L</w:t>
      </w:r>
      <w:r>
        <w:rPr>
          <w:rFonts w:ascii="Times New Roman" w:hAnsi="Times New Roman" w:hint="eastAsia"/>
          <w:szCs w:val="24"/>
          <w:lang w:val="zh-CN"/>
        </w:rPr>
        <w:t>，符合标准，</w:t>
      </w:r>
      <w:r>
        <w:rPr>
          <w:rFonts w:ascii="Times New Roman" w:hAnsi="Times New Roman" w:hint="eastAsia"/>
          <w:szCs w:val="24"/>
          <w:lang w:val="zh-CN"/>
        </w:rPr>
        <w:t>C</w:t>
      </w:r>
      <w:r>
        <w:rPr>
          <w:rFonts w:ascii="Times New Roman" w:hAnsi="Times New Roman"/>
          <w:szCs w:val="24"/>
          <w:lang w:val="zh-CN"/>
        </w:rPr>
        <w:t>OD</w:t>
      </w:r>
      <w:r>
        <w:rPr>
          <w:rFonts w:ascii="Times New Roman" w:hAnsi="Times New Roman" w:hint="eastAsia"/>
          <w:szCs w:val="24"/>
          <w:lang w:val="zh-CN"/>
        </w:rPr>
        <w:t>、</w:t>
      </w:r>
      <w:r>
        <w:rPr>
          <w:rFonts w:ascii="Times New Roman" w:hAnsi="Times New Roman" w:hint="eastAsia"/>
          <w:szCs w:val="24"/>
          <w:lang w:val="zh-CN"/>
        </w:rPr>
        <w:t>B</w:t>
      </w:r>
      <w:r>
        <w:rPr>
          <w:rFonts w:ascii="Times New Roman" w:hAnsi="Times New Roman"/>
          <w:szCs w:val="24"/>
          <w:lang w:val="zh-CN"/>
        </w:rPr>
        <w:t>OD</w:t>
      </w:r>
      <w:r>
        <w:rPr>
          <w:rFonts w:ascii="Times New Roman" w:hAnsi="Times New Roman"/>
          <w:szCs w:val="24"/>
          <w:vertAlign w:val="subscript"/>
          <w:lang w:val="zh-CN"/>
        </w:rPr>
        <w:t>5</w:t>
      </w:r>
      <w:r>
        <w:rPr>
          <w:rFonts w:ascii="Times New Roman" w:hAnsi="Times New Roman" w:hint="eastAsia"/>
          <w:szCs w:val="24"/>
          <w:lang w:val="zh-CN"/>
        </w:rPr>
        <w:t>及氨氮均为新增超标因子，水质变差。</w:t>
      </w:r>
      <w:r>
        <w:rPr>
          <w:rFonts w:ascii="Times New Roman" w:hAnsi="Times New Roman"/>
          <w:szCs w:val="24"/>
          <w:lang w:val="zh-CN"/>
        </w:rPr>
        <w:t>COD</w:t>
      </w:r>
      <w:r>
        <w:rPr>
          <w:rFonts w:ascii="Times New Roman" w:hAnsi="Times New Roman"/>
          <w:szCs w:val="24"/>
          <w:lang w:val="zh-CN"/>
        </w:rPr>
        <w:t>、</w:t>
      </w:r>
      <w:r>
        <w:rPr>
          <w:rFonts w:ascii="Times New Roman" w:hAnsi="Times New Roman"/>
          <w:szCs w:val="24"/>
          <w:lang w:val="zh-CN"/>
        </w:rPr>
        <w:t>BOD</w:t>
      </w:r>
      <w:r>
        <w:rPr>
          <w:rFonts w:ascii="Times New Roman" w:hAnsi="Times New Roman"/>
          <w:szCs w:val="24"/>
          <w:vertAlign w:val="subscript"/>
          <w:lang w:val="zh-CN"/>
        </w:rPr>
        <w:t>5</w:t>
      </w:r>
      <w:r>
        <w:rPr>
          <w:rFonts w:ascii="Times New Roman" w:hAnsi="Times New Roman"/>
          <w:szCs w:val="24"/>
          <w:lang w:val="zh-CN"/>
        </w:rPr>
        <w:t>、氨氮超标与周边农村生活污水排入有关</w:t>
      </w:r>
      <w:r>
        <w:rPr>
          <w:rFonts w:ascii="Times New Roman" w:hAnsi="Times New Roman" w:hint="eastAsia"/>
          <w:szCs w:val="24"/>
          <w:lang w:val="zh-CN"/>
        </w:rPr>
        <w:t>。</w:t>
      </w:r>
      <w:r>
        <w:rPr>
          <w:rFonts w:ascii="Times New Roman" w:hAnsi="Times New Roman" w:hint="eastAsia"/>
          <w:szCs w:val="24"/>
          <w:lang w:val="zh-CN"/>
        </w:rPr>
        <w:t xml:space="preserve"> </w:t>
      </w:r>
    </w:p>
    <w:p w14:paraId="69060C39" w14:textId="77777777" w:rsidR="009C353B" w:rsidRDefault="00000000">
      <w:pPr>
        <w:adjustRightInd w:val="0"/>
        <w:snapToGrid w:val="0"/>
        <w:spacing w:line="440" w:lineRule="exact"/>
        <w:ind w:firstLine="480"/>
        <w:rPr>
          <w:rFonts w:ascii="Times New Roman" w:hAnsi="Times New Roman"/>
          <w:b/>
          <w:szCs w:val="24"/>
        </w:rPr>
      </w:pPr>
      <w:r>
        <w:rPr>
          <w:rFonts w:ascii="Times New Roman" w:hAnsi="Times New Roman" w:hint="eastAsia"/>
          <w:szCs w:val="24"/>
          <w:lang w:val="zh-CN"/>
        </w:rPr>
        <w:t>根据本次监测结果，水洞沟超标因子氟化物浓度</w:t>
      </w:r>
      <w:r>
        <w:rPr>
          <w:rFonts w:ascii="Times New Roman" w:hAnsi="Times New Roman" w:hint="eastAsia"/>
          <w:szCs w:val="24"/>
          <w:lang w:val="zh-CN"/>
        </w:rPr>
        <w:t>2.74~4.3</w:t>
      </w:r>
      <w:r>
        <w:rPr>
          <w:rFonts w:ascii="Times New Roman" w:hAnsi="Times New Roman"/>
          <w:szCs w:val="24"/>
          <w:lang w:val="zh-CN"/>
        </w:rPr>
        <w:t>mg/L</w:t>
      </w:r>
      <w:r>
        <w:rPr>
          <w:rFonts w:ascii="Times New Roman" w:hAnsi="Times New Roman" w:hint="eastAsia"/>
          <w:szCs w:val="24"/>
          <w:lang w:val="zh-CN"/>
        </w:rPr>
        <w:t>，</w:t>
      </w:r>
      <w:r>
        <w:rPr>
          <w:rFonts w:ascii="Times New Roman" w:hAnsi="Times New Roman" w:hint="eastAsia"/>
          <w:szCs w:val="24"/>
          <w:lang w:val="zh-CN"/>
        </w:rPr>
        <w:t>C</w:t>
      </w:r>
      <w:r>
        <w:rPr>
          <w:rFonts w:ascii="Times New Roman" w:hAnsi="Times New Roman"/>
          <w:szCs w:val="24"/>
          <w:lang w:val="zh-CN"/>
        </w:rPr>
        <w:t>OD</w:t>
      </w:r>
      <w:r>
        <w:rPr>
          <w:rFonts w:ascii="Times New Roman" w:hAnsi="Times New Roman" w:hint="eastAsia"/>
          <w:szCs w:val="24"/>
          <w:lang w:val="zh-CN"/>
        </w:rPr>
        <w:t>浓度</w:t>
      </w:r>
      <w:r>
        <w:rPr>
          <w:rFonts w:ascii="Times New Roman" w:hAnsi="Times New Roman" w:hint="eastAsia"/>
          <w:szCs w:val="24"/>
          <w:lang w:val="zh-CN"/>
        </w:rPr>
        <w:t>30~46</w:t>
      </w:r>
      <w:r>
        <w:rPr>
          <w:rFonts w:ascii="Times New Roman" w:hAnsi="Times New Roman"/>
          <w:szCs w:val="24"/>
          <w:lang w:val="zh-CN"/>
        </w:rPr>
        <w:t>mg/L</w:t>
      </w:r>
      <w:r>
        <w:rPr>
          <w:rFonts w:ascii="Times New Roman" w:hAnsi="Times New Roman" w:hint="eastAsia"/>
          <w:szCs w:val="24"/>
          <w:lang w:val="zh-CN"/>
        </w:rPr>
        <w:t>，</w:t>
      </w:r>
      <w:r>
        <w:rPr>
          <w:rFonts w:ascii="Times New Roman" w:hAnsi="Times New Roman" w:hint="eastAsia"/>
          <w:szCs w:val="24"/>
          <w:lang w:val="zh-CN"/>
        </w:rPr>
        <w:t>B</w:t>
      </w:r>
      <w:r>
        <w:rPr>
          <w:rFonts w:ascii="Times New Roman" w:hAnsi="Times New Roman"/>
          <w:szCs w:val="24"/>
          <w:lang w:val="zh-CN"/>
        </w:rPr>
        <w:t>OD</w:t>
      </w:r>
      <w:r>
        <w:rPr>
          <w:rFonts w:ascii="Times New Roman" w:hAnsi="Times New Roman"/>
          <w:szCs w:val="24"/>
          <w:vertAlign w:val="subscript"/>
          <w:lang w:val="zh-CN"/>
        </w:rPr>
        <w:t>5</w:t>
      </w:r>
      <w:r>
        <w:rPr>
          <w:rFonts w:ascii="Times New Roman" w:hAnsi="Times New Roman" w:hint="eastAsia"/>
          <w:szCs w:val="24"/>
          <w:lang w:val="zh-CN"/>
        </w:rPr>
        <w:t>浓度</w:t>
      </w:r>
      <w:r>
        <w:rPr>
          <w:rFonts w:ascii="Times New Roman" w:hAnsi="Times New Roman" w:hint="eastAsia"/>
          <w:szCs w:val="24"/>
          <w:lang w:val="zh-CN"/>
        </w:rPr>
        <w:t>5.3~6.8mg</w:t>
      </w:r>
      <w:r>
        <w:rPr>
          <w:rFonts w:ascii="Times New Roman" w:hAnsi="Times New Roman"/>
          <w:szCs w:val="24"/>
          <w:lang w:val="zh-CN"/>
        </w:rPr>
        <w:t>/L</w:t>
      </w:r>
      <w:r>
        <w:rPr>
          <w:rFonts w:ascii="Times New Roman" w:hAnsi="Times New Roman" w:hint="eastAsia"/>
          <w:szCs w:val="24"/>
          <w:lang w:val="zh-CN"/>
        </w:rPr>
        <w:t>，总氮仅在</w:t>
      </w:r>
      <w:r>
        <w:rPr>
          <w:rFonts w:ascii="Times New Roman" w:hAnsi="Times New Roman" w:hint="eastAsia"/>
          <w:szCs w:val="24"/>
          <w:lang w:val="zh-CN"/>
        </w:rPr>
        <w:t>7</w:t>
      </w:r>
      <w:r>
        <w:rPr>
          <w:rFonts w:ascii="Times New Roman" w:hAnsi="Times New Roman"/>
          <w:szCs w:val="24"/>
          <w:lang w:val="zh-CN"/>
        </w:rPr>
        <w:t>#</w:t>
      </w:r>
      <w:r>
        <w:rPr>
          <w:rFonts w:ascii="Times New Roman" w:hAnsi="Times New Roman" w:hint="eastAsia"/>
          <w:szCs w:val="24"/>
          <w:lang w:val="zh-CN"/>
        </w:rPr>
        <w:t>出现超标，其它项目符合</w:t>
      </w:r>
      <w:r>
        <w:rPr>
          <w:rFonts w:ascii="Times New Roman" w:hAnsi="Times New Roman"/>
          <w:szCs w:val="24"/>
          <w:lang w:val="zh-CN"/>
        </w:rPr>
        <w:t>IV</w:t>
      </w:r>
      <w:r>
        <w:rPr>
          <w:rFonts w:ascii="Times New Roman" w:hAnsi="Times New Roman"/>
          <w:szCs w:val="24"/>
          <w:lang w:val="zh-CN"/>
        </w:rPr>
        <w:t>类标准</w:t>
      </w:r>
      <w:r>
        <w:rPr>
          <w:rFonts w:ascii="Times New Roman" w:hAnsi="Times New Roman" w:hint="eastAsia"/>
          <w:szCs w:val="24"/>
          <w:lang w:val="zh-CN"/>
        </w:rPr>
        <w:t>。氟化物超标与当地本身具有高氟的背景有关，其余污染因子与当地卫生条件、人为污染有关。</w:t>
      </w:r>
      <w:r>
        <w:rPr>
          <w:rFonts w:ascii="Times New Roman" w:hAnsi="Times New Roman"/>
          <w:b/>
          <w:szCs w:val="24"/>
        </w:rPr>
        <w:tab/>
      </w:r>
    </w:p>
    <w:p w14:paraId="280FDD9F" w14:textId="77777777" w:rsidR="009C353B" w:rsidRDefault="00000000">
      <w:pPr>
        <w:adjustRightInd w:val="0"/>
        <w:snapToGrid w:val="0"/>
        <w:spacing w:line="440" w:lineRule="exact"/>
        <w:ind w:firstLine="480"/>
        <w:rPr>
          <w:rFonts w:ascii="Times New Roman" w:hAnsi="Times New Roman"/>
          <w:szCs w:val="24"/>
          <w:lang w:val="zh-CN"/>
        </w:rPr>
      </w:pPr>
      <w:r>
        <w:rPr>
          <w:rFonts w:hint="eastAsia"/>
        </w:rPr>
        <w:t>为了更直观体现水洞沟水质变化情况，本次监测断面依据矿区与水洞沟位置关系及参照</w:t>
      </w:r>
      <w:r>
        <w:rPr>
          <w:rFonts w:ascii="Times New Roman" w:hAnsi="Times New Roman" w:hint="eastAsia"/>
          <w:szCs w:val="24"/>
          <w:lang w:val="zh-CN"/>
        </w:rPr>
        <w:t>《神华宁夏煤业集团红石湾煤矿生产能力核定项目》监测断面位置进行布设，对水洞沟上游、下游水质分别进行对比。水洞沟上游进行对比的监测断面为上表中</w:t>
      </w:r>
      <w:r>
        <w:rPr>
          <w:rFonts w:ascii="Times New Roman" w:hAnsi="Times New Roman" w:hint="eastAsia"/>
          <w:szCs w:val="24"/>
          <w:lang w:val="zh-CN"/>
        </w:rPr>
        <w:t>2018</w:t>
      </w:r>
      <w:r>
        <w:rPr>
          <w:rFonts w:ascii="Times New Roman" w:hAnsi="Times New Roman" w:hint="eastAsia"/>
          <w:szCs w:val="24"/>
          <w:lang w:val="zh-CN"/>
        </w:rPr>
        <w:t>年</w:t>
      </w:r>
      <w:r>
        <w:rPr>
          <w:rFonts w:ascii="Times New Roman" w:hAnsi="Times New Roman" w:hint="eastAsia"/>
          <w:szCs w:val="24"/>
          <w:lang w:val="zh-CN"/>
        </w:rPr>
        <w:t>4#</w:t>
      </w:r>
      <w:r>
        <w:rPr>
          <w:rFonts w:ascii="Times New Roman" w:hAnsi="Times New Roman" w:hint="eastAsia"/>
          <w:szCs w:val="24"/>
          <w:lang w:val="zh-CN"/>
        </w:rPr>
        <w:t>与本次监测断面</w:t>
      </w:r>
      <w:r>
        <w:rPr>
          <w:rFonts w:ascii="Times New Roman" w:hAnsi="Times New Roman" w:hint="eastAsia"/>
          <w:szCs w:val="24"/>
          <w:lang w:val="zh-CN"/>
        </w:rPr>
        <w:t>5#</w:t>
      </w:r>
      <w:r>
        <w:rPr>
          <w:rFonts w:ascii="Times New Roman" w:hAnsi="Times New Roman" w:hint="eastAsia"/>
          <w:szCs w:val="24"/>
          <w:lang w:val="zh-CN"/>
        </w:rPr>
        <w:t>，水洞沟下游进行对比的监测断面为上表中</w:t>
      </w:r>
      <w:r>
        <w:rPr>
          <w:rFonts w:ascii="Times New Roman" w:hAnsi="Times New Roman" w:hint="eastAsia"/>
          <w:szCs w:val="24"/>
          <w:lang w:val="zh-CN"/>
        </w:rPr>
        <w:t>2018</w:t>
      </w:r>
      <w:r>
        <w:rPr>
          <w:rFonts w:ascii="Times New Roman" w:hAnsi="Times New Roman" w:hint="eastAsia"/>
          <w:szCs w:val="24"/>
          <w:lang w:val="zh-CN"/>
        </w:rPr>
        <w:t>年</w:t>
      </w:r>
      <w:r>
        <w:rPr>
          <w:rFonts w:ascii="Times New Roman" w:hAnsi="Times New Roman" w:hint="eastAsia"/>
          <w:szCs w:val="24"/>
          <w:lang w:val="zh-CN"/>
        </w:rPr>
        <w:t>3#</w:t>
      </w:r>
      <w:r>
        <w:rPr>
          <w:rFonts w:ascii="Times New Roman" w:hAnsi="Times New Roman" w:hint="eastAsia"/>
          <w:szCs w:val="24"/>
          <w:lang w:val="zh-CN"/>
        </w:rPr>
        <w:t>与本次监测断面</w:t>
      </w:r>
      <w:r>
        <w:rPr>
          <w:rFonts w:ascii="Times New Roman" w:hAnsi="Times New Roman" w:hint="eastAsia"/>
          <w:szCs w:val="24"/>
          <w:lang w:val="zh-CN"/>
        </w:rPr>
        <w:t>6#</w:t>
      </w:r>
      <w:r>
        <w:rPr>
          <w:rFonts w:ascii="Times New Roman" w:hAnsi="Times New Roman" w:hint="eastAsia"/>
          <w:szCs w:val="24"/>
          <w:lang w:val="zh-CN"/>
        </w:rPr>
        <w:t>。根据相关数据，主要污染因子变化见图</w:t>
      </w:r>
      <w:r>
        <w:rPr>
          <w:rFonts w:ascii="Times New Roman" w:hAnsi="Times New Roman" w:hint="eastAsia"/>
          <w:szCs w:val="24"/>
          <w:lang w:val="zh-CN"/>
        </w:rPr>
        <w:t>4.2-3</w:t>
      </w:r>
      <w:r>
        <w:rPr>
          <w:rFonts w:ascii="Times New Roman" w:hAnsi="Times New Roman" w:hint="eastAsia"/>
          <w:szCs w:val="24"/>
          <w:lang w:val="zh-CN"/>
        </w:rPr>
        <w:t>：</w:t>
      </w:r>
    </w:p>
    <w:p w14:paraId="03B5DA5B" w14:textId="77777777" w:rsidR="009C353B" w:rsidRDefault="009C353B">
      <w:pPr>
        <w:adjustRightInd w:val="0"/>
        <w:snapToGrid w:val="0"/>
        <w:spacing w:line="440" w:lineRule="exact"/>
        <w:ind w:firstLine="480"/>
        <w:rPr>
          <w:rFonts w:ascii="Times New Roman" w:hAnsi="Times New Roman"/>
          <w:szCs w:val="24"/>
          <w:lang w:val="zh-CN"/>
        </w:rPr>
      </w:pPr>
    </w:p>
    <w:tbl>
      <w:tblPr>
        <w:tblStyle w:val="afffb"/>
        <w:tblW w:w="0" w:type="auto"/>
        <w:jc w:val="center"/>
        <w:tblLook w:val="04A0" w:firstRow="1" w:lastRow="0" w:firstColumn="1" w:lastColumn="0" w:noHBand="0" w:noVBand="1"/>
      </w:tblPr>
      <w:tblGrid>
        <w:gridCol w:w="6803"/>
      </w:tblGrid>
      <w:tr w:rsidR="009C353B" w14:paraId="2FF6ED02" w14:textId="77777777">
        <w:trPr>
          <w:trHeight w:val="4195"/>
          <w:jc w:val="center"/>
        </w:trPr>
        <w:tc>
          <w:tcPr>
            <w:tcW w:w="6803" w:type="dxa"/>
            <w:vAlign w:val="center"/>
          </w:tcPr>
          <w:p w14:paraId="7286945F" w14:textId="77777777" w:rsidR="009C353B" w:rsidRDefault="00000000">
            <w:pPr>
              <w:adjustRightInd w:val="0"/>
              <w:snapToGrid w:val="0"/>
              <w:jc w:val="center"/>
              <w:rPr>
                <w:rFonts w:ascii="Times New Roman" w:hAnsi="Times New Roman"/>
                <w:b/>
                <w:bCs/>
                <w:sz w:val="21"/>
                <w:szCs w:val="21"/>
              </w:rPr>
            </w:pPr>
            <w:r>
              <w:rPr>
                <w:rFonts w:ascii="Times New Roman" w:hAnsi="Times New Roman"/>
                <w:noProof/>
                <w:szCs w:val="24"/>
              </w:rPr>
              <w:drawing>
                <wp:inline distT="0" distB="0" distL="0" distR="0" wp14:anchorId="65CF1B64" wp14:editId="555AB86C">
                  <wp:extent cx="4114165" cy="2519680"/>
                  <wp:effectExtent l="0" t="0" r="63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321">
                            <a:extLst>
                              <a:ext uri="{28A0092B-C50C-407E-A947-70E740481C1C}">
                                <a14:useLocalDpi xmlns:a14="http://schemas.microsoft.com/office/drawing/2010/main" val="0"/>
                              </a:ext>
                            </a:extLst>
                          </a:blip>
                          <a:stretch>
                            <a:fillRect/>
                          </a:stretch>
                        </pic:blipFill>
                        <pic:spPr>
                          <a:xfrm>
                            <a:off x="0" y="0"/>
                            <a:ext cx="4114576" cy="2520000"/>
                          </a:xfrm>
                          <a:prstGeom prst="rect">
                            <a:avLst/>
                          </a:prstGeom>
                        </pic:spPr>
                      </pic:pic>
                    </a:graphicData>
                  </a:graphic>
                </wp:inline>
              </w:drawing>
            </w:r>
          </w:p>
        </w:tc>
      </w:tr>
      <w:tr w:rsidR="009C353B" w14:paraId="2B7D6E51" w14:textId="77777777">
        <w:trPr>
          <w:trHeight w:val="340"/>
          <w:jc w:val="center"/>
        </w:trPr>
        <w:tc>
          <w:tcPr>
            <w:tcW w:w="6803" w:type="dxa"/>
            <w:vAlign w:val="center"/>
          </w:tcPr>
          <w:p w14:paraId="2EEF402B"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b/>
                <w:bCs/>
                <w:sz w:val="21"/>
                <w:szCs w:val="21"/>
              </w:rPr>
              <w:t>水洞沟</w:t>
            </w:r>
            <w:r>
              <w:rPr>
                <w:rFonts w:ascii="Times New Roman" w:hAnsi="Times New Roman" w:hint="eastAsia"/>
                <w:b/>
                <w:bCs/>
                <w:sz w:val="21"/>
                <w:szCs w:val="21"/>
              </w:rPr>
              <w:t>C</w:t>
            </w:r>
            <w:r>
              <w:rPr>
                <w:rFonts w:ascii="Times New Roman" w:hAnsi="Times New Roman"/>
                <w:b/>
                <w:bCs/>
                <w:sz w:val="21"/>
                <w:szCs w:val="21"/>
              </w:rPr>
              <w:t>OD</w:t>
            </w:r>
            <w:r>
              <w:rPr>
                <w:rFonts w:ascii="Times New Roman" w:hAnsi="Times New Roman" w:hint="eastAsia"/>
                <w:b/>
                <w:bCs/>
                <w:sz w:val="21"/>
                <w:szCs w:val="21"/>
              </w:rPr>
              <w:t>浓度变化趋势</w:t>
            </w:r>
          </w:p>
        </w:tc>
      </w:tr>
      <w:tr w:rsidR="009C353B" w14:paraId="7568430D" w14:textId="77777777">
        <w:trPr>
          <w:trHeight w:val="4101"/>
          <w:jc w:val="center"/>
        </w:trPr>
        <w:tc>
          <w:tcPr>
            <w:tcW w:w="6803" w:type="dxa"/>
            <w:vAlign w:val="center"/>
          </w:tcPr>
          <w:p w14:paraId="05FDD1DA"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noProof/>
                <w:szCs w:val="24"/>
              </w:rPr>
              <w:drawing>
                <wp:inline distT="0" distB="0" distL="0" distR="0" wp14:anchorId="1461F30F" wp14:editId="0CB6488A">
                  <wp:extent cx="4117975" cy="251968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4118400" cy="2520000"/>
                          </a:xfrm>
                          <a:prstGeom prst="rect">
                            <a:avLst/>
                          </a:prstGeom>
                        </pic:spPr>
                      </pic:pic>
                    </a:graphicData>
                  </a:graphic>
                </wp:inline>
              </w:drawing>
            </w:r>
          </w:p>
        </w:tc>
      </w:tr>
      <w:tr w:rsidR="009C353B" w14:paraId="4C486192" w14:textId="77777777">
        <w:trPr>
          <w:trHeight w:val="340"/>
          <w:jc w:val="center"/>
        </w:trPr>
        <w:tc>
          <w:tcPr>
            <w:tcW w:w="6803" w:type="dxa"/>
            <w:vAlign w:val="center"/>
          </w:tcPr>
          <w:p w14:paraId="3BE14607"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b/>
                <w:bCs/>
                <w:sz w:val="21"/>
                <w:szCs w:val="21"/>
              </w:rPr>
              <w:t>水洞沟</w:t>
            </w:r>
            <w:r>
              <w:rPr>
                <w:rFonts w:ascii="Times New Roman" w:hAnsi="Times New Roman"/>
                <w:b/>
                <w:bCs/>
                <w:sz w:val="21"/>
                <w:szCs w:val="21"/>
              </w:rPr>
              <w:t>BOD</w:t>
            </w:r>
            <w:r>
              <w:rPr>
                <w:rFonts w:ascii="Times New Roman" w:hAnsi="Times New Roman"/>
                <w:b/>
                <w:bCs/>
                <w:sz w:val="21"/>
                <w:szCs w:val="21"/>
                <w:vertAlign w:val="subscript"/>
              </w:rPr>
              <w:t>5</w:t>
            </w:r>
            <w:r>
              <w:rPr>
                <w:rFonts w:ascii="Times New Roman" w:hAnsi="Times New Roman" w:hint="eastAsia"/>
                <w:b/>
                <w:bCs/>
                <w:sz w:val="21"/>
                <w:szCs w:val="21"/>
              </w:rPr>
              <w:t>浓度变化趋势</w:t>
            </w:r>
          </w:p>
        </w:tc>
      </w:tr>
      <w:tr w:rsidR="009C353B" w14:paraId="5071F493" w14:textId="77777777">
        <w:trPr>
          <w:trHeight w:val="3943"/>
          <w:jc w:val="center"/>
        </w:trPr>
        <w:tc>
          <w:tcPr>
            <w:tcW w:w="6803" w:type="dxa"/>
            <w:vAlign w:val="center"/>
          </w:tcPr>
          <w:p w14:paraId="0FD3EE84"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noProof/>
                <w:szCs w:val="24"/>
              </w:rPr>
              <w:drawing>
                <wp:inline distT="0" distB="0" distL="0" distR="0" wp14:anchorId="4809918D" wp14:editId="3221A9A3">
                  <wp:extent cx="4130675" cy="2353945"/>
                  <wp:effectExtent l="0" t="0" r="3175" b="825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323">
                            <a:extLst>
                              <a:ext uri="{28A0092B-C50C-407E-A947-70E740481C1C}">
                                <a14:useLocalDpi xmlns:a14="http://schemas.microsoft.com/office/drawing/2010/main" val="0"/>
                              </a:ext>
                            </a:extLst>
                          </a:blip>
                          <a:stretch>
                            <a:fillRect/>
                          </a:stretch>
                        </pic:blipFill>
                        <pic:spPr>
                          <a:xfrm>
                            <a:off x="0" y="0"/>
                            <a:ext cx="4139356" cy="2359084"/>
                          </a:xfrm>
                          <a:prstGeom prst="rect">
                            <a:avLst/>
                          </a:prstGeom>
                        </pic:spPr>
                      </pic:pic>
                    </a:graphicData>
                  </a:graphic>
                </wp:inline>
              </w:drawing>
            </w:r>
          </w:p>
        </w:tc>
      </w:tr>
      <w:tr w:rsidR="009C353B" w14:paraId="7D28B1A5" w14:textId="77777777">
        <w:trPr>
          <w:trHeight w:val="340"/>
          <w:jc w:val="center"/>
        </w:trPr>
        <w:tc>
          <w:tcPr>
            <w:tcW w:w="6803" w:type="dxa"/>
            <w:vAlign w:val="center"/>
          </w:tcPr>
          <w:p w14:paraId="3EC09534"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b/>
                <w:bCs/>
                <w:sz w:val="21"/>
                <w:szCs w:val="21"/>
              </w:rPr>
              <w:t>水洞沟氟化物浓度变化趋势</w:t>
            </w:r>
          </w:p>
        </w:tc>
      </w:tr>
      <w:tr w:rsidR="009C353B" w14:paraId="70A10126" w14:textId="77777777">
        <w:trPr>
          <w:trHeight w:val="3782"/>
          <w:jc w:val="center"/>
        </w:trPr>
        <w:tc>
          <w:tcPr>
            <w:tcW w:w="6803" w:type="dxa"/>
            <w:vAlign w:val="center"/>
          </w:tcPr>
          <w:p w14:paraId="1D340B44"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noProof/>
                <w:szCs w:val="24"/>
              </w:rPr>
              <w:drawing>
                <wp:inline distT="0" distB="0" distL="0" distR="0" wp14:anchorId="50759CC5" wp14:editId="4B0C0124">
                  <wp:extent cx="4081145" cy="232664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324">
                            <a:extLst>
                              <a:ext uri="{28A0092B-C50C-407E-A947-70E740481C1C}">
                                <a14:useLocalDpi xmlns:a14="http://schemas.microsoft.com/office/drawing/2010/main" val="0"/>
                              </a:ext>
                            </a:extLst>
                          </a:blip>
                          <a:stretch>
                            <a:fillRect/>
                          </a:stretch>
                        </pic:blipFill>
                        <pic:spPr>
                          <a:xfrm>
                            <a:off x="0" y="0"/>
                            <a:ext cx="4088421" cy="2331093"/>
                          </a:xfrm>
                          <a:prstGeom prst="rect">
                            <a:avLst/>
                          </a:prstGeom>
                        </pic:spPr>
                      </pic:pic>
                    </a:graphicData>
                  </a:graphic>
                </wp:inline>
              </w:drawing>
            </w:r>
          </w:p>
        </w:tc>
      </w:tr>
      <w:tr w:rsidR="009C353B" w14:paraId="3F375668" w14:textId="77777777">
        <w:trPr>
          <w:trHeight w:val="340"/>
          <w:jc w:val="center"/>
        </w:trPr>
        <w:tc>
          <w:tcPr>
            <w:tcW w:w="6803" w:type="dxa"/>
            <w:vAlign w:val="center"/>
          </w:tcPr>
          <w:p w14:paraId="6BB5F9A6" w14:textId="77777777" w:rsidR="009C353B" w:rsidRDefault="00000000">
            <w:pPr>
              <w:adjustRightInd w:val="0"/>
              <w:snapToGrid w:val="0"/>
              <w:jc w:val="center"/>
              <w:rPr>
                <w:rFonts w:ascii="Times New Roman" w:hAnsi="Times New Roman"/>
                <w:b/>
                <w:bCs/>
                <w:sz w:val="21"/>
                <w:szCs w:val="21"/>
              </w:rPr>
            </w:pPr>
            <w:r>
              <w:rPr>
                <w:rFonts w:ascii="Times New Roman" w:hAnsi="Times New Roman" w:hint="eastAsia"/>
                <w:b/>
                <w:bCs/>
                <w:sz w:val="21"/>
                <w:szCs w:val="21"/>
              </w:rPr>
              <w:t>水洞沟氨氮浓度变化趋势</w:t>
            </w:r>
          </w:p>
        </w:tc>
      </w:tr>
    </w:tbl>
    <w:p w14:paraId="48FAAC6C" w14:textId="77777777" w:rsidR="009C353B" w:rsidRDefault="00000000">
      <w:pPr>
        <w:adjustRightInd w:val="0"/>
        <w:snapToGrid w:val="0"/>
        <w:spacing w:line="440" w:lineRule="exact"/>
        <w:ind w:firstLine="480"/>
        <w:jc w:val="center"/>
        <w:rPr>
          <w:rFonts w:ascii="Times New Roman" w:hAnsi="Times New Roman"/>
          <w:b/>
          <w:bCs/>
          <w:szCs w:val="24"/>
        </w:rPr>
      </w:pPr>
      <w:r>
        <w:rPr>
          <w:rFonts w:ascii="Times New Roman" w:hAnsi="Times New Roman" w:hint="eastAsia"/>
          <w:b/>
          <w:bCs/>
          <w:szCs w:val="24"/>
        </w:rPr>
        <w:t>图</w:t>
      </w:r>
      <w:r>
        <w:rPr>
          <w:rFonts w:ascii="Times New Roman" w:hAnsi="Times New Roman" w:hint="eastAsia"/>
          <w:b/>
          <w:bCs/>
          <w:szCs w:val="24"/>
        </w:rPr>
        <w:t>4.3-3</w:t>
      </w:r>
      <w:r>
        <w:rPr>
          <w:rFonts w:ascii="Times New Roman" w:hAnsi="Times New Roman"/>
          <w:b/>
          <w:bCs/>
          <w:szCs w:val="24"/>
        </w:rPr>
        <w:t xml:space="preserve"> </w:t>
      </w:r>
      <w:r>
        <w:rPr>
          <w:rFonts w:ascii="Times New Roman" w:hAnsi="Times New Roman" w:hint="eastAsia"/>
          <w:b/>
          <w:bCs/>
          <w:szCs w:val="24"/>
        </w:rPr>
        <w:t>水洞沟水质污染因子变化趋势</w:t>
      </w:r>
    </w:p>
    <w:p w14:paraId="53B58080" w14:textId="77777777" w:rsidR="009C353B" w:rsidRDefault="00000000">
      <w:pPr>
        <w:adjustRightInd w:val="0"/>
        <w:snapToGrid w:val="0"/>
        <w:spacing w:line="440" w:lineRule="exact"/>
        <w:ind w:firstLine="480"/>
        <w:rPr>
          <w:rFonts w:ascii="Times New Roman" w:hAnsi="Times New Roman"/>
          <w:bCs/>
          <w:szCs w:val="24"/>
        </w:rPr>
      </w:pPr>
      <w:r>
        <w:rPr>
          <w:rFonts w:ascii="Times New Roman" w:hAnsi="Times New Roman" w:hint="eastAsia"/>
          <w:bCs/>
          <w:szCs w:val="24"/>
        </w:rPr>
        <w:t>由图</w:t>
      </w:r>
      <w:r>
        <w:rPr>
          <w:rFonts w:ascii="Times New Roman" w:hAnsi="Times New Roman" w:hint="eastAsia"/>
          <w:bCs/>
          <w:szCs w:val="24"/>
        </w:rPr>
        <w:t>4.3-3</w:t>
      </w:r>
      <w:r>
        <w:rPr>
          <w:rFonts w:ascii="Times New Roman" w:hAnsi="Times New Roman" w:hint="eastAsia"/>
          <w:bCs/>
          <w:szCs w:val="24"/>
        </w:rPr>
        <w:t>，水洞沟水质污染指标</w:t>
      </w:r>
      <w:r>
        <w:rPr>
          <w:rFonts w:ascii="Times New Roman" w:hAnsi="Times New Roman" w:hint="eastAsia"/>
          <w:bCs/>
          <w:szCs w:val="24"/>
        </w:rPr>
        <w:t>C</w:t>
      </w:r>
      <w:r>
        <w:rPr>
          <w:rFonts w:ascii="Times New Roman" w:hAnsi="Times New Roman"/>
          <w:bCs/>
          <w:szCs w:val="24"/>
        </w:rPr>
        <w:t>OD</w:t>
      </w:r>
      <w:r>
        <w:rPr>
          <w:rFonts w:ascii="Times New Roman" w:hAnsi="Times New Roman" w:hint="eastAsia"/>
          <w:bCs/>
          <w:szCs w:val="24"/>
        </w:rPr>
        <w:t>、</w:t>
      </w:r>
      <w:r>
        <w:rPr>
          <w:rFonts w:ascii="Times New Roman" w:hAnsi="Times New Roman" w:hint="eastAsia"/>
          <w:bCs/>
          <w:szCs w:val="24"/>
        </w:rPr>
        <w:t>B</w:t>
      </w:r>
      <w:r>
        <w:rPr>
          <w:rFonts w:ascii="Times New Roman" w:hAnsi="Times New Roman"/>
          <w:bCs/>
          <w:szCs w:val="24"/>
        </w:rPr>
        <w:t>OD</w:t>
      </w:r>
      <w:r>
        <w:rPr>
          <w:rFonts w:ascii="Times New Roman" w:hAnsi="Times New Roman" w:hint="eastAsia"/>
          <w:bCs/>
          <w:szCs w:val="24"/>
          <w:vertAlign w:val="subscript"/>
        </w:rPr>
        <w:t>5</w:t>
      </w:r>
      <w:r>
        <w:rPr>
          <w:rFonts w:ascii="Times New Roman" w:hAnsi="Times New Roman" w:hint="eastAsia"/>
          <w:bCs/>
          <w:szCs w:val="24"/>
        </w:rPr>
        <w:t>以及氨氮基本均呈下降趋势，仅与当地背景值有关的氟化物有所上升，总体上水质有所好转。</w:t>
      </w:r>
    </w:p>
    <w:p w14:paraId="750FA376"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鸭子荡水库水质</w:t>
      </w:r>
      <w:r>
        <w:rPr>
          <w:rFonts w:ascii="Times New Roman" w:hAnsi="Times New Roman" w:hint="eastAsia"/>
          <w:b/>
          <w:szCs w:val="24"/>
        </w:rPr>
        <w:t>类别</w:t>
      </w:r>
      <w:r>
        <w:rPr>
          <w:rFonts w:ascii="Times New Roman" w:hAnsi="Times New Roman"/>
          <w:b/>
          <w:szCs w:val="24"/>
        </w:rPr>
        <w:t>监测结果</w:t>
      </w:r>
      <w:r>
        <w:rPr>
          <w:rFonts w:ascii="Times New Roman" w:hAnsi="Times New Roman"/>
          <w:b/>
          <w:szCs w:val="24"/>
        </w:rPr>
        <w:t xml:space="preserve">    </w:t>
      </w:r>
    </w:p>
    <w:p w14:paraId="73FED475" w14:textId="77777777" w:rsidR="009C353B" w:rsidRDefault="00000000">
      <w:pPr>
        <w:adjustRightInd w:val="0"/>
        <w:snapToGrid w:val="0"/>
        <w:spacing w:line="440" w:lineRule="exact"/>
        <w:outlineLvl w:val="4"/>
        <w:rPr>
          <w:rFonts w:ascii="Times New Roman" w:hAnsi="Times New Roman"/>
          <w:szCs w:val="24"/>
        </w:rPr>
      </w:pPr>
      <w:r>
        <w:rPr>
          <w:rFonts w:ascii="Times New Roman" w:hAnsi="Times New Roman"/>
          <w:szCs w:val="24"/>
        </w:rPr>
        <w:t>表</w:t>
      </w:r>
      <w:r>
        <w:rPr>
          <w:rFonts w:ascii="Times New Roman" w:hAnsi="Times New Roman"/>
          <w:szCs w:val="24"/>
        </w:rPr>
        <w:t>4.3</w:t>
      </w:r>
      <w:r>
        <w:rPr>
          <w:rFonts w:ascii="Times New Roman" w:hAnsi="Times New Roman" w:hint="eastAsia"/>
          <w:szCs w:val="24"/>
        </w:rPr>
        <w:t>-10</w:t>
      </w:r>
      <w:r>
        <w:rPr>
          <w:rFonts w:ascii="Times New Roman" w:hAnsi="Times New Roman"/>
          <w:szCs w:val="24"/>
        </w:rPr>
        <w:t xml:space="preserve">                                                                       </w:t>
      </w:r>
    </w:p>
    <w:tbl>
      <w:tblPr>
        <w:tblStyle w:val="afffb"/>
        <w:tblW w:w="0" w:type="auto"/>
        <w:tblLook w:val="04A0" w:firstRow="1" w:lastRow="0" w:firstColumn="1" w:lastColumn="0" w:noHBand="0" w:noVBand="1"/>
      </w:tblPr>
      <w:tblGrid>
        <w:gridCol w:w="1696"/>
        <w:gridCol w:w="1985"/>
        <w:gridCol w:w="1701"/>
        <w:gridCol w:w="1276"/>
        <w:gridCol w:w="2403"/>
      </w:tblGrid>
      <w:tr w:rsidR="009C353B" w14:paraId="52DB20EF" w14:textId="77777777">
        <w:trPr>
          <w:trHeight w:val="340"/>
          <w:tblHeader/>
        </w:trPr>
        <w:tc>
          <w:tcPr>
            <w:tcW w:w="1696" w:type="dxa"/>
            <w:vAlign w:val="center"/>
          </w:tcPr>
          <w:p w14:paraId="1229909B"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监测断面</w:t>
            </w:r>
          </w:p>
        </w:tc>
        <w:tc>
          <w:tcPr>
            <w:tcW w:w="1985" w:type="dxa"/>
            <w:vAlign w:val="center"/>
          </w:tcPr>
          <w:p w14:paraId="5F9D46C6"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监测时间</w:t>
            </w:r>
          </w:p>
        </w:tc>
        <w:tc>
          <w:tcPr>
            <w:tcW w:w="1701" w:type="dxa"/>
            <w:vAlign w:val="center"/>
          </w:tcPr>
          <w:p w14:paraId="2FB10A2C"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划定标准</w:t>
            </w:r>
            <w:r>
              <w:rPr>
                <w:rFonts w:ascii="Times New Roman" w:hAnsi="Times New Roman"/>
                <w:sz w:val="21"/>
                <w:szCs w:val="21"/>
                <w:lang w:val="zh-CN"/>
              </w:rPr>
              <w:t>/</w:t>
            </w:r>
          </w:p>
          <w:p w14:paraId="35E01792"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考核标准</w:t>
            </w:r>
          </w:p>
        </w:tc>
        <w:tc>
          <w:tcPr>
            <w:tcW w:w="1276" w:type="dxa"/>
            <w:vAlign w:val="center"/>
          </w:tcPr>
          <w:p w14:paraId="70F510DB"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水质类别</w:t>
            </w:r>
          </w:p>
        </w:tc>
        <w:tc>
          <w:tcPr>
            <w:tcW w:w="2403" w:type="dxa"/>
            <w:vAlign w:val="center"/>
          </w:tcPr>
          <w:p w14:paraId="04949314"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数据来源</w:t>
            </w:r>
          </w:p>
        </w:tc>
      </w:tr>
      <w:tr w:rsidR="009C353B" w14:paraId="37A3DA80" w14:textId="77777777">
        <w:trPr>
          <w:trHeight w:val="340"/>
        </w:trPr>
        <w:tc>
          <w:tcPr>
            <w:tcW w:w="1696" w:type="dxa"/>
            <w:vMerge w:val="restart"/>
            <w:vAlign w:val="center"/>
          </w:tcPr>
          <w:p w14:paraId="3B8B5348"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1#</w:t>
            </w:r>
            <w:r>
              <w:rPr>
                <w:rFonts w:ascii="Times New Roman" w:hAnsi="Times New Roman"/>
                <w:sz w:val="21"/>
                <w:szCs w:val="21"/>
                <w:lang w:val="zh-CN"/>
              </w:rPr>
              <w:t>鸭子荡西部</w:t>
            </w:r>
            <w:r>
              <w:rPr>
                <w:rFonts w:ascii="Times New Roman" w:hAnsi="Times New Roman"/>
                <w:sz w:val="21"/>
                <w:szCs w:val="21"/>
                <w:lang w:val="zh-CN"/>
              </w:rPr>
              <w:t>600m</w:t>
            </w:r>
          </w:p>
        </w:tc>
        <w:tc>
          <w:tcPr>
            <w:tcW w:w="1985" w:type="dxa"/>
            <w:shd w:val="clear" w:color="auto" w:fill="auto"/>
            <w:vAlign w:val="center"/>
          </w:tcPr>
          <w:p w14:paraId="6B06BE8E"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2013</w:t>
            </w:r>
            <w:r>
              <w:rPr>
                <w:rFonts w:ascii="Times New Roman" w:hAnsi="Times New Roman" w:hint="eastAsia"/>
                <w:sz w:val="21"/>
                <w:szCs w:val="21"/>
              </w:rPr>
              <w:t>年</w:t>
            </w:r>
            <w:r>
              <w:rPr>
                <w:rFonts w:ascii="Times New Roman" w:hAnsi="Times New Roman" w:hint="eastAsia"/>
                <w:sz w:val="21"/>
                <w:szCs w:val="21"/>
              </w:rPr>
              <w:t>1</w:t>
            </w:r>
            <w:r>
              <w:rPr>
                <w:rFonts w:ascii="Times New Roman" w:hAnsi="Times New Roman" w:hint="eastAsia"/>
                <w:sz w:val="21"/>
                <w:szCs w:val="21"/>
              </w:rPr>
              <w:t>月</w:t>
            </w:r>
            <w:r>
              <w:rPr>
                <w:rFonts w:ascii="Times New Roman" w:hAnsi="Times New Roman" w:hint="eastAsia"/>
                <w:sz w:val="21"/>
                <w:szCs w:val="21"/>
              </w:rPr>
              <w:t>21</w:t>
            </w:r>
            <w:r>
              <w:rPr>
                <w:rFonts w:ascii="Times New Roman" w:hAnsi="Times New Roman" w:hint="eastAsia"/>
                <w:sz w:val="21"/>
                <w:szCs w:val="21"/>
              </w:rPr>
              <w:t>日</w:t>
            </w:r>
          </w:p>
        </w:tc>
        <w:tc>
          <w:tcPr>
            <w:tcW w:w="1701" w:type="dxa"/>
            <w:vMerge w:val="restart"/>
            <w:vAlign w:val="center"/>
          </w:tcPr>
          <w:p w14:paraId="7CC93FC6"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《地表水环境质量标准》</w:t>
            </w:r>
            <w:r>
              <w:rPr>
                <w:rFonts w:ascii="Times New Roman" w:hAnsi="Times New Roman"/>
                <w:sz w:val="21"/>
                <w:szCs w:val="21"/>
                <w:lang w:val="zh-CN"/>
              </w:rPr>
              <w:t>(GB3838-2002)</w:t>
            </w:r>
            <w:r>
              <w:rPr>
                <w:rFonts w:ascii="Times New Roman" w:hAnsi="Times New Roman"/>
                <w:sz w:val="21"/>
                <w:szCs w:val="21"/>
                <w:lang w:val="zh-CN"/>
              </w:rPr>
              <w:t>中</w:t>
            </w:r>
            <w:r>
              <w:rPr>
                <w:rFonts w:ascii="Times New Roman" w:hAnsi="Times New Roman"/>
                <w:sz w:val="21"/>
                <w:szCs w:val="21"/>
                <w:lang w:val="zh-CN"/>
              </w:rPr>
              <w:t>Ⅲ</w:t>
            </w:r>
            <w:r>
              <w:rPr>
                <w:rFonts w:ascii="Times New Roman" w:hAnsi="Times New Roman"/>
                <w:sz w:val="21"/>
                <w:szCs w:val="21"/>
                <w:lang w:val="zh-CN"/>
              </w:rPr>
              <w:t>类标准</w:t>
            </w:r>
          </w:p>
        </w:tc>
        <w:tc>
          <w:tcPr>
            <w:tcW w:w="1276" w:type="dxa"/>
            <w:vAlign w:val="center"/>
          </w:tcPr>
          <w:p w14:paraId="4FA0883D"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Ⅲ</w:t>
            </w:r>
          </w:p>
        </w:tc>
        <w:tc>
          <w:tcPr>
            <w:tcW w:w="2403" w:type="dxa"/>
            <w:vMerge w:val="restart"/>
            <w:vAlign w:val="center"/>
          </w:tcPr>
          <w:p w14:paraId="5C9768FF"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以往环评报告</w:t>
            </w:r>
          </w:p>
        </w:tc>
      </w:tr>
      <w:tr w:rsidR="009C353B" w14:paraId="68BDE87F" w14:textId="77777777">
        <w:trPr>
          <w:trHeight w:val="340"/>
        </w:trPr>
        <w:tc>
          <w:tcPr>
            <w:tcW w:w="1696" w:type="dxa"/>
            <w:vMerge/>
            <w:vAlign w:val="center"/>
          </w:tcPr>
          <w:p w14:paraId="24022E81"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auto" w:fill="auto"/>
            <w:vAlign w:val="center"/>
          </w:tcPr>
          <w:p w14:paraId="02BEC1B7"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2013</w:t>
            </w:r>
            <w:r>
              <w:rPr>
                <w:rFonts w:ascii="Times New Roman" w:hAnsi="Times New Roman" w:hint="eastAsia"/>
                <w:sz w:val="21"/>
                <w:szCs w:val="21"/>
              </w:rPr>
              <w:t>年</w:t>
            </w:r>
            <w:r>
              <w:rPr>
                <w:rFonts w:ascii="Times New Roman" w:hAnsi="Times New Roman" w:hint="eastAsia"/>
                <w:sz w:val="21"/>
                <w:szCs w:val="21"/>
              </w:rPr>
              <w:t>1</w:t>
            </w:r>
            <w:r>
              <w:rPr>
                <w:rFonts w:ascii="Times New Roman" w:hAnsi="Times New Roman" w:hint="eastAsia"/>
                <w:sz w:val="21"/>
                <w:szCs w:val="21"/>
              </w:rPr>
              <w:t>月</w:t>
            </w:r>
            <w:r>
              <w:rPr>
                <w:rFonts w:ascii="Times New Roman" w:hAnsi="Times New Roman" w:hint="eastAsia"/>
                <w:sz w:val="21"/>
                <w:szCs w:val="21"/>
              </w:rPr>
              <w:t>22</w:t>
            </w:r>
            <w:r>
              <w:rPr>
                <w:rFonts w:ascii="Times New Roman" w:hAnsi="Times New Roman" w:hint="eastAsia"/>
                <w:sz w:val="21"/>
                <w:szCs w:val="21"/>
              </w:rPr>
              <w:t>日</w:t>
            </w:r>
          </w:p>
        </w:tc>
        <w:tc>
          <w:tcPr>
            <w:tcW w:w="1701" w:type="dxa"/>
            <w:vMerge/>
            <w:vAlign w:val="center"/>
          </w:tcPr>
          <w:p w14:paraId="6B1A3B75" w14:textId="77777777" w:rsidR="009C353B" w:rsidRDefault="009C353B">
            <w:pPr>
              <w:adjustRightInd w:val="0"/>
              <w:snapToGrid w:val="0"/>
              <w:jc w:val="center"/>
              <w:rPr>
                <w:rFonts w:ascii="Times New Roman" w:hAnsi="Times New Roman"/>
                <w:sz w:val="21"/>
                <w:szCs w:val="21"/>
                <w:lang w:val="zh-CN"/>
              </w:rPr>
            </w:pPr>
          </w:p>
        </w:tc>
        <w:tc>
          <w:tcPr>
            <w:tcW w:w="1276" w:type="dxa"/>
            <w:vAlign w:val="center"/>
          </w:tcPr>
          <w:p w14:paraId="6867D743"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Ⅲ</w:t>
            </w:r>
          </w:p>
        </w:tc>
        <w:tc>
          <w:tcPr>
            <w:tcW w:w="2403" w:type="dxa"/>
            <w:vMerge/>
            <w:vAlign w:val="center"/>
          </w:tcPr>
          <w:p w14:paraId="72BA1B80" w14:textId="77777777" w:rsidR="009C353B" w:rsidRDefault="009C353B">
            <w:pPr>
              <w:adjustRightInd w:val="0"/>
              <w:snapToGrid w:val="0"/>
              <w:jc w:val="center"/>
              <w:rPr>
                <w:rFonts w:ascii="Times New Roman" w:hAnsi="Times New Roman"/>
                <w:sz w:val="21"/>
                <w:szCs w:val="21"/>
                <w:lang w:val="zh-CN"/>
              </w:rPr>
            </w:pPr>
          </w:p>
        </w:tc>
      </w:tr>
      <w:tr w:rsidR="009C353B" w14:paraId="7316A31C" w14:textId="77777777">
        <w:trPr>
          <w:trHeight w:val="340"/>
        </w:trPr>
        <w:tc>
          <w:tcPr>
            <w:tcW w:w="1696" w:type="dxa"/>
            <w:vMerge/>
            <w:vAlign w:val="center"/>
          </w:tcPr>
          <w:p w14:paraId="588D38A9"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auto" w:fill="auto"/>
            <w:vAlign w:val="center"/>
          </w:tcPr>
          <w:p w14:paraId="3CC39425"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2013</w:t>
            </w:r>
            <w:r>
              <w:rPr>
                <w:rFonts w:ascii="Times New Roman" w:hAnsi="Times New Roman" w:hint="eastAsia"/>
                <w:sz w:val="21"/>
                <w:szCs w:val="21"/>
              </w:rPr>
              <w:t>年</w:t>
            </w:r>
            <w:r>
              <w:rPr>
                <w:rFonts w:ascii="Times New Roman" w:hAnsi="Times New Roman" w:hint="eastAsia"/>
                <w:sz w:val="21"/>
                <w:szCs w:val="21"/>
              </w:rPr>
              <w:t>1</w:t>
            </w:r>
            <w:r>
              <w:rPr>
                <w:rFonts w:ascii="Times New Roman" w:hAnsi="Times New Roman" w:hint="eastAsia"/>
                <w:sz w:val="21"/>
                <w:szCs w:val="21"/>
              </w:rPr>
              <w:t>月</w:t>
            </w:r>
            <w:r>
              <w:rPr>
                <w:rFonts w:ascii="Times New Roman" w:hAnsi="Times New Roman" w:hint="eastAsia"/>
                <w:sz w:val="21"/>
                <w:szCs w:val="21"/>
              </w:rPr>
              <w:t>23</w:t>
            </w:r>
            <w:r>
              <w:rPr>
                <w:rFonts w:ascii="Times New Roman" w:hAnsi="Times New Roman" w:hint="eastAsia"/>
                <w:sz w:val="21"/>
                <w:szCs w:val="21"/>
              </w:rPr>
              <w:t>日</w:t>
            </w:r>
          </w:p>
        </w:tc>
        <w:tc>
          <w:tcPr>
            <w:tcW w:w="1701" w:type="dxa"/>
            <w:vMerge/>
            <w:vAlign w:val="center"/>
          </w:tcPr>
          <w:p w14:paraId="361726BC" w14:textId="77777777" w:rsidR="009C353B" w:rsidRDefault="009C353B">
            <w:pPr>
              <w:adjustRightInd w:val="0"/>
              <w:snapToGrid w:val="0"/>
              <w:jc w:val="center"/>
              <w:rPr>
                <w:rFonts w:ascii="Times New Roman" w:hAnsi="Times New Roman"/>
                <w:sz w:val="21"/>
                <w:szCs w:val="21"/>
                <w:lang w:val="zh-CN"/>
              </w:rPr>
            </w:pPr>
          </w:p>
        </w:tc>
        <w:tc>
          <w:tcPr>
            <w:tcW w:w="1276" w:type="dxa"/>
            <w:vAlign w:val="center"/>
          </w:tcPr>
          <w:p w14:paraId="3135C53A"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Ⅲ</w:t>
            </w:r>
          </w:p>
        </w:tc>
        <w:tc>
          <w:tcPr>
            <w:tcW w:w="2403" w:type="dxa"/>
            <w:vMerge/>
            <w:vAlign w:val="center"/>
          </w:tcPr>
          <w:p w14:paraId="76DC0E1F" w14:textId="77777777" w:rsidR="009C353B" w:rsidRDefault="009C353B">
            <w:pPr>
              <w:adjustRightInd w:val="0"/>
              <w:snapToGrid w:val="0"/>
              <w:jc w:val="center"/>
              <w:rPr>
                <w:rFonts w:ascii="Times New Roman" w:hAnsi="Times New Roman"/>
                <w:sz w:val="21"/>
                <w:szCs w:val="21"/>
                <w:lang w:val="zh-CN"/>
              </w:rPr>
            </w:pPr>
          </w:p>
        </w:tc>
      </w:tr>
      <w:tr w:rsidR="009C353B" w14:paraId="704471D9" w14:textId="77777777">
        <w:trPr>
          <w:trHeight w:val="340"/>
        </w:trPr>
        <w:tc>
          <w:tcPr>
            <w:tcW w:w="1696" w:type="dxa"/>
            <w:vMerge w:val="restart"/>
            <w:vAlign w:val="center"/>
          </w:tcPr>
          <w:p w14:paraId="467C6015"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2#</w:t>
            </w:r>
            <w:r>
              <w:rPr>
                <w:rFonts w:ascii="Times New Roman" w:hAnsi="Times New Roman"/>
                <w:sz w:val="21"/>
                <w:szCs w:val="21"/>
                <w:lang w:val="zh-CN"/>
              </w:rPr>
              <w:t>鸭子荡北部</w:t>
            </w:r>
            <w:r>
              <w:rPr>
                <w:rFonts w:ascii="Times New Roman" w:hAnsi="Times New Roman"/>
                <w:sz w:val="21"/>
                <w:szCs w:val="21"/>
                <w:lang w:val="zh-CN"/>
              </w:rPr>
              <w:t>600m</w:t>
            </w:r>
          </w:p>
        </w:tc>
        <w:tc>
          <w:tcPr>
            <w:tcW w:w="1985" w:type="dxa"/>
            <w:shd w:val="clear" w:color="auto" w:fill="auto"/>
            <w:vAlign w:val="center"/>
          </w:tcPr>
          <w:p w14:paraId="2C7EE9A9"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2013</w:t>
            </w:r>
            <w:r>
              <w:rPr>
                <w:rFonts w:ascii="Times New Roman" w:hAnsi="Times New Roman" w:hint="eastAsia"/>
                <w:sz w:val="21"/>
                <w:szCs w:val="21"/>
              </w:rPr>
              <w:t>年</w:t>
            </w:r>
            <w:r>
              <w:rPr>
                <w:rFonts w:ascii="Times New Roman" w:hAnsi="Times New Roman" w:hint="eastAsia"/>
                <w:sz w:val="21"/>
                <w:szCs w:val="21"/>
              </w:rPr>
              <w:t>1</w:t>
            </w:r>
            <w:r>
              <w:rPr>
                <w:rFonts w:ascii="Times New Roman" w:hAnsi="Times New Roman" w:hint="eastAsia"/>
                <w:sz w:val="21"/>
                <w:szCs w:val="21"/>
              </w:rPr>
              <w:t>月</w:t>
            </w:r>
            <w:r>
              <w:rPr>
                <w:rFonts w:ascii="Times New Roman" w:hAnsi="Times New Roman" w:hint="eastAsia"/>
                <w:sz w:val="21"/>
                <w:szCs w:val="21"/>
              </w:rPr>
              <w:t>21</w:t>
            </w:r>
            <w:r>
              <w:rPr>
                <w:rFonts w:ascii="Times New Roman" w:hAnsi="Times New Roman" w:hint="eastAsia"/>
                <w:sz w:val="21"/>
                <w:szCs w:val="21"/>
              </w:rPr>
              <w:t>日</w:t>
            </w:r>
          </w:p>
        </w:tc>
        <w:tc>
          <w:tcPr>
            <w:tcW w:w="1701" w:type="dxa"/>
            <w:vMerge/>
            <w:vAlign w:val="center"/>
          </w:tcPr>
          <w:p w14:paraId="1BD6BEAE" w14:textId="77777777" w:rsidR="009C353B" w:rsidRDefault="009C353B">
            <w:pPr>
              <w:adjustRightInd w:val="0"/>
              <w:snapToGrid w:val="0"/>
              <w:jc w:val="center"/>
              <w:rPr>
                <w:rFonts w:ascii="Times New Roman" w:hAnsi="Times New Roman"/>
                <w:sz w:val="21"/>
                <w:szCs w:val="21"/>
                <w:lang w:val="zh-CN"/>
              </w:rPr>
            </w:pPr>
          </w:p>
        </w:tc>
        <w:tc>
          <w:tcPr>
            <w:tcW w:w="1276" w:type="dxa"/>
            <w:vAlign w:val="center"/>
          </w:tcPr>
          <w:p w14:paraId="185DDB3A"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Ⅲ</w:t>
            </w:r>
          </w:p>
        </w:tc>
        <w:tc>
          <w:tcPr>
            <w:tcW w:w="2403" w:type="dxa"/>
            <w:vMerge/>
            <w:vAlign w:val="center"/>
          </w:tcPr>
          <w:p w14:paraId="63AFF485" w14:textId="77777777" w:rsidR="009C353B" w:rsidRDefault="009C353B">
            <w:pPr>
              <w:adjustRightInd w:val="0"/>
              <w:snapToGrid w:val="0"/>
              <w:jc w:val="center"/>
              <w:rPr>
                <w:rFonts w:ascii="Times New Roman" w:hAnsi="Times New Roman"/>
                <w:sz w:val="21"/>
                <w:szCs w:val="21"/>
                <w:lang w:val="zh-CN"/>
              </w:rPr>
            </w:pPr>
          </w:p>
        </w:tc>
      </w:tr>
      <w:tr w:rsidR="009C353B" w14:paraId="6297B293" w14:textId="77777777">
        <w:trPr>
          <w:trHeight w:val="340"/>
        </w:trPr>
        <w:tc>
          <w:tcPr>
            <w:tcW w:w="1696" w:type="dxa"/>
            <w:vMerge/>
            <w:vAlign w:val="center"/>
          </w:tcPr>
          <w:p w14:paraId="0CD08261"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auto" w:fill="auto"/>
            <w:vAlign w:val="center"/>
          </w:tcPr>
          <w:p w14:paraId="3626701F"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2013</w:t>
            </w:r>
            <w:r>
              <w:rPr>
                <w:rFonts w:ascii="Times New Roman" w:hAnsi="Times New Roman" w:hint="eastAsia"/>
                <w:sz w:val="21"/>
                <w:szCs w:val="21"/>
              </w:rPr>
              <w:t>年</w:t>
            </w:r>
            <w:r>
              <w:rPr>
                <w:rFonts w:ascii="Times New Roman" w:hAnsi="Times New Roman" w:hint="eastAsia"/>
                <w:sz w:val="21"/>
                <w:szCs w:val="21"/>
              </w:rPr>
              <w:t>1</w:t>
            </w:r>
            <w:r>
              <w:rPr>
                <w:rFonts w:ascii="Times New Roman" w:hAnsi="Times New Roman" w:hint="eastAsia"/>
                <w:sz w:val="21"/>
                <w:szCs w:val="21"/>
              </w:rPr>
              <w:t>月</w:t>
            </w:r>
            <w:r>
              <w:rPr>
                <w:rFonts w:ascii="Times New Roman" w:hAnsi="Times New Roman" w:hint="eastAsia"/>
                <w:sz w:val="21"/>
                <w:szCs w:val="21"/>
              </w:rPr>
              <w:t>22</w:t>
            </w:r>
            <w:r>
              <w:rPr>
                <w:rFonts w:ascii="Times New Roman" w:hAnsi="Times New Roman" w:hint="eastAsia"/>
                <w:sz w:val="21"/>
                <w:szCs w:val="21"/>
              </w:rPr>
              <w:t>日</w:t>
            </w:r>
          </w:p>
        </w:tc>
        <w:tc>
          <w:tcPr>
            <w:tcW w:w="1701" w:type="dxa"/>
            <w:vMerge/>
            <w:vAlign w:val="center"/>
          </w:tcPr>
          <w:p w14:paraId="7BA82788" w14:textId="77777777" w:rsidR="009C353B" w:rsidRDefault="009C353B">
            <w:pPr>
              <w:adjustRightInd w:val="0"/>
              <w:snapToGrid w:val="0"/>
              <w:jc w:val="center"/>
              <w:rPr>
                <w:rFonts w:ascii="Times New Roman" w:hAnsi="Times New Roman"/>
                <w:sz w:val="21"/>
                <w:szCs w:val="21"/>
                <w:lang w:val="zh-CN"/>
              </w:rPr>
            </w:pPr>
          </w:p>
        </w:tc>
        <w:tc>
          <w:tcPr>
            <w:tcW w:w="1276" w:type="dxa"/>
            <w:vAlign w:val="center"/>
          </w:tcPr>
          <w:p w14:paraId="7D01772D"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Ⅲ</w:t>
            </w:r>
          </w:p>
        </w:tc>
        <w:tc>
          <w:tcPr>
            <w:tcW w:w="2403" w:type="dxa"/>
            <w:vMerge/>
            <w:vAlign w:val="center"/>
          </w:tcPr>
          <w:p w14:paraId="3C45F368" w14:textId="77777777" w:rsidR="009C353B" w:rsidRDefault="009C353B">
            <w:pPr>
              <w:adjustRightInd w:val="0"/>
              <w:snapToGrid w:val="0"/>
              <w:jc w:val="center"/>
              <w:rPr>
                <w:rFonts w:ascii="Times New Roman" w:hAnsi="Times New Roman"/>
                <w:sz w:val="21"/>
                <w:szCs w:val="21"/>
                <w:lang w:val="zh-CN"/>
              </w:rPr>
            </w:pPr>
          </w:p>
        </w:tc>
      </w:tr>
      <w:tr w:rsidR="009C353B" w14:paraId="328BD5A3" w14:textId="77777777">
        <w:trPr>
          <w:trHeight w:val="340"/>
        </w:trPr>
        <w:tc>
          <w:tcPr>
            <w:tcW w:w="1696" w:type="dxa"/>
            <w:vMerge/>
            <w:vAlign w:val="center"/>
          </w:tcPr>
          <w:p w14:paraId="70AA8A6A"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auto" w:fill="auto"/>
            <w:vAlign w:val="center"/>
          </w:tcPr>
          <w:p w14:paraId="598CFC9E"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2013</w:t>
            </w:r>
            <w:r>
              <w:rPr>
                <w:rFonts w:ascii="Times New Roman" w:hAnsi="Times New Roman" w:hint="eastAsia"/>
                <w:sz w:val="21"/>
                <w:szCs w:val="21"/>
              </w:rPr>
              <w:t>年</w:t>
            </w:r>
            <w:r>
              <w:rPr>
                <w:rFonts w:ascii="Times New Roman" w:hAnsi="Times New Roman" w:hint="eastAsia"/>
                <w:sz w:val="21"/>
                <w:szCs w:val="21"/>
              </w:rPr>
              <w:t>1</w:t>
            </w:r>
            <w:r>
              <w:rPr>
                <w:rFonts w:ascii="Times New Roman" w:hAnsi="Times New Roman" w:hint="eastAsia"/>
                <w:sz w:val="21"/>
                <w:szCs w:val="21"/>
              </w:rPr>
              <w:t>月</w:t>
            </w:r>
            <w:r>
              <w:rPr>
                <w:rFonts w:ascii="Times New Roman" w:hAnsi="Times New Roman" w:hint="eastAsia"/>
                <w:sz w:val="21"/>
                <w:szCs w:val="21"/>
              </w:rPr>
              <w:t>23</w:t>
            </w:r>
            <w:r>
              <w:rPr>
                <w:rFonts w:ascii="Times New Roman" w:hAnsi="Times New Roman" w:hint="eastAsia"/>
                <w:sz w:val="21"/>
                <w:szCs w:val="21"/>
              </w:rPr>
              <w:t>日</w:t>
            </w:r>
          </w:p>
        </w:tc>
        <w:tc>
          <w:tcPr>
            <w:tcW w:w="1701" w:type="dxa"/>
            <w:vMerge/>
            <w:vAlign w:val="center"/>
          </w:tcPr>
          <w:p w14:paraId="10C419D6" w14:textId="77777777" w:rsidR="009C353B" w:rsidRDefault="009C353B">
            <w:pPr>
              <w:adjustRightInd w:val="0"/>
              <w:snapToGrid w:val="0"/>
              <w:jc w:val="center"/>
              <w:rPr>
                <w:rFonts w:ascii="Times New Roman" w:hAnsi="Times New Roman"/>
                <w:sz w:val="21"/>
                <w:szCs w:val="21"/>
                <w:lang w:val="zh-CN"/>
              </w:rPr>
            </w:pPr>
          </w:p>
        </w:tc>
        <w:tc>
          <w:tcPr>
            <w:tcW w:w="1276" w:type="dxa"/>
            <w:vAlign w:val="center"/>
          </w:tcPr>
          <w:p w14:paraId="4E1FD173"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Ⅲ</w:t>
            </w:r>
          </w:p>
        </w:tc>
        <w:tc>
          <w:tcPr>
            <w:tcW w:w="2403" w:type="dxa"/>
            <w:vMerge/>
            <w:vAlign w:val="center"/>
          </w:tcPr>
          <w:p w14:paraId="35B31726" w14:textId="77777777" w:rsidR="009C353B" w:rsidRDefault="009C353B">
            <w:pPr>
              <w:adjustRightInd w:val="0"/>
              <w:snapToGrid w:val="0"/>
              <w:jc w:val="center"/>
              <w:rPr>
                <w:rFonts w:ascii="Times New Roman" w:hAnsi="Times New Roman"/>
                <w:sz w:val="21"/>
                <w:szCs w:val="21"/>
                <w:lang w:val="zh-CN"/>
              </w:rPr>
            </w:pPr>
          </w:p>
        </w:tc>
      </w:tr>
      <w:tr w:rsidR="009C353B" w14:paraId="73353B5F" w14:textId="77777777">
        <w:trPr>
          <w:trHeight w:val="340"/>
        </w:trPr>
        <w:tc>
          <w:tcPr>
            <w:tcW w:w="1696" w:type="dxa"/>
            <w:vMerge w:val="restart"/>
            <w:vAlign w:val="center"/>
          </w:tcPr>
          <w:p w14:paraId="398F96F9"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3#</w:t>
            </w:r>
            <w:r>
              <w:rPr>
                <w:rFonts w:ascii="Times New Roman" w:hAnsi="Times New Roman"/>
                <w:sz w:val="21"/>
                <w:szCs w:val="21"/>
                <w:lang w:val="zh-CN"/>
              </w:rPr>
              <w:t>鸭子荡</w:t>
            </w:r>
          </w:p>
        </w:tc>
        <w:tc>
          <w:tcPr>
            <w:tcW w:w="1985" w:type="dxa"/>
            <w:shd w:val="clear" w:color="auto" w:fill="auto"/>
            <w:vAlign w:val="center"/>
          </w:tcPr>
          <w:p w14:paraId="549F903E"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kern w:val="0"/>
                <w:sz w:val="21"/>
                <w:szCs w:val="21"/>
              </w:rPr>
              <w:t>2016</w:t>
            </w:r>
            <w:r>
              <w:rPr>
                <w:rFonts w:ascii="Times New Roman" w:hAnsi="Times New Roman" w:hint="eastAsia"/>
                <w:kern w:val="0"/>
                <w:sz w:val="21"/>
                <w:szCs w:val="21"/>
              </w:rPr>
              <w:t>年</w:t>
            </w:r>
            <w:r>
              <w:rPr>
                <w:rFonts w:ascii="Times New Roman" w:hAnsi="Times New Roman" w:hint="eastAsia"/>
                <w:kern w:val="0"/>
                <w:sz w:val="21"/>
                <w:szCs w:val="21"/>
              </w:rPr>
              <w:t>5</w:t>
            </w:r>
            <w:r>
              <w:rPr>
                <w:rFonts w:ascii="Times New Roman" w:hAnsi="Times New Roman" w:hint="eastAsia"/>
                <w:kern w:val="0"/>
                <w:sz w:val="21"/>
                <w:szCs w:val="21"/>
              </w:rPr>
              <w:t>月</w:t>
            </w:r>
            <w:r>
              <w:rPr>
                <w:rFonts w:ascii="Times New Roman" w:hAnsi="Times New Roman" w:hint="eastAsia"/>
                <w:kern w:val="0"/>
                <w:sz w:val="21"/>
                <w:szCs w:val="21"/>
              </w:rPr>
              <w:t>26</w:t>
            </w:r>
            <w:r>
              <w:rPr>
                <w:rFonts w:ascii="Times New Roman" w:hAnsi="Times New Roman" w:hint="eastAsia"/>
                <w:kern w:val="0"/>
                <w:sz w:val="21"/>
                <w:szCs w:val="21"/>
              </w:rPr>
              <w:t>日</w:t>
            </w:r>
          </w:p>
        </w:tc>
        <w:tc>
          <w:tcPr>
            <w:tcW w:w="1701" w:type="dxa"/>
            <w:vMerge/>
            <w:vAlign w:val="center"/>
          </w:tcPr>
          <w:p w14:paraId="086D86CC" w14:textId="77777777" w:rsidR="009C353B" w:rsidRDefault="009C353B">
            <w:pPr>
              <w:adjustRightInd w:val="0"/>
              <w:snapToGrid w:val="0"/>
              <w:jc w:val="center"/>
              <w:rPr>
                <w:rFonts w:ascii="Times New Roman" w:hAnsi="Times New Roman"/>
                <w:sz w:val="21"/>
                <w:szCs w:val="21"/>
                <w:lang w:val="zh-CN"/>
              </w:rPr>
            </w:pPr>
          </w:p>
        </w:tc>
        <w:tc>
          <w:tcPr>
            <w:tcW w:w="1276" w:type="dxa"/>
            <w:vAlign w:val="center"/>
          </w:tcPr>
          <w:p w14:paraId="6CD905A4"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Ⅲ</w:t>
            </w:r>
          </w:p>
        </w:tc>
        <w:tc>
          <w:tcPr>
            <w:tcW w:w="2403" w:type="dxa"/>
            <w:vMerge/>
            <w:vAlign w:val="center"/>
          </w:tcPr>
          <w:p w14:paraId="5CBA53FF" w14:textId="77777777" w:rsidR="009C353B" w:rsidRDefault="009C353B">
            <w:pPr>
              <w:adjustRightInd w:val="0"/>
              <w:snapToGrid w:val="0"/>
              <w:jc w:val="center"/>
              <w:rPr>
                <w:rFonts w:ascii="Times New Roman" w:hAnsi="Times New Roman"/>
                <w:sz w:val="21"/>
                <w:szCs w:val="21"/>
                <w:lang w:val="zh-CN"/>
              </w:rPr>
            </w:pPr>
          </w:p>
        </w:tc>
      </w:tr>
      <w:tr w:rsidR="009C353B" w14:paraId="40F349EE" w14:textId="77777777">
        <w:trPr>
          <w:trHeight w:val="340"/>
        </w:trPr>
        <w:tc>
          <w:tcPr>
            <w:tcW w:w="1696" w:type="dxa"/>
            <w:vMerge/>
            <w:vAlign w:val="center"/>
          </w:tcPr>
          <w:p w14:paraId="5C338E44"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auto" w:fill="auto"/>
            <w:vAlign w:val="center"/>
          </w:tcPr>
          <w:p w14:paraId="40E5B021"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kern w:val="0"/>
                <w:sz w:val="21"/>
                <w:szCs w:val="21"/>
              </w:rPr>
              <w:t>2016</w:t>
            </w:r>
            <w:r>
              <w:rPr>
                <w:rFonts w:ascii="Times New Roman" w:hAnsi="Times New Roman" w:hint="eastAsia"/>
                <w:kern w:val="0"/>
                <w:sz w:val="21"/>
                <w:szCs w:val="21"/>
              </w:rPr>
              <w:t>年</w:t>
            </w:r>
            <w:r>
              <w:rPr>
                <w:rFonts w:ascii="Times New Roman" w:hAnsi="Times New Roman" w:hint="eastAsia"/>
                <w:kern w:val="0"/>
                <w:sz w:val="21"/>
                <w:szCs w:val="21"/>
              </w:rPr>
              <w:t>5</w:t>
            </w:r>
            <w:r>
              <w:rPr>
                <w:rFonts w:ascii="Times New Roman" w:hAnsi="Times New Roman" w:hint="eastAsia"/>
                <w:kern w:val="0"/>
                <w:sz w:val="21"/>
                <w:szCs w:val="21"/>
              </w:rPr>
              <w:t>月</w:t>
            </w:r>
            <w:r>
              <w:rPr>
                <w:rFonts w:ascii="Times New Roman" w:hAnsi="Times New Roman" w:hint="eastAsia"/>
                <w:kern w:val="0"/>
                <w:sz w:val="21"/>
                <w:szCs w:val="21"/>
              </w:rPr>
              <w:t>27</w:t>
            </w:r>
            <w:r>
              <w:rPr>
                <w:rFonts w:ascii="Times New Roman" w:hAnsi="Times New Roman" w:hint="eastAsia"/>
                <w:kern w:val="0"/>
                <w:sz w:val="21"/>
                <w:szCs w:val="21"/>
              </w:rPr>
              <w:t>日</w:t>
            </w:r>
          </w:p>
        </w:tc>
        <w:tc>
          <w:tcPr>
            <w:tcW w:w="1701" w:type="dxa"/>
            <w:vMerge/>
            <w:vAlign w:val="center"/>
          </w:tcPr>
          <w:p w14:paraId="46A2AB45" w14:textId="77777777" w:rsidR="009C353B" w:rsidRDefault="009C353B">
            <w:pPr>
              <w:adjustRightInd w:val="0"/>
              <w:snapToGrid w:val="0"/>
              <w:jc w:val="center"/>
              <w:rPr>
                <w:rFonts w:ascii="Times New Roman" w:hAnsi="Times New Roman"/>
                <w:sz w:val="21"/>
                <w:szCs w:val="21"/>
                <w:lang w:val="zh-CN"/>
              </w:rPr>
            </w:pPr>
          </w:p>
        </w:tc>
        <w:tc>
          <w:tcPr>
            <w:tcW w:w="1276" w:type="dxa"/>
            <w:vAlign w:val="center"/>
          </w:tcPr>
          <w:p w14:paraId="69914244"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Ⅲ</w:t>
            </w:r>
          </w:p>
        </w:tc>
        <w:tc>
          <w:tcPr>
            <w:tcW w:w="2403" w:type="dxa"/>
            <w:vMerge/>
            <w:vAlign w:val="center"/>
          </w:tcPr>
          <w:p w14:paraId="04A8207F" w14:textId="77777777" w:rsidR="009C353B" w:rsidRDefault="009C353B">
            <w:pPr>
              <w:adjustRightInd w:val="0"/>
              <w:snapToGrid w:val="0"/>
              <w:jc w:val="center"/>
              <w:rPr>
                <w:rFonts w:ascii="Times New Roman" w:hAnsi="Times New Roman"/>
                <w:sz w:val="21"/>
                <w:szCs w:val="21"/>
                <w:lang w:val="zh-CN"/>
              </w:rPr>
            </w:pPr>
          </w:p>
        </w:tc>
      </w:tr>
      <w:tr w:rsidR="009C353B" w14:paraId="7B766646" w14:textId="77777777">
        <w:trPr>
          <w:trHeight w:val="340"/>
        </w:trPr>
        <w:tc>
          <w:tcPr>
            <w:tcW w:w="1696" w:type="dxa"/>
            <w:vMerge w:val="restart"/>
            <w:vAlign w:val="center"/>
          </w:tcPr>
          <w:p w14:paraId="5068063A"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国控断面</w:t>
            </w:r>
          </w:p>
        </w:tc>
        <w:tc>
          <w:tcPr>
            <w:tcW w:w="1985" w:type="dxa"/>
            <w:shd w:val="clear" w:color="000000" w:fill="FBFCFD"/>
            <w:vAlign w:val="center"/>
          </w:tcPr>
          <w:p w14:paraId="41C3C5F2"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2018</w:t>
            </w:r>
            <w:r>
              <w:rPr>
                <w:rFonts w:ascii="Times New Roman" w:hAnsi="Times New Roman"/>
                <w:sz w:val="21"/>
                <w:szCs w:val="21"/>
              </w:rPr>
              <w:t>年</w:t>
            </w:r>
            <w:r>
              <w:rPr>
                <w:rFonts w:ascii="Times New Roman" w:hAnsi="Times New Roman"/>
                <w:sz w:val="21"/>
                <w:szCs w:val="21"/>
              </w:rPr>
              <w:t>4</w:t>
            </w:r>
            <w:r>
              <w:rPr>
                <w:rFonts w:ascii="Times New Roman" w:hAnsi="Times New Roman"/>
                <w:sz w:val="21"/>
                <w:szCs w:val="21"/>
              </w:rPr>
              <w:t>月</w:t>
            </w:r>
          </w:p>
        </w:tc>
        <w:tc>
          <w:tcPr>
            <w:tcW w:w="1701" w:type="dxa"/>
            <w:vMerge/>
            <w:shd w:val="clear" w:color="auto" w:fill="auto"/>
            <w:vAlign w:val="center"/>
          </w:tcPr>
          <w:p w14:paraId="0E8DBDD1"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6EB7B9CA"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Ⅲ</w:t>
            </w:r>
          </w:p>
        </w:tc>
        <w:tc>
          <w:tcPr>
            <w:tcW w:w="2403" w:type="dxa"/>
            <w:vMerge w:val="restart"/>
            <w:vAlign w:val="center"/>
          </w:tcPr>
          <w:p w14:paraId="195F636F"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lang w:val="zh-CN"/>
              </w:rPr>
              <w:t>宁夏回族自治区地表水环境质量状况月报、宁东基地国控地表水断面鸭子荡水库采测数据</w:t>
            </w:r>
          </w:p>
        </w:tc>
      </w:tr>
      <w:tr w:rsidR="009C353B" w14:paraId="201BDB64" w14:textId="77777777">
        <w:trPr>
          <w:trHeight w:val="340"/>
        </w:trPr>
        <w:tc>
          <w:tcPr>
            <w:tcW w:w="1696" w:type="dxa"/>
            <w:vMerge/>
            <w:vAlign w:val="center"/>
          </w:tcPr>
          <w:p w14:paraId="083E7A2D"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5FE1D5CE"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2018</w:t>
            </w:r>
            <w:r>
              <w:rPr>
                <w:rFonts w:ascii="Times New Roman" w:hAnsi="Times New Roman"/>
                <w:sz w:val="21"/>
                <w:szCs w:val="21"/>
              </w:rPr>
              <w:t>年</w:t>
            </w:r>
            <w:r>
              <w:rPr>
                <w:rFonts w:ascii="Times New Roman" w:hAnsi="Times New Roman"/>
                <w:sz w:val="21"/>
                <w:szCs w:val="21"/>
              </w:rPr>
              <w:t>5</w:t>
            </w:r>
            <w:r>
              <w:rPr>
                <w:rFonts w:ascii="Times New Roman" w:hAnsi="Times New Roman"/>
                <w:sz w:val="21"/>
                <w:szCs w:val="21"/>
              </w:rPr>
              <w:t>月</w:t>
            </w:r>
          </w:p>
        </w:tc>
        <w:tc>
          <w:tcPr>
            <w:tcW w:w="1701" w:type="dxa"/>
            <w:vMerge/>
            <w:shd w:val="clear" w:color="auto" w:fill="auto"/>
            <w:vAlign w:val="center"/>
          </w:tcPr>
          <w:p w14:paraId="75D42848"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671A5A4D"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Ⅲ</w:t>
            </w:r>
          </w:p>
        </w:tc>
        <w:tc>
          <w:tcPr>
            <w:tcW w:w="2403" w:type="dxa"/>
            <w:vMerge/>
            <w:vAlign w:val="center"/>
          </w:tcPr>
          <w:p w14:paraId="79071775" w14:textId="77777777" w:rsidR="009C353B" w:rsidRDefault="009C353B">
            <w:pPr>
              <w:adjustRightInd w:val="0"/>
              <w:snapToGrid w:val="0"/>
              <w:jc w:val="center"/>
              <w:rPr>
                <w:rFonts w:ascii="Times New Roman" w:hAnsi="Times New Roman"/>
                <w:sz w:val="21"/>
                <w:szCs w:val="21"/>
                <w:lang w:val="zh-CN"/>
              </w:rPr>
            </w:pPr>
          </w:p>
        </w:tc>
      </w:tr>
      <w:tr w:rsidR="009C353B" w14:paraId="229903DB" w14:textId="77777777">
        <w:trPr>
          <w:trHeight w:val="340"/>
        </w:trPr>
        <w:tc>
          <w:tcPr>
            <w:tcW w:w="1696" w:type="dxa"/>
            <w:vMerge/>
            <w:vAlign w:val="center"/>
          </w:tcPr>
          <w:p w14:paraId="67BC56C7"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3F5A0D20"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2018</w:t>
            </w:r>
            <w:r>
              <w:rPr>
                <w:rFonts w:ascii="Times New Roman" w:hAnsi="Times New Roman"/>
                <w:sz w:val="21"/>
                <w:szCs w:val="21"/>
              </w:rPr>
              <w:t>年</w:t>
            </w:r>
            <w:r>
              <w:rPr>
                <w:rFonts w:ascii="Times New Roman" w:hAnsi="Times New Roman"/>
                <w:sz w:val="21"/>
                <w:szCs w:val="21"/>
              </w:rPr>
              <w:t>6</w:t>
            </w:r>
            <w:r>
              <w:rPr>
                <w:rFonts w:ascii="Times New Roman" w:hAnsi="Times New Roman"/>
                <w:sz w:val="21"/>
                <w:szCs w:val="21"/>
              </w:rPr>
              <w:t>月</w:t>
            </w:r>
          </w:p>
        </w:tc>
        <w:tc>
          <w:tcPr>
            <w:tcW w:w="1701" w:type="dxa"/>
            <w:vMerge/>
            <w:shd w:val="clear" w:color="auto" w:fill="auto"/>
            <w:vAlign w:val="center"/>
          </w:tcPr>
          <w:p w14:paraId="7CB64FA0"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7919A681"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6815ACF4" w14:textId="77777777" w:rsidR="009C353B" w:rsidRDefault="009C353B">
            <w:pPr>
              <w:adjustRightInd w:val="0"/>
              <w:snapToGrid w:val="0"/>
              <w:jc w:val="center"/>
              <w:rPr>
                <w:rFonts w:ascii="Times New Roman" w:hAnsi="Times New Roman"/>
                <w:sz w:val="21"/>
                <w:szCs w:val="21"/>
                <w:lang w:val="zh-CN"/>
              </w:rPr>
            </w:pPr>
          </w:p>
        </w:tc>
      </w:tr>
      <w:tr w:rsidR="009C353B" w14:paraId="01B2B6CF" w14:textId="77777777">
        <w:trPr>
          <w:trHeight w:val="340"/>
        </w:trPr>
        <w:tc>
          <w:tcPr>
            <w:tcW w:w="1696" w:type="dxa"/>
            <w:vMerge/>
            <w:vAlign w:val="center"/>
          </w:tcPr>
          <w:p w14:paraId="63359BA8"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1AA17797"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2018</w:t>
            </w:r>
            <w:r>
              <w:rPr>
                <w:rFonts w:ascii="Times New Roman" w:hAnsi="Times New Roman"/>
                <w:sz w:val="21"/>
                <w:szCs w:val="21"/>
              </w:rPr>
              <w:t>年</w:t>
            </w:r>
            <w:r>
              <w:rPr>
                <w:rFonts w:ascii="Times New Roman" w:hAnsi="Times New Roman"/>
                <w:sz w:val="21"/>
                <w:szCs w:val="21"/>
              </w:rPr>
              <w:t>7</w:t>
            </w:r>
            <w:r>
              <w:rPr>
                <w:rFonts w:ascii="Times New Roman" w:hAnsi="Times New Roman"/>
                <w:sz w:val="21"/>
                <w:szCs w:val="21"/>
              </w:rPr>
              <w:t>月</w:t>
            </w:r>
          </w:p>
        </w:tc>
        <w:tc>
          <w:tcPr>
            <w:tcW w:w="1701" w:type="dxa"/>
            <w:vMerge/>
            <w:shd w:val="clear" w:color="auto" w:fill="auto"/>
            <w:vAlign w:val="center"/>
          </w:tcPr>
          <w:p w14:paraId="3F75A37D"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1F0DBEC4"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Ⅲ</w:t>
            </w:r>
          </w:p>
        </w:tc>
        <w:tc>
          <w:tcPr>
            <w:tcW w:w="2403" w:type="dxa"/>
            <w:vMerge/>
            <w:vAlign w:val="center"/>
          </w:tcPr>
          <w:p w14:paraId="6D5C1C33" w14:textId="77777777" w:rsidR="009C353B" w:rsidRDefault="009C353B">
            <w:pPr>
              <w:adjustRightInd w:val="0"/>
              <w:snapToGrid w:val="0"/>
              <w:jc w:val="center"/>
              <w:rPr>
                <w:rFonts w:ascii="Times New Roman" w:hAnsi="Times New Roman"/>
                <w:sz w:val="21"/>
                <w:szCs w:val="21"/>
                <w:lang w:val="zh-CN"/>
              </w:rPr>
            </w:pPr>
          </w:p>
        </w:tc>
      </w:tr>
      <w:tr w:rsidR="009C353B" w14:paraId="77E71638" w14:textId="77777777">
        <w:trPr>
          <w:trHeight w:val="340"/>
        </w:trPr>
        <w:tc>
          <w:tcPr>
            <w:tcW w:w="1696" w:type="dxa"/>
            <w:vMerge/>
            <w:vAlign w:val="center"/>
          </w:tcPr>
          <w:p w14:paraId="401BD46D"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06B14068"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2018</w:t>
            </w:r>
            <w:r>
              <w:rPr>
                <w:rFonts w:ascii="Times New Roman" w:hAnsi="Times New Roman"/>
                <w:sz w:val="21"/>
                <w:szCs w:val="21"/>
              </w:rPr>
              <w:t>年</w:t>
            </w:r>
            <w:r>
              <w:rPr>
                <w:rFonts w:ascii="Times New Roman" w:hAnsi="Times New Roman"/>
                <w:sz w:val="21"/>
                <w:szCs w:val="21"/>
              </w:rPr>
              <w:t>8</w:t>
            </w:r>
            <w:r>
              <w:rPr>
                <w:rFonts w:ascii="Times New Roman" w:hAnsi="Times New Roman"/>
                <w:sz w:val="21"/>
                <w:szCs w:val="21"/>
              </w:rPr>
              <w:t>月</w:t>
            </w:r>
          </w:p>
        </w:tc>
        <w:tc>
          <w:tcPr>
            <w:tcW w:w="1701" w:type="dxa"/>
            <w:vMerge/>
            <w:shd w:val="clear" w:color="auto" w:fill="auto"/>
            <w:vAlign w:val="center"/>
          </w:tcPr>
          <w:p w14:paraId="590081FD"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0387A732"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Ⅲ</w:t>
            </w:r>
          </w:p>
        </w:tc>
        <w:tc>
          <w:tcPr>
            <w:tcW w:w="2403" w:type="dxa"/>
            <w:vMerge/>
            <w:vAlign w:val="center"/>
          </w:tcPr>
          <w:p w14:paraId="0625EC4E" w14:textId="77777777" w:rsidR="009C353B" w:rsidRDefault="009C353B">
            <w:pPr>
              <w:adjustRightInd w:val="0"/>
              <w:snapToGrid w:val="0"/>
              <w:jc w:val="center"/>
              <w:rPr>
                <w:rFonts w:ascii="Times New Roman" w:hAnsi="Times New Roman"/>
                <w:sz w:val="21"/>
                <w:szCs w:val="21"/>
                <w:lang w:val="zh-CN"/>
              </w:rPr>
            </w:pPr>
          </w:p>
        </w:tc>
      </w:tr>
      <w:tr w:rsidR="009C353B" w14:paraId="787C0ECD" w14:textId="77777777">
        <w:trPr>
          <w:trHeight w:val="340"/>
        </w:trPr>
        <w:tc>
          <w:tcPr>
            <w:tcW w:w="1696" w:type="dxa"/>
            <w:vMerge/>
            <w:vAlign w:val="center"/>
          </w:tcPr>
          <w:p w14:paraId="774C50C9"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45C42555"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2018</w:t>
            </w:r>
            <w:r>
              <w:rPr>
                <w:rFonts w:ascii="Times New Roman" w:hAnsi="Times New Roman"/>
                <w:sz w:val="21"/>
                <w:szCs w:val="21"/>
              </w:rPr>
              <w:t>年</w:t>
            </w:r>
            <w:r>
              <w:rPr>
                <w:rFonts w:ascii="Times New Roman" w:hAnsi="Times New Roman"/>
                <w:sz w:val="21"/>
                <w:szCs w:val="21"/>
              </w:rPr>
              <w:t>9</w:t>
            </w:r>
            <w:r>
              <w:rPr>
                <w:rFonts w:ascii="Times New Roman" w:hAnsi="Times New Roman"/>
                <w:sz w:val="21"/>
                <w:szCs w:val="21"/>
              </w:rPr>
              <w:t>月</w:t>
            </w:r>
          </w:p>
        </w:tc>
        <w:tc>
          <w:tcPr>
            <w:tcW w:w="1701" w:type="dxa"/>
            <w:vMerge/>
            <w:shd w:val="clear" w:color="auto" w:fill="auto"/>
            <w:vAlign w:val="center"/>
          </w:tcPr>
          <w:p w14:paraId="10D90087"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6FF5FBEE"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Ⅲ</w:t>
            </w:r>
          </w:p>
        </w:tc>
        <w:tc>
          <w:tcPr>
            <w:tcW w:w="2403" w:type="dxa"/>
            <w:vMerge/>
            <w:vAlign w:val="center"/>
          </w:tcPr>
          <w:p w14:paraId="4ACEBED7" w14:textId="77777777" w:rsidR="009C353B" w:rsidRDefault="009C353B">
            <w:pPr>
              <w:adjustRightInd w:val="0"/>
              <w:snapToGrid w:val="0"/>
              <w:jc w:val="center"/>
              <w:rPr>
                <w:rFonts w:ascii="Times New Roman" w:hAnsi="Times New Roman"/>
                <w:sz w:val="21"/>
                <w:szCs w:val="21"/>
                <w:lang w:val="zh-CN"/>
              </w:rPr>
            </w:pPr>
          </w:p>
        </w:tc>
      </w:tr>
      <w:tr w:rsidR="009C353B" w14:paraId="643C6C08" w14:textId="77777777">
        <w:trPr>
          <w:trHeight w:val="340"/>
        </w:trPr>
        <w:tc>
          <w:tcPr>
            <w:tcW w:w="1696" w:type="dxa"/>
            <w:vMerge/>
            <w:vAlign w:val="center"/>
          </w:tcPr>
          <w:p w14:paraId="4A50C05D"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16F08D39"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2018</w:t>
            </w:r>
            <w:r>
              <w:rPr>
                <w:rFonts w:ascii="Times New Roman" w:hAnsi="Times New Roman"/>
                <w:sz w:val="21"/>
                <w:szCs w:val="21"/>
              </w:rPr>
              <w:t>年</w:t>
            </w:r>
            <w:r>
              <w:rPr>
                <w:rFonts w:ascii="Times New Roman" w:hAnsi="Times New Roman"/>
                <w:sz w:val="21"/>
                <w:szCs w:val="21"/>
              </w:rPr>
              <w:t>10</w:t>
            </w:r>
            <w:r>
              <w:rPr>
                <w:rFonts w:ascii="Times New Roman" w:hAnsi="Times New Roman"/>
                <w:sz w:val="21"/>
                <w:szCs w:val="21"/>
              </w:rPr>
              <w:t>月</w:t>
            </w:r>
          </w:p>
        </w:tc>
        <w:tc>
          <w:tcPr>
            <w:tcW w:w="1701" w:type="dxa"/>
            <w:vMerge/>
            <w:shd w:val="clear" w:color="auto" w:fill="auto"/>
            <w:vAlign w:val="center"/>
          </w:tcPr>
          <w:p w14:paraId="25668A97"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69DF9640"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4193F575" w14:textId="77777777" w:rsidR="009C353B" w:rsidRDefault="009C353B">
            <w:pPr>
              <w:adjustRightInd w:val="0"/>
              <w:snapToGrid w:val="0"/>
              <w:jc w:val="center"/>
              <w:rPr>
                <w:rFonts w:ascii="Times New Roman" w:hAnsi="Times New Roman"/>
                <w:sz w:val="21"/>
                <w:szCs w:val="21"/>
                <w:lang w:val="zh-CN"/>
              </w:rPr>
            </w:pPr>
          </w:p>
        </w:tc>
      </w:tr>
      <w:tr w:rsidR="009C353B" w14:paraId="7A24E7B8" w14:textId="77777777">
        <w:trPr>
          <w:trHeight w:val="340"/>
        </w:trPr>
        <w:tc>
          <w:tcPr>
            <w:tcW w:w="1696" w:type="dxa"/>
            <w:vMerge/>
            <w:vAlign w:val="center"/>
          </w:tcPr>
          <w:p w14:paraId="7D0969A3"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6D268048"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2018</w:t>
            </w:r>
            <w:r>
              <w:rPr>
                <w:rFonts w:ascii="Times New Roman" w:hAnsi="Times New Roman"/>
                <w:sz w:val="21"/>
                <w:szCs w:val="21"/>
              </w:rPr>
              <w:t>年</w:t>
            </w:r>
            <w:r>
              <w:rPr>
                <w:rFonts w:ascii="Times New Roman" w:hAnsi="Times New Roman"/>
                <w:sz w:val="21"/>
                <w:szCs w:val="21"/>
              </w:rPr>
              <w:t>11</w:t>
            </w:r>
            <w:r>
              <w:rPr>
                <w:rFonts w:ascii="Times New Roman" w:hAnsi="Times New Roman"/>
                <w:sz w:val="21"/>
                <w:szCs w:val="21"/>
              </w:rPr>
              <w:t>月</w:t>
            </w:r>
          </w:p>
        </w:tc>
        <w:tc>
          <w:tcPr>
            <w:tcW w:w="1701" w:type="dxa"/>
            <w:vMerge/>
            <w:shd w:val="clear" w:color="auto" w:fill="auto"/>
            <w:vAlign w:val="center"/>
          </w:tcPr>
          <w:p w14:paraId="791443E9"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197E484B"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Ⅲ</w:t>
            </w:r>
          </w:p>
        </w:tc>
        <w:tc>
          <w:tcPr>
            <w:tcW w:w="2403" w:type="dxa"/>
            <w:vMerge/>
            <w:vAlign w:val="center"/>
          </w:tcPr>
          <w:p w14:paraId="1CA82876" w14:textId="77777777" w:rsidR="009C353B" w:rsidRDefault="009C353B">
            <w:pPr>
              <w:adjustRightInd w:val="0"/>
              <w:snapToGrid w:val="0"/>
              <w:jc w:val="center"/>
              <w:rPr>
                <w:rFonts w:ascii="Times New Roman" w:hAnsi="Times New Roman"/>
                <w:sz w:val="21"/>
                <w:szCs w:val="21"/>
                <w:lang w:val="zh-CN"/>
              </w:rPr>
            </w:pPr>
          </w:p>
        </w:tc>
      </w:tr>
      <w:tr w:rsidR="009C353B" w14:paraId="1BEAB70C" w14:textId="77777777">
        <w:trPr>
          <w:trHeight w:val="340"/>
        </w:trPr>
        <w:tc>
          <w:tcPr>
            <w:tcW w:w="1696" w:type="dxa"/>
            <w:vMerge/>
            <w:vAlign w:val="center"/>
          </w:tcPr>
          <w:p w14:paraId="74DA682A"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79DB09DE"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2018</w:t>
            </w:r>
            <w:r>
              <w:rPr>
                <w:rFonts w:ascii="Times New Roman" w:hAnsi="Times New Roman"/>
                <w:sz w:val="21"/>
                <w:szCs w:val="21"/>
              </w:rPr>
              <w:t>年</w:t>
            </w:r>
            <w:r>
              <w:rPr>
                <w:rFonts w:ascii="Times New Roman" w:hAnsi="Times New Roman"/>
                <w:sz w:val="21"/>
                <w:szCs w:val="21"/>
              </w:rPr>
              <w:t>12</w:t>
            </w:r>
            <w:r>
              <w:rPr>
                <w:rFonts w:ascii="Times New Roman" w:hAnsi="Times New Roman"/>
                <w:sz w:val="21"/>
                <w:szCs w:val="21"/>
              </w:rPr>
              <w:t>月</w:t>
            </w:r>
          </w:p>
        </w:tc>
        <w:tc>
          <w:tcPr>
            <w:tcW w:w="1701" w:type="dxa"/>
            <w:vMerge/>
            <w:shd w:val="clear" w:color="auto" w:fill="auto"/>
            <w:vAlign w:val="center"/>
          </w:tcPr>
          <w:p w14:paraId="6316782A"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700CE076"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Ⅲ</w:t>
            </w:r>
          </w:p>
        </w:tc>
        <w:tc>
          <w:tcPr>
            <w:tcW w:w="2403" w:type="dxa"/>
            <w:vMerge/>
            <w:vAlign w:val="center"/>
          </w:tcPr>
          <w:p w14:paraId="390BFCB6" w14:textId="77777777" w:rsidR="009C353B" w:rsidRDefault="009C353B">
            <w:pPr>
              <w:adjustRightInd w:val="0"/>
              <w:snapToGrid w:val="0"/>
              <w:jc w:val="center"/>
              <w:rPr>
                <w:rFonts w:ascii="Times New Roman" w:hAnsi="Times New Roman"/>
                <w:sz w:val="21"/>
                <w:szCs w:val="21"/>
                <w:lang w:val="zh-CN"/>
              </w:rPr>
            </w:pPr>
          </w:p>
        </w:tc>
      </w:tr>
      <w:tr w:rsidR="009C353B" w14:paraId="4BBCFA08" w14:textId="77777777">
        <w:trPr>
          <w:trHeight w:val="340"/>
        </w:trPr>
        <w:tc>
          <w:tcPr>
            <w:tcW w:w="1696" w:type="dxa"/>
            <w:vMerge/>
            <w:vAlign w:val="center"/>
          </w:tcPr>
          <w:p w14:paraId="167D148A"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5789A90E"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1</w:t>
            </w:r>
            <w:r>
              <w:rPr>
                <w:rFonts w:ascii="Times New Roman" w:hAnsi="Times New Roman"/>
                <w:sz w:val="21"/>
                <w:szCs w:val="21"/>
              </w:rPr>
              <w:t>月</w:t>
            </w:r>
          </w:p>
        </w:tc>
        <w:tc>
          <w:tcPr>
            <w:tcW w:w="1701" w:type="dxa"/>
            <w:vMerge/>
            <w:shd w:val="clear" w:color="auto" w:fill="auto"/>
            <w:vAlign w:val="center"/>
          </w:tcPr>
          <w:p w14:paraId="57275D65"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1C36C755"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7C89C0F9" w14:textId="77777777" w:rsidR="009C353B" w:rsidRDefault="009C353B">
            <w:pPr>
              <w:adjustRightInd w:val="0"/>
              <w:snapToGrid w:val="0"/>
              <w:jc w:val="center"/>
              <w:rPr>
                <w:rFonts w:ascii="Times New Roman" w:hAnsi="Times New Roman"/>
                <w:sz w:val="21"/>
                <w:szCs w:val="21"/>
                <w:lang w:val="zh-CN"/>
              </w:rPr>
            </w:pPr>
          </w:p>
        </w:tc>
      </w:tr>
      <w:tr w:rsidR="009C353B" w14:paraId="188B8D16" w14:textId="77777777">
        <w:trPr>
          <w:trHeight w:val="340"/>
        </w:trPr>
        <w:tc>
          <w:tcPr>
            <w:tcW w:w="1696" w:type="dxa"/>
            <w:vMerge/>
            <w:vAlign w:val="center"/>
          </w:tcPr>
          <w:p w14:paraId="2BD0DC33"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069C5B76"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2</w:t>
            </w:r>
            <w:r>
              <w:rPr>
                <w:rFonts w:ascii="Times New Roman" w:hAnsi="Times New Roman"/>
                <w:sz w:val="21"/>
                <w:szCs w:val="21"/>
              </w:rPr>
              <w:t>月</w:t>
            </w:r>
          </w:p>
        </w:tc>
        <w:tc>
          <w:tcPr>
            <w:tcW w:w="1701" w:type="dxa"/>
            <w:vMerge/>
            <w:shd w:val="clear" w:color="auto" w:fill="auto"/>
            <w:vAlign w:val="center"/>
          </w:tcPr>
          <w:p w14:paraId="376D638F"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7A91266F"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2D7C6716" w14:textId="77777777" w:rsidR="009C353B" w:rsidRDefault="009C353B">
            <w:pPr>
              <w:adjustRightInd w:val="0"/>
              <w:snapToGrid w:val="0"/>
              <w:jc w:val="center"/>
              <w:rPr>
                <w:rFonts w:ascii="Times New Roman" w:hAnsi="Times New Roman"/>
                <w:sz w:val="21"/>
                <w:szCs w:val="21"/>
                <w:lang w:val="zh-CN"/>
              </w:rPr>
            </w:pPr>
          </w:p>
        </w:tc>
      </w:tr>
      <w:tr w:rsidR="009C353B" w14:paraId="67BCB553" w14:textId="77777777">
        <w:trPr>
          <w:trHeight w:val="340"/>
        </w:trPr>
        <w:tc>
          <w:tcPr>
            <w:tcW w:w="1696" w:type="dxa"/>
            <w:vMerge/>
            <w:vAlign w:val="center"/>
          </w:tcPr>
          <w:p w14:paraId="3CB05384"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5380D694"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3</w:t>
            </w:r>
            <w:r>
              <w:rPr>
                <w:rFonts w:ascii="Times New Roman" w:hAnsi="Times New Roman"/>
                <w:sz w:val="21"/>
                <w:szCs w:val="21"/>
              </w:rPr>
              <w:t>月</w:t>
            </w:r>
          </w:p>
        </w:tc>
        <w:tc>
          <w:tcPr>
            <w:tcW w:w="1701" w:type="dxa"/>
            <w:vMerge/>
            <w:shd w:val="clear" w:color="auto" w:fill="auto"/>
            <w:vAlign w:val="center"/>
          </w:tcPr>
          <w:p w14:paraId="10B4CDA0"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03412F26"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76BA64DF" w14:textId="77777777" w:rsidR="009C353B" w:rsidRDefault="009C353B">
            <w:pPr>
              <w:adjustRightInd w:val="0"/>
              <w:snapToGrid w:val="0"/>
              <w:jc w:val="center"/>
              <w:rPr>
                <w:rFonts w:ascii="Times New Roman" w:hAnsi="Times New Roman"/>
                <w:sz w:val="21"/>
                <w:szCs w:val="21"/>
                <w:lang w:val="zh-CN"/>
              </w:rPr>
            </w:pPr>
          </w:p>
        </w:tc>
      </w:tr>
      <w:tr w:rsidR="009C353B" w14:paraId="30208C95" w14:textId="77777777">
        <w:trPr>
          <w:trHeight w:val="340"/>
        </w:trPr>
        <w:tc>
          <w:tcPr>
            <w:tcW w:w="1696" w:type="dxa"/>
            <w:vMerge/>
            <w:vAlign w:val="center"/>
          </w:tcPr>
          <w:p w14:paraId="4D851ABA"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065F28CA"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4</w:t>
            </w:r>
            <w:r>
              <w:rPr>
                <w:rFonts w:ascii="Times New Roman" w:hAnsi="Times New Roman"/>
                <w:sz w:val="21"/>
                <w:szCs w:val="21"/>
              </w:rPr>
              <w:t>月</w:t>
            </w:r>
          </w:p>
        </w:tc>
        <w:tc>
          <w:tcPr>
            <w:tcW w:w="1701" w:type="dxa"/>
            <w:vMerge/>
            <w:shd w:val="clear" w:color="auto" w:fill="auto"/>
            <w:vAlign w:val="center"/>
          </w:tcPr>
          <w:p w14:paraId="0BAC9159"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7650AD24"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100F258F" w14:textId="77777777" w:rsidR="009C353B" w:rsidRDefault="009C353B">
            <w:pPr>
              <w:adjustRightInd w:val="0"/>
              <w:snapToGrid w:val="0"/>
              <w:jc w:val="center"/>
              <w:rPr>
                <w:rFonts w:ascii="Times New Roman" w:hAnsi="Times New Roman"/>
                <w:sz w:val="21"/>
                <w:szCs w:val="21"/>
                <w:lang w:val="zh-CN"/>
              </w:rPr>
            </w:pPr>
          </w:p>
        </w:tc>
      </w:tr>
      <w:tr w:rsidR="009C353B" w14:paraId="35DB12F0" w14:textId="77777777">
        <w:trPr>
          <w:trHeight w:val="340"/>
        </w:trPr>
        <w:tc>
          <w:tcPr>
            <w:tcW w:w="1696" w:type="dxa"/>
            <w:vMerge/>
            <w:vAlign w:val="center"/>
          </w:tcPr>
          <w:p w14:paraId="6BBDFB5B"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7260B9FB"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5</w:t>
            </w:r>
            <w:r>
              <w:rPr>
                <w:rFonts w:ascii="Times New Roman" w:hAnsi="Times New Roman"/>
                <w:sz w:val="21"/>
                <w:szCs w:val="21"/>
              </w:rPr>
              <w:t>月</w:t>
            </w:r>
          </w:p>
        </w:tc>
        <w:tc>
          <w:tcPr>
            <w:tcW w:w="1701" w:type="dxa"/>
            <w:vMerge/>
            <w:shd w:val="clear" w:color="auto" w:fill="auto"/>
            <w:vAlign w:val="center"/>
          </w:tcPr>
          <w:p w14:paraId="03CBCFFE"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3CF6F5DA"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694276F9" w14:textId="77777777" w:rsidR="009C353B" w:rsidRDefault="009C353B">
            <w:pPr>
              <w:adjustRightInd w:val="0"/>
              <w:snapToGrid w:val="0"/>
              <w:jc w:val="center"/>
              <w:rPr>
                <w:rFonts w:ascii="Times New Roman" w:hAnsi="Times New Roman"/>
                <w:sz w:val="21"/>
                <w:szCs w:val="21"/>
                <w:lang w:val="zh-CN"/>
              </w:rPr>
            </w:pPr>
          </w:p>
        </w:tc>
      </w:tr>
      <w:tr w:rsidR="009C353B" w14:paraId="09F32D9B" w14:textId="77777777">
        <w:trPr>
          <w:trHeight w:val="340"/>
        </w:trPr>
        <w:tc>
          <w:tcPr>
            <w:tcW w:w="1696" w:type="dxa"/>
            <w:vMerge/>
            <w:vAlign w:val="center"/>
          </w:tcPr>
          <w:p w14:paraId="30724AEB"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2BB0E905"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6</w:t>
            </w:r>
            <w:r>
              <w:rPr>
                <w:rFonts w:ascii="Times New Roman" w:hAnsi="Times New Roman"/>
                <w:sz w:val="21"/>
                <w:szCs w:val="21"/>
              </w:rPr>
              <w:t>月</w:t>
            </w:r>
          </w:p>
        </w:tc>
        <w:tc>
          <w:tcPr>
            <w:tcW w:w="1701" w:type="dxa"/>
            <w:vMerge/>
            <w:shd w:val="clear" w:color="auto" w:fill="auto"/>
            <w:vAlign w:val="center"/>
          </w:tcPr>
          <w:p w14:paraId="3CE841E1"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35341F25"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2B9B9015" w14:textId="77777777" w:rsidR="009C353B" w:rsidRDefault="009C353B">
            <w:pPr>
              <w:adjustRightInd w:val="0"/>
              <w:snapToGrid w:val="0"/>
              <w:jc w:val="center"/>
              <w:rPr>
                <w:rFonts w:ascii="Times New Roman" w:hAnsi="Times New Roman"/>
                <w:sz w:val="21"/>
                <w:szCs w:val="21"/>
                <w:lang w:val="zh-CN"/>
              </w:rPr>
            </w:pPr>
          </w:p>
        </w:tc>
      </w:tr>
      <w:tr w:rsidR="009C353B" w14:paraId="6DDEE505" w14:textId="77777777">
        <w:trPr>
          <w:trHeight w:val="340"/>
        </w:trPr>
        <w:tc>
          <w:tcPr>
            <w:tcW w:w="1696" w:type="dxa"/>
            <w:vMerge/>
            <w:vAlign w:val="center"/>
          </w:tcPr>
          <w:p w14:paraId="51293AB8"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35BE9384"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7</w:t>
            </w:r>
            <w:r>
              <w:rPr>
                <w:rFonts w:ascii="Times New Roman" w:hAnsi="Times New Roman"/>
                <w:sz w:val="21"/>
                <w:szCs w:val="21"/>
              </w:rPr>
              <w:t>月</w:t>
            </w:r>
          </w:p>
        </w:tc>
        <w:tc>
          <w:tcPr>
            <w:tcW w:w="1701" w:type="dxa"/>
            <w:vMerge/>
            <w:shd w:val="clear" w:color="auto" w:fill="auto"/>
            <w:vAlign w:val="center"/>
          </w:tcPr>
          <w:p w14:paraId="6B2DED4B"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5BF534E1"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Ⅲ</w:t>
            </w:r>
          </w:p>
        </w:tc>
        <w:tc>
          <w:tcPr>
            <w:tcW w:w="2403" w:type="dxa"/>
            <w:vMerge/>
            <w:vAlign w:val="center"/>
          </w:tcPr>
          <w:p w14:paraId="68FA8576" w14:textId="77777777" w:rsidR="009C353B" w:rsidRDefault="009C353B">
            <w:pPr>
              <w:adjustRightInd w:val="0"/>
              <w:snapToGrid w:val="0"/>
              <w:jc w:val="center"/>
              <w:rPr>
                <w:rFonts w:ascii="Times New Roman" w:hAnsi="Times New Roman"/>
                <w:sz w:val="21"/>
                <w:szCs w:val="21"/>
                <w:lang w:val="zh-CN"/>
              </w:rPr>
            </w:pPr>
          </w:p>
        </w:tc>
      </w:tr>
      <w:tr w:rsidR="009C353B" w14:paraId="6E63697B" w14:textId="77777777">
        <w:trPr>
          <w:trHeight w:val="340"/>
        </w:trPr>
        <w:tc>
          <w:tcPr>
            <w:tcW w:w="1696" w:type="dxa"/>
            <w:vMerge/>
            <w:vAlign w:val="center"/>
          </w:tcPr>
          <w:p w14:paraId="1B04D2E6"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231B928E"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8</w:t>
            </w:r>
            <w:r>
              <w:rPr>
                <w:rFonts w:ascii="Times New Roman" w:hAnsi="Times New Roman"/>
                <w:sz w:val="21"/>
                <w:szCs w:val="21"/>
              </w:rPr>
              <w:t>月</w:t>
            </w:r>
          </w:p>
        </w:tc>
        <w:tc>
          <w:tcPr>
            <w:tcW w:w="1701" w:type="dxa"/>
            <w:vMerge/>
            <w:shd w:val="clear" w:color="auto" w:fill="auto"/>
            <w:vAlign w:val="center"/>
          </w:tcPr>
          <w:p w14:paraId="73D2129F"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5D215113"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623034B8" w14:textId="77777777" w:rsidR="009C353B" w:rsidRDefault="009C353B">
            <w:pPr>
              <w:adjustRightInd w:val="0"/>
              <w:snapToGrid w:val="0"/>
              <w:jc w:val="center"/>
              <w:rPr>
                <w:rFonts w:ascii="Times New Roman" w:hAnsi="Times New Roman"/>
                <w:sz w:val="21"/>
                <w:szCs w:val="21"/>
                <w:lang w:val="zh-CN"/>
              </w:rPr>
            </w:pPr>
          </w:p>
        </w:tc>
      </w:tr>
      <w:tr w:rsidR="009C353B" w14:paraId="31C0B409" w14:textId="77777777">
        <w:trPr>
          <w:trHeight w:val="340"/>
        </w:trPr>
        <w:tc>
          <w:tcPr>
            <w:tcW w:w="1696" w:type="dxa"/>
            <w:vMerge/>
            <w:vAlign w:val="center"/>
          </w:tcPr>
          <w:p w14:paraId="76D29070"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06FC032A"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9</w:t>
            </w:r>
            <w:r>
              <w:rPr>
                <w:rFonts w:ascii="Times New Roman" w:hAnsi="Times New Roman"/>
                <w:sz w:val="21"/>
                <w:szCs w:val="21"/>
              </w:rPr>
              <w:t>月</w:t>
            </w:r>
          </w:p>
        </w:tc>
        <w:tc>
          <w:tcPr>
            <w:tcW w:w="1701" w:type="dxa"/>
            <w:vMerge/>
            <w:shd w:val="clear" w:color="auto" w:fill="auto"/>
            <w:vAlign w:val="center"/>
          </w:tcPr>
          <w:p w14:paraId="0D121A15"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0A7F5779"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524B6724" w14:textId="77777777" w:rsidR="009C353B" w:rsidRDefault="009C353B">
            <w:pPr>
              <w:adjustRightInd w:val="0"/>
              <w:snapToGrid w:val="0"/>
              <w:jc w:val="center"/>
              <w:rPr>
                <w:rFonts w:ascii="Times New Roman" w:hAnsi="Times New Roman"/>
                <w:sz w:val="21"/>
                <w:szCs w:val="21"/>
                <w:lang w:val="zh-CN"/>
              </w:rPr>
            </w:pPr>
          </w:p>
        </w:tc>
      </w:tr>
      <w:tr w:rsidR="009C353B" w14:paraId="04BAE520" w14:textId="77777777">
        <w:trPr>
          <w:trHeight w:val="340"/>
        </w:trPr>
        <w:tc>
          <w:tcPr>
            <w:tcW w:w="1696" w:type="dxa"/>
            <w:vMerge/>
            <w:vAlign w:val="center"/>
          </w:tcPr>
          <w:p w14:paraId="48C77C95"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28034CA0"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10</w:t>
            </w:r>
            <w:r>
              <w:rPr>
                <w:rFonts w:ascii="Times New Roman" w:hAnsi="Times New Roman"/>
                <w:sz w:val="21"/>
                <w:szCs w:val="21"/>
              </w:rPr>
              <w:t>月</w:t>
            </w:r>
          </w:p>
        </w:tc>
        <w:tc>
          <w:tcPr>
            <w:tcW w:w="1701" w:type="dxa"/>
            <w:vMerge/>
            <w:shd w:val="clear" w:color="auto" w:fill="auto"/>
            <w:vAlign w:val="center"/>
          </w:tcPr>
          <w:p w14:paraId="219F7091"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7CAE275D"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40291FEF" w14:textId="77777777" w:rsidR="009C353B" w:rsidRDefault="009C353B">
            <w:pPr>
              <w:adjustRightInd w:val="0"/>
              <w:snapToGrid w:val="0"/>
              <w:jc w:val="center"/>
              <w:rPr>
                <w:rFonts w:ascii="Times New Roman" w:hAnsi="Times New Roman"/>
                <w:sz w:val="21"/>
                <w:szCs w:val="21"/>
                <w:lang w:val="zh-CN"/>
              </w:rPr>
            </w:pPr>
          </w:p>
        </w:tc>
      </w:tr>
      <w:tr w:rsidR="009C353B" w14:paraId="2542CC3E" w14:textId="77777777">
        <w:trPr>
          <w:trHeight w:val="340"/>
        </w:trPr>
        <w:tc>
          <w:tcPr>
            <w:tcW w:w="1696" w:type="dxa"/>
            <w:vMerge/>
            <w:vAlign w:val="center"/>
          </w:tcPr>
          <w:p w14:paraId="10F4B32D"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168A81D1"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11</w:t>
            </w:r>
            <w:r>
              <w:rPr>
                <w:rFonts w:ascii="Times New Roman" w:hAnsi="Times New Roman"/>
                <w:sz w:val="21"/>
                <w:szCs w:val="21"/>
              </w:rPr>
              <w:t>月</w:t>
            </w:r>
          </w:p>
        </w:tc>
        <w:tc>
          <w:tcPr>
            <w:tcW w:w="1701" w:type="dxa"/>
            <w:vMerge/>
            <w:shd w:val="clear" w:color="auto" w:fill="auto"/>
            <w:vAlign w:val="center"/>
          </w:tcPr>
          <w:p w14:paraId="5AA2F8CE"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392FD46C"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7AF5080D" w14:textId="77777777" w:rsidR="009C353B" w:rsidRDefault="009C353B">
            <w:pPr>
              <w:adjustRightInd w:val="0"/>
              <w:snapToGrid w:val="0"/>
              <w:jc w:val="center"/>
              <w:rPr>
                <w:rFonts w:ascii="Times New Roman" w:hAnsi="Times New Roman"/>
                <w:sz w:val="21"/>
                <w:szCs w:val="21"/>
                <w:lang w:val="zh-CN"/>
              </w:rPr>
            </w:pPr>
          </w:p>
        </w:tc>
      </w:tr>
      <w:tr w:rsidR="009C353B" w14:paraId="352587EA" w14:textId="77777777">
        <w:trPr>
          <w:trHeight w:val="340"/>
        </w:trPr>
        <w:tc>
          <w:tcPr>
            <w:tcW w:w="1696" w:type="dxa"/>
            <w:vMerge/>
            <w:vAlign w:val="center"/>
          </w:tcPr>
          <w:p w14:paraId="0EA22132"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7CE03741"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2019</w:t>
            </w:r>
            <w:r>
              <w:rPr>
                <w:rFonts w:ascii="Times New Roman" w:hAnsi="Times New Roman"/>
                <w:sz w:val="21"/>
                <w:szCs w:val="21"/>
              </w:rPr>
              <w:t>年</w:t>
            </w:r>
            <w:r>
              <w:rPr>
                <w:rFonts w:ascii="Times New Roman" w:hAnsi="Times New Roman"/>
                <w:sz w:val="21"/>
                <w:szCs w:val="21"/>
              </w:rPr>
              <w:t>12</w:t>
            </w:r>
            <w:r>
              <w:rPr>
                <w:rFonts w:ascii="Times New Roman" w:hAnsi="Times New Roman"/>
                <w:sz w:val="21"/>
                <w:szCs w:val="21"/>
              </w:rPr>
              <w:t>月</w:t>
            </w:r>
          </w:p>
        </w:tc>
        <w:tc>
          <w:tcPr>
            <w:tcW w:w="1701" w:type="dxa"/>
            <w:vMerge/>
            <w:shd w:val="clear" w:color="auto" w:fill="auto"/>
            <w:vAlign w:val="center"/>
          </w:tcPr>
          <w:p w14:paraId="40B4AC61"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6E45D123"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07752BFF" w14:textId="77777777" w:rsidR="009C353B" w:rsidRDefault="009C353B">
            <w:pPr>
              <w:adjustRightInd w:val="0"/>
              <w:snapToGrid w:val="0"/>
              <w:jc w:val="center"/>
              <w:rPr>
                <w:rFonts w:ascii="Times New Roman" w:hAnsi="Times New Roman"/>
                <w:sz w:val="21"/>
                <w:szCs w:val="21"/>
                <w:lang w:val="zh-CN"/>
              </w:rPr>
            </w:pPr>
          </w:p>
        </w:tc>
      </w:tr>
      <w:tr w:rsidR="009C353B" w14:paraId="05F649D0" w14:textId="77777777">
        <w:trPr>
          <w:trHeight w:val="340"/>
        </w:trPr>
        <w:tc>
          <w:tcPr>
            <w:tcW w:w="1696" w:type="dxa"/>
            <w:vMerge/>
            <w:vAlign w:val="center"/>
          </w:tcPr>
          <w:p w14:paraId="7BDBF146"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3FC3FF65"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2020</w:t>
            </w:r>
            <w:r>
              <w:rPr>
                <w:rFonts w:ascii="Times New Roman" w:hAnsi="Times New Roman"/>
                <w:sz w:val="21"/>
                <w:szCs w:val="21"/>
              </w:rPr>
              <w:t>年</w:t>
            </w:r>
            <w:r>
              <w:rPr>
                <w:rFonts w:ascii="Times New Roman" w:hAnsi="Times New Roman"/>
                <w:sz w:val="21"/>
                <w:szCs w:val="21"/>
              </w:rPr>
              <w:t>1</w:t>
            </w:r>
            <w:r>
              <w:rPr>
                <w:rFonts w:ascii="Times New Roman" w:hAnsi="Times New Roman"/>
                <w:sz w:val="21"/>
                <w:szCs w:val="21"/>
              </w:rPr>
              <w:t>月</w:t>
            </w:r>
          </w:p>
        </w:tc>
        <w:tc>
          <w:tcPr>
            <w:tcW w:w="1701" w:type="dxa"/>
            <w:vMerge/>
            <w:shd w:val="clear" w:color="auto" w:fill="auto"/>
            <w:vAlign w:val="center"/>
          </w:tcPr>
          <w:p w14:paraId="5D298DFF"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1E395458"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Ⅰ</w:t>
            </w:r>
          </w:p>
        </w:tc>
        <w:tc>
          <w:tcPr>
            <w:tcW w:w="2403" w:type="dxa"/>
            <w:vMerge/>
            <w:vAlign w:val="center"/>
          </w:tcPr>
          <w:p w14:paraId="18656C3E" w14:textId="77777777" w:rsidR="009C353B" w:rsidRDefault="009C353B">
            <w:pPr>
              <w:adjustRightInd w:val="0"/>
              <w:snapToGrid w:val="0"/>
              <w:jc w:val="center"/>
              <w:rPr>
                <w:rFonts w:ascii="Times New Roman" w:hAnsi="Times New Roman"/>
                <w:sz w:val="21"/>
                <w:szCs w:val="21"/>
                <w:lang w:val="zh-CN"/>
              </w:rPr>
            </w:pPr>
          </w:p>
        </w:tc>
      </w:tr>
      <w:tr w:rsidR="009C353B" w14:paraId="525F7CBA" w14:textId="77777777">
        <w:trPr>
          <w:trHeight w:val="340"/>
        </w:trPr>
        <w:tc>
          <w:tcPr>
            <w:tcW w:w="1696" w:type="dxa"/>
            <w:vMerge/>
            <w:vAlign w:val="center"/>
          </w:tcPr>
          <w:p w14:paraId="547A6862"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77035DCD"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2020</w:t>
            </w:r>
            <w:r>
              <w:rPr>
                <w:rFonts w:ascii="Times New Roman" w:hAnsi="Times New Roman"/>
                <w:sz w:val="21"/>
                <w:szCs w:val="21"/>
              </w:rPr>
              <w:t>年</w:t>
            </w:r>
            <w:r>
              <w:rPr>
                <w:rFonts w:ascii="Times New Roman" w:hAnsi="Times New Roman"/>
                <w:sz w:val="21"/>
                <w:szCs w:val="21"/>
              </w:rPr>
              <w:t>2</w:t>
            </w:r>
            <w:r>
              <w:rPr>
                <w:rFonts w:ascii="Times New Roman" w:hAnsi="Times New Roman"/>
                <w:sz w:val="21"/>
                <w:szCs w:val="21"/>
              </w:rPr>
              <w:t>月</w:t>
            </w:r>
          </w:p>
        </w:tc>
        <w:tc>
          <w:tcPr>
            <w:tcW w:w="1701" w:type="dxa"/>
            <w:vMerge/>
            <w:shd w:val="clear" w:color="auto" w:fill="auto"/>
            <w:vAlign w:val="center"/>
          </w:tcPr>
          <w:p w14:paraId="57327862"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46412BA1"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4D33AC22" w14:textId="77777777" w:rsidR="009C353B" w:rsidRDefault="009C353B">
            <w:pPr>
              <w:adjustRightInd w:val="0"/>
              <w:snapToGrid w:val="0"/>
              <w:jc w:val="center"/>
              <w:rPr>
                <w:rFonts w:ascii="Times New Roman" w:hAnsi="Times New Roman"/>
                <w:sz w:val="21"/>
                <w:szCs w:val="21"/>
                <w:lang w:val="zh-CN"/>
              </w:rPr>
            </w:pPr>
          </w:p>
        </w:tc>
      </w:tr>
      <w:tr w:rsidR="009C353B" w14:paraId="51DB38FF" w14:textId="77777777">
        <w:trPr>
          <w:trHeight w:val="340"/>
        </w:trPr>
        <w:tc>
          <w:tcPr>
            <w:tcW w:w="1696" w:type="dxa"/>
            <w:vMerge/>
            <w:vAlign w:val="center"/>
          </w:tcPr>
          <w:p w14:paraId="3440C662"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34077D23"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2020</w:t>
            </w:r>
            <w:r>
              <w:rPr>
                <w:rFonts w:ascii="Times New Roman" w:hAnsi="Times New Roman"/>
                <w:sz w:val="21"/>
                <w:szCs w:val="21"/>
              </w:rPr>
              <w:t>年</w:t>
            </w:r>
            <w:r>
              <w:rPr>
                <w:rFonts w:ascii="Times New Roman" w:hAnsi="Times New Roman"/>
                <w:sz w:val="21"/>
                <w:szCs w:val="21"/>
              </w:rPr>
              <w:t>3</w:t>
            </w:r>
            <w:r>
              <w:rPr>
                <w:rFonts w:ascii="Times New Roman" w:hAnsi="Times New Roman"/>
                <w:sz w:val="21"/>
                <w:szCs w:val="21"/>
              </w:rPr>
              <w:t>月</w:t>
            </w:r>
          </w:p>
        </w:tc>
        <w:tc>
          <w:tcPr>
            <w:tcW w:w="1701" w:type="dxa"/>
            <w:vMerge/>
            <w:shd w:val="clear" w:color="auto" w:fill="auto"/>
            <w:vAlign w:val="center"/>
          </w:tcPr>
          <w:p w14:paraId="1E5871E5"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42163149"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686DA837" w14:textId="77777777" w:rsidR="009C353B" w:rsidRDefault="009C353B">
            <w:pPr>
              <w:adjustRightInd w:val="0"/>
              <w:snapToGrid w:val="0"/>
              <w:jc w:val="center"/>
              <w:rPr>
                <w:rFonts w:ascii="Times New Roman" w:hAnsi="Times New Roman"/>
                <w:sz w:val="21"/>
                <w:szCs w:val="21"/>
                <w:lang w:val="zh-CN"/>
              </w:rPr>
            </w:pPr>
          </w:p>
        </w:tc>
      </w:tr>
      <w:tr w:rsidR="009C353B" w14:paraId="1F69F7A7" w14:textId="77777777">
        <w:trPr>
          <w:trHeight w:val="340"/>
        </w:trPr>
        <w:tc>
          <w:tcPr>
            <w:tcW w:w="1696" w:type="dxa"/>
            <w:vMerge/>
            <w:vAlign w:val="center"/>
          </w:tcPr>
          <w:p w14:paraId="62266181" w14:textId="77777777" w:rsidR="009C353B" w:rsidRDefault="009C353B">
            <w:pPr>
              <w:adjustRightInd w:val="0"/>
              <w:snapToGrid w:val="0"/>
              <w:jc w:val="center"/>
              <w:rPr>
                <w:rFonts w:ascii="Times New Roman" w:hAnsi="Times New Roman"/>
                <w:sz w:val="21"/>
                <w:szCs w:val="21"/>
                <w:lang w:val="zh-CN"/>
              </w:rPr>
            </w:pPr>
          </w:p>
        </w:tc>
        <w:tc>
          <w:tcPr>
            <w:tcW w:w="1985" w:type="dxa"/>
            <w:shd w:val="clear" w:color="000000" w:fill="FBFCFD"/>
            <w:vAlign w:val="center"/>
          </w:tcPr>
          <w:p w14:paraId="75778E04"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2020</w:t>
            </w:r>
            <w:r>
              <w:rPr>
                <w:rFonts w:ascii="Times New Roman" w:hAnsi="Times New Roman"/>
                <w:sz w:val="21"/>
                <w:szCs w:val="21"/>
              </w:rPr>
              <w:t>年</w:t>
            </w:r>
            <w:r>
              <w:rPr>
                <w:rFonts w:ascii="Times New Roman" w:hAnsi="Times New Roman"/>
                <w:sz w:val="21"/>
                <w:szCs w:val="21"/>
              </w:rPr>
              <w:t>4</w:t>
            </w:r>
            <w:r>
              <w:rPr>
                <w:rFonts w:ascii="Times New Roman" w:hAnsi="Times New Roman"/>
                <w:sz w:val="21"/>
                <w:szCs w:val="21"/>
              </w:rPr>
              <w:t>月</w:t>
            </w:r>
          </w:p>
        </w:tc>
        <w:tc>
          <w:tcPr>
            <w:tcW w:w="1701" w:type="dxa"/>
            <w:vMerge/>
            <w:shd w:val="clear" w:color="auto" w:fill="auto"/>
            <w:vAlign w:val="center"/>
          </w:tcPr>
          <w:p w14:paraId="06902ED6" w14:textId="77777777" w:rsidR="009C353B" w:rsidRDefault="009C353B">
            <w:pPr>
              <w:adjustRightInd w:val="0"/>
              <w:snapToGrid w:val="0"/>
              <w:jc w:val="center"/>
              <w:rPr>
                <w:rFonts w:ascii="Times New Roman" w:hAnsi="Times New Roman"/>
                <w:sz w:val="21"/>
                <w:szCs w:val="21"/>
                <w:lang w:val="zh-CN"/>
              </w:rPr>
            </w:pPr>
          </w:p>
        </w:tc>
        <w:tc>
          <w:tcPr>
            <w:tcW w:w="1276" w:type="dxa"/>
            <w:shd w:val="clear" w:color="auto" w:fill="auto"/>
            <w:vAlign w:val="center"/>
          </w:tcPr>
          <w:p w14:paraId="64617320" w14:textId="77777777" w:rsidR="009C353B" w:rsidRDefault="00000000">
            <w:pPr>
              <w:adjustRightInd w:val="0"/>
              <w:snapToGrid w:val="0"/>
              <w:jc w:val="center"/>
              <w:rPr>
                <w:rFonts w:ascii="Times New Roman" w:hAnsi="Times New Roman"/>
                <w:sz w:val="21"/>
                <w:szCs w:val="21"/>
                <w:lang w:val="zh-CN"/>
              </w:rPr>
            </w:pPr>
            <w:r>
              <w:rPr>
                <w:rFonts w:ascii="Times New Roman" w:hAnsi="Times New Roman"/>
                <w:sz w:val="21"/>
                <w:szCs w:val="21"/>
              </w:rPr>
              <w:t>Ⅱ</w:t>
            </w:r>
          </w:p>
        </w:tc>
        <w:tc>
          <w:tcPr>
            <w:tcW w:w="2403" w:type="dxa"/>
            <w:vMerge/>
            <w:vAlign w:val="center"/>
          </w:tcPr>
          <w:p w14:paraId="098A72FD" w14:textId="77777777" w:rsidR="009C353B" w:rsidRDefault="009C353B">
            <w:pPr>
              <w:adjustRightInd w:val="0"/>
              <w:snapToGrid w:val="0"/>
              <w:jc w:val="center"/>
              <w:rPr>
                <w:rFonts w:ascii="Times New Roman" w:hAnsi="Times New Roman"/>
                <w:sz w:val="21"/>
                <w:szCs w:val="21"/>
                <w:lang w:val="zh-CN"/>
              </w:rPr>
            </w:pPr>
          </w:p>
        </w:tc>
      </w:tr>
    </w:tbl>
    <w:p w14:paraId="3F4E8DCC" w14:textId="77777777" w:rsidR="009C353B" w:rsidRDefault="00000000">
      <w:pPr>
        <w:adjustRightInd w:val="0"/>
        <w:snapToGrid w:val="0"/>
        <w:spacing w:line="440" w:lineRule="exact"/>
        <w:ind w:firstLine="480"/>
        <w:rPr>
          <w:rFonts w:ascii="Times New Roman" w:hAnsi="Times New Roman"/>
          <w:szCs w:val="24"/>
          <w:lang w:val="zh-CN"/>
        </w:rPr>
      </w:pPr>
      <w:r>
        <w:rPr>
          <w:rFonts w:ascii="Times New Roman" w:hAnsi="Times New Roman" w:hint="eastAsia"/>
          <w:szCs w:val="24"/>
        </w:rPr>
        <w:t>由</w:t>
      </w:r>
      <w:r>
        <w:rPr>
          <w:rFonts w:ascii="Times New Roman" w:hAnsi="Times New Roman"/>
          <w:szCs w:val="24"/>
          <w:lang w:val="zh-CN"/>
        </w:rPr>
        <w:t>表</w:t>
      </w:r>
      <w:r>
        <w:rPr>
          <w:rFonts w:ascii="Times New Roman" w:hAnsi="Times New Roman"/>
          <w:szCs w:val="24"/>
          <w:lang w:val="zh-CN"/>
        </w:rPr>
        <w:t>4.3-</w:t>
      </w:r>
      <w:r>
        <w:rPr>
          <w:rFonts w:ascii="Times New Roman" w:hAnsi="Times New Roman" w:hint="eastAsia"/>
          <w:szCs w:val="24"/>
          <w:lang w:val="zh-CN"/>
        </w:rPr>
        <w:t>10</w:t>
      </w:r>
      <w:r>
        <w:rPr>
          <w:rFonts w:ascii="Times New Roman" w:hAnsi="Times New Roman" w:hint="eastAsia"/>
          <w:szCs w:val="24"/>
          <w:lang w:val="zh-CN"/>
        </w:rPr>
        <w:t>，根据《国网能源宁夏煤电有限公司甜水河矿井及选煤厂环境影响报告书》，</w:t>
      </w:r>
      <w:r>
        <w:rPr>
          <w:rFonts w:ascii="Times New Roman" w:hAnsi="Times New Roman"/>
          <w:szCs w:val="24"/>
          <w:lang w:val="zh-CN"/>
        </w:rPr>
        <w:t>2013</w:t>
      </w:r>
      <w:r>
        <w:rPr>
          <w:rFonts w:ascii="Times New Roman" w:hAnsi="Times New Roman"/>
          <w:szCs w:val="24"/>
          <w:lang w:val="zh-CN"/>
        </w:rPr>
        <w:t>年</w:t>
      </w:r>
      <w:r>
        <w:rPr>
          <w:rFonts w:ascii="Times New Roman" w:hAnsi="Times New Roman" w:hint="eastAsia"/>
          <w:szCs w:val="24"/>
          <w:lang w:val="zh-CN"/>
        </w:rPr>
        <w:t>鸭子荡水质类别监测结果为</w:t>
      </w:r>
      <w:r>
        <w:rPr>
          <w:rFonts w:ascii="Times New Roman" w:hAnsi="Times New Roman"/>
          <w:szCs w:val="24"/>
          <w:lang w:val="zh-CN"/>
        </w:rPr>
        <w:t>Ⅲ</w:t>
      </w:r>
      <w:r>
        <w:rPr>
          <w:rFonts w:ascii="Times New Roman" w:hAnsi="Times New Roman"/>
          <w:szCs w:val="24"/>
          <w:lang w:val="zh-CN"/>
        </w:rPr>
        <w:t>类</w:t>
      </w:r>
      <w:r>
        <w:rPr>
          <w:rFonts w:ascii="Times New Roman" w:hAnsi="Times New Roman" w:hint="eastAsia"/>
          <w:szCs w:val="24"/>
          <w:lang w:val="zh-CN"/>
        </w:rPr>
        <w:t>；根据《</w:t>
      </w:r>
      <w:r>
        <w:rPr>
          <w:rFonts w:ascii="Times New Roman" w:hAnsi="Times New Roman"/>
          <w:szCs w:val="24"/>
          <w:lang w:val="zh-CN"/>
        </w:rPr>
        <w:t>任家庄煤矿环境影响现状评估报告</w:t>
      </w:r>
      <w:r>
        <w:rPr>
          <w:rFonts w:ascii="Times New Roman" w:hAnsi="Times New Roman" w:hint="eastAsia"/>
          <w:szCs w:val="24"/>
          <w:lang w:val="zh-CN"/>
        </w:rPr>
        <w:t>》，</w:t>
      </w:r>
      <w:r>
        <w:rPr>
          <w:rFonts w:ascii="Times New Roman" w:hAnsi="Times New Roman"/>
          <w:szCs w:val="24"/>
          <w:lang w:val="zh-CN"/>
        </w:rPr>
        <w:t>2016</w:t>
      </w:r>
      <w:r>
        <w:rPr>
          <w:rFonts w:ascii="Times New Roman" w:hAnsi="Times New Roman"/>
          <w:szCs w:val="24"/>
          <w:lang w:val="zh-CN"/>
        </w:rPr>
        <w:t>年鸭子荡水库水质类别为</w:t>
      </w:r>
      <w:r>
        <w:rPr>
          <w:rFonts w:ascii="Times New Roman" w:hAnsi="Times New Roman"/>
          <w:szCs w:val="24"/>
          <w:lang w:val="zh-CN"/>
        </w:rPr>
        <w:t>Ⅲ</w:t>
      </w:r>
      <w:r>
        <w:rPr>
          <w:rFonts w:ascii="Times New Roman" w:hAnsi="Times New Roman"/>
          <w:szCs w:val="24"/>
          <w:lang w:val="zh-CN"/>
        </w:rPr>
        <w:t>类</w:t>
      </w:r>
      <w:r>
        <w:rPr>
          <w:rFonts w:ascii="Times New Roman" w:hAnsi="Times New Roman" w:hint="eastAsia"/>
          <w:szCs w:val="24"/>
          <w:lang w:val="zh-CN"/>
        </w:rPr>
        <w:t>；根据《宁夏回族自治区地表水环境质量状况月报》、宁东基地国控地表水断面鸭子荡水库采测数据，除总氮超标外，</w:t>
      </w:r>
      <w:r>
        <w:rPr>
          <w:rFonts w:ascii="Times New Roman" w:hAnsi="Times New Roman" w:hint="eastAsia"/>
          <w:szCs w:val="24"/>
          <w:lang w:val="zh-CN"/>
        </w:rPr>
        <w:t>2</w:t>
      </w:r>
      <w:r>
        <w:rPr>
          <w:rFonts w:ascii="Times New Roman" w:hAnsi="Times New Roman"/>
          <w:szCs w:val="24"/>
          <w:lang w:val="zh-CN"/>
        </w:rPr>
        <w:t>018</w:t>
      </w:r>
      <w:r>
        <w:rPr>
          <w:rFonts w:ascii="Times New Roman" w:hAnsi="Times New Roman" w:hint="eastAsia"/>
          <w:szCs w:val="24"/>
          <w:lang w:val="zh-CN"/>
        </w:rPr>
        <w:t>年</w:t>
      </w:r>
      <w:r>
        <w:rPr>
          <w:rFonts w:ascii="Times New Roman" w:hAnsi="Times New Roman" w:hint="eastAsia"/>
          <w:szCs w:val="24"/>
          <w:lang w:val="zh-CN"/>
        </w:rPr>
        <w:t>4</w:t>
      </w:r>
      <w:r>
        <w:rPr>
          <w:rFonts w:ascii="Times New Roman" w:hAnsi="Times New Roman" w:hint="eastAsia"/>
          <w:szCs w:val="24"/>
          <w:lang w:val="zh-CN"/>
        </w:rPr>
        <w:t>月</w:t>
      </w:r>
      <w:r>
        <w:rPr>
          <w:rFonts w:ascii="Times New Roman" w:hAnsi="Times New Roman" w:hint="eastAsia"/>
          <w:szCs w:val="24"/>
          <w:lang w:val="zh-CN"/>
        </w:rPr>
        <w:t>~ 2</w:t>
      </w:r>
      <w:r>
        <w:rPr>
          <w:rFonts w:ascii="Times New Roman" w:hAnsi="Times New Roman"/>
          <w:szCs w:val="24"/>
          <w:lang w:val="zh-CN"/>
        </w:rPr>
        <w:t>020</w:t>
      </w:r>
      <w:r>
        <w:rPr>
          <w:rFonts w:ascii="Times New Roman" w:hAnsi="Times New Roman" w:hint="eastAsia"/>
          <w:szCs w:val="24"/>
          <w:lang w:val="zh-CN"/>
        </w:rPr>
        <w:t>年</w:t>
      </w:r>
      <w:r>
        <w:rPr>
          <w:rFonts w:ascii="Times New Roman" w:hAnsi="Times New Roman" w:hint="eastAsia"/>
          <w:szCs w:val="24"/>
          <w:lang w:val="zh-CN"/>
        </w:rPr>
        <w:t>4</w:t>
      </w:r>
      <w:r>
        <w:rPr>
          <w:rFonts w:ascii="Times New Roman" w:hAnsi="Times New Roman" w:hint="eastAsia"/>
          <w:szCs w:val="24"/>
          <w:lang w:val="zh-CN"/>
        </w:rPr>
        <w:t>月其余指标为</w:t>
      </w:r>
      <w:r>
        <w:rPr>
          <w:rFonts w:ascii="Times New Roman" w:hAnsi="Times New Roman"/>
          <w:szCs w:val="24"/>
          <w:lang w:val="zh-CN"/>
        </w:rPr>
        <w:t>Ⅲ</w:t>
      </w:r>
      <w:r>
        <w:rPr>
          <w:rFonts w:ascii="Times New Roman" w:hAnsi="Times New Roman"/>
          <w:szCs w:val="24"/>
          <w:lang w:val="zh-CN"/>
        </w:rPr>
        <w:t>类</w:t>
      </w:r>
      <w:r>
        <w:rPr>
          <w:rFonts w:ascii="Times New Roman" w:hAnsi="Times New Roman" w:hint="eastAsia"/>
          <w:szCs w:val="24"/>
          <w:lang w:val="zh-CN"/>
        </w:rPr>
        <w:t>或优于</w:t>
      </w:r>
      <w:r>
        <w:rPr>
          <w:rFonts w:ascii="Times New Roman" w:hAnsi="Times New Roman"/>
          <w:szCs w:val="24"/>
          <w:lang w:val="zh-CN"/>
        </w:rPr>
        <w:t>Ⅲ</w:t>
      </w:r>
      <w:r>
        <w:rPr>
          <w:rFonts w:ascii="Times New Roman" w:hAnsi="Times New Roman"/>
          <w:szCs w:val="24"/>
          <w:lang w:val="zh-CN"/>
        </w:rPr>
        <w:t>类</w:t>
      </w:r>
      <w:r>
        <w:rPr>
          <w:rFonts w:ascii="Times New Roman" w:hAnsi="Times New Roman" w:hint="eastAsia"/>
          <w:szCs w:val="24"/>
          <w:lang w:val="zh-CN"/>
        </w:rPr>
        <w:t>：</w:t>
      </w:r>
      <w:r>
        <w:rPr>
          <w:rFonts w:ascii="Times New Roman" w:hAnsi="Times New Roman"/>
          <w:szCs w:val="24"/>
          <w:lang w:val="zh-CN"/>
        </w:rPr>
        <w:t>2018</w:t>
      </w:r>
      <w:r>
        <w:rPr>
          <w:rFonts w:ascii="Times New Roman" w:hAnsi="Times New Roman"/>
          <w:szCs w:val="24"/>
          <w:lang w:val="zh-CN"/>
        </w:rPr>
        <w:t>年</w:t>
      </w:r>
      <w:r>
        <w:rPr>
          <w:rFonts w:ascii="Times New Roman" w:hAnsi="Times New Roman"/>
          <w:szCs w:val="24"/>
          <w:lang w:val="zh-CN"/>
        </w:rPr>
        <w:t>4~12</w:t>
      </w:r>
      <w:r>
        <w:rPr>
          <w:rFonts w:ascii="Times New Roman" w:hAnsi="Times New Roman"/>
          <w:szCs w:val="24"/>
          <w:lang w:val="zh-CN"/>
        </w:rPr>
        <w:t>月多为</w:t>
      </w:r>
      <w:r>
        <w:rPr>
          <w:rFonts w:ascii="Times New Roman" w:hAnsi="Times New Roman"/>
          <w:szCs w:val="24"/>
          <w:lang w:val="zh-CN"/>
        </w:rPr>
        <w:t>Ⅲ</w:t>
      </w:r>
      <w:r>
        <w:rPr>
          <w:rFonts w:ascii="Times New Roman" w:hAnsi="Times New Roman"/>
          <w:szCs w:val="24"/>
          <w:lang w:val="zh-CN"/>
        </w:rPr>
        <w:t>类，</w:t>
      </w:r>
      <w:r>
        <w:rPr>
          <w:rFonts w:ascii="Times New Roman" w:hAnsi="Times New Roman"/>
          <w:szCs w:val="24"/>
          <w:lang w:val="zh-CN"/>
        </w:rPr>
        <w:t>6</w:t>
      </w:r>
      <w:r>
        <w:rPr>
          <w:rFonts w:ascii="Times New Roman" w:hAnsi="Times New Roman"/>
          <w:szCs w:val="24"/>
          <w:lang w:val="zh-CN"/>
        </w:rPr>
        <w:t>月、</w:t>
      </w:r>
      <w:r>
        <w:rPr>
          <w:rFonts w:ascii="Times New Roman" w:hAnsi="Times New Roman"/>
          <w:szCs w:val="24"/>
          <w:lang w:val="zh-CN"/>
        </w:rPr>
        <w:t>10</w:t>
      </w:r>
      <w:r>
        <w:rPr>
          <w:rFonts w:ascii="Times New Roman" w:hAnsi="Times New Roman"/>
          <w:szCs w:val="24"/>
          <w:lang w:val="zh-CN"/>
        </w:rPr>
        <w:t>月为</w:t>
      </w:r>
      <w:r>
        <w:rPr>
          <w:rFonts w:ascii="Times New Roman" w:hAnsi="Times New Roman"/>
          <w:szCs w:val="24"/>
          <w:lang w:val="zh-CN"/>
        </w:rPr>
        <w:t>Ⅱ</w:t>
      </w:r>
      <w:r>
        <w:rPr>
          <w:rFonts w:ascii="Times New Roman" w:hAnsi="Times New Roman"/>
          <w:szCs w:val="24"/>
          <w:lang w:val="zh-CN"/>
        </w:rPr>
        <w:t>类</w:t>
      </w:r>
      <w:r>
        <w:rPr>
          <w:rFonts w:ascii="Times New Roman" w:hAnsi="Times New Roman" w:hint="eastAsia"/>
          <w:szCs w:val="24"/>
          <w:lang w:val="zh-CN"/>
        </w:rPr>
        <w:t>；</w:t>
      </w:r>
      <w:r>
        <w:rPr>
          <w:rFonts w:ascii="Times New Roman" w:hAnsi="Times New Roman"/>
          <w:szCs w:val="24"/>
          <w:lang w:val="zh-CN"/>
        </w:rPr>
        <w:t>2019</w:t>
      </w:r>
      <w:r>
        <w:rPr>
          <w:rFonts w:ascii="Times New Roman" w:hAnsi="Times New Roman"/>
          <w:szCs w:val="24"/>
          <w:lang w:val="zh-CN"/>
        </w:rPr>
        <w:t>年</w:t>
      </w:r>
      <w:r>
        <w:rPr>
          <w:rFonts w:ascii="Times New Roman" w:hAnsi="Times New Roman"/>
          <w:szCs w:val="24"/>
          <w:lang w:val="zh-CN"/>
        </w:rPr>
        <w:t>1~12</w:t>
      </w:r>
      <w:r>
        <w:rPr>
          <w:rFonts w:ascii="Times New Roman" w:hAnsi="Times New Roman"/>
          <w:szCs w:val="24"/>
          <w:lang w:val="zh-CN"/>
        </w:rPr>
        <w:t>月，以</w:t>
      </w:r>
      <w:r>
        <w:rPr>
          <w:rFonts w:ascii="Times New Roman" w:hAnsi="Times New Roman"/>
          <w:szCs w:val="24"/>
          <w:lang w:val="zh-CN"/>
        </w:rPr>
        <w:t>Ⅱ</w:t>
      </w:r>
      <w:r>
        <w:rPr>
          <w:rFonts w:ascii="Times New Roman" w:hAnsi="Times New Roman"/>
          <w:szCs w:val="24"/>
          <w:lang w:val="zh-CN"/>
        </w:rPr>
        <w:t>类为主，仅</w:t>
      </w:r>
      <w:r>
        <w:rPr>
          <w:rFonts w:ascii="Times New Roman" w:hAnsi="Times New Roman"/>
          <w:szCs w:val="24"/>
          <w:lang w:val="zh-CN"/>
        </w:rPr>
        <w:t>7</w:t>
      </w:r>
      <w:r>
        <w:rPr>
          <w:rFonts w:ascii="Times New Roman" w:hAnsi="Times New Roman"/>
          <w:szCs w:val="24"/>
          <w:lang w:val="zh-CN"/>
        </w:rPr>
        <w:t>月为</w:t>
      </w:r>
      <w:r>
        <w:rPr>
          <w:rFonts w:ascii="Times New Roman" w:hAnsi="Times New Roman"/>
          <w:szCs w:val="24"/>
          <w:lang w:val="zh-CN"/>
        </w:rPr>
        <w:t>Ⅲ</w:t>
      </w:r>
      <w:r>
        <w:rPr>
          <w:rFonts w:ascii="Times New Roman" w:hAnsi="Times New Roman"/>
          <w:szCs w:val="24"/>
          <w:lang w:val="zh-CN"/>
        </w:rPr>
        <w:t>类</w:t>
      </w:r>
      <w:r>
        <w:rPr>
          <w:rFonts w:ascii="Times New Roman" w:hAnsi="Times New Roman" w:hint="eastAsia"/>
          <w:szCs w:val="24"/>
          <w:lang w:val="zh-CN"/>
        </w:rPr>
        <w:t>；</w:t>
      </w:r>
      <w:r>
        <w:rPr>
          <w:rFonts w:ascii="Times New Roman" w:hAnsi="Times New Roman"/>
          <w:szCs w:val="24"/>
          <w:lang w:val="zh-CN"/>
        </w:rPr>
        <w:t>2020</w:t>
      </w:r>
      <w:r>
        <w:rPr>
          <w:rFonts w:ascii="Times New Roman" w:hAnsi="Times New Roman"/>
          <w:szCs w:val="24"/>
          <w:lang w:val="zh-CN"/>
        </w:rPr>
        <w:t>年</w:t>
      </w:r>
      <w:r>
        <w:rPr>
          <w:rFonts w:ascii="Times New Roman" w:hAnsi="Times New Roman"/>
          <w:szCs w:val="24"/>
          <w:lang w:val="zh-CN"/>
        </w:rPr>
        <w:t>1~4</w:t>
      </w:r>
      <w:r>
        <w:rPr>
          <w:rFonts w:ascii="Times New Roman" w:hAnsi="Times New Roman"/>
          <w:szCs w:val="24"/>
          <w:lang w:val="zh-CN"/>
        </w:rPr>
        <w:t>月</w:t>
      </w:r>
      <w:r>
        <w:rPr>
          <w:rFonts w:ascii="Times New Roman" w:hAnsi="Times New Roman" w:hint="eastAsia"/>
          <w:szCs w:val="24"/>
          <w:lang w:val="zh-CN"/>
        </w:rPr>
        <w:t>为</w:t>
      </w:r>
      <w:r>
        <w:rPr>
          <w:rFonts w:ascii="Times New Roman" w:hAnsi="Times New Roman"/>
          <w:szCs w:val="24"/>
          <w:lang w:val="zh-CN"/>
        </w:rPr>
        <w:t>Ⅱ</w:t>
      </w:r>
      <w:r>
        <w:rPr>
          <w:rFonts w:ascii="Times New Roman" w:hAnsi="Times New Roman"/>
          <w:szCs w:val="24"/>
          <w:lang w:val="zh-CN"/>
        </w:rPr>
        <w:t>类</w:t>
      </w:r>
      <w:r>
        <w:rPr>
          <w:rFonts w:ascii="Times New Roman" w:hAnsi="Times New Roman" w:hint="eastAsia"/>
          <w:szCs w:val="24"/>
          <w:lang w:val="zh-CN"/>
        </w:rPr>
        <w:t>或优于</w:t>
      </w:r>
      <w:r>
        <w:rPr>
          <w:rFonts w:ascii="Times New Roman" w:hAnsi="Times New Roman"/>
          <w:szCs w:val="24"/>
          <w:lang w:val="zh-CN"/>
        </w:rPr>
        <w:t>Ⅱ</w:t>
      </w:r>
      <w:r>
        <w:rPr>
          <w:rFonts w:ascii="Times New Roman" w:hAnsi="Times New Roman"/>
          <w:szCs w:val="24"/>
          <w:lang w:val="zh-CN"/>
        </w:rPr>
        <w:t>类</w:t>
      </w:r>
      <w:r>
        <w:rPr>
          <w:rFonts w:ascii="Times New Roman" w:hAnsi="Times New Roman" w:hint="eastAsia"/>
          <w:szCs w:val="24"/>
          <w:lang w:val="zh-CN"/>
        </w:rPr>
        <w:t>。从水质变化趋势分析：除总氮外，</w:t>
      </w:r>
      <w:r>
        <w:rPr>
          <w:rFonts w:ascii="Times New Roman" w:hAnsi="Times New Roman"/>
          <w:szCs w:val="24"/>
          <w:lang w:val="zh-CN"/>
        </w:rPr>
        <w:t>鸭子荡水库水质</w:t>
      </w:r>
      <w:r>
        <w:rPr>
          <w:rFonts w:ascii="Times New Roman" w:hAnsi="Times New Roman" w:hint="eastAsia"/>
          <w:szCs w:val="24"/>
          <w:lang w:val="zh-CN"/>
        </w:rPr>
        <w:t>越来越好</w:t>
      </w:r>
      <w:r>
        <w:rPr>
          <w:rFonts w:ascii="Times New Roman" w:hAnsi="Times New Roman"/>
          <w:szCs w:val="24"/>
          <w:lang w:val="zh-CN"/>
        </w:rPr>
        <w:t>。</w:t>
      </w:r>
    </w:p>
    <w:p w14:paraId="43A29391" w14:textId="77777777" w:rsidR="009C353B" w:rsidRDefault="00000000">
      <w:pPr>
        <w:adjustRightInd w:val="0"/>
        <w:snapToGrid w:val="0"/>
        <w:spacing w:line="440" w:lineRule="exact"/>
        <w:ind w:firstLine="480"/>
        <w:rPr>
          <w:rFonts w:hint="eastAsia"/>
        </w:rPr>
      </w:pPr>
      <w:r>
        <w:rPr>
          <w:rFonts w:ascii="Times New Roman" w:hAnsi="Times New Roman" w:hint="eastAsia"/>
          <w:szCs w:val="24"/>
          <w:lang w:val="zh-CN"/>
        </w:rPr>
        <w:t>大河子沟、水洞沟及鸭子荡水库为矿区主要地表水体，现阶段红石湾污废水处理设施升级改造，产生的污废水进入矿井蓄水池暂存；马莲台、任家庄污废水处理设施处理效果良好，经处理后的污废水均全部回用不外排；规划丁家梁矿井污废水经处理后全部回用不外排。矿区污废水不外排，故不会对地表水产生不利影响，</w:t>
      </w:r>
      <w:r>
        <w:rPr>
          <w:rFonts w:hint="eastAsia"/>
        </w:rPr>
        <w:t>矿区开发与地表水污染无相关关系。</w:t>
      </w:r>
    </w:p>
    <w:p w14:paraId="4F03EDF4" w14:textId="77777777" w:rsidR="009C353B" w:rsidRDefault="009C353B">
      <w:pPr>
        <w:adjustRightInd w:val="0"/>
        <w:snapToGrid w:val="0"/>
        <w:spacing w:line="440" w:lineRule="exact"/>
        <w:ind w:firstLine="480"/>
        <w:jc w:val="center"/>
        <w:rPr>
          <w:rFonts w:ascii="Times New Roman" w:hAnsi="Times New Roman"/>
          <w:bCs/>
          <w:szCs w:val="24"/>
        </w:rPr>
      </w:pPr>
    </w:p>
    <w:p w14:paraId="64CC8008" w14:textId="77777777" w:rsidR="009C353B" w:rsidRDefault="009C353B">
      <w:pPr>
        <w:adjustRightInd w:val="0"/>
        <w:snapToGrid w:val="0"/>
        <w:spacing w:line="440" w:lineRule="exact"/>
        <w:rPr>
          <w:rFonts w:ascii="Times New Roman" w:hAnsi="Times New Roman"/>
          <w:szCs w:val="24"/>
        </w:rPr>
        <w:sectPr w:rsidR="009C353B">
          <w:headerReference w:type="default" r:id="rId325"/>
          <w:pgSz w:w="11907" w:h="16840"/>
          <w:pgMar w:top="1701" w:right="1418" w:bottom="1418" w:left="1418" w:header="1134" w:footer="851" w:gutter="0"/>
          <w:paperSrc w:first="7" w:other="7"/>
          <w:cols w:space="720"/>
          <w:docGrid w:linePitch="312"/>
        </w:sectPr>
      </w:pPr>
    </w:p>
    <w:p w14:paraId="14589D4F" w14:textId="77777777" w:rsidR="009C353B" w:rsidRDefault="00000000">
      <w:pPr>
        <w:pStyle w:val="4e"/>
        <w:adjustRightInd w:val="0"/>
        <w:snapToGrid w:val="0"/>
        <w:spacing w:before="0" w:after="0" w:line="440" w:lineRule="exact"/>
      </w:pPr>
      <w:r>
        <w:t>4.</w:t>
      </w:r>
      <w:r>
        <w:rPr>
          <w:rFonts w:hint="eastAsia"/>
        </w:rPr>
        <w:t>3.2.2</w:t>
      </w:r>
      <w:r>
        <w:t xml:space="preserve"> </w:t>
      </w:r>
      <w:r>
        <w:t>矿区地</w:t>
      </w:r>
      <w:r>
        <w:rPr>
          <w:rFonts w:hint="eastAsia"/>
        </w:rPr>
        <w:t>下水</w:t>
      </w:r>
      <w:r>
        <w:t>环境</w:t>
      </w:r>
      <w:r>
        <w:rPr>
          <w:rFonts w:hint="eastAsia"/>
        </w:rPr>
        <w:t>质量</w:t>
      </w:r>
      <w:r>
        <w:t>回顾评价</w:t>
      </w:r>
    </w:p>
    <w:p w14:paraId="2697907B" w14:textId="77777777" w:rsidR="009C353B" w:rsidRDefault="00000000">
      <w:pPr>
        <w:spacing w:line="440" w:lineRule="exact"/>
        <w:outlineLvl w:val="4"/>
        <w:rPr>
          <w:rFonts w:ascii="Times New Roman" w:hAnsi="Times New Roman"/>
          <w:b/>
          <w:bCs/>
          <w:szCs w:val="24"/>
        </w:rPr>
      </w:pPr>
      <w:r>
        <w:rPr>
          <w:rFonts w:ascii="Times New Roman" w:hAnsi="Times New Roman"/>
          <w:b/>
          <w:bCs/>
          <w:szCs w:val="24"/>
        </w:rPr>
        <w:t xml:space="preserve">4.3.2.2.1 </w:t>
      </w:r>
      <w:r>
        <w:rPr>
          <w:rFonts w:ascii="Times New Roman" w:hAnsi="Times New Roman"/>
          <w:b/>
          <w:bCs/>
          <w:szCs w:val="24"/>
        </w:rPr>
        <w:t>矿区地下水水质回顾性评价</w:t>
      </w:r>
    </w:p>
    <w:p w14:paraId="1F8E7BA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矿区所在区域水文地质分区不明显，地下水补给来源贫乏，岩层一般均属含水弱的或微弱的岩层，未发</w:t>
      </w:r>
      <w:bookmarkStart w:id="155" w:name="_Hlk48293864"/>
      <w:r>
        <w:rPr>
          <w:rFonts w:ascii="Times New Roman" w:hAnsi="Times New Roman"/>
          <w:szCs w:val="24"/>
        </w:rPr>
        <w:t>现导水断层，</w:t>
      </w:r>
      <w:bookmarkEnd w:id="155"/>
      <w:r>
        <w:rPr>
          <w:rFonts w:ascii="Times New Roman" w:hAnsi="Times New Roman"/>
          <w:szCs w:val="24"/>
        </w:rPr>
        <w:t>水文地质条件简单</w:t>
      </w:r>
      <w:r>
        <w:rPr>
          <w:rFonts w:ascii="Times New Roman" w:hAnsi="Times New Roman" w:hint="eastAsia"/>
          <w:szCs w:val="24"/>
        </w:rPr>
        <w:t>。</w:t>
      </w:r>
      <w:r>
        <w:rPr>
          <w:rFonts w:ascii="Times New Roman" w:hAnsi="Times New Roman"/>
          <w:szCs w:val="24"/>
        </w:rPr>
        <w:t>地下水受区域地质构造的影响，形成了东部低山丘陵地区和西部黄河冲洪积平原区。东部地区是地下水的补给区之一，但由于区内降水量很小，而蒸发量又很大，因而对地下水的补给很有限，不论是第四系松散含水层还是下伏基岩含水层其富水性均很弱，水质较差，含氟量普遍超标，矿化度一般大于</w:t>
      </w:r>
      <w:r>
        <w:rPr>
          <w:rFonts w:ascii="Times New Roman" w:hAnsi="Times New Roman"/>
          <w:szCs w:val="24"/>
        </w:rPr>
        <w:t>1g/l</w:t>
      </w:r>
      <w:r>
        <w:rPr>
          <w:rFonts w:ascii="Times New Roman" w:hAnsi="Times New Roman"/>
          <w:szCs w:val="24"/>
        </w:rPr>
        <w:t>。地下水开采主要集中在少数淡水富集带，但水资源量十分有限；台地上基岩裂隙水也有分布，但其埋深大，富水性弱，水质较差。</w:t>
      </w:r>
    </w:p>
    <w:p w14:paraId="382B7025" w14:textId="77777777" w:rsidR="009C353B" w:rsidRDefault="00000000">
      <w:pPr>
        <w:spacing w:line="440" w:lineRule="exact"/>
        <w:ind w:firstLine="480"/>
        <w:rPr>
          <w:rFonts w:ascii="Times New Roman" w:hAnsi="Times New Roman"/>
          <w:szCs w:val="24"/>
        </w:rPr>
      </w:pPr>
      <w:r>
        <w:rPr>
          <w:rFonts w:ascii="Times New Roman" w:hAnsi="Times New Roman"/>
          <w:szCs w:val="24"/>
        </w:rPr>
        <w:t>矿区任家庄、红石湾、马莲台矿井为已建矿井，本次规划环评对生产矿井地下水环境质量进行回顾性评价。主要参考</w:t>
      </w:r>
      <w:r>
        <w:rPr>
          <w:rFonts w:ascii="Times New Roman" w:hAnsi="Times New Roman"/>
          <w:szCs w:val="24"/>
        </w:rPr>
        <w:t>2004</w:t>
      </w:r>
      <w:r>
        <w:rPr>
          <w:rFonts w:ascii="Times New Roman" w:hAnsi="Times New Roman"/>
          <w:szCs w:val="24"/>
        </w:rPr>
        <w:t>年《宁夏煤业集团有限责任公司任家庄煤矿环评报告书》、</w:t>
      </w:r>
      <w:r>
        <w:rPr>
          <w:rFonts w:ascii="Times New Roman" w:hAnsi="Times New Roman"/>
          <w:szCs w:val="24"/>
        </w:rPr>
        <w:t>2008</w:t>
      </w:r>
      <w:r>
        <w:rPr>
          <w:rFonts w:ascii="Times New Roman" w:hAnsi="Times New Roman"/>
          <w:szCs w:val="24"/>
        </w:rPr>
        <w:t>年《任家庄煤矿建设工程环境保护验收调查报告》、</w:t>
      </w:r>
      <w:r>
        <w:rPr>
          <w:rFonts w:ascii="Times New Roman" w:hAnsi="Times New Roman" w:hint="eastAsia"/>
          <w:szCs w:val="24"/>
        </w:rPr>
        <w:t>2</w:t>
      </w:r>
      <w:r>
        <w:rPr>
          <w:rFonts w:ascii="Times New Roman" w:hAnsi="Times New Roman"/>
          <w:szCs w:val="24"/>
        </w:rPr>
        <w:t>016</w:t>
      </w:r>
      <w:r>
        <w:rPr>
          <w:rFonts w:ascii="Times New Roman" w:hAnsi="Times New Roman" w:hint="eastAsia"/>
          <w:szCs w:val="24"/>
        </w:rPr>
        <w:t>年《任家庄煤矿环境影响现状评估报告》、</w:t>
      </w:r>
      <w:r>
        <w:rPr>
          <w:rFonts w:ascii="Times New Roman" w:hAnsi="Times New Roman" w:hint="eastAsia"/>
          <w:szCs w:val="24"/>
        </w:rPr>
        <w:t>2016</w:t>
      </w:r>
      <w:r>
        <w:rPr>
          <w:rFonts w:ascii="Times New Roman" w:hAnsi="Times New Roman" w:hint="eastAsia"/>
          <w:szCs w:val="24"/>
        </w:rPr>
        <w:t>年《宁夏宝丰能源集团股份有限公司马莲台煤矿项目现状环境影响评估》、</w:t>
      </w:r>
      <w:r>
        <w:rPr>
          <w:rFonts w:ascii="Times New Roman" w:hAnsi="Times New Roman" w:hint="eastAsia"/>
          <w:szCs w:val="24"/>
        </w:rPr>
        <w:t>2020</w:t>
      </w:r>
      <w:r>
        <w:rPr>
          <w:rFonts w:ascii="Times New Roman" w:hAnsi="Times New Roman" w:hint="eastAsia"/>
          <w:szCs w:val="24"/>
        </w:rPr>
        <w:t>年《神华宁夏煤业集团红石湾煤矿生产能力核定项目环境影响报告书》</w:t>
      </w:r>
      <w:r>
        <w:rPr>
          <w:rFonts w:ascii="Times New Roman" w:hAnsi="Times New Roman"/>
          <w:szCs w:val="24"/>
        </w:rPr>
        <w:t>及马莲台竣工验收调查报告</w:t>
      </w:r>
      <w:r>
        <w:rPr>
          <w:rFonts w:ascii="Times New Roman" w:hAnsi="Times New Roman" w:hint="eastAsia"/>
          <w:szCs w:val="24"/>
        </w:rPr>
        <w:t>、附件及本次地下水水质现状监测结果等资料</w:t>
      </w:r>
      <w:r>
        <w:rPr>
          <w:rFonts w:ascii="Times New Roman" w:hAnsi="Times New Roman"/>
          <w:szCs w:val="24"/>
        </w:rPr>
        <w:t>对矿区地下水水质进行回顾性评价，监测点位</w:t>
      </w:r>
      <w:r>
        <w:rPr>
          <w:rFonts w:ascii="Times New Roman" w:hAnsi="Times New Roman" w:hint="eastAsia"/>
          <w:szCs w:val="24"/>
        </w:rPr>
        <w:t>、监测项目及</w:t>
      </w:r>
      <w:r>
        <w:rPr>
          <w:rFonts w:ascii="Times New Roman" w:hAnsi="Times New Roman"/>
          <w:szCs w:val="24"/>
        </w:rPr>
        <w:t>监测时间见表</w:t>
      </w:r>
      <w:r>
        <w:rPr>
          <w:rFonts w:ascii="Times New Roman" w:hAnsi="Times New Roman" w:hint="eastAsia"/>
          <w:szCs w:val="24"/>
        </w:rPr>
        <w:t>4</w:t>
      </w:r>
      <w:r>
        <w:rPr>
          <w:rFonts w:ascii="Times New Roman" w:hAnsi="Times New Roman"/>
          <w:szCs w:val="24"/>
        </w:rPr>
        <w:t>.3</w:t>
      </w:r>
      <w:r>
        <w:rPr>
          <w:rFonts w:ascii="Times New Roman" w:hAnsi="Times New Roman" w:hint="eastAsia"/>
          <w:szCs w:val="24"/>
        </w:rPr>
        <w:t>-11</w:t>
      </w:r>
      <w:r>
        <w:rPr>
          <w:rFonts w:ascii="Times New Roman" w:hAnsi="Times New Roman"/>
          <w:szCs w:val="24"/>
        </w:rPr>
        <w:t>，其监测</w:t>
      </w:r>
      <w:r>
        <w:rPr>
          <w:rFonts w:ascii="Times New Roman" w:hAnsi="Times New Roman" w:hint="eastAsia"/>
          <w:szCs w:val="24"/>
        </w:rPr>
        <w:t>结果</w:t>
      </w:r>
      <w:r>
        <w:rPr>
          <w:rFonts w:ascii="Times New Roman" w:hAnsi="Times New Roman"/>
          <w:szCs w:val="24"/>
        </w:rPr>
        <w:t>见表</w:t>
      </w:r>
      <w:r>
        <w:rPr>
          <w:rFonts w:ascii="Times New Roman" w:hAnsi="Times New Roman"/>
          <w:szCs w:val="24"/>
        </w:rPr>
        <w:t>4.3-1</w:t>
      </w:r>
      <w:r>
        <w:rPr>
          <w:rFonts w:ascii="Times New Roman" w:hAnsi="Times New Roman" w:hint="eastAsia"/>
          <w:szCs w:val="24"/>
        </w:rPr>
        <w:t>2~4.3-14</w:t>
      </w:r>
      <w:r>
        <w:rPr>
          <w:rFonts w:ascii="Times New Roman" w:hAnsi="Times New Roman"/>
          <w:szCs w:val="24"/>
        </w:rPr>
        <w:t>。</w:t>
      </w:r>
    </w:p>
    <w:p w14:paraId="7579FC2D" w14:textId="77777777" w:rsidR="009C353B" w:rsidRDefault="00000000">
      <w:pPr>
        <w:spacing w:line="440" w:lineRule="exact"/>
        <w:ind w:firstLine="480"/>
        <w:jc w:val="center"/>
        <w:rPr>
          <w:rFonts w:ascii="Times New Roman" w:hAnsi="Times New Roman"/>
          <w:b/>
          <w:bCs/>
          <w:szCs w:val="24"/>
        </w:rPr>
      </w:pPr>
      <w:r>
        <w:rPr>
          <w:rFonts w:ascii="Times New Roman" w:hAnsi="Times New Roman"/>
          <w:b/>
          <w:bCs/>
          <w:szCs w:val="24"/>
        </w:rPr>
        <w:t>监测点位</w:t>
      </w:r>
      <w:r>
        <w:rPr>
          <w:rFonts w:ascii="Times New Roman" w:hAnsi="Times New Roman" w:hint="eastAsia"/>
          <w:b/>
          <w:bCs/>
          <w:szCs w:val="24"/>
        </w:rPr>
        <w:t>、</w:t>
      </w:r>
      <w:r>
        <w:rPr>
          <w:rFonts w:ascii="Times New Roman" w:hAnsi="Times New Roman"/>
          <w:b/>
          <w:bCs/>
          <w:szCs w:val="24"/>
        </w:rPr>
        <w:t>监测时间</w:t>
      </w:r>
      <w:r>
        <w:rPr>
          <w:rFonts w:ascii="Times New Roman" w:hAnsi="Times New Roman" w:hint="eastAsia"/>
          <w:b/>
          <w:bCs/>
          <w:szCs w:val="24"/>
        </w:rPr>
        <w:t>及监测项目</w:t>
      </w:r>
    </w:p>
    <w:p w14:paraId="63CC4827" w14:textId="77777777" w:rsidR="009C353B" w:rsidRDefault="00000000">
      <w:pPr>
        <w:adjustRightInd w:val="0"/>
        <w:snapToGrid w:val="0"/>
        <w:spacing w:line="440" w:lineRule="exact"/>
        <w:ind w:firstLineChars="50" w:firstLine="120"/>
        <w:outlineLvl w:val="5"/>
        <w:rPr>
          <w:rFonts w:ascii="Times New Roman" w:hAnsi="Times New Roman"/>
          <w:szCs w:val="24"/>
        </w:rPr>
      </w:pPr>
      <w:r>
        <w:rPr>
          <w:rFonts w:ascii="Times New Roman" w:hAnsi="Times New Roman"/>
          <w:szCs w:val="24"/>
        </w:rPr>
        <w:t>表</w:t>
      </w:r>
      <w:r>
        <w:rPr>
          <w:rFonts w:ascii="Times New Roman" w:hAnsi="Times New Roman" w:hint="eastAsia"/>
          <w:szCs w:val="24"/>
        </w:rPr>
        <w:t>4</w:t>
      </w:r>
      <w:r>
        <w:rPr>
          <w:rFonts w:ascii="Times New Roman" w:hAnsi="Times New Roman"/>
          <w:szCs w:val="24"/>
        </w:rPr>
        <w:t>.3</w:t>
      </w:r>
      <w:r>
        <w:rPr>
          <w:rFonts w:ascii="Times New Roman" w:hAnsi="Times New Roman" w:hint="eastAsia"/>
          <w:szCs w:val="24"/>
        </w:rPr>
        <w:t>-</w:t>
      </w:r>
      <w:r>
        <w:rPr>
          <w:rFonts w:ascii="Times New Roman" w:hAnsi="Times New Roman"/>
          <w:szCs w:val="24"/>
        </w:rPr>
        <w:t>11</w:t>
      </w:r>
    </w:p>
    <w:tbl>
      <w:tblPr>
        <w:tblStyle w:val="afffffffffffffffffffffff6"/>
        <w:tblW w:w="4763" w:type="pct"/>
        <w:tblLook w:val="04A0" w:firstRow="1" w:lastRow="0" w:firstColumn="1" w:lastColumn="0" w:noHBand="0" w:noVBand="1"/>
      </w:tblPr>
      <w:tblGrid>
        <w:gridCol w:w="1141"/>
        <w:gridCol w:w="561"/>
        <w:gridCol w:w="862"/>
        <w:gridCol w:w="2005"/>
        <w:gridCol w:w="1205"/>
        <w:gridCol w:w="3073"/>
      </w:tblGrid>
      <w:tr w:rsidR="009C353B" w14:paraId="0952F097" w14:textId="77777777">
        <w:trPr>
          <w:trHeight w:val="340"/>
          <w:tblHeader/>
        </w:trPr>
        <w:tc>
          <w:tcPr>
            <w:tcW w:w="1114" w:type="dxa"/>
          </w:tcPr>
          <w:p w14:paraId="2EF8D91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数据来源</w:t>
            </w:r>
          </w:p>
        </w:tc>
        <w:tc>
          <w:tcPr>
            <w:tcW w:w="547" w:type="dxa"/>
            <w:noWrap/>
          </w:tcPr>
          <w:p w14:paraId="1BADD1F4" w14:textId="77777777" w:rsidR="009C353B" w:rsidRDefault="00000000">
            <w:pPr>
              <w:widowControl/>
              <w:jc w:val="center"/>
              <w:rPr>
                <w:rFonts w:ascii="Times New Roman" w:hAnsi="Times New Roman"/>
                <w:kern w:val="0"/>
                <w:sz w:val="21"/>
                <w:szCs w:val="21"/>
              </w:rPr>
            </w:pPr>
            <w:bookmarkStart w:id="156" w:name="_Hlk48152108"/>
            <w:r>
              <w:rPr>
                <w:rFonts w:ascii="Times New Roman" w:hAnsi="Times New Roman"/>
                <w:kern w:val="0"/>
                <w:sz w:val="21"/>
                <w:szCs w:val="21"/>
              </w:rPr>
              <w:t>名称</w:t>
            </w:r>
          </w:p>
        </w:tc>
        <w:tc>
          <w:tcPr>
            <w:tcW w:w="841" w:type="dxa"/>
            <w:noWrap/>
          </w:tcPr>
          <w:p w14:paraId="765C3BC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监测点</w:t>
            </w:r>
          </w:p>
        </w:tc>
        <w:tc>
          <w:tcPr>
            <w:tcW w:w="1956" w:type="dxa"/>
            <w:noWrap/>
          </w:tcPr>
          <w:p w14:paraId="4B6D4B3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位置</w:t>
            </w:r>
          </w:p>
        </w:tc>
        <w:tc>
          <w:tcPr>
            <w:tcW w:w="1176" w:type="dxa"/>
            <w:noWrap/>
          </w:tcPr>
          <w:p w14:paraId="3AEAFFE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监测时间</w:t>
            </w:r>
          </w:p>
        </w:tc>
        <w:tc>
          <w:tcPr>
            <w:tcW w:w="2998" w:type="dxa"/>
            <w:noWrap/>
          </w:tcPr>
          <w:p w14:paraId="64681DF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监测项目</w:t>
            </w:r>
          </w:p>
        </w:tc>
      </w:tr>
      <w:tr w:rsidR="009C353B" w14:paraId="50965A09" w14:textId="77777777">
        <w:trPr>
          <w:trHeight w:val="340"/>
          <w:tblHeader/>
        </w:trPr>
        <w:tc>
          <w:tcPr>
            <w:tcW w:w="1114" w:type="dxa"/>
            <w:vMerge w:val="restart"/>
          </w:tcPr>
          <w:p w14:paraId="4DE4927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历史</w:t>
            </w:r>
            <w:r>
              <w:rPr>
                <w:rFonts w:ascii="Times New Roman" w:hAnsi="Times New Roman"/>
                <w:kern w:val="0"/>
                <w:sz w:val="21"/>
                <w:szCs w:val="21"/>
              </w:rPr>
              <w:t>资料</w:t>
            </w:r>
          </w:p>
        </w:tc>
        <w:tc>
          <w:tcPr>
            <w:tcW w:w="547" w:type="dxa"/>
            <w:vMerge w:val="restart"/>
            <w:noWrap/>
          </w:tcPr>
          <w:p w14:paraId="54D4CA1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任家庄煤矿</w:t>
            </w:r>
          </w:p>
        </w:tc>
        <w:tc>
          <w:tcPr>
            <w:tcW w:w="841" w:type="dxa"/>
            <w:noWrap/>
          </w:tcPr>
          <w:p w14:paraId="025A61F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c>
          <w:tcPr>
            <w:tcW w:w="1956" w:type="dxa"/>
            <w:noWrap/>
          </w:tcPr>
          <w:p w14:paraId="606C6F9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沙沟西</w:t>
            </w:r>
            <w:r>
              <w:rPr>
                <w:rFonts w:ascii="Times New Roman" w:hAnsi="Times New Roman"/>
                <w:kern w:val="0"/>
                <w:sz w:val="21"/>
                <w:szCs w:val="21"/>
              </w:rPr>
              <w:t>1km</w:t>
            </w:r>
          </w:p>
        </w:tc>
        <w:tc>
          <w:tcPr>
            <w:tcW w:w="1176" w:type="dxa"/>
            <w:noWrap/>
          </w:tcPr>
          <w:p w14:paraId="3B018BD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2005/03</w:t>
            </w:r>
          </w:p>
        </w:tc>
        <w:tc>
          <w:tcPr>
            <w:tcW w:w="2998" w:type="dxa"/>
            <w:noWrap/>
          </w:tcPr>
          <w:p w14:paraId="455E6004"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pH</w:t>
            </w:r>
            <w:r>
              <w:rPr>
                <w:rFonts w:ascii="Times New Roman" w:hAnsi="Times New Roman"/>
                <w:kern w:val="0"/>
                <w:sz w:val="21"/>
                <w:szCs w:val="21"/>
              </w:rPr>
              <w:t>、硬度、溶解性总固体、高锰酸盐指数、氯化物、硫酸盐、氟化物</w:t>
            </w:r>
          </w:p>
        </w:tc>
      </w:tr>
      <w:tr w:rsidR="009C353B" w14:paraId="6C94931E" w14:textId="77777777">
        <w:trPr>
          <w:trHeight w:val="340"/>
          <w:tblHeader/>
        </w:trPr>
        <w:tc>
          <w:tcPr>
            <w:tcW w:w="1114" w:type="dxa"/>
            <w:vMerge/>
          </w:tcPr>
          <w:p w14:paraId="3308EA48" w14:textId="77777777" w:rsidR="009C353B" w:rsidRDefault="009C353B">
            <w:pPr>
              <w:widowControl/>
              <w:jc w:val="center"/>
              <w:rPr>
                <w:rFonts w:ascii="Times New Roman" w:hAnsi="Times New Roman"/>
                <w:kern w:val="0"/>
                <w:sz w:val="21"/>
                <w:szCs w:val="21"/>
              </w:rPr>
            </w:pPr>
          </w:p>
        </w:tc>
        <w:tc>
          <w:tcPr>
            <w:tcW w:w="547" w:type="dxa"/>
            <w:vMerge/>
            <w:noWrap/>
          </w:tcPr>
          <w:p w14:paraId="78108BEB" w14:textId="77777777" w:rsidR="009C353B" w:rsidRDefault="009C353B">
            <w:pPr>
              <w:widowControl/>
              <w:jc w:val="center"/>
              <w:rPr>
                <w:rFonts w:ascii="Times New Roman" w:hAnsi="Times New Roman"/>
                <w:kern w:val="0"/>
                <w:sz w:val="21"/>
                <w:szCs w:val="21"/>
              </w:rPr>
            </w:pPr>
          </w:p>
        </w:tc>
        <w:tc>
          <w:tcPr>
            <w:tcW w:w="841" w:type="dxa"/>
            <w:vMerge w:val="restart"/>
            <w:noWrap/>
          </w:tcPr>
          <w:p w14:paraId="2DD4A65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w:t>
            </w:r>
          </w:p>
        </w:tc>
        <w:tc>
          <w:tcPr>
            <w:tcW w:w="1956" w:type="dxa"/>
            <w:vMerge w:val="restart"/>
            <w:noWrap/>
          </w:tcPr>
          <w:p w14:paraId="51FD334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三道沟</w:t>
            </w:r>
          </w:p>
        </w:tc>
        <w:tc>
          <w:tcPr>
            <w:tcW w:w="1176" w:type="dxa"/>
            <w:noWrap/>
          </w:tcPr>
          <w:p w14:paraId="79A56AC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2005/03</w:t>
            </w:r>
          </w:p>
        </w:tc>
        <w:tc>
          <w:tcPr>
            <w:tcW w:w="2998" w:type="dxa"/>
            <w:noWrap/>
          </w:tcPr>
          <w:p w14:paraId="59FD7C40"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pH</w:t>
            </w:r>
            <w:r>
              <w:rPr>
                <w:rFonts w:ascii="Times New Roman" w:hAnsi="Times New Roman"/>
                <w:kern w:val="0"/>
                <w:sz w:val="21"/>
                <w:szCs w:val="21"/>
              </w:rPr>
              <w:t>、硬度、溶解性总固体、高锰酸盐指数、氯化物、硫酸盐、氟化物</w:t>
            </w:r>
          </w:p>
        </w:tc>
      </w:tr>
      <w:tr w:rsidR="009C353B" w14:paraId="71826A85" w14:textId="77777777">
        <w:trPr>
          <w:trHeight w:val="340"/>
          <w:tblHeader/>
        </w:trPr>
        <w:tc>
          <w:tcPr>
            <w:tcW w:w="1114" w:type="dxa"/>
            <w:vMerge/>
          </w:tcPr>
          <w:p w14:paraId="1ADCC702" w14:textId="77777777" w:rsidR="009C353B" w:rsidRDefault="009C353B">
            <w:pPr>
              <w:widowControl/>
              <w:jc w:val="center"/>
              <w:rPr>
                <w:rFonts w:ascii="Times New Roman" w:hAnsi="Times New Roman" w:cstheme="minorBidi"/>
                <w:kern w:val="0"/>
                <w:sz w:val="21"/>
                <w:szCs w:val="21"/>
              </w:rPr>
            </w:pPr>
          </w:p>
        </w:tc>
        <w:tc>
          <w:tcPr>
            <w:tcW w:w="547" w:type="dxa"/>
            <w:vMerge/>
            <w:noWrap/>
          </w:tcPr>
          <w:p w14:paraId="22CB5ACA" w14:textId="77777777" w:rsidR="009C353B" w:rsidRDefault="009C353B">
            <w:pPr>
              <w:widowControl/>
              <w:jc w:val="center"/>
              <w:rPr>
                <w:rFonts w:ascii="Times New Roman" w:hAnsi="Times New Roman" w:cstheme="minorBidi"/>
                <w:kern w:val="0"/>
                <w:sz w:val="21"/>
                <w:szCs w:val="21"/>
              </w:rPr>
            </w:pPr>
          </w:p>
        </w:tc>
        <w:tc>
          <w:tcPr>
            <w:tcW w:w="841" w:type="dxa"/>
            <w:vMerge/>
            <w:noWrap/>
          </w:tcPr>
          <w:p w14:paraId="6E66C0A9" w14:textId="77777777" w:rsidR="009C353B" w:rsidRDefault="009C353B">
            <w:pPr>
              <w:widowControl/>
              <w:jc w:val="center"/>
              <w:rPr>
                <w:rFonts w:ascii="Times New Roman" w:hAnsi="Times New Roman" w:cstheme="minorBidi"/>
                <w:kern w:val="0"/>
                <w:sz w:val="21"/>
                <w:szCs w:val="21"/>
              </w:rPr>
            </w:pPr>
          </w:p>
        </w:tc>
        <w:tc>
          <w:tcPr>
            <w:tcW w:w="1956" w:type="dxa"/>
            <w:vMerge/>
            <w:noWrap/>
          </w:tcPr>
          <w:p w14:paraId="76FA05F5" w14:textId="77777777" w:rsidR="009C353B" w:rsidRDefault="009C353B">
            <w:pPr>
              <w:widowControl/>
              <w:jc w:val="center"/>
              <w:rPr>
                <w:rFonts w:ascii="Times New Roman" w:hAnsi="Times New Roman" w:cstheme="minorBidi"/>
                <w:kern w:val="0"/>
                <w:sz w:val="21"/>
                <w:szCs w:val="21"/>
              </w:rPr>
            </w:pPr>
          </w:p>
        </w:tc>
        <w:tc>
          <w:tcPr>
            <w:tcW w:w="1176" w:type="dxa"/>
            <w:noWrap/>
          </w:tcPr>
          <w:p w14:paraId="70C37DDD" w14:textId="77777777" w:rsidR="009C353B" w:rsidRDefault="00000000">
            <w:pPr>
              <w:widowControl/>
              <w:jc w:val="center"/>
              <w:rPr>
                <w:rFonts w:ascii="Times New Roman" w:hAnsi="Times New Roman" w:cstheme="minorBidi"/>
                <w:kern w:val="0"/>
                <w:sz w:val="21"/>
                <w:szCs w:val="21"/>
              </w:rPr>
            </w:pPr>
            <w:r>
              <w:rPr>
                <w:rFonts w:ascii="Times New Roman" w:hAnsi="Times New Roman" w:cstheme="minorBidi" w:hint="eastAsia"/>
                <w:kern w:val="0"/>
                <w:sz w:val="21"/>
                <w:szCs w:val="21"/>
              </w:rPr>
              <w:t>2008/11</w:t>
            </w:r>
          </w:p>
        </w:tc>
        <w:tc>
          <w:tcPr>
            <w:tcW w:w="2998" w:type="dxa"/>
            <w:noWrap/>
          </w:tcPr>
          <w:p w14:paraId="16C07CDA" w14:textId="77777777" w:rsidR="009C353B" w:rsidRDefault="00000000">
            <w:pPr>
              <w:widowControl/>
              <w:rPr>
                <w:rFonts w:ascii="Times New Roman" w:hAnsi="Times New Roman" w:cstheme="minorBidi"/>
                <w:kern w:val="0"/>
                <w:sz w:val="21"/>
                <w:szCs w:val="21"/>
              </w:rPr>
            </w:pPr>
            <w:r>
              <w:rPr>
                <w:rFonts w:ascii="Times New Roman" w:hAnsi="Times New Roman"/>
                <w:kern w:val="0"/>
                <w:sz w:val="21"/>
                <w:szCs w:val="21"/>
              </w:rPr>
              <w:t>pH</w:t>
            </w:r>
            <w:r>
              <w:rPr>
                <w:rFonts w:ascii="Times New Roman" w:hAnsi="Times New Roman"/>
                <w:kern w:val="0"/>
                <w:sz w:val="21"/>
                <w:szCs w:val="21"/>
              </w:rPr>
              <w:t>、总硬度、溶解性总固体、浊度、挥发酚、亚硝酸盐氮、氟化物、砷、铁、锰、铜、总大肠菌群（个</w:t>
            </w:r>
            <w:r>
              <w:rPr>
                <w:rFonts w:ascii="Times New Roman" w:hAnsi="Times New Roman"/>
                <w:kern w:val="0"/>
                <w:sz w:val="21"/>
                <w:szCs w:val="21"/>
              </w:rPr>
              <w:t>/L</w:t>
            </w:r>
            <w:r>
              <w:rPr>
                <w:rFonts w:ascii="Times New Roman" w:hAnsi="Times New Roman"/>
                <w:kern w:val="0"/>
                <w:sz w:val="21"/>
                <w:szCs w:val="21"/>
              </w:rPr>
              <w:t>）、细菌总数（个</w:t>
            </w:r>
            <w:r>
              <w:rPr>
                <w:rFonts w:ascii="Times New Roman" w:hAnsi="Times New Roman"/>
                <w:kern w:val="0"/>
                <w:sz w:val="21"/>
                <w:szCs w:val="21"/>
              </w:rPr>
              <w:t>/ml</w:t>
            </w:r>
            <w:r>
              <w:rPr>
                <w:rFonts w:ascii="Times New Roman" w:hAnsi="Times New Roman"/>
                <w:kern w:val="0"/>
                <w:sz w:val="21"/>
                <w:szCs w:val="21"/>
              </w:rPr>
              <w:t>）</w:t>
            </w:r>
          </w:p>
        </w:tc>
      </w:tr>
      <w:tr w:rsidR="009C353B" w14:paraId="346EBEAC" w14:textId="77777777">
        <w:trPr>
          <w:trHeight w:val="340"/>
          <w:tblHeader/>
        </w:trPr>
        <w:tc>
          <w:tcPr>
            <w:tcW w:w="1114" w:type="dxa"/>
            <w:vMerge/>
          </w:tcPr>
          <w:p w14:paraId="333D5A6A" w14:textId="77777777" w:rsidR="009C353B" w:rsidRDefault="009C353B">
            <w:pPr>
              <w:widowControl/>
              <w:jc w:val="center"/>
              <w:rPr>
                <w:rFonts w:ascii="Times New Roman" w:hAnsi="Times New Roman"/>
                <w:kern w:val="0"/>
                <w:sz w:val="21"/>
                <w:szCs w:val="21"/>
              </w:rPr>
            </w:pPr>
          </w:p>
        </w:tc>
        <w:tc>
          <w:tcPr>
            <w:tcW w:w="547" w:type="dxa"/>
            <w:vMerge/>
            <w:noWrap/>
          </w:tcPr>
          <w:p w14:paraId="53C27623" w14:textId="77777777" w:rsidR="009C353B" w:rsidRDefault="009C353B">
            <w:pPr>
              <w:widowControl/>
              <w:jc w:val="center"/>
              <w:rPr>
                <w:rFonts w:ascii="Times New Roman" w:hAnsi="Times New Roman"/>
                <w:kern w:val="0"/>
                <w:sz w:val="21"/>
                <w:szCs w:val="21"/>
              </w:rPr>
            </w:pPr>
          </w:p>
        </w:tc>
        <w:tc>
          <w:tcPr>
            <w:tcW w:w="841" w:type="dxa"/>
            <w:noWrap/>
          </w:tcPr>
          <w:p w14:paraId="663B108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p>
        </w:tc>
        <w:tc>
          <w:tcPr>
            <w:tcW w:w="1956" w:type="dxa"/>
            <w:noWrap/>
          </w:tcPr>
          <w:p w14:paraId="02F6EA6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LH02</w:t>
            </w:r>
          </w:p>
        </w:tc>
        <w:tc>
          <w:tcPr>
            <w:tcW w:w="1176" w:type="dxa"/>
            <w:vMerge w:val="restart"/>
            <w:noWrap/>
          </w:tcPr>
          <w:p w14:paraId="558A806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2015/12/</w:t>
            </w:r>
            <w:r>
              <w:rPr>
                <w:rFonts w:ascii="Times New Roman" w:hAnsi="Times New Roman" w:hint="eastAsia"/>
                <w:kern w:val="0"/>
                <w:sz w:val="21"/>
                <w:szCs w:val="21"/>
              </w:rPr>
              <w:t>26</w:t>
            </w:r>
          </w:p>
        </w:tc>
        <w:tc>
          <w:tcPr>
            <w:tcW w:w="2998" w:type="dxa"/>
            <w:vMerge w:val="restart"/>
            <w:noWrap/>
          </w:tcPr>
          <w:p w14:paraId="3D6DB2BD" w14:textId="77777777" w:rsidR="009C353B" w:rsidRDefault="00000000">
            <w:pPr>
              <w:rPr>
                <w:rFonts w:ascii="Times New Roman" w:hAnsi="Times New Roman"/>
                <w:kern w:val="0"/>
                <w:sz w:val="21"/>
                <w:szCs w:val="21"/>
              </w:rPr>
            </w:pPr>
            <w:r>
              <w:rPr>
                <w:rFonts w:ascii="Times New Roman" w:hAnsi="Times New Roman"/>
                <w:kern w:val="0"/>
                <w:sz w:val="21"/>
                <w:szCs w:val="21"/>
              </w:rPr>
              <w:t>pH</w:t>
            </w:r>
            <w:r>
              <w:rPr>
                <w:rFonts w:ascii="Times New Roman" w:hAnsi="Times New Roman"/>
                <w:kern w:val="0"/>
                <w:sz w:val="21"/>
                <w:szCs w:val="21"/>
              </w:rPr>
              <w:t>、高锰酸盐指数、氨氮、硝酸盐、亚硝酸盐、总硬度、溶解性总固体、硫酸盐、氯化物、硫化物、氟化物、石油类、汞、砷、挥发酚</w:t>
            </w:r>
          </w:p>
        </w:tc>
      </w:tr>
      <w:tr w:rsidR="009C353B" w14:paraId="5DC0785C" w14:textId="77777777">
        <w:trPr>
          <w:trHeight w:val="340"/>
          <w:tblHeader/>
        </w:trPr>
        <w:tc>
          <w:tcPr>
            <w:tcW w:w="1114" w:type="dxa"/>
            <w:vMerge/>
          </w:tcPr>
          <w:p w14:paraId="1795A74D" w14:textId="77777777" w:rsidR="009C353B" w:rsidRDefault="009C353B">
            <w:pPr>
              <w:widowControl/>
              <w:jc w:val="center"/>
              <w:rPr>
                <w:rFonts w:ascii="Times New Roman" w:hAnsi="Times New Roman"/>
                <w:kern w:val="0"/>
                <w:sz w:val="21"/>
                <w:szCs w:val="21"/>
              </w:rPr>
            </w:pPr>
          </w:p>
        </w:tc>
        <w:tc>
          <w:tcPr>
            <w:tcW w:w="547" w:type="dxa"/>
            <w:vMerge/>
            <w:noWrap/>
          </w:tcPr>
          <w:p w14:paraId="633FEE24" w14:textId="77777777" w:rsidR="009C353B" w:rsidRDefault="009C353B">
            <w:pPr>
              <w:widowControl/>
              <w:jc w:val="center"/>
              <w:rPr>
                <w:rFonts w:ascii="Times New Roman" w:hAnsi="Times New Roman"/>
                <w:kern w:val="0"/>
                <w:sz w:val="21"/>
                <w:szCs w:val="21"/>
              </w:rPr>
            </w:pPr>
          </w:p>
        </w:tc>
        <w:tc>
          <w:tcPr>
            <w:tcW w:w="841" w:type="dxa"/>
            <w:noWrap/>
          </w:tcPr>
          <w:p w14:paraId="269FCB9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w:t>
            </w:r>
          </w:p>
        </w:tc>
        <w:tc>
          <w:tcPr>
            <w:tcW w:w="1956" w:type="dxa"/>
            <w:noWrap/>
          </w:tcPr>
          <w:p w14:paraId="5B5365D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LH08</w:t>
            </w:r>
          </w:p>
        </w:tc>
        <w:tc>
          <w:tcPr>
            <w:tcW w:w="1176" w:type="dxa"/>
            <w:vMerge/>
            <w:noWrap/>
          </w:tcPr>
          <w:p w14:paraId="29776D42" w14:textId="77777777" w:rsidR="009C353B" w:rsidRDefault="009C353B">
            <w:pPr>
              <w:widowControl/>
              <w:jc w:val="center"/>
              <w:rPr>
                <w:rFonts w:ascii="Times New Roman" w:hAnsi="Times New Roman"/>
                <w:kern w:val="0"/>
                <w:sz w:val="21"/>
                <w:szCs w:val="21"/>
              </w:rPr>
            </w:pPr>
          </w:p>
        </w:tc>
        <w:tc>
          <w:tcPr>
            <w:tcW w:w="2998" w:type="dxa"/>
            <w:vMerge/>
            <w:noWrap/>
          </w:tcPr>
          <w:p w14:paraId="65A749A0" w14:textId="77777777" w:rsidR="009C353B" w:rsidRDefault="009C353B">
            <w:pPr>
              <w:jc w:val="center"/>
              <w:rPr>
                <w:rFonts w:ascii="Times New Roman" w:hAnsi="Times New Roman"/>
                <w:kern w:val="0"/>
                <w:sz w:val="21"/>
                <w:szCs w:val="21"/>
              </w:rPr>
            </w:pPr>
          </w:p>
        </w:tc>
      </w:tr>
      <w:tr w:rsidR="009C353B" w14:paraId="4B53B973" w14:textId="77777777">
        <w:trPr>
          <w:trHeight w:val="340"/>
          <w:tblHeader/>
        </w:trPr>
        <w:tc>
          <w:tcPr>
            <w:tcW w:w="1114" w:type="dxa"/>
            <w:vMerge/>
          </w:tcPr>
          <w:p w14:paraId="3BD63737" w14:textId="77777777" w:rsidR="009C353B" w:rsidRDefault="009C353B">
            <w:pPr>
              <w:widowControl/>
              <w:jc w:val="center"/>
              <w:rPr>
                <w:rFonts w:ascii="Times New Roman" w:hAnsi="Times New Roman"/>
                <w:kern w:val="0"/>
                <w:sz w:val="21"/>
                <w:szCs w:val="21"/>
              </w:rPr>
            </w:pPr>
          </w:p>
        </w:tc>
        <w:tc>
          <w:tcPr>
            <w:tcW w:w="547" w:type="dxa"/>
            <w:vMerge/>
            <w:noWrap/>
          </w:tcPr>
          <w:p w14:paraId="241111FF" w14:textId="77777777" w:rsidR="009C353B" w:rsidRDefault="009C353B">
            <w:pPr>
              <w:widowControl/>
              <w:jc w:val="center"/>
              <w:rPr>
                <w:rFonts w:ascii="Times New Roman" w:hAnsi="Times New Roman"/>
                <w:kern w:val="0"/>
                <w:sz w:val="21"/>
                <w:szCs w:val="21"/>
              </w:rPr>
            </w:pPr>
          </w:p>
        </w:tc>
        <w:tc>
          <w:tcPr>
            <w:tcW w:w="841" w:type="dxa"/>
            <w:noWrap/>
          </w:tcPr>
          <w:p w14:paraId="3DEC356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w:t>
            </w:r>
          </w:p>
        </w:tc>
        <w:tc>
          <w:tcPr>
            <w:tcW w:w="1956" w:type="dxa"/>
            <w:noWrap/>
          </w:tcPr>
          <w:p w14:paraId="29C8D0F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LH09</w:t>
            </w:r>
          </w:p>
        </w:tc>
        <w:tc>
          <w:tcPr>
            <w:tcW w:w="1176" w:type="dxa"/>
            <w:vMerge/>
            <w:noWrap/>
          </w:tcPr>
          <w:p w14:paraId="18053779" w14:textId="77777777" w:rsidR="009C353B" w:rsidRDefault="009C353B">
            <w:pPr>
              <w:widowControl/>
              <w:jc w:val="center"/>
              <w:rPr>
                <w:rFonts w:ascii="Times New Roman" w:hAnsi="Times New Roman"/>
                <w:kern w:val="0"/>
                <w:sz w:val="21"/>
                <w:szCs w:val="21"/>
              </w:rPr>
            </w:pPr>
          </w:p>
        </w:tc>
        <w:tc>
          <w:tcPr>
            <w:tcW w:w="2998" w:type="dxa"/>
            <w:vMerge/>
            <w:noWrap/>
          </w:tcPr>
          <w:p w14:paraId="1B2DE916" w14:textId="77777777" w:rsidR="009C353B" w:rsidRDefault="009C353B">
            <w:pPr>
              <w:widowControl/>
              <w:jc w:val="center"/>
              <w:rPr>
                <w:rFonts w:ascii="Times New Roman" w:hAnsi="Times New Roman"/>
                <w:kern w:val="0"/>
                <w:sz w:val="21"/>
                <w:szCs w:val="21"/>
              </w:rPr>
            </w:pPr>
          </w:p>
        </w:tc>
      </w:tr>
      <w:tr w:rsidR="009C353B" w14:paraId="52F93FC2" w14:textId="77777777">
        <w:trPr>
          <w:trHeight w:val="340"/>
          <w:tblHeader/>
        </w:trPr>
        <w:tc>
          <w:tcPr>
            <w:tcW w:w="1114" w:type="dxa"/>
            <w:vMerge/>
          </w:tcPr>
          <w:p w14:paraId="65FE3D0D" w14:textId="77777777" w:rsidR="009C353B" w:rsidRDefault="009C353B">
            <w:pPr>
              <w:widowControl/>
              <w:jc w:val="center"/>
              <w:rPr>
                <w:rFonts w:ascii="Times New Roman" w:hAnsi="Times New Roman"/>
                <w:kern w:val="0"/>
                <w:sz w:val="21"/>
                <w:szCs w:val="21"/>
              </w:rPr>
            </w:pPr>
          </w:p>
        </w:tc>
        <w:tc>
          <w:tcPr>
            <w:tcW w:w="547" w:type="dxa"/>
            <w:vMerge w:val="restart"/>
            <w:noWrap/>
          </w:tcPr>
          <w:p w14:paraId="6579187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马莲台煤矿</w:t>
            </w:r>
          </w:p>
        </w:tc>
        <w:tc>
          <w:tcPr>
            <w:tcW w:w="841" w:type="dxa"/>
            <w:noWrap/>
          </w:tcPr>
          <w:p w14:paraId="71ACEAB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c>
          <w:tcPr>
            <w:tcW w:w="1956" w:type="dxa"/>
            <w:noWrap/>
          </w:tcPr>
          <w:p w14:paraId="11B56BF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张家窑</w:t>
            </w:r>
          </w:p>
        </w:tc>
        <w:tc>
          <w:tcPr>
            <w:tcW w:w="1176" w:type="dxa"/>
            <w:vMerge w:val="restart"/>
            <w:noWrap/>
          </w:tcPr>
          <w:p w14:paraId="77FC85F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2009/10</w:t>
            </w:r>
            <w:r>
              <w:rPr>
                <w:rFonts w:ascii="Times New Roman" w:hAnsi="Times New Roman"/>
                <w:kern w:val="0"/>
                <w:sz w:val="21"/>
                <w:szCs w:val="21"/>
              </w:rPr>
              <w:t>、</w:t>
            </w:r>
            <w:r>
              <w:rPr>
                <w:rFonts w:ascii="Times New Roman" w:hAnsi="Times New Roman"/>
                <w:kern w:val="0"/>
                <w:sz w:val="21"/>
                <w:szCs w:val="21"/>
              </w:rPr>
              <w:t>2016/3</w:t>
            </w:r>
          </w:p>
        </w:tc>
        <w:tc>
          <w:tcPr>
            <w:tcW w:w="2998" w:type="dxa"/>
            <w:vMerge w:val="restart"/>
            <w:noWrap/>
          </w:tcPr>
          <w:p w14:paraId="2DACA316" w14:textId="77777777" w:rsidR="009C353B" w:rsidRDefault="00000000">
            <w:pPr>
              <w:rPr>
                <w:rFonts w:ascii="Times New Roman" w:hAnsi="Times New Roman"/>
                <w:kern w:val="0"/>
                <w:sz w:val="21"/>
                <w:szCs w:val="21"/>
              </w:rPr>
            </w:pPr>
            <w:r>
              <w:rPr>
                <w:rFonts w:ascii="Times New Roman" w:hAnsi="Times New Roman"/>
                <w:kern w:val="0"/>
                <w:sz w:val="21"/>
                <w:szCs w:val="21"/>
              </w:rPr>
              <w:t>pH</w:t>
            </w:r>
            <w:r>
              <w:rPr>
                <w:rFonts w:ascii="Times New Roman" w:hAnsi="Times New Roman"/>
                <w:kern w:val="0"/>
                <w:sz w:val="21"/>
                <w:szCs w:val="21"/>
              </w:rPr>
              <w:t>值、总硬度、溶解性总固体、高锰酸盐指数（</w:t>
            </w:r>
            <w:r>
              <w:rPr>
                <w:rFonts w:ascii="Times New Roman" w:hAnsi="Times New Roman"/>
                <w:kern w:val="0"/>
                <w:sz w:val="21"/>
                <w:szCs w:val="21"/>
              </w:rPr>
              <w:t>CODmn</w:t>
            </w:r>
            <w:r>
              <w:rPr>
                <w:rFonts w:ascii="Times New Roman" w:hAnsi="Times New Roman"/>
                <w:kern w:val="0"/>
                <w:sz w:val="21"/>
                <w:szCs w:val="21"/>
              </w:rPr>
              <w:t>）、硫酸盐、硝酸盐、</w:t>
            </w:r>
            <w:r>
              <w:rPr>
                <w:rFonts w:ascii="Times New Roman" w:hAnsi="Times New Roman"/>
                <w:kern w:val="0"/>
                <w:sz w:val="21"/>
                <w:szCs w:val="21"/>
              </w:rPr>
              <w:t>F-</w:t>
            </w:r>
            <w:r>
              <w:rPr>
                <w:rFonts w:ascii="Times New Roman" w:hAnsi="Times New Roman"/>
                <w:kern w:val="0"/>
                <w:sz w:val="21"/>
                <w:szCs w:val="21"/>
              </w:rPr>
              <w:t>、砷、氯化物、总大肠菌群</w:t>
            </w:r>
          </w:p>
        </w:tc>
      </w:tr>
      <w:tr w:rsidR="009C353B" w14:paraId="5FC86FB6" w14:textId="77777777">
        <w:trPr>
          <w:trHeight w:val="340"/>
          <w:tblHeader/>
        </w:trPr>
        <w:tc>
          <w:tcPr>
            <w:tcW w:w="1114" w:type="dxa"/>
            <w:vMerge/>
          </w:tcPr>
          <w:p w14:paraId="3F0FDB3B" w14:textId="77777777" w:rsidR="009C353B" w:rsidRDefault="009C353B">
            <w:pPr>
              <w:widowControl/>
              <w:jc w:val="center"/>
              <w:rPr>
                <w:rFonts w:ascii="Times New Roman" w:hAnsi="Times New Roman"/>
                <w:kern w:val="0"/>
                <w:sz w:val="21"/>
                <w:szCs w:val="21"/>
              </w:rPr>
            </w:pPr>
          </w:p>
        </w:tc>
        <w:tc>
          <w:tcPr>
            <w:tcW w:w="547" w:type="dxa"/>
            <w:vMerge/>
            <w:noWrap/>
          </w:tcPr>
          <w:p w14:paraId="5E5A3389" w14:textId="77777777" w:rsidR="009C353B" w:rsidRDefault="009C353B">
            <w:pPr>
              <w:widowControl/>
              <w:jc w:val="center"/>
              <w:rPr>
                <w:rFonts w:ascii="Times New Roman" w:hAnsi="Times New Roman"/>
                <w:kern w:val="0"/>
                <w:sz w:val="21"/>
                <w:szCs w:val="21"/>
              </w:rPr>
            </w:pPr>
          </w:p>
        </w:tc>
        <w:tc>
          <w:tcPr>
            <w:tcW w:w="841" w:type="dxa"/>
            <w:noWrap/>
          </w:tcPr>
          <w:p w14:paraId="4577E51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w:t>
            </w:r>
          </w:p>
        </w:tc>
        <w:tc>
          <w:tcPr>
            <w:tcW w:w="1956" w:type="dxa"/>
            <w:noWrap/>
          </w:tcPr>
          <w:p w14:paraId="239C606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双庙</w:t>
            </w:r>
          </w:p>
        </w:tc>
        <w:tc>
          <w:tcPr>
            <w:tcW w:w="1176" w:type="dxa"/>
            <w:vMerge/>
            <w:noWrap/>
          </w:tcPr>
          <w:p w14:paraId="412BEA7F" w14:textId="77777777" w:rsidR="009C353B" w:rsidRDefault="009C353B">
            <w:pPr>
              <w:jc w:val="center"/>
              <w:rPr>
                <w:rFonts w:ascii="Times New Roman" w:hAnsi="Times New Roman"/>
                <w:kern w:val="0"/>
                <w:sz w:val="21"/>
                <w:szCs w:val="21"/>
              </w:rPr>
            </w:pPr>
          </w:p>
        </w:tc>
        <w:tc>
          <w:tcPr>
            <w:tcW w:w="2998" w:type="dxa"/>
            <w:vMerge/>
            <w:noWrap/>
          </w:tcPr>
          <w:p w14:paraId="4CCFED1E" w14:textId="77777777" w:rsidR="009C353B" w:rsidRDefault="009C353B">
            <w:pPr>
              <w:jc w:val="center"/>
              <w:rPr>
                <w:rFonts w:ascii="Times New Roman" w:hAnsi="Times New Roman"/>
                <w:kern w:val="0"/>
                <w:sz w:val="21"/>
                <w:szCs w:val="21"/>
              </w:rPr>
            </w:pPr>
          </w:p>
        </w:tc>
      </w:tr>
      <w:tr w:rsidR="009C353B" w14:paraId="4C9FE830" w14:textId="77777777">
        <w:trPr>
          <w:trHeight w:val="340"/>
          <w:tblHeader/>
        </w:trPr>
        <w:tc>
          <w:tcPr>
            <w:tcW w:w="1114" w:type="dxa"/>
            <w:vMerge/>
          </w:tcPr>
          <w:p w14:paraId="277294D3" w14:textId="77777777" w:rsidR="009C353B" w:rsidRDefault="009C353B">
            <w:pPr>
              <w:widowControl/>
              <w:jc w:val="center"/>
              <w:rPr>
                <w:rFonts w:ascii="Times New Roman" w:hAnsi="Times New Roman"/>
                <w:kern w:val="0"/>
                <w:sz w:val="21"/>
                <w:szCs w:val="21"/>
              </w:rPr>
            </w:pPr>
          </w:p>
        </w:tc>
        <w:tc>
          <w:tcPr>
            <w:tcW w:w="547" w:type="dxa"/>
            <w:vMerge/>
            <w:noWrap/>
          </w:tcPr>
          <w:p w14:paraId="71C43838" w14:textId="77777777" w:rsidR="009C353B" w:rsidRDefault="009C353B">
            <w:pPr>
              <w:widowControl/>
              <w:jc w:val="center"/>
              <w:rPr>
                <w:rFonts w:ascii="Times New Roman" w:hAnsi="Times New Roman"/>
                <w:kern w:val="0"/>
                <w:sz w:val="21"/>
                <w:szCs w:val="21"/>
              </w:rPr>
            </w:pPr>
          </w:p>
        </w:tc>
        <w:tc>
          <w:tcPr>
            <w:tcW w:w="841" w:type="dxa"/>
            <w:noWrap/>
          </w:tcPr>
          <w:p w14:paraId="0FADA6D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p>
        </w:tc>
        <w:tc>
          <w:tcPr>
            <w:tcW w:w="1956" w:type="dxa"/>
            <w:noWrap/>
          </w:tcPr>
          <w:p w14:paraId="13E57E1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驮水湾</w:t>
            </w:r>
          </w:p>
        </w:tc>
        <w:tc>
          <w:tcPr>
            <w:tcW w:w="1176" w:type="dxa"/>
            <w:vMerge/>
            <w:noWrap/>
          </w:tcPr>
          <w:p w14:paraId="6623DE5F" w14:textId="77777777" w:rsidR="009C353B" w:rsidRDefault="009C353B">
            <w:pPr>
              <w:widowControl/>
              <w:jc w:val="center"/>
              <w:rPr>
                <w:rFonts w:ascii="Times New Roman" w:hAnsi="Times New Roman"/>
                <w:kern w:val="0"/>
                <w:sz w:val="21"/>
                <w:szCs w:val="21"/>
              </w:rPr>
            </w:pPr>
          </w:p>
        </w:tc>
        <w:tc>
          <w:tcPr>
            <w:tcW w:w="2998" w:type="dxa"/>
            <w:vMerge/>
            <w:noWrap/>
          </w:tcPr>
          <w:p w14:paraId="0916D96D" w14:textId="77777777" w:rsidR="009C353B" w:rsidRDefault="009C353B">
            <w:pPr>
              <w:widowControl/>
              <w:jc w:val="center"/>
              <w:rPr>
                <w:rFonts w:ascii="Times New Roman" w:hAnsi="Times New Roman"/>
                <w:kern w:val="0"/>
                <w:sz w:val="21"/>
                <w:szCs w:val="21"/>
              </w:rPr>
            </w:pPr>
          </w:p>
        </w:tc>
      </w:tr>
      <w:tr w:rsidR="009C353B" w14:paraId="22597296" w14:textId="77777777">
        <w:trPr>
          <w:trHeight w:val="340"/>
          <w:tblHeader/>
        </w:trPr>
        <w:tc>
          <w:tcPr>
            <w:tcW w:w="1114" w:type="dxa"/>
            <w:vMerge/>
          </w:tcPr>
          <w:p w14:paraId="2D9B5F1E" w14:textId="77777777" w:rsidR="009C353B" w:rsidRDefault="009C353B">
            <w:pPr>
              <w:widowControl/>
              <w:jc w:val="center"/>
              <w:rPr>
                <w:rFonts w:ascii="Times New Roman" w:hAnsi="Times New Roman"/>
                <w:kern w:val="0"/>
                <w:sz w:val="21"/>
                <w:szCs w:val="21"/>
              </w:rPr>
            </w:pPr>
          </w:p>
        </w:tc>
        <w:tc>
          <w:tcPr>
            <w:tcW w:w="547" w:type="dxa"/>
            <w:vMerge w:val="restart"/>
            <w:noWrap/>
          </w:tcPr>
          <w:p w14:paraId="3C9CC80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红石湾煤矿</w:t>
            </w:r>
          </w:p>
        </w:tc>
        <w:tc>
          <w:tcPr>
            <w:tcW w:w="841" w:type="dxa"/>
            <w:tcBorders>
              <w:tl2br w:val="nil"/>
              <w:tr2bl w:val="nil"/>
            </w:tcBorders>
            <w:noWrap/>
          </w:tcPr>
          <w:p w14:paraId="65B2B558" w14:textId="77777777" w:rsidR="009C353B" w:rsidRDefault="00000000">
            <w:pPr>
              <w:widowControl/>
              <w:jc w:val="center"/>
              <w:rPr>
                <w:rFonts w:ascii="Times New Roman" w:hAnsi="Times New Roman"/>
                <w:kern w:val="0"/>
                <w:sz w:val="21"/>
                <w:szCs w:val="21"/>
                <w:lang w:bidi="ar"/>
              </w:rPr>
            </w:pPr>
            <w:r>
              <w:rPr>
                <w:rFonts w:ascii="Times New Roman" w:hAnsi="Times New Roman"/>
                <w:kern w:val="0"/>
                <w:sz w:val="21"/>
                <w:szCs w:val="21"/>
                <w:lang w:bidi="ar"/>
              </w:rPr>
              <w:t>K3</w:t>
            </w:r>
          </w:p>
        </w:tc>
        <w:tc>
          <w:tcPr>
            <w:tcW w:w="1956" w:type="dxa"/>
            <w:tcBorders>
              <w:tl2br w:val="nil"/>
              <w:tr2bl w:val="nil"/>
            </w:tcBorders>
            <w:noWrap/>
          </w:tcPr>
          <w:p w14:paraId="13E3D407" w14:textId="77777777" w:rsidR="009C353B" w:rsidRDefault="00000000">
            <w:pPr>
              <w:widowControl/>
              <w:jc w:val="center"/>
              <w:rPr>
                <w:rFonts w:ascii="Times New Roman" w:hAnsi="Times New Roman"/>
                <w:kern w:val="0"/>
                <w:sz w:val="21"/>
                <w:szCs w:val="21"/>
                <w:lang w:bidi="ar"/>
              </w:rPr>
            </w:pPr>
            <w:r>
              <w:rPr>
                <w:rFonts w:ascii="Times New Roman" w:hAnsi="Times New Roman"/>
                <w:kern w:val="0"/>
                <w:sz w:val="21"/>
                <w:szCs w:val="21"/>
                <w:lang w:bidi="ar"/>
              </w:rPr>
              <w:t>井田南侧</w:t>
            </w:r>
          </w:p>
        </w:tc>
        <w:tc>
          <w:tcPr>
            <w:tcW w:w="1176" w:type="dxa"/>
            <w:vMerge w:val="restart"/>
            <w:noWrap/>
          </w:tcPr>
          <w:p w14:paraId="2649C8F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2018</w:t>
            </w:r>
          </w:p>
        </w:tc>
        <w:tc>
          <w:tcPr>
            <w:tcW w:w="2998" w:type="dxa"/>
            <w:vMerge w:val="restart"/>
            <w:noWrap/>
          </w:tcPr>
          <w:p w14:paraId="77AF7CF3"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K</w:t>
            </w:r>
            <w:r>
              <w:rPr>
                <w:rFonts w:ascii="Times New Roman" w:hAnsi="Times New Roman"/>
                <w:kern w:val="0"/>
                <w:sz w:val="21"/>
                <w:szCs w:val="21"/>
                <w:vertAlign w:val="superscript"/>
              </w:rPr>
              <w:t>+</w:t>
            </w:r>
            <w:r>
              <w:rPr>
                <w:rFonts w:ascii="Times New Roman" w:hAnsi="Times New Roman"/>
                <w:kern w:val="0"/>
                <w:sz w:val="21"/>
                <w:szCs w:val="21"/>
              </w:rPr>
              <w:t>、</w:t>
            </w:r>
            <w:r>
              <w:rPr>
                <w:rFonts w:ascii="Times New Roman" w:hAnsi="Times New Roman"/>
                <w:kern w:val="0"/>
                <w:sz w:val="21"/>
                <w:szCs w:val="21"/>
              </w:rPr>
              <w:t>Na</w:t>
            </w:r>
            <w:r>
              <w:rPr>
                <w:rFonts w:ascii="Times New Roman" w:hAnsi="Times New Roman"/>
                <w:kern w:val="0"/>
                <w:sz w:val="21"/>
                <w:szCs w:val="21"/>
                <w:vertAlign w:val="superscript"/>
              </w:rPr>
              <w:t>+</w:t>
            </w:r>
            <w:r>
              <w:rPr>
                <w:rFonts w:ascii="Times New Roman" w:hAnsi="Times New Roman"/>
                <w:kern w:val="0"/>
                <w:sz w:val="21"/>
                <w:szCs w:val="21"/>
              </w:rPr>
              <w:t>、</w:t>
            </w:r>
            <w:r>
              <w:rPr>
                <w:rFonts w:ascii="Times New Roman" w:hAnsi="Times New Roman"/>
                <w:kern w:val="0"/>
                <w:sz w:val="21"/>
                <w:szCs w:val="21"/>
              </w:rPr>
              <w:t>Ca</w:t>
            </w:r>
            <w:r>
              <w:rPr>
                <w:rFonts w:ascii="Times New Roman" w:hAnsi="Times New Roman"/>
                <w:kern w:val="0"/>
                <w:sz w:val="21"/>
                <w:szCs w:val="21"/>
                <w:vertAlign w:val="superscript"/>
              </w:rPr>
              <w:t>2+</w:t>
            </w:r>
            <w:r>
              <w:rPr>
                <w:rFonts w:ascii="Times New Roman" w:hAnsi="Times New Roman"/>
                <w:kern w:val="0"/>
                <w:sz w:val="21"/>
                <w:szCs w:val="21"/>
              </w:rPr>
              <w:t>、</w:t>
            </w:r>
            <w:r>
              <w:rPr>
                <w:rFonts w:ascii="Times New Roman" w:hAnsi="Times New Roman"/>
                <w:kern w:val="0"/>
                <w:sz w:val="21"/>
                <w:szCs w:val="21"/>
              </w:rPr>
              <w:t>Mg</w:t>
            </w:r>
            <w:r>
              <w:rPr>
                <w:rFonts w:ascii="Times New Roman" w:hAnsi="Times New Roman"/>
                <w:kern w:val="0"/>
                <w:sz w:val="21"/>
                <w:szCs w:val="21"/>
                <w:vertAlign w:val="superscript"/>
              </w:rPr>
              <w:t>2+</w:t>
            </w:r>
            <w:r>
              <w:rPr>
                <w:rFonts w:ascii="Times New Roman" w:hAnsi="Times New Roman"/>
                <w:kern w:val="0"/>
                <w:sz w:val="21"/>
                <w:szCs w:val="21"/>
              </w:rPr>
              <w:t>、</w:t>
            </w:r>
            <w:r>
              <w:rPr>
                <w:rFonts w:ascii="Times New Roman" w:hAnsi="Times New Roman"/>
                <w:kern w:val="0"/>
                <w:sz w:val="21"/>
                <w:szCs w:val="21"/>
              </w:rPr>
              <w:t>CO</w:t>
            </w:r>
            <w:r>
              <w:rPr>
                <w:rFonts w:ascii="Times New Roman" w:hAnsi="Times New Roman"/>
                <w:kern w:val="0"/>
                <w:sz w:val="21"/>
                <w:szCs w:val="21"/>
                <w:vertAlign w:val="subscript"/>
              </w:rPr>
              <w:t>3</w:t>
            </w:r>
            <w:r>
              <w:rPr>
                <w:rFonts w:ascii="Times New Roman" w:hAnsi="Times New Roman"/>
                <w:kern w:val="0"/>
                <w:sz w:val="21"/>
                <w:szCs w:val="21"/>
                <w:vertAlign w:val="superscript"/>
              </w:rPr>
              <w:t>2</w:t>
            </w:r>
            <w:r>
              <w:rPr>
                <w:rFonts w:ascii="Times New Roman" w:hAnsi="Times New Roman"/>
                <w:kern w:val="0"/>
                <w:sz w:val="21"/>
                <w:szCs w:val="21"/>
              </w:rPr>
              <w:t>-</w:t>
            </w:r>
            <w:r>
              <w:rPr>
                <w:rFonts w:ascii="Times New Roman" w:hAnsi="Times New Roman"/>
                <w:kern w:val="0"/>
                <w:sz w:val="21"/>
                <w:szCs w:val="21"/>
              </w:rPr>
              <w:t>、</w:t>
            </w:r>
            <w:r>
              <w:rPr>
                <w:rFonts w:ascii="Times New Roman" w:hAnsi="Times New Roman"/>
                <w:kern w:val="0"/>
                <w:sz w:val="21"/>
                <w:szCs w:val="21"/>
              </w:rPr>
              <w:t>HCO</w:t>
            </w:r>
            <w:r>
              <w:rPr>
                <w:rFonts w:ascii="Times New Roman" w:hAnsi="Times New Roman"/>
                <w:kern w:val="0"/>
                <w:sz w:val="21"/>
                <w:szCs w:val="21"/>
                <w:vertAlign w:val="subscript"/>
              </w:rPr>
              <w:t>3</w:t>
            </w:r>
            <w:r>
              <w:rPr>
                <w:rFonts w:ascii="Times New Roman" w:hAnsi="Times New Roman"/>
                <w:kern w:val="0"/>
                <w:sz w:val="21"/>
                <w:szCs w:val="21"/>
                <w:vertAlign w:val="superscript"/>
              </w:rPr>
              <w:t>-</w:t>
            </w:r>
            <w:r>
              <w:rPr>
                <w:rFonts w:ascii="Times New Roman" w:hAnsi="Times New Roman"/>
                <w:kern w:val="0"/>
                <w:sz w:val="21"/>
                <w:szCs w:val="21"/>
              </w:rPr>
              <w:t>、</w:t>
            </w:r>
            <w:r>
              <w:rPr>
                <w:rFonts w:ascii="Times New Roman" w:hAnsi="Times New Roman"/>
                <w:kern w:val="0"/>
                <w:sz w:val="21"/>
                <w:szCs w:val="21"/>
              </w:rPr>
              <w:t>Cl</w:t>
            </w:r>
            <w:r>
              <w:rPr>
                <w:rFonts w:ascii="Times New Roman" w:hAnsi="Times New Roman"/>
                <w:kern w:val="0"/>
                <w:sz w:val="21"/>
                <w:szCs w:val="21"/>
                <w:vertAlign w:val="superscript"/>
              </w:rPr>
              <w:t>-</w:t>
            </w:r>
            <w:r>
              <w:rPr>
                <w:rFonts w:ascii="Times New Roman" w:hAnsi="Times New Roman"/>
                <w:kern w:val="0"/>
                <w:sz w:val="21"/>
                <w:szCs w:val="21"/>
              </w:rPr>
              <w:t>、</w:t>
            </w:r>
            <w:r>
              <w:rPr>
                <w:rFonts w:ascii="Times New Roman" w:hAnsi="Times New Roman"/>
                <w:kern w:val="0"/>
                <w:sz w:val="21"/>
                <w:szCs w:val="21"/>
              </w:rPr>
              <w:t>SO</w:t>
            </w:r>
            <w:r>
              <w:rPr>
                <w:rFonts w:ascii="Times New Roman" w:hAnsi="Times New Roman"/>
                <w:kern w:val="0"/>
                <w:sz w:val="21"/>
                <w:szCs w:val="21"/>
                <w:vertAlign w:val="subscript"/>
              </w:rPr>
              <w:t>4</w:t>
            </w:r>
            <w:r>
              <w:rPr>
                <w:rFonts w:ascii="Times New Roman" w:hAnsi="Times New Roman"/>
                <w:kern w:val="0"/>
                <w:sz w:val="21"/>
                <w:szCs w:val="21"/>
                <w:vertAlign w:val="superscript"/>
              </w:rPr>
              <w:t>2-</w:t>
            </w:r>
            <w:r>
              <w:rPr>
                <w:rFonts w:ascii="Times New Roman" w:hAnsi="Times New Roman"/>
                <w:kern w:val="0"/>
                <w:sz w:val="21"/>
                <w:szCs w:val="21"/>
              </w:rPr>
              <w:t>、</w:t>
            </w:r>
            <w:r>
              <w:rPr>
                <w:rFonts w:ascii="Times New Roman" w:hAnsi="Times New Roman"/>
                <w:kern w:val="0"/>
                <w:sz w:val="21"/>
                <w:szCs w:val="21"/>
              </w:rPr>
              <w:t>pH</w:t>
            </w:r>
            <w:r>
              <w:rPr>
                <w:rFonts w:ascii="Times New Roman" w:hAnsi="Times New Roman"/>
                <w:kern w:val="0"/>
                <w:sz w:val="21"/>
                <w:szCs w:val="21"/>
              </w:rPr>
              <w:t>、总硬度、溶解性总固体、矿化度、耗氧量、氨氮、硝酸盐、氮、亚硝酸盐氮、氟化物、氰化物、挥发性酚类、铁、锰、砷、汞、铅、镉、六价铬、镍、锌、总大肠菌群、硫化物、苯、苯并芘、石油类</w:t>
            </w:r>
          </w:p>
        </w:tc>
      </w:tr>
      <w:tr w:rsidR="009C353B" w14:paraId="733C7ACC" w14:textId="77777777">
        <w:trPr>
          <w:trHeight w:val="340"/>
          <w:tblHeader/>
        </w:trPr>
        <w:tc>
          <w:tcPr>
            <w:tcW w:w="1114" w:type="dxa"/>
            <w:vMerge/>
          </w:tcPr>
          <w:p w14:paraId="5C8DA527" w14:textId="77777777" w:rsidR="009C353B" w:rsidRDefault="009C353B">
            <w:pPr>
              <w:widowControl/>
              <w:jc w:val="center"/>
              <w:rPr>
                <w:rFonts w:ascii="Times New Roman" w:hAnsi="Times New Roman"/>
                <w:kern w:val="0"/>
                <w:sz w:val="21"/>
                <w:szCs w:val="21"/>
              </w:rPr>
            </w:pPr>
          </w:p>
        </w:tc>
        <w:tc>
          <w:tcPr>
            <w:tcW w:w="547" w:type="dxa"/>
            <w:vMerge/>
            <w:noWrap/>
          </w:tcPr>
          <w:p w14:paraId="4105C001" w14:textId="77777777" w:rsidR="009C353B" w:rsidRDefault="009C353B">
            <w:pPr>
              <w:widowControl/>
              <w:jc w:val="center"/>
              <w:rPr>
                <w:rFonts w:ascii="Times New Roman" w:hAnsi="Times New Roman"/>
                <w:kern w:val="0"/>
                <w:sz w:val="21"/>
                <w:szCs w:val="21"/>
              </w:rPr>
            </w:pPr>
          </w:p>
        </w:tc>
        <w:tc>
          <w:tcPr>
            <w:tcW w:w="841" w:type="dxa"/>
            <w:tcBorders>
              <w:tl2br w:val="nil"/>
              <w:tr2bl w:val="nil"/>
            </w:tcBorders>
            <w:noWrap/>
          </w:tcPr>
          <w:p w14:paraId="14A3C35A" w14:textId="77777777" w:rsidR="009C353B" w:rsidRDefault="00000000">
            <w:pPr>
              <w:widowControl/>
              <w:jc w:val="center"/>
              <w:rPr>
                <w:rFonts w:ascii="Times New Roman" w:hAnsi="Times New Roman"/>
                <w:kern w:val="0"/>
                <w:sz w:val="21"/>
                <w:szCs w:val="21"/>
                <w:lang w:bidi="ar"/>
              </w:rPr>
            </w:pPr>
            <w:r>
              <w:rPr>
                <w:rFonts w:ascii="Times New Roman" w:hAnsi="Times New Roman"/>
                <w:kern w:val="0"/>
                <w:sz w:val="21"/>
                <w:szCs w:val="21"/>
                <w:lang w:bidi="ar"/>
              </w:rPr>
              <w:t>K6</w:t>
            </w:r>
          </w:p>
        </w:tc>
        <w:tc>
          <w:tcPr>
            <w:tcW w:w="1956" w:type="dxa"/>
            <w:tcBorders>
              <w:tl2br w:val="nil"/>
              <w:tr2bl w:val="nil"/>
            </w:tcBorders>
            <w:noWrap/>
          </w:tcPr>
          <w:p w14:paraId="698A1721" w14:textId="77777777" w:rsidR="009C353B" w:rsidRDefault="00000000">
            <w:pPr>
              <w:widowControl/>
              <w:jc w:val="center"/>
              <w:rPr>
                <w:rFonts w:ascii="Times New Roman" w:hAnsi="Times New Roman"/>
                <w:kern w:val="0"/>
                <w:sz w:val="21"/>
                <w:szCs w:val="21"/>
                <w:lang w:bidi="ar"/>
              </w:rPr>
            </w:pPr>
            <w:r>
              <w:rPr>
                <w:rFonts w:ascii="Times New Roman" w:hAnsi="Times New Roman"/>
                <w:kern w:val="0"/>
                <w:sz w:val="21"/>
                <w:szCs w:val="21"/>
                <w:lang w:bidi="ar"/>
              </w:rPr>
              <w:t>井田南侧</w:t>
            </w:r>
          </w:p>
        </w:tc>
        <w:tc>
          <w:tcPr>
            <w:tcW w:w="1176" w:type="dxa"/>
            <w:vMerge/>
            <w:noWrap/>
          </w:tcPr>
          <w:p w14:paraId="71A6391B" w14:textId="77777777" w:rsidR="009C353B" w:rsidRDefault="009C353B">
            <w:pPr>
              <w:widowControl/>
              <w:jc w:val="center"/>
              <w:rPr>
                <w:rFonts w:ascii="Times New Roman" w:hAnsi="Times New Roman"/>
                <w:kern w:val="0"/>
                <w:sz w:val="21"/>
                <w:szCs w:val="21"/>
              </w:rPr>
            </w:pPr>
          </w:p>
        </w:tc>
        <w:tc>
          <w:tcPr>
            <w:tcW w:w="2998" w:type="dxa"/>
            <w:vMerge/>
            <w:noWrap/>
          </w:tcPr>
          <w:p w14:paraId="10E9C523" w14:textId="77777777" w:rsidR="009C353B" w:rsidRDefault="009C353B">
            <w:pPr>
              <w:widowControl/>
              <w:jc w:val="center"/>
              <w:rPr>
                <w:rFonts w:ascii="Times New Roman" w:hAnsi="Times New Roman"/>
                <w:kern w:val="0"/>
                <w:sz w:val="21"/>
                <w:szCs w:val="21"/>
              </w:rPr>
            </w:pPr>
          </w:p>
        </w:tc>
      </w:tr>
      <w:tr w:rsidR="009C353B" w14:paraId="2C74C539" w14:textId="77777777">
        <w:trPr>
          <w:trHeight w:val="340"/>
          <w:tblHeader/>
        </w:trPr>
        <w:tc>
          <w:tcPr>
            <w:tcW w:w="1114" w:type="dxa"/>
            <w:vMerge/>
          </w:tcPr>
          <w:p w14:paraId="723FCEF4" w14:textId="77777777" w:rsidR="009C353B" w:rsidRDefault="009C353B">
            <w:pPr>
              <w:widowControl/>
              <w:jc w:val="center"/>
              <w:rPr>
                <w:rFonts w:ascii="Times New Roman" w:hAnsi="Times New Roman"/>
                <w:kern w:val="0"/>
                <w:sz w:val="21"/>
                <w:szCs w:val="21"/>
              </w:rPr>
            </w:pPr>
          </w:p>
        </w:tc>
        <w:tc>
          <w:tcPr>
            <w:tcW w:w="547" w:type="dxa"/>
            <w:vMerge/>
            <w:noWrap/>
          </w:tcPr>
          <w:p w14:paraId="14F367BF" w14:textId="77777777" w:rsidR="009C353B" w:rsidRDefault="009C353B">
            <w:pPr>
              <w:widowControl/>
              <w:jc w:val="center"/>
              <w:rPr>
                <w:rFonts w:ascii="Times New Roman" w:hAnsi="Times New Roman"/>
                <w:kern w:val="0"/>
                <w:sz w:val="21"/>
                <w:szCs w:val="21"/>
              </w:rPr>
            </w:pPr>
          </w:p>
        </w:tc>
        <w:tc>
          <w:tcPr>
            <w:tcW w:w="841" w:type="dxa"/>
            <w:tcBorders>
              <w:tl2br w:val="nil"/>
              <w:tr2bl w:val="nil"/>
            </w:tcBorders>
            <w:noWrap/>
          </w:tcPr>
          <w:p w14:paraId="58DFBCAA" w14:textId="77777777" w:rsidR="009C353B" w:rsidRDefault="00000000">
            <w:pPr>
              <w:widowControl/>
              <w:jc w:val="center"/>
              <w:rPr>
                <w:rFonts w:ascii="Times New Roman" w:hAnsi="Times New Roman"/>
                <w:kern w:val="0"/>
                <w:sz w:val="21"/>
                <w:szCs w:val="21"/>
                <w:lang w:bidi="ar"/>
              </w:rPr>
            </w:pPr>
            <w:r>
              <w:rPr>
                <w:rFonts w:ascii="Times New Roman" w:hAnsi="Times New Roman"/>
                <w:kern w:val="0"/>
                <w:sz w:val="21"/>
                <w:szCs w:val="21"/>
                <w:lang w:bidi="ar"/>
              </w:rPr>
              <w:t>K7</w:t>
            </w:r>
          </w:p>
        </w:tc>
        <w:tc>
          <w:tcPr>
            <w:tcW w:w="1956" w:type="dxa"/>
            <w:tcBorders>
              <w:tl2br w:val="nil"/>
              <w:tr2bl w:val="nil"/>
            </w:tcBorders>
            <w:noWrap/>
          </w:tcPr>
          <w:p w14:paraId="1A559B07" w14:textId="77777777" w:rsidR="009C353B" w:rsidRDefault="00000000">
            <w:pPr>
              <w:widowControl/>
              <w:jc w:val="center"/>
              <w:rPr>
                <w:rFonts w:ascii="Times New Roman" w:hAnsi="Times New Roman"/>
                <w:kern w:val="0"/>
                <w:sz w:val="21"/>
                <w:szCs w:val="21"/>
                <w:lang w:bidi="ar"/>
              </w:rPr>
            </w:pPr>
            <w:r>
              <w:rPr>
                <w:rFonts w:ascii="Times New Roman" w:hAnsi="Times New Roman"/>
                <w:kern w:val="0"/>
                <w:sz w:val="21"/>
                <w:szCs w:val="21"/>
                <w:lang w:bidi="ar"/>
              </w:rPr>
              <w:t>井田南侧</w:t>
            </w:r>
          </w:p>
        </w:tc>
        <w:tc>
          <w:tcPr>
            <w:tcW w:w="1176" w:type="dxa"/>
            <w:vMerge/>
            <w:noWrap/>
          </w:tcPr>
          <w:p w14:paraId="61292A24" w14:textId="77777777" w:rsidR="009C353B" w:rsidRDefault="009C353B">
            <w:pPr>
              <w:widowControl/>
              <w:jc w:val="center"/>
              <w:rPr>
                <w:rFonts w:ascii="Times New Roman" w:hAnsi="Times New Roman"/>
                <w:kern w:val="0"/>
                <w:sz w:val="21"/>
                <w:szCs w:val="21"/>
              </w:rPr>
            </w:pPr>
          </w:p>
        </w:tc>
        <w:tc>
          <w:tcPr>
            <w:tcW w:w="2998" w:type="dxa"/>
            <w:vMerge/>
            <w:noWrap/>
          </w:tcPr>
          <w:p w14:paraId="034295AD" w14:textId="77777777" w:rsidR="009C353B" w:rsidRDefault="009C353B">
            <w:pPr>
              <w:widowControl/>
              <w:jc w:val="center"/>
              <w:rPr>
                <w:rFonts w:ascii="Times New Roman" w:hAnsi="Times New Roman"/>
                <w:kern w:val="0"/>
                <w:sz w:val="21"/>
                <w:szCs w:val="21"/>
              </w:rPr>
            </w:pPr>
          </w:p>
        </w:tc>
      </w:tr>
      <w:tr w:rsidR="009C353B" w14:paraId="0D7E027F" w14:textId="77777777">
        <w:trPr>
          <w:trHeight w:val="340"/>
          <w:tblHeader/>
        </w:trPr>
        <w:tc>
          <w:tcPr>
            <w:tcW w:w="1114" w:type="dxa"/>
            <w:vMerge/>
          </w:tcPr>
          <w:p w14:paraId="16BED81B" w14:textId="77777777" w:rsidR="009C353B" w:rsidRDefault="009C353B">
            <w:pPr>
              <w:widowControl/>
              <w:jc w:val="center"/>
              <w:rPr>
                <w:rFonts w:ascii="Times New Roman" w:hAnsi="Times New Roman"/>
                <w:kern w:val="0"/>
                <w:sz w:val="21"/>
                <w:szCs w:val="21"/>
              </w:rPr>
            </w:pPr>
          </w:p>
        </w:tc>
        <w:tc>
          <w:tcPr>
            <w:tcW w:w="547" w:type="dxa"/>
            <w:vMerge/>
            <w:noWrap/>
          </w:tcPr>
          <w:p w14:paraId="3275375C" w14:textId="77777777" w:rsidR="009C353B" w:rsidRDefault="009C353B">
            <w:pPr>
              <w:widowControl/>
              <w:jc w:val="center"/>
              <w:rPr>
                <w:rFonts w:ascii="Times New Roman" w:hAnsi="Times New Roman"/>
                <w:kern w:val="0"/>
                <w:sz w:val="21"/>
                <w:szCs w:val="21"/>
              </w:rPr>
            </w:pPr>
          </w:p>
        </w:tc>
        <w:tc>
          <w:tcPr>
            <w:tcW w:w="841" w:type="dxa"/>
            <w:tcBorders>
              <w:tl2br w:val="nil"/>
              <w:tr2bl w:val="nil"/>
            </w:tcBorders>
            <w:noWrap/>
          </w:tcPr>
          <w:p w14:paraId="55D99D10" w14:textId="77777777" w:rsidR="009C353B" w:rsidRDefault="00000000">
            <w:pPr>
              <w:widowControl/>
              <w:jc w:val="center"/>
              <w:rPr>
                <w:rFonts w:ascii="Times New Roman" w:hAnsi="Times New Roman"/>
                <w:kern w:val="0"/>
                <w:sz w:val="21"/>
                <w:szCs w:val="21"/>
                <w:lang w:bidi="ar"/>
              </w:rPr>
            </w:pPr>
            <w:r>
              <w:rPr>
                <w:rFonts w:ascii="Times New Roman" w:hAnsi="Times New Roman"/>
                <w:kern w:val="0"/>
                <w:sz w:val="21"/>
                <w:szCs w:val="21"/>
                <w:lang w:bidi="ar"/>
              </w:rPr>
              <w:t>K8</w:t>
            </w:r>
          </w:p>
        </w:tc>
        <w:tc>
          <w:tcPr>
            <w:tcW w:w="1956" w:type="dxa"/>
            <w:tcBorders>
              <w:tl2br w:val="nil"/>
              <w:tr2bl w:val="nil"/>
            </w:tcBorders>
            <w:noWrap/>
          </w:tcPr>
          <w:p w14:paraId="186B4415" w14:textId="77777777" w:rsidR="009C353B" w:rsidRDefault="00000000">
            <w:pPr>
              <w:widowControl/>
              <w:jc w:val="center"/>
              <w:rPr>
                <w:rFonts w:ascii="Times New Roman" w:hAnsi="Times New Roman"/>
                <w:kern w:val="0"/>
                <w:sz w:val="21"/>
                <w:szCs w:val="21"/>
                <w:lang w:bidi="ar"/>
              </w:rPr>
            </w:pPr>
            <w:r>
              <w:rPr>
                <w:rFonts w:ascii="Times New Roman" w:hAnsi="Times New Roman"/>
                <w:kern w:val="0"/>
                <w:sz w:val="21"/>
                <w:szCs w:val="21"/>
                <w:lang w:bidi="ar"/>
              </w:rPr>
              <w:t>井田东侧</w:t>
            </w:r>
          </w:p>
        </w:tc>
        <w:tc>
          <w:tcPr>
            <w:tcW w:w="1176" w:type="dxa"/>
            <w:vMerge/>
            <w:noWrap/>
          </w:tcPr>
          <w:p w14:paraId="661FA83A" w14:textId="77777777" w:rsidR="009C353B" w:rsidRDefault="009C353B">
            <w:pPr>
              <w:widowControl/>
              <w:jc w:val="center"/>
              <w:rPr>
                <w:rFonts w:ascii="Times New Roman" w:hAnsi="Times New Roman"/>
                <w:kern w:val="0"/>
                <w:sz w:val="21"/>
                <w:szCs w:val="21"/>
              </w:rPr>
            </w:pPr>
          </w:p>
        </w:tc>
        <w:tc>
          <w:tcPr>
            <w:tcW w:w="2998" w:type="dxa"/>
            <w:vMerge/>
            <w:noWrap/>
          </w:tcPr>
          <w:p w14:paraId="6785A7AA" w14:textId="77777777" w:rsidR="009C353B" w:rsidRDefault="009C353B">
            <w:pPr>
              <w:widowControl/>
              <w:jc w:val="center"/>
              <w:rPr>
                <w:rFonts w:ascii="Times New Roman" w:hAnsi="Times New Roman"/>
                <w:kern w:val="0"/>
                <w:sz w:val="21"/>
                <w:szCs w:val="21"/>
              </w:rPr>
            </w:pPr>
          </w:p>
        </w:tc>
      </w:tr>
      <w:tr w:rsidR="009C353B" w14:paraId="63866708" w14:textId="77777777">
        <w:trPr>
          <w:trHeight w:val="340"/>
          <w:tblHeader/>
        </w:trPr>
        <w:tc>
          <w:tcPr>
            <w:tcW w:w="1114" w:type="dxa"/>
            <w:vMerge w:val="restart"/>
          </w:tcPr>
          <w:p w14:paraId="36327E8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本次监测</w:t>
            </w:r>
          </w:p>
        </w:tc>
        <w:tc>
          <w:tcPr>
            <w:tcW w:w="1388" w:type="dxa"/>
            <w:gridSpan w:val="2"/>
            <w:noWrap/>
          </w:tcPr>
          <w:p w14:paraId="4A2CEA51" w14:textId="77777777" w:rsidR="009C353B" w:rsidRDefault="00000000">
            <w:pPr>
              <w:widowControl/>
              <w:jc w:val="center"/>
              <w:rPr>
                <w:rFonts w:ascii="Times New Roman" w:hAnsi="Times New Roman"/>
                <w:kern w:val="0"/>
                <w:sz w:val="21"/>
                <w:szCs w:val="21"/>
                <w:lang w:bidi="ar"/>
              </w:rPr>
            </w:pPr>
            <w:r>
              <w:rPr>
                <w:rFonts w:ascii="Times New Roman" w:hAnsi="Times New Roman"/>
                <w:kern w:val="0"/>
                <w:sz w:val="21"/>
                <w:szCs w:val="21"/>
              </w:rPr>
              <w:t>1#</w:t>
            </w:r>
            <w:r>
              <w:rPr>
                <w:rFonts w:ascii="Times New Roman" w:hAnsi="Times New Roman"/>
                <w:kern w:val="0"/>
                <w:sz w:val="21"/>
                <w:szCs w:val="21"/>
              </w:rPr>
              <w:t>马莲台</w:t>
            </w:r>
            <w:r>
              <w:rPr>
                <w:rFonts w:ascii="Times New Roman" w:hAnsi="Times New Roman"/>
                <w:kern w:val="0"/>
                <w:sz w:val="21"/>
                <w:szCs w:val="21"/>
              </w:rPr>
              <w:t>1</w:t>
            </w:r>
          </w:p>
        </w:tc>
        <w:tc>
          <w:tcPr>
            <w:tcW w:w="1956" w:type="dxa"/>
            <w:shd w:val="clear" w:color="auto" w:fill="auto"/>
            <w:noWrap/>
          </w:tcPr>
          <w:p w14:paraId="38260722"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E106°36′4″</w:t>
            </w:r>
            <w:r>
              <w:rPr>
                <w:rFonts w:ascii="Times New Roman" w:hAnsi="Times New Roman"/>
                <w:sz w:val="21"/>
                <w:szCs w:val="21"/>
              </w:rPr>
              <w:t>，</w:t>
            </w:r>
          </w:p>
          <w:p w14:paraId="25EC77CC" w14:textId="77777777" w:rsidR="009C353B" w:rsidRDefault="00000000">
            <w:pPr>
              <w:widowControl/>
              <w:jc w:val="center"/>
              <w:rPr>
                <w:rFonts w:ascii="Times New Roman" w:hAnsi="Times New Roman"/>
                <w:kern w:val="0"/>
                <w:sz w:val="21"/>
                <w:szCs w:val="21"/>
                <w:lang w:bidi="ar"/>
              </w:rPr>
            </w:pPr>
            <w:r>
              <w:rPr>
                <w:rFonts w:ascii="Times New Roman" w:hAnsi="Times New Roman"/>
                <w:sz w:val="21"/>
                <w:szCs w:val="21"/>
              </w:rPr>
              <w:t>N38°12′28″</w:t>
            </w:r>
          </w:p>
        </w:tc>
        <w:tc>
          <w:tcPr>
            <w:tcW w:w="1176" w:type="dxa"/>
            <w:vMerge w:val="restart"/>
            <w:noWrap/>
          </w:tcPr>
          <w:p w14:paraId="7BBC9BC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2020/8/9</w:t>
            </w:r>
          </w:p>
        </w:tc>
        <w:tc>
          <w:tcPr>
            <w:tcW w:w="2998" w:type="dxa"/>
            <w:vMerge w:val="restart"/>
            <w:noWrap/>
          </w:tcPr>
          <w:p w14:paraId="0DB13D39" w14:textId="77777777" w:rsidR="009C353B" w:rsidRDefault="00000000">
            <w:pPr>
              <w:widowControl/>
              <w:rPr>
                <w:rFonts w:ascii="Times New Roman" w:hAnsi="Times New Roman"/>
                <w:kern w:val="0"/>
                <w:sz w:val="21"/>
                <w:szCs w:val="21"/>
              </w:rPr>
            </w:pPr>
            <w:r>
              <w:rPr>
                <w:rFonts w:ascii="Times New Roman" w:hAnsi="Times New Roman"/>
                <w:sz w:val="21"/>
                <w:szCs w:val="21"/>
              </w:rPr>
              <w:t>水温、</w:t>
            </w:r>
            <w:r>
              <w:rPr>
                <w:rFonts w:ascii="Times New Roman" w:hAnsi="Times New Roman"/>
                <w:sz w:val="21"/>
                <w:szCs w:val="21"/>
              </w:rPr>
              <w:t>pH</w:t>
            </w:r>
            <w:r>
              <w:rPr>
                <w:rFonts w:ascii="Times New Roman" w:hAnsi="Times New Roman"/>
                <w:sz w:val="21"/>
                <w:szCs w:val="21"/>
              </w:rPr>
              <w:t>值、总硬度、溶解性总固体、耗氧量、氨氮、硝酸盐（以</w:t>
            </w:r>
            <w:r>
              <w:rPr>
                <w:rFonts w:ascii="Times New Roman" w:hAnsi="Times New Roman"/>
                <w:sz w:val="21"/>
                <w:szCs w:val="21"/>
              </w:rPr>
              <w:t>N</w:t>
            </w:r>
            <w:r>
              <w:rPr>
                <w:rFonts w:ascii="Times New Roman" w:hAnsi="Times New Roman"/>
                <w:sz w:val="21"/>
                <w:szCs w:val="21"/>
              </w:rPr>
              <w:t>计）、亚硝酸盐（以</w:t>
            </w:r>
            <w:r>
              <w:rPr>
                <w:rFonts w:ascii="Times New Roman" w:hAnsi="Times New Roman"/>
                <w:sz w:val="21"/>
                <w:szCs w:val="21"/>
              </w:rPr>
              <w:t>N</w:t>
            </w:r>
            <w:r>
              <w:rPr>
                <w:rFonts w:ascii="Times New Roman" w:hAnsi="Times New Roman"/>
                <w:sz w:val="21"/>
                <w:szCs w:val="21"/>
              </w:rPr>
              <w:t>计）、氟化物、氯化物、氰化物、硫酸盐、挥发酚、铬（六价）、细菌总数、总大肠菌群、镉、汞、砷、铅、铁、锰、钾、钠、钙、镁、氯离子、硫酸根、碳酸根、重碳酸根</w:t>
            </w:r>
          </w:p>
        </w:tc>
      </w:tr>
      <w:tr w:rsidR="009C353B" w14:paraId="07E697A2" w14:textId="77777777">
        <w:trPr>
          <w:trHeight w:val="340"/>
          <w:tblHeader/>
        </w:trPr>
        <w:tc>
          <w:tcPr>
            <w:tcW w:w="1114" w:type="dxa"/>
            <w:vMerge/>
          </w:tcPr>
          <w:p w14:paraId="362B8801" w14:textId="77777777" w:rsidR="009C353B" w:rsidRDefault="009C353B">
            <w:pPr>
              <w:widowControl/>
              <w:jc w:val="center"/>
              <w:rPr>
                <w:rFonts w:ascii="Times New Roman" w:hAnsi="Times New Roman"/>
                <w:kern w:val="0"/>
                <w:sz w:val="21"/>
                <w:szCs w:val="21"/>
              </w:rPr>
            </w:pPr>
          </w:p>
        </w:tc>
        <w:tc>
          <w:tcPr>
            <w:tcW w:w="1388" w:type="dxa"/>
            <w:gridSpan w:val="2"/>
            <w:noWrap/>
          </w:tcPr>
          <w:p w14:paraId="3F0D6FFF" w14:textId="77777777" w:rsidR="009C353B" w:rsidRDefault="00000000">
            <w:pPr>
              <w:widowControl/>
              <w:jc w:val="center"/>
              <w:rPr>
                <w:rFonts w:ascii="Times New Roman" w:hAnsi="Times New Roman"/>
                <w:kern w:val="0"/>
                <w:sz w:val="21"/>
                <w:szCs w:val="21"/>
                <w:lang w:bidi="ar"/>
              </w:rPr>
            </w:pPr>
            <w:r>
              <w:rPr>
                <w:rFonts w:ascii="Times New Roman" w:hAnsi="Times New Roman"/>
                <w:kern w:val="0"/>
                <w:sz w:val="21"/>
                <w:szCs w:val="21"/>
              </w:rPr>
              <w:t>2#</w:t>
            </w:r>
            <w:r>
              <w:rPr>
                <w:rFonts w:ascii="Times New Roman" w:hAnsi="Times New Roman"/>
                <w:kern w:val="0"/>
                <w:sz w:val="21"/>
                <w:szCs w:val="21"/>
              </w:rPr>
              <w:t>马莲台</w:t>
            </w:r>
            <w:r>
              <w:rPr>
                <w:rFonts w:ascii="Times New Roman" w:hAnsi="Times New Roman"/>
                <w:kern w:val="0"/>
                <w:sz w:val="21"/>
                <w:szCs w:val="21"/>
              </w:rPr>
              <w:t>2</w:t>
            </w:r>
          </w:p>
        </w:tc>
        <w:tc>
          <w:tcPr>
            <w:tcW w:w="1956" w:type="dxa"/>
            <w:shd w:val="clear" w:color="auto" w:fill="auto"/>
            <w:noWrap/>
          </w:tcPr>
          <w:p w14:paraId="018E571E" w14:textId="77777777" w:rsidR="009C353B" w:rsidRDefault="00000000">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E106°24′1″</w:t>
            </w:r>
            <w:r>
              <w:rPr>
                <w:rFonts w:ascii="Times New Roman" w:hAnsi="Times New Roman"/>
                <w:sz w:val="21"/>
                <w:szCs w:val="21"/>
              </w:rPr>
              <w:t>，</w:t>
            </w:r>
          </w:p>
          <w:p w14:paraId="4CB0C655" w14:textId="77777777" w:rsidR="009C353B" w:rsidRDefault="00000000">
            <w:pPr>
              <w:widowControl/>
              <w:jc w:val="center"/>
              <w:rPr>
                <w:rFonts w:ascii="Times New Roman" w:hAnsi="Times New Roman"/>
                <w:kern w:val="0"/>
                <w:sz w:val="21"/>
                <w:szCs w:val="21"/>
                <w:lang w:bidi="ar"/>
              </w:rPr>
            </w:pPr>
            <w:r>
              <w:rPr>
                <w:rFonts w:ascii="Times New Roman" w:hAnsi="Times New Roman"/>
                <w:sz w:val="21"/>
                <w:szCs w:val="21"/>
              </w:rPr>
              <w:t>N38°19′41″</w:t>
            </w:r>
          </w:p>
        </w:tc>
        <w:tc>
          <w:tcPr>
            <w:tcW w:w="1176" w:type="dxa"/>
            <w:vMerge/>
            <w:noWrap/>
          </w:tcPr>
          <w:p w14:paraId="34B579B5" w14:textId="77777777" w:rsidR="009C353B" w:rsidRDefault="009C353B">
            <w:pPr>
              <w:widowControl/>
              <w:jc w:val="center"/>
              <w:rPr>
                <w:rFonts w:ascii="Times New Roman" w:hAnsi="Times New Roman"/>
                <w:kern w:val="0"/>
                <w:sz w:val="21"/>
                <w:szCs w:val="21"/>
              </w:rPr>
            </w:pPr>
          </w:p>
        </w:tc>
        <w:tc>
          <w:tcPr>
            <w:tcW w:w="2998" w:type="dxa"/>
            <w:vMerge/>
            <w:noWrap/>
          </w:tcPr>
          <w:p w14:paraId="310AD6FE" w14:textId="77777777" w:rsidR="009C353B" w:rsidRDefault="009C353B">
            <w:pPr>
              <w:widowControl/>
              <w:jc w:val="center"/>
              <w:rPr>
                <w:rFonts w:ascii="Times New Roman" w:hAnsi="Times New Roman"/>
                <w:kern w:val="0"/>
                <w:sz w:val="21"/>
                <w:szCs w:val="21"/>
              </w:rPr>
            </w:pPr>
          </w:p>
        </w:tc>
      </w:tr>
    </w:tbl>
    <w:bookmarkEnd w:id="156"/>
    <w:p w14:paraId="3453CEA9" w14:textId="77777777" w:rsidR="009C353B" w:rsidRDefault="00000000">
      <w:pPr>
        <w:spacing w:line="440" w:lineRule="exact"/>
        <w:jc w:val="center"/>
        <w:rPr>
          <w:rFonts w:ascii="Times New Roman" w:hAnsi="Times New Roman"/>
          <w:b/>
          <w:bCs/>
          <w:szCs w:val="24"/>
        </w:rPr>
      </w:pPr>
      <w:r>
        <w:rPr>
          <w:rFonts w:ascii="Times New Roman" w:hAnsi="Times New Roman" w:hint="eastAsia"/>
          <w:b/>
          <w:bCs/>
          <w:szCs w:val="24"/>
        </w:rPr>
        <w:t>任家庄矿井地下水水质监测结果回顾（超标部分）</w:t>
      </w:r>
    </w:p>
    <w:p w14:paraId="0E2BF4B3" w14:textId="77777777" w:rsidR="009C353B" w:rsidRDefault="00000000">
      <w:pPr>
        <w:adjustRightInd w:val="0"/>
        <w:snapToGrid w:val="0"/>
        <w:spacing w:line="440" w:lineRule="exact"/>
        <w:outlineLvl w:val="5"/>
        <w:rPr>
          <w:rFonts w:ascii="Times New Roman" w:hAnsi="Times New Roman"/>
          <w:szCs w:val="24"/>
        </w:rPr>
      </w:pPr>
      <w:r>
        <w:rPr>
          <w:rFonts w:ascii="Times New Roman" w:hAnsi="Times New Roman"/>
          <w:szCs w:val="24"/>
        </w:rPr>
        <w:t>表</w:t>
      </w:r>
      <w:r>
        <w:rPr>
          <w:rFonts w:ascii="Times New Roman" w:hAnsi="Times New Roman" w:hint="eastAsia"/>
          <w:szCs w:val="24"/>
        </w:rPr>
        <w:t>4</w:t>
      </w:r>
      <w:r>
        <w:rPr>
          <w:rFonts w:ascii="Times New Roman" w:hAnsi="Times New Roman"/>
          <w:szCs w:val="24"/>
        </w:rPr>
        <w:t>.3</w:t>
      </w:r>
      <w:r>
        <w:rPr>
          <w:rFonts w:ascii="Times New Roman" w:hAnsi="Times New Roman" w:hint="eastAsia"/>
          <w:szCs w:val="24"/>
        </w:rPr>
        <w:t>-</w:t>
      </w:r>
      <w:r>
        <w:rPr>
          <w:rFonts w:ascii="Times New Roman" w:hAnsi="Times New Roman"/>
          <w:szCs w:val="24"/>
        </w:rPr>
        <w:t>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676"/>
        <w:gridCol w:w="1280"/>
        <w:gridCol w:w="1648"/>
        <w:gridCol w:w="1152"/>
        <w:gridCol w:w="1610"/>
        <w:gridCol w:w="1075"/>
      </w:tblGrid>
      <w:tr w:rsidR="009C353B" w14:paraId="78774751" w14:textId="77777777">
        <w:trPr>
          <w:trHeight w:val="340"/>
          <w:tblHeader/>
        </w:trPr>
        <w:tc>
          <w:tcPr>
            <w:tcW w:w="455" w:type="pct"/>
            <w:shd w:val="clear" w:color="auto" w:fill="auto"/>
            <w:noWrap/>
            <w:vAlign w:val="center"/>
          </w:tcPr>
          <w:p w14:paraId="47573F8F" w14:textId="77777777" w:rsidR="009C353B" w:rsidRDefault="00000000">
            <w:pPr>
              <w:widowControl/>
              <w:jc w:val="center"/>
              <w:rPr>
                <w:rFonts w:ascii="Times New Roman" w:hAnsi="Times New Roman"/>
                <w:kern w:val="0"/>
                <w:sz w:val="21"/>
                <w:szCs w:val="21"/>
              </w:rPr>
            </w:pPr>
            <w:bookmarkStart w:id="157" w:name="_Hlk49708930"/>
            <w:r>
              <w:rPr>
                <w:rFonts w:ascii="Times New Roman" w:hAnsi="Times New Roman"/>
                <w:kern w:val="0"/>
                <w:sz w:val="21"/>
                <w:szCs w:val="21"/>
              </w:rPr>
              <w:t>监测</w:t>
            </w:r>
            <w:r>
              <w:rPr>
                <w:rFonts w:ascii="Times New Roman" w:hAnsi="Times New Roman" w:hint="eastAsia"/>
                <w:kern w:val="0"/>
                <w:sz w:val="21"/>
                <w:szCs w:val="21"/>
              </w:rPr>
              <w:t>点</w:t>
            </w:r>
          </w:p>
        </w:tc>
        <w:tc>
          <w:tcPr>
            <w:tcW w:w="896" w:type="pct"/>
            <w:shd w:val="clear" w:color="auto" w:fill="auto"/>
            <w:noWrap/>
            <w:vAlign w:val="center"/>
          </w:tcPr>
          <w:p w14:paraId="792E243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污染指标</w:t>
            </w:r>
          </w:p>
        </w:tc>
        <w:tc>
          <w:tcPr>
            <w:tcW w:w="682" w:type="pct"/>
            <w:shd w:val="clear" w:color="auto" w:fill="auto"/>
            <w:noWrap/>
            <w:vAlign w:val="center"/>
          </w:tcPr>
          <w:p w14:paraId="7A2F646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监测时间</w:t>
            </w:r>
          </w:p>
        </w:tc>
        <w:tc>
          <w:tcPr>
            <w:tcW w:w="880" w:type="pct"/>
            <w:shd w:val="clear" w:color="auto" w:fill="auto"/>
            <w:noWrap/>
            <w:vAlign w:val="center"/>
          </w:tcPr>
          <w:p w14:paraId="072CE14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浓度（</w:t>
            </w:r>
            <w:r>
              <w:rPr>
                <w:rFonts w:ascii="Times New Roman" w:hAnsi="Times New Roman"/>
                <w:kern w:val="0"/>
                <w:sz w:val="21"/>
                <w:szCs w:val="21"/>
              </w:rPr>
              <w:t>mg/L</w:t>
            </w:r>
            <w:r>
              <w:rPr>
                <w:rFonts w:ascii="Times New Roman" w:hAnsi="Times New Roman"/>
                <w:kern w:val="0"/>
                <w:sz w:val="21"/>
                <w:szCs w:val="21"/>
              </w:rPr>
              <w:t>）</w:t>
            </w:r>
          </w:p>
        </w:tc>
        <w:tc>
          <w:tcPr>
            <w:tcW w:w="613" w:type="pct"/>
            <w:shd w:val="clear" w:color="auto" w:fill="auto"/>
            <w:noWrap/>
            <w:vAlign w:val="center"/>
          </w:tcPr>
          <w:p w14:paraId="5FCA0F8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标准指数</w:t>
            </w:r>
          </w:p>
        </w:tc>
        <w:tc>
          <w:tcPr>
            <w:tcW w:w="860" w:type="pct"/>
            <w:shd w:val="clear" w:color="auto" w:fill="auto"/>
            <w:noWrap/>
            <w:vAlign w:val="center"/>
          </w:tcPr>
          <w:p w14:paraId="65C22EC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划定水质目标</w:t>
            </w:r>
          </w:p>
        </w:tc>
        <w:tc>
          <w:tcPr>
            <w:tcW w:w="613" w:type="pct"/>
            <w:shd w:val="clear" w:color="auto" w:fill="auto"/>
            <w:noWrap/>
            <w:vAlign w:val="center"/>
          </w:tcPr>
          <w:p w14:paraId="6589F48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标准限值</w:t>
            </w:r>
          </w:p>
        </w:tc>
      </w:tr>
      <w:bookmarkEnd w:id="157"/>
      <w:tr w:rsidR="009C353B" w14:paraId="6630E862" w14:textId="77777777">
        <w:trPr>
          <w:trHeight w:val="340"/>
        </w:trPr>
        <w:tc>
          <w:tcPr>
            <w:tcW w:w="413" w:type="pct"/>
            <w:vMerge w:val="restart"/>
            <w:shd w:val="clear" w:color="auto" w:fill="auto"/>
            <w:noWrap/>
            <w:vAlign w:val="center"/>
          </w:tcPr>
          <w:p w14:paraId="12F7F1E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w:t>
            </w:r>
          </w:p>
        </w:tc>
        <w:tc>
          <w:tcPr>
            <w:tcW w:w="903" w:type="pct"/>
            <w:shd w:val="clear" w:color="auto" w:fill="auto"/>
            <w:vAlign w:val="center"/>
          </w:tcPr>
          <w:p w14:paraId="4D08E28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总硬度</w:t>
            </w:r>
          </w:p>
        </w:tc>
        <w:tc>
          <w:tcPr>
            <w:tcW w:w="689" w:type="pct"/>
            <w:vMerge w:val="restart"/>
            <w:shd w:val="clear" w:color="auto" w:fill="auto"/>
            <w:noWrap/>
            <w:vAlign w:val="center"/>
          </w:tcPr>
          <w:p w14:paraId="68E7D95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2005/3/1</w:t>
            </w:r>
          </w:p>
        </w:tc>
        <w:tc>
          <w:tcPr>
            <w:tcW w:w="887" w:type="pct"/>
            <w:shd w:val="clear" w:color="auto" w:fill="auto"/>
            <w:vAlign w:val="center"/>
          </w:tcPr>
          <w:p w14:paraId="2189DF8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727.38</w:t>
            </w:r>
          </w:p>
        </w:tc>
        <w:tc>
          <w:tcPr>
            <w:tcW w:w="620" w:type="pct"/>
            <w:shd w:val="clear" w:color="auto" w:fill="auto"/>
            <w:vAlign w:val="center"/>
          </w:tcPr>
          <w:p w14:paraId="41523B9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1.62</w:t>
            </w:r>
          </w:p>
        </w:tc>
        <w:tc>
          <w:tcPr>
            <w:tcW w:w="867" w:type="pct"/>
            <w:vMerge w:val="restart"/>
            <w:shd w:val="clear" w:color="auto" w:fill="auto"/>
            <w:noWrap/>
            <w:vAlign w:val="center"/>
          </w:tcPr>
          <w:p w14:paraId="0AC47350" w14:textId="77777777" w:rsidR="009C353B" w:rsidRDefault="009C353B">
            <w:pPr>
              <w:widowControl/>
              <w:jc w:val="center"/>
              <w:rPr>
                <w:rFonts w:ascii="Times New Roman" w:hAnsi="Times New Roman"/>
                <w:kern w:val="0"/>
                <w:sz w:val="21"/>
                <w:szCs w:val="21"/>
              </w:rPr>
            </w:pPr>
          </w:p>
        </w:tc>
        <w:tc>
          <w:tcPr>
            <w:tcW w:w="620" w:type="pct"/>
            <w:shd w:val="clear" w:color="auto" w:fill="auto"/>
            <w:noWrap/>
            <w:vAlign w:val="center"/>
          </w:tcPr>
          <w:p w14:paraId="2D886FA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450</w:t>
            </w:r>
          </w:p>
        </w:tc>
      </w:tr>
      <w:tr w:rsidR="009C353B" w14:paraId="0F08DF6B" w14:textId="77777777">
        <w:trPr>
          <w:trHeight w:val="340"/>
        </w:trPr>
        <w:tc>
          <w:tcPr>
            <w:tcW w:w="413" w:type="pct"/>
            <w:vMerge/>
            <w:vAlign w:val="center"/>
          </w:tcPr>
          <w:p w14:paraId="7D4FDBB4" w14:textId="77777777" w:rsidR="009C353B" w:rsidRDefault="009C353B">
            <w:pPr>
              <w:widowControl/>
              <w:jc w:val="center"/>
              <w:rPr>
                <w:rFonts w:ascii="Times New Roman" w:hAnsi="Times New Roman"/>
                <w:kern w:val="0"/>
                <w:sz w:val="21"/>
                <w:szCs w:val="21"/>
              </w:rPr>
            </w:pPr>
          </w:p>
        </w:tc>
        <w:tc>
          <w:tcPr>
            <w:tcW w:w="903" w:type="pct"/>
            <w:shd w:val="clear" w:color="auto" w:fill="auto"/>
            <w:vAlign w:val="center"/>
          </w:tcPr>
          <w:p w14:paraId="7BAC7C0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溶解性总固体</w:t>
            </w:r>
          </w:p>
        </w:tc>
        <w:tc>
          <w:tcPr>
            <w:tcW w:w="689" w:type="pct"/>
            <w:vMerge/>
            <w:shd w:val="clear" w:color="auto" w:fill="auto"/>
            <w:noWrap/>
            <w:vAlign w:val="center"/>
          </w:tcPr>
          <w:p w14:paraId="231E16B2" w14:textId="77777777" w:rsidR="009C353B" w:rsidRDefault="009C353B">
            <w:pPr>
              <w:widowControl/>
              <w:jc w:val="center"/>
              <w:rPr>
                <w:rFonts w:ascii="Times New Roman" w:hAnsi="Times New Roman"/>
                <w:kern w:val="0"/>
                <w:sz w:val="21"/>
                <w:szCs w:val="21"/>
              </w:rPr>
            </w:pPr>
          </w:p>
        </w:tc>
        <w:tc>
          <w:tcPr>
            <w:tcW w:w="887" w:type="pct"/>
            <w:shd w:val="clear" w:color="auto" w:fill="auto"/>
            <w:vAlign w:val="center"/>
          </w:tcPr>
          <w:p w14:paraId="5459668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1398.2</w:t>
            </w:r>
          </w:p>
        </w:tc>
        <w:tc>
          <w:tcPr>
            <w:tcW w:w="620" w:type="pct"/>
            <w:shd w:val="clear" w:color="auto" w:fill="auto"/>
            <w:vAlign w:val="center"/>
          </w:tcPr>
          <w:p w14:paraId="04BF4E4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1.4</w:t>
            </w:r>
          </w:p>
        </w:tc>
        <w:tc>
          <w:tcPr>
            <w:tcW w:w="867" w:type="pct"/>
            <w:vMerge/>
            <w:vAlign w:val="center"/>
          </w:tcPr>
          <w:p w14:paraId="3A2A5EE5" w14:textId="77777777" w:rsidR="009C353B" w:rsidRDefault="009C353B">
            <w:pPr>
              <w:widowControl/>
              <w:jc w:val="center"/>
              <w:rPr>
                <w:rFonts w:ascii="Times New Roman" w:hAnsi="Times New Roman"/>
                <w:kern w:val="0"/>
                <w:sz w:val="21"/>
                <w:szCs w:val="21"/>
              </w:rPr>
            </w:pPr>
          </w:p>
        </w:tc>
        <w:tc>
          <w:tcPr>
            <w:tcW w:w="620" w:type="pct"/>
            <w:shd w:val="clear" w:color="auto" w:fill="auto"/>
            <w:vAlign w:val="center"/>
          </w:tcPr>
          <w:p w14:paraId="0687490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1000</w:t>
            </w:r>
          </w:p>
        </w:tc>
      </w:tr>
      <w:tr w:rsidR="009C353B" w14:paraId="42C72EB7" w14:textId="77777777">
        <w:trPr>
          <w:trHeight w:val="340"/>
        </w:trPr>
        <w:tc>
          <w:tcPr>
            <w:tcW w:w="413" w:type="pct"/>
            <w:vMerge/>
            <w:vAlign w:val="center"/>
          </w:tcPr>
          <w:p w14:paraId="626FD1DA" w14:textId="77777777" w:rsidR="009C353B" w:rsidRDefault="009C353B">
            <w:pPr>
              <w:widowControl/>
              <w:jc w:val="center"/>
              <w:rPr>
                <w:rFonts w:ascii="Times New Roman" w:hAnsi="Times New Roman"/>
                <w:kern w:val="0"/>
                <w:sz w:val="21"/>
                <w:szCs w:val="21"/>
              </w:rPr>
            </w:pPr>
          </w:p>
        </w:tc>
        <w:tc>
          <w:tcPr>
            <w:tcW w:w="903" w:type="pct"/>
            <w:shd w:val="clear" w:color="auto" w:fill="auto"/>
            <w:vAlign w:val="center"/>
          </w:tcPr>
          <w:p w14:paraId="76D28B0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硫酸盐</w:t>
            </w:r>
          </w:p>
        </w:tc>
        <w:tc>
          <w:tcPr>
            <w:tcW w:w="689" w:type="pct"/>
            <w:vMerge/>
            <w:shd w:val="clear" w:color="auto" w:fill="auto"/>
            <w:noWrap/>
            <w:vAlign w:val="center"/>
          </w:tcPr>
          <w:p w14:paraId="062DA9C0" w14:textId="77777777" w:rsidR="009C353B" w:rsidRDefault="009C353B">
            <w:pPr>
              <w:widowControl/>
              <w:jc w:val="center"/>
              <w:rPr>
                <w:rFonts w:ascii="Times New Roman" w:hAnsi="Times New Roman"/>
                <w:kern w:val="0"/>
                <w:sz w:val="21"/>
                <w:szCs w:val="21"/>
              </w:rPr>
            </w:pPr>
          </w:p>
        </w:tc>
        <w:tc>
          <w:tcPr>
            <w:tcW w:w="887" w:type="pct"/>
            <w:shd w:val="clear" w:color="auto" w:fill="auto"/>
            <w:vAlign w:val="center"/>
          </w:tcPr>
          <w:p w14:paraId="20D5E26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837.8</w:t>
            </w:r>
          </w:p>
        </w:tc>
        <w:tc>
          <w:tcPr>
            <w:tcW w:w="620" w:type="pct"/>
            <w:shd w:val="clear" w:color="auto" w:fill="auto"/>
            <w:vAlign w:val="center"/>
          </w:tcPr>
          <w:p w14:paraId="485C218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3.35</w:t>
            </w:r>
          </w:p>
        </w:tc>
        <w:tc>
          <w:tcPr>
            <w:tcW w:w="867" w:type="pct"/>
            <w:vMerge/>
            <w:vAlign w:val="center"/>
          </w:tcPr>
          <w:p w14:paraId="117E044B" w14:textId="77777777" w:rsidR="009C353B" w:rsidRDefault="009C353B">
            <w:pPr>
              <w:widowControl/>
              <w:jc w:val="center"/>
              <w:rPr>
                <w:rFonts w:ascii="Times New Roman" w:hAnsi="Times New Roman"/>
                <w:kern w:val="0"/>
                <w:sz w:val="21"/>
                <w:szCs w:val="21"/>
              </w:rPr>
            </w:pPr>
          </w:p>
        </w:tc>
        <w:tc>
          <w:tcPr>
            <w:tcW w:w="620" w:type="pct"/>
            <w:vAlign w:val="center"/>
          </w:tcPr>
          <w:p w14:paraId="2A776E1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250</w:t>
            </w:r>
          </w:p>
        </w:tc>
      </w:tr>
      <w:tr w:rsidR="009C353B" w14:paraId="28A47558" w14:textId="77777777">
        <w:trPr>
          <w:trHeight w:val="340"/>
        </w:trPr>
        <w:tc>
          <w:tcPr>
            <w:tcW w:w="413" w:type="pct"/>
            <w:vMerge/>
            <w:vAlign w:val="center"/>
          </w:tcPr>
          <w:p w14:paraId="6E57EB75" w14:textId="77777777" w:rsidR="009C353B" w:rsidRDefault="009C353B">
            <w:pPr>
              <w:widowControl/>
              <w:jc w:val="center"/>
              <w:rPr>
                <w:rFonts w:ascii="Times New Roman" w:hAnsi="Times New Roman"/>
                <w:kern w:val="0"/>
                <w:sz w:val="21"/>
                <w:szCs w:val="21"/>
              </w:rPr>
            </w:pPr>
          </w:p>
        </w:tc>
        <w:tc>
          <w:tcPr>
            <w:tcW w:w="903" w:type="pct"/>
            <w:shd w:val="clear" w:color="auto" w:fill="auto"/>
            <w:vAlign w:val="center"/>
          </w:tcPr>
          <w:p w14:paraId="3DF0E48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689" w:type="pct"/>
            <w:vMerge/>
            <w:shd w:val="clear" w:color="auto" w:fill="auto"/>
            <w:noWrap/>
            <w:vAlign w:val="center"/>
          </w:tcPr>
          <w:p w14:paraId="5D7D21EE" w14:textId="77777777" w:rsidR="009C353B" w:rsidRDefault="009C353B">
            <w:pPr>
              <w:widowControl/>
              <w:jc w:val="center"/>
              <w:rPr>
                <w:rFonts w:ascii="Times New Roman" w:hAnsi="Times New Roman"/>
                <w:kern w:val="0"/>
                <w:sz w:val="21"/>
                <w:szCs w:val="21"/>
              </w:rPr>
            </w:pPr>
          </w:p>
        </w:tc>
        <w:tc>
          <w:tcPr>
            <w:tcW w:w="887" w:type="pct"/>
            <w:shd w:val="clear" w:color="auto" w:fill="auto"/>
            <w:vAlign w:val="center"/>
          </w:tcPr>
          <w:p w14:paraId="248B9B7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2.3</w:t>
            </w:r>
          </w:p>
        </w:tc>
        <w:tc>
          <w:tcPr>
            <w:tcW w:w="620" w:type="pct"/>
            <w:shd w:val="clear" w:color="auto" w:fill="auto"/>
            <w:vAlign w:val="center"/>
          </w:tcPr>
          <w:p w14:paraId="1AD76B8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2.3</w:t>
            </w:r>
          </w:p>
        </w:tc>
        <w:tc>
          <w:tcPr>
            <w:tcW w:w="867" w:type="pct"/>
            <w:vMerge/>
            <w:vAlign w:val="center"/>
          </w:tcPr>
          <w:p w14:paraId="5544472C" w14:textId="77777777" w:rsidR="009C353B" w:rsidRDefault="009C353B">
            <w:pPr>
              <w:widowControl/>
              <w:jc w:val="center"/>
              <w:rPr>
                <w:rFonts w:ascii="Times New Roman" w:hAnsi="Times New Roman"/>
                <w:kern w:val="0"/>
                <w:sz w:val="21"/>
                <w:szCs w:val="21"/>
              </w:rPr>
            </w:pPr>
          </w:p>
        </w:tc>
        <w:tc>
          <w:tcPr>
            <w:tcW w:w="620" w:type="pct"/>
            <w:vAlign w:val="center"/>
          </w:tcPr>
          <w:p w14:paraId="376B40D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p>
        </w:tc>
      </w:tr>
      <w:tr w:rsidR="009C353B" w14:paraId="36E748E5" w14:textId="77777777">
        <w:trPr>
          <w:trHeight w:val="340"/>
        </w:trPr>
        <w:tc>
          <w:tcPr>
            <w:tcW w:w="413" w:type="pct"/>
            <w:vMerge w:val="restart"/>
            <w:shd w:val="clear" w:color="auto" w:fill="auto"/>
            <w:noWrap/>
            <w:vAlign w:val="center"/>
          </w:tcPr>
          <w:p w14:paraId="48366BA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w:t>
            </w:r>
          </w:p>
        </w:tc>
        <w:tc>
          <w:tcPr>
            <w:tcW w:w="903" w:type="pct"/>
            <w:shd w:val="clear" w:color="auto" w:fill="auto"/>
            <w:vAlign w:val="center"/>
          </w:tcPr>
          <w:p w14:paraId="6ACC2EA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硫酸盐</w:t>
            </w:r>
          </w:p>
        </w:tc>
        <w:tc>
          <w:tcPr>
            <w:tcW w:w="689" w:type="pct"/>
            <w:vMerge/>
            <w:shd w:val="clear" w:color="auto" w:fill="auto"/>
            <w:noWrap/>
            <w:vAlign w:val="center"/>
          </w:tcPr>
          <w:p w14:paraId="362749E3" w14:textId="77777777" w:rsidR="009C353B" w:rsidRDefault="009C353B">
            <w:pPr>
              <w:widowControl/>
              <w:jc w:val="center"/>
              <w:rPr>
                <w:rFonts w:ascii="Times New Roman" w:hAnsi="Times New Roman"/>
                <w:kern w:val="0"/>
                <w:sz w:val="21"/>
                <w:szCs w:val="21"/>
              </w:rPr>
            </w:pPr>
          </w:p>
        </w:tc>
        <w:tc>
          <w:tcPr>
            <w:tcW w:w="887" w:type="pct"/>
            <w:shd w:val="clear" w:color="auto" w:fill="auto"/>
            <w:vAlign w:val="center"/>
          </w:tcPr>
          <w:p w14:paraId="1C4A555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463.54</w:t>
            </w:r>
          </w:p>
        </w:tc>
        <w:tc>
          <w:tcPr>
            <w:tcW w:w="620" w:type="pct"/>
            <w:shd w:val="clear" w:color="auto" w:fill="auto"/>
            <w:vAlign w:val="center"/>
          </w:tcPr>
          <w:p w14:paraId="6AB9D10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1.85</w:t>
            </w:r>
          </w:p>
        </w:tc>
        <w:tc>
          <w:tcPr>
            <w:tcW w:w="867" w:type="pct"/>
            <w:vMerge/>
            <w:vAlign w:val="center"/>
          </w:tcPr>
          <w:p w14:paraId="75962B73" w14:textId="77777777" w:rsidR="009C353B" w:rsidRDefault="009C353B">
            <w:pPr>
              <w:widowControl/>
              <w:jc w:val="center"/>
              <w:rPr>
                <w:rFonts w:ascii="Times New Roman" w:hAnsi="Times New Roman"/>
                <w:kern w:val="0"/>
                <w:sz w:val="21"/>
                <w:szCs w:val="21"/>
              </w:rPr>
            </w:pPr>
          </w:p>
        </w:tc>
        <w:tc>
          <w:tcPr>
            <w:tcW w:w="620" w:type="pct"/>
            <w:shd w:val="clear" w:color="auto" w:fill="auto"/>
            <w:noWrap/>
            <w:vAlign w:val="center"/>
          </w:tcPr>
          <w:p w14:paraId="1D0DD66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250</w:t>
            </w:r>
          </w:p>
        </w:tc>
      </w:tr>
      <w:tr w:rsidR="009C353B" w14:paraId="454A5BD4" w14:textId="77777777">
        <w:trPr>
          <w:trHeight w:val="340"/>
        </w:trPr>
        <w:tc>
          <w:tcPr>
            <w:tcW w:w="413" w:type="pct"/>
            <w:vMerge/>
            <w:vAlign w:val="center"/>
          </w:tcPr>
          <w:p w14:paraId="61E44F5B" w14:textId="77777777" w:rsidR="009C353B" w:rsidRDefault="009C353B">
            <w:pPr>
              <w:widowControl/>
              <w:jc w:val="center"/>
              <w:rPr>
                <w:rFonts w:ascii="Times New Roman" w:hAnsi="Times New Roman"/>
                <w:kern w:val="0"/>
                <w:sz w:val="21"/>
                <w:szCs w:val="21"/>
              </w:rPr>
            </w:pPr>
          </w:p>
        </w:tc>
        <w:tc>
          <w:tcPr>
            <w:tcW w:w="903" w:type="pct"/>
            <w:shd w:val="clear" w:color="auto" w:fill="auto"/>
            <w:vAlign w:val="center"/>
          </w:tcPr>
          <w:p w14:paraId="0EC551E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689" w:type="pct"/>
            <w:vMerge/>
            <w:shd w:val="clear" w:color="auto" w:fill="auto"/>
            <w:noWrap/>
            <w:vAlign w:val="center"/>
          </w:tcPr>
          <w:p w14:paraId="42E46183" w14:textId="77777777" w:rsidR="009C353B" w:rsidRDefault="009C353B">
            <w:pPr>
              <w:widowControl/>
              <w:jc w:val="center"/>
              <w:rPr>
                <w:rFonts w:ascii="Times New Roman" w:hAnsi="Times New Roman"/>
                <w:kern w:val="0"/>
                <w:sz w:val="21"/>
                <w:szCs w:val="21"/>
              </w:rPr>
            </w:pPr>
          </w:p>
        </w:tc>
        <w:tc>
          <w:tcPr>
            <w:tcW w:w="887" w:type="pct"/>
            <w:shd w:val="clear" w:color="auto" w:fill="auto"/>
            <w:vAlign w:val="center"/>
          </w:tcPr>
          <w:p w14:paraId="4E7DC0D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2.8</w:t>
            </w:r>
          </w:p>
        </w:tc>
        <w:tc>
          <w:tcPr>
            <w:tcW w:w="620" w:type="pct"/>
            <w:shd w:val="clear" w:color="auto" w:fill="auto"/>
            <w:vAlign w:val="center"/>
          </w:tcPr>
          <w:p w14:paraId="495B172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2.8</w:t>
            </w:r>
          </w:p>
        </w:tc>
        <w:tc>
          <w:tcPr>
            <w:tcW w:w="867" w:type="pct"/>
            <w:vMerge/>
            <w:vAlign w:val="center"/>
          </w:tcPr>
          <w:p w14:paraId="4693E4FF" w14:textId="77777777" w:rsidR="009C353B" w:rsidRDefault="009C353B">
            <w:pPr>
              <w:widowControl/>
              <w:jc w:val="center"/>
              <w:rPr>
                <w:rFonts w:ascii="Times New Roman" w:hAnsi="Times New Roman"/>
                <w:kern w:val="0"/>
                <w:sz w:val="21"/>
                <w:szCs w:val="21"/>
              </w:rPr>
            </w:pPr>
          </w:p>
        </w:tc>
        <w:tc>
          <w:tcPr>
            <w:tcW w:w="620" w:type="pct"/>
            <w:shd w:val="clear" w:color="auto" w:fill="auto"/>
            <w:vAlign w:val="center"/>
          </w:tcPr>
          <w:p w14:paraId="32C4DC7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p>
        </w:tc>
      </w:tr>
      <w:tr w:rsidR="009C353B" w14:paraId="1656B129" w14:textId="77777777">
        <w:trPr>
          <w:trHeight w:val="340"/>
        </w:trPr>
        <w:tc>
          <w:tcPr>
            <w:tcW w:w="413" w:type="pct"/>
            <w:vMerge/>
            <w:vAlign w:val="center"/>
          </w:tcPr>
          <w:p w14:paraId="50B1C05C" w14:textId="77777777" w:rsidR="009C353B" w:rsidRDefault="009C353B">
            <w:pPr>
              <w:widowControl/>
              <w:jc w:val="center"/>
              <w:rPr>
                <w:rFonts w:ascii="Times New Roman" w:hAnsi="Times New Roman"/>
                <w:kern w:val="0"/>
                <w:sz w:val="21"/>
                <w:szCs w:val="21"/>
              </w:rPr>
            </w:pPr>
          </w:p>
        </w:tc>
        <w:tc>
          <w:tcPr>
            <w:tcW w:w="903" w:type="pct"/>
            <w:vMerge w:val="restart"/>
            <w:shd w:val="clear" w:color="auto" w:fill="auto"/>
            <w:vAlign w:val="center"/>
          </w:tcPr>
          <w:p w14:paraId="4E2D7C4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总硬度</w:t>
            </w:r>
          </w:p>
        </w:tc>
        <w:tc>
          <w:tcPr>
            <w:tcW w:w="689" w:type="pct"/>
            <w:shd w:val="clear" w:color="auto" w:fill="auto"/>
            <w:noWrap/>
            <w:vAlign w:val="center"/>
          </w:tcPr>
          <w:p w14:paraId="4205E7D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2008/11/16</w:t>
            </w:r>
          </w:p>
        </w:tc>
        <w:tc>
          <w:tcPr>
            <w:tcW w:w="887" w:type="pct"/>
            <w:shd w:val="clear" w:color="auto" w:fill="auto"/>
            <w:vAlign w:val="center"/>
          </w:tcPr>
          <w:p w14:paraId="779B1AF5"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507.51</w:t>
            </w:r>
          </w:p>
        </w:tc>
        <w:tc>
          <w:tcPr>
            <w:tcW w:w="620" w:type="pct"/>
            <w:shd w:val="clear" w:color="auto" w:fill="auto"/>
            <w:vAlign w:val="center"/>
          </w:tcPr>
          <w:p w14:paraId="146627A3"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1.13</w:t>
            </w:r>
          </w:p>
        </w:tc>
        <w:tc>
          <w:tcPr>
            <w:tcW w:w="867" w:type="pct"/>
            <w:vMerge/>
            <w:vAlign w:val="center"/>
          </w:tcPr>
          <w:p w14:paraId="2E0B4ACB" w14:textId="77777777" w:rsidR="009C353B" w:rsidRDefault="009C353B">
            <w:pPr>
              <w:widowControl/>
              <w:jc w:val="center"/>
              <w:rPr>
                <w:rFonts w:ascii="Times New Roman" w:hAnsi="Times New Roman"/>
                <w:kern w:val="0"/>
                <w:sz w:val="21"/>
                <w:szCs w:val="21"/>
              </w:rPr>
            </w:pPr>
          </w:p>
        </w:tc>
        <w:tc>
          <w:tcPr>
            <w:tcW w:w="620" w:type="pct"/>
            <w:vMerge w:val="restart"/>
            <w:shd w:val="clear" w:color="auto" w:fill="auto"/>
            <w:vAlign w:val="center"/>
          </w:tcPr>
          <w:p w14:paraId="0241188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50</w:t>
            </w:r>
          </w:p>
        </w:tc>
      </w:tr>
      <w:tr w:rsidR="009C353B" w14:paraId="33B09CDB" w14:textId="77777777">
        <w:trPr>
          <w:trHeight w:val="340"/>
        </w:trPr>
        <w:tc>
          <w:tcPr>
            <w:tcW w:w="413" w:type="pct"/>
            <w:vMerge/>
            <w:vAlign w:val="center"/>
          </w:tcPr>
          <w:p w14:paraId="16D73BA1" w14:textId="77777777" w:rsidR="009C353B" w:rsidRDefault="009C353B">
            <w:pPr>
              <w:widowControl/>
              <w:jc w:val="center"/>
              <w:rPr>
                <w:rFonts w:ascii="Times New Roman" w:hAnsi="Times New Roman"/>
                <w:kern w:val="0"/>
                <w:sz w:val="21"/>
                <w:szCs w:val="21"/>
              </w:rPr>
            </w:pPr>
          </w:p>
        </w:tc>
        <w:tc>
          <w:tcPr>
            <w:tcW w:w="903" w:type="pct"/>
            <w:vMerge/>
            <w:shd w:val="clear" w:color="auto" w:fill="auto"/>
            <w:vAlign w:val="center"/>
          </w:tcPr>
          <w:p w14:paraId="5A174FC7" w14:textId="77777777" w:rsidR="009C353B" w:rsidRDefault="009C353B">
            <w:pPr>
              <w:widowControl/>
              <w:jc w:val="center"/>
              <w:rPr>
                <w:rFonts w:ascii="Times New Roman" w:hAnsi="Times New Roman"/>
                <w:kern w:val="0"/>
                <w:sz w:val="21"/>
                <w:szCs w:val="21"/>
              </w:rPr>
            </w:pPr>
          </w:p>
        </w:tc>
        <w:tc>
          <w:tcPr>
            <w:tcW w:w="689" w:type="pct"/>
            <w:shd w:val="clear" w:color="auto" w:fill="auto"/>
            <w:noWrap/>
            <w:vAlign w:val="center"/>
          </w:tcPr>
          <w:p w14:paraId="4B5C594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2008/11/17</w:t>
            </w:r>
          </w:p>
        </w:tc>
        <w:tc>
          <w:tcPr>
            <w:tcW w:w="887" w:type="pct"/>
            <w:shd w:val="clear" w:color="auto" w:fill="auto"/>
            <w:vAlign w:val="center"/>
          </w:tcPr>
          <w:p w14:paraId="30DA371D"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507.51</w:t>
            </w:r>
          </w:p>
        </w:tc>
        <w:tc>
          <w:tcPr>
            <w:tcW w:w="620" w:type="pct"/>
            <w:shd w:val="clear" w:color="auto" w:fill="auto"/>
            <w:vAlign w:val="center"/>
          </w:tcPr>
          <w:p w14:paraId="3E811519"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1.13</w:t>
            </w:r>
          </w:p>
        </w:tc>
        <w:tc>
          <w:tcPr>
            <w:tcW w:w="867" w:type="pct"/>
            <w:vMerge/>
            <w:vAlign w:val="center"/>
          </w:tcPr>
          <w:p w14:paraId="79133772" w14:textId="77777777" w:rsidR="009C353B" w:rsidRDefault="009C353B">
            <w:pPr>
              <w:widowControl/>
              <w:jc w:val="center"/>
              <w:rPr>
                <w:rFonts w:ascii="Times New Roman" w:hAnsi="Times New Roman"/>
                <w:kern w:val="0"/>
                <w:sz w:val="21"/>
                <w:szCs w:val="21"/>
              </w:rPr>
            </w:pPr>
          </w:p>
        </w:tc>
        <w:tc>
          <w:tcPr>
            <w:tcW w:w="620" w:type="pct"/>
            <w:vMerge/>
            <w:shd w:val="clear" w:color="auto" w:fill="auto"/>
            <w:vAlign w:val="center"/>
          </w:tcPr>
          <w:p w14:paraId="714308AC" w14:textId="77777777" w:rsidR="009C353B" w:rsidRDefault="009C353B">
            <w:pPr>
              <w:widowControl/>
              <w:jc w:val="center"/>
              <w:rPr>
                <w:rFonts w:ascii="Times New Roman" w:hAnsi="Times New Roman"/>
                <w:kern w:val="0"/>
                <w:sz w:val="21"/>
                <w:szCs w:val="21"/>
              </w:rPr>
            </w:pPr>
          </w:p>
        </w:tc>
      </w:tr>
      <w:tr w:rsidR="009C353B" w14:paraId="284E3473" w14:textId="77777777">
        <w:trPr>
          <w:trHeight w:val="340"/>
        </w:trPr>
        <w:tc>
          <w:tcPr>
            <w:tcW w:w="413" w:type="pct"/>
            <w:vMerge/>
            <w:vAlign w:val="center"/>
          </w:tcPr>
          <w:p w14:paraId="197E4677" w14:textId="77777777" w:rsidR="009C353B" w:rsidRDefault="009C353B">
            <w:pPr>
              <w:widowControl/>
              <w:jc w:val="center"/>
              <w:rPr>
                <w:rFonts w:ascii="Times New Roman" w:hAnsi="Times New Roman"/>
                <w:kern w:val="0"/>
                <w:sz w:val="21"/>
                <w:szCs w:val="21"/>
              </w:rPr>
            </w:pPr>
          </w:p>
        </w:tc>
        <w:tc>
          <w:tcPr>
            <w:tcW w:w="903" w:type="pct"/>
            <w:vMerge/>
            <w:shd w:val="clear" w:color="auto" w:fill="auto"/>
            <w:vAlign w:val="center"/>
          </w:tcPr>
          <w:p w14:paraId="1C6212F5" w14:textId="77777777" w:rsidR="009C353B" w:rsidRDefault="009C353B">
            <w:pPr>
              <w:widowControl/>
              <w:jc w:val="center"/>
              <w:rPr>
                <w:rFonts w:ascii="Times New Roman" w:hAnsi="Times New Roman"/>
                <w:kern w:val="0"/>
                <w:sz w:val="21"/>
                <w:szCs w:val="21"/>
              </w:rPr>
            </w:pPr>
          </w:p>
        </w:tc>
        <w:tc>
          <w:tcPr>
            <w:tcW w:w="689" w:type="pct"/>
            <w:shd w:val="clear" w:color="auto" w:fill="auto"/>
            <w:noWrap/>
            <w:vAlign w:val="center"/>
          </w:tcPr>
          <w:p w14:paraId="797DFEA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2008/11/18</w:t>
            </w:r>
          </w:p>
        </w:tc>
        <w:tc>
          <w:tcPr>
            <w:tcW w:w="887" w:type="pct"/>
            <w:shd w:val="clear" w:color="auto" w:fill="auto"/>
            <w:vAlign w:val="center"/>
          </w:tcPr>
          <w:p w14:paraId="719FD2C4"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503.84</w:t>
            </w:r>
          </w:p>
        </w:tc>
        <w:tc>
          <w:tcPr>
            <w:tcW w:w="620" w:type="pct"/>
            <w:shd w:val="clear" w:color="auto" w:fill="auto"/>
            <w:vAlign w:val="center"/>
          </w:tcPr>
          <w:p w14:paraId="1B6591BB"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1.12</w:t>
            </w:r>
          </w:p>
        </w:tc>
        <w:tc>
          <w:tcPr>
            <w:tcW w:w="867" w:type="pct"/>
            <w:vMerge/>
            <w:vAlign w:val="center"/>
          </w:tcPr>
          <w:p w14:paraId="22947566" w14:textId="77777777" w:rsidR="009C353B" w:rsidRDefault="009C353B">
            <w:pPr>
              <w:widowControl/>
              <w:jc w:val="center"/>
              <w:rPr>
                <w:rFonts w:ascii="Times New Roman" w:hAnsi="Times New Roman"/>
                <w:kern w:val="0"/>
                <w:sz w:val="21"/>
                <w:szCs w:val="21"/>
              </w:rPr>
            </w:pPr>
          </w:p>
        </w:tc>
        <w:tc>
          <w:tcPr>
            <w:tcW w:w="620" w:type="pct"/>
            <w:vMerge/>
            <w:shd w:val="clear" w:color="auto" w:fill="auto"/>
            <w:vAlign w:val="center"/>
          </w:tcPr>
          <w:p w14:paraId="346881F4" w14:textId="77777777" w:rsidR="009C353B" w:rsidRDefault="009C353B">
            <w:pPr>
              <w:widowControl/>
              <w:jc w:val="center"/>
              <w:rPr>
                <w:rFonts w:ascii="Times New Roman" w:hAnsi="Times New Roman"/>
                <w:kern w:val="0"/>
                <w:sz w:val="21"/>
                <w:szCs w:val="21"/>
              </w:rPr>
            </w:pPr>
          </w:p>
        </w:tc>
      </w:tr>
      <w:tr w:rsidR="009C353B" w14:paraId="662C8021" w14:textId="77777777">
        <w:trPr>
          <w:trHeight w:val="340"/>
        </w:trPr>
        <w:tc>
          <w:tcPr>
            <w:tcW w:w="413" w:type="pct"/>
            <w:vMerge/>
            <w:vAlign w:val="center"/>
          </w:tcPr>
          <w:p w14:paraId="5B3EEC34" w14:textId="77777777" w:rsidR="009C353B" w:rsidRDefault="009C353B">
            <w:pPr>
              <w:widowControl/>
              <w:jc w:val="center"/>
              <w:rPr>
                <w:rFonts w:ascii="Times New Roman" w:hAnsi="Times New Roman"/>
                <w:kern w:val="0"/>
                <w:sz w:val="21"/>
                <w:szCs w:val="21"/>
              </w:rPr>
            </w:pPr>
          </w:p>
        </w:tc>
        <w:tc>
          <w:tcPr>
            <w:tcW w:w="903" w:type="pct"/>
            <w:vMerge w:val="restart"/>
            <w:shd w:val="clear" w:color="auto" w:fill="auto"/>
            <w:vAlign w:val="center"/>
          </w:tcPr>
          <w:p w14:paraId="17F86B3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溶解性总固体</w:t>
            </w:r>
          </w:p>
        </w:tc>
        <w:tc>
          <w:tcPr>
            <w:tcW w:w="689" w:type="pct"/>
            <w:shd w:val="clear" w:color="auto" w:fill="auto"/>
            <w:noWrap/>
            <w:vAlign w:val="center"/>
          </w:tcPr>
          <w:p w14:paraId="3036258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2008/11/16</w:t>
            </w:r>
          </w:p>
        </w:tc>
        <w:tc>
          <w:tcPr>
            <w:tcW w:w="887" w:type="pct"/>
            <w:shd w:val="clear" w:color="auto" w:fill="auto"/>
            <w:vAlign w:val="center"/>
          </w:tcPr>
          <w:p w14:paraId="28497765"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1226</w:t>
            </w:r>
          </w:p>
        </w:tc>
        <w:tc>
          <w:tcPr>
            <w:tcW w:w="620" w:type="pct"/>
            <w:shd w:val="clear" w:color="auto" w:fill="auto"/>
            <w:vAlign w:val="center"/>
          </w:tcPr>
          <w:p w14:paraId="257613A4"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1.23</w:t>
            </w:r>
          </w:p>
        </w:tc>
        <w:tc>
          <w:tcPr>
            <w:tcW w:w="867" w:type="pct"/>
            <w:vMerge/>
            <w:vAlign w:val="center"/>
          </w:tcPr>
          <w:p w14:paraId="3DDC4C07" w14:textId="77777777" w:rsidR="009C353B" w:rsidRDefault="009C353B">
            <w:pPr>
              <w:widowControl/>
              <w:jc w:val="center"/>
              <w:rPr>
                <w:rFonts w:ascii="Times New Roman" w:hAnsi="Times New Roman"/>
                <w:kern w:val="0"/>
                <w:sz w:val="21"/>
                <w:szCs w:val="21"/>
              </w:rPr>
            </w:pPr>
          </w:p>
        </w:tc>
        <w:tc>
          <w:tcPr>
            <w:tcW w:w="620" w:type="pct"/>
            <w:vMerge w:val="restart"/>
            <w:shd w:val="clear" w:color="auto" w:fill="auto"/>
            <w:vAlign w:val="center"/>
          </w:tcPr>
          <w:p w14:paraId="475D6D0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000</w:t>
            </w:r>
          </w:p>
        </w:tc>
      </w:tr>
      <w:tr w:rsidR="009C353B" w14:paraId="57F216FD" w14:textId="77777777">
        <w:trPr>
          <w:trHeight w:val="340"/>
        </w:trPr>
        <w:tc>
          <w:tcPr>
            <w:tcW w:w="413" w:type="pct"/>
            <w:vMerge/>
            <w:vAlign w:val="center"/>
          </w:tcPr>
          <w:p w14:paraId="543C62FB" w14:textId="77777777" w:rsidR="009C353B" w:rsidRDefault="009C353B">
            <w:pPr>
              <w:widowControl/>
              <w:jc w:val="center"/>
              <w:rPr>
                <w:rFonts w:ascii="Times New Roman" w:hAnsi="Times New Roman"/>
                <w:kern w:val="0"/>
                <w:sz w:val="21"/>
                <w:szCs w:val="21"/>
              </w:rPr>
            </w:pPr>
          </w:p>
        </w:tc>
        <w:tc>
          <w:tcPr>
            <w:tcW w:w="903" w:type="pct"/>
            <w:vMerge/>
            <w:shd w:val="clear" w:color="auto" w:fill="auto"/>
            <w:vAlign w:val="center"/>
          </w:tcPr>
          <w:p w14:paraId="2BAE0DBA" w14:textId="77777777" w:rsidR="009C353B" w:rsidRDefault="009C353B">
            <w:pPr>
              <w:widowControl/>
              <w:jc w:val="center"/>
              <w:rPr>
                <w:rFonts w:ascii="Times New Roman" w:hAnsi="Times New Roman"/>
                <w:kern w:val="0"/>
                <w:sz w:val="21"/>
                <w:szCs w:val="21"/>
              </w:rPr>
            </w:pPr>
          </w:p>
        </w:tc>
        <w:tc>
          <w:tcPr>
            <w:tcW w:w="689" w:type="pct"/>
            <w:shd w:val="clear" w:color="auto" w:fill="auto"/>
            <w:noWrap/>
            <w:vAlign w:val="center"/>
          </w:tcPr>
          <w:p w14:paraId="4F516A8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2008/11/17</w:t>
            </w:r>
          </w:p>
        </w:tc>
        <w:tc>
          <w:tcPr>
            <w:tcW w:w="887" w:type="pct"/>
            <w:shd w:val="clear" w:color="auto" w:fill="auto"/>
            <w:vAlign w:val="center"/>
          </w:tcPr>
          <w:p w14:paraId="01712566"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1225</w:t>
            </w:r>
          </w:p>
        </w:tc>
        <w:tc>
          <w:tcPr>
            <w:tcW w:w="620" w:type="pct"/>
            <w:shd w:val="clear" w:color="auto" w:fill="auto"/>
            <w:vAlign w:val="center"/>
          </w:tcPr>
          <w:p w14:paraId="6CB477CB"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1.23</w:t>
            </w:r>
          </w:p>
        </w:tc>
        <w:tc>
          <w:tcPr>
            <w:tcW w:w="867" w:type="pct"/>
            <w:vMerge/>
            <w:vAlign w:val="center"/>
          </w:tcPr>
          <w:p w14:paraId="62649A5C" w14:textId="77777777" w:rsidR="009C353B" w:rsidRDefault="009C353B">
            <w:pPr>
              <w:widowControl/>
              <w:jc w:val="center"/>
              <w:rPr>
                <w:rFonts w:ascii="Times New Roman" w:hAnsi="Times New Roman"/>
                <w:kern w:val="0"/>
                <w:sz w:val="21"/>
                <w:szCs w:val="21"/>
              </w:rPr>
            </w:pPr>
          </w:p>
        </w:tc>
        <w:tc>
          <w:tcPr>
            <w:tcW w:w="620" w:type="pct"/>
            <w:vMerge/>
            <w:shd w:val="clear" w:color="auto" w:fill="auto"/>
            <w:vAlign w:val="center"/>
          </w:tcPr>
          <w:p w14:paraId="4882AB4A" w14:textId="77777777" w:rsidR="009C353B" w:rsidRDefault="009C353B">
            <w:pPr>
              <w:widowControl/>
              <w:jc w:val="center"/>
              <w:rPr>
                <w:rFonts w:ascii="Times New Roman" w:hAnsi="Times New Roman"/>
                <w:kern w:val="0"/>
                <w:sz w:val="21"/>
                <w:szCs w:val="21"/>
              </w:rPr>
            </w:pPr>
          </w:p>
        </w:tc>
      </w:tr>
      <w:tr w:rsidR="009C353B" w14:paraId="1321CF81" w14:textId="77777777">
        <w:trPr>
          <w:trHeight w:val="340"/>
        </w:trPr>
        <w:tc>
          <w:tcPr>
            <w:tcW w:w="413" w:type="pct"/>
            <w:vMerge/>
            <w:vAlign w:val="center"/>
          </w:tcPr>
          <w:p w14:paraId="7D68D155" w14:textId="77777777" w:rsidR="009C353B" w:rsidRDefault="009C353B">
            <w:pPr>
              <w:widowControl/>
              <w:jc w:val="center"/>
              <w:rPr>
                <w:rFonts w:ascii="Times New Roman" w:hAnsi="Times New Roman"/>
                <w:kern w:val="0"/>
                <w:sz w:val="21"/>
                <w:szCs w:val="21"/>
              </w:rPr>
            </w:pPr>
          </w:p>
        </w:tc>
        <w:tc>
          <w:tcPr>
            <w:tcW w:w="903" w:type="pct"/>
            <w:vMerge/>
            <w:shd w:val="clear" w:color="auto" w:fill="auto"/>
            <w:vAlign w:val="center"/>
          </w:tcPr>
          <w:p w14:paraId="39339986" w14:textId="77777777" w:rsidR="009C353B" w:rsidRDefault="009C353B">
            <w:pPr>
              <w:widowControl/>
              <w:jc w:val="center"/>
              <w:rPr>
                <w:rFonts w:ascii="Times New Roman" w:hAnsi="Times New Roman"/>
                <w:kern w:val="0"/>
                <w:sz w:val="21"/>
                <w:szCs w:val="21"/>
              </w:rPr>
            </w:pPr>
          </w:p>
        </w:tc>
        <w:tc>
          <w:tcPr>
            <w:tcW w:w="689" w:type="pct"/>
            <w:shd w:val="clear" w:color="auto" w:fill="auto"/>
            <w:noWrap/>
            <w:vAlign w:val="center"/>
          </w:tcPr>
          <w:p w14:paraId="0B95760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2008/11/18</w:t>
            </w:r>
          </w:p>
        </w:tc>
        <w:tc>
          <w:tcPr>
            <w:tcW w:w="887" w:type="pct"/>
            <w:shd w:val="clear" w:color="auto" w:fill="auto"/>
            <w:vAlign w:val="center"/>
          </w:tcPr>
          <w:p w14:paraId="7FDDEE43"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1365</w:t>
            </w:r>
          </w:p>
        </w:tc>
        <w:tc>
          <w:tcPr>
            <w:tcW w:w="620" w:type="pct"/>
            <w:shd w:val="clear" w:color="auto" w:fill="auto"/>
            <w:vAlign w:val="center"/>
          </w:tcPr>
          <w:p w14:paraId="000A8CFC"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1.37</w:t>
            </w:r>
          </w:p>
        </w:tc>
        <w:tc>
          <w:tcPr>
            <w:tcW w:w="867" w:type="pct"/>
            <w:vMerge/>
            <w:vAlign w:val="center"/>
          </w:tcPr>
          <w:p w14:paraId="2FCF50C7" w14:textId="77777777" w:rsidR="009C353B" w:rsidRDefault="009C353B">
            <w:pPr>
              <w:widowControl/>
              <w:jc w:val="center"/>
              <w:rPr>
                <w:rFonts w:ascii="Times New Roman" w:hAnsi="Times New Roman"/>
                <w:kern w:val="0"/>
                <w:sz w:val="21"/>
                <w:szCs w:val="21"/>
              </w:rPr>
            </w:pPr>
          </w:p>
        </w:tc>
        <w:tc>
          <w:tcPr>
            <w:tcW w:w="620" w:type="pct"/>
            <w:vMerge/>
            <w:shd w:val="clear" w:color="auto" w:fill="auto"/>
            <w:vAlign w:val="center"/>
          </w:tcPr>
          <w:p w14:paraId="3F5AA2BC" w14:textId="77777777" w:rsidR="009C353B" w:rsidRDefault="009C353B">
            <w:pPr>
              <w:widowControl/>
              <w:jc w:val="center"/>
              <w:rPr>
                <w:rFonts w:ascii="Times New Roman" w:hAnsi="Times New Roman"/>
                <w:kern w:val="0"/>
                <w:sz w:val="21"/>
                <w:szCs w:val="21"/>
              </w:rPr>
            </w:pPr>
          </w:p>
        </w:tc>
      </w:tr>
      <w:tr w:rsidR="009C353B" w14:paraId="1411FB52" w14:textId="77777777">
        <w:trPr>
          <w:trHeight w:val="340"/>
        </w:trPr>
        <w:tc>
          <w:tcPr>
            <w:tcW w:w="413" w:type="pct"/>
            <w:vMerge/>
            <w:vAlign w:val="center"/>
          </w:tcPr>
          <w:p w14:paraId="13224D1A" w14:textId="77777777" w:rsidR="009C353B" w:rsidRDefault="009C353B">
            <w:pPr>
              <w:widowControl/>
              <w:jc w:val="center"/>
              <w:rPr>
                <w:rFonts w:ascii="Times New Roman" w:hAnsi="Times New Roman"/>
                <w:kern w:val="0"/>
                <w:sz w:val="21"/>
                <w:szCs w:val="21"/>
              </w:rPr>
            </w:pPr>
          </w:p>
        </w:tc>
        <w:tc>
          <w:tcPr>
            <w:tcW w:w="903" w:type="pct"/>
            <w:vMerge w:val="restart"/>
            <w:shd w:val="clear" w:color="auto" w:fill="auto"/>
            <w:vAlign w:val="center"/>
          </w:tcPr>
          <w:p w14:paraId="25F48BA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689" w:type="pct"/>
            <w:shd w:val="clear" w:color="auto" w:fill="auto"/>
            <w:noWrap/>
            <w:vAlign w:val="center"/>
          </w:tcPr>
          <w:p w14:paraId="319D674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2008/11/16</w:t>
            </w:r>
          </w:p>
        </w:tc>
        <w:tc>
          <w:tcPr>
            <w:tcW w:w="887" w:type="pct"/>
            <w:shd w:val="clear" w:color="auto" w:fill="auto"/>
            <w:vAlign w:val="center"/>
          </w:tcPr>
          <w:p w14:paraId="7E8F9C5A"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2.235</w:t>
            </w:r>
          </w:p>
        </w:tc>
        <w:tc>
          <w:tcPr>
            <w:tcW w:w="620" w:type="pct"/>
            <w:shd w:val="clear" w:color="auto" w:fill="auto"/>
            <w:vAlign w:val="center"/>
          </w:tcPr>
          <w:p w14:paraId="666E242D"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2.24</w:t>
            </w:r>
          </w:p>
        </w:tc>
        <w:tc>
          <w:tcPr>
            <w:tcW w:w="867" w:type="pct"/>
            <w:vMerge/>
            <w:vAlign w:val="center"/>
          </w:tcPr>
          <w:p w14:paraId="2A6EB960" w14:textId="77777777" w:rsidR="009C353B" w:rsidRDefault="009C353B">
            <w:pPr>
              <w:widowControl/>
              <w:jc w:val="center"/>
              <w:rPr>
                <w:rFonts w:ascii="Times New Roman" w:hAnsi="Times New Roman"/>
                <w:kern w:val="0"/>
                <w:sz w:val="21"/>
                <w:szCs w:val="21"/>
              </w:rPr>
            </w:pPr>
          </w:p>
        </w:tc>
        <w:tc>
          <w:tcPr>
            <w:tcW w:w="620" w:type="pct"/>
            <w:vMerge w:val="restart"/>
            <w:shd w:val="clear" w:color="auto" w:fill="auto"/>
            <w:vAlign w:val="center"/>
          </w:tcPr>
          <w:p w14:paraId="74CA685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p>
        </w:tc>
      </w:tr>
      <w:tr w:rsidR="009C353B" w14:paraId="22F72FE6" w14:textId="77777777">
        <w:trPr>
          <w:trHeight w:val="340"/>
        </w:trPr>
        <w:tc>
          <w:tcPr>
            <w:tcW w:w="413" w:type="pct"/>
            <w:vMerge/>
            <w:vAlign w:val="center"/>
          </w:tcPr>
          <w:p w14:paraId="10E33C4D" w14:textId="77777777" w:rsidR="009C353B" w:rsidRDefault="009C353B">
            <w:pPr>
              <w:widowControl/>
              <w:jc w:val="center"/>
              <w:rPr>
                <w:rFonts w:ascii="Times New Roman" w:hAnsi="Times New Roman"/>
                <w:kern w:val="0"/>
                <w:sz w:val="21"/>
                <w:szCs w:val="21"/>
              </w:rPr>
            </w:pPr>
          </w:p>
        </w:tc>
        <w:tc>
          <w:tcPr>
            <w:tcW w:w="903" w:type="pct"/>
            <w:vMerge/>
            <w:shd w:val="clear" w:color="auto" w:fill="auto"/>
            <w:vAlign w:val="center"/>
          </w:tcPr>
          <w:p w14:paraId="788D22B2" w14:textId="77777777" w:rsidR="009C353B" w:rsidRDefault="009C353B">
            <w:pPr>
              <w:widowControl/>
              <w:jc w:val="center"/>
              <w:rPr>
                <w:rFonts w:ascii="Times New Roman" w:hAnsi="Times New Roman"/>
                <w:kern w:val="0"/>
                <w:sz w:val="21"/>
                <w:szCs w:val="21"/>
              </w:rPr>
            </w:pPr>
          </w:p>
        </w:tc>
        <w:tc>
          <w:tcPr>
            <w:tcW w:w="689" w:type="pct"/>
            <w:shd w:val="clear" w:color="auto" w:fill="auto"/>
            <w:noWrap/>
            <w:vAlign w:val="center"/>
          </w:tcPr>
          <w:p w14:paraId="597906D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2008/11/17</w:t>
            </w:r>
          </w:p>
        </w:tc>
        <w:tc>
          <w:tcPr>
            <w:tcW w:w="887" w:type="pct"/>
            <w:shd w:val="clear" w:color="auto" w:fill="auto"/>
            <w:vAlign w:val="center"/>
          </w:tcPr>
          <w:p w14:paraId="13094466"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2.075</w:t>
            </w:r>
          </w:p>
        </w:tc>
        <w:tc>
          <w:tcPr>
            <w:tcW w:w="620" w:type="pct"/>
            <w:shd w:val="clear" w:color="auto" w:fill="auto"/>
            <w:vAlign w:val="center"/>
          </w:tcPr>
          <w:p w14:paraId="6591B70C"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2.08</w:t>
            </w:r>
          </w:p>
        </w:tc>
        <w:tc>
          <w:tcPr>
            <w:tcW w:w="867" w:type="pct"/>
            <w:vMerge/>
            <w:vAlign w:val="center"/>
          </w:tcPr>
          <w:p w14:paraId="222837D4" w14:textId="77777777" w:rsidR="009C353B" w:rsidRDefault="009C353B">
            <w:pPr>
              <w:widowControl/>
              <w:jc w:val="center"/>
              <w:rPr>
                <w:rFonts w:ascii="Times New Roman" w:hAnsi="Times New Roman"/>
                <w:kern w:val="0"/>
                <w:sz w:val="21"/>
                <w:szCs w:val="21"/>
              </w:rPr>
            </w:pPr>
          </w:p>
        </w:tc>
        <w:tc>
          <w:tcPr>
            <w:tcW w:w="620" w:type="pct"/>
            <w:vMerge/>
            <w:shd w:val="clear" w:color="auto" w:fill="auto"/>
            <w:vAlign w:val="center"/>
          </w:tcPr>
          <w:p w14:paraId="7BF28C24" w14:textId="77777777" w:rsidR="009C353B" w:rsidRDefault="009C353B">
            <w:pPr>
              <w:widowControl/>
              <w:jc w:val="center"/>
              <w:rPr>
                <w:rFonts w:ascii="Times New Roman" w:hAnsi="Times New Roman"/>
                <w:kern w:val="0"/>
                <w:sz w:val="21"/>
                <w:szCs w:val="21"/>
              </w:rPr>
            </w:pPr>
          </w:p>
        </w:tc>
      </w:tr>
      <w:tr w:rsidR="009C353B" w14:paraId="30D7B299" w14:textId="77777777">
        <w:trPr>
          <w:trHeight w:val="340"/>
        </w:trPr>
        <w:tc>
          <w:tcPr>
            <w:tcW w:w="413" w:type="pct"/>
            <w:vMerge/>
            <w:vAlign w:val="center"/>
          </w:tcPr>
          <w:p w14:paraId="7FF556E7" w14:textId="77777777" w:rsidR="009C353B" w:rsidRDefault="009C353B">
            <w:pPr>
              <w:widowControl/>
              <w:jc w:val="center"/>
              <w:rPr>
                <w:rFonts w:ascii="Times New Roman" w:hAnsi="Times New Roman"/>
                <w:kern w:val="0"/>
                <w:sz w:val="21"/>
                <w:szCs w:val="21"/>
              </w:rPr>
            </w:pPr>
          </w:p>
        </w:tc>
        <w:tc>
          <w:tcPr>
            <w:tcW w:w="903" w:type="pct"/>
            <w:vMerge/>
            <w:shd w:val="clear" w:color="auto" w:fill="auto"/>
            <w:vAlign w:val="center"/>
          </w:tcPr>
          <w:p w14:paraId="0213DFA5" w14:textId="77777777" w:rsidR="009C353B" w:rsidRDefault="009C353B">
            <w:pPr>
              <w:widowControl/>
              <w:jc w:val="center"/>
              <w:rPr>
                <w:rFonts w:ascii="Times New Roman" w:hAnsi="Times New Roman"/>
                <w:kern w:val="0"/>
                <w:sz w:val="21"/>
                <w:szCs w:val="21"/>
              </w:rPr>
            </w:pPr>
          </w:p>
        </w:tc>
        <w:tc>
          <w:tcPr>
            <w:tcW w:w="689" w:type="pct"/>
            <w:shd w:val="clear" w:color="auto" w:fill="auto"/>
            <w:noWrap/>
            <w:vAlign w:val="center"/>
          </w:tcPr>
          <w:p w14:paraId="4F777D0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2008/11/18</w:t>
            </w:r>
          </w:p>
        </w:tc>
        <w:tc>
          <w:tcPr>
            <w:tcW w:w="887" w:type="pct"/>
            <w:shd w:val="clear" w:color="auto" w:fill="auto"/>
            <w:vAlign w:val="center"/>
          </w:tcPr>
          <w:p w14:paraId="360374D2"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2.175</w:t>
            </w:r>
          </w:p>
        </w:tc>
        <w:tc>
          <w:tcPr>
            <w:tcW w:w="620" w:type="pct"/>
            <w:shd w:val="clear" w:color="auto" w:fill="auto"/>
            <w:vAlign w:val="center"/>
          </w:tcPr>
          <w:p w14:paraId="3DA56485"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2.18</w:t>
            </w:r>
          </w:p>
        </w:tc>
        <w:tc>
          <w:tcPr>
            <w:tcW w:w="867" w:type="pct"/>
            <w:vMerge/>
            <w:vAlign w:val="center"/>
          </w:tcPr>
          <w:p w14:paraId="0D0E200E" w14:textId="77777777" w:rsidR="009C353B" w:rsidRDefault="009C353B">
            <w:pPr>
              <w:widowControl/>
              <w:jc w:val="center"/>
              <w:rPr>
                <w:rFonts w:ascii="Times New Roman" w:hAnsi="Times New Roman"/>
                <w:kern w:val="0"/>
                <w:sz w:val="21"/>
                <w:szCs w:val="21"/>
              </w:rPr>
            </w:pPr>
          </w:p>
        </w:tc>
        <w:tc>
          <w:tcPr>
            <w:tcW w:w="620" w:type="pct"/>
            <w:vMerge/>
            <w:shd w:val="clear" w:color="auto" w:fill="auto"/>
            <w:vAlign w:val="center"/>
          </w:tcPr>
          <w:p w14:paraId="71F0757A" w14:textId="77777777" w:rsidR="009C353B" w:rsidRDefault="009C353B">
            <w:pPr>
              <w:widowControl/>
              <w:jc w:val="center"/>
              <w:rPr>
                <w:rFonts w:ascii="Times New Roman" w:hAnsi="Times New Roman"/>
                <w:kern w:val="0"/>
                <w:sz w:val="21"/>
                <w:szCs w:val="21"/>
              </w:rPr>
            </w:pPr>
          </w:p>
        </w:tc>
      </w:tr>
      <w:tr w:rsidR="009C353B" w14:paraId="1BAAFA61" w14:textId="77777777">
        <w:trPr>
          <w:trHeight w:val="340"/>
        </w:trPr>
        <w:tc>
          <w:tcPr>
            <w:tcW w:w="413" w:type="pct"/>
            <w:vMerge/>
            <w:vAlign w:val="center"/>
          </w:tcPr>
          <w:p w14:paraId="5DEB5300" w14:textId="77777777" w:rsidR="009C353B" w:rsidRDefault="009C353B">
            <w:pPr>
              <w:widowControl/>
              <w:jc w:val="center"/>
              <w:rPr>
                <w:rFonts w:ascii="Times New Roman" w:hAnsi="Times New Roman"/>
                <w:kern w:val="0"/>
                <w:sz w:val="21"/>
                <w:szCs w:val="21"/>
              </w:rPr>
            </w:pPr>
          </w:p>
        </w:tc>
        <w:tc>
          <w:tcPr>
            <w:tcW w:w="903" w:type="pct"/>
            <w:vMerge w:val="restart"/>
            <w:shd w:val="clear" w:color="auto" w:fill="auto"/>
            <w:vAlign w:val="center"/>
          </w:tcPr>
          <w:p w14:paraId="27DC026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总大肠菌群</w:t>
            </w:r>
          </w:p>
        </w:tc>
        <w:tc>
          <w:tcPr>
            <w:tcW w:w="689" w:type="pct"/>
            <w:shd w:val="clear" w:color="auto" w:fill="auto"/>
            <w:noWrap/>
            <w:vAlign w:val="center"/>
          </w:tcPr>
          <w:p w14:paraId="3E55671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2008/11/16</w:t>
            </w:r>
          </w:p>
        </w:tc>
        <w:tc>
          <w:tcPr>
            <w:tcW w:w="887" w:type="pct"/>
            <w:shd w:val="clear" w:color="auto" w:fill="auto"/>
            <w:vAlign w:val="center"/>
          </w:tcPr>
          <w:p w14:paraId="6D5FA062"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&gt;230</w:t>
            </w:r>
          </w:p>
        </w:tc>
        <w:tc>
          <w:tcPr>
            <w:tcW w:w="620" w:type="pct"/>
            <w:shd w:val="clear" w:color="auto" w:fill="auto"/>
            <w:vAlign w:val="center"/>
          </w:tcPr>
          <w:p w14:paraId="0898CC10"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&gt;76.7</w:t>
            </w:r>
          </w:p>
        </w:tc>
        <w:tc>
          <w:tcPr>
            <w:tcW w:w="867" w:type="pct"/>
            <w:vMerge/>
            <w:vAlign w:val="center"/>
          </w:tcPr>
          <w:p w14:paraId="68D92A0C" w14:textId="77777777" w:rsidR="009C353B" w:rsidRDefault="009C353B">
            <w:pPr>
              <w:widowControl/>
              <w:jc w:val="center"/>
              <w:rPr>
                <w:rFonts w:ascii="Times New Roman" w:hAnsi="Times New Roman"/>
                <w:kern w:val="0"/>
                <w:sz w:val="21"/>
                <w:szCs w:val="21"/>
              </w:rPr>
            </w:pPr>
          </w:p>
        </w:tc>
        <w:tc>
          <w:tcPr>
            <w:tcW w:w="620" w:type="pct"/>
            <w:vMerge w:val="restart"/>
            <w:shd w:val="clear" w:color="auto" w:fill="auto"/>
            <w:vAlign w:val="center"/>
          </w:tcPr>
          <w:p w14:paraId="6E2EFCF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w:t>
            </w:r>
            <w:r>
              <w:rPr>
                <w:rFonts w:ascii="Times New Roman" w:hAnsi="Times New Roman"/>
                <w:kern w:val="0"/>
                <w:sz w:val="21"/>
                <w:szCs w:val="21"/>
              </w:rPr>
              <w:t>.0</w:t>
            </w:r>
          </w:p>
        </w:tc>
      </w:tr>
      <w:tr w:rsidR="009C353B" w14:paraId="606C7BA7" w14:textId="77777777">
        <w:trPr>
          <w:trHeight w:val="340"/>
        </w:trPr>
        <w:tc>
          <w:tcPr>
            <w:tcW w:w="413" w:type="pct"/>
            <w:vMerge/>
            <w:vAlign w:val="center"/>
          </w:tcPr>
          <w:p w14:paraId="095417B6" w14:textId="77777777" w:rsidR="009C353B" w:rsidRDefault="009C353B">
            <w:pPr>
              <w:widowControl/>
              <w:jc w:val="center"/>
              <w:rPr>
                <w:rFonts w:ascii="Times New Roman" w:hAnsi="Times New Roman"/>
                <w:kern w:val="0"/>
                <w:sz w:val="21"/>
                <w:szCs w:val="21"/>
              </w:rPr>
            </w:pPr>
          </w:p>
        </w:tc>
        <w:tc>
          <w:tcPr>
            <w:tcW w:w="903" w:type="pct"/>
            <w:vMerge/>
            <w:shd w:val="clear" w:color="auto" w:fill="auto"/>
            <w:vAlign w:val="center"/>
          </w:tcPr>
          <w:p w14:paraId="7A1E44A1" w14:textId="77777777" w:rsidR="009C353B" w:rsidRDefault="009C353B">
            <w:pPr>
              <w:widowControl/>
              <w:jc w:val="center"/>
              <w:rPr>
                <w:rFonts w:ascii="Times New Roman" w:hAnsi="Times New Roman"/>
                <w:kern w:val="0"/>
                <w:sz w:val="21"/>
                <w:szCs w:val="21"/>
              </w:rPr>
            </w:pPr>
          </w:p>
        </w:tc>
        <w:tc>
          <w:tcPr>
            <w:tcW w:w="689" w:type="pct"/>
            <w:shd w:val="clear" w:color="auto" w:fill="auto"/>
            <w:noWrap/>
            <w:vAlign w:val="center"/>
          </w:tcPr>
          <w:p w14:paraId="763BD86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2008/11/17</w:t>
            </w:r>
          </w:p>
        </w:tc>
        <w:tc>
          <w:tcPr>
            <w:tcW w:w="887" w:type="pct"/>
            <w:shd w:val="clear" w:color="auto" w:fill="auto"/>
            <w:vAlign w:val="center"/>
          </w:tcPr>
          <w:p w14:paraId="70EB1594"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&gt;230</w:t>
            </w:r>
          </w:p>
        </w:tc>
        <w:tc>
          <w:tcPr>
            <w:tcW w:w="620" w:type="pct"/>
            <w:shd w:val="clear" w:color="auto" w:fill="auto"/>
            <w:vAlign w:val="center"/>
          </w:tcPr>
          <w:p w14:paraId="05A7C754"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&gt;76.7</w:t>
            </w:r>
          </w:p>
        </w:tc>
        <w:tc>
          <w:tcPr>
            <w:tcW w:w="867" w:type="pct"/>
            <w:vMerge/>
            <w:vAlign w:val="center"/>
          </w:tcPr>
          <w:p w14:paraId="10969F09" w14:textId="77777777" w:rsidR="009C353B" w:rsidRDefault="009C353B">
            <w:pPr>
              <w:widowControl/>
              <w:jc w:val="center"/>
              <w:rPr>
                <w:rFonts w:ascii="Times New Roman" w:hAnsi="Times New Roman"/>
                <w:kern w:val="0"/>
                <w:sz w:val="21"/>
                <w:szCs w:val="21"/>
              </w:rPr>
            </w:pPr>
          </w:p>
        </w:tc>
        <w:tc>
          <w:tcPr>
            <w:tcW w:w="620" w:type="pct"/>
            <w:vMerge/>
            <w:shd w:val="clear" w:color="auto" w:fill="auto"/>
            <w:vAlign w:val="center"/>
          </w:tcPr>
          <w:p w14:paraId="7D5FD49D" w14:textId="77777777" w:rsidR="009C353B" w:rsidRDefault="009C353B">
            <w:pPr>
              <w:widowControl/>
              <w:jc w:val="center"/>
              <w:rPr>
                <w:rFonts w:ascii="Times New Roman" w:hAnsi="Times New Roman"/>
                <w:kern w:val="0"/>
                <w:sz w:val="21"/>
                <w:szCs w:val="21"/>
              </w:rPr>
            </w:pPr>
          </w:p>
        </w:tc>
      </w:tr>
      <w:tr w:rsidR="009C353B" w14:paraId="7293C4C3" w14:textId="77777777">
        <w:trPr>
          <w:trHeight w:val="340"/>
        </w:trPr>
        <w:tc>
          <w:tcPr>
            <w:tcW w:w="413" w:type="pct"/>
            <w:vMerge/>
            <w:vAlign w:val="center"/>
          </w:tcPr>
          <w:p w14:paraId="3CD08FCF" w14:textId="77777777" w:rsidR="009C353B" w:rsidRDefault="009C353B">
            <w:pPr>
              <w:widowControl/>
              <w:jc w:val="center"/>
              <w:rPr>
                <w:rFonts w:ascii="Times New Roman" w:hAnsi="Times New Roman"/>
                <w:kern w:val="0"/>
                <w:sz w:val="21"/>
                <w:szCs w:val="21"/>
              </w:rPr>
            </w:pPr>
          </w:p>
        </w:tc>
        <w:tc>
          <w:tcPr>
            <w:tcW w:w="903" w:type="pct"/>
            <w:vMerge/>
            <w:shd w:val="clear" w:color="auto" w:fill="auto"/>
            <w:vAlign w:val="center"/>
          </w:tcPr>
          <w:p w14:paraId="2829BF62" w14:textId="77777777" w:rsidR="009C353B" w:rsidRDefault="009C353B">
            <w:pPr>
              <w:widowControl/>
              <w:jc w:val="center"/>
              <w:rPr>
                <w:rFonts w:ascii="Times New Roman" w:hAnsi="Times New Roman"/>
                <w:kern w:val="0"/>
                <w:sz w:val="21"/>
                <w:szCs w:val="21"/>
              </w:rPr>
            </w:pPr>
          </w:p>
        </w:tc>
        <w:tc>
          <w:tcPr>
            <w:tcW w:w="689" w:type="pct"/>
            <w:shd w:val="clear" w:color="auto" w:fill="auto"/>
            <w:noWrap/>
            <w:vAlign w:val="center"/>
          </w:tcPr>
          <w:p w14:paraId="649FDB8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2008/11/18</w:t>
            </w:r>
          </w:p>
        </w:tc>
        <w:tc>
          <w:tcPr>
            <w:tcW w:w="887" w:type="pct"/>
            <w:shd w:val="clear" w:color="auto" w:fill="auto"/>
            <w:vAlign w:val="center"/>
          </w:tcPr>
          <w:p w14:paraId="63B4D9F3"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&gt;230</w:t>
            </w:r>
          </w:p>
        </w:tc>
        <w:tc>
          <w:tcPr>
            <w:tcW w:w="620" w:type="pct"/>
            <w:shd w:val="clear" w:color="auto" w:fill="auto"/>
            <w:vAlign w:val="center"/>
          </w:tcPr>
          <w:p w14:paraId="2C1A234F"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&gt;76.7</w:t>
            </w:r>
          </w:p>
        </w:tc>
        <w:tc>
          <w:tcPr>
            <w:tcW w:w="867" w:type="pct"/>
            <w:vMerge/>
            <w:vAlign w:val="center"/>
          </w:tcPr>
          <w:p w14:paraId="01C953FC" w14:textId="77777777" w:rsidR="009C353B" w:rsidRDefault="009C353B">
            <w:pPr>
              <w:widowControl/>
              <w:jc w:val="center"/>
              <w:rPr>
                <w:rFonts w:ascii="Times New Roman" w:hAnsi="Times New Roman"/>
                <w:kern w:val="0"/>
                <w:sz w:val="21"/>
                <w:szCs w:val="21"/>
              </w:rPr>
            </w:pPr>
          </w:p>
        </w:tc>
        <w:tc>
          <w:tcPr>
            <w:tcW w:w="620" w:type="pct"/>
            <w:vMerge/>
            <w:shd w:val="clear" w:color="auto" w:fill="auto"/>
            <w:vAlign w:val="center"/>
          </w:tcPr>
          <w:p w14:paraId="23A7AC90" w14:textId="77777777" w:rsidR="009C353B" w:rsidRDefault="009C353B">
            <w:pPr>
              <w:widowControl/>
              <w:jc w:val="center"/>
              <w:rPr>
                <w:rFonts w:ascii="Times New Roman" w:hAnsi="Times New Roman"/>
                <w:kern w:val="0"/>
                <w:sz w:val="21"/>
                <w:szCs w:val="21"/>
              </w:rPr>
            </w:pPr>
          </w:p>
        </w:tc>
      </w:tr>
      <w:tr w:rsidR="009C353B" w14:paraId="6815C168" w14:textId="77777777">
        <w:trPr>
          <w:trHeight w:val="340"/>
        </w:trPr>
        <w:tc>
          <w:tcPr>
            <w:tcW w:w="413" w:type="pct"/>
            <w:vMerge/>
            <w:vAlign w:val="center"/>
          </w:tcPr>
          <w:p w14:paraId="29F06361" w14:textId="77777777" w:rsidR="009C353B" w:rsidRDefault="009C353B">
            <w:pPr>
              <w:widowControl/>
              <w:jc w:val="center"/>
              <w:rPr>
                <w:rFonts w:ascii="Times New Roman" w:hAnsi="Times New Roman"/>
                <w:kern w:val="0"/>
                <w:sz w:val="21"/>
                <w:szCs w:val="21"/>
              </w:rPr>
            </w:pPr>
          </w:p>
        </w:tc>
        <w:tc>
          <w:tcPr>
            <w:tcW w:w="903" w:type="pct"/>
            <w:vMerge w:val="restart"/>
            <w:shd w:val="clear" w:color="auto" w:fill="auto"/>
            <w:vAlign w:val="center"/>
          </w:tcPr>
          <w:p w14:paraId="0621418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细菌总数</w:t>
            </w:r>
          </w:p>
        </w:tc>
        <w:tc>
          <w:tcPr>
            <w:tcW w:w="689" w:type="pct"/>
            <w:shd w:val="clear" w:color="auto" w:fill="auto"/>
            <w:noWrap/>
            <w:vAlign w:val="center"/>
          </w:tcPr>
          <w:p w14:paraId="44DAAD5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2008/11/16</w:t>
            </w:r>
          </w:p>
        </w:tc>
        <w:tc>
          <w:tcPr>
            <w:tcW w:w="887" w:type="pct"/>
            <w:shd w:val="clear" w:color="auto" w:fill="auto"/>
            <w:vAlign w:val="center"/>
          </w:tcPr>
          <w:p w14:paraId="14395E71"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668</w:t>
            </w:r>
          </w:p>
        </w:tc>
        <w:tc>
          <w:tcPr>
            <w:tcW w:w="620" w:type="pct"/>
            <w:shd w:val="clear" w:color="auto" w:fill="auto"/>
            <w:vAlign w:val="center"/>
          </w:tcPr>
          <w:p w14:paraId="77E8DB7B"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6.68</w:t>
            </w:r>
          </w:p>
        </w:tc>
        <w:tc>
          <w:tcPr>
            <w:tcW w:w="867" w:type="pct"/>
            <w:vMerge/>
            <w:vAlign w:val="center"/>
          </w:tcPr>
          <w:p w14:paraId="3B38F3FF" w14:textId="77777777" w:rsidR="009C353B" w:rsidRDefault="009C353B">
            <w:pPr>
              <w:widowControl/>
              <w:jc w:val="center"/>
              <w:rPr>
                <w:rFonts w:ascii="Times New Roman" w:hAnsi="Times New Roman"/>
                <w:kern w:val="0"/>
                <w:sz w:val="21"/>
                <w:szCs w:val="21"/>
              </w:rPr>
            </w:pPr>
          </w:p>
        </w:tc>
        <w:tc>
          <w:tcPr>
            <w:tcW w:w="620" w:type="pct"/>
            <w:vMerge w:val="restart"/>
            <w:shd w:val="clear" w:color="auto" w:fill="auto"/>
            <w:vAlign w:val="center"/>
          </w:tcPr>
          <w:p w14:paraId="12F5504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00</w:t>
            </w:r>
          </w:p>
        </w:tc>
      </w:tr>
      <w:tr w:rsidR="009C353B" w14:paraId="3B18F52E" w14:textId="77777777">
        <w:trPr>
          <w:trHeight w:val="340"/>
        </w:trPr>
        <w:tc>
          <w:tcPr>
            <w:tcW w:w="413" w:type="pct"/>
            <w:vMerge/>
            <w:vAlign w:val="center"/>
          </w:tcPr>
          <w:p w14:paraId="25A99829" w14:textId="77777777" w:rsidR="009C353B" w:rsidRDefault="009C353B">
            <w:pPr>
              <w:widowControl/>
              <w:jc w:val="center"/>
              <w:rPr>
                <w:rFonts w:ascii="Times New Roman" w:hAnsi="Times New Roman"/>
                <w:kern w:val="0"/>
                <w:sz w:val="21"/>
                <w:szCs w:val="21"/>
              </w:rPr>
            </w:pPr>
          </w:p>
        </w:tc>
        <w:tc>
          <w:tcPr>
            <w:tcW w:w="903" w:type="pct"/>
            <w:vMerge/>
            <w:shd w:val="clear" w:color="auto" w:fill="auto"/>
            <w:vAlign w:val="center"/>
          </w:tcPr>
          <w:p w14:paraId="763F2D84" w14:textId="77777777" w:rsidR="009C353B" w:rsidRDefault="009C353B">
            <w:pPr>
              <w:widowControl/>
              <w:jc w:val="center"/>
              <w:rPr>
                <w:rFonts w:ascii="Times New Roman" w:hAnsi="Times New Roman"/>
                <w:kern w:val="0"/>
                <w:sz w:val="21"/>
                <w:szCs w:val="21"/>
              </w:rPr>
            </w:pPr>
          </w:p>
        </w:tc>
        <w:tc>
          <w:tcPr>
            <w:tcW w:w="689" w:type="pct"/>
            <w:shd w:val="clear" w:color="auto" w:fill="auto"/>
            <w:noWrap/>
            <w:vAlign w:val="center"/>
          </w:tcPr>
          <w:p w14:paraId="70C20BE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2008/11/17</w:t>
            </w:r>
          </w:p>
        </w:tc>
        <w:tc>
          <w:tcPr>
            <w:tcW w:w="887" w:type="pct"/>
            <w:shd w:val="clear" w:color="auto" w:fill="auto"/>
            <w:vAlign w:val="center"/>
          </w:tcPr>
          <w:p w14:paraId="5F4E7201"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389</w:t>
            </w:r>
          </w:p>
        </w:tc>
        <w:tc>
          <w:tcPr>
            <w:tcW w:w="620" w:type="pct"/>
            <w:shd w:val="clear" w:color="auto" w:fill="auto"/>
            <w:vAlign w:val="center"/>
          </w:tcPr>
          <w:p w14:paraId="5F788447"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3.89</w:t>
            </w:r>
          </w:p>
        </w:tc>
        <w:tc>
          <w:tcPr>
            <w:tcW w:w="867" w:type="pct"/>
            <w:vMerge/>
            <w:vAlign w:val="center"/>
          </w:tcPr>
          <w:p w14:paraId="2D77718F" w14:textId="77777777" w:rsidR="009C353B" w:rsidRDefault="009C353B">
            <w:pPr>
              <w:widowControl/>
              <w:jc w:val="center"/>
              <w:rPr>
                <w:rFonts w:ascii="Times New Roman" w:hAnsi="Times New Roman"/>
                <w:kern w:val="0"/>
                <w:sz w:val="21"/>
                <w:szCs w:val="21"/>
              </w:rPr>
            </w:pPr>
          </w:p>
        </w:tc>
        <w:tc>
          <w:tcPr>
            <w:tcW w:w="620" w:type="pct"/>
            <w:vMerge/>
            <w:shd w:val="clear" w:color="auto" w:fill="auto"/>
            <w:vAlign w:val="center"/>
          </w:tcPr>
          <w:p w14:paraId="5A4C45A7" w14:textId="77777777" w:rsidR="009C353B" w:rsidRDefault="009C353B">
            <w:pPr>
              <w:widowControl/>
              <w:jc w:val="center"/>
              <w:rPr>
                <w:rFonts w:ascii="Times New Roman" w:hAnsi="Times New Roman"/>
                <w:kern w:val="0"/>
                <w:sz w:val="21"/>
                <w:szCs w:val="21"/>
              </w:rPr>
            </w:pPr>
          </w:p>
        </w:tc>
      </w:tr>
      <w:tr w:rsidR="009C353B" w14:paraId="091B2AA6" w14:textId="77777777">
        <w:trPr>
          <w:trHeight w:val="340"/>
        </w:trPr>
        <w:tc>
          <w:tcPr>
            <w:tcW w:w="413" w:type="pct"/>
            <w:vMerge/>
            <w:vAlign w:val="center"/>
          </w:tcPr>
          <w:p w14:paraId="4782B390" w14:textId="77777777" w:rsidR="009C353B" w:rsidRDefault="009C353B">
            <w:pPr>
              <w:widowControl/>
              <w:jc w:val="center"/>
              <w:rPr>
                <w:rFonts w:ascii="Times New Roman" w:hAnsi="Times New Roman"/>
                <w:kern w:val="0"/>
                <w:sz w:val="21"/>
                <w:szCs w:val="21"/>
              </w:rPr>
            </w:pPr>
          </w:p>
        </w:tc>
        <w:tc>
          <w:tcPr>
            <w:tcW w:w="903" w:type="pct"/>
            <w:vMerge/>
            <w:shd w:val="clear" w:color="auto" w:fill="auto"/>
            <w:vAlign w:val="center"/>
          </w:tcPr>
          <w:p w14:paraId="7C2F6A95" w14:textId="77777777" w:rsidR="009C353B" w:rsidRDefault="009C353B">
            <w:pPr>
              <w:widowControl/>
              <w:jc w:val="center"/>
              <w:rPr>
                <w:rFonts w:ascii="Times New Roman" w:hAnsi="Times New Roman"/>
                <w:kern w:val="0"/>
                <w:sz w:val="21"/>
                <w:szCs w:val="21"/>
              </w:rPr>
            </w:pPr>
          </w:p>
        </w:tc>
        <w:tc>
          <w:tcPr>
            <w:tcW w:w="689" w:type="pct"/>
            <w:shd w:val="clear" w:color="auto" w:fill="auto"/>
            <w:noWrap/>
            <w:vAlign w:val="center"/>
          </w:tcPr>
          <w:p w14:paraId="4218DD1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2008/11/18</w:t>
            </w:r>
          </w:p>
        </w:tc>
        <w:tc>
          <w:tcPr>
            <w:tcW w:w="887" w:type="pct"/>
            <w:shd w:val="clear" w:color="auto" w:fill="auto"/>
            <w:vAlign w:val="center"/>
          </w:tcPr>
          <w:p w14:paraId="4EE600FC"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368</w:t>
            </w:r>
          </w:p>
        </w:tc>
        <w:tc>
          <w:tcPr>
            <w:tcW w:w="620" w:type="pct"/>
            <w:shd w:val="clear" w:color="auto" w:fill="auto"/>
            <w:vAlign w:val="center"/>
          </w:tcPr>
          <w:p w14:paraId="68C0B0A4" w14:textId="77777777" w:rsidR="009C353B" w:rsidRDefault="00000000">
            <w:pPr>
              <w:widowControl/>
              <w:jc w:val="center"/>
              <w:rPr>
                <w:rFonts w:ascii="Times New Roman" w:hAnsi="Times New Roman"/>
                <w:kern w:val="0"/>
                <w:sz w:val="21"/>
                <w:szCs w:val="21"/>
              </w:rPr>
            </w:pPr>
            <w:r>
              <w:rPr>
                <w:rFonts w:ascii="Times New Roman" w:hAnsi="Times New Roman" w:hint="eastAsia"/>
                <w:sz w:val="21"/>
                <w:szCs w:val="21"/>
              </w:rPr>
              <w:t>3.68</w:t>
            </w:r>
          </w:p>
        </w:tc>
        <w:tc>
          <w:tcPr>
            <w:tcW w:w="867" w:type="pct"/>
            <w:vMerge/>
            <w:vAlign w:val="center"/>
          </w:tcPr>
          <w:p w14:paraId="43456F66" w14:textId="77777777" w:rsidR="009C353B" w:rsidRDefault="009C353B">
            <w:pPr>
              <w:widowControl/>
              <w:jc w:val="center"/>
              <w:rPr>
                <w:rFonts w:ascii="Times New Roman" w:hAnsi="Times New Roman"/>
                <w:kern w:val="0"/>
                <w:sz w:val="21"/>
                <w:szCs w:val="21"/>
              </w:rPr>
            </w:pPr>
          </w:p>
        </w:tc>
        <w:tc>
          <w:tcPr>
            <w:tcW w:w="620" w:type="pct"/>
            <w:vMerge/>
            <w:shd w:val="clear" w:color="auto" w:fill="auto"/>
            <w:vAlign w:val="center"/>
          </w:tcPr>
          <w:p w14:paraId="59CF8481" w14:textId="77777777" w:rsidR="009C353B" w:rsidRDefault="009C353B">
            <w:pPr>
              <w:widowControl/>
              <w:jc w:val="center"/>
              <w:rPr>
                <w:rFonts w:ascii="Times New Roman" w:hAnsi="Times New Roman"/>
                <w:kern w:val="0"/>
                <w:sz w:val="21"/>
                <w:szCs w:val="21"/>
              </w:rPr>
            </w:pPr>
          </w:p>
        </w:tc>
      </w:tr>
      <w:tr w:rsidR="009C353B" w14:paraId="48D4E11A" w14:textId="77777777">
        <w:trPr>
          <w:trHeight w:val="340"/>
        </w:trPr>
        <w:tc>
          <w:tcPr>
            <w:tcW w:w="413" w:type="pct"/>
            <w:vMerge w:val="restart"/>
            <w:shd w:val="clear" w:color="auto" w:fill="auto"/>
            <w:noWrap/>
            <w:vAlign w:val="center"/>
          </w:tcPr>
          <w:p w14:paraId="723FD75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w:t>
            </w:r>
          </w:p>
        </w:tc>
        <w:tc>
          <w:tcPr>
            <w:tcW w:w="903" w:type="pct"/>
            <w:shd w:val="clear" w:color="auto" w:fill="auto"/>
            <w:vAlign w:val="center"/>
          </w:tcPr>
          <w:p w14:paraId="1635889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亚硝酸盐</w:t>
            </w:r>
          </w:p>
        </w:tc>
        <w:tc>
          <w:tcPr>
            <w:tcW w:w="689" w:type="pct"/>
            <w:vMerge w:val="restart"/>
            <w:shd w:val="clear" w:color="auto" w:fill="auto"/>
            <w:noWrap/>
            <w:vAlign w:val="center"/>
          </w:tcPr>
          <w:p w14:paraId="1EC6BEB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015/12/26</w:t>
            </w:r>
          </w:p>
        </w:tc>
        <w:tc>
          <w:tcPr>
            <w:tcW w:w="887" w:type="pct"/>
            <w:shd w:val="clear" w:color="auto" w:fill="auto"/>
            <w:noWrap/>
            <w:vAlign w:val="center"/>
          </w:tcPr>
          <w:p w14:paraId="498E1CA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0.32</w:t>
            </w:r>
          </w:p>
        </w:tc>
        <w:tc>
          <w:tcPr>
            <w:tcW w:w="620" w:type="pct"/>
            <w:shd w:val="clear" w:color="auto" w:fill="auto"/>
            <w:noWrap/>
            <w:vAlign w:val="center"/>
          </w:tcPr>
          <w:p w14:paraId="6BED639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16</w:t>
            </w:r>
          </w:p>
        </w:tc>
        <w:tc>
          <w:tcPr>
            <w:tcW w:w="867" w:type="pct"/>
            <w:vMerge/>
            <w:vAlign w:val="center"/>
          </w:tcPr>
          <w:p w14:paraId="0D138C67" w14:textId="77777777" w:rsidR="009C353B" w:rsidRDefault="009C353B">
            <w:pPr>
              <w:widowControl/>
              <w:jc w:val="center"/>
              <w:rPr>
                <w:rFonts w:ascii="Times New Roman" w:hAnsi="Times New Roman"/>
                <w:kern w:val="0"/>
                <w:sz w:val="21"/>
                <w:szCs w:val="21"/>
              </w:rPr>
            </w:pPr>
          </w:p>
        </w:tc>
        <w:tc>
          <w:tcPr>
            <w:tcW w:w="620" w:type="pct"/>
            <w:shd w:val="clear" w:color="auto" w:fill="auto"/>
            <w:noWrap/>
            <w:vAlign w:val="center"/>
          </w:tcPr>
          <w:p w14:paraId="41FE036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0.02</w:t>
            </w:r>
          </w:p>
        </w:tc>
      </w:tr>
      <w:tr w:rsidR="009C353B" w14:paraId="3A96AF04" w14:textId="77777777">
        <w:trPr>
          <w:trHeight w:val="340"/>
        </w:trPr>
        <w:tc>
          <w:tcPr>
            <w:tcW w:w="413" w:type="pct"/>
            <w:vMerge/>
            <w:vAlign w:val="center"/>
          </w:tcPr>
          <w:p w14:paraId="29CC911E" w14:textId="77777777" w:rsidR="009C353B" w:rsidRDefault="009C353B">
            <w:pPr>
              <w:widowControl/>
              <w:jc w:val="center"/>
              <w:rPr>
                <w:rFonts w:ascii="Times New Roman" w:hAnsi="Times New Roman"/>
                <w:kern w:val="0"/>
                <w:sz w:val="21"/>
                <w:szCs w:val="21"/>
              </w:rPr>
            </w:pPr>
          </w:p>
        </w:tc>
        <w:tc>
          <w:tcPr>
            <w:tcW w:w="903" w:type="pct"/>
            <w:shd w:val="clear" w:color="auto" w:fill="auto"/>
            <w:vAlign w:val="center"/>
          </w:tcPr>
          <w:p w14:paraId="27E7EA3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高锰酸钾指数</w:t>
            </w:r>
          </w:p>
        </w:tc>
        <w:tc>
          <w:tcPr>
            <w:tcW w:w="689" w:type="pct"/>
            <w:vMerge/>
            <w:shd w:val="clear" w:color="auto" w:fill="auto"/>
            <w:noWrap/>
            <w:vAlign w:val="center"/>
          </w:tcPr>
          <w:p w14:paraId="071204CC" w14:textId="77777777" w:rsidR="009C353B" w:rsidRDefault="009C353B">
            <w:pPr>
              <w:widowControl/>
              <w:jc w:val="center"/>
              <w:rPr>
                <w:rFonts w:ascii="Times New Roman" w:hAnsi="Times New Roman"/>
                <w:kern w:val="0"/>
                <w:sz w:val="21"/>
                <w:szCs w:val="21"/>
              </w:rPr>
            </w:pPr>
          </w:p>
        </w:tc>
        <w:tc>
          <w:tcPr>
            <w:tcW w:w="887" w:type="pct"/>
            <w:shd w:val="clear" w:color="auto" w:fill="auto"/>
            <w:noWrap/>
            <w:vAlign w:val="center"/>
          </w:tcPr>
          <w:p w14:paraId="594EC96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4.42</w:t>
            </w:r>
          </w:p>
        </w:tc>
        <w:tc>
          <w:tcPr>
            <w:tcW w:w="620" w:type="pct"/>
            <w:shd w:val="clear" w:color="auto" w:fill="auto"/>
            <w:noWrap/>
            <w:vAlign w:val="center"/>
          </w:tcPr>
          <w:p w14:paraId="3E9105E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1.47</w:t>
            </w:r>
          </w:p>
        </w:tc>
        <w:tc>
          <w:tcPr>
            <w:tcW w:w="867" w:type="pct"/>
            <w:vMerge/>
            <w:vAlign w:val="center"/>
          </w:tcPr>
          <w:p w14:paraId="5C9B4893" w14:textId="77777777" w:rsidR="009C353B" w:rsidRDefault="009C353B">
            <w:pPr>
              <w:widowControl/>
              <w:jc w:val="center"/>
              <w:rPr>
                <w:rFonts w:ascii="Times New Roman" w:hAnsi="Times New Roman"/>
                <w:kern w:val="0"/>
                <w:sz w:val="21"/>
                <w:szCs w:val="21"/>
              </w:rPr>
            </w:pPr>
          </w:p>
        </w:tc>
        <w:tc>
          <w:tcPr>
            <w:tcW w:w="620" w:type="pct"/>
            <w:shd w:val="clear" w:color="auto" w:fill="auto"/>
            <w:vAlign w:val="center"/>
          </w:tcPr>
          <w:p w14:paraId="4C3C265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w:t>
            </w:r>
          </w:p>
        </w:tc>
      </w:tr>
      <w:tr w:rsidR="009C353B" w14:paraId="0837907D" w14:textId="77777777">
        <w:trPr>
          <w:trHeight w:val="340"/>
        </w:trPr>
        <w:tc>
          <w:tcPr>
            <w:tcW w:w="413" w:type="pct"/>
            <w:vMerge/>
            <w:vAlign w:val="center"/>
          </w:tcPr>
          <w:p w14:paraId="41C51222" w14:textId="77777777" w:rsidR="009C353B" w:rsidRDefault="009C353B">
            <w:pPr>
              <w:widowControl/>
              <w:jc w:val="center"/>
              <w:rPr>
                <w:rFonts w:ascii="Times New Roman" w:hAnsi="Times New Roman"/>
                <w:kern w:val="0"/>
                <w:sz w:val="21"/>
                <w:szCs w:val="21"/>
              </w:rPr>
            </w:pPr>
          </w:p>
        </w:tc>
        <w:tc>
          <w:tcPr>
            <w:tcW w:w="903" w:type="pct"/>
            <w:shd w:val="clear" w:color="auto" w:fill="auto"/>
            <w:vAlign w:val="center"/>
          </w:tcPr>
          <w:p w14:paraId="4055687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硫酸盐</w:t>
            </w:r>
          </w:p>
        </w:tc>
        <w:tc>
          <w:tcPr>
            <w:tcW w:w="689" w:type="pct"/>
            <w:vMerge/>
            <w:shd w:val="clear" w:color="auto" w:fill="auto"/>
            <w:noWrap/>
            <w:vAlign w:val="center"/>
          </w:tcPr>
          <w:p w14:paraId="2796377D" w14:textId="77777777" w:rsidR="009C353B" w:rsidRDefault="009C353B">
            <w:pPr>
              <w:widowControl/>
              <w:jc w:val="center"/>
              <w:rPr>
                <w:rFonts w:ascii="Times New Roman" w:hAnsi="Times New Roman"/>
                <w:kern w:val="0"/>
                <w:sz w:val="21"/>
                <w:szCs w:val="21"/>
              </w:rPr>
            </w:pPr>
          </w:p>
        </w:tc>
        <w:tc>
          <w:tcPr>
            <w:tcW w:w="887" w:type="pct"/>
            <w:shd w:val="clear" w:color="auto" w:fill="auto"/>
            <w:noWrap/>
            <w:vAlign w:val="center"/>
          </w:tcPr>
          <w:p w14:paraId="48DB731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424</w:t>
            </w:r>
          </w:p>
        </w:tc>
        <w:tc>
          <w:tcPr>
            <w:tcW w:w="620" w:type="pct"/>
            <w:shd w:val="clear" w:color="auto" w:fill="auto"/>
            <w:noWrap/>
            <w:vAlign w:val="center"/>
          </w:tcPr>
          <w:p w14:paraId="25DB8B3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1.9</w:t>
            </w:r>
          </w:p>
        </w:tc>
        <w:tc>
          <w:tcPr>
            <w:tcW w:w="867" w:type="pct"/>
            <w:vMerge/>
            <w:vAlign w:val="center"/>
          </w:tcPr>
          <w:p w14:paraId="727927A7" w14:textId="77777777" w:rsidR="009C353B" w:rsidRDefault="009C353B">
            <w:pPr>
              <w:widowControl/>
              <w:jc w:val="center"/>
              <w:rPr>
                <w:rFonts w:ascii="Times New Roman" w:hAnsi="Times New Roman"/>
                <w:kern w:val="0"/>
                <w:sz w:val="21"/>
                <w:szCs w:val="21"/>
              </w:rPr>
            </w:pPr>
          </w:p>
        </w:tc>
        <w:tc>
          <w:tcPr>
            <w:tcW w:w="620" w:type="pct"/>
            <w:shd w:val="clear" w:color="auto" w:fill="auto"/>
            <w:noWrap/>
            <w:vAlign w:val="center"/>
          </w:tcPr>
          <w:p w14:paraId="2CF32DF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250</w:t>
            </w:r>
          </w:p>
        </w:tc>
      </w:tr>
      <w:tr w:rsidR="009C353B" w14:paraId="090673A5" w14:textId="77777777">
        <w:trPr>
          <w:trHeight w:val="340"/>
        </w:trPr>
        <w:tc>
          <w:tcPr>
            <w:tcW w:w="413" w:type="pct"/>
            <w:vMerge/>
            <w:vAlign w:val="center"/>
          </w:tcPr>
          <w:p w14:paraId="56AEB585" w14:textId="77777777" w:rsidR="009C353B" w:rsidRDefault="009C353B">
            <w:pPr>
              <w:widowControl/>
              <w:jc w:val="center"/>
              <w:rPr>
                <w:rFonts w:ascii="Times New Roman" w:hAnsi="Times New Roman"/>
                <w:kern w:val="0"/>
                <w:sz w:val="21"/>
                <w:szCs w:val="21"/>
              </w:rPr>
            </w:pPr>
          </w:p>
        </w:tc>
        <w:tc>
          <w:tcPr>
            <w:tcW w:w="903" w:type="pct"/>
            <w:shd w:val="clear" w:color="auto" w:fill="auto"/>
            <w:vAlign w:val="center"/>
          </w:tcPr>
          <w:p w14:paraId="07768C4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溶解性总固体</w:t>
            </w:r>
          </w:p>
        </w:tc>
        <w:tc>
          <w:tcPr>
            <w:tcW w:w="689" w:type="pct"/>
            <w:vMerge/>
            <w:shd w:val="clear" w:color="auto" w:fill="auto"/>
            <w:noWrap/>
            <w:vAlign w:val="center"/>
          </w:tcPr>
          <w:p w14:paraId="69F14FC5" w14:textId="77777777" w:rsidR="009C353B" w:rsidRDefault="009C353B">
            <w:pPr>
              <w:widowControl/>
              <w:jc w:val="center"/>
              <w:rPr>
                <w:rFonts w:ascii="Times New Roman" w:hAnsi="Times New Roman"/>
                <w:kern w:val="0"/>
                <w:sz w:val="21"/>
                <w:szCs w:val="21"/>
              </w:rPr>
            </w:pPr>
          </w:p>
        </w:tc>
        <w:tc>
          <w:tcPr>
            <w:tcW w:w="887" w:type="pct"/>
            <w:shd w:val="clear" w:color="auto" w:fill="auto"/>
            <w:noWrap/>
            <w:vAlign w:val="center"/>
          </w:tcPr>
          <w:p w14:paraId="698E24B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1220</w:t>
            </w:r>
          </w:p>
        </w:tc>
        <w:tc>
          <w:tcPr>
            <w:tcW w:w="620" w:type="pct"/>
            <w:shd w:val="clear" w:color="auto" w:fill="auto"/>
            <w:noWrap/>
            <w:vAlign w:val="center"/>
          </w:tcPr>
          <w:p w14:paraId="0D2251E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1.22</w:t>
            </w:r>
          </w:p>
        </w:tc>
        <w:tc>
          <w:tcPr>
            <w:tcW w:w="867" w:type="pct"/>
            <w:vMerge/>
            <w:vAlign w:val="center"/>
          </w:tcPr>
          <w:p w14:paraId="78ACB5D9" w14:textId="77777777" w:rsidR="009C353B" w:rsidRDefault="009C353B">
            <w:pPr>
              <w:widowControl/>
              <w:jc w:val="center"/>
              <w:rPr>
                <w:rFonts w:ascii="Times New Roman" w:hAnsi="Times New Roman"/>
                <w:kern w:val="0"/>
                <w:sz w:val="21"/>
                <w:szCs w:val="21"/>
              </w:rPr>
            </w:pPr>
          </w:p>
        </w:tc>
        <w:tc>
          <w:tcPr>
            <w:tcW w:w="620" w:type="pct"/>
            <w:shd w:val="clear" w:color="auto" w:fill="auto"/>
            <w:vAlign w:val="center"/>
          </w:tcPr>
          <w:p w14:paraId="14C9491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1000</w:t>
            </w:r>
          </w:p>
        </w:tc>
      </w:tr>
      <w:tr w:rsidR="009C353B" w14:paraId="1E51AA11" w14:textId="77777777">
        <w:trPr>
          <w:trHeight w:val="340"/>
        </w:trPr>
        <w:tc>
          <w:tcPr>
            <w:tcW w:w="413" w:type="pct"/>
            <w:vMerge/>
            <w:vAlign w:val="center"/>
          </w:tcPr>
          <w:p w14:paraId="578F2475" w14:textId="77777777" w:rsidR="009C353B" w:rsidRDefault="009C353B">
            <w:pPr>
              <w:widowControl/>
              <w:jc w:val="center"/>
              <w:rPr>
                <w:rFonts w:ascii="Times New Roman" w:hAnsi="Times New Roman"/>
                <w:kern w:val="0"/>
                <w:sz w:val="21"/>
                <w:szCs w:val="21"/>
              </w:rPr>
            </w:pPr>
          </w:p>
        </w:tc>
        <w:tc>
          <w:tcPr>
            <w:tcW w:w="903" w:type="pct"/>
            <w:shd w:val="clear" w:color="auto" w:fill="auto"/>
            <w:vAlign w:val="center"/>
          </w:tcPr>
          <w:p w14:paraId="29767A1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689" w:type="pct"/>
            <w:vMerge/>
            <w:shd w:val="clear" w:color="auto" w:fill="auto"/>
            <w:noWrap/>
            <w:vAlign w:val="center"/>
          </w:tcPr>
          <w:p w14:paraId="4136992D" w14:textId="77777777" w:rsidR="009C353B" w:rsidRDefault="009C353B">
            <w:pPr>
              <w:widowControl/>
              <w:jc w:val="center"/>
              <w:rPr>
                <w:rFonts w:ascii="Times New Roman" w:hAnsi="Times New Roman"/>
                <w:kern w:val="0"/>
                <w:sz w:val="21"/>
                <w:szCs w:val="21"/>
              </w:rPr>
            </w:pPr>
          </w:p>
        </w:tc>
        <w:tc>
          <w:tcPr>
            <w:tcW w:w="887" w:type="pct"/>
            <w:shd w:val="clear" w:color="auto" w:fill="auto"/>
            <w:noWrap/>
            <w:vAlign w:val="center"/>
          </w:tcPr>
          <w:p w14:paraId="669F1E8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1.1</w:t>
            </w:r>
          </w:p>
        </w:tc>
        <w:tc>
          <w:tcPr>
            <w:tcW w:w="620" w:type="pct"/>
            <w:shd w:val="clear" w:color="auto" w:fill="auto"/>
            <w:noWrap/>
            <w:vAlign w:val="center"/>
          </w:tcPr>
          <w:p w14:paraId="0161F57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1.1</w:t>
            </w:r>
          </w:p>
        </w:tc>
        <w:tc>
          <w:tcPr>
            <w:tcW w:w="867" w:type="pct"/>
            <w:vMerge/>
            <w:vAlign w:val="center"/>
          </w:tcPr>
          <w:p w14:paraId="261264FE" w14:textId="77777777" w:rsidR="009C353B" w:rsidRDefault="009C353B">
            <w:pPr>
              <w:widowControl/>
              <w:jc w:val="center"/>
              <w:rPr>
                <w:rFonts w:ascii="Times New Roman" w:hAnsi="Times New Roman"/>
                <w:kern w:val="0"/>
                <w:sz w:val="21"/>
                <w:szCs w:val="21"/>
              </w:rPr>
            </w:pPr>
          </w:p>
        </w:tc>
        <w:tc>
          <w:tcPr>
            <w:tcW w:w="620" w:type="pct"/>
            <w:shd w:val="clear" w:color="auto" w:fill="auto"/>
            <w:noWrap/>
            <w:vAlign w:val="center"/>
          </w:tcPr>
          <w:p w14:paraId="2AB935C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p>
        </w:tc>
      </w:tr>
      <w:tr w:rsidR="009C353B" w14:paraId="745D336D" w14:textId="77777777">
        <w:trPr>
          <w:trHeight w:val="340"/>
        </w:trPr>
        <w:tc>
          <w:tcPr>
            <w:tcW w:w="413" w:type="pct"/>
            <w:vMerge w:val="restart"/>
            <w:shd w:val="clear" w:color="auto" w:fill="auto"/>
            <w:noWrap/>
            <w:vAlign w:val="center"/>
          </w:tcPr>
          <w:p w14:paraId="3DF60CE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w:t>
            </w:r>
          </w:p>
        </w:tc>
        <w:tc>
          <w:tcPr>
            <w:tcW w:w="903" w:type="pct"/>
            <w:shd w:val="clear" w:color="auto" w:fill="auto"/>
            <w:vAlign w:val="center"/>
          </w:tcPr>
          <w:p w14:paraId="235AD1E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总硬度</w:t>
            </w:r>
          </w:p>
        </w:tc>
        <w:tc>
          <w:tcPr>
            <w:tcW w:w="689" w:type="pct"/>
            <w:vMerge/>
            <w:shd w:val="clear" w:color="auto" w:fill="auto"/>
            <w:noWrap/>
            <w:vAlign w:val="center"/>
          </w:tcPr>
          <w:p w14:paraId="6E326493" w14:textId="77777777" w:rsidR="009C353B" w:rsidRDefault="009C353B">
            <w:pPr>
              <w:widowControl/>
              <w:jc w:val="center"/>
              <w:rPr>
                <w:rFonts w:ascii="Times New Roman" w:hAnsi="Times New Roman"/>
                <w:kern w:val="0"/>
                <w:sz w:val="21"/>
                <w:szCs w:val="21"/>
              </w:rPr>
            </w:pPr>
          </w:p>
        </w:tc>
        <w:tc>
          <w:tcPr>
            <w:tcW w:w="887" w:type="pct"/>
            <w:shd w:val="clear" w:color="auto" w:fill="auto"/>
            <w:noWrap/>
            <w:vAlign w:val="center"/>
          </w:tcPr>
          <w:p w14:paraId="1E49525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2800</w:t>
            </w:r>
          </w:p>
        </w:tc>
        <w:tc>
          <w:tcPr>
            <w:tcW w:w="620" w:type="pct"/>
            <w:shd w:val="clear" w:color="auto" w:fill="auto"/>
            <w:noWrap/>
            <w:vAlign w:val="center"/>
          </w:tcPr>
          <w:p w14:paraId="7DE7AB1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6.22</w:t>
            </w:r>
          </w:p>
        </w:tc>
        <w:tc>
          <w:tcPr>
            <w:tcW w:w="867" w:type="pct"/>
            <w:vMerge/>
            <w:vAlign w:val="center"/>
          </w:tcPr>
          <w:p w14:paraId="3B9B7E01" w14:textId="77777777" w:rsidR="009C353B" w:rsidRDefault="009C353B">
            <w:pPr>
              <w:widowControl/>
              <w:jc w:val="center"/>
              <w:rPr>
                <w:rFonts w:ascii="Times New Roman" w:hAnsi="Times New Roman"/>
                <w:kern w:val="0"/>
                <w:sz w:val="21"/>
                <w:szCs w:val="21"/>
              </w:rPr>
            </w:pPr>
          </w:p>
        </w:tc>
        <w:tc>
          <w:tcPr>
            <w:tcW w:w="620" w:type="pct"/>
            <w:shd w:val="clear" w:color="auto" w:fill="auto"/>
            <w:noWrap/>
            <w:vAlign w:val="center"/>
          </w:tcPr>
          <w:p w14:paraId="573DAE8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450</w:t>
            </w:r>
          </w:p>
        </w:tc>
      </w:tr>
      <w:tr w:rsidR="009C353B" w14:paraId="488429C6" w14:textId="77777777">
        <w:trPr>
          <w:trHeight w:val="340"/>
        </w:trPr>
        <w:tc>
          <w:tcPr>
            <w:tcW w:w="455" w:type="pct"/>
            <w:vMerge/>
            <w:vAlign w:val="center"/>
          </w:tcPr>
          <w:p w14:paraId="368ADA41" w14:textId="77777777" w:rsidR="009C353B" w:rsidRDefault="009C353B">
            <w:pPr>
              <w:widowControl/>
              <w:jc w:val="center"/>
              <w:rPr>
                <w:rFonts w:ascii="Times New Roman" w:hAnsi="Times New Roman"/>
                <w:kern w:val="0"/>
                <w:sz w:val="21"/>
                <w:szCs w:val="21"/>
              </w:rPr>
            </w:pPr>
          </w:p>
        </w:tc>
        <w:tc>
          <w:tcPr>
            <w:tcW w:w="896" w:type="pct"/>
            <w:shd w:val="clear" w:color="auto" w:fill="auto"/>
            <w:vAlign w:val="center"/>
          </w:tcPr>
          <w:p w14:paraId="07E3BA9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亚硝酸盐</w:t>
            </w:r>
          </w:p>
        </w:tc>
        <w:tc>
          <w:tcPr>
            <w:tcW w:w="682" w:type="pct"/>
            <w:vMerge/>
            <w:shd w:val="clear" w:color="auto" w:fill="auto"/>
            <w:noWrap/>
            <w:vAlign w:val="center"/>
          </w:tcPr>
          <w:p w14:paraId="467B126B" w14:textId="77777777" w:rsidR="009C353B" w:rsidRDefault="009C353B">
            <w:pPr>
              <w:widowControl/>
              <w:jc w:val="center"/>
              <w:rPr>
                <w:rFonts w:ascii="Times New Roman" w:hAnsi="Times New Roman"/>
                <w:kern w:val="0"/>
                <w:sz w:val="21"/>
                <w:szCs w:val="21"/>
              </w:rPr>
            </w:pPr>
          </w:p>
        </w:tc>
        <w:tc>
          <w:tcPr>
            <w:tcW w:w="880" w:type="pct"/>
            <w:shd w:val="clear" w:color="auto" w:fill="auto"/>
            <w:noWrap/>
            <w:vAlign w:val="center"/>
          </w:tcPr>
          <w:p w14:paraId="7A7E769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0.49</w:t>
            </w:r>
          </w:p>
        </w:tc>
        <w:tc>
          <w:tcPr>
            <w:tcW w:w="613" w:type="pct"/>
            <w:shd w:val="clear" w:color="auto" w:fill="auto"/>
            <w:noWrap/>
            <w:vAlign w:val="center"/>
          </w:tcPr>
          <w:p w14:paraId="6098C2B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24.5</w:t>
            </w:r>
          </w:p>
        </w:tc>
        <w:tc>
          <w:tcPr>
            <w:tcW w:w="860" w:type="pct"/>
            <w:vMerge/>
            <w:vAlign w:val="center"/>
          </w:tcPr>
          <w:p w14:paraId="5F72DF7D" w14:textId="77777777" w:rsidR="009C353B" w:rsidRDefault="009C353B">
            <w:pPr>
              <w:widowControl/>
              <w:jc w:val="center"/>
              <w:rPr>
                <w:rFonts w:ascii="Times New Roman" w:hAnsi="Times New Roman"/>
                <w:kern w:val="0"/>
                <w:sz w:val="21"/>
                <w:szCs w:val="21"/>
              </w:rPr>
            </w:pPr>
          </w:p>
        </w:tc>
        <w:tc>
          <w:tcPr>
            <w:tcW w:w="613" w:type="pct"/>
            <w:shd w:val="clear" w:color="auto" w:fill="auto"/>
            <w:vAlign w:val="center"/>
          </w:tcPr>
          <w:p w14:paraId="54F4A5A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0.02</w:t>
            </w:r>
          </w:p>
        </w:tc>
      </w:tr>
      <w:tr w:rsidR="009C353B" w14:paraId="7162A506" w14:textId="77777777">
        <w:trPr>
          <w:trHeight w:val="340"/>
        </w:trPr>
        <w:tc>
          <w:tcPr>
            <w:tcW w:w="455" w:type="pct"/>
            <w:vMerge/>
            <w:vAlign w:val="center"/>
          </w:tcPr>
          <w:p w14:paraId="1143618E" w14:textId="77777777" w:rsidR="009C353B" w:rsidRDefault="009C353B">
            <w:pPr>
              <w:widowControl/>
              <w:jc w:val="center"/>
              <w:rPr>
                <w:rFonts w:ascii="Times New Roman" w:hAnsi="Times New Roman"/>
                <w:kern w:val="0"/>
                <w:sz w:val="21"/>
                <w:szCs w:val="21"/>
              </w:rPr>
            </w:pPr>
          </w:p>
        </w:tc>
        <w:tc>
          <w:tcPr>
            <w:tcW w:w="896" w:type="pct"/>
            <w:shd w:val="clear" w:color="auto" w:fill="auto"/>
            <w:vAlign w:val="center"/>
          </w:tcPr>
          <w:p w14:paraId="6102492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高锰酸钾指数</w:t>
            </w:r>
          </w:p>
        </w:tc>
        <w:tc>
          <w:tcPr>
            <w:tcW w:w="682" w:type="pct"/>
            <w:vMerge/>
            <w:shd w:val="clear" w:color="auto" w:fill="auto"/>
            <w:noWrap/>
            <w:vAlign w:val="center"/>
          </w:tcPr>
          <w:p w14:paraId="2FBCF200" w14:textId="77777777" w:rsidR="009C353B" w:rsidRDefault="009C353B">
            <w:pPr>
              <w:widowControl/>
              <w:jc w:val="center"/>
              <w:rPr>
                <w:rFonts w:ascii="Times New Roman" w:hAnsi="Times New Roman"/>
                <w:kern w:val="0"/>
                <w:sz w:val="21"/>
                <w:szCs w:val="21"/>
              </w:rPr>
            </w:pPr>
          </w:p>
        </w:tc>
        <w:tc>
          <w:tcPr>
            <w:tcW w:w="880" w:type="pct"/>
            <w:shd w:val="clear" w:color="auto" w:fill="auto"/>
            <w:noWrap/>
            <w:vAlign w:val="center"/>
          </w:tcPr>
          <w:p w14:paraId="7E9CB08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6.8</w:t>
            </w:r>
          </w:p>
        </w:tc>
        <w:tc>
          <w:tcPr>
            <w:tcW w:w="613" w:type="pct"/>
            <w:shd w:val="clear" w:color="auto" w:fill="auto"/>
            <w:noWrap/>
            <w:vAlign w:val="center"/>
          </w:tcPr>
          <w:p w14:paraId="5C2C422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2.27</w:t>
            </w:r>
          </w:p>
        </w:tc>
        <w:tc>
          <w:tcPr>
            <w:tcW w:w="860" w:type="pct"/>
            <w:vMerge/>
            <w:vAlign w:val="center"/>
          </w:tcPr>
          <w:p w14:paraId="28F253E5" w14:textId="77777777" w:rsidR="009C353B" w:rsidRDefault="009C353B">
            <w:pPr>
              <w:widowControl/>
              <w:jc w:val="center"/>
              <w:rPr>
                <w:rFonts w:ascii="Times New Roman" w:hAnsi="Times New Roman"/>
                <w:kern w:val="0"/>
                <w:sz w:val="21"/>
                <w:szCs w:val="21"/>
              </w:rPr>
            </w:pPr>
          </w:p>
        </w:tc>
        <w:tc>
          <w:tcPr>
            <w:tcW w:w="613" w:type="pct"/>
            <w:shd w:val="clear" w:color="auto" w:fill="auto"/>
            <w:noWrap/>
            <w:vAlign w:val="center"/>
          </w:tcPr>
          <w:p w14:paraId="7389327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3</w:t>
            </w:r>
          </w:p>
        </w:tc>
      </w:tr>
      <w:tr w:rsidR="009C353B" w14:paraId="11EC65CA" w14:textId="77777777">
        <w:trPr>
          <w:trHeight w:val="340"/>
        </w:trPr>
        <w:tc>
          <w:tcPr>
            <w:tcW w:w="455" w:type="pct"/>
            <w:vMerge/>
            <w:vAlign w:val="center"/>
          </w:tcPr>
          <w:p w14:paraId="7061B942" w14:textId="77777777" w:rsidR="009C353B" w:rsidRDefault="009C353B">
            <w:pPr>
              <w:widowControl/>
              <w:jc w:val="center"/>
              <w:rPr>
                <w:rFonts w:ascii="Times New Roman" w:hAnsi="Times New Roman"/>
                <w:kern w:val="0"/>
                <w:sz w:val="21"/>
                <w:szCs w:val="21"/>
              </w:rPr>
            </w:pPr>
          </w:p>
        </w:tc>
        <w:tc>
          <w:tcPr>
            <w:tcW w:w="896" w:type="pct"/>
            <w:shd w:val="clear" w:color="auto" w:fill="auto"/>
            <w:vAlign w:val="center"/>
          </w:tcPr>
          <w:p w14:paraId="700D105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氯化物</w:t>
            </w:r>
          </w:p>
        </w:tc>
        <w:tc>
          <w:tcPr>
            <w:tcW w:w="682" w:type="pct"/>
            <w:vMerge/>
            <w:shd w:val="clear" w:color="auto" w:fill="auto"/>
            <w:noWrap/>
            <w:vAlign w:val="center"/>
          </w:tcPr>
          <w:p w14:paraId="40389AB8" w14:textId="77777777" w:rsidR="009C353B" w:rsidRDefault="009C353B">
            <w:pPr>
              <w:widowControl/>
              <w:jc w:val="center"/>
              <w:rPr>
                <w:rFonts w:ascii="Times New Roman" w:hAnsi="Times New Roman"/>
                <w:kern w:val="0"/>
                <w:sz w:val="21"/>
                <w:szCs w:val="21"/>
              </w:rPr>
            </w:pPr>
          </w:p>
        </w:tc>
        <w:tc>
          <w:tcPr>
            <w:tcW w:w="880" w:type="pct"/>
            <w:shd w:val="clear" w:color="auto" w:fill="auto"/>
            <w:noWrap/>
            <w:vAlign w:val="center"/>
          </w:tcPr>
          <w:p w14:paraId="569458D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4060</w:t>
            </w:r>
          </w:p>
        </w:tc>
        <w:tc>
          <w:tcPr>
            <w:tcW w:w="613" w:type="pct"/>
            <w:shd w:val="clear" w:color="auto" w:fill="auto"/>
            <w:noWrap/>
            <w:vAlign w:val="center"/>
          </w:tcPr>
          <w:p w14:paraId="1420FB5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16.24</w:t>
            </w:r>
          </w:p>
        </w:tc>
        <w:tc>
          <w:tcPr>
            <w:tcW w:w="860" w:type="pct"/>
            <w:vMerge/>
            <w:vAlign w:val="center"/>
          </w:tcPr>
          <w:p w14:paraId="5056D3CE" w14:textId="77777777" w:rsidR="009C353B" w:rsidRDefault="009C353B">
            <w:pPr>
              <w:widowControl/>
              <w:jc w:val="center"/>
              <w:rPr>
                <w:rFonts w:ascii="Times New Roman" w:hAnsi="Times New Roman"/>
                <w:kern w:val="0"/>
                <w:sz w:val="21"/>
                <w:szCs w:val="21"/>
              </w:rPr>
            </w:pPr>
          </w:p>
        </w:tc>
        <w:tc>
          <w:tcPr>
            <w:tcW w:w="613" w:type="pct"/>
            <w:shd w:val="clear" w:color="auto" w:fill="auto"/>
            <w:vAlign w:val="center"/>
          </w:tcPr>
          <w:p w14:paraId="2E085D3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250</w:t>
            </w:r>
          </w:p>
        </w:tc>
      </w:tr>
      <w:tr w:rsidR="009C353B" w14:paraId="64DD6875" w14:textId="77777777">
        <w:trPr>
          <w:trHeight w:val="340"/>
        </w:trPr>
        <w:tc>
          <w:tcPr>
            <w:tcW w:w="455" w:type="pct"/>
            <w:vMerge/>
            <w:vAlign w:val="center"/>
          </w:tcPr>
          <w:p w14:paraId="3509BE51" w14:textId="77777777" w:rsidR="009C353B" w:rsidRDefault="009C353B">
            <w:pPr>
              <w:widowControl/>
              <w:jc w:val="center"/>
              <w:rPr>
                <w:rFonts w:ascii="Times New Roman" w:hAnsi="Times New Roman"/>
                <w:kern w:val="0"/>
                <w:sz w:val="21"/>
                <w:szCs w:val="21"/>
              </w:rPr>
            </w:pPr>
          </w:p>
        </w:tc>
        <w:tc>
          <w:tcPr>
            <w:tcW w:w="896" w:type="pct"/>
            <w:shd w:val="clear" w:color="auto" w:fill="auto"/>
            <w:vAlign w:val="center"/>
          </w:tcPr>
          <w:p w14:paraId="51D6EB4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硫酸盐</w:t>
            </w:r>
          </w:p>
        </w:tc>
        <w:tc>
          <w:tcPr>
            <w:tcW w:w="682" w:type="pct"/>
            <w:vMerge/>
            <w:shd w:val="clear" w:color="auto" w:fill="auto"/>
            <w:noWrap/>
            <w:vAlign w:val="center"/>
          </w:tcPr>
          <w:p w14:paraId="3D0D42C2" w14:textId="77777777" w:rsidR="009C353B" w:rsidRDefault="009C353B">
            <w:pPr>
              <w:widowControl/>
              <w:jc w:val="center"/>
              <w:rPr>
                <w:rFonts w:ascii="Times New Roman" w:hAnsi="Times New Roman"/>
                <w:kern w:val="0"/>
                <w:sz w:val="21"/>
                <w:szCs w:val="21"/>
              </w:rPr>
            </w:pPr>
          </w:p>
        </w:tc>
        <w:tc>
          <w:tcPr>
            <w:tcW w:w="880" w:type="pct"/>
            <w:shd w:val="clear" w:color="auto" w:fill="auto"/>
            <w:noWrap/>
            <w:vAlign w:val="center"/>
          </w:tcPr>
          <w:p w14:paraId="40C6F44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4800</w:t>
            </w:r>
          </w:p>
        </w:tc>
        <w:tc>
          <w:tcPr>
            <w:tcW w:w="613" w:type="pct"/>
            <w:shd w:val="clear" w:color="auto" w:fill="auto"/>
            <w:noWrap/>
            <w:vAlign w:val="center"/>
          </w:tcPr>
          <w:p w14:paraId="2B952B0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19.2</w:t>
            </w:r>
          </w:p>
        </w:tc>
        <w:tc>
          <w:tcPr>
            <w:tcW w:w="860" w:type="pct"/>
            <w:vMerge/>
            <w:vAlign w:val="center"/>
          </w:tcPr>
          <w:p w14:paraId="14A11F23" w14:textId="77777777" w:rsidR="009C353B" w:rsidRDefault="009C353B">
            <w:pPr>
              <w:widowControl/>
              <w:jc w:val="center"/>
              <w:rPr>
                <w:rFonts w:ascii="Times New Roman" w:hAnsi="Times New Roman"/>
                <w:kern w:val="0"/>
                <w:sz w:val="21"/>
                <w:szCs w:val="21"/>
              </w:rPr>
            </w:pPr>
          </w:p>
        </w:tc>
        <w:tc>
          <w:tcPr>
            <w:tcW w:w="613" w:type="pct"/>
            <w:shd w:val="clear" w:color="auto" w:fill="auto"/>
            <w:noWrap/>
            <w:vAlign w:val="center"/>
          </w:tcPr>
          <w:p w14:paraId="043448E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250</w:t>
            </w:r>
          </w:p>
        </w:tc>
      </w:tr>
      <w:tr w:rsidR="009C353B" w14:paraId="28DB76A3" w14:textId="77777777">
        <w:trPr>
          <w:trHeight w:val="340"/>
        </w:trPr>
        <w:tc>
          <w:tcPr>
            <w:tcW w:w="455" w:type="pct"/>
            <w:vMerge/>
            <w:vAlign w:val="center"/>
          </w:tcPr>
          <w:p w14:paraId="1CFD4698" w14:textId="77777777" w:rsidR="009C353B" w:rsidRDefault="009C353B">
            <w:pPr>
              <w:widowControl/>
              <w:jc w:val="center"/>
              <w:rPr>
                <w:rFonts w:ascii="Times New Roman" w:hAnsi="Times New Roman"/>
                <w:kern w:val="0"/>
                <w:sz w:val="21"/>
                <w:szCs w:val="21"/>
              </w:rPr>
            </w:pPr>
          </w:p>
        </w:tc>
        <w:tc>
          <w:tcPr>
            <w:tcW w:w="896" w:type="pct"/>
            <w:shd w:val="clear" w:color="auto" w:fill="auto"/>
            <w:vAlign w:val="center"/>
          </w:tcPr>
          <w:p w14:paraId="3B89F2E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溶解性总固体</w:t>
            </w:r>
          </w:p>
        </w:tc>
        <w:tc>
          <w:tcPr>
            <w:tcW w:w="682" w:type="pct"/>
            <w:vMerge/>
            <w:shd w:val="clear" w:color="auto" w:fill="auto"/>
            <w:noWrap/>
            <w:vAlign w:val="center"/>
          </w:tcPr>
          <w:p w14:paraId="3637B4C0" w14:textId="77777777" w:rsidR="009C353B" w:rsidRDefault="009C353B">
            <w:pPr>
              <w:widowControl/>
              <w:jc w:val="center"/>
              <w:rPr>
                <w:rFonts w:ascii="Times New Roman" w:hAnsi="Times New Roman"/>
                <w:kern w:val="0"/>
                <w:sz w:val="21"/>
                <w:szCs w:val="21"/>
              </w:rPr>
            </w:pPr>
          </w:p>
        </w:tc>
        <w:tc>
          <w:tcPr>
            <w:tcW w:w="880" w:type="pct"/>
            <w:shd w:val="clear" w:color="auto" w:fill="auto"/>
            <w:noWrap/>
            <w:vAlign w:val="center"/>
          </w:tcPr>
          <w:p w14:paraId="121DEBC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1530</w:t>
            </w:r>
          </w:p>
        </w:tc>
        <w:tc>
          <w:tcPr>
            <w:tcW w:w="613" w:type="pct"/>
            <w:shd w:val="clear" w:color="auto" w:fill="auto"/>
            <w:noWrap/>
            <w:vAlign w:val="center"/>
          </w:tcPr>
          <w:p w14:paraId="20EA72A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1.53</w:t>
            </w:r>
          </w:p>
        </w:tc>
        <w:tc>
          <w:tcPr>
            <w:tcW w:w="860" w:type="pct"/>
            <w:vMerge/>
            <w:vAlign w:val="center"/>
          </w:tcPr>
          <w:p w14:paraId="5D3D5033" w14:textId="77777777" w:rsidR="009C353B" w:rsidRDefault="009C353B">
            <w:pPr>
              <w:widowControl/>
              <w:jc w:val="center"/>
              <w:rPr>
                <w:rFonts w:ascii="Times New Roman" w:hAnsi="Times New Roman"/>
                <w:kern w:val="0"/>
                <w:sz w:val="21"/>
                <w:szCs w:val="21"/>
              </w:rPr>
            </w:pPr>
          </w:p>
        </w:tc>
        <w:tc>
          <w:tcPr>
            <w:tcW w:w="613" w:type="pct"/>
            <w:shd w:val="clear" w:color="auto" w:fill="auto"/>
            <w:vAlign w:val="center"/>
          </w:tcPr>
          <w:p w14:paraId="143AA51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1000</w:t>
            </w:r>
          </w:p>
        </w:tc>
      </w:tr>
      <w:tr w:rsidR="009C353B" w14:paraId="16EEACA0" w14:textId="77777777">
        <w:trPr>
          <w:trHeight w:val="340"/>
        </w:trPr>
        <w:tc>
          <w:tcPr>
            <w:tcW w:w="455" w:type="pct"/>
            <w:vMerge/>
            <w:vAlign w:val="center"/>
          </w:tcPr>
          <w:p w14:paraId="06630F8E" w14:textId="77777777" w:rsidR="009C353B" w:rsidRDefault="009C353B">
            <w:pPr>
              <w:widowControl/>
              <w:jc w:val="center"/>
              <w:rPr>
                <w:rFonts w:ascii="Times New Roman" w:hAnsi="Times New Roman"/>
                <w:kern w:val="0"/>
                <w:sz w:val="21"/>
                <w:szCs w:val="21"/>
              </w:rPr>
            </w:pPr>
          </w:p>
        </w:tc>
        <w:tc>
          <w:tcPr>
            <w:tcW w:w="896" w:type="pct"/>
            <w:shd w:val="clear" w:color="auto" w:fill="auto"/>
            <w:vAlign w:val="center"/>
          </w:tcPr>
          <w:p w14:paraId="215860E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氟化物</w:t>
            </w:r>
          </w:p>
        </w:tc>
        <w:tc>
          <w:tcPr>
            <w:tcW w:w="682" w:type="pct"/>
            <w:vMerge/>
            <w:shd w:val="clear" w:color="auto" w:fill="auto"/>
            <w:noWrap/>
            <w:vAlign w:val="center"/>
          </w:tcPr>
          <w:p w14:paraId="5689443F" w14:textId="77777777" w:rsidR="009C353B" w:rsidRDefault="009C353B">
            <w:pPr>
              <w:widowControl/>
              <w:jc w:val="center"/>
              <w:rPr>
                <w:rFonts w:ascii="Times New Roman" w:hAnsi="Times New Roman"/>
                <w:kern w:val="0"/>
                <w:sz w:val="21"/>
                <w:szCs w:val="21"/>
              </w:rPr>
            </w:pPr>
          </w:p>
        </w:tc>
        <w:tc>
          <w:tcPr>
            <w:tcW w:w="880" w:type="pct"/>
            <w:shd w:val="clear" w:color="auto" w:fill="auto"/>
            <w:noWrap/>
            <w:vAlign w:val="center"/>
          </w:tcPr>
          <w:p w14:paraId="6B0BFAA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w:t>
            </w:r>
          </w:p>
        </w:tc>
        <w:tc>
          <w:tcPr>
            <w:tcW w:w="613" w:type="pct"/>
            <w:shd w:val="clear" w:color="auto" w:fill="auto"/>
            <w:noWrap/>
            <w:vAlign w:val="center"/>
          </w:tcPr>
          <w:p w14:paraId="459CBE3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w:t>
            </w:r>
          </w:p>
        </w:tc>
        <w:tc>
          <w:tcPr>
            <w:tcW w:w="860" w:type="pct"/>
            <w:vMerge/>
            <w:vAlign w:val="center"/>
          </w:tcPr>
          <w:p w14:paraId="293A88D2" w14:textId="77777777" w:rsidR="009C353B" w:rsidRDefault="009C353B">
            <w:pPr>
              <w:widowControl/>
              <w:jc w:val="center"/>
              <w:rPr>
                <w:rFonts w:ascii="Times New Roman" w:hAnsi="Times New Roman"/>
                <w:kern w:val="0"/>
                <w:sz w:val="21"/>
                <w:szCs w:val="21"/>
              </w:rPr>
            </w:pPr>
          </w:p>
        </w:tc>
        <w:tc>
          <w:tcPr>
            <w:tcW w:w="613" w:type="pct"/>
            <w:shd w:val="clear" w:color="auto" w:fill="auto"/>
            <w:vAlign w:val="center"/>
          </w:tcPr>
          <w:p w14:paraId="459F9A4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p>
        </w:tc>
      </w:tr>
      <w:tr w:rsidR="009C353B" w14:paraId="7A260779" w14:textId="77777777">
        <w:trPr>
          <w:trHeight w:val="340"/>
        </w:trPr>
        <w:tc>
          <w:tcPr>
            <w:tcW w:w="455" w:type="pct"/>
            <w:vMerge w:val="restart"/>
            <w:shd w:val="clear" w:color="auto" w:fill="auto"/>
            <w:noWrap/>
            <w:vAlign w:val="center"/>
          </w:tcPr>
          <w:p w14:paraId="5D61424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w:t>
            </w:r>
          </w:p>
        </w:tc>
        <w:tc>
          <w:tcPr>
            <w:tcW w:w="896" w:type="pct"/>
            <w:shd w:val="clear" w:color="auto" w:fill="auto"/>
            <w:noWrap/>
            <w:vAlign w:val="center"/>
          </w:tcPr>
          <w:p w14:paraId="77378011"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亚硝酸盐</w:t>
            </w:r>
          </w:p>
        </w:tc>
        <w:tc>
          <w:tcPr>
            <w:tcW w:w="682" w:type="pct"/>
            <w:vMerge/>
            <w:shd w:val="clear" w:color="auto" w:fill="auto"/>
            <w:noWrap/>
            <w:vAlign w:val="center"/>
          </w:tcPr>
          <w:p w14:paraId="2738FED1" w14:textId="77777777" w:rsidR="009C353B" w:rsidRDefault="009C353B">
            <w:pPr>
              <w:widowControl/>
              <w:jc w:val="center"/>
              <w:rPr>
                <w:rFonts w:ascii="Times New Roman" w:hAnsi="Times New Roman"/>
                <w:kern w:val="0"/>
                <w:sz w:val="21"/>
                <w:szCs w:val="21"/>
              </w:rPr>
            </w:pPr>
          </w:p>
        </w:tc>
        <w:tc>
          <w:tcPr>
            <w:tcW w:w="880" w:type="pct"/>
            <w:shd w:val="clear" w:color="auto" w:fill="auto"/>
            <w:noWrap/>
            <w:vAlign w:val="center"/>
          </w:tcPr>
          <w:p w14:paraId="50946E7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0.05</w:t>
            </w:r>
          </w:p>
        </w:tc>
        <w:tc>
          <w:tcPr>
            <w:tcW w:w="613" w:type="pct"/>
            <w:shd w:val="clear" w:color="auto" w:fill="auto"/>
            <w:noWrap/>
            <w:vAlign w:val="center"/>
          </w:tcPr>
          <w:p w14:paraId="695EC39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2.5</w:t>
            </w:r>
          </w:p>
        </w:tc>
        <w:tc>
          <w:tcPr>
            <w:tcW w:w="860" w:type="pct"/>
            <w:vMerge/>
            <w:vAlign w:val="center"/>
          </w:tcPr>
          <w:p w14:paraId="73816093" w14:textId="77777777" w:rsidR="009C353B" w:rsidRDefault="009C353B">
            <w:pPr>
              <w:widowControl/>
              <w:jc w:val="center"/>
              <w:rPr>
                <w:rFonts w:ascii="Times New Roman" w:hAnsi="Times New Roman"/>
                <w:kern w:val="0"/>
                <w:sz w:val="21"/>
                <w:szCs w:val="21"/>
              </w:rPr>
            </w:pPr>
          </w:p>
        </w:tc>
        <w:tc>
          <w:tcPr>
            <w:tcW w:w="613" w:type="pct"/>
            <w:shd w:val="clear" w:color="auto" w:fill="auto"/>
            <w:noWrap/>
            <w:vAlign w:val="center"/>
          </w:tcPr>
          <w:p w14:paraId="4562CB82"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0.02</w:t>
            </w:r>
          </w:p>
        </w:tc>
      </w:tr>
      <w:tr w:rsidR="009C353B" w14:paraId="63076D63" w14:textId="77777777">
        <w:trPr>
          <w:trHeight w:val="340"/>
        </w:trPr>
        <w:tc>
          <w:tcPr>
            <w:tcW w:w="455" w:type="pct"/>
            <w:vMerge/>
            <w:vAlign w:val="center"/>
          </w:tcPr>
          <w:p w14:paraId="1FF9B794" w14:textId="77777777" w:rsidR="009C353B" w:rsidRDefault="009C353B">
            <w:pPr>
              <w:widowControl/>
              <w:jc w:val="center"/>
              <w:rPr>
                <w:rFonts w:ascii="Times New Roman" w:hAnsi="Times New Roman"/>
                <w:kern w:val="0"/>
                <w:sz w:val="21"/>
                <w:szCs w:val="21"/>
              </w:rPr>
            </w:pPr>
          </w:p>
        </w:tc>
        <w:tc>
          <w:tcPr>
            <w:tcW w:w="896" w:type="pct"/>
            <w:shd w:val="clear" w:color="auto" w:fill="auto"/>
            <w:noWrap/>
            <w:vAlign w:val="center"/>
          </w:tcPr>
          <w:p w14:paraId="4A045DB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氯化物</w:t>
            </w:r>
          </w:p>
        </w:tc>
        <w:tc>
          <w:tcPr>
            <w:tcW w:w="682" w:type="pct"/>
            <w:vMerge/>
            <w:vAlign w:val="center"/>
          </w:tcPr>
          <w:p w14:paraId="248D059C" w14:textId="77777777" w:rsidR="009C353B" w:rsidRDefault="009C353B">
            <w:pPr>
              <w:widowControl/>
              <w:jc w:val="center"/>
              <w:rPr>
                <w:rFonts w:ascii="Times New Roman" w:hAnsi="Times New Roman"/>
                <w:kern w:val="0"/>
                <w:sz w:val="21"/>
                <w:szCs w:val="21"/>
              </w:rPr>
            </w:pPr>
          </w:p>
        </w:tc>
        <w:tc>
          <w:tcPr>
            <w:tcW w:w="880" w:type="pct"/>
            <w:shd w:val="clear" w:color="auto" w:fill="auto"/>
            <w:noWrap/>
            <w:vAlign w:val="center"/>
          </w:tcPr>
          <w:p w14:paraId="511D055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261</w:t>
            </w:r>
          </w:p>
        </w:tc>
        <w:tc>
          <w:tcPr>
            <w:tcW w:w="613" w:type="pct"/>
            <w:shd w:val="clear" w:color="auto" w:fill="auto"/>
            <w:noWrap/>
            <w:vAlign w:val="center"/>
          </w:tcPr>
          <w:p w14:paraId="6163BCD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1.44</w:t>
            </w:r>
          </w:p>
        </w:tc>
        <w:tc>
          <w:tcPr>
            <w:tcW w:w="860" w:type="pct"/>
            <w:vMerge/>
            <w:vAlign w:val="center"/>
          </w:tcPr>
          <w:p w14:paraId="4A5162B2" w14:textId="77777777" w:rsidR="009C353B" w:rsidRDefault="009C353B">
            <w:pPr>
              <w:widowControl/>
              <w:jc w:val="center"/>
              <w:rPr>
                <w:rFonts w:ascii="Times New Roman" w:hAnsi="Times New Roman"/>
                <w:kern w:val="0"/>
                <w:sz w:val="21"/>
                <w:szCs w:val="21"/>
              </w:rPr>
            </w:pPr>
          </w:p>
        </w:tc>
        <w:tc>
          <w:tcPr>
            <w:tcW w:w="613" w:type="pct"/>
            <w:shd w:val="clear" w:color="auto" w:fill="auto"/>
            <w:noWrap/>
            <w:vAlign w:val="center"/>
          </w:tcPr>
          <w:p w14:paraId="2F441C8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250</w:t>
            </w:r>
          </w:p>
        </w:tc>
      </w:tr>
      <w:tr w:rsidR="009C353B" w14:paraId="4BEAEEC4" w14:textId="77777777">
        <w:trPr>
          <w:trHeight w:val="340"/>
        </w:trPr>
        <w:tc>
          <w:tcPr>
            <w:tcW w:w="455" w:type="pct"/>
            <w:vMerge/>
            <w:vAlign w:val="center"/>
          </w:tcPr>
          <w:p w14:paraId="2EFC62F5" w14:textId="77777777" w:rsidR="009C353B" w:rsidRDefault="009C353B">
            <w:pPr>
              <w:widowControl/>
              <w:jc w:val="center"/>
              <w:rPr>
                <w:rFonts w:ascii="Times New Roman" w:hAnsi="Times New Roman"/>
                <w:kern w:val="0"/>
                <w:sz w:val="21"/>
                <w:szCs w:val="21"/>
              </w:rPr>
            </w:pPr>
          </w:p>
        </w:tc>
        <w:tc>
          <w:tcPr>
            <w:tcW w:w="896" w:type="pct"/>
            <w:shd w:val="clear" w:color="auto" w:fill="auto"/>
            <w:noWrap/>
            <w:vAlign w:val="center"/>
          </w:tcPr>
          <w:p w14:paraId="236D0B6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硫酸盐</w:t>
            </w:r>
          </w:p>
        </w:tc>
        <w:tc>
          <w:tcPr>
            <w:tcW w:w="682" w:type="pct"/>
            <w:vMerge/>
            <w:vAlign w:val="center"/>
          </w:tcPr>
          <w:p w14:paraId="295A2876" w14:textId="77777777" w:rsidR="009C353B" w:rsidRDefault="009C353B">
            <w:pPr>
              <w:widowControl/>
              <w:jc w:val="center"/>
              <w:rPr>
                <w:rFonts w:ascii="Times New Roman" w:hAnsi="Times New Roman"/>
                <w:kern w:val="0"/>
                <w:sz w:val="21"/>
                <w:szCs w:val="21"/>
              </w:rPr>
            </w:pPr>
          </w:p>
        </w:tc>
        <w:tc>
          <w:tcPr>
            <w:tcW w:w="880" w:type="pct"/>
            <w:shd w:val="clear" w:color="auto" w:fill="auto"/>
            <w:noWrap/>
            <w:vAlign w:val="center"/>
          </w:tcPr>
          <w:p w14:paraId="02CEEE6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431</w:t>
            </w:r>
          </w:p>
        </w:tc>
        <w:tc>
          <w:tcPr>
            <w:tcW w:w="613" w:type="pct"/>
            <w:shd w:val="clear" w:color="auto" w:fill="auto"/>
            <w:noWrap/>
            <w:vAlign w:val="center"/>
          </w:tcPr>
          <w:p w14:paraId="579C3CA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1.42</w:t>
            </w:r>
          </w:p>
        </w:tc>
        <w:tc>
          <w:tcPr>
            <w:tcW w:w="860" w:type="pct"/>
            <w:vMerge/>
            <w:vAlign w:val="center"/>
          </w:tcPr>
          <w:p w14:paraId="1FCFDA11" w14:textId="77777777" w:rsidR="009C353B" w:rsidRDefault="009C353B">
            <w:pPr>
              <w:widowControl/>
              <w:jc w:val="center"/>
              <w:rPr>
                <w:rFonts w:ascii="Times New Roman" w:hAnsi="Times New Roman"/>
                <w:kern w:val="0"/>
                <w:sz w:val="21"/>
                <w:szCs w:val="21"/>
              </w:rPr>
            </w:pPr>
          </w:p>
        </w:tc>
        <w:tc>
          <w:tcPr>
            <w:tcW w:w="613" w:type="pct"/>
            <w:shd w:val="clear" w:color="auto" w:fill="auto"/>
            <w:noWrap/>
            <w:vAlign w:val="center"/>
          </w:tcPr>
          <w:p w14:paraId="03ED9146"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250</w:t>
            </w:r>
          </w:p>
        </w:tc>
      </w:tr>
      <w:tr w:rsidR="009C353B" w14:paraId="7F4FCB94" w14:textId="77777777">
        <w:trPr>
          <w:trHeight w:val="340"/>
        </w:trPr>
        <w:tc>
          <w:tcPr>
            <w:tcW w:w="455" w:type="pct"/>
            <w:vMerge/>
            <w:vAlign w:val="center"/>
          </w:tcPr>
          <w:p w14:paraId="0ED6A1DC" w14:textId="77777777" w:rsidR="009C353B" w:rsidRDefault="009C353B">
            <w:pPr>
              <w:widowControl/>
              <w:jc w:val="center"/>
              <w:rPr>
                <w:rFonts w:ascii="Times New Roman" w:hAnsi="Times New Roman"/>
                <w:kern w:val="0"/>
                <w:sz w:val="21"/>
                <w:szCs w:val="21"/>
              </w:rPr>
            </w:pPr>
          </w:p>
        </w:tc>
        <w:tc>
          <w:tcPr>
            <w:tcW w:w="896" w:type="pct"/>
            <w:shd w:val="clear" w:color="auto" w:fill="auto"/>
            <w:noWrap/>
            <w:vAlign w:val="center"/>
          </w:tcPr>
          <w:p w14:paraId="5B0C216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溶解性总固体</w:t>
            </w:r>
          </w:p>
        </w:tc>
        <w:tc>
          <w:tcPr>
            <w:tcW w:w="682" w:type="pct"/>
            <w:vMerge/>
            <w:vAlign w:val="center"/>
          </w:tcPr>
          <w:p w14:paraId="7B6B4EC0" w14:textId="77777777" w:rsidR="009C353B" w:rsidRDefault="009C353B">
            <w:pPr>
              <w:widowControl/>
              <w:jc w:val="center"/>
              <w:rPr>
                <w:rFonts w:ascii="Times New Roman" w:hAnsi="Times New Roman"/>
                <w:kern w:val="0"/>
                <w:sz w:val="21"/>
                <w:szCs w:val="21"/>
              </w:rPr>
            </w:pPr>
          </w:p>
        </w:tc>
        <w:tc>
          <w:tcPr>
            <w:tcW w:w="880" w:type="pct"/>
            <w:shd w:val="clear" w:color="auto" w:fill="auto"/>
            <w:noWrap/>
            <w:vAlign w:val="center"/>
          </w:tcPr>
          <w:p w14:paraId="5EB91B2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1290</w:t>
            </w:r>
          </w:p>
        </w:tc>
        <w:tc>
          <w:tcPr>
            <w:tcW w:w="613" w:type="pct"/>
            <w:shd w:val="clear" w:color="auto" w:fill="auto"/>
            <w:noWrap/>
            <w:vAlign w:val="center"/>
          </w:tcPr>
          <w:p w14:paraId="7E5292B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1.29</w:t>
            </w:r>
          </w:p>
        </w:tc>
        <w:tc>
          <w:tcPr>
            <w:tcW w:w="860" w:type="pct"/>
            <w:vMerge/>
            <w:vAlign w:val="center"/>
          </w:tcPr>
          <w:p w14:paraId="40D416A8" w14:textId="77777777" w:rsidR="009C353B" w:rsidRDefault="009C353B">
            <w:pPr>
              <w:widowControl/>
              <w:jc w:val="center"/>
              <w:rPr>
                <w:rFonts w:ascii="Times New Roman" w:hAnsi="Times New Roman"/>
                <w:kern w:val="0"/>
                <w:sz w:val="21"/>
                <w:szCs w:val="21"/>
              </w:rPr>
            </w:pPr>
          </w:p>
        </w:tc>
        <w:tc>
          <w:tcPr>
            <w:tcW w:w="613" w:type="pct"/>
            <w:shd w:val="clear" w:color="auto" w:fill="auto"/>
            <w:noWrap/>
            <w:vAlign w:val="center"/>
          </w:tcPr>
          <w:p w14:paraId="2375F54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1000</w:t>
            </w:r>
          </w:p>
        </w:tc>
      </w:tr>
    </w:tbl>
    <w:p w14:paraId="3341F9B5" w14:textId="77777777" w:rsidR="009C353B" w:rsidRDefault="00000000">
      <w:pPr>
        <w:adjustRightInd w:val="0"/>
        <w:snapToGrid w:val="0"/>
        <w:spacing w:line="440" w:lineRule="exact"/>
        <w:ind w:firstLine="480"/>
        <w:rPr>
          <w:rFonts w:ascii="Times New Roman" w:hAnsi="Times New Roman"/>
          <w:szCs w:val="24"/>
        </w:rPr>
      </w:pPr>
      <w:r>
        <w:rPr>
          <w:rFonts w:ascii="Times New Roman" w:hAnsi="Times New Roman"/>
          <w:szCs w:val="24"/>
        </w:rPr>
        <w:t>从以上监测结果：任家庄煤矿</w:t>
      </w:r>
      <w:r>
        <w:rPr>
          <w:rFonts w:ascii="Times New Roman" w:hAnsi="Times New Roman" w:hint="eastAsia"/>
          <w:szCs w:val="24"/>
        </w:rPr>
        <w:t>2005</w:t>
      </w:r>
      <w:r>
        <w:rPr>
          <w:rFonts w:ascii="Times New Roman" w:hAnsi="Times New Roman" w:hint="eastAsia"/>
          <w:szCs w:val="24"/>
        </w:rPr>
        <w:t>年</w:t>
      </w:r>
      <w:r>
        <w:rPr>
          <w:rFonts w:ascii="Times New Roman" w:hAnsi="Times New Roman" w:hint="eastAsia"/>
          <w:szCs w:val="24"/>
        </w:rPr>
        <w:t>1#</w:t>
      </w:r>
      <w:r>
        <w:rPr>
          <w:rFonts w:ascii="Times New Roman" w:hAnsi="Times New Roman"/>
          <w:szCs w:val="24"/>
        </w:rPr>
        <w:t>沙沟西</w:t>
      </w:r>
      <w:r>
        <w:rPr>
          <w:rFonts w:ascii="Times New Roman" w:hAnsi="Times New Roman"/>
          <w:szCs w:val="24"/>
        </w:rPr>
        <w:t>1km</w:t>
      </w:r>
      <w:r>
        <w:rPr>
          <w:rFonts w:ascii="Times New Roman" w:hAnsi="Times New Roman"/>
          <w:szCs w:val="24"/>
        </w:rPr>
        <w:t>处氟化物、硫酸盐、总硬度、溶解性总固体</w:t>
      </w:r>
      <w:r>
        <w:rPr>
          <w:rFonts w:ascii="Times New Roman" w:hAnsi="Times New Roman" w:hint="eastAsia"/>
          <w:szCs w:val="24"/>
        </w:rPr>
        <w:t>超标</w:t>
      </w:r>
      <w:r>
        <w:rPr>
          <w:rFonts w:ascii="Times New Roman" w:hAnsi="Times New Roman"/>
          <w:szCs w:val="24"/>
        </w:rPr>
        <w:t>，其超标倍数分别为</w:t>
      </w:r>
      <w:r>
        <w:rPr>
          <w:rFonts w:ascii="Times New Roman" w:hAnsi="Times New Roman"/>
          <w:szCs w:val="24"/>
        </w:rPr>
        <w:t>1.3</w:t>
      </w:r>
      <w:r>
        <w:rPr>
          <w:rFonts w:ascii="Times New Roman" w:hAnsi="Times New Roman"/>
          <w:szCs w:val="24"/>
        </w:rPr>
        <w:t>、</w:t>
      </w:r>
      <w:r>
        <w:rPr>
          <w:rFonts w:ascii="Times New Roman" w:hAnsi="Times New Roman"/>
          <w:szCs w:val="24"/>
        </w:rPr>
        <w:t>2.35</w:t>
      </w:r>
      <w:r>
        <w:rPr>
          <w:rFonts w:ascii="Times New Roman" w:hAnsi="Times New Roman"/>
          <w:szCs w:val="24"/>
        </w:rPr>
        <w:t>、</w:t>
      </w:r>
      <w:r>
        <w:rPr>
          <w:rFonts w:ascii="Times New Roman" w:hAnsi="Times New Roman"/>
          <w:szCs w:val="24"/>
        </w:rPr>
        <w:t>0.62</w:t>
      </w:r>
      <w:r>
        <w:rPr>
          <w:rFonts w:ascii="Times New Roman" w:hAnsi="Times New Roman"/>
          <w:szCs w:val="24"/>
        </w:rPr>
        <w:t>、</w:t>
      </w:r>
      <w:r>
        <w:rPr>
          <w:rFonts w:ascii="Times New Roman" w:hAnsi="Times New Roman"/>
          <w:szCs w:val="24"/>
        </w:rPr>
        <w:t>0.4</w:t>
      </w:r>
      <w:r>
        <w:rPr>
          <w:rFonts w:ascii="Times New Roman" w:hAnsi="Times New Roman"/>
          <w:szCs w:val="24"/>
        </w:rPr>
        <w:t>，其它项目符合《地下水质量标准》</w:t>
      </w:r>
      <w:r>
        <w:rPr>
          <w:rFonts w:ascii="Times New Roman" w:hAnsi="Times New Roman"/>
          <w:szCs w:val="24"/>
        </w:rPr>
        <w:t>(GB/T14848-93)Ⅲ</w:t>
      </w:r>
      <w:r>
        <w:rPr>
          <w:rFonts w:ascii="Times New Roman" w:hAnsi="Times New Roman"/>
          <w:szCs w:val="24"/>
        </w:rPr>
        <w:t>类标准。</w:t>
      </w:r>
      <w:r>
        <w:rPr>
          <w:rFonts w:ascii="Times New Roman" w:hAnsi="Times New Roman"/>
          <w:szCs w:val="24"/>
        </w:rPr>
        <w:t>2005</w:t>
      </w:r>
      <w:r>
        <w:rPr>
          <w:rFonts w:ascii="Times New Roman" w:hAnsi="Times New Roman"/>
          <w:szCs w:val="24"/>
        </w:rPr>
        <w:t>年</w:t>
      </w:r>
      <w:r>
        <w:rPr>
          <w:rFonts w:ascii="Times New Roman" w:hAnsi="Times New Roman" w:hint="eastAsia"/>
          <w:szCs w:val="24"/>
        </w:rPr>
        <w:t>2#</w:t>
      </w:r>
      <w:r>
        <w:rPr>
          <w:rFonts w:ascii="Times New Roman" w:hAnsi="Times New Roman"/>
          <w:szCs w:val="24"/>
        </w:rPr>
        <w:t>三道沟</w:t>
      </w:r>
      <w:r>
        <w:rPr>
          <w:rFonts w:ascii="Times New Roman" w:hAnsi="Times New Roman" w:hint="eastAsia"/>
          <w:szCs w:val="24"/>
        </w:rPr>
        <w:t>点位</w:t>
      </w:r>
      <w:r>
        <w:rPr>
          <w:rFonts w:ascii="Times New Roman" w:hAnsi="Times New Roman"/>
          <w:szCs w:val="24"/>
        </w:rPr>
        <w:t>硫酸盐和氟化物超标</w:t>
      </w:r>
      <w:r>
        <w:rPr>
          <w:rFonts w:ascii="Times New Roman" w:hAnsi="Times New Roman" w:hint="eastAsia"/>
          <w:szCs w:val="24"/>
        </w:rPr>
        <w:t>，到</w:t>
      </w:r>
      <w:r>
        <w:rPr>
          <w:rFonts w:ascii="Times New Roman" w:hAnsi="Times New Roman"/>
          <w:szCs w:val="24"/>
        </w:rPr>
        <w:t>2008</w:t>
      </w:r>
      <w:r>
        <w:rPr>
          <w:rFonts w:ascii="Times New Roman" w:hAnsi="Times New Roman"/>
          <w:szCs w:val="24"/>
        </w:rPr>
        <w:t>年</w:t>
      </w:r>
      <w:r>
        <w:rPr>
          <w:rFonts w:ascii="Times New Roman" w:hAnsi="Times New Roman" w:hint="eastAsia"/>
          <w:szCs w:val="24"/>
        </w:rPr>
        <w:t>2#</w:t>
      </w:r>
      <w:r>
        <w:rPr>
          <w:rFonts w:ascii="Times New Roman" w:hAnsi="Times New Roman" w:hint="eastAsia"/>
          <w:szCs w:val="24"/>
        </w:rPr>
        <w:t>超标项目显著增加，水质变差，</w:t>
      </w:r>
      <w:r>
        <w:rPr>
          <w:rFonts w:ascii="Times New Roman" w:hAnsi="Times New Roman"/>
          <w:szCs w:val="24"/>
        </w:rPr>
        <w:t>细菌总数和总大肠杆菌群数的数据提示监测井水已经受到严重污染</w:t>
      </w:r>
      <w:r>
        <w:rPr>
          <w:rFonts w:ascii="Times New Roman" w:hAnsi="Times New Roman" w:hint="eastAsia"/>
          <w:szCs w:val="24"/>
        </w:rPr>
        <w:t>。</w:t>
      </w:r>
      <w:r>
        <w:rPr>
          <w:rFonts w:ascii="Times New Roman" w:hAnsi="Times New Roman" w:hint="eastAsia"/>
          <w:szCs w:val="24"/>
        </w:rPr>
        <w:t>2015</w:t>
      </w:r>
      <w:r>
        <w:rPr>
          <w:rFonts w:ascii="Times New Roman" w:hAnsi="Times New Roman" w:hint="eastAsia"/>
          <w:szCs w:val="24"/>
        </w:rPr>
        <w:t>年监测结果中总硬度、亚硝酸盐、高锰酸盐指数、氯化物、硫酸盐、溶解性总固体、氟化物超标。与</w:t>
      </w:r>
      <w:r>
        <w:rPr>
          <w:rFonts w:ascii="Times New Roman" w:hAnsi="Times New Roman" w:hint="eastAsia"/>
          <w:szCs w:val="24"/>
        </w:rPr>
        <w:t>2005</w:t>
      </w:r>
      <w:r>
        <w:rPr>
          <w:rFonts w:ascii="Times New Roman" w:hAnsi="Times New Roman" w:hint="eastAsia"/>
          <w:szCs w:val="24"/>
        </w:rPr>
        <w:t>年相比，高锰酸钾出现超标；与</w:t>
      </w:r>
      <w:r>
        <w:rPr>
          <w:rFonts w:ascii="Times New Roman" w:hAnsi="Times New Roman" w:hint="eastAsia"/>
          <w:szCs w:val="24"/>
        </w:rPr>
        <w:t>2008</w:t>
      </w:r>
      <w:r>
        <w:rPr>
          <w:rFonts w:ascii="Times New Roman" w:hAnsi="Times New Roman" w:hint="eastAsia"/>
          <w:szCs w:val="24"/>
        </w:rPr>
        <w:t>年相比，亚硝酸盐超标，氟化物有下降趋势。总体上，任家庄煤矿地下水水质较差。</w:t>
      </w:r>
      <w:r>
        <w:rPr>
          <w:rFonts w:ascii="Times New Roman" w:hAnsi="Times New Roman"/>
          <w:szCs w:val="24"/>
        </w:rPr>
        <w:t>超标原因主要是：</w:t>
      </w:r>
      <w:r>
        <w:rPr>
          <w:rFonts w:cs="宋体" w:hint="eastAsia"/>
          <w:szCs w:val="24"/>
        </w:rPr>
        <w:t>①</w:t>
      </w:r>
      <w:bookmarkStart w:id="158" w:name="_Hlk60329636"/>
      <w:r>
        <w:rPr>
          <w:rFonts w:ascii="Times New Roman" w:hAnsi="Times New Roman" w:hint="eastAsia"/>
          <w:szCs w:val="24"/>
        </w:rPr>
        <w:t>该地区氟化物背景值高</w:t>
      </w:r>
      <w:bookmarkEnd w:id="158"/>
      <w:r>
        <w:rPr>
          <w:rFonts w:ascii="Times New Roman" w:hAnsi="Times New Roman"/>
          <w:szCs w:val="24"/>
        </w:rPr>
        <w:t>；</w:t>
      </w:r>
      <w:r>
        <w:rPr>
          <w:rFonts w:cs="宋体" w:hint="eastAsia"/>
          <w:szCs w:val="24"/>
        </w:rPr>
        <w:t>②与该区域水文地质条件有关，</w:t>
      </w:r>
      <w:r>
        <w:rPr>
          <w:rFonts w:ascii="Times New Roman" w:hAnsi="Times New Roman"/>
          <w:szCs w:val="24"/>
        </w:rPr>
        <w:t>该区域地下水矿化度高。</w:t>
      </w:r>
    </w:p>
    <w:p w14:paraId="051561DC" w14:textId="77777777" w:rsidR="009C353B" w:rsidRDefault="00000000">
      <w:pPr>
        <w:spacing w:line="440" w:lineRule="exact"/>
        <w:jc w:val="center"/>
        <w:rPr>
          <w:rFonts w:ascii="Times New Roman" w:hAnsi="Times New Roman"/>
          <w:b/>
          <w:bCs/>
          <w:szCs w:val="24"/>
        </w:rPr>
      </w:pPr>
      <w:r>
        <w:rPr>
          <w:rFonts w:ascii="Times New Roman" w:hAnsi="Times New Roman" w:hint="eastAsia"/>
          <w:b/>
          <w:bCs/>
          <w:szCs w:val="24"/>
        </w:rPr>
        <w:t>红石湾矿井地下水水质监测结果回顾（超标部分）</w:t>
      </w:r>
    </w:p>
    <w:p w14:paraId="2057E4E1" w14:textId="77777777" w:rsidR="009C353B" w:rsidRDefault="00000000">
      <w:pPr>
        <w:adjustRightInd w:val="0"/>
        <w:snapToGrid w:val="0"/>
        <w:spacing w:line="440" w:lineRule="exact"/>
        <w:ind w:firstLineChars="100" w:firstLine="240"/>
        <w:outlineLvl w:val="5"/>
        <w:rPr>
          <w:rFonts w:ascii="Times New Roman" w:hAnsi="Times New Roman"/>
          <w:szCs w:val="24"/>
        </w:rPr>
      </w:pPr>
      <w:r>
        <w:rPr>
          <w:rFonts w:ascii="Times New Roman" w:hAnsi="Times New Roman"/>
          <w:szCs w:val="24"/>
        </w:rPr>
        <w:t>表</w:t>
      </w:r>
      <w:r>
        <w:rPr>
          <w:rFonts w:ascii="Times New Roman" w:hAnsi="Times New Roman" w:hint="eastAsia"/>
          <w:szCs w:val="24"/>
        </w:rPr>
        <w:t>4</w:t>
      </w:r>
      <w:r>
        <w:rPr>
          <w:rFonts w:ascii="Times New Roman" w:hAnsi="Times New Roman"/>
          <w:szCs w:val="24"/>
        </w:rPr>
        <w:t>.3</w:t>
      </w:r>
      <w:r>
        <w:rPr>
          <w:rFonts w:ascii="Times New Roman" w:hAnsi="Times New Roman" w:hint="eastAsia"/>
          <w:szCs w:val="24"/>
        </w:rPr>
        <w:t>-</w:t>
      </w:r>
      <w:r>
        <w:rPr>
          <w:rFonts w:ascii="Times New Roman" w:hAnsi="Times New Roman"/>
          <w:szCs w:val="24"/>
        </w:rPr>
        <w:t>13</w:t>
      </w:r>
    </w:p>
    <w:tbl>
      <w:tblPr>
        <w:tblStyle w:val="372"/>
        <w:tblW w:w="0" w:type="auto"/>
        <w:jc w:val="center"/>
        <w:tblLook w:val="04A0" w:firstRow="1" w:lastRow="0" w:firstColumn="1" w:lastColumn="0" w:noHBand="0" w:noVBand="1"/>
      </w:tblPr>
      <w:tblGrid>
        <w:gridCol w:w="1074"/>
        <w:gridCol w:w="1102"/>
        <w:gridCol w:w="1070"/>
        <w:gridCol w:w="1171"/>
        <w:gridCol w:w="1111"/>
        <w:gridCol w:w="2130"/>
        <w:gridCol w:w="1112"/>
      </w:tblGrid>
      <w:tr w:rsidR="009C353B" w14:paraId="0C1B15D7" w14:textId="77777777">
        <w:trPr>
          <w:trHeight w:val="340"/>
          <w:tblHeader/>
          <w:jc w:val="center"/>
        </w:trPr>
        <w:tc>
          <w:tcPr>
            <w:tcW w:w="1074" w:type="dxa"/>
            <w:shd w:val="clear" w:color="auto" w:fill="auto"/>
            <w:vAlign w:val="center"/>
          </w:tcPr>
          <w:p w14:paraId="66F448C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监测</w:t>
            </w:r>
            <w:r>
              <w:rPr>
                <w:rFonts w:ascii="Times New Roman" w:eastAsiaTheme="minorEastAsia" w:hAnsi="Times New Roman" w:cstheme="minorBidi" w:hint="eastAsia"/>
                <w:kern w:val="0"/>
                <w:sz w:val="21"/>
                <w:szCs w:val="21"/>
              </w:rPr>
              <w:t>点</w:t>
            </w:r>
          </w:p>
        </w:tc>
        <w:tc>
          <w:tcPr>
            <w:tcW w:w="1102" w:type="dxa"/>
            <w:shd w:val="clear" w:color="auto" w:fill="auto"/>
            <w:vAlign w:val="center"/>
          </w:tcPr>
          <w:p w14:paraId="4499E21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污染指标</w:t>
            </w:r>
          </w:p>
        </w:tc>
        <w:tc>
          <w:tcPr>
            <w:tcW w:w="1070" w:type="dxa"/>
            <w:shd w:val="clear" w:color="auto" w:fill="auto"/>
            <w:vAlign w:val="center"/>
          </w:tcPr>
          <w:p w14:paraId="5E83BC1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监测时间</w:t>
            </w:r>
          </w:p>
        </w:tc>
        <w:tc>
          <w:tcPr>
            <w:tcW w:w="1171" w:type="dxa"/>
            <w:shd w:val="clear" w:color="auto" w:fill="auto"/>
            <w:vAlign w:val="center"/>
          </w:tcPr>
          <w:p w14:paraId="7ED289A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浓度（</w:t>
            </w:r>
            <w:r>
              <w:rPr>
                <w:rFonts w:ascii="Times New Roman" w:eastAsiaTheme="minorEastAsia" w:hAnsi="Times New Roman" w:cstheme="minorBidi"/>
                <w:kern w:val="0"/>
                <w:sz w:val="21"/>
                <w:szCs w:val="21"/>
              </w:rPr>
              <w:t>mg/L</w:t>
            </w:r>
            <w:r>
              <w:rPr>
                <w:rFonts w:ascii="Times New Roman" w:eastAsiaTheme="minorEastAsia" w:hAnsi="Times New Roman" w:cstheme="minorBidi"/>
                <w:kern w:val="0"/>
                <w:sz w:val="21"/>
                <w:szCs w:val="21"/>
              </w:rPr>
              <w:t>）</w:t>
            </w:r>
          </w:p>
        </w:tc>
        <w:tc>
          <w:tcPr>
            <w:tcW w:w="1111" w:type="dxa"/>
            <w:shd w:val="clear" w:color="auto" w:fill="auto"/>
            <w:vAlign w:val="center"/>
          </w:tcPr>
          <w:p w14:paraId="6DF6BAD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标准指数</w:t>
            </w:r>
          </w:p>
        </w:tc>
        <w:tc>
          <w:tcPr>
            <w:tcW w:w="2130" w:type="dxa"/>
            <w:shd w:val="clear" w:color="auto" w:fill="auto"/>
            <w:vAlign w:val="center"/>
          </w:tcPr>
          <w:p w14:paraId="2D6A530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划定水质目标</w:t>
            </w:r>
          </w:p>
        </w:tc>
        <w:tc>
          <w:tcPr>
            <w:tcW w:w="1112" w:type="dxa"/>
            <w:shd w:val="clear" w:color="auto" w:fill="auto"/>
            <w:vAlign w:val="center"/>
          </w:tcPr>
          <w:p w14:paraId="62FFD85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标准限值</w:t>
            </w:r>
          </w:p>
        </w:tc>
      </w:tr>
      <w:tr w:rsidR="009C353B" w14:paraId="4FEB8CF0" w14:textId="77777777">
        <w:trPr>
          <w:trHeight w:val="340"/>
          <w:jc w:val="center"/>
        </w:trPr>
        <w:tc>
          <w:tcPr>
            <w:tcW w:w="1074" w:type="dxa"/>
            <w:vMerge w:val="restart"/>
            <w:vAlign w:val="center"/>
          </w:tcPr>
          <w:p w14:paraId="06218E3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K</w:t>
            </w:r>
            <w:r>
              <w:rPr>
                <w:rFonts w:ascii="Times New Roman" w:eastAsiaTheme="minorEastAsia" w:hAnsi="Times New Roman" w:cstheme="minorBidi"/>
                <w:sz w:val="21"/>
                <w:szCs w:val="21"/>
              </w:rPr>
              <w:t>3</w:t>
            </w:r>
          </w:p>
        </w:tc>
        <w:tc>
          <w:tcPr>
            <w:tcW w:w="1102" w:type="dxa"/>
            <w:vAlign w:val="center"/>
          </w:tcPr>
          <w:p w14:paraId="505A3EF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总硬度</w:t>
            </w:r>
          </w:p>
        </w:tc>
        <w:tc>
          <w:tcPr>
            <w:tcW w:w="1070" w:type="dxa"/>
            <w:vMerge w:val="restart"/>
            <w:vAlign w:val="center"/>
          </w:tcPr>
          <w:p w14:paraId="312E087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2018</w:t>
            </w:r>
          </w:p>
        </w:tc>
        <w:tc>
          <w:tcPr>
            <w:tcW w:w="1171" w:type="dxa"/>
            <w:vAlign w:val="center"/>
          </w:tcPr>
          <w:p w14:paraId="4E0746F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w:t>
            </w:r>
          </w:p>
        </w:tc>
        <w:tc>
          <w:tcPr>
            <w:tcW w:w="1111" w:type="dxa"/>
            <w:vAlign w:val="center"/>
          </w:tcPr>
          <w:p w14:paraId="083A897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w:t>
            </w:r>
          </w:p>
        </w:tc>
        <w:tc>
          <w:tcPr>
            <w:tcW w:w="2130" w:type="dxa"/>
            <w:vMerge w:val="restart"/>
            <w:vAlign w:val="center"/>
          </w:tcPr>
          <w:p w14:paraId="48B846E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《地下水质量标准》（</w:t>
            </w:r>
            <w:r>
              <w:rPr>
                <w:rFonts w:ascii="Times New Roman" w:eastAsiaTheme="minorEastAsia" w:hAnsi="Times New Roman" w:cstheme="minorBidi"/>
                <w:sz w:val="21"/>
                <w:szCs w:val="21"/>
              </w:rPr>
              <w:t>GB/T14848-2017</w:t>
            </w:r>
            <w:r>
              <w:rPr>
                <w:rFonts w:ascii="Times New Roman" w:eastAsiaTheme="minorEastAsia" w:hAnsi="Times New Roman" w:cstheme="minorBidi" w:hint="eastAsia"/>
                <w:sz w:val="21"/>
                <w:szCs w:val="21"/>
              </w:rPr>
              <w:t>）</w:t>
            </w:r>
            <w:r>
              <w:rPr>
                <w:rFonts w:ascii="Times New Roman" w:eastAsiaTheme="minorEastAsia" w:hAnsi="Times New Roman" w:cstheme="minorBidi"/>
                <w:sz w:val="21"/>
                <w:szCs w:val="21"/>
              </w:rPr>
              <w:t>Ⅲ</w:t>
            </w:r>
            <w:r>
              <w:rPr>
                <w:rFonts w:ascii="Times New Roman" w:eastAsiaTheme="minorEastAsia" w:hAnsi="Times New Roman" w:cstheme="minorBidi"/>
                <w:sz w:val="21"/>
                <w:szCs w:val="21"/>
              </w:rPr>
              <w:t>类标准</w:t>
            </w:r>
          </w:p>
        </w:tc>
        <w:tc>
          <w:tcPr>
            <w:tcW w:w="1112" w:type="dxa"/>
            <w:vAlign w:val="center"/>
          </w:tcPr>
          <w:p w14:paraId="6084563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450</w:t>
            </w:r>
          </w:p>
        </w:tc>
      </w:tr>
      <w:tr w:rsidR="009C353B" w14:paraId="39355597" w14:textId="77777777">
        <w:trPr>
          <w:trHeight w:val="340"/>
          <w:jc w:val="center"/>
        </w:trPr>
        <w:tc>
          <w:tcPr>
            <w:tcW w:w="1074" w:type="dxa"/>
            <w:vMerge/>
            <w:vAlign w:val="center"/>
          </w:tcPr>
          <w:p w14:paraId="1A8AA5B0"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540303E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溶解性总固体</w:t>
            </w:r>
          </w:p>
        </w:tc>
        <w:tc>
          <w:tcPr>
            <w:tcW w:w="1070" w:type="dxa"/>
            <w:vMerge/>
            <w:vAlign w:val="center"/>
          </w:tcPr>
          <w:p w14:paraId="12B90917"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5F9E60D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w:t>
            </w:r>
          </w:p>
        </w:tc>
        <w:tc>
          <w:tcPr>
            <w:tcW w:w="1111" w:type="dxa"/>
            <w:vAlign w:val="center"/>
          </w:tcPr>
          <w:p w14:paraId="59F6F04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w:t>
            </w:r>
          </w:p>
        </w:tc>
        <w:tc>
          <w:tcPr>
            <w:tcW w:w="2130" w:type="dxa"/>
            <w:vMerge/>
            <w:vAlign w:val="center"/>
          </w:tcPr>
          <w:p w14:paraId="716BABA7"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4AA50EC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1000</w:t>
            </w:r>
          </w:p>
        </w:tc>
      </w:tr>
      <w:tr w:rsidR="009C353B" w14:paraId="51FE1DEF" w14:textId="77777777">
        <w:trPr>
          <w:trHeight w:val="340"/>
          <w:jc w:val="center"/>
        </w:trPr>
        <w:tc>
          <w:tcPr>
            <w:tcW w:w="1074" w:type="dxa"/>
            <w:vMerge/>
            <w:vAlign w:val="center"/>
          </w:tcPr>
          <w:p w14:paraId="4E216582"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72401C6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氟化物</w:t>
            </w:r>
          </w:p>
        </w:tc>
        <w:tc>
          <w:tcPr>
            <w:tcW w:w="1070" w:type="dxa"/>
            <w:vMerge/>
            <w:vAlign w:val="center"/>
          </w:tcPr>
          <w:p w14:paraId="208E2550"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083A20A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2.84</w:t>
            </w:r>
          </w:p>
        </w:tc>
        <w:tc>
          <w:tcPr>
            <w:tcW w:w="1111" w:type="dxa"/>
            <w:vAlign w:val="center"/>
          </w:tcPr>
          <w:p w14:paraId="3902FE5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2.84</w:t>
            </w:r>
          </w:p>
        </w:tc>
        <w:tc>
          <w:tcPr>
            <w:tcW w:w="2130" w:type="dxa"/>
            <w:vMerge/>
            <w:vAlign w:val="center"/>
          </w:tcPr>
          <w:p w14:paraId="42E4CD8A"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5EADF0D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1.0</w:t>
            </w:r>
          </w:p>
        </w:tc>
      </w:tr>
      <w:tr w:rsidR="009C353B" w14:paraId="5282EC0B" w14:textId="77777777">
        <w:trPr>
          <w:trHeight w:val="340"/>
          <w:jc w:val="center"/>
        </w:trPr>
        <w:tc>
          <w:tcPr>
            <w:tcW w:w="1074" w:type="dxa"/>
            <w:vMerge/>
            <w:vAlign w:val="center"/>
          </w:tcPr>
          <w:p w14:paraId="1CCF36E3"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54796CD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Na</w:t>
            </w:r>
            <w:r>
              <w:rPr>
                <w:rFonts w:ascii="Times New Roman" w:eastAsiaTheme="minorEastAsia" w:hAnsi="Times New Roman" w:cstheme="minorBidi"/>
                <w:sz w:val="21"/>
                <w:szCs w:val="21"/>
                <w:vertAlign w:val="superscript"/>
              </w:rPr>
              <w:t>+</w:t>
            </w:r>
          </w:p>
        </w:tc>
        <w:tc>
          <w:tcPr>
            <w:tcW w:w="1070" w:type="dxa"/>
            <w:vMerge/>
            <w:vAlign w:val="center"/>
          </w:tcPr>
          <w:p w14:paraId="515268A6"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618586A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426</w:t>
            </w:r>
          </w:p>
        </w:tc>
        <w:tc>
          <w:tcPr>
            <w:tcW w:w="1111" w:type="dxa"/>
            <w:vAlign w:val="center"/>
          </w:tcPr>
          <w:p w14:paraId="5A8B0F5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2.13</w:t>
            </w:r>
          </w:p>
        </w:tc>
        <w:tc>
          <w:tcPr>
            <w:tcW w:w="2130" w:type="dxa"/>
            <w:vMerge/>
            <w:vAlign w:val="center"/>
          </w:tcPr>
          <w:p w14:paraId="23D8DE5E"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51D77A7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200</w:t>
            </w:r>
          </w:p>
        </w:tc>
      </w:tr>
      <w:tr w:rsidR="009C353B" w14:paraId="01F5A6BD" w14:textId="77777777">
        <w:trPr>
          <w:trHeight w:val="340"/>
          <w:jc w:val="center"/>
        </w:trPr>
        <w:tc>
          <w:tcPr>
            <w:tcW w:w="1074" w:type="dxa"/>
            <w:vMerge/>
            <w:vAlign w:val="center"/>
          </w:tcPr>
          <w:p w14:paraId="03A64BA6"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1DB0D72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C</w:t>
            </w:r>
            <w:r>
              <w:rPr>
                <w:rFonts w:ascii="Times New Roman" w:eastAsiaTheme="minorEastAsia" w:hAnsi="Times New Roman" w:cstheme="minorBidi"/>
                <w:sz w:val="21"/>
                <w:szCs w:val="21"/>
              </w:rPr>
              <w:t>l</w:t>
            </w:r>
            <w:r>
              <w:rPr>
                <w:rFonts w:ascii="Times New Roman" w:eastAsiaTheme="minorEastAsia" w:hAnsi="Times New Roman" w:cstheme="minorBidi"/>
                <w:sz w:val="21"/>
                <w:szCs w:val="21"/>
                <w:vertAlign w:val="superscript"/>
              </w:rPr>
              <w:t>-</w:t>
            </w:r>
          </w:p>
        </w:tc>
        <w:tc>
          <w:tcPr>
            <w:tcW w:w="1070" w:type="dxa"/>
            <w:vMerge/>
            <w:vAlign w:val="center"/>
          </w:tcPr>
          <w:p w14:paraId="2439CCD4"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5873B19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304</w:t>
            </w:r>
          </w:p>
        </w:tc>
        <w:tc>
          <w:tcPr>
            <w:tcW w:w="1111" w:type="dxa"/>
            <w:vAlign w:val="center"/>
          </w:tcPr>
          <w:p w14:paraId="696FC54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1.23</w:t>
            </w:r>
          </w:p>
        </w:tc>
        <w:tc>
          <w:tcPr>
            <w:tcW w:w="2130" w:type="dxa"/>
            <w:vMerge/>
            <w:vAlign w:val="center"/>
          </w:tcPr>
          <w:p w14:paraId="7FEFA761"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27F520B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250</w:t>
            </w:r>
          </w:p>
        </w:tc>
      </w:tr>
      <w:tr w:rsidR="009C353B" w14:paraId="0902D395" w14:textId="77777777">
        <w:trPr>
          <w:trHeight w:val="340"/>
          <w:jc w:val="center"/>
        </w:trPr>
        <w:tc>
          <w:tcPr>
            <w:tcW w:w="1074" w:type="dxa"/>
            <w:vMerge/>
            <w:vAlign w:val="center"/>
          </w:tcPr>
          <w:p w14:paraId="480A5D5A"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50AC247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S</w:t>
            </w:r>
            <w:r>
              <w:rPr>
                <w:rFonts w:ascii="Times New Roman" w:eastAsiaTheme="minorEastAsia" w:hAnsi="Times New Roman" w:cstheme="minorBidi"/>
                <w:sz w:val="21"/>
                <w:szCs w:val="21"/>
              </w:rPr>
              <w:t>O</w:t>
            </w:r>
            <w:r>
              <w:rPr>
                <w:rFonts w:ascii="Times New Roman" w:eastAsiaTheme="minorEastAsia" w:hAnsi="Times New Roman" w:cstheme="minorBidi" w:hint="eastAsia"/>
                <w:sz w:val="21"/>
                <w:szCs w:val="21"/>
                <w:vertAlign w:val="subscript"/>
              </w:rPr>
              <w:t>4</w:t>
            </w:r>
            <w:r>
              <w:rPr>
                <w:rFonts w:ascii="Times New Roman" w:eastAsiaTheme="minorEastAsia" w:hAnsi="Times New Roman" w:cstheme="minorBidi" w:hint="eastAsia"/>
                <w:sz w:val="21"/>
                <w:szCs w:val="21"/>
                <w:vertAlign w:val="superscript"/>
              </w:rPr>
              <w:t>2-</w:t>
            </w:r>
          </w:p>
        </w:tc>
        <w:tc>
          <w:tcPr>
            <w:tcW w:w="1070" w:type="dxa"/>
            <w:vMerge/>
            <w:vAlign w:val="center"/>
          </w:tcPr>
          <w:p w14:paraId="77006AE8"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6612398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468</w:t>
            </w:r>
          </w:p>
        </w:tc>
        <w:tc>
          <w:tcPr>
            <w:tcW w:w="1111" w:type="dxa"/>
            <w:vAlign w:val="center"/>
          </w:tcPr>
          <w:p w14:paraId="64358B3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1.87</w:t>
            </w:r>
          </w:p>
        </w:tc>
        <w:tc>
          <w:tcPr>
            <w:tcW w:w="2130" w:type="dxa"/>
            <w:vMerge/>
            <w:vAlign w:val="center"/>
          </w:tcPr>
          <w:p w14:paraId="752BA0E3"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25C81CB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250</w:t>
            </w:r>
          </w:p>
        </w:tc>
      </w:tr>
      <w:tr w:rsidR="009C353B" w14:paraId="5C90FF93" w14:textId="77777777">
        <w:trPr>
          <w:trHeight w:val="340"/>
          <w:jc w:val="center"/>
        </w:trPr>
        <w:tc>
          <w:tcPr>
            <w:tcW w:w="1074" w:type="dxa"/>
            <w:vMerge w:val="restart"/>
            <w:vAlign w:val="center"/>
          </w:tcPr>
          <w:p w14:paraId="4C7B9D9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K6</w:t>
            </w:r>
          </w:p>
        </w:tc>
        <w:tc>
          <w:tcPr>
            <w:tcW w:w="1102" w:type="dxa"/>
            <w:vAlign w:val="center"/>
          </w:tcPr>
          <w:p w14:paraId="3D59BF5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总硬度</w:t>
            </w:r>
          </w:p>
        </w:tc>
        <w:tc>
          <w:tcPr>
            <w:tcW w:w="1070" w:type="dxa"/>
            <w:vMerge/>
            <w:vAlign w:val="center"/>
          </w:tcPr>
          <w:p w14:paraId="370E2E65"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36169E9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466</w:t>
            </w:r>
          </w:p>
        </w:tc>
        <w:tc>
          <w:tcPr>
            <w:tcW w:w="1111" w:type="dxa"/>
            <w:vAlign w:val="center"/>
          </w:tcPr>
          <w:p w14:paraId="1CCF3F7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1.04</w:t>
            </w:r>
          </w:p>
        </w:tc>
        <w:tc>
          <w:tcPr>
            <w:tcW w:w="2130" w:type="dxa"/>
            <w:vMerge/>
            <w:vAlign w:val="center"/>
          </w:tcPr>
          <w:p w14:paraId="55C31ABD"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38E5A25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450</w:t>
            </w:r>
          </w:p>
        </w:tc>
      </w:tr>
      <w:tr w:rsidR="009C353B" w14:paraId="20A2756D" w14:textId="77777777">
        <w:trPr>
          <w:trHeight w:val="340"/>
          <w:jc w:val="center"/>
        </w:trPr>
        <w:tc>
          <w:tcPr>
            <w:tcW w:w="1074" w:type="dxa"/>
            <w:vMerge/>
            <w:vAlign w:val="center"/>
          </w:tcPr>
          <w:p w14:paraId="41A997CC"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22314E7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溶解性总固体</w:t>
            </w:r>
          </w:p>
        </w:tc>
        <w:tc>
          <w:tcPr>
            <w:tcW w:w="1070" w:type="dxa"/>
            <w:vMerge/>
            <w:vAlign w:val="center"/>
          </w:tcPr>
          <w:p w14:paraId="589B1D04"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51B505B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w:t>
            </w:r>
          </w:p>
        </w:tc>
        <w:tc>
          <w:tcPr>
            <w:tcW w:w="1111" w:type="dxa"/>
            <w:vAlign w:val="center"/>
          </w:tcPr>
          <w:p w14:paraId="28A9CAA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w:t>
            </w:r>
          </w:p>
        </w:tc>
        <w:tc>
          <w:tcPr>
            <w:tcW w:w="2130" w:type="dxa"/>
            <w:vMerge/>
            <w:vAlign w:val="center"/>
          </w:tcPr>
          <w:p w14:paraId="14CF20FD"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69313A9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1000</w:t>
            </w:r>
          </w:p>
        </w:tc>
      </w:tr>
      <w:tr w:rsidR="009C353B" w14:paraId="0FCF449B" w14:textId="77777777">
        <w:trPr>
          <w:trHeight w:val="340"/>
          <w:jc w:val="center"/>
        </w:trPr>
        <w:tc>
          <w:tcPr>
            <w:tcW w:w="1074" w:type="dxa"/>
            <w:vMerge/>
            <w:vAlign w:val="center"/>
          </w:tcPr>
          <w:p w14:paraId="137F88A7"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1EAA2F0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氟化物</w:t>
            </w:r>
          </w:p>
        </w:tc>
        <w:tc>
          <w:tcPr>
            <w:tcW w:w="1070" w:type="dxa"/>
            <w:vMerge/>
            <w:vAlign w:val="center"/>
          </w:tcPr>
          <w:p w14:paraId="01DB20E0"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4E88D21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3.89</w:t>
            </w:r>
          </w:p>
        </w:tc>
        <w:tc>
          <w:tcPr>
            <w:tcW w:w="1111" w:type="dxa"/>
            <w:vAlign w:val="center"/>
          </w:tcPr>
          <w:p w14:paraId="71F1B13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3.89</w:t>
            </w:r>
          </w:p>
        </w:tc>
        <w:tc>
          <w:tcPr>
            <w:tcW w:w="2130" w:type="dxa"/>
            <w:vMerge/>
            <w:vAlign w:val="center"/>
          </w:tcPr>
          <w:p w14:paraId="6027DC60"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743E299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1.0</w:t>
            </w:r>
          </w:p>
        </w:tc>
      </w:tr>
      <w:tr w:rsidR="009C353B" w14:paraId="2BCFA4F4" w14:textId="77777777">
        <w:trPr>
          <w:trHeight w:val="340"/>
          <w:jc w:val="center"/>
        </w:trPr>
        <w:tc>
          <w:tcPr>
            <w:tcW w:w="1074" w:type="dxa"/>
            <w:vMerge/>
            <w:vAlign w:val="center"/>
          </w:tcPr>
          <w:p w14:paraId="1D879666"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75A1815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Na</w:t>
            </w:r>
            <w:r>
              <w:rPr>
                <w:rFonts w:ascii="Times New Roman" w:eastAsiaTheme="minorEastAsia" w:hAnsi="Times New Roman" w:cstheme="minorBidi"/>
                <w:sz w:val="21"/>
                <w:szCs w:val="21"/>
                <w:vertAlign w:val="superscript"/>
              </w:rPr>
              <w:t>+</w:t>
            </w:r>
          </w:p>
        </w:tc>
        <w:tc>
          <w:tcPr>
            <w:tcW w:w="1070" w:type="dxa"/>
            <w:vMerge/>
            <w:vAlign w:val="center"/>
          </w:tcPr>
          <w:p w14:paraId="4FEC194F"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2F93CDC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557</w:t>
            </w:r>
          </w:p>
        </w:tc>
        <w:tc>
          <w:tcPr>
            <w:tcW w:w="1111" w:type="dxa"/>
            <w:vAlign w:val="center"/>
          </w:tcPr>
          <w:p w14:paraId="544A429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2.79</w:t>
            </w:r>
          </w:p>
        </w:tc>
        <w:tc>
          <w:tcPr>
            <w:tcW w:w="2130" w:type="dxa"/>
            <w:vMerge/>
            <w:vAlign w:val="center"/>
          </w:tcPr>
          <w:p w14:paraId="3FE90833"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69EC5D9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200</w:t>
            </w:r>
          </w:p>
        </w:tc>
      </w:tr>
      <w:tr w:rsidR="009C353B" w14:paraId="7DB5FD3A" w14:textId="77777777">
        <w:trPr>
          <w:trHeight w:val="340"/>
          <w:jc w:val="center"/>
        </w:trPr>
        <w:tc>
          <w:tcPr>
            <w:tcW w:w="1074" w:type="dxa"/>
            <w:vMerge/>
            <w:vAlign w:val="center"/>
          </w:tcPr>
          <w:p w14:paraId="57F7ED78"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5D5E03B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C</w:t>
            </w:r>
            <w:r>
              <w:rPr>
                <w:rFonts w:ascii="Times New Roman" w:eastAsiaTheme="minorEastAsia" w:hAnsi="Times New Roman" w:cstheme="minorBidi"/>
                <w:sz w:val="21"/>
                <w:szCs w:val="21"/>
              </w:rPr>
              <w:t>l</w:t>
            </w:r>
            <w:r>
              <w:rPr>
                <w:rFonts w:ascii="Times New Roman" w:eastAsiaTheme="minorEastAsia" w:hAnsi="Times New Roman" w:cstheme="minorBidi"/>
                <w:sz w:val="21"/>
                <w:szCs w:val="21"/>
                <w:vertAlign w:val="superscript"/>
              </w:rPr>
              <w:t>-</w:t>
            </w:r>
          </w:p>
        </w:tc>
        <w:tc>
          <w:tcPr>
            <w:tcW w:w="1070" w:type="dxa"/>
            <w:vMerge/>
            <w:vAlign w:val="center"/>
          </w:tcPr>
          <w:p w14:paraId="7AC14544"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638B2DF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312</w:t>
            </w:r>
          </w:p>
        </w:tc>
        <w:tc>
          <w:tcPr>
            <w:tcW w:w="1111" w:type="dxa"/>
            <w:vAlign w:val="center"/>
          </w:tcPr>
          <w:p w14:paraId="6D6F956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1.25</w:t>
            </w:r>
          </w:p>
        </w:tc>
        <w:tc>
          <w:tcPr>
            <w:tcW w:w="2130" w:type="dxa"/>
            <w:vMerge/>
            <w:vAlign w:val="center"/>
          </w:tcPr>
          <w:p w14:paraId="6CC46CFB"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4695D91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250</w:t>
            </w:r>
          </w:p>
        </w:tc>
      </w:tr>
      <w:tr w:rsidR="009C353B" w14:paraId="173624F6" w14:textId="77777777">
        <w:trPr>
          <w:trHeight w:val="340"/>
          <w:jc w:val="center"/>
        </w:trPr>
        <w:tc>
          <w:tcPr>
            <w:tcW w:w="1074" w:type="dxa"/>
            <w:vMerge/>
            <w:vAlign w:val="center"/>
          </w:tcPr>
          <w:p w14:paraId="49C08AE9"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7A9DFBC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S</w:t>
            </w:r>
            <w:r>
              <w:rPr>
                <w:rFonts w:ascii="Times New Roman" w:eastAsiaTheme="minorEastAsia" w:hAnsi="Times New Roman" w:cstheme="minorBidi"/>
                <w:sz w:val="21"/>
                <w:szCs w:val="21"/>
              </w:rPr>
              <w:t>O</w:t>
            </w:r>
            <w:r>
              <w:rPr>
                <w:rFonts w:ascii="Times New Roman" w:eastAsiaTheme="minorEastAsia" w:hAnsi="Times New Roman" w:cstheme="minorBidi" w:hint="eastAsia"/>
                <w:sz w:val="21"/>
                <w:szCs w:val="21"/>
                <w:vertAlign w:val="subscript"/>
              </w:rPr>
              <w:t>4</w:t>
            </w:r>
            <w:r>
              <w:rPr>
                <w:rFonts w:ascii="Times New Roman" w:eastAsiaTheme="minorEastAsia" w:hAnsi="Times New Roman" w:cstheme="minorBidi" w:hint="eastAsia"/>
                <w:sz w:val="21"/>
                <w:szCs w:val="21"/>
                <w:vertAlign w:val="superscript"/>
              </w:rPr>
              <w:t>2-</w:t>
            </w:r>
          </w:p>
        </w:tc>
        <w:tc>
          <w:tcPr>
            <w:tcW w:w="1070" w:type="dxa"/>
            <w:vMerge/>
            <w:vAlign w:val="center"/>
          </w:tcPr>
          <w:p w14:paraId="19D04FFE"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6799895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552</w:t>
            </w:r>
          </w:p>
        </w:tc>
        <w:tc>
          <w:tcPr>
            <w:tcW w:w="1111" w:type="dxa"/>
            <w:vAlign w:val="center"/>
          </w:tcPr>
          <w:p w14:paraId="0836555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2.21</w:t>
            </w:r>
          </w:p>
        </w:tc>
        <w:tc>
          <w:tcPr>
            <w:tcW w:w="2130" w:type="dxa"/>
            <w:vMerge/>
            <w:vAlign w:val="center"/>
          </w:tcPr>
          <w:p w14:paraId="27751E83"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53203FA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250</w:t>
            </w:r>
          </w:p>
        </w:tc>
      </w:tr>
      <w:tr w:rsidR="009C353B" w14:paraId="12C7FCFB" w14:textId="77777777">
        <w:trPr>
          <w:trHeight w:val="340"/>
          <w:jc w:val="center"/>
        </w:trPr>
        <w:tc>
          <w:tcPr>
            <w:tcW w:w="1074" w:type="dxa"/>
            <w:vMerge w:val="restart"/>
            <w:vAlign w:val="center"/>
          </w:tcPr>
          <w:p w14:paraId="1334B58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K</w:t>
            </w:r>
            <w:r>
              <w:rPr>
                <w:rFonts w:ascii="Times New Roman" w:eastAsiaTheme="minorEastAsia" w:hAnsi="Times New Roman" w:cstheme="minorBidi"/>
                <w:sz w:val="21"/>
                <w:szCs w:val="21"/>
              </w:rPr>
              <w:t>7</w:t>
            </w:r>
          </w:p>
        </w:tc>
        <w:tc>
          <w:tcPr>
            <w:tcW w:w="1102" w:type="dxa"/>
            <w:vAlign w:val="center"/>
          </w:tcPr>
          <w:p w14:paraId="6825C74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总硬度</w:t>
            </w:r>
          </w:p>
        </w:tc>
        <w:tc>
          <w:tcPr>
            <w:tcW w:w="1070" w:type="dxa"/>
            <w:vMerge/>
            <w:vAlign w:val="center"/>
          </w:tcPr>
          <w:p w14:paraId="0C5BB017"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347F110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966</w:t>
            </w:r>
          </w:p>
        </w:tc>
        <w:tc>
          <w:tcPr>
            <w:tcW w:w="1111" w:type="dxa"/>
            <w:vAlign w:val="center"/>
          </w:tcPr>
          <w:p w14:paraId="09BD665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2.15</w:t>
            </w:r>
          </w:p>
        </w:tc>
        <w:tc>
          <w:tcPr>
            <w:tcW w:w="2130" w:type="dxa"/>
            <w:vMerge/>
            <w:vAlign w:val="center"/>
          </w:tcPr>
          <w:p w14:paraId="420B791C"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4D3203C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450</w:t>
            </w:r>
          </w:p>
        </w:tc>
      </w:tr>
      <w:tr w:rsidR="009C353B" w14:paraId="13D4FCAA" w14:textId="77777777">
        <w:trPr>
          <w:trHeight w:val="340"/>
          <w:jc w:val="center"/>
        </w:trPr>
        <w:tc>
          <w:tcPr>
            <w:tcW w:w="1074" w:type="dxa"/>
            <w:vMerge/>
            <w:vAlign w:val="center"/>
          </w:tcPr>
          <w:p w14:paraId="1D40DD30"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5C72302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溶解性总固体</w:t>
            </w:r>
          </w:p>
        </w:tc>
        <w:tc>
          <w:tcPr>
            <w:tcW w:w="1070" w:type="dxa"/>
            <w:vMerge/>
            <w:vAlign w:val="center"/>
          </w:tcPr>
          <w:p w14:paraId="23AE77CD"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7736C45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1540</w:t>
            </w:r>
          </w:p>
        </w:tc>
        <w:tc>
          <w:tcPr>
            <w:tcW w:w="1111" w:type="dxa"/>
            <w:vAlign w:val="center"/>
          </w:tcPr>
          <w:p w14:paraId="0B16574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1.54</w:t>
            </w:r>
          </w:p>
        </w:tc>
        <w:tc>
          <w:tcPr>
            <w:tcW w:w="2130" w:type="dxa"/>
            <w:vMerge/>
            <w:vAlign w:val="center"/>
          </w:tcPr>
          <w:p w14:paraId="731E2DF4"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67D5E59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1000</w:t>
            </w:r>
          </w:p>
        </w:tc>
      </w:tr>
      <w:tr w:rsidR="009C353B" w14:paraId="71CE721E" w14:textId="77777777">
        <w:trPr>
          <w:trHeight w:val="340"/>
          <w:jc w:val="center"/>
        </w:trPr>
        <w:tc>
          <w:tcPr>
            <w:tcW w:w="1074" w:type="dxa"/>
            <w:vMerge/>
            <w:vAlign w:val="center"/>
          </w:tcPr>
          <w:p w14:paraId="6CEDCB70"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79A2850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氟化物</w:t>
            </w:r>
          </w:p>
        </w:tc>
        <w:tc>
          <w:tcPr>
            <w:tcW w:w="1070" w:type="dxa"/>
            <w:vMerge/>
            <w:vAlign w:val="center"/>
          </w:tcPr>
          <w:p w14:paraId="6AD6CC7D"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4D6FBAF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4.05</w:t>
            </w:r>
          </w:p>
        </w:tc>
        <w:tc>
          <w:tcPr>
            <w:tcW w:w="1111" w:type="dxa"/>
            <w:vAlign w:val="center"/>
          </w:tcPr>
          <w:p w14:paraId="5265652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4.05</w:t>
            </w:r>
          </w:p>
        </w:tc>
        <w:tc>
          <w:tcPr>
            <w:tcW w:w="2130" w:type="dxa"/>
            <w:vMerge/>
            <w:vAlign w:val="center"/>
          </w:tcPr>
          <w:p w14:paraId="16E79DC9"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4E9CD61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1.0</w:t>
            </w:r>
          </w:p>
        </w:tc>
      </w:tr>
      <w:tr w:rsidR="009C353B" w14:paraId="6D04077B" w14:textId="77777777">
        <w:trPr>
          <w:trHeight w:val="340"/>
          <w:jc w:val="center"/>
        </w:trPr>
        <w:tc>
          <w:tcPr>
            <w:tcW w:w="1074" w:type="dxa"/>
            <w:vMerge/>
            <w:vAlign w:val="center"/>
          </w:tcPr>
          <w:p w14:paraId="17FCDE77"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5AEF2E8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Na</w:t>
            </w:r>
            <w:r>
              <w:rPr>
                <w:rFonts w:ascii="Times New Roman" w:eastAsiaTheme="minorEastAsia" w:hAnsi="Times New Roman" w:cstheme="minorBidi"/>
                <w:sz w:val="21"/>
                <w:szCs w:val="21"/>
                <w:vertAlign w:val="superscript"/>
              </w:rPr>
              <w:t>+</w:t>
            </w:r>
          </w:p>
        </w:tc>
        <w:tc>
          <w:tcPr>
            <w:tcW w:w="1070" w:type="dxa"/>
            <w:vMerge/>
            <w:vAlign w:val="center"/>
          </w:tcPr>
          <w:p w14:paraId="24D9E7B0"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569A063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1700</w:t>
            </w:r>
          </w:p>
        </w:tc>
        <w:tc>
          <w:tcPr>
            <w:tcW w:w="1111" w:type="dxa"/>
            <w:vAlign w:val="center"/>
          </w:tcPr>
          <w:p w14:paraId="6DECECB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8.5</w:t>
            </w:r>
          </w:p>
        </w:tc>
        <w:tc>
          <w:tcPr>
            <w:tcW w:w="2130" w:type="dxa"/>
            <w:vMerge/>
            <w:vAlign w:val="center"/>
          </w:tcPr>
          <w:p w14:paraId="354294BB"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565098D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200</w:t>
            </w:r>
          </w:p>
        </w:tc>
      </w:tr>
      <w:tr w:rsidR="009C353B" w14:paraId="3077FF1A" w14:textId="77777777">
        <w:trPr>
          <w:trHeight w:val="340"/>
          <w:jc w:val="center"/>
        </w:trPr>
        <w:tc>
          <w:tcPr>
            <w:tcW w:w="1074" w:type="dxa"/>
            <w:vMerge/>
            <w:vAlign w:val="center"/>
          </w:tcPr>
          <w:p w14:paraId="4E9FED4C"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685F60F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C</w:t>
            </w:r>
            <w:r>
              <w:rPr>
                <w:rFonts w:ascii="Times New Roman" w:eastAsiaTheme="minorEastAsia" w:hAnsi="Times New Roman" w:cstheme="minorBidi"/>
                <w:sz w:val="21"/>
                <w:szCs w:val="21"/>
              </w:rPr>
              <w:t>l</w:t>
            </w:r>
            <w:r>
              <w:rPr>
                <w:rFonts w:ascii="Times New Roman" w:eastAsiaTheme="minorEastAsia" w:hAnsi="Times New Roman" w:cstheme="minorBidi"/>
                <w:sz w:val="21"/>
                <w:szCs w:val="21"/>
                <w:vertAlign w:val="superscript"/>
              </w:rPr>
              <w:t>-</w:t>
            </w:r>
          </w:p>
        </w:tc>
        <w:tc>
          <w:tcPr>
            <w:tcW w:w="1070" w:type="dxa"/>
            <w:vMerge/>
            <w:vAlign w:val="center"/>
          </w:tcPr>
          <w:p w14:paraId="2E16B958"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38D13CD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470</w:t>
            </w:r>
          </w:p>
        </w:tc>
        <w:tc>
          <w:tcPr>
            <w:tcW w:w="1111" w:type="dxa"/>
            <w:vAlign w:val="center"/>
          </w:tcPr>
          <w:p w14:paraId="4E18A03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1.88</w:t>
            </w:r>
          </w:p>
        </w:tc>
        <w:tc>
          <w:tcPr>
            <w:tcW w:w="2130" w:type="dxa"/>
            <w:vMerge/>
            <w:vAlign w:val="center"/>
          </w:tcPr>
          <w:p w14:paraId="21C7EF3F"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0E32086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250</w:t>
            </w:r>
          </w:p>
        </w:tc>
      </w:tr>
      <w:tr w:rsidR="009C353B" w14:paraId="6F08A500" w14:textId="77777777">
        <w:trPr>
          <w:trHeight w:val="340"/>
          <w:jc w:val="center"/>
        </w:trPr>
        <w:tc>
          <w:tcPr>
            <w:tcW w:w="1074" w:type="dxa"/>
            <w:vMerge/>
            <w:vAlign w:val="center"/>
          </w:tcPr>
          <w:p w14:paraId="06825314"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50B9D67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S</w:t>
            </w:r>
            <w:r>
              <w:rPr>
                <w:rFonts w:ascii="Times New Roman" w:eastAsiaTheme="minorEastAsia" w:hAnsi="Times New Roman" w:cstheme="minorBidi"/>
                <w:sz w:val="21"/>
                <w:szCs w:val="21"/>
              </w:rPr>
              <w:t>O</w:t>
            </w:r>
            <w:r>
              <w:rPr>
                <w:rFonts w:ascii="Times New Roman" w:eastAsiaTheme="minorEastAsia" w:hAnsi="Times New Roman" w:cstheme="minorBidi" w:hint="eastAsia"/>
                <w:sz w:val="21"/>
                <w:szCs w:val="21"/>
                <w:vertAlign w:val="subscript"/>
              </w:rPr>
              <w:t>4</w:t>
            </w:r>
            <w:r>
              <w:rPr>
                <w:rFonts w:ascii="Times New Roman" w:eastAsiaTheme="minorEastAsia" w:hAnsi="Times New Roman" w:cstheme="minorBidi" w:hint="eastAsia"/>
                <w:sz w:val="21"/>
                <w:szCs w:val="21"/>
                <w:vertAlign w:val="superscript"/>
              </w:rPr>
              <w:t>2-</w:t>
            </w:r>
          </w:p>
        </w:tc>
        <w:tc>
          <w:tcPr>
            <w:tcW w:w="1070" w:type="dxa"/>
            <w:vMerge/>
            <w:vAlign w:val="center"/>
          </w:tcPr>
          <w:p w14:paraId="0464A564"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242995D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1060</w:t>
            </w:r>
          </w:p>
        </w:tc>
        <w:tc>
          <w:tcPr>
            <w:tcW w:w="1111" w:type="dxa"/>
            <w:vAlign w:val="center"/>
          </w:tcPr>
          <w:p w14:paraId="6A67236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4.24</w:t>
            </w:r>
          </w:p>
        </w:tc>
        <w:tc>
          <w:tcPr>
            <w:tcW w:w="2130" w:type="dxa"/>
            <w:vMerge/>
            <w:vAlign w:val="center"/>
          </w:tcPr>
          <w:p w14:paraId="11C58095"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60E2920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250</w:t>
            </w:r>
          </w:p>
        </w:tc>
      </w:tr>
      <w:tr w:rsidR="009C353B" w14:paraId="00827951" w14:textId="77777777">
        <w:trPr>
          <w:trHeight w:val="340"/>
          <w:jc w:val="center"/>
        </w:trPr>
        <w:tc>
          <w:tcPr>
            <w:tcW w:w="1074" w:type="dxa"/>
            <w:vMerge w:val="restart"/>
            <w:vAlign w:val="center"/>
          </w:tcPr>
          <w:p w14:paraId="39AEF36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K</w:t>
            </w:r>
            <w:r>
              <w:rPr>
                <w:rFonts w:ascii="Times New Roman" w:eastAsiaTheme="minorEastAsia" w:hAnsi="Times New Roman" w:cstheme="minorBidi"/>
                <w:sz w:val="21"/>
                <w:szCs w:val="21"/>
              </w:rPr>
              <w:t>8</w:t>
            </w:r>
          </w:p>
        </w:tc>
        <w:tc>
          <w:tcPr>
            <w:tcW w:w="1102" w:type="dxa"/>
            <w:vAlign w:val="center"/>
          </w:tcPr>
          <w:p w14:paraId="07BB85D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总硬度</w:t>
            </w:r>
          </w:p>
        </w:tc>
        <w:tc>
          <w:tcPr>
            <w:tcW w:w="1070" w:type="dxa"/>
            <w:vMerge/>
            <w:vAlign w:val="center"/>
          </w:tcPr>
          <w:p w14:paraId="40095188"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4089A77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1380</w:t>
            </w:r>
          </w:p>
        </w:tc>
        <w:tc>
          <w:tcPr>
            <w:tcW w:w="1111" w:type="dxa"/>
            <w:vAlign w:val="center"/>
          </w:tcPr>
          <w:p w14:paraId="7BEB8BD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3.07</w:t>
            </w:r>
          </w:p>
        </w:tc>
        <w:tc>
          <w:tcPr>
            <w:tcW w:w="2130" w:type="dxa"/>
            <w:vMerge/>
            <w:vAlign w:val="center"/>
          </w:tcPr>
          <w:p w14:paraId="1661066F"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23409AE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450</w:t>
            </w:r>
          </w:p>
        </w:tc>
      </w:tr>
      <w:tr w:rsidR="009C353B" w14:paraId="2AD8B084" w14:textId="77777777">
        <w:trPr>
          <w:trHeight w:val="340"/>
          <w:jc w:val="center"/>
        </w:trPr>
        <w:tc>
          <w:tcPr>
            <w:tcW w:w="1074" w:type="dxa"/>
            <w:vMerge/>
            <w:vAlign w:val="center"/>
          </w:tcPr>
          <w:p w14:paraId="2874C828"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232F750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溶解性总固体</w:t>
            </w:r>
          </w:p>
        </w:tc>
        <w:tc>
          <w:tcPr>
            <w:tcW w:w="1070" w:type="dxa"/>
            <w:vMerge/>
            <w:vAlign w:val="center"/>
          </w:tcPr>
          <w:p w14:paraId="6EAA8D36"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1FF8412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1880</w:t>
            </w:r>
          </w:p>
        </w:tc>
        <w:tc>
          <w:tcPr>
            <w:tcW w:w="1111" w:type="dxa"/>
            <w:vAlign w:val="center"/>
          </w:tcPr>
          <w:p w14:paraId="11E7251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1.88</w:t>
            </w:r>
          </w:p>
        </w:tc>
        <w:tc>
          <w:tcPr>
            <w:tcW w:w="2130" w:type="dxa"/>
            <w:vMerge/>
            <w:vAlign w:val="center"/>
          </w:tcPr>
          <w:p w14:paraId="6B86D399"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2E70722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1000</w:t>
            </w:r>
          </w:p>
        </w:tc>
      </w:tr>
      <w:tr w:rsidR="009C353B" w14:paraId="518334FB" w14:textId="77777777">
        <w:trPr>
          <w:trHeight w:val="340"/>
          <w:jc w:val="center"/>
        </w:trPr>
        <w:tc>
          <w:tcPr>
            <w:tcW w:w="1074" w:type="dxa"/>
            <w:vMerge/>
            <w:vAlign w:val="center"/>
          </w:tcPr>
          <w:p w14:paraId="55F88A13"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3AD5D7B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氟化物</w:t>
            </w:r>
          </w:p>
        </w:tc>
        <w:tc>
          <w:tcPr>
            <w:tcW w:w="1070" w:type="dxa"/>
            <w:vMerge/>
            <w:vAlign w:val="center"/>
          </w:tcPr>
          <w:p w14:paraId="38C24986"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108B67A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2.33</w:t>
            </w:r>
          </w:p>
        </w:tc>
        <w:tc>
          <w:tcPr>
            <w:tcW w:w="1111" w:type="dxa"/>
            <w:vAlign w:val="center"/>
          </w:tcPr>
          <w:p w14:paraId="4F155B6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2.33</w:t>
            </w:r>
          </w:p>
        </w:tc>
        <w:tc>
          <w:tcPr>
            <w:tcW w:w="2130" w:type="dxa"/>
            <w:vMerge/>
            <w:vAlign w:val="center"/>
          </w:tcPr>
          <w:p w14:paraId="01611694"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04ABE52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1.0</w:t>
            </w:r>
          </w:p>
        </w:tc>
      </w:tr>
      <w:tr w:rsidR="009C353B" w14:paraId="3343D051" w14:textId="77777777">
        <w:trPr>
          <w:trHeight w:val="340"/>
          <w:jc w:val="center"/>
        </w:trPr>
        <w:tc>
          <w:tcPr>
            <w:tcW w:w="1074" w:type="dxa"/>
            <w:vMerge/>
            <w:vAlign w:val="center"/>
          </w:tcPr>
          <w:p w14:paraId="3194536A"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2250D60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Na</w:t>
            </w:r>
            <w:r>
              <w:rPr>
                <w:rFonts w:ascii="Times New Roman" w:eastAsiaTheme="minorEastAsia" w:hAnsi="Times New Roman" w:cstheme="minorBidi"/>
                <w:sz w:val="21"/>
                <w:szCs w:val="21"/>
                <w:vertAlign w:val="superscript"/>
              </w:rPr>
              <w:t>+</w:t>
            </w:r>
          </w:p>
        </w:tc>
        <w:tc>
          <w:tcPr>
            <w:tcW w:w="1070" w:type="dxa"/>
            <w:vMerge/>
            <w:vAlign w:val="center"/>
          </w:tcPr>
          <w:p w14:paraId="122EF607"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2EA1223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479</w:t>
            </w:r>
          </w:p>
        </w:tc>
        <w:tc>
          <w:tcPr>
            <w:tcW w:w="1111" w:type="dxa"/>
            <w:vAlign w:val="center"/>
          </w:tcPr>
          <w:p w14:paraId="76AA703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2.4</w:t>
            </w:r>
          </w:p>
        </w:tc>
        <w:tc>
          <w:tcPr>
            <w:tcW w:w="2130" w:type="dxa"/>
            <w:vMerge/>
            <w:vAlign w:val="center"/>
          </w:tcPr>
          <w:p w14:paraId="03A0F9AE"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5197452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200</w:t>
            </w:r>
          </w:p>
        </w:tc>
      </w:tr>
      <w:tr w:rsidR="009C353B" w14:paraId="7B259D83" w14:textId="77777777">
        <w:trPr>
          <w:trHeight w:val="340"/>
          <w:jc w:val="center"/>
        </w:trPr>
        <w:tc>
          <w:tcPr>
            <w:tcW w:w="1074" w:type="dxa"/>
            <w:vMerge/>
            <w:vAlign w:val="center"/>
          </w:tcPr>
          <w:p w14:paraId="4B9B7849"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26625F9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C</w:t>
            </w:r>
            <w:r>
              <w:rPr>
                <w:rFonts w:ascii="Times New Roman" w:eastAsiaTheme="minorEastAsia" w:hAnsi="Times New Roman" w:cstheme="minorBidi"/>
                <w:sz w:val="21"/>
                <w:szCs w:val="21"/>
              </w:rPr>
              <w:t>l</w:t>
            </w:r>
            <w:r>
              <w:rPr>
                <w:rFonts w:ascii="Times New Roman" w:eastAsiaTheme="minorEastAsia" w:hAnsi="Times New Roman" w:cstheme="minorBidi"/>
                <w:sz w:val="21"/>
                <w:szCs w:val="21"/>
                <w:vertAlign w:val="superscript"/>
              </w:rPr>
              <w:t>-</w:t>
            </w:r>
          </w:p>
        </w:tc>
        <w:tc>
          <w:tcPr>
            <w:tcW w:w="1070" w:type="dxa"/>
            <w:vMerge/>
            <w:vAlign w:val="center"/>
          </w:tcPr>
          <w:p w14:paraId="26F9D9E1"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5A28652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w:t>
            </w:r>
          </w:p>
        </w:tc>
        <w:tc>
          <w:tcPr>
            <w:tcW w:w="1111" w:type="dxa"/>
            <w:vAlign w:val="center"/>
          </w:tcPr>
          <w:p w14:paraId="5ABD6FE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w:t>
            </w:r>
          </w:p>
        </w:tc>
        <w:tc>
          <w:tcPr>
            <w:tcW w:w="2130" w:type="dxa"/>
            <w:vMerge/>
            <w:vAlign w:val="center"/>
          </w:tcPr>
          <w:p w14:paraId="307A7F28"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666CE8A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250</w:t>
            </w:r>
          </w:p>
        </w:tc>
      </w:tr>
      <w:tr w:rsidR="009C353B" w14:paraId="0F06382A" w14:textId="77777777">
        <w:trPr>
          <w:trHeight w:val="340"/>
          <w:jc w:val="center"/>
        </w:trPr>
        <w:tc>
          <w:tcPr>
            <w:tcW w:w="1074" w:type="dxa"/>
            <w:vMerge/>
            <w:vAlign w:val="center"/>
          </w:tcPr>
          <w:p w14:paraId="6D18A4CC" w14:textId="77777777" w:rsidR="009C353B" w:rsidRDefault="009C353B">
            <w:pPr>
              <w:jc w:val="center"/>
              <w:rPr>
                <w:rFonts w:ascii="Times New Roman" w:eastAsiaTheme="minorEastAsia" w:hAnsi="Times New Roman" w:cstheme="minorBidi"/>
                <w:sz w:val="21"/>
                <w:szCs w:val="21"/>
              </w:rPr>
            </w:pPr>
          </w:p>
        </w:tc>
        <w:tc>
          <w:tcPr>
            <w:tcW w:w="1102" w:type="dxa"/>
            <w:vAlign w:val="center"/>
          </w:tcPr>
          <w:p w14:paraId="657709D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S</w:t>
            </w:r>
            <w:r>
              <w:rPr>
                <w:rFonts w:ascii="Times New Roman" w:eastAsiaTheme="minorEastAsia" w:hAnsi="Times New Roman" w:cstheme="minorBidi"/>
                <w:sz w:val="21"/>
                <w:szCs w:val="21"/>
              </w:rPr>
              <w:t>O</w:t>
            </w:r>
            <w:r>
              <w:rPr>
                <w:rFonts w:ascii="Times New Roman" w:eastAsiaTheme="minorEastAsia" w:hAnsi="Times New Roman" w:cstheme="minorBidi" w:hint="eastAsia"/>
                <w:sz w:val="21"/>
                <w:szCs w:val="21"/>
                <w:vertAlign w:val="subscript"/>
              </w:rPr>
              <w:t>4</w:t>
            </w:r>
            <w:r>
              <w:rPr>
                <w:rFonts w:ascii="Times New Roman" w:eastAsiaTheme="minorEastAsia" w:hAnsi="Times New Roman" w:cstheme="minorBidi" w:hint="eastAsia"/>
                <w:sz w:val="21"/>
                <w:szCs w:val="21"/>
                <w:vertAlign w:val="superscript"/>
              </w:rPr>
              <w:t>2-</w:t>
            </w:r>
          </w:p>
        </w:tc>
        <w:tc>
          <w:tcPr>
            <w:tcW w:w="1070" w:type="dxa"/>
            <w:vMerge/>
            <w:vAlign w:val="center"/>
          </w:tcPr>
          <w:p w14:paraId="22C14DF5" w14:textId="77777777" w:rsidR="009C353B" w:rsidRDefault="009C353B">
            <w:pPr>
              <w:jc w:val="center"/>
              <w:rPr>
                <w:rFonts w:ascii="Times New Roman" w:eastAsiaTheme="minorEastAsia" w:hAnsi="Times New Roman" w:cstheme="minorBidi"/>
                <w:sz w:val="21"/>
                <w:szCs w:val="21"/>
              </w:rPr>
            </w:pPr>
          </w:p>
        </w:tc>
        <w:tc>
          <w:tcPr>
            <w:tcW w:w="1171" w:type="dxa"/>
            <w:vAlign w:val="center"/>
          </w:tcPr>
          <w:p w14:paraId="6CD8631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1620</w:t>
            </w:r>
          </w:p>
        </w:tc>
        <w:tc>
          <w:tcPr>
            <w:tcW w:w="1111" w:type="dxa"/>
            <w:vAlign w:val="center"/>
          </w:tcPr>
          <w:p w14:paraId="445ED80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6.48</w:t>
            </w:r>
          </w:p>
        </w:tc>
        <w:tc>
          <w:tcPr>
            <w:tcW w:w="2130" w:type="dxa"/>
            <w:vMerge/>
            <w:vAlign w:val="center"/>
          </w:tcPr>
          <w:p w14:paraId="05916613" w14:textId="77777777" w:rsidR="009C353B" w:rsidRDefault="009C353B">
            <w:pPr>
              <w:jc w:val="center"/>
              <w:rPr>
                <w:rFonts w:ascii="Times New Roman" w:eastAsiaTheme="minorEastAsia" w:hAnsi="Times New Roman" w:cstheme="minorBidi"/>
                <w:sz w:val="21"/>
                <w:szCs w:val="21"/>
              </w:rPr>
            </w:pPr>
          </w:p>
        </w:tc>
        <w:tc>
          <w:tcPr>
            <w:tcW w:w="1112" w:type="dxa"/>
            <w:vAlign w:val="center"/>
          </w:tcPr>
          <w:p w14:paraId="360593D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hint="eastAsia"/>
                <w:sz w:val="21"/>
                <w:szCs w:val="21"/>
              </w:rPr>
              <w:t>250</w:t>
            </w:r>
          </w:p>
        </w:tc>
      </w:tr>
    </w:tbl>
    <w:p w14:paraId="7CA5638B" w14:textId="77777777" w:rsidR="009C353B" w:rsidRDefault="00000000">
      <w:pPr>
        <w:adjustRightInd w:val="0"/>
        <w:snapToGrid w:val="0"/>
        <w:spacing w:line="440" w:lineRule="exact"/>
        <w:ind w:firstLine="480"/>
        <w:rPr>
          <w:rFonts w:ascii="Times New Roman" w:hAnsi="Times New Roman"/>
          <w:szCs w:val="24"/>
        </w:rPr>
      </w:pPr>
      <w:r>
        <w:rPr>
          <w:rFonts w:ascii="Times New Roman" w:hAnsi="Times New Roman" w:hint="eastAsia"/>
          <w:szCs w:val="24"/>
        </w:rPr>
        <w:t>根据上表，红石湾矿井地下水不能够满足《地下水质量标准》（</w:t>
      </w:r>
      <w:r>
        <w:rPr>
          <w:rFonts w:ascii="Times New Roman" w:hAnsi="Times New Roman" w:hint="eastAsia"/>
          <w:szCs w:val="24"/>
        </w:rPr>
        <w:t>GB/T14848-2017</w:t>
      </w:r>
      <w:r>
        <w:rPr>
          <w:rFonts w:ascii="Times New Roman" w:hAnsi="Times New Roman" w:hint="eastAsia"/>
          <w:szCs w:val="24"/>
        </w:rPr>
        <w:t>）中的Ⅲ类标准限值的要求，其中总硬度、溶解性总固体、氟化物、</w:t>
      </w:r>
      <w:r>
        <w:rPr>
          <w:rFonts w:ascii="Times New Roman" w:hAnsi="Times New Roman" w:hint="eastAsia"/>
          <w:szCs w:val="24"/>
        </w:rPr>
        <w:t>Na</w:t>
      </w:r>
      <w:r>
        <w:rPr>
          <w:rFonts w:ascii="Times New Roman" w:hAnsi="Times New Roman" w:hint="eastAsia"/>
          <w:szCs w:val="24"/>
          <w:vertAlign w:val="superscript"/>
        </w:rPr>
        <w:t>+</w:t>
      </w:r>
      <w:r>
        <w:rPr>
          <w:rFonts w:ascii="Times New Roman" w:hAnsi="Times New Roman" w:hint="eastAsia"/>
          <w:szCs w:val="24"/>
        </w:rPr>
        <w:t>、</w:t>
      </w:r>
      <w:r>
        <w:rPr>
          <w:rFonts w:ascii="Times New Roman" w:hAnsi="Times New Roman" w:hint="eastAsia"/>
          <w:szCs w:val="24"/>
        </w:rPr>
        <w:t>Cl</w:t>
      </w:r>
      <w:r>
        <w:rPr>
          <w:rFonts w:ascii="Times New Roman" w:hAnsi="Times New Roman" w:hint="eastAsia"/>
          <w:szCs w:val="24"/>
          <w:vertAlign w:val="superscript"/>
        </w:rPr>
        <w:t>-</w:t>
      </w:r>
      <w:r>
        <w:rPr>
          <w:rFonts w:ascii="Times New Roman" w:hAnsi="Times New Roman" w:hint="eastAsia"/>
          <w:szCs w:val="24"/>
        </w:rPr>
        <w:t>、</w:t>
      </w:r>
      <w:r>
        <w:rPr>
          <w:rFonts w:ascii="Times New Roman" w:hAnsi="Times New Roman" w:hint="eastAsia"/>
          <w:szCs w:val="24"/>
        </w:rPr>
        <w:t>SO</w:t>
      </w:r>
      <w:r>
        <w:rPr>
          <w:rFonts w:ascii="Times New Roman" w:hAnsi="Times New Roman" w:hint="eastAsia"/>
          <w:szCs w:val="24"/>
          <w:vertAlign w:val="subscript"/>
        </w:rPr>
        <w:t>4</w:t>
      </w:r>
      <w:r>
        <w:rPr>
          <w:rFonts w:ascii="Times New Roman" w:hAnsi="Times New Roman" w:hint="eastAsia"/>
          <w:szCs w:val="24"/>
          <w:vertAlign w:val="superscript"/>
        </w:rPr>
        <w:t>2-</w:t>
      </w:r>
      <w:r>
        <w:rPr>
          <w:rFonts w:ascii="Times New Roman" w:hAnsi="Times New Roman" w:hint="eastAsia"/>
          <w:szCs w:val="24"/>
        </w:rPr>
        <w:t>超标。氟化物超标与当地背景值有关，其余项目超标原因是地下水补给来源有限，赋存条件较差，径流条件一般，化学元素容易富集。</w:t>
      </w:r>
    </w:p>
    <w:p w14:paraId="6FE8C5DA" w14:textId="77777777" w:rsidR="009C353B" w:rsidRDefault="00000000">
      <w:pPr>
        <w:spacing w:line="440" w:lineRule="exact"/>
        <w:jc w:val="center"/>
        <w:rPr>
          <w:rFonts w:ascii="Times New Roman" w:hAnsi="Times New Roman"/>
          <w:b/>
          <w:bCs/>
          <w:szCs w:val="24"/>
        </w:rPr>
      </w:pPr>
      <w:r>
        <w:rPr>
          <w:rFonts w:ascii="Times New Roman" w:hAnsi="Times New Roman" w:hint="eastAsia"/>
          <w:b/>
          <w:bCs/>
          <w:szCs w:val="24"/>
        </w:rPr>
        <w:t>马莲台矿井地下水水质监测结果回顾（超标部分）</w:t>
      </w:r>
    </w:p>
    <w:p w14:paraId="4FFB2DDC" w14:textId="77777777" w:rsidR="009C353B" w:rsidRDefault="00000000">
      <w:pPr>
        <w:adjustRightInd w:val="0"/>
        <w:snapToGrid w:val="0"/>
        <w:spacing w:line="440" w:lineRule="exact"/>
        <w:outlineLvl w:val="5"/>
        <w:rPr>
          <w:rFonts w:ascii="Times New Roman" w:hAnsi="Times New Roman"/>
          <w:szCs w:val="24"/>
        </w:rPr>
      </w:pPr>
      <w:r>
        <w:rPr>
          <w:rFonts w:ascii="Times New Roman" w:hAnsi="Times New Roman"/>
          <w:szCs w:val="24"/>
        </w:rPr>
        <w:t>表</w:t>
      </w:r>
      <w:r>
        <w:rPr>
          <w:rFonts w:ascii="Times New Roman" w:hAnsi="Times New Roman" w:hint="eastAsia"/>
          <w:szCs w:val="24"/>
        </w:rPr>
        <w:t>4</w:t>
      </w:r>
      <w:r>
        <w:rPr>
          <w:rFonts w:ascii="Times New Roman" w:hAnsi="Times New Roman"/>
          <w:szCs w:val="24"/>
        </w:rPr>
        <w:t>.3</w:t>
      </w:r>
      <w:r>
        <w:rPr>
          <w:rFonts w:ascii="Times New Roman" w:hAnsi="Times New Roman" w:hint="eastAsia"/>
          <w:szCs w:val="24"/>
        </w:rPr>
        <w:t>-</w:t>
      </w:r>
      <w:r>
        <w:rPr>
          <w:rFonts w:ascii="Times New Roman" w:hAnsi="Times New Roman"/>
          <w:szCs w:val="24"/>
        </w:rPr>
        <w:t>14</w:t>
      </w:r>
    </w:p>
    <w:tbl>
      <w:tblPr>
        <w:tblStyle w:val="372"/>
        <w:tblW w:w="5000" w:type="pct"/>
        <w:tblLook w:val="04A0" w:firstRow="1" w:lastRow="0" w:firstColumn="1" w:lastColumn="0" w:noHBand="0" w:noVBand="1"/>
      </w:tblPr>
      <w:tblGrid>
        <w:gridCol w:w="909"/>
        <w:gridCol w:w="1193"/>
        <w:gridCol w:w="1370"/>
        <w:gridCol w:w="1216"/>
        <w:gridCol w:w="1266"/>
        <w:gridCol w:w="2130"/>
        <w:gridCol w:w="1203"/>
      </w:tblGrid>
      <w:tr w:rsidR="009C353B" w14:paraId="642158B7" w14:textId="77777777">
        <w:trPr>
          <w:trHeight w:val="340"/>
          <w:tblHeader/>
        </w:trPr>
        <w:tc>
          <w:tcPr>
            <w:tcW w:w="520" w:type="pct"/>
            <w:shd w:val="clear" w:color="auto" w:fill="auto"/>
            <w:vAlign w:val="center"/>
          </w:tcPr>
          <w:p w14:paraId="721B3FE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监测点</w:t>
            </w:r>
          </w:p>
        </w:tc>
        <w:tc>
          <w:tcPr>
            <w:tcW w:w="673" w:type="pct"/>
            <w:shd w:val="clear" w:color="auto" w:fill="auto"/>
            <w:vAlign w:val="center"/>
          </w:tcPr>
          <w:p w14:paraId="1A6EE80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污染指标</w:t>
            </w:r>
          </w:p>
        </w:tc>
        <w:tc>
          <w:tcPr>
            <w:tcW w:w="768" w:type="pct"/>
            <w:shd w:val="clear" w:color="auto" w:fill="auto"/>
            <w:vAlign w:val="center"/>
          </w:tcPr>
          <w:p w14:paraId="2BC8BC26" w14:textId="77777777" w:rsidR="009C353B" w:rsidRDefault="00000000">
            <w:pPr>
              <w:jc w:val="center"/>
              <w:rPr>
                <w:rFonts w:ascii="Times New Roman" w:eastAsiaTheme="minorEastAsia" w:hAnsi="Times New Roman" w:cstheme="minorBidi"/>
                <w:kern w:val="0"/>
                <w:sz w:val="21"/>
                <w:szCs w:val="21"/>
              </w:rPr>
            </w:pPr>
            <w:r>
              <w:rPr>
                <w:rFonts w:ascii="Times New Roman" w:eastAsiaTheme="minorEastAsia" w:hAnsi="Times New Roman" w:cstheme="minorBidi"/>
                <w:kern w:val="0"/>
                <w:sz w:val="21"/>
                <w:szCs w:val="21"/>
              </w:rPr>
              <w:t>监测时间</w:t>
            </w:r>
          </w:p>
        </w:tc>
        <w:tc>
          <w:tcPr>
            <w:tcW w:w="685" w:type="pct"/>
            <w:shd w:val="clear" w:color="auto" w:fill="auto"/>
            <w:vAlign w:val="center"/>
          </w:tcPr>
          <w:p w14:paraId="4EE6C29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浓度（</w:t>
            </w:r>
            <w:r>
              <w:rPr>
                <w:rFonts w:ascii="Times New Roman" w:eastAsiaTheme="minorEastAsia" w:hAnsi="Times New Roman" w:cstheme="minorBidi"/>
                <w:kern w:val="0"/>
                <w:sz w:val="21"/>
                <w:szCs w:val="21"/>
              </w:rPr>
              <w:t>mg/L</w:t>
            </w:r>
            <w:r>
              <w:rPr>
                <w:rFonts w:ascii="Times New Roman" w:eastAsiaTheme="minorEastAsia" w:hAnsi="Times New Roman" w:cstheme="minorBidi"/>
                <w:kern w:val="0"/>
                <w:sz w:val="21"/>
                <w:szCs w:val="21"/>
              </w:rPr>
              <w:t>）</w:t>
            </w:r>
          </w:p>
        </w:tc>
        <w:tc>
          <w:tcPr>
            <w:tcW w:w="712" w:type="pct"/>
            <w:shd w:val="clear" w:color="auto" w:fill="auto"/>
            <w:vAlign w:val="center"/>
          </w:tcPr>
          <w:p w14:paraId="05C3EAF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标准指数</w:t>
            </w:r>
          </w:p>
        </w:tc>
        <w:tc>
          <w:tcPr>
            <w:tcW w:w="964" w:type="pct"/>
            <w:shd w:val="clear" w:color="auto" w:fill="auto"/>
            <w:vAlign w:val="center"/>
          </w:tcPr>
          <w:p w14:paraId="48197326" w14:textId="77777777" w:rsidR="009C353B" w:rsidRDefault="00000000">
            <w:pPr>
              <w:jc w:val="center"/>
              <w:rPr>
                <w:rFonts w:ascii="Times New Roman" w:eastAsiaTheme="minorEastAsia" w:hAnsi="Times New Roman" w:cstheme="minorBidi"/>
                <w:kern w:val="0"/>
                <w:sz w:val="21"/>
                <w:szCs w:val="21"/>
              </w:rPr>
            </w:pPr>
            <w:r>
              <w:rPr>
                <w:rFonts w:ascii="Times New Roman" w:eastAsiaTheme="minorEastAsia" w:hAnsi="Times New Roman" w:cstheme="minorBidi"/>
                <w:kern w:val="0"/>
                <w:sz w:val="21"/>
                <w:szCs w:val="21"/>
              </w:rPr>
              <w:t>划定水质目标</w:t>
            </w:r>
          </w:p>
        </w:tc>
        <w:tc>
          <w:tcPr>
            <w:tcW w:w="678" w:type="pct"/>
            <w:shd w:val="clear" w:color="auto" w:fill="auto"/>
            <w:vAlign w:val="center"/>
          </w:tcPr>
          <w:p w14:paraId="136350D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kern w:val="0"/>
                <w:sz w:val="21"/>
                <w:szCs w:val="21"/>
              </w:rPr>
              <w:t>标准限值</w:t>
            </w:r>
          </w:p>
        </w:tc>
      </w:tr>
      <w:tr w:rsidR="009C353B" w14:paraId="07EB7BD6" w14:textId="77777777">
        <w:trPr>
          <w:trHeight w:val="340"/>
        </w:trPr>
        <w:tc>
          <w:tcPr>
            <w:tcW w:w="520" w:type="pct"/>
            <w:vMerge w:val="restart"/>
            <w:shd w:val="clear" w:color="auto" w:fill="auto"/>
            <w:vAlign w:val="center"/>
          </w:tcPr>
          <w:p w14:paraId="6E55540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w:t>
            </w:r>
            <w:r>
              <w:rPr>
                <w:rFonts w:ascii="Times New Roman" w:eastAsiaTheme="minorEastAsia" w:hAnsi="Times New Roman" w:cstheme="minorBidi"/>
                <w:sz w:val="21"/>
                <w:szCs w:val="21"/>
              </w:rPr>
              <w:t>张家窑</w:t>
            </w:r>
          </w:p>
        </w:tc>
        <w:tc>
          <w:tcPr>
            <w:tcW w:w="673" w:type="pct"/>
            <w:vMerge w:val="restart"/>
            <w:shd w:val="clear" w:color="auto" w:fill="auto"/>
            <w:vAlign w:val="center"/>
          </w:tcPr>
          <w:p w14:paraId="5A863BF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总溶解固体</w:t>
            </w:r>
          </w:p>
        </w:tc>
        <w:tc>
          <w:tcPr>
            <w:tcW w:w="768" w:type="pct"/>
            <w:shd w:val="clear" w:color="auto" w:fill="auto"/>
            <w:vAlign w:val="center"/>
          </w:tcPr>
          <w:p w14:paraId="6AB6F98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08905E0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1036</w:t>
            </w:r>
          </w:p>
        </w:tc>
        <w:tc>
          <w:tcPr>
            <w:tcW w:w="712" w:type="pct"/>
            <w:shd w:val="clear" w:color="auto" w:fill="auto"/>
            <w:vAlign w:val="center"/>
          </w:tcPr>
          <w:p w14:paraId="257326A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1.04</w:t>
            </w:r>
          </w:p>
        </w:tc>
        <w:tc>
          <w:tcPr>
            <w:tcW w:w="964" w:type="pct"/>
            <w:vMerge w:val="restart"/>
            <w:shd w:val="clear" w:color="auto" w:fill="auto"/>
            <w:vAlign w:val="center"/>
          </w:tcPr>
          <w:p w14:paraId="4D9EA9C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《地下水质量标准》</w:t>
            </w:r>
            <w:r>
              <w:rPr>
                <w:rFonts w:ascii="Times New Roman" w:eastAsiaTheme="minorEastAsia" w:hAnsi="Times New Roman" w:cstheme="minorBidi"/>
                <w:sz w:val="21"/>
                <w:szCs w:val="21"/>
              </w:rPr>
              <w:t>(GB/T14848-93)Ⅲ</w:t>
            </w:r>
            <w:r>
              <w:rPr>
                <w:rFonts w:ascii="Times New Roman" w:eastAsiaTheme="minorEastAsia" w:hAnsi="Times New Roman" w:cstheme="minorBidi"/>
                <w:sz w:val="21"/>
                <w:szCs w:val="21"/>
              </w:rPr>
              <w:t>类标准</w:t>
            </w:r>
          </w:p>
        </w:tc>
        <w:tc>
          <w:tcPr>
            <w:tcW w:w="678" w:type="pct"/>
            <w:vMerge w:val="restart"/>
            <w:shd w:val="clear" w:color="auto" w:fill="auto"/>
            <w:vAlign w:val="center"/>
          </w:tcPr>
          <w:p w14:paraId="5AE46B0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450</w:t>
            </w:r>
          </w:p>
        </w:tc>
      </w:tr>
      <w:tr w:rsidR="009C353B" w14:paraId="3E8C3424" w14:textId="77777777">
        <w:trPr>
          <w:trHeight w:val="340"/>
        </w:trPr>
        <w:tc>
          <w:tcPr>
            <w:tcW w:w="520" w:type="pct"/>
            <w:vMerge/>
            <w:shd w:val="clear" w:color="auto" w:fill="auto"/>
            <w:vAlign w:val="center"/>
          </w:tcPr>
          <w:p w14:paraId="6FFA775D"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76C21495"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0E9C844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258A694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1073</w:t>
            </w:r>
          </w:p>
        </w:tc>
        <w:tc>
          <w:tcPr>
            <w:tcW w:w="712" w:type="pct"/>
            <w:shd w:val="clear" w:color="auto" w:fill="auto"/>
            <w:vAlign w:val="center"/>
          </w:tcPr>
          <w:p w14:paraId="49F5EDC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1.07</w:t>
            </w:r>
          </w:p>
        </w:tc>
        <w:tc>
          <w:tcPr>
            <w:tcW w:w="964" w:type="pct"/>
            <w:vMerge/>
            <w:shd w:val="clear" w:color="auto" w:fill="auto"/>
            <w:vAlign w:val="center"/>
          </w:tcPr>
          <w:p w14:paraId="7AB010CE"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4F81B867" w14:textId="77777777" w:rsidR="009C353B" w:rsidRDefault="009C353B">
            <w:pPr>
              <w:jc w:val="center"/>
              <w:rPr>
                <w:rFonts w:ascii="Times New Roman" w:eastAsiaTheme="minorEastAsia" w:hAnsi="Times New Roman" w:cstheme="minorBidi"/>
                <w:sz w:val="21"/>
                <w:szCs w:val="21"/>
              </w:rPr>
            </w:pPr>
          </w:p>
        </w:tc>
      </w:tr>
      <w:tr w:rsidR="009C353B" w14:paraId="099F93FD" w14:textId="77777777">
        <w:trPr>
          <w:trHeight w:val="340"/>
        </w:trPr>
        <w:tc>
          <w:tcPr>
            <w:tcW w:w="520" w:type="pct"/>
            <w:vMerge/>
            <w:shd w:val="clear" w:color="auto" w:fill="auto"/>
            <w:vAlign w:val="center"/>
          </w:tcPr>
          <w:p w14:paraId="23B9120F"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0DF6A02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氟化物</w:t>
            </w:r>
          </w:p>
        </w:tc>
        <w:tc>
          <w:tcPr>
            <w:tcW w:w="768" w:type="pct"/>
            <w:shd w:val="clear" w:color="auto" w:fill="auto"/>
            <w:vAlign w:val="center"/>
          </w:tcPr>
          <w:p w14:paraId="496A64F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11B1049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1.62</w:t>
            </w:r>
          </w:p>
        </w:tc>
        <w:tc>
          <w:tcPr>
            <w:tcW w:w="712" w:type="pct"/>
            <w:shd w:val="clear" w:color="auto" w:fill="auto"/>
            <w:vAlign w:val="center"/>
          </w:tcPr>
          <w:p w14:paraId="4F09138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1.62</w:t>
            </w:r>
          </w:p>
        </w:tc>
        <w:tc>
          <w:tcPr>
            <w:tcW w:w="964" w:type="pct"/>
            <w:vMerge/>
            <w:shd w:val="clear" w:color="auto" w:fill="auto"/>
            <w:vAlign w:val="center"/>
          </w:tcPr>
          <w:p w14:paraId="2A3F0E9E"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50207E7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w:t>
            </w:r>
          </w:p>
        </w:tc>
      </w:tr>
      <w:tr w:rsidR="009C353B" w14:paraId="5DE50C11" w14:textId="77777777">
        <w:trPr>
          <w:trHeight w:val="340"/>
        </w:trPr>
        <w:tc>
          <w:tcPr>
            <w:tcW w:w="520" w:type="pct"/>
            <w:vMerge/>
            <w:shd w:val="clear" w:color="auto" w:fill="auto"/>
            <w:vAlign w:val="center"/>
          </w:tcPr>
          <w:p w14:paraId="49FD09B5"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0B6A3275"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041E73D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1F4EE7E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1.74</w:t>
            </w:r>
          </w:p>
        </w:tc>
        <w:tc>
          <w:tcPr>
            <w:tcW w:w="712" w:type="pct"/>
            <w:shd w:val="clear" w:color="auto" w:fill="auto"/>
            <w:vAlign w:val="center"/>
          </w:tcPr>
          <w:p w14:paraId="312473B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1.74</w:t>
            </w:r>
          </w:p>
        </w:tc>
        <w:tc>
          <w:tcPr>
            <w:tcW w:w="964" w:type="pct"/>
            <w:vMerge/>
            <w:shd w:val="clear" w:color="auto" w:fill="auto"/>
            <w:vAlign w:val="center"/>
          </w:tcPr>
          <w:p w14:paraId="5E784703"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474930E1" w14:textId="77777777" w:rsidR="009C353B" w:rsidRDefault="009C353B">
            <w:pPr>
              <w:jc w:val="center"/>
              <w:rPr>
                <w:rFonts w:ascii="Times New Roman" w:eastAsiaTheme="minorEastAsia" w:hAnsi="Times New Roman" w:cstheme="minorBidi"/>
                <w:sz w:val="21"/>
                <w:szCs w:val="21"/>
              </w:rPr>
            </w:pPr>
          </w:p>
        </w:tc>
      </w:tr>
      <w:tr w:rsidR="009C353B" w14:paraId="02C63075" w14:textId="77777777">
        <w:trPr>
          <w:trHeight w:val="340"/>
        </w:trPr>
        <w:tc>
          <w:tcPr>
            <w:tcW w:w="520" w:type="pct"/>
            <w:vMerge/>
            <w:shd w:val="clear" w:color="auto" w:fill="auto"/>
            <w:vAlign w:val="center"/>
          </w:tcPr>
          <w:p w14:paraId="370CCA55"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00BAF6C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总大肠杆菌</w:t>
            </w:r>
          </w:p>
        </w:tc>
        <w:tc>
          <w:tcPr>
            <w:tcW w:w="768" w:type="pct"/>
            <w:shd w:val="clear" w:color="auto" w:fill="auto"/>
            <w:vAlign w:val="center"/>
          </w:tcPr>
          <w:p w14:paraId="1F99BFE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6862EC2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161</w:t>
            </w:r>
          </w:p>
        </w:tc>
        <w:tc>
          <w:tcPr>
            <w:tcW w:w="712" w:type="pct"/>
            <w:shd w:val="clear" w:color="auto" w:fill="auto"/>
            <w:vAlign w:val="center"/>
          </w:tcPr>
          <w:p w14:paraId="360BBD6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53.67</w:t>
            </w:r>
          </w:p>
        </w:tc>
        <w:tc>
          <w:tcPr>
            <w:tcW w:w="964" w:type="pct"/>
            <w:vMerge/>
            <w:shd w:val="clear" w:color="auto" w:fill="auto"/>
            <w:vAlign w:val="center"/>
          </w:tcPr>
          <w:p w14:paraId="7B6EC16E"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62FF9A1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3.0</w:t>
            </w:r>
          </w:p>
        </w:tc>
      </w:tr>
      <w:tr w:rsidR="009C353B" w14:paraId="523516BA" w14:textId="77777777">
        <w:trPr>
          <w:trHeight w:val="340"/>
        </w:trPr>
        <w:tc>
          <w:tcPr>
            <w:tcW w:w="520" w:type="pct"/>
            <w:vMerge/>
            <w:shd w:val="clear" w:color="auto" w:fill="auto"/>
            <w:vAlign w:val="center"/>
          </w:tcPr>
          <w:p w14:paraId="083DA76A"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404C35BF"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46B6BF9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6BE1AF6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&gt;230</w:t>
            </w:r>
          </w:p>
        </w:tc>
        <w:tc>
          <w:tcPr>
            <w:tcW w:w="712" w:type="pct"/>
            <w:shd w:val="clear" w:color="auto" w:fill="auto"/>
            <w:vAlign w:val="center"/>
          </w:tcPr>
          <w:p w14:paraId="4C137D5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&gt;76.67</w:t>
            </w:r>
          </w:p>
        </w:tc>
        <w:tc>
          <w:tcPr>
            <w:tcW w:w="964" w:type="pct"/>
            <w:vMerge/>
            <w:shd w:val="clear" w:color="auto" w:fill="auto"/>
            <w:vAlign w:val="center"/>
          </w:tcPr>
          <w:p w14:paraId="22BCCBAD"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3FDE677E" w14:textId="77777777" w:rsidR="009C353B" w:rsidRDefault="009C353B">
            <w:pPr>
              <w:jc w:val="center"/>
              <w:rPr>
                <w:rFonts w:ascii="Times New Roman" w:eastAsiaTheme="minorEastAsia" w:hAnsi="Times New Roman" w:cstheme="minorBidi"/>
                <w:sz w:val="21"/>
                <w:szCs w:val="21"/>
              </w:rPr>
            </w:pPr>
          </w:p>
        </w:tc>
      </w:tr>
      <w:tr w:rsidR="009C353B" w14:paraId="2E45F21E" w14:textId="77777777">
        <w:trPr>
          <w:trHeight w:val="340"/>
        </w:trPr>
        <w:tc>
          <w:tcPr>
            <w:tcW w:w="520" w:type="pct"/>
            <w:vMerge/>
            <w:shd w:val="clear" w:color="auto" w:fill="auto"/>
            <w:vAlign w:val="center"/>
          </w:tcPr>
          <w:p w14:paraId="59B5C21F"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2CE5165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总溶解固体</w:t>
            </w:r>
          </w:p>
        </w:tc>
        <w:tc>
          <w:tcPr>
            <w:tcW w:w="768" w:type="pct"/>
            <w:shd w:val="clear" w:color="auto" w:fill="auto"/>
            <w:vAlign w:val="center"/>
          </w:tcPr>
          <w:p w14:paraId="6B9639A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7D2FA5A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1196</w:t>
            </w:r>
          </w:p>
        </w:tc>
        <w:tc>
          <w:tcPr>
            <w:tcW w:w="712" w:type="pct"/>
            <w:shd w:val="clear" w:color="auto" w:fill="auto"/>
            <w:vAlign w:val="center"/>
          </w:tcPr>
          <w:p w14:paraId="27F2984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1.196</w:t>
            </w:r>
          </w:p>
        </w:tc>
        <w:tc>
          <w:tcPr>
            <w:tcW w:w="964" w:type="pct"/>
            <w:vMerge/>
            <w:shd w:val="clear" w:color="auto" w:fill="auto"/>
            <w:vAlign w:val="center"/>
          </w:tcPr>
          <w:p w14:paraId="20C81CC8"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3804E15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450</w:t>
            </w:r>
          </w:p>
        </w:tc>
      </w:tr>
      <w:tr w:rsidR="009C353B" w14:paraId="18614BC1" w14:textId="77777777">
        <w:trPr>
          <w:trHeight w:val="340"/>
        </w:trPr>
        <w:tc>
          <w:tcPr>
            <w:tcW w:w="520" w:type="pct"/>
            <w:vMerge/>
            <w:shd w:val="clear" w:color="auto" w:fill="auto"/>
            <w:vAlign w:val="center"/>
          </w:tcPr>
          <w:p w14:paraId="4C663A1F"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08D08D35"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43C5EAD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1ACF29F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1173</w:t>
            </w:r>
          </w:p>
        </w:tc>
        <w:tc>
          <w:tcPr>
            <w:tcW w:w="712" w:type="pct"/>
            <w:shd w:val="clear" w:color="auto" w:fill="auto"/>
            <w:vAlign w:val="center"/>
          </w:tcPr>
          <w:p w14:paraId="188A169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1.173</w:t>
            </w:r>
          </w:p>
        </w:tc>
        <w:tc>
          <w:tcPr>
            <w:tcW w:w="964" w:type="pct"/>
            <w:vMerge/>
            <w:shd w:val="clear" w:color="auto" w:fill="auto"/>
            <w:vAlign w:val="center"/>
          </w:tcPr>
          <w:p w14:paraId="04907BBE"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35E7CAF1" w14:textId="77777777" w:rsidR="009C353B" w:rsidRDefault="009C353B">
            <w:pPr>
              <w:jc w:val="center"/>
              <w:rPr>
                <w:rFonts w:ascii="Times New Roman" w:eastAsiaTheme="minorEastAsia" w:hAnsi="Times New Roman" w:cstheme="minorBidi"/>
                <w:sz w:val="21"/>
                <w:szCs w:val="21"/>
              </w:rPr>
            </w:pPr>
          </w:p>
        </w:tc>
      </w:tr>
      <w:tr w:rsidR="009C353B" w14:paraId="4468FD1C" w14:textId="77777777">
        <w:trPr>
          <w:trHeight w:val="340"/>
        </w:trPr>
        <w:tc>
          <w:tcPr>
            <w:tcW w:w="520" w:type="pct"/>
            <w:vMerge/>
            <w:shd w:val="clear" w:color="auto" w:fill="auto"/>
            <w:vAlign w:val="center"/>
          </w:tcPr>
          <w:p w14:paraId="67A3FA89"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18CF484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氟化物</w:t>
            </w:r>
          </w:p>
        </w:tc>
        <w:tc>
          <w:tcPr>
            <w:tcW w:w="768" w:type="pct"/>
            <w:shd w:val="clear" w:color="auto" w:fill="auto"/>
            <w:vAlign w:val="center"/>
          </w:tcPr>
          <w:p w14:paraId="631515A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3AEC682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1.69</w:t>
            </w:r>
          </w:p>
        </w:tc>
        <w:tc>
          <w:tcPr>
            <w:tcW w:w="712" w:type="pct"/>
            <w:shd w:val="clear" w:color="auto" w:fill="auto"/>
            <w:vAlign w:val="center"/>
          </w:tcPr>
          <w:p w14:paraId="1A65959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1.69</w:t>
            </w:r>
          </w:p>
        </w:tc>
        <w:tc>
          <w:tcPr>
            <w:tcW w:w="964" w:type="pct"/>
            <w:vMerge/>
            <w:shd w:val="clear" w:color="auto" w:fill="auto"/>
            <w:vAlign w:val="center"/>
          </w:tcPr>
          <w:p w14:paraId="462966E6"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3D5D6E9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w:t>
            </w:r>
          </w:p>
        </w:tc>
      </w:tr>
      <w:tr w:rsidR="009C353B" w14:paraId="33FDB43D" w14:textId="77777777">
        <w:trPr>
          <w:trHeight w:val="340"/>
        </w:trPr>
        <w:tc>
          <w:tcPr>
            <w:tcW w:w="520" w:type="pct"/>
            <w:vMerge/>
            <w:shd w:val="clear" w:color="auto" w:fill="auto"/>
            <w:vAlign w:val="center"/>
          </w:tcPr>
          <w:p w14:paraId="0AC2FBFC"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754999BB"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239B9B1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23987FA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1.43</w:t>
            </w:r>
          </w:p>
        </w:tc>
        <w:tc>
          <w:tcPr>
            <w:tcW w:w="712" w:type="pct"/>
            <w:shd w:val="clear" w:color="auto" w:fill="auto"/>
            <w:vAlign w:val="center"/>
          </w:tcPr>
          <w:p w14:paraId="2C66883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1.43</w:t>
            </w:r>
          </w:p>
        </w:tc>
        <w:tc>
          <w:tcPr>
            <w:tcW w:w="964" w:type="pct"/>
            <w:vMerge/>
            <w:shd w:val="clear" w:color="auto" w:fill="auto"/>
            <w:vAlign w:val="center"/>
          </w:tcPr>
          <w:p w14:paraId="74841EDC"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0BA0D450" w14:textId="77777777" w:rsidR="009C353B" w:rsidRDefault="009C353B">
            <w:pPr>
              <w:jc w:val="center"/>
              <w:rPr>
                <w:rFonts w:ascii="Times New Roman" w:eastAsiaTheme="minorEastAsia" w:hAnsi="Times New Roman" w:cstheme="minorBidi"/>
                <w:sz w:val="21"/>
                <w:szCs w:val="21"/>
              </w:rPr>
            </w:pPr>
          </w:p>
        </w:tc>
      </w:tr>
      <w:tr w:rsidR="009C353B" w14:paraId="497707E4" w14:textId="77777777">
        <w:trPr>
          <w:trHeight w:val="340"/>
        </w:trPr>
        <w:tc>
          <w:tcPr>
            <w:tcW w:w="520" w:type="pct"/>
            <w:vMerge/>
            <w:shd w:val="clear" w:color="auto" w:fill="auto"/>
            <w:vAlign w:val="center"/>
          </w:tcPr>
          <w:p w14:paraId="26F86453"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222D87A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总大肠杆菌</w:t>
            </w:r>
          </w:p>
        </w:tc>
        <w:tc>
          <w:tcPr>
            <w:tcW w:w="768" w:type="pct"/>
            <w:shd w:val="clear" w:color="auto" w:fill="auto"/>
            <w:vAlign w:val="center"/>
          </w:tcPr>
          <w:p w14:paraId="47BA517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51D4DBE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76</w:t>
            </w:r>
          </w:p>
        </w:tc>
        <w:tc>
          <w:tcPr>
            <w:tcW w:w="712" w:type="pct"/>
            <w:shd w:val="clear" w:color="auto" w:fill="auto"/>
            <w:vAlign w:val="center"/>
          </w:tcPr>
          <w:p w14:paraId="6E04652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25.3</w:t>
            </w:r>
          </w:p>
        </w:tc>
        <w:tc>
          <w:tcPr>
            <w:tcW w:w="964" w:type="pct"/>
            <w:vMerge/>
            <w:shd w:val="clear" w:color="auto" w:fill="auto"/>
            <w:vAlign w:val="center"/>
          </w:tcPr>
          <w:p w14:paraId="39A8C91B"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1B37DF1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3.0</w:t>
            </w:r>
          </w:p>
        </w:tc>
      </w:tr>
      <w:tr w:rsidR="009C353B" w14:paraId="31F3FC55" w14:textId="77777777">
        <w:trPr>
          <w:trHeight w:val="340"/>
        </w:trPr>
        <w:tc>
          <w:tcPr>
            <w:tcW w:w="520" w:type="pct"/>
            <w:vMerge/>
            <w:shd w:val="clear" w:color="auto" w:fill="auto"/>
            <w:vAlign w:val="center"/>
          </w:tcPr>
          <w:p w14:paraId="7676A40B"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4080419E"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13621B8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35C798D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91</w:t>
            </w:r>
          </w:p>
        </w:tc>
        <w:tc>
          <w:tcPr>
            <w:tcW w:w="712" w:type="pct"/>
            <w:shd w:val="clear" w:color="auto" w:fill="auto"/>
            <w:vAlign w:val="center"/>
          </w:tcPr>
          <w:p w14:paraId="453F0E7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30</w:t>
            </w:r>
          </w:p>
        </w:tc>
        <w:tc>
          <w:tcPr>
            <w:tcW w:w="964" w:type="pct"/>
            <w:vMerge/>
            <w:shd w:val="clear" w:color="auto" w:fill="auto"/>
            <w:vAlign w:val="center"/>
          </w:tcPr>
          <w:p w14:paraId="1F1A4146"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4D46D8B2" w14:textId="77777777" w:rsidR="009C353B" w:rsidRDefault="009C353B">
            <w:pPr>
              <w:jc w:val="center"/>
              <w:rPr>
                <w:rFonts w:ascii="Times New Roman" w:eastAsiaTheme="minorEastAsia" w:hAnsi="Times New Roman" w:cstheme="minorBidi"/>
                <w:sz w:val="21"/>
                <w:szCs w:val="21"/>
              </w:rPr>
            </w:pPr>
          </w:p>
        </w:tc>
      </w:tr>
      <w:tr w:rsidR="009C353B" w14:paraId="7CD40D4E" w14:textId="77777777">
        <w:trPr>
          <w:trHeight w:val="340"/>
        </w:trPr>
        <w:tc>
          <w:tcPr>
            <w:tcW w:w="520" w:type="pct"/>
            <w:vMerge w:val="restart"/>
            <w:shd w:val="clear" w:color="auto" w:fill="auto"/>
            <w:vAlign w:val="center"/>
          </w:tcPr>
          <w:p w14:paraId="7824104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w:t>
            </w:r>
            <w:r>
              <w:rPr>
                <w:rFonts w:ascii="Times New Roman" w:eastAsiaTheme="minorEastAsia" w:hAnsi="Times New Roman" w:cstheme="minorBidi"/>
                <w:sz w:val="21"/>
                <w:szCs w:val="21"/>
              </w:rPr>
              <w:t>双庙</w:t>
            </w:r>
          </w:p>
        </w:tc>
        <w:tc>
          <w:tcPr>
            <w:tcW w:w="673" w:type="pct"/>
            <w:vMerge w:val="restart"/>
            <w:shd w:val="clear" w:color="auto" w:fill="auto"/>
            <w:vAlign w:val="center"/>
          </w:tcPr>
          <w:p w14:paraId="1A919E5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总硬度</w:t>
            </w:r>
          </w:p>
        </w:tc>
        <w:tc>
          <w:tcPr>
            <w:tcW w:w="768" w:type="pct"/>
            <w:shd w:val="clear" w:color="auto" w:fill="auto"/>
            <w:vAlign w:val="center"/>
          </w:tcPr>
          <w:p w14:paraId="5F73E63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7C54974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699.08</w:t>
            </w:r>
          </w:p>
        </w:tc>
        <w:tc>
          <w:tcPr>
            <w:tcW w:w="712" w:type="pct"/>
            <w:shd w:val="clear" w:color="auto" w:fill="auto"/>
            <w:vAlign w:val="center"/>
          </w:tcPr>
          <w:p w14:paraId="543DBA2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1.55</w:t>
            </w:r>
          </w:p>
        </w:tc>
        <w:tc>
          <w:tcPr>
            <w:tcW w:w="964" w:type="pct"/>
            <w:vMerge/>
            <w:shd w:val="clear" w:color="auto" w:fill="auto"/>
            <w:vAlign w:val="center"/>
          </w:tcPr>
          <w:p w14:paraId="5F1AEE70"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273A261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450</w:t>
            </w:r>
          </w:p>
        </w:tc>
      </w:tr>
      <w:tr w:rsidR="009C353B" w14:paraId="6F10D75A" w14:textId="77777777">
        <w:trPr>
          <w:trHeight w:val="340"/>
        </w:trPr>
        <w:tc>
          <w:tcPr>
            <w:tcW w:w="520" w:type="pct"/>
            <w:vMerge/>
            <w:shd w:val="clear" w:color="auto" w:fill="auto"/>
            <w:vAlign w:val="center"/>
          </w:tcPr>
          <w:p w14:paraId="6E0F5814"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5DB2E316"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32BEAB8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57C6CFB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701.96</w:t>
            </w:r>
          </w:p>
        </w:tc>
        <w:tc>
          <w:tcPr>
            <w:tcW w:w="712" w:type="pct"/>
            <w:shd w:val="clear" w:color="auto" w:fill="auto"/>
            <w:vAlign w:val="center"/>
          </w:tcPr>
          <w:p w14:paraId="011B03B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1.56</w:t>
            </w:r>
          </w:p>
        </w:tc>
        <w:tc>
          <w:tcPr>
            <w:tcW w:w="964" w:type="pct"/>
            <w:vMerge/>
            <w:shd w:val="clear" w:color="auto" w:fill="auto"/>
            <w:vAlign w:val="center"/>
          </w:tcPr>
          <w:p w14:paraId="04691B82"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4F50EFEB" w14:textId="77777777" w:rsidR="009C353B" w:rsidRDefault="009C353B">
            <w:pPr>
              <w:jc w:val="center"/>
              <w:rPr>
                <w:rFonts w:ascii="Times New Roman" w:eastAsiaTheme="minorEastAsia" w:hAnsi="Times New Roman" w:cstheme="minorBidi"/>
                <w:sz w:val="21"/>
                <w:szCs w:val="21"/>
              </w:rPr>
            </w:pPr>
          </w:p>
        </w:tc>
      </w:tr>
      <w:tr w:rsidR="009C353B" w14:paraId="3ECFBA09" w14:textId="77777777">
        <w:trPr>
          <w:trHeight w:val="340"/>
        </w:trPr>
        <w:tc>
          <w:tcPr>
            <w:tcW w:w="520" w:type="pct"/>
            <w:vMerge/>
            <w:shd w:val="clear" w:color="auto" w:fill="auto"/>
            <w:vAlign w:val="center"/>
          </w:tcPr>
          <w:p w14:paraId="7422957F"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6DCE287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总溶解固体</w:t>
            </w:r>
          </w:p>
        </w:tc>
        <w:tc>
          <w:tcPr>
            <w:tcW w:w="768" w:type="pct"/>
            <w:shd w:val="clear" w:color="auto" w:fill="auto"/>
            <w:vAlign w:val="center"/>
          </w:tcPr>
          <w:p w14:paraId="18F241E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20D7267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2410</w:t>
            </w:r>
          </w:p>
        </w:tc>
        <w:tc>
          <w:tcPr>
            <w:tcW w:w="712" w:type="pct"/>
            <w:shd w:val="clear" w:color="auto" w:fill="auto"/>
            <w:vAlign w:val="center"/>
          </w:tcPr>
          <w:p w14:paraId="78EA89A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2.41</w:t>
            </w:r>
          </w:p>
        </w:tc>
        <w:tc>
          <w:tcPr>
            <w:tcW w:w="964" w:type="pct"/>
            <w:vMerge/>
            <w:shd w:val="clear" w:color="auto" w:fill="auto"/>
            <w:vAlign w:val="center"/>
          </w:tcPr>
          <w:p w14:paraId="58AEB164"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40D8235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1000</w:t>
            </w:r>
          </w:p>
        </w:tc>
      </w:tr>
      <w:tr w:rsidR="009C353B" w14:paraId="746CF149" w14:textId="77777777">
        <w:trPr>
          <w:trHeight w:val="340"/>
        </w:trPr>
        <w:tc>
          <w:tcPr>
            <w:tcW w:w="520" w:type="pct"/>
            <w:vMerge/>
            <w:shd w:val="clear" w:color="auto" w:fill="auto"/>
            <w:vAlign w:val="center"/>
          </w:tcPr>
          <w:p w14:paraId="4220BC6B"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7CE923D8"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1711008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024E9DB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2426</w:t>
            </w:r>
          </w:p>
        </w:tc>
        <w:tc>
          <w:tcPr>
            <w:tcW w:w="712" w:type="pct"/>
            <w:shd w:val="clear" w:color="auto" w:fill="auto"/>
            <w:vAlign w:val="center"/>
          </w:tcPr>
          <w:p w14:paraId="1D04C7A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2.43</w:t>
            </w:r>
          </w:p>
        </w:tc>
        <w:tc>
          <w:tcPr>
            <w:tcW w:w="964" w:type="pct"/>
            <w:vMerge/>
            <w:shd w:val="clear" w:color="auto" w:fill="auto"/>
            <w:vAlign w:val="center"/>
          </w:tcPr>
          <w:p w14:paraId="5B6B18AC"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369E5D45" w14:textId="77777777" w:rsidR="009C353B" w:rsidRDefault="009C353B">
            <w:pPr>
              <w:jc w:val="center"/>
              <w:rPr>
                <w:rFonts w:ascii="Times New Roman" w:eastAsiaTheme="minorEastAsia" w:hAnsi="Times New Roman" w:cstheme="minorBidi"/>
                <w:sz w:val="21"/>
                <w:szCs w:val="21"/>
              </w:rPr>
            </w:pPr>
          </w:p>
        </w:tc>
      </w:tr>
      <w:tr w:rsidR="009C353B" w14:paraId="1C74149C" w14:textId="77777777">
        <w:trPr>
          <w:trHeight w:val="340"/>
        </w:trPr>
        <w:tc>
          <w:tcPr>
            <w:tcW w:w="520" w:type="pct"/>
            <w:vMerge/>
            <w:shd w:val="clear" w:color="auto" w:fill="auto"/>
            <w:vAlign w:val="center"/>
          </w:tcPr>
          <w:p w14:paraId="127179D4"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265B7AA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高锰酸钾指数</w:t>
            </w:r>
          </w:p>
        </w:tc>
        <w:tc>
          <w:tcPr>
            <w:tcW w:w="768" w:type="pct"/>
            <w:shd w:val="clear" w:color="auto" w:fill="auto"/>
            <w:vAlign w:val="center"/>
          </w:tcPr>
          <w:p w14:paraId="1E7E35B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6ADE578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3.86</w:t>
            </w:r>
          </w:p>
        </w:tc>
        <w:tc>
          <w:tcPr>
            <w:tcW w:w="712" w:type="pct"/>
            <w:shd w:val="clear" w:color="auto" w:fill="auto"/>
            <w:vAlign w:val="center"/>
          </w:tcPr>
          <w:p w14:paraId="6ED1F2B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1.29</w:t>
            </w:r>
          </w:p>
        </w:tc>
        <w:tc>
          <w:tcPr>
            <w:tcW w:w="964" w:type="pct"/>
            <w:vMerge/>
            <w:shd w:val="clear" w:color="auto" w:fill="auto"/>
            <w:vAlign w:val="center"/>
          </w:tcPr>
          <w:p w14:paraId="075A7583"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345ADA4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3.0</w:t>
            </w:r>
          </w:p>
        </w:tc>
      </w:tr>
      <w:tr w:rsidR="009C353B" w14:paraId="0E22AD9A" w14:textId="77777777">
        <w:trPr>
          <w:trHeight w:val="340"/>
        </w:trPr>
        <w:tc>
          <w:tcPr>
            <w:tcW w:w="520" w:type="pct"/>
            <w:vMerge/>
            <w:shd w:val="clear" w:color="auto" w:fill="auto"/>
            <w:vAlign w:val="center"/>
          </w:tcPr>
          <w:p w14:paraId="2C47571A"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47E53D49"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406D063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3195418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4.22</w:t>
            </w:r>
          </w:p>
        </w:tc>
        <w:tc>
          <w:tcPr>
            <w:tcW w:w="712" w:type="pct"/>
            <w:shd w:val="clear" w:color="auto" w:fill="auto"/>
            <w:vAlign w:val="center"/>
          </w:tcPr>
          <w:p w14:paraId="45FEC88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1.41</w:t>
            </w:r>
          </w:p>
        </w:tc>
        <w:tc>
          <w:tcPr>
            <w:tcW w:w="964" w:type="pct"/>
            <w:vMerge/>
            <w:shd w:val="clear" w:color="auto" w:fill="auto"/>
            <w:vAlign w:val="center"/>
          </w:tcPr>
          <w:p w14:paraId="5A60CF7E"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4F0501CB" w14:textId="77777777" w:rsidR="009C353B" w:rsidRDefault="009C353B">
            <w:pPr>
              <w:jc w:val="center"/>
              <w:rPr>
                <w:rFonts w:ascii="Times New Roman" w:eastAsiaTheme="minorEastAsia" w:hAnsi="Times New Roman" w:cstheme="minorBidi"/>
                <w:sz w:val="21"/>
                <w:szCs w:val="21"/>
              </w:rPr>
            </w:pPr>
          </w:p>
        </w:tc>
      </w:tr>
      <w:tr w:rsidR="009C353B" w14:paraId="387F890B" w14:textId="77777777">
        <w:trPr>
          <w:trHeight w:val="340"/>
        </w:trPr>
        <w:tc>
          <w:tcPr>
            <w:tcW w:w="520" w:type="pct"/>
            <w:vMerge/>
            <w:shd w:val="clear" w:color="auto" w:fill="auto"/>
            <w:vAlign w:val="center"/>
          </w:tcPr>
          <w:p w14:paraId="636AB327"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0F67C09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氯化物</w:t>
            </w:r>
          </w:p>
        </w:tc>
        <w:tc>
          <w:tcPr>
            <w:tcW w:w="768" w:type="pct"/>
            <w:shd w:val="clear" w:color="auto" w:fill="auto"/>
            <w:vAlign w:val="center"/>
          </w:tcPr>
          <w:p w14:paraId="1A53A65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1621106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550.75</w:t>
            </w:r>
          </w:p>
        </w:tc>
        <w:tc>
          <w:tcPr>
            <w:tcW w:w="712" w:type="pct"/>
            <w:shd w:val="clear" w:color="auto" w:fill="auto"/>
            <w:vAlign w:val="center"/>
          </w:tcPr>
          <w:p w14:paraId="0D7F0D1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2.2</w:t>
            </w:r>
          </w:p>
        </w:tc>
        <w:tc>
          <w:tcPr>
            <w:tcW w:w="964" w:type="pct"/>
            <w:vMerge/>
            <w:shd w:val="clear" w:color="auto" w:fill="auto"/>
            <w:vAlign w:val="center"/>
          </w:tcPr>
          <w:p w14:paraId="5E271F99"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1DF4196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250</w:t>
            </w:r>
          </w:p>
        </w:tc>
      </w:tr>
      <w:tr w:rsidR="009C353B" w14:paraId="07D34A7F" w14:textId="77777777">
        <w:trPr>
          <w:trHeight w:val="340"/>
        </w:trPr>
        <w:tc>
          <w:tcPr>
            <w:tcW w:w="520" w:type="pct"/>
            <w:vMerge/>
            <w:shd w:val="clear" w:color="auto" w:fill="auto"/>
            <w:vAlign w:val="center"/>
          </w:tcPr>
          <w:p w14:paraId="0FB931CE"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4EB87843"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15EA86A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613D304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564.99</w:t>
            </w:r>
          </w:p>
        </w:tc>
        <w:tc>
          <w:tcPr>
            <w:tcW w:w="712" w:type="pct"/>
            <w:shd w:val="clear" w:color="auto" w:fill="auto"/>
            <w:vAlign w:val="center"/>
          </w:tcPr>
          <w:p w14:paraId="0371EBB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2.26</w:t>
            </w:r>
          </w:p>
        </w:tc>
        <w:tc>
          <w:tcPr>
            <w:tcW w:w="964" w:type="pct"/>
            <w:vMerge/>
            <w:shd w:val="clear" w:color="auto" w:fill="auto"/>
            <w:vAlign w:val="center"/>
          </w:tcPr>
          <w:p w14:paraId="446B74E3"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696FF9E9" w14:textId="77777777" w:rsidR="009C353B" w:rsidRDefault="009C353B">
            <w:pPr>
              <w:jc w:val="center"/>
              <w:rPr>
                <w:rFonts w:ascii="Times New Roman" w:eastAsiaTheme="minorEastAsia" w:hAnsi="Times New Roman" w:cstheme="minorBidi"/>
                <w:sz w:val="21"/>
                <w:szCs w:val="21"/>
              </w:rPr>
            </w:pPr>
          </w:p>
        </w:tc>
      </w:tr>
      <w:tr w:rsidR="009C353B" w14:paraId="1B279948" w14:textId="77777777">
        <w:trPr>
          <w:trHeight w:val="340"/>
        </w:trPr>
        <w:tc>
          <w:tcPr>
            <w:tcW w:w="520" w:type="pct"/>
            <w:vMerge/>
            <w:shd w:val="clear" w:color="auto" w:fill="auto"/>
            <w:vAlign w:val="center"/>
          </w:tcPr>
          <w:p w14:paraId="4FDD9E5C"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0411206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硫酸盐</w:t>
            </w:r>
          </w:p>
        </w:tc>
        <w:tc>
          <w:tcPr>
            <w:tcW w:w="768" w:type="pct"/>
            <w:shd w:val="clear" w:color="auto" w:fill="auto"/>
            <w:vAlign w:val="center"/>
          </w:tcPr>
          <w:p w14:paraId="2015590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6E0619B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645.9</w:t>
            </w:r>
          </w:p>
        </w:tc>
        <w:tc>
          <w:tcPr>
            <w:tcW w:w="712" w:type="pct"/>
            <w:shd w:val="clear" w:color="auto" w:fill="auto"/>
            <w:vAlign w:val="center"/>
          </w:tcPr>
          <w:p w14:paraId="7B14908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2.58</w:t>
            </w:r>
          </w:p>
        </w:tc>
        <w:tc>
          <w:tcPr>
            <w:tcW w:w="964" w:type="pct"/>
            <w:vMerge/>
            <w:shd w:val="clear" w:color="auto" w:fill="auto"/>
            <w:vAlign w:val="center"/>
          </w:tcPr>
          <w:p w14:paraId="5EFAC87D"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55EA5E1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250</w:t>
            </w:r>
          </w:p>
        </w:tc>
      </w:tr>
      <w:tr w:rsidR="009C353B" w14:paraId="61AC153B" w14:textId="77777777">
        <w:trPr>
          <w:trHeight w:val="340"/>
        </w:trPr>
        <w:tc>
          <w:tcPr>
            <w:tcW w:w="520" w:type="pct"/>
            <w:vMerge/>
            <w:shd w:val="clear" w:color="auto" w:fill="auto"/>
            <w:vAlign w:val="center"/>
          </w:tcPr>
          <w:p w14:paraId="5930103C"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23EBA6AA"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22658B9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2CA8224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655.75</w:t>
            </w:r>
          </w:p>
        </w:tc>
        <w:tc>
          <w:tcPr>
            <w:tcW w:w="712" w:type="pct"/>
            <w:shd w:val="clear" w:color="auto" w:fill="auto"/>
            <w:vAlign w:val="center"/>
          </w:tcPr>
          <w:p w14:paraId="4937C72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2.62</w:t>
            </w:r>
          </w:p>
        </w:tc>
        <w:tc>
          <w:tcPr>
            <w:tcW w:w="964" w:type="pct"/>
            <w:vMerge/>
            <w:shd w:val="clear" w:color="auto" w:fill="auto"/>
            <w:vAlign w:val="center"/>
          </w:tcPr>
          <w:p w14:paraId="7BDFCFF9"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543A751F" w14:textId="77777777" w:rsidR="009C353B" w:rsidRDefault="009C353B">
            <w:pPr>
              <w:jc w:val="center"/>
              <w:rPr>
                <w:rFonts w:ascii="Times New Roman" w:eastAsiaTheme="minorEastAsia" w:hAnsi="Times New Roman" w:cstheme="minorBidi"/>
                <w:sz w:val="21"/>
                <w:szCs w:val="21"/>
              </w:rPr>
            </w:pPr>
          </w:p>
        </w:tc>
      </w:tr>
      <w:tr w:rsidR="009C353B" w14:paraId="00ABE7C5" w14:textId="77777777">
        <w:trPr>
          <w:trHeight w:val="340"/>
        </w:trPr>
        <w:tc>
          <w:tcPr>
            <w:tcW w:w="520" w:type="pct"/>
            <w:vMerge/>
            <w:shd w:val="clear" w:color="auto" w:fill="auto"/>
            <w:vAlign w:val="center"/>
          </w:tcPr>
          <w:p w14:paraId="21B752A6"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10EA787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氟化物</w:t>
            </w:r>
          </w:p>
        </w:tc>
        <w:tc>
          <w:tcPr>
            <w:tcW w:w="768" w:type="pct"/>
            <w:shd w:val="clear" w:color="auto" w:fill="auto"/>
            <w:vAlign w:val="center"/>
          </w:tcPr>
          <w:p w14:paraId="0E1BE54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5F3817F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w:t>
            </w:r>
          </w:p>
        </w:tc>
        <w:tc>
          <w:tcPr>
            <w:tcW w:w="712" w:type="pct"/>
            <w:shd w:val="clear" w:color="auto" w:fill="auto"/>
            <w:vAlign w:val="center"/>
          </w:tcPr>
          <w:p w14:paraId="05FCD8B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w:t>
            </w:r>
          </w:p>
        </w:tc>
        <w:tc>
          <w:tcPr>
            <w:tcW w:w="964" w:type="pct"/>
            <w:vMerge/>
            <w:shd w:val="clear" w:color="auto" w:fill="auto"/>
            <w:vAlign w:val="center"/>
          </w:tcPr>
          <w:p w14:paraId="5011D657"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5758B1D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w:t>
            </w:r>
          </w:p>
        </w:tc>
      </w:tr>
      <w:tr w:rsidR="009C353B" w14:paraId="3C132C08" w14:textId="77777777">
        <w:trPr>
          <w:trHeight w:val="340"/>
        </w:trPr>
        <w:tc>
          <w:tcPr>
            <w:tcW w:w="520" w:type="pct"/>
            <w:vMerge/>
            <w:shd w:val="clear" w:color="auto" w:fill="auto"/>
            <w:vAlign w:val="center"/>
          </w:tcPr>
          <w:p w14:paraId="5DE70F6F"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04480F3D"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5B7D440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6FA82C4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1.62</w:t>
            </w:r>
          </w:p>
        </w:tc>
        <w:tc>
          <w:tcPr>
            <w:tcW w:w="712" w:type="pct"/>
            <w:shd w:val="clear" w:color="auto" w:fill="auto"/>
            <w:vAlign w:val="center"/>
          </w:tcPr>
          <w:p w14:paraId="21B7177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1.62</w:t>
            </w:r>
          </w:p>
        </w:tc>
        <w:tc>
          <w:tcPr>
            <w:tcW w:w="964" w:type="pct"/>
            <w:vMerge/>
            <w:shd w:val="clear" w:color="auto" w:fill="auto"/>
            <w:vAlign w:val="center"/>
          </w:tcPr>
          <w:p w14:paraId="080C7705"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613EAA2B" w14:textId="77777777" w:rsidR="009C353B" w:rsidRDefault="009C353B">
            <w:pPr>
              <w:jc w:val="center"/>
              <w:rPr>
                <w:rFonts w:ascii="Times New Roman" w:eastAsiaTheme="minorEastAsia" w:hAnsi="Times New Roman" w:cstheme="minorBidi"/>
                <w:sz w:val="21"/>
                <w:szCs w:val="21"/>
              </w:rPr>
            </w:pPr>
          </w:p>
        </w:tc>
      </w:tr>
      <w:tr w:rsidR="009C353B" w14:paraId="1578E906" w14:textId="77777777">
        <w:trPr>
          <w:trHeight w:val="340"/>
        </w:trPr>
        <w:tc>
          <w:tcPr>
            <w:tcW w:w="520" w:type="pct"/>
            <w:vMerge/>
            <w:shd w:val="clear" w:color="auto" w:fill="auto"/>
            <w:vAlign w:val="center"/>
          </w:tcPr>
          <w:p w14:paraId="468D04C6"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2AFCFFE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总大肠杆菌</w:t>
            </w:r>
          </w:p>
        </w:tc>
        <w:tc>
          <w:tcPr>
            <w:tcW w:w="768" w:type="pct"/>
            <w:shd w:val="clear" w:color="auto" w:fill="auto"/>
            <w:vAlign w:val="center"/>
          </w:tcPr>
          <w:p w14:paraId="46F281A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6064049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18</w:t>
            </w:r>
          </w:p>
        </w:tc>
        <w:tc>
          <w:tcPr>
            <w:tcW w:w="712" w:type="pct"/>
            <w:shd w:val="clear" w:color="auto" w:fill="auto"/>
            <w:vAlign w:val="center"/>
          </w:tcPr>
          <w:p w14:paraId="7810B51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6</w:t>
            </w:r>
          </w:p>
        </w:tc>
        <w:tc>
          <w:tcPr>
            <w:tcW w:w="964" w:type="pct"/>
            <w:vMerge/>
            <w:shd w:val="clear" w:color="auto" w:fill="auto"/>
            <w:vAlign w:val="center"/>
          </w:tcPr>
          <w:p w14:paraId="33FF77CA"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6AA34AC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3.0</w:t>
            </w:r>
          </w:p>
        </w:tc>
      </w:tr>
      <w:tr w:rsidR="009C353B" w14:paraId="256887F2" w14:textId="77777777">
        <w:trPr>
          <w:trHeight w:val="340"/>
        </w:trPr>
        <w:tc>
          <w:tcPr>
            <w:tcW w:w="520" w:type="pct"/>
            <w:vMerge/>
            <w:shd w:val="clear" w:color="auto" w:fill="auto"/>
            <w:vAlign w:val="center"/>
          </w:tcPr>
          <w:p w14:paraId="5A904326"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6B6CFCF1"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4F30983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164C812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11</w:t>
            </w:r>
          </w:p>
        </w:tc>
        <w:tc>
          <w:tcPr>
            <w:tcW w:w="712" w:type="pct"/>
            <w:shd w:val="clear" w:color="auto" w:fill="auto"/>
            <w:vAlign w:val="center"/>
          </w:tcPr>
          <w:p w14:paraId="100267D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3.67</w:t>
            </w:r>
          </w:p>
        </w:tc>
        <w:tc>
          <w:tcPr>
            <w:tcW w:w="964" w:type="pct"/>
            <w:vMerge/>
            <w:shd w:val="clear" w:color="auto" w:fill="auto"/>
            <w:vAlign w:val="center"/>
          </w:tcPr>
          <w:p w14:paraId="47576ED0"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00430020" w14:textId="77777777" w:rsidR="009C353B" w:rsidRDefault="009C353B">
            <w:pPr>
              <w:jc w:val="center"/>
              <w:rPr>
                <w:rFonts w:ascii="Times New Roman" w:eastAsiaTheme="minorEastAsia" w:hAnsi="Times New Roman" w:cstheme="minorBidi"/>
                <w:sz w:val="21"/>
                <w:szCs w:val="21"/>
              </w:rPr>
            </w:pPr>
          </w:p>
        </w:tc>
      </w:tr>
      <w:tr w:rsidR="009C353B" w14:paraId="006CAD94" w14:textId="77777777">
        <w:trPr>
          <w:trHeight w:val="340"/>
        </w:trPr>
        <w:tc>
          <w:tcPr>
            <w:tcW w:w="520" w:type="pct"/>
            <w:vMerge/>
            <w:shd w:val="clear" w:color="auto" w:fill="auto"/>
            <w:vAlign w:val="center"/>
          </w:tcPr>
          <w:p w14:paraId="36340ADC"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059167C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总硬度</w:t>
            </w:r>
          </w:p>
        </w:tc>
        <w:tc>
          <w:tcPr>
            <w:tcW w:w="768" w:type="pct"/>
            <w:shd w:val="clear" w:color="auto" w:fill="auto"/>
            <w:vAlign w:val="center"/>
          </w:tcPr>
          <w:p w14:paraId="3646E63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58FA397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587.93</w:t>
            </w:r>
          </w:p>
        </w:tc>
        <w:tc>
          <w:tcPr>
            <w:tcW w:w="712" w:type="pct"/>
            <w:shd w:val="clear" w:color="auto" w:fill="auto"/>
            <w:vAlign w:val="center"/>
          </w:tcPr>
          <w:p w14:paraId="127BB5F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1.31</w:t>
            </w:r>
          </w:p>
        </w:tc>
        <w:tc>
          <w:tcPr>
            <w:tcW w:w="964" w:type="pct"/>
            <w:vMerge/>
            <w:shd w:val="clear" w:color="auto" w:fill="auto"/>
            <w:vAlign w:val="center"/>
          </w:tcPr>
          <w:p w14:paraId="2F00AADC"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47A7838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450</w:t>
            </w:r>
          </w:p>
        </w:tc>
      </w:tr>
      <w:tr w:rsidR="009C353B" w14:paraId="211BEC6A" w14:textId="77777777">
        <w:trPr>
          <w:trHeight w:val="340"/>
        </w:trPr>
        <w:tc>
          <w:tcPr>
            <w:tcW w:w="520" w:type="pct"/>
            <w:vMerge/>
            <w:shd w:val="clear" w:color="auto" w:fill="auto"/>
            <w:vAlign w:val="center"/>
          </w:tcPr>
          <w:p w14:paraId="644BC5B4"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49EC7A69"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1020E24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58960A0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607.85</w:t>
            </w:r>
          </w:p>
        </w:tc>
        <w:tc>
          <w:tcPr>
            <w:tcW w:w="712" w:type="pct"/>
            <w:shd w:val="clear" w:color="auto" w:fill="auto"/>
            <w:vAlign w:val="center"/>
          </w:tcPr>
          <w:p w14:paraId="0F0C4E0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1.35</w:t>
            </w:r>
          </w:p>
        </w:tc>
        <w:tc>
          <w:tcPr>
            <w:tcW w:w="964" w:type="pct"/>
            <w:vMerge/>
            <w:shd w:val="clear" w:color="auto" w:fill="auto"/>
            <w:vAlign w:val="center"/>
          </w:tcPr>
          <w:p w14:paraId="661AD41C"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2E482764" w14:textId="77777777" w:rsidR="009C353B" w:rsidRDefault="009C353B">
            <w:pPr>
              <w:jc w:val="center"/>
              <w:rPr>
                <w:rFonts w:ascii="Times New Roman" w:eastAsiaTheme="minorEastAsia" w:hAnsi="Times New Roman" w:cstheme="minorBidi"/>
                <w:sz w:val="21"/>
                <w:szCs w:val="21"/>
              </w:rPr>
            </w:pPr>
          </w:p>
        </w:tc>
      </w:tr>
      <w:tr w:rsidR="009C353B" w14:paraId="22122279" w14:textId="77777777">
        <w:trPr>
          <w:trHeight w:val="340"/>
        </w:trPr>
        <w:tc>
          <w:tcPr>
            <w:tcW w:w="520" w:type="pct"/>
            <w:vMerge/>
            <w:shd w:val="clear" w:color="auto" w:fill="auto"/>
            <w:vAlign w:val="center"/>
          </w:tcPr>
          <w:p w14:paraId="4749641E"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6592A2E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总溶解固体</w:t>
            </w:r>
          </w:p>
        </w:tc>
        <w:tc>
          <w:tcPr>
            <w:tcW w:w="768" w:type="pct"/>
            <w:shd w:val="clear" w:color="auto" w:fill="auto"/>
            <w:vAlign w:val="center"/>
          </w:tcPr>
          <w:p w14:paraId="4581114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0380869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1350</w:t>
            </w:r>
          </w:p>
        </w:tc>
        <w:tc>
          <w:tcPr>
            <w:tcW w:w="712" w:type="pct"/>
            <w:shd w:val="clear" w:color="auto" w:fill="auto"/>
            <w:vAlign w:val="center"/>
          </w:tcPr>
          <w:p w14:paraId="74B838B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1.35</w:t>
            </w:r>
          </w:p>
        </w:tc>
        <w:tc>
          <w:tcPr>
            <w:tcW w:w="964" w:type="pct"/>
            <w:vMerge/>
            <w:shd w:val="clear" w:color="auto" w:fill="auto"/>
            <w:vAlign w:val="center"/>
          </w:tcPr>
          <w:p w14:paraId="5A652AA9"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76226F3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1000</w:t>
            </w:r>
          </w:p>
        </w:tc>
      </w:tr>
      <w:tr w:rsidR="009C353B" w14:paraId="75AD9EE4" w14:textId="77777777">
        <w:trPr>
          <w:trHeight w:val="340"/>
        </w:trPr>
        <w:tc>
          <w:tcPr>
            <w:tcW w:w="520" w:type="pct"/>
            <w:vMerge/>
            <w:shd w:val="clear" w:color="auto" w:fill="auto"/>
            <w:vAlign w:val="center"/>
          </w:tcPr>
          <w:p w14:paraId="2CC12F22"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0A3A0784"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6F3F167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624D9FF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1298</w:t>
            </w:r>
          </w:p>
        </w:tc>
        <w:tc>
          <w:tcPr>
            <w:tcW w:w="712" w:type="pct"/>
            <w:shd w:val="clear" w:color="auto" w:fill="auto"/>
            <w:vAlign w:val="center"/>
          </w:tcPr>
          <w:p w14:paraId="56FE53D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1.298</w:t>
            </w:r>
          </w:p>
        </w:tc>
        <w:tc>
          <w:tcPr>
            <w:tcW w:w="964" w:type="pct"/>
            <w:vMerge/>
            <w:shd w:val="clear" w:color="auto" w:fill="auto"/>
            <w:vAlign w:val="center"/>
          </w:tcPr>
          <w:p w14:paraId="75E35723"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2D92D978" w14:textId="77777777" w:rsidR="009C353B" w:rsidRDefault="009C353B">
            <w:pPr>
              <w:jc w:val="center"/>
              <w:rPr>
                <w:rFonts w:ascii="Times New Roman" w:eastAsiaTheme="minorEastAsia" w:hAnsi="Times New Roman" w:cstheme="minorBidi"/>
                <w:sz w:val="21"/>
                <w:szCs w:val="21"/>
              </w:rPr>
            </w:pPr>
          </w:p>
        </w:tc>
      </w:tr>
      <w:tr w:rsidR="009C353B" w14:paraId="2ACE83F6" w14:textId="77777777">
        <w:trPr>
          <w:trHeight w:val="340"/>
        </w:trPr>
        <w:tc>
          <w:tcPr>
            <w:tcW w:w="520" w:type="pct"/>
            <w:vMerge/>
            <w:shd w:val="clear" w:color="auto" w:fill="auto"/>
            <w:vAlign w:val="center"/>
          </w:tcPr>
          <w:p w14:paraId="20B589EA"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6F789DD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高锰酸钾指数</w:t>
            </w:r>
          </w:p>
        </w:tc>
        <w:tc>
          <w:tcPr>
            <w:tcW w:w="768" w:type="pct"/>
            <w:shd w:val="clear" w:color="auto" w:fill="auto"/>
            <w:vAlign w:val="center"/>
          </w:tcPr>
          <w:p w14:paraId="014D088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034D8DA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3.93</w:t>
            </w:r>
          </w:p>
        </w:tc>
        <w:tc>
          <w:tcPr>
            <w:tcW w:w="712" w:type="pct"/>
            <w:shd w:val="clear" w:color="auto" w:fill="auto"/>
            <w:vAlign w:val="center"/>
          </w:tcPr>
          <w:p w14:paraId="513FC1E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1.31</w:t>
            </w:r>
          </w:p>
        </w:tc>
        <w:tc>
          <w:tcPr>
            <w:tcW w:w="964" w:type="pct"/>
            <w:vMerge/>
            <w:shd w:val="clear" w:color="auto" w:fill="auto"/>
            <w:vAlign w:val="center"/>
          </w:tcPr>
          <w:p w14:paraId="15FF2495"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782B28F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3.0</w:t>
            </w:r>
          </w:p>
        </w:tc>
      </w:tr>
      <w:tr w:rsidR="009C353B" w14:paraId="494C03FB" w14:textId="77777777">
        <w:trPr>
          <w:trHeight w:val="340"/>
        </w:trPr>
        <w:tc>
          <w:tcPr>
            <w:tcW w:w="520" w:type="pct"/>
            <w:vMerge/>
            <w:shd w:val="clear" w:color="auto" w:fill="auto"/>
            <w:vAlign w:val="center"/>
          </w:tcPr>
          <w:p w14:paraId="4FA9491C"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2C66A1B9"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7856F4E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3AFEDCD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3.16</w:t>
            </w:r>
          </w:p>
        </w:tc>
        <w:tc>
          <w:tcPr>
            <w:tcW w:w="712" w:type="pct"/>
            <w:shd w:val="clear" w:color="auto" w:fill="auto"/>
            <w:vAlign w:val="center"/>
          </w:tcPr>
          <w:p w14:paraId="5E6B45E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1.05</w:t>
            </w:r>
          </w:p>
        </w:tc>
        <w:tc>
          <w:tcPr>
            <w:tcW w:w="964" w:type="pct"/>
            <w:vMerge/>
            <w:shd w:val="clear" w:color="auto" w:fill="auto"/>
            <w:vAlign w:val="center"/>
          </w:tcPr>
          <w:p w14:paraId="5464826F"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2EECB0EB" w14:textId="77777777" w:rsidR="009C353B" w:rsidRDefault="009C353B">
            <w:pPr>
              <w:jc w:val="center"/>
              <w:rPr>
                <w:rFonts w:ascii="Times New Roman" w:eastAsiaTheme="minorEastAsia" w:hAnsi="Times New Roman" w:cstheme="minorBidi"/>
                <w:sz w:val="21"/>
                <w:szCs w:val="21"/>
              </w:rPr>
            </w:pPr>
          </w:p>
        </w:tc>
      </w:tr>
      <w:tr w:rsidR="009C353B" w14:paraId="23104DE8" w14:textId="77777777">
        <w:trPr>
          <w:trHeight w:val="340"/>
        </w:trPr>
        <w:tc>
          <w:tcPr>
            <w:tcW w:w="520" w:type="pct"/>
            <w:vMerge/>
            <w:shd w:val="clear" w:color="auto" w:fill="auto"/>
            <w:vAlign w:val="center"/>
          </w:tcPr>
          <w:p w14:paraId="0441A182"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64DDAC3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氯化物</w:t>
            </w:r>
          </w:p>
        </w:tc>
        <w:tc>
          <w:tcPr>
            <w:tcW w:w="768" w:type="pct"/>
            <w:shd w:val="clear" w:color="auto" w:fill="auto"/>
            <w:vAlign w:val="center"/>
          </w:tcPr>
          <w:p w14:paraId="2725092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52DD267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524.89</w:t>
            </w:r>
          </w:p>
        </w:tc>
        <w:tc>
          <w:tcPr>
            <w:tcW w:w="712" w:type="pct"/>
            <w:shd w:val="clear" w:color="auto" w:fill="auto"/>
            <w:vAlign w:val="center"/>
          </w:tcPr>
          <w:p w14:paraId="0918678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2.09</w:t>
            </w:r>
          </w:p>
        </w:tc>
        <w:tc>
          <w:tcPr>
            <w:tcW w:w="964" w:type="pct"/>
            <w:vMerge/>
            <w:shd w:val="clear" w:color="auto" w:fill="auto"/>
            <w:vAlign w:val="center"/>
          </w:tcPr>
          <w:p w14:paraId="0848CC3D"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6BCFEEF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250</w:t>
            </w:r>
          </w:p>
        </w:tc>
      </w:tr>
      <w:tr w:rsidR="009C353B" w14:paraId="19568DCB" w14:textId="77777777">
        <w:trPr>
          <w:trHeight w:val="340"/>
        </w:trPr>
        <w:tc>
          <w:tcPr>
            <w:tcW w:w="520" w:type="pct"/>
            <w:vMerge/>
            <w:shd w:val="clear" w:color="auto" w:fill="auto"/>
            <w:vAlign w:val="center"/>
          </w:tcPr>
          <w:p w14:paraId="438989A2"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0E71E937"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430CA2E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56D202B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539.78</w:t>
            </w:r>
          </w:p>
        </w:tc>
        <w:tc>
          <w:tcPr>
            <w:tcW w:w="712" w:type="pct"/>
            <w:shd w:val="clear" w:color="auto" w:fill="auto"/>
            <w:vAlign w:val="center"/>
          </w:tcPr>
          <w:p w14:paraId="51BEB99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2.15</w:t>
            </w:r>
          </w:p>
        </w:tc>
        <w:tc>
          <w:tcPr>
            <w:tcW w:w="964" w:type="pct"/>
            <w:vMerge/>
            <w:shd w:val="clear" w:color="auto" w:fill="auto"/>
            <w:vAlign w:val="center"/>
          </w:tcPr>
          <w:p w14:paraId="1CE2958C"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3B8FDE79" w14:textId="77777777" w:rsidR="009C353B" w:rsidRDefault="009C353B">
            <w:pPr>
              <w:jc w:val="center"/>
              <w:rPr>
                <w:rFonts w:ascii="Times New Roman" w:eastAsiaTheme="minorEastAsia" w:hAnsi="Times New Roman" w:cstheme="minorBidi"/>
                <w:sz w:val="21"/>
                <w:szCs w:val="21"/>
              </w:rPr>
            </w:pPr>
          </w:p>
        </w:tc>
      </w:tr>
      <w:tr w:rsidR="009C353B" w14:paraId="02CC35E4" w14:textId="77777777">
        <w:trPr>
          <w:trHeight w:val="340"/>
        </w:trPr>
        <w:tc>
          <w:tcPr>
            <w:tcW w:w="520" w:type="pct"/>
            <w:vMerge/>
            <w:shd w:val="clear" w:color="auto" w:fill="auto"/>
            <w:vAlign w:val="center"/>
          </w:tcPr>
          <w:p w14:paraId="288A6350"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6010C13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硫酸盐</w:t>
            </w:r>
          </w:p>
        </w:tc>
        <w:tc>
          <w:tcPr>
            <w:tcW w:w="768" w:type="pct"/>
            <w:shd w:val="clear" w:color="auto" w:fill="auto"/>
            <w:vAlign w:val="center"/>
          </w:tcPr>
          <w:p w14:paraId="7DD21E7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00E6DAB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586</w:t>
            </w:r>
          </w:p>
        </w:tc>
        <w:tc>
          <w:tcPr>
            <w:tcW w:w="712" w:type="pct"/>
            <w:shd w:val="clear" w:color="auto" w:fill="auto"/>
            <w:vAlign w:val="center"/>
          </w:tcPr>
          <w:p w14:paraId="3361C6D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2.34</w:t>
            </w:r>
          </w:p>
        </w:tc>
        <w:tc>
          <w:tcPr>
            <w:tcW w:w="964" w:type="pct"/>
            <w:vMerge/>
            <w:shd w:val="clear" w:color="auto" w:fill="auto"/>
            <w:vAlign w:val="center"/>
          </w:tcPr>
          <w:p w14:paraId="49162BEE"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72A0182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250</w:t>
            </w:r>
          </w:p>
        </w:tc>
      </w:tr>
      <w:tr w:rsidR="009C353B" w14:paraId="7F2BF620" w14:textId="77777777">
        <w:trPr>
          <w:trHeight w:val="340"/>
        </w:trPr>
        <w:tc>
          <w:tcPr>
            <w:tcW w:w="520" w:type="pct"/>
            <w:vMerge/>
            <w:shd w:val="clear" w:color="auto" w:fill="auto"/>
            <w:vAlign w:val="center"/>
          </w:tcPr>
          <w:p w14:paraId="6F3C2080"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70B7C2F0"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54BE6C7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2853239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523</w:t>
            </w:r>
          </w:p>
        </w:tc>
        <w:tc>
          <w:tcPr>
            <w:tcW w:w="712" w:type="pct"/>
            <w:shd w:val="clear" w:color="auto" w:fill="auto"/>
            <w:vAlign w:val="center"/>
          </w:tcPr>
          <w:p w14:paraId="1889FB7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2.09</w:t>
            </w:r>
          </w:p>
        </w:tc>
        <w:tc>
          <w:tcPr>
            <w:tcW w:w="964" w:type="pct"/>
            <w:vMerge/>
            <w:shd w:val="clear" w:color="auto" w:fill="auto"/>
            <w:vAlign w:val="center"/>
          </w:tcPr>
          <w:p w14:paraId="00814F11"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7BC2E72F" w14:textId="77777777" w:rsidR="009C353B" w:rsidRDefault="009C353B">
            <w:pPr>
              <w:jc w:val="center"/>
              <w:rPr>
                <w:rFonts w:ascii="Times New Roman" w:eastAsiaTheme="minorEastAsia" w:hAnsi="Times New Roman" w:cstheme="minorBidi"/>
                <w:sz w:val="21"/>
                <w:szCs w:val="21"/>
              </w:rPr>
            </w:pPr>
          </w:p>
        </w:tc>
      </w:tr>
      <w:tr w:rsidR="009C353B" w14:paraId="0245E575" w14:textId="77777777">
        <w:trPr>
          <w:trHeight w:val="340"/>
        </w:trPr>
        <w:tc>
          <w:tcPr>
            <w:tcW w:w="520" w:type="pct"/>
            <w:vMerge/>
            <w:shd w:val="clear" w:color="auto" w:fill="auto"/>
            <w:vAlign w:val="center"/>
          </w:tcPr>
          <w:p w14:paraId="548E1F56"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6B550DD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氟化物</w:t>
            </w:r>
          </w:p>
        </w:tc>
        <w:tc>
          <w:tcPr>
            <w:tcW w:w="768" w:type="pct"/>
            <w:shd w:val="clear" w:color="auto" w:fill="auto"/>
            <w:vAlign w:val="center"/>
          </w:tcPr>
          <w:p w14:paraId="3901DF8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17E83A6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1.78</w:t>
            </w:r>
          </w:p>
        </w:tc>
        <w:tc>
          <w:tcPr>
            <w:tcW w:w="712" w:type="pct"/>
            <w:shd w:val="clear" w:color="auto" w:fill="auto"/>
            <w:vAlign w:val="center"/>
          </w:tcPr>
          <w:p w14:paraId="4315091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1.78</w:t>
            </w:r>
          </w:p>
        </w:tc>
        <w:tc>
          <w:tcPr>
            <w:tcW w:w="964" w:type="pct"/>
            <w:vMerge/>
            <w:shd w:val="clear" w:color="auto" w:fill="auto"/>
            <w:vAlign w:val="center"/>
          </w:tcPr>
          <w:p w14:paraId="19097286"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1A7B2BA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w:t>
            </w:r>
          </w:p>
        </w:tc>
      </w:tr>
      <w:tr w:rsidR="009C353B" w14:paraId="1627C993" w14:textId="77777777">
        <w:trPr>
          <w:trHeight w:val="340"/>
        </w:trPr>
        <w:tc>
          <w:tcPr>
            <w:tcW w:w="520" w:type="pct"/>
            <w:vMerge/>
            <w:shd w:val="clear" w:color="auto" w:fill="auto"/>
            <w:vAlign w:val="center"/>
          </w:tcPr>
          <w:p w14:paraId="4E8079CB"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31CD34BF"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286D3F4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02207F7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1.62</w:t>
            </w:r>
          </w:p>
        </w:tc>
        <w:tc>
          <w:tcPr>
            <w:tcW w:w="712" w:type="pct"/>
            <w:shd w:val="clear" w:color="auto" w:fill="auto"/>
            <w:vAlign w:val="center"/>
          </w:tcPr>
          <w:p w14:paraId="33C71D2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1.62</w:t>
            </w:r>
          </w:p>
        </w:tc>
        <w:tc>
          <w:tcPr>
            <w:tcW w:w="964" w:type="pct"/>
            <w:vMerge/>
            <w:shd w:val="clear" w:color="auto" w:fill="auto"/>
            <w:vAlign w:val="center"/>
          </w:tcPr>
          <w:p w14:paraId="78B60CA0"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7B0F5473" w14:textId="77777777" w:rsidR="009C353B" w:rsidRDefault="009C353B">
            <w:pPr>
              <w:jc w:val="center"/>
              <w:rPr>
                <w:rFonts w:ascii="Times New Roman" w:eastAsiaTheme="minorEastAsia" w:hAnsi="Times New Roman" w:cstheme="minorBidi"/>
                <w:sz w:val="21"/>
                <w:szCs w:val="21"/>
              </w:rPr>
            </w:pPr>
          </w:p>
        </w:tc>
      </w:tr>
      <w:tr w:rsidR="009C353B" w14:paraId="03CBF355" w14:textId="77777777">
        <w:trPr>
          <w:trHeight w:val="340"/>
        </w:trPr>
        <w:tc>
          <w:tcPr>
            <w:tcW w:w="520" w:type="pct"/>
            <w:vMerge/>
            <w:shd w:val="clear" w:color="auto" w:fill="auto"/>
            <w:vAlign w:val="center"/>
          </w:tcPr>
          <w:p w14:paraId="0F6CC161"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5A4369D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总大肠杆菌</w:t>
            </w:r>
          </w:p>
        </w:tc>
        <w:tc>
          <w:tcPr>
            <w:tcW w:w="768" w:type="pct"/>
            <w:shd w:val="clear" w:color="auto" w:fill="auto"/>
            <w:vAlign w:val="center"/>
          </w:tcPr>
          <w:p w14:paraId="673F975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0D9E070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39</w:t>
            </w:r>
          </w:p>
        </w:tc>
        <w:tc>
          <w:tcPr>
            <w:tcW w:w="712" w:type="pct"/>
            <w:shd w:val="clear" w:color="auto" w:fill="auto"/>
            <w:vAlign w:val="center"/>
          </w:tcPr>
          <w:p w14:paraId="02814FC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13</w:t>
            </w:r>
          </w:p>
        </w:tc>
        <w:tc>
          <w:tcPr>
            <w:tcW w:w="964" w:type="pct"/>
            <w:vMerge/>
            <w:shd w:val="clear" w:color="auto" w:fill="auto"/>
            <w:vAlign w:val="center"/>
          </w:tcPr>
          <w:p w14:paraId="35DE0E6F"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22DC985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3.0</w:t>
            </w:r>
          </w:p>
        </w:tc>
      </w:tr>
      <w:tr w:rsidR="009C353B" w14:paraId="1FBA95F9" w14:textId="77777777">
        <w:trPr>
          <w:trHeight w:val="340"/>
        </w:trPr>
        <w:tc>
          <w:tcPr>
            <w:tcW w:w="520" w:type="pct"/>
            <w:vMerge/>
            <w:shd w:val="clear" w:color="auto" w:fill="auto"/>
            <w:vAlign w:val="center"/>
          </w:tcPr>
          <w:p w14:paraId="4242B52F"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142D937C"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337FB37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4515D27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41</w:t>
            </w:r>
          </w:p>
        </w:tc>
        <w:tc>
          <w:tcPr>
            <w:tcW w:w="712" w:type="pct"/>
            <w:shd w:val="clear" w:color="auto" w:fill="auto"/>
            <w:vAlign w:val="center"/>
          </w:tcPr>
          <w:p w14:paraId="7139374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13.7</w:t>
            </w:r>
          </w:p>
        </w:tc>
        <w:tc>
          <w:tcPr>
            <w:tcW w:w="964" w:type="pct"/>
            <w:vMerge/>
            <w:shd w:val="clear" w:color="auto" w:fill="auto"/>
            <w:vAlign w:val="center"/>
          </w:tcPr>
          <w:p w14:paraId="3B0AF3F7"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2E3E1BBB" w14:textId="77777777" w:rsidR="009C353B" w:rsidRDefault="009C353B">
            <w:pPr>
              <w:jc w:val="center"/>
              <w:rPr>
                <w:rFonts w:ascii="Times New Roman" w:eastAsiaTheme="minorEastAsia" w:hAnsi="Times New Roman" w:cstheme="minorBidi"/>
                <w:sz w:val="21"/>
                <w:szCs w:val="21"/>
              </w:rPr>
            </w:pPr>
          </w:p>
        </w:tc>
      </w:tr>
      <w:tr w:rsidR="009C353B" w14:paraId="22A29FDE" w14:textId="77777777">
        <w:trPr>
          <w:trHeight w:val="340"/>
        </w:trPr>
        <w:tc>
          <w:tcPr>
            <w:tcW w:w="520" w:type="pct"/>
            <w:vMerge w:val="restart"/>
            <w:shd w:val="clear" w:color="auto" w:fill="auto"/>
            <w:vAlign w:val="center"/>
          </w:tcPr>
          <w:p w14:paraId="54183E6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w:t>
            </w:r>
            <w:r>
              <w:rPr>
                <w:rFonts w:ascii="Times New Roman" w:eastAsiaTheme="minorEastAsia" w:hAnsi="Times New Roman" w:cstheme="minorBidi"/>
                <w:sz w:val="21"/>
                <w:szCs w:val="21"/>
              </w:rPr>
              <w:t>驮水湾</w:t>
            </w:r>
          </w:p>
        </w:tc>
        <w:tc>
          <w:tcPr>
            <w:tcW w:w="673" w:type="pct"/>
            <w:vMerge w:val="restart"/>
            <w:shd w:val="clear" w:color="auto" w:fill="auto"/>
            <w:vAlign w:val="center"/>
          </w:tcPr>
          <w:p w14:paraId="411F0A8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pH</w:t>
            </w:r>
          </w:p>
        </w:tc>
        <w:tc>
          <w:tcPr>
            <w:tcW w:w="768" w:type="pct"/>
            <w:shd w:val="clear" w:color="auto" w:fill="auto"/>
            <w:vAlign w:val="center"/>
          </w:tcPr>
          <w:p w14:paraId="5EE3A25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5DD8313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8.73</w:t>
            </w:r>
          </w:p>
        </w:tc>
        <w:tc>
          <w:tcPr>
            <w:tcW w:w="712" w:type="pct"/>
            <w:shd w:val="clear" w:color="auto" w:fill="auto"/>
            <w:vAlign w:val="center"/>
          </w:tcPr>
          <w:p w14:paraId="49E4A84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1.15</w:t>
            </w:r>
          </w:p>
        </w:tc>
        <w:tc>
          <w:tcPr>
            <w:tcW w:w="964" w:type="pct"/>
            <w:vMerge/>
            <w:shd w:val="clear" w:color="auto" w:fill="auto"/>
            <w:vAlign w:val="center"/>
          </w:tcPr>
          <w:p w14:paraId="64188674"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1BEB081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6.5~8.5</w:t>
            </w:r>
          </w:p>
        </w:tc>
      </w:tr>
      <w:tr w:rsidR="009C353B" w14:paraId="06EFB35A" w14:textId="77777777">
        <w:trPr>
          <w:trHeight w:val="340"/>
        </w:trPr>
        <w:tc>
          <w:tcPr>
            <w:tcW w:w="520" w:type="pct"/>
            <w:vMerge/>
            <w:shd w:val="clear" w:color="auto" w:fill="auto"/>
            <w:vAlign w:val="center"/>
          </w:tcPr>
          <w:p w14:paraId="53DBD9FE"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3446D704"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1CB383F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2DD9F6C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w:t>
            </w:r>
          </w:p>
        </w:tc>
        <w:tc>
          <w:tcPr>
            <w:tcW w:w="712" w:type="pct"/>
            <w:shd w:val="clear" w:color="auto" w:fill="auto"/>
            <w:vAlign w:val="center"/>
          </w:tcPr>
          <w:p w14:paraId="1DDC8FD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w:t>
            </w:r>
          </w:p>
        </w:tc>
        <w:tc>
          <w:tcPr>
            <w:tcW w:w="964" w:type="pct"/>
            <w:vMerge/>
            <w:shd w:val="clear" w:color="auto" w:fill="auto"/>
            <w:vAlign w:val="center"/>
          </w:tcPr>
          <w:p w14:paraId="31875F16"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31578E02" w14:textId="77777777" w:rsidR="009C353B" w:rsidRDefault="009C353B">
            <w:pPr>
              <w:jc w:val="center"/>
              <w:rPr>
                <w:rFonts w:ascii="Times New Roman" w:eastAsiaTheme="minorEastAsia" w:hAnsi="Times New Roman" w:cstheme="minorBidi"/>
                <w:sz w:val="21"/>
                <w:szCs w:val="21"/>
              </w:rPr>
            </w:pPr>
          </w:p>
        </w:tc>
      </w:tr>
      <w:tr w:rsidR="009C353B" w14:paraId="7E2366CB" w14:textId="77777777">
        <w:trPr>
          <w:trHeight w:val="340"/>
        </w:trPr>
        <w:tc>
          <w:tcPr>
            <w:tcW w:w="520" w:type="pct"/>
            <w:vMerge/>
            <w:shd w:val="clear" w:color="auto" w:fill="auto"/>
            <w:vAlign w:val="center"/>
          </w:tcPr>
          <w:p w14:paraId="34C04841" w14:textId="77777777" w:rsidR="009C353B" w:rsidRDefault="009C353B">
            <w:pPr>
              <w:jc w:val="center"/>
              <w:rPr>
                <w:rFonts w:ascii="Times New Roman" w:eastAsiaTheme="minorEastAsia" w:hAnsi="Times New Roman" w:cstheme="minorBidi"/>
                <w:sz w:val="21"/>
                <w:szCs w:val="21"/>
              </w:rPr>
            </w:pPr>
            <w:bookmarkStart w:id="159" w:name="_Hlk49719950"/>
          </w:p>
        </w:tc>
        <w:tc>
          <w:tcPr>
            <w:tcW w:w="673" w:type="pct"/>
            <w:vMerge w:val="restart"/>
            <w:shd w:val="clear" w:color="auto" w:fill="auto"/>
            <w:vAlign w:val="center"/>
          </w:tcPr>
          <w:p w14:paraId="4FA0C72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总硬度</w:t>
            </w:r>
          </w:p>
        </w:tc>
        <w:tc>
          <w:tcPr>
            <w:tcW w:w="768" w:type="pct"/>
            <w:shd w:val="clear" w:color="auto" w:fill="auto"/>
            <w:vAlign w:val="center"/>
          </w:tcPr>
          <w:p w14:paraId="6605A97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02441DB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529.34</w:t>
            </w:r>
          </w:p>
        </w:tc>
        <w:tc>
          <w:tcPr>
            <w:tcW w:w="712" w:type="pct"/>
            <w:shd w:val="clear" w:color="auto" w:fill="auto"/>
            <w:vAlign w:val="center"/>
          </w:tcPr>
          <w:p w14:paraId="0A33DDC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1.18</w:t>
            </w:r>
          </w:p>
        </w:tc>
        <w:tc>
          <w:tcPr>
            <w:tcW w:w="964" w:type="pct"/>
            <w:vMerge/>
            <w:shd w:val="clear" w:color="auto" w:fill="auto"/>
            <w:vAlign w:val="center"/>
          </w:tcPr>
          <w:p w14:paraId="02CEEF6A"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57C365C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450</w:t>
            </w:r>
          </w:p>
        </w:tc>
      </w:tr>
      <w:tr w:rsidR="009C353B" w14:paraId="70C60AEE" w14:textId="77777777">
        <w:trPr>
          <w:trHeight w:val="340"/>
        </w:trPr>
        <w:tc>
          <w:tcPr>
            <w:tcW w:w="520" w:type="pct"/>
            <w:vMerge/>
            <w:shd w:val="clear" w:color="auto" w:fill="auto"/>
            <w:vAlign w:val="center"/>
          </w:tcPr>
          <w:p w14:paraId="2F2B8736"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33EEFA0F"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71FBEA5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6858E93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545.65</w:t>
            </w:r>
          </w:p>
        </w:tc>
        <w:tc>
          <w:tcPr>
            <w:tcW w:w="712" w:type="pct"/>
            <w:shd w:val="clear" w:color="auto" w:fill="auto"/>
            <w:vAlign w:val="center"/>
          </w:tcPr>
          <w:p w14:paraId="35F88B7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1.21</w:t>
            </w:r>
          </w:p>
        </w:tc>
        <w:tc>
          <w:tcPr>
            <w:tcW w:w="964" w:type="pct"/>
            <w:vMerge/>
            <w:shd w:val="clear" w:color="auto" w:fill="auto"/>
            <w:vAlign w:val="center"/>
          </w:tcPr>
          <w:p w14:paraId="1B0B7148"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2105A635" w14:textId="77777777" w:rsidR="009C353B" w:rsidRDefault="009C353B">
            <w:pPr>
              <w:jc w:val="center"/>
              <w:rPr>
                <w:rFonts w:ascii="Times New Roman" w:eastAsiaTheme="minorEastAsia" w:hAnsi="Times New Roman" w:cstheme="minorBidi"/>
                <w:sz w:val="21"/>
                <w:szCs w:val="21"/>
              </w:rPr>
            </w:pPr>
          </w:p>
        </w:tc>
      </w:tr>
      <w:tr w:rsidR="009C353B" w14:paraId="680A27DD" w14:textId="77777777">
        <w:trPr>
          <w:trHeight w:val="340"/>
        </w:trPr>
        <w:tc>
          <w:tcPr>
            <w:tcW w:w="520" w:type="pct"/>
            <w:vMerge/>
            <w:shd w:val="clear" w:color="auto" w:fill="auto"/>
            <w:vAlign w:val="center"/>
          </w:tcPr>
          <w:p w14:paraId="789E37D4"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68D0CB7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总溶解固体</w:t>
            </w:r>
          </w:p>
        </w:tc>
        <w:tc>
          <w:tcPr>
            <w:tcW w:w="768" w:type="pct"/>
            <w:shd w:val="clear" w:color="auto" w:fill="auto"/>
            <w:vAlign w:val="center"/>
          </w:tcPr>
          <w:p w14:paraId="2D1A22B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5EB1BC5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2196</w:t>
            </w:r>
          </w:p>
        </w:tc>
        <w:tc>
          <w:tcPr>
            <w:tcW w:w="712" w:type="pct"/>
            <w:shd w:val="clear" w:color="auto" w:fill="auto"/>
            <w:vAlign w:val="center"/>
          </w:tcPr>
          <w:p w14:paraId="639224F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2.2</w:t>
            </w:r>
          </w:p>
        </w:tc>
        <w:tc>
          <w:tcPr>
            <w:tcW w:w="964" w:type="pct"/>
            <w:vMerge/>
            <w:shd w:val="clear" w:color="auto" w:fill="auto"/>
            <w:vAlign w:val="center"/>
          </w:tcPr>
          <w:p w14:paraId="78A245F7"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0463143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1000</w:t>
            </w:r>
          </w:p>
        </w:tc>
      </w:tr>
      <w:tr w:rsidR="009C353B" w14:paraId="29395E6C" w14:textId="77777777">
        <w:trPr>
          <w:trHeight w:val="340"/>
        </w:trPr>
        <w:tc>
          <w:tcPr>
            <w:tcW w:w="520" w:type="pct"/>
            <w:vMerge/>
            <w:shd w:val="clear" w:color="auto" w:fill="auto"/>
            <w:vAlign w:val="center"/>
          </w:tcPr>
          <w:p w14:paraId="68A82C7D"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16BFA422"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5108755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4C8A149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2146</w:t>
            </w:r>
          </w:p>
        </w:tc>
        <w:tc>
          <w:tcPr>
            <w:tcW w:w="712" w:type="pct"/>
            <w:shd w:val="clear" w:color="auto" w:fill="auto"/>
            <w:vAlign w:val="center"/>
          </w:tcPr>
          <w:p w14:paraId="684404F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2.15</w:t>
            </w:r>
          </w:p>
        </w:tc>
        <w:tc>
          <w:tcPr>
            <w:tcW w:w="964" w:type="pct"/>
            <w:vMerge/>
            <w:shd w:val="clear" w:color="auto" w:fill="auto"/>
            <w:vAlign w:val="center"/>
          </w:tcPr>
          <w:p w14:paraId="147EA4F0"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598A49AD" w14:textId="77777777" w:rsidR="009C353B" w:rsidRDefault="009C353B">
            <w:pPr>
              <w:jc w:val="center"/>
              <w:rPr>
                <w:rFonts w:ascii="Times New Roman" w:eastAsiaTheme="minorEastAsia" w:hAnsi="Times New Roman" w:cstheme="minorBidi"/>
                <w:sz w:val="21"/>
                <w:szCs w:val="21"/>
              </w:rPr>
            </w:pPr>
          </w:p>
        </w:tc>
      </w:tr>
      <w:tr w:rsidR="009C353B" w14:paraId="1DDB2771" w14:textId="77777777">
        <w:trPr>
          <w:trHeight w:val="340"/>
        </w:trPr>
        <w:tc>
          <w:tcPr>
            <w:tcW w:w="520" w:type="pct"/>
            <w:vMerge/>
            <w:shd w:val="clear" w:color="auto" w:fill="auto"/>
            <w:vAlign w:val="center"/>
          </w:tcPr>
          <w:p w14:paraId="18E81048"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19C552B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高锰酸钾指数</w:t>
            </w:r>
          </w:p>
        </w:tc>
        <w:tc>
          <w:tcPr>
            <w:tcW w:w="768" w:type="pct"/>
            <w:shd w:val="clear" w:color="auto" w:fill="auto"/>
            <w:vAlign w:val="center"/>
          </w:tcPr>
          <w:p w14:paraId="420388B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1CA13BA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7.39</w:t>
            </w:r>
          </w:p>
        </w:tc>
        <w:tc>
          <w:tcPr>
            <w:tcW w:w="712" w:type="pct"/>
            <w:shd w:val="clear" w:color="auto" w:fill="auto"/>
            <w:vAlign w:val="center"/>
          </w:tcPr>
          <w:p w14:paraId="70799D8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2.46</w:t>
            </w:r>
          </w:p>
        </w:tc>
        <w:tc>
          <w:tcPr>
            <w:tcW w:w="964" w:type="pct"/>
            <w:vMerge/>
            <w:shd w:val="clear" w:color="auto" w:fill="auto"/>
            <w:vAlign w:val="center"/>
          </w:tcPr>
          <w:p w14:paraId="049E130D"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3F4D91B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3.0</w:t>
            </w:r>
          </w:p>
        </w:tc>
      </w:tr>
      <w:tr w:rsidR="009C353B" w14:paraId="5CC77B1A" w14:textId="77777777">
        <w:trPr>
          <w:trHeight w:val="340"/>
        </w:trPr>
        <w:tc>
          <w:tcPr>
            <w:tcW w:w="520" w:type="pct"/>
            <w:vMerge/>
            <w:shd w:val="clear" w:color="auto" w:fill="auto"/>
            <w:vAlign w:val="center"/>
          </w:tcPr>
          <w:p w14:paraId="7B84E25A"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33ECA1C3"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1806947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4F7ACF9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8.12</w:t>
            </w:r>
          </w:p>
        </w:tc>
        <w:tc>
          <w:tcPr>
            <w:tcW w:w="712" w:type="pct"/>
            <w:shd w:val="clear" w:color="auto" w:fill="auto"/>
            <w:vAlign w:val="center"/>
          </w:tcPr>
          <w:p w14:paraId="357B4B7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2.71</w:t>
            </w:r>
          </w:p>
        </w:tc>
        <w:tc>
          <w:tcPr>
            <w:tcW w:w="964" w:type="pct"/>
            <w:vMerge/>
            <w:shd w:val="clear" w:color="auto" w:fill="auto"/>
            <w:vAlign w:val="center"/>
          </w:tcPr>
          <w:p w14:paraId="560C06F9"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2674755F" w14:textId="77777777" w:rsidR="009C353B" w:rsidRDefault="009C353B">
            <w:pPr>
              <w:jc w:val="center"/>
              <w:rPr>
                <w:rFonts w:ascii="Times New Roman" w:eastAsiaTheme="minorEastAsia" w:hAnsi="Times New Roman" w:cstheme="minorBidi"/>
                <w:sz w:val="21"/>
                <w:szCs w:val="21"/>
              </w:rPr>
            </w:pPr>
          </w:p>
        </w:tc>
      </w:tr>
      <w:tr w:rsidR="009C353B" w14:paraId="4109C415" w14:textId="77777777">
        <w:trPr>
          <w:trHeight w:val="340"/>
        </w:trPr>
        <w:tc>
          <w:tcPr>
            <w:tcW w:w="520" w:type="pct"/>
            <w:vMerge/>
            <w:shd w:val="clear" w:color="auto" w:fill="auto"/>
            <w:vAlign w:val="center"/>
          </w:tcPr>
          <w:p w14:paraId="6BCA7A1F"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51BBE3C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氯化物</w:t>
            </w:r>
          </w:p>
        </w:tc>
        <w:tc>
          <w:tcPr>
            <w:tcW w:w="768" w:type="pct"/>
            <w:shd w:val="clear" w:color="auto" w:fill="auto"/>
            <w:vAlign w:val="center"/>
          </w:tcPr>
          <w:p w14:paraId="301D63E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728EEB0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505.18</w:t>
            </w:r>
          </w:p>
        </w:tc>
        <w:tc>
          <w:tcPr>
            <w:tcW w:w="712" w:type="pct"/>
            <w:shd w:val="clear" w:color="auto" w:fill="auto"/>
            <w:vAlign w:val="center"/>
          </w:tcPr>
          <w:p w14:paraId="6FDCA39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2.02</w:t>
            </w:r>
          </w:p>
        </w:tc>
        <w:tc>
          <w:tcPr>
            <w:tcW w:w="964" w:type="pct"/>
            <w:vMerge/>
            <w:shd w:val="clear" w:color="auto" w:fill="auto"/>
            <w:vAlign w:val="center"/>
          </w:tcPr>
          <w:p w14:paraId="7E7CF5E0"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1AF195B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250</w:t>
            </w:r>
          </w:p>
        </w:tc>
      </w:tr>
      <w:tr w:rsidR="009C353B" w14:paraId="6EE338B4" w14:textId="77777777">
        <w:trPr>
          <w:trHeight w:val="340"/>
        </w:trPr>
        <w:tc>
          <w:tcPr>
            <w:tcW w:w="520" w:type="pct"/>
            <w:vMerge/>
            <w:shd w:val="clear" w:color="auto" w:fill="auto"/>
            <w:vAlign w:val="center"/>
          </w:tcPr>
          <w:p w14:paraId="2EB4265B"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50304AE6"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67B62B3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52A5297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496.84</w:t>
            </w:r>
          </w:p>
        </w:tc>
        <w:tc>
          <w:tcPr>
            <w:tcW w:w="712" w:type="pct"/>
            <w:shd w:val="clear" w:color="auto" w:fill="auto"/>
            <w:vAlign w:val="center"/>
          </w:tcPr>
          <w:p w14:paraId="2534621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1.99</w:t>
            </w:r>
          </w:p>
        </w:tc>
        <w:tc>
          <w:tcPr>
            <w:tcW w:w="964" w:type="pct"/>
            <w:vMerge/>
            <w:shd w:val="clear" w:color="auto" w:fill="auto"/>
            <w:vAlign w:val="center"/>
          </w:tcPr>
          <w:p w14:paraId="65A3FE78"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5F6633EF" w14:textId="77777777" w:rsidR="009C353B" w:rsidRDefault="009C353B">
            <w:pPr>
              <w:jc w:val="center"/>
              <w:rPr>
                <w:rFonts w:ascii="Times New Roman" w:eastAsiaTheme="minorEastAsia" w:hAnsi="Times New Roman" w:cstheme="minorBidi"/>
                <w:sz w:val="21"/>
                <w:szCs w:val="21"/>
              </w:rPr>
            </w:pPr>
          </w:p>
        </w:tc>
      </w:tr>
      <w:tr w:rsidR="009C353B" w14:paraId="12D95402" w14:textId="77777777">
        <w:trPr>
          <w:trHeight w:val="340"/>
        </w:trPr>
        <w:tc>
          <w:tcPr>
            <w:tcW w:w="520" w:type="pct"/>
            <w:vMerge/>
            <w:shd w:val="clear" w:color="auto" w:fill="auto"/>
            <w:vAlign w:val="center"/>
          </w:tcPr>
          <w:p w14:paraId="1E034C47"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7F91EF1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硫酸盐</w:t>
            </w:r>
          </w:p>
        </w:tc>
        <w:tc>
          <w:tcPr>
            <w:tcW w:w="768" w:type="pct"/>
            <w:shd w:val="clear" w:color="auto" w:fill="auto"/>
            <w:vAlign w:val="center"/>
          </w:tcPr>
          <w:p w14:paraId="1C8D76F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7A1A555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664.8</w:t>
            </w:r>
          </w:p>
        </w:tc>
        <w:tc>
          <w:tcPr>
            <w:tcW w:w="712" w:type="pct"/>
            <w:shd w:val="clear" w:color="auto" w:fill="auto"/>
            <w:vAlign w:val="center"/>
          </w:tcPr>
          <w:p w14:paraId="5F48185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2.66</w:t>
            </w:r>
          </w:p>
        </w:tc>
        <w:tc>
          <w:tcPr>
            <w:tcW w:w="964" w:type="pct"/>
            <w:vMerge/>
            <w:shd w:val="clear" w:color="auto" w:fill="auto"/>
            <w:vAlign w:val="center"/>
          </w:tcPr>
          <w:p w14:paraId="6BDA644C"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3446954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250</w:t>
            </w:r>
          </w:p>
        </w:tc>
      </w:tr>
      <w:tr w:rsidR="009C353B" w14:paraId="61A429AB" w14:textId="77777777">
        <w:trPr>
          <w:trHeight w:val="340"/>
        </w:trPr>
        <w:tc>
          <w:tcPr>
            <w:tcW w:w="520" w:type="pct"/>
            <w:vMerge/>
            <w:shd w:val="clear" w:color="auto" w:fill="auto"/>
            <w:vAlign w:val="center"/>
          </w:tcPr>
          <w:p w14:paraId="36787F55"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47B9B8F8"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3AF9DAC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1E4C137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655.25</w:t>
            </w:r>
          </w:p>
        </w:tc>
        <w:tc>
          <w:tcPr>
            <w:tcW w:w="712" w:type="pct"/>
            <w:shd w:val="clear" w:color="auto" w:fill="auto"/>
            <w:vAlign w:val="center"/>
          </w:tcPr>
          <w:p w14:paraId="67927A2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2.62</w:t>
            </w:r>
          </w:p>
        </w:tc>
        <w:tc>
          <w:tcPr>
            <w:tcW w:w="964" w:type="pct"/>
            <w:vMerge/>
            <w:shd w:val="clear" w:color="auto" w:fill="auto"/>
            <w:vAlign w:val="center"/>
          </w:tcPr>
          <w:p w14:paraId="79658C39"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47C16749" w14:textId="77777777" w:rsidR="009C353B" w:rsidRDefault="009C353B">
            <w:pPr>
              <w:jc w:val="center"/>
              <w:rPr>
                <w:rFonts w:ascii="Times New Roman" w:eastAsiaTheme="minorEastAsia" w:hAnsi="Times New Roman" w:cstheme="minorBidi"/>
                <w:sz w:val="21"/>
                <w:szCs w:val="21"/>
              </w:rPr>
            </w:pPr>
          </w:p>
        </w:tc>
      </w:tr>
      <w:tr w:rsidR="009C353B" w14:paraId="041C2DBC" w14:textId="77777777">
        <w:trPr>
          <w:trHeight w:val="340"/>
        </w:trPr>
        <w:tc>
          <w:tcPr>
            <w:tcW w:w="520" w:type="pct"/>
            <w:vMerge/>
            <w:shd w:val="clear" w:color="auto" w:fill="auto"/>
            <w:vAlign w:val="center"/>
          </w:tcPr>
          <w:p w14:paraId="71DF7044"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23E2D72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氟化物</w:t>
            </w:r>
          </w:p>
        </w:tc>
        <w:tc>
          <w:tcPr>
            <w:tcW w:w="768" w:type="pct"/>
            <w:shd w:val="clear" w:color="auto" w:fill="auto"/>
            <w:vAlign w:val="center"/>
          </w:tcPr>
          <w:p w14:paraId="506546D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585B851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1.82</w:t>
            </w:r>
          </w:p>
        </w:tc>
        <w:tc>
          <w:tcPr>
            <w:tcW w:w="712" w:type="pct"/>
            <w:shd w:val="clear" w:color="auto" w:fill="auto"/>
            <w:vAlign w:val="center"/>
          </w:tcPr>
          <w:p w14:paraId="4A0E8FA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1.82</w:t>
            </w:r>
          </w:p>
        </w:tc>
        <w:tc>
          <w:tcPr>
            <w:tcW w:w="964" w:type="pct"/>
            <w:vMerge/>
            <w:shd w:val="clear" w:color="auto" w:fill="auto"/>
            <w:vAlign w:val="center"/>
          </w:tcPr>
          <w:p w14:paraId="2BAA3657"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3BF3695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w:t>
            </w:r>
          </w:p>
        </w:tc>
      </w:tr>
      <w:tr w:rsidR="009C353B" w14:paraId="75CF0854" w14:textId="77777777">
        <w:trPr>
          <w:trHeight w:val="340"/>
        </w:trPr>
        <w:tc>
          <w:tcPr>
            <w:tcW w:w="520" w:type="pct"/>
            <w:vMerge/>
            <w:shd w:val="clear" w:color="auto" w:fill="auto"/>
            <w:vAlign w:val="center"/>
          </w:tcPr>
          <w:p w14:paraId="48132897"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2208F18A"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4C26F5F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0DB65BA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1.78</w:t>
            </w:r>
          </w:p>
        </w:tc>
        <w:tc>
          <w:tcPr>
            <w:tcW w:w="712" w:type="pct"/>
            <w:shd w:val="clear" w:color="auto" w:fill="auto"/>
            <w:vAlign w:val="center"/>
          </w:tcPr>
          <w:p w14:paraId="27E79AA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1.78</w:t>
            </w:r>
          </w:p>
        </w:tc>
        <w:tc>
          <w:tcPr>
            <w:tcW w:w="964" w:type="pct"/>
            <w:vMerge/>
            <w:shd w:val="clear" w:color="auto" w:fill="auto"/>
            <w:vAlign w:val="center"/>
          </w:tcPr>
          <w:p w14:paraId="7B247884"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41305238" w14:textId="77777777" w:rsidR="009C353B" w:rsidRDefault="009C353B">
            <w:pPr>
              <w:jc w:val="center"/>
              <w:rPr>
                <w:rFonts w:ascii="Times New Roman" w:eastAsiaTheme="minorEastAsia" w:hAnsi="Times New Roman" w:cstheme="minorBidi"/>
                <w:sz w:val="21"/>
                <w:szCs w:val="21"/>
              </w:rPr>
            </w:pPr>
          </w:p>
        </w:tc>
      </w:tr>
      <w:tr w:rsidR="009C353B" w14:paraId="6E375D93" w14:textId="77777777">
        <w:trPr>
          <w:trHeight w:val="340"/>
        </w:trPr>
        <w:tc>
          <w:tcPr>
            <w:tcW w:w="520" w:type="pct"/>
            <w:vMerge/>
            <w:shd w:val="clear" w:color="auto" w:fill="auto"/>
            <w:vAlign w:val="center"/>
          </w:tcPr>
          <w:p w14:paraId="227F847D"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110A809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总大肠杆菌</w:t>
            </w:r>
          </w:p>
        </w:tc>
        <w:tc>
          <w:tcPr>
            <w:tcW w:w="768" w:type="pct"/>
            <w:shd w:val="clear" w:color="auto" w:fill="auto"/>
            <w:vAlign w:val="center"/>
          </w:tcPr>
          <w:p w14:paraId="5AF2BCE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2009/10/23</w:t>
            </w:r>
          </w:p>
        </w:tc>
        <w:tc>
          <w:tcPr>
            <w:tcW w:w="685" w:type="pct"/>
            <w:shd w:val="clear" w:color="auto" w:fill="auto"/>
            <w:vAlign w:val="center"/>
          </w:tcPr>
          <w:p w14:paraId="2D4694C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11</w:t>
            </w:r>
          </w:p>
        </w:tc>
        <w:tc>
          <w:tcPr>
            <w:tcW w:w="712" w:type="pct"/>
            <w:shd w:val="clear" w:color="auto" w:fill="auto"/>
            <w:vAlign w:val="center"/>
          </w:tcPr>
          <w:p w14:paraId="07C7925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3.67</w:t>
            </w:r>
          </w:p>
        </w:tc>
        <w:tc>
          <w:tcPr>
            <w:tcW w:w="964" w:type="pct"/>
            <w:vMerge/>
            <w:shd w:val="clear" w:color="auto" w:fill="auto"/>
            <w:vAlign w:val="center"/>
          </w:tcPr>
          <w:p w14:paraId="0E458526"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1C11B41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3.0</w:t>
            </w:r>
          </w:p>
        </w:tc>
      </w:tr>
      <w:bookmarkEnd w:id="159"/>
      <w:tr w:rsidR="009C353B" w14:paraId="77757AA7" w14:textId="77777777">
        <w:trPr>
          <w:trHeight w:val="340"/>
        </w:trPr>
        <w:tc>
          <w:tcPr>
            <w:tcW w:w="520" w:type="pct"/>
            <w:vMerge/>
            <w:shd w:val="clear" w:color="auto" w:fill="auto"/>
            <w:vAlign w:val="center"/>
          </w:tcPr>
          <w:p w14:paraId="5D0DD493"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76A0F520"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17E8B1C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2009/10/22</w:t>
            </w:r>
          </w:p>
        </w:tc>
        <w:tc>
          <w:tcPr>
            <w:tcW w:w="685" w:type="pct"/>
            <w:shd w:val="clear" w:color="auto" w:fill="auto"/>
            <w:vAlign w:val="center"/>
          </w:tcPr>
          <w:p w14:paraId="54F9018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27</w:t>
            </w:r>
          </w:p>
        </w:tc>
        <w:tc>
          <w:tcPr>
            <w:tcW w:w="712" w:type="pct"/>
            <w:shd w:val="clear" w:color="auto" w:fill="auto"/>
            <w:vAlign w:val="center"/>
          </w:tcPr>
          <w:p w14:paraId="6FBC508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9</w:t>
            </w:r>
          </w:p>
        </w:tc>
        <w:tc>
          <w:tcPr>
            <w:tcW w:w="964" w:type="pct"/>
            <w:vMerge/>
            <w:shd w:val="clear" w:color="auto" w:fill="auto"/>
            <w:vAlign w:val="center"/>
          </w:tcPr>
          <w:p w14:paraId="266A9653"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6215C00C" w14:textId="77777777" w:rsidR="009C353B" w:rsidRDefault="009C353B">
            <w:pPr>
              <w:jc w:val="center"/>
              <w:rPr>
                <w:rFonts w:ascii="Times New Roman" w:eastAsiaTheme="minorEastAsia" w:hAnsi="Times New Roman" w:cstheme="minorBidi"/>
                <w:sz w:val="21"/>
                <w:szCs w:val="21"/>
              </w:rPr>
            </w:pPr>
          </w:p>
        </w:tc>
      </w:tr>
      <w:tr w:rsidR="009C353B" w14:paraId="1062245F" w14:textId="77777777">
        <w:trPr>
          <w:trHeight w:val="340"/>
        </w:trPr>
        <w:tc>
          <w:tcPr>
            <w:tcW w:w="520" w:type="pct"/>
            <w:vMerge/>
            <w:shd w:val="clear" w:color="auto" w:fill="auto"/>
            <w:vAlign w:val="center"/>
          </w:tcPr>
          <w:p w14:paraId="70EF40E4"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25995E2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总硬度</w:t>
            </w:r>
          </w:p>
        </w:tc>
        <w:tc>
          <w:tcPr>
            <w:tcW w:w="768" w:type="pct"/>
            <w:shd w:val="clear" w:color="auto" w:fill="auto"/>
            <w:vAlign w:val="center"/>
          </w:tcPr>
          <w:p w14:paraId="07BD79E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0AFA38D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543.81</w:t>
            </w:r>
          </w:p>
        </w:tc>
        <w:tc>
          <w:tcPr>
            <w:tcW w:w="712" w:type="pct"/>
            <w:shd w:val="clear" w:color="auto" w:fill="auto"/>
            <w:vAlign w:val="center"/>
          </w:tcPr>
          <w:p w14:paraId="3C6319C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1.21</w:t>
            </w:r>
          </w:p>
        </w:tc>
        <w:tc>
          <w:tcPr>
            <w:tcW w:w="964" w:type="pct"/>
            <w:vMerge/>
            <w:shd w:val="clear" w:color="auto" w:fill="auto"/>
            <w:vAlign w:val="center"/>
          </w:tcPr>
          <w:p w14:paraId="40E084F7"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0059CEE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450</w:t>
            </w:r>
          </w:p>
        </w:tc>
      </w:tr>
      <w:tr w:rsidR="009C353B" w14:paraId="572A1631" w14:textId="77777777">
        <w:trPr>
          <w:trHeight w:val="340"/>
        </w:trPr>
        <w:tc>
          <w:tcPr>
            <w:tcW w:w="520" w:type="pct"/>
            <w:vMerge/>
            <w:shd w:val="clear" w:color="auto" w:fill="auto"/>
            <w:vAlign w:val="center"/>
          </w:tcPr>
          <w:p w14:paraId="2019FE72"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20432A86"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4BC30AD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1483510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526.43</w:t>
            </w:r>
          </w:p>
        </w:tc>
        <w:tc>
          <w:tcPr>
            <w:tcW w:w="712" w:type="pct"/>
            <w:shd w:val="clear" w:color="auto" w:fill="auto"/>
            <w:vAlign w:val="center"/>
          </w:tcPr>
          <w:p w14:paraId="0CC8C74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1.17</w:t>
            </w:r>
          </w:p>
        </w:tc>
        <w:tc>
          <w:tcPr>
            <w:tcW w:w="964" w:type="pct"/>
            <w:vMerge/>
            <w:shd w:val="clear" w:color="auto" w:fill="auto"/>
            <w:vAlign w:val="center"/>
          </w:tcPr>
          <w:p w14:paraId="0D928036"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484D43AD" w14:textId="77777777" w:rsidR="009C353B" w:rsidRDefault="009C353B">
            <w:pPr>
              <w:jc w:val="center"/>
              <w:rPr>
                <w:rFonts w:ascii="Times New Roman" w:eastAsiaTheme="minorEastAsia" w:hAnsi="Times New Roman" w:cstheme="minorBidi"/>
                <w:sz w:val="21"/>
                <w:szCs w:val="21"/>
              </w:rPr>
            </w:pPr>
          </w:p>
        </w:tc>
      </w:tr>
      <w:tr w:rsidR="009C353B" w14:paraId="667A2C54" w14:textId="77777777">
        <w:trPr>
          <w:trHeight w:val="340"/>
        </w:trPr>
        <w:tc>
          <w:tcPr>
            <w:tcW w:w="520" w:type="pct"/>
            <w:vMerge/>
            <w:shd w:val="clear" w:color="auto" w:fill="auto"/>
            <w:vAlign w:val="center"/>
          </w:tcPr>
          <w:p w14:paraId="04A2478C"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609F6EF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总溶解固体</w:t>
            </w:r>
          </w:p>
        </w:tc>
        <w:tc>
          <w:tcPr>
            <w:tcW w:w="768" w:type="pct"/>
            <w:shd w:val="clear" w:color="auto" w:fill="auto"/>
            <w:vAlign w:val="center"/>
          </w:tcPr>
          <w:p w14:paraId="5F71FBC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32D43A7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1253</w:t>
            </w:r>
          </w:p>
        </w:tc>
        <w:tc>
          <w:tcPr>
            <w:tcW w:w="712" w:type="pct"/>
            <w:shd w:val="clear" w:color="auto" w:fill="auto"/>
            <w:vAlign w:val="center"/>
          </w:tcPr>
          <w:p w14:paraId="12D48E4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1.253</w:t>
            </w:r>
          </w:p>
        </w:tc>
        <w:tc>
          <w:tcPr>
            <w:tcW w:w="964" w:type="pct"/>
            <w:vMerge/>
            <w:shd w:val="clear" w:color="auto" w:fill="auto"/>
            <w:vAlign w:val="center"/>
          </w:tcPr>
          <w:p w14:paraId="7F63DEFC"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356E608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1000</w:t>
            </w:r>
          </w:p>
        </w:tc>
      </w:tr>
      <w:tr w:rsidR="009C353B" w14:paraId="7CDCFBDA" w14:textId="77777777">
        <w:trPr>
          <w:trHeight w:val="340"/>
        </w:trPr>
        <w:tc>
          <w:tcPr>
            <w:tcW w:w="520" w:type="pct"/>
            <w:vMerge/>
            <w:shd w:val="clear" w:color="auto" w:fill="auto"/>
            <w:vAlign w:val="center"/>
          </w:tcPr>
          <w:p w14:paraId="78037412"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3788C369"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14BD6A2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419D962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1216</w:t>
            </w:r>
          </w:p>
        </w:tc>
        <w:tc>
          <w:tcPr>
            <w:tcW w:w="712" w:type="pct"/>
            <w:shd w:val="clear" w:color="auto" w:fill="auto"/>
            <w:vAlign w:val="center"/>
          </w:tcPr>
          <w:p w14:paraId="559572E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1.216</w:t>
            </w:r>
          </w:p>
        </w:tc>
        <w:tc>
          <w:tcPr>
            <w:tcW w:w="964" w:type="pct"/>
            <w:vMerge/>
            <w:shd w:val="clear" w:color="auto" w:fill="auto"/>
            <w:vAlign w:val="center"/>
          </w:tcPr>
          <w:p w14:paraId="616554D1"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0773B46A" w14:textId="77777777" w:rsidR="009C353B" w:rsidRDefault="009C353B">
            <w:pPr>
              <w:jc w:val="center"/>
              <w:rPr>
                <w:rFonts w:ascii="Times New Roman" w:eastAsiaTheme="minorEastAsia" w:hAnsi="Times New Roman" w:cstheme="minorBidi"/>
                <w:sz w:val="21"/>
                <w:szCs w:val="21"/>
              </w:rPr>
            </w:pPr>
          </w:p>
        </w:tc>
      </w:tr>
      <w:tr w:rsidR="009C353B" w14:paraId="30B3CD03" w14:textId="77777777">
        <w:trPr>
          <w:trHeight w:val="340"/>
        </w:trPr>
        <w:tc>
          <w:tcPr>
            <w:tcW w:w="520" w:type="pct"/>
            <w:vMerge/>
            <w:shd w:val="clear" w:color="auto" w:fill="auto"/>
            <w:vAlign w:val="center"/>
          </w:tcPr>
          <w:p w14:paraId="44B6E6FC"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37C8371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高锰酸钾指数</w:t>
            </w:r>
          </w:p>
        </w:tc>
        <w:tc>
          <w:tcPr>
            <w:tcW w:w="768" w:type="pct"/>
            <w:shd w:val="clear" w:color="auto" w:fill="auto"/>
            <w:vAlign w:val="center"/>
          </w:tcPr>
          <w:p w14:paraId="16F5B27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6ACC3B8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5.28</w:t>
            </w:r>
          </w:p>
        </w:tc>
        <w:tc>
          <w:tcPr>
            <w:tcW w:w="712" w:type="pct"/>
            <w:shd w:val="clear" w:color="auto" w:fill="auto"/>
            <w:vAlign w:val="center"/>
          </w:tcPr>
          <w:p w14:paraId="38154C2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1.76</w:t>
            </w:r>
          </w:p>
        </w:tc>
        <w:tc>
          <w:tcPr>
            <w:tcW w:w="964" w:type="pct"/>
            <w:vMerge/>
            <w:shd w:val="clear" w:color="auto" w:fill="auto"/>
            <w:vAlign w:val="center"/>
          </w:tcPr>
          <w:p w14:paraId="2417CD16"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4023991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3.0</w:t>
            </w:r>
          </w:p>
        </w:tc>
      </w:tr>
      <w:tr w:rsidR="009C353B" w14:paraId="05021CFC" w14:textId="77777777">
        <w:trPr>
          <w:trHeight w:val="340"/>
        </w:trPr>
        <w:tc>
          <w:tcPr>
            <w:tcW w:w="520" w:type="pct"/>
            <w:vMerge/>
            <w:shd w:val="clear" w:color="auto" w:fill="auto"/>
            <w:vAlign w:val="center"/>
          </w:tcPr>
          <w:p w14:paraId="7CCCA987"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52909E25"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110FE64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2A012C4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6.39</w:t>
            </w:r>
          </w:p>
        </w:tc>
        <w:tc>
          <w:tcPr>
            <w:tcW w:w="712" w:type="pct"/>
            <w:shd w:val="clear" w:color="auto" w:fill="auto"/>
            <w:vAlign w:val="center"/>
          </w:tcPr>
          <w:p w14:paraId="0A0C390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2.13</w:t>
            </w:r>
          </w:p>
        </w:tc>
        <w:tc>
          <w:tcPr>
            <w:tcW w:w="964" w:type="pct"/>
            <w:vMerge/>
            <w:shd w:val="clear" w:color="auto" w:fill="auto"/>
            <w:vAlign w:val="center"/>
          </w:tcPr>
          <w:p w14:paraId="11F53D01"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08321952" w14:textId="77777777" w:rsidR="009C353B" w:rsidRDefault="009C353B">
            <w:pPr>
              <w:jc w:val="center"/>
              <w:rPr>
                <w:rFonts w:ascii="Times New Roman" w:eastAsiaTheme="minorEastAsia" w:hAnsi="Times New Roman" w:cstheme="minorBidi"/>
                <w:sz w:val="21"/>
                <w:szCs w:val="21"/>
              </w:rPr>
            </w:pPr>
          </w:p>
        </w:tc>
      </w:tr>
      <w:tr w:rsidR="009C353B" w14:paraId="0549FE49" w14:textId="77777777">
        <w:trPr>
          <w:trHeight w:val="340"/>
        </w:trPr>
        <w:tc>
          <w:tcPr>
            <w:tcW w:w="520" w:type="pct"/>
            <w:vMerge/>
            <w:shd w:val="clear" w:color="auto" w:fill="auto"/>
            <w:vAlign w:val="center"/>
          </w:tcPr>
          <w:p w14:paraId="3D1E99E2"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5A023EA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氯化物</w:t>
            </w:r>
          </w:p>
        </w:tc>
        <w:tc>
          <w:tcPr>
            <w:tcW w:w="768" w:type="pct"/>
            <w:shd w:val="clear" w:color="auto" w:fill="auto"/>
            <w:vAlign w:val="center"/>
          </w:tcPr>
          <w:p w14:paraId="232983E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0AB6E1F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505.85</w:t>
            </w:r>
          </w:p>
        </w:tc>
        <w:tc>
          <w:tcPr>
            <w:tcW w:w="712" w:type="pct"/>
            <w:shd w:val="clear" w:color="auto" w:fill="auto"/>
            <w:vAlign w:val="center"/>
          </w:tcPr>
          <w:p w14:paraId="25082D9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2.02</w:t>
            </w:r>
          </w:p>
        </w:tc>
        <w:tc>
          <w:tcPr>
            <w:tcW w:w="964" w:type="pct"/>
            <w:vMerge/>
            <w:shd w:val="clear" w:color="auto" w:fill="auto"/>
            <w:vAlign w:val="center"/>
          </w:tcPr>
          <w:p w14:paraId="45C966F9"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5A8040F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250</w:t>
            </w:r>
          </w:p>
        </w:tc>
      </w:tr>
      <w:tr w:rsidR="009C353B" w14:paraId="42E5DF5D" w14:textId="77777777">
        <w:trPr>
          <w:trHeight w:val="340"/>
        </w:trPr>
        <w:tc>
          <w:tcPr>
            <w:tcW w:w="520" w:type="pct"/>
            <w:vMerge/>
            <w:shd w:val="clear" w:color="auto" w:fill="auto"/>
            <w:vAlign w:val="center"/>
          </w:tcPr>
          <w:p w14:paraId="02ACD7DE"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3BE20C9B"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6A0A6F8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2D664B8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480.47</w:t>
            </w:r>
          </w:p>
        </w:tc>
        <w:tc>
          <w:tcPr>
            <w:tcW w:w="712" w:type="pct"/>
            <w:shd w:val="clear" w:color="auto" w:fill="auto"/>
            <w:vAlign w:val="center"/>
          </w:tcPr>
          <w:p w14:paraId="486BD1E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1.92</w:t>
            </w:r>
          </w:p>
        </w:tc>
        <w:tc>
          <w:tcPr>
            <w:tcW w:w="964" w:type="pct"/>
            <w:vMerge/>
            <w:shd w:val="clear" w:color="auto" w:fill="auto"/>
            <w:vAlign w:val="center"/>
          </w:tcPr>
          <w:p w14:paraId="6B5F9727"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4D369B05" w14:textId="77777777" w:rsidR="009C353B" w:rsidRDefault="009C353B">
            <w:pPr>
              <w:jc w:val="center"/>
              <w:rPr>
                <w:rFonts w:ascii="Times New Roman" w:eastAsiaTheme="minorEastAsia" w:hAnsi="Times New Roman" w:cstheme="minorBidi"/>
                <w:sz w:val="21"/>
                <w:szCs w:val="21"/>
              </w:rPr>
            </w:pPr>
          </w:p>
        </w:tc>
      </w:tr>
      <w:tr w:rsidR="009C353B" w14:paraId="6A588726" w14:textId="77777777">
        <w:trPr>
          <w:trHeight w:val="340"/>
        </w:trPr>
        <w:tc>
          <w:tcPr>
            <w:tcW w:w="520" w:type="pct"/>
            <w:vMerge/>
            <w:shd w:val="clear" w:color="auto" w:fill="auto"/>
            <w:vAlign w:val="center"/>
          </w:tcPr>
          <w:p w14:paraId="07B6D6BE"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0C58F65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硫酸盐</w:t>
            </w:r>
          </w:p>
        </w:tc>
        <w:tc>
          <w:tcPr>
            <w:tcW w:w="768" w:type="pct"/>
            <w:shd w:val="clear" w:color="auto" w:fill="auto"/>
            <w:vAlign w:val="center"/>
          </w:tcPr>
          <w:p w14:paraId="4BEF2DB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31BA861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589.3</w:t>
            </w:r>
          </w:p>
        </w:tc>
        <w:tc>
          <w:tcPr>
            <w:tcW w:w="712" w:type="pct"/>
            <w:shd w:val="clear" w:color="auto" w:fill="auto"/>
            <w:vAlign w:val="center"/>
          </w:tcPr>
          <w:p w14:paraId="5BB7502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2.36</w:t>
            </w:r>
          </w:p>
        </w:tc>
        <w:tc>
          <w:tcPr>
            <w:tcW w:w="964" w:type="pct"/>
            <w:vMerge/>
            <w:shd w:val="clear" w:color="auto" w:fill="auto"/>
            <w:vAlign w:val="center"/>
          </w:tcPr>
          <w:p w14:paraId="228A2D80"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2A0058B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250</w:t>
            </w:r>
          </w:p>
        </w:tc>
      </w:tr>
      <w:tr w:rsidR="009C353B" w14:paraId="5D59A97C" w14:textId="77777777">
        <w:trPr>
          <w:trHeight w:val="340"/>
        </w:trPr>
        <w:tc>
          <w:tcPr>
            <w:tcW w:w="520" w:type="pct"/>
            <w:vMerge/>
            <w:shd w:val="clear" w:color="auto" w:fill="auto"/>
            <w:vAlign w:val="center"/>
          </w:tcPr>
          <w:p w14:paraId="6145A3C1"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47A812FB"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15ED084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4163E84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573.1</w:t>
            </w:r>
          </w:p>
        </w:tc>
        <w:tc>
          <w:tcPr>
            <w:tcW w:w="712" w:type="pct"/>
            <w:shd w:val="clear" w:color="auto" w:fill="auto"/>
            <w:vAlign w:val="center"/>
          </w:tcPr>
          <w:p w14:paraId="30D3E7F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2.29</w:t>
            </w:r>
          </w:p>
        </w:tc>
        <w:tc>
          <w:tcPr>
            <w:tcW w:w="964" w:type="pct"/>
            <w:vMerge/>
            <w:shd w:val="clear" w:color="auto" w:fill="auto"/>
            <w:vAlign w:val="center"/>
          </w:tcPr>
          <w:p w14:paraId="4C775463"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18ED2964" w14:textId="77777777" w:rsidR="009C353B" w:rsidRDefault="009C353B">
            <w:pPr>
              <w:jc w:val="center"/>
              <w:rPr>
                <w:rFonts w:ascii="Times New Roman" w:eastAsiaTheme="minorEastAsia" w:hAnsi="Times New Roman" w:cstheme="minorBidi"/>
                <w:sz w:val="21"/>
                <w:szCs w:val="21"/>
              </w:rPr>
            </w:pPr>
          </w:p>
        </w:tc>
      </w:tr>
      <w:tr w:rsidR="009C353B" w14:paraId="12CA3374" w14:textId="77777777">
        <w:trPr>
          <w:trHeight w:val="340"/>
        </w:trPr>
        <w:tc>
          <w:tcPr>
            <w:tcW w:w="520" w:type="pct"/>
            <w:vMerge/>
            <w:shd w:val="clear" w:color="auto" w:fill="auto"/>
            <w:vAlign w:val="center"/>
          </w:tcPr>
          <w:p w14:paraId="53C7D0D0"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33A2A27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氟化物</w:t>
            </w:r>
          </w:p>
        </w:tc>
        <w:tc>
          <w:tcPr>
            <w:tcW w:w="768" w:type="pct"/>
            <w:shd w:val="clear" w:color="auto" w:fill="auto"/>
            <w:vAlign w:val="center"/>
          </w:tcPr>
          <w:p w14:paraId="013E8B9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577DDEB8"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1.69</w:t>
            </w:r>
          </w:p>
        </w:tc>
        <w:tc>
          <w:tcPr>
            <w:tcW w:w="712" w:type="pct"/>
            <w:shd w:val="clear" w:color="auto" w:fill="auto"/>
            <w:vAlign w:val="center"/>
          </w:tcPr>
          <w:p w14:paraId="12D621E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1.69</w:t>
            </w:r>
          </w:p>
        </w:tc>
        <w:tc>
          <w:tcPr>
            <w:tcW w:w="964" w:type="pct"/>
            <w:vMerge/>
            <w:shd w:val="clear" w:color="auto" w:fill="auto"/>
            <w:vAlign w:val="center"/>
          </w:tcPr>
          <w:p w14:paraId="3BDF2675"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7AD32F4A"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w:t>
            </w:r>
          </w:p>
        </w:tc>
      </w:tr>
      <w:tr w:rsidR="009C353B" w14:paraId="1B192736" w14:textId="77777777">
        <w:trPr>
          <w:trHeight w:val="340"/>
        </w:trPr>
        <w:tc>
          <w:tcPr>
            <w:tcW w:w="520" w:type="pct"/>
            <w:vMerge/>
            <w:shd w:val="clear" w:color="auto" w:fill="auto"/>
            <w:vAlign w:val="center"/>
          </w:tcPr>
          <w:p w14:paraId="7224AF7F"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046D8A7C"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7966678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689E6D86"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1.53</w:t>
            </w:r>
          </w:p>
        </w:tc>
        <w:tc>
          <w:tcPr>
            <w:tcW w:w="712" w:type="pct"/>
            <w:shd w:val="clear" w:color="auto" w:fill="auto"/>
            <w:vAlign w:val="center"/>
          </w:tcPr>
          <w:p w14:paraId="20DC929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1.53</w:t>
            </w:r>
          </w:p>
        </w:tc>
        <w:tc>
          <w:tcPr>
            <w:tcW w:w="964" w:type="pct"/>
            <w:vMerge/>
            <w:shd w:val="clear" w:color="auto" w:fill="auto"/>
            <w:vAlign w:val="center"/>
          </w:tcPr>
          <w:p w14:paraId="48F137D9"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68F85D1E" w14:textId="77777777" w:rsidR="009C353B" w:rsidRDefault="009C353B">
            <w:pPr>
              <w:jc w:val="center"/>
              <w:rPr>
                <w:rFonts w:ascii="Times New Roman" w:eastAsiaTheme="minorEastAsia" w:hAnsi="Times New Roman" w:cstheme="minorBidi"/>
                <w:sz w:val="21"/>
                <w:szCs w:val="21"/>
              </w:rPr>
            </w:pPr>
          </w:p>
        </w:tc>
      </w:tr>
      <w:tr w:rsidR="009C353B" w14:paraId="4426B2C5" w14:textId="77777777">
        <w:trPr>
          <w:trHeight w:val="340"/>
        </w:trPr>
        <w:tc>
          <w:tcPr>
            <w:tcW w:w="520" w:type="pct"/>
            <w:vMerge/>
            <w:shd w:val="clear" w:color="auto" w:fill="auto"/>
            <w:vAlign w:val="center"/>
          </w:tcPr>
          <w:p w14:paraId="2F01F7E4" w14:textId="77777777" w:rsidR="009C353B" w:rsidRDefault="009C353B">
            <w:pPr>
              <w:jc w:val="center"/>
              <w:rPr>
                <w:rFonts w:ascii="Times New Roman" w:eastAsiaTheme="minorEastAsia" w:hAnsi="Times New Roman" w:cstheme="minorBidi"/>
                <w:sz w:val="21"/>
                <w:szCs w:val="21"/>
              </w:rPr>
            </w:pPr>
          </w:p>
        </w:tc>
        <w:tc>
          <w:tcPr>
            <w:tcW w:w="673" w:type="pct"/>
            <w:vMerge w:val="restart"/>
            <w:shd w:val="clear" w:color="auto" w:fill="auto"/>
            <w:vAlign w:val="center"/>
          </w:tcPr>
          <w:p w14:paraId="798FC54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总大肠杆菌</w:t>
            </w:r>
          </w:p>
        </w:tc>
        <w:tc>
          <w:tcPr>
            <w:tcW w:w="768" w:type="pct"/>
            <w:shd w:val="clear" w:color="auto" w:fill="auto"/>
            <w:vAlign w:val="center"/>
          </w:tcPr>
          <w:p w14:paraId="1B906B1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2016/3/30</w:t>
            </w:r>
          </w:p>
        </w:tc>
        <w:tc>
          <w:tcPr>
            <w:tcW w:w="685" w:type="pct"/>
            <w:shd w:val="clear" w:color="auto" w:fill="auto"/>
            <w:vAlign w:val="center"/>
          </w:tcPr>
          <w:p w14:paraId="0E694F0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24</w:t>
            </w:r>
          </w:p>
        </w:tc>
        <w:tc>
          <w:tcPr>
            <w:tcW w:w="712" w:type="pct"/>
            <w:shd w:val="clear" w:color="auto" w:fill="auto"/>
            <w:vAlign w:val="center"/>
          </w:tcPr>
          <w:p w14:paraId="7908F10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8</w:t>
            </w:r>
          </w:p>
        </w:tc>
        <w:tc>
          <w:tcPr>
            <w:tcW w:w="964" w:type="pct"/>
            <w:vMerge/>
            <w:shd w:val="clear" w:color="auto" w:fill="auto"/>
            <w:vAlign w:val="center"/>
          </w:tcPr>
          <w:p w14:paraId="671318DE" w14:textId="77777777" w:rsidR="009C353B" w:rsidRDefault="009C353B">
            <w:pPr>
              <w:jc w:val="center"/>
              <w:rPr>
                <w:rFonts w:ascii="Times New Roman" w:eastAsiaTheme="minorEastAsia" w:hAnsi="Times New Roman" w:cstheme="minorBidi"/>
                <w:sz w:val="21"/>
                <w:szCs w:val="21"/>
              </w:rPr>
            </w:pPr>
          </w:p>
        </w:tc>
        <w:tc>
          <w:tcPr>
            <w:tcW w:w="678" w:type="pct"/>
            <w:vMerge w:val="restart"/>
            <w:shd w:val="clear" w:color="auto" w:fill="auto"/>
            <w:vAlign w:val="center"/>
          </w:tcPr>
          <w:p w14:paraId="62ADE49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3.0</w:t>
            </w:r>
          </w:p>
        </w:tc>
      </w:tr>
      <w:tr w:rsidR="009C353B" w14:paraId="53E3712A" w14:textId="77777777">
        <w:trPr>
          <w:trHeight w:val="340"/>
        </w:trPr>
        <w:tc>
          <w:tcPr>
            <w:tcW w:w="520" w:type="pct"/>
            <w:vMerge/>
            <w:shd w:val="clear" w:color="auto" w:fill="auto"/>
            <w:vAlign w:val="center"/>
          </w:tcPr>
          <w:p w14:paraId="1BA50177" w14:textId="77777777" w:rsidR="009C353B" w:rsidRDefault="009C353B">
            <w:pPr>
              <w:jc w:val="center"/>
              <w:rPr>
                <w:rFonts w:ascii="Times New Roman" w:eastAsiaTheme="minorEastAsia" w:hAnsi="Times New Roman" w:cstheme="minorBidi"/>
                <w:sz w:val="21"/>
                <w:szCs w:val="21"/>
              </w:rPr>
            </w:pPr>
          </w:p>
        </w:tc>
        <w:tc>
          <w:tcPr>
            <w:tcW w:w="673" w:type="pct"/>
            <w:vMerge/>
            <w:shd w:val="clear" w:color="auto" w:fill="auto"/>
            <w:vAlign w:val="center"/>
          </w:tcPr>
          <w:p w14:paraId="2435FA2A" w14:textId="77777777" w:rsidR="009C353B" w:rsidRDefault="009C353B">
            <w:pPr>
              <w:jc w:val="center"/>
              <w:rPr>
                <w:rFonts w:ascii="Times New Roman" w:eastAsiaTheme="minorEastAsia" w:hAnsi="Times New Roman" w:cstheme="minorBidi"/>
                <w:sz w:val="21"/>
                <w:szCs w:val="21"/>
              </w:rPr>
            </w:pPr>
          </w:p>
        </w:tc>
        <w:tc>
          <w:tcPr>
            <w:tcW w:w="768" w:type="pct"/>
            <w:shd w:val="clear" w:color="auto" w:fill="auto"/>
            <w:vAlign w:val="center"/>
          </w:tcPr>
          <w:p w14:paraId="45CADF1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2016/3/31</w:t>
            </w:r>
          </w:p>
        </w:tc>
        <w:tc>
          <w:tcPr>
            <w:tcW w:w="685" w:type="pct"/>
            <w:shd w:val="clear" w:color="auto" w:fill="auto"/>
            <w:vAlign w:val="center"/>
          </w:tcPr>
          <w:p w14:paraId="12DE752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18</w:t>
            </w:r>
          </w:p>
        </w:tc>
        <w:tc>
          <w:tcPr>
            <w:tcW w:w="712" w:type="pct"/>
            <w:shd w:val="clear" w:color="auto" w:fill="auto"/>
            <w:vAlign w:val="center"/>
          </w:tcPr>
          <w:p w14:paraId="7B40A77D"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6</w:t>
            </w:r>
          </w:p>
        </w:tc>
        <w:tc>
          <w:tcPr>
            <w:tcW w:w="964" w:type="pct"/>
            <w:vMerge/>
            <w:shd w:val="clear" w:color="auto" w:fill="auto"/>
            <w:vAlign w:val="center"/>
          </w:tcPr>
          <w:p w14:paraId="7A665633" w14:textId="77777777" w:rsidR="009C353B" w:rsidRDefault="009C353B">
            <w:pPr>
              <w:jc w:val="center"/>
              <w:rPr>
                <w:rFonts w:ascii="Times New Roman" w:eastAsiaTheme="minorEastAsia" w:hAnsi="Times New Roman" w:cstheme="minorBidi"/>
                <w:sz w:val="21"/>
                <w:szCs w:val="21"/>
              </w:rPr>
            </w:pPr>
          </w:p>
        </w:tc>
        <w:tc>
          <w:tcPr>
            <w:tcW w:w="678" w:type="pct"/>
            <w:vMerge/>
            <w:shd w:val="clear" w:color="auto" w:fill="auto"/>
            <w:vAlign w:val="center"/>
          </w:tcPr>
          <w:p w14:paraId="4305E308" w14:textId="77777777" w:rsidR="009C353B" w:rsidRDefault="009C353B">
            <w:pPr>
              <w:jc w:val="center"/>
              <w:rPr>
                <w:rFonts w:ascii="Times New Roman" w:eastAsiaTheme="minorEastAsia" w:hAnsi="Times New Roman" w:cstheme="minorBidi"/>
                <w:sz w:val="21"/>
                <w:szCs w:val="21"/>
              </w:rPr>
            </w:pPr>
          </w:p>
        </w:tc>
      </w:tr>
      <w:tr w:rsidR="009C353B" w14:paraId="583EFD77" w14:textId="77777777">
        <w:trPr>
          <w:trHeight w:val="340"/>
        </w:trPr>
        <w:tc>
          <w:tcPr>
            <w:tcW w:w="520" w:type="pct"/>
            <w:vMerge w:val="restart"/>
            <w:shd w:val="clear" w:color="auto" w:fill="auto"/>
            <w:vAlign w:val="center"/>
          </w:tcPr>
          <w:p w14:paraId="57792821"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w:t>
            </w:r>
            <w:r>
              <w:rPr>
                <w:rFonts w:ascii="Times New Roman" w:eastAsiaTheme="minorEastAsia" w:hAnsi="Times New Roman" w:cstheme="minorBidi"/>
                <w:sz w:val="21"/>
                <w:szCs w:val="21"/>
              </w:rPr>
              <w:t>马莲台</w:t>
            </w:r>
            <w:r>
              <w:rPr>
                <w:rFonts w:ascii="Times New Roman" w:eastAsiaTheme="minorEastAsia" w:hAnsi="Times New Roman" w:cstheme="minorBidi"/>
                <w:sz w:val="21"/>
                <w:szCs w:val="21"/>
              </w:rPr>
              <w:t>1</w:t>
            </w:r>
          </w:p>
        </w:tc>
        <w:tc>
          <w:tcPr>
            <w:tcW w:w="673" w:type="pct"/>
            <w:shd w:val="clear" w:color="auto" w:fill="auto"/>
            <w:vAlign w:val="center"/>
          </w:tcPr>
          <w:p w14:paraId="5E056BF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氟化物</w:t>
            </w:r>
          </w:p>
        </w:tc>
        <w:tc>
          <w:tcPr>
            <w:tcW w:w="768" w:type="pct"/>
            <w:vMerge w:val="restart"/>
            <w:shd w:val="clear" w:color="auto" w:fill="auto"/>
            <w:vAlign w:val="center"/>
          </w:tcPr>
          <w:p w14:paraId="110B540C"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2020/8/9</w:t>
            </w:r>
          </w:p>
        </w:tc>
        <w:tc>
          <w:tcPr>
            <w:tcW w:w="685" w:type="pct"/>
            <w:shd w:val="clear" w:color="auto" w:fill="auto"/>
            <w:vAlign w:val="center"/>
          </w:tcPr>
          <w:p w14:paraId="7AA4131E"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3.7</w:t>
            </w:r>
          </w:p>
        </w:tc>
        <w:tc>
          <w:tcPr>
            <w:tcW w:w="712" w:type="pct"/>
            <w:shd w:val="clear" w:color="auto" w:fill="auto"/>
            <w:vAlign w:val="center"/>
          </w:tcPr>
          <w:p w14:paraId="037E600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3.7</w:t>
            </w:r>
          </w:p>
        </w:tc>
        <w:tc>
          <w:tcPr>
            <w:tcW w:w="964" w:type="pct"/>
            <w:vMerge w:val="restart"/>
            <w:shd w:val="clear" w:color="auto" w:fill="auto"/>
            <w:vAlign w:val="center"/>
          </w:tcPr>
          <w:p w14:paraId="2236EFB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《地下水质量标准》（</w:t>
            </w:r>
            <w:r>
              <w:rPr>
                <w:rFonts w:ascii="Times New Roman" w:eastAsiaTheme="minorEastAsia" w:hAnsi="Times New Roman" w:cstheme="minorBidi"/>
                <w:sz w:val="21"/>
                <w:szCs w:val="21"/>
              </w:rPr>
              <w:t>GB/T14848-2017</w:t>
            </w:r>
            <w:r>
              <w:rPr>
                <w:rFonts w:ascii="Times New Roman" w:eastAsiaTheme="minorEastAsia" w:hAnsi="Times New Roman" w:cstheme="minorBidi"/>
                <w:sz w:val="21"/>
                <w:szCs w:val="21"/>
              </w:rPr>
              <w:t>）中的</w:t>
            </w:r>
            <w:r>
              <w:rPr>
                <w:rFonts w:ascii="Times New Roman" w:eastAsiaTheme="minorEastAsia" w:hAnsi="Times New Roman" w:cstheme="minorBidi"/>
                <w:sz w:val="21"/>
                <w:szCs w:val="21"/>
              </w:rPr>
              <w:t>Ⅲ</w:t>
            </w:r>
            <w:r>
              <w:rPr>
                <w:rFonts w:ascii="Times New Roman" w:eastAsiaTheme="minorEastAsia" w:hAnsi="Times New Roman" w:cstheme="minorBidi"/>
                <w:sz w:val="21"/>
                <w:szCs w:val="21"/>
              </w:rPr>
              <w:t>类标准</w:t>
            </w:r>
          </w:p>
        </w:tc>
        <w:tc>
          <w:tcPr>
            <w:tcW w:w="678" w:type="pct"/>
            <w:shd w:val="clear" w:color="auto" w:fill="auto"/>
            <w:vAlign w:val="center"/>
          </w:tcPr>
          <w:p w14:paraId="309827E3"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w:t>
            </w:r>
          </w:p>
        </w:tc>
      </w:tr>
      <w:tr w:rsidR="009C353B" w14:paraId="42519A6C" w14:textId="77777777">
        <w:trPr>
          <w:trHeight w:val="340"/>
        </w:trPr>
        <w:tc>
          <w:tcPr>
            <w:tcW w:w="520" w:type="pct"/>
            <w:vMerge/>
            <w:shd w:val="clear" w:color="auto" w:fill="auto"/>
            <w:vAlign w:val="center"/>
          </w:tcPr>
          <w:p w14:paraId="038E9B72" w14:textId="77777777" w:rsidR="009C353B" w:rsidRDefault="009C353B">
            <w:pPr>
              <w:jc w:val="center"/>
              <w:rPr>
                <w:rFonts w:ascii="Times New Roman" w:eastAsiaTheme="minorEastAsia" w:hAnsi="Times New Roman" w:cstheme="minorBidi"/>
                <w:sz w:val="21"/>
                <w:szCs w:val="21"/>
              </w:rPr>
            </w:pPr>
          </w:p>
        </w:tc>
        <w:tc>
          <w:tcPr>
            <w:tcW w:w="673" w:type="pct"/>
            <w:shd w:val="clear" w:color="auto" w:fill="auto"/>
            <w:vAlign w:val="center"/>
          </w:tcPr>
          <w:p w14:paraId="10EE166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细菌总数</w:t>
            </w:r>
          </w:p>
        </w:tc>
        <w:tc>
          <w:tcPr>
            <w:tcW w:w="768" w:type="pct"/>
            <w:vMerge/>
            <w:shd w:val="clear" w:color="auto" w:fill="auto"/>
            <w:vAlign w:val="center"/>
          </w:tcPr>
          <w:p w14:paraId="18DDDA17" w14:textId="77777777" w:rsidR="009C353B" w:rsidRDefault="009C353B">
            <w:pPr>
              <w:jc w:val="center"/>
              <w:rPr>
                <w:rFonts w:ascii="Times New Roman" w:eastAsiaTheme="minorEastAsia" w:hAnsi="Times New Roman" w:cstheme="minorBidi"/>
                <w:sz w:val="21"/>
                <w:szCs w:val="21"/>
              </w:rPr>
            </w:pPr>
          </w:p>
        </w:tc>
        <w:tc>
          <w:tcPr>
            <w:tcW w:w="685" w:type="pct"/>
            <w:shd w:val="clear" w:color="auto" w:fill="auto"/>
            <w:vAlign w:val="center"/>
          </w:tcPr>
          <w:p w14:paraId="12045D1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14000</w:t>
            </w:r>
          </w:p>
        </w:tc>
        <w:tc>
          <w:tcPr>
            <w:tcW w:w="712" w:type="pct"/>
            <w:shd w:val="clear" w:color="auto" w:fill="auto"/>
            <w:vAlign w:val="center"/>
          </w:tcPr>
          <w:p w14:paraId="4C738EFF"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140</w:t>
            </w:r>
          </w:p>
        </w:tc>
        <w:tc>
          <w:tcPr>
            <w:tcW w:w="964" w:type="pct"/>
            <w:vMerge/>
            <w:shd w:val="clear" w:color="auto" w:fill="auto"/>
            <w:vAlign w:val="center"/>
          </w:tcPr>
          <w:p w14:paraId="0841B876" w14:textId="77777777" w:rsidR="009C353B" w:rsidRDefault="009C353B">
            <w:pPr>
              <w:jc w:val="center"/>
              <w:rPr>
                <w:rFonts w:ascii="Times New Roman" w:eastAsiaTheme="minorEastAsia" w:hAnsi="Times New Roman" w:cstheme="minorBidi"/>
                <w:sz w:val="21"/>
                <w:szCs w:val="21"/>
              </w:rPr>
            </w:pPr>
          </w:p>
        </w:tc>
        <w:tc>
          <w:tcPr>
            <w:tcW w:w="678" w:type="pct"/>
            <w:shd w:val="clear" w:color="auto" w:fill="auto"/>
            <w:vAlign w:val="center"/>
          </w:tcPr>
          <w:p w14:paraId="5C4E48F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100</w:t>
            </w:r>
          </w:p>
        </w:tc>
      </w:tr>
      <w:tr w:rsidR="009C353B" w14:paraId="6C6E60F5" w14:textId="77777777">
        <w:trPr>
          <w:trHeight w:val="340"/>
        </w:trPr>
        <w:tc>
          <w:tcPr>
            <w:tcW w:w="520" w:type="pct"/>
            <w:vMerge w:val="restart"/>
            <w:shd w:val="clear" w:color="auto" w:fill="auto"/>
            <w:vAlign w:val="center"/>
          </w:tcPr>
          <w:p w14:paraId="4F9DFCA5"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2#</w:t>
            </w:r>
            <w:r>
              <w:rPr>
                <w:rFonts w:ascii="Times New Roman" w:eastAsiaTheme="minorEastAsia" w:hAnsi="Times New Roman" w:cstheme="minorBidi"/>
                <w:sz w:val="21"/>
                <w:szCs w:val="21"/>
              </w:rPr>
              <w:t>马莲台</w:t>
            </w:r>
            <w:r>
              <w:rPr>
                <w:rFonts w:ascii="Times New Roman" w:eastAsiaTheme="minorEastAsia" w:hAnsi="Times New Roman" w:cstheme="minorBidi"/>
                <w:sz w:val="21"/>
                <w:szCs w:val="21"/>
              </w:rPr>
              <w:t>2</w:t>
            </w:r>
          </w:p>
        </w:tc>
        <w:tc>
          <w:tcPr>
            <w:tcW w:w="673" w:type="pct"/>
            <w:shd w:val="clear" w:color="auto" w:fill="auto"/>
            <w:vAlign w:val="center"/>
          </w:tcPr>
          <w:p w14:paraId="7AF236DB"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氟化物</w:t>
            </w:r>
          </w:p>
        </w:tc>
        <w:tc>
          <w:tcPr>
            <w:tcW w:w="768" w:type="pct"/>
            <w:vMerge/>
            <w:shd w:val="clear" w:color="auto" w:fill="auto"/>
            <w:vAlign w:val="center"/>
          </w:tcPr>
          <w:p w14:paraId="392F657F" w14:textId="77777777" w:rsidR="009C353B" w:rsidRDefault="009C353B">
            <w:pPr>
              <w:jc w:val="center"/>
              <w:rPr>
                <w:rFonts w:ascii="Times New Roman" w:eastAsiaTheme="minorEastAsia" w:hAnsi="Times New Roman" w:cstheme="minorBidi"/>
                <w:sz w:val="21"/>
                <w:szCs w:val="21"/>
              </w:rPr>
            </w:pPr>
          </w:p>
        </w:tc>
        <w:tc>
          <w:tcPr>
            <w:tcW w:w="685" w:type="pct"/>
            <w:shd w:val="clear" w:color="auto" w:fill="auto"/>
            <w:vAlign w:val="center"/>
          </w:tcPr>
          <w:p w14:paraId="6A558F60"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1.57</w:t>
            </w:r>
          </w:p>
        </w:tc>
        <w:tc>
          <w:tcPr>
            <w:tcW w:w="712" w:type="pct"/>
            <w:shd w:val="clear" w:color="auto" w:fill="auto"/>
            <w:vAlign w:val="center"/>
          </w:tcPr>
          <w:p w14:paraId="6F6A58B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1.57</w:t>
            </w:r>
          </w:p>
        </w:tc>
        <w:tc>
          <w:tcPr>
            <w:tcW w:w="964" w:type="pct"/>
            <w:vMerge/>
            <w:shd w:val="clear" w:color="auto" w:fill="auto"/>
            <w:vAlign w:val="center"/>
          </w:tcPr>
          <w:p w14:paraId="5DD9AA69" w14:textId="77777777" w:rsidR="009C353B" w:rsidRDefault="009C353B">
            <w:pPr>
              <w:jc w:val="center"/>
              <w:rPr>
                <w:rFonts w:ascii="Times New Roman" w:eastAsiaTheme="minorEastAsia" w:hAnsi="Times New Roman" w:cstheme="minorBidi"/>
                <w:sz w:val="21"/>
                <w:szCs w:val="21"/>
              </w:rPr>
            </w:pPr>
          </w:p>
        </w:tc>
        <w:tc>
          <w:tcPr>
            <w:tcW w:w="678" w:type="pct"/>
            <w:shd w:val="clear" w:color="auto" w:fill="auto"/>
            <w:vAlign w:val="center"/>
          </w:tcPr>
          <w:p w14:paraId="026B60D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w:t>
            </w:r>
          </w:p>
        </w:tc>
      </w:tr>
      <w:tr w:rsidR="009C353B" w14:paraId="1E18EA72" w14:textId="77777777">
        <w:trPr>
          <w:trHeight w:val="340"/>
        </w:trPr>
        <w:tc>
          <w:tcPr>
            <w:tcW w:w="520" w:type="pct"/>
            <w:vMerge/>
            <w:shd w:val="clear" w:color="auto" w:fill="auto"/>
            <w:vAlign w:val="center"/>
          </w:tcPr>
          <w:p w14:paraId="618A7CD5" w14:textId="77777777" w:rsidR="009C353B" w:rsidRDefault="009C353B">
            <w:pPr>
              <w:jc w:val="center"/>
              <w:rPr>
                <w:rFonts w:ascii="Times New Roman" w:eastAsiaTheme="minorEastAsia" w:hAnsi="Times New Roman" w:cstheme="minorBidi"/>
                <w:sz w:val="21"/>
                <w:szCs w:val="21"/>
              </w:rPr>
            </w:pPr>
          </w:p>
        </w:tc>
        <w:tc>
          <w:tcPr>
            <w:tcW w:w="673" w:type="pct"/>
            <w:shd w:val="clear" w:color="auto" w:fill="auto"/>
            <w:vAlign w:val="center"/>
          </w:tcPr>
          <w:p w14:paraId="18E3E274"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细菌总数</w:t>
            </w:r>
          </w:p>
        </w:tc>
        <w:tc>
          <w:tcPr>
            <w:tcW w:w="768" w:type="pct"/>
            <w:vMerge/>
            <w:shd w:val="clear" w:color="auto" w:fill="auto"/>
            <w:vAlign w:val="center"/>
          </w:tcPr>
          <w:p w14:paraId="79734544" w14:textId="77777777" w:rsidR="009C353B" w:rsidRDefault="009C353B">
            <w:pPr>
              <w:jc w:val="center"/>
              <w:rPr>
                <w:rFonts w:ascii="Times New Roman" w:eastAsiaTheme="minorEastAsia" w:hAnsi="Times New Roman" w:cstheme="minorBidi"/>
                <w:sz w:val="21"/>
                <w:szCs w:val="21"/>
              </w:rPr>
            </w:pPr>
          </w:p>
        </w:tc>
        <w:tc>
          <w:tcPr>
            <w:tcW w:w="685" w:type="pct"/>
            <w:shd w:val="clear" w:color="auto" w:fill="auto"/>
            <w:vAlign w:val="center"/>
          </w:tcPr>
          <w:p w14:paraId="56354CB2"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530</w:t>
            </w:r>
          </w:p>
        </w:tc>
        <w:tc>
          <w:tcPr>
            <w:tcW w:w="712" w:type="pct"/>
            <w:shd w:val="clear" w:color="auto" w:fill="auto"/>
            <w:vAlign w:val="center"/>
          </w:tcPr>
          <w:p w14:paraId="55CC2067"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5.3</w:t>
            </w:r>
          </w:p>
        </w:tc>
        <w:tc>
          <w:tcPr>
            <w:tcW w:w="964" w:type="pct"/>
            <w:vMerge/>
            <w:shd w:val="clear" w:color="auto" w:fill="auto"/>
            <w:vAlign w:val="center"/>
          </w:tcPr>
          <w:p w14:paraId="13040429" w14:textId="77777777" w:rsidR="009C353B" w:rsidRDefault="009C353B">
            <w:pPr>
              <w:jc w:val="center"/>
              <w:rPr>
                <w:rFonts w:ascii="Times New Roman" w:eastAsiaTheme="minorEastAsia" w:hAnsi="Times New Roman" w:cstheme="minorBidi"/>
                <w:sz w:val="21"/>
                <w:szCs w:val="21"/>
              </w:rPr>
            </w:pPr>
          </w:p>
        </w:tc>
        <w:tc>
          <w:tcPr>
            <w:tcW w:w="678" w:type="pct"/>
            <w:shd w:val="clear" w:color="auto" w:fill="auto"/>
            <w:vAlign w:val="center"/>
          </w:tcPr>
          <w:p w14:paraId="1C204C39" w14:textId="77777777" w:rsidR="009C353B" w:rsidRDefault="00000000">
            <w:pPr>
              <w:jc w:val="center"/>
              <w:rPr>
                <w:rFonts w:ascii="Times New Roman" w:eastAsiaTheme="minorEastAsia" w:hAnsi="Times New Roman" w:cstheme="minorBidi"/>
                <w:sz w:val="21"/>
                <w:szCs w:val="21"/>
              </w:rPr>
            </w:pPr>
            <w:r>
              <w:rPr>
                <w:rFonts w:ascii="Times New Roman" w:eastAsiaTheme="minorEastAsia" w:hAnsi="Times New Roman" w:cstheme="minorBidi"/>
                <w:sz w:val="21"/>
                <w:szCs w:val="21"/>
              </w:rPr>
              <w:t>100</w:t>
            </w:r>
          </w:p>
        </w:tc>
      </w:tr>
    </w:tbl>
    <w:p w14:paraId="3CE6D2AF" w14:textId="77777777" w:rsidR="009C353B" w:rsidRDefault="00000000">
      <w:pPr>
        <w:adjustRightInd w:val="0"/>
        <w:snapToGrid w:val="0"/>
        <w:spacing w:line="440" w:lineRule="exact"/>
        <w:ind w:firstLine="480"/>
        <w:rPr>
          <w:rFonts w:ascii="Times New Roman" w:hAnsi="Times New Roman"/>
          <w:szCs w:val="24"/>
        </w:rPr>
      </w:pPr>
      <w:r>
        <w:rPr>
          <w:rFonts w:ascii="Times New Roman" w:hAnsi="Times New Roman" w:hint="eastAsia"/>
          <w:szCs w:val="24"/>
        </w:rPr>
        <w:t>由上表，马莲台煤矿</w:t>
      </w:r>
      <w:r>
        <w:rPr>
          <w:rFonts w:ascii="Times New Roman" w:hAnsi="Times New Roman"/>
          <w:szCs w:val="24"/>
        </w:rPr>
        <w:t>2009</w:t>
      </w:r>
      <w:r>
        <w:rPr>
          <w:rFonts w:ascii="Times New Roman" w:hAnsi="Times New Roman"/>
          <w:szCs w:val="24"/>
        </w:rPr>
        <w:t>年监测数据</w:t>
      </w:r>
      <w:r>
        <w:rPr>
          <w:rFonts w:ascii="Times New Roman" w:hAnsi="Times New Roman"/>
          <w:szCs w:val="24"/>
        </w:rPr>
        <w:t>1#</w:t>
      </w:r>
      <w:r>
        <w:rPr>
          <w:rFonts w:ascii="Times New Roman" w:hAnsi="Times New Roman"/>
          <w:szCs w:val="24"/>
        </w:rPr>
        <w:t>张家窑</w:t>
      </w:r>
      <w:r>
        <w:rPr>
          <w:rFonts w:ascii="Times New Roman" w:hAnsi="Times New Roman" w:hint="eastAsia"/>
          <w:szCs w:val="24"/>
        </w:rPr>
        <w:t>点位除</w:t>
      </w:r>
      <w:r>
        <w:rPr>
          <w:rFonts w:ascii="Times New Roman" w:hAnsi="Times New Roman"/>
          <w:szCs w:val="24"/>
        </w:rPr>
        <w:t>氟化物、溶解性总固体及总大肠杆菌群</w:t>
      </w:r>
      <w:r>
        <w:rPr>
          <w:rFonts w:ascii="Times New Roman" w:hAnsi="Times New Roman" w:hint="eastAsia"/>
          <w:szCs w:val="24"/>
        </w:rPr>
        <w:t>超标</w:t>
      </w:r>
      <w:r>
        <w:rPr>
          <w:rFonts w:ascii="Times New Roman" w:hAnsi="Times New Roman"/>
          <w:szCs w:val="24"/>
        </w:rPr>
        <w:t>，其余</w:t>
      </w:r>
      <w:r>
        <w:rPr>
          <w:rFonts w:ascii="Times New Roman" w:hAnsi="Times New Roman" w:hint="eastAsia"/>
          <w:szCs w:val="24"/>
        </w:rPr>
        <w:t>项目</w:t>
      </w:r>
      <w:r>
        <w:rPr>
          <w:rFonts w:ascii="Times New Roman" w:hAnsi="Times New Roman"/>
          <w:szCs w:val="24"/>
        </w:rPr>
        <w:t>均符合《地下水</w:t>
      </w:r>
      <w:r>
        <w:rPr>
          <w:rFonts w:ascii="Times New Roman" w:hAnsi="Times New Roman" w:hint="eastAsia"/>
          <w:szCs w:val="24"/>
        </w:rPr>
        <w:t>质量</w:t>
      </w:r>
      <w:r>
        <w:rPr>
          <w:rFonts w:ascii="Times New Roman" w:hAnsi="Times New Roman"/>
          <w:szCs w:val="24"/>
        </w:rPr>
        <w:t>标准》</w:t>
      </w:r>
      <w:r>
        <w:rPr>
          <w:rFonts w:ascii="Times New Roman" w:hAnsi="Times New Roman"/>
          <w:szCs w:val="24"/>
        </w:rPr>
        <w:t>(GB/T14848—93)III</w:t>
      </w:r>
      <w:r>
        <w:rPr>
          <w:rFonts w:ascii="Times New Roman" w:hAnsi="Times New Roman"/>
          <w:szCs w:val="24"/>
        </w:rPr>
        <w:t>类标准；</w:t>
      </w:r>
      <w:r>
        <w:rPr>
          <w:rFonts w:ascii="Times New Roman" w:hAnsi="Times New Roman"/>
          <w:szCs w:val="24"/>
        </w:rPr>
        <w:t>2#</w:t>
      </w:r>
      <w:r>
        <w:rPr>
          <w:rFonts w:ascii="Times New Roman" w:hAnsi="Times New Roman"/>
          <w:szCs w:val="24"/>
        </w:rPr>
        <w:t>双庙、</w:t>
      </w:r>
      <w:r>
        <w:rPr>
          <w:rFonts w:ascii="Times New Roman" w:hAnsi="Times New Roman"/>
          <w:szCs w:val="24"/>
        </w:rPr>
        <w:t>3#</w:t>
      </w:r>
      <w:r>
        <w:rPr>
          <w:rFonts w:ascii="Times New Roman" w:hAnsi="Times New Roman"/>
          <w:szCs w:val="24"/>
        </w:rPr>
        <w:t>驮水湾</w:t>
      </w:r>
      <w:r>
        <w:rPr>
          <w:rFonts w:ascii="Times New Roman" w:hAnsi="Times New Roman" w:hint="eastAsia"/>
          <w:szCs w:val="24"/>
        </w:rPr>
        <w:t>总硬度</w:t>
      </w:r>
      <w:r>
        <w:rPr>
          <w:rFonts w:ascii="Times New Roman" w:hAnsi="Times New Roman"/>
          <w:szCs w:val="24"/>
        </w:rPr>
        <w:t>、</w:t>
      </w:r>
      <w:r>
        <w:rPr>
          <w:rFonts w:ascii="Times New Roman" w:hAnsi="Times New Roman" w:hint="eastAsia"/>
          <w:szCs w:val="24"/>
        </w:rPr>
        <w:t>总溶解固体、高锰酸钾指数、氯化物、硫酸盐、氟化物、总大肠杆菌超标，且</w:t>
      </w:r>
      <w:r>
        <w:rPr>
          <w:rFonts w:ascii="Times New Roman" w:hAnsi="Times New Roman" w:hint="eastAsia"/>
          <w:szCs w:val="24"/>
        </w:rPr>
        <w:t>3#</w:t>
      </w:r>
      <w:r>
        <w:rPr>
          <w:rFonts w:ascii="Times New Roman" w:hAnsi="Times New Roman" w:hint="eastAsia"/>
          <w:szCs w:val="24"/>
        </w:rPr>
        <w:t>驮水湾</w:t>
      </w:r>
      <w:r>
        <w:rPr>
          <w:rFonts w:ascii="Times New Roman" w:hAnsi="Times New Roman" w:hint="eastAsia"/>
          <w:szCs w:val="24"/>
        </w:rPr>
        <w:t>p</w:t>
      </w:r>
      <w:r>
        <w:rPr>
          <w:rFonts w:ascii="Times New Roman" w:hAnsi="Times New Roman"/>
          <w:szCs w:val="24"/>
        </w:rPr>
        <w:t>H</w:t>
      </w:r>
      <w:r>
        <w:rPr>
          <w:rFonts w:ascii="Times New Roman" w:hAnsi="Times New Roman"/>
          <w:szCs w:val="24"/>
        </w:rPr>
        <w:t>超标。</w:t>
      </w:r>
      <w:r>
        <w:rPr>
          <w:rFonts w:ascii="Times New Roman" w:hAnsi="Times New Roman" w:hint="eastAsia"/>
          <w:szCs w:val="24"/>
        </w:rPr>
        <w:t>2016</w:t>
      </w:r>
      <w:r>
        <w:rPr>
          <w:rFonts w:ascii="Times New Roman" w:hAnsi="Times New Roman" w:hint="eastAsia"/>
          <w:szCs w:val="24"/>
        </w:rPr>
        <w:t>年监测结果与</w:t>
      </w:r>
      <w:r>
        <w:rPr>
          <w:rFonts w:ascii="Times New Roman" w:hAnsi="Times New Roman" w:hint="eastAsia"/>
          <w:szCs w:val="24"/>
        </w:rPr>
        <w:t>2009</w:t>
      </w:r>
      <w:r>
        <w:rPr>
          <w:rFonts w:ascii="Times New Roman" w:hAnsi="Times New Roman" w:hint="eastAsia"/>
          <w:szCs w:val="24"/>
        </w:rPr>
        <w:t>年相比，超标项目基本一致，地下水质总体变化不大。超标原因主要是：该地区氟化物背景值高；该区域地下水含水层补给差，矿化度高。本次监测数据除氟化物与细菌总数超标外，</w:t>
      </w:r>
      <w:r>
        <w:rPr>
          <w:rFonts w:ascii="Times New Roman" w:hAnsi="Times New Roman"/>
          <w:szCs w:val="24"/>
        </w:rPr>
        <w:t>其余</w:t>
      </w:r>
      <w:r>
        <w:rPr>
          <w:rFonts w:ascii="Times New Roman" w:hAnsi="Times New Roman" w:hint="eastAsia"/>
          <w:szCs w:val="24"/>
        </w:rPr>
        <w:t>项目</w:t>
      </w:r>
      <w:r>
        <w:rPr>
          <w:rFonts w:ascii="Times New Roman" w:hAnsi="Times New Roman"/>
          <w:szCs w:val="24"/>
        </w:rPr>
        <w:t>均符合《地下水质量标准》（</w:t>
      </w:r>
      <w:r>
        <w:rPr>
          <w:rFonts w:ascii="Times New Roman" w:hAnsi="Times New Roman"/>
          <w:szCs w:val="24"/>
        </w:rPr>
        <w:t>GB/T14848-2017</w:t>
      </w:r>
      <w:r>
        <w:rPr>
          <w:rFonts w:ascii="Times New Roman" w:hAnsi="Times New Roman" w:hint="eastAsia"/>
          <w:szCs w:val="24"/>
        </w:rPr>
        <w:t>）</w:t>
      </w:r>
      <w:r>
        <w:rPr>
          <w:rFonts w:ascii="Times New Roman" w:hAnsi="Times New Roman"/>
          <w:szCs w:val="24"/>
        </w:rPr>
        <w:t>Ⅲ</w:t>
      </w:r>
      <w:r>
        <w:rPr>
          <w:rFonts w:ascii="Times New Roman" w:hAnsi="Times New Roman" w:hint="eastAsia"/>
          <w:szCs w:val="24"/>
        </w:rPr>
        <w:t>类标准，与以往相比，地下水水质明显变好。</w:t>
      </w:r>
    </w:p>
    <w:p w14:paraId="7E2D510C" w14:textId="77777777" w:rsidR="009C353B" w:rsidRDefault="00000000">
      <w:pPr>
        <w:spacing w:line="440" w:lineRule="exact"/>
        <w:outlineLvl w:val="4"/>
        <w:rPr>
          <w:rFonts w:ascii="Times New Roman" w:hAnsi="Times New Roman"/>
          <w:b/>
          <w:bCs/>
          <w:szCs w:val="24"/>
        </w:rPr>
      </w:pPr>
      <w:r>
        <w:rPr>
          <w:rFonts w:ascii="Times New Roman" w:hAnsi="Times New Roman"/>
          <w:b/>
          <w:bCs/>
          <w:szCs w:val="24"/>
        </w:rPr>
        <w:t xml:space="preserve">4.3.2.2.2 </w:t>
      </w:r>
      <w:r>
        <w:rPr>
          <w:rFonts w:ascii="Times New Roman" w:hAnsi="Times New Roman"/>
          <w:b/>
          <w:bCs/>
          <w:szCs w:val="24"/>
        </w:rPr>
        <w:t>矿区地下水水位回顾性评价</w:t>
      </w:r>
    </w:p>
    <w:p w14:paraId="2B8B3285"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天然状态下地下水以水平运动为主，垂直运动不明显。随着煤矿的开采，采动裂隙的影响，相邻含水层组之间的水力联系增强，被影响的含水层的地下水开始出现降落漏斗，地下水的运动方向发生了很大变化。由于各含水层段以静储量为主，富水性弱，所以，水位快速下降，呈现被疏干的特征。</w:t>
      </w:r>
    </w:p>
    <w:p w14:paraId="161DE73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矿区第四系</w:t>
      </w:r>
      <w:r>
        <w:rPr>
          <w:rFonts w:ascii="Times New Roman" w:hAnsi="Times New Roman"/>
          <w:szCs w:val="24"/>
        </w:rPr>
        <w:t>含水层，一般厚</w:t>
      </w:r>
      <w:r>
        <w:rPr>
          <w:rFonts w:ascii="Times New Roman" w:hAnsi="Times New Roman"/>
          <w:szCs w:val="24"/>
        </w:rPr>
        <w:t>0.7</w:t>
      </w:r>
      <w:r>
        <w:rPr>
          <w:rFonts w:ascii="Times New Roman" w:hAnsi="Times New Roman"/>
          <w:szCs w:val="24"/>
        </w:rPr>
        <w:t>～</w:t>
      </w:r>
      <w:r>
        <w:rPr>
          <w:rFonts w:ascii="Times New Roman" w:hAnsi="Times New Roman"/>
          <w:szCs w:val="24"/>
        </w:rPr>
        <w:t>5.5m</w:t>
      </w:r>
      <w:r>
        <w:rPr>
          <w:rFonts w:ascii="Times New Roman" w:hAnsi="Times New Roman"/>
          <w:szCs w:val="24"/>
        </w:rPr>
        <w:t>，透水性好，富水性弱，仅在低洼处方含水。一般水位埋深</w:t>
      </w:r>
      <w:r>
        <w:rPr>
          <w:rFonts w:ascii="Times New Roman" w:hAnsi="Times New Roman"/>
          <w:szCs w:val="24"/>
        </w:rPr>
        <w:t>2.46</w:t>
      </w:r>
      <w:r>
        <w:rPr>
          <w:rFonts w:ascii="Times New Roman" w:hAnsi="Times New Roman"/>
          <w:szCs w:val="24"/>
        </w:rPr>
        <w:t>～</w:t>
      </w:r>
      <w:r>
        <w:rPr>
          <w:rFonts w:ascii="Times New Roman" w:hAnsi="Times New Roman"/>
          <w:szCs w:val="24"/>
        </w:rPr>
        <w:t>22.69m</w:t>
      </w:r>
      <w:r>
        <w:rPr>
          <w:rFonts w:ascii="Times New Roman" w:hAnsi="Times New Roman"/>
          <w:szCs w:val="24"/>
        </w:rPr>
        <w:t>，水量很小，</w:t>
      </w:r>
      <w:r>
        <w:rPr>
          <w:rFonts w:ascii="Times New Roman" w:hAnsi="Times New Roman" w:hint="eastAsia"/>
          <w:szCs w:val="24"/>
        </w:rPr>
        <w:t>各矿均未设置长期观测井对其水位进行动态观测。红石湾煤矿环评阶段、环评验收阶段均未对地下水水位进行监测；任家庄煤矿环评阶段未对地下水水位进行监测，环验阶段仅一个地下水监测点。任家庄、红石湾煤矿缺少对第四系水位的监测数据。且由于矿区第四系含水层大多透水不含水，无稳定的潜水含水层，仅低洼处含水，根据下文对地下水环境影响预测，矿区煤层埋藏较深，导裂带导入不到第四系，煤矿开采对第四系影响小。综上，故本次不对第四系含水层水位作主要性回顾评价。</w:t>
      </w:r>
    </w:p>
    <w:p w14:paraId="143C0D1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本次评价收集各矿勘探报告中水位数据，回顾任家庄、红石湾及马莲台煤矿古近系清水营含水岩组、</w:t>
      </w:r>
      <w:r>
        <w:rPr>
          <w:rFonts w:ascii="Times New Roman" w:hAnsi="Times New Roman"/>
          <w:szCs w:val="24"/>
        </w:rPr>
        <w:t>二叠系石盒子组砂岩层间裂隙承压水含水岩组</w:t>
      </w:r>
      <w:r>
        <w:rPr>
          <w:rFonts w:ascii="Times New Roman" w:hAnsi="Times New Roman" w:hint="eastAsia"/>
          <w:szCs w:val="24"/>
        </w:rPr>
        <w:t>、</w:t>
      </w:r>
      <w:r>
        <w:rPr>
          <w:rFonts w:ascii="Times New Roman" w:hAnsi="Times New Roman"/>
          <w:szCs w:val="24"/>
        </w:rPr>
        <w:t>山西组</w:t>
      </w:r>
      <w:r>
        <w:rPr>
          <w:rFonts w:ascii="Times New Roman" w:hAnsi="Times New Roman" w:hint="eastAsia"/>
          <w:szCs w:val="24"/>
        </w:rPr>
        <w:t>~</w:t>
      </w:r>
      <w:r>
        <w:rPr>
          <w:rFonts w:ascii="Times New Roman" w:hAnsi="Times New Roman"/>
          <w:szCs w:val="24"/>
        </w:rPr>
        <w:t>太原组砂岩裂隙孔隙含水层组</w:t>
      </w:r>
      <w:r>
        <w:rPr>
          <w:rFonts w:ascii="Times New Roman" w:hAnsi="Times New Roman" w:hint="eastAsia"/>
          <w:szCs w:val="24"/>
        </w:rPr>
        <w:t>水位情况（见表</w:t>
      </w:r>
      <w:r>
        <w:rPr>
          <w:rFonts w:ascii="Times New Roman" w:hAnsi="Times New Roman" w:hint="eastAsia"/>
          <w:szCs w:val="24"/>
        </w:rPr>
        <w:t>4.3-15</w:t>
      </w:r>
      <w:r>
        <w:rPr>
          <w:rFonts w:ascii="Times New Roman" w:hAnsi="Times New Roman" w:hint="eastAsia"/>
          <w:szCs w:val="24"/>
        </w:rPr>
        <w:t>）。</w:t>
      </w:r>
    </w:p>
    <w:p w14:paraId="5ECED23E" w14:textId="77777777" w:rsidR="009C353B" w:rsidRDefault="00000000">
      <w:pPr>
        <w:adjustRightInd w:val="0"/>
        <w:snapToGrid w:val="0"/>
        <w:spacing w:line="440" w:lineRule="exact"/>
        <w:ind w:firstLineChars="200" w:firstLine="482"/>
        <w:jc w:val="center"/>
        <w:rPr>
          <w:rFonts w:ascii="Times New Roman" w:hAnsi="Times New Roman"/>
          <w:b/>
          <w:szCs w:val="24"/>
        </w:rPr>
      </w:pPr>
      <w:r>
        <w:rPr>
          <w:rFonts w:ascii="Times New Roman" w:hAnsi="Times New Roman" w:hint="eastAsia"/>
          <w:b/>
          <w:szCs w:val="24"/>
        </w:rPr>
        <w:t>任家庄、红石湾及马莲台煤矿碎屑岩类孔隙裂隙含水层（岩组）水位情况</w:t>
      </w:r>
    </w:p>
    <w:p w14:paraId="3F6478C7" w14:textId="77777777" w:rsidR="009C353B" w:rsidRDefault="00000000">
      <w:pPr>
        <w:adjustRightInd w:val="0"/>
        <w:snapToGrid w:val="0"/>
        <w:spacing w:line="440" w:lineRule="exact"/>
        <w:outlineLvl w:val="5"/>
        <w:rPr>
          <w:rFonts w:ascii="Times New Roman" w:hAnsi="Times New Roman"/>
          <w:szCs w:val="24"/>
        </w:rPr>
      </w:pPr>
      <w:r>
        <w:rPr>
          <w:rFonts w:ascii="Times New Roman" w:hAnsi="Times New Roman"/>
          <w:szCs w:val="24"/>
        </w:rPr>
        <w:t>表</w:t>
      </w:r>
      <w:r>
        <w:rPr>
          <w:rFonts w:ascii="Times New Roman" w:hAnsi="Times New Roman"/>
          <w:szCs w:val="24"/>
        </w:rPr>
        <w:t xml:space="preserve"> 4.3</w:t>
      </w:r>
      <w:r>
        <w:rPr>
          <w:rFonts w:ascii="Times New Roman" w:hAnsi="Times New Roman" w:hint="eastAsia"/>
          <w:szCs w:val="24"/>
        </w:rPr>
        <w:t>-</w:t>
      </w:r>
      <w:r>
        <w:rPr>
          <w:rFonts w:ascii="Times New Roman" w:hAnsi="Times New Roman"/>
          <w:szCs w:val="24"/>
        </w:rPr>
        <w:t>1</w:t>
      </w:r>
      <w:r>
        <w:rPr>
          <w:rFonts w:ascii="Times New Roman" w:hAnsi="Times New Roman" w:hint="eastAsia"/>
          <w:szCs w:val="24"/>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135"/>
        <w:gridCol w:w="1417"/>
        <w:gridCol w:w="1843"/>
        <w:gridCol w:w="1807"/>
      </w:tblGrid>
      <w:tr w:rsidR="009C353B" w14:paraId="3CE2B4CC" w14:textId="77777777">
        <w:trPr>
          <w:trHeight w:val="340"/>
        </w:trPr>
        <w:tc>
          <w:tcPr>
            <w:tcW w:w="1661" w:type="pct"/>
            <w:vAlign w:val="center"/>
          </w:tcPr>
          <w:p w14:paraId="0C7A457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含水层（岩组）</w:t>
            </w:r>
          </w:p>
        </w:tc>
        <w:tc>
          <w:tcPr>
            <w:tcW w:w="611" w:type="pct"/>
            <w:vAlign w:val="center"/>
          </w:tcPr>
          <w:p w14:paraId="49C85BB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煤矿名称</w:t>
            </w:r>
          </w:p>
        </w:tc>
        <w:tc>
          <w:tcPr>
            <w:tcW w:w="763" w:type="pct"/>
            <w:shd w:val="clear" w:color="auto" w:fill="auto"/>
            <w:noWrap/>
            <w:vAlign w:val="center"/>
          </w:tcPr>
          <w:p w14:paraId="2672979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钻孔</w:t>
            </w:r>
          </w:p>
        </w:tc>
        <w:tc>
          <w:tcPr>
            <w:tcW w:w="992" w:type="pct"/>
            <w:shd w:val="clear" w:color="auto" w:fill="auto"/>
            <w:noWrap/>
            <w:vAlign w:val="center"/>
          </w:tcPr>
          <w:p w14:paraId="152EC3E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水位埋深</w:t>
            </w:r>
            <w:r>
              <w:rPr>
                <w:rFonts w:ascii="Times New Roman" w:hAnsi="Times New Roman"/>
                <w:kern w:val="0"/>
                <w:sz w:val="21"/>
                <w:szCs w:val="21"/>
              </w:rPr>
              <w:t>/m</w:t>
            </w:r>
          </w:p>
        </w:tc>
        <w:tc>
          <w:tcPr>
            <w:tcW w:w="973" w:type="pct"/>
            <w:shd w:val="clear" w:color="auto" w:fill="auto"/>
            <w:noWrap/>
            <w:vAlign w:val="center"/>
          </w:tcPr>
          <w:p w14:paraId="3E1EC11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水位标高</w:t>
            </w:r>
            <w:r>
              <w:rPr>
                <w:rFonts w:ascii="Times New Roman" w:hAnsi="Times New Roman"/>
                <w:kern w:val="0"/>
                <w:sz w:val="21"/>
                <w:szCs w:val="21"/>
              </w:rPr>
              <w:t>/m</w:t>
            </w:r>
          </w:p>
        </w:tc>
      </w:tr>
      <w:tr w:rsidR="009C353B" w14:paraId="2F2B4A0D" w14:textId="77777777">
        <w:trPr>
          <w:trHeight w:val="340"/>
        </w:trPr>
        <w:tc>
          <w:tcPr>
            <w:tcW w:w="1661" w:type="pct"/>
            <w:vMerge w:val="restart"/>
            <w:vAlign w:val="center"/>
          </w:tcPr>
          <w:p w14:paraId="603ED25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古近系清水营组含水岩组</w:t>
            </w:r>
          </w:p>
        </w:tc>
        <w:tc>
          <w:tcPr>
            <w:tcW w:w="611" w:type="pct"/>
            <w:vMerge w:val="restart"/>
            <w:vAlign w:val="center"/>
          </w:tcPr>
          <w:p w14:paraId="65186AC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红石湾</w:t>
            </w:r>
          </w:p>
        </w:tc>
        <w:tc>
          <w:tcPr>
            <w:tcW w:w="763" w:type="pct"/>
            <w:shd w:val="clear" w:color="auto" w:fill="auto"/>
            <w:noWrap/>
            <w:vAlign w:val="center"/>
          </w:tcPr>
          <w:p w14:paraId="74C6762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242</w:t>
            </w:r>
          </w:p>
        </w:tc>
        <w:tc>
          <w:tcPr>
            <w:tcW w:w="992" w:type="pct"/>
            <w:shd w:val="clear" w:color="auto" w:fill="auto"/>
            <w:noWrap/>
            <w:vAlign w:val="center"/>
          </w:tcPr>
          <w:p w14:paraId="7CB029D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56.9</w:t>
            </w:r>
          </w:p>
        </w:tc>
        <w:tc>
          <w:tcPr>
            <w:tcW w:w="973" w:type="pct"/>
            <w:shd w:val="clear" w:color="auto" w:fill="auto"/>
            <w:noWrap/>
            <w:vAlign w:val="center"/>
          </w:tcPr>
          <w:p w14:paraId="0D41C4E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1265.12</w:t>
            </w:r>
          </w:p>
        </w:tc>
      </w:tr>
      <w:tr w:rsidR="009C353B" w14:paraId="24BBA4EE" w14:textId="77777777">
        <w:trPr>
          <w:trHeight w:val="340"/>
        </w:trPr>
        <w:tc>
          <w:tcPr>
            <w:tcW w:w="1661" w:type="pct"/>
            <w:vMerge/>
            <w:vAlign w:val="center"/>
          </w:tcPr>
          <w:p w14:paraId="2AC4ABCA" w14:textId="77777777" w:rsidR="009C353B" w:rsidRDefault="009C353B">
            <w:pPr>
              <w:widowControl/>
              <w:jc w:val="center"/>
              <w:rPr>
                <w:rFonts w:ascii="Times New Roman" w:hAnsi="Times New Roman"/>
                <w:kern w:val="0"/>
                <w:sz w:val="21"/>
                <w:szCs w:val="21"/>
              </w:rPr>
            </w:pPr>
          </w:p>
        </w:tc>
        <w:tc>
          <w:tcPr>
            <w:tcW w:w="611" w:type="pct"/>
            <w:vMerge/>
            <w:vAlign w:val="center"/>
          </w:tcPr>
          <w:p w14:paraId="55FF40C5"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3C649DF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445</w:t>
            </w:r>
          </w:p>
        </w:tc>
        <w:tc>
          <w:tcPr>
            <w:tcW w:w="992" w:type="pct"/>
            <w:shd w:val="clear" w:color="auto" w:fill="auto"/>
            <w:noWrap/>
            <w:vAlign w:val="center"/>
          </w:tcPr>
          <w:p w14:paraId="7B0D8CE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5.17</w:t>
            </w:r>
          </w:p>
        </w:tc>
        <w:tc>
          <w:tcPr>
            <w:tcW w:w="973" w:type="pct"/>
            <w:shd w:val="clear" w:color="auto" w:fill="auto"/>
            <w:noWrap/>
            <w:vAlign w:val="center"/>
          </w:tcPr>
          <w:p w14:paraId="51E3A19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1205.51</w:t>
            </w:r>
          </w:p>
        </w:tc>
      </w:tr>
      <w:tr w:rsidR="009C353B" w14:paraId="46373DBC" w14:textId="77777777">
        <w:trPr>
          <w:trHeight w:val="340"/>
        </w:trPr>
        <w:tc>
          <w:tcPr>
            <w:tcW w:w="1661" w:type="pct"/>
            <w:vMerge/>
            <w:vAlign w:val="center"/>
          </w:tcPr>
          <w:p w14:paraId="4DB30E56" w14:textId="77777777" w:rsidR="009C353B" w:rsidRDefault="009C353B">
            <w:pPr>
              <w:widowControl/>
              <w:jc w:val="center"/>
              <w:rPr>
                <w:rFonts w:ascii="Times New Roman" w:hAnsi="Times New Roman"/>
                <w:kern w:val="0"/>
                <w:sz w:val="21"/>
                <w:szCs w:val="21"/>
              </w:rPr>
            </w:pPr>
          </w:p>
        </w:tc>
        <w:tc>
          <w:tcPr>
            <w:tcW w:w="611" w:type="pct"/>
            <w:vMerge/>
            <w:vAlign w:val="center"/>
          </w:tcPr>
          <w:p w14:paraId="6939C4D8"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684176D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326</w:t>
            </w:r>
          </w:p>
        </w:tc>
        <w:tc>
          <w:tcPr>
            <w:tcW w:w="992" w:type="pct"/>
            <w:shd w:val="clear" w:color="auto" w:fill="auto"/>
            <w:noWrap/>
            <w:vAlign w:val="center"/>
          </w:tcPr>
          <w:p w14:paraId="327A322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55.2</w:t>
            </w:r>
          </w:p>
        </w:tc>
        <w:tc>
          <w:tcPr>
            <w:tcW w:w="973" w:type="pct"/>
            <w:shd w:val="clear" w:color="auto" w:fill="auto"/>
            <w:noWrap/>
            <w:vAlign w:val="center"/>
          </w:tcPr>
          <w:p w14:paraId="14E23C7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1228.1</w:t>
            </w:r>
          </w:p>
        </w:tc>
      </w:tr>
      <w:tr w:rsidR="009C353B" w14:paraId="04A09211" w14:textId="77777777">
        <w:trPr>
          <w:trHeight w:val="340"/>
        </w:trPr>
        <w:tc>
          <w:tcPr>
            <w:tcW w:w="1661" w:type="pct"/>
            <w:vMerge/>
            <w:vAlign w:val="center"/>
          </w:tcPr>
          <w:p w14:paraId="50482339" w14:textId="77777777" w:rsidR="009C353B" w:rsidRDefault="009C353B">
            <w:pPr>
              <w:widowControl/>
              <w:jc w:val="center"/>
              <w:rPr>
                <w:rFonts w:ascii="Times New Roman" w:hAnsi="Times New Roman"/>
                <w:kern w:val="0"/>
                <w:sz w:val="21"/>
                <w:szCs w:val="21"/>
              </w:rPr>
            </w:pPr>
          </w:p>
        </w:tc>
        <w:tc>
          <w:tcPr>
            <w:tcW w:w="611" w:type="pct"/>
            <w:vMerge/>
            <w:vAlign w:val="center"/>
          </w:tcPr>
          <w:p w14:paraId="7A7C17F2"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05AFA1B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检</w:t>
            </w:r>
            <w:r>
              <w:rPr>
                <w:rFonts w:ascii="Times New Roman" w:hAnsi="Times New Roman"/>
                <w:kern w:val="0"/>
                <w:sz w:val="21"/>
                <w:szCs w:val="21"/>
              </w:rPr>
              <w:t>1</w:t>
            </w:r>
          </w:p>
        </w:tc>
        <w:tc>
          <w:tcPr>
            <w:tcW w:w="992" w:type="pct"/>
            <w:shd w:val="clear" w:color="auto" w:fill="auto"/>
            <w:noWrap/>
            <w:vAlign w:val="center"/>
          </w:tcPr>
          <w:p w14:paraId="3DDCAF3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48.94</w:t>
            </w:r>
          </w:p>
        </w:tc>
        <w:tc>
          <w:tcPr>
            <w:tcW w:w="973" w:type="pct"/>
            <w:shd w:val="clear" w:color="auto" w:fill="auto"/>
            <w:noWrap/>
            <w:vAlign w:val="center"/>
          </w:tcPr>
          <w:p w14:paraId="5639DB5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1182.69</w:t>
            </w:r>
          </w:p>
        </w:tc>
      </w:tr>
      <w:tr w:rsidR="009C353B" w14:paraId="2DE99690" w14:textId="77777777">
        <w:trPr>
          <w:trHeight w:val="340"/>
        </w:trPr>
        <w:tc>
          <w:tcPr>
            <w:tcW w:w="1661" w:type="pct"/>
            <w:vMerge/>
            <w:vAlign w:val="center"/>
          </w:tcPr>
          <w:p w14:paraId="1F105A83" w14:textId="77777777" w:rsidR="009C353B" w:rsidRDefault="009C353B">
            <w:pPr>
              <w:widowControl/>
              <w:jc w:val="center"/>
              <w:rPr>
                <w:rFonts w:ascii="Times New Roman" w:hAnsi="Times New Roman"/>
                <w:kern w:val="0"/>
                <w:sz w:val="21"/>
                <w:szCs w:val="21"/>
              </w:rPr>
            </w:pPr>
          </w:p>
        </w:tc>
        <w:tc>
          <w:tcPr>
            <w:tcW w:w="611" w:type="pct"/>
            <w:vMerge/>
            <w:vAlign w:val="center"/>
          </w:tcPr>
          <w:p w14:paraId="516D203E"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627ABD6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1701</w:t>
            </w:r>
          </w:p>
        </w:tc>
        <w:tc>
          <w:tcPr>
            <w:tcW w:w="992" w:type="pct"/>
            <w:shd w:val="clear" w:color="auto" w:fill="auto"/>
            <w:noWrap/>
            <w:vAlign w:val="center"/>
          </w:tcPr>
          <w:p w14:paraId="19C0A17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21.58</w:t>
            </w:r>
          </w:p>
        </w:tc>
        <w:tc>
          <w:tcPr>
            <w:tcW w:w="973" w:type="pct"/>
            <w:shd w:val="clear" w:color="auto" w:fill="auto"/>
            <w:noWrap/>
            <w:vAlign w:val="center"/>
          </w:tcPr>
          <w:p w14:paraId="0DFFEB1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1200.11</w:t>
            </w:r>
          </w:p>
        </w:tc>
      </w:tr>
      <w:tr w:rsidR="009C353B" w14:paraId="7E22BFD5" w14:textId="77777777">
        <w:trPr>
          <w:trHeight w:val="340"/>
        </w:trPr>
        <w:tc>
          <w:tcPr>
            <w:tcW w:w="1661" w:type="pct"/>
            <w:vMerge/>
            <w:vAlign w:val="center"/>
          </w:tcPr>
          <w:p w14:paraId="7541CC4E" w14:textId="77777777" w:rsidR="009C353B" w:rsidRDefault="009C353B">
            <w:pPr>
              <w:widowControl/>
              <w:jc w:val="center"/>
              <w:rPr>
                <w:rFonts w:ascii="Times New Roman" w:hAnsi="Times New Roman"/>
                <w:kern w:val="0"/>
                <w:sz w:val="21"/>
                <w:szCs w:val="21"/>
              </w:rPr>
            </w:pPr>
          </w:p>
        </w:tc>
        <w:tc>
          <w:tcPr>
            <w:tcW w:w="611" w:type="pct"/>
            <w:vAlign w:val="center"/>
          </w:tcPr>
          <w:p w14:paraId="7847BCC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任家庄</w:t>
            </w:r>
          </w:p>
        </w:tc>
        <w:tc>
          <w:tcPr>
            <w:tcW w:w="763" w:type="pct"/>
            <w:shd w:val="clear" w:color="auto" w:fill="auto"/>
            <w:noWrap/>
            <w:vAlign w:val="center"/>
          </w:tcPr>
          <w:p w14:paraId="7322F7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ZK02</w:t>
            </w:r>
          </w:p>
        </w:tc>
        <w:tc>
          <w:tcPr>
            <w:tcW w:w="992" w:type="pct"/>
            <w:shd w:val="clear" w:color="auto" w:fill="auto"/>
            <w:noWrap/>
            <w:vAlign w:val="center"/>
          </w:tcPr>
          <w:p w14:paraId="1F6C0A2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44.52</w:t>
            </w:r>
          </w:p>
        </w:tc>
        <w:tc>
          <w:tcPr>
            <w:tcW w:w="973" w:type="pct"/>
            <w:shd w:val="clear" w:color="auto" w:fill="auto"/>
            <w:noWrap/>
            <w:vAlign w:val="center"/>
          </w:tcPr>
          <w:p w14:paraId="0ECD898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265.603</w:t>
            </w:r>
          </w:p>
        </w:tc>
      </w:tr>
      <w:tr w:rsidR="009C353B" w14:paraId="56FA40A9" w14:textId="77777777">
        <w:trPr>
          <w:trHeight w:val="340"/>
        </w:trPr>
        <w:tc>
          <w:tcPr>
            <w:tcW w:w="1661" w:type="pct"/>
            <w:vMerge/>
            <w:vAlign w:val="center"/>
          </w:tcPr>
          <w:p w14:paraId="162657E0" w14:textId="77777777" w:rsidR="009C353B" w:rsidRDefault="009C353B">
            <w:pPr>
              <w:widowControl/>
              <w:jc w:val="center"/>
              <w:rPr>
                <w:rFonts w:ascii="Times New Roman" w:hAnsi="Times New Roman"/>
                <w:kern w:val="0"/>
                <w:sz w:val="21"/>
                <w:szCs w:val="21"/>
              </w:rPr>
            </w:pPr>
          </w:p>
        </w:tc>
        <w:tc>
          <w:tcPr>
            <w:tcW w:w="611" w:type="pct"/>
            <w:vMerge w:val="restart"/>
            <w:vAlign w:val="center"/>
          </w:tcPr>
          <w:p w14:paraId="5805EBD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马莲台</w:t>
            </w:r>
          </w:p>
        </w:tc>
        <w:tc>
          <w:tcPr>
            <w:tcW w:w="763" w:type="pct"/>
            <w:shd w:val="clear" w:color="auto" w:fill="auto"/>
            <w:noWrap/>
            <w:vAlign w:val="center"/>
          </w:tcPr>
          <w:p w14:paraId="76356B2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B1-1</w:t>
            </w:r>
          </w:p>
        </w:tc>
        <w:tc>
          <w:tcPr>
            <w:tcW w:w="992" w:type="pct"/>
            <w:shd w:val="clear" w:color="auto" w:fill="auto"/>
            <w:noWrap/>
            <w:vAlign w:val="center"/>
          </w:tcPr>
          <w:p w14:paraId="7A5D6F8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19.05</w:t>
            </w:r>
          </w:p>
        </w:tc>
        <w:tc>
          <w:tcPr>
            <w:tcW w:w="973" w:type="pct"/>
            <w:shd w:val="clear" w:color="auto" w:fill="auto"/>
            <w:noWrap/>
            <w:vAlign w:val="center"/>
          </w:tcPr>
          <w:p w14:paraId="6D8D0B6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1216.42</w:t>
            </w:r>
          </w:p>
        </w:tc>
      </w:tr>
      <w:tr w:rsidR="009C353B" w14:paraId="46E0C41C" w14:textId="77777777">
        <w:trPr>
          <w:trHeight w:val="340"/>
        </w:trPr>
        <w:tc>
          <w:tcPr>
            <w:tcW w:w="1661" w:type="pct"/>
            <w:vMerge/>
            <w:vAlign w:val="center"/>
          </w:tcPr>
          <w:p w14:paraId="598F64B1" w14:textId="77777777" w:rsidR="009C353B" w:rsidRDefault="009C353B">
            <w:pPr>
              <w:widowControl/>
              <w:jc w:val="center"/>
              <w:rPr>
                <w:rFonts w:ascii="Times New Roman" w:hAnsi="Times New Roman"/>
                <w:kern w:val="0"/>
                <w:sz w:val="21"/>
                <w:szCs w:val="21"/>
              </w:rPr>
            </w:pPr>
          </w:p>
        </w:tc>
        <w:tc>
          <w:tcPr>
            <w:tcW w:w="611" w:type="pct"/>
            <w:vMerge/>
            <w:vAlign w:val="center"/>
          </w:tcPr>
          <w:p w14:paraId="6D16B736"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1B7F757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133</w:t>
            </w:r>
          </w:p>
        </w:tc>
        <w:tc>
          <w:tcPr>
            <w:tcW w:w="992" w:type="pct"/>
            <w:shd w:val="clear" w:color="auto" w:fill="auto"/>
            <w:noWrap/>
            <w:vAlign w:val="center"/>
          </w:tcPr>
          <w:p w14:paraId="03C986B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9.62</w:t>
            </w:r>
          </w:p>
        </w:tc>
        <w:tc>
          <w:tcPr>
            <w:tcW w:w="973" w:type="pct"/>
            <w:shd w:val="clear" w:color="auto" w:fill="auto"/>
            <w:noWrap/>
            <w:vAlign w:val="center"/>
          </w:tcPr>
          <w:p w14:paraId="6542987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1249.17</w:t>
            </w:r>
          </w:p>
        </w:tc>
      </w:tr>
      <w:tr w:rsidR="009C353B" w14:paraId="38EA6086" w14:textId="77777777">
        <w:trPr>
          <w:trHeight w:val="340"/>
        </w:trPr>
        <w:tc>
          <w:tcPr>
            <w:tcW w:w="1661" w:type="pct"/>
            <w:vMerge/>
            <w:vAlign w:val="center"/>
          </w:tcPr>
          <w:p w14:paraId="37D031B3" w14:textId="77777777" w:rsidR="009C353B" w:rsidRDefault="009C353B">
            <w:pPr>
              <w:widowControl/>
              <w:jc w:val="center"/>
              <w:rPr>
                <w:rFonts w:ascii="Times New Roman" w:hAnsi="Times New Roman"/>
                <w:kern w:val="0"/>
                <w:sz w:val="21"/>
                <w:szCs w:val="21"/>
              </w:rPr>
            </w:pPr>
          </w:p>
        </w:tc>
        <w:tc>
          <w:tcPr>
            <w:tcW w:w="611" w:type="pct"/>
            <w:vMerge/>
            <w:vAlign w:val="center"/>
          </w:tcPr>
          <w:p w14:paraId="490F7D76"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724D051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2504</w:t>
            </w:r>
          </w:p>
        </w:tc>
        <w:tc>
          <w:tcPr>
            <w:tcW w:w="992" w:type="pct"/>
            <w:shd w:val="clear" w:color="auto" w:fill="auto"/>
            <w:noWrap/>
            <w:vAlign w:val="center"/>
          </w:tcPr>
          <w:p w14:paraId="0FC9FCEF"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6.39</w:t>
            </w:r>
          </w:p>
        </w:tc>
        <w:tc>
          <w:tcPr>
            <w:tcW w:w="973" w:type="pct"/>
            <w:shd w:val="clear" w:color="auto" w:fill="auto"/>
            <w:noWrap/>
            <w:vAlign w:val="center"/>
          </w:tcPr>
          <w:p w14:paraId="52F916B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1231.24</w:t>
            </w:r>
          </w:p>
        </w:tc>
      </w:tr>
      <w:tr w:rsidR="009C353B" w14:paraId="372A5E1C" w14:textId="77777777">
        <w:trPr>
          <w:trHeight w:val="340"/>
        </w:trPr>
        <w:tc>
          <w:tcPr>
            <w:tcW w:w="1661" w:type="pct"/>
            <w:vMerge w:val="restart"/>
            <w:vAlign w:val="center"/>
          </w:tcPr>
          <w:p w14:paraId="1285C4E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二叠系石盒子组含水岩组</w:t>
            </w:r>
          </w:p>
        </w:tc>
        <w:tc>
          <w:tcPr>
            <w:tcW w:w="611" w:type="pct"/>
            <w:vMerge w:val="restart"/>
            <w:vAlign w:val="center"/>
          </w:tcPr>
          <w:p w14:paraId="30E0A68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红石湾</w:t>
            </w:r>
          </w:p>
        </w:tc>
        <w:tc>
          <w:tcPr>
            <w:tcW w:w="763" w:type="pct"/>
            <w:shd w:val="clear" w:color="auto" w:fill="auto"/>
            <w:noWrap/>
            <w:vAlign w:val="center"/>
          </w:tcPr>
          <w:p w14:paraId="3561F24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406</w:t>
            </w:r>
          </w:p>
        </w:tc>
        <w:tc>
          <w:tcPr>
            <w:tcW w:w="992" w:type="pct"/>
            <w:shd w:val="clear" w:color="auto" w:fill="auto"/>
            <w:noWrap/>
            <w:vAlign w:val="center"/>
          </w:tcPr>
          <w:p w14:paraId="0999123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12.26</w:t>
            </w:r>
          </w:p>
        </w:tc>
        <w:tc>
          <w:tcPr>
            <w:tcW w:w="973" w:type="pct"/>
            <w:shd w:val="clear" w:color="auto" w:fill="auto"/>
            <w:noWrap/>
            <w:vAlign w:val="center"/>
          </w:tcPr>
          <w:p w14:paraId="505DBD0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1212.23</w:t>
            </w:r>
          </w:p>
        </w:tc>
      </w:tr>
      <w:tr w:rsidR="009C353B" w14:paraId="65EE92F6" w14:textId="77777777">
        <w:trPr>
          <w:trHeight w:val="340"/>
        </w:trPr>
        <w:tc>
          <w:tcPr>
            <w:tcW w:w="1661" w:type="pct"/>
            <w:vMerge/>
            <w:vAlign w:val="center"/>
          </w:tcPr>
          <w:p w14:paraId="6F692F76" w14:textId="77777777" w:rsidR="009C353B" w:rsidRDefault="009C353B">
            <w:pPr>
              <w:widowControl/>
              <w:jc w:val="center"/>
              <w:rPr>
                <w:rFonts w:ascii="Times New Roman" w:hAnsi="Times New Roman"/>
                <w:kern w:val="0"/>
                <w:sz w:val="21"/>
                <w:szCs w:val="21"/>
              </w:rPr>
            </w:pPr>
          </w:p>
        </w:tc>
        <w:tc>
          <w:tcPr>
            <w:tcW w:w="611" w:type="pct"/>
            <w:vMerge/>
            <w:vAlign w:val="center"/>
          </w:tcPr>
          <w:p w14:paraId="314EB329"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333BF7F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检</w:t>
            </w:r>
            <w:r>
              <w:rPr>
                <w:rFonts w:ascii="Times New Roman" w:hAnsi="Times New Roman"/>
                <w:kern w:val="0"/>
                <w:sz w:val="21"/>
                <w:szCs w:val="21"/>
              </w:rPr>
              <w:t>2</w:t>
            </w:r>
          </w:p>
        </w:tc>
        <w:tc>
          <w:tcPr>
            <w:tcW w:w="992" w:type="pct"/>
            <w:shd w:val="clear" w:color="auto" w:fill="auto"/>
            <w:noWrap/>
            <w:vAlign w:val="center"/>
          </w:tcPr>
          <w:p w14:paraId="1EA3E6C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43.19</w:t>
            </w:r>
          </w:p>
        </w:tc>
        <w:tc>
          <w:tcPr>
            <w:tcW w:w="973" w:type="pct"/>
            <w:shd w:val="clear" w:color="auto" w:fill="auto"/>
            <w:noWrap/>
            <w:vAlign w:val="center"/>
          </w:tcPr>
          <w:p w14:paraId="10D8BD9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1183.04</w:t>
            </w:r>
          </w:p>
        </w:tc>
      </w:tr>
      <w:tr w:rsidR="009C353B" w14:paraId="663433E3" w14:textId="77777777">
        <w:trPr>
          <w:trHeight w:val="340"/>
        </w:trPr>
        <w:tc>
          <w:tcPr>
            <w:tcW w:w="1661" w:type="pct"/>
            <w:vMerge/>
            <w:vAlign w:val="center"/>
          </w:tcPr>
          <w:p w14:paraId="0C88D54A" w14:textId="77777777" w:rsidR="009C353B" w:rsidRDefault="009C353B">
            <w:pPr>
              <w:widowControl/>
              <w:jc w:val="center"/>
              <w:rPr>
                <w:rFonts w:ascii="Times New Roman" w:hAnsi="Times New Roman"/>
                <w:kern w:val="0"/>
                <w:sz w:val="21"/>
                <w:szCs w:val="21"/>
              </w:rPr>
            </w:pPr>
          </w:p>
        </w:tc>
        <w:tc>
          <w:tcPr>
            <w:tcW w:w="611" w:type="pct"/>
            <w:vMerge w:val="restart"/>
            <w:vAlign w:val="center"/>
          </w:tcPr>
          <w:p w14:paraId="786B3D4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任家庄</w:t>
            </w:r>
          </w:p>
        </w:tc>
        <w:tc>
          <w:tcPr>
            <w:tcW w:w="763" w:type="pct"/>
            <w:shd w:val="clear" w:color="auto" w:fill="auto"/>
            <w:noWrap/>
            <w:vAlign w:val="center"/>
          </w:tcPr>
          <w:p w14:paraId="451A3B2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ZK02</w:t>
            </w:r>
          </w:p>
        </w:tc>
        <w:tc>
          <w:tcPr>
            <w:tcW w:w="992" w:type="pct"/>
            <w:shd w:val="clear" w:color="auto" w:fill="auto"/>
            <w:noWrap/>
            <w:vAlign w:val="center"/>
          </w:tcPr>
          <w:p w14:paraId="1A5D600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110.54</w:t>
            </w:r>
          </w:p>
        </w:tc>
        <w:tc>
          <w:tcPr>
            <w:tcW w:w="973" w:type="pct"/>
            <w:shd w:val="clear" w:color="auto" w:fill="auto"/>
            <w:noWrap/>
            <w:vAlign w:val="center"/>
          </w:tcPr>
          <w:p w14:paraId="0B3AB4B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199.583</w:t>
            </w:r>
          </w:p>
        </w:tc>
      </w:tr>
      <w:tr w:rsidR="009C353B" w14:paraId="31F9B60A" w14:textId="77777777">
        <w:trPr>
          <w:trHeight w:val="340"/>
        </w:trPr>
        <w:tc>
          <w:tcPr>
            <w:tcW w:w="1661" w:type="pct"/>
            <w:vMerge/>
            <w:vAlign w:val="center"/>
          </w:tcPr>
          <w:p w14:paraId="7BB77004" w14:textId="77777777" w:rsidR="009C353B" w:rsidRDefault="009C353B">
            <w:pPr>
              <w:widowControl/>
              <w:jc w:val="center"/>
              <w:rPr>
                <w:rFonts w:ascii="Times New Roman" w:hAnsi="Times New Roman"/>
                <w:kern w:val="0"/>
                <w:sz w:val="21"/>
                <w:szCs w:val="21"/>
              </w:rPr>
            </w:pPr>
          </w:p>
        </w:tc>
        <w:tc>
          <w:tcPr>
            <w:tcW w:w="611" w:type="pct"/>
            <w:vMerge/>
            <w:vAlign w:val="center"/>
          </w:tcPr>
          <w:p w14:paraId="47514084"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1324D38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ZK03</w:t>
            </w:r>
          </w:p>
        </w:tc>
        <w:tc>
          <w:tcPr>
            <w:tcW w:w="992" w:type="pct"/>
            <w:shd w:val="clear" w:color="auto" w:fill="auto"/>
            <w:noWrap/>
            <w:vAlign w:val="center"/>
          </w:tcPr>
          <w:p w14:paraId="06D4D2F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112.27</w:t>
            </w:r>
          </w:p>
        </w:tc>
        <w:tc>
          <w:tcPr>
            <w:tcW w:w="973" w:type="pct"/>
            <w:shd w:val="clear" w:color="auto" w:fill="auto"/>
            <w:noWrap/>
            <w:vAlign w:val="center"/>
          </w:tcPr>
          <w:p w14:paraId="2DAF1D0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218.183</w:t>
            </w:r>
          </w:p>
        </w:tc>
      </w:tr>
      <w:tr w:rsidR="009C353B" w14:paraId="7D4EC45B" w14:textId="77777777">
        <w:trPr>
          <w:trHeight w:val="340"/>
        </w:trPr>
        <w:tc>
          <w:tcPr>
            <w:tcW w:w="1661" w:type="pct"/>
            <w:vMerge/>
            <w:vAlign w:val="center"/>
          </w:tcPr>
          <w:p w14:paraId="53C97A51" w14:textId="77777777" w:rsidR="009C353B" w:rsidRDefault="009C353B">
            <w:pPr>
              <w:widowControl/>
              <w:jc w:val="center"/>
              <w:rPr>
                <w:rFonts w:ascii="Times New Roman" w:hAnsi="Times New Roman"/>
                <w:kern w:val="0"/>
                <w:sz w:val="21"/>
                <w:szCs w:val="21"/>
              </w:rPr>
            </w:pPr>
          </w:p>
        </w:tc>
        <w:tc>
          <w:tcPr>
            <w:tcW w:w="611" w:type="pct"/>
            <w:vMerge w:val="restart"/>
            <w:vAlign w:val="center"/>
          </w:tcPr>
          <w:p w14:paraId="736669B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马莲台</w:t>
            </w:r>
          </w:p>
        </w:tc>
        <w:tc>
          <w:tcPr>
            <w:tcW w:w="763" w:type="pct"/>
            <w:shd w:val="clear" w:color="auto" w:fill="auto"/>
            <w:noWrap/>
            <w:vAlign w:val="center"/>
          </w:tcPr>
          <w:p w14:paraId="3AF267B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S2708</w:t>
            </w:r>
          </w:p>
        </w:tc>
        <w:tc>
          <w:tcPr>
            <w:tcW w:w="992" w:type="pct"/>
            <w:shd w:val="clear" w:color="auto" w:fill="auto"/>
            <w:noWrap/>
            <w:vAlign w:val="center"/>
          </w:tcPr>
          <w:p w14:paraId="008200B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39.06</w:t>
            </w:r>
          </w:p>
        </w:tc>
        <w:tc>
          <w:tcPr>
            <w:tcW w:w="973" w:type="pct"/>
            <w:shd w:val="clear" w:color="auto" w:fill="auto"/>
            <w:noWrap/>
            <w:vAlign w:val="center"/>
          </w:tcPr>
          <w:p w14:paraId="16635F6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1208.56</w:t>
            </w:r>
          </w:p>
        </w:tc>
      </w:tr>
      <w:tr w:rsidR="009C353B" w14:paraId="0E038485" w14:textId="77777777">
        <w:trPr>
          <w:trHeight w:val="340"/>
        </w:trPr>
        <w:tc>
          <w:tcPr>
            <w:tcW w:w="1661" w:type="pct"/>
            <w:vMerge/>
            <w:vAlign w:val="center"/>
          </w:tcPr>
          <w:p w14:paraId="51CFE4A3" w14:textId="77777777" w:rsidR="009C353B" w:rsidRDefault="009C353B">
            <w:pPr>
              <w:widowControl/>
              <w:jc w:val="center"/>
              <w:rPr>
                <w:rFonts w:ascii="Times New Roman" w:hAnsi="Times New Roman"/>
                <w:kern w:val="0"/>
                <w:sz w:val="21"/>
                <w:szCs w:val="21"/>
              </w:rPr>
            </w:pPr>
          </w:p>
        </w:tc>
        <w:tc>
          <w:tcPr>
            <w:tcW w:w="611" w:type="pct"/>
            <w:vMerge/>
            <w:vAlign w:val="center"/>
          </w:tcPr>
          <w:p w14:paraId="2F830FF7"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52084CE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B5-1</w:t>
            </w:r>
          </w:p>
        </w:tc>
        <w:tc>
          <w:tcPr>
            <w:tcW w:w="992" w:type="pct"/>
            <w:shd w:val="clear" w:color="auto" w:fill="auto"/>
            <w:noWrap/>
            <w:vAlign w:val="center"/>
          </w:tcPr>
          <w:p w14:paraId="237AE90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16.83</w:t>
            </w:r>
          </w:p>
        </w:tc>
        <w:tc>
          <w:tcPr>
            <w:tcW w:w="973" w:type="pct"/>
            <w:shd w:val="clear" w:color="auto" w:fill="auto"/>
            <w:noWrap/>
            <w:vAlign w:val="center"/>
          </w:tcPr>
          <w:p w14:paraId="3D4B54D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1222.96</w:t>
            </w:r>
          </w:p>
        </w:tc>
      </w:tr>
      <w:tr w:rsidR="009C353B" w14:paraId="1A68A32A" w14:textId="77777777">
        <w:trPr>
          <w:trHeight w:val="340"/>
        </w:trPr>
        <w:tc>
          <w:tcPr>
            <w:tcW w:w="1661" w:type="pct"/>
            <w:vMerge/>
            <w:vAlign w:val="center"/>
          </w:tcPr>
          <w:p w14:paraId="37FF9AD0" w14:textId="77777777" w:rsidR="009C353B" w:rsidRDefault="009C353B">
            <w:pPr>
              <w:widowControl/>
              <w:jc w:val="center"/>
              <w:rPr>
                <w:rFonts w:ascii="Times New Roman" w:hAnsi="Times New Roman"/>
                <w:kern w:val="0"/>
                <w:sz w:val="21"/>
                <w:szCs w:val="21"/>
              </w:rPr>
            </w:pPr>
          </w:p>
        </w:tc>
        <w:tc>
          <w:tcPr>
            <w:tcW w:w="611" w:type="pct"/>
            <w:vMerge/>
            <w:vAlign w:val="center"/>
          </w:tcPr>
          <w:p w14:paraId="63E2F5C0"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14FABEF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2502</w:t>
            </w:r>
          </w:p>
        </w:tc>
        <w:tc>
          <w:tcPr>
            <w:tcW w:w="992" w:type="pct"/>
            <w:shd w:val="clear" w:color="auto" w:fill="auto"/>
            <w:noWrap/>
            <w:vAlign w:val="center"/>
          </w:tcPr>
          <w:p w14:paraId="727BBE2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14.73</w:t>
            </w:r>
          </w:p>
          <w:p w14:paraId="103AA427" w14:textId="77777777" w:rsidR="009C353B" w:rsidRDefault="009C353B">
            <w:pPr>
              <w:widowControl/>
              <w:jc w:val="center"/>
              <w:rPr>
                <w:rFonts w:ascii="Times New Roman" w:hAnsi="Times New Roman"/>
                <w:kern w:val="0"/>
                <w:sz w:val="21"/>
                <w:szCs w:val="21"/>
              </w:rPr>
            </w:pPr>
          </w:p>
        </w:tc>
        <w:tc>
          <w:tcPr>
            <w:tcW w:w="973" w:type="pct"/>
            <w:shd w:val="clear" w:color="auto" w:fill="auto"/>
            <w:noWrap/>
            <w:vAlign w:val="center"/>
          </w:tcPr>
          <w:p w14:paraId="34B838D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1218.78</w:t>
            </w:r>
          </w:p>
        </w:tc>
      </w:tr>
      <w:tr w:rsidR="009C353B" w14:paraId="42E1A71B" w14:textId="77777777">
        <w:trPr>
          <w:trHeight w:val="340"/>
        </w:trPr>
        <w:tc>
          <w:tcPr>
            <w:tcW w:w="1661" w:type="pct"/>
            <w:vMerge w:val="restart"/>
            <w:vAlign w:val="center"/>
          </w:tcPr>
          <w:p w14:paraId="3B4831B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山西组</w:t>
            </w:r>
            <w:r>
              <w:rPr>
                <w:rFonts w:ascii="Times New Roman" w:hAnsi="Times New Roman"/>
                <w:kern w:val="0"/>
                <w:sz w:val="21"/>
                <w:szCs w:val="21"/>
              </w:rPr>
              <w:t>~</w:t>
            </w:r>
            <w:r>
              <w:rPr>
                <w:rFonts w:ascii="Times New Roman" w:hAnsi="Times New Roman"/>
                <w:kern w:val="0"/>
                <w:sz w:val="21"/>
                <w:szCs w:val="21"/>
              </w:rPr>
              <w:t>太原组含水岩组</w:t>
            </w:r>
          </w:p>
        </w:tc>
        <w:tc>
          <w:tcPr>
            <w:tcW w:w="611" w:type="pct"/>
            <w:vMerge w:val="restart"/>
            <w:vAlign w:val="center"/>
          </w:tcPr>
          <w:p w14:paraId="5BA705F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红石湾</w:t>
            </w:r>
          </w:p>
        </w:tc>
        <w:tc>
          <w:tcPr>
            <w:tcW w:w="763" w:type="pct"/>
            <w:shd w:val="clear" w:color="auto" w:fill="auto"/>
            <w:noWrap/>
            <w:vAlign w:val="center"/>
          </w:tcPr>
          <w:p w14:paraId="319C336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214</w:t>
            </w:r>
          </w:p>
        </w:tc>
        <w:tc>
          <w:tcPr>
            <w:tcW w:w="992" w:type="pct"/>
            <w:shd w:val="clear" w:color="auto" w:fill="auto"/>
            <w:noWrap/>
            <w:vAlign w:val="center"/>
          </w:tcPr>
          <w:p w14:paraId="506C3D5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142.38</w:t>
            </w:r>
          </w:p>
        </w:tc>
        <w:tc>
          <w:tcPr>
            <w:tcW w:w="973" w:type="pct"/>
            <w:shd w:val="clear" w:color="auto" w:fill="auto"/>
            <w:noWrap/>
            <w:vAlign w:val="center"/>
          </w:tcPr>
          <w:p w14:paraId="6379634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1202.33</w:t>
            </w:r>
          </w:p>
        </w:tc>
      </w:tr>
      <w:tr w:rsidR="009C353B" w14:paraId="17872465" w14:textId="77777777">
        <w:trPr>
          <w:trHeight w:val="340"/>
        </w:trPr>
        <w:tc>
          <w:tcPr>
            <w:tcW w:w="1661" w:type="pct"/>
            <w:vMerge/>
            <w:vAlign w:val="center"/>
          </w:tcPr>
          <w:p w14:paraId="65D47F43" w14:textId="77777777" w:rsidR="009C353B" w:rsidRDefault="009C353B">
            <w:pPr>
              <w:widowControl/>
              <w:jc w:val="center"/>
              <w:rPr>
                <w:rFonts w:ascii="Times New Roman" w:hAnsi="Times New Roman"/>
                <w:kern w:val="0"/>
                <w:sz w:val="21"/>
                <w:szCs w:val="21"/>
              </w:rPr>
            </w:pPr>
          </w:p>
        </w:tc>
        <w:tc>
          <w:tcPr>
            <w:tcW w:w="611" w:type="pct"/>
            <w:vMerge/>
            <w:vAlign w:val="center"/>
          </w:tcPr>
          <w:p w14:paraId="24231FFB"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728EB69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310</w:t>
            </w:r>
          </w:p>
        </w:tc>
        <w:tc>
          <w:tcPr>
            <w:tcW w:w="992" w:type="pct"/>
            <w:shd w:val="clear" w:color="auto" w:fill="auto"/>
            <w:noWrap/>
            <w:vAlign w:val="center"/>
          </w:tcPr>
          <w:p w14:paraId="67FF0FC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96.53</w:t>
            </w:r>
          </w:p>
        </w:tc>
        <w:tc>
          <w:tcPr>
            <w:tcW w:w="973" w:type="pct"/>
            <w:shd w:val="clear" w:color="auto" w:fill="auto"/>
            <w:noWrap/>
            <w:vAlign w:val="center"/>
          </w:tcPr>
          <w:p w14:paraId="3F0E029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1187.79</w:t>
            </w:r>
          </w:p>
        </w:tc>
      </w:tr>
      <w:tr w:rsidR="009C353B" w14:paraId="4385FBBD" w14:textId="77777777">
        <w:trPr>
          <w:trHeight w:val="340"/>
        </w:trPr>
        <w:tc>
          <w:tcPr>
            <w:tcW w:w="1661" w:type="pct"/>
            <w:vMerge/>
            <w:vAlign w:val="center"/>
          </w:tcPr>
          <w:p w14:paraId="368BE4A0" w14:textId="77777777" w:rsidR="009C353B" w:rsidRDefault="009C353B">
            <w:pPr>
              <w:widowControl/>
              <w:jc w:val="center"/>
              <w:rPr>
                <w:rFonts w:ascii="Times New Roman" w:hAnsi="Times New Roman"/>
                <w:kern w:val="0"/>
                <w:sz w:val="21"/>
                <w:szCs w:val="21"/>
              </w:rPr>
            </w:pPr>
          </w:p>
        </w:tc>
        <w:tc>
          <w:tcPr>
            <w:tcW w:w="611" w:type="pct"/>
            <w:vMerge/>
            <w:vAlign w:val="center"/>
          </w:tcPr>
          <w:p w14:paraId="2FCE8EDD"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224B8BB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416</w:t>
            </w:r>
          </w:p>
        </w:tc>
        <w:tc>
          <w:tcPr>
            <w:tcW w:w="992" w:type="pct"/>
            <w:shd w:val="clear" w:color="auto" w:fill="auto"/>
            <w:noWrap/>
            <w:vAlign w:val="center"/>
          </w:tcPr>
          <w:p w14:paraId="473C376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30.96</w:t>
            </w:r>
          </w:p>
        </w:tc>
        <w:tc>
          <w:tcPr>
            <w:tcW w:w="973" w:type="pct"/>
            <w:shd w:val="clear" w:color="auto" w:fill="auto"/>
            <w:noWrap/>
            <w:vAlign w:val="center"/>
          </w:tcPr>
          <w:p w14:paraId="6C27877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1190.84</w:t>
            </w:r>
          </w:p>
        </w:tc>
      </w:tr>
      <w:tr w:rsidR="009C353B" w14:paraId="214C2B17" w14:textId="77777777">
        <w:trPr>
          <w:trHeight w:val="340"/>
        </w:trPr>
        <w:tc>
          <w:tcPr>
            <w:tcW w:w="1661" w:type="pct"/>
            <w:vMerge/>
            <w:vAlign w:val="center"/>
          </w:tcPr>
          <w:p w14:paraId="06174B05" w14:textId="77777777" w:rsidR="009C353B" w:rsidRDefault="009C353B">
            <w:pPr>
              <w:widowControl/>
              <w:jc w:val="center"/>
              <w:rPr>
                <w:rFonts w:ascii="Times New Roman" w:hAnsi="Times New Roman"/>
                <w:kern w:val="0"/>
                <w:sz w:val="21"/>
                <w:szCs w:val="21"/>
              </w:rPr>
            </w:pPr>
          </w:p>
        </w:tc>
        <w:tc>
          <w:tcPr>
            <w:tcW w:w="611" w:type="pct"/>
            <w:vMerge/>
            <w:vAlign w:val="center"/>
          </w:tcPr>
          <w:p w14:paraId="46A5ABA0"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5CB5E46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检</w:t>
            </w:r>
            <w:r>
              <w:rPr>
                <w:rFonts w:ascii="Times New Roman" w:hAnsi="Times New Roman"/>
                <w:sz w:val="21"/>
                <w:szCs w:val="21"/>
              </w:rPr>
              <w:t>2</w:t>
            </w:r>
          </w:p>
        </w:tc>
        <w:tc>
          <w:tcPr>
            <w:tcW w:w="992" w:type="pct"/>
            <w:shd w:val="clear" w:color="auto" w:fill="auto"/>
            <w:noWrap/>
            <w:vAlign w:val="center"/>
          </w:tcPr>
          <w:p w14:paraId="4909187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57.59</w:t>
            </w:r>
          </w:p>
        </w:tc>
        <w:tc>
          <w:tcPr>
            <w:tcW w:w="973" w:type="pct"/>
            <w:shd w:val="clear" w:color="auto" w:fill="auto"/>
            <w:noWrap/>
            <w:vAlign w:val="center"/>
          </w:tcPr>
          <w:p w14:paraId="7CFD6D0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1168.64</w:t>
            </w:r>
          </w:p>
        </w:tc>
      </w:tr>
      <w:tr w:rsidR="009C353B" w14:paraId="46C22D4C" w14:textId="77777777">
        <w:trPr>
          <w:trHeight w:val="340"/>
        </w:trPr>
        <w:tc>
          <w:tcPr>
            <w:tcW w:w="1661" w:type="pct"/>
            <w:vMerge/>
            <w:vAlign w:val="center"/>
          </w:tcPr>
          <w:p w14:paraId="021DD5EB" w14:textId="77777777" w:rsidR="009C353B" w:rsidRDefault="009C353B">
            <w:pPr>
              <w:widowControl/>
              <w:jc w:val="center"/>
              <w:rPr>
                <w:rFonts w:ascii="Times New Roman" w:hAnsi="Times New Roman"/>
                <w:kern w:val="0"/>
                <w:sz w:val="21"/>
                <w:szCs w:val="21"/>
              </w:rPr>
            </w:pPr>
          </w:p>
        </w:tc>
        <w:tc>
          <w:tcPr>
            <w:tcW w:w="611" w:type="pct"/>
            <w:vMerge w:val="restart"/>
            <w:vAlign w:val="center"/>
          </w:tcPr>
          <w:p w14:paraId="4DA4539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任家庄</w:t>
            </w:r>
          </w:p>
        </w:tc>
        <w:tc>
          <w:tcPr>
            <w:tcW w:w="763" w:type="pct"/>
            <w:shd w:val="clear" w:color="auto" w:fill="auto"/>
            <w:noWrap/>
            <w:vAlign w:val="center"/>
          </w:tcPr>
          <w:p w14:paraId="3426A830" w14:textId="77777777" w:rsidR="009C353B" w:rsidRDefault="00000000">
            <w:pPr>
              <w:widowControl/>
              <w:jc w:val="center"/>
              <w:rPr>
                <w:rFonts w:ascii="Times New Roman" w:hAnsi="Times New Roman"/>
                <w:sz w:val="21"/>
                <w:szCs w:val="21"/>
              </w:rPr>
            </w:pPr>
            <w:r>
              <w:rPr>
                <w:rFonts w:ascii="Times New Roman" w:hAnsi="Times New Roman"/>
                <w:sz w:val="21"/>
                <w:szCs w:val="21"/>
              </w:rPr>
              <w:t>ZK03</w:t>
            </w:r>
          </w:p>
        </w:tc>
        <w:tc>
          <w:tcPr>
            <w:tcW w:w="992" w:type="pct"/>
            <w:shd w:val="clear" w:color="auto" w:fill="auto"/>
            <w:noWrap/>
            <w:vAlign w:val="center"/>
          </w:tcPr>
          <w:p w14:paraId="4A0F00F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164.39</w:t>
            </w:r>
          </w:p>
        </w:tc>
        <w:tc>
          <w:tcPr>
            <w:tcW w:w="973" w:type="pct"/>
            <w:shd w:val="clear" w:color="auto" w:fill="auto"/>
            <w:noWrap/>
            <w:vAlign w:val="center"/>
          </w:tcPr>
          <w:p w14:paraId="3CA5FC0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166.063</w:t>
            </w:r>
          </w:p>
        </w:tc>
      </w:tr>
      <w:tr w:rsidR="009C353B" w14:paraId="4DEDC568" w14:textId="77777777">
        <w:trPr>
          <w:trHeight w:val="340"/>
        </w:trPr>
        <w:tc>
          <w:tcPr>
            <w:tcW w:w="1661" w:type="pct"/>
            <w:vMerge/>
            <w:vAlign w:val="center"/>
          </w:tcPr>
          <w:p w14:paraId="2250A284" w14:textId="77777777" w:rsidR="009C353B" w:rsidRDefault="009C353B">
            <w:pPr>
              <w:widowControl/>
              <w:jc w:val="center"/>
              <w:rPr>
                <w:rFonts w:ascii="Times New Roman" w:hAnsi="Times New Roman"/>
                <w:kern w:val="0"/>
                <w:sz w:val="21"/>
                <w:szCs w:val="21"/>
              </w:rPr>
            </w:pPr>
          </w:p>
        </w:tc>
        <w:tc>
          <w:tcPr>
            <w:tcW w:w="611" w:type="pct"/>
            <w:vMerge/>
            <w:vAlign w:val="center"/>
          </w:tcPr>
          <w:p w14:paraId="0A7756A2"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1F432C91" w14:textId="77777777" w:rsidR="009C353B" w:rsidRDefault="00000000">
            <w:pPr>
              <w:widowControl/>
              <w:jc w:val="center"/>
              <w:rPr>
                <w:rFonts w:ascii="Times New Roman" w:hAnsi="Times New Roman"/>
                <w:sz w:val="21"/>
                <w:szCs w:val="21"/>
              </w:rPr>
            </w:pPr>
            <w:r>
              <w:rPr>
                <w:rFonts w:ascii="Times New Roman" w:hAnsi="Times New Roman"/>
                <w:sz w:val="21"/>
                <w:szCs w:val="21"/>
              </w:rPr>
              <w:t>检</w:t>
            </w:r>
            <w:r>
              <w:rPr>
                <w:rFonts w:ascii="Times New Roman" w:hAnsi="Times New Roman"/>
                <w:sz w:val="21"/>
                <w:szCs w:val="21"/>
              </w:rPr>
              <w:t>2</w:t>
            </w:r>
          </w:p>
        </w:tc>
        <w:tc>
          <w:tcPr>
            <w:tcW w:w="992" w:type="pct"/>
            <w:shd w:val="clear" w:color="auto" w:fill="auto"/>
            <w:noWrap/>
            <w:vAlign w:val="center"/>
          </w:tcPr>
          <w:p w14:paraId="6F11747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114.5</w:t>
            </w:r>
          </w:p>
        </w:tc>
        <w:tc>
          <w:tcPr>
            <w:tcW w:w="973" w:type="pct"/>
            <w:shd w:val="clear" w:color="auto" w:fill="auto"/>
            <w:noWrap/>
            <w:vAlign w:val="center"/>
          </w:tcPr>
          <w:p w14:paraId="0BAED9F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w:t>
            </w:r>
          </w:p>
        </w:tc>
      </w:tr>
      <w:tr w:rsidR="009C353B" w14:paraId="3C324F0D" w14:textId="77777777">
        <w:trPr>
          <w:trHeight w:val="340"/>
        </w:trPr>
        <w:tc>
          <w:tcPr>
            <w:tcW w:w="1661" w:type="pct"/>
            <w:vMerge/>
            <w:vAlign w:val="center"/>
          </w:tcPr>
          <w:p w14:paraId="35BB0258" w14:textId="77777777" w:rsidR="009C353B" w:rsidRDefault="009C353B">
            <w:pPr>
              <w:widowControl/>
              <w:jc w:val="center"/>
              <w:rPr>
                <w:rFonts w:ascii="Times New Roman" w:hAnsi="Times New Roman"/>
                <w:kern w:val="0"/>
                <w:sz w:val="21"/>
                <w:szCs w:val="21"/>
              </w:rPr>
            </w:pPr>
          </w:p>
        </w:tc>
        <w:tc>
          <w:tcPr>
            <w:tcW w:w="611" w:type="pct"/>
            <w:vMerge/>
            <w:vAlign w:val="center"/>
          </w:tcPr>
          <w:p w14:paraId="6255C275"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0F11F034" w14:textId="77777777" w:rsidR="009C353B" w:rsidRDefault="00000000">
            <w:pPr>
              <w:widowControl/>
              <w:jc w:val="center"/>
              <w:rPr>
                <w:rFonts w:ascii="Times New Roman" w:hAnsi="Times New Roman"/>
                <w:sz w:val="21"/>
                <w:szCs w:val="21"/>
              </w:rPr>
            </w:pPr>
            <w:r>
              <w:rPr>
                <w:rFonts w:ascii="Times New Roman" w:hAnsi="Times New Roman"/>
                <w:sz w:val="21"/>
                <w:szCs w:val="21"/>
              </w:rPr>
              <w:t>检</w:t>
            </w:r>
            <w:r>
              <w:rPr>
                <w:rFonts w:ascii="Times New Roman" w:hAnsi="Times New Roman"/>
                <w:sz w:val="21"/>
                <w:szCs w:val="21"/>
              </w:rPr>
              <w:t>3</w:t>
            </w:r>
          </w:p>
        </w:tc>
        <w:tc>
          <w:tcPr>
            <w:tcW w:w="992" w:type="pct"/>
            <w:shd w:val="clear" w:color="auto" w:fill="auto"/>
            <w:noWrap/>
            <w:vAlign w:val="center"/>
          </w:tcPr>
          <w:p w14:paraId="3E38AB5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115</w:t>
            </w:r>
          </w:p>
        </w:tc>
        <w:tc>
          <w:tcPr>
            <w:tcW w:w="973" w:type="pct"/>
            <w:shd w:val="clear" w:color="auto" w:fill="auto"/>
            <w:noWrap/>
            <w:vAlign w:val="center"/>
          </w:tcPr>
          <w:p w14:paraId="1F1322F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w:t>
            </w:r>
          </w:p>
        </w:tc>
      </w:tr>
      <w:tr w:rsidR="009C353B" w14:paraId="068C8FBA" w14:textId="77777777">
        <w:trPr>
          <w:trHeight w:val="340"/>
        </w:trPr>
        <w:tc>
          <w:tcPr>
            <w:tcW w:w="1661" w:type="pct"/>
            <w:vMerge/>
            <w:vAlign w:val="center"/>
          </w:tcPr>
          <w:p w14:paraId="710F8B53" w14:textId="77777777" w:rsidR="009C353B" w:rsidRDefault="009C353B">
            <w:pPr>
              <w:widowControl/>
              <w:jc w:val="center"/>
              <w:rPr>
                <w:rFonts w:ascii="Times New Roman" w:hAnsi="Times New Roman"/>
                <w:kern w:val="0"/>
                <w:sz w:val="21"/>
                <w:szCs w:val="21"/>
              </w:rPr>
            </w:pPr>
          </w:p>
        </w:tc>
        <w:tc>
          <w:tcPr>
            <w:tcW w:w="611" w:type="pct"/>
            <w:vMerge w:val="restart"/>
            <w:vAlign w:val="center"/>
          </w:tcPr>
          <w:p w14:paraId="7C60D4A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马莲台</w:t>
            </w:r>
          </w:p>
        </w:tc>
        <w:tc>
          <w:tcPr>
            <w:tcW w:w="763" w:type="pct"/>
            <w:shd w:val="clear" w:color="auto" w:fill="auto"/>
            <w:noWrap/>
            <w:vAlign w:val="center"/>
          </w:tcPr>
          <w:p w14:paraId="29CBF5D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S2708</w:t>
            </w:r>
          </w:p>
        </w:tc>
        <w:tc>
          <w:tcPr>
            <w:tcW w:w="992" w:type="pct"/>
            <w:shd w:val="clear" w:color="auto" w:fill="auto"/>
            <w:noWrap/>
            <w:vAlign w:val="center"/>
          </w:tcPr>
          <w:p w14:paraId="10A3493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30.56</w:t>
            </w:r>
          </w:p>
        </w:tc>
        <w:tc>
          <w:tcPr>
            <w:tcW w:w="973" w:type="pct"/>
            <w:shd w:val="clear" w:color="auto" w:fill="auto"/>
            <w:noWrap/>
            <w:vAlign w:val="center"/>
          </w:tcPr>
          <w:p w14:paraId="633BC1F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1217.06</w:t>
            </w:r>
          </w:p>
        </w:tc>
      </w:tr>
      <w:tr w:rsidR="009C353B" w14:paraId="4771C43F" w14:textId="77777777">
        <w:trPr>
          <w:trHeight w:val="340"/>
        </w:trPr>
        <w:tc>
          <w:tcPr>
            <w:tcW w:w="1661" w:type="pct"/>
            <w:vMerge/>
            <w:vAlign w:val="center"/>
          </w:tcPr>
          <w:p w14:paraId="59727D21" w14:textId="77777777" w:rsidR="009C353B" w:rsidRDefault="009C353B">
            <w:pPr>
              <w:widowControl/>
              <w:jc w:val="center"/>
              <w:rPr>
                <w:rFonts w:ascii="Times New Roman" w:hAnsi="Times New Roman"/>
                <w:kern w:val="0"/>
                <w:sz w:val="21"/>
                <w:szCs w:val="21"/>
              </w:rPr>
            </w:pPr>
          </w:p>
        </w:tc>
        <w:tc>
          <w:tcPr>
            <w:tcW w:w="611" w:type="pct"/>
            <w:vMerge/>
            <w:vAlign w:val="center"/>
          </w:tcPr>
          <w:p w14:paraId="18373B6C" w14:textId="77777777" w:rsidR="009C353B" w:rsidRDefault="009C353B">
            <w:pPr>
              <w:widowControl/>
              <w:jc w:val="center"/>
              <w:rPr>
                <w:rFonts w:ascii="Times New Roman" w:hAnsi="Times New Roman"/>
                <w:kern w:val="0"/>
                <w:sz w:val="21"/>
                <w:szCs w:val="21"/>
              </w:rPr>
            </w:pPr>
          </w:p>
        </w:tc>
        <w:tc>
          <w:tcPr>
            <w:tcW w:w="763" w:type="pct"/>
            <w:shd w:val="clear" w:color="auto" w:fill="auto"/>
            <w:noWrap/>
            <w:vAlign w:val="center"/>
          </w:tcPr>
          <w:p w14:paraId="19EF6F4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154</w:t>
            </w:r>
          </w:p>
        </w:tc>
        <w:tc>
          <w:tcPr>
            <w:tcW w:w="992" w:type="pct"/>
            <w:shd w:val="clear" w:color="auto" w:fill="auto"/>
            <w:noWrap/>
            <w:vAlign w:val="center"/>
          </w:tcPr>
          <w:p w14:paraId="118DF1B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5.36</w:t>
            </w:r>
          </w:p>
        </w:tc>
        <w:tc>
          <w:tcPr>
            <w:tcW w:w="973" w:type="pct"/>
            <w:shd w:val="clear" w:color="auto" w:fill="auto"/>
            <w:noWrap/>
            <w:vAlign w:val="center"/>
          </w:tcPr>
          <w:p w14:paraId="0D7E759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1236.82</w:t>
            </w:r>
          </w:p>
        </w:tc>
      </w:tr>
    </w:tbl>
    <w:p w14:paraId="72828D0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红石湾、任家庄煤矿</w:t>
      </w:r>
      <w:r>
        <w:rPr>
          <w:rFonts w:ascii="Times New Roman" w:hAnsi="Times New Roman"/>
          <w:szCs w:val="24"/>
        </w:rPr>
        <w:t>古近系清水营组含水岩组</w:t>
      </w:r>
      <w:r>
        <w:rPr>
          <w:rFonts w:ascii="Times New Roman" w:hAnsi="Times New Roman" w:hint="eastAsia"/>
          <w:szCs w:val="24"/>
        </w:rPr>
        <w:t>水位埋深</w:t>
      </w:r>
      <w:r>
        <w:rPr>
          <w:rFonts w:ascii="Times New Roman" w:hAnsi="Times New Roman" w:hint="eastAsia"/>
          <w:szCs w:val="24"/>
        </w:rPr>
        <w:t>5.17~56.9m</w:t>
      </w:r>
      <w:r>
        <w:rPr>
          <w:rFonts w:ascii="Times New Roman" w:hAnsi="Times New Roman" w:hint="eastAsia"/>
          <w:szCs w:val="24"/>
        </w:rPr>
        <w:t>，</w:t>
      </w:r>
      <w:r>
        <w:rPr>
          <w:rFonts w:ascii="Times New Roman" w:hAnsi="Times New Roman"/>
          <w:szCs w:val="24"/>
        </w:rPr>
        <w:t>石盒子组含水岩组</w:t>
      </w:r>
      <w:r>
        <w:rPr>
          <w:rFonts w:ascii="Times New Roman" w:hAnsi="Times New Roman" w:hint="eastAsia"/>
          <w:szCs w:val="24"/>
        </w:rPr>
        <w:t>水位埋深</w:t>
      </w:r>
      <w:r>
        <w:rPr>
          <w:rFonts w:ascii="Times New Roman" w:hAnsi="Times New Roman" w:hint="eastAsia"/>
          <w:szCs w:val="24"/>
        </w:rPr>
        <w:t>12.26~112.27m</w:t>
      </w:r>
      <w:r>
        <w:rPr>
          <w:rFonts w:ascii="Times New Roman" w:hAnsi="Times New Roman" w:hint="eastAsia"/>
          <w:szCs w:val="24"/>
        </w:rPr>
        <w:t>，</w:t>
      </w:r>
      <w:r>
        <w:rPr>
          <w:rFonts w:ascii="Times New Roman" w:hAnsi="Times New Roman"/>
          <w:szCs w:val="24"/>
        </w:rPr>
        <w:t>山西组</w:t>
      </w:r>
      <w:r>
        <w:rPr>
          <w:rFonts w:ascii="Times New Roman" w:hAnsi="Times New Roman"/>
          <w:szCs w:val="24"/>
        </w:rPr>
        <w:t>~</w:t>
      </w:r>
      <w:r>
        <w:rPr>
          <w:rFonts w:ascii="Times New Roman" w:hAnsi="Times New Roman"/>
          <w:szCs w:val="24"/>
        </w:rPr>
        <w:t>太原组含水岩组</w:t>
      </w:r>
      <w:r>
        <w:rPr>
          <w:rFonts w:ascii="Times New Roman" w:hAnsi="Times New Roman" w:hint="eastAsia"/>
          <w:szCs w:val="24"/>
        </w:rPr>
        <w:t>水位埋深</w:t>
      </w:r>
      <w:r>
        <w:rPr>
          <w:rFonts w:ascii="Times New Roman" w:hAnsi="Times New Roman" w:hint="eastAsia"/>
          <w:szCs w:val="24"/>
        </w:rPr>
        <w:t>30.96~164.39m</w:t>
      </w:r>
      <w:r>
        <w:rPr>
          <w:rFonts w:ascii="Times New Roman" w:hAnsi="Times New Roman" w:hint="eastAsia"/>
          <w:szCs w:val="24"/>
        </w:rPr>
        <w:t>；马莲台</w:t>
      </w:r>
      <w:r>
        <w:rPr>
          <w:rFonts w:ascii="Times New Roman" w:hAnsi="Times New Roman"/>
          <w:szCs w:val="24"/>
        </w:rPr>
        <w:t>古近系清水营组含水岩组</w:t>
      </w:r>
      <w:r>
        <w:rPr>
          <w:rFonts w:ascii="Times New Roman" w:hAnsi="Times New Roman" w:hint="eastAsia"/>
          <w:szCs w:val="24"/>
        </w:rPr>
        <w:t>水位埋深位</w:t>
      </w:r>
      <w:r>
        <w:rPr>
          <w:rFonts w:ascii="Times New Roman" w:hAnsi="Times New Roman" w:hint="eastAsia"/>
          <w:szCs w:val="24"/>
        </w:rPr>
        <w:t>6.39</w:t>
      </w:r>
      <w:r>
        <w:rPr>
          <w:rFonts w:ascii="Times New Roman" w:hAnsi="Times New Roman"/>
          <w:szCs w:val="24"/>
        </w:rPr>
        <w:t>～</w:t>
      </w:r>
      <w:r>
        <w:rPr>
          <w:rFonts w:ascii="Times New Roman" w:hAnsi="Times New Roman"/>
          <w:szCs w:val="24"/>
        </w:rPr>
        <w:t>19.05m</w:t>
      </w:r>
      <w:r>
        <w:rPr>
          <w:rFonts w:ascii="Times New Roman" w:hAnsi="Times New Roman" w:hint="eastAsia"/>
          <w:szCs w:val="24"/>
        </w:rPr>
        <w:t>，</w:t>
      </w:r>
      <w:r>
        <w:rPr>
          <w:rFonts w:ascii="Times New Roman" w:hAnsi="Times New Roman"/>
          <w:szCs w:val="24"/>
        </w:rPr>
        <w:t>石盒子组含水岩组</w:t>
      </w:r>
      <w:r>
        <w:rPr>
          <w:rFonts w:ascii="Times New Roman" w:hAnsi="Times New Roman" w:hint="eastAsia"/>
          <w:szCs w:val="24"/>
        </w:rPr>
        <w:t>水位埋深</w:t>
      </w:r>
      <w:r>
        <w:rPr>
          <w:rFonts w:ascii="Times New Roman" w:hAnsi="Times New Roman"/>
          <w:szCs w:val="24"/>
        </w:rPr>
        <w:t>14.73</w:t>
      </w:r>
      <w:r>
        <w:rPr>
          <w:rFonts w:ascii="Times New Roman" w:hAnsi="Times New Roman"/>
          <w:szCs w:val="24"/>
        </w:rPr>
        <w:t>～</w:t>
      </w:r>
      <w:r>
        <w:rPr>
          <w:rFonts w:ascii="Times New Roman" w:hAnsi="Times New Roman"/>
          <w:szCs w:val="24"/>
        </w:rPr>
        <w:t>39.06m</w:t>
      </w:r>
      <w:r>
        <w:rPr>
          <w:rFonts w:ascii="Times New Roman" w:hAnsi="Times New Roman" w:hint="eastAsia"/>
          <w:szCs w:val="24"/>
        </w:rPr>
        <w:t>，</w:t>
      </w:r>
      <w:r>
        <w:rPr>
          <w:rFonts w:ascii="Times New Roman" w:hAnsi="Times New Roman"/>
          <w:szCs w:val="24"/>
        </w:rPr>
        <w:t>山西组</w:t>
      </w:r>
      <w:r>
        <w:rPr>
          <w:rFonts w:ascii="Times New Roman" w:hAnsi="Times New Roman"/>
          <w:szCs w:val="24"/>
        </w:rPr>
        <w:t>~</w:t>
      </w:r>
      <w:r>
        <w:rPr>
          <w:rFonts w:ascii="Times New Roman" w:hAnsi="Times New Roman"/>
          <w:szCs w:val="24"/>
        </w:rPr>
        <w:t>太原组含水岩组</w:t>
      </w:r>
      <w:r>
        <w:rPr>
          <w:rFonts w:ascii="Times New Roman" w:hAnsi="Times New Roman" w:hint="eastAsia"/>
          <w:szCs w:val="24"/>
        </w:rPr>
        <w:t>水位埋深</w:t>
      </w:r>
      <w:r>
        <w:rPr>
          <w:rFonts w:ascii="Times New Roman" w:hAnsi="Times New Roman"/>
          <w:szCs w:val="24"/>
        </w:rPr>
        <w:t>5.36</w:t>
      </w:r>
      <w:r>
        <w:rPr>
          <w:rFonts w:ascii="Times New Roman" w:hAnsi="Times New Roman"/>
          <w:szCs w:val="24"/>
        </w:rPr>
        <w:t>～</w:t>
      </w:r>
      <w:r>
        <w:rPr>
          <w:rFonts w:ascii="Times New Roman" w:hAnsi="Times New Roman"/>
          <w:szCs w:val="24"/>
        </w:rPr>
        <w:t>30.56m</w:t>
      </w:r>
      <w:r>
        <w:rPr>
          <w:rFonts w:ascii="Times New Roman" w:hAnsi="Times New Roman" w:hint="eastAsia"/>
          <w:szCs w:val="24"/>
        </w:rPr>
        <w:t>。</w:t>
      </w:r>
    </w:p>
    <w:p w14:paraId="15697E8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本次收集到任家庄</w:t>
      </w:r>
      <w:r>
        <w:rPr>
          <w:rFonts w:ascii="Times New Roman" w:hAnsi="Times New Roman"/>
          <w:szCs w:val="24"/>
        </w:rPr>
        <w:t>ZK</w:t>
      </w:r>
      <w:r>
        <w:rPr>
          <w:rFonts w:ascii="Times New Roman" w:hAnsi="Times New Roman" w:hint="eastAsia"/>
          <w:szCs w:val="24"/>
        </w:rPr>
        <w:t>03</w:t>
      </w:r>
      <w:r>
        <w:rPr>
          <w:rFonts w:ascii="Times New Roman" w:hAnsi="Times New Roman" w:hint="eastAsia"/>
          <w:szCs w:val="24"/>
        </w:rPr>
        <w:t>钻孔</w:t>
      </w:r>
      <w:r>
        <w:rPr>
          <w:rFonts w:ascii="Times New Roman" w:hAnsi="Times New Roman" w:hint="eastAsia"/>
          <w:szCs w:val="24"/>
        </w:rPr>
        <w:t>2012~2020</w:t>
      </w:r>
      <w:r>
        <w:rPr>
          <w:rFonts w:ascii="Times New Roman" w:hAnsi="Times New Roman" w:hint="eastAsia"/>
          <w:szCs w:val="24"/>
        </w:rPr>
        <w:t>下石盒子组、山西组</w:t>
      </w:r>
      <w:r>
        <w:rPr>
          <w:rFonts w:ascii="Times New Roman" w:hAnsi="Times New Roman"/>
          <w:szCs w:val="24"/>
        </w:rPr>
        <w:t>~</w:t>
      </w:r>
      <w:r>
        <w:rPr>
          <w:rFonts w:ascii="Times New Roman" w:hAnsi="Times New Roman"/>
          <w:szCs w:val="24"/>
        </w:rPr>
        <w:t>太原组</w:t>
      </w:r>
      <w:r>
        <w:rPr>
          <w:rFonts w:ascii="Times New Roman" w:hAnsi="Times New Roman" w:hint="eastAsia"/>
          <w:szCs w:val="24"/>
        </w:rPr>
        <w:t>含水岩组基岩地下水水位动态监测数据，说明水位动态变化情况。任家庄</w:t>
      </w:r>
      <w:r>
        <w:rPr>
          <w:rFonts w:ascii="Times New Roman" w:hAnsi="Times New Roman" w:hint="eastAsia"/>
          <w:szCs w:val="24"/>
        </w:rPr>
        <w:t>Z</w:t>
      </w:r>
      <w:r>
        <w:rPr>
          <w:rFonts w:ascii="Times New Roman" w:hAnsi="Times New Roman"/>
          <w:szCs w:val="24"/>
        </w:rPr>
        <w:t>K</w:t>
      </w:r>
      <w:r>
        <w:rPr>
          <w:rFonts w:ascii="Times New Roman" w:hAnsi="Times New Roman" w:hint="eastAsia"/>
          <w:szCs w:val="24"/>
        </w:rPr>
        <w:t>03</w:t>
      </w:r>
      <w:r>
        <w:rPr>
          <w:rFonts w:ascii="Times New Roman" w:hAnsi="Times New Roman" w:hint="eastAsia"/>
          <w:szCs w:val="24"/>
        </w:rPr>
        <w:t>钻孔临近任家庄采空区东北角，钻孔情况见表</w:t>
      </w:r>
      <w:r>
        <w:rPr>
          <w:rFonts w:ascii="Times New Roman" w:hAnsi="Times New Roman" w:hint="eastAsia"/>
          <w:szCs w:val="24"/>
        </w:rPr>
        <w:t>4.3-16</w:t>
      </w:r>
      <w:r>
        <w:rPr>
          <w:rFonts w:ascii="Times New Roman" w:hAnsi="Times New Roman" w:hint="eastAsia"/>
          <w:szCs w:val="24"/>
        </w:rPr>
        <w:t>，水位动态变化情况见图</w:t>
      </w:r>
      <w:r>
        <w:rPr>
          <w:rFonts w:ascii="Times New Roman" w:hAnsi="Times New Roman" w:hint="eastAsia"/>
          <w:szCs w:val="24"/>
        </w:rPr>
        <w:t>4.3-4</w:t>
      </w:r>
      <w:r>
        <w:rPr>
          <w:rFonts w:ascii="Times New Roman" w:hAnsi="Times New Roman" w:hint="eastAsia"/>
          <w:szCs w:val="24"/>
        </w:rPr>
        <w:t>。</w:t>
      </w:r>
    </w:p>
    <w:p w14:paraId="0B28601C" w14:textId="77777777" w:rsidR="009C353B" w:rsidRDefault="00000000">
      <w:pPr>
        <w:adjustRightInd w:val="0"/>
        <w:snapToGrid w:val="0"/>
        <w:spacing w:line="440" w:lineRule="exact"/>
        <w:ind w:firstLineChars="200" w:firstLine="480"/>
        <w:jc w:val="center"/>
        <w:rPr>
          <w:rFonts w:ascii="Times New Roman" w:hAnsi="Times New Roman"/>
          <w:szCs w:val="24"/>
        </w:rPr>
      </w:pPr>
      <w:r>
        <w:rPr>
          <w:rFonts w:ascii="Times New Roman" w:hAnsi="Times New Roman" w:hint="eastAsia"/>
          <w:szCs w:val="24"/>
        </w:rPr>
        <w:t>任家庄</w:t>
      </w:r>
      <w:r>
        <w:rPr>
          <w:rFonts w:ascii="Times New Roman" w:hAnsi="Times New Roman" w:hint="eastAsia"/>
          <w:szCs w:val="24"/>
        </w:rPr>
        <w:t>Z</w:t>
      </w:r>
      <w:r>
        <w:rPr>
          <w:rFonts w:ascii="Times New Roman" w:hAnsi="Times New Roman"/>
          <w:szCs w:val="24"/>
        </w:rPr>
        <w:t>K03</w:t>
      </w:r>
      <w:r>
        <w:rPr>
          <w:rFonts w:ascii="Times New Roman" w:hAnsi="Times New Roman" w:hint="eastAsia"/>
          <w:szCs w:val="24"/>
        </w:rPr>
        <w:t>孔水位动态观测情况</w:t>
      </w:r>
    </w:p>
    <w:p w14:paraId="26FBBBD5" w14:textId="77777777" w:rsidR="009C353B" w:rsidRDefault="00000000">
      <w:pPr>
        <w:adjustRightInd w:val="0"/>
        <w:snapToGrid w:val="0"/>
        <w:spacing w:line="440" w:lineRule="exact"/>
        <w:outlineLvl w:val="5"/>
        <w:rPr>
          <w:rFonts w:ascii="Times New Roman" w:hAnsi="Times New Roman"/>
          <w:szCs w:val="24"/>
        </w:rPr>
      </w:pPr>
      <w:r>
        <w:rPr>
          <w:rFonts w:ascii="Times New Roman" w:hAnsi="Times New Roman"/>
          <w:szCs w:val="24"/>
        </w:rPr>
        <w:t>表</w:t>
      </w:r>
      <w:r>
        <w:rPr>
          <w:rFonts w:ascii="Times New Roman" w:hAnsi="Times New Roman"/>
          <w:szCs w:val="24"/>
        </w:rPr>
        <w:t xml:space="preserve"> 4.3</w:t>
      </w:r>
      <w:r>
        <w:rPr>
          <w:rFonts w:ascii="Times New Roman" w:hAnsi="Times New Roman" w:hint="eastAsia"/>
          <w:szCs w:val="24"/>
        </w:rPr>
        <w:t>-</w:t>
      </w:r>
      <w:r>
        <w:rPr>
          <w:rFonts w:ascii="Times New Roman" w:hAnsi="Times New Roman"/>
          <w:szCs w:val="24"/>
        </w:rPr>
        <w:t>1</w:t>
      </w:r>
      <w:r>
        <w:rPr>
          <w:rFonts w:ascii="Times New Roman" w:hAnsi="Times New Roman" w:hint="eastAsia"/>
          <w:szCs w:val="24"/>
        </w:rPr>
        <w:t>6</w:t>
      </w:r>
    </w:p>
    <w:tbl>
      <w:tblPr>
        <w:tblStyle w:val="afffb"/>
        <w:tblW w:w="5000" w:type="pct"/>
        <w:tblLook w:val="04A0" w:firstRow="1" w:lastRow="0" w:firstColumn="1" w:lastColumn="0" w:noHBand="0" w:noVBand="1"/>
      </w:tblPr>
      <w:tblGrid>
        <w:gridCol w:w="706"/>
        <w:gridCol w:w="1387"/>
        <w:gridCol w:w="966"/>
        <w:gridCol w:w="1530"/>
        <w:gridCol w:w="1672"/>
        <w:gridCol w:w="1674"/>
        <w:gridCol w:w="1352"/>
      </w:tblGrid>
      <w:tr w:rsidR="009C353B" w14:paraId="2898F433" w14:textId="77777777">
        <w:tc>
          <w:tcPr>
            <w:tcW w:w="380" w:type="pct"/>
            <w:vAlign w:val="center"/>
          </w:tcPr>
          <w:p w14:paraId="2261B3E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钻孔</w:t>
            </w:r>
          </w:p>
        </w:tc>
        <w:tc>
          <w:tcPr>
            <w:tcW w:w="747" w:type="pct"/>
            <w:vAlign w:val="center"/>
          </w:tcPr>
          <w:p w14:paraId="19401A8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孔口标高</w:t>
            </w:r>
            <w:r>
              <w:rPr>
                <w:rFonts w:ascii="Times New Roman" w:hAnsi="Times New Roman"/>
                <w:sz w:val="21"/>
                <w:szCs w:val="21"/>
              </w:rPr>
              <w:t>/m</w:t>
            </w:r>
          </w:p>
        </w:tc>
        <w:tc>
          <w:tcPr>
            <w:tcW w:w="520" w:type="pct"/>
            <w:vAlign w:val="center"/>
          </w:tcPr>
          <w:p w14:paraId="4B46BD4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孔深</w:t>
            </w:r>
            <w:r>
              <w:rPr>
                <w:rFonts w:ascii="Times New Roman" w:hAnsi="Times New Roman"/>
                <w:sz w:val="21"/>
                <w:szCs w:val="21"/>
              </w:rPr>
              <w:t>/m</w:t>
            </w:r>
          </w:p>
        </w:tc>
        <w:tc>
          <w:tcPr>
            <w:tcW w:w="824" w:type="pct"/>
            <w:vAlign w:val="center"/>
          </w:tcPr>
          <w:p w14:paraId="73D83FE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动态观测时间</w:t>
            </w:r>
          </w:p>
        </w:tc>
        <w:tc>
          <w:tcPr>
            <w:tcW w:w="900" w:type="pct"/>
            <w:vAlign w:val="center"/>
          </w:tcPr>
          <w:p w14:paraId="4A179AF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初始水位标高</w:t>
            </w:r>
            <w:r>
              <w:rPr>
                <w:rFonts w:ascii="Times New Roman" w:hAnsi="Times New Roman"/>
                <w:sz w:val="21"/>
                <w:szCs w:val="21"/>
              </w:rPr>
              <w:t>/m</w:t>
            </w:r>
            <w:r>
              <w:rPr>
                <w:rFonts w:ascii="Times New Roman" w:hAnsi="Times New Roman"/>
                <w:sz w:val="21"/>
                <w:szCs w:val="21"/>
              </w:rPr>
              <w:t>（</w:t>
            </w:r>
            <w:r>
              <w:rPr>
                <w:rFonts w:ascii="Times New Roman" w:hAnsi="Times New Roman"/>
                <w:sz w:val="21"/>
                <w:szCs w:val="21"/>
              </w:rPr>
              <w:t>2012-9-27</w:t>
            </w:r>
            <w:r>
              <w:rPr>
                <w:rFonts w:ascii="Times New Roman" w:hAnsi="Times New Roman"/>
                <w:sz w:val="21"/>
                <w:szCs w:val="21"/>
              </w:rPr>
              <w:t>）</w:t>
            </w:r>
          </w:p>
        </w:tc>
        <w:tc>
          <w:tcPr>
            <w:tcW w:w="901" w:type="pct"/>
            <w:vAlign w:val="center"/>
          </w:tcPr>
          <w:p w14:paraId="069FE14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最低水位标高</w:t>
            </w:r>
            <w:r>
              <w:rPr>
                <w:rFonts w:ascii="Times New Roman" w:hAnsi="Times New Roman"/>
                <w:sz w:val="21"/>
                <w:szCs w:val="21"/>
              </w:rPr>
              <w:t>/m</w:t>
            </w:r>
            <w:r>
              <w:rPr>
                <w:rFonts w:ascii="Times New Roman" w:hAnsi="Times New Roman"/>
                <w:sz w:val="21"/>
                <w:szCs w:val="21"/>
              </w:rPr>
              <w:t>（</w:t>
            </w:r>
            <w:r>
              <w:rPr>
                <w:rFonts w:ascii="Times New Roman" w:hAnsi="Times New Roman"/>
                <w:sz w:val="21"/>
                <w:szCs w:val="21"/>
              </w:rPr>
              <w:t>2019-</w:t>
            </w:r>
            <w:r>
              <w:rPr>
                <w:rFonts w:ascii="Times New Roman" w:hAnsi="Times New Roman" w:hint="eastAsia"/>
                <w:sz w:val="21"/>
                <w:szCs w:val="21"/>
              </w:rPr>
              <w:t>4</w:t>
            </w:r>
            <w:r>
              <w:rPr>
                <w:rFonts w:ascii="Times New Roman" w:hAnsi="Times New Roman"/>
                <w:sz w:val="21"/>
                <w:szCs w:val="21"/>
              </w:rPr>
              <w:t>-</w:t>
            </w:r>
            <w:r>
              <w:rPr>
                <w:rFonts w:ascii="Times New Roman" w:hAnsi="Times New Roman" w:hint="eastAsia"/>
                <w:sz w:val="21"/>
                <w:szCs w:val="21"/>
              </w:rPr>
              <w:t>2</w:t>
            </w:r>
            <w:r>
              <w:rPr>
                <w:rFonts w:ascii="Times New Roman" w:hAnsi="Times New Roman"/>
                <w:sz w:val="21"/>
                <w:szCs w:val="21"/>
              </w:rPr>
              <w:t>2</w:t>
            </w:r>
            <w:r>
              <w:rPr>
                <w:rFonts w:ascii="Times New Roman" w:hAnsi="Times New Roman"/>
                <w:sz w:val="21"/>
                <w:szCs w:val="21"/>
              </w:rPr>
              <w:t>）</w:t>
            </w:r>
          </w:p>
        </w:tc>
        <w:tc>
          <w:tcPr>
            <w:tcW w:w="728" w:type="pct"/>
            <w:vAlign w:val="center"/>
          </w:tcPr>
          <w:p w14:paraId="3E9300F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层位</w:t>
            </w:r>
          </w:p>
        </w:tc>
      </w:tr>
      <w:tr w:rsidR="009C353B" w14:paraId="2577955B" w14:textId="77777777">
        <w:tc>
          <w:tcPr>
            <w:tcW w:w="380" w:type="pct"/>
            <w:vAlign w:val="center"/>
          </w:tcPr>
          <w:p w14:paraId="0EDD14A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ZK03</w:t>
            </w:r>
          </w:p>
        </w:tc>
        <w:tc>
          <w:tcPr>
            <w:tcW w:w="747" w:type="pct"/>
            <w:vAlign w:val="center"/>
          </w:tcPr>
          <w:p w14:paraId="526E397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1330.453</w:t>
            </w:r>
          </w:p>
        </w:tc>
        <w:tc>
          <w:tcPr>
            <w:tcW w:w="520" w:type="pct"/>
            <w:vAlign w:val="center"/>
          </w:tcPr>
          <w:p w14:paraId="69A03CA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585.05</w:t>
            </w:r>
          </w:p>
        </w:tc>
        <w:tc>
          <w:tcPr>
            <w:tcW w:w="824" w:type="pct"/>
            <w:vAlign w:val="center"/>
          </w:tcPr>
          <w:p w14:paraId="4345025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2012~2020</w:t>
            </w:r>
            <w:r>
              <w:rPr>
                <w:rFonts w:ascii="Times New Roman" w:hAnsi="Times New Roman"/>
                <w:sz w:val="21"/>
                <w:szCs w:val="21"/>
              </w:rPr>
              <w:t>年</w:t>
            </w:r>
          </w:p>
        </w:tc>
        <w:tc>
          <w:tcPr>
            <w:tcW w:w="900" w:type="pct"/>
            <w:vAlign w:val="center"/>
          </w:tcPr>
          <w:p w14:paraId="49773AE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1131.023</w:t>
            </w:r>
          </w:p>
        </w:tc>
        <w:tc>
          <w:tcPr>
            <w:tcW w:w="901" w:type="pct"/>
            <w:vAlign w:val="center"/>
          </w:tcPr>
          <w:p w14:paraId="7E1BFA2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1030.5</w:t>
            </w:r>
            <w:r>
              <w:rPr>
                <w:rFonts w:ascii="Times New Roman" w:hAnsi="Times New Roman" w:hint="eastAsia"/>
                <w:sz w:val="21"/>
                <w:szCs w:val="21"/>
              </w:rPr>
              <w:t>4</w:t>
            </w:r>
          </w:p>
        </w:tc>
        <w:tc>
          <w:tcPr>
            <w:tcW w:w="728" w:type="pct"/>
          </w:tcPr>
          <w:p w14:paraId="1258672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下石盒子组</w:t>
            </w:r>
          </w:p>
          <w:p w14:paraId="647A6456"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山西组</w:t>
            </w:r>
            <w:r>
              <w:rPr>
                <w:rFonts w:ascii="Times New Roman" w:hAnsi="Times New Roman" w:hint="eastAsia"/>
                <w:sz w:val="21"/>
                <w:szCs w:val="21"/>
              </w:rPr>
              <w:t>~</w:t>
            </w:r>
          </w:p>
          <w:p w14:paraId="46682C4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太原组</w:t>
            </w:r>
          </w:p>
        </w:tc>
      </w:tr>
    </w:tbl>
    <w:p w14:paraId="77A99DAB" w14:textId="77777777" w:rsidR="009C353B" w:rsidRDefault="009C353B">
      <w:pPr>
        <w:adjustRightInd w:val="0"/>
        <w:snapToGrid w:val="0"/>
        <w:jc w:val="center"/>
        <w:rPr>
          <w:rFonts w:ascii="Times New Roman" w:hAnsi="Times New Roman"/>
          <w:szCs w:val="24"/>
        </w:rPr>
      </w:pPr>
    </w:p>
    <w:p w14:paraId="4112B29D" w14:textId="77777777" w:rsidR="009C353B" w:rsidRDefault="00000000">
      <w:pPr>
        <w:adjustRightInd w:val="0"/>
        <w:snapToGrid w:val="0"/>
        <w:jc w:val="center"/>
        <w:rPr>
          <w:rFonts w:ascii="Times New Roman" w:hAnsi="Times New Roman"/>
          <w:szCs w:val="24"/>
        </w:rPr>
      </w:pPr>
      <w:r>
        <w:rPr>
          <w:rFonts w:ascii="Times New Roman" w:hAnsi="Times New Roman" w:hint="eastAsia"/>
          <w:noProof/>
          <w:szCs w:val="24"/>
        </w:rPr>
        <w:drawing>
          <wp:inline distT="0" distB="0" distL="0" distR="0" wp14:anchorId="2694982C" wp14:editId="1D8D4687">
            <wp:extent cx="5834380" cy="2033270"/>
            <wp:effectExtent l="0" t="0" r="0" b="508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326" cstate="print">
                      <a:extLst>
                        <a:ext uri="{28A0092B-C50C-407E-A947-70E740481C1C}">
                          <a14:useLocalDpi xmlns:a14="http://schemas.microsoft.com/office/drawing/2010/main" val="0"/>
                        </a:ext>
                      </a:extLst>
                    </a:blip>
                    <a:srcRect l="830" t="3478" r="7713" b="2946"/>
                    <a:stretch>
                      <a:fillRect/>
                    </a:stretch>
                  </pic:blipFill>
                  <pic:spPr>
                    <a:xfrm>
                      <a:off x="0" y="0"/>
                      <a:ext cx="5852052" cy="2039643"/>
                    </a:xfrm>
                    <a:prstGeom prst="rect">
                      <a:avLst/>
                    </a:prstGeom>
                    <a:ln>
                      <a:noFill/>
                    </a:ln>
                  </pic:spPr>
                </pic:pic>
              </a:graphicData>
            </a:graphic>
          </wp:inline>
        </w:drawing>
      </w:r>
    </w:p>
    <w:p w14:paraId="055B16DE" w14:textId="77777777" w:rsidR="009C353B" w:rsidRDefault="00000000">
      <w:pPr>
        <w:adjustRightInd w:val="0"/>
        <w:snapToGrid w:val="0"/>
        <w:spacing w:line="440" w:lineRule="exact"/>
        <w:ind w:firstLineChars="200" w:firstLine="480"/>
        <w:jc w:val="center"/>
        <w:rPr>
          <w:rFonts w:ascii="Times New Roman" w:hAnsi="Times New Roman"/>
          <w:szCs w:val="24"/>
        </w:rPr>
      </w:pPr>
      <w:r>
        <w:rPr>
          <w:rFonts w:ascii="Times New Roman" w:hAnsi="Times New Roman" w:hint="eastAsia"/>
          <w:szCs w:val="24"/>
        </w:rPr>
        <w:t>图</w:t>
      </w:r>
      <w:r>
        <w:rPr>
          <w:rFonts w:ascii="Times New Roman" w:hAnsi="Times New Roman" w:hint="eastAsia"/>
          <w:szCs w:val="24"/>
        </w:rPr>
        <w:t>4.3-4</w:t>
      </w:r>
      <w:r>
        <w:rPr>
          <w:rFonts w:ascii="Times New Roman" w:hAnsi="Times New Roman"/>
          <w:szCs w:val="24"/>
        </w:rPr>
        <w:t xml:space="preserve">  ZK03</w:t>
      </w:r>
      <w:r>
        <w:rPr>
          <w:rFonts w:ascii="Times New Roman" w:hAnsi="Times New Roman" w:hint="eastAsia"/>
          <w:szCs w:val="24"/>
        </w:rPr>
        <w:t>钻孔</w:t>
      </w:r>
      <w:r>
        <w:rPr>
          <w:rFonts w:ascii="Times New Roman" w:hAnsi="Times New Roman" w:hint="eastAsia"/>
          <w:szCs w:val="24"/>
        </w:rPr>
        <w:t>2012~2020</w:t>
      </w:r>
      <w:r>
        <w:rPr>
          <w:rFonts w:ascii="Times New Roman" w:hAnsi="Times New Roman" w:hint="eastAsia"/>
          <w:szCs w:val="24"/>
        </w:rPr>
        <w:t>年水位动态变化情况</w:t>
      </w:r>
    </w:p>
    <w:p w14:paraId="1288F05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2012</w:t>
      </w:r>
      <w:r>
        <w:rPr>
          <w:rFonts w:ascii="Times New Roman" w:hAnsi="Times New Roman" w:hint="eastAsia"/>
          <w:szCs w:val="24"/>
        </w:rPr>
        <w:t>年</w:t>
      </w:r>
      <w:r>
        <w:rPr>
          <w:rFonts w:ascii="Times New Roman" w:hAnsi="Times New Roman" w:hint="eastAsia"/>
          <w:szCs w:val="24"/>
        </w:rPr>
        <w:t>Z</w:t>
      </w:r>
      <w:r>
        <w:rPr>
          <w:rFonts w:ascii="Times New Roman" w:hAnsi="Times New Roman"/>
          <w:szCs w:val="24"/>
        </w:rPr>
        <w:t>K</w:t>
      </w:r>
      <w:r>
        <w:rPr>
          <w:rFonts w:ascii="Times New Roman" w:hAnsi="Times New Roman" w:hint="eastAsia"/>
          <w:szCs w:val="24"/>
        </w:rPr>
        <w:t>03</w:t>
      </w:r>
      <w:r>
        <w:rPr>
          <w:rFonts w:ascii="Times New Roman" w:hAnsi="Times New Roman" w:hint="eastAsia"/>
          <w:szCs w:val="24"/>
        </w:rPr>
        <w:t>钻孔处下石盒子组、山西组</w:t>
      </w:r>
      <w:r>
        <w:rPr>
          <w:rFonts w:ascii="Times New Roman" w:hAnsi="Times New Roman" w:hint="eastAsia"/>
          <w:szCs w:val="24"/>
        </w:rPr>
        <w:t>~</w:t>
      </w:r>
      <w:r>
        <w:rPr>
          <w:rFonts w:ascii="Times New Roman" w:hAnsi="Times New Roman" w:hint="eastAsia"/>
          <w:szCs w:val="24"/>
        </w:rPr>
        <w:t>太原组含水岩组初始水位标高</w:t>
      </w:r>
      <w:r>
        <w:rPr>
          <w:rFonts w:ascii="Times New Roman" w:hAnsi="Times New Roman" w:hint="eastAsia"/>
          <w:szCs w:val="24"/>
        </w:rPr>
        <w:t>1131.023m</w:t>
      </w:r>
      <w:r>
        <w:rPr>
          <w:rFonts w:ascii="Times New Roman" w:hAnsi="Times New Roman" w:hint="eastAsia"/>
          <w:szCs w:val="24"/>
        </w:rPr>
        <w:t>，</w:t>
      </w:r>
      <w:r>
        <w:rPr>
          <w:rFonts w:ascii="Times New Roman" w:hAnsi="Times New Roman" w:hint="eastAsia"/>
          <w:szCs w:val="24"/>
        </w:rPr>
        <w:t xml:space="preserve"> 2012~2020</w:t>
      </w:r>
      <w:r>
        <w:rPr>
          <w:rFonts w:ascii="Times New Roman" w:hAnsi="Times New Roman" w:hint="eastAsia"/>
          <w:szCs w:val="24"/>
        </w:rPr>
        <w:t>年含水岩组中地下水随着煤矿开采而疏排，地下水水位逐年下降，</w:t>
      </w:r>
      <w:r>
        <w:rPr>
          <w:rFonts w:ascii="Times New Roman" w:hAnsi="Times New Roman" w:hint="eastAsia"/>
          <w:szCs w:val="24"/>
        </w:rPr>
        <w:t>2019</w:t>
      </w:r>
      <w:r>
        <w:rPr>
          <w:rFonts w:ascii="Times New Roman" w:hAnsi="Times New Roman" w:hint="eastAsia"/>
          <w:szCs w:val="24"/>
        </w:rPr>
        <w:t>年</w:t>
      </w:r>
      <w:r>
        <w:rPr>
          <w:rFonts w:ascii="Times New Roman" w:hAnsi="Times New Roman" w:hint="eastAsia"/>
          <w:szCs w:val="24"/>
        </w:rPr>
        <w:t>4</w:t>
      </w:r>
      <w:r>
        <w:rPr>
          <w:rFonts w:ascii="Times New Roman" w:hAnsi="Times New Roman" w:hint="eastAsia"/>
          <w:szCs w:val="24"/>
        </w:rPr>
        <w:t>月</w:t>
      </w:r>
      <w:r>
        <w:rPr>
          <w:rFonts w:ascii="Times New Roman" w:hAnsi="Times New Roman" w:hint="eastAsia"/>
          <w:szCs w:val="24"/>
        </w:rPr>
        <w:t>22</w:t>
      </w:r>
      <w:r>
        <w:rPr>
          <w:rFonts w:ascii="Times New Roman" w:hAnsi="Times New Roman" w:hint="eastAsia"/>
          <w:szCs w:val="24"/>
        </w:rPr>
        <w:t>日达到最低值，水位标高</w:t>
      </w:r>
      <w:r>
        <w:rPr>
          <w:rFonts w:ascii="Times New Roman" w:hAnsi="Times New Roman" w:hint="eastAsia"/>
          <w:szCs w:val="24"/>
        </w:rPr>
        <w:t>1030.54m</w:t>
      </w:r>
      <w:r>
        <w:rPr>
          <w:rFonts w:ascii="Times New Roman" w:hAnsi="Times New Roman" w:hint="eastAsia"/>
          <w:szCs w:val="24"/>
        </w:rPr>
        <w:t>，水位降幅</w:t>
      </w:r>
      <w:r>
        <w:rPr>
          <w:rFonts w:ascii="Times New Roman" w:hAnsi="Times New Roman" w:hint="eastAsia"/>
          <w:szCs w:val="24"/>
        </w:rPr>
        <w:t>1</w:t>
      </w:r>
      <w:r>
        <w:rPr>
          <w:rFonts w:ascii="Times New Roman" w:hAnsi="Times New Roman"/>
          <w:szCs w:val="24"/>
        </w:rPr>
        <w:t>00.483</w:t>
      </w:r>
      <w:r>
        <w:rPr>
          <w:rFonts w:ascii="Times New Roman" w:hAnsi="Times New Roman" w:hint="eastAsia"/>
          <w:szCs w:val="24"/>
        </w:rPr>
        <w:t>m</w:t>
      </w:r>
      <w:r>
        <w:rPr>
          <w:rFonts w:ascii="Times New Roman" w:hAnsi="Times New Roman" w:hint="eastAsia"/>
          <w:szCs w:val="24"/>
        </w:rPr>
        <w:t>。从</w:t>
      </w:r>
      <w:r>
        <w:rPr>
          <w:rFonts w:ascii="Times New Roman" w:hAnsi="Times New Roman" w:hint="eastAsia"/>
          <w:szCs w:val="24"/>
        </w:rPr>
        <w:t>2019</w:t>
      </w:r>
      <w:r>
        <w:rPr>
          <w:rFonts w:ascii="Times New Roman" w:hAnsi="Times New Roman" w:hint="eastAsia"/>
          <w:szCs w:val="24"/>
        </w:rPr>
        <w:t>年</w:t>
      </w:r>
      <w:r>
        <w:rPr>
          <w:rFonts w:ascii="Times New Roman" w:hAnsi="Times New Roman" w:hint="eastAsia"/>
          <w:szCs w:val="24"/>
        </w:rPr>
        <w:t>4</w:t>
      </w:r>
      <w:r>
        <w:rPr>
          <w:rFonts w:ascii="Times New Roman" w:hAnsi="Times New Roman" w:hint="eastAsia"/>
          <w:szCs w:val="24"/>
        </w:rPr>
        <w:t>月</w:t>
      </w:r>
      <w:r>
        <w:rPr>
          <w:rFonts w:ascii="Times New Roman" w:hAnsi="Times New Roman" w:hint="eastAsia"/>
          <w:szCs w:val="24"/>
        </w:rPr>
        <w:t>22</w:t>
      </w:r>
      <w:r>
        <w:rPr>
          <w:rFonts w:ascii="Times New Roman" w:hAnsi="Times New Roman" w:hint="eastAsia"/>
          <w:szCs w:val="24"/>
        </w:rPr>
        <w:t>日到现在，水位变幅在</w:t>
      </w:r>
      <w:r>
        <w:rPr>
          <w:rFonts w:ascii="Times New Roman" w:hAnsi="Times New Roman" w:hint="eastAsia"/>
          <w:szCs w:val="24"/>
        </w:rPr>
        <w:t>0.3m</w:t>
      </w:r>
      <w:r>
        <w:rPr>
          <w:rFonts w:ascii="Times New Roman" w:hAnsi="Times New Roman" w:hint="eastAsia"/>
          <w:szCs w:val="24"/>
        </w:rPr>
        <w:t>内，基本保持不变。</w:t>
      </w:r>
    </w:p>
    <w:p w14:paraId="2A79A542" w14:textId="77777777" w:rsidR="009C353B" w:rsidRDefault="00000000">
      <w:pPr>
        <w:pStyle w:val="3"/>
        <w:adjustRightInd w:val="0"/>
        <w:snapToGrid w:val="0"/>
        <w:spacing w:before="0" w:after="0" w:line="440" w:lineRule="exact"/>
        <w:rPr>
          <w:rFonts w:ascii="Times New Roman" w:hAnsi="Times New Roman"/>
          <w:sz w:val="24"/>
        </w:rPr>
      </w:pPr>
      <w:bookmarkStart w:id="160" w:name="_Toc309231441"/>
      <w:r>
        <w:rPr>
          <w:rFonts w:ascii="Times New Roman" w:hAnsi="Times New Roman" w:hint="eastAsia"/>
          <w:sz w:val="24"/>
        </w:rPr>
        <w:t>4.3.</w:t>
      </w:r>
      <w:r>
        <w:rPr>
          <w:rFonts w:ascii="Times New Roman" w:hAnsi="Times New Roman"/>
          <w:sz w:val="24"/>
        </w:rPr>
        <w:t xml:space="preserve">3 </w:t>
      </w:r>
      <w:r>
        <w:rPr>
          <w:rFonts w:ascii="Times New Roman" w:hAnsi="Times New Roman" w:hint="eastAsia"/>
          <w:sz w:val="24"/>
        </w:rPr>
        <w:t>矿区声环境</w:t>
      </w:r>
      <w:r>
        <w:rPr>
          <w:rFonts w:ascii="Times New Roman" w:hAnsi="Times New Roman"/>
          <w:sz w:val="24"/>
        </w:rPr>
        <w:t>质量回顾性评价</w:t>
      </w:r>
    </w:p>
    <w:p w14:paraId="17C5926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矿区内无村庄，各矿各场地外均无噪声敏感点。</w:t>
      </w:r>
    </w:p>
    <w:p w14:paraId="118EEA9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w:t>
      </w:r>
      <w:r>
        <w:rPr>
          <w:rFonts w:ascii="Times New Roman" w:hAnsi="Times New Roman"/>
        </w:rPr>
        <w:t>矿区项目环评、验收阶段</w:t>
      </w:r>
      <w:r>
        <w:rPr>
          <w:rFonts w:ascii="Times New Roman" w:hAnsi="Times New Roman" w:hint="eastAsia"/>
        </w:rPr>
        <w:t>噪声</w:t>
      </w:r>
      <w:r>
        <w:rPr>
          <w:rFonts w:ascii="Times New Roman" w:hAnsi="Times New Roman"/>
        </w:rPr>
        <w:t>监测数据，矿区</w:t>
      </w:r>
      <w:r>
        <w:rPr>
          <w:rFonts w:ascii="Times New Roman" w:hAnsi="Times New Roman" w:hint="eastAsia"/>
        </w:rPr>
        <w:t>开发</w:t>
      </w:r>
      <w:r>
        <w:rPr>
          <w:rFonts w:ascii="Times New Roman" w:hAnsi="Times New Roman"/>
        </w:rPr>
        <w:t>至今声环境质量</w:t>
      </w:r>
      <w:r>
        <w:rPr>
          <w:rFonts w:ascii="Times New Roman" w:hAnsi="Times New Roman" w:hint="eastAsia"/>
        </w:rPr>
        <w:t>未</w:t>
      </w:r>
      <w:r>
        <w:rPr>
          <w:rFonts w:ascii="Times New Roman" w:hAnsi="Times New Roman"/>
        </w:rPr>
        <w:t>发生大的变化</w:t>
      </w:r>
      <w:r>
        <w:rPr>
          <w:rFonts w:ascii="Times New Roman" w:hAnsi="Times New Roman" w:hint="eastAsia"/>
        </w:rPr>
        <w:t>，各矿工业场地均满足</w:t>
      </w:r>
      <w:r>
        <w:rPr>
          <w:rFonts w:ascii="Times New Roman" w:hAnsi="Times New Roman"/>
        </w:rPr>
        <w:t>《声环境质量标准》（</w:t>
      </w:r>
      <w:r>
        <w:rPr>
          <w:rFonts w:ascii="Times New Roman" w:hAnsi="Times New Roman"/>
        </w:rPr>
        <w:t>GB3096-2008</w:t>
      </w:r>
      <w:r>
        <w:rPr>
          <w:rFonts w:ascii="Times New Roman" w:hAnsi="Times New Roman"/>
        </w:rPr>
        <w:t>）中</w:t>
      </w:r>
      <w:r>
        <w:rPr>
          <w:rFonts w:ascii="Times New Roman" w:hAnsi="Times New Roman"/>
        </w:rPr>
        <w:t>3</w:t>
      </w:r>
      <w:r>
        <w:rPr>
          <w:rFonts w:ascii="Times New Roman" w:hAnsi="Times New Roman" w:hint="eastAsia"/>
        </w:rPr>
        <w:t>类标准限值。</w:t>
      </w:r>
      <w:r>
        <w:rPr>
          <w:rFonts w:ascii="Times New Roman" w:hAnsi="Times New Roman"/>
        </w:rPr>
        <w:t>详</w:t>
      </w:r>
      <w:r>
        <w:rPr>
          <w:rFonts w:ascii="Times New Roman" w:hAnsi="Times New Roman" w:hint="eastAsia"/>
        </w:rPr>
        <w:t>见</w:t>
      </w:r>
      <w:r>
        <w:rPr>
          <w:rFonts w:ascii="Times New Roman" w:hAnsi="Times New Roman"/>
        </w:rPr>
        <w:t>表</w:t>
      </w:r>
      <w:r>
        <w:rPr>
          <w:rFonts w:ascii="Times New Roman" w:hAnsi="Times New Roman" w:hint="eastAsia"/>
        </w:rPr>
        <w:t>4.3</w:t>
      </w:r>
      <w:r>
        <w:rPr>
          <w:rFonts w:ascii="Times New Roman" w:hAnsi="Times New Roman"/>
        </w:rPr>
        <w:t>-17</w:t>
      </w:r>
      <w:r>
        <w:rPr>
          <w:rFonts w:ascii="Times New Roman" w:hAnsi="Times New Roman"/>
        </w:rPr>
        <w:t>。</w:t>
      </w:r>
    </w:p>
    <w:p w14:paraId="32CB576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有表</w:t>
      </w:r>
      <w:r>
        <w:rPr>
          <w:rFonts w:ascii="Times New Roman" w:hAnsi="Times New Roman" w:hint="eastAsia"/>
        </w:rPr>
        <w:t>4</w:t>
      </w:r>
      <w:r>
        <w:rPr>
          <w:rFonts w:ascii="Times New Roman" w:hAnsi="Times New Roman"/>
        </w:rPr>
        <w:t>.3</w:t>
      </w:r>
      <w:r>
        <w:rPr>
          <w:rFonts w:ascii="Times New Roman" w:hAnsi="Times New Roman" w:hint="eastAsia"/>
        </w:rPr>
        <w:t>-</w:t>
      </w:r>
      <w:r>
        <w:rPr>
          <w:rFonts w:ascii="Times New Roman" w:hAnsi="Times New Roman"/>
        </w:rPr>
        <w:t>17</w:t>
      </w:r>
      <w:r>
        <w:rPr>
          <w:rFonts w:ascii="Times New Roman" w:hAnsi="Times New Roman" w:hint="eastAsia"/>
        </w:rPr>
        <w:t>可知，各矿厂界噪声均能达标排放，对厂界外声环境影响有限，不会产生不良后果。</w:t>
      </w:r>
    </w:p>
    <w:p w14:paraId="3DE530D6" w14:textId="77777777" w:rsidR="009C353B" w:rsidRDefault="00000000">
      <w:pPr>
        <w:adjustRightInd w:val="0"/>
        <w:snapToGrid w:val="0"/>
        <w:spacing w:line="440" w:lineRule="exact"/>
        <w:jc w:val="center"/>
        <w:rPr>
          <w:rFonts w:ascii="Times New Roman" w:hint="eastAsia"/>
          <w:b/>
        </w:rPr>
      </w:pPr>
      <w:r>
        <w:rPr>
          <w:rFonts w:ascii="Times New Roman" w:hint="eastAsia"/>
          <w:b/>
        </w:rPr>
        <w:t>矿区声</w:t>
      </w:r>
      <w:r>
        <w:rPr>
          <w:rFonts w:ascii="Times New Roman"/>
          <w:b/>
        </w:rPr>
        <w:t>环境质量</w:t>
      </w:r>
      <w:r>
        <w:rPr>
          <w:rFonts w:ascii="Times New Roman" w:hint="eastAsia"/>
          <w:b/>
        </w:rPr>
        <w:t>变化</w:t>
      </w:r>
      <w:r>
        <w:rPr>
          <w:rFonts w:ascii="Times New Roman"/>
          <w:b/>
        </w:rPr>
        <w:t>情况一览表</w:t>
      </w:r>
    </w:p>
    <w:p w14:paraId="1C8F457B" w14:textId="77777777" w:rsidR="009C353B" w:rsidRDefault="00000000">
      <w:pPr>
        <w:adjustRightInd w:val="0"/>
        <w:snapToGrid w:val="0"/>
        <w:spacing w:line="440" w:lineRule="exact"/>
        <w:outlineLvl w:val="4"/>
        <w:rPr>
          <w:rFonts w:ascii="Times New Roman" w:hAnsi="Times New Roman"/>
          <w:vertAlign w:val="superscript"/>
        </w:rPr>
      </w:pPr>
      <w:r>
        <w:rPr>
          <w:rFonts w:ascii="Times New Roman"/>
        </w:rPr>
        <w:t>表</w:t>
      </w:r>
      <w:r>
        <w:rPr>
          <w:rFonts w:ascii="Times New Roman" w:hAnsi="Times New Roman"/>
        </w:rPr>
        <w:t>4.3-17</w:t>
      </w:r>
      <w:r>
        <w:rPr>
          <w:rFonts w:ascii="Times New Roman" w:hAnsi="Times New Roman" w:hint="eastAsia"/>
        </w:rPr>
        <w:t xml:space="preserve">                      </w:t>
      </w:r>
      <w:r>
        <w:rPr>
          <w:rFonts w:ascii="Times New Roman" w:hAnsi="Times New Roman"/>
        </w:rPr>
        <w:t xml:space="preserve">                          </w:t>
      </w:r>
      <w:r>
        <w:rPr>
          <w:rFonts w:ascii="Times New Roman"/>
        </w:rPr>
        <w:t>单位：</w:t>
      </w:r>
      <w:r>
        <w:rPr>
          <w:rFonts w:ascii="Times New Roman" w:hint="eastAsia"/>
        </w:rPr>
        <w:t>L</w:t>
      </w:r>
      <w:r>
        <w:rPr>
          <w:rFonts w:ascii="Times New Roman"/>
        </w:rPr>
        <w:t>eq,</w:t>
      </w:r>
      <w:r>
        <w:rPr>
          <w:rFonts w:ascii="Times New Roman" w:hAnsi="Times New Roman"/>
          <w:szCs w:val="24"/>
        </w:rPr>
        <w:t>dB</w:t>
      </w:r>
      <w:r>
        <w:rPr>
          <w:rFonts w:ascii="Times New Roman" w:hAnsi="Times New Roman"/>
          <w:szCs w:val="24"/>
        </w:rPr>
        <w:t>（</w:t>
      </w:r>
      <w:r>
        <w:rPr>
          <w:rFonts w:ascii="Times New Roman" w:hAnsi="Times New Roman"/>
          <w:szCs w:val="24"/>
        </w:rPr>
        <w:t>A</w:t>
      </w:r>
      <w:r>
        <w:rPr>
          <w:rFonts w:ascii="Times New Roman" w:hAnsi="Times New Roman"/>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93"/>
        <w:gridCol w:w="974"/>
        <w:gridCol w:w="973"/>
        <w:gridCol w:w="974"/>
        <w:gridCol w:w="973"/>
        <w:gridCol w:w="974"/>
        <w:gridCol w:w="973"/>
        <w:gridCol w:w="974"/>
        <w:gridCol w:w="973"/>
      </w:tblGrid>
      <w:tr w:rsidR="009C353B" w14:paraId="17656751" w14:textId="77777777">
        <w:trPr>
          <w:trHeight w:val="340"/>
          <w:jc w:val="center"/>
        </w:trPr>
        <w:tc>
          <w:tcPr>
            <w:tcW w:w="1293" w:type="dxa"/>
            <w:vMerge w:val="restart"/>
            <w:tcBorders>
              <w:tl2br w:val="single" w:sz="4" w:space="0" w:color="auto"/>
            </w:tcBorders>
            <w:vAlign w:val="center"/>
          </w:tcPr>
          <w:p w14:paraId="3F693AF4" w14:textId="77777777" w:rsidR="009C353B" w:rsidRDefault="00000000">
            <w:pPr>
              <w:jc w:val="center"/>
              <w:rPr>
                <w:rFonts w:ascii="Times New Roman" w:hint="eastAsia"/>
                <w:b/>
                <w:bCs/>
                <w:kern w:val="0"/>
                <w:sz w:val="21"/>
                <w:szCs w:val="21"/>
              </w:rPr>
            </w:pPr>
            <w:r>
              <w:rPr>
                <w:rFonts w:ascii="Times New Roman" w:hint="eastAsia"/>
                <w:b/>
                <w:bCs/>
                <w:kern w:val="0"/>
                <w:sz w:val="21"/>
                <w:szCs w:val="21"/>
              </w:rPr>
              <w:t xml:space="preserve">     </w:t>
            </w:r>
            <w:r>
              <w:rPr>
                <w:rFonts w:ascii="Times New Roman" w:hint="eastAsia"/>
                <w:b/>
                <w:bCs/>
                <w:kern w:val="0"/>
                <w:sz w:val="21"/>
                <w:szCs w:val="21"/>
              </w:rPr>
              <w:t>时间</w:t>
            </w:r>
          </w:p>
          <w:p w14:paraId="4307701E" w14:textId="77777777" w:rsidR="009C353B" w:rsidRDefault="00000000">
            <w:pPr>
              <w:rPr>
                <w:rFonts w:ascii="Times New Roman" w:hAnsi="Times New Roman"/>
                <w:kern w:val="0"/>
                <w:sz w:val="21"/>
                <w:szCs w:val="21"/>
              </w:rPr>
            </w:pPr>
            <w:r>
              <w:rPr>
                <w:rFonts w:ascii="Times New Roman"/>
                <w:b/>
                <w:bCs/>
                <w:kern w:val="0"/>
                <w:sz w:val="21"/>
                <w:szCs w:val="21"/>
              </w:rPr>
              <w:t>监测点</w:t>
            </w:r>
          </w:p>
        </w:tc>
        <w:tc>
          <w:tcPr>
            <w:tcW w:w="1947" w:type="dxa"/>
            <w:gridSpan w:val="2"/>
            <w:vAlign w:val="center"/>
          </w:tcPr>
          <w:p w14:paraId="0F6501B3" w14:textId="77777777" w:rsidR="009C353B" w:rsidRDefault="00000000">
            <w:pPr>
              <w:widowControl/>
              <w:jc w:val="center"/>
              <w:rPr>
                <w:rFonts w:ascii="Times New Roman" w:hAnsi="Times New Roman"/>
                <w:b/>
                <w:bCs/>
                <w:kern w:val="0"/>
                <w:sz w:val="21"/>
                <w:szCs w:val="21"/>
              </w:rPr>
            </w:pPr>
            <w:r>
              <w:rPr>
                <w:rFonts w:ascii="Times New Roman" w:hAnsi="Times New Roman" w:hint="eastAsia"/>
                <w:b/>
                <w:bCs/>
                <w:kern w:val="0"/>
                <w:sz w:val="21"/>
                <w:szCs w:val="21"/>
              </w:rPr>
              <w:t>环评阶段</w:t>
            </w:r>
          </w:p>
        </w:tc>
        <w:tc>
          <w:tcPr>
            <w:tcW w:w="1947" w:type="dxa"/>
            <w:gridSpan w:val="2"/>
            <w:vAlign w:val="center"/>
          </w:tcPr>
          <w:p w14:paraId="30FED87D" w14:textId="77777777" w:rsidR="009C353B" w:rsidRDefault="00000000">
            <w:pPr>
              <w:widowControl/>
              <w:jc w:val="center"/>
              <w:rPr>
                <w:rFonts w:ascii="Times New Roman" w:hAnsi="Times New Roman"/>
                <w:b/>
                <w:bCs/>
                <w:kern w:val="0"/>
                <w:sz w:val="21"/>
                <w:szCs w:val="21"/>
              </w:rPr>
            </w:pPr>
            <w:r>
              <w:rPr>
                <w:rFonts w:ascii="Times New Roman" w:hAnsi="Times New Roman" w:hint="eastAsia"/>
                <w:b/>
                <w:bCs/>
                <w:kern w:val="0"/>
                <w:sz w:val="21"/>
                <w:szCs w:val="21"/>
              </w:rPr>
              <w:t>验收阶段</w:t>
            </w:r>
          </w:p>
        </w:tc>
        <w:tc>
          <w:tcPr>
            <w:tcW w:w="1947" w:type="dxa"/>
            <w:gridSpan w:val="2"/>
            <w:vAlign w:val="center"/>
          </w:tcPr>
          <w:p w14:paraId="3BC4108C" w14:textId="77777777" w:rsidR="009C353B" w:rsidRDefault="00000000">
            <w:pPr>
              <w:widowControl/>
              <w:jc w:val="center"/>
              <w:rPr>
                <w:rFonts w:ascii="Times New Roman" w:hAnsi="Times New Roman"/>
                <w:b/>
                <w:bCs/>
                <w:kern w:val="0"/>
                <w:sz w:val="21"/>
                <w:szCs w:val="21"/>
              </w:rPr>
            </w:pPr>
            <w:r>
              <w:rPr>
                <w:rFonts w:ascii="Times New Roman" w:hAnsi="Times New Roman" w:hint="eastAsia"/>
                <w:b/>
                <w:bCs/>
                <w:kern w:val="0"/>
                <w:sz w:val="21"/>
                <w:szCs w:val="21"/>
              </w:rPr>
              <w:t>产能核增环评阶段</w:t>
            </w:r>
          </w:p>
        </w:tc>
        <w:tc>
          <w:tcPr>
            <w:tcW w:w="1947" w:type="dxa"/>
            <w:gridSpan w:val="2"/>
            <w:vAlign w:val="center"/>
          </w:tcPr>
          <w:p w14:paraId="6BBB9C3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现状</w:t>
            </w:r>
          </w:p>
        </w:tc>
      </w:tr>
      <w:tr w:rsidR="009C353B" w14:paraId="410C61D9" w14:textId="77777777">
        <w:trPr>
          <w:trHeight w:val="340"/>
          <w:jc w:val="center"/>
        </w:trPr>
        <w:tc>
          <w:tcPr>
            <w:tcW w:w="1293" w:type="dxa"/>
            <w:vMerge/>
            <w:vAlign w:val="center"/>
          </w:tcPr>
          <w:p w14:paraId="283946D9" w14:textId="77777777" w:rsidR="009C353B" w:rsidRDefault="009C353B">
            <w:pPr>
              <w:jc w:val="center"/>
              <w:rPr>
                <w:rFonts w:ascii="Times New Roman" w:hint="eastAsia"/>
                <w:kern w:val="0"/>
                <w:sz w:val="21"/>
                <w:szCs w:val="21"/>
              </w:rPr>
            </w:pPr>
          </w:p>
        </w:tc>
        <w:tc>
          <w:tcPr>
            <w:tcW w:w="974" w:type="dxa"/>
            <w:vAlign w:val="center"/>
          </w:tcPr>
          <w:p w14:paraId="385FC40E"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昼间</w:t>
            </w:r>
          </w:p>
        </w:tc>
        <w:tc>
          <w:tcPr>
            <w:tcW w:w="973" w:type="dxa"/>
            <w:vAlign w:val="center"/>
          </w:tcPr>
          <w:p w14:paraId="4CF12307"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夜间</w:t>
            </w:r>
          </w:p>
        </w:tc>
        <w:tc>
          <w:tcPr>
            <w:tcW w:w="974" w:type="dxa"/>
            <w:vAlign w:val="center"/>
          </w:tcPr>
          <w:p w14:paraId="59D9AA7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昼间</w:t>
            </w:r>
          </w:p>
        </w:tc>
        <w:tc>
          <w:tcPr>
            <w:tcW w:w="973" w:type="dxa"/>
            <w:vAlign w:val="center"/>
          </w:tcPr>
          <w:p w14:paraId="0E6E93A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夜间</w:t>
            </w:r>
          </w:p>
        </w:tc>
        <w:tc>
          <w:tcPr>
            <w:tcW w:w="974" w:type="dxa"/>
            <w:vAlign w:val="center"/>
          </w:tcPr>
          <w:p w14:paraId="4322DBA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昼间</w:t>
            </w:r>
          </w:p>
        </w:tc>
        <w:tc>
          <w:tcPr>
            <w:tcW w:w="973" w:type="dxa"/>
            <w:vAlign w:val="center"/>
          </w:tcPr>
          <w:p w14:paraId="2B52B20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夜间</w:t>
            </w:r>
          </w:p>
        </w:tc>
        <w:tc>
          <w:tcPr>
            <w:tcW w:w="974" w:type="dxa"/>
            <w:vAlign w:val="center"/>
          </w:tcPr>
          <w:p w14:paraId="1E837348"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昼间</w:t>
            </w:r>
          </w:p>
        </w:tc>
        <w:tc>
          <w:tcPr>
            <w:tcW w:w="973" w:type="dxa"/>
            <w:vAlign w:val="center"/>
          </w:tcPr>
          <w:p w14:paraId="33EA5D5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夜间</w:t>
            </w:r>
          </w:p>
        </w:tc>
      </w:tr>
      <w:tr w:rsidR="009C353B" w14:paraId="6C8AB551" w14:textId="77777777">
        <w:trPr>
          <w:trHeight w:val="340"/>
          <w:jc w:val="center"/>
        </w:trPr>
        <w:tc>
          <w:tcPr>
            <w:tcW w:w="1293" w:type="dxa"/>
            <w:vMerge w:val="restart"/>
            <w:vAlign w:val="center"/>
          </w:tcPr>
          <w:p w14:paraId="131289FE" w14:textId="77777777" w:rsidR="009C353B" w:rsidRDefault="00000000">
            <w:pPr>
              <w:jc w:val="center"/>
              <w:rPr>
                <w:rFonts w:ascii="Times New Roman" w:hint="eastAsia"/>
                <w:kern w:val="0"/>
                <w:sz w:val="21"/>
                <w:szCs w:val="21"/>
              </w:rPr>
            </w:pPr>
            <w:r>
              <w:rPr>
                <w:rFonts w:ascii="Times New Roman" w:hAnsi="Times New Roman" w:hint="eastAsia"/>
                <w:kern w:val="0"/>
                <w:sz w:val="21"/>
                <w:szCs w:val="21"/>
              </w:rPr>
              <w:t>任家庄煤矿</w:t>
            </w:r>
            <w:r>
              <w:rPr>
                <w:rFonts w:ascii="Times New Roman" w:hAnsi="Times New Roman"/>
                <w:kern w:val="0"/>
                <w:sz w:val="21"/>
                <w:szCs w:val="21"/>
              </w:rPr>
              <w:t>工业场地</w:t>
            </w:r>
          </w:p>
        </w:tc>
        <w:tc>
          <w:tcPr>
            <w:tcW w:w="1947" w:type="dxa"/>
            <w:gridSpan w:val="2"/>
            <w:vAlign w:val="center"/>
          </w:tcPr>
          <w:p w14:paraId="494485AD"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2005.</w:t>
            </w:r>
            <w:r>
              <w:rPr>
                <w:rFonts w:ascii="Times New Roman" w:hAnsi="Times New Roman"/>
                <w:kern w:val="0"/>
                <w:sz w:val="21"/>
                <w:szCs w:val="21"/>
              </w:rPr>
              <w:t>3</w:t>
            </w:r>
          </w:p>
        </w:tc>
        <w:tc>
          <w:tcPr>
            <w:tcW w:w="1947" w:type="dxa"/>
            <w:gridSpan w:val="2"/>
            <w:vAlign w:val="center"/>
          </w:tcPr>
          <w:p w14:paraId="64C924B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200</w:t>
            </w:r>
            <w:r>
              <w:rPr>
                <w:rFonts w:ascii="Times New Roman" w:hAnsi="Times New Roman"/>
                <w:kern w:val="0"/>
                <w:sz w:val="21"/>
                <w:szCs w:val="21"/>
              </w:rPr>
              <w:t>8.</w:t>
            </w:r>
            <w:r>
              <w:rPr>
                <w:rFonts w:ascii="Times New Roman" w:hAnsi="Times New Roman" w:hint="eastAsia"/>
                <w:kern w:val="0"/>
                <w:sz w:val="21"/>
                <w:szCs w:val="21"/>
              </w:rPr>
              <w:t>1</w:t>
            </w:r>
            <w:r>
              <w:rPr>
                <w:rFonts w:ascii="Times New Roman" w:hAnsi="Times New Roman"/>
                <w:kern w:val="0"/>
                <w:sz w:val="21"/>
                <w:szCs w:val="21"/>
              </w:rPr>
              <w:t>1</w:t>
            </w:r>
          </w:p>
        </w:tc>
        <w:tc>
          <w:tcPr>
            <w:tcW w:w="1947" w:type="dxa"/>
            <w:gridSpan w:val="2"/>
            <w:vAlign w:val="center"/>
          </w:tcPr>
          <w:p w14:paraId="1392B61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016.5</w:t>
            </w:r>
          </w:p>
        </w:tc>
        <w:tc>
          <w:tcPr>
            <w:tcW w:w="1947" w:type="dxa"/>
            <w:gridSpan w:val="2"/>
            <w:vAlign w:val="center"/>
          </w:tcPr>
          <w:p w14:paraId="7E610F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w:t>
            </w:r>
          </w:p>
        </w:tc>
      </w:tr>
      <w:tr w:rsidR="009C353B" w14:paraId="60005639" w14:textId="77777777">
        <w:trPr>
          <w:trHeight w:val="340"/>
          <w:jc w:val="center"/>
        </w:trPr>
        <w:tc>
          <w:tcPr>
            <w:tcW w:w="1293" w:type="dxa"/>
            <w:vMerge/>
            <w:vAlign w:val="center"/>
          </w:tcPr>
          <w:p w14:paraId="205AD7BE" w14:textId="77777777" w:rsidR="009C353B" w:rsidRDefault="009C353B">
            <w:pPr>
              <w:jc w:val="center"/>
              <w:rPr>
                <w:rFonts w:ascii="Times New Roman" w:hint="eastAsia"/>
                <w:kern w:val="0"/>
                <w:sz w:val="21"/>
                <w:szCs w:val="21"/>
              </w:rPr>
            </w:pPr>
          </w:p>
        </w:tc>
        <w:tc>
          <w:tcPr>
            <w:tcW w:w="974" w:type="dxa"/>
            <w:vAlign w:val="center"/>
          </w:tcPr>
          <w:p w14:paraId="58135C7A"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41.0~44.2</w:t>
            </w:r>
          </w:p>
        </w:tc>
        <w:tc>
          <w:tcPr>
            <w:tcW w:w="973" w:type="dxa"/>
            <w:vAlign w:val="center"/>
          </w:tcPr>
          <w:p w14:paraId="79CFA6F5"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32.5~38.9</w:t>
            </w:r>
          </w:p>
        </w:tc>
        <w:tc>
          <w:tcPr>
            <w:tcW w:w="974" w:type="dxa"/>
            <w:vAlign w:val="center"/>
          </w:tcPr>
          <w:p w14:paraId="2E4501C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44~63</w:t>
            </w:r>
          </w:p>
        </w:tc>
        <w:tc>
          <w:tcPr>
            <w:tcW w:w="973" w:type="dxa"/>
            <w:vAlign w:val="center"/>
          </w:tcPr>
          <w:p w14:paraId="286159F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39~55</w:t>
            </w:r>
          </w:p>
        </w:tc>
        <w:tc>
          <w:tcPr>
            <w:tcW w:w="974" w:type="dxa"/>
            <w:vAlign w:val="center"/>
          </w:tcPr>
          <w:p w14:paraId="39C49D6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5.8~61.8</w:t>
            </w:r>
          </w:p>
        </w:tc>
        <w:tc>
          <w:tcPr>
            <w:tcW w:w="973" w:type="dxa"/>
            <w:vAlign w:val="center"/>
          </w:tcPr>
          <w:p w14:paraId="46D6BE33"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3.9~54.1</w:t>
            </w:r>
          </w:p>
        </w:tc>
        <w:tc>
          <w:tcPr>
            <w:tcW w:w="974" w:type="dxa"/>
            <w:vAlign w:val="center"/>
          </w:tcPr>
          <w:p w14:paraId="374B7F3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51.8~58.4</w:t>
            </w:r>
          </w:p>
        </w:tc>
        <w:tc>
          <w:tcPr>
            <w:tcW w:w="973" w:type="dxa"/>
            <w:vAlign w:val="center"/>
          </w:tcPr>
          <w:p w14:paraId="665B84BE"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8.6~54.9</w:t>
            </w:r>
          </w:p>
        </w:tc>
      </w:tr>
      <w:tr w:rsidR="009C353B" w14:paraId="41DC6391" w14:textId="77777777">
        <w:trPr>
          <w:trHeight w:val="340"/>
          <w:jc w:val="center"/>
        </w:trPr>
        <w:tc>
          <w:tcPr>
            <w:tcW w:w="1293" w:type="dxa"/>
            <w:vMerge w:val="restart"/>
            <w:vAlign w:val="center"/>
          </w:tcPr>
          <w:p w14:paraId="07F8A373" w14:textId="77777777" w:rsidR="009C353B" w:rsidRDefault="00000000">
            <w:pPr>
              <w:jc w:val="center"/>
              <w:rPr>
                <w:rFonts w:ascii="Times New Roman" w:hint="eastAsia"/>
                <w:kern w:val="0"/>
                <w:sz w:val="21"/>
                <w:szCs w:val="21"/>
              </w:rPr>
            </w:pPr>
            <w:r>
              <w:rPr>
                <w:rFonts w:ascii="Times New Roman" w:hAnsi="Times New Roman" w:hint="eastAsia"/>
                <w:kern w:val="0"/>
                <w:sz w:val="21"/>
                <w:szCs w:val="21"/>
              </w:rPr>
              <w:t>红石湾煤矿</w:t>
            </w:r>
            <w:r>
              <w:rPr>
                <w:rFonts w:ascii="Times New Roman" w:hAnsi="Times New Roman"/>
                <w:kern w:val="0"/>
                <w:sz w:val="21"/>
                <w:szCs w:val="21"/>
              </w:rPr>
              <w:t>工业场地</w:t>
            </w:r>
          </w:p>
        </w:tc>
        <w:tc>
          <w:tcPr>
            <w:tcW w:w="1947" w:type="dxa"/>
            <w:gridSpan w:val="2"/>
            <w:vAlign w:val="center"/>
          </w:tcPr>
          <w:p w14:paraId="68A324FA"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008.9</w:t>
            </w:r>
          </w:p>
        </w:tc>
        <w:tc>
          <w:tcPr>
            <w:tcW w:w="1947" w:type="dxa"/>
            <w:gridSpan w:val="2"/>
            <w:vAlign w:val="center"/>
          </w:tcPr>
          <w:p w14:paraId="55CE7F7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w:t>
            </w:r>
            <w:r>
              <w:rPr>
                <w:rFonts w:ascii="Times New Roman" w:hAnsi="Times New Roman"/>
                <w:kern w:val="0"/>
                <w:sz w:val="21"/>
                <w:szCs w:val="21"/>
              </w:rPr>
              <w:t>12</w:t>
            </w:r>
            <w:r>
              <w:rPr>
                <w:rFonts w:ascii="Times New Roman" w:hAnsi="Times New Roman" w:hint="eastAsia"/>
                <w:kern w:val="0"/>
                <w:sz w:val="21"/>
                <w:szCs w:val="21"/>
              </w:rPr>
              <w:t>.</w:t>
            </w:r>
            <w:r>
              <w:rPr>
                <w:rFonts w:ascii="Times New Roman" w:hAnsi="Times New Roman"/>
                <w:kern w:val="0"/>
                <w:sz w:val="21"/>
                <w:szCs w:val="21"/>
              </w:rPr>
              <w:t>2</w:t>
            </w:r>
          </w:p>
        </w:tc>
        <w:tc>
          <w:tcPr>
            <w:tcW w:w="1947" w:type="dxa"/>
            <w:gridSpan w:val="2"/>
            <w:vAlign w:val="center"/>
          </w:tcPr>
          <w:p w14:paraId="6DFD8AC4"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020.4</w:t>
            </w:r>
          </w:p>
        </w:tc>
        <w:tc>
          <w:tcPr>
            <w:tcW w:w="1947" w:type="dxa"/>
            <w:gridSpan w:val="2"/>
            <w:vAlign w:val="center"/>
          </w:tcPr>
          <w:p w14:paraId="32C16F6C"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2020.4</w:t>
            </w:r>
          </w:p>
        </w:tc>
      </w:tr>
      <w:tr w:rsidR="009C353B" w14:paraId="73E811E6" w14:textId="77777777">
        <w:trPr>
          <w:trHeight w:val="340"/>
          <w:jc w:val="center"/>
        </w:trPr>
        <w:tc>
          <w:tcPr>
            <w:tcW w:w="1293" w:type="dxa"/>
            <w:vMerge/>
            <w:vAlign w:val="center"/>
          </w:tcPr>
          <w:p w14:paraId="3EE489A4" w14:textId="77777777" w:rsidR="009C353B" w:rsidRDefault="009C353B">
            <w:pPr>
              <w:widowControl/>
              <w:jc w:val="center"/>
              <w:rPr>
                <w:rFonts w:ascii="Times New Roman" w:hAnsi="Times New Roman"/>
                <w:kern w:val="0"/>
                <w:sz w:val="21"/>
                <w:szCs w:val="21"/>
              </w:rPr>
            </w:pPr>
          </w:p>
        </w:tc>
        <w:tc>
          <w:tcPr>
            <w:tcW w:w="1947" w:type="dxa"/>
            <w:gridSpan w:val="2"/>
            <w:vAlign w:val="center"/>
          </w:tcPr>
          <w:p w14:paraId="60813BDB"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满足</w:t>
            </w:r>
            <w:r>
              <w:rPr>
                <w:rFonts w:ascii="Times New Roman" w:hAnsi="Times New Roman"/>
                <w:kern w:val="0"/>
                <w:sz w:val="21"/>
                <w:szCs w:val="21"/>
              </w:rPr>
              <w:t>《声环境质量标准》</w:t>
            </w:r>
            <w:r>
              <w:rPr>
                <w:rFonts w:ascii="Times New Roman" w:hAnsi="Times New Roman"/>
                <w:kern w:val="0"/>
                <w:sz w:val="21"/>
                <w:szCs w:val="21"/>
              </w:rPr>
              <w:t>3</w:t>
            </w:r>
            <w:r>
              <w:rPr>
                <w:rFonts w:ascii="Times New Roman" w:hAnsi="Times New Roman" w:hint="eastAsia"/>
                <w:kern w:val="0"/>
                <w:sz w:val="21"/>
                <w:szCs w:val="21"/>
              </w:rPr>
              <w:t>类标准</w:t>
            </w:r>
          </w:p>
        </w:tc>
        <w:tc>
          <w:tcPr>
            <w:tcW w:w="974" w:type="dxa"/>
            <w:vAlign w:val="center"/>
          </w:tcPr>
          <w:p w14:paraId="58E2343F"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53.6~55.8</w:t>
            </w:r>
          </w:p>
        </w:tc>
        <w:tc>
          <w:tcPr>
            <w:tcW w:w="973" w:type="dxa"/>
            <w:vAlign w:val="center"/>
          </w:tcPr>
          <w:p w14:paraId="78FB401B"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2.6~</w:t>
            </w:r>
            <w:r>
              <w:rPr>
                <w:rFonts w:ascii="Times New Roman" w:hAnsi="Times New Roman" w:hint="eastAsia"/>
                <w:kern w:val="0"/>
                <w:sz w:val="21"/>
                <w:szCs w:val="21"/>
              </w:rPr>
              <w:t>4</w:t>
            </w:r>
            <w:r>
              <w:rPr>
                <w:rFonts w:ascii="Times New Roman" w:hAnsi="Times New Roman"/>
                <w:kern w:val="0"/>
                <w:sz w:val="21"/>
                <w:szCs w:val="21"/>
              </w:rPr>
              <w:t>4.1</w:t>
            </w:r>
          </w:p>
        </w:tc>
        <w:tc>
          <w:tcPr>
            <w:tcW w:w="974" w:type="dxa"/>
            <w:vAlign w:val="center"/>
          </w:tcPr>
          <w:p w14:paraId="59D7493D"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50~53</w:t>
            </w:r>
          </w:p>
        </w:tc>
        <w:tc>
          <w:tcPr>
            <w:tcW w:w="973" w:type="dxa"/>
            <w:vAlign w:val="center"/>
          </w:tcPr>
          <w:p w14:paraId="332185B3"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42~46</w:t>
            </w:r>
          </w:p>
        </w:tc>
        <w:tc>
          <w:tcPr>
            <w:tcW w:w="974" w:type="dxa"/>
            <w:vAlign w:val="center"/>
          </w:tcPr>
          <w:p w14:paraId="2812E40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50~53</w:t>
            </w:r>
          </w:p>
        </w:tc>
        <w:tc>
          <w:tcPr>
            <w:tcW w:w="973" w:type="dxa"/>
            <w:vAlign w:val="center"/>
          </w:tcPr>
          <w:p w14:paraId="77C24BE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42~46</w:t>
            </w:r>
          </w:p>
        </w:tc>
      </w:tr>
      <w:tr w:rsidR="009C353B" w14:paraId="7DCCE428" w14:textId="77777777">
        <w:trPr>
          <w:trHeight w:val="340"/>
          <w:jc w:val="center"/>
        </w:trPr>
        <w:tc>
          <w:tcPr>
            <w:tcW w:w="1293" w:type="dxa"/>
            <w:vMerge w:val="restart"/>
            <w:vAlign w:val="center"/>
          </w:tcPr>
          <w:p w14:paraId="29038AFC"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马莲台煤矿工业场地</w:t>
            </w:r>
          </w:p>
        </w:tc>
        <w:tc>
          <w:tcPr>
            <w:tcW w:w="1947" w:type="dxa"/>
            <w:gridSpan w:val="2"/>
            <w:vAlign w:val="center"/>
          </w:tcPr>
          <w:p w14:paraId="07F7A4B7"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005.12</w:t>
            </w:r>
          </w:p>
        </w:tc>
        <w:tc>
          <w:tcPr>
            <w:tcW w:w="1947" w:type="dxa"/>
            <w:gridSpan w:val="2"/>
            <w:vAlign w:val="center"/>
          </w:tcPr>
          <w:p w14:paraId="4276B8AD"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009.10</w:t>
            </w:r>
          </w:p>
        </w:tc>
        <w:tc>
          <w:tcPr>
            <w:tcW w:w="1947" w:type="dxa"/>
            <w:gridSpan w:val="2"/>
            <w:vAlign w:val="center"/>
          </w:tcPr>
          <w:p w14:paraId="5F97A787"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016.3</w:t>
            </w:r>
          </w:p>
        </w:tc>
        <w:tc>
          <w:tcPr>
            <w:tcW w:w="1947" w:type="dxa"/>
            <w:gridSpan w:val="2"/>
            <w:vAlign w:val="center"/>
          </w:tcPr>
          <w:p w14:paraId="5802C85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w:t>
            </w:r>
          </w:p>
        </w:tc>
      </w:tr>
      <w:tr w:rsidR="009C353B" w14:paraId="71E12825" w14:textId="77777777">
        <w:trPr>
          <w:trHeight w:val="340"/>
          <w:jc w:val="center"/>
        </w:trPr>
        <w:tc>
          <w:tcPr>
            <w:tcW w:w="1293" w:type="dxa"/>
            <w:vMerge/>
            <w:vAlign w:val="center"/>
          </w:tcPr>
          <w:p w14:paraId="3859CCF7" w14:textId="77777777" w:rsidR="009C353B" w:rsidRDefault="009C353B">
            <w:pPr>
              <w:widowControl/>
              <w:jc w:val="center"/>
              <w:rPr>
                <w:rFonts w:ascii="Times New Roman" w:hAnsi="Times New Roman"/>
                <w:kern w:val="0"/>
                <w:sz w:val="21"/>
                <w:szCs w:val="21"/>
              </w:rPr>
            </w:pPr>
          </w:p>
        </w:tc>
        <w:tc>
          <w:tcPr>
            <w:tcW w:w="1947" w:type="dxa"/>
            <w:gridSpan w:val="2"/>
            <w:vAlign w:val="center"/>
          </w:tcPr>
          <w:p w14:paraId="6818F213"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满足</w:t>
            </w:r>
            <w:r>
              <w:rPr>
                <w:rFonts w:ascii="Times New Roman" w:hAnsi="Times New Roman"/>
                <w:kern w:val="0"/>
                <w:sz w:val="21"/>
                <w:szCs w:val="21"/>
              </w:rPr>
              <w:t>《声环境质量标准》</w:t>
            </w:r>
            <w:r>
              <w:rPr>
                <w:rFonts w:ascii="Times New Roman" w:hAnsi="Times New Roman"/>
                <w:kern w:val="0"/>
                <w:sz w:val="21"/>
                <w:szCs w:val="21"/>
              </w:rPr>
              <w:t>3</w:t>
            </w:r>
            <w:r>
              <w:rPr>
                <w:rFonts w:ascii="Times New Roman" w:hAnsi="Times New Roman" w:hint="eastAsia"/>
                <w:kern w:val="0"/>
                <w:sz w:val="21"/>
                <w:szCs w:val="21"/>
              </w:rPr>
              <w:t>类标准</w:t>
            </w:r>
          </w:p>
        </w:tc>
        <w:tc>
          <w:tcPr>
            <w:tcW w:w="974" w:type="dxa"/>
            <w:vAlign w:val="center"/>
          </w:tcPr>
          <w:p w14:paraId="200BB4A5"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7.5~62.8</w:t>
            </w:r>
          </w:p>
        </w:tc>
        <w:tc>
          <w:tcPr>
            <w:tcW w:w="973" w:type="dxa"/>
            <w:vAlign w:val="center"/>
          </w:tcPr>
          <w:p w14:paraId="7C1DED70"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7.0~62.7</w:t>
            </w:r>
          </w:p>
        </w:tc>
        <w:tc>
          <w:tcPr>
            <w:tcW w:w="974" w:type="dxa"/>
            <w:vAlign w:val="center"/>
          </w:tcPr>
          <w:p w14:paraId="232AD72D"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52.8~63.9</w:t>
            </w:r>
          </w:p>
        </w:tc>
        <w:tc>
          <w:tcPr>
            <w:tcW w:w="973" w:type="dxa"/>
            <w:vAlign w:val="center"/>
          </w:tcPr>
          <w:p w14:paraId="3D8DABFE"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7.1~57.1</w:t>
            </w:r>
          </w:p>
        </w:tc>
        <w:tc>
          <w:tcPr>
            <w:tcW w:w="974" w:type="dxa"/>
            <w:vAlign w:val="center"/>
          </w:tcPr>
          <w:p w14:paraId="7F0C168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w:t>
            </w:r>
          </w:p>
        </w:tc>
        <w:tc>
          <w:tcPr>
            <w:tcW w:w="973" w:type="dxa"/>
            <w:vAlign w:val="center"/>
          </w:tcPr>
          <w:p w14:paraId="0DC8F81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w:t>
            </w:r>
          </w:p>
        </w:tc>
      </w:tr>
      <w:tr w:rsidR="009C353B" w14:paraId="2E6B65A1" w14:textId="77777777">
        <w:trPr>
          <w:trHeight w:val="340"/>
          <w:jc w:val="center"/>
        </w:trPr>
        <w:tc>
          <w:tcPr>
            <w:tcW w:w="1293" w:type="dxa"/>
            <w:vMerge w:val="restart"/>
            <w:vAlign w:val="center"/>
          </w:tcPr>
          <w:p w14:paraId="65CE055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丁家梁煤矿</w:t>
            </w:r>
            <w:r>
              <w:rPr>
                <w:rFonts w:ascii="Times New Roman" w:hAnsi="Times New Roman"/>
                <w:kern w:val="0"/>
                <w:sz w:val="21"/>
                <w:szCs w:val="21"/>
              </w:rPr>
              <w:t>工业场地</w:t>
            </w:r>
          </w:p>
        </w:tc>
        <w:tc>
          <w:tcPr>
            <w:tcW w:w="1947" w:type="dxa"/>
            <w:gridSpan w:val="2"/>
            <w:vAlign w:val="center"/>
          </w:tcPr>
          <w:p w14:paraId="2BAF6B51"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2</w:t>
            </w:r>
            <w:r>
              <w:rPr>
                <w:rFonts w:ascii="Times New Roman" w:hAnsi="Times New Roman"/>
                <w:kern w:val="0"/>
                <w:sz w:val="21"/>
                <w:szCs w:val="21"/>
              </w:rPr>
              <w:t>011.5</w:t>
            </w:r>
          </w:p>
        </w:tc>
        <w:tc>
          <w:tcPr>
            <w:tcW w:w="1947" w:type="dxa"/>
            <w:gridSpan w:val="2"/>
            <w:vAlign w:val="center"/>
          </w:tcPr>
          <w:p w14:paraId="03B4C950"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w:t>
            </w:r>
          </w:p>
        </w:tc>
        <w:tc>
          <w:tcPr>
            <w:tcW w:w="1947" w:type="dxa"/>
            <w:gridSpan w:val="2"/>
            <w:vAlign w:val="center"/>
          </w:tcPr>
          <w:p w14:paraId="499BAF18"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w:t>
            </w:r>
          </w:p>
        </w:tc>
        <w:tc>
          <w:tcPr>
            <w:tcW w:w="1947" w:type="dxa"/>
            <w:gridSpan w:val="2"/>
            <w:vAlign w:val="center"/>
          </w:tcPr>
          <w:p w14:paraId="74990BE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2020.8</w:t>
            </w:r>
          </w:p>
        </w:tc>
      </w:tr>
      <w:tr w:rsidR="009C353B" w14:paraId="75845A75" w14:textId="77777777">
        <w:trPr>
          <w:trHeight w:val="340"/>
          <w:jc w:val="center"/>
        </w:trPr>
        <w:tc>
          <w:tcPr>
            <w:tcW w:w="1293" w:type="dxa"/>
            <w:vMerge/>
            <w:vAlign w:val="center"/>
          </w:tcPr>
          <w:p w14:paraId="6926A5EE" w14:textId="77777777" w:rsidR="009C353B" w:rsidRDefault="009C353B">
            <w:pPr>
              <w:widowControl/>
              <w:jc w:val="center"/>
              <w:rPr>
                <w:rFonts w:ascii="Times New Roman" w:hAnsi="Times New Roman"/>
                <w:kern w:val="0"/>
                <w:sz w:val="21"/>
                <w:szCs w:val="21"/>
              </w:rPr>
            </w:pPr>
          </w:p>
        </w:tc>
        <w:tc>
          <w:tcPr>
            <w:tcW w:w="974" w:type="dxa"/>
            <w:vAlign w:val="center"/>
          </w:tcPr>
          <w:p w14:paraId="0AB89081"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46.0~47.5</w:t>
            </w:r>
          </w:p>
        </w:tc>
        <w:tc>
          <w:tcPr>
            <w:tcW w:w="973" w:type="dxa"/>
            <w:vAlign w:val="center"/>
          </w:tcPr>
          <w:p w14:paraId="658C4DB2"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1.8~44.2</w:t>
            </w:r>
          </w:p>
        </w:tc>
        <w:tc>
          <w:tcPr>
            <w:tcW w:w="974" w:type="dxa"/>
            <w:vAlign w:val="center"/>
          </w:tcPr>
          <w:p w14:paraId="528DA5A4"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w:t>
            </w:r>
          </w:p>
        </w:tc>
        <w:tc>
          <w:tcPr>
            <w:tcW w:w="973" w:type="dxa"/>
            <w:vAlign w:val="center"/>
          </w:tcPr>
          <w:p w14:paraId="1F1867B6"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w:t>
            </w:r>
          </w:p>
        </w:tc>
        <w:tc>
          <w:tcPr>
            <w:tcW w:w="974" w:type="dxa"/>
            <w:vAlign w:val="center"/>
          </w:tcPr>
          <w:p w14:paraId="064F7083"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w:t>
            </w:r>
          </w:p>
        </w:tc>
        <w:tc>
          <w:tcPr>
            <w:tcW w:w="973" w:type="dxa"/>
            <w:vAlign w:val="center"/>
          </w:tcPr>
          <w:p w14:paraId="309BF854"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w:t>
            </w:r>
          </w:p>
        </w:tc>
        <w:tc>
          <w:tcPr>
            <w:tcW w:w="974" w:type="dxa"/>
            <w:vAlign w:val="center"/>
          </w:tcPr>
          <w:p w14:paraId="6A9284D5"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1.1~45.2</w:t>
            </w:r>
          </w:p>
        </w:tc>
        <w:tc>
          <w:tcPr>
            <w:tcW w:w="973" w:type="dxa"/>
            <w:vAlign w:val="center"/>
          </w:tcPr>
          <w:p w14:paraId="11FEC2D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4</w:t>
            </w:r>
            <w:r>
              <w:rPr>
                <w:rFonts w:ascii="Times New Roman" w:hAnsi="Times New Roman"/>
                <w:kern w:val="0"/>
                <w:sz w:val="21"/>
                <w:szCs w:val="21"/>
              </w:rPr>
              <w:t>0.5~43.2</w:t>
            </w:r>
          </w:p>
        </w:tc>
      </w:tr>
      <w:tr w:rsidR="009C353B" w14:paraId="202AB3BA" w14:textId="77777777">
        <w:trPr>
          <w:trHeight w:val="340"/>
          <w:jc w:val="center"/>
        </w:trPr>
        <w:tc>
          <w:tcPr>
            <w:tcW w:w="9081" w:type="dxa"/>
            <w:gridSpan w:val="9"/>
            <w:vAlign w:val="center"/>
          </w:tcPr>
          <w:p w14:paraId="718F43D8" w14:textId="77777777" w:rsidR="009C353B" w:rsidRDefault="00000000">
            <w:pPr>
              <w:widowControl/>
              <w:rPr>
                <w:rFonts w:ascii="Times New Roman" w:hAnsi="Times New Roman"/>
                <w:kern w:val="0"/>
                <w:sz w:val="18"/>
                <w:szCs w:val="18"/>
              </w:rPr>
            </w:pPr>
            <w:r>
              <w:rPr>
                <w:rFonts w:ascii="Times New Roman"/>
                <w:kern w:val="0"/>
                <w:sz w:val="21"/>
                <w:szCs w:val="21"/>
              </w:rPr>
              <w:t>《声环境质量标准》（</w:t>
            </w:r>
            <w:r>
              <w:rPr>
                <w:rFonts w:ascii="Times New Roman"/>
                <w:kern w:val="0"/>
                <w:sz w:val="21"/>
                <w:szCs w:val="21"/>
              </w:rPr>
              <w:t>GB3096-2008</w:t>
            </w:r>
            <w:r>
              <w:rPr>
                <w:rFonts w:ascii="Times New Roman"/>
                <w:kern w:val="0"/>
                <w:sz w:val="21"/>
                <w:szCs w:val="21"/>
              </w:rPr>
              <w:t>）中</w:t>
            </w:r>
            <w:r>
              <w:rPr>
                <w:rFonts w:ascii="Times New Roman"/>
                <w:kern w:val="0"/>
                <w:sz w:val="21"/>
                <w:szCs w:val="21"/>
              </w:rPr>
              <w:t>3</w:t>
            </w:r>
            <w:r>
              <w:rPr>
                <w:rFonts w:ascii="Times New Roman" w:hint="eastAsia"/>
                <w:kern w:val="0"/>
                <w:sz w:val="21"/>
                <w:szCs w:val="21"/>
              </w:rPr>
              <w:t>类：</w:t>
            </w:r>
            <w:r>
              <w:rPr>
                <w:rFonts w:ascii="Times New Roman"/>
                <w:kern w:val="0"/>
                <w:sz w:val="21"/>
                <w:szCs w:val="21"/>
              </w:rPr>
              <w:t>昼间</w:t>
            </w:r>
            <w:r>
              <w:rPr>
                <w:rFonts w:ascii="Times New Roman" w:hint="eastAsia"/>
                <w:kern w:val="0"/>
                <w:sz w:val="21"/>
                <w:szCs w:val="21"/>
              </w:rPr>
              <w:t>6</w:t>
            </w:r>
            <w:r>
              <w:rPr>
                <w:rFonts w:ascii="Times New Roman"/>
                <w:kern w:val="0"/>
                <w:sz w:val="21"/>
                <w:szCs w:val="21"/>
              </w:rPr>
              <w:t>5</w:t>
            </w:r>
            <w:r>
              <w:rPr>
                <w:rFonts w:ascii="Times New Roman" w:hint="eastAsia"/>
                <w:kern w:val="0"/>
                <w:sz w:val="21"/>
                <w:szCs w:val="21"/>
              </w:rPr>
              <w:t>，</w:t>
            </w:r>
            <w:r>
              <w:rPr>
                <w:rFonts w:ascii="Times New Roman"/>
                <w:kern w:val="0"/>
                <w:sz w:val="21"/>
                <w:szCs w:val="21"/>
              </w:rPr>
              <w:t>夜间</w:t>
            </w:r>
            <w:r>
              <w:rPr>
                <w:rFonts w:ascii="Times New Roman" w:hint="eastAsia"/>
                <w:kern w:val="0"/>
                <w:sz w:val="21"/>
                <w:szCs w:val="21"/>
              </w:rPr>
              <w:t>5</w:t>
            </w:r>
            <w:r>
              <w:rPr>
                <w:rFonts w:ascii="Times New Roman"/>
                <w:kern w:val="0"/>
                <w:sz w:val="21"/>
                <w:szCs w:val="21"/>
              </w:rPr>
              <w:t>5</w:t>
            </w:r>
            <w:r>
              <w:rPr>
                <w:rFonts w:ascii="Times New Roman" w:hint="eastAsia"/>
                <w:kern w:val="0"/>
                <w:sz w:val="21"/>
                <w:szCs w:val="21"/>
              </w:rPr>
              <w:t>；</w:t>
            </w:r>
          </w:p>
        </w:tc>
      </w:tr>
    </w:tbl>
    <w:p w14:paraId="213D9C99" w14:textId="77777777" w:rsidR="009C353B" w:rsidRDefault="00000000">
      <w:pPr>
        <w:pStyle w:val="2"/>
        <w:adjustRightInd w:val="0"/>
        <w:snapToGrid w:val="0"/>
        <w:spacing w:before="320" w:after="320" w:line="440" w:lineRule="exact"/>
        <w:rPr>
          <w:rFonts w:ascii="Times New Roman" w:eastAsia="宋体" w:hAnsi="Times New Roman"/>
          <w:b/>
          <w:sz w:val="28"/>
        </w:rPr>
      </w:pPr>
      <w:bookmarkStart w:id="161" w:name="_Toc59189837"/>
      <w:r>
        <w:rPr>
          <w:rFonts w:ascii="Times New Roman" w:eastAsia="宋体" w:hAnsi="Times New Roman"/>
          <w:b/>
          <w:sz w:val="28"/>
        </w:rPr>
        <w:t>4.</w:t>
      </w:r>
      <w:r>
        <w:rPr>
          <w:rFonts w:ascii="Times New Roman" w:eastAsia="宋体" w:hAnsi="Times New Roman" w:hint="eastAsia"/>
          <w:b/>
          <w:sz w:val="28"/>
        </w:rPr>
        <w:t>4</w:t>
      </w:r>
      <w:r>
        <w:rPr>
          <w:rFonts w:ascii="Times New Roman" w:eastAsia="宋体" w:hAnsi="Times New Roman"/>
          <w:b/>
          <w:sz w:val="28"/>
        </w:rPr>
        <w:t xml:space="preserve"> </w:t>
      </w:r>
      <w:r>
        <w:rPr>
          <w:rFonts w:ascii="Times New Roman" w:eastAsia="宋体" w:hAnsi="Times New Roman"/>
          <w:b/>
          <w:sz w:val="28"/>
        </w:rPr>
        <w:t>矿区开采沉陷</w:t>
      </w:r>
      <w:r>
        <w:rPr>
          <w:rFonts w:ascii="Times New Roman" w:eastAsia="宋体" w:hAnsi="Times New Roman" w:hint="eastAsia"/>
          <w:b/>
          <w:sz w:val="28"/>
        </w:rPr>
        <w:t>影响</w:t>
      </w:r>
      <w:r>
        <w:rPr>
          <w:rFonts w:ascii="Times New Roman" w:eastAsia="宋体" w:hAnsi="Times New Roman"/>
          <w:b/>
          <w:sz w:val="28"/>
        </w:rPr>
        <w:t>回顾</w:t>
      </w:r>
      <w:r>
        <w:rPr>
          <w:rFonts w:ascii="Times New Roman" w:eastAsia="宋体" w:hAnsi="Times New Roman" w:hint="eastAsia"/>
          <w:b/>
          <w:sz w:val="28"/>
        </w:rPr>
        <w:t>性评价</w:t>
      </w:r>
      <w:bookmarkEnd w:id="160"/>
      <w:bookmarkEnd w:id="161"/>
    </w:p>
    <w:p w14:paraId="53AD4BA2" w14:textId="77777777" w:rsidR="009C353B" w:rsidRDefault="00000000">
      <w:pPr>
        <w:adjustRightInd w:val="0"/>
        <w:snapToGrid w:val="0"/>
        <w:spacing w:line="440" w:lineRule="exact"/>
        <w:ind w:firstLineChars="200" w:firstLine="480"/>
        <w:rPr>
          <w:rFonts w:ascii="Times New Roman" w:hint="eastAsia"/>
        </w:rPr>
      </w:pPr>
      <w:r>
        <w:rPr>
          <w:rFonts w:ascii="Times New Roman"/>
        </w:rPr>
        <w:t>目前，矿区</w:t>
      </w:r>
      <w:r>
        <w:rPr>
          <w:rFonts w:ascii="Times New Roman" w:hint="eastAsia"/>
        </w:rPr>
        <w:t>内</w:t>
      </w:r>
      <w:r>
        <w:rPr>
          <w:rFonts w:ascii="Times New Roman"/>
        </w:rPr>
        <w:t>生产矿井为</w:t>
      </w:r>
      <w:r>
        <w:rPr>
          <w:rFonts w:ascii="Times New Roman" w:hint="eastAsia"/>
        </w:rPr>
        <w:t>马莲台矿井、红石湾</w:t>
      </w:r>
      <w:r>
        <w:rPr>
          <w:rFonts w:ascii="Times New Roman"/>
        </w:rPr>
        <w:t>矿井</w:t>
      </w:r>
      <w:r>
        <w:rPr>
          <w:rFonts w:ascii="Times New Roman" w:hint="eastAsia"/>
        </w:rPr>
        <w:t>及任家庄矿井。</w:t>
      </w:r>
    </w:p>
    <w:p w14:paraId="3A3B6C9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马莲台矿井井田</w:t>
      </w:r>
      <w:r>
        <w:rPr>
          <w:rFonts w:ascii="Times New Roman"/>
        </w:rPr>
        <w:t>面积为</w:t>
      </w:r>
      <w:r>
        <w:rPr>
          <w:rFonts w:ascii="Times New Roman"/>
        </w:rPr>
        <w:t>24.713km</w:t>
      </w:r>
      <w:r>
        <w:rPr>
          <w:rFonts w:ascii="Times New Roman"/>
          <w:vertAlign w:val="superscript"/>
        </w:rPr>
        <w:t>2</w:t>
      </w:r>
      <w:r>
        <w:rPr>
          <w:rFonts w:ascii="Times New Roman"/>
        </w:rPr>
        <w:t>。开采深度为</w:t>
      </w:r>
      <w:r>
        <w:rPr>
          <w:rFonts w:ascii="Times New Roman"/>
        </w:rPr>
        <w:t>140m</w:t>
      </w:r>
      <w:r>
        <w:rPr>
          <w:rFonts w:ascii="Times New Roman"/>
        </w:rPr>
        <w:t>～</w:t>
      </w:r>
      <w:r>
        <w:rPr>
          <w:rFonts w:ascii="Times New Roman"/>
        </w:rPr>
        <w:t>960m</w:t>
      </w:r>
      <w:r>
        <w:rPr>
          <w:rFonts w:ascii="Times New Roman"/>
        </w:rPr>
        <w:t>，</w:t>
      </w:r>
      <w:r>
        <w:rPr>
          <w:rFonts w:ascii="Times New Roman" w:hint="eastAsia"/>
        </w:rPr>
        <w:t>于</w:t>
      </w:r>
      <w:r>
        <w:rPr>
          <w:rFonts w:ascii="Times New Roman"/>
        </w:rPr>
        <w:t>2006</w:t>
      </w:r>
      <w:r>
        <w:rPr>
          <w:rFonts w:ascii="Times New Roman"/>
        </w:rPr>
        <w:t>年</w:t>
      </w:r>
      <w:r>
        <w:rPr>
          <w:rFonts w:ascii="Times New Roman"/>
        </w:rPr>
        <w:t>1</w:t>
      </w:r>
      <w:r>
        <w:rPr>
          <w:rFonts w:ascii="Times New Roman"/>
        </w:rPr>
        <w:t>月开工建设，</w:t>
      </w:r>
      <w:r>
        <w:rPr>
          <w:rFonts w:ascii="Times New Roman"/>
        </w:rPr>
        <w:t>2008</w:t>
      </w:r>
      <w:r>
        <w:rPr>
          <w:rFonts w:ascii="Times New Roman"/>
        </w:rPr>
        <w:t>年</w:t>
      </w:r>
      <w:r>
        <w:rPr>
          <w:rFonts w:ascii="Times New Roman"/>
        </w:rPr>
        <w:t>12</w:t>
      </w:r>
      <w:r>
        <w:rPr>
          <w:rFonts w:ascii="Times New Roman"/>
        </w:rPr>
        <w:t>月建成投产，生产规模为</w:t>
      </w:r>
      <w:r>
        <w:rPr>
          <w:rFonts w:ascii="Times New Roman"/>
        </w:rPr>
        <w:t>240</w:t>
      </w:r>
      <w:r>
        <w:rPr>
          <w:rFonts w:ascii="Times New Roman"/>
        </w:rPr>
        <w:t>万吨</w:t>
      </w:r>
      <w:r>
        <w:rPr>
          <w:rFonts w:ascii="Times New Roman"/>
        </w:rPr>
        <w:t>/</w:t>
      </w:r>
      <w:r>
        <w:rPr>
          <w:rFonts w:ascii="Times New Roman"/>
        </w:rPr>
        <w:t>年</w:t>
      </w:r>
      <w:r>
        <w:rPr>
          <w:rFonts w:ascii="Times New Roman" w:hint="eastAsia"/>
        </w:rPr>
        <w:t>，</w:t>
      </w:r>
      <w:r>
        <w:rPr>
          <w:rFonts w:ascii="Times New Roman" w:hint="eastAsia"/>
        </w:rPr>
        <w:t>2</w:t>
      </w:r>
      <w:r>
        <w:rPr>
          <w:rFonts w:ascii="Times New Roman"/>
        </w:rPr>
        <w:t>016</w:t>
      </w:r>
      <w:r>
        <w:rPr>
          <w:rFonts w:ascii="Times New Roman" w:hint="eastAsia"/>
        </w:rPr>
        <w:t>年核增至</w:t>
      </w:r>
      <w:r>
        <w:rPr>
          <w:rFonts w:ascii="Times New Roman" w:hint="eastAsia"/>
        </w:rPr>
        <w:t>3</w:t>
      </w:r>
      <w:r>
        <w:rPr>
          <w:rFonts w:ascii="Times New Roman"/>
        </w:rPr>
        <w:t>60</w:t>
      </w:r>
      <w:r>
        <w:rPr>
          <w:rFonts w:ascii="Times New Roman" w:hint="eastAsia"/>
        </w:rPr>
        <w:t>万吨</w:t>
      </w:r>
      <w:r>
        <w:rPr>
          <w:rFonts w:ascii="Times New Roman" w:hint="eastAsia"/>
        </w:rPr>
        <w:t>/</w:t>
      </w:r>
      <w:r>
        <w:rPr>
          <w:rFonts w:ascii="Times New Roman" w:hint="eastAsia"/>
        </w:rPr>
        <w:t>年</w:t>
      </w:r>
      <w:r>
        <w:rPr>
          <w:rFonts w:ascii="Times New Roman"/>
        </w:rPr>
        <w:t>。矿井采用斜井开拓，矿井主采煤层为一、三上、三、五、八煤层，采用综合机械化采煤法，全部垮落法管理顶板。</w:t>
      </w:r>
    </w:p>
    <w:p w14:paraId="14C144B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马莲台煤矿首采区（一采区）</w:t>
      </w:r>
      <w:r>
        <w:rPr>
          <w:rFonts w:ascii="Times New Roman" w:hint="eastAsia"/>
        </w:rPr>
        <w:t>2</w:t>
      </w:r>
      <w:r>
        <w:rPr>
          <w:rFonts w:ascii="Times New Roman"/>
        </w:rPr>
        <w:t>008</w:t>
      </w:r>
      <w:r>
        <w:rPr>
          <w:rFonts w:ascii="Times New Roman" w:hint="eastAsia"/>
        </w:rPr>
        <w:t>年</w:t>
      </w:r>
      <w:r>
        <w:rPr>
          <w:rFonts w:ascii="Times New Roman" w:hint="eastAsia"/>
        </w:rPr>
        <w:t>7</w:t>
      </w:r>
      <w:r>
        <w:rPr>
          <w:rFonts w:ascii="Times New Roman" w:hint="eastAsia"/>
        </w:rPr>
        <w:t>月开始开采，已于</w:t>
      </w:r>
      <w:r>
        <w:rPr>
          <w:rFonts w:ascii="Times New Roman"/>
        </w:rPr>
        <w:t>2018</w:t>
      </w:r>
      <w:r>
        <w:rPr>
          <w:rFonts w:ascii="Times New Roman" w:hint="eastAsia"/>
        </w:rPr>
        <w:t>年</w:t>
      </w:r>
      <w:r>
        <w:rPr>
          <w:rFonts w:ascii="Times New Roman"/>
        </w:rPr>
        <w:t>10</w:t>
      </w:r>
      <w:r>
        <w:rPr>
          <w:rFonts w:ascii="Times New Roman" w:hint="eastAsia"/>
        </w:rPr>
        <w:t>月开采完毕，目前接续的二采区已开采面积为</w:t>
      </w:r>
      <w:r>
        <w:rPr>
          <w:rFonts w:ascii="Times New Roman" w:hint="eastAsia"/>
        </w:rPr>
        <w:t>1242625</w:t>
      </w:r>
      <w:r>
        <w:rPr>
          <w:rFonts w:ascii="Times New Roman" w:hint="eastAsia"/>
        </w:rPr>
        <w:t>㎡。</w:t>
      </w:r>
    </w:p>
    <w:p w14:paraId="5576810A"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szCs w:val="24"/>
        </w:rPr>
        <w:t>根据</w:t>
      </w:r>
      <w:r>
        <w:rPr>
          <w:rFonts w:ascii="Times New Roman" w:hint="eastAsia"/>
        </w:rPr>
        <w:t>调查，</w:t>
      </w:r>
      <w:r>
        <w:rPr>
          <w:rFonts w:ascii="Times New Roman"/>
        </w:rPr>
        <w:t>目前地表采空区范围在一采区</w:t>
      </w:r>
      <w:r>
        <w:rPr>
          <w:rFonts w:ascii="Times New Roman"/>
        </w:rPr>
        <w:t>(</w:t>
      </w:r>
      <w:r>
        <w:rPr>
          <w:rFonts w:ascii="Times New Roman"/>
        </w:rPr>
        <w:t>首采区</w:t>
      </w:r>
      <w:r>
        <w:rPr>
          <w:rFonts w:ascii="Times New Roman"/>
        </w:rPr>
        <w:t>)</w:t>
      </w:r>
      <w:r>
        <w:rPr>
          <w:rFonts w:ascii="Times New Roman"/>
        </w:rPr>
        <w:t>，采空区范围内</w:t>
      </w:r>
      <w:r>
        <w:rPr>
          <w:rFonts w:ascii="Times New Roman" w:hint="eastAsia"/>
        </w:rPr>
        <w:t>发现地裂缝</w:t>
      </w:r>
      <w:r>
        <w:rPr>
          <w:rFonts w:ascii="Times New Roman"/>
        </w:rPr>
        <w:t>2</w:t>
      </w:r>
      <w:r>
        <w:rPr>
          <w:rFonts w:ascii="Times New Roman"/>
        </w:rPr>
        <w:t>组共计约</w:t>
      </w:r>
      <w:r>
        <w:rPr>
          <w:rFonts w:ascii="Times New Roman"/>
        </w:rPr>
        <w:t>233</w:t>
      </w:r>
      <w:r>
        <w:rPr>
          <w:rFonts w:ascii="Times New Roman"/>
        </w:rPr>
        <w:t>条，裂缝宽、深不均，均为采空区引起的地面塌陷。现有塌陷裂缝规模较小，一般裂缝宽度</w:t>
      </w:r>
      <w:r>
        <w:rPr>
          <w:rFonts w:ascii="Times New Roman"/>
        </w:rPr>
        <w:t>1-5cm</w:t>
      </w:r>
      <w:r>
        <w:rPr>
          <w:rFonts w:ascii="Times New Roman"/>
        </w:rPr>
        <w:t>，深度为</w:t>
      </w:r>
      <w:r>
        <w:rPr>
          <w:rFonts w:ascii="Times New Roman"/>
        </w:rPr>
        <w:t>2</w:t>
      </w:r>
      <w:r>
        <w:rPr>
          <w:rFonts w:ascii="Times New Roman"/>
        </w:rPr>
        <w:t>—</w:t>
      </w:r>
      <w:r>
        <w:rPr>
          <w:rFonts w:ascii="Times New Roman"/>
        </w:rPr>
        <w:t>8m</w:t>
      </w:r>
      <w:r>
        <w:rPr>
          <w:rFonts w:ascii="Times New Roman"/>
        </w:rPr>
        <w:t>不等。未延伸至主井、风井、斜井和工业广场，对生产设施威胁较小。</w:t>
      </w:r>
      <w:r>
        <w:rPr>
          <w:rFonts w:ascii="Times New Roman" w:hint="eastAsia"/>
        </w:rPr>
        <w:t>沉陷裂缝主要发生在采空区边界上方的局部区域。未发</w:t>
      </w:r>
      <w:r>
        <w:rPr>
          <w:rFonts w:ascii="Times New Roman"/>
        </w:rPr>
        <w:t>现积水</w:t>
      </w:r>
      <w:r>
        <w:rPr>
          <w:rFonts w:ascii="Times New Roman" w:hint="eastAsia"/>
        </w:rPr>
        <w:t>区</w:t>
      </w:r>
      <w:r>
        <w:rPr>
          <w:rFonts w:ascii="Times New Roman"/>
        </w:rPr>
        <w:t>。截止目前，</w:t>
      </w:r>
      <w:r>
        <w:rPr>
          <w:rFonts w:ascii="Times New Roman" w:hint="eastAsia"/>
        </w:rPr>
        <w:t>马莲台</w:t>
      </w:r>
      <w:r>
        <w:rPr>
          <w:rFonts w:ascii="Times New Roman"/>
        </w:rPr>
        <w:t>矿井采空区面积约</w:t>
      </w:r>
      <w:r>
        <w:rPr>
          <w:rFonts w:ascii="Times New Roman"/>
        </w:rPr>
        <w:t>2.8km</w:t>
      </w:r>
      <w:r>
        <w:rPr>
          <w:rFonts w:ascii="Times New Roman"/>
          <w:vertAlign w:val="superscript"/>
        </w:rPr>
        <w:t>2</w:t>
      </w:r>
      <w:r>
        <w:rPr>
          <w:rFonts w:ascii="Times New Roman"/>
        </w:rPr>
        <w:t>，受沉陷影响的土地面积约</w:t>
      </w:r>
      <w:r>
        <w:rPr>
          <w:rFonts w:ascii="Times New Roman"/>
        </w:rPr>
        <w:t>5.33</w:t>
      </w:r>
      <w:r>
        <w:rPr>
          <w:rFonts w:ascii="Times New Roman" w:hint="eastAsia"/>
        </w:rPr>
        <w:t>k</w:t>
      </w:r>
      <w:r>
        <w:rPr>
          <w:rFonts w:ascii="Times New Roman"/>
        </w:rPr>
        <w:t>m</w:t>
      </w:r>
      <w:r>
        <w:rPr>
          <w:rFonts w:ascii="Times New Roman"/>
          <w:vertAlign w:val="superscript"/>
        </w:rPr>
        <w:t>2</w:t>
      </w:r>
      <w:r>
        <w:rPr>
          <w:rFonts w:ascii="Times New Roman"/>
        </w:rPr>
        <w:t>，地表最大下沉深度为</w:t>
      </w:r>
      <w:r>
        <w:rPr>
          <w:rFonts w:ascii="Times New Roman"/>
        </w:rPr>
        <w:t>9.23m</w:t>
      </w:r>
      <w:r>
        <w:rPr>
          <w:rFonts w:ascii="Times New Roman"/>
        </w:rPr>
        <w:t>，</w:t>
      </w:r>
      <w:r>
        <w:rPr>
          <w:rFonts w:ascii="Times New Roman" w:hint="eastAsia"/>
        </w:rPr>
        <w:t>马莲台矿井沉陷表现形式见图</w:t>
      </w:r>
      <w:r>
        <w:rPr>
          <w:rFonts w:ascii="Times New Roman" w:hint="eastAsia"/>
        </w:rPr>
        <w:t>4.4-</w:t>
      </w:r>
      <w:r>
        <w:rPr>
          <w:rFonts w:ascii="Times New Roman"/>
        </w:rPr>
        <w:t>1</w:t>
      </w:r>
      <w:r>
        <w:rPr>
          <w:rFonts w:ascii="Times New Roman" w:hint="eastAsia"/>
        </w:rPr>
        <w:t>。</w:t>
      </w:r>
    </w:p>
    <w:p w14:paraId="3E4144E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红石湾矿井井田</w:t>
      </w:r>
      <w:r>
        <w:rPr>
          <w:rFonts w:ascii="Times New Roman"/>
        </w:rPr>
        <w:t>面积为</w:t>
      </w:r>
      <w:r>
        <w:rPr>
          <w:rFonts w:ascii="Times New Roman"/>
        </w:rPr>
        <w:t>6.6522km</w:t>
      </w:r>
      <w:r>
        <w:rPr>
          <w:rFonts w:ascii="Times New Roman"/>
          <w:vertAlign w:val="superscript"/>
        </w:rPr>
        <w:t>2</w:t>
      </w:r>
      <w:r>
        <w:rPr>
          <w:rFonts w:ascii="Times New Roman"/>
        </w:rPr>
        <w:t>。开采深度为</w:t>
      </w:r>
      <w:r>
        <w:rPr>
          <w:rFonts w:ascii="Times New Roman"/>
        </w:rPr>
        <w:t>300m</w:t>
      </w:r>
      <w:r>
        <w:rPr>
          <w:rFonts w:ascii="Times New Roman"/>
        </w:rPr>
        <w:t>～</w:t>
      </w:r>
      <w:r>
        <w:rPr>
          <w:rFonts w:ascii="Times New Roman"/>
        </w:rPr>
        <w:t>700m</w:t>
      </w:r>
      <w:r>
        <w:rPr>
          <w:rFonts w:ascii="Times New Roman"/>
        </w:rPr>
        <w:t>，</w:t>
      </w:r>
      <w:r>
        <w:rPr>
          <w:rFonts w:ascii="Times New Roman" w:hint="eastAsia"/>
        </w:rPr>
        <w:t>于</w:t>
      </w:r>
      <w:r>
        <w:rPr>
          <w:rFonts w:ascii="Times New Roman"/>
        </w:rPr>
        <w:t>2008</w:t>
      </w:r>
      <w:r>
        <w:rPr>
          <w:rFonts w:ascii="Times New Roman"/>
        </w:rPr>
        <w:t>年</w:t>
      </w:r>
      <w:r>
        <w:rPr>
          <w:rFonts w:ascii="Times New Roman"/>
        </w:rPr>
        <w:t>7</w:t>
      </w:r>
      <w:r>
        <w:rPr>
          <w:rFonts w:ascii="Times New Roman"/>
        </w:rPr>
        <w:t>月正式开工建设，</w:t>
      </w:r>
      <w:r>
        <w:rPr>
          <w:rFonts w:ascii="Times New Roman"/>
        </w:rPr>
        <w:t>2012</w:t>
      </w:r>
      <w:r>
        <w:rPr>
          <w:rFonts w:ascii="Times New Roman"/>
        </w:rPr>
        <w:t>年</w:t>
      </w:r>
      <w:r>
        <w:rPr>
          <w:rFonts w:ascii="Times New Roman"/>
        </w:rPr>
        <w:t>11</w:t>
      </w:r>
      <w:r>
        <w:rPr>
          <w:rFonts w:ascii="Times New Roman"/>
        </w:rPr>
        <w:t>月</w:t>
      </w:r>
      <w:r>
        <w:rPr>
          <w:rFonts w:ascii="Times New Roman"/>
        </w:rPr>
        <w:t>28</w:t>
      </w:r>
      <w:r>
        <w:rPr>
          <w:rFonts w:ascii="Times New Roman"/>
        </w:rPr>
        <w:t>日正式移交投产，生产规模为</w:t>
      </w:r>
      <w:r>
        <w:rPr>
          <w:rFonts w:ascii="Times New Roman"/>
        </w:rPr>
        <w:t>60</w:t>
      </w:r>
      <w:r>
        <w:rPr>
          <w:rFonts w:ascii="Times New Roman"/>
        </w:rPr>
        <w:t>万吨</w:t>
      </w:r>
      <w:r>
        <w:rPr>
          <w:rFonts w:ascii="Times New Roman"/>
        </w:rPr>
        <w:t>/</w:t>
      </w:r>
      <w:r>
        <w:rPr>
          <w:rFonts w:ascii="Times New Roman"/>
        </w:rPr>
        <w:t>年</w:t>
      </w:r>
      <w:r>
        <w:rPr>
          <w:rFonts w:ascii="Times New Roman" w:hint="eastAsia"/>
        </w:rPr>
        <w:t>，</w:t>
      </w:r>
      <w:r>
        <w:rPr>
          <w:rFonts w:ascii="Times New Roman" w:hint="eastAsia"/>
        </w:rPr>
        <w:t>2</w:t>
      </w:r>
      <w:r>
        <w:rPr>
          <w:rFonts w:ascii="Times New Roman"/>
        </w:rPr>
        <w:t>020</w:t>
      </w:r>
      <w:r>
        <w:rPr>
          <w:rFonts w:ascii="Times New Roman" w:hint="eastAsia"/>
        </w:rPr>
        <w:t>年核增至</w:t>
      </w:r>
      <w:r>
        <w:rPr>
          <w:rFonts w:ascii="Times New Roman" w:hint="eastAsia"/>
        </w:rPr>
        <w:t>1</w:t>
      </w:r>
      <w:r>
        <w:rPr>
          <w:rFonts w:ascii="Times New Roman"/>
        </w:rPr>
        <w:t>10</w:t>
      </w:r>
      <w:r>
        <w:rPr>
          <w:rFonts w:ascii="Times New Roman" w:hint="eastAsia"/>
        </w:rPr>
        <w:t>万吨</w:t>
      </w:r>
      <w:r>
        <w:rPr>
          <w:rFonts w:ascii="Times New Roman" w:hint="eastAsia"/>
        </w:rPr>
        <w:t>/</w:t>
      </w:r>
      <w:r>
        <w:rPr>
          <w:rFonts w:ascii="Times New Roman" w:hint="eastAsia"/>
        </w:rPr>
        <w:t>年</w:t>
      </w:r>
      <w:r>
        <w:rPr>
          <w:rFonts w:ascii="Times New Roman"/>
        </w:rPr>
        <w:t>。</w:t>
      </w:r>
      <w:r>
        <w:rPr>
          <w:rFonts w:ascii="Times New Roman" w:hint="eastAsia"/>
        </w:rPr>
        <w:t>矿井采用斜井单水平开拓方式，井田内可采煤层</w:t>
      </w:r>
      <w:r>
        <w:rPr>
          <w:rFonts w:ascii="Times New Roman"/>
        </w:rPr>
        <w:t>7</w:t>
      </w:r>
      <w:r>
        <w:rPr>
          <w:rFonts w:ascii="Times New Roman"/>
        </w:rPr>
        <w:t>层，自上而下分别为</w:t>
      </w:r>
      <w:r>
        <w:rPr>
          <w:rFonts w:ascii="Times New Roman"/>
        </w:rPr>
        <w:t>1</w:t>
      </w:r>
      <w:r>
        <w:rPr>
          <w:rFonts w:ascii="Times New Roman"/>
        </w:rPr>
        <w:t>、</w:t>
      </w:r>
      <w:r>
        <w:rPr>
          <w:rFonts w:ascii="Times New Roman"/>
        </w:rPr>
        <w:t>3</w:t>
      </w:r>
      <w:r>
        <w:rPr>
          <w:rFonts w:ascii="Times New Roman"/>
        </w:rPr>
        <w:t>、</w:t>
      </w:r>
      <w:r>
        <w:rPr>
          <w:rFonts w:ascii="Times New Roman"/>
        </w:rPr>
        <w:t>5</w:t>
      </w:r>
      <w:r>
        <w:rPr>
          <w:rFonts w:ascii="Times New Roman"/>
        </w:rPr>
        <w:t>、</w:t>
      </w:r>
      <w:r>
        <w:rPr>
          <w:rFonts w:ascii="Times New Roman"/>
        </w:rPr>
        <w:t>6</w:t>
      </w:r>
      <w:r>
        <w:rPr>
          <w:rFonts w:ascii="Times New Roman"/>
        </w:rPr>
        <w:t>、</w:t>
      </w:r>
      <w:r>
        <w:rPr>
          <w:rFonts w:ascii="Times New Roman"/>
        </w:rPr>
        <w:t>8</w:t>
      </w:r>
      <w:r>
        <w:rPr>
          <w:rFonts w:ascii="Times New Roman"/>
        </w:rPr>
        <w:t>、</w:t>
      </w:r>
      <w:r>
        <w:rPr>
          <w:rFonts w:ascii="Times New Roman"/>
        </w:rPr>
        <w:t>9</w:t>
      </w:r>
      <w:r>
        <w:rPr>
          <w:rFonts w:ascii="Times New Roman"/>
        </w:rPr>
        <w:t>、</w:t>
      </w:r>
      <w:r>
        <w:rPr>
          <w:rFonts w:ascii="Times New Roman"/>
        </w:rPr>
        <w:t>10</w:t>
      </w:r>
      <w:r>
        <w:rPr>
          <w:rFonts w:ascii="Times New Roman"/>
        </w:rPr>
        <w:t>号煤层，主要可采煤层</w:t>
      </w:r>
      <w:r>
        <w:rPr>
          <w:rFonts w:ascii="Times New Roman"/>
        </w:rPr>
        <w:t>3</w:t>
      </w:r>
      <w:r>
        <w:rPr>
          <w:rFonts w:ascii="Times New Roman"/>
        </w:rPr>
        <w:t>层，分别为</w:t>
      </w:r>
      <w:r>
        <w:rPr>
          <w:rFonts w:ascii="Times New Roman"/>
        </w:rPr>
        <w:t>3</w:t>
      </w:r>
      <w:r>
        <w:rPr>
          <w:rFonts w:ascii="Times New Roman"/>
        </w:rPr>
        <w:t>、</w:t>
      </w:r>
      <w:r>
        <w:rPr>
          <w:rFonts w:ascii="Times New Roman"/>
        </w:rPr>
        <w:t>5</w:t>
      </w:r>
      <w:r>
        <w:rPr>
          <w:rFonts w:ascii="Times New Roman"/>
        </w:rPr>
        <w:t>、</w:t>
      </w:r>
      <w:r>
        <w:rPr>
          <w:rFonts w:ascii="Times New Roman"/>
        </w:rPr>
        <w:t>9</w:t>
      </w:r>
      <w:r>
        <w:rPr>
          <w:rFonts w:ascii="Times New Roman"/>
        </w:rPr>
        <w:t>号煤层，</w:t>
      </w:r>
      <w:r>
        <w:rPr>
          <w:rFonts w:ascii="Times New Roman" w:hint="eastAsia"/>
        </w:rPr>
        <w:t>矿井采用走向长壁后退式采煤方法，综合机械化一次采全高采煤工艺，全部垮落法管理顶板。</w:t>
      </w:r>
    </w:p>
    <w:p w14:paraId="68FE58A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红石湾煤矿首采区</w:t>
      </w:r>
      <w:r>
        <w:rPr>
          <w:rFonts w:ascii="Times New Roman" w:hint="eastAsia"/>
        </w:rPr>
        <w:t>2011</w:t>
      </w:r>
      <w:r>
        <w:rPr>
          <w:rFonts w:ascii="Times New Roman" w:hint="eastAsia"/>
        </w:rPr>
        <w:t>年</w:t>
      </w:r>
      <w:r>
        <w:rPr>
          <w:rFonts w:ascii="Times New Roman" w:hint="eastAsia"/>
        </w:rPr>
        <w:t>10</w:t>
      </w:r>
      <w:r>
        <w:rPr>
          <w:rFonts w:ascii="Times New Roman" w:hint="eastAsia"/>
        </w:rPr>
        <w:t>月开始开采，目前正在开采中，剩余服务年限</w:t>
      </w:r>
      <w:r>
        <w:rPr>
          <w:rFonts w:ascii="Times New Roman" w:hint="eastAsia"/>
        </w:rPr>
        <w:t>2</w:t>
      </w:r>
      <w:r>
        <w:rPr>
          <w:rFonts w:ascii="Times New Roman"/>
        </w:rPr>
        <w:t>8</w:t>
      </w:r>
      <w:r>
        <w:rPr>
          <w:rFonts w:ascii="Times New Roman" w:hint="eastAsia"/>
        </w:rPr>
        <w:t>年。</w:t>
      </w:r>
    </w:p>
    <w:p w14:paraId="009C7BC8"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szCs w:val="24"/>
        </w:rPr>
        <w:t>根据</w:t>
      </w:r>
      <w:r>
        <w:rPr>
          <w:rFonts w:ascii="Times New Roman" w:hint="eastAsia"/>
        </w:rPr>
        <w:t>调查，目前矿井首采区已经出现小范围塌陷，地形发生了起伏和变形，形成了裂缝</w:t>
      </w:r>
      <w:r>
        <w:rPr>
          <w:rFonts w:ascii="Times New Roman" w:hint="eastAsia"/>
        </w:rPr>
        <w:t>1</w:t>
      </w:r>
      <w:r>
        <w:rPr>
          <w:rFonts w:ascii="Times New Roman"/>
        </w:rPr>
        <w:t>9</w:t>
      </w:r>
      <w:r>
        <w:rPr>
          <w:rFonts w:ascii="Times New Roman" w:hint="eastAsia"/>
        </w:rPr>
        <w:t>条，长度</w:t>
      </w:r>
      <w:r>
        <w:rPr>
          <w:rFonts w:ascii="Times New Roman" w:hint="eastAsia"/>
        </w:rPr>
        <w:t>0</w:t>
      </w:r>
      <w:r>
        <w:rPr>
          <w:rFonts w:ascii="Times New Roman"/>
        </w:rPr>
        <w:t>.5</w:t>
      </w:r>
      <w:r>
        <w:rPr>
          <w:rFonts w:ascii="Times New Roman"/>
        </w:rPr>
        <w:t>—</w:t>
      </w:r>
      <w:r>
        <w:rPr>
          <w:rFonts w:ascii="Times New Roman"/>
        </w:rPr>
        <w:t>150</w:t>
      </w:r>
      <w:r>
        <w:rPr>
          <w:rFonts w:ascii="Times New Roman" w:hint="eastAsia"/>
        </w:rPr>
        <w:t>m</w:t>
      </w:r>
      <w:r>
        <w:rPr>
          <w:rFonts w:ascii="Times New Roman" w:hint="eastAsia"/>
        </w:rPr>
        <w:t>不等，一般裂缝宽度</w:t>
      </w:r>
      <w:r>
        <w:rPr>
          <w:rFonts w:ascii="Times New Roman"/>
        </w:rPr>
        <w:t>0.1-1.8m</w:t>
      </w:r>
      <w:r>
        <w:rPr>
          <w:rFonts w:ascii="Times New Roman"/>
        </w:rPr>
        <w:t>，深度为</w:t>
      </w:r>
      <w:r>
        <w:rPr>
          <w:rFonts w:ascii="Times New Roman" w:hint="eastAsia"/>
        </w:rPr>
        <w:t>0</w:t>
      </w:r>
      <w:r>
        <w:rPr>
          <w:rFonts w:ascii="Times New Roman"/>
        </w:rPr>
        <w:t>.2</w:t>
      </w:r>
      <w:r>
        <w:rPr>
          <w:rFonts w:ascii="Times New Roman"/>
        </w:rPr>
        <w:t>—</w:t>
      </w:r>
      <w:r>
        <w:rPr>
          <w:rFonts w:ascii="Times New Roman"/>
        </w:rPr>
        <w:t>1.8m</w:t>
      </w:r>
      <w:r>
        <w:rPr>
          <w:rFonts w:ascii="Times New Roman"/>
        </w:rPr>
        <w:t>不等</w:t>
      </w:r>
      <w:r>
        <w:rPr>
          <w:rFonts w:ascii="Times New Roman" w:hint="eastAsia"/>
        </w:rPr>
        <w:t>，</w:t>
      </w:r>
      <w:r>
        <w:rPr>
          <w:rFonts w:ascii="Times New Roman" w:hAnsi="Times New Roman" w:hint="eastAsia"/>
          <w:szCs w:val="24"/>
        </w:rPr>
        <w:t>沉陷裂缝主要发生在采空区边界上方的局部区域，</w:t>
      </w:r>
      <w:r>
        <w:rPr>
          <w:rFonts w:ascii="Times New Roman" w:hint="eastAsia"/>
        </w:rPr>
        <w:t>已采取裂缝回填措施</w:t>
      </w:r>
      <w:r>
        <w:rPr>
          <w:rFonts w:ascii="Times New Roman"/>
        </w:rPr>
        <w:t>。</w:t>
      </w:r>
      <w:r>
        <w:rPr>
          <w:rFonts w:ascii="Times New Roman" w:hAnsi="Times New Roman" w:hint="eastAsia"/>
          <w:szCs w:val="24"/>
        </w:rPr>
        <w:t>截止目前，红石湾矿井采空区面积约</w:t>
      </w:r>
      <w:r>
        <w:rPr>
          <w:rFonts w:ascii="Times New Roman" w:hAnsi="Times New Roman"/>
          <w:szCs w:val="24"/>
        </w:rPr>
        <w:t>50.4</w:t>
      </w:r>
      <w:r>
        <w:rPr>
          <w:rFonts w:ascii="Times New Roman" w:hAnsi="Times New Roman" w:hint="eastAsia"/>
          <w:szCs w:val="24"/>
        </w:rPr>
        <w:t>hm</w:t>
      </w:r>
      <w:r>
        <w:rPr>
          <w:rFonts w:ascii="Times New Roman" w:hAnsi="Times New Roman" w:hint="eastAsia"/>
          <w:szCs w:val="24"/>
          <w:vertAlign w:val="superscript"/>
        </w:rPr>
        <w:t>2</w:t>
      </w:r>
      <w:r>
        <w:rPr>
          <w:rFonts w:ascii="Times New Roman" w:hAnsi="Times New Roman" w:hint="eastAsia"/>
          <w:szCs w:val="24"/>
        </w:rPr>
        <w:t>，受沉陷影响的土地面积约</w:t>
      </w:r>
      <w:r>
        <w:rPr>
          <w:rFonts w:ascii="Times New Roman" w:hAnsi="Times New Roman"/>
          <w:szCs w:val="24"/>
        </w:rPr>
        <w:t>236.93</w:t>
      </w:r>
      <w:r>
        <w:rPr>
          <w:rFonts w:ascii="Times New Roman" w:hAnsi="Times New Roman" w:hint="eastAsia"/>
          <w:szCs w:val="24"/>
        </w:rPr>
        <w:t>hm</w:t>
      </w:r>
      <w:r>
        <w:rPr>
          <w:rFonts w:ascii="Times New Roman" w:hAnsi="Times New Roman" w:hint="eastAsia"/>
          <w:szCs w:val="24"/>
          <w:vertAlign w:val="superscript"/>
        </w:rPr>
        <w:t>2</w:t>
      </w:r>
      <w:r>
        <w:rPr>
          <w:rFonts w:ascii="Times New Roman" w:hAnsi="Times New Roman" w:hint="eastAsia"/>
          <w:szCs w:val="24"/>
        </w:rPr>
        <w:t>，地表最大下沉深度为</w:t>
      </w:r>
      <w:r>
        <w:rPr>
          <w:rFonts w:ascii="Times New Roman" w:hAnsi="Times New Roman"/>
          <w:szCs w:val="24"/>
        </w:rPr>
        <w:t>1.18</w:t>
      </w:r>
      <w:r>
        <w:rPr>
          <w:rFonts w:ascii="Times New Roman" w:hAnsi="Times New Roman" w:hint="eastAsia"/>
          <w:szCs w:val="24"/>
        </w:rPr>
        <w:t>m</w:t>
      </w:r>
      <w:r>
        <w:rPr>
          <w:rFonts w:ascii="Times New Roman" w:hAnsi="Times New Roman" w:hint="eastAsia"/>
          <w:szCs w:val="24"/>
        </w:rPr>
        <w:t>，</w:t>
      </w:r>
      <w:r>
        <w:rPr>
          <w:rFonts w:ascii="Times New Roman" w:hint="eastAsia"/>
        </w:rPr>
        <w:t>红石湾矿井沉陷表现形式见图</w:t>
      </w:r>
      <w:r>
        <w:rPr>
          <w:rFonts w:ascii="Times New Roman" w:hint="eastAsia"/>
        </w:rPr>
        <w:t>4.4-</w:t>
      </w:r>
      <w:r>
        <w:rPr>
          <w:rFonts w:ascii="Times New Roman"/>
        </w:rPr>
        <w:t>1</w:t>
      </w:r>
      <w:r>
        <w:rPr>
          <w:rFonts w:ascii="Times New Roman" w:hint="eastAsia"/>
        </w:rPr>
        <w:t>。</w:t>
      </w:r>
    </w:p>
    <w:p w14:paraId="0E454B1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任家庄矿井井田面积</w:t>
      </w:r>
      <w:r>
        <w:rPr>
          <w:rFonts w:ascii="Times New Roman"/>
        </w:rPr>
        <w:t>17.79km</w:t>
      </w:r>
      <w:r>
        <w:rPr>
          <w:rFonts w:ascii="Times New Roman"/>
          <w:vertAlign w:val="superscript"/>
        </w:rPr>
        <w:t>2</w:t>
      </w:r>
      <w:r>
        <w:rPr>
          <w:rFonts w:ascii="Times New Roman" w:hint="eastAsia"/>
        </w:rPr>
        <w:t>，开采深度为</w:t>
      </w:r>
      <w:r>
        <w:rPr>
          <w:rFonts w:ascii="Times New Roman"/>
        </w:rPr>
        <w:t>220m</w:t>
      </w:r>
      <w:r>
        <w:rPr>
          <w:rFonts w:ascii="Times New Roman"/>
        </w:rPr>
        <w:t>～</w:t>
      </w:r>
      <w:r>
        <w:rPr>
          <w:rFonts w:ascii="Times New Roman"/>
        </w:rPr>
        <w:t>420m</w:t>
      </w:r>
      <w:r>
        <w:rPr>
          <w:rFonts w:ascii="Times New Roman"/>
        </w:rPr>
        <w:t>，</w:t>
      </w:r>
      <w:r>
        <w:rPr>
          <w:rFonts w:ascii="Times New Roman" w:hint="eastAsia"/>
        </w:rPr>
        <w:t>于</w:t>
      </w:r>
      <w:r>
        <w:rPr>
          <w:rFonts w:ascii="Times New Roman"/>
        </w:rPr>
        <w:t>2005</w:t>
      </w:r>
      <w:r>
        <w:rPr>
          <w:rFonts w:ascii="Times New Roman"/>
        </w:rPr>
        <w:t>年</w:t>
      </w:r>
      <w:r>
        <w:rPr>
          <w:rFonts w:ascii="Times New Roman"/>
        </w:rPr>
        <w:t>1</w:t>
      </w:r>
      <w:r>
        <w:rPr>
          <w:rFonts w:ascii="Times New Roman"/>
        </w:rPr>
        <w:t>月开工建设，</w:t>
      </w:r>
      <w:r>
        <w:rPr>
          <w:rFonts w:ascii="Times New Roman"/>
        </w:rPr>
        <w:t>2008</w:t>
      </w:r>
      <w:r>
        <w:rPr>
          <w:rFonts w:ascii="Times New Roman"/>
        </w:rPr>
        <w:t>年</w:t>
      </w:r>
      <w:r>
        <w:rPr>
          <w:rFonts w:ascii="Times New Roman"/>
        </w:rPr>
        <w:t>3</w:t>
      </w:r>
      <w:r>
        <w:rPr>
          <w:rFonts w:ascii="Times New Roman"/>
        </w:rPr>
        <w:t>月建成投产，</w:t>
      </w:r>
      <w:r>
        <w:rPr>
          <w:rFonts w:ascii="Times New Roman" w:hint="eastAsia"/>
        </w:rPr>
        <w:t>现生产规模为</w:t>
      </w:r>
      <w:r>
        <w:rPr>
          <w:rFonts w:ascii="Times New Roman"/>
        </w:rPr>
        <w:t>240</w:t>
      </w:r>
      <w:r>
        <w:rPr>
          <w:rFonts w:ascii="Times New Roman" w:hint="eastAsia"/>
        </w:rPr>
        <w:t>万</w:t>
      </w:r>
      <w:r>
        <w:rPr>
          <w:rFonts w:ascii="Times New Roman"/>
        </w:rPr>
        <w:t>t/a</w:t>
      </w:r>
      <w:r>
        <w:rPr>
          <w:rFonts w:ascii="Times New Roman" w:hint="eastAsia"/>
        </w:rPr>
        <w:t>，</w:t>
      </w:r>
      <w:r>
        <w:rPr>
          <w:rFonts w:ascii="Times New Roman" w:hint="eastAsia"/>
        </w:rPr>
        <w:t>2</w:t>
      </w:r>
      <w:r>
        <w:rPr>
          <w:rFonts w:ascii="Times New Roman"/>
        </w:rPr>
        <w:t>016</w:t>
      </w:r>
      <w:r>
        <w:rPr>
          <w:rFonts w:ascii="Times New Roman" w:hint="eastAsia"/>
        </w:rPr>
        <w:t>年核增至</w:t>
      </w:r>
      <w:r>
        <w:rPr>
          <w:rFonts w:ascii="Times New Roman" w:hint="eastAsia"/>
        </w:rPr>
        <w:t>3</w:t>
      </w:r>
      <w:r>
        <w:rPr>
          <w:rFonts w:ascii="Times New Roman"/>
        </w:rPr>
        <w:t>60</w:t>
      </w:r>
      <w:r>
        <w:rPr>
          <w:rFonts w:ascii="Times New Roman" w:hint="eastAsia"/>
        </w:rPr>
        <w:t>万吨</w:t>
      </w:r>
      <w:r>
        <w:rPr>
          <w:rFonts w:ascii="Times New Roman" w:hint="eastAsia"/>
        </w:rPr>
        <w:t>/</w:t>
      </w:r>
      <w:r>
        <w:rPr>
          <w:rFonts w:ascii="Times New Roman" w:hint="eastAsia"/>
        </w:rPr>
        <w:t>年</w:t>
      </w:r>
      <w:r>
        <w:rPr>
          <w:rFonts w:ascii="Times New Roman"/>
        </w:rPr>
        <w:t>。</w:t>
      </w:r>
      <w:r>
        <w:rPr>
          <w:rFonts w:ascii="Times New Roman" w:hint="eastAsia"/>
        </w:rPr>
        <w:t>矿井采用斜、立井综合开拓方式，井田内可采煤层为一、三、四、五、六、八、九煤层，目前主要开采的三煤、五煤均采用长臂综合机械化采煤方法，薄煤层（一、四、六）采用薄煤层滚筒采煤机综采。</w:t>
      </w:r>
    </w:p>
    <w:p w14:paraId="135ED4B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任家庄煤矿首采区</w:t>
      </w:r>
      <w:r>
        <w:rPr>
          <w:rFonts w:ascii="Times New Roman"/>
        </w:rPr>
        <w:t>2008</w:t>
      </w:r>
      <w:r>
        <w:rPr>
          <w:rFonts w:ascii="Times New Roman" w:hint="eastAsia"/>
        </w:rPr>
        <w:t>年</w:t>
      </w:r>
      <w:r>
        <w:rPr>
          <w:rFonts w:ascii="Times New Roman"/>
        </w:rPr>
        <w:t>4</w:t>
      </w:r>
      <w:r>
        <w:rPr>
          <w:rFonts w:ascii="Times New Roman" w:hint="eastAsia"/>
        </w:rPr>
        <w:t>月开始开采，目前正在开采中，剩余服务年限</w:t>
      </w:r>
      <w:r>
        <w:rPr>
          <w:rFonts w:ascii="Times New Roman" w:hint="eastAsia"/>
        </w:rPr>
        <w:t>3</w:t>
      </w:r>
      <w:r>
        <w:rPr>
          <w:rFonts w:ascii="Times New Roman"/>
        </w:rPr>
        <w:t>.6</w:t>
      </w:r>
      <w:r>
        <w:rPr>
          <w:rFonts w:ascii="Times New Roman" w:hint="eastAsia"/>
        </w:rPr>
        <w:t>年。</w:t>
      </w:r>
    </w:p>
    <w:p w14:paraId="3812BB78"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szCs w:val="24"/>
        </w:rPr>
        <w:t>根据</w:t>
      </w:r>
      <w:r>
        <w:rPr>
          <w:rFonts w:ascii="Times New Roman" w:hint="eastAsia"/>
        </w:rPr>
        <w:t>调查，除开采范围内有少量的裂缝出现，井田其他区域无明显的裂缝现象。出现的裂缝主要在</w:t>
      </w:r>
      <w:r>
        <w:rPr>
          <w:rFonts w:ascii="Times New Roman"/>
        </w:rPr>
        <w:t>11</w:t>
      </w:r>
      <w:r>
        <w:rPr>
          <w:rFonts w:ascii="Times New Roman" w:hint="eastAsia"/>
        </w:rPr>
        <w:t>、</w:t>
      </w:r>
      <w:r>
        <w:rPr>
          <w:rFonts w:ascii="Times New Roman" w:hint="eastAsia"/>
        </w:rPr>
        <w:t>2</w:t>
      </w:r>
      <w:r>
        <w:rPr>
          <w:rFonts w:ascii="Times New Roman"/>
        </w:rPr>
        <w:t xml:space="preserve">1 </w:t>
      </w:r>
      <w:r>
        <w:rPr>
          <w:rFonts w:ascii="Times New Roman"/>
        </w:rPr>
        <w:t>采区，</w:t>
      </w:r>
      <w:r>
        <w:rPr>
          <w:rFonts w:ascii="Times New Roman" w:hAnsi="Times New Roman" w:hint="eastAsia"/>
          <w:szCs w:val="24"/>
        </w:rPr>
        <w:t>沉陷裂缝主要发生在采空区边界上方的局部区域。</w:t>
      </w:r>
      <w:r>
        <w:rPr>
          <w:rFonts w:ascii="Times New Roman" w:hint="eastAsia"/>
        </w:rPr>
        <w:t>对于开采区出现的裂缝，建设单位通风队及时巡查，发现裂缝及时充填，采区</w:t>
      </w:r>
      <w:r>
        <w:rPr>
          <w:rFonts w:ascii="Times New Roman"/>
        </w:rPr>
        <w:t>填充工程量</w:t>
      </w:r>
      <w:r>
        <w:rPr>
          <w:rFonts w:ascii="Times New Roman" w:hint="eastAsia"/>
        </w:rPr>
        <w:t>共计</w:t>
      </w:r>
      <w:r>
        <w:rPr>
          <w:rFonts w:ascii="Times New Roman"/>
        </w:rPr>
        <w:t>639.2m</w:t>
      </w:r>
      <w:r>
        <w:rPr>
          <w:rFonts w:ascii="Times New Roman"/>
          <w:vertAlign w:val="superscript"/>
        </w:rPr>
        <w:t>2</w:t>
      </w:r>
      <w:r>
        <w:rPr>
          <w:rFonts w:ascii="Times New Roman"/>
        </w:rPr>
        <w:t>。</w:t>
      </w:r>
      <w:r>
        <w:rPr>
          <w:rFonts w:ascii="Times New Roman" w:hint="eastAsia"/>
        </w:rPr>
        <w:t>矿井煤炭开采所产生的地表影响对区域地形地貌影响不明显，井田内没有形成大面积的下沉盆地。</w:t>
      </w:r>
      <w:r>
        <w:rPr>
          <w:rFonts w:ascii="Times New Roman" w:hAnsi="Times New Roman" w:hint="eastAsia"/>
          <w:szCs w:val="24"/>
        </w:rPr>
        <w:t>截止目前，任家庄矿井采空区面积约</w:t>
      </w:r>
      <w:r>
        <w:rPr>
          <w:rFonts w:ascii="Times New Roman" w:hAnsi="Times New Roman"/>
          <w:szCs w:val="24"/>
        </w:rPr>
        <w:t>3.12</w:t>
      </w:r>
      <w:r>
        <w:rPr>
          <w:rFonts w:ascii="Times New Roman" w:hAnsi="Times New Roman" w:hint="eastAsia"/>
          <w:szCs w:val="24"/>
        </w:rPr>
        <w:t>km</w:t>
      </w:r>
      <w:r>
        <w:rPr>
          <w:rFonts w:ascii="Times New Roman" w:hAnsi="Times New Roman" w:hint="eastAsia"/>
          <w:szCs w:val="24"/>
          <w:vertAlign w:val="superscript"/>
        </w:rPr>
        <w:t>2</w:t>
      </w:r>
      <w:r>
        <w:rPr>
          <w:rFonts w:ascii="Times New Roman" w:hAnsi="Times New Roman" w:hint="eastAsia"/>
          <w:szCs w:val="24"/>
        </w:rPr>
        <w:t>，受沉陷影响的土地面积约</w:t>
      </w:r>
      <w:r>
        <w:rPr>
          <w:rFonts w:ascii="Times New Roman" w:hAnsi="Times New Roman"/>
          <w:szCs w:val="24"/>
        </w:rPr>
        <w:t>5.03</w:t>
      </w:r>
      <w:r>
        <w:rPr>
          <w:rFonts w:ascii="Times New Roman" w:hAnsi="Times New Roman" w:hint="eastAsia"/>
          <w:szCs w:val="24"/>
        </w:rPr>
        <w:t>km</w:t>
      </w:r>
      <w:r>
        <w:rPr>
          <w:rFonts w:ascii="Times New Roman" w:hAnsi="Times New Roman" w:hint="eastAsia"/>
          <w:szCs w:val="24"/>
          <w:vertAlign w:val="superscript"/>
        </w:rPr>
        <w:t>2</w:t>
      </w:r>
      <w:r>
        <w:rPr>
          <w:rFonts w:ascii="Times New Roman" w:hAnsi="Times New Roman" w:hint="eastAsia"/>
          <w:szCs w:val="24"/>
        </w:rPr>
        <w:t>，地表最大下沉深度为</w:t>
      </w:r>
      <w:r>
        <w:rPr>
          <w:rFonts w:ascii="Times New Roman" w:hAnsi="Times New Roman" w:hint="eastAsia"/>
          <w:szCs w:val="24"/>
        </w:rPr>
        <w:t>5.0m</w:t>
      </w:r>
      <w:r>
        <w:rPr>
          <w:rFonts w:ascii="Times New Roman" w:hAnsi="Times New Roman" w:hint="eastAsia"/>
          <w:szCs w:val="24"/>
        </w:rPr>
        <w:t>左右，</w:t>
      </w:r>
      <w:r>
        <w:rPr>
          <w:rFonts w:ascii="Times New Roman" w:hint="eastAsia"/>
        </w:rPr>
        <w:t>任家庄矿井沉陷表现形式见图</w:t>
      </w:r>
      <w:r>
        <w:rPr>
          <w:rFonts w:ascii="Times New Roman" w:hint="eastAsia"/>
        </w:rPr>
        <w:t>4.4-</w:t>
      </w:r>
      <w:r>
        <w:rPr>
          <w:rFonts w:ascii="Times New Roman"/>
        </w:rPr>
        <w:t>1</w:t>
      </w:r>
      <w:r>
        <w:rPr>
          <w:rFonts w:ascii="Times New Roman" w:hint="eastAsia"/>
        </w:rPr>
        <w:t>。</w:t>
      </w:r>
    </w:p>
    <w:p w14:paraId="41AEC405" w14:textId="77777777" w:rsidR="009C353B" w:rsidRDefault="00000000">
      <w:pPr>
        <w:adjustRightInd w:val="0"/>
        <w:snapToGrid w:val="0"/>
        <w:spacing w:line="440" w:lineRule="exact"/>
        <w:ind w:firstLineChars="200" w:firstLine="480"/>
        <w:rPr>
          <w:rFonts w:ascii="Times New Roman" w:hint="eastAsia"/>
        </w:rPr>
        <w:sectPr w:rsidR="009C353B">
          <w:pgSz w:w="11907" w:h="16840"/>
          <w:pgMar w:top="1701" w:right="1418" w:bottom="1418" w:left="1418" w:header="1134" w:footer="851" w:gutter="0"/>
          <w:paperSrc w:first="7" w:other="7"/>
          <w:cols w:space="720"/>
          <w:docGrid w:linePitch="312"/>
        </w:sectPr>
      </w:pPr>
      <w:r>
        <w:rPr>
          <w:rFonts w:ascii="Times New Roman" w:hint="eastAsia"/>
        </w:rPr>
        <w:t>调查结果表明，地表沉陷变形规律基本为：</w:t>
      </w:r>
      <w:r>
        <w:rPr>
          <w:rFonts w:ascii="Times New Roman"/>
        </w:rPr>
        <w:t>矿埋深较小的区域（</w:t>
      </w:r>
      <w:r>
        <w:rPr>
          <w:rFonts w:ascii="Times New Roman" w:hint="eastAsia"/>
        </w:rPr>
        <w:t>红石湾、任家庄北部，马莲台西北部</w:t>
      </w:r>
      <w:r>
        <w:rPr>
          <w:rFonts w:ascii="Times New Roman"/>
        </w:rPr>
        <w:t>），开采后地表沉陷主要表现形式是地表裂缝，沉陷台阶，局部出现沉陷坑，沉陷裂缝主要发生在采空区边界上方的局部区域；埋深较大的区域（</w:t>
      </w:r>
      <w:r>
        <w:rPr>
          <w:rFonts w:ascii="Times New Roman" w:hint="eastAsia"/>
        </w:rPr>
        <w:t>红石湾、任家庄南部区域及马莲台东北部、东部、南部区域</w:t>
      </w:r>
      <w:r>
        <w:rPr>
          <w:rFonts w:ascii="Times New Roman"/>
        </w:rPr>
        <w:t>），沉陷表现形式一般为整体缓慢下沉，仅在沉陷区边缘会出现轻微裂缝。</w:t>
      </w:r>
      <w:r>
        <w:rPr>
          <w:rFonts w:ascii="Times New Roman" w:hint="eastAsia"/>
        </w:rPr>
        <w:t>沉陷产生的地表裂缝现均已进行充填，目前裂缝回填措施效果明显。已开采井田采空区分布图见图</w:t>
      </w:r>
      <w:r>
        <w:rPr>
          <w:rFonts w:ascii="Times New Roman" w:hint="eastAsia"/>
        </w:rPr>
        <w:t>4</w:t>
      </w:r>
      <w:r>
        <w:rPr>
          <w:rFonts w:ascii="Times New Roman"/>
        </w:rPr>
        <w:t>.4-2</w:t>
      </w:r>
      <w:r>
        <w:rPr>
          <w:rFonts w:ascii="Times New Roman" w:hint="eastAsia"/>
        </w:rPr>
        <w:t>，地表沉陷范围见图</w:t>
      </w:r>
      <w:r>
        <w:rPr>
          <w:rFonts w:ascii="Times New Roman" w:hint="eastAsia"/>
        </w:rPr>
        <w:t>4</w:t>
      </w:r>
      <w:r>
        <w:rPr>
          <w:rFonts w:ascii="Times New Roman"/>
        </w:rPr>
        <w:t>.4-3</w:t>
      </w:r>
      <w:r>
        <w:rPr>
          <w:rFonts w:ascii="Times New Roman" w:hint="eastAsia"/>
        </w:rPr>
        <w:t>。</w:t>
      </w:r>
    </w:p>
    <w:tbl>
      <w:tblPr>
        <w:tblStyle w:val="afffb"/>
        <w:tblW w:w="0" w:type="auto"/>
        <w:tblLook w:val="04A0" w:firstRow="1" w:lastRow="0" w:firstColumn="1" w:lastColumn="0" w:noHBand="0" w:noVBand="1"/>
      </w:tblPr>
      <w:tblGrid>
        <w:gridCol w:w="4668"/>
        <w:gridCol w:w="4470"/>
      </w:tblGrid>
      <w:tr w:rsidR="009C353B" w14:paraId="3A43DBB5" w14:textId="77777777">
        <w:tc>
          <w:tcPr>
            <w:tcW w:w="4591" w:type="dxa"/>
          </w:tcPr>
          <w:p w14:paraId="68A2D8AB"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3933C8DA" wp14:editId="12AD350E">
                  <wp:extent cx="1941195" cy="2685415"/>
                  <wp:effectExtent l="0" t="0" r="1905" b="635"/>
                  <wp:docPr id="1029" name="图片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029"/>
                          <pic:cNvPicPr>
                            <a:picLocks noChangeAspect="1"/>
                          </pic:cNvPicPr>
                        </pic:nvPicPr>
                        <pic:blipFill>
                          <a:blip r:embed="rId327" cstate="print">
                            <a:extLst>
                              <a:ext uri="{28A0092B-C50C-407E-A947-70E740481C1C}">
                                <a14:useLocalDpi xmlns:a14="http://schemas.microsoft.com/office/drawing/2010/main" val="0"/>
                              </a:ext>
                            </a:extLst>
                          </a:blip>
                          <a:stretch>
                            <a:fillRect/>
                          </a:stretch>
                        </pic:blipFill>
                        <pic:spPr>
                          <a:xfrm>
                            <a:off x="0" y="0"/>
                            <a:ext cx="1981374" cy="2741462"/>
                          </a:xfrm>
                          <a:prstGeom prst="rect">
                            <a:avLst/>
                          </a:prstGeom>
                        </pic:spPr>
                      </pic:pic>
                    </a:graphicData>
                  </a:graphic>
                </wp:inline>
              </w:drawing>
            </w:r>
          </w:p>
        </w:tc>
        <w:tc>
          <w:tcPr>
            <w:tcW w:w="4470" w:type="dxa"/>
          </w:tcPr>
          <w:p w14:paraId="4A5F04B1"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19D9161B" wp14:editId="3831D03E">
                  <wp:extent cx="1943100" cy="2656205"/>
                  <wp:effectExtent l="0" t="0" r="0" b="0"/>
                  <wp:docPr id="1030" name="图片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1030"/>
                          <pic:cNvPicPr>
                            <a:picLocks noChangeAspect="1"/>
                          </pic:cNvPicPr>
                        </pic:nvPicPr>
                        <pic:blipFill>
                          <a:blip r:embed="rId328" cstate="print">
                            <a:extLst>
                              <a:ext uri="{28A0092B-C50C-407E-A947-70E740481C1C}">
                                <a14:useLocalDpi xmlns:a14="http://schemas.microsoft.com/office/drawing/2010/main" val="0"/>
                              </a:ext>
                            </a:extLst>
                          </a:blip>
                          <a:stretch>
                            <a:fillRect/>
                          </a:stretch>
                        </pic:blipFill>
                        <pic:spPr>
                          <a:xfrm>
                            <a:off x="0" y="0"/>
                            <a:ext cx="2025357" cy="2769240"/>
                          </a:xfrm>
                          <a:prstGeom prst="rect">
                            <a:avLst/>
                          </a:prstGeom>
                        </pic:spPr>
                      </pic:pic>
                    </a:graphicData>
                  </a:graphic>
                </wp:inline>
              </w:drawing>
            </w:r>
          </w:p>
        </w:tc>
      </w:tr>
      <w:tr w:rsidR="009C353B" w14:paraId="4E0424C8" w14:textId="77777777">
        <w:tc>
          <w:tcPr>
            <w:tcW w:w="4591" w:type="dxa"/>
          </w:tcPr>
          <w:p w14:paraId="58508DB0" w14:textId="77777777" w:rsidR="009C353B" w:rsidRDefault="00000000">
            <w:pPr>
              <w:adjustRightInd w:val="0"/>
              <w:snapToGrid w:val="0"/>
              <w:jc w:val="center"/>
              <w:rPr>
                <w:rFonts w:ascii="Times New Roman" w:hint="eastAsia"/>
              </w:rPr>
            </w:pPr>
            <w:r>
              <w:rPr>
                <w:rFonts w:ascii="Times New Roman" w:hint="eastAsia"/>
              </w:rPr>
              <w:t>红石湾地表裂缝（</w:t>
            </w:r>
            <w:r>
              <w:rPr>
                <w:rFonts w:ascii="Times New Roman" w:hint="eastAsia"/>
              </w:rPr>
              <w:t>1</w:t>
            </w:r>
            <w:r>
              <w:rPr>
                <w:rFonts w:ascii="Times New Roman" w:hint="eastAsia"/>
              </w:rPr>
              <w:t>）</w:t>
            </w:r>
          </w:p>
        </w:tc>
        <w:tc>
          <w:tcPr>
            <w:tcW w:w="4470" w:type="dxa"/>
          </w:tcPr>
          <w:p w14:paraId="25587819" w14:textId="77777777" w:rsidR="009C353B" w:rsidRDefault="00000000">
            <w:pPr>
              <w:adjustRightInd w:val="0"/>
              <w:snapToGrid w:val="0"/>
              <w:jc w:val="center"/>
              <w:rPr>
                <w:rFonts w:ascii="Times New Roman" w:hint="eastAsia"/>
              </w:rPr>
            </w:pPr>
            <w:r>
              <w:rPr>
                <w:rFonts w:ascii="Times New Roman" w:hint="eastAsia"/>
              </w:rPr>
              <w:t>红石湾地表裂缝（</w:t>
            </w:r>
            <w:r>
              <w:rPr>
                <w:rFonts w:ascii="Times New Roman"/>
              </w:rPr>
              <w:t>2</w:t>
            </w:r>
            <w:r>
              <w:rPr>
                <w:rFonts w:ascii="Times New Roman" w:hint="eastAsia"/>
              </w:rPr>
              <w:t>）</w:t>
            </w:r>
          </w:p>
        </w:tc>
      </w:tr>
      <w:tr w:rsidR="009C353B" w14:paraId="6EB3CF5C" w14:textId="77777777">
        <w:tc>
          <w:tcPr>
            <w:tcW w:w="4591" w:type="dxa"/>
          </w:tcPr>
          <w:p w14:paraId="1003F45C"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6A0EAA78" wp14:editId="4FAEB687">
                  <wp:extent cx="1892935" cy="2524125"/>
                  <wp:effectExtent l="0" t="0" r="0" b="0"/>
                  <wp:docPr id="1031" name="图片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1031"/>
                          <pic:cNvPicPr>
                            <a:picLocks noChangeAspect="1"/>
                          </pic:cNvPicPr>
                        </pic:nvPicPr>
                        <pic:blipFill>
                          <a:blip r:embed="rId329" cstate="print">
                            <a:extLst>
                              <a:ext uri="{28A0092B-C50C-407E-A947-70E740481C1C}">
                                <a14:useLocalDpi xmlns:a14="http://schemas.microsoft.com/office/drawing/2010/main" val="0"/>
                              </a:ext>
                            </a:extLst>
                          </a:blip>
                          <a:stretch>
                            <a:fillRect/>
                          </a:stretch>
                        </pic:blipFill>
                        <pic:spPr>
                          <a:xfrm>
                            <a:off x="0" y="0"/>
                            <a:ext cx="1927329" cy="2569844"/>
                          </a:xfrm>
                          <a:prstGeom prst="rect">
                            <a:avLst/>
                          </a:prstGeom>
                        </pic:spPr>
                      </pic:pic>
                    </a:graphicData>
                  </a:graphic>
                </wp:inline>
              </w:drawing>
            </w:r>
          </w:p>
        </w:tc>
        <w:tc>
          <w:tcPr>
            <w:tcW w:w="4470" w:type="dxa"/>
          </w:tcPr>
          <w:p w14:paraId="02C22FE3"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7C9D3953" wp14:editId="36AD0EA7">
                  <wp:extent cx="1878330" cy="2505075"/>
                  <wp:effectExtent l="0" t="0" r="7620" b="0"/>
                  <wp:docPr id="1032" name="图片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1032"/>
                          <pic:cNvPicPr>
                            <a:picLocks noChangeAspect="1"/>
                          </pic:cNvPicPr>
                        </pic:nvPicPr>
                        <pic:blipFill>
                          <a:blip r:embed="rId330" cstate="print">
                            <a:extLst>
                              <a:ext uri="{28A0092B-C50C-407E-A947-70E740481C1C}">
                                <a14:useLocalDpi xmlns:a14="http://schemas.microsoft.com/office/drawing/2010/main" val="0"/>
                              </a:ext>
                            </a:extLst>
                          </a:blip>
                          <a:stretch>
                            <a:fillRect/>
                          </a:stretch>
                        </pic:blipFill>
                        <pic:spPr>
                          <a:xfrm>
                            <a:off x="0" y="0"/>
                            <a:ext cx="1917274" cy="2556435"/>
                          </a:xfrm>
                          <a:prstGeom prst="rect">
                            <a:avLst/>
                          </a:prstGeom>
                        </pic:spPr>
                      </pic:pic>
                    </a:graphicData>
                  </a:graphic>
                </wp:inline>
              </w:drawing>
            </w:r>
          </w:p>
        </w:tc>
      </w:tr>
      <w:tr w:rsidR="009C353B" w14:paraId="4CE86E92" w14:textId="77777777">
        <w:tc>
          <w:tcPr>
            <w:tcW w:w="4591" w:type="dxa"/>
          </w:tcPr>
          <w:p w14:paraId="0326E999" w14:textId="77777777" w:rsidR="009C353B" w:rsidRDefault="00000000">
            <w:pPr>
              <w:adjustRightInd w:val="0"/>
              <w:snapToGrid w:val="0"/>
              <w:jc w:val="center"/>
              <w:rPr>
                <w:rFonts w:ascii="Times New Roman" w:hint="eastAsia"/>
              </w:rPr>
            </w:pPr>
            <w:r>
              <w:rPr>
                <w:rFonts w:ascii="Times New Roman" w:hint="eastAsia"/>
              </w:rPr>
              <w:t>任家庄地表裂缝（</w:t>
            </w:r>
            <w:r>
              <w:rPr>
                <w:rFonts w:ascii="Times New Roman" w:hint="eastAsia"/>
              </w:rPr>
              <w:t>1</w:t>
            </w:r>
            <w:r>
              <w:rPr>
                <w:rFonts w:ascii="Times New Roman" w:hint="eastAsia"/>
              </w:rPr>
              <w:t>）</w:t>
            </w:r>
          </w:p>
        </w:tc>
        <w:tc>
          <w:tcPr>
            <w:tcW w:w="4470" w:type="dxa"/>
          </w:tcPr>
          <w:p w14:paraId="06DC4FA7" w14:textId="77777777" w:rsidR="009C353B" w:rsidRDefault="00000000">
            <w:pPr>
              <w:adjustRightInd w:val="0"/>
              <w:snapToGrid w:val="0"/>
              <w:jc w:val="center"/>
              <w:rPr>
                <w:rFonts w:ascii="Times New Roman" w:hint="eastAsia"/>
              </w:rPr>
            </w:pPr>
            <w:r>
              <w:rPr>
                <w:rFonts w:ascii="Times New Roman" w:hint="eastAsia"/>
              </w:rPr>
              <w:t>任家庄地表裂缝（</w:t>
            </w:r>
            <w:r>
              <w:rPr>
                <w:rFonts w:ascii="Times New Roman"/>
              </w:rPr>
              <w:t>2</w:t>
            </w:r>
            <w:r>
              <w:rPr>
                <w:rFonts w:ascii="Times New Roman" w:hint="eastAsia"/>
              </w:rPr>
              <w:t>）</w:t>
            </w:r>
          </w:p>
        </w:tc>
      </w:tr>
      <w:tr w:rsidR="009C353B" w14:paraId="0CCC546D" w14:textId="77777777">
        <w:tc>
          <w:tcPr>
            <w:tcW w:w="4591" w:type="dxa"/>
          </w:tcPr>
          <w:p w14:paraId="0BE6AAA7"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2817ECEB" wp14:editId="38E8BB74">
                  <wp:extent cx="2827020" cy="2320290"/>
                  <wp:effectExtent l="0" t="0" r="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31" cstate="print">
                            <a:extLst>
                              <a:ext uri="{28A0092B-C50C-407E-A947-70E740481C1C}">
                                <a14:useLocalDpi xmlns:a14="http://schemas.microsoft.com/office/drawing/2010/main" val="0"/>
                              </a:ext>
                            </a:extLst>
                          </a:blip>
                          <a:stretch>
                            <a:fillRect/>
                          </a:stretch>
                        </pic:blipFill>
                        <pic:spPr>
                          <a:xfrm>
                            <a:off x="0" y="0"/>
                            <a:ext cx="2878689" cy="2363228"/>
                          </a:xfrm>
                          <a:prstGeom prst="rect">
                            <a:avLst/>
                          </a:prstGeom>
                        </pic:spPr>
                      </pic:pic>
                    </a:graphicData>
                  </a:graphic>
                </wp:inline>
              </w:drawing>
            </w:r>
          </w:p>
        </w:tc>
        <w:tc>
          <w:tcPr>
            <w:tcW w:w="4470" w:type="dxa"/>
          </w:tcPr>
          <w:p w14:paraId="2B2D8822"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536C20F0" wp14:editId="7638822F">
                  <wp:extent cx="1804670" cy="2406650"/>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32" cstate="print">
                            <a:extLst>
                              <a:ext uri="{28A0092B-C50C-407E-A947-70E740481C1C}">
                                <a14:useLocalDpi xmlns:a14="http://schemas.microsoft.com/office/drawing/2010/main" val="0"/>
                              </a:ext>
                            </a:extLst>
                          </a:blip>
                          <a:stretch>
                            <a:fillRect/>
                          </a:stretch>
                        </pic:blipFill>
                        <pic:spPr>
                          <a:xfrm>
                            <a:off x="0" y="0"/>
                            <a:ext cx="1839817" cy="2453156"/>
                          </a:xfrm>
                          <a:prstGeom prst="rect">
                            <a:avLst/>
                          </a:prstGeom>
                        </pic:spPr>
                      </pic:pic>
                    </a:graphicData>
                  </a:graphic>
                </wp:inline>
              </w:drawing>
            </w:r>
          </w:p>
        </w:tc>
      </w:tr>
      <w:tr w:rsidR="009C353B" w14:paraId="611026F1" w14:textId="77777777">
        <w:tc>
          <w:tcPr>
            <w:tcW w:w="4591" w:type="dxa"/>
          </w:tcPr>
          <w:p w14:paraId="15CF856F" w14:textId="77777777" w:rsidR="009C353B" w:rsidRDefault="00000000">
            <w:pPr>
              <w:adjustRightInd w:val="0"/>
              <w:snapToGrid w:val="0"/>
              <w:jc w:val="center"/>
              <w:rPr>
                <w:rFonts w:ascii="Times New Roman" w:hint="eastAsia"/>
              </w:rPr>
            </w:pPr>
            <w:r>
              <w:rPr>
                <w:rFonts w:ascii="Times New Roman" w:hint="eastAsia"/>
              </w:rPr>
              <w:t>任家庄沉陷区地表植被</w:t>
            </w:r>
          </w:p>
        </w:tc>
        <w:tc>
          <w:tcPr>
            <w:tcW w:w="4470" w:type="dxa"/>
          </w:tcPr>
          <w:p w14:paraId="553EB0C4" w14:textId="77777777" w:rsidR="009C353B" w:rsidRDefault="00000000">
            <w:pPr>
              <w:adjustRightInd w:val="0"/>
              <w:snapToGrid w:val="0"/>
              <w:jc w:val="center"/>
              <w:rPr>
                <w:rFonts w:ascii="Times New Roman" w:hint="eastAsia"/>
              </w:rPr>
            </w:pPr>
            <w:r>
              <w:rPr>
                <w:rFonts w:ascii="Times New Roman" w:hint="eastAsia"/>
              </w:rPr>
              <w:t>马莲台沉陷区地表植被</w:t>
            </w:r>
          </w:p>
        </w:tc>
      </w:tr>
      <w:tr w:rsidR="009C353B" w14:paraId="5746DB23" w14:textId="77777777">
        <w:tc>
          <w:tcPr>
            <w:tcW w:w="4591" w:type="dxa"/>
          </w:tcPr>
          <w:p w14:paraId="43B2E04A" w14:textId="77777777" w:rsidR="009C353B" w:rsidRDefault="00000000">
            <w:pPr>
              <w:adjustRightInd w:val="0"/>
              <w:snapToGrid w:val="0"/>
              <w:jc w:val="center"/>
              <w:rPr>
                <w:rFonts w:ascii="Times New Roman" w:hint="eastAsia"/>
              </w:rPr>
            </w:pPr>
            <w:r>
              <w:rPr>
                <w:noProof/>
              </w:rPr>
              <w:drawing>
                <wp:inline distT="0" distB="0" distL="0" distR="0" wp14:anchorId="70E72D99" wp14:editId="6FCD2F67">
                  <wp:extent cx="2194560" cy="2926080"/>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a:xfrm>
                            <a:off x="0" y="0"/>
                            <a:ext cx="2194560" cy="2926080"/>
                          </a:xfrm>
                          <a:prstGeom prst="rect">
                            <a:avLst/>
                          </a:prstGeom>
                          <a:noFill/>
                          <a:ln>
                            <a:noFill/>
                          </a:ln>
                        </pic:spPr>
                      </pic:pic>
                    </a:graphicData>
                  </a:graphic>
                </wp:inline>
              </w:drawing>
            </w:r>
          </w:p>
        </w:tc>
        <w:tc>
          <w:tcPr>
            <w:tcW w:w="4470" w:type="dxa"/>
          </w:tcPr>
          <w:p w14:paraId="40535093"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2DA0871E" wp14:editId="026C57C1">
                  <wp:extent cx="2176780" cy="2903220"/>
                  <wp:effectExtent l="0" t="0" r="0" b="0"/>
                  <wp:docPr id="1034" name="图片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1034"/>
                          <pic:cNvPicPr>
                            <a:picLocks noChangeAspect="1"/>
                          </pic:cNvPicPr>
                        </pic:nvPicPr>
                        <pic:blipFill>
                          <a:blip r:embed="rId334" cstate="print">
                            <a:extLst>
                              <a:ext uri="{28A0092B-C50C-407E-A947-70E740481C1C}">
                                <a14:useLocalDpi xmlns:a14="http://schemas.microsoft.com/office/drawing/2010/main" val="0"/>
                              </a:ext>
                            </a:extLst>
                          </a:blip>
                          <a:stretch>
                            <a:fillRect/>
                          </a:stretch>
                        </pic:blipFill>
                        <pic:spPr>
                          <a:xfrm flipV="1">
                            <a:off x="0" y="0"/>
                            <a:ext cx="2225632" cy="2967592"/>
                          </a:xfrm>
                          <a:prstGeom prst="rect">
                            <a:avLst/>
                          </a:prstGeom>
                        </pic:spPr>
                      </pic:pic>
                    </a:graphicData>
                  </a:graphic>
                </wp:inline>
              </w:drawing>
            </w:r>
          </w:p>
        </w:tc>
      </w:tr>
      <w:tr w:rsidR="009C353B" w14:paraId="6831F5FE" w14:textId="77777777">
        <w:tc>
          <w:tcPr>
            <w:tcW w:w="4591" w:type="dxa"/>
          </w:tcPr>
          <w:p w14:paraId="5451AF58" w14:textId="77777777" w:rsidR="009C353B" w:rsidRDefault="00000000">
            <w:pPr>
              <w:adjustRightInd w:val="0"/>
              <w:snapToGrid w:val="0"/>
              <w:jc w:val="center"/>
              <w:rPr>
                <w:rFonts w:ascii="Times New Roman" w:hint="eastAsia"/>
              </w:rPr>
            </w:pPr>
            <w:r>
              <w:rPr>
                <w:rFonts w:ascii="Times New Roman" w:hint="eastAsia"/>
              </w:rPr>
              <w:t>马莲台地表裂缝（</w:t>
            </w:r>
            <w:r>
              <w:rPr>
                <w:rFonts w:ascii="Times New Roman" w:hint="eastAsia"/>
              </w:rPr>
              <w:t>1</w:t>
            </w:r>
            <w:r>
              <w:rPr>
                <w:rFonts w:ascii="Times New Roman" w:hint="eastAsia"/>
              </w:rPr>
              <w:t>）</w:t>
            </w:r>
          </w:p>
        </w:tc>
        <w:tc>
          <w:tcPr>
            <w:tcW w:w="4470" w:type="dxa"/>
          </w:tcPr>
          <w:p w14:paraId="5CC0B6CE" w14:textId="77777777" w:rsidR="009C353B" w:rsidRDefault="00000000">
            <w:pPr>
              <w:adjustRightInd w:val="0"/>
              <w:snapToGrid w:val="0"/>
              <w:jc w:val="center"/>
              <w:rPr>
                <w:rFonts w:ascii="Times New Roman" w:hint="eastAsia"/>
              </w:rPr>
            </w:pPr>
            <w:r>
              <w:rPr>
                <w:rFonts w:ascii="Times New Roman" w:hint="eastAsia"/>
              </w:rPr>
              <w:t>马莲台地表裂缝（</w:t>
            </w:r>
            <w:r>
              <w:rPr>
                <w:rFonts w:ascii="Times New Roman" w:hint="eastAsia"/>
              </w:rPr>
              <w:t>2</w:t>
            </w:r>
            <w:r>
              <w:rPr>
                <w:rFonts w:ascii="Times New Roman" w:hint="eastAsia"/>
              </w:rPr>
              <w:t>）</w:t>
            </w:r>
          </w:p>
        </w:tc>
      </w:tr>
    </w:tbl>
    <w:p w14:paraId="5FB70676" w14:textId="77777777" w:rsidR="009C353B" w:rsidRDefault="009C353B">
      <w:pPr>
        <w:adjustRightInd w:val="0"/>
        <w:snapToGrid w:val="0"/>
        <w:spacing w:line="240" w:lineRule="atLeast"/>
        <w:ind w:firstLineChars="200" w:firstLine="480"/>
        <w:jc w:val="center"/>
        <w:rPr>
          <w:rFonts w:ascii="Times New Roman" w:hint="eastAsia"/>
        </w:rPr>
      </w:pPr>
    </w:p>
    <w:p w14:paraId="0B7FBA02" w14:textId="77777777" w:rsidR="009C353B" w:rsidRDefault="00000000">
      <w:pPr>
        <w:adjustRightInd w:val="0"/>
        <w:snapToGrid w:val="0"/>
        <w:spacing w:line="240" w:lineRule="atLeast"/>
        <w:jc w:val="center"/>
        <w:rPr>
          <w:rFonts w:ascii="Times New Roman" w:hint="eastAsia"/>
          <w:b/>
          <w:bCs/>
        </w:rPr>
      </w:pPr>
      <w:r>
        <w:rPr>
          <w:rFonts w:ascii="Times New Roman" w:hint="eastAsia"/>
          <w:b/>
          <w:bCs/>
        </w:rPr>
        <w:t>图</w:t>
      </w:r>
      <w:r>
        <w:rPr>
          <w:rFonts w:ascii="Times New Roman" w:hint="eastAsia"/>
          <w:b/>
          <w:bCs/>
        </w:rPr>
        <w:t>4.4-</w:t>
      </w:r>
      <w:r>
        <w:rPr>
          <w:rFonts w:ascii="Times New Roman"/>
          <w:b/>
          <w:bCs/>
        </w:rPr>
        <w:t>1</w:t>
      </w:r>
      <w:r>
        <w:rPr>
          <w:rFonts w:ascii="Times New Roman" w:hint="eastAsia"/>
          <w:b/>
          <w:bCs/>
        </w:rPr>
        <w:t xml:space="preserve"> </w:t>
      </w:r>
      <w:r>
        <w:rPr>
          <w:rFonts w:ascii="Times New Roman" w:hint="eastAsia"/>
          <w:b/>
          <w:bCs/>
        </w:rPr>
        <w:t>矿区沉陷表现形式</w:t>
      </w:r>
    </w:p>
    <w:p w14:paraId="3E0F89BC"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 xml:space="preserve">4.4.1 </w:t>
      </w:r>
      <w:r>
        <w:rPr>
          <w:rFonts w:ascii="Times New Roman" w:hAnsi="Times New Roman" w:hint="eastAsia"/>
          <w:sz w:val="24"/>
        </w:rPr>
        <w:t>对地面建构筑物的影响调查</w:t>
      </w:r>
    </w:p>
    <w:p w14:paraId="7523D52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矿区范围内分布着临河综合工业园、宁东配水厂、宁东净水厂、宁东火车站、甜水河变电站。任家庄矿井开采工作面距临河综合工业园区最近距离约</w:t>
      </w:r>
      <w:r>
        <w:rPr>
          <w:rFonts w:ascii="Times New Roman" w:hAnsi="Times New Roman"/>
        </w:rPr>
        <w:t>1.1</w:t>
      </w:r>
      <w:r>
        <w:rPr>
          <w:rFonts w:ascii="Times New Roman" w:hAnsi="Times New Roman" w:hint="eastAsia"/>
        </w:rPr>
        <w:t>km</w:t>
      </w:r>
      <w:r>
        <w:rPr>
          <w:rFonts w:ascii="Times New Roman" w:hAnsi="Times New Roman" w:hint="eastAsia"/>
        </w:rPr>
        <w:t>；红石湾矿井开采工作面距临河综合工业园区最近距离约</w:t>
      </w:r>
      <w:r>
        <w:rPr>
          <w:rFonts w:ascii="Times New Roman" w:hAnsi="Times New Roman"/>
        </w:rPr>
        <w:t>400</w:t>
      </w:r>
      <w:r>
        <w:rPr>
          <w:rFonts w:ascii="Times New Roman" w:hAnsi="Times New Roman" w:hint="eastAsia"/>
        </w:rPr>
        <w:t>m</w:t>
      </w:r>
      <w:r>
        <w:rPr>
          <w:rFonts w:ascii="Times New Roman" w:hAnsi="Times New Roman" w:hint="eastAsia"/>
        </w:rPr>
        <w:t>；马莲台矿井开采工作面距临河综合工业园区最近距离约</w:t>
      </w:r>
      <w:r>
        <w:rPr>
          <w:rFonts w:ascii="Times New Roman" w:hAnsi="Times New Roman"/>
        </w:rPr>
        <w:t>360</w:t>
      </w:r>
      <w:r>
        <w:rPr>
          <w:rFonts w:ascii="Times New Roman" w:hAnsi="Times New Roman" w:hint="eastAsia"/>
        </w:rPr>
        <w:t>m</w:t>
      </w:r>
      <w:r>
        <w:rPr>
          <w:rFonts w:ascii="Times New Roman" w:hAnsi="Times New Roman" w:hint="eastAsia"/>
        </w:rPr>
        <w:t>。宁东配水厂、宁东净水厂、宁东火车站距矿区内矿井已开采工作面距离均大于</w:t>
      </w:r>
      <w:r>
        <w:rPr>
          <w:rFonts w:ascii="Times New Roman" w:hAnsi="Times New Roman" w:hint="eastAsia"/>
        </w:rPr>
        <w:t>5km</w:t>
      </w:r>
      <w:r>
        <w:rPr>
          <w:rFonts w:ascii="Times New Roman" w:hAnsi="Times New Roman" w:hint="eastAsia"/>
        </w:rPr>
        <w:t>。甜水河变电站位于新规划丁家梁井田内，距离矿区内矿井已开采工作面距离均大于</w:t>
      </w:r>
      <w:r>
        <w:rPr>
          <w:rFonts w:ascii="Times New Roman" w:hAnsi="Times New Roman"/>
        </w:rPr>
        <w:t>3</w:t>
      </w:r>
      <w:r>
        <w:rPr>
          <w:rFonts w:ascii="Times New Roman" w:hAnsi="Times New Roman" w:hint="eastAsia"/>
        </w:rPr>
        <w:t>km</w:t>
      </w:r>
      <w:r>
        <w:rPr>
          <w:rFonts w:ascii="Times New Roman" w:hAnsi="Times New Roman" w:hint="eastAsia"/>
        </w:rPr>
        <w:t>。根据现场调查，上述地表构、建筑物没有受到地表沉陷影响。</w:t>
      </w:r>
    </w:p>
    <w:p w14:paraId="7AB5FE0E"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 xml:space="preserve">4.4.2 </w:t>
      </w:r>
      <w:r>
        <w:rPr>
          <w:rFonts w:ascii="Times New Roman" w:hAnsi="Times New Roman" w:hint="eastAsia"/>
          <w:sz w:val="24"/>
        </w:rPr>
        <w:t>对公路、铁路的影响调查</w:t>
      </w:r>
    </w:p>
    <w:p w14:paraId="32E04FB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古青高速公路穿越马莲台井田，井田内长约</w:t>
      </w:r>
      <w:r>
        <w:rPr>
          <w:rFonts w:ascii="Times New Roman" w:hint="eastAsia"/>
        </w:rPr>
        <w:t>4</w:t>
      </w:r>
      <w:r>
        <w:rPr>
          <w:rFonts w:ascii="Times New Roman"/>
        </w:rPr>
        <w:t>.57</w:t>
      </w:r>
      <w:r>
        <w:rPr>
          <w:rFonts w:ascii="Times New Roman" w:hint="eastAsia"/>
        </w:rPr>
        <w:t>km</w:t>
      </w:r>
      <w:r>
        <w:rPr>
          <w:rFonts w:ascii="Times New Roman" w:hint="eastAsia"/>
        </w:rPr>
        <w:t>，开采工作面离古青高速约</w:t>
      </w:r>
      <w:r>
        <w:rPr>
          <w:rFonts w:ascii="Times New Roman"/>
        </w:rPr>
        <w:t>743m</w:t>
      </w:r>
      <w:r>
        <w:rPr>
          <w:rFonts w:ascii="Times New Roman" w:hint="eastAsia"/>
        </w:rPr>
        <w:t>，根据现场调查，古青高速公路没有受到开采沉陷影响。</w:t>
      </w:r>
    </w:p>
    <w:p w14:paraId="625E868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青银高速公路穿越红石湾井田，井田内长度为</w:t>
      </w:r>
      <w:r>
        <w:rPr>
          <w:rFonts w:ascii="Times New Roman"/>
        </w:rPr>
        <w:t>1.98</w:t>
      </w:r>
      <w:r>
        <w:rPr>
          <w:rFonts w:ascii="Times New Roman" w:hint="eastAsia"/>
        </w:rPr>
        <w:t>km</w:t>
      </w:r>
      <w:r>
        <w:rPr>
          <w:rFonts w:ascii="Times New Roman" w:hint="eastAsia"/>
        </w:rPr>
        <w:t>；根据现场调查，目前青银高速公路距开采工作面约</w:t>
      </w:r>
      <w:r>
        <w:rPr>
          <w:rFonts w:ascii="Times New Roman" w:hint="eastAsia"/>
        </w:rPr>
        <w:t>8</w:t>
      </w:r>
      <w:r>
        <w:rPr>
          <w:rFonts w:ascii="Times New Roman"/>
        </w:rPr>
        <w:t>20</w:t>
      </w:r>
      <w:r>
        <w:rPr>
          <w:rFonts w:ascii="Times New Roman" w:hint="eastAsia"/>
        </w:rPr>
        <w:t>m</w:t>
      </w:r>
      <w:r>
        <w:rPr>
          <w:rFonts w:ascii="Times New Roman" w:hint="eastAsia"/>
        </w:rPr>
        <w:t>，没有受到开采沉陷影响。</w:t>
      </w:r>
    </w:p>
    <w:p w14:paraId="5F5BD696" w14:textId="77777777" w:rsidR="009C353B" w:rsidRDefault="00000000">
      <w:pPr>
        <w:adjustRightInd w:val="0"/>
        <w:snapToGrid w:val="0"/>
        <w:spacing w:line="440" w:lineRule="exact"/>
        <w:ind w:firstLineChars="200" w:firstLine="480"/>
        <w:rPr>
          <w:rFonts w:ascii="Times New Roman" w:hint="eastAsia"/>
        </w:rPr>
      </w:pPr>
      <w:r>
        <w:rPr>
          <w:rFonts w:ascii="Times New Roman"/>
        </w:rPr>
        <w:t>103</w:t>
      </w:r>
      <w:r>
        <w:rPr>
          <w:rFonts w:ascii="Times New Roman" w:hint="eastAsia"/>
        </w:rPr>
        <w:t>省道穿越红石湾井田，井田内长度分别</w:t>
      </w:r>
      <w:r>
        <w:rPr>
          <w:rFonts w:ascii="Times New Roman"/>
        </w:rPr>
        <w:t>2.14km</w:t>
      </w:r>
      <w:r>
        <w:rPr>
          <w:rFonts w:ascii="Times New Roman" w:hint="eastAsia"/>
        </w:rPr>
        <w:t>，位于青银高速公路煤柱范围内；根据现场调查，</w:t>
      </w:r>
      <w:r>
        <w:rPr>
          <w:rFonts w:ascii="Times New Roman" w:hint="eastAsia"/>
        </w:rPr>
        <w:t>1</w:t>
      </w:r>
      <w:r>
        <w:rPr>
          <w:rFonts w:ascii="Times New Roman"/>
        </w:rPr>
        <w:t>03</w:t>
      </w:r>
      <w:r>
        <w:rPr>
          <w:rFonts w:ascii="Times New Roman" w:hint="eastAsia"/>
        </w:rPr>
        <w:t>省道距已开采工作面较远，没有受到开采沉陷影响。</w:t>
      </w:r>
      <w:r>
        <w:rPr>
          <w:rFonts w:ascii="Times New Roman"/>
        </w:rPr>
        <w:t xml:space="preserve">              </w:t>
      </w:r>
    </w:p>
    <w:p w14:paraId="614427C2"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4.4.3 </w:t>
      </w:r>
      <w:r>
        <w:rPr>
          <w:rFonts w:ascii="Times New Roman" w:hAnsi="Times New Roman" w:hint="eastAsia"/>
          <w:sz w:val="24"/>
        </w:rPr>
        <w:t>对输电线路的影响调查</w:t>
      </w:r>
    </w:p>
    <w:p w14:paraId="0EB6339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矿区内现分布着</w:t>
      </w:r>
      <w:r>
        <w:rPr>
          <w:rFonts w:ascii="Times New Roman" w:hint="eastAsia"/>
        </w:rPr>
        <w:t>1</w:t>
      </w:r>
      <w:r>
        <w:rPr>
          <w:rFonts w:ascii="Times New Roman"/>
        </w:rPr>
        <w:t>2</w:t>
      </w:r>
      <w:r>
        <w:rPr>
          <w:rFonts w:ascii="Times New Roman" w:hint="eastAsia"/>
        </w:rPr>
        <w:t>条</w:t>
      </w:r>
      <w:r>
        <w:rPr>
          <w:rFonts w:ascii="Times New Roman" w:hint="eastAsia"/>
        </w:rPr>
        <w:t>1</w:t>
      </w:r>
      <w:r>
        <w:rPr>
          <w:rFonts w:ascii="Times New Roman"/>
        </w:rPr>
        <w:t>10</w:t>
      </w:r>
      <w:r>
        <w:rPr>
          <w:rFonts w:ascii="Times New Roman" w:hint="eastAsia"/>
        </w:rPr>
        <w:t>kv</w:t>
      </w:r>
      <w:r>
        <w:rPr>
          <w:rFonts w:ascii="Times New Roman" w:hint="eastAsia"/>
        </w:rPr>
        <w:t>以上的输电线路，详见表</w:t>
      </w:r>
      <w:r>
        <w:rPr>
          <w:rFonts w:ascii="Times New Roman" w:hint="eastAsia"/>
        </w:rPr>
        <w:t>6</w:t>
      </w:r>
      <w:r>
        <w:rPr>
          <w:rFonts w:ascii="Times New Roman"/>
        </w:rPr>
        <w:t>.1-4</w:t>
      </w:r>
      <w:r>
        <w:rPr>
          <w:rFonts w:ascii="Times New Roman" w:hint="eastAsia"/>
        </w:rPr>
        <w:t>。根据现场调查，其中</w:t>
      </w:r>
      <w:r>
        <w:rPr>
          <w:rFonts w:ascii="Times New Roman" w:hint="eastAsia"/>
        </w:rPr>
        <w:t>1</w:t>
      </w:r>
      <w:r>
        <w:rPr>
          <w:rFonts w:ascii="Times New Roman"/>
        </w:rPr>
        <w:t>0</w:t>
      </w:r>
      <w:r>
        <w:rPr>
          <w:rFonts w:ascii="Times New Roman" w:hint="eastAsia"/>
        </w:rPr>
        <w:t>条位于丁家梁井田内，</w:t>
      </w:r>
      <w:r>
        <w:rPr>
          <w:rFonts w:ascii="Times New Roman"/>
        </w:rPr>
        <w:t>1</w:t>
      </w:r>
      <w:r>
        <w:rPr>
          <w:rFonts w:ascii="Times New Roman" w:hint="eastAsia"/>
        </w:rPr>
        <w:t>条位于红石湾井田内，</w:t>
      </w:r>
      <w:r>
        <w:rPr>
          <w:rFonts w:ascii="Times New Roman" w:hint="eastAsia"/>
        </w:rPr>
        <w:t>1</w:t>
      </w:r>
      <w:r>
        <w:rPr>
          <w:rFonts w:ascii="Times New Roman" w:hint="eastAsia"/>
        </w:rPr>
        <w:t>条位于任家庄井田内。丁家梁矿井尚未开采；位于红石湾井田内的输电线路紧邻青银高速公路，受其保护煤柱保护；任家庄井田内的输电线路位于风氧化带内，不开采。</w:t>
      </w:r>
      <w:r>
        <w:rPr>
          <w:rFonts w:hint="eastAsia"/>
        </w:rPr>
        <w:t>根据现场调查，上述输电线路均没有受到开采沉陷影响。</w:t>
      </w:r>
    </w:p>
    <w:p w14:paraId="7EE4FF57"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4.4.</w:t>
      </w:r>
      <w:r>
        <w:rPr>
          <w:rFonts w:ascii="Times New Roman" w:hAnsi="Times New Roman"/>
          <w:sz w:val="24"/>
        </w:rPr>
        <w:t>4</w:t>
      </w:r>
      <w:r>
        <w:rPr>
          <w:rFonts w:ascii="Times New Roman" w:hAnsi="Times New Roman" w:hint="eastAsia"/>
          <w:sz w:val="24"/>
        </w:rPr>
        <w:t xml:space="preserve"> </w:t>
      </w:r>
      <w:r>
        <w:rPr>
          <w:rFonts w:ascii="Times New Roman" w:hAnsi="Times New Roman" w:hint="eastAsia"/>
          <w:sz w:val="24"/>
        </w:rPr>
        <w:t>对输水管线的影响调查</w:t>
      </w:r>
    </w:p>
    <w:p w14:paraId="3224994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宁东能源重化工基地及生态供水工程输水管线经过红石湾井田，井田内长度约</w:t>
      </w:r>
      <w:r>
        <w:rPr>
          <w:rFonts w:ascii="Times New Roman"/>
        </w:rPr>
        <w:t>1.62km</w:t>
      </w:r>
      <w:r>
        <w:rPr>
          <w:rFonts w:ascii="Times New Roman"/>
        </w:rPr>
        <w:t>。</w:t>
      </w:r>
      <w:r>
        <w:rPr>
          <w:rFonts w:ascii="Times New Roman" w:hint="eastAsia"/>
        </w:rPr>
        <w:t>根据调查，红石湾矿井工作面距输水管线约</w:t>
      </w:r>
      <w:r>
        <w:rPr>
          <w:rFonts w:ascii="Times New Roman"/>
        </w:rPr>
        <w:t>300m</w:t>
      </w:r>
      <w:r>
        <w:rPr>
          <w:rFonts w:ascii="Times New Roman" w:hint="eastAsia"/>
        </w:rPr>
        <w:t>，输水管线没有受到开采沉陷影响。</w:t>
      </w:r>
    </w:p>
    <w:p w14:paraId="411814C6"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4.4.</w:t>
      </w:r>
      <w:r>
        <w:rPr>
          <w:rFonts w:ascii="Times New Roman" w:hAnsi="Times New Roman"/>
          <w:sz w:val="24"/>
        </w:rPr>
        <w:t>5</w:t>
      </w:r>
      <w:r>
        <w:rPr>
          <w:rFonts w:ascii="Times New Roman" w:hAnsi="Times New Roman" w:hint="eastAsia"/>
          <w:sz w:val="24"/>
        </w:rPr>
        <w:t xml:space="preserve"> </w:t>
      </w:r>
      <w:r>
        <w:rPr>
          <w:rFonts w:ascii="Times New Roman" w:hAnsi="Times New Roman" w:hint="eastAsia"/>
          <w:sz w:val="24"/>
        </w:rPr>
        <w:t>对宝丰能源光伏电站的影响调查</w:t>
      </w:r>
    </w:p>
    <w:p w14:paraId="53E1D8A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宝丰能源光伏电站项目位于马莲台井田内，井田内约</w:t>
      </w:r>
      <w:r>
        <w:rPr>
          <w:rFonts w:ascii="Times New Roman" w:hint="eastAsia"/>
        </w:rPr>
        <w:t>1</w:t>
      </w:r>
      <w:r>
        <w:rPr>
          <w:rFonts w:ascii="Times New Roman"/>
        </w:rPr>
        <w:t>.60</w:t>
      </w:r>
      <w:r>
        <w:rPr>
          <w:rFonts w:ascii="Times New Roman" w:hint="eastAsia"/>
        </w:rPr>
        <w:t>km</w:t>
      </w:r>
      <w:r>
        <w:rPr>
          <w:rFonts w:ascii="Times New Roman"/>
          <w:vertAlign w:val="superscript"/>
        </w:rPr>
        <w:t>2</w:t>
      </w:r>
      <w:r>
        <w:rPr>
          <w:rFonts w:ascii="Times New Roman" w:hint="eastAsia"/>
        </w:rPr>
        <w:t>。马莲台矿井开采工作面距光伏电站约</w:t>
      </w:r>
      <w:r>
        <w:rPr>
          <w:rFonts w:ascii="Times New Roman"/>
        </w:rPr>
        <w:t>1400m</w:t>
      </w:r>
      <w:r>
        <w:rPr>
          <w:rFonts w:ascii="Times New Roman" w:hint="eastAsia"/>
        </w:rPr>
        <w:t>。根据现场调查，光伏电站没有受到开采沉陷影响。</w:t>
      </w:r>
    </w:p>
    <w:p w14:paraId="1A426281"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4.4.</w:t>
      </w:r>
      <w:r>
        <w:rPr>
          <w:rFonts w:ascii="Times New Roman" w:hAnsi="Times New Roman"/>
          <w:sz w:val="24"/>
        </w:rPr>
        <w:t>6</w:t>
      </w:r>
      <w:r>
        <w:rPr>
          <w:rFonts w:ascii="Times New Roman" w:hAnsi="Times New Roman" w:hint="eastAsia"/>
          <w:sz w:val="24"/>
        </w:rPr>
        <w:t xml:space="preserve"> </w:t>
      </w:r>
      <w:r>
        <w:rPr>
          <w:rFonts w:ascii="Times New Roman" w:hAnsi="Times New Roman" w:hint="eastAsia"/>
          <w:sz w:val="24"/>
        </w:rPr>
        <w:t>对文物古迹的影响调查</w:t>
      </w:r>
    </w:p>
    <w:p w14:paraId="7FC9B9C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）水洞沟遗址</w:t>
      </w:r>
    </w:p>
    <w:p w14:paraId="78E96CC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水洞沟遗址的建设控制地带与红石湾井田北部有部分重合，重合面积约</w:t>
      </w:r>
      <w:r>
        <w:rPr>
          <w:rFonts w:ascii="Times New Roman" w:hint="eastAsia"/>
        </w:rPr>
        <w:t>9</w:t>
      </w:r>
      <w:r>
        <w:rPr>
          <w:rFonts w:ascii="Times New Roman"/>
        </w:rPr>
        <w:t>.91</w:t>
      </w:r>
      <w:r>
        <w:rPr>
          <w:rFonts w:ascii="Times New Roman" w:hint="eastAsia"/>
        </w:rPr>
        <w:t>hm</w:t>
      </w:r>
      <w:r>
        <w:rPr>
          <w:rFonts w:ascii="Times New Roman"/>
          <w:vertAlign w:val="superscript"/>
        </w:rPr>
        <w:t>2</w:t>
      </w:r>
      <w:r>
        <w:rPr>
          <w:rFonts w:ascii="Times New Roman" w:hint="eastAsia"/>
        </w:rPr>
        <w:t>。煤矿未在与建设控制地带重合区域内进行地表工程建设活动，且根据现场调查，目前在已重合区域开采部分未发现受到沉陷影响。经与矿方核实，井田北部与水洞沟建设控制地带重合区域含煤部分已开采完毕，后续不再开发。</w:t>
      </w:r>
    </w:p>
    <w:p w14:paraId="2DFFB60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2</w:t>
      </w:r>
      <w:r>
        <w:rPr>
          <w:rFonts w:ascii="Times New Roman" w:hint="eastAsia"/>
        </w:rPr>
        <w:t>）红山堡城址</w:t>
      </w:r>
    </w:p>
    <w:p w14:paraId="45F74EB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红山堡城址位于红石湾井田西北边界处，水洞沟遗址建设控制地带内。其位于</w:t>
      </w:r>
      <w:r>
        <w:rPr>
          <w:rFonts w:ascii="Times New Roman"/>
        </w:rPr>
        <w:t>3</w:t>
      </w:r>
      <w:r>
        <w:rPr>
          <w:rFonts w:ascii="Times New Roman" w:hint="eastAsia"/>
        </w:rPr>
        <w:t>煤风氧化带西侧不开采区域。根据现场调查，没有发现受到沉陷影响，且红山堡城址所在的水洞沟遗址建设控制地带已开采完毕，后续不再开发。</w:t>
      </w:r>
    </w:p>
    <w:p w14:paraId="3B9374F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3</w:t>
      </w:r>
      <w:r>
        <w:rPr>
          <w:rFonts w:ascii="Times New Roman" w:hint="eastAsia"/>
        </w:rPr>
        <w:t>）明</w:t>
      </w:r>
      <w:r>
        <w:rPr>
          <w:rFonts w:ascii="Times New Roman"/>
        </w:rPr>
        <w:t>长城</w:t>
      </w:r>
    </w:p>
    <w:p w14:paraId="22FBAB5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明</w:t>
      </w:r>
      <w:r>
        <w:rPr>
          <w:rFonts w:ascii="Times New Roman"/>
        </w:rPr>
        <w:t>长城</w:t>
      </w:r>
      <w:r>
        <w:rPr>
          <w:rFonts w:ascii="Times New Roman" w:hint="eastAsia"/>
        </w:rPr>
        <w:t>位于马莲台煤矿煤矿</w:t>
      </w:r>
      <w:r>
        <w:rPr>
          <w:rFonts w:ascii="Times New Roman"/>
        </w:rPr>
        <w:t>北部边界</w:t>
      </w:r>
      <w:r>
        <w:rPr>
          <w:rFonts w:ascii="Times New Roman" w:hint="eastAsia"/>
        </w:rPr>
        <w:t>外</w:t>
      </w:r>
      <w:r>
        <w:rPr>
          <w:rFonts w:ascii="Times New Roman" w:hint="eastAsia"/>
        </w:rPr>
        <w:t>1</w:t>
      </w:r>
      <w:r>
        <w:rPr>
          <w:rFonts w:ascii="Times New Roman"/>
        </w:rPr>
        <w:t>0</w:t>
      </w:r>
      <w:r>
        <w:rPr>
          <w:rFonts w:ascii="Times New Roman" w:hint="eastAsia"/>
        </w:rPr>
        <w:t>~</w:t>
      </w:r>
      <w:r>
        <w:rPr>
          <w:rFonts w:ascii="Times New Roman"/>
        </w:rPr>
        <w:t>70</w:t>
      </w:r>
      <w:r>
        <w:rPr>
          <w:rFonts w:ascii="Times New Roman" w:hint="eastAsia"/>
        </w:rPr>
        <w:t>m</w:t>
      </w:r>
      <w:r>
        <w:rPr>
          <w:rFonts w:ascii="Times New Roman" w:hint="eastAsia"/>
        </w:rPr>
        <w:t>处，但根据现场调查，马莲台采空区地面塌陷对局部地段明长城造成了一定程度的破坏，城墙墙体上出现多条平行于长城的细小裂缝，且长城以南发育多条平行于长城的地裂缝（照片</w:t>
      </w:r>
      <w:r>
        <w:rPr>
          <w:rFonts w:ascii="Times New Roman"/>
        </w:rPr>
        <w:t>），宽约</w:t>
      </w:r>
      <w:r>
        <w:rPr>
          <w:rFonts w:ascii="Times New Roman"/>
        </w:rPr>
        <w:t>0.1-0.3m</w:t>
      </w:r>
      <w:r>
        <w:rPr>
          <w:rFonts w:ascii="Times New Roman"/>
        </w:rPr>
        <w:t>，长约</w:t>
      </w:r>
      <w:r>
        <w:rPr>
          <w:rFonts w:ascii="Times New Roman"/>
        </w:rPr>
        <w:t>0.5m-4m</w:t>
      </w:r>
      <w:r>
        <w:rPr>
          <w:rFonts w:ascii="Times New Roman" w:hint="eastAsia"/>
        </w:rPr>
        <w:t>。</w:t>
      </w:r>
      <w:r>
        <w:rPr>
          <w:rFonts w:ascii="Times New Roman"/>
        </w:rPr>
        <w:t>工作面产生的塌陷裂缝，</w:t>
      </w:r>
      <w:r>
        <w:rPr>
          <w:rFonts w:ascii="Times New Roman" w:hint="eastAsia"/>
        </w:rPr>
        <w:t>现</w:t>
      </w:r>
      <w:r>
        <w:rPr>
          <w:rFonts w:ascii="Times New Roman"/>
        </w:rPr>
        <w:t>均已</w:t>
      </w:r>
      <w:r>
        <w:rPr>
          <w:rFonts w:ascii="Times New Roman" w:hint="eastAsia"/>
        </w:rPr>
        <w:t>进行</w:t>
      </w:r>
      <w:r>
        <w:rPr>
          <w:rFonts w:ascii="Times New Roman"/>
        </w:rPr>
        <w:t>充填</w:t>
      </w:r>
      <w:r>
        <w:rPr>
          <w:rFonts w:ascii="Times New Roman" w:hint="eastAsia"/>
        </w:rPr>
        <w:t>。马莲台煤矿项目环评及现状环境影响评估报告已对其提出留设保护煤柱的措施。</w:t>
      </w:r>
    </w:p>
    <w:p w14:paraId="2BE9AAA9" w14:textId="77777777" w:rsidR="009C353B" w:rsidRDefault="009C353B">
      <w:pPr>
        <w:adjustRightInd w:val="0"/>
        <w:snapToGrid w:val="0"/>
        <w:spacing w:line="440" w:lineRule="exact"/>
        <w:ind w:firstLineChars="200" w:firstLine="480"/>
        <w:rPr>
          <w:rFonts w:ascii="Times New Roman" w:hint="eastAsia"/>
        </w:rPr>
      </w:pPr>
    </w:p>
    <w:tbl>
      <w:tblPr>
        <w:tblStyle w:val="afffb"/>
        <w:tblW w:w="0" w:type="auto"/>
        <w:jc w:val="center"/>
        <w:tblLook w:val="04A0" w:firstRow="1" w:lastRow="0" w:firstColumn="1" w:lastColumn="0" w:noHBand="0" w:noVBand="1"/>
      </w:tblPr>
      <w:tblGrid>
        <w:gridCol w:w="4530"/>
        <w:gridCol w:w="4531"/>
      </w:tblGrid>
      <w:tr w:rsidR="009C353B" w14:paraId="03D4AF0B" w14:textId="77777777">
        <w:trPr>
          <w:jc w:val="center"/>
        </w:trPr>
        <w:tc>
          <w:tcPr>
            <w:tcW w:w="4530" w:type="dxa"/>
          </w:tcPr>
          <w:p w14:paraId="3E44DEC0"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116F3007" wp14:editId="719236C3">
                  <wp:extent cx="2162175" cy="2354580"/>
                  <wp:effectExtent l="0" t="0" r="0" b="7620"/>
                  <wp:docPr id="1035" name="图片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35"/>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a:xfrm>
                            <a:off x="0" y="0"/>
                            <a:ext cx="2184042" cy="2378481"/>
                          </a:xfrm>
                          <a:prstGeom prst="rect">
                            <a:avLst/>
                          </a:prstGeom>
                          <a:noFill/>
                          <a:ln>
                            <a:noFill/>
                          </a:ln>
                        </pic:spPr>
                      </pic:pic>
                    </a:graphicData>
                  </a:graphic>
                </wp:inline>
              </w:drawing>
            </w:r>
          </w:p>
        </w:tc>
        <w:tc>
          <w:tcPr>
            <w:tcW w:w="4531" w:type="dxa"/>
          </w:tcPr>
          <w:p w14:paraId="73223EEB" w14:textId="77777777" w:rsidR="009C353B" w:rsidRDefault="00000000">
            <w:pPr>
              <w:adjustRightInd w:val="0"/>
              <w:snapToGrid w:val="0"/>
              <w:rPr>
                <w:rFonts w:ascii="Times New Roman" w:hint="eastAsia"/>
              </w:rPr>
            </w:pPr>
            <w:r>
              <w:rPr>
                <w:rFonts w:ascii="Times New Roman"/>
                <w:noProof/>
              </w:rPr>
              <w:drawing>
                <wp:inline distT="0" distB="0" distL="0" distR="0" wp14:anchorId="114BCCDB" wp14:editId="23FEA455">
                  <wp:extent cx="2524125" cy="2320925"/>
                  <wp:effectExtent l="0" t="0" r="0" b="3175"/>
                  <wp:docPr id="1036" name="图片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036"/>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a:xfrm>
                            <a:off x="0" y="0"/>
                            <a:ext cx="2537627" cy="2333668"/>
                          </a:xfrm>
                          <a:prstGeom prst="rect">
                            <a:avLst/>
                          </a:prstGeom>
                          <a:noFill/>
                          <a:ln>
                            <a:noFill/>
                          </a:ln>
                        </pic:spPr>
                      </pic:pic>
                    </a:graphicData>
                  </a:graphic>
                </wp:inline>
              </w:drawing>
            </w:r>
          </w:p>
        </w:tc>
      </w:tr>
    </w:tbl>
    <w:p w14:paraId="114BDB3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根据现场调查，在红石湾井田北部的距长城保护铁丝网</w:t>
      </w:r>
      <w:r>
        <w:rPr>
          <w:rFonts w:ascii="Times New Roman"/>
        </w:rPr>
        <w:t>10</w:t>
      </w:r>
      <w:r>
        <w:rPr>
          <w:rFonts w:ascii="Times New Roman"/>
        </w:rPr>
        <w:t>米处发现有</w:t>
      </w:r>
      <w:r>
        <w:rPr>
          <w:rFonts w:ascii="Times New Roman" w:hint="eastAsia"/>
        </w:rPr>
        <w:t>地表</w:t>
      </w:r>
      <w:r>
        <w:rPr>
          <w:rFonts w:ascii="Times New Roman"/>
        </w:rPr>
        <w:t>裂缝，宽度多集中于</w:t>
      </w:r>
      <w:r>
        <w:rPr>
          <w:rFonts w:ascii="Times New Roman"/>
        </w:rPr>
        <w:t>5cm</w:t>
      </w:r>
      <w:r>
        <w:rPr>
          <w:rFonts w:ascii="Times New Roman"/>
        </w:rPr>
        <w:t>左右</w:t>
      </w:r>
      <w:r>
        <w:rPr>
          <w:rFonts w:ascii="Times New Roman" w:hint="eastAsia"/>
        </w:rPr>
        <w:t>。红石湾煤矿项目环评已提出对明长城留设保护煤柱。</w:t>
      </w:r>
    </w:p>
    <w:tbl>
      <w:tblPr>
        <w:tblStyle w:val="afffb"/>
        <w:tblW w:w="0" w:type="auto"/>
        <w:tblLook w:val="04A0" w:firstRow="1" w:lastRow="0" w:firstColumn="1" w:lastColumn="0" w:noHBand="0" w:noVBand="1"/>
      </w:tblPr>
      <w:tblGrid>
        <w:gridCol w:w="4729"/>
        <w:gridCol w:w="4558"/>
      </w:tblGrid>
      <w:tr w:rsidR="009C353B" w14:paraId="1A925354" w14:textId="77777777">
        <w:tc>
          <w:tcPr>
            <w:tcW w:w="4530" w:type="dxa"/>
          </w:tcPr>
          <w:p w14:paraId="26268D60"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7AF3223F" wp14:editId="5C75D521">
                  <wp:extent cx="2959735" cy="2143125"/>
                  <wp:effectExtent l="0" t="0" r="0" b="9525"/>
                  <wp:docPr id="1037" name="图片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037"/>
                          <pic:cNvPicPr>
                            <a:picLocks noChangeAspect="1"/>
                          </pic:cNvPicPr>
                        </pic:nvPicPr>
                        <pic:blipFill>
                          <a:blip r:embed="rId337" cstate="print">
                            <a:extLst>
                              <a:ext uri="{28A0092B-C50C-407E-A947-70E740481C1C}">
                                <a14:useLocalDpi xmlns:a14="http://schemas.microsoft.com/office/drawing/2010/main" val="0"/>
                              </a:ext>
                            </a:extLst>
                          </a:blip>
                          <a:srcRect t="28276" b="17404"/>
                          <a:stretch>
                            <a:fillRect/>
                          </a:stretch>
                        </pic:blipFill>
                        <pic:spPr>
                          <a:xfrm>
                            <a:off x="0" y="0"/>
                            <a:ext cx="2979481" cy="2157997"/>
                          </a:xfrm>
                          <a:prstGeom prst="rect">
                            <a:avLst/>
                          </a:prstGeom>
                          <a:ln>
                            <a:noFill/>
                          </a:ln>
                        </pic:spPr>
                      </pic:pic>
                    </a:graphicData>
                  </a:graphic>
                </wp:inline>
              </w:drawing>
            </w:r>
          </w:p>
        </w:tc>
        <w:tc>
          <w:tcPr>
            <w:tcW w:w="4531" w:type="dxa"/>
          </w:tcPr>
          <w:p w14:paraId="300A6A07" w14:textId="77777777" w:rsidR="009C353B" w:rsidRDefault="00000000">
            <w:pPr>
              <w:adjustRightInd w:val="0"/>
              <w:snapToGrid w:val="0"/>
              <w:rPr>
                <w:rFonts w:ascii="Times New Roman" w:hint="eastAsia"/>
              </w:rPr>
            </w:pPr>
            <w:r>
              <w:rPr>
                <w:rFonts w:ascii="Times New Roman"/>
                <w:noProof/>
              </w:rPr>
              <w:drawing>
                <wp:inline distT="0" distB="0" distL="0" distR="0" wp14:anchorId="2F7E31C6" wp14:editId="17484A28">
                  <wp:extent cx="2847975" cy="2135505"/>
                  <wp:effectExtent l="0" t="0" r="0" b="0"/>
                  <wp:docPr id="1038" name="图片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1038"/>
                          <pic:cNvPicPr>
                            <a:picLocks noChangeAspect="1"/>
                          </pic:cNvPicPr>
                        </pic:nvPicPr>
                        <pic:blipFill>
                          <a:blip r:embed="rId338" cstate="print">
                            <a:extLst>
                              <a:ext uri="{28A0092B-C50C-407E-A947-70E740481C1C}">
                                <a14:useLocalDpi xmlns:a14="http://schemas.microsoft.com/office/drawing/2010/main" val="0"/>
                              </a:ext>
                            </a:extLst>
                          </a:blip>
                          <a:stretch>
                            <a:fillRect/>
                          </a:stretch>
                        </pic:blipFill>
                        <pic:spPr>
                          <a:xfrm>
                            <a:off x="0" y="0"/>
                            <a:ext cx="2882367" cy="2161696"/>
                          </a:xfrm>
                          <a:prstGeom prst="rect">
                            <a:avLst/>
                          </a:prstGeom>
                        </pic:spPr>
                      </pic:pic>
                    </a:graphicData>
                  </a:graphic>
                </wp:inline>
              </w:drawing>
            </w:r>
          </w:p>
        </w:tc>
      </w:tr>
    </w:tbl>
    <w:p w14:paraId="7A938D9C" w14:textId="77777777" w:rsidR="009C353B" w:rsidRDefault="009C353B">
      <w:pPr>
        <w:adjustRightInd w:val="0"/>
        <w:snapToGrid w:val="0"/>
        <w:spacing w:line="440" w:lineRule="exact"/>
        <w:rPr>
          <w:rFonts w:ascii="Times New Roman" w:hint="eastAsia"/>
        </w:rPr>
      </w:pPr>
    </w:p>
    <w:p w14:paraId="09ACA08C"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4.4.</w:t>
      </w:r>
      <w:r>
        <w:rPr>
          <w:rFonts w:ascii="Times New Roman" w:hAnsi="Times New Roman"/>
          <w:sz w:val="24"/>
        </w:rPr>
        <w:t>7</w:t>
      </w:r>
      <w:r>
        <w:rPr>
          <w:rFonts w:ascii="Times New Roman" w:hAnsi="Times New Roman" w:hint="eastAsia"/>
          <w:sz w:val="24"/>
        </w:rPr>
        <w:t xml:space="preserve"> </w:t>
      </w:r>
      <w:r>
        <w:rPr>
          <w:rFonts w:ascii="Times New Roman" w:hAnsi="Times New Roman" w:hint="eastAsia"/>
          <w:sz w:val="24"/>
        </w:rPr>
        <w:t>对地面河流、水库的影响调查</w:t>
      </w:r>
    </w:p>
    <w:p w14:paraId="3E97CC8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水洞沟经过马莲台井田、红石湾井田北部。马莲台井田内长约</w:t>
      </w:r>
      <w:r>
        <w:rPr>
          <w:rFonts w:ascii="Times New Roman" w:hint="eastAsia"/>
        </w:rPr>
        <w:t>9</w:t>
      </w:r>
      <w:r>
        <w:rPr>
          <w:rFonts w:ascii="Times New Roman"/>
        </w:rPr>
        <w:t>.74</w:t>
      </w:r>
      <w:r>
        <w:rPr>
          <w:rFonts w:ascii="Times New Roman" w:hint="eastAsia"/>
        </w:rPr>
        <w:t>km</w:t>
      </w:r>
      <w:r>
        <w:rPr>
          <w:rFonts w:ascii="Times New Roman" w:hint="eastAsia"/>
        </w:rPr>
        <w:t>，红石湾井田内长约</w:t>
      </w:r>
      <w:r>
        <w:rPr>
          <w:rFonts w:ascii="Times New Roman" w:hint="eastAsia"/>
        </w:rPr>
        <w:t>2</w:t>
      </w:r>
      <w:r>
        <w:rPr>
          <w:rFonts w:ascii="Times New Roman"/>
        </w:rPr>
        <w:t>.0</w:t>
      </w:r>
      <w:r>
        <w:rPr>
          <w:rFonts w:ascii="Times New Roman" w:hint="eastAsia"/>
        </w:rPr>
        <w:t>km</w:t>
      </w:r>
      <w:r>
        <w:rPr>
          <w:rFonts w:ascii="Times New Roman" w:hint="eastAsia"/>
        </w:rPr>
        <w:t>。根据现场调查，马莲台、红石湾煤矿均有工作面已在河流下开采，目前未发现开采沉陷对水洞沟河堤及水文情势产生明显影响。</w:t>
      </w:r>
    </w:p>
    <w:p w14:paraId="608E8E0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鸭子荡水库保护边界距任家庄井田、红石湾井田、马莲台井田边界的最近距离分别为</w:t>
      </w:r>
      <w:r>
        <w:rPr>
          <w:rFonts w:ascii="Times New Roman" w:hint="eastAsia"/>
        </w:rPr>
        <w:t>2</w:t>
      </w:r>
      <w:r>
        <w:rPr>
          <w:rFonts w:ascii="Times New Roman"/>
        </w:rPr>
        <w:t>500</w:t>
      </w:r>
      <w:r>
        <w:rPr>
          <w:rFonts w:ascii="Times New Roman" w:hint="eastAsia"/>
        </w:rPr>
        <w:t>m</w:t>
      </w:r>
      <w:r>
        <w:rPr>
          <w:rFonts w:ascii="Times New Roman" w:hint="eastAsia"/>
        </w:rPr>
        <w:t>、</w:t>
      </w:r>
      <w:r>
        <w:rPr>
          <w:rFonts w:ascii="Times New Roman" w:hint="eastAsia"/>
        </w:rPr>
        <w:t>6</w:t>
      </w:r>
      <w:r>
        <w:rPr>
          <w:rFonts w:ascii="Times New Roman"/>
        </w:rPr>
        <w:t>100</w:t>
      </w:r>
      <w:r>
        <w:rPr>
          <w:rFonts w:ascii="Times New Roman" w:hint="eastAsia"/>
        </w:rPr>
        <w:t>m</w:t>
      </w:r>
      <w:r>
        <w:rPr>
          <w:rFonts w:ascii="Times New Roman" w:hint="eastAsia"/>
        </w:rPr>
        <w:t>、</w:t>
      </w:r>
      <w:r>
        <w:rPr>
          <w:rFonts w:ascii="Times New Roman" w:hint="eastAsia"/>
        </w:rPr>
        <w:t>2</w:t>
      </w:r>
      <w:r>
        <w:rPr>
          <w:rFonts w:ascii="Times New Roman"/>
        </w:rPr>
        <w:t>455</w:t>
      </w:r>
      <w:r>
        <w:rPr>
          <w:rFonts w:ascii="Times New Roman" w:hint="eastAsia"/>
        </w:rPr>
        <w:t>m</w:t>
      </w:r>
      <w:r>
        <w:rPr>
          <w:rFonts w:ascii="Times New Roman" w:hint="eastAsia"/>
        </w:rPr>
        <w:t>，目前开采区域均远离鸭子荡水库及大坝，鸭子荡水库及大坝未受开采沉陷影响。</w:t>
      </w:r>
    </w:p>
    <w:p w14:paraId="57EB1F05"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4.4.</w:t>
      </w:r>
      <w:r>
        <w:rPr>
          <w:rFonts w:ascii="Times New Roman" w:hAnsi="Times New Roman"/>
          <w:sz w:val="24"/>
        </w:rPr>
        <w:t>8</w:t>
      </w:r>
      <w:r>
        <w:rPr>
          <w:rFonts w:ascii="Times New Roman" w:hAnsi="Times New Roman" w:hint="eastAsia"/>
          <w:sz w:val="24"/>
        </w:rPr>
        <w:t xml:space="preserve"> </w:t>
      </w:r>
      <w:r>
        <w:rPr>
          <w:rFonts w:ascii="Times New Roman" w:hAnsi="Times New Roman" w:hint="eastAsia"/>
          <w:sz w:val="24"/>
        </w:rPr>
        <w:t>对白芨滩自然保护区影响调查</w:t>
      </w:r>
    </w:p>
    <w:p w14:paraId="7211EE6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白芨滩自然保护区实验区位于红石湾煤矿、任家庄煤矿西</w:t>
      </w:r>
      <w:r>
        <w:rPr>
          <w:rFonts w:ascii="Times New Roman"/>
        </w:rPr>
        <w:t>边界</w:t>
      </w:r>
      <w:r>
        <w:rPr>
          <w:rFonts w:ascii="Times New Roman" w:hint="eastAsia"/>
        </w:rPr>
        <w:t>外。项目环评中，两个煤矿均提出了对白芨滩自然保护区留设保护煤柱。任家庄矿井开采工作面距白芨滩自然保护区实验区约</w:t>
      </w:r>
      <w:r>
        <w:rPr>
          <w:rFonts w:ascii="Times New Roman"/>
        </w:rPr>
        <w:t>700m</w:t>
      </w:r>
      <w:r>
        <w:rPr>
          <w:rFonts w:ascii="Times New Roman"/>
        </w:rPr>
        <w:t>；红石湾矿井开采工作面距</w:t>
      </w:r>
      <w:r>
        <w:rPr>
          <w:rFonts w:ascii="Times New Roman" w:hint="eastAsia"/>
        </w:rPr>
        <w:t>白芨滩自然保护区实验区</w:t>
      </w:r>
      <w:r>
        <w:rPr>
          <w:rFonts w:ascii="Times New Roman"/>
        </w:rPr>
        <w:t>约</w:t>
      </w:r>
      <w:r>
        <w:rPr>
          <w:rFonts w:ascii="Times New Roman"/>
        </w:rPr>
        <w:t>2326m</w:t>
      </w:r>
      <w:r>
        <w:rPr>
          <w:rFonts w:ascii="Times New Roman"/>
        </w:rPr>
        <w:t>；上述</w:t>
      </w:r>
      <w:r>
        <w:rPr>
          <w:rFonts w:ascii="Times New Roman" w:hint="eastAsia"/>
        </w:rPr>
        <w:t>两个个矿井</w:t>
      </w:r>
      <w:r>
        <w:rPr>
          <w:rFonts w:ascii="Times New Roman"/>
        </w:rPr>
        <w:t>最近开采工作面最大沉陷影响半径分别约</w:t>
      </w:r>
      <w:r>
        <w:rPr>
          <w:rFonts w:ascii="Times New Roman"/>
        </w:rPr>
        <w:t>213m</w:t>
      </w:r>
      <w:r>
        <w:rPr>
          <w:rFonts w:ascii="Times New Roman"/>
        </w:rPr>
        <w:t>、</w:t>
      </w:r>
      <w:r>
        <w:rPr>
          <w:rFonts w:ascii="Times New Roman"/>
        </w:rPr>
        <w:t>280m</w:t>
      </w:r>
      <w:r>
        <w:rPr>
          <w:rFonts w:ascii="Times New Roman"/>
        </w:rPr>
        <w:t>，根据现场调查，</w:t>
      </w:r>
      <w:r>
        <w:rPr>
          <w:rFonts w:ascii="Times New Roman" w:hint="eastAsia"/>
        </w:rPr>
        <w:t>白芨滩自然保护区</w:t>
      </w:r>
      <w:r>
        <w:rPr>
          <w:rFonts w:ascii="Times New Roman"/>
        </w:rPr>
        <w:t>没有</w:t>
      </w:r>
      <w:r>
        <w:rPr>
          <w:rFonts w:ascii="Times New Roman" w:hint="eastAsia"/>
        </w:rPr>
        <w:t>受</w:t>
      </w:r>
      <w:r>
        <w:rPr>
          <w:rFonts w:ascii="Times New Roman"/>
        </w:rPr>
        <w:t>到地表沉陷影响。</w:t>
      </w:r>
    </w:p>
    <w:p w14:paraId="34F42C0E" w14:textId="77777777" w:rsidR="009C353B" w:rsidRDefault="00000000">
      <w:pPr>
        <w:pStyle w:val="2"/>
        <w:adjustRightInd w:val="0"/>
        <w:snapToGrid w:val="0"/>
        <w:spacing w:before="320" w:after="320" w:line="440" w:lineRule="exact"/>
        <w:rPr>
          <w:rFonts w:ascii="Times New Roman" w:eastAsia="宋体" w:hAnsi="Times New Roman"/>
          <w:b/>
          <w:sz w:val="28"/>
        </w:rPr>
      </w:pPr>
      <w:bookmarkStart w:id="162" w:name="_Toc59189838"/>
      <w:r>
        <w:rPr>
          <w:rFonts w:ascii="Times New Roman" w:eastAsia="宋体" w:hAnsi="Times New Roman" w:hint="eastAsia"/>
          <w:b/>
          <w:sz w:val="28"/>
        </w:rPr>
        <w:t xml:space="preserve">4.5 </w:t>
      </w:r>
      <w:r>
        <w:rPr>
          <w:rFonts w:ascii="Times New Roman" w:eastAsia="宋体" w:hAnsi="Times New Roman" w:hint="eastAsia"/>
          <w:b/>
          <w:sz w:val="28"/>
        </w:rPr>
        <w:t>矿区开发生态环境影响回顾评价</w:t>
      </w:r>
      <w:bookmarkEnd w:id="162"/>
    </w:p>
    <w:p w14:paraId="164ADCF2" w14:textId="77777777" w:rsidR="009C353B" w:rsidRDefault="00000000">
      <w:pPr>
        <w:pStyle w:val="third"/>
        <w:adjustRightInd w:val="0"/>
        <w:snapToGrid w:val="0"/>
        <w:spacing w:before="0" w:after="0" w:line="440" w:lineRule="exact"/>
        <w:rPr>
          <w:rFonts w:ascii="Times New Roman" w:hAnsi="Times New Roman"/>
        </w:rPr>
      </w:pPr>
      <w:bookmarkStart w:id="163" w:name="_Toc279866307"/>
      <w:bookmarkStart w:id="164" w:name="_Toc206578324"/>
      <w:bookmarkStart w:id="165" w:name="_Toc279840190"/>
      <w:bookmarkStart w:id="166" w:name="_Toc279840323"/>
      <w:bookmarkStart w:id="167" w:name="_Toc279840131"/>
      <w:r>
        <w:rPr>
          <w:rFonts w:ascii="Times New Roman" w:hAnsi="Times New Roman" w:hint="eastAsia"/>
        </w:rPr>
        <w:t xml:space="preserve">4.5.1 </w:t>
      </w:r>
      <w:r>
        <w:rPr>
          <w:rFonts w:ascii="Times New Roman" w:hAnsi="Times New Roman" w:hint="eastAsia"/>
        </w:rPr>
        <w:t>土地利用</w:t>
      </w:r>
      <w:r>
        <w:rPr>
          <w:rFonts w:ascii="Times New Roman" w:hAnsi="Times New Roman" w:hint="eastAsia"/>
        </w:rPr>
        <w:t>/</w:t>
      </w:r>
      <w:r>
        <w:rPr>
          <w:rFonts w:ascii="Times New Roman" w:hAnsi="Times New Roman" w:hint="eastAsia"/>
        </w:rPr>
        <w:t>覆盖（</w:t>
      </w:r>
      <w:r>
        <w:rPr>
          <w:rFonts w:ascii="Times New Roman" w:hAnsi="Times New Roman" w:hint="eastAsia"/>
        </w:rPr>
        <w:t>LUCC</w:t>
      </w:r>
      <w:r>
        <w:rPr>
          <w:rFonts w:ascii="Times New Roman" w:hAnsi="Times New Roman" w:hint="eastAsia"/>
        </w:rPr>
        <w:t>）变化</w:t>
      </w:r>
      <w:bookmarkEnd w:id="163"/>
      <w:bookmarkEnd w:id="164"/>
      <w:bookmarkEnd w:id="165"/>
      <w:bookmarkEnd w:id="166"/>
      <w:bookmarkEnd w:id="167"/>
    </w:p>
    <w:p w14:paraId="510AEACF" w14:textId="77777777" w:rsidR="009C353B" w:rsidRDefault="00000000">
      <w:pPr>
        <w:adjustRightInd w:val="0"/>
        <w:snapToGrid w:val="0"/>
        <w:spacing w:line="440" w:lineRule="exact"/>
        <w:ind w:firstLine="482"/>
        <w:rPr>
          <w:rFonts w:hint="eastAsia"/>
          <w:b/>
          <w:szCs w:val="24"/>
        </w:rPr>
      </w:pPr>
      <w:r>
        <w:rPr>
          <w:rFonts w:hint="eastAsia"/>
          <w:b/>
          <w:szCs w:val="24"/>
        </w:rPr>
        <w:t>（1）分析方法</w:t>
      </w:r>
    </w:p>
    <w:p w14:paraId="2ADED833" w14:textId="77777777" w:rsidR="009C353B" w:rsidRDefault="00000000">
      <w:pPr>
        <w:adjustRightInd w:val="0"/>
        <w:snapToGrid w:val="0"/>
        <w:spacing w:line="440" w:lineRule="exact"/>
        <w:ind w:firstLineChars="200" w:firstLine="480"/>
        <w:rPr>
          <w:rFonts w:ascii="Times New Roman" w:hint="eastAsia"/>
        </w:rPr>
      </w:pPr>
      <w:bookmarkStart w:id="168" w:name="_Toc197225145"/>
      <w:bookmarkStart w:id="169" w:name="_Toc197226223"/>
      <w:bookmarkStart w:id="170" w:name="_Toc197923689"/>
      <w:bookmarkStart w:id="171" w:name="_Toc197184398"/>
      <w:bookmarkStart w:id="172" w:name="_Toc197184660"/>
      <w:r>
        <w:rPr>
          <w:rFonts w:ascii="Times New Roman"/>
        </w:rPr>
        <w:t>采用卫星遥感、地理信息系统技术，结合地面实际调查，首先对</w:t>
      </w:r>
      <w:r>
        <w:rPr>
          <w:rFonts w:ascii="Times New Roman"/>
        </w:rPr>
        <w:t>TM</w:t>
      </w:r>
      <w:r>
        <w:rPr>
          <w:rFonts w:ascii="Times New Roman"/>
        </w:rPr>
        <w:t>遥感图像信息进行识别和提取，然后运用</w:t>
      </w:r>
      <w:r>
        <w:rPr>
          <w:rFonts w:ascii="Times New Roman"/>
        </w:rPr>
        <w:t>LUCC</w:t>
      </w:r>
      <w:r>
        <w:rPr>
          <w:rFonts w:ascii="Times New Roman"/>
        </w:rPr>
        <w:t>变化度和综合动态变化度指数，分析评价矿区土地利用</w:t>
      </w:r>
      <w:r>
        <w:rPr>
          <w:rFonts w:ascii="Times New Roman"/>
        </w:rPr>
        <w:t>/</w:t>
      </w:r>
      <w:r>
        <w:rPr>
          <w:rFonts w:ascii="Times New Roman"/>
        </w:rPr>
        <w:t>覆盖变化情况，利用土地利用程度指数反映矿区的土地利用程度变化情况。</w:t>
      </w:r>
    </w:p>
    <w:p w14:paraId="4218DD91" w14:textId="77777777" w:rsidR="009C353B" w:rsidRDefault="00000000">
      <w:pPr>
        <w:adjustRightInd w:val="0"/>
        <w:snapToGrid w:val="0"/>
        <w:spacing w:line="440" w:lineRule="exact"/>
        <w:ind w:firstLineChars="200" w:firstLine="480"/>
        <w:rPr>
          <w:rFonts w:ascii="Times New Roman" w:hint="eastAsia"/>
        </w:rPr>
      </w:pPr>
      <w:r>
        <w:rPr>
          <w:rFonts w:ascii="Times New Roman"/>
        </w:rPr>
        <w:t>1</w:t>
      </w:r>
      <w:r>
        <w:rPr>
          <w:rFonts w:ascii="Times New Roman"/>
        </w:rPr>
        <w:t>）单一土地利用类型动态度</w:t>
      </w:r>
    </w:p>
    <w:p w14:paraId="4EF8D0A0" w14:textId="77777777" w:rsidR="009C353B" w:rsidRDefault="00000000">
      <w:pPr>
        <w:adjustRightInd w:val="0"/>
        <w:snapToGrid w:val="0"/>
        <w:spacing w:line="440" w:lineRule="exact"/>
        <w:ind w:firstLineChars="200" w:firstLine="480"/>
        <w:rPr>
          <w:rFonts w:ascii="Times New Roman" w:hint="eastAsia"/>
        </w:rPr>
      </w:pPr>
      <w:r>
        <w:rPr>
          <w:rFonts w:ascii="Times New Roman"/>
        </w:rPr>
        <w:t>单一土地利用类型动态度表达的是某评价区一定时间范围内某一种土地利用类型数量变化情况，即表示土地利用类型在监测初期至监测末期之间数量的年均变化速率。</w:t>
      </w:r>
      <w:bookmarkEnd w:id="168"/>
      <w:bookmarkEnd w:id="169"/>
      <w:bookmarkEnd w:id="170"/>
      <w:bookmarkEnd w:id="171"/>
      <w:bookmarkEnd w:id="172"/>
    </w:p>
    <w:p w14:paraId="3A6878DF" w14:textId="77777777" w:rsidR="009C353B" w:rsidRDefault="00000000">
      <w:pPr>
        <w:adjustRightInd w:val="0"/>
        <w:snapToGrid w:val="0"/>
        <w:spacing w:line="360" w:lineRule="auto"/>
        <w:ind w:firstLineChars="500" w:firstLine="1200"/>
        <w:rPr>
          <w:rFonts w:ascii="Times New Roman" w:hAnsi="Times New Roman"/>
          <w:szCs w:val="24"/>
        </w:rPr>
      </w:pPr>
      <w:r>
        <w:rPr>
          <w:rFonts w:ascii="Times New Roman" w:hAnsi="Times New Roman"/>
          <w:szCs w:val="24"/>
        </w:rPr>
        <w:object w:dxaOrig="3852" w:dyaOrig="382" w14:anchorId="4B51901C">
          <v:shape id="_x0000_i1121" type="#_x0000_t75" style="width:192.55pt;height:19.1pt" o:ole="">
            <v:imagedata r:id="rId339" o:title=""/>
          </v:shape>
          <o:OLEObject Type="Embed" ProgID="Equation.3" ShapeID="_x0000_i1121" DrawAspect="Content" ObjectID="_1826209220" r:id="rId340"/>
        </w:object>
      </w:r>
    </w:p>
    <w:p w14:paraId="54F1C852" w14:textId="77777777" w:rsidR="009C353B" w:rsidRDefault="00000000">
      <w:pPr>
        <w:adjustRightInd w:val="0"/>
        <w:snapToGrid w:val="0"/>
        <w:spacing w:line="440" w:lineRule="exact"/>
        <w:ind w:leftChars="228" w:left="1987" w:hangingChars="600" w:hanging="1440"/>
        <w:rPr>
          <w:rFonts w:ascii="Times New Roman" w:hAnsi="Times New Roman"/>
          <w:szCs w:val="24"/>
        </w:rPr>
      </w:pPr>
      <w:r>
        <w:rPr>
          <w:rFonts w:ascii="Times New Roman" w:hAnsi="Times New Roman"/>
          <w:szCs w:val="24"/>
        </w:rPr>
        <w:t>式中，</w:t>
      </w:r>
      <w:r>
        <w:rPr>
          <w:rFonts w:ascii="Times New Roman" w:hAnsi="Times New Roman"/>
          <w:szCs w:val="24"/>
        </w:rPr>
        <w:t>K——</w:t>
      </w:r>
      <w:r>
        <w:rPr>
          <w:rFonts w:ascii="Times New Roman" w:hAnsi="Times New Roman"/>
          <w:szCs w:val="24"/>
        </w:rPr>
        <w:t>为研究时段内某一土地利用类型动态度，</w:t>
      </w:r>
      <w:r>
        <w:rPr>
          <w:rFonts w:ascii="Times New Roman" w:hAnsi="Times New Roman"/>
          <w:szCs w:val="24"/>
        </w:rPr>
        <w:t>K</w:t>
      </w:r>
      <w:r>
        <w:rPr>
          <w:rFonts w:ascii="Times New Roman" w:hAnsi="Times New Roman"/>
          <w:szCs w:val="24"/>
        </w:rPr>
        <w:t>值是该评价区某种土地利用类型年变化率；</w:t>
      </w:r>
    </w:p>
    <w:p w14:paraId="5A9ECC4D" w14:textId="77777777" w:rsidR="009C353B" w:rsidRDefault="00000000">
      <w:pPr>
        <w:adjustRightInd w:val="0"/>
        <w:snapToGrid w:val="0"/>
        <w:spacing w:line="440" w:lineRule="exact"/>
        <w:ind w:firstLineChars="500" w:firstLine="1200"/>
        <w:rPr>
          <w:rFonts w:ascii="Times New Roman" w:hAnsi="Times New Roman"/>
          <w:szCs w:val="24"/>
        </w:rPr>
      </w:pPr>
      <w:r>
        <w:rPr>
          <w:rFonts w:ascii="Times New Roman" w:hAnsi="Times New Roman"/>
          <w:szCs w:val="24"/>
        </w:rPr>
        <w:t>LU</w:t>
      </w:r>
      <w:r>
        <w:rPr>
          <w:rFonts w:ascii="Times New Roman" w:hAnsi="Times New Roman"/>
          <w:szCs w:val="24"/>
          <w:vertAlign w:val="subscript"/>
        </w:rPr>
        <w:t>a</w:t>
      </w:r>
      <w:r>
        <w:rPr>
          <w:rFonts w:ascii="Times New Roman" w:hAnsi="Times New Roman"/>
          <w:szCs w:val="24"/>
        </w:rPr>
        <w:t>, LU</w:t>
      </w:r>
      <w:r>
        <w:rPr>
          <w:rFonts w:ascii="Times New Roman" w:hAnsi="Times New Roman"/>
          <w:szCs w:val="24"/>
          <w:vertAlign w:val="subscript"/>
        </w:rPr>
        <w:t>b</w:t>
      </w:r>
      <w:r>
        <w:rPr>
          <w:rFonts w:ascii="Times New Roman" w:hAnsi="Times New Roman"/>
          <w:szCs w:val="24"/>
        </w:rPr>
        <w:t>——</w:t>
      </w:r>
      <w:r>
        <w:rPr>
          <w:rFonts w:ascii="Times New Roman" w:hAnsi="Times New Roman"/>
          <w:szCs w:val="24"/>
        </w:rPr>
        <w:t>分别为研究初期及研究末期某一种土地利用类型的数量；</w:t>
      </w:r>
    </w:p>
    <w:p w14:paraId="19109000" w14:textId="77777777" w:rsidR="009C353B" w:rsidRDefault="00000000">
      <w:pPr>
        <w:adjustRightInd w:val="0"/>
        <w:snapToGrid w:val="0"/>
        <w:spacing w:line="440" w:lineRule="exact"/>
        <w:ind w:firstLineChars="500" w:firstLine="1200"/>
        <w:rPr>
          <w:rFonts w:ascii="Times New Roman" w:hAnsi="Times New Roman"/>
          <w:szCs w:val="24"/>
        </w:rPr>
      </w:pPr>
      <w:r>
        <w:rPr>
          <w:rFonts w:ascii="Times New Roman" w:hAnsi="Times New Roman"/>
          <w:szCs w:val="24"/>
        </w:rPr>
        <w:t>T——</w:t>
      </w:r>
      <w:r>
        <w:rPr>
          <w:rFonts w:ascii="Times New Roman" w:hAnsi="Times New Roman"/>
          <w:szCs w:val="24"/>
        </w:rPr>
        <w:t>为研究时段长，当</w:t>
      </w:r>
      <w:r>
        <w:rPr>
          <w:rFonts w:ascii="Times New Roman" w:hAnsi="Times New Roman"/>
          <w:szCs w:val="24"/>
        </w:rPr>
        <w:t>T</w:t>
      </w:r>
      <w:r>
        <w:rPr>
          <w:rFonts w:ascii="Times New Roman" w:hAnsi="Times New Roman"/>
          <w:szCs w:val="24"/>
        </w:rPr>
        <w:t>的时段设定为年时。</w:t>
      </w:r>
    </w:p>
    <w:p w14:paraId="2B71044D" w14:textId="77777777" w:rsidR="009C353B" w:rsidRDefault="00000000">
      <w:pPr>
        <w:adjustRightInd w:val="0"/>
        <w:snapToGrid w:val="0"/>
        <w:spacing w:line="440" w:lineRule="exact"/>
        <w:ind w:firstLine="482"/>
        <w:rPr>
          <w:rFonts w:ascii="Times New Roman" w:hAnsi="Times New Roman"/>
          <w:szCs w:val="24"/>
        </w:rPr>
      </w:pPr>
      <w:bookmarkStart w:id="173" w:name="_Toc197184661"/>
      <w:bookmarkStart w:id="174" w:name="_Toc197225146"/>
      <w:bookmarkStart w:id="175" w:name="_Toc197226224"/>
      <w:bookmarkStart w:id="176" w:name="_Toc197184399"/>
      <w:bookmarkStart w:id="177" w:name="_Toc197923690"/>
      <w:r>
        <w:rPr>
          <w:rFonts w:ascii="Times New Roman" w:hAnsi="Times New Roman"/>
          <w:szCs w:val="24"/>
        </w:rPr>
        <w:t>2</w:t>
      </w:r>
      <w:r>
        <w:rPr>
          <w:rFonts w:ascii="Times New Roman" w:hAnsi="Times New Roman"/>
          <w:szCs w:val="24"/>
        </w:rPr>
        <w:t>）综合土地利用动态度</w:t>
      </w:r>
      <w:bookmarkEnd w:id="173"/>
      <w:bookmarkEnd w:id="174"/>
      <w:bookmarkEnd w:id="175"/>
      <w:bookmarkEnd w:id="176"/>
      <w:bookmarkEnd w:id="177"/>
    </w:p>
    <w:p w14:paraId="29BECF9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为了描述评价区的土地利用数量平均变化速率，与单一土地利用类型动态度类似，引入区域的综合土地利用动态度，可表示为：</w:t>
      </w:r>
    </w:p>
    <w:p w14:paraId="182DE677" w14:textId="77777777" w:rsidR="009C353B" w:rsidRDefault="00000000">
      <w:pPr>
        <w:adjustRightInd w:val="0"/>
        <w:snapToGrid w:val="0"/>
        <w:spacing w:line="360" w:lineRule="auto"/>
        <w:ind w:firstLineChars="500" w:firstLine="1200"/>
        <w:rPr>
          <w:rFonts w:ascii="Times New Roman" w:hAnsi="Times New Roman"/>
          <w:szCs w:val="24"/>
        </w:rPr>
      </w:pPr>
      <w:r>
        <w:rPr>
          <w:rFonts w:ascii="Times New Roman" w:hAnsi="Times New Roman"/>
          <w:szCs w:val="24"/>
        </w:rPr>
        <w:object w:dxaOrig="3951" w:dyaOrig="751" w14:anchorId="13126920">
          <v:shape id="_x0000_i1122" type="#_x0000_t75" style="width:197.45pt;height:37.65pt" o:ole="">
            <v:imagedata r:id="rId341" o:title=""/>
          </v:shape>
          <o:OLEObject Type="Embed" ProgID="Equation.3" ShapeID="_x0000_i1122" DrawAspect="Content" ObjectID="_1826209221" r:id="rId342"/>
        </w:object>
      </w:r>
    </w:p>
    <w:p w14:paraId="33EF0F37"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式中，</w:t>
      </w:r>
      <w:r>
        <w:rPr>
          <w:rFonts w:ascii="Times New Roman" w:hAnsi="Times New Roman"/>
          <w:szCs w:val="24"/>
        </w:rPr>
        <w:t>LU</w:t>
      </w:r>
      <w:r>
        <w:rPr>
          <w:rFonts w:ascii="Times New Roman" w:hAnsi="Times New Roman"/>
          <w:szCs w:val="24"/>
          <w:vertAlign w:val="subscript"/>
        </w:rPr>
        <w:t>i</w:t>
      </w:r>
      <w:r>
        <w:rPr>
          <w:rFonts w:ascii="Times New Roman" w:hAnsi="Times New Roman"/>
          <w:szCs w:val="24"/>
        </w:rPr>
        <w:t>——</w:t>
      </w:r>
      <w:r>
        <w:rPr>
          <w:rFonts w:ascii="Times New Roman" w:hAnsi="Times New Roman"/>
          <w:szCs w:val="24"/>
        </w:rPr>
        <w:t>为监测起始时间第</w:t>
      </w:r>
      <w:r>
        <w:rPr>
          <w:rFonts w:ascii="Times New Roman" w:hAnsi="Times New Roman"/>
          <w:szCs w:val="24"/>
        </w:rPr>
        <w:t>i</w:t>
      </w:r>
      <w:r>
        <w:rPr>
          <w:rFonts w:ascii="Times New Roman" w:hAnsi="Times New Roman"/>
          <w:szCs w:val="24"/>
        </w:rPr>
        <w:t>类土地利用类型面积；</w:t>
      </w:r>
    </w:p>
    <w:p w14:paraId="75277C5B" w14:textId="77777777" w:rsidR="009C353B" w:rsidRDefault="00000000">
      <w:pPr>
        <w:adjustRightInd w:val="0"/>
        <w:snapToGrid w:val="0"/>
        <w:spacing w:line="440" w:lineRule="exact"/>
        <w:ind w:leftChars="303" w:left="727" w:firstLineChars="200" w:firstLine="480"/>
        <w:rPr>
          <w:rFonts w:ascii="Times New Roman" w:hAnsi="Times New Roman"/>
          <w:szCs w:val="24"/>
        </w:rPr>
      </w:pPr>
      <w:r>
        <w:rPr>
          <w:rFonts w:ascii="Times New Roman" w:hAnsi="Times New Roman"/>
          <w:szCs w:val="24"/>
        </w:rPr>
        <w:sym w:font="Symbol" w:char="F044"/>
      </w:r>
      <w:r>
        <w:rPr>
          <w:rFonts w:ascii="Times New Roman" w:hAnsi="Times New Roman"/>
          <w:szCs w:val="24"/>
        </w:rPr>
        <w:t>LU</w:t>
      </w:r>
      <w:r>
        <w:rPr>
          <w:rFonts w:ascii="Times New Roman" w:hAnsi="Times New Roman"/>
          <w:szCs w:val="24"/>
          <w:vertAlign w:val="subscript"/>
        </w:rPr>
        <w:t>i-j</w:t>
      </w:r>
      <w:r>
        <w:rPr>
          <w:rFonts w:ascii="Times New Roman" w:hAnsi="Times New Roman"/>
          <w:szCs w:val="24"/>
        </w:rPr>
        <w:t>——</w:t>
      </w:r>
      <w:r>
        <w:rPr>
          <w:rFonts w:ascii="Times New Roman" w:hAnsi="Times New Roman"/>
          <w:szCs w:val="24"/>
        </w:rPr>
        <w:t>为监测时段内第</w:t>
      </w:r>
      <w:r>
        <w:rPr>
          <w:rFonts w:ascii="Times New Roman" w:hAnsi="Times New Roman"/>
          <w:szCs w:val="24"/>
        </w:rPr>
        <w:t>i</w:t>
      </w:r>
      <w:r>
        <w:rPr>
          <w:rFonts w:ascii="Times New Roman" w:hAnsi="Times New Roman"/>
          <w:szCs w:val="24"/>
        </w:rPr>
        <w:t>类土地利用类型转为非</w:t>
      </w:r>
      <w:r>
        <w:rPr>
          <w:rFonts w:ascii="Times New Roman" w:hAnsi="Times New Roman"/>
          <w:szCs w:val="24"/>
        </w:rPr>
        <w:t>i</w:t>
      </w:r>
      <w:r>
        <w:rPr>
          <w:rFonts w:ascii="Times New Roman" w:hAnsi="Times New Roman"/>
          <w:szCs w:val="24"/>
        </w:rPr>
        <w:t>类土地利用类型面积的绝对值；</w:t>
      </w:r>
    </w:p>
    <w:p w14:paraId="06DAA4ED" w14:textId="77777777" w:rsidR="009C353B" w:rsidRDefault="00000000">
      <w:pPr>
        <w:adjustRightInd w:val="0"/>
        <w:snapToGrid w:val="0"/>
        <w:spacing w:line="440" w:lineRule="exact"/>
        <w:ind w:firstLineChars="500" w:firstLine="1200"/>
        <w:rPr>
          <w:rFonts w:ascii="Times New Roman" w:hAnsi="Times New Roman"/>
          <w:szCs w:val="24"/>
        </w:rPr>
      </w:pPr>
      <w:r>
        <w:rPr>
          <w:rFonts w:ascii="Times New Roman" w:hAnsi="Times New Roman"/>
          <w:szCs w:val="24"/>
        </w:rPr>
        <w:t>T——</w:t>
      </w:r>
      <w:r>
        <w:rPr>
          <w:rFonts w:ascii="Times New Roman" w:hAnsi="Times New Roman"/>
          <w:szCs w:val="24"/>
        </w:rPr>
        <w:t>监测时段长度。当</w:t>
      </w:r>
      <w:r>
        <w:rPr>
          <w:rFonts w:ascii="Times New Roman" w:hAnsi="Times New Roman"/>
          <w:szCs w:val="24"/>
        </w:rPr>
        <w:t>T</w:t>
      </w:r>
      <w:r>
        <w:rPr>
          <w:rFonts w:ascii="Times New Roman" w:hAnsi="Times New Roman"/>
          <w:szCs w:val="24"/>
        </w:rPr>
        <w:t>的时段设定为年时；</w:t>
      </w:r>
    </w:p>
    <w:p w14:paraId="0CF5C0F0"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LC</w:t>
      </w:r>
      <w:r>
        <w:rPr>
          <w:rFonts w:ascii="Times New Roman" w:hAnsi="Times New Roman"/>
          <w:szCs w:val="24"/>
        </w:rPr>
        <w:t>值是区域综合土地利用动态度，主要用以反映某一研究时段内，评价区的各种地类动态变化的总体情况，该值越大，说明评价区土地利用动态变化越剧烈。</w:t>
      </w:r>
    </w:p>
    <w:p w14:paraId="4AF76A70" w14:textId="77777777" w:rsidR="009C353B" w:rsidRDefault="00000000">
      <w:pPr>
        <w:adjustRightInd w:val="0"/>
        <w:snapToGrid w:val="0"/>
        <w:spacing w:line="440" w:lineRule="exact"/>
        <w:ind w:firstLine="482"/>
        <w:rPr>
          <w:rFonts w:ascii="Times New Roman" w:hAnsi="Times New Roman"/>
          <w:szCs w:val="24"/>
        </w:rPr>
      </w:pPr>
      <w:bookmarkStart w:id="178" w:name="_Toc197184401"/>
      <w:bookmarkStart w:id="179" w:name="_Toc197226226"/>
      <w:bookmarkStart w:id="180" w:name="_Toc197184663"/>
      <w:bookmarkStart w:id="181" w:name="_Toc197923692"/>
      <w:bookmarkStart w:id="182" w:name="_Toc197225148"/>
      <w:r>
        <w:rPr>
          <w:rFonts w:ascii="Times New Roman" w:hAnsi="Times New Roman"/>
          <w:szCs w:val="24"/>
        </w:rPr>
        <w:t>3</w:t>
      </w:r>
      <w:r>
        <w:rPr>
          <w:rFonts w:ascii="Times New Roman" w:hAnsi="Times New Roman"/>
          <w:szCs w:val="24"/>
        </w:rPr>
        <w:t>）土地利用程度数量化综合指标</w:t>
      </w:r>
      <w:bookmarkEnd w:id="178"/>
      <w:bookmarkEnd w:id="179"/>
      <w:bookmarkEnd w:id="180"/>
      <w:bookmarkEnd w:id="181"/>
      <w:bookmarkEnd w:id="182"/>
    </w:p>
    <w:p w14:paraId="10BB2DD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土地利用程度研究方法是通过数量指标体系来表达。将土地利用程度按照土地自然综合体在社会因素影响下自然平衡保持状态分为</w:t>
      </w:r>
      <w:r>
        <w:rPr>
          <w:rFonts w:ascii="Times New Roman" w:hAnsi="Times New Roman"/>
          <w:szCs w:val="24"/>
        </w:rPr>
        <w:t>4</w:t>
      </w:r>
      <w:r>
        <w:rPr>
          <w:rFonts w:ascii="Times New Roman" w:hAnsi="Times New Roman"/>
          <w:szCs w:val="24"/>
        </w:rPr>
        <w:t>级，并分级赋予指数（表</w:t>
      </w:r>
      <w:r>
        <w:rPr>
          <w:rFonts w:ascii="Times New Roman" w:hAnsi="Times New Roman"/>
          <w:szCs w:val="24"/>
        </w:rPr>
        <w:t>4.5-1</w:t>
      </w:r>
      <w:r>
        <w:rPr>
          <w:rFonts w:ascii="Times New Roman" w:hAnsi="Times New Roman"/>
          <w:szCs w:val="24"/>
        </w:rPr>
        <w:t>），通过每级土地利用类型在研究区中所占的百分比乘以其分级指数，然后进行加权求和，得到土地利用程度。土地利用程度的定量表达如下：</w:t>
      </w:r>
    </w:p>
    <w:p w14:paraId="77D990AD" w14:textId="77777777" w:rsidR="009C353B" w:rsidRDefault="00000000">
      <w:pPr>
        <w:adjustRightInd w:val="0"/>
        <w:snapToGrid w:val="0"/>
        <w:spacing w:line="440" w:lineRule="exact"/>
        <w:jc w:val="center"/>
        <w:rPr>
          <w:rFonts w:hint="eastAsia"/>
          <w:b/>
          <w:kern w:val="24"/>
        </w:rPr>
      </w:pPr>
      <w:bookmarkStart w:id="183" w:name="_Toc197923884"/>
      <w:bookmarkStart w:id="184" w:name="_Toc197185979"/>
      <w:bookmarkStart w:id="185" w:name="_Toc197186203"/>
      <w:bookmarkStart w:id="186" w:name="_Toc197225811"/>
      <w:bookmarkStart w:id="187" w:name="_Toc197185718"/>
      <w:bookmarkStart w:id="188" w:name="_Toc197186901"/>
      <w:r>
        <w:rPr>
          <w:b/>
          <w:kern w:val="24"/>
        </w:rPr>
        <w:t>土地利用程度分级表</w:t>
      </w:r>
      <w:bookmarkEnd w:id="183"/>
      <w:bookmarkEnd w:id="184"/>
      <w:bookmarkEnd w:id="185"/>
      <w:bookmarkEnd w:id="186"/>
      <w:bookmarkEnd w:id="187"/>
      <w:bookmarkEnd w:id="188"/>
    </w:p>
    <w:p w14:paraId="7090304F" w14:textId="77777777" w:rsidR="009C353B" w:rsidRDefault="00000000">
      <w:pPr>
        <w:pStyle w:val="affffd"/>
        <w:spacing w:line="440" w:lineRule="exact"/>
        <w:rPr>
          <w:rFonts w:ascii="Times New Roman" w:hAnsi="Times New Roman"/>
        </w:rPr>
      </w:pPr>
      <w:bookmarkStart w:id="189" w:name="_Toc279866308"/>
      <w:r>
        <w:rPr>
          <w:rFonts w:ascii="Times New Roman" w:hAnsi="Times New Roman"/>
        </w:rPr>
        <w:t>表</w:t>
      </w:r>
      <w:r>
        <w:rPr>
          <w:rFonts w:ascii="Times New Roman" w:hAnsi="Times New Roman"/>
        </w:rPr>
        <w:t>4.</w:t>
      </w:r>
      <w:r>
        <w:rPr>
          <w:rFonts w:ascii="Times New Roman" w:hAnsi="Times New Roman" w:hint="eastAsia"/>
        </w:rPr>
        <w:t>5</w:t>
      </w:r>
      <w:r>
        <w:rPr>
          <w:rFonts w:ascii="Times New Roman" w:hAnsi="Times New Roman"/>
        </w:rPr>
        <w:t>-</w:t>
      </w:r>
      <w:r>
        <w:rPr>
          <w:rFonts w:ascii="Times New Roman" w:hAnsi="Times New Roman" w:hint="eastAsia"/>
        </w:rPr>
        <w:t>1</w:t>
      </w:r>
      <w:bookmarkEnd w:id="18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1773"/>
        <w:gridCol w:w="2007"/>
        <w:gridCol w:w="1806"/>
        <w:gridCol w:w="2062"/>
      </w:tblGrid>
      <w:tr w:rsidR="009C353B" w14:paraId="02840EB0" w14:textId="77777777">
        <w:trPr>
          <w:trHeight w:val="599"/>
          <w:jc w:val="center"/>
        </w:trPr>
        <w:tc>
          <w:tcPr>
            <w:tcW w:w="882" w:type="pct"/>
            <w:vAlign w:val="center"/>
          </w:tcPr>
          <w:p w14:paraId="669A4374" w14:textId="77777777" w:rsidR="009C353B" w:rsidRDefault="00000000">
            <w:pPr>
              <w:jc w:val="center"/>
              <w:rPr>
                <w:rFonts w:hint="eastAsia"/>
                <w:sz w:val="21"/>
                <w:szCs w:val="21"/>
              </w:rPr>
            </w:pPr>
            <w:r>
              <w:rPr>
                <w:rFonts w:hint="eastAsia"/>
                <w:sz w:val="21"/>
                <w:szCs w:val="21"/>
              </w:rPr>
              <w:t>类型</w:t>
            </w:r>
          </w:p>
        </w:tc>
        <w:tc>
          <w:tcPr>
            <w:tcW w:w="954" w:type="pct"/>
            <w:vAlign w:val="center"/>
          </w:tcPr>
          <w:p w14:paraId="471AA39D" w14:textId="77777777" w:rsidR="009C353B" w:rsidRDefault="00000000">
            <w:pPr>
              <w:jc w:val="center"/>
              <w:rPr>
                <w:rFonts w:hint="eastAsia"/>
                <w:sz w:val="21"/>
                <w:szCs w:val="21"/>
              </w:rPr>
            </w:pPr>
            <w:r>
              <w:rPr>
                <w:rFonts w:hint="eastAsia"/>
                <w:sz w:val="21"/>
                <w:szCs w:val="21"/>
              </w:rPr>
              <w:t>未利用土地级</w:t>
            </w:r>
          </w:p>
        </w:tc>
        <w:tc>
          <w:tcPr>
            <w:tcW w:w="1080" w:type="pct"/>
            <w:vAlign w:val="center"/>
          </w:tcPr>
          <w:p w14:paraId="64039C25" w14:textId="77777777" w:rsidR="009C353B" w:rsidRDefault="00000000">
            <w:pPr>
              <w:jc w:val="center"/>
              <w:rPr>
                <w:rFonts w:hint="eastAsia"/>
                <w:sz w:val="21"/>
                <w:szCs w:val="21"/>
              </w:rPr>
            </w:pPr>
            <w:r>
              <w:rPr>
                <w:rFonts w:hint="eastAsia"/>
                <w:sz w:val="21"/>
                <w:szCs w:val="21"/>
              </w:rPr>
              <w:t>林、草、水用地级</w:t>
            </w:r>
          </w:p>
        </w:tc>
        <w:tc>
          <w:tcPr>
            <w:tcW w:w="972" w:type="pct"/>
            <w:vAlign w:val="center"/>
          </w:tcPr>
          <w:p w14:paraId="798A16AC" w14:textId="77777777" w:rsidR="009C353B" w:rsidRDefault="00000000">
            <w:pPr>
              <w:jc w:val="center"/>
              <w:rPr>
                <w:rFonts w:hint="eastAsia"/>
                <w:sz w:val="21"/>
                <w:szCs w:val="21"/>
              </w:rPr>
            </w:pPr>
            <w:r>
              <w:rPr>
                <w:rFonts w:hint="eastAsia"/>
                <w:sz w:val="21"/>
                <w:szCs w:val="21"/>
              </w:rPr>
              <w:t>农业用地级</w:t>
            </w:r>
          </w:p>
        </w:tc>
        <w:tc>
          <w:tcPr>
            <w:tcW w:w="1110" w:type="pct"/>
            <w:vAlign w:val="center"/>
          </w:tcPr>
          <w:p w14:paraId="4194BF84" w14:textId="77777777" w:rsidR="009C353B" w:rsidRDefault="00000000">
            <w:pPr>
              <w:jc w:val="center"/>
              <w:rPr>
                <w:rFonts w:hint="eastAsia"/>
                <w:sz w:val="21"/>
                <w:szCs w:val="21"/>
              </w:rPr>
            </w:pPr>
            <w:r>
              <w:rPr>
                <w:rFonts w:hint="eastAsia"/>
                <w:sz w:val="21"/>
                <w:szCs w:val="21"/>
              </w:rPr>
              <w:t>城镇聚落用地级</w:t>
            </w:r>
          </w:p>
        </w:tc>
      </w:tr>
      <w:tr w:rsidR="009C353B" w14:paraId="5B4AB2B5" w14:textId="77777777">
        <w:trPr>
          <w:trHeight w:val="485"/>
          <w:jc w:val="center"/>
        </w:trPr>
        <w:tc>
          <w:tcPr>
            <w:tcW w:w="882" w:type="pct"/>
            <w:vAlign w:val="center"/>
          </w:tcPr>
          <w:p w14:paraId="1F342059" w14:textId="77777777" w:rsidR="009C353B" w:rsidRDefault="00000000">
            <w:pPr>
              <w:jc w:val="center"/>
              <w:rPr>
                <w:rFonts w:hint="eastAsia"/>
                <w:sz w:val="21"/>
                <w:szCs w:val="21"/>
              </w:rPr>
            </w:pPr>
            <w:r>
              <w:rPr>
                <w:rFonts w:hint="eastAsia"/>
                <w:sz w:val="21"/>
                <w:szCs w:val="21"/>
              </w:rPr>
              <w:t>土地利用类型</w:t>
            </w:r>
          </w:p>
        </w:tc>
        <w:tc>
          <w:tcPr>
            <w:tcW w:w="954" w:type="pct"/>
            <w:vAlign w:val="center"/>
          </w:tcPr>
          <w:p w14:paraId="2DC9C8D5" w14:textId="77777777" w:rsidR="009C353B" w:rsidRDefault="00000000">
            <w:pPr>
              <w:jc w:val="center"/>
              <w:rPr>
                <w:rFonts w:hint="eastAsia"/>
                <w:sz w:val="21"/>
                <w:szCs w:val="21"/>
              </w:rPr>
            </w:pPr>
            <w:r>
              <w:rPr>
                <w:rFonts w:hint="eastAsia"/>
                <w:sz w:val="21"/>
                <w:szCs w:val="21"/>
              </w:rPr>
              <w:t>未利用土地或难利用地</w:t>
            </w:r>
          </w:p>
        </w:tc>
        <w:tc>
          <w:tcPr>
            <w:tcW w:w="1080" w:type="pct"/>
            <w:vAlign w:val="center"/>
          </w:tcPr>
          <w:p w14:paraId="312A5D56" w14:textId="77777777" w:rsidR="009C353B" w:rsidRDefault="00000000">
            <w:pPr>
              <w:jc w:val="center"/>
              <w:rPr>
                <w:rFonts w:hint="eastAsia"/>
                <w:sz w:val="21"/>
                <w:szCs w:val="21"/>
              </w:rPr>
            </w:pPr>
            <w:r>
              <w:rPr>
                <w:rFonts w:hint="eastAsia"/>
                <w:sz w:val="21"/>
                <w:szCs w:val="21"/>
              </w:rPr>
              <w:t>林地、草地、水域</w:t>
            </w:r>
          </w:p>
        </w:tc>
        <w:tc>
          <w:tcPr>
            <w:tcW w:w="972" w:type="pct"/>
            <w:vAlign w:val="center"/>
          </w:tcPr>
          <w:p w14:paraId="414B6A6F" w14:textId="77777777" w:rsidR="009C353B" w:rsidRDefault="00000000">
            <w:pPr>
              <w:jc w:val="center"/>
              <w:rPr>
                <w:rFonts w:hint="eastAsia"/>
                <w:sz w:val="21"/>
                <w:szCs w:val="21"/>
              </w:rPr>
            </w:pPr>
            <w:r>
              <w:rPr>
                <w:rFonts w:hint="eastAsia"/>
                <w:sz w:val="21"/>
                <w:szCs w:val="21"/>
              </w:rPr>
              <w:t>耕地、园地、人工草地</w:t>
            </w:r>
          </w:p>
        </w:tc>
        <w:tc>
          <w:tcPr>
            <w:tcW w:w="1110" w:type="pct"/>
            <w:vAlign w:val="center"/>
          </w:tcPr>
          <w:p w14:paraId="053EF507" w14:textId="77777777" w:rsidR="009C353B" w:rsidRDefault="00000000">
            <w:pPr>
              <w:jc w:val="center"/>
              <w:rPr>
                <w:rFonts w:hint="eastAsia"/>
                <w:sz w:val="21"/>
                <w:szCs w:val="21"/>
              </w:rPr>
            </w:pPr>
            <w:r>
              <w:rPr>
                <w:rFonts w:hint="eastAsia"/>
                <w:sz w:val="21"/>
                <w:szCs w:val="21"/>
              </w:rPr>
              <w:t>城镇、居民点、工矿用地、交通用地</w:t>
            </w:r>
          </w:p>
        </w:tc>
      </w:tr>
      <w:tr w:rsidR="009C353B" w14:paraId="4211943C" w14:textId="77777777">
        <w:trPr>
          <w:trHeight w:val="466"/>
          <w:jc w:val="center"/>
        </w:trPr>
        <w:tc>
          <w:tcPr>
            <w:tcW w:w="882" w:type="pct"/>
            <w:vAlign w:val="center"/>
          </w:tcPr>
          <w:p w14:paraId="5BB6A730" w14:textId="77777777" w:rsidR="009C353B" w:rsidRDefault="00000000">
            <w:pPr>
              <w:jc w:val="center"/>
              <w:rPr>
                <w:rFonts w:hint="eastAsia"/>
                <w:sz w:val="21"/>
                <w:szCs w:val="21"/>
              </w:rPr>
            </w:pPr>
            <w:r>
              <w:rPr>
                <w:rFonts w:hint="eastAsia"/>
                <w:sz w:val="21"/>
                <w:szCs w:val="21"/>
              </w:rPr>
              <w:t>分级指数</w:t>
            </w:r>
          </w:p>
        </w:tc>
        <w:tc>
          <w:tcPr>
            <w:tcW w:w="954" w:type="pct"/>
            <w:vAlign w:val="center"/>
          </w:tcPr>
          <w:p w14:paraId="0938C9B0" w14:textId="77777777" w:rsidR="009C353B" w:rsidRDefault="00000000">
            <w:pPr>
              <w:jc w:val="center"/>
              <w:rPr>
                <w:rFonts w:ascii="Times New Roman" w:hAnsi="Times New Roman"/>
                <w:sz w:val="21"/>
                <w:szCs w:val="21"/>
              </w:rPr>
            </w:pPr>
            <w:r>
              <w:rPr>
                <w:rFonts w:ascii="Times New Roman" w:hAnsi="Times New Roman"/>
                <w:sz w:val="21"/>
                <w:szCs w:val="21"/>
              </w:rPr>
              <w:t>1</w:t>
            </w:r>
          </w:p>
        </w:tc>
        <w:tc>
          <w:tcPr>
            <w:tcW w:w="1080" w:type="pct"/>
            <w:vAlign w:val="center"/>
          </w:tcPr>
          <w:p w14:paraId="629E11F8" w14:textId="77777777" w:rsidR="009C353B" w:rsidRDefault="00000000">
            <w:pPr>
              <w:jc w:val="center"/>
              <w:rPr>
                <w:rFonts w:ascii="Times New Roman" w:hAnsi="Times New Roman"/>
                <w:sz w:val="21"/>
                <w:szCs w:val="21"/>
              </w:rPr>
            </w:pPr>
            <w:r>
              <w:rPr>
                <w:rFonts w:ascii="Times New Roman" w:hAnsi="Times New Roman"/>
                <w:sz w:val="21"/>
                <w:szCs w:val="21"/>
              </w:rPr>
              <w:t>2</w:t>
            </w:r>
          </w:p>
        </w:tc>
        <w:tc>
          <w:tcPr>
            <w:tcW w:w="972" w:type="pct"/>
            <w:vAlign w:val="center"/>
          </w:tcPr>
          <w:p w14:paraId="6524374D" w14:textId="77777777" w:rsidR="009C353B" w:rsidRDefault="00000000">
            <w:pPr>
              <w:jc w:val="center"/>
              <w:rPr>
                <w:rFonts w:ascii="Times New Roman" w:hAnsi="Times New Roman"/>
                <w:sz w:val="21"/>
                <w:szCs w:val="21"/>
              </w:rPr>
            </w:pPr>
            <w:r>
              <w:rPr>
                <w:rFonts w:ascii="Times New Roman" w:hAnsi="Times New Roman"/>
                <w:sz w:val="21"/>
                <w:szCs w:val="21"/>
              </w:rPr>
              <w:t>3</w:t>
            </w:r>
          </w:p>
        </w:tc>
        <w:tc>
          <w:tcPr>
            <w:tcW w:w="1110" w:type="pct"/>
            <w:vAlign w:val="center"/>
          </w:tcPr>
          <w:p w14:paraId="396A6781" w14:textId="77777777" w:rsidR="009C353B" w:rsidRDefault="00000000">
            <w:pPr>
              <w:jc w:val="center"/>
              <w:rPr>
                <w:rFonts w:ascii="Times New Roman" w:hAnsi="Times New Roman"/>
                <w:sz w:val="21"/>
                <w:szCs w:val="21"/>
              </w:rPr>
            </w:pPr>
            <w:r>
              <w:rPr>
                <w:rFonts w:ascii="Times New Roman" w:hAnsi="Times New Roman"/>
                <w:sz w:val="21"/>
                <w:szCs w:val="21"/>
              </w:rPr>
              <w:t>4</w:t>
            </w:r>
          </w:p>
        </w:tc>
      </w:tr>
    </w:tbl>
    <w:p w14:paraId="37708981"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利用赋予的分级指数，可以得到土地利用程度的定量化表达式</w:t>
      </w:r>
      <w:r>
        <w:rPr>
          <w:rFonts w:ascii="Times New Roman" w:hAnsi="Times New Roman"/>
          <w:szCs w:val="24"/>
        </w:rPr>
        <w:t>:</w:t>
      </w:r>
    </w:p>
    <w:p w14:paraId="7357ED2E" w14:textId="77777777" w:rsidR="009C353B" w:rsidRDefault="00000000">
      <w:pPr>
        <w:adjustRightInd w:val="0"/>
        <w:snapToGrid w:val="0"/>
        <w:ind w:firstLineChars="500" w:firstLine="1200"/>
        <w:rPr>
          <w:rFonts w:ascii="Times New Roman" w:hAnsi="Times New Roman"/>
          <w:szCs w:val="24"/>
        </w:rPr>
      </w:pPr>
      <w:r>
        <w:rPr>
          <w:rFonts w:ascii="Times New Roman" w:hAnsi="Times New Roman"/>
          <w:szCs w:val="24"/>
        </w:rPr>
        <w:object w:dxaOrig="1514" w:dyaOrig="751" w14:anchorId="4457BA21">
          <v:shape id="_x0000_i1123" type="#_x0000_t75" style="width:75.8pt;height:37.65pt" o:ole="">
            <v:imagedata r:id="rId343" o:title=""/>
          </v:shape>
          <o:OLEObject Type="Embed" ProgID="Equation.3" ShapeID="_x0000_i1123" DrawAspect="Content" ObjectID="_1826209222" r:id="rId344"/>
        </w:object>
      </w:r>
    </w:p>
    <w:p w14:paraId="0F32FD51"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式中，</w:t>
      </w:r>
      <w:r>
        <w:rPr>
          <w:rFonts w:ascii="Times New Roman" w:hAnsi="Times New Roman"/>
          <w:szCs w:val="24"/>
        </w:rPr>
        <w:t>LD——</w:t>
      </w:r>
      <w:r>
        <w:rPr>
          <w:rFonts w:ascii="Times New Roman" w:hAnsi="Times New Roman"/>
          <w:szCs w:val="24"/>
        </w:rPr>
        <w:t>是土地利用程度综合指数；</w:t>
      </w:r>
    </w:p>
    <w:p w14:paraId="322CCCCA" w14:textId="77777777" w:rsidR="009C353B" w:rsidRDefault="00000000">
      <w:pPr>
        <w:adjustRightInd w:val="0"/>
        <w:snapToGrid w:val="0"/>
        <w:spacing w:line="440" w:lineRule="exact"/>
        <w:ind w:firstLineChars="500" w:firstLine="1200"/>
        <w:rPr>
          <w:rFonts w:ascii="Times New Roman" w:hAnsi="Times New Roman"/>
          <w:szCs w:val="24"/>
        </w:rPr>
      </w:pPr>
      <w:r>
        <w:rPr>
          <w:rFonts w:ascii="Times New Roman" w:hAnsi="Times New Roman"/>
          <w:szCs w:val="24"/>
        </w:rPr>
        <w:t>Ai——</w:t>
      </w:r>
      <w:r>
        <w:rPr>
          <w:rFonts w:ascii="Times New Roman" w:hAnsi="Times New Roman"/>
          <w:szCs w:val="24"/>
        </w:rPr>
        <w:t>为第</w:t>
      </w:r>
      <w:r>
        <w:rPr>
          <w:rFonts w:ascii="Times New Roman" w:hAnsi="Times New Roman"/>
          <w:szCs w:val="24"/>
        </w:rPr>
        <w:t>i</w:t>
      </w:r>
      <w:r>
        <w:rPr>
          <w:rFonts w:ascii="Times New Roman" w:hAnsi="Times New Roman"/>
          <w:szCs w:val="24"/>
        </w:rPr>
        <w:t>类土地利用程度分级指数；</w:t>
      </w:r>
    </w:p>
    <w:p w14:paraId="7BB93C58" w14:textId="77777777" w:rsidR="009C353B" w:rsidRDefault="00000000">
      <w:pPr>
        <w:adjustRightInd w:val="0"/>
        <w:snapToGrid w:val="0"/>
        <w:spacing w:line="440" w:lineRule="exact"/>
        <w:ind w:firstLineChars="500" w:firstLine="1200"/>
        <w:rPr>
          <w:rFonts w:ascii="Times New Roman" w:hAnsi="Times New Roman"/>
          <w:szCs w:val="24"/>
        </w:rPr>
      </w:pPr>
      <w:r>
        <w:rPr>
          <w:rFonts w:ascii="Times New Roman" w:hAnsi="Times New Roman"/>
          <w:szCs w:val="24"/>
        </w:rPr>
        <w:t>Ci——</w:t>
      </w:r>
      <w:r>
        <w:rPr>
          <w:rFonts w:ascii="Times New Roman" w:hAnsi="Times New Roman"/>
          <w:szCs w:val="24"/>
        </w:rPr>
        <w:t>为第</w:t>
      </w:r>
      <w:r>
        <w:rPr>
          <w:rFonts w:ascii="Times New Roman" w:hAnsi="Times New Roman"/>
          <w:szCs w:val="24"/>
        </w:rPr>
        <w:t>i</w:t>
      </w:r>
      <w:r>
        <w:rPr>
          <w:rFonts w:ascii="Times New Roman" w:hAnsi="Times New Roman"/>
          <w:szCs w:val="24"/>
        </w:rPr>
        <w:t>类土地面积占整个区域的面积比例。</w:t>
      </w:r>
    </w:p>
    <w:p w14:paraId="0C4CE971" w14:textId="77777777" w:rsidR="009C353B" w:rsidRDefault="00000000">
      <w:pPr>
        <w:adjustRightInd w:val="0"/>
        <w:snapToGrid w:val="0"/>
        <w:spacing w:line="440" w:lineRule="exact"/>
        <w:ind w:firstLine="482"/>
        <w:rPr>
          <w:rFonts w:hint="eastAsia"/>
          <w:b/>
          <w:szCs w:val="24"/>
        </w:rPr>
      </w:pPr>
      <w:r>
        <w:rPr>
          <w:rFonts w:hint="eastAsia"/>
          <w:b/>
          <w:szCs w:val="24"/>
        </w:rPr>
        <w:t>（2）数据源</w:t>
      </w:r>
    </w:p>
    <w:p w14:paraId="7DA4560F" w14:textId="77777777" w:rsidR="009C353B" w:rsidRDefault="00000000">
      <w:pPr>
        <w:adjustRightInd w:val="0"/>
        <w:snapToGrid w:val="0"/>
        <w:spacing w:line="440" w:lineRule="exact"/>
        <w:ind w:firstLineChars="200" w:firstLine="480"/>
        <w:rPr>
          <w:rFonts w:hint="eastAsia"/>
          <w:szCs w:val="24"/>
        </w:rPr>
      </w:pPr>
      <w:r>
        <w:rPr>
          <w:rFonts w:ascii="Times New Roman" w:hAnsi="Times New Roman"/>
          <w:szCs w:val="24"/>
        </w:rPr>
        <w:t>选用</w:t>
      </w:r>
      <w:r>
        <w:rPr>
          <w:rFonts w:ascii="Times New Roman" w:hAnsi="Times New Roman" w:hint="eastAsia"/>
          <w:szCs w:val="24"/>
        </w:rPr>
        <w:t>三期</w:t>
      </w:r>
      <w:r>
        <w:rPr>
          <w:rFonts w:ascii="Times New Roman" w:hAnsi="Times New Roman"/>
          <w:szCs w:val="24"/>
        </w:rPr>
        <w:t>遥感影像，分别为：</w:t>
      </w:r>
      <w:r>
        <w:rPr>
          <w:rFonts w:ascii="Times New Roman" w:hAnsi="Times New Roman" w:hint="eastAsia"/>
          <w:szCs w:val="24"/>
        </w:rPr>
        <w:t>2004</w:t>
      </w:r>
      <w:r>
        <w:rPr>
          <w:rFonts w:ascii="Times New Roman" w:hAnsi="Times New Roman"/>
          <w:szCs w:val="24"/>
        </w:rPr>
        <w:t>年</w:t>
      </w:r>
      <w:r>
        <w:rPr>
          <w:rFonts w:ascii="Times New Roman" w:hAnsi="Times New Roman" w:hint="eastAsia"/>
          <w:szCs w:val="24"/>
        </w:rPr>
        <w:t>8</w:t>
      </w:r>
      <w:r>
        <w:rPr>
          <w:rFonts w:ascii="Times New Roman" w:hAnsi="Times New Roman"/>
          <w:szCs w:val="24"/>
        </w:rPr>
        <w:t>月</w:t>
      </w:r>
      <w:r>
        <w:rPr>
          <w:rFonts w:ascii="Times New Roman" w:hAnsi="Times New Roman" w:hint="eastAsia"/>
          <w:szCs w:val="24"/>
        </w:rPr>
        <w:t>17</w:t>
      </w:r>
      <w:r>
        <w:rPr>
          <w:rFonts w:ascii="Times New Roman" w:hAnsi="Times New Roman"/>
          <w:szCs w:val="24"/>
        </w:rPr>
        <w:t>日</w:t>
      </w:r>
      <w:r>
        <w:rPr>
          <w:rFonts w:ascii="Times New Roman" w:hAnsi="Times New Roman"/>
          <w:szCs w:val="24"/>
        </w:rPr>
        <w:t>Landsat TM</w:t>
      </w:r>
      <w:r>
        <w:rPr>
          <w:rFonts w:ascii="Times New Roman" w:hAnsi="Times New Roman"/>
          <w:szCs w:val="24"/>
        </w:rPr>
        <w:t>影像，空间分辨率为</w:t>
      </w:r>
      <w:r>
        <w:rPr>
          <w:rFonts w:ascii="Times New Roman" w:hAnsi="Times New Roman"/>
          <w:szCs w:val="24"/>
        </w:rPr>
        <w:t>25m</w:t>
      </w:r>
      <w:r>
        <w:rPr>
          <w:rFonts w:ascii="Times New Roman" w:hAnsi="Times New Roman" w:hint="eastAsia"/>
          <w:szCs w:val="24"/>
        </w:rPr>
        <w:t>；</w:t>
      </w:r>
      <w:r>
        <w:rPr>
          <w:rFonts w:ascii="Times New Roman" w:hAnsi="Times New Roman" w:hint="eastAsia"/>
          <w:szCs w:val="24"/>
        </w:rPr>
        <w:t>2010</w:t>
      </w:r>
      <w:r>
        <w:rPr>
          <w:rFonts w:ascii="Times New Roman" w:hAnsi="Times New Roman"/>
          <w:szCs w:val="24"/>
        </w:rPr>
        <w:t>年</w:t>
      </w:r>
      <w:r>
        <w:rPr>
          <w:rFonts w:ascii="Times New Roman" w:hAnsi="Times New Roman"/>
          <w:szCs w:val="24"/>
        </w:rPr>
        <w:t>8</w:t>
      </w:r>
      <w:r>
        <w:rPr>
          <w:rFonts w:ascii="Times New Roman" w:hAnsi="Times New Roman"/>
          <w:szCs w:val="24"/>
        </w:rPr>
        <w:t>月</w:t>
      </w:r>
      <w:r>
        <w:rPr>
          <w:rFonts w:ascii="Times New Roman" w:hAnsi="Times New Roman" w:hint="eastAsia"/>
          <w:szCs w:val="24"/>
        </w:rPr>
        <w:t>04</w:t>
      </w:r>
      <w:r>
        <w:rPr>
          <w:rFonts w:ascii="Times New Roman" w:hAnsi="Times New Roman"/>
          <w:szCs w:val="24"/>
        </w:rPr>
        <w:t>日</w:t>
      </w:r>
      <w:r>
        <w:rPr>
          <w:rFonts w:ascii="Times New Roman" w:hAnsi="Times New Roman"/>
          <w:szCs w:val="24"/>
        </w:rPr>
        <w:t>Landsat TM</w:t>
      </w:r>
      <w:r>
        <w:rPr>
          <w:rFonts w:ascii="Times New Roman" w:hAnsi="Times New Roman"/>
          <w:szCs w:val="24"/>
        </w:rPr>
        <w:t>影像，空间分辨率为</w:t>
      </w:r>
      <w:r>
        <w:rPr>
          <w:rFonts w:ascii="Times New Roman" w:hAnsi="Times New Roman"/>
          <w:szCs w:val="24"/>
        </w:rPr>
        <w:t>25m</w:t>
      </w:r>
      <w:r>
        <w:rPr>
          <w:rFonts w:ascii="Times New Roman" w:hAnsi="Times New Roman" w:hint="eastAsia"/>
          <w:szCs w:val="24"/>
        </w:rPr>
        <w:t>；</w:t>
      </w:r>
      <w:r>
        <w:rPr>
          <w:rFonts w:ascii="Times New Roman" w:hAnsi="Times New Roman"/>
          <w:szCs w:val="24"/>
        </w:rPr>
        <w:t>201</w:t>
      </w:r>
      <w:r>
        <w:rPr>
          <w:rFonts w:ascii="Times New Roman" w:hAnsi="Times New Roman" w:hint="eastAsia"/>
          <w:szCs w:val="24"/>
        </w:rPr>
        <w:t>9</w:t>
      </w:r>
      <w:r>
        <w:rPr>
          <w:rFonts w:ascii="Times New Roman" w:hAnsi="Times New Roman"/>
          <w:szCs w:val="24"/>
        </w:rPr>
        <w:t>年</w:t>
      </w:r>
      <w:r>
        <w:rPr>
          <w:rFonts w:ascii="Times New Roman" w:hAnsi="Times New Roman"/>
          <w:szCs w:val="24"/>
        </w:rPr>
        <w:t>7</w:t>
      </w:r>
      <w:r>
        <w:rPr>
          <w:rFonts w:ascii="Times New Roman" w:hAnsi="Times New Roman"/>
          <w:szCs w:val="24"/>
        </w:rPr>
        <w:t>月</w:t>
      </w:r>
      <w:r>
        <w:rPr>
          <w:rFonts w:ascii="Times New Roman" w:hAnsi="Times New Roman"/>
          <w:szCs w:val="24"/>
        </w:rPr>
        <w:t>26</w:t>
      </w:r>
      <w:r>
        <w:rPr>
          <w:rFonts w:ascii="Times New Roman" w:hAnsi="Times New Roman"/>
          <w:szCs w:val="24"/>
        </w:rPr>
        <w:t>日</w:t>
      </w:r>
      <w:r>
        <w:rPr>
          <w:rFonts w:ascii="Times New Roman" w:hAnsi="Times New Roman" w:hint="eastAsia"/>
          <w:szCs w:val="24"/>
        </w:rPr>
        <w:t>资源三号</w:t>
      </w:r>
      <w:r>
        <w:rPr>
          <w:rFonts w:ascii="Times New Roman" w:hAnsi="Times New Roman" w:hint="eastAsia"/>
          <w:szCs w:val="24"/>
        </w:rPr>
        <w:t>02</w:t>
      </w:r>
      <w:r>
        <w:rPr>
          <w:rFonts w:ascii="Times New Roman" w:hAnsi="Times New Roman" w:hint="eastAsia"/>
          <w:szCs w:val="24"/>
        </w:rPr>
        <w:t>星</w:t>
      </w:r>
      <w:r>
        <w:rPr>
          <w:rFonts w:ascii="Times New Roman" w:hAnsi="Times New Roman"/>
          <w:szCs w:val="24"/>
        </w:rPr>
        <w:t>获取的遥感影像，全色波段空间分辨率</w:t>
      </w:r>
      <w:r>
        <w:rPr>
          <w:rFonts w:ascii="Times New Roman" w:hAnsi="Times New Roman" w:hint="eastAsia"/>
          <w:szCs w:val="24"/>
        </w:rPr>
        <w:t>2.</w:t>
      </w:r>
      <w:r>
        <w:rPr>
          <w:rFonts w:ascii="Times New Roman" w:hAnsi="Times New Roman"/>
          <w:szCs w:val="24"/>
        </w:rPr>
        <w:t>1m</w:t>
      </w:r>
      <w:r>
        <w:rPr>
          <w:rFonts w:ascii="Times New Roman" w:hAnsi="Times New Roman"/>
          <w:szCs w:val="24"/>
        </w:rPr>
        <w:t>，多光谱波段空间分辨率</w:t>
      </w:r>
      <w:r>
        <w:rPr>
          <w:rFonts w:ascii="Times New Roman" w:hAnsi="Times New Roman"/>
          <w:szCs w:val="24"/>
        </w:rPr>
        <w:t>5.8m</w:t>
      </w:r>
      <w:r>
        <w:rPr>
          <w:rFonts w:ascii="Times New Roman" w:hAnsi="Times New Roman"/>
          <w:szCs w:val="24"/>
        </w:rPr>
        <w:t>。</w:t>
      </w:r>
      <w:r>
        <w:rPr>
          <w:szCs w:val="24"/>
        </w:rPr>
        <w:t xml:space="preserve"> </w:t>
      </w:r>
    </w:p>
    <w:p w14:paraId="24867EA1" w14:textId="77777777" w:rsidR="009C353B" w:rsidRDefault="00000000">
      <w:pPr>
        <w:adjustRightInd w:val="0"/>
        <w:snapToGrid w:val="0"/>
        <w:spacing w:line="440" w:lineRule="exact"/>
        <w:ind w:firstLine="482"/>
        <w:rPr>
          <w:rFonts w:ascii="Times New Roman" w:hAnsi="Times New Roman"/>
          <w:b/>
          <w:szCs w:val="24"/>
        </w:rPr>
      </w:pPr>
      <w:r>
        <w:rPr>
          <w:rFonts w:ascii="Times New Roman" w:hAnsi="Times New Roman"/>
          <w:b/>
          <w:szCs w:val="24"/>
        </w:rPr>
        <w:t>（</w:t>
      </w:r>
      <w:r>
        <w:rPr>
          <w:rFonts w:ascii="Times New Roman" w:hAnsi="Times New Roman"/>
          <w:b/>
          <w:szCs w:val="24"/>
        </w:rPr>
        <w:t>3</w:t>
      </w:r>
      <w:r>
        <w:rPr>
          <w:rFonts w:ascii="Times New Roman" w:hAnsi="Times New Roman"/>
          <w:b/>
          <w:szCs w:val="24"/>
        </w:rPr>
        <w:t>）</w:t>
      </w:r>
      <w:r>
        <w:rPr>
          <w:rFonts w:ascii="Times New Roman" w:hAnsi="Times New Roman"/>
          <w:b/>
          <w:szCs w:val="24"/>
        </w:rPr>
        <w:t>LUCC</w:t>
      </w:r>
      <w:r>
        <w:rPr>
          <w:rFonts w:ascii="Times New Roman" w:hAnsi="Times New Roman"/>
          <w:b/>
          <w:szCs w:val="24"/>
        </w:rPr>
        <w:t>结果变化分析</w:t>
      </w:r>
    </w:p>
    <w:p w14:paraId="56B49FA8"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1</w:t>
      </w:r>
      <w:r>
        <w:rPr>
          <w:rFonts w:ascii="Times New Roman" w:hAnsi="Times New Roman"/>
          <w:szCs w:val="24"/>
        </w:rPr>
        <w:t>）</w:t>
      </w:r>
      <w:r>
        <w:rPr>
          <w:rFonts w:ascii="Times New Roman" w:hAnsi="Times New Roman"/>
          <w:szCs w:val="24"/>
        </w:rPr>
        <w:t>LUCC</w:t>
      </w:r>
      <w:r>
        <w:rPr>
          <w:rFonts w:ascii="Times New Roman" w:hAnsi="Times New Roman"/>
          <w:szCs w:val="24"/>
        </w:rPr>
        <w:t>动态变化度分析</w:t>
      </w:r>
    </w:p>
    <w:p w14:paraId="6A5DE09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200</w:t>
      </w:r>
      <w:r>
        <w:rPr>
          <w:rFonts w:ascii="Times New Roman" w:hAnsi="Times New Roman" w:hint="eastAsia"/>
          <w:szCs w:val="24"/>
        </w:rPr>
        <w:t>4</w:t>
      </w:r>
      <w:r>
        <w:rPr>
          <w:rFonts w:ascii="Times New Roman" w:hAnsi="Times New Roman"/>
          <w:szCs w:val="24"/>
        </w:rPr>
        <w:t>年、</w:t>
      </w:r>
      <w:r>
        <w:rPr>
          <w:rFonts w:ascii="Times New Roman" w:hAnsi="Times New Roman"/>
          <w:szCs w:val="24"/>
        </w:rPr>
        <w:t>2010</w:t>
      </w:r>
      <w:r>
        <w:rPr>
          <w:rFonts w:ascii="Times New Roman" w:hAnsi="Times New Roman"/>
          <w:szCs w:val="24"/>
        </w:rPr>
        <w:t>年和</w:t>
      </w:r>
      <w:r>
        <w:rPr>
          <w:rFonts w:ascii="Times New Roman" w:hAnsi="Times New Roman"/>
          <w:szCs w:val="24"/>
        </w:rPr>
        <w:t>201</w:t>
      </w:r>
      <w:r>
        <w:rPr>
          <w:rFonts w:ascii="Times New Roman" w:hAnsi="Times New Roman" w:hint="eastAsia"/>
          <w:szCs w:val="24"/>
        </w:rPr>
        <w:t>9</w:t>
      </w:r>
      <w:r>
        <w:rPr>
          <w:rFonts w:ascii="Times New Roman" w:hAnsi="Times New Roman"/>
          <w:szCs w:val="24"/>
        </w:rPr>
        <w:t>年土地利用类型图见图</w:t>
      </w:r>
      <w:r>
        <w:rPr>
          <w:rFonts w:ascii="Times New Roman" w:hAnsi="Times New Roman" w:hint="eastAsia"/>
          <w:szCs w:val="24"/>
        </w:rPr>
        <w:t>4.5</w:t>
      </w:r>
      <w:r>
        <w:rPr>
          <w:rFonts w:ascii="Times New Roman" w:hAnsi="Times New Roman"/>
          <w:szCs w:val="24"/>
        </w:rPr>
        <w:t>-1</w:t>
      </w:r>
      <w:r>
        <w:rPr>
          <w:rFonts w:ascii="Times New Roman" w:hAnsi="Times New Roman"/>
          <w:szCs w:val="24"/>
        </w:rPr>
        <w:t>所示，</w:t>
      </w:r>
      <w:r>
        <w:rPr>
          <w:rFonts w:ascii="Times New Roman" w:hAnsi="Times New Roman"/>
          <w:szCs w:val="24"/>
        </w:rPr>
        <w:t>200</w:t>
      </w:r>
      <w:r>
        <w:rPr>
          <w:rFonts w:ascii="Times New Roman" w:hAnsi="Times New Roman" w:hint="eastAsia"/>
          <w:szCs w:val="24"/>
        </w:rPr>
        <w:t>4</w:t>
      </w:r>
      <w:r>
        <w:rPr>
          <w:rFonts w:ascii="Times New Roman" w:hAnsi="Times New Roman"/>
          <w:szCs w:val="24"/>
        </w:rPr>
        <w:t>-2010</w:t>
      </w:r>
      <w:r>
        <w:rPr>
          <w:rFonts w:ascii="Times New Roman" w:hAnsi="Times New Roman"/>
          <w:szCs w:val="24"/>
        </w:rPr>
        <w:t>年间</w:t>
      </w:r>
      <w:r>
        <w:rPr>
          <w:rFonts w:ascii="Times New Roman" w:hAnsi="Times New Roman" w:hint="eastAsia"/>
          <w:szCs w:val="24"/>
        </w:rPr>
        <w:t>、</w:t>
      </w:r>
      <w:r>
        <w:rPr>
          <w:rFonts w:ascii="Times New Roman" w:hAnsi="Times New Roman"/>
          <w:szCs w:val="24"/>
        </w:rPr>
        <w:t>2010-201</w:t>
      </w:r>
      <w:r>
        <w:rPr>
          <w:rFonts w:ascii="Times New Roman" w:hAnsi="Times New Roman" w:hint="eastAsia"/>
          <w:szCs w:val="24"/>
        </w:rPr>
        <w:t>9</w:t>
      </w:r>
      <w:r>
        <w:rPr>
          <w:rFonts w:ascii="Times New Roman" w:hAnsi="Times New Roman"/>
          <w:szCs w:val="24"/>
        </w:rPr>
        <w:t>年间</w:t>
      </w:r>
      <w:r>
        <w:rPr>
          <w:rFonts w:ascii="Times New Roman" w:hAnsi="Times New Roman" w:hint="eastAsia"/>
          <w:szCs w:val="24"/>
        </w:rPr>
        <w:t>和</w:t>
      </w:r>
      <w:r>
        <w:rPr>
          <w:rFonts w:ascii="Times New Roman" w:hAnsi="Times New Roman" w:hint="eastAsia"/>
          <w:szCs w:val="24"/>
        </w:rPr>
        <w:t>2004-2019</w:t>
      </w:r>
      <w:r>
        <w:rPr>
          <w:rFonts w:ascii="Times New Roman" w:hAnsi="Times New Roman" w:hint="eastAsia"/>
          <w:szCs w:val="24"/>
        </w:rPr>
        <w:t>年间</w:t>
      </w:r>
      <w:r>
        <w:rPr>
          <w:rFonts w:ascii="Times New Roman" w:hAnsi="Times New Roman"/>
          <w:szCs w:val="24"/>
        </w:rPr>
        <w:t>评价区的</w:t>
      </w:r>
      <w:r>
        <w:rPr>
          <w:rFonts w:ascii="Times New Roman" w:hAnsi="Times New Roman"/>
          <w:szCs w:val="24"/>
        </w:rPr>
        <w:t>LUCC</w:t>
      </w:r>
      <w:r>
        <w:rPr>
          <w:rFonts w:ascii="Times New Roman" w:hAnsi="Times New Roman"/>
          <w:szCs w:val="24"/>
        </w:rPr>
        <w:t>动态变化度计算结果见表</w:t>
      </w:r>
      <w:r>
        <w:rPr>
          <w:rFonts w:ascii="Times New Roman" w:hAnsi="Times New Roman"/>
          <w:szCs w:val="24"/>
        </w:rPr>
        <w:t>4.</w:t>
      </w:r>
      <w:r>
        <w:rPr>
          <w:rFonts w:ascii="Times New Roman" w:hAnsi="Times New Roman" w:hint="eastAsia"/>
          <w:szCs w:val="24"/>
        </w:rPr>
        <w:t>5</w:t>
      </w:r>
      <w:r>
        <w:rPr>
          <w:rFonts w:ascii="Times New Roman" w:hAnsi="Times New Roman"/>
          <w:szCs w:val="24"/>
        </w:rPr>
        <w:t>-2</w:t>
      </w:r>
      <w:r>
        <w:rPr>
          <w:rFonts w:ascii="Times New Roman" w:hAnsi="Times New Roman" w:hint="eastAsia"/>
          <w:szCs w:val="24"/>
        </w:rPr>
        <w:t>，矿区的</w:t>
      </w:r>
      <w:r>
        <w:rPr>
          <w:rFonts w:ascii="Times New Roman" w:hAnsi="Times New Roman" w:hint="eastAsia"/>
          <w:szCs w:val="24"/>
        </w:rPr>
        <w:t>LUCC</w:t>
      </w:r>
      <w:r>
        <w:rPr>
          <w:rFonts w:ascii="Times New Roman" w:hAnsi="Times New Roman" w:hint="eastAsia"/>
          <w:szCs w:val="24"/>
        </w:rPr>
        <w:t>动态变化度计算结果见表</w:t>
      </w:r>
      <w:r>
        <w:rPr>
          <w:rFonts w:ascii="Times New Roman" w:hAnsi="Times New Roman" w:hint="eastAsia"/>
          <w:szCs w:val="24"/>
        </w:rPr>
        <w:t>4.5-3</w:t>
      </w:r>
      <w:r>
        <w:rPr>
          <w:rFonts w:ascii="Times New Roman" w:hAnsi="Times New Roman"/>
          <w:szCs w:val="24"/>
        </w:rPr>
        <w:t>。</w:t>
      </w:r>
    </w:p>
    <w:p w14:paraId="2E7D3A80" w14:textId="77777777" w:rsidR="009C353B" w:rsidRDefault="00000000">
      <w:pPr>
        <w:spacing w:line="440" w:lineRule="exact"/>
        <w:jc w:val="center"/>
        <w:rPr>
          <w:rFonts w:ascii="Times New Roman" w:hAnsi="Times New Roman"/>
          <w:b/>
          <w:kern w:val="24"/>
          <w:szCs w:val="24"/>
        </w:rPr>
      </w:pPr>
      <w:bookmarkStart w:id="190" w:name="_Toc279866309"/>
      <w:r>
        <w:rPr>
          <w:rFonts w:ascii="Times New Roman" w:hAnsi="Times New Roman"/>
          <w:b/>
          <w:kern w:val="24"/>
          <w:szCs w:val="24"/>
        </w:rPr>
        <w:t>评价区</w:t>
      </w:r>
      <w:r>
        <w:rPr>
          <w:rFonts w:ascii="Times New Roman" w:hAnsi="Times New Roman"/>
          <w:b/>
          <w:kern w:val="24"/>
          <w:szCs w:val="24"/>
        </w:rPr>
        <w:t>200</w:t>
      </w:r>
      <w:r>
        <w:rPr>
          <w:rFonts w:ascii="Times New Roman" w:hAnsi="Times New Roman" w:hint="eastAsia"/>
          <w:b/>
          <w:kern w:val="24"/>
          <w:szCs w:val="24"/>
        </w:rPr>
        <w:t>4</w:t>
      </w:r>
      <w:r>
        <w:rPr>
          <w:rFonts w:ascii="Times New Roman" w:hAnsi="Times New Roman"/>
          <w:b/>
          <w:kern w:val="24"/>
          <w:szCs w:val="24"/>
        </w:rPr>
        <w:t>-201</w:t>
      </w:r>
      <w:r>
        <w:rPr>
          <w:rFonts w:ascii="Times New Roman" w:hAnsi="Times New Roman" w:hint="eastAsia"/>
          <w:b/>
          <w:kern w:val="24"/>
          <w:szCs w:val="24"/>
        </w:rPr>
        <w:t>9</w:t>
      </w:r>
      <w:r>
        <w:rPr>
          <w:rFonts w:ascii="Times New Roman" w:hAnsi="Times New Roman"/>
          <w:b/>
          <w:kern w:val="24"/>
          <w:szCs w:val="24"/>
        </w:rPr>
        <w:t>年</w:t>
      </w:r>
      <w:r>
        <w:rPr>
          <w:rFonts w:ascii="Times New Roman" w:hAnsi="Times New Roman"/>
          <w:b/>
          <w:kern w:val="24"/>
          <w:szCs w:val="24"/>
        </w:rPr>
        <w:t>LUCC</w:t>
      </w:r>
      <w:r>
        <w:rPr>
          <w:rFonts w:ascii="Times New Roman" w:hAnsi="Times New Roman"/>
          <w:b/>
          <w:kern w:val="24"/>
          <w:szCs w:val="24"/>
        </w:rPr>
        <w:t>动态变化度（</w:t>
      </w:r>
      <w:r>
        <w:rPr>
          <w:rFonts w:ascii="Times New Roman" w:hAnsi="Times New Roman"/>
          <w:b/>
          <w:kern w:val="24"/>
          <w:szCs w:val="24"/>
        </w:rPr>
        <w:t>%</w:t>
      </w:r>
      <w:r>
        <w:rPr>
          <w:rFonts w:ascii="Times New Roman" w:hAnsi="Times New Roman"/>
          <w:b/>
          <w:kern w:val="24"/>
          <w:szCs w:val="24"/>
        </w:rPr>
        <w:t>）</w:t>
      </w:r>
    </w:p>
    <w:p w14:paraId="153A04D6" w14:textId="77777777" w:rsidR="009C353B" w:rsidRDefault="00000000">
      <w:pPr>
        <w:pStyle w:val="affffd"/>
        <w:spacing w:line="440" w:lineRule="exact"/>
        <w:rPr>
          <w:rFonts w:ascii="Times New Roman" w:hAnsi="Times New Roman"/>
        </w:rPr>
      </w:pPr>
      <w:r>
        <w:rPr>
          <w:rFonts w:ascii="Times New Roman" w:hAnsi="Times New Roman" w:hint="eastAsia"/>
        </w:rPr>
        <w:t>表</w:t>
      </w:r>
      <w:r>
        <w:rPr>
          <w:rFonts w:ascii="Times New Roman" w:hAnsi="Times New Roman"/>
        </w:rPr>
        <w:t>4.</w:t>
      </w:r>
      <w:r>
        <w:rPr>
          <w:rFonts w:ascii="Times New Roman" w:hAnsi="Times New Roman" w:hint="eastAsia"/>
        </w:rPr>
        <w:t>5-2</w:t>
      </w:r>
      <w:bookmarkEnd w:id="190"/>
    </w:p>
    <w:tbl>
      <w:tblPr>
        <w:tblW w:w="5000" w:type="pct"/>
        <w:jc w:val="center"/>
        <w:tblLook w:val="04A0" w:firstRow="1" w:lastRow="0" w:firstColumn="1" w:lastColumn="0" w:noHBand="0" w:noVBand="1"/>
      </w:tblPr>
      <w:tblGrid>
        <w:gridCol w:w="1484"/>
        <w:gridCol w:w="1092"/>
        <w:gridCol w:w="1092"/>
        <w:gridCol w:w="1092"/>
        <w:gridCol w:w="1410"/>
        <w:gridCol w:w="1488"/>
        <w:gridCol w:w="1629"/>
      </w:tblGrid>
      <w:tr w:rsidR="009C353B" w14:paraId="75A31471" w14:textId="77777777">
        <w:trPr>
          <w:trHeight w:val="766"/>
          <w:tblHeader/>
          <w:jc w:val="center"/>
        </w:trPr>
        <w:tc>
          <w:tcPr>
            <w:tcW w:w="799" w:type="pct"/>
            <w:tcBorders>
              <w:top w:val="single" w:sz="4" w:space="0" w:color="auto"/>
              <w:left w:val="single" w:sz="4" w:space="0" w:color="auto"/>
              <w:bottom w:val="single" w:sz="4" w:space="0" w:color="auto"/>
              <w:right w:val="single" w:sz="4" w:space="0" w:color="auto"/>
              <w:tl2br w:val="single" w:sz="4" w:space="0" w:color="auto"/>
            </w:tcBorders>
            <w:vAlign w:val="center"/>
          </w:tcPr>
          <w:p w14:paraId="6DD85264" w14:textId="77777777" w:rsidR="009C353B" w:rsidRDefault="00000000">
            <w:pPr>
              <w:pStyle w:val="affffd"/>
              <w:spacing w:line="440" w:lineRule="exact"/>
              <w:ind w:firstLineChars="400" w:firstLine="840"/>
              <w:jc w:val="center"/>
              <w:rPr>
                <w:rFonts w:ascii="Times New Roman" w:hAnsi="Times New Roman"/>
                <w:sz w:val="21"/>
                <w:szCs w:val="21"/>
              </w:rPr>
            </w:pPr>
            <w:r>
              <w:rPr>
                <w:rFonts w:ascii="Times New Roman" w:hAnsi="Times New Roman"/>
                <w:sz w:val="21"/>
                <w:szCs w:val="21"/>
              </w:rPr>
              <w:t>时间</w:t>
            </w:r>
          </w:p>
          <w:p w14:paraId="1EDDBF91" w14:textId="77777777" w:rsidR="009C353B" w:rsidRDefault="00000000">
            <w:pPr>
              <w:pStyle w:val="affffd"/>
              <w:spacing w:line="440" w:lineRule="exact"/>
              <w:rPr>
                <w:rFonts w:ascii="Times New Roman" w:hAnsi="Times New Roman"/>
                <w:sz w:val="21"/>
                <w:szCs w:val="21"/>
              </w:rPr>
            </w:pPr>
            <w:r>
              <w:rPr>
                <w:rFonts w:ascii="Times New Roman" w:hAnsi="Times New Roman"/>
                <w:sz w:val="21"/>
                <w:szCs w:val="21"/>
              </w:rPr>
              <w:t>地类</w:t>
            </w:r>
          </w:p>
        </w:tc>
        <w:tc>
          <w:tcPr>
            <w:tcW w:w="588" w:type="pct"/>
            <w:tcBorders>
              <w:top w:val="single" w:sz="4" w:space="0" w:color="auto"/>
              <w:left w:val="single" w:sz="4" w:space="0" w:color="auto"/>
              <w:bottom w:val="single" w:sz="4" w:space="0" w:color="auto"/>
              <w:right w:val="single" w:sz="4" w:space="0" w:color="auto"/>
            </w:tcBorders>
            <w:vAlign w:val="center"/>
          </w:tcPr>
          <w:p w14:paraId="3C0ACD41"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2004</w:t>
            </w:r>
            <w:r>
              <w:rPr>
                <w:rFonts w:ascii="Times New Roman" w:hAnsi="Times New Roman"/>
                <w:sz w:val="21"/>
                <w:szCs w:val="21"/>
              </w:rPr>
              <w:t>年</w:t>
            </w:r>
          </w:p>
          <w:p w14:paraId="05711D92"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面积</w:t>
            </w:r>
          </w:p>
          <w:p w14:paraId="5F880D2E"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sz w:val="21"/>
                <w:szCs w:val="21"/>
              </w:rPr>
              <w:t>）</w:t>
            </w:r>
          </w:p>
        </w:tc>
        <w:tc>
          <w:tcPr>
            <w:tcW w:w="588" w:type="pct"/>
            <w:tcBorders>
              <w:top w:val="single" w:sz="4" w:space="0" w:color="auto"/>
              <w:left w:val="single" w:sz="4" w:space="0" w:color="auto"/>
              <w:bottom w:val="single" w:sz="4" w:space="0" w:color="auto"/>
              <w:right w:val="single" w:sz="4" w:space="0" w:color="auto"/>
            </w:tcBorders>
            <w:vAlign w:val="center"/>
          </w:tcPr>
          <w:p w14:paraId="016E7ED2"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2010</w:t>
            </w:r>
            <w:r>
              <w:rPr>
                <w:rFonts w:ascii="Times New Roman" w:hAnsi="Times New Roman"/>
                <w:sz w:val="21"/>
                <w:szCs w:val="21"/>
              </w:rPr>
              <w:t>年面积</w:t>
            </w:r>
          </w:p>
          <w:p w14:paraId="0704015B"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sz w:val="21"/>
                <w:szCs w:val="21"/>
              </w:rPr>
              <w:t>）</w:t>
            </w:r>
          </w:p>
        </w:tc>
        <w:tc>
          <w:tcPr>
            <w:tcW w:w="588" w:type="pct"/>
            <w:tcBorders>
              <w:top w:val="single" w:sz="4" w:space="0" w:color="auto"/>
              <w:left w:val="single" w:sz="4" w:space="0" w:color="auto"/>
              <w:bottom w:val="single" w:sz="4" w:space="0" w:color="auto"/>
              <w:right w:val="single" w:sz="4" w:space="0" w:color="auto"/>
            </w:tcBorders>
            <w:vAlign w:val="center"/>
          </w:tcPr>
          <w:p w14:paraId="3FB4A2FA"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2019</w:t>
            </w:r>
            <w:r>
              <w:rPr>
                <w:rFonts w:ascii="Times New Roman" w:hAnsi="Times New Roman"/>
                <w:sz w:val="21"/>
                <w:szCs w:val="21"/>
              </w:rPr>
              <w:t>年面积</w:t>
            </w:r>
          </w:p>
          <w:p w14:paraId="0FDD2887"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sz w:val="21"/>
                <w:szCs w:val="21"/>
              </w:rPr>
              <w:t>）</w:t>
            </w:r>
          </w:p>
        </w:tc>
        <w:tc>
          <w:tcPr>
            <w:tcW w:w="759" w:type="pct"/>
            <w:tcBorders>
              <w:top w:val="single" w:sz="4" w:space="0" w:color="auto"/>
              <w:left w:val="single" w:sz="4" w:space="0" w:color="auto"/>
              <w:bottom w:val="single" w:sz="4" w:space="0" w:color="auto"/>
              <w:right w:val="single" w:sz="4" w:space="0" w:color="auto"/>
            </w:tcBorders>
            <w:vAlign w:val="center"/>
          </w:tcPr>
          <w:p w14:paraId="32687ACA"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2004-2010</w:t>
            </w:r>
            <w:r>
              <w:rPr>
                <w:rFonts w:ascii="Times New Roman" w:hAnsi="Times New Roman"/>
                <w:sz w:val="21"/>
                <w:szCs w:val="21"/>
              </w:rPr>
              <w:t>年</w:t>
            </w:r>
          </w:p>
          <w:p w14:paraId="6D3B769D"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动态变化度</w:t>
            </w:r>
          </w:p>
        </w:tc>
        <w:tc>
          <w:tcPr>
            <w:tcW w:w="801" w:type="pct"/>
            <w:tcBorders>
              <w:top w:val="single" w:sz="4" w:space="0" w:color="auto"/>
              <w:left w:val="single" w:sz="4" w:space="0" w:color="auto"/>
              <w:bottom w:val="single" w:sz="4" w:space="0" w:color="auto"/>
              <w:right w:val="single" w:sz="4" w:space="0" w:color="auto"/>
            </w:tcBorders>
            <w:vAlign w:val="center"/>
          </w:tcPr>
          <w:p w14:paraId="1D426012"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2010-2019</w:t>
            </w:r>
            <w:r>
              <w:rPr>
                <w:rFonts w:ascii="Times New Roman" w:hAnsi="Times New Roman"/>
                <w:sz w:val="21"/>
                <w:szCs w:val="21"/>
              </w:rPr>
              <w:t>年</w:t>
            </w:r>
          </w:p>
          <w:p w14:paraId="166C4FE8"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动态变化度</w:t>
            </w:r>
          </w:p>
        </w:tc>
        <w:tc>
          <w:tcPr>
            <w:tcW w:w="877" w:type="pct"/>
            <w:tcBorders>
              <w:top w:val="single" w:sz="4" w:space="0" w:color="auto"/>
              <w:left w:val="single" w:sz="4" w:space="0" w:color="auto"/>
              <w:bottom w:val="single" w:sz="4" w:space="0" w:color="auto"/>
              <w:right w:val="single" w:sz="4" w:space="0" w:color="auto"/>
            </w:tcBorders>
            <w:vAlign w:val="center"/>
          </w:tcPr>
          <w:p w14:paraId="5442480E"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2004-2019</w:t>
            </w:r>
            <w:r>
              <w:rPr>
                <w:rFonts w:ascii="Times New Roman" w:hAnsi="Times New Roman"/>
                <w:sz w:val="21"/>
                <w:szCs w:val="21"/>
              </w:rPr>
              <w:t>年</w:t>
            </w:r>
          </w:p>
          <w:p w14:paraId="0DD31396"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动态变化度</w:t>
            </w:r>
          </w:p>
        </w:tc>
      </w:tr>
      <w:tr w:rsidR="009C353B" w14:paraId="260EABF7"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0C5420AD"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乔木林地</w:t>
            </w:r>
          </w:p>
        </w:tc>
        <w:tc>
          <w:tcPr>
            <w:tcW w:w="588" w:type="pct"/>
            <w:tcBorders>
              <w:top w:val="single" w:sz="4" w:space="0" w:color="auto"/>
              <w:left w:val="single" w:sz="4" w:space="0" w:color="auto"/>
              <w:bottom w:val="single" w:sz="4" w:space="0" w:color="auto"/>
              <w:right w:val="single" w:sz="4" w:space="0" w:color="auto"/>
            </w:tcBorders>
            <w:vAlign w:val="center"/>
          </w:tcPr>
          <w:p w14:paraId="12763670"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2.45</w:t>
            </w:r>
          </w:p>
        </w:tc>
        <w:tc>
          <w:tcPr>
            <w:tcW w:w="588" w:type="pct"/>
            <w:tcBorders>
              <w:top w:val="single" w:sz="4" w:space="0" w:color="auto"/>
              <w:left w:val="single" w:sz="4" w:space="0" w:color="auto"/>
              <w:bottom w:val="single" w:sz="4" w:space="0" w:color="auto"/>
              <w:right w:val="single" w:sz="4" w:space="0" w:color="auto"/>
            </w:tcBorders>
            <w:vAlign w:val="center"/>
          </w:tcPr>
          <w:p w14:paraId="5C1312E5"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9.47</w:t>
            </w:r>
          </w:p>
        </w:tc>
        <w:tc>
          <w:tcPr>
            <w:tcW w:w="588" w:type="pct"/>
            <w:tcBorders>
              <w:top w:val="single" w:sz="4" w:space="0" w:color="auto"/>
              <w:left w:val="single" w:sz="4" w:space="0" w:color="auto"/>
              <w:bottom w:val="single" w:sz="4" w:space="0" w:color="auto"/>
              <w:right w:val="single" w:sz="4" w:space="0" w:color="auto"/>
            </w:tcBorders>
            <w:vAlign w:val="center"/>
          </w:tcPr>
          <w:p w14:paraId="62C8BB79"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hint="eastAsia"/>
                <w:sz w:val="21"/>
                <w:szCs w:val="21"/>
              </w:rPr>
              <w:t xml:space="preserve">30.13 </w:t>
            </w:r>
          </w:p>
        </w:tc>
        <w:tc>
          <w:tcPr>
            <w:tcW w:w="759" w:type="pct"/>
            <w:tcBorders>
              <w:top w:val="single" w:sz="4" w:space="0" w:color="auto"/>
              <w:left w:val="single" w:sz="4" w:space="0" w:color="auto"/>
              <w:bottom w:val="single" w:sz="4" w:space="0" w:color="auto"/>
              <w:right w:val="single" w:sz="4" w:space="0" w:color="auto"/>
            </w:tcBorders>
            <w:vAlign w:val="center"/>
          </w:tcPr>
          <w:p w14:paraId="49CCFA75"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47.68</w:t>
            </w:r>
          </w:p>
        </w:tc>
        <w:tc>
          <w:tcPr>
            <w:tcW w:w="801" w:type="pct"/>
            <w:tcBorders>
              <w:top w:val="single" w:sz="4" w:space="0" w:color="auto"/>
              <w:left w:val="single" w:sz="4" w:space="0" w:color="auto"/>
              <w:bottom w:val="single" w:sz="4" w:space="0" w:color="auto"/>
              <w:right w:val="single" w:sz="4" w:space="0" w:color="auto"/>
            </w:tcBorders>
            <w:vAlign w:val="center"/>
          </w:tcPr>
          <w:p w14:paraId="57B12AC0"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24.25 </w:t>
            </w:r>
          </w:p>
        </w:tc>
        <w:tc>
          <w:tcPr>
            <w:tcW w:w="877" w:type="pct"/>
            <w:tcBorders>
              <w:top w:val="single" w:sz="4" w:space="0" w:color="auto"/>
              <w:left w:val="single" w:sz="4" w:space="0" w:color="auto"/>
              <w:bottom w:val="single" w:sz="4" w:space="0" w:color="auto"/>
              <w:right w:val="single" w:sz="4" w:space="0" w:color="auto"/>
            </w:tcBorders>
            <w:vAlign w:val="center"/>
          </w:tcPr>
          <w:p w14:paraId="42C1F632"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188.14 </w:t>
            </w:r>
          </w:p>
        </w:tc>
      </w:tr>
      <w:tr w:rsidR="009C353B" w14:paraId="6B97AA03"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1BE7E75E"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灌木林地</w:t>
            </w:r>
          </w:p>
        </w:tc>
        <w:tc>
          <w:tcPr>
            <w:tcW w:w="588" w:type="pct"/>
            <w:tcBorders>
              <w:top w:val="single" w:sz="4" w:space="0" w:color="auto"/>
              <w:left w:val="single" w:sz="4" w:space="0" w:color="auto"/>
              <w:bottom w:val="single" w:sz="4" w:space="0" w:color="auto"/>
              <w:right w:val="single" w:sz="4" w:space="0" w:color="auto"/>
            </w:tcBorders>
            <w:vAlign w:val="center"/>
          </w:tcPr>
          <w:p w14:paraId="2AA3C350"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7.51</w:t>
            </w:r>
          </w:p>
        </w:tc>
        <w:tc>
          <w:tcPr>
            <w:tcW w:w="588" w:type="pct"/>
            <w:tcBorders>
              <w:top w:val="single" w:sz="4" w:space="0" w:color="auto"/>
              <w:left w:val="single" w:sz="4" w:space="0" w:color="auto"/>
              <w:bottom w:val="single" w:sz="4" w:space="0" w:color="auto"/>
              <w:right w:val="single" w:sz="4" w:space="0" w:color="auto"/>
            </w:tcBorders>
            <w:vAlign w:val="center"/>
          </w:tcPr>
          <w:p w14:paraId="67889672"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6.80</w:t>
            </w:r>
          </w:p>
        </w:tc>
        <w:tc>
          <w:tcPr>
            <w:tcW w:w="588" w:type="pct"/>
            <w:tcBorders>
              <w:top w:val="single" w:sz="4" w:space="0" w:color="auto"/>
              <w:left w:val="single" w:sz="4" w:space="0" w:color="auto"/>
              <w:bottom w:val="single" w:sz="4" w:space="0" w:color="auto"/>
              <w:right w:val="single" w:sz="4" w:space="0" w:color="auto"/>
            </w:tcBorders>
            <w:vAlign w:val="center"/>
          </w:tcPr>
          <w:p w14:paraId="7E009111"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80.78 </w:t>
            </w:r>
          </w:p>
        </w:tc>
        <w:tc>
          <w:tcPr>
            <w:tcW w:w="759" w:type="pct"/>
            <w:tcBorders>
              <w:top w:val="single" w:sz="4" w:space="0" w:color="auto"/>
              <w:left w:val="single" w:sz="4" w:space="0" w:color="auto"/>
              <w:bottom w:val="single" w:sz="4" w:space="0" w:color="auto"/>
              <w:right w:val="single" w:sz="4" w:space="0" w:color="auto"/>
            </w:tcBorders>
            <w:vAlign w:val="center"/>
          </w:tcPr>
          <w:p w14:paraId="76CA2A77"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-1.58</w:t>
            </w:r>
          </w:p>
        </w:tc>
        <w:tc>
          <w:tcPr>
            <w:tcW w:w="801" w:type="pct"/>
            <w:tcBorders>
              <w:top w:val="single" w:sz="4" w:space="0" w:color="auto"/>
              <w:left w:val="single" w:sz="4" w:space="0" w:color="auto"/>
              <w:bottom w:val="single" w:sz="4" w:space="0" w:color="auto"/>
              <w:right w:val="single" w:sz="4" w:space="0" w:color="auto"/>
            </w:tcBorders>
            <w:vAlign w:val="center"/>
          </w:tcPr>
          <w:p w14:paraId="44CC09A5"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120.97 </w:t>
            </w:r>
          </w:p>
        </w:tc>
        <w:tc>
          <w:tcPr>
            <w:tcW w:w="877" w:type="pct"/>
            <w:tcBorders>
              <w:top w:val="single" w:sz="4" w:space="0" w:color="auto"/>
              <w:left w:val="single" w:sz="4" w:space="0" w:color="auto"/>
              <w:bottom w:val="single" w:sz="4" w:space="0" w:color="auto"/>
              <w:right w:val="single" w:sz="4" w:space="0" w:color="auto"/>
            </w:tcBorders>
            <w:vAlign w:val="center"/>
          </w:tcPr>
          <w:p w14:paraId="629AE6DD"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162.65 </w:t>
            </w:r>
          </w:p>
        </w:tc>
      </w:tr>
      <w:tr w:rsidR="009C353B" w14:paraId="0387D7DE"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34622D5A"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天然牧草地</w:t>
            </w:r>
          </w:p>
        </w:tc>
        <w:tc>
          <w:tcPr>
            <w:tcW w:w="588" w:type="pct"/>
            <w:tcBorders>
              <w:top w:val="single" w:sz="4" w:space="0" w:color="auto"/>
              <w:left w:val="single" w:sz="4" w:space="0" w:color="auto"/>
              <w:bottom w:val="single" w:sz="4" w:space="0" w:color="auto"/>
              <w:right w:val="single" w:sz="4" w:space="0" w:color="auto"/>
            </w:tcBorders>
            <w:vAlign w:val="center"/>
          </w:tcPr>
          <w:p w14:paraId="35729DB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251.21</w:t>
            </w:r>
          </w:p>
        </w:tc>
        <w:tc>
          <w:tcPr>
            <w:tcW w:w="588" w:type="pct"/>
            <w:tcBorders>
              <w:top w:val="single" w:sz="4" w:space="0" w:color="auto"/>
              <w:left w:val="single" w:sz="4" w:space="0" w:color="auto"/>
              <w:bottom w:val="single" w:sz="4" w:space="0" w:color="auto"/>
              <w:right w:val="single" w:sz="4" w:space="0" w:color="auto"/>
            </w:tcBorders>
            <w:vAlign w:val="center"/>
          </w:tcPr>
          <w:p w14:paraId="0918CB39"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227.76</w:t>
            </w:r>
          </w:p>
        </w:tc>
        <w:tc>
          <w:tcPr>
            <w:tcW w:w="588" w:type="pct"/>
            <w:tcBorders>
              <w:top w:val="single" w:sz="4" w:space="0" w:color="auto"/>
              <w:left w:val="single" w:sz="4" w:space="0" w:color="auto"/>
              <w:bottom w:val="single" w:sz="4" w:space="0" w:color="auto"/>
              <w:right w:val="single" w:sz="4" w:space="0" w:color="auto"/>
            </w:tcBorders>
            <w:vAlign w:val="center"/>
          </w:tcPr>
          <w:p w14:paraId="17391277"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hint="eastAsia"/>
                <w:sz w:val="21"/>
                <w:szCs w:val="21"/>
              </w:rPr>
              <w:t xml:space="preserve">135.38 </w:t>
            </w:r>
          </w:p>
        </w:tc>
        <w:tc>
          <w:tcPr>
            <w:tcW w:w="759" w:type="pct"/>
            <w:tcBorders>
              <w:top w:val="single" w:sz="4" w:space="0" w:color="auto"/>
              <w:left w:val="single" w:sz="4" w:space="0" w:color="auto"/>
              <w:bottom w:val="single" w:sz="4" w:space="0" w:color="auto"/>
              <w:right w:val="single" w:sz="4" w:space="0" w:color="auto"/>
            </w:tcBorders>
            <w:vAlign w:val="center"/>
          </w:tcPr>
          <w:p w14:paraId="0386210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-1.56</w:t>
            </w:r>
          </w:p>
        </w:tc>
        <w:tc>
          <w:tcPr>
            <w:tcW w:w="801" w:type="pct"/>
            <w:tcBorders>
              <w:top w:val="single" w:sz="4" w:space="0" w:color="auto"/>
              <w:left w:val="single" w:sz="4" w:space="0" w:color="auto"/>
              <w:bottom w:val="single" w:sz="4" w:space="0" w:color="auto"/>
              <w:right w:val="single" w:sz="4" w:space="0" w:color="auto"/>
            </w:tcBorders>
            <w:vAlign w:val="center"/>
          </w:tcPr>
          <w:p w14:paraId="4BAD82B9"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-4.51 </w:t>
            </w:r>
          </w:p>
        </w:tc>
        <w:tc>
          <w:tcPr>
            <w:tcW w:w="877" w:type="pct"/>
            <w:tcBorders>
              <w:top w:val="single" w:sz="4" w:space="0" w:color="auto"/>
              <w:left w:val="single" w:sz="4" w:space="0" w:color="auto"/>
              <w:bottom w:val="single" w:sz="4" w:space="0" w:color="auto"/>
              <w:right w:val="single" w:sz="4" w:space="0" w:color="auto"/>
            </w:tcBorders>
            <w:vAlign w:val="center"/>
          </w:tcPr>
          <w:p w14:paraId="5A7CDF1A"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-7.68 </w:t>
            </w:r>
          </w:p>
        </w:tc>
      </w:tr>
      <w:tr w:rsidR="009C353B" w14:paraId="7D3D121B"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0D7116F3"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工矿用地</w:t>
            </w:r>
          </w:p>
        </w:tc>
        <w:tc>
          <w:tcPr>
            <w:tcW w:w="588" w:type="pct"/>
            <w:tcBorders>
              <w:top w:val="single" w:sz="4" w:space="0" w:color="auto"/>
              <w:left w:val="single" w:sz="4" w:space="0" w:color="auto"/>
              <w:bottom w:val="single" w:sz="4" w:space="0" w:color="auto"/>
              <w:right w:val="single" w:sz="4" w:space="0" w:color="auto"/>
            </w:tcBorders>
            <w:vAlign w:val="center"/>
          </w:tcPr>
          <w:p w14:paraId="468A1DB3"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0.66</w:t>
            </w:r>
          </w:p>
        </w:tc>
        <w:tc>
          <w:tcPr>
            <w:tcW w:w="588" w:type="pct"/>
            <w:tcBorders>
              <w:top w:val="single" w:sz="4" w:space="0" w:color="auto"/>
              <w:left w:val="single" w:sz="4" w:space="0" w:color="auto"/>
              <w:bottom w:val="single" w:sz="4" w:space="0" w:color="auto"/>
              <w:right w:val="single" w:sz="4" w:space="0" w:color="auto"/>
            </w:tcBorders>
            <w:vAlign w:val="center"/>
          </w:tcPr>
          <w:p w14:paraId="3BA2496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23.95</w:t>
            </w:r>
          </w:p>
        </w:tc>
        <w:tc>
          <w:tcPr>
            <w:tcW w:w="588" w:type="pct"/>
            <w:tcBorders>
              <w:top w:val="single" w:sz="4" w:space="0" w:color="auto"/>
              <w:left w:val="single" w:sz="4" w:space="0" w:color="auto"/>
              <w:bottom w:val="single" w:sz="4" w:space="0" w:color="auto"/>
              <w:right w:val="single" w:sz="4" w:space="0" w:color="auto"/>
            </w:tcBorders>
            <w:vAlign w:val="center"/>
          </w:tcPr>
          <w:p w14:paraId="5BE79591"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31.78 </w:t>
            </w:r>
          </w:p>
        </w:tc>
        <w:tc>
          <w:tcPr>
            <w:tcW w:w="759" w:type="pct"/>
            <w:tcBorders>
              <w:top w:val="single" w:sz="4" w:space="0" w:color="auto"/>
              <w:left w:val="single" w:sz="4" w:space="0" w:color="auto"/>
              <w:bottom w:val="single" w:sz="4" w:space="0" w:color="auto"/>
              <w:right w:val="single" w:sz="4" w:space="0" w:color="auto"/>
            </w:tcBorders>
            <w:vAlign w:val="center"/>
          </w:tcPr>
          <w:p w14:paraId="5E61B3A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1649.54</w:t>
            </w:r>
          </w:p>
        </w:tc>
        <w:tc>
          <w:tcPr>
            <w:tcW w:w="801" w:type="pct"/>
            <w:tcBorders>
              <w:top w:val="single" w:sz="4" w:space="0" w:color="auto"/>
              <w:left w:val="single" w:sz="4" w:space="0" w:color="auto"/>
              <w:bottom w:val="single" w:sz="4" w:space="0" w:color="auto"/>
              <w:right w:val="single" w:sz="4" w:space="0" w:color="auto"/>
            </w:tcBorders>
            <w:vAlign w:val="center"/>
          </w:tcPr>
          <w:p w14:paraId="65357DDB"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4.08 </w:t>
            </w:r>
          </w:p>
        </w:tc>
        <w:tc>
          <w:tcPr>
            <w:tcW w:w="877" w:type="pct"/>
            <w:tcBorders>
              <w:top w:val="single" w:sz="4" w:space="0" w:color="auto"/>
              <w:left w:val="single" w:sz="4" w:space="0" w:color="auto"/>
              <w:bottom w:val="single" w:sz="4" w:space="0" w:color="auto"/>
              <w:right w:val="single" w:sz="4" w:space="0" w:color="auto"/>
            </w:tcBorders>
            <w:vAlign w:val="center"/>
          </w:tcPr>
          <w:p w14:paraId="502A2E3F"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2246.92 </w:t>
            </w:r>
          </w:p>
        </w:tc>
      </w:tr>
      <w:tr w:rsidR="009C353B" w14:paraId="7B0BCAAC"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2AEC933D"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城镇住宅用地</w:t>
            </w:r>
          </w:p>
        </w:tc>
        <w:tc>
          <w:tcPr>
            <w:tcW w:w="588" w:type="pct"/>
            <w:tcBorders>
              <w:top w:val="single" w:sz="4" w:space="0" w:color="auto"/>
              <w:left w:val="single" w:sz="4" w:space="0" w:color="auto"/>
              <w:bottom w:val="single" w:sz="4" w:space="0" w:color="auto"/>
              <w:right w:val="single" w:sz="4" w:space="0" w:color="auto"/>
            </w:tcBorders>
            <w:vAlign w:val="center"/>
          </w:tcPr>
          <w:p w14:paraId="50D967B2"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0.59</w:t>
            </w:r>
          </w:p>
        </w:tc>
        <w:tc>
          <w:tcPr>
            <w:tcW w:w="588" w:type="pct"/>
            <w:tcBorders>
              <w:top w:val="single" w:sz="4" w:space="0" w:color="auto"/>
              <w:left w:val="single" w:sz="4" w:space="0" w:color="auto"/>
              <w:bottom w:val="single" w:sz="4" w:space="0" w:color="auto"/>
              <w:right w:val="single" w:sz="4" w:space="0" w:color="auto"/>
            </w:tcBorders>
            <w:vAlign w:val="center"/>
          </w:tcPr>
          <w:p w14:paraId="3F6BFE0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1.04</w:t>
            </w:r>
          </w:p>
        </w:tc>
        <w:tc>
          <w:tcPr>
            <w:tcW w:w="588" w:type="pct"/>
            <w:tcBorders>
              <w:top w:val="single" w:sz="4" w:space="0" w:color="auto"/>
              <w:left w:val="single" w:sz="4" w:space="0" w:color="auto"/>
              <w:bottom w:val="single" w:sz="4" w:space="0" w:color="auto"/>
              <w:right w:val="single" w:sz="4" w:space="0" w:color="auto"/>
            </w:tcBorders>
            <w:vAlign w:val="center"/>
          </w:tcPr>
          <w:p w14:paraId="2CFCBDF0"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0.97 </w:t>
            </w:r>
          </w:p>
        </w:tc>
        <w:tc>
          <w:tcPr>
            <w:tcW w:w="759" w:type="pct"/>
            <w:tcBorders>
              <w:top w:val="single" w:sz="4" w:space="0" w:color="auto"/>
              <w:left w:val="single" w:sz="4" w:space="0" w:color="auto"/>
              <w:bottom w:val="single" w:sz="4" w:space="0" w:color="auto"/>
              <w:right w:val="single" w:sz="4" w:space="0" w:color="auto"/>
            </w:tcBorders>
            <w:vAlign w:val="center"/>
          </w:tcPr>
          <w:p w14:paraId="770F7BE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12.92</w:t>
            </w:r>
          </w:p>
        </w:tc>
        <w:tc>
          <w:tcPr>
            <w:tcW w:w="801" w:type="pct"/>
            <w:tcBorders>
              <w:top w:val="single" w:sz="4" w:space="0" w:color="auto"/>
              <w:left w:val="single" w:sz="4" w:space="0" w:color="auto"/>
              <w:bottom w:val="single" w:sz="4" w:space="0" w:color="auto"/>
              <w:right w:val="single" w:sz="4" w:space="0" w:color="auto"/>
            </w:tcBorders>
            <w:vAlign w:val="center"/>
          </w:tcPr>
          <w:p w14:paraId="28110CF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-0.72 </w:t>
            </w:r>
          </w:p>
        </w:tc>
        <w:tc>
          <w:tcPr>
            <w:tcW w:w="877" w:type="pct"/>
            <w:tcBorders>
              <w:top w:val="single" w:sz="4" w:space="0" w:color="auto"/>
              <w:left w:val="single" w:sz="4" w:space="0" w:color="auto"/>
              <w:bottom w:val="single" w:sz="4" w:space="0" w:color="auto"/>
              <w:right w:val="single" w:sz="4" w:space="0" w:color="auto"/>
            </w:tcBorders>
            <w:vAlign w:val="center"/>
          </w:tcPr>
          <w:p w14:paraId="312BDEB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11.00 </w:t>
            </w:r>
          </w:p>
        </w:tc>
      </w:tr>
      <w:tr w:rsidR="009C353B" w14:paraId="36975FEE"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0E6B3188"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铁路用地</w:t>
            </w:r>
          </w:p>
        </w:tc>
        <w:tc>
          <w:tcPr>
            <w:tcW w:w="588" w:type="pct"/>
            <w:tcBorders>
              <w:top w:val="single" w:sz="4" w:space="0" w:color="auto"/>
              <w:left w:val="single" w:sz="4" w:space="0" w:color="auto"/>
              <w:bottom w:val="single" w:sz="4" w:space="0" w:color="auto"/>
              <w:right w:val="single" w:sz="4" w:space="0" w:color="auto"/>
            </w:tcBorders>
            <w:vAlign w:val="center"/>
          </w:tcPr>
          <w:p w14:paraId="4157EA6D"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0.31</w:t>
            </w:r>
          </w:p>
        </w:tc>
        <w:tc>
          <w:tcPr>
            <w:tcW w:w="588" w:type="pct"/>
            <w:tcBorders>
              <w:top w:val="single" w:sz="4" w:space="0" w:color="auto"/>
              <w:left w:val="single" w:sz="4" w:space="0" w:color="auto"/>
              <w:bottom w:val="single" w:sz="4" w:space="0" w:color="auto"/>
              <w:right w:val="single" w:sz="4" w:space="0" w:color="auto"/>
            </w:tcBorders>
            <w:vAlign w:val="center"/>
          </w:tcPr>
          <w:p w14:paraId="64C91E07"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1.41</w:t>
            </w:r>
          </w:p>
        </w:tc>
        <w:tc>
          <w:tcPr>
            <w:tcW w:w="588" w:type="pct"/>
            <w:tcBorders>
              <w:top w:val="single" w:sz="4" w:space="0" w:color="auto"/>
              <w:left w:val="single" w:sz="4" w:space="0" w:color="auto"/>
              <w:bottom w:val="single" w:sz="4" w:space="0" w:color="auto"/>
              <w:right w:val="single" w:sz="4" w:space="0" w:color="auto"/>
            </w:tcBorders>
            <w:vAlign w:val="center"/>
          </w:tcPr>
          <w:p w14:paraId="1291E8D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1.20 </w:t>
            </w:r>
          </w:p>
        </w:tc>
        <w:tc>
          <w:tcPr>
            <w:tcW w:w="759" w:type="pct"/>
            <w:tcBorders>
              <w:top w:val="single" w:sz="4" w:space="0" w:color="auto"/>
              <w:left w:val="single" w:sz="4" w:space="0" w:color="auto"/>
              <w:bottom w:val="single" w:sz="4" w:space="0" w:color="auto"/>
              <w:right w:val="single" w:sz="4" w:space="0" w:color="auto"/>
            </w:tcBorders>
            <w:vAlign w:val="center"/>
          </w:tcPr>
          <w:p w14:paraId="029EEC22"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58.37</w:t>
            </w:r>
          </w:p>
        </w:tc>
        <w:tc>
          <w:tcPr>
            <w:tcW w:w="801" w:type="pct"/>
            <w:tcBorders>
              <w:top w:val="single" w:sz="4" w:space="0" w:color="auto"/>
              <w:left w:val="single" w:sz="4" w:space="0" w:color="auto"/>
              <w:bottom w:val="single" w:sz="4" w:space="0" w:color="auto"/>
              <w:right w:val="single" w:sz="4" w:space="0" w:color="auto"/>
            </w:tcBorders>
            <w:vAlign w:val="center"/>
          </w:tcPr>
          <w:p w14:paraId="25D58E4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-1.66 </w:t>
            </w:r>
          </w:p>
        </w:tc>
        <w:tc>
          <w:tcPr>
            <w:tcW w:w="877" w:type="pct"/>
            <w:tcBorders>
              <w:top w:val="single" w:sz="4" w:space="0" w:color="auto"/>
              <w:left w:val="single" w:sz="4" w:space="0" w:color="auto"/>
              <w:bottom w:val="single" w:sz="4" w:space="0" w:color="auto"/>
              <w:right w:val="single" w:sz="4" w:space="0" w:color="auto"/>
            </w:tcBorders>
            <w:vAlign w:val="center"/>
          </w:tcPr>
          <w:p w14:paraId="0CBFD692"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47.13 </w:t>
            </w:r>
          </w:p>
        </w:tc>
      </w:tr>
      <w:tr w:rsidR="009C353B" w14:paraId="25ADB741"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6847EC79"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公路用地</w:t>
            </w:r>
          </w:p>
        </w:tc>
        <w:tc>
          <w:tcPr>
            <w:tcW w:w="588" w:type="pct"/>
            <w:tcBorders>
              <w:top w:val="single" w:sz="4" w:space="0" w:color="auto"/>
              <w:left w:val="single" w:sz="4" w:space="0" w:color="auto"/>
              <w:bottom w:val="single" w:sz="4" w:space="0" w:color="auto"/>
              <w:right w:val="single" w:sz="4" w:space="0" w:color="auto"/>
            </w:tcBorders>
            <w:vAlign w:val="center"/>
          </w:tcPr>
          <w:p w14:paraId="2A47D4F2"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1.12</w:t>
            </w:r>
          </w:p>
        </w:tc>
        <w:tc>
          <w:tcPr>
            <w:tcW w:w="588" w:type="pct"/>
            <w:tcBorders>
              <w:top w:val="single" w:sz="4" w:space="0" w:color="auto"/>
              <w:left w:val="single" w:sz="4" w:space="0" w:color="auto"/>
              <w:bottom w:val="single" w:sz="4" w:space="0" w:color="auto"/>
              <w:right w:val="single" w:sz="4" w:space="0" w:color="auto"/>
            </w:tcBorders>
            <w:vAlign w:val="center"/>
          </w:tcPr>
          <w:p w14:paraId="20C10C7A"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4.50</w:t>
            </w:r>
          </w:p>
        </w:tc>
        <w:tc>
          <w:tcPr>
            <w:tcW w:w="588" w:type="pct"/>
            <w:tcBorders>
              <w:top w:val="single" w:sz="4" w:space="0" w:color="auto"/>
              <w:left w:val="single" w:sz="4" w:space="0" w:color="auto"/>
              <w:bottom w:val="single" w:sz="4" w:space="0" w:color="auto"/>
              <w:right w:val="single" w:sz="4" w:space="0" w:color="auto"/>
            </w:tcBorders>
            <w:vAlign w:val="center"/>
          </w:tcPr>
          <w:p w14:paraId="29085F8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5.07 </w:t>
            </w:r>
          </w:p>
        </w:tc>
        <w:tc>
          <w:tcPr>
            <w:tcW w:w="759" w:type="pct"/>
            <w:tcBorders>
              <w:top w:val="single" w:sz="4" w:space="0" w:color="auto"/>
              <w:left w:val="single" w:sz="4" w:space="0" w:color="auto"/>
              <w:bottom w:val="single" w:sz="4" w:space="0" w:color="auto"/>
              <w:right w:val="single" w:sz="4" w:space="0" w:color="auto"/>
            </w:tcBorders>
            <w:vAlign w:val="center"/>
          </w:tcPr>
          <w:p w14:paraId="4145117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50.38</w:t>
            </w:r>
          </w:p>
        </w:tc>
        <w:tc>
          <w:tcPr>
            <w:tcW w:w="801" w:type="pct"/>
            <w:tcBorders>
              <w:top w:val="single" w:sz="4" w:space="0" w:color="auto"/>
              <w:left w:val="single" w:sz="4" w:space="0" w:color="auto"/>
              <w:bottom w:val="single" w:sz="4" w:space="0" w:color="auto"/>
              <w:right w:val="single" w:sz="4" w:space="0" w:color="auto"/>
            </w:tcBorders>
            <w:vAlign w:val="center"/>
          </w:tcPr>
          <w:p w14:paraId="11BBB2CA"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1.41 </w:t>
            </w:r>
          </w:p>
        </w:tc>
        <w:tc>
          <w:tcPr>
            <w:tcW w:w="877" w:type="pct"/>
            <w:tcBorders>
              <w:top w:val="single" w:sz="4" w:space="0" w:color="auto"/>
              <w:left w:val="single" w:sz="4" w:space="0" w:color="auto"/>
              <w:bottom w:val="single" w:sz="4" w:space="0" w:color="auto"/>
              <w:right w:val="single" w:sz="4" w:space="0" w:color="auto"/>
            </w:tcBorders>
            <w:vAlign w:val="center"/>
          </w:tcPr>
          <w:p w14:paraId="68C69778"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58.89 </w:t>
            </w:r>
          </w:p>
        </w:tc>
      </w:tr>
      <w:tr w:rsidR="009C353B" w14:paraId="1DC111D6"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145BF83B"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农村道路</w:t>
            </w:r>
          </w:p>
        </w:tc>
        <w:tc>
          <w:tcPr>
            <w:tcW w:w="588" w:type="pct"/>
            <w:tcBorders>
              <w:top w:val="single" w:sz="4" w:space="0" w:color="auto"/>
              <w:left w:val="single" w:sz="4" w:space="0" w:color="auto"/>
              <w:bottom w:val="single" w:sz="4" w:space="0" w:color="auto"/>
              <w:right w:val="single" w:sz="4" w:space="0" w:color="auto"/>
            </w:tcBorders>
            <w:vAlign w:val="center"/>
          </w:tcPr>
          <w:p w14:paraId="274EAB1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1.51</w:t>
            </w:r>
          </w:p>
        </w:tc>
        <w:tc>
          <w:tcPr>
            <w:tcW w:w="588" w:type="pct"/>
            <w:tcBorders>
              <w:top w:val="single" w:sz="4" w:space="0" w:color="auto"/>
              <w:left w:val="single" w:sz="4" w:space="0" w:color="auto"/>
              <w:bottom w:val="single" w:sz="4" w:space="0" w:color="auto"/>
              <w:right w:val="single" w:sz="4" w:space="0" w:color="auto"/>
            </w:tcBorders>
            <w:vAlign w:val="center"/>
          </w:tcPr>
          <w:p w14:paraId="1005E839"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1.36</w:t>
            </w:r>
          </w:p>
        </w:tc>
        <w:tc>
          <w:tcPr>
            <w:tcW w:w="588" w:type="pct"/>
            <w:tcBorders>
              <w:top w:val="single" w:sz="4" w:space="0" w:color="auto"/>
              <w:left w:val="single" w:sz="4" w:space="0" w:color="auto"/>
              <w:bottom w:val="single" w:sz="4" w:space="0" w:color="auto"/>
              <w:right w:val="single" w:sz="4" w:space="0" w:color="auto"/>
            </w:tcBorders>
            <w:vAlign w:val="center"/>
          </w:tcPr>
          <w:p w14:paraId="4DAA90E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0.66 </w:t>
            </w:r>
          </w:p>
        </w:tc>
        <w:tc>
          <w:tcPr>
            <w:tcW w:w="759" w:type="pct"/>
            <w:tcBorders>
              <w:top w:val="single" w:sz="4" w:space="0" w:color="auto"/>
              <w:left w:val="single" w:sz="4" w:space="0" w:color="auto"/>
              <w:bottom w:val="single" w:sz="4" w:space="0" w:color="auto"/>
              <w:right w:val="single" w:sz="4" w:space="0" w:color="auto"/>
            </w:tcBorders>
            <w:vAlign w:val="center"/>
          </w:tcPr>
          <w:p w14:paraId="23859841"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-1.64</w:t>
            </w:r>
          </w:p>
        </w:tc>
        <w:tc>
          <w:tcPr>
            <w:tcW w:w="801" w:type="pct"/>
            <w:tcBorders>
              <w:top w:val="single" w:sz="4" w:space="0" w:color="auto"/>
              <w:left w:val="single" w:sz="4" w:space="0" w:color="auto"/>
              <w:bottom w:val="single" w:sz="4" w:space="0" w:color="auto"/>
              <w:right w:val="single" w:sz="4" w:space="0" w:color="auto"/>
            </w:tcBorders>
            <w:vAlign w:val="center"/>
          </w:tcPr>
          <w:p w14:paraId="572EC12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-5.70 </w:t>
            </w:r>
          </w:p>
        </w:tc>
        <w:tc>
          <w:tcPr>
            <w:tcW w:w="877" w:type="pct"/>
            <w:tcBorders>
              <w:top w:val="single" w:sz="4" w:space="0" w:color="auto"/>
              <w:left w:val="single" w:sz="4" w:space="0" w:color="auto"/>
              <w:bottom w:val="single" w:sz="4" w:space="0" w:color="auto"/>
              <w:right w:val="single" w:sz="4" w:space="0" w:color="auto"/>
            </w:tcBorders>
            <w:vAlign w:val="center"/>
          </w:tcPr>
          <w:p w14:paraId="37B45F8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-9.34 </w:t>
            </w:r>
          </w:p>
        </w:tc>
      </w:tr>
      <w:tr w:rsidR="009C353B" w14:paraId="6752153D"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12D6122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河流水面</w:t>
            </w:r>
          </w:p>
        </w:tc>
        <w:tc>
          <w:tcPr>
            <w:tcW w:w="588" w:type="pct"/>
            <w:tcBorders>
              <w:top w:val="single" w:sz="4" w:space="0" w:color="auto"/>
              <w:left w:val="single" w:sz="4" w:space="0" w:color="auto"/>
              <w:bottom w:val="single" w:sz="4" w:space="0" w:color="auto"/>
              <w:right w:val="single" w:sz="4" w:space="0" w:color="auto"/>
            </w:tcBorders>
            <w:vAlign w:val="center"/>
          </w:tcPr>
          <w:p w14:paraId="3982A8E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3.03</w:t>
            </w:r>
          </w:p>
        </w:tc>
        <w:tc>
          <w:tcPr>
            <w:tcW w:w="588" w:type="pct"/>
            <w:tcBorders>
              <w:top w:val="single" w:sz="4" w:space="0" w:color="auto"/>
              <w:left w:val="single" w:sz="4" w:space="0" w:color="auto"/>
              <w:bottom w:val="single" w:sz="4" w:space="0" w:color="auto"/>
              <w:right w:val="single" w:sz="4" w:space="0" w:color="auto"/>
            </w:tcBorders>
            <w:vAlign w:val="center"/>
          </w:tcPr>
          <w:p w14:paraId="64974843"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3.41</w:t>
            </w:r>
          </w:p>
        </w:tc>
        <w:tc>
          <w:tcPr>
            <w:tcW w:w="588" w:type="pct"/>
            <w:tcBorders>
              <w:top w:val="single" w:sz="4" w:space="0" w:color="auto"/>
              <w:left w:val="single" w:sz="4" w:space="0" w:color="auto"/>
              <w:bottom w:val="single" w:sz="4" w:space="0" w:color="auto"/>
              <w:right w:val="single" w:sz="4" w:space="0" w:color="auto"/>
            </w:tcBorders>
            <w:vAlign w:val="center"/>
          </w:tcPr>
          <w:p w14:paraId="1ABC2D13"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3.36 </w:t>
            </w:r>
          </w:p>
        </w:tc>
        <w:tc>
          <w:tcPr>
            <w:tcW w:w="759" w:type="pct"/>
            <w:tcBorders>
              <w:top w:val="single" w:sz="4" w:space="0" w:color="auto"/>
              <w:left w:val="single" w:sz="4" w:space="0" w:color="auto"/>
              <w:bottom w:val="single" w:sz="4" w:space="0" w:color="auto"/>
              <w:right w:val="single" w:sz="4" w:space="0" w:color="auto"/>
            </w:tcBorders>
            <w:vAlign w:val="center"/>
          </w:tcPr>
          <w:p w14:paraId="4019F99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2.10</w:t>
            </w:r>
          </w:p>
        </w:tc>
        <w:tc>
          <w:tcPr>
            <w:tcW w:w="801" w:type="pct"/>
            <w:tcBorders>
              <w:top w:val="single" w:sz="4" w:space="0" w:color="auto"/>
              <w:left w:val="single" w:sz="4" w:space="0" w:color="auto"/>
              <w:bottom w:val="single" w:sz="4" w:space="0" w:color="auto"/>
              <w:right w:val="single" w:sz="4" w:space="0" w:color="auto"/>
            </w:tcBorders>
            <w:vAlign w:val="center"/>
          </w:tcPr>
          <w:p w14:paraId="3F89A8FE"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-0.18 </w:t>
            </w:r>
          </w:p>
        </w:tc>
        <w:tc>
          <w:tcPr>
            <w:tcW w:w="877" w:type="pct"/>
            <w:tcBorders>
              <w:top w:val="single" w:sz="4" w:space="0" w:color="auto"/>
              <w:left w:val="single" w:sz="4" w:space="0" w:color="auto"/>
              <w:bottom w:val="single" w:sz="4" w:space="0" w:color="auto"/>
              <w:right w:val="single" w:sz="4" w:space="0" w:color="auto"/>
            </w:tcBorders>
            <w:vAlign w:val="center"/>
          </w:tcPr>
          <w:p w14:paraId="1F24F18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1.79 </w:t>
            </w:r>
          </w:p>
        </w:tc>
      </w:tr>
      <w:tr w:rsidR="009C353B" w14:paraId="1450CAED"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5305BF8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水库水面</w:t>
            </w:r>
          </w:p>
        </w:tc>
        <w:tc>
          <w:tcPr>
            <w:tcW w:w="588" w:type="pct"/>
            <w:tcBorders>
              <w:top w:val="single" w:sz="4" w:space="0" w:color="auto"/>
              <w:left w:val="single" w:sz="4" w:space="0" w:color="auto"/>
              <w:bottom w:val="single" w:sz="4" w:space="0" w:color="auto"/>
              <w:right w:val="single" w:sz="4" w:space="0" w:color="auto"/>
            </w:tcBorders>
            <w:vAlign w:val="center"/>
          </w:tcPr>
          <w:p w14:paraId="1E911C8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0.00</w:t>
            </w:r>
          </w:p>
        </w:tc>
        <w:tc>
          <w:tcPr>
            <w:tcW w:w="588" w:type="pct"/>
            <w:tcBorders>
              <w:top w:val="single" w:sz="4" w:space="0" w:color="auto"/>
              <w:left w:val="single" w:sz="4" w:space="0" w:color="auto"/>
              <w:bottom w:val="single" w:sz="4" w:space="0" w:color="auto"/>
              <w:right w:val="single" w:sz="4" w:space="0" w:color="auto"/>
            </w:tcBorders>
            <w:vAlign w:val="center"/>
          </w:tcPr>
          <w:p w14:paraId="4000E86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2.45</w:t>
            </w:r>
          </w:p>
        </w:tc>
        <w:tc>
          <w:tcPr>
            <w:tcW w:w="588" w:type="pct"/>
            <w:tcBorders>
              <w:top w:val="single" w:sz="4" w:space="0" w:color="auto"/>
              <w:left w:val="single" w:sz="4" w:space="0" w:color="auto"/>
              <w:bottom w:val="single" w:sz="4" w:space="0" w:color="auto"/>
              <w:right w:val="single" w:sz="4" w:space="0" w:color="auto"/>
            </w:tcBorders>
            <w:vAlign w:val="center"/>
          </w:tcPr>
          <w:p w14:paraId="7DE14E99"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hint="eastAsia"/>
                <w:sz w:val="21"/>
                <w:szCs w:val="21"/>
              </w:rPr>
              <w:t xml:space="preserve">3.21 </w:t>
            </w:r>
          </w:p>
        </w:tc>
        <w:tc>
          <w:tcPr>
            <w:tcW w:w="759" w:type="pct"/>
            <w:tcBorders>
              <w:top w:val="single" w:sz="4" w:space="0" w:color="auto"/>
              <w:left w:val="single" w:sz="4" w:space="0" w:color="auto"/>
              <w:bottom w:val="single" w:sz="4" w:space="0" w:color="auto"/>
              <w:right w:val="single" w:sz="4" w:space="0" w:color="auto"/>
            </w:tcBorders>
            <w:vAlign w:val="center"/>
          </w:tcPr>
          <w:p w14:paraId="47913BD8"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403372.14</w:t>
            </w:r>
          </w:p>
        </w:tc>
        <w:tc>
          <w:tcPr>
            <w:tcW w:w="801" w:type="pct"/>
            <w:tcBorders>
              <w:top w:val="single" w:sz="4" w:space="0" w:color="auto"/>
              <w:left w:val="single" w:sz="4" w:space="0" w:color="auto"/>
              <w:bottom w:val="single" w:sz="4" w:space="0" w:color="auto"/>
              <w:right w:val="single" w:sz="4" w:space="0" w:color="auto"/>
            </w:tcBorders>
            <w:vAlign w:val="center"/>
          </w:tcPr>
          <w:p w14:paraId="29B1957A"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3.45 </w:t>
            </w:r>
          </w:p>
        </w:tc>
        <w:tc>
          <w:tcPr>
            <w:tcW w:w="877" w:type="pct"/>
            <w:tcBorders>
              <w:top w:val="single" w:sz="4" w:space="0" w:color="auto"/>
              <w:left w:val="single" w:sz="4" w:space="0" w:color="auto"/>
              <w:bottom w:val="single" w:sz="4" w:space="0" w:color="auto"/>
              <w:right w:val="single" w:sz="4" w:space="0" w:color="auto"/>
            </w:tcBorders>
            <w:vAlign w:val="center"/>
          </w:tcPr>
          <w:p w14:paraId="1CC03227"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528592.03 </w:t>
            </w:r>
          </w:p>
        </w:tc>
      </w:tr>
      <w:tr w:rsidR="009C353B" w14:paraId="4583420D"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7A85A7E2"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坑塘水面</w:t>
            </w:r>
          </w:p>
        </w:tc>
        <w:tc>
          <w:tcPr>
            <w:tcW w:w="588" w:type="pct"/>
            <w:tcBorders>
              <w:top w:val="single" w:sz="4" w:space="0" w:color="auto"/>
              <w:left w:val="single" w:sz="4" w:space="0" w:color="auto"/>
              <w:bottom w:val="single" w:sz="4" w:space="0" w:color="auto"/>
              <w:right w:val="single" w:sz="4" w:space="0" w:color="auto"/>
            </w:tcBorders>
            <w:vAlign w:val="center"/>
          </w:tcPr>
          <w:p w14:paraId="7486755F"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0.00</w:t>
            </w:r>
          </w:p>
        </w:tc>
        <w:tc>
          <w:tcPr>
            <w:tcW w:w="588" w:type="pct"/>
            <w:tcBorders>
              <w:top w:val="single" w:sz="4" w:space="0" w:color="auto"/>
              <w:left w:val="single" w:sz="4" w:space="0" w:color="auto"/>
              <w:bottom w:val="single" w:sz="4" w:space="0" w:color="auto"/>
              <w:right w:val="single" w:sz="4" w:space="0" w:color="auto"/>
            </w:tcBorders>
            <w:vAlign w:val="center"/>
          </w:tcPr>
          <w:p w14:paraId="6551A97B"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0.08</w:t>
            </w:r>
          </w:p>
        </w:tc>
        <w:tc>
          <w:tcPr>
            <w:tcW w:w="588" w:type="pct"/>
            <w:tcBorders>
              <w:top w:val="single" w:sz="4" w:space="0" w:color="auto"/>
              <w:left w:val="single" w:sz="4" w:space="0" w:color="auto"/>
              <w:bottom w:val="single" w:sz="4" w:space="0" w:color="auto"/>
              <w:right w:val="single" w:sz="4" w:space="0" w:color="auto"/>
            </w:tcBorders>
            <w:vAlign w:val="center"/>
          </w:tcPr>
          <w:p w14:paraId="08DFCA2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hint="eastAsia"/>
                <w:sz w:val="21"/>
                <w:szCs w:val="21"/>
              </w:rPr>
              <w:t xml:space="preserve">0.52 </w:t>
            </w:r>
          </w:p>
        </w:tc>
        <w:tc>
          <w:tcPr>
            <w:tcW w:w="759" w:type="pct"/>
            <w:tcBorders>
              <w:top w:val="single" w:sz="4" w:space="0" w:color="auto"/>
              <w:left w:val="single" w:sz="4" w:space="0" w:color="auto"/>
              <w:bottom w:val="single" w:sz="4" w:space="0" w:color="auto"/>
              <w:right w:val="single" w:sz="4" w:space="0" w:color="auto"/>
            </w:tcBorders>
            <w:vAlign w:val="center"/>
          </w:tcPr>
          <w:p w14:paraId="0C5ACDF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13301.85</w:t>
            </w:r>
          </w:p>
        </w:tc>
        <w:tc>
          <w:tcPr>
            <w:tcW w:w="801" w:type="pct"/>
            <w:tcBorders>
              <w:top w:val="single" w:sz="4" w:space="0" w:color="auto"/>
              <w:left w:val="single" w:sz="4" w:space="0" w:color="auto"/>
              <w:bottom w:val="single" w:sz="4" w:space="0" w:color="auto"/>
              <w:right w:val="single" w:sz="4" w:space="0" w:color="auto"/>
            </w:tcBorders>
            <w:vAlign w:val="center"/>
          </w:tcPr>
          <w:p w14:paraId="129BBB52"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61.85 </w:t>
            </w:r>
          </w:p>
        </w:tc>
        <w:tc>
          <w:tcPr>
            <w:tcW w:w="877" w:type="pct"/>
            <w:tcBorders>
              <w:top w:val="single" w:sz="4" w:space="0" w:color="auto"/>
              <w:left w:val="single" w:sz="4" w:space="0" w:color="auto"/>
              <w:bottom w:val="single" w:sz="4" w:space="0" w:color="auto"/>
              <w:right w:val="single" w:sz="4" w:space="0" w:color="auto"/>
            </w:tcBorders>
            <w:vAlign w:val="center"/>
          </w:tcPr>
          <w:p w14:paraId="7B6DFCA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87439.90 </w:t>
            </w:r>
          </w:p>
        </w:tc>
      </w:tr>
      <w:tr w:rsidR="009C353B" w14:paraId="2D16AAEB"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5789D865"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内陆滩涂</w:t>
            </w:r>
          </w:p>
        </w:tc>
        <w:tc>
          <w:tcPr>
            <w:tcW w:w="588" w:type="pct"/>
            <w:tcBorders>
              <w:top w:val="single" w:sz="4" w:space="0" w:color="auto"/>
              <w:left w:val="single" w:sz="4" w:space="0" w:color="auto"/>
              <w:bottom w:val="single" w:sz="4" w:space="0" w:color="auto"/>
              <w:right w:val="single" w:sz="4" w:space="0" w:color="auto"/>
            </w:tcBorders>
            <w:vAlign w:val="center"/>
          </w:tcPr>
          <w:p w14:paraId="5E3F753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0.90</w:t>
            </w:r>
          </w:p>
        </w:tc>
        <w:tc>
          <w:tcPr>
            <w:tcW w:w="588" w:type="pct"/>
            <w:tcBorders>
              <w:top w:val="single" w:sz="4" w:space="0" w:color="auto"/>
              <w:left w:val="single" w:sz="4" w:space="0" w:color="auto"/>
              <w:bottom w:val="single" w:sz="4" w:space="0" w:color="auto"/>
              <w:right w:val="single" w:sz="4" w:space="0" w:color="auto"/>
            </w:tcBorders>
            <w:vAlign w:val="center"/>
          </w:tcPr>
          <w:p w14:paraId="438035EA"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1.18</w:t>
            </w:r>
          </w:p>
        </w:tc>
        <w:tc>
          <w:tcPr>
            <w:tcW w:w="588" w:type="pct"/>
            <w:tcBorders>
              <w:top w:val="single" w:sz="4" w:space="0" w:color="auto"/>
              <w:left w:val="single" w:sz="4" w:space="0" w:color="auto"/>
              <w:bottom w:val="single" w:sz="4" w:space="0" w:color="auto"/>
              <w:right w:val="single" w:sz="4" w:space="0" w:color="auto"/>
            </w:tcBorders>
            <w:vAlign w:val="center"/>
          </w:tcPr>
          <w:p w14:paraId="28A12CA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hint="eastAsia"/>
                <w:sz w:val="21"/>
                <w:szCs w:val="21"/>
              </w:rPr>
              <w:t xml:space="preserve">1.11 </w:t>
            </w:r>
          </w:p>
        </w:tc>
        <w:tc>
          <w:tcPr>
            <w:tcW w:w="759" w:type="pct"/>
            <w:tcBorders>
              <w:top w:val="single" w:sz="4" w:space="0" w:color="auto"/>
              <w:left w:val="single" w:sz="4" w:space="0" w:color="auto"/>
              <w:bottom w:val="single" w:sz="4" w:space="0" w:color="auto"/>
              <w:right w:val="single" w:sz="4" w:space="0" w:color="auto"/>
            </w:tcBorders>
            <w:vAlign w:val="center"/>
          </w:tcPr>
          <w:p w14:paraId="4A3B9415"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5.13</w:t>
            </w:r>
          </w:p>
        </w:tc>
        <w:tc>
          <w:tcPr>
            <w:tcW w:w="801" w:type="pct"/>
            <w:tcBorders>
              <w:top w:val="single" w:sz="4" w:space="0" w:color="auto"/>
              <w:left w:val="single" w:sz="4" w:space="0" w:color="auto"/>
              <w:bottom w:val="single" w:sz="4" w:space="0" w:color="auto"/>
              <w:right w:val="single" w:sz="4" w:space="0" w:color="auto"/>
            </w:tcBorders>
            <w:vAlign w:val="center"/>
          </w:tcPr>
          <w:p w14:paraId="6AACBC0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-0.65 </w:t>
            </w:r>
          </w:p>
        </w:tc>
        <w:tc>
          <w:tcPr>
            <w:tcW w:w="877" w:type="pct"/>
            <w:tcBorders>
              <w:top w:val="single" w:sz="4" w:space="0" w:color="auto"/>
              <w:left w:val="single" w:sz="4" w:space="0" w:color="auto"/>
              <w:bottom w:val="single" w:sz="4" w:space="0" w:color="auto"/>
              <w:right w:val="single" w:sz="4" w:space="0" w:color="auto"/>
            </w:tcBorders>
            <w:vAlign w:val="center"/>
          </w:tcPr>
          <w:p w14:paraId="7FB71111"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3.85 </w:t>
            </w:r>
          </w:p>
        </w:tc>
      </w:tr>
      <w:tr w:rsidR="009C353B" w14:paraId="5F8E4D5E"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59A7C905"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沙地</w:t>
            </w:r>
          </w:p>
        </w:tc>
        <w:tc>
          <w:tcPr>
            <w:tcW w:w="588" w:type="pct"/>
            <w:tcBorders>
              <w:top w:val="single" w:sz="4" w:space="0" w:color="auto"/>
              <w:left w:val="single" w:sz="4" w:space="0" w:color="auto"/>
              <w:bottom w:val="single" w:sz="4" w:space="0" w:color="auto"/>
              <w:right w:val="single" w:sz="4" w:space="0" w:color="auto"/>
            </w:tcBorders>
            <w:vAlign w:val="center"/>
          </w:tcPr>
          <w:p w14:paraId="14D7A1E1"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42.02</w:t>
            </w:r>
          </w:p>
        </w:tc>
        <w:tc>
          <w:tcPr>
            <w:tcW w:w="588" w:type="pct"/>
            <w:tcBorders>
              <w:top w:val="single" w:sz="4" w:space="0" w:color="auto"/>
              <w:left w:val="single" w:sz="4" w:space="0" w:color="auto"/>
              <w:bottom w:val="single" w:sz="4" w:space="0" w:color="auto"/>
              <w:right w:val="single" w:sz="4" w:space="0" w:color="auto"/>
            </w:tcBorders>
            <w:vAlign w:val="center"/>
          </w:tcPr>
          <w:p w14:paraId="2F69FF25"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24.37</w:t>
            </w:r>
          </w:p>
        </w:tc>
        <w:tc>
          <w:tcPr>
            <w:tcW w:w="588" w:type="pct"/>
            <w:tcBorders>
              <w:top w:val="single" w:sz="4" w:space="0" w:color="auto"/>
              <w:left w:val="single" w:sz="4" w:space="0" w:color="auto"/>
              <w:bottom w:val="single" w:sz="4" w:space="0" w:color="auto"/>
              <w:right w:val="single" w:sz="4" w:space="0" w:color="auto"/>
            </w:tcBorders>
            <w:vAlign w:val="center"/>
          </w:tcPr>
          <w:p w14:paraId="106DF015"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hint="eastAsia"/>
                <w:sz w:val="21"/>
                <w:szCs w:val="21"/>
              </w:rPr>
              <w:t xml:space="preserve">9.17 </w:t>
            </w:r>
          </w:p>
        </w:tc>
        <w:tc>
          <w:tcPr>
            <w:tcW w:w="759" w:type="pct"/>
            <w:tcBorders>
              <w:top w:val="single" w:sz="4" w:space="0" w:color="auto"/>
              <w:left w:val="single" w:sz="4" w:space="0" w:color="auto"/>
              <w:bottom w:val="single" w:sz="4" w:space="0" w:color="auto"/>
              <w:right w:val="single" w:sz="4" w:space="0" w:color="auto"/>
            </w:tcBorders>
            <w:vAlign w:val="center"/>
          </w:tcPr>
          <w:p w14:paraId="64A00D99"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-7.00</w:t>
            </w:r>
          </w:p>
        </w:tc>
        <w:tc>
          <w:tcPr>
            <w:tcW w:w="801" w:type="pct"/>
            <w:tcBorders>
              <w:top w:val="single" w:sz="4" w:space="0" w:color="auto"/>
              <w:left w:val="single" w:sz="4" w:space="0" w:color="auto"/>
              <w:bottom w:val="single" w:sz="4" w:space="0" w:color="auto"/>
              <w:right w:val="single" w:sz="4" w:space="0" w:color="auto"/>
            </w:tcBorders>
            <w:vAlign w:val="center"/>
          </w:tcPr>
          <w:p w14:paraId="6B369AB8"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-6.93 </w:t>
            </w:r>
          </w:p>
        </w:tc>
        <w:tc>
          <w:tcPr>
            <w:tcW w:w="877" w:type="pct"/>
            <w:tcBorders>
              <w:top w:val="single" w:sz="4" w:space="0" w:color="auto"/>
              <w:left w:val="single" w:sz="4" w:space="0" w:color="auto"/>
              <w:bottom w:val="single" w:sz="4" w:space="0" w:color="auto"/>
              <w:right w:val="single" w:sz="4" w:space="0" w:color="auto"/>
            </w:tcBorders>
            <w:vAlign w:val="center"/>
          </w:tcPr>
          <w:p w14:paraId="28DA738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-13.03 </w:t>
            </w:r>
          </w:p>
        </w:tc>
      </w:tr>
      <w:tr w:rsidR="009C353B" w14:paraId="095C5826"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713AF4C0"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裸土地</w:t>
            </w:r>
          </w:p>
        </w:tc>
        <w:tc>
          <w:tcPr>
            <w:tcW w:w="588" w:type="pct"/>
            <w:tcBorders>
              <w:top w:val="single" w:sz="4" w:space="0" w:color="auto"/>
              <w:left w:val="single" w:sz="4" w:space="0" w:color="auto"/>
              <w:bottom w:val="single" w:sz="4" w:space="0" w:color="auto"/>
              <w:right w:val="single" w:sz="4" w:space="0" w:color="auto"/>
            </w:tcBorders>
            <w:vAlign w:val="center"/>
          </w:tcPr>
          <w:p w14:paraId="7DCC4F4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2.78</w:t>
            </w:r>
          </w:p>
        </w:tc>
        <w:tc>
          <w:tcPr>
            <w:tcW w:w="588" w:type="pct"/>
            <w:tcBorders>
              <w:top w:val="single" w:sz="4" w:space="0" w:color="auto"/>
              <w:left w:val="single" w:sz="4" w:space="0" w:color="auto"/>
              <w:bottom w:val="single" w:sz="4" w:space="0" w:color="auto"/>
              <w:right w:val="single" w:sz="4" w:space="0" w:color="auto"/>
            </w:tcBorders>
            <w:vAlign w:val="center"/>
          </w:tcPr>
          <w:p w14:paraId="220A356E"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6.32</w:t>
            </w:r>
          </w:p>
        </w:tc>
        <w:tc>
          <w:tcPr>
            <w:tcW w:w="588" w:type="pct"/>
            <w:tcBorders>
              <w:top w:val="single" w:sz="4" w:space="0" w:color="auto"/>
              <w:left w:val="single" w:sz="4" w:space="0" w:color="auto"/>
              <w:bottom w:val="single" w:sz="4" w:space="0" w:color="auto"/>
              <w:right w:val="single" w:sz="4" w:space="0" w:color="auto"/>
            </w:tcBorders>
            <w:vAlign w:val="center"/>
          </w:tcPr>
          <w:p w14:paraId="7CB08051"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hint="eastAsia"/>
                <w:sz w:val="21"/>
                <w:szCs w:val="21"/>
              </w:rPr>
              <w:t xml:space="preserve">10.73 </w:t>
            </w:r>
          </w:p>
        </w:tc>
        <w:tc>
          <w:tcPr>
            <w:tcW w:w="759" w:type="pct"/>
            <w:tcBorders>
              <w:top w:val="single" w:sz="4" w:space="0" w:color="auto"/>
              <w:left w:val="single" w:sz="4" w:space="0" w:color="auto"/>
              <w:bottom w:val="single" w:sz="4" w:space="0" w:color="auto"/>
              <w:right w:val="single" w:sz="4" w:space="0" w:color="auto"/>
            </w:tcBorders>
            <w:vAlign w:val="center"/>
          </w:tcPr>
          <w:p w14:paraId="1A37AEF2"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21.23</w:t>
            </w:r>
          </w:p>
        </w:tc>
        <w:tc>
          <w:tcPr>
            <w:tcW w:w="801" w:type="pct"/>
            <w:tcBorders>
              <w:top w:val="single" w:sz="4" w:space="0" w:color="auto"/>
              <w:left w:val="single" w:sz="4" w:space="0" w:color="auto"/>
              <w:bottom w:val="single" w:sz="4" w:space="0" w:color="auto"/>
              <w:right w:val="single" w:sz="4" w:space="0" w:color="auto"/>
            </w:tcBorders>
            <w:vAlign w:val="center"/>
          </w:tcPr>
          <w:p w14:paraId="653F35C8"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7.76 </w:t>
            </w:r>
          </w:p>
        </w:tc>
        <w:tc>
          <w:tcPr>
            <w:tcW w:w="877" w:type="pct"/>
            <w:tcBorders>
              <w:top w:val="single" w:sz="4" w:space="0" w:color="auto"/>
              <w:left w:val="single" w:sz="4" w:space="0" w:color="auto"/>
              <w:bottom w:val="single" w:sz="4" w:space="0" w:color="auto"/>
              <w:right w:val="single" w:sz="4" w:space="0" w:color="auto"/>
            </w:tcBorders>
            <w:vAlign w:val="center"/>
          </w:tcPr>
          <w:p w14:paraId="44FF188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 xml:space="preserve">47.71 </w:t>
            </w:r>
          </w:p>
        </w:tc>
      </w:tr>
    </w:tbl>
    <w:p w14:paraId="36AE5544" w14:textId="77777777" w:rsidR="009C353B" w:rsidRDefault="009C353B">
      <w:pPr>
        <w:spacing w:line="440" w:lineRule="exact"/>
        <w:jc w:val="center"/>
        <w:rPr>
          <w:rFonts w:ascii="Times New Roman" w:hAnsi="Times New Roman"/>
          <w:b/>
          <w:kern w:val="24"/>
          <w:szCs w:val="24"/>
        </w:rPr>
      </w:pPr>
    </w:p>
    <w:p w14:paraId="5909D2AA" w14:textId="77777777" w:rsidR="009C353B" w:rsidRDefault="00000000">
      <w:pPr>
        <w:spacing w:line="440" w:lineRule="exact"/>
        <w:jc w:val="center"/>
        <w:rPr>
          <w:rFonts w:ascii="Times New Roman" w:hAnsi="Times New Roman"/>
          <w:b/>
          <w:kern w:val="24"/>
          <w:szCs w:val="24"/>
        </w:rPr>
      </w:pPr>
      <w:r>
        <w:rPr>
          <w:rFonts w:ascii="Times New Roman" w:hAnsi="Times New Roman" w:hint="eastAsia"/>
          <w:b/>
          <w:kern w:val="24"/>
          <w:szCs w:val="24"/>
        </w:rPr>
        <w:t>矿</w:t>
      </w:r>
      <w:r>
        <w:rPr>
          <w:rFonts w:ascii="Times New Roman" w:hAnsi="Times New Roman"/>
          <w:b/>
          <w:kern w:val="24"/>
          <w:szCs w:val="24"/>
        </w:rPr>
        <w:t>区</w:t>
      </w:r>
      <w:r>
        <w:rPr>
          <w:rFonts w:ascii="Times New Roman" w:hAnsi="Times New Roman"/>
          <w:b/>
          <w:kern w:val="24"/>
          <w:szCs w:val="24"/>
        </w:rPr>
        <w:t>20</w:t>
      </w:r>
      <w:r>
        <w:rPr>
          <w:rFonts w:ascii="Times New Roman" w:hAnsi="Times New Roman" w:hint="eastAsia"/>
          <w:b/>
          <w:kern w:val="24"/>
          <w:szCs w:val="24"/>
        </w:rPr>
        <w:t>04</w:t>
      </w:r>
      <w:r>
        <w:rPr>
          <w:rFonts w:ascii="Times New Roman" w:hAnsi="Times New Roman"/>
          <w:b/>
          <w:kern w:val="24"/>
          <w:szCs w:val="24"/>
        </w:rPr>
        <w:t>-201</w:t>
      </w:r>
      <w:r>
        <w:rPr>
          <w:rFonts w:ascii="Times New Roman" w:hAnsi="Times New Roman" w:hint="eastAsia"/>
          <w:b/>
          <w:kern w:val="24"/>
          <w:szCs w:val="24"/>
        </w:rPr>
        <w:t>9</w:t>
      </w:r>
      <w:r>
        <w:rPr>
          <w:rFonts w:ascii="Times New Roman" w:hAnsi="Times New Roman"/>
          <w:b/>
          <w:kern w:val="24"/>
          <w:szCs w:val="24"/>
        </w:rPr>
        <w:t>年</w:t>
      </w:r>
      <w:r>
        <w:rPr>
          <w:rFonts w:ascii="Times New Roman" w:hAnsi="Times New Roman"/>
          <w:b/>
          <w:kern w:val="24"/>
          <w:szCs w:val="24"/>
        </w:rPr>
        <w:t>LUCC</w:t>
      </w:r>
      <w:r>
        <w:rPr>
          <w:rFonts w:ascii="Times New Roman" w:hAnsi="Times New Roman"/>
          <w:b/>
          <w:kern w:val="24"/>
          <w:szCs w:val="24"/>
        </w:rPr>
        <w:t>动态变化度（</w:t>
      </w:r>
      <w:r>
        <w:rPr>
          <w:rFonts w:ascii="Times New Roman" w:hAnsi="Times New Roman"/>
          <w:b/>
          <w:kern w:val="24"/>
          <w:szCs w:val="24"/>
        </w:rPr>
        <w:t>%</w:t>
      </w:r>
      <w:r>
        <w:rPr>
          <w:rFonts w:ascii="Times New Roman" w:hAnsi="Times New Roman"/>
          <w:b/>
          <w:kern w:val="24"/>
          <w:szCs w:val="24"/>
        </w:rPr>
        <w:t>）</w:t>
      </w:r>
    </w:p>
    <w:p w14:paraId="68E3B01A" w14:textId="77777777" w:rsidR="009C353B" w:rsidRDefault="00000000">
      <w:pPr>
        <w:pStyle w:val="affffd"/>
        <w:spacing w:line="440" w:lineRule="exact"/>
        <w:rPr>
          <w:rFonts w:ascii="Times New Roman" w:hAnsi="Times New Roman"/>
        </w:rPr>
      </w:pPr>
      <w:r>
        <w:rPr>
          <w:rFonts w:ascii="Times New Roman" w:hAnsi="Times New Roman"/>
        </w:rPr>
        <w:t>表</w:t>
      </w:r>
      <w:r>
        <w:rPr>
          <w:rFonts w:ascii="Times New Roman" w:hAnsi="Times New Roman"/>
        </w:rPr>
        <w:t>4.5-3</w:t>
      </w:r>
    </w:p>
    <w:tbl>
      <w:tblPr>
        <w:tblW w:w="5000" w:type="pct"/>
        <w:jc w:val="center"/>
        <w:tblLook w:val="04A0" w:firstRow="1" w:lastRow="0" w:firstColumn="1" w:lastColumn="0" w:noHBand="0" w:noVBand="1"/>
      </w:tblPr>
      <w:tblGrid>
        <w:gridCol w:w="1484"/>
        <w:gridCol w:w="1092"/>
        <w:gridCol w:w="1092"/>
        <w:gridCol w:w="1092"/>
        <w:gridCol w:w="1408"/>
        <w:gridCol w:w="1486"/>
        <w:gridCol w:w="1633"/>
      </w:tblGrid>
      <w:tr w:rsidR="009C353B" w14:paraId="54BFA582" w14:textId="77777777">
        <w:trPr>
          <w:trHeight w:val="766"/>
          <w:jc w:val="center"/>
        </w:trPr>
        <w:tc>
          <w:tcPr>
            <w:tcW w:w="799" w:type="pct"/>
            <w:tcBorders>
              <w:top w:val="single" w:sz="4" w:space="0" w:color="auto"/>
              <w:left w:val="single" w:sz="4" w:space="0" w:color="auto"/>
              <w:bottom w:val="single" w:sz="4" w:space="0" w:color="auto"/>
              <w:right w:val="single" w:sz="4" w:space="0" w:color="auto"/>
              <w:tl2br w:val="single" w:sz="4" w:space="0" w:color="auto"/>
            </w:tcBorders>
            <w:vAlign w:val="center"/>
          </w:tcPr>
          <w:p w14:paraId="01E7C851"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hint="eastAsia"/>
                <w:sz w:val="21"/>
                <w:szCs w:val="21"/>
              </w:rPr>
              <w:t xml:space="preserve">      </w:t>
            </w:r>
            <w:r>
              <w:rPr>
                <w:rFonts w:ascii="Times New Roman" w:hAnsi="Times New Roman"/>
                <w:sz w:val="21"/>
                <w:szCs w:val="21"/>
              </w:rPr>
              <w:t>时间</w:t>
            </w:r>
          </w:p>
          <w:p w14:paraId="33FC69FF" w14:textId="77777777" w:rsidR="009C353B" w:rsidRDefault="00000000">
            <w:pPr>
              <w:pStyle w:val="affffd"/>
              <w:spacing w:line="440" w:lineRule="exact"/>
              <w:rPr>
                <w:rFonts w:ascii="Times New Roman" w:hAnsi="Times New Roman"/>
                <w:sz w:val="21"/>
                <w:szCs w:val="21"/>
              </w:rPr>
            </w:pPr>
            <w:r>
              <w:rPr>
                <w:rFonts w:ascii="Times New Roman" w:hAnsi="Times New Roman"/>
                <w:sz w:val="21"/>
                <w:szCs w:val="21"/>
              </w:rPr>
              <w:t>地类</w:t>
            </w:r>
          </w:p>
        </w:tc>
        <w:tc>
          <w:tcPr>
            <w:tcW w:w="588" w:type="pct"/>
            <w:tcBorders>
              <w:top w:val="single" w:sz="4" w:space="0" w:color="auto"/>
              <w:left w:val="single" w:sz="4" w:space="0" w:color="auto"/>
              <w:bottom w:val="single" w:sz="4" w:space="0" w:color="auto"/>
              <w:right w:val="single" w:sz="4" w:space="0" w:color="auto"/>
            </w:tcBorders>
            <w:vAlign w:val="center"/>
          </w:tcPr>
          <w:p w14:paraId="757B39AC"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2004</w:t>
            </w:r>
            <w:r>
              <w:rPr>
                <w:rFonts w:ascii="Times New Roman" w:hAnsi="Times New Roman"/>
                <w:sz w:val="21"/>
                <w:szCs w:val="21"/>
              </w:rPr>
              <w:t>年</w:t>
            </w:r>
          </w:p>
          <w:p w14:paraId="13606AC2"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面积</w:t>
            </w:r>
          </w:p>
          <w:p w14:paraId="74EC3DE9"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sz w:val="21"/>
                <w:szCs w:val="21"/>
              </w:rPr>
              <w:t>）</w:t>
            </w:r>
          </w:p>
        </w:tc>
        <w:tc>
          <w:tcPr>
            <w:tcW w:w="588" w:type="pct"/>
            <w:tcBorders>
              <w:top w:val="single" w:sz="4" w:space="0" w:color="auto"/>
              <w:left w:val="single" w:sz="4" w:space="0" w:color="auto"/>
              <w:bottom w:val="single" w:sz="4" w:space="0" w:color="auto"/>
              <w:right w:val="single" w:sz="4" w:space="0" w:color="auto"/>
            </w:tcBorders>
            <w:vAlign w:val="center"/>
          </w:tcPr>
          <w:p w14:paraId="260FFEA5"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2010</w:t>
            </w:r>
            <w:r>
              <w:rPr>
                <w:rFonts w:ascii="Times New Roman" w:hAnsi="Times New Roman"/>
                <w:sz w:val="21"/>
                <w:szCs w:val="21"/>
              </w:rPr>
              <w:t>年面积</w:t>
            </w:r>
          </w:p>
          <w:p w14:paraId="4EA8C21A"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sz w:val="21"/>
                <w:szCs w:val="21"/>
              </w:rPr>
              <w:t>）</w:t>
            </w:r>
          </w:p>
        </w:tc>
        <w:tc>
          <w:tcPr>
            <w:tcW w:w="588" w:type="pct"/>
            <w:tcBorders>
              <w:top w:val="single" w:sz="4" w:space="0" w:color="auto"/>
              <w:left w:val="single" w:sz="4" w:space="0" w:color="auto"/>
              <w:bottom w:val="single" w:sz="4" w:space="0" w:color="auto"/>
              <w:right w:val="single" w:sz="4" w:space="0" w:color="auto"/>
            </w:tcBorders>
            <w:vAlign w:val="center"/>
          </w:tcPr>
          <w:p w14:paraId="3B2B4832"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2019</w:t>
            </w:r>
            <w:r>
              <w:rPr>
                <w:rFonts w:ascii="Times New Roman" w:hAnsi="Times New Roman"/>
                <w:sz w:val="21"/>
                <w:szCs w:val="21"/>
              </w:rPr>
              <w:t>年面积</w:t>
            </w:r>
          </w:p>
          <w:p w14:paraId="067D7D76"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sz w:val="21"/>
                <w:szCs w:val="21"/>
              </w:rPr>
              <w:t>）</w:t>
            </w:r>
          </w:p>
        </w:tc>
        <w:tc>
          <w:tcPr>
            <w:tcW w:w="758" w:type="pct"/>
            <w:tcBorders>
              <w:top w:val="single" w:sz="4" w:space="0" w:color="auto"/>
              <w:left w:val="single" w:sz="4" w:space="0" w:color="auto"/>
              <w:bottom w:val="single" w:sz="4" w:space="0" w:color="auto"/>
              <w:right w:val="single" w:sz="4" w:space="0" w:color="auto"/>
            </w:tcBorders>
            <w:vAlign w:val="center"/>
          </w:tcPr>
          <w:p w14:paraId="1742BC6F"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2004-2010</w:t>
            </w:r>
            <w:r>
              <w:rPr>
                <w:rFonts w:ascii="Times New Roman" w:hAnsi="Times New Roman"/>
                <w:sz w:val="21"/>
                <w:szCs w:val="21"/>
              </w:rPr>
              <w:t>年</w:t>
            </w:r>
          </w:p>
          <w:p w14:paraId="7643BA60"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动态变化度</w:t>
            </w:r>
          </w:p>
        </w:tc>
        <w:tc>
          <w:tcPr>
            <w:tcW w:w="800" w:type="pct"/>
            <w:tcBorders>
              <w:top w:val="single" w:sz="4" w:space="0" w:color="auto"/>
              <w:left w:val="single" w:sz="4" w:space="0" w:color="auto"/>
              <w:bottom w:val="single" w:sz="4" w:space="0" w:color="auto"/>
              <w:right w:val="single" w:sz="4" w:space="0" w:color="auto"/>
            </w:tcBorders>
            <w:vAlign w:val="center"/>
          </w:tcPr>
          <w:p w14:paraId="1F51DCBA"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2010-2019</w:t>
            </w:r>
            <w:r>
              <w:rPr>
                <w:rFonts w:ascii="Times New Roman" w:hAnsi="Times New Roman"/>
                <w:sz w:val="21"/>
                <w:szCs w:val="21"/>
              </w:rPr>
              <w:t>年</w:t>
            </w:r>
          </w:p>
          <w:p w14:paraId="228D9C1F"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动态变化度</w:t>
            </w:r>
          </w:p>
        </w:tc>
        <w:tc>
          <w:tcPr>
            <w:tcW w:w="879" w:type="pct"/>
            <w:tcBorders>
              <w:top w:val="single" w:sz="4" w:space="0" w:color="auto"/>
              <w:left w:val="single" w:sz="4" w:space="0" w:color="auto"/>
              <w:bottom w:val="single" w:sz="4" w:space="0" w:color="auto"/>
              <w:right w:val="single" w:sz="4" w:space="0" w:color="auto"/>
            </w:tcBorders>
            <w:vAlign w:val="center"/>
          </w:tcPr>
          <w:p w14:paraId="2DAB0EDB"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2004-2019</w:t>
            </w:r>
            <w:r>
              <w:rPr>
                <w:rFonts w:ascii="Times New Roman" w:hAnsi="Times New Roman"/>
                <w:sz w:val="21"/>
                <w:szCs w:val="21"/>
              </w:rPr>
              <w:t>年</w:t>
            </w:r>
          </w:p>
          <w:p w14:paraId="1665A6E0" w14:textId="77777777" w:rsidR="009C353B" w:rsidRDefault="00000000">
            <w:pPr>
              <w:pStyle w:val="affffd"/>
              <w:spacing w:line="240" w:lineRule="auto"/>
              <w:jc w:val="center"/>
              <w:rPr>
                <w:rFonts w:ascii="Times New Roman" w:hAnsi="Times New Roman"/>
                <w:sz w:val="21"/>
                <w:szCs w:val="21"/>
              </w:rPr>
            </w:pPr>
            <w:r>
              <w:rPr>
                <w:rFonts w:ascii="Times New Roman" w:hAnsi="Times New Roman"/>
                <w:sz w:val="21"/>
                <w:szCs w:val="21"/>
              </w:rPr>
              <w:t>动态变化度</w:t>
            </w:r>
          </w:p>
        </w:tc>
      </w:tr>
      <w:tr w:rsidR="009C353B" w14:paraId="04939330"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573D46AA"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乔木林地</w:t>
            </w:r>
          </w:p>
        </w:tc>
        <w:tc>
          <w:tcPr>
            <w:tcW w:w="588" w:type="pct"/>
            <w:tcBorders>
              <w:top w:val="single" w:sz="4" w:space="0" w:color="auto"/>
              <w:left w:val="single" w:sz="4" w:space="0" w:color="auto"/>
              <w:bottom w:val="single" w:sz="4" w:space="0" w:color="auto"/>
              <w:right w:val="single" w:sz="4" w:space="0" w:color="auto"/>
            </w:tcBorders>
            <w:vAlign w:val="center"/>
          </w:tcPr>
          <w:p w14:paraId="64CCCAD0"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0.16</w:t>
            </w:r>
          </w:p>
        </w:tc>
        <w:tc>
          <w:tcPr>
            <w:tcW w:w="588" w:type="pct"/>
            <w:tcBorders>
              <w:top w:val="single" w:sz="4" w:space="0" w:color="auto"/>
              <w:left w:val="single" w:sz="4" w:space="0" w:color="auto"/>
              <w:bottom w:val="single" w:sz="4" w:space="0" w:color="auto"/>
              <w:right w:val="single" w:sz="4" w:space="0" w:color="auto"/>
            </w:tcBorders>
            <w:vAlign w:val="center"/>
          </w:tcPr>
          <w:p w14:paraId="1F8D6C59"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4.47</w:t>
            </w:r>
          </w:p>
        </w:tc>
        <w:tc>
          <w:tcPr>
            <w:tcW w:w="588" w:type="pct"/>
            <w:tcBorders>
              <w:top w:val="single" w:sz="4" w:space="0" w:color="auto"/>
              <w:left w:val="single" w:sz="4" w:space="0" w:color="auto"/>
              <w:bottom w:val="single" w:sz="4" w:space="0" w:color="auto"/>
              <w:right w:val="single" w:sz="4" w:space="0" w:color="auto"/>
            </w:tcBorders>
            <w:vAlign w:val="center"/>
          </w:tcPr>
          <w:p w14:paraId="0F82638F"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9.82 </w:t>
            </w:r>
          </w:p>
        </w:tc>
        <w:tc>
          <w:tcPr>
            <w:tcW w:w="758" w:type="pct"/>
            <w:tcBorders>
              <w:top w:val="single" w:sz="4" w:space="0" w:color="auto"/>
              <w:left w:val="single" w:sz="4" w:space="0" w:color="auto"/>
              <w:bottom w:val="single" w:sz="4" w:space="0" w:color="auto"/>
              <w:right w:val="single" w:sz="4" w:space="0" w:color="auto"/>
            </w:tcBorders>
            <w:vAlign w:val="center"/>
          </w:tcPr>
          <w:p w14:paraId="18321488"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434.71</w:t>
            </w:r>
          </w:p>
        </w:tc>
        <w:tc>
          <w:tcPr>
            <w:tcW w:w="800" w:type="pct"/>
            <w:tcBorders>
              <w:top w:val="single" w:sz="4" w:space="0" w:color="auto"/>
              <w:left w:val="single" w:sz="4" w:space="0" w:color="auto"/>
              <w:bottom w:val="single" w:sz="4" w:space="0" w:color="auto"/>
              <w:right w:val="single" w:sz="4" w:space="0" w:color="auto"/>
            </w:tcBorders>
            <w:vAlign w:val="center"/>
          </w:tcPr>
          <w:p w14:paraId="544A65FE"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13.32 </w:t>
            </w:r>
          </w:p>
        </w:tc>
        <w:tc>
          <w:tcPr>
            <w:tcW w:w="879" w:type="pct"/>
            <w:tcBorders>
              <w:top w:val="single" w:sz="4" w:space="0" w:color="auto"/>
              <w:left w:val="single" w:sz="4" w:space="0" w:color="auto"/>
              <w:bottom w:val="single" w:sz="4" w:space="0" w:color="auto"/>
              <w:right w:val="single" w:sz="4" w:space="0" w:color="auto"/>
            </w:tcBorders>
            <w:vAlign w:val="center"/>
          </w:tcPr>
          <w:p w14:paraId="4537B124"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975.81 </w:t>
            </w:r>
          </w:p>
        </w:tc>
      </w:tr>
      <w:tr w:rsidR="009C353B" w14:paraId="21CA1D9C"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2C825B80"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灌木林地</w:t>
            </w:r>
          </w:p>
        </w:tc>
        <w:tc>
          <w:tcPr>
            <w:tcW w:w="588" w:type="pct"/>
            <w:tcBorders>
              <w:top w:val="single" w:sz="4" w:space="0" w:color="auto"/>
              <w:left w:val="single" w:sz="4" w:space="0" w:color="auto"/>
              <w:bottom w:val="single" w:sz="4" w:space="0" w:color="auto"/>
              <w:right w:val="single" w:sz="4" w:space="0" w:color="auto"/>
            </w:tcBorders>
            <w:vAlign w:val="center"/>
          </w:tcPr>
          <w:p w14:paraId="1FFD06C8"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1.42</w:t>
            </w:r>
          </w:p>
        </w:tc>
        <w:tc>
          <w:tcPr>
            <w:tcW w:w="588" w:type="pct"/>
            <w:tcBorders>
              <w:top w:val="single" w:sz="4" w:space="0" w:color="auto"/>
              <w:left w:val="single" w:sz="4" w:space="0" w:color="auto"/>
              <w:bottom w:val="single" w:sz="4" w:space="0" w:color="auto"/>
              <w:right w:val="single" w:sz="4" w:space="0" w:color="auto"/>
            </w:tcBorders>
            <w:vAlign w:val="center"/>
          </w:tcPr>
          <w:p w14:paraId="48F9F2D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0.77</w:t>
            </w:r>
          </w:p>
        </w:tc>
        <w:tc>
          <w:tcPr>
            <w:tcW w:w="588" w:type="pct"/>
            <w:tcBorders>
              <w:top w:val="single" w:sz="4" w:space="0" w:color="auto"/>
              <w:left w:val="single" w:sz="4" w:space="0" w:color="auto"/>
              <w:bottom w:val="single" w:sz="4" w:space="0" w:color="auto"/>
              <w:right w:val="single" w:sz="4" w:space="0" w:color="auto"/>
            </w:tcBorders>
            <w:vAlign w:val="center"/>
          </w:tcPr>
          <w:p w14:paraId="37E6B159"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37.42 </w:t>
            </w:r>
          </w:p>
        </w:tc>
        <w:tc>
          <w:tcPr>
            <w:tcW w:w="758" w:type="pct"/>
            <w:tcBorders>
              <w:top w:val="single" w:sz="4" w:space="0" w:color="auto"/>
              <w:left w:val="single" w:sz="4" w:space="0" w:color="auto"/>
              <w:bottom w:val="single" w:sz="4" w:space="0" w:color="auto"/>
              <w:right w:val="single" w:sz="4" w:space="0" w:color="auto"/>
            </w:tcBorders>
            <w:vAlign w:val="center"/>
          </w:tcPr>
          <w:p w14:paraId="282E6B7D"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-7.61</w:t>
            </w:r>
          </w:p>
        </w:tc>
        <w:tc>
          <w:tcPr>
            <w:tcW w:w="800" w:type="pct"/>
            <w:tcBorders>
              <w:top w:val="single" w:sz="4" w:space="0" w:color="auto"/>
              <w:left w:val="single" w:sz="4" w:space="0" w:color="auto"/>
              <w:bottom w:val="single" w:sz="4" w:space="0" w:color="auto"/>
              <w:right w:val="single" w:sz="4" w:space="0" w:color="auto"/>
            </w:tcBorders>
            <w:vAlign w:val="center"/>
          </w:tcPr>
          <w:p w14:paraId="17DE712E"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527.83 </w:t>
            </w:r>
          </w:p>
        </w:tc>
        <w:tc>
          <w:tcPr>
            <w:tcW w:w="879" w:type="pct"/>
            <w:tcBorders>
              <w:top w:val="single" w:sz="4" w:space="0" w:color="auto"/>
              <w:left w:val="single" w:sz="4" w:space="0" w:color="auto"/>
              <w:bottom w:val="single" w:sz="4" w:space="0" w:color="auto"/>
              <w:right w:val="single" w:sz="4" w:space="0" w:color="auto"/>
            </w:tcBorders>
            <w:vAlign w:val="center"/>
          </w:tcPr>
          <w:p w14:paraId="4BA8B239"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422.40 </w:t>
            </w:r>
          </w:p>
        </w:tc>
      </w:tr>
      <w:tr w:rsidR="009C353B" w14:paraId="3C46E1BA"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61DEA889"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天然牧草地</w:t>
            </w:r>
          </w:p>
        </w:tc>
        <w:tc>
          <w:tcPr>
            <w:tcW w:w="588" w:type="pct"/>
            <w:tcBorders>
              <w:top w:val="single" w:sz="4" w:space="0" w:color="auto"/>
              <w:left w:val="single" w:sz="4" w:space="0" w:color="auto"/>
              <w:bottom w:val="single" w:sz="4" w:space="0" w:color="auto"/>
              <w:right w:val="single" w:sz="4" w:space="0" w:color="auto"/>
            </w:tcBorders>
            <w:vAlign w:val="center"/>
          </w:tcPr>
          <w:p w14:paraId="35F478D2"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75.41</w:t>
            </w:r>
          </w:p>
        </w:tc>
        <w:tc>
          <w:tcPr>
            <w:tcW w:w="588" w:type="pct"/>
            <w:tcBorders>
              <w:top w:val="single" w:sz="4" w:space="0" w:color="auto"/>
              <w:left w:val="single" w:sz="4" w:space="0" w:color="auto"/>
              <w:bottom w:val="single" w:sz="4" w:space="0" w:color="auto"/>
              <w:right w:val="single" w:sz="4" w:space="0" w:color="auto"/>
            </w:tcBorders>
            <w:vAlign w:val="center"/>
          </w:tcPr>
          <w:p w14:paraId="7ECBDD1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63.94</w:t>
            </w:r>
          </w:p>
        </w:tc>
        <w:tc>
          <w:tcPr>
            <w:tcW w:w="588" w:type="pct"/>
            <w:tcBorders>
              <w:top w:val="single" w:sz="4" w:space="0" w:color="auto"/>
              <w:left w:val="single" w:sz="4" w:space="0" w:color="auto"/>
              <w:bottom w:val="single" w:sz="4" w:space="0" w:color="auto"/>
              <w:right w:val="single" w:sz="4" w:space="0" w:color="auto"/>
            </w:tcBorders>
            <w:vAlign w:val="center"/>
          </w:tcPr>
          <w:p w14:paraId="6DED9C29"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25.40 </w:t>
            </w:r>
          </w:p>
        </w:tc>
        <w:tc>
          <w:tcPr>
            <w:tcW w:w="758" w:type="pct"/>
            <w:tcBorders>
              <w:top w:val="single" w:sz="4" w:space="0" w:color="auto"/>
              <w:left w:val="single" w:sz="4" w:space="0" w:color="auto"/>
              <w:bottom w:val="single" w:sz="4" w:space="0" w:color="auto"/>
              <w:right w:val="single" w:sz="4" w:space="0" w:color="auto"/>
            </w:tcBorders>
            <w:vAlign w:val="center"/>
          </w:tcPr>
          <w:p w14:paraId="4F8CC4CF"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-2.53</w:t>
            </w:r>
          </w:p>
        </w:tc>
        <w:tc>
          <w:tcPr>
            <w:tcW w:w="800" w:type="pct"/>
            <w:tcBorders>
              <w:top w:val="single" w:sz="4" w:space="0" w:color="auto"/>
              <w:left w:val="single" w:sz="4" w:space="0" w:color="auto"/>
              <w:bottom w:val="single" w:sz="4" w:space="0" w:color="auto"/>
              <w:right w:val="single" w:sz="4" w:space="0" w:color="auto"/>
            </w:tcBorders>
            <w:vAlign w:val="center"/>
          </w:tcPr>
          <w:p w14:paraId="66671309"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-6.70 </w:t>
            </w:r>
          </w:p>
        </w:tc>
        <w:tc>
          <w:tcPr>
            <w:tcW w:w="879" w:type="pct"/>
            <w:tcBorders>
              <w:top w:val="single" w:sz="4" w:space="0" w:color="auto"/>
              <w:left w:val="single" w:sz="4" w:space="0" w:color="auto"/>
              <w:bottom w:val="single" w:sz="4" w:space="0" w:color="auto"/>
              <w:right w:val="single" w:sz="4" w:space="0" w:color="auto"/>
            </w:tcBorders>
            <w:vAlign w:val="center"/>
          </w:tcPr>
          <w:p w14:paraId="1B52384F"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-11.05 </w:t>
            </w:r>
          </w:p>
        </w:tc>
      </w:tr>
      <w:tr w:rsidR="009C353B" w14:paraId="27EC97F1"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064E6ACD"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工矿用地</w:t>
            </w:r>
          </w:p>
        </w:tc>
        <w:tc>
          <w:tcPr>
            <w:tcW w:w="588" w:type="pct"/>
            <w:tcBorders>
              <w:top w:val="single" w:sz="4" w:space="0" w:color="auto"/>
              <w:left w:val="single" w:sz="4" w:space="0" w:color="auto"/>
              <w:bottom w:val="single" w:sz="4" w:space="0" w:color="auto"/>
              <w:right w:val="single" w:sz="4" w:space="0" w:color="auto"/>
            </w:tcBorders>
            <w:vAlign w:val="center"/>
          </w:tcPr>
          <w:p w14:paraId="0963DFDE"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0.00</w:t>
            </w:r>
          </w:p>
        </w:tc>
        <w:tc>
          <w:tcPr>
            <w:tcW w:w="588" w:type="pct"/>
            <w:tcBorders>
              <w:top w:val="single" w:sz="4" w:space="0" w:color="auto"/>
              <w:left w:val="single" w:sz="4" w:space="0" w:color="auto"/>
              <w:bottom w:val="single" w:sz="4" w:space="0" w:color="auto"/>
              <w:right w:val="single" w:sz="4" w:space="0" w:color="auto"/>
            </w:tcBorders>
            <w:vAlign w:val="center"/>
          </w:tcPr>
          <w:p w14:paraId="578FED43"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6.12</w:t>
            </w:r>
          </w:p>
        </w:tc>
        <w:tc>
          <w:tcPr>
            <w:tcW w:w="588" w:type="pct"/>
            <w:tcBorders>
              <w:top w:val="single" w:sz="4" w:space="0" w:color="auto"/>
              <w:left w:val="single" w:sz="4" w:space="0" w:color="auto"/>
              <w:bottom w:val="single" w:sz="4" w:space="0" w:color="auto"/>
              <w:right w:val="single" w:sz="4" w:space="0" w:color="auto"/>
            </w:tcBorders>
            <w:vAlign w:val="center"/>
          </w:tcPr>
          <w:p w14:paraId="478E0439"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6.67 </w:t>
            </w:r>
          </w:p>
        </w:tc>
        <w:tc>
          <w:tcPr>
            <w:tcW w:w="758" w:type="pct"/>
            <w:tcBorders>
              <w:top w:val="single" w:sz="4" w:space="0" w:color="auto"/>
              <w:left w:val="single" w:sz="4" w:space="0" w:color="auto"/>
              <w:bottom w:val="single" w:sz="4" w:space="0" w:color="auto"/>
              <w:right w:val="single" w:sz="4" w:space="0" w:color="auto"/>
            </w:tcBorders>
            <w:vAlign w:val="center"/>
          </w:tcPr>
          <w:p w14:paraId="2E44D33A"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7143986.34</w:t>
            </w:r>
          </w:p>
        </w:tc>
        <w:tc>
          <w:tcPr>
            <w:tcW w:w="800" w:type="pct"/>
            <w:tcBorders>
              <w:top w:val="single" w:sz="4" w:space="0" w:color="auto"/>
              <w:left w:val="single" w:sz="4" w:space="0" w:color="auto"/>
              <w:bottom w:val="single" w:sz="4" w:space="0" w:color="auto"/>
              <w:right w:val="single" w:sz="4" w:space="0" w:color="auto"/>
            </w:tcBorders>
            <w:vAlign w:val="center"/>
          </w:tcPr>
          <w:p w14:paraId="21682DB7"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1.00 </w:t>
            </w:r>
          </w:p>
        </w:tc>
        <w:tc>
          <w:tcPr>
            <w:tcW w:w="879" w:type="pct"/>
            <w:tcBorders>
              <w:top w:val="single" w:sz="4" w:space="0" w:color="auto"/>
              <w:left w:val="single" w:sz="4" w:space="0" w:color="auto"/>
              <w:bottom w:val="single" w:sz="4" w:space="0" w:color="auto"/>
              <w:right w:val="single" w:sz="4" w:space="0" w:color="auto"/>
            </w:tcBorders>
            <w:vAlign w:val="center"/>
          </w:tcPr>
          <w:p w14:paraId="34AE908F"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7789317.23 </w:t>
            </w:r>
          </w:p>
        </w:tc>
      </w:tr>
      <w:tr w:rsidR="009C353B" w14:paraId="15DC7610"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3A8DB1C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铁路用地</w:t>
            </w:r>
          </w:p>
        </w:tc>
        <w:tc>
          <w:tcPr>
            <w:tcW w:w="588" w:type="pct"/>
            <w:tcBorders>
              <w:top w:val="single" w:sz="4" w:space="0" w:color="auto"/>
              <w:left w:val="single" w:sz="4" w:space="0" w:color="auto"/>
              <w:bottom w:val="single" w:sz="4" w:space="0" w:color="auto"/>
              <w:right w:val="single" w:sz="4" w:space="0" w:color="auto"/>
            </w:tcBorders>
            <w:vAlign w:val="center"/>
          </w:tcPr>
          <w:p w14:paraId="68EAB041"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0.00</w:t>
            </w:r>
          </w:p>
        </w:tc>
        <w:tc>
          <w:tcPr>
            <w:tcW w:w="588" w:type="pct"/>
            <w:tcBorders>
              <w:top w:val="single" w:sz="4" w:space="0" w:color="auto"/>
              <w:left w:val="single" w:sz="4" w:space="0" w:color="auto"/>
              <w:bottom w:val="single" w:sz="4" w:space="0" w:color="auto"/>
              <w:right w:val="single" w:sz="4" w:space="0" w:color="auto"/>
            </w:tcBorders>
            <w:vAlign w:val="center"/>
          </w:tcPr>
          <w:p w14:paraId="0E78A2F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0.47</w:t>
            </w:r>
          </w:p>
        </w:tc>
        <w:tc>
          <w:tcPr>
            <w:tcW w:w="588" w:type="pct"/>
            <w:tcBorders>
              <w:top w:val="single" w:sz="4" w:space="0" w:color="auto"/>
              <w:left w:val="single" w:sz="4" w:space="0" w:color="auto"/>
              <w:bottom w:val="single" w:sz="4" w:space="0" w:color="auto"/>
              <w:right w:val="single" w:sz="4" w:space="0" w:color="auto"/>
            </w:tcBorders>
            <w:vAlign w:val="center"/>
          </w:tcPr>
          <w:p w14:paraId="45102F5A"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0.42 </w:t>
            </w:r>
          </w:p>
        </w:tc>
        <w:tc>
          <w:tcPr>
            <w:tcW w:w="758" w:type="pct"/>
            <w:tcBorders>
              <w:top w:val="single" w:sz="4" w:space="0" w:color="auto"/>
              <w:left w:val="single" w:sz="4" w:space="0" w:color="auto"/>
              <w:bottom w:val="single" w:sz="4" w:space="0" w:color="auto"/>
              <w:right w:val="single" w:sz="4" w:space="0" w:color="auto"/>
            </w:tcBorders>
            <w:vAlign w:val="center"/>
          </w:tcPr>
          <w:p w14:paraId="18F558D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782705.49</w:t>
            </w:r>
          </w:p>
        </w:tc>
        <w:tc>
          <w:tcPr>
            <w:tcW w:w="800" w:type="pct"/>
            <w:tcBorders>
              <w:top w:val="single" w:sz="4" w:space="0" w:color="auto"/>
              <w:left w:val="single" w:sz="4" w:space="0" w:color="auto"/>
              <w:bottom w:val="single" w:sz="4" w:space="0" w:color="auto"/>
              <w:right w:val="single" w:sz="4" w:space="0" w:color="auto"/>
            </w:tcBorders>
            <w:vAlign w:val="center"/>
          </w:tcPr>
          <w:p w14:paraId="175D7B49"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-1.27 </w:t>
            </w:r>
          </w:p>
        </w:tc>
        <w:tc>
          <w:tcPr>
            <w:tcW w:w="879" w:type="pct"/>
            <w:tcBorders>
              <w:top w:val="single" w:sz="4" w:space="0" w:color="auto"/>
              <w:left w:val="single" w:sz="4" w:space="0" w:color="auto"/>
              <w:bottom w:val="single" w:sz="4" w:space="0" w:color="auto"/>
              <w:right w:val="single" w:sz="4" w:space="0" w:color="auto"/>
            </w:tcBorders>
            <w:vAlign w:val="center"/>
          </w:tcPr>
          <w:p w14:paraId="784F50D2"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693443.57 </w:t>
            </w:r>
          </w:p>
        </w:tc>
      </w:tr>
      <w:tr w:rsidR="009C353B" w14:paraId="46C63037"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45A9FB5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公路用地</w:t>
            </w:r>
          </w:p>
        </w:tc>
        <w:tc>
          <w:tcPr>
            <w:tcW w:w="588" w:type="pct"/>
            <w:tcBorders>
              <w:top w:val="single" w:sz="4" w:space="0" w:color="auto"/>
              <w:left w:val="single" w:sz="4" w:space="0" w:color="auto"/>
              <w:bottom w:val="single" w:sz="4" w:space="0" w:color="auto"/>
              <w:right w:val="single" w:sz="4" w:space="0" w:color="auto"/>
            </w:tcBorders>
            <w:vAlign w:val="center"/>
          </w:tcPr>
          <w:p w14:paraId="251BDC93"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0.12</w:t>
            </w:r>
          </w:p>
        </w:tc>
        <w:tc>
          <w:tcPr>
            <w:tcW w:w="588" w:type="pct"/>
            <w:tcBorders>
              <w:top w:val="single" w:sz="4" w:space="0" w:color="auto"/>
              <w:left w:val="single" w:sz="4" w:space="0" w:color="auto"/>
              <w:bottom w:val="single" w:sz="4" w:space="0" w:color="auto"/>
              <w:right w:val="single" w:sz="4" w:space="0" w:color="auto"/>
            </w:tcBorders>
            <w:vAlign w:val="center"/>
          </w:tcPr>
          <w:p w14:paraId="38E9AE12"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1.28</w:t>
            </w:r>
          </w:p>
        </w:tc>
        <w:tc>
          <w:tcPr>
            <w:tcW w:w="588" w:type="pct"/>
            <w:tcBorders>
              <w:top w:val="single" w:sz="4" w:space="0" w:color="auto"/>
              <w:left w:val="single" w:sz="4" w:space="0" w:color="auto"/>
              <w:bottom w:val="single" w:sz="4" w:space="0" w:color="auto"/>
              <w:right w:val="single" w:sz="4" w:space="0" w:color="auto"/>
            </w:tcBorders>
            <w:vAlign w:val="center"/>
          </w:tcPr>
          <w:p w14:paraId="77C7CAFE"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1.17 </w:t>
            </w:r>
          </w:p>
        </w:tc>
        <w:tc>
          <w:tcPr>
            <w:tcW w:w="758" w:type="pct"/>
            <w:tcBorders>
              <w:top w:val="single" w:sz="4" w:space="0" w:color="auto"/>
              <w:left w:val="single" w:sz="4" w:space="0" w:color="auto"/>
              <w:bottom w:val="single" w:sz="4" w:space="0" w:color="auto"/>
              <w:right w:val="single" w:sz="4" w:space="0" w:color="auto"/>
            </w:tcBorders>
            <w:vAlign w:val="center"/>
          </w:tcPr>
          <w:p w14:paraId="46C3660A"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168.27</w:t>
            </w:r>
          </w:p>
        </w:tc>
        <w:tc>
          <w:tcPr>
            <w:tcW w:w="800" w:type="pct"/>
            <w:tcBorders>
              <w:top w:val="single" w:sz="4" w:space="0" w:color="auto"/>
              <w:left w:val="single" w:sz="4" w:space="0" w:color="auto"/>
              <w:bottom w:val="single" w:sz="4" w:space="0" w:color="auto"/>
              <w:right w:val="single" w:sz="4" w:space="0" w:color="auto"/>
            </w:tcBorders>
            <w:vAlign w:val="center"/>
          </w:tcPr>
          <w:p w14:paraId="512E5989"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-0.91 </w:t>
            </w:r>
          </w:p>
        </w:tc>
        <w:tc>
          <w:tcPr>
            <w:tcW w:w="879" w:type="pct"/>
            <w:tcBorders>
              <w:top w:val="single" w:sz="4" w:space="0" w:color="auto"/>
              <w:left w:val="single" w:sz="4" w:space="0" w:color="auto"/>
              <w:bottom w:val="single" w:sz="4" w:space="0" w:color="auto"/>
              <w:right w:val="single" w:sz="4" w:space="0" w:color="auto"/>
            </w:tcBorders>
            <w:vAlign w:val="center"/>
          </w:tcPr>
          <w:p w14:paraId="7A2DB6AE"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153.15 </w:t>
            </w:r>
          </w:p>
        </w:tc>
      </w:tr>
      <w:tr w:rsidR="009C353B" w14:paraId="738257FC"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3C348353"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农村道路</w:t>
            </w:r>
          </w:p>
        </w:tc>
        <w:tc>
          <w:tcPr>
            <w:tcW w:w="588" w:type="pct"/>
            <w:tcBorders>
              <w:top w:val="single" w:sz="4" w:space="0" w:color="auto"/>
              <w:left w:val="single" w:sz="4" w:space="0" w:color="auto"/>
              <w:bottom w:val="single" w:sz="4" w:space="0" w:color="auto"/>
              <w:right w:val="single" w:sz="4" w:space="0" w:color="auto"/>
            </w:tcBorders>
            <w:vAlign w:val="center"/>
          </w:tcPr>
          <w:p w14:paraId="459EDCB8"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0.51</w:t>
            </w:r>
          </w:p>
        </w:tc>
        <w:tc>
          <w:tcPr>
            <w:tcW w:w="588" w:type="pct"/>
            <w:tcBorders>
              <w:top w:val="single" w:sz="4" w:space="0" w:color="auto"/>
              <w:left w:val="single" w:sz="4" w:space="0" w:color="auto"/>
              <w:bottom w:val="single" w:sz="4" w:space="0" w:color="auto"/>
              <w:right w:val="single" w:sz="4" w:space="0" w:color="auto"/>
            </w:tcBorders>
            <w:vAlign w:val="center"/>
          </w:tcPr>
          <w:p w14:paraId="7A866950"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0.45</w:t>
            </w:r>
          </w:p>
        </w:tc>
        <w:tc>
          <w:tcPr>
            <w:tcW w:w="588" w:type="pct"/>
            <w:tcBorders>
              <w:top w:val="single" w:sz="4" w:space="0" w:color="auto"/>
              <w:left w:val="single" w:sz="4" w:space="0" w:color="auto"/>
              <w:bottom w:val="single" w:sz="4" w:space="0" w:color="auto"/>
              <w:right w:val="single" w:sz="4" w:space="0" w:color="auto"/>
            </w:tcBorders>
            <w:vAlign w:val="center"/>
          </w:tcPr>
          <w:p w14:paraId="1183268A"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0.19 </w:t>
            </w:r>
          </w:p>
        </w:tc>
        <w:tc>
          <w:tcPr>
            <w:tcW w:w="758" w:type="pct"/>
            <w:tcBorders>
              <w:top w:val="single" w:sz="4" w:space="0" w:color="auto"/>
              <w:left w:val="single" w:sz="4" w:space="0" w:color="auto"/>
              <w:bottom w:val="single" w:sz="4" w:space="0" w:color="auto"/>
              <w:right w:val="single" w:sz="4" w:space="0" w:color="auto"/>
            </w:tcBorders>
            <w:vAlign w:val="center"/>
          </w:tcPr>
          <w:p w14:paraId="6F6A3500"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-2.01</w:t>
            </w:r>
          </w:p>
        </w:tc>
        <w:tc>
          <w:tcPr>
            <w:tcW w:w="800" w:type="pct"/>
            <w:tcBorders>
              <w:top w:val="single" w:sz="4" w:space="0" w:color="auto"/>
              <w:left w:val="single" w:sz="4" w:space="0" w:color="auto"/>
              <w:bottom w:val="single" w:sz="4" w:space="0" w:color="auto"/>
              <w:right w:val="single" w:sz="4" w:space="0" w:color="auto"/>
            </w:tcBorders>
            <w:vAlign w:val="center"/>
          </w:tcPr>
          <w:p w14:paraId="58803C08"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-6.46 </w:t>
            </w:r>
          </w:p>
        </w:tc>
        <w:tc>
          <w:tcPr>
            <w:tcW w:w="879" w:type="pct"/>
            <w:tcBorders>
              <w:top w:val="single" w:sz="4" w:space="0" w:color="auto"/>
              <w:left w:val="single" w:sz="4" w:space="0" w:color="auto"/>
              <w:bottom w:val="single" w:sz="4" w:space="0" w:color="auto"/>
              <w:right w:val="single" w:sz="4" w:space="0" w:color="auto"/>
            </w:tcBorders>
            <w:vAlign w:val="center"/>
          </w:tcPr>
          <w:p w14:paraId="4A8BE2A3"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-10.53 </w:t>
            </w:r>
          </w:p>
        </w:tc>
      </w:tr>
      <w:tr w:rsidR="009C353B" w14:paraId="7BF7C0D8"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6A765767"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河流水面</w:t>
            </w:r>
          </w:p>
        </w:tc>
        <w:tc>
          <w:tcPr>
            <w:tcW w:w="588" w:type="pct"/>
            <w:tcBorders>
              <w:top w:val="single" w:sz="4" w:space="0" w:color="auto"/>
              <w:left w:val="single" w:sz="4" w:space="0" w:color="auto"/>
              <w:bottom w:val="single" w:sz="4" w:space="0" w:color="auto"/>
              <w:right w:val="single" w:sz="4" w:space="0" w:color="auto"/>
            </w:tcBorders>
            <w:vAlign w:val="center"/>
          </w:tcPr>
          <w:p w14:paraId="59040A2B"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1.03</w:t>
            </w:r>
          </w:p>
        </w:tc>
        <w:tc>
          <w:tcPr>
            <w:tcW w:w="588" w:type="pct"/>
            <w:tcBorders>
              <w:top w:val="single" w:sz="4" w:space="0" w:color="auto"/>
              <w:left w:val="single" w:sz="4" w:space="0" w:color="auto"/>
              <w:bottom w:val="single" w:sz="4" w:space="0" w:color="auto"/>
              <w:right w:val="single" w:sz="4" w:space="0" w:color="auto"/>
            </w:tcBorders>
            <w:vAlign w:val="center"/>
          </w:tcPr>
          <w:p w14:paraId="0B070837"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1.25</w:t>
            </w:r>
          </w:p>
        </w:tc>
        <w:tc>
          <w:tcPr>
            <w:tcW w:w="588" w:type="pct"/>
            <w:tcBorders>
              <w:top w:val="single" w:sz="4" w:space="0" w:color="auto"/>
              <w:left w:val="single" w:sz="4" w:space="0" w:color="auto"/>
              <w:bottom w:val="single" w:sz="4" w:space="0" w:color="auto"/>
              <w:right w:val="single" w:sz="4" w:space="0" w:color="auto"/>
            </w:tcBorders>
            <w:vAlign w:val="center"/>
          </w:tcPr>
          <w:p w14:paraId="27D2CB5F"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1.24 </w:t>
            </w:r>
          </w:p>
        </w:tc>
        <w:tc>
          <w:tcPr>
            <w:tcW w:w="758" w:type="pct"/>
            <w:tcBorders>
              <w:top w:val="single" w:sz="4" w:space="0" w:color="auto"/>
              <w:left w:val="single" w:sz="4" w:space="0" w:color="auto"/>
              <w:bottom w:val="single" w:sz="4" w:space="0" w:color="auto"/>
              <w:right w:val="single" w:sz="4" w:space="0" w:color="auto"/>
            </w:tcBorders>
            <w:vAlign w:val="center"/>
          </w:tcPr>
          <w:p w14:paraId="5CD0C77D"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3.62</w:t>
            </w:r>
          </w:p>
        </w:tc>
        <w:tc>
          <w:tcPr>
            <w:tcW w:w="800" w:type="pct"/>
            <w:tcBorders>
              <w:top w:val="single" w:sz="4" w:space="0" w:color="auto"/>
              <w:left w:val="single" w:sz="4" w:space="0" w:color="auto"/>
              <w:bottom w:val="single" w:sz="4" w:space="0" w:color="auto"/>
              <w:right w:val="single" w:sz="4" w:space="0" w:color="auto"/>
            </w:tcBorders>
            <w:vAlign w:val="center"/>
          </w:tcPr>
          <w:p w14:paraId="5081E74B"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-0.10 </w:t>
            </w:r>
          </w:p>
        </w:tc>
        <w:tc>
          <w:tcPr>
            <w:tcW w:w="879" w:type="pct"/>
            <w:tcBorders>
              <w:top w:val="single" w:sz="4" w:space="0" w:color="auto"/>
              <w:left w:val="single" w:sz="4" w:space="0" w:color="auto"/>
              <w:bottom w:val="single" w:sz="4" w:space="0" w:color="auto"/>
              <w:right w:val="single" w:sz="4" w:space="0" w:color="auto"/>
            </w:tcBorders>
            <w:vAlign w:val="center"/>
          </w:tcPr>
          <w:p w14:paraId="2292FCC4"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3.43 </w:t>
            </w:r>
          </w:p>
        </w:tc>
      </w:tr>
      <w:tr w:rsidR="009C353B" w14:paraId="6ACC13D7"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6AAE0FE8"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内陆滩涂</w:t>
            </w:r>
          </w:p>
        </w:tc>
        <w:tc>
          <w:tcPr>
            <w:tcW w:w="588" w:type="pct"/>
            <w:tcBorders>
              <w:top w:val="single" w:sz="4" w:space="0" w:color="auto"/>
              <w:left w:val="single" w:sz="4" w:space="0" w:color="auto"/>
              <w:bottom w:val="single" w:sz="4" w:space="0" w:color="auto"/>
              <w:right w:val="single" w:sz="4" w:space="0" w:color="auto"/>
            </w:tcBorders>
            <w:vAlign w:val="center"/>
          </w:tcPr>
          <w:p w14:paraId="32A537C9"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0.45</w:t>
            </w:r>
          </w:p>
        </w:tc>
        <w:tc>
          <w:tcPr>
            <w:tcW w:w="588" w:type="pct"/>
            <w:tcBorders>
              <w:top w:val="single" w:sz="4" w:space="0" w:color="auto"/>
              <w:left w:val="single" w:sz="4" w:space="0" w:color="auto"/>
              <w:bottom w:val="single" w:sz="4" w:space="0" w:color="auto"/>
              <w:right w:val="single" w:sz="4" w:space="0" w:color="auto"/>
            </w:tcBorders>
            <w:vAlign w:val="center"/>
          </w:tcPr>
          <w:p w14:paraId="0759E135"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0.66</w:t>
            </w:r>
          </w:p>
        </w:tc>
        <w:tc>
          <w:tcPr>
            <w:tcW w:w="588" w:type="pct"/>
            <w:tcBorders>
              <w:top w:val="single" w:sz="4" w:space="0" w:color="auto"/>
              <w:left w:val="single" w:sz="4" w:space="0" w:color="auto"/>
              <w:bottom w:val="single" w:sz="4" w:space="0" w:color="auto"/>
              <w:right w:val="single" w:sz="4" w:space="0" w:color="auto"/>
            </w:tcBorders>
            <w:vAlign w:val="center"/>
          </w:tcPr>
          <w:p w14:paraId="1E2150CC"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0.59 </w:t>
            </w:r>
          </w:p>
        </w:tc>
        <w:tc>
          <w:tcPr>
            <w:tcW w:w="758" w:type="pct"/>
            <w:tcBorders>
              <w:top w:val="single" w:sz="4" w:space="0" w:color="auto"/>
              <w:left w:val="single" w:sz="4" w:space="0" w:color="auto"/>
              <w:bottom w:val="single" w:sz="4" w:space="0" w:color="auto"/>
              <w:right w:val="single" w:sz="4" w:space="0" w:color="auto"/>
            </w:tcBorders>
            <w:vAlign w:val="center"/>
          </w:tcPr>
          <w:p w14:paraId="7F2571D4"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7.93</w:t>
            </w:r>
          </w:p>
        </w:tc>
        <w:tc>
          <w:tcPr>
            <w:tcW w:w="800" w:type="pct"/>
            <w:tcBorders>
              <w:top w:val="single" w:sz="4" w:space="0" w:color="auto"/>
              <w:left w:val="single" w:sz="4" w:space="0" w:color="auto"/>
              <w:bottom w:val="single" w:sz="4" w:space="0" w:color="auto"/>
              <w:right w:val="single" w:sz="4" w:space="0" w:color="auto"/>
            </w:tcBorders>
            <w:vAlign w:val="center"/>
          </w:tcPr>
          <w:p w14:paraId="5A8CDC68"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-1.17 </w:t>
            </w:r>
          </w:p>
        </w:tc>
        <w:tc>
          <w:tcPr>
            <w:tcW w:w="879" w:type="pct"/>
            <w:tcBorders>
              <w:top w:val="single" w:sz="4" w:space="0" w:color="auto"/>
              <w:left w:val="single" w:sz="4" w:space="0" w:color="auto"/>
              <w:bottom w:val="single" w:sz="4" w:space="0" w:color="auto"/>
              <w:right w:val="single" w:sz="4" w:space="0" w:color="auto"/>
            </w:tcBorders>
            <w:vAlign w:val="center"/>
          </w:tcPr>
          <w:p w14:paraId="68F06E80"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5.34 </w:t>
            </w:r>
          </w:p>
        </w:tc>
      </w:tr>
      <w:tr w:rsidR="009C353B" w14:paraId="77688144"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32221C29"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沙地</w:t>
            </w:r>
          </w:p>
        </w:tc>
        <w:tc>
          <w:tcPr>
            <w:tcW w:w="588" w:type="pct"/>
            <w:tcBorders>
              <w:top w:val="single" w:sz="4" w:space="0" w:color="auto"/>
              <w:left w:val="single" w:sz="4" w:space="0" w:color="auto"/>
              <w:bottom w:val="single" w:sz="4" w:space="0" w:color="auto"/>
              <w:right w:val="single" w:sz="4" w:space="0" w:color="auto"/>
            </w:tcBorders>
            <w:vAlign w:val="center"/>
          </w:tcPr>
          <w:p w14:paraId="619F30E0"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5.33</w:t>
            </w:r>
          </w:p>
        </w:tc>
        <w:tc>
          <w:tcPr>
            <w:tcW w:w="588" w:type="pct"/>
            <w:tcBorders>
              <w:top w:val="single" w:sz="4" w:space="0" w:color="auto"/>
              <w:left w:val="single" w:sz="4" w:space="0" w:color="auto"/>
              <w:bottom w:val="single" w:sz="4" w:space="0" w:color="auto"/>
              <w:right w:val="single" w:sz="4" w:space="0" w:color="auto"/>
            </w:tcBorders>
            <w:vAlign w:val="center"/>
          </w:tcPr>
          <w:p w14:paraId="3322F55D"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5.00</w:t>
            </w:r>
          </w:p>
        </w:tc>
        <w:tc>
          <w:tcPr>
            <w:tcW w:w="588" w:type="pct"/>
            <w:tcBorders>
              <w:top w:val="single" w:sz="4" w:space="0" w:color="auto"/>
              <w:left w:val="single" w:sz="4" w:space="0" w:color="auto"/>
              <w:bottom w:val="single" w:sz="4" w:space="0" w:color="auto"/>
              <w:right w:val="single" w:sz="4" w:space="0" w:color="auto"/>
            </w:tcBorders>
            <w:vAlign w:val="center"/>
          </w:tcPr>
          <w:p w14:paraId="5F2BD184"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0.00 </w:t>
            </w:r>
          </w:p>
        </w:tc>
        <w:tc>
          <w:tcPr>
            <w:tcW w:w="758" w:type="pct"/>
            <w:tcBorders>
              <w:top w:val="single" w:sz="4" w:space="0" w:color="auto"/>
              <w:left w:val="single" w:sz="4" w:space="0" w:color="auto"/>
              <w:bottom w:val="single" w:sz="4" w:space="0" w:color="auto"/>
              <w:right w:val="single" w:sz="4" w:space="0" w:color="auto"/>
            </w:tcBorders>
            <w:vAlign w:val="center"/>
          </w:tcPr>
          <w:p w14:paraId="2F11A1E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-1.03</w:t>
            </w:r>
          </w:p>
        </w:tc>
        <w:tc>
          <w:tcPr>
            <w:tcW w:w="800" w:type="pct"/>
            <w:tcBorders>
              <w:top w:val="single" w:sz="4" w:space="0" w:color="auto"/>
              <w:left w:val="single" w:sz="4" w:space="0" w:color="auto"/>
              <w:bottom w:val="single" w:sz="4" w:space="0" w:color="auto"/>
              <w:right w:val="single" w:sz="4" w:space="0" w:color="auto"/>
            </w:tcBorders>
            <w:vAlign w:val="center"/>
          </w:tcPr>
          <w:p w14:paraId="527CD270"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-11.11 </w:t>
            </w:r>
          </w:p>
        </w:tc>
        <w:tc>
          <w:tcPr>
            <w:tcW w:w="879" w:type="pct"/>
            <w:tcBorders>
              <w:top w:val="single" w:sz="4" w:space="0" w:color="auto"/>
              <w:left w:val="single" w:sz="4" w:space="0" w:color="auto"/>
              <w:bottom w:val="single" w:sz="4" w:space="0" w:color="auto"/>
              <w:right w:val="single" w:sz="4" w:space="0" w:color="auto"/>
            </w:tcBorders>
            <w:vAlign w:val="center"/>
          </w:tcPr>
          <w:p w14:paraId="19A20362"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-16.67 </w:t>
            </w:r>
          </w:p>
        </w:tc>
      </w:tr>
      <w:tr w:rsidR="009C353B" w14:paraId="6C1A5ACF" w14:textId="77777777">
        <w:trPr>
          <w:trHeight w:val="397"/>
          <w:jc w:val="center"/>
        </w:trPr>
        <w:tc>
          <w:tcPr>
            <w:tcW w:w="799" w:type="pct"/>
            <w:tcBorders>
              <w:top w:val="single" w:sz="4" w:space="0" w:color="auto"/>
              <w:left w:val="single" w:sz="4" w:space="0" w:color="auto"/>
              <w:bottom w:val="single" w:sz="4" w:space="0" w:color="auto"/>
              <w:right w:val="single" w:sz="4" w:space="0" w:color="auto"/>
            </w:tcBorders>
            <w:vAlign w:val="center"/>
          </w:tcPr>
          <w:p w14:paraId="7F341685"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裸土地</w:t>
            </w:r>
          </w:p>
        </w:tc>
        <w:tc>
          <w:tcPr>
            <w:tcW w:w="588" w:type="pct"/>
            <w:tcBorders>
              <w:top w:val="single" w:sz="4" w:space="0" w:color="auto"/>
              <w:left w:val="single" w:sz="4" w:space="0" w:color="auto"/>
              <w:bottom w:val="single" w:sz="4" w:space="0" w:color="auto"/>
              <w:right w:val="single" w:sz="4" w:space="0" w:color="auto"/>
            </w:tcBorders>
            <w:vAlign w:val="center"/>
          </w:tcPr>
          <w:p w14:paraId="0C50E03C"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1.59</w:t>
            </w:r>
          </w:p>
        </w:tc>
        <w:tc>
          <w:tcPr>
            <w:tcW w:w="588" w:type="pct"/>
            <w:tcBorders>
              <w:top w:val="single" w:sz="4" w:space="0" w:color="auto"/>
              <w:left w:val="single" w:sz="4" w:space="0" w:color="auto"/>
              <w:bottom w:val="single" w:sz="4" w:space="0" w:color="auto"/>
              <w:right w:val="single" w:sz="4" w:space="0" w:color="auto"/>
            </w:tcBorders>
            <w:vAlign w:val="center"/>
          </w:tcPr>
          <w:p w14:paraId="15B71147"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1.60</w:t>
            </w:r>
          </w:p>
        </w:tc>
        <w:tc>
          <w:tcPr>
            <w:tcW w:w="588" w:type="pct"/>
            <w:tcBorders>
              <w:top w:val="single" w:sz="4" w:space="0" w:color="auto"/>
              <w:left w:val="single" w:sz="4" w:space="0" w:color="auto"/>
              <w:bottom w:val="single" w:sz="4" w:space="0" w:color="auto"/>
              <w:right w:val="single" w:sz="4" w:space="0" w:color="auto"/>
            </w:tcBorders>
            <w:vAlign w:val="center"/>
          </w:tcPr>
          <w:p w14:paraId="2B1E7C1A"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3.08 </w:t>
            </w:r>
          </w:p>
        </w:tc>
        <w:tc>
          <w:tcPr>
            <w:tcW w:w="758" w:type="pct"/>
            <w:tcBorders>
              <w:top w:val="single" w:sz="4" w:space="0" w:color="auto"/>
              <w:left w:val="single" w:sz="4" w:space="0" w:color="auto"/>
              <w:bottom w:val="single" w:sz="4" w:space="0" w:color="auto"/>
              <w:right w:val="single" w:sz="4" w:space="0" w:color="auto"/>
            </w:tcBorders>
            <w:vAlign w:val="center"/>
          </w:tcPr>
          <w:p w14:paraId="4B8BCAD6" w14:textId="77777777" w:rsidR="009C353B" w:rsidRDefault="00000000">
            <w:pPr>
              <w:pStyle w:val="affffd"/>
              <w:spacing w:line="440" w:lineRule="exact"/>
              <w:jc w:val="center"/>
              <w:rPr>
                <w:rFonts w:ascii="Times New Roman" w:hAnsi="Times New Roman"/>
                <w:sz w:val="21"/>
                <w:szCs w:val="21"/>
              </w:rPr>
            </w:pPr>
            <w:r>
              <w:rPr>
                <w:rFonts w:ascii="Times New Roman" w:hAnsi="Times New Roman"/>
                <w:sz w:val="21"/>
                <w:szCs w:val="21"/>
              </w:rPr>
              <w:t>0.14</w:t>
            </w:r>
          </w:p>
        </w:tc>
        <w:tc>
          <w:tcPr>
            <w:tcW w:w="800" w:type="pct"/>
            <w:tcBorders>
              <w:top w:val="single" w:sz="4" w:space="0" w:color="auto"/>
              <w:left w:val="single" w:sz="4" w:space="0" w:color="auto"/>
              <w:bottom w:val="single" w:sz="4" w:space="0" w:color="auto"/>
              <w:right w:val="single" w:sz="4" w:space="0" w:color="auto"/>
            </w:tcBorders>
            <w:vAlign w:val="center"/>
          </w:tcPr>
          <w:p w14:paraId="4CF141F8"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10.23 </w:t>
            </w:r>
          </w:p>
        </w:tc>
        <w:tc>
          <w:tcPr>
            <w:tcW w:w="879" w:type="pct"/>
            <w:tcBorders>
              <w:top w:val="single" w:sz="4" w:space="0" w:color="auto"/>
              <w:left w:val="single" w:sz="4" w:space="0" w:color="auto"/>
              <w:bottom w:val="single" w:sz="4" w:space="0" w:color="auto"/>
              <w:right w:val="single" w:sz="4" w:space="0" w:color="auto"/>
            </w:tcBorders>
            <w:vAlign w:val="center"/>
          </w:tcPr>
          <w:p w14:paraId="5E7C92D8" w14:textId="77777777" w:rsidR="009C353B" w:rsidRDefault="00000000">
            <w:pPr>
              <w:pStyle w:val="affffd"/>
              <w:spacing w:line="440" w:lineRule="exact"/>
              <w:jc w:val="center"/>
              <w:rPr>
                <w:rFonts w:ascii="Times New Roman" w:hAnsi="Times New Roman"/>
                <w:sz w:val="21"/>
                <w:szCs w:val="21"/>
              </w:rPr>
            </w:pPr>
            <w:r>
              <w:rPr>
                <w:rFonts w:ascii="Times New Roman" w:eastAsia="等线" w:hAnsi="Times New Roman"/>
                <w:sz w:val="21"/>
                <w:szCs w:val="21"/>
              </w:rPr>
              <w:t xml:space="preserve">15.61 </w:t>
            </w:r>
          </w:p>
        </w:tc>
      </w:tr>
    </w:tbl>
    <w:p w14:paraId="4A1A9815" w14:textId="77777777" w:rsidR="009C353B" w:rsidRDefault="009C353B">
      <w:pPr>
        <w:adjustRightInd w:val="0"/>
        <w:snapToGrid w:val="0"/>
        <w:spacing w:line="440" w:lineRule="exact"/>
        <w:ind w:firstLine="482"/>
        <w:rPr>
          <w:rFonts w:ascii="Times New Roman" w:hAnsi="Times New Roman"/>
          <w:szCs w:val="24"/>
        </w:rPr>
      </w:pPr>
    </w:p>
    <w:p w14:paraId="79493238"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从表</w:t>
      </w:r>
      <w:r>
        <w:rPr>
          <w:rFonts w:ascii="Times New Roman" w:hAnsi="Times New Roman"/>
          <w:szCs w:val="24"/>
        </w:rPr>
        <w:t>4.</w:t>
      </w:r>
      <w:r>
        <w:rPr>
          <w:rFonts w:ascii="Times New Roman" w:hAnsi="Times New Roman" w:hint="eastAsia"/>
          <w:szCs w:val="24"/>
        </w:rPr>
        <w:t>5</w:t>
      </w:r>
      <w:r>
        <w:rPr>
          <w:rFonts w:ascii="Times New Roman" w:hAnsi="Times New Roman"/>
          <w:szCs w:val="24"/>
        </w:rPr>
        <w:t>-2</w:t>
      </w:r>
      <w:r>
        <w:rPr>
          <w:rFonts w:ascii="Times New Roman" w:hAnsi="Times New Roman" w:hint="eastAsia"/>
          <w:szCs w:val="24"/>
        </w:rPr>
        <w:t>可以看出</w:t>
      </w:r>
      <w:r>
        <w:rPr>
          <w:rFonts w:ascii="Times New Roman" w:hAnsi="Times New Roman"/>
          <w:szCs w:val="24"/>
        </w:rPr>
        <w:t>，</w:t>
      </w:r>
      <w:r>
        <w:rPr>
          <w:rFonts w:ascii="Times New Roman" w:hAnsi="Times New Roman"/>
          <w:szCs w:val="24"/>
        </w:rPr>
        <w:t>2004-2019</w:t>
      </w:r>
      <w:r>
        <w:rPr>
          <w:rFonts w:ascii="Times New Roman" w:hAnsi="Times New Roman"/>
          <w:szCs w:val="24"/>
        </w:rPr>
        <w:t>年间，评价区内的</w:t>
      </w:r>
      <w:r>
        <w:rPr>
          <w:rFonts w:ascii="Times New Roman" w:hAnsi="Times New Roman" w:hint="eastAsia"/>
          <w:szCs w:val="24"/>
        </w:rPr>
        <w:t>天然牧草地的</w:t>
      </w:r>
      <w:r>
        <w:rPr>
          <w:rFonts w:ascii="Times New Roman" w:hAnsi="Times New Roman"/>
          <w:szCs w:val="24"/>
        </w:rPr>
        <w:t>土地利用动态度为负</w:t>
      </w:r>
      <w:r>
        <w:rPr>
          <w:rFonts w:ascii="Times New Roman" w:hAnsi="Times New Roman" w:hint="eastAsia"/>
          <w:szCs w:val="24"/>
        </w:rPr>
        <w:t>值</w:t>
      </w:r>
      <w:r>
        <w:rPr>
          <w:rFonts w:ascii="Times New Roman" w:hAnsi="Times New Roman"/>
          <w:szCs w:val="24"/>
        </w:rPr>
        <w:t>，表明</w:t>
      </w:r>
      <w:r>
        <w:rPr>
          <w:rFonts w:ascii="Times New Roman" w:hAnsi="Times New Roman" w:hint="eastAsia"/>
          <w:szCs w:val="24"/>
        </w:rPr>
        <w:t>其</w:t>
      </w:r>
      <w:r>
        <w:rPr>
          <w:rFonts w:ascii="Times New Roman" w:hAnsi="Times New Roman"/>
          <w:szCs w:val="24"/>
        </w:rPr>
        <w:t>在这一时段内总体上呈现减少的趋势；</w:t>
      </w:r>
      <w:r>
        <w:rPr>
          <w:rFonts w:ascii="Times New Roman" w:hAnsi="Times New Roman" w:hint="eastAsia"/>
          <w:szCs w:val="24"/>
        </w:rPr>
        <w:t>工矿用地、城镇住宅用地、公路用地、铁路用地、水库水面和坑塘水面的土地利用动态为正值，其中，工矿用地、水库水面和坑塘水面的土地利用动态变化最为剧烈，呈现明显的上升趋势。乔木林地和灌木林地的土地利用动态度为正值，总体上呈现增加的趋势，同时沙地的土地利用动态度为负值，呈现减少的趋势。可见评价区的土地利用变化</w:t>
      </w:r>
      <w:r>
        <w:rPr>
          <w:rFonts w:ascii="Times New Roman" w:hAnsi="Times New Roman"/>
          <w:szCs w:val="24"/>
        </w:rPr>
        <w:t>与区域内的人类活动密切相关，</w:t>
      </w:r>
      <w:r>
        <w:rPr>
          <w:rFonts w:ascii="Times New Roman" w:hAnsi="Times New Roman" w:hint="eastAsia"/>
          <w:szCs w:val="24"/>
        </w:rPr>
        <w:t>工业建设和生态建设同时进行。</w:t>
      </w:r>
    </w:p>
    <w:p w14:paraId="08189152"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hint="eastAsia"/>
          <w:szCs w:val="24"/>
        </w:rPr>
        <w:t>从表</w:t>
      </w:r>
      <w:r>
        <w:rPr>
          <w:rFonts w:ascii="Times New Roman" w:hAnsi="Times New Roman" w:hint="eastAsia"/>
          <w:szCs w:val="24"/>
        </w:rPr>
        <w:t>4.5-3</w:t>
      </w:r>
      <w:r>
        <w:rPr>
          <w:rFonts w:ascii="Times New Roman" w:hAnsi="Times New Roman" w:hint="eastAsia"/>
          <w:szCs w:val="24"/>
        </w:rPr>
        <w:t>可以看出，</w:t>
      </w:r>
      <w:r>
        <w:rPr>
          <w:rFonts w:ascii="Times New Roman" w:hAnsi="Times New Roman" w:hint="eastAsia"/>
          <w:szCs w:val="24"/>
        </w:rPr>
        <w:t>2004-2019</w:t>
      </w:r>
      <w:r>
        <w:rPr>
          <w:rFonts w:ascii="Times New Roman" w:hAnsi="Times New Roman" w:hint="eastAsia"/>
          <w:szCs w:val="24"/>
        </w:rPr>
        <w:t>年间矿区内天然牧草地和沙地的土地利用动态度为负值，这两个地类在这时段内面积呈现减少趋势；乔木林地、工矿用地、铁路用地和公路用地的土地利用动态度为正值，呈现上升趋势且变化剧烈；灌木林地的土地利用动态度先减少后增加，总体上也是呈现上升趋势。这表明在</w:t>
      </w:r>
      <w:r>
        <w:rPr>
          <w:rFonts w:ascii="Times New Roman" w:hAnsi="Times New Roman" w:hint="eastAsia"/>
          <w:szCs w:val="24"/>
        </w:rPr>
        <w:t>2004-2019</w:t>
      </w:r>
      <w:r>
        <w:rPr>
          <w:rFonts w:ascii="Times New Roman" w:hAnsi="Times New Roman" w:hint="eastAsia"/>
          <w:szCs w:val="24"/>
        </w:rPr>
        <w:t>年间，矿区规划的煤矿建设及同时进行生态建设是导致区域土地利用结构变化的主要因素，天然牧草地和沙地或被工程建设占用转换为工矿用地、铁路用地和公路用地，或因生态建设转换为乔木林地和灌木林地。</w:t>
      </w:r>
    </w:p>
    <w:p w14:paraId="318BBDBF"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2</w:t>
      </w:r>
      <w:r>
        <w:rPr>
          <w:rFonts w:ascii="Times New Roman"/>
          <w:szCs w:val="24"/>
        </w:rPr>
        <w:t>）</w:t>
      </w:r>
      <w:r>
        <w:rPr>
          <w:rFonts w:ascii="Times New Roman" w:hAnsi="Times New Roman"/>
          <w:szCs w:val="24"/>
        </w:rPr>
        <w:t>LUCC</w:t>
      </w:r>
      <w:r>
        <w:rPr>
          <w:rFonts w:ascii="Times New Roman"/>
          <w:szCs w:val="24"/>
        </w:rPr>
        <w:t>综合动态变化度</w:t>
      </w:r>
    </w:p>
    <w:p w14:paraId="58FB22C0"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hint="eastAsia"/>
          <w:szCs w:val="24"/>
        </w:rPr>
        <w:t>2004-2010</w:t>
      </w:r>
      <w:r>
        <w:rPr>
          <w:rFonts w:ascii="Times New Roman" w:hAnsi="Times New Roman"/>
          <w:szCs w:val="24"/>
        </w:rPr>
        <w:t>年、</w:t>
      </w:r>
      <w:r>
        <w:rPr>
          <w:rFonts w:ascii="Times New Roman" w:hAnsi="Times New Roman"/>
          <w:szCs w:val="24"/>
        </w:rPr>
        <w:t>20</w:t>
      </w:r>
      <w:r>
        <w:rPr>
          <w:rFonts w:ascii="Times New Roman" w:hAnsi="Times New Roman" w:hint="eastAsia"/>
          <w:szCs w:val="24"/>
        </w:rPr>
        <w:t>10-2019</w:t>
      </w:r>
      <w:r>
        <w:rPr>
          <w:rFonts w:ascii="Times New Roman" w:hAnsi="Times New Roman"/>
          <w:szCs w:val="24"/>
        </w:rPr>
        <w:t>年</w:t>
      </w:r>
      <w:r>
        <w:rPr>
          <w:rFonts w:ascii="Times New Roman" w:hAnsi="Times New Roman" w:hint="eastAsia"/>
          <w:szCs w:val="24"/>
        </w:rPr>
        <w:t>和</w:t>
      </w:r>
      <w:r>
        <w:rPr>
          <w:rFonts w:ascii="Times New Roman" w:hAnsi="Times New Roman" w:hint="eastAsia"/>
          <w:szCs w:val="24"/>
        </w:rPr>
        <w:t>2004-2019</w:t>
      </w:r>
      <w:r>
        <w:rPr>
          <w:rFonts w:ascii="Times New Roman" w:hAnsi="Times New Roman" w:hint="eastAsia"/>
          <w:szCs w:val="24"/>
        </w:rPr>
        <w:t>年评价区和矿区的</w:t>
      </w:r>
      <w:r>
        <w:rPr>
          <w:rFonts w:ascii="Times New Roman" w:hAnsi="Times New Roman"/>
          <w:szCs w:val="24"/>
        </w:rPr>
        <w:t>LUCC</w:t>
      </w:r>
      <w:r>
        <w:rPr>
          <w:rFonts w:ascii="Times New Roman" w:hAnsi="Times New Roman"/>
          <w:szCs w:val="24"/>
        </w:rPr>
        <w:t>综合变化度结果见下表</w:t>
      </w:r>
      <w:r>
        <w:rPr>
          <w:rFonts w:ascii="Times New Roman" w:hAnsi="Times New Roman"/>
          <w:szCs w:val="24"/>
        </w:rPr>
        <w:t>4.5-</w:t>
      </w:r>
      <w:r>
        <w:rPr>
          <w:rFonts w:ascii="Times New Roman" w:hAnsi="Times New Roman" w:hint="eastAsia"/>
          <w:szCs w:val="24"/>
        </w:rPr>
        <w:t>4</w:t>
      </w:r>
      <w:r>
        <w:rPr>
          <w:rFonts w:ascii="Times New Roman" w:hAnsi="Times New Roman" w:hint="eastAsia"/>
          <w:szCs w:val="24"/>
        </w:rPr>
        <w:t>和表</w:t>
      </w:r>
      <w:r>
        <w:rPr>
          <w:rFonts w:ascii="Times New Roman" w:hAnsi="Times New Roman" w:hint="eastAsia"/>
          <w:szCs w:val="24"/>
        </w:rPr>
        <w:t>4.5-5</w:t>
      </w:r>
      <w:r>
        <w:rPr>
          <w:rFonts w:ascii="Times New Roman" w:hAnsi="Times New Roman" w:hint="eastAsia"/>
          <w:szCs w:val="24"/>
        </w:rPr>
        <w:t>。</w:t>
      </w:r>
    </w:p>
    <w:p w14:paraId="3570FBD6" w14:textId="77777777" w:rsidR="009C353B" w:rsidRDefault="00000000">
      <w:pPr>
        <w:adjustRightInd w:val="0"/>
        <w:snapToGrid w:val="0"/>
        <w:spacing w:line="440" w:lineRule="exact"/>
        <w:jc w:val="center"/>
        <w:rPr>
          <w:rFonts w:ascii="Times New Roman" w:hAnsi="Times New Roman"/>
          <w:b/>
          <w:kern w:val="24"/>
        </w:rPr>
      </w:pPr>
      <w:r>
        <w:rPr>
          <w:rFonts w:ascii="Times New Roman" w:hAnsi="Times New Roman" w:hint="eastAsia"/>
          <w:b/>
          <w:kern w:val="24"/>
        </w:rPr>
        <w:t>2004-2019</w:t>
      </w:r>
      <w:r>
        <w:rPr>
          <w:rFonts w:ascii="Times New Roman" w:hAnsi="Times New Roman"/>
          <w:b/>
          <w:kern w:val="24"/>
        </w:rPr>
        <w:t>年</w:t>
      </w:r>
      <w:r>
        <w:rPr>
          <w:rFonts w:ascii="Times New Roman" w:hAnsi="Times New Roman" w:hint="eastAsia"/>
          <w:b/>
          <w:kern w:val="24"/>
        </w:rPr>
        <w:t>评价区的</w:t>
      </w:r>
      <w:r>
        <w:rPr>
          <w:rFonts w:ascii="Times New Roman" w:hAnsi="Times New Roman"/>
          <w:b/>
          <w:kern w:val="24"/>
        </w:rPr>
        <w:t>LUCC</w:t>
      </w:r>
      <w:r>
        <w:rPr>
          <w:rFonts w:ascii="Times New Roman" w:hAnsi="Times New Roman"/>
          <w:b/>
          <w:kern w:val="24"/>
        </w:rPr>
        <w:t>综合动态变化度（</w:t>
      </w:r>
      <w:r>
        <w:rPr>
          <w:rFonts w:ascii="Times New Roman" w:hAnsi="Times New Roman"/>
          <w:b/>
          <w:kern w:val="24"/>
        </w:rPr>
        <w:t>%</w:t>
      </w:r>
      <w:r>
        <w:rPr>
          <w:rFonts w:ascii="Times New Roman" w:hAnsi="Times New Roman"/>
          <w:b/>
          <w:kern w:val="24"/>
        </w:rPr>
        <w:t>）</w:t>
      </w:r>
    </w:p>
    <w:p w14:paraId="4A7A23A6" w14:textId="77777777" w:rsidR="009C353B" w:rsidRDefault="00000000">
      <w:pPr>
        <w:adjustRightInd w:val="0"/>
        <w:snapToGrid w:val="0"/>
        <w:spacing w:line="440" w:lineRule="exact"/>
        <w:rPr>
          <w:rFonts w:ascii="Times New Roman" w:hAnsi="Times New Roman"/>
          <w:szCs w:val="24"/>
        </w:rPr>
      </w:pPr>
      <w:r>
        <w:rPr>
          <w:rFonts w:ascii="Times New Roman" w:hAnsi="Times New Roman"/>
          <w:szCs w:val="24"/>
        </w:rPr>
        <w:t>表</w:t>
      </w:r>
      <w:r>
        <w:rPr>
          <w:rFonts w:ascii="Times New Roman" w:hAnsi="Times New Roman"/>
          <w:szCs w:val="24"/>
        </w:rPr>
        <w:t>4.5-</w:t>
      </w:r>
      <w:r>
        <w:rPr>
          <w:rFonts w:ascii="Times New Roman" w:hAnsi="Times New Roman" w:hint="eastAsia"/>
          <w:szCs w:val="24"/>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2392"/>
        <w:gridCol w:w="2387"/>
        <w:gridCol w:w="2385"/>
      </w:tblGrid>
      <w:tr w:rsidR="009C353B" w14:paraId="1A879CA1" w14:textId="77777777">
        <w:trPr>
          <w:trHeight w:val="397"/>
          <w:jc w:val="center"/>
        </w:trPr>
        <w:tc>
          <w:tcPr>
            <w:tcW w:w="1143" w:type="pct"/>
            <w:vAlign w:val="center"/>
          </w:tcPr>
          <w:p w14:paraId="4AB66827"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时间段</w:t>
            </w:r>
          </w:p>
        </w:tc>
        <w:tc>
          <w:tcPr>
            <w:tcW w:w="1288" w:type="pct"/>
            <w:vAlign w:val="center"/>
          </w:tcPr>
          <w:p w14:paraId="52C679A2"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2004-2010</w:t>
            </w:r>
            <w:r>
              <w:rPr>
                <w:rFonts w:ascii="Times New Roman" w:hAnsi="Times New Roman"/>
                <w:sz w:val="21"/>
                <w:szCs w:val="21"/>
              </w:rPr>
              <w:t>年</w:t>
            </w:r>
          </w:p>
        </w:tc>
        <w:tc>
          <w:tcPr>
            <w:tcW w:w="1285" w:type="pct"/>
            <w:vAlign w:val="center"/>
          </w:tcPr>
          <w:p w14:paraId="2335110C"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20</w:t>
            </w:r>
            <w:r>
              <w:rPr>
                <w:rFonts w:ascii="Times New Roman" w:hAnsi="Times New Roman" w:hint="eastAsia"/>
                <w:sz w:val="21"/>
                <w:szCs w:val="21"/>
              </w:rPr>
              <w:t>10-2019</w:t>
            </w:r>
            <w:r>
              <w:rPr>
                <w:rFonts w:ascii="Times New Roman" w:hAnsi="Times New Roman"/>
                <w:sz w:val="21"/>
                <w:szCs w:val="21"/>
              </w:rPr>
              <w:t>年</w:t>
            </w:r>
          </w:p>
        </w:tc>
        <w:tc>
          <w:tcPr>
            <w:tcW w:w="1284" w:type="pct"/>
            <w:vAlign w:val="center"/>
          </w:tcPr>
          <w:p w14:paraId="45DBC0FE"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20</w:t>
            </w:r>
            <w:r>
              <w:rPr>
                <w:rFonts w:ascii="Times New Roman" w:hAnsi="Times New Roman" w:hint="eastAsia"/>
                <w:sz w:val="21"/>
                <w:szCs w:val="21"/>
              </w:rPr>
              <w:t>04-2019</w:t>
            </w:r>
            <w:r>
              <w:rPr>
                <w:rFonts w:ascii="Times New Roman" w:hAnsi="Times New Roman"/>
                <w:sz w:val="21"/>
                <w:szCs w:val="21"/>
              </w:rPr>
              <w:t>年</w:t>
            </w:r>
          </w:p>
        </w:tc>
      </w:tr>
      <w:tr w:rsidR="009C353B" w14:paraId="22B0B2B2" w14:textId="77777777">
        <w:trPr>
          <w:trHeight w:val="397"/>
          <w:jc w:val="center"/>
        </w:trPr>
        <w:tc>
          <w:tcPr>
            <w:tcW w:w="1143" w:type="pct"/>
            <w:vAlign w:val="center"/>
          </w:tcPr>
          <w:p w14:paraId="5F90837C"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综合动态变化度</w:t>
            </w:r>
          </w:p>
        </w:tc>
        <w:tc>
          <w:tcPr>
            <w:tcW w:w="1288" w:type="pct"/>
            <w:vAlign w:val="center"/>
          </w:tcPr>
          <w:p w14:paraId="46111253"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4.45</w:t>
            </w:r>
          </w:p>
        </w:tc>
        <w:tc>
          <w:tcPr>
            <w:tcW w:w="1285" w:type="pct"/>
            <w:vAlign w:val="center"/>
          </w:tcPr>
          <w:p w14:paraId="17F8D1AC"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7.73</w:t>
            </w:r>
          </w:p>
        </w:tc>
        <w:tc>
          <w:tcPr>
            <w:tcW w:w="1284" w:type="pct"/>
            <w:vAlign w:val="center"/>
          </w:tcPr>
          <w:p w14:paraId="3F906CF4"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15.19</w:t>
            </w:r>
          </w:p>
        </w:tc>
      </w:tr>
    </w:tbl>
    <w:p w14:paraId="6FC41946" w14:textId="77777777" w:rsidR="009C353B" w:rsidRDefault="00000000">
      <w:pPr>
        <w:adjustRightInd w:val="0"/>
        <w:snapToGrid w:val="0"/>
        <w:spacing w:line="440" w:lineRule="exact"/>
        <w:jc w:val="center"/>
        <w:rPr>
          <w:rFonts w:ascii="Times New Roman" w:hAnsi="Times New Roman"/>
          <w:b/>
          <w:kern w:val="24"/>
        </w:rPr>
      </w:pPr>
      <w:r>
        <w:rPr>
          <w:rFonts w:ascii="Times New Roman" w:hAnsi="Times New Roman" w:hint="eastAsia"/>
          <w:b/>
          <w:kern w:val="24"/>
        </w:rPr>
        <w:t>2004-2019</w:t>
      </w:r>
      <w:r>
        <w:rPr>
          <w:rFonts w:ascii="Times New Roman" w:hAnsi="Times New Roman"/>
          <w:b/>
          <w:kern w:val="24"/>
        </w:rPr>
        <w:t>年</w:t>
      </w:r>
      <w:r>
        <w:rPr>
          <w:rFonts w:ascii="Times New Roman" w:hAnsi="Times New Roman" w:hint="eastAsia"/>
          <w:b/>
          <w:kern w:val="24"/>
        </w:rPr>
        <w:t>矿区的</w:t>
      </w:r>
      <w:r>
        <w:rPr>
          <w:rFonts w:ascii="Times New Roman" w:hAnsi="Times New Roman"/>
          <w:b/>
          <w:kern w:val="24"/>
        </w:rPr>
        <w:t>LUCC</w:t>
      </w:r>
      <w:r>
        <w:rPr>
          <w:rFonts w:ascii="Times New Roman" w:hAnsi="Times New Roman"/>
          <w:b/>
          <w:kern w:val="24"/>
        </w:rPr>
        <w:t>综合动态变化度（</w:t>
      </w:r>
      <w:r>
        <w:rPr>
          <w:rFonts w:ascii="Times New Roman" w:hAnsi="Times New Roman"/>
          <w:b/>
          <w:kern w:val="24"/>
        </w:rPr>
        <w:t>%</w:t>
      </w:r>
      <w:r>
        <w:rPr>
          <w:rFonts w:ascii="Times New Roman" w:hAnsi="Times New Roman"/>
          <w:b/>
          <w:kern w:val="24"/>
        </w:rPr>
        <w:t>）</w:t>
      </w:r>
    </w:p>
    <w:p w14:paraId="510A7EA0" w14:textId="77777777" w:rsidR="009C353B" w:rsidRDefault="00000000">
      <w:pPr>
        <w:adjustRightInd w:val="0"/>
        <w:snapToGrid w:val="0"/>
        <w:spacing w:line="440" w:lineRule="exact"/>
        <w:rPr>
          <w:rFonts w:ascii="Times New Roman" w:hAnsi="Times New Roman"/>
          <w:szCs w:val="24"/>
        </w:rPr>
      </w:pPr>
      <w:r>
        <w:rPr>
          <w:rFonts w:ascii="Times New Roman" w:hAnsi="Times New Roman"/>
          <w:szCs w:val="24"/>
        </w:rPr>
        <w:t>表</w:t>
      </w:r>
      <w:r>
        <w:rPr>
          <w:rFonts w:ascii="Times New Roman" w:hAnsi="Times New Roman"/>
          <w:szCs w:val="24"/>
        </w:rPr>
        <w:t>4.5-</w:t>
      </w:r>
      <w:r>
        <w:rPr>
          <w:rFonts w:ascii="Times New Roman" w:hAnsi="Times New Roman" w:hint="eastAsia"/>
          <w:szCs w:val="24"/>
        </w:rPr>
        <w:t>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2392"/>
        <w:gridCol w:w="2387"/>
        <w:gridCol w:w="2385"/>
      </w:tblGrid>
      <w:tr w:rsidR="009C353B" w14:paraId="7148E4F5" w14:textId="77777777">
        <w:trPr>
          <w:trHeight w:val="397"/>
          <w:jc w:val="center"/>
        </w:trPr>
        <w:tc>
          <w:tcPr>
            <w:tcW w:w="1143" w:type="pct"/>
            <w:vAlign w:val="center"/>
          </w:tcPr>
          <w:p w14:paraId="1AA8A50E"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时间段</w:t>
            </w:r>
          </w:p>
        </w:tc>
        <w:tc>
          <w:tcPr>
            <w:tcW w:w="1288" w:type="pct"/>
            <w:vAlign w:val="center"/>
          </w:tcPr>
          <w:p w14:paraId="52D0D743"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2004-2010</w:t>
            </w:r>
            <w:r>
              <w:rPr>
                <w:rFonts w:ascii="Times New Roman" w:hAnsi="Times New Roman"/>
                <w:sz w:val="21"/>
                <w:szCs w:val="21"/>
              </w:rPr>
              <w:t>年</w:t>
            </w:r>
          </w:p>
        </w:tc>
        <w:tc>
          <w:tcPr>
            <w:tcW w:w="1285" w:type="pct"/>
            <w:vAlign w:val="center"/>
          </w:tcPr>
          <w:p w14:paraId="30DF02A0"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20</w:t>
            </w:r>
            <w:r>
              <w:rPr>
                <w:rFonts w:ascii="Times New Roman" w:hAnsi="Times New Roman" w:hint="eastAsia"/>
                <w:sz w:val="21"/>
                <w:szCs w:val="21"/>
              </w:rPr>
              <w:t>10-2019</w:t>
            </w:r>
            <w:r>
              <w:rPr>
                <w:rFonts w:ascii="Times New Roman" w:hAnsi="Times New Roman"/>
                <w:sz w:val="21"/>
                <w:szCs w:val="21"/>
              </w:rPr>
              <w:t>年</w:t>
            </w:r>
          </w:p>
        </w:tc>
        <w:tc>
          <w:tcPr>
            <w:tcW w:w="1284" w:type="pct"/>
            <w:vAlign w:val="center"/>
          </w:tcPr>
          <w:p w14:paraId="7674936E"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20</w:t>
            </w:r>
            <w:r>
              <w:rPr>
                <w:rFonts w:ascii="Times New Roman" w:hAnsi="Times New Roman" w:hint="eastAsia"/>
                <w:sz w:val="21"/>
                <w:szCs w:val="21"/>
              </w:rPr>
              <w:t>04-2019</w:t>
            </w:r>
            <w:r>
              <w:rPr>
                <w:rFonts w:ascii="Times New Roman" w:hAnsi="Times New Roman"/>
                <w:sz w:val="21"/>
                <w:szCs w:val="21"/>
              </w:rPr>
              <w:t>年</w:t>
            </w:r>
          </w:p>
        </w:tc>
      </w:tr>
      <w:tr w:rsidR="009C353B" w14:paraId="28B8884A" w14:textId="77777777">
        <w:trPr>
          <w:trHeight w:val="397"/>
          <w:jc w:val="center"/>
        </w:trPr>
        <w:tc>
          <w:tcPr>
            <w:tcW w:w="1143" w:type="pct"/>
            <w:vAlign w:val="center"/>
          </w:tcPr>
          <w:p w14:paraId="148490E7"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综合动态变化度</w:t>
            </w:r>
          </w:p>
        </w:tc>
        <w:tc>
          <w:tcPr>
            <w:tcW w:w="1288" w:type="pct"/>
            <w:vAlign w:val="center"/>
          </w:tcPr>
          <w:p w14:paraId="3CB7B82C"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4.84</w:t>
            </w:r>
          </w:p>
        </w:tc>
        <w:tc>
          <w:tcPr>
            <w:tcW w:w="1285" w:type="pct"/>
            <w:vAlign w:val="center"/>
          </w:tcPr>
          <w:p w14:paraId="6F214A0C"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5</w:t>
            </w:r>
            <w:r>
              <w:rPr>
                <w:rFonts w:ascii="Times New Roman" w:hAnsi="Times New Roman" w:hint="eastAsia"/>
                <w:sz w:val="21"/>
                <w:szCs w:val="21"/>
              </w:rPr>
              <w:t>.25</w:t>
            </w:r>
          </w:p>
        </w:tc>
        <w:tc>
          <w:tcPr>
            <w:tcW w:w="1284" w:type="pct"/>
            <w:vAlign w:val="center"/>
          </w:tcPr>
          <w:p w14:paraId="6B2294EF"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9.47</w:t>
            </w:r>
          </w:p>
        </w:tc>
      </w:tr>
    </w:tbl>
    <w:p w14:paraId="4A51554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表</w:t>
      </w:r>
      <w:r>
        <w:rPr>
          <w:rFonts w:ascii="Times New Roman" w:hAnsi="Times New Roman" w:hint="eastAsia"/>
          <w:szCs w:val="24"/>
        </w:rPr>
        <w:t>4.5-4</w:t>
      </w:r>
      <w:r>
        <w:rPr>
          <w:rFonts w:ascii="Times New Roman" w:hAnsi="Times New Roman" w:hint="eastAsia"/>
          <w:szCs w:val="24"/>
        </w:rPr>
        <w:t>和表</w:t>
      </w:r>
      <w:r>
        <w:rPr>
          <w:rFonts w:ascii="Times New Roman" w:hAnsi="Times New Roman" w:hint="eastAsia"/>
          <w:szCs w:val="24"/>
        </w:rPr>
        <w:t>4.5-5</w:t>
      </w:r>
      <w:r>
        <w:rPr>
          <w:rFonts w:ascii="Times New Roman" w:hAnsi="Times New Roman"/>
          <w:szCs w:val="24"/>
        </w:rPr>
        <w:t>表明：评价区</w:t>
      </w:r>
      <w:r>
        <w:rPr>
          <w:rFonts w:ascii="Times New Roman" w:hAnsi="Times New Roman" w:hint="eastAsia"/>
          <w:szCs w:val="24"/>
        </w:rPr>
        <w:t>2004-2019</w:t>
      </w:r>
      <w:r>
        <w:rPr>
          <w:rFonts w:ascii="Times New Roman" w:hAnsi="Times New Roman"/>
          <w:szCs w:val="24"/>
        </w:rPr>
        <w:t>年</w:t>
      </w:r>
      <w:r>
        <w:rPr>
          <w:rFonts w:ascii="Times New Roman" w:hAnsi="Times New Roman" w:hint="eastAsia"/>
          <w:szCs w:val="24"/>
        </w:rPr>
        <w:t>间的</w:t>
      </w:r>
      <w:r>
        <w:rPr>
          <w:rFonts w:ascii="Times New Roman" w:hAnsi="Times New Roman"/>
          <w:szCs w:val="24"/>
        </w:rPr>
        <w:t>土地利用</w:t>
      </w:r>
      <w:r>
        <w:rPr>
          <w:rFonts w:ascii="Times New Roman" w:hAnsi="Times New Roman"/>
          <w:szCs w:val="24"/>
        </w:rPr>
        <w:t>/</w:t>
      </w:r>
      <w:r>
        <w:rPr>
          <w:rFonts w:ascii="Times New Roman" w:hAnsi="Times New Roman"/>
          <w:szCs w:val="24"/>
        </w:rPr>
        <w:t>覆盖</w:t>
      </w:r>
      <w:r>
        <w:rPr>
          <w:rFonts w:ascii="Times New Roman" w:hAnsi="Times New Roman" w:hint="eastAsia"/>
          <w:szCs w:val="24"/>
        </w:rPr>
        <w:t>一直持续变化，区域内的工业园区建设、煤炭开采、交通运输道路兴建和随之而来的外来人口增加导致区域内土地利用格局发生明显变化，</w:t>
      </w:r>
      <w:r>
        <w:rPr>
          <w:rFonts w:ascii="Times New Roman" w:hAnsi="Times New Roman" w:hint="eastAsia"/>
          <w:szCs w:val="24"/>
        </w:rPr>
        <w:t>2004-2010</w:t>
      </w:r>
      <w:r>
        <w:rPr>
          <w:rFonts w:ascii="Times New Roman" w:hAnsi="Times New Roman" w:hint="eastAsia"/>
          <w:szCs w:val="24"/>
        </w:rPr>
        <w:t>年变化速度较快，</w:t>
      </w:r>
      <w:r>
        <w:rPr>
          <w:rFonts w:ascii="Times New Roman" w:hAnsi="Times New Roman" w:hint="eastAsia"/>
          <w:szCs w:val="24"/>
        </w:rPr>
        <w:t>2010-2019</w:t>
      </w:r>
      <w:r>
        <w:rPr>
          <w:rFonts w:ascii="Times New Roman" w:hAnsi="Times New Roman" w:hint="eastAsia"/>
          <w:szCs w:val="24"/>
        </w:rPr>
        <w:t>年间变化速度更快。矿区的</w:t>
      </w:r>
      <w:r>
        <w:rPr>
          <w:rFonts w:ascii="Times New Roman" w:hAnsi="Times New Roman"/>
          <w:szCs w:val="24"/>
        </w:rPr>
        <w:t>土地利用</w:t>
      </w:r>
      <w:r>
        <w:rPr>
          <w:rFonts w:ascii="Times New Roman" w:hAnsi="Times New Roman"/>
          <w:szCs w:val="24"/>
        </w:rPr>
        <w:t>/</w:t>
      </w:r>
      <w:r>
        <w:rPr>
          <w:rFonts w:ascii="Times New Roman" w:hAnsi="Times New Roman"/>
          <w:szCs w:val="24"/>
        </w:rPr>
        <w:t>覆盖</w:t>
      </w:r>
      <w:r>
        <w:rPr>
          <w:rFonts w:ascii="Times New Roman" w:hAnsi="Times New Roman" w:hint="eastAsia"/>
          <w:szCs w:val="24"/>
        </w:rPr>
        <w:t>的变化趋势与评价区基本一致。</w:t>
      </w:r>
    </w:p>
    <w:p w14:paraId="2D4148D4" w14:textId="77777777" w:rsidR="009C353B" w:rsidRDefault="009C353B">
      <w:pPr>
        <w:adjustRightInd w:val="0"/>
        <w:snapToGrid w:val="0"/>
        <w:spacing w:line="440" w:lineRule="exact"/>
        <w:ind w:firstLineChars="200" w:firstLine="480"/>
        <w:rPr>
          <w:rFonts w:ascii="Times New Roman" w:hAnsi="Times New Roman"/>
          <w:szCs w:val="24"/>
        </w:rPr>
      </w:pPr>
    </w:p>
    <w:p w14:paraId="3C93C428" w14:textId="77777777" w:rsidR="009C353B" w:rsidRDefault="009C353B">
      <w:pPr>
        <w:adjustRightInd w:val="0"/>
        <w:snapToGrid w:val="0"/>
        <w:spacing w:line="440" w:lineRule="exact"/>
        <w:ind w:firstLineChars="200" w:firstLine="480"/>
        <w:rPr>
          <w:rFonts w:ascii="Times New Roman" w:hAnsi="Times New Roman"/>
          <w:szCs w:val="24"/>
        </w:rPr>
      </w:pPr>
    </w:p>
    <w:p w14:paraId="0BD915E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3</w:t>
      </w:r>
      <w:r>
        <w:rPr>
          <w:rFonts w:ascii="Times New Roman" w:hAnsi="Times New Roman"/>
          <w:szCs w:val="24"/>
        </w:rPr>
        <w:t>）土地利用程度变化</w:t>
      </w:r>
    </w:p>
    <w:p w14:paraId="222979C3" w14:textId="77777777" w:rsidR="009C353B" w:rsidRDefault="00000000">
      <w:pPr>
        <w:adjustRightInd w:val="0"/>
        <w:snapToGrid w:val="0"/>
        <w:spacing w:line="440" w:lineRule="exact"/>
        <w:jc w:val="center"/>
        <w:rPr>
          <w:rFonts w:ascii="Times New Roman" w:hAnsi="Times New Roman"/>
          <w:b/>
          <w:kern w:val="24"/>
        </w:rPr>
      </w:pPr>
      <w:r>
        <w:rPr>
          <w:rFonts w:ascii="Times New Roman" w:hAnsi="Times New Roman" w:hint="eastAsia"/>
          <w:b/>
          <w:kern w:val="24"/>
        </w:rPr>
        <w:t>2004-2019</w:t>
      </w:r>
      <w:r>
        <w:rPr>
          <w:rFonts w:ascii="Times New Roman" w:hAnsi="Times New Roman"/>
          <w:b/>
          <w:kern w:val="24"/>
        </w:rPr>
        <w:t>年</w:t>
      </w:r>
      <w:r>
        <w:rPr>
          <w:rFonts w:ascii="Times New Roman" w:hAnsi="Times New Roman" w:hint="eastAsia"/>
          <w:b/>
          <w:kern w:val="24"/>
        </w:rPr>
        <w:t>评价区</w:t>
      </w:r>
      <w:r>
        <w:rPr>
          <w:rFonts w:ascii="Times New Roman" w:hAnsi="Times New Roman"/>
          <w:b/>
          <w:kern w:val="24"/>
        </w:rPr>
        <w:t>土地利用程度</w:t>
      </w:r>
    </w:p>
    <w:p w14:paraId="2C30EE94" w14:textId="77777777" w:rsidR="009C353B" w:rsidRDefault="00000000">
      <w:pPr>
        <w:adjustRightInd w:val="0"/>
        <w:snapToGrid w:val="0"/>
        <w:spacing w:line="440" w:lineRule="exact"/>
        <w:rPr>
          <w:rFonts w:ascii="Times New Roman" w:hAnsi="Times New Roman"/>
          <w:szCs w:val="24"/>
        </w:rPr>
      </w:pPr>
      <w:r>
        <w:rPr>
          <w:rFonts w:ascii="Times New Roman" w:hAnsi="Times New Roman" w:hint="eastAsia"/>
          <w:szCs w:val="24"/>
        </w:rPr>
        <w:t>表</w:t>
      </w:r>
      <w:r>
        <w:rPr>
          <w:rFonts w:ascii="Times New Roman" w:hAnsi="Times New Roman"/>
          <w:szCs w:val="24"/>
        </w:rPr>
        <w:t>4.</w:t>
      </w:r>
      <w:r>
        <w:rPr>
          <w:rFonts w:ascii="Times New Roman" w:hAnsi="Times New Roman" w:hint="eastAsia"/>
          <w:szCs w:val="24"/>
        </w:rPr>
        <w:t>5-6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1"/>
        <w:gridCol w:w="2004"/>
        <w:gridCol w:w="2004"/>
        <w:gridCol w:w="2188"/>
      </w:tblGrid>
      <w:tr w:rsidR="009C353B" w14:paraId="4D631F37" w14:textId="77777777">
        <w:trPr>
          <w:trHeight w:val="397"/>
          <w:jc w:val="center"/>
        </w:trPr>
        <w:tc>
          <w:tcPr>
            <w:tcW w:w="1664" w:type="pct"/>
            <w:vAlign w:val="center"/>
          </w:tcPr>
          <w:p w14:paraId="6C3D7B34"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时间</w:t>
            </w:r>
          </w:p>
        </w:tc>
        <w:tc>
          <w:tcPr>
            <w:tcW w:w="1079" w:type="pct"/>
            <w:vAlign w:val="center"/>
          </w:tcPr>
          <w:p w14:paraId="0DAC791F"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2004</w:t>
            </w:r>
            <w:r>
              <w:rPr>
                <w:rFonts w:ascii="Times New Roman" w:hAnsi="Times New Roman"/>
                <w:sz w:val="21"/>
                <w:szCs w:val="21"/>
              </w:rPr>
              <w:t>年</w:t>
            </w:r>
          </w:p>
        </w:tc>
        <w:tc>
          <w:tcPr>
            <w:tcW w:w="1079" w:type="pct"/>
            <w:vAlign w:val="center"/>
          </w:tcPr>
          <w:p w14:paraId="2CAF5E39"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20</w:t>
            </w:r>
            <w:r>
              <w:rPr>
                <w:rFonts w:ascii="Times New Roman" w:hAnsi="Times New Roman" w:hint="eastAsia"/>
                <w:sz w:val="21"/>
                <w:szCs w:val="21"/>
              </w:rPr>
              <w:t>10</w:t>
            </w:r>
            <w:r>
              <w:rPr>
                <w:rFonts w:ascii="Times New Roman" w:hAnsi="Times New Roman"/>
                <w:sz w:val="21"/>
                <w:szCs w:val="21"/>
              </w:rPr>
              <w:t>年</w:t>
            </w:r>
          </w:p>
        </w:tc>
        <w:tc>
          <w:tcPr>
            <w:tcW w:w="1178" w:type="pct"/>
            <w:vAlign w:val="center"/>
          </w:tcPr>
          <w:p w14:paraId="5EBE80E1"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201</w:t>
            </w:r>
            <w:r>
              <w:rPr>
                <w:rFonts w:ascii="Times New Roman" w:hAnsi="Times New Roman" w:hint="eastAsia"/>
                <w:sz w:val="21"/>
                <w:szCs w:val="21"/>
              </w:rPr>
              <w:t>9</w:t>
            </w:r>
            <w:r>
              <w:rPr>
                <w:rFonts w:ascii="Times New Roman" w:hAnsi="Times New Roman"/>
                <w:sz w:val="21"/>
                <w:szCs w:val="21"/>
              </w:rPr>
              <w:t>年</w:t>
            </w:r>
          </w:p>
        </w:tc>
      </w:tr>
      <w:tr w:rsidR="009C353B" w14:paraId="308DE5E2" w14:textId="77777777">
        <w:trPr>
          <w:trHeight w:val="397"/>
          <w:jc w:val="center"/>
        </w:trPr>
        <w:tc>
          <w:tcPr>
            <w:tcW w:w="1664" w:type="pct"/>
            <w:vAlign w:val="center"/>
          </w:tcPr>
          <w:p w14:paraId="6EB154E6"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土地利用程度综合指数</w:t>
            </w:r>
          </w:p>
        </w:tc>
        <w:tc>
          <w:tcPr>
            <w:tcW w:w="1079" w:type="pct"/>
            <w:vAlign w:val="center"/>
          </w:tcPr>
          <w:p w14:paraId="2412E62E"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1.88</w:t>
            </w:r>
          </w:p>
        </w:tc>
        <w:tc>
          <w:tcPr>
            <w:tcW w:w="1079" w:type="pct"/>
            <w:vAlign w:val="center"/>
          </w:tcPr>
          <w:p w14:paraId="04153879"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w:t>
            </w:r>
            <w:r>
              <w:rPr>
                <w:rFonts w:ascii="Times New Roman" w:hAnsi="Times New Roman" w:hint="eastAsia"/>
                <w:sz w:val="21"/>
                <w:szCs w:val="21"/>
              </w:rPr>
              <w:t>1</w:t>
            </w:r>
            <w:r>
              <w:rPr>
                <w:rFonts w:ascii="Times New Roman" w:hAnsi="Times New Roman"/>
                <w:sz w:val="21"/>
                <w:szCs w:val="21"/>
              </w:rPr>
              <w:t>9</w:t>
            </w:r>
          </w:p>
        </w:tc>
        <w:tc>
          <w:tcPr>
            <w:tcW w:w="1178" w:type="pct"/>
            <w:vAlign w:val="center"/>
          </w:tcPr>
          <w:p w14:paraId="3D24318E"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99</w:t>
            </w:r>
          </w:p>
        </w:tc>
      </w:tr>
    </w:tbl>
    <w:p w14:paraId="4EB8EC03" w14:textId="77777777" w:rsidR="009C353B" w:rsidRDefault="00000000">
      <w:pPr>
        <w:adjustRightInd w:val="0"/>
        <w:snapToGrid w:val="0"/>
        <w:spacing w:line="440" w:lineRule="exact"/>
        <w:jc w:val="center"/>
        <w:rPr>
          <w:rFonts w:ascii="Times New Roman" w:hAnsi="Times New Roman"/>
          <w:b/>
          <w:kern w:val="24"/>
        </w:rPr>
      </w:pPr>
      <w:r>
        <w:rPr>
          <w:rFonts w:ascii="Times New Roman" w:hAnsi="Times New Roman" w:hint="eastAsia"/>
          <w:b/>
          <w:kern w:val="24"/>
        </w:rPr>
        <w:t>2004-2019</w:t>
      </w:r>
      <w:r>
        <w:rPr>
          <w:rFonts w:ascii="Times New Roman" w:hAnsi="Times New Roman"/>
          <w:b/>
          <w:kern w:val="24"/>
        </w:rPr>
        <w:t>年</w:t>
      </w:r>
      <w:r>
        <w:rPr>
          <w:rFonts w:ascii="Times New Roman" w:hAnsi="Times New Roman" w:hint="eastAsia"/>
          <w:b/>
          <w:kern w:val="24"/>
        </w:rPr>
        <w:t>矿区</w:t>
      </w:r>
      <w:r>
        <w:rPr>
          <w:rFonts w:ascii="Times New Roman" w:hAnsi="Times New Roman"/>
          <w:b/>
          <w:kern w:val="24"/>
        </w:rPr>
        <w:t>土地利用程度</w:t>
      </w:r>
    </w:p>
    <w:p w14:paraId="274311EC" w14:textId="77777777" w:rsidR="009C353B" w:rsidRDefault="00000000">
      <w:pPr>
        <w:adjustRightInd w:val="0"/>
        <w:snapToGrid w:val="0"/>
        <w:spacing w:line="440" w:lineRule="exact"/>
        <w:rPr>
          <w:rFonts w:ascii="Times New Roman" w:hAnsi="Times New Roman"/>
          <w:szCs w:val="24"/>
        </w:rPr>
      </w:pPr>
      <w:r>
        <w:rPr>
          <w:rFonts w:ascii="Times New Roman" w:hAnsi="Times New Roman" w:hint="eastAsia"/>
          <w:szCs w:val="24"/>
        </w:rPr>
        <w:t>表</w:t>
      </w:r>
      <w:r>
        <w:rPr>
          <w:rFonts w:ascii="Times New Roman" w:hAnsi="Times New Roman"/>
          <w:szCs w:val="24"/>
        </w:rPr>
        <w:t>4.</w:t>
      </w:r>
      <w:r>
        <w:rPr>
          <w:rFonts w:ascii="Times New Roman" w:hAnsi="Times New Roman" w:hint="eastAsia"/>
          <w:szCs w:val="24"/>
        </w:rPr>
        <w:t>5-7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1"/>
        <w:gridCol w:w="2004"/>
        <w:gridCol w:w="2004"/>
        <w:gridCol w:w="2188"/>
      </w:tblGrid>
      <w:tr w:rsidR="009C353B" w14:paraId="60AD5E1D" w14:textId="77777777">
        <w:trPr>
          <w:trHeight w:val="397"/>
          <w:jc w:val="center"/>
        </w:trPr>
        <w:tc>
          <w:tcPr>
            <w:tcW w:w="1664" w:type="pct"/>
            <w:vAlign w:val="center"/>
          </w:tcPr>
          <w:p w14:paraId="5313549D"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时间</w:t>
            </w:r>
          </w:p>
        </w:tc>
        <w:tc>
          <w:tcPr>
            <w:tcW w:w="1079" w:type="pct"/>
            <w:vAlign w:val="center"/>
          </w:tcPr>
          <w:p w14:paraId="27A1E89F"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2004</w:t>
            </w:r>
            <w:r>
              <w:rPr>
                <w:rFonts w:ascii="Times New Roman" w:hAnsi="Times New Roman"/>
                <w:sz w:val="21"/>
                <w:szCs w:val="21"/>
              </w:rPr>
              <w:t>年</w:t>
            </w:r>
          </w:p>
        </w:tc>
        <w:tc>
          <w:tcPr>
            <w:tcW w:w="1079" w:type="pct"/>
            <w:vAlign w:val="center"/>
          </w:tcPr>
          <w:p w14:paraId="0965F096"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20</w:t>
            </w:r>
            <w:r>
              <w:rPr>
                <w:rFonts w:ascii="Times New Roman" w:hAnsi="Times New Roman" w:hint="eastAsia"/>
                <w:sz w:val="21"/>
                <w:szCs w:val="21"/>
              </w:rPr>
              <w:t>10</w:t>
            </w:r>
            <w:r>
              <w:rPr>
                <w:rFonts w:ascii="Times New Roman" w:hAnsi="Times New Roman"/>
                <w:sz w:val="21"/>
                <w:szCs w:val="21"/>
              </w:rPr>
              <w:t>年</w:t>
            </w:r>
          </w:p>
        </w:tc>
        <w:tc>
          <w:tcPr>
            <w:tcW w:w="1178" w:type="pct"/>
            <w:vAlign w:val="center"/>
          </w:tcPr>
          <w:p w14:paraId="26CB4F49"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201</w:t>
            </w:r>
            <w:r>
              <w:rPr>
                <w:rFonts w:ascii="Times New Roman" w:hAnsi="Times New Roman" w:hint="eastAsia"/>
                <w:sz w:val="21"/>
                <w:szCs w:val="21"/>
              </w:rPr>
              <w:t>9</w:t>
            </w:r>
            <w:r>
              <w:rPr>
                <w:rFonts w:ascii="Times New Roman" w:hAnsi="Times New Roman"/>
                <w:sz w:val="21"/>
                <w:szCs w:val="21"/>
              </w:rPr>
              <w:t>年</w:t>
            </w:r>
          </w:p>
        </w:tc>
      </w:tr>
      <w:tr w:rsidR="009C353B" w14:paraId="67FD9730" w14:textId="77777777">
        <w:trPr>
          <w:trHeight w:val="397"/>
          <w:jc w:val="center"/>
        </w:trPr>
        <w:tc>
          <w:tcPr>
            <w:tcW w:w="1664" w:type="pct"/>
            <w:vAlign w:val="center"/>
          </w:tcPr>
          <w:p w14:paraId="76005A05"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土地利用程度综合指数</w:t>
            </w:r>
          </w:p>
        </w:tc>
        <w:tc>
          <w:tcPr>
            <w:tcW w:w="1079" w:type="pct"/>
            <w:vAlign w:val="center"/>
          </w:tcPr>
          <w:p w14:paraId="068A69B5"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1.93</w:t>
            </w:r>
          </w:p>
        </w:tc>
        <w:tc>
          <w:tcPr>
            <w:tcW w:w="1079" w:type="pct"/>
            <w:vAlign w:val="center"/>
          </w:tcPr>
          <w:p w14:paraId="0705E9D9"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w:t>
            </w:r>
            <w:r>
              <w:rPr>
                <w:rFonts w:ascii="Times New Roman" w:hAnsi="Times New Roman" w:hint="eastAsia"/>
                <w:sz w:val="21"/>
                <w:szCs w:val="21"/>
              </w:rPr>
              <w:t>11</w:t>
            </w:r>
          </w:p>
        </w:tc>
        <w:tc>
          <w:tcPr>
            <w:tcW w:w="1178" w:type="pct"/>
            <w:vAlign w:val="center"/>
          </w:tcPr>
          <w:p w14:paraId="08E8D9F1"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2.18</w:t>
            </w:r>
          </w:p>
        </w:tc>
      </w:tr>
    </w:tbl>
    <w:p w14:paraId="069E05D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评价区和矿区</w:t>
      </w:r>
      <w:r>
        <w:rPr>
          <w:rFonts w:ascii="Times New Roman" w:hAnsi="Times New Roman"/>
          <w:szCs w:val="24"/>
        </w:rPr>
        <w:t>200</w:t>
      </w:r>
      <w:r>
        <w:rPr>
          <w:rFonts w:ascii="Times New Roman" w:hAnsi="Times New Roman" w:hint="eastAsia"/>
          <w:szCs w:val="24"/>
        </w:rPr>
        <w:t>4-2019</w:t>
      </w:r>
      <w:r>
        <w:rPr>
          <w:rFonts w:ascii="Times New Roman" w:hAnsi="Times New Roman"/>
          <w:szCs w:val="24"/>
        </w:rPr>
        <w:t>年</w:t>
      </w:r>
      <w:r>
        <w:rPr>
          <w:rFonts w:ascii="Times New Roman" w:hAnsi="Times New Roman" w:hint="eastAsia"/>
          <w:szCs w:val="24"/>
        </w:rPr>
        <w:t>的</w:t>
      </w:r>
      <w:r>
        <w:rPr>
          <w:rFonts w:ascii="Times New Roman" w:hAnsi="Times New Roman"/>
          <w:szCs w:val="24"/>
        </w:rPr>
        <w:t>土地利用程度结果见表</w:t>
      </w:r>
      <w:r>
        <w:rPr>
          <w:rFonts w:ascii="Times New Roman" w:hAnsi="Times New Roman"/>
          <w:szCs w:val="24"/>
        </w:rPr>
        <w:t>4.5-</w:t>
      </w:r>
      <w:r>
        <w:rPr>
          <w:rFonts w:ascii="Times New Roman" w:hAnsi="Times New Roman" w:hint="eastAsia"/>
          <w:szCs w:val="24"/>
        </w:rPr>
        <w:t>6</w:t>
      </w:r>
      <w:r>
        <w:rPr>
          <w:rFonts w:ascii="Times New Roman" w:hAnsi="Times New Roman"/>
          <w:szCs w:val="24"/>
        </w:rPr>
        <w:t xml:space="preserve"> </w:t>
      </w:r>
      <w:r>
        <w:rPr>
          <w:rFonts w:ascii="Times New Roman" w:hAnsi="Times New Roman" w:hint="eastAsia"/>
          <w:szCs w:val="24"/>
        </w:rPr>
        <w:t>和表</w:t>
      </w:r>
      <w:r>
        <w:rPr>
          <w:rFonts w:ascii="Times New Roman" w:hAnsi="Times New Roman" w:hint="eastAsia"/>
          <w:szCs w:val="24"/>
        </w:rPr>
        <w:t>4.5-7</w:t>
      </w:r>
      <w:r>
        <w:rPr>
          <w:rFonts w:ascii="Times New Roman" w:hAnsi="Times New Roman"/>
          <w:szCs w:val="24"/>
        </w:rPr>
        <w:t>。</w:t>
      </w:r>
      <w:r>
        <w:rPr>
          <w:rFonts w:ascii="Times New Roman" w:hAnsi="Times New Roman" w:hint="eastAsia"/>
          <w:szCs w:val="24"/>
        </w:rPr>
        <w:t>可以</w:t>
      </w:r>
      <w:r>
        <w:rPr>
          <w:rFonts w:ascii="Times New Roman" w:hAnsi="Times New Roman"/>
          <w:szCs w:val="24"/>
        </w:rPr>
        <w:t>看出</w:t>
      </w:r>
      <w:r>
        <w:rPr>
          <w:rFonts w:ascii="Times New Roman" w:hAnsi="Times New Roman" w:hint="eastAsia"/>
          <w:szCs w:val="24"/>
        </w:rPr>
        <w:t>2004</w:t>
      </w:r>
      <w:r>
        <w:rPr>
          <w:rFonts w:ascii="Times New Roman" w:hAnsi="Times New Roman"/>
          <w:szCs w:val="24"/>
        </w:rPr>
        <w:t>~201</w:t>
      </w:r>
      <w:r>
        <w:rPr>
          <w:rFonts w:ascii="Times New Roman" w:hAnsi="Times New Roman" w:hint="eastAsia"/>
          <w:szCs w:val="24"/>
        </w:rPr>
        <w:t>9</w:t>
      </w:r>
      <w:r>
        <w:rPr>
          <w:rFonts w:ascii="Times New Roman" w:hAnsi="Times New Roman" w:hint="eastAsia"/>
          <w:szCs w:val="24"/>
        </w:rPr>
        <w:t>年间人类活动对</w:t>
      </w:r>
      <w:r>
        <w:rPr>
          <w:rFonts w:ascii="Times New Roman" w:hAnsi="Times New Roman"/>
          <w:szCs w:val="24"/>
        </w:rPr>
        <w:t>评价区</w:t>
      </w:r>
      <w:r>
        <w:rPr>
          <w:rFonts w:ascii="Times New Roman" w:hAnsi="Times New Roman" w:hint="eastAsia"/>
          <w:szCs w:val="24"/>
        </w:rPr>
        <w:t>和矿区</w:t>
      </w:r>
      <w:r>
        <w:rPr>
          <w:rFonts w:ascii="Times New Roman" w:hAnsi="Times New Roman"/>
          <w:szCs w:val="24"/>
        </w:rPr>
        <w:t>的</w:t>
      </w:r>
      <w:r>
        <w:rPr>
          <w:rFonts w:ascii="Times New Roman" w:hAnsi="Times New Roman" w:hint="eastAsia"/>
          <w:szCs w:val="24"/>
        </w:rPr>
        <w:t>干扰持续加剧，</w:t>
      </w:r>
      <w:r>
        <w:rPr>
          <w:rFonts w:ascii="Times New Roman" w:hAnsi="Times New Roman"/>
          <w:szCs w:val="24"/>
        </w:rPr>
        <w:t>土地利用程度</w:t>
      </w:r>
      <w:r>
        <w:rPr>
          <w:rFonts w:ascii="Times New Roman" w:hAnsi="Times New Roman" w:hint="eastAsia"/>
          <w:szCs w:val="24"/>
        </w:rPr>
        <w:t>一直</w:t>
      </w:r>
      <w:r>
        <w:rPr>
          <w:rFonts w:ascii="Times New Roman" w:hAnsi="Times New Roman"/>
          <w:szCs w:val="24"/>
        </w:rPr>
        <w:t>呈增加的趋势。</w:t>
      </w:r>
    </w:p>
    <w:p w14:paraId="77522D04" w14:textId="77777777" w:rsidR="009C353B" w:rsidRDefault="00000000">
      <w:pPr>
        <w:pStyle w:val="third"/>
        <w:adjustRightInd w:val="0"/>
        <w:snapToGrid w:val="0"/>
        <w:spacing w:before="0" w:after="0" w:line="440" w:lineRule="exact"/>
        <w:rPr>
          <w:rFonts w:ascii="Times New Roman" w:hAnsi="Times New Roman"/>
        </w:rPr>
      </w:pPr>
      <w:bookmarkStart w:id="191" w:name="_Toc279840328"/>
      <w:bookmarkStart w:id="192" w:name="_Toc279840132"/>
      <w:bookmarkStart w:id="193" w:name="_Toc279866312"/>
      <w:bookmarkStart w:id="194" w:name="_Toc279840191"/>
      <w:bookmarkStart w:id="195" w:name="_Toc206578325"/>
      <w:r>
        <w:rPr>
          <w:rFonts w:ascii="Times New Roman" w:hAnsi="Times New Roman" w:hint="eastAsia"/>
        </w:rPr>
        <w:t xml:space="preserve">4.5.2 </w:t>
      </w:r>
      <w:r>
        <w:rPr>
          <w:rFonts w:ascii="Times New Roman" w:hAnsi="Times New Roman" w:hint="eastAsia"/>
        </w:rPr>
        <w:t>植被净第一性生产力（</w:t>
      </w:r>
      <w:r>
        <w:rPr>
          <w:rFonts w:ascii="Times New Roman" w:hAnsi="Times New Roman" w:hint="eastAsia"/>
        </w:rPr>
        <w:t>NPP</w:t>
      </w:r>
      <w:r>
        <w:rPr>
          <w:rFonts w:ascii="Times New Roman" w:hAnsi="Times New Roman" w:hint="eastAsia"/>
        </w:rPr>
        <w:t>）动态变化</w:t>
      </w:r>
      <w:bookmarkEnd w:id="191"/>
      <w:bookmarkEnd w:id="192"/>
      <w:bookmarkEnd w:id="193"/>
      <w:bookmarkEnd w:id="194"/>
      <w:bookmarkEnd w:id="195"/>
    </w:p>
    <w:p w14:paraId="2695E997" w14:textId="77777777" w:rsidR="009C353B" w:rsidRDefault="00000000">
      <w:pPr>
        <w:adjustRightInd w:val="0"/>
        <w:snapToGrid w:val="0"/>
        <w:spacing w:line="440" w:lineRule="exact"/>
        <w:ind w:firstLine="482"/>
        <w:rPr>
          <w:rFonts w:ascii="Times New Roman" w:hAnsi="Times New Roman"/>
          <w:b/>
          <w:szCs w:val="24"/>
        </w:rPr>
      </w:pPr>
      <w:r>
        <w:rPr>
          <w:rFonts w:ascii="Times New Roman" w:hAnsi="Times New Roman"/>
          <w:b/>
          <w:szCs w:val="24"/>
        </w:rPr>
        <w:t>（</w:t>
      </w:r>
      <w:r>
        <w:rPr>
          <w:rFonts w:ascii="Times New Roman" w:hAnsi="Times New Roman"/>
          <w:b/>
          <w:szCs w:val="24"/>
        </w:rPr>
        <w:t>1</w:t>
      </w:r>
      <w:r>
        <w:rPr>
          <w:rFonts w:ascii="Times New Roman" w:hAnsi="Times New Roman"/>
          <w:b/>
          <w:szCs w:val="24"/>
        </w:rPr>
        <w:t>）基于遥感数据的植被</w:t>
      </w:r>
      <w:r>
        <w:rPr>
          <w:rFonts w:ascii="Times New Roman" w:hAnsi="Times New Roman"/>
          <w:b/>
          <w:szCs w:val="24"/>
        </w:rPr>
        <w:t>NPP</w:t>
      </w:r>
      <w:r>
        <w:rPr>
          <w:rFonts w:ascii="Times New Roman" w:hAnsi="Times New Roman"/>
          <w:b/>
          <w:szCs w:val="24"/>
        </w:rPr>
        <w:t>估算方法</w:t>
      </w:r>
    </w:p>
    <w:p w14:paraId="602F188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资源平衡理论假定生态过程趋于调整植物特性以响应环境条件，认为植物的生长是资源可利用性的组合体，物种通过生态过程的排序和生理、生化、形态过程的植物驯化相结合应趋向于使所有资源对植物生长有平等限制作用。在资源平衡的观点成立的前提下，可利用植被所吸收的太阳辐射以及其他调控因子来估计植被净第一性生产力。光合有效辐射（</w:t>
      </w:r>
      <w:r>
        <w:rPr>
          <w:rFonts w:ascii="Times New Roman" w:hAnsi="Times New Roman"/>
          <w:szCs w:val="24"/>
        </w:rPr>
        <w:t>PAR</w:t>
      </w:r>
      <w:r>
        <w:rPr>
          <w:rFonts w:ascii="Times New Roman" w:hAnsi="Times New Roman"/>
          <w:szCs w:val="24"/>
        </w:rPr>
        <w:t>）是植物光合作用的驱动力，对这些光能的利用是植物维持生存的必要条件。可以看出，光合有效辐射是植物</w:t>
      </w:r>
      <w:r>
        <w:rPr>
          <w:rFonts w:ascii="Times New Roman" w:hAnsi="Times New Roman"/>
          <w:szCs w:val="24"/>
        </w:rPr>
        <w:t>NPP</w:t>
      </w:r>
      <w:r>
        <w:rPr>
          <w:rFonts w:ascii="Times New Roman" w:hAnsi="Times New Roman"/>
          <w:szCs w:val="24"/>
        </w:rPr>
        <w:t>的一个决定因子，光能利用率模型正是以植物吸收的光合有效辐射（</w:t>
      </w:r>
      <w:r>
        <w:rPr>
          <w:rFonts w:ascii="Times New Roman" w:hAnsi="Times New Roman"/>
          <w:szCs w:val="24"/>
        </w:rPr>
        <w:t>APAR</w:t>
      </w:r>
      <w:r>
        <w:rPr>
          <w:rFonts w:ascii="Times New Roman" w:hAnsi="Times New Roman"/>
          <w:szCs w:val="24"/>
        </w:rPr>
        <w:t>）为基础的，由遥感光谱分解获得对光合有效辐射吸收的植被组分，由遥感反演或气候资料确定植被对到达地表的入射太阳辐射及光合有效辐射吸收效率。并通过能量转换系数估算</w:t>
      </w:r>
      <w:r>
        <w:rPr>
          <w:rFonts w:ascii="Times New Roman" w:hAnsi="Times New Roman"/>
          <w:szCs w:val="24"/>
        </w:rPr>
        <w:t>NPP</w:t>
      </w:r>
      <w:r>
        <w:rPr>
          <w:rFonts w:ascii="Times New Roman" w:hAnsi="Times New Roman"/>
          <w:szCs w:val="24"/>
        </w:rPr>
        <w:t>。模型中还考虑温度、土壤水分状况，植物呼吸作用对植被同化的影响。</w:t>
      </w:r>
    </w:p>
    <w:p w14:paraId="09CBCDC1"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根据</w:t>
      </w:r>
      <w:r>
        <w:rPr>
          <w:rFonts w:ascii="Times New Roman" w:hAnsi="Times New Roman"/>
          <w:szCs w:val="24"/>
        </w:rPr>
        <w:t>NPP</w:t>
      </w:r>
      <w:r>
        <w:rPr>
          <w:rFonts w:ascii="Times New Roman" w:hAnsi="Times New Roman"/>
          <w:szCs w:val="24"/>
        </w:rPr>
        <w:t>与植物吸收的光合有效辐射（</w:t>
      </w:r>
      <w:r>
        <w:rPr>
          <w:rFonts w:ascii="Times New Roman" w:hAnsi="Times New Roman"/>
          <w:szCs w:val="24"/>
        </w:rPr>
        <w:t>APAR</w:t>
      </w:r>
      <w:r>
        <w:rPr>
          <w:rFonts w:ascii="Times New Roman" w:hAnsi="Times New Roman"/>
          <w:szCs w:val="24"/>
        </w:rPr>
        <w:t>）和植物将所吸收的光合有效辐射转化为有机物的关系构建基于遥感卫星数据的</w:t>
      </w:r>
      <w:r>
        <w:rPr>
          <w:rFonts w:ascii="Times New Roman" w:hAnsi="Times New Roman"/>
          <w:szCs w:val="24"/>
        </w:rPr>
        <w:t>NPP</w:t>
      </w:r>
      <w:r>
        <w:rPr>
          <w:rFonts w:ascii="Times New Roman" w:hAnsi="Times New Roman"/>
          <w:szCs w:val="24"/>
        </w:rPr>
        <w:t>估算模型，即</w:t>
      </w:r>
      <w:r>
        <w:rPr>
          <w:rFonts w:ascii="Times New Roman" w:hAnsi="Times New Roman"/>
          <w:szCs w:val="24"/>
        </w:rPr>
        <w:object w:dxaOrig="578" w:dyaOrig="234" w14:anchorId="748C6518">
          <v:shape id="_x0000_i1124" type="#_x0000_t75" style="width:28.9pt;height:11.45pt" o:ole="">
            <v:imagedata r:id="rId345" o:title=""/>
          </v:shape>
          <o:OLEObject Type="Embed" ProgID="Equation.DSMT4" ShapeID="_x0000_i1124" DrawAspect="Content" ObjectID="_1826209223" r:id="rId346"/>
        </w:object>
      </w:r>
      <w:r>
        <w:rPr>
          <w:rFonts w:ascii="Times New Roman" w:hAnsi="Times New Roman"/>
          <w:szCs w:val="24"/>
        </w:rPr>
        <w:t>可以由植物吸收的光合有效辐射（</w:t>
      </w:r>
      <w:r>
        <w:rPr>
          <w:rFonts w:ascii="Times New Roman" w:hAnsi="Times New Roman"/>
          <w:szCs w:val="24"/>
        </w:rPr>
        <w:object w:dxaOrig="751" w:dyaOrig="234" w14:anchorId="490F3325">
          <v:shape id="_x0000_i1125" type="#_x0000_t75" style="width:37.65pt;height:11.45pt" o:ole="">
            <v:imagedata r:id="rId347" o:title=""/>
          </v:shape>
          <o:OLEObject Type="Embed" ProgID="Equation.DSMT4" ShapeID="_x0000_i1125" DrawAspect="Content" ObjectID="_1826209224" r:id="rId348"/>
        </w:object>
      </w:r>
      <w:r>
        <w:rPr>
          <w:rFonts w:ascii="Times New Roman" w:hAnsi="Times New Roman"/>
          <w:szCs w:val="24"/>
        </w:rPr>
        <w:t>）和光利用率（</w:t>
      </w:r>
      <w:r>
        <w:rPr>
          <w:rFonts w:ascii="Times New Roman" w:hAnsi="Times New Roman"/>
          <w:szCs w:val="24"/>
        </w:rPr>
        <w:object w:dxaOrig="234" w:dyaOrig="234" w14:anchorId="6729DBCB">
          <v:shape id="_x0000_i1126" type="#_x0000_t75" style="width:11.45pt;height:11.45pt" o:ole="">
            <v:imagedata r:id="rId265" o:title=""/>
          </v:shape>
          <o:OLEObject Type="Embed" ProgID="Equation.DSMT4" ShapeID="_x0000_i1126" DrawAspect="Content" ObjectID="_1826209225" r:id="rId349"/>
        </w:object>
      </w:r>
      <w:r>
        <w:rPr>
          <w:rFonts w:ascii="Times New Roman" w:hAnsi="Times New Roman"/>
          <w:szCs w:val="24"/>
        </w:rPr>
        <w:t>）</w:t>
      </w:r>
      <w:r>
        <w:rPr>
          <w:rFonts w:ascii="Times New Roman" w:hAnsi="Times New Roman"/>
          <w:szCs w:val="24"/>
        </w:rPr>
        <w:t>2</w:t>
      </w:r>
      <w:r>
        <w:rPr>
          <w:rFonts w:ascii="Times New Roman" w:hAnsi="Times New Roman"/>
          <w:szCs w:val="24"/>
        </w:rPr>
        <w:t>个因子来表示，其估算公式如下：</w:t>
      </w:r>
      <w:r>
        <w:rPr>
          <w:rFonts w:ascii="Times New Roman" w:hAnsi="Times New Roman"/>
          <w:szCs w:val="24"/>
        </w:rPr>
        <w:t xml:space="preserve"> </w:t>
      </w:r>
    </w:p>
    <w:p w14:paraId="6AA12420" w14:textId="77777777" w:rsidR="009C353B" w:rsidRDefault="00000000">
      <w:pPr>
        <w:adjustRightInd w:val="0"/>
        <w:snapToGrid w:val="0"/>
        <w:spacing w:line="440" w:lineRule="exact"/>
        <w:ind w:firstLineChars="500" w:firstLine="1200"/>
        <w:rPr>
          <w:rFonts w:ascii="Times New Roman" w:hAnsi="Times New Roman"/>
          <w:szCs w:val="24"/>
        </w:rPr>
      </w:pPr>
      <w:r>
        <w:rPr>
          <w:rFonts w:ascii="Times New Roman" w:hAnsi="Times New Roman"/>
          <w:szCs w:val="24"/>
        </w:rPr>
        <w:object w:dxaOrig="4086" w:dyaOrig="382" w14:anchorId="4BE1F448">
          <v:shape id="_x0000_i1127" type="#_x0000_t75" style="width:204.55pt;height:19.1pt" o:ole="">
            <v:imagedata r:id="rId350" o:title=""/>
          </v:shape>
          <o:OLEObject Type="Embed" ProgID="Equation.3" ShapeID="_x0000_i1127" DrawAspect="Content" ObjectID="_1826209226" r:id="rId351"/>
        </w:object>
      </w:r>
    </w:p>
    <w:p w14:paraId="42F3D69C"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式中，</w:t>
      </w:r>
      <w:r>
        <w:rPr>
          <w:rFonts w:ascii="Times New Roman" w:hAnsi="Times New Roman"/>
          <w:szCs w:val="24"/>
        </w:rPr>
        <w:object w:dxaOrig="74" w:dyaOrig="234" w14:anchorId="36653976">
          <v:shape id="_x0000_i1128" type="#_x0000_t75" style="width:3.8pt;height:11.45pt" o:ole="">
            <v:imagedata r:id="rId352" o:title=""/>
          </v:shape>
          <o:OLEObject Type="Embed" ProgID="Equation.DSMT4" ShapeID="_x0000_i1128" DrawAspect="Content" ObjectID="_1826209227" r:id="rId353"/>
        </w:object>
      </w:r>
      <w:r>
        <w:rPr>
          <w:rFonts w:ascii="Times New Roman" w:hAnsi="Times New Roman"/>
          <w:szCs w:val="24"/>
        </w:rPr>
        <w:t>表示时间，</w:t>
      </w:r>
      <w:r>
        <w:rPr>
          <w:rFonts w:ascii="Times New Roman" w:hAnsi="Times New Roman"/>
          <w:szCs w:val="24"/>
        </w:rPr>
        <w:object w:dxaOrig="234" w:dyaOrig="234" w14:anchorId="645A2C65">
          <v:shape id="_x0000_i1129" type="#_x0000_t75" style="width:11.45pt;height:11.45pt" o:ole="">
            <v:imagedata r:id="rId354" o:title=""/>
          </v:shape>
          <o:OLEObject Type="Embed" ProgID="Equation.DSMT4" ShapeID="_x0000_i1129" DrawAspect="Content" ObjectID="_1826209228" r:id="rId355"/>
        </w:object>
      </w:r>
      <w:r>
        <w:rPr>
          <w:rFonts w:ascii="Times New Roman" w:hAnsi="Times New Roman"/>
          <w:szCs w:val="24"/>
        </w:rPr>
        <w:t>表示空间位置；</w:t>
      </w:r>
      <w:r>
        <w:rPr>
          <w:rFonts w:ascii="Times New Roman" w:hAnsi="Times New Roman"/>
          <w:szCs w:val="24"/>
        </w:rPr>
        <w:object w:dxaOrig="751" w:dyaOrig="234" w14:anchorId="7266184C">
          <v:shape id="_x0000_i1130" type="#_x0000_t75" style="width:37.65pt;height:11.45pt" o:ole="">
            <v:imagedata r:id="rId347" o:title=""/>
          </v:shape>
          <o:OLEObject Type="Embed" ProgID="Equation.DSMT4" ShapeID="_x0000_i1130" DrawAspect="Content" ObjectID="_1826209229" r:id="rId356"/>
        </w:object>
      </w:r>
      <w:r>
        <w:rPr>
          <w:rFonts w:ascii="Times New Roman" w:hAnsi="Times New Roman"/>
          <w:szCs w:val="24"/>
        </w:rPr>
        <w:t>（</w:t>
      </w:r>
      <w:r>
        <w:rPr>
          <w:rFonts w:ascii="Times New Roman" w:hAnsi="Times New Roman"/>
          <w:szCs w:val="24"/>
        </w:rPr>
        <w:object w:dxaOrig="234" w:dyaOrig="234" w14:anchorId="51BF143E">
          <v:shape id="_x0000_i1131" type="#_x0000_t75" style="width:11.45pt;height:11.45pt" o:ole="">
            <v:imagedata r:id="rId354" o:title=""/>
          </v:shape>
          <o:OLEObject Type="Embed" ProgID="Equation.DSMT4" ShapeID="_x0000_i1131" DrawAspect="Content" ObjectID="_1826209230" r:id="rId357"/>
        </w:object>
      </w:r>
      <w:r>
        <w:rPr>
          <w:rFonts w:ascii="Times New Roman" w:hAnsi="Times New Roman"/>
          <w:szCs w:val="24"/>
        </w:rPr>
        <w:t>，</w:t>
      </w:r>
      <w:r>
        <w:rPr>
          <w:rFonts w:ascii="Times New Roman" w:hAnsi="Times New Roman"/>
          <w:szCs w:val="24"/>
        </w:rPr>
        <w:object w:dxaOrig="74" w:dyaOrig="234" w14:anchorId="2A787973">
          <v:shape id="_x0000_i1132" type="#_x0000_t75" style="width:3.8pt;height:11.45pt" o:ole="">
            <v:imagedata r:id="rId352" o:title=""/>
          </v:shape>
          <o:OLEObject Type="Embed" ProgID="Equation.DSMT4" ShapeID="_x0000_i1132" DrawAspect="Content" ObjectID="_1826209231" r:id="rId358"/>
        </w:object>
      </w:r>
      <w:r>
        <w:rPr>
          <w:rFonts w:ascii="Times New Roman" w:hAnsi="Times New Roman"/>
          <w:szCs w:val="24"/>
        </w:rPr>
        <w:t>）表示像元</w:t>
      </w:r>
      <w:r>
        <w:rPr>
          <w:rFonts w:ascii="Times New Roman" w:hAnsi="Times New Roman"/>
          <w:szCs w:val="24"/>
        </w:rPr>
        <w:object w:dxaOrig="234" w:dyaOrig="234" w14:anchorId="6AD7EBF8">
          <v:shape id="_x0000_i1133" type="#_x0000_t75" style="width:11.45pt;height:11.45pt" o:ole="">
            <v:imagedata r:id="rId354" o:title=""/>
          </v:shape>
          <o:OLEObject Type="Embed" ProgID="Equation.DSMT4" ShapeID="_x0000_i1133" DrawAspect="Content" ObjectID="_1826209232" r:id="rId359"/>
        </w:object>
      </w:r>
      <w:r>
        <w:rPr>
          <w:rFonts w:ascii="Times New Roman" w:hAnsi="Times New Roman"/>
          <w:szCs w:val="24"/>
        </w:rPr>
        <w:t>在</w:t>
      </w:r>
      <w:r>
        <w:rPr>
          <w:rFonts w:ascii="Times New Roman" w:hAnsi="Times New Roman"/>
          <w:szCs w:val="24"/>
        </w:rPr>
        <w:object w:dxaOrig="74" w:dyaOrig="234" w14:anchorId="788475F6">
          <v:shape id="_x0000_i1134" type="#_x0000_t75" style="width:3.8pt;height:11.45pt" o:ole="">
            <v:imagedata r:id="rId352" o:title=""/>
          </v:shape>
          <o:OLEObject Type="Embed" ProgID="Equation.DSMT4" ShapeID="_x0000_i1134" DrawAspect="Content" ObjectID="_1826209233" r:id="rId360"/>
        </w:object>
      </w:r>
      <w:r>
        <w:rPr>
          <w:rFonts w:ascii="Times New Roman" w:hAnsi="Times New Roman"/>
          <w:szCs w:val="24"/>
        </w:rPr>
        <w:t>月份吸收的光合有效辐射（</w:t>
      </w:r>
      <w:r>
        <w:rPr>
          <w:rFonts w:ascii="Times New Roman" w:hAnsi="Times New Roman"/>
          <w:szCs w:val="24"/>
        </w:rPr>
        <w:t>MJ/m</w:t>
      </w:r>
      <w:r>
        <w:rPr>
          <w:rFonts w:ascii="Times New Roman" w:hAnsi="Times New Roman"/>
          <w:szCs w:val="24"/>
          <w:vertAlign w:val="superscript"/>
        </w:rPr>
        <w:t>2</w:t>
      </w:r>
      <w:r>
        <w:rPr>
          <w:rFonts w:ascii="Times New Roman" w:hAnsi="Times New Roman"/>
          <w:szCs w:val="24"/>
        </w:rPr>
        <w:t>/</w:t>
      </w:r>
      <w:r>
        <w:rPr>
          <w:rFonts w:ascii="Times New Roman" w:hAnsi="Times New Roman"/>
          <w:szCs w:val="24"/>
        </w:rPr>
        <w:t>月）；</w:t>
      </w:r>
      <w:r>
        <w:rPr>
          <w:rFonts w:ascii="Times New Roman" w:hAnsi="Times New Roman"/>
          <w:szCs w:val="24"/>
        </w:rPr>
        <w:object w:dxaOrig="234" w:dyaOrig="234" w14:anchorId="0CAE5BBA">
          <v:shape id="_x0000_i1135" type="#_x0000_t75" style="width:11.45pt;height:11.45pt" o:ole="">
            <v:imagedata r:id="rId265" o:title=""/>
          </v:shape>
          <o:OLEObject Type="Embed" ProgID="Equation.DSMT4" ShapeID="_x0000_i1135" DrawAspect="Content" ObjectID="_1826209234" r:id="rId361"/>
        </w:object>
      </w:r>
      <w:r>
        <w:rPr>
          <w:rFonts w:ascii="Times New Roman" w:hAnsi="Times New Roman"/>
          <w:szCs w:val="24"/>
        </w:rPr>
        <w:t>（</w:t>
      </w:r>
      <w:r>
        <w:rPr>
          <w:rFonts w:ascii="Times New Roman" w:hAnsi="Times New Roman"/>
          <w:szCs w:val="24"/>
        </w:rPr>
        <w:object w:dxaOrig="234" w:dyaOrig="234" w14:anchorId="18019DB4">
          <v:shape id="_x0000_i1136" type="#_x0000_t75" style="width:11.45pt;height:11.45pt" o:ole="">
            <v:imagedata r:id="rId354" o:title=""/>
          </v:shape>
          <o:OLEObject Type="Embed" ProgID="Equation.DSMT4" ShapeID="_x0000_i1136" DrawAspect="Content" ObjectID="_1826209235" r:id="rId362"/>
        </w:object>
      </w:r>
      <w:r>
        <w:rPr>
          <w:rFonts w:ascii="Times New Roman" w:hAnsi="Times New Roman"/>
          <w:szCs w:val="24"/>
        </w:rPr>
        <w:t>，</w:t>
      </w:r>
      <w:r>
        <w:rPr>
          <w:rFonts w:ascii="Times New Roman" w:hAnsi="Times New Roman"/>
          <w:szCs w:val="24"/>
        </w:rPr>
        <w:object w:dxaOrig="74" w:dyaOrig="234" w14:anchorId="110BBF89">
          <v:shape id="_x0000_i1137" type="#_x0000_t75" style="width:3.8pt;height:11.45pt" o:ole="">
            <v:imagedata r:id="rId352" o:title=""/>
          </v:shape>
          <o:OLEObject Type="Embed" ProgID="Equation.DSMT4" ShapeID="_x0000_i1137" DrawAspect="Content" ObjectID="_1826209236" r:id="rId363"/>
        </w:object>
      </w:r>
      <w:r>
        <w:rPr>
          <w:rFonts w:ascii="Times New Roman" w:hAnsi="Times New Roman"/>
          <w:szCs w:val="24"/>
        </w:rPr>
        <w:t>）表示像元</w:t>
      </w:r>
      <w:r>
        <w:rPr>
          <w:rFonts w:ascii="Times New Roman" w:hAnsi="Times New Roman"/>
          <w:szCs w:val="24"/>
        </w:rPr>
        <w:object w:dxaOrig="234" w:dyaOrig="234" w14:anchorId="0ABFA6A4">
          <v:shape id="_x0000_i1138" type="#_x0000_t75" style="width:11.45pt;height:11.45pt" o:ole="">
            <v:imagedata r:id="rId354" o:title=""/>
          </v:shape>
          <o:OLEObject Type="Embed" ProgID="Equation.DSMT4" ShapeID="_x0000_i1138" DrawAspect="Content" ObjectID="_1826209237" r:id="rId364"/>
        </w:object>
      </w:r>
      <w:r>
        <w:rPr>
          <w:rFonts w:ascii="Times New Roman" w:hAnsi="Times New Roman"/>
          <w:szCs w:val="24"/>
        </w:rPr>
        <w:t>在</w:t>
      </w:r>
      <w:r>
        <w:rPr>
          <w:rFonts w:ascii="Times New Roman" w:hAnsi="Times New Roman"/>
          <w:szCs w:val="24"/>
        </w:rPr>
        <w:object w:dxaOrig="74" w:dyaOrig="234" w14:anchorId="75689A12">
          <v:shape id="_x0000_i1139" type="#_x0000_t75" style="width:3.8pt;height:11.45pt" o:ole="">
            <v:imagedata r:id="rId352" o:title=""/>
          </v:shape>
          <o:OLEObject Type="Embed" ProgID="Equation.DSMT4" ShapeID="_x0000_i1139" DrawAspect="Content" ObjectID="_1826209238" r:id="rId365"/>
        </w:object>
      </w:r>
      <w:r>
        <w:rPr>
          <w:rFonts w:ascii="Times New Roman" w:hAnsi="Times New Roman"/>
          <w:szCs w:val="24"/>
        </w:rPr>
        <w:t>月份的实际光能利用率（</w:t>
      </w:r>
      <w:r>
        <w:rPr>
          <w:rFonts w:ascii="Times New Roman" w:hAnsi="Times New Roman"/>
          <w:szCs w:val="24"/>
        </w:rPr>
        <w:t>g/MJ</w:t>
      </w:r>
      <w:r>
        <w:rPr>
          <w:rFonts w:ascii="Times New Roman" w:hAnsi="Times New Roman"/>
          <w:szCs w:val="24"/>
        </w:rPr>
        <w:t>）。</w:t>
      </w:r>
    </w:p>
    <w:p w14:paraId="1F7D0999"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植被吸收的光合有效辐射取决于太阳总辐射和植物本身的特征，光合有效辐射（</w:t>
      </w:r>
      <w:r>
        <w:rPr>
          <w:rFonts w:ascii="Times New Roman" w:hAnsi="Times New Roman"/>
          <w:szCs w:val="24"/>
        </w:rPr>
        <w:t>APAR</w:t>
      </w:r>
      <w:r>
        <w:rPr>
          <w:rFonts w:ascii="Times New Roman" w:hAnsi="Times New Roman"/>
          <w:szCs w:val="24"/>
        </w:rPr>
        <w:t>）的估算用下式计算。</w:t>
      </w:r>
    </w:p>
    <w:p w14:paraId="1AE5EDC7" w14:textId="77777777" w:rsidR="009C353B" w:rsidRDefault="00000000">
      <w:pPr>
        <w:adjustRightInd w:val="0"/>
        <w:snapToGrid w:val="0"/>
        <w:spacing w:line="440" w:lineRule="exact"/>
        <w:ind w:firstLineChars="500" w:firstLine="1200"/>
        <w:rPr>
          <w:rFonts w:ascii="Times New Roman" w:hAnsi="Times New Roman"/>
          <w:szCs w:val="24"/>
        </w:rPr>
      </w:pPr>
      <w:r>
        <w:rPr>
          <w:rFonts w:ascii="Times New Roman" w:hAnsi="Times New Roman"/>
          <w:szCs w:val="24"/>
        </w:rPr>
        <w:object w:dxaOrig="5071" w:dyaOrig="382" w14:anchorId="48EBA318">
          <v:shape id="_x0000_i1140" type="#_x0000_t75" style="width:253.65pt;height:19.1pt" o:ole="">
            <v:imagedata r:id="rId366" o:title=""/>
          </v:shape>
          <o:OLEObject Type="Embed" ProgID="Equation.3" ShapeID="_x0000_i1140" DrawAspect="Content" ObjectID="_1826209239" r:id="rId367"/>
        </w:object>
      </w:r>
    </w:p>
    <w:p w14:paraId="01DFB1CE"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式中：</w:t>
      </w:r>
      <w:r>
        <w:rPr>
          <w:rFonts w:ascii="Times New Roman" w:hAnsi="Times New Roman"/>
          <w:i/>
          <w:szCs w:val="24"/>
        </w:rPr>
        <w:t>SOL</w:t>
      </w:r>
      <w:r>
        <w:rPr>
          <w:rFonts w:ascii="Times New Roman" w:hAnsi="Times New Roman"/>
          <w:szCs w:val="24"/>
        </w:rPr>
        <w:t>（</w:t>
      </w:r>
      <w:r>
        <w:rPr>
          <w:rFonts w:ascii="Times New Roman" w:hAnsi="Times New Roman"/>
          <w:szCs w:val="24"/>
        </w:rPr>
        <w:t>x</w:t>
      </w:r>
      <w:r>
        <w:rPr>
          <w:rFonts w:ascii="Times New Roman" w:hAnsi="Times New Roman"/>
          <w:szCs w:val="24"/>
        </w:rPr>
        <w:t>，</w:t>
      </w:r>
      <w:r>
        <w:rPr>
          <w:rFonts w:ascii="Times New Roman" w:hAnsi="Times New Roman"/>
          <w:szCs w:val="24"/>
        </w:rPr>
        <w:t>t</w:t>
      </w:r>
      <w:r>
        <w:rPr>
          <w:rFonts w:ascii="Times New Roman" w:hAnsi="Times New Roman"/>
          <w:szCs w:val="24"/>
        </w:rPr>
        <w:t>）表示</w:t>
      </w:r>
      <w:r>
        <w:rPr>
          <w:rFonts w:ascii="Times New Roman" w:hAnsi="Times New Roman"/>
          <w:szCs w:val="24"/>
        </w:rPr>
        <w:t>t</w:t>
      </w:r>
      <w:r>
        <w:rPr>
          <w:rFonts w:ascii="Times New Roman" w:hAnsi="Times New Roman"/>
          <w:szCs w:val="24"/>
        </w:rPr>
        <w:t>月在像元</w:t>
      </w:r>
      <w:r>
        <w:rPr>
          <w:rFonts w:ascii="Times New Roman" w:hAnsi="Times New Roman"/>
          <w:szCs w:val="24"/>
        </w:rPr>
        <w:t>x</w:t>
      </w:r>
      <w:r>
        <w:rPr>
          <w:rFonts w:ascii="Times New Roman" w:hAnsi="Times New Roman"/>
          <w:szCs w:val="24"/>
        </w:rPr>
        <w:t>处的太阳总辐射量（</w:t>
      </w:r>
      <w:r>
        <w:rPr>
          <w:rFonts w:ascii="Times New Roman" w:hAnsi="Times New Roman"/>
          <w:szCs w:val="24"/>
        </w:rPr>
        <w:t>MJ/m</w:t>
      </w:r>
      <w:r>
        <w:rPr>
          <w:rFonts w:ascii="Times New Roman" w:hAnsi="Times New Roman"/>
          <w:szCs w:val="24"/>
          <w:vertAlign w:val="superscript"/>
        </w:rPr>
        <w:t>2</w:t>
      </w:r>
      <w:r>
        <w:rPr>
          <w:rFonts w:ascii="Times New Roman" w:hAnsi="Times New Roman"/>
          <w:szCs w:val="24"/>
        </w:rPr>
        <w:t>）；</w:t>
      </w:r>
      <w:r>
        <w:rPr>
          <w:rFonts w:ascii="Times New Roman" w:hAnsi="Times New Roman"/>
          <w:szCs w:val="24"/>
        </w:rPr>
        <w:t>FPAR</w:t>
      </w:r>
      <w:r>
        <w:rPr>
          <w:rFonts w:ascii="Times New Roman" w:hAnsi="Times New Roman"/>
          <w:szCs w:val="24"/>
        </w:rPr>
        <w:t>（</w:t>
      </w:r>
      <w:r>
        <w:rPr>
          <w:rFonts w:ascii="Times New Roman" w:hAnsi="Times New Roman"/>
          <w:szCs w:val="24"/>
        </w:rPr>
        <w:t>x</w:t>
      </w:r>
      <w:r>
        <w:rPr>
          <w:rFonts w:ascii="Times New Roman" w:hAnsi="Times New Roman"/>
          <w:szCs w:val="24"/>
        </w:rPr>
        <w:t>，</w:t>
      </w:r>
      <w:r>
        <w:rPr>
          <w:rFonts w:ascii="Times New Roman" w:hAnsi="Times New Roman"/>
          <w:szCs w:val="24"/>
        </w:rPr>
        <w:t>t</w:t>
      </w:r>
      <w:r>
        <w:rPr>
          <w:rFonts w:ascii="Times New Roman" w:hAnsi="Times New Roman"/>
          <w:szCs w:val="24"/>
        </w:rPr>
        <w:t>）为植被层对入射光合有效辐射的吸收比例；常数</w:t>
      </w:r>
      <w:r>
        <w:rPr>
          <w:rFonts w:ascii="Times New Roman" w:hAnsi="Times New Roman"/>
          <w:szCs w:val="24"/>
        </w:rPr>
        <w:t>0.5</w:t>
      </w:r>
      <w:r>
        <w:rPr>
          <w:rFonts w:ascii="Times New Roman" w:hAnsi="Times New Roman"/>
          <w:szCs w:val="24"/>
        </w:rPr>
        <w:t>表示植被所能利用的太阳有效辐射（波长为</w:t>
      </w:r>
      <w:r>
        <w:rPr>
          <w:rFonts w:ascii="Times New Roman" w:hAnsi="Times New Roman"/>
          <w:szCs w:val="24"/>
        </w:rPr>
        <w:t>0.38</w:t>
      </w:r>
      <w:r>
        <w:rPr>
          <w:rFonts w:ascii="Times New Roman" w:hAnsi="Times New Roman"/>
          <w:szCs w:val="24"/>
        </w:rPr>
        <w:t>～</w:t>
      </w:r>
      <w:r>
        <w:rPr>
          <w:rFonts w:ascii="Times New Roman" w:hAnsi="Times New Roman"/>
          <w:szCs w:val="24"/>
        </w:rPr>
        <w:t>0.71μm</w:t>
      </w:r>
      <w:r>
        <w:rPr>
          <w:rFonts w:ascii="Times New Roman" w:hAnsi="Times New Roman"/>
          <w:szCs w:val="24"/>
        </w:rPr>
        <w:t>）占太阳总辐射的比例。</w:t>
      </w:r>
    </w:p>
    <w:p w14:paraId="7DB4DC63" w14:textId="77777777" w:rsidR="009C353B" w:rsidRDefault="00000000">
      <w:pPr>
        <w:autoSpaceDE w:val="0"/>
        <w:autoSpaceDN w:val="0"/>
        <w:adjustRightInd w:val="0"/>
        <w:spacing w:line="440" w:lineRule="exact"/>
        <w:ind w:firstLineChars="200" w:firstLine="480"/>
        <w:rPr>
          <w:rFonts w:ascii="Times New Roman" w:hAnsi="Times New Roman"/>
          <w:kern w:val="0"/>
          <w:szCs w:val="24"/>
        </w:rPr>
      </w:pPr>
      <w:r>
        <w:rPr>
          <w:rFonts w:ascii="Times New Roman" w:hAnsi="Times New Roman"/>
          <w:kern w:val="0"/>
          <w:szCs w:val="24"/>
        </w:rPr>
        <w:t>环境因子如气温、土壤水分状况以及大气水汽压差等会通过影响植物的光合能力而调节植被的</w:t>
      </w:r>
      <w:r>
        <w:rPr>
          <w:rFonts w:ascii="Times New Roman" w:hAnsi="Times New Roman"/>
          <w:kern w:val="0"/>
          <w:szCs w:val="24"/>
        </w:rPr>
        <w:t>NPP</w:t>
      </w:r>
      <w:r>
        <w:rPr>
          <w:rFonts w:ascii="Times New Roman" w:hAnsi="Times New Roman"/>
          <w:kern w:val="0"/>
          <w:szCs w:val="24"/>
        </w:rPr>
        <w:t>。在遥感模型中，这些因子对</w:t>
      </w:r>
      <w:r>
        <w:rPr>
          <w:rFonts w:ascii="Times New Roman" w:hAnsi="Times New Roman"/>
          <w:kern w:val="0"/>
          <w:szCs w:val="24"/>
        </w:rPr>
        <w:t>NPP</w:t>
      </w:r>
      <w:r>
        <w:rPr>
          <w:rFonts w:ascii="Times New Roman" w:hAnsi="Times New Roman"/>
          <w:kern w:val="0"/>
          <w:szCs w:val="24"/>
        </w:rPr>
        <w:t>的调控是通过对最大光能利用率进行调节而实现的。</w:t>
      </w:r>
      <w:r>
        <w:rPr>
          <w:rFonts w:ascii="Times New Roman" w:hAnsi="Times New Roman"/>
          <w:szCs w:val="24"/>
        </w:rPr>
        <w:t>光能利用率</w:t>
      </w:r>
      <w:r>
        <w:rPr>
          <w:rFonts w:ascii="Times New Roman" w:hAnsi="Times New Roman"/>
          <w:szCs w:val="24"/>
        </w:rPr>
        <w:object w:dxaOrig="197" w:dyaOrig="234" w14:anchorId="12DCA19E">
          <v:shape id="_x0000_i1141" type="#_x0000_t75" style="width:9.8pt;height:11.45pt" o:ole="">
            <v:imagedata r:id="rId265" o:title=""/>
          </v:shape>
          <o:OLEObject Type="Embed" ProgID="Equation.3" ShapeID="_x0000_i1141" DrawAspect="Content" ObjectID="_1826209240" r:id="rId368"/>
        </w:object>
      </w:r>
      <w:r>
        <w:rPr>
          <w:rFonts w:ascii="Times New Roman" w:hAnsi="Times New Roman"/>
          <w:szCs w:val="24"/>
        </w:rPr>
        <w:t>的估算用下式计算：</w:t>
      </w:r>
    </w:p>
    <w:p w14:paraId="1E77B6C8" w14:textId="77777777" w:rsidR="009C353B" w:rsidRDefault="00000000">
      <w:pPr>
        <w:spacing w:line="440" w:lineRule="exact"/>
        <w:ind w:firstLineChars="200" w:firstLine="480"/>
        <w:jc w:val="center"/>
        <w:rPr>
          <w:rFonts w:ascii="Times New Roman" w:hAnsi="Times New Roman"/>
          <w:szCs w:val="24"/>
        </w:rPr>
      </w:pPr>
      <w:r>
        <w:rPr>
          <w:rFonts w:ascii="Times New Roman" w:hAnsi="Times New Roman"/>
          <w:position w:val="-12"/>
          <w:szCs w:val="24"/>
        </w:rPr>
        <w:object w:dxaOrig="4148" w:dyaOrig="382" w14:anchorId="3530F255">
          <v:shape id="_x0000_i1142" type="#_x0000_t75" style="width:207.25pt;height:19.1pt" o:ole="">
            <v:imagedata r:id="rId267" o:title=""/>
          </v:shape>
          <o:OLEObject Type="Embed" ProgID="Equation.3" ShapeID="_x0000_i1142" DrawAspect="Content" ObjectID="_1826209241" r:id="rId369"/>
        </w:object>
      </w:r>
    </w:p>
    <w:p w14:paraId="71ABE7F3"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kern w:val="0"/>
          <w:szCs w:val="24"/>
        </w:rPr>
        <w:t>式中，</w:t>
      </w:r>
      <w:r>
        <w:rPr>
          <w:rFonts w:ascii="Times New Roman" w:hAnsi="Times New Roman"/>
          <w:position w:val="-12"/>
          <w:szCs w:val="24"/>
        </w:rPr>
        <w:object w:dxaOrig="849" w:dyaOrig="382" w14:anchorId="31CD68BE">
          <v:shape id="_x0000_i1143" type="#_x0000_t75" style="width:42.55pt;height:19.1pt" o:ole="">
            <v:imagedata r:id="rId269" o:title=""/>
          </v:shape>
          <o:OLEObject Type="Embed" ProgID="Equation.3" ShapeID="_x0000_i1143" DrawAspect="Content" ObjectID="_1826209242" r:id="rId370"/>
        </w:object>
      </w:r>
      <w:r>
        <w:rPr>
          <w:rFonts w:ascii="Times New Roman" w:hAnsi="Times New Roman"/>
          <w:kern w:val="0"/>
          <w:szCs w:val="24"/>
        </w:rPr>
        <w:t>和</w:t>
      </w:r>
      <w:r>
        <w:rPr>
          <w:rFonts w:ascii="Times New Roman" w:hAnsi="Times New Roman"/>
          <w:position w:val="-12"/>
          <w:szCs w:val="24"/>
        </w:rPr>
        <w:object w:dxaOrig="862" w:dyaOrig="382" w14:anchorId="30380DE7">
          <v:shape id="_x0000_i1144" type="#_x0000_t75" style="width:43.1pt;height:19.1pt" o:ole="">
            <v:imagedata r:id="rId271" o:title=""/>
          </v:shape>
          <o:OLEObject Type="Embed" ProgID="Equation.3" ShapeID="_x0000_i1144" DrawAspect="Content" ObjectID="_1826209243" r:id="rId371"/>
        </w:object>
      </w:r>
      <w:r>
        <w:rPr>
          <w:rFonts w:ascii="Times New Roman" w:hAnsi="Times New Roman"/>
          <w:kern w:val="0"/>
          <w:szCs w:val="24"/>
        </w:rPr>
        <w:t>表示低温和高温对光能利用率的胁迫作用；</w:t>
      </w:r>
      <w:r>
        <w:rPr>
          <w:rFonts w:ascii="Times New Roman" w:hAnsi="Times New Roman"/>
          <w:position w:val="-12"/>
          <w:szCs w:val="24"/>
        </w:rPr>
        <w:object w:dxaOrig="837" w:dyaOrig="382" w14:anchorId="717A1854">
          <v:shape id="_x0000_i1145" type="#_x0000_t75" style="width:42pt;height:19.1pt" o:ole="">
            <v:imagedata r:id="rId273" o:title=""/>
          </v:shape>
          <o:OLEObject Type="Embed" ProgID="Equation.3" ShapeID="_x0000_i1145" DrawAspect="Content" ObjectID="_1826209244" r:id="rId372"/>
        </w:object>
      </w:r>
      <w:r>
        <w:rPr>
          <w:rFonts w:ascii="Times New Roman" w:hAnsi="Times New Roman"/>
          <w:kern w:val="0"/>
          <w:szCs w:val="24"/>
        </w:rPr>
        <w:t>为水分胁迫影响系数，反映水分条件的影响；</w:t>
      </w:r>
      <w:r>
        <w:rPr>
          <w:rFonts w:ascii="Times New Roman" w:hAnsi="Times New Roman"/>
          <w:position w:val="-12"/>
          <w:szCs w:val="24"/>
        </w:rPr>
        <w:object w:dxaOrig="406" w:dyaOrig="382" w14:anchorId="74043E4E">
          <v:shape id="_x0000_i1146" type="#_x0000_t75" style="width:20.2pt;height:19.1pt" o:ole="">
            <v:imagedata r:id="rId275" o:title=""/>
          </v:shape>
          <o:OLEObject Type="Embed" ProgID="Equation.3" ShapeID="_x0000_i1146" DrawAspect="Content" ObjectID="_1826209245" r:id="rId373"/>
        </w:object>
      </w:r>
      <w:r>
        <w:rPr>
          <w:rFonts w:ascii="Times New Roman" w:hAnsi="Times New Roman"/>
          <w:kern w:val="0"/>
          <w:szCs w:val="24"/>
        </w:rPr>
        <w:t>是理想条件下的最大光能利用率（</w:t>
      </w:r>
      <w:r>
        <w:rPr>
          <w:rFonts w:ascii="Times New Roman" w:hAnsi="Times New Roman"/>
          <w:kern w:val="0"/>
          <w:szCs w:val="24"/>
        </w:rPr>
        <w:t>gC·MJ</w:t>
      </w:r>
      <w:r>
        <w:rPr>
          <w:rFonts w:ascii="Times New Roman" w:hAnsi="Times New Roman"/>
          <w:kern w:val="0"/>
          <w:szCs w:val="24"/>
          <w:vertAlign w:val="superscript"/>
        </w:rPr>
        <w:t>-1</w:t>
      </w:r>
      <w:r>
        <w:rPr>
          <w:rFonts w:ascii="Times New Roman" w:hAnsi="Times New Roman"/>
          <w:kern w:val="0"/>
          <w:szCs w:val="24"/>
        </w:rPr>
        <w:t>）。</w:t>
      </w:r>
    </w:p>
    <w:p w14:paraId="6AEE588D" w14:textId="77777777" w:rsidR="009C353B" w:rsidRDefault="00000000">
      <w:pPr>
        <w:adjustRightInd w:val="0"/>
        <w:snapToGrid w:val="0"/>
        <w:spacing w:line="440" w:lineRule="exact"/>
        <w:ind w:firstLine="482"/>
        <w:rPr>
          <w:rFonts w:ascii="Times New Roman" w:hAnsi="Times New Roman"/>
          <w:b/>
          <w:szCs w:val="24"/>
        </w:rPr>
      </w:pPr>
      <w:r>
        <w:rPr>
          <w:rFonts w:ascii="Times New Roman" w:hAnsi="Times New Roman"/>
          <w:b/>
          <w:szCs w:val="24"/>
        </w:rPr>
        <w:t>（</w:t>
      </w:r>
      <w:r>
        <w:rPr>
          <w:rFonts w:ascii="Times New Roman" w:hAnsi="Times New Roman"/>
          <w:b/>
          <w:szCs w:val="24"/>
        </w:rPr>
        <w:t>2</w:t>
      </w:r>
      <w:r>
        <w:rPr>
          <w:rFonts w:ascii="Times New Roman" w:hAnsi="Times New Roman"/>
          <w:b/>
          <w:szCs w:val="24"/>
        </w:rPr>
        <w:t>）结果分析</w:t>
      </w:r>
    </w:p>
    <w:p w14:paraId="54C7FC0D" w14:textId="77777777" w:rsidR="009C353B" w:rsidRDefault="00000000">
      <w:pPr>
        <w:adjustRightInd w:val="0"/>
        <w:snapToGrid w:val="0"/>
        <w:spacing w:line="440" w:lineRule="exact"/>
        <w:ind w:firstLine="482"/>
        <w:rPr>
          <w:rFonts w:ascii="Times New Roman" w:hAnsi="Times New Roman"/>
          <w:kern w:val="0"/>
          <w:szCs w:val="24"/>
        </w:rPr>
      </w:pPr>
      <w:r>
        <w:rPr>
          <w:rFonts w:ascii="Times New Roman" w:hAnsi="Times New Roman" w:hint="eastAsia"/>
          <w:kern w:val="0"/>
          <w:szCs w:val="24"/>
        </w:rPr>
        <w:t>利用</w:t>
      </w:r>
      <w:r>
        <w:rPr>
          <w:rFonts w:ascii="Times New Roman" w:hAnsi="Times New Roman"/>
          <w:kern w:val="0"/>
          <w:szCs w:val="24"/>
        </w:rPr>
        <w:t>遥感图像处理软件</w:t>
      </w:r>
      <w:r>
        <w:rPr>
          <w:rFonts w:ascii="Times New Roman" w:hAnsi="Times New Roman"/>
          <w:kern w:val="0"/>
          <w:szCs w:val="24"/>
        </w:rPr>
        <w:t>erdas</w:t>
      </w:r>
      <w:r>
        <w:rPr>
          <w:rFonts w:ascii="Times New Roman" w:hAnsi="Times New Roman"/>
          <w:kern w:val="0"/>
          <w:szCs w:val="24"/>
        </w:rPr>
        <w:t>通过</w:t>
      </w:r>
      <w:r>
        <w:rPr>
          <w:rFonts w:ascii="Times New Roman" w:hAnsi="Times New Roman"/>
          <w:kern w:val="0"/>
          <w:szCs w:val="24"/>
        </w:rPr>
        <w:t>NPP</w:t>
      </w:r>
      <w:r>
        <w:rPr>
          <w:rFonts w:ascii="Times New Roman" w:hAnsi="Times New Roman"/>
          <w:kern w:val="0"/>
          <w:szCs w:val="24"/>
        </w:rPr>
        <w:t>估算模型计算出评价区</w:t>
      </w:r>
      <w:r>
        <w:rPr>
          <w:rFonts w:ascii="Times New Roman" w:hAnsi="Times New Roman" w:hint="eastAsia"/>
          <w:kern w:val="0"/>
          <w:szCs w:val="24"/>
        </w:rPr>
        <w:t>2004</w:t>
      </w:r>
      <w:r>
        <w:rPr>
          <w:rFonts w:ascii="Times New Roman" w:hAnsi="Times New Roman" w:hint="eastAsia"/>
          <w:kern w:val="0"/>
          <w:szCs w:val="24"/>
        </w:rPr>
        <w:t>年、</w:t>
      </w:r>
      <w:r>
        <w:rPr>
          <w:rFonts w:ascii="Times New Roman" w:hAnsi="Times New Roman" w:hint="eastAsia"/>
          <w:kern w:val="0"/>
          <w:szCs w:val="24"/>
        </w:rPr>
        <w:t>2010</w:t>
      </w:r>
      <w:r>
        <w:rPr>
          <w:rFonts w:ascii="Times New Roman" w:hAnsi="Times New Roman" w:hint="eastAsia"/>
          <w:kern w:val="0"/>
          <w:szCs w:val="24"/>
        </w:rPr>
        <w:t>年和</w:t>
      </w:r>
      <w:r>
        <w:rPr>
          <w:rFonts w:ascii="Times New Roman" w:hAnsi="Times New Roman" w:hint="eastAsia"/>
          <w:kern w:val="0"/>
          <w:szCs w:val="24"/>
        </w:rPr>
        <w:t>2019</w:t>
      </w:r>
      <w:r>
        <w:rPr>
          <w:rFonts w:ascii="Times New Roman" w:hAnsi="Times New Roman" w:hint="eastAsia"/>
          <w:kern w:val="0"/>
          <w:szCs w:val="24"/>
        </w:rPr>
        <w:t>年</w:t>
      </w:r>
      <w:r>
        <w:rPr>
          <w:rFonts w:ascii="Times New Roman" w:hAnsi="Times New Roman"/>
          <w:kern w:val="0"/>
          <w:szCs w:val="24"/>
        </w:rPr>
        <w:t>生态系统净第一性生产力，</w:t>
      </w:r>
      <w:r>
        <w:rPr>
          <w:rFonts w:ascii="Times New Roman" w:hAnsi="Times New Roman" w:hint="eastAsia"/>
          <w:kern w:val="0"/>
          <w:szCs w:val="24"/>
        </w:rPr>
        <w:t>见表</w:t>
      </w:r>
      <w:r>
        <w:rPr>
          <w:rFonts w:ascii="Times New Roman" w:hAnsi="Times New Roman" w:hint="eastAsia"/>
          <w:kern w:val="0"/>
          <w:szCs w:val="24"/>
        </w:rPr>
        <w:t>4.5</w:t>
      </w:r>
      <w:r>
        <w:rPr>
          <w:rFonts w:ascii="Times New Roman" w:hAnsi="Times New Roman"/>
          <w:kern w:val="0"/>
          <w:szCs w:val="24"/>
        </w:rPr>
        <w:t>-</w:t>
      </w:r>
      <w:r>
        <w:rPr>
          <w:rFonts w:ascii="Times New Roman" w:hAnsi="Times New Roman" w:hint="eastAsia"/>
          <w:kern w:val="0"/>
          <w:szCs w:val="24"/>
        </w:rPr>
        <w:t>8</w:t>
      </w:r>
      <w:r>
        <w:rPr>
          <w:rFonts w:ascii="Times New Roman" w:hAnsi="Times New Roman" w:hint="eastAsia"/>
          <w:kern w:val="0"/>
          <w:szCs w:val="24"/>
        </w:rPr>
        <w:t>和表</w:t>
      </w:r>
      <w:r>
        <w:rPr>
          <w:rFonts w:ascii="Times New Roman" w:hAnsi="Times New Roman" w:hint="eastAsia"/>
          <w:kern w:val="0"/>
          <w:szCs w:val="24"/>
        </w:rPr>
        <w:t>4.5-9</w:t>
      </w:r>
      <w:r>
        <w:rPr>
          <w:rFonts w:ascii="Times New Roman" w:hAnsi="Times New Roman"/>
          <w:kern w:val="0"/>
          <w:szCs w:val="24"/>
        </w:rPr>
        <w:t>。</w:t>
      </w:r>
    </w:p>
    <w:p w14:paraId="171D6F0B" w14:textId="77777777" w:rsidR="009C353B" w:rsidRDefault="00000000">
      <w:pPr>
        <w:adjustRightInd w:val="0"/>
        <w:snapToGrid w:val="0"/>
        <w:spacing w:line="440" w:lineRule="exact"/>
        <w:jc w:val="center"/>
        <w:rPr>
          <w:rFonts w:ascii="Times New Roman" w:hAnsi="Times New Roman"/>
          <w:b/>
          <w:kern w:val="24"/>
        </w:rPr>
      </w:pPr>
      <w:bookmarkStart w:id="196" w:name="_Toc279840192"/>
      <w:bookmarkStart w:id="197" w:name="_Toc279840133"/>
      <w:bookmarkStart w:id="198" w:name="_Toc279840330"/>
      <w:bookmarkStart w:id="199" w:name="_Toc206578326"/>
      <w:bookmarkStart w:id="200" w:name="_Toc279866314"/>
      <w:r>
        <w:rPr>
          <w:rFonts w:ascii="Times New Roman" w:hAnsi="Times New Roman" w:hint="eastAsia"/>
          <w:b/>
          <w:kern w:val="24"/>
        </w:rPr>
        <w:t>2004</w:t>
      </w:r>
      <w:r>
        <w:rPr>
          <w:rFonts w:ascii="Times New Roman" w:hAnsi="Times New Roman"/>
          <w:b/>
          <w:kern w:val="24"/>
        </w:rPr>
        <w:t>-201</w:t>
      </w:r>
      <w:r>
        <w:rPr>
          <w:rFonts w:ascii="Times New Roman" w:hAnsi="Times New Roman" w:hint="eastAsia"/>
          <w:b/>
          <w:kern w:val="24"/>
        </w:rPr>
        <w:t>9</w:t>
      </w:r>
      <w:r>
        <w:rPr>
          <w:rFonts w:ascii="Times New Roman" w:hAnsi="Times New Roman"/>
          <w:b/>
          <w:kern w:val="24"/>
        </w:rPr>
        <w:t>年</w:t>
      </w:r>
      <w:r>
        <w:rPr>
          <w:rFonts w:ascii="Times New Roman" w:hAnsi="Times New Roman" w:hint="eastAsia"/>
          <w:b/>
          <w:kern w:val="24"/>
        </w:rPr>
        <w:t>评价区</w:t>
      </w:r>
      <w:r>
        <w:rPr>
          <w:rFonts w:ascii="Times New Roman" w:hAnsi="Times New Roman"/>
          <w:b/>
          <w:kern w:val="24"/>
        </w:rPr>
        <w:t>植被净第一性生产力</w:t>
      </w:r>
    </w:p>
    <w:p w14:paraId="5F39B72F" w14:textId="77777777" w:rsidR="009C353B" w:rsidRDefault="00000000">
      <w:pPr>
        <w:pStyle w:val="affffd"/>
        <w:spacing w:line="440" w:lineRule="exact"/>
        <w:rPr>
          <w:rFonts w:ascii="Times New Roman" w:hAnsi="Times New Roman"/>
        </w:rPr>
      </w:pPr>
      <w:bookmarkStart w:id="201" w:name="_Toc279866313"/>
      <w:r>
        <w:rPr>
          <w:rFonts w:ascii="Times New Roman" w:hAnsi="Times New Roman" w:hint="eastAsia"/>
        </w:rPr>
        <w:t>表</w:t>
      </w:r>
      <w:r>
        <w:rPr>
          <w:rFonts w:ascii="Times New Roman" w:hAnsi="Times New Roman"/>
        </w:rPr>
        <w:t>4.</w:t>
      </w:r>
      <w:r>
        <w:rPr>
          <w:rFonts w:ascii="Times New Roman" w:hAnsi="Times New Roman" w:hint="eastAsia"/>
        </w:rPr>
        <w:t>5-</w:t>
      </w:r>
      <w:bookmarkEnd w:id="201"/>
      <w:r>
        <w:rPr>
          <w:rFonts w:ascii="Times New Roman" w:hAnsi="Times New Roman" w:hint="eastAsia"/>
        </w:rPr>
        <w:t>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1"/>
        <w:gridCol w:w="1954"/>
        <w:gridCol w:w="1950"/>
        <w:gridCol w:w="1952"/>
      </w:tblGrid>
      <w:tr w:rsidR="009C353B" w14:paraId="44C6DCCC" w14:textId="77777777">
        <w:trPr>
          <w:trHeight w:val="397"/>
          <w:jc w:val="center"/>
        </w:trPr>
        <w:tc>
          <w:tcPr>
            <w:tcW w:w="1847" w:type="pct"/>
            <w:vAlign w:val="center"/>
          </w:tcPr>
          <w:p w14:paraId="44357D23" w14:textId="77777777" w:rsidR="009C353B" w:rsidRDefault="00000000">
            <w:pPr>
              <w:pStyle w:val="afffff7"/>
              <w:spacing w:line="280" w:lineRule="exact"/>
              <w:jc w:val="center"/>
              <w:rPr>
                <w:rFonts w:ascii="Times New Roman" w:hAnsi="Times New Roman"/>
                <w:szCs w:val="21"/>
              </w:rPr>
            </w:pPr>
            <w:r>
              <w:rPr>
                <w:rFonts w:ascii="Times New Roman" w:hAnsi="Times New Roman"/>
                <w:szCs w:val="21"/>
              </w:rPr>
              <w:t>项目</w:t>
            </w:r>
          </w:p>
        </w:tc>
        <w:tc>
          <w:tcPr>
            <w:tcW w:w="1052" w:type="pct"/>
            <w:vAlign w:val="center"/>
          </w:tcPr>
          <w:p w14:paraId="530E733E" w14:textId="77777777" w:rsidR="009C353B" w:rsidRDefault="00000000">
            <w:pPr>
              <w:pStyle w:val="afffff7"/>
              <w:spacing w:line="280" w:lineRule="exact"/>
              <w:jc w:val="center"/>
              <w:rPr>
                <w:rFonts w:ascii="Times New Roman" w:hAnsi="Times New Roman"/>
                <w:szCs w:val="21"/>
              </w:rPr>
            </w:pPr>
            <w:r>
              <w:rPr>
                <w:rFonts w:ascii="Times New Roman" w:hAnsi="Times New Roman"/>
                <w:szCs w:val="21"/>
              </w:rPr>
              <w:t>200</w:t>
            </w:r>
            <w:r>
              <w:rPr>
                <w:rFonts w:ascii="Times New Roman" w:hAnsi="Times New Roman" w:hint="eastAsia"/>
                <w:szCs w:val="21"/>
              </w:rPr>
              <w:t>4</w:t>
            </w:r>
            <w:r>
              <w:rPr>
                <w:rFonts w:ascii="Times New Roman" w:hAnsi="Times New Roman"/>
                <w:szCs w:val="21"/>
              </w:rPr>
              <w:t>年</w:t>
            </w:r>
          </w:p>
        </w:tc>
        <w:tc>
          <w:tcPr>
            <w:tcW w:w="1050" w:type="pct"/>
            <w:vAlign w:val="center"/>
          </w:tcPr>
          <w:p w14:paraId="6C67EEF5" w14:textId="77777777" w:rsidR="009C353B" w:rsidRDefault="00000000">
            <w:pPr>
              <w:pStyle w:val="afffff7"/>
              <w:spacing w:line="280" w:lineRule="exact"/>
              <w:jc w:val="center"/>
              <w:rPr>
                <w:rFonts w:ascii="Times New Roman" w:hAnsi="Times New Roman"/>
                <w:szCs w:val="21"/>
              </w:rPr>
            </w:pPr>
            <w:r>
              <w:rPr>
                <w:rFonts w:ascii="Times New Roman" w:hAnsi="Times New Roman"/>
                <w:szCs w:val="21"/>
              </w:rPr>
              <w:t>2010</w:t>
            </w:r>
            <w:r>
              <w:rPr>
                <w:rFonts w:ascii="Times New Roman" w:hAnsi="Times New Roman"/>
                <w:szCs w:val="21"/>
              </w:rPr>
              <w:t>年</w:t>
            </w:r>
          </w:p>
        </w:tc>
        <w:tc>
          <w:tcPr>
            <w:tcW w:w="1051" w:type="pct"/>
            <w:vAlign w:val="center"/>
          </w:tcPr>
          <w:p w14:paraId="6A471A3F" w14:textId="77777777" w:rsidR="009C353B" w:rsidRDefault="00000000">
            <w:pPr>
              <w:pStyle w:val="afffff7"/>
              <w:spacing w:line="280" w:lineRule="exact"/>
              <w:jc w:val="center"/>
              <w:rPr>
                <w:rFonts w:ascii="Times New Roman" w:hAnsi="Times New Roman"/>
                <w:szCs w:val="21"/>
              </w:rPr>
            </w:pPr>
            <w:r>
              <w:rPr>
                <w:rFonts w:ascii="Times New Roman" w:hAnsi="Times New Roman" w:hint="eastAsia"/>
                <w:szCs w:val="21"/>
              </w:rPr>
              <w:t>2019</w:t>
            </w:r>
            <w:r>
              <w:rPr>
                <w:rFonts w:ascii="Times New Roman" w:hAnsi="Times New Roman" w:hint="eastAsia"/>
                <w:szCs w:val="21"/>
              </w:rPr>
              <w:t>年</w:t>
            </w:r>
          </w:p>
        </w:tc>
      </w:tr>
      <w:tr w:rsidR="009C353B" w14:paraId="07552129" w14:textId="77777777">
        <w:trPr>
          <w:trHeight w:val="397"/>
          <w:jc w:val="center"/>
        </w:trPr>
        <w:tc>
          <w:tcPr>
            <w:tcW w:w="1847" w:type="pct"/>
            <w:vAlign w:val="center"/>
          </w:tcPr>
          <w:p w14:paraId="1C1145E5" w14:textId="77777777" w:rsidR="009C353B" w:rsidRDefault="00000000">
            <w:pPr>
              <w:widowControl/>
              <w:adjustRightInd w:val="0"/>
              <w:spacing w:line="280" w:lineRule="exact"/>
              <w:jc w:val="center"/>
              <w:rPr>
                <w:rFonts w:ascii="Times New Roman" w:hAnsi="Times New Roman"/>
                <w:kern w:val="0"/>
                <w:sz w:val="21"/>
                <w:szCs w:val="21"/>
              </w:rPr>
            </w:pPr>
            <w:r>
              <w:rPr>
                <w:rFonts w:ascii="Times New Roman" w:hAnsi="Times New Roman"/>
                <w:sz w:val="21"/>
                <w:szCs w:val="21"/>
              </w:rPr>
              <w:t>NPP</w:t>
            </w:r>
            <w:r>
              <w:rPr>
                <w:rFonts w:ascii="Times New Roman" w:hAnsi="Times New Roman"/>
                <w:sz w:val="21"/>
                <w:szCs w:val="21"/>
              </w:rPr>
              <w:t>均值（</w:t>
            </w:r>
            <w:r>
              <w:rPr>
                <w:rFonts w:ascii="Times New Roman" w:hAnsi="Times New Roman"/>
                <w:sz w:val="21"/>
                <w:szCs w:val="21"/>
              </w:rPr>
              <w:t>gC/m</w:t>
            </w:r>
            <w:r>
              <w:rPr>
                <w:rFonts w:ascii="Times New Roman" w:hAnsi="Times New Roman"/>
                <w:sz w:val="21"/>
                <w:szCs w:val="21"/>
                <w:vertAlign w:val="superscript"/>
              </w:rPr>
              <w:t>2</w:t>
            </w:r>
            <w:r>
              <w:rPr>
                <w:rFonts w:ascii="Times New Roman" w:hAnsi="Times New Roman"/>
                <w:sz w:val="21"/>
                <w:szCs w:val="21"/>
              </w:rPr>
              <w:t>）</w:t>
            </w:r>
          </w:p>
        </w:tc>
        <w:tc>
          <w:tcPr>
            <w:tcW w:w="1052" w:type="pct"/>
            <w:vAlign w:val="center"/>
          </w:tcPr>
          <w:p w14:paraId="5DB3161D" w14:textId="77777777" w:rsidR="009C353B" w:rsidRDefault="00000000">
            <w:pPr>
              <w:adjustRightInd w:val="0"/>
              <w:spacing w:line="280" w:lineRule="exact"/>
              <w:jc w:val="center"/>
              <w:rPr>
                <w:rFonts w:ascii="Times New Roman" w:hAnsi="Times New Roman"/>
                <w:sz w:val="21"/>
                <w:szCs w:val="21"/>
              </w:rPr>
            </w:pPr>
            <w:r>
              <w:rPr>
                <w:rFonts w:ascii="Times New Roman" w:hAnsi="Times New Roman" w:hint="eastAsia"/>
                <w:sz w:val="21"/>
                <w:szCs w:val="21"/>
              </w:rPr>
              <w:t>211.22</w:t>
            </w:r>
          </w:p>
        </w:tc>
        <w:tc>
          <w:tcPr>
            <w:tcW w:w="1050" w:type="pct"/>
            <w:vAlign w:val="center"/>
          </w:tcPr>
          <w:p w14:paraId="3A645205" w14:textId="77777777" w:rsidR="009C353B" w:rsidRDefault="00000000">
            <w:pPr>
              <w:adjustRightInd w:val="0"/>
              <w:spacing w:line="280" w:lineRule="exact"/>
              <w:jc w:val="center"/>
              <w:rPr>
                <w:rFonts w:ascii="Times New Roman" w:hAnsi="Times New Roman"/>
                <w:sz w:val="21"/>
                <w:szCs w:val="21"/>
              </w:rPr>
            </w:pPr>
            <w:r>
              <w:rPr>
                <w:rFonts w:ascii="Times New Roman" w:hAnsi="Times New Roman" w:hint="eastAsia"/>
                <w:sz w:val="21"/>
                <w:szCs w:val="21"/>
              </w:rPr>
              <w:t>205.22</w:t>
            </w:r>
          </w:p>
        </w:tc>
        <w:tc>
          <w:tcPr>
            <w:tcW w:w="1051" w:type="pct"/>
            <w:vAlign w:val="center"/>
          </w:tcPr>
          <w:p w14:paraId="35AB4A7B" w14:textId="77777777" w:rsidR="009C353B" w:rsidRDefault="00000000">
            <w:pPr>
              <w:adjustRightInd w:val="0"/>
              <w:spacing w:line="280" w:lineRule="exact"/>
              <w:jc w:val="center"/>
              <w:rPr>
                <w:rFonts w:ascii="Times New Roman" w:hAnsi="Times New Roman"/>
                <w:sz w:val="21"/>
                <w:szCs w:val="21"/>
              </w:rPr>
            </w:pPr>
            <w:r>
              <w:rPr>
                <w:rFonts w:ascii="Times New Roman" w:hAnsi="Times New Roman" w:hint="eastAsia"/>
                <w:sz w:val="21"/>
                <w:szCs w:val="21"/>
              </w:rPr>
              <w:t>218.98</w:t>
            </w:r>
          </w:p>
        </w:tc>
      </w:tr>
    </w:tbl>
    <w:p w14:paraId="67E5D884" w14:textId="77777777" w:rsidR="009C353B" w:rsidRDefault="00000000">
      <w:pPr>
        <w:adjustRightInd w:val="0"/>
        <w:snapToGrid w:val="0"/>
        <w:spacing w:line="440" w:lineRule="exact"/>
        <w:jc w:val="center"/>
        <w:rPr>
          <w:rFonts w:ascii="Times New Roman" w:hAnsi="Times New Roman"/>
          <w:b/>
          <w:kern w:val="24"/>
        </w:rPr>
      </w:pPr>
      <w:r>
        <w:rPr>
          <w:rFonts w:ascii="Times New Roman" w:hAnsi="Times New Roman" w:hint="eastAsia"/>
          <w:b/>
          <w:kern w:val="24"/>
        </w:rPr>
        <w:t>2004</w:t>
      </w:r>
      <w:r>
        <w:rPr>
          <w:rFonts w:ascii="Times New Roman" w:hAnsi="Times New Roman"/>
          <w:b/>
          <w:kern w:val="24"/>
        </w:rPr>
        <w:t>-201</w:t>
      </w:r>
      <w:r>
        <w:rPr>
          <w:rFonts w:ascii="Times New Roman" w:hAnsi="Times New Roman" w:hint="eastAsia"/>
          <w:b/>
          <w:kern w:val="24"/>
        </w:rPr>
        <w:t>9</w:t>
      </w:r>
      <w:r>
        <w:rPr>
          <w:rFonts w:ascii="Times New Roman" w:hAnsi="Times New Roman"/>
          <w:b/>
          <w:kern w:val="24"/>
        </w:rPr>
        <w:t>年</w:t>
      </w:r>
      <w:r>
        <w:rPr>
          <w:rFonts w:ascii="Times New Roman" w:hAnsi="Times New Roman" w:hint="eastAsia"/>
          <w:b/>
          <w:kern w:val="24"/>
        </w:rPr>
        <w:t>矿区</w:t>
      </w:r>
      <w:r>
        <w:rPr>
          <w:rFonts w:ascii="Times New Roman" w:hAnsi="Times New Roman"/>
          <w:b/>
          <w:kern w:val="24"/>
        </w:rPr>
        <w:t>植被净第一性生产力</w:t>
      </w:r>
    </w:p>
    <w:p w14:paraId="77B029C0" w14:textId="77777777" w:rsidR="009C353B" w:rsidRDefault="00000000">
      <w:pPr>
        <w:adjustRightInd w:val="0"/>
        <w:snapToGrid w:val="0"/>
        <w:spacing w:line="440" w:lineRule="exact"/>
        <w:rPr>
          <w:rFonts w:ascii="Times New Roman" w:hAnsi="Times New Roman"/>
          <w:szCs w:val="24"/>
        </w:rPr>
      </w:pPr>
      <w:r>
        <w:rPr>
          <w:rFonts w:ascii="Times New Roman" w:hAnsi="Times New Roman" w:hint="eastAsia"/>
          <w:szCs w:val="24"/>
        </w:rPr>
        <w:t>表</w:t>
      </w:r>
      <w:r>
        <w:rPr>
          <w:rFonts w:ascii="Times New Roman" w:hAnsi="Times New Roman"/>
          <w:szCs w:val="24"/>
        </w:rPr>
        <w:t>4.</w:t>
      </w:r>
      <w:r>
        <w:rPr>
          <w:rFonts w:ascii="Times New Roman" w:hAnsi="Times New Roman" w:hint="eastAsia"/>
          <w:szCs w:val="24"/>
        </w:rPr>
        <w:t>5-9</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1"/>
        <w:gridCol w:w="1954"/>
        <w:gridCol w:w="1950"/>
        <w:gridCol w:w="1952"/>
      </w:tblGrid>
      <w:tr w:rsidR="009C353B" w14:paraId="51B0E536" w14:textId="77777777">
        <w:trPr>
          <w:trHeight w:val="397"/>
          <w:jc w:val="center"/>
        </w:trPr>
        <w:tc>
          <w:tcPr>
            <w:tcW w:w="1847" w:type="pct"/>
            <w:vAlign w:val="center"/>
          </w:tcPr>
          <w:p w14:paraId="3C3E96DF"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项目</w:t>
            </w:r>
          </w:p>
        </w:tc>
        <w:tc>
          <w:tcPr>
            <w:tcW w:w="1052" w:type="pct"/>
            <w:vAlign w:val="center"/>
          </w:tcPr>
          <w:p w14:paraId="482EC70C"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200</w:t>
            </w:r>
            <w:r>
              <w:rPr>
                <w:rFonts w:ascii="Times New Roman" w:hAnsi="Times New Roman" w:hint="eastAsia"/>
                <w:sz w:val="21"/>
                <w:szCs w:val="21"/>
              </w:rPr>
              <w:t>4</w:t>
            </w:r>
            <w:r>
              <w:rPr>
                <w:rFonts w:ascii="Times New Roman" w:hAnsi="Times New Roman"/>
                <w:sz w:val="21"/>
                <w:szCs w:val="21"/>
              </w:rPr>
              <w:t>年</w:t>
            </w:r>
          </w:p>
        </w:tc>
        <w:tc>
          <w:tcPr>
            <w:tcW w:w="1050" w:type="pct"/>
            <w:vAlign w:val="center"/>
          </w:tcPr>
          <w:p w14:paraId="4596EFA0"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2010</w:t>
            </w:r>
            <w:r>
              <w:rPr>
                <w:rFonts w:ascii="Times New Roman" w:hAnsi="Times New Roman"/>
                <w:sz w:val="21"/>
                <w:szCs w:val="21"/>
              </w:rPr>
              <w:t>年</w:t>
            </w:r>
          </w:p>
        </w:tc>
        <w:tc>
          <w:tcPr>
            <w:tcW w:w="1051" w:type="pct"/>
            <w:vAlign w:val="center"/>
          </w:tcPr>
          <w:p w14:paraId="4A73A5EA"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2019</w:t>
            </w:r>
            <w:r>
              <w:rPr>
                <w:rFonts w:ascii="Times New Roman" w:hAnsi="Times New Roman" w:hint="eastAsia"/>
                <w:sz w:val="21"/>
                <w:szCs w:val="21"/>
              </w:rPr>
              <w:t>年</w:t>
            </w:r>
          </w:p>
        </w:tc>
      </w:tr>
      <w:tr w:rsidR="009C353B" w14:paraId="3FF78434" w14:textId="77777777">
        <w:trPr>
          <w:trHeight w:val="397"/>
          <w:jc w:val="center"/>
        </w:trPr>
        <w:tc>
          <w:tcPr>
            <w:tcW w:w="1847" w:type="pct"/>
            <w:vAlign w:val="center"/>
          </w:tcPr>
          <w:p w14:paraId="0A563557"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NPP</w:t>
            </w:r>
            <w:r>
              <w:rPr>
                <w:rFonts w:ascii="Times New Roman" w:hAnsi="Times New Roman"/>
                <w:sz w:val="21"/>
                <w:szCs w:val="21"/>
              </w:rPr>
              <w:t>均值（</w:t>
            </w:r>
            <w:r>
              <w:rPr>
                <w:rFonts w:ascii="Times New Roman" w:hAnsi="Times New Roman"/>
                <w:sz w:val="21"/>
                <w:szCs w:val="21"/>
              </w:rPr>
              <w:t>gC/m</w:t>
            </w:r>
            <w:r>
              <w:rPr>
                <w:rFonts w:ascii="Times New Roman" w:hAnsi="Times New Roman"/>
                <w:sz w:val="21"/>
                <w:szCs w:val="21"/>
                <w:vertAlign w:val="superscript"/>
              </w:rPr>
              <w:t>2</w:t>
            </w:r>
            <w:r>
              <w:rPr>
                <w:rFonts w:ascii="Times New Roman" w:hAnsi="Times New Roman"/>
                <w:sz w:val="21"/>
                <w:szCs w:val="21"/>
              </w:rPr>
              <w:t>）</w:t>
            </w:r>
          </w:p>
        </w:tc>
        <w:tc>
          <w:tcPr>
            <w:tcW w:w="1052" w:type="pct"/>
            <w:vAlign w:val="center"/>
          </w:tcPr>
          <w:p w14:paraId="28491396"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207.69</w:t>
            </w:r>
          </w:p>
        </w:tc>
        <w:tc>
          <w:tcPr>
            <w:tcW w:w="1050" w:type="pct"/>
            <w:vAlign w:val="center"/>
          </w:tcPr>
          <w:p w14:paraId="16813830"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216.24</w:t>
            </w:r>
          </w:p>
        </w:tc>
        <w:tc>
          <w:tcPr>
            <w:tcW w:w="1051" w:type="pct"/>
            <w:vAlign w:val="center"/>
          </w:tcPr>
          <w:p w14:paraId="765542FB"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hint="eastAsia"/>
                <w:sz w:val="21"/>
                <w:szCs w:val="21"/>
              </w:rPr>
              <w:t>280.56</w:t>
            </w:r>
          </w:p>
        </w:tc>
      </w:tr>
    </w:tbl>
    <w:p w14:paraId="1597A3D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通过分析三</w:t>
      </w:r>
      <w:r>
        <w:rPr>
          <w:rFonts w:ascii="Times New Roman" w:hAnsi="Times New Roman"/>
          <w:szCs w:val="24"/>
        </w:rPr>
        <w:t>期</w:t>
      </w:r>
      <w:r>
        <w:rPr>
          <w:rFonts w:ascii="Times New Roman" w:hAnsi="Times New Roman"/>
          <w:szCs w:val="24"/>
        </w:rPr>
        <w:t>NPP</w:t>
      </w:r>
      <w:r>
        <w:rPr>
          <w:rFonts w:ascii="Times New Roman" w:hAnsi="Times New Roman" w:hint="eastAsia"/>
          <w:szCs w:val="24"/>
        </w:rPr>
        <w:t>空间</w:t>
      </w:r>
      <w:r>
        <w:rPr>
          <w:rFonts w:ascii="Times New Roman" w:hAnsi="Times New Roman"/>
          <w:szCs w:val="24"/>
        </w:rPr>
        <w:t>分布</w:t>
      </w:r>
      <w:r>
        <w:rPr>
          <w:rFonts w:ascii="Times New Roman" w:hAnsi="Times New Roman" w:hint="eastAsia"/>
          <w:szCs w:val="24"/>
        </w:rPr>
        <w:t>情况，</w:t>
      </w:r>
      <w:r>
        <w:rPr>
          <w:rFonts w:ascii="Times New Roman" w:hAnsi="Times New Roman"/>
          <w:szCs w:val="24"/>
        </w:rPr>
        <w:t>由表</w:t>
      </w:r>
      <w:r>
        <w:rPr>
          <w:rFonts w:ascii="Times New Roman" w:hAnsi="Times New Roman"/>
          <w:szCs w:val="24"/>
        </w:rPr>
        <w:t>4.5-</w:t>
      </w:r>
      <w:r>
        <w:rPr>
          <w:rFonts w:ascii="Times New Roman" w:hAnsi="Times New Roman" w:hint="eastAsia"/>
          <w:szCs w:val="24"/>
        </w:rPr>
        <w:t>8</w:t>
      </w:r>
      <w:r>
        <w:rPr>
          <w:rFonts w:ascii="Times New Roman" w:hAnsi="Times New Roman"/>
          <w:szCs w:val="24"/>
        </w:rPr>
        <w:t>可以看出，评价区的</w:t>
      </w:r>
      <w:r>
        <w:rPr>
          <w:rFonts w:ascii="Times New Roman" w:hAnsi="Times New Roman"/>
          <w:szCs w:val="24"/>
        </w:rPr>
        <w:t>2010</w:t>
      </w:r>
      <w:r>
        <w:rPr>
          <w:rFonts w:ascii="Times New Roman" w:hAnsi="Times New Roman"/>
          <w:szCs w:val="24"/>
        </w:rPr>
        <w:t>年区域净第一生产力</w:t>
      </w:r>
      <w:r>
        <w:rPr>
          <w:rFonts w:ascii="Times New Roman" w:hAnsi="Times New Roman" w:hint="eastAsia"/>
          <w:szCs w:val="24"/>
        </w:rPr>
        <w:t>最低，</w:t>
      </w:r>
      <w:r>
        <w:rPr>
          <w:rFonts w:ascii="Times New Roman" w:hAnsi="Times New Roman"/>
          <w:szCs w:val="24"/>
        </w:rPr>
        <w:t>表明从</w:t>
      </w:r>
      <w:r>
        <w:rPr>
          <w:rFonts w:ascii="Times New Roman" w:hAnsi="Times New Roman" w:hint="eastAsia"/>
          <w:szCs w:val="24"/>
        </w:rPr>
        <w:t>2004-2010</w:t>
      </w:r>
      <w:r>
        <w:rPr>
          <w:rFonts w:ascii="Times New Roman" w:hAnsi="Times New Roman"/>
          <w:szCs w:val="24"/>
        </w:rPr>
        <w:t>年间，区域内的植被生产力减小，其主要原因是由于人类</w:t>
      </w:r>
      <w:r>
        <w:rPr>
          <w:rFonts w:ascii="Times New Roman" w:hAnsi="Times New Roman" w:hint="eastAsia"/>
          <w:szCs w:val="24"/>
        </w:rPr>
        <w:t>生产建设</w:t>
      </w:r>
      <w:r>
        <w:rPr>
          <w:rFonts w:ascii="Times New Roman" w:hAnsi="Times New Roman"/>
          <w:szCs w:val="24"/>
        </w:rPr>
        <w:t>活动的增强所导致</w:t>
      </w:r>
      <w:r>
        <w:rPr>
          <w:rFonts w:ascii="Times New Roman" w:hAnsi="Times New Roman" w:hint="eastAsia"/>
          <w:szCs w:val="24"/>
        </w:rPr>
        <w:t>。</w:t>
      </w:r>
      <w:r>
        <w:rPr>
          <w:rFonts w:ascii="Times New Roman" w:hAnsi="Times New Roman" w:hint="eastAsia"/>
          <w:szCs w:val="24"/>
        </w:rPr>
        <w:t>2010-2019</w:t>
      </w:r>
      <w:r>
        <w:rPr>
          <w:rFonts w:ascii="Times New Roman" w:hAnsi="Times New Roman" w:hint="eastAsia"/>
          <w:szCs w:val="24"/>
        </w:rPr>
        <w:t>年间植被生产力又有所增加，其间国家大力投入防风固沙生态治理工程，及工矿企业实施的生态恢复工程对促进区域植被生产力增加起了很大的作用。</w:t>
      </w:r>
      <w:r>
        <w:rPr>
          <w:rFonts w:ascii="Times New Roman" w:hAnsi="Times New Roman" w:hint="eastAsia"/>
          <w:szCs w:val="24"/>
        </w:rPr>
        <w:t>2004-2019</w:t>
      </w:r>
      <w:r>
        <w:rPr>
          <w:rFonts w:ascii="Times New Roman" w:hAnsi="Times New Roman" w:hint="eastAsia"/>
          <w:szCs w:val="24"/>
        </w:rPr>
        <w:t>年间随着区域工业园区和矿区不断开发，区域的植被第一生产力先降低后又逐渐恢复，可见在工业建设的同时加强生态保护建设，</w:t>
      </w:r>
      <w:r>
        <w:rPr>
          <w:rFonts w:ascii="Times New Roman" w:hAnsi="Times New Roman"/>
          <w:szCs w:val="24"/>
        </w:rPr>
        <w:t>制订正确的生态治理方案，实施合理的生态恢复治理工程，</w:t>
      </w:r>
      <w:r>
        <w:rPr>
          <w:rFonts w:ascii="Times New Roman" w:hAnsi="Times New Roman" w:hint="eastAsia"/>
          <w:szCs w:val="24"/>
        </w:rPr>
        <w:t>可</w:t>
      </w:r>
      <w:r>
        <w:rPr>
          <w:rFonts w:ascii="Times New Roman" w:hAnsi="Times New Roman"/>
          <w:szCs w:val="24"/>
        </w:rPr>
        <w:t>改善区域的生态环境。</w:t>
      </w:r>
    </w:p>
    <w:p w14:paraId="75747C76"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hint="eastAsia"/>
        </w:rPr>
        <w:t xml:space="preserve">4.5.3 </w:t>
      </w:r>
      <w:r>
        <w:rPr>
          <w:rFonts w:ascii="Times New Roman" w:hAnsi="Times New Roman"/>
        </w:rPr>
        <w:t>土壤侵蚀</w:t>
      </w:r>
      <w:r>
        <w:rPr>
          <w:rFonts w:ascii="Times New Roman" w:hAnsi="Times New Roman" w:hint="eastAsia"/>
        </w:rPr>
        <w:t>变化</w:t>
      </w:r>
      <w:r>
        <w:rPr>
          <w:rFonts w:ascii="Times New Roman" w:hAnsi="Times New Roman"/>
        </w:rPr>
        <w:t>评价</w:t>
      </w:r>
      <w:bookmarkEnd w:id="196"/>
      <w:bookmarkEnd w:id="197"/>
      <w:bookmarkEnd w:id="198"/>
      <w:bookmarkEnd w:id="199"/>
      <w:bookmarkEnd w:id="200"/>
    </w:p>
    <w:p w14:paraId="10D7BE85" w14:textId="77777777" w:rsidR="009C353B" w:rsidRDefault="00000000">
      <w:pPr>
        <w:adjustRightInd w:val="0"/>
        <w:snapToGrid w:val="0"/>
        <w:spacing w:line="440" w:lineRule="exact"/>
        <w:ind w:firstLineChars="200" w:firstLine="480"/>
        <w:rPr>
          <w:rFonts w:ascii="Times New Roman" w:hAnsi="Times New Roman"/>
          <w:szCs w:val="24"/>
        </w:rPr>
      </w:pPr>
      <w:bookmarkStart w:id="202" w:name="_Toc279840193"/>
      <w:bookmarkStart w:id="203" w:name="_Toc279840332"/>
      <w:bookmarkStart w:id="204" w:name="_Toc206578327"/>
      <w:bookmarkStart w:id="205" w:name="_Toc279840134"/>
      <w:bookmarkStart w:id="206" w:name="_Toc279866316"/>
      <w:r>
        <w:rPr>
          <w:rFonts w:ascii="Times New Roman" w:hAnsi="Times New Roman"/>
          <w:szCs w:val="24"/>
        </w:rPr>
        <w:t>评价区的土壤侵蚀程度</w:t>
      </w:r>
      <w:r>
        <w:rPr>
          <w:rFonts w:ascii="Times New Roman" w:hAnsi="Times New Roman" w:hint="eastAsia"/>
          <w:szCs w:val="24"/>
        </w:rPr>
        <w:t>以中度侵蚀为主</w:t>
      </w:r>
      <w:r>
        <w:rPr>
          <w:rFonts w:ascii="Times New Roman" w:hAnsi="Times New Roman"/>
          <w:szCs w:val="24"/>
        </w:rPr>
        <w:t>，</w:t>
      </w:r>
      <w:r>
        <w:rPr>
          <w:rFonts w:ascii="Times New Roman" w:hAnsi="Times New Roman" w:hint="eastAsia"/>
          <w:szCs w:val="24"/>
        </w:rPr>
        <w:t>2004</w:t>
      </w:r>
      <w:r>
        <w:rPr>
          <w:rFonts w:ascii="Times New Roman" w:hAnsi="Times New Roman" w:hint="eastAsia"/>
          <w:szCs w:val="24"/>
        </w:rPr>
        <w:t>年时评价区内微度侵蚀的比例为</w:t>
      </w:r>
      <w:r>
        <w:rPr>
          <w:rFonts w:ascii="Times New Roman" w:hAnsi="Times New Roman" w:hint="eastAsia"/>
          <w:szCs w:val="24"/>
        </w:rPr>
        <w:t>2.45%</w:t>
      </w:r>
      <w:r>
        <w:rPr>
          <w:rFonts w:ascii="Times New Roman" w:hAnsi="Times New Roman" w:hint="eastAsia"/>
          <w:szCs w:val="24"/>
        </w:rPr>
        <w:t>，轻度侵蚀比例为</w:t>
      </w:r>
      <w:r>
        <w:rPr>
          <w:rFonts w:ascii="Times New Roman" w:hAnsi="Times New Roman" w:hint="eastAsia"/>
          <w:szCs w:val="24"/>
        </w:rPr>
        <w:t>3.17%</w:t>
      </w:r>
      <w:r>
        <w:rPr>
          <w:rFonts w:ascii="Times New Roman" w:hAnsi="Times New Roman" w:hint="eastAsia"/>
          <w:szCs w:val="24"/>
        </w:rPr>
        <w:t>，中度侵蚀比例为</w:t>
      </w:r>
      <w:r>
        <w:rPr>
          <w:rFonts w:ascii="Times New Roman" w:hAnsi="Times New Roman" w:hint="eastAsia"/>
          <w:szCs w:val="24"/>
        </w:rPr>
        <w:t>79.98%</w:t>
      </w:r>
      <w:r>
        <w:rPr>
          <w:rFonts w:ascii="Times New Roman" w:hAnsi="Times New Roman" w:hint="eastAsia"/>
          <w:szCs w:val="24"/>
        </w:rPr>
        <w:t>，强烈侵蚀比例为</w:t>
      </w:r>
      <w:r>
        <w:rPr>
          <w:rFonts w:ascii="Times New Roman" w:hAnsi="Times New Roman" w:hint="eastAsia"/>
          <w:szCs w:val="24"/>
        </w:rPr>
        <w:t>13.51%</w:t>
      </w:r>
      <w:r>
        <w:rPr>
          <w:rFonts w:ascii="Times New Roman" w:hAnsi="Times New Roman" w:hint="eastAsia"/>
          <w:szCs w:val="24"/>
        </w:rPr>
        <w:t>，极强烈侵蚀比例为</w:t>
      </w:r>
      <w:r>
        <w:rPr>
          <w:rFonts w:ascii="Times New Roman" w:hAnsi="Times New Roman" w:hint="eastAsia"/>
          <w:szCs w:val="24"/>
        </w:rPr>
        <w:t>0.88%</w:t>
      </w:r>
      <w:r>
        <w:rPr>
          <w:rFonts w:ascii="Times New Roman" w:hAnsi="Times New Roman" w:hint="eastAsia"/>
          <w:szCs w:val="24"/>
        </w:rPr>
        <w:t>，至</w:t>
      </w:r>
      <w:r>
        <w:rPr>
          <w:rFonts w:ascii="Times New Roman" w:hAnsi="Times New Roman" w:hint="eastAsia"/>
          <w:szCs w:val="24"/>
        </w:rPr>
        <w:t>2010</w:t>
      </w:r>
      <w:r>
        <w:rPr>
          <w:rFonts w:ascii="Times New Roman" w:hAnsi="Times New Roman" w:hint="eastAsia"/>
          <w:szCs w:val="24"/>
        </w:rPr>
        <w:t>年和</w:t>
      </w:r>
      <w:r>
        <w:rPr>
          <w:rFonts w:ascii="Times New Roman" w:hAnsi="Times New Roman" w:hint="eastAsia"/>
          <w:szCs w:val="24"/>
        </w:rPr>
        <w:t>2018</w:t>
      </w:r>
      <w:r>
        <w:rPr>
          <w:rFonts w:ascii="Times New Roman" w:hAnsi="Times New Roman" w:hint="eastAsia"/>
          <w:szCs w:val="24"/>
        </w:rPr>
        <w:t>年间，微度侵蚀和轻度侵蚀的面积一直增加，中度侵蚀面积一直减少，强烈侵蚀面积先增加后减少。可见在</w:t>
      </w:r>
      <w:r>
        <w:rPr>
          <w:rFonts w:ascii="Times New Roman" w:hAnsi="Times New Roman" w:hint="eastAsia"/>
          <w:szCs w:val="24"/>
        </w:rPr>
        <w:t>2004-2019</w:t>
      </w:r>
      <w:r>
        <w:rPr>
          <w:rFonts w:ascii="Times New Roman" w:hAnsi="Times New Roman" w:hint="eastAsia"/>
          <w:szCs w:val="24"/>
        </w:rPr>
        <w:t>年间，区域人类活动频繁，对土壤侵蚀既有正向作用亦有负向作用，工业园区及煤矿工业场地建设施工扰动地表，造成土壤侵蚀增加，施工结束后经生态恢复治理工程土壤侵蚀强度可降至轻度侵蚀以下。</w:t>
      </w:r>
      <w:r>
        <w:rPr>
          <w:rFonts w:ascii="Times New Roman" w:hAnsi="Times New Roman"/>
          <w:szCs w:val="24"/>
        </w:rPr>
        <w:t>因此在</w:t>
      </w:r>
      <w:r>
        <w:rPr>
          <w:rFonts w:ascii="Times New Roman" w:hAnsi="Times New Roman" w:hint="eastAsia"/>
          <w:szCs w:val="24"/>
        </w:rPr>
        <w:t>煤炭</w:t>
      </w:r>
      <w:r>
        <w:rPr>
          <w:rFonts w:ascii="Times New Roman" w:hAnsi="Times New Roman"/>
          <w:szCs w:val="24"/>
        </w:rPr>
        <w:t>开采过程中</w:t>
      </w:r>
      <w:r>
        <w:rPr>
          <w:rFonts w:ascii="Times New Roman" w:hAnsi="Times New Roman" w:hint="eastAsia"/>
          <w:szCs w:val="24"/>
        </w:rPr>
        <w:t>预防</w:t>
      </w:r>
      <w:r>
        <w:rPr>
          <w:rFonts w:ascii="Times New Roman" w:hAnsi="Times New Roman"/>
          <w:szCs w:val="24"/>
        </w:rPr>
        <w:t>和治理水土流失是保护区域生态环境，维护生态系统</w:t>
      </w:r>
      <w:r>
        <w:rPr>
          <w:rFonts w:ascii="Times New Roman" w:hAnsi="Times New Roman" w:hint="eastAsia"/>
          <w:szCs w:val="24"/>
        </w:rPr>
        <w:t>稳定</w:t>
      </w:r>
      <w:r>
        <w:rPr>
          <w:rFonts w:ascii="Times New Roman" w:hAnsi="Times New Roman"/>
          <w:szCs w:val="24"/>
        </w:rPr>
        <w:t>的重点。</w:t>
      </w:r>
      <w:r>
        <w:rPr>
          <w:rFonts w:ascii="Times New Roman" w:hAnsi="Times New Roman" w:hint="eastAsia"/>
          <w:szCs w:val="24"/>
        </w:rPr>
        <w:t>2001</w:t>
      </w:r>
      <w:r>
        <w:rPr>
          <w:rFonts w:ascii="Times New Roman" w:hAnsi="Times New Roman" w:hint="eastAsia"/>
          <w:szCs w:val="24"/>
        </w:rPr>
        <w:t>年至</w:t>
      </w:r>
      <w:r>
        <w:rPr>
          <w:rFonts w:ascii="Times New Roman" w:hAnsi="Times New Roman" w:hint="eastAsia"/>
          <w:szCs w:val="24"/>
        </w:rPr>
        <w:t>2019</w:t>
      </w:r>
      <w:r>
        <w:rPr>
          <w:rFonts w:ascii="Times New Roman" w:hAnsi="Times New Roman" w:hint="eastAsia"/>
          <w:szCs w:val="24"/>
        </w:rPr>
        <w:t>年间评价区和矿区的土壤侵蚀变化情况见表</w:t>
      </w:r>
      <w:r>
        <w:rPr>
          <w:rFonts w:ascii="Times New Roman" w:hAnsi="Times New Roman" w:hint="eastAsia"/>
          <w:szCs w:val="24"/>
        </w:rPr>
        <w:t>4.5-10</w:t>
      </w:r>
      <w:r>
        <w:rPr>
          <w:rFonts w:ascii="Times New Roman" w:hAnsi="Times New Roman" w:hint="eastAsia"/>
          <w:szCs w:val="24"/>
        </w:rPr>
        <w:t>、表</w:t>
      </w:r>
      <w:r>
        <w:rPr>
          <w:rFonts w:ascii="Times New Roman" w:hAnsi="Times New Roman" w:hint="eastAsia"/>
          <w:szCs w:val="24"/>
        </w:rPr>
        <w:t>4.5-11</w:t>
      </w:r>
      <w:r>
        <w:rPr>
          <w:rFonts w:ascii="Times New Roman" w:hAnsi="Times New Roman" w:hint="eastAsia"/>
          <w:szCs w:val="24"/>
        </w:rPr>
        <w:t>、表</w:t>
      </w:r>
      <w:r>
        <w:rPr>
          <w:rFonts w:ascii="Times New Roman" w:hAnsi="Times New Roman" w:hint="eastAsia"/>
          <w:szCs w:val="24"/>
        </w:rPr>
        <w:t>4.5-12</w:t>
      </w:r>
      <w:r>
        <w:rPr>
          <w:rFonts w:ascii="Times New Roman" w:hAnsi="Times New Roman" w:hint="eastAsia"/>
          <w:szCs w:val="24"/>
        </w:rPr>
        <w:t>、表</w:t>
      </w:r>
      <w:r>
        <w:rPr>
          <w:rFonts w:ascii="Times New Roman" w:hAnsi="Times New Roman" w:hint="eastAsia"/>
          <w:szCs w:val="24"/>
        </w:rPr>
        <w:t>4.5-13</w:t>
      </w:r>
      <w:r>
        <w:rPr>
          <w:rFonts w:ascii="Times New Roman" w:hAnsi="Times New Roman" w:hint="eastAsia"/>
          <w:szCs w:val="24"/>
        </w:rPr>
        <w:t>和图</w:t>
      </w:r>
      <w:r>
        <w:rPr>
          <w:rFonts w:ascii="Times New Roman" w:hAnsi="Times New Roman" w:hint="eastAsia"/>
          <w:szCs w:val="24"/>
        </w:rPr>
        <w:t>4.5-2</w:t>
      </w:r>
      <w:r>
        <w:rPr>
          <w:rFonts w:ascii="Times New Roman" w:hAnsi="Times New Roman" w:hint="eastAsia"/>
          <w:szCs w:val="24"/>
        </w:rPr>
        <w:t>和图</w:t>
      </w:r>
      <w:r>
        <w:rPr>
          <w:rFonts w:ascii="Times New Roman" w:hAnsi="Times New Roman" w:hint="eastAsia"/>
          <w:szCs w:val="24"/>
        </w:rPr>
        <w:t>4</w:t>
      </w:r>
      <w:r>
        <w:rPr>
          <w:rFonts w:ascii="Times New Roman" w:hAnsi="Times New Roman"/>
          <w:szCs w:val="24"/>
        </w:rPr>
        <w:t>.5-3</w:t>
      </w:r>
      <w:r>
        <w:rPr>
          <w:rFonts w:ascii="Times New Roman" w:hAnsi="Times New Roman" w:hint="eastAsia"/>
          <w:szCs w:val="24"/>
        </w:rPr>
        <w:t>。</w:t>
      </w:r>
    </w:p>
    <w:p w14:paraId="3FB4AD56" w14:textId="77777777" w:rsidR="009C353B" w:rsidRDefault="00000000">
      <w:pPr>
        <w:spacing w:line="529" w:lineRule="exact"/>
        <w:jc w:val="center"/>
        <w:rPr>
          <w:rFonts w:ascii="Times New Roman" w:hAnsi="Times New Roman"/>
          <w:b/>
          <w:kern w:val="24"/>
        </w:rPr>
      </w:pPr>
      <w:r>
        <w:rPr>
          <w:rFonts w:ascii="Times New Roman" w:hAnsi="Times New Roman" w:hint="eastAsia"/>
          <w:b/>
          <w:kern w:val="24"/>
        </w:rPr>
        <w:t>2004-2010</w:t>
      </w:r>
      <w:r>
        <w:rPr>
          <w:rFonts w:ascii="Times New Roman" w:hAnsi="Times New Roman"/>
          <w:b/>
          <w:kern w:val="24"/>
        </w:rPr>
        <w:t>年</w:t>
      </w:r>
      <w:r>
        <w:rPr>
          <w:rFonts w:ascii="Times New Roman" w:hAnsi="Times New Roman" w:hint="eastAsia"/>
          <w:b/>
          <w:kern w:val="24"/>
        </w:rPr>
        <w:t>间</w:t>
      </w:r>
      <w:r>
        <w:rPr>
          <w:rFonts w:ascii="Times New Roman" w:hAnsi="Times New Roman"/>
          <w:b/>
          <w:kern w:val="24"/>
        </w:rPr>
        <w:t>评价区土壤侵蚀变化状况</w:t>
      </w:r>
    </w:p>
    <w:p w14:paraId="116A9EDA" w14:textId="77777777" w:rsidR="009C353B" w:rsidRDefault="00000000">
      <w:pPr>
        <w:widowControl/>
        <w:adjustRightInd w:val="0"/>
        <w:snapToGrid w:val="0"/>
        <w:spacing w:line="240" w:lineRule="atLeast"/>
        <w:outlineLvl w:val="4"/>
        <w:rPr>
          <w:rFonts w:ascii="Times New Roman" w:hAnsi="Times New Roman"/>
          <w:kern w:val="0"/>
        </w:rPr>
      </w:pPr>
      <w:r>
        <w:rPr>
          <w:rFonts w:ascii="Times New Roman" w:hAnsi="Times New Roman"/>
          <w:kern w:val="0"/>
        </w:rPr>
        <w:t>表</w:t>
      </w:r>
      <w:r>
        <w:rPr>
          <w:rFonts w:ascii="Times New Roman" w:hAnsi="Times New Roman"/>
          <w:kern w:val="0"/>
        </w:rPr>
        <w:t>4.</w:t>
      </w:r>
      <w:r>
        <w:rPr>
          <w:rFonts w:ascii="Times New Roman" w:hAnsi="Times New Roman" w:hint="eastAsia"/>
          <w:kern w:val="0"/>
        </w:rPr>
        <w:t>5-10</w:t>
      </w:r>
    </w:p>
    <w:tbl>
      <w:tblPr>
        <w:tblW w:w="49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1139"/>
        <w:gridCol w:w="1257"/>
        <w:gridCol w:w="1467"/>
        <w:gridCol w:w="1205"/>
        <w:gridCol w:w="1306"/>
        <w:gridCol w:w="1244"/>
      </w:tblGrid>
      <w:tr w:rsidR="009C353B" w14:paraId="3145C65F" w14:textId="77777777">
        <w:trPr>
          <w:trHeight w:val="300"/>
          <w:jc w:val="center"/>
        </w:trPr>
        <w:tc>
          <w:tcPr>
            <w:tcW w:w="866" w:type="pct"/>
            <w:vMerge w:val="restart"/>
            <w:shd w:val="clear" w:color="auto" w:fill="auto"/>
            <w:vAlign w:val="center"/>
          </w:tcPr>
          <w:p w14:paraId="425CC62B" w14:textId="77777777" w:rsidR="009C353B" w:rsidRDefault="00000000">
            <w:pPr>
              <w:widowControl/>
              <w:jc w:val="center"/>
              <w:rPr>
                <w:rFonts w:cs="宋体" w:hint="eastAsia"/>
                <w:kern w:val="0"/>
                <w:sz w:val="21"/>
                <w:szCs w:val="21"/>
              </w:rPr>
            </w:pPr>
            <w:r>
              <w:rPr>
                <w:rFonts w:cs="宋体" w:hint="eastAsia"/>
                <w:kern w:val="0"/>
                <w:sz w:val="21"/>
                <w:szCs w:val="21"/>
              </w:rPr>
              <w:t>土壤侵蚀强度</w:t>
            </w:r>
          </w:p>
        </w:tc>
        <w:tc>
          <w:tcPr>
            <w:tcW w:w="1300" w:type="pct"/>
            <w:gridSpan w:val="2"/>
            <w:shd w:val="clear" w:color="auto" w:fill="auto"/>
            <w:vAlign w:val="center"/>
          </w:tcPr>
          <w:p w14:paraId="7C2B4991"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2004</w:t>
            </w:r>
            <w:r>
              <w:rPr>
                <w:rFonts w:hint="eastAsia"/>
                <w:kern w:val="0"/>
                <w:sz w:val="21"/>
                <w:szCs w:val="21"/>
              </w:rPr>
              <w:t>年</w:t>
            </w:r>
          </w:p>
        </w:tc>
        <w:tc>
          <w:tcPr>
            <w:tcW w:w="1450" w:type="pct"/>
            <w:gridSpan w:val="2"/>
            <w:shd w:val="clear" w:color="auto" w:fill="auto"/>
            <w:vAlign w:val="center"/>
          </w:tcPr>
          <w:p w14:paraId="23B239BC"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2010</w:t>
            </w:r>
            <w:r>
              <w:rPr>
                <w:rFonts w:hint="eastAsia"/>
                <w:kern w:val="0"/>
                <w:sz w:val="21"/>
                <w:szCs w:val="21"/>
              </w:rPr>
              <w:t>年</w:t>
            </w:r>
          </w:p>
        </w:tc>
        <w:tc>
          <w:tcPr>
            <w:tcW w:w="1385" w:type="pct"/>
            <w:gridSpan w:val="2"/>
            <w:shd w:val="clear" w:color="auto" w:fill="auto"/>
            <w:vAlign w:val="center"/>
          </w:tcPr>
          <w:p w14:paraId="075DB718" w14:textId="77777777" w:rsidR="009C353B" w:rsidRDefault="00000000">
            <w:pPr>
              <w:widowControl/>
              <w:jc w:val="center"/>
              <w:rPr>
                <w:rFonts w:cs="宋体" w:hint="eastAsia"/>
                <w:kern w:val="0"/>
                <w:sz w:val="21"/>
                <w:szCs w:val="21"/>
              </w:rPr>
            </w:pPr>
            <w:r>
              <w:rPr>
                <w:rFonts w:cs="宋体" w:hint="eastAsia"/>
                <w:kern w:val="0"/>
                <w:sz w:val="21"/>
                <w:szCs w:val="21"/>
              </w:rPr>
              <w:t>变化情况</w:t>
            </w:r>
          </w:p>
        </w:tc>
      </w:tr>
      <w:tr w:rsidR="009C353B" w14:paraId="0D635B19" w14:textId="77777777">
        <w:trPr>
          <w:trHeight w:val="683"/>
          <w:jc w:val="center"/>
        </w:trPr>
        <w:tc>
          <w:tcPr>
            <w:tcW w:w="866" w:type="pct"/>
            <w:vMerge/>
            <w:vAlign w:val="center"/>
          </w:tcPr>
          <w:p w14:paraId="5CD7FC42" w14:textId="77777777" w:rsidR="009C353B" w:rsidRDefault="009C353B">
            <w:pPr>
              <w:widowControl/>
              <w:jc w:val="left"/>
              <w:rPr>
                <w:rFonts w:cs="宋体" w:hint="eastAsia"/>
                <w:kern w:val="0"/>
                <w:sz w:val="21"/>
                <w:szCs w:val="21"/>
              </w:rPr>
            </w:pPr>
          </w:p>
        </w:tc>
        <w:tc>
          <w:tcPr>
            <w:tcW w:w="618" w:type="pct"/>
            <w:shd w:val="clear" w:color="auto" w:fill="auto"/>
            <w:vAlign w:val="center"/>
          </w:tcPr>
          <w:p w14:paraId="64F55055" w14:textId="77777777" w:rsidR="009C353B" w:rsidRDefault="00000000">
            <w:pPr>
              <w:widowControl/>
              <w:jc w:val="center"/>
              <w:rPr>
                <w:rFonts w:cs="宋体" w:hint="eastAsia"/>
                <w:kern w:val="0"/>
                <w:sz w:val="21"/>
                <w:szCs w:val="21"/>
              </w:rPr>
            </w:pPr>
            <w:r>
              <w:rPr>
                <w:rFonts w:cs="宋体" w:hint="eastAsia"/>
                <w:kern w:val="0"/>
                <w:sz w:val="21"/>
                <w:szCs w:val="21"/>
              </w:rPr>
              <w:t>面</w:t>
            </w:r>
            <w:r>
              <w:rPr>
                <w:rFonts w:ascii="Times New Roman" w:hAnsi="Times New Roman"/>
                <w:kern w:val="0"/>
                <w:sz w:val="21"/>
                <w:szCs w:val="21"/>
              </w:rPr>
              <w:t xml:space="preserve"> </w:t>
            </w:r>
            <w:r>
              <w:rPr>
                <w:rFonts w:cs="宋体" w:hint="eastAsia"/>
                <w:kern w:val="0"/>
                <w:sz w:val="21"/>
                <w:szCs w:val="21"/>
              </w:rPr>
              <w:t>积（</w:t>
            </w:r>
            <w:r>
              <w:rPr>
                <w:rFonts w:ascii="Times New Roman" w:hAnsi="Times New Roman"/>
                <w:kern w:val="0"/>
                <w:sz w:val="21"/>
                <w:szCs w:val="21"/>
              </w:rPr>
              <w:t>km</w:t>
            </w:r>
            <w:r>
              <w:rPr>
                <w:rFonts w:ascii="Times New Roman" w:hAnsi="Times New Roman"/>
                <w:kern w:val="0"/>
                <w:sz w:val="21"/>
                <w:szCs w:val="21"/>
                <w:vertAlign w:val="superscript"/>
              </w:rPr>
              <w:t>2</w:t>
            </w:r>
            <w:r>
              <w:rPr>
                <w:rFonts w:cs="宋体" w:hint="eastAsia"/>
                <w:kern w:val="0"/>
                <w:sz w:val="21"/>
                <w:szCs w:val="21"/>
              </w:rPr>
              <w:t>）</w:t>
            </w:r>
          </w:p>
        </w:tc>
        <w:tc>
          <w:tcPr>
            <w:tcW w:w="682" w:type="pct"/>
            <w:shd w:val="clear" w:color="auto" w:fill="auto"/>
            <w:vAlign w:val="center"/>
          </w:tcPr>
          <w:p w14:paraId="3217BD59" w14:textId="77777777" w:rsidR="009C353B" w:rsidRDefault="00000000">
            <w:pPr>
              <w:widowControl/>
              <w:jc w:val="center"/>
              <w:rPr>
                <w:rFonts w:cs="宋体" w:hint="eastAsia"/>
                <w:kern w:val="0"/>
                <w:sz w:val="21"/>
                <w:szCs w:val="21"/>
              </w:rPr>
            </w:pPr>
            <w:r>
              <w:rPr>
                <w:rFonts w:cs="宋体" w:hint="eastAsia"/>
                <w:kern w:val="0"/>
                <w:sz w:val="21"/>
                <w:szCs w:val="21"/>
              </w:rPr>
              <w:t>占评价区比例（</w:t>
            </w:r>
            <w:r>
              <w:rPr>
                <w:rFonts w:ascii="Times New Roman" w:hAnsi="Times New Roman"/>
                <w:kern w:val="0"/>
                <w:sz w:val="21"/>
                <w:szCs w:val="21"/>
              </w:rPr>
              <w:t>%</w:t>
            </w:r>
            <w:r>
              <w:rPr>
                <w:rFonts w:cs="宋体" w:hint="eastAsia"/>
                <w:kern w:val="0"/>
                <w:sz w:val="21"/>
                <w:szCs w:val="21"/>
              </w:rPr>
              <w:t>）</w:t>
            </w:r>
          </w:p>
        </w:tc>
        <w:tc>
          <w:tcPr>
            <w:tcW w:w="796" w:type="pct"/>
            <w:shd w:val="clear" w:color="auto" w:fill="auto"/>
            <w:vAlign w:val="center"/>
          </w:tcPr>
          <w:p w14:paraId="53C7CB75" w14:textId="77777777" w:rsidR="009C353B" w:rsidRDefault="00000000">
            <w:pPr>
              <w:widowControl/>
              <w:jc w:val="center"/>
              <w:rPr>
                <w:rFonts w:cs="宋体" w:hint="eastAsia"/>
                <w:kern w:val="0"/>
                <w:sz w:val="21"/>
                <w:szCs w:val="21"/>
              </w:rPr>
            </w:pPr>
            <w:r>
              <w:rPr>
                <w:rFonts w:cs="宋体" w:hint="eastAsia"/>
                <w:kern w:val="0"/>
                <w:sz w:val="21"/>
                <w:szCs w:val="21"/>
              </w:rPr>
              <w:t>面</w:t>
            </w:r>
            <w:r>
              <w:rPr>
                <w:rFonts w:ascii="Times New Roman" w:hAnsi="Times New Roman"/>
                <w:kern w:val="0"/>
                <w:sz w:val="21"/>
                <w:szCs w:val="21"/>
              </w:rPr>
              <w:t xml:space="preserve"> </w:t>
            </w:r>
            <w:r>
              <w:rPr>
                <w:rFonts w:cs="宋体" w:hint="eastAsia"/>
                <w:kern w:val="0"/>
                <w:sz w:val="21"/>
                <w:szCs w:val="21"/>
              </w:rPr>
              <w:t>积（</w:t>
            </w:r>
            <w:r>
              <w:rPr>
                <w:rFonts w:ascii="Times New Roman" w:hAnsi="Times New Roman"/>
                <w:kern w:val="0"/>
                <w:sz w:val="21"/>
                <w:szCs w:val="21"/>
              </w:rPr>
              <w:t>km</w:t>
            </w:r>
            <w:r>
              <w:rPr>
                <w:rFonts w:ascii="Times New Roman" w:hAnsi="Times New Roman"/>
                <w:kern w:val="0"/>
                <w:sz w:val="21"/>
                <w:szCs w:val="21"/>
                <w:vertAlign w:val="superscript"/>
              </w:rPr>
              <w:t>2</w:t>
            </w:r>
            <w:r>
              <w:rPr>
                <w:rFonts w:cs="宋体" w:hint="eastAsia"/>
                <w:kern w:val="0"/>
                <w:sz w:val="21"/>
                <w:szCs w:val="21"/>
              </w:rPr>
              <w:t>）</w:t>
            </w:r>
          </w:p>
        </w:tc>
        <w:tc>
          <w:tcPr>
            <w:tcW w:w="653" w:type="pct"/>
            <w:shd w:val="clear" w:color="auto" w:fill="auto"/>
            <w:vAlign w:val="center"/>
          </w:tcPr>
          <w:p w14:paraId="32D53653" w14:textId="77777777" w:rsidR="009C353B" w:rsidRDefault="00000000">
            <w:pPr>
              <w:widowControl/>
              <w:jc w:val="center"/>
              <w:rPr>
                <w:rFonts w:cs="宋体" w:hint="eastAsia"/>
                <w:kern w:val="0"/>
                <w:sz w:val="21"/>
                <w:szCs w:val="21"/>
              </w:rPr>
            </w:pPr>
            <w:r>
              <w:rPr>
                <w:rFonts w:cs="宋体" w:hint="eastAsia"/>
                <w:kern w:val="0"/>
                <w:sz w:val="21"/>
                <w:szCs w:val="21"/>
              </w:rPr>
              <w:t>占评价区比例（</w:t>
            </w:r>
            <w:r>
              <w:rPr>
                <w:rFonts w:ascii="Times New Roman" w:hAnsi="Times New Roman"/>
                <w:kern w:val="0"/>
                <w:sz w:val="21"/>
                <w:szCs w:val="21"/>
              </w:rPr>
              <w:t>%</w:t>
            </w:r>
            <w:r>
              <w:rPr>
                <w:rFonts w:cs="宋体" w:hint="eastAsia"/>
                <w:kern w:val="0"/>
                <w:sz w:val="21"/>
                <w:szCs w:val="21"/>
              </w:rPr>
              <w:t>）</w:t>
            </w:r>
          </w:p>
        </w:tc>
        <w:tc>
          <w:tcPr>
            <w:tcW w:w="709" w:type="pct"/>
            <w:shd w:val="clear" w:color="auto" w:fill="auto"/>
            <w:vAlign w:val="center"/>
          </w:tcPr>
          <w:p w14:paraId="3891DA6E" w14:textId="77777777" w:rsidR="009C353B" w:rsidRDefault="00000000">
            <w:pPr>
              <w:widowControl/>
              <w:jc w:val="center"/>
              <w:rPr>
                <w:rFonts w:cs="宋体" w:hint="eastAsia"/>
                <w:kern w:val="0"/>
                <w:sz w:val="21"/>
                <w:szCs w:val="21"/>
              </w:rPr>
            </w:pPr>
            <w:r>
              <w:rPr>
                <w:rFonts w:cs="宋体" w:hint="eastAsia"/>
                <w:kern w:val="0"/>
                <w:sz w:val="21"/>
                <w:szCs w:val="21"/>
              </w:rPr>
              <w:t>面</w:t>
            </w:r>
            <w:r>
              <w:rPr>
                <w:rFonts w:ascii="Times New Roman" w:hAnsi="Times New Roman"/>
                <w:kern w:val="0"/>
                <w:sz w:val="21"/>
                <w:szCs w:val="21"/>
              </w:rPr>
              <w:t xml:space="preserve"> </w:t>
            </w:r>
            <w:r>
              <w:rPr>
                <w:rFonts w:cs="宋体" w:hint="eastAsia"/>
                <w:kern w:val="0"/>
                <w:sz w:val="21"/>
                <w:szCs w:val="21"/>
              </w:rPr>
              <w:t>积（</w:t>
            </w:r>
            <w:r>
              <w:rPr>
                <w:rFonts w:ascii="Times New Roman" w:hAnsi="Times New Roman"/>
                <w:kern w:val="0"/>
                <w:sz w:val="21"/>
                <w:szCs w:val="21"/>
              </w:rPr>
              <w:t>km</w:t>
            </w:r>
            <w:r>
              <w:rPr>
                <w:rFonts w:ascii="Times New Roman" w:hAnsi="Times New Roman"/>
                <w:kern w:val="0"/>
                <w:sz w:val="21"/>
                <w:szCs w:val="21"/>
                <w:vertAlign w:val="superscript"/>
              </w:rPr>
              <w:t>2</w:t>
            </w:r>
            <w:r>
              <w:rPr>
                <w:rFonts w:cs="宋体" w:hint="eastAsia"/>
                <w:kern w:val="0"/>
                <w:sz w:val="21"/>
                <w:szCs w:val="21"/>
              </w:rPr>
              <w:t>）</w:t>
            </w:r>
          </w:p>
        </w:tc>
        <w:tc>
          <w:tcPr>
            <w:tcW w:w="676" w:type="pct"/>
            <w:shd w:val="clear" w:color="auto" w:fill="auto"/>
            <w:vAlign w:val="center"/>
          </w:tcPr>
          <w:p w14:paraId="4E75845A" w14:textId="77777777" w:rsidR="009C353B" w:rsidRDefault="00000000">
            <w:pPr>
              <w:widowControl/>
              <w:jc w:val="center"/>
              <w:rPr>
                <w:rFonts w:cs="宋体" w:hint="eastAsia"/>
                <w:kern w:val="0"/>
                <w:sz w:val="21"/>
                <w:szCs w:val="21"/>
              </w:rPr>
            </w:pPr>
            <w:r>
              <w:rPr>
                <w:rFonts w:cs="宋体" w:hint="eastAsia"/>
                <w:kern w:val="0"/>
                <w:sz w:val="21"/>
                <w:szCs w:val="21"/>
              </w:rPr>
              <w:t>占评价区比例（</w:t>
            </w:r>
            <w:r>
              <w:rPr>
                <w:rFonts w:ascii="Times New Roman" w:hAnsi="Times New Roman"/>
                <w:kern w:val="0"/>
                <w:sz w:val="21"/>
                <w:szCs w:val="21"/>
              </w:rPr>
              <w:t>%</w:t>
            </w:r>
            <w:r>
              <w:rPr>
                <w:rFonts w:cs="宋体" w:hint="eastAsia"/>
                <w:kern w:val="0"/>
                <w:sz w:val="21"/>
                <w:szCs w:val="21"/>
              </w:rPr>
              <w:t>）</w:t>
            </w:r>
          </w:p>
        </w:tc>
      </w:tr>
      <w:tr w:rsidR="009C353B" w14:paraId="29339DE8" w14:textId="77777777">
        <w:trPr>
          <w:trHeight w:val="300"/>
          <w:jc w:val="center"/>
        </w:trPr>
        <w:tc>
          <w:tcPr>
            <w:tcW w:w="866" w:type="pct"/>
            <w:shd w:val="clear" w:color="auto" w:fill="auto"/>
            <w:vAlign w:val="center"/>
          </w:tcPr>
          <w:p w14:paraId="37AA7EDC" w14:textId="77777777" w:rsidR="009C353B" w:rsidRDefault="00000000">
            <w:pPr>
              <w:widowControl/>
              <w:jc w:val="center"/>
              <w:rPr>
                <w:rFonts w:cs="宋体" w:hint="eastAsia"/>
                <w:kern w:val="0"/>
                <w:sz w:val="21"/>
                <w:szCs w:val="21"/>
              </w:rPr>
            </w:pPr>
            <w:r>
              <w:rPr>
                <w:rFonts w:cs="宋体" w:hint="eastAsia"/>
                <w:kern w:val="0"/>
                <w:sz w:val="21"/>
                <w:szCs w:val="21"/>
              </w:rPr>
              <w:t>微度侵蚀</w:t>
            </w:r>
          </w:p>
        </w:tc>
        <w:tc>
          <w:tcPr>
            <w:tcW w:w="618" w:type="pct"/>
            <w:shd w:val="clear" w:color="auto" w:fill="auto"/>
            <w:vAlign w:val="center"/>
          </w:tcPr>
          <w:p w14:paraId="22D1A147"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7.70 </w:t>
            </w:r>
          </w:p>
        </w:tc>
        <w:tc>
          <w:tcPr>
            <w:tcW w:w="682" w:type="pct"/>
            <w:shd w:val="clear" w:color="auto" w:fill="auto"/>
            <w:vAlign w:val="center"/>
          </w:tcPr>
          <w:p w14:paraId="5F24F516"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2.45 </w:t>
            </w:r>
          </w:p>
        </w:tc>
        <w:tc>
          <w:tcPr>
            <w:tcW w:w="796" w:type="pct"/>
            <w:shd w:val="clear" w:color="auto" w:fill="auto"/>
            <w:vAlign w:val="center"/>
          </w:tcPr>
          <w:p w14:paraId="27DB3418"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16.89 </w:t>
            </w:r>
          </w:p>
        </w:tc>
        <w:tc>
          <w:tcPr>
            <w:tcW w:w="653" w:type="pct"/>
            <w:shd w:val="clear" w:color="auto" w:fill="auto"/>
            <w:vAlign w:val="center"/>
          </w:tcPr>
          <w:p w14:paraId="1F6A542A"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5.38 </w:t>
            </w:r>
          </w:p>
        </w:tc>
        <w:tc>
          <w:tcPr>
            <w:tcW w:w="709" w:type="pct"/>
            <w:shd w:val="clear" w:color="auto" w:fill="auto"/>
            <w:vAlign w:val="center"/>
          </w:tcPr>
          <w:p w14:paraId="4D2B81C2"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9.19 </w:t>
            </w:r>
          </w:p>
        </w:tc>
        <w:tc>
          <w:tcPr>
            <w:tcW w:w="676" w:type="pct"/>
            <w:shd w:val="clear" w:color="auto" w:fill="auto"/>
            <w:vAlign w:val="center"/>
          </w:tcPr>
          <w:p w14:paraId="191DD9A7"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2.93 </w:t>
            </w:r>
          </w:p>
        </w:tc>
      </w:tr>
      <w:tr w:rsidR="009C353B" w14:paraId="5698D8DD" w14:textId="77777777">
        <w:trPr>
          <w:trHeight w:val="300"/>
          <w:jc w:val="center"/>
        </w:trPr>
        <w:tc>
          <w:tcPr>
            <w:tcW w:w="866" w:type="pct"/>
            <w:shd w:val="clear" w:color="auto" w:fill="auto"/>
            <w:vAlign w:val="center"/>
          </w:tcPr>
          <w:p w14:paraId="3C3D96A3" w14:textId="77777777" w:rsidR="009C353B" w:rsidRDefault="00000000">
            <w:pPr>
              <w:widowControl/>
              <w:jc w:val="center"/>
              <w:rPr>
                <w:rFonts w:cs="宋体" w:hint="eastAsia"/>
                <w:kern w:val="0"/>
                <w:sz w:val="21"/>
                <w:szCs w:val="21"/>
              </w:rPr>
            </w:pPr>
            <w:r>
              <w:rPr>
                <w:rFonts w:cs="宋体" w:hint="eastAsia"/>
                <w:kern w:val="0"/>
                <w:sz w:val="21"/>
                <w:szCs w:val="21"/>
              </w:rPr>
              <w:t>轻度侵蚀</w:t>
            </w:r>
          </w:p>
        </w:tc>
        <w:tc>
          <w:tcPr>
            <w:tcW w:w="618" w:type="pct"/>
            <w:shd w:val="clear" w:color="auto" w:fill="auto"/>
            <w:vAlign w:val="center"/>
          </w:tcPr>
          <w:p w14:paraId="21C8BE63"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9.96 </w:t>
            </w:r>
          </w:p>
        </w:tc>
        <w:tc>
          <w:tcPr>
            <w:tcW w:w="682" w:type="pct"/>
            <w:shd w:val="clear" w:color="auto" w:fill="auto"/>
            <w:vAlign w:val="center"/>
          </w:tcPr>
          <w:p w14:paraId="2D3CA745"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3.17 </w:t>
            </w:r>
          </w:p>
        </w:tc>
        <w:tc>
          <w:tcPr>
            <w:tcW w:w="796" w:type="pct"/>
            <w:shd w:val="clear" w:color="auto" w:fill="auto"/>
            <w:vAlign w:val="center"/>
          </w:tcPr>
          <w:p w14:paraId="0AE9CA9A"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16.62 </w:t>
            </w:r>
          </w:p>
        </w:tc>
        <w:tc>
          <w:tcPr>
            <w:tcW w:w="653" w:type="pct"/>
            <w:shd w:val="clear" w:color="auto" w:fill="auto"/>
            <w:vAlign w:val="center"/>
          </w:tcPr>
          <w:p w14:paraId="460E22D4"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5.29 </w:t>
            </w:r>
          </w:p>
        </w:tc>
        <w:tc>
          <w:tcPr>
            <w:tcW w:w="709" w:type="pct"/>
            <w:shd w:val="clear" w:color="auto" w:fill="auto"/>
            <w:vAlign w:val="center"/>
          </w:tcPr>
          <w:p w14:paraId="275AF14A"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6.66 </w:t>
            </w:r>
          </w:p>
        </w:tc>
        <w:tc>
          <w:tcPr>
            <w:tcW w:w="676" w:type="pct"/>
            <w:shd w:val="clear" w:color="auto" w:fill="auto"/>
            <w:vAlign w:val="center"/>
          </w:tcPr>
          <w:p w14:paraId="66E7684A"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2.12 </w:t>
            </w:r>
          </w:p>
        </w:tc>
      </w:tr>
      <w:tr w:rsidR="009C353B" w14:paraId="32F1200B" w14:textId="77777777">
        <w:trPr>
          <w:trHeight w:val="300"/>
          <w:jc w:val="center"/>
        </w:trPr>
        <w:tc>
          <w:tcPr>
            <w:tcW w:w="866" w:type="pct"/>
            <w:shd w:val="clear" w:color="auto" w:fill="auto"/>
            <w:vAlign w:val="center"/>
          </w:tcPr>
          <w:p w14:paraId="40C48B66" w14:textId="77777777" w:rsidR="009C353B" w:rsidRDefault="00000000">
            <w:pPr>
              <w:widowControl/>
              <w:jc w:val="center"/>
              <w:rPr>
                <w:rFonts w:cs="宋体" w:hint="eastAsia"/>
                <w:kern w:val="0"/>
                <w:sz w:val="21"/>
                <w:szCs w:val="21"/>
              </w:rPr>
            </w:pPr>
            <w:r>
              <w:rPr>
                <w:rFonts w:cs="宋体" w:hint="eastAsia"/>
                <w:kern w:val="0"/>
                <w:sz w:val="21"/>
                <w:szCs w:val="21"/>
              </w:rPr>
              <w:t>中度侵蚀</w:t>
            </w:r>
          </w:p>
        </w:tc>
        <w:tc>
          <w:tcPr>
            <w:tcW w:w="618" w:type="pct"/>
            <w:shd w:val="clear" w:color="auto" w:fill="auto"/>
            <w:vAlign w:val="center"/>
          </w:tcPr>
          <w:p w14:paraId="4F249E39"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251.21 </w:t>
            </w:r>
          </w:p>
        </w:tc>
        <w:tc>
          <w:tcPr>
            <w:tcW w:w="682" w:type="pct"/>
            <w:shd w:val="clear" w:color="auto" w:fill="auto"/>
            <w:vAlign w:val="center"/>
          </w:tcPr>
          <w:p w14:paraId="4AD6C633"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79.98 </w:t>
            </w:r>
          </w:p>
        </w:tc>
        <w:tc>
          <w:tcPr>
            <w:tcW w:w="796" w:type="pct"/>
            <w:shd w:val="clear" w:color="auto" w:fill="auto"/>
            <w:vAlign w:val="center"/>
          </w:tcPr>
          <w:p w14:paraId="2C7E7609"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227.41 </w:t>
            </w:r>
          </w:p>
        </w:tc>
        <w:tc>
          <w:tcPr>
            <w:tcW w:w="653" w:type="pct"/>
            <w:shd w:val="clear" w:color="auto" w:fill="auto"/>
            <w:vAlign w:val="center"/>
          </w:tcPr>
          <w:p w14:paraId="0A82F324"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72.40 </w:t>
            </w:r>
          </w:p>
        </w:tc>
        <w:tc>
          <w:tcPr>
            <w:tcW w:w="709" w:type="pct"/>
            <w:shd w:val="clear" w:color="auto" w:fill="auto"/>
            <w:vAlign w:val="center"/>
          </w:tcPr>
          <w:p w14:paraId="5CB66493"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-23.80 </w:t>
            </w:r>
          </w:p>
        </w:tc>
        <w:tc>
          <w:tcPr>
            <w:tcW w:w="676" w:type="pct"/>
            <w:shd w:val="clear" w:color="auto" w:fill="auto"/>
            <w:vAlign w:val="center"/>
          </w:tcPr>
          <w:p w14:paraId="5C3D3397"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-7.58 </w:t>
            </w:r>
          </w:p>
        </w:tc>
      </w:tr>
      <w:tr w:rsidR="009C353B" w14:paraId="078568DD" w14:textId="77777777">
        <w:trPr>
          <w:trHeight w:val="300"/>
          <w:jc w:val="center"/>
        </w:trPr>
        <w:tc>
          <w:tcPr>
            <w:tcW w:w="866" w:type="pct"/>
            <w:shd w:val="clear" w:color="auto" w:fill="auto"/>
            <w:vAlign w:val="center"/>
          </w:tcPr>
          <w:p w14:paraId="676706F5" w14:textId="77777777" w:rsidR="009C353B" w:rsidRDefault="00000000">
            <w:pPr>
              <w:widowControl/>
              <w:jc w:val="center"/>
              <w:rPr>
                <w:rFonts w:cs="宋体" w:hint="eastAsia"/>
                <w:kern w:val="0"/>
                <w:sz w:val="21"/>
                <w:szCs w:val="21"/>
              </w:rPr>
            </w:pPr>
            <w:r>
              <w:rPr>
                <w:rFonts w:cs="宋体" w:hint="eastAsia"/>
                <w:kern w:val="0"/>
                <w:sz w:val="21"/>
                <w:szCs w:val="21"/>
              </w:rPr>
              <w:t>强烈侵蚀</w:t>
            </w:r>
          </w:p>
        </w:tc>
        <w:tc>
          <w:tcPr>
            <w:tcW w:w="618" w:type="pct"/>
            <w:shd w:val="clear" w:color="auto" w:fill="auto"/>
            <w:vAlign w:val="center"/>
          </w:tcPr>
          <w:p w14:paraId="7682D159"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42.45 </w:t>
            </w:r>
          </w:p>
        </w:tc>
        <w:tc>
          <w:tcPr>
            <w:tcW w:w="682" w:type="pct"/>
            <w:shd w:val="clear" w:color="auto" w:fill="auto"/>
            <w:vAlign w:val="center"/>
          </w:tcPr>
          <w:p w14:paraId="13A63633"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13.51 </w:t>
            </w:r>
          </w:p>
        </w:tc>
        <w:tc>
          <w:tcPr>
            <w:tcW w:w="796" w:type="pct"/>
            <w:shd w:val="clear" w:color="auto" w:fill="auto"/>
            <w:vAlign w:val="center"/>
          </w:tcPr>
          <w:p w14:paraId="6A7A0789"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44.83 </w:t>
            </w:r>
          </w:p>
        </w:tc>
        <w:tc>
          <w:tcPr>
            <w:tcW w:w="653" w:type="pct"/>
            <w:shd w:val="clear" w:color="auto" w:fill="auto"/>
            <w:vAlign w:val="center"/>
          </w:tcPr>
          <w:p w14:paraId="667FF7C5"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14.27 </w:t>
            </w:r>
          </w:p>
        </w:tc>
        <w:tc>
          <w:tcPr>
            <w:tcW w:w="709" w:type="pct"/>
            <w:shd w:val="clear" w:color="auto" w:fill="auto"/>
            <w:vAlign w:val="center"/>
          </w:tcPr>
          <w:p w14:paraId="56513B13"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2.38 </w:t>
            </w:r>
          </w:p>
        </w:tc>
        <w:tc>
          <w:tcPr>
            <w:tcW w:w="676" w:type="pct"/>
            <w:shd w:val="clear" w:color="auto" w:fill="auto"/>
            <w:vAlign w:val="center"/>
          </w:tcPr>
          <w:p w14:paraId="05542112"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0.76 </w:t>
            </w:r>
          </w:p>
        </w:tc>
      </w:tr>
      <w:tr w:rsidR="009C353B" w14:paraId="0C77BE60" w14:textId="77777777">
        <w:trPr>
          <w:trHeight w:val="300"/>
          <w:jc w:val="center"/>
        </w:trPr>
        <w:tc>
          <w:tcPr>
            <w:tcW w:w="866" w:type="pct"/>
            <w:shd w:val="clear" w:color="auto" w:fill="auto"/>
            <w:vAlign w:val="center"/>
          </w:tcPr>
          <w:p w14:paraId="2414980A" w14:textId="77777777" w:rsidR="009C353B" w:rsidRDefault="00000000">
            <w:pPr>
              <w:widowControl/>
              <w:jc w:val="center"/>
              <w:rPr>
                <w:rFonts w:cs="宋体" w:hint="eastAsia"/>
                <w:kern w:val="0"/>
                <w:sz w:val="21"/>
                <w:szCs w:val="21"/>
              </w:rPr>
            </w:pPr>
            <w:r>
              <w:rPr>
                <w:rFonts w:cs="宋体" w:hint="eastAsia"/>
                <w:kern w:val="0"/>
                <w:sz w:val="21"/>
                <w:szCs w:val="21"/>
              </w:rPr>
              <w:t>极强烈侵蚀</w:t>
            </w:r>
          </w:p>
        </w:tc>
        <w:tc>
          <w:tcPr>
            <w:tcW w:w="618" w:type="pct"/>
            <w:shd w:val="clear" w:color="auto" w:fill="auto"/>
            <w:vAlign w:val="center"/>
          </w:tcPr>
          <w:p w14:paraId="4519827C"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2.78 </w:t>
            </w:r>
          </w:p>
        </w:tc>
        <w:tc>
          <w:tcPr>
            <w:tcW w:w="682" w:type="pct"/>
            <w:shd w:val="clear" w:color="auto" w:fill="auto"/>
            <w:vAlign w:val="center"/>
          </w:tcPr>
          <w:p w14:paraId="7EAFBA7E"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0.88 </w:t>
            </w:r>
          </w:p>
        </w:tc>
        <w:tc>
          <w:tcPr>
            <w:tcW w:w="796" w:type="pct"/>
            <w:shd w:val="clear" w:color="auto" w:fill="auto"/>
            <w:vAlign w:val="center"/>
          </w:tcPr>
          <w:p w14:paraId="36925FBF"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8.35 </w:t>
            </w:r>
          </w:p>
        </w:tc>
        <w:tc>
          <w:tcPr>
            <w:tcW w:w="653" w:type="pct"/>
            <w:shd w:val="clear" w:color="auto" w:fill="auto"/>
            <w:vAlign w:val="center"/>
          </w:tcPr>
          <w:p w14:paraId="286FF27D"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2.66 </w:t>
            </w:r>
          </w:p>
        </w:tc>
        <w:tc>
          <w:tcPr>
            <w:tcW w:w="709" w:type="pct"/>
            <w:shd w:val="clear" w:color="auto" w:fill="auto"/>
            <w:vAlign w:val="center"/>
          </w:tcPr>
          <w:p w14:paraId="69B65F8D"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5.57 </w:t>
            </w:r>
          </w:p>
        </w:tc>
        <w:tc>
          <w:tcPr>
            <w:tcW w:w="676" w:type="pct"/>
            <w:shd w:val="clear" w:color="auto" w:fill="auto"/>
            <w:vAlign w:val="center"/>
          </w:tcPr>
          <w:p w14:paraId="147CA2A1"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1.77 </w:t>
            </w:r>
          </w:p>
        </w:tc>
      </w:tr>
      <w:tr w:rsidR="009C353B" w14:paraId="05827A29" w14:textId="77777777">
        <w:trPr>
          <w:trHeight w:val="300"/>
          <w:jc w:val="center"/>
        </w:trPr>
        <w:tc>
          <w:tcPr>
            <w:tcW w:w="866" w:type="pct"/>
            <w:shd w:val="clear" w:color="auto" w:fill="auto"/>
            <w:vAlign w:val="center"/>
          </w:tcPr>
          <w:p w14:paraId="68CF3214" w14:textId="77777777" w:rsidR="009C353B" w:rsidRDefault="00000000">
            <w:pPr>
              <w:widowControl/>
              <w:jc w:val="center"/>
              <w:rPr>
                <w:rFonts w:cs="宋体" w:hint="eastAsia"/>
                <w:kern w:val="0"/>
                <w:sz w:val="21"/>
                <w:szCs w:val="21"/>
              </w:rPr>
            </w:pPr>
            <w:r>
              <w:rPr>
                <w:rFonts w:cs="宋体" w:hint="eastAsia"/>
                <w:kern w:val="0"/>
                <w:sz w:val="21"/>
                <w:szCs w:val="21"/>
              </w:rPr>
              <w:t>共计</w:t>
            </w:r>
          </w:p>
        </w:tc>
        <w:tc>
          <w:tcPr>
            <w:tcW w:w="618" w:type="pct"/>
            <w:shd w:val="clear" w:color="auto" w:fill="auto"/>
            <w:vAlign w:val="center"/>
          </w:tcPr>
          <w:p w14:paraId="6FC114DC"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314.10 </w:t>
            </w:r>
          </w:p>
        </w:tc>
        <w:tc>
          <w:tcPr>
            <w:tcW w:w="682" w:type="pct"/>
            <w:shd w:val="clear" w:color="auto" w:fill="auto"/>
            <w:vAlign w:val="center"/>
          </w:tcPr>
          <w:p w14:paraId="5D4A35D4"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100.00 </w:t>
            </w:r>
          </w:p>
        </w:tc>
        <w:tc>
          <w:tcPr>
            <w:tcW w:w="796" w:type="pct"/>
            <w:shd w:val="clear" w:color="auto" w:fill="auto"/>
            <w:vAlign w:val="center"/>
          </w:tcPr>
          <w:p w14:paraId="02FFF43D"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314.10 </w:t>
            </w:r>
          </w:p>
        </w:tc>
        <w:tc>
          <w:tcPr>
            <w:tcW w:w="653" w:type="pct"/>
            <w:shd w:val="clear" w:color="auto" w:fill="auto"/>
            <w:vAlign w:val="center"/>
          </w:tcPr>
          <w:p w14:paraId="3049830E"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100.00 </w:t>
            </w:r>
          </w:p>
        </w:tc>
        <w:tc>
          <w:tcPr>
            <w:tcW w:w="709" w:type="pct"/>
            <w:shd w:val="clear" w:color="auto" w:fill="auto"/>
            <w:vAlign w:val="center"/>
          </w:tcPr>
          <w:p w14:paraId="0F358117"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w:t>
            </w:r>
          </w:p>
        </w:tc>
        <w:tc>
          <w:tcPr>
            <w:tcW w:w="676" w:type="pct"/>
            <w:shd w:val="clear" w:color="auto" w:fill="auto"/>
            <w:vAlign w:val="center"/>
          </w:tcPr>
          <w:p w14:paraId="12A60109"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w:t>
            </w:r>
          </w:p>
        </w:tc>
      </w:tr>
    </w:tbl>
    <w:p w14:paraId="799519BC" w14:textId="77777777" w:rsidR="009C353B" w:rsidRDefault="00000000">
      <w:pPr>
        <w:spacing w:line="529" w:lineRule="exact"/>
        <w:jc w:val="center"/>
        <w:rPr>
          <w:rFonts w:ascii="Times New Roman" w:hAnsi="Times New Roman"/>
          <w:b/>
          <w:kern w:val="24"/>
        </w:rPr>
      </w:pPr>
      <w:r>
        <w:rPr>
          <w:rFonts w:ascii="Times New Roman" w:hAnsi="Times New Roman" w:hint="eastAsia"/>
          <w:b/>
          <w:kern w:val="24"/>
        </w:rPr>
        <w:t>2010-2019</w:t>
      </w:r>
      <w:r>
        <w:rPr>
          <w:rFonts w:ascii="Times New Roman" w:hAnsi="Times New Roman"/>
          <w:b/>
          <w:kern w:val="24"/>
        </w:rPr>
        <w:t>年</w:t>
      </w:r>
      <w:r>
        <w:rPr>
          <w:rFonts w:ascii="Times New Roman" w:hAnsi="Times New Roman" w:hint="eastAsia"/>
          <w:b/>
          <w:kern w:val="24"/>
        </w:rPr>
        <w:t>间</w:t>
      </w:r>
      <w:r>
        <w:rPr>
          <w:rFonts w:ascii="Times New Roman" w:hAnsi="Times New Roman"/>
          <w:b/>
          <w:kern w:val="24"/>
        </w:rPr>
        <w:t>评价区土壤侵蚀变化状况</w:t>
      </w:r>
    </w:p>
    <w:p w14:paraId="68092CE4" w14:textId="77777777" w:rsidR="009C353B" w:rsidRDefault="00000000">
      <w:pPr>
        <w:widowControl/>
        <w:adjustRightInd w:val="0"/>
        <w:snapToGrid w:val="0"/>
        <w:spacing w:line="240" w:lineRule="atLeast"/>
        <w:outlineLvl w:val="4"/>
        <w:rPr>
          <w:rFonts w:ascii="Times New Roman" w:hAnsi="Times New Roman"/>
          <w:kern w:val="0"/>
        </w:rPr>
      </w:pPr>
      <w:r>
        <w:rPr>
          <w:rFonts w:ascii="Times New Roman" w:hAnsi="Times New Roman"/>
          <w:kern w:val="0"/>
        </w:rPr>
        <w:t>表</w:t>
      </w:r>
      <w:r>
        <w:rPr>
          <w:rFonts w:ascii="Times New Roman" w:hAnsi="Times New Roman"/>
          <w:kern w:val="0"/>
        </w:rPr>
        <w:t>4.</w:t>
      </w:r>
      <w:r>
        <w:rPr>
          <w:rFonts w:ascii="Times New Roman" w:hAnsi="Times New Roman" w:hint="eastAsia"/>
          <w:kern w:val="0"/>
        </w:rPr>
        <w:t>5-11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1313"/>
        <w:gridCol w:w="1304"/>
        <w:gridCol w:w="1304"/>
        <w:gridCol w:w="1389"/>
        <w:gridCol w:w="1057"/>
        <w:gridCol w:w="1053"/>
      </w:tblGrid>
      <w:tr w:rsidR="009C353B" w14:paraId="392DB93C" w14:textId="77777777">
        <w:trPr>
          <w:trHeight w:val="300"/>
        </w:trPr>
        <w:tc>
          <w:tcPr>
            <w:tcW w:w="1005" w:type="pct"/>
            <w:vMerge w:val="restart"/>
            <w:shd w:val="clear" w:color="auto" w:fill="auto"/>
            <w:vAlign w:val="center"/>
          </w:tcPr>
          <w:p w14:paraId="430C20BD" w14:textId="77777777" w:rsidR="009C353B" w:rsidRDefault="00000000">
            <w:pPr>
              <w:widowControl/>
              <w:jc w:val="center"/>
              <w:rPr>
                <w:rFonts w:cs="宋体" w:hint="eastAsia"/>
                <w:kern w:val="0"/>
                <w:sz w:val="21"/>
                <w:szCs w:val="21"/>
              </w:rPr>
            </w:pPr>
            <w:r>
              <w:rPr>
                <w:rFonts w:cs="宋体" w:hint="eastAsia"/>
                <w:kern w:val="0"/>
                <w:sz w:val="21"/>
                <w:szCs w:val="21"/>
              </w:rPr>
              <w:t>土壤侵蚀强度</w:t>
            </w:r>
          </w:p>
        </w:tc>
        <w:tc>
          <w:tcPr>
            <w:tcW w:w="1408" w:type="pct"/>
            <w:gridSpan w:val="2"/>
            <w:shd w:val="clear" w:color="auto" w:fill="auto"/>
            <w:vAlign w:val="center"/>
          </w:tcPr>
          <w:p w14:paraId="4350BA71"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2010</w:t>
            </w:r>
            <w:r>
              <w:rPr>
                <w:rFonts w:hint="eastAsia"/>
                <w:kern w:val="0"/>
                <w:sz w:val="21"/>
                <w:szCs w:val="21"/>
              </w:rPr>
              <w:t>年</w:t>
            </w:r>
          </w:p>
        </w:tc>
        <w:tc>
          <w:tcPr>
            <w:tcW w:w="1450" w:type="pct"/>
            <w:gridSpan w:val="2"/>
            <w:shd w:val="clear" w:color="auto" w:fill="auto"/>
            <w:vAlign w:val="center"/>
          </w:tcPr>
          <w:p w14:paraId="0B0D5B58"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2019</w:t>
            </w:r>
            <w:r>
              <w:rPr>
                <w:rFonts w:hint="eastAsia"/>
                <w:kern w:val="0"/>
                <w:sz w:val="21"/>
                <w:szCs w:val="21"/>
              </w:rPr>
              <w:t>年</w:t>
            </w:r>
          </w:p>
        </w:tc>
        <w:tc>
          <w:tcPr>
            <w:tcW w:w="1137" w:type="pct"/>
            <w:gridSpan w:val="2"/>
            <w:shd w:val="clear" w:color="auto" w:fill="auto"/>
            <w:vAlign w:val="center"/>
          </w:tcPr>
          <w:p w14:paraId="1A75EDBA" w14:textId="77777777" w:rsidR="009C353B" w:rsidRDefault="00000000">
            <w:pPr>
              <w:widowControl/>
              <w:jc w:val="center"/>
              <w:rPr>
                <w:rFonts w:cs="宋体" w:hint="eastAsia"/>
                <w:kern w:val="0"/>
                <w:sz w:val="21"/>
                <w:szCs w:val="21"/>
              </w:rPr>
            </w:pPr>
            <w:r>
              <w:rPr>
                <w:rFonts w:cs="宋体" w:hint="eastAsia"/>
                <w:kern w:val="0"/>
                <w:sz w:val="21"/>
                <w:szCs w:val="21"/>
              </w:rPr>
              <w:t>变化情况</w:t>
            </w:r>
          </w:p>
        </w:tc>
      </w:tr>
      <w:tr w:rsidR="009C353B" w14:paraId="70F81463" w14:textId="77777777">
        <w:trPr>
          <w:trHeight w:val="795"/>
        </w:trPr>
        <w:tc>
          <w:tcPr>
            <w:tcW w:w="1005" w:type="pct"/>
            <w:vMerge/>
            <w:vAlign w:val="center"/>
          </w:tcPr>
          <w:p w14:paraId="2A280346" w14:textId="77777777" w:rsidR="009C353B" w:rsidRDefault="009C353B">
            <w:pPr>
              <w:widowControl/>
              <w:jc w:val="left"/>
              <w:rPr>
                <w:rFonts w:cs="宋体" w:hint="eastAsia"/>
                <w:kern w:val="0"/>
                <w:sz w:val="21"/>
                <w:szCs w:val="21"/>
              </w:rPr>
            </w:pPr>
          </w:p>
        </w:tc>
        <w:tc>
          <w:tcPr>
            <w:tcW w:w="707" w:type="pct"/>
            <w:shd w:val="clear" w:color="auto" w:fill="auto"/>
            <w:vAlign w:val="center"/>
          </w:tcPr>
          <w:p w14:paraId="5C124B0D" w14:textId="77777777" w:rsidR="009C353B" w:rsidRDefault="00000000">
            <w:pPr>
              <w:widowControl/>
              <w:jc w:val="center"/>
              <w:rPr>
                <w:rFonts w:cs="宋体" w:hint="eastAsia"/>
                <w:kern w:val="0"/>
                <w:sz w:val="21"/>
                <w:szCs w:val="21"/>
              </w:rPr>
            </w:pPr>
            <w:r>
              <w:rPr>
                <w:rFonts w:cs="宋体" w:hint="eastAsia"/>
                <w:kern w:val="0"/>
                <w:sz w:val="21"/>
                <w:szCs w:val="21"/>
              </w:rPr>
              <w:t>面</w:t>
            </w:r>
            <w:r>
              <w:rPr>
                <w:rFonts w:ascii="Times New Roman" w:hAnsi="Times New Roman"/>
                <w:kern w:val="0"/>
                <w:sz w:val="21"/>
                <w:szCs w:val="21"/>
              </w:rPr>
              <w:t xml:space="preserve"> </w:t>
            </w:r>
            <w:r>
              <w:rPr>
                <w:rFonts w:cs="宋体" w:hint="eastAsia"/>
                <w:kern w:val="0"/>
                <w:sz w:val="21"/>
                <w:szCs w:val="21"/>
              </w:rPr>
              <w:t>积（</w:t>
            </w:r>
            <w:r>
              <w:rPr>
                <w:rFonts w:ascii="Times New Roman" w:hAnsi="Times New Roman"/>
                <w:kern w:val="0"/>
                <w:sz w:val="21"/>
                <w:szCs w:val="21"/>
              </w:rPr>
              <w:t>km</w:t>
            </w:r>
            <w:r>
              <w:rPr>
                <w:rFonts w:ascii="Times New Roman" w:hAnsi="Times New Roman"/>
                <w:kern w:val="0"/>
                <w:sz w:val="21"/>
                <w:szCs w:val="21"/>
                <w:vertAlign w:val="superscript"/>
              </w:rPr>
              <w:t>2</w:t>
            </w:r>
            <w:r>
              <w:rPr>
                <w:rFonts w:cs="宋体" w:hint="eastAsia"/>
                <w:kern w:val="0"/>
                <w:sz w:val="21"/>
                <w:szCs w:val="21"/>
              </w:rPr>
              <w:t>）</w:t>
            </w:r>
          </w:p>
        </w:tc>
        <w:tc>
          <w:tcPr>
            <w:tcW w:w="702" w:type="pct"/>
            <w:shd w:val="clear" w:color="auto" w:fill="auto"/>
            <w:vAlign w:val="center"/>
          </w:tcPr>
          <w:p w14:paraId="44D61B85" w14:textId="77777777" w:rsidR="009C353B" w:rsidRDefault="00000000">
            <w:pPr>
              <w:widowControl/>
              <w:jc w:val="center"/>
              <w:rPr>
                <w:rFonts w:cs="宋体" w:hint="eastAsia"/>
                <w:kern w:val="0"/>
                <w:sz w:val="21"/>
                <w:szCs w:val="21"/>
              </w:rPr>
            </w:pPr>
            <w:r>
              <w:rPr>
                <w:rFonts w:cs="宋体" w:hint="eastAsia"/>
                <w:kern w:val="0"/>
                <w:sz w:val="21"/>
                <w:szCs w:val="21"/>
              </w:rPr>
              <w:t>占评价区比例（</w:t>
            </w:r>
            <w:r>
              <w:rPr>
                <w:rFonts w:ascii="Times New Roman" w:hAnsi="Times New Roman"/>
                <w:kern w:val="0"/>
                <w:sz w:val="21"/>
                <w:szCs w:val="21"/>
              </w:rPr>
              <w:t>%</w:t>
            </w:r>
            <w:r>
              <w:rPr>
                <w:rFonts w:cs="宋体" w:hint="eastAsia"/>
                <w:kern w:val="0"/>
                <w:sz w:val="21"/>
                <w:szCs w:val="21"/>
              </w:rPr>
              <w:t>）</w:t>
            </w:r>
          </w:p>
        </w:tc>
        <w:tc>
          <w:tcPr>
            <w:tcW w:w="702" w:type="pct"/>
            <w:shd w:val="clear" w:color="auto" w:fill="auto"/>
            <w:vAlign w:val="center"/>
          </w:tcPr>
          <w:p w14:paraId="64EAA970" w14:textId="77777777" w:rsidR="009C353B" w:rsidRDefault="00000000">
            <w:pPr>
              <w:widowControl/>
              <w:jc w:val="center"/>
              <w:rPr>
                <w:rFonts w:cs="宋体" w:hint="eastAsia"/>
                <w:kern w:val="0"/>
                <w:sz w:val="21"/>
                <w:szCs w:val="21"/>
              </w:rPr>
            </w:pPr>
            <w:r>
              <w:rPr>
                <w:rFonts w:cs="宋体" w:hint="eastAsia"/>
                <w:kern w:val="0"/>
                <w:sz w:val="21"/>
                <w:szCs w:val="21"/>
              </w:rPr>
              <w:t>面</w:t>
            </w:r>
            <w:r>
              <w:rPr>
                <w:rFonts w:ascii="Times New Roman" w:hAnsi="Times New Roman"/>
                <w:kern w:val="0"/>
                <w:sz w:val="21"/>
                <w:szCs w:val="21"/>
              </w:rPr>
              <w:t xml:space="preserve"> </w:t>
            </w:r>
            <w:r>
              <w:rPr>
                <w:rFonts w:cs="宋体" w:hint="eastAsia"/>
                <w:kern w:val="0"/>
                <w:sz w:val="21"/>
                <w:szCs w:val="21"/>
              </w:rPr>
              <w:t>积（</w:t>
            </w:r>
            <w:r>
              <w:rPr>
                <w:rFonts w:ascii="Times New Roman" w:hAnsi="Times New Roman"/>
                <w:kern w:val="0"/>
                <w:sz w:val="21"/>
                <w:szCs w:val="21"/>
              </w:rPr>
              <w:t>km</w:t>
            </w:r>
            <w:r>
              <w:rPr>
                <w:rFonts w:ascii="Times New Roman" w:hAnsi="Times New Roman"/>
                <w:kern w:val="0"/>
                <w:sz w:val="21"/>
                <w:szCs w:val="21"/>
                <w:vertAlign w:val="superscript"/>
              </w:rPr>
              <w:t>2</w:t>
            </w:r>
            <w:r>
              <w:rPr>
                <w:rFonts w:cs="宋体" w:hint="eastAsia"/>
                <w:kern w:val="0"/>
                <w:sz w:val="21"/>
                <w:szCs w:val="21"/>
              </w:rPr>
              <w:t>）</w:t>
            </w:r>
          </w:p>
        </w:tc>
        <w:tc>
          <w:tcPr>
            <w:tcW w:w="748" w:type="pct"/>
            <w:shd w:val="clear" w:color="auto" w:fill="auto"/>
            <w:vAlign w:val="center"/>
          </w:tcPr>
          <w:p w14:paraId="19730BA6" w14:textId="77777777" w:rsidR="009C353B" w:rsidRDefault="00000000">
            <w:pPr>
              <w:widowControl/>
              <w:jc w:val="center"/>
              <w:rPr>
                <w:rFonts w:cs="宋体" w:hint="eastAsia"/>
                <w:kern w:val="0"/>
                <w:sz w:val="21"/>
                <w:szCs w:val="21"/>
              </w:rPr>
            </w:pPr>
            <w:r>
              <w:rPr>
                <w:rFonts w:cs="宋体" w:hint="eastAsia"/>
                <w:kern w:val="0"/>
                <w:sz w:val="21"/>
                <w:szCs w:val="21"/>
              </w:rPr>
              <w:t>占评价区比例（</w:t>
            </w:r>
            <w:r>
              <w:rPr>
                <w:rFonts w:ascii="Times New Roman" w:hAnsi="Times New Roman"/>
                <w:kern w:val="0"/>
                <w:sz w:val="21"/>
                <w:szCs w:val="21"/>
              </w:rPr>
              <w:t>%</w:t>
            </w:r>
            <w:r>
              <w:rPr>
                <w:rFonts w:cs="宋体" w:hint="eastAsia"/>
                <w:kern w:val="0"/>
                <w:sz w:val="21"/>
                <w:szCs w:val="21"/>
              </w:rPr>
              <w:t>）</w:t>
            </w:r>
          </w:p>
        </w:tc>
        <w:tc>
          <w:tcPr>
            <w:tcW w:w="569" w:type="pct"/>
            <w:shd w:val="clear" w:color="auto" w:fill="auto"/>
            <w:vAlign w:val="center"/>
          </w:tcPr>
          <w:p w14:paraId="6D92B099" w14:textId="77777777" w:rsidR="009C353B" w:rsidRDefault="00000000">
            <w:pPr>
              <w:widowControl/>
              <w:jc w:val="center"/>
              <w:rPr>
                <w:rFonts w:cs="宋体" w:hint="eastAsia"/>
                <w:kern w:val="0"/>
                <w:sz w:val="21"/>
                <w:szCs w:val="21"/>
              </w:rPr>
            </w:pPr>
            <w:r>
              <w:rPr>
                <w:rFonts w:cs="宋体" w:hint="eastAsia"/>
                <w:kern w:val="0"/>
                <w:sz w:val="21"/>
                <w:szCs w:val="21"/>
              </w:rPr>
              <w:t>面</w:t>
            </w:r>
            <w:r>
              <w:rPr>
                <w:rFonts w:ascii="Times New Roman" w:hAnsi="Times New Roman"/>
                <w:kern w:val="0"/>
                <w:sz w:val="21"/>
                <w:szCs w:val="21"/>
              </w:rPr>
              <w:t xml:space="preserve"> </w:t>
            </w:r>
            <w:r>
              <w:rPr>
                <w:rFonts w:cs="宋体" w:hint="eastAsia"/>
                <w:kern w:val="0"/>
                <w:sz w:val="21"/>
                <w:szCs w:val="21"/>
              </w:rPr>
              <w:t>积（</w:t>
            </w:r>
            <w:r>
              <w:rPr>
                <w:rFonts w:ascii="Times New Roman" w:hAnsi="Times New Roman"/>
                <w:kern w:val="0"/>
                <w:sz w:val="21"/>
                <w:szCs w:val="21"/>
              </w:rPr>
              <w:t>km</w:t>
            </w:r>
            <w:r>
              <w:rPr>
                <w:rFonts w:ascii="Times New Roman" w:hAnsi="Times New Roman"/>
                <w:kern w:val="0"/>
                <w:sz w:val="21"/>
                <w:szCs w:val="21"/>
                <w:vertAlign w:val="superscript"/>
              </w:rPr>
              <w:t>2</w:t>
            </w:r>
            <w:r>
              <w:rPr>
                <w:rFonts w:cs="宋体" w:hint="eastAsia"/>
                <w:kern w:val="0"/>
                <w:sz w:val="21"/>
                <w:szCs w:val="21"/>
              </w:rPr>
              <w:t>）</w:t>
            </w:r>
          </w:p>
        </w:tc>
        <w:tc>
          <w:tcPr>
            <w:tcW w:w="569" w:type="pct"/>
            <w:shd w:val="clear" w:color="auto" w:fill="auto"/>
            <w:vAlign w:val="center"/>
          </w:tcPr>
          <w:p w14:paraId="2F8DE0DC" w14:textId="77777777" w:rsidR="009C353B" w:rsidRDefault="00000000">
            <w:pPr>
              <w:widowControl/>
              <w:jc w:val="center"/>
              <w:rPr>
                <w:rFonts w:cs="宋体" w:hint="eastAsia"/>
                <w:kern w:val="0"/>
                <w:sz w:val="21"/>
                <w:szCs w:val="21"/>
              </w:rPr>
            </w:pPr>
            <w:r>
              <w:rPr>
                <w:rFonts w:cs="宋体" w:hint="eastAsia"/>
                <w:kern w:val="0"/>
                <w:sz w:val="21"/>
                <w:szCs w:val="21"/>
              </w:rPr>
              <w:t>占评价区比例（</w:t>
            </w:r>
            <w:r>
              <w:rPr>
                <w:rFonts w:ascii="Times New Roman" w:hAnsi="Times New Roman"/>
                <w:kern w:val="0"/>
                <w:sz w:val="21"/>
                <w:szCs w:val="21"/>
              </w:rPr>
              <w:t>%</w:t>
            </w:r>
            <w:r>
              <w:rPr>
                <w:rFonts w:cs="宋体" w:hint="eastAsia"/>
                <w:kern w:val="0"/>
                <w:sz w:val="21"/>
                <w:szCs w:val="21"/>
              </w:rPr>
              <w:t>）</w:t>
            </w:r>
          </w:p>
        </w:tc>
      </w:tr>
      <w:tr w:rsidR="009C353B" w14:paraId="3E397A87" w14:textId="77777777">
        <w:trPr>
          <w:trHeight w:val="300"/>
        </w:trPr>
        <w:tc>
          <w:tcPr>
            <w:tcW w:w="1005" w:type="pct"/>
            <w:shd w:val="clear" w:color="auto" w:fill="auto"/>
            <w:vAlign w:val="center"/>
          </w:tcPr>
          <w:p w14:paraId="78330A34" w14:textId="77777777" w:rsidR="009C353B" w:rsidRDefault="00000000">
            <w:pPr>
              <w:widowControl/>
              <w:jc w:val="center"/>
              <w:rPr>
                <w:rFonts w:cs="宋体" w:hint="eastAsia"/>
                <w:kern w:val="0"/>
                <w:sz w:val="21"/>
                <w:szCs w:val="21"/>
              </w:rPr>
            </w:pPr>
            <w:r>
              <w:rPr>
                <w:rFonts w:cs="宋体" w:hint="eastAsia"/>
                <w:kern w:val="0"/>
                <w:sz w:val="21"/>
                <w:szCs w:val="21"/>
              </w:rPr>
              <w:t>微度侵蚀</w:t>
            </w:r>
          </w:p>
        </w:tc>
        <w:tc>
          <w:tcPr>
            <w:tcW w:w="707" w:type="pct"/>
            <w:shd w:val="clear" w:color="auto" w:fill="auto"/>
            <w:vAlign w:val="center"/>
          </w:tcPr>
          <w:p w14:paraId="591B70FD"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16.89 </w:t>
            </w:r>
          </w:p>
        </w:tc>
        <w:tc>
          <w:tcPr>
            <w:tcW w:w="702" w:type="pct"/>
            <w:shd w:val="clear" w:color="auto" w:fill="auto"/>
            <w:vAlign w:val="center"/>
          </w:tcPr>
          <w:p w14:paraId="0CCA7CBE"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5.38 </w:t>
            </w:r>
          </w:p>
        </w:tc>
        <w:tc>
          <w:tcPr>
            <w:tcW w:w="702" w:type="pct"/>
            <w:shd w:val="clear" w:color="auto" w:fill="auto"/>
            <w:vAlign w:val="center"/>
          </w:tcPr>
          <w:p w14:paraId="4F204EE7"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44.54 </w:t>
            </w:r>
          </w:p>
        </w:tc>
        <w:tc>
          <w:tcPr>
            <w:tcW w:w="748" w:type="pct"/>
            <w:shd w:val="clear" w:color="auto" w:fill="auto"/>
            <w:vAlign w:val="center"/>
          </w:tcPr>
          <w:p w14:paraId="257FD181"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14.18 </w:t>
            </w:r>
          </w:p>
        </w:tc>
        <w:tc>
          <w:tcPr>
            <w:tcW w:w="569" w:type="pct"/>
            <w:shd w:val="clear" w:color="auto" w:fill="auto"/>
            <w:vAlign w:val="center"/>
          </w:tcPr>
          <w:p w14:paraId="339516AF"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27.65 </w:t>
            </w:r>
          </w:p>
        </w:tc>
        <w:tc>
          <w:tcPr>
            <w:tcW w:w="569" w:type="pct"/>
            <w:shd w:val="clear" w:color="auto" w:fill="auto"/>
            <w:vAlign w:val="center"/>
          </w:tcPr>
          <w:p w14:paraId="799402B9"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8.80 </w:t>
            </w:r>
          </w:p>
        </w:tc>
      </w:tr>
      <w:tr w:rsidR="009C353B" w14:paraId="025FCE4A" w14:textId="77777777">
        <w:trPr>
          <w:trHeight w:val="300"/>
        </w:trPr>
        <w:tc>
          <w:tcPr>
            <w:tcW w:w="1005" w:type="pct"/>
            <w:shd w:val="clear" w:color="auto" w:fill="auto"/>
            <w:vAlign w:val="center"/>
          </w:tcPr>
          <w:p w14:paraId="3E1E68AE" w14:textId="77777777" w:rsidR="009C353B" w:rsidRDefault="00000000">
            <w:pPr>
              <w:widowControl/>
              <w:jc w:val="center"/>
              <w:rPr>
                <w:rFonts w:cs="宋体" w:hint="eastAsia"/>
                <w:kern w:val="0"/>
                <w:sz w:val="21"/>
                <w:szCs w:val="21"/>
              </w:rPr>
            </w:pPr>
            <w:r>
              <w:rPr>
                <w:rFonts w:cs="宋体" w:hint="eastAsia"/>
                <w:kern w:val="0"/>
                <w:sz w:val="21"/>
                <w:szCs w:val="21"/>
              </w:rPr>
              <w:t>轻度侵蚀</w:t>
            </w:r>
          </w:p>
        </w:tc>
        <w:tc>
          <w:tcPr>
            <w:tcW w:w="707" w:type="pct"/>
            <w:shd w:val="clear" w:color="auto" w:fill="auto"/>
            <w:vAlign w:val="center"/>
          </w:tcPr>
          <w:p w14:paraId="2FA2BAAC"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16.62 </w:t>
            </w:r>
          </w:p>
        </w:tc>
        <w:tc>
          <w:tcPr>
            <w:tcW w:w="702" w:type="pct"/>
            <w:shd w:val="clear" w:color="auto" w:fill="auto"/>
            <w:vAlign w:val="center"/>
          </w:tcPr>
          <w:p w14:paraId="10E01BB3"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5.29 </w:t>
            </w:r>
          </w:p>
        </w:tc>
        <w:tc>
          <w:tcPr>
            <w:tcW w:w="702" w:type="pct"/>
            <w:shd w:val="clear" w:color="auto" w:fill="auto"/>
            <w:vAlign w:val="center"/>
          </w:tcPr>
          <w:p w14:paraId="009352E3"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38.60 </w:t>
            </w:r>
          </w:p>
        </w:tc>
        <w:tc>
          <w:tcPr>
            <w:tcW w:w="748" w:type="pct"/>
            <w:shd w:val="clear" w:color="auto" w:fill="auto"/>
            <w:vAlign w:val="center"/>
          </w:tcPr>
          <w:p w14:paraId="2EDF6C10"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12.29 </w:t>
            </w:r>
          </w:p>
        </w:tc>
        <w:tc>
          <w:tcPr>
            <w:tcW w:w="569" w:type="pct"/>
            <w:shd w:val="clear" w:color="auto" w:fill="auto"/>
            <w:vAlign w:val="center"/>
          </w:tcPr>
          <w:p w14:paraId="4C4171FD"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21.98 </w:t>
            </w:r>
          </w:p>
        </w:tc>
        <w:tc>
          <w:tcPr>
            <w:tcW w:w="569" w:type="pct"/>
            <w:shd w:val="clear" w:color="auto" w:fill="auto"/>
            <w:vAlign w:val="center"/>
          </w:tcPr>
          <w:p w14:paraId="05BEC387"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7.00 </w:t>
            </w:r>
          </w:p>
        </w:tc>
      </w:tr>
      <w:tr w:rsidR="009C353B" w14:paraId="764277B0" w14:textId="77777777">
        <w:trPr>
          <w:trHeight w:val="300"/>
        </w:trPr>
        <w:tc>
          <w:tcPr>
            <w:tcW w:w="1005" w:type="pct"/>
            <w:shd w:val="clear" w:color="auto" w:fill="auto"/>
            <w:vAlign w:val="center"/>
          </w:tcPr>
          <w:p w14:paraId="3079A1DC" w14:textId="77777777" w:rsidR="009C353B" w:rsidRDefault="00000000">
            <w:pPr>
              <w:widowControl/>
              <w:jc w:val="center"/>
              <w:rPr>
                <w:rFonts w:cs="宋体" w:hint="eastAsia"/>
                <w:kern w:val="0"/>
                <w:sz w:val="21"/>
                <w:szCs w:val="21"/>
              </w:rPr>
            </w:pPr>
            <w:r>
              <w:rPr>
                <w:rFonts w:cs="宋体" w:hint="eastAsia"/>
                <w:kern w:val="0"/>
                <w:sz w:val="21"/>
                <w:szCs w:val="21"/>
              </w:rPr>
              <w:t>中度侵蚀</w:t>
            </w:r>
          </w:p>
        </w:tc>
        <w:tc>
          <w:tcPr>
            <w:tcW w:w="707" w:type="pct"/>
            <w:shd w:val="clear" w:color="auto" w:fill="auto"/>
            <w:vAlign w:val="center"/>
          </w:tcPr>
          <w:p w14:paraId="45433882"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227.41 </w:t>
            </w:r>
          </w:p>
        </w:tc>
        <w:tc>
          <w:tcPr>
            <w:tcW w:w="702" w:type="pct"/>
            <w:shd w:val="clear" w:color="auto" w:fill="auto"/>
            <w:vAlign w:val="center"/>
          </w:tcPr>
          <w:p w14:paraId="3EDBBDED"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72.40 </w:t>
            </w:r>
          </w:p>
        </w:tc>
        <w:tc>
          <w:tcPr>
            <w:tcW w:w="702" w:type="pct"/>
            <w:shd w:val="clear" w:color="auto" w:fill="auto"/>
            <w:vAlign w:val="center"/>
          </w:tcPr>
          <w:p w14:paraId="0F11F9C1"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202.38 </w:t>
            </w:r>
          </w:p>
        </w:tc>
        <w:tc>
          <w:tcPr>
            <w:tcW w:w="748" w:type="pct"/>
            <w:shd w:val="clear" w:color="auto" w:fill="auto"/>
            <w:vAlign w:val="center"/>
          </w:tcPr>
          <w:p w14:paraId="3FA70D9F"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64.43 </w:t>
            </w:r>
          </w:p>
        </w:tc>
        <w:tc>
          <w:tcPr>
            <w:tcW w:w="569" w:type="pct"/>
            <w:shd w:val="clear" w:color="auto" w:fill="auto"/>
            <w:vAlign w:val="center"/>
          </w:tcPr>
          <w:p w14:paraId="06C2628F"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-25.03 </w:t>
            </w:r>
          </w:p>
        </w:tc>
        <w:tc>
          <w:tcPr>
            <w:tcW w:w="569" w:type="pct"/>
            <w:shd w:val="clear" w:color="auto" w:fill="auto"/>
            <w:vAlign w:val="center"/>
          </w:tcPr>
          <w:p w14:paraId="6A4BBA99"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-7.97 </w:t>
            </w:r>
          </w:p>
        </w:tc>
      </w:tr>
      <w:tr w:rsidR="009C353B" w14:paraId="2B8CEB1C" w14:textId="77777777">
        <w:trPr>
          <w:trHeight w:val="300"/>
        </w:trPr>
        <w:tc>
          <w:tcPr>
            <w:tcW w:w="1005" w:type="pct"/>
            <w:shd w:val="clear" w:color="auto" w:fill="auto"/>
            <w:vAlign w:val="center"/>
          </w:tcPr>
          <w:p w14:paraId="6EF6A1A8" w14:textId="77777777" w:rsidR="009C353B" w:rsidRDefault="00000000">
            <w:pPr>
              <w:widowControl/>
              <w:jc w:val="center"/>
              <w:rPr>
                <w:rFonts w:cs="宋体" w:hint="eastAsia"/>
                <w:kern w:val="0"/>
                <w:sz w:val="21"/>
                <w:szCs w:val="21"/>
              </w:rPr>
            </w:pPr>
            <w:r>
              <w:rPr>
                <w:rFonts w:cs="宋体" w:hint="eastAsia"/>
                <w:kern w:val="0"/>
                <w:sz w:val="21"/>
                <w:szCs w:val="21"/>
              </w:rPr>
              <w:t>强烈侵蚀</w:t>
            </w:r>
          </w:p>
        </w:tc>
        <w:tc>
          <w:tcPr>
            <w:tcW w:w="707" w:type="pct"/>
            <w:shd w:val="clear" w:color="auto" w:fill="auto"/>
            <w:vAlign w:val="center"/>
          </w:tcPr>
          <w:p w14:paraId="06A49AA7"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44.83 </w:t>
            </w:r>
          </w:p>
        </w:tc>
        <w:tc>
          <w:tcPr>
            <w:tcW w:w="702" w:type="pct"/>
            <w:shd w:val="clear" w:color="auto" w:fill="auto"/>
            <w:vAlign w:val="center"/>
          </w:tcPr>
          <w:p w14:paraId="73CDAC71"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14.27 </w:t>
            </w:r>
          </w:p>
        </w:tc>
        <w:tc>
          <w:tcPr>
            <w:tcW w:w="702" w:type="pct"/>
            <w:shd w:val="clear" w:color="auto" w:fill="auto"/>
            <w:vAlign w:val="center"/>
          </w:tcPr>
          <w:p w14:paraId="345D5899"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15.52 </w:t>
            </w:r>
          </w:p>
        </w:tc>
        <w:tc>
          <w:tcPr>
            <w:tcW w:w="748" w:type="pct"/>
            <w:shd w:val="clear" w:color="auto" w:fill="auto"/>
            <w:vAlign w:val="center"/>
          </w:tcPr>
          <w:p w14:paraId="7C1CAEA2"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4.94 </w:t>
            </w:r>
          </w:p>
        </w:tc>
        <w:tc>
          <w:tcPr>
            <w:tcW w:w="569" w:type="pct"/>
            <w:shd w:val="clear" w:color="auto" w:fill="auto"/>
            <w:vAlign w:val="center"/>
          </w:tcPr>
          <w:p w14:paraId="736480DF"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-29.31 </w:t>
            </w:r>
          </w:p>
        </w:tc>
        <w:tc>
          <w:tcPr>
            <w:tcW w:w="569" w:type="pct"/>
            <w:shd w:val="clear" w:color="auto" w:fill="auto"/>
            <w:vAlign w:val="center"/>
          </w:tcPr>
          <w:p w14:paraId="71B0ED4F"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-9.33 </w:t>
            </w:r>
          </w:p>
        </w:tc>
      </w:tr>
      <w:tr w:rsidR="009C353B" w14:paraId="503DC690" w14:textId="77777777">
        <w:trPr>
          <w:trHeight w:val="300"/>
        </w:trPr>
        <w:tc>
          <w:tcPr>
            <w:tcW w:w="1005" w:type="pct"/>
            <w:shd w:val="clear" w:color="auto" w:fill="auto"/>
            <w:vAlign w:val="center"/>
          </w:tcPr>
          <w:p w14:paraId="58244AF1" w14:textId="77777777" w:rsidR="009C353B" w:rsidRDefault="00000000">
            <w:pPr>
              <w:widowControl/>
              <w:jc w:val="center"/>
              <w:rPr>
                <w:rFonts w:cs="宋体" w:hint="eastAsia"/>
                <w:kern w:val="0"/>
                <w:sz w:val="21"/>
                <w:szCs w:val="21"/>
              </w:rPr>
            </w:pPr>
            <w:r>
              <w:rPr>
                <w:rFonts w:cs="宋体" w:hint="eastAsia"/>
                <w:kern w:val="0"/>
                <w:sz w:val="21"/>
                <w:szCs w:val="21"/>
              </w:rPr>
              <w:t>极强烈侵蚀</w:t>
            </w:r>
          </w:p>
        </w:tc>
        <w:tc>
          <w:tcPr>
            <w:tcW w:w="707" w:type="pct"/>
            <w:shd w:val="clear" w:color="auto" w:fill="auto"/>
            <w:vAlign w:val="center"/>
          </w:tcPr>
          <w:p w14:paraId="035BDB1E"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8.35 </w:t>
            </w:r>
          </w:p>
        </w:tc>
        <w:tc>
          <w:tcPr>
            <w:tcW w:w="702" w:type="pct"/>
            <w:shd w:val="clear" w:color="auto" w:fill="auto"/>
            <w:vAlign w:val="center"/>
          </w:tcPr>
          <w:p w14:paraId="75F1C006"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2.66 </w:t>
            </w:r>
          </w:p>
        </w:tc>
        <w:tc>
          <w:tcPr>
            <w:tcW w:w="702" w:type="pct"/>
            <w:shd w:val="clear" w:color="auto" w:fill="auto"/>
            <w:vAlign w:val="center"/>
          </w:tcPr>
          <w:p w14:paraId="566093E0"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13.06 </w:t>
            </w:r>
          </w:p>
        </w:tc>
        <w:tc>
          <w:tcPr>
            <w:tcW w:w="748" w:type="pct"/>
            <w:shd w:val="clear" w:color="auto" w:fill="auto"/>
            <w:vAlign w:val="center"/>
          </w:tcPr>
          <w:p w14:paraId="5215CF37"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4.16 </w:t>
            </w:r>
          </w:p>
        </w:tc>
        <w:tc>
          <w:tcPr>
            <w:tcW w:w="569" w:type="pct"/>
            <w:shd w:val="clear" w:color="auto" w:fill="auto"/>
            <w:vAlign w:val="center"/>
          </w:tcPr>
          <w:p w14:paraId="29BB5ED4"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4.71 </w:t>
            </w:r>
          </w:p>
        </w:tc>
        <w:tc>
          <w:tcPr>
            <w:tcW w:w="569" w:type="pct"/>
            <w:shd w:val="clear" w:color="auto" w:fill="auto"/>
            <w:vAlign w:val="center"/>
          </w:tcPr>
          <w:p w14:paraId="1431A96F"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1.50 </w:t>
            </w:r>
          </w:p>
        </w:tc>
      </w:tr>
      <w:tr w:rsidR="009C353B" w14:paraId="43F723B8" w14:textId="77777777">
        <w:trPr>
          <w:trHeight w:val="300"/>
        </w:trPr>
        <w:tc>
          <w:tcPr>
            <w:tcW w:w="1005" w:type="pct"/>
            <w:shd w:val="clear" w:color="auto" w:fill="auto"/>
            <w:vAlign w:val="center"/>
          </w:tcPr>
          <w:p w14:paraId="6CF767D7" w14:textId="77777777" w:rsidR="009C353B" w:rsidRDefault="00000000">
            <w:pPr>
              <w:widowControl/>
              <w:jc w:val="center"/>
              <w:rPr>
                <w:rFonts w:cs="宋体" w:hint="eastAsia"/>
                <w:kern w:val="0"/>
                <w:sz w:val="21"/>
                <w:szCs w:val="21"/>
              </w:rPr>
            </w:pPr>
            <w:r>
              <w:rPr>
                <w:rFonts w:cs="宋体" w:hint="eastAsia"/>
                <w:kern w:val="0"/>
                <w:sz w:val="21"/>
                <w:szCs w:val="21"/>
              </w:rPr>
              <w:t>共计</w:t>
            </w:r>
          </w:p>
        </w:tc>
        <w:tc>
          <w:tcPr>
            <w:tcW w:w="707" w:type="pct"/>
            <w:shd w:val="clear" w:color="auto" w:fill="auto"/>
            <w:vAlign w:val="center"/>
          </w:tcPr>
          <w:p w14:paraId="6A5781AA"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314.10 </w:t>
            </w:r>
          </w:p>
        </w:tc>
        <w:tc>
          <w:tcPr>
            <w:tcW w:w="702" w:type="pct"/>
            <w:shd w:val="clear" w:color="auto" w:fill="auto"/>
            <w:vAlign w:val="center"/>
          </w:tcPr>
          <w:p w14:paraId="3A163997"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100.00 </w:t>
            </w:r>
          </w:p>
        </w:tc>
        <w:tc>
          <w:tcPr>
            <w:tcW w:w="702" w:type="pct"/>
            <w:shd w:val="clear" w:color="auto" w:fill="auto"/>
            <w:vAlign w:val="center"/>
          </w:tcPr>
          <w:p w14:paraId="01AC1FBD"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314.10 </w:t>
            </w:r>
          </w:p>
        </w:tc>
        <w:tc>
          <w:tcPr>
            <w:tcW w:w="748" w:type="pct"/>
            <w:shd w:val="clear" w:color="auto" w:fill="auto"/>
            <w:vAlign w:val="center"/>
          </w:tcPr>
          <w:p w14:paraId="434A4CE2"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 xml:space="preserve">100.00 </w:t>
            </w:r>
          </w:p>
        </w:tc>
        <w:tc>
          <w:tcPr>
            <w:tcW w:w="569" w:type="pct"/>
            <w:shd w:val="clear" w:color="auto" w:fill="auto"/>
            <w:vAlign w:val="center"/>
          </w:tcPr>
          <w:p w14:paraId="14744EED"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w:t>
            </w:r>
          </w:p>
        </w:tc>
        <w:tc>
          <w:tcPr>
            <w:tcW w:w="569" w:type="pct"/>
            <w:shd w:val="clear" w:color="auto" w:fill="auto"/>
            <w:vAlign w:val="center"/>
          </w:tcPr>
          <w:p w14:paraId="4D0495E4" w14:textId="77777777" w:rsidR="009C353B" w:rsidRDefault="00000000">
            <w:pPr>
              <w:widowControl/>
              <w:jc w:val="center"/>
              <w:rPr>
                <w:rFonts w:ascii="Times New Roman" w:eastAsia="等线" w:hAnsi="Times New Roman"/>
                <w:kern w:val="0"/>
                <w:sz w:val="21"/>
                <w:szCs w:val="21"/>
              </w:rPr>
            </w:pPr>
            <w:r>
              <w:rPr>
                <w:rFonts w:ascii="Times New Roman" w:eastAsia="等线" w:hAnsi="Times New Roman"/>
                <w:kern w:val="0"/>
                <w:sz w:val="21"/>
                <w:szCs w:val="21"/>
              </w:rPr>
              <w:t>——</w:t>
            </w:r>
          </w:p>
        </w:tc>
      </w:tr>
      <w:bookmarkEnd w:id="202"/>
      <w:bookmarkEnd w:id="203"/>
      <w:bookmarkEnd w:id="204"/>
      <w:bookmarkEnd w:id="205"/>
      <w:bookmarkEnd w:id="206"/>
    </w:tbl>
    <w:p w14:paraId="7B222627" w14:textId="77777777" w:rsidR="009C353B" w:rsidRDefault="009C353B">
      <w:pPr>
        <w:spacing w:line="529" w:lineRule="exact"/>
        <w:ind w:firstLine="482"/>
        <w:jc w:val="center"/>
        <w:rPr>
          <w:rFonts w:ascii="Times New Roman" w:hAnsi="Times New Roman"/>
          <w:b/>
          <w:kern w:val="24"/>
        </w:rPr>
      </w:pPr>
    </w:p>
    <w:p w14:paraId="681E9DFA" w14:textId="77777777" w:rsidR="009C353B" w:rsidRDefault="009C353B">
      <w:pPr>
        <w:spacing w:line="529" w:lineRule="exact"/>
        <w:ind w:firstLine="482"/>
        <w:jc w:val="center"/>
        <w:rPr>
          <w:rFonts w:ascii="Times New Roman" w:hAnsi="Times New Roman"/>
          <w:b/>
          <w:kern w:val="24"/>
        </w:rPr>
      </w:pPr>
    </w:p>
    <w:p w14:paraId="799F6ABD" w14:textId="77777777" w:rsidR="009C353B" w:rsidRDefault="009C353B">
      <w:pPr>
        <w:spacing w:line="529" w:lineRule="exact"/>
        <w:ind w:firstLine="482"/>
        <w:jc w:val="center"/>
        <w:rPr>
          <w:rFonts w:ascii="Times New Roman" w:hAnsi="Times New Roman"/>
          <w:b/>
          <w:kern w:val="24"/>
        </w:rPr>
      </w:pPr>
    </w:p>
    <w:p w14:paraId="73CEDC94" w14:textId="77777777" w:rsidR="009C353B" w:rsidRDefault="009C353B">
      <w:pPr>
        <w:spacing w:line="529" w:lineRule="exact"/>
        <w:ind w:firstLine="482"/>
        <w:jc w:val="center"/>
        <w:rPr>
          <w:rFonts w:ascii="Times New Roman" w:hAnsi="Times New Roman"/>
          <w:b/>
          <w:kern w:val="24"/>
        </w:rPr>
      </w:pPr>
    </w:p>
    <w:p w14:paraId="61F106C9" w14:textId="77777777" w:rsidR="009C353B" w:rsidRDefault="00000000">
      <w:pPr>
        <w:spacing w:line="529" w:lineRule="exact"/>
        <w:jc w:val="center"/>
        <w:rPr>
          <w:rFonts w:ascii="Times New Roman" w:hAnsi="Times New Roman"/>
          <w:b/>
          <w:kern w:val="24"/>
        </w:rPr>
      </w:pPr>
      <w:r>
        <w:rPr>
          <w:rFonts w:ascii="Times New Roman" w:hAnsi="Times New Roman" w:hint="eastAsia"/>
          <w:b/>
          <w:kern w:val="24"/>
        </w:rPr>
        <w:t>2004-2010</w:t>
      </w:r>
      <w:r>
        <w:rPr>
          <w:rFonts w:ascii="Times New Roman" w:hAnsi="Times New Roman"/>
          <w:b/>
          <w:kern w:val="24"/>
        </w:rPr>
        <w:t>年</w:t>
      </w:r>
      <w:r>
        <w:rPr>
          <w:rFonts w:ascii="Times New Roman" w:hAnsi="Times New Roman" w:hint="eastAsia"/>
          <w:b/>
          <w:kern w:val="24"/>
        </w:rPr>
        <w:t>间矿</w:t>
      </w:r>
      <w:r>
        <w:rPr>
          <w:rFonts w:ascii="Times New Roman" w:hAnsi="Times New Roman"/>
          <w:b/>
          <w:kern w:val="24"/>
        </w:rPr>
        <w:t>区土壤侵蚀变化状况</w:t>
      </w:r>
    </w:p>
    <w:p w14:paraId="769E31F2" w14:textId="77777777" w:rsidR="009C353B" w:rsidRDefault="00000000">
      <w:pPr>
        <w:widowControl/>
        <w:adjustRightInd w:val="0"/>
        <w:snapToGrid w:val="0"/>
        <w:spacing w:line="240" w:lineRule="atLeast"/>
        <w:outlineLvl w:val="4"/>
        <w:rPr>
          <w:rFonts w:ascii="Times New Roman" w:hAnsi="Times New Roman"/>
          <w:kern w:val="0"/>
        </w:rPr>
      </w:pPr>
      <w:r>
        <w:rPr>
          <w:rFonts w:ascii="Times New Roman" w:hAnsi="Times New Roman"/>
          <w:kern w:val="0"/>
        </w:rPr>
        <w:t>表</w:t>
      </w:r>
      <w:r>
        <w:rPr>
          <w:rFonts w:ascii="Times New Roman" w:hAnsi="Times New Roman"/>
          <w:kern w:val="0"/>
        </w:rPr>
        <w:t>4.</w:t>
      </w:r>
      <w:r>
        <w:rPr>
          <w:rFonts w:ascii="Times New Roman" w:hAnsi="Times New Roman" w:hint="eastAsia"/>
          <w:kern w:val="0"/>
        </w:rPr>
        <w:t>5-12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139"/>
        <w:gridCol w:w="1256"/>
        <w:gridCol w:w="1371"/>
        <w:gridCol w:w="1276"/>
        <w:gridCol w:w="1135"/>
        <w:gridCol w:w="1241"/>
      </w:tblGrid>
      <w:tr w:rsidR="009C353B" w14:paraId="798ECD4F" w14:textId="77777777">
        <w:trPr>
          <w:trHeight w:val="300"/>
          <w:tblHeader/>
          <w:jc w:val="center"/>
        </w:trPr>
        <w:tc>
          <w:tcPr>
            <w:tcW w:w="1006" w:type="pct"/>
            <w:vMerge w:val="restart"/>
            <w:shd w:val="clear" w:color="auto" w:fill="auto"/>
            <w:vAlign w:val="center"/>
          </w:tcPr>
          <w:p w14:paraId="2DEF047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土壤侵蚀强度</w:t>
            </w:r>
          </w:p>
        </w:tc>
        <w:tc>
          <w:tcPr>
            <w:tcW w:w="1289" w:type="pct"/>
            <w:gridSpan w:val="2"/>
            <w:shd w:val="clear" w:color="auto" w:fill="auto"/>
            <w:vAlign w:val="center"/>
          </w:tcPr>
          <w:p w14:paraId="458AB39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2004</w:t>
            </w:r>
            <w:r>
              <w:rPr>
                <w:rFonts w:ascii="Times New Roman" w:hAnsi="Times New Roman" w:hint="eastAsia"/>
                <w:sz w:val="21"/>
                <w:szCs w:val="21"/>
              </w:rPr>
              <w:t>年</w:t>
            </w:r>
          </w:p>
        </w:tc>
        <w:tc>
          <w:tcPr>
            <w:tcW w:w="1425" w:type="pct"/>
            <w:gridSpan w:val="2"/>
            <w:shd w:val="clear" w:color="auto" w:fill="auto"/>
            <w:vAlign w:val="center"/>
          </w:tcPr>
          <w:p w14:paraId="7517FBA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2010</w:t>
            </w:r>
            <w:r>
              <w:rPr>
                <w:rFonts w:ascii="Times New Roman" w:hAnsi="Times New Roman" w:hint="eastAsia"/>
                <w:sz w:val="21"/>
                <w:szCs w:val="21"/>
              </w:rPr>
              <w:t>年</w:t>
            </w:r>
          </w:p>
        </w:tc>
        <w:tc>
          <w:tcPr>
            <w:tcW w:w="1279" w:type="pct"/>
            <w:gridSpan w:val="2"/>
            <w:shd w:val="clear" w:color="auto" w:fill="auto"/>
            <w:vAlign w:val="center"/>
          </w:tcPr>
          <w:p w14:paraId="341DE2B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变化情况</w:t>
            </w:r>
          </w:p>
        </w:tc>
      </w:tr>
      <w:tr w:rsidR="009C353B" w14:paraId="5C0B72EE" w14:textId="77777777">
        <w:trPr>
          <w:trHeight w:val="795"/>
          <w:tblHeader/>
          <w:jc w:val="center"/>
        </w:trPr>
        <w:tc>
          <w:tcPr>
            <w:tcW w:w="1006" w:type="pct"/>
            <w:vMerge/>
            <w:vAlign w:val="center"/>
          </w:tcPr>
          <w:p w14:paraId="76673932" w14:textId="77777777" w:rsidR="009C353B" w:rsidRDefault="009C353B">
            <w:pPr>
              <w:adjustRightInd w:val="0"/>
              <w:snapToGrid w:val="0"/>
              <w:spacing w:line="240" w:lineRule="atLeast"/>
              <w:jc w:val="center"/>
              <w:rPr>
                <w:rFonts w:ascii="Times New Roman" w:hAnsi="Times New Roman"/>
                <w:sz w:val="21"/>
                <w:szCs w:val="21"/>
              </w:rPr>
            </w:pPr>
          </w:p>
        </w:tc>
        <w:tc>
          <w:tcPr>
            <w:tcW w:w="613" w:type="pct"/>
            <w:shd w:val="clear" w:color="auto" w:fill="auto"/>
            <w:vAlign w:val="center"/>
          </w:tcPr>
          <w:p w14:paraId="710A29C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面</w:t>
            </w:r>
            <w:r>
              <w:rPr>
                <w:rFonts w:ascii="Times New Roman" w:hAnsi="Times New Roman"/>
                <w:sz w:val="21"/>
                <w:szCs w:val="21"/>
              </w:rPr>
              <w:t xml:space="preserve"> </w:t>
            </w:r>
            <w:r>
              <w:rPr>
                <w:rFonts w:ascii="Times New Roman" w:hAnsi="Times New Roman" w:hint="eastAsia"/>
                <w:sz w:val="21"/>
                <w:szCs w:val="21"/>
              </w:rPr>
              <w:t>积（</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hint="eastAsia"/>
                <w:sz w:val="21"/>
                <w:szCs w:val="21"/>
              </w:rPr>
              <w:t>）</w:t>
            </w:r>
          </w:p>
        </w:tc>
        <w:tc>
          <w:tcPr>
            <w:tcW w:w="676" w:type="pct"/>
            <w:shd w:val="clear" w:color="auto" w:fill="auto"/>
            <w:vAlign w:val="center"/>
          </w:tcPr>
          <w:p w14:paraId="2DF17F7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占评价区比例（</w:t>
            </w:r>
            <w:r>
              <w:rPr>
                <w:rFonts w:ascii="Times New Roman" w:hAnsi="Times New Roman"/>
                <w:sz w:val="21"/>
                <w:szCs w:val="21"/>
              </w:rPr>
              <w:t>%</w:t>
            </w:r>
            <w:r>
              <w:rPr>
                <w:rFonts w:ascii="Times New Roman" w:hAnsi="Times New Roman" w:hint="eastAsia"/>
                <w:sz w:val="21"/>
                <w:szCs w:val="21"/>
              </w:rPr>
              <w:t>）</w:t>
            </w:r>
          </w:p>
        </w:tc>
        <w:tc>
          <w:tcPr>
            <w:tcW w:w="738" w:type="pct"/>
            <w:shd w:val="clear" w:color="auto" w:fill="auto"/>
            <w:vAlign w:val="center"/>
          </w:tcPr>
          <w:p w14:paraId="24B3359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面</w:t>
            </w:r>
            <w:r>
              <w:rPr>
                <w:rFonts w:ascii="Times New Roman" w:hAnsi="Times New Roman"/>
                <w:sz w:val="21"/>
                <w:szCs w:val="21"/>
              </w:rPr>
              <w:t xml:space="preserve"> </w:t>
            </w:r>
            <w:r>
              <w:rPr>
                <w:rFonts w:ascii="Times New Roman" w:hAnsi="Times New Roman" w:hint="eastAsia"/>
                <w:sz w:val="21"/>
                <w:szCs w:val="21"/>
              </w:rPr>
              <w:t>积（</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hint="eastAsia"/>
                <w:sz w:val="21"/>
                <w:szCs w:val="21"/>
              </w:rPr>
              <w:t>）</w:t>
            </w:r>
          </w:p>
        </w:tc>
        <w:tc>
          <w:tcPr>
            <w:tcW w:w="687" w:type="pct"/>
            <w:shd w:val="clear" w:color="auto" w:fill="auto"/>
            <w:vAlign w:val="center"/>
          </w:tcPr>
          <w:p w14:paraId="0A1CDC3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占评价区比例（</w:t>
            </w:r>
            <w:r>
              <w:rPr>
                <w:rFonts w:ascii="Times New Roman" w:hAnsi="Times New Roman"/>
                <w:sz w:val="21"/>
                <w:szCs w:val="21"/>
              </w:rPr>
              <w:t>%</w:t>
            </w:r>
            <w:r>
              <w:rPr>
                <w:rFonts w:ascii="Times New Roman" w:hAnsi="Times New Roman" w:hint="eastAsia"/>
                <w:sz w:val="21"/>
                <w:szCs w:val="21"/>
              </w:rPr>
              <w:t>）</w:t>
            </w:r>
          </w:p>
        </w:tc>
        <w:tc>
          <w:tcPr>
            <w:tcW w:w="611" w:type="pct"/>
            <w:shd w:val="clear" w:color="auto" w:fill="auto"/>
            <w:vAlign w:val="center"/>
          </w:tcPr>
          <w:p w14:paraId="103A1B4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面</w:t>
            </w:r>
            <w:r>
              <w:rPr>
                <w:rFonts w:ascii="Times New Roman" w:hAnsi="Times New Roman"/>
                <w:sz w:val="21"/>
                <w:szCs w:val="21"/>
              </w:rPr>
              <w:t xml:space="preserve"> </w:t>
            </w:r>
            <w:r>
              <w:rPr>
                <w:rFonts w:ascii="Times New Roman" w:hAnsi="Times New Roman" w:hint="eastAsia"/>
                <w:sz w:val="21"/>
                <w:szCs w:val="21"/>
              </w:rPr>
              <w:t>积（</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hint="eastAsia"/>
                <w:sz w:val="21"/>
                <w:szCs w:val="21"/>
              </w:rPr>
              <w:t>）</w:t>
            </w:r>
          </w:p>
        </w:tc>
        <w:tc>
          <w:tcPr>
            <w:tcW w:w="668" w:type="pct"/>
            <w:shd w:val="clear" w:color="auto" w:fill="auto"/>
            <w:vAlign w:val="center"/>
          </w:tcPr>
          <w:p w14:paraId="20363E9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占评价区比例（</w:t>
            </w:r>
            <w:r>
              <w:rPr>
                <w:rFonts w:ascii="Times New Roman" w:hAnsi="Times New Roman"/>
                <w:sz w:val="21"/>
                <w:szCs w:val="21"/>
              </w:rPr>
              <w:t>%</w:t>
            </w:r>
            <w:r>
              <w:rPr>
                <w:rFonts w:ascii="Times New Roman" w:hAnsi="Times New Roman" w:hint="eastAsia"/>
                <w:sz w:val="21"/>
                <w:szCs w:val="21"/>
              </w:rPr>
              <w:t>）</w:t>
            </w:r>
          </w:p>
        </w:tc>
      </w:tr>
      <w:tr w:rsidR="009C353B" w14:paraId="2F7FEAD3" w14:textId="77777777">
        <w:trPr>
          <w:trHeight w:val="300"/>
          <w:jc w:val="center"/>
        </w:trPr>
        <w:tc>
          <w:tcPr>
            <w:tcW w:w="1006" w:type="pct"/>
            <w:shd w:val="clear" w:color="auto" w:fill="auto"/>
            <w:vAlign w:val="center"/>
          </w:tcPr>
          <w:p w14:paraId="3E44F30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微度侵蚀</w:t>
            </w:r>
          </w:p>
        </w:tc>
        <w:tc>
          <w:tcPr>
            <w:tcW w:w="613" w:type="pct"/>
            <w:shd w:val="clear" w:color="auto" w:fill="auto"/>
            <w:vAlign w:val="center"/>
          </w:tcPr>
          <w:p w14:paraId="762BE97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2.10</w:t>
            </w:r>
          </w:p>
        </w:tc>
        <w:tc>
          <w:tcPr>
            <w:tcW w:w="676" w:type="pct"/>
            <w:shd w:val="clear" w:color="auto" w:fill="auto"/>
            <w:vAlign w:val="center"/>
          </w:tcPr>
          <w:p w14:paraId="0DA98F7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2.44</w:t>
            </w:r>
          </w:p>
        </w:tc>
        <w:tc>
          <w:tcPr>
            <w:tcW w:w="738" w:type="pct"/>
            <w:shd w:val="clear" w:color="auto" w:fill="auto"/>
            <w:vAlign w:val="center"/>
          </w:tcPr>
          <w:p w14:paraId="3CF0C7E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4.93</w:t>
            </w:r>
          </w:p>
        </w:tc>
        <w:tc>
          <w:tcPr>
            <w:tcW w:w="687" w:type="pct"/>
            <w:shd w:val="clear" w:color="auto" w:fill="auto"/>
            <w:vAlign w:val="center"/>
          </w:tcPr>
          <w:p w14:paraId="7C30D6C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5.73</w:t>
            </w:r>
          </w:p>
        </w:tc>
        <w:tc>
          <w:tcPr>
            <w:tcW w:w="611" w:type="pct"/>
            <w:shd w:val="clear" w:color="auto" w:fill="auto"/>
            <w:vAlign w:val="center"/>
          </w:tcPr>
          <w:p w14:paraId="78AD956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2.83</w:t>
            </w:r>
          </w:p>
        </w:tc>
        <w:tc>
          <w:tcPr>
            <w:tcW w:w="668" w:type="pct"/>
            <w:shd w:val="clear" w:color="auto" w:fill="auto"/>
            <w:vAlign w:val="center"/>
          </w:tcPr>
          <w:p w14:paraId="3649279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3.29</w:t>
            </w:r>
          </w:p>
        </w:tc>
      </w:tr>
      <w:tr w:rsidR="009C353B" w14:paraId="299C6D96" w14:textId="77777777">
        <w:trPr>
          <w:trHeight w:val="300"/>
          <w:jc w:val="center"/>
        </w:trPr>
        <w:tc>
          <w:tcPr>
            <w:tcW w:w="1006" w:type="pct"/>
            <w:shd w:val="clear" w:color="auto" w:fill="auto"/>
            <w:vAlign w:val="center"/>
          </w:tcPr>
          <w:p w14:paraId="596071E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轻度侵蚀</w:t>
            </w:r>
          </w:p>
        </w:tc>
        <w:tc>
          <w:tcPr>
            <w:tcW w:w="613" w:type="pct"/>
            <w:shd w:val="clear" w:color="auto" w:fill="auto"/>
            <w:vAlign w:val="center"/>
          </w:tcPr>
          <w:p w14:paraId="63FD745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1.59</w:t>
            </w:r>
          </w:p>
        </w:tc>
        <w:tc>
          <w:tcPr>
            <w:tcW w:w="676" w:type="pct"/>
            <w:shd w:val="clear" w:color="auto" w:fill="auto"/>
            <w:vAlign w:val="center"/>
          </w:tcPr>
          <w:p w14:paraId="0D642E6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1.84</w:t>
            </w:r>
          </w:p>
        </w:tc>
        <w:tc>
          <w:tcPr>
            <w:tcW w:w="738" w:type="pct"/>
            <w:shd w:val="clear" w:color="auto" w:fill="auto"/>
            <w:vAlign w:val="center"/>
          </w:tcPr>
          <w:p w14:paraId="575408B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5.24</w:t>
            </w:r>
          </w:p>
        </w:tc>
        <w:tc>
          <w:tcPr>
            <w:tcW w:w="687" w:type="pct"/>
            <w:shd w:val="clear" w:color="auto" w:fill="auto"/>
            <w:vAlign w:val="center"/>
          </w:tcPr>
          <w:p w14:paraId="4DE0422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6.09</w:t>
            </w:r>
          </w:p>
        </w:tc>
        <w:tc>
          <w:tcPr>
            <w:tcW w:w="611" w:type="pct"/>
            <w:shd w:val="clear" w:color="auto" w:fill="auto"/>
            <w:vAlign w:val="center"/>
          </w:tcPr>
          <w:p w14:paraId="2F55D56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3.65</w:t>
            </w:r>
          </w:p>
        </w:tc>
        <w:tc>
          <w:tcPr>
            <w:tcW w:w="668" w:type="pct"/>
            <w:shd w:val="clear" w:color="auto" w:fill="auto"/>
            <w:vAlign w:val="center"/>
          </w:tcPr>
          <w:p w14:paraId="0AE90CC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4.25</w:t>
            </w:r>
          </w:p>
        </w:tc>
      </w:tr>
      <w:tr w:rsidR="009C353B" w14:paraId="55983EF9" w14:textId="77777777">
        <w:trPr>
          <w:trHeight w:val="300"/>
          <w:jc w:val="center"/>
        </w:trPr>
        <w:tc>
          <w:tcPr>
            <w:tcW w:w="1006" w:type="pct"/>
            <w:shd w:val="clear" w:color="auto" w:fill="auto"/>
            <w:vAlign w:val="center"/>
          </w:tcPr>
          <w:p w14:paraId="7124E2E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中度侵蚀</w:t>
            </w:r>
          </w:p>
        </w:tc>
        <w:tc>
          <w:tcPr>
            <w:tcW w:w="613" w:type="pct"/>
            <w:shd w:val="clear" w:color="auto" w:fill="auto"/>
            <w:vAlign w:val="center"/>
          </w:tcPr>
          <w:p w14:paraId="2F22198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75.40</w:t>
            </w:r>
          </w:p>
        </w:tc>
        <w:tc>
          <w:tcPr>
            <w:tcW w:w="676" w:type="pct"/>
            <w:shd w:val="clear" w:color="auto" w:fill="auto"/>
            <w:vAlign w:val="center"/>
          </w:tcPr>
          <w:p w14:paraId="4A3A26E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87.67</w:t>
            </w:r>
          </w:p>
        </w:tc>
        <w:tc>
          <w:tcPr>
            <w:tcW w:w="738" w:type="pct"/>
            <w:shd w:val="clear" w:color="auto" w:fill="auto"/>
            <w:vAlign w:val="center"/>
          </w:tcPr>
          <w:p w14:paraId="33F299F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63.94</w:t>
            </w:r>
          </w:p>
        </w:tc>
        <w:tc>
          <w:tcPr>
            <w:tcW w:w="687" w:type="pct"/>
            <w:shd w:val="clear" w:color="auto" w:fill="auto"/>
            <w:vAlign w:val="center"/>
          </w:tcPr>
          <w:p w14:paraId="7D08BDB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74.34</w:t>
            </w:r>
          </w:p>
        </w:tc>
        <w:tc>
          <w:tcPr>
            <w:tcW w:w="611" w:type="pct"/>
            <w:shd w:val="clear" w:color="auto" w:fill="auto"/>
            <w:vAlign w:val="center"/>
          </w:tcPr>
          <w:p w14:paraId="536214E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-11.46</w:t>
            </w:r>
          </w:p>
        </w:tc>
        <w:tc>
          <w:tcPr>
            <w:tcW w:w="668" w:type="pct"/>
            <w:shd w:val="clear" w:color="auto" w:fill="auto"/>
            <w:vAlign w:val="center"/>
          </w:tcPr>
          <w:p w14:paraId="74C8C77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-13.32</w:t>
            </w:r>
          </w:p>
        </w:tc>
      </w:tr>
      <w:tr w:rsidR="009C353B" w14:paraId="68832669" w14:textId="77777777">
        <w:trPr>
          <w:trHeight w:val="300"/>
          <w:jc w:val="center"/>
        </w:trPr>
        <w:tc>
          <w:tcPr>
            <w:tcW w:w="1006" w:type="pct"/>
            <w:shd w:val="clear" w:color="auto" w:fill="auto"/>
            <w:vAlign w:val="center"/>
          </w:tcPr>
          <w:p w14:paraId="4CB4B94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强烈侵蚀</w:t>
            </w:r>
          </w:p>
        </w:tc>
        <w:tc>
          <w:tcPr>
            <w:tcW w:w="613" w:type="pct"/>
            <w:shd w:val="clear" w:color="auto" w:fill="auto"/>
            <w:vAlign w:val="center"/>
          </w:tcPr>
          <w:p w14:paraId="4C3515C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5.33</w:t>
            </w:r>
          </w:p>
        </w:tc>
        <w:tc>
          <w:tcPr>
            <w:tcW w:w="676" w:type="pct"/>
            <w:shd w:val="clear" w:color="auto" w:fill="auto"/>
            <w:vAlign w:val="center"/>
          </w:tcPr>
          <w:p w14:paraId="2B90B76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6.20</w:t>
            </w:r>
          </w:p>
        </w:tc>
        <w:tc>
          <w:tcPr>
            <w:tcW w:w="738" w:type="pct"/>
            <w:shd w:val="clear" w:color="auto" w:fill="auto"/>
            <w:vAlign w:val="center"/>
          </w:tcPr>
          <w:p w14:paraId="69D9A56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7.40</w:t>
            </w:r>
          </w:p>
        </w:tc>
        <w:tc>
          <w:tcPr>
            <w:tcW w:w="687" w:type="pct"/>
            <w:shd w:val="clear" w:color="auto" w:fill="auto"/>
            <w:vAlign w:val="center"/>
          </w:tcPr>
          <w:p w14:paraId="5DABC50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8.60</w:t>
            </w:r>
          </w:p>
        </w:tc>
        <w:tc>
          <w:tcPr>
            <w:tcW w:w="611" w:type="pct"/>
            <w:shd w:val="clear" w:color="auto" w:fill="auto"/>
            <w:vAlign w:val="center"/>
          </w:tcPr>
          <w:p w14:paraId="21B2582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2.07</w:t>
            </w:r>
          </w:p>
        </w:tc>
        <w:tc>
          <w:tcPr>
            <w:tcW w:w="668" w:type="pct"/>
            <w:shd w:val="clear" w:color="auto" w:fill="auto"/>
            <w:vAlign w:val="center"/>
          </w:tcPr>
          <w:p w14:paraId="51EC123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2.40</w:t>
            </w:r>
          </w:p>
        </w:tc>
      </w:tr>
      <w:tr w:rsidR="009C353B" w14:paraId="325523D7" w14:textId="77777777">
        <w:trPr>
          <w:trHeight w:val="300"/>
          <w:jc w:val="center"/>
        </w:trPr>
        <w:tc>
          <w:tcPr>
            <w:tcW w:w="1006" w:type="pct"/>
            <w:shd w:val="clear" w:color="auto" w:fill="auto"/>
            <w:vAlign w:val="center"/>
          </w:tcPr>
          <w:p w14:paraId="0A657BF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极强烈侵蚀</w:t>
            </w:r>
          </w:p>
        </w:tc>
        <w:tc>
          <w:tcPr>
            <w:tcW w:w="613" w:type="pct"/>
            <w:shd w:val="clear" w:color="auto" w:fill="auto"/>
            <w:vAlign w:val="center"/>
          </w:tcPr>
          <w:p w14:paraId="725162D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1.59</w:t>
            </w:r>
          </w:p>
        </w:tc>
        <w:tc>
          <w:tcPr>
            <w:tcW w:w="676" w:type="pct"/>
            <w:shd w:val="clear" w:color="auto" w:fill="auto"/>
            <w:vAlign w:val="center"/>
          </w:tcPr>
          <w:p w14:paraId="374976B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1.85</w:t>
            </w:r>
          </w:p>
        </w:tc>
        <w:tc>
          <w:tcPr>
            <w:tcW w:w="738" w:type="pct"/>
            <w:shd w:val="clear" w:color="auto" w:fill="auto"/>
            <w:vAlign w:val="center"/>
          </w:tcPr>
          <w:p w14:paraId="185D507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4.50</w:t>
            </w:r>
          </w:p>
        </w:tc>
        <w:tc>
          <w:tcPr>
            <w:tcW w:w="687" w:type="pct"/>
            <w:shd w:val="clear" w:color="auto" w:fill="auto"/>
            <w:vAlign w:val="center"/>
          </w:tcPr>
          <w:p w14:paraId="4EE5696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5.23</w:t>
            </w:r>
          </w:p>
        </w:tc>
        <w:tc>
          <w:tcPr>
            <w:tcW w:w="611" w:type="pct"/>
            <w:shd w:val="clear" w:color="auto" w:fill="auto"/>
            <w:vAlign w:val="center"/>
          </w:tcPr>
          <w:p w14:paraId="5208A14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2.91</w:t>
            </w:r>
          </w:p>
        </w:tc>
        <w:tc>
          <w:tcPr>
            <w:tcW w:w="668" w:type="pct"/>
            <w:shd w:val="clear" w:color="auto" w:fill="auto"/>
            <w:vAlign w:val="center"/>
          </w:tcPr>
          <w:p w14:paraId="301F0D7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3.38</w:t>
            </w:r>
          </w:p>
        </w:tc>
      </w:tr>
      <w:tr w:rsidR="009C353B" w14:paraId="2695C90D" w14:textId="77777777">
        <w:trPr>
          <w:trHeight w:val="300"/>
          <w:jc w:val="center"/>
        </w:trPr>
        <w:tc>
          <w:tcPr>
            <w:tcW w:w="1006" w:type="pct"/>
            <w:shd w:val="clear" w:color="auto" w:fill="auto"/>
            <w:vAlign w:val="center"/>
          </w:tcPr>
          <w:p w14:paraId="074CC82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共计</w:t>
            </w:r>
          </w:p>
        </w:tc>
        <w:tc>
          <w:tcPr>
            <w:tcW w:w="613" w:type="pct"/>
            <w:shd w:val="clear" w:color="auto" w:fill="auto"/>
            <w:vAlign w:val="center"/>
          </w:tcPr>
          <w:p w14:paraId="27A61F0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86.01</w:t>
            </w:r>
          </w:p>
        </w:tc>
        <w:tc>
          <w:tcPr>
            <w:tcW w:w="676" w:type="pct"/>
            <w:shd w:val="clear" w:color="auto" w:fill="auto"/>
            <w:vAlign w:val="center"/>
          </w:tcPr>
          <w:p w14:paraId="2B00701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100.00</w:t>
            </w:r>
          </w:p>
        </w:tc>
        <w:tc>
          <w:tcPr>
            <w:tcW w:w="738" w:type="pct"/>
            <w:shd w:val="clear" w:color="auto" w:fill="auto"/>
            <w:vAlign w:val="center"/>
          </w:tcPr>
          <w:p w14:paraId="4AD8C61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86.01</w:t>
            </w:r>
          </w:p>
        </w:tc>
        <w:tc>
          <w:tcPr>
            <w:tcW w:w="687" w:type="pct"/>
            <w:shd w:val="clear" w:color="auto" w:fill="auto"/>
            <w:vAlign w:val="center"/>
          </w:tcPr>
          <w:p w14:paraId="7934793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100.00</w:t>
            </w:r>
          </w:p>
        </w:tc>
        <w:tc>
          <w:tcPr>
            <w:tcW w:w="611" w:type="pct"/>
            <w:shd w:val="clear" w:color="auto" w:fill="auto"/>
            <w:vAlign w:val="center"/>
          </w:tcPr>
          <w:p w14:paraId="6D1AD51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c>
          <w:tcPr>
            <w:tcW w:w="668" w:type="pct"/>
            <w:shd w:val="clear" w:color="auto" w:fill="auto"/>
            <w:vAlign w:val="center"/>
          </w:tcPr>
          <w:p w14:paraId="396D064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r>
    </w:tbl>
    <w:p w14:paraId="5B4EBE9A" w14:textId="77777777" w:rsidR="009C353B" w:rsidRDefault="009C353B">
      <w:pPr>
        <w:spacing w:line="529" w:lineRule="exact"/>
        <w:ind w:firstLine="482"/>
        <w:jc w:val="center"/>
        <w:rPr>
          <w:rFonts w:ascii="Times New Roman" w:hAnsi="Times New Roman"/>
          <w:b/>
          <w:kern w:val="24"/>
        </w:rPr>
      </w:pPr>
    </w:p>
    <w:p w14:paraId="76F313B3" w14:textId="77777777" w:rsidR="009C353B" w:rsidRDefault="00000000">
      <w:pPr>
        <w:spacing w:line="529" w:lineRule="exact"/>
        <w:jc w:val="center"/>
        <w:rPr>
          <w:rFonts w:ascii="Times New Roman" w:hAnsi="Times New Roman"/>
          <w:b/>
          <w:sz w:val="28"/>
        </w:rPr>
      </w:pPr>
      <w:r>
        <w:rPr>
          <w:rFonts w:ascii="Times New Roman" w:hAnsi="Times New Roman" w:hint="eastAsia"/>
          <w:b/>
          <w:kern w:val="24"/>
        </w:rPr>
        <w:t>2010-2019</w:t>
      </w:r>
      <w:r>
        <w:rPr>
          <w:rFonts w:ascii="Times New Roman" w:hAnsi="Times New Roman"/>
          <w:b/>
          <w:kern w:val="24"/>
        </w:rPr>
        <w:t>年</w:t>
      </w:r>
      <w:r>
        <w:rPr>
          <w:rFonts w:ascii="Times New Roman" w:hAnsi="Times New Roman" w:hint="eastAsia"/>
          <w:b/>
          <w:kern w:val="24"/>
        </w:rPr>
        <w:t>间矿</w:t>
      </w:r>
      <w:r>
        <w:rPr>
          <w:rFonts w:ascii="Times New Roman" w:hAnsi="Times New Roman"/>
          <w:b/>
          <w:kern w:val="24"/>
        </w:rPr>
        <w:t>区土壤侵蚀变化状况</w:t>
      </w:r>
    </w:p>
    <w:p w14:paraId="6647C099" w14:textId="77777777" w:rsidR="009C353B" w:rsidRDefault="00000000">
      <w:pPr>
        <w:widowControl/>
        <w:adjustRightInd w:val="0"/>
        <w:snapToGrid w:val="0"/>
        <w:spacing w:line="240" w:lineRule="atLeast"/>
        <w:outlineLvl w:val="4"/>
        <w:rPr>
          <w:rFonts w:ascii="Times New Roman" w:hAnsi="Times New Roman"/>
          <w:kern w:val="0"/>
        </w:rPr>
      </w:pPr>
      <w:r>
        <w:rPr>
          <w:rFonts w:ascii="Times New Roman" w:hAnsi="Times New Roman"/>
          <w:kern w:val="0"/>
        </w:rPr>
        <w:t>表</w:t>
      </w:r>
      <w:r>
        <w:rPr>
          <w:rFonts w:ascii="Times New Roman" w:hAnsi="Times New Roman"/>
          <w:kern w:val="0"/>
        </w:rPr>
        <w:t>4.</w:t>
      </w:r>
      <w:r>
        <w:rPr>
          <w:rFonts w:ascii="Times New Roman" w:hAnsi="Times New Roman" w:hint="eastAsia"/>
          <w:kern w:val="0"/>
        </w:rPr>
        <w:t>5-13</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7"/>
        <w:gridCol w:w="1132"/>
        <w:gridCol w:w="1138"/>
        <w:gridCol w:w="1468"/>
        <w:gridCol w:w="1468"/>
        <w:gridCol w:w="1043"/>
        <w:gridCol w:w="1165"/>
      </w:tblGrid>
      <w:tr w:rsidR="009C353B" w14:paraId="5394E8AC" w14:textId="77777777">
        <w:trPr>
          <w:trHeight w:val="429"/>
          <w:jc w:val="center"/>
        </w:trPr>
        <w:tc>
          <w:tcPr>
            <w:tcW w:w="953" w:type="pct"/>
            <w:vMerge w:val="restart"/>
            <w:shd w:val="clear" w:color="auto" w:fill="auto"/>
            <w:vAlign w:val="center"/>
          </w:tcPr>
          <w:p w14:paraId="69B4901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土壤侵蚀强度</w:t>
            </w:r>
          </w:p>
        </w:tc>
        <w:tc>
          <w:tcPr>
            <w:tcW w:w="1239" w:type="pct"/>
            <w:gridSpan w:val="2"/>
            <w:shd w:val="clear" w:color="auto" w:fill="auto"/>
            <w:vAlign w:val="center"/>
          </w:tcPr>
          <w:p w14:paraId="4F097CE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2010</w:t>
            </w:r>
            <w:r>
              <w:rPr>
                <w:rFonts w:ascii="Times New Roman" w:hAnsi="Times New Roman" w:hint="eastAsia"/>
                <w:sz w:val="21"/>
                <w:szCs w:val="21"/>
              </w:rPr>
              <w:t>年</w:t>
            </w:r>
          </w:p>
        </w:tc>
        <w:tc>
          <w:tcPr>
            <w:tcW w:w="1602" w:type="pct"/>
            <w:gridSpan w:val="2"/>
            <w:shd w:val="clear" w:color="auto" w:fill="auto"/>
            <w:vAlign w:val="center"/>
          </w:tcPr>
          <w:p w14:paraId="3A0997F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2019</w:t>
            </w:r>
            <w:r>
              <w:rPr>
                <w:rFonts w:ascii="Times New Roman" w:hAnsi="Times New Roman" w:hint="eastAsia"/>
                <w:sz w:val="21"/>
                <w:szCs w:val="21"/>
              </w:rPr>
              <w:t>年</w:t>
            </w:r>
          </w:p>
        </w:tc>
        <w:tc>
          <w:tcPr>
            <w:tcW w:w="1205" w:type="pct"/>
            <w:gridSpan w:val="2"/>
            <w:shd w:val="clear" w:color="auto" w:fill="auto"/>
            <w:vAlign w:val="center"/>
          </w:tcPr>
          <w:p w14:paraId="1D18983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变化情况</w:t>
            </w:r>
          </w:p>
        </w:tc>
      </w:tr>
      <w:tr w:rsidR="009C353B" w14:paraId="50802EFF" w14:textId="77777777">
        <w:trPr>
          <w:trHeight w:val="795"/>
          <w:jc w:val="center"/>
        </w:trPr>
        <w:tc>
          <w:tcPr>
            <w:tcW w:w="953" w:type="pct"/>
            <w:vMerge/>
            <w:vAlign w:val="center"/>
          </w:tcPr>
          <w:p w14:paraId="12AEF524" w14:textId="77777777" w:rsidR="009C353B" w:rsidRDefault="009C353B">
            <w:pPr>
              <w:adjustRightInd w:val="0"/>
              <w:snapToGrid w:val="0"/>
              <w:spacing w:line="240" w:lineRule="atLeast"/>
              <w:jc w:val="center"/>
              <w:rPr>
                <w:rFonts w:ascii="Times New Roman" w:hAnsi="Times New Roman"/>
                <w:sz w:val="21"/>
                <w:szCs w:val="21"/>
              </w:rPr>
            </w:pPr>
          </w:p>
        </w:tc>
        <w:tc>
          <w:tcPr>
            <w:tcW w:w="618" w:type="pct"/>
            <w:shd w:val="clear" w:color="auto" w:fill="auto"/>
            <w:vAlign w:val="center"/>
          </w:tcPr>
          <w:p w14:paraId="5CFF13B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面</w:t>
            </w:r>
            <w:r>
              <w:rPr>
                <w:rFonts w:ascii="Times New Roman" w:hAnsi="Times New Roman"/>
                <w:sz w:val="21"/>
                <w:szCs w:val="21"/>
              </w:rPr>
              <w:t xml:space="preserve"> </w:t>
            </w:r>
            <w:r>
              <w:rPr>
                <w:rFonts w:ascii="Times New Roman" w:hAnsi="Times New Roman" w:hint="eastAsia"/>
                <w:sz w:val="21"/>
                <w:szCs w:val="21"/>
              </w:rPr>
              <w:t>积（</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hint="eastAsia"/>
                <w:sz w:val="21"/>
                <w:szCs w:val="21"/>
              </w:rPr>
              <w:t>）</w:t>
            </w:r>
          </w:p>
        </w:tc>
        <w:tc>
          <w:tcPr>
            <w:tcW w:w="621" w:type="pct"/>
            <w:shd w:val="clear" w:color="auto" w:fill="auto"/>
            <w:vAlign w:val="center"/>
          </w:tcPr>
          <w:p w14:paraId="40A3F85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占评价区比例（</w:t>
            </w:r>
            <w:r>
              <w:rPr>
                <w:rFonts w:ascii="Times New Roman" w:hAnsi="Times New Roman"/>
                <w:sz w:val="21"/>
                <w:szCs w:val="21"/>
              </w:rPr>
              <w:t>%</w:t>
            </w:r>
            <w:r>
              <w:rPr>
                <w:rFonts w:ascii="Times New Roman" w:hAnsi="Times New Roman" w:hint="eastAsia"/>
                <w:sz w:val="21"/>
                <w:szCs w:val="21"/>
              </w:rPr>
              <w:t>）</w:t>
            </w:r>
          </w:p>
        </w:tc>
        <w:tc>
          <w:tcPr>
            <w:tcW w:w="801" w:type="pct"/>
            <w:shd w:val="clear" w:color="auto" w:fill="auto"/>
            <w:vAlign w:val="center"/>
          </w:tcPr>
          <w:p w14:paraId="6D7B2FE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面</w:t>
            </w:r>
            <w:r>
              <w:rPr>
                <w:rFonts w:ascii="Times New Roman" w:hAnsi="Times New Roman"/>
                <w:sz w:val="21"/>
                <w:szCs w:val="21"/>
              </w:rPr>
              <w:t xml:space="preserve"> </w:t>
            </w:r>
            <w:r>
              <w:rPr>
                <w:rFonts w:ascii="Times New Roman" w:hAnsi="Times New Roman" w:hint="eastAsia"/>
                <w:sz w:val="21"/>
                <w:szCs w:val="21"/>
              </w:rPr>
              <w:t>积（</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hint="eastAsia"/>
                <w:sz w:val="21"/>
                <w:szCs w:val="21"/>
              </w:rPr>
              <w:t>）</w:t>
            </w:r>
          </w:p>
        </w:tc>
        <w:tc>
          <w:tcPr>
            <w:tcW w:w="801" w:type="pct"/>
            <w:shd w:val="clear" w:color="auto" w:fill="auto"/>
            <w:vAlign w:val="center"/>
          </w:tcPr>
          <w:p w14:paraId="29E93B8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占评价区比例（</w:t>
            </w:r>
            <w:r>
              <w:rPr>
                <w:rFonts w:ascii="Times New Roman" w:hAnsi="Times New Roman"/>
                <w:sz w:val="21"/>
                <w:szCs w:val="21"/>
              </w:rPr>
              <w:t>%</w:t>
            </w:r>
            <w:r>
              <w:rPr>
                <w:rFonts w:ascii="Times New Roman" w:hAnsi="Times New Roman" w:hint="eastAsia"/>
                <w:sz w:val="21"/>
                <w:szCs w:val="21"/>
              </w:rPr>
              <w:t>）</w:t>
            </w:r>
          </w:p>
        </w:tc>
        <w:tc>
          <w:tcPr>
            <w:tcW w:w="569" w:type="pct"/>
            <w:shd w:val="clear" w:color="auto" w:fill="auto"/>
            <w:vAlign w:val="center"/>
          </w:tcPr>
          <w:p w14:paraId="739EAEF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面</w:t>
            </w:r>
            <w:r>
              <w:rPr>
                <w:rFonts w:ascii="Times New Roman" w:hAnsi="Times New Roman"/>
                <w:sz w:val="21"/>
                <w:szCs w:val="21"/>
              </w:rPr>
              <w:t xml:space="preserve"> </w:t>
            </w:r>
            <w:r>
              <w:rPr>
                <w:rFonts w:ascii="Times New Roman" w:hAnsi="Times New Roman" w:hint="eastAsia"/>
                <w:sz w:val="21"/>
                <w:szCs w:val="21"/>
              </w:rPr>
              <w:t>积（</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hint="eastAsia"/>
                <w:sz w:val="21"/>
                <w:szCs w:val="21"/>
              </w:rPr>
              <w:t>）</w:t>
            </w:r>
          </w:p>
        </w:tc>
        <w:tc>
          <w:tcPr>
            <w:tcW w:w="636" w:type="pct"/>
            <w:shd w:val="clear" w:color="auto" w:fill="auto"/>
            <w:vAlign w:val="center"/>
          </w:tcPr>
          <w:p w14:paraId="29AC428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占评价区比例（</w:t>
            </w:r>
            <w:r>
              <w:rPr>
                <w:rFonts w:ascii="Times New Roman" w:hAnsi="Times New Roman"/>
                <w:sz w:val="21"/>
                <w:szCs w:val="21"/>
              </w:rPr>
              <w:t>%</w:t>
            </w:r>
            <w:r>
              <w:rPr>
                <w:rFonts w:ascii="Times New Roman" w:hAnsi="Times New Roman" w:hint="eastAsia"/>
                <w:sz w:val="21"/>
                <w:szCs w:val="21"/>
              </w:rPr>
              <w:t>）</w:t>
            </w:r>
          </w:p>
        </w:tc>
      </w:tr>
      <w:tr w:rsidR="009C353B" w14:paraId="220BA4A6" w14:textId="77777777">
        <w:trPr>
          <w:trHeight w:val="300"/>
          <w:jc w:val="center"/>
        </w:trPr>
        <w:tc>
          <w:tcPr>
            <w:tcW w:w="953" w:type="pct"/>
            <w:shd w:val="clear" w:color="auto" w:fill="auto"/>
            <w:vAlign w:val="center"/>
          </w:tcPr>
          <w:p w14:paraId="6097C83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微度侵蚀</w:t>
            </w:r>
          </w:p>
        </w:tc>
        <w:tc>
          <w:tcPr>
            <w:tcW w:w="618" w:type="pct"/>
            <w:shd w:val="clear" w:color="auto" w:fill="auto"/>
            <w:vAlign w:val="center"/>
          </w:tcPr>
          <w:p w14:paraId="39E8250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4.93</w:t>
            </w:r>
          </w:p>
        </w:tc>
        <w:tc>
          <w:tcPr>
            <w:tcW w:w="621" w:type="pct"/>
            <w:shd w:val="clear" w:color="auto" w:fill="auto"/>
            <w:vAlign w:val="center"/>
          </w:tcPr>
          <w:p w14:paraId="19E0F82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5.73</w:t>
            </w:r>
          </w:p>
        </w:tc>
        <w:tc>
          <w:tcPr>
            <w:tcW w:w="801" w:type="pct"/>
            <w:shd w:val="clear" w:color="auto" w:fill="auto"/>
            <w:vAlign w:val="center"/>
          </w:tcPr>
          <w:p w14:paraId="669CA0A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8.75</w:t>
            </w:r>
          </w:p>
        </w:tc>
        <w:tc>
          <w:tcPr>
            <w:tcW w:w="801" w:type="pct"/>
            <w:shd w:val="clear" w:color="auto" w:fill="auto"/>
            <w:vAlign w:val="center"/>
          </w:tcPr>
          <w:p w14:paraId="21CBC7C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10.17</w:t>
            </w:r>
          </w:p>
        </w:tc>
        <w:tc>
          <w:tcPr>
            <w:tcW w:w="569" w:type="pct"/>
            <w:shd w:val="clear" w:color="auto" w:fill="auto"/>
            <w:vAlign w:val="center"/>
          </w:tcPr>
          <w:p w14:paraId="21BC4EC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3.82</w:t>
            </w:r>
          </w:p>
        </w:tc>
        <w:tc>
          <w:tcPr>
            <w:tcW w:w="636" w:type="pct"/>
            <w:shd w:val="clear" w:color="auto" w:fill="auto"/>
            <w:vAlign w:val="center"/>
          </w:tcPr>
          <w:p w14:paraId="5027CDB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4.44</w:t>
            </w:r>
          </w:p>
        </w:tc>
      </w:tr>
      <w:tr w:rsidR="009C353B" w14:paraId="512DB6F8" w14:textId="77777777">
        <w:trPr>
          <w:trHeight w:val="300"/>
          <w:jc w:val="center"/>
        </w:trPr>
        <w:tc>
          <w:tcPr>
            <w:tcW w:w="953" w:type="pct"/>
            <w:shd w:val="clear" w:color="auto" w:fill="auto"/>
            <w:vAlign w:val="center"/>
          </w:tcPr>
          <w:p w14:paraId="33B82C8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轻度侵蚀</w:t>
            </w:r>
          </w:p>
        </w:tc>
        <w:tc>
          <w:tcPr>
            <w:tcW w:w="618" w:type="pct"/>
            <w:shd w:val="clear" w:color="auto" w:fill="auto"/>
            <w:vAlign w:val="center"/>
          </w:tcPr>
          <w:p w14:paraId="3B900D2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5.24</w:t>
            </w:r>
          </w:p>
        </w:tc>
        <w:tc>
          <w:tcPr>
            <w:tcW w:w="621" w:type="pct"/>
            <w:shd w:val="clear" w:color="auto" w:fill="auto"/>
            <w:vAlign w:val="center"/>
          </w:tcPr>
          <w:p w14:paraId="2056800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6.09</w:t>
            </w:r>
          </w:p>
        </w:tc>
        <w:tc>
          <w:tcPr>
            <w:tcW w:w="801" w:type="pct"/>
            <w:shd w:val="clear" w:color="auto" w:fill="auto"/>
            <w:vAlign w:val="center"/>
          </w:tcPr>
          <w:p w14:paraId="3179FF4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15.76</w:t>
            </w:r>
          </w:p>
        </w:tc>
        <w:tc>
          <w:tcPr>
            <w:tcW w:w="801" w:type="pct"/>
            <w:shd w:val="clear" w:color="auto" w:fill="auto"/>
            <w:vAlign w:val="center"/>
          </w:tcPr>
          <w:p w14:paraId="3043413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18.32</w:t>
            </w:r>
          </w:p>
        </w:tc>
        <w:tc>
          <w:tcPr>
            <w:tcW w:w="569" w:type="pct"/>
            <w:shd w:val="clear" w:color="auto" w:fill="auto"/>
            <w:vAlign w:val="center"/>
          </w:tcPr>
          <w:p w14:paraId="1F2A204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10.52</w:t>
            </w:r>
          </w:p>
        </w:tc>
        <w:tc>
          <w:tcPr>
            <w:tcW w:w="636" w:type="pct"/>
            <w:shd w:val="clear" w:color="auto" w:fill="auto"/>
            <w:vAlign w:val="center"/>
          </w:tcPr>
          <w:p w14:paraId="2E24B48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12.23</w:t>
            </w:r>
          </w:p>
        </w:tc>
      </w:tr>
      <w:tr w:rsidR="009C353B" w14:paraId="4BB25DC7" w14:textId="77777777">
        <w:trPr>
          <w:trHeight w:val="300"/>
          <w:jc w:val="center"/>
        </w:trPr>
        <w:tc>
          <w:tcPr>
            <w:tcW w:w="953" w:type="pct"/>
            <w:shd w:val="clear" w:color="auto" w:fill="auto"/>
            <w:vAlign w:val="center"/>
          </w:tcPr>
          <w:p w14:paraId="61D1167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中度侵蚀</w:t>
            </w:r>
          </w:p>
        </w:tc>
        <w:tc>
          <w:tcPr>
            <w:tcW w:w="618" w:type="pct"/>
            <w:shd w:val="clear" w:color="auto" w:fill="auto"/>
            <w:vAlign w:val="center"/>
          </w:tcPr>
          <w:p w14:paraId="2D57D34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63.94</w:t>
            </w:r>
          </w:p>
        </w:tc>
        <w:tc>
          <w:tcPr>
            <w:tcW w:w="621" w:type="pct"/>
            <w:shd w:val="clear" w:color="auto" w:fill="auto"/>
            <w:vAlign w:val="center"/>
          </w:tcPr>
          <w:p w14:paraId="1D515B4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74.34</w:t>
            </w:r>
          </w:p>
        </w:tc>
        <w:tc>
          <w:tcPr>
            <w:tcW w:w="801" w:type="pct"/>
            <w:shd w:val="clear" w:color="auto" w:fill="auto"/>
            <w:vAlign w:val="center"/>
          </w:tcPr>
          <w:p w14:paraId="5526AE3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54.86</w:t>
            </w:r>
          </w:p>
        </w:tc>
        <w:tc>
          <w:tcPr>
            <w:tcW w:w="801" w:type="pct"/>
            <w:shd w:val="clear" w:color="auto" w:fill="auto"/>
            <w:vAlign w:val="center"/>
          </w:tcPr>
          <w:p w14:paraId="47F7745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63.78</w:t>
            </w:r>
          </w:p>
        </w:tc>
        <w:tc>
          <w:tcPr>
            <w:tcW w:w="569" w:type="pct"/>
            <w:shd w:val="clear" w:color="auto" w:fill="auto"/>
            <w:vAlign w:val="center"/>
          </w:tcPr>
          <w:p w14:paraId="7B37E69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-9.08</w:t>
            </w:r>
          </w:p>
        </w:tc>
        <w:tc>
          <w:tcPr>
            <w:tcW w:w="636" w:type="pct"/>
            <w:shd w:val="clear" w:color="auto" w:fill="auto"/>
            <w:vAlign w:val="center"/>
          </w:tcPr>
          <w:p w14:paraId="2A95B0F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-10.56</w:t>
            </w:r>
          </w:p>
        </w:tc>
      </w:tr>
      <w:tr w:rsidR="009C353B" w14:paraId="0F47F2E3" w14:textId="77777777">
        <w:trPr>
          <w:trHeight w:val="300"/>
          <w:jc w:val="center"/>
        </w:trPr>
        <w:tc>
          <w:tcPr>
            <w:tcW w:w="953" w:type="pct"/>
            <w:shd w:val="clear" w:color="auto" w:fill="auto"/>
            <w:vAlign w:val="center"/>
          </w:tcPr>
          <w:p w14:paraId="14C46CA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强烈侵蚀</w:t>
            </w:r>
          </w:p>
        </w:tc>
        <w:tc>
          <w:tcPr>
            <w:tcW w:w="618" w:type="pct"/>
            <w:shd w:val="clear" w:color="auto" w:fill="auto"/>
            <w:vAlign w:val="center"/>
          </w:tcPr>
          <w:p w14:paraId="4E8999A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7.40</w:t>
            </w:r>
          </w:p>
        </w:tc>
        <w:tc>
          <w:tcPr>
            <w:tcW w:w="621" w:type="pct"/>
            <w:shd w:val="clear" w:color="auto" w:fill="auto"/>
            <w:vAlign w:val="center"/>
          </w:tcPr>
          <w:p w14:paraId="0FD7E0E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8.60</w:t>
            </w:r>
          </w:p>
        </w:tc>
        <w:tc>
          <w:tcPr>
            <w:tcW w:w="801" w:type="pct"/>
            <w:shd w:val="clear" w:color="auto" w:fill="auto"/>
            <w:vAlign w:val="center"/>
          </w:tcPr>
          <w:p w14:paraId="67DCAE5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1.51</w:t>
            </w:r>
          </w:p>
        </w:tc>
        <w:tc>
          <w:tcPr>
            <w:tcW w:w="801" w:type="pct"/>
            <w:shd w:val="clear" w:color="auto" w:fill="auto"/>
            <w:vAlign w:val="center"/>
          </w:tcPr>
          <w:p w14:paraId="18198CC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1.75</w:t>
            </w:r>
          </w:p>
        </w:tc>
        <w:tc>
          <w:tcPr>
            <w:tcW w:w="569" w:type="pct"/>
            <w:shd w:val="clear" w:color="auto" w:fill="auto"/>
            <w:vAlign w:val="center"/>
          </w:tcPr>
          <w:p w14:paraId="2739D50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-5.89</w:t>
            </w:r>
          </w:p>
        </w:tc>
        <w:tc>
          <w:tcPr>
            <w:tcW w:w="636" w:type="pct"/>
            <w:shd w:val="clear" w:color="auto" w:fill="auto"/>
            <w:vAlign w:val="center"/>
          </w:tcPr>
          <w:p w14:paraId="70AF471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-6.85</w:t>
            </w:r>
          </w:p>
        </w:tc>
      </w:tr>
      <w:tr w:rsidR="009C353B" w14:paraId="76BC1F06" w14:textId="77777777">
        <w:trPr>
          <w:trHeight w:val="300"/>
          <w:jc w:val="center"/>
        </w:trPr>
        <w:tc>
          <w:tcPr>
            <w:tcW w:w="953" w:type="pct"/>
            <w:shd w:val="clear" w:color="auto" w:fill="auto"/>
            <w:vAlign w:val="center"/>
          </w:tcPr>
          <w:p w14:paraId="563DAFB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极强烈侵蚀</w:t>
            </w:r>
          </w:p>
        </w:tc>
        <w:tc>
          <w:tcPr>
            <w:tcW w:w="618" w:type="pct"/>
            <w:shd w:val="clear" w:color="auto" w:fill="auto"/>
            <w:vAlign w:val="center"/>
          </w:tcPr>
          <w:p w14:paraId="178B546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4.50</w:t>
            </w:r>
          </w:p>
        </w:tc>
        <w:tc>
          <w:tcPr>
            <w:tcW w:w="621" w:type="pct"/>
            <w:shd w:val="clear" w:color="auto" w:fill="auto"/>
            <w:vAlign w:val="center"/>
          </w:tcPr>
          <w:p w14:paraId="5732BBF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5.23</w:t>
            </w:r>
          </w:p>
        </w:tc>
        <w:tc>
          <w:tcPr>
            <w:tcW w:w="801" w:type="pct"/>
            <w:shd w:val="clear" w:color="auto" w:fill="auto"/>
            <w:vAlign w:val="center"/>
          </w:tcPr>
          <w:p w14:paraId="5062529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5.14</w:t>
            </w:r>
          </w:p>
        </w:tc>
        <w:tc>
          <w:tcPr>
            <w:tcW w:w="801" w:type="pct"/>
            <w:shd w:val="clear" w:color="auto" w:fill="auto"/>
            <w:vAlign w:val="center"/>
          </w:tcPr>
          <w:p w14:paraId="6708475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5.97</w:t>
            </w:r>
          </w:p>
        </w:tc>
        <w:tc>
          <w:tcPr>
            <w:tcW w:w="569" w:type="pct"/>
            <w:shd w:val="clear" w:color="auto" w:fill="auto"/>
            <w:vAlign w:val="center"/>
          </w:tcPr>
          <w:p w14:paraId="43A5F3E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0.64</w:t>
            </w:r>
          </w:p>
        </w:tc>
        <w:tc>
          <w:tcPr>
            <w:tcW w:w="636" w:type="pct"/>
            <w:shd w:val="clear" w:color="auto" w:fill="auto"/>
            <w:vAlign w:val="center"/>
          </w:tcPr>
          <w:p w14:paraId="508AC53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0.74</w:t>
            </w:r>
          </w:p>
        </w:tc>
      </w:tr>
      <w:tr w:rsidR="009C353B" w14:paraId="5FE21A97" w14:textId="77777777">
        <w:trPr>
          <w:trHeight w:val="300"/>
          <w:jc w:val="center"/>
        </w:trPr>
        <w:tc>
          <w:tcPr>
            <w:tcW w:w="953" w:type="pct"/>
            <w:shd w:val="clear" w:color="auto" w:fill="auto"/>
            <w:vAlign w:val="center"/>
          </w:tcPr>
          <w:p w14:paraId="29FF1FC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共计</w:t>
            </w:r>
          </w:p>
        </w:tc>
        <w:tc>
          <w:tcPr>
            <w:tcW w:w="618" w:type="pct"/>
            <w:shd w:val="clear" w:color="auto" w:fill="auto"/>
            <w:vAlign w:val="center"/>
          </w:tcPr>
          <w:p w14:paraId="3B7376E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86.01</w:t>
            </w:r>
          </w:p>
        </w:tc>
        <w:tc>
          <w:tcPr>
            <w:tcW w:w="621" w:type="pct"/>
            <w:shd w:val="clear" w:color="auto" w:fill="auto"/>
            <w:vAlign w:val="center"/>
          </w:tcPr>
          <w:p w14:paraId="57A552A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100.00</w:t>
            </w:r>
          </w:p>
        </w:tc>
        <w:tc>
          <w:tcPr>
            <w:tcW w:w="801" w:type="pct"/>
            <w:shd w:val="clear" w:color="auto" w:fill="auto"/>
            <w:vAlign w:val="center"/>
          </w:tcPr>
          <w:p w14:paraId="7C61EA7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86.01</w:t>
            </w:r>
          </w:p>
        </w:tc>
        <w:tc>
          <w:tcPr>
            <w:tcW w:w="801" w:type="pct"/>
            <w:shd w:val="clear" w:color="auto" w:fill="auto"/>
            <w:vAlign w:val="center"/>
          </w:tcPr>
          <w:p w14:paraId="536C26A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100.00</w:t>
            </w:r>
          </w:p>
        </w:tc>
        <w:tc>
          <w:tcPr>
            <w:tcW w:w="569" w:type="pct"/>
            <w:shd w:val="clear" w:color="auto" w:fill="auto"/>
            <w:vAlign w:val="center"/>
          </w:tcPr>
          <w:p w14:paraId="7714A01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c>
          <w:tcPr>
            <w:tcW w:w="636" w:type="pct"/>
            <w:shd w:val="clear" w:color="auto" w:fill="auto"/>
            <w:vAlign w:val="center"/>
          </w:tcPr>
          <w:p w14:paraId="6D4DE1F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p>
        </w:tc>
      </w:tr>
    </w:tbl>
    <w:tbl>
      <w:tblPr>
        <w:tblStyle w:val="afffb"/>
        <w:tblW w:w="5000" w:type="pct"/>
        <w:tblLook w:val="04A0" w:firstRow="1" w:lastRow="0" w:firstColumn="1" w:lastColumn="0" w:noHBand="0" w:noVBand="1"/>
      </w:tblPr>
      <w:tblGrid>
        <w:gridCol w:w="9287"/>
      </w:tblGrid>
      <w:tr w:rsidR="009C353B" w14:paraId="5A041620" w14:textId="77777777">
        <w:tc>
          <w:tcPr>
            <w:tcW w:w="9287" w:type="dxa"/>
            <w:vAlign w:val="center"/>
          </w:tcPr>
          <w:p w14:paraId="002301AE" w14:textId="77777777" w:rsidR="009C353B" w:rsidRDefault="00000000">
            <w:pPr>
              <w:adjustRightInd w:val="0"/>
              <w:snapToGrid w:val="0"/>
              <w:spacing w:line="240" w:lineRule="atLeast"/>
              <w:jc w:val="center"/>
              <w:rPr>
                <w:rFonts w:ascii="Times New Roman" w:hAnsi="Times New Roman"/>
                <w:sz w:val="21"/>
                <w:szCs w:val="21"/>
              </w:rPr>
            </w:pPr>
            <w:r>
              <w:rPr>
                <w:noProof/>
                <w:sz w:val="21"/>
                <w:szCs w:val="21"/>
              </w:rPr>
              <w:drawing>
                <wp:anchor distT="0" distB="0" distL="114300" distR="114300" simplePos="0" relativeHeight="251663360" behindDoc="0" locked="0" layoutInCell="1" allowOverlap="1" wp14:anchorId="61D736D6" wp14:editId="185F9D5D">
                  <wp:simplePos x="0" y="0"/>
                  <wp:positionH relativeFrom="column">
                    <wp:posOffset>205740</wp:posOffset>
                  </wp:positionH>
                  <wp:positionV relativeFrom="paragraph">
                    <wp:posOffset>-2884170</wp:posOffset>
                  </wp:positionV>
                  <wp:extent cx="5343525" cy="2876550"/>
                  <wp:effectExtent l="0" t="0" r="9525" b="0"/>
                  <wp:wrapTopAndBottom/>
                  <wp:docPr id="450" name="图表 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374"/>
                    </a:graphicData>
                  </a:graphic>
                </wp:anchor>
              </w:drawing>
            </w:r>
            <w:r>
              <w:rPr>
                <w:rFonts w:ascii="Times New Roman" w:hAnsi="Times New Roman" w:hint="eastAsia"/>
                <w:sz w:val="21"/>
                <w:szCs w:val="21"/>
              </w:rPr>
              <w:t>2</w:t>
            </w:r>
            <w:r>
              <w:rPr>
                <w:rFonts w:ascii="Times New Roman" w:hAnsi="Times New Roman"/>
                <w:sz w:val="21"/>
                <w:szCs w:val="21"/>
              </w:rPr>
              <w:t>004-2019</w:t>
            </w:r>
            <w:r>
              <w:rPr>
                <w:rFonts w:ascii="Times New Roman" w:hAnsi="Times New Roman" w:hint="eastAsia"/>
                <w:sz w:val="21"/>
                <w:szCs w:val="21"/>
              </w:rPr>
              <w:t>年评价区土壤侵蚀变化柱状图</w:t>
            </w:r>
          </w:p>
        </w:tc>
      </w:tr>
      <w:tr w:rsidR="009C353B" w14:paraId="29F4B23D" w14:textId="77777777">
        <w:tc>
          <w:tcPr>
            <w:tcW w:w="9287" w:type="dxa"/>
            <w:vAlign w:val="center"/>
          </w:tcPr>
          <w:p w14:paraId="69D1A004" w14:textId="77777777" w:rsidR="009C353B" w:rsidRDefault="00000000">
            <w:pPr>
              <w:adjustRightInd w:val="0"/>
              <w:snapToGrid w:val="0"/>
              <w:spacing w:line="440" w:lineRule="exact"/>
              <w:jc w:val="center"/>
              <w:rPr>
                <w:rFonts w:ascii="Times New Roman" w:hAnsi="Times New Roman"/>
                <w:b/>
                <w:sz w:val="28"/>
              </w:rPr>
            </w:pPr>
            <w:r>
              <w:rPr>
                <w:noProof/>
              </w:rPr>
              <w:drawing>
                <wp:anchor distT="0" distB="0" distL="114300" distR="114300" simplePos="0" relativeHeight="251665408" behindDoc="0" locked="0" layoutInCell="1" allowOverlap="1" wp14:anchorId="2724C8A9" wp14:editId="4932C6FF">
                  <wp:simplePos x="0" y="0"/>
                  <wp:positionH relativeFrom="column">
                    <wp:posOffset>232410</wp:posOffset>
                  </wp:positionH>
                  <wp:positionV relativeFrom="paragraph">
                    <wp:posOffset>19050</wp:posOffset>
                  </wp:positionV>
                  <wp:extent cx="5286375" cy="3028950"/>
                  <wp:effectExtent l="0" t="0" r="9525" b="0"/>
                  <wp:wrapTopAndBottom/>
                  <wp:docPr id="452" name="图表 45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5"/>
                    </a:graphicData>
                  </a:graphic>
                </wp:anchor>
              </w:drawing>
            </w:r>
            <w:r>
              <w:rPr>
                <w:rFonts w:ascii="Times New Roman" w:hAnsi="Times New Roman" w:hint="eastAsia"/>
                <w:sz w:val="21"/>
                <w:szCs w:val="21"/>
              </w:rPr>
              <w:t>2</w:t>
            </w:r>
            <w:r>
              <w:rPr>
                <w:rFonts w:ascii="Times New Roman" w:hAnsi="Times New Roman"/>
                <w:sz w:val="21"/>
                <w:szCs w:val="21"/>
              </w:rPr>
              <w:t>004-2019</w:t>
            </w:r>
            <w:r>
              <w:rPr>
                <w:rFonts w:ascii="Times New Roman" w:hAnsi="Times New Roman" w:hint="eastAsia"/>
                <w:sz w:val="21"/>
                <w:szCs w:val="21"/>
              </w:rPr>
              <w:t>年矿区土壤侵蚀变化柱状图</w:t>
            </w:r>
          </w:p>
        </w:tc>
      </w:tr>
    </w:tbl>
    <w:p w14:paraId="2B66A082" w14:textId="77777777" w:rsidR="009C353B" w:rsidRDefault="00000000">
      <w:pPr>
        <w:adjustRightInd w:val="0"/>
        <w:snapToGrid w:val="0"/>
        <w:spacing w:line="440" w:lineRule="exact"/>
        <w:ind w:firstLineChars="200" w:firstLine="562"/>
        <w:jc w:val="center"/>
        <w:rPr>
          <w:rFonts w:ascii="Times New Roman" w:hAnsi="Times New Roman"/>
          <w:b/>
          <w:sz w:val="28"/>
        </w:rPr>
      </w:pPr>
      <w:r>
        <w:rPr>
          <w:rFonts w:ascii="Times New Roman" w:hAnsi="Times New Roman" w:hint="eastAsia"/>
          <w:b/>
          <w:sz w:val="28"/>
        </w:rPr>
        <w:t>图</w:t>
      </w:r>
      <w:r>
        <w:rPr>
          <w:rFonts w:ascii="Times New Roman" w:hAnsi="Times New Roman" w:hint="eastAsia"/>
          <w:b/>
          <w:sz w:val="28"/>
        </w:rPr>
        <w:t>4</w:t>
      </w:r>
      <w:r>
        <w:rPr>
          <w:rFonts w:ascii="Times New Roman" w:hAnsi="Times New Roman"/>
          <w:b/>
          <w:sz w:val="28"/>
        </w:rPr>
        <w:t>.5-3 2004-2019</w:t>
      </w:r>
      <w:r>
        <w:rPr>
          <w:rFonts w:ascii="Times New Roman" w:hAnsi="Times New Roman" w:hint="eastAsia"/>
          <w:b/>
          <w:sz w:val="28"/>
        </w:rPr>
        <w:t>年评价区和矿区土壤侵蚀变化柱状图</w:t>
      </w:r>
    </w:p>
    <w:p w14:paraId="1B28669B" w14:textId="77777777" w:rsidR="009C353B" w:rsidRDefault="00000000">
      <w:pPr>
        <w:pStyle w:val="2"/>
        <w:adjustRightInd w:val="0"/>
        <w:snapToGrid w:val="0"/>
        <w:spacing w:before="320" w:after="320" w:line="440" w:lineRule="exact"/>
        <w:rPr>
          <w:rFonts w:ascii="Times New Roman" w:eastAsia="宋体" w:hAnsi="Times New Roman"/>
          <w:b/>
          <w:sz w:val="28"/>
        </w:rPr>
      </w:pPr>
      <w:bookmarkStart w:id="207" w:name="_Toc59189839"/>
      <w:r>
        <w:rPr>
          <w:rFonts w:ascii="Times New Roman" w:eastAsia="宋体" w:hAnsi="Times New Roman"/>
          <w:b/>
          <w:sz w:val="28"/>
        </w:rPr>
        <w:t>4.6</w:t>
      </w:r>
      <w:r>
        <w:rPr>
          <w:rFonts w:ascii="Times New Roman" w:eastAsia="宋体" w:hAnsi="Times New Roman" w:hint="eastAsia"/>
          <w:b/>
          <w:sz w:val="28"/>
        </w:rPr>
        <w:t xml:space="preserve"> </w:t>
      </w:r>
      <w:r>
        <w:rPr>
          <w:rFonts w:ascii="Times New Roman" w:eastAsia="宋体" w:hAnsi="Times New Roman" w:hint="eastAsia"/>
          <w:b/>
          <w:sz w:val="28"/>
        </w:rPr>
        <w:t>矿区</w:t>
      </w:r>
      <w:r>
        <w:rPr>
          <w:rFonts w:ascii="Times New Roman" w:eastAsia="宋体" w:hAnsi="Times New Roman"/>
          <w:b/>
          <w:sz w:val="28"/>
        </w:rPr>
        <w:t>生态恢复措施、效果</w:t>
      </w:r>
      <w:r>
        <w:rPr>
          <w:rFonts w:ascii="Times New Roman" w:eastAsia="宋体" w:hAnsi="Times New Roman" w:hint="eastAsia"/>
          <w:b/>
          <w:sz w:val="28"/>
        </w:rPr>
        <w:t>、存在问题</w:t>
      </w:r>
      <w:r>
        <w:rPr>
          <w:rFonts w:ascii="Times New Roman" w:eastAsia="宋体" w:hAnsi="Times New Roman"/>
          <w:b/>
          <w:sz w:val="28"/>
        </w:rPr>
        <w:t>及经验</w:t>
      </w:r>
      <w:bookmarkEnd w:id="207"/>
    </w:p>
    <w:p w14:paraId="77F517CE"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4.6.</w:t>
      </w:r>
      <w:r>
        <w:rPr>
          <w:rFonts w:ascii="Times New Roman" w:hAnsi="Times New Roman"/>
          <w:sz w:val="24"/>
        </w:rPr>
        <w:t xml:space="preserve">1 </w:t>
      </w:r>
      <w:r>
        <w:rPr>
          <w:rFonts w:ascii="Times New Roman" w:hAnsi="Times New Roman" w:hint="eastAsia"/>
          <w:sz w:val="24"/>
        </w:rPr>
        <w:t>矿区生态恢复措施</w:t>
      </w:r>
    </w:p>
    <w:p w14:paraId="109F2F5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矿区内四个井工矿除丁家梁井田未开采外，其他三个井田均已开采。矿区开发的主要生态影响是地表沉陷</w:t>
      </w:r>
      <w:r>
        <w:rPr>
          <w:rFonts w:ascii="Times New Roman" w:hAnsi="Times New Roman" w:hint="eastAsia"/>
          <w:szCs w:val="24"/>
        </w:rPr>
        <w:t>和</w:t>
      </w:r>
      <w:r>
        <w:rPr>
          <w:rFonts w:ascii="Times New Roman" w:hAnsi="Times New Roman"/>
          <w:szCs w:val="24"/>
        </w:rPr>
        <w:t>排矸场的压占，因此对地表沉陷区的整治和</w:t>
      </w:r>
      <w:r>
        <w:rPr>
          <w:rFonts w:ascii="Times New Roman" w:hAnsi="Times New Roman" w:hint="eastAsia"/>
          <w:szCs w:val="24"/>
        </w:rPr>
        <w:t>排矸场</w:t>
      </w:r>
      <w:r>
        <w:rPr>
          <w:rFonts w:ascii="Times New Roman" w:hAnsi="Times New Roman"/>
          <w:szCs w:val="24"/>
        </w:rPr>
        <w:t>的生态重建是布设生态整治措施的重中之重。</w:t>
      </w:r>
    </w:p>
    <w:p w14:paraId="45E755CC"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 xml:space="preserve">4.6.1.1 </w:t>
      </w:r>
      <w:r>
        <w:rPr>
          <w:rFonts w:ascii="Times New Roman" w:eastAsia="宋体" w:hAnsi="Times New Roman"/>
          <w:sz w:val="24"/>
        </w:rPr>
        <w:t>红石湾煤矿生态整治措施</w:t>
      </w:r>
    </w:p>
    <w:p w14:paraId="56D35A5C"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宁夏土地勘测规划院于</w:t>
      </w:r>
      <w:r>
        <w:rPr>
          <w:rFonts w:ascii="Times New Roman" w:hAnsi="Times New Roman" w:hint="eastAsia"/>
          <w:szCs w:val="24"/>
        </w:rPr>
        <w:t>2</w:t>
      </w:r>
      <w:r>
        <w:rPr>
          <w:rFonts w:ascii="Times New Roman" w:hAnsi="Times New Roman"/>
          <w:szCs w:val="24"/>
        </w:rPr>
        <w:t>011</w:t>
      </w:r>
      <w:r>
        <w:rPr>
          <w:rFonts w:ascii="Times New Roman" w:hAnsi="Times New Roman" w:hint="eastAsia"/>
          <w:szCs w:val="24"/>
        </w:rPr>
        <w:t>年编制完成《神华宁夏煤业集团有限责任公司红石湾煤矿建设项目土地复垦方案报告书》。</w:t>
      </w:r>
      <w:r>
        <w:rPr>
          <w:rFonts w:ascii="Times New Roman" w:hAnsi="Times New Roman"/>
          <w:szCs w:val="24"/>
        </w:rPr>
        <w:t>红石湾煤矿</w:t>
      </w:r>
      <w:r>
        <w:rPr>
          <w:rFonts w:ascii="Times New Roman" w:hAnsi="Times New Roman"/>
          <w:szCs w:val="24"/>
        </w:rPr>
        <w:t>2011</w:t>
      </w:r>
      <w:r>
        <w:rPr>
          <w:rFonts w:ascii="Times New Roman" w:hAnsi="Times New Roman"/>
          <w:szCs w:val="24"/>
        </w:rPr>
        <w:t>年投产，到现在已经开采将近十年，具体采取的生态整治措施如下：</w:t>
      </w:r>
    </w:p>
    <w:p w14:paraId="053E60C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）施工期生态整治措施：对施工运输、施工机械、人员践踏、临时占地影响到的植被进行了积极恢复。</w:t>
      </w:r>
    </w:p>
    <w:p w14:paraId="45146918"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）工业场地绿化：对工业场地进行绿化美化，工业场地绿化系数达到了</w:t>
      </w:r>
      <w:r>
        <w:rPr>
          <w:rFonts w:ascii="Times New Roman" w:hAnsi="Times New Roman"/>
          <w:szCs w:val="24"/>
        </w:rPr>
        <w:t>30%</w:t>
      </w:r>
      <w:r>
        <w:rPr>
          <w:rFonts w:ascii="Times New Roman" w:hAnsi="Times New Roman"/>
          <w:szCs w:val="24"/>
        </w:rPr>
        <w:t>，工业场地周围布设了</w:t>
      </w:r>
      <w:r>
        <w:rPr>
          <w:rFonts w:ascii="Times New Roman" w:hAnsi="Times New Roman"/>
          <w:szCs w:val="24"/>
        </w:rPr>
        <w:t>50</w:t>
      </w:r>
      <w:r>
        <w:rPr>
          <w:rFonts w:ascii="Times New Roman" w:hAnsi="Times New Roman"/>
          <w:szCs w:val="24"/>
        </w:rPr>
        <w:t>米左右的防护林带。</w:t>
      </w:r>
    </w:p>
    <w:p w14:paraId="3B10A8A4"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3</w:t>
      </w:r>
      <w:r>
        <w:rPr>
          <w:rFonts w:ascii="Times New Roman" w:hAnsi="Times New Roman"/>
          <w:szCs w:val="24"/>
        </w:rPr>
        <w:t>）排矸场生态重建措施：排矸场防治措施整体上采用</w:t>
      </w:r>
      <w:r>
        <w:rPr>
          <w:rFonts w:ascii="Times New Roman" w:hAnsi="Times New Roman"/>
          <w:szCs w:val="24"/>
        </w:rPr>
        <w:t>“</w:t>
      </w:r>
      <w:r>
        <w:rPr>
          <w:rFonts w:ascii="Times New Roman" w:hAnsi="Times New Roman"/>
          <w:szCs w:val="24"/>
        </w:rPr>
        <w:t>覆土整治，复垦绿化</w:t>
      </w:r>
      <w:r>
        <w:rPr>
          <w:rFonts w:ascii="Times New Roman" w:hAnsi="Times New Roman"/>
          <w:szCs w:val="24"/>
        </w:rPr>
        <w:t>”</w:t>
      </w:r>
      <w:r>
        <w:rPr>
          <w:rFonts w:ascii="Times New Roman" w:hAnsi="Times New Roman"/>
          <w:szCs w:val="24"/>
        </w:rPr>
        <w:t>。排矸场矸石进行分条、分块、分层堆放，排矸时分层覆土，防矸石自燃。树、草种植物以冰草、沙蒿混播，种植方式采取撒播。</w:t>
      </w:r>
    </w:p>
    <w:p w14:paraId="09227D23"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4</w:t>
      </w:r>
      <w:r>
        <w:rPr>
          <w:rFonts w:ascii="Times New Roman" w:hAnsi="Times New Roman"/>
          <w:szCs w:val="24"/>
        </w:rPr>
        <w:t>）线性工程生态整治措施：场外道路两侧各设置</w:t>
      </w:r>
      <w:r>
        <w:rPr>
          <w:rFonts w:ascii="Times New Roman" w:hAnsi="Times New Roman"/>
          <w:szCs w:val="24"/>
        </w:rPr>
        <w:t>5</w:t>
      </w:r>
      <w:r>
        <w:rPr>
          <w:rFonts w:ascii="Times New Roman" w:hAnsi="Times New Roman"/>
          <w:szCs w:val="24"/>
        </w:rPr>
        <w:t>～</w:t>
      </w:r>
      <w:r>
        <w:rPr>
          <w:rFonts w:ascii="Times New Roman" w:hAnsi="Times New Roman"/>
          <w:szCs w:val="24"/>
        </w:rPr>
        <w:t>10m</w:t>
      </w:r>
      <w:r>
        <w:rPr>
          <w:rFonts w:ascii="Times New Roman" w:hAnsi="Times New Roman"/>
          <w:szCs w:val="24"/>
        </w:rPr>
        <w:t>宽的防护林带。管线回填后进行土地平整，然后恢复原植被。</w:t>
      </w:r>
    </w:p>
    <w:p w14:paraId="0B276E3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5</w:t>
      </w:r>
      <w:r>
        <w:rPr>
          <w:rFonts w:ascii="Times New Roman" w:hAnsi="Times New Roman"/>
          <w:szCs w:val="24"/>
        </w:rPr>
        <w:t>）地表沉陷区生态恢复措施：本区属于黄土低缓丘陵区，塌陷区治理将下沉变形较大地段、塌陷坑、伴随地裂缝进行填埋夯实并加以修整地表即可达到修复效果，采用机械化或施工，用细粒土（如：黄土、粉砂土等，亦可采用矿山建设中剥离的表层土）削高填低修整塌陷区，种植抗干旱、耐贫瘠的植物，草种选择沙蒿、冰草、芨芨草等。</w:t>
      </w:r>
    </w:p>
    <w:p w14:paraId="02BC57A1"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通过收集资料与现场实地调查，目前红石湾煤矿</w:t>
      </w:r>
      <w:r>
        <w:rPr>
          <w:rFonts w:ascii="Times New Roman" w:hAnsi="Times New Roman" w:hint="eastAsia"/>
          <w:szCs w:val="24"/>
        </w:rPr>
        <w:t>已开展的</w:t>
      </w:r>
      <w:r>
        <w:rPr>
          <w:rFonts w:ascii="Times New Roman" w:hAnsi="Times New Roman"/>
          <w:szCs w:val="24"/>
        </w:rPr>
        <w:t>生态整治措施合理、有效，工业场地绿化率高，植被生长状况良好，排矸场已复垦区域植被生长状况</w:t>
      </w:r>
      <w:r>
        <w:rPr>
          <w:rFonts w:ascii="Times New Roman" w:hAnsi="Times New Roman" w:hint="eastAsia"/>
          <w:szCs w:val="24"/>
        </w:rPr>
        <w:t>良好</w:t>
      </w:r>
      <w:r>
        <w:rPr>
          <w:rFonts w:ascii="Times New Roman" w:hAnsi="Times New Roman"/>
          <w:szCs w:val="24"/>
        </w:rPr>
        <w:t>，后期复垦应加强管护，提高植被覆盖度。红石湾煤矿生态整治现场调查见照片</w:t>
      </w:r>
      <w:r>
        <w:rPr>
          <w:rFonts w:ascii="Times New Roman" w:hAnsi="Times New Roman" w:hint="eastAsia"/>
          <w:szCs w:val="24"/>
        </w:rPr>
        <w:t>如下</w:t>
      </w:r>
      <w:r>
        <w:rPr>
          <w:rFonts w:ascii="Times New Roman" w:hAnsi="Times New Roman"/>
          <w:szCs w:val="24"/>
        </w:rPr>
        <w:t>。</w:t>
      </w:r>
    </w:p>
    <w:tbl>
      <w:tblPr>
        <w:tblStyle w:val="afffb"/>
        <w:tblW w:w="0" w:type="auto"/>
        <w:tblLook w:val="04A0" w:firstRow="1" w:lastRow="0" w:firstColumn="1" w:lastColumn="0" w:noHBand="0" w:noVBand="1"/>
      </w:tblPr>
      <w:tblGrid>
        <w:gridCol w:w="4627"/>
        <w:gridCol w:w="4513"/>
      </w:tblGrid>
      <w:tr w:rsidR="009C353B" w14:paraId="3B5C3F6E" w14:textId="77777777">
        <w:tc>
          <w:tcPr>
            <w:tcW w:w="4587" w:type="dxa"/>
          </w:tcPr>
          <w:p w14:paraId="0E7A6394"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3C09090B" wp14:editId="41ACADC2">
                  <wp:extent cx="2541905" cy="1807210"/>
                  <wp:effectExtent l="0" t="0" r="0" b="2540"/>
                  <wp:docPr id="449" name="图片 449" descr="红石湾工业场地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descr="红石湾工业场地1"/>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a:xfrm>
                            <a:off x="0" y="0"/>
                            <a:ext cx="2541905" cy="1807210"/>
                          </a:xfrm>
                          <a:prstGeom prst="rect">
                            <a:avLst/>
                          </a:prstGeom>
                          <a:noFill/>
                          <a:ln>
                            <a:noFill/>
                          </a:ln>
                        </pic:spPr>
                      </pic:pic>
                    </a:graphicData>
                  </a:graphic>
                </wp:inline>
              </w:drawing>
            </w:r>
          </w:p>
        </w:tc>
        <w:tc>
          <w:tcPr>
            <w:tcW w:w="4474" w:type="dxa"/>
          </w:tcPr>
          <w:p w14:paraId="084ADF11"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1892BF40" wp14:editId="50BFB093">
                  <wp:extent cx="2563495" cy="1828800"/>
                  <wp:effectExtent l="0" t="0" r="8255" b="0"/>
                  <wp:docPr id="448" name="图片 448" descr="红石湾工业场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descr="红石湾工业场地2"/>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a:xfrm>
                            <a:off x="0" y="0"/>
                            <a:ext cx="2563495" cy="1828800"/>
                          </a:xfrm>
                          <a:prstGeom prst="rect">
                            <a:avLst/>
                          </a:prstGeom>
                          <a:noFill/>
                          <a:ln>
                            <a:noFill/>
                          </a:ln>
                        </pic:spPr>
                      </pic:pic>
                    </a:graphicData>
                  </a:graphic>
                </wp:inline>
              </w:drawing>
            </w:r>
          </w:p>
        </w:tc>
      </w:tr>
      <w:tr w:rsidR="009C353B" w14:paraId="48E08825" w14:textId="77777777">
        <w:tc>
          <w:tcPr>
            <w:tcW w:w="4587" w:type="dxa"/>
          </w:tcPr>
          <w:p w14:paraId="5CFA37E6"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工业场地绿化</w:t>
            </w:r>
          </w:p>
        </w:tc>
        <w:tc>
          <w:tcPr>
            <w:tcW w:w="4474" w:type="dxa"/>
          </w:tcPr>
          <w:p w14:paraId="063F63B3"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工业场地绿化</w:t>
            </w:r>
          </w:p>
        </w:tc>
      </w:tr>
      <w:tr w:rsidR="009C353B" w14:paraId="7643F3E9" w14:textId="77777777">
        <w:tc>
          <w:tcPr>
            <w:tcW w:w="4587" w:type="dxa"/>
          </w:tcPr>
          <w:p w14:paraId="68D3BD2B"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64E5C553" wp14:editId="5DCFFDC2">
                  <wp:extent cx="2426335" cy="3239770"/>
                  <wp:effectExtent l="0" t="0" r="0" b="0"/>
                  <wp:docPr id="63" name="图片 63" descr="厂区绿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厂区绿化"/>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a:xfrm>
                            <a:off x="0" y="0"/>
                            <a:ext cx="2426335" cy="3239770"/>
                          </a:xfrm>
                          <a:prstGeom prst="rect">
                            <a:avLst/>
                          </a:prstGeom>
                          <a:noFill/>
                          <a:ln>
                            <a:noFill/>
                          </a:ln>
                        </pic:spPr>
                      </pic:pic>
                    </a:graphicData>
                  </a:graphic>
                </wp:inline>
              </w:drawing>
            </w:r>
          </w:p>
        </w:tc>
        <w:tc>
          <w:tcPr>
            <w:tcW w:w="4474" w:type="dxa"/>
          </w:tcPr>
          <w:p w14:paraId="1E0D10A3"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0F46D7F1" wp14:editId="2BD6F193">
                  <wp:extent cx="2426335" cy="3239770"/>
                  <wp:effectExtent l="0" t="0" r="0" b="0"/>
                  <wp:docPr id="25" name="图片 25" descr="红石湾场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红石湾场内"/>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a:xfrm>
                            <a:off x="0" y="0"/>
                            <a:ext cx="2426335" cy="3239770"/>
                          </a:xfrm>
                          <a:prstGeom prst="rect">
                            <a:avLst/>
                          </a:prstGeom>
                          <a:noFill/>
                          <a:ln>
                            <a:noFill/>
                          </a:ln>
                        </pic:spPr>
                      </pic:pic>
                    </a:graphicData>
                  </a:graphic>
                </wp:inline>
              </w:drawing>
            </w:r>
          </w:p>
        </w:tc>
      </w:tr>
      <w:tr w:rsidR="009C353B" w14:paraId="75428FA5" w14:textId="77777777">
        <w:tc>
          <w:tcPr>
            <w:tcW w:w="4587" w:type="dxa"/>
          </w:tcPr>
          <w:p w14:paraId="27F1226A"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工业场地绿化</w:t>
            </w:r>
          </w:p>
        </w:tc>
        <w:tc>
          <w:tcPr>
            <w:tcW w:w="4474" w:type="dxa"/>
          </w:tcPr>
          <w:p w14:paraId="68C1FE38"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工业场地绿化</w:t>
            </w:r>
          </w:p>
        </w:tc>
      </w:tr>
      <w:tr w:rsidR="009C353B" w14:paraId="371A576A" w14:textId="77777777">
        <w:tc>
          <w:tcPr>
            <w:tcW w:w="4587" w:type="dxa"/>
          </w:tcPr>
          <w:p w14:paraId="158D9CF6" w14:textId="77777777" w:rsidR="009C353B" w:rsidRDefault="00000000">
            <w:pPr>
              <w:jc w:val="center"/>
              <w:rPr>
                <w:rFonts w:ascii="Times New Roman" w:hAnsi="Times New Roman"/>
                <w:szCs w:val="24"/>
              </w:rPr>
            </w:pPr>
            <w:r>
              <w:rPr>
                <w:rFonts w:ascii="Times New Roman" w:hAnsi="Times New Roman" w:hint="eastAsia"/>
                <w:noProof/>
                <w:szCs w:val="24"/>
              </w:rPr>
              <w:drawing>
                <wp:inline distT="0" distB="0" distL="0" distR="0" wp14:anchorId="6FFE50A4" wp14:editId="0A68A548">
                  <wp:extent cx="2433320" cy="3239770"/>
                  <wp:effectExtent l="0" t="0" r="5080" b="0"/>
                  <wp:docPr id="24" name="图片 24" descr="红石湾沉陷裂缝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红石湾沉陷裂缝1"/>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a:xfrm>
                            <a:off x="0" y="0"/>
                            <a:ext cx="2433320" cy="3239770"/>
                          </a:xfrm>
                          <a:prstGeom prst="rect">
                            <a:avLst/>
                          </a:prstGeom>
                          <a:noFill/>
                          <a:ln>
                            <a:noFill/>
                          </a:ln>
                        </pic:spPr>
                      </pic:pic>
                    </a:graphicData>
                  </a:graphic>
                </wp:inline>
              </w:drawing>
            </w:r>
          </w:p>
        </w:tc>
        <w:tc>
          <w:tcPr>
            <w:tcW w:w="4474" w:type="dxa"/>
          </w:tcPr>
          <w:p w14:paraId="74CB521F" w14:textId="77777777" w:rsidR="009C353B" w:rsidRDefault="00000000">
            <w:pPr>
              <w:jc w:val="center"/>
              <w:rPr>
                <w:rFonts w:ascii="Times New Roman" w:hAnsi="Times New Roman"/>
                <w:szCs w:val="24"/>
              </w:rPr>
            </w:pPr>
            <w:r>
              <w:rPr>
                <w:rFonts w:ascii="Times New Roman" w:hAnsi="Times New Roman" w:hint="eastAsia"/>
                <w:noProof/>
                <w:szCs w:val="24"/>
              </w:rPr>
              <w:drawing>
                <wp:inline distT="0" distB="0" distL="0" distR="0" wp14:anchorId="6B997ED0" wp14:editId="7AA2F296">
                  <wp:extent cx="2433320" cy="3239770"/>
                  <wp:effectExtent l="0" t="0" r="5080" b="0"/>
                  <wp:docPr id="23" name="图片 23" descr="红石湾沉陷裂缝6，治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红石湾沉陷裂缝6，治理"/>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a:xfrm>
                            <a:off x="0" y="0"/>
                            <a:ext cx="2433320" cy="3239770"/>
                          </a:xfrm>
                          <a:prstGeom prst="rect">
                            <a:avLst/>
                          </a:prstGeom>
                          <a:noFill/>
                          <a:ln>
                            <a:noFill/>
                          </a:ln>
                        </pic:spPr>
                      </pic:pic>
                    </a:graphicData>
                  </a:graphic>
                </wp:inline>
              </w:drawing>
            </w:r>
          </w:p>
        </w:tc>
      </w:tr>
      <w:tr w:rsidR="009C353B" w14:paraId="3DB7A39E" w14:textId="77777777">
        <w:tc>
          <w:tcPr>
            <w:tcW w:w="4587" w:type="dxa"/>
          </w:tcPr>
          <w:p w14:paraId="08984392"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充填后的地表裂缝</w:t>
            </w:r>
          </w:p>
        </w:tc>
        <w:tc>
          <w:tcPr>
            <w:tcW w:w="4474" w:type="dxa"/>
          </w:tcPr>
          <w:p w14:paraId="5464E525"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充填后的地表裂缝</w:t>
            </w:r>
          </w:p>
        </w:tc>
      </w:tr>
      <w:tr w:rsidR="009C353B" w14:paraId="00932F1A" w14:textId="77777777">
        <w:tc>
          <w:tcPr>
            <w:tcW w:w="4587" w:type="dxa"/>
          </w:tcPr>
          <w:p w14:paraId="490CC2CF" w14:textId="77777777" w:rsidR="009C353B" w:rsidRDefault="00000000">
            <w:pPr>
              <w:jc w:val="center"/>
              <w:rPr>
                <w:rFonts w:ascii="Times New Roman" w:hAnsi="Times New Roman"/>
                <w:szCs w:val="24"/>
              </w:rPr>
            </w:pPr>
            <w:r>
              <w:rPr>
                <w:rFonts w:ascii="Times New Roman" w:hAnsi="Times New Roman" w:hint="eastAsia"/>
                <w:noProof/>
                <w:szCs w:val="24"/>
              </w:rPr>
              <w:drawing>
                <wp:inline distT="0" distB="0" distL="0" distR="0" wp14:anchorId="58415C9A" wp14:editId="5E8A6060">
                  <wp:extent cx="2800985" cy="2059305"/>
                  <wp:effectExtent l="0" t="0" r="0" b="0"/>
                  <wp:docPr id="22" name="图片 22" descr="红石湾排矸场挡砟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红石湾排矸场挡砟墙"/>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a:xfrm>
                            <a:off x="0" y="0"/>
                            <a:ext cx="2800985" cy="2059305"/>
                          </a:xfrm>
                          <a:prstGeom prst="rect">
                            <a:avLst/>
                          </a:prstGeom>
                          <a:noFill/>
                          <a:ln>
                            <a:noFill/>
                          </a:ln>
                        </pic:spPr>
                      </pic:pic>
                    </a:graphicData>
                  </a:graphic>
                </wp:inline>
              </w:drawing>
            </w:r>
          </w:p>
        </w:tc>
        <w:tc>
          <w:tcPr>
            <w:tcW w:w="4474" w:type="dxa"/>
          </w:tcPr>
          <w:p w14:paraId="099A53F2" w14:textId="77777777" w:rsidR="009C353B" w:rsidRDefault="00000000">
            <w:pPr>
              <w:jc w:val="center"/>
              <w:rPr>
                <w:rFonts w:ascii="Times New Roman" w:hAnsi="Times New Roman"/>
                <w:szCs w:val="24"/>
              </w:rPr>
            </w:pPr>
            <w:r>
              <w:rPr>
                <w:rFonts w:ascii="Times New Roman" w:hAnsi="Times New Roman" w:hint="eastAsia"/>
                <w:noProof/>
                <w:szCs w:val="24"/>
              </w:rPr>
              <w:drawing>
                <wp:inline distT="0" distB="0" distL="0" distR="0" wp14:anchorId="7DA03A4F" wp14:editId="06E9D713">
                  <wp:extent cx="2728595" cy="2044700"/>
                  <wp:effectExtent l="0" t="0" r="0" b="0"/>
                  <wp:docPr id="14" name="图片 14" descr="红石湾排矸场，已恢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红石湾排矸场，已恢复"/>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a:xfrm>
                            <a:off x="0" y="0"/>
                            <a:ext cx="2728595" cy="2044700"/>
                          </a:xfrm>
                          <a:prstGeom prst="rect">
                            <a:avLst/>
                          </a:prstGeom>
                          <a:noFill/>
                          <a:ln>
                            <a:noFill/>
                          </a:ln>
                        </pic:spPr>
                      </pic:pic>
                    </a:graphicData>
                  </a:graphic>
                </wp:inline>
              </w:drawing>
            </w:r>
          </w:p>
        </w:tc>
      </w:tr>
      <w:tr w:rsidR="009C353B" w14:paraId="64B0DC45" w14:textId="77777777">
        <w:tc>
          <w:tcPr>
            <w:tcW w:w="4587" w:type="dxa"/>
          </w:tcPr>
          <w:p w14:paraId="2982B729"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排矸场拦矸坝</w:t>
            </w:r>
          </w:p>
        </w:tc>
        <w:tc>
          <w:tcPr>
            <w:tcW w:w="4474" w:type="dxa"/>
          </w:tcPr>
          <w:p w14:paraId="16B97B03"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复垦后的排矸场</w:t>
            </w:r>
          </w:p>
        </w:tc>
      </w:tr>
    </w:tbl>
    <w:p w14:paraId="6FFF31C5" w14:textId="77777777" w:rsidR="009C353B" w:rsidRDefault="009C353B">
      <w:pPr>
        <w:spacing w:line="440" w:lineRule="exact"/>
        <w:ind w:firstLineChars="200" w:firstLine="480"/>
        <w:rPr>
          <w:rFonts w:ascii="Times New Roman" w:hAnsi="Times New Roman"/>
          <w:szCs w:val="24"/>
        </w:rPr>
      </w:pPr>
    </w:p>
    <w:p w14:paraId="2C254DE6"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 xml:space="preserve">4.6.1.2 </w:t>
      </w:r>
      <w:r>
        <w:rPr>
          <w:rFonts w:ascii="Times New Roman" w:eastAsia="宋体" w:hAnsi="Times New Roman"/>
          <w:sz w:val="24"/>
        </w:rPr>
        <w:t>任家庄煤矿生态整治措施</w:t>
      </w:r>
    </w:p>
    <w:p w14:paraId="2E2A49CC"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北京岩土工程勘察院有限公司于</w:t>
      </w:r>
      <w:r>
        <w:rPr>
          <w:rFonts w:ascii="Times New Roman" w:hAnsi="Times New Roman" w:hint="eastAsia"/>
          <w:szCs w:val="24"/>
        </w:rPr>
        <w:t>2</w:t>
      </w:r>
      <w:r>
        <w:rPr>
          <w:rFonts w:ascii="Times New Roman" w:hAnsi="Times New Roman"/>
          <w:szCs w:val="24"/>
        </w:rPr>
        <w:t>019</w:t>
      </w:r>
      <w:r>
        <w:rPr>
          <w:rFonts w:ascii="Times New Roman" w:hAnsi="Times New Roman" w:hint="eastAsia"/>
          <w:szCs w:val="24"/>
        </w:rPr>
        <w:t>年编制完成《神华宁夏煤业集团有限责任公司任家庄煤矿矿山地质环境保护与土地复垦方案报告书》。</w:t>
      </w:r>
      <w:r>
        <w:rPr>
          <w:rFonts w:ascii="Times New Roman" w:hAnsi="Times New Roman"/>
          <w:szCs w:val="24"/>
        </w:rPr>
        <w:t>任家庄煤矿</w:t>
      </w:r>
      <w:r>
        <w:rPr>
          <w:rFonts w:ascii="Times New Roman" w:hAnsi="Times New Roman"/>
          <w:szCs w:val="24"/>
        </w:rPr>
        <w:t>2008</w:t>
      </w:r>
      <w:r>
        <w:rPr>
          <w:rFonts w:ascii="Times New Roman" w:hAnsi="Times New Roman"/>
          <w:szCs w:val="24"/>
        </w:rPr>
        <w:t>年投产，到现在已经开采十多年，</w:t>
      </w:r>
      <w:r>
        <w:rPr>
          <w:rFonts w:ascii="Times New Roman" w:hAnsi="Times New Roman" w:hint="eastAsia"/>
          <w:szCs w:val="24"/>
        </w:rPr>
        <w:t>已</w:t>
      </w:r>
      <w:r>
        <w:rPr>
          <w:rFonts w:ascii="Times New Roman" w:hAnsi="Times New Roman"/>
          <w:szCs w:val="24"/>
        </w:rPr>
        <w:t>采取的具体生态整治措施如下：</w:t>
      </w:r>
    </w:p>
    <w:p w14:paraId="275DD766"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）施工期生态整治措施：利用建井矸石铺垫工业场地、公路路基，施工期尽可能减少植被破坏，工程竣工后，及时对工业场地和扰动后的沙地进行绿化和硬化。</w:t>
      </w:r>
    </w:p>
    <w:p w14:paraId="561D380C"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）白芨滩自然保护区的保护措施：任家庄煤矿西邻白芨滩自然保护区，靠近保护区一侧的采区为远期开采区，为使保护区不受沉陷影响，任家庄煤矿在靠近保护区一侧的井田边界留设保护煤柱。</w:t>
      </w:r>
    </w:p>
    <w:p w14:paraId="39FC15F4"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3</w:t>
      </w:r>
      <w:r>
        <w:rPr>
          <w:rFonts w:ascii="Times New Roman" w:hAnsi="Times New Roman"/>
          <w:szCs w:val="24"/>
        </w:rPr>
        <w:t>）排矸场生态重建措施：排矸场位于任家庄工业场地以南</w:t>
      </w:r>
      <w:r>
        <w:rPr>
          <w:rFonts w:ascii="Times New Roman" w:hAnsi="Times New Roman"/>
          <w:szCs w:val="24"/>
        </w:rPr>
        <w:t>1</w:t>
      </w:r>
      <w:r>
        <w:rPr>
          <w:rFonts w:ascii="Times New Roman" w:hAnsi="Times New Roman"/>
          <w:szCs w:val="24"/>
        </w:rPr>
        <w:t>公里处，目前已经完成复垦工作。首先对排矸场进行整平，然后覆草方格，种植乔灌木。排矸场平台修建蓄水池，对复垦区域进行滴灌养护。</w:t>
      </w:r>
    </w:p>
    <w:p w14:paraId="16E2F335"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4</w:t>
      </w:r>
      <w:r>
        <w:rPr>
          <w:rFonts w:ascii="Times New Roman" w:hAnsi="Times New Roman"/>
          <w:szCs w:val="24"/>
        </w:rPr>
        <w:t>）地表沉陷区生态恢复措施：每周组织专人检查采空区地表裂隙塌陷情况，并对塌陷区采用人工就地取土的方法进行充填。回填后撒播草籽，草籽品种包括柠条、猫头刺、蒿类等。</w:t>
      </w:r>
    </w:p>
    <w:p w14:paraId="1B98E94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通过收集资料与现场实地调查，目前</w:t>
      </w:r>
      <w:r>
        <w:rPr>
          <w:rFonts w:ascii="Times New Roman" w:hAnsi="Times New Roman" w:hint="eastAsia"/>
          <w:szCs w:val="24"/>
        </w:rPr>
        <w:t>任家庄</w:t>
      </w:r>
      <w:r>
        <w:rPr>
          <w:rFonts w:ascii="Times New Roman" w:hAnsi="Times New Roman"/>
          <w:szCs w:val="24"/>
        </w:rPr>
        <w:t>煤矿</w:t>
      </w:r>
      <w:r>
        <w:rPr>
          <w:rFonts w:ascii="Times New Roman" w:hAnsi="Times New Roman" w:hint="eastAsia"/>
          <w:szCs w:val="24"/>
        </w:rPr>
        <w:t>已开展的</w:t>
      </w:r>
      <w:r>
        <w:rPr>
          <w:rFonts w:ascii="Times New Roman" w:hAnsi="Times New Roman"/>
          <w:szCs w:val="24"/>
        </w:rPr>
        <w:t>生态整治措施合理、有效，工业场地绿化率高，植被生长状况良好</w:t>
      </w:r>
      <w:r>
        <w:rPr>
          <w:rFonts w:ascii="Times New Roman" w:hAnsi="Times New Roman" w:hint="eastAsia"/>
          <w:szCs w:val="24"/>
        </w:rPr>
        <w:t>。现场调查发现任家庄局部裂缝较大，植被破坏严重，应及时加以补植、补播，恢复植被。</w:t>
      </w:r>
      <w:r>
        <w:rPr>
          <w:rFonts w:ascii="Times New Roman" w:hAnsi="Times New Roman"/>
          <w:szCs w:val="24"/>
        </w:rPr>
        <w:t>排矸场已复垦区域植被生长状况</w:t>
      </w:r>
      <w:r>
        <w:rPr>
          <w:rFonts w:ascii="Times New Roman" w:hAnsi="Times New Roman" w:hint="eastAsia"/>
          <w:szCs w:val="24"/>
        </w:rPr>
        <w:t>良好</w:t>
      </w:r>
      <w:r>
        <w:rPr>
          <w:rFonts w:ascii="Times New Roman" w:hAnsi="Times New Roman"/>
          <w:szCs w:val="24"/>
        </w:rPr>
        <w:t>，后期复垦应加强管护，提高植被覆盖度。</w:t>
      </w:r>
      <w:r>
        <w:rPr>
          <w:rFonts w:ascii="Times New Roman" w:hAnsi="Times New Roman" w:hint="eastAsia"/>
          <w:szCs w:val="24"/>
        </w:rPr>
        <w:t>任家庄</w:t>
      </w:r>
      <w:r>
        <w:rPr>
          <w:rFonts w:ascii="Times New Roman" w:hAnsi="Times New Roman"/>
          <w:szCs w:val="24"/>
        </w:rPr>
        <w:t>煤矿生态整治现场调查见照片</w:t>
      </w:r>
      <w:r>
        <w:rPr>
          <w:rFonts w:ascii="Times New Roman" w:hAnsi="Times New Roman" w:hint="eastAsia"/>
          <w:szCs w:val="24"/>
        </w:rPr>
        <w:t>如下</w:t>
      </w:r>
      <w:r>
        <w:rPr>
          <w:rFonts w:ascii="Times New Roman" w:hAnsi="Times New Roman"/>
          <w:szCs w:val="24"/>
        </w:rPr>
        <w:t>。</w:t>
      </w:r>
    </w:p>
    <w:p w14:paraId="54395ADF" w14:textId="77777777" w:rsidR="009C353B" w:rsidRDefault="009C353B">
      <w:pPr>
        <w:spacing w:line="440" w:lineRule="exact"/>
        <w:ind w:firstLineChars="200" w:firstLine="480"/>
        <w:rPr>
          <w:rFonts w:ascii="Times New Roman" w:hAnsi="Times New Roman"/>
          <w:szCs w:val="24"/>
        </w:rPr>
      </w:pPr>
    </w:p>
    <w:tbl>
      <w:tblPr>
        <w:tblStyle w:val="afffb"/>
        <w:tblW w:w="0" w:type="auto"/>
        <w:tblLook w:val="04A0" w:firstRow="1" w:lastRow="0" w:firstColumn="1" w:lastColumn="0" w:noHBand="0" w:noVBand="1"/>
      </w:tblPr>
      <w:tblGrid>
        <w:gridCol w:w="4660"/>
        <w:gridCol w:w="4627"/>
      </w:tblGrid>
      <w:tr w:rsidR="009C353B" w14:paraId="31293C31" w14:textId="77777777">
        <w:tc>
          <w:tcPr>
            <w:tcW w:w="4643" w:type="dxa"/>
          </w:tcPr>
          <w:p w14:paraId="37600B4F"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53EC9672" wp14:editId="36546324">
                  <wp:extent cx="2807970" cy="2109470"/>
                  <wp:effectExtent l="0" t="0" r="0" b="5080"/>
                  <wp:docPr id="465" name="图片 465" descr="任家庄综合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465" descr="任家庄综合楼"/>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a:xfrm>
                            <a:off x="0" y="0"/>
                            <a:ext cx="2807970" cy="2109470"/>
                          </a:xfrm>
                          <a:prstGeom prst="rect">
                            <a:avLst/>
                          </a:prstGeom>
                          <a:noFill/>
                          <a:ln>
                            <a:noFill/>
                          </a:ln>
                        </pic:spPr>
                      </pic:pic>
                    </a:graphicData>
                  </a:graphic>
                </wp:inline>
              </w:drawing>
            </w:r>
          </w:p>
        </w:tc>
        <w:tc>
          <w:tcPr>
            <w:tcW w:w="4644" w:type="dxa"/>
          </w:tcPr>
          <w:p w14:paraId="7A9E978F"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5E6C19BE" wp14:editId="74247AAB">
                  <wp:extent cx="2800985" cy="2095500"/>
                  <wp:effectExtent l="0" t="0" r="0" b="0"/>
                  <wp:docPr id="462" name="图片 462" descr="任家庄场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462" descr="任家庄场内"/>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a:xfrm>
                            <a:off x="0" y="0"/>
                            <a:ext cx="2800985" cy="2095500"/>
                          </a:xfrm>
                          <a:prstGeom prst="rect">
                            <a:avLst/>
                          </a:prstGeom>
                          <a:noFill/>
                          <a:ln>
                            <a:noFill/>
                          </a:ln>
                        </pic:spPr>
                      </pic:pic>
                    </a:graphicData>
                  </a:graphic>
                </wp:inline>
              </w:drawing>
            </w:r>
          </w:p>
        </w:tc>
      </w:tr>
      <w:tr w:rsidR="009C353B" w14:paraId="4E41C210" w14:textId="77777777">
        <w:tc>
          <w:tcPr>
            <w:tcW w:w="4643" w:type="dxa"/>
          </w:tcPr>
          <w:p w14:paraId="15F6E55E"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工业场地绿化</w:t>
            </w:r>
          </w:p>
        </w:tc>
        <w:tc>
          <w:tcPr>
            <w:tcW w:w="4644" w:type="dxa"/>
          </w:tcPr>
          <w:p w14:paraId="3BC9F827"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工业场地绿化</w:t>
            </w:r>
          </w:p>
        </w:tc>
      </w:tr>
      <w:tr w:rsidR="009C353B" w14:paraId="7D548824" w14:textId="77777777">
        <w:tc>
          <w:tcPr>
            <w:tcW w:w="4643" w:type="dxa"/>
          </w:tcPr>
          <w:p w14:paraId="4BBECE1B"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3682DA7F" wp14:editId="55051506">
                  <wp:extent cx="2822575" cy="3657600"/>
                  <wp:effectExtent l="0" t="0" r="0" b="0"/>
                  <wp:docPr id="461" name="图片 461" descr="任家庄沉陷裂缝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461" descr="任家庄沉陷裂缝1"/>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a:xfrm>
                            <a:off x="0" y="0"/>
                            <a:ext cx="2822575" cy="3657600"/>
                          </a:xfrm>
                          <a:prstGeom prst="rect">
                            <a:avLst/>
                          </a:prstGeom>
                          <a:noFill/>
                          <a:ln>
                            <a:noFill/>
                          </a:ln>
                        </pic:spPr>
                      </pic:pic>
                    </a:graphicData>
                  </a:graphic>
                </wp:inline>
              </w:drawing>
            </w:r>
          </w:p>
        </w:tc>
        <w:tc>
          <w:tcPr>
            <w:tcW w:w="4644" w:type="dxa"/>
          </w:tcPr>
          <w:p w14:paraId="71F5CA08"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3F046DAF" wp14:editId="27F098A2">
                  <wp:extent cx="2563495" cy="1828800"/>
                  <wp:effectExtent l="0" t="0" r="8255" b="0"/>
                  <wp:docPr id="460" name="图片 460" descr="任家庄沉陷恢复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460" descr="任家庄沉陷恢复2"/>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a:xfrm>
                            <a:off x="0" y="0"/>
                            <a:ext cx="2563495" cy="1828800"/>
                          </a:xfrm>
                          <a:prstGeom prst="rect">
                            <a:avLst/>
                          </a:prstGeom>
                          <a:noFill/>
                          <a:ln>
                            <a:noFill/>
                          </a:ln>
                        </pic:spPr>
                      </pic:pic>
                    </a:graphicData>
                  </a:graphic>
                </wp:inline>
              </w:drawing>
            </w:r>
            <w:r>
              <w:rPr>
                <w:rFonts w:ascii="Times New Roman" w:hAnsi="Times New Roman"/>
                <w:noProof/>
                <w:szCs w:val="24"/>
              </w:rPr>
              <w:drawing>
                <wp:inline distT="0" distB="0" distL="0" distR="0" wp14:anchorId="541C5252" wp14:editId="5D8EFAF7">
                  <wp:extent cx="2563495" cy="1828800"/>
                  <wp:effectExtent l="0" t="0" r="8255" b="0"/>
                  <wp:docPr id="459" name="图片 459" descr="任家庄沉陷恢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descr="任家庄沉陷恢复1"/>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a:xfrm>
                            <a:off x="0" y="0"/>
                            <a:ext cx="2563495" cy="1828800"/>
                          </a:xfrm>
                          <a:prstGeom prst="rect">
                            <a:avLst/>
                          </a:prstGeom>
                          <a:noFill/>
                          <a:ln>
                            <a:noFill/>
                          </a:ln>
                        </pic:spPr>
                      </pic:pic>
                    </a:graphicData>
                  </a:graphic>
                </wp:inline>
              </w:drawing>
            </w:r>
          </w:p>
        </w:tc>
      </w:tr>
      <w:tr w:rsidR="009C353B" w14:paraId="356385B9" w14:textId="77777777">
        <w:tc>
          <w:tcPr>
            <w:tcW w:w="4643" w:type="dxa"/>
          </w:tcPr>
          <w:p w14:paraId="2EF7DB5E"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地表沉陷区</w:t>
            </w:r>
          </w:p>
        </w:tc>
        <w:tc>
          <w:tcPr>
            <w:tcW w:w="4644" w:type="dxa"/>
          </w:tcPr>
          <w:p w14:paraId="75A77C96"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恢复后的地表沉陷区</w:t>
            </w:r>
          </w:p>
        </w:tc>
      </w:tr>
      <w:tr w:rsidR="009C353B" w14:paraId="30BCAE39" w14:textId="77777777">
        <w:tc>
          <w:tcPr>
            <w:tcW w:w="4643" w:type="dxa"/>
          </w:tcPr>
          <w:p w14:paraId="460DCE2B" w14:textId="77777777" w:rsidR="009C353B" w:rsidRDefault="00000000">
            <w:pPr>
              <w:jc w:val="center"/>
              <w:rPr>
                <w:rFonts w:ascii="Times New Roman" w:hAnsi="Times New Roman"/>
                <w:szCs w:val="24"/>
              </w:rPr>
            </w:pPr>
            <w:r>
              <w:rPr>
                <w:rFonts w:ascii="Times New Roman" w:hAnsi="Times New Roman" w:hint="eastAsia"/>
                <w:noProof/>
                <w:szCs w:val="24"/>
              </w:rPr>
              <w:drawing>
                <wp:inline distT="0" distB="0" distL="0" distR="0" wp14:anchorId="513EB424" wp14:editId="6D919DD2">
                  <wp:extent cx="2800985" cy="2000250"/>
                  <wp:effectExtent l="0" t="0" r="0" b="0"/>
                  <wp:docPr id="458" name="图片 458" descr="任家庄排矸场挡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458" descr="任家庄排矸场挡墙1"/>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a:xfrm>
                            <a:off x="0" y="0"/>
                            <a:ext cx="2800985" cy="2000250"/>
                          </a:xfrm>
                          <a:prstGeom prst="rect">
                            <a:avLst/>
                          </a:prstGeom>
                          <a:noFill/>
                          <a:ln>
                            <a:noFill/>
                          </a:ln>
                        </pic:spPr>
                      </pic:pic>
                    </a:graphicData>
                  </a:graphic>
                </wp:inline>
              </w:drawing>
            </w:r>
          </w:p>
        </w:tc>
        <w:tc>
          <w:tcPr>
            <w:tcW w:w="4644" w:type="dxa"/>
          </w:tcPr>
          <w:p w14:paraId="1AAB17CC" w14:textId="77777777" w:rsidR="009C353B" w:rsidRDefault="00000000">
            <w:pPr>
              <w:jc w:val="center"/>
              <w:rPr>
                <w:rFonts w:ascii="Times New Roman" w:hAnsi="Times New Roman"/>
                <w:szCs w:val="24"/>
              </w:rPr>
            </w:pPr>
            <w:r>
              <w:rPr>
                <w:rFonts w:ascii="Times New Roman" w:hAnsi="Times New Roman" w:hint="eastAsia"/>
                <w:noProof/>
                <w:szCs w:val="24"/>
              </w:rPr>
              <w:drawing>
                <wp:inline distT="0" distB="0" distL="0" distR="0" wp14:anchorId="06606BD7" wp14:editId="3C15D5F9">
                  <wp:extent cx="2771775" cy="2000250"/>
                  <wp:effectExtent l="0" t="0" r="9525" b="0"/>
                  <wp:docPr id="457" name="图片 457" descr="任家庄排矸场6"/>
                  <wp:cNvGraphicFramePr/>
                  <a:graphic xmlns:a="http://schemas.openxmlformats.org/drawingml/2006/main">
                    <a:graphicData uri="http://schemas.openxmlformats.org/drawingml/2006/picture">
                      <pic:pic xmlns:pic="http://schemas.openxmlformats.org/drawingml/2006/picture">
                        <pic:nvPicPr>
                          <pic:cNvPr id="457" name="图片 457" descr="任家庄排矸场6"/>
                          <pic:cNvPicPr>
                            <a:picLocks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a:xfrm>
                            <a:off x="0" y="0"/>
                            <a:ext cx="2771775" cy="2000250"/>
                          </a:xfrm>
                          <a:prstGeom prst="rect">
                            <a:avLst/>
                          </a:prstGeom>
                          <a:noFill/>
                          <a:ln>
                            <a:noFill/>
                          </a:ln>
                        </pic:spPr>
                      </pic:pic>
                    </a:graphicData>
                  </a:graphic>
                </wp:inline>
              </w:drawing>
            </w:r>
          </w:p>
        </w:tc>
      </w:tr>
      <w:tr w:rsidR="009C353B" w14:paraId="6334936E" w14:textId="77777777">
        <w:tc>
          <w:tcPr>
            <w:tcW w:w="4643" w:type="dxa"/>
          </w:tcPr>
          <w:p w14:paraId="517494A0"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排矸场拦矸坝</w:t>
            </w:r>
          </w:p>
        </w:tc>
        <w:tc>
          <w:tcPr>
            <w:tcW w:w="4644" w:type="dxa"/>
          </w:tcPr>
          <w:p w14:paraId="0076A8C1"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排矸场植被重建</w:t>
            </w:r>
          </w:p>
        </w:tc>
      </w:tr>
      <w:tr w:rsidR="009C353B" w14:paraId="291EFF4C" w14:textId="77777777">
        <w:tc>
          <w:tcPr>
            <w:tcW w:w="4643" w:type="dxa"/>
          </w:tcPr>
          <w:p w14:paraId="7308E050" w14:textId="77777777" w:rsidR="009C353B" w:rsidRDefault="00000000">
            <w:pPr>
              <w:jc w:val="center"/>
              <w:rPr>
                <w:rFonts w:ascii="Times New Roman" w:hAnsi="Times New Roman"/>
                <w:szCs w:val="24"/>
              </w:rPr>
            </w:pPr>
            <w:r>
              <w:rPr>
                <w:rFonts w:ascii="Times New Roman" w:hAnsi="Times New Roman" w:hint="eastAsia"/>
                <w:noProof/>
                <w:szCs w:val="24"/>
              </w:rPr>
              <w:drawing>
                <wp:inline distT="0" distB="0" distL="0" distR="0" wp14:anchorId="2CBE7425" wp14:editId="217A7C3F">
                  <wp:extent cx="2807970" cy="1952625"/>
                  <wp:effectExtent l="0" t="0" r="0" b="9525"/>
                  <wp:docPr id="456" name="图片 456" descr="任家庄排矸场蓄水池1"/>
                  <wp:cNvGraphicFramePr/>
                  <a:graphic xmlns:a="http://schemas.openxmlformats.org/drawingml/2006/main">
                    <a:graphicData uri="http://schemas.openxmlformats.org/drawingml/2006/picture">
                      <pic:pic xmlns:pic="http://schemas.openxmlformats.org/drawingml/2006/picture">
                        <pic:nvPicPr>
                          <pic:cNvPr id="456" name="图片 456" descr="任家庄排矸场蓄水池1"/>
                          <pic:cNvPicPr>
                            <a:picLocks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a:xfrm>
                            <a:off x="0" y="0"/>
                            <a:ext cx="2807970" cy="1952625"/>
                          </a:xfrm>
                          <a:prstGeom prst="rect">
                            <a:avLst/>
                          </a:prstGeom>
                          <a:noFill/>
                          <a:ln>
                            <a:noFill/>
                          </a:ln>
                        </pic:spPr>
                      </pic:pic>
                    </a:graphicData>
                  </a:graphic>
                </wp:inline>
              </w:drawing>
            </w:r>
          </w:p>
        </w:tc>
        <w:tc>
          <w:tcPr>
            <w:tcW w:w="4644" w:type="dxa"/>
          </w:tcPr>
          <w:p w14:paraId="3692644F" w14:textId="77777777" w:rsidR="009C353B" w:rsidRDefault="00000000">
            <w:pPr>
              <w:jc w:val="center"/>
              <w:rPr>
                <w:rFonts w:ascii="Times New Roman" w:hAnsi="Times New Roman"/>
                <w:szCs w:val="24"/>
              </w:rPr>
            </w:pPr>
            <w:r>
              <w:rPr>
                <w:rFonts w:ascii="Times New Roman" w:hAnsi="Times New Roman" w:hint="eastAsia"/>
                <w:noProof/>
                <w:szCs w:val="24"/>
              </w:rPr>
              <w:drawing>
                <wp:inline distT="0" distB="0" distL="0" distR="0" wp14:anchorId="72FD3754" wp14:editId="7740856D">
                  <wp:extent cx="2800985" cy="1952625"/>
                  <wp:effectExtent l="0" t="0" r="0" b="9525"/>
                  <wp:docPr id="454" name="图片 454" descr="任家庄排矸场已恢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descr="任家庄排矸场已恢复"/>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a:xfrm>
                            <a:off x="0" y="0"/>
                            <a:ext cx="2800985" cy="1952625"/>
                          </a:xfrm>
                          <a:prstGeom prst="rect">
                            <a:avLst/>
                          </a:prstGeom>
                          <a:noFill/>
                          <a:ln>
                            <a:noFill/>
                          </a:ln>
                        </pic:spPr>
                      </pic:pic>
                    </a:graphicData>
                  </a:graphic>
                </wp:inline>
              </w:drawing>
            </w:r>
          </w:p>
        </w:tc>
      </w:tr>
      <w:tr w:rsidR="009C353B" w14:paraId="2E34341A" w14:textId="77777777">
        <w:tc>
          <w:tcPr>
            <w:tcW w:w="4643" w:type="dxa"/>
          </w:tcPr>
          <w:p w14:paraId="2534BCDC"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排矸场蓄水池</w:t>
            </w:r>
          </w:p>
        </w:tc>
        <w:tc>
          <w:tcPr>
            <w:tcW w:w="4644" w:type="dxa"/>
          </w:tcPr>
          <w:p w14:paraId="733E0AE0"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复垦后的排矸场</w:t>
            </w:r>
          </w:p>
        </w:tc>
      </w:tr>
    </w:tbl>
    <w:p w14:paraId="23BFA5AF"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 xml:space="preserve">4.6.1.3 </w:t>
      </w:r>
      <w:r>
        <w:rPr>
          <w:rFonts w:ascii="Times New Roman" w:eastAsia="宋体" w:hAnsi="Times New Roman"/>
          <w:sz w:val="24"/>
        </w:rPr>
        <w:t>马莲台煤矿生态整治措施</w:t>
      </w:r>
    </w:p>
    <w:p w14:paraId="0A43F50E"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北京岩土工程勘察院有限公司于</w:t>
      </w:r>
      <w:r>
        <w:rPr>
          <w:rFonts w:ascii="Times New Roman" w:hAnsi="Times New Roman" w:hint="eastAsia"/>
          <w:szCs w:val="24"/>
        </w:rPr>
        <w:t>2</w:t>
      </w:r>
      <w:r>
        <w:rPr>
          <w:rFonts w:ascii="Times New Roman" w:hAnsi="Times New Roman"/>
          <w:szCs w:val="24"/>
        </w:rPr>
        <w:t>019</w:t>
      </w:r>
      <w:r>
        <w:rPr>
          <w:rFonts w:ascii="Times New Roman" w:hAnsi="Times New Roman" w:hint="eastAsia"/>
          <w:szCs w:val="24"/>
        </w:rPr>
        <w:t>年编制完成《宁夏宝丰能源集团股份有限公司马莲台煤矿矿山地质环境保护与土地复垦方案报告书》。马莲台煤矿于</w:t>
      </w:r>
      <w:r>
        <w:rPr>
          <w:rFonts w:ascii="Times New Roman" w:hAnsi="Times New Roman"/>
          <w:szCs w:val="24"/>
        </w:rPr>
        <w:t>2008</w:t>
      </w:r>
      <w:r>
        <w:rPr>
          <w:rFonts w:ascii="Times New Roman" w:hAnsi="Times New Roman"/>
          <w:szCs w:val="24"/>
        </w:rPr>
        <w:t>年投产，到现在已经开采十多年，具体采取的生态整治措施如下：</w:t>
      </w:r>
    </w:p>
    <w:p w14:paraId="6C1CE2B0"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）施工期生态整治措施：临时占地限制在工业场地内，临时占地进行土地平整后种植早熟禾、高羊茅和黑麦草，绿化为草坪。工业场地绿化率</w:t>
      </w:r>
      <w:r>
        <w:rPr>
          <w:rFonts w:ascii="Times New Roman" w:hAnsi="Times New Roman"/>
          <w:szCs w:val="24"/>
        </w:rPr>
        <w:t>44.43%</w:t>
      </w:r>
      <w:r>
        <w:rPr>
          <w:rFonts w:ascii="Times New Roman" w:hAnsi="Times New Roman"/>
          <w:szCs w:val="24"/>
        </w:rPr>
        <w:t>，远高于天然草地</w:t>
      </w:r>
      <w:r>
        <w:rPr>
          <w:rFonts w:ascii="Times New Roman" w:hAnsi="Times New Roman"/>
          <w:szCs w:val="24"/>
        </w:rPr>
        <w:t>20%</w:t>
      </w:r>
      <w:r>
        <w:rPr>
          <w:rFonts w:ascii="Times New Roman" w:hAnsi="Times New Roman"/>
          <w:szCs w:val="24"/>
        </w:rPr>
        <w:t>的覆盖率。</w:t>
      </w:r>
    </w:p>
    <w:p w14:paraId="2B317A84"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）排矸场生态整治措施：马莲台排矸场位于工业广场东南侧，</w:t>
      </w:r>
      <w:r>
        <w:rPr>
          <w:rFonts w:ascii="Times New Roman" w:hAnsi="Times New Roman" w:hint="eastAsia"/>
          <w:szCs w:val="24"/>
        </w:rPr>
        <w:t>排矸前设置了拦矸坝和排水管道，排矸完毕后进行表土回填，并进行植被重建工作。</w:t>
      </w:r>
    </w:p>
    <w:p w14:paraId="2435E81B"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3</w:t>
      </w:r>
      <w:r>
        <w:rPr>
          <w:rFonts w:ascii="Times New Roman" w:hAnsi="Times New Roman"/>
          <w:szCs w:val="24"/>
        </w:rPr>
        <w:t>）地表沉陷区生态恢复措施：</w:t>
      </w:r>
      <w:r>
        <w:rPr>
          <w:rFonts w:ascii="Times New Roman" w:hAnsi="Times New Roman" w:hint="eastAsia"/>
          <w:szCs w:val="24"/>
        </w:rPr>
        <w:t>对裂缝进行了充填，</w:t>
      </w:r>
      <w:r>
        <w:rPr>
          <w:rFonts w:ascii="Times New Roman" w:hAnsi="Times New Roman"/>
          <w:szCs w:val="24"/>
        </w:rPr>
        <w:t>回填后撒播草籽，草籽品种包括柠条、猫头刺、蒿类等。</w:t>
      </w:r>
    </w:p>
    <w:p w14:paraId="43161898"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通过收集资料与现场实地调查，目前</w:t>
      </w:r>
      <w:r>
        <w:rPr>
          <w:rFonts w:ascii="Times New Roman" w:hAnsi="Times New Roman" w:hint="eastAsia"/>
          <w:szCs w:val="24"/>
        </w:rPr>
        <w:t>马莲台</w:t>
      </w:r>
      <w:r>
        <w:rPr>
          <w:rFonts w:ascii="Times New Roman" w:hAnsi="Times New Roman"/>
          <w:szCs w:val="24"/>
        </w:rPr>
        <w:t>煤矿</w:t>
      </w:r>
      <w:r>
        <w:rPr>
          <w:rFonts w:ascii="Times New Roman" w:hAnsi="Times New Roman" w:hint="eastAsia"/>
          <w:szCs w:val="24"/>
        </w:rPr>
        <w:t>已开展的</w:t>
      </w:r>
      <w:r>
        <w:rPr>
          <w:rFonts w:ascii="Times New Roman" w:hAnsi="Times New Roman"/>
          <w:szCs w:val="24"/>
        </w:rPr>
        <w:t>生态整治措施合理、有效，工业场地绿化率高，植被生长状况良好</w:t>
      </w:r>
      <w:r>
        <w:rPr>
          <w:rFonts w:ascii="Times New Roman" w:hAnsi="Times New Roman" w:hint="eastAsia"/>
          <w:szCs w:val="24"/>
        </w:rPr>
        <w:t>。现场调查发现马莲台局部裂缝较大，植被破坏严重，应及时加以补植、补播，恢复植被。</w:t>
      </w:r>
      <w:r>
        <w:rPr>
          <w:rFonts w:ascii="Times New Roman" w:hAnsi="Times New Roman"/>
          <w:szCs w:val="24"/>
        </w:rPr>
        <w:t>排矸场已复垦区域植被生长状况</w:t>
      </w:r>
      <w:r>
        <w:rPr>
          <w:rFonts w:ascii="Times New Roman" w:hAnsi="Times New Roman" w:hint="eastAsia"/>
          <w:szCs w:val="24"/>
        </w:rPr>
        <w:t>良好</w:t>
      </w:r>
      <w:r>
        <w:rPr>
          <w:rFonts w:ascii="Times New Roman" w:hAnsi="Times New Roman"/>
          <w:szCs w:val="24"/>
        </w:rPr>
        <w:t>，后期复垦应加强管护，提高植被覆盖度。</w:t>
      </w:r>
      <w:r>
        <w:rPr>
          <w:rFonts w:ascii="Times New Roman" w:hAnsi="Times New Roman" w:hint="eastAsia"/>
          <w:szCs w:val="24"/>
        </w:rPr>
        <w:t>马莲台</w:t>
      </w:r>
      <w:r>
        <w:rPr>
          <w:rFonts w:ascii="Times New Roman" w:hAnsi="Times New Roman"/>
          <w:szCs w:val="24"/>
        </w:rPr>
        <w:t>煤矿生态整治现场调查见照片</w:t>
      </w:r>
      <w:r>
        <w:rPr>
          <w:rFonts w:ascii="Times New Roman" w:hAnsi="Times New Roman" w:hint="eastAsia"/>
          <w:szCs w:val="24"/>
        </w:rPr>
        <w:t>如下</w:t>
      </w:r>
      <w:r>
        <w:rPr>
          <w:rFonts w:ascii="Times New Roman" w:hAnsi="Times New Roman"/>
          <w:szCs w:val="24"/>
        </w:rPr>
        <w:t>。</w:t>
      </w:r>
    </w:p>
    <w:p w14:paraId="41BA4F51" w14:textId="77777777" w:rsidR="009C353B" w:rsidRDefault="009C353B">
      <w:pPr>
        <w:spacing w:line="440" w:lineRule="exact"/>
        <w:ind w:firstLineChars="200" w:firstLine="480"/>
        <w:rPr>
          <w:rFonts w:ascii="Times New Roman" w:hAnsi="Times New Roman"/>
          <w:szCs w:val="24"/>
        </w:rPr>
      </w:pPr>
    </w:p>
    <w:tbl>
      <w:tblPr>
        <w:tblStyle w:val="afffb"/>
        <w:tblW w:w="5000" w:type="pct"/>
        <w:tblLook w:val="04A0" w:firstRow="1" w:lastRow="0" w:firstColumn="1" w:lastColumn="0" w:noHBand="0" w:noVBand="1"/>
      </w:tblPr>
      <w:tblGrid>
        <w:gridCol w:w="4695"/>
        <w:gridCol w:w="4592"/>
      </w:tblGrid>
      <w:tr w:rsidR="009C353B" w14:paraId="2300F689" w14:textId="77777777">
        <w:tc>
          <w:tcPr>
            <w:tcW w:w="4580" w:type="dxa"/>
          </w:tcPr>
          <w:p w14:paraId="2381B6EF"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014BA6CE" wp14:editId="4E4AD838">
                  <wp:extent cx="2814955" cy="2109470"/>
                  <wp:effectExtent l="0" t="0" r="4445" b="5080"/>
                  <wp:docPr id="475" name="图片 475" descr="马莲台工业场地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475" descr="马莲台工业场地1"/>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a:xfrm>
                            <a:off x="0" y="0"/>
                            <a:ext cx="2814955" cy="2109470"/>
                          </a:xfrm>
                          <a:prstGeom prst="rect">
                            <a:avLst/>
                          </a:prstGeom>
                          <a:noFill/>
                          <a:ln>
                            <a:noFill/>
                          </a:ln>
                        </pic:spPr>
                      </pic:pic>
                    </a:graphicData>
                  </a:graphic>
                </wp:inline>
              </w:drawing>
            </w:r>
          </w:p>
        </w:tc>
        <w:tc>
          <w:tcPr>
            <w:tcW w:w="4481" w:type="dxa"/>
          </w:tcPr>
          <w:p w14:paraId="4253C6DD"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2855BCB4" wp14:editId="7C351AF5">
                  <wp:extent cx="2793365" cy="2095500"/>
                  <wp:effectExtent l="0" t="0" r="6985" b="0"/>
                  <wp:docPr id="474" name="图片 474" descr="马莲台工业场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474" descr="马莲台工业场地2"/>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a:xfrm>
                            <a:off x="0" y="0"/>
                            <a:ext cx="2793365" cy="2095500"/>
                          </a:xfrm>
                          <a:prstGeom prst="rect">
                            <a:avLst/>
                          </a:prstGeom>
                          <a:noFill/>
                          <a:ln>
                            <a:noFill/>
                          </a:ln>
                        </pic:spPr>
                      </pic:pic>
                    </a:graphicData>
                  </a:graphic>
                </wp:inline>
              </w:drawing>
            </w:r>
          </w:p>
        </w:tc>
      </w:tr>
      <w:tr w:rsidR="009C353B" w14:paraId="37A356A2" w14:textId="77777777">
        <w:tc>
          <w:tcPr>
            <w:tcW w:w="4580" w:type="dxa"/>
          </w:tcPr>
          <w:p w14:paraId="76FEAEF9"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工业场地绿化</w:t>
            </w:r>
          </w:p>
        </w:tc>
        <w:tc>
          <w:tcPr>
            <w:tcW w:w="4481" w:type="dxa"/>
          </w:tcPr>
          <w:p w14:paraId="238B720E"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工业场地绿化</w:t>
            </w:r>
          </w:p>
        </w:tc>
      </w:tr>
      <w:tr w:rsidR="009C353B" w14:paraId="2B43E333" w14:textId="77777777">
        <w:tc>
          <w:tcPr>
            <w:tcW w:w="4580" w:type="dxa"/>
            <w:vAlign w:val="center"/>
          </w:tcPr>
          <w:p w14:paraId="103F4CA3"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1C58137B" wp14:editId="79F00D81">
                  <wp:extent cx="2865755" cy="3823335"/>
                  <wp:effectExtent l="0" t="0" r="0" b="5715"/>
                  <wp:docPr id="473" name="图片 473" descr="马莲台裂缝，已修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473" descr="马莲台裂缝，已修复"/>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a:xfrm>
                            <a:off x="0" y="0"/>
                            <a:ext cx="2865755" cy="3823335"/>
                          </a:xfrm>
                          <a:prstGeom prst="rect">
                            <a:avLst/>
                          </a:prstGeom>
                          <a:noFill/>
                          <a:ln>
                            <a:noFill/>
                          </a:ln>
                        </pic:spPr>
                      </pic:pic>
                    </a:graphicData>
                  </a:graphic>
                </wp:inline>
              </w:drawing>
            </w:r>
          </w:p>
        </w:tc>
        <w:tc>
          <w:tcPr>
            <w:tcW w:w="4481" w:type="dxa"/>
          </w:tcPr>
          <w:p w14:paraId="676BBD23" w14:textId="77777777" w:rsidR="009C353B" w:rsidRDefault="00000000">
            <w:pPr>
              <w:jc w:val="center"/>
              <w:rPr>
                <w:rFonts w:ascii="Times New Roman" w:hAnsi="Times New Roman"/>
                <w:szCs w:val="24"/>
              </w:rPr>
            </w:pPr>
            <w:r>
              <w:rPr>
                <w:rFonts w:ascii="Times New Roman" w:hAnsi="Times New Roman"/>
                <w:noProof/>
                <w:szCs w:val="24"/>
              </w:rPr>
              <w:drawing>
                <wp:inline distT="0" distB="0" distL="0" distR="0" wp14:anchorId="0942F412" wp14:editId="689A00B9">
                  <wp:extent cx="2635250" cy="1986915"/>
                  <wp:effectExtent l="0" t="0" r="0" b="0"/>
                  <wp:docPr id="472" name="图片 472" descr="马莲台林地恢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472" descr="马莲台林地恢复"/>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a:xfrm>
                            <a:off x="0" y="0"/>
                            <a:ext cx="2638856" cy="1989919"/>
                          </a:xfrm>
                          <a:prstGeom prst="rect">
                            <a:avLst/>
                          </a:prstGeom>
                          <a:noFill/>
                          <a:ln>
                            <a:noFill/>
                          </a:ln>
                        </pic:spPr>
                      </pic:pic>
                    </a:graphicData>
                  </a:graphic>
                </wp:inline>
              </w:drawing>
            </w:r>
            <w:r>
              <w:rPr>
                <w:rFonts w:ascii="Times New Roman" w:hAnsi="Times New Roman"/>
                <w:noProof/>
                <w:szCs w:val="24"/>
              </w:rPr>
              <w:drawing>
                <wp:inline distT="0" distB="0" distL="0" distR="0" wp14:anchorId="771A9D29" wp14:editId="530C1392">
                  <wp:extent cx="2642235" cy="1979930"/>
                  <wp:effectExtent l="0" t="0" r="5715" b="1270"/>
                  <wp:docPr id="468" name="图片 468" descr="马莲台草地恢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468" descr="马莲台草地恢复"/>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a:xfrm>
                            <a:off x="0" y="0"/>
                            <a:ext cx="2642235" cy="1979930"/>
                          </a:xfrm>
                          <a:prstGeom prst="rect">
                            <a:avLst/>
                          </a:prstGeom>
                          <a:noFill/>
                          <a:ln>
                            <a:noFill/>
                          </a:ln>
                        </pic:spPr>
                      </pic:pic>
                    </a:graphicData>
                  </a:graphic>
                </wp:inline>
              </w:drawing>
            </w:r>
          </w:p>
        </w:tc>
      </w:tr>
      <w:tr w:rsidR="009C353B" w14:paraId="16999E6B" w14:textId="77777777">
        <w:tc>
          <w:tcPr>
            <w:tcW w:w="4580" w:type="dxa"/>
          </w:tcPr>
          <w:p w14:paraId="666FDC30"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充填后的地表裂缝</w:t>
            </w:r>
          </w:p>
        </w:tc>
        <w:tc>
          <w:tcPr>
            <w:tcW w:w="4481" w:type="dxa"/>
          </w:tcPr>
          <w:p w14:paraId="6C5F1445"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复垦后的排矸场</w:t>
            </w:r>
          </w:p>
        </w:tc>
      </w:tr>
      <w:tr w:rsidR="009C353B" w14:paraId="7725BE5A" w14:textId="77777777">
        <w:tc>
          <w:tcPr>
            <w:tcW w:w="4580" w:type="dxa"/>
          </w:tcPr>
          <w:p w14:paraId="1E5F3262" w14:textId="77777777" w:rsidR="009C353B" w:rsidRDefault="00000000">
            <w:pPr>
              <w:jc w:val="center"/>
              <w:rPr>
                <w:rFonts w:ascii="Times New Roman" w:hAnsi="Times New Roman"/>
                <w:szCs w:val="24"/>
              </w:rPr>
            </w:pPr>
            <w:r>
              <w:rPr>
                <w:rFonts w:ascii="Times New Roman" w:hAnsi="Times New Roman" w:hint="eastAsia"/>
                <w:noProof/>
                <w:szCs w:val="24"/>
              </w:rPr>
              <w:drawing>
                <wp:inline distT="0" distB="0" distL="0" distR="0" wp14:anchorId="1157B49D" wp14:editId="6CB8A614">
                  <wp:extent cx="2786380" cy="2087880"/>
                  <wp:effectExtent l="0" t="0" r="0" b="7620"/>
                  <wp:docPr id="467" name="图片 467" descr="马莲台排矸场，已恢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467" descr="马莲台排矸场，已恢复"/>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a:xfrm>
                            <a:off x="0" y="0"/>
                            <a:ext cx="2786380" cy="2087880"/>
                          </a:xfrm>
                          <a:prstGeom prst="rect">
                            <a:avLst/>
                          </a:prstGeom>
                          <a:noFill/>
                          <a:ln>
                            <a:noFill/>
                          </a:ln>
                        </pic:spPr>
                      </pic:pic>
                    </a:graphicData>
                  </a:graphic>
                </wp:inline>
              </w:drawing>
            </w:r>
          </w:p>
        </w:tc>
        <w:tc>
          <w:tcPr>
            <w:tcW w:w="4481" w:type="dxa"/>
          </w:tcPr>
          <w:p w14:paraId="451CA654" w14:textId="77777777" w:rsidR="009C353B" w:rsidRDefault="00000000">
            <w:pPr>
              <w:jc w:val="center"/>
              <w:rPr>
                <w:rFonts w:ascii="Times New Roman" w:hAnsi="Times New Roman"/>
                <w:szCs w:val="24"/>
              </w:rPr>
            </w:pPr>
            <w:r>
              <w:rPr>
                <w:rFonts w:ascii="Times New Roman" w:hAnsi="Times New Roman" w:hint="eastAsia"/>
                <w:noProof/>
                <w:szCs w:val="24"/>
              </w:rPr>
              <w:drawing>
                <wp:inline distT="0" distB="0" distL="0" distR="0" wp14:anchorId="02C82C34" wp14:editId="54547FC3">
                  <wp:extent cx="2757170" cy="2064385"/>
                  <wp:effectExtent l="0" t="0" r="5080" b="0"/>
                  <wp:docPr id="466" name="图片 466" descr="马莲台排矸场排水管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66" descr="马莲台排矸场排水管道"/>
                          <pic:cNvPicPr>
                            <a:picLocks noChangeAspect="1" noChangeArrowheads="1"/>
                          </pic:cNvPicPr>
                        </pic:nvPicPr>
                        <pic:blipFill>
                          <a:blip r:embed="rId399" cstate="print">
                            <a:extLst>
                              <a:ext uri="{28A0092B-C50C-407E-A947-70E740481C1C}">
                                <a14:useLocalDpi xmlns:a14="http://schemas.microsoft.com/office/drawing/2010/main" val="0"/>
                              </a:ext>
                            </a:extLst>
                          </a:blip>
                          <a:srcRect/>
                          <a:stretch>
                            <a:fillRect/>
                          </a:stretch>
                        </pic:blipFill>
                        <pic:spPr>
                          <a:xfrm>
                            <a:off x="0" y="0"/>
                            <a:ext cx="2758649" cy="2065744"/>
                          </a:xfrm>
                          <a:prstGeom prst="rect">
                            <a:avLst/>
                          </a:prstGeom>
                          <a:noFill/>
                          <a:ln>
                            <a:noFill/>
                          </a:ln>
                        </pic:spPr>
                      </pic:pic>
                    </a:graphicData>
                  </a:graphic>
                </wp:inline>
              </w:drawing>
            </w:r>
          </w:p>
        </w:tc>
      </w:tr>
      <w:tr w:rsidR="009C353B" w14:paraId="4FA7CB31" w14:textId="77777777">
        <w:tc>
          <w:tcPr>
            <w:tcW w:w="4580" w:type="dxa"/>
          </w:tcPr>
          <w:p w14:paraId="7E047ABA"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复垦后的排矸场</w:t>
            </w:r>
          </w:p>
        </w:tc>
        <w:tc>
          <w:tcPr>
            <w:tcW w:w="4481" w:type="dxa"/>
          </w:tcPr>
          <w:p w14:paraId="0CE5317A" w14:textId="77777777" w:rsidR="009C353B" w:rsidRDefault="00000000">
            <w:pPr>
              <w:spacing w:line="440" w:lineRule="exact"/>
              <w:jc w:val="center"/>
              <w:rPr>
                <w:rFonts w:ascii="Times New Roman" w:hAnsi="Times New Roman"/>
                <w:szCs w:val="24"/>
              </w:rPr>
            </w:pPr>
            <w:r>
              <w:rPr>
                <w:rFonts w:ascii="Times New Roman" w:hAnsi="Times New Roman" w:hint="eastAsia"/>
                <w:szCs w:val="24"/>
              </w:rPr>
              <w:t>排矸场排水管线</w:t>
            </w:r>
          </w:p>
        </w:tc>
      </w:tr>
    </w:tbl>
    <w:p w14:paraId="732B07A4"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4.6.</w:t>
      </w:r>
      <w:r>
        <w:rPr>
          <w:rFonts w:ascii="Times New Roman" w:hAnsi="Times New Roman"/>
          <w:sz w:val="24"/>
        </w:rPr>
        <w:t xml:space="preserve">2 </w:t>
      </w:r>
      <w:r>
        <w:rPr>
          <w:rFonts w:ascii="Times New Roman" w:hAnsi="Times New Roman" w:hint="eastAsia"/>
          <w:sz w:val="24"/>
        </w:rPr>
        <w:t>矿区生态恢复重建</w:t>
      </w:r>
      <w:r>
        <w:rPr>
          <w:rFonts w:ascii="Times New Roman" w:hAnsi="Times New Roman"/>
          <w:sz w:val="24"/>
        </w:rPr>
        <w:t>效果</w:t>
      </w:r>
      <w:r>
        <w:rPr>
          <w:rFonts w:ascii="Times New Roman" w:hAnsi="Times New Roman" w:hint="eastAsia"/>
          <w:sz w:val="24"/>
        </w:rPr>
        <w:t>及存在问题</w:t>
      </w:r>
    </w:p>
    <w:p w14:paraId="54D10D8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横城矿区开发较早，生态治理已经进行了十多年的时间，生态恢复效果已经显现出来，总体来说，矿区生态恢复重建效果较好，但也存在一些问题，总结如下：</w:t>
      </w:r>
    </w:p>
    <w:p w14:paraId="73018E25"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）矿区各个矿井工业场地绿化率很高，比区域原始生态系统的植被覆盖度高，都达到了</w:t>
      </w:r>
      <w:r>
        <w:rPr>
          <w:rFonts w:ascii="Times New Roman" w:hAnsi="Times New Roman" w:hint="eastAsia"/>
          <w:szCs w:val="24"/>
        </w:rPr>
        <w:t>30%</w:t>
      </w:r>
      <w:r>
        <w:rPr>
          <w:rFonts w:ascii="Times New Roman" w:hAnsi="Times New Roman" w:hint="eastAsia"/>
          <w:szCs w:val="24"/>
        </w:rPr>
        <w:t>以上。</w:t>
      </w:r>
    </w:p>
    <w:p w14:paraId="1DB71CE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）排矸场都布设了拦矸坝和截排水设施，并且进行了表土剥离工作，水土保持工作到位。但复垦后应加强植被的养护工作，植被覆盖度还需进一步提高。</w:t>
      </w:r>
    </w:p>
    <w:p w14:paraId="14DD70C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）采空区地表裂缝和塌陷已经采取了充填和平整措施，但植被恢复效果不佳，地表裸露明显，应对地表裸露区域进行补植，促进植被恢复。后期应及时发现裂缝，及时整治，并恢复植被。</w:t>
      </w:r>
    </w:p>
    <w:p w14:paraId="0E3BB951"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4.6.3</w:t>
      </w:r>
      <w:r>
        <w:rPr>
          <w:rFonts w:ascii="Times New Roman" w:hAnsi="Times New Roman" w:hint="eastAsia"/>
          <w:sz w:val="24"/>
        </w:rPr>
        <w:t xml:space="preserve"> </w:t>
      </w:r>
      <w:r>
        <w:rPr>
          <w:rFonts w:ascii="Times New Roman" w:hAnsi="Times New Roman"/>
          <w:sz w:val="24"/>
        </w:rPr>
        <w:t>矿区生态恢复重建经验</w:t>
      </w:r>
    </w:p>
    <w:p w14:paraId="24410F0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加强沉陷区损毁土地的监测，对出现的裂缝及时充填。对于塌陷裂缝填堵，主要是人工填堵和机械填充治理。人工填堵治理工艺，一般适用于裂缝窄而浅、密度低的裂缝区治理。机械治理措施及工艺，一般适用于裂缝宽而深、密度高的裂缝区治理，采用推土机和铲运机械，其工序复杂、土方量大，机械复垦治理首先要将表层熟土剥离后，采取开挖、回填、碾压、夯实、平整后再将剥离的熟土覆盖于地表，该区域适宜于机械施工。</w:t>
      </w:r>
      <w:r>
        <w:rPr>
          <w:rFonts w:ascii="Times New Roman" w:hAnsi="Times New Roman"/>
          <w:szCs w:val="24"/>
        </w:rPr>
        <w:t xml:space="preserve"> </w:t>
      </w:r>
    </w:p>
    <w:p w14:paraId="6EEB292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）具有复垦条件的土地将其按照耕、林、草地等复垦，对不具备复垦条件的土地（主要指塌陷边缘带）将其复垦成草地。植树种草选择的苗木、种籽要求</w:t>
      </w:r>
      <w:r>
        <w:rPr>
          <w:rFonts w:ascii="Times New Roman" w:hAnsi="Times New Roman"/>
          <w:szCs w:val="24"/>
        </w:rPr>
        <w:t>Ⅰ</w:t>
      </w:r>
      <w:r>
        <w:rPr>
          <w:rFonts w:ascii="Times New Roman" w:hAnsi="Times New Roman"/>
          <w:szCs w:val="24"/>
        </w:rPr>
        <w:t>级，并要有一签（标签）三证（植物检疫证、质量检验合格证、生产经营许可证）以确保苗木、种籽质量。主要栽植的树种有：沙柳，柠条，刺槐；草种主要有：沙打旺、油蒿、沙蓬、短花针茅、紫花苜蓿、高羊茅等。</w:t>
      </w:r>
      <w:r>
        <w:rPr>
          <w:rFonts w:ascii="Times New Roman" w:hAnsi="Times New Roman"/>
          <w:szCs w:val="24"/>
        </w:rPr>
        <w:t xml:space="preserve"> </w:t>
      </w:r>
    </w:p>
    <w:p w14:paraId="4E96CFA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）排矸场一定遵循“先挡后弃”的原则，修建拦矸坝和截排水设施，排矸前先对表土进行剥离和临时堆放，排矸后表土回填，恢复植被。后期注意植被的养护，确保植被生长良好。</w:t>
      </w:r>
    </w:p>
    <w:p w14:paraId="0AA917B5" w14:textId="77777777" w:rsidR="009C353B" w:rsidRDefault="00000000">
      <w:pPr>
        <w:pStyle w:val="2"/>
        <w:adjustRightInd w:val="0"/>
        <w:snapToGrid w:val="0"/>
        <w:spacing w:before="320" w:after="320" w:line="440" w:lineRule="exact"/>
        <w:rPr>
          <w:rFonts w:ascii="Times New Roman" w:eastAsia="宋体" w:hAnsi="Times New Roman"/>
          <w:b/>
          <w:sz w:val="28"/>
        </w:rPr>
      </w:pPr>
      <w:bookmarkStart w:id="208" w:name="_Toc59189840"/>
      <w:r>
        <w:rPr>
          <w:rFonts w:ascii="Times New Roman" w:eastAsia="宋体" w:hAnsi="Times New Roman"/>
          <w:b/>
          <w:sz w:val="28"/>
        </w:rPr>
        <w:t>4.7</w:t>
      </w:r>
      <w:r>
        <w:rPr>
          <w:rFonts w:ascii="Times New Roman" w:eastAsia="宋体" w:hAnsi="Times New Roman" w:hint="eastAsia"/>
          <w:b/>
          <w:sz w:val="28"/>
        </w:rPr>
        <w:t xml:space="preserve"> </w:t>
      </w:r>
      <w:r>
        <w:rPr>
          <w:rFonts w:ascii="Times New Roman" w:eastAsia="宋体" w:hAnsi="Times New Roman" w:hint="eastAsia"/>
          <w:b/>
          <w:sz w:val="28"/>
        </w:rPr>
        <w:t>矿区环境</w:t>
      </w:r>
      <w:r>
        <w:rPr>
          <w:rFonts w:ascii="Times New Roman" w:eastAsia="宋体" w:hAnsi="Times New Roman"/>
          <w:b/>
          <w:sz w:val="28"/>
        </w:rPr>
        <w:t>影响回顾性评价总结</w:t>
      </w:r>
      <w:bookmarkEnd w:id="208"/>
    </w:p>
    <w:p w14:paraId="13FF2CA9"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w:t>
      </w:r>
      <w:r>
        <w:rPr>
          <w:rFonts w:ascii="Times New Roman" w:hAnsi="Times New Roman"/>
          <w:sz w:val="24"/>
        </w:rPr>
        <w:t>7</w:t>
      </w:r>
      <w:r>
        <w:rPr>
          <w:rFonts w:ascii="Times New Roman" w:hAnsi="Times New Roman" w:hint="eastAsia"/>
          <w:sz w:val="24"/>
        </w:rPr>
        <w:t>.</w:t>
      </w:r>
      <w:r>
        <w:rPr>
          <w:rFonts w:ascii="Times New Roman" w:hAnsi="Times New Roman"/>
          <w:sz w:val="24"/>
        </w:rPr>
        <w:t xml:space="preserve">1 </w:t>
      </w:r>
      <w:r>
        <w:rPr>
          <w:rFonts w:ascii="Times New Roman" w:hAnsi="Times New Roman" w:hint="eastAsia"/>
          <w:sz w:val="24"/>
        </w:rPr>
        <w:t>矿区</w:t>
      </w:r>
      <w:r>
        <w:rPr>
          <w:rFonts w:ascii="Times New Roman" w:hAnsi="Times New Roman"/>
          <w:sz w:val="24"/>
        </w:rPr>
        <w:t>目前污染治理</w:t>
      </w:r>
      <w:r>
        <w:rPr>
          <w:rFonts w:ascii="Times New Roman" w:hAnsi="Times New Roman" w:hint="eastAsia"/>
          <w:sz w:val="24"/>
        </w:rPr>
        <w:t>设施</w:t>
      </w:r>
      <w:r>
        <w:rPr>
          <w:rFonts w:ascii="Times New Roman" w:hAnsi="Times New Roman"/>
          <w:sz w:val="24"/>
        </w:rPr>
        <w:t>的建设运行效果</w:t>
      </w:r>
    </w:p>
    <w:p w14:paraId="3F6101D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）环境</w:t>
      </w:r>
      <w:r>
        <w:rPr>
          <w:rFonts w:ascii="Times New Roman" w:hAnsi="Times New Roman"/>
        </w:rPr>
        <w:t>空气污染</w:t>
      </w:r>
      <w:r>
        <w:rPr>
          <w:rFonts w:ascii="Times New Roman" w:hAnsi="Times New Roman" w:hint="eastAsia"/>
        </w:rPr>
        <w:t>治理</w:t>
      </w:r>
    </w:p>
    <w:p w14:paraId="078FB87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横城矿区有组织大气污染源为任家庄煤矿燃气锅炉，锅炉采用低氮燃烧，锅炉排放烟气中污染物浓度均达标排放；无组织大气污染源主要是煤炭生产和储装运过程中产生的扬尘以及排矸场扬尘，矿区各煤矿均采取了有效控制措施，根据无组织排放监测结果可知，措施可行，控制效果良好。</w:t>
      </w:r>
    </w:p>
    <w:p w14:paraId="2FA5A67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水污染治理</w:t>
      </w:r>
    </w:p>
    <w:p w14:paraId="00F11F1F"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rPr>
        <w:t>任家庄污废水处理设施处理效果良好，处理后全部回用不外排；马莲台煤矿污废水处理依托宁夏宝丰能源有限公司污水处理站，处理后综合利用，不外排，处理效果良好；</w:t>
      </w:r>
      <w:r>
        <w:rPr>
          <w:rFonts w:ascii="Times New Roman" w:hint="eastAsia"/>
        </w:rPr>
        <w:t>本次规划环评编制期间，红石湾生活污水、矿井水处理设施进行了提标改造，对现有处理设施进行全部维修改造，更换相关配件。升级改造工程于</w:t>
      </w:r>
      <w:r>
        <w:rPr>
          <w:rFonts w:ascii="Times New Roman"/>
        </w:rPr>
        <w:t>2020</w:t>
      </w:r>
      <w:r>
        <w:rPr>
          <w:rFonts w:ascii="Times New Roman" w:hint="eastAsia"/>
        </w:rPr>
        <w:t>年</w:t>
      </w:r>
      <w:r>
        <w:rPr>
          <w:rFonts w:ascii="Times New Roman"/>
        </w:rPr>
        <w:t>8</w:t>
      </w:r>
      <w:r>
        <w:rPr>
          <w:rFonts w:ascii="Times New Roman" w:hint="eastAsia"/>
        </w:rPr>
        <w:t>月底开始，</w:t>
      </w:r>
      <w:r>
        <w:rPr>
          <w:rFonts w:ascii="Times New Roman"/>
        </w:rPr>
        <w:t>2020</w:t>
      </w:r>
      <w:r>
        <w:rPr>
          <w:rFonts w:ascii="Times New Roman" w:hint="eastAsia"/>
        </w:rPr>
        <w:t>年</w:t>
      </w:r>
      <w:r>
        <w:rPr>
          <w:rFonts w:ascii="Times New Roman"/>
        </w:rPr>
        <w:t>9</w:t>
      </w:r>
      <w:r>
        <w:rPr>
          <w:rFonts w:ascii="Times New Roman" w:hint="eastAsia"/>
        </w:rPr>
        <w:t>月底全部完成。在改造过程中，建设了临时蓄水池储存改造过程中（</w:t>
      </w:r>
      <w:r>
        <w:rPr>
          <w:rFonts w:ascii="Times New Roman"/>
        </w:rPr>
        <w:t>30</w:t>
      </w:r>
      <w:r>
        <w:rPr>
          <w:rFonts w:ascii="Times New Roman" w:hint="eastAsia"/>
        </w:rPr>
        <w:t>天）生活污水，改造完成后储存的生活污水经过处理后全部回用；矿井水处理为</w:t>
      </w:r>
      <w:r>
        <w:rPr>
          <w:rFonts w:ascii="Times New Roman"/>
        </w:rPr>
        <w:t>2</w:t>
      </w:r>
      <w:r>
        <w:rPr>
          <w:rFonts w:ascii="Times New Roman" w:hint="eastAsia"/>
        </w:rPr>
        <w:t>套</w:t>
      </w:r>
      <w:r>
        <w:rPr>
          <w:rFonts w:ascii="Times New Roman"/>
        </w:rPr>
        <w:t>3500m</w:t>
      </w:r>
      <w:r>
        <w:rPr>
          <w:rFonts w:ascii="Times New Roman"/>
          <w:vertAlign w:val="superscript"/>
        </w:rPr>
        <w:t>3</w:t>
      </w:r>
      <w:r>
        <w:rPr>
          <w:rFonts w:ascii="Times New Roman"/>
        </w:rPr>
        <w:t>/d</w:t>
      </w:r>
      <w:r>
        <w:rPr>
          <w:rFonts w:ascii="Times New Roman" w:hint="eastAsia"/>
        </w:rPr>
        <w:t>设施，矿井水处理站改造过程中，</w:t>
      </w:r>
      <w:r>
        <w:rPr>
          <w:rFonts w:ascii="Times New Roman"/>
        </w:rPr>
        <w:t>1</w:t>
      </w:r>
      <w:r>
        <w:rPr>
          <w:rFonts w:ascii="Times New Roman" w:hint="eastAsia"/>
        </w:rPr>
        <w:t>用</w:t>
      </w:r>
      <w:r>
        <w:rPr>
          <w:rFonts w:ascii="Times New Roman"/>
        </w:rPr>
        <w:t>1</w:t>
      </w:r>
      <w:r>
        <w:rPr>
          <w:rFonts w:ascii="Times New Roman" w:hint="eastAsia"/>
        </w:rPr>
        <w:t>改造，确保矿井水处理站改造过程中矿井水经过了全部处理。并且改造期间，水处理设施停用按要求在当地环保部门进行了备案。改造后，矿井水及生活污水处理站</w:t>
      </w:r>
      <w:r>
        <w:rPr>
          <w:rFonts w:ascii="Times New Roman" w:hAnsi="Times New Roman" w:hint="eastAsia"/>
        </w:rPr>
        <w:t>处理效果良好，</w:t>
      </w:r>
      <w:r>
        <w:rPr>
          <w:rFonts w:ascii="Times New Roman" w:hAnsi="Times New Roman"/>
        </w:rPr>
        <w:t>处理后用于地面及井下生产、洒水抑尘、黄泥灌浆用水等，不外排</w:t>
      </w:r>
      <w:r>
        <w:rPr>
          <w:rFonts w:ascii="Times New Roman" w:hAnsi="Times New Roman" w:hint="eastAsia"/>
        </w:rPr>
        <w:t>。</w:t>
      </w:r>
    </w:p>
    <w:p w14:paraId="3D43989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rPr>
        <w:t>噪声污染治理</w:t>
      </w:r>
    </w:p>
    <w:p w14:paraId="6541B8C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矿区</w:t>
      </w:r>
      <w:r>
        <w:rPr>
          <w:rFonts w:ascii="Times New Roman"/>
        </w:rPr>
        <w:t>地面布置时</w:t>
      </w:r>
      <w:r>
        <w:rPr>
          <w:rFonts w:ascii="Times New Roman" w:hint="eastAsia"/>
        </w:rPr>
        <w:t>已</w:t>
      </w:r>
      <w:r>
        <w:rPr>
          <w:rFonts w:ascii="Times New Roman"/>
        </w:rPr>
        <w:t>采取优化布置措施，</w:t>
      </w:r>
      <w:r>
        <w:rPr>
          <w:rFonts w:ascii="Times New Roman" w:hint="eastAsia"/>
        </w:rPr>
        <w:t>厂址</w:t>
      </w:r>
      <w:r>
        <w:rPr>
          <w:rFonts w:ascii="Times New Roman"/>
        </w:rPr>
        <w:t>选择</w:t>
      </w:r>
      <w:r>
        <w:rPr>
          <w:rFonts w:ascii="Times New Roman" w:hint="eastAsia"/>
        </w:rPr>
        <w:t>时</w:t>
      </w:r>
      <w:r>
        <w:rPr>
          <w:rFonts w:ascii="Times New Roman"/>
        </w:rPr>
        <w:t>已远离</w:t>
      </w:r>
      <w:r>
        <w:rPr>
          <w:rFonts w:ascii="Times New Roman" w:hint="eastAsia"/>
        </w:rPr>
        <w:t>宁东</w:t>
      </w:r>
      <w:r>
        <w:rPr>
          <w:rFonts w:ascii="Times New Roman"/>
        </w:rPr>
        <w:t>镇居民居住区</w:t>
      </w:r>
      <w:r>
        <w:rPr>
          <w:rFonts w:ascii="Times New Roman" w:hint="eastAsia"/>
        </w:rPr>
        <w:t>，并选用低噪声设备降低设备噪声源强，对高噪声源和设备采取隔声、消声、</w:t>
      </w:r>
      <w:r>
        <w:rPr>
          <w:rFonts w:ascii="Times New Roman"/>
        </w:rPr>
        <w:t>减振</w:t>
      </w:r>
      <w:r>
        <w:rPr>
          <w:rFonts w:ascii="Times New Roman" w:hint="eastAsia"/>
        </w:rPr>
        <w:t>等综合降噪措施，各煤矿厂界能达标排放。</w:t>
      </w:r>
    </w:p>
    <w:p w14:paraId="255A095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hAnsi="Times New Roman"/>
        </w:rPr>
        <w:t>固体废物污染治理</w:t>
      </w:r>
    </w:p>
    <w:p w14:paraId="0A2491F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矿区</w:t>
      </w:r>
      <w:r>
        <w:rPr>
          <w:rFonts w:ascii="Times New Roman"/>
        </w:rPr>
        <w:t>固体废物主要为</w:t>
      </w:r>
      <w:r>
        <w:rPr>
          <w:rFonts w:ascii="Times New Roman" w:hint="eastAsia"/>
        </w:rPr>
        <w:t>煤矸石。煤矿开发建设前期均送往排矸场处置。</w:t>
      </w:r>
      <w:r>
        <w:rPr>
          <w:rFonts w:ascii="Times New Roman"/>
        </w:rPr>
        <w:t>目前</w:t>
      </w:r>
      <w:r>
        <w:rPr>
          <w:rFonts w:ascii="Times New Roman" w:hint="eastAsia"/>
        </w:rPr>
        <w:t>，任家庄排矸场已覆土整治完毕，矸石全部外委合规的矸石处置单位处置。各矿</w:t>
      </w:r>
      <w:r>
        <w:rPr>
          <w:rFonts w:ascii="Times New Roman"/>
        </w:rPr>
        <w:t>生活垃圾</w:t>
      </w:r>
      <w:r>
        <w:rPr>
          <w:rFonts w:ascii="Times New Roman" w:hint="eastAsia"/>
        </w:rPr>
        <w:t>、生活污水处理站污泥</w:t>
      </w:r>
      <w:r>
        <w:rPr>
          <w:rFonts w:ascii="Times New Roman"/>
        </w:rPr>
        <w:t>统一收集后</w:t>
      </w:r>
      <w:r>
        <w:rPr>
          <w:rFonts w:ascii="Times New Roman" w:hint="eastAsia"/>
        </w:rPr>
        <w:t>外委环卫单位处置</w:t>
      </w:r>
      <w:r>
        <w:rPr>
          <w:rFonts w:ascii="Times New Roman"/>
        </w:rPr>
        <w:t>。</w:t>
      </w:r>
      <w:r>
        <w:rPr>
          <w:rFonts w:ascii="Times New Roman" w:hint="eastAsia"/>
        </w:rPr>
        <w:t>危险废物交由有危废资质的处置单位处置。</w:t>
      </w:r>
    </w:p>
    <w:p w14:paraId="380172C6"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w:t>
      </w:r>
      <w:r>
        <w:rPr>
          <w:rFonts w:ascii="Times New Roman" w:hAnsi="Times New Roman"/>
          <w:sz w:val="24"/>
        </w:rPr>
        <w:t>7</w:t>
      </w:r>
      <w:r>
        <w:rPr>
          <w:rFonts w:ascii="Times New Roman" w:hAnsi="Times New Roman" w:hint="eastAsia"/>
          <w:sz w:val="24"/>
        </w:rPr>
        <w:t>.</w:t>
      </w:r>
      <w:r>
        <w:rPr>
          <w:rFonts w:ascii="Times New Roman" w:hAnsi="Times New Roman"/>
          <w:sz w:val="24"/>
        </w:rPr>
        <w:t xml:space="preserve">2 </w:t>
      </w:r>
      <w:r>
        <w:rPr>
          <w:rFonts w:ascii="Times New Roman" w:hAnsi="Times New Roman" w:hint="eastAsia"/>
          <w:sz w:val="24"/>
        </w:rPr>
        <w:t>矿区环境</w:t>
      </w:r>
      <w:r>
        <w:rPr>
          <w:rFonts w:ascii="Times New Roman" w:hAnsi="Times New Roman"/>
          <w:sz w:val="24"/>
        </w:rPr>
        <w:t>质量的变化情况</w:t>
      </w:r>
    </w:p>
    <w:p w14:paraId="2A9CE3E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rPr>
        <w:t>环境空气</w:t>
      </w:r>
    </w:p>
    <w:p w14:paraId="5FE0FEA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Ansi="Times New Roman" w:hint="eastAsia"/>
        </w:rPr>
        <w:t>环境空气质量</w:t>
      </w:r>
      <w:r>
        <w:rPr>
          <w:rFonts w:ascii="Times New Roman" w:hAnsi="Times New Roman" w:hint="eastAsia"/>
        </w:rPr>
        <w:t>2</w:t>
      </w:r>
      <w:r>
        <w:rPr>
          <w:rFonts w:ascii="Times New Roman" w:hAnsi="Times New Roman"/>
        </w:rPr>
        <w:t>014</w:t>
      </w:r>
      <w:r>
        <w:rPr>
          <w:rFonts w:ascii="Times New Roman" w:hAnsi="Times New Roman" w:hint="eastAsia"/>
        </w:rPr>
        <w:t>至</w:t>
      </w:r>
      <w:r>
        <w:rPr>
          <w:rFonts w:ascii="Times New Roman" w:hAnsi="Times New Roman" w:hint="eastAsia"/>
        </w:rPr>
        <w:t>2</w:t>
      </w:r>
      <w:r>
        <w:rPr>
          <w:rFonts w:ascii="Times New Roman" w:hAnsi="Times New Roman"/>
        </w:rPr>
        <w:t>019</w:t>
      </w:r>
      <w:r>
        <w:rPr>
          <w:rFonts w:ascii="Times New Roman" w:hAnsi="Times New Roman" w:hint="eastAsia"/>
        </w:rPr>
        <w:t>年例行监测数据可知：</w:t>
      </w:r>
      <w:r>
        <w:rPr>
          <w:rFonts w:ascii="Times New Roman" w:hint="eastAsia"/>
        </w:rPr>
        <w:t>PM</w:t>
      </w:r>
      <w:r>
        <w:rPr>
          <w:rFonts w:ascii="Times New Roman" w:hint="eastAsia"/>
          <w:vertAlign w:val="subscript"/>
        </w:rPr>
        <w:t>10</w:t>
      </w:r>
      <w:r>
        <w:rPr>
          <w:rFonts w:ascii="Times New Roman" w:hint="eastAsia"/>
        </w:rPr>
        <w:t>在</w:t>
      </w:r>
      <w:r>
        <w:rPr>
          <w:rFonts w:ascii="Times New Roman" w:hint="eastAsia"/>
        </w:rPr>
        <w:t>2014</w:t>
      </w:r>
      <w:r>
        <w:rPr>
          <w:rFonts w:ascii="Times New Roman" w:hint="eastAsia"/>
        </w:rPr>
        <w:t>年至</w:t>
      </w:r>
      <w:r>
        <w:rPr>
          <w:rFonts w:ascii="Times New Roman" w:hint="eastAsia"/>
        </w:rPr>
        <w:t>2019</w:t>
      </w:r>
      <w:r>
        <w:rPr>
          <w:rFonts w:ascii="Times New Roman" w:hint="eastAsia"/>
        </w:rPr>
        <w:t>年</w:t>
      </w:r>
      <w:r>
        <w:rPr>
          <w:rFonts w:ascii="Times New Roman" w:hAnsi="Times New Roman" w:hint="eastAsia"/>
          <w:bCs/>
          <w:szCs w:val="24"/>
        </w:rPr>
        <w:t>虽然仍存在超标现象，但</w:t>
      </w:r>
      <w:r>
        <w:rPr>
          <w:rFonts w:ascii="Times New Roman" w:hint="eastAsia"/>
        </w:rPr>
        <w:t>浓度在逐渐减小，为</w:t>
      </w:r>
      <w:r>
        <w:rPr>
          <w:rFonts w:ascii="Times New Roman" w:hint="eastAsia"/>
        </w:rPr>
        <w:t>0.083-0.159</w:t>
      </w:r>
      <w:r>
        <w:rPr>
          <w:rFonts w:ascii="Times New Roman" w:hAnsi="Times New Roman"/>
          <w:bCs/>
          <w:szCs w:val="24"/>
        </w:rPr>
        <w:t>mg/m</w:t>
      </w:r>
      <w:r>
        <w:rPr>
          <w:rFonts w:ascii="Times New Roman" w:hAnsi="Times New Roman"/>
          <w:bCs/>
          <w:szCs w:val="24"/>
          <w:vertAlign w:val="superscript"/>
        </w:rPr>
        <w:t>3</w:t>
      </w:r>
      <w:r>
        <w:rPr>
          <w:rFonts w:ascii="Times New Roman" w:hint="eastAsia"/>
        </w:rPr>
        <w:t>；</w:t>
      </w:r>
      <w:r>
        <w:rPr>
          <w:rFonts w:ascii="Times New Roman" w:hint="eastAsia"/>
        </w:rPr>
        <w:t>PM</w:t>
      </w:r>
      <w:r>
        <w:rPr>
          <w:rFonts w:ascii="Times New Roman"/>
          <w:vertAlign w:val="subscript"/>
        </w:rPr>
        <w:t>2.5</w:t>
      </w:r>
      <w:r>
        <w:rPr>
          <w:rFonts w:ascii="Times New Roman" w:hint="eastAsia"/>
        </w:rPr>
        <w:t>、</w:t>
      </w:r>
      <w:r>
        <w:rPr>
          <w:rFonts w:ascii="Times New Roman" w:hint="eastAsia"/>
        </w:rPr>
        <w:t>SO</w:t>
      </w:r>
      <w:r>
        <w:rPr>
          <w:rFonts w:ascii="Times New Roman" w:hint="eastAsia"/>
          <w:vertAlign w:val="subscript"/>
        </w:rPr>
        <w:t>2</w:t>
      </w:r>
      <w:r>
        <w:rPr>
          <w:rFonts w:ascii="Times New Roman" w:hint="eastAsia"/>
        </w:rPr>
        <w:t>浓度在</w:t>
      </w:r>
      <w:r>
        <w:rPr>
          <w:rFonts w:ascii="Times New Roman" w:hint="eastAsia"/>
        </w:rPr>
        <w:t>2014</w:t>
      </w:r>
      <w:r>
        <w:rPr>
          <w:rFonts w:ascii="Times New Roman" w:hint="eastAsia"/>
        </w:rPr>
        <w:t>年至</w:t>
      </w:r>
      <w:r>
        <w:rPr>
          <w:rFonts w:ascii="Times New Roman" w:hint="eastAsia"/>
        </w:rPr>
        <w:t>2019</w:t>
      </w:r>
      <w:r>
        <w:rPr>
          <w:rFonts w:ascii="Times New Roman" w:hint="eastAsia"/>
        </w:rPr>
        <w:t>年间逐渐减小。</w:t>
      </w:r>
      <w:r>
        <w:rPr>
          <w:rFonts w:ascii="Times New Roman" w:hAnsi="Times New Roman" w:hint="eastAsia"/>
          <w:bCs/>
          <w:szCs w:val="24"/>
        </w:rPr>
        <w:t>NO</w:t>
      </w:r>
      <w:r>
        <w:rPr>
          <w:rFonts w:ascii="Times New Roman" w:hAnsi="Times New Roman" w:hint="eastAsia"/>
          <w:bCs/>
          <w:szCs w:val="24"/>
          <w:vertAlign w:val="subscript"/>
        </w:rPr>
        <w:t>2</w:t>
      </w:r>
      <w:r>
        <w:rPr>
          <w:rFonts w:ascii="Times New Roman" w:hAnsi="Times New Roman" w:hint="eastAsia"/>
          <w:bCs/>
          <w:szCs w:val="24"/>
        </w:rPr>
        <w:t>、</w:t>
      </w:r>
      <w:r>
        <w:rPr>
          <w:rFonts w:ascii="Times New Roman" w:hAnsi="Times New Roman" w:hint="eastAsia"/>
          <w:bCs/>
          <w:szCs w:val="24"/>
        </w:rPr>
        <w:t>CO</w:t>
      </w:r>
      <w:r>
        <w:rPr>
          <w:rFonts w:ascii="Times New Roman" w:hAnsi="Times New Roman" w:hint="eastAsia"/>
          <w:bCs/>
          <w:szCs w:val="24"/>
        </w:rPr>
        <w:t>、</w:t>
      </w:r>
      <w:r>
        <w:rPr>
          <w:rFonts w:ascii="Times New Roman" w:hAnsi="Times New Roman" w:hint="eastAsia"/>
          <w:bCs/>
          <w:szCs w:val="24"/>
        </w:rPr>
        <w:t>O</w:t>
      </w:r>
      <w:r>
        <w:rPr>
          <w:rFonts w:ascii="Times New Roman" w:hAnsi="Times New Roman"/>
          <w:bCs/>
          <w:szCs w:val="24"/>
          <w:vertAlign w:val="subscript"/>
        </w:rPr>
        <w:t>3</w:t>
      </w:r>
      <w:r>
        <w:rPr>
          <w:rFonts w:ascii="Times New Roman" w:hint="eastAsia"/>
        </w:rPr>
        <w:t xml:space="preserve"> </w:t>
      </w:r>
      <w:r>
        <w:rPr>
          <w:rFonts w:ascii="Times New Roman" w:hint="eastAsia"/>
        </w:rPr>
        <w:t>的浓度波动较大，但</w:t>
      </w:r>
      <w:r>
        <w:rPr>
          <w:rFonts w:ascii="Times New Roman" w:hint="eastAsia"/>
        </w:rPr>
        <w:t>2</w:t>
      </w:r>
      <w:r>
        <w:rPr>
          <w:rFonts w:ascii="Times New Roman"/>
        </w:rPr>
        <w:t>019</w:t>
      </w:r>
      <w:r>
        <w:rPr>
          <w:rFonts w:ascii="Times New Roman" w:hint="eastAsia"/>
        </w:rPr>
        <w:t>年整体与</w:t>
      </w:r>
      <w:r>
        <w:rPr>
          <w:rFonts w:ascii="Times New Roman" w:hint="eastAsia"/>
        </w:rPr>
        <w:t>2</w:t>
      </w:r>
      <w:r>
        <w:rPr>
          <w:rFonts w:ascii="Times New Roman"/>
        </w:rPr>
        <w:t>014</w:t>
      </w:r>
      <w:r>
        <w:rPr>
          <w:rFonts w:ascii="Times New Roman" w:hint="eastAsia"/>
        </w:rPr>
        <w:t>年持平。</w:t>
      </w:r>
      <w:r>
        <w:rPr>
          <w:rFonts w:ascii="Times New Roman" w:hint="eastAsia"/>
          <w:szCs w:val="24"/>
        </w:rPr>
        <w:t>本矿区</w:t>
      </w:r>
      <w:r>
        <w:rPr>
          <w:rFonts w:ascii="Times New Roman"/>
          <w:szCs w:val="24"/>
        </w:rPr>
        <w:t>所在区域环境空气质量长期趋于好转</w:t>
      </w:r>
      <w:r>
        <w:rPr>
          <w:rFonts w:ascii="Times New Roman" w:hint="eastAsia"/>
          <w:szCs w:val="24"/>
        </w:rPr>
        <w:t>，</w:t>
      </w:r>
      <w:r>
        <w:rPr>
          <w:rFonts w:ascii="Times New Roman"/>
          <w:szCs w:val="24"/>
        </w:rPr>
        <w:t>主要是本区环境保护与污染治理措施不断强化</w:t>
      </w:r>
      <w:r>
        <w:rPr>
          <w:rFonts w:ascii="Times New Roman" w:hint="eastAsia"/>
          <w:szCs w:val="24"/>
        </w:rPr>
        <w:t>，</w:t>
      </w:r>
      <w:r>
        <w:rPr>
          <w:rFonts w:ascii="Times New Roman"/>
          <w:szCs w:val="24"/>
        </w:rPr>
        <w:t>包括矿区在内的本地各企业大气污染防治措施不断升级改造</w:t>
      </w:r>
      <w:r>
        <w:rPr>
          <w:rFonts w:ascii="Times New Roman" w:hint="eastAsia"/>
          <w:szCs w:val="24"/>
        </w:rPr>
        <w:t>（如供暖由燃煤锅炉改造为燃气锅炉或电厂供热等），</w:t>
      </w:r>
      <w:r>
        <w:rPr>
          <w:rFonts w:ascii="Times New Roman"/>
          <w:szCs w:val="24"/>
        </w:rPr>
        <w:t>使得大气污染物的排放量逐渐减小</w:t>
      </w:r>
      <w:r>
        <w:rPr>
          <w:rFonts w:ascii="Times New Roman" w:hint="eastAsia"/>
          <w:szCs w:val="24"/>
        </w:rPr>
        <w:t>，</w:t>
      </w:r>
      <w:r>
        <w:rPr>
          <w:rFonts w:ascii="Times New Roman"/>
          <w:szCs w:val="24"/>
        </w:rPr>
        <w:t>环境空气质量得以改善</w:t>
      </w:r>
      <w:r>
        <w:rPr>
          <w:rFonts w:ascii="Times New Roman" w:hint="eastAsia"/>
          <w:szCs w:val="24"/>
        </w:rPr>
        <w:t>。</w:t>
      </w:r>
    </w:p>
    <w:p w14:paraId="5596E4D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地表水</w:t>
      </w:r>
    </w:p>
    <w:p w14:paraId="18D5526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根据本次监测结果，大河子沟超标因子为氟化物、</w:t>
      </w:r>
      <w:r>
        <w:rPr>
          <w:rFonts w:ascii="Times New Roman" w:hAnsi="Times New Roman" w:hint="eastAsia"/>
        </w:rPr>
        <w:t>C</w:t>
      </w:r>
      <w:r>
        <w:rPr>
          <w:rFonts w:ascii="Times New Roman" w:hAnsi="Times New Roman"/>
        </w:rPr>
        <w:t>OD</w:t>
      </w:r>
      <w:r>
        <w:rPr>
          <w:rFonts w:ascii="Times New Roman" w:hAnsi="Times New Roman" w:hint="eastAsia"/>
        </w:rPr>
        <w:t>及</w:t>
      </w:r>
      <w:r>
        <w:rPr>
          <w:rFonts w:ascii="Times New Roman" w:hAnsi="Times New Roman" w:hint="eastAsia"/>
        </w:rPr>
        <w:t>B</w:t>
      </w:r>
      <w:r>
        <w:rPr>
          <w:rFonts w:ascii="Times New Roman" w:hAnsi="Times New Roman"/>
        </w:rPr>
        <w:t>OD</w:t>
      </w:r>
      <w:r>
        <w:rPr>
          <w:rFonts w:ascii="Times New Roman" w:hAnsi="Times New Roman"/>
          <w:vertAlign w:val="subscript"/>
        </w:rPr>
        <w:t>5</w:t>
      </w:r>
      <w:r>
        <w:rPr>
          <w:rFonts w:ascii="Times New Roman" w:hAnsi="Times New Roman" w:hint="eastAsia"/>
        </w:rPr>
        <w:t>，与往年监测结果相比。</w:t>
      </w:r>
      <w:r>
        <w:rPr>
          <w:rFonts w:ascii="Times New Roman" w:hAnsi="Times New Roman"/>
        </w:rPr>
        <w:t>COD</w:t>
      </w:r>
      <w:r>
        <w:rPr>
          <w:rFonts w:ascii="Times New Roman" w:hAnsi="Times New Roman"/>
        </w:rPr>
        <w:t>、</w:t>
      </w:r>
      <w:r>
        <w:rPr>
          <w:rFonts w:ascii="Times New Roman" w:hAnsi="Times New Roman"/>
        </w:rPr>
        <w:t>BOD</w:t>
      </w:r>
      <w:r>
        <w:rPr>
          <w:rFonts w:ascii="Times New Roman" w:hAnsi="Times New Roman"/>
          <w:vertAlign w:val="subscript"/>
        </w:rPr>
        <w:t>5</w:t>
      </w:r>
      <w:r>
        <w:rPr>
          <w:rFonts w:ascii="Times New Roman" w:hAnsi="Times New Roman"/>
        </w:rPr>
        <w:t>从</w:t>
      </w:r>
      <w:r>
        <w:rPr>
          <w:rFonts w:ascii="Times New Roman" w:hAnsi="Times New Roman"/>
        </w:rPr>
        <w:t>2013</w:t>
      </w:r>
      <w:r>
        <w:rPr>
          <w:rFonts w:ascii="Times New Roman" w:hAnsi="Times New Roman"/>
        </w:rPr>
        <w:t>年到</w:t>
      </w:r>
      <w:r>
        <w:rPr>
          <w:rFonts w:ascii="Times New Roman" w:hAnsi="Times New Roman"/>
        </w:rPr>
        <w:t>2018</w:t>
      </w:r>
      <w:r>
        <w:rPr>
          <w:rFonts w:ascii="Times New Roman" w:hAnsi="Times New Roman"/>
        </w:rPr>
        <w:t>年浓度</w:t>
      </w:r>
      <w:r>
        <w:rPr>
          <w:rFonts w:ascii="Times New Roman" w:hAnsi="Times New Roman" w:hint="eastAsia"/>
        </w:rPr>
        <w:t>有所</w:t>
      </w:r>
      <w:r>
        <w:rPr>
          <w:rFonts w:ascii="Times New Roman" w:hAnsi="Times New Roman"/>
        </w:rPr>
        <w:t>上升，到</w:t>
      </w:r>
      <w:r>
        <w:rPr>
          <w:rFonts w:ascii="Times New Roman" w:hAnsi="Times New Roman"/>
        </w:rPr>
        <w:t>2020</w:t>
      </w:r>
      <w:r>
        <w:rPr>
          <w:rFonts w:ascii="Times New Roman" w:hAnsi="Times New Roman"/>
        </w:rPr>
        <w:t>年浓度下降；氟化物从</w:t>
      </w:r>
      <w:r>
        <w:rPr>
          <w:rFonts w:ascii="Times New Roman" w:hAnsi="Times New Roman"/>
        </w:rPr>
        <w:t>2013</w:t>
      </w:r>
      <w:r>
        <w:rPr>
          <w:rFonts w:ascii="Times New Roman" w:hAnsi="Times New Roman"/>
        </w:rPr>
        <w:t>到</w:t>
      </w:r>
      <w:r>
        <w:rPr>
          <w:rFonts w:ascii="Times New Roman" w:hAnsi="Times New Roman"/>
        </w:rPr>
        <w:t>2018</w:t>
      </w:r>
      <w:r>
        <w:rPr>
          <w:rFonts w:ascii="Times New Roman" w:hAnsi="Times New Roman"/>
        </w:rPr>
        <w:t>年呈下降趋势，到</w:t>
      </w:r>
      <w:r>
        <w:rPr>
          <w:rFonts w:ascii="Times New Roman" w:hAnsi="Times New Roman"/>
        </w:rPr>
        <w:t>2020</w:t>
      </w:r>
      <w:r>
        <w:rPr>
          <w:rFonts w:ascii="Times New Roman" w:hAnsi="Times New Roman"/>
        </w:rPr>
        <w:t>年呈上升趋势；</w:t>
      </w:r>
      <w:r>
        <w:rPr>
          <w:rFonts w:ascii="Times New Roman" w:hAnsi="Times New Roman" w:hint="eastAsia"/>
        </w:rPr>
        <w:t>且</w:t>
      </w:r>
      <w:r>
        <w:rPr>
          <w:rFonts w:ascii="Times New Roman" w:hAnsi="Times New Roman"/>
        </w:rPr>
        <w:t>挥发酚仅</w:t>
      </w:r>
      <w:r>
        <w:rPr>
          <w:rFonts w:ascii="Times New Roman" w:hAnsi="Times New Roman"/>
        </w:rPr>
        <w:t>2013</w:t>
      </w:r>
      <w:r>
        <w:rPr>
          <w:rFonts w:ascii="Times New Roman" w:hAnsi="Times New Roman"/>
        </w:rPr>
        <w:t>年超标，</w:t>
      </w:r>
      <w:r>
        <w:rPr>
          <w:rFonts w:ascii="Times New Roman" w:hAnsi="Times New Roman"/>
        </w:rPr>
        <w:t>2018</w:t>
      </w:r>
      <w:r>
        <w:rPr>
          <w:rFonts w:ascii="Times New Roman" w:hAnsi="Times New Roman"/>
        </w:rPr>
        <w:t>年及本次监测均未监测到挥发酚。</w:t>
      </w:r>
    </w:p>
    <w:p w14:paraId="4AC7653A" w14:textId="77777777" w:rsidR="009C353B" w:rsidRDefault="00000000">
      <w:pPr>
        <w:adjustRightInd w:val="0"/>
        <w:snapToGrid w:val="0"/>
        <w:spacing w:line="440" w:lineRule="exact"/>
        <w:ind w:firstLineChars="200" w:firstLine="480"/>
        <w:rPr>
          <w:rFonts w:ascii="Times New Roman" w:hAnsi="Times New Roman"/>
          <w:szCs w:val="24"/>
          <w:lang w:val="zh-CN"/>
        </w:rPr>
      </w:pPr>
      <w:r>
        <w:rPr>
          <w:rFonts w:ascii="Times New Roman" w:hAnsi="Times New Roman" w:hint="eastAsia"/>
        </w:rPr>
        <w:t>水洞沟超标因子有</w:t>
      </w:r>
      <w:r>
        <w:rPr>
          <w:rFonts w:ascii="Times New Roman" w:hAnsi="Times New Roman" w:hint="eastAsia"/>
        </w:rPr>
        <w:t>C</w:t>
      </w:r>
      <w:r>
        <w:rPr>
          <w:rFonts w:ascii="Times New Roman" w:hAnsi="Times New Roman"/>
        </w:rPr>
        <w:t>OD</w:t>
      </w:r>
      <w:r>
        <w:rPr>
          <w:rFonts w:ascii="Times New Roman" w:hAnsi="Times New Roman" w:hint="eastAsia"/>
        </w:rPr>
        <w:t>、</w:t>
      </w:r>
      <w:r>
        <w:rPr>
          <w:rFonts w:ascii="Times New Roman" w:hAnsi="Times New Roman" w:hint="eastAsia"/>
        </w:rPr>
        <w:t>B</w:t>
      </w:r>
      <w:r>
        <w:rPr>
          <w:rFonts w:ascii="Times New Roman" w:hAnsi="Times New Roman"/>
        </w:rPr>
        <w:t>OD</w:t>
      </w:r>
      <w:r>
        <w:rPr>
          <w:rFonts w:ascii="Times New Roman" w:hAnsi="Times New Roman"/>
          <w:vertAlign w:val="subscript"/>
        </w:rPr>
        <w:t>5</w:t>
      </w:r>
      <w:r>
        <w:rPr>
          <w:rFonts w:ascii="Times New Roman" w:hAnsi="Times New Roman" w:hint="eastAsia"/>
        </w:rPr>
        <w:t>、氟化物、氨氮及总氮。与</w:t>
      </w:r>
      <w:r>
        <w:rPr>
          <w:rFonts w:ascii="Times New Roman" w:hAnsi="Times New Roman" w:hint="eastAsia"/>
        </w:rPr>
        <w:t>2018</w:t>
      </w:r>
      <w:r>
        <w:rPr>
          <w:rFonts w:ascii="Times New Roman" w:hAnsi="Times New Roman" w:hint="eastAsia"/>
        </w:rPr>
        <w:t>年监测结果相比，</w:t>
      </w:r>
      <w:r>
        <w:rPr>
          <w:rFonts w:ascii="Times New Roman" w:hAnsi="Times New Roman"/>
        </w:rPr>
        <w:t xml:space="preserve"> COD</w:t>
      </w:r>
      <w:r>
        <w:rPr>
          <w:rFonts w:ascii="Times New Roman" w:hAnsi="Times New Roman"/>
        </w:rPr>
        <w:t>、</w:t>
      </w:r>
      <w:r>
        <w:rPr>
          <w:rFonts w:ascii="Times New Roman" w:hAnsi="Times New Roman"/>
        </w:rPr>
        <w:t>BOD</w:t>
      </w:r>
      <w:r>
        <w:rPr>
          <w:rFonts w:ascii="Times New Roman" w:hAnsi="Times New Roman"/>
          <w:vertAlign w:val="subscript"/>
        </w:rPr>
        <w:t>5</w:t>
      </w:r>
      <w:r>
        <w:rPr>
          <w:rFonts w:ascii="Times New Roman" w:hAnsi="Times New Roman"/>
        </w:rPr>
        <w:t>以及氨氮基本均呈下降趋势，仅与当地背景值有关的氟化物有所上升，总体上水质有所好转。</w:t>
      </w:r>
    </w:p>
    <w:p w14:paraId="5E834F2A" w14:textId="77777777" w:rsidR="009C353B" w:rsidRDefault="00000000">
      <w:pPr>
        <w:adjustRightInd w:val="0"/>
        <w:snapToGrid w:val="0"/>
        <w:spacing w:line="440" w:lineRule="exact"/>
        <w:ind w:firstLineChars="200" w:firstLine="480"/>
        <w:rPr>
          <w:rFonts w:ascii="Times New Roman" w:hAnsi="Times New Roman"/>
          <w:szCs w:val="24"/>
          <w:lang w:val="zh-CN"/>
        </w:rPr>
      </w:pPr>
      <w:r>
        <w:rPr>
          <w:rFonts w:ascii="Times New Roman" w:hAnsi="Times New Roman"/>
          <w:szCs w:val="24"/>
          <w:lang w:val="zh-CN"/>
        </w:rPr>
        <w:t>鸭子荡水库</w:t>
      </w:r>
      <w:r>
        <w:rPr>
          <w:rFonts w:ascii="Times New Roman" w:hAnsi="Times New Roman" w:hint="eastAsia"/>
          <w:szCs w:val="24"/>
          <w:lang w:val="zh-CN"/>
        </w:rPr>
        <w:t>水质除总氮外，</w:t>
      </w:r>
      <w:r>
        <w:rPr>
          <w:rFonts w:ascii="Times New Roman" w:hAnsi="Times New Roman"/>
          <w:szCs w:val="24"/>
          <w:lang w:val="zh-CN"/>
        </w:rPr>
        <w:t>水质</w:t>
      </w:r>
      <w:r>
        <w:rPr>
          <w:rFonts w:ascii="Times New Roman" w:hAnsi="Times New Roman" w:hint="eastAsia"/>
          <w:szCs w:val="24"/>
          <w:lang w:val="zh-CN"/>
        </w:rPr>
        <w:t>一直呈</w:t>
      </w:r>
      <w:r>
        <w:rPr>
          <w:rFonts w:ascii="Times New Roman" w:hAnsi="Times New Roman"/>
          <w:szCs w:val="24"/>
          <w:lang w:val="zh-CN"/>
        </w:rPr>
        <w:t>变好趋势。</w:t>
      </w:r>
    </w:p>
    <w:p w14:paraId="6E80EA1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）地下水</w:t>
      </w:r>
    </w:p>
    <w:p w14:paraId="62A0E9B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任家庄煤矿</w:t>
      </w:r>
      <w:r>
        <w:rPr>
          <w:rFonts w:ascii="Times New Roman" w:hAnsi="Times New Roman"/>
        </w:rPr>
        <w:t>2005</w:t>
      </w:r>
      <w:r>
        <w:rPr>
          <w:rFonts w:ascii="Times New Roman" w:hAnsi="Times New Roman"/>
        </w:rPr>
        <w:t>年</w:t>
      </w:r>
      <w:r>
        <w:rPr>
          <w:rFonts w:ascii="Times New Roman" w:hAnsi="Times New Roman"/>
        </w:rPr>
        <w:t>2#</w:t>
      </w:r>
      <w:r>
        <w:rPr>
          <w:rFonts w:ascii="Times New Roman" w:hAnsi="Times New Roman"/>
        </w:rPr>
        <w:t>三道沟</w:t>
      </w:r>
      <w:r>
        <w:rPr>
          <w:rFonts w:ascii="Times New Roman" w:hAnsi="Times New Roman" w:hint="eastAsia"/>
        </w:rPr>
        <w:t>点位</w:t>
      </w:r>
      <w:r>
        <w:rPr>
          <w:rFonts w:ascii="Times New Roman" w:hAnsi="Times New Roman"/>
        </w:rPr>
        <w:t>硫酸盐和氟化物超标，到</w:t>
      </w:r>
      <w:r>
        <w:rPr>
          <w:rFonts w:ascii="Times New Roman" w:hAnsi="Times New Roman"/>
        </w:rPr>
        <w:t>2008</w:t>
      </w:r>
      <w:r>
        <w:rPr>
          <w:rFonts w:ascii="Times New Roman" w:hAnsi="Times New Roman"/>
        </w:rPr>
        <w:t>年</w:t>
      </w:r>
      <w:r>
        <w:rPr>
          <w:rFonts w:ascii="Times New Roman" w:hAnsi="Times New Roman"/>
        </w:rPr>
        <w:t>2#</w:t>
      </w:r>
      <w:r>
        <w:rPr>
          <w:rFonts w:ascii="Times New Roman" w:hAnsi="Times New Roman"/>
        </w:rPr>
        <w:t>超标</w:t>
      </w:r>
      <w:r>
        <w:rPr>
          <w:rFonts w:ascii="Times New Roman" w:hAnsi="Times New Roman" w:hint="eastAsia"/>
        </w:rPr>
        <w:t>项目</w:t>
      </w:r>
      <w:r>
        <w:rPr>
          <w:rFonts w:ascii="Times New Roman" w:hAnsi="Times New Roman"/>
        </w:rPr>
        <w:t>显著增加，水质变差，细菌总数和总大肠杆菌群数的数据提示监测井水已经受到严重污染。</w:t>
      </w:r>
      <w:r>
        <w:rPr>
          <w:rFonts w:ascii="Times New Roman" w:hAnsi="Times New Roman"/>
        </w:rPr>
        <w:t>2015</w:t>
      </w:r>
      <w:r>
        <w:rPr>
          <w:rFonts w:ascii="Times New Roman" w:hAnsi="Times New Roman"/>
        </w:rPr>
        <w:t>年监测结果与</w:t>
      </w:r>
      <w:r>
        <w:rPr>
          <w:rFonts w:ascii="Times New Roman" w:hAnsi="Times New Roman"/>
        </w:rPr>
        <w:t>2005</w:t>
      </w:r>
      <w:r>
        <w:rPr>
          <w:rFonts w:ascii="Times New Roman" w:hAnsi="Times New Roman"/>
        </w:rPr>
        <w:t>年相比，高锰酸钾出现超标；与</w:t>
      </w:r>
      <w:r>
        <w:rPr>
          <w:rFonts w:ascii="Times New Roman" w:hAnsi="Times New Roman"/>
        </w:rPr>
        <w:t>2008</w:t>
      </w:r>
      <w:r>
        <w:rPr>
          <w:rFonts w:ascii="Times New Roman" w:hAnsi="Times New Roman"/>
        </w:rPr>
        <w:t>年相比，亚硝酸盐超标，氟化物有下降趋势。总体上，任家庄煤矿地下水水质较差。超标原因主要是：</w:t>
      </w:r>
      <w:r>
        <w:rPr>
          <w:rFonts w:cs="宋体" w:hint="eastAsia"/>
        </w:rPr>
        <w:t>①</w:t>
      </w:r>
      <w:r>
        <w:rPr>
          <w:rFonts w:ascii="Times New Roman" w:hAnsi="Times New Roman" w:hint="eastAsia"/>
        </w:rPr>
        <w:t>该地区氟化物背景值高</w:t>
      </w:r>
      <w:r>
        <w:rPr>
          <w:rFonts w:ascii="Times New Roman" w:hAnsi="Times New Roman"/>
        </w:rPr>
        <w:t>；</w:t>
      </w:r>
      <w:r>
        <w:rPr>
          <w:rFonts w:cs="宋体" w:hint="eastAsia"/>
        </w:rPr>
        <w:t>②</w:t>
      </w:r>
      <w:r>
        <w:rPr>
          <w:rFonts w:ascii="Times New Roman" w:hAnsi="Times New Roman"/>
        </w:rPr>
        <w:t>该区域地下水含水层矿化度高。</w:t>
      </w:r>
    </w:p>
    <w:p w14:paraId="5232F36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红石湾矿井地下水不能够满足《地下水质量标准》（</w:t>
      </w:r>
      <w:r>
        <w:rPr>
          <w:rFonts w:ascii="Times New Roman" w:hAnsi="Times New Roman" w:hint="eastAsia"/>
          <w:szCs w:val="24"/>
        </w:rPr>
        <w:t>GB/T14848-2017</w:t>
      </w:r>
      <w:r>
        <w:rPr>
          <w:rFonts w:ascii="Times New Roman" w:hAnsi="Times New Roman" w:hint="eastAsia"/>
          <w:szCs w:val="24"/>
        </w:rPr>
        <w:t>）中的</w:t>
      </w:r>
      <w:r>
        <w:rPr>
          <w:rFonts w:ascii="Times New Roman" w:hAnsi="Times New Roman"/>
          <w:szCs w:val="24"/>
        </w:rPr>
        <w:t>Ⅲ</w:t>
      </w:r>
      <w:r>
        <w:rPr>
          <w:rFonts w:ascii="Times New Roman" w:hAnsi="Times New Roman" w:hint="eastAsia"/>
          <w:szCs w:val="24"/>
        </w:rPr>
        <w:t>类标准限值的要求，总硬度、溶解性总固体、氟化物、</w:t>
      </w:r>
      <w:r>
        <w:rPr>
          <w:rFonts w:ascii="Times New Roman" w:hAnsi="Times New Roman" w:hint="eastAsia"/>
          <w:szCs w:val="24"/>
        </w:rPr>
        <w:t>Na</w:t>
      </w:r>
      <w:r>
        <w:rPr>
          <w:rFonts w:ascii="Times New Roman" w:hAnsi="Times New Roman" w:hint="eastAsia"/>
          <w:szCs w:val="24"/>
          <w:vertAlign w:val="superscript"/>
        </w:rPr>
        <w:t>+</w:t>
      </w:r>
      <w:r>
        <w:rPr>
          <w:rFonts w:ascii="Times New Roman" w:hAnsi="Times New Roman" w:hint="eastAsia"/>
          <w:szCs w:val="24"/>
        </w:rPr>
        <w:t>、</w:t>
      </w:r>
      <w:r>
        <w:rPr>
          <w:rFonts w:ascii="Times New Roman" w:hAnsi="Times New Roman" w:hint="eastAsia"/>
          <w:szCs w:val="24"/>
        </w:rPr>
        <w:t>Cl</w:t>
      </w:r>
      <w:r>
        <w:rPr>
          <w:rFonts w:ascii="Times New Roman" w:hAnsi="Times New Roman" w:hint="eastAsia"/>
          <w:szCs w:val="24"/>
          <w:vertAlign w:val="superscript"/>
        </w:rPr>
        <w:t>-</w:t>
      </w:r>
      <w:r>
        <w:rPr>
          <w:rFonts w:ascii="Times New Roman" w:hAnsi="Times New Roman" w:hint="eastAsia"/>
          <w:szCs w:val="24"/>
        </w:rPr>
        <w:t>、</w:t>
      </w:r>
      <w:r>
        <w:rPr>
          <w:rFonts w:ascii="Times New Roman" w:hAnsi="Times New Roman" w:hint="eastAsia"/>
          <w:szCs w:val="24"/>
        </w:rPr>
        <w:t>SO</w:t>
      </w:r>
      <w:r>
        <w:rPr>
          <w:rFonts w:ascii="Times New Roman" w:hAnsi="Times New Roman" w:hint="eastAsia"/>
          <w:szCs w:val="24"/>
          <w:vertAlign w:val="subscript"/>
        </w:rPr>
        <w:t>4</w:t>
      </w:r>
      <w:r>
        <w:rPr>
          <w:rFonts w:ascii="Times New Roman" w:hAnsi="Times New Roman" w:hint="eastAsia"/>
          <w:szCs w:val="24"/>
          <w:vertAlign w:val="superscript"/>
        </w:rPr>
        <w:t>2-</w:t>
      </w:r>
      <w:r>
        <w:rPr>
          <w:rFonts w:ascii="Times New Roman" w:hAnsi="Times New Roman" w:hint="eastAsia"/>
          <w:szCs w:val="24"/>
        </w:rPr>
        <w:t>超标。氟化物超标与当地背景值有关，其余项目超标原因是地下水补给来源有限，赋存条件较差，径流条件一般，化学元素容易富集。</w:t>
      </w:r>
    </w:p>
    <w:p w14:paraId="07B0EC7F" w14:textId="77777777" w:rsidR="009C353B" w:rsidRDefault="00000000">
      <w:pPr>
        <w:adjustRightInd w:val="0"/>
        <w:snapToGrid w:val="0"/>
        <w:spacing w:line="440" w:lineRule="exact"/>
        <w:ind w:firstLine="480"/>
        <w:rPr>
          <w:rFonts w:ascii="Times New Roman" w:hAnsi="Times New Roman"/>
          <w:szCs w:val="24"/>
        </w:rPr>
      </w:pPr>
      <w:r>
        <w:rPr>
          <w:rFonts w:ascii="Times New Roman" w:hAnsi="Times New Roman" w:hint="eastAsia"/>
          <w:szCs w:val="24"/>
        </w:rPr>
        <w:t>马莲台煤矿</w:t>
      </w:r>
      <w:r>
        <w:rPr>
          <w:rFonts w:ascii="Times New Roman" w:hAnsi="Times New Roman" w:hint="eastAsia"/>
          <w:szCs w:val="24"/>
        </w:rPr>
        <w:t>2016</w:t>
      </w:r>
      <w:r>
        <w:rPr>
          <w:rFonts w:ascii="Times New Roman" w:hAnsi="Times New Roman" w:hint="eastAsia"/>
          <w:szCs w:val="24"/>
        </w:rPr>
        <w:t>年监测结果与</w:t>
      </w:r>
      <w:r>
        <w:rPr>
          <w:rFonts w:ascii="Times New Roman" w:hAnsi="Times New Roman" w:hint="eastAsia"/>
          <w:szCs w:val="24"/>
        </w:rPr>
        <w:t>2009</w:t>
      </w:r>
      <w:r>
        <w:rPr>
          <w:rFonts w:ascii="Times New Roman" w:hAnsi="Times New Roman" w:hint="eastAsia"/>
          <w:szCs w:val="24"/>
        </w:rPr>
        <w:t>年相比，超标项目基本一致，地下水质总体不变。超标原因主要是：该地区氟化物背景值高；该区域地下水含水层矿化度高。本次监测数据仅氟化物与细菌总数超标，其余指标均符合《地下水质量标准》（</w:t>
      </w:r>
      <w:r>
        <w:rPr>
          <w:rFonts w:ascii="Times New Roman" w:hAnsi="Times New Roman"/>
          <w:szCs w:val="24"/>
        </w:rPr>
        <w:t>GB/T14848-2017</w:t>
      </w:r>
      <w:r>
        <w:rPr>
          <w:rFonts w:ascii="Times New Roman" w:hAnsi="Times New Roman"/>
          <w:szCs w:val="24"/>
        </w:rPr>
        <w:t>）</w:t>
      </w:r>
      <w:r>
        <w:rPr>
          <w:rFonts w:ascii="Times New Roman" w:hAnsi="Times New Roman"/>
          <w:szCs w:val="24"/>
        </w:rPr>
        <w:t>Ⅲ</w:t>
      </w:r>
      <w:r>
        <w:rPr>
          <w:rFonts w:ascii="Times New Roman" w:hAnsi="Times New Roman"/>
          <w:szCs w:val="24"/>
        </w:rPr>
        <w:t>类标准</w:t>
      </w:r>
      <w:r>
        <w:rPr>
          <w:rFonts w:ascii="Times New Roman" w:hAnsi="Times New Roman" w:hint="eastAsia"/>
          <w:szCs w:val="24"/>
        </w:rPr>
        <w:t>，地下水水质明显变好。</w:t>
      </w:r>
    </w:p>
    <w:p w14:paraId="296D867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hAnsi="Times New Roman"/>
        </w:rPr>
        <w:t>声环境</w:t>
      </w:r>
    </w:p>
    <w:p w14:paraId="69CBBA1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rPr>
        <w:t>矿区</w:t>
      </w:r>
      <w:r>
        <w:rPr>
          <w:rFonts w:ascii="Times New Roman" w:hAnsi="Times New Roman" w:hint="eastAsia"/>
        </w:rPr>
        <w:t>开发</w:t>
      </w:r>
      <w:r>
        <w:rPr>
          <w:rFonts w:ascii="Times New Roman" w:hAnsi="Times New Roman"/>
        </w:rPr>
        <w:t>至今声环境质量</w:t>
      </w:r>
      <w:r>
        <w:rPr>
          <w:rFonts w:ascii="Times New Roman" w:hAnsi="Times New Roman" w:hint="eastAsia"/>
        </w:rPr>
        <w:t>未</w:t>
      </w:r>
      <w:r>
        <w:rPr>
          <w:rFonts w:ascii="Times New Roman" w:hAnsi="Times New Roman"/>
        </w:rPr>
        <w:t>发生大的变化，</w:t>
      </w:r>
      <w:r>
        <w:rPr>
          <w:rFonts w:ascii="Times New Roman" w:hAnsi="Times New Roman" w:hint="eastAsia"/>
        </w:rPr>
        <w:t>各矿工业场地</w:t>
      </w:r>
      <w:r>
        <w:rPr>
          <w:rFonts w:ascii="Times New Roman" w:hAnsi="Times New Roman"/>
        </w:rPr>
        <w:t>周边</w:t>
      </w:r>
      <w:r>
        <w:rPr>
          <w:rFonts w:ascii="Times New Roman" w:hAnsi="Times New Roman"/>
          <w:szCs w:val="24"/>
        </w:rPr>
        <w:t>仍能满足《声环境质量标准》（</w:t>
      </w:r>
      <w:r>
        <w:rPr>
          <w:rFonts w:ascii="Times New Roman" w:hAnsi="Times New Roman"/>
          <w:szCs w:val="24"/>
        </w:rPr>
        <w:t>GB3096-2008</w:t>
      </w:r>
      <w:r>
        <w:rPr>
          <w:rFonts w:ascii="Times New Roman" w:hAnsi="Times New Roman"/>
          <w:szCs w:val="24"/>
        </w:rPr>
        <w:t>）中</w:t>
      </w:r>
      <w:r>
        <w:rPr>
          <w:rFonts w:ascii="Times New Roman" w:hAnsi="Times New Roman"/>
          <w:szCs w:val="24"/>
        </w:rPr>
        <w:t>3</w:t>
      </w:r>
      <w:r>
        <w:rPr>
          <w:rFonts w:ascii="Times New Roman" w:hAnsi="Times New Roman" w:hint="eastAsia"/>
          <w:szCs w:val="24"/>
        </w:rPr>
        <w:t>类</w:t>
      </w:r>
      <w:r>
        <w:rPr>
          <w:rFonts w:ascii="Times New Roman" w:hAnsi="Times New Roman"/>
          <w:szCs w:val="24"/>
        </w:rPr>
        <w:t>标准要求</w:t>
      </w:r>
      <w:r>
        <w:rPr>
          <w:rFonts w:ascii="Times New Roman" w:hAnsi="Times New Roman" w:hint="eastAsia"/>
          <w:szCs w:val="24"/>
        </w:rPr>
        <w:t>。</w:t>
      </w:r>
    </w:p>
    <w:p w14:paraId="47AF467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5</w:t>
      </w:r>
      <w:r>
        <w:rPr>
          <w:rFonts w:ascii="Times New Roman" w:hAnsi="Times New Roman" w:hint="eastAsia"/>
          <w:szCs w:val="24"/>
        </w:rPr>
        <w:t>）生态环境</w:t>
      </w:r>
    </w:p>
    <w:p w14:paraId="2A3041D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2004-2019</w:t>
      </w:r>
      <w:r>
        <w:rPr>
          <w:rFonts w:ascii="Times New Roman" w:hAnsi="Times New Roman"/>
          <w:szCs w:val="24"/>
        </w:rPr>
        <w:t>年间，评价区内</w:t>
      </w:r>
      <w:r>
        <w:rPr>
          <w:rFonts w:ascii="Times New Roman" w:hAnsi="Times New Roman" w:hint="eastAsia"/>
          <w:szCs w:val="24"/>
        </w:rPr>
        <w:t>工矿用地、水库水面和坑塘水面的土地利用动态变化最为剧烈，呈现明显的上升趋势。乔木林地和灌木林地的土地利用动态度为正值，总体上呈现增加的趋势，同时沙地的土地利用动态度为负值，呈现减少的趋势。可见评价区的土地利用变化</w:t>
      </w:r>
      <w:r>
        <w:rPr>
          <w:rFonts w:ascii="Times New Roman" w:hAnsi="Times New Roman"/>
          <w:szCs w:val="24"/>
        </w:rPr>
        <w:t>与区域内的人类活动密切相关，</w:t>
      </w:r>
      <w:r>
        <w:rPr>
          <w:rFonts w:ascii="Times New Roman" w:hAnsi="Times New Roman" w:hint="eastAsia"/>
          <w:szCs w:val="24"/>
        </w:rPr>
        <w:t>工业建设和生态建设同时进行。进而导致区域土地利用结构发生变化，天然牧草地和沙地或被工程建设占用转换为工矿用地、铁路用地和公路用地，或因生态建设转换为乔木林地和灌木林地。</w:t>
      </w:r>
    </w:p>
    <w:p w14:paraId="1859B3F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szCs w:val="24"/>
        </w:rPr>
        <w:t>2004-2019</w:t>
      </w:r>
      <w:r>
        <w:rPr>
          <w:rFonts w:ascii="Times New Roman" w:hAnsi="Times New Roman" w:hint="eastAsia"/>
          <w:szCs w:val="24"/>
        </w:rPr>
        <w:t>年间随着区域工业园区和矿区不断开发，区域的植被第一生产力先降低后又逐渐恢复，可见在工业建设的同时加强生态保护建设，</w:t>
      </w:r>
      <w:r>
        <w:rPr>
          <w:rFonts w:ascii="Times New Roman" w:hAnsi="Times New Roman"/>
          <w:szCs w:val="24"/>
        </w:rPr>
        <w:t>制订正确的生态治理方案，实施合理的生态恢复治理工程，</w:t>
      </w:r>
      <w:r>
        <w:rPr>
          <w:rFonts w:ascii="Times New Roman" w:hAnsi="Times New Roman" w:hint="eastAsia"/>
          <w:szCs w:val="24"/>
        </w:rPr>
        <w:t>可</w:t>
      </w:r>
      <w:r>
        <w:rPr>
          <w:rFonts w:ascii="Times New Roman" w:hAnsi="Times New Roman"/>
          <w:szCs w:val="24"/>
        </w:rPr>
        <w:t>改善区域的生态环境。</w:t>
      </w:r>
    </w:p>
    <w:p w14:paraId="4458BCD4" w14:textId="77777777" w:rsidR="009C353B" w:rsidRDefault="00000000">
      <w:pPr>
        <w:pStyle w:val="2"/>
        <w:adjustRightInd w:val="0"/>
        <w:snapToGrid w:val="0"/>
        <w:spacing w:before="320" w:after="320" w:line="440" w:lineRule="exact"/>
        <w:rPr>
          <w:rFonts w:ascii="Times New Roman" w:eastAsia="宋体" w:hAnsi="Times New Roman"/>
          <w:b/>
          <w:sz w:val="28"/>
        </w:rPr>
      </w:pPr>
      <w:bookmarkStart w:id="209" w:name="_Toc59189841"/>
      <w:r>
        <w:rPr>
          <w:rFonts w:ascii="Times New Roman" w:eastAsia="宋体" w:hAnsi="Times New Roman"/>
          <w:b/>
          <w:sz w:val="28"/>
        </w:rPr>
        <w:t>4.8</w:t>
      </w:r>
      <w:r>
        <w:rPr>
          <w:rFonts w:ascii="Times New Roman" w:eastAsia="宋体" w:hAnsi="Times New Roman" w:hint="eastAsia"/>
          <w:b/>
          <w:sz w:val="28"/>
        </w:rPr>
        <w:t xml:space="preserve"> </w:t>
      </w:r>
      <w:r>
        <w:rPr>
          <w:rFonts w:ascii="Times New Roman" w:eastAsia="宋体" w:hAnsi="Times New Roman" w:hint="eastAsia"/>
          <w:b/>
          <w:sz w:val="28"/>
        </w:rPr>
        <w:t>矿区开发过程中存在的环境问题及整改措施</w:t>
      </w:r>
      <w:bookmarkEnd w:id="209"/>
    </w:p>
    <w:p w14:paraId="1B50E52A"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w:t>
      </w:r>
      <w:r>
        <w:rPr>
          <w:rFonts w:ascii="Times New Roman" w:hAnsi="Times New Roman"/>
          <w:sz w:val="24"/>
        </w:rPr>
        <w:t>8</w:t>
      </w:r>
      <w:r>
        <w:rPr>
          <w:rFonts w:ascii="Times New Roman" w:hAnsi="Times New Roman" w:hint="eastAsia"/>
          <w:sz w:val="24"/>
        </w:rPr>
        <w:t>.</w:t>
      </w:r>
      <w:r>
        <w:rPr>
          <w:rFonts w:ascii="Times New Roman" w:hAnsi="Times New Roman"/>
          <w:sz w:val="24"/>
        </w:rPr>
        <w:t xml:space="preserve">1 </w:t>
      </w:r>
      <w:r>
        <w:rPr>
          <w:rFonts w:ascii="Times New Roman" w:hAnsi="Times New Roman" w:hint="eastAsia"/>
          <w:sz w:val="24"/>
        </w:rPr>
        <w:t>矿区开发过程中存在的环境</w:t>
      </w:r>
      <w:r>
        <w:rPr>
          <w:rFonts w:ascii="Times New Roman" w:hAnsi="Times New Roman"/>
          <w:sz w:val="24"/>
        </w:rPr>
        <w:t>问题</w:t>
      </w:r>
    </w:p>
    <w:p w14:paraId="09742F1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rPr>
        <w:t>1</w:t>
      </w:r>
      <w:r>
        <w:rPr>
          <w:rFonts w:ascii="Times New Roman" w:hAnsi="Times New Roman" w:hint="eastAsia"/>
        </w:rPr>
        <w:t>）</w:t>
      </w:r>
      <w:r>
        <w:rPr>
          <w:rFonts w:ascii="Times New Roman"/>
          <w:szCs w:val="24"/>
        </w:rPr>
        <w:t>生态保护与修复</w:t>
      </w:r>
      <w:r>
        <w:rPr>
          <w:rFonts w:ascii="Times New Roman" w:hint="eastAsia"/>
          <w:szCs w:val="24"/>
        </w:rPr>
        <w:t>方面存在的问题</w:t>
      </w:r>
    </w:p>
    <w:p w14:paraId="493E322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1</w:t>
      </w:r>
      <w:r>
        <w:rPr>
          <w:rFonts w:ascii="Times New Roman" w:hint="eastAsia"/>
        </w:rPr>
        <w:t>）矿区开采的生态影响主要是开采沉陷的影响。</w:t>
      </w:r>
      <w:r>
        <w:rPr>
          <w:rFonts w:ascii="Times New Roman" w:hAnsi="Times New Roman" w:hint="eastAsia"/>
          <w:szCs w:val="24"/>
        </w:rPr>
        <w:t>根据</w:t>
      </w:r>
      <w:r>
        <w:rPr>
          <w:rFonts w:ascii="Times New Roman" w:hint="eastAsia"/>
        </w:rPr>
        <w:t>现场调查，矿区三个生产矿井（红石湾、任家庄、马莲台煤矿）</w:t>
      </w:r>
      <w:r>
        <w:rPr>
          <w:rFonts w:ascii="Times New Roman"/>
        </w:rPr>
        <w:t>采空区地表</w:t>
      </w:r>
      <w:r>
        <w:rPr>
          <w:rFonts w:ascii="Times New Roman" w:hint="eastAsia"/>
        </w:rPr>
        <w:t>均已出现沉陷裂缝。大部分裂缝宽度在</w:t>
      </w:r>
      <w:r>
        <w:rPr>
          <w:rFonts w:ascii="Times New Roman" w:hint="eastAsia"/>
        </w:rPr>
        <w:t>0</w:t>
      </w:r>
      <w:r>
        <w:rPr>
          <w:rFonts w:ascii="Times New Roman"/>
        </w:rPr>
        <w:t>.01</w:t>
      </w:r>
      <w:r>
        <w:rPr>
          <w:rFonts w:ascii="Times New Roman" w:hint="eastAsia"/>
        </w:rPr>
        <w:t>-</w:t>
      </w:r>
      <w:r>
        <w:rPr>
          <w:rFonts w:ascii="Times New Roman"/>
        </w:rPr>
        <w:t>1.8</w:t>
      </w:r>
      <w:r>
        <w:rPr>
          <w:rFonts w:ascii="Times New Roman" w:hint="eastAsia"/>
        </w:rPr>
        <w:t>m</w:t>
      </w:r>
      <w:r>
        <w:rPr>
          <w:rFonts w:ascii="Times New Roman" w:hint="eastAsia"/>
        </w:rPr>
        <w:t>之间，深度在</w:t>
      </w:r>
      <w:r>
        <w:rPr>
          <w:rFonts w:ascii="Times New Roman" w:hint="eastAsia"/>
        </w:rPr>
        <w:t>0</w:t>
      </w:r>
      <w:r>
        <w:rPr>
          <w:rFonts w:ascii="Times New Roman"/>
        </w:rPr>
        <w:t>.2-2</w:t>
      </w:r>
      <w:r>
        <w:rPr>
          <w:rFonts w:ascii="Times New Roman" w:hint="eastAsia"/>
        </w:rPr>
        <w:t>m</w:t>
      </w:r>
      <w:r>
        <w:rPr>
          <w:rFonts w:ascii="Times New Roman" w:hint="eastAsia"/>
        </w:rPr>
        <w:t>之间，长度在</w:t>
      </w:r>
      <w:r>
        <w:rPr>
          <w:rFonts w:ascii="Times New Roman" w:hint="eastAsia"/>
        </w:rPr>
        <w:t>0</w:t>
      </w:r>
      <w:r>
        <w:rPr>
          <w:rFonts w:ascii="Times New Roman"/>
        </w:rPr>
        <w:t>.5-150</w:t>
      </w:r>
      <w:r>
        <w:rPr>
          <w:rFonts w:ascii="Times New Roman" w:hint="eastAsia"/>
        </w:rPr>
        <w:t>m</w:t>
      </w:r>
      <w:r>
        <w:rPr>
          <w:rFonts w:ascii="Times New Roman" w:hint="eastAsia"/>
        </w:rPr>
        <w:t>之间。建设单位设立专人对采区每日的裂缝进行巡查，并对地表沉陷裂缝进行了充填。</w:t>
      </w:r>
    </w:p>
    <w:p w14:paraId="72161A7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2</w:t>
      </w:r>
      <w:r>
        <w:rPr>
          <w:rFonts w:ascii="Times New Roman" w:hAnsi="Times New Roman" w:hint="eastAsia"/>
          <w:szCs w:val="24"/>
        </w:rPr>
        <w:t>）红石湾、任家庄、马莲台煤矿地表岩移观测不完善。明长城保护煤柱宽度不足，局部地段已受开采沉陷影响。</w:t>
      </w:r>
    </w:p>
    <w:p w14:paraId="5502387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3</w:t>
      </w:r>
      <w:r>
        <w:rPr>
          <w:rFonts w:ascii="Times New Roman" w:hAnsi="Times New Roman" w:hint="eastAsia"/>
          <w:szCs w:val="24"/>
        </w:rPr>
        <w:t>）现场调查发现矿区开采生态保护与修复存在的主要问题是沉陷区地表局部裂缝较大，对裂缝区原有植被正常生长造成影响，由于本区降雨量小，充填后的裂缝区原有植被自然恢复慢，目前尚未完全恢复至其未受影响前的生长状态。</w:t>
      </w:r>
    </w:p>
    <w:p w14:paraId="513C58EF" w14:textId="77777777" w:rsidR="009C353B" w:rsidRDefault="00000000">
      <w:pPr>
        <w:adjustRightInd w:val="0"/>
        <w:snapToGrid w:val="0"/>
        <w:spacing w:line="440" w:lineRule="exact"/>
        <w:ind w:firstLineChars="200" w:firstLine="480"/>
        <w:rPr>
          <w:rFonts w:ascii="Times New Roman" w:hint="eastAsia"/>
        </w:rPr>
      </w:pPr>
      <w:r>
        <w:rPr>
          <w:rFonts w:ascii="Times New Roman"/>
        </w:rPr>
        <w:t>4</w:t>
      </w:r>
      <w:r>
        <w:rPr>
          <w:rFonts w:ascii="Times New Roman" w:hint="eastAsia"/>
        </w:rPr>
        <w:t>）另外经现场调查，地表沉陷裂缝虽然已经进行了充填，但未对裂缝发生区域进行植被补植。</w:t>
      </w:r>
    </w:p>
    <w:p w14:paraId="132CBBC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2</w:t>
      </w:r>
      <w:r>
        <w:rPr>
          <w:rFonts w:ascii="Times New Roman" w:hint="eastAsia"/>
        </w:rPr>
        <w:t>）污染治理方面存在的问题</w:t>
      </w:r>
    </w:p>
    <w:p w14:paraId="362C1A1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红石湾矿井水处理后用于地面及井下生产、洒水抑尘，目前矿井水未进行脱盐处理，建议后续根据矿井水分质利用要求，对矿井水进行深度处理，进一步提升处理后矿井水水质，降低矿化度，增加矿井水综合利用途径。</w:t>
      </w:r>
    </w:p>
    <w:p w14:paraId="54F257B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int="eastAsia"/>
        </w:rPr>
        <w:t>2</w:t>
      </w:r>
      <w:r>
        <w:rPr>
          <w:rFonts w:ascii="Times New Roman" w:hint="eastAsia"/>
        </w:rPr>
        <w:t>）</w:t>
      </w:r>
      <w:r>
        <w:rPr>
          <w:rFonts w:ascii="Times New Roman" w:hAnsi="Times New Roman" w:hint="eastAsia"/>
          <w:szCs w:val="24"/>
        </w:rPr>
        <w:t>红石湾、任家庄、马莲台煤矿</w:t>
      </w:r>
      <w:r>
        <w:rPr>
          <w:rFonts w:ascii="Times New Roman" w:hint="eastAsia"/>
        </w:rPr>
        <w:t>未设置地下水跟踪</w:t>
      </w:r>
      <w:r>
        <w:rPr>
          <w:rFonts w:ascii="Times New Roman" w:hAnsi="Times New Roman" w:hint="eastAsia"/>
          <w:szCs w:val="24"/>
        </w:rPr>
        <w:t>观测井、未开展地下水水质水位跟踪观测工作。</w:t>
      </w:r>
    </w:p>
    <w:p w14:paraId="701C2CD8"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w:t>
      </w:r>
      <w:r>
        <w:rPr>
          <w:rFonts w:ascii="Times New Roman" w:hint="eastAsia"/>
          <w:szCs w:val="24"/>
        </w:rPr>
        <w:t>3</w:t>
      </w:r>
      <w:r>
        <w:rPr>
          <w:rFonts w:ascii="Times New Roman" w:hint="eastAsia"/>
          <w:szCs w:val="24"/>
        </w:rPr>
        <w:t>）</w:t>
      </w:r>
      <w:r>
        <w:rPr>
          <w:rFonts w:ascii="Times New Roman"/>
          <w:szCs w:val="24"/>
        </w:rPr>
        <w:t>资源综合利用方面存在的问题</w:t>
      </w:r>
    </w:p>
    <w:p w14:paraId="03F1561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szCs w:val="24"/>
        </w:rPr>
        <w:t>矿区生活污水</w:t>
      </w:r>
      <w:r>
        <w:rPr>
          <w:rFonts w:ascii="Times New Roman" w:hint="eastAsia"/>
          <w:szCs w:val="24"/>
        </w:rPr>
        <w:t>、</w:t>
      </w:r>
      <w:r>
        <w:rPr>
          <w:rFonts w:ascii="Times New Roman"/>
          <w:szCs w:val="24"/>
        </w:rPr>
        <w:t>矿井水均进行了资源化利用</w:t>
      </w:r>
      <w:r>
        <w:rPr>
          <w:rFonts w:ascii="Times New Roman" w:hint="eastAsia"/>
          <w:szCs w:val="24"/>
        </w:rPr>
        <w:t>。</w:t>
      </w:r>
      <w:r>
        <w:rPr>
          <w:rFonts w:ascii="Times New Roman"/>
          <w:szCs w:val="24"/>
        </w:rPr>
        <w:t>矿区资源综合利用方面存在的问题主要是矸石的综合利用</w:t>
      </w:r>
      <w:r>
        <w:rPr>
          <w:rFonts w:ascii="Times New Roman" w:hint="eastAsia"/>
          <w:szCs w:val="24"/>
        </w:rPr>
        <w:t>。</w:t>
      </w:r>
      <w:r>
        <w:rPr>
          <w:rFonts w:ascii="Times New Roman"/>
          <w:szCs w:val="24"/>
        </w:rPr>
        <w:t>目前三个生产矿井矸石主要是排矸场堆存处置后覆土恢复植被</w:t>
      </w:r>
      <w:r>
        <w:rPr>
          <w:rFonts w:ascii="Times New Roman" w:hint="eastAsia"/>
          <w:szCs w:val="24"/>
        </w:rPr>
        <w:t>，</w:t>
      </w:r>
      <w:r>
        <w:rPr>
          <w:rFonts w:ascii="Times New Roman" w:hAnsi="Times New Roman" w:hint="eastAsia"/>
          <w:szCs w:val="24"/>
        </w:rPr>
        <w:t>各矿对未来矸石综合利用方向不明确，无规划。</w:t>
      </w:r>
    </w:p>
    <w:p w14:paraId="5C80F232"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4.</w:t>
      </w:r>
      <w:r>
        <w:rPr>
          <w:rFonts w:ascii="Times New Roman" w:hAnsi="Times New Roman"/>
          <w:sz w:val="24"/>
        </w:rPr>
        <w:t>8</w:t>
      </w:r>
      <w:r>
        <w:rPr>
          <w:rFonts w:ascii="Times New Roman" w:hAnsi="Times New Roman" w:hint="eastAsia"/>
          <w:sz w:val="24"/>
        </w:rPr>
        <w:t>.</w:t>
      </w:r>
      <w:r>
        <w:rPr>
          <w:rFonts w:ascii="Times New Roman" w:hAnsi="Times New Roman"/>
          <w:sz w:val="24"/>
        </w:rPr>
        <w:t xml:space="preserve">2 </w:t>
      </w:r>
      <w:r>
        <w:rPr>
          <w:rFonts w:ascii="Times New Roman" w:hAnsi="Times New Roman" w:hint="eastAsia"/>
          <w:sz w:val="24"/>
        </w:rPr>
        <w:t>后续对策建议</w:t>
      </w:r>
    </w:p>
    <w:p w14:paraId="59D83E5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rPr>
        <w:t>1</w:t>
      </w:r>
      <w:r>
        <w:rPr>
          <w:rFonts w:ascii="Times New Roman" w:hAnsi="Times New Roman" w:hint="eastAsia"/>
        </w:rPr>
        <w:t>）</w:t>
      </w:r>
      <w:r>
        <w:rPr>
          <w:rFonts w:ascii="Times New Roman"/>
          <w:szCs w:val="24"/>
        </w:rPr>
        <w:t>生态保护与修复对策建议</w:t>
      </w:r>
    </w:p>
    <w:p w14:paraId="57DC185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）任家庄井田后续开采过程中，可参考本次评价计算的沉陷影响半径</w:t>
      </w:r>
      <w:r>
        <w:rPr>
          <w:rFonts w:ascii="Times New Roman"/>
        </w:rPr>
        <w:t>280m</w:t>
      </w:r>
      <w:r>
        <w:rPr>
          <w:rFonts w:ascii="Times New Roman"/>
        </w:rPr>
        <w:t>对白芨滩国家级自然保护区留设保护煤柱，在后续开采过程中，在临近自然保护区的区域，保护煤柱的宽度应根据井田开采沉陷观测实际参数、开采区煤层埋深等，适时调整保护煤柱宽度，确保不影响自然保护区。</w:t>
      </w:r>
    </w:p>
    <w:p w14:paraId="319FD80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宁夏回族自治区自然保护区管理办法》第十三条“自然保护区边界外围２公里内的地带为外围保护地带。经批准在自然保护区外围保护地带建设的项目或者设施，不得损害自然保护区的环境质量和生态功能。”已建成煤矿中，任家庄工业场地距离保护区约</w:t>
      </w:r>
      <w:r>
        <w:rPr>
          <w:rFonts w:ascii="Times New Roman" w:hint="eastAsia"/>
        </w:rPr>
        <w:t>150m</w:t>
      </w:r>
      <w:r>
        <w:rPr>
          <w:rFonts w:ascii="Times New Roman" w:hint="eastAsia"/>
        </w:rPr>
        <w:t>，其他三个矿井工业场地均在保护区边界</w:t>
      </w:r>
      <w:r>
        <w:rPr>
          <w:rFonts w:ascii="Times New Roman" w:hint="eastAsia"/>
        </w:rPr>
        <w:t>2km</w:t>
      </w:r>
      <w:r>
        <w:rPr>
          <w:rFonts w:ascii="Times New Roman" w:hint="eastAsia"/>
        </w:rPr>
        <w:t>范围外。任家庄煤</w:t>
      </w:r>
      <w:r>
        <w:rPr>
          <w:rFonts w:ascii="Times New Roman" w:hint="eastAsia"/>
        </w:rPr>
        <w:t>2006</w:t>
      </w:r>
      <w:r>
        <w:rPr>
          <w:rFonts w:ascii="Times New Roman" w:hint="eastAsia"/>
        </w:rPr>
        <w:t>年经批准建设，经调查其目前正常生产，未对自然保护区的环境质量和生态功能造成损害。参照自治区人民政府令第</w:t>
      </w:r>
      <w:r>
        <w:rPr>
          <w:rFonts w:ascii="Times New Roman" w:hint="eastAsia"/>
        </w:rPr>
        <w:t>92</w:t>
      </w:r>
      <w:r>
        <w:rPr>
          <w:rFonts w:ascii="Times New Roman" w:hint="eastAsia"/>
        </w:rPr>
        <w:t>号《宁夏回族自治区自然保护区管理办法》</w:t>
      </w:r>
      <w:r>
        <w:rPr>
          <w:rFonts w:ascii="Times New Roman" w:hint="eastAsia"/>
        </w:rPr>
        <w:t>(</w:t>
      </w:r>
      <w:r>
        <w:rPr>
          <w:rFonts w:ascii="Times New Roman" w:hint="eastAsia"/>
        </w:rPr>
        <w:t>修订</w:t>
      </w:r>
      <w:r>
        <w:rPr>
          <w:rFonts w:ascii="Times New Roman"/>
        </w:rPr>
        <w:t>)</w:t>
      </w:r>
      <w:r>
        <w:rPr>
          <w:rFonts w:ascii="Times New Roman" w:hint="eastAsia"/>
        </w:rPr>
        <w:t>，本次规划要求在后续各矿生产过程中，须遵守“办法”要求，涉及在自然保护区外围保护地带建设的项目或者设施，需经相关部门批准，项目不得损害自然保护区的环境质量和生态功能。</w:t>
      </w:r>
    </w:p>
    <w:p w14:paraId="5C2EF3AF" w14:textId="77777777" w:rsidR="009C353B" w:rsidRDefault="00000000">
      <w:pPr>
        <w:adjustRightInd w:val="0"/>
        <w:snapToGrid w:val="0"/>
        <w:spacing w:line="440" w:lineRule="exact"/>
        <w:ind w:firstLineChars="200" w:firstLine="480"/>
        <w:rPr>
          <w:rFonts w:ascii="Times New Roman" w:hint="eastAsia"/>
        </w:rPr>
      </w:pPr>
      <w:r>
        <w:rPr>
          <w:rFonts w:ascii="Times New Roman"/>
        </w:rPr>
        <w:t>2</w:t>
      </w:r>
      <w:r>
        <w:rPr>
          <w:rFonts w:ascii="Times New Roman" w:hint="eastAsia"/>
        </w:rPr>
        <w:t>）各矿应按照沉陷观测站设置要求设置沉陷观测站点，规范开展地表变形岩移观测工作，观测并记录地表岩移各项结果，为后续开采及煤柱留设提供科学的依据。后续各矿应根据本次评价结果，结合实际沉陷观测结果，对明长城等文物、自然保护区等保护目标留设足够的保护煤柱，确保不受开采沉陷影响。</w:t>
      </w:r>
    </w:p>
    <w:p w14:paraId="10475F70"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szCs w:val="24"/>
        </w:rPr>
        <w:t>3</w:t>
      </w:r>
      <w:r>
        <w:rPr>
          <w:rFonts w:ascii="Times New Roman" w:hAnsi="Times New Roman" w:hint="eastAsia"/>
          <w:szCs w:val="24"/>
        </w:rPr>
        <w:t>）</w:t>
      </w:r>
      <w:r>
        <w:rPr>
          <w:rFonts w:ascii="Times New Roman"/>
        </w:rPr>
        <w:t>根据矿区生态治理和恢复</w:t>
      </w:r>
      <w:r>
        <w:rPr>
          <w:rFonts w:ascii="Times New Roman" w:hint="eastAsia"/>
        </w:rPr>
        <w:t>，</w:t>
      </w:r>
      <w:r>
        <w:rPr>
          <w:rFonts w:ascii="Times New Roman"/>
        </w:rPr>
        <w:t>矿区生态变化情况看</w:t>
      </w:r>
      <w:r>
        <w:rPr>
          <w:rFonts w:ascii="Times New Roman" w:hint="eastAsia"/>
        </w:rPr>
        <w:t>，</w:t>
      </w:r>
      <w:r>
        <w:rPr>
          <w:rFonts w:ascii="Times New Roman"/>
        </w:rPr>
        <w:t>矿区生态在采取有效的人工修复治理措施后</w:t>
      </w:r>
      <w:r>
        <w:rPr>
          <w:rFonts w:ascii="Times New Roman" w:hint="eastAsia"/>
        </w:rPr>
        <w:t>，</w:t>
      </w:r>
      <w:r>
        <w:rPr>
          <w:rFonts w:ascii="Times New Roman"/>
        </w:rPr>
        <w:t>生态整体上</w:t>
      </w:r>
      <w:r>
        <w:rPr>
          <w:rFonts w:ascii="Times New Roman" w:hint="eastAsia"/>
        </w:rPr>
        <w:t>可以</w:t>
      </w:r>
      <w:r>
        <w:rPr>
          <w:rFonts w:ascii="Times New Roman"/>
        </w:rPr>
        <w:t>得到较好的改善</w:t>
      </w:r>
      <w:r>
        <w:rPr>
          <w:rFonts w:ascii="Times New Roman" w:hint="eastAsia"/>
        </w:rPr>
        <w:t>。</w:t>
      </w:r>
      <w:r>
        <w:rPr>
          <w:rFonts w:ascii="Times New Roman"/>
        </w:rPr>
        <w:t>因此</w:t>
      </w:r>
      <w:r>
        <w:rPr>
          <w:rFonts w:ascii="Times New Roman" w:hint="eastAsia"/>
        </w:rPr>
        <w:t>，矿区后续开发过程中，应充分借鉴矿区多年来生态恢复治理的经验和成效，对沉陷区加强恢复治理。出现的沉陷裂缝及时进行充填</w:t>
      </w:r>
      <w:r>
        <w:rPr>
          <w:rFonts w:ascii="Times New Roman" w:hAnsi="Times New Roman" w:hint="eastAsia"/>
          <w:szCs w:val="24"/>
        </w:rPr>
        <w:t>，充填后及时开展生态修复，恢复植被，防风固沙，保持水土。现阶段首先应做到在裂缝充填后，根据实际情况及时补植补播适合本区的耐旱植物物种，植物种类可选择</w:t>
      </w:r>
      <w:r>
        <w:rPr>
          <w:rFonts w:ascii="Times New Roman" w:hAnsi="Times New Roman"/>
          <w:szCs w:val="24"/>
        </w:rPr>
        <w:t>包括柠条、猫头刺、蒿类等</w:t>
      </w:r>
      <w:r>
        <w:rPr>
          <w:rFonts w:ascii="Times New Roman" w:hAnsi="Times New Roman" w:hint="eastAsia"/>
          <w:szCs w:val="24"/>
        </w:rPr>
        <w:t>，并使其尽可能快的恢复至其未受影响前的生长状态。</w:t>
      </w:r>
    </w:p>
    <w:p w14:paraId="1D24FD8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2</w:t>
      </w:r>
      <w:r>
        <w:rPr>
          <w:rFonts w:ascii="Times New Roman" w:hint="eastAsia"/>
        </w:rPr>
        <w:t>）污染治理对策建议</w:t>
      </w:r>
    </w:p>
    <w:p w14:paraId="2F1E82C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rPr>
        <w:t>1</w:t>
      </w:r>
      <w:r>
        <w:rPr>
          <w:rFonts w:ascii="Times New Roman" w:hAnsi="Times New Roman" w:hint="eastAsia"/>
        </w:rPr>
        <w:t>）</w:t>
      </w:r>
      <w:r>
        <w:rPr>
          <w:rFonts w:ascii="Times New Roman" w:hAnsi="Times New Roman" w:hint="eastAsia"/>
          <w:szCs w:val="24"/>
        </w:rPr>
        <w:t>建议红石湾煤矿增设矿井水深度处理工艺，如反渗透处理设施等，进一步降低矿井水矿化度，提升处理后矿井水水质，满足矿井水后续综合利用要求。</w:t>
      </w:r>
    </w:p>
    <w:p w14:paraId="408BCD4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int="eastAsia"/>
        </w:rPr>
        <w:t>2</w:t>
      </w:r>
      <w:r>
        <w:rPr>
          <w:rFonts w:ascii="Times New Roman" w:hint="eastAsia"/>
        </w:rPr>
        <w:t>）</w:t>
      </w:r>
      <w:r>
        <w:rPr>
          <w:rFonts w:ascii="Times New Roman" w:hAnsi="Times New Roman" w:hint="eastAsia"/>
          <w:szCs w:val="24"/>
        </w:rPr>
        <w:t>各矿井应按监测方案要求设置地下水跟踪观测井，定期对周边影响区域的地下水水位进行跟踪监测，并做好跟踪观测记录，为准确判断影响及后续采取保护措施提供依据。</w:t>
      </w:r>
    </w:p>
    <w:p w14:paraId="4E4E22F6"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w:t>
      </w:r>
      <w:r>
        <w:rPr>
          <w:rFonts w:ascii="Times New Roman" w:hint="eastAsia"/>
          <w:szCs w:val="24"/>
        </w:rPr>
        <w:t>3</w:t>
      </w:r>
      <w:r>
        <w:rPr>
          <w:rFonts w:ascii="Times New Roman" w:hint="eastAsia"/>
          <w:szCs w:val="24"/>
        </w:rPr>
        <w:t>）</w:t>
      </w:r>
      <w:r>
        <w:rPr>
          <w:rFonts w:ascii="Times New Roman"/>
          <w:szCs w:val="24"/>
        </w:rPr>
        <w:t>资源综合利用</w:t>
      </w:r>
      <w:r>
        <w:rPr>
          <w:rFonts w:ascii="Times New Roman" w:hint="eastAsia"/>
        </w:rPr>
        <w:t>对策建议</w:t>
      </w:r>
    </w:p>
    <w:p w14:paraId="26A003DF"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矿区水资源缺乏，矿区各矿应加强生产生活污废水的处理和利用，加强矿井水的处理和利用，用于矿井生产用水、工业场地绿化、排矸场绿化与生态恢复、沉陷区生态恢复用水等，全部综合利用不外排。</w:t>
      </w:r>
    </w:p>
    <w:p w14:paraId="63C146F2"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现有</w:t>
      </w:r>
      <w:r>
        <w:rPr>
          <w:rFonts w:ascii="Times New Roman"/>
          <w:szCs w:val="24"/>
        </w:rPr>
        <w:t>三个生产矿井</w:t>
      </w:r>
      <w:r>
        <w:rPr>
          <w:rFonts w:ascii="Times New Roman"/>
        </w:rPr>
        <w:t>掘进矸石不升井，填充井下废弃巷道。</w:t>
      </w:r>
      <w:r>
        <w:rPr>
          <w:rFonts w:ascii="Times New Roman" w:hint="eastAsia"/>
          <w:szCs w:val="24"/>
        </w:rPr>
        <w:t>洗选</w:t>
      </w:r>
      <w:r>
        <w:rPr>
          <w:rFonts w:ascii="Times New Roman"/>
          <w:szCs w:val="24"/>
        </w:rPr>
        <w:t>矸石主要是</w:t>
      </w:r>
      <w:r>
        <w:rPr>
          <w:rFonts w:ascii="Times New Roman" w:hint="eastAsia"/>
          <w:szCs w:val="24"/>
        </w:rPr>
        <w:t>运往</w:t>
      </w:r>
      <w:r>
        <w:rPr>
          <w:rFonts w:ascii="Times New Roman"/>
          <w:szCs w:val="24"/>
        </w:rPr>
        <w:t>排矸场堆存处置后覆土恢复植被</w:t>
      </w:r>
      <w:r>
        <w:rPr>
          <w:rFonts w:ascii="Times New Roman" w:hint="eastAsia"/>
          <w:szCs w:val="24"/>
        </w:rPr>
        <w:t>。各矿应结合矸石综合利用要求，制定矸石综合利用计划，多途径对矸石进行综合利用，</w:t>
      </w:r>
      <w:r>
        <w:rPr>
          <w:rFonts w:ascii="Times New Roman"/>
        </w:rPr>
        <w:t>对热值满足要求的</w:t>
      </w:r>
      <w:r>
        <w:rPr>
          <w:rFonts w:ascii="Times New Roman" w:hint="eastAsia"/>
        </w:rPr>
        <w:t>可送至宁东镇</w:t>
      </w:r>
      <w:r>
        <w:rPr>
          <w:rFonts w:ascii="Times New Roman"/>
        </w:rPr>
        <w:t>内</w:t>
      </w:r>
      <w:r>
        <w:rPr>
          <w:rFonts w:ascii="Times New Roman" w:hint="eastAsia"/>
        </w:rPr>
        <w:t>现</w:t>
      </w:r>
      <w:r>
        <w:rPr>
          <w:rFonts w:ascii="Times New Roman"/>
        </w:rPr>
        <w:t>建有</w:t>
      </w:r>
      <w:r>
        <w:rPr>
          <w:rFonts w:ascii="Times New Roman" w:hint="eastAsia"/>
        </w:rPr>
        <w:t>的灵州矸石电厂（</w:t>
      </w:r>
      <w:r>
        <w:rPr>
          <w:rFonts w:ascii="Times New Roman"/>
        </w:rPr>
        <w:t>2</w:t>
      </w:r>
      <w:r>
        <w:rPr>
          <w:rFonts w:ascii="Times New Roman"/>
        </w:rPr>
        <w:t>×</w:t>
      </w:r>
      <w:r>
        <w:rPr>
          <w:rFonts w:ascii="Times New Roman" w:hint="eastAsia"/>
        </w:rPr>
        <w:t>135</w:t>
      </w:r>
      <w:r>
        <w:rPr>
          <w:rFonts w:ascii="Times New Roman"/>
        </w:rPr>
        <w:t>MW</w:t>
      </w:r>
      <w:r>
        <w:rPr>
          <w:rFonts w:ascii="Times New Roman" w:hint="eastAsia"/>
        </w:rPr>
        <w:t>）</w:t>
      </w:r>
      <w:r>
        <w:rPr>
          <w:rFonts w:ascii="Times New Roman"/>
        </w:rPr>
        <w:t>项目</w:t>
      </w:r>
      <w:r>
        <w:rPr>
          <w:rFonts w:ascii="Times New Roman" w:hint="eastAsia"/>
        </w:rPr>
        <w:t>进行综合利用</w:t>
      </w:r>
      <w:r>
        <w:rPr>
          <w:rFonts w:ascii="Times New Roman"/>
        </w:rPr>
        <w:t>，</w:t>
      </w:r>
      <w:r>
        <w:rPr>
          <w:rFonts w:ascii="Times New Roman" w:hint="eastAsia"/>
        </w:rPr>
        <w:t>该电厂年需煤矸石约</w:t>
      </w:r>
      <w:r>
        <w:rPr>
          <w:rFonts w:ascii="Times New Roman" w:hint="eastAsia"/>
        </w:rPr>
        <w:t>80</w:t>
      </w:r>
      <w:r>
        <w:rPr>
          <w:rFonts w:ascii="Times New Roman" w:hint="eastAsia"/>
        </w:rPr>
        <w:t>万吨，</w:t>
      </w:r>
      <w:r>
        <w:rPr>
          <w:rFonts w:ascii="Times New Roman"/>
        </w:rPr>
        <w:t>距</w:t>
      </w:r>
      <w:r>
        <w:rPr>
          <w:rFonts w:ascii="Times New Roman" w:hint="eastAsia"/>
        </w:rPr>
        <w:t>红石湾、马莲台和任家庄</w:t>
      </w:r>
      <w:r>
        <w:rPr>
          <w:rFonts w:ascii="Times New Roman"/>
        </w:rPr>
        <w:t>矿井工业场地</w:t>
      </w:r>
      <w:r>
        <w:rPr>
          <w:rFonts w:ascii="Times New Roman" w:hint="eastAsia"/>
        </w:rPr>
        <w:t>不大于</w:t>
      </w:r>
      <w:r>
        <w:rPr>
          <w:rFonts w:ascii="Times New Roman" w:hint="eastAsia"/>
        </w:rPr>
        <w:t>10</w:t>
      </w:r>
      <w:r>
        <w:rPr>
          <w:rFonts w:ascii="Times New Roman"/>
        </w:rPr>
        <w:t>km</w:t>
      </w:r>
      <w:r>
        <w:rPr>
          <w:rFonts w:ascii="Times New Roman"/>
        </w:rPr>
        <w:t>。</w:t>
      </w:r>
      <w:r>
        <w:rPr>
          <w:rFonts w:ascii="Times New Roman" w:hint="eastAsia"/>
        </w:rPr>
        <w:t>另外，在矿区内，马莲台和红石湾矿井之间规划建设宝丰低热值煤综合利用电厂（</w:t>
      </w:r>
      <w:r>
        <w:rPr>
          <w:rFonts w:ascii="Times New Roman"/>
        </w:rPr>
        <w:t>2</w:t>
      </w:r>
      <w:r>
        <w:rPr>
          <w:rFonts w:ascii="Times New Roman"/>
        </w:rPr>
        <w:t>×</w:t>
      </w:r>
      <w:r>
        <w:rPr>
          <w:rFonts w:ascii="Times New Roman" w:hint="eastAsia"/>
        </w:rPr>
        <w:t>350</w:t>
      </w:r>
      <w:r>
        <w:rPr>
          <w:rFonts w:ascii="Times New Roman"/>
        </w:rPr>
        <w:t>MW</w:t>
      </w:r>
      <w:r>
        <w:rPr>
          <w:rFonts w:ascii="Times New Roman" w:hint="eastAsia"/>
        </w:rPr>
        <w:t>），建成后年需煤矸石约</w:t>
      </w:r>
      <w:r>
        <w:rPr>
          <w:rFonts w:ascii="Times New Roman" w:hint="eastAsia"/>
        </w:rPr>
        <w:t>300</w:t>
      </w:r>
      <w:r>
        <w:rPr>
          <w:rFonts w:ascii="Times New Roman" w:hint="eastAsia"/>
        </w:rPr>
        <w:t>万吨。对不能用于电厂作为燃料利用的低热值矸石，可</w:t>
      </w:r>
      <w:r>
        <w:rPr>
          <w:rFonts w:ascii="Times New Roman"/>
        </w:rPr>
        <w:t>用于充填沉陷裂缝</w:t>
      </w:r>
      <w:r>
        <w:rPr>
          <w:rFonts w:ascii="Times New Roman" w:hint="eastAsia"/>
        </w:rPr>
        <w:t>、</w:t>
      </w:r>
      <w:r>
        <w:rPr>
          <w:rFonts w:ascii="Times New Roman"/>
        </w:rPr>
        <w:t>沉陷区治理</w:t>
      </w:r>
      <w:r>
        <w:rPr>
          <w:rFonts w:ascii="Times New Roman" w:hint="eastAsia"/>
        </w:rPr>
        <w:t>、</w:t>
      </w:r>
      <w:r>
        <w:rPr>
          <w:rFonts w:ascii="Times New Roman"/>
        </w:rPr>
        <w:t>宁东城镇市政</w:t>
      </w:r>
      <w:r>
        <w:rPr>
          <w:rFonts w:ascii="Times New Roman" w:hint="eastAsia"/>
        </w:rPr>
        <w:t>、</w:t>
      </w:r>
      <w:r>
        <w:rPr>
          <w:rFonts w:ascii="Times New Roman"/>
        </w:rPr>
        <w:t>道路建设作为填垫材料</w:t>
      </w:r>
      <w:r>
        <w:rPr>
          <w:rFonts w:ascii="Times New Roman" w:hint="eastAsia"/>
        </w:rPr>
        <w:t>等综合利用。另外，各矿均涉及诸多煤柱，后续可将矸石用于充填煤柱区，回收煤柱区煤炭资源。</w:t>
      </w:r>
    </w:p>
    <w:p w14:paraId="08CB8FF4" w14:textId="77777777" w:rsidR="009C353B" w:rsidRDefault="009C353B">
      <w:pPr>
        <w:adjustRightInd w:val="0"/>
        <w:snapToGrid w:val="0"/>
        <w:spacing w:line="440" w:lineRule="exact"/>
        <w:ind w:firstLineChars="200" w:firstLine="480"/>
        <w:rPr>
          <w:rFonts w:ascii="Times New Roman" w:hint="eastAsia"/>
          <w:szCs w:val="24"/>
        </w:rPr>
      </w:pPr>
    </w:p>
    <w:p w14:paraId="045E358C" w14:textId="77777777" w:rsidR="009C353B" w:rsidRDefault="009C353B">
      <w:pPr>
        <w:adjustRightInd w:val="0"/>
        <w:snapToGrid w:val="0"/>
        <w:spacing w:line="440" w:lineRule="exact"/>
        <w:ind w:firstLineChars="200" w:firstLine="480"/>
        <w:rPr>
          <w:rFonts w:ascii="Times New Roman" w:hAnsi="Times New Roman"/>
        </w:rPr>
      </w:pPr>
    </w:p>
    <w:p w14:paraId="2D38EE4A" w14:textId="77777777" w:rsidR="009C353B" w:rsidRDefault="009C353B">
      <w:pPr>
        <w:adjustRightInd w:val="0"/>
        <w:snapToGrid w:val="0"/>
        <w:spacing w:line="440" w:lineRule="exact"/>
        <w:ind w:firstLineChars="200" w:firstLine="480"/>
        <w:rPr>
          <w:rFonts w:ascii="Times New Roman" w:hAnsi="Times New Roman"/>
        </w:rPr>
        <w:sectPr w:rsidR="009C353B">
          <w:pgSz w:w="11907" w:h="16840"/>
          <w:pgMar w:top="1701" w:right="1418" w:bottom="1418" w:left="1418" w:header="1134" w:footer="851" w:gutter="0"/>
          <w:paperSrc w:first="7" w:other="7"/>
          <w:cols w:space="720"/>
          <w:docGrid w:linePitch="312"/>
        </w:sectPr>
      </w:pPr>
    </w:p>
    <w:p w14:paraId="7C1A49B9" w14:textId="77777777" w:rsidR="009C353B" w:rsidRDefault="00000000">
      <w:pPr>
        <w:pStyle w:val="1"/>
        <w:spacing w:before="100" w:beforeAutospacing="1" w:after="100" w:afterAutospacing="1" w:line="578" w:lineRule="exact"/>
        <w:jc w:val="center"/>
        <w:rPr>
          <w:rFonts w:ascii="Times New Roman" w:hAnsi="Times New Roman"/>
          <w:sz w:val="36"/>
        </w:rPr>
      </w:pPr>
      <w:bookmarkStart w:id="210" w:name="_Toc163440993"/>
      <w:bookmarkStart w:id="211" w:name="_Toc59189842"/>
      <w:r>
        <w:rPr>
          <w:rFonts w:ascii="Times New Roman" w:hAnsi="Times New Roman" w:hint="eastAsia"/>
          <w:sz w:val="36"/>
        </w:rPr>
        <w:t>5</w:t>
      </w:r>
      <w:r>
        <w:rPr>
          <w:rFonts w:ascii="Times New Roman" w:hAnsi="Times New Roman"/>
          <w:sz w:val="36"/>
        </w:rPr>
        <w:t xml:space="preserve"> </w:t>
      </w:r>
      <w:r>
        <w:rPr>
          <w:rFonts w:ascii="Times New Roman" w:hAnsi="Times New Roman"/>
          <w:sz w:val="36"/>
        </w:rPr>
        <w:t>环境影响识别与评价指标体系</w:t>
      </w:r>
      <w:bookmarkEnd w:id="210"/>
      <w:bookmarkEnd w:id="211"/>
    </w:p>
    <w:p w14:paraId="178B2AEE" w14:textId="77777777" w:rsidR="009C353B" w:rsidRDefault="00000000">
      <w:pPr>
        <w:pStyle w:val="2"/>
        <w:snapToGrid w:val="0"/>
        <w:spacing w:line="440" w:lineRule="exact"/>
        <w:rPr>
          <w:rFonts w:ascii="Times New Roman" w:eastAsia="宋体" w:hAnsi="Times New Roman"/>
          <w:b/>
          <w:sz w:val="28"/>
        </w:rPr>
      </w:pPr>
      <w:bookmarkStart w:id="212" w:name="_Toc182400989"/>
      <w:bookmarkStart w:id="213" w:name="_Toc59189843"/>
      <w:bookmarkStart w:id="214" w:name="_Toc163440994"/>
      <w:r>
        <w:rPr>
          <w:rFonts w:ascii="Times New Roman" w:eastAsia="宋体" w:hAnsi="Times New Roman" w:hint="eastAsia"/>
          <w:b/>
          <w:sz w:val="28"/>
        </w:rPr>
        <w:t>5</w:t>
      </w:r>
      <w:r>
        <w:rPr>
          <w:rFonts w:ascii="Times New Roman" w:eastAsia="宋体" w:hAnsi="Times New Roman"/>
          <w:b/>
          <w:sz w:val="28"/>
        </w:rPr>
        <w:t xml:space="preserve">.1 </w:t>
      </w:r>
      <w:r>
        <w:rPr>
          <w:rFonts w:ascii="Times New Roman" w:eastAsia="宋体" w:hAnsi="Times New Roman"/>
          <w:b/>
          <w:sz w:val="28"/>
        </w:rPr>
        <w:t>环境影响识别</w:t>
      </w:r>
      <w:bookmarkEnd w:id="212"/>
      <w:bookmarkEnd w:id="213"/>
    </w:p>
    <w:p w14:paraId="50FAB58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煤炭矿区环评属于生态类规划环评项目，具有生态影响和污染影响并存的双重特征，其中以生态类影响为主。横城矿区</w:t>
      </w:r>
      <w:r>
        <w:rPr>
          <w:rFonts w:ascii="Times New Roman" w:hAnsi="Times New Roman" w:hint="eastAsia"/>
        </w:rPr>
        <w:t>四个煤矿均为</w:t>
      </w:r>
      <w:r>
        <w:rPr>
          <w:rFonts w:ascii="Times New Roman" w:hAnsi="Times New Roman"/>
        </w:rPr>
        <w:t>井工开采，其对周边环境的影响，主要由</w:t>
      </w:r>
      <w:r>
        <w:rPr>
          <w:rFonts w:ascii="Times New Roman" w:hAnsi="Times New Roman" w:hint="eastAsia"/>
        </w:rPr>
        <w:t>井工矿</w:t>
      </w:r>
      <w:r>
        <w:rPr>
          <w:rFonts w:ascii="Times New Roman" w:hAnsi="Times New Roman"/>
        </w:rPr>
        <w:t>采煤沉陷导致的地表变形、地下水流场改变、水土流失、地表植被破坏等生态影响，以及煤炭开采产生的</w:t>
      </w:r>
      <w:r>
        <w:rPr>
          <w:rFonts w:ascii="Times New Roman" w:hAnsi="Times New Roman"/>
        </w:rPr>
        <w:t>“</w:t>
      </w:r>
      <w:r>
        <w:rPr>
          <w:rFonts w:ascii="Times New Roman" w:hAnsi="Times New Roman"/>
        </w:rPr>
        <w:t>三废</w:t>
      </w:r>
      <w:r>
        <w:rPr>
          <w:rFonts w:ascii="Times New Roman" w:hAnsi="Times New Roman"/>
        </w:rPr>
        <w:t>”</w:t>
      </w:r>
      <w:r>
        <w:rPr>
          <w:rFonts w:ascii="Times New Roman" w:hAnsi="Times New Roman"/>
        </w:rPr>
        <w:t>排放对周边环境的污染影响。另外，从广义的环境角度来看，还包括因矿区煤炭开采所带来的周边地区社会经济环境方面的影响。下面简要分析上述三大类环境影响。</w:t>
      </w:r>
    </w:p>
    <w:p w14:paraId="3D12669D"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5</w:t>
      </w:r>
      <w:r>
        <w:rPr>
          <w:rFonts w:ascii="Times New Roman" w:hAnsi="Times New Roman"/>
          <w:sz w:val="24"/>
        </w:rPr>
        <w:t xml:space="preserve">.1.1 </w:t>
      </w:r>
      <w:r>
        <w:rPr>
          <w:rFonts w:ascii="Times New Roman" w:hAnsi="Times New Roman"/>
          <w:sz w:val="24"/>
        </w:rPr>
        <w:t>矿区环境影响因子识别</w:t>
      </w:r>
    </w:p>
    <w:p w14:paraId="05F770D4"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5</w:t>
      </w:r>
      <w:r>
        <w:rPr>
          <w:rFonts w:ascii="Times New Roman" w:eastAsia="宋体" w:hAnsi="Times New Roman"/>
          <w:sz w:val="24"/>
        </w:rPr>
        <w:t xml:space="preserve">.1.1.1 </w:t>
      </w:r>
      <w:r>
        <w:rPr>
          <w:rFonts w:ascii="Times New Roman" w:eastAsia="宋体" w:hAnsi="Times New Roman"/>
          <w:sz w:val="24"/>
        </w:rPr>
        <w:t>矿区污染类影响因子识别</w:t>
      </w:r>
    </w:p>
    <w:p w14:paraId="00B015B0"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）矿区大气环境污染影响因子识别</w:t>
      </w:r>
    </w:p>
    <w:p w14:paraId="7E3CBBE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矿区开发对大气环境的影响，主要来自：矿区煤矿及选煤厂工业场地，矿区运煤、运矸道路扬尘，排矸场等无组织粉尘排放，</w:t>
      </w:r>
      <w:r>
        <w:rPr>
          <w:rFonts w:ascii="Times New Roman" w:hAnsi="Times New Roman" w:hint="eastAsia"/>
        </w:rPr>
        <w:t>工业场地锅炉房烟气排放</w:t>
      </w:r>
      <w:r>
        <w:rPr>
          <w:rFonts w:ascii="Times New Roman" w:hAnsi="Times New Roman"/>
        </w:rPr>
        <w:t>以及煤炭洗选加工过程无组织粉尘排放等，主要污染物为</w:t>
      </w:r>
      <w:r>
        <w:rPr>
          <w:rFonts w:ascii="Times New Roman" w:hAnsi="Times New Roman"/>
        </w:rPr>
        <w:t>SO</w:t>
      </w:r>
      <w:r>
        <w:rPr>
          <w:rFonts w:ascii="Times New Roman" w:hAnsi="Times New Roman"/>
          <w:vertAlign w:val="subscript"/>
        </w:rPr>
        <w:t>2</w:t>
      </w:r>
      <w:r>
        <w:rPr>
          <w:rFonts w:ascii="Times New Roman" w:hAnsi="Times New Roman"/>
        </w:rPr>
        <w:t>、颗粒物、</w:t>
      </w:r>
      <w:r>
        <w:rPr>
          <w:rFonts w:ascii="Times New Roman" w:hAnsi="Times New Roman"/>
        </w:rPr>
        <w:t>NOx</w:t>
      </w:r>
      <w:r>
        <w:rPr>
          <w:rFonts w:ascii="Times New Roman" w:hAnsi="Times New Roman"/>
        </w:rPr>
        <w:t>。</w:t>
      </w:r>
    </w:p>
    <w:p w14:paraId="7B018B3F"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）矿区水环境污染影响因子识别</w:t>
      </w:r>
    </w:p>
    <w:p w14:paraId="0547DEB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矿区开发对水环境的影响，主要来自：矿区规划井工矿井下排水、选煤厂煤泥水及工业场地生产生活污水，其中井下排水主要污染物为</w:t>
      </w:r>
      <w:r>
        <w:rPr>
          <w:rFonts w:ascii="Times New Roman" w:hAnsi="Times New Roman"/>
        </w:rPr>
        <w:t>SS</w:t>
      </w:r>
      <w:r>
        <w:rPr>
          <w:rFonts w:ascii="Times New Roman" w:hAnsi="Times New Roman"/>
        </w:rPr>
        <w:t>（属以煤尘、岩粉为主的单纯性生产废水），选煤厂煤泥水主要污染物为</w:t>
      </w:r>
      <w:r>
        <w:rPr>
          <w:rFonts w:ascii="Times New Roman" w:hAnsi="Times New Roman"/>
        </w:rPr>
        <w:t>SS</w:t>
      </w:r>
      <w:r>
        <w:rPr>
          <w:rFonts w:ascii="Times New Roman" w:hAnsi="Times New Roman"/>
        </w:rPr>
        <w:t>，生活污水主要污染物为</w:t>
      </w:r>
      <w:r>
        <w:rPr>
          <w:rFonts w:ascii="Times New Roman" w:hAnsi="Times New Roman"/>
        </w:rPr>
        <w:t>SS</w:t>
      </w:r>
      <w:r>
        <w:rPr>
          <w:rFonts w:ascii="Times New Roman" w:hAnsi="Times New Roman" w:hint="eastAsia"/>
        </w:rPr>
        <w:t>、</w:t>
      </w:r>
      <w:r>
        <w:rPr>
          <w:rFonts w:ascii="Times New Roman" w:hAnsi="Times New Roman"/>
        </w:rPr>
        <w:t>COD</w:t>
      </w:r>
      <w:r>
        <w:rPr>
          <w:rFonts w:ascii="Times New Roman" w:hAnsi="Times New Roman"/>
        </w:rPr>
        <w:t>、</w:t>
      </w:r>
      <w:r>
        <w:rPr>
          <w:rFonts w:ascii="Times New Roman" w:hAnsi="Times New Roman" w:hint="eastAsia"/>
        </w:rPr>
        <w:t>B</w:t>
      </w:r>
      <w:r>
        <w:rPr>
          <w:rFonts w:ascii="Times New Roman" w:hAnsi="Times New Roman"/>
        </w:rPr>
        <w:t>OD</w:t>
      </w:r>
      <w:r>
        <w:rPr>
          <w:rFonts w:ascii="Times New Roman" w:hAnsi="Times New Roman"/>
          <w:vertAlign w:val="subscript"/>
        </w:rPr>
        <w:t>5</w:t>
      </w:r>
      <w:r>
        <w:rPr>
          <w:rFonts w:ascii="Times New Roman" w:hAnsi="Times New Roman"/>
        </w:rPr>
        <w:t>和少量石油类等。</w:t>
      </w:r>
    </w:p>
    <w:p w14:paraId="3137921B"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3</w:t>
      </w:r>
      <w:r>
        <w:rPr>
          <w:rFonts w:ascii="Times New Roman" w:hAnsi="Times New Roman"/>
          <w:b/>
        </w:rPr>
        <w:t>）矿区声环境污染影响因子识别</w:t>
      </w:r>
    </w:p>
    <w:p w14:paraId="3BECF32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矿区开发对声环境的影响，主要来自：矿区规划煤矿工业场地内矿井通风机房、提升机房、坑木加工房、锅炉房、选煤厂主厂房等，多为固定、连续噪声源，其噪声源强在</w:t>
      </w:r>
      <w:r>
        <w:rPr>
          <w:rFonts w:ascii="Times New Roman" w:hAnsi="Times New Roman"/>
        </w:rPr>
        <w:t>88~103dB</w:t>
      </w:r>
      <w:r>
        <w:rPr>
          <w:rFonts w:ascii="Times New Roman" w:hAnsi="Times New Roman"/>
        </w:rPr>
        <w:t>（</w:t>
      </w:r>
      <w:r>
        <w:rPr>
          <w:rFonts w:ascii="Times New Roman" w:hAnsi="Times New Roman"/>
        </w:rPr>
        <w:t>A</w:t>
      </w:r>
      <w:r>
        <w:rPr>
          <w:rFonts w:ascii="Times New Roman" w:hAnsi="Times New Roman"/>
        </w:rPr>
        <w:t>）；另外还有铁路专用线噪声，运煤、运矸道路噪声，主要为线性、间断性噪声源。</w:t>
      </w:r>
    </w:p>
    <w:p w14:paraId="0C399EE7"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4</w:t>
      </w:r>
      <w:r>
        <w:rPr>
          <w:rFonts w:ascii="Times New Roman" w:hAnsi="Times New Roman"/>
          <w:b/>
        </w:rPr>
        <w:t>）矿区固体废物污染影响因子识别</w:t>
      </w:r>
    </w:p>
    <w:p w14:paraId="1991B51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矿区开发所排放的固体废物主要来自：选煤厂洗矸、矿井掘进排矸</w:t>
      </w:r>
      <w:r>
        <w:rPr>
          <w:rFonts w:hint="eastAsia"/>
        </w:rPr>
        <w:t>、工业场地生活垃圾、生产系统除尘机组收集的煤尘、矿井水处理站和生活污水处理装置产生的污泥、以及危险废物等。</w:t>
      </w:r>
    </w:p>
    <w:p w14:paraId="05DC5360"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5</w:t>
      </w:r>
      <w:r>
        <w:rPr>
          <w:rFonts w:ascii="Times New Roman" w:eastAsia="宋体" w:hAnsi="Times New Roman"/>
          <w:sz w:val="24"/>
        </w:rPr>
        <w:t xml:space="preserve">.1.1.2 </w:t>
      </w:r>
      <w:r>
        <w:rPr>
          <w:rFonts w:ascii="Times New Roman" w:eastAsia="宋体" w:hAnsi="Times New Roman"/>
          <w:sz w:val="24"/>
        </w:rPr>
        <w:t>矿区生态类影响因子识别</w:t>
      </w:r>
    </w:p>
    <w:p w14:paraId="70774990" w14:textId="77777777" w:rsidR="009C353B" w:rsidRDefault="00000000">
      <w:pPr>
        <w:adjustRightInd w:val="0"/>
        <w:snapToGrid w:val="0"/>
        <w:spacing w:line="440" w:lineRule="exact"/>
        <w:ind w:firstLineChars="200" w:firstLine="480"/>
        <w:rPr>
          <w:rFonts w:hint="eastAsia"/>
        </w:rPr>
      </w:pPr>
      <w:r>
        <w:rPr>
          <w:rFonts w:hint="eastAsia"/>
        </w:rPr>
        <w:t>矿区开发对生态环境的影响主要表现在对矿区采煤对地表植被、荒漠草原生态系统的破坏，土壤侵蚀与水土流失，矿井水疏排对地下水流场和资源的影响等三个方面。</w:t>
      </w:r>
    </w:p>
    <w:p w14:paraId="2B4E024A"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hint="eastAsia"/>
          <w:b/>
        </w:rPr>
        <w:t>1</w:t>
      </w:r>
      <w:r>
        <w:rPr>
          <w:rFonts w:ascii="Times New Roman" w:hAnsi="Times New Roman"/>
          <w:b/>
        </w:rPr>
        <w:t>）</w:t>
      </w:r>
      <w:r>
        <w:rPr>
          <w:rFonts w:hint="eastAsia"/>
          <w:b/>
        </w:rPr>
        <w:t>矿区开发对地表植被和草原生态系统影响的因子识别</w:t>
      </w:r>
    </w:p>
    <w:p w14:paraId="6ABA96C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w:t>
      </w:r>
      <w:r>
        <w:rPr>
          <w:rFonts w:ascii="Times New Roman" w:hAnsi="Times New Roman" w:hint="eastAsia"/>
        </w:rPr>
        <w:t>开发对</w:t>
      </w:r>
      <w:r>
        <w:rPr>
          <w:rFonts w:ascii="Times New Roman" w:hAnsi="Times New Roman"/>
        </w:rPr>
        <w:t>地表植被</w:t>
      </w:r>
      <w:r>
        <w:rPr>
          <w:rFonts w:ascii="Times New Roman" w:hAnsi="Times New Roman" w:hint="eastAsia"/>
        </w:rPr>
        <w:t>和荒漠草原生态系统的影响</w:t>
      </w:r>
      <w:r>
        <w:rPr>
          <w:rFonts w:ascii="Times New Roman" w:hAnsi="Times New Roman"/>
        </w:rPr>
        <w:t>主要由项目占地</w:t>
      </w:r>
      <w:r>
        <w:rPr>
          <w:rFonts w:ascii="Times New Roman" w:hAnsi="Times New Roman" w:hint="eastAsia"/>
        </w:rPr>
        <w:t>、</w:t>
      </w:r>
      <w:r>
        <w:rPr>
          <w:rFonts w:ascii="Times New Roman" w:hAnsi="Times New Roman"/>
        </w:rPr>
        <w:t>井工开采地表沉陷</w:t>
      </w:r>
      <w:r>
        <w:rPr>
          <w:rFonts w:ascii="Times New Roman" w:hAnsi="Times New Roman" w:hint="eastAsia"/>
        </w:rPr>
        <w:t>两</w:t>
      </w:r>
      <w:r>
        <w:rPr>
          <w:rFonts w:ascii="Times New Roman" w:hAnsi="Times New Roman"/>
        </w:rPr>
        <w:t>个因子引起。</w:t>
      </w:r>
    </w:p>
    <w:p w14:paraId="1337AF48" w14:textId="77777777" w:rsidR="009C353B" w:rsidRDefault="00000000">
      <w:pPr>
        <w:adjustRightInd w:val="0"/>
        <w:snapToGrid w:val="0"/>
        <w:spacing w:line="440" w:lineRule="exact"/>
        <w:ind w:firstLineChars="200" w:firstLine="480"/>
        <w:rPr>
          <w:rFonts w:hint="eastAsia"/>
        </w:rPr>
      </w:pPr>
      <w:r>
        <w:rPr>
          <w:rFonts w:hint="eastAsia"/>
        </w:rPr>
        <w:t>矿区规划项目占地，分为两种类型：一是规划建设的煤矿工业场地、铁路专用线、道路等永久占地，二是施工过程中平整土地、开挖地表、材料堆放以及临时排矸场等临时占地。主要占地类型为沙地和荒漠草地。通过项目占地将减少矿区内沙地和荒漠草地数量，进而代之场地绿化、道路绿化、排矸场覆土绿化等人工绿地。</w:t>
      </w:r>
    </w:p>
    <w:p w14:paraId="5A4C2636" w14:textId="77777777" w:rsidR="009C353B" w:rsidRDefault="00000000">
      <w:pPr>
        <w:adjustRightInd w:val="0"/>
        <w:snapToGrid w:val="0"/>
        <w:spacing w:line="440" w:lineRule="exact"/>
        <w:ind w:firstLineChars="200" w:firstLine="480"/>
        <w:rPr>
          <w:rFonts w:hint="eastAsia"/>
        </w:rPr>
      </w:pPr>
      <w:r>
        <w:rPr>
          <w:rFonts w:ascii="Times New Roman" w:hAnsi="Times New Roman" w:hint="eastAsia"/>
        </w:rPr>
        <w:t>井工</w:t>
      </w:r>
      <w:r>
        <w:rPr>
          <w:rFonts w:ascii="Times New Roman" w:hAnsi="Times New Roman"/>
        </w:rPr>
        <w:t>开采地表沉陷</w:t>
      </w:r>
      <w:r>
        <w:rPr>
          <w:rFonts w:ascii="Times New Roman" w:hAnsi="Times New Roman" w:hint="eastAsia"/>
        </w:rPr>
        <w:t>：</w:t>
      </w:r>
      <w:r>
        <w:rPr>
          <w:rFonts w:hint="eastAsia"/>
        </w:rPr>
        <w:t>井工开采采煤沉陷将导致地表变形，对于变形较严重的区域，将给该地区荒漠草地带来一定程度的破坏，局部甚至将完全丧失生产能力，进而带来沉陷区局部植被分布的改变。</w:t>
      </w:r>
    </w:p>
    <w:p w14:paraId="3662C347" w14:textId="77777777" w:rsidR="009C353B" w:rsidRDefault="00000000">
      <w:pPr>
        <w:adjustRightInd w:val="0"/>
        <w:snapToGrid w:val="0"/>
        <w:spacing w:line="440" w:lineRule="exact"/>
        <w:ind w:firstLineChars="200" w:firstLine="480"/>
        <w:rPr>
          <w:rFonts w:hint="eastAsia"/>
        </w:rPr>
      </w:pPr>
      <w:r>
        <w:rPr>
          <w:rFonts w:hint="eastAsia"/>
        </w:rPr>
        <w:t>另外，采煤沉陷所导致的地表变形，将可能对矿区内局部区域的浅部含水层流场产生影响，在有些地方甚至可能出现浅层地下水的消失，进而间接影响矿区内局部区域植被的生长。</w:t>
      </w:r>
    </w:p>
    <w:p w14:paraId="05EA5696"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hint="eastAsia"/>
          <w:b/>
        </w:rPr>
        <w:t>2</w:t>
      </w:r>
      <w:r>
        <w:rPr>
          <w:rFonts w:ascii="Times New Roman" w:hAnsi="Times New Roman"/>
          <w:b/>
        </w:rPr>
        <w:t>）</w:t>
      </w:r>
      <w:r>
        <w:rPr>
          <w:rFonts w:hint="eastAsia"/>
          <w:b/>
        </w:rPr>
        <w:t>矿区开发对土壤侵蚀及水土流失影响的因子识别</w:t>
      </w:r>
    </w:p>
    <w:p w14:paraId="0A08592A"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根据《全国生态功能区划》，横城矿区</w:t>
      </w:r>
      <w:r>
        <w:rPr>
          <w:rFonts w:ascii="Times New Roman"/>
          <w:szCs w:val="24"/>
        </w:rPr>
        <w:t>位于该区划“</w:t>
      </w:r>
      <w:r>
        <w:rPr>
          <w:rFonts w:ascii="Times New Roman"/>
          <w:szCs w:val="24"/>
        </w:rPr>
        <w:t>I-04</w:t>
      </w:r>
      <w:r>
        <w:rPr>
          <w:rFonts w:ascii="Times New Roman" w:hint="eastAsia"/>
          <w:szCs w:val="24"/>
        </w:rPr>
        <w:t>防风固沙</w:t>
      </w:r>
      <w:r>
        <w:rPr>
          <w:rFonts w:ascii="Times New Roman"/>
          <w:szCs w:val="24"/>
        </w:rPr>
        <w:t>功能区”内的“</w:t>
      </w:r>
      <w:r>
        <w:rPr>
          <w:rFonts w:ascii="Times New Roman"/>
          <w:szCs w:val="24"/>
        </w:rPr>
        <w:t>I-04-10</w:t>
      </w:r>
      <w:r>
        <w:rPr>
          <w:rFonts w:ascii="Times New Roman" w:hint="eastAsia"/>
          <w:szCs w:val="24"/>
        </w:rPr>
        <w:t>鄂尔多斯高原西南部防风固沙功能区</w:t>
      </w:r>
      <w:r>
        <w:rPr>
          <w:rFonts w:ascii="Times New Roman"/>
          <w:szCs w:val="24"/>
        </w:rPr>
        <w:t>”。</w:t>
      </w:r>
      <w:r>
        <w:rPr>
          <w:rFonts w:ascii="Times New Roman" w:hint="eastAsia"/>
          <w:szCs w:val="24"/>
        </w:rPr>
        <w:t>根据《宁夏回族自治区生态功能区划》，横城矿区中马莲台属于</w:t>
      </w:r>
      <w:r>
        <w:rPr>
          <w:rFonts w:ascii="Times New Roman" w:hint="eastAsia"/>
          <w:szCs w:val="24"/>
        </w:rPr>
        <w:t>I</w:t>
      </w:r>
      <w:r>
        <w:rPr>
          <w:rFonts w:ascii="Times New Roman"/>
          <w:szCs w:val="24"/>
        </w:rPr>
        <w:t>I1-2</w:t>
      </w:r>
      <w:r>
        <w:rPr>
          <w:rFonts w:ascii="Times New Roman"/>
          <w:szCs w:val="24"/>
        </w:rPr>
        <w:t>灵盐中北部防沙治沙生态功能区</w:t>
      </w:r>
      <w:r>
        <w:rPr>
          <w:rFonts w:ascii="Times New Roman" w:hint="eastAsia"/>
          <w:szCs w:val="24"/>
        </w:rPr>
        <w:t>，其他矿井属于</w:t>
      </w:r>
      <w:r>
        <w:rPr>
          <w:rFonts w:ascii="Times New Roman"/>
          <w:szCs w:val="24"/>
        </w:rPr>
        <w:t>II1</w:t>
      </w:r>
      <w:r>
        <w:rPr>
          <w:rFonts w:ascii="Times New Roman" w:hint="eastAsia"/>
          <w:szCs w:val="24"/>
        </w:rPr>
        <w:t>-</w:t>
      </w:r>
      <w:r>
        <w:rPr>
          <w:rFonts w:ascii="Times New Roman"/>
          <w:szCs w:val="24"/>
        </w:rPr>
        <w:t>3</w:t>
      </w:r>
      <w:r>
        <w:rPr>
          <w:rFonts w:ascii="Times New Roman"/>
          <w:szCs w:val="24"/>
        </w:rPr>
        <w:t>白芨滩柠条及沙生植被自然保护生态功能区</w:t>
      </w:r>
      <w:r>
        <w:rPr>
          <w:rFonts w:ascii="Times New Roman" w:hint="eastAsia"/>
          <w:szCs w:val="24"/>
        </w:rPr>
        <w:t>。</w:t>
      </w:r>
    </w:p>
    <w:p w14:paraId="7D515B39" w14:textId="77777777" w:rsidR="009C353B" w:rsidRDefault="00000000">
      <w:pPr>
        <w:adjustRightInd w:val="0"/>
        <w:snapToGrid w:val="0"/>
        <w:spacing w:line="440" w:lineRule="exact"/>
        <w:ind w:firstLineChars="200" w:firstLine="480"/>
        <w:rPr>
          <w:rFonts w:hint="eastAsia"/>
        </w:rPr>
      </w:pPr>
      <w:r>
        <w:rPr>
          <w:rFonts w:hint="eastAsia"/>
        </w:rPr>
        <w:t>矿区开发所造成的水土流失，主要是由于采煤沉陷和项目占地破坏地表植被，致使地表防风固沙能力和减缓冲刷能力下降所致。从矿区所在区域土壤沙化和水土流失情况来看，</w:t>
      </w:r>
      <w:r>
        <w:rPr>
          <w:rFonts w:hint="eastAsia"/>
          <w:szCs w:val="24"/>
        </w:rPr>
        <w:t>若矿区不能科学而有效的实施生态恢复和水土流失防治工作，矿区开发活动可能加剧土壤沙化和水土流失程度。</w:t>
      </w:r>
    </w:p>
    <w:p w14:paraId="3525980A" w14:textId="77777777" w:rsidR="009C353B" w:rsidRDefault="00000000">
      <w:pPr>
        <w:adjustRightInd w:val="0"/>
        <w:snapToGrid w:val="0"/>
        <w:spacing w:line="440" w:lineRule="exact"/>
        <w:ind w:firstLineChars="200" w:firstLine="482"/>
        <w:rPr>
          <w:rFonts w:hint="eastAsia"/>
        </w:rPr>
      </w:pPr>
      <w:r>
        <w:rPr>
          <w:rFonts w:ascii="Times New Roman" w:hAnsi="Times New Roman"/>
          <w:b/>
        </w:rPr>
        <w:t>（</w:t>
      </w:r>
      <w:r>
        <w:rPr>
          <w:rFonts w:ascii="Times New Roman" w:hAnsi="Times New Roman" w:hint="eastAsia"/>
          <w:b/>
        </w:rPr>
        <w:t>3</w:t>
      </w:r>
      <w:r>
        <w:rPr>
          <w:rFonts w:ascii="Times New Roman" w:hAnsi="Times New Roman"/>
          <w:b/>
        </w:rPr>
        <w:t>）</w:t>
      </w:r>
      <w:r>
        <w:rPr>
          <w:rFonts w:hint="eastAsia"/>
          <w:b/>
        </w:rPr>
        <w:t>矿区开发对地下水流场和资源影响的因子识别</w:t>
      </w:r>
    </w:p>
    <w:p w14:paraId="7E4674B2" w14:textId="77777777" w:rsidR="009C353B" w:rsidRDefault="00000000">
      <w:pPr>
        <w:adjustRightInd w:val="0"/>
        <w:snapToGrid w:val="0"/>
        <w:spacing w:line="440" w:lineRule="exact"/>
        <w:ind w:firstLineChars="200" w:firstLine="480"/>
        <w:rPr>
          <w:rFonts w:hint="eastAsia"/>
        </w:rPr>
      </w:pPr>
      <w:r>
        <w:rPr>
          <w:rFonts w:hint="eastAsia"/>
        </w:rPr>
        <w:t>矿区开发对地下水流场和资源的影响，主要通过两方面作用：一是采煤所形成的导水裂缝带导通含水层的直接影响，二是采煤沉陷以及疏排地下水造成含水层被疏干、地下水位下降，并由此而带来的间接生态影响。</w:t>
      </w:r>
    </w:p>
    <w:p w14:paraId="6FF7D24A" w14:textId="77777777" w:rsidR="009C353B" w:rsidRDefault="00000000">
      <w:pPr>
        <w:adjustRightInd w:val="0"/>
        <w:snapToGrid w:val="0"/>
        <w:spacing w:line="440" w:lineRule="exact"/>
        <w:ind w:firstLineChars="200" w:firstLine="480"/>
        <w:rPr>
          <w:rFonts w:hint="eastAsia"/>
        </w:rPr>
      </w:pPr>
      <w:r>
        <w:rPr>
          <w:rFonts w:hint="eastAsia"/>
        </w:rPr>
        <w:t>矿井采煤所形成的导水裂缝带，对上部含水层的导通作用，将使所导通的含水层被疏干，以矿井水的形式排出矿井，这是矿区开发影响地下水资源的最主要因素，若导水裂缝带导通浅部含水层，还将会对导通区域的浅部地下水流场产生一定程度的影响。</w:t>
      </w:r>
    </w:p>
    <w:p w14:paraId="114B4404" w14:textId="77777777" w:rsidR="009C353B" w:rsidRDefault="00000000">
      <w:pPr>
        <w:adjustRightInd w:val="0"/>
        <w:snapToGrid w:val="0"/>
        <w:spacing w:line="440" w:lineRule="exact"/>
        <w:ind w:firstLineChars="200" w:firstLine="480"/>
        <w:rPr>
          <w:rFonts w:hint="eastAsia"/>
        </w:rPr>
      </w:pPr>
      <w:r>
        <w:rPr>
          <w:rFonts w:hint="eastAsia"/>
        </w:rPr>
        <w:t>采煤沉陷的间接影响，主要是由于地表沉陷，相应导致矿区沉陷区域内的地下含水层位置发生变化（尤其是浅部含水层），致使地下水水位发生变化，进而导致沉陷区内地下水流场发生改变，并将进一步扩展到矿区外一定距离（地下水水头下降影响距离），在有些地方甚至会出现浅部含水层缺失的情况。</w:t>
      </w:r>
    </w:p>
    <w:p w14:paraId="0F7D0CEC"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5</w:t>
      </w:r>
      <w:r>
        <w:rPr>
          <w:rFonts w:ascii="Times New Roman" w:eastAsia="宋体" w:hAnsi="Times New Roman"/>
          <w:sz w:val="24"/>
        </w:rPr>
        <w:t xml:space="preserve">.1.1.3 </w:t>
      </w:r>
      <w:r>
        <w:rPr>
          <w:rFonts w:ascii="Times New Roman" w:eastAsia="宋体" w:hAnsi="Times New Roman"/>
          <w:sz w:val="24"/>
        </w:rPr>
        <w:t>矿区社会经济影响识别</w:t>
      </w:r>
    </w:p>
    <w:p w14:paraId="4B656771" w14:textId="77777777" w:rsidR="009C353B" w:rsidRDefault="00000000">
      <w:pPr>
        <w:adjustRightInd w:val="0"/>
        <w:snapToGrid w:val="0"/>
        <w:spacing w:line="440" w:lineRule="exact"/>
        <w:ind w:firstLineChars="200" w:firstLine="480"/>
        <w:rPr>
          <w:rFonts w:hint="eastAsia"/>
        </w:rPr>
      </w:pPr>
      <w:r>
        <w:rPr>
          <w:rFonts w:hint="eastAsia"/>
        </w:rPr>
        <w:t>目前，横城矿区范围内无村庄民居，无居民饮水水源。原有村庄基本在宁东基地开发初期已搬迁完毕。横城矿区不涉及居民搬迁。</w:t>
      </w:r>
    </w:p>
    <w:p w14:paraId="0C3E2C40" w14:textId="77777777" w:rsidR="009C353B" w:rsidRDefault="00000000">
      <w:pPr>
        <w:adjustRightInd w:val="0"/>
        <w:snapToGrid w:val="0"/>
        <w:spacing w:line="440" w:lineRule="exact"/>
        <w:ind w:firstLineChars="200" w:firstLine="480"/>
        <w:rPr>
          <w:rFonts w:hint="eastAsia"/>
        </w:rPr>
      </w:pPr>
      <w:r>
        <w:rPr>
          <w:rFonts w:ascii="Times New Roman" w:hAnsi="Times New Roman"/>
        </w:rPr>
        <w:t>横城矿区</w:t>
      </w:r>
      <w:r>
        <w:rPr>
          <w:rFonts w:hint="eastAsia"/>
        </w:rPr>
        <w:t>开发对社会经济的影响，主要通过两个方面作用：一是矿区煤炭开采所导致的土地利用结构变化，二是矿区开发对当地社会和经济的推动作用。</w:t>
      </w:r>
    </w:p>
    <w:p w14:paraId="483450B1" w14:textId="77777777" w:rsidR="009C353B" w:rsidRDefault="00000000">
      <w:pPr>
        <w:adjustRightInd w:val="0"/>
        <w:snapToGrid w:val="0"/>
        <w:spacing w:line="440" w:lineRule="exact"/>
        <w:ind w:firstLineChars="200" w:firstLine="482"/>
        <w:rPr>
          <w:rFonts w:hint="eastAsia"/>
        </w:rPr>
      </w:pPr>
      <w:r>
        <w:rPr>
          <w:rFonts w:hint="eastAsia"/>
          <w:b/>
        </w:rPr>
        <w:t>（1）</w:t>
      </w:r>
      <w:r>
        <w:rPr>
          <w:rFonts w:ascii="Times New Roman" w:hAnsi="Times New Roman"/>
          <w:b/>
        </w:rPr>
        <w:t>矿区开发导致土地利用结构发生变化</w:t>
      </w:r>
    </w:p>
    <w:p w14:paraId="1A086E0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矿区采煤沉陷将导致局部植被生长条件变化，居民点及工矿用地和交通用地增加，沉陷区边缘</w:t>
      </w:r>
      <w:r>
        <w:rPr>
          <w:rFonts w:ascii="Times New Roman" w:hAnsi="Times New Roman" w:hint="eastAsia"/>
        </w:rPr>
        <w:t>水土流失</w:t>
      </w:r>
      <w:r>
        <w:rPr>
          <w:rFonts w:ascii="Times New Roman" w:hAnsi="Times New Roman"/>
        </w:rPr>
        <w:t>程度加重等影响，从而导致矿区土地利用结构的改变。</w:t>
      </w:r>
    </w:p>
    <w:p w14:paraId="50726A5F"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）矿区开发对当地社会经济的推动影响</w:t>
      </w:r>
    </w:p>
    <w:p w14:paraId="50679833" w14:textId="77777777" w:rsidR="009C353B" w:rsidRDefault="00000000">
      <w:pPr>
        <w:adjustRightInd w:val="0"/>
        <w:snapToGrid w:val="0"/>
        <w:spacing w:line="440" w:lineRule="exact"/>
        <w:ind w:firstLineChars="200" w:firstLine="480"/>
        <w:rPr>
          <w:rFonts w:hint="eastAsia"/>
        </w:rPr>
      </w:pPr>
      <w:bookmarkStart w:id="215" w:name="_Toc182400990"/>
      <w:r>
        <w:rPr>
          <w:rFonts w:hint="eastAsia"/>
        </w:rPr>
        <w:t>矿区建设对于促进当地经济转型，增加就业，提高居民生活水平和当地基础设施的建设，推动地方经济、文化、教育和卫生事业的发展，具有重要的意义。</w:t>
      </w:r>
    </w:p>
    <w:p w14:paraId="3146C6A1"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5</w:t>
      </w:r>
      <w:r>
        <w:rPr>
          <w:rFonts w:ascii="Times New Roman" w:hAnsi="Times New Roman"/>
          <w:sz w:val="24"/>
        </w:rPr>
        <w:t xml:space="preserve">.1.2 </w:t>
      </w:r>
      <w:r>
        <w:rPr>
          <w:rFonts w:ascii="Times New Roman" w:hAnsi="Times New Roman"/>
          <w:sz w:val="24"/>
        </w:rPr>
        <w:t>矿区发展限制因子分析</w:t>
      </w:r>
      <w:bookmarkEnd w:id="215"/>
    </w:p>
    <w:p w14:paraId="033EC9C3"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5</w:t>
      </w:r>
      <w:r>
        <w:rPr>
          <w:rFonts w:ascii="Times New Roman" w:eastAsia="宋体" w:hAnsi="Times New Roman"/>
          <w:sz w:val="24"/>
        </w:rPr>
        <w:t xml:space="preserve">.1.2.1 </w:t>
      </w:r>
      <w:r>
        <w:rPr>
          <w:rFonts w:ascii="Times New Roman" w:eastAsia="宋体" w:hAnsi="Times New Roman"/>
          <w:sz w:val="24"/>
        </w:rPr>
        <w:t>矿区发展的资源要素限制因子分析</w:t>
      </w:r>
    </w:p>
    <w:p w14:paraId="1ACEE4F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根据本矿区环境资源特征分析，横城矿区发展的资源限制因子主要有三个，分别为：煤炭资源、水资源和土地资源。</w:t>
      </w:r>
    </w:p>
    <w:p w14:paraId="0E323771"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）煤炭资源</w:t>
      </w:r>
    </w:p>
    <w:p w14:paraId="3785A984"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矿区资源条件，是决定矿区布局、发展规模与发展方向的根本所在，它是矿区规划与发展的基础。矿区可供开发和利用的煤炭资源量、分布特征以及产品特征，将对矿区规划规划实施构成主要制约因素。</w:t>
      </w:r>
    </w:p>
    <w:p w14:paraId="1DC50106"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）水资源</w:t>
      </w:r>
    </w:p>
    <w:p w14:paraId="29C51561"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矿区内规划建设项目需要耗用大量的水资源，区域水资源分布特征和供应能力的大小直接决定了规划建设项目的布局合理性、建设可行性和规模合理性。</w:t>
      </w:r>
      <w:r>
        <w:rPr>
          <w:rFonts w:ascii="Times New Roman" w:hAnsi="Times New Roman" w:hint="eastAsia"/>
        </w:rPr>
        <w:t>虽然</w:t>
      </w:r>
      <w:r>
        <w:rPr>
          <w:rFonts w:ascii="Times New Roman" w:hAnsi="Times New Roman"/>
        </w:rPr>
        <w:t>横城矿区</w:t>
      </w:r>
      <w:r>
        <w:rPr>
          <w:rFonts w:ascii="Times New Roman" w:hAnsi="Times New Roman" w:hint="eastAsia"/>
        </w:rPr>
        <w:t>所在区域水资源相对充足，但</w:t>
      </w:r>
      <w:r>
        <w:rPr>
          <w:rFonts w:ascii="Times New Roman" w:hAnsi="Times New Roman"/>
        </w:rPr>
        <w:t>加强对区域水资源的保护和</w:t>
      </w:r>
      <w:r>
        <w:rPr>
          <w:rFonts w:ascii="Times New Roman" w:hAnsi="Times New Roman" w:hint="eastAsia"/>
        </w:rPr>
        <w:t>合理</w:t>
      </w:r>
      <w:r>
        <w:rPr>
          <w:rFonts w:ascii="Times New Roman" w:hAnsi="Times New Roman"/>
        </w:rPr>
        <w:t>开发</w:t>
      </w:r>
      <w:r>
        <w:rPr>
          <w:rFonts w:ascii="Times New Roman" w:hAnsi="Times New Roman" w:hint="eastAsia"/>
        </w:rPr>
        <w:t>利用</w:t>
      </w:r>
      <w:r>
        <w:rPr>
          <w:rFonts w:ascii="Times New Roman" w:hAnsi="Times New Roman"/>
        </w:rPr>
        <w:t>，充分利用矿井水，对于矿区的发展有着十分重要的意义，因此水资源是横城矿区开发的重要制约因子。</w:t>
      </w:r>
    </w:p>
    <w:p w14:paraId="08D1E7AF"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3</w:t>
      </w:r>
      <w:r>
        <w:rPr>
          <w:rFonts w:ascii="Times New Roman" w:hAnsi="Times New Roman"/>
          <w:b/>
        </w:rPr>
        <w:t>）土地资源</w:t>
      </w:r>
    </w:p>
    <w:p w14:paraId="77B1D5F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从目前土地资源现状可知，矿区所处区域以</w:t>
      </w:r>
      <w:r>
        <w:rPr>
          <w:rFonts w:ascii="Times New Roman" w:hAnsi="Times New Roman" w:hint="eastAsia"/>
        </w:rPr>
        <w:t>荒漠草地为主，其中</w:t>
      </w:r>
      <w:r>
        <w:rPr>
          <w:rFonts w:ascii="Times New Roman" w:hAnsi="Times New Roman"/>
        </w:rPr>
        <w:t>可供矿区发展的裸地或荒地面积</w:t>
      </w:r>
      <w:r>
        <w:rPr>
          <w:rFonts w:ascii="Times New Roman" w:hAnsi="Times New Roman" w:hint="eastAsia"/>
        </w:rPr>
        <w:t>较多，无耕地</w:t>
      </w:r>
      <w:r>
        <w:rPr>
          <w:rFonts w:ascii="Times New Roman" w:hAnsi="Times New Roman"/>
        </w:rPr>
        <w:t>。矿区</w:t>
      </w:r>
      <w:r>
        <w:rPr>
          <w:rFonts w:ascii="Times New Roman" w:hAnsi="Times New Roman" w:hint="eastAsia"/>
        </w:rPr>
        <w:t>的</w:t>
      </w:r>
      <w:r>
        <w:rPr>
          <w:rFonts w:ascii="Times New Roman" w:hAnsi="Times New Roman"/>
        </w:rPr>
        <w:t>发展必然会占用和破坏</w:t>
      </w:r>
      <w:r>
        <w:rPr>
          <w:rFonts w:ascii="Times New Roman" w:hAnsi="Times New Roman" w:hint="eastAsia"/>
        </w:rPr>
        <w:t>荒漠</w:t>
      </w:r>
      <w:r>
        <w:rPr>
          <w:rFonts w:ascii="Times New Roman" w:hAnsi="Times New Roman"/>
        </w:rPr>
        <w:t>草</w:t>
      </w:r>
      <w:r>
        <w:rPr>
          <w:rFonts w:ascii="Times New Roman" w:hAnsi="Times New Roman" w:hint="eastAsia"/>
        </w:rPr>
        <w:t>地</w:t>
      </w:r>
      <w:r>
        <w:rPr>
          <w:rFonts w:ascii="Times New Roman" w:hAnsi="Times New Roman"/>
        </w:rPr>
        <w:t>，这会对区域的</w:t>
      </w:r>
      <w:r>
        <w:rPr>
          <w:rFonts w:ascii="Times New Roman" w:hAnsi="Times New Roman" w:hint="eastAsia"/>
        </w:rPr>
        <w:t>荒漠草原</w:t>
      </w:r>
      <w:r>
        <w:rPr>
          <w:rFonts w:ascii="Times New Roman" w:hAnsi="Times New Roman"/>
        </w:rPr>
        <w:t>生态系统造成</w:t>
      </w:r>
      <w:r>
        <w:rPr>
          <w:rFonts w:ascii="Times New Roman" w:hAnsi="Times New Roman" w:hint="eastAsia"/>
        </w:rPr>
        <w:t>一定</w:t>
      </w:r>
      <w:r>
        <w:rPr>
          <w:rFonts w:ascii="Times New Roman" w:hAnsi="Times New Roman"/>
        </w:rPr>
        <w:t>影响</w:t>
      </w:r>
      <w:r>
        <w:rPr>
          <w:rFonts w:ascii="Times New Roman" w:hAnsi="Times New Roman" w:hint="eastAsia"/>
        </w:rPr>
        <w:t>。</w:t>
      </w:r>
    </w:p>
    <w:p w14:paraId="7C69C003"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5</w:t>
      </w:r>
      <w:r>
        <w:rPr>
          <w:rFonts w:ascii="Times New Roman" w:eastAsia="宋体" w:hAnsi="Times New Roman"/>
          <w:sz w:val="24"/>
        </w:rPr>
        <w:t xml:space="preserve">.1.2.2 </w:t>
      </w:r>
      <w:r>
        <w:rPr>
          <w:rFonts w:ascii="Times New Roman" w:eastAsia="宋体" w:hAnsi="Times New Roman"/>
          <w:sz w:val="24"/>
        </w:rPr>
        <w:t>矿区发展的环境要素限制因子</w:t>
      </w:r>
    </w:p>
    <w:p w14:paraId="7FF8334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结合矿区实际，矿区发展的环境要素限制因子主要有生态、大气、水、固废、声环境</w:t>
      </w:r>
      <w:r>
        <w:rPr>
          <w:rFonts w:ascii="Times New Roman" w:hAnsi="Times New Roman" w:hint="eastAsia"/>
        </w:rPr>
        <w:t>以及重要环境保护目标</w:t>
      </w:r>
      <w:r>
        <w:rPr>
          <w:rFonts w:ascii="Times New Roman" w:hAnsi="Times New Roman"/>
        </w:rPr>
        <w:t>。</w:t>
      </w:r>
    </w:p>
    <w:p w14:paraId="6FD495FE"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）生态环境</w:t>
      </w:r>
    </w:p>
    <w:p w14:paraId="498B11B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矿区位于</w:t>
      </w:r>
      <w:r>
        <w:rPr>
          <w:rFonts w:ascii="Times New Roman" w:hAnsi="Times New Roman" w:hint="eastAsia"/>
        </w:rPr>
        <w:t>宁夏</w:t>
      </w:r>
      <w:r>
        <w:rPr>
          <w:rFonts w:ascii="Times New Roman" w:hint="eastAsia"/>
          <w:szCs w:val="24"/>
        </w:rPr>
        <w:t>灵武东部荒漠草原区，</w:t>
      </w:r>
      <w:r>
        <w:rPr>
          <w:rFonts w:ascii="Times New Roman" w:hint="eastAsia"/>
        </w:rPr>
        <w:t>生态环境比较脆弱，同时，存在一定程度的水土流失问题，</w:t>
      </w:r>
      <w:r>
        <w:rPr>
          <w:rFonts w:ascii="Times New Roman" w:hAnsi="Times New Roman"/>
        </w:rPr>
        <w:t>当地生态环境的承载能力将是限制矿区开发规划和开发强度的主要因素。</w:t>
      </w:r>
    </w:p>
    <w:p w14:paraId="77331DE6"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）大气环境容量</w:t>
      </w:r>
      <w:r>
        <w:rPr>
          <w:rFonts w:ascii="Times New Roman" w:hAnsi="Times New Roman" w:hint="eastAsia"/>
          <w:b/>
        </w:rPr>
        <w:t>及总量指标</w:t>
      </w:r>
    </w:p>
    <w:p w14:paraId="7F0EF5E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横城矿区</w:t>
      </w:r>
      <w:r>
        <w:rPr>
          <w:rFonts w:ascii="Times New Roman" w:hAnsi="Times New Roman" w:hint="eastAsia"/>
        </w:rPr>
        <w:t>内规划供热采取燃气锅炉以及电厂供热，</w:t>
      </w:r>
      <w:r>
        <w:rPr>
          <w:rFonts w:ascii="Times New Roman" w:hAnsi="Times New Roman"/>
        </w:rPr>
        <w:t>排放烟尘、</w:t>
      </w:r>
      <w:r>
        <w:rPr>
          <w:rFonts w:ascii="Times New Roman" w:hAnsi="Times New Roman" w:hint="eastAsia"/>
        </w:rPr>
        <w:t>N</w:t>
      </w:r>
      <w:r>
        <w:rPr>
          <w:rFonts w:ascii="Times New Roman" w:hAnsi="Times New Roman"/>
        </w:rPr>
        <w:t>O</w:t>
      </w:r>
      <w:r>
        <w:rPr>
          <w:rFonts w:ascii="Times New Roman" w:hAnsi="Times New Roman"/>
          <w:vertAlign w:val="subscript"/>
        </w:rPr>
        <w:t>2</w:t>
      </w:r>
      <w:r>
        <w:rPr>
          <w:rFonts w:ascii="Times New Roman" w:hAnsi="Times New Roman"/>
        </w:rPr>
        <w:t>等空气污染物</w:t>
      </w:r>
      <w:r>
        <w:rPr>
          <w:rFonts w:ascii="Times New Roman" w:hAnsi="Times New Roman" w:hint="eastAsia"/>
        </w:rPr>
        <w:t>量很少。排矸场、道路无组织扬尘等</w:t>
      </w:r>
      <w:r>
        <w:rPr>
          <w:rFonts w:ascii="Times New Roman" w:hAnsi="Times New Roman"/>
        </w:rPr>
        <w:t>将给矿区大气环境造成一定的影响。</w:t>
      </w:r>
      <w:r>
        <w:rPr>
          <w:rFonts w:ascii="Times New Roman" w:hAnsi="Times New Roman" w:hint="eastAsia"/>
        </w:rPr>
        <w:t>因此，</w:t>
      </w:r>
      <w:r>
        <w:rPr>
          <w:rFonts w:ascii="Times New Roman" w:hAnsi="Times New Roman"/>
        </w:rPr>
        <w:t>矿区大气环境容量</w:t>
      </w:r>
      <w:r>
        <w:rPr>
          <w:rFonts w:ascii="Times New Roman" w:hAnsi="Times New Roman" w:hint="eastAsia"/>
        </w:rPr>
        <w:t>对</w:t>
      </w:r>
      <w:r>
        <w:rPr>
          <w:rFonts w:ascii="Times New Roman" w:hAnsi="Times New Roman"/>
        </w:rPr>
        <w:t>矿区发展</w:t>
      </w:r>
      <w:r>
        <w:rPr>
          <w:rFonts w:ascii="Times New Roman" w:hAnsi="Times New Roman" w:hint="eastAsia"/>
        </w:rPr>
        <w:t>将有一定</w:t>
      </w:r>
      <w:r>
        <w:rPr>
          <w:rFonts w:ascii="Times New Roman" w:hAnsi="Times New Roman"/>
        </w:rPr>
        <w:t>制约</w:t>
      </w:r>
      <w:r>
        <w:rPr>
          <w:rFonts w:ascii="Times New Roman" w:hAnsi="Times New Roman" w:hint="eastAsia"/>
        </w:rPr>
        <w:t>作用</w:t>
      </w:r>
      <w:r>
        <w:rPr>
          <w:rFonts w:ascii="Times New Roman" w:hAnsi="Times New Roman"/>
        </w:rPr>
        <w:t>。</w:t>
      </w:r>
    </w:p>
    <w:p w14:paraId="7BFC170C"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3</w:t>
      </w:r>
      <w:r>
        <w:rPr>
          <w:rFonts w:ascii="Times New Roman" w:hAnsi="Times New Roman"/>
          <w:b/>
        </w:rPr>
        <w:t>）地表水环境质量及容量</w:t>
      </w:r>
    </w:p>
    <w:p w14:paraId="110D24D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矿区开发将会产生大量的矿井水和各类生产生活污水，地表水环境质量和容量将对矿区规划实施形成较强的制约，对规划项目废水治理和资源化利用提出更高的要求。</w:t>
      </w:r>
    </w:p>
    <w:p w14:paraId="404C15B7"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4</w:t>
      </w:r>
      <w:r>
        <w:rPr>
          <w:rFonts w:ascii="Times New Roman" w:hAnsi="Times New Roman"/>
          <w:b/>
        </w:rPr>
        <w:t>）固体废物综合处置</w:t>
      </w:r>
    </w:p>
    <w:p w14:paraId="41E9E8B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矿区开发产生的</w:t>
      </w:r>
      <w:r>
        <w:rPr>
          <w:rFonts w:ascii="Times New Roman" w:hAnsi="Times New Roman"/>
        </w:rPr>
        <w:t>固体废物，</w:t>
      </w:r>
      <w:r>
        <w:rPr>
          <w:rFonts w:ascii="Times New Roman" w:hAnsi="Times New Roman" w:hint="eastAsia"/>
        </w:rPr>
        <w:t>如煤矸石、生活垃圾、危险废物，若不能综合利用和及时安全处置，必然会给周边环境带来一定的影响，如压占土地、污染地下水、产生扬尘以及影响景观等。</w:t>
      </w:r>
      <w:r>
        <w:rPr>
          <w:rFonts w:ascii="Times New Roman" w:hAnsi="Times New Roman"/>
        </w:rPr>
        <w:t>因此，矿区固体废物综合利用和安全处置也是矿区发展的制约因子。</w:t>
      </w:r>
    </w:p>
    <w:p w14:paraId="4592A401"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5</w:t>
      </w:r>
      <w:r>
        <w:rPr>
          <w:rFonts w:ascii="Times New Roman" w:hAnsi="Times New Roman"/>
          <w:b/>
        </w:rPr>
        <w:t>）噪声污染</w:t>
      </w:r>
    </w:p>
    <w:p w14:paraId="25AA922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煤矿项目建设与运行过程中会产生机械、振动、排气等噪声污染。不仅污染环境，同时还会引发一系列社会问题（如噪声扰民），处理不好将影响矿区的和谐发展。因此，噪声污染问题也是限制矿区发展的制约因子。但总体来说噪声的影响是局部，比较容易得到解决。</w:t>
      </w:r>
    </w:p>
    <w:p w14:paraId="1BB6C40F"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hint="eastAsia"/>
          <w:b/>
        </w:rPr>
        <w:t>（</w:t>
      </w:r>
      <w:r>
        <w:rPr>
          <w:rFonts w:ascii="Times New Roman" w:hAnsi="Times New Roman" w:hint="eastAsia"/>
          <w:b/>
        </w:rPr>
        <w:t>6</w:t>
      </w:r>
      <w:r>
        <w:rPr>
          <w:rFonts w:ascii="Times New Roman" w:hAnsi="Times New Roman" w:hint="eastAsia"/>
          <w:b/>
        </w:rPr>
        <w:t>）重要环境保护目标</w:t>
      </w:r>
    </w:p>
    <w:p w14:paraId="4D8C22A7" w14:textId="77777777" w:rsidR="009C353B" w:rsidRDefault="00000000">
      <w:pPr>
        <w:adjustRightInd w:val="0"/>
        <w:snapToGrid w:val="0"/>
        <w:spacing w:line="440" w:lineRule="exact"/>
        <w:ind w:firstLineChars="200" w:firstLine="480"/>
        <w:rPr>
          <w:rFonts w:ascii="Times New Roman" w:hAnsi="Times New Roman"/>
          <w:b/>
        </w:rPr>
      </w:pPr>
      <w:r>
        <w:rPr>
          <w:rFonts w:ascii="Times New Roman" w:hint="eastAsia"/>
        </w:rPr>
        <w:t>横城矿区</w:t>
      </w:r>
      <w:r>
        <w:rPr>
          <w:rFonts w:ascii="Times New Roman"/>
        </w:rPr>
        <w:t>开发建设主要环境保护目标为</w:t>
      </w:r>
      <w:r>
        <w:rPr>
          <w:rFonts w:ascii="Times New Roman" w:hint="eastAsia"/>
        </w:rPr>
        <w:t>宁夏灵武白芨滩国家级自然保护区、水洞沟、大河子沟、鸭子荡水库、宁东</w:t>
      </w:r>
      <w:r>
        <w:rPr>
          <w:rFonts w:ascii="Times New Roman"/>
        </w:rPr>
        <w:t>镇、</w:t>
      </w:r>
      <w:r>
        <w:rPr>
          <w:rFonts w:ascii="Times New Roman" w:hint="eastAsia"/>
        </w:rPr>
        <w:t>以及输水、输气管线、多条高压输电线、</w:t>
      </w:r>
      <w:r>
        <w:rPr>
          <w:rFonts w:ascii="Times New Roman"/>
        </w:rPr>
        <w:t>受矿</w:t>
      </w:r>
      <w:r>
        <w:rPr>
          <w:rFonts w:ascii="Times New Roman" w:hint="eastAsia"/>
        </w:rPr>
        <w:t>区</w:t>
      </w:r>
      <w:r>
        <w:rPr>
          <w:rFonts w:ascii="Times New Roman"/>
        </w:rPr>
        <w:t>采煤沉陷影响的土地与植被、地下水资源</w:t>
      </w:r>
      <w:r>
        <w:rPr>
          <w:rFonts w:ascii="Times New Roman" w:hint="eastAsia"/>
        </w:rPr>
        <w:t>、</w:t>
      </w:r>
      <w:r>
        <w:rPr>
          <w:rFonts w:ascii="Times New Roman"/>
        </w:rPr>
        <w:t>地面构筑物，以及矿井工业场地和排矸场周围、运输道路、铁路专用线两侧受项目建设和运营期污染影响的敏感目标。</w:t>
      </w:r>
      <w:r>
        <w:rPr>
          <w:rFonts w:ascii="Times New Roman" w:hint="eastAsia"/>
          <w:szCs w:val="24"/>
        </w:rPr>
        <w:t>这些环境敏感保护目标的存在对矿区规划实施存在一定的制约作用。</w:t>
      </w:r>
    </w:p>
    <w:p w14:paraId="141A4B2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综上所述，横城矿区</w:t>
      </w:r>
      <w:r>
        <w:rPr>
          <w:rFonts w:ascii="Times New Roman" w:hAnsi="Times New Roman" w:hint="eastAsia"/>
        </w:rPr>
        <w:t>修编</w:t>
      </w:r>
      <w:r>
        <w:rPr>
          <w:rFonts w:ascii="Times New Roman" w:hAnsi="Times New Roman"/>
        </w:rPr>
        <w:t>规划的实施存在一定的制约条件，规划区所处区域环境要素对规划方案实施制约因素初步分析详见表</w:t>
      </w:r>
      <w:r>
        <w:rPr>
          <w:rFonts w:ascii="Times New Roman" w:hAnsi="Times New Roman" w:hint="eastAsia"/>
        </w:rPr>
        <w:t>5</w:t>
      </w:r>
      <w:r>
        <w:rPr>
          <w:rFonts w:ascii="Times New Roman" w:hAnsi="Times New Roman"/>
        </w:rPr>
        <w:t>.1-1</w:t>
      </w:r>
      <w:r>
        <w:rPr>
          <w:rFonts w:ascii="Times New Roman" w:hAnsi="Times New Roman"/>
        </w:rPr>
        <w:t>。</w:t>
      </w:r>
    </w:p>
    <w:p w14:paraId="4FC18230" w14:textId="77777777" w:rsidR="009C353B" w:rsidRDefault="00000000">
      <w:pPr>
        <w:pStyle w:val="affffff0"/>
        <w:adjustRightInd w:val="0"/>
        <w:spacing w:line="440" w:lineRule="exact"/>
        <w:ind w:firstLine="200"/>
        <w:jc w:val="center"/>
        <w:rPr>
          <w:rFonts w:ascii="Times New Roman" w:hAnsi="Times New Roman"/>
        </w:rPr>
      </w:pPr>
      <w:r>
        <w:rPr>
          <w:rFonts w:ascii="Times New Roman" w:hAnsi="Times New Roman"/>
        </w:rPr>
        <w:t>规划方案实施环境制约因素初步分析表</w:t>
      </w:r>
    </w:p>
    <w:p w14:paraId="4DAC4AAC" w14:textId="77777777" w:rsidR="009C353B" w:rsidRDefault="00000000">
      <w:pPr>
        <w:pStyle w:val="affffd"/>
        <w:spacing w:line="529" w:lineRule="exact"/>
        <w:rPr>
          <w:rFonts w:ascii="Times New Roman" w:hAnsi="Times New Roman"/>
        </w:rPr>
      </w:pPr>
      <w:r>
        <w:rPr>
          <w:rFonts w:ascii="Times New Roman" w:hAnsi="Times New Roman"/>
        </w:rPr>
        <w:t>表</w:t>
      </w:r>
      <w:r>
        <w:rPr>
          <w:rFonts w:ascii="Times New Roman" w:hAnsi="Times New Roman" w:hint="eastAsia"/>
        </w:rPr>
        <w:t>5</w:t>
      </w:r>
      <w:r>
        <w:rPr>
          <w:rFonts w:ascii="Times New Roman" w:hAnsi="Times New Roman"/>
        </w:rPr>
        <w:t>.1-1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57" w:type="dxa"/>
          <w:right w:w="57" w:type="dxa"/>
        </w:tblCellMar>
        <w:tblLook w:val="04A0" w:firstRow="1" w:lastRow="0" w:firstColumn="1" w:lastColumn="0" w:noHBand="0" w:noVBand="1"/>
      </w:tblPr>
      <w:tblGrid>
        <w:gridCol w:w="594"/>
        <w:gridCol w:w="1227"/>
        <w:gridCol w:w="3986"/>
        <w:gridCol w:w="659"/>
        <w:gridCol w:w="869"/>
        <w:gridCol w:w="643"/>
        <w:gridCol w:w="1207"/>
      </w:tblGrid>
      <w:tr w:rsidR="009C353B" w14:paraId="27A72DE7" w14:textId="77777777">
        <w:trPr>
          <w:trHeight w:val="284"/>
          <w:tblHeader/>
          <w:jc w:val="center"/>
        </w:trPr>
        <w:tc>
          <w:tcPr>
            <w:tcW w:w="991" w:type="pct"/>
            <w:gridSpan w:val="2"/>
            <w:shd w:val="clear" w:color="auto" w:fill="FFFFFF"/>
            <w:vAlign w:val="center"/>
          </w:tcPr>
          <w:p w14:paraId="65B97D27"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主要规划活动</w:t>
            </w:r>
          </w:p>
        </w:tc>
        <w:tc>
          <w:tcPr>
            <w:tcW w:w="2170" w:type="pct"/>
            <w:shd w:val="clear" w:color="auto" w:fill="FFFFFF"/>
            <w:vAlign w:val="center"/>
          </w:tcPr>
          <w:p w14:paraId="180324C0"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主要的环境影响行为</w:t>
            </w:r>
          </w:p>
        </w:tc>
        <w:tc>
          <w:tcPr>
            <w:tcW w:w="359" w:type="pct"/>
            <w:shd w:val="clear" w:color="auto" w:fill="FFFFFF"/>
            <w:vAlign w:val="center"/>
          </w:tcPr>
          <w:p w14:paraId="4BA59C96"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正</w:t>
            </w:r>
            <w:r>
              <w:rPr>
                <w:rFonts w:ascii="Times New Roman" w:hAnsi="Times New Roman"/>
                <w:sz w:val="21"/>
                <w:szCs w:val="21"/>
              </w:rPr>
              <w:t>/</w:t>
            </w:r>
            <w:r>
              <w:rPr>
                <w:rFonts w:ascii="Times New Roman"/>
                <w:sz w:val="21"/>
                <w:szCs w:val="21"/>
              </w:rPr>
              <w:t>负</w:t>
            </w:r>
          </w:p>
          <w:p w14:paraId="2B75013B"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效应</w:t>
            </w:r>
          </w:p>
        </w:tc>
        <w:tc>
          <w:tcPr>
            <w:tcW w:w="473" w:type="pct"/>
            <w:shd w:val="clear" w:color="auto" w:fill="FFFFFF"/>
            <w:vAlign w:val="center"/>
          </w:tcPr>
          <w:p w14:paraId="42BD0D00"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影响</w:t>
            </w:r>
          </w:p>
          <w:p w14:paraId="69A8874C"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程度</w:t>
            </w:r>
          </w:p>
        </w:tc>
        <w:tc>
          <w:tcPr>
            <w:tcW w:w="350" w:type="pct"/>
            <w:shd w:val="clear" w:color="auto" w:fill="FFFFFF"/>
            <w:vAlign w:val="center"/>
          </w:tcPr>
          <w:p w14:paraId="015B67B3"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影响</w:t>
            </w:r>
          </w:p>
          <w:p w14:paraId="2AA5DF86"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时段</w:t>
            </w:r>
          </w:p>
        </w:tc>
        <w:tc>
          <w:tcPr>
            <w:tcW w:w="657" w:type="pct"/>
            <w:shd w:val="clear" w:color="auto" w:fill="FFFFFF"/>
            <w:vAlign w:val="center"/>
          </w:tcPr>
          <w:p w14:paraId="387CD293"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与规划决策的相关性</w:t>
            </w:r>
          </w:p>
        </w:tc>
      </w:tr>
      <w:tr w:rsidR="009C353B" w14:paraId="29C44F78" w14:textId="77777777">
        <w:trPr>
          <w:trHeight w:val="605"/>
          <w:jc w:val="center"/>
        </w:trPr>
        <w:tc>
          <w:tcPr>
            <w:tcW w:w="323" w:type="pct"/>
            <w:vMerge w:val="restart"/>
            <w:shd w:val="clear" w:color="auto" w:fill="FFFFFF"/>
            <w:vAlign w:val="center"/>
          </w:tcPr>
          <w:p w14:paraId="5398C6A4"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水资</w:t>
            </w:r>
          </w:p>
          <w:p w14:paraId="2709659C"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源</w:t>
            </w:r>
          </w:p>
        </w:tc>
        <w:tc>
          <w:tcPr>
            <w:tcW w:w="668" w:type="pct"/>
            <w:vMerge w:val="restart"/>
            <w:shd w:val="clear" w:color="auto" w:fill="FFFFFF"/>
            <w:vAlign w:val="center"/>
          </w:tcPr>
          <w:p w14:paraId="2E8BD7F5"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供水</w:t>
            </w:r>
          </w:p>
        </w:tc>
        <w:tc>
          <w:tcPr>
            <w:tcW w:w="2170" w:type="pct"/>
            <w:shd w:val="clear" w:color="auto" w:fill="FFFFFF"/>
            <w:vAlign w:val="center"/>
          </w:tcPr>
          <w:p w14:paraId="45E89404" w14:textId="77777777" w:rsidR="009C353B" w:rsidRDefault="00000000">
            <w:pPr>
              <w:pStyle w:val="afffff2"/>
              <w:spacing w:line="240" w:lineRule="atLeast"/>
              <w:rPr>
                <w:rFonts w:ascii="Times New Roman" w:hAnsi="Times New Roman"/>
                <w:sz w:val="21"/>
                <w:szCs w:val="21"/>
              </w:rPr>
            </w:pPr>
            <w:r>
              <w:rPr>
                <w:rFonts w:ascii="Times New Roman"/>
                <w:sz w:val="21"/>
                <w:szCs w:val="21"/>
              </w:rPr>
              <w:t>工业用水需求过大将增加区域供水压力或影响农</w:t>
            </w:r>
            <w:r>
              <w:rPr>
                <w:rFonts w:ascii="Times New Roman" w:hint="eastAsia"/>
                <w:sz w:val="21"/>
                <w:szCs w:val="21"/>
              </w:rPr>
              <w:t>牧</w:t>
            </w:r>
            <w:r>
              <w:rPr>
                <w:rFonts w:ascii="Times New Roman"/>
                <w:sz w:val="21"/>
                <w:szCs w:val="21"/>
              </w:rPr>
              <w:t>业、生态用水需求。</w:t>
            </w:r>
          </w:p>
        </w:tc>
        <w:tc>
          <w:tcPr>
            <w:tcW w:w="359" w:type="pct"/>
            <w:shd w:val="clear" w:color="auto" w:fill="FFFFFF"/>
            <w:vAlign w:val="center"/>
          </w:tcPr>
          <w:p w14:paraId="06833845"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7312683C"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2435B657"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3BA0FADA" w14:textId="77777777" w:rsidR="009C353B" w:rsidRDefault="00000000">
            <w:pPr>
              <w:pStyle w:val="afffff2"/>
              <w:spacing w:line="240" w:lineRule="atLeast"/>
              <w:rPr>
                <w:rFonts w:ascii="Times New Roman" w:hAnsi="Times New Roman"/>
                <w:sz w:val="21"/>
                <w:szCs w:val="21"/>
              </w:rPr>
            </w:pPr>
            <w:r>
              <w:rPr>
                <w:rFonts w:ascii="Times New Roman" w:hint="eastAsia"/>
                <w:sz w:val="21"/>
                <w:szCs w:val="21"/>
              </w:rPr>
              <w:t>规模</w:t>
            </w:r>
            <w:r>
              <w:rPr>
                <w:rFonts w:ascii="Times New Roman"/>
                <w:sz w:val="21"/>
                <w:szCs w:val="21"/>
              </w:rPr>
              <w:t>及供水规划</w:t>
            </w:r>
          </w:p>
        </w:tc>
      </w:tr>
      <w:tr w:rsidR="009C353B" w14:paraId="186F6F82" w14:textId="77777777">
        <w:trPr>
          <w:trHeight w:val="284"/>
          <w:jc w:val="center"/>
        </w:trPr>
        <w:tc>
          <w:tcPr>
            <w:tcW w:w="323" w:type="pct"/>
            <w:vMerge/>
            <w:shd w:val="clear" w:color="auto" w:fill="FFFFFF"/>
            <w:vAlign w:val="center"/>
          </w:tcPr>
          <w:p w14:paraId="6B297300" w14:textId="77777777" w:rsidR="009C353B" w:rsidRDefault="009C353B">
            <w:pPr>
              <w:pStyle w:val="afffff2"/>
              <w:spacing w:line="240" w:lineRule="atLeast"/>
              <w:jc w:val="center"/>
              <w:rPr>
                <w:rFonts w:ascii="Times New Roman" w:hAnsi="Times New Roman"/>
                <w:sz w:val="21"/>
                <w:szCs w:val="21"/>
              </w:rPr>
            </w:pPr>
          </w:p>
        </w:tc>
        <w:tc>
          <w:tcPr>
            <w:tcW w:w="668" w:type="pct"/>
            <w:vMerge/>
            <w:shd w:val="clear" w:color="auto" w:fill="FFFFFF"/>
            <w:vAlign w:val="center"/>
          </w:tcPr>
          <w:p w14:paraId="302DC0FC" w14:textId="77777777" w:rsidR="009C353B" w:rsidRDefault="009C353B">
            <w:pPr>
              <w:pStyle w:val="afffff2"/>
              <w:spacing w:line="240" w:lineRule="atLeast"/>
              <w:jc w:val="center"/>
              <w:rPr>
                <w:rFonts w:ascii="Times New Roman" w:hAnsi="Times New Roman"/>
                <w:sz w:val="21"/>
                <w:szCs w:val="21"/>
              </w:rPr>
            </w:pPr>
          </w:p>
        </w:tc>
        <w:tc>
          <w:tcPr>
            <w:tcW w:w="2170" w:type="pct"/>
            <w:shd w:val="clear" w:color="auto" w:fill="FFFFFF"/>
            <w:vAlign w:val="center"/>
          </w:tcPr>
          <w:p w14:paraId="6651524B" w14:textId="77777777" w:rsidR="009C353B" w:rsidRDefault="00000000">
            <w:pPr>
              <w:pStyle w:val="afffff2"/>
              <w:spacing w:line="240" w:lineRule="atLeast"/>
              <w:rPr>
                <w:rFonts w:ascii="Times New Roman" w:hAnsi="Times New Roman"/>
                <w:sz w:val="21"/>
                <w:szCs w:val="21"/>
              </w:rPr>
            </w:pPr>
            <w:r>
              <w:rPr>
                <w:rFonts w:ascii="Times New Roman"/>
                <w:sz w:val="21"/>
                <w:szCs w:val="21"/>
              </w:rPr>
              <w:t>不建</w:t>
            </w:r>
            <w:r>
              <w:rPr>
                <w:rFonts w:ascii="Times New Roman" w:hint="eastAsia"/>
                <w:sz w:val="21"/>
                <w:szCs w:val="21"/>
              </w:rPr>
              <w:t>工业</w:t>
            </w:r>
            <w:r>
              <w:rPr>
                <w:rFonts w:ascii="Times New Roman"/>
                <w:sz w:val="21"/>
                <w:szCs w:val="21"/>
              </w:rPr>
              <w:t>用水地下水取水设施。</w:t>
            </w:r>
          </w:p>
        </w:tc>
        <w:tc>
          <w:tcPr>
            <w:tcW w:w="359" w:type="pct"/>
            <w:shd w:val="clear" w:color="auto" w:fill="FFFFFF"/>
            <w:vAlign w:val="center"/>
          </w:tcPr>
          <w:p w14:paraId="58CF03C7"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18D0BECA"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350" w:type="pct"/>
            <w:shd w:val="clear" w:color="auto" w:fill="FFFFFF"/>
            <w:vAlign w:val="center"/>
          </w:tcPr>
          <w:p w14:paraId="1B340887"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657" w:type="pct"/>
            <w:shd w:val="clear" w:color="auto" w:fill="FFFFFF"/>
            <w:vAlign w:val="center"/>
          </w:tcPr>
          <w:p w14:paraId="3637DEE9" w14:textId="77777777" w:rsidR="009C353B" w:rsidRDefault="00000000">
            <w:pPr>
              <w:pStyle w:val="afffff2"/>
              <w:spacing w:line="240" w:lineRule="atLeast"/>
              <w:rPr>
                <w:rFonts w:ascii="Times New Roman" w:hAnsi="Times New Roman"/>
                <w:sz w:val="21"/>
                <w:szCs w:val="21"/>
              </w:rPr>
            </w:pPr>
            <w:r>
              <w:rPr>
                <w:rFonts w:ascii="Times New Roman"/>
                <w:sz w:val="21"/>
                <w:szCs w:val="21"/>
              </w:rPr>
              <w:t>供水规划</w:t>
            </w:r>
          </w:p>
        </w:tc>
      </w:tr>
      <w:tr w:rsidR="009C353B" w14:paraId="73A9072A" w14:textId="77777777">
        <w:trPr>
          <w:trHeight w:val="284"/>
          <w:jc w:val="center"/>
        </w:trPr>
        <w:tc>
          <w:tcPr>
            <w:tcW w:w="323" w:type="pct"/>
            <w:vMerge/>
            <w:shd w:val="clear" w:color="auto" w:fill="FFFFFF"/>
            <w:vAlign w:val="center"/>
          </w:tcPr>
          <w:p w14:paraId="0615800F" w14:textId="77777777" w:rsidR="009C353B" w:rsidRDefault="009C353B">
            <w:pPr>
              <w:pStyle w:val="afffff2"/>
              <w:spacing w:line="240" w:lineRule="atLeast"/>
              <w:jc w:val="center"/>
              <w:rPr>
                <w:rFonts w:ascii="Times New Roman" w:hAnsi="Times New Roman"/>
                <w:sz w:val="21"/>
                <w:szCs w:val="21"/>
              </w:rPr>
            </w:pPr>
          </w:p>
        </w:tc>
        <w:tc>
          <w:tcPr>
            <w:tcW w:w="668" w:type="pct"/>
            <w:shd w:val="clear" w:color="auto" w:fill="FFFFFF"/>
            <w:vAlign w:val="center"/>
          </w:tcPr>
          <w:p w14:paraId="01DE6AE9"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废水处理</w:t>
            </w:r>
            <w:r>
              <w:rPr>
                <w:rFonts w:ascii="Times New Roman" w:hAnsi="Times New Roman"/>
                <w:sz w:val="21"/>
                <w:szCs w:val="21"/>
              </w:rPr>
              <w:t>/</w:t>
            </w:r>
          </w:p>
          <w:p w14:paraId="4CB82D9B"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排放</w:t>
            </w:r>
          </w:p>
        </w:tc>
        <w:tc>
          <w:tcPr>
            <w:tcW w:w="2170" w:type="pct"/>
            <w:shd w:val="clear" w:color="auto" w:fill="FFFFFF"/>
            <w:vAlign w:val="center"/>
          </w:tcPr>
          <w:p w14:paraId="50BA7FA8" w14:textId="77777777" w:rsidR="009C353B" w:rsidRDefault="00000000">
            <w:pPr>
              <w:pStyle w:val="afffff2"/>
              <w:spacing w:line="240" w:lineRule="atLeast"/>
              <w:rPr>
                <w:rFonts w:ascii="Times New Roman" w:hAnsi="Times New Roman"/>
                <w:sz w:val="21"/>
                <w:szCs w:val="21"/>
              </w:rPr>
            </w:pPr>
            <w:r>
              <w:rPr>
                <w:rFonts w:ascii="Times New Roman"/>
                <w:sz w:val="21"/>
                <w:szCs w:val="21"/>
              </w:rPr>
              <w:t>各企业配套建设污水处理装置，废水全部回用；减轻水资源压力，同时避免对</w:t>
            </w:r>
            <w:r>
              <w:rPr>
                <w:rFonts w:ascii="Times New Roman" w:hint="eastAsia"/>
                <w:sz w:val="21"/>
                <w:szCs w:val="21"/>
              </w:rPr>
              <w:t>地表水</w:t>
            </w:r>
            <w:r>
              <w:rPr>
                <w:rFonts w:ascii="Times New Roman"/>
                <w:sz w:val="21"/>
                <w:szCs w:val="21"/>
              </w:rPr>
              <w:t>、地下水环境的污染。</w:t>
            </w:r>
          </w:p>
        </w:tc>
        <w:tc>
          <w:tcPr>
            <w:tcW w:w="359" w:type="pct"/>
            <w:shd w:val="clear" w:color="auto" w:fill="FFFFFF"/>
            <w:vAlign w:val="center"/>
          </w:tcPr>
          <w:p w14:paraId="1DC0338A"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7185F0FF"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3A7B6BDC"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2BE5AF44" w14:textId="77777777" w:rsidR="009C353B" w:rsidRDefault="00000000">
            <w:pPr>
              <w:pStyle w:val="afffff2"/>
              <w:spacing w:line="240" w:lineRule="atLeast"/>
              <w:rPr>
                <w:rFonts w:ascii="Times New Roman" w:hAnsi="Times New Roman"/>
                <w:sz w:val="21"/>
                <w:szCs w:val="21"/>
              </w:rPr>
            </w:pPr>
            <w:r>
              <w:rPr>
                <w:rFonts w:ascii="Times New Roman"/>
                <w:sz w:val="21"/>
                <w:szCs w:val="21"/>
              </w:rPr>
              <w:t>污水处理</w:t>
            </w:r>
          </w:p>
          <w:p w14:paraId="25817D1A" w14:textId="77777777" w:rsidR="009C353B" w:rsidRDefault="00000000">
            <w:pPr>
              <w:pStyle w:val="afffff2"/>
              <w:spacing w:line="240" w:lineRule="atLeast"/>
              <w:rPr>
                <w:rFonts w:ascii="Times New Roman" w:hAnsi="Times New Roman"/>
                <w:sz w:val="21"/>
                <w:szCs w:val="21"/>
              </w:rPr>
            </w:pPr>
            <w:r>
              <w:rPr>
                <w:rFonts w:ascii="Times New Roman"/>
                <w:sz w:val="21"/>
                <w:szCs w:val="21"/>
              </w:rPr>
              <w:t>方案</w:t>
            </w:r>
          </w:p>
        </w:tc>
      </w:tr>
      <w:tr w:rsidR="009C353B" w14:paraId="2D66EFB2" w14:textId="77777777">
        <w:trPr>
          <w:trHeight w:val="284"/>
          <w:jc w:val="center"/>
        </w:trPr>
        <w:tc>
          <w:tcPr>
            <w:tcW w:w="323" w:type="pct"/>
            <w:vMerge w:val="restart"/>
            <w:shd w:val="clear" w:color="auto" w:fill="FFFFFF"/>
            <w:vAlign w:val="center"/>
          </w:tcPr>
          <w:p w14:paraId="3684C35B"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生态环境</w:t>
            </w:r>
          </w:p>
        </w:tc>
        <w:tc>
          <w:tcPr>
            <w:tcW w:w="668" w:type="pct"/>
            <w:vMerge w:val="restart"/>
            <w:shd w:val="clear" w:color="auto" w:fill="FFFFFF"/>
            <w:vAlign w:val="center"/>
          </w:tcPr>
          <w:p w14:paraId="1E473F85"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占用土地</w:t>
            </w:r>
          </w:p>
        </w:tc>
        <w:tc>
          <w:tcPr>
            <w:tcW w:w="2170" w:type="pct"/>
            <w:shd w:val="clear" w:color="auto" w:fill="FFFFFF"/>
            <w:vAlign w:val="center"/>
          </w:tcPr>
          <w:p w14:paraId="2E5C9368" w14:textId="77777777" w:rsidR="009C353B" w:rsidRDefault="00000000">
            <w:pPr>
              <w:pStyle w:val="afffff2"/>
              <w:spacing w:line="240" w:lineRule="atLeast"/>
              <w:rPr>
                <w:rFonts w:ascii="Times New Roman" w:hAnsi="Times New Roman"/>
                <w:sz w:val="21"/>
                <w:szCs w:val="21"/>
              </w:rPr>
            </w:pPr>
            <w:r>
              <w:rPr>
                <w:rFonts w:ascii="Times New Roman"/>
                <w:sz w:val="21"/>
                <w:szCs w:val="21"/>
              </w:rPr>
              <w:t>工业场地及辅助设施等占地等永久改变土地利用类型，</w:t>
            </w:r>
            <w:r>
              <w:rPr>
                <w:rFonts w:ascii="Times New Roman" w:hint="eastAsia"/>
                <w:sz w:val="21"/>
                <w:szCs w:val="21"/>
              </w:rPr>
              <w:t>草地</w:t>
            </w:r>
            <w:r>
              <w:rPr>
                <w:rFonts w:ascii="Times New Roman"/>
                <w:sz w:val="21"/>
                <w:szCs w:val="21"/>
              </w:rPr>
              <w:t>转化为工业用地。</w:t>
            </w:r>
          </w:p>
        </w:tc>
        <w:tc>
          <w:tcPr>
            <w:tcW w:w="359" w:type="pct"/>
            <w:shd w:val="clear" w:color="auto" w:fill="FFFFFF"/>
            <w:vAlign w:val="center"/>
          </w:tcPr>
          <w:p w14:paraId="308FB833"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149A57F1"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002C831C"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46AE7262" w14:textId="77777777" w:rsidR="009C353B" w:rsidRDefault="00000000">
            <w:pPr>
              <w:pStyle w:val="afffff2"/>
              <w:spacing w:line="240" w:lineRule="atLeast"/>
              <w:rPr>
                <w:rFonts w:ascii="Times New Roman" w:hAnsi="Times New Roman"/>
                <w:sz w:val="21"/>
                <w:szCs w:val="21"/>
              </w:rPr>
            </w:pPr>
            <w:r>
              <w:rPr>
                <w:rFonts w:ascii="Times New Roman"/>
                <w:sz w:val="21"/>
                <w:szCs w:val="21"/>
              </w:rPr>
              <w:t>规模</w:t>
            </w:r>
          </w:p>
        </w:tc>
      </w:tr>
      <w:tr w:rsidR="009C353B" w14:paraId="3419E5B5" w14:textId="77777777">
        <w:trPr>
          <w:trHeight w:val="284"/>
          <w:jc w:val="center"/>
        </w:trPr>
        <w:tc>
          <w:tcPr>
            <w:tcW w:w="323" w:type="pct"/>
            <w:vMerge/>
            <w:shd w:val="clear" w:color="auto" w:fill="FFFFFF"/>
            <w:vAlign w:val="center"/>
          </w:tcPr>
          <w:p w14:paraId="61065C93" w14:textId="77777777" w:rsidR="009C353B" w:rsidRDefault="009C353B">
            <w:pPr>
              <w:pStyle w:val="afffff2"/>
              <w:spacing w:line="240" w:lineRule="atLeast"/>
              <w:jc w:val="center"/>
              <w:rPr>
                <w:rFonts w:ascii="Times New Roman" w:hAnsi="Times New Roman"/>
                <w:sz w:val="21"/>
                <w:szCs w:val="21"/>
              </w:rPr>
            </w:pPr>
          </w:p>
        </w:tc>
        <w:tc>
          <w:tcPr>
            <w:tcW w:w="668" w:type="pct"/>
            <w:vMerge/>
            <w:shd w:val="clear" w:color="auto" w:fill="FFFFFF"/>
            <w:vAlign w:val="center"/>
          </w:tcPr>
          <w:p w14:paraId="4C1A563B" w14:textId="77777777" w:rsidR="009C353B" w:rsidRDefault="009C353B">
            <w:pPr>
              <w:pStyle w:val="afffff2"/>
              <w:spacing w:line="240" w:lineRule="atLeast"/>
              <w:jc w:val="center"/>
              <w:rPr>
                <w:rFonts w:ascii="Times New Roman" w:hAnsi="Times New Roman"/>
                <w:sz w:val="21"/>
                <w:szCs w:val="21"/>
              </w:rPr>
            </w:pPr>
          </w:p>
        </w:tc>
        <w:tc>
          <w:tcPr>
            <w:tcW w:w="2170" w:type="pct"/>
            <w:shd w:val="clear" w:color="auto" w:fill="FFFFFF"/>
            <w:vAlign w:val="center"/>
          </w:tcPr>
          <w:p w14:paraId="296B05AE" w14:textId="77777777" w:rsidR="009C353B" w:rsidRDefault="00000000">
            <w:pPr>
              <w:pStyle w:val="afffff2"/>
              <w:spacing w:line="240" w:lineRule="atLeast"/>
              <w:jc w:val="left"/>
              <w:rPr>
                <w:rFonts w:ascii="Times New Roman" w:hAnsi="Times New Roman"/>
                <w:sz w:val="21"/>
                <w:szCs w:val="21"/>
              </w:rPr>
            </w:pPr>
            <w:r>
              <w:rPr>
                <w:rFonts w:ascii="Times New Roman"/>
                <w:sz w:val="21"/>
                <w:szCs w:val="21"/>
              </w:rPr>
              <w:t>采煤沉陷、</w:t>
            </w:r>
            <w:r>
              <w:rPr>
                <w:rFonts w:ascii="Times New Roman" w:hint="eastAsia"/>
                <w:sz w:val="21"/>
                <w:szCs w:val="21"/>
              </w:rPr>
              <w:t>排矸场</w:t>
            </w:r>
            <w:r>
              <w:rPr>
                <w:rFonts w:ascii="Times New Roman"/>
                <w:sz w:val="21"/>
                <w:szCs w:val="21"/>
              </w:rPr>
              <w:t>等引起区域地形地貌发生变化。</w:t>
            </w:r>
          </w:p>
        </w:tc>
        <w:tc>
          <w:tcPr>
            <w:tcW w:w="359" w:type="pct"/>
            <w:shd w:val="clear" w:color="auto" w:fill="FFFFFF"/>
            <w:vAlign w:val="center"/>
          </w:tcPr>
          <w:p w14:paraId="09C59B70"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7CE8C624"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09064499"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50825C40" w14:textId="77777777" w:rsidR="009C353B" w:rsidRDefault="00000000">
            <w:pPr>
              <w:pStyle w:val="afffff2"/>
              <w:spacing w:line="240" w:lineRule="atLeast"/>
              <w:rPr>
                <w:rFonts w:ascii="Times New Roman" w:hAnsi="Times New Roman"/>
                <w:sz w:val="21"/>
                <w:szCs w:val="21"/>
              </w:rPr>
            </w:pPr>
            <w:r>
              <w:rPr>
                <w:rFonts w:ascii="Times New Roman"/>
                <w:sz w:val="21"/>
                <w:szCs w:val="21"/>
              </w:rPr>
              <w:t>规模、布局</w:t>
            </w:r>
          </w:p>
        </w:tc>
      </w:tr>
      <w:tr w:rsidR="009C353B" w14:paraId="1C9472A4" w14:textId="77777777">
        <w:trPr>
          <w:trHeight w:val="284"/>
          <w:jc w:val="center"/>
        </w:trPr>
        <w:tc>
          <w:tcPr>
            <w:tcW w:w="323" w:type="pct"/>
            <w:vMerge/>
            <w:shd w:val="clear" w:color="auto" w:fill="FFFFFF"/>
            <w:vAlign w:val="center"/>
          </w:tcPr>
          <w:p w14:paraId="608E1E27" w14:textId="77777777" w:rsidR="009C353B" w:rsidRDefault="009C353B">
            <w:pPr>
              <w:pStyle w:val="afffff2"/>
              <w:spacing w:line="240" w:lineRule="atLeast"/>
              <w:jc w:val="center"/>
              <w:rPr>
                <w:rFonts w:ascii="Times New Roman" w:hAnsi="Times New Roman"/>
                <w:sz w:val="21"/>
                <w:szCs w:val="21"/>
              </w:rPr>
            </w:pPr>
          </w:p>
        </w:tc>
        <w:tc>
          <w:tcPr>
            <w:tcW w:w="668" w:type="pct"/>
            <w:vMerge/>
            <w:shd w:val="clear" w:color="auto" w:fill="FFFFFF"/>
            <w:vAlign w:val="center"/>
          </w:tcPr>
          <w:p w14:paraId="4727B05C" w14:textId="77777777" w:rsidR="009C353B" w:rsidRDefault="009C353B">
            <w:pPr>
              <w:pStyle w:val="afffff2"/>
              <w:spacing w:line="240" w:lineRule="atLeast"/>
              <w:jc w:val="center"/>
              <w:rPr>
                <w:rFonts w:ascii="Times New Roman" w:hAnsi="Times New Roman"/>
                <w:sz w:val="21"/>
                <w:szCs w:val="21"/>
              </w:rPr>
            </w:pPr>
          </w:p>
        </w:tc>
        <w:tc>
          <w:tcPr>
            <w:tcW w:w="2170" w:type="pct"/>
            <w:shd w:val="clear" w:color="auto" w:fill="FFFFFF"/>
            <w:vAlign w:val="center"/>
          </w:tcPr>
          <w:p w14:paraId="58A58C5E" w14:textId="77777777" w:rsidR="009C353B" w:rsidRDefault="00000000">
            <w:pPr>
              <w:pStyle w:val="afffff2"/>
              <w:spacing w:line="240" w:lineRule="atLeast"/>
              <w:jc w:val="left"/>
              <w:rPr>
                <w:rFonts w:ascii="Times New Roman" w:hAnsi="Times New Roman"/>
                <w:sz w:val="21"/>
                <w:szCs w:val="21"/>
              </w:rPr>
            </w:pPr>
            <w:r>
              <w:rPr>
                <w:rFonts w:ascii="Times New Roman"/>
                <w:sz w:val="21"/>
                <w:szCs w:val="21"/>
              </w:rPr>
              <w:t>井工开采</w:t>
            </w:r>
            <w:r>
              <w:rPr>
                <w:rFonts w:ascii="Times New Roman" w:hint="eastAsia"/>
                <w:sz w:val="21"/>
                <w:szCs w:val="21"/>
              </w:rPr>
              <w:t>沉陷可能影响</w:t>
            </w:r>
            <w:r>
              <w:rPr>
                <w:rFonts w:ascii="Times New Roman"/>
                <w:sz w:val="21"/>
                <w:szCs w:val="21"/>
              </w:rPr>
              <w:t>植被</w:t>
            </w:r>
            <w:r>
              <w:rPr>
                <w:rFonts w:ascii="Times New Roman" w:hint="eastAsia"/>
                <w:sz w:val="21"/>
                <w:szCs w:val="21"/>
              </w:rPr>
              <w:t>生长。</w:t>
            </w:r>
          </w:p>
        </w:tc>
        <w:tc>
          <w:tcPr>
            <w:tcW w:w="359" w:type="pct"/>
            <w:shd w:val="clear" w:color="auto" w:fill="FFFFFF"/>
            <w:vAlign w:val="center"/>
          </w:tcPr>
          <w:p w14:paraId="6206CEE8"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3A3C958A" w14:textId="77777777" w:rsidR="009C353B" w:rsidRDefault="00000000">
            <w:pPr>
              <w:pStyle w:val="afffff2"/>
              <w:spacing w:line="240" w:lineRule="atLeast"/>
              <w:jc w:val="center"/>
              <w:rPr>
                <w:rFonts w:ascii="Times New Roman" w:hAnsi="Times New Roman"/>
                <w:sz w:val="21"/>
                <w:szCs w:val="21"/>
                <w:lang w:val="en-GB"/>
              </w:rPr>
            </w:pPr>
            <w:r>
              <w:rPr>
                <w:sz w:val="21"/>
                <w:szCs w:val="21"/>
                <w:lang w:val="en-GB"/>
              </w:rPr>
              <w:t>★★</w:t>
            </w:r>
          </w:p>
        </w:tc>
        <w:tc>
          <w:tcPr>
            <w:tcW w:w="350" w:type="pct"/>
            <w:shd w:val="clear" w:color="auto" w:fill="FFFFFF"/>
            <w:vAlign w:val="center"/>
          </w:tcPr>
          <w:p w14:paraId="4141A141"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0DD41774" w14:textId="77777777" w:rsidR="009C353B" w:rsidRDefault="00000000">
            <w:pPr>
              <w:pStyle w:val="afffff2"/>
              <w:spacing w:line="240" w:lineRule="atLeast"/>
              <w:rPr>
                <w:rFonts w:ascii="Times New Roman" w:hAnsi="Times New Roman"/>
                <w:sz w:val="21"/>
                <w:szCs w:val="21"/>
              </w:rPr>
            </w:pPr>
            <w:r>
              <w:rPr>
                <w:rFonts w:ascii="Times New Roman"/>
                <w:sz w:val="21"/>
                <w:szCs w:val="21"/>
              </w:rPr>
              <w:t>布局</w:t>
            </w:r>
          </w:p>
        </w:tc>
      </w:tr>
      <w:tr w:rsidR="009C353B" w14:paraId="07BDC4D1" w14:textId="77777777">
        <w:trPr>
          <w:trHeight w:val="284"/>
          <w:jc w:val="center"/>
        </w:trPr>
        <w:tc>
          <w:tcPr>
            <w:tcW w:w="323" w:type="pct"/>
            <w:vMerge/>
            <w:shd w:val="clear" w:color="auto" w:fill="FFFFFF"/>
            <w:vAlign w:val="center"/>
          </w:tcPr>
          <w:p w14:paraId="05FECB95" w14:textId="77777777" w:rsidR="009C353B" w:rsidRDefault="009C353B">
            <w:pPr>
              <w:pStyle w:val="afffff2"/>
              <w:spacing w:line="240" w:lineRule="atLeast"/>
              <w:jc w:val="center"/>
              <w:rPr>
                <w:rFonts w:ascii="Times New Roman" w:hAnsi="Times New Roman"/>
                <w:sz w:val="21"/>
                <w:szCs w:val="21"/>
              </w:rPr>
            </w:pPr>
          </w:p>
        </w:tc>
        <w:tc>
          <w:tcPr>
            <w:tcW w:w="668" w:type="pct"/>
            <w:vMerge/>
            <w:shd w:val="clear" w:color="auto" w:fill="FFFFFF"/>
            <w:vAlign w:val="center"/>
          </w:tcPr>
          <w:p w14:paraId="1AD4C9FB" w14:textId="77777777" w:rsidR="009C353B" w:rsidRDefault="009C353B">
            <w:pPr>
              <w:pStyle w:val="afffff2"/>
              <w:spacing w:line="240" w:lineRule="atLeast"/>
              <w:jc w:val="center"/>
              <w:rPr>
                <w:rFonts w:ascii="Times New Roman" w:hAnsi="Times New Roman"/>
                <w:sz w:val="21"/>
                <w:szCs w:val="21"/>
              </w:rPr>
            </w:pPr>
          </w:p>
        </w:tc>
        <w:tc>
          <w:tcPr>
            <w:tcW w:w="2170" w:type="pct"/>
            <w:shd w:val="clear" w:color="auto" w:fill="FFFFFF"/>
            <w:vAlign w:val="center"/>
          </w:tcPr>
          <w:p w14:paraId="70555428" w14:textId="77777777" w:rsidR="009C353B" w:rsidRDefault="00000000">
            <w:pPr>
              <w:pStyle w:val="afffff2"/>
              <w:spacing w:line="240" w:lineRule="atLeast"/>
              <w:jc w:val="left"/>
              <w:rPr>
                <w:rFonts w:ascii="Times New Roman" w:hAnsi="Times New Roman"/>
                <w:sz w:val="21"/>
                <w:szCs w:val="21"/>
              </w:rPr>
            </w:pPr>
            <w:r>
              <w:rPr>
                <w:rFonts w:ascii="Times New Roman"/>
                <w:sz w:val="21"/>
                <w:szCs w:val="21"/>
              </w:rPr>
              <w:t>大幅度提高土地单位面积的产值。</w:t>
            </w:r>
          </w:p>
        </w:tc>
        <w:tc>
          <w:tcPr>
            <w:tcW w:w="359" w:type="pct"/>
            <w:shd w:val="clear" w:color="auto" w:fill="FFFFFF"/>
            <w:vAlign w:val="center"/>
          </w:tcPr>
          <w:p w14:paraId="148A88A8"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21A94DE7"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771E6B95"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65123D12" w14:textId="77777777" w:rsidR="009C353B" w:rsidRDefault="00000000">
            <w:pPr>
              <w:pStyle w:val="afffff2"/>
              <w:spacing w:line="240" w:lineRule="atLeast"/>
              <w:rPr>
                <w:rFonts w:ascii="Times New Roman" w:hAnsi="Times New Roman"/>
                <w:sz w:val="21"/>
                <w:szCs w:val="21"/>
              </w:rPr>
            </w:pPr>
            <w:r>
              <w:rPr>
                <w:rFonts w:ascii="Times New Roman"/>
                <w:sz w:val="21"/>
                <w:szCs w:val="21"/>
              </w:rPr>
              <w:t>规模</w:t>
            </w:r>
          </w:p>
        </w:tc>
      </w:tr>
      <w:tr w:rsidR="009C353B" w14:paraId="531F4785" w14:textId="77777777">
        <w:trPr>
          <w:trHeight w:val="284"/>
          <w:jc w:val="center"/>
        </w:trPr>
        <w:tc>
          <w:tcPr>
            <w:tcW w:w="323" w:type="pct"/>
            <w:vMerge/>
            <w:shd w:val="clear" w:color="auto" w:fill="FFFFFF"/>
            <w:vAlign w:val="center"/>
          </w:tcPr>
          <w:p w14:paraId="16344146" w14:textId="77777777" w:rsidR="009C353B" w:rsidRDefault="009C353B">
            <w:pPr>
              <w:pStyle w:val="afffff2"/>
              <w:spacing w:line="240" w:lineRule="atLeast"/>
              <w:jc w:val="center"/>
              <w:rPr>
                <w:rFonts w:ascii="Times New Roman" w:hAnsi="Times New Roman"/>
                <w:sz w:val="21"/>
                <w:szCs w:val="21"/>
              </w:rPr>
            </w:pPr>
          </w:p>
        </w:tc>
        <w:tc>
          <w:tcPr>
            <w:tcW w:w="668" w:type="pct"/>
            <w:shd w:val="clear" w:color="auto" w:fill="FFFFFF"/>
            <w:vAlign w:val="center"/>
          </w:tcPr>
          <w:p w14:paraId="6DB8C882"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生态敏感区</w:t>
            </w:r>
          </w:p>
        </w:tc>
        <w:tc>
          <w:tcPr>
            <w:tcW w:w="2170" w:type="pct"/>
            <w:shd w:val="clear" w:color="auto" w:fill="FFFFFF"/>
            <w:vAlign w:val="center"/>
          </w:tcPr>
          <w:p w14:paraId="64F11843" w14:textId="77777777" w:rsidR="009C353B" w:rsidRDefault="00000000">
            <w:pPr>
              <w:pStyle w:val="afffff2"/>
              <w:spacing w:line="240" w:lineRule="atLeast"/>
              <w:jc w:val="left"/>
              <w:rPr>
                <w:rFonts w:ascii="Times New Roman" w:hAnsi="Times New Roman"/>
                <w:sz w:val="21"/>
                <w:szCs w:val="21"/>
              </w:rPr>
            </w:pPr>
            <w:r>
              <w:rPr>
                <w:rFonts w:ascii="Times New Roman" w:hint="eastAsia"/>
                <w:sz w:val="21"/>
                <w:szCs w:val="21"/>
              </w:rPr>
              <w:t>矿区开发可能影响白芨滩</w:t>
            </w:r>
            <w:r>
              <w:rPr>
                <w:rFonts w:ascii="Times New Roman"/>
                <w:sz w:val="21"/>
                <w:szCs w:val="21"/>
              </w:rPr>
              <w:t>自然保护区</w:t>
            </w:r>
          </w:p>
        </w:tc>
        <w:tc>
          <w:tcPr>
            <w:tcW w:w="359" w:type="pct"/>
            <w:shd w:val="clear" w:color="auto" w:fill="FFFFFF"/>
            <w:vAlign w:val="center"/>
          </w:tcPr>
          <w:p w14:paraId="103CB80E"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046DB247"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7F5D0250"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2E2EC3EE" w14:textId="77777777" w:rsidR="009C353B" w:rsidRDefault="00000000">
            <w:pPr>
              <w:pStyle w:val="afffff2"/>
              <w:spacing w:line="240" w:lineRule="atLeast"/>
              <w:rPr>
                <w:rFonts w:ascii="Times New Roman" w:hAnsi="Times New Roman"/>
                <w:sz w:val="21"/>
                <w:szCs w:val="21"/>
              </w:rPr>
            </w:pPr>
            <w:r>
              <w:rPr>
                <w:rFonts w:ascii="Times New Roman"/>
                <w:sz w:val="21"/>
                <w:szCs w:val="21"/>
              </w:rPr>
              <w:t>布局</w:t>
            </w:r>
          </w:p>
        </w:tc>
      </w:tr>
      <w:tr w:rsidR="009C353B" w14:paraId="632A7021" w14:textId="77777777">
        <w:trPr>
          <w:trHeight w:val="284"/>
          <w:jc w:val="center"/>
        </w:trPr>
        <w:tc>
          <w:tcPr>
            <w:tcW w:w="323" w:type="pct"/>
            <w:vMerge w:val="restart"/>
            <w:shd w:val="clear" w:color="auto" w:fill="FFFFFF"/>
            <w:vAlign w:val="center"/>
          </w:tcPr>
          <w:p w14:paraId="72078CC9"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矿产资源</w:t>
            </w:r>
          </w:p>
        </w:tc>
        <w:tc>
          <w:tcPr>
            <w:tcW w:w="668" w:type="pct"/>
            <w:shd w:val="clear" w:color="auto" w:fill="FFFFFF"/>
            <w:vAlign w:val="center"/>
          </w:tcPr>
          <w:p w14:paraId="26B0E233"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资源利用</w:t>
            </w:r>
          </w:p>
        </w:tc>
        <w:tc>
          <w:tcPr>
            <w:tcW w:w="2170" w:type="pct"/>
            <w:shd w:val="clear" w:color="auto" w:fill="FFFFFF"/>
            <w:vAlign w:val="center"/>
          </w:tcPr>
          <w:p w14:paraId="6AE276A5" w14:textId="77777777" w:rsidR="009C353B" w:rsidRDefault="00000000">
            <w:pPr>
              <w:pStyle w:val="afffff2"/>
              <w:spacing w:line="240" w:lineRule="atLeast"/>
              <w:jc w:val="left"/>
              <w:rPr>
                <w:rFonts w:ascii="Times New Roman" w:hAnsi="Times New Roman"/>
                <w:sz w:val="21"/>
                <w:szCs w:val="21"/>
              </w:rPr>
            </w:pPr>
            <w:r>
              <w:rPr>
                <w:rFonts w:ascii="Times New Roman" w:hint="eastAsia"/>
                <w:sz w:val="21"/>
                <w:szCs w:val="21"/>
              </w:rPr>
              <w:t>煤矿</w:t>
            </w:r>
            <w:r>
              <w:rPr>
                <w:rFonts w:ascii="Times New Roman"/>
                <w:sz w:val="21"/>
                <w:szCs w:val="21"/>
              </w:rPr>
              <w:t>项目建设水平直接影响资源利用效率及方式；间接影响污染物排放。</w:t>
            </w:r>
          </w:p>
        </w:tc>
        <w:tc>
          <w:tcPr>
            <w:tcW w:w="359" w:type="pct"/>
            <w:shd w:val="clear" w:color="auto" w:fill="FFFFFF"/>
            <w:vAlign w:val="center"/>
          </w:tcPr>
          <w:p w14:paraId="0CEE9A05"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389771E2"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24F8AA31"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72A5F164" w14:textId="77777777" w:rsidR="009C353B" w:rsidRDefault="00000000">
            <w:pPr>
              <w:pStyle w:val="afffff2"/>
              <w:spacing w:line="240" w:lineRule="atLeast"/>
              <w:rPr>
                <w:rFonts w:ascii="Times New Roman" w:hAnsi="Times New Roman"/>
                <w:sz w:val="21"/>
                <w:szCs w:val="21"/>
              </w:rPr>
            </w:pPr>
            <w:r>
              <w:rPr>
                <w:rFonts w:ascii="Times New Roman"/>
                <w:sz w:val="21"/>
                <w:szCs w:val="21"/>
              </w:rPr>
              <w:t>规模及产业结构</w:t>
            </w:r>
          </w:p>
        </w:tc>
      </w:tr>
      <w:tr w:rsidR="009C353B" w14:paraId="45E63B4E" w14:textId="77777777">
        <w:trPr>
          <w:trHeight w:val="284"/>
          <w:jc w:val="center"/>
        </w:trPr>
        <w:tc>
          <w:tcPr>
            <w:tcW w:w="323" w:type="pct"/>
            <w:vMerge/>
            <w:shd w:val="clear" w:color="auto" w:fill="FFFFFF"/>
            <w:vAlign w:val="center"/>
          </w:tcPr>
          <w:p w14:paraId="6E1C83EB" w14:textId="77777777" w:rsidR="009C353B" w:rsidRDefault="009C353B">
            <w:pPr>
              <w:pStyle w:val="afffff2"/>
              <w:spacing w:line="240" w:lineRule="atLeast"/>
              <w:jc w:val="center"/>
              <w:rPr>
                <w:rFonts w:ascii="Times New Roman" w:hAnsi="Times New Roman"/>
                <w:sz w:val="21"/>
                <w:szCs w:val="21"/>
              </w:rPr>
            </w:pPr>
          </w:p>
        </w:tc>
        <w:tc>
          <w:tcPr>
            <w:tcW w:w="668" w:type="pct"/>
            <w:shd w:val="clear" w:color="auto" w:fill="FFFFFF"/>
            <w:vAlign w:val="center"/>
          </w:tcPr>
          <w:p w14:paraId="56FDB7B8"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开发时序</w:t>
            </w:r>
          </w:p>
        </w:tc>
        <w:tc>
          <w:tcPr>
            <w:tcW w:w="2170" w:type="pct"/>
            <w:shd w:val="clear" w:color="auto" w:fill="FFFFFF"/>
            <w:vAlign w:val="center"/>
          </w:tcPr>
          <w:p w14:paraId="5E7DF6AB" w14:textId="77777777" w:rsidR="009C353B" w:rsidRDefault="00000000">
            <w:pPr>
              <w:pStyle w:val="afffff2"/>
              <w:spacing w:line="240" w:lineRule="atLeast"/>
              <w:jc w:val="left"/>
              <w:rPr>
                <w:rFonts w:ascii="Times New Roman" w:hAnsi="Times New Roman"/>
                <w:sz w:val="21"/>
                <w:szCs w:val="21"/>
              </w:rPr>
            </w:pPr>
            <w:r>
              <w:rPr>
                <w:rFonts w:ascii="Times New Roman" w:hint="eastAsia"/>
                <w:sz w:val="21"/>
                <w:szCs w:val="21"/>
              </w:rPr>
              <w:t>煤矿</w:t>
            </w:r>
            <w:r>
              <w:rPr>
                <w:rFonts w:ascii="Times New Roman"/>
                <w:sz w:val="21"/>
                <w:szCs w:val="21"/>
              </w:rPr>
              <w:t>项目建设时序的协调，会在短时间内影响资源利用方式。</w:t>
            </w:r>
          </w:p>
        </w:tc>
        <w:tc>
          <w:tcPr>
            <w:tcW w:w="359" w:type="pct"/>
            <w:shd w:val="clear" w:color="auto" w:fill="FFFFFF"/>
            <w:vAlign w:val="center"/>
          </w:tcPr>
          <w:p w14:paraId="216CDC62"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684F6268" w14:textId="77777777" w:rsidR="009C353B" w:rsidRDefault="00000000">
            <w:pPr>
              <w:pStyle w:val="afffff2"/>
              <w:spacing w:line="240" w:lineRule="atLeast"/>
              <w:jc w:val="center"/>
              <w:rPr>
                <w:rFonts w:ascii="Times New Roman" w:hAnsi="Times New Roman"/>
                <w:sz w:val="21"/>
                <w:szCs w:val="21"/>
                <w:lang w:val="en-GB"/>
              </w:rPr>
            </w:pPr>
            <w:r>
              <w:rPr>
                <w:sz w:val="21"/>
                <w:szCs w:val="21"/>
                <w:lang w:val="en-GB"/>
              </w:rPr>
              <w:t>★</w:t>
            </w:r>
          </w:p>
        </w:tc>
        <w:tc>
          <w:tcPr>
            <w:tcW w:w="350" w:type="pct"/>
            <w:shd w:val="clear" w:color="auto" w:fill="FFFFFF"/>
            <w:vAlign w:val="center"/>
          </w:tcPr>
          <w:p w14:paraId="487F2292"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S</w:t>
            </w:r>
          </w:p>
        </w:tc>
        <w:tc>
          <w:tcPr>
            <w:tcW w:w="657" w:type="pct"/>
            <w:shd w:val="clear" w:color="auto" w:fill="FFFFFF"/>
            <w:vAlign w:val="center"/>
          </w:tcPr>
          <w:p w14:paraId="505E1F5E" w14:textId="77777777" w:rsidR="009C353B" w:rsidRDefault="00000000">
            <w:pPr>
              <w:pStyle w:val="afffff2"/>
              <w:spacing w:line="240" w:lineRule="atLeast"/>
              <w:rPr>
                <w:rFonts w:ascii="Times New Roman" w:hAnsi="Times New Roman"/>
                <w:sz w:val="21"/>
                <w:szCs w:val="21"/>
              </w:rPr>
            </w:pPr>
            <w:r>
              <w:rPr>
                <w:rFonts w:ascii="Times New Roman"/>
                <w:sz w:val="21"/>
                <w:szCs w:val="21"/>
              </w:rPr>
              <w:t>产业结构</w:t>
            </w:r>
          </w:p>
        </w:tc>
      </w:tr>
      <w:tr w:rsidR="009C353B" w14:paraId="161E5DE4" w14:textId="77777777">
        <w:trPr>
          <w:trHeight w:val="284"/>
          <w:jc w:val="center"/>
        </w:trPr>
        <w:tc>
          <w:tcPr>
            <w:tcW w:w="323" w:type="pct"/>
            <w:vMerge w:val="restart"/>
            <w:shd w:val="clear" w:color="auto" w:fill="FFFFFF"/>
            <w:vAlign w:val="center"/>
          </w:tcPr>
          <w:p w14:paraId="2C7DF73A"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地下</w:t>
            </w:r>
          </w:p>
          <w:p w14:paraId="77824861"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水</w:t>
            </w:r>
          </w:p>
        </w:tc>
        <w:tc>
          <w:tcPr>
            <w:tcW w:w="668" w:type="pct"/>
            <w:shd w:val="clear" w:color="auto" w:fill="FFFFFF"/>
            <w:vAlign w:val="center"/>
          </w:tcPr>
          <w:p w14:paraId="5C1FA90C"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地下水流场</w:t>
            </w:r>
          </w:p>
        </w:tc>
        <w:tc>
          <w:tcPr>
            <w:tcW w:w="2170" w:type="pct"/>
            <w:shd w:val="clear" w:color="auto" w:fill="FFFFFF"/>
            <w:vAlign w:val="center"/>
          </w:tcPr>
          <w:p w14:paraId="45A51C48" w14:textId="77777777" w:rsidR="009C353B" w:rsidRDefault="00000000">
            <w:pPr>
              <w:pStyle w:val="afffff2"/>
              <w:spacing w:line="240" w:lineRule="atLeast"/>
              <w:jc w:val="left"/>
              <w:rPr>
                <w:rFonts w:ascii="Times New Roman" w:hAnsi="Times New Roman"/>
                <w:sz w:val="21"/>
                <w:szCs w:val="21"/>
              </w:rPr>
            </w:pPr>
            <w:r>
              <w:rPr>
                <w:rFonts w:ascii="Times New Roman" w:hint="eastAsia"/>
                <w:sz w:val="21"/>
                <w:szCs w:val="21"/>
              </w:rPr>
              <w:t>井工</w:t>
            </w:r>
            <w:r>
              <w:rPr>
                <w:rFonts w:ascii="Times New Roman"/>
                <w:sz w:val="21"/>
                <w:szCs w:val="21"/>
              </w:rPr>
              <w:t>煤矿开采引起的地表沉陷导致区域地下水含水层位置发生变化，进而引发地下水水位及流场发生改变。</w:t>
            </w:r>
          </w:p>
        </w:tc>
        <w:tc>
          <w:tcPr>
            <w:tcW w:w="359" w:type="pct"/>
            <w:shd w:val="clear" w:color="auto" w:fill="FFFFFF"/>
            <w:vAlign w:val="center"/>
          </w:tcPr>
          <w:p w14:paraId="6A3AD7B6"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6E724DFC"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3226B9D4"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12B3C878" w14:textId="77777777" w:rsidR="009C353B" w:rsidRDefault="00000000">
            <w:pPr>
              <w:pStyle w:val="afffff2"/>
              <w:spacing w:line="240" w:lineRule="atLeast"/>
              <w:rPr>
                <w:rFonts w:ascii="Times New Roman" w:hAnsi="Times New Roman"/>
                <w:sz w:val="21"/>
                <w:szCs w:val="21"/>
              </w:rPr>
            </w:pPr>
            <w:r>
              <w:rPr>
                <w:rFonts w:ascii="Times New Roman"/>
                <w:sz w:val="21"/>
                <w:szCs w:val="21"/>
              </w:rPr>
              <w:t>规模</w:t>
            </w:r>
          </w:p>
        </w:tc>
      </w:tr>
      <w:tr w:rsidR="009C353B" w14:paraId="0CDE665A" w14:textId="77777777">
        <w:trPr>
          <w:trHeight w:val="284"/>
          <w:jc w:val="center"/>
        </w:trPr>
        <w:tc>
          <w:tcPr>
            <w:tcW w:w="323" w:type="pct"/>
            <w:vMerge/>
            <w:shd w:val="clear" w:color="auto" w:fill="FFFFFF"/>
            <w:vAlign w:val="center"/>
          </w:tcPr>
          <w:p w14:paraId="2604B372" w14:textId="77777777" w:rsidR="009C353B" w:rsidRDefault="009C353B">
            <w:pPr>
              <w:pStyle w:val="afffff2"/>
              <w:spacing w:line="240" w:lineRule="atLeast"/>
              <w:jc w:val="center"/>
              <w:rPr>
                <w:rFonts w:ascii="Times New Roman" w:hAnsi="Times New Roman"/>
                <w:sz w:val="21"/>
                <w:szCs w:val="21"/>
              </w:rPr>
            </w:pPr>
          </w:p>
        </w:tc>
        <w:tc>
          <w:tcPr>
            <w:tcW w:w="668" w:type="pct"/>
            <w:shd w:val="clear" w:color="auto" w:fill="FFFFFF"/>
            <w:vAlign w:val="center"/>
          </w:tcPr>
          <w:p w14:paraId="1D64D80F"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地下水资源</w:t>
            </w:r>
          </w:p>
        </w:tc>
        <w:tc>
          <w:tcPr>
            <w:tcW w:w="2170" w:type="pct"/>
            <w:shd w:val="clear" w:color="auto" w:fill="FFFFFF"/>
            <w:vAlign w:val="center"/>
          </w:tcPr>
          <w:p w14:paraId="40C18167" w14:textId="77777777" w:rsidR="009C353B" w:rsidRDefault="00000000">
            <w:pPr>
              <w:pStyle w:val="afffff2"/>
              <w:spacing w:line="240" w:lineRule="atLeast"/>
              <w:jc w:val="left"/>
              <w:rPr>
                <w:rFonts w:ascii="Times New Roman" w:hAnsi="Times New Roman"/>
                <w:sz w:val="21"/>
                <w:szCs w:val="21"/>
              </w:rPr>
            </w:pPr>
            <w:r>
              <w:rPr>
                <w:rFonts w:ascii="Times New Roman" w:hint="eastAsia"/>
                <w:sz w:val="21"/>
                <w:szCs w:val="21"/>
              </w:rPr>
              <w:t>井工</w:t>
            </w:r>
            <w:r>
              <w:rPr>
                <w:rFonts w:ascii="Times New Roman"/>
                <w:sz w:val="21"/>
                <w:szCs w:val="21"/>
              </w:rPr>
              <w:t>煤矿开采对上部含水层的导通作用，使被导通的含水层被疏干。</w:t>
            </w:r>
          </w:p>
        </w:tc>
        <w:tc>
          <w:tcPr>
            <w:tcW w:w="359" w:type="pct"/>
            <w:shd w:val="clear" w:color="auto" w:fill="FFFFFF"/>
            <w:vAlign w:val="center"/>
          </w:tcPr>
          <w:p w14:paraId="5A8E30F8"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1BF99128"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5042770F"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20DE57E3" w14:textId="77777777" w:rsidR="009C353B" w:rsidRDefault="00000000">
            <w:pPr>
              <w:pStyle w:val="afffff2"/>
              <w:spacing w:line="240" w:lineRule="atLeast"/>
              <w:rPr>
                <w:rFonts w:ascii="Times New Roman" w:hAnsi="Times New Roman"/>
                <w:sz w:val="21"/>
                <w:szCs w:val="21"/>
              </w:rPr>
            </w:pPr>
            <w:r>
              <w:rPr>
                <w:rFonts w:ascii="Times New Roman"/>
                <w:sz w:val="21"/>
                <w:szCs w:val="21"/>
              </w:rPr>
              <w:t>规模</w:t>
            </w:r>
          </w:p>
        </w:tc>
      </w:tr>
      <w:tr w:rsidR="009C353B" w14:paraId="2D66CB7C" w14:textId="77777777">
        <w:trPr>
          <w:trHeight w:val="284"/>
          <w:jc w:val="center"/>
        </w:trPr>
        <w:tc>
          <w:tcPr>
            <w:tcW w:w="323" w:type="pct"/>
            <w:vMerge w:val="restart"/>
            <w:shd w:val="clear" w:color="auto" w:fill="FFFFFF"/>
            <w:vAlign w:val="center"/>
          </w:tcPr>
          <w:p w14:paraId="4B0937BA"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环境</w:t>
            </w:r>
          </w:p>
          <w:p w14:paraId="3BABBAC7"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空气</w:t>
            </w:r>
          </w:p>
        </w:tc>
        <w:tc>
          <w:tcPr>
            <w:tcW w:w="668" w:type="pct"/>
            <w:shd w:val="clear" w:color="auto" w:fill="FFFFFF"/>
            <w:vAlign w:val="center"/>
          </w:tcPr>
          <w:p w14:paraId="462946D3"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环境容量</w:t>
            </w:r>
          </w:p>
        </w:tc>
        <w:tc>
          <w:tcPr>
            <w:tcW w:w="2170" w:type="pct"/>
            <w:shd w:val="clear" w:color="auto" w:fill="FFFFFF"/>
            <w:vAlign w:val="center"/>
          </w:tcPr>
          <w:p w14:paraId="388EE106" w14:textId="77777777" w:rsidR="009C353B" w:rsidRDefault="00000000">
            <w:pPr>
              <w:pStyle w:val="afffff2"/>
              <w:spacing w:line="240" w:lineRule="atLeast"/>
              <w:jc w:val="left"/>
              <w:rPr>
                <w:rFonts w:ascii="Times New Roman" w:hAnsi="Times New Roman"/>
                <w:sz w:val="21"/>
                <w:szCs w:val="21"/>
              </w:rPr>
            </w:pPr>
            <w:r>
              <w:rPr>
                <w:rFonts w:ascii="Times New Roman"/>
                <w:sz w:val="21"/>
                <w:szCs w:val="21"/>
              </w:rPr>
              <w:t>规划区环境容量是否可承载</w:t>
            </w:r>
            <w:r>
              <w:rPr>
                <w:rFonts w:ascii="Times New Roman" w:hint="eastAsia"/>
                <w:sz w:val="21"/>
                <w:szCs w:val="21"/>
              </w:rPr>
              <w:t>矿区</w:t>
            </w:r>
            <w:r>
              <w:rPr>
                <w:rFonts w:ascii="Times New Roman"/>
                <w:sz w:val="21"/>
                <w:szCs w:val="21"/>
              </w:rPr>
              <w:t>项目建设规模。</w:t>
            </w:r>
          </w:p>
        </w:tc>
        <w:tc>
          <w:tcPr>
            <w:tcW w:w="359" w:type="pct"/>
            <w:shd w:val="clear" w:color="auto" w:fill="FFFFFF"/>
            <w:vAlign w:val="center"/>
          </w:tcPr>
          <w:p w14:paraId="5C5B6AE2"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3A2059C9"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06214D43"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469DC3A1" w14:textId="77777777" w:rsidR="009C353B" w:rsidRDefault="00000000">
            <w:pPr>
              <w:pStyle w:val="afffff2"/>
              <w:spacing w:line="240" w:lineRule="atLeast"/>
              <w:rPr>
                <w:rFonts w:ascii="Times New Roman" w:hAnsi="Times New Roman"/>
                <w:sz w:val="21"/>
                <w:szCs w:val="21"/>
              </w:rPr>
            </w:pPr>
            <w:r>
              <w:rPr>
                <w:rFonts w:ascii="Times New Roman"/>
                <w:sz w:val="21"/>
                <w:szCs w:val="21"/>
              </w:rPr>
              <w:t>规模</w:t>
            </w:r>
          </w:p>
        </w:tc>
      </w:tr>
      <w:tr w:rsidR="009C353B" w14:paraId="423C25E5" w14:textId="77777777">
        <w:trPr>
          <w:trHeight w:val="284"/>
          <w:jc w:val="center"/>
        </w:trPr>
        <w:tc>
          <w:tcPr>
            <w:tcW w:w="323" w:type="pct"/>
            <w:vMerge/>
            <w:shd w:val="clear" w:color="auto" w:fill="FFFFFF"/>
            <w:vAlign w:val="center"/>
          </w:tcPr>
          <w:p w14:paraId="5B991F46" w14:textId="77777777" w:rsidR="009C353B" w:rsidRDefault="009C353B">
            <w:pPr>
              <w:pStyle w:val="afffff2"/>
              <w:spacing w:line="240" w:lineRule="atLeast"/>
              <w:jc w:val="center"/>
              <w:rPr>
                <w:rFonts w:ascii="Times New Roman" w:hAnsi="Times New Roman"/>
                <w:sz w:val="21"/>
                <w:szCs w:val="21"/>
              </w:rPr>
            </w:pPr>
          </w:p>
        </w:tc>
        <w:tc>
          <w:tcPr>
            <w:tcW w:w="668" w:type="pct"/>
            <w:shd w:val="clear" w:color="auto" w:fill="FFFFFF"/>
            <w:vAlign w:val="center"/>
          </w:tcPr>
          <w:p w14:paraId="1C51A85C"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总量控制</w:t>
            </w:r>
          </w:p>
        </w:tc>
        <w:tc>
          <w:tcPr>
            <w:tcW w:w="2170" w:type="pct"/>
            <w:shd w:val="clear" w:color="auto" w:fill="FFFFFF"/>
            <w:vAlign w:val="center"/>
          </w:tcPr>
          <w:p w14:paraId="03B4826E" w14:textId="77777777" w:rsidR="009C353B" w:rsidRDefault="00000000">
            <w:pPr>
              <w:pStyle w:val="afffff2"/>
              <w:spacing w:line="240" w:lineRule="atLeast"/>
              <w:jc w:val="left"/>
              <w:rPr>
                <w:rFonts w:ascii="Times New Roman" w:hAnsi="Times New Roman"/>
                <w:sz w:val="21"/>
                <w:szCs w:val="21"/>
              </w:rPr>
            </w:pPr>
            <w:r>
              <w:rPr>
                <w:rFonts w:ascii="Times New Roman" w:hint="eastAsia"/>
                <w:sz w:val="21"/>
                <w:szCs w:val="21"/>
              </w:rPr>
              <w:t>煤矿</w:t>
            </w:r>
            <w:r>
              <w:rPr>
                <w:rFonts w:ascii="Times New Roman"/>
                <w:sz w:val="21"/>
                <w:szCs w:val="21"/>
              </w:rPr>
              <w:t>工业场地</w:t>
            </w:r>
            <w:r>
              <w:rPr>
                <w:rFonts w:ascii="Times New Roman" w:hAnsi="Times New Roman"/>
                <w:sz w:val="21"/>
                <w:szCs w:val="21"/>
              </w:rPr>
              <w:t>NOx</w:t>
            </w:r>
            <w:r>
              <w:rPr>
                <w:rFonts w:ascii="Times New Roman"/>
                <w:sz w:val="21"/>
                <w:szCs w:val="21"/>
              </w:rPr>
              <w:t>的排放，对</w:t>
            </w:r>
            <w:r>
              <w:rPr>
                <w:rFonts w:ascii="Times New Roman" w:hint="eastAsia"/>
                <w:sz w:val="21"/>
                <w:szCs w:val="21"/>
              </w:rPr>
              <w:t>本</w:t>
            </w:r>
            <w:r>
              <w:rPr>
                <w:rFonts w:ascii="Times New Roman"/>
                <w:sz w:val="21"/>
                <w:szCs w:val="21"/>
              </w:rPr>
              <w:t>区污染物总量控制造成压力。</w:t>
            </w:r>
          </w:p>
        </w:tc>
        <w:tc>
          <w:tcPr>
            <w:tcW w:w="359" w:type="pct"/>
            <w:shd w:val="clear" w:color="auto" w:fill="FFFFFF"/>
            <w:vAlign w:val="center"/>
          </w:tcPr>
          <w:p w14:paraId="3EFC617F"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73350D11"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55432D66"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0D31955F" w14:textId="77777777" w:rsidR="009C353B" w:rsidRDefault="009C353B">
            <w:pPr>
              <w:pStyle w:val="afffff2"/>
              <w:spacing w:line="240" w:lineRule="atLeast"/>
              <w:rPr>
                <w:rFonts w:ascii="Times New Roman" w:hAnsi="Times New Roman"/>
                <w:sz w:val="21"/>
                <w:szCs w:val="21"/>
              </w:rPr>
            </w:pPr>
          </w:p>
        </w:tc>
      </w:tr>
      <w:tr w:rsidR="009C353B" w14:paraId="0FB57AC6" w14:textId="77777777">
        <w:trPr>
          <w:trHeight w:val="284"/>
          <w:jc w:val="center"/>
        </w:trPr>
        <w:tc>
          <w:tcPr>
            <w:tcW w:w="323" w:type="pct"/>
            <w:vMerge/>
            <w:shd w:val="clear" w:color="auto" w:fill="FFFFFF"/>
            <w:vAlign w:val="center"/>
          </w:tcPr>
          <w:p w14:paraId="18868781" w14:textId="77777777" w:rsidR="009C353B" w:rsidRDefault="009C353B">
            <w:pPr>
              <w:pStyle w:val="afffff2"/>
              <w:spacing w:line="240" w:lineRule="atLeast"/>
              <w:jc w:val="center"/>
              <w:rPr>
                <w:rFonts w:ascii="Times New Roman" w:hAnsi="Times New Roman"/>
                <w:sz w:val="21"/>
                <w:szCs w:val="21"/>
              </w:rPr>
            </w:pPr>
          </w:p>
        </w:tc>
        <w:tc>
          <w:tcPr>
            <w:tcW w:w="668" w:type="pct"/>
            <w:shd w:val="clear" w:color="auto" w:fill="FFFFFF"/>
            <w:vAlign w:val="center"/>
          </w:tcPr>
          <w:p w14:paraId="7C091403"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废气排放</w:t>
            </w:r>
          </w:p>
        </w:tc>
        <w:tc>
          <w:tcPr>
            <w:tcW w:w="2170" w:type="pct"/>
            <w:shd w:val="clear" w:color="auto" w:fill="FFFFFF"/>
            <w:vAlign w:val="center"/>
          </w:tcPr>
          <w:p w14:paraId="0351A11E" w14:textId="77777777" w:rsidR="009C353B" w:rsidRDefault="00000000">
            <w:pPr>
              <w:pStyle w:val="afffff2"/>
              <w:spacing w:line="240" w:lineRule="atLeast"/>
              <w:jc w:val="left"/>
              <w:rPr>
                <w:rFonts w:ascii="Times New Roman" w:hAnsi="Times New Roman"/>
                <w:sz w:val="21"/>
                <w:szCs w:val="21"/>
              </w:rPr>
            </w:pPr>
            <w:r>
              <w:rPr>
                <w:rFonts w:ascii="Times New Roman" w:hint="eastAsia"/>
                <w:sz w:val="21"/>
                <w:szCs w:val="21"/>
              </w:rPr>
              <w:t>锅炉</w:t>
            </w:r>
            <w:r>
              <w:rPr>
                <w:rFonts w:ascii="Times New Roman"/>
                <w:sz w:val="21"/>
                <w:szCs w:val="21"/>
              </w:rPr>
              <w:t>烟气引起的大气污染物排放，对区域大气环境质量产生影响。</w:t>
            </w:r>
          </w:p>
        </w:tc>
        <w:tc>
          <w:tcPr>
            <w:tcW w:w="359" w:type="pct"/>
            <w:shd w:val="clear" w:color="auto" w:fill="FFFFFF"/>
            <w:vAlign w:val="center"/>
          </w:tcPr>
          <w:p w14:paraId="6D9EB045"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7BDD45FE"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72D32D03"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2A72C327" w14:textId="77777777" w:rsidR="009C353B" w:rsidRDefault="00000000">
            <w:pPr>
              <w:pStyle w:val="afffff2"/>
              <w:spacing w:line="240" w:lineRule="atLeast"/>
              <w:rPr>
                <w:rFonts w:ascii="Times New Roman" w:hAnsi="Times New Roman"/>
                <w:sz w:val="21"/>
                <w:szCs w:val="21"/>
              </w:rPr>
            </w:pPr>
            <w:r>
              <w:rPr>
                <w:rFonts w:ascii="Times New Roman"/>
                <w:sz w:val="21"/>
                <w:szCs w:val="21"/>
              </w:rPr>
              <w:t>规模</w:t>
            </w:r>
          </w:p>
        </w:tc>
      </w:tr>
      <w:tr w:rsidR="009C353B" w14:paraId="458F1118" w14:textId="77777777">
        <w:trPr>
          <w:trHeight w:val="284"/>
          <w:jc w:val="center"/>
        </w:trPr>
        <w:tc>
          <w:tcPr>
            <w:tcW w:w="323" w:type="pct"/>
            <w:vMerge w:val="restart"/>
            <w:shd w:val="clear" w:color="auto" w:fill="FFFFFF"/>
            <w:vAlign w:val="center"/>
          </w:tcPr>
          <w:p w14:paraId="4033BBF8"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固体废物管理</w:t>
            </w:r>
          </w:p>
        </w:tc>
        <w:tc>
          <w:tcPr>
            <w:tcW w:w="668" w:type="pct"/>
            <w:shd w:val="clear" w:color="auto" w:fill="FFFFFF"/>
            <w:vAlign w:val="center"/>
          </w:tcPr>
          <w:p w14:paraId="1BBF0238"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生活垃圾</w:t>
            </w:r>
          </w:p>
        </w:tc>
        <w:tc>
          <w:tcPr>
            <w:tcW w:w="2170" w:type="pct"/>
            <w:shd w:val="clear" w:color="auto" w:fill="FFFFFF"/>
            <w:vAlign w:val="center"/>
          </w:tcPr>
          <w:p w14:paraId="09C4F21E" w14:textId="77777777" w:rsidR="009C353B" w:rsidRDefault="00000000">
            <w:pPr>
              <w:pStyle w:val="afffff2"/>
              <w:spacing w:line="240" w:lineRule="atLeast"/>
              <w:jc w:val="left"/>
              <w:rPr>
                <w:rFonts w:ascii="Times New Roman" w:hAnsi="Times New Roman"/>
                <w:sz w:val="21"/>
                <w:szCs w:val="21"/>
              </w:rPr>
            </w:pPr>
            <w:r>
              <w:rPr>
                <w:rFonts w:ascii="Times New Roman"/>
                <w:sz w:val="21"/>
                <w:szCs w:val="21"/>
              </w:rPr>
              <w:t>矿区</w:t>
            </w:r>
            <w:r>
              <w:rPr>
                <w:rFonts w:ascii="Times New Roman" w:hint="eastAsia"/>
                <w:sz w:val="21"/>
                <w:szCs w:val="21"/>
              </w:rPr>
              <w:t>在银川</w:t>
            </w:r>
            <w:r>
              <w:rPr>
                <w:rFonts w:ascii="Times New Roman"/>
                <w:sz w:val="21"/>
                <w:szCs w:val="21"/>
              </w:rPr>
              <w:t>设置</w:t>
            </w:r>
            <w:r>
              <w:rPr>
                <w:rFonts w:ascii="Times New Roman" w:hint="eastAsia"/>
                <w:sz w:val="21"/>
                <w:szCs w:val="21"/>
              </w:rPr>
              <w:t>有</w:t>
            </w:r>
            <w:r>
              <w:rPr>
                <w:rFonts w:ascii="Times New Roman"/>
                <w:sz w:val="21"/>
                <w:szCs w:val="21"/>
              </w:rPr>
              <w:t>统一生活区，生活垃圾</w:t>
            </w:r>
            <w:r>
              <w:rPr>
                <w:rFonts w:ascii="Times New Roman" w:hint="eastAsia"/>
                <w:sz w:val="21"/>
                <w:szCs w:val="21"/>
              </w:rPr>
              <w:t>由银川环卫部门</w:t>
            </w:r>
            <w:r>
              <w:rPr>
                <w:rFonts w:ascii="Times New Roman"/>
                <w:sz w:val="21"/>
                <w:szCs w:val="21"/>
              </w:rPr>
              <w:t>统一处置。</w:t>
            </w:r>
          </w:p>
        </w:tc>
        <w:tc>
          <w:tcPr>
            <w:tcW w:w="359" w:type="pct"/>
            <w:shd w:val="clear" w:color="auto" w:fill="FFFFFF"/>
            <w:vAlign w:val="center"/>
          </w:tcPr>
          <w:p w14:paraId="63891F38"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1E7F9BA3"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20826C19"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4679B12E" w14:textId="77777777" w:rsidR="009C353B" w:rsidRDefault="00000000">
            <w:pPr>
              <w:pStyle w:val="afffff2"/>
              <w:spacing w:line="240" w:lineRule="atLeast"/>
              <w:rPr>
                <w:rFonts w:ascii="Times New Roman" w:hAnsi="Times New Roman"/>
                <w:sz w:val="21"/>
                <w:szCs w:val="21"/>
              </w:rPr>
            </w:pPr>
            <w:r>
              <w:rPr>
                <w:rFonts w:ascii="Times New Roman"/>
                <w:sz w:val="21"/>
                <w:szCs w:val="21"/>
              </w:rPr>
              <w:t>规划</w:t>
            </w:r>
          </w:p>
        </w:tc>
      </w:tr>
      <w:tr w:rsidR="009C353B" w14:paraId="009F6D25" w14:textId="77777777">
        <w:trPr>
          <w:trHeight w:val="284"/>
          <w:jc w:val="center"/>
        </w:trPr>
        <w:tc>
          <w:tcPr>
            <w:tcW w:w="323" w:type="pct"/>
            <w:vMerge/>
            <w:shd w:val="clear" w:color="auto" w:fill="FFFFFF"/>
            <w:vAlign w:val="center"/>
          </w:tcPr>
          <w:p w14:paraId="1C8FA854" w14:textId="77777777" w:rsidR="009C353B" w:rsidRDefault="009C353B">
            <w:pPr>
              <w:pStyle w:val="afffff2"/>
              <w:spacing w:line="240" w:lineRule="atLeast"/>
              <w:jc w:val="center"/>
              <w:rPr>
                <w:rFonts w:ascii="Times New Roman" w:hAnsi="Times New Roman"/>
                <w:sz w:val="21"/>
                <w:szCs w:val="21"/>
              </w:rPr>
            </w:pPr>
          </w:p>
        </w:tc>
        <w:tc>
          <w:tcPr>
            <w:tcW w:w="668" w:type="pct"/>
            <w:shd w:val="clear" w:color="auto" w:fill="FFFFFF"/>
            <w:vAlign w:val="center"/>
          </w:tcPr>
          <w:p w14:paraId="4E39537D"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工业废物</w:t>
            </w:r>
          </w:p>
        </w:tc>
        <w:tc>
          <w:tcPr>
            <w:tcW w:w="2170" w:type="pct"/>
            <w:shd w:val="clear" w:color="auto" w:fill="FFFFFF"/>
            <w:vAlign w:val="center"/>
          </w:tcPr>
          <w:p w14:paraId="0844CC5D" w14:textId="77777777" w:rsidR="009C353B" w:rsidRDefault="00000000">
            <w:pPr>
              <w:pStyle w:val="afffff2"/>
              <w:spacing w:line="240" w:lineRule="atLeast"/>
              <w:jc w:val="left"/>
              <w:rPr>
                <w:rFonts w:ascii="Times New Roman" w:hAnsi="Times New Roman"/>
                <w:sz w:val="21"/>
                <w:szCs w:val="21"/>
              </w:rPr>
            </w:pPr>
            <w:r>
              <w:rPr>
                <w:rFonts w:ascii="Times New Roman"/>
                <w:sz w:val="21"/>
                <w:szCs w:val="21"/>
              </w:rPr>
              <w:t>矸石</w:t>
            </w:r>
            <w:r>
              <w:rPr>
                <w:rFonts w:ascii="Times New Roman" w:hint="eastAsia"/>
                <w:sz w:val="21"/>
                <w:szCs w:val="21"/>
              </w:rPr>
              <w:t>、污泥</w:t>
            </w:r>
            <w:r>
              <w:rPr>
                <w:rFonts w:ascii="Times New Roman"/>
                <w:sz w:val="21"/>
                <w:szCs w:val="21"/>
              </w:rPr>
              <w:t>等固体废物的综合利用途径，对占地规模、污染排放均将产生间接影响。</w:t>
            </w:r>
          </w:p>
        </w:tc>
        <w:tc>
          <w:tcPr>
            <w:tcW w:w="359" w:type="pct"/>
            <w:shd w:val="clear" w:color="auto" w:fill="FFFFFF"/>
            <w:vAlign w:val="center"/>
          </w:tcPr>
          <w:p w14:paraId="5260B91E"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63AA899D"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206E4472"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41449F48" w14:textId="77777777" w:rsidR="009C353B" w:rsidRDefault="00000000">
            <w:pPr>
              <w:pStyle w:val="afffff2"/>
              <w:spacing w:line="240" w:lineRule="atLeast"/>
              <w:rPr>
                <w:rFonts w:ascii="Times New Roman" w:hAnsi="Times New Roman"/>
                <w:sz w:val="21"/>
                <w:szCs w:val="21"/>
              </w:rPr>
            </w:pPr>
            <w:r>
              <w:rPr>
                <w:rFonts w:ascii="Times New Roman"/>
                <w:sz w:val="21"/>
                <w:szCs w:val="21"/>
              </w:rPr>
              <w:t>产业结构</w:t>
            </w:r>
          </w:p>
        </w:tc>
      </w:tr>
      <w:tr w:rsidR="009C353B" w14:paraId="2484D0B8" w14:textId="77777777">
        <w:trPr>
          <w:trHeight w:val="284"/>
          <w:jc w:val="center"/>
        </w:trPr>
        <w:tc>
          <w:tcPr>
            <w:tcW w:w="323" w:type="pct"/>
            <w:vMerge/>
            <w:shd w:val="clear" w:color="auto" w:fill="FFFFFF"/>
            <w:vAlign w:val="center"/>
          </w:tcPr>
          <w:p w14:paraId="7F2ACBB3" w14:textId="77777777" w:rsidR="009C353B" w:rsidRDefault="009C353B">
            <w:pPr>
              <w:pStyle w:val="afffff2"/>
              <w:spacing w:line="240" w:lineRule="atLeast"/>
              <w:jc w:val="center"/>
              <w:rPr>
                <w:rFonts w:ascii="Times New Roman" w:hAnsi="Times New Roman"/>
                <w:sz w:val="21"/>
                <w:szCs w:val="21"/>
              </w:rPr>
            </w:pPr>
          </w:p>
        </w:tc>
        <w:tc>
          <w:tcPr>
            <w:tcW w:w="668" w:type="pct"/>
            <w:shd w:val="clear" w:color="auto" w:fill="FFFFFF"/>
            <w:vAlign w:val="center"/>
          </w:tcPr>
          <w:p w14:paraId="27D59920"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危险废物</w:t>
            </w:r>
          </w:p>
        </w:tc>
        <w:tc>
          <w:tcPr>
            <w:tcW w:w="2170" w:type="pct"/>
            <w:shd w:val="clear" w:color="auto" w:fill="FFFFFF"/>
            <w:vAlign w:val="center"/>
          </w:tcPr>
          <w:p w14:paraId="486032D2" w14:textId="77777777" w:rsidR="009C353B" w:rsidRDefault="00000000">
            <w:pPr>
              <w:pStyle w:val="afffff2"/>
              <w:spacing w:line="240" w:lineRule="atLeast"/>
              <w:jc w:val="left"/>
              <w:rPr>
                <w:rFonts w:ascii="Times New Roman" w:hAnsi="Times New Roman"/>
                <w:sz w:val="21"/>
                <w:szCs w:val="21"/>
              </w:rPr>
            </w:pPr>
            <w:r>
              <w:rPr>
                <w:rFonts w:ascii="Times New Roman"/>
                <w:sz w:val="21"/>
                <w:szCs w:val="21"/>
              </w:rPr>
              <w:t>委托有资质的专业公司安全处置。</w:t>
            </w:r>
          </w:p>
        </w:tc>
        <w:tc>
          <w:tcPr>
            <w:tcW w:w="359" w:type="pct"/>
            <w:shd w:val="clear" w:color="auto" w:fill="FFFFFF"/>
            <w:vAlign w:val="center"/>
          </w:tcPr>
          <w:p w14:paraId="2D8A8618"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36471E76"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6168633E"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7CB41B36" w14:textId="77777777" w:rsidR="009C353B" w:rsidRDefault="00000000">
            <w:pPr>
              <w:pStyle w:val="afffff2"/>
              <w:spacing w:line="240" w:lineRule="atLeast"/>
              <w:rPr>
                <w:rFonts w:ascii="Times New Roman" w:hAnsi="Times New Roman"/>
                <w:sz w:val="21"/>
                <w:szCs w:val="21"/>
              </w:rPr>
            </w:pPr>
            <w:r>
              <w:rPr>
                <w:rFonts w:ascii="Times New Roman"/>
                <w:sz w:val="21"/>
                <w:szCs w:val="21"/>
              </w:rPr>
              <w:t>规划</w:t>
            </w:r>
          </w:p>
        </w:tc>
      </w:tr>
      <w:tr w:rsidR="009C353B" w14:paraId="22565023" w14:textId="77777777">
        <w:trPr>
          <w:trHeight w:val="284"/>
          <w:jc w:val="center"/>
        </w:trPr>
        <w:tc>
          <w:tcPr>
            <w:tcW w:w="323" w:type="pct"/>
            <w:vMerge w:val="restart"/>
            <w:shd w:val="clear" w:color="auto" w:fill="FFFFFF"/>
            <w:vAlign w:val="center"/>
          </w:tcPr>
          <w:p w14:paraId="1647DE1D"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社会经济与生活</w:t>
            </w:r>
          </w:p>
        </w:tc>
        <w:tc>
          <w:tcPr>
            <w:tcW w:w="668" w:type="pct"/>
            <w:shd w:val="clear" w:color="auto" w:fill="FFFFFF"/>
            <w:vAlign w:val="center"/>
          </w:tcPr>
          <w:p w14:paraId="5E20CC02"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投资与就业</w:t>
            </w:r>
          </w:p>
        </w:tc>
        <w:tc>
          <w:tcPr>
            <w:tcW w:w="2170" w:type="pct"/>
            <w:shd w:val="clear" w:color="auto" w:fill="FFFFFF"/>
            <w:vAlign w:val="center"/>
          </w:tcPr>
          <w:p w14:paraId="2B3F61E3" w14:textId="77777777" w:rsidR="009C353B" w:rsidRDefault="00000000">
            <w:pPr>
              <w:pStyle w:val="afffff2"/>
              <w:spacing w:line="240" w:lineRule="atLeast"/>
              <w:jc w:val="left"/>
              <w:rPr>
                <w:rFonts w:ascii="Times New Roman" w:hAnsi="Times New Roman"/>
                <w:sz w:val="21"/>
                <w:szCs w:val="21"/>
              </w:rPr>
            </w:pPr>
            <w:r>
              <w:rPr>
                <w:rFonts w:ascii="Times New Roman" w:hint="eastAsia"/>
                <w:sz w:val="21"/>
                <w:szCs w:val="21"/>
              </w:rPr>
              <w:t>矿区</w:t>
            </w:r>
            <w:r>
              <w:rPr>
                <w:rFonts w:ascii="Times New Roman"/>
                <w:sz w:val="21"/>
                <w:szCs w:val="21"/>
              </w:rPr>
              <w:t>开发为</w:t>
            </w:r>
            <w:r>
              <w:rPr>
                <w:rFonts w:ascii="Times New Roman" w:hint="eastAsia"/>
                <w:sz w:val="21"/>
                <w:szCs w:val="21"/>
              </w:rPr>
              <w:t>地方</w:t>
            </w:r>
            <w:r>
              <w:rPr>
                <w:rFonts w:ascii="Times New Roman"/>
                <w:sz w:val="21"/>
                <w:szCs w:val="21"/>
              </w:rPr>
              <w:t>增加各种投资、创业和就业机会</w:t>
            </w:r>
          </w:p>
        </w:tc>
        <w:tc>
          <w:tcPr>
            <w:tcW w:w="359" w:type="pct"/>
            <w:shd w:val="clear" w:color="auto" w:fill="FFFFFF"/>
            <w:vAlign w:val="center"/>
          </w:tcPr>
          <w:p w14:paraId="399B104A"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0CCCC406" w14:textId="77777777" w:rsidR="009C353B" w:rsidRDefault="00000000">
            <w:pPr>
              <w:pStyle w:val="afffff2"/>
              <w:spacing w:line="240" w:lineRule="atLeast"/>
              <w:jc w:val="center"/>
              <w:rPr>
                <w:rFonts w:ascii="Times New Roman" w:hAnsi="Times New Roman"/>
                <w:sz w:val="21"/>
                <w:szCs w:val="21"/>
              </w:rPr>
            </w:pPr>
            <w:r>
              <w:rPr>
                <w:sz w:val="21"/>
                <w:szCs w:val="21"/>
              </w:rPr>
              <w:t>★★★</w:t>
            </w:r>
          </w:p>
        </w:tc>
        <w:tc>
          <w:tcPr>
            <w:tcW w:w="350" w:type="pct"/>
            <w:shd w:val="clear" w:color="auto" w:fill="FFFFFF"/>
            <w:vAlign w:val="center"/>
          </w:tcPr>
          <w:p w14:paraId="2688C531"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6801A651" w14:textId="77777777" w:rsidR="009C353B" w:rsidRDefault="00000000">
            <w:pPr>
              <w:pStyle w:val="afffff2"/>
              <w:spacing w:line="240" w:lineRule="atLeast"/>
              <w:rPr>
                <w:rFonts w:ascii="Times New Roman" w:hAnsi="Times New Roman"/>
                <w:sz w:val="21"/>
                <w:szCs w:val="21"/>
              </w:rPr>
            </w:pPr>
            <w:r>
              <w:rPr>
                <w:rFonts w:ascii="Times New Roman"/>
                <w:sz w:val="21"/>
                <w:szCs w:val="21"/>
              </w:rPr>
              <w:t>规划方案</w:t>
            </w:r>
          </w:p>
        </w:tc>
      </w:tr>
      <w:tr w:rsidR="009C353B" w14:paraId="643F6482" w14:textId="77777777">
        <w:trPr>
          <w:trHeight w:val="284"/>
          <w:jc w:val="center"/>
        </w:trPr>
        <w:tc>
          <w:tcPr>
            <w:tcW w:w="323" w:type="pct"/>
            <w:vMerge/>
            <w:shd w:val="clear" w:color="auto" w:fill="FFFFFF"/>
            <w:vAlign w:val="center"/>
          </w:tcPr>
          <w:p w14:paraId="644D18F8" w14:textId="77777777" w:rsidR="009C353B" w:rsidRDefault="009C353B">
            <w:pPr>
              <w:pStyle w:val="afffff2"/>
              <w:spacing w:line="240" w:lineRule="atLeast"/>
              <w:jc w:val="center"/>
              <w:rPr>
                <w:rFonts w:ascii="Times New Roman" w:hAnsi="Times New Roman"/>
                <w:sz w:val="21"/>
                <w:szCs w:val="21"/>
              </w:rPr>
            </w:pPr>
          </w:p>
        </w:tc>
        <w:tc>
          <w:tcPr>
            <w:tcW w:w="668" w:type="pct"/>
            <w:shd w:val="clear" w:color="auto" w:fill="FFFFFF"/>
            <w:vAlign w:val="center"/>
          </w:tcPr>
          <w:p w14:paraId="7CC3BC27" w14:textId="77777777" w:rsidR="009C353B" w:rsidRDefault="00000000">
            <w:pPr>
              <w:pStyle w:val="afffff2"/>
              <w:spacing w:line="240" w:lineRule="atLeast"/>
              <w:jc w:val="center"/>
              <w:rPr>
                <w:rFonts w:ascii="Times New Roman" w:hAnsi="Times New Roman"/>
                <w:sz w:val="21"/>
                <w:szCs w:val="21"/>
              </w:rPr>
            </w:pPr>
            <w:r>
              <w:rPr>
                <w:rFonts w:ascii="Times New Roman"/>
                <w:sz w:val="21"/>
                <w:szCs w:val="21"/>
              </w:rPr>
              <w:t>交通</w:t>
            </w:r>
          </w:p>
        </w:tc>
        <w:tc>
          <w:tcPr>
            <w:tcW w:w="2170" w:type="pct"/>
            <w:shd w:val="clear" w:color="auto" w:fill="FFFFFF"/>
            <w:vAlign w:val="center"/>
          </w:tcPr>
          <w:p w14:paraId="7C16311B" w14:textId="77777777" w:rsidR="009C353B" w:rsidRDefault="00000000">
            <w:pPr>
              <w:pStyle w:val="afffff2"/>
              <w:spacing w:line="240" w:lineRule="atLeast"/>
              <w:jc w:val="left"/>
              <w:rPr>
                <w:rFonts w:ascii="Times New Roman" w:hAnsi="Times New Roman"/>
                <w:sz w:val="21"/>
                <w:szCs w:val="21"/>
              </w:rPr>
            </w:pPr>
            <w:r>
              <w:rPr>
                <w:rFonts w:ascii="Times New Roman" w:hAnsi="Times New Roman" w:hint="eastAsia"/>
                <w:sz w:val="21"/>
                <w:szCs w:val="21"/>
              </w:rPr>
              <w:t>进矿道路</w:t>
            </w:r>
          </w:p>
        </w:tc>
        <w:tc>
          <w:tcPr>
            <w:tcW w:w="359" w:type="pct"/>
            <w:shd w:val="clear" w:color="auto" w:fill="FFFFFF"/>
            <w:vAlign w:val="center"/>
          </w:tcPr>
          <w:p w14:paraId="7A66CC45"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w:t>
            </w:r>
          </w:p>
        </w:tc>
        <w:tc>
          <w:tcPr>
            <w:tcW w:w="473" w:type="pct"/>
            <w:shd w:val="clear" w:color="auto" w:fill="FFFFFF"/>
            <w:vAlign w:val="center"/>
          </w:tcPr>
          <w:p w14:paraId="54B76FD2" w14:textId="77777777" w:rsidR="009C353B" w:rsidRDefault="00000000">
            <w:pPr>
              <w:pStyle w:val="afffff2"/>
              <w:spacing w:line="240" w:lineRule="atLeast"/>
              <w:jc w:val="center"/>
              <w:rPr>
                <w:rFonts w:ascii="Times New Roman" w:hAnsi="Times New Roman"/>
                <w:sz w:val="21"/>
                <w:szCs w:val="21"/>
              </w:rPr>
            </w:pPr>
            <w:r>
              <w:rPr>
                <w:sz w:val="21"/>
                <w:szCs w:val="21"/>
                <w:lang w:val="en-GB"/>
              </w:rPr>
              <w:t>★</w:t>
            </w:r>
          </w:p>
        </w:tc>
        <w:tc>
          <w:tcPr>
            <w:tcW w:w="350" w:type="pct"/>
            <w:shd w:val="clear" w:color="auto" w:fill="FFFFFF"/>
            <w:vAlign w:val="center"/>
          </w:tcPr>
          <w:p w14:paraId="1C49B5C4" w14:textId="77777777" w:rsidR="009C353B" w:rsidRDefault="00000000">
            <w:pPr>
              <w:pStyle w:val="afffff2"/>
              <w:spacing w:line="240" w:lineRule="atLeast"/>
              <w:jc w:val="center"/>
              <w:rPr>
                <w:rFonts w:ascii="Times New Roman" w:hAnsi="Times New Roman"/>
                <w:sz w:val="21"/>
                <w:szCs w:val="21"/>
              </w:rPr>
            </w:pPr>
            <w:r>
              <w:rPr>
                <w:rFonts w:ascii="Times New Roman" w:hAnsi="Times New Roman"/>
                <w:sz w:val="21"/>
                <w:szCs w:val="21"/>
              </w:rPr>
              <w:t>L</w:t>
            </w:r>
          </w:p>
        </w:tc>
        <w:tc>
          <w:tcPr>
            <w:tcW w:w="657" w:type="pct"/>
            <w:shd w:val="clear" w:color="auto" w:fill="FFFFFF"/>
            <w:vAlign w:val="center"/>
          </w:tcPr>
          <w:p w14:paraId="52CED7F3" w14:textId="77777777" w:rsidR="009C353B" w:rsidRDefault="00000000">
            <w:pPr>
              <w:pStyle w:val="afffff2"/>
              <w:spacing w:line="240" w:lineRule="atLeast"/>
              <w:rPr>
                <w:rFonts w:ascii="Times New Roman" w:hAnsi="Times New Roman"/>
                <w:sz w:val="21"/>
                <w:szCs w:val="21"/>
              </w:rPr>
            </w:pPr>
            <w:r>
              <w:rPr>
                <w:rFonts w:ascii="Times New Roman"/>
                <w:sz w:val="21"/>
                <w:szCs w:val="21"/>
              </w:rPr>
              <w:t>规划</w:t>
            </w:r>
          </w:p>
        </w:tc>
      </w:tr>
    </w:tbl>
    <w:p w14:paraId="6EFFCA42"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hint="eastAsia"/>
          <w:sz w:val="21"/>
          <w:szCs w:val="21"/>
        </w:rPr>
        <w:t>注</w:t>
      </w:r>
      <w:r>
        <w:rPr>
          <w:rFonts w:ascii="Times New Roman" w:hAnsi="Times New Roman"/>
          <w:sz w:val="21"/>
          <w:szCs w:val="21"/>
        </w:rPr>
        <w:t>：</w:t>
      </w:r>
      <w:r>
        <w:rPr>
          <w:rFonts w:ascii="Times New Roman" w:hAnsi="Times New Roman" w:hint="eastAsia"/>
          <w:sz w:val="21"/>
          <w:szCs w:val="21"/>
        </w:rPr>
        <w:t>“</w:t>
      </w:r>
      <w:r>
        <w:rPr>
          <w:rFonts w:ascii="Times New Roman" w:hAnsi="Times New Roman" w:hint="eastAsia"/>
          <w:sz w:val="21"/>
          <w:szCs w:val="21"/>
        </w:rPr>
        <w:t>+</w:t>
      </w:r>
      <w:r>
        <w:rPr>
          <w:rFonts w:ascii="Times New Roman" w:hAnsi="Times New Roman"/>
          <w:sz w:val="21"/>
          <w:szCs w:val="21"/>
        </w:rPr>
        <w:t>”—</w:t>
      </w:r>
      <w:r>
        <w:rPr>
          <w:rFonts w:ascii="Times New Roman" w:hAnsi="Times New Roman"/>
          <w:sz w:val="21"/>
          <w:szCs w:val="21"/>
        </w:rPr>
        <w:t>有利影响，</w:t>
      </w:r>
      <w:r>
        <w:rPr>
          <w:rFonts w:ascii="Times New Roman" w:hAnsi="Times New Roman" w:hint="eastAsia"/>
          <w:sz w:val="21"/>
          <w:szCs w:val="21"/>
        </w:rPr>
        <w:t>“</w:t>
      </w:r>
      <w:r>
        <w:rPr>
          <w:rFonts w:ascii="Times New Roman" w:hAnsi="Times New Roman" w:hint="eastAsia"/>
          <w:sz w:val="21"/>
          <w:szCs w:val="21"/>
        </w:rPr>
        <w:t>-</w:t>
      </w:r>
      <w:r>
        <w:rPr>
          <w:rFonts w:ascii="Times New Roman" w:hAnsi="Times New Roman"/>
          <w:sz w:val="21"/>
          <w:szCs w:val="21"/>
        </w:rPr>
        <w:t>”—</w:t>
      </w:r>
      <w:r>
        <w:rPr>
          <w:rFonts w:ascii="Times New Roman" w:hAnsi="Times New Roman"/>
          <w:sz w:val="21"/>
          <w:szCs w:val="21"/>
        </w:rPr>
        <w:t>不利影响；</w:t>
      </w:r>
      <w:r>
        <w:rPr>
          <w:rFonts w:ascii="Times New Roman" w:hAnsi="Times New Roman"/>
          <w:sz w:val="21"/>
          <w:szCs w:val="21"/>
        </w:rPr>
        <w:t xml:space="preserve"> L—</w:t>
      </w:r>
      <w:r>
        <w:rPr>
          <w:rFonts w:ascii="Times New Roman" w:hAnsi="Times New Roman"/>
          <w:sz w:val="21"/>
          <w:szCs w:val="21"/>
        </w:rPr>
        <w:t>长期影响，</w:t>
      </w:r>
      <w:r>
        <w:rPr>
          <w:rFonts w:ascii="Times New Roman" w:hAnsi="Times New Roman"/>
          <w:sz w:val="21"/>
          <w:szCs w:val="21"/>
        </w:rPr>
        <w:t>S—</w:t>
      </w:r>
      <w:r>
        <w:rPr>
          <w:rFonts w:ascii="Times New Roman" w:hAnsi="Times New Roman"/>
          <w:sz w:val="21"/>
          <w:szCs w:val="21"/>
        </w:rPr>
        <w:t>短期影响；</w:t>
      </w:r>
      <w:r>
        <w:rPr>
          <w:rFonts w:ascii="Segoe UI Symbol" w:hAnsi="Segoe UI Symbol" w:cs="Segoe UI Symbol"/>
          <w:sz w:val="21"/>
          <w:szCs w:val="21"/>
        </w:rPr>
        <w:t>★</w:t>
      </w:r>
      <w:r>
        <w:rPr>
          <w:rFonts w:ascii="Times New Roman" w:hAnsi="Times New Roman"/>
          <w:sz w:val="21"/>
          <w:szCs w:val="21"/>
        </w:rPr>
        <w:t>—</w:t>
      </w:r>
      <w:r>
        <w:rPr>
          <w:rFonts w:ascii="Times New Roman" w:hAnsi="Times New Roman"/>
          <w:sz w:val="21"/>
          <w:szCs w:val="21"/>
        </w:rPr>
        <w:t>较小，</w:t>
      </w:r>
      <w:r>
        <w:rPr>
          <w:rFonts w:ascii="Segoe UI Symbol" w:hAnsi="Segoe UI Symbol" w:cs="Segoe UI Symbol"/>
          <w:sz w:val="21"/>
          <w:szCs w:val="21"/>
        </w:rPr>
        <w:t>★★</w:t>
      </w:r>
      <w:r>
        <w:rPr>
          <w:rFonts w:ascii="Times New Roman" w:hAnsi="Times New Roman"/>
          <w:sz w:val="21"/>
          <w:szCs w:val="21"/>
        </w:rPr>
        <w:t>—</w:t>
      </w:r>
      <w:r>
        <w:rPr>
          <w:rFonts w:ascii="Times New Roman" w:hAnsi="Times New Roman"/>
          <w:sz w:val="21"/>
          <w:szCs w:val="21"/>
        </w:rPr>
        <w:t>中等，</w:t>
      </w:r>
      <w:r>
        <w:rPr>
          <w:rFonts w:ascii="Segoe UI Symbol" w:hAnsi="Segoe UI Symbol" w:cs="Segoe UI Symbol"/>
          <w:sz w:val="21"/>
          <w:szCs w:val="21"/>
        </w:rPr>
        <w:t>★★★</w:t>
      </w:r>
      <w:r>
        <w:rPr>
          <w:rFonts w:ascii="Times New Roman" w:hAnsi="Times New Roman"/>
          <w:sz w:val="21"/>
          <w:szCs w:val="21"/>
        </w:rPr>
        <w:t>—</w:t>
      </w:r>
      <w:r>
        <w:rPr>
          <w:rFonts w:ascii="Times New Roman" w:hAnsi="Times New Roman"/>
          <w:sz w:val="21"/>
          <w:szCs w:val="21"/>
        </w:rPr>
        <w:t>显著。</w:t>
      </w:r>
    </w:p>
    <w:p w14:paraId="65FF298E"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5</w:t>
      </w:r>
      <w:r>
        <w:rPr>
          <w:rFonts w:ascii="Times New Roman" w:hAnsi="Times New Roman"/>
          <w:sz w:val="24"/>
        </w:rPr>
        <w:t xml:space="preserve">.1.3 </w:t>
      </w:r>
      <w:r>
        <w:rPr>
          <w:rFonts w:ascii="Times New Roman" w:hAnsi="Times New Roman"/>
          <w:sz w:val="24"/>
        </w:rPr>
        <w:t>矿区开发环境影响识别矩阵分析</w:t>
      </w:r>
    </w:p>
    <w:p w14:paraId="08EA15DD"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结合矿区总体规划、矿区污染源及生态影响分析和矿区发展环境限制因子分析，运用矩阵法对矿区总体规划主要行为活动对环境的影响识别结果见下表</w:t>
      </w:r>
      <w:r>
        <w:rPr>
          <w:rFonts w:ascii="Times New Roman" w:hAnsi="Times New Roman" w:hint="eastAsia"/>
        </w:rPr>
        <w:t>5</w:t>
      </w:r>
      <w:r>
        <w:rPr>
          <w:rFonts w:ascii="Times New Roman" w:hAnsi="Times New Roman"/>
        </w:rPr>
        <w:t>.1-2</w:t>
      </w:r>
      <w:r>
        <w:rPr>
          <w:rFonts w:ascii="Times New Roman" w:hAnsi="Times New Roman"/>
        </w:rPr>
        <w:t>。</w:t>
      </w:r>
    </w:p>
    <w:p w14:paraId="17557AA2" w14:textId="77777777" w:rsidR="009C353B" w:rsidRDefault="00000000">
      <w:pPr>
        <w:pStyle w:val="affffff0"/>
        <w:adjustRightInd w:val="0"/>
        <w:spacing w:line="440" w:lineRule="exact"/>
        <w:jc w:val="center"/>
        <w:rPr>
          <w:rFonts w:ascii="Times New Roman" w:hAnsi="Times New Roman"/>
          <w:kern w:val="0"/>
        </w:rPr>
      </w:pPr>
      <w:r>
        <w:rPr>
          <w:rFonts w:ascii="Times New Roman" w:hAnsi="Times New Roman"/>
          <w:kern w:val="0"/>
        </w:rPr>
        <w:t>矿区总体规划环境影响识别表</w:t>
      </w:r>
    </w:p>
    <w:p w14:paraId="454E46EF" w14:textId="77777777" w:rsidR="009C353B" w:rsidRDefault="00000000">
      <w:pPr>
        <w:pStyle w:val="affffd"/>
        <w:spacing w:line="440" w:lineRule="exact"/>
        <w:rPr>
          <w:rFonts w:ascii="Times New Roman" w:hAnsi="Times New Roman"/>
          <w:szCs w:val="24"/>
        </w:rPr>
      </w:pPr>
      <w:r>
        <w:rPr>
          <w:rFonts w:ascii="Times New Roman" w:hAnsi="Times New Roman"/>
          <w:szCs w:val="24"/>
        </w:rPr>
        <w:t>表</w:t>
      </w:r>
      <w:r>
        <w:rPr>
          <w:rFonts w:ascii="Times New Roman" w:hAnsi="Times New Roman" w:hint="eastAsia"/>
          <w:szCs w:val="24"/>
        </w:rPr>
        <w:t>5</w:t>
      </w:r>
      <w:r>
        <w:rPr>
          <w:rFonts w:ascii="Times New Roman" w:hAnsi="Times New Roman"/>
          <w:szCs w:val="24"/>
        </w:rPr>
        <w:t>.1-2</w:t>
      </w:r>
    </w:p>
    <w:tbl>
      <w:tblPr>
        <w:tblW w:w="8888" w:type="dxa"/>
        <w:jc w:val="center"/>
        <w:tblLayout w:type="fixed"/>
        <w:tblLook w:val="04A0" w:firstRow="1" w:lastRow="0" w:firstColumn="1" w:lastColumn="0" w:noHBand="0" w:noVBand="1"/>
      </w:tblPr>
      <w:tblGrid>
        <w:gridCol w:w="1044"/>
        <w:gridCol w:w="1936"/>
        <w:gridCol w:w="1476"/>
        <w:gridCol w:w="1480"/>
        <w:gridCol w:w="1476"/>
        <w:gridCol w:w="1476"/>
      </w:tblGrid>
      <w:tr w:rsidR="009C353B" w14:paraId="34877993" w14:textId="77777777">
        <w:trPr>
          <w:trHeight w:val="397"/>
          <w:jc w:val="center"/>
        </w:trPr>
        <w:tc>
          <w:tcPr>
            <w:tcW w:w="2980" w:type="dxa"/>
            <w:gridSpan w:val="2"/>
            <w:tcBorders>
              <w:top w:val="single" w:sz="4" w:space="0" w:color="auto"/>
              <w:left w:val="single" w:sz="4" w:space="0" w:color="auto"/>
              <w:bottom w:val="single" w:sz="4" w:space="0" w:color="auto"/>
              <w:right w:val="single" w:sz="4" w:space="0" w:color="auto"/>
              <w:tl2br w:val="single" w:sz="4" w:space="0" w:color="auto"/>
            </w:tcBorders>
            <w:shd w:val="clear" w:color="auto" w:fill="auto"/>
            <w:vAlign w:val="center"/>
          </w:tcPr>
          <w:p w14:paraId="67040D7F" w14:textId="77777777" w:rsidR="009C353B" w:rsidRDefault="00000000">
            <w:pPr>
              <w:widowControl/>
              <w:jc w:val="right"/>
              <w:rPr>
                <w:rFonts w:ascii="Times New Roman" w:hAnsi="Times New Roman"/>
                <w:kern w:val="0"/>
                <w:sz w:val="21"/>
                <w:szCs w:val="21"/>
              </w:rPr>
            </w:pPr>
            <w:r>
              <w:rPr>
                <w:rFonts w:ascii="Times New Roman" w:hAnsi="Times New Roman"/>
                <w:kern w:val="0"/>
                <w:sz w:val="21"/>
                <w:szCs w:val="21"/>
              </w:rPr>
              <w:t>影响因子</w:t>
            </w:r>
          </w:p>
          <w:p w14:paraId="2186B6B4"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环境要素</w:t>
            </w:r>
          </w:p>
        </w:tc>
        <w:tc>
          <w:tcPr>
            <w:tcW w:w="1476" w:type="dxa"/>
            <w:tcBorders>
              <w:top w:val="single" w:sz="4" w:space="0" w:color="auto"/>
              <w:left w:val="single" w:sz="4" w:space="0" w:color="auto"/>
              <w:right w:val="single" w:sz="4" w:space="0" w:color="auto"/>
            </w:tcBorders>
            <w:shd w:val="clear" w:color="auto" w:fill="auto"/>
            <w:vAlign w:val="center"/>
          </w:tcPr>
          <w:p w14:paraId="481BCAA4" w14:textId="77777777" w:rsidR="009C353B" w:rsidRDefault="00000000">
            <w:pPr>
              <w:spacing w:line="240" w:lineRule="exact"/>
              <w:jc w:val="center"/>
              <w:rPr>
                <w:rFonts w:ascii="Times New Roman" w:hAnsi="Times New Roman"/>
                <w:kern w:val="0"/>
                <w:sz w:val="21"/>
                <w:szCs w:val="21"/>
              </w:rPr>
            </w:pPr>
            <w:r>
              <w:rPr>
                <w:rFonts w:ascii="Times New Roman" w:hAnsi="Times New Roman"/>
                <w:kern w:val="0"/>
                <w:sz w:val="21"/>
                <w:szCs w:val="21"/>
              </w:rPr>
              <w:t>煤矿采煤</w:t>
            </w:r>
          </w:p>
        </w:tc>
        <w:tc>
          <w:tcPr>
            <w:tcW w:w="1480" w:type="dxa"/>
            <w:tcBorders>
              <w:top w:val="single" w:sz="4" w:space="0" w:color="auto"/>
              <w:left w:val="single" w:sz="4" w:space="0" w:color="auto"/>
              <w:right w:val="single" w:sz="4" w:space="0" w:color="auto"/>
            </w:tcBorders>
            <w:shd w:val="clear" w:color="auto" w:fill="auto"/>
            <w:vAlign w:val="center"/>
          </w:tcPr>
          <w:p w14:paraId="6D39D8B5" w14:textId="77777777" w:rsidR="009C353B" w:rsidRDefault="00000000">
            <w:pPr>
              <w:spacing w:line="240" w:lineRule="exact"/>
              <w:jc w:val="center"/>
              <w:rPr>
                <w:rFonts w:ascii="Times New Roman" w:hAnsi="Times New Roman"/>
                <w:kern w:val="0"/>
                <w:sz w:val="21"/>
                <w:szCs w:val="21"/>
              </w:rPr>
            </w:pPr>
            <w:r>
              <w:rPr>
                <w:rFonts w:ascii="Times New Roman" w:hAnsi="Times New Roman"/>
                <w:kern w:val="0"/>
                <w:sz w:val="21"/>
                <w:szCs w:val="21"/>
              </w:rPr>
              <w:t>煤炭洗选</w:t>
            </w:r>
          </w:p>
        </w:tc>
        <w:tc>
          <w:tcPr>
            <w:tcW w:w="1476" w:type="dxa"/>
            <w:tcBorders>
              <w:top w:val="single" w:sz="4" w:space="0" w:color="auto"/>
              <w:left w:val="single" w:sz="4" w:space="0" w:color="auto"/>
              <w:right w:val="single" w:sz="4" w:space="0" w:color="auto"/>
            </w:tcBorders>
            <w:shd w:val="clear" w:color="auto" w:fill="auto"/>
            <w:vAlign w:val="center"/>
          </w:tcPr>
          <w:p w14:paraId="5F3B7D81" w14:textId="77777777" w:rsidR="009C353B" w:rsidRDefault="00000000">
            <w:pPr>
              <w:spacing w:line="240" w:lineRule="exact"/>
              <w:jc w:val="center"/>
              <w:rPr>
                <w:rFonts w:ascii="Times New Roman" w:hAnsi="Times New Roman"/>
                <w:kern w:val="0"/>
                <w:sz w:val="21"/>
                <w:szCs w:val="21"/>
              </w:rPr>
            </w:pPr>
            <w:r>
              <w:rPr>
                <w:rFonts w:ascii="Times New Roman" w:hAnsi="Times New Roman"/>
                <w:kern w:val="0"/>
                <w:sz w:val="21"/>
                <w:szCs w:val="21"/>
              </w:rPr>
              <w:t>交通运输</w:t>
            </w:r>
          </w:p>
        </w:tc>
        <w:tc>
          <w:tcPr>
            <w:tcW w:w="1476" w:type="dxa"/>
            <w:tcBorders>
              <w:top w:val="single" w:sz="4" w:space="0" w:color="auto"/>
              <w:left w:val="single" w:sz="4" w:space="0" w:color="auto"/>
              <w:right w:val="single" w:sz="4" w:space="0" w:color="auto"/>
            </w:tcBorders>
            <w:shd w:val="clear" w:color="auto" w:fill="auto"/>
            <w:vAlign w:val="center"/>
          </w:tcPr>
          <w:p w14:paraId="084AB17B" w14:textId="77777777" w:rsidR="009C353B" w:rsidRDefault="00000000">
            <w:pPr>
              <w:spacing w:line="240" w:lineRule="exact"/>
              <w:jc w:val="center"/>
              <w:rPr>
                <w:rFonts w:ascii="Times New Roman" w:hAnsi="Times New Roman"/>
                <w:kern w:val="0"/>
                <w:sz w:val="21"/>
                <w:szCs w:val="21"/>
              </w:rPr>
            </w:pPr>
            <w:r>
              <w:rPr>
                <w:rFonts w:ascii="Times New Roman" w:hAnsi="Times New Roman"/>
                <w:kern w:val="0"/>
                <w:sz w:val="21"/>
                <w:szCs w:val="21"/>
              </w:rPr>
              <w:t>固废处置</w:t>
            </w:r>
          </w:p>
        </w:tc>
      </w:tr>
      <w:tr w:rsidR="009C353B" w14:paraId="58562829" w14:textId="77777777">
        <w:trPr>
          <w:trHeight w:val="397"/>
          <w:jc w:val="center"/>
        </w:trPr>
        <w:tc>
          <w:tcPr>
            <w:tcW w:w="1044" w:type="dxa"/>
            <w:vMerge w:val="restart"/>
            <w:tcBorders>
              <w:top w:val="single" w:sz="4" w:space="0" w:color="auto"/>
              <w:left w:val="single" w:sz="4" w:space="0" w:color="auto"/>
              <w:right w:val="single" w:sz="4" w:space="0" w:color="auto"/>
            </w:tcBorders>
            <w:shd w:val="clear" w:color="auto" w:fill="auto"/>
            <w:vAlign w:val="center"/>
          </w:tcPr>
          <w:p w14:paraId="4C4FD797"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环境</w:t>
            </w:r>
          </w:p>
          <w:p w14:paraId="2E0E97D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质量</w:t>
            </w: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00E4FB97"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大气环境</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6B947E7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3AC44DF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17EF945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5D1A63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-2L</w:t>
            </w:r>
          </w:p>
        </w:tc>
      </w:tr>
      <w:tr w:rsidR="009C353B" w14:paraId="21098D13" w14:textId="77777777">
        <w:trPr>
          <w:trHeight w:val="397"/>
          <w:jc w:val="center"/>
        </w:trPr>
        <w:tc>
          <w:tcPr>
            <w:tcW w:w="1044" w:type="dxa"/>
            <w:vMerge/>
            <w:tcBorders>
              <w:left w:val="single" w:sz="4" w:space="0" w:color="auto"/>
              <w:right w:val="single" w:sz="4" w:space="0" w:color="auto"/>
            </w:tcBorders>
            <w:shd w:val="clear" w:color="auto" w:fill="auto"/>
            <w:vAlign w:val="center"/>
          </w:tcPr>
          <w:p w14:paraId="7C4F8934" w14:textId="77777777" w:rsidR="009C353B" w:rsidRDefault="009C353B">
            <w:pPr>
              <w:widowControl/>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124F87B4"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地表水环境</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1015C8F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2ECAF3D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3AF91F4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0230B12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r>
      <w:tr w:rsidR="009C353B" w14:paraId="6B65F940" w14:textId="77777777">
        <w:trPr>
          <w:trHeight w:val="397"/>
          <w:jc w:val="center"/>
        </w:trPr>
        <w:tc>
          <w:tcPr>
            <w:tcW w:w="1044" w:type="dxa"/>
            <w:vMerge/>
            <w:tcBorders>
              <w:left w:val="single" w:sz="4" w:space="0" w:color="auto"/>
              <w:right w:val="single" w:sz="4" w:space="0" w:color="auto"/>
            </w:tcBorders>
            <w:shd w:val="clear" w:color="auto" w:fill="auto"/>
            <w:vAlign w:val="center"/>
          </w:tcPr>
          <w:p w14:paraId="0675CC34" w14:textId="77777777" w:rsidR="009C353B" w:rsidRDefault="009C353B">
            <w:pPr>
              <w:widowControl/>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70279724"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地下水环境</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39DE3F6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1E325D7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0D38169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3BC764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r>
      <w:tr w:rsidR="009C353B" w14:paraId="6EA1C1DC" w14:textId="77777777">
        <w:trPr>
          <w:trHeight w:val="397"/>
          <w:jc w:val="center"/>
        </w:trPr>
        <w:tc>
          <w:tcPr>
            <w:tcW w:w="1044" w:type="dxa"/>
            <w:vMerge/>
            <w:tcBorders>
              <w:left w:val="single" w:sz="4" w:space="0" w:color="auto"/>
              <w:right w:val="single" w:sz="4" w:space="0" w:color="auto"/>
            </w:tcBorders>
            <w:shd w:val="clear" w:color="auto" w:fill="auto"/>
            <w:vAlign w:val="center"/>
          </w:tcPr>
          <w:p w14:paraId="42180C27" w14:textId="77777777" w:rsidR="009C353B" w:rsidRDefault="009C353B">
            <w:pPr>
              <w:widowControl/>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2F971068"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声环境</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515D304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7F1142F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5442182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06A4782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-1S</w:t>
            </w:r>
          </w:p>
        </w:tc>
      </w:tr>
      <w:tr w:rsidR="009C353B" w14:paraId="4981313D" w14:textId="77777777">
        <w:trPr>
          <w:trHeight w:val="397"/>
          <w:jc w:val="center"/>
        </w:trPr>
        <w:tc>
          <w:tcPr>
            <w:tcW w:w="1044" w:type="dxa"/>
            <w:vMerge/>
            <w:tcBorders>
              <w:left w:val="single" w:sz="4" w:space="0" w:color="auto"/>
              <w:bottom w:val="single" w:sz="4" w:space="0" w:color="auto"/>
              <w:right w:val="single" w:sz="4" w:space="0" w:color="auto"/>
            </w:tcBorders>
            <w:shd w:val="clear" w:color="auto" w:fill="auto"/>
            <w:vAlign w:val="center"/>
          </w:tcPr>
          <w:p w14:paraId="4E970B62" w14:textId="77777777" w:rsidR="009C353B" w:rsidRDefault="009C353B">
            <w:pPr>
              <w:widowControl/>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139C8F30"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土壤</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782DDD1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128754C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6CCB602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5133C10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-2L</w:t>
            </w:r>
          </w:p>
        </w:tc>
      </w:tr>
      <w:tr w:rsidR="009C353B" w14:paraId="1496343D" w14:textId="77777777">
        <w:trPr>
          <w:trHeight w:val="397"/>
          <w:jc w:val="center"/>
        </w:trPr>
        <w:tc>
          <w:tcPr>
            <w:tcW w:w="1044" w:type="dxa"/>
            <w:vMerge w:val="restart"/>
            <w:tcBorders>
              <w:top w:val="single" w:sz="4" w:space="0" w:color="auto"/>
              <w:left w:val="single" w:sz="4" w:space="0" w:color="auto"/>
              <w:right w:val="single" w:sz="4" w:space="0" w:color="auto"/>
            </w:tcBorders>
            <w:vAlign w:val="center"/>
          </w:tcPr>
          <w:p w14:paraId="7C4AC91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生态</w:t>
            </w:r>
          </w:p>
          <w:p w14:paraId="5C12B3E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环境</w:t>
            </w: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548C98AE"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地形地貌</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30CA3D6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59A26B5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46FDAB8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0CAAEEC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r>
      <w:tr w:rsidR="009C353B" w14:paraId="4174D158" w14:textId="77777777">
        <w:trPr>
          <w:trHeight w:val="397"/>
          <w:jc w:val="center"/>
        </w:trPr>
        <w:tc>
          <w:tcPr>
            <w:tcW w:w="1044" w:type="dxa"/>
            <w:vMerge/>
            <w:tcBorders>
              <w:left w:val="single" w:sz="4" w:space="0" w:color="auto"/>
              <w:right w:val="single" w:sz="4" w:space="0" w:color="auto"/>
            </w:tcBorders>
            <w:vAlign w:val="center"/>
          </w:tcPr>
          <w:p w14:paraId="615EBEA2" w14:textId="77777777" w:rsidR="009C353B" w:rsidRDefault="009C353B">
            <w:pPr>
              <w:widowControl/>
              <w:jc w:val="center"/>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0AC428B8"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地表植被</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225AC27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0EE3C5E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532BBA8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4F9FD32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r>
      <w:tr w:rsidR="009C353B" w14:paraId="5749EB13" w14:textId="77777777">
        <w:trPr>
          <w:trHeight w:val="397"/>
          <w:jc w:val="center"/>
        </w:trPr>
        <w:tc>
          <w:tcPr>
            <w:tcW w:w="1044" w:type="dxa"/>
            <w:vMerge/>
            <w:tcBorders>
              <w:left w:val="single" w:sz="4" w:space="0" w:color="auto"/>
              <w:right w:val="single" w:sz="4" w:space="0" w:color="auto"/>
            </w:tcBorders>
            <w:vAlign w:val="center"/>
          </w:tcPr>
          <w:p w14:paraId="398FE3B4" w14:textId="77777777" w:rsidR="009C353B" w:rsidRDefault="009C353B">
            <w:pPr>
              <w:widowControl/>
              <w:jc w:val="center"/>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601F35D9"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生态功能</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2861AE4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4667E1F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1A538F9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12B8D18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r>
      <w:tr w:rsidR="009C353B" w14:paraId="44D39C14" w14:textId="77777777">
        <w:trPr>
          <w:trHeight w:val="397"/>
          <w:jc w:val="center"/>
        </w:trPr>
        <w:tc>
          <w:tcPr>
            <w:tcW w:w="1044" w:type="dxa"/>
            <w:vMerge/>
            <w:tcBorders>
              <w:left w:val="single" w:sz="4" w:space="0" w:color="auto"/>
              <w:bottom w:val="single" w:sz="4" w:space="0" w:color="auto"/>
              <w:right w:val="single" w:sz="4" w:space="0" w:color="auto"/>
            </w:tcBorders>
            <w:vAlign w:val="center"/>
          </w:tcPr>
          <w:p w14:paraId="49CC0DFF" w14:textId="77777777" w:rsidR="009C353B" w:rsidRDefault="009C353B">
            <w:pPr>
              <w:widowControl/>
              <w:jc w:val="center"/>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3441BE2A" w14:textId="77777777" w:rsidR="009C353B" w:rsidRDefault="00000000">
            <w:pPr>
              <w:widowControl/>
              <w:rPr>
                <w:rFonts w:ascii="Times New Roman" w:hAnsi="Times New Roman"/>
                <w:kern w:val="0"/>
                <w:sz w:val="21"/>
                <w:szCs w:val="21"/>
              </w:rPr>
            </w:pPr>
            <w:r>
              <w:rPr>
                <w:rFonts w:ascii="Times New Roman" w:hAnsi="Times New Roman" w:hint="eastAsia"/>
                <w:kern w:val="0"/>
                <w:sz w:val="21"/>
                <w:szCs w:val="21"/>
              </w:rPr>
              <w:t>自然保护区</w:t>
            </w:r>
            <w:r>
              <w:rPr>
                <w:rFonts w:ascii="Times New Roman" w:hAnsi="Times New Roman"/>
                <w:kern w:val="0"/>
                <w:sz w:val="21"/>
                <w:szCs w:val="21"/>
              </w:rPr>
              <w:t>或重点生态功能区组成</w:t>
            </w:r>
            <w:r>
              <w:rPr>
                <w:rFonts w:ascii="Times New Roman" w:hAnsi="Times New Roman" w:hint="eastAsia"/>
                <w:kern w:val="0"/>
                <w:sz w:val="21"/>
                <w:szCs w:val="21"/>
              </w:rPr>
              <w:t>、</w:t>
            </w:r>
            <w:r>
              <w:rPr>
                <w:rFonts w:ascii="Times New Roman" w:hAnsi="Times New Roman"/>
                <w:kern w:val="0"/>
                <w:sz w:val="21"/>
                <w:szCs w:val="21"/>
              </w:rPr>
              <w:t>结构</w:t>
            </w:r>
            <w:r>
              <w:rPr>
                <w:rFonts w:ascii="Times New Roman" w:hAnsi="Times New Roman" w:hint="eastAsia"/>
                <w:kern w:val="0"/>
                <w:sz w:val="21"/>
                <w:szCs w:val="21"/>
              </w:rPr>
              <w:t>、</w:t>
            </w:r>
            <w:r>
              <w:rPr>
                <w:rFonts w:ascii="Times New Roman" w:hAnsi="Times New Roman"/>
                <w:kern w:val="0"/>
                <w:sz w:val="21"/>
                <w:szCs w:val="21"/>
              </w:rPr>
              <w:t>功能</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5929128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17B85A2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16682C5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357AD89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r>
      <w:tr w:rsidR="009C353B" w14:paraId="389A99E8" w14:textId="77777777">
        <w:trPr>
          <w:trHeight w:val="397"/>
          <w:jc w:val="center"/>
        </w:trPr>
        <w:tc>
          <w:tcPr>
            <w:tcW w:w="1044" w:type="dxa"/>
            <w:vMerge w:val="restart"/>
            <w:tcBorders>
              <w:top w:val="single" w:sz="4" w:space="0" w:color="auto"/>
              <w:left w:val="single" w:sz="4" w:space="0" w:color="auto"/>
              <w:right w:val="single" w:sz="4" w:space="0" w:color="auto"/>
            </w:tcBorders>
            <w:vAlign w:val="center"/>
          </w:tcPr>
          <w:p w14:paraId="05177DD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资源</w:t>
            </w:r>
          </w:p>
          <w:p w14:paraId="71435B0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利用</w:t>
            </w:r>
          </w:p>
          <w:p w14:paraId="4007DEA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冲突</w:t>
            </w: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08F68976"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水资源</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75043BF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3E7CA91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4F6F28F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7683C7F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r>
      <w:tr w:rsidR="009C353B" w14:paraId="41AE31F3" w14:textId="77777777">
        <w:trPr>
          <w:trHeight w:val="397"/>
          <w:jc w:val="center"/>
        </w:trPr>
        <w:tc>
          <w:tcPr>
            <w:tcW w:w="1044" w:type="dxa"/>
            <w:vMerge/>
            <w:tcBorders>
              <w:left w:val="single" w:sz="4" w:space="0" w:color="auto"/>
              <w:right w:val="single" w:sz="4" w:space="0" w:color="auto"/>
            </w:tcBorders>
            <w:vAlign w:val="center"/>
          </w:tcPr>
          <w:p w14:paraId="1E0F3106" w14:textId="77777777" w:rsidR="009C353B" w:rsidRDefault="009C353B">
            <w:pPr>
              <w:widowControl/>
              <w:jc w:val="center"/>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47D8818E"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土地资源</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57EEFE4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069DAD8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6A16F5A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0DDBBB5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r>
      <w:tr w:rsidR="009C353B" w14:paraId="1E0FBD79" w14:textId="77777777">
        <w:trPr>
          <w:trHeight w:val="397"/>
          <w:jc w:val="center"/>
        </w:trPr>
        <w:tc>
          <w:tcPr>
            <w:tcW w:w="1044" w:type="dxa"/>
            <w:vMerge w:val="restart"/>
            <w:tcBorders>
              <w:top w:val="single" w:sz="4" w:space="0" w:color="auto"/>
              <w:left w:val="single" w:sz="4" w:space="0" w:color="auto"/>
              <w:bottom w:val="single" w:sz="4" w:space="0" w:color="auto"/>
              <w:right w:val="single" w:sz="4" w:space="0" w:color="auto"/>
            </w:tcBorders>
            <w:vAlign w:val="center"/>
          </w:tcPr>
          <w:p w14:paraId="52BF061A"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社会经济环境</w:t>
            </w: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0559F096"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工业发展</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666F558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582FF36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4298AEF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767C6A8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r>
      <w:tr w:rsidR="009C353B" w14:paraId="3A79ABA7" w14:textId="77777777">
        <w:trPr>
          <w:trHeight w:val="397"/>
          <w:jc w:val="center"/>
        </w:trPr>
        <w:tc>
          <w:tcPr>
            <w:tcW w:w="1044" w:type="dxa"/>
            <w:vMerge/>
            <w:tcBorders>
              <w:top w:val="single" w:sz="4" w:space="0" w:color="auto"/>
              <w:left w:val="single" w:sz="4" w:space="0" w:color="auto"/>
              <w:bottom w:val="single" w:sz="4" w:space="0" w:color="auto"/>
              <w:right w:val="single" w:sz="4" w:space="0" w:color="auto"/>
            </w:tcBorders>
            <w:vAlign w:val="center"/>
          </w:tcPr>
          <w:p w14:paraId="5CE48B52" w14:textId="77777777" w:rsidR="009C353B" w:rsidRDefault="009C353B">
            <w:pPr>
              <w:widowControl/>
              <w:jc w:val="center"/>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46C1A3C0"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农业发展</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0DB3EA3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4A2D4EA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472EE3C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6CE579A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r>
      <w:tr w:rsidR="009C353B" w14:paraId="7AD21573" w14:textId="77777777">
        <w:trPr>
          <w:trHeight w:val="397"/>
          <w:jc w:val="center"/>
        </w:trPr>
        <w:tc>
          <w:tcPr>
            <w:tcW w:w="1044" w:type="dxa"/>
            <w:vMerge/>
            <w:tcBorders>
              <w:top w:val="single" w:sz="4" w:space="0" w:color="auto"/>
              <w:left w:val="single" w:sz="4" w:space="0" w:color="auto"/>
              <w:bottom w:val="single" w:sz="4" w:space="0" w:color="auto"/>
              <w:right w:val="single" w:sz="4" w:space="0" w:color="auto"/>
            </w:tcBorders>
            <w:vAlign w:val="center"/>
          </w:tcPr>
          <w:p w14:paraId="68BAFC5C" w14:textId="77777777" w:rsidR="009C353B" w:rsidRDefault="009C353B">
            <w:pPr>
              <w:widowControl/>
              <w:jc w:val="center"/>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68703554"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基础设施</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33BAC48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1F12A0A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28A8E05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71B2FE4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r>
      <w:tr w:rsidR="009C353B" w14:paraId="6E54DFB4" w14:textId="77777777">
        <w:trPr>
          <w:trHeight w:val="397"/>
          <w:jc w:val="center"/>
        </w:trPr>
        <w:tc>
          <w:tcPr>
            <w:tcW w:w="1044" w:type="dxa"/>
            <w:vMerge w:val="restart"/>
            <w:tcBorders>
              <w:top w:val="single" w:sz="4" w:space="0" w:color="auto"/>
              <w:left w:val="single" w:sz="4" w:space="0" w:color="auto"/>
              <w:bottom w:val="single" w:sz="4" w:space="0" w:color="auto"/>
              <w:right w:val="single" w:sz="4" w:space="0" w:color="auto"/>
            </w:tcBorders>
            <w:vAlign w:val="center"/>
          </w:tcPr>
          <w:p w14:paraId="688DE25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人居</w:t>
            </w:r>
          </w:p>
          <w:p w14:paraId="2632519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环境</w:t>
            </w: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737204F2"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易生物蓄积、长期接触对人体和生物产生危害作用的无机和有机污染物等在水、大气和土壤等介质中的污染水平</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78349CF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1577977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27FA65F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4C26248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r>
      <w:tr w:rsidR="009C353B" w14:paraId="6EF06205" w14:textId="77777777">
        <w:trPr>
          <w:trHeight w:val="397"/>
          <w:jc w:val="center"/>
        </w:trPr>
        <w:tc>
          <w:tcPr>
            <w:tcW w:w="1044" w:type="dxa"/>
            <w:vMerge/>
            <w:tcBorders>
              <w:top w:val="single" w:sz="4" w:space="0" w:color="auto"/>
              <w:left w:val="single" w:sz="4" w:space="0" w:color="auto"/>
              <w:bottom w:val="single" w:sz="4" w:space="0" w:color="auto"/>
              <w:right w:val="single" w:sz="4" w:space="0" w:color="auto"/>
            </w:tcBorders>
            <w:vAlign w:val="center"/>
          </w:tcPr>
          <w:p w14:paraId="4916FC38" w14:textId="77777777" w:rsidR="009C353B" w:rsidRDefault="009C353B">
            <w:pPr>
              <w:widowControl/>
              <w:jc w:val="center"/>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11D6C5B1" w14:textId="77777777" w:rsidR="009C353B" w:rsidRDefault="00000000">
            <w:pPr>
              <w:widowControl/>
              <w:rPr>
                <w:rFonts w:ascii="Times New Roman" w:hAnsi="Times New Roman"/>
                <w:kern w:val="0"/>
                <w:sz w:val="21"/>
                <w:szCs w:val="21"/>
              </w:rPr>
            </w:pPr>
            <w:r>
              <w:rPr>
                <w:rFonts w:ascii="Times New Roman" w:hAnsi="Times New Roman" w:hint="eastAsia"/>
                <w:kern w:val="0"/>
                <w:sz w:val="21"/>
                <w:szCs w:val="21"/>
              </w:rPr>
              <w:t>农牧渔产品污染风险</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776AC68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564E2D5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102E1A6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53B8ADC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r>
      <w:tr w:rsidR="009C353B" w14:paraId="4041D835" w14:textId="77777777">
        <w:trPr>
          <w:trHeight w:val="397"/>
          <w:jc w:val="center"/>
        </w:trPr>
        <w:tc>
          <w:tcPr>
            <w:tcW w:w="1044" w:type="dxa"/>
            <w:vMerge/>
            <w:tcBorders>
              <w:top w:val="single" w:sz="4" w:space="0" w:color="auto"/>
              <w:left w:val="single" w:sz="4" w:space="0" w:color="auto"/>
              <w:bottom w:val="single" w:sz="4" w:space="0" w:color="auto"/>
              <w:right w:val="single" w:sz="4" w:space="0" w:color="auto"/>
            </w:tcBorders>
            <w:vAlign w:val="center"/>
          </w:tcPr>
          <w:p w14:paraId="16ED3DC6" w14:textId="77777777" w:rsidR="009C353B" w:rsidRDefault="009C353B">
            <w:pPr>
              <w:widowControl/>
              <w:jc w:val="center"/>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26679465" w14:textId="77777777" w:rsidR="009C353B" w:rsidRDefault="00000000">
            <w:pPr>
              <w:widowControl/>
              <w:rPr>
                <w:rFonts w:ascii="Times New Roman" w:hAnsi="Times New Roman"/>
                <w:kern w:val="0"/>
                <w:sz w:val="21"/>
                <w:szCs w:val="21"/>
              </w:rPr>
            </w:pPr>
            <w:r>
              <w:rPr>
                <w:rFonts w:ascii="Times New Roman" w:hAnsi="Times New Roman"/>
                <w:kern w:val="0"/>
                <w:sz w:val="21"/>
                <w:szCs w:val="21"/>
              </w:rPr>
              <w:t>人群健康风险</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6EB4BAC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266D9D0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562E462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4845FE8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-1L</w:t>
            </w:r>
          </w:p>
        </w:tc>
      </w:tr>
      <w:tr w:rsidR="009C353B" w14:paraId="4FE9BFF1" w14:textId="77777777">
        <w:trPr>
          <w:trHeight w:val="397"/>
          <w:jc w:val="center"/>
        </w:trPr>
        <w:tc>
          <w:tcPr>
            <w:tcW w:w="1044" w:type="dxa"/>
            <w:vMerge/>
            <w:tcBorders>
              <w:top w:val="single" w:sz="4" w:space="0" w:color="auto"/>
              <w:left w:val="single" w:sz="4" w:space="0" w:color="auto"/>
              <w:bottom w:val="single" w:sz="4" w:space="0" w:color="auto"/>
              <w:right w:val="single" w:sz="4" w:space="0" w:color="auto"/>
            </w:tcBorders>
            <w:vAlign w:val="center"/>
          </w:tcPr>
          <w:p w14:paraId="39104352" w14:textId="77777777" w:rsidR="009C353B" w:rsidRDefault="009C353B">
            <w:pPr>
              <w:widowControl/>
              <w:jc w:val="center"/>
              <w:rPr>
                <w:rFonts w:ascii="Times New Roman" w:hAnsi="Times New Roman"/>
                <w:kern w:val="0"/>
                <w:sz w:val="21"/>
                <w:szCs w:val="21"/>
              </w:rPr>
            </w:pPr>
          </w:p>
        </w:tc>
        <w:tc>
          <w:tcPr>
            <w:tcW w:w="1936" w:type="dxa"/>
            <w:tcBorders>
              <w:top w:val="single" w:sz="4" w:space="0" w:color="auto"/>
              <w:left w:val="single" w:sz="4" w:space="0" w:color="auto"/>
              <w:bottom w:val="single" w:sz="4" w:space="0" w:color="auto"/>
              <w:right w:val="single" w:sz="4" w:space="0" w:color="auto"/>
            </w:tcBorders>
            <w:shd w:val="clear" w:color="auto" w:fill="auto"/>
            <w:vAlign w:val="center"/>
          </w:tcPr>
          <w:p w14:paraId="3FF36101" w14:textId="77777777" w:rsidR="009C353B" w:rsidRDefault="00000000">
            <w:pPr>
              <w:widowControl/>
              <w:adjustRightInd w:val="0"/>
              <w:snapToGrid w:val="0"/>
              <w:spacing w:line="240" w:lineRule="atLeast"/>
              <w:rPr>
                <w:rFonts w:ascii="Times New Roman" w:hAnsi="Times New Roman"/>
                <w:kern w:val="0"/>
                <w:sz w:val="21"/>
                <w:szCs w:val="21"/>
              </w:rPr>
            </w:pPr>
            <w:r>
              <w:rPr>
                <w:rFonts w:ascii="Times New Roman" w:hAnsi="Times New Roman"/>
                <w:kern w:val="0"/>
                <w:sz w:val="21"/>
                <w:szCs w:val="21"/>
              </w:rPr>
              <w:t>居民收入</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76DD3063"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+2L</w:t>
            </w: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1E963BAE"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047C437A" w14:textId="77777777" w:rsidR="009C353B" w:rsidRDefault="00000000">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+1L</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2E355AD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〇</w:t>
            </w:r>
          </w:p>
        </w:tc>
      </w:tr>
    </w:tbl>
    <w:p w14:paraId="55756D58" w14:textId="77777777" w:rsidR="009C353B" w:rsidRDefault="00000000">
      <w:pPr>
        <w:widowControl/>
        <w:ind w:left="420" w:hangingChars="200" w:hanging="420"/>
        <w:rPr>
          <w:rFonts w:cs="宋体" w:hint="eastAsia"/>
          <w:kern w:val="0"/>
          <w:sz w:val="21"/>
          <w:szCs w:val="21"/>
        </w:rPr>
      </w:pPr>
      <w:r>
        <w:rPr>
          <w:rFonts w:cs="宋体" w:hint="eastAsia"/>
          <w:kern w:val="0"/>
          <w:sz w:val="21"/>
          <w:szCs w:val="21"/>
        </w:rPr>
        <w:t>注：</w:t>
      </w:r>
      <w:r>
        <w:rPr>
          <w:rFonts w:ascii="Times New Roman" w:hAnsi="Times New Roman"/>
          <w:kern w:val="0"/>
          <w:sz w:val="21"/>
          <w:szCs w:val="21"/>
        </w:rPr>
        <w:t>+</w:t>
      </w:r>
      <w:r>
        <w:rPr>
          <w:rFonts w:ascii="Times New Roman" w:hAnsi="Times New Roman"/>
          <w:kern w:val="0"/>
          <w:sz w:val="21"/>
          <w:szCs w:val="21"/>
        </w:rPr>
        <w:t>表示有利影响；</w:t>
      </w:r>
      <w:r>
        <w:rPr>
          <w:rFonts w:ascii="Times New Roman" w:hAnsi="Times New Roman"/>
          <w:kern w:val="0"/>
          <w:sz w:val="21"/>
          <w:szCs w:val="21"/>
        </w:rPr>
        <w:t>-</w:t>
      </w:r>
      <w:r>
        <w:rPr>
          <w:rFonts w:ascii="Times New Roman" w:hAnsi="Times New Roman"/>
          <w:kern w:val="0"/>
          <w:sz w:val="21"/>
          <w:szCs w:val="21"/>
        </w:rPr>
        <w:t>表示不利影响；</w:t>
      </w:r>
      <w:r>
        <w:rPr>
          <w:rFonts w:ascii="Times New Roman" w:hAnsi="Times New Roman"/>
          <w:kern w:val="0"/>
          <w:sz w:val="21"/>
          <w:szCs w:val="21"/>
        </w:rPr>
        <w:t>S</w:t>
      </w:r>
      <w:r>
        <w:rPr>
          <w:rFonts w:ascii="Times New Roman" w:hAnsi="Times New Roman"/>
          <w:kern w:val="0"/>
          <w:sz w:val="21"/>
          <w:szCs w:val="21"/>
        </w:rPr>
        <w:t>表示短期影响；</w:t>
      </w:r>
      <w:r>
        <w:rPr>
          <w:rFonts w:ascii="Times New Roman" w:hAnsi="Times New Roman"/>
          <w:kern w:val="0"/>
          <w:sz w:val="21"/>
          <w:szCs w:val="21"/>
        </w:rPr>
        <w:t>L</w:t>
      </w:r>
      <w:r>
        <w:rPr>
          <w:rFonts w:ascii="Times New Roman" w:hAnsi="Times New Roman"/>
          <w:kern w:val="0"/>
          <w:sz w:val="21"/>
          <w:szCs w:val="21"/>
        </w:rPr>
        <w:t>表示长期影响：</w:t>
      </w:r>
      <w:r>
        <w:rPr>
          <w:rFonts w:ascii="Times New Roman" w:hAnsi="Times New Roman"/>
          <w:kern w:val="0"/>
          <w:sz w:val="21"/>
          <w:szCs w:val="21"/>
        </w:rPr>
        <w:t>1</w:t>
      </w:r>
      <w:r>
        <w:rPr>
          <w:rFonts w:ascii="Times New Roman" w:hAnsi="Times New Roman"/>
          <w:kern w:val="0"/>
          <w:sz w:val="21"/>
          <w:szCs w:val="21"/>
        </w:rPr>
        <w:t>、</w:t>
      </w:r>
      <w:r>
        <w:rPr>
          <w:rFonts w:ascii="Times New Roman" w:hAnsi="Times New Roman"/>
          <w:kern w:val="0"/>
          <w:sz w:val="21"/>
          <w:szCs w:val="21"/>
        </w:rPr>
        <w:t>2</w:t>
      </w:r>
      <w:r>
        <w:rPr>
          <w:rFonts w:ascii="Times New Roman" w:hAnsi="Times New Roman"/>
          <w:kern w:val="0"/>
          <w:sz w:val="21"/>
          <w:szCs w:val="21"/>
        </w:rPr>
        <w:t>、</w:t>
      </w:r>
      <w:r>
        <w:rPr>
          <w:rFonts w:ascii="Times New Roman" w:hAnsi="Times New Roman"/>
          <w:kern w:val="0"/>
          <w:sz w:val="21"/>
          <w:szCs w:val="21"/>
        </w:rPr>
        <w:t>3</w:t>
      </w:r>
      <w:r>
        <w:rPr>
          <w:rFonts w:ascii="Times New Roman" w:hAnsi="Times New Roman"/>
          <w:kern w:val="0"/>
          <w:sz w:val="21"/>
          <w:szCs w:val="21"/>
        </w:rPr>
        <w:t>分别表示影响程度轻微、中等、较大</w:t>
      </w:r>
      <w:r>
        <w:rPr>
          <w:rFonts w:ascii="Times New Roman" w:hAnsi="Times New Roman" w:hint="eastAsia"/>
          <w:kern w:val="0"/>
          <w:sz w:val="21"/>
          <w:szCs w:val="21"/>
        </w:rPr>
        <w:t>；</w:t>
      </w:r>
      <w:r>
        <w:rPr>
          <w:rFonts w:ascii="Times New Roman" w:hAnsi="Times New Roman"/>
          <w:kern w:val="0"/>
          <w:sz w:val="21"/>
          <w:szCs w:val="21"/>
        </w:rPr>
        <w:t>〇表示无影响</w:t>
      </w:r>
      <w:r>
        <w:rPr>
          <w:rFonts w:ascii="Times New Roman" w:hAnsi="Times New Roman" w:hint="eastAsia"/>
          <w:kern w:val="0"/>
          <w:sz w:val="21"/>
          <w:szCs w:val="21"/>
        </w:rPr>
        <w:t>。</w:t>
      </w:r>
    </w:p>
    <w:p w14:paraId="14F0BF49" w14:textId="77777777" w:rsidR="009C353B" w:rsidRDefault="00000000">
      <w:pPr>
        <w:pStyle w:val="2"/>
        <w:snapToGrid w:val="0"/>
        <w:spacing w:line="440" w:lineRule="exact"/>
        <w:rPr>
          <w:rFonts w:ascii="Times New Roman" w:eastAsia="宋体" w:hAnsi="Times New Roman"/>
          <w:b/>
          <w:sz w:val="28"/>
        </w:rPr>
      </w:pPr>
      <w:bookmarkStart w:id="216" w:name="_Toc182400991"/>
      <w:bookmarkStart w:id="217" w:name="_Toc59189844"/>
      <w:r>
        <w:rPr>
          <w:rFonts w:ascii="Times New Roman" w:eastAsia="宋体" w:hAnsi="Times New Roman" w:hint="eastAsia"/>
          <w:b/>
          <w:sz w:val="28"/>
        </w:rPr>
        <w:t>5</w:t>
      </w:r>
      <w:r>
        <w:rPr>
          <w:rFonts w:ascii="Times New Roman" w:eastAsia="宋体" w:hAnsi="Times New Roman"/>
          <w:b/>
          <w:sz w:val="28"/>
        </w:rPr>
        <w:t xml:space="preserve">.2 </w:t>
      </w:r>
      <w:r>
        <w:rPr>
          <w:rFonts w:ascii="Times New Roman" w:eastAsia="宋体" w:hAnsi="Times New Roman"/>
          <w:b/>
          <w:sz w:val="28"/>
        </w:rPr>
        <w:t>评价指标体系</w:t>
      </w:r>
      <w:bookmarkEnd w:id="216"/>
      <w:bookmarkEnd w:id="217"/>
    </w:p>
    <w:p w14:paraId="72E6FFB9"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5.2.1 </w:t>
      </w:r>
      <w:r>
        <w:rPr>
          <w:rFonts w:ascii="Times New Roman" w:hAnsi="Times New Roman" w:hint="eastAsia"/>
          <w:sz w:val="24"/>
        </w:rPr>
        <w:t>矿区开发环境目标</w:t>
      </w:r>
      <w:r>
        <w:rPr>
          <w:rFonts w:ascii="Times New Roman" w:hAnsi="Times New Roman"/>
          <w:sz w:val="24"/>
        </w:rPr>
        <w:tab/>
      </w:r>
    </w:p>
    <w:p w14:paraId="22ED62DB"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根据《全国生态功能区划》，横城矿区</w:t>
      </w:r>
      <w:r>
        <w:rPr>
          <w:rFonts w:ascii="Times New Roman"/>
          <w:szCs w:val="24"/>
        </w:rPr>
        <w:t>位于该区划“</w:t>
      </w:r>
      <w:r>
        <w:rPr>
          <w:rFonts w:ascii="Times New Roman"/>
          <w:szCs w:val="24"/>
        </w:rPr>
        <w:t>I-04</w:t>
      </w:r>
      <w:r>
        <w:rPr>
          <w:rFonts w:ascii="Times New Roman" w:hint="eastAsia"/>
          <w:szCs w:val="24"/>
        </w:rPr>
        <w:t>防风固沙</w:t>
      </w:r>
      <w:r>
        <w:rPr>
          <w:rFonts w:ascii="Times New Roman"/>
          <w:szCs w:val="24"/>
        </w:rPr>
        <w:t>功能区”内的“</w:t>
      </w:r>
      <w:r>
        <w:rPr>
          <w:rFonts w:ascii="Times New Roman"/>
          <w:szCs w:val="24"/>
        </w:rPr>
        <w:t>I-04-10</w:t>
      </w:r>
      <w:r>
        <w:rPr>
          <w:rFonts w:ascii="Times New Roman" w:hint="eastAsia"/>
          <w:szCs w:val="24"/>
        </w:rPr>
        <w:t>鄂尔多斯高原西南部防风固沙功能区</w:t>
      </w:r>
      <w:r>
        <w:rPr>
          <w:rFonts w:ascii="Times New Roman"/>
          <w:szCs w:val="24"/>
        </w:rPr>
        <w:t>”。</w:t>
      </w:r>
      <w:r>
        <w:rPr>
          <w:rFonts w:ascii="Times New Roman" w:hint="eastAsia"/>
          <w:szCs w:val="24"/>
        </w:rPr>
        <w:t>根据《宁夏回族自治区生态功能区划》，横城矿区中马莲台属于</w:t>
      </w:r>
      <w:r>
        <w:rPr>
          <w:rFonts w:ascii="Times New Roman" w:hint="eastAsia"/>
          <w:szCs w:val="24"/>
        </w:rPr>
        <w:t>I</w:t>
      </w:r>
      <w:r>
        <w:rPr>
          <w:rFonts w:ascii="Times New Roman"/>
          <w:szCs w:val="24"/>
        </w:rPr>
        <w:t>I1-2</w:t>
      </w:r>
      <w:r>
        <w:rPr>
          <w:rFonts w:ascii="Times New Roman"/>
          <w:szCs w:val="24"/>
        </w:rPr>
        <w:t>灵盐中北部防沙治沙生态功能区</w:t>
      </w:r>
      <w:r>
        <w:rPr>
          <w:rFonts w:ascii="Times New Roman" w:hint="eastAsia"/>
          <w:szCs w:val="24"/>
        </w:rPr>
        <w:t>，其他矿井属于</w:t>
      </w:r>
      <w:r>
        <w:rPr>
          <w:rFonts w:ascii="Times New Roman"/>
          <w:szCs w:val="24"/>
        </w:rPr>
        <w:t>II1</w:t>
      </w:r>
      <w:r>
        <w:rPr>
          <w:rFonts w:ascii="Times New Roman" w:hint="eastAsia"/>
          <w:szCs w:val="24"/>
        </w:rPr>
        <w:t>-</w:t>
      </w:r>
      <w:r>
        <w:rPr>
          <w:rFonts w:ascii="Times New Roman"/>
          <w:szCs w:val="24"/>
        </w:rPr>
        <w:t>3</w:t>
      </w:r>
      <w:r>
        <w:rPr>
          <w:rFonts w:ascii="Times New Roman"/>
          <w:szCs w:val="24"/>
        </w:rPr>
        <w:t>白芨滩柠条及沙生植被自然保护生态功能区</w:t>
      </w:r>
      <w:r>
        <w:rPr>
          <w:rFonts w:ascii="Times New Roman" w:hint="eastAsia"/>
          <w:szCs w:val="24"/>
        </w:rPr>
        <w:t>。</w:t>
      </w:r>
    </w:p>
    <w:p w14:paraId="07F62EC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矿区位于宁夏灵武市宁东镇，属于自治区级重点开发区域，矿区所属宁东基地是国家重要的大型煤炭生产基地。</w:t>
      </w:r>
      <w:r>
        <w:rPr>
          <w:rFonts w:ascii="Times New Roman" w:hAnsi="Times New Roman"/>
        </w:rPr>
        <w:t>矿区开发建设必须以</w:t>
      </w:r>
      <w:r>
        <w:rPr>
          <w:rFonts w:ascii="Times New Roman" w:hAnsi="Times New Roman" w:hint="eastAsia"/>
        </w:rPr>
        <w:t>《全国</w:t>
      </w:r>
      <w:r>
        <w:rPr>
          <w:rFonts w:ascii="Times New Roman" w:hAnsi="Times New Roman"/>
        </w:rPr>
        <w:t>主体功能区规划</w:t>
      </w:r>
      <w:r>
        <w:rPr>
          <w:rFonts w:ascii="Times New Roman" w:hAnsi="Times New Roman" w:hint="eastAsia"/>
        </w:rPr>
        <w:t>》、</w:t>
      </w:r>
      <w:r>
        <w:rPr>
          <w:rFonts w:ascii="Times New Roman" w:hAnsi="Times New Roman"/>
        </w:rPr>
        <w:t>《</w:t>
      </w:r>
      <w:r>
        <w:rPr>
          <w:rFonts w:ascii="Times New Roman" w:hAnsi="Times New Roman" w:hint="eastAsia"/>
        </w:rPr>
        <w:t>宁夏回族</w:t>
      </w:r>
      <w:r>
        <w:rPr>
          <w:rFonts w:ascii="Times New Roman" w:hAnsi="Times New Roman"/>
        </w:rPr>
        <w:t>自治区主体功能区规划》为指导，开发矿产资源、建设基础设施</w:t>
      </w:r>
      <w:r>
        <w:rPr>
          <w:rFonts w:ascii="Times New Roman" w:hAnsi="Times New Roman" w:hint="eastAsia"/>
        </w:rPr>
        <w:t>时</w:t>
      </w:r>
      <w:r>
        <w:rPr>
          <w:rFonts w:ascii="Times New Roman" w:hAnsi="Times New Roman"/>
        </w:rPr>
        <w:t>，都要控制在尽可能小的空间范围之内。做到草地、林地、水库水域、河流水面等绿色生态空间面积不减少，控制新增道路、</w:t>
      </w:r>
      <w:r>
        <w:rPr>
          <w:rFonts w:ascii="Times New Roman" w:hAnsi="Times New Roman" w:hint="eastAsia"/>
        </w:rPr>
        <w:t>减少</w:t>
      </w:r>
      <w:r>
        <w:rPr>
          <w:rFonts w:ascii="Times New Roman" w:hAnsi="Times New Roman"/>
        </w:rPr>
        <w:t>占地。</w:t>
      </w:r>
    </w:p>
    <w:p w14:paraId="0A6D12C9"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5.2.2 </w:t>
      </w:r>
      <w:r>
        <w:rPr>
          <w:rFonts w:ascii="Times New Roman" w:hAnsi="Times New Roman" w:hint="eastAsia"/>
          <w:sz w:val="24"/>
        </w:rPr>
        <w:t>矿区开发环境指标</w:t>
      </w:r>
      <w:r>
        <w:rPr>
          <w:rFonts w:ascii="Times New Roman" w:hAnsi="Times New Roman"/>
          <w:sz w:val="24"/>
        </w:rPr>
        <w:tab/>
      </w:r>
    </w:p>
    <w:p w14:paraId="15766CF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通过前述规划分析、区域环境现状和存在的问题、环境影响识别和主要资源环境限制因子的确定等过程，针对重点评价对象和评价因子，从自然环境、社会环境和经济环境三方面构建本次规划环评的指标体系。</w:t>
      </w:r>
    </w:p>
    <w:p w14:paraId="7B3FA95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资源能源利用指标主要依据《</w:t>
      </w:r>
      <w:r>
        <w:rPr>
          <w:rFonts w:ascii="Times New Roman" w:hAnsi="Times New Roman" w:hint="eastAsia"/>
        </w:rPr>
        <w:t>煤炭采选业清洁生产评价指标体系</w:t>
      </w:r>
      <w:r>
        <w:rPr>
          <w:rFonts w:ascii="Times New Roman" w:hAnsi="Times New Roman"/>
        </w:rPr>
        <w:t>》</w:t>
      </w:r>
      <w:r>
        <w:rPr>
          <w:rFonts w:ascii="Times New Roman" w:hAnsi="Times New Roman"/>
          <w:szCs w:val="24"/>
        </w:rPr>
        <w:t>要求矿区规划新建煤矿项目均应采用现代化技术工艺，清洁生产水平达到</w:t>
      </w:r>
      <w:r>
        <w:rPr>
          <w:rFonts w:ascii="Times New Roman" w:hAnsi="Times New Roman" w:hint="eastAsia"/>
          <w:szCs w:val="24"/>
        </w:rPr>
        <w:t>Ⅰ级即国际清洁生产领先水平</w:t>
      </w:r>
      <w:r>
        <w:rPr>
          <w:rFonts w:ascii="Times New Roman" w:hAnsi="Times New Roman"/>
          <w:szCs w:val="24"/>
        </w:rPr>
        <w:t>。</w:t>
      </w:r>
      <w:r>
        <w:rPr>
          <w:rFonts w:ascii="Times New Roman" w:hAnsi="Times New Roman"/>
        </w:rPr>
        <w:t>环境要素相关的评价指标则主要依据《</w:t>
      </w:r>
      <w:r>
        <w:rPr>
          <w:rFonts w:ascii="Times New Roman" w:hAnsi="Times New Roman" w:hint="eastAsia"/>
        </w:rPr>
        <w:t>银川市国民经济和社会发展第十三个五年规划纲要</w:t>
      </w:r>
      <w:r>
        <w:rPr>
          <w:rFonts w:ascii="Times New Roman" w:hAnsi="Times New Roman"/>
        </w:rPr>
        <w:t>》等相关标准进行构建，要求单位产品的能耗、水耗、物耗以及污染物排放达到国际先进水平。具体见表</w:t>
      </w:r>
      <w:r>
        <w:rPr>
          <w:rFonts w:ascii="Times New Roman" w:hAnsi="Times New Roman"/>
        </w:rPr>
        <w:t>5.2-1</w:t>
      </w:r>
      <w:r>
        <w:rPr>
          <w:rFonts w:ascii="Times New Roman" w:hAnsi="Times New Roman"/>
        </w:rPr>
        <w:t>。</w:t>
      </w:r>
    </w:p>
    <w:p w14:paraId="5450EF89" w14:textId="77777777" w:rsidR="009C353B" w:rsidRDefault="009C353B">
      <w:pPr>
        <w:adjustRightInd w:val="0"/>
        <w:snapToGrid w:val="0"/>
        <w:spacing w:line="440" w:lineRule="exact"/>
        <w:ind w:firstLineChars="200" w:firstLine="480"/>
        <w:rPr>
          <w:rFonts w:ascii="Times New Roman" w:hAnsi="Times New Roman"/>
        </w:rPr>
      </w:pPr>
    </w:p>
    <w:p w14:paraId="40022EC4" w14:textId="77777777" w:rsidR="009C353B" w:rsidRDefault="009C353B">
      <w:pPr>
        <w:adjustRightInd w:val="0"/>
        <w:snapToGrid w:val="0"/>
        <w:spacing w:line="440" w:lineRule="exact"/>
        <w:ind w:firstLineChars="200" w:firstLine="480"/>
        <w:rPr>
          <w:rFonts w:ascii="Times New Roman" w:hAnsi="Times New Roman"/>
        </w:rPr>
      </w:pPr>
    </w:p>
    <w:p w14:paraId="2EC8E06F" w14:textId="77777777" w:rsidR="009C353B" w:rsidRDefault="009C353B">
      <w:pPr>
        <w:adjustRightInd w:val="0"/>
        <w:snapToGrid w:val="0"/>
        <w:spacing w:line="440" w:lineRule="exact"/>
        <w:ind w:firstLineChars="200" w:firstLine="480"/>
        <w:rPr>
          <w:rFonts w:ascii="Times New Roman" w:hAnsi="Times New Roman"/>
        </w:rPr>
      </w:pPr>
    </w:p>
    <w:p w14:paraId="6B56C3E2" w14:textId="77777777" w:rsidR="009C353B" w:rsidRDefault="009C353B">
      <w:pPr>
        <w:adjustRightInd w:val="0"/>
        <w:snapToGrid w:val="0"/>
        <w:spacing w:line="440" w:lineRule="exact"/>
        <w:ind w:firstLineChars="200" w:firstLine="480"/>
        <w:rPr>
          <w:rFonts w:ascii="Times New Roman" w:hAnsi="Times New Roman"/>
        </w:rPr>
      </w:pPr>
    </w:p>
    <w:p w14:paraId="7AA5B2D4" w14:textId="77777777" w:rsidR="009C353B" w:rsidRDefault="009C353B">
      <w:pPr>
        <w:adjustRightInd w:val="0"/>
        <w:snapToGrid w:val="0"/>
        <w:spacing w:line="440" w:lineRule="exact"/>
        <w:ind w:firstLineChars="200" w:firstLine="480"/>
        <w:rPr>
          <w:rFonts w:ascii="Times New Roman" w:hAnsi="Times New Roman"/>
        </w:rPr>
      </w:pPr>
    </w:p>
    <w:p w14:paraId="41CA676D" w14:textId="77777777" w:rsidR="009C353B" w:rsidRDefault="009C353B">
      <w:pPr>
        <w:adjustRightInd w:val="0"/>
        <w:snapToGrid w:val="0"/>
        <w:spacing w:line="440" w:lineRule="exact"/>
        <w:ind w:firstLineChars="200" w:firstLine="480"/>
        <w:rPr>
          <w:rFonts w:ascii="Times New Roman" w:hAnsi="Times New Roman"/>
        </w:rPr>
      </w:pPr>
    </w:p>
    <w:p w14:paraId="0CEE968B" w14:textId="77777777" w:rsidR="009C353B" w:rsidRDefault="009C353B">
      <w:pPr>
        <w:adjustRightInd w:val="0"/>
        <w:snapToGrid w:val="0"/>
        <w:spacing w:line="440" w:lineRule="exact"/>
        <w:ind w:firstLineChars="200" w:firstLine="480"/>
        <w:rPr>
          <w:rFonts w:ascii="Times New Roman" w:hAnsi="Times New Roman"/>
        </w:rPr>
      </w:pPr>
    </w:p>
    <w:p w14:paraId="38121316" w14:textId="77777777" w:rsidR="009C353B" w:rsidRDefault="009C353B">
      <w:pPr>
        <w:adjustRightInd w:val="0"/>
        <w:snapToGrid w:val="0"/>
        <w:spacing w:line="440" w:lineRule="exact"/>
        <w:ind w:firstLineChars="200" w:firstLine="480"/>
        <w:rPr>
          <w:rFonts w:ascii="Times New Roman" w:hAnsi="Times New Roman"/>
        </w:rPr>
      </w:pPr>
    </w:p>
    <w:p w14:paraId="2872FC80" w14:textId="77777777" w:rsidR="009C353B" w:rsidRDefault="009C353B">
      <w:pPr>
        <w:adjustRightInd w:val="0"/>
        <w:snapToGrid w:val="0"/>
        <w:spacing w:line="440" w:lineRule="exact"/>
        <w:ind w:firstLineChars="200" w:firstLine="480"/>
        <w:rPr>
          <w:rFonts w:ascii="Times New Roman" w:hAnsi="Times New Roman"/>
        </w:rPr>
      </w:pPr>
    </w:p>
    <w:p w14:paraId="5E4D753E" w14:textId="77777777" w:rsidR="009C353B" w:rsidRDefault="009C353B">
      <w:pPr>
        <w:adjustRightInd w:val="0"/>
        <w:snapToGrid w:val="0"/>
        <w:spacing w:line="440" w:lineRule="exact"/>
        <w:ind w:firstLineChars="200" w:firstLine="480"/>
        <w:rPr>
          <w:rFonts w:ascii="Times New Roman" w:hAnsi="Times New Roman"/>
        </w:rPr>
      </w:pPr>
    </w:p>
    <w:p w14:paraId="5C97B4F2" w14:textId="77777777" w:rsidR="009C353B" w:rsidRDefault="00000000">
      <w:pPr>
        <w:pStyle w:val="affffff0"/>
        <w:adjustRightInd w:val="0"/>
        <w:spacing w:line="440" w:lineRule="exact"/>
        <w:jc w:val="center"/>
        <w:rPr>
          <w:rFonts w:ascii="Times New Roman" w:hAnsi="Times New Roman"/>
          <w:kern w:val="0"/>
        </w:rPr>
      </w:pPr>
      <w:r>
        <w:rPr>
          <w:rFonts w:ascii="Times New Roman" w:hAnsi="Times New Roman"/>
          <w:kern w:val="0"/>
        </w:rPr>
        <w:t>矿区规划环境影响评价指标</w:t>
      </w:r>
    </w:p>
    <w:p w14:paraId="4305978F" w14:textId="77777777" w:rsidR="009C353B" w:rsidRDefault="00000000">
      <w:pPr>
        <w:pStyle w:val="affffd"/>
        <w:spacing w:line="440" w:lineRule="exact"/>
        <w:ind w:firstLineChars="50" w:firstLine="120"/>
        <w:rPr>
          <w:rFonts w:ascii="Times New Roman" w:hAnsi="Times New Roman"/>
        </w:rPr>
      </w:pPr>
      <w:r>
        <w:rPr>
          <w:rFonts w:ascii="Times New Roman" w:hAnsi="Times New Roman"/>
        </w:rPr>
        <w:t>表</w:t>
      </w:r>
      <w:r>
        <w:rPr>
          <w:rFonts w:ascii="Times New Roman" w:hAnsi="Times New Roman" w:hint="eastAsia"/>
        </w:rPr>
        <w:t>5</w:t>
      </w:r>
      <w:r>
        <w:rPr>
          <w:rFonts w:ascii="Times New Roman" w:hAnsi="Times New Roman"/>
        </w:rPr>
        <w:t>.2-1</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8"/>
        <w:gridCol w:w="1275"/>
        <w:gridCol w:w="994"/>
        <w:gridCol w:w="2408"/>
        <w:gridCol w:w="1701"/>
        <w:gridCol w:w="1560"/>
      </w:tblGrid>
      <w:tr w:rsidR="009C353B" w14:paraId="732DBE53" w14:textId="77777777">
        <w:trPr>
          <w:trHeight w:val="674"/>
          <w:tblHeader/>
          <w:jc w:val="center"/>
        </w:trPr>
        <w:tc>
          <w:tcPr>
            <w:tcW w:w="988" w:type="dxa"/>
            <w:vAlign w:val="center"/>
          </w:tcPr>
          <w:p w14:paraId="4894152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环境目标</w:t>
            </w:r>
          </w:p>
        </w:tc>
        <w:tc>
          <w:tcPr>
            <w:tcW w:w="4677" w:type="dxa"/>
            <w:gridSpan w:val="3"/>
            <w:vAlign w:val="center"/>
          </w:tcPr>
          <w:p w14:paraId="73FC489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评价指标</w:t>
            </w:r>
          </w:p>
        </w:tc>
        <w:tc>
          <w:tcPr>
            <w:tcW w:w="1701" w:type="dxa"/>
            <w:vAlign w:val="center"/>
          </w:tcPr>
          <w:p w14:paraId="3079B76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评价标准值</w:t>
            </w:r>
          </w:p>
        </w:tc>
        <w:tc>
          <w:tcPr>
            <w:tcW w:w="1560" w:type="dxa"/>
            <w:vAlign w:val="center"/>
          </w:tcPr>
          <w:p w14:paraId="487CB4B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依据</w:t>
            </w:r>
          </w:p>
        </w:tc>
      </w:tr>
      <w:tr w:rsidR="009C353B" w14:paraId="3F8D6ABC" w14:textId="77777777">
        <w:trPr>
          <w:trHeight w:val="408"/>
          <w:jc w:val="center"/>
        </w:trPr>
        <w:tc>
          <w:tcPr>
            <w:tcW w:w="988" w:type="dxa"/>
            <w:vMerge w:val="restart"/>
            <w:vAlign w:val="center"/>
          </w:tcPr>
          <w:p w14:paraId="3CEB5AE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资源开发利用</w:t>
            </w:r>
          </w:p>
        </w:tc>
        <w:tc>
          <w:tcPr>
            <w:tcW w:w="1275" w:type="dxa"/>
            <w:vMerge w:val="restart"/>
            <w:vAlign w:val="center"/>
          </w:tcPr>
          <w:p w14:paraId="2C0C4224"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生产工艺及装备指标</w:t>
            </w:r>
          </w:p>
        </w:tc>
        <w:tc>
          <w:tcPr>
            <w:tcW w:w="3402" w:type="dxa"/>
            <w:gridSpan w:val="2"/>
            <w:vAlign w:val="center"/>
          </w:tcPr>
          <w:p w14:paraId="6D522535"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煤矿机械化采煤比例</w:t>
            </w:r>
            <w:r>
              <w:rPr>
                <w:rFonts w:ascii="Times New Roman" w:hAnsi="Times New Roman"/>
                <w:sz w:val="21"/>
                <w:szCs w:val="21"/>
              </w:rPr>
              <w:t>（％）</w:t>
            </w:r>
          </w:p>
        </w:tc>
        <w:tc>
          <w:tcPr>
            <w:tcW w:w="1701" w:type="dxa"/>
            <w:vAlign w:val="center"/>
          </w:tcPr>
          <w:p w14:paraId="036A630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≥95</w:t>
            </w:r>
          </w:p>
        </w:tc>
        <w:tc>
          <w:tcPr>
            <w:tcW w:w="1560" w:type="dxa"/>
            <w:vMerge w:val="restart"/>
            <w:vAlign w:val="center"/>
          </w:tcPr>
          <w:p w14:paraId="2366F33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r>
              <w:rPr>
                <w:rFonts w:ascii="Times New Roman" w:hAnsi="Times New Roman" w:hint="eastAsia"/>
                <w:sz w:val="21"/>
                <w:szCs w:val="21"/>
              </w:rPr>
              <w:t>煤炭采选业清洁生产评价指标体系</w:t>
            </w:r>
            <w:r>
              <w:rPr>
                <w:rFonts w:ascii="Times New Roman" w:hAnsi="Times New Roman"/>
                <w:sz w:val="21"/>
                <w:szCs w:val="21"/>
              </w:rPr>
              <w:t>》</w:t>
            </w:r>
          </w:p>
        </w:tc>
      </w:tr>
      <w:tr w:rsidR="009C353B" w14:paraId="38EFAD5A" w14:textId="77777777">
        <w:trPr>
          <w:trHeight w:val="408"/>
          <w:jc w:val="center"/>
        </w:trPr>
        <w:tc>
          <w:tcPr>
            <w:tcW w:w="988" w:type="dxa"/>
            <w:vMerge/>
            <w:vAlign w:val="center"/>
          </w:tcPr>
          <w:p w14:paraId="2F447B66"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713ECE5F" w14:textId="77777777" w:rsidR="009C353B" w:rsidRDefault="009C353B">
            <w:pPr>
              <w:adjustRightInd w:val="0"/>
              <w:snapToGrid w:val="0"/>
              <w:spacing w:line="240" w:lineRule="atLeast"/>
              <w:rPr>
                <w:rFonts w:ascii="Times New Roman" w:hAnsi="Times New Roman"/>
                <w:sz w:val="21"/>
                <w:szCs w:val="21"/>
              </w:rPr>
            </w:pPr>
          </w:p>
        </w:tc>
        <w:tc>
          <w:tcPr>
            <w:tcW w:w="3402" w:type="dxa"/>
            <w:gridSpan w:val="2"/>
            <w:vAlign w:val="center"/>
          </w:tcPr>
          <w:p w14:paraId="117FF5F2"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原煤入选率（％）</w:t>
            </w:r>
          </w:p>
        </w:tc>
        <w:tc>
          <w:tcPr>
            <w:tcW w:w="1701" w:type="dxa"/>
            <w:vAlign w:val="center"/>
          </w:tcPr>
          <w:p w14:paraId="750AF9E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4121636A"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768C50EE" w14:textId="77777777">
        <w:trPr>
          <w:trHeight w:val="425"/>
          <w:jc w:val="center"/>
        </w:trPr>
        <w:tc>
          <w:tcPr>
            <w:tcW w:w="988" w:type="dxa"/>
            <w:vMerge/>
            <w:vAlign w:val="center"/>
          </w:tcPr>
          <w:p w14:paraId="5DDA3959"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restart"/>
            <w:vAlign w:val="center"/>
          </w:tcPr>
          <w:p w14:paraId="17D6FB81"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资源能源消耗指标</w:t>
            </w:r>
          </w:p>
        </w:tc>
        <w:tc>
          <w:tcPr>
            <w:tcW w:w="994" w:type="dxa"/>
            <w:vMerge w:val="restart"/>
            <w:vAlign w:val="center"/>
          </w:tcPr>
          <w:p w14:paraId="2D7B341E"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采区回采率（％）</w:t>
            </w:r>
          </w:p>
        </w:tc>
        <w:tc>
          <w:tcPr>
            <w:tcW w:w="2408" w:type="dxa"/>
            <w:vAlign w:val="center"/>
          </w:tcPr>
          <w:p w14:paraId="6A8B3BD6"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薄煤层资源回采率</w:t>
            </w:r>
          </w:p>
        </w:tc>
        <w:tc>
          <w:tcPr>
            <w:tcW w:w="1701" w:type="dxa"/>
            <w:vAlign w:val="center"/>
          </w:tcPr>
          <w:p w14:paraId="7A8371E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≥85</w:t>
            </w:r>
          </w:p>
        </w:tc>
        <w:tc>
          <w:tcPr>
            <w:tcW w:w="1560" w:type="dxa"/>
            <w:vMerge/>
            <w:vAlign w:val="center"/>
          </w:tcPr>
          <w:p w14:paraId="1FB4CF95"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37C89AB0" w14:textId="77777777">
        <w:trPr>
          <w:trHeight w:val="397"/>
          <w:jc w:val="center"/>
        </w:trPr>
        <w:tc>
          <w:tcPr>
            <w:tcW w:w="988" w:type="dxa"/>
            <w:vMerge/>
            <w:vAlign w:val="center"/>
          </w:tcPr>
          <w:p w14:paraId="0009B772"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0FCF42FE" w14:textId="77777777" w:rsidR="009C353B" w:rsidRDefault="009C353B">
            <w:pPr>
              <w:adjustRightInd w:val="0"/>
              <w:snapToGrid w:val="0"/>
              <w:spacing w:line="240" w:lineRule="atLeast"/>
              <w:rPr>
                <w:rFonts w:ascii="Times New Roman" w:hAnsi="Times New Roman"/>
                <w:sz w:val="21"/>
                <w:szCs w:val="21"/>
              </w:rPr>
            </w:pPr>
          </w:p>
        </w:tc>
        <w:tc>
          <w:tcPr>
            <w:tcW w:w="994" w:type="dxa"/>
            <w:vMerge/>
            <w:vAlign w:val="center"/>
          </w:tcPr>
          <w:p w14:paraId="1D49D50E" w14:textId="77777777" w:rsidR="009C353B" w:rsidRDefault="009C353B">
            <w:pPr>
              <w:adjustRightInd w:val="0"/>
              <w:snapToGrid w:val="0"/>
              <w:spacing w:line="240" w:lineRule="atLeast"/>
              <w:rPr>
                <w:rFonts w:ascii="Times New Roman" w:hAnsi="Times New Roman"/>
                <w:sz w:val="21"/>
                <w:szCs w:val="21"/>
              </w:rPr>
            </w:pPr>
          </w:p>
        </w:tc>
        <w:tc>
          <w:tcPr>
            <w:tcW w:w="2408" w:type="dxa"/>
            <w:vAlign w:val="center"/>
          </w:tcPr>
          <w:p w14:paraId="347F45DC"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中厚煤层资源回采率</w:t>
            </w:r>
          </w:p>
        </w:tc>
        <w:tc>
          <w:tcPr>
            <w:tcW w:w="1701" w:type="dxa"/>
            <w:vAlign w:val="center"/>
          </w:tcPr>
          <w:p w14:paraId="11A7CD0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≥80</w:t>
            </w:r>
          </w:p>
        </w:tc>
        <w:tc>
          <w:tcPr>
            <w:tcW w:w="1560" w:type="dxa"/>
            <w:vMerge/>
            <w:vAlign w:val="center"/>
          </w:tcPr>
          <w:p w14:paraId="6D718A04"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1373F42E" w14:textId="77777777">
        <w:trPr>
          <w:trHeight w:val="397"/>
          <w:jc w:val="center"/>
        </w:trPr>
        <w:tc>
          <w:tcPr>
            <w:tcW w:w="988" w:type="dxa"/>
            <w:vMerge/>
            <w:vAlign w:val="center"/>
          </w:tcPr>
          <w:p w14:paraId="25E326AF"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164FCBC3" w14:textId="77777777" w:rsidR="009C353B" w:rsidRDefault="009C353B">
            <w:pPr>
              <w:adjustRightInd w:val="0"/>
              <w:snapToGrid w:val="0"/>
              <w:spacing w:line="240" w:lineRule="atLeast"/>
              <w:rPr>
                <w:rFonts w:ascii="Times New Roman" w:hAnsi="Times New Roman"/>
                <w:sz w:val="21"/>
                <w:szCs w:val="21"/>
              </w:rPr>
            </w:pPr>
          </w:p>
        </w:tc>
        <w:tc>
          <w:tcPr>
            <w:tcW w:w="994" w:type="dxa"/>
            <w:vMerge/>
            <w:vAlign w:val="center"/>
          </w:tcPr>
          <w:p w14:paraId="0E48B68F" w14:textId="77777777" w:rsidR="009C353B" w:rsidRDefault="009C353B">
            <w:pPr>
              <w:adjustRightInd w:val="0"/>
              <w:snapToGrid w:val="0"/>
              <w:spacing w:line="240" w:lineRule="atLeast"/>
              <w:rPr>
                <w:rFonts w:ascii="Times New Roman" w:hAnsi="Times New Roman"/>
                <w:sz w:val="21"/>
                <w:szCs w:val="21"/>
              </w:rPr>
            </w:pPr>
          </w:p>
        </w:tc>
        <w:tc>
          <w:tcPr>
            <w:tcW w:w="2408" w:type="dxa"/>
            <w:vAlign w:val="center"/>
          </w:tcPr>
          <w:p w14:paraId="169040B4"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厚煤层资源回采率</w:t>
            </w:r>
          </w:p>
        </w:tc>
        <w:tc>
          <w:tcPr>
            <w:tcW w:w="1701" w:type="dxa"/>
            <w:vAlign w:val="center"/>
          </w:tcPr>
          <w:p w14:paraId="370EE81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≥75</w:t>
            </w:r>
          </w:p>
        </w:tc>
        <w:tc>
          <w:tcPr>
            <w:tcW w:w="1560" w:type="dxa"/>
            <w:vMerge/>
            <w:vAlign w:val="center"/>
          </w:tcPr>
          <w:p w14:paraId="51E9DA99"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3822AEA6" w14:textId="77777777">
        <w:trPr>
          <w:trHeight w:val="397"/>
          <w:jc w:val="center"/>
        </w:trPr>
        <w:tc>
          <w:tcPr>
            <w:tcW w:w="988" w:type="dxa"/>
            <w:vMerge/>
            <w:vAlign w:val="center"/>
          </w:tcPr>
          <w:p w14:paraId="626B3EF5"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475B2A53" w14:textId="77777777" w:rsidR="009C353B" w:rsidRDefault="009C353B">
            <w:pPr>
              <w:adjustRightInd w:val="0"/>
              <w:snapToGrid w:val="0"/>
              <w:spacing w:line="240" w:lineRule="atLeast"/>
              <w:rPr>
                <w:rFonts w:ascii="Times New Roman" w:hAnsi="Times New Roman"/>
                <w:sz w:val="21"/>
                <w:szCs w:val="21"/>
              </w:rPr>
            </w:pPr>
          </w:p>
        </w:tc>
        <w:tc>
          <w:tcPr>
            <w:tcW w:w="994" w:type="dxa"/>
            <w:vMerge/>
            <w:vAlign w:val="center"/>
          </w:tcPr>
          <w:p w14:paraId="0F738C85" w14:textId="77777777" w:rsidR="009C353B" w:rsidRDefault="009C353B">
            <w:pPr>
              <w:adjustRightInd w:val="0"/>
              <w:snapToGrid w:val="0"/>
              <w:spacing w:line="240" w:lineRule="atLeast"/>
              <w:rPr>
                <w:rFonts w:ascii="Times New Roman" w:hAnsi="Times New Roman"/>
                <w:sz w:val="21"/>
                <w:szCs w:val="21"/>
              </w:rPr>
            </w:pPr>
          </w:p>
        </w:tc>
        <w:tc>
          <w:tcPr>
            <w:tcW w:w="2408" w:type="dxa"/>
            <w:vAlign w:val="center"/>
          </w:tcPr>
          <w:p w14:paraId="5EE2800A"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矿区资源回采率</w:t>
            </w:r>
          </w:p>
        </w:tc>
        <w:tc>
          <w:tcPr>
            <w:tcW w:w="1701" w:type="dxa"/>
            <w:vAlign w:val="center"/>
          </w:tcPr>
          <w:p w14:paraId="3256E28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≥75</w:t>
            </w:r>
          </w:p>
        </w:tc>
        <w:tc>
          <w:tcPr>
            <w:tcW w:w="1560" w:type="dxa"/>
            <w:vMerge/>
            <w:vAlign w:val="center"/>
          </w:tcPr>
          <w:p w14:paraId="4A3D98FB"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24214A86" w14:textId="77777777">
        <w:trPr>
          <w:trHeight w:val="397"/>
          <w:jc w:val="center"/>
        </w:trPr>
        <w:tc>
          <w:tcPr>
            <w:tcW w:w="988" w:type="dxa"/>
            <w:vMerge/>
            <w:vAlign w:val="center"/>
          </w:tcPr>
          <w:p w14:paraId="2592EB80"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10615522" w14:textId="77777777" w:rsidR="009C353B" w:rsidRDefault="009C353B">
            <w:pPr>
              <w:adjustRightInd w:val="0"/>
              <w:snapToGrid w:val="0"/>
              <w:spacing w:line="240" w:lineRule="atLeast"/>
              <w:rPr>
                <w:rFonts w:ascii="Times New Roman" w:hAnsi="Times New Roman"/>
                <w:sz w:val="21"/>
                <w:szCs w:val="21"/>
              </w:rPr>
            </w:pPr>
          </w:p>
        </w:tc>
        <w:tc>
          <w:tcPr>
            <w:tcW w:w="3402" w:type="dxa"/>
            <w:gridSpan w:val="2"/>
            <w:vAlign w:val="center"/>
          </w:tcPr>
          <w:p w14:paraId="010BC5B5"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原煤生产</w:t>
            </w:r>
            <w:r>
              <w:rPr>
                <w:rFonts w:ascii="Times New Roman" w:hAnsi="Times New Roman"/>
                <w:sz w:val="21"/>
                <w:szCs w:val="21"/>
              </w:rPr>
              <w:t>电耗（</w:t>
            </w:r>
            <w:r>
              <w:rPr>
                <w:rFonts w:ascii="Times New Roman" w:hAnsi="Times New Roman"/>
                <w:sz w:val="21"/>
                <w:szCs w:val="21"/>
              </w:rPr>
              <w:t>kWh/ t</w:t>
            </w:r>
            <w:r>
              <w:rPr>
                <w:rFonts w:ascii="Times New Roman" w:hAnsi="Times New Roman"/>
                <w:sz w:val="21"/>
                <w:szCs w:val="21"/>
              </w:rPr>
              <w:t>煤）</w:t>
            </w:r>
          </w:p>
        </w:tc>
        <w:tc>
          <w:tcPr>
            <w:tcW w:w="1701" w:type="dxa"/>
            <w:vAlign w:val="center"/>
          </w:tcPr>
          <w:p w14:paraId="3BAC67C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≤18</w:t>
            </w:r>
          </w:p>
        </w:tc>
        <w:tc>
          <w:tcPr>
            <w:tcW w:w="1560" w:type="dxa"/>
            <w:vMerge/>
            <w:vAlign w:val="center"/>
          </w:tcPr>
          <w:p w14:paraId="60151707"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71B8D9C5" w14:textId="77777777">
        <w:trPr>
          <w:trHeight w:val="397"/>
          <w:jc w:val="center"/>
        </w:trPr>
        <w:tc>
          <w:tcPr>
            <w:tcW w:w="988" w:type="dxa"/>
            <w:vMerge/>
            <w:vAlign w:val="center"/>
          </w:tcPr>
          <w:p w14:paraId="2C34CE7F" w14:textId="77777777" w:rsidR="009C353B" w:rsidRDefault="009C353B">
            <w:pPr>
              <w:pStyle w:val="affffd"/>
              <w:jc w:val="center"/>
              <w:outlineLvl w:val="9"/>
              <w:rPr>
                <w:rFonts w:ascii="Times New Roman" w:hAnsi="Times New Roman"/>
                <w:sz w:val="21"/>
                <w:szCs w:val="21"/>
              </w:rPr>
            </w:pPr>
          </w:p>
        </w:tc>
        <w:tc>
          <w:tcPr>
            <w:tcW w:w="1275" w:type="dxa"/>
            <w:vMerge/>
            <w:vAlign w:val="center"/>
          </w:tcPr>
          <w:p w14:paraId="00E2B37C" w14:textId="77777777" w:rsidR="009C353B" w:rsidRDefault="009C353B">
            <w:pPr>
              <w:pStyle w:val="affffd"/>
              <w:outlineLvl w:val="9"/>
              <w:rPr>
                <w:rFonts w:ascii="Times New Roman" w:hAnsi="Times New Roman"/>
                <w:sz w:val="21"/>
                <w:szCs w:val="21"/>
              </w:rPr>
            </w:pPr>
          </w:p>
        </w:tc>
        <w:tc>
          <w:tcPr>
            <w:tcW w:w="3402" w:type="dxa"/>
            <w:gridSpan w:val="2"/>
            <w:vAlign w:val="center"/>
          </w:tcPr>
          <w:p w14:paraId="140C4B41"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bCs/>
                <w:sz w:val="21"/>
                <w:szCs w:val="21"/>
              </w:rPr>
              <w:t>原煤生产水耗（不含选煤厂）</w:t>
            </w:r>
          </w:p>
        </w:tc>
        <w:tc>
          <w:tcPr>
            <w:tcW w:w="1701" w:type="dxa"/>
            <w:vAlign w:val="center"/>
          </w:tcPr>
          <w:p w14:paraId="36AFC0BA" w14:textId="77777777" w:rsidR="009C353B" w:rsidRDefault="00000000">
            <w:pPr>
              <w:pStyle w:val="affffd"/>
              <w:jc w:val="center"/>
              <w:outlineLvl w:val="9"/>
              <w:rPr>
                <w:rFonts w:ascii="Times New Roman" w:hAnsi="Times New Roman"/>
                <w:sz w:val="21"/>
                <w:szCs w:val="21"/>
              </w:rPr>
            </w:pPr>
            <w:r>
              <w:rPr>
                <w:rFonts w:ascii="Times New Roman" w:hAnsi="Times New Roman"/>
                <w:sz w:val="21"/>
                <w:szCs w:val="21"/>
              </w:rPr>
              <w:t>≤0.1</w:t>
            </w:r>
          </w:p>
        </w:tc>
        <w:tc>
          <w:tcPr>
            <w:tcW w:w="1560" w:type="dxa"/>
            <w:vMerge/>
            <w:vAlign w:val="center"/>
          </w:tcPr>
          <w:p w14:paraId="0F8162D2" w14:textId="77777777" w:rsidR="009C353B" w:rsidRDefault="009C353B">
            <w:pPr>
              <w:pStyle w:val="affffd"/>
              <w:jc w:val="center"/>
              <w:outlineLvl w:val="9"/>
              <w:rPr>
                <w:rFonts w:ascii="Times New Roman" w:hAnsi="Times New Roman"/>
                <w:sz w:val="21"/>
                <w:szCs w:val="21"/>
              </w:rPr>
            </w:pPr>
          </w:p>
        </w:tc>
      </w:tr>
      <w:tr w:rsidR="009C353B" w14:paraId="3BA6D8FF" w14:textId="77777777">
        <w:trPr>
          <w:trHeight w:val="408"/>
          <w:jc w:val="center"/>
        </w:trPr>
        <w:tc>
          <w:tcPr>
            <w:tcW w:w="988" w:type="dxa"/>
            <w:vMerge/>
            <w:vAlign w:val="center"/>
          </w:tcPr>
          <w:p w14:paraId="5B873F58"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6E95F8A5" w14:textId="77777777" w:rsidR="009C353B" w:rsidRDefault="009C353B">
            <w:pPr>
              <w:adjustRightInd w:val="0"/>
              <w:snapToGrid w:val="0"/>
              <w:spacing w:line="240" w:lineRule="atLeast"/>
              <w:rPr>
                <w:rFonts w:ascii="Times New Roman" w:hAnsi="Times New Roman"/>
                <w:sz w:val="21"/>
                <w:szCs w:val="21"/>
              </w:rPr>
            </w:pPr>
          </w:p>
        </w:tc>
        <w:tc>
          <w:tcPr>
            <w:tcW w:w="3402" w:type="dxa"/>
            <w:gridSpan w:val="2"/>
            <w:vAlign w:val="center"/>
          </w:tcPr>
          <w:p w14:paraId="0A70BE71"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单位入选原煤取水量</w:t>
            </w:r>
            <w:r>
              <w:rPr>
                <w:rFonts w:ascii="Times New Roman" w:hAnsi="Times New Roman"/>
                <w:sz w:val="21"/>
                <w:szCs w:val="21"/>
              </w:rPr>
              <w:t>（</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/t</w:t>
            </w:r>
            <w:r>
              <w:rPr>
                <w:rFonts w:ascii="Times New Roman" w:hAnsi="Times New Roman"/>
                <w:sz w:val="21"/>
                <w:szCs w:val="21"/>
              </w:rPr>
              <w:t>煤）</w:t>
            </w:r>
          </w:p>
        </w:tc>
        <w:tc>
          <w:tcPr>
            <w:tcW w:w="1701" w:type="dxa"/>
            <w:vAlign w:val="center"/>
          </w:tcPr>
          <w:p w14:paraId="2246A92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≤0.1</w:t>
            </w:r>
          </w:p>
        </w:tc>
        <w:tc>
          <w:tcPr>
            <w:tcW w:w="1560" w:type="dxa"/>
            <w:vMerge/>
            <w:vAlign w:val="center"/>
          </w:tcPr>
          <w:p w14:paraId="0BD313AF"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4D82D7B5" w14:textId="77777777">
        <w:trPr>
          <w:trHeight w:val="397"/>
          <w:jc w:val="center"/>
        </w:trPr>
        <w:tc>
          <w:tcPr>
            <w:tcW w:w="988" w:type="dxa"/>
            <w:vMerge/>
            <w:vAlign w:val="center"/>
          </w:tcPr>
          <w:p w14:paraId="0ADF7FDD"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restart"/>
            <w:vAlign w:val="center"/>
          </w:tcPr>
          <w:p w14:paraId="3B38F0D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资源综合利用指标</w:t>
            </w:r>
          </w:p>
        </w:tc>
        <w:tc>
          <w:tcPr>
            <w:tcW w:w="3402" w:type="dxa"/>
            <w:gridSpan w:val="2"/>
            <w:vAlign w:val="center"/>
          </w:tcPr>
          <w:p w14:paraId="127D353D"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当年产生煤矸石综合利用</w:t>
            </w:r>
            <w:r>
              <w:rPr>
                <w:rFonts w:ascii="Times New Roman" w:hAnsi="Times New Roman"/>
                <w:sz w:val="21"/>
                <w:szCs w:val="21"/>
              </w:rPr>
              <w:t>率（％）</w:t>
            </w:r>
          </w:p>
        </w:tc>
        <w:tc>
          <w:tcPr>
            <w:tcW w:w="1701" w:type="dxa"/>
            <w:vAlign w:val="center"/>
          </w:tcPr>
          <w:p w14:paraId="68702EA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≥85</w:t>
            </w:r>
          </w:p>
        </w:tc>
        <w:tc>
          <w:tcPr>
            <w:tcW w:w="1560" w:type="dxa"/>
            <w:vMerge w:val="restart"/>
            <w:vAlign w:val="center"/>
          </w:tcPr>
          <w:p w14:paraId="32BB10D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r>
              <w:rPr>
                <w:rFonts w:ascii="Times New Roman" w:hAnsi="Times New Roman" w:hint="eastAsia"/>
                <w:sz w:val="21"/>
                <w:szCs w:val="21"/>
              </w:rPr>
              <w:t>煤炭采选业清洁生产评价指标体系</w:t>
            </w:r>
            <w:r>
              <w:rPr>
                <w:rFonts w:ascii="Times New Roman" w:hAnsi="Times New Roman"/>
                <w:sz w:val="21"/>
                <w:szCs w:val="21"/>
              </w:rPr>
              <w:t>》</w:t>
            </w:r>
          </w:p>
        </w:tc>
      </w:tr>
      <w:tr w:rsidR="009C353B" w14:paraId="79AEB3A5" w14:textId="77777777">
        <w:trPr>
          <w:trHeight w:val="397"/>
          <w:jc w:val="center"/>
        </w:trPr>
        <w:tc>
          <w:tcPr>
            <w:tcW w:w="988" w:type="dxa"/>
            <w:vMerge/>
            <w:vAlign w:val="center"/>
          </w:tcPr>
          <w:p w14:paraId="2F9A2A66"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48595742"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26754E6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矿井水利用率（％）</w:t>
            </w:r>
            <w:r>
              <w:rPr>
                <w:rFonts w:ascii="Times New Roman" w:hAnsi="Times New Roman" w:hint="eastAsia"/>
                <w:sz w:val="21"/>
                <w:szCs w:val="21"/>
              </w:rPr>
              <w:t>（水资源短缺矿区）</w:t>
            </w:r>
          </w:p>
        </w:tc>
        <w:tc>
          <w:tcPr>
            <w:tcW w:w="1701" w:type="dxa"/>
            <w:vAlign w:val="center"/>
          </w:tcPr>
          <w:p w14:paraId="7D4D8D9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≥95</w:t>
            </w:r>
          </w:p>
        </w:tc>
        <w:tc>
          <w:tcPr>
            <w:tcW w:w="1560" w:type="dxa"/>
            <w:vMerge/>
            <w:vAlign w:val="center"/>
          </w:tcPr>
          <w:p w14:paraId="233D172C"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23F4F3B2" w14:textId="77777777">
        <w:trPr>
          <w:trHeight w:val="455"/>
          <w:jc w:val="center"/>
        </w:trPr>
        <w:tc>
          <w:tcPr>
            <w:tcW w:w="988" w:type="dxa"/>
            <w:vMerge/>
            <w:vAlign w:val="center"/>
          </w:tcPr>
          <w:p w14:paraId="3E2EB7C7"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214D2A6E"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28618F56"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矿区生活污水综合利用</w:t>
            </w:r>
            <w:r>
              <w:rPr>
                <w:rFonts w:ascii="Times New Roman" w:hAnsi="Times New Roman"/>
                <w:sz w:val="21"/>
                <w:szCs w:val="21"/>
              </w:rPr>
              <w:t>率（％）</w:t>
            </w:r>
          </w:p>
        </w:tc>
        <w:tc>
          <w:tcPr>
            <w:tcW w:w="1701" w:type="dxa"/>
            <w:vAlign w:val="center"/>
          </w:tcPr>
          <w:p w14:paraId="41C493C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2D655830"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6ECFDB39" w14:textId="77777777">
        <w:trPr>
          <w:trHeight w:val="948"/>
          <w:jc w:val="center"/>
        </w:trPr>
        <w:tc>
          <w:tcPr>
            <w:tcW w:w="988" w:type="dxa"/>
            <w:vMerge/>
            <w:vAlign w:val="center"/>
          </w:tcPr>
          <w:p w14:paraId="0735A75E"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restart"/>
            <w:vAlign w:val="center"/>
          </w:tcPr>
          <w:p w14:paraId="3062815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资源承载力</w:t>
            </w:r>
          </w:p>
          <w:p w14:paraId="4E0999D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指标</w:t>
            </w:r>
          </w:p>
        </w:tc>
        <w:tc>
          <w:tcPr>
            <w:tcW w:w="3402" w:type="dxa"/>
            <w:gridSpan w:val="2"/>
            <w:vAlign w:val="center"/>
          </w:tcPr>
          <w:p w14:paraId="615E8FE9"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区域水资源承载力</w:t>
            </w:r>
          </w:p>
        </w:tc>
        <w:tc>
          <w:tcPr>
            <w:tcW w:w="1701" w:type="dxa"/>
            <w:vAlign w:val="center"/>
          </w:tcPr>
          <w:p w14:paraId="03C3C533"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可承载，不对区域</w:t>
            </w:r>
            <w:r>
              <w:rPr>
                <w:rFonts w:ascii="Times New Roman" w:hAnsi="Times New Roman"/>
                <w:sz w:val="21"/>
                <w:szCs w:val="21"/>
              </w:rPr>
              <w:t>“</w:t>
            </w:r>
            <w:r>
              <w:rPr>
                <w:rFonts w:ascii="Times New Roman" w:hAnsi="Times New Roman"/>
                <w:sz w:val="21"/>
                <w:szCs w:val="21"/>
              </w:rPr>
              <w:t>三生用水</w:t>
            </w:r>
            <w:r>
              <w:rPr>
                <w:rFonts w:ascii="Times New Roman" w:hAnsi="Times New Roman"/>
                <w:sz w:val="21"/>
                <w:szCs w:val="21"/>
              </w:rPr>
              <w:t>”</w:t>
            </w:r>
            <w:r>
              <w:rPr>
                <w:rFonts w:ascii="Times New Roman" w:hAnsi="Times New Roman"/>
                <w:sz w:val="21"/>
                <w:szCs w:val="21"/>
              </w:rPr>
              <w:t>产生大的影响</w:t>
            </w:r>
          </w:p>
        </w:tc>
        <w:tc>
          <w:tcPr>
            <w:tcW w:w="1560" w:type="dxa"/>
            <w:vMerge w:val="restart"/>
            <w:vAlign w:val="center"/>
          </w:tcPr>
          <w:p w14:paraId="0870EA0E"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本次评价根据《</w:t>
            </w:r>
            <w:r>
              <w:rPr>
                <w:rFonts w:ascii="Times New Roman" w:hAnsi="Times New Roman" w:hint="eastAsia"/>
                <w:sz w:val="21"/>
                <w:szCs w:val="21"/>
              </w:rPr>
              <w:t>煤炭采选业清洁生产评价指标体系</w:t>
            </w:r>
            <w:r>
              <w:rPr>
                <w:rFonts w:ascii="Times New Roman" w:hAnsi="Times New Roman"/>
                <w:sz w:val="21"/>
                <w:szCs w:val="21"/>
              </w:rPr>
              <w:t>》等相关要求提出的评价标准值</w:t>
            </w:r>
          </w:p>
        </w:tc>
      </w:tr>
      <w:tr w:rsidR="009C353B" w14:paraId="0AA3B991" w14:textId="77777777">
        <w:trPr>
          <w:trHeight w:val="998"/>
          <w:jc w:val="center"/>
        </w:trPr>
        <w:tc>
          <w:tcPr>
            <w:tcW w:w="988" w:type="dxa"/>
            <w:vMerge/>
            <w:vAlign w:val="center"/>
          </w:tcPr>
          <w:p w14:paraId="371A0621"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7C69F388"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07B0968E"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区域生态承载力</w:t>
            </w:r>
          </w:p>
        </w:tc>
        <w:tc>
          <w:tcPr>
            <w:tcW w:w="1701" w:type="dxa"/>
            <w:vAlign w:val="center"/>
          </w:tcPr>
          <w:p w14:paraId="1C8C79AA"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使区域生态环境不受大的影响、维持区域生态系统功能</w:t>
            </w:r>
          </w:p>
        </w:tc>
        <w:tc>
          <w:tcPr>
            <w:tcW w:w="1560" w:type="dxa"/>
            <w:vMerge/>
            <w:vAlign w:val="center"/>
          </w:tcPr>
          <w:p w14:paraId="54242B73" w14:textId="77777777" w:rsidR="009C353B" w:rsidRDefault="009C353B">
            <w:pPr>
              <w:adjustRightInd w:val="0"/>
              <w:snapToGrid w:val="0"/>
              <w:spacing w:line="240" w:lineRule="atLeast"/>
              <w:rPr>
                <w:rFonts w:ascii="Times New Roman" w:hAnsi="Times New Roman"/>
                <w:sz w:val="21"/>
                <w:szCs w:val="21"/>
              </w:rPr>
            </w:pPr>
          </w:p>
        </w:tc>
      </w:tr>
      <w:tr w:rsidR="009C353B" w14:paraId="31FF95DF" w14:textId="77777777">
        <w:trPr>
          <w:trHeight w:val="964"/>
          <w:jc w:val="center"/>
        </w:trPr>
        <w:tc>
          <w:tcPr>
            <w:tcW w:w="988" w:type="dxa"/>
            <w:vMerge/>
            <w:vAlign w:val="center"/>
          </w:tcPr>
          <w:p w14:paraId="46129A89"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52BF4FB6"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1061E012"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区域土地资源承载力</w:t>
            </w:r>
          </w:p>
        </w:tc>
        <w:tc>
          <w:tcPr>
            <w:tcW w:w="1701" w:type="dxa"/>
            <w:vAlign w:val="center"/>
          </w:tcPr>
          <w:p w14:paraId="15DDDC0C"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可承载，不对区域土地利用结构产生大的影响</w:t>
            </w:r>
          </w:p>
        </w:tc>
        <w:tc>
          <w:tcPr>
            <w:tcW w:w="1560" w:type="dxa"/>
            <w:vMerge/>
            <w:vAlign w:val="center"/>
          </w:tcPr>
          <w:p w14:paraId="7B4F731A" w14:textId="77777777" w:rsidR="009C353B" w:rsidRDefault="009C353B">
            <w:pPr>
              <w:adjustRightInd w:val="0"/>
              <w:snapToGrid w:val="0"/>
              <w:spacing w:line="240" w:lineRule="atLeast"/>
              <w:rPr>
                <w:rFonts w:ascii="Times New Roman" w:hAnsi="Times New Roman"/>
                <w:sz w:val="21"/>
                <w:szCs w:val="21"/>
              </w:rPr>
            </w:pPr>
          </w:p>
        </w:tc>
      </w:tr>
      <w:tr w:rsidR="009C353B" w14:paraId="5258424C" w14:textId="77777777">
        <w:trPr>
          <w:trHeight w:val="397"/>
          <w:jc w:val="center"/>
        </w:trPr>
        <w:tc>
          <w:tcPr>
            <w:tcW w:w="988" w:type="dxa"/>
            <w:vMerge w:val="restart"/>
            <w:vAlign w:val="center"/>
          </w:tcPr>
          <w:p w14:paraId="3525555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污染</w:t>
            </w:r>
            <w:r>
              <w:rPr>
                <w:rFonts w:ascii="Times New Roman" w:hAnsi="Times New Roman"/>
                <w:sz w:val="21"/>
                <w:szCs w:val="21"/>
              </w:rPr>
              <w:t>防治</w:t>
            </w:r>
          </w:p>
        </w:tc>
        <w:tc>
          <w:tcPr>
            <w:tcW w:w="1275" w:type="dxa"/>
            <w:vMerge w:val="restart"/>
            <w:vAlign w:val="center"/>
          </w:tcPr>
          <w:p w14:paraId="7448CA5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大气污染控制指标</w:t>
            </w:r>
          </w:p>
        </w:tc>
        <w:tc>
          <w:tcPr>
            <w:tcW w:w="3402" w:type="dxa"/>
            <w:gridSpan w:val="2"/>
            <w:vAlign w:val="center"/>
          </w:tcPr>
          <w:p w14:paraId="27867718"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工业废气处理率（％）</w:t>
            </w:r>
          </w:p>
        </w:tc>
        <w:tc>
          <w:tcPr>
            <w:tcW w:w="1701" w:type="dxa"/>
            <w:vAlign w:val="center"/>
          </w:tcPr>
          <w:p w14:paraId="6C939C5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75E0F65D"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5E0260C3" w14:textId="77777777">
        <w:trPr>
          <w:trHeight w:val="397"/>
          <w:jc w:val="center"/>
        </w:trPr>
        <w:tc>
          <w:tcPr>
            <w:tcW w:w="988" w:type="dxa"/>
            <w:vMerge/>
            <w:vAlign w:val="center"/>
          </w:tcPr>
          <w:p w14:paraId="1EF448D6"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1C9AEA73"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7E20F3CC"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大气污染物达标排放率（％）</w:t>
            </w:r>
          </w:p>
        </w:tc>
        <w:tc>
          <w:tcPr>
            <w:tcW w:w="1701" w:type="dxa"/>
            <w:vAlign w:val="center"/>
          </w:tcPr>
          <w:p w14:paraId="5135D7E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19A80632"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4C754B78" w14:textId="77777777">
        <w:trPr>
          <w:trHeight w:val="397"/>
          <w:jc w:val="center"/>
        </w:trPr>
        <w:tc>
          <w:tcPr>
            <w:tcW w:w="988" w:type="dxa"/>
            <w:vMerge/>
            <w:vAlign w:val="center"/>
          </w:tcPr>
          <w:p w14:paraId="1C470650"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restart"/>
            <w:vAlign w:val="center"/>
          </w:tcPr>
          <w:p w14:paraId="6BC9ECF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水污染控制指标</w:t>
            </w:r>
          </w:p>
        </w:tc>
        <w:tc>
          <w:tcPr>
            <w:tcW w:w="3402" w:type="dxa"/>
            <w:gridSpan w:val="2"/>
            <w:vAlign w:val="center"/>
          </w:tcPr>
          <w:p w14:paraId="3C95ECD8"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工业废水及生活污水处理率（％）</w:t>
            </w:r>
          </w:p>
        </w:tc>
        <w:tc>
          <w:tcPr>
            <w:tcW w:w="1701" w:type="dxa"/>
            <w:vAlign w:val="center"/>
          </w:tcPr>
          <w:p w14:paraId="5EABFE3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0743BB4E"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1EAF8F6C" w14:textId="77777777">
        <w:trPr>
          <w:trHeight w:val="397"/>
          <w:jc w:val="center"/>
        </w:trPr>
        <w:tc>
          <w:tcPr>
            <w:tcW w:w="988" w:type="dxa"/>
            <w:vMerge/>
            <w:vAlign w:val="center"/>
          </w:tcPr>
          <w:p w14:paraId="4ADD13E8"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1E5198E7"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3B63A5CB"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水污染物达标排放率（％）</w:t>
            </w:r>
          </w:p>
        </w:tc>
        <w:tc>
          <w:tcPr>
            <w:tcW w:w="1701" w:type="dxa"/>
            <w:vAlign w:val="center"/>
          </w:tcPr>
          <w:p w14:paraId="78DC285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3104C2BD"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4DCDFB1E" w14:textId="77777777">
        <w:trPr>
          <w:trHeight w:val="397"/>
          <w:jc w:val="center"/>
        </w:trPr>
        <w:tc>
          <w:tcPr>
            <w:tcW w:w="988" w:type="dxa"/>
            <w:vMerge/>
            <w:vAlign w:val="center"/>
          </w:tcPr>
          <w:p w14:paraId="501DF601"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restart"/>
            <w:vAlign w:val="center"/>
          </w:tcPr>
          <w:p w14:paraId="2873610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固体废物处置指标</w:t>
            </w:r>
          </w:p>
        </w:tc>
        <w:tc>
          <w:tcPr>
            <w:tcW w:w="3402" w:type="dxa"/>
            <w:gridSpan w:val="2"/>
            <w:vAlign w:val="center"/>
          </w:tcPr>
          <w:p w14:paraId="6D5EFDA5"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煤矸石及煤泥处置率（％）</w:t>
            </w:r>
          </w:p>
        </w:tc>
        <w:tc>
          <w:tcPr>
            <w:tcW w:w="1701" w:type="dxa"/>
            <w:vAlign w:val="center"/>
          </w:tcPr>
          <w:p w14:paraId="70359F8B" w14:textId="77777777" w:rsidR="009C353B" w:rsidRDefault="00000000">
            <w:pPr>
              <w:pStyle w:val="affffd"/>
              <w:jc w:val="center"/>
              <w:outlineLvl w:val="9"/>
              <w:rPr>
                <w:rFonts w:ascii="Times New Roman" w:hAnsi="Times New Roman"/>
                <w:sz w:val="21"/>
                <w:szCs w:val="21"/>
              </w:rPr>
            </w:pPr>
            <w:r>
              <w:rPr>
                <w:rFonts w:ascii="Times New Roman" w:hAnsi="Times New Roman"/>
                <w:sz w:val="21"/>
                <w:szCs w:val="21"/>
              </w:rPr>
              <w:t>100</w:t>
            </w:r>
          </w:p>
        </w:tc>
        <w:tc>
          <w:tcPr>
            <w:tcW w:w="1560" w:type="dxa"/>
            <w:vMerge/>
            <w:vAlign w:val="center"/>
          </w:tcPr>
          <w:p w14:paraId="54369A65" w14:textId="77777777" w:rsidR="009C353B" w:rsidRDefault="009C353B">
            <w:pPr>
              <w:pStyle w:val="affffd"/>
              <w:jc w:val="center"/>
              <w:outlineLvl w:val="9"/>
              <w:rPr>
                <w:rFonts w:ascii="Times New Roman" w:hAnsi="Times New Roman"/>
                <w:sz w:val="21"/>
                <w:szCs w:val="21"/>
              </w:rPr>
            </w:pPr>
          </w:p>
        </w:tc>
      </w:tr>
      <w:tr w:rsidR="009C353B" w14:paraId="1A96A792" w14:textId="77777777">
        <w:trPr>
          <w:trHeight w:val="397"/>
          <w:jc w:val="center"/>
        </w:trPr>
        <w:tc>
          <w:tcPr>
            <w:tcW w:w="988" w:type="dxa"/>
            <w:vMerge/>
            <w:vAlign w:val="center"/>
          </w:tcPr>
          <w:p w14:paraId="72279359" w14:textId="77777777" w:rsidR="009C353B" w:rsidRDefault="009C353B">
            <w:pPr>
              <w:pStyle w:val="affffd"/>
              <w:jc w:val="center"/>
              <w:outlineLvl w:val="9"/>
              <w:rPr>
                <w:rFonts w:ascii="Times New Roman" w:hAnsi="Times New Roman"/>
                <w:sz w:val="21"/>
                <w:szCs w:val="21"/>
              </w:rPr>
            </w:pPr>
          </w:p>
        </w:tc>
        <w:tc>
          <w:tcPr>
            <w:tcW w:w="1275" w:type="dxa"/>
            <w:vMerge/>
            <w:vAlign w:val="center"/>
          </w:tcPr>
          <w:p w14:paraId="734CBB49" w14:textId="77777777" w:rsidR="009C353B" w:rsidRDefault="009C353B">
            <w:pPr>
              <w:pStyle w:val="affffd"/>
              <w:jc w:val="center"/>
              <w:outlineLvl w:val="9"/>
              <w:rPr>
                <w:rFonts w:ascii="Times New Roman" w:hAnsi="Times New Roman"/>
                <w:sz w:val="21"/>
                <w:szCs w:val="21"/>
              </w:rPr>
            </w:pPr>
          </w:p>
        </w:tc>
        <w:tc>
          <w:tcPr>
            <w:tcW w:w="3402" w:type="dxa"/>
            <w:gridSpan w:val="2"/>
            <w:vAlign w:val="center"/>
          </w:tcPr>
          <w:p w14:paraId="61B9C665"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生活垃圾无害化处理率（％）</w:t>
            </w:r>
          </w:p>
        </w:tc>
        <w:tc>
          <w:tcPr>
            <w:tcW w:w="1701" w:type="dxa"/>
            <w:vAlign w:val="center"/>
          </w:tcPr>
          <w:p w14:paraId="2EFCF9A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3A02DAF4"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1B92571F" w14:textId="77777777">
        <w:trPr>
          <w:trHeight w:val="393"/>
          <w:jc w:val="center"/>
        </w:trPr>
        <w:tc>
          <w:tcPr>
            <w:tcW w:w="988" w:type="dxa"/>
            <w:vMerge/>
            <w:vAlign w:val="center"/>
          </w:tcPr>
          <w:p w14:paraId="20A75938"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4F167044"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2ADDC003"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污泥处置率（％）</w:t>
            </w:r>
          </w:p>
        </w:tc>
        <w:tc>
          <w:tcPr>
            <w:tcW w:w="1701" w:type="dxa"/>
            <w:vAlign w:val="center"/>
          </w:tcPr>
          <w:p w14:paraId="181C0EB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076DD508"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5C0B4140" w14:textId="77777777">
        <w:trPr>
          <w:trHeight w:val="397"/>
          <w:jc w:val="center"/>
        </w:trPr>
        <w:tc>
          <w:tcPr>
            <w:tcW w:w="988" w:type="dxa"/>
            <w:vMerge/>
            <w:vAlign w:val="center"/>
          </w:tcPr>
          <w:p w14:paraId="5824F11D"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Align w:val="center"/>
          </w:tcPr>
          <w:p w14:paraId="1C42CFD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噪声环境影响指标</w:t>
            </w:r>
          </w:p>
        </w:tc>
        <w:tc>
          <w:tcPr>
            <w:tcW w:w="3402" w:type="dxa"/>
            <w:gridSpan w:val="2"/>
            <w:vAlign w:val="center"/>
          </w:tcPr>
          <w:p w14:paraId="4A2CFB18"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声环境功能区达标率（％）</w:t>
            </w:r>
          </w:p>
        </w:tc>
        <w:tc>
          <w:tcPr>
            <w:tcW w:w="1701" w:type="dxa"/>
            <w:vAlign w:val="center"/>
          </w:tcPr>
          <w:p w14:paraId="3AA9AF3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1AB2E516"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40CC6690" w14:textId="77777777">
        <w:trPr>
          <w:trHeight w:val="397"/>
          <w:jc w:val="center"/>
        </w:trPr>
        <w:tc>
          <w:tcPr>
            <w:tcW w:w="988" w:type="dxa"/>
            <w:vMerge w:val="restart"/>
            <w:vAlign w:val="center"/>
          </w:tcPr>
          <w:p w14:paraId="36D3204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环境质量改善</w:t>
            </w:r>
          </w:p>
        </w:tc>
        <w:tc>
          <w:tcPr>
            <w:tcW w:w="1275" w:type="dxa"/>
            <w:vAlign w:val="center"/>
          </w:tcPr>
          <w:p w14:paraId="5C8ADA9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环境空气</w:t>
            </w:r>
          </w:p>
        </w:tc>
        <w:tc>
          <w:tcPr>
            <w:tcW w:w="3402" w:type="dxa"/>
            <w:gridSpan w:val="2"/>
            <w:vAlign w:val="center"/>
          </w:tcPr>
          <w:p w14:paraId="55F11B5D"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环境空气质量</w:t>
            </w:r>
            <w:r>
              <w:rPr>
                <w:rFonts w:ascii="Times New Roman" w:hAnsi="Times New Roman" w:hint="eastAsia"/>
                <w:sz w:val="21"/>
                <w:szCs w:val="21"/>
              </w:rPr>
              <w:t>2</w:t>
            </w:r>
            <w:r>
              <w:rPr>
                <w:rFonts w:ascii="Times New Roman" w:hAnsi="Times New Roman" w:hint="eastAsia"/>
                <w:sz w:val="21"/>
                <w:szCs w:val="21"/>
              </w:rPr>
              <w:t>类区达标率</w:t>
            </w:r>
            <w:r>
              <w:rPr>
                <w:rFonts w:ascii="Times New Roman" w:hAnsi="Times New Roman"/>
                <w:sz w:val="21"/>
                <w:szCs w:val="21"/>
              </w:rPr>
              <w:t>（％）</w:t>
            </w:r>
          </w:p>
        </w:tc>
        <w:tc>
          <w:tcPr>
            <w:tcW w:w="1701" w:type="dxa"/>
            <w:vAlign w:val="center"/>
          </w:tcPr>
          <w:p w14:paraId="1DB39B5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0E5A7F25"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7307CBDD" w14:textId="77777777">
        <w:trPr>
          <w:trHeight w:val="397"/>
          <w:jc w:val="center"/>
        </w:trPr>
        <w:tc>
          <w:tcPr>
            <w:tcW w:w="988" w:type="dxa"/>
            <w:vMerge/>
            <w:vAlign w:val="center"/>
          </w:tcPr>
          <w:p w14:paraId="7C877E05"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Align w:val="center"/>
          </w:tcPr>
          <w:p w14:paraId="74FA929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地表水</w:t>
            </w:r>
          </w:p>
        </w:tc>
        <w:tc>
          <w:tcPr>
            <w:tcW w:w="3402" w:type="dxa"/>
            <w:gridSpan w:val="2"/>
            <w:vAlign w:val="center"/>
          </w:tcPr>
          <w:p w14:paraId="4BD729D6"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地表水</w:t>
            </w:r>
            <w:r>
              <w:rPr>
                <w:rFonts w:hint="eastAsia"/>
                <w:sz w:val="21"/>
                <w:szCs w:val="21"/>
              </w:rPr>
              <w:t>Ⅳ</w:t>
            </w:r>
            <w:r>
              <w:rPr>
                <w:rFonts w:ascii="Times New Roman" w:hAnsi="Times New Roman"/>
                <w:sz w:val="21"/>
                <w:szCs w:val="21"/>
              </w:rPr>
              <w:t>类水体</w:t>
            </w:r>
            <w:r>
              <w:rPr>
                <w:rFonts w:ascii="Times New Roman" w:hAnsi="Times New Roman" w:hint="eastAsia"/>
                <w:sz w:val="21"/>
                <w:szCs w:val="21"/>
              </w:rPr>
              <w:t>达标率</w:t>
            </w:r>
            <w:r>
              <w:rPr>
                <w:rFonts w:ascii="Times New Roman" w:hAnsi="Times New Roman"/>
                <w:sz w:val="21"/>
                <w:szCs w:val="21"/>
              </w:rPr>
              <w:t>（％）</w:t>
            </w:r>
          </w:p>
        </w:tc>
        <w:tc>
          <w:tcPr>
            <w:tcW w:w="1701" w:type="dxa"/>
            <w:vAlign w:val="center"/>
          </w:tcPr>
          <w:p w14:paraId="186CD56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2242AD87"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407E1D31" w14:textId="77777777">
        <w:trPr>
          <w:trHeight w:val="397"/>
          <w:jc w:val="center"/>
        </w:trPr>
        <w:tc>
          <w:tcPr>
            <w:tcW w:w="988" w:type="dxa"/>
            <w:vMerge/>
            <w:vAlign w:val="center"/>
          </w:tcPr>
          <w:p w14:paraId="0D24C37E"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Align w:val="center"/>
          </w:tcPr>
          <w:p w14:paraId="566C62F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地下水</w:t>
            </w:r>
          </w:p>
        </w:tc>
        <w:tc>
          <w:tcPr>
            <w:tcW w:w="3402" w:type="dxa"/>
            <w:gridSpan w:val="2"/>
            <w:vAlign w:val="center"/>
          </w:tcPr>
          <w:p w14:paraId="171D34F6"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地</w:t>
            </w:r>
            <w:r>
              <w:rPr>
                <w:rFonts w:ascii="Times New Roman" w:hAnsi="Times New Roman" w:hint="eastAsia"/>
                <w:sz w:val="21"/>
                <w:szCs w:val="21"/>
              </w:rPr>
              <w:t>下</w:t>
            </w:r>
            <w:r>
              <w:rPr>
                <w:rFonts w:ascii="Times New Roman" w:hAnsi="Times New Roman"/>
                <w:sz w:val="21"/>
                <w:szCs w:val="21"/>
              </w:rPr>
              <w:t>水</w:t>
            </w:r>
            <w:r>
              <w:rPr>
                <w:rFonts w:ascii="Times New Roman" w:hAnsi="Times New Roman" w:hint="eastAsia"/>
                <w:sz w:val="21"/>
                <w:szCs w:val="21"/>
              </w:rPr>
              <w:t>I</w:t>
            </w:r>
            <w:r>
              <w:rPr>
                <w:rFonts w:ascii="Times New Roman" w:hAnsi="Times New Roman"/>
                <w:sz w:val="21"/>
                <w:szCs w:val="21"/>
              </w:rPr>
              <w:t>II</w:t>
            </w:r>
            <w:r>
              <w:rPr>
                <w:rFonts w:ascii="Times New Roman" w:hAnsi="Times New Roman"/>
                <w:sz w:val="21"/>
                <w:szCs w:val="21"/>
              </w:rPr>
              <w:t>类水</w:t>
            </w:r>
            <w:r>
              <w:rPr>
                <w:rFonts w:ascii="Times New Roman" w:hAnsi="Times New Roman" w:hint="eastAsia"/>
                <w:sz w:val="21"/>
                <w:szCs w:val="21"/>
              </w:rPr>
              <w:t>达标率</w:t>
            </w:r>
            <w:r>
              <w:rPr>
                <w:rFonts w:ascii="Times New Roman" w:hAnsi="Times New Roman"/>
                <w:sz w:val="21"/>
                <w:szCs w:val="21"/>
              </w:rPr>
              <w:t>（％）</w:t>
            </w:r>
          </w:p>
        </w:tc>
        <w:tc>
          <w:tcPr>
            <w:tcW w:w="1701" w:type="dxa"/>
            <w:vAlign w:val="center"/>
          </w:tcPr>
          <w:p w14:paraId="568580A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5AA67FB5"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42FD5453" w14:textId="77777777">
        <w:trPr>
          <w:trHeight w:val="397"/>
          <w:jc w:val="center"/>
        </w:trPr>
        <w:tc>
          <w:tcPr>
            <w:tcW w:w="988" w:type="dxa"/>
            <w:vMerge/>
            <w:vAlign w:val="center"/>
          </w:tcPr>
          <w:p w14:paraId="4132C3DB"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Align w:val="center"/>
          </w:tcPr>
          <w:p w14:paraId="5390875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声环境</w:t>
            </w:r>
          </w:p>
        </w:tc>
        <w:tc>
          <w:tcPr>
            <w:tcW w:w="3402" w:type="dxa"/>
            <w:gridSpan w:val="2"/>
            <w:vAlign w:val="center"/>
          </w:tcPr>
          <w:p w14:paraId="6AA50C30"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声环境</w:t>
            </w:r>
            <w:r>
              <w:rPr>
                <w:rFonts w:ascii="Times New Roman" w:hAnsi="Times New Roman"/>
                <w:sz w:val="21"/>
                <w:szCs w:val="21"/>
              </w:rPr>
              <w:t>3</w:t>
            </w:r>
            <w:r>
              <w:rPr>
                <w:rFonts w:ascii="Times New Roman" w:hAnsi="Times New Roman" w:hint="eastAsia"/>
                <w:sz w:val="21"/>
                <w:szCs w:val="21"/>
              </w:rPr>
              <w:t>类区达标率</w:t>
            </w:r>
            <w:r>
              <w:rPr>
                <w:rFonts w:ascii="Times New Roman" w:hAnsi="Times New Roman"/>
                <w:sz w:val="21"/>
                <w:szCs w:val="21"/>
              </w:rPr>
              <w:t>（％）</w:t>
            </w:r>
          </w:p>
        </w:tc>
        <w:tc>
          <w:tcPr>
            <w:tcW w:w="1701" w:type="dxa"/>
            <w:vAlign w:val="center"/>
          </w:tcPr>
          <w:p w14:paraId="58D189B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799E24F9"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0A9C0A2C" w14:textId="77777777">
        <w:trPr>
          <w:trHeight w:val="397"/>
          <w:jc w:val="center"/>
        </w:trPr>
        <w:tc>
          <w:tcPr>
            <w:tcW w:w="988" w:type="dxa"/>
            <w:vMerge/>
            <w:vAlign w:val="center"/>
          </w:tcPr>
          <w:p w14:paraId="0B98D556"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Align w:val="center"/>
          </w:tcPr>
          <w:p w14:paraId="013D0E4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土壤环境</w:t>
            </w:r>
          </w:p>
        </w:tc>
        <w:tc>
          <w:tcPr>
            <w:tcW w:w="3402" w:type="dxa"/>
            <w:gridSpan w:val="2"/>
            <w:vAlign w:val="center"/>
          </w:tcPr>
          <w:p w14:paraId="1E59589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农用地土壤污染风险管制值</w:t>
            </w:r>
            <w:r>
              <w:rPr>
                <w:rFonts w:ascii="Times New Roman" w:hAnsi="Times New Roman" w:hint="eastAsia"/>
                <w:sz w:val="21"/>
                <w:szCs w:val="21"/>
              </w:rPr>
              <w:t>达标率</w:t>
            </w:r>
            <w:r>
              <w:rPr>
                <w:rFonts w:ascii="Times New Roman" w:hAnsi="Times New Roman"/>
                <w:sz w:val="21"/>
                <w:szCs w:val="21"/>
              </w:rPr>
              <w:t>（％）</w:t>
            </w:r>
          </w:p>
        </w:tc>
        <w:tc>
          <w:tcPr>
            <w:tcW w:w="1701" w:type="dxa"/>
            <w:vAlign w:val="center"/>
          </w:tcPr>
          <w:p w14:paraId="64A8656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2B482ABB"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71D8C3ED" w14:textId="77777777">
        <w:trPr>
          <w:cantSplit/>
          <w:trHeight w:val="397"/>
          <w:jc w:val="center"/>
        </w:trPr>
        <w:tc>
          <w:tcPr>
            <w:tcW w:w="988" w:type="dxa"/>
            <w:vMerge w:val="restart"/>
            <w:vAlign w:val="center"/>
          </w:tcPr>
          <w:p w14:paraId="1F3F035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生态</w:t>
            </w:r>
            <w:r>
              <w:rPr>
                <w:rFonts w:ascii="Times New Roman" w:hAnsi="Times New Roman"/>
                <w:sz w:val="21"/>
                <w:szCs w:val="21"/>
              </w:rPr>
              <w:t>功能保护</w:t>
            </w:r>
          </w:p>
        </w:tc>
        <w:tc>
          <w:tcPr>
            <w:tcW w:w="1275" w:type="dxa"/>
            <w:vMerge w:val="restart"/>
            <w:vAlign w:val="center"/>
          </w:tcPr>
          <w:p w14:paraId="4F6FF3C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生态保护与恢复指标</w:t>
            </w:r>
          </w:p>
        </w:tc>
        <w:tc>
          <w:tcPr>
            <w:tcW w:w="3402" w:type="dxa"/>
            <w:gridSpan w:val="2"/>
            <w:vAlign w:val="center"/>
          </w:tcPr>
          <w:p w14:paraId="14E7E499"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扰动土地治理率（％）</w:t>
            </w:r>
          </w:p>
        </w:tc>
        <w:tc>
          <w:tcPr>
            <w:tcW w:w="1701" w:type="dxa"/>
            <w:vAlign w:val="center"/>
          </w:tcPr>
          <w:p w14:paraId="1F398A1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90</w:t>
            </w:r>
          </w:p>
        </w:tc>
        <w:tc>
          <w:tcPr>
            <w:tcW w:w="1560" w:type="dxa"/>
            <w:vMerge/>
            <w:vAlign w:val="center"/>
          </w:tcPr>
          <w:p w14:paraId="7D744DC7"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648EA53A" w14:textId="77777777">
        <w:trPr>
          <w:cantSplit/>
          <w:trHeight w:val="397"/>
          <w:jc w:val="center"/>
        </w:trPr>
        <w:tc>
          <w:tcPr>
            <w:tcW w:w="988" w:type="dxa"/>
            <w:vMerge/>
            <w:vAlign w:val="center"/>
          </w:tcPr>
          <w:p w14:paraId="23E14606"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14480F73"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2B857C41"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水土流失总治理度（％）</w:t>
            </w:r>
          </w:p>
        </w:tc>
        <w:tc>
          <w:tcPr>
            <w:tcW w:w="1701" w:type="dxa"/>
            <w:vAlign w:val="center"/>
          </w:tcPr>
          <w:p w14:paraId="3AFC9C6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85</w:t>
            </w:r>
          </w:p>
        </w:tc>
        <w:tc>
          <w:tcPr>
            <w:tcW w:w="1560" w:type="dxa"/>
            <w:vMerge/>
            <w:vAlign w:val="center"/>
          </w:tcPr>
          <w:p w14:paraId="080936F9"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1E11EF41" w14:textId="77777777">
        <w:trPr>
          <w:cantSplit/>
          <w:trHeight w:val="397"/>
          <w:jc w:val="center"/>
        </w:trPr>
        <w:tc>
          <w:tcPr>
            <w:tcW w:w="988" w:type="dxa"/>
            <w:vMerge/>
            <w:vAlign w:val="center"/>
          </w:tcPr>
          <w:p w14:paraId="4F6599CE"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07CA57B8"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7893E630"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土壤流失控制比（％）</w:t>
            </w:r>
          </w:p>
        </w:tc>
        <w:tc>
          <w:tcPr>
            <w:tcW w:w="1701" w:type="dxa"/>
            <w:vAlign w:val="center"/>
          </w:tcPr>
          <w:p w14:paraId="5CF2B00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70</w:t>
            </w:r>
          </w:p>
        </w:tc>
        <w:tc>
          <w:tcPr>
            <w:tcW w:w="1560" w:type="dxa"/>
            <w:vMerge/>
            <w:vAlign w:val="center"/>
          </w:tcPr>
          <w:p w14:paraId="6558E339"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1E470B6F" w14:textId="77777777">
        <w:trPr>
          <w:cantSplit/>
          <w:trHeight w:val="397"/>
          <w:jc w:val="center"/>
        </w:trPr>
        <w:tc>
          <w:tcPr>
            <w:tcW w:w="988" w:type="dxa"/>
            <w:vMerge/>
            <w:vAlign w:val="center"/>
          </w:tcPr>
          <w:p w14:paraId="31145985"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74BB130A"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47D64AA9"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危害性滑坡、裂缝等沉陷灾害的治理率（％）</w:t>
            </w:r>
          </w:p>
        </w:tc>
        <w:tc>
          <w:tcPr>
            <w:tcW w:w="1701" w:type="dxa"/>
            <w:vAlign w:val="center"/>
          </w:tcPr>
          <w:p w14:paraId="02FB221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60" w:type="dxa"/>
            <w:vMerge/>
            <w:vAlign w:val="center"/>
          </w:tcPr>
          <w:p w14:paraId="7758A1E0"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00BA6A7E" w14:textId="77777777">
        <w:trPr>
          <w:cantSplit/>
          <w:trHeight w:val="397"/>
          <w:jc w:val="center"/>
        </w:trPr>
        <w:tc>
          <w:tcPr>
            <w:tcW w:w="988" w:type="dxa"/>
            <w:vMerge/>
            <w:vAlign w:val="center"/>
          </w:tcPr>
          <w:p w14:paraId="268E71E0"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41B35BF7"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18DBF869"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工业场地林草覆盖率（％）</w:t>
            </w:r>
          </w:p>
        </w:tc>
        <w:tc>
          <w:tcPr>
            <w:tcW w:w="1701" w:type="dxa"/>
            <w:vAlign w:val="center"/>
          </w:tcPr>
          <w:p w14:paraId="49D59A4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≥30</w:t>
            </w:r>
          </w:p>
        </w:tc>
        <w:tc>
          <w:tcPr>
            <w:tcW w:w="1560" w:type="dxa"/>
            <w:vMerge/>
            <w:vAlign w:val="center"/>
          </w:tcPr>
          <w:p w14:paraId="228C703C"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01117F6E" w14:textId="77777777">
        <w:trPr>
          <w:cantSplit/>
          <w:trHeight w:val="397"/>
          <w:jc w:val="center"/>
        </w:trPr>
        <w:tc>
          <w:tcPr>
            <w:tcW w:w="988" w:type="dxa"/>
            <w:vMerge/>
            <w:vAlign w:val="center"/>
          </w:tcPr>
          <w:p w14:paraId="0A941C33"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6F0A7B63"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002C666A"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生态系统整体性和生态功能变化趋势</w:t>
            </w:r>
          </w:p>
        </w:tc>
        <w:tc>
          <w:tcPr>
            <w:tcW w:w="1701" w:type="dxa"/>
            <w:vAlign w:val="center"/>
          </w:tcPr>
          <w:p w14:paraId="4261997E"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保持生态系统完整，保证评价区生物多样性不退化、植物净生产力不退化、生态系统不退化，生态系统功能</w:t>
            </w:r>
            <w:r>
              <w:rPr>
                <w:rFonts w:ascii="Times New Roman" w:hAnsi="Times New Roman" w:hint="eastAsia"/>
                <w:sz w:val="21"/>
                <w:szCs w:val="21"/>
              </w:rPr>
              <w:t>不</w:t>
            </w:r>
            <w:r>
              <w:rPr>
                <w:rFonts w:ascii="Times New Roman" w:hAnsi="Times New Roman"/>
                <w:sz w:val="21"/>
                <w:szCs w:val="21"/>
              </w:rPr>
              <w:t>退化</w:t>
            </w:r>
          </w:p>
        </w:tc>
        <w:tc>
          <w:tcPr>
            <w:tcW w:w="1560" w:type="dxa"/>
            <w:vMerge/>
            <w:vAlign w:val="center"/>
          </w:tcPr>
          <w:p w14:paraId="354A5E54" w14:textId="77777777" w:rsidR="009C353B" w:rsidRDefault="009C353B">
            <w:pPr>
              <w:adjustRightInd w:val="0"/>
              <w:snapToGrid w:val="0"/>
              <w:spacing w:line="240" w:lineRule="atLeast"/>
              <w:rPr>
                <w:rFonts w:ascii="Times New Roman" w:hAnsi="Times New Roman"/>
                <w:sz w:val="21"/>
                <w:szCs w:val="21"/>
              </w:rPr>
            </w:pPr>
          </w:p>
        </w:tc>
      </w:tr>
      <w:tr w:rsidR="009C353B" w14:paraId="164CDA0D" w14:textId="77777777">
        <w:trPr>
          <w:cantSplit/>
          <w:trHeight w:val="397"/>
          <w:jc w:val="center"/>
        </w:trPr>
        <w:tc>
          <w:tcPr>
            <w:tcW w:w="988" w:type="dxa"/>
            <w:vMerge w:val="restart"/>
            <w:vAlign w:val="center"/>
          </w:tcPr>
          <w:p w14:paraId="17525A4F"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促进区域社会、经济可持续发展</w:t>
            </w:r>
          </w:p>
        </w:tc>
        <w:tc>
          <w:tcPr>
            <w:tcW w:w="1275" w:type="dxa"/>
            <w:vMerge w:val="restart"/>
            <w:vAlign w:val="center"/>
          </w:tcPr>
          <w:p w14:paraId="4D5F36C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社会发展指标</w:t>
            </w:r>
          </w:p>
        </w:tc>
        <w:tc>
          <w:tcPr>
            <w:tcW w:w="3402" w:type="dxa"/>
            <w:gridSpan w:val="2"/>
            <w:vAlign w:val="center"/>
          </w:tcPr>
          <w:p w14:paraId="58C570D5"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万元工业增加值水耗（</w:t>
            </w:r>
            <w:r>
              <w:rPr>
                <w:rFonts w:ascii="Times New Roman" w:hAnsi="Times New Roman"/>
                <w:sz w:val="21"/>
                <w:szCs w:val="21"/>
              </w:rPr>
              <w:t>t/</w:t>
            </w:r>
            <w:r>
              <w:rPr>
                <w:rFonts w:ascii="Times New Roman" w:hAnsi="Times New Roman"/>
                <w:sz w:val="21"/>
                <w:szCs w:val="21"/>
              </w:rPr>
              <w:t>万元）</w:t>
            </w:r>
          </w:p>
        </w:tc>
        <w:tc>
          <w:tcPr>
            <w:tcW w:w="1701" w:type="dxa"/>
            <w:vAlign w:val="center"/>
          </w:tcPr>
          <w:p w14:paraId="2986793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降低</w:t>
            </w:r>
          </w:p>
        </w:tc>
        <w:tc>
          <w:tcPr>
            <w:tcW w:w="1560" w:type="dxa"/>
            <w:vMerge/>
            <w:vAlign w:val="center"/>
          </w:tcPr>
          <w:p w14:paraId="26E4102A"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15AAA82C" w14:textId="77777777">
        <w:trPr>
          <w:cantSplit/>
          <w:trHeight w:val="397"/>
          <w:jc w:val="center"/>
        </w:trPr>
        <w:tc>
          <w:tcPr>
            <w:tcW w:w="988" w:type="dxa"/>
            <w:vMerge/>
            <w:vAlign w:val="center"/>
          </w:tcPr>
          <w:p w14:paraId="1D55E071" w14:textId="77777777" w:rsidR="009C353B" w:rsidRDefault="009C353B">
            <w:pPr>
              <w:adjustRightInd w:val="0"/>
              <w:snapToGrid w:val="0"/>
              <w:spacing w:line="240" w:lineRule="atLeast"/>
              <w:rPr>
                <w:rFonts w:ascii="Times New Roman" w:hAnsi="Times New Roman"/>
                <w:sz w:val="21"/>
                <w:szCs w:val="21"/>
              </w:rPr>
            </w:pPr>
          </w:p>
        </w:tc>
        <w:tc>
          <w:tcPr>
            <w:tcW w:w="1275" w:type="dxa"/>
            <w:vMerge/>
            <w:vAlign w:val="center"/>
          </w:tcPr>
          <w:p w14:paraId="02901FFA"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6E2773E3"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万元工业增加值能耗（</w:t>
            </w:r>
            <w:r>
              <w:rPr>
                <w:rFonts w:ascii="Times New Roman" w:hAnsi="Times New Roman"/>
                <w:sz w:val="21"/>
                <w:szCs w:val="21"/>
              </w:rPr>
              <w:t>t/</w:t>
            </w:r>
            <w:r>
              <w:rPr>
                <w:rFonts w:ascii="Times New Roman" w:hAnsi="Times New Roman"/>
                <w:sz w:val="21"/>
                <w:szCs w:val="21"/>
              </w:rPr>
              <w:t>万元）</w:t>
            </w:r>
          </w:p>
        </w:tc>
        <w:tc>
          <w:tcPr>
            <w:tcW w:w="1701" w:type="dxa"/>
            <w:vAlign w:val="center"/>
          </w:tcPr>
          <w:p w14:paraId="7A95C2E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降低</w:t>
            </w:r>
          </w:p>
        </w:tc>
        <w:tc>
          <w:tcPr>
            <w:tcW w:w="1560" w:type="dxa"/>
            <w:vMerge/>
            <w:vAlign w:val="center"/>
          </w:tcPr>
          <w:p w14:paraId="5E62F700"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1506E918" w14:textId="77777777">
        <w:trPr>
          <w:cantSplit/>
          <w:trHeight w:val="397"/>
          <w:jc w:val="center"/>
        </w:trPr>
        <w:tc>
          <w:tcPr>
            <w:tcW w:w="988" w:type="dxa"/>
            <w:vMerge/>
            <w:vAlign w:val="center"/>
          </w:tcPr>
          <w:p w14:paraId="4F026C69" w14:textId="77777777" w:rsidR="009C353B" w:rsidRDefault="009C353B">
            <w:pPr>
              <w:adjustRightInd w:val="0"/>
              <w:snapToGrid w:val="0"/>
              <w:spacing w:line="240" w:lineRule="atLeast"/>
              <w:rPr>
                <w:rFonts w:ascii="Times New Roman" w:hAnsi="Times New Roman"/>
                <w:sz w:val="21"/>
                <w:szCs w:val="21"/>
              </w:rPr>
            </w:pPr>
          </w:p>
        </w:tc>
        <w:tc>
          <w:tcPr>
            <w:tcW w:w="1275" w:type="dxa"/>
            <w:vMerge w:val="restart"/>
            <w:vAlign w:val="center"/>
          </w:tcPr>
          <w:p w14:paraId="2B05DC7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经济发展指标</w:t>
            </w:r>
          </w:p>
        </w:tc>
        <w:tc>
          <w:tcPr>
            <w:tcW w:w="3402" w:type="dxa"/>
            <w:gridSpan w:val="2"/>
            <w:vAlign w:val="center"/>
          </w:tcPr>
          <w:p w14:paraId="1AE7F01E"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工业总产值增加值（万元）</w:t>
            </w:r>
          </w:p>
        </w:tc>
        <w:tc>
          <w:tcPr>
            <w:tcW w:w="1701" w:type="dxa"/>
            <w:vAlign w:val="center"/>
          </w:tcPr>
          <w:p w14:paraId="4EF3606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提高</w:t>
            </w:r>
          </w:p>
        </w:tc>
        <w:tc>
          <w:tcPr>
            <w:tcW w:w="1560" w:type="dxa"/>
            <w:vMerge/>
            <w:vAlign w:val="center"/>
          </w:tcPr>
          <w:p w14:paraId="69C711E8"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4A0D4C0E" w14:textId="77777777">
        <w:trPr>
          <w:cantSplit/>
          <w:trHeight w:val="397"/>
          <w:jc w:val="center"/>
        </w:trPr>
        <w:tc>
          <w:tcPr>
            <w:tcW w:w="988" w:type="dxa"/>
            <w:vMerge/>
            <w:vAlign w:val="center"/>
          </w:tcPr>
          <w:p w14:paraId="45290234" w14:textId="77777777" w:rsidR="009C353B" w:rsidRDefault="009C353B">
            <w:pPr>
              <w:adjustRightInd w:val="0"/>
              <w:snapToGrid w:val="0"/>
              <w:spacing w:line="240" w:lineRule="atLeast"/>
              <w:jc w:val="center"/>
              <w:rPr>
                <w:rFonts w:ascii="Times New Roman" w:hAnsi="Times New Roman"/>
                <w:sz w:val="21"/>
                <w:szCs w:val="21"/>
              </w:rPr>
            </w:pPr>
          </w:p>
        </w:tc>
        <w:tc>
          <w:tcPr>
            <w:tcW w:w="1275" w:type="dxa"/>
            <w:vMerge/>
            <w:vAlign w:val="center"/>
          </w:tcPr>
          <w:p w14:paraId="51465F7A" w14:textId="77777777" w:rsidR="009C353B" w:rsidRDefault="009C353B">
            <w:pPr>
              <w:adjustRightInd w:val="0"/>
              <w:snapToGrid w:val="0"/>
              <w:spacing w:line="240" w:lineRule="atLeast"/>
              <w:jc w:val="center"/>
              <w:rPr>
                <w:rFonts w:ascii="Times New Roman" w:hAnsi="Times New Roman"/>
                <w:sz w:val="21"/>
                <w:szCs w:val="21"/>
              </w:rPr>
            </w:pPr>
          </w:p>
        </w:tc>
        <w:tc>
          <w:tcPr>
            <w:tcW w:w="3402" w:type="dxa"/>
            <w:gridSpan w:val="2"/>
            <w:vAlign w:val="center"/>
          </w:tcPr>
          <w:p w14:paraId="13C9BC51" w14:textId="77777777" w:rsidR="009C353B" w:rsidRDefault="00000000">
            <w:pPr>
              <w:pStyle w:val="affffd"/>
              <w:outlineLvl w:val="9"/>
              <w:rPr>
                <w:rFonts w:ascii="Times New Roman" w:hAnsi="Times New Roman"/>
                <w:sz w:val="21"/>
                <w:szCs w:val="21"/>
              </w:rPr>
            </w:pPr>
            <w:r>
              <w:rPr>
                <w:rFonts w:ascii="Times New Roman" w:hAnsi="Times New Roman"/>
                <w:sz w:val="21"/>
                <w:szCs w:val="21"/>
              </w:rPr>
              <w:t>税收（万元）</w:t>
            </w:r>
          </w:p>
        </w:tc>
        <w:tc>
          <w:tcPr>
            <w:tcW w:w="1701" w:type="dxa"/>
            <w:vAlign w:val="center"/>
          </w:tcPr>
          <w:p w14:paraId="3D4A1F9B" w14:textId="77777777" w:rsidR="009C353B" w:rsidRDefault="00000000">
            <w:pPr>
              <w:pStyle w:val="affffd"/>
              <w:jc w:val="center"/>
              <w:outlineLvl w:val="9"/>
              <w:rPr>
                <w:rFonts w:ascii="Times New Roman" w:hAnsi="Times New Roman"/>
                <w:sz w:val="21"/>
                <w:szCs w:val="21"/>
              </w:rPr>
            </w:pPr>
            <w:r>
              <w:rPr>
                <w:rFonts w:ascii="Times New Roman" w:hAnsi="Times New Roman"/>
                <w:sz w:val="21"/>
                <w:szCs w:val="21"/>
              </w:rPr>
              <w:t>增加</w:t>
            </w:r>
          </w:p>
        </w:tc>
        <w:tc>
          <w:tcPr>
            <w:tcW w:w="1560" w:type="dxa"/>
            <w:vMerge/>
            <w:vAlign w:val="center"/>
          </w:tcPr>
          <w:p w14:paraId="5FAB4F47" w14:textId="77777777" w:rsidR="009C353B" w:rsidRDefault="009C353B">
            <w:pPr>
              <w:pStyle w:val="affffd"/>
              <w:jc w:val="center"/>
              <w:outlineLvl w:val="9"/>
              <w:rPr>
                <w:rFonts w:ascii="Times New Roman" w:hAnsi="Times New Roman"/>
                <w:sz w:val="21"/>
                <w:szCs w:val="21"/>
              </w:rPr>
            </w:pPr>
          </w:p>
        </w:tc>
      </w:tr>
    </w:tbl>
    <w:p w14:paraId="7B2B9930" w14:textId="77777777" w:rsidR="009C353B" w:rsidRDefault="009C353B">
      <w:pPr>
        <w:rPr>
          <w:rFonts w:ascii="Times New Roman" w:hAnsi="Times New Roman"/>
        </w:rPr>
        <w:sectPr w:rsidR="009C353B">
          <w:headerReference w:type="default" r:id="rId400"/>
          <w:pgSz w:w="11907" w:h="16840"/>
          <w:pgMar w:top="1701" w:right="1418" w:bottom="1418" w:left="1418" w:header="1134" w:footer="851" w:gutter="0"/>
          <w:paperSrc w:first="7" w:other="7"/>
          <w:cols w:space="720"/>
          <w:docGrid w:linePitch="312"/>
        </w:sectPr>
      </w:pPr>
      <w:bookmarkStart w:id="218" w:name="_Toc173988829"/>
      <w:bookmarkStart w:id="219" w:name="_Toc173641317"/>
      <w:bookmarkEnd w:id="214"/>
    </w:p>
    <w:p w14:paraId="52A0BA0D" w14:textId="77777777" w:rsidR="009C353B" w:rsidRDefault="00000000">
      <w:pPr>
        <w:pStyle w:val="hp1"/>
        <w:ind w:firstLineChars="0" w:firstLine="0"/>
        <w:jc w:val="center"/>
        <w:rPr>
          <w:rFonts w:ascii="Times New Roman" w:eastAsia="宋体" w:hAnsi="Times New Roman"/>
          <w:sz w:val="36"/>
        </w:rPr>
      </w:pPr>
      <w:bookmarkStart w:id="220" w:name="_Toc59189845"/>
      <w:r>
        <w:rPr>
          <w:rFonts w:ascii="Times New Roman" w:eastAsia="宋体" w:hAnsi="Times New Roman" w:hint="eastAsia"/>
          <w:sz w:val="36"/>
        </w:rPr>
        <w:t>6</w:t>
      </w:r>
      <w:r>
        <w:rPr>
          <w:rFonts w:ascii="Times New Roman" w:eastAsia="宋体" w:hAnsi="Times New Roman"/>
          <w:sz w:val="36"/>
        </w:rPr>
        <w:t xml:space="preserve"> </w:t>
      </w:r>
      <w:r>
        <w:rPr>
          <w:rFonts w:ascii="Times New Roman" w:eastAsia="宋体" w:hAnsi="Times New Roman"/>
          <w:sz w:val="36"/>
        </w:rPr>
        <w:t>规划实施环境影响</w:t>
      </w:r>
      <w:r>
        <w:rPr>
          <w:rFonts w:ascii="Times New Roman" w:eastAsia="宋体" w:hAnsi="Times New Roman" w:hint="eastAsia"/>
          <w:sz w:val="36"/>
        </w:rPr>
        <w:t>预测与</w:t>
      </w:r>
      <w:r>
        <w:rPr>
          <w:rFonts w:ascii="Times New Roman" w:eastAsia="宋体" w:hAnsi="Times New Roman"/>
          <w:sz w:val="36"/>
        </w:rPr>
        <w:t>评价</w:t>
      </w:r>
      <w:bookmarkEnd w:id="218"/>
      <w:bookmarkEnd w:id="219"/>
      <w:bookmarkEnd w:id="220"/>
    </w:p>
    <w:p w14:paraId="7B0E690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目前矿区规划的</w:t>
      </w:r>
      <w:r>
        <w:rPr>
          <w:rFonts w:ascii="Times New Roman" w:hint="eastAsia"/>
        </w:rPr>
        <w:t>4</w:t>
      </w:r>
      <w:r>
        <w:rPr>
          <w:rFonts w:ascii="Times New Roman" w:hint="eastAsia"/>
        </w:rPr>
        <w:t>个矿井中，马莲台矿井、红石湾矿井、任家庄矿井</w:t>
      </w:r>
      <w:r>
        <w:rPr>
          <w:rFonts w:ascii="Times New Roman" w:hint="eastAsia"/>
        </w:rPr>
        <w:t>3</w:t>
      </w:r>
      <w:r>
        <w:rPr>
          <w:rFonts w:ascii="Times New Roman" w:hint="eastAsia"/>
        </w:rPr>
        <w:t>个为生产矿井，本次规划修编这</w:t>
      </w:r>
      <w:r>
        <w:rPr>
          <w:rFonts w:ascii="Times New Roman" w:hint="eastAsia"/>
        </w:rPr>
        <w:t>3</w:t>
      </w:r>
      <w:r>
        <w:rPr>
          <w:rFonts w:ascii="Times New Roman" w:hint="eastAsia"/>
        </w:rPr>
        <w:t>个矿井生产规模以目前已达到的核定生产规模确定，不调整，其井田边界基本不变。本次规划修编主要调整了丁家梁煤矿规模及井田范围，其他三个生产矿井新增后备区，其余基本与现状一致。因此，结合矿区开发实际现状和环境影响现状，本次评价主要对规划方案进行环境影响预测与评价，不再设置其他预测情景。</w:t>
      </w:r>
    </w:p>
    <w:p w14:paraId="72E0F9E0" w14:textId="77777777" w:rsidR="009C353B" w:rsidRDefault="00000000">
      <w:pPr>
        <w:pStyle w:val="2"/>
        <w:snapToGrid w:val="0"/>
        <w:spacing w:line="440" w:lineRule="exact"/>
        <w:rPr>
          <w:rFonts w:ascii="Times New Roman" w:eastAsia="宋体" w:hAnsi="Times New Roman"/>
          <w:b/>
          <w:sz w:val="28"/>
        </w:rPr>
      </w:pPr>
      <w:bookmarkStart w:id="221" w:name="_Toc59189846"/>
      <w:bookmarkStart w:id="222" w:name="_Toc171214236"/>
      <w:bookmarkStart w:id="223" w:name="_Toc173641318"/>
      <w:bookmarkStart w:id="224" w:name="_Toc173988830"/>
      <w:bookmarkStart w:id="225" w:name="_Toc170391792"/>
      <w:r>
        <w:rPr>
          <w:rFonts w:ascii="Times New Roman" w:eastAsia="宋体" w:hAnsi="Times New Roman" w:hint="eastAsia"/>
          <w:b/>
          <w:sz w:val="28"/>
        </w:rPr>
        <w:t>6</w:t>
      </w:r>
      <w:r>
        <w:rPr>
          <w:rFonts w:ascii="Times New Roman" w:eastAsia="宋体" w:hAnsi="Times New Roman"/>
          <w:b/>
          <w:sz w:val="28"/>
        </w:rPr>
        <w:t>.1</w:t>
      </w:r>
      <w:r>
        <w:rPr>
          <w:rFonts w:ascii="Times New Roman" w:eastAsia="宋体" w:hAnsi="Times New Roman" w:hint="eastAsia"/>
          <w:b/>
          <w:sz w:val="28"/>
        </w:rPr>
        <w:t xml:space="preserve"> </w:t>
      </w:r>
      <w:r>
        <w:rPr>
          <w:rFonts w:ascii="Times New Roman" w:eastAsia="宋体" w:hAnsi="Times New Roman" w:hint="eastAsia"/>
          <w:b/>
          <w:sz w:val="28"/>
        </w:rPr>
        <w:t>矿区开采</w:t>
      </w:r>
      <w:r>
        <w:rPr>
          <w:rFonts w:ascii="Times New Roman" w:eastAsia="宋体" w:hAnsi="Times New Roman"/>
          <w:b/>
          <w:sz w:val="28"/>
        </w:rPr>
        <w:t>地表沉陷预测</w:t>
      </w:r>
      <w:bookmarkEnd w:id="221"/>
    </w:p>
    <w:p w14:paraId="3BDF04C8" w14:textId="77777777" w:rsidR="009C353B" w:rsidRDefault="00000000">
      <w:pPr>
        <w:pStyle w:val="3"/>
        <w:spacing w:before="120" w:after="120" w:line="440" w:lineRule="exact"/>
        <w:rPr>
          <w:rFonts w:ascii="Times New Roman" w:hAnsi="Times New Roman"/>
          <w:sz w:val="24"/>
        </w:rPr>
      </w:pPr>
      <w:r>
        <w:rPr>
          <w:rFonts w:ascii="Times New Roman" w:hAnsi="Times New Roman"/>
          <w:sz w:val="24"/>
        </w:rPr>
        <w:t xml:space="preserve">6.1.1 </w:t>
      </w:r>
      <w:r>
        <w:rPr>
          <w:rFonts w:ascii="Times New Roman" w:hAnsi="Times New Roman" w:hint="eastAsia"/>
          <w:sz w:val="24"/>
        </w:rPr>
        <w:t>典型矿井</w:t>
      </w:r>
    </w:p>
    <w:p w14:paraId="75C7309D" w14:textId="77777777" w:rsidR="009C353B" w:rsidRDefault="00000000">
      <w:pPr>
        <w:adjustRightInd w:val="0"/>
        <w:snapToGrid w:val="0"/>
        <w:spacing w:line="440" w:lineRule="exact"/>
        <w:ind w:firstLine="482"/>
        <w:rPr>
          <w:rFonts w:ascii="Times New Roman" w:hint="eastAsia"/>
        </w:rPr>
      </w:pPr>
      <w:r>
        <w:rPr>
          <w:rFonts w:ascii="Times New Roman" w:hint="eastAsia"/>
        </w:rPr>
        <w:t>横城矿区规划的</w:t>
      </w:r>
      <w:r>
        <w:rPr>
          <w:rFonts w:ascii="Times New Roman" w:hint="eastAsia"/>
        </w:rPr>
        <w:t>4</w:t>
      </w:r>
      <w:r>
        <w:rPr>
          <w:rFonts w:ascii="Times New Roman" w:hint="eastAsia"/>
        </w:rPr>
        <w:t>个矿井中马莲台矿井、红石湾矿井、任家庄矿井为生产矿井，丁家梁为在建矿井，根据项目竣工验收调查报告、项目环境现状调查报告及现场调查，马莲台矿井实际地表沉陷情况与其项目环评阶段沉陷预测结果基本相符，红石湾、任家庄矿井地表沉陷实际情况与预测结果有出入。因此本次评价参考马莲台矿井地表岩移观测结果回归沉陷预测参数及各矿井实际情况，对在建的丁家梁矿井及其余三个已生产矿井后续开采沉陷进行预测分析与评价。</w:t>
      </w:r>
    </w:p>
    <w:p w14:paraId="75A0ED92" w14:textId="77777777" w:rsidR="009C353B" w:rsidRDefault="00000000">
      <w:pPr>
        <w:adjustRightInd w:val="0"/>
        <w:snapToGrid w:val="0"/>
        <w:spacing w:line="440" w:lineRule="exact"/>
        <w:ind w:firstLine="482"/>
        <w:rPr>
          <w:rFonts w:ascii="Times New Roman" w:hint="eastAsia"/>
        </w:rPr>
      </w:pPr>
      <w:r>
        <w:rPr>
          <w:rFonts w:ascii="Times New Roman"/>
        </w:rPr>
        <w:t>为保护鸭子荡水库及大坝，宁夏回族自治区宁东能源化工基地管理委员会《关于丁家梁煤矿有关事宜的复函》（宁东管函〔</w:t>
      </w:r>
      <w:r>
        <w:rPr>
          <w:rFonts w:ascii="Times New Roman"/>
        </w:rPr>
        <w:t>2016</w:t>
      </w:r>
      <w:r>
        <w:rPr>
          <w:rFonts w:ascii="Times New Roman"/>
        </w:rPr>
        <w:t>〕</w:t>
      </w:r>
      <w:r>
        <w:rPr>
          <w:rFonts w:ascii="Times New Roman"/>
        </w:rPr>
        <w:t>134</w:t>
      </w:r>
      <w:r>
        <w:rPr>
          <w:rFonts w:ascii="Times New Roman"/>
        </w:rPr>
        <w:t>号）要求鸭子荡水库自坝轴线向下游</w:t>
      </w:r>
      <w:r>
        <w:rPr>
          <w:rFonts w:ascii="Times New Roman"/>
        </w:rPr>
        <w:t>1.8km</w:t>
      </w:r>
      <w:r>
        <w:rPr>
          <w:rFonts w:ascii="Times New Roman"/>
        </w:rPr>
        <w:t>为临时禁采区</w:t>
      </w:r>
      <w:r>
        <w:rPr>
          <w:rFonts w:ascii="Times New Roman" w:hint="eastAsia"/>
        </w:rPr>
        <w:t>，因此</w:t>
      </w:r>
      <w:r>
        <w:rPr>
          <w:rFonts w:ascii="Times New Roman"/>
        </w:rPr>
        <w:t>丁家梁井田南侧在考虑上述禁采要求和保护目标煤柱后</w:t>
      </w:r>
      <w:r>
        <w:rPr>
          <w:rFonts w:ascii="Times New Roman" w:hint="eastAsia"/>
        </w:rPr>
        <w:t>已基本没有可采区域。</w:t>
      </w:r>
      <w:r>
        <w:rPr>
          <w:rFonts w:ascii="Times New Roman"/>
        </w:rPr>
        <w:t>因此</w:t>
      </w:r>
      <w:r>
        <w:rPr>
          <w:rFonts w:ascii="Times New Roman" w:hint="eastAsia"/>
        </w:rPr>
        <w:t>对丁家梁矿井</w:t>
      </w:r>
      <w:r>
        <w:rPr>
          <w:rFonts w:ascii="Times New Roman"/>
        </w:rPr>
        <w:t>的地表沉陷仅预测西侧开采区。</w:t>
      </w:r>
    </w:p>
    <w:p w14:paraId="39C6E1AA" w14:textId="77777777" w:rsidR="009C353B" w:rsidRDefault="00000000">
      <w:pPr>
        <w:adjustRightInd w:val="0"/>
        <w:snapToGrid w:val="0"/>
        <w:spacing w:line="440" w:lineRule="exact"/>
        <w:ind w:firstLine="482"/>
        <w:rPr>
          <w:rFonts w:ascii="Times New Roman" w:hint="eastAsia"/>
        </w:rPr>
      </w:pPr>
      <w:r>
        <w:rPr>
          <w:rFonts w:ascii="Times New Roman" w:hint="eastAsia"/>
        </w:rPr>
        <w:t>矿井储量、生产能力、服务年限、开拓开采方式参见</w:t>
      </w:r>
      <w:r>
        <w:rPr>
          <w:rFonts w:ascii="Times New Roman" w:hint="eastAsia"/>
        </w:rPr>
        <w:t>2</w:t>
      </w:r>
      <w:r>
        <w:rPr>
          <w:rFonts w:ascii="Times New Roman"/>
        </w:rPr>
        <w:t>.3</w:t>
      </w:r>
      <w:r>
        <w:rPr>
          <w:rFonts w:ascii="Times New Roman" w:hint="eastAsia"/>
        </w:rPr>
        <w:t>及</w:t>
      </w:r>
      <w:r>
        <w:rPr>
          <w:rFonts w:ascii="Times New Roman" w:hint="eastAsia"/>
        </w:rPr>
        <w:t>4</w:t>
      </w:r>
      <w:r>
        <w:rPr>
          <w:rFonts w:ascii="Times New Roman"/>
        </w:rPr>
        <w:t>.4</w:t>
      </w:r>
      <w:r>
        <w:rPr>
          <w:rFonts w:ascii="Times New Roman" w:hint="eastAsia"/>
        </w:rPr>
        <w:t>小节。</w:t>
      </w:r>
    </w:p>
    <w:p w14:paraId="1DCC18B1" w14:textId="77777777" w:rsidR="009C353B" w:rsidRDefault="00000000">
      <w:pPr>
        <w:pStyle w:val="3"/>
        <w:spacing w:before="120" w:after="120" w:line="440" w:lineRule="exact"/>
        <w:rPr>
          <w:rFonts w:ascii="Times New Roman" w:hAnsi="Times New Roman"/>
          <w:sz w:val="24"/>
        </w:rPr>
      </w:pPr>
      <w:r>
        <w:rPr>
          <w:rFonts w:ascii="Times New Roman" w:hAnsi="Times New Roman"/>
          <w:sz w:val="24"/>
        </w:rPr>
        <w:t xml:space="preserve">6.1.2 </w:t>
      </w:r>
      <w:r>
        <w:rPr>
          <w:rFonts w:ascii="Times New Roman" w:hAnsi="Times New Roman" w:hint="eastAsia"/>
          <w:sz w:val="24"/>
        </w:rPr>
        <w:t>保护煤柱留设</w:t>
      </w:r>
    </w:p>
    <w:p w14:paraId="39DC014A" w14:textId="77777777" w:rsidR="009C353B" w:rsidRDefault="00000000">
      <w:pPr>
        <w:spacing w:line="440" w:lineRule="exact"/>
        <w:ind w:left="240" w:firstLine="480"/>
        <w:rPr>
          <w:rFonts w:hint="eastAsia"/>
          <w:kern w:val="24"/>
        </w:rPr>
      </w:pPr>
      <w:r>
        <w:rPr>
          <w:rFonts w:hint="eastAsia"/>
          <w:kern w:val="24"/>
        </w:rPr>
        <w:t>根据地表岩移观测，马莲台矿井实际地表沉陷情况与其项目环评阶段沉陷预测结果基本相符，因此本次评价参考马莲台矿井地表岩移观测结果及</w:t>
      </w:r>
      <w:r>
        <w:rPr>
          <w:kern w:val="24"/>
        </w:rPr>
        <w:t>《建筑物、水体、铁路及主要井巷煤柱留设与压煤开采规范》留设保护煤柱。本次评价提出建设单位在今后实际开采过程中要加强岩移观测，根据本矿实测相关沉陷参数</w:t>
      </w:r>
      <w:r>
        <w:rPr>
          <w:rFonts w:hint="eastAsia"/>
          <w:kern w:val="24"/>
        </w:rPr>
        <w:t>实时调整</w:t>
      </w:r>
      <w:r>
        <w:rPr>
          <w:kern w:val="24"/>
        </w:rPr>
        <w:t>保护煤柱，确保</w:t>
      </w:r>
      <w:r>
        <w:rPr>
          <w:rFonts w:hint="eastAsia"/>
          <w:kern w:val="24"/>
        </w:rPr>
        <w:t>沉陷影响保护目标</w:t>
      </w:r>
      <w:r>
        <w:rPr>
          <w:kern w:val="24"/>
        </w:rPr>
        <w:t>不受沉陷影响。</w:t>
      </w:r>
    </w:p>
    <w:p w14:paraId="482A3632" w14:textId="77777777" w:rsidR="009C353B" w:rsidRDefault="00000000">
      <w:pPr>
        <w:spacing w:line="440" w:lineRule="exact"/>
        <w:ind w:left="240" w:firstLine="480"/>
        <w:rPr>
          <w:rFonts w:hint="eastAsia"/>
          <w:kern w:val="24"/>
        </w:rPr>
      </w:pPr>
      <w:r>
        <w:rPr>
          <w:kern w:val="24"/>
        </w:rPr>
        <w:t>煤柱留设宽度按埋深最大</w:t>
      </w:r>
      <w:r>
        <w:rPr>
          <w:rFonts w:hint="eastAsia"/>
          <w:kern w:val="24"/>
        </w:rPr>
        <w:t>的煤层</w:t>
      </w:r>
      <w:r>
        <w:rPr>
          <w:kern w:val="24"/>
        </w:rPr>
        <w:t>埋深计算，本项目井田内各设施保护煤柱留设采用垂直剖面法留设保护煤柱。</w:t>
      </w:r>
      <w:r>
        <w:rPr>
          <w:rFonts w:hint="eastAsia"/>
          <w:kern w:val="24"/>
        </w:rPr>
        <w:t>按新生界地层</w:t>
      </w:r>
      <w:r>
        <w:rPr>
          <w:kern w:val="24"/>
        </w:rPr>
        <w:t>45°，其下各岩层按70°移动角</w:t>
      </w:r>
      <w:r>
        <w:rPr>
          <w:rFonts w:hint="eastAsia"/>
          <w:kern w:val="24"/>
        </w:rPr>
        <w:t>计算</w:t>
      </w:r>
      <w:r>
        <w:rPr>
          <w:kern w:val="24"/>
        </w:rPr>
        <w:t>进行留设，主副井筒保护煤柱按照边界角法进行留设其留设方法如下图示：</w:t>
      </w:r>
    </w:p>
    <w:p w14:paraId="166DEC7D" w14:textId="77777777" w:rsidR="009C353B" w:rsidRDefault="00000000">
      <w:pPr>
        <w:ind w:left="238"/>
        <w:jc w:val="left"/>
        <w:rPr>
          <w:rFonts w:hint="eastAsia"/>
          <w:kern w:val="24"/>
        </w:rPr>
      </w:pPr>
      <w:r>
        <w:rPr>
          <w:noProof/>
          <w:kern w:val="24"/>
        </w:rPr>
        <w:drawing>
          <wp:inline distT="0" distB="0" distL="0" distR="0" wp14:anchorId="48B63083" wp14:editId="106FE5D0">
            <wp:extent cx="5252720" cy="3731895"/>
            <wp:effectExtent l="0" t="0" r="5080" b="190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401" cstate="print">
                      <a:extLst>
                        <a:ext uri="{28A0092B-C50C-407E-A947-70E740481C1C}">
                          <a14:useLocalDpi xmlns:a14="http://schemas.microsoft.com/office/drawing/2010/main" val="0"/>
                        </a:ext>
                      </a:extLst>
                    </a:blip>
                    <a:srcRect t="8859" r="13821" b="4422"/>
                    <a:stretch>
                      <a:fillRect/>
                    </a:stretch>
                  </pic:blipFill>
                  <pic:spPr>
                    <a:xfrm>
                      <a:off x="0" y="0"/>
                      <a:ext cx="5252720" cy="3731895"/>
                    </a:xfrm>
                    <a:prstGeom prst="rect">
                      <a:avLst/>
                    </a:prstGeom>
                    <a:noFill/>
                    <a:ln>
                      <a:noFill/>
                    </a:ln>
                  </pic:spPr>
                </pic:pic>
              </a:graphicData>
            </a:graphic>
          </wp:inline>
        </w:drawing>
      </w:r>
    </w:p>
    <w:p w14:paraId="12164676" w14:textId="77777777" w:rsidR="009C353B" w:rsidRDefault="00000000">
      <w:pPr>
        <w:ind w:left="238"/>
        <w:jc w:val="center"/>
        <w:rPr>
          <w:rFonts w:hint="eastAsia"/>
          <w:b/>
          <w:kern w:val="24"/>
        </w:rPr>
      </w:pPr>
      <w:r>
        <w:rPr>
          <w:b/>
          <w:kern w:val="24"/>
        </w:rPr>
        <w:t>煤柱留设示意图</w:t>
      </w:r>
    </w:p>
    <w:p w14:paraId="7B99E88B" w14:textId="77777777" w:rsidR="009C353B" w:rsidRDefault="00000000">
      <w:pPr>
        <w:spacing w:line="440" w:lineRule="exact"/>
        <w:rPr>
          <w:rFonts w:hint="eastAsia"/>
          <w:kern w:val="24"/>
        </w:rPr>
      </w:pPr>
      <w:r>
        <w:rPr>
          <w:kern w:val="24"/>
        </w:rPr>
        <w:t>设计对各保护目标留设煤柱如下：</w:t>
      </w:r>
    </w:p>
    <w:p w14:paraId="5A7B07DE"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）白芨滩国家级自然保护区煤柱</w:t>
      </w:r>
    </w:p>
    <w:p w14:paraId="3CE9B4BA"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任家庄矿井井田边界与自然保护区实验区的最近距离分别约为</w:t>
      </w:r>
      <w:r>
        <w:rPr>
          <w:rFonts w:ascii="Times New Roman" w:hAnsi="Times New Roman"/>
        </w:rPr>
        <w:t>92m</w:t>
      </w:r>
      <w:r>
        <w:rPr>
          <w:rFonts w:ascii="Times New Roman" w:hAnsi="Times New Roman"/>
        </w:rPr>
        <w:t>；丁家梁井田边界距离与自然保护区实验区的最近距离分别约为</w:t>
      </w:r>
      <w:r>
        <w:rPr>
          <w:rFonts w:ascii="Times New Roman" w:hAnsi="Times New Roman"/>
        </w:rPr>
        <w:t>236m</w:t>
      </w:r>
      <w:r>
        <w:rPr>
          <w:rFonts w:ascii="Times New Roman" w:hAnsi="Times New Roman"/>
        </w:rPr>
        <w:t>。</w:t>
      </w:r>
      <w:r>
        <w:rPr>
          <w:rFonts w:ascii="Times New Roman" w:hAnsi="Times New Roman" w:hint="eastAsia"/>
        </w:rPr>
        <w:t>按维护带宽度</w:t>
      </w:r>
      <w:r>
        <w:rPr>
          <w:rFonts w:ascii="Times New Roman" w:hAnsi="Times New Roman" w:hint="eastAsia"/>
        </w:rPr>
        <w:t>2</w:t>
      </w:r>
      <w:r>
        <w:rPr>
          <w:rFonts w:ascii="Times New Roman" w:hAnsi="Times New Roman"/>
        </w:rPr>
        <w:t>0</w:t>
      </w:r>
      <w:r>
        <w:rPr>
          <w:rFonts w:ascii="Times New Roman" w:hAnsi="Times New Roman" w:hint="eastAsia"/>
        </w:rPr>
        <w:t>m</w:t>
      </w:r>
      <w:r>
        <w:rPr>
          <w:rFonts w:ascii="Times New Roman" w:hAnsi="Times New Roman" w:hint="eastAsia"/>
        </w:rPr>
        <w:t>考虑，根据计算，任家庄井田需为白芨滩自然保护区留设煤柱宽度约为</w:t>
      </w:r>
      <w:r>
        <w:rPr>
          <w:rFonts w:ascii="Times New Roman" w:hAnsi="Times New Roman" w:hint="eastAsia"/>
        </w:rPr>
        <w:t>2</w:t>
      </w:r>
      <w:r>
        <w:rPr>
          <w:rFonts w:ascii="Times New Roman" w:hAnsi="Times New Roman"/>
        </w:rPr>
        <w:t>0-</w:t>
      </w:r>
      <w:r>
        <w:rPr>
          <w:rFonts w:ascii="Times New Roman" w:hAnsi="Times New Roman" w:hint="eastAsia"/>
        </w:rPr>
        <w:t>3</w:t>
      </w:r>
      <w:r>
        <w:rPr>
          <w:rFonts w:ascii="Times New Roman" w:hAnsi="Times New Roman"/>
        </w:rPr>
        <w:t>00</w:t>
      </w:r>
      <w:r>
        <w:rPr>
          <w:rFonts w:ascii="Times New Roman" w:hAnsi="Times New Roman" w:hint="eastAsia"/>
        </w:rPr>
        <w:t>m</w:t>
      </w:r>
      <w:r>
        <w:rPr>
          <w:rFonts w:ascii="Times New Roman" w:hAnsi="Times New Roman" w:hint="eastAsia"/>
        </w:rPr>
        <w:t>，丁家梁井田需为白芨滩自然保护区留设煤柱宽度约为</w:t>
      </w:r>
      <w:r>
        <w:rPr>
          <w:rFonts w:ascii="Times New Roman" w:hAnsi="Times New Roman" w:hint="eastAsia"/>
        </w:rPr>
        <w:t>2</w:t>
      </w:r>
      <w:r>
        <w:rPr>
          <w:rFonts w:ascii="Times New Roman" w:hAnsi="Times New Roman"/>
        </w:rPr>
        <w:t>0-134</w:t>
      </w:r>
      <w:r>
        <w:rPr>
          <w:rFonts w:ascii="Times New Roman" w:hAnsi="Times New Roman" w:hint="eastAsia"/>
        </w:rPr>
        <w:t>m</w:t>
      </w:r>
      <w:r>
        <w:rPr>
          <w:rFonts w:ascii="Times New Roman" w:hAnsi="Times New Roman" w:hint="eastAsia"/>
        </w:rPr>
        <w:t>。</w:t>
      </w:r>
    </w:p>
    <w:p w14:paraId="6CC71EAE"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）古青高速公路保护煤柱</w:t>
      </w:r>
    </w:p>
    <w:p w14:paraId="2DF0F49F"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古青高速公路从丁家梁井田、马莲台井田内南部穿过，井田内分别长约</w:t>
      </w:r>
      <w:r>
        <w:rPr>
          <w:rFonts w:ascii="Times New Roman" w:hAnsi="Times New Roman"/>
        </w:rPr>
        <w:t>4.32km</w:t>
      </w:r>
      <w:r>
        <w:rPr>
          <w:rFonts w:ascii="Times New Roman" w:hAnsi="Times New Roman" w:hint="eastAsia"/>
        </w:rPr>
        <w:t>、</w:t>
      </w:r>
      <w:r>
        <w:rPr>
          <w:rFonts w:ascii="Times New Roman" w:hAnsi="Times New Roman"/>
        </w:rPr>
        <w:t>4.51km</w:t>
      </w:r>
      <w:r>
        <w:rPr>
          <w:rFonts w:ascii="Times New Roman" w:hAnsi="Times New Roman" w:hint="eastAsia"/>
        </w:rPr>
        <w:t>，规划已对其留设</w:t>
      </w:r>
      <w:r>
        <w:rPr>
          <w:rFonts w:ascii="Times New Roman" w:hAnsi="Times New Roman"/>
        </w:rPr>
        <w:t>260-460m</w:t>
      </w:r>
      <w:r>
        <w:rPr>
          <w:rFonts w:ascii="Times New Roman" w:hAnsi="Times New Roman" w:hint="eastAsia"/>
        </w:rPr>
        <w:t>宽的保护煤柱；</w:t>
      </w:r>
    </w:p>
    <w:p w14:paraId="0FE53189" w14:textId="77777777" w:rsidR="009C353B" w:rsidRDefault="00000000">
      <w:pPr>
        <w:spacing w:line="440" w:lineRule="exact"/>
        <w:ind w:firstLineChars="200" w:firstLine="480"/>
        <w:jc w:val="left"/>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）青银高速公路保护煤柱</w:t>
      </w:r>
    </w:p>
    <w:p w14:paraId="66AA09F7" w14:textId="77777777" w:rsidR="009C353B" w:rsidRDefault="00000000">
      <w:pPr>
        <w:spacing w:line="440" w:lineRule="exact"/>
        <w:ind w:firstLineChars="200" w:firstLine="480"/>
        <w:jc w:val="left"/>
        <w:rPr>
          <w:rFonts w:ascii="Times New Roman" w:hAnsi="Times New Roman"/>
        </w:rPr>
      </w:pPr>
      <w:r>
        <w:rPr>
          <w:rFonts w:ascii="Times New Roman" w:hAnsi="Times New Roman" w:hint="eastAsia"/>
        </w:rPr>
        <w:t>青银高速公路从马莲台井田东南部、红石湾井田中部穿过，井田内分别长约</w:t>
      </w:r>
      <w:r>
        <w:rPr>
          <w:rFonts w:ascii="Times New Roman" w:hAnsi="Times New Roman"/>
        </w:rPr>
        <w:t>0.99km</w:t>
      </w:r>
      <w:r>
        <w:rPr>
          <w:rFonts w:ascii="Times New Roman" w:hAnsi="Times New Roman" w:hint="eastAsia"/>
        </w:rPr>
        <w:t>、</w:t>
      </w:r>
      <w:r>
        <w:rPr>
          <w:rFonts w:ascii="Times New Roman" w:hAnsi="Times New Roman"/>
        </w:rPr>
        <w:t>2.09km</w:t>
      </w:r>
      <w:r>
        <w:rPr>
          <w:rFonts w:ascii="Times New Roman" w:hAnsi="Times New Roman" w:hint="eastAsia"/>
        </w:rPr>
        <w:t>。马莲台井田内的路段经过风氧化带，不受开采沉陷影响；规划已对红石湾井田内的高速公路留设</w:t>
      </w:r>
      <w:r>
        <w:rPr>
          <w:rFonts w:ascii="Times New Roman" w:hAnsi="Times New Roman"/>
        </w:rPr>
        <w:t>415-460m</w:t>
      </w:r>
      <w:r>
        <w:rPr>
          <w:rFonts w:ascii="Times New Roman" w:hAnsi="Times New Roman" w:hint="eastAsia"/>
        </w:rPr>
        <w:t>宽的保护煤柱。</w:t>
      </w:r>
    </w:p>
    <w:p w14:paraId="244D4796" w14:textId="77777777" w:rsidR="009C353B" w:rsidRDefault="00000000">
      <w:pPr>
        <w:spacing w:line="440" w:lineRule="exact"/>
        <w:ind w:firstLineChars="200" w:firstLine="480"/>
        <w:jc w:val="left"/>
        <w:rPr>
          <w:rFonts w:hint="eastAsia"/>
        </w:rPr>
      </w:pPr>
      <w:r>
        <w:rPr>
          <w:rFonts w:hint="eastAsia"/>
        </w:rPr>
        <w:t>（4）3</w:t>
      </w:r>
      <w:r>
        <w:t>30</w:t>
      </w:r>
      <w:r>
        <w:rPr>
          <w:rFonts w:hint="eastAsia"/>
        </w:rPr>
        <w:t>kV水铝线保护煤柱</w:t>
      </w:r>
    </w:p>
    <w:p w14:paraId="43C00CD3" w14:textId="77777777" w:rsidR="009C353B" w:rsidRDefault="00000000">
      <w:pPr>
        <w:spacing w:line="440" w:lineRule="exact"/>
        <w:ind w:firstLineChars="200" w:firstLine="480"/>
        <w:jc w:val="left"/>
        <w:rPr>
          <w:rFonts w:ascii="Times New Roman" w:hAnsi="Times New Roman"/>
        </w:rPr>
      </w:pPr>
      <w:r>
        <w:rPr>
          <w:rFonts w:hint="eastAsia"/>
        </w:rPr>
        <w:t>3</w:t>
      </w:r>
      <w:r>
        <w:t>30</w:t>
      </w:r>
      <w:r>
        <w:rPr>
          <w:rFonts w:hint="eastAsia"/>
        </w:rPr>
        <w:t>kV水铝线南北穿越丁家梁井田，井田内长约6</w:t>
      </w:r>
      <w:r>
        <w:t>.5</w:t>
      </w:r>
      <w:r>
        <w:rPr>
          <w:rFonts w:hint="eastAsia"/>
        </w:rPr>
        <w:t>km；</w:t>
      </w:r>
      <w:r>
        <w:rPr>
          <w:rFonts w:ascii="Times New Roman" w:hAnsi="Times New Roman" w:hint="eastAsia"/>
        </w:rPr>
        <w:t>按维护带宽度</w:t>
      </w:r>
      <w:r>
        <w:rPr>
          <w:rFonts w:ascii="Times New Roman" w:hAnsi="Times New Roman" w:hint="eastAsia"/>
        </w:rPr>
        <w:t>2</w:t>
      </w:r>
      <w:r>
        <w:rPr>
          <w:rFonts w:ascii="Times New Roman" w:hAnsi="Times New Roman"/>
        </w:rPr>
        <w:t>0</w:t>
      </w:r>
      <w:r>
        <w:rPr>
          <w:rFonts w:ascii="Times New Roman" w:hAnsi="Times New Roman" w:hint="eastAsia"/>
        </w:rPr>
        <w:t>m</w:t>
      </w:r>
      <w:r>
        <w:rPr>
          <w:rFonts w:ascii="Times New Roman" w:hAnsi="Times New Roman" w:hint="eastAsia"/>
        </w:rPr>
        <w:t>考虑，</w:t>
      </w:r>
      <w:r>
        <w:rPr>
          <w:rFonts w:hint="eastAsia"/>
        </w:rPr>
        <w:t>根据计算，本次评价提出对其</w:t>
      </w:r>
      <w:r>
        <w:rPr>
          <w:rFonts w:ascii="Times New Roman" w:hAnsi="Times New Roman" w:hint="eastAsia"/>
        </w:rPr>
        <w:t>留设</w:t>
      </w:r>
      <w:r>
        <w:rPr>
          <w:rFonts w:ascii="Times New Roman" w:hAnsi="Times New Roman"/>
        </w:rPr>
        <w:t>206-460m</w:t>
      </w:r>
      <w:r>
        <w:rPr>
          <w:rFonts w:ascii="Times New Roman" w:hAnsi="Times New Roman" w:hint="eastAsia"/>
        </w:rPr>
        <w:t>宽的保护煤柱。</w:t>
      </w:r>
    </w:p>
    <w:p w14:paraId="39B8D17F" w14:textId="77777777" w:rsidR="009C353B" w:rsidRDefault="00000000">
      <w:pPr>
        <w:pStyle w:val="2ff4"/>
        <w:spacing w:line="440" w:lineRule="exact"/>
        <w:rPr>
          <w:rFonts w:cs="Times New Roman"/>
        </w:rPr>
      </w:pPr>
      <w:r>
        <w:rPr>
          <w:rFonts w:cs="Times New Roman" w:hint="eastAsia"/>
        </w:rPr>
        <w:t>（</w:t>
      </w:r>
      <w:r>
        <w:rPr>
          <w:rFonts w:cs="Times New Roman" w:hint="eastAsia"/>
        </w:rPr>
        <w:t>5</w:t>
      </w:r>
      <w:r>
        <w:rPr>
          <w:rFonts w:cs="Times New Roman" w:hint="eastAsia"/>
        </w:rPr>
        <w:t>）</w:t>
      </w:r>
      <w:r>
        <w:rPr>
          <w:rFonts w:cs="Times New Roman"/>
        </w:rPr>
        <w:t>水洞沟遗址、明长城及红山堡城址</w:t>
      </w:r>
      <w:r>
        <w:rPr>
          <w:rFonts w:cs="Times New Roman" w:hint="eastAsia"/>
        </w:rPr>
        <w:t>保护煤柱</w:t>
      </w:r>
    </w:p>
    <w:p w14:paraId="0249BC9F" w14:textId="77777777" w:rsidR="009C353B" w:rsidRDefault="00000000">
      <w:pPr>
        <w:pStyle w:val="2ff4"/>
        <w:spacing w:line="440" w:lineRule="exact"/>
        <w:rPr>
          <w:rFonts w:cs="Times New Roman"/>
        </w:rPr>
      </w:pPr>
      <w:bookmarkStart w:id="226" w:name="_Hlk60666842"/>
      <w:r>
        <w:rPr>
          <w:rFonts w:cs="Times New Roman"/>
        </w:rPr>
        <w:t>根据保护要求，水洞沟遗址、明长城及红山堡城址</w:t>
      </w:r>
      <w:r>
        <w:rPr>
          <w:rFonts w:cs="Times New Roman" w:hint="eastAsia"/>
        </w:rPr>
        <w:t>文物本体</w:t>
      </w:r>
      <w:r>
        <w:rPr>
          <w:rFonts w:cs="Times New Roman"/>
        </w:rPr>
        <w:t>周边</w:t>
      </w:r>
      <w:r>
        <w:rPr>
          <w:rFonts w:cs="Times New Roman" w:hint="eastAsia"/>
        </w:rPr>
        <w:t>外扩</w:t>
      </w:r>
      <w:r>
        <w:rPr>
          <w:rFonts w:cs="Times New Roman"/>
        </w:rPr>
        <w:t>100</w:t>
      </w:r>
      <w:r>
        <w:rPr>
          <w:rFonts w:cs="Times New Roman" w:hint="eastAsia"/>
        </w:rPr>
        <w:t>m</w:t>
      </w:r>
      <w:r>
        <w:rPr>
          <w:rFonts w:cs="Times New Roman"/>
        </w:rPr>
        <w:t>范围作为保护范围</w:t>
      </w:r>
      <w:r>
        <w:rPr>
          <w:rFonts w:cs="Times New Roman" w:hint="eastAsia"/>
        </w:rPr>
        <w:t>，沉陷不得影响此保护范围。</w:t>
      </w:r>
      <w:r>
        <w:rPr>
          <w:rFonts w:hint="eastAsia"/>
        </w:rPr>
        <w:t>按维护带宽度</w:t>
      </w:r>
      <w:r>
        <w:rPr>
          <w:rFonts w:hint="eastAsia"/>
        </w:rPr>
        <w:t>2</w:t>
      </w:r>
      <w:r>
        <w:t>0</w:t>
      </w:r>
      <w:r>
        <w:rPr>
          <w:rFonts w:hint="eastAsia"/>
        </w:rPr>
        <w:t>m</w:t>
      </w:r>
      <w:r>
        <w:rPr>
          <w:rFonts w:hint="eastAsia"/>
        </w:rPr>
        <w:t>考虑，</w:t>
      </w:r>
      <w:r>
        <w:rPr>
          <w:rFonts w:cs="Times New Roman" w:hint="eastAsia"/>
        </w:rPr>
        <w:t>根据计算，</w:t>
      </w:r>
      <w:r>
        <w:rPr>
          <w:rFonts w:cs="Times New Roman"/>
        </w:rPr>
        <w:t>本次评价提出</w:t>
      </w:r>
      <w:r>
        <w:rPr>
          <w:rFonts w:cs="Times New Roman" w:hint="eastAsia"/>
        </w:rPr>
        <w:t>对水洞沟遗址、明长城及红山堡城址文物保护范围留设</w:t>
      </w:r>
      <w:r>
        <w:rPr>
          <w:rFonts w:cs="Times New Roman"/>
        </w:rPr>
        <w:t>70~455m</w:t>
      </w:r>
      <w:r>
        <w:rPr>
          <w:rFonts w:cs="Times New Roman" w:hint="eastAsia"/>
        </w:rPr>
        <w:t>的保护煤柱</w:t>
      </w:r>
      <w:r>
        <w:rPr>
          <w:rFonts w:cs="Times New Roman"/>
        </w:rPr>
        <w:t>。</w:t>
      </w:r>
    </w:p>
    <w:bookmarkEnd w:id="226"/>
    <w:p w14:paraId="61D5DE2D" w14:textId="77777777" w:rsidR="009C353B" w:rsidRDefault="00000000">
      <w:pPr>
        <w:spacing w:line="440" w:lineRule="exact"/>
        <w:ind w:firstLineChars="200" w:firstLine="480"/>
        <w:jc w:val="left"/>
        <w:rPr>
          <w:rFonts w:ascii="Times New Roman" w:hAnsi="Times New Roman"/>
        </w:rPr>
      </w:pPr>
      <w:r>
        <w:rPr>
          <w:rFonts w:ascii="Times New Roman" w:hAnsi="Times New Roman" w:hint="eastAsia"/>
        </w:rPr>
        <w:t>（</w:t>
      </w:r>
      <w:r>
        <w:rPr>
          <w:rFonts w:ascii="Times New Roman" w:hAnsi="Times New Roman" w:hint="eastAsia"/>
        </w:rPr>
        <w:t>6</w:t>
      </w:r>
      <w:r>
        <w:rPr>
          <w:rFonts w:ascii="Times New Roman" w:hAnsi="Times New Roman" w:hint="eastAsia"/>
        </w:rPr>
        <w:t>）太</w:t>
      </w:r>
      <w:r>
        <w:rPr>
          <w:rFonts w:ascii="Times New Roman" w:hAnsi="Times New Roman"/>
        </w:rPr>
        <w:t>-</w:t>
      </w:r>
      <w:r>
        <w:rPr>
          <w:rFonts w:ascii="Times New Roman" w:hAnsi="Times New Roman"/>
        </w:rPr>
        <w:t>中</w:t>
      </w:r>
      <w:r>
        <w:rPr>
          <w:rFonts w:ascii="Times New Roman" w:hAnsi="Times New Roman"/>
        </w:rPr>
        <w:t>-</w:t>
      </w:r>
      <w:r>
        <w:rPr>
          <w:rFonts w:ascii="Times New Roman" w:hAnsi="Times New Roman"/>
        </w:rPr>
        <w:t>银铁路</w:t>
      </w:r>
      <w:r>
        <w:rPr>
          <w:rFonts w:ascii="Times New Roman" w:hAnsi="Times New Roman" w:hint="eastAsia"/>
        </w:rPr>
        <w:t>保护煤柱</w:t>
      </w:r>
    </w:p>
    <w:p w14:paraId="64B949F3" w14:textId="77777777" w:rsidR="009C353B" w:rsidRDefault="00000000">
      <w:pPr>
        <w:spacing w:line="440" w:lineRule="exact"/>
        <w:ind w:firstLineChars="200" w:firstLine="480"/>
        <w:jc w:val="left"/>
        <w:rPr>
          <w:rFonts w:ascii="Times New Roman" w:hAnsi="Times New Roman"/>
        </w:rPr>
      </w:pPr>
      <w:r>
        <w:rPr>
          <w:rFonts w:ascii="Times New Roman" w:hAnsi="Times New Roman" w:hint="eastAsia"/>
        </w:rPr>
        <w:t>太</w:t>
      </w:r>
      <w:r>
        <w:rPr>
          <w:rFonts w:ascii="Times New Roman" w:hAnsi="Times New Roman"/>
        </w:rPr>
        <w:t>-</w:t>
      </w:r>
      <w:r>
        <w:rPr>
          <w:rFonts w:ascii="Times New Roman" w:hAnsi="Times New Roman"/>
        </w:rPr>
        <w:t>中</w:t>
      </w:r>
      <w:r>
        <w:rPr>
          <w:rFonts w:ascii="Times New Roman" w:hAnsi="Times New Roman"/>
        </w:rPr>
        <w:t>-</w:t>
      </w:r>
      <w:r>
        <w:rPr>
          <w:rFonts w:ascii="Times New Roman" w:hAnsi="Times New Roman"/>
        </w:rPr>
        <w:t>银铁路从丁家梁井田内南部穿过，井田内长约</w:t>
      </w:r>
      <w:r>
        <w:rPr>
          <w:rFonts w:ascii="Times New Roman" w:hAnsi="Times New Roman"/>
        </w:rPr>
        <w:t>4.76km</w:t>
      </w:r>
      <w:r>
        <w:rPr>
          <w:rFonts w:ascii="Times New Roman" w:hAnsi="Times New Roman"/>
        </w:rPr>
        <w:t>，规划已对其留设</w:t>
      </w:r>
      <w:r>
        <w:rPr>
          <w:rFonts w:ascii="Times New Roman" w:hAnsi="Times New Roman"/>
        </w:rPr>
        <w:t>360-460m</w:t>
      </w:r>
      <w:r>
        <w:rPr>
          <w:rFonts w:ascii="Times New Roman" w:hAnsi="Times New Roman"/>
        </w:rPr>
        <w:t>宽的保护煤柱；</w:t>
      </w:r>
    </w:p>
    <w:p w14:paraId="3356EBCF" w14:textId="77777777" w:rsidR="009C353B" w:rsidRDefault="00000000">
      <w:pPr>
        <w:spacing w:line="440" w:lineRule="exact"/>
        <w:ind w:firstLineChars="200" w:firstLine="480"/>
        <w:jc w:val="left"/>
        <w:rPr>
          <w:rFonts w:hint="eastAsia"/>
        </w:rPr>
      </w:pPr>
      <w:r>
        <w:rPr>
          <w:rFonts w:hint="eastAsia"/>
        </w:rPr>
        <w:t>（7）甜水河变电站保护煤柱</w:t>
      </w:r>
    </w:p>
    <w:p w14:paraId="28A139B2" w14:textId="77777777" w:rsidR="009C353B" w:rsidRDefault="00000000">
      <w:pPr>
        <w:spacing w:line="440" w:lineRule="exact"/>
        <w:ind w:firstLineChars="200" w:firstLine="480"/>
        <w:jc w:val="left"/>
        <w:rPr>
          <w:rFonts w:hint="eastAsia"/>
        </w:rPr>
      </w:pPr>
      <w:r>
        <w:rPr>
          <w:rFonts w:hint="eastAsia"/>
        </w:rPr>
        <w:t>甜水河变电站位于丁家梁井田内东北角，</w:t>
      </w:r>
      <w:r>
        <w:t>占地面积</w:t>
      </w:r>
      <w:r>
        <w:rPr>
          <w:rFonts w:hint="eastAsia"/>
        </w:rPr>
        <w:t>约</w:t>
      </w:r>
      <w:r>
        <w:t>112.2hm</w:t>
      </w:r>
      <w:r>
        <w:rPr>
          <w:vertAlign w:val="superscript"/>
        </w:rPr>
        <w:t>2</w:t>
      </w:r>
      <w:r>
        <w:rPr>
          <w:rFonts w:hint="eastAsia"/>
        </w:rPr>
        <w:t>。</w:t>
      </w:r>
      <w:r>
        <w:rPr>
          <w:rFonts w:ascii="Times New Roman" w:hAnsi="Times New Roman" w:hint="eastAsia"/>
        </w:rPr>
        <w:t>按维护带宽度</w:t>
      </w:r>
      <w:r>
        <w:rPr>
          <w:rFonts w:ascii="Times New Roman" w:hAnsi="Times New Roman"/>
        </w:rPr>
        <w:t>15</w:t>
      </w:r>
      <w:r>
        <w:rPr>
          <w:rFonts w:ascii="Times New Roman" w:hAnsi="Times New Roman" w:hint="eastAsia"/>
        </w:rPr>
        <w:t>m</w:t>
      </w:r>
      <w:r>
        <w:rPr>
          <w:rFonts w:ascii="Times New Roman" w:hAnsi="Times New Roman" w:hint="eastAsia"/>
        </w:rPr>
        <w:t>考虑，</w:t>
      </w:r>
      <w:r>
        <w:rPr>
          <w:rFonts w:hint="eastAsia"/>
        </w:rPr>
        <w:t>根据计算，</w:t>
      </w:r>
      <w:r>
        <w:t>本次评价提出</w:t>
      </w:r>
      <w:r>
        <w:rPr>
          <w:rFonts w:hint="eastAsia"/>
        </w:rPr>
        <w:t>对甜水河变电站留设煤柱宽度为4</w:t>
      </w:r>
      <w:r>
        <w:t>27</w:t>
      </w:r>
      <w:r>
        <w:rPr>
          <w:rFonts w:hint="eastAsia"/>
        </w:rPr>
        <w:t>m。</w:t>
      </w:r>
    </w:p>
    <w:p w14:paraId="4C2F1ECE" w14:textId="77777777" w:rsidR="009C353B" w:rsidRDefault="00000000">
      <w:pPr>
        <w:spacing w:line="440" w:lineRule="exact"/>
        <w:ind w:firstLineChars="200" w:firstLine="480"/>
        <w:jc w:val="left"/>
        <w:rPr>
          <w:rFonts w:ascii="Times New Roman" w:hAnsi="Times New Roman"/>
        </w:rPr>
      </w:pPr>
      <w:r>
        <w:rPr>
          <w:rFonts w:ascii="Times New Roman" w:hAnsi="Times New Roman" w:hint="eastAsia"/>
        </w:rPr>
        <w:t>（</w:t>
      </w:r>
      <w:r>
        <w:rPr>
          <w:rFonts w:ascii="Times New Roman" w:hAnsi="Times New Roman" w:hint="eastAsia"/>
        </w:rPr>
        <w:t>8</w:t>
      </w:r>
      <w:r>
        <w:rPr>
          <w:rFonts w:ascii="Times New Roman" w:hAnsi="Times New Roman" w:hint="eastAsia"/>
        </w:rPr>
        <w:t>）宁东基地</w:t>
      </w:r>
      <w:r>
        <w:rPr>
          <w:rFonts w:ascii="Times New Roman" w:hAnsi="Times New Roman"/>
        </w:rPr>
        <w:t>2</w:t>
      </w:r>
      <w:r>
        <w:rPr>
          <w:rFonts w:ascii="Times New Roman" w:hAnsi="Times New Roman"/>
        </w:rPr>
        <w:t>号综合渣场</w:t>
      </w:r>
      <w:r>
        <w:rPr>
          <w:rFonts w:ascii="Times New Roman" w:hAnsi="Times New Roman" w:hint="eastAsia"/>
        </w:rPr>
        <w:t>煤柱</w:t>
      </w:r>
    </w:p>
    <w:p w14:paraId="46BDA711" w14:textId="77777777" w:rsidR="009C353B" w:rsidRDefault="00000000">
      <w:pPr>
        <w:spacing w:line="440" w:lineRule="exact"/>
        <w:ind w:firstLineChars="200" w:firstLine="480"/>
        <w:jc w:val="left"/>
        <w:rPr>
          <w:rFonts w:hint="eastAsia"/>
        </w:rPr>
      </w:pPr>
      <w:r>
        <w:rPr>
          <w:rFonts w:ascii="Times New Roman" w:hint="eastAsia"/>
        </w:rPr>
        <w:t>宁东基地</w:t>
      </w:r>
      <w:r>
        <w:rPr>
          <w:rFonts w:ascii="Times New Roman"/>
        </w:rPr>
        <w:t>2</w:t>
      </w:r>
      <w:r>
        <w:rPr>
          <w:rFonts w:ascii="Times New Roman"/>
        </w:rPr>
        <w:t>号综合渣场占地面积</w:t>
      </w:r>
      <w:r>
        <w:rPr>
          <w:rFonts w:ascii="Times New Roman" w:hint="eastAsia"/>
        </w:rPr>
        <w:t>约</w:t>
      </w:r>
      <w:r>
        <w:rPr>
          <w:rFonts w:ascii="Times New Roman"/>
        </w:rPr>
        <w:t>1.76km</w:t>
      </w:r>
      <w:r>
        <w:rPr>
          <w:rFonts w:ascii="Times New Roman"/>
          <w:vertAlign w:val="superscript"/>
        </w:rPr>
        <w:t>2</w:t>
      </w:r>
      <w:r>
        <w:rPr>
          <w:rFonts w:ascii="Times New Roman"/>
        </w:rPr>
        <w:t>，位于</w:t>
      </w:r>
      <w:r>
        <w:rPr>
          <w:rFonts w:ascii="Times New Roman" w:hint="eastAsia"/>
        </w:rPr>
        <w:t>丁家梁</w:t>
      </w:r>
      <w:r>
        <w:rPr>
          <w:rFonts w:ascii="Times New Roman"/>
        </w:rPr>
        <w:t>井田内</w:t>
      </w:r>
      <w:r>
        <w:rPr>
          <w:rFonts w:ascii="Times New Roman" w:hint="eastAsia"/>
        </w:rPr>
        <w:t>。</w:t>
      </w:r>
      <w:r>
        <w:rPr>
          <w:rFonts w:ascii="Times New Roman" w:hAnsi="Times New Roman" w:hint="eastAsia"/>
        </w:rPr>
        <w:t>按维护带宽度</w:t>
      </w:r>
      <w:r>
        <w:rPr>
          <w:rFonts w:ascii="Times New Roman" w:hAnsi="Times New Roman"/>
        </w:rPr>
        <w:t>15</w:t>
      </w:r>
      <w:r>
        <w:rPr>
          <w:rFonts w:ascii="Times New Roman" w:hAnsi="Times New Roman" w:hint="eastAsia"/>
        </w:rPr>
        <w:t>m</w:t>
      </w:r>
      <w:r>
        <w:rPr>
          <w:rFonts w:ascii="Times New Roman" w:hAnsi="Times New Roman" w:hint="eastAsia"/>
        </w:rPr>
        <w:t>考虑，</w:t>
      </w:r>
      <w:r>
        <w:rPr>
          <w:rFonts w:hint="eastAsia"/>
        </w:rPr>
        <w:t>根据计算，</w:t>
      </w:r>
      <w:r>
        <w:t>本次评价</w:t>
      </w:r>
      <w:r>
        <w:rPr>
          <w:rFonts w:hint="eastAsia"/>
        </w:rPr>
        <w:t>建议根据实际情况对</w:t>
      </w:r>
      <w:r>
        <w:rPr>
          <w:rFonts w:ascii="Times New Roman" w:hint="eastAsia"/>
        </w:rPr>
        <w:t>宁东基地</w:t>
      </w:r>
      <w:r>
        <w:rPr>
          <w:rFonts w:ascii="Times New Roman"/>
        </w:rPr>
        <w:t>2</w:t>
      </w:r>
      <w:r>
        <w:rPr>
          <w:rFonts w:ascii="Times New Roman"/>
        </w:rPr>
        <w:t>号综合渣场</w:t>
      </w:r>
      <w:r>
        <w:rPr>
          <w:rFonts w:hint="eastAsia"/>
        </w:rPr>
        <w:t>留设煤柱宽度为</w:t>
      </w:r>
      <w:r>
        <w:t>360-460</w:t>
      </w:r>
      <w:r>
        <w:rPr>
          <w:rFonts w:hint="eastAsia"/>
        </w:rPr>
        <w:t>m。</w:t>
      </w:r>
    </w:p>
    <w:p w14:paraId="74BF1608" w14:textId="77777777" w:rsidR="009C353B" w:rsidRDefault="00000000">
      <w:pPr>
        <w:pStyle w:val="2ff4"/>
        <w:spacing w:line="440" w:lineRule="exact"/>
        <w:rPr>
          <w:rFonts w:hAnsi="宋体" w:cs="Times New Roman" w:hint="eastAsia"/>
        </w:rPr>
      </w:pPr>
      <w:r>
        <w:rPr>
          <w:rFonts w:hAnsi="宋体" w:cs="Times New Roman" w:hint="eastAsia"/>
        </w:rPr>
        <w:t>（</w:t>
      </w:r>
      <w:r>
        <w:rPr>
          <w:rFonts w:hAnsi="宋体" w:cs="Times New Roman" w:hint="eastAsia"/>
        </w:rPr>
        <w:t>9</w:t>
      </w:r>
      <w:r>
        <w:rPr>
          <w:rFonts w:hAnsi="宋体" w:cs="Times New Roman" w:hint="eastAsia"/>
        </w:rPr>
        <w:t>）临河综合工业园区（</w:t>
      </w:r>
      <w:r>
        <w:rPr>
          <w:rFonts w:hAnsi="宋体" w:cs="Times New Roman"/>
        </w:rPr>
        <w:t>A</w:t>
      </w:r>
      <w:r>
        <w:rPr>
          <w:rFonts w:hAnsi="宋体" w:cs="Times New Roman"/>
        </w:rPr>
        <w:t>区）</w:t>
      </w:r>
      <w:r>
        <w:rPr>
          <w:rFonts w:hAnsi="宋体" w:cs="Times New Roman" w:hint="eastAsia"/>
        </w:rPr>
        <w:t>保护煤柱</w:t>
      </w:r>
    </w:p>
    <w:p w14:paraId="61BD2F75" w14:textId="77777777" w:rsidR="009C353B" w:rsidRDefault="00000000">
      <w:pPr>
        <w:spacing w:line="440" w:lineRule="exact"/>
        <w:ind w:firstLineChars="200" w:firstLine="480"/>
        <w:jc w:val="left"/>
        <w:rPr>
          <w:rFonts w:hint="eastAsia"/>
        </w:rPr>
      </w:pPr>
      <w:r>
        <w:rPr>
          <w:rFonts w:hint="eastAsia"/>
        </w:rPr>
        <w:t>临河综合工业园区（</w:t>
      </w:r>
      <w:r>
        <w:t>A区）</w:t>
      </w:r>
      <w:r>
        <w:rPr>
          <w:rFonts w:hint="eastAsia"/>
        </w:rPr>
        <w:t>位于丁家梁井田内东北角，</w:t>
      </w:r>
      <w:r>
        <w:t>占地面积</w:t>
      </w:r>
      <w:r>
        <w:rPr>
          <w:rFonts w:hint="eastAsia"/>
        </w:rPr>
        <w:t>约</w:t>
      </w:r>
      <w:r>
        <w:t>23.18hm</w:t>
      </w:r>
      <w:r>
        <w:rPr>
          <w:vertAlign w:val="superscript"/>
        </w:rPr>
        <w:t>2</w:t>
      </w:r>
      <w:r>
        <w:rPr>
          <w:rFonts w:hint="eastAsia"/>
        </w:rPr>
        <w:t>。</w:t>
      </w:r>
      <w:r>
        <w:rPr>
          <w:rFonts w:ascii="Times New Roman" w:hAnsi="Times New Roman" w:hint="eastAsia"/>
        </w:rPr>
        <w:t>按维护带宽度</w:t>
      </w:r>
      <w:r>
        <w:rPr>
          <w:rFonts w:ascii="Times New Roman" w:hAnsi="Times New Roman"/>
        </w:rPr>
        <w:t>15</w:t>
      </w:r>
      <w:r>
        <w:rPr>
          <w:rFonts w:ascii="Times New Roman" w:hAnsi="Times New Roman" w:hint="eastAsia"/>
        </w:rPr>
        <w:t>m</w:t>
      </w:r>
      <w:r>
        <w:rPr>
          <w:rFonts w:ascii="Times New Roman" w:hAnsi="Times New Roman" w:hint="eastAsia"/>
        </w:rPr>
        <w:t>考虑，</w:t>
      </w:r>
      <w:r>
        <w:rPr>
          <w:rFonts w:hint="eastAsia"/>
        </w:rPr>
        <w:t>根据计算，</w:t>
      </w:r>
      <w:r>
        <w:t>本次评价提出</w:t>
      </w:r>
      <w:r>
        <w:rPr>
          <w:rFonts w:hint="eastAsia"/>
        </w:rPr>
        <w:t>对临河综合工业园区（</w:t>
      </w:r>
      <w:r>
        <w:t>A区）</w:t>
      </w:r>
      <w:r>
        <w:rPr>
          <w:rFonts w:hint="eastAsia"/>
        </w:rPr>
        <w:t>留设煤柱宽度为4</w:t>
      </w:r>
      <w:r>
        <w:t>27</w:t>
      </w:r>
      <w:r>
        <w:rPr>
          <w:rFonts w:hint="eastAsia"/>
        </w:rPr>
        <w:t>m。</w:t>
      </w:r>
    </w:p>
    <w:p w14:paraId="31D293C4" w14:textId="77777777" w:rsidR="009C353B" w:rsidRDefault="00000000">
      <w:pPr>
        <w:spacing w:line="440" w:lineRule="exact"/>
        <w:ind w:firstLineChars="200" w:firstLine="480"/>
        <w:jc w:val="left"/>
        <w:rPr>
          <w:rFonts w:hint="eastAsia"/>
        </w:rPr>
      </w:pPr>
      <w:r>
        <w:rPr>
          <w:rFonts w:hint="eastAsia"/>
        </w:rPr>
        <w:t>（1</w:t>
      </w:r>
      <w:r>
        <w:t>0</w:t>
      </w:r>
      <w:r>
        <w:rPr>
          <w:rFonts w:hint="eastAsia"/>
        </w:rPr>
        <w:t>）宁东煤化工产业园区保护煤柱</w:t>
      </w:r>
    </w:p>
    <w:p w14:paraId="767B8E22" w14:textId="77777777" w:rsidR="009C353B" w:rsidRDefault="00000000">
      <w:pPr>
        <w:adjustRightInd w:val="0"/>
        <w:snapToGrid w:val="0"/>
        <w:spacing w:line="440" w:lineRule="exact"/>
        <w:ind w:firstLine="482"/>
        <w:rPr>
          <w:rFonts w:ascii="Times New Roman" w:hint="eastAsia"/>
        </w:rPr>
      </w:pPr>
      <w:r>
        <w:rPr>
          <w:rFonts w:hint="eastAsia"/>
        </w:rPr>
        <w:t>宁东煤化工产业园区有1</w:t>
      </w:r>
      <w:r>
        <w:t>.14</w:t>
      </w:r>
      <w:r>
        <w:rPr>
          <w:rFonts w:hint="eastAsia"/>
        </w:rPr>
        <w:t>km</w:t>
      </w:r>
      <w:r>
        <w:rPr>
          <w:vertAlign w:val="superscript"/>
        </w:rPr>
        <w:t>2</w:t>
      </w:r>
      <w:r>
        <w:rPr>
          <w:rFonts w:hint="eastAsia"/>
        </w:rPr>
        <w:t>与马莲台井田南部重合。根据计算，本次评价提出对其留设</w:t>
      </w:r>
      <w:r>
        <w:t>260-460m宽的保护煤柱</w:t>
      </w:r>
      <w:r>
        <w:rPr>
          <w:rFonts w:hint="eastAsia"/>
        </w:rPr>
        <w:t>。</w:t>
      </w:r>
    </w:p>
    <w:p w14:paraId="7D089693" w14:textId="77777777" w:rsidR="009C353B" w:rsidRDefault="00000000">
      <w:pPr>
        <w:pStyle w:val="3"/>
        <w:spacing w:before="120" w:after="120" w:line="440" w:lineRule="exact"/>
        <w:rPr>
          <w:rFonts w:ascii="Times New Roman" w:hAnsi="Times New Roman"/>
          <w:sz w:val="24"/>
        </w:rPr>
      </w:pPr>
      <w:r>
        <w:rPr>
          <w:rFonts w:ascii="Times New Roman" w:hAnsi="Times New Roman" w:hint="eastAsia"/>
          <w:sz w:val="24"/>
        </w:rPr>
        <w:t>6.1.</w:t>
      </w:r>
      <w:r>
        <w:rPr>
          <w:rFonts w:ascii="Times New Roman" w:hAnsi="Times New Roman"/>
          <w:sz w:val="24"/>
        </w:rPr>
        <w:t>3</w:t>
      </w:r>
      <w:r>
        <w:rPr>
          <w:rFonts w:ascii="Times New Roman" w:hAnsi="Times New Roman" w:hint="eastAsia"/>
          <w:sz w:val="24"/>
        </w:rPr>
        <w:t xml:space="preserve"> </w:t>
      </w:r>
      <w:r>
        <w:rPr>
          <w:rFonts w:ascii="Times New Roman" w:hAnsi="Times New Roman" w:hint="eastAsia"/>
          <w:sz w:val="24"/>
        </w:rPr>
        <w:t>地表沉陷预测与分析</w:t>
      </w:r>
    </w:p>
    <w:p w14:paraId="4D8578B7"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 xml:space="preserve">6.1.3.1 </w:t>
      </w:r>
      <w:r>
        <w:rPr>
          <w:rFonts w:ascii="Times New Roman" w:eastAsia="宋体" w:hAnsi="Times New Roman" w:hint="eastAsia"/>
          <w:sz w:val="24"/>
        </w:rPr>
        <w:t>沉陷预测模型</w:t>
      </w:r>
    </w:p>
    <w:p w14:paraId="1474F34D"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int="eastAsia"/>
          <w:szCs w:val="24"/>
        </w:rPr>
        <w:t>表沉陷预测采用概率积分法模型。该模型描述如下：</w:t>
      </w:r>
    </w:p>
    <w:p w14:paraId="65A69D3F"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Ansi="Times New Roman" w:hint="eastAsia"/>
          <w:szCs w:val="24"/>
        </w:rPr>
        <w:t>（</w:t>
      </w:r>
      <w:r>
        <w:rPr>
          <w:rFonts w:ascii="Times New Roman" w:hAnsi="Times New Roman"/>
          <w:szCs w:val="24"/>
        </w:rPr>
        <w:t>1</w:t>
      </w:r>
      <w:r>
        <w:rPr>
          <w:rFonts w:ascii="Times New Roman" w:hint="eastAsia"/>
          <w:szCs w:val="24"/>
        </w:rPr>
        <w:t>）稳定态预计模型</w:t>
      </w:r>
    </w:p>
    <w:p w14:paraId="43EB76A4"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int="eastAsia"/>
          <w:szCs w:val="24"/>
        </w:rPr>
        <w:t>在倾斜煤层中开采某单元</w:t>
      </w:r>
      <w:r>
        <w:rPr>
          <w:rFonts w:ascii="Times New Roman" w:hAnsi="Times New Roman"/>
          <w:szCs w:val="24"/>
        </w:rPr>
        <w:t>i</w:t>
      </w:r>
      <w:r>
        <w:rPr>
          <w:rFonts w:ascii="Times New Roman" w:hint="eastAsia"/>
          <w:szCs w:val="24"/>
        </w:rPr>
        <w:t>，按概率积分法的基本原理，单元开采引起地表任意点</w:t>
      </w:r>
      <w:r>
        <w:rPr>
          <w:rFonts w:ascii="Times New Roman" w:hAnsi="Times New Roman"/>
          <w:szCs w:val="24"/>
        </w:rPr>
        <w:t>(x</w:t>
      </w:r>
      <w:r>
        <w:rPr>
          <w:rFonts w:ascii="Times New Roman" w:hint="eastAsia"/>
          <w:szCs w:val="24"/>
        </w:rPr>
        <w:t>，</w:t>
      </w:r>
      <w:r>
        <w:rPr>
          <w:rFonts w:ascii="Times New Roman" w:hAnsi="Times New Roman"/>
          <w:szCs w:val="24"/>
        </w:rPr>
        <w:t>y)</w:t>
      </w:r>
      <w:r>
        <w:rPr>
          <w:rFonts w:ascii="Times New Roman" w:hint="eastAsia"/>
          <w:szCs w:val="24"/>
        </w:rPr>
        <w:t>的下沉</w:t>
      </w:r>
      <w:r>
        <w:rPr>
          <w:rFonts w:ascii="Times New Roman" w:hAnsi="Times New Roman"/>
          <w:szCs w:val="24"/>
        </w:rPr>
        <w:t xml:space="preserve">( </w:t>
      </w:r>
      <w:r>
        <w:rPr>
          <w:rFonts w:ascii="Times New Roman" w:hint="eastAsia"/>
          <w:szCs w:val="24"/>
        </w:rPr>
        <w:t>最终值</w:t>
      </w:r>
      <w:r>
        <w:rPr>
          <w:rFonts w:ascii="Times New Roman" w:hAnsi="Times New Roman"/>
          <w:szCs w:val="24"/>
        </w:rPr>
        <w:t xml:space="preserve"> )</w:t>
      </w:r>
      <w:r>
        <w:rPr>
          <w:rFonts w:ascii="Times New Roman" w:hint="eastAsia"/>
          <w:szCs w:val="24"/>
        </w:rPr>
        <w:t>为：</w:t>
      </w:r>
    </w:p>
    <w:p w14:paraId="3B335BFA"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Ansi="Times New Roman"/>
          <w:szCs w:val="24"/>
        </w:rPr>
        <w:t>W</w:t>
      </w:r>
      <w:r>
        <w:rPr>
          <w:rFonts w:ascii="Times New Roman" w:hAnsi="Times New Roman"/>
          <w:szCs w:val="24"/>
          <w:vertAlign w:val="subscript"/>
        </w:rPr>
        <w:t>e0i</w:t>
      </w:r>
      <w:r>
        <w:rPr>
          <w:rFonts w:ascii="Times New Roman" w:hAnsi="Times New Roman"/>
          <w:szCs w:val="24"/>
        </w:rPr>
        <w:t>(x,y)=(1/r</w:t>
      </w:r>
      <w:r>
        <w:rPr>
          <w:rFonts w:ascii="Times New Roman" w:hAnsi="Times New Roman"/>
          <w:szCs w:val="24"/>
          <w:vertAlign w:val="superscript"/>
        </w:rPr>
        <w:t>2</w:t>
      </w:r>
      <w:r>
        <w:rPr>
          <w:rFonts w:ascii="Times New Roman" w:hAnsi="Times New Roman"/>
          <w:szCs w:val="24"/>
        </w:rPr>
        <w:t>)·exp(-π(x-x</w:t>
      </w:r>
      <w:r>
        <w:rPr>
          <w:rFonts w:ascii="Times New Roman" w:hAnsi="Times New Roman"/>
          <w:szCs w:val="24"/>
          <w:vertAlign w:val="subscript"/>
        </w:rPr>
        <w:t>i</w:t>
      </w:r>
      <w:r>
        <w:rPr>
          <w:rFonts w:ascii="Times New Roman" w:hAnsi="Times New Roman"/>
          <w:szCs w:val="24"/>
        </w:rPr>
        <w:t>)</w:t>
      </w:r>
      <w:r>
        <w:rPr>
          <w:rFonts w:ascii="Times New Roman" w:hAnsi="Times New Roman"/>
          <w:szCs w:val="24"/>
          <w:vertAlign w:val="superscript"/>
        </w:rPr>
        <w:t>2</w:t>
      </w:r>
      <w:r>
        <w:rPr>
          <w:rFonts w:ascii="Times New Roman" w:hAnsi="Times New Roman"/>
          <w:szCs w:val="24"/>
        </w:rPr>
        <w:t>/r</w:t>
      </w:r>
      <w:r>
        <w:rPr>
          <w:rFonts w:ascii="Times New Roman" w:hAnsi="Times New Roman"/>
          <w:szCs w:val="24"/>
          <w:vertAlign w:val="superscript"/>
        </w:rPr>
        <w:t>2</w:t>
      </w:r>
      <w:r>
        <w:rPr>
          <w:rFonts w:ascii="Times New Roman" w:hAnsi="Times New Roman"/>
          <w:szCs w:val="24"/>
        </w:rPr>
        <w:t>)·exp(-π(y-y</w:t>
      </w:r>
      <w:r>
        <w:rPr>
          <w:rFonts w:ascii="Times New Roman" w:hAnsi="Times New Roman"/>
          <w:szCs w:val="24"/>
          <w:vertAlign w:val="subscript"/>
        </w:rPr>
        <w:t>i</w:t>
      </w:r>
      <w:r>
        <w:rPr>
          <w:rFonts w:ascii="Times New Roman" w:hAnsi="Times New Roman"/>
          <w:szCs w:val="24"/>
        </w:rPr>
        <w:t>+l</w:t>
      </w:r>
      <w:r>
        <w:rPr>
          <w:rFonts w:ascii="Times New Roman" w:hAnsi="Times New Roman"/>
          <w:szCs w:val="24"/>
          <w:vertAlign w:val="subscript"/>
        </w:rPr>
        <w:t>i</w:t>
      </w:r>
      <w:r>
        <w:rPr>
          <w:rFonts w:ascii="Times New Roman" w:hAnsi="Times New Roman"/>
          <w:szCs w:val="24"/>
        </w:rPr>
        <w:t>)</w:t>
      </w:r>
      <w:r>
        <w:rPr>
          <w:rFonts w:ascii="Times New Roman" w:hAnsi="Times New Roman"/>
          <w:szCs w:val="24"/>
          <w:vertAlign w:val="superscript"/>
        </w:rPr>
        <w:t>2</w:t>
      </w:r>
      <w:r>
        <w:rPr>
          <w:rFonts w:ascii="Times New Roman" w:hAnsi="Times New Roman"/>
          <w:szCs w:val="24"/>
        </w:rPr>
        <w:t>/r</w:t>
      </w:r>
      <w:r>
        <w:rPr>
          <w:rFonts w:ascii="Times New Roman" w:hAnsi="Times New Roman"/>
          <w:szCs w:val="24"/>
          <w:vertAlign w:val="superscript"/>
        </w:rPr>
        <w:t>2</w:t>
      </w:r>
      <w:r>
        <w:rPr>
          <w:rFonts w:ascii="Times New Roman" w:hAnsi="Times New Roman"/>
          <w:szCs w:val="24"/>
        </w:rPr>
        <w:t>)</w:t>
      </w:r>
    </w:p>
    <w:p w14:paraId="3C5C5CF6"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int="eastAsia"/>
          <w:szCs w:val="24"/>
        </w:rPr>
        <w:t>式中：</w:t>
      </w:r>
      <w:r>
        <w:rPr>
          <w:rFonts w:ascii="Times New Roman" w:hAnsi="Times New Roman"/>
          <w:szCs w:val="24"/>
        </w:rPr>
        <w:t>r</w:t>
      </w:r>
      <w:r>
        <w:rPr>
          <w:rFonts w:ascii="Times New Roman" w:hint="eastAsia"/>
          <w:szCs w:val="24"/>
        </w:rPr>
        <w:t>为主要影响半径，</w:t>
      </w:r>
      <w:r>
        <w:rPr>
          <w:rFonts w:ascii="Times New Roman" w:hAnsi="Times New Roman"/>
          <w:szCs w:val="24"/>
        </w:rPr>
        <w:t>r=H</w:t>
      </w:r>
      <w:r>
        <w:rPr>
          <w:rFonts w:ascii="Times New Roman" w:hAnsi="Times New Roman"/>
          <w:szCs w:val="24"/>
          <w:vertAlign w:val="subscript"/>
        </w:rPr>
        <w:t>0</w:t>
      </w:r>
      <w:r>
        <w:rPr>
          <w:rFonts w:ascii="Times New Roman" w:hAnsi="Times New Roman"/>
          <w:szCs w:val="24"/>
        </w:rPr>
        <w:t>/tanβ</w:t>
      </w:r>
      <w:r>
        <w:rPr>
          <w:rFonts w:ascii="Times New Roman" w:hint="eastAsia"/>
          <w:szCs w:val="24"/>
        </w:rPr>
        <w:t>；</w:t>
      </w:r>
    </w:p>
    <w:p w14:paraId="3E672CB9" w14:textId="77777777" w:rsidR="009C353B" w:rsidRDefault="00000000">
      <w:pPr>
        <w:adjustRightInd w:val="0"/>
        <w:snapToGrid w:val="0"/>
        <w:spacing w:line="440" w:lineRule="exact"/>
        <w:ind w:firstLineChars="500" w:firstLine="1200"/>
        <w:jc w:val="left"/>
        <w:rPr>
          <w:rFonts w:ascii="Times New Roman" w:hAnsi="Times New Roman"/>
          <w:szCs w:val="24"/>
        </w:rPr>
      </w:pPr>
      <w:r>
        <w:rPr>
          <w:rFonts w:ascii="Times New Roman" w:hAnsi="Times New Roman"/>
          <w:szCs w:val="24"/>
        </w:rPr>
        <w:t>H</w:t>
      </w:r>
      <w:r>
        <w:rPr>
          <w:rFonts w:ascii="Times New Roman" w:hAnsi="Times New Roman"/>
          <w:szCs w:val="24"/>
          <w:vertAlign w:val="subscript"/>
        </w:rPr>
        <w:t>0</w:t>
      </w:r>
      <w:r>
        <w:rPr>
          <w:rFonts w:ascii="Times New Roman" w:hint="eastAsia"/>
          <w:szCs w:val="24"/>
        </w:rPr>
        <w:t>为平均采深；</w:t>
      </w:r>
      <w:r>
        <w:rPr>
          <w:rFonts w:ascii="Times New Roman" w:hAnsi="Times New Roman"/>
          <w:szCs w:val="24"/>
        </w:rPr>
        <w:t>tanβ</w:t>
      </w:r>
      <w:r>
        <w:rPr>
          <w:rFonts w:ascii="Times New Roman" w:hint="eastAsia"/>
          <w:szCs w:val="24"/>
        </w:rPr>
        <w:t>，预计参数，为主要影响角</w:t>
      </w:r>
      <w:r>
        <w:rPr>
          <w:rFonts w:ascii="Times New Roman" w:hAnsi="Times New Roman"/>
          <w:szCs w:val="24"/>
        </w:rPr>
        <w:t>β</w:t>
      </w:r>
      <w:r>
        <w:rPr>
          <w:rFonts w:ascii="Times New Roman" w:hint="eastAsia"/>
          <w:szCs w:val="24"/>
        </w:rPr>
        <w:t>之正切；</w:t>
      </w:r>
    </w:p>
    <w:p w14:paraId="172B8981" w14:textId="77777777" w:rsidR="009C353B" w:rsidRDefault="00000000">
      <w:pPr>
        <w:adjustRightInd w:val="0"/>
        <w:snapToGrid w:val="0"/>
        <w:spacing w:line="440" w:lineRule="exact"/>
        <w:ind w:firstLineChars="500" w:firstLine="1200"/>
        <w:jc w:val="left"/>
        <w:rPr>
          <w:rFonts w:ascii="Times New Roman" w:hAnsi="Times New Roman"/>
          <w:szCs w:val="24"/>
        </w:rPr>
      </w:pPr>
      <w:r>
        <w:rPr>
          <w:rFonts w:ascii="Times New Roman" w:hAnsi="Times New Roman"/>
          <w:szCs w:val="24"/>
        </w:rPr>
        <w:t>l</w:t>
      </w:r>
      <w:r>
        <w:rPr>
          <w:rFonts w:ascii="Times New Roman" w:hAnsi="Times New Roman"/>
          <w:szCs w:val="24"/>
          <w:vertAlign w:val="subscript"/>
        </w:rPr>
        <w:t>i</w:t>
      </w:r>
      <w:r>
        <w:rPr>
          <w:rFonts w:ascii="Times New Roman" w:hAnsi="Times New Roman"/>
          <w:szCs w:val="24"/>
        </w:rPr>
        <w:t>=H</w:t>
      </w:r>
      <w:r>
        <w:rPr>
          <w:rFonts w:ascii="Times New Roman" w:hAnsi="Times New Roman"/>
          <w:szCs w:val="24"/>
          <w:vertAlign w:val="subscript"/>
        </w:rPr>
        <w:t>i</w:t>
      </w:r>
      <w:r>
        <w:rPr>
          <w:rFonts w:ascii="Times New Roman" w:hAnsi="Times New Roman"/>
          <w:szCs w:val="24"/>
        </w:rPr>
        <w:t>·cotθ</w:t>
      </w:r>
      <w:r>
        <w:rPr>
          <w:rFonts w:ascii="Times New Roman" w:hint="eastAsia"/>
          <w:szCs w:val="24"/>
        </w:rPr>
        <w:t>，</w:t>
      </w:r>
      <w:r>
        <w:rPr>
          <w:rFonts w:ascii="Times New Roman" w:hAnsi="Times New Roman"/>
          <w:szCs w:val="24"/>
        </w:rPr>
        <w:t>θ</w:t>
      </w:r>
      <w:r>
        <w:rPr>
          <w:rFonts w:ascii="Times New Roman" w:hint="eastAsia"/>
          <w:szCs w:val="24"/>
        </w:rPr>
        <w:t>，预计参数，为最大下沉角；</w:t>
      </w:r>
    </w:p>
    <w:p w14:paraId="7C46DA99" w14:textId="77777777" w:rsidR="009C353B" w:rsidRDefault="00000000">
      <w:pPr>
        <w:adjustRightInd w:val="0"/>
        <w:snapToGrid w:val="0"/>
        <w:spacing w:line="440" w:lineRule="exact"/>
        <w:ind w:firstLineChars="500" w:firstLine="1200"/>
        <w:jc w:val="left"/>
        <w:rPr>
          <w:rFonts w:ascii="Times New Roman" w:hAnsi="Times New Roman"/>
          <w:szCs w:val="24"/>
        </w:rPr>
      </w:pPr>
      <w:r>
        <w:rPr>
          <w:rFonts w:ascii="Times New Roman" w:hAnsi="Times New Roman"/>
          <w:szCs w:val="24"/>
        </w:rPr>
        <w:t>(x</w:t>
      </w:r>
      <w:r>
        <w:rPr>
          <w:rFonts w:ascii="Times New Roman" w:hAnsi="Times New Roman"/>
          <w:szCs w:val="24"/>
          <w:vertAlign w:val="subscript"/>
        </w:rPr>
        <w:t>i</w:t>
      </w:r>
      <w:r>
        <w:rPr>
          <w:rFonts w:ascii="Times New Roman" w:hAnsi="Times New Roman"/>
          <w:szCs w:val="24"/>
        </w:rPr>
        <w:t>,y</w:t>
      </w:r>
      <w:r>
        <w:rPr>
          <w:rFonts w:ascii="Times New Roman" w:hAnsi="Times New Roman"/>
          <w:szCs w:val="24"/>
          <w:vertAlign w:val="subscript"/>
        </w:rPr>
        <w:t>i</w:t>
      </w:r>
      <w:r>
        <w:rPr>
          <w:rFonts w:ascii="Times New Roman" w:hAnsi="Times New Roman"/>
          <w:szCs w:val="24"/>
        </w:rPr>
        <w:t>)—— i</w:t>
      </w:r>
      <w:r>
        <w:rPr>
          <w:rFonts w:ascii="Times New Roman" w:hint="eastAsia"/>
          <w:szCs w:val="24"/>
        </w:rPr>
        <w:t>单元中心点的平面坐标；</w:t>
      </w:r>
    </w:p>
    <w:p w14:paraId="453D1D63" w14:textId="77777777" w:rsidR="009C353B" w:rsidRDefault="00000000">
      <w:pPr>
        <w:adjustRightInd w:val="0"/>
        <w:snapToGrid w:val="0"/>
        <w:spacing w:line="440" w:lineRule="exact"/>
        <w:ind w:firstLineChars="500" w:firstLine="1200"/>
        <w:jc w:val="left"/>
        <w:rPr>
          <w:rFonts w:ascii="Times New Roman" w:hAnsi="Times New Roman"/>
          <w:szCs w:val="24"/>
        </w:rPr>
      </w:pPr>
      <w:r>
        <w:rPr>
          <w:rFonts w:ascii="Times New Roman" w:hAnsi="Times New Roman"/>
          <w:szCs w:val="24"/>
        </w:rPr>
        <w:t>(x,y)——</w:t>
      </w:r>
      <w:r>
        <w:rPr>
          <w:rFonts w:ascii="Times New Roman" w:hint="eastAsia"/>
          <w:szCs w:val="24"/>
        </w:rPr>
        <w:t>地表任意一点的坐标。</w:t>
      </w:r>
    </w:p>
    <w:p w14:paraId="549D37E7"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int="eastAsia"/>
          <w:szCs w:val="24"/>
        </w:rPr>
        <w:t>设工作面范围为：</w:t>
      </w:r>
      <w:r>
        <w:rPr>
          <w:rFonts w:ascii="Times New Roman" w:hAnsi="Times New Roman"/>
          <w:szCs w:val="24"/>
        </w:rPr>
        <w:t>0</w:t>
      </w:r>
      <w:r>
        <w:rPr>
          <w:rFonts w:ascii="Times New Roman" w:hint="eastAsia"/>
          <w:szCs w:val="24"/>
        </w:rPr>
        <w:t>～</w:t>
      </w:r>
      <w:r>
        <w:rPr>
          <w:rFonts w:ascii="Times New Roman" w:hAnsi="Times New Roman"/>
          <w:szCs w:val="24"/>
        </w:rPr>
        <w:t>p</w:t>
      </w:r>
      <w:r>
        <w:rPr>
          <w:rFonts w:ascii="Times New Roman" w:hint="eastAsia"/>
          <w:szCs w:val="24"/>
        </w:rPr>
        <w:t>，</w:t>
      </w:r>
      <w:r>
        <w:rPr>
          <w:rFonts w:ascii="Times New Roman" w:hAnsi="Times New Roman"/>
          <w:szCs w:val="24"/>
        </w:rPr>
        <w:t>0</w:t>
      </w:r>
      <w:r>
        <w:rPr>
          <w:rFonts w:ascii="Times New Roman" w:hint="eastAsia"/>
          <w:szCs w:val="24"/>
        </w:rPr>
        <w:t>～</w:t>
      </w:r>
      <w:r>
        <w:rPr>
          <w:rFonts w:ascii="Times New Roman" w:hAnsi="Times New Roman"/>
          <w:szCs w:val="24"/>
        </w:rPr>
        <w:t>a</w:t>
      </w:r>
      <w:r>
        <w:rPr>
          <w:rFonts w:ascii="Times New Roman" w:hint="eastAsia"/>
          <w:szCs w:val="24"/>
        </w:rPr>
        <w:t>组成的矩形。</w:t>
      </w:r>
    </w:p>
    <w:p w14:paraId="2E768A10"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1 \* GB3 </w:instrText>
      </w:r>
      <w:r>
        <w:rPr>
          <w:rFonts w:ascii="Times New Roman" w:hAnsi="Times New Roman"/>
          <w:szCs w:val="24"/>
        </w:rPr>
        <w:fldChar w:fldCharType="separate"/>
      </w:r>
      <w:r>
        <w:rPr>
          <w:rFonts w:hint="eastAsia"/>
          <w:szCs w:val="24"/>
        </w:rPr>
        <w:t>①</w:t>
      </w:r>
      <w:r>
        <w:rPr>
          <w:rFonts w:ascii="Times New Roman" w:hAnsi="Times New Roman"/>
          <w:szCs w:val="24"/>
        </w:rPr>
        <w:fldChar w:fldCharType="end"/>
      </w:r>
      <w:r>
        <w:rPr>
          <w:rFonts w:ascii="Times New Roman" w:hAnsi="Times New Roman"/>
          <w:szCs w:val="24"/>
        </w:rPr>
        <w:t xml:space="preserve"> </w:t>
      </w:r>
      <w:r>
        <w:rPr>
          <w:rFonts w:ascii="Times New Roman" w:hint="eastAsia"/>
          <w:szCs w:val="24"/>
        </w:rPr>
        <w:t>地表任一点的下沉为：</w:t>
      </w:r>
    </w:p>
    <w:p w14:paraId="149B45EE"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Ansi="Times New Roman"/>
          <w:szCs w:val="24"/>
        </w:rPr>
        <w:t>W(X,Y)=W</w:t>
      </w:r>
      <w:r>
        <w:rPr>
          <w:rFonts w:ascii="Times New Roman" w:hAnsi="Times New Roman"/>
          <w:szCs w:val="24"/>
          <w:vertAlign w:val="subscript"/>
        </w:rPr>
        <w:t>0</w:t>
      </w:r>
      <w:r>
        <w:rPr>
          <w:rFonts w:ascii="Times New Roman" w:hAnsi="Times New Roman"/>
          <w:szCs w:val="24"/>
        </w:rPr>
        <w:t>∫ ∫ W</w:t>
      </w:r>
      <w:r>
        <w:rPr>
          <w:rFonts w:ascii="Times New Roman" w:hAnsi="Times New Roman"/>
          <w:szCs w:val="24"/>
          <w:vertAlign w:val="subscript"/>
        </w:rPr>
        <w:t>eoi</w:t>
      </w:r>
      <w:r>
        <w:rPr>
          <w:rFonts w:ascii="Times New Roman" w:hAnsi="Times New Roman"/>
          <w:szCs w:val="24"/>
        </w:rPr>
        <w:t>(X,Y)dxdy</w:t>
      </w:r>
    </w:p>
    <w:p w14:paraId="23D68531"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int="eastAsia"/>
          <w:szCs w:val="24"/>
        </w:rPr>
        <w:t>式中：</w:t>
      </w:r>
      <w:r>
        <w:rPr>
          <w:rFonts w:ascii="Times New Roman" w:hAnsi="Times New Roman"/>
          <w:szCs w:val="24"/>
        </w:rPr>
        <w:t>W</w:t>
      </w:r>
      <w:r>
        <w:rPr>
          <w:rFonts w:ascii="Times New Roman" w:hAnsi="Times New Roman"/>
          <w:szCs w:val="24"/>
          <w:vertAlign w:val="subscript"/>
        </w:rPr>
        <w:t>0</w:t>
      </w:r>
      <w:r>
        <w:rPr>
          <w:rFonts w:ascii="Times New Roman" w:hint="eastAsia"/>
          <w:szCs w:val="24"/>
        </w:rPr>
        <w:t>为该地质采矿条件下的最大下沉值，</w:t>
      </w:r>
      <w:r>
        <w:rPr>
          <w:rFonts w:ascii="Times New Roman" w:hAnsi="Times New Roman"/>
          <w:szCs w:val="24"/>
        </w:rPr>
        <w:t xml:space="preserve">mm </w:t>
      </w:r>
      <w:r>
        <w:rPr>
          <w:rFonts w:ascii="Times New Roman" w:hint="eastAsia"/>
          <w:szCs w:val="24"/>
        </w:rPr>
        <w:t>，</w:t>
      </w:r>
      <w:r>
        <w:rPr>
          <w:rFonts w:ascii="Times New Roman" w:hAnsi="Times New Roman"/>
          <w:szCs w:val="24"/>
        </w:rPr>
        <w:t>W</w:t>
      </w:r>
      <w:r>
        <w:rPr>
          <w:rFonts w:ascii="Times New Roman" w:hAnsi="Times New Roman"/>
          <w:szCs w:val="24"/>
          <w:vertAlign w:val="subscript"/>
        </w:rPr>
        <w:t>0</w:t>
      </w:r>
      <w:r>
        <w:rPr>
          <w:rFonts w:ascii="Times New Roman" w:hint="eastAsia"/>
          <w:szCs w:val="24"/>
        </w:rPr>
        <w:t>＝</w:t>
      </w:r>
      <w:r>
        <w:rPr>
          <w:rFonts w:ascii="Times New Roman" w:hAnsi="Times New Roman"/>
          <w:szCs w:val="24"/>
        </w:rPr>
        <w:t>mqcosα</w:t>
      </w:r>
      <w:r>
        <w:rPr>
          <w:rFonts w:ascii="Times New Roman" w:hint="eastAsia"/>
          <w:szCs w:val="24"/>
        </w:rPr>
        <w:t>，</w:t>
      </w:r>
      <w:r>
        <w:rPr>
          <w:rFonts w:ascii="Times New Roman" w:hAnsi="Times New Roman"/>
          <w:szCs w:val="24"/>
        </w:rPr>
        <w:t>q</w:t>
      </w:r>
      <w:r>
        <w:rPr>
          <w:rFonts w:ascii="Times New Roman" w:hint="eastAsia"/>
          <w:szCs w:val="24"/>
        </w:rPr>
        <w:t>，预计参数，下沉系数；</w:t>
      </w:r>
    </w:p>
    <w:p w14:paraId="77C07872" w14:textId="77777777" w:rsidR="009C353B" w:rsidRDefault="00000000">
      <w:pPr>
        <w:adjustRightInd w:val="0"/>
        <w:snapToGrid w:val="0"/>
        <w:spacing w:line="440" w:lineRule="exact"/>
        <w:ind w:firstLineChars="500" w:firstLine="1200"/>
        <w:jc w:val="left"/>
        <w:rPr>
          <w:rFonts w:ascii="Times New Roman" w:hAnsi="Times New Roman"/>
          <w:szCs w:val="24"/>
        </w:rPr>
      </w:pPr>
      <w:r>
        <w:rPr>
          <w:rFonts w:ascii="Times New Roman" w:hAnsi="Times New Roman"/>
          <w:szCs w:val="24"/>
        </w:rPr>
        <w:t>p</w:t>
      </w:r>
      <w:r>
        <w:rPr>
          <w:rFonts w:ascii="Times New Roman" w:hint="eastAsia"/>
          <w:szCs w:val="24"/>
        </w:rPr>
        <w:t>为工作面走向长，</w:t>
      </w:r>
      <w:r>
        <w:rPr>
          <w:rFonts w:ascii="Times New Roman" w:hAnsi="Times New Roman"/>
          <w:szCs w:val="24"/>
        </w:rPr>
        <w:t>m</w:t>
      </w:r>
      <w:r>
        <w:rPr>
          <w:rFonts w:ascii="Times New Roman" w:hint="eastAsia"/>
          <w:szCs w:val="24"/>
        </w:rPr>
        <w:t>；</w:t>
      </w:r>
      <w:r>
        <w:rPr>
          <w:rFonts w:ascii="Times New Roman" w:hAnsi="Times New Roman"/>
          <w:szCs w:val="24"/>
        </w:rPr>
        <w:t xml:space="preserve"> </w:t>
      </w:r>
    </w:p>
    <w:p w14:paraId="2DD9B0D7" w14:textId="77777777" w:rsidR="009C353B" w:rsidRDefault="00000000">
      <w:pPr>
        <w:adjustRightInd w:val="0"/>
        <w:snapToGrid w:val="0"/>
        <w:spacing w:line="440" w:lineRule="exact"/>
        <w:ind w:firstLineChars="500" w:firstLine="1200"/>
        <w:jc w:val="left"/>
        <w:rPr>
          <w:rFonts w:ascii="Times New Roman" w:hAnsi="Times New Roman"/>
          <w:szCs w:val="24"/>
        </w:rPr>
      </w:pPr>
      <w:r>
        <w:rPr>
          <w:rFonts w:ascii="Times New Roman" w:hAnsi="Times New Roman"/>
          <w:szCs w:val="24"/>
        </w:rPr>
        <w:t>a</w:t>
      </w:r>
      <w:r>
        <w:rPr>
          <w:rFonts w:ascii="Times New Roman" w:hint="eastAsia"/>
          <w:szCs w:val="24"/>
        </w:rPr>
        <w:t>为工作面沿倾斜方向的水平距离，</w:t>
      </w:r>
      <w:r>
        <w:rPr>
          <w:rFonts w:ascii="Times New Roman" w:hAnsi="Times New Roman"/>
          <w:szCs w:val="24"/>
        </w:rPr>
        <w:t>m</w:t>
      </w:r>
      <w:r>
        <w:rPr>
          <w:rFonts w:ascii="Times New Roman" w:hint="eastAsia"/>
          <w:szCs w:val="24"/>
        </w:rPr>
        <w:t>。</w:t>
      </w:r>
    </w:p>
    <w:p w14:paraId="1361F2AA"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int="eastAsia"/>
          <w:szCs w:val="24"/>
        </w:rPr>
        <w:t>也可以写为：</w:t>
      </w:r>
    </w:p>
    <w:p w14:paraId="2FA70CF8" w14:textId="77777777" w:rsidR="009C353B" w:rsidRDefault="00000000">
      <w:pPr>
        <w:adjustRightInd w:val="0"/>
        <w:snapToGrid w:val="0"/>
        <w:ind w:firstLine="482"/>
        <w:rPr>
          <w:rFonts w:ascii="Times New Roman" w:hAnsi="Times New Roman"/>
          <w:szCs w:val="24"/>
        </w:rPr>
      </w:pPr>
      <w:r>
        <w:rPr>
          <w:rFonts w:ascii="Times New Roman" w:hAnsi="Times New Roman"/>
          <w:szCs w:val="24"/>
        </w:rPr>
        <w:t>W(x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30"/>
          <w:szCs w:val="24"/>
        </w:rPr>
        <w:object w:dxaOrig="382" w:dyaOrig="751" w14:anchorId="2FD01655">
          <v:shape id="_x0000_i1147" type="#_x0000_t75" style="width:19.1pt;height:37.65pt" o:ole="">
            <v:imagedata r:id="rId402" o:title=""/>
          </v:shape>
          <o:OLEObject Type="Embed" ProgID="Equation.2" ShapeID="_x0000_i1147" DrawAspect="Content" ObjectID="_1826209246" r:id="rId403"/>
        </w:object>
      </w:r>
      <w:r>
        <w:rPr>
          <w:rFonts w:ascii="Times New Roman" w:hAnsi="Times New Roman"/>
          <w:szCs w:val="24"/>
        </w:rPr>
        <w:t>×W</w:t>
      </w:r>
      <w:r>
        <w:rPr>
          <w:rFonts w:ascii="Times New Roman" w:hAnsi="Times New Roman"/>
          <w:szCs w:val="24"/>
        </w:rPr>
        <w:sym w:font="Symbol" w:char="F0B0"/>
      </w:r>
      <w:r>
        <w:rPr>
          <w:rFonts w:ascii="Times New Roman" w:hAnsi="Times New Roman"/>
          <w:szCs w:val="24"/>
        </w:rPr>
        <w:t>(x)×W</w:t>
      </w:r>
      <w:r>
        <w:rPr>
          <w:rFonts w:ascii="Times New Roman" w:hAnsi="Times New Roman"/>
          <w:szCs w:val="24"/>
        </w:rPr>
        <w:sym w:font="Symbol" w:char="F0B0"/>
      </w:r>
      <w:r>
        <w:rPr>
          <w:rFonts w:ascii="Times New Roman" w:hAnsi="Times New Roman"/>
          <w:szCs w:val="24"/>
        </w:rPr>
        <w:t>(y)</w:t>
      </w:r>
    </w:p>
    <w:p w14:paraId="36A95C30"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int="eastAsia"/>
          <w:szCs w:val="24"/>
        </w:rPr>
        <w:t>式中</w:t>
      </w:r>
      <w:r>
        <w:rPr>
          <w:rFonts w:ascii="Times New Roman" w:hAnsi="Times New Roman"/>
          <w:szCs w:val="24"/>
        </w:rPr>
        <w:t>W</w:t>
      </w:r>
      <w:r>
        <w:rPr>
          <w:rFonts w:ascii="Times New Roman" w:hAnsi="Times New Roman"/>
          <w:szCs w:val="24"/>
          <w:vertAlign w:val="subscript"/>
        </w:rPr>
        <w:t>0</w:t>
      </w:r>
      <w:r>
        <w:rPr>
          <w:rFonts w:ascii="Times New Roman" w:hint="eastAsia"/>
          <w:szCs w:val="24"/>
        </w:rPr>
        <w:t>仍为走向和倾向均达到充分采动时的地表最大下沉值，</w:t>
      </w:r>
      <w:r>
        <w:rPr>
          <w:rFonts w:ascii="Times New Roman" w:hAnsi="Times New Roman"/>
          <w:szCs w:val="24"/>
        </w:rPr>
        <w:t>W</w:t>
      </w:r>
      <w:r>
        <w:rPr>
          <w:rFonts w:ascii="Times New Roman" w:hAnsi="Times New Roman"/>
          <w:szCs w:val="24"/>
        </w:rPr>
        <w:sym w:font="Symbol" w:char="F0B0"/>
      </w:r>
      <w:r>
        <w:rPr>
          <w:rFonts w:ascii="Times New Roman" w:hAnsi="Times New Roman"/>
          <w:szCs w:val="24"/>
        </w:rPr>
        <w:t>(x)</w:t>
      </w:r>
      <w:r>
        <w:rPr>
          <w:rFonts w:ascii="Times New Roman" w:hint="eastAsia"/>
          <w:szCs w:val="24"/>
        </w:rPr>
        <w:t>为倾向方向达到充分采动时走向主断面上横坐标为</w:t>
      </w:r>
      <w:r>
        <w:rPr>
          <w:rFonts w:ascii="Times New Roman" w:hAnsi="Times New Roman"/>
          <w:szCs w:val="24"/>
        </w:rPr>
        <w:t>x</w:t>
      </w:r>
      <w:r>
        <w:rPr>
          <w:rFonts w:ascii="Times New Roman" w:hint="eastAsia"/>
          <w:szCs w:val="24"/>
        </w:rPr>
        <w:t>的点的下沉值，</w:t>
      </w:r>
      <w:r>
        <w:rPr>
          <w:rFonts w:ascii="Times New Roman" w:hAnsi="Times New Roman"/>
          <w:szCs w:val="24"/>
        </w:rPr>
        <w:t>W</w:t>
      </w:r>
      <w:r>
        <w:rPr>
          <w:rFonts w:ascii="Times New Roman" w:hAnsi="Times New Roman"/>
          <w:szCs w:val="24"/>
        </w:rPr>
        <w:sym w:font="Symbol" w:char="F0B0"/>
      </w:r>
      <w:r>
        <w:rPr>
          <w:rFonts w:ascii="Times New Roman" w:hAnsi="Times New Roman"/>
          <w:szCs w:val="24"/>
        </w:rPr>
        <w:t>(y)</w:t>
      </w:r>
      <w:r>
        <w:rPr>
          <w:rFonts w:ascii="Times New Roman" w:hint="eastAsia"/>
          <w:szCs w:val="24"/>
        </w:rPr>
        <w:t>为走向方向达到充分采动时倾向主断面上横坐标为</w:t>
      </w:r>
      <w:r>
        <w:rPr>
          <w:rFonts w:ascii="Times New Roman" w:hAnsi="Times New Roman"/>
          <w:szCs w:val="24"/>
        </w:rPr>
        <w:t>y</w:t>
      </w:r>
      <w:r>
        <w:rPr>
          <w:rFonts w:ascii="Times New Roman" w:hint="eastAsia"/>
          <w:szCs w:val="24"/>
        </w:rPr>
        <w:t>的点的下沉值。</w:t>
      </w:r>
    </w:p>
    <w:p w14:paraId="1A426BF7"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int="eastAsia"/>
          <w:szCs w:val="24"/>
        </w:rPr>
        <w:t>根据下沉表达式，可推导出地表（</w:t>
      </w:r>
      <w:r>
        <w:rPr>
          <w:rFonts w:ascii="Times New Roman" w:hAnsi="Times New Roman"/>
          <w:szCs w:val="24"/>
        </w:rPr>
        <w:t>X</w:t>
      </w:r>
      <w:r>
        <w:rPr>
          <w:rFonts w:ascii="Times New Roman" w:hint="eastAsia"/>
          <w:szCs w:val="24"/>
        </w:rPr>
        <w:t>，</w:t>
      </w:r>
      <w:r>
        <w:rPr>
          <w:rFonts w:ascii="Times New Roman" w:hAnsi="Times New Roman"/>
          <w:szCs w:val="24"/>
        </w:rPr>
        <w:t>Y</w:t>
      </w:r>
      <w:r>
        <w:rPr>
          <w:rFonts w:ascii="Times New Roman" w:hint="eastAsia"/>
          <w:szCs w:val="24"/>
        </w:rPr>
        <w:t>）的其它移动变形值。注意：除下沉外的其它移动变形都有方向性，同一点沿各个方向的变形值是不一样的，要对单元下沉盆地求方向导数，然后积分。</w:t>
      </w:r>
    </w:p>
    <w:p w14:paraId="0134A3FF"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2 \* GB3 </w:instrText>
      </w:r>
      <w:r>
        <w:rPr>
          <w:rFonts w:ascii="Times New Roman" w:hAnsi="Times New Roman"/>
          <w:szCs w:val="24"/>
        </w:rPr>
        <w:fldChar w:fldCharType="separate"/>
      </w:r>
      <w:r>
        <w:rPr>
          <w:rFonts w:hint="eastAsia"/>
          <w:szCs w:val="24"/>
        </w:rPr>
        <w:t>②</w:t>
      </w:r>
      <w:r>
        <w:rPr>
          <w:rFonts w:ascii="Times New Roman" w:hAnsi="Times New Roman"/>
          <w:szCs w:val="24"/>
        </w:rPr>
        <w:fldChar w:fldCharType="end"/>
      </w:r>
      <w:r>
        <w:rPr>
          <w:rFonts w:ascii="Times New Roman" w:hAnsi="Times New Roman"/>
          <w:szCs w:val="24"/>
        </w:rPr>
        <w:t xml:space="preserve"> </w:t>
      </w:r>
      <w:r>
        <w:rPr>
          <w:rFonts w:ascii="Times New Roman" w:hint="eastAsia"/>
          <w:szCs w:val="24"/>
        </w:rPr>
        <w:t>沿</w:t>
      </w:r>
      <w:r>
        <w:rPr>
          <w:rFonts w:ascii="Times New Roman" w:hAnsi="Times New Roman"/>
          <w:position w:val="-10"/>
          <w:szCs w:val="24"/>
        </w:rPr>
        <w:object w:dxaOrig="234" w:dyaOrig="234" w14:anchorId="5CF59671">
          <v:shape id="_x0000_i1148" type="#_x0000_t75" style="width:11.45pt;height:11.45pt" o:ole="">
            <v:imagedata r:id="rId404" o:title=""/>
          </v:shape>
          <o:OLEObject Type="Embed" ProgID="Equation.3" ShapeID="_x0000_i1148" DrawAspect="Content" ObjectID="_1826209247" r:id="rId405"/>
        </w:object>
      </w:r>
      <w:r>
        <w:rPr>
          <w:rFonts w:ascii="Times New Roman" w:hint="eastAsia"/>
          <w:szCs w:val="24"/>
        </w:rPr>
        <w:t>方向的倾斜</w:t>
      </w:r>
      <w:r>
        <w:rPr>
          <w:rFonts w:ascii="Times New Roman" w:hAnsi="Times New Roman"/>
          <w:szCs w:val="24"/>
        </w:rPr>
        <w:t>i(x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10"/>
          <w:szCs w:val="24"/>
        </w:rPr>
        <w:object w:dxaOrig="234" w:dyaOrig="234" w14:anchorId="5499458A">
          <v:shape id="_x0000_i1149" type="#_x0000_t75" style="width:11.45pt;height:11.45pt" o:ole="">
            <v:imagedata r:id="rId404" o:title=""/>
          </v:shape>
          <o:OLEObject Type="Embed" ProgID="Equation.3" ShapeID="_x0000_i1149" DrawAspect="Content" ObjectID="_1826209248" r:id="rId406"/>
        </w:object>
      </w:r>
      <w:r>
        <w:rPr>
          <w:rFonts w:ascii="Times New Roman" w:hAnsi="Times New Roman"/>
          <w:szCs w:val="24"/>
        </w:rPr>
        <w:t>)</w:t>
      </w:r>
    </w:p>
    <w:p w14:paraId="5B842921"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int="eastAsia"/>
          <w:szCs w:val="24"/>
        </w:rPr>
        <w:t>设</w:t>
      </w:r>
      <w:r>
        <w:rPr>
          <w:rFonts w:ascii="Times New Roman" w:hAnsi="Times New Roman"/>
          <w:position w:val="-10"/>
          <w:szCs w:val="24"/>
        </w:rPr>
        <w:object w:dxaOrig="234" w:dyaOrig="234" w14:anchorId="170DACD5">
          <v:shape id="_x0000_i1150" type="#_x0000_t75" style="width:11.45pt;height:11.45pt" o:ole="">
            <v:imagedata r:id="rId404" o:title=""/>
          </v:shape>
          <o:OLEObject Type="Embed" ProgID="Equation.3" ShapeID="_x0000_i1150" DrawAspect="Content" ObjectID="_1826209249" r:id="rId407"/>
        </w:object>
      </w:r>
      <w:r>
        <w:rPr>
          <w:rFonts w:ascii="Times New Roman" w:hint="eastAsia"/>
          <w:szCs w:val="24"/>
        </w:rPr>
        <w:t>角为从</w:t>
      </w:r>
      <w:r>
        <w:rPr>
          <w:rFonts w:ascii="Times New Roman" w:hAnsi="Times New Roman"/>
          <w:szCs w:val="24"/>
        </w:rPr>
        <w:t>x</w:t>
      </w:r>
      <w:r>
        <w:rPr>
          <w:rFonts w:ascii="Times New Roman" w:hint="eastAsia"/>
          <w:szCs w:val="24"/>
        </w:rPr>
        <w:t>轴的正向沿逆时针方向与指定预计方向所夹的角度。</w:t>
      </w:r>
    </w:p>
    <w:p w14:paraId="782AB95E"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int="eastAsia"/>
          <w:szCs w:val="24"/>
        </w:rPr>
        <w:t>坐标为</w:t>
      </w:r>
      <w:r>
        <w:rPr>
          <w:rFonts w:ascii="Times New Roman" w:hAnsi="Times New Roman"/>
          <w:szCs w:val="24"/>
        </w:rPr>
        <w:t>(x</w:t>
      </w:r>
      <w:r>
        <w:rPr>
          <w:rFonts w:ascii="Times New Roman" w:hint="eastAsia"/>
          <w:szCs w:val="24"/>
        </w:rPr>
        <w:t>，</w:t>
      </w:r>
      <w:r>
        <w:rPr>
          <w:rFonts w:ascii="Times New Roman" w:hAnsi="Times New Roman"/>
          <w:szCs w:val="24"/>
        </w:rPr>
        <w:t>y)</w:t>
      </w:r>
      <w:r>
        <w:rPr>
          <w:rFonts w:ascii="Times New Roman" w:hint="eastAsia"/>
          <w:szCs w:val="24"/>
        </w:rPr>
        <w:t>的点沿</w:t>
      </w:r>
      <w:r>
        <w:rPr>
          <w:rFonts w:ascii="Times New Roman" w:hAnsi="Times New Roman"/>
          <w:position w:val="-10"/>
          <w:szCs w:val="24"/>
        </w:rPr>
        <w:object w:dxaOrig="234" w:dyaOrig="234" w14:anchorId="02AC17DD">
          <v:shape id="_x0000_i1151" type="#_x0000_t75" style="width:11.45pt;height:11.45pt" o:ole="">
            <v:imagedata r:id="rId404" o:title=""/>
          </v:shape>
          <o:OLEObject Type="Embed" ProgID="Equation.3" ShapeID="_x0000_i1151" DrawAspect="Content" ObjectID="_1826209250" r:id="rId408"/>
        </w:object>
      </w:r>
      <w:r>
        <w:rPr>
          <w:rFonts w:ascii="Times New Roman" w:hint="eastAsia"/>
          <w:szCs w:val="24"/>
        </w:rPr>
        <w:t>方向的倾斜为下沉</w:t>
      </w:r>
      <w:r>
        <w:rPr>
          <w:rFonts w:ascii="Times New Roman" w:hAnsi="Times New Roman"/>
          <w:szCs w:val="24"/>
        </w:rPr>
        <w:t>W(x</w:t>
      </w:r>
      <w:r>
        <w:rPr>
          <w:rFonts w:ascii="Times New Roman" w:hint="eastAsia"/>
          <w:szCs w:val="24"/>
        </w:rPr>
        <w:t>，</w:t>
      </w:r>
      <w:r>
        <w:rPr>
          <w:rFonts w:ascii="Times New Roman" w:hAnsi="Times New Roman"/>
          <w:szCs w:val="24"/>
        </w:rPr>
        <w:t>y)</w:t>
      </w:r>
      <w:r>
        <w:rPr>
          <w:rFonts w:ascii="Times New Roman" w:hint="eastAsia"/>
          <w:szCs w:val="24"/>
        </w:rPr>
        <w:t>在</w:t>
      </w:r>
      <w:r>
        <w:rPr>
          <w:rFonts w:ascii="Times New Roman" w:hAnsi="Times New Roman"/>
          <w:position w:val="-10"/>
          <w:szCs w:val="24"/>
        </w:rPr>
        <w:object w:dxaOrig="234" w:dyaOrig="234" w14:anchorId="1F1C1A68">
          <v:shape id="_x0000_i1152" type="#_x0000_t75" style="width:11.45pt;height:11.45pt" o:ole="">
            <v:imagedata r:id="rId404" o:title=""/>
          </v:shape>
          <o:OLEObject Type="Embed" ProgID="Equation.3" ShapeID="_x0000_i1152" DrawAspect="Content" ObjectID="_1826209251" r:id="rId409"/>
        </w:object>
      </w:r>
      <w:r>
        <w:rPr>
          <w:rFonts w:ascii="Times New Roman" w:hint="eastAsia"/>
          <w:szCs w:val="24"/>
        </w:rPr>
        <w:t>方向上单位距离的变化率，在数学上即为</w:t>
      </w:r>
      <w:r>
        <w:rPr>
          <w:rFonts w:ascii="Times New Roman" w:hAnsi="Times New Roman"/>
          <w:position w:val="-10"/>
          <w:szCs w:val="24"/>
        </w:rPr>
        <w:object w:dxaOrig="234" w:dyaOrig="234" w14:anchorId="142DC634">
          <v:shape id="_x0000_i1153" type="#_x0000_t75" style="width:11.45pt;height:11.45pt" o:ole="">
            <v:imagedata r:id="rId404" o:title=""/>
          </v:shape>
          <o:OLEObject Type="Embed" ProgID="Equation.3" ShapeID="_x0000_i1153" DrawAspect="Content" ObjectID="_1826209252" r:id="rId410"/>
        </w:object>
      </w:r>
      <w:r>
        <w:rPr>
          <w:rFonts w:ascii="Times New Roman" w:hint="eastAsia"/>
          <w:szCs w:val="24"/>
        </w:rPr>
        <w:t>方向的方向导数，即为：</w:t>
      </w:r>
    </w:p>
    <w:p w14:paraId="1A164369" w14:textId="77777777" w:rsidR="009C353B" w:rsidRDefault="00000000">
      <w:pPr>
        <w:adjustRightInd w:val="0"/>
        <w:snapToGrid w:val="0"/>
        <w:spacing w:beforeLines="50" w:before="120" w:afterLines="50" w:after="120"/>
        <w:ind w:firstLine="482"/>
        <w:rPr>
          <w:rFonts w:ascii="Times New Roman" w:hAnsi="Times New Roman"/>
          <w:szCs w:val="24"/>
        </w:rPr>
      </w:pPr>
      <w:r>
        <w:rPr>
          <w:rFonts w:ascii="Times New Roman" w:hAnsi="Times New Roman"/>
          <w:szCs w:val="24"/>
        </w:rPr>
        <w:t>i(x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10"/>
          <w:szCs w:val="24"/>
        </w:rPr>
        <w:object w:dxaOrig="234" w:dyaOrig="234" w14:anchorId="3B1968C5">
          <v:shape id="_x0000_i1154" type="#_x0000_t75" style="width:11.45pt;height:11.45pt" o:ole="">
            <v:imagedata r:id="rId404" o:title=""/>
          </v:shape>
          <o:OLEObject Type="Embed" ProgID="Equation.3" ShapeID="_x0000_i1154" DrawAspect="Content" ObjectID="_1826209253" r:id="rId411"/>
        </w:object>
      </w:r>
      <w:r>
        <w:rPr>
          <w:rFonts w:ascii="Times New Roman" w:hAnsi="Times New Roman"/>
          <w:szCs w:val="24"/>
        </w:rPr>
        <w:t>)</w:t>
      </w:r>
      <w:r>
        <w:rPr>
          <w:rFonts w:ascii="Times New Roman" w:hint="eastAsia"/>
          <w:szCs w:val="24"/>
        </w:rPr>
        <w:t>＝</w:t>
      </w:r>
      <w:r>
        <w:rPr>
          <w:rFonts w:ascii="Times New Roman" w:hAnsi="Times New Roman"/>
          <w:noProof/>
          <w:position w:val="-28"/>
          <w:szCs w:val="24"/>
        </w:rPr>
        <w:drawing>
          <wp:inline distT="0" distB="0" distL="0" distR="0" wp14:anchorId="58D52A07" wp14:editId="04BA2DEE">
            <wp:extent cx="2720340" cy="419100"/>
            <wp:effectExtent l="0" t="0" r="381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a:xfrm>
                      <a:off x="0" y="0"/>
                      <a:ext cx="2720340" cy="419100"/>
                    </a:xfrm>
                    <a:prstGeom prst="rect">
                      <a:avLst/>
                    </a:prstGeom>
                    <a:noFill/>
                    <a:ln>
                      <a:noFill/>
                    </a:ln>
                  </pic:spPr>
                </pic:pic>
              </a:graphicData>
            </a:graphic>
          </wp:inline>
        </w:drawing>
      </w:r>
    </w:p>
    <w:p w14:paraId="6324DB26" w14:textId="77777777" w:rsidR="009C353B" w:rsidRDefault="00000000">
      <w:pPr>
        <w:adjustRightInd w:val="0"/>
        <w:snapToGrid w:val="0"/>
        <w:ind w:firstLine="482"/>
        <w:jc w:val="left"/>
        <w:rPr>
          <w:rFonts w:ascii="Times New Roman" w:hAnsi="Times New Roman"/>
          <w:szCs w:val="24"/>
        </w:rPr>
      </w:pPr>
      <w:r>
        <w:rPr>
          <w:rFonts w:ascii="Times New Roman" w:hint="eastAsia"/>
          <w:szCs w:val="24"/>
        </w:rPr>
        <w:t>可将上式化简为：</w:t>
      </w:r>
    </w:p>
    <w:p w14:paraId="17F83000" w14:textId="77777777" w:rsidR="009C353B" w:rsidRDefault="00000000">
      <w:pPr>
        <w:adjustRightInd w:val="0"/>
        <w:snapToGrid w:val="0"/>
        <w:ind w:firstLine="482"/>
        <w:rPr>
          <w:rFonts w:ascii="Times New Roman" w:hAnsi="Times New Roman"/>
          <w:szCs w:val="24"/>
        </w:rPr>
      </w:pPr>
      <w:r>
        <w:rPr>
          <w:rFonts w:ascii="Times New Roman" w:hAnsi="Times New Roman"/>
          <w:szCs w:val="24"/>
        </w:rPr>
        <w:t>i(x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10"/>
          <w:szCs w:val="24"/>
        </w:rPr>
        <w:object w:dxaOrig="234" w:dyaOrig="234" w14:anchorId="7580BFB3">
          <v:shape id="_x0000_i1155" type="#_x0000_t75" style="width:11.45pt;height:11.45pt" o:ole="">
            <v:imagedata r:id="rId404" o:title=""/>
          </v:shape>
          <o:OLEObject Type="Embed" ProgID="Equation.3" ShapeID="_x0000_i1155" DrawAspect="Content" ObjectID="_1826209254" r:id="rId413"/>
        </w:object>
      </w:r>
      <w:r>
        <w:rPr>
          <w:rFonts w:ascii="Times New Roman" w:hAnsi="Times New Roman"/>
          <w:szCs w:val="24"/>
        </w:rPr>
        <w:t>)</w:t>
      </w:r>
      <w:r>
        <w:rPr>
          <w:rFonts w:ascii="Times New Roman" w:hint="eastAsia"/>
          <w:szCs w:val="24"/>
        </w:rPr>
        <w:t>＝</w:t>
      </w:r>
      <w:r>
        <w:rPr>
          <w:rFonts w:ascii="Times New Roman" w:hAnsi="Times New Roman"/>
          <w:position w:val="-30"/>
          <w:szCs w:val="24"/>
        </w:rPr>
        <w:object w:dxaOrig="382" w:dyaOrig="751" w14:anchorId="674737BA">
          <v:shape id="_x0000_i1156" type="#_x0000_t75" style="width:19.1pt;height:37.65pt" o:ole="">
            <v:imagedata r:id="rId402" o:title=""/>
          </v:shape>
          <o:OLEObject Type="Embed" ProgID="Equation.2" ShapeID="_x0000_i1156" DrawAspect="Content" ObjectID="_1826209255" r:id="rId414"/>
        </w:object>
      </w:r>
      <w:r>
        <w:rPr>
          <w:rFonts w:ascii="Times New Roman" w:hAnsi="Times New Roman"/>
          <w:szCs w:val="24"/>
        </w:rPr>
        <w:t>×</w:t>
      </w:r>
      <w:r>
        <w:rPr>
          <w:rFonts w:ascii="Times New Roman" w:hAnsi="Times New Roman"/>
          <w:szCs w:val="24"/>
        </w:rPr>
        <w:t>〔</w:t>
      </w:r>
      <w:r>
        <w:rPr>
          <w:rFonts w:ascii="Times New Roman" w:hAnsi="Times New Roman"/>
          <w:szCs w:val="24"/>
        </w:rPr>
        <w:t>i</w:t>
      </w:r>
      <w:r>
        <w:rPr>
          <w:rFonts w:ascii="Times New Roman" w:hAnsi="Times New Roman"/>
          <w:szCs w:val="24"/>
        </w:rPr>
        <w:sym w:font="Symbol" w:char="F0B0"/>
      </w:r>
      <w:r>
        <w:rPr>
          <w:rFonts w:ascii="Times New Roman" w:hAnsi="Times New Roman"/>
          <w:szCs w:val="24"/>
        </w:rPr>
        <w:t>(x)×W</w:t>
      </w:r>
      <w:r>
        <w:rPr>
          <w:rFonts w:ascii="Times New Roman" w:hAnsi="Times New Roman"/>
          <w:szCs w:val="24"/>
        </w:rPr>
        <w:sym w:font="Symbol" w:char="F0B0"/>
      </w:r>
      <w:r>
        <w:rPr>
          <w:rFonts w:ascii="Times New Roman" w:hAnsi="Times New Roman"/>
          <w:szCs w:val="24"/>
        </w:rPr>
        <w:t>(y)×cos</w:t>
      </w:r>
      <w:r>
        <w:rPr>
          <w:rFonts w:ascii="Times New Roman" w:hAnsi="Times New Roman"/>
          <w:position w:val="-10"/>
          <w:szCs w:val="24"/>
        </w:rPr>
        <w:object w:dxaOrig="234" w:dyaOrig="234" w14:anchorId="3231C498">
          <v:shape id="_x0000_i1157" type="#_x0000_t75" style="width:11.45pt;height:11.45pt" o:ole="">
            <v:imagedata r:id="rId404" o:title=""/>
          </v:shape>
          <o:OLEObject Type="Embed" ProgID="Equation.3" ShapeID="_x0000_i1157" DrawAspect="Content" ObjectID="_1826209256" r:id="rId415"/>
        </w:object>
      </w:r>
      <w:r>
        <w:rPr>
          <w:rFonts w:ascii="Times New Roman" w:hint="eastAsia"/>
          <w:szCs w:val="24"/>
        </w:rPr>
        <w:t>＋</w:t>
      </w:r>
      <w:r>
        <w:rPr>
          <w:rFonts w:ascii="Times New Roman" w:hAnsi="Times New Roman"/>
          <w:szCs w:val="24"/>
        </w:rPr>
        <w:t>i</w:t>
      </w:r>
      <w:r>
        <w:rPr>
          <w:rFonts w:ascii="Times New Roman" w:hAnsi="Times New Roman"/>
          <w:szCs w:val="24"/>
        </w:rPr>
        <w:sym w:font="Symbol" w:char="F0B0"/>
      </w:r>
      <w:r>
        <w:rPr>
          <w:rFonts w:ascii="Times New Roman" w:hAnsi="Times New Roman"/>
          <w:szCs w:val="24"/>
        </w:rPr>
        <w:t>(y)×W</w:t>
      </w:r>
      <w:r>
        <w:rPr>
          <w:rFonts w:ascii="Times New Roman" w:hAnsi="Times New Roman"/>
          <w:szCs w:val="24"/>
        </w:rPr>
        <w:sym w:font="Symbol" w:char="F0B0"/>
      </w:r>
      <w:r>
        <w:rPr>
          <w:rFonts w:ascii="Times New Roman" w:hAnsi="Times New Roman"/>
          <w:szCs w:val="24"/>
        </w:rPr>
        <w:t>(x)×sin</w:t>
      </w:r>
      <w:r>
        <w:rPr>
          <w:rFonts w:ascii="Times New Roman" w:hAnsi="Times New Roman"/>
          <w:position w:val="-10"/>
          <w:szCs w:val="24"/>
        </w:rPr>
        <w:object w:dxaOrig="234" w:dyaOrig="234" w14:anchorId="3A4FD5E2">
          <v:shape id="_x0000_i1158" type="#_x0000_t75" style="width:11.45pt;height:11.45pt" o:ole="">
            <v:imagedata r:id="rId404" o:title=""/>
          </v:shape>
          <o:OLEObject Type="Embed" ProgID="Equation.3" ShapeID="_x0000_i1158" DrawAspect="Content" ObjectID="_1826209257" r:id="rId416"/>
        </w:object>
      </w:r>
      <w:r>
        <w:rPr>
          <w:rFonts w:ascii="Times New Roman" w:hAnsi="Times New Roman"/>
          <w:szCs w:val="24"/>
        </w:rPr>
        <w:t>〕</w:t>
      </w:r>
    </w:p>
    <w:p w14:paraId="275638C2" w14:textId="77777777" w:rsidR="009C353B" w:rsidRDefault="00000000">
      <w:pPr>
        <w:adjustRightInd w:val="0"/>
        <w:snapToGrid w:val="0"/>
        <w:spacing w:line="440" w:lineRule="exact"/>
        <w:ind w:firstLine="482"/>
        <w:jc w:val="left"/>
        <w:rPr>
          <w:rFonts w:ascii="Times New Roman" w:hAnsi="Times New Roman"/>
          <w:szCs w:val="24"/>
        </w:rPr>
      </w:pPr>
      <w:r>
        <w:rPr>
          <w:rFonts w:hint="eastAsia"/>
          <w:szCs w:val="24"/>
        </w:rPr>
        <w:t>③</w:t>
      </w:r>
      <w:r>
        <w:rPr>
          <w:rFonts w:ascii="Times New Roman" w:hAnsi="Times New Roman"/>
          <w:szCs w:val="24"/>
        </w:rPr>
        <w:t xml:space="preserve"> </w:t>
      </w:r>
      <w:r>
        <w:rPr>
          <w:rFonts w:ascii="Times New Roman" w:hint="eastAsia"/>
          <w:szCs w:val="24"/>
        </w:rPr>
        <w:t>沿</w:t>
      </w:r>
      <w:r>
        <w:rPr>
          <w:rFonts w:ascii="Times New Roman" w:hAnsi="Times New Roman"/>
          <w:position w:val="-10"/>
          <w:szCs w:val="24"/>
        </w:rPr>
        <w:object w:dxaOrig="234" w:dyaOrig="234" w14:anchorId="23CD10B3">
          <v:shape id="_x0000_i1159" type="#_x0000_t75" style="width:11.45pt;height:11.45pt" o:ole="">
            <v:imagedata r:id="rId404" o:title=""/>
          </v:shape>
          <o:OLEObject Type="Embed" ProgID="Equation.3" ShapeID="_x0000_i1159" DrawAspect="Content" ObjectID="_1826209258" r:id="rId417"/>
        </w:object>
      </w:r>
      <w:r>
        <w:rPr>
          <w:rFonts w:ascii="Times New Roman" w:hint="eastAsia"/>
          <w:szCs w:val="24"/>
        </w:rPr>
        <w:t>方向的曲率</w:t>
      </w:r>
      <w:r>
        <w:rPr>
          <w:rFonts w:ascii="Times New Roman" w:hAnsi="Times New Roman"/>
          <w:i/>
          <w:szCs w:val="24"/>
        </w:rPr>
        <w:t>k</w:t>
      </w:r>
      <w:r>
        <w:rPr>
          <w:rFonts w:ascii="Times New Roman" w:hAnsi="Times New Roman"/>
          <w:szCs w:val="24"/>
        </w:rPr>
        <w:t>(x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10"/>
          <w:szCs w:val="24"/>
        </w:rPr>
        <w:object w:dxaOrig="234" w:dyaOrig="234" w14:anchorId="0D067574">
          <v:shape id="_x0000_i1160" type="#_x0000_t75" style="width:11.45pt;height:11.45pt" o:ole="">
            <v:imagedata r:id="rId404" o:title=""/>
          </v:shape>
          <o:OLEObject Type="Embed" ProgID="Equation.3" ShapeID="_x0000_i1160" DrawAspect="Content" ObjectID="_1826209259" r:id="rId418"/>
        </w:object>
      </w:r>
      <w:r>
        <w:rPr>
          <w:rFonts w:ascii="Times New Roman" w:hAnsi="Times New Roman"/>
          <w:szCs w:val="24"/>
        </w:rPr>
        <w:t>)</w:t>
      </w:r>
    </w:p>
    <w:p w14:paraId="31CC2C44" w14:textId="77777777" w:rsidR="009C353B" w:rsidRDefault="00000000">
      <w:pPr>
        <w:adjustRightInd w:val="0"/>
        <w:snapToGrid w:val="0"/>
        <w:spacing w:line="440" w:lineRule="exact"/>
        <w:ind w:firstLine="482"/>
        <w:jc w:val="left"/>
        <w:rPr>
          <w:rFonts w:ascii="Times New Roman" w:hAnsi="Times New Roman"/>
          <w:szCs w:val="24"/>
        </w:rPr>
      </w:pPr>
      <w:r>
        <w:rPr>
          <w:rFonts w:ascii="Times New Roman" w:hint="eastAsia"/>
          <w:szCs w:val="24"/>
        </w:rPr>
        <w:t>坐标为</w:t>
      </w:r>
      <w:r>
        <w:rPr>
          <w:rFonts w:ascii="Times New Roman" w:hAnsi="Times New Roman"/>
          <w:szCs w:val="24"/>
        </w:rPr>
        <w:t>(x</w:t>
      </w:r>
      <w:r>
        <w:rPr>
          <w:rFonts w:ascii="Times New Roman" w:hint="eastAsia"/>
          <w:szCs w:val="24"/>
        </w:rPr>
        <w:t>，</w:t>
      </w:r>
      <w:r>
        <w:rPr>
          <w:rFonts w:ascii="Times New Roman" w:hAnsi="Times New Roman"/>
          <w:szCs w:val="24"/>
        </w:rPr>
        <w:t>y)</w:t>
      </w:r>
      <w:r>
        <w:rPr>
          <w:rFonts w:ascii="Times New Roman" w:hint="eastAsia"/>
          <w:szCs w:val="24"/>
        </w:rPr>
        <w:t>的点</w:t>
      </w:r>
      <w:r>
        <w:rPr>
          <w:rFonts w:ascii="Times New Roman" w:hAnsi="Times New Roman"/>
          <w:position w:val="-10"/>
          <w:szCs w:val="24"/>
        </w:rPr>
        <w:object w:dxaOrig="234" w:dyaOrig="234" w14:anchorId="4BD48F20">
          <v:shape id="_x0000_i1161" type="#_x0000_t75" style="width:11.45pt;height:11.45pt" o:ole="">
            <v:imagedata r:id="rId404" o:title=""/>
          </v:shape>
          <o:OLEObject Type="Embed" ProgID="Equation.3" ShapeID="_x0000_i1161" DrawAspect="Content" ObjectID="_1826209260" r:id="rId419"/>
        </w:object>
      </w:r>
      <w:r>
        <w:rPr>
          <w:rFonts w:ascii="Times New Roman" w:hint="eastAsia"/>
          <w:szCs w:val="24"/>
        </w:rPr>
        <w:t>方向的曲率为倾斜</w:t>
      </w:r>
      <w:r>
        <w:rPr>
          <w:rFonts w:ascii="Times New Roman" w:hAnsi="Times New Roman"/>
          <w:szCs w:val="24"/>
        </w:rPr>
        <w:t>i(x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10"/>
          <w:szCs w:val="24"/>
        </w:rPr>
        <w:object w:dxaOrig="234" w:dyaOrig="234" w14:anchorId="34838A01">
          <v:shape id="_x0000_i1162" type="#_x0000_t75" style="width:11.45pt;height:11.45pt" o:ole="">
            <v:imagedata r:id="rId404" o:title=""/>
          </v:shape>
          <o:OLEObject Type="Embed" ProgID="Equation.3" ShapeID="_x0000_i1162" DrawAspect="Content" ObjectID="_1826209261" r:id="rId420"/>
        </w:object>
      </w:r>
      <w:r>
        <w:rPr>
          <w:rFonts w:ascii="Times New Roman" w:hAnsi="Times New Roman"/>
          <w:szCs w:val="24"/>
        </w:rPr>
        <w:t>)</w:t>
      </w:r>
      <w:r>
        <w:rPr>
          <w:rFonts w:ascii="Times New Roman" w:hint="eastAsia"/>
          <w:szCs w:val="24"/>
        </w:rPr>
        <w:t>在</w:t>
      </w:r>
      <w:r>
        <w:rPr>
          <w:rFonts w:ascii="Times New Roman" w:hAnsi="Times New Roman"/>
          <w:position w:val="-10"/>
          <w:szCs w:val="24"/>
        </w:rPr>
        <w:object w:dxaOrig="234" w:dyaOrig="234" w14:anchorId="355217DD">
          <v:shape id="_x0000_i1163" type="#_x0000_t75" style="width:11.45pt;height:11.45pt" o:ole="">
            <v:imagedata r:id="rId404" o:title=""/>
          </v:shape>
          <o:OLEObject Type="Embed" ProgID="Equation.3" ShapeID="_x0000_i1163" DrawAspect="Content" ObjectID="_1826209262" r:id="rId421"/>
        </w:object>
      </w:r>
      <w:r>
        <w:rPr>
          <w:rFonts w:ascii="Times New Roman" w:hint="eastAsia"/>
          <w:szCs w:val="24"/>
        </w:rPr>
        <w:t>方向上单位距离的变化率，在数学上即为</w:t>
      </w:r>
      <w:r>
        <w:rPr>
          <w:rFonts w:ascii="Times New Roman" w:hAnsi="Times New Roman"/>
          <w:position w:val="-10"/>
          <w:szCs w:val="24"/>
        </w:rPr>
        <w:object w:dxaOrig="234" w:dyaOrig="234" w14:anchorId="296A4869">
          <v:shape id="_x0000_i1164" type="#_x0000_t75" style="width:11.45pt;height:11.45pt" o:ole="">
            <v:imagedata r:id="rId404" o:title=""/>
          </v:shape>
          <o:OLEObject Type="Embed" ProgID="Equation.3" ShapeID="_x0000_i1164" DrawAspect="Content" ObjectID="_1826209263" r:id="rId422"/>
        </w:object>
      </w:r>
      <w:r>
        <w:rPr>
          <w:rFonts w:ascii="Times New Roman" w:hint="eastAsia"/>
          <w:szCs w:val="24"/>
        </w:rPr>
        <w:t>方向的方向导数，即为：</w:t>
      </w:r>
    </w:p>
    <w:p w14:paraId="00CAF29E" w14:textId="77777777" w:rsidR="009C353B" w:rsidRDefault="00000000">
      <w:pPr>
        <w:adjustRightInd w:val="0"/>
        <w:snapToGrid w:val="0"/>
        <w:ind w:firstLine="482"/>
        <w:rPr>
          <w:rFonts w:ascii="Times New Roman" w:hAnsi="Times New Roman"/>
          <w:szCs w:val="24"/>
        </w:rPr>
      </w:pPr>
      <w:r>
        <w:rPr>
          <w:rFonts w:ascii="Times New Roman" w:hAnsi="Times New Roman"/>
          <w:i/>
          <w:szCs w:val="24"/>
        </w:rPr>
        <w:t>k</w:t>
      </w:r>
      <w:r>
        <w:rPr>
          <w:rFonts w:ascii="Times New Roman" w:hAnsi="Times New Roman"/>
          <w:szCs w:val="24"/>
        </w:rPr>
        <w:t>(x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10"/>
          <w:szCs w:val="24"/>
        </w:rPr>
        <w:object w:dxaOrig="234" w:dyaOrig="234" w14:anchorId="6D68B6CA">
          <v:shape id="_x0000_i1165" type="#_x0000_t75" style="width:11.45pt;height:11.45pt" o:ole="">
            <v:imagedata r:id="rId404" o:title=""/>
          </v:shape>
          <o:OLEObject Type="Embed" ProgID="Equation.3" ShapeID="_x0000_i1165" DrawAspect="Content" ObjectID="_1826209264" r:id="rId423"/>
        </w:object>
      </w:r>
      <w:r>
        <w:rPr>
          <w:rFonts w:ascii="Times New Roman" w:hAnsi="Times New Roman"/>
          <w:szCs w:val="24"/>
        </w:rPr>
        <w:t>)</w:t>
      </w:r>
      <w:r>
        <w:rPr>
          <w:rFonts w:ascii="Times New Roman" w:hint="eastAsia"/>
          <w:szCs w:val="24"/>
        </w:rPr>
        <w:t>＝</w:t>
      </w:r>
      <w:r>
        <w:rPr>
          <w:rFonts w:ascii="Times New Roman" w:hAnsi="Times New Roman"/>
          <w:noProof/>
          <w:position w:val="-28"/>
          <w:szCs w:val="24"/>
        </w:rPr>
        <w:drawing>
          <wp:inline distT="0" distB="0" distL="0" distR="0" wp14:anchorId="65394AA2" wp14:editId="61F10E61">
            <wp:extent cx="2872740" cy="419100"/>
            <wp:effectExtent l="0" t="0" r="381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a:xfrm>
                      <a:off x="0" y="0"/>
                      <a:ext cx="2872740" cy="419100"/>
                    </a:xfrm>
                    <a:prstGeom prst="rect">
                      <a:avLst/>
                    </a:prstGeom>
                    <a:noFill/>
                    <a:ln>
                      <a:noFill/>
                    </a:ln>
                  </pic:spPr>
                </pic:pic>
              </a:graphicData>
            </a:graphic>
          </wp:inline>
        </w:drawing>
      </w:r>
    </w:p>
    <w:p w14:paraId="04CA3693" w14:textId="77777777" w:rsidR="009C353B" w:rsidRDefault="00000000">
      <w:pPr>
        <w:adjustRightInd w:val="0"/>
        <w:snapToGrid w:val="0"/>
        <w:ind w:firstLine="482"/>
        <w:jc w:val="left"/>
        <w:rPr>
          <w:rFonts w:ascii="Times New Roman" w:hAnsi="Times New Roman"/>
          <w:szCs w:val="24"/>
        </w:rPr>
      </w:pPr>
      <w:r>
        <w:rPr>
          <w:rFonts w:ascii="Times New Roman" w:hint="eastAsia"/>
          <w:szCs w:val="24"/>
        </w:rPr>
        <w:t>可将上式化简为：</w:t>
      </w:r>
    </w:p>
    <w:p w14:paraId="5C9C4818" w14:textId="77777777" w:rsidR="009C353B" w:rsidRDefault="00000000">
      <w:pPr>
        <w:adjustRightInd w:val="0"/>
        <w:snapToGrid w:val="0"/>
        <w:spacing w:beforeLines="50" w:before="120" w:afterLines="50" w:after="120"/>
        <w:ind w:firstLine="482"/>
        <w:rPr>
          <w:rFonts w:ascii="Times New Roman" w:hAnsi="Times New Roman"/>
          <w:szCs w:val="24"/>
        </w:rPr>
      </w:pPr>
      <w:r>
        <w:rPr>
          <w:rFonts w:ascii="Times New Roman" w:hAnsi="Times New Roman"/>
          <w:i/>
          <w:szCs w:val="24"/>
        </w:rPr>
        <w:t>k</w:t>
      </w:r>
      <w:r>
        <w:rPr>
          <w:rFonts w:ascii="Times New Roman" w:hAnsi="Times New Roman"/>
          <w:szCs w:val="24"/>
        </w:rPr>
        <w:t>(x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10"/>
          <w:szCs w:val="24"/>
        </w:rPr>
        <w:object w:dxaOrig="234" w:dyaOrig="234" w14:anchorId="77C17DCB">
          <v:shape id="_x0000_i1166" type="#_x0000_t75" style="width:11.45pt;height:11.45pt" o:ole="">
            <v:imagedata r:id="rId404" o:title=""/>
          </v:shape>
          <o:OLEObject Type="Embed" ProgID="Equation.3" ShapeID="_x0000_i1166" DrawAspect="Content" ObjectID="_1826209265" r:id="rId425"/>
        </w:object>
      </w:r>
      <w:r>
        <w:rPr>
          <w:rFonts w:ascii="Times New Roman" w:hAnsi="Times New Roman"/>
          <w:szCs w:val="24"/>
        </w:rPr>
        <w:t>)</w:t>
      </w:r>
      <w:r>
        <w:rPr>
          <w:rFonts w:ascii="Times New Roman" w:hint="eastAsia"/>
          <w:szCs w:val="24"/>
        </w:rPr>
        <w:t>＝</w:t>
      </w:r>
      <w:r>
        <w:rPr>
          <w:rFonts w:ascii="Times New Roman" w:hAnsi="Times New Roman"/>
          <w:noProof/>
          <w:position w:val="-30"/>
          <w:szCs w:val="24"/>
        </w:rPr>
        <w:drawing>
          <wp:inline distT="0" distB="0" distL="0" distR="0" wp14:anchorId="5503DDCA" wp14:editId="106070C4">
            <wp:extent cx="251460" cy="434340"/>
            <wp:effectExtent l="0" t="0" r="0" b="381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a:xfrm>
                      <a:off x="0" y="0"/>
                      <a:ext cx="251460" cy="434340"/>
                    </a:xfrm>
                    <a:prstGeom prst="rect">
                      <a:avLst/>
                    </a:prstGeom>
                    <a:noFill/>
                    <a:ln>
                      <a:noFill/>
                    </a:ln>
                  </pic:spPr>
                </pic:pic>
              </a:graphicData>
            </a:graphic>
          </wp:inline>
        </w:drawing>
      </w:r>
      <w:r>
        <w:rPr>
          <w:rFonts w:ascii="Times New Roman" w:hAnsi="Times New Roman"/>
          <w:szCs w:val="24"/>
        </w:rPr>
        <w:t>〔</w:t>
      </w:r>
      <w:r>
        <w:rPr>
          <w:rFonts w:ascii="Times New Roman" w:hAnsi="Times New Roman"/>
          <w:i/>
          <w:szCs w:val="24"/>
        </w:rPr>
        <w:t>k</w:t>
      </w:r>
      <w:r>
        <w:rPr>
          <w:rFonts w:ascii="Times New Roman" w:hAnsi="Times New Roman"/>
          <w:i/>
          <w:szCs w:val="24"/>
        </w:rPr>
        <w:sym w:font="Symbol" w:char="F0B0"/>
      </w:r>
      <w:r>
        <w:rPr>
          <w:rFonts w:ascii="Times New Roman" w:hAnsi="Times New Roman"/>
          <w:szCs w:val="24"/>
        </w:rPr>
        <w:t>(x)W</w:t>
      </w:r>
      <w:r>
        <w:rPr>
          <w:rFonts w:ascii="Times New Roman" w:hAnsi="Times New Roman"/>
          <w:szCs w:val="24"/>
        </w:rPr>
        <w:sym w:font="Symbol" w:char="F0B0"/>
      </w:r>
      <w:r>
        <w:rPr>
          <w:rFonts w:ascii="Times New Roman" w:hAnsi="Times New Roman"/>
          <w:szCs w:val="24"/>
        </w:rPr>
        <w:t>(y)</w:t>
      </w:r>
      <w:r>
        <w:rPr>
          <w:rFonts w:ascii="Times New Roman" w:hint="eastAsia"/>
          <w:szCs w:val="24"/>
        </w:rPr>
        <w:t>－</w:t>
      </w:r>
      <w:r>
        <w:rPr>
          <w:rFonts w:ascii="Times New Roman" w:hAnsi="Times New Roman"/>
          <w:i/>
          <w:szCs w:val="24"/>
        </w:rPr>
        <w:t>k</w:t>
      </w:r>
      <w:r>
        <w:rPr>
          <w:rFonts w:ascii="Times New Roman" w:hAnsi="Times New Roman"/>
          <w:i/>
          <w:szCs w:val="24"/>
        </w:rPr>
        <w:sym w:font="Symbol" w:char="F0B0"/>
      </w:r>
      <w:r>
        <w:rPr>
          <w:rFonts w:ascii="Times New Roman" w:hAnsi="Times New Roman"/>
          <w:szCs w:val="24"/>
        </w:rPr>
        <w:t>(y)W</w:t>
      </w:r>
      <w:r>
        <w:rPr>
          <w:rFonts w:ascii="Times New Roman" w:hAnsi="Times New Roman"/>
          <w:szCs w:val="24"/>
        </w:rPr>
        <w:sym w:font="Symbol" w:char="F0B0"/>
      </w:r>
      <w:r>
        <w:rPr>
          <w:rFonts w:ascii="Times New Roman" w:hAnsi="Times New Roman"/>
          <w:szCs w:val="24"/>
        </w:rPr>
        <w:t>(x)</w:t>
      </w:r>
      <w:r>
        <w:rPr>
          <w:rFonts w:ascii="Times New Roman" w:hAnsi="Times New Roman"/>
          <w:szCs w:val="24"/>
        </w:rPr>
        <w:t>〕</w:t>
      </w:r>
      <w:r>
        <w:rPr>
          <w:rFonts w:ascii="Times New Roman" w:hAnsi="Times New Roman"/>
          <w:szCs w:val="24"/>
        </w:rPr>
        <w:t>sin</w:t>
      </w:r>
      <w:r>
        <w:rPr>
          <w:rFonts w:ascii="Times New Roman" w:hAnsi="Times New Roman"/>
          <w:szCs w:val="24"/>
          <w:vertAlign w:val="superscript"/>
        </w:rPr>
        <w:t>2</w:t>
      </w:r>
      <w:r>
        <w:rPr>
          <w:rFonts w:ascii="Times New Roman" w:hAnsi="Times New Roman"/>
          <w:position w:val="-10"/>
          <w:szCs w:val="24"/>
        </w:rPr>
        <w:object w:dxaOrig="234" w:dyaOrig="234" w14:anchorId="5ED2D5A2">
          <v:shape id="_x0000_i1167" type="#_x0000_t75" style="width:11.45pt;height:11.45pt" o:ole="">
            <v:imagedata r:id="rId404" o:title=""/>
          </v:shape>
          <o:OLEObject Type="Embed" ProgID="Equation.3" ShapeID="_x0000_i1167" DrawAspect="Content" ObjectID="_1826209266" r:id="rId427"/>
        </w:object>
      </w:r>
      <w:r>
        <w:rPr>
          <w:rFonts w:ascii="Times New Roman" w:hint="eastAsia"/>
          <w:szCs w:val="24"/>
        </w:rPr>
        <w:t>＋</w:t>
      </w:r>
      <w:r>
        <w:rPr>
          <w:rFonts w:ascii="Times New Roman" w:hAnsi="Times New Roman"/>
          <w:szCs w:val="24"/>
        </w:rPr>
        <w:t>i</w:t>
      </w:r>
      <w:r>
        <w:rPr>
          <w:rFonts w:ascii="Times New Roman" w:hAnsi="Times New Roman"/>
          <w:szCs w:val="24"/>
        </w:rPr>
        <w:sym w:font="Symbol" w:char="F0B0"/>
      </w:r>
      <w:r>
        <w:rPr>
          <w:rFonts w:ascii="Times New Roman" w:hAnsi="Times New Roman"/>
          <w:szCs w:val="24"/>
        </w:rPr>
        <w:t>(x)i</w:t>
      </w:r>
      <w:r>
        <w:rPr>
          <w:rFonts w:ascii="Times New Roman" w:hAnsi="Times New Roman"/>
          <w:szCs w:val="24"/>
        </w:rPr>
        <w:sym w:font="Symbol" w:char="F0B0"/>
      </w:r>
      <w:r>
        <w:rPr>
          <w:rFonts w:ascii="Times New Roman" w:hAnsi="Times New Roman"/>
          <w:szCs w:val="24"/>
        </w:rPr>
        <w:t>(y)sin2</w:t>
      </w:r>
      <w:r>
        <w:rPr>
          <w:rFonts w:ascii="Times New Roman" w:hAnsi="Times New Roman"/>
          <w:position w:val="-10"/>
          <w:szCs w:val="24"/>
        </w:rPr>
        <w:object w:dxaOrig="234" w:dyaOrig="234" w14:anchorId="595A9E2A">
          <v:shape id="_x0000_i1168" type="#_x0000_t75" style="width:11.45pt;height:11.45pt" o:ole="">
            <v:imagedata r:id="rId404" o:title=""/>
          </v:shape>
          <o:OLEObject Type="Embed" ProgID="Equation.3" ShapeID="_x0000_i1168" DrawAspect="Content" ObjectID="_1826209267" r:id="rId428"/>
        </w:object>
      </w:r>
      <w:r>
        <w:rPr>
          <w:rFonts w:ascii="Times New Roman" w:hAnsi="Times New Roman"/>
          <w:szCs w:val="24"/>
        </w:rPr>
        <w:t>〕</w:t>
      </w:r>
    </w:p>
    <w:p w14:paraId="7286A9E0" w14:textId="77777777" w:rsidR="009C353B" w:rsidRDefault="00000000">
      <w:pPr>
        <w:adjustRightInd w:val="0"/>
        <w:snapToGrid w:val="0"/>
        <w:ind w:firstLine="482"/>
        <w:jc w:val="left"/>
        <w:rPr>
          <w:rFonts w:ascii="Times New Roman" w:hAnsi="Times New Roman"/>
          <w:szCs w:val="24"/>
        </w:rPr>
      </w:pPr>
      <w:r>
        <w:rPr>
          <w:rFonts w:hint="eastAsia"/>
          <w:szCs w:val="24"/>
        </w:rPr>
        <w:t>④</w:t>
      </w:r>
      <w:r>
        <w:rPr>
          <w:rFonts w:ascii="Times New Roman" w:hAnsi="Times New Roman"/>
          <w:szCs w:val="24"/>
        </w:rPr>
        <w:t xml:space="preserve"> </w:t>
      </w:r>
      <w:r>
        <w:rPr>
          <w:rFonts w:ascii="Times New Roman" w:hint="eastAsia"/>
          <w:szCs w:val="24"/>
        </w:rPr>
        <w:t>沿</w:t>
      </w:r>
      <w:r>
        <w:rPr>
          <w:rFonts w:ascii="Times New Roman" w:hAnsi="Times New Roman"/>
          <w:position w:val="-10"/>
          <w:szCs w:val="24"/>
        </w:rPr>
        <w:object w:dxaOrig="234" w:dyaOrig="234" w14:anchorId="047283D5">
          <v:shape id="_x0000_i1169" type="#_x0000_t75" style="width:11.45pt;height:11.45pt" o:ole="">
            <v:imagedata r:id="rId404" o:title=""/>
          </v:shape>
          <o:OLEObject Type="Embed" ProgID="Equation.3" ShapeID="_x0000_i1169" DrawAspect="Content" ObjectID="_1826209268" r:id="rId429"/>
        </w:object>
      </w:r>
      <w:r>
        <w:rPr>
          <w:rFonts w:ascii="Times New Roman" w:hint="eastAsia"/>
          <w:szCs w:val="24"/>
        </w:rPr>
        <w:t>方向的水平移动</w:t>
      </w:r>
      <w:r>
        <w:rPr>
          <w:rFonts w:ascii="Times New Roman" w:hAnsi="Times New Roman"/>
          <w:szCs w:val="24"/>
        </w:rPr>
        <w:t>U(x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10"/>
          <w:szCs w:val="24"/>
        </w:rPr>
        <w:object w:dxaOrig="234" w:dyaOrig="234" w14:anchorId="38383C4D">
          <v:shape id="_x0000_i1170" type="#_x0000_t75" style="width:11.45pt;height:11.45pt" o:ole="">
            <v:imagedata r:id="rId404" o:title=""/>
          </v:shape>
          <o:OLEObject Type="Embed" ProgID="Equation.3" ShapeID="_x0000_i1170" DrawAspect="Content" ObjectID="_1826209269" r:id="rId430"/>
        </w:object>
      </w:r>
      <w:r>
        <w:rPr>
          <w:rFonts w:ascii="Times New Roman" w:hAnsi="Times New Roman"/>
          <w:szCs w:val="24"/>
        </w:rPr>
        <w:t>)</w:t>
      </w:r>
    </w:p>
    <w:p w14:paraId="332FD935" w14:textId="77777777" w:rsidR="009C353B" w:rsidRDefault="00000000">
      <w:pPr>
        <w:adjustRightInd w:val="0"/>
        <w:snapToGrid w:val="0"/>
        <w:spacing w:beforeLines="50" w:before="120" w:afterLines="50" w:after="120"/>
        <w:ind w:firstLine="482"/>
        <w:rPr>
          <w:rFonts w:ascii="Times New Roman" w:hAnsi="Times New Roman"/>
          <w:szCs w:val="24"/>
        </w:rPr>
      </w:pPr>
      <w:r>
        <w:rPr>
          <w:rFonts w:ascii="Times New Roman" w:hAnsi="Times New Roman"/>
          <w:szCs w:val="24"/>
        </w:rPr>
        <w:t>U(x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10"/>
          <w:szCs w:val="24"/>
        </w:rPr>
        <w:object w:dxaOrig="234" w:dyaOrig="234" w14:anchorId="606E191B">
          <v:shape id="_x0000_i1171" type="#_x0000_t75" style="width:11.45pt;height:11.45pt" o:ole="">
            <v:imagedata r:id="rId404" o:title=""/>
          </v:shape>
          <o:OLEObject Type="Embed" ProgID="Equation.3" ShapeID="_x0000_i1171" DrawAspect="Content" ObjectID="_1826209270" r:id="rId431"/>
        </w:object>
      </w:r>
      <w:r>
        <w:rPr>
          <w:rFonts w:ascii="Times New Roman" w:hAnsi="Times New Roman"/>
          <w:szCs w:val="24"/>
        </w:rPr>
        <w:t>)=</w:t>
      </w:r>
      <w:r>
        <w:rPr>
          <w:rFonts w:ascii="Times New Roman" w:hAnsi="Times New Roman"/>
          <w:position w:val="-30"/>
          <w:szCs w:val="24"/>
        </w:rPr>
        <w:object w:dxaOrig="382" w:dyaOrig="751" w14:anchorId="7AC6176B">
          <v:shape id="_x0000_i1172" type="#_x0000_t75" style="width:19.1pt;height:37.65pt" o:ole="">
            <v:imagedata r:id="rId402" o:title=""/>
          </v:shape>
          <o:OLEObject Type="Embed" ProgID="Equation.2" ShapeID="_x0000_i1172" DrawAspect="Content" ObjectID="_1826209271" r:id="rId432"/>
        </w:object>
      </w:r>
      <w:r>
        <w:rPr>
          <w:rFonts w:ascii="Times New Roman" w:hAnsi="Times New Roman"/>
          <w:szCs w:val="24"/>
        </w:rPr>
        <w:t>×</w:t>
      </w:r>
      <w:r>
        <w:rPr>
          <w:rFonts w:ascii="Times New Roman" w:hAnsi="Times New Roman"/>
          <w:szCs w:val="24"/>
        </w:rPr>
        <w:t>〔</w:t>
      </w:r>
      <w:r>
        <w:rPr>
          <w:rFonts w:ascii="Times New Roman" w:hAnsi="Times New Roman"/>
          <w:szCs w:val="24"/>
        </w:rPr>
        <w:t>U</w:t>
      </w:r>
      <w:r>
        <w:rPr>
          <w:rFonts w:ascii="Times New Roman" w:hAnsi="Times New Roman"/>
          <w:szCs w:val="24"/>
        </w:rPr>
        <w:sym w:font="Symbol" w:char="F0B0"/>
      </w:r>
      <w:r>
        <w:rPr>
          <w:rFonts w:ascii="Times New Roman" w:hAnsi="Times New Roman"/>
          <w:szCs w:val="24"/>
        </w:rPr>
        <w:t>(x)×W</w:t>
      </w:r>
      <w:r>
        <w:rPr>
          <w:rFonts w:ascii="Times New Roman" w:hAnsi="Times New Roman"/>
          <w:szCs w:val="24"/>
        </w:rPr>
        <w:sym w:font="Symbol" w:char="F0B0"/>
      </w:r>
      <w:r>
        <w:rPr>
          <w:rFonts w:ascii="Times New Roman" w:hAnsi="Times New Roman"/>
          <w:szCs w:val="24"/>
        </w:rPr>
        <w:t>(y)×cos</w:t>
      </w:r>
      <w:r>
        <w:rPr>
          <w:rFonts w:ascii="Times New Roman" w:hAnsi="Times New Roman"/>
          <w:position w:val="-10"/>
          <w:szCs w:val="24"/>
        </w:rPr>
        <w:object w:dxaOrig="234" w:dyaOrig="234" w14:anchorId="1C7D5251">
          <v:shape id="_x0000_i1173" type="#_x0000_t75" style="width:11.45pt;height:11.45pt" o:ole="">
            <v:imagedata r:id="rId404" o:title=""/>
          </v:shape>
          <o:OLEObject Type="Embed" ProgID="Equation.3" ShapeID="_x0000_i1173" DrawAspect="Content" ObjectID="_1826209272" r:id="rId433"/>
        </w:object>
      </w:r>
      <w:r>
        <w:rPr>
          <w:rFonts w:ascii="Times New Roman" w:hint="eastAsia"/>
          <w:szCs w:val="24"/>
        </w:rPr>
        <w:t>＋</w:t>
      </w:r>
      <w:r>
        <w:rPr>
          <w:rFonts w:ascii="Times New Roman" w:hAnsi="Times New Roman"/>
          <w:szCs w:val="24"/>
        </w:rPr>
        <w:t>U</w:t>
      </w:r>
      <w:r>
        <w:rPr>
          <w:rFonts w:ascii="Times New Roman" w:hAnsi="Times New Roman"/>
          <w:szCs w:val="24"/>
        </w:rPr>
        <w:sym w:font="Symbol" w:char="F0B0"/>
      </w:r>
      <w:r>
        <w:rPr>
          <w:rFonts w:ascii="Times New Roman" w:hAnsi="Times New Roman"/>
          <w:szCs w:val="24"/>
        </w:rPr>
        <w:t>(y)×W</w:t>
      </w:r>
      <w:r>
        <w:rPr>
          <w:rFonts w:ascii="Times New Roman" w:hAnsi="Times New Roman"/>
          <w:szCs w:val="24"/>
        </w:rPr>
        <w:sym w:font="Symbol" w:char="F0B0"/>
      </w:r>
      <w:r>
        <w:rPr>
          <w:rFonts w:ascii="Times New Roman" w:hAnsi="Times New Roman"/>
          <w:szCs w:val="24"/>
        </w:rPr>
        <w:t>(x)×sin</w:t>
      </w:r>
      <w:r>
        <w:rPr>
          <w:rFonts w:ascii="Times New Roman" w:hAnsi="Times New Roman"/>
          <w:position w:val="-10"/>
          <w:szCs w:val="24"/>
        </w:rPr>
        <w:object w:dxaOrig="234" w:dyaOrig="234" w14:anchorId="0ECBBD61">
          <v:shape id="_x0000_i1174" type="#_x0000_t75" style="width:11.45pt;height:11.45pt" o:ole="">
            <v:imagedata r:id="rId404" o:title=""/>
          </v:shape>
          <o:OLEObject Type="Embed" ProgID="Equation.3" ShapeID="_x0000_i1174" DrawAspect="Content" ObjectID="_1826209273" r:id="rId434"/>
        </w:object>
      </w:r>
      <w:r>
        <w:rPr>
          <w:rFonts w:ascii="Times New Roman" w:hAnsi="Times New Roman"/>
          <w:szCs w:val="24"/>
        </w:rPr>
        <w:t>〕</w:t>
      </w:r>
    </w:p>
    <w:p w14:paraId="4DAC9035" w14:textId="77777777" w:rsidR="009C353B" w:rsidRDefault="00000000">
      <w:pPr>
        <w:adjustRightInd w:val="0"/>
        <w:snapToGrid w:val="0"/>
        <w:ind w:firstLine="482"/>
        <w:jc w:val="left"/>
        <w:rPr>
          <w:rFonts w:ascii="Times New Roman" w:hAnsi="Times New Roman"/>
          <w:szCs w:val="24"/>
        </w:rPr>
      </w:pPr>
      <w:r>
        <w:rPr>
          <w:rFonts w:hint="eastAsia"/>
          <w:szCs w:val="24"/>
        </w:rPr>
        <w:t>⑤</w:t>
      </w:r>
      <w:r>
        <w:rPr>
          <w:rFonts w:ascii="Times New Roman" w:hAnsi="Times New Roman"/>
          <w:szCs w:val="24"/>
        </w:rPr>
        <w:t xml:space="preserve"> </w:t>
      </w:r>
      <w:r>
        <w:rPr>
          <w:rFonts w:ascii="Times New Roman" w:hint="eastAsia"/>
          <w:szCs w:val="24"/>
        </w:rPr>
        <w:t>沿</w:t>
      </w:r>
      <w:r>
        <w:rPr>
          <w:rFonts w:ascii="Times New Roman" w:hAnsi="Times New Roman"/>
          <w:szCs w:val="24"/>
        </w:rPr>
        <w:t>φ</w:t>
      </w:r>
      <w:r>
        <w:rPr>
          <w:rFonts w:ascii="Times New Roman" w:hint="eastAsia"/>
          <w:szCs w:val="24"/>
        </w:rPr>
        <w:t>方向的水平变形</w:t>
      </w:r>
      <w:r>
        <w:rPr>
          <w:rFonts w:ascii="Times New Roman" w:hAnsi="Times New Roman"/>
          <w:szCs w:val="24"/>
        </w:rPr>
        <w:t>ε(x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10"/>
          <w:szCs w:val="24"/>
        </w:rPr>
        <w:object w:dxaOrig="234" w:dyaOrig="234" w14:anchorId="392CDE72">
          <v:shape id="_x0000_i1175" type="#_x0000_t75" style="width:11.45pt;height:11.45pt" o:ole="">
            <v:imagedata r:id="rId404" o:title=""/>
          </v:shape>
          <o:OLEObject Type="Embed" ProgID="Equation.3" ShapeID="_x0000_i1175" DrawAspect="Content" ObjectID="_1826209274" r:id="rId435"/>
        </w:object>
      </w:r>
      <w:r>
        <w:rPr>
          <w:rFonts w:ascii="Times New Roman" w:hAnsi="Times New Roman"/>
          <w:szCs w:val="24"/>
        </w:rPr>
        <w:t>)</w:t>
      </w:r>
    </w:p>
    <w:p w14:paraId="702525CE" w14:textId="77777777" w:rsidR="009C353B" w:rsidRDefault="00000000">
      <w:pPr>
        <w:adjustRightInd w:val="0"/>
        <w:snapToGrid w:val="0"/>
        <w:ind w:firstLineChars="200" w:firstLine="480"/>
        <w:rPr>
          <w:rFonts w:ascii="Times New Roman" w:hAnsi="Times New Roman"/>
          <w:szCs w:val="24"/>
        </w:rPr>
      </w:pPr>
      <w:r>
        <w:rPr>
          <w:rFonts w:ascii="Times New Roman" w:hAnsi="Times New Roman"/>
          <w:szCs w:val="24"/>
        </w:rPr>
        <w:t>ε(x</w:t>
      </w:r>
      <w:r>
        <w:rPr>
          <w:rFonts w:ascii="Times New Roman" w:hint="eastAsia"/>
          <w:szCs w:val="24"/>
        </w:rPr>
        <w:t>，</w:t>
      </w:r>
      <w:r>
        <w:rPr>
          <w:rFonts w:ascii="Times New Roman" w:hAnsi="Times New Roman"/>
          <w:szCs w:val="24"/>
        </w:rPr>
        <w:t>y</w:t>
      </w:r>
      <w:r>
        <w:rPr>
          <w:rFonts w:ascii="Times New Roman" w:hint="eastAsia"/>
          <w:szCs w:val="24"/>
        </w:rPr>
        <w:t>，</w:t>
      </w:r>
      <w:r>
        <w:rPr>
          <w:rFonts w:ascii="Times New Roman" w:hAnsi="Times New Roman"/>
          <w:position w:val="-10"/>
          <w:szCs w:val="24"/>
        </w:rPr>
        <w:object w:dxaOrig="234" w:dyaOrig="234" w14:anchorId="095E9BB3">
          <v:shape id="_x0000_i1176" type="#_x0000_t75" style="width:11.45pt;height:11.45pt" o:ole="">
            <v:imagedata r:id="rId404" o:title=""/>
          </v:shape>
          <o:OLEObject Type="Embed" ProgID="Equation.3" ShapeID="_x0000_i1176" DrawAspect="Content" ObjectID="_1826209275" r:id="rId436"/>
        </w:object>
      </w:r>
      <w:r>
        <w:rPr>
          <w:rFonts w:ascii="Times New Roman" w:hAnsi="Times New Roman"/>
          <w:szCs w:val="24"/>
        </w:rPr>
        <w:t>)</w:t>
      </w:r>
      <w:r>
        <w:rPr>
          <w:rFonts w:ascii="Times New Roman" w:hint="eastAsia"/>
          <w:szCs w:val="24"/>
        </w:rPr>
        <w:t>＝</w:t>
      </w:r>
      <w:r>
        <w:rPr>
          <w:rFonts w:ascii="Times New Roman" w:hAnsi="Times New Roman"/>
          <w:position w:val="-30"/>
          <w:szCs w:val="24"/>
        </w:rPr>
        <w:object w:dxaOrig="382" w:dyaOrig="751" w14:anchorId="0D87E52B">
          <v:shape id="_x0000_i1177" type="#_x0000_t75" style="width:19.1pt;height:37.65pt" o:ole="">
            <v:imagedata r:id="rId402" o:title=""/>
          </v:shape>
          <o:OLEObject Type="Embed" ProgID="Equation.2" ShapeID="_x0000_i1177" DrawAspect="Content" ObjectID="_1826209276" r:id="rId437"/>
        </w:object>
      </w:r>
      <w:r>
        <w:rPr>
          <w:rFonts w:ascii="Times New Roman" w:hAnsi="Times New Roman"/>
          <w:szCs w:val="24"/>
        </w:rPr>
        <w:t>{</w:t>
      </w:r>
      <w:r>
        <w:rPr>
          <w:rFonts w:ascii="Times New Roman" w:hAnsi="Times New Roman"/>
          <w:szCs w:val="24"/>
        </w:rPr>
        <w:sym w:font="Symbol" w:char="F065"/>
      </w:r>
      <w:r>
        <w:rPr>
          <w:rFonts w:ascii="Times New Roman" w:hAnsi="Times New Roman"/>
          <w:szCs w:val="24"/>
        </w:rPr>
        <w:sym w:font="Symbol" w:char="F0B0"/>
      </w:r>
      <w:r>
        <w:rPr>
          <w:rFonts w:ascii="Times New Roman" w:hAnsi="Times New Roman"/>
          <w:szCs w:val="24"/>
        </w:rPr>
        <w:t>(x)×W</w:t>
      </w:r>
      <w:r>
        <w:rPr>
          <w:rFonts w:ascii="Times New Roman" w:hAnsi="Times New Roman"/>
          <w:szCs w:val="24"/>
        </w:rPr>
        <w:sym w:font="Symbol" w:char="F0B0"/>
      </w:r>
      <w:r>
        <w:rPr>
          <w:rFonts w:ascii="Times New Roman" w:hAnsi="Times New Roman"/>
          <w:szCs w:val="24"/>
        </w:rPr>
        <w:t>(y)×cos</w:t>
      </w:r>
      <w:r>
        <w:rPr>
          <w:rFonts w:ascii="Times New Roman" w:hAnsi="Times New Roman"/>
          <w:szCs w:val="24"/>
          <w:vertAlign w:val="superscript"/>
        </w:rPr>
        <w:t>2</w:t>
      </w:r>
      <w:r>
        <w:rPr>
          <w:rFonts w:ascii="Times New Roman" w:hAnsi="Times New Roman"/>
          <w:position w:val="-10"/>
          <w:szCs w:val="24"/>
        </w:rPr>
        <w:object w:dxaOrig="234" w:dyaOrig="234" w14:anchorId="316F4C82">
          <v:shape id="_x0000_i1178" type="#_x0000_t75" style="width:11.45pt;height:11.45pt" o:ole="">
            <v:imagedata r:id="rId404" o:title=""/>
          </v:shape>
          <o:OLEObject Type="Embed" ProgID="Equation.3" ShapeID="_x0000_i1178" DrawAspect="Content" ObjectID="_1826209277" r:id="rId438"/>
        </w:object>
      </w:r>
      <w:r>
        <w:rPr>
          <w:rFonts w:ascii="Times New Roman" w:hint="eastAsia"/>
          <w:szCs w:val="24"/>
        </w:rPr>
        <w:t>＋</w:t>
      </w:r>
      <w:r>
        <w:rPr>
          <w:rFonts w:ascii="Times New Roman" w:hAnsi="Times New Roman"/>
          <w:szCs w:val="24"/>
        </w:rPr>
        <w:t>ε</w:t>
      </w:r>
      <w:r>
        <w:rPr>
          <w:rFonts w:ascii="Times New Roman" w:hAnsi="Times New Roman"/>
          <w:szCs w:val="24"/>
        </w:rPr>
        <w:sym w:font="Symbol" w:char="F0B0"/>
      </w:r>
      <w:r>
        <w:rPr>
          <w:rFonts w:ascii="Times New Roman" w:hAnsi="Times New Roman"/>
          <w:szCs w:val="24"/>
        </w:rPr>
        <w:t>(y)×W</w:t>
      </w:r>
      <w:r>
        <w:rPr>
          <w:rFonts w:ascii="Times New Roman" w:hAnsi="Times New Roman"/>
          <w:szCs w:val="24"/>
        </w:rPr>
        <w:sym w:font="Symbol" w:char="F0B0"/>
      </w:r>
      <w:r>
        <w:rPr>
          <w:rFonts w:ascii="Times New Roman" w:hAnsi="Times New Roman"/>
          <w:szCs w:val="24"/>
        </w:rPr>
        <w:t>(x)×sin</w:t>
      </w:r>
      <w:r>
        <w:rPr>
          <w:rFonts w:ascii="Times New Roman" w:hAnsi="Times New Roman"/>
          <w:szCs w:val="24"/>
          <w:vertAlign w:val="superscript"/>
        </w:rPr>
        <w:t>2</w:t>
      </w:r>
      <w:r>
        <w:rPr>
          <w:rFonts w:ascii="Times New Roman" w:hAnsi="Times New Roman"/>
          <w:position w:val="-10"/>
          <w:szCs w:val="24"/>
        </w:rPr>
        <w:object w:dxaOrig="234" w:dyaOrig="234" w14:anchorId="15D6DF4F">
          <v:shape id="_x0000_i1179" type="#_x0000_t75" style="width:11.45pt;height:11.45pt" o:ole="">
            <v:imagedata r:id="rId404" o:title=""/>
          </v:shape>
          <o:OLEObject Type="Embed" ProgID="Equation.3" ShapeID="_x0000_i1179" DrawAspect="Content" ObjectID="_1826209278" r:id="rId439"/>
        </w:object>
      </w:r>
      <w:r>
        <w:rPr>
          <w:rFonts w:ascii="Times New Roman" w:hint="eastAsia"/>
          <w:szCs w:val="24"/>
        </w:rPr>
        <w:t>＋</w:t>
      </w:r>
      <w:r>
        <w:rPr>
          <w:rFonts w:ascii="Times New Roman" w:hAnsi="Times New Roman"/>
          <w:szCs w:val="24"/>
        </w:rPr>
        <w:t>〔</w:t>
      </w:r>
      <w:r>
        <w:rPr>
          <w:rFonts w:ascii="Times New Roman" w:hAnsi="Times New Roman"/>
          <w:szCs w:val="24"/>
        </w:rPr>
        <w:t>U</w:t>
      </w:r>
      <w:r>
        <w:rPr>
          <w:rFonts w:ascii="Times New Roman" w:hAnsi="Times New Roman"/>
          <w:szCs w:val="24"/>
        </w:rPr>
        <w:sym w:font="Symbol" w:char="F0B0"/>
      </w:r>
      <w:r>
        <w:rPr>
          <w:rFonts w:ascii="Times New Roman" w:hAnsi="Times New Roman"/>
          <w:szCs w:val="24"/>
        </w:rPr>
        <w:t>(x)×i</w:t>
      </w:r>
      <w:r>
        <w:rPr>
          <w:rFonts w:ascii="Times New Roman" w:hAnsi="Times New Roman"/>
          <w:szCs w:val="24"/>
        </w:rPr>
        <w:sym w:font="Symbol" w:char="F0B0"/>
      </w:r>
      <w:r>
        <w:rPr>
          <w:rFonts w:ascii="Times New Roman" w:hAnsi="Times New Roman"/>
          <w:szCs w:val="24"/>
        </w:rPr>
        <w:t>(y)</w:t>
      </w:r>
      <w:r>
        <w:rPr>
          <w:rFonts w:ascii="Times New Roman" w:hint="eastAsia"/>
          <w:szCs w:val="24"/>
        </w:rPr>
        <w:t>＋</w:t>
      </w:r>
      <w:r>
        <w:rPr>
          <w:rFonts w:ascii="Times New Roman" w:hAnsi="Times New Roman"/>
          <w:szCs w:val="24"/>
        </w:rPr>
        <w:t>i</w:t>
      </w:r>
      <w:r>
        <w:rPr>
          <w:rFonts w:ascii="Times New Roman" w:hAnsi="Times New Roman"/>
          <w:szCs w:val="24"/>
        </w:rPr>
        <w:sym w:font="Symbol" w:char="F0B0"/>
      </w:r>
      <w:r>
        <w:rPr>
          <w:rFonts w:ascii="Times New Roman" w:hAnsi="Times New Roman"/>
          <w:szCs w:val="24"/>
        </w:rPr>
        <w:t>(x)×U</w:t>
      </w:r>
      <w:r>
        <w:rPr>
          <w:rFonts w:ascii="Times New Roman" w:hAnsi="Times New Roman"/>
          <w:szCs w:val="24"/>
        </w:rPr>
        <w:sym w:font="Symbol" w:char="F0B0"/>
      </w:r>
      <w:r>
        <w:rPr>
          <w:rFonts w:ascii="Times New Roman" w:hAnsi="Times New Roman"/>
          <w:szCs w:val="24"/>
        </w:rPr>
        <w:t>(y)</w:t>
      </w:r>
      <w:r>
        <w:rPr>
          <w:rFonts w:ascii="Times New Roman" w:hAnsi="Times New Roman"/>
          <w:szCs w:val="24"/>
        </w:rPr>
        <w:t>〕</w:t>
      </w:r>
      <w:r>
        <w:rPr>
          <w:rFonts w:ascii="Times New Roman" w:hAnsi="Times New Roman"/>
          <w:szCs w:val="24"/>
        </w:rPr>
        <w:t>×sin</w:t>
      </w:r>
      <w:r>
        <w:rPr>
          <w:rFonts w:ascii="Times New Roman" w:hAnsi="Times New Roman"/>
          <w:position w:val="-10"/>
          <w:szCs w:val="24"/>
        </w:rPr>
        <w:object w:dxaOrig="234" w:dyaOrig="234" w14:anchorId="6F41A97F">
          <v:shape id="_x0000_i1180" type="#_x0000_t75" style="width:11.45pt;height:11.45pt" o:ole="">
            <v:imagedata r:id="rId404" o:title=""/>
          </v:shape>
          <o:OLEObject Type="Embed" ProgID="Equation.3" ShapeID="_x0000_i1180" DrawAspect="Content" ObjectID="_1826209279" r:id="rId440"/>
        </w:object>
      </w:r>
      <w:r>
        <w:rPr>
          <w:rFonts w:ascii="Times New Roman" w:hAnsi="Times New Roman"/>
          <w:szCs w:val="24"/>
        </w:rPr>
        <w:t>cos</w:t>
      </w:r>
      <w:r>
        <w:rPr>
          <w:rFonts w:ascii="Times New Roman" w:hAnsi="Times New Roman"/>
          <w:position w:val="-10"/>
          <w:szCs w:val="24"/>
        </w:rPr>
        <w:object w:dxaOrig="234" w:dyaOrig="234" w14:anchorId="45105822">
          <v:shape id="_x0000_i1181" type="#_x0000_t75" style="width:11.45pt;height:11.45pt" o:ole="">
            <v:imagedata r:id="rId404" o:title=""/>
          </v:shape>
          <o:OLEObject Type="Embed" ProgID="Equation.3" ShapeID="_x0000_i1181" DrawAspect="Content" ObjectID="_1826209280" r:id="rId441"/>
        </w:object>
      </w:r>
      <w:r>
        <w:rPr>
          <w:rFonts w:ascii="Times New Roman" w:hAnsi="Times New Roman"/>
          <w:szCs w:val="24"/>
        </w:rPr>
        <w:t>}</w:t>
      </w:r>
    </w:p>
    <w:p w14:paraId="5C2846E5"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Ansi="Times New Roman" w:hint="eastAsia"/>
          <w:szCs w:val="24"/>
        </w:rPr>
        <w:t>（</w:t>
      </w:r>
      <w:r>
        <w:rPr>
          <w:rFonts w:ascii="Times New Roman" w:hAnsi="Times New Roman"/>
          <w:szCs w:val="24"/>
        </w:rPr>
        <w:t>2</w:t>
      </w:r>
      <w:r>
        <w:rPr>
          <w:rFonts w:ascii="Times New Roman" w:hint="eastAsia"/>
          <w:szCs w:val="24"/>
        </w:rPr>
        <w:t>）最大值预计</w:t>
      </w:r>
    </w:p>
    <w:p w14:paraId="1034B129"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int="eastAsia"/>
          <w:szCs w:val="24"/>
        </w:rPr>
        <w:t>在充分采动时：</w:t>
      </w:r>
    </w:p>
    <w:p w14:paraId="507D2FEF" w14:textId="77777777" w:rsidR="009C353B" w:rsidRDefault="00000000">
      <w:pPr>
        <w:autoSpaceDE w:val="0"/>
        <w:autoSpaceDN w:val="0"/>
        <w:adjustRightInd w:val="0"/>
        <w:snapToGrid w:val="0"/>
        <w:spacing w:line="440" w:lineRule="exact"/>
        <w:ind w:firstLineChars="200" w:firstLine="480"/>
        <w:jc w:val="left"/>
        <w:textAlignment w:val="baseline"/>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1 \* GB3 </w:instrText>
      </w:r>
      <w:r>
        <w:rPr>
          <w:rFonts w:ascii="Times New Roman" w:hAnsi="Times New Roman"/>
          <w:szCs w:val="24"/>
        </w:rPr>
        <w:fldChar w:fldCharType="separate"/>
      </w:r>
      <w:r>
        <w:rPr>
          <w:rFonts w:hint="eastAsia"/>
          <w:szCs w:val="24"/>
        </w:rPr>
        <w:t>①</w:t>
      </w:r>
      <w:r>
        <w:rPr>
          <w:rFonts w:ascii="Times New Roman" w:hAnsi="Times New Roman"/>
          <w:szCs w:val="24"/>
        </w:rPr>
        <w:fldChar w:fldCharType="end"/>
      </w:r>
      <w:r>
        <w:rPr>
          <w:rFonts w:ascii="Times New Roman" w:hAnsi="Times New Roman"/>
          <w:szCs w:val="24"/>
        </w:rPr>
        <w:t xml:space="preserve"> </w:t>
      </w:r>
      <w:r>
        <w:rPr>
          <w:rFonts w:ascii="Times New Roman" w:hint="eastAsia"/>
          <w:szCs w:val="24"/>
        </w:rPr>
        <w:t>地表最大下沉值，</w:t>
      </w:r>
      <w:r>
        <w:rPr>
          <w:rFonts w:ascii="Times New Roman" w:hAnsi="Times New Roman"/>
          <w:szCs w:val="24"/>
        </w:rPr>
        <w:t>W</w:t>
      </w:r>
      <w:r>
        <w:rPr>
          <w:rFonts w:ascii="Times New Roman" w:hint="eastAsia"/>
          <w:szCs w:val="24"/>
        </w:rPr>
        <w:t>。＝</w:t>
      </w:r>
      <w:r>
        <w:rPr>
          <w:rFonts w:ascii="Times New Roman" w:hAnsi="Times New Roman"/>
          <w:szCs w:val="24"/>
        </w:rPr>
        <w:t>mqcosα</w:t>
      </w:r>
    </w:p>
    <w:p w14:paraId="6DA4CCF2" w14:textId="77777777" w:rsidR="009C353B" w:rsidRDefault="00000000">
      <w:pPr>
        <w:autoSpaceDE w:val="0"/>
        <w:autoSpaceDN w:val="0"/>
        <w:adjustRightInd w:val="0"/>
        <w:snapToGrid w:val="0"/>
        <w:spacing w:line="440" w:lineRule="exact"/>
        <w:ind w:firstLineChars="200" w:firstLine="480"/>
        <w:jc w:val="left"/>
        <w:textAlignment w:val="baseline"/>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2 \* GB3 </w:instrText>
      </w:r>
      <w:r>
        <w:rPr>
          <w:rFonts w:ascii="Times New Roman" w:hAnsi="Times New Roman"/>
          <w:szCs w:val="24"/>
        </w:rPr>
        <w:fldChar w:fldCharType="separate"/>
      </w:r>
      <w:r>
        <w:rPr>
          <w:rFonts w:hint="eastAsia"/>
          <w:szCs w:val="24"/>
        </w:rPr>
        <w:t>②</w:t>
      </w:r>
      <w:r>
        <w:rPr>
          <w:rFonts w:ascii="Times New Roman" w:hAnsi="Times New Roman"/>
          <w:szCs w:val="24"/>
        </w:rPr>
        <w:fldChar w:fldCharType="end"/>
      </w:r>
      <w:r>
        <w:rPr>
          <w:rFonts w:ascii="Times New Roman" w:hAnsi="Times New Roman"/>
          <w:szCs w:val="24"/>
        </w:rPr>
        <w:t xml:space="preserve"> </w:t>
      </w:r>
      <w:r>
        <w:rPr>
          <w:rFonts w:ascii="Times New Roman" w:hint="eastAsia"/>
          <w:szCs w:val="24"/>
        </w:rPr>
        <w:t>最大倾斜值，</w:t>
      </w:r>
      <w:r>
        <w:rPr>
          <w:rFonts w:ascii="Times New Roman" w:hAnsi="Times New Roman"/>
          <w:szCs w:val="24"/>
        </w:rPr>
        <w:t>i</w:t>
      </w:r>
      <w:r>
        <w:rPr>
          <w:rFonts w:ascii="Times New Roman" w:hint="eastAsia"/>
          <w:szCs w:val="24"/>
        </w:rPr>
        <w:t>。＝</w:t>
      </w:r>
      <w:r>
        <w:rPr>
          <w:rFonts w:ascii="Times New Roman" w:hAnsi="Times New Roman"/>
          <w:szCs w:val="24"/>
        </w:rPr>
        <w:t>W</w:t>
      </w:r>
      <w:r>
        <w:rPr>
          <w:rFonts w:ascii="Times New Roman" w:hint="eastAsia"/>
          <w:szCs w:val="24"/>
        </w:rPr>
        <w:t>。</w:t>
      </w:r>
      <w:r>
        <w:rPr>
          <w:rFonts w:ascii="Times New Roman" w:hAnsi="Times New Roman"/>
          <w:szCs w:val="24"/>
        </w:rPr>
        <w:t xml:space="preserve">/r </w:t>
      </w:r>
    </w:p>
    <w:p w14:paraId="66575A0C" w14:textId="77777777" w:rsidR="009C353B" w:rsidRDefault="00000000">
      <w:pPr>
        <w:autoSpaceDE w:val="0"/>
        <w:autoSpaceDN w:val="0"/>
        <w:adjustRightInd w:val="0"/>
        <w:snapToGrid w:val="0"/>
        <w:spacing w:line="440" w:lineRule="exact"/>
        <w:ind w:firstLine="480"/>
        <w:textAlignment w:val="baseline"/>
        <w:rPr>
          <w:rFonts w:ascii="Times New Roman" w:hAnsi="Times New Roman"/>
          <w:szCs w:val="24"/>
        </w:rPr>
      </w:pPr>
      <w:r>
        <w:rPr>
          <w:rFonts w:hint="eastAsia"/>
          <w:szCs w:val="24"/>
        </w:rPr>
        <w:t>③</w:t>
      </w:r>
      <w:r>
        <w:rPr>
          <w:rFonts w:ascii="Times New Roman" w:hAnsi="Times New Roman"/>
          <w:szCs w:val="24"/>
        </w:rPr>
        <w:t xml:space="preserve"> </w:t>
      </w:r>
      <w:r>
        <w:rPr>
          <w:rFonts w:ascii="Times New Roman" w:hint="eastAsia"/>
          <w:szCs w:val="24"/>
        </w:rPr>
        <w:t>最大曲率值</w:t>
      </w:r>
      <w:r>
        <w:rPr>
          <w:rFonts w:ascii="Times New Roman" w:hAnsi="Times New Roman"/>
          <w:noProof/>
          <w:position w:val="-24"/>
          <w:szCs w:val="24"/>
        </w:rPr>
        <w:drawing>
          <wp:inline distT="0" distB="0" distL="0" distR="0" wp14:anchorId="1F11F8E1" wp14:editId="0F859221">
            <wp:extent cx="929640" cy="403860"/>
            <wp:effectExtent l="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noChangeArrowheads="1"/>
                    </pic:cNvPicPr>
                  </pic:nvPicPr>
                  <pic:blipFill>
                    <a:blip r:embed="rId442" cstate="print">
                      <a:extLst>
                        <a:ext uri="{28A0092B-C50C-407E-A947-70E740481C1C}">
                          <a14:useLocalDpi xmlns:a14="http://schemas.microsoft.com/office/drawing/2010/main" val="0"/>
                        </a:ext>
                      </a:extLst>
                    </a:blip>
                    <a:srcRect/>
                    <a:stretch>
                      <a:fillRect/>
                    </a:stretch>
                  </pic:blipFill>
                  <pic:spPr>
                    <a:xfrm>
                      <a:off x="0" y="0"/>
                      <a:ext cx="929640" cy="403860"/>
                    </a:xfrm>
                    <a:prstGeom prst="rect">
                      <a:avLst/>
                    </a:prstGeom>
                    <a:noFill/>
                    <a:ln>
                      <a:noFill/>
                    </a:ln>
                  </pic:spPr>
                </pic:pic>
              </a:graphicData>
            </a:graphic>
          </wp:inline>
        </w:drawing>
      </w:r>
    </w:p>
    <w:p w14:paraId="40265B32" w14:textId="77777777" w:rsidR="009C353B" w:rsidRDefault="00000000">
      <w:pPr>
        <w:autoSpaceDE w:val="0"/>
        <w:autoSpaceDN w:val="0"/>
        <w:adjustRightInd w:val="0"/>
        <w:snapToGrid w:val="0"/>
        <w:spacing w:line="440" w:lineRule="exact"/>
        <w:ind w:firstLine="480"/>
        <w:textAlignment w:val="baseline"/>
        <w:rPr>
          <w:rFonts w:ascii="Times New Roman" w:hAnsi="Times New Roman"/>
          <w:szCs w:val="24"/>
        </w:rPr>
      </w:pPr>
      <w:r>
        <w:rPr>
          <w:rFonts w:hint="eastAsia"/>
          <w:szCs w:val="24"/>
        </w:rPr>
        <w:t>④</w:t>
      </w:r>
      <w:r>
        <w:rPr>
          <w:rFonts w:ascii="Times New Roman" w:hAnsi="Times New Roman"/>
          <w:szCs w:val="24"/>
        </w:rPr>
        <w:t xml:space="preserve"> </w:t>
      </w:r>
      <w:r>
        <w:rPr>
          <w:rFonts w:ascii="Times New Roman" w:hint="eastAsia"/>
          <w:szCs w:val="24"/>
        </w:rPr>
        <w:t>最大水平移动</w:t>
      </w:r>
      <w:r>
        <w:rPr>
          <w:rFonts w:ascii="Times New Roman" w:hAnsi="Times New Roman"/>
          <w:szCs w:val="24"/>
        </w:rPr>
        <w:t xml:space="preserve">   U</w:t>
      </w:r>
      <w:r>
        <w:rPr>
          <w:rFonts w:ascii="Times New Roman" w:hint="eastAsia"/>
          <w:szCs w:val="24"/>
        </w:rPr>
        <w:t>。＝</w:t>
      </w:r>
      <w:r>
        <w:rPr>
          <w:rFonts w:ascii="Times New Roman" w:hAnsi="Times New Roman"/>
          <w:szCs w:val="24"/>
        </w:rPr>
        <w:t>bW</w:t>
      </w:r>
    </w:p>
    <w:p w14:paraId="1A856907" w14:textId="77777777" w:rsidR="009C353B" w:rsidRDefault="00000000">
      <w:pPr>
        <w:adjustRightInd w:val="0"/>
        <w:snapToGrid w:val="0"/>
        <w:spacing w:line="440" w:lineRule="exact"/>
        <w:ind w:firstLineChars="200" w:firstLine="480"/>
        <w:rPr>
          <w:rFonts w:ascii="Times New Roman" w:hAnsi="Times New Roman"/>
          <w:szCs w:val="24"/>
        </w:rPr>
      </w:pPr>
      <w:r>
        <w:rPr>
          <w:rFonts w:hint="eastAsia"/>
          <w:szCs w:val="24"/>
        </w:rPr>
        <w:t>⑤</w:t>
      </w:r>
      <w:r>
        <w:rPr>
          <w:rFonts w:ascii="Times New Roman" w:hAnsi="Times New Roman"/>
          <w:szCs w:val="24"/>
        </w:rPr>
        <w:t xml:space="preserve"> </w:t>
      </w:r>
      <w:r>
        <w:rPr>
          <w:rFonts w:ascii="Times New Roman" w:hint="eastAsia"/>
          <w:szCs w:val="24"/>
        </w:rPr>
        <w:t>最大水平变形值</w:t>
      </w:r>
      <w:r>
        <w:rPr>
          <w:rFonts w:ascii="Times New Roman" w:hAnsi="Times New Roman"/>
          <w:noProof/>
          <w:position w:val="-12"/>
          <w:szCs w:val="24"/>
        </w:rPr>
        <w:drawing>
          <wp:inline distT="0" distB="0" distL="0" distR="0" wp14:anchorId="1243ACEB" wp14:editId="494D7E4D">
            <wp:extent cx="1127760" cy="228600"/>
            <wp:effectExtent l="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a:xfrm>
                      <a:off x="0" y="0"/>
                      <a:ext cx="1127760" cy="228600"/>
                    </a:xfrm>
                    <a:prstGeom prst="rect">
                      <a:avLst/>
                    </a:prstGeom>
                    <a:noFill/>
                    <a:ln>
                      <a:noFill/>
                    </a:ln>
                  </pic:spPr>
                </pic:pic>
              </a:graphicData>
            </a:graphic>
          </wp:inline>
        </w:drawing>
      </w:r>
    </w:p>
    <w:p w14:paraId="0B1AFF8C"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 xml:space="preserve">6.1.3.2 </w:t>
      </w:r>
      <w:r>
        <w:rPr>
          <w:rFonts w:ascii="Times New Roman" w:eastAsia="宋体" w:hAnsi="Times New Roman" w:hint="eastAsia"/>
          <w:sz w:val="24"/>
        </w:rPr>
        <w:t>参数选取</w:t>
      </w:r>
    </w:p>
    <w:p w14:paraId="25CA54B5" w14:textId="77777777" w:rsidR="009C353B" w:rsidRDefault="00000000">
      <w:pPr>
        <w:adjustRightInd w:val="0"/>
        <w:snapToGrid w:val="0"/>
        <w:spacing w:line="440" w:lineRule="exact"/>
        <w:ind w:firstLine="482"/>
        <w:rPr>
          <w:rFonts w:ascii="Times New Roman" w:hint="eastAsia"/>
        </w:rPr>
      </w:pPr>
      <w:r>
        <w:rPr>
          <w:rFonts w:ascii="Times New Roman" w:hint="eastAsia"/>
        </w:rPr>
        <w:t>地表移动变形计算的主要输入参数有下沉系数</w:t>
      </w:r>
      <w:r>
        <w:rPr>
          <w:rFonts w:ascii="Times New Roman"/>
        </w:rPr>
        <w:t>q</w:t>
      </w:r>
      <w:r>
        <w:rPr>
          <w:rFonts w:ascii="Times New Roman" w:hint="eastAsia"/>
        </w:rPr>
        <w:t>、主要影响角正切</w:t>
      </w:r>
      <w:r>
        <w:rPr>
          <w:rFonts w:ascii="Times New Roman"/>
        </w:rPr>
        <w:t>tan</w:t>
      </w:r>
      <w:r>
        <w:rPr>
          <w:rFonts w:ascii="Times New Roman"/>
        </w:rPr>
        <w:t>β</w:t>
      </w:r>
      <w:r>
        <w:rPr>
          <w:rFonts w:ascii="Times New Roman" w:hint="eastAsia"/>
        </w:rPr>
        <w:t>、水平移动系数</w:t>
      </w:r>
      <w:r>
        <w:rPr>
          <w:rFonts w:ascii="Times New Roman"/>
        </w:rPr>
        <w:t>b</w:t>
      </w:r>
      <w:r>
        <w:rPr>
          <w:rFonts w:ascii="Times New Roman" w:hint="eastAsia"/>
        </w:rPr>
        <w:t>、拐点移动距</w:t>
      </w:r>
      <w:r>
        <w:rPr>
          <w:rFonts w:ascii="Times New Roman"/>
        </w:rPr>
        <w:t>S</w:t>
      </w:r>
      <w:r>
        <w:rPr>
          <w:rFonts w:ascii="Times New Roman" w:hint="eastAsia"/>
        </w:rPr>
        <w:t>及影响传播角</w:t>
      </w:r>
      <w:r>
        <w:rPr>
          <w:rFonts w:ascii="Times New Roman"/>
        </w:rPr>
        <w:t>θ</w:t>
      </w:r>
      <w:r>
        <w:rPr>
          <w:rFonts w:ascii="Times New Roman" w:hint="eastAsia"/>
        </w:rPr>
        <w:t>。这些参数的取值主要与煤层开采方法、顶板管理方法、上覆岩层性质、重复采动次数以及采深采厚比等因素有关。</w:t>
      </w:r>
    </w:p>
    <w:p w14:paraId="5E207C18" w14:textId="77777777" w:rsidR="009C353B" w:rsidRDefault="00000000">
      <w:pPr>
        <w:adjustRightInd w:val="0"/>
        <w:snapToGrid w:val="0"/>
        <w:spacing w:line="440" w:lineRule="exact"/>
        <w:ind w:firstLine="482"/>
        <w:rPr>
          <w:rFonts w:ascii="Times New Roman" w:hint="eastAsia"/>
        </w:rPr>
      </w:pPr>
      <w:r>
        <w:rPr>
          <w:rFonts w:ascii="Times New Roman" w:hint="eastAsia"/>
        </w:rPr>
        <w:t>横城</w:t>
      </w:r>
      <w:r>
        <w:rPr>
          <w:rFonts w:ascii="Times New Roman"/>
        </w:rPr>
        <w:t>矿区为</w:t>
      </w:r>
      <w:r>
        <w:rPr>
          <w:rFonts w:ascii="Times New Roman" w:hint="eastAsia"/>
        </w:rPr>
        <w:t>已开发矿区，任家庄、马莲台煤矿均开展了地表岩移观测工作，红石湾于本年度进行岩移观测，暂未取得有效观测数据。任家庄、马莲台煤矿沉陷观测实际</w:t>
      </w:r>
      <w:r>
        <w:rPr>
          <w:rFonts w:ascii="Times New Roman"/>
        </w:rPr>
        <w:t>结果与环评预测结果基本相符</w:t>
      </w:r>
      <w:r>
        <w:rPr>
          <w:rFonts w:ascii="Times New Roman" w:hint="eastAsia"/>
        </w:rPr>
        <w:t>，</w:t>
      </w:r>
      <w:r>
        <w:rPr>
          <w:rFonts w:ascii="Times New Roman"/>
        </w:rPr>
        <w:t>本次评价沉陷预测主要参考</w:t>
      </w:r>
      <w:r>
        <w:rPr>
          <w:rFonts w:ascii="Times New Roman" w:hint="eastAsia"/>
        </w:rPr>
        <w:t>任家庄、马莲台</w:t>
      </w:r>
      <w:r>
        <w:rPr>
          <w:rFonts w:ascii="Times New Roman"/>
        </w:rPr>
        <w:t>矿井沉陷观测实际结果</w:t>
      </w:r>
      <w:r>
        <w:rPr>
          <w:rFonts w:ascii="Times New Roman" w:hint="eastAsia"/>
        </w:rPr>
        <w:t>及各井田煤层赋存条件确定预测参数</w:t>
      </w:r>
      <w:r>
        <w:rPr>
          <w:rFonts w:ascii="Times New Roman"/>
        </w:rPr>
        <w:t>开展沉陷预测。</w:t>
      </w:r>
    </w:p>
    <w:p w14:paraId="1F45847B" w14:textId="77777777" w:rsidR="009C353B" w:rsidRDefault="00000000">
      <w:pPr>
        <w:adjustRightInd w:val="0"/>
        <w:snapToGrid w:val="0"/>
        <w:spacing w:line="440" w:lineRule="exact"/>
        <w:ind w:firstLine="482"/>
        <w:rPr>
          <w:rFonts w:ascii="Times New Roman" w:hint="eastAsia"/>
        </w:rPr>
      </w:pPr>
      <w:r>
        <w:rPr>
          <w:rFonts w:ascii="Times New Roman"/>
        </w:rPr>
        <w:t>本次地表沉陷预测参数详见表</w:t>
      </w:r>
      <w:r>
        <w:rPr>
          <w:rFonts w:ascii="Times New Roman"/>
        </w:rPr>
        <w:t>6.1-1</w:t>
      </w:r>
      <w:r>
        <w:rPr>
          <w:rFonts w:ascii="Times New Roman"/>
        </w:rPr>
        <w:t>。</w:t>
      </w:r>
    </w:p>
    <w:p w14:paraId="48F81B67" w14:textId="77777777" w:rsidR="009C353B" w:rsidRDefault="009C353B">
      <w:pPr>
        <w:adjustRightInd w:val="0"/>
        <w:snapToGrid w:val="0"/>
        <w:spacing w:line="440" w:lineRule="exact"/>
        <w:ind w:firstLine="482"/>
        <w:rPr>
          <w:rFonts w:ascii="Times New Roman" w:hint="eastAsia"/>
        </w:rPr>
      </w:pPr>
    </w:p>
    <w:p w14:paraId="71402B83" w14:textId="77777777" w:rsidR="009C353B" w:rsidRDefault="009C353B">
      <w:pPr>
        <w:adjustRightInd w:val="0"/>
        <w:snapToGrid w:val="0"/>
        <w:spacing w:line="440" w:lineRule="exact"/>
        <w:ind w:firstLine="482"/>
        <w:rPr>
          <w:rFonts w:ascii="Times New Roman" w:hint="eastAsia"/>
        </w:rPr>
      </w:pPr>
    </w:p>
    <w:p w14:paraId="45D22C69" w14:textId="77777777" w:rsidR="009C353B" w:rsidRDefault="009C353B">
      <w:pPr>
        <w:adjustRightInd w:val="0"/>
        <w:snapToGrid w:val="0"/>
        <w:spacing w:line="440" w:lineRule="exact"/>
        <w:ind w:firstLine="482"/>
        <w:rPr>
          <w:rFonts w:ascii="Times New Roman" w:hint="eastAsia"/>
        </w:rPr>
      </w:pPr>
    </w:p>
    <w:p w14:paraId="2AFEA0AC" w14:textId="77777777" w:rsidR="009C353B" w:rsidRDefault="009C353B">
      <w:pPr>
        <w:adjustRightInd w:val="0"/>
        <w:snapToGrid w:val="0"/>
        <w:spacing w:line="440" w:lineRule="exact"/>
        <w:ind w:firstLine="482"/>
        <w:rPr>
          <w:rFonts w:ascii="Times New Roman" w:hint="eastAsia"/>
        </w:rPr>
      </w:pPr>
    </w:p>
    <w:p w14:paraId="0566A8E0" w14:textId="77777777" w:rsidR="009C353B" w:rsidRDefault="00000000">
      <w:pPr>
        <w:adjustRightInd w:val="0"/>
        <w:snapToGrid w:val="0"/>
        <w:spacing w:line="440" w:lineRule="exact"/>
        <w:jc w:val="center"/>
        <w:rPr>
          <w:rFonts w:ascii="Times New Roman" w:hAnsi="Times New Roman"/>
          <w:b/>
          <w:kern w:val="0"/>
          <w:szCs w:val="24"/>
        </w:rPr>
      </w:pPr>
      <w:r>
        <w:rPr>
          <w:rFonts w:ascii="Times New Roman" w:hint="eastAsia"/>
          <w:b/>
          <w:kern w:val="0"/>
          <w:szCs w:val="24"/>
        </w:rPr>
        <w:t>地表移动变形预计参数</w:t>
      </w:r>
    </w:p>
    <w:p w14:paraId="4E694A4D" w14:textId="77777777" w:rsidR="009C353B" w:rsidRDefault="00000000">
      <w:pPr>
        <w:widowControl/>
        <w:adjustRightInd w:val="0"/>
        <w:snapToGrid w:val="0"/>
        <w:spacing w:line="440" w:lineRule="exact"/>
        <w:outlineLvl w:val="4"/>
        <w:rPr>
          <w:rFonts w:ascii="Times New Roman" w:hAnsi="Times New Roman"/>
          <w:kern w:val="0"/>
          <w:szCs w:val="24"/>
        </w:rPr>
      </w:pPr>
      <w:r>
        <w:rPr>
          <w:rFonts w:ascii="Times New Roman" w:hint="eastAsia"/>
          <w:kern w:val="0"/>
          <w:szCs w:val="24"/>
        </w:rPr>
        <w:t>表</w:t>
      </w:r>
      <w:r>
        <w:rPr>
          <w:rFonts w:ascii="Times New Roman" w:hAnsi="Times New Roman"/>
          <w:kern w:val="0"/>
          <w:szCs w:val="24"/>
        </w:rPr>
        <w:t>6.1-</w:t>
      </w:r>
      <w:r>
        <w:rPr>
          <w:rFonts w:ascii="Times New Roman" w:hAnsi="Times New Roman" w:hint="eastAsia"/>
          <w:kern w:val="0"/>
          <w:szCs w:val="24"/>
        </w:rPr>
        <w:t>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1791"/>
        <w:gridCol w:w="1090"/>
        <w:gridCol w:w="1126"/>
        <w:gridCol w:w="1772"/>
        <w:gridCol w:w="2643"/>
      </w:tblGrid>
      <w:tr w:rsidR="009C353B" w14:paraId="2635C9E8" w14:textId="77777777">
        <w:trPr>
          <w:trHeight w:val="397"/>
          <w:jc w:val="center"/>
        </w:trPr>
        <w:tc>
          <w:tcPr>
            <w:tcW w:w="466" w:type="pct"/>
            <w:tcBorders>
              <w:top w:val="single" w:sz="4" w:space="0" w:color="auto"/>
              <w:left w:val="single" w:sz="4" w:space="0" w:color="auto"/>
              <w:bottom w:val="single" w:sz="4" w:space="0" w:color="auto"/>
              <w:right w:val="single" w:sz="4" w:space="0" w:color="auto"/>
            </w:tcBorders>
            <w:vAlign w:val="center"/>
          </w:tcPr>
          <w:p w14:paraId="38545D44"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序号</w:t>
            </w:r>
          </w:p>
        </w:tc>
        <w:tc>
          <w:tcPr>
            <w:tcW w:w="964" w:type="pct"/>
            <w:tcBorders>
              <w:top w:val="single" w:sz="4" w:space="0" w:color="auto"/>
              <w:left w:val="single" w:sz="4" w:space="0" w:color="auto"/>
              <w:bottom w:val="single" w:sz="4" w:space="0" w:color="auto"/>
              <w:right w:val="single" w:sz="4" w:space="0" w:color="auto"/>
            </w:tcBorders>
            <w:vAlign w:val="center"/>
          </w:tcPr>
          <w:p w14:paraId="178AC5C2"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参数</w:t>
            </w:r>
          </w:p>
        </w:tc>
        <w:tc>
          <w:tcPr>
            <w:tcW w:w="587" w:type="pct"/>
            <w:tcBorders>
              <w:top w:val="single" w:sz="4" w:space="0" w:color="auto"/>
              <w:left w:val="single" w:sz="4" w:space="0" w:color="auto"/>
              <w:bottom w:val="single" w:sz="4" w:space="0" w:color="auto"/>
              <w:right w:val="single" w:sz="4" w:space="0" w:color="auto"/>
            </w:tcBorders>
            <w:vAlign w:val="center"/>
          </w:tcPr>
          <w:p w14:paraId="41D164F7"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符号</w:t>
            </w:r>
          </w:p>
        </w:tc>
        <w:tc>
          <w:tcPr>
            <w:tcW w:w="606" w:type="pct"/>
            <w:tcBorders>
              <w:top w:val="single" w:sz="4" w:space="0" w:color="auto"/>
              <w:left w:val="single" w:sz="4" w:space="0" w:color="auto"/>
              <w:bottom w:val="single" w:sz="4" w:space="0" w:color="auto"/>
              <w:right w:val="single" w:sz="4" w:space="0" w:color="auto"/>
            </w:tcBorders>
            <w:vAlign w:val="center"/>
          </w:tcPr>
          <w:p w14:paraId="191B2822"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单位</w:t>
            </w:r>
          </w:p>
        </w:tc>
        <w:tc>
          <w:tcPr>
            <w:tcW w:w="954" w:type="pct"/>
            <w:tcBorders>
              <w:top w:val="single" w:sz="4" w:space="0" w:color="auto"/>
              <w:left w:val="single" w:sz="4" w:space="0" w:color="auto"/>
              <w:bottom w:val="single" w:sz="4" w:space="0" w:color="auto"/>
              <w:right w:val="single" w:sz="4" w:space="0" w:color="auto"/>
            </w:tcBorders>
            <w:vAlign w:val="center"/>
          </w:tcPr>
          <w:p w14:paraId="41DF5002"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参数值</w:t>
            </w:r>
          </w:p>
        </w:tc>
        <w:tc>
          <w:tcPr>
            <w:tcW w:w="1423" w:type="pct"/>
            <w:tcBorders>
              <w:top w:val="single" w:sz="4" w:space="0" w:color="auto"/>
              <w:left w:val="single" w:sz="4" w:space="0" w:color="auto"/>
              <w:bottom w:val="single" w:sz="4" w:space="0" w:color="auto"/>
              <w:right w:val="single" w:sz="4" w:space="0" w:color="auto"/>
            </w:tcBorders>
            <w:vAlign w:val="center"/>
          </w:tcPr>
          <w:p w14:paraId="2F0D2449"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备注</w:t>
            </w:r>
          </w:p>
        </w:tc>
      </w:tr>
      <w:tr w:rsidR="009C353B" w14:paraId="7A4266F1" w14:textId="77777777">
        <w:trPr>
          <w:trHeight w:val="397"/>
          <w:jc w:val="center"/>
        </w:trPr>
        <w:tc>
          <w:tcPr>
            <w:tcW w:w="466" w:type="pct"/>
            <w:tcBorders>
              <w:top w:val="single" w:sz="4" w:space="0" w:color="auto"/>
              <w:left w:val="single" w:sz="4" w:space="0" w:color="auto"/>
              <w:bottom w:val="single" w:sz="4" w:space="0" w:color="auto"/>
              <w:right w:val="single" w:sz="4" w:space="0" w:color="auto"/>
            </w:tcBorders>
            <w:vAlign w:val="center"/>
          </w:tcPr>
          <w:p w14:paraId="788F8466"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1</w:t>
            </w:r>
          </w:p>
        </w:tc>
        <w:tc>
          <w:tcPr>
            <w:tcW w:w="964" w:type="pct"/>
            <w:tcBorders>
              <w:top w:val="single" w:sz="4" w:space="0" w:color="auto"/>
              <w:left w:val="single" w:sz="4" w:space="0" w:color="auto"/>
              <w:bottom w:val="single" w:sz="4" w:space="0" w:color="auto"/>
              <w:right w:val="single" w:sz="4" w:space="0" w:color="auto"/>
            </w:tcBorders>
            <w:vAlign w:val="center"/>
          </w:tcPr>
          <w:p w14:paraId="34D722F5"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下沉系数</w:t>
            </w:r>
          </w:p>
        </w:tc>
        <w:tc>
          <w:tcPr>
            <w:tcW w:w="587" w:type="pct"/>
            <w:tcBorders>
              <w:top w:val="single" w:sz="4" w:space="0" w:color="auto"/>
              <w:left w:val="single" w:sz="4" w:space="0" w:color="auto"/>
              <w:bottom w:val="single" w:sz="4" w:space="0" w:color="auto"/>
              <w:right w:val="single" w:sz="4" w:space="0" w:color="auto"/>
            </w:tcBorders>
            <w:vAlign w:val="center"/>
          </w:tcPr>
          <w:p w14:paraId="3C64EC0B"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q</w:t>
            </w:r>
          </w:p>
        </w:tc>
        <w:tc>
          <w:tcPr>
            <w:tcW w:w="606" w:type="pct"/>
            <w:tcBorders>
              <w:top w:val="single" w:sz="4" w:space="0" w:color="auto"/>
              <w:left w:val="single" w:sz="4" w:space="0" w:color="auto"/>
              <w:bottom w:val="single" w:sz="4" w:space="0" w:color="auto"/>
              <w:right w:val="single" w:sz="4" w:space="0" w:color="auto"/>
            </w:tcBorders>
            <w:vAlign w:val="center"/>
          </w:tcPr>
          <w:p w14:paraId="06C03013"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w:t>
            </w:r>
          </w:p>
        </w:tc>
        <w:tc>
          <w:tcPr>
            <w:tcW w:w="954" w:type="pct"/>
            <w:tcBorders>
              <w:top w:val="single" w:sz="4" w:space="0" w:color="auto"/>
              <w:left w:val="single" w:sz="4" w:space="0" w:color="auto"/>
              <w:bottom w:val="single" w:sz="4" w:space="0" w:color="auto"/>
              <w:right w:val="single" w:sz="4" w:space="0" w:color="auto"/>
            </w:tcBorders>
            <w:vAlign w:val="center"/>
          </w:tcPr>
          <w:p w14:paraId="160106B9"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0.75</w:t>
            </w:r>
          </w:p>
        </w:tc>
        <w:tc>
          <w:tcPr>
            <w:tcW w:w="1423" w:type="pct"/>
            <w:tcBorders>
              <w:top w:val="single" w:sz="4" w:space="0" w:color="auto"/>
              <w:left w:val="single" w:sz="4" w:space="0" w:color="auto"/>
              <w:bottom w:val="single" w:sz="4" w:space="0" w:color="auto"/>
              <w:right w:val="single" w:sz="4" w:space="0" w:color="auto"/>
            </w:tcBorders>
            <w:vAlign w:val="center"/>
          </w:tcPr>
          <w:p w14:paraId="406B9510" w14:textId="77777777" w:rsidR="009C353B" w:rsidRDefault="00000000">
            <w:pPr>
              <w:widowControl/>
              <w:spacing w:line="240" w:lineRule="exact"/>
              <w:jc w:val="center"/>
              <w:rPr>
                <w:rFonts w:ascii="Times New Roman" w:hAnsi="Times New Roman"/>
                <w:kern w:val="0"/>
                <w:sz w:val="21"/>
                <w:szCs w:val="21"/>
              </w:rPr>
            </w:pPr>
            <w:r>
              <w:rPr>
                <w:rFonts w:ascii="Times New Roman" w:hint="eastAsia"/>
                <w:sz w:val="21"/>
                <w:szCs w:val="21"/>
              </w:rPr>
              <w:t>重复采动为</w:t>
            </w:r>
            <w:r>
              <w:rPr>
                <w:rFonts w:ascii="Times New Roman" w:hAnsi="Times New Roman"/>
                <w:sz w:val="21"/>
                <w:szCs w:val="21"/>
              </w:rPr>
              <w:t>0.8</w:t>
            </w:r>
          </w:p>
        </w:tc>
      </w:tr>
      <w:tr w:rsidR="009C353B" w14:paraId="21A6E776" w14:textId="77777777">
        <w:trPr>
          <w:trHeight w:val="397"/>
          <w:jc w:val="center"/>
        </w:trPr>
        <w:tc>
          <w:tcPr>
            <w:tcW w:w="466" w:type="pct"/>
            <w:tcBorders>
              <w:top w:val="single" w:sz="4" w:space="0" w:color="auto"/>
              <w:left w:val="single" w:sz="4" w:space="0" w:color="auto"/>
              <w:bottom w:val="single" w:sz="4" w:space="0" w:color="auto"/>
              <w:right w:val="single" w:sz="4" w:space="0" w:color="auto"/>
            </w:tcBorders>
            <w:vAlign w:val="center"/>
          </w:tcPr>
          <w:p w14:paraId="60742D7A"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2</w:t>
            </w:r>
          </w:p>
        </w:tc>
        <w:tc>
          <w:tcPr>
            <w:tcW w:w="964" w:type="pct"/>
            <w:tcBorders>
              <w:top w:val="single" w:sz="4" w:space="0" w:color="auto"/>
              <w:left w:val="single" w:sz="4" w:space="0" w:color="auto"/>
              <w:bottom w:val="single" w:sz="4" w:space="0" w:color="auto"/>
              <w:right w:val="single" w:sz="4" w:space="0" w:color="auto"/>
            </w:tcBorders>
            <w:vAlign w:val="center"/>
          </w:tcPr>
          <w:p w14:paraId="640179F5"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主要影响正切</w:t>
            </w:r>
          </w:p>
        </w:tc>
        <w:tc>
          <w:tcPr>
            <w:tcW w:w="587" w:type="pct"/>
            <w:tcBorders>
              <w:top w:val="single" w:sz="4" w:space="0" w:color="auto"/>
              <w:left w:val="single" w:sz="4" w:space="0" w:color="auto"/>
              <w:bottom w:val="single" w:sz="4" w:space="0" w:color="auto"/>
              <w:right w:val="single" w:sz="4" w:space="0" w:color="auto"/>
            </w:tcBorders>
            <w:vAlign w:val="center"/>
          </w:tcPr>
          <w:p w14:paraId="27B0A7A3" w14:textId="77777777" w:rsidR="009C353B" w:rsidRDefault="00000000">
            <w:pPr>
              <w:widowControl/>
              <w:spacing w:line="240" w:lineRule="exact"/>
              <w:jc w:val="center"/>
              <w:rPr>
                <w:rFonts w:ascii="Times New Roman" w:hAnsi="Times New Roman"/>
                <w:i/>
                <w:iCs/>
                <w:kern w:val="0"/>
                <w:sz w:val="21"/>
                <w:szCs w:val="21"/>
              </w:rPr>
            </w:pPr>
            <w:r>
              <w:rPr>
                <w:rFonts w:ascii="Times New Roman" w:hAnsi="Times New Roman"/>
                <w:i/>
                <w:iCs/>
                <w:kern w:val="0"/>
                <w:sz w:val="21"/>
                <w:szCs w:val="21"/>
              </w:rPr>
              <w:t>tanβ</w:t>
            </w:r>
          </w:p>
        </w:tc>
        <w:tc>
          <w:tcPr>
            <w:tcW w:w="606" w:type="pct"/>
            <w:tcBorders>
              <w:top w:val="single" w:sz="4" w:space="0" w:color="auto"/>
              <w:left w:val="single" w:sz="4" w:space="0" w:color="auto"/>
              <w:bottom w:val="single" w:sz="4" w:space="0" w:color="auto"/>
              <w:right w:val="single" w:sz="4" w:space="0" w:color="auto"/>
            </w:tcBorders>
            <w:vAlign w:val="center"/>
          </w:tcPr>
          <w:p w14:paraId="3F1BE6D1"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w:t>
            </w:r>
          </w:p>
        </w:tc>
        <w:tc>
          <w:tcPr>
            <w:tcW w:w="954" w:type="pct"/>
            <w:tcBorders>
              <w:top w:val="single" w:sz="4" w:space="0" w:color="auto"/>
              <w:left w:val="single" w:sz="4" w:space="0" w:color="auto"/>
              <w:bottom w:val="single" w:sz="4" w:space="0" w:color="auto"/>
              <w:right w:val="single" w:sz="4" w:space="0" w:color="auto"/>
            </w:tcBorders>
            <w:vAlign w:val="center"/>
          </w:tcPr>
          <w:p w14:paraId="2C72A828"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2.33</w:t>
            </w:r>
          </w:p>
        </w:tc>
        <w:tc>
          <w:tcPr>
            <w:tcW w:w="1423" w:type="pct"/>
            <w:tcBorders>
              <w:top w:val="single" w:sz="4" w:space="0" w:color="auto"/>
              <w:left w:val="single" w:sz="4" w:space="0" w:color="auto"/>
              <w:bottom w:val="single" w:sz="4" w:space="0" w:color="auto"/>
              <w:right w:val="single" w:sz="4" w:space="0" w:color="auto"/>
            </w:tcBorders>
            <w:vAlign w:val="center"/>
          </w:tcPr>
          <w:p w14:paraId="45A9E444"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重复采动为</w:t>
            </w:r>
            <w:r>
              <w:rPr>
                <w:rFonts w:ascii="Times New Roman" w:hAnsi="Times New Roman"/>
                <w:kern w:val="0"/>
                <w:sz w:val="21"/>
                <w:szCs w:val="21"/>
              </w:rPr>
              <w:t>2.41</w:t>
            </w:r>
          </w:p>
        </w:tc>
      </w:tr>
      <w:tr w:rsidR="009C353B" w14:paraId="0B68C59B" w14:textId="77777777">
        <w:trPr>
          <w:trHeight w:val="397"/>
          <w:jc w:val="center"/>
        </w:trPr>
        <w:tc>
          <w:tcPr>
            <w:tcW w:w="466" w:type="pct"/>
            <w:tcBorders>
              <w:top w:val="single" w:sz="4" w:space="0" w:color="auto"/>
              <w:left w:val="single" w:sz="4" w:space="0" w:color="auto"/>
              <w:bottom w:val="single" w:sz="4" w:space="0" w:color="auto"/>
              <w:right w:val="single" w:sz="4" w:space="0" w:color="auto"/>
            </w:tcBorders>
            <w:vAlign w:val="center"/>
          </w:tcPr>
          <w:p w14:paraId="1B0A5CC8"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3</w:t>
            </w:r>
          </w:p>
        </w:tc>
        <w:tc>
          <w:tcPr>
            <w:tcW w:w="964" w:type="pct"/>
            <w:tcBorders>
              <w:top w:val="single" w:sz="4" w:space="0" w:color="auto"/>
              <w:left w:val="single" w:sz="4" w:space="0" w:color="auto"/>
              <w:bottom w:val="single" w:sz="4" w:space="0" w:color="auto"/>
              <w:right w:val="single" w:sz="4" w:space="0" w:color="auto"/>
            </w:tcBorders>
            <w:vAlign w:val="center"/>
          </w:tcPr>
          <w:p w14:paraId="77961FFF"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水平移动系数</w:t>
            </w:r>
          </w:p>
        </w:tc>
        <w:tc>
          <w:tcPr>
            <w:tcW w:w="587" w:type="pct"/>
            <w:tcBorders>
              <w:top w:val="single" w:sz="4" w:space="0" w:color="auto"/>
              <w:left w:val="single" w:sz="4" w:space="0" w:color="auto"/>
              <w:bottom w:val="single" w:sz="4" w:space="0" w:color="auto"/>
              <w:right w:val="single" w:sz="4" w:space="0" w:color="auto"/>
            </w:tcBorders>
            <w:vAlign w:val="center"/>
          </w:tcPr>
          <w:p w14:paraId="55567471" w14:textId="77777777" w:rsidR="009C353B" w:rsidRDefault="00000000">
            <w:pPr>
              <w:widowControl/>
              <w:spacing w:line="240" w:lineRule="exact"/>
              <w:jc w:val="center"/>
              <w:rPr>
                <w:rFonts w:ascii="Times New Roman" w:hAnsi="Times New Roman"/>
                <w:i/>
                <w:iCs/>
                <w:kern w:val="0"/>
                <w:sz w:val="21"/>
                <w:szCs w:val="21"/>
              </w:rPr>
            </w:pPr>
            <w:r>
              <w:rPr>
                <w:rFonts w:ascii="Times New Roman" w:hAnsi="Times New Roman"/>
                <w:i/>
                <w:iCs/>
                <w:kern w:val="0"/>
                <w:sz w:val="21"/>
                <w:szCs w:val="21"/>
              </w:rPr>
              <w:t>b</w:t>
            </w:r>
          </w:p>
        </w:tc>
        <w:tc>
          <w:tcPr>
            <w:tcW w:w="606" w:type="pct"/>
            <w:tcBorders>
              <w:top w:val="single" w:sz="4" w:space="0" w:color="auto"/>
              <w:left w:val="single" w:sz="4" w:space="0" w:color="auto"/>
              <w:bottom w:val="single" w:sz="4" w:space="0" w:color="auto"/>
              <w:right w:val="single" w:sz="4" w:space="0" w:color="auto"/>
            </w:tcBorders>
            <w:vAlign w:val="center"/>
          </w:tcPr>
          <w:p w14:paraId="70BE0829"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w:t>
            </w:r>
          </w:p>
        </w:tc>
        <w:tc>
          <w:tcPr>
            <w:tcW w:w="954" w:type="pct"/>
            <w:tcBorders>
              <w:top w:val="single" w:sz="4" w:space="0" w:color="auto"/>
              <w:left w:val="single" w:sz="4" w:space="0" w:color="auto"/>
              <w:bottom w:val="single" w:sz="4" w:space="0" w:color="auto"/>
              <w:right w:val="single" w:sz="4" w:space="0" w:color="auto"/>
            </w:tcBorders>
            <w:vAlign w:val="center"/>
          </w:tcPr>
          <w:p w14:paraId="454C096D"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0.28</w:t>
            </w:r>
          </w:p>
        </w:tc>
        <w:tc>
          <w:tcPr>
            <w:tcW w:w="1423" w:type="pct"/>
            <w:tcBorders>
              <w:top w:val="single" w:sz="4" w:space="0" w:color="auto"/>
              <w:left w:val="single" w:sz="4" w:space="0" w:color="auto"/>
              <w:bottom w:val="single" w:sz="4" w:space="0" w:color="auto"/>
              <w:right w:val="single" w:sz="4" w:space="0" w:color="auto"/>
            </w:tcBorders>
            <w:vAlign w:val="center"/>
          </w:tcPr>
          <w:p w14:paraId="1112703E" w14:textId="77777777" w:rsidR="009C353B" w:rsidRDefault="009C353B">
            <w:pPr>
              <w:widowControl/>
              <w:spacing w:line="240" w:lineRule="exact"/>
              <w:jc w:val="center"/>
              <w:rPr>
                <w:rFonts w:ascii="Times New Roman" w:hAnsi="Times New Roman"/>
                <w:kern w:val="0"/>
                <w:sz w:val="21"/>
                <w:szCs w:val="21"/>
              </w:rPr>
            </w:pPr>
          </w:p>
        </w:tc>
      </w:tr>
      <w:tr w:rsidR="009C353B" w14:paraId="73851A0D" w14:textId="77777777">
        <w:trPr>
          <w:trHeight w:val="397"/>
          <w:jc w:val="center"/>
        </w:trPr>
        <w:tc>
          <w:tcPr>
            <w:tcW w:w="466" w:type="pct"/>
            <w:tcBorders>
              <w:top w:val="single" w:sz="4" w:space="0" w:color="auto"/>
              <w:left w:val="single" w:sz="4" w:space="0" w:color="auto"/>
              <w:bottom w:val="single" w:sz="4" w:space="0" w:color="auto"/>
              <w:right w:val="single" w:sz="4" w:space="0" w:color="auto"/>
            </w:tcBorders>
            <w:vAlign w:val="center"/>
          </w:tcPr>
          <w:p w14:paraId="4D717EEF"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4</w:t>
            </w:r>
          </w:p>
        </w:tc>
        <w:tc>
          <w:tcPr>
            <w:tcW w:w="964" w:type="pct"/>
            <w:tcBorders>
              <w:top w:val="single" w:sz="4" w:space="0" w:color="auto"/>
              <w:left w:val="single" w:sz="4" w:space="0" w:color="auto"/>
              <w:bottom w:val="single" w:sz="4" w:space="0" w:color="auto"/>
              <w:right w:val="single" w:sz="4" w:space="0" w:color="auto"/>
            </w:tcBorders>
            <w:vAlign w:val="center"/>
          </w:tcPr>
          <w:p w14:paraId="161F7670"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拐点偏移距</w:t>
            </w:r>
          </w:p>
        </w:tc>
        <w:tc>
          <w:tcPr>
            <w:tcW w:w="587" w:type="pct"/>
            <w:tcBorders>
              <w:top w:val="single" w:sz="4" w:space="0" w:color="auto"/>
              <w:left w:val="single" w:sz="4" w:space="0" w:color="auto"/>
              <w:bottom w:val="single" w:sz="4" w:space="0" w:color="auto"/>
              <w:right w:val="single" w:sz="4" w:space="0" w:color="auto"/>
            </w:tcBorders>
            <w:vAlign w:val="center"/>
          </w:tcPr>
          <w:p w14:paraId="500F5179" w14:textId="77777777" w:rsidR="009C353B" w:rsidRDefault="00000000">
            <w:pPr>
              <w:widowControl/>
              <w:spacing w:line="240" w:lineRule="exact"/>
              <w:jc w:val="center"/>
              <w:rPr>
                <w:rFonts w:ascii="Times New Roman" w:hAnsi="Times New Roman"/>
                <w:i/>
                <w:iCs/>
                <w:kern w:val="0"/>
                <w:sz w:val="21"/>
                <w:szCs w:val="21"/>
              </w:rPr>
            </w:pPr>
            <w:r>
              <w:rPr>
                <w:rFonts w:ascii="Times New Roman" w:hAnsi="Times New Roman"/>
                <w:i/>
                <w:iCs/>
                <w:kern w:val="0"/>
                <w:sz w:val="21"/>
                <w:szCs w:val="21"/>
              </w:rPr>
              <w:t>S</w:t>
            </w:r>
          </w:p>
        </w:tc>
        <w:tc>
          <w:tcPr>
            <w:tcW w:w="606" w:type="pct"/>
            <w:tcBorders>
              <w:top w:val="single" w:sz="4" w:space="0" w:color="auto"/>
              <w:left w:val="single" w:sz="4" w:space="0" w:color="auto"/>
              <w:bottom w:val="single" w:sz="4" w:space="0" w:color="auto"/>
              <w:right w:val="single" w:sz="4" w:space="0" w:color="auto"/>
            </w:tcBorders>
            <w:vAlign w:val="center"/>
          </w:tcPr>
          <w:p w14:paraId="76B55DEE"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m</w:t>
            </w:r>
          </w:p>
        </w:tc>
        <w:tc>
          <w:tcPr>
            <w:tcW w:w="954" w:type="pct"/>
            <w:tcBorders>
              <w:top w:val="single" w:sz="4" w:space="0" w:color="auto"/>
              <w:left w:val="single" w:sz="4" w:space="0" w:color="auto"/>
              <w:bottom w:val="single" w:sz="4" w:space="0" w:color="auto"/>
              <w:right w:val="single" w:sz="4" w:space="0" w:color="auto"/>
            </w:tcBorders>
            <w:vAlign w:val="center"/>
          </w:tcPr>
          <w:p w14:paraId="26E15E89"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0.28H</w:t>
            </w:r>
          </w:p>
        </w:tc>
        <w:tc>
          <w:tcPr>
            <w:tcW w:w="1423" w:type="pct"/>
            <w:tcBorders>
              <w:top w:val="single" w:sz="4" w:space="0" w:color="auto"/>
              <w:left w:val="single" w:sz="4" w:space="0" w:color="auto"/>
              <w:bottom w:val="single" w:sz="4" w:space="0" w:color="auto"/>
              <w:right w:val="single" w:sz="4" w:space="0" w:color="auto"/>
            </w:tcBorders>
            <w:vAlign w:val="center"/>
          </w:tcPr>
          <w:p w14:paraId="2EF476FA" w14:textId="77777777" w:rsidR="009C353B" w:rsidRDefault="009C353B">
            <w:pPr>
              <w:widowControl/>
              <w:spacing w:line="240" w:lineRule="exact"/>
              <w:jc w:val="center"/>
              <w:rPr>
                <w:rFonts w:ascii="Times New Roman" w:hAnsi="Times New Roman"/>
                <w:kern w:val="0"/>
                <w:sz w:val="21"/>
                <w:szCs w:val="21"/>
              </w:rPr>
            </w:pPr>
          </w:p>
        </w:tc>
      </w:tr>
      <w:tr w:rsidR="009C353B" w14:paraId="67991336" w14:textId="77777777">
        <w:trPr>
          <w:trHeight w:val="397"/>
          <w:jc w:val="center"/>
        </w:trPr>
        <w:tc>
          <w:tcPr>
            <w:tcW w:w="466" w:type="pct"/>
            <w:tcBorders>
              <w:top w:val="single" w:sz="4" w:space="0" w:color="auto"/>
              <w:left w:val="single" w:sz="4" w:space="0" w:color="auto"/>
              <w:bottom w:val="single" w:sz="4" w:space="0" w:color="auto"/>
              <w:right w:val="single" w:sz="4" w:space="0" w:color="auto"/>
            </w:tcBorders>
            <w:vAlign w:val="center"/>
          </w:tcPr>
          <w:p w14:paraId="54455EA1"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5</w:t>
            </w:r>
          </w:p>
        </w:tc>
        <w:tc>
          <w:tcPr>
            <w:tcW w:w="964" w:type="pct"/>
            <w:tcBorders>
              <w:top w:val="single" w:sz="4" w:space="0" w:color="auto"/>
              <w:left w:val="single" w:sz="4" w:space="0" w:color="auto"/>
              <w:bottom w:val="single" w:sz="4" w:space="0" w:color="auto"/>
              <w:right w:val="single" w:sz="4" w:space="0" w:color="auto"/>
            </w:tcBorders>
            <w:vAlign w:val="center"/>
          </w:tcPr>
          <w:p w14:paraId="044C34B6" w14:textId="77777777" w:rsidR="009C353B" w:rsidRDefault="00000000">
            <w:pPr>
              <w:widowControl/>
              <w:spacing w:line="240" w:lineRule="exact"/>
              <w:jc w:val="center"/>
              <w:rPr>
                <w:rFonts w:ascii="Times New Roman" w:hAnsi="Times New Roman"/>
                <w:kern w:val="0"/>
                <w:sz w:val="21"/>
                <w:szCs w:val="21"/>
              </w:rPr>
            </w:pPr>
            <w:r>
              <w:rPr>
                <w:rFonts w:ascii="Times New Roman" w:hint="eastAsia"/>
                <w:kern w:val="0"/>
                <w:sz w:val="21"/>
                <w:szCs w:val="21"/>
              </w:rPr>
              <w:t>影响传播角</w:t>
            </w:r>
          </w:p>
        </w:tc>
        <w:tc>
          <w:tcPr>
            <w:tcW w:w="587" w:type="pct"/>
            <w:tcBorders>
              <w:top w:val="single" w:sz="4" w:space="0" w:color="auto"/>
              <w:left w:val="single" w:sz="4" w:space="0" w:color="auto"/>
              <w:bottom w:val="single" w:sz="4" w:space="0" w:color="auto"/>
              <w:right w:val="single" w:sz="4" w:space="0" w:color="auto"/>
            </w:tcBorders>
            <w:vAlign w:val="center"/>
          </w:tcPr>
          <w:p w14:paraId="7A8EE502" w14:textId="77777777" w:rsidR="009C353B" w:rsidRDefault="00000000">
            <w:pPr>
              <w:widowControl/>
              <w:spacing w:line="240" w:lineRule="exact"/>
              <w:jc w:val="center"/>
              <w:rPr>
                <w:rFonts w:ascii="Times New Roman" w:hAnsi="Times New Roman"/>
                <w:i/>
                <w:iCs/>
                <w:kern w:val="0"/>
                <w:sz w:val="21"/>
                <w:szCs w:val="21"/>
              </w:rPr>
            </w:pPr>
            <w:r>
              <w:rPr>
                <w:rFonts w:ascii="Times New Roman" w:hAnsi="Times New Roman"/>
                <w:i/>
                <w:iCs/>
                <w:kern w:val="0"/>
                <w:sz w:val="21"/>
                <w:szCs w:val="21"/>
              </w:rPr>
              <w:t>θ</w:t>
            </w:r>
          </w:p>
        </w:tc>
        <w:tc>
          <w:tcPr>
            <w:tcW w:w="606" w:type="pct"/>
            <w:tcBorders>
              <w:top w:val="single" w:sz="4" w:space="0" w:color="auto"/>
              <w:left w:val="single" w:sz="4" w:space="0" w:color="auto"/>
              <w:bottom w:val="single" w:sz="4" w:space="0" w:color="auto"/>
              <w:right w:val="single" w:sz="4" w:space="0" w:color="auto"/>
            </w:tcBorders>
            <w:vAlign w:val="center"/>
          </w:tcPr>
          <w:p w14:paraId="56F47516"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deg</w:t>
            </w:r>
          </w:p>
        </w:tc>
        <w:tc>
          <w:tcPr>
            <w:tcW w:w="954" w:type="pct"/>
            <w:tcBorders>
              <w:top w:val="single" w:sz="4" w:space="0" w:color="auto"/>
              <w:left w:val="single" w:sz="4" w:space="0" w:color="auto"/>
              <w:bottom w:val="single" w:sz="4" w:space="0" w:color="auto"/>
              <w:right w:val="single" w:sz="4" w:space="0" w:color="auto"/>
            </w:tcBorders>
            <w:vAlign w:val="center"/>
          </w:tcPr>
          <w:p w14:paraId="7B3CB477"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90</w:t>
            </w:r>
            <w:r>
              <w:rPr>
                <w:rFonts w:ascii="Times New Roman" w:hint="eastAsia"/>
                <w:kern w:val="0"/>
                <w:sz w:val="21"/>
                <w:szCs w:val="21"/>
              </w:rPr>
              <w:t>－</w:t>
            </w:r>
            <w:r>
              <w:rPr>
                <w:rFonts w:ascii="Times New Roman" w:hAnsi="Times New Roman"/>
                <w:kern w:val="0"/>
                <w:sz w:val="21"/>
                <w:szCs w:val="21"/>
              </w:rPr>
              <w:t>0.7a</w:t>
            </w:r>
          </w:p>
        </w:tc>
        <w:tc>
          <w:tcPr>
            <w:tcW w:w="1423" w:type="pct"/>
            <w:tcBorders>
              <w:top w:val="single" w:sz="4" w:space="0" w:color="auto"/>
              <w:left w:val="single" w:sz="4" w:space="0" w:color="auto"/>
              <w:bottom w:val="single" w:sz="4" w:space="0" w:color="auto"/>
              <w:right w:val="single" w:sz="4" w:space="0" w:color="auto"/>
            </w:tcBorders>
            <w:vAlign w:val="center"/>
          </w:tcPr>
          <w:p w14:paraId="62E43383" w14:textId="77777777" w:rsidR="009C353B" w:rsidRDefault="00000000">
            <w:pPr>
              <w:widowControl/>
              <w:spacing w:line="240" w:lineRule="exact"/>
              <w:jc w:val="center"/>
              <w:rPr>
                <w:rFonts w:ascii="Times New Roman" w:hAnsi="Times New Roman"/>
                <w:kern w:val="0"/>
                <w:sz w:val="21"/>
                <w:szCs w:val="21"/>
              </w:rPr>
            </w:pPr>
            <w:r>
              <w:rPr>
                <w:rFonts w:ascii="Times New Roman" w:hAnsi="Times New Roman"/>
                <w:kern w:val="0"/>
                <w:sz w:val="21"/>
                <w:szCs w:val="21"/>
              </w:rPr>
              <w:t>a</w:t>
            </w:r>
            <w:r>
              <w:rPr>
                <w:rFonts w:ascii="Times New Roman" w:hint="eastAsia"/>
                <w:kern w:val="0"/>
                <w:sz w:val="21"/>
                <w:szCs w:val="21"/>
              </w:rPr>
              <w:t>为煤层倾角</w:t>
            </w:r>
          </w:p>
        </w:tc>
      </w:tr>
    </w:tbl>
    <w:p w14:paraId="7682EAA9"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6.1.</w:t>
      </w:r>
      <w:r>
        <w:rPr>
          <w:rFonts w:ascii="Times New Roman" w:eastAsia="宋体" w:hAnsi="Times New Roman"/>
          <w:sz w:val="24"/>
        </w:rPr>
        <w:t>3</w:t>
      </w:r>
      <w:r>
        <w:rPr>
          <w:rFonts w:ascii="Times New Roman" w:eastAsia="宋体" w:hAnsi="Times New Roman" w:hint="eastAsia"/>
          <w:sz w:val="24"/>
        </w:rPr>
        <w:t>.</w:t>
      </w:r>
      <w:r>
        <w:rPr>
          <w:rFonts w:ascii="Times New Roman" w:eastAsia="宋体" w:hAnsi="Times New Roman"/>
          <w:sz w:val="24"/>
        </w:rPr>
        <w:t>3</w:t>
      </w:r>
      <w:r>
        <w:rPr>
          <w:rFonts w:ascii="Times New Roman" w:eastAsia="宋体" w:hAnsi="Times New Roman" w:hint="eastAsia"/>
          <w:sz w:val="24"/>
        </w:rPr>
        <w:t xml:space="preserve"> </w:t>
      </w:r>
      <w:r>
        <w:rPr>
          <w:rFonts w:ascii="Times New Roman" w:eastAsia="宋体" w:hAnsi="Times New Roman" w:hint="eastAsia"/>
          <w:sz w:val="24"/>
        </w:rPr>
        <w:t>地表变形预测结果</w:t>
      </w:r>
    </w:p>
    <w:p w14:paraId="177152C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根据上述参数，结合井田煤层赋存情况及开拓布置，地表移动变形预测结果见表</w:t>
      </w:r>
      <w:r>
        <w:rPr>
          <w:rFonts w:ascii="Times New Roman" w:hAnsi="Times New Roman"/>
        </w:rPr>
        <w:t>6.1-2</w:t>
      </w:r>
      <w:r>
        <w:rPr>
          <w:rFonts w:ascii="Times New Roman" w:hAnsi="Times New Roman"/>
        </w:rPr>
        <w:t>。根据预测，</w:t>
      </w:r>
      <w:r>
        <w:rPr>
          <w:rFonts w:ascii="Times New Roman" w:hAnsi="Times New Roman" w:hint="eastAsia"/>
        </w:rPr>
        <w:t>横城</w:t>
      </w:r>
      <w:r>
        <w:rPr>
          <w:rFonts w:ascii="Times New Roman" w:hAnsi="Times New Roman"/>
        </w:rPr>
        <w:t>矿区开采后沉陷面积累计</w:t>
      </w:r>
      <w:r>
        <w:rPr>
          <w:rFonts w:ascii="Times New Roman" w:hAnsi="Times New Roman" w:hint="eastAsia"/>
        </w:rPr>
        <w:t>5</w:t>
      </w:r>
      <w:r>
        <w:rPr>
          <w:rFonts w:ascii="Times New Roman" w:hAnsi="Times New Roman"/>
        </w:rPr>
        <w:t>8.02km</w:t>
      </w:r>
      <w:r>
        <w:rPr>
          <w:rFonts w:ascii="Times New Roman" w:hAnsi="Times New Roman"/>
          <w:vertAlign w:val="superscript"/>
        </w:rPr>
        <w:t>2</w:t>
      </w:r>
      <w:r>
        <w:rPr>
          <w:rFonts w:ascii="Times New Roman" w:hAnsi="Times New Roman"/>
        </w:rPr>
        <w:t>，各</w:t>
      </w:r>
      <w:r>
        <w:rPr>
          <w:rFonts w:ascii="Times New Roman" w:hAnsi="Times New Roman" w:hint="eastAsia"/>
        </w:rPr>
        <w:t>矿井</w:t>
      </w:r>
      <w:r>
        <w:rPr>
          <w:rFonts w:ascii="Times New Roman" w:hAnsi="Times New Roman"/>
        </w:rPr>
        <w:t>地表最大变形情况如下：</w:t>
      </w:r>
    </w:p>
    <w:p w14:paraId="7180653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马莲台井田</w:t>
      </w:r>
      <w:r>
        <w:rPr>
          <w:rFonts w:ascii="Times New Roman" w:hAnsi="Times New Roman"/>
        </w:rPr>
        <w:t>地表最大倾斜值为</w:t>
      </w:r>
      <w:r>
        <w:rPr>
          <w:rFonts w:ascii="Times New Roman" w:hAnsi="Times New Roman"/>
        </w:rPr>
        <w:t>102.99mm/m</w:t>
      </w:r>
      <w:r>
        <w:rPr>
          <w:rFonts w:ascii="Times New Roman" w:hAnsi="Times New Roman"/>
        </w:rPr>
        <w:t>，最大曲率值为</w:t>
      </w:r>
      <w:r>
        <w:rPr>
          <w:rFonts w:ascii="Times New Roman" w:hAnsi="Times New Roman"/>
        </w:rPr>
        <w:t>1.03×10</w:t>
      </w:r>
      <w:r>
        <w:rPr>
          <w:rFonts w:ascii="Times New Roman" w:hAnsi="Times New Roman"/>
          <w:vertAlign w:val="superscript"/>
        </w:rPr>
        <w:t>-3</w:t>
      </w:r>
      <w:r>
        <w:rPr>
          <w:rFonts w:ascii="Times New Roman" w:hAnsi="Times New Roman"/>
        </w:rPr>
        <w:t>/m</w:t>
      </w:r>
      <w:r>
        <w:rPr>
          <w:rFonts w:ascii="Times New Roman" w:hAnsi="Times New Roman"/>
        </w:rPr>
        <w:t>，最大水平移动为</w:t>
      </w:r>
      <w:r>
        <w:rPr>
          <w:rFonts w:ascii="Times New Roman" w:hAnsi="Times New Roman"/>
        </w:rPr>
        <w:t>4365.06mm</w:t>
      </w:r>
      <w:r>
        <w:rPr>
          <w:rFonts w:ascii="Times New Roman" w:hAnsi="Times New Roman"/>
        </w:rPr>
        <w:t>，最大水平变形值为</w:t>
      </w:r>
      <w:r>
        <w:rPr>
          <w:rFonts w:ascii="Times New Roman" w:hAnsi="Times New Roman"/>
        </w:rPr>
        <w:t>43.83mm/m</w:t>
      </w:r>
      <w:r>
        <w:rPr>
          <w:rFonts w:ascii="Times New Roman" w:hAnsi="Times New Roman"/>
        </w:rPr>
        <w:t>。全部煤层开采后，预计最终地表下沉值最大达到</w:t>
      </w:r>
      <w:r>
        <w:rPr>
          <w:rFonts w:ascii="Times New Roman" w:hAnsi="Times New Roman"/>
        </w:rPr>
        <w:t>15.59m</w:t>
      </w:r>
      <w:r>
        <w:rPr>
          <w:rFonts w:ascii="Times New Roman" w:hAnsi="Times New Roman"/>
        </w:rPr>
        <w:t>。</w:t>
      </w:r>
    </w:p>
    <w:p w14:paraId="65B8DF0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红石湾井田</w:t>
      </w:r>
      <w:r>
        <w:rPr>
          <w:rFonts w:ascii="Times New Roman" w:hAnsi="Times New Roman"/>
        </w:rPr>
        <w:t>地表最大倾斜值为</w:t>
      </w:r>
      <w:r>
        <w:rPr>
          <w:rFonts w:ascii="Times New Roman" w:hAnsi="Times New Roman"/>
        </w:rPr>
        <w:t>87.79mm/m</w:t>
      </w:r>
      <w:r>
        <w:rPr>
          <w:rFonts w:ascii="Times New Roman" w:hAnsi="Times New Roman"/>
        </w:rPr>
        <w:t>，最大曲率值为</w:t>
      </w:r>
      <w:r>
        <w:rPr>
          <w:rFonts w:ascii="Times New Roman" w:hAnsi="Times New Roman"/>
        </w:rPr>
        <w:t>0.83×10</w:t>
      </w:r>
      <w:r>
        <w:rPr>
          <w:rFonts w:ascii="Times New Roman" w:hAnsi="Times New Roman"/>
          <w:vertAlign w:val="superscript"/>
        </w:rPr>
        <w:t>-3</w:t>
      </w:r>
      <w:r>
        <w:rPr>
          <w:rFonts w:ascii="Times New Roman" w:hAnsi="Times New Roman"/>
        </w:rPr>
        <w:t>/m</w:t>
      </w:r>
      <w:r>
        <w:rPr>
          <w:rFonts w:ascii="Times New Roman" w:hAnsi="Times New Roman"/>
        </w:rPr>
        <w:t>，最大水平移动为</w:t>
      </w:r>
      <w:r>
        <w:rPr>
          <w:rFonts w:ascii="Times New Roman" w:hAnsi="Times New Roman" w:hint="eastAsia"/>
        </w:rPr>
        <w:t>3</w:t>
      </w:r>
      <w:r>
        <w:rPr>
          <w:rFonts w:ascii="Times New Roman" w:hAnsi="Times New Roman"/>
        </w:rPr>
        <w:t>946.71mm</w:t>
      </w:r>
      <w:r>
        <w:rPr>
          <w:rFonts w:ascii="Times New Roman" w:hAnsi="Times New Roman"/>
        </w:rPr>
        <w:t>，最大水平变形值为</w:t>
      </w:r>
      <w:r>
        <w:rPr>
          <w:rFonts w:ascii="Times New Roman" w:hAnsi="Times New Roman"/>
        </w:rPr>
        <w:t>37.37mm/m</w:t>
      </w:r>
      <w:r>
        <w:rPr>
          <w:rFonts w:ascii="Times New Roman" w:hAnsi="Times New Roman"/>
        </w:rPr>
        <w:t>。全部煤层开采后，预计最终地表下沉值最大达到</w:t>
      </w:r>
      <w:r>
        <w:rPr>
          <w:rFonts w:ascii="Times New Roman" w:hAnsi="Times New Roman"/>
        </w:rPr>
        <w:t>14.10m</w:t>
      </w:r>
      <w:r>
        <w:rPr>
          <w:rFonts w:ascii="Times New Roman" w:hAnsi="Times New Roman"/>
        </w:rPr>
        <w:t>。</w:t>
      </w:r>
    </w:p>
    <w:p w14:paraId="0050F1C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任家庄井田</w:t>
      </w:r>
      <w:r>
        <w:rPr>
          <w:rFonts w:ascii="Times New Roman" w:hAnsi="Times New Roman"/>
        </w:rPr>
        <w:t>地表最大倾斜值为</w:t>
      </w:r>
      <w:r>
        <w:rPr>
          <w:rFonts w:ascii="Times New Roman" w:hAnsi="Times New Roman"/>
        </w:rPr>
        <w:t>141.68mm/m</w:t>
      </w:r>
      <w:r>
        <w:rPr>
          <w:rFonts w:ascii="Times New Roman" w:hAnsi="Times New Roman"/>
        </w:rPr>
        <w:t>，最大曲率值为</w:t>
      </w:r>
      <w:r>
        <w:rPr>
          <w:rFonts w:ascii="Times New Roman" w:hAnsi="Times New Roman"/>
        </w:rPr>
        <w:t>1.42×10</w:t>
      </w:r>
      <w:r>
        <w:rPr>
          <w:rFonts w:ascii="Times New Roman" w:hAnsi="Times New Roman"/>
          <w:vertAlign w:val="superscript"/>
        </w:rPr>
        <w:t>-3</w:t>
      </w:r>
      <w:r>
        <w:rPr>
          <w:rFonts w:ascii="Times New Roman" w:hAnsi="Times New Roman"/>
        </w:rPr>
        <w:t>/m</w:t>
      </w:r>
      <w:r>
        <w:rPr>
          <w:rFonts w:ascii="Times New Roman" w:hAnsi="Times New Roman"/>
        </w:rPr>
        <w:t>，最大水平移动为</w:t>
      </w:r>
      <w:r>
        <w:rPr>
          <w:rFonts w:ascii="Times New Roman" w:hAnsi="Times New Roman"/>
        </w:rPr>
        <w:t>6024.65mm</w:t>
      </w:r>
      <w:r>
        <w:rPr>
          <w:rFonts w:ascii="Times New Roman" w:hAnsi="Times New Roman"/>
        </w:rPr>
        <w:t>，最大水平变形值为</w:t>
      </w:r>
      <w:r>
        <w:rPr>
          <w:rFonts w:ascii="Times New Roman" w:hAnsi="Times New Roman"/>
        </w:rPr>
        <w:t>60.30mm/m</w:t>
      </w:r>
      <w:r>
        <w:rPr>
          <w:rFonts w:ascii="Times New Roman" w:hAnsi="Times New Roman"/>
        </w:rPr>
        <w:t>。全部煤层开采后，预计最终地表下沉值最大达到</w:t>
      </w:r>
      <w:r>
        <w:rPr>
          <w:rFonts w:ascii="Times New Roman" w:hAnsi="Times New Roman"/>
        </w:rPr>
        <w:t>21.52m</w:t>
      </w:r>
      <w:r>
        <w:rPr>
          <w:rFonts w:ascii="Times New Roman" w:hAnsi="Times New Roman"/>
        </w:rPr>
        <w:t>。</w:t>
      </w:r>
    </w:p>
    <w:p w14:paraId="3C5817C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丁家梁井田</w:t>
      </w:r>
      <w:r>
        <w:rPr>
          <w:rFonts w:ascii="Times New Roman" w:hAnsi="Times New Roman"/>
        </w:rPr>
        <w:t>地表最大倾斜值为</w:t>
      </w:r>
      <w:r>
        <w:rPr>
          <w:rFonts w:ascii="Times New Roman" w:hAnsi="Times New Roman"/>
        </w:rPr>
        <w:t>47.17mm/m</w:t>
      </w:r>
      <w:r>
        <w:rPr>
          <w:rFonts w:ascii="Times New Roman" w:hAnsi="Times New Roman"/>
        </w:rPr>
        <w:t>，最大曲率值为</w:t>
      </w:r>
      <w:r>
        <w:rPr>
          <w:rFonts w:ascii="Times New Roman" w:hAnsi="Times New Roman"/>
        </w:rPr>
        <w:t>0.31×10</w:t>
      </w:r>
      <w:r>
        <w:rPr>
          <w:rFonts w:ascii="Times New Roman" w:hAnsi="Times New Roman"/>
          <w:vertAlign w:val="superscript"/>
        </w:rPr>
        <w:t>-3</w:t>
      </w:r>
      <w:r>
        <w:rPr>
          <w:rFonts w:ascii="Times New Roman" w:hAnsi="Times New Roman"/>
        </w:rPr>
        <w:t>/m</w:t>
      </w:r>
      <w:r>
        <w:rPr>
          <w:rFonts w:ascii="Times New Roman" w:hAnsi="Times New Roman"/>
        </w:rPr>
        <w:t>，最大水平移动为</w:t>
      </w:r>
      <w:r>
        <w:rPr>
          <w:rFonts w:ascii="Times New Roman" w:hAnsi="Times New Roman"/>
        </w:rPr>
        <w:t>3029.58mm</w:t>
      </w:r>
      <w:r>
        <w:rPr>
          <w:rFonts w:ascii="Times New Roman" w:hAnsi="Times New Roman"/>
        </w:rPr>
        <w:t>，最大水平变形值为</w:t>
      </w:r>
      <w:r>
        <w:rPr>
          <w:rFonts w:ascii="Times New Roman" w:hAnsi="Times New Roman"/>
        </w:rPr>
        <w:t>20.08mm/m</w:t>
      </w:r>
      <w:r>
        <w:rPr>
          <w:rFonts w:ascii="Times New Roman" w:hAnsi="Times New Roman"/>
        </w:rPr>
        <w:t>。全部主采煤层开采后，预计最终地表下沉值最大达到</w:t>
      </w:r>
      <w:r>
        <w:rPr>
          <w:rFonts w:ascii="Times New Roman" w:hAnsi="Times New Roman"/>
        </w:rPr>
        <w:t>10.82m</w:t>
      </w:r>
      <w:r>
        <w:rPr>
          <w:rFonts w:ascii="Times New Roman" w:hAnsi="Times New Roman"/>
        </w:rPr>
        <w:t>。</w:t>
      </w:r>
    </w:p>
    <w:p w14:paraId="1A95789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上述四个矿井仅丁家梁尚未开采，建议后续应根据丁家梁煤矿开拓开采接续情况，分阶段、分采区进行更加细致的沉陷影响预测工作。</w:t>
      </w:r>
    </w:p>
    <w:p w14:paraId="733F7F9C"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hint="eastAsia"/>
          <w:szCs w:val="24"/>
        </w:rPr>
        <w:t>各</w:t>
      </w:r>
      <w:r>
        <w:rPr>
          <w:rFonts w:ascii="Times New Roman" w:hAnsi="Times New Roman"/>
          <w:szCs w:val="24"/>
        </w:rPr>
        <w:t>矿井的地表下沉最大值情况见表</w:t>
      </w:r>
      <w:r>
        <w:rPr>
          <w:rFonts w:ascii="Times New Roman" w:hAnsi="Times New Roman"/>
          <w:szCs w:val="24"/>
        </w:rPr>
        <w:t>6.1-</w:t>
      </w:r>
      <w:r>
        <w:rPr>
          <w:rFonts w:ascii="Times New Roman" w:hAnsi="Times New Roman" w:hint="eastAsia"/>
          <w:szCs w:val="24"/>
        </w:rPr>
        <w:t>2</w:t>
      </w:r>
      <w:r>
        <w:rPr>
          <w:rFonts w:ascii="Times New Roman" w:hAnsi="Times New Roman"/>
          <w:szCs w:val="24"/>
        </w:rPr>
        <w:t>，</w:t>
      </w:r>
      <w:r>
        <w:rPr>
          <w:rFonts w:ascii="Times New Roman" w:hAnsi="Times New Roman" w:hint="eastAsia"/>
          <w:szCs w:val="24"/>
        </w:rPr>
        <w:t>矿区</w:t>
      </w:r>
      <w:r>
        <w:rPr>
          <w:rFonts w:ascii="Times New Roman" w:hAnsi="Times New Roman"/>
        </w:rPr>
        <w:t>地表沉陷等值线见</w:t>
      </w:r>
      <w:r>
        <w:rPr>
          <w:rFonts w:ascii="Times New Roman" w:hAnsi="Times New Roman" w:hint="eastAsia"/>
        </w:rPr>
        <w:t>附图——</w:t>
      </w:r>
      <w:r>
        <w:rPr>
          <w:rFonts w:ascii="Times New Roman" w:hAnsi="Times New Roman"/>
        </w:rPr>
        <w:t>图</w:t>
      </w:r>
      <w:r>
        <w:rPr>
          <w:rFonts w:ascii="Times New Roman" w:hAnsi="Times New Roman"/>
        </w:rPr>
        <w:t>6.1-1</w:t>
      </w:r>
      <w:r>
        <w:rPr>
          <w:rFonts w:ascii="Times New Roman" w:hAnsi="Times New Roman"/>
        </w:rPr>
        <w:t>。</w:t>
      </w:r>
      <w:r>
        <w:rPr>
          <w:rFonts w:ascii="Times New Roman" w:hAnsi="Times New Roman" w:hint="eastAsia"/>
        </w:rPr>
        <w:t>丁家梁煤矿井田地表沉陷变形、开采前后地形变化情况见附图——</w:t>
      </w:r>
      <w:r>
        <w:rPr>
          <w:rFonts w:ascii="Times New Roman" w:hAnsi="Times New Roman"/>
        </w:rPr>
        <w:t>图</w:t>
      </w:r>
      <w:r>
        <w:rPr>
          <w:rFonts w:ascii="Times New Roman" w:hAnsi="Times New Roman"/>
        </w:rPr>
        <w:t>6.1-2</w:t>
      </w:r>
      <w:r>
        <w:rPr>
          <w:rFonts w:hint="eastAsia"/>
        </w:rPr>
        <w:t>～</w:t>
      </w:r>
      <w:r>
        <w:rPr>
          <w:rFonts w:ascii="Times New Roman" w:hAnsi="Times New Roman"/>
        </w:rPr>
        <w:t>6.1</w:t>
      </w:r>
      <w:r>
        <w:rPr>
          <w:rFonts w:ascii="Times New Roman" w:hAnsi="Times New Roman" w:hint="eastAsia"/>
        </w:rPr>
        <w:t>-</w:t>
      </w:r>
      <w:r>
        <w:rPr>
          <w:rFonts w:ascii="Times New Roman" w:hAnsi="Times New Roman"/>
        </w:rPr>
        <w:t>5</w:t>
      </w:r>
      <w:r>
        <w:rPr>
          <w:rFonts w:ascii="Times New Roman" w:hAnsi="Times New Roman" w:hint="eastAsia"/>
        </w:rPr>
        <w:t>，煤柱留设情况见图</w:t>
      </w:r>
      <w:r>
        <w:rPr>
          <w:rFonts w:ascii="Times New Roman" w:hAnsi="Times New Roman" w:hint="eastAsia"/>
        </w:rPr>
        <w:t>6</w:t>
      </w:r>
      <w:r>
        <w:rPr>
          <w:rFonts w:ascii="Times New Roman" w:hAnsi="Times New Roman"/>
        </w:rPr>
        <w:t>.1-6</w:t>
      </w:r>
      <w:r>
        <w:rPr>
          <w:rFonts w:ascii="Times New Roman" w:hAnsi="Times New Roman"/>
        </w:rPr>
        <w:t>。</w:t>
      </w:r>
    </w:p>
    <w:p w14:paraId="660F6633" w14:textId="77777777" w:rsidR="009C353B" w:rsidRDefault="009C353B">
      <w:pPr>
        <w:adjustRightInd w:val="0"/>
        <w:snapToGrid w:val="0"/>
        <w:spacing w:line="440" w:lineRule="exact"/>
        <w:ind w:firstLineChars="200" w:firstLine="480"/>
        <w:jc w:val="left"/>
        <w:rPr>
          <w:rFonts w:ascii="Times New Roman" w:hAnsi="Times New Roman"/>
        </w:rPr>
      </w:pPr>
    </w:p>
    <w:p w14:paraId="77D0AD55" w14:textId="77777777" w:rsidR="009C353B" w:rsidRDefault="009C353B">
      <w:pPr>
        <w:adjustRightInd w:val="0"/>
        <w:snapToGrid w:val="0"/>
        <w:spacing w:line="440" w:lineRule="exact"/>
        <w:ind w:firstLineChars="200" w:firstLine="480"/>
        <w:jc w:val="left"/>
        <w:rPr>
          <w:rFonts w:ascii="Times New Roman" w:hAnsi="Times New Roman"/>
        </w:rPr>
      </w:pPr>
    </w:p>
    <w:p w14:paraId="1B968AEB" w14:textId="77777777" w:rsidR="009C353B" w:rsidRDefault="00000000">
      <w:pPr>
        <w:adjustRightInd w:val="0"/>
        <w:snapToGrid w:val="0"/>
        <w:spacing w:line="440" w:lineRule="exact"/>
        <w:jc w:val="center"/>
        <w:rPr>
          <w:rFonts w:ascii="Times New Roman" w:hAnsi="Times New Roman"/>
          <w:b/>
        </w:rPr>
      </w:pPr>
      <w:r>
        <w:rPr>
          <w:rFonts w:ascii="Times New Roman" w:hAnsi="Times New Roman"/>
          <w:b/>
        </w:rPr>
        <w:t>矿井的地表下沉最大值表</w:t>
      </w:r>
    </w:p>
    <w:p w14:paraId="795C28B8" w14:textId="77777777" w:rsidR="009C353B" w:rsidRDefault="00000000">
      <w:pPr>
        <w:widowControl/>
        <w:adjustRightInd w:val="0"/>
        <w:snapToGrid w:val="0"/>
        <w:spacing w:line="440" w:lineRule="exact"/>
        <w:outlineLvl w:val="4"/>
        <w:rPr>
          <w:rFonts w:ascii="Times New Roman" w:hAnsi="Times New Roman"/>
          <w:kern w:val="0"/>
        </w:rPr>
      </w:pPr>
      <w:r>
        <w:rPr>
          <w:rFonts w:ascii="Times New Roman" w:hAnsi="Times New Roman"/>
          <w:kern w:val="0"/>
        </w:rPr>
        <w:t>表</w:t>
      </w:r>
      <w:r>
        <w:rPr>
          <w:rFonts w:ascii="Times New Roman" w:hAnsi="Times New Roman"/>
          <w:kern w:val="0"/>
        </w:rPr>
        <w:t>6.1-</w:t>
      </w:r>
      <w:r>
        <w:rPr>
          <w:rFonts w:ascii="Times New Roman" w:hAnsi="Times New Roman" w:hint="eastAsia"/>
          <w:kern w:val="0"/>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52"/>
        <w:gridCol w:w="1507"/>
        <w:gridCol w:w="1036"/>
        <w:gridCol w:w="1062"/>
        <w:gridCol w:w="1185"/>
        <w:gridCol w:w="928"/>
        <w:gridCol w:w="928"/>
        <w:gridCol w:w="966"/>
        <w:gridCol w:w="1021"/>
      </w:tblGrid>
      <w:tr w:rsidR="009C353B" w14:paraId="3BD6F8F0" w14:textId="77777777">
        <w:trPr>
          <w:trHeight w:val="284"/>
          <w:jc w:val="center"/>
        </w:trPr>
        <w:tc>
          <w:tcPr>
            <w:tcW w:w="300" w:type="pct"/>
            <w:vAlign w:val="center"/>
          </w:tcPr>
          <w:p w14:paraId="5F930265"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序号</w:t>
            </w:r>
          </w:p>
        </w:tc>
        <w:tc>
          <w:tcPr>
            <w:tcW w:w="820" w:type="pct"/>
            <w:vAlign w:val="center"/>
          </w:tcPr>
          <w:p w14:paraId="25CFB7BB"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矿井名称</w:t>
            </w:r>
          </w:p>
        </w:tc>
        <w:tc>
          <w:tcPr>
            <w:tcW w:w="564" w:type="pct"/>
            <w:vAlign w:val="center"/>
          </w:tcPr>
          <w:p w14:paraId="2CC84F03"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主要可采煤层数</w:t>
            </w:r>
          </w:p>
        </w:tc>
        <w:tc>
          <w:tcPr>
            <w:tcW w:w="578" w:type="pct"/>
            <w:vAlign w:val="center"/>
          </w:tcPr>
          <w:p w14:paraId="1B8BE3E9"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煤层最大</w:t>
            </w:r>
            <w:r>
              <w:rPr>
                <w:rFonts w:ascii="Times New Roman" w:eastAsiaTheme="minorEastAsia" w:hAnsi="Times New Roman" w:hint="eastAsia"/>
                <w:kern w:val="0"/>
                <w:sz w:val="21"/>
                <w:szCs w:val="21"/>
              </w:rPr>
              <w:t>可采</w:t>
            </w:r>
            <w:r>
              <w:rPr>
                <w:rFonts w:ascii="Times New Roman" w:eastAsiaTheme="minorEastAsia" w:hAnsi="Times New Roman"/>
                <w:kern w:val="0"/>
                <w:sz w:val="21"/>
                <w:szCs w:val="21"/>
              </w:rPr>
              <w:t>厚度（</w:t>
            </w:r>
            <w:r>
              <w:rPr>
                <w:rFonts w:ascii="Times New Roman" w:eastAsiaTheme="minorEastAsia" w:hAnsi="Times New Roman"/>
                <w:kern w:val="0"/>
                <w:sz w:val="21"/>
                <w:szCs w:val="21"/>
              </w:rPr>
              <w:t>m</w:t>
            </w:r>
            <w:r>
              <w:rPr>
                <w:rFonts w:ascii="Times New Roman" w:eastAsiaTheme="minorEastAsia" w:hAnsi="Times New Roman"/>
                <w:kern w:val="0"/>
                <w:sz w:val="21"/>
                <w:szCs w:val="21"/>
              </w:rPr>
              <w:t>）</w:t>
            </w:r>
          </w:p>
        </w:tc>
        <w:tc>
          <w:tcPr>
            <w:tcW w:w="645" w:type="pct"/>
            <w:vAlign w:val="center"/>
          </w:tcPr>
          <w:p w14:paraId="60B30F80"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下沉最大值（</w:t>
            </w:r>
            <w:r>
              <w:rPr>
                <w:rFonts w:ascii="Times New Roman" w:eastAsiaTheme="minorEastAsia" w:hAnsi="Times New Roman"/>
                <w:kern w:val="0"/>
                <w:sz w:val="21"/>
                <w:szCs w:val="21"/>
              </w:rPr>
              <w:t>m</w:t>
            </w:r>
            <w:r>
              <w:rPr>
                <w:rFonts w:ascii="Times New Roman" w:eastAsiaTheme="minorEastAsia" w:hAnsi="Times New Roman"/>
                <w:kern w:val="0"/>
                <w:sz w:val="21"/>
                <w:szCs w:val="21"/>
              </w:rPr>
              <w:t>）</w:t>
            </w:r>
          </w:p>
        </w:tc>
        <w:tc>
          <w:tcPr>
            <w:tcW w:w="505" w:type="pct"/>
            <w:vAlign w:val="center"/>
          </w:tcPr>
          <w:p w14:paraId="506681A2"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倾</w:t>
            </w:r>
            <w:r>
              <w:rPr>
                <w:rFonts w:ascii="Times New Roman" w:eastAsiaTheme="minorEastAsia" w:hAnsi="Times New Roman"/>
                <w:kern w:val="0"/>
                <w:sz w:val="21"/>
                <w:szCs w:val="21"/>
              </w:rPr>
              <w:t xml:space="preserve">  </w:t>
            </w:r>
            <w:r>
              <w:rPr>
                <w:rFonts w:ascii="Times New Roman" w:eastAsiaTheme="minorEastAsia" w:hAnsi="Times New Roman"/>
                <w:kern w:val="0"/>
                <w:sz w:val="21"/>
                <w:szCs w:val="21"/>
              </w:rPr>
              <w:t>斜</w:t>
            </w:r>
          </w:p>
          <w:p w14:paraId="0787FF6B"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(mm/m)</w:t>
            </w:r>
          </w:p>
        </w:tc>
        <w:tc>
          <w:tcPr>
            <w:tcW w:w="505" w:type="pct"/>
            <w:vAlign w:val="center"/>
          </w:tcPr>
          <w:p w14:paraId="075E5E00"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曲</w:t>
            </w:r>
            <w:r>
              <w:rPr>
                <w:rFonts w:ascii="Times New Roman" w:eastAsiaTheme="minorEastAsia" w:hAnsi="Times New Roman"/>
                <w:kern w:val="0"/>
                <w:sz w:val="21"/>
                <w:szCs w:val="21"/>
              </w:rPr>
              <w:t xml:space="preserve">  </w:t>
            </w:r>
            <w:r>
              <w:rPr>
                <w:rFonts w:ascii="Times New Roman" w:eastAsiaTheme="minorEastAsia" w:hAnsi="Times New Roman"/>
                <w:kern w:val="0"/>
                <w:sz w:val="21"/>
                <w:szCs w:val="21"/>
              </w:rPr>
              <w:t>率</w:t>
            </w:r>
          </w:p>
          <w:p w14:paraId="4A48ED55"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(10-</w:t>
            </w:r>
            <w:r>
              <w:rPr>
                <w:rFonts w:ascii="Times New Roman" w:eastAsiaTheme="minorEastAsia" w:hAnsi="Times New Roman"/>
                <w:kern w:val="0"/>
                <w:sz w:val="21"/>
                <w:szCs w:val="21"/>
                <w:vertAlign w:val="superscript"/>
              </w:rPr>
              <w:t>3</w:t>
            </w:r>
            <w:r>
              <w:rPr>
                <w:rFonts w:ascii="Times New Roman" w:eastAsiaTheme="minorEastAsia" w:hAnsi="Times New Roman"/>
                <w:kern w:val="0"/>
                <w:sz w:val="21"/>
                <w:szCs w:val="21"/>
              </w:rPr>
              <w:t>/m)</w:t>
            </w:r>
          </w:p>
        </w:tc>
        <w:tc>
          <w:tcPr>
            <w:tcW w:w="526" w:type="pct"/>
            <w:vAlign w:val="center"/>
          </w:tcPr>
          <w:p w14:paraId="6AC5ACB8"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水平移动</w:t>
            </w:r>
          </w:p>
          <w:p w14:paraId="3C7FFCB0"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w:t>
            </w:r>
            <w:r>
              <w:rPr>
                <w:rFonts w:ascii="Times New Roman" w:eastAsiaTheme="minorEastAsia" w:hAnsi="Times New Roman"/>
                <w:kern w:val="0"/>
                <w:sz w:val="21"/>
                <w:szCs w:val="21"/>
              </w:rPr>
              <w:t>mm</w:t>
            </w:r>
            <w:r>
              <w:rPr>
                <w:rFonts w:ascii="Times New Roman" w:eastAsiaTheme="minorEastAsia" w:hAnsi="Times New Roman"/>
                <w:kern w:val="0"/>
                <w:sz w:val="21"/>
                <w:szCs w:val="21"/>
              </w:rPr>
              <w:t>）</w:t>
            </w:r>
          </w:p>
        </w:tc>
        <w:tc>
          <w:tcPr>
            <w:tcW w:w="556" w:type="pct"/>
            <w:vAlign w:val="center"/>
          </w:tcPr>
          <w:p w14:paraId="150DD0DE"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水平变形</w:t>
            </w:r>
          </w:p>
          <w:p w14:paraId="4E12A1D3"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(mm/m)</w:t>
            </w:r>
          </w:p>
        </w:tc>
      </w:tr>
      <w:tr w:rsidR="009C353B" w14:paraId="4C546463" w14:textId="77777777">
        <w:trPr>
          <w:trHeight w:val="284"/>
          <w:jc w:val="center"/>
        </w:trPr>
        <w:tc>
          <w:tcPr>
            <w:tcW w:w="300" w:type="pct"/>
            <w:vAlign w:val="center"/>
          </w:tcPr>
          <w:p w14:paraId="4118EE7F" w14:textId="77777777" w:rsidR="009C353B" w:rsidRDefault="00000000">
            <w:pPr>
              <w:widowControl/>
              <w:adjustRightInd w:val="0"/>
              <w:snapToGrid w:val="0"/>
              <w:spacing w:line="240" w:lineRule="atLeast"/>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820" w:type="pct"/>
            <w:vAlign w:val="center"/>
          </w:tcPr>
          <w:p w14:paraId="748259C5"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马莲台井田</w:t>
            </w:r>
          </w:p>
        </w:tc>
        <w:tc>
          <w:tcPr>
            <w:tcW w:w="564" w:type="pct"/>
            <w:vAlign w:val="center"/>
          </w:tcPr>
          <w:p w14:paraId="47BAE063"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16</w:t>
            </w:r>
          </w:p>
        </w:tc>
        <w:tc>
          <w:tcPr>
            <w:tcW w:w="578" w:type="pct"/>
            <w:vAlign w:val="center"/>
          </w:tcPr>
          <w:p w14:paraId="673F1FB0"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20.79</w:t>
            </w:r>
          </w:p>
        </w:tc>
        <w:tc>
          <w:tcPr>
            <w:tcW w:w="645" w:type="pct"/>
            <w:vAlign w:val="center"/>
          </w:tcPr>
          <w:p w14:paraId="7BAF8816"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15.59</w:t>
            </w:r>
          </w:p>
        </w:tc>
        <w:tc>
          <w:tcPr>
            <w:tcW w:w="505" w:type="pct"/>
            <w:vAlign w:val="center"/>
          </w:tcPr>
          <w:p w14:paraId="1804BC70"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102.99</w:t>
            </w:r>
          </w:p>
        </w:tc>
        <w:tc>
          <w:tcPr>
            <w:tcW w:w="505" w:type="pct"/>
            <w:vAlign w:val="center"/>
          </w:tcPr>
          <w:p w14:paraId="08BDE5B0"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1.03</w:t>
            </w:r>
          </w:p>
        </w:tc>
        <w:tc>
          <w:tcPr>
            <w:tcW w:w="526" w:type="pct"/>
            <w:vAlign w:val="center"/>
          </w:tcPr>
          <w:p w14:paraId="782151F9"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4365.06</w:t>
            </w:r>
          </w:p>
        </w:tc>
        <w:tc>
          <w:tcPr>
            <w:tcW w:w="556" w:type="pct"/>
            <w:vAlign w:val="center"/>
          </w:tcPr>
          <w:p w14:paraId="3152B0C6"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43.83</w:t>
            </w:r>
          </w:p>
        </w:tc>
      </w:tr>
      <w:tr w:rsidR="009C353B" w14:paraId="5C339962" w14:textId="77777777">
        <w:trPr>
          <w:trHeight w:val="284"/>
          <w:jc w:val="center"/>
        </w:trPr>
        <w:tc>
          <w:tcPr>
            <w:tcW w:w="300" w:type="pct"/>
            <w:vAlign w:val="center"/>
          </w:tcPr>
          <w:p w14:paraId="5C9BF63E" w14:textId="77777777" w:rsidR="009C353B" w:rsidRDefault="00000000">
            <w:pPr>
              <w:widowControl/>
              <w:adjustRightInd w:val="0"/>
              <w:snapToGrid w:val="0"/>
              <w:spacing w:line="240" w:lineRule="atLeast"/>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2</w:t>
            </w:r>
          </w:p>
        </w:tc>
        <w:tc>
          <w:tcPr>
            <w:tcW w:w="820" w:type="pct"/>
            <w:vAlign w:val="center"/>
          </w:tcPr>
          <w:p w14:paraId="66427EEA"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红石湾井田</w:t>
            </w:r>
          </w:p>
        </w:tc>
        <w:tc>
          <w:tcPr>
            <w:tcW w:w="564" w:type="pct"/>
            <w:vAlign w:val="center"/>
          </w:tcPr>
          <w:p w14:paraId="200BC169"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7</w:t>
            </w:r>
          </w:p>
        </w:tc>
        <w:tc>
          <w:tcPr>
            <w:tcW w:w="578" w:type="pct"/>
            <w:vAlign w:val="center"/>
          </w:tcPr>
          <w:p w14:paraId="7E0789EB"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18.80</w:t>
            </w:r>
          </w:p>
        </w:tc>
        <w:tc>
          <w:tcPr>
            <w:tcW w:w="645" w:type="pct"/>
            <w:vAlign w:val="center"/>
          </w:tcPr>
          <w:p w14:paraId="02430618"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14.10</w:t>
            </w:r>
          </w:p>
        </w:tc>
        <w:tc>
          <w:tcPr>
            <w:tcW w:w="505" w:type="pct"/>
            <w:vAlign w:val="center"/>
          </w:tcPr>
          <w:p w14:paraId="604D74CC"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87.79</w:t>
            </w:r>
          </w:p>
        </w:tc>
        <w:tc>
          <w:tcPr>
            <w:tcW w:w="505" w:type="pct"/>
            <w:vAlign w:val="center"/>
          </w:tcPr>
          <w:p w14:paraId="1686AB27"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0.83</w:t>
            </w:r>
          </w:p>
        </w:tc>
        <w:tc>
          <w:tcPr>
            <w:tcW w:w="526" w:type="pct"/>
            <w:vAlign w:val="center"/>
          </w:tcPr>
          <w:p w14:paraId="4760B702"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3946.71</w:t>
            </w:r>
          </w:p>
        </w:tc>
        <w:tc>
          <w:tcPr>
            <w:tcW w:w="556" w:type="pct"/>
            <w:vAlign w:val="center"/>
          </w:tcPr>
          <w:p w14:paraId="64599846"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37.37</w:t>
            </w:r>
          </w:p>
        </w:tc>
      </w:tr>
      <w:tr w:rsidR="009C353B" w14:paraId="3FA002DB" w14:textId="77777777">
        <w:trPr>
          <w:trHeight w:val="284"/>
          <w:jc w:val="center"/>
        </w:trPr>
        <w:tc>
          <w:tcPr>
            <w:tcW w:w="300" w:type="pct"/>
            <w:vAlign w:val="center"/>
          </w:tcPr>
          <w:p w14:paraId="42902A48" w14:textId="77777777" w:rsidR="009C353B" w:rsidRDefault="00000000">
            <w:pPr>
              <w:widowControl/>
              <w:adjustRightInd w:val="0"/>
              <w:snapToGrid w:val="0"/>
              <w:spacing w:line="240" w:lineRule="atLeast"/>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820" w:type="pct"/>
            <w:vAlign w:val="center"/>
          </w:tcPr>
          <w:p w14:paraId="2FB2D24A"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任家庄井田</w:t>
            </w:r>
          </w:p>
        </w:tc>
        <w:tc>
          <w:tcPr>
            <w:tcW w:w="564" w:type="pct"/>
            <w:vAlign w:val="center"/>
          </w:tcPr>
          <w:p w14:paraId="7A3A3B51"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9</w:t>
            </w:r>
          </w:p>
        </w:tc>
        <w:tc>
          <w:tcPr>
            <w:tcW w:w="578" w:type="pct"/>
            <w:vAlign w:val="center"/>
          </w:tcPr>
          <w:p w14:paraId="27029BD9"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28.42</w:t>
            </w:r>
          </w:p>
        </w:tc>
        <w:tc>
          <w:tcPr>
            <w:tcW w:w="645" w:type="pct"/>
            <w:vAlign w:val="center"/>
          </w:tcPr>
          <w:p w14:paraId="2A218C68"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21.13</w:t>
            </w:r>
          </w:p>
        </w:tc>
        <w:tc>
          <w:tcPr>
            <w:tcW w:w="505" w:type="pct"/>
            <w:vAlign w:val="center"/>
          </w:tcPr>
          <w:p w14:paraId="64142A93"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141.68</w:t>
            </w:r>
          </w:p>
        </w:tc>
        <w:tc>
          <w:tcPr>
            <w:tcW w:w="505" w:type="pct"/>
            <w:vAlign w:val="center"/>
          </w:tcPr>
          <w:p w14:paraId="74B23D77"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1.42</w:t>
            </w:r>
          </w:p>
        </w:tc>
        <w:tc>
          <w:tcPr>
            <w:tcW w:w="526" w:type="pct"/>
            <w:vAlign w:val="center"/>
          </w:tcPr>
          <w:p w14:paraId="74ECE5EE"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6024.65</w:t>
            </w:r>
          </w:p>
        </w:tc>
        <w:tc>
          <w:tcPr>
            <w:tcW w:w="556" w:type="pct"/>
            <w:vAlign w:val="center"/>
          </w:tcPr>
          <w:p w14:paraId="3F3DC449"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60.30</w:t>
            </w:r>
          </w:p>
        </w:tc>
      </w:tr>
      <w:tr w:rsidR="009C353B" w14:paraId="196C7BDE" w14:textId="77777777">
        <w:trPr>
          <w:trHeight w:val="284"/>
          <w:jc w:val="center"/>
        </w:trPr>
        <w:tc>
          <w:tcPr>
            <w:tcW w:w="300" w:type="pct"/>
            <w:vAlign w:val="center"/>
          </w:tcPr>
          <w:p w14:paraId="789A5955" w14:textId="77777777" w:rsidR="009C353B" w:rsidRDefault="00000000">
            <w:pPr>
              <w:widowControl/>
              <w:adjustRightInd w:val="0"/>
              <w:snapToGrid w:val="0"/>
              <w:spacing w:line="240" w:lineRule="atLeast"/>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820" w:type="pct"/>
            <w:vAlign w:val="center"/>
          </w:tcPr>
          <w:p w14:paraId="5462008C"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丁家梁井田</w:t>
            </w:r>
          </w:p>
        </w:tc>
        <w:tc>
          <w:tcPr>
            <w:tcW w:w="564" w:type="pct"/>
            <w:vAlign w:val="center"/>
          </w:tcPr>
          <w:p w14:paraId="4EBBDFA3"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578" w:type="pct"/>
            <w:vAlign w:val="center"/>
          </w:tcPr>
          <w:p w14:paraId="187F55D2"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14.43</w:t>
            </w:r>
          </w:p>
        </w:tc>
        <w:tc>
          <w:tcPr>
            <w:tcW w:w="645" w:type="pct"/>
            <w:vAlign w:val="center"/>
          </w:tcPr>
          <w:p w14:paraId="680C1874"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10.82</w:t>
            </w:r>
          </w:p>
        </w:tc>
        <w:tc>
          <w:tcPr>
            <w:tcW w:w="505" w:type="pct"/>
            <w:vAlign w:val="center"/>
          </w:tcPr>
          <w:p w14:paraId="3312F8B4"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47.17</w:t>
            </w:r>
          </w:p>
        </w:tc>
        <w:tc>
          <w:tcPr>
            <w:tcW w:w="505" w:type="pct"/>
            <w:vAlign w:val="center"/>
          </w:tcPr>
          <w:p w14:paraId="79DBCDB4"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0.31</w:t>
            </w:r>
          </w:p>
        </w:tc>
        <w:tc>
          <w:tcPr>
            <w:tcW w:w="526" w:type="pct"/>
            <w:vAlign w:val="center"/>
          </w:tcPr>
          <w:p w14:paraId="006F7B10"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3029.58</w:t>
            </w:r>
          </w:p>
        </w:tc>
        <w:tc>
          <w:tcPr>
            <w:tcW w:w="556" w:type="pct"/>
            <w:vAlign w:val="center"/>
          </w:tcPr>
          <w:p w14:paraId="4FD0D447" w14:textId="77777777" w:rsidR="009C353B" w:rsidRDefault="00000000">
            <w:pPr>
              <w:widowControl/>
              <w:adjustRightInd w:val="0"/>
              <w:snapToGrid w:val="0"/>
              <w:spacing w:line="240" w:lineRule="atLeast"/>
              <w:jc w:val="center"/>
              <w:outlineLvl w:val="4"/>
              <w:rPr>
                <w:rFonts w:ascii="Times New Roman" w:eastAsiaTheme="minorEastAsia" w:hAnsi="Times New Roman"/>
                <w:kern w:val="0"/>
                <w:sz w:val="21"/>
                <w:szCs w:val="21"/>
              </w:rPr>
            </w:pPr>
            <w:r>
              <w:rPr>
                <w:rFonts w:ascii="Times New Roman" w:eastAsiaTheme="minorEastAsia" w:hAnsi="Times New Roman"/>
                <w:kern w:val="0"/>
                <w:sz w:val="21"/>
                <w:szCs w:val="21"/>
              </w:rPr>
              <w:t>20.08</w:t>
            </w:r>
          </w:p>
        </w:tc>
      </w:tr>
    </w:tbl>
    <w:p w14:paraId="71D8AAF1" w14:textId="77777777" w:rsidR="009C353B" w:rsidRDefault="00000000">
      <w:pPr>
        <w:spacing w:line="440" w:lineRule="exact"/>
        <w:ind w:firstLineChars="200" w:firstLine="480"/>
        <w:jc w:val="left"/>
        <w:rPr>
          <w:rFonts w:ascii="Times New Roman" w:hAnsi="Times New Roman"/>
          <w:szCs w:val="24"/>
        </w:rPr>
      </w:pPr>
      <w:r>
        <w:rPr>
          <w:rFonts w:ascii="Times New Roman" w:hAnsi="Times New Roman"/>
          <w:szCs w:val="24"/>
        </w:rPr>
        <w:t>根据预测及上表可知，矿</w:t>
      </w:r>
      <w:r>
        <w:rPr>
          <w:rFonts w:ascii="Times New Roman" w:hAnsi="Times New Roman" w:hint="eastAsia"/>
          <w:szCs w:val="24"/>
        </w:rPr>
        <w:t>区开发后地表</w:t>
      </w:r>
      <w:r>
        <w:rPr>
          <w:rFonts w:ascii="Times New Roman" w:hAnsi="Times New Roman"/>
          <w:szCs w:val="24"/>
        </w:rPr>
        <w:t>沉陷面积约</w:t>
      </w:r>
      <w:r>
        <w:rPr>
          <w:rFonts w:ascii="Times New Roman" w:hAnsi="Times New Roman"/>
        </w:rPr>
        <w:t>58.02km</w:t>
      </w:r>
      <w:r>
        <w:rPr>
          <w:rFonts w:ascii="Times New Roman" w:hAnsi="Times New Roman"/>
          <w:vertAlign w:val="superscript"/>
        </w:rPr>
        <w:t>2</w:t>
      </w:r>
      <w:r>
        <w:rPr>
          <w:rFonts w:ascii="Times New Roman" w:hAnsi="Times New Roman"/>
          <w:szCs w:val="24"/>
        </w:rPr>
        <w:t>，最大下沉值为</w:t>
      </w:r>
      <w:r>
        <w:rPr>
          <w:rFonts w:ascii="Times New Roman" w:hAnsi="Times New Roman"/>
          <w:szCs w:val="24"/>
        </w:rPr>
        <w:t>21.13m</w:t>
      </w:r>
      <w:r>
        <w:rPr>
          <w:rFonts w:ascii="Times New Roman" w:hAnsi="Times New Roman"/>
          <w:szCs w:val="24"/>
        </w:rPr>
        <w:t>，位于</w:t>
      </w:r>
      <w:r>
        <w:rPr>
          <w:rFonts w:ascii="Times New Roman" w:hAnsi="Times New Roman" w:hint="eastAsia"/>
          <w:szCs w:val="24"/>
        </w:rPr>
        <w:t>任家庄</w:t>
      </w:r>
      <w:r>
        <w:rPr>
          <w:rFonts w:ascii="Times New Roman" w:hAnsi="Times New Roman"/>
          <w:szCs w:val="24"/>
        </w:rPr>
        <w:t>井田范围内。</w:t>
      </w:r>
    </w:p>
    <w:p w14:paraId="2022E1B4" w14:textId="77777777" w:rsidR="009C353B" w:rsidRDefault="00000000">
      <w:pPr>
        <w:adjustRightInd w:val="0"/>
        <w:snapToGrid w:val="0"/>
        <w:spacing w:line="440" w:lineRule="exact"/>
        <w:ind w:firstLine="480"/>
        <w:rPr>
          <w:rFonts w:ascii="Times New Roman" w:hint="eastAsia"/>
        </w:rPr>
      </w:pPr>
      <w:r>
        <w:rPr>
          <w:rFonts w:ascii="Times New Roman" w:hint="eastAsia"/>
        </w:rPr>
        <w:t>全矿区</w:t>
      </w:r>
      <w:r>
        <w:rPr>
          <w:rFonts w:ascii="Times New Roman"/>
        </w:rPr>
        <w:t>煤层开采后产生的地表移动变形最大值见表</w:t>
      </w:r>
      <w:r>
        <w:rPr>
          <w:rFonts w:ascii="Times New Roman"/>
        </w:rPr>
        <w:t>6.1-3</w:t>
      </w:r>
      <w:r>
        <w:rPr>
          <w:rFonts w:ascii="Times New Roman" w:hint="eastAsia"/>
        </w:rPr>
        <w:t>，</w:t>
      </w:r>
      <w:r>
        <w:rPr>
          <w:rFonts w:ascii="Times New Roman"/>
        </w:rPr>
        <w:t>地表沉陷等值线见</w:t>
      </w:r>
      <w:r>
        <w:rPr>
          <w:rFonts w:ascii="Times New Roman" w:hAnsi="Times New Roman" w:hint="eastAsia"/>
        </w:rPr>
        <w:t>附图——</w:t>
      </w:r>
      <w:r>
        <w:rPr>
          <w:rFonts w:ascii="Times New Roman" w:hAnsi="Times New Roman"/>
        </w:rPr>
        <w:t>图</w:t>
      </w:r>
      <w:r>
        <w:rPr>
          <w:rFonts w:ascii="Times New Roman" w:hAnsi="Times New Roman"/>
        </w:rPr>
        <w:t>6.1-1</w:t>
      </w:r>
      <w:r>
        <w:rPr>
          <w:rFonts w:ascii="Times New Roman" w:hAnsi="Times New Roman"/>
        </w:rPr>
        <w:t>。</w:t>
      </w:r>
    </w:p>
    <w:p w14:paraId="75397D7F" w14:textId="77777777" w:rsidR="009C353B" w:rsidRDefault="00000000">
      <w:pPr>
        <w:pStyle w:val="affffff0"/>
        <w:adjustRightInd w:val="0"/>
        <w:spacing w:line="440" w:lineRule="exact"/>
        <w:jc w:val="center"/>
        <w:rPr>
          <w:rFonts w:ascii="Times New Roman" w:hAnsi="Times New Roman"/>
        </w:rPr>
      </w:pPr>
      <w:r>
        <w:rPr>
          <w:rFonts w:ascii="Times New Roman" w:hAnsi="Times New Roman" w:hint="eastAsia"/>
        </w:rPr>
        <w:t>全</w:t>
      </w:r>
      <w:r>
        <w:rPr>
          <w:rFonts w:ascii="Times New Roman" w:hAnsi="Times New Roman"/>
        </w:rPr>
        <w:t>井田</w:t>
      </w:r>
      <w:r>
        <w:rPr>
          <w:rFonts w:ascii="Times New Roman" w:hAnsi="Times New Roman" w:hint="eastAsia"/>
        </w:rPr>
        <w:t>主要可采</w:t>
      </w:r>
      <w:r>
        <w:rPr>
          <w:rFonts w:ascii="Times New Roman" w:hAnsi="Times New Roman"/>
        </w:rPr>
        <w:t>煤层开采后地表移动变形最大值表</w:t>
      </w:r>
    </w:p>
    <w:p w14:paraId="39905970" w14:textId="77777777" w:rsidR="009C353B" w:rsidRDefault="00000000">
      <w:pPr>
        <w:widowControl/>
        <w:adjustRightInd w:val="0"/>
        <w:snapToGrid w:val="0"/>
        <w:spacing w:line="440" w:lineRule="exact"/>
        <w:outlineLvl w:val="4"/>
        <w:rPr>
          <w:rFonts w:ascii="Times New Roman" w:hint="eastAsia"/>
          <w:kern w:val="0"/>
        </w:rPr>
      </w:pPr>
      <w:r>
        <w:rPr>
          <w:rFonts w:ascii="Times New Roman"/>
          <w:kern w:val="0"/>
        </w:rPr>
        <w:t>表</w:t>
      </w:r>
      <w:r>
        <w:rPr>
          <w:rFonts w:ascii="Times New Roman"/>
          <w:kern w:val="0"/>
        </w:rPr>
        <w:t>6.1-</w:t>
      </w:r>
      <w:r>
        <w:rPr>
          <w:rFonts w:ascii="Times New Roman" w:hint="eastAsia"/>
          <w:kern w:val="0"/>
        </w:rPr>
        <w:t>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1"/>
        <w:gridCol w:w="1335"/>
        <w:gridCol w:w="1332"/>
        <w:gridCol w:w="1332"/>
        <w:gridCol w:w="1168"/>
        <w:gridCol w:w="1183"/>
        <w:gridCol w:w="1606"/>
      </w:tblGrid>
      <w:tr w:rsidR="009C353B" w14:paraId="2D5EF06A" w14:textId="77777777">
        <w:trPr>
          <w:trHeight w:val="690"/>
          <w:jc w:val="center"/>
        </w:trPr>
        <w:tc>
          <w:tcPr>
            <w:tcW w:w="1277" w:type="dxa"/>
            <w:shd w:val="clear" w:color="auto" w:fill="auto"/>
            <w:vAlign w:val="center"/>
          </w:tcPr>
          <w:p w14:paraId="71C3F18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开采煤层</w:t>
            </w:r>
          </w:p>
        </w:tc>
        <w:tc>
          <w:tcPr>
            <w:tcW w:w="1281" w:type="dxa"/>
            <w:shd w:val="clear" w:color="auto" w:fill="auto"/>
            <w:vAlign w:val="center"/>
          </w:tcPr>
          <w:p w14:paraId="0515D21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下</w:t>
            </w:r>
            <w:r>
              <w:rPr>
                <w:rFonts w:ascii="Times New Roman" w:hAnsi="Times New Roman"/>
                <w:sz w:val="21"/>
                <w:szCs w:val="21"/>
              </w:rPr>
              <w:t xml:space="preserve">  </w:t>
            </w:r>
            <w:r>
              <w:rPr>
                <w:rFonts w:ascii="Times New Roman" w:hAnsi="Times New Roman"/>
                <w:sz w:val="21"/>
                <w:szCs w:val="21"/>
              </w:rPr>
              <w:t>沉</w:t>
            </w:r>
          </w:p>
          <w:p w14:paraId="312879C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mm</w:t>
            </w:r>
            <w:r>
              <w:rPr>
                <w:rFonts w:ascii="Times New Roman" w:hAnsi="Times New Roman"/>
                <w:sz w:val="21"/>
                <w:szCs w:val="21"/>
              </w:rPr>
              <w:t>）</w:t>
            </w:r>
          </w:p>
        </w:tc>
        <w:tc>
          <w:tcPr>
            <w:tcW w:w="1277" w:type="dxa"/>
            <w:shd w:val="clear" w:color="auto" w:fill="auto"/>
            <w:vAlign w:val="center"/>
          </w:tcPr>
          <w:p w14:paraId="78D438C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倾</w:t>
            </w:r>
            <w:r>
              <w:rPr>
                <w:rFonts w:ascii="Times New Roman" w:hAnsi="Times New Roman"/>
                <w:sz w:val="21"/>
                <w:szCs w:val="21"/>
              </w:rPr>
              <w:t xml:space="preserve">  </w:t>
            </w:r>
            <w:r>
              <w:rPr>
                <w:rFonts w:ascii="Times New Roman" w:hAnsi="Times New Roman"/>
                <w:sz w:val="21"/>
                <w:szCs w:val="21"/>
              </w:rPr>
              <w:t>斜</w:t>
            </w:r>
          </w:p>
          <w:p w14:paraId="00923B2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(mm/m)</w:t>
            </w:r>
          </w:p>
        </w:tc>
        <w:tc>
          <w:tcPr>
            <w:tcW w:w="1277" w:type="dxa"/>
            <w:shd w:val="clear" w:color="auto" w:fill="auto"/>
            <w:vAlign w:val="center"/>
          </w:tcPr>
          <w:p w14:paraId="04F4F8F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曲</w:t>
            </w:r>
            <w:r>
              <w:rPr>
                <w:rFonts w:ascii="Times New Roman" w:hAnsi="Times New Roman"/>
                <w:sz w:val="21"/>
                <w:szCs w:val="21"/>
              </w:rPr>
              <w:t xml:space="preserve">  </w:t>
            </w:r>
            <w:r>
              <w:rPr>
                <w:rFonts w:ascii="Times New Roman" w:hAnsi="Times New Roman"/>
                <w:sz w:val="21"/>
                <w:szCs w:val="21"/>
              </w:rPr>
              <w:t>率</w:t>
            </w:r>
          </w:p>
          <w:p w14:paraId="44FF66A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(10-3/m)</w:t>
            </w:r>
          </w:p>
        </w:tc>
        <w:tc>
          <w:tcPr>
            <w:tcW w:w="1120" w:type="dxa"/>
            <w:shd w:val="clear" w:color="auto" w:fill="auto"/>
            <w:vAlign w:val="center"/>
          </w:tcPr>
          <w:p w14:paraId="151315D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水平移动</w:t>
            </w:r>
          </w:p>
          <w:p w14:paraId="1839673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mm</w:t>
            </w:r>
            <w:r>
              <w:rPr>
                <w:rFonts w:ascii="Times New Roman" w:hAnsi="Times New Roman"/>
                <w:sz w:val="21"/>
                <w:szCs w:val="21"/>
              </w:rPr>
              <w:t>）</w:t>
            </w:r>
          </w:p>
        </w:tc>
        <w:tc>
          <w:tcPr>
            <w:tcW w:w="1134" w:type="dxa"/>
            <w:shd w:val="clear" w:color="auto" w:fill="auto"/>
            <w:vAlign w:val="center"/>
          </w:tcPr>
          <w:p w14:paraId="6D38A25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水平变形</w:t>
            </w:r>
          </w:p>
          <w:p w14:paraId="30B8876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(mm/m)</w:t>
            </w:r>
          </w:p>
        </w:tc>
        <w:tc>
          <w:tcPr>
            <w:tcW w:w="1540" w:type="dxa"/>
            <w:shd w:val="clear" w:color="auto" w:fill="auto"/>
            <w:vAlign w:val="center"/>
          </w:tcPr>
          <w:p w14:paraId="32300D7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最大</w:t>
            </w:r>
            <w:r>
              <w:rPr>
                <w:rFonts w:ascii="Times New Roman" w:hAnsi="Times New Roman"/>
                <w:sz w:val="21"/>
                <w:szCs w:val="21"/>
              </w:rPr>
              <w:t>影响半径</w:t>
            </w:r>
          </w:p>
          <w:p w14:paraId="7881F9F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(m)</w:t>
            </w:r>
          </w:p>
        </w:tc>
      </w:tr>
      <w:tr w:rsidR="009C353B" w14:paraId="6DBB7B61" w14:textId="77777777">
        <w:trPr>
          <w:trHeight w:val="340"/>
          <w:jc w:val="center"/>
        </w:trPr>
        <w:tc>
          <w:tcPr>
            <w:tcW w:w="1277" w:type="dxa"/>
            <w:vAlign w:val="center"/>
          </w:tcPr>
          <w:p w14:paraId="2E39E63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一</w:t>
            </w:r>
            <w:r>
              <w:rPr>
                <w:rFonts w:ascii="Times New Roman" w:hAnsi="Times New Roman"/>
                <w:sz w:val="21"/>
                <w:szCs w:val="21"/>
              </w:rPr>
              <w:t>煤</w:t>
            </w:r>
          </w:p>
        </w:tc>
        <w:tc>
          <w:tcPr>
            <w:tcW w:w="1281" w:type="dxa"/>
            <w:shd w:val="clear" w:color="auto" w:fill="auto"/>
            <w:noWrap/>
            <w:vAlign w:val="center"/>
          </w:tcPr>
          <w:p w14:paraId="7E412E9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2973.19 </w:t>
            </w:r>
          </w:p>
        </w:tc>
        <w:tc>
          <w:tcPr>
            <w:tcW w:w="1277" w:type="dxa"/>
            <w:shd w:val="clear" w:color="auto" w:fill="auto"/>
            <w:noWrap/>
            <w:vAlign w:val="center"/>
          </w:tcPr>
          <w:p w14:paraId="25A5E8B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50.64 </w:t>
            </w:r>
          </w:p>
        </w:tc>
        <w:tc>
          <w:tcPr>
            <w:tcW w:w="1277" w:type="dxa"/>
            <w:shd w:val="clear" w:color="auto" w:fill="auto"/>
            <w:noWrap/>
            <w:vAlign w:val="center"/>
          </w:tcPr>
          <w:p w14:paraId="68DDB0C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1.31 </w:t>
            </w:r>
          </w:p>
        </w:tc>
        <w:tc>
          <w:tcPr>
            <w:tcW w:w="1120" w:type="dxa"/>
            <w:shd w:val="clear" w:color="auto" w:fill="auto"/>
            <w:noWrap/>
            <w:vAlign w:val="center"/>
          </w:tcPr>
          <w:p w14:paraId="1BD3F5F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832.49 </w:t>
            </w:r>
          </w:p>
        </w:tc>
        <w:tc>
          <w:tcPr>
            <w:tcW w:w="1134" w:type="dxa"/>
            <w:shd w:val="clear" w:color="auto" w:fill="auto"/>
            <w:noWrap/>
            <w:vAlign w:val="center"/>
          </w:tcPr>
          <w:p w14:paraId="2D901AF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21.55 </w:t>
            </w:r>
          </w:p>
        </w:tc>
        <w:tc>
          <w:tcPr>
            <w:tcW w:w="1540" w:type="dxa"/>
            <w:shd w:val="clear" w:color="auto" w:fill="auto"/>
            <w:noWrap/>
            <w:vAlign w:val="center"/>
          </w:tcPr>
          <w:p w14:paraId="0C67307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58.72 </w:t>
            </w:r>
          </w:p>
        </w:tc>
      </w:tr>
      <w:tr w:rsidR="009C353B" w14:paraId="06BA41A6" w14:textId="77777777">
        <w:trPr>
          <w:trHeight w:val="340"/>
          <w:jc w:val="center"/>
        </w:trPr>
        <w:tc>
          <w:tcPr>
            <w:tcW w:w="1277" w:type="dxa"/>
            <w:vAlign w:val="center"/>
          </w:tcPr>
          <w:p w14:paraId="4C7927E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三</w:t>
            </w:r>
            <w:r>
              <w:rPr>
                <w:rFonts w:ascii="Times New Roman" w:hAnsi="Times New Roman"/>
                <w:sz w:val="21"/>
                <w:szCs w:val="21"/>
              </w:rPr>
              <w:t>煤</w:t>
            </w:r>
          </w:p>
        </w:tc>
        <w:tc>
          <w:tcPr>
            <w:tcW w:w="1281" w:type="dxa"/>
            <w:shd w:val="clear" w:color="auto" w:fill="auto"/>
            <w:noWrap/>
            <w:vAlign w:val="center"/>
          </w:tcPr>
          <w:p w14:paraId="5EFBD57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2611.41 </w:t>
            </w:r>
          </w:p>
        </w:tc>
        <w:tc>
          <w:tcPr>
            <w:tcW w:w="1277" w:type="dxa"/>
            <w:shd w:val="clear" w:color="auto" w:fill="auto"/>
            <w:noWrap/>
            <w:vAlign w:val="center"/>
          </w:tcPr>
          <w:p w14:paraId="7E38A07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18.98 </w:t>
            </w:r>
          </w:p>
        </w:tc>
        <w:tc>
          <w:tcPr>
            <w:tcW w:w="1277" w:type="dxa"/>
            <w:shd w:val="clear" w:color="auto" w:fill="auto"/>
            <w:noWrap/>
            <w:vAlign w:val="center"/>
          </w:tcPr>
          <w:p w14:paraId="5D7234C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0.21 </w:t>
            </w:r>
          </w:p>
        </w:tc>
        <w:tc>
          <w:tcPr>
            <w:tcW w:w="1120" w:type="dxa"/>
            <w:shd w:val="clear" w:color="auto" w:fill="auto"/>
            <w:noWrap/>
            <w:vAlign w:val="center"/>
          </w:tcPr>
          <w:p w14:paraId="015F8DE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731.19 </w:t>
            </w:r>
          </w:p>
        </w:tc>
        <w:tc>
          <w:tcPr>
            <w:tcW w:w="1134" w:type="dxa"/>
            <w:shd w:val="clear" w:color="auto" w:fill="auto"/>
            <w:noWrap/>
            <w:vAlign w:val="center"/>
          </w:tcPr>
          <w:p w14:paraId="49D2FDE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8.08 </w:t>
            </w:r>
          </w:p>
        </w:tc>
        <w:tc>
          <w:tcPr>
            <w:tcW w:w="1540" w:type="dxa"/>
            <w:shd w:val="clear" w:color="auto" w:fill="auto"/>
            <w:noWrap/>
            <w:vAlign w:val="center"/>
          </w:tcPr>
          <w:p w14:paraId="3E6368D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137.61 </w:t>
            </w:r>
          </w:p>
        </w:tc>
      </w:tr>
      <w:tr w:rsidR="009C353B" w14:paraId="4579AE04" w14:textId="77777777">
        <w:trPr>
          <w:trHeight w:val="340"/>
          <w:jc w:val="center"/>
        </w:trPr>
        <w:tc>
          <w:tcPr>
            <w:tcW w:w="1277" w:type="dxa"/>
            <w:vAlign w:val="center"/>
          </w:tcPr>
          <w:p w14:paraId="3275379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五</w:t>
            </w:r>
            <w:r>
              <w:rPr>
                <w:rFonts w:ascii="Times New Roman" w:hAnsi="Times New Roman"/>
                <w:sz w:val="21"/>
                <w:szCs w:val="21"/>
              </w:rPr>
              <w:t>煤</w:t>
            </w:r>
          </w:p>
        </w:tc>
        <w:tc>
          <w:tcPr>
            <w:tcW w:w="1281" w:type="dxa"/>
            <w:shd w:val="clear" w:color="auto" w:fill="auto"/>
            <w:noWrap/>
            <w:vAlign w:val="center"/>
          </w:tcPr>
          <w:p w14:paraId="55E2CE8F" w14:textId="77777777" w:rsidR="009C353B" w:rsidRDefault="00000000">
            <w:pPr>
              <w:widowControl/>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6084.51 </w:t>
            </w:r>
          </w:p>
        </w:tc>
        <w:tc>
          <w:tcPr>
            <w:tcW w:w="1277" w:type="dxa"/>
            <w:shd w:val="clear" w:color="auto" w:fill="auto"/>
            <w:noWrap/>
            <w:vAlign w:val="center"/>
          </w:tcPr>
          <w:p w14:paraId="791B25F4" w14:textId="77777777" w:rsidR="009C353B" w:rsidRDefault="00000000">
            <w:pPr>
              <w:widowControl/>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33.16 </w:t>
            </w:r>
          </w:p>
        </w:tc>
        <w:tc>
          <w:tcPr>
            <w:tcW w:w="1277" w:type="dxa"/>
            <w:shd w:val="clear" w:color="auto" w:fill="auto"/>
            <w:noWrap/>
            <w:vAlign w:val="center"/>
          </w:tcPr>
          <w:p w14:paraId="218BF1F6" w14:textId="77777777" w:rsidR="009C353B" w:rsidRDefault="00000000">
            <w:pPr>
              <w:widowControl/>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0.27 </w:t>
            </w:r>
          </w:p>
        </w:tc>
        <w:tc>
          <w:tcPr>
            <w:tcW w:w="1120" w:type="dxa"/>
            <w:shd w:val="clear" w:color="auto" w:fill="auto"/>
            <w:noWrap/>
            <w:vAlign w:val="center"/>
          </w:tcPr>
          <w:p w14:paraId="10CE28A3" w14:textId="77777777" w:rsidR="009C353B" w:rsidRDefault="00000000">
            <w:pPr>
              <w:widowControl/>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1703.66 </w:t>
            </w:r>
          </w:p>
        </w:tc>
        <w:tc>
          <w:tcPr>
            <w:tcW w:w="1134" w:type="dxa"/>
            <w:shd w:val="clear" w:color="auto" w:fill="auto"/>
            <w:noWrap/>
            <w:vAlign w:val="center"/>
          </w:tcPr>
          <w:p w14:paraId="4FF9A684" w14:textId="77777777" w:rsidR="009C353B" w:rsidRDefault="00000000">
            <w:pPr>
              <w:widowControl/>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14.11 </w:t>
            </w:r>
          </w:p>
        </w:tc>
        <w:tc>
          <w:tcPr>
            <w:tcW w:w="1540" w:type="dxa"/>
            <w:shd w:val="clear" w:color="auto" w:fill="auto"/>
            <w:noWrap/>
            <w:vAlign w:val="center"/>
          </w:tcPr>
          <w:p w14:paraId="377603B9" w14:textId="77777777" w:rsidR="009C353B" w:rsidRDefault="00000000">
            <w:pPr>
              <w:widowControl/>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183.49 </w:t>
            </w:r>
          </w:p>
        </w:tc>
      </w:tr>
      <w:tr w:rsidR="009C353B" w14:paraId="64706941" w14:textId="77777777">
        <w:trPr>
          <w:trHeight w:val="340"/>
          <w:jc w:val="center"/>
        </w:trPr>
        <w:tc>
          <w:tcPr>
            <w:tcW w:w="1277" w:type="dxa"/>
            <w:vAlign w:val="center"/>
          </w:tcPr>
          <w:p w14:paraId="6815B92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八</w:t>
            </w:r>
            <w:r>
              <w:rPr>
                <w:rFonts w:ascii="Times New Roman" w:hAnsi="Times New Roman"/>
                <w:sz w:val="21"/>
                <w:szCs w:val="21"/>
              </w:rPr>
              <w:t>煤</w:t>
            </w:r>
          </w:p>
        </w:tc>
        <w:tc>
          <w:tcPr>
            <w:tcW w:w="1281" w:type="dxa"/>
            <w:shd w:val="clear" w:color="auto" w:fill="auto"/>
            <w:noWrap/>
            <w:vAlign w:val="center"/>
          </w:tcPr>
          <w:p w14:paraId="246DD88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1019.57 </w:t>
            </w:r>
          </w:p>
        </w:tc>
        <w:tc>
          <w:tcPr>
            <w:tcW w:w="1277" w:type="dxa"/>
            <w:shd w:val="clear" w:color="auto" w:fill="auto"/>
            <w:noWrap/>
            <w:vAlign w:val="center"/>
          </w:tcPr>
          <w:p w14:paraId="2517889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3.18 </w:t>
            </w:r>
          </w:p>
        </w:tc>
        <w:tc>
          <w:tcPr>
            <w:tcW w:w="1277" w:type="dxa"/>
            <w:shd w:val="clear" w:color="auto" w:fill="auto"/>
            <w:noWrap/>
            <w:vAlign w:val="center"/>
          </w:tcPr>
          <w:p w14:paraId="12DF8D0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0.02 </w:t>
            </w:r>
          </w:p>
        </w:tc>
        <w:tc>
          <w:tcPr>
            <w:tcW w:w="1120" w:type="dxa"/>
            <w:shd w:val="clear" w:color="auto" w:fill="auto"/>
            <w:noWrap/>
            <w:vAlign w:val="center"/>
          </w:tcPr>
          <w:p w14:paraId="25330C2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285.48 </w:t>
            </w:r>
          </w:p>
        </w:tc>
        <w:tc>
          <w:tcPr>
            <w:tcW w:w="1134" w:type="dxa"/>
            <w:shd w:val="clear" w:color="auto" w:fill="auto"/>
            <w:noWrap/>
            <w:vAlign w:val="center"/>
          </w:tcPr>
          <w:p w14:paraId="32662B9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1.35 </w:t>
            </w:r>
          </w:p>
        </w:tc>
        <w:tc>
          <w:tcPr>
            <w:tcW w:w="1540" w:type="dxa"/>
            <w:shd w:val="clear" w:color="auto" w:fill="auto"/>
            <w:noWrap/>
            <w:vAlign w:val="center"/>
          </w:tcPr>
          <w:p w14:paraId="14A3A15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321.10 </w:t>
            </w:r>
          </w:p>
        </w:tc>
      </w:tr>
      <w:tr w:rsidR="009C353B" w14:paraId="149A913B" w14:textId="77777777">
        <w:trPr>
          <w:trHeight w:val="340"/>
          <w:jc w:val="center"/>
        </w:trPr>
        <w:tc>
          <w:tcPr>
            <w:tcW w:w="1277" w:type="dxa"/>
            <w:tcBorders>
              <w:top w:val="single" w:sz="4" w:space="0" w:color="auto"/>
              <w:left w:val="single" w:sz="4" w:space="0" w:color="auto"/>
              <w:bottom w:val="single" w:sz="4" w:space="0" w:color="auto"/>
              <w:right w:val="single" w:sz="4" w:space="0" w:color="auto"/>
            </w:tcBorders>
            <w:vAlign w:val="center"/>
          </w:tcPr>
          <w:p w14:paraId="4782D1B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九</w:t>
            </w:r>
            <w:r>
              <w:rPr>
                <w:rFonts w:ascii="Times New Roman" w:hAnsi="Times New Roman"/>
                <w:sz w:val="21"/>
                <w:szCs w:val="21"/>
              </w:rPr>
              <w:t>煤</w:t>
            </w:r>
          </w:p>
        </w:tc>
        <w:tc>
          <w:tcPr>
            <w:tcW w:w="12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B4DB1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5183.34 </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45A0E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12.44 </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3A837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0.05 </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D1CDB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1555.00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CD120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 xml:space="preserve">5.67 </w:t>
            </w:r>
          </w:p>
        </w:tc>
        <w:tc>
          <w:tcPr>
            <w:tcW w:w="15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38C99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458.72</w:t>
            </w:r>
          </w:p>
        </w:tc>
      </w:tr>
    </w:tbl>
    <w:p w14:paraId="08C24314" w14:textId="77777777" w:rsidR="009C353B" w:rsidRDefault="00000000">
      <w:pPr>
        <w:pStyle w:val="affffffffffff"/>
        <w:ind w:firstLine="480"/>
        <w:rPr>
          <w:rFonts w:ascii="Times New Roman" w:hAnsi="宋体" w:hint="eastAsia"/>
        </w:rPr>
      </w:pPr>
      <w:r>
        <w:rPr>
          <w:rFonts w:ascii="Times New Roman" w:hAnsi="宋体" w:hint="eastAsia"/>
        </w:rPr>
        <w:t>地表裂缝预测：</w:t>
      </w:r>
    </w:p>
    <w:p w14:paraId="1F94040D" w14:textId="77777777" w:rsidR="009C353B" w:rsidRDefault="00000000">
      <w:pPr>
        <w:pStyle w:val="affffffffffff"/>
        <w:ind w:firstLine="480"/>
        <w:rPr>
          <w:rFonts w:ascii="Times New Roman" w:hAnsi="宋体" w:hint="eastAsia"/>
        </w:rPr>
      </w:pPr>
      <w:r>
        <w:rPr>
          <w:rFonts w:ascii="Times New Roman" w:hAnsi="宋体"/>
        </w:rPr>
        <w:t>井下煤炭开采后地表变形的形式</w:t>
      </w:r>
      <w:r>
        <w:rPr>
          <w:rFonts w:ascii="Times New Roman" w:hAnsi="宋体" w:hint="eastAsia"/>
        </w:rPr>
        <w:t>、</w:t>
      </w:r>
      <w:r>
        <w:rPr>
          <w:rFonts w:ascii="Times New Roman" w:hAnsi="宋体"/>
        </w:rPr>
        <w:t>大小</w:t>
      </w:r>
      <w:r>
        <w:rPr>
          <w:rFonts w:ascii="Times New Roman" w:hAnsi="宋体" w:hint="eastAsia"/>
        </w:rPr>
        <w:t>、</w:t>
      </w:r>
      <w:r>
        <w:rPr>
          <w:rFonts w:ascii="Times New Roman" w:hAnsi="宋体"/>
        </w:rPr>
        <w:t>速度一般与煤层厚度</w:t>
      </w:r>
      <w:r>
        <w:rPr>
          <w:rFonts w:ascii="Times New Roman" w:hAnsi="宋体" w:hint="eastAsia"/>
        </w:rPr>
        <w:t>、</w:t>
      </w:r>
      <w:r>
        <w:rPr>
          <w:rFonts w:ascii="Times New Roman" w:hAnsi="宋体"/>
        </w:rPr>
        <w:t>埋深</w:t>
      </w:r>
      <w:r>
        <w:rPr>
          <w:rFonts w:ascii="Times New Roman" w:hAnsi="宋体" w:hint="eastAsia"/>
        </w:rPr>
        <w:t>、</w:t>
      </w:r>
      <w:r>
        <w:rPr>
          <w:rFonts w:ascii="Times New Roman" w:hAnsi="宋体"/>
        </w:rPr>
        <w:t>开采方式</w:t>
      </w:r>
      <w:r>
        <w:rPr>
          <w:rFonts w:ascii="Times New Roman" w:hAnsi="宋体" w:hint="eastAsia"/>
        </w:rPr>
        <w:t>及上部岩层强度等因素紧密相关，一般规律是：煤层埋深越浅、开采煤层越厚，即埋深与采厚比越小，地表变形表现越强烈，可能产生的危害也越大。根据《矿山开采沉陷学》及煤矿沉陷经验分析，当开采煤层深厚比小于</w:t>
      </w:r>
      <w:r>
        <w:rPr>
          <w:rFonts w:ascii="Times New Roman" w:hAnsi="宋体" w:hint="eastAsia"/>
        </w:rPr>
        <w:t>30</w:t>
      </w:r>
      <w:r>
        <w:rPr>
          <w:rFonts w:ascii="Times New Roman" w:hAnsi="宋体" w:hint="eastAsia"/>
        </w:rPr>
        <w:t>时，地表多表现为剧烈变形，地表出现台阶状下沉和较大裂缝等非连续变形现象；而随着开采煤层深厚比的增大，采空区地表变形则逐渐减弱，地表变形则多表现为舒缓变形。</w:t>
      </w:r>
    </w:p>
    <w:p w14:paraId="0C6C1987"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szCs w:val="24"/>
        </w:rPr>
        <w:t>矿区内矿井煤层埋深差异较大（</w:t>
      </w:r>
      <w:r>
        <w:rPr>
          <w:rFonts w:ascii="Times New Roman" w:hAnsi="Times New Roman"/>
          <w:szCs w:val="24"/>
        </w:rPr>
        <w:t>140-960m</w:t>
      </w:r>
      <w:r>
        <w:rPr>
          <w:rFonts w:ascii="Times New Roman" w:hAnsi="Times New Roman" w:hint="eastAsia"/>
          <w:szCs w:val="24"/>
        </w:rPr>
        <w:t>），矿埋深较小的区域（</w:t>
      </w:r>
      <w:r>
        <w:rPr>
          <w:rFonts w:ascii="Times New Roman" w:hAnsi="Times New Roman"/>
          <w:szCs w:val="24"/>
        </w:rPr>
        <w:t>140-400m</w:t>
      </w:r>
      <w:r>
        <w:rPr>
          <w:rFonts w:ascii="Times New Roman" w:hAnsi="Times New Roman" w:hint="eastAsia"/>
          <w:szCs w:val="24"/>
        </w:rPr>
        <w:t>）深厚比约</w:t>
      </w:r>
      <w:r>
        <w:rPr>
          <w:rFonts w:ascii="Times New Roman" w:hAnsi="Times New Roman"/>
          <w:szCs w:val="24"/>
        </w:rPr>
        <w:t>10.5~28.4</w:t>
      </w:r>
      <w:r>
        <w:rPr>
          <w:rFonts w:ascii="Times New Roman" w:hAnsi="Times New Roman" w:hint="eastAsia"/>
          <w:szCs w:val="24"/>
        </w:rPr>
        <w:t>，开采后地表沉陷主要表现形式是地表裂缝，沉陷台阶，局部出现沉陷坑，沉陷裂缝主要发生在采空区边界上方的局部区域；埋深较大的区域（</w:t>
      </w:r>
      <w:r>
        <w:rPr>
          <w:rFonts w:ascii="Times New Roman" w:hAnsi="Times New Roman"/>
          <w:szCs w:val="24"/>
        </w:rPr>
        <w:t>400-960m</w:t>
      </w:r>
      <w:r>
        <w:rPr>
          <w:rFonts w:ascii="Times New Roman" w:hAnsi="Times New Roman" w:hint="eastAsia"/>
          <w:szCs w:val="24"/>
        </w:rPr>
        <w:t>）深厚比约</w:t>
      </w:r>
      <w:r>
        <w:rPr>
          <w:rFonts w:ascii="Times New Roman" w:hAnsi="Times New Roman"/>
          <w:szCs w:val="24"/>
        </w:rPr>
        <w:t>30.1~94.4</w:t>
      </w:r>
      <w:r>
        <w:rPr>
          <w:rFonts w:ascii="Times New Roman" w:hAnsi="Times New Roman" w:hint="eastAsia"/>
          <w:szCs w:val="24"/>
        </w:rPr>
        <w:t>，</w:t>
      </w:r>
      <w:r>
        <w:rPr>
          <w:rFonts w:ascii="Times New Roman" w:hint="eastAsia"/>
        </w:rPr>
        <w:t>沉陷表现形式一般为整体缓慢下沉，仅在</w:t>
      </w:r>
      <w:r>
        <w:rPr>
          <w:rFonts w:ascii="Times New Roman"/>
        </w:rPr>
        <w:t>沉陷区边缘会出现轻微</w:t>
      </w:r>
      <w:r>
        <w:rPr>
          <w:rFonts w:ascii="Times New Roman" w:hint="eastAsia"/>
        </w:rPr>
        <w:t>裂缝。</w:t>
      </w:r>
    </w:p>
    <w:p w14:paraId="2A1C095D" w14:textId="77777777" w:rsidR="009C353B" w:rsidRDefault="009C353B">
      <w:pPr>
        <w:adjustRightInd w:val="0"/>
        <w:snapToGrid w:val="0"/>
        <w:spacing w:line="440" w:lineRule="exact"/>
        <w:ind w:firstLineChars="200" w:firstLine="480"/>
        <w:rPr>
          <w:rFonts w:ascii="Times New Roman" w:hint="eastAsia"/>
        </w:rPr>
      </w:pPr>
    </w:p>
    <w:p w14:paraId="10A00CE7"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6.1.</w:t>
      </w:r>
      <w:r>
        <w:rPr>
          <w:rFonts w:ascii="Times New Roman" w:eastAsia="宋体" w:hAnsi="Times New Roman"/>
          <w:sz w:val="24"/>
        </w:rPr>
        <w:t>3</w:t>
      </w:r>
      <w:r>
        <w:rPr>
          <w:rFonts w:ascii="Times New Roman" w:eastAsia="宋体" w:hAnsi="Times New Roman" w:hint="eastAsia"/>
          <w:sz w:val="24"/>
        </w:rPr>
        <w:t>.</w:t>
      </w:r>
      <w:r>
        <w:rPr>
          <w:rFonts w:ascii="Times New Roman" w:eastAsia="宋体" w:hAnsi="Times New Roman"/>
          <w:sz w:val="24"/>
        </w:rPr>
        <w:t>4</w:t>
      </w:r>
      <w:r>
        <w:rPr>
          <w:rFonts w:ascii="Times New Roman" w:eastAsia="宋体" w:hAnsi="Times New Roman" w:hint="eastAsia"/>
          <w:sz w:val="24"/>
        </w:rPr>
        <w:t xml:space="preserve"> </w:t>
      </w:r>
      <w:r>
        <w:rPr>
          <w:rFonts w:ascii="Times New Roman" w:eastAsia="宋体" w:hAnsi="Times New Roman" w:hint="eastAsia"/>
          <w:sz w:val="24"/>
        </w:rPr>
        <w:t>沉陷表现形式及特点</w:t>
      </w:r>
    </w:p>
    <w:p w14:paraId="671BC4C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根据地表沉陷影响预测结果，</w:t>
      </w:r>
      <w:r>
        <w:rPr>
          <w:rFonts w:ascii="Times New Roman" w:hAnsi="Times New Roman" w:hint="eastAsia"/>
        </w:rPr>
        <w:t>矿区</w:t>
      </w:r>
      <w:r>
        <w:rPr>
          <w:rFonts w:ascii="Times New Roman" w:hAnsi="Times New Roman"/>
        </w:rPr>
        <w:t>地表沉陷变形特点如下</w:t>
      </w:r>
      <w:r>
        <w:rPr>
          <w:rFonts w:ascii="Times New Roman" w:hAnsi="Times New Roman" w:hint="eastAsia"/>
        </w:rPr>
        <w:t>：</w:t>
      </w:r>
    </w:p>
    <w:p w14:paraId="2F58A504"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rPr>
        <w:t>下沉是逐步形成的，要经历较长的时间；</w:t>
      </w:r>
    </w:p>
    <w:p w14:paraId="76BF500F"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开采下沉造成地形坡度变化只发生在采空区边界上方，是局部区域；</w:t>
      </w:r>
    </w:p>
    <w:p w14:paraId="246F45D7"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rPr>
        <w:t>井田地貌形态总体上为缓坡丘陵地貌，地形呈缓波状起伏，地势北高南低、西高东低，海拔</w:t>
      </w:r>
      <w:r>
        <w:rPr>
          <w:rFonts w:ascii="Times New Roman" w:hAnsi="Times New Roman"/>
        </w:rPr>
        <w:t>1318.8~1193.4m</w:t>
      </w:r>
      <w:r>
        <w:rPr>
          <w:rFonts w:ascii="Times New Roman" w:hAnsi="Times New Roman"/>
        </w:rPr>
        <w:t>，相对高差</w:t>
      </w:r>
      <w:r>
        <w:rPr>
          <w:rFonts w:ascii="Times New Roman" w:hAnsi="Times New Roman"/>
        </w:rPr>
        <w:t>125.4m</w:t>
      </w:r>
      <w:r>
        <w:rPr>
          <w:rFonts w:ascii="Times New Roman" w:hAnsi="Times New Roman"/>
        </w:rPr>
        <w:t>。开采引起的最大下沉值为</w:t>
      </w:r>
      <w:r>
        <w:rPr>
          <w:rFonts w:ascii="Times New Roman" w:hAnsi="Times New Roman"/>
        </w:rPr>
        <w:t>21.13m</w:t>
      </w:r>
      <w:r>
        <w:rPr>
          <w:rFonts w:ascii="Times New Roman" w:hAnsi="Times New Roman"/>
        </w:rPr>
        <w:t>，相对于地表落差而言影响不大。总体上，地表沉陷对该区域地表形态和自然景观的影响较小。</w:t>
      </w:r>
    </w:p>
    <w:p w14:paraId="5BD6FC48"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rPr>
        <w:t>（</w:t>
      </w:r>
      <w:r>
        <w:rPr>
          <w:rFonts w:ascii="Times New Roman" w:hAnsi="Times New Roman"/>
        </w:rPr>
        <w:t>4</w:t>
      </w:r>
      <w:r>
        <w:rPr>
          <w:rFonts w:ascii="Times New Roman" w:hAnsi="Times New Roman" w:hint="eastAsia"/>
        </w:rPr>
        <w:t>）</w:t>
      </w:r>
      <w:r>
        <w:rPr>
          <w:rFonts w:ascii="Times New Roman" w:hAnsi="Times New Roman" w:hint="eastAsia"/>
          <w:szCs w:val="24"/>
        </w:rPr>
        <w:t>矿埋深较小的区域（</w:t>
      </w:r>
      <w:r>
        <w:rPr>
          <w:rFonts w:ascii="Times New Roman" w:hAnsi="Times New Roman"/>
          <w:szCs w:val="24"/>
        </w:rPr>
        <w:t>140-400m</w:t>
      </w:r>
      <w:r>
        <w:rPr>
          <w:rFonts w:ascii="Times New Roman" w:hAnsi="Times New Roman" w:hint="eastAsia"/>
          <w:szCs w:val="24"/>
        </w:rPr>
        <w:t>）深厚比约</w:t>
      </w:r>
      <w:r>
        <w:rPr>
          <w:rFonts w:ascii="Times New Roman" w:hAnsi="Times New Roman"/>
          <w:szCs w:val="24"/>
        </w:rPr>
        <w:t>10.5~28.4</w:t>
      </w:r>
      <w:r>
        <w:rPr>
          <w:rFonts w:ascii="Times New Roman" w:hAnsi="Times New Roman" w:hint="eastAsia"/>
          <w:szCs w:val="24"/>
        </w:rPr>
        <w:t>，开采后地表沉陷主要表现形式是地表裂缝，沉陷台阶，局部出现沉陷坑，沉陷裂缝主要发生在采空区边界上方的局部区域；埋深较大的区域（</w:t>
      </w:r>
      <w:r>
        <w:rPr>
          <w:rFonts w:ascii="Times New Roman" w:hAnsi="Times New Roman"/>
          <w:szCs w:val="24"/>
        </w:rPr>
        <w:t>400-960m</w:t>
      </w:r>
      <w:r>
        <w:rPr>
          <w:rFonts w:ascii="Times New Roman" w:hAnsi="Times New Roman" w:hint="eastAsia"/>
          <w:szCs w:val="24"/>
        </w:rPr>
        <w:t>）深厚比约</w:t>
      </w:r>
      <w:r>
        <w:rPr>
          <w:rFonts w:ascii="Times New Roman" w:hAnsi="Times New Roman"/>
          <w:szCs w:val="24"/>
        </w:rPr>
        <w:t>30.1~94.4</w:t>
      </w:r>
      <w:r>
        <w:rPr>
          <w:rFonts w:ascii="Times New Roman" w:hAnsi="Times New Roman" w:hint="eastAsia"/>
          <w:szCs w:val="24"/>
        </w:rPr>
        <w:t>，</w:t>
      </w:r>
      <w:r>
        <w:rPr>
          <w:rFonts w:ascii="Times New Roman" w:hint="eastAsia"/>
        </w:rPr>
        <w:t>沉陷表现形式一般为整体缓慢下沉，仅在</w:t>
      </w:r>
      <w:r>
        <w:rPr>
          <w:rFonts w:ascii="Times New Roman"/>
        </w:rPr>
        <w:t>沉陷区边缘会出现轻微</w:t>
      </w:r>
      <w:r>
        <w:rPr>
          <w:rFonts w:ascii="Times New Roman" w:hint="eastAsia"/>
        </w:rPr>
        <w:t>裂缝。</w:t>
      </w:r>
    </w:p>
    <w:p w14:paraId="6199325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5</w:t>
      </w:r>
      <w:r>
        <w:rPr>
          <w:rFonts w:ascii="Times New Roman" w:hAnsi="Times New Roman" w:hint="eastAsia"/>
          <w:szCs w:val="24"/>
        </w:rPr>
        <w:t>）矿区气候比较干旱，风沙多，降雨少，且该区第四系为透水不含水层，沉陷不会导致地表形成积水区。</w:t>
      </w:r>
    </w:p>
    <w:p w14:paraId="4D2C374D" w14:textId="77777777" w:rsidR="009C353B" w:rsidRDefault="00000000">
      <w:pPr>
        <w:pStyle w:val="3"/>
        <w:spacing w:before="120" w:after="120" w:line="440" w:lineRule="exact"/>
        <w:rPr>
          <w:rFonts w:ascii="Times New Roman" w:hAnsi="Times New Roman"/>
          <w:sz w:val="24"/>
        </w:rPr>
      </w:pPr>
      <w:r>
        <w:rPr>
          <w:rFonts w:ascii="Times New Roman" w:hAnsi="Times New Roman" w:hint="eastAsia"/>
          <w:sz w:val="24"/>
        </w:rPr>
        <w:t>6.1.</w:t>
      </w:r>
      <w:r>
        <w:rPr>
          <w:rFonts w:ascii="Times New Roman" w:hAnsi="Times New Roman"/>
          <w:sz w:val="24"/>
        </w:rPr>
        <w:t xml:space="preserve">4 </w:t>
      </w:r>
      <w:r>
        <w:rPr>
          <w:rFonts w:ascii="Times New Roman" w:hAnsi="Times New Roman" w:hint="eastAsia"/>
          <w:sz w:val="24"/>
        </w:rPr>
        <w:t>矿区</w:t>
      </w:r>
      <w:r>
        <w:rPr>
          <w:rFonts w:ascii="Times New Roman" w:hAnsi="Times New Roman"/>
          <w:sz w:val="24"/>
        </w:rPr>
        <w:t>开采地表沉陷</w:t>
      </w:r>
      <w:r>
        <w:rPr>
          <w:rFonts w:ascii="Times New Roman" w:hAnsi="Times New Roman" w:hint="eastAsia"/>
          <w:sz w:val="24"/>
        </w:rPr>
        <w:t>影响分析</w:t>
      </w:r>
    </w:p>
    <w:p w14:paraId="345251B3"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b/>
          <w:bCs/>
        </w:rPr>
        <w:t>1</w:t>
      </w:r>
      <w:r>
        <w:rPr>
          <w:rFonts w:hAnsi="宋体" w:cs="Times New Roman" w:hint="eastAsia"/>
          <w:b/>
          <w:bCs/>
        </w:rPr>
        <w:t>）地表沉陷</w:t>
      </w:r>
      <w:r>
        <w:rPr>
          <w:rFonts w:hAnsi="宋体" w:cs="Times New Roman"/>
          <w:b/>
          <w:bCs/>
        </w:rPr>
        <w:t>对</w:t>
      </w:r>
      <w:r>
        <w:rPr>
          <w:rFonts w:hAnsi="宋体" w:cs="Times New Roman" w:hint="eastAsia"/>
          <w:b/>
          <w:bCs/>
        </w:rPr>
        <w:t>鸭子荡水库及大坝</w:t>
      </w:r>
      <w:r>
        <w:rPr>
          <w:rFonts w:hAnsi="宋体" w:cs="Times New Roman"/>
          <w:b/>
          <w:bCs/>
        </w:rPr>
        <w:t>的影响</w:t>
      </w:r>
    </w:p>
    <w:p w14:paraId="551519DE" w14:textId="77777777" w:rsidR="009C353B" w:rsidRDefault="00000000">
      <w:pPr>
        <w:pStyle w:val="2ff4"/>
        <w:spacing w:line="440" w:lineRule="exact"/>
        <w:rPr>
          <w:rFonts w:cs="Times New Roman"/>
        </w:rPr>
      </w:pPr>
      <w:r>
        <w:rPr>
          <w:rFonts w:cs="Times New Roman"/>
        </w:rPr>
        <w:t>鸭子荡水库，其水源为黄河水源提升引入，是宁东能源基地的重要供水水源。</w:t>
      </w:r>
      <w:r>
        <w:rPr>
          <w:rFonts w:cs="Times New Roman" w:hint="eastAsia"/>
        </w:rPr>
        <w:t>由于井田内鸭子荡水库自坝轴线向下游</w:t>
      </w:r>
      <w:r>
        <w:rPr>
          <w:rFonts w:cs="Times New Roman"/>
        </w:rPr>
        <w:t>1.8km</w:t>
      </w:r>
      <w:r>
        <w:rPr>
          <w:rFonts w:cs="Times New Roman"/>
        </w:rPr>
        <w:t>为临时禁采区</w:t>
      </w:r>
      <w:r>
        <w:rPr>
          <w:rFonts w:cs="Times New Roman" w:hint="eastAsia"/>
        </w:rPr>
        <w:t>，已到达丁家梁井田南边界，因此对该临时禁采区不做地表沉陷预测分析。</w:t>
      </w:r>
    </w:p>
    <w:p w14:paraId="258E2B52" w14:textId="77777777" w:rsidR="009C353B" w:rsidRDefault="00000000">
      <w:pPr>
        <w:pStyle w:val="2ff4"/>
        <w:spacing w:line="440" w:lineRule="exact"/>
        <w:rPr>
          <w:rFonts w:cs="Times New Roman"/>
        </w:rPr>
      </w:pPr>
      <w:r>
        <w:rPr>
          <w:rFonts w:cs="Times New Roman"/>
        </w:rPr>
        <w:t>鸭子荡水库距离</w:t>
      </w:r>
      <w:r>
        <w:rPr>
          <w:rFonts w:cs="Times New Roman" w:hint="eastAsia"/>
        </w:rPr>
        <w:t>其最近的丁家梁</w:t>
      </w:r>
      <w:r>
        <w:rPr>
          <w:rFonts w:cs="Times New Roman"/>
        </w:rPr>
        <w:t>井田东</w:t>
      </w:r>
      <w:r>
        <w:rPr>
          <w:rFonts w:cs="Times New Roman" w:hint="eastAsia"/>
        </w:rPr>
        <w:t>部开采</w:t>
      </w:r>
      <w:r>
        <w:rPr>
          <w:rFonts w:cs="Times New Roman"/>
        </w:rPr>
        <w:t>边界</w:t>
      </w:r>
      <w:r>
        <w:rPr>
          <w:rFonts w:cs="Times New Roman" w:hint="eastAsia"/>
        </w:rPr>
        <w:t>最近距离</w:t>
      </w:r>
      <w:r>
        <w:rPr>
          <w:rFonts w:cs="Times New Roman"/>
        </w:rPr>
        <w:t>约</w:t>
      </w:r>
      <w:r>
        <w:rPr>
          <w:rFonts w:cs="Times New Roman"/>
        </w:rPr>
        <w:t>1</w:t>
      </w:r>
      <w:r>
        <w:rPr>
          <w:rFonts w:cs="Times New Roman" w:hint="eastAsia"/>
        </w:rPr>
        <w:t>k</w:t>
      </w:r>
      <w:r>
        <w:rPr>
          <w:rFonts w:cs="Times New Roman"/>
        </w:rPr>
        <w:t>m</w:t>
      </w:r>
      <w:r>
        <w:rPr>
          <w:rFonts w:cs="Times New Roman"/>
        </w:rPr>
        <w:t>，根据</w:t>
      </w:r>
      <w:r>
        <w:rPr>
          <w:rFonts w:cs="Times New Roman" w:hint="eastAsia"/>
        </w:rPr>
        <w:t>本次</w:t>
      </w:r>
      <w:r>
        <w:rPr>
          <w:rFonts w:cs="Times New Roman"/>
        </w:rPr>
        <w:t>沉陷预测结果：开采沉陷影响范围在</w:t>
      </w:r>
      <w:r>
        <w:rPr>
          <w:rFonts w:cs="Times New Roman"/>
        </w:rPr>
        <w:t>330</w:t>
      </w:r>
      <w:r>
        <w:rPr>
          <w:rFonts w:cs="Times New Roman" w:hint="eastAsia"/>
        </w:rPr>
        <w:t>kv</w:t>
      </w:r>
      <w:r>
        <w:rPr>
          <w:rFonts w:cs="Times New Roman" w:hint="eastAsia"/>
        </w:rPr>
        <w:t>水铝线</w:t>
      </w:r>
      <w:r>
        <w:rPr>
          <w:rFonts w:cs="Times New Roman"/>
        </w:rPr>
        <w:t>保护煤柱西侧</w:t>
      </w:r>
      <w:r>
        <w:rPr>
          <w:rFonts w:cs="Times New Roman" w:hint="eastAsia"/>
        </w:rPr>
        <w:t>，</w:t>
      </w:r>
      <w:r>
        <w:rPr>
          <w:rFonts w:cs="Times New Roman"/>
        </w:rPr>
        <w:t>鸭子荡水库及大坝位于在</w:t>
      </w:r>
      <w:r>
        <w:rPr>
          <w:rFonts w:cs="Times New Roman"/>
        </w:rPr>
        <w:t>330</w:t>
      </w:r>
      <w:r>
        <w:rPr>
          <w:rFonts w:cs="Times New Roman" w:hint="eastAsia"/>
        </w:rPr>
        <w:t>kv</w:t>
      </w:r>
      <w:r>
        <w:rPr>
          <w:rFonts w:cs="Times New Roman" w:hint="eastAsia"/>
        </w:rPr>
        <w:t>水铝线</w:t>
      </w:r>
      <w:r>
        <w:rPr>
          <w:rFonts w:cs="Times New Roman"/>
        </w:rPr>
        <w:t>保护煤柱东侧，距沉陷影响边界最近距离为</w:t>
      </w:r>
      <w:r>
        <w:rPr>
          <w:rFonts w:cs="Times New Roman"/>
        </w:rPr>
        <w:t>685m</w:t>
      </w:r>
      <w:r>
        <w:rPr>
          <w:rFonts w:cs="Times New Roman"/>
        </w:rPr>
        <w:t>，因此，水库及大坝不受开采沉陷影响。</w:t>
      </w:r>
    </w:p>
    <w:p w14:paraId="5A20C22D" w14:textId="77777777" w:rsidR="009C353B" w:rsidRDefault="00000000">
      <w:pPr>
        <w:pStyle w:val="2ff4"/>
        <w:spacing w:line="440" w:lineRule="exact"/>
        <w:rPr>
          <w:rFonts w:cs="Times New Roman"/>
        </w:rPr>
      </w:pPr>
      <w:r>
        <w:rPr>
          <w:rFonts w:cs="Times New Roman"/>
        </w:rPr>
        <w:t>根据井田地质报告，</w:t>
      </w:r>
      <w:r>
        <w:rPr>
          <w:rFonts w:cs="Times New Roman"/>
        </w:rPr>
        <w:t>F1</w:t>
      </w:r>
      <w:r>
        <w:rPr>
          <w:rFonts w:cs="Times New Roman"/>
        </w:rPr>
        <w:t>断层位于鸭子荡水库西侧，紧邻井田东边界</w:t>
      </w:r>
      <w:r>
        <w:rPr>
          <w:rFonts w:cs="Times New Roman" w:hint="eastAsia"/>
        </w:rPr>
        <w:t>，</w:t>
      </w:r>
      <w:r>
        <w:rPr>
          <w:rFonts w:cs="Times New Roman"/>
        </w:rPr>
        <w:t>属于逆断层，发育到古近系清水营组隔水层底部。</w:t>
      </w:r>
      <w:r>
        <w:rPr>
          <w:rFonts w:cs="Times New Roman" w:hint="eastAsia"/>
        </w:rPr>
        <w:t>丁家梁</w:t>
      </w:r>
      <w:r>
        <w:rPr>
          <w:rFonts w:cs="Times New Roman"/>
        </w:rPr>
        <w:t>矿井大部分煤层为中厚</w:t>
      </w:r>
      <w:r>
        <w:rPr>
          <w:rFonts w:cs="Times New Roman"/>
        </w:rPr>
        <w:t>—</w:t>
      </w:r>
      <w:r>
        <w:rPr>
          <w:rFonts w:cs="Times New Roman"/>
        </w:rPr>
        <w:t>薄煤层，开采方式为一次采全高，地表沉陷速度较为缓慢，根据沉陷预测结果，全井田煤层开采后地表最大下沉值为</w:t>
      </w:r>
      <w:r>
        <w:rPr>
          <w:rFonts w:cs="Times New Roman"/>
        </w:rPr>
        <w:t>10.82m</w:t>
      </w:r>
      <w:r>
        <w:rPr>
          <w:rFonts w:cs="Times New Roman"/>
        </w:rPr>
        <w:t>，仅波及到清水营组隔水层的上部，而且鸭子荡水库西侧区域的清水营组隔水层发育较厚，因此，地表沉陷不会对</w:t>
      </w:r>
      <w:r>
        <w:rPr>
          <w:rFonts w:cs="Times New Roman"/>
        </w:rPr>
        <w:t>F1</w:t>
      </w:r>
      <w:r>
        <w:rPr>
          <w:rFonts w:cs="Times New Roman"/>
        </w:rPr>
        <w:t>断层造成较大扰动，也不会对鸭子荡水库及其大坝造成影响。</w:t>
      </w:r>
    </w:p>
    <w:p w14:paraId="35C62CF0" w14:textId="77777777" w:rsidR="009C353B" w:rsidRDefault="009C353B">
      <w:pPr>
        <w:pStyle w:val="2ff4"/>
        <w:spacing w:line="440" w:lineRule="exact"/>
        <w:rPr>
          <w:rFonts w:cs="Times New Roman"/>
        </w:rPr>
      </w:pPr>
    </w:p>
    <w:p w14:paraId="0EB6BEF1"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hint="eastAsia"/>
          <w:b/>
          <w:bCs/>
        </w:rPr>
        <w:t>2</w:t>
      </w:r>
      <w:r>
        <w:rPr>
          <w:rFonts w:hAnsi="宋体" w:cs="Times New Roman" w:hint="eastAsia"/>
          <w:b/>
          <w:bCs/>
        </w:rPr>
        <w:t>）地表沉陷</w:t>
      </w:r>
      <w:r>
        <w:rPr>
          <w:rFonts w:hAnsi="宋体" w:cs="Times New Roman"/>
          <w:b/>
          <w:bCs/>
        </w:rPr>
        <w:t>对</w:t>
      </w:r>
      <w:r>
        <w:rPr>
          <w:rFonts w:hAnsi="宋体" w:cs="Times New Roman" w:hint="eastAsia"/>
          <w:b/>
          <w:bCs/>
        </w:rPr>
        <w:t>文物</w:t>
      </w:r>
      <w:r>
        <w:rPr>
          <w:rFonts w:hAnsi="宋体" w:cs="Times New Roman"/>
          <w:b/>
          <w:bCs/>
        </w:rPr>
        <w:t>的影响分析</w:t>
      </w:r>
    </w:p>
    <w:p w14:paraId="13C7EF8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根据灵武市文化旅游广电局关于《自治区发展改革委员会关于征求</w:t>
      </w:r>
      <w:r>
        <w:rPr>
          <w:rFonts w:ascii="Times New Roman"/>
        </w:rPr>
        <w:t>&lt;</w:t>
      </w:r>
      <w:r>
        <w:rPr>
          <w:rFonts w:ascii="Times New Roman" w:hint="eastAsia"/>
        </w:rPr>
        <w:t>横城矿区总体规划（修编）环境影响评价公众参与调查表</w:t>
      </w:r>
      <w:r>
        <w:rPr>
          <w:rFonts w:ascii="Times New Roman"/>
        </w:rPr>
        <w:t>&gt;</w:t>
      </w:r>
      <w:r>
        <w:rPr>
          <w:rFonts w:ascii="Times New Roman" w:hint="eastAsia"/>
        </w:rPr>
        <w:t>》修改意见的函：水洞沟遗址、明长城及红山堡城址划定的保护范围为文物遗址区四周各外延</w:t>
      </w:r>
      <w:r>
        <w:rPr>
          <w:rFonts w:ascii="Times New Roman"/>
        </w:rPr>
        <w:t>100m</w:t>
      </w:r>
      <w:r>
        <w:rPr>
          <w:rFonts w:ascii="Times New Roman" w:hint="eastAsia"/>
        </w:rPr>
        <w:t>。</w:t>
      </w:r>
    </w:p>
    <w:p w14:paraId="783CEEE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）水洞沟遗址及红山堡城址</w:t>
      </w:r>
    </w:p>
    <w:p w14:paraId="54A6CE9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水洞沟遗址建设控制地带与红石湾井田北部有部分重合，重合面积约</w:t>
      </w:r>
      <w:r>
        <w:rPr>
          <w:rFonts w:ascii="Times New Roman" w:hint="eastAsia"/>
        </w:rPr>
        <w:t>9</w:t>
      </w:r>
      <w:r>
        <w:rPr>
          <w:rFonts w:ascii="Times New Roman"/>
        </w:rPr>
        <w:t>.91</w:t>
      </w:r>
      <w:r>
        <w:rPr>
          <w:rFonts w:ascii="Times New Roman" w:hint="eastAsia"/>
        </w:rPr>
        <w:t>hm</w:t>
      </w:r>
      <w:r>
        <w:rPr>
          <w:rFonts w:ascii="Times New Roman"/>
          <w:vertAlign w:val="superscript"/>
        </w:rPr>
        <w:t>2</w:t>
      </w:r>
      <w:r>
        <w:rPr>
          <w:rFonts w:ascii="Times New Roman" w:hint="eastAsia"/>
        </w:rPr>
        <w:t>。红山堡城址位于水洞沟遗址建设控制地带内，井田西北边界处。根据调查，矿井北部水洞沟遗址区域已开采完毕，后续矿井采煤工作面远离文物保护边界布置，水洞沟遗址范围内不再开发。</w:t>
      </w:r>
    </w:p>
    <w:p w14:paraId="1E51590B" w14:textId="77777777" w:rsidR="009C353B" w:rsidRDefault="00000000">
      <w:pPr>
        <w:adjustRightInd w:val="0"/>
        <w:snapToGrid w:val="0"/>
        <w:spacing w:line="440" w:lineRule="exact"/>
        <w:ind w:firstLineChars="200" w:firstLine="480"/>
        <w:rPr>
          <w:rFonts w:ascii="Times New Roman" w:hint="eastAsia"/>
        </w:rPr>
      </w:pPr>
      <w:r>
        <w:rPr>
          <w:rFonts w:ascii="Times New Roman"/>
        </w:rPr>
        <w:t>2</w:t>
      </w:r>
      <w:r>
        <w:rPr>
          <w:rFonts w:ascii="Times New Roman" w:hint="eastAsia"/>
        </w:rPr>
        <w:t>）明</w:t>
      </w:r>
      <w:r>
        <w:rPr>
          <w:rFonts w:ascii="Times New Roman"/>
        </w:rPr>
        <w:t>长城</w:t>
      </w:r>
    </w:p>
    <w:p w14:paraId="31D1C613" w14:textId="77777777" w:rsidR="009C353B" w:rsidRDefault="00000000">
      <w:pPr>
        <w:adjustRightInd w:val="0"/>
        <w:snapToGrid w:val="0"/>
        <w:spacing w:line="440" w:lineRule="exact"/>
        <w:ind w:firstLineChars="200" w:firstLine="480"/>
        <w:rPr>
          <w:rFonts w:hint="eastAsia"/>
        </w:rPr>
      </w:pPr>
      <w:r>
        <w:rPr>
          <w:rFonts w:ascii="Times New Roman" w:hint="eastAsia"/>
        </w:rPr>
        <w:t>红石湾、马莲台井田北部以明长城为界，该建筑属于国家一级保护文物。明长城位于红石湾、马莲台煤矿北部边界外</w:t>
      </w:r>
      <w:r>
        <w:rPr>
          <w:rFonts w:ascii="Times New Roman"/>
        </w:rPr>
        <w:t>10~70m</w:t>
      </w:r>
      <w:r>
        <w:rPr>
          <w:rFonts w:ascii="Times New Roman" w:hint="eastAsia"/>
        </w:rPr>
        <w:t>处。红石湾煤矿、马莲台煤矿已对明长城资源压覆区实施禁采。</w:t>
      </w:r>
    </w:p>
    <w:p w14:paraId="57A8A0E4" w14:textId="77777777" w:rsidR="009C353B" w:rsidRDefault="00000000">
      <w:pPr>
        <w:adjustRightInd w:val="0"/>
        <w:snapToGrid w:val="0"/>
        <w:spacing w:line="440" w:lineRule="exact"/>
        <w:ind w:firstLineChars="200" w:firstLine="480"/>
        <w:rPr>
          <w:rFonts w:hint="eastAsia"/>
        </w:rPr>
      </w:pPr>
      <w:r>
        <w:rPr>
          <w:rFonts w:ascii="Times New Roman" w:hint="eastAsia"/>
        </w:rPr>
        <w:t>根据本次地表沉陷预测结果，红石湾煤矿、马莲台煤矿北边界处沉陷影响半径约</w:t>
      </w:r>
      <w:r>
        <w:rPr>
          <w:rFonts w:ascii="Times New Roman"/>
        </w:rPr>
        <w:t>50~435m</w:t>
      </w:r>
      <w:r>
        <w:rPr>
          <w:rFonts w:ascii="Times New Roman" w:hint="eastAsia"/>
        </w:rPr>
        <w:t>。本次评价提出，矿区各矿井在后续生产过程中，应根据上述保护要求，水洞沟遗址、明长城及红山堡城址周边</w:t>
      </w:r>
      <w:r>
        <w:rPr>
          <w:rFonts w:ascii="Times New Roman" w:hint="eastAsia"/>
        </w:rPr>
        <w:t>1</w:t>
      </w:r>
      <w:r>
        <w:rPr>
          <w:rFonts w:ascii="Times New Roman"/>
        </w:rPr>
        <w:t>00</w:t>
      </w:r>
      <w:r>
        <w:rPr>
          <w:rFonts w:ascii="Times New Roman" w:hint="eastAsia"/>
        </w:rPr>
        <w:t>范围作为保护范围，以此范围为基础，根据实测地表岩移观测参数，结合煤层赋存情况，在此范围外再留设</w:t>
      </w:r>
      <w:r>
        <w:rPr>
          <w:rFonts w:ascii="Times New Roman" w:hint="eastAsia"/>
        </w:rPr>
        <w:t>7</w:t>
      </w:r>
      <w:r>
        <w:rPr>
          <w:rFonts w:ascii="Times New Roman"/>
        </w:rPr>
        <w:t>0-455</w:t>
      </w:r>
      <w:r>
        <w:rPr>
          <w:rFonts w:ascii="Times New Roman" w:hint="eastAsia"/>
        </w:rPr>
        <w:t>m</w:t>
      </w:r>
      <w:r>
        <w:rPr>
          <w:rFonts w:ascii="Times New Roman" w:hint="eastAsia"/>
        </w:rPr>
        <w:t>的保护煤柱，确保开采沉陷不影响上述文物。</w:t>
      </w:r>
    </w:p>
    <w:p w14:paraId="7B312A6F"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b/>
          <w:bCs/>
        </w:rPr>
        <w:t>3</w:t>
      </w:r>
      <w:r>
        <w:rPr>
          <w:rFonts w:hAnsi="宋体" w:cs="Times New Roman" w:hint="eastAsia"/>
          <w:b/>
          <w:bCs/>
        </w:rPr>
        <w:t>）地表沉陷</w:t>
      </w:r>
      <w:r>
        <w:rPr>
          <w:rFonts w:hAnsi="宋体" w:cs="Times New Roman"/>
          <w:b/>
          <w:bCs/>
        </w:rPr>
        <w:t>对</w:t>
      </w:r>
      <w:r>
        <w:rPr>
          <w:rFonts w:hAnsi="宋体" w:cs="Times New Roman" w:hint="eastAsia"/>
          <w:b/>
          <w:bCs/>
        </w:rPr>
        <w:t>输电线路</w:t>
      </w:r>
      <w:r>
        <w:rPr>
          <w:rFonts w:hAnsi="宋体" w:cs="Times New Roman"/>
          <w:b/>
          <w:bCs/>
        </w:rPr>
        <w:t>的影响</w:t>
      </w:r>
    </w:p>
    <w:p w14:paraId="2835DBD6" w14:textId="77777777" w:rsidR="009C353B" w:rsidRDefault="00000000">
      <w:pPr>
        <w:pStyle w:val="2ff4"/>
        <w:spacing w:line="440" w:lineRule="exact"/>
        <w:rPr>
          <w:rFonts w:cs="Times New Roman"/>
        </w:rPr>
      </w:pPr>
      <w:r>
        <w:rPr>
          <w:rFonts w:cs="Times New Roman" w:hint="eastAsia"/>
        </w:rPr>
        <w:t>矿区及周边</w:t>
      </w:r>
      <w:r>
        <w:rPr>
          <w:rFonts w:cs="Times New Roman" w:hint="eastAsia"/>
        </w:rPr>
        <w:t>5</w:t>
      </w:r>
      <w:r>
        <w:rPr>
          <w:rFonts w:cs="Times New Roman"/>
        </w:rPr>
        <w:t>00</w:t>
      </w:r>
      <w:r>
        <w:rPr>
          <w:rFonts w:cs="Times New Roman" w:hint="eastAsia"/>
        </w:rPr>
        <w:t>m</w:t>
      </w:r>
      <w:r>
        <w:rPr>
          <w:rFonts w:cs="Times New Roman" w:hint="eastAsia"/>
        </w:rPr>
        <w:t>内分布着</w:t>
      </w:r>
      <w:r>
        <w:rPr>
          <w:rFonts w:cs="Times New Roman"/>
        </w:rPr>
        <w:t>数条高压输电线路，详见表</w:t>
      </w:r>
      <w:r>
        <w:rPr>
          <w:rFonts w:cs="Times New Roman"/>
        </w:rPr>
        <w:t>6.1-</w:t>
      </w:r>
      <w:r>
        <w:rPr>
          <w:rFonts w:cs="Times New Roman" w:hint="eastAsia"/>
        </w:rPr>
        <w:t>4</w:t>
      </w:r>
      <w:r>
        <w:rPr>
          <w:rFonts w:cs="Times New Roman" w:hint="eastAsia"/>
        </w:rPr>
        <w:t>。</w:t>
      </w:r>
    </w:p>
    <w:p w14:paraId="353F6FCB" w14:textId="77777777" w:rsidR="009C353B" w:rsidRDefault="00000000">
      <w:pPr>
        <w:spacing w:line="440" w:lineRule="exact"/>
        <w:jc w:val="center"/>
        <w:rPr>
          <w:rFonts w:hint="eastAsia"/>
          <w:b/>
        </w:rPr>
      </w:pPr>
      <w:r>
        <w:rPr>
          <w:b/>
        </w:rPr>
        <w:t>井田内高压输电线路</w:t>
      </w:r>
    </w:p>
    <w:p w14:paraId="5DB08A6C" w14:textId="77777777" w:rsidR="009C353B" w:rsidRDefault="00000000">
      <w:pPr>
        <w:widowControl/>
        <w:adjustRightInd w:val="0"/>
        <w:snapToGrid w:val="0"/>
        <w:spacing w:line="440" w:lineRule="exact"/>
        <w:outlineLvl w:val="4"/>
        <w:rPr>
          <w:rFonts w:ascii="Times New Roman" w:hAnsi="Times New Roman"/>
          <w:kern w:val="0"/>
        </w:rPr>
      </w:pPr>
      <w:r>
        <w:rPr>
          <w:rFonts w:ascii="Times New Roman" w:hAnsi="Times New Roman"/>
          <w:kern w:val="0"/>
        </w:rPr>
        <w:t>表</w:t>
      </w:r>
      <w:r>
        <w:rPr>
          <w:rFonts w:ascii="Times New Roman" w:hAnsi="Times New Roman"/>
          <w:kern w:val="0"/>
        </w:rPr>
        <w:t>6.1-4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2349"/>
        <w:gridCol w:w="1170"/>
        <w:gridCol w:w="1508"/>
        <w:gridCol w:w="1768"/>
        <w:gridCol w:w="1882"/>
      </w:tblGrid>
      <w:tr w:rsidR="009C353B" w14:paraId="4B7D2506" w14:textId="77777777">
        <w:trPr>
          <w:trHeight w:val="397"/>
          <w:tblHeader/>
          <w:jc w:val="center"/>
        </w:trPr>
        <w:tc>
          <w:tcPr>
            <w:tcW w:w="328" w:type="pct"/>
            <w:vAlign w:val="center"/>
          </w:tcPr>
          <w:p w14:paraId="58BB3C9B"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序号</w:t>
            </w:r>
          </w:p>
        </w:tc>
        <w:tc>
          <w:tcPr>
            <w:tcW w:w="1264" w:type="pct"/>
            <w:vAlign w:val="center"/>
          </w:tcPr>
          <w:p w14:paraId="2210EB50"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输电线路</w:t>
            </w:r>
          </w:p>
        </w:tc>
        <w:tc>
          <w:tcPr>
            <w:tcW w:w="630" w:type="pct"/>
            <w:vAlign w:val="center"/>
          </w:tcPr>
          <w:p w14:paraId="7E203034"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所在井田</w:t>
            </w:r>
          </w:p>
        </w:tc>
        <w:tc>
          <w:tcPr>
            <w:tcW w:w="812" w:type="pct"/>
            <w:vAlign w:val="center"/>
          </w:tcPr>
          <w:p w14:paraId="33E63A6B"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井田内长度</w:t>
            </w:r>
          </w:p>
        </w:tc>
        <w:tc>
          <w:tcPr>
            <w:tcW w:w="952" w:type="pct"/>
            <w:vAlign w:val="center"/>
          </w:tcPr>
          <w:p w14:paraId="225BFAB5"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受沉陷影响深度</w:t>
            </w:r>
          </w:p>
        </w:tc>
        <w:tc>
          <w:tcPr>
            <w:tcW w:w="1013" w:type="pct"/>
            <w:vAlign w:val="center"/>
          </w:tcPr>
          <w:p w14:paraId="3DADB172"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保护措施</w:t>
            </w:r>
          </w:p>
        </w:tc>
      </w:tr>
      <w:tr w:rsidR="009C353B" w14:paraId="5552C794" w14:textId="77777777">
        <w:trPr>
          <w:trHeight w:val="397"/>
          <w:tblHeader/>
          <w:jc w:val="center"/>
        </w:trPr>
        <w:tc>
          <w:tcPr>
            <w:tcW w:w="328" w:type="pct"/>
            <w:vAlign w:val="center"/>
          </w:tcPr>
          <w:p w14:paraId="1B024361"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w:t>
            </w:r>
          </w:p>
        </w:tc>
        <w:tc>
          <w:tcPr>
            <w:tcW w:w="1264" w:type="pct"/>
            <w:vAlign w:val="center"/>
          </w:tcPr>
          <w:p w14:paraId="40DF9ECE"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110kv</w:t>
            </w:r>
            <w:r>
              <w:rPr>
                <w:rFonts w:ascii="Times New Roman" w:hAnsi="Times New Roman" w:hint="eastAsia"/>
                <w:szCs w:val="22"/>
              </w:rPr>
              <w:t>水任线</w:t>
            </w:r>
          </w:p>
        </w:tc>
        <w:tc>
          <w:tcPr>
            <w:tcW w:w="630" w:type="pct"/>
            <w:vAlign w:val="center"/>
          </w:tcPr>
          <w:p w14:paraId="5DDC1203"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丁家梁</w:t>
            </w:r>
          </w:p>
        </w:tc>
        <w:tc>
          <w:tcPr>
            <w:tcW w:w="812" w:type="pct"/>
            <w:vAlign w:val="center"/>
          </w:tcPr>
          <w:p w14:paraId="5EABDA60"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8.26km</w:t>
            </w:r>
          </w:p>
        </w:tc>
        <w:tc>
          <w:tcPr>
            <w:tcW w:w="952" w:type="pct"/>
            <w:vAlign w:val="center"/>
          </w:tcPr>
          <w:p w14:paraId="01E57430"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w:t>
            </w:r>
          </w:p>
        </w:tc>
        <w:tc>
          <w:tcPr>
            <w:tcW w:w="1013" w:type="pct"/>
            <w:vMerge w:val="restart"/>
            <w:vAlign w:val="center"/>
          </w:tcPr>
          <w:p w14:paraId="5AA70AB6" w14:textId="77777777" w:rsidR="009C353B" w:rsidRDefault="00000000">
            <w:pPr>
              <w:pStyle w:val="afffff7"/>
              <w:spacing w:line="240" w:lineRule="auto"/>
              <w:rPr>
                <w:rFonts w:ascii="Times New Roman" w:hAnsi="Times New Roman"/>
                <w:kern w:val="0"/>
                <w:szCs w:val="22"/>
              </w:rPr>
            </w:pPr>
            <w:r>
              <w:rPr>
                <w:rFonts w:ascii="Times New Roman" w:hAnsi="Times New Roman" w:hint="eastAsia"/>
                <w:szCs w:val="22"/>
              </w:rPr>
              <w:t>位于保护煤柱范围内，不受影响</w:t>
            </w:r>
          </w:p>
        </w:tc>
      </w:tr>
      <w:tr w:rsidR="009C353B" w14:paraId="328ECA28" w14:textId="77777777">
        <w:trPr>
          <w:trHeight w:val="397"/>
          <w:tblHeader/>
          <w:jc w:val="center"/>
        </w:trPr>
        <w:tc>
          <w:tcPr>
            <w:tcW w:w="328" w:type="pct"/>
            <w:vAlign w:val="center"/>
          </w:tcPr>
          <w:p w14:paraId="63BF52FA"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2</w:t>
            </w:r>
          </w:p>
        </w:tc>
        <w:tc>
          <w:tcPr>
            <w:tcW w:w="1264" w:type="pct"/>
            <w:vAlign w:val="center"/>
          </w:tcPr>
          <w:p w14:paraId="3DDF3556"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110kv</w:t>
            </w:r>
            <w:r>
              <w:rPr>
                <w:rFonts w:ascii="Times New Roman" w:hAnsi="Times New Roman" w:hint="eastAsia"/>
                <w:szCs w:val="22"/>
              </w:rPr>
              <w:t>徐磁线</w:t>
            </w:r>
          </w:p>
        </w:tc>
        <w:tc>
          <w:tcPr>
            <w:tcW w:w="630" w:type="pct"/>
            <w:vAlign w:val="center"/>
          </w:tcPr>
          <w:p w14:paraId="370DE907"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丁家梁</w:t>
            </w:r>
          </w:p>
        </w:tc>
        <w:tc>
          <w:tcPr>
            <w:tcW w:w="812" w:type="pct"/>
            <w:vAlign w:val="center"/>
          </w:tcPr>
          <w:p w14:paraId="2BB181A5"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8.26km</w:t>
            </w:r>
          </w:p>
        </w:tc>
        <w:tc>
          <w:tcPr>
            <w:tcW w:w="952" w:type="pct"/>
            <w:vAlign w:val="center"/>
          </w:tcPr>
          <w:p w14:paraId="53C75116"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w:t>
            </w:r>
          </w:p>
        </w:tc>
        <w:tc>
          <w:tcPr>
            <w:tcW w:w="1013" w:type="pct"/>
            <w:vMerge/>
            <w:vAlign w:val="center"/>
          </w:tcPr>
          <w:p w14:paraId="207E9109" w14:textId="77777777" w:rsidR="009C353B" w:rsidRDefault="009C353B">
            <w:pPr>
              <w:adjustRightInd w:val="0"/>
              <w:snapToGrid w:val="0"/>
              <w:jc w:val="center"/>
              <w:textAlignment w:val="baseline"/>
              <w:rPr>
                <w:rFonts w:ascii="Times New Roman" w:hAnsi="Times New Roman"/>
              </w:rPr>
            </w:pPr>
          </w:p>
        </w:tc>
      </w:tr>
      <w:tr w:rsidR="009C353B" w14:paraId="37E3291B" w14:textId="77777777">
        <w:trPr>
          <w:trHeight w:val="397"/>
          <w:tblHeader/>
          <w:jc w:val="center"/>
        </w:trPr>
        <w:tc>
          <w:tcPr>
            <w:tcW w:w="328" w:type="pct"/>
            <w:vAlign w:val="center"/>
          </w:tcPr>
          <w:p w14:paraId="2AEE29BD"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3</w:t>
            </w:r>
          </w:p>
        </w:tc>
        <w:tc>
          <w:tcPr>
            <w:tcW w:w="1264" w:type="pct"/>
            <w:vAlign w:val="center"/>
          </w:tcPr>
          <w:p w14:paraId="0DC3FCE6"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110kv</w:t>
            </w:r>
            <w:r>
              <w:rPr>
                <w:rFonts w:ascii="Times New Roman" w:hAnsi="Times New Roman"/>
                <w:szCs w:val="22"/>
              </w:rPr>
              <w:t>东窑甲线</w:t>
            </w:r>
          </w:p>
        </w:tc>
        <w:tc>
          <w:tcPr>
            <w:tcW w:w="630" w:type="pct"/>
            <w:vAlign w:val="center"/>
          </w:tcPr>
          <w:p w14:paraId="32C9B0BD"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丁家梁</w:t>
            </w:r>
          </w:p>
        </w:tc>
        <w:tc>
          <w:tcPr>
            <w:tcW w:w="812" w:type="pct"/>
            <w:vAlign w:val="center"/>
          </w:tcPr>
          <w:p w14:paraId="7E8E0A70"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2.61km</w:t>
            </w:r>
          </w:p>
        </w:tc>
        <w:tc>
          <w:tcPr>
            <w:tcW w:w="952" w:type="pct"/>
            <w:vAlign w:val="center"/>
          </w:tcPr>
          <w:p w14:paraId="2A336B57"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w:t>
            </w:r>
          </w:p>
        </w:tc>
        <w:tc>
          <w:tcPr>
            <w:tcW w:w="1013" w:type="pct"/>
            <w:vMerge/>
            <w:vAlign w:val="center"/>
          </w:tcPr>
          <w:p w14:paraId="11A9BDCD" w14:textId="77777777" w:rsidR="009C353B" w:rsidRDefault="009C353B">
            <w:pPr>
              <w:adjustRightInd w:val="0"/>
              <w:snapToGrid w:val="0"/>
              <w:jc w:val="center"/>
              <w:textAlignment w:val="baseline"/>
              <w:rPr>
                <w:rFonts w:ascii="Times New Roman" w:hAnsi="Times New Roman"/>
              </w:rPr>
            </w:pPr>
          </w:p>
        </w:tc>
      </w:tr>
      <w:tr w:rsidR="009C353B" w14:paraId="47037686" w14:textId="77777777">
        <w:trPr>
          <w:trHeight w:val="397"/>
          <w:tblHeader/>
          <w:jc w:val="center"/>
        </w:trPr>
        <w:tc>
          <w:tcPr>
            <w:tcW w:w="328" w:type="pct"/>
            <w:vAlign w:val="center"/>
          </w:tcPr>
          <w:p w14:paraId="20ACBD2A"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4</w:t>
            </w:r>
          </w:p>
        </w:tc>
        <w:tc>
          <w:tcPr>
            <w:tcW w:w="1264" w:type="pct"/>
            <w:vAlign w:val="center"/>
          </w:tcPr>
          <w:p w14:paraId="1DE1AB42"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110kv</w:t>
            </w:r>
            <w:r>
              <w:rPr>
                <w:rFonts w:ascii="Times New Roman" w:hAnsi="Times New Roman"/>
                <w:szCs w:val="22"/>
              </w:rPr>
              <w:t>东窑乙线</w:t>
            </w:r>
          </w:p>
        </w:tc>
        <w:tc>
          <w:tcPr>
            <w:tcW w:w="630" w:type="pct"/>
            <w:vAlign w:val="center"/>
          </w:tcPr>
          <w:p w14:paraId="7573C2E3"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丁家梁</w:t>
            </w:r>
          </w:p>
        </w:tc>
        <w:tc>
          <w:tcPr>
            <w:tcW w:w="812" w:type="pct"/>
            <w:vAlign w:val="center"/>
          </w:tcPr>
          <w:p w14:paraId="75087C57"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2.63km</w:t>
            </w:r>
          </w:p>
        </w:tc>
        <w:tc>
          <w:tcPr>
            <w:tcW w:w="952" w:type="pct"/>
            <w:vAlign w:val="center"/>
          </w:tcPr>
          <w:p w14:paraId="61971BCD"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w:t>
            </w:r>
          </w:p>
        </w:tc>
        <w:tc>
          <w:tcPr>
            <w:tcW w:w="1013" w:type="pct"/>
            <w:vMerge/>
            <w:vAlign w:val="center"/>
          </w:tcPr>
          <w:p w14:paraId="7D126D99" w14:textId="77777777" w:rsidR="009C353B" w:rsidRDefault="009C353B">
            <w:pPr>
              <w:adjustRightInd w:val="0"/>
              <w:snapToGrid w:val="0"/>
              <w:jc w:val="center"/>
              <w:textAlignment w:val="baseline"/>
              <w:rPr>
                <w:rFonts w:ascii="Times New Roman" w:hAnsi="Times New Roman"/>
              </w:rPr>
            </w:pPr>
          </w:p>
        </w:tc>
      </w:tr>
      <w:tr w:rsidR="009C353B" w14:paraId="3C73DDA1" w14:textId="77777777">
        <w:trPr>
          <w:trHeight w:val="397"/>
          <w:tblHeader/>
          <w:jc w:val="center"/>
        </w:trPr>
        <w:tc>
          <w:tcPr>
            <w:tcW w:w="328" w:type="pct"/>
            <w:vAlign w:val="center"/>
          </w:tcPr>
          <w:p w14:paraId="6AE6DAE7"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5</w:t>
            </w:r>
          </w:p>
        </w:tc>
        <w:tc>
          <w:tcPr>
            <w:tcW w:w="1264" w:type="pct"/>
            <w:vAlign w:val="center"/>
          </w:tcPr>
          <w:p w14:paraId="3568C329"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330kv</w:t>
            </w:r>
            <w:r>
              <w:rPr>
                <w:rFonts w:ascii="Times New Roman" w:hAnsi="Times New Roman" w:hint="eastAsia"/>
                <w:szCs w:val="22"/>
              </w:rPr>
              <w:t>水铝线</w:t>
            </w:r>
          </w:p>
        </w:tc>
        <w:tc>
          <w:tcPr>
            <w:tcW w:w="630" w:type="pct"/>
            <w:vAlign w:val="center"/>
          </w:tcPr>
          <w:p w14:paraId="0F13BD76"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丁家梁</w:t>
            </w:r>
          </w:p>
        </w:tc>
        <w:tc>
          <w:tcPr>
            <w:tcW w:w="812" w:type="pct"/>
            <w:vAlign w:val="center"/>
          </w:tcPr>
          <w:p w14:paraId="035808E0"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6.04km</w:t>
            </w:r>
          </w:p>
        </w:tc>
        <w:tc>
          <w:tcPr>
            <w:tcW w:w="952" w:type="pct"/>
            <w:vAlign w:val="center"/>
          </w:tcPr>
          <w:p w14:paraId="635924E8"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w:t>
            </w:r>
          </w:p>
        </w:tc>
        <w:tc>
          <w:tcPr>
            <w:tcW w:w="1013" w:type="pct"/>
            <w:vAlign w:val="center"/>
          </w:tcPr>
          <w:p w14:paraId="6DE9C693" w14:textId="77777777" w:rsidR="009C353B" w:rsidRDefault="00000000">
            <w:pPr>
              <w:pStyle w:val="afffff7"/>
              <w:spacing w:line="240" w:lineRule="auto"/>
              <w:rPr>
                <w:rFonts w:ascii="Times New Roman" w:hAnsi="Times New Roman"/>
                <w:szCs w:val="22"/>
              </w:rPr>
            </w:pPr>
            <w:r>
              <w:rPr>
                <w:rFonts w:ascii="Times New Roman" w:hAnsi="Times New Roman" w:hint="eastAsia"/>
                <w:szCs w:val="22"/>
              </w:rPr>
              <w:t>留设保护煤柱</w:t>
            </w:r>
          </w:p>
        </w:tc>
      </w:tr>
      <w:tr w:rsidR="009C353B" w14:paraId="603AC0E1" w14:textId="77777777">
        <w:trPr>
          <w:trHeight w:val="397"/>
          <w:tblHeader/>
          <w:jc w:val="center"/>
        </w:trPr>
        <w:tc>
          <w:tcPr>
            <w:tcW w:w="328" w:type="pct"/>
            <w:vAlign w:val="center"/>
          </w:tcPr>
          <w:p w14:paraId="440A3671"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6</w:t>
            </w:r>
          </w:p>
        </w:tc>
        <w:tc>
          <w:tcPr>
            <w:tcW w:w="1264" w:type="pct"/>
            <w:vAlign w:val="center"/>
          </w:tcPr>
          <w:p w14:paraId="56D7556E"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330kv</w:t>
            </w:r>
            <w:r>
              <w:rPr>
                <w:rFonts w:ascii="Times New Roman" w:hAnsi="Times New Roman" w:hint="eastAsia"/>
                <w:szCs w:val="22"/>
              </w:rPr>
              <w:t>川徐一线</w:t>
            </w:r>
          </w:p>
        </w:tc>
        <w:tc>
          <w:tcPr>
            <w:tcW w:w="630" w:type="pct"/>
            <w:vAlign w:val="center"/>
          </w:tcPr>
          <w:p w14:paraId="1DF548A3"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丁家梁</w:t>
            </w:r>
          </w:p>
        </w:tc>
        <w:tc>
          <w:tcPr>
            <w:tcW w:w="812" w:type="pct"/>
            <w:vAlign w:val="center"/>
          </w:tcPr>
          <w:p w14:paraId="65F0495D"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5.54km</w:t>
            </w:r>
          </w:p>
        </w:tc>
        <w:tc>
          <w:tcPr>
            <w:tcW w:w="952" w:type="pct"/>
            <w:vAlign w:val="center"/>
          </w:tcPr>
          <w:p w14:paraId="4E3B5ECF"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w:t>
            </w:r>
          </w:p>
        </w:tc>
        <w:tc>
          <w:tcPr>
            <w:tcW w:w="1013" w:type="pct"/>
            <w:vMerge w:val="restart"/>
            <w:vAlign w:val="center"/>
          </w:tcPr>
          <w:p w14:paraId="56B105DD" w14:textId="77777777" w:rsidR="009C353B" w:rsidRDefault="00000000">
            <w:pPr>
              <w:pStyle w:val="afffff7"/>
              <w:spacing w:line="240" w:lineRule="auto"/>
              <w:rPr>
                <w:rFonts w:ascii="Times New Roman" w:hAnsi="Times New Roman"/>
                <w:szCs w:val="22"/>
              </w:rPr>
            </w:pPr>
            <w:r>
              <w:rPr>
                <w:rFonts w:ascii="Times New Roman" w:hAnsi="Times New Roman" w:hint="eastAsia"/>
                <w:szCs w:val="22"/>
              </w:rPr>
              <w:t>位于保护煤柱范围内，不受影响</w:t>
            </w:r>
          </w:p>
        </w:tc>
      </w:tr>
      <w:tr w:rsidR="009C353B" w14:paraId="405DA961" w14:textId="77777777">
        <w:trPr>
          <w:trHeight w:val="397"/>
          <w:tblHeader/>
          <w:jc w:val="center"/>
        </w:trPr>
        <w:tc>
          <w:tcPr>
            <w:tcW w:w="328" w:type="pct"/>
            <w:vAlign w:val="center"/>
          </w:tcPr>
          <w:p w14:paraId="49067086"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7</w:t>
            </w:r>
          </w:p>
        </w:tc>
        <w:tc>
          <w:tcPr>
            <w:tcW w:w="1264" w:type="pct"/>
            <w:vAlign w:val="center"/>
          </w:tcPr>
          <w:p w14:paraId="17179707"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330kv</w:t>
            </w:r>
            <w:r>
              <w:rPr>
                <w:rFonts w:ascii="Times New Roman" w:hAnsi="Times New Roman" w:hint="eastAsia"/>
                <w:szCs w:val="22"/>
              </w:rPr>
              <w:t>川徐三线</w:t>
            </w:r>
          </w:p>
        </w:tc>
        <w:tc>
          <w:tcPr>
            <w:tcW w:w="630" w:type="pct"/>
            <w:vAlign w:val="center"/>
          </w:tcPr>
          <w:p w14:paraId="7F09B2EB"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丁家梁</w:t>
            </w:r>
          </w:p>
        </w:tc>
        <w:tc>
          <w:tcPr>
            <w:tcW w:w="812" w:type="pct"/>
            <w:vAlign w:val="center"/>
          </w:tcPr>
          <w:p w14:paraId="3221D73C"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5.65km</w:t>
            </w:r>
          </w:p>
        </w:tc>
        <w:tc>
          <w:tcPr>
            <w:tcW w:w="952" w:type="pct"/>
            <w:vAlign w:val="center"/>
          </w:tcPr>
          <w:p w14:paraId="574AE7FF"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w:t>
            </w:r>
          </w:p>
        </w:tc>
        <w:tc>
          <w:tcPr>
            <w:tcW w:w="1013" w:type="pct"/>
            <w:vMerge/>
          </w:tcPr>
          <w:p w14:paraId="6FB2FB40" w14:textId="77777777" w:rsidR="009C353B" w:rsidRDefault="009C353B">
            <w:pPr>
              <w:pStyle w:val="afffff7"/>
              <w:spacing w:line="240" w:lineRule="auto"/>
              <w:rPr>
                <w:rFonts w:ascii="Times New Roman" w:hAnsi="Times New Roman"/>
                <w:szCs w:val="22"/>
              </w:rPr>
            </w:pPr>
          </w:p>
        </w:tc>
      </w:tr>
      <w:tr w:rsidR="009C353B" w14:paraId="1731EB11" w14:textId="77777777">
        <w:trPr>
          <w:trHeight w:val="397"/>
          <w:tblHeader/>
          <w:jc w:val="center"/>
        </w:trPr>
        <w:tc>
          <w:tcPr>
            <w:tcW w:w="328" w:type="pct"/>
            <w:vAlign w:val="center"/>
          </w:tcPr>
          <w:p w14:paraId="6437D410"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8</w:t>
            </w:r>
          </w:p>
        </w:tc>
        <w:tc>
          <w:tcPr>
            <w:tcW w:w="1264" w:type="pct"/>
            <w:vAlign w:val="center"/>
          </w:tcPr>
          <w:p w14:paraId="4CCF643F"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660kv</w:t>
            </w:r>
            <w:r>
              <w:rPr>
                <w:rFonts w:ascii="Times New Roman" w:hAnsi="Times New Roman" w:hint="eastAsia"/>
                <w:szCs w:val="22"/>
              </w:rPr>
              <w:t>京川线</w:t>
            </w:r>
          </w:p>
        </w:tc>
        <w:tc>
          <w:tcPr>
            <w:tcW w:w="630" w:type="pct"/>
            <w:vAlign w:val="center"/>
          </w:tcPr>
          <w:p w14:paraId="4B459715"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丁家梁</w:t>
            </w:r>
          </w:p>
        </w:tc>
        <w:tc>
          <w:tcPr>
            <w:tcW w:w="812" w:type="pct"/>
            <w:vAlign w:val="center"/>
          </w:tcPr>
          <w:p w14:paraId="47C1E46F"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5.38km</w:t>
            </w:r>
          </w:p>
        </w:tc>
        <w:tc>
          <w:tcPr>
            <w:tcW w:w="952" w:type="pct"/>
            <w:vAlign w:val="center"/>
          </w:tcPr>
          <w:p w14:paraId="74654E10"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w:t>
            </w:r>
          </w:p>
        </w:tc>
        <w:tc>
          <w:tcPr>
            <w:tcW w:w="1013" w:type="pct"/>
            <w:vMerge/>
          </w:tcPr>
          <w:p w14:paraId="6D70B08C" w14:textId="77777777" w:rsidR="009C353B" w:rsidRDefault="009C353B">
            <w:pPr>
              <w:pStyle w:val="afffff7"/>
              <w:spacing w:line="240" w:lineRule="auto"/>
              <w:rPr>
                <w:rFonts w:ascii="Times New Roman" w:hAnsi="Times New Roman"/>
                <w:szCs w:val="22"/>
              </w:rPr>
            </w:pPr>
          </w:p>
        </w:tc>
      </w:tr>
      <w:tr w:rsidR="009C353B" w14:paraId="48E8D49C" w14:textId="77777777">
        <w:trPr>
          <w:trHeight w:val="397"/>
          <w:tblHeader/>
          <w:jc w:val="center"/>
        </w:trPr>
        <w:tc>
          <w:tcPr>
            <w:tcW w:w="328" w:type="pct"/>
            <w:vAlign w:val="center"/>
          </w:tcPr>
          <w:p w14:paraId="7113968E"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9</w:t>
            </w:r>
          </w:p>
        </w:tc>
        <w:tc>
          <w:tcPr>
            <w:tcW w:w="1264" w:type="pct"/>
            <w:vAlign w:val="center"/>
          </w:tcPr>
          <w:p w14:paraId="1783CC4F"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220kv</w:t>
            </w:r>
            <w:r>
              <w:rPr>
                <w:rFonts w:ascii="Times New Roman" w:hAnsi="Times New Roman"/>
                <w:szCs w:val="22"/>
              </w:rPr>
              <w:t>灵东线</w:t>
            </w:r>
          </w:p>
        </w:tc>
        <w:tc>
          <w:tcPr>
            <w:tcW w:w="630" w:type="pct"/>
            <w:vAlign w:val="center"/>
          </w:tcPr>
          <w:p w14:paraId="3641BCF4"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丁家梁</w:t>
            </w:r>
          </w:p>
        </w:tc>
        <w:tc>
          <w:tcPr>
            <w:tcW w:w="812" w:type="pct"/>
            <w:vAlign w:val="center"/>
          </w:tcPr>
          <w:p w14:paraId="12FAB6B5"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2.20km</w:t>
            </w:r>
          </w:p>
        </w:tc>
        <w:tc>
          <w:tcPr>
            <w:tcW w:w="952" w:type="pct"/>
            <w:vAlign w:val="center"/>
          </w:tcPr>
          <w:p w14:paraId="373FFDF8"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w:t>
            </w:r>
          </w:p>
        </w:tc>
        <w:tc>
          <w:tcPr>
            <w:tcW w:w="1013" w:type="pct"/>
            <w:vMerge/>
          </w:tcPr>
          <w:p w14:paraId="2CFEE01F" w14:textId="77777777" w:rsidR="009C353B" w:rsidRDefault="009C353B">
            <w:pPr>
              <w:pStyle w:val="afffff7"/>
              <w:spacing w:line="240" w:lineRule="auto"/>
              <w:rPr>
                <w:rFonts w:ascii="Times New Roman" w:hAnsi="Times New Roman"/>
                <w:szCs w:val="22"/>
              </w:rPr>
            </w:pPr>
          </w:p>
        </w:tc>
      </w:tr>
      <w:tr w:rsidR="009C353B" w14:paraId="4A975932" w14:textId="77777777">
        <w:trPr>
          <w:trHeight w:val="397"/>
          <w:tblHeader/>
          <w:jc w:val="center"/>
        </w:trPr>
        <w:tc>
          <w:tcPr>
            <w:tcW w:w="328" w:type="pct"/>
            <w:vAlign w:val="center"/>
          </w:tcPr>
          <w:p w14:paraId="27314C3A"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10</w:t>
            </w:r>
          </w:p>
        </w:tc>
        <w:tc>
          <w:tcPr>
            <w:tcW w:w="1264" w:type="pct"/>
            <w:vAlign w:val="center"/>
          </w:tcPr>
          <w:p w14:paraId="29460199"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220kv</w:t>
            </w:r>
            <w:r>
              <w:rPr>
                <w:rFonts w:ascii="Times New Roman" w:hAnsi="Times New Roman"/>
                <w:szCs w:val="22"/>
              </w:rPr>
              <w:t>水灵线</w:t>
            </w:r>
          </w:p>
        </w:tc>
        <w:tc>
          <w:tcPr>
            <w:tcW w:w="630" w:type="pct"/>
            <w:vAlign w:val="center"/>
          </w:tcPr>
          <w:p w14:paraId="7DB80AB8"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丁家梁</w:t>
            </w:r>
          </w:p>
        </w:tc>
        <w:tc>
          <w:tcPr>
            <w:tcW w:w="812" w:type="pct"/>
            <w:vAlign w:val="center"/>
          </w:tcPr>
          <w:p w14:paraId="18802145"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8.34km</w:t>
            </w:r>
          </w:p>
        </w:tc>
        <w:tc>
          <w:tcPr>
            <w:tcW w:w="952" w:type="pct"/>
            <w:vAlign w:val="center"/>
          </w:tcPr>
          <w:p w14:paraId="06890141"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w:t>
            </w:r>
          </w:p>
        </w:tc>
        <w:tc>
          <w:tcPr>
            <w:tcW w:w="1013" w:type="pct"/>
            <w:vMerge/>
          </w:tcPr>
          <w:p w14:paraId="5101BC08" w14:textId="77777777" w:rsidR="009C353B" w:rsidRDefault="009C353B">
            <w:pPr>
              <w:pStyle w:val="afffff7"/>
              <w:spacing w:line="240" w:lineRule="auto"/>
              <w:rPr>
                <w:rFonts w:ascii="Times New Roman" w:hAnsi="Times New Roman"/>
                <w:szCs w:val="22"/>
              </w:rPr>
            </w:pPr>
          </w:p>
        </w:tc>
      </w:tr>
      <w:tr w:rsidR="009C353B" w14:paraId="659B739C" w14:textId="77777777">
        <w:trPr>
          <w:trHeight w:val="397"/>
          <w:tblHeader/>
          <w:jc w:val="center"/>
        </w:trPr>
        <w:tc>
          <w:tcPr>
            <w:tcW w:w="328" w:type="pct"/>
            <w:vAlign w:val="center"/>
          </w:tcPr>
          <w:p w14:paraId="2B45A849"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11</w:t>
            </w:r>
          </w:p>
        </w:tc>
        <w:tc>
          <w:tcPr>
            <w:tcW w:w="1264" w:type="pct"/>
            <w:vAlign w:val="center"/>
          </w:tcPr>
          <w:p w14:paraId="2A55B92F"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330kv</w:t>
            </w:r>
            <w:r>
              <w:rPr>
                <w:rFonts w:ascii="Times New Roman" w:hAnsi="Times New Roman" w:hint="eastAsia"/>
                <w:szCs w:val="22"/>
              </w:rPr>
              <w:t>输电线路（规划）</w:t>
            </w:r>
          </w:p>
        </w:tc>
        <w:tc>
          <w:tcPr>
            <w:tcW w:w="630" w:type="pct"/>
            <w:vAlign w:val="center"/>
          </w:tcPr>
          <w:p w14:paraId="35AE108C"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马莲台</w:t>
            </w:r>
          </w:p>
        </w:tc>
        <w:tc>
          <w:tcPr>
            <w:tcW w:w="812" w:type="pct"/>
            <w:vAlign w:val="center"/>
          </w:tcPr>
          <w:p w14:paraId="71BDA7D8"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4.71km</w:t>
            </w:r>
          </w:p>
        </w:tc>
        <w:tc>
          <w:tcPr>
            <w:tcW w:w="952" w:type="pct"/>
            <w:vAlign w:val="center"/>
          </w:tcPr>
          <w:p w14:paraId="13DCF345"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0.01-15m</w:t>
            </w:r>
          </w:p>
        </w:tc>
        <w:tc>
          <w:tcPr>
            <w:tcW w:w="1013" w:type="pct"/>
            <w:vAlign w:val="center"/>
          </w:tcPr>
          <w:p w14:paraId="1E6D63D4" w14:textId="77777777" w:rsidR="009C353B" w:rsidRDefault="00000000">
            <w:pPr>
              <w:pStyle w:val="afffff7"/>
              <w:spacing w:line="240" w:lineRule="auto"/>
              <w:rPr>
                <w:rFonts w:ascii="Times New Roman" w:hAnsi="Times New Roman"/>
                <w:szCs w:val="22"/>
              </w:rPr>
            </w:pPr>
            <w:r>
              <w:rPr>
                <w:rFonts w:ascii="Times New Roman" w:hAnsi="Times New Roman" w:hint="eastAsia"/>
                <w:szCs w:val="22"/>
              </w:rPr>
              <w:t>留设保护煤柱</w:t>
            </w:r>
          </w:p>
        </w:tc>
      </w:tr>
      <w:tr w:rsidR="009C353B" w14:paraId="34765B83" w14:textId="77777777">
        <w:trPr>
          <w:trHeight w:val="397"/>
          <w:tblHeader/>
          <w:jc w:val="center"/>
        </w:trPr>
        <w:tc>
          <w:tcPr>
            <w:tcW w:w="328" w:type="pct"/>
            <w:vAlign w:val="center"/>
          </w:tcPr>
          <w:p w14:paraId="17AF1F56"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12</w:t>
            </w:r>
          </w:p>
        </w:tc>
        <w:tc>
          <w:tcPr>
            <w:tcW w:w="1264" w:type="pct"/>
            <w:vAlign w:val="center"/>
          </w:tcPr>
          <w:p w14:paraId="3451DCCB"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110k</w:t>
            </w:r>
            <w:r>
              <w:rPr>
                <w:rFonts w:ascii="Times New Roman" w:hAnsi="Times New Roman" w:hint="eastAsia"/>
                <w:szCs w:val="22"/>
              </w:rPr>
              <w:t>V</w:t>
            </w:r>
            <w:r>
              <w:rPr>
                <w:rFonts w:ascii="Times New Roman" w:hAnsi="Times New Roman" w:hint="eastAsia"/>
                <w:szCs w:val="22"/>
              </w:rPr>
              <w:t>输电线路</w:t>
            </w:r>
          </w:p>
        </w:tc>
        <w:tc>
          <w:tcPr>
            <w:tcW w:w="630" w:type="pct"/>
            <w:vAlign w:val="center"/>
          </w:tcPr>
          <w:p w14:paraId="43901437"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红石湾</w:t>
            </w:r>
          </w:p>
        </w:tc>
        <w:tc>
          <w:tcPr>
            <w:tcW w:w="812" w:type="pct"/>
            <w:vAlign w:val="center"/>
          </w:tcPr>
          <w:p w14:paraId="09644BDD"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1.97km</w:t>
            </w:r>
          </w:p>
        </w:tc>
        <w:tc>
          <w:tcPr>
            <w:tcW w:w="952" w:type="pct"/>
            <w:vAlign w:val="center"/>
          </w:tcPr>
          <w:p w14:paraId="67BF1481"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0.01-10m</w:t>
            </w:r>
          </w:p>
        </w:tc>
        <w:tc>
          <w:tcPr>
            <w:tcW w:w="1013" w:type="pct"/>
          </w:tcPr>
          <w:p w14:paraId="2882940C" w14:textId="77777777" w:rsidR="009C353B" w:rsidRDefault="00000000">
            <w:pPr>
              <w:pStyle w:val="afffff7"/>
              <w:spacing w:line="240" w:lineRule="auto"/>
              <w:rPr>
                <w:rFonts w:ascii="Times New Roman" w:hAnsi="Times New Roman"/>
                <w:szCs w:val="22"/>
              </w:rPr>
            </w:pPr>
            <w:r>
              <w:rPr>
                <w:rFonts w:ascii="Times New Roman" w:hAnsi="Times New Roman" w:hint="eastAsia"/>
                <w:szCs w:val="22"/>
              </w:rPr>
              <w:t>加固维修</w:t>
            </w:r>
          </w:p>
        </w:tc>
      </w:tr>
      <w:tr w:rsidR="009C353B" w14:paraId="7EEC3BA8" w14:textId="77777777">
        <w:trPr>
          <w:trHeight w:val="397"/>
          <w:tblHeader/>
          <w:jc w:val="center"/>
        </w:trPr>
        <w:tc>
          <w:tcPr>
            <w:tcW w:w="328" w:type="pct"/>
            <w:vAlign w:val="center"/>
          </w:tcPr>
          <w:p w14:paraId="3BA1918C"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13</w:t>
            </w:r>
          </w:p>
        </w:tc>
        <w:tc>
          <w:tcPr>
            <w:tcW w:w="1264" w:type="pct"/>
            <w:vAlign w:val="center"/>
          </w:tcPr>
          <w:p w14:paraId="40598359"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110k</w:t>
            </w:r>
            <w:r>
              <w:rPr>
                <w:rFonts w:ascii="Times New Roman" w:hAnsi="Times New Roman" w:hint="eastAsia"/>
                <w:szCs w:val="22"/>
              </w:rPr>
              <w:t>V</w:t>
            </w:r>
            <w:r>
              <w:rPr>
                <w:rFonts w:ascii="Times New Roman" w:hAnsi="Times New Roman" w:hint="eastAsia"/>
                <w:szCs w:val="22"/>
              </w:rPr>
              <w:t>输电线路</w:t>
            </w:r>
          </w:p>
        </w:tc>
        <w:tc>
          <w:tcPr>
            <w:tcW w:w="630" w:type="pct"/>
            <w:vAlign w:val="center"/>
          </w:tcPr>
          <w:p w14:paraId="4510BEDB" w14:textId="77777777" w:rsidR="009C353B" w:rsidRDefault="00000000">
            <w:pPr>
              <w:pStyle w:val="afffff7"/>
              <w:spacing w:line="240" w:lineRule="auto"/>
              <w:jc w:val="center"/>
              <w:rPr>
                <w:rFonts w:ascii="Times New Roman" w:hAnsi="Times New Roman"/>
                <w:szCs w:val="22"/>
              </w:rPr>
            </w:pPr>
            <w:r>
              <w:rPr>
                <w:rFonts w:ascii="Times New Roman" w:hAnsi="Times New Roman" w:hint="eastAsia"/>
                <w:szCs w:val="22"/>
              </w:rPr>
              <w:t>任家庄</w:t>
            </w:r>
          </w:p>
        </w:tc>
        <w:tc>
          <w:tcPr>
            <w:tcW w:w="812" w:type="pct"/>
            <w:vAlign w:val="center"/>
          </w:tcPr>
          <w:p w14:paraId="2E76A303"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0.58km</w:t>
            </w:r>
          </w:p>
        </w:tc>
        <w:tc>
          <w:tcPr>
            <w:tcW w:w="952" w:type="pct"/>
            <w:vAlign w:val="center"/>
          </w:tcPr>
          <w:p w14:paraId="1858808F" w14:textId="77777777" w:rsidR="009C353B" w:rsidRDefault="00000000">
            <w:pPr>
              <w:pStyle w:val="afffff7"/>
              <w:spacing w:line="240" w:lineRule="auto"/>
              <w:jc w:val="center"/>
              <w:rPr>
                <w:rFonts w:ascii="Times New Roman" w:hAnsi="Times New Roman"/>
                <w:szCs w:val="22"/>
              </w:rPr>
            </w:pPr>
            <w:r>
              <w:rPr>
                <w:rFonts w:ascii="Times New Roman" w:hAnsi="Times New Roman"/>
                <w:szCs w:val="22"/>
              </w:rPr>
              <w:t>/</w:t>
            </w:r>
          </w:p>
        </w:tc>
        <w:tc>
          <w:tcPr>
            <w:tcW w:w="1013" w:type="pct"/>
          </w:tcPr>
          <w:p w14:paraId="1648B8F5" w14:textId="77777777" w:rsidR="009C353B" w:rsidRDefault="00000000">
            <w:pPr>
              <w:pStyle w:val="afffff7"/>
              <w:spacing w:line="240" w:lineRule="auto"/>
              <w:rPr>
                <w:rFonts w:ascii="Times New Roman" w:hAnsi="Times New Roman"/>
                <w:szCs w:val="22"/>
              </w:rPr>
            </w:pPr>
            <w:r>
              <w:rPr>
                <w:rFonts w:ascii="Times New Roman" w:hAnsi="Times New Roman" w:hint="eastAsia"/>
                <w:szCs w:val="22"/>
              </w:rPr>
              <w:t>位于风氧化带内，不受沉陷影响</w:t>
            </w:r>
          </w:p>
        </w:tc>
      </w:tr>
    </w:tbl>
    <w:p w14:paraId="47B9A620" w14:textId="77777777" w:rsidR="009C353B" w:rsidRDefault="00000000">
      <w:pPr>
        <w:spacing w:line="440" w:lineRule="exact"/>
        <w:ind w:firstLine="482"/>
        <w:rPr>
          <w:rFonts w:ascii="Times New Roman" w:hAnsi="Times New Roman"/>
        </w:rPr>
      </w:pPr>
      <w:r>
        <w:rPr>
          <w:rFonts w:ascii="Times New Roman" w:hAnsi="Times New Roman"/>
        </w:rPr>
        <w:t>1</w:t>
      </w:r>
      <w:r>
        <w:rPr>
          <w:rFonts w:ascii="Times New Roman" w:hAnsi="Times New Roman" w:hint="eastAsia"/>
        </w:rPr>
        <w:t>）</w:t>
      </w:r>
      <w:r>
        <w:rPr>
          <w:rFonts w:ascii="Times New Roman" w:hAnsi="Times New Roman"/>
        </w:rPr>
        <w:t>110k</w:t>
      </w:r>
      <w:r>
        <w:rPr>
          <w:rFonts w:ascii="Times New Roman" w:hAnsi="Times New Roman" w:hint="eastAsia"/>
        </w:rPr>
        <w:t>V</w:t>
      </w:r>
      <w:r>
        <w:rPr>
          <w:rFonts w:ascii="Times New Roman" w:hAnsi="Times New Roman"/>
        </w:rPr>
        <w:t>高压输电线路</w:t>
      </w:r>
    </w:p>
    <w:p w14:paraId="3826EA79" w14:textId="77777777" w:rsidR="009C353B" w:rsidRDefault="00000000">
      <w:pPr>
        <w:pStyle w:val="2ff4"/>
        <w:spacing w:line="440" w:lineRule="exact"/>
        <w:rPr>
          <w:rFonts w:hAnsi="宋体" w:cs="Times New Roman" w:hint="eastAsia"/>
        </w:rPr>
      </w:pPr>
      <w:r>
        <w:rPr>
          <w:rFonts w:hint="eastAsia"/>
        </w:rPr>
        <w:t>东窑甲线、东窑乙线、徐磁线位于太</w:t>
      </w:r>
      <w:r>
        <w:rPr>
          <w:rFonts w:hint="eastAsia"/>
        </w:rPr>
        <w:t>-</w:t>
      </w:r>
      <w:r>
        <w:rPr>
          <w:rFonts w:hint="eastAsia"/>
        </w:rPr>
        <w:t>中</w:t>
      </w:r>
      <w:r>
        <w:rPr>
          <w:rFonts w:hint="eastAsia"/>
        </w:rPr>
        <w:t>-</w:t>
      </w:r>
      <w:r>
        <w:rPr>
          <w:rFonts w:hint="eastAsia"/>
        </w:rPr>
        <w:t>银铁路及长庆—银川天然气管线保护煤柱范围内，</w:t>
      </w:r>
      <w:r>
        <w:rPr>
          <w:rFonts w:hAnsi="宋体" w:cs="Times New Roman" w:hint="eastAsia"/>
        </w:rPr>
        <w:t>不受开采沉陷影响。</w:t>
      </w:r>
    </w:p>
    <w:p w14:paraId="47FDFD6C" w14:textId="77777777" w:rsidR="009C353B" w:rsidRDefault="00000000">
      <w:pPr>
        <w:pStyle w:val="2ff4"/>
        <w:widowControl w:val="0"/>
        <w:spacing w:line="440" w:lineRule="exact"/>
      </w:pPr>
      <w:r>
        <w:rPr>
          <w:rFonts w:hint="eastAsia"/>
        </w:rPr>
        <w:t>1</w:t>
      </w:r>
      <w:r>
        <w:t>10</w:t>
      </w:r>
      <w:r>
        <w:rPr>
          <w:rFonts w:hint="eastAsia"/>
        </w:rPr>
        <w:t>kV</w:t>
      </w:r>
      <w:r>
        <w:rPr>
          <w:rFonts w:hint="eastAsia"/>
        </w:rPr>
        <w:t>输电线路经过任家庄、红石湾井田，井田内长约</w:t>
      </w:r>
      <w:r>
        <w:rPr>
          <w:rFonts w:hint="eastAsia"/>
        </w:rPr>
        <w:t>0</w:t>
      </w:r>
      <w:r>
        <w:t>.58</w:t>
      </w:r>
      <w:r>
        <w:rPr>
          <w:rFonts w:hint="eastAsia"/>
        </w:rPr>
        <w:t>、</w:t>
      </w:r>
      <w:r>
        <w:rPr>
          <w:rFonts w:hint="eastAsia"/>
        </w:rPr>
        <w:t>1</w:t>
      </w:r>
      <w:r>
        <w:t>.97</w:t>
      </w:r>
      <w:r>
        <w:rPr>
          <w:rFonts w:hint="eastAsia"/>
        </w:rPr>
        <w:t>km</w:t>
      </w:r>
      <w:r>
        <w:rPr>
          <w:rFonts w:hint="eastAsia"/>
        </w:rPr>
        <w:t>。经过任家庄井田的输电线路位于风氧化带内，不受沉陷影响；经过红石湾井田的输电线路受沉陷影响深度在</w:t>
      </w:r>
      <w:r>
        <w:rPr>
          <w:rFonts w:hint="eastAsia"/>
        </w:rPr>
        <w:t>0</w:t>
      </w:r>
      <w:r>
        <w:t>.01-10</w:t>
      </w:r>
      <w:r>
        <w:rPr>
          <w:rFonts w:hint="eastAsia"/>
        </w:rPr>
        <w:t>m</w:t>
      </w:r>
      <w:r>
        <w:rPr>
          <w:rFonts w:hint="eastAsia"/>
        </w:rPr>
        <w:t>之间。</w:t>
      </w:r>
    </w:p>
    <w:p w14:paraId="75EFED6D" w14:textId="77777777" w:rsidR="009C353B" w:rsidRDefault="00000000">
      <w:pPr>
        <w:pStyle w:val="2ff4"/>
        <w:spacing w:line="440" w:lineRule="exact"/>
      </w:pPr>
      <w:r>
        <w:rPr>
          <w:rFonts w:hint="eastAsia"/>
        </w:rPr>
        <w:t>根据《</w:t>
      </w:r>
      <w:r>
        <w:t>建筑物、水体、铁路及主要井巷煤柱留设与压煤开采规范（</w:t>
      </w:r>
      <w:r>
        <w:t>2017</w:t>
      </w:r>
      <w:r>
        <w:t>）》</w:t>
      </w:r>
      <w:r>
        <w:rPr>
          <w:rFonts w:hint="eastAsia"/>
        </w:rPr>
        <w:t>，</w:t>
      </w:r>
      <w:r>
        <w:t>110k</w:t>
      </w:r>
      <w:r>
        <w:rPr>
          <w:rFonts w:hint="eastAsia"/>
        </w:rPr>
        <w:t>V</w:t>
      </w:r>
      <w:r>
        <w:rPr>
          <w:rFonts w:hint="eastAsia"/>
        </w:rPr>
        <w:t>及以下</w:t>
      </w:r>
      <w:r>
        <w:t>高压输电杆</w:t>
      </w:r>
      <w:r>
        <w:rPr>
          <w:rFonts w:hint="eastAsia"/>
        </w:rPr>
        <w:t>（塔）不是必须需要留设保护煤柱，</w:t>
      </w:r>
      <w:r>
        <w:t>采取线路维护措施</w:t>
      </w:r>
      <w:r>
        <w:rPr>
          <w:rFonts w:hint="eastAsia"/>
        </w:rPr>
        <w:t>或改线措施保护。</w:t>
      </w:r>
    </w:p>
    <w:p w14:paraId="10745C98" w14:textId="77777777" w:rsidR="009C353B" w:rsidRDefault="00000000">
      <w:pPr>
        <w:pStyle w:val="2ff4"/>
        <w:spacing w:line="440" w:lineRule="exact"/>
      </w:pPr>
      <w:r>
        <w:t>输电线路受开采沉陷影响后</w:t>
      </w:r>
      <w:r>
        <w:rPr>
          <w:rFonts w:hint="eastAsia"/>
        </w:rPr>
        <w:t>，</w:t>
      </w:r>
      <w:r>
        <w:t>部分</w:t>
      </w:r>
      <w:r>
        <w:rPr>
          <w:rFonts w:hint="eastAsia"/>
        </w:rPr>
        <w:t>塔基</w:t>
      </w:r>
      <w:r>
        <w:t>在地表倾斜、水平移动、下沉影响下将产生倾斜和塔距的变化</w:t>
      </w:r>
      <w:r>
        <w:rPr>
          <w:rFonts w:hint="eastAsia"/>
        </w:rPr>
        <w:t>，</w:t>
      </w:r>
      <w:r>
        <w:t>这种塔距变化将增大或减小电线的驰度，使电线过紧或过松，严重时可能拉断电线，或者减小对地距离，超过允许安全高度</w:t>
      </w:r>
      <w:r>
        <w:rPr>
          <w:rFonts w:hint="eastAsia"/>
        </w:rPr>
        <w:t>，</w:t>
      </w:r>
      <w:r>
        <w:t>在开采过程中必须采取防护措施。</w:t>
      </w:r>
    </w:p>
    <w:p w14:paraId="5B10FF92" w14:textId="77777777" w:rsidR="009C353B" w:rsidRDefault="00000000">
      <w:pPr>
        <w:pStyle w:val="2ff4"/>
        <w:spacing w:line="440" w:lineRule="exact"/>
      </w:pPr>
      <w:r>
        <w:t>现有成熟技术措施主要有：</w:t>
      </w:r>
    </w:p>
    <w:p w14:paraId="36296167" w14:textId="77777777" w:rsidR="009C353B" w:rsidRDefault="00000000">
      <w:pPr>
        <w:pStyle w:val="2ff4"/>
        <w:spacing w:line="440" w:lineRule="exact"/>
      </w:pPr>
      <w:r>
        <w:rPr>
          <w:rFonts w:hint="eastAsia"/>
        </w:rPr>
        <w:t>a</w:t>
      </w:r>
      <w:r>
        <w:t>）为了及时掌握线路受开采影响的范围和程度，指导线路的维护、状态调整，在每个杆塔附近及距杆塔一定距离内沿线路方向和垂直线路方向各布置一对观测点，对线路杆塔的下沉、倾斜情况进行监测。</w:t>
      </w:r>
    </w:p>
    <w:p w14:paraId="6C8A6C54" w14:textId="77777777" w:rsidR="009C353B" w:rsidRDefault="00000000">
      <w:pPr>
        <w:pStyle w:val="2ff4"/>
        <w:spacing w:line="440" w:lineRule="exact"/>
      </w:pPr>
      <w:r>
        <w:rPr>
          <w:rFonts w:hint="eastAsia"/>
        </w:rPr>
        <w:t>b</w:t>
      </w:r>
      <w:r>
        <w:t>）下沉区初始阶段线路的维护治理技术措施</w:t>
      </w:r>
    </w:p>
    <w:p w14:paraId="156AD066" w14:textId="77777777" w:rsidR="009C353B" w:rsidRDefault="00000000">
      <w:pPr>
        <w:pStyle w:val="2ff4"/>
        <w:spacing w:line="440" w:lineRule="exact"/>
      </w:pPr>
      <w:r>
        <w:rPr>
          <w:rFonts w:hint="eastAsia"/>
        </w:rPr>
        <w:t>①</w:t>
      </w:r>
      <w:r>
        <w:t xml:space="preserve"> </w:t>
      </w:r>
      <w:r>
        <w:t>下沉初始期，对线路段进行定点、定人、定时，每周一次线路状态巡视，每二周一次线路杆塔倾斜度、导地线驰度等参数观测；</w:t>
      </w:r>
    </w:p>
    <w:p w14:paraId="3DC99286" w14:textId="77777777" w:rsidR="009C353B" w:rsidRDefault="00000000">
      <w:pPr>
        <w:pStyle w:val="2ff4"/>
        <w:spacing w:line="440" w:lineRule="exact"/>
      </w:pPr>
      <w:r>
        <w:rPr>
          <w:rFonts w:hint="eastAsia"/>
        </w:rPr>
        <w:t>②</w:t>
      </w:r>
      <w:r>
        <w:t xml:space="preserve"> </w:t>
      </w:r>
      <w:r>
        <w:t>线路参数初始发生变化时，调整导地线驰度至允许偏差的上限；</w:t>
      </w:r>
    </w:p>
    <w:p w14:paraId="790704BB" w14:textId="77777777" w:rsidR="009C353B" w:rsidRDefault="00000000">
      <w:pPr>
        <w:pStyle w:val="2ff4"/>
        <w:spacing w:line="440" w:lineRule="exact"/>
      </w:pPr>
      <w:r>
        <w:rPr>
          <w:rFonts w:hint="eastAsia"/>
        </w:rPr>
        <w:t>③</w:t>
      </w:r>
      <w:r>
        <w:t xml:space="preserve"> </w:t>
      </w:r>
      <w:r>
        <w:t>更换或增加导地线耐张串的联接金具；</w:t>
      </w:r>
    </w:p>
    <w:p w14:paraId="1D4D62E9" w14:textId="77777777" w:rsidR="009C353B" w:rsidRDefault="00000000">
      <w:pPr>
        <w:pStyle w:val="2ff4"/>
        <w:spacing w:line="440" w:lineRule="exact"/>
      </w:pPr>
      <w:r>
        <w:rPr>
          <w:rFonts w:hint="eastAsia"/>
        </w:rPr>
        <w:t>④</w:t>
      </w:r>
      <w:r>
        <w:t xml:space="preserve"> </w:t>
      </w:r>
      <w:r>
        <w:t>调整架空避雷线的引下线的长度及连接位置；</w:t>
      </w:r>
    </w:p>
    <w:p w14:paraId="3CD84A8E" w14:textId="77777777" w:rsidR="009C353B" w:rsidRDefault="00000000">
      <w:pPr>
        <w:pStyle w:val="2ff4"/>
        <w:spacing w:line="440" w:lineRule="exact"/>
      </w:pPr>
      <w:r>
        <w:rPr>
          <w:rFonts w:hint="eastAsia"/>
        </w:rPr>
        <w:t>⑤</w:t>
      </w:r>
      <w:r>
        <w:t xml:space="preserve"> </w:t>
      </w:r>
      <w:r>
        <w:t>为增大杆塔拉线可调的长度，更换拉线金具。</w:t>
      </w:r>
    </w:p>
    <w:p w14:paraId="50B0EF1E" w14:textId="77777777" w:rsidR="009C353B" w:rsidRDefault="00000000">
      <w:pPr>
        <w:pStyle w:val="2ff4"/>
        <w:spacing w:line="440" w:lineRule="exact"/>
      </w:pPr>
      <w:r>
        <w:rPr>
          <w:rFonts w:hint="eastAsia"/>
        </w:rPr>
        <w:t>c</w:t>
      </w:r>
      <w:r>
        <w:t>）下沉区活跃阶段线路的维护治理技术措施</w:t>
      </w:r>
    </w:p>
    <w:p w14:paraId="2ED24151" w14:textId="77777777" w:rsidR="009C353B" w:rsidRDefault="00000000">
      <w:pPr>
        <w:pStyle w:val="2ff4"/>
        <w:spacing w:line="440" w:lineRule="exact"/>
      </w:pPr>
      <w:r>
        <w:t>下沉活跃期，地表移动、变形的速率逐渐增大，电杆</w:t>
      </w:r>
      <w:r>
        <w:rPr>
          <w:rFonts w:hint="eastAsia"/>
        </w:rPr>
        <w:t>（塔）</w:t>
      </w:r>
      <w:r>
        <w:t>位移，杆</w:t>
      </w:r>
      <w:r>
        <w:rPr>
          <w:rFonts w:hint="eastAsia"/>
        </w:rPr>
        <w:t>（塔）</w:t>
      </w:r>
      <w:r>
        <w:t>基下沉、造成杆</w:t>
      </w:r>
      <w:r>
        <w:rPr>
          <w:rFonts w:hint="eastAsia"/>
        </w:rPr>
        <w:t>（塔）</w:t>
      </w:r>
      <w:r>
        <w:t>严重倾斜、杆</w:t>
      </w:r>
      <w:r>
        <w:rPr>
          <w:rFonts w:hint="eastAsia"/>
        </w:rPr>
        <w:t>（塔）</w:t>
      </w:r>
      <w:r>
        <w:t>结构变形、导地线驰度过小等，危及线路安全运行，应采取必要的技术措施对线路进行维护治理。</w:t>
      </w:r>
    </w:p>
    <w:p w14:paraId="53209E16" w14:textId="77777777" w:rsidR="009C353B" w:rsidRDefault="00000000">
      <w:pPr>
        <w:pStyle w:val="2ff4"/>
        <w:spacing w:line="440" w:lineRule="exact"/>
      </w:pPr>
      <w:r>
        <w:rPr>
          <w:rFonts w:hint="eastAsia"/>
        </w:rPr>
        <w:t>2</w:t>
      </w:r>
      <w:r>
        <w:rPr>
          <w:rFonts w:hint="eastAsia"/>
        </w:rPr>
        <w:t>）</w:t>
      </w:r>
      <w:r>
        <w:t>220k</w:t>
      </w:r>
      <w:r>
        <w:rPr>
          <w:rFonts w:hint="eastAsia"/>
        </w:rPr>
        <w:t>V</w:t>
      </w:r>
      <w:r>
        <w:rPr>
          <w:rFonts w:hint="eastAsia"/>
        </w:rPr>
        <w:t>及以上输</w:t>
      </w:r>
      <w:r>
        <w:t>电线路</w:t>
      </w:r>
    </w:p>
    <w:p w14:paraId="255D8DC8" w14:textId="77777777" w:rsidR="009C353B" w:rsidRDefault="00000000">
      <w:pPr>
        <w:pStyle w:val="2ff4"/>
        <w:spacing w:line="440" w:lineRule="exact"/>
      </w:pPr>
      <w:r>
        <w:rPr>
          <w:rFonts w:hint="eastAsia"/>
        </w:rPr>
        <w:t>2</w:t>
      </w:r>
      <w:r>
        <w:t>20</w:t>
      </w:r>
      <w:r>
        <w:rPr>
          <w:rFonts w:hint="eastAsia"/>
        </w:rPr>
        <w:t>kV</w:t>
      </w:r>
      <w:r>
        <w:rPr>
          <w:rFonts w:hint="eastAsia"/>
        </w:rPr>
        <w:t>灵东线、水灵线位于丁家梁井田内太</w:t>
      </w:r>
      <w:r>
        <w:rPr>
          <w:rFonts w:hint="eastAsia"/>
        </w:rPr>
        <w:t>-</w:t>
      </w:r>
      <w:r>
        <w:rPr>
          <w:rFonts w:hint="eastAsia"/>
        </w:rPr>
        <w:t>中</w:t>
      </w:r>
      <w:r>
        <w:rPr>
          <w:rFonts w:hint="eastAsia"/>
        </w:rPr>
        <w:t>-</w:t>
      </w:r>
      <w:r>
        <w:rPr>
          <w:rFonts w:hint="eastAsia"/>
        </w:rPr>
        <w:t>银铁路及长庆—银川天然气管线保护煤柱范围内；</w:t>
      </w:r>
    </w:p>
    <w:p w14:paraId="1114F8B1" w14:textId="77777777" w:rsidR="009C353B" w:rsidRDefault="00000000">
      <w:pPr>
        <w:pStyle w:val="2ff4"/>
        <w:spacing w:line="440" w:lineRule="exact"/>
        <w:rPr>
          <w:rFonts w:cs="Times New Roman"/>
        </w:rPr>
      </w:pPr>
      <w:r>
        <w:rPr>
          <w:rFonts w:cs="Times New Roman" w:hint="eastAsia"/>
        </w:rPr>
        <w:t>3</w:t>
      </w:r>
      <w:r>
        <w:rPr>
          <w:rFonts w:cs="Times New Roman"/>
        </w:rPr>
        <w:t>30</w:t>
      </w:r>
      <w:r>
        <w:rPr>
          <w:rFonts w:cs="Times New Roman" w:hint="eastAsia"/>
        </w:rPr>
        <w:t>kV</w:t>
      </w:r>
      <w:r>
        <w:rPr>
          <w:rFonts w:cs="Times New Roman" w:hint="eastAsia"/>
        </w:rPr>
        <w:t>水铝线南北穿越丁家梁井田，井田内长约</w:t>
      </w:r>
      <w:r>
        <w:rPr>
          <w:rFonts w:cs="Times New Roman" w:hint="eastAsia"/>
        </w:rPr>
        <w:t>6</w:t>
      </w:r>
      <w:r>
        <w:rPr>
          <w:rFonts w:cs="Times New Roman"/>
        </w:rPr>
        <w:t>.5</w:t>
      </w:r>
      <w:r>
        <w:rPr>
          <w:rFonts w:cs="Times New Roman" w:hint="eastAsia"/>
        </w:rPr>
        <w:t>km</w:t>
      </w:r>
      <w:r>
        <w:rPr>
          <w:rFonts w:cs="Times New Roman" w:hint="eastAsia"/>
        </w:rPr>
        <w:t>；</w:t>
      </w:r>
    </w:p>
    <w:p w14:paraId="6C955944" w14:textId="77777777" w:rsidR="009C353B" w:rsidRDefault="00000000">
      <w:pPr>
        <w:pStyle w:val="2ff4"/>
        <w:spacing w:line="440" w:lineRule="exact"/>
        <w:rPr>
          <w:rFonts w:cs="Times New Roman"/>
        </w:rPr>
      </w:pPr>
      <w:r>
        <w:rPr>
          <w:rFonts w:cs="Times New Roman" w:hint="eastAsia"/>
        </w:rPr>
        <w:t>3</w:t>
      </w:r>
      <w:r>
        <w:rPr>
          <w:rFonts w:cs="Times New Roman"/>
        </w:rPr>
        <w:t>30</w:t>
      </w:r>
      <w:r>
        <w:rPr>
          <w:rFonts w:cs="Times New Roman" w:hint="eastAsia"/>
        </w:rPr>
        <w:t>kV</w:t>
      </w:r>
      <w:r>
        <w:rPr>
          <w:rFonts w:cs="Times New Roman" w:hint="eastAsia"/>
        </w:rPr>
        <w:t>规划高压输电线路穿越马莲台井田，井田内长约</w:t>
      </w:r>
      <w:r>
        <w:rPr>
          <w:rFonts w:cs="Times New Roman" w:hint="eastAsia"/>
        </w:rPr>
        <w:t>4</w:t>
      </w:r>
      <w:r>
        <w:rPr>
          <w:rFonts w:cs="Times New Roman"/>
        </w:rPr>
        <w:t>.71</w:t>
      </w:r>
      <w:r>
        <w:rPr>
          <w:rFonts w:cs="Times New Roman" w:hint="eastAsia"/>
        </w:rPr>
        <w:t>km</w:t>
      </w:r>
      <w:r>
        <w:rPr>
          <w:rFonts w:cs="Times New Roman" w:hint="eastAsia"/>
        </w:rPr>
        <w:t>。本次评价提出对输电线路留设</w:t>
      </w:r>
      <w:r>
        <w:rPr>
          <w:rFonts w:cs="Times New Roman" w:hint="eastAsia"/>
        </w:rPr>
        <w:t>2</w:t>
      </w:r>
      <w:r>
        <w:rPr>
          <w:rFonts w:cs="Times New Roman"/>
        </w:rPr>
        <w:t>06-460</w:t>
      </w:r>
      <w:r>
        <w:rPr>
          <w:rFonts w:cs="Times New Roman" w:hint="eastAsia"/>
        </w:rPr>
        <w:t>m</w:t>
      </w:r>
      <w:r>
        <w:rPr>
          <w:rFonts w:cs="Times New Roman" w:hint="eastAsia"/>
        </w:rPr>
        <w:t>的保护煤柱。在开发过程中，应根据《建筑、水体、铁路及煤柱留设与压煤开采规范》以及</w:t>
      </w:r>
      <w:r>
        <w:rPr>
          <w:rFonts w:cs="Times New Roman"/>
        </w:rPr>
        <w:t>实际沉陷观测参数</w:t>
      </w:r>
      <w:r>
        <w:rPr>
          <w:rFonts w:cs="Times New Roman" w:hint="eastAsia"/>
        </w:rPr>
        <w:t>实时调整，保证其不受煤炭开采影响。</w:t>
      </w:r>
    </w:p>
    <w:p w14:paraId="388E8408" w14:textId="77777777" w:rsidR="009C353B" w:rsidRDefault="00000000">
      <w:pPr>
        <w:pStyle w:val="2ff4"/>
        <w:spacing w:line="440" w:lineRule="exact"/>
        <w:rPr>
          <w:rFonts w:hAnsi="宋体" w:cs="Times New Roman" w:hint="eastAsia"/>
        </w:rPr>
      </w:pPr>
      <w:r>
        <w:rPr>
          <w:rFonts w:hint="eastAsia"/>
        </w:rPr>
        <w:t>3</w:t>
      </w:r>
      <w:r>
        <w:t>30</w:t>
      </w:r>
      <w:r>
        <w:rPr>
          <w:rFonts w:hint="eastAsia"/>
        </w:rPr>
        <w:t>kV</w:t>
      </w:r>
      <w:r>
        <w:rPr>
          <w:rFonts w:hint="eastAsia"/>
        </w:rPr>
        <w:t>徐川一线、徐川三线、</w:t>
      </w:r>
      <w:r>
        <w:rPr>
          <w:rFonts w:hint="eastAsia"/>
        </w:rPr>
        <w:t>6</w:t>
      </w:r>
      <w:r>
        <w:t>60</w:t>
      </w:r>
      <w:r>
        <w:rPr>
          <w:rFonts w:hint="eastAsia"/>
        </w:rPr>
        <w:t>kv</w:t>
      </w:r>
      <w:r>
        <w:rPr>
          <w:rFonts w:hint="eastAsia"/>
        </w:rPr>
        <w:t>京川线位于丁家梁井田内</w:t>
      </w:r>
      <w:r>
        <w:rPr>
          <w:rFonts w:hAnsi="宋体" w:cs="Times New Roman"/>
        </w:rPr>
        <w:t>330kv</w:t>
      </w:r>
      <w:r>
        <w:rPr>
          <w:rFonts w:hAnsi="宋体" w:cs="Times New Roman"/>
        </w:rPr>
        <w:t>水铝线</w:t>
      </w:r>
      <w:r>
        <w:rPr>
          <w:rFonts w:hAnsi="宋体" w:cs="Times New Roman" w:hint="eastAsia"/>
        </w:rPr>
        <w:t>东侧煤柱区。</w:t>
      </w:r>
    </w:p>
    <w:p w14:paraId="4E6C0A56" w14:textId="77777777" w:rsidR="009C353B" w:rsidRDefault="00000000">
      <w:pPr>
        <w:pStyle w:val="2ff4"/>
        <w:spacing w:line="440" w:lineRule="exact"/>
        <w:rPr>
          <w:rFonts w:cs="Times New Roman"/>
        </w:rPr>
      </w:pPr>
      <w:r>
        <w:rPr>
          <w:rFonts w:hAnsi="宋体" w:cs="Times New Roman" w:hint="eastAsia"/>
        </w:rPr>
        <w:t>根据本次地表沉陷预测结果，</w:t>
      </w:r>
      <w:r>
        <w:rPr>
          <w:rFonts w:cs="Times New Roman" w:hint="eastAsia"/>
        </w:rPr>
        <w:t>丁家梁、马莲台井田输电线所经区域沉陷影响半径约</w:t>
      </w:r>
      <w:r>
        <w:rPr>
          <w:rFonts w:cs="Times New Roman" w:hint="eastAsia"/>
        </w:rPr>
        <w:t>2</w:t>
      </w:r>
      <w:r>
        <w:rPr>
          <w:rFonts w:cs="Times New Roman"/>
        </w:rPr>
        <w:t>06</w:t>
      </w:r>
      <w:r>
        <w:rPr>
          <w:rFonts w:cs="Times New Roman" w:hint="eastAsia"/>
        </w:rPr>
        <w:t>-4</w:t>
      </w:r>
      <w:r>
        <w:rPr>
          <w:rFonts w:cs="Times New Roman"/>
        </w:rPr>
        <w:t>60</w:t>
      </w:r>
      <w:r>
        <w:rPr>
          <w:rFonts w:cs="Times New Roman" w:hint="eastAsia"/>
        </w:rPr>
        <w:t>m</w:t>
      </w:r>
      <w:r>
        <w:rPr>
          <w:rFonts w:cs="Times New Roman" w:hint="eastAsia"/>
        </w:rPr>
        <w:t>，水铝线以东区域不受开采沉陷影响，因此上述高压输电线路线</w:t>
      </w:r>
      <w:r>
        <w:rPr>
          <w:rFonts w:hAnsi="宋体" w:cs="Times New Roman" w:hint="eastAsia"/>
        </w:rPr>
        <w:t>不会受到开采沉陷影响。</w:t>
      </w:r>
    </w:p>
    <w:p w14:paraId="21D56082"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b/>
          <w:bCs/>
        </w:rPr>
        <w:t>4</w:t>
      </w:r>
      <w:r>
        <w:rPr>
          <w:rFonts w:hAnsi="宋体" w:cs="Times New Roman" w:hint="eastAsia"/>
          <w:b/>
          <w:bCs/>
        </w:rPr>
        <w:t>）地表沉陷</w:t>
      </w:r>
      <w:r>
        <w:rPr>
          <w:rFonts w:hAnsi="宋体" w:cs="Times New Roman"/>
          <w:b/>
          <w:bCs/>
        </w:rPr>
        <w:t>对铁路和公路的影响分析</w:t>
      </w:r>
    </w:p>
    <w:p w14:paraId="11E417D9" w14:textId="77777777" w:rsidR="009C353B" w:rsidRDefault="00000000">
      <w:pPr>
        <w:spacing w:line="440" w:lineRule="exact"/>
        <w:ind w:firstLineChars="200" w:firstLine="480"/>
        <w:rPr>
          <w:rFonts w:ascii="Times New Roman" w:hAnsi="Times New Roman"/>
        </w:rPr>
      </w:pPr>
      <w:r>
        <w:rPr>
          <w:rFonts w:ascii="Times New Roman" w:hAnsi="Times New Roman"/>
        </w:rPr>
        <w:t>太</w:t>
      </w:r>
      <w:r>
        <w:rPr>
          <w:rFonts w:ascii="Times New Roman" w:hAnsi="Times New Roman"/>
        </w:rPr>
        <w:t>-</w:t>
      </w:r>
      <w:r>
        <w:rPr>
          <w:rFonts w:ascii="Times New Roman" w:hAnsi="Times New Roman"/>
        </w:rPr>
        <w:t>中</w:t>
      </w:r>
      <w:r>
        <w:rPr>
          <w:rFonts w:ascii="Times New Roman" w:hAnsi="Times New Roman"/>
        </w:rPr>
        <w:t>-</w:t>
      </w:r>
      <w:r>
        <w:rPr>
          <w:rFonts w:ascii="Times New Roman" w:hAnsi="Times New Roman"/>
        </w:rPr>
        <w:t>银铁路从丁家梁井田内南部穿过，井田内长约</w:t>
      </w:r>
      <w:r>
        <w:rPr>
          <w:rFonts w:ascii="Times New Roman" w:hAnsi="Times New Roman"/>
        </w:rPr>
        <w:t>4.76km</w:t>
      </w:r>
      <w:r>
        <w:rPr>
          <w:rFonts w:ascii="Times New Roman" w:hAnsi="Times New Roman" w:hint="eastAsia"/>
        </w:rPr>
        <w:t>，规划已对其留设</w:t>
      </w:r>
      <w:r>
        <w:rPr>
          <w:rFonts w:ascii="Times New Roman" w:hAnsi="Times New Roman"/>
        </w:rPr>
        <w:t>360-460m</w:t>
      </w:r>
      <w:r>
        <w:rPr>
          <w:rFonts w:ascii="Times New Roman" w:hAnsi="Times New Roman" w:hint="eastAsia"/>
        </w:rPr>
        <w:t>宽的保护煤柱；</w:t>
      </w:r>
    </w:p>
    <w:p w14:paraId="76739148"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大古铁路位于丁家梁井田南边界外，距开采边界最近距离为</w:t>
      </w:r>
      <w:r>
        <w:rPr>
          <w:rFonts w:ascii="Times New Roman" w:hAnsi="Times New Roman"/>
        </w:rPr>
        <w:t>3.18km</w:t>
      </w:r>
      <w:r>
        <w:rPr>
          <w:rFonts w:ascii="Times New Roman" w:hAnsi="Times New Roman" w:hint="eastAsia"/>
        </w:rPr>
        <w:t>，</w:t>
      </w:r>
      <w:r>
        <w:rPr>
          <w:rFonts w:ascii="Times New Roman" w:hAnsi="Times New Roman"/>
        </w:rPr>
        <w:t>不受开采影响</w:t>
      </w:r>
      <w:r>
        <w:rPr>
          <w:rFonts w:ascii="Times New Roman" w:hAnsi="Times New Roman" w:hint="eastAsia"/>
        </w:rPr>
        <w:t>；</w:t>
      </w:r>
    </w:p>
    <w:p w14:paraId="4A9972DD"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矿区铁路专运线在丁家梁井田内长约</w:t>
      </w:r>
      <w:r>
        <w:rPr>
          <w:rFonts w:ascii="Times New Roman" w:hAnsi="Times New Roman"/>
        </w:rPr>
        <w:t>1.18km</w:t>
      </w:r>
      <w:r>
        <w:rPr>
          <w:rFonts w:ascii="Times New Roman" w:hAnsi="Times New Roman" w:hint="eastAsia"/>
        </w:rPr>
        <w:t>，位于甜水河变电站北侧煤柱保护范围内；矿区铁路专运线在丁家梁井田内长约</w:t>
      </w:r>
      <w:r>
        <w:rPr>
          <w:rFonts w:ascii="Times New Roman" w:hAnsi="Times New Roman"/>
        </w:rPr>
        <w:t>6.82km</w:t>
      </w:r>
      <w:r>
        <w:rPr>
          <w:rFonts w:ascii="Times New Roman" w:hAnsi="Times New Roman" w:hint="eastAsia"/>
        </w:rPr>
        <w:t>，未留设保护煤柱；</w:t>
      </w:r>
    </w:p>
    <w:p w14:paraId="7BD85DED"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古青高速公路从丁家梁井田、马莲台井田内南部穿过，井田内分别长约</w:t>
      </w:r>
      <w:r>
        <w:rPr>
          <w:rFonts w:ascii="Times New Roman" w:hAnsi="Times New Roman"/>
        </w:rPr>
        <w:t>4.32km</w:t>
      </w:r>
      <w:r>
        <w:rPr>
          <w:rFonts w:ascii="Times New Roman" w:hAnsi="Times New Roman" w:hint="eastAsia"/>
        </w:rPr>
        <w:t>、</w:t>
      </w:r>
      <w:r>
        <w:rPr>
          <w:rFonts w:ascii="Times New Roman" w:hAnsi="Times New Roman"/>
        </w:rPr>
        <w:t>4.51km</w:t>
      </w:r>
      <w:r>
        <w:rPr>
          <w:rFonts w:ascii="Times New Roman" w:hAnsi="Times New Roman" w:hint="eastAsia"/>
        </w:rPr>
        <w:t>，规划已对其留设</w:t>
      </w:r>
      <w:r>
        <w:rPr>
          <w:rFonts w:ascii="Times New Roman" w:hAnsi="Times New Roman"/>
        </w:rPr>
        <w:t>260-460m</w:t>
      </w:r>
      <w:r>
        <w:rPr>
          <w:rFonts w:ascii="Times New Roman" w:hAnsi="Times New Roman" w:hint="eastAsia"/>
        </w:rPr>
        <w:t>宽的保护煤柱；</w:t>
      </w:r>
    </w:p>
    <w:p w14:paraId="36983E8A"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青银高速公路从马莲台井田东南部、红石湾井田中部穿过，井田内分别长约</w:t>
      </w:r>
      <w:r>
        <w:rPr>
          <w:rFonts w:ascii="Times New Roman" w:hAnsi="Times New Roman"/>
        </w:rPr>
        <w:t>0.99km</w:t>
      </w:r>
      <w:r>
        <w:rPr>
          <w:rFonts w:ascii="Times New Roman" w:hAnsi="Times New Roman" w:hint="eastAsia"/>
        </w:rPr>
        <w:t>、</w:t>
      </w:r>
      <w:r>
        <w:rPr>
          <w:rFonts w:ascii="Times New Roman" w:hAnsi="Times New Roman"/>
        </w:rPr>
        <w:t>2.09km</w:t>
      </w:r>
      <w:r>
        <w:rPr>
          <w:rFonts w:ascii="Times New Roman" w:hAnsi="Times New Roman" w:hint="eastAsia"/>
        </w:rPr>
        <w:t>。马莲台井田内的路段经过风氧化带，不受开采沉陷应；规划已对红石湾井田内的高速公路留设</w:t>
      </w:r>
      <w:r>
        <w:rPr>
          <w:rFonts w:ascii="Times New Roman" w:hAnsi="Times New Roman"/>
        </w:rPr>
        <w:t>415-460m</w:t>
      </w:r>
      <w:r>
        <w:rPr>
          <w:rFonts w:ascii="Times New Roman" w:hAnsi="Times New Roman" w:hint="eastAsia"/>
        </w:rPr>
        <w:t>宽的保护煤柱；</w:t>
      </w:r>
    </w:p>
    <w:p w14:paraId="09A40E46" w14:textId="77777777" w:rsidR="009C353B" w:rsidRDefault="00000000">
      <w:pPr>
        <w:spacing w:line="440" w:lineRule="exact"/>
        <w:ind w:firstLineChars="200" w:firstLine="480"/>
        <w:rPr>
          <w:rFonts w:ascii="Times New Roman" w:hAnsi="Times New Roman"/>
        </w:rPr>
      </w:pPr>
      <w:r>
        <w:rPr>
          <w:rFonts w:ascii="Times New Roman" w:hAnsi="Times New Roman"/>
        </w:rPr>
        <w:t>G307</w:t>
      </w:r>
      <w:r>
        <w:rPr>
          <w:rFonts w:ascii="Times New Roman" w:hAnsi="Times New Roman" w:hint="eastAsia"/>
        </w:rPr>
        <w:t>位于丁家梁井田南边界外，距开采边界最近距离为</w:t>
      </w:r>
      <w:r>
        <w:rPr>
          <w:rFonts w:ascii="Times New Roman" w:hAnsi="Times New Roman"/>
        </w:rPr>
        <w:t>3.37km</w:t>
      </w:r>
      <w:r>
        <w:rPr>
          <w:rFonts w:ascii="Times New Roman" w:hAnsi="Times New Roman" w:hint="eastAsia"/>
        </w:rPr>
        <w:t>；</w:t>
      </w:r>
    </w:p>
    <w:p w14:paraId="75C45A9C"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灵盐公路从丁家梁井田内南部穿过，井田内长约</w:t>
      </w:r>
      <w:r>
        <w:rPr>
          <w:rFonts w:ascii="Times New Roman" w:hAnsi="Times New Roman"/>
        </w:rPr>
        <w:t>5.38km</w:t>
      </w:r>
      <w:r>
        <w:rPr>
          <w:rFonts w:ascii="Times New Roman" w:hAnsi="Times New Roman" w:hint="eastAsia"/>
        </w:rPr>
        <w:t>，位于长庆—银川天然气管线煤柱保护范围及鸭子荡水库临时禁采区内。</w:t>
      </w:r>
    </w:p>
    <w:p w14:paraId="08D501F2"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1</w:t>
      </w:r>
      <w:r>
        <w:rPr>
          <w:rFonts w:ascii="Times New Roman" w:hAnsi="Times New Roman"/>
        </w:rPr>
        <w:t>03</w:t>
      </w:r>
      <w:r>
        <w:rPr>
          <w:rFonts w:ascii="Times New Roman" w:hAnsi="Times New Roman" w:hint="eastAsia"/>
        </w:rPr>
        <w:t>省道在红石湾井田内中部穿过，井田内长约</w:t>
      </w:r>
      <w:r>
        <w:rPr>
          <w:rFonts w:ascii="Times New Roman" w:hAnsi="Times New Roman"/>
        </w:rPr>
        <w:t>2.03km</w:t>
      </w:r>
      <w:r>
        <w:rPr>
          <w:rFonts w:ascii="Times New Roman" w:hAnsi="Times New Roman" w:hint="eastAsia"/>
        </w:rPr>
        <w:t>，位于青银高速保护煤柱范围内。</w:t>
      </w:r>
    </w:p>
    <w:p w14:paraId="6EB84A59" w14:textId="77777777" w:rsidR="009C353B" w:rsidRDefault="00000000">
      <w:pPr>
        <w:spacing w:line="440" w:lineRule="exact"/>
        <w:ind w:firstLineChars="200" w:firstLine="480"/>
        <w:rPr>
          <w:rFonts w:ascii="Times New Roman" w:hAnsi="Times New Roman"/>
        </w:rPr>
      </w:pPr>
      <w:r>
        <w:rPr>
          <w:rFonts w:ascii="Times New Roman" w:hAnsi="Times New Roman"/>
        </w:rPr>
        <w:t>地表沉陷对公路、铁路的影响详见表</w:t>
      </w:r>
      <w:r>
        <w:rPr>
          <w:rFonts w:ascii="Times New Roman" w:hAnsi="Times New Roman"/>
        </w:rPr>
        <w:t xml:space="preserve">6.1-5 </w:t>
      </w:r>
      <w:r>
        <w:rPr>
          <w:rFonts w:ascii="Times New Roman" w:hAnsi="Times New Roman"/>
        </w:rPr>
        <w:t>。</w:t>
      </w:r>
    </w:p>
    <w:p w14:paraId="2F092355" w14:textId="77777777" w:rsidR="009C353B" w:rsidRDefault="00000000">
      <w:pPr>
        <w:spacing w:line="440" w:lineRule="exact"/>
        <w:jc w:val="center"/>
        <w:rPr>
          <w:rFonts w:hint="eastAsia"/>
          <w:b/>
        </w:rPr>
      </w:pPr>
      <w:r>
        <w:rPr>
          <w:b/>
        </w:rPr>
        <w:t>地表沉陷对公路、铁路的影响情况表</w:t>
      </w:r>
    </w:p>
    <w:p w14:paraId="0C9D360B" w14:textId="77777777" w:rsidR="009C353B" w:rsidRDefault="00000000">
      <w:pPr>
        <w:widowControl/>
        <w:adjustRightInd w:val="0"/>
        <w:snapToGrid w:val="0"/>
        <w:spacing w:line="440" w:lineRule="exact"/>
        <w:outlineLvl w:val="4"/>
        <w:rPr>
          <w:rFonts w:ascii="Times New Roman" w:hAnsi="Times New Roman"/>
          <w:kern w:val="0"/>
        </w:rPr>
      </w:pPr>
      <w:r>
        <w:rPr>
          <w:rFonts w:ascii="Times New Roman" w:hAnsi="Times New Roman"/>
          <w:kern w:val="0"/>
        </w:rPr>
        <w:t>表</w:t>
      </w:r>
      <w:r>
        <w:rPr>
          <w:rFonts w:ascii="Times New Roman" w:hAnsi="Times New Roman"/>
          <w:kern w:val="0"/>
        </w:rPr>
        <w:t>6.1-5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2465"/>
        <w:gridCol w:w="1861"/>
        <w:gridCol w:w="1861"/>
        <w:gridCol w:w="1551"/>
        <w:gridCol w:w="1549"/>
      </w:tblGrid>
      <w:tr w:rsidR="009C353B" w14:paraId="494FEE68" w14:textId="77777777">
        <w:trPr>
          <w:cantSplit/>
          <w:tblHeader/>
          <w:jc w:val="center"/>
        </w:trPr>
        <w:tc>
          <w:tcPr>
            <w:tcW w:w="1327" w:type="pct"/>
            <w:vAlign w:val="center"/>
          </w:tcPr>
          <w:p w14:paraId="062F0663"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交通线路</w:t>
            </w:r>
          </w:p>
        </w:tc>
        <w:tc>
          <w:tcPr>
            <w:tcW w:w="1002" w:type="pct"/>
            <w:vAlign w:val="center"/>
          </w:tcPr>
          <w:p w14:paraId="5514B4E4"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穿越</w:t>
            </w:r>
            <w:r>
              <w:rPr>
                <w:rFonts w:ascii="Times New Roman" w:hAnsi="Times New Roman" w:hint="eastAsia"/>
                <w:kern w:val="0"/>
                <w:sz w:val="21"/>
                <w:szCs w:val="21"/>
              </w:rPr>
              <w:t>井田</w:t>
            </w:r>
          </w:p>
        </w:tc>
        <w:tc>
          <w:tcPr>
            <w:tcW w:w="1002" w:type="pct"/>
            <w:vAlign w:val="center"/>
          </w:tcPr>
          <w:p w14:paraId="166C801F"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在井田内的长度（</w:t>
            </w:r>
            <w:r>
              <w:rPr>
                <w:rFonts w:ascii="Times New Roman" w:hAnsi="Times New Roman"/>
                <w:kern w:val="0"/>
                <w:sz w:val="21"/>
                <w:szCs w:val="21"/>
              </w:rPr>
              <w:t>km</w:t>
            </w:r>
            <w:r>
              <w:rPr>
                <w:rFonts w:ascii="Times New Roman" w:hAnsi="Times New Roman"/>
                <w:kern w:val="0"/>
                <w:sz w:val="21"/>
                <w:szCs w:val="21"/>
              </w:rPr>
              <w:t>）</w:t>
            </w:r>
          </w:p>
        </w:tc>
        <w:tc>
          <w:tcPr>
            <w:tcW w:w="835" w:type="pct"/>
          </w:tcPr>
          <w:p w14:paraId="5B7BF150"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受沉陷影响下沉深度</w:t>
            </w:r>
          </w:p>
        </w:tc>
        <w:tc>
          <w:tcPr>
            <w:tcW w:w="834" w:type="pct"/>
            <w:vAlign w:val="center"/>
          </w:tcPr>
          <w:p w14:paraId="3CE571EA"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保护措施</w:t>
            </w:r>
          </w:p>
        </w:tc>
      </w:tr>
      <w:tr w:rsidR="009C353B" w14:paraId="6988F8F9" w14:textId="77777777">
        <w:trPr>
          <w:cantSplit/>
          <w:jc w:val="center"/>
        </w:trPr>
        <w:tc>
          <w:tcPr>
            <w:tcW w:w="1327" w:type="pct"/>
            <w:vAlign w:val="center"/>
          </w:tcPr>
          <w:p w14:paraId="1A79E1CD"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太</w:t>
            </w:r>
            <w:r>
              <w:rPr>
                <w:rFonts w:ascii="Times New Roman" w:hAnsi="Times New Roman"/>
                <w:kern w:val="0"/>
                <w:sz w:val="21"/>
                <w:szCs w:val="21"/>
              </w:rPr>
              <w:t>-</w:t>
            </w:r>
            <w:r>
              <w:rPr>
                <w:rFonts w:ascii="Times New Roman" w:hAnsi="Times New Roman"/>
                <w:kern w:val="0"/>
                <w:sz w:val="21"/>
                <w:szCs w:val="21"/>
              </w:rPr>
              <w:t>中</w:t>
            </w:r>
            <w:r>
              <w:rPr>
                <w:rFonts w:ascii="Times New Roman" w:hAnsi="Times New Roman"/>
                <w:kern w:val="0"/>
                <w:sz w:val="21"/>
                <w:szCs w:val="21"/>
              </w:rPr>
              <w:t>-</w:t>
            </w:r>
            <w:r>
              <w:rPr>
                <w:rFonts w:ascii="Times New Roman" w:hAnsi="Times New Roman"/>
                <w:kern w:val="0"/>
                <w:sz w:val="21"/>
                <w:szCs w:val="21"/>
              </w:rPr>
              <w:t>银铁路</w:t>
            </w:r>
          </w:p>
        </w:tc>
        <w:tc>
          <w:tcPr>
            <w:tcW w:w="1002" w:type="pct"/>
            <w:vAlign w:val="center"/>
          </w:tcPr>
          <w:p w14:paraId="50D83D07"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丁家梁</w:t>
            </w:r>
          </w:p>
        </w:tc>
        <w:tc>
          <w:tcPr>
            <w:tcW w:w="1002" w:type="pct"/>
            <w:vAlign w:val="center"/>
          </w:tcPr>
          <w:p w14:paraId="12AA214B"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4.76</w:t>
            </w:r>
          </w:p>
        </w:tc>
        <w:tc>
          <w:tcPr>
            <w:tcW w:w="835" w:type="pct"/>
            <w:vAlign w:val="center"/>
          </w:tcPr>
          <w:p w14:paraId="23CBF55E"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c>
          <w:tcPr>
            <w:tcW w:w="834" w:type="pct"/>
            <w:vAlign w:val="center"/>
          </w:tcPr>
          <w:p w14:paraId="6290D6B0"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规划已</w:t>
            </w:r>
            <w:r>
              <w:rPr>
                <w:rFonts w:ascii="Times New Roman" w:hAnsi="Times New Roman"/>
                <w:kern w:val="0"/>
                <w:sz w:val="21"/>
                <w:szCs w:val="21"/>
              </w:rPr>
              <w:t>留设煤柱</w:t>
            </w:r>
          </w:p>
        </w:tc>
      </w:tr>
      <w:tr w:rsidR="009C353B" w14:paraId="4333ED27" w14:textId="77777777">
        <w:trPr>
          <w:cantSplit/>
          <w:jc w:val="center"/>
        </w:trPr>
        <w:tc>
          <w:tcPr>
            <w:tcW w:w="1327" w:type="pct"/>
            <w:vAlign w:val="center"/>
          </w:tcPr>
          <w:p w14:paraId="46C45CE5"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大古铁路</w:t>
            </w:r>
          </w:p>
        </w:tc>
        <w:tc>
          <w:tcPr>
            <w:tcW w:w="1002" w:type="pct"/>
            <w:vAlign w:val="center"/>
          </w:tcPr>
          <w:p w14:paraId="762CA15E"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丁家梁南边界外</w:t>
            </w:r>
          </w:p>
        </w:tc>
        <w:tc>
          <w:tcPr>
            <w:tcW w:w="1002" w:type="pct"/>
            <w:vAlign w:val="center"/>
          </w:tcPr>
          <w:p w14:paraId="29378DBC"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c>
          <w:tcPr>
            <w:tcW w:w="835" w:type="pct"/>
            <w:vAlign w:val="center"/>
          </w:tcPr>
          <w:p w14:paraId="53451F11"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c>
          <w:tcPr>
            <w:tcW w:w="834" w:type="pct"/>
            <w:vAlign w:val="center"/>
          </w:tcPr>
          <w:p w14:paraId="1DC5AABE"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沉陷影响范围外</w:t>
            </w:r>
            <w:r>
              <w:rPr>
                <w:rFonts w:ascii="Times New Roman" w:hAnsi="Times New Roman" w:hint="eastAsia"/>
                <w:kern w:val="0"/>
                <w:sz w:val="21"/>
                <w:szCs w:val="21"/>
              </w:rPr>
              <w:t>，</w:t>
            </w:r>
            <w:r>
              <w:rPr>
                <w:rFonts w:ascii="Times New Roman" w:hAnsi="Times New Roman"/>
                <w:kern w:val="0"/>
                <w:sz w:val="21"/>
                <w:szCs w:val="21"/>
              </w:rPr>
              <w:t>不受影响</w:t>
            </w:r>
          </w:p>
        </w:tc>
      </w:tr>
      <w:tr w:rsidR="009C353B" w14:paraId="2EB7CFF7" w14:textId="77777777">
        <w:trPr>
          <w:cantSplit/>
          <w:jc w:val="center"/>
        </w:trPr>
        <w:tc>
          <w:tcPr>
            <w:tcW w:w="1327" w:type="pct"/>
            <w:vAlign w:val="center"/>
          </w:tcPr>
          <w:p w14:paraId="3A1DB880"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矿区铁路专运线</w:t>
            </w:r>
          </w:p>
        </w:tc>
        <w:tc>
          <w:tcPr>
            <w:tcW w:w="1002" w:type="pct"/>
            <w:vAlign w:val="center"/>
          </w:tcPr>
          <w:p w14:paraId="213BDD58"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丁家梁、任家庄</w:t>
            </w:r>
          </w:p>
        </w:tc>
        <w:tc>
          <w:tcPr>
            <w:tcW w:w="1002" w:type="pct"/>
            <w:vAlign w:val="center"/>
          </w:tcPr>
          <w:p w14:paraId="10A74074"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1.18</w:t>
            </w:r>
            <w:r>
              <w:rPr>
                <w:rFonts w:ascii="Times New Roman" w:hAnsi="Times New Roman" w:hint="eastAsia"/>
                <w:kern w:val="0"/>
                <w:sz w:val="21"/>
                <w:szCs w:val="21"/>
              </w:rPr>
              <w:t>、</w:t>
            </w:r>
            <w:r>
              <w:rPr>
                <w:rFonts w:ascii="Times New Roman" w:hAnsi="Times New Roman"/>
                <w:kern w:val="0"/>
                <w:sz w:val="21"/>
                <w:szCs w:val="21"/>
              </w:rPr>
              <w:t>6.82</w:t>
            </w:r>
          </w:p>
        </w:tc>
        <w:tc>
          <w:tcPr>
            <w:tcW w:w="835" w:type="pct"/>
            <w:vAlign w:val="center"/>
          </w:tcPr>
          <w:p w14:paraId="7B60608D"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c>
          <w:tcPr>
            <w:tcW w:w="834" w:type="pct"/>
            <w:vAlign w:val="center"/>
          </w:tcPr>
          <w:p w14:paraId="3B650D30"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及时修复</w:t>
            </w:r>
          </w:p>
        </w:tc>
      </w:tr>
      <w:tr w:rsidR="009C353B" w14:paraId="18C9DB26" w14:textId="77777777">
        <w:trPr>
          <w:cantSplit/>
          <w:jc w:val="center"/>
        </w:trPr>
        <w:tc>
          <w:tcPr>
            <w:tcW w:w="1327" w:type="pct"/>
            <w:vAlign w:val="center"/>
          </w:tcPr>
          <w:p w14:paraId="5CB2154A"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G307</w:t>
            </w:r>
            <w:r>
              <w:rPr>
                <w:rFonts w:ascii="Times New Roman" w:hAnsi="Times New Roman" w:hint="eastAsia"/>
                <w:kern w:val="0"/>
                <w:sz w:val="21"/>
                <w:szCs w:val="21"/>
              </w:rPr>
              <w:t>国道</w:t>
            </w:r>
          </w:p>
        </w:tc>
        <w:tc>
          <w:tcPr>
            <w:tcW w:w="1002" w:type="pct"/>
            <w:vAlign w:val="center"/>
          </w:tcPr>
          <w:p w14:paraId="36E79A90"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丁家梁</w:t>
            </w:r>
          </w:p>
        </w:tc>
        <w:tc>
          <w:tcPr>
            <w:tcW w:w="1002" w:type="pct"/>
            <w:vAlign w:val="center"/>
          </w:tcPr>
          <w:p w14:paraId="6E21689E"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c>
          <w:tcPr>
            <w:tcW w:w="835" w:type="pct"/>
            <w:vAlign w:val="center"/>
          </w:tcPr>
          <w:p w14:paraId="12B75B3B"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c>
          <w:tcPr>
            <w:tcW w:w="834" w:type="pct"/>
            <w:vAlign w:val="center"/>
          </w:tcPr>
          <w:p w14:paraId="1F339438"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沉陷影响范围外</w:t>
            </w:r>
            <w:r>
              <w:rPr>
                <w:rFonts w:ascii="Times New Roman" w:hAnsi="Times New Roman" w:hint="eastAsia"/>
                <w:kern w:val="0"/>
                <w:sz w:val="21"/>
                <w:szCs w:val="21"/>
              </w:rPr>
              <w:t>，</w:t>
            </w:r>
            <w:r>
              <w:rPr>
                <w:rFonts w:ascii="Times New Roman" w:hAnsi="Times New Roman"/>
                <w:kern w:val="0"/>
                <w:sz w:val="21"/>
                <w:szCs w:val="21"/>
              </w:rPr>
              <w:t>不受影响</w:t>
            </w:r>
          </w:p>
        </w:tc>
      </w:tr>
      <w:tr w:rsidR="009C353B" w14:paraId="52891E2E" w14:textId="77777777">
        <w:trPr>
          <w:cantSplit/>
          <w:jc w:val="center"/>
        </w:trPr>
        <w:tc>
          <w:tcPr>
            <w:tcW w:w="1327" w:type="pct"/>
            <w:vAlign w:val="center"/>
          </w:tcPr>
          <w:p w14:paraId="12E8FA21"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灵盐公路</w:t>
            </w:r>
          </w:p>
        </w:tc>
        <w:tc>
          <w:tcPr>
            <w:tcW w:w="1002" w:type="pct"/>
            <w:vAlign w:val="center"/>
          </w:tcPr>
          <w:p w14:paraId="0ED075BE"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丁家梁</w:t>
            </w:r>
          </w:p>
        </w:tc>
        <w:tc>
          <w:tcPr>
            <w:tcW w:w="1002" w:type="pct"/>
            <w:vAlign w:val="center"/>
          </w:tcPr>
          <w:p w14:paraId="6E41C4E0"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5.38</w:t>
            </w:r>
          </w:p>
        </w:tc>
        <w:tc>
          <w:tcPr>
            <w:tcW w:w="835" w:type="pct"/>
            <w:vAlign w:val="center"/>
          </w:tcPr>
          <w:p w14:paraId="6C2AB0D2"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c>
          <w:tcPr>
            <w:tcW w:w="834" w:type="pct"/>
            <w:vAlign w:val="center"/>
          </w:tcPr>
          <w:p w14:paraId="3CCE5469"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位于规划提出的保护煤柱范围内</w:t>
            </w:r>
          </w:p>
        </w:tc>
      </w:tr>
      <w:tr w:rsidR="009C353B" w14:paraId="6015C1B5" w14:textId="77777777">
        <w:trPr>
          <w:cantSplit/>
          <w:jc w:val="center"/>
        </w:trPr>
        <w:tc>
          <w:tcPr>
            <w:tcW w:w="1327" w:type="pct"/>
            <w:vAlign w:val="center"/>
          </w:tcPr>
          <w:p w14:paraId="7157A2F9"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古青高速公路</w:t>
            </w:r>
          </w:p>
        </w:tc>
        <w:tc>
          <w:tcPr>
            <w:tcW w:w="1002" w:type="pct"/>
            <w:vAlign w:val="center"/>
          </w:tcPr>
          <w:p w14:paraId="4A14299C"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丁家梁、马莲台</w:t>
            </w:r>
          </w:p>
        </w:tc>
        <w:tc>
          <w:tcPr>
            <w:tcW w:w="1002" w:type="pct"/>
            <w:vAlign w:val="center"/>
          </w:tcPr>
          <w:p w14:paraId="028D28F5"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4.32</w:t>
            </w:r>
            <w:r>
              <w:rPr>
                <w:rFonts w:ascii="Times New Roman" w:hAnsi="Times New Roman" w:hint="eastAsia"/>
                <w:kern w:val="0"/>
                <w:sz w:val="21"/>
                <w:szCs w:val="21"/>
              </w:rPr>
              <w:t>、</w:t>
            </w:r>
            <w:r>
              <w:rPr>
                <w:rFonts w:ascii="Times New Roman" w:hAnsi="Times New Roman"/>
                <w:kern w:val="0"/>
                <w:sz w:val="21"/>
                <w:szCs w:val="21"/>
              </w:rPr>
              <w:t>4.51</w:t>
            </w:r>
          </w:p>
        </w:tc>
        <w:tc>
          <w:tcPr>
            <w:tcW w:w="835" w:type="pct"/>
            <w:vAlign w:val="center"/>
          </w:tcPr>
          <w:p w14:paraId="7C68E5F7"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c>
          <w:tcPr>
            <w:tcW w:w="834" w:type="pct"/>
            <w:vAlign w:val="center"/>
          </w:tcPr>
          <w:p w14:paraId="5F4B1FF4"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留设煤柱</w:t>
            </w:r>
          </w:p>
        </w:tc>
      </w:tr>
      <w:tr w:rsidR="009C353B" w14:paraId="7C3B66BD" w14:textId="77777777">
        <w:trPr>
          <w:cantSplit/>
          <w:jc w:val="center"/>
        </w:trPr>
        <w:tc>
          <w:tcPr>
            <w:tcW w:w="1327" w:type="pct"/>
            <w:vAlign w:val="center"/>
          </w:tcPr>
          <w:p w14:paraId="3DB53670"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青银高速公路</w:t>
            </w:r>
          </w:p>
        </w:tc>
        <w:tc>
          <w:tcPr>
            <w:tcW w:w="1002" w:type="pct"/>
            <w:vAlign w:val="center"/>
          </w:tcPr>
          <w:p w14:paraId="6BF63FED"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马莲台、红石湾</w:t>
            </w:r>
          </w:p>
        </w:tc>
        <w:tc>
          <w:tcPr>
            <w:tcW w:w="1002" w:type="pct"/>
            <w:vAlign w:val="center"/>
          </w:tcPr>
          <w:p w14:paraId="60FF4DBF"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0.99</w:t>
            </w:r>
            <w:r>
              <w:rPr>
                <w:rFonts w:ascii="Times New Roman" w:hAnsi="Times New Roman" w:hint="eastAsia"/>
                <w:kern w:val="0"/>
                <w:sz w:val="21"/>
                <w:szCs w:val="21"/>
              </w:rPr>
              <w:t>、</w:t>
            </w:r>
            <w:r>
              <w:rPr>
                <w:rFonts w:ascii="Times New Roman" w:hAnsi="Times New Roman"/>
                <w:kern w:val="0"/>
                <w:sz w:val="21"/>
                <w:szCs w:val="21"/>
              </w:rPr>
              <w:t>2.09</w:t>
            </w:r>
          </w:p>
        </w:tc>
        <w:tc>
          <w:tcPr>
            <w:tcW w:w="835" w:type="pct"/>
            <w:vAlign w:val="center"/>
          </w:tcPr>
          <w:p w14:paraId="3D5692E5"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w:t>
            </w:r>
          </w:p>
        </w:tc>
        <w:tc>
          <w:tcPr>
            <w:tcW w:w="834" w:type="pct"/>
            <w:vAlign w:val="center"/>
          </w:tcPr>
          <w:p w14:paraId="3D4E345B"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位于风氧化带内</w:t>
            </w:r>
            <w:r>
              <w:rPr>
                <w:rFonts w:ascii="Times New Roman" w:hAnsi="Times New Roman"/>
                <w:kern w:val="0"/>
                <w:sz w:val="21"/>
                <w:szCs w:val="21"/>
              </w:rPr>
              <w:t>/</w:t>
            </w:r>
            <w:r>
              <w:rPr>
                <w:rFonts w:ascii="Times New Roman" w:hAnsi="Times New Roman"/>
                <w:kern w:val="0"/>
                <w:sz w:val="21"/>
                <w:szCs w:val="21"/>
              </w:rPr>
              <w:t>留设煤柱</w:t>
            </w:r>
          </w:p>
        </w:tc>
      </w:tr>
      <w:tr w:rsidR="009C353B" w14:paraId="2C2AEAC1" w14:textId="77777777">
        <w:trPr>
          <w:cantSplit/>
          <w:jc w:val="center"/>
        </w:trPr>
        <w:tc>
          <w:tcPr>
            <w:tcW w:w="1327" w:type="pct"/>
            <w:vAlign w:val="center"/>
          </w:tcPr>
          <w:p w14:paraId="0DE15F24" w14:textId="77777777" w:rsidR="009C353B" w:rsidRDefault="00000000">
            <w:pPr>
              <w:jc w:val="center"/>
              <w:rPr>
                <w:rFonts w:ascii="Times New Roman" w:hAnsi="Times New Roman"/>
                <w:sz w:val="21"/>
                <w:szCs w:val="21"/>
              </w:rPr>
            </w:pPr>
            <w:r>
              <w:rPr>
                <w:rFonts w:ascii="Times New Roman" w:hAnsi="Times New Roman"/>
                <w:sz w:val="21"/>
                <w:szCs w:val="21"/>
              </w:rPr>
              <w:t>103</w:t>
            </w:r>
            <w:r>
              <w:rPr>
                <w:rFonts w:ascii="Times New Roman" w:hAnsi="Times New Roman" w:hint="eastAsia"/>
                <w:sz w:val="21"/>
                <w:szCs w:val="21"/>
              </w:rPr>
              <w:t>省道</w:t>
            </w:r>
          </w:p>
        </w:tc>
        <w:tc>
          <w:tcPr>
            <w:tcW w:w="1002" w:type="pct"/>
            <w:vAlign w:val="center"/>
          </w:tcPr>
          <w:p w14:paraId="1A0BB2EF"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红石湾</w:t>
            </w:r>
          </w:p>
        </w:tc>
        <w:tc>
          <w:tcPr>
            <w:tcW w:w="1002" w:type="pct"/>
            <w:vAlign w:val="center"/>
          </w:tcPr>
          <w:p w14:paraId="4DDC3FE8" w14:textId="77777777" w:rsidR="009C353B" w:rsidRDefault="00000000">
            <w:pPr>
              <w:jc w:val="center"/>
              <w:rPr>
                <w:rFonts w:ascii="Times New Roman" w:hAnsi="Times New Roman"/>
                <w:kern w:val="0"/>
                <w:sz w:val="21"/>
                <w:szCs w:val="21"/>
              </w:rPr>
            </w:pPr>
            <w:r>
              <w:rPr>
                <w:rFonts w:ascii="Times New Roman" w:hAnsi="Times New Roman"/>
                <w:kern w:val="0"/>
                <w:sz w:val="21"/>
                <w:szCs w:val="21"/>
              </w:rPr>
              <w:t>2.03</w:t>
            </w:r>
          </w:p>
        </w:tc>
        <w:tc>
          <w:tcPr>
            <w:tcW w:w="835" w:type="pct"/>
            <w:vAlign w:val="center"/>
          </w:tcPr>
          <w:p w14:paraId="158C9341" w14:textId="77777777" w:rsidR="009C353B" w:rsidRDefault="00000000">
            <w:pPr>
              <w:jc w:val="center"/>
              <w:rPr>
                <w:rFonts w:ascii="Times New Roman" w:hAnsi="Times New Roman"/>
                <w:sz w:val="21"/>
                <w:szCs w:val="21"/>
              </w:rPr>
            </w:pPr>
            <w:r>
              <w:rPr>
                <w:rFonts w:ascii="Times New Roman" w:hAnsi="Times New Roman"/>
                <w:kern w:val="0"/>
                <w:sz w:val="21"/>
                <w:szCs w:val="21"/>
              </w:rPr>
              <w:t>/</w:t>
            </w:r>
          </w:p>
        </w:tc>
        <w:tc>
          <w:tcPr>
            <w:tcW w:w="834" w:type="pct"/>
            <w:vAlign w:val="center"/>
          </w:tcPr>
          <w:p w14:paraId="4CF9F4A3" w14:textId="77777777" w:rsidR="009C353B" w:rsidRDefault="00000000">
            <w:pPr>
              <w:jc w:val="center"/>
              <w:rPr>
                <w:rFonts w:ascii="Times New Roman" w:hAnsi="Times New Roman"/>
                <w:kern w:val="0"/>
                <w:sz w:val="21"/>
                <w:szCs w:val="21"/>
              </w:rPr>
            </w:pPr>
            <w:r>
              <w:rPr>
                <w:rFonts w:ascii="Times New Roman" w:hAnsi="Times New Roman" w:hint="eastAsia"/>
                <w:kern w:val="0"/>
                <w:sz w:val="21"/>
                <w:szCs w:val="21"/>
              </w:rPr>
              <w:t>位于规划提出的保护煤柱范围内</w:t>
            </w:r>
          </w:p>
        </w:tc>
      </w:tr>
    </w:tbl>
    <w:p w14:paraId="057CCA47" w14:textId="77777777" w:rsidR="009C353B" w:rsidRDefault="00000000">
      <w:pPr>
        <w:spacing w:line="440" w:lineRule="exact"/>
        <w:ind w:firstLineChars="200" w:firstLine="480"/>
        <w:rPr>
          <w:rFonts w:hint="eastAsia"/>
        </w:rPr>
      </w:pPr>
      <w:r>
        <w:rPr>
          <w:rFonts w:hint="eastAsia"/>
        </w:rPr>
        <w:t>规划</w:t>
      </w:r>
      <w:r>
        <w:t>已对太中银铁路、</w:t>
      </w:r>
      <w:r>
        <w:rPr>
          <w:rFonts w:hint="eastAsia"/>
        </w:rPr>
        <w:t>古青</w:t>
      </w:r>
      <w:r>
        <w:t>高速公路留设了保护煤柱，</w:t>
      </w:r>
      <w:r>
        <w:rPr>
          <w:rFonts w:hint="eastAsia"/>
        </w:rPr>
        <w:t>根据本次地表沉陷预测结果，铁路及高速公路</w:t>
      </w:r>
      <w:r>
        <w:t>不受开采沉陷影响。后续开采过程中应根据沉陷观测实际参数留设足够保护煤柱</w:t>
      </w:r>
      <w:r>
        <w:rPr>
          <w:rFonts w:hint="eastAsia"/>
        </w:rPr>
        <w:t>，</w:t>
      </w:r>
      <w:r>
        <w:t>确保太中银铁路、</w:t>
      </w:r>
      <w:r>
        <w:rPr>
          <w:rFonts w:hint="eastAsia"/>
        </w:rPr>
        <w:t>古青</w:t>
      </w:r>
      <w:r>
        <w:t>高速公路不受开采沉陷影响。</w:t>
      </w:r>
    </w:p>
    <w:p w14:paraId="1F68C94E" w14:textId="77777777" w:rsidR="009C353B" w:rsidRDefault="00000000">
      <w:pPr>
        <w:pStyle w:val="3f4"/>
        <w:spacing w:line="440" w:lineRule="exact"/>
        <w:ind w:firstLine="480"/>
        <w:rPr>
          <w:rFonts w:ascii="Times New Roman" w:hint="eastAsia"/>
        </w:rPr>
      </w:pPr>
      <w:r>
        <w:rPr>
          <w:rFonts w:ascii="Times New Roman" w:hint="eastAsia"/>
        </w:rPr>
        <w:t>规划</w:t>
      </w:r>
      <w:r>
        <w:rPr>
          <w:rFonts w:ascii="Times New Roman"/>
        </w:rPr>
        <w:t>对</w:t>
      </w:r>
      <w:r>
        <w:rPr>
          <w:rFonts w:ascii="Times New Roman" w:hint="eastAsia"/>
        </w:rPr>
        <w:t>矿区铁路专运线</w:t>
      </w:r>
      <w:r>
        <w:rPr>
          <w:rFonts w:ascii="Times New Roman"/>
        </w:rPr>
        <w:t>、现有的乡村公路等不留设保护煤柱，根据本次沉陷预测结果，</w:t>
      </w:r>
      <w:r>
        <w:rPr>
          <w:rFonts w:ascii="Times New Roman" w:hint="eastAsia"/>
        </w:rPr>
        <w:t>矿区</w:t>
      </w:r>
      <w:r>
        <w:rPr>
          <w:rFonts w:ascii="Times New Roman"/>
        </w:rPr>
        <w:t>范围内的公路</w:t>
      </w:r>
      <w:r>
        <w:rPr>
          <w:rFonts w:ascii="Times New Roman" w:hint="eastAsia"/>
        </w:rPr>
        <w:t>、铁路</w:t>
      </w:r>
      <w:r>
        <w:rPr>
          <w:rFonts w:ascii="Times New Roman"/>
        </w:rPr>
        <w:t>累计下沉量约为</w:t>
      </w:r>
      <w:r>
        <w:rPr>
          <w:rFonts w:ascii="Times New Roman" w:hAnsi="Times New Roman"/>
        </w:rPr>
        <w:t>0.01-21m</w:t>
      </w:r>
      <w:r>
        <w:rPr>
          <w:rFonts w:ascii="Times New Roman"/>
        </w:rPr>
        <w:t>。</w:t>
      </w:r>
      <w:r>
        <w:t>地表沉陷对公路的影响主要表现在下沉造成路面低凹起伏不平，在拉伸区和压缩区会造成路面的开裂等路面损坏，导致车速减慢。对于公路，国内许多实践证明，及时维护后一般不会影响正常交通，通常的维护措施为垫高路基，垫高夯实，路基垫高可采用矿井排放的矸石。可以采取随沉随填，填后夯实的措施保持原来的高度和强度。</w:t>
      </w:r>
    </w:p>
    <w:p w14:paraId="11FF8211" w14:textId="77777777" w:rsidR="009C353B" w:rsidRDefault="00000000">
      <w:pPr>
        <w:pStyle w:val="3f4"/>
        <w:spacing w:line="440" w:lineRule="exact"/>
        <w:ind w:firstLine="480"/>
        <w:rPr>
          <w:rFonts w:ascii="Times New Roman" w:hint="eastAsia"/>
        </w:rPr>
      </w:pPr>
      <w:r>
        <w:rPr>
          <w:rFonts w:ascii="Times New Roman" w:hint="eastAsia"/>
        </w:rPr>
        <w:t>对于公路，根据国内其他矿区经验，</w:t>
      </w:r>
      <w:r>
        <w:rPr>
          <w:rFonts w:ascii="Times New Roman"/>
        </w:rPr>
        <w:t>考虑开采过程中采取随沉随填、填后夯实、采后修复、维护和重修相结合综合防治措施加以治理，保持原来的高度和强度，通过及时维护后一般不会影响正常交通。</w:t>
      </w:r>
    </w:p>
    <w:p w14:paraId="122D79A8" w14:textId="77777777" w:rsidR="009C353B" w:rsidRDefault="00000000">
      <w:pPr>
        <w:pStyle w:val="3f4"/>
        <w:spacing w:line="440" w:lineRule="exact"/>
        <w:ind w:firstLine="480"/>
        <w:rPr>
          <w:rFonts w:ascii="Times New Roman" w:hint="eastAsia"/>
        </w:rPr>
      </w:pPr>
      <w:r>
        <w:rPr>
          <w:rFonts w:ascii="Times New Roman" w:hint="eastAsia"/>
        </w:rPr>
        <w:t>对于铁路专运线，矿井铁路专用线受开采影响严重，在开采沉陷期间，将对铁路的正常运行产生严重的影响。根据《铁路技术管理规则》对最大限制坡度的规定，以及《铁路工务规则》对铁路纵断面和两股钢轨水平的规定，在开采过程中建议采用如下技术措施，使得铁路在开采过程中能正常运行。</w:t>
      </w:r>
    </w:p>
    <w:p w14:paraId="75A0CD56" w14:textId="77777777" w:rsidR="009C353B" w:rsidRDefault="00000000">
      <w:pPr>
        <w:pStyle w:val="3f4"/>
        <w:spacing w:line="440" w:lineRule="exact"/>
        <w:ind w:firstLine="480"/>
        <w:rPr>
          <w:rFonts w:ascii="Times New Roman" w:hint="eastAsia"/>
        </w:rPr>
      </w:pPr>
      <w:r>
        <w:rPr>
          <w:rFonts w:ascii="Times New Roman" w:hint="eastAsia"/>
        </w:rPr>
        <w:t>1</w:t>
      </w:r>
      <w:r>
        <w:rPr>
          <w:rFonts w:ascii="Times New Roman" w:hint="eastAsia"/>
        </w:rPr>
        <w:t>）地面线路维修措施</w:t>
      </w:r>
    </w:p>
    <w:p w14:paraId="34F25BFF" w14:textId="77777777" w:rsidR="009C353B" w:rsidRDefault="00000000">
      <w:pPr>
        <w:pStyle w:val="3f4"/>
        <w:spacing w:line="440" w:lineRule="exact"/>
        <w:ind w:firstLine="480"/>
        <w:rPr>
          <w:rFonts w:ascii="Times New Roman" w:hint="eastAsia"/>
        </w:rPr>
      </w:pPr>
      <w:r>
        <w:rPr>
          <w:rFonts w:ascii="Times New Roman" w:hint="eastAsia"/>
        </w:rPr>
        <w:t>①路基维护：主要是加高和加宽路基，使得新旧路基能密切吻合，一般得情况下，使根据预计得地表下沉范围和下沉量，事先抬高路基，以适应将来得开采所造成的铁路下沉。</w:t>
      </w:r>
    </w:p>
    <w:p w14:paraId="50C013F0" w14:textId="77777777" w:rsidR="009C353B" w:rsidRDefault="00000000">
      <w:pPr>
        <w:pStyle w:val="3f4"/>
        <w:spacing w:line="440" w:lineRule="exact"/>
        <w:ind w:firstLine="480"/>
        <w:rPr>
          <w:rFonts w:ascii="Times New Roman" w:hint="eastAsia"/>
        </w:rPr>
      </w:pPr>
      <w:r>
        <w:rPr>
          <w:rFonts w:ascii="Times New Roman" w:hint="eastAsia"/>
        </w:rPr>
        <w:t>②起道：下沉后，除应加高路基以为，还应及时起垫铁路上部建筑，以恢复原始标高。</w:t>
      </w:r>
    </w:p>
    <w:p w14:paraId="73C9B0E8" w14:textId="77777777" w:rsidR="009C353B" w:rsidRDefault="00000000">
      <w:pPr>
        <w:pStyle w:val="3f4"/>
        <w:spacing w:line="440" w:lineRule="exact"/>
        <w:ind w:firstLine="480"/>
        <w:rPr>
          <w:rFonts w:ascii="Times New Roman" w:hint="eastAsia"/>
        </w:rPr>
      </w:pPr>
      <w:r>
        <w:rPr>
          <w:rFonts w:ascii="Times New Roman" w:hint="eastAsia"/>
        </w:rPr>
        <w:t>③拨道：消除线路横向水平移动对铁路正常运行的影响。</w:t>
      </w:r>
    </w:p>
    <w:p w14:paraId="1B94A281" w14:textId="77777777" w:rsidR="009C353B" w:rsidRDefault="00000000">
      <w:pPr>
        <w:pStyle w:val="3f4"/>
        <w:spacing w:line="440" w:lineRule="exact"/>
        <w:ind w:firstLine="480"/>
        <w:rPr>
          <w:rFonts w:ascii="Times New Roman" w:hint="eastAsia"/>
        </w:rPr>
      </w:pPr>
      <w:r>
        <w:rPr>
          <w:rFonts w:ascii="Times New Roman" w:hint="eastAsia"/>
        </w:rPr>
        <w:t>④串道：因开采使得线路纵向移动，导致轨缝发生变化，因此可以采用串道（调整轨缝）办法消除线有害影响。</w:t>
      </w:r>
    </w:p>
    <w:p w14:paraId="302AE9D5" w14:textId="77777777" w:rsidR="009C353B" w:rsidRDefault="00000000">
      <w:pPr>
        <w:pStyle w:val="3f4"/>
        <w:spacing w:line="440" w:lineRule="exact"/>
        <w:ind w:firstLine="480"/>
        <w:rPr>
          <w:rFonts w:ascii="Times New Roman" w:hint="eastAsia"/>
        </w:rPr>
      </w:pPr>
      <w:r>
        <w:rPr>
          <w:rFonts w:ascii="Times New Roman" w:hint="eastAsia"/>
        </w:rPr>
        <w:t>2</w:t>
      </w:r>
      <w:r>
        <w:rPr>
          <w:rFonts w:ascii="Times New Roman" w:hint="eastAsia"/>
        </w:rPr>
        <w:t>）安全开采措施</w:t>
      </w:r>
    </w:p>
    <w:p w14:paraId="79596857" w14:textId="77777777" w:rsidR="009C353B" w:rsidRDefault="00000000">
      <w:pPr>
        <w:pStyle w:val="3f4"/>
        <w:spacing w:line="440" w:lineRule="exact"/>
        <w:ind w:firstLine="480"/>
        <w:rPr>
          <w:rFonts w:ascii="Times New Roman" w:hint="eastAsia"/>
        </w:rPr>
      </w:pPr>
      <w:r>
        <w:rPr>
          <w:rFonts w:ascii="Times New Roman" w:hint="eastAsia"/>
        </w:rPr>
        <w:t>其目的是减小地表下沉值和防止铁路极敏感的地表突然下沉，方法包括采煤方法和合理布置采区。</w:t>
      </w:r>
    </w:p>
    <w:p w14:paraId="7604DB3F" w14:textId="77777777" w:rsidR="009C353B" w:rsidRDefault="00000000">
      <w:pPr>
        <w:pStyle w:val="3f4"/>
        <w:spacing w:line="440" w:lineRule="exact"/>
        <w:ind w:firstLine="480"/>
        <w:rPr>
          <w:rFonts w:ascii="Times New Roman" w:hint="eastAsia"/>
        </w:rPr>
      </w:pPr>
      <w:r>
        <w:rPr>
          <w:rFonts w:ascii="Times New Roman" w:hint="eastAsia"/>
        </w:rPr>
        <w:t>地表与地下开采方法可有效的将开采对铁路的影响降到能够正常运行接受的程度。</w:t>
      </w:r>
    </w:p>
    <w:p w14:paraId="335BF3A7" w14:textId="77777777" w:rsidR="009C353B" w:rsidRDefault="00000000">
      <w:pPr>
        <w:pStyle w:val="3f4"/>
        <w:spacing w:line="440" w:lineRule="exact"/>
        <w:ind w:firstLine="480"/>
        <w:rPr>
          <w:rFonts w:ascii="Times New Roman" w:hint="eastAsia"/>
        </w:rPr>
      </w:pPr>
      <w:r>
        <w:rPr>
          <w:rFonts w:hint="eastAsia"/>
        </w:rPr>
        <w:t>本次评价建议在矿区后续开发过程中，应根据《建筑、水体、铁路及煤柱留设与压煤开采规范》，结合地表岩移观测结果对铁路、高速公路留设保护煤柱，保证其不受煤炭开采影响。</w:t>
      </w:r>
    </w:p>
    <w:p w14:paraId="699F1991" w14:textId="77777777" w:rsidR="009C353B" w:rsidRDefault="00000000">
      <w:pPr>
        <w:pStyle w:val="2ff4"/>
        <w:spacing w:line="440" w:lineRule="exact"/>
        <w:ind w:firstLine="482"/>
      </w:pPr>
      <w:r>
        <w:rPr>
          <w:rFonts w:hAnsi="宋体" w:cs="Times New Roman" w:hint="eastAsia"/>
          <w:b/>
          <w:bCs/>
        </w:rPr>
        <w:t>（</w:t>
      </w:r>
      <w:r>
        <w:rPr>
          <w:rFonts w:hAnsi="宋体" w:cs="Times New Roman"/>
          <w:b/>
          <w:bCs/>
        </w:rPr>
        <w:t>5</w:t>
      </w:r>
      <w:r>
        <w:rPr>
          <w:rFonts w:hAnsi="宋体" w:cs="Times New Roman" w:hint="eastAsia"/>
          <w:b/>
          <w:bCs/>
        </w:rPr>
        <w:t>）地表沉陷</w:t>
      </w:r>
      <w:r>
        <w:rPr>
          <w:rFonts w:hAnsi="宋体" w:cs="Times New Roman"/>
          <w:b/>
          <w:bCs/>
        </w:rPr>
        <w:t>对</w:t>
      </w:r>
      <w:r>
        <w:rPr>
          <w:rFonts w:hAnsi="宋体" w:cs="Times New Roman" w:hint="eastAsia"/>
          <w:b/>
          <w:bCs/>
        </w:rPr>
        <w:t>输气管线</w:t>
      </w:r>
      <w:r>
        <w:rPr>
          <w:rFonts w:hAnsi="宋体" w:cs="Times New Roman"/>
          <w:b/>
          <w:bCs/>
        </w:rPr>
        <w:t>的影响分析</w:t>
      </w:r>
    </w:p>
    <w:p w14:paraId="17A4CFF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长庆—银川天然气管线位于太中银铁路（联络线）以南，基本与</w:t>
      </w:r>
      <w:r>
        <w:rPr>
          <w:rFonts w:ascii="Times New Roman" w:hAnsi="Times New Roman"/>
        </w:rPr>
        <w:t>220kV</w:t>
      </w:r>
      <w:r>
        <w:rPr>
          <w:rFonts w:ascii="Times New Roman" w:hAnsi="Times New Roman"/>
        </w:rPr>
        <w:t>水灵线重合穿过丁家梁井田南部，约</w:t>
      </w:r>
      <w:r>
        <w:rPr>
          <w:rFonts w:ascii="Times New Roman" w:hAnsi="Times New Roman"/>
        </w:rPr>
        <w:t>4.5km</w:t>
      </w:r>
      <w:r>
        <w:rPr>
          <w:rFonts w:ascii="Times New Roman" w:hAnsi="Times New Roman"/>
        </w:rPr>
        <w:t>在井田范围内</w:t>
      </w:r>
      <w:r>
        <w:rPr>
          <w:rFonts w:ascii="Times New Roman" w:hAnsi="Times New Roman" w:hint="eastAsia"/>
        </w:rPr>
        <w:t>的</w:t>
      </w:r>
      <w:r>
        <w:rPr>
          <w:rFonts w:ascii="Times New Roman" w:hAnsi="Times New Roman"/>
        </w:rPr>
        <w:t>不开采区</w:t>
      </w:r>
      <w:r>
        <w:rPr>
          <w:rFonts w:ascii="Times New Roman" w:hAnsi="Times New Roman" w:hint="eastAsia"/>
        </w:rPr>
        <w:t>（其中</w:t>
      </w:r>
      <w:r>
        <w:rPr>
          <w:rFonts w:ascii="Times New Roman" w:hAnsi="Times New Roman" w:hint="eastAsia"/>
        </w:rPr>
        <w:t>2</w:t>
      </w:r>
      <w:r>
        <w:rPr>
          <w:rFonts w:ascii="Times New Roman" w:hAnsi="Times New Roman"/>
        </w:rPr>
        <w:t>.5</w:t>
      </w:r>
      <w:r>
        <w:rPr>
          <w:rFonts w:ascii="Times New Roman" w:hAnsi="Times New Roman" w:hint="eastAsia"/>
        </w:rPr>
        <w:t>km</w:t>
      </w:r>
      <w:r>
        <w:rPr>
          <w:rFonts w:ascii="Times New Roman" w:hAnsi="Times New Roman" w:hint="eastAsia"/>
        </w:rPr>
        <w:t>位于水库临时禁采区范围内）。</w:t>
      </w:r>
    </w:p>
    <w:p w14:paraId="28CA9C4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根据本次地表沉陷预测结果，该区域最大沉陷影响半径约</w:t>
      </w:r>
      <w:r>
        <w:rPr>
          <w:rFonts w:ascii="Times New Roman" w:hAnsi="Times New Roman" w:hint="eastAsia"/>
        </w:rPr>
        <w:t>4</w:t>
      </w:r>
      <w:r>
        <w:rPr>
          <w:rFonts w:ascii="Times New Roman" w:hAnsi="Times New Roman"/>
        </w:rPr>
        <w:t>60</w:t>
      </w:r>
      <w:r>
        <w:rPr>
          <w:rFonts w:ascii="Times New Roman" w:hAnsi="Times New Roman" w:hint="eastAsia"/>
        </w:rPr>
        <w:t>m</w:t>
      </w:r>
      <w:r>
        <w:rPr>
          <w:rFonts w:ascii="Times New Roman" w:hAnsi="Times New Roman" w:hint="eastAsia"/>
        </w:rPr>
        <w:t>，因此长庆—银川天然气管线不会受到开采沉陷影响。为保证输气管线的安全，本次评价提出在后续开发过程中，应根据《建筑、水体、铁路及煤柱留设与压煤开采规范》</w:t>
      </w:r>
      <w:r>
        <w:rPr>
          <w:rFonts w:hint="eastAsia"/>
        </w:rPr>
        <w:t>及地表岩移观测结果</w:t>
      </w:r>
      <w:r>
        <w:rPr>
          <w:rFonts w:ascii="Times New Roman" w:hAnsi="Times New Roman" w:hint="eastAsia"/>
        </w:rPr>
        <w:t>对其留设保护煤柱，保证其不受煤炭开采影响。</w:t>
      </w:r>
    </w:p>
    <w:p w14:paraId="7FDA4B6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长庆—银川天然气管线支线中电投宁夏能源铝业有限公司天然气管线在岳家沟附近自南向北穿越井田西部自南向北穿越井田中部，约</w:t>
      </w:r>
      <w:r>
        <w:rPr>
          <w:rFonts w:ascii="Times New Roman" w:hAnsi="Times New Roman"/>
        </w:rPr>
        <w:t>4.4km</w:t>
      </w:r>
      <w:r>
        <w:rPr>
          <w:rFonts w:ascii="Times New Roman" w:hAnsi="Times New Roman"/>
        </w:rPr>
        <w:t>在开采范围内，如不迁移，约</w:t>
      </w:r>
      <w:r>
        <w:rPr>
          <w:rFonts w:ascii="Times New Roman" w:hAnsi="Times New Roman"/>
        </w:rPr>
        <w:t>3.45km</w:t>
      </w:r>
      <w:r>
        <w:rPr>
          <w:rFonts w:ascii="Times New Roman" w:hAnsi="Times New Roman"/>
        </w:rPr>
        <w:t>的管线将受到不同程度的破坏。</w:t>
      </w:r>
      <w:r>
        <w:rPr>
          <w:rFonts w:ascii="Times New Roman" w:hAnsi="Times New Roman" w:hint="eastAsia"/>
        </w:rPr>
        <w:t>建设单位与中电投宁夏能源铝业有限公司协商后，中电投宁夏能源铝业有限公司天然气管线由建设单位在矿井建设期负责迁移，</w:t>
      </w:r>
      <w:r>
        <w:rPr>
          <w:rFonts w:ascii="Times New Roman" w:hAnsi="Times New Roman"/>
        </w:rPr>
        <w:t>其线路改道至开采范围外，不受开采沉陷影响。</w:t>
      </w:r>
    </w:p>
    <w:p w14:paraId="748C6332"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b/>
          <w:bCs/>
        </w:rPr>
        <w:t>6</w:t>
      </w:r>
      <w:r>
        <w:rPr>
          <w:rFonts w:hAnsi="宋体" w:cs="Times New Roman" w:hint="eastAsia"/>
          <w:b/>
          <w:bCs/>
        </w:rPr>
        <w:t>）地表沉陷</w:t>
      </w:r>
      <w:r>
        <w:rPr>
          <w:rFonts w:hAnsi="宋体" w:cs="Times New Roman"/>
          <w:b/>
          <w:bCs/>
        </w:rPr>
        <w:t>对</w:t>
      </w:r>
      <w:r>
        <w:rPr>
          <w:rFonts w:hAnsi="宋体" w:cs="Times New Roman" w:hint="eastAsia"/>
          <w:b/>
          <w:bCs/>
        </w:rPr>
        <w:t>输水管线</w:t>
      </w:r>
      <w:r>
        <w:rPr>
          <w:rFonts w:hAnsi="宋体" w:cs="Times New Roman"/>
          <w:b/>
          <w:bCs/>
        </w:rPr>
        <w:t>的影响分析</w:t>
      </w:r>
    </w:p>
    <w:p w14:paraId="48C663D5" w14:textId="77777777" w:rsidR="009C353B" w:rsidRDefault="00000000">
      <w:pPr>
        <w:pStyle w:val="2ff4"/>
        <w:spacing w:line="440" w:lineRule="exact"/>
      </w:pPr>
      <w:r>
        <w:rPr>
          <w:rFonts w:hint="eastAsia"/>
        </w:rPr>
        <w:t>宁东能源重化工基地及生态供水工程输水管线经过红石湾井田，井田内长约</w:t>
      </w:r>
      <w:r>
        <w:t>1.62km</w:t>
      </w:r>
      <w:r>
        <w:rPr>
          <w:rFonts w:hint="eastAsia"/>
        </w:rPr>
        <w:t>。</w:t>
      </w:r>
    </w:p>
    <w:p w14:paraId="7DF0C727" w14:textId="77777777" w:rsidR="009C353B" w:rsidRDefault="00000000">
      <w:pPr>
        <w:pStyle w:val="2ff4"/>
        <w:spacing w:line="440" w:lineRule="exact"/>
        <w:rPr>
          <w:rFonts w:cs="Times New Roman"/>
        </w:rPr>
      </w:pPr>
      <w:r>
        <w:rPr>
          <w:rFonts w:hint="eastAsia"/>
        </w:rPr>
        <w:t>根据本次地表沉陷预测结果，宁东能源重化工基地及生态供水工程输水管线不会受到开采沉陷影响。为保证输水管线的安全，本次评价提出在后续开发过程中，应根据《建筑、水体、铁路及煤柱留设与压煤开采规范》及地表岩移观测结果对其留设保护煤柱，保证其不受煤炭开采影响。</w:t>
      </w:r>
    </w:p>
    <w:p w14:paraId="19152F23"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b/>
          <w:bCs/>
        </w:rPr>
        <w:t>7</w:t>
      </w:r>
      <w:r>
        <w:rPr>
          <w:rFonts w:hAnsi="宋体" w:cs="Times New Roman" w:hint="eastAsia"/>
          <w:b/>
          <w:bCs/>
        </w:rPr>
        <w:t>）地表沉陷</w:t>
      </w:r>
      <w:r>
        <w:rPr>
          <w:rFonts w:hAnsi="宋体" w:cs="Times New Roman"/>
          <w:b/>
          <w:bCs/>
        </w:rPr>
        <w:t>对</w:t>
      </w:r>
      <w:r>
        <w:rPr>
          <w:rFonts w:hAnsi="宋体" w:cs="Times New Roman" w:hint="eastAsia"/>
          <w:b/>
          <w:bCs/>
        </w:rPr>
        <w:t>河流</w:t>
      </w:r>
      <w:r>
        <w:rPr>
          <w:rFonts w:hAnsi="宋体" w:cs="Times New Roman"/>
          <w:b/>
          <w:bCs/>
        </w:rPr>
        <w:t>的影响分析</w:t>
      </w:r>
    </w:p>
    <w:p w14:paraId="5CBE10E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水洞沟流经红石湾、马莲台井田北部；大河子沟</w:t>
      </w:r>
      <w:r>
        <w:rPr>
          <w:rFonts w:ascii="Times New Roman" w:hAnsi="Times New Roman"/>
        </w:rPr>
        <w:t>由西向东穿越</w:t>
      </w:r>
      <w:r>
        <w:rPr>
          <w:rFonts w:ascii="Times New Roman" w:hAnsi="Times New Roman" w:hint="eastAsia"/>
        </w:rPr>
        <w:t>丁家梁</w:t>
      </w:r>
      <w:r>
        <w:rPr>
          <w:rFonts w:ascii="Times New Roman" w:hAnsi="Times New Roman"/>
        </w:rPr>
        <w:t>井田东南部，约有</w:t>
      </w:r>
      <w:r>
        <w:rPr>
          <w:rFonts w:ascii="Times New Roman" w:hAnsi="Times New Roman"/>
        </w:rPr>
        <w:t>3.5km</w:t>
      </w:r>
      <w:r>
        <w:rPr>
          <w:rFonts w:ascii="Times New Roman" w:hAnsi="Times New Roman"/>
        </w:rPr>
        <w:t>河段在井田内</w:t>
      </w:r>
      <w:r>
        <w:rPr>
          <w:rFonts w:ascii="Times New Roman" w:hAnsi="Times New Roman" w:hint="eastAsia"/>
        </w:rPr>
        <w:t>，规划</w:t>
      </w:r>
      <w:r>
        <w:rPr>
          <w:rFonts w:ascii="Times New Roman" w:hAnsi="Times New Roman"/>
        </w:rPr>
        <w:t>对太中银铁路以南区域留设了保护煤柱，流经</w:t>
      </w:r>
      <w:r>
        <w:rPr>
          <w:rFonts w:ascii="Times New Roman" w:hAnsi="Times New Roman" w:hint="eastAsia"/>
        </w:rPr>
        <w:t>丁家梁井</w:t>
      </w:r>
      <w:r>
        <w:rPr>
          <w:rFonts w:ascii="Times New Roman" w:hAnsi="Times New Roman"/>
        </w:rPr>
        <w:t>田的大河子沟</w:t>
      </w:r>
      <w:r>
        <w:rPr>
          <w:rFonts w:ascii="Times New Roman" w:hAnsi="Times New Roman" w:hint="eastAsia"/>
        </w:rPr>
        <w:t>河段</w:t>
      </w:r>
      <w:r>
        <w:rPr>
          <w:rFonts w:ascii="Times New Roman" w:hAnsi="Times New Roman"/>
        </w:rPr>
        <w:t>在保护煤柱范围内</w:t>
      </w:r>
      <w:r>
        <w:rPr>
          <w:rFonts w:ascii="Times New Roman" w:hAnsi="Times New Roman" w:hint="eastAsia"/>
        </w:rPr>
        <w:t>，</w:t>
      </w:r>
      <w:r>
        <w:rPr>
          <w:rFonts w:ascii="Times New Roman" w:hAnsi="Times New Roman"/>
        </w:rPr>
        <w:t>不受沉陷影响</w:t>
      </w:r>
      <w:r>
        <w:rPr>
          <w:rFonts w:ascii="Times New Roman" w:hAnsi="Times New Roman" w:hint="eastAsia"/>
        </w:rPr>
        <w:t>。</w:t>
      </w:r>
      <w:r>
        <w:rPr>
          <w:rFonts w:ascii="Times New Roman" w:hAnsi="Times New Roman"/>
        </w:rPr>
        <w:t xml:space="preserve"> </w:t>
      </w:r>
    </w:p>
    <w:p w14:paraId="029A664D" w14:textId="77777777" w:rsidR="009C353B" w:rsidRDefault="00000000">
      <w:pPr>
        <w:pStyle w:val="2ff4"/>
        <w:spacing w:line="440" w:lineRule="exact"/>
      </w:pPr>
      <w:r>
        <w:rPr>
          <w:rFonts w:cs="Times New Roman" w:hint="eastAsia"/>
          <w:kern w:val="2"/>
        </w:rPr>
        <w:t>水洞沟基本</w:t>
      </w:r>
      <w:r>
        <w:rPr>
          <w:rFonts w:cs="Times New Roman"/>
          <w:kern w:val="2"/>
        </w:rPr>
        <w:t>位于矿区</w:t>
      </w:r>
      <w:r>
        <w:rPr>
          <w:rFonts w:cs="Times New Roman" w:hint="eastAsia"/>
          <w:kern w:val="2"/>
        </w:rPr>
        <w:t>北</w:t>
      </w:r>
      <w:r>
        <w:rPr>
          <w:rFonts w:cs="Times New Roman"/>
          <w:kern w:val="2"/>
        </w:rPr>
        <w:t>侧</w:t>
      </w:r>
      <w:r>
        <w:rPr>
          <w:rFonts w:cs="Times New Roman" w:hint="eastAsia"/>
          <w:kern w:val="2"/>
        </w:rPr>
        <w:t>边界外，自东</w:t>
      </w:r>
      <w:r>
        <w:rPr>
          <w:rFonts w:cs="Times New Roman"/>
          <w:kern w:val="2"/>
        </w:rPr>
        <w:t>向</w:t>
      </w:r>
      <w:r>
        <w:rPr>
          <w:rFonts w:cs="Times New Roman" w:hint="eastAsia"/>
          <w:kern w:val="2"/>
        </w:rPr>
        <w:t>西</w:t>
      </w:r>
      <w:r>
        <w:rPr>
          <w:rFonts w:cs="Times New Roman"/>
          <w:kern w:val="2"/>
        </w:rPr>
        <w:t>流过</w:t>
      </w:r>
      <w:r>
        <w:rPr>
          <w:rFonts w:cs="Times New Roman" w:hint="eastAsia"/>
          <w:kern w:val="2"/>
        </w:rPr>
        <w:t>，红石湾井田内长度约</w:t>
      </w:r>
      <w:r>
        <w:rPr>
          <w:rFonts w:cs="Times New Roman" w:hint="eastAsia"/>
          <w:kern w:val="2"/>
        </w:rPr>
        <w:t>1</w:t>
      </w:r>
      <w:r>
        <w:rPr>
          <w:rFonts w:cs="Times New Roman"/>
          <w:kern w:val="2"/>
        </w:rPr>
        <w:t>.2</w:t>
      </w:r>
      <w:r>
        <w:rPr>
          <w:rFonts w:cs="Times New Roman" w:hint="eastAsia"/>
          <w:kern w:val="2"/>
        </w:rPr>
        <w:t>km</w:t>
      </w:r>
      <w:r>
        <w:rPr>
          <w:rFonts w:cs="Times New Roman" w:hint="eastAsia"/>
          <w:kern w:val="2"/>
        </w:rPr>
        <w:t>，马莲台井田内长度约</w:t>
      </w:r>
      <w:r>
        <w:rPr>
          <w:rFonts w:cs="Times New Roman" w:hint="eastAsia"/>
          <w:kern w:val="2"/>
        </w:rPr>
        <w:t>4</w:t>
      </w:r>
      <w:r>
        <w:rPr>
          <w:rFonts w:cs="Times New Roman"/>
          <w:kern w:val="2"/>
        </w:rPr>
        <w:t>.5</w:t>
      </w:r>
      <w:r>
        <w:rPr>
          <w:rFonts w:cs="Times New Roman" w:hint="eastAsia"/>
          <w:kern w:val="2"/>
        </w:rPr>
        <w:t>km</w:t>
      </w:r>
      <w:r>
        <w:rPr>
          <w:rFonts w:cs="Times New Roman" w:hint="eastAsia"/>
          <w:kern w:val="2"/>
        </w:rPr>
        <w:t>。在红石湾井田河段出入口高</w:t>
      </w:r>
      <w:r>
        <w:rPr>
          <w:rFonts w:hint="eastAsia"/>
        </w:rPr>
        <w:t>差约</w:t>
      </w:r>
      <w:r>
        <w:rPr>
          <w:rFonts w:hint="eastAsia"/>
        </w:rPr>
        <w:t>1</w:t>
      </w:r>
      <w:r>
        <w:t>2</w:t>
      </w:r>
      <w:r>
        <w:rPr>
          <w:rFonts w:hint="eastAsia"/>
        </w:rPr>
        <w:t>m</w:t>
      </w:r>
      <w:r>
        <w:rPr>
          <w:rFonts w:hint="eastAsia"/>
        </w:rPr>
        <w:t>，水力坡度</w:t>
      </w:r>
      <w:r>
        <w:rPr>
          <w:rFonts w:hint="eastAsia"/>
        </w:rPr>
        <w:t>0</w:t>
      </w:r>
      <w:r>
        <w:t>.006</w:t>
      </w:r>
      <w:r>
        <w:rPr>
          <w:rFonts w:hint="eastAsia"/>
        </w:rPr>
        <w:t>；在马莲台受开采沉陷影响的河段下沉深度在</w:t>
      </w:r>
      <w:r>
        <w:t>0.01-4m</w:t>
      </w:r>
      <w:r>
        <w:t>之间</w:t>
      </w:r>
      <w:r>
        <w:rPr>
          <w:rFonts w:hint="eastAsia"/>
        </w:rPr>
        <w:t>，井田河段出入口高差约</w:t>
      </w:r>
      <w:r>
        <w:t>37</w:t>
      </w:r>
      <w:r>
        <w:rPr>
          <w:rFonts w:hint="eastAsia"/>
        </w:rPr>
        <w:t>m</w:t>
      </w:r>
      <w:r>
        <w:rPr>
          <w:rFonts w:hint="eastAsia"/>
        </w:rPr>
        <w:t>，水力坡度</w:t>
      </w:r>
      <w:r>
        <w:rPr>
          <w:rFonts w:hint="eastAsia"/>
        </w:rPr>
        <w:t>0</w:t>
      </w:r>
      <w:r>
        <w:t>.004</w:t>
      </w:r>
      <w:r>
        <w:rPr>
          <w:rFonts w:hint="eastAsia"/>
        </w:rPr>
        <w:t>。红石湾受开采沉陷影响的河段下沉深度在</w:t>
      </w:r>
      <w:r>
        <w:t>0.01-5m</w:t>
      </w:r>
      <w:r>
        <w:t>之间</w:t>
      </w:r>
      <w:r>
        <w:rPr>
          <w:rFonts w:hint="eastAsia"/>
        </w:rPr>
        <w:t>。矿区的开发</w:t>
      </w:r>
      <w:r>
        <w:t>在局部区域可能因沉陷引起的高差变化造成</w:t>
      </w:r>
      <w:r>
        <w:rPr>
          <w:rFonts w:hint="eastAsia"/>
        </w:rPr>
        <w:t>水洞沟水流变缓、河面扩大的情况</w:t>
      </w:r>
      <w:r>
        <w:t>，届时应加强观测，必要时采取疏通河道或抽水等措施，保证汇水通畅。</w:t>
      </w:r>
    </w:p>
    <w:p w14:paraId="78535449" w14:textId="77777777" w:rsidR="009C353B" w:rsidRDefault="00000000">
      <w:pPr>
        <w:pStyle w:val="2ff4"/>
        <w:spacing w:line="440" w:lineRule="exact"/>
        <w:rPr>
          <w:rFonts w:hAnsi="宋体" w:cs="Times New Roman" w:hint="eastAsia"/>
        </w:rPr>
      </w:pPr>
      <w:r>
        <w:rPr>
          <w:rFonts w:cs="Times New Roman" w:hint="eastAsia"/>
        </w:rPr>
        <w:t>丁家梁</w:t>
      </w:r>
      <w:r>
        <w:rPr>
          <w:rFonts w:hAnsi="宋体" w:cs="Times New Roman" w:hint="eastAsia"/>
        </w:rPr>
        <w:t>井田南部开采边界处</w:t>
      </w:r>
      <w:r>
        <w:rPr>
          <w:rFonts w:cs="Times New Roman" w:hint="eastAsia"/>
        </w:rPr>
        <w:t>最大沉陷影响半径约</w:t>
      </w:r>
      <w:r>
        <w:rPr>
          <w:rFonts w:cs="Times New Roman" w:hint="eastAsia"/>
        </w:rPr>
        <w:t>4</w:t>
      </w:r>
      <w:r>
        <w:rPr>
          <w:rFonts w:cs="Times New Roman"/>
        </w:rPr>
        <w:t>60</w:t>
      </w:r>
      <w:r>
        <w:rPr>
          <w:rFonts w:cs="Times New Roman" w:hint="eastAsia"/>
        </w:rPr>
        <w:t>m</w:t>
      </w:r>
      <w:r>
        <w:rPr>
          <w:rFonts w:cs="Times New Roman" w:hint="eastAsia"/>
        </w:rPr>
        <w:t>，</w:t>
      </w:r>
      <w:r>
        <w:rPr>
          <w:rFonts w:hint="eastAsia"/>
        </w:rPr>
        <w:t>丁家梁开采边界距大河子沟最近距离约</w:t>
      </w:r>
      <w:r>
        <w:rPr>
          <w:rFonts w:hint="eastAsia"/>
        </w:rPr>
        <w:t>1</w:t>
      </w:r>
      <w:r>
        <w:t>388</w:t>
      </w:r>
      <w:r>
        <w:rPr>
          <w:rFonts w:hint="eastAsia"/>
        </w:rPr>
        <w:t>m</w:t>
      </w:r>
      <w:r>
        <w:rPr>
          <w:rFonts w:hint="eastAsia"/>
        </w:rPr>
        <w:t>，因此大河子沟</w:t>
      </w:r>
      <w:r>
        <w:rPr>
          <w:rFonts w:cs="Times New Roman" w:hint="eastAsia"/>
        </w:rPr>
        <w:t>河道</w:t>
      </w:r>
      <w:r>
        <w:rPr>
          <w:rFonts w:hAnsi="宋体" w:cs="Times New Roman" w:hint="eastAsia"/>
        </w:rPr>
        <w:t>不会受到开采沉陷影响。</w:t>
      </w:r>
    </w:p>
    <w:p w14:paraId="2FD57D31"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b/>
          <w:bCs/>
        </w:rPr>
        <w:t>8</w:t>
      </w:r>
      <w:r>
        <w:rPr>
          <w:rFonts w:hAnsi="宋体" w:cs="Times New Roman" w:hint="eastAsia"/>
          <w:b/>
          <w:bCs/>
        </w:rPr>
        <w:t>）地表沉陷</w:t>
      </w:r>
      <w:r>
        <w:rPr>
          <w:rFonts w:hAnsi="宋体" w:cs="Times New Roman"/>
          <w:b/>
          <w:bCs/>
        </w:rPr>
        <w:t>对</w:t>
      </w:r>
      <w:r>
        <w:rPr>
          <w:rFonts w:hAnsi="宋体" w:cs="Times New Roman" w:hint="eastAsia"/>
          <w:b/>
          <w:bCs/>
        </w:rPr>
        <w:t>白芨滩自然保护区</w:t>
      </w:r>
      <w:r>
        <w:rPr>
          <w:rFonts w:hAnsi="宋体" w:cs="Times New Roman"/>
          <w:b/>
          <w:bCs/>
        </w:rPr>
        <w:t>的影响分析</w:t>
      </w:r>
    </w:p>
    <w:p w14:paraId="2C309758" w14:textId="77777777" w:rsidR="009C353B" w:rsidRDefault="00000000">
      <w:pPr>
        <w:pStyle w:val="2ff4"/>
        <w:spacing w:line="440" w:lineRule="exact"/>
        <w:rPr>
          <w:rFonts w:cs="Times New Roman"/>
        </w:rPr>
      </w:pPr>
      <w:r>
        <w:rPr>
          <w:rFonts w:hAnsi="宋体" w:cs="Times New Roman" w:hint="eastAsia"/>
        </w:rPr>
        <w:t>具体分析见</w:t>
      </w:r>
      <w:r>
        <w:rPr>
          <w:rFonts w:hAnsi="宋体" w:cs="Times New Roman" w:hint="eastAsia"/>
        </w:rPr>
        <w:t>6.8</w:t>
      </w:r>
      <w:r>
        <w:rPr>
          <w:rFonts w:hAnsi="宋体" w:cs="Times New Roman" w:hint="eastAsia"/>
        </w:rPr>
        <w:t>节。</w:t>
      </w:r>
    </w:p>
    <w:p w14:paraId="5F2ADCF0"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b/>
          <w:bCs/>
        </w:rPr>
        <w:t>9</w:t>
      </w:r>
      <w:r>
        <w:rPr>
          <w:rFonts w:hAnsi="宋体" w:cs="Times New Roman" w:hint="eastAsia"/>
          <w:b/>
          <w:bCs/>
        </w:rPr>
        <w:t>）地表沉陷</w:t>
      </w:r>
      <w:r>
        <w:rPr>
          <w:rFonts w:hAnsi="宋体" w:cs="Times New Roman"/>
          <w:b/>
          <w:bCs/>
        </w:rPr>
        <w:t>对</w:t>
      </w:r>
      <w:r>
        <w:rPr>
          <w:rFonts w:hAnsi="宋体" w:cs="Times New Roman" w:hint="eastAsia"/>
          <w:b/>
          <w:bCs/>
        </w:rPr>
        <w:t>甜水河变电站</w:t>
      </w:r>
      <w:r>
        <w:rPr>
          <w:rFonts w:hAnsi="宋体" w:cs="Times New Roman"/>
          <w:b/>
          <w:bCs/>
        </w:rPr>
        <w:t>的影响</w:t>
      </w:r>
    </w:p>
    <w:p w14:paraId="0A6AD874" w14:textId="77777777" w:rsidR="009C353B" w:rsidRDefault="00000000">
      <w:pPr>
        <w:pStyle w:val="2ff4"/>
        <w:spacing w:line="440" w:lineRule="exact"/>
        <w:rPr>
          <w:rFonts w:hAnsi="宋体" w:cs="Times New Roman" w:hint="eastAsia"/>
        </w:rPr>
      </w:pPr>
      <w:r>
        <w:rPr>
          <w:rFonts w:hAnsi="宋体" w:cs="Times New Roman" w:hint="eastAsia"/>
        </w:rPr>
        <w:t>甜水河变电站位于丁家梁井田内东北角，</w:t>
      </w:r>
      <w:r>
        <w:rPr>
          <w:rFonts w:hAnsi="宋体" w:cs="Times New Roman"/>
        </w:rPr>
        <w:t>占地面积</w:t>
      </w:r>
      <w:r>
        <w:rPr>
          <w:rFonts w:hAnsi="宋体" w:cs="Times New Roman" w:hint="eastAsia"/>
        </w:rPr>
        <w:t>约</w:t>
      </w:r>
      <w:r>
        <w:rPr>
          <w:rFonts w:hAnsi="宋体" w:cs="Times New Roman"/>
        </w:rPr>
        <w:t>112.2hm</w:t>
      </w:r>
      <w:r>
        <w:rPr>
          <w:rFonts w:hAnsi="宋体" w:cs="Times New Roman"/>
          <w:vertAlign w:val="superscript"/>
        </w:rPr>
        <w:t>2</w:t>
      </w:r>
      <w:r>
        <w:rPr>
          <w:rFonts w:hAnsi="宋体" w:cs="Times New Roman" w:hint="eastAsia"/>
        </w:rPr>
        <w:t>。其他井田距甜水河变电站较远，最近的任家庄井田距甜水河变电站距离约</w:t>
      </w:r>
      <w:r>
        <w:rPr>
          <w:rFonts w:hAnsi="宋体" w:cs="Times New Roman" w:hint="eastAsia"/>
        </w:rPr>
        <w:t>1</w:t>
      </w:r>
      <w:r>
        <w:rPr>
          <w:rFonts w:hAnsi="宋体" w:cs="Times New Roman"/>
        </w:rPr>
        <w:t>317</w:t>
      </w:r>
      <w:r>
        <w:rPr>
          <w:rFonts w:hAnsi="宋体" w:cs="Times New Roman" w:hint="eastAsia"/>
        </w:rPr>
        <w:t>m</w:t>
      </w:r>
      <w:r>
        <w:rPr>
          <w:rFonts w:hAnsi="宋体" w:cs="Times New Roman" w:hint="eastAsia"/>
        </w:rPr>
        <w:t>。根据本次地表沉陷预测结果，该区域最大沉陷影响半径约</w:t>
      </w:r>
      <w:r>
        <w:rPr>
          <w:rFonts w:hAnsi="宋体" w:cs="Times New Roman"/>
        </w:rPr>
        <w:t>412</w:t>
      </w:r>
      <w:r>
        <w:rPr>
          <w:rFonts w:hAnsi="宋体" w:cs="Times New Roman" w:hint="eastAsia"/>
        </w:rPr>
        <w:t>m</w:t>
      </w:r>
      <w:r>
        <w:rPr>
          <w:rFonts w:hAnsi="宋体" w:cs="Times New Roman" w:hint="eastAsia"/>
        </w:rPr>
        <w:t>，甜水河变电站不会受到开采沉陷影响。</w:t>
      </w:r>
      <w:r>
        <w:rPr>
          <w:rFonts w:hAnsi="宋体" w:cs="Times New Roman"/>
        </w:rPr>
        <w:t>为保证</w:t>
      </w:r>
      <w:r>
        <w:rPr>
          <w:rFonts w:hAnsi="宋体" w:cs="Times New Roman" w:hint="eastAsia"/>
        </w:rPr>
        <w:t>甜水河变电站</w:t>
      </w:r>
      <w:r>
        <w:rPr>
          <w:rFonts w:hAnsi="宋体" w:cs="Times New Roman"/>
        </w:rPr>
        <w:t>的安全</w:t>
      </w:r>
      <w:r>
        <w:rPr>
          <w:rFonts w:hAnsi="宋体" w:cs="Times New Roman" w:hint="eastAsia"/>
        </w:rPr>
        <w:t>，本次评价提出对其留设</w:t>
      </w:r>
      <w:r>
        <w:rPr>
          <w:rFonts w:hAnsi="宋体" w:cs="Times New Roman" w:hint="eastAsia"/>
        </w:rPr>
        <w:t>4</w:t>
      </w:r>
      <w:r>
        <w:rPr>
          <w:rFonts w:hAnsi="宋体" w:cs="Times New Roman"/>
        </w:rPr>
        <w:t>27</w:t>
      </w:r>
      <w:r>
        <w:rPr>
          <w:rFonts w:hAnsi="宋体" w:cs="Times New Roman" w:hint="eastAsia"/>
        </w:rPr>
        <w:t>m</w:t>
      </w:r>
      <w:r>
        <w:rPr>
          <w:rFonts w:hAnsi="宋体" w:cs="Times New Roman" w:hint="eastAsia"/>
        </w:rPr>
        <w:t>的保护煤柱。在后续开发过程中，应根据《建筑、水体、铁路及煤柱留设与压煤开采规范》以及</w:t>
      </w:r>
      <w:r>
        <w:rPr>
          <w:rFonts w:hAnsi="宋体" w:cs="Times New Roman"/>
        </w:rPr>
        <w:t>实际沉陷观测参数</w:t>
      </w:r>
      <w:r>
        <w:rPr>
          <w:rFonts w:hAnsi="宋体" w:cs="Times New Roman" w:hint="eastAsia"/>
        </w:rPr>
        <w:t>进行调整，保证其不受煤炭开采沉陷影响。</w:t>
      </w:r>
    </w:p>
    <w:p w14:paraId="3FFE97E2"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b/>
          <w:bCs/>
        </w:rPr>
        <w:t>10</w:t>
      </w:r>
      <w:r>
        <w:rPr>
          <w:rFonts w:hAnsi="宋体" w:cs="Times New Roman" w:hint="eastAsia"/>
          <w:b/>
          <w:bCs/>
        </w:rPr>
        <w:t>）地表沉陷</w:t>
      </w:r>
      <w:r>
        <w:rPr>
          <w:rFonts w:hAnsi="宋体" w:cs="Times New Roman"/>
          <w:b/>
          <w:bCs/>
        </w:rPr>
        <w:t>对</w:t>
      </w:r>
      <w:r>
        <w:rPr>
          <w:rFonts w:hAnsi="宋体" w:cs="Times New Roman" w:hint="eastAsia"/>
          <w:b/>
          <w:bCs/>
        </w:rPr>
        <w:t>临河综合工业园区</w:t>
      </w:r>
      <w:r>
        <w:rPr>
          <w:rFonts w:hAnsi="宋体" w:cs="Times New Roman"/>
          <w:b/>
          <w:bCs/>
        </w:rPr>
        <w:t>的影响</w:t>
      </w:r>
    </w:p>
    <w:p w14:paraId="2515865B" w14:textId="77777777" w:rsidR="009C353B" w:rsidRDefault="00000000">
      <w:pPr>
        <w:pStyle w:val="2ff4"/>
        <w:spacing w:line="440" w:lineRule="exact"/>
        <w:rPr>
          <w:rFonts w:hAnsi="宋体" w:cs="Times New Roman" w:hint="eastAsia"/>
        </w:rPr>
      </w:pPr>
      <w:r>
        <w:rPr>
          <w:rFonts w:hAnsi="宋体" w:cs="Times New Roman" w:hint="eastAsia"/>
        </w:rPr>
        <w:t>任家庄井田距临河综合工业园区（</w:t>
      </w:r>
      <w:r>
        <w:rPr>
          <w:rFonts w:hAnsi="宋体" w:cs="Times New Roman"/>
        </w:rPr>
        <w:t>A</w:t>
      </w:r>
      <w:r>
        <w:rPr>
          <w:rFonts w:hAnsi="宋体" w:cs="Times New Roman"/>
        </w:rPr>
        <w:t>区）</w:t>
      </w:r>
      <w:r>
        <w:rPr>
          <w:rFonts w:hAnsi="宋体" w:cs="Times New Roman" w:hint="eastAsia"/>
        </w:rPr>
        <w:t>距离约</w:t>
      </w:r>
      <w:r>
        <w:rPr>
          <w:rFonts w:hAnsi="宋体" w:cs="Times New Roman" w:hint="eastAsia"/>
        </w:rPr>
        <w:t>1</w:t>
      </w:r>
      <w:r>
        <w:rPr>
          <w:rFonts w:hAnsi="宋体" w:cs="Times New Roman"/>
        </w:rPr>
        <w:t>317</w:t>
      </w:r>
      <w:r>
        <w:rPr>
          <w:rFonts w:hAnsi="宋体" w:cs="Times New Roman" w:hint="eastAsia"/>
        </w:rPr>
        <w:t>m</w:t>
      </w:r>
      <w:r>
        <w:rPr>
          <w:rFonts w:hAnsi="宋体" w:cs="Times New Roman" w:hint="eastAsia"/>
        </w:rPr>
        <w:t>，红石湾井田东边界紧邻临河综合工业园区（</w:t>
      </w:r>
      <w:r>
        <w:rPr>
          <w:rFonts w:hAnsi="宋体" w:cs="Times New Roman"/>
        </w:rPr>
        <w:t>B</w:t>
      </w:r>
      <w:r>
        <w:rPr>
          <w:rFonts w:hAnsi="宋体" w:cs="Times New Roman"/>
        </w:rPr>
        <w:t>区）</w:t>
      </w:r>
      <w:r>
        <w:rPr>
          <w:rFonts w:hAnsi="宋体" w:cs="Times New Roman" w:hint="eastAsia"/>
        </w:rPr>
        <w:t>。临河综合工业园区（</w:t>
      </w:r>
      <w:r>
        <w:rPr>
          <w:rFonts w:hAnsi="宋体" w:cs="Times New Roman"/>
        </w:rPr>
        <w:t>A</w:t>
      </w:r>
      <w:r>
        <w:rPr>
          <w:rFonts w:hAnsi="宋体" w:cs="Times New Roman"/>
        </w:rPr>
        <w:t>区）</w:t>
      </w:r>
      <w:r>
        <w:rPr>
          <w:rFonts w:hAnsi="宋体" w:cs="Times New Roman" w:hint="eastAsia"/>
        </w:rPr>
        <w:t>约有</w:t>
      </w:r>
      <w:r>
        <w:rPr>
          <w:rFonts w:hAnsi="宋体" w:cs="Times New Roman"/>
        </w:rPr>
        <w:t>23.18hm</w:t>
      </w:r>
      <w:r>
        <w:rPr>
          <w:rFonts w:hAnsi="宋体" w:cs="Times New Roman"/>
          <w:vertAlign w:val="superscript"/>
        </w:rPr>
        <w:t>2</w:t>
      </w:r>
      <w:r>
        <w:rPr>
          <w:rFonts w:hAnsi="宋体" w:cs="Times New Roman" w:hint="eastAsia"/>
        </w:rPr>
        <w:t>位于丁家梁井田内东北角。据本次地表沉陷预测结果，临河综合工业园区（</w:t>
      </w:r>
      <w:r>
        <w:rPr>
          <w:rFonts w:hAnsi="宋体" w:cs="Times New Roman"/>
        </w:rPr>
        <w:t>A</w:t>
      </w:r>
      <w:r>
        <w:rPr>
          <w:rFonts w:hAnsi="宋体" w:cs="Times New Roman"/>
        </w:rPr>
        <w:t>区）</w:t>
      </w:r>
      <w:r>
        <w:rPr>
          <w:rFonts w:hAnsi="宋体" w:cs="Times New Roman" w:hint="eastAsia"/>
        </w:rPr>
        <w:t>不会受到开采沉陷影响。根</w:t>
      </w:r>
      <w:r>
        <w:rPr>
          <w:rFonts w:hAnsi="宋体" w:cs="Times New Roman"/>
        </w:rPr>
        <w:t>为保证</w:t>
      </w:r>
      <w:r>
        <w:rPr>
          <w:rFonts w:hAnsi="宋体" w:cs="Times New Roman" w:hint="eastAsia"/>
        </w:rPr>
        <w:t>工业园区</w:t>
      </w:r>
      <w:r>
        <w:rPr>
          <w:rFonts w:hAnsi="宋体" w:cs="Times New Roman"/>
        </w:rPr>
        <w:t>的安全</w:t>
      </w:r>
      <w:r>
        <w:rPr>
          <w:rFonts w:hAnsi="宋体" w:cs="Times New Roman" w:hint="eastAsia"/>
        </w:rPr>
        <w:t>，本次评价提出对其留设</w:t>
      </w:r>
      <w:r>
        <w:rPr>
          <w:rFonts w:hAnsi="宋体" w:cs="Times New Roman" w:hint="eastAsia"/>
        </w:rPr>
        <w:t>4</w:t>
      </w:r>
      <w:r>
        <w:rPr>
          <w:rFonts w:hAnsi="宋体" w:cs="Times New Roman"/>
        </w:rPr>
        <w:t>27</w:t>
      </w:r>
      <w:r>
        <w:rPr>
          <w:rFonts w:hAnsi="宋体" w:cs="Times New Roman" w:hint="eastAsia"/>
        </w:rPr>
        <w:t>m</w:t>
      </w:r>
      <w:r>
        <w:rPr>
          <w:rFonts w:hAnsi="宋体" w:cs="Times New Roman" w:hint="eastAsia"/>
        </w:rPr>
        <w:t>的保护煤柱。在后续开发过程中，应根据《建筑、水体、铁路及煤柱留设与压煤开采规范》以及</w:t>
      </w:r>
      <w:r>
        <w:rPr>
          <w:rFonts w:hAnsi="宋体" w:cs="Times New Roman"/>
        </w:rPr>
        <w:t>实际沉陷观测参数</w:t>
      </w:r>
      <w:r>
        <w:rPr>
          <w:rFonts w:hAnsi="宋体" w:cs="Times New Roman" w:hint="eastAsia"/>
        </w:rPr>
        <w:t>进行调整，保证其不受煤炭开采沉陷影响。</w:t>
      </w:r>
    </w:p>
    <w:p w14:paraId="45D00EF3"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b/>
          <w:bCs/>
        </w:rPr>
        <w:t>11</w:t>
      </w:r>
      <w:r>
        <w:rPr>
          <w:rFonts w:hAnsi="宋体" w:cs="Times New Roman" w:hint="eastAsia"/>
          <w:b/>
          <w:bCs/>
        </w:rPr>
        <w:t>）地表沉陷</w:t>
      </w:r>
      <w:r>
        <w:rPr>
          <w:rFonts w:hAnsi="宋体" w:cs="Times New Roman"/>
          <w:b/>
          <w:bCs/>
        </w:rPr>
        <w:t>对</w:t>
      </w:r>
      <w:r>
        <w:rPr>
          <w:rFonts w:hAnsi="宋体" w:cs="Times New Roman" w:hint="eastAsia"/>
          <w:b/>
          <w:bCs/>
        </w:rPr>
        <w:t>宁东化工产业园</w:t>
      </w:r>
      <w:r>
        <w:rPr>
          <w:rFonts w:hAnsi="宋体" w:cs="Times New Roman"/>
          <w:b/>
          <w:bCs/>
        </w:rPr>
        <w:t>的影响</w:t>
      </w:r>
    </w:p>
    <w:p w14:paraId="59DA5B77" w14:textId="77777777" w:rsidR="009C353B" w:rsidRDefault="00000000">
      <w:pPr>
        <w:pStyle w:val="2ff4"/>
        <w:spacing w:line="440" w:lineRule="exact"/>
        <w:rPr>
          <w:rFonts w:hAnsi="宋体" w:cs="Times New Roman" w:hint="eastAsia"/>
        </w:rPr>
      </w:pPr>
      <w:r>
        <w:rPr>
          <w:rFonts w:hAnsi="宋体" w:cs="Times New Roman" w:hint="eastAsia"/>
        </w:rPr>
        <w:t>宁东煤化工产业园区有</w:t>
      </w:r>
      <w:r>
        <w:rPr>
          <w:rFonts w:hAnsi="宋体" w:cs="Times New Roman" w:hint="eastAsia"/>
        </w:rPr>
        <w:t>1</w:t>
      </w:r>
      <w:r>
        <w:rPr>
          <w:rFonts w:hAnsi="宋体" w:cs="Times New Roman"/>
        </w:rPr>
        <w:t>.14</w:t>
      </w:r>
      <w:r>
        <w:rPr>
          <w:rFonts w:hAnsi="宋体" w:cs="Times New Roman" w:hint="eastAsia"/>
        </w:rPr>
        <w:t>km</w:t>
      </w:r>
      <w:r>
        <w:rPr>
          <w:rFonts w:hAnsi="宋体" w:cs="Times New Roman"/>
          <w:vertAlign w:val="superscript"/>
        </w:rPr>
        <w:t>2</w:t>
      </w:r>
      <w:r>
        <w:rPr>
          <w:rFonts w:hAnsi="宋体" w:cs="Times New Roman" w:hint="eastAsia"/>
        </w:rPr>
        <w:t>与马莲台井田南部重合，</w:t>
      </w:r>
      <w:r>
        <w:rPr>
          <w:rFonts w:hAnsi="宋体" w:cs="Times New Roman"/>
        </w:rPr>
        <w:t>为保证</w:t>
      </w:r>
      <w:r>
        <w:rPr>
          <w:rFonts w:hAnsi="宋体" w:cs="Times New Roman" w:hint="eastAsia"/>
        </w:rPr>
        <w:t>产业园</w:t>
      </w:r>
      <w:r>
        <w:rPr>
          <w:rFonts w:hAnsi="宋体" w:cs="Times New Roman"/>
        </w:rPr>
        <w:t>的安全</w:t>
      </w:r>
      <w:r>
        <w:rPr>
          <w:rFonts w:hAnsi="宋体" w:cs="Times New Roman" w:hint="eastAsia"/>
        </w:rPr>
        <w:t>，本次评价提出在后续开发过程中，应根据《建筑、水体、铁路及煤柱留设与压煤开采规范》</w:t>
      </w:r>
      <w:r>
        <w:rPr>
          <w:rFonts w:hint="eastAsia"/>
        </w:rPr>
        <w:t>及地表岩移观测结果</w:t>
      </w:r>
      <w:r>
        <w:rPr>
          <w:rFonts w:hAnsi="宋体" w:cs="Times New Roman" w:hint="eastAsia"/>
        </w:rPr>
        <w:t>对其留设</w:t>
      </w:r>
      <w:r>
        <w:rPr>
          <w:rFonts w:hAnsi="宋体" w:cs="Times New Roman" w:hint="eastAsia"/>
        </w:rPr>
        <w:t>2</w:t>
      </w:r>
      <w:r>
        <w:rPr>
          <w:rFonts w:hAnsi="宋体" w:cs="Times New Roman"/>
        </w:rPr>
        <w:t>06-460</w:t>
      </w:r>
      <w:r>
        <w:rPr>
          <w:rFonts w:hAnsi="宋体" w:cs="Times New Roman" w:hint="eastAsia"/>
        </w:rPr>
        <w:t>m</w:t>
      </w:r>
      <w:r>
        <w:rPr>
          <w:rFonts w:hAnsi="宋体" w:cs="Times New Roman" w:hint="eastAsia"/>
        </w:rPr>
        <w:t>的保护煤柱，保证其不受煤炭开采影响。其他三个井田距宁东煤化工产业园区较远，不会影响到宁东煤化工产业园区。在按照本次评价要求留设保护煤柱后，宁东煤化工产业园不会受到开采沉陷影响。</w:t>
      </w:r>
    </w:p>
    <w:p w14:paraId="28F3C03F"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hint="eastAsia"/>
          <w:b/>
          <w:bCs/>
        </w:rPr>
        <w:t>1</w:t>
      </w:r>
      <w:r>
        <w:rPr>
          <w:rFonts w:hAnsi="宋体" w:cs="Times New Roman"/>
          <w:b/>
          <w:bCs/>
        </w:rPr>
        <w:t>2</w:t>
      </w:r>
      <w:r>
        <w:rPr>
          <w:rFonts w:hAnsi="宋体" w:cs="Times New Roman" w:hint="eastAsia"/>
          <w:b/>
          <w:bCs/>
        </w:rPr>
        <w:t>）地表沉陷</w:t>
      </w:r>
      <w:r>
        <w:rPr>
          <w:rFonts w:hAnsi="宋体" w:cs="Times New Roman"/>
          <w:b/>
          <w:bCs/>
        </w:rPr>
        <w:t>对</w:t>
      </w:r>
      <w:r>
        <w:rPr>
          <w:rFonts w:hAnsi="宋体" w:cs="Times New Roman" w:hint="eastAsia"/>
          <w:b/>
          <w:bCs/>
        </w:rPr>
        <w:t>宝丰能源光伏电站</w:t>
      </w:r>
      <w:r>
        <w:rPr>
          <w:rFonts w:hAnsi="宋体" w:cs="Times New Roman"/>
          <w:b/>
          <w:bCs/>
        </w:rPr>
        <w:t>的影响分析</w:t>
      </w:r>
    </w:p>
    <w:p w14:paraId="2A22E676" w14:textId="77777777" w:rsidR="009C353B" w:rsidRDefault="00000000">
      <w:pPr>
        <w:pStyle w:val="2ff4"/>
        <w:spacing w:line="440" w:lineRule="exact"/>
        <w:rPr>
          <w:rFonts w:hAnsi="宋体" w:cs="Times New Roman" w:hint="eastAsia"/>
        </w:rPr>
      </w:pPr>
      <w:r>
        <w:rPr>
          <w:rFonts w:hAnsi="宋体" w:cs="Times New Roman" w:hint="eastAsia"/>
        </w:rPr>
        <w:t>宝丰能源光伏电站位于马莲台井田内三、五采区，井田内约</w:t>
      </w:r>
      <w:r>
        <w:rPr>
          <w:rFonts w:hAnsi="宋体" w:cs="Times New Roman" w:hint="eastAsia"/>
        </w:rPr>
        <w:t>1</w:t>
      </w:r>
      <w:r>
        <w:rPr>
          <w:rFonts w:hAnsi="宋体" w:cs="Times New Roman"/>
        </w:rPr>
        <w:t>.60</w:t>
      </w:r>
      <w:r>
        <w:rPr>
          <w:rFonts w:hAnsi="宋体" w:cs="Times New Roman" w:hint="eastAsia"/>
        </w:rPr>
        <w:t>km</w:t>
      </w:r>
      <w:r>
        <w:rPr>
          <w:rFonts w:hAnsi="宋体" w:cs="Times New Roman"/>
          <w:vertAlign w:val="superscript"/>
        </w:rPr>
        <w:t>2</w:t>
      </w:r>
      <w:r>
        <w:rPr>
          <w:rFonts w:hAnsi="宋体" w:cs="Times New Roman" w:hint="eastAsia"/>
        </w:rPr>
        <w:t>，服务年限约</w:t>
      </w:r>
      <w:r>
        <w:rPr>
          <w:rFonts w:hAnsi="宋体" w:cs="Times New Roman" w:hint="eastAsia"/>
        </w:rPr>
        <w:t>2</w:t>
      </w:r>
      <w:r>
        <w:rPr>
          <w:rFonts w:hAnsi="宋体" w:cs="Times New Roman"/>
        </w:rPr>
        <w:t>0</w:t>
      </w:r>
      <w:r>
        <w:rPr>
          <w:rFonts w:hAnsi="宋体" w:cs="Times New Roman" w:hint="eastAsia"/>
        </w:rPr>
        <w:t>年。根据马莲台煤矿开采规划：</w:t>
      </w:r>
      <w:r>
        <w:rPr>
          <w:rFonts w:hAnsi="宋体" w:cs="Times New Roman"/>
        </w:rPr>
        <w:t>采区接续顺序如下：二采区→三采区→四采区→五采区</w:t>
      </w:r>
      <w:r>
        <w:rPr>
          <w:rFonts w:hAnsi="宋体" w:cs="Times New Roman" w:hint="eastAsia"/>
        </w:rPr>
        <w:t>。二采区计划</w:t>
      </w:r>
      <w:r>
        <w:rPr>
          <w:rFonts w:hAnsi="宋体" w:cs="Times New Roman"/>
        </w:rPr>
        <w:t>2025</w:t>
      </w:r>
      <w:r>
        <w:rPr>
          <w:rFonts w:hAnsi="宋体" w:cs="Times New Roman"/>
        </w:rPr>
        <w:t>年年底回采结束，三采区计划</w:t>
      </w:r>
      <w:r>
        <w:rPr>
          <w:rFonts w:hAnsi="宋体" w:cs="Times New Roman"/>
        </w:rPr>
        <w:t>2028</w:t>
      </w:r>
      <w:r>
        <w:rPr>
          <w:rFonts w:hAnsi="宋体" w:cs="Times New Roman"/>
        </w:rPr>
        <w:t>年回采结束。根据煤层赋存条件，考虑建设工期、产能因素，四采区计划于</w:t>
      </w:r>
      <w:r>
        <w:rPr>
          <w:rFonts w:hAnsi="宋体" w:cs="Times New Roman"/>
        </w:rPr>
        <w:t>2020</w:t>
      </w:r>
      <w:r>
        <w:rPr>
          <w:rFonts w:hAnsi="宋体" w:cs="Times New Roman"/>
        </w:rPr>
        <w:t>年</w:t>
      </w:r>
      <w:r>
        <w:rPr>
          <w:rFonts w:hAnsi="宋体" w:cs="Times New Roman"/>
        </w:rPr>
        <w:t>8</w:t>
      </w:r>
      <w:r>
        <w:rPr>
          <w:rFonts w:hAnsi="宋体" w:cs="Times New Roman"/>
        </w:rPr>
        <w:t>月份开工建设，</w:t>
      </w:r>
      <w:r>
        <w:rPr>
          <w:rFonts w:hAnsi="宋体" w:cs="Times New Roman"/>
        </w:rPr>
        <w:t>2023</w:t>
      </w:r>
      <w:r>
        <w:rPr>
          <w:rFonts w:hAnsi="宋体" w:cs="Times New Roman"/>
        </w:rPr>
        <w:t>年</w:t>
      </w:r>
      <w:r>
        <w:rPr>
          <w:rFonts w:hAnsi="宋体" w:cs="Times New Roman"/>
        </w:rPr>
        <w:t>9</w:t>
      </w:r>
      <w:r>
        <w:rPr>
          <w:rFonts w:hAnsi="宋体" w:cs="Times New Roman"/>
        </w:rPr>
        <w:t>月份首采工作面形成，五采区计划</w:t>
      </w:r>
      <w:r>
        <w:rPr>
          <w:rFonts w:hAnsi="宋体" w:cs="Times New Roman"/>
        </w:rPr>
        <w:t>2024</w:t>
      </w:r>
      <w:r>
        <w:rPr>
          <w:rFonts w:hAnsi="宋体" w:cs="Times New Roman"/>
        </w:rPr>
        <w:t>年</w:t>
      </w:r>
      <w:r>
        <w:rPr>
          <w:rFonts w:hAnsi="宋体" w:cs="Times New Roman"/>
        </w:rPr>
        <w:t>10</w:t>
      </w:r>
      <w:r>
        <w:rPr>
          <w:rFonts w:hAnsi="宋体" w:cs="Times New Roman"/>
        </w:rPr>
        <w:t>月份开工建设，</w:t>
      </w:r>
      <w:r>
        <w:rPr>
          <w:rFonts w:hAnsi="宋体" w:cs="Times New Roman"/>
        </w:rPr>
        <w:t>2027</w:t>
      </w:r>
      <w:r>
        <w:rPr>
          <w:rFonts w:hAnsi="宋体" w:cs="Times New Roman"/>
        </w:rPr>
        <w:t>年年底首采工作面形成。</w:t>
      </w:r>
    </w:p>
    <w:p w14:paraId="17F011D7" w14:textId="77777777" w:rsidR="009C353B" w:rsidRDefault="00000000">
      <w:pPr>
        <w:pStyle w:val="2ff4"/>
        <w:spacing w:line="440" w:lineRule="exact"/>
        <w:rPr>
          <w:rFonts w:hAnsi="宋体" w:cs="Times New Roman" w:hint="eastAsia"/>
        </w:rPr>
      </w:pPr>
      <w:r>
        <w:rPr>
          <w:rFonts w:hAnsi="宋体" w:cs="Times New Roman" w:hint="eastAsia"/>
        </w:rPr>
        <w:t>根据本次地表沉陷预测结果，马莲台井田内最大沉陷深度约</w:t>
      </w:r>
      <w:r>
        <w:rPr>
          <w:rFonts w:hAnsi="宋体" w:cs="Times New Roman" w:hint="eastAsia"/>
        </w:rPr>
        <w:t>1</w:t>
      </w:r>
      <w:r>
        <w:rPr>
          <w:rFonts w:hAnsi="宋体" w:cs="Times New Roman"/>
        </w:rPr>
        <w:t>5</w:t>
      </w:r>
      <w:r>
        <w:rPr>
          <w:rFonts w:hAnsi="宋体" w:cs="Times New Roman" w:hint="eastAsia"/>
        </w:rPr>
        <w:t>m</w:t>
      </w:r>
      <w:r>
        <w:rPr>
          <w:rFonts w:hAnsi="宋体" w:cs="Times New Roman" w:hint="eastAsia"/>
        </w:rPr>
        <w:t>，届时将对尚在服务期内的光伏电站项目产生Ⅳ级破坏。马莲台煤矿及光伏电站均同属于宝丰能源集团，评价建议由集团内部协调解决井田开采顺序与光伏电站保护问题。</w:t>
      </w:r>
    </w:p>
    <w:p w14:paraId="6FE917D4"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b/>
          <w:bCs/>
        </w:rPr>
        <w:t>13</w:t>
      </w:r>
      <w:r>
        <w:rPr>
          <w:rFonts w:hAnsi="宋体" w:cs="Times New Roman" w:hint="eastAsia"/>
          <w:b/>
          <w:bCs/>
        </w:rPr>
        <w:t>）地表沉陷</w:t>
      </w:r>
      <w:r>
        <w:rPr>
          <w:rFonts w:hAnsi="宋体" w:cs="Times New Roman"/>
          <w:b/>
          <w:bCs/>
        </w:rPr>
        <w:t>对</w:t>
      </w:r>
      <w:r>
        <w:rPr>
          <w:rFonts w:hAnsi="宋体" w:cs="Times New Roman" w:hint="eastAsia"/>
          <w:b/>
          <w:bCs/>
        </w:rPr>
        <w:t>其他构、建筑物</w:t>
      </w:r>
      <w:r>
        <w:rPr>
          <w:rFonts w:hAnsi="宋体" w:cs="Times New Roman"/>
          <w:b/>
          <w:bCs/>
        </w:rPr>
        <w:t>的影响</w:t>
      </w:r>
    </w:p>
    <w:p w14:paraId="5C441F18" w14:textId="77777777" w:rsidR="009C353B" w:rsidRDefault="00000000">
      <w:pPr>
        <w:pStyle w:val="2ff4"/>
        <w:spacing w:line="440" w:lineRule="exact"/>
        <w:rPr>
          <w:rFonts w:hAnsi="宋体" w:cs="Times New Roman" w:hint="eastAsia"/>
          <w:b/>
          <w:bCs/>
        </w:rPr>
      </w:pPr>
      <w:r>
        <w:rPr>
          <w:rFonts w:cs="Times New Roman" w:hint="eastAsia"/>
        </w:rPr>
        <w:t>井田地处宁东能源化工基地，地面已有建（构）筑物及设施较多，评价范围内的其他构、建筑物包括宁东净水厂、宁东配水厂、宁东火车站。上述构、建筑物距离各井田均较远，其中距离最近的丁家梁井田开采边界最近距离约</w:t>
      </w:r>
      <w:r>
        <w:rPr>
          <w:rFonts w:cs="Times New Roman" w:hint="eastAsia"/>
        </w:rPr>
        <w:t>1</w:t>
      </w:r>
      <w:r>
        <w:rPr>
          <w:rFonts w:cs="Times New Roman"/>
        </w:rPr>
        <w:t>600</w:t>
      </w:r>
      <w:r>
        <w:rPr>
          <w:rFonts w:cs="Times New Roman" w:hint="eastAsia"/>
        </w:rPr>
        <w:t>m</w:t>
      </w:r>
      <w:r>
        <w:rPr>
          <w:rFonts w:cs="Times New Roman" w:hint="eastAsia"/>
        </w:rPr>
        <w:t>。</w:t>
      </w:r>
      <w:r>
        <w:rPr>
          <w:rFonts w:hAnsi="宋体" w:cs="Times New Roman" w:hint="eastAsia"/>
        </w:rPr>
        <w:t>根据本次地表沉陷预测结果，</w:t>
      </w:r>
      <w:r>
        <w:rPr>
          <w:rFonts w:cs="Times New Roman" w:hint="eastAsia"/>
        </w:rPr>
        <w:t>丁家梁井田最大沉陷影响半径约</w:t>
      </w:r>
      <w:r>
        <w:rPr>
          <w:rFonts w:cs="Times New Roman" w:hint="eastAsia"/>
        </w:rPr>
        <w:t>4</w:t>
      </w:r>
      <w:r>
        <w:rPr>
          <w:rFonts w:cs="Times New Roman"/>
        </w:rPr>
        <w:t>60</w:t>
      </w:r>
      <w:r>
        <w:rPr>
          <w:rFonts w:cs="Times New Roman" w:hint="eastAsia"/>
        </w:rPr>
        <w:t>m</w:t>
      </w:r>
      <w:r>
        <w:rPr>
          <w:rFonts w:cs="Times New Roman" w:hint="eastAsia"/>
        </w:rPr>
        <w:t>，上述构、建筑物</w:t>
      </w:r>
      <w:r>
        <w:rPr>
          <w:rFonts w:hAnsi="宋体" w:cs="Times New Roman" w:hint="eastAsia"/>
        </w:rPr>
        <w:t>不会受到开采沉陷影响。</w:t>
      </w:r>
    </w:p>
    <w:p w14:paraId="3C69B7F5"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b/>
          <w:bCs/>
        </w:rPr>
        <w:t>14</w:t>
      </w:r>
      <w:r>
        <w:rPr>
          <w:rFonts w:hAnsi="宋体" w:cs="Times New Roman" w:hint="eastAsia"/>
          <w:b/>
          <w:bCs/>
        </w:rPr>
        <w:t>）地表沉陷</w:t>
      </w:r>
      <w:r>
        <w:rPr>
          <w:rFonts w:hAnsi="宋体" w:cs="Times New Roman"/>
          <w:b/>
          <w:bCs/>
        </w:rPr>
        <w:t>对</w:t>
      </w:r>
      <w:r>
        <w:rPr>
          <w:rFonts w:hAnsi="宋体" w:cs="Times New Roman" w:hint="eastAsia"/>
          <w:b/>
          <w:bCs/>
        </w:rPr>
        <w:t>宁东基地</w:t>
      </w:r>
      <w:r>
        <w:rPr>
          <w:rFonts w:hAnsi="宋体" w:cs="Times New Roman" w:hint="eastAsia"/>
          <w:b/>
          <w:bCs/>
        </w:rPr>
        <w:t>2</w:t>
      </w:r>
      <w:r>
        <w:rPr>
          <w:rFonts w:hAnsi="宋体" w:cs="Times New Roman" w:hint="eastAsia"/>
          <w:b/>
          <w:bCs/>
        </w:rPr>
        <w:t>号综合</w:t>
      </w:r>
      <w:r>
        <w:rPr>
          <w:rFonts w:hAnsi="宋体" w:cs="Times New Roman"/>
          <w:b/>
          <w:bCs/>
        </w:rPr>
        <w:t>渣场的影响</w:t>
      </w:r>
    </w:p>
    <w:p w14:paraId="3EC2FC7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宁东基地</w:t>
      </w:r>
      <w:r>
        <w:rPr>
          <w:rFonts w:ascii="Times New Roman"/>
        </w:rPr>
        <w:t>2</w:t>
      </w:r>
      <w:r>
        <w:rPr>
          <w:rFonts w:ascii="Times New Roman"/>
        </w:rPr>
        <w:t>号综合渣场占地面积</w:t>
      </w:r>
      <w:r>
        <w:rPr>
          <w:rFonts w:ascii="Times New Roman" w:hint="eastAsia"/>
        </w:rPr>
        <w:t>约</w:t>
      </w:r>
      <w:r>
        <w:rPr>
          <w:rFonts w:ascii="Times New Roman"/>
        </w:rPr>
        <w:t>1.76km</w:t>
      </w:r>
      <w:r>
        <w:rPr>
          <w:rFonts w:ascii="Times New Roman"/>
          <w:vertAlign w:val="superscript"/>
        </w:rPr>
        <w:t>2</w:t>
      </w:r>
      <w:r>
        <w:rPr>
          <w:rFonts w:ascii="Times New Roman"/>
        </w:rPr>
        <w:t>，位于原甜水河煤矿井田内</w:t>
      </w:r>
      <w:r>
        <w:rPr>
          <w:rFonts w:ascii="Times New Roman" w:hint="eastAsia"/>
        </w:rPr>
        <w:t>。</w:t>
      </w:r>
    </w:p>
    <w:p w14:paraId="595CE9A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原甜水河煤矿于</w:t>
      </w:r>
      <w:r>
        <w:rPr>
          <w:rFonts w:ascii="Times New Roman" w:hint="eastAsia"/>
        </w:rPr>
        <w:t>2</w:t>
      </w:r>
      <w:r>
        <w:rPr>
          <w:rFonts w:ascii="Times New Roman"/>
        </w:rPr>
        <w:t>013</w:t>
      </w:r>
      <w:r>
        <w:rPr>
          <w:rFonts w:ascii="Times New Roman" w:hint="eastAsia"/>
        </w:rPr>
        <w:t>年</w:t>
      </w:r>
      <w:r>
        <w:rPr>
          <w:rFonts w:ascii="Times New Roman" w:hint="eastAsia"/>
        </w:rPr>
        <w:t>6</w:t>
      </w:r>
      <w:r>
        <w:rPr>
          <w:rFonts w:ascii="Times New Roman" w:hint="eastAsia"/>
        </w:rPr>
        <w:t>月</w:t>
      </w:r>
      <w:r>
        <w:rPr>
          <w:rFonts w:ascii="Times New Roman" w:hint="eastAsia"/>
        </w:rPr>
        <w:t>1</w:t>
      </w:r>
      <w:r>
        <w:rPr>
          <w:rFonts w:ascii="Times New Roman"/>
        </w:rPr>
        <w:t>9</w:t>
      </w:r>
      <w:r>
        <w:rPr>
          <w:rFonts w:ascii="Times New Roman" w:hint="eastAsia"/>
        </w:rPr>
        <w:t>取得原宁夏回族自治区环境保护厅环评批复——宁环审发</w:t>
      </w:r>
      <w:r>
        <w:rPr>
          <w:rFonts w:hint="eastAsia"/>
        </w:rPr>
        <w:t>〔</w:t>
      </w:r>
      <w:r>
        <w:rPr>
          <w:rFonts w:ascii="Times New Roman"/>
        </w:rPr>
        <w:t>2013</w:t>
      </w:r>
      <w:r>
        <w:rPr>
          <w:rFonts w:hint="eastAsia"/>
        </w:rPr>
        <w:t>〕</w:t>
      </w:r>
      <w:r>
        <w:rPr>
          <w:rFonts w:ascii="Times New Roman"/>
        </w:rPr>
        <w:t>44</w:t>
      </w:r>
      <w:r>
        <w:rPr>
          <w:rFonts w:ascii="Times New Roman" w:hint="eastAsia"/>
        </w:rPr>
        <w:t>号文《关于国网能源宁夏煤电有限公司甜水河矿井及选煤厂环境影响报告书的批复》，但后续并未建设。</w:t>
      </w:r>
    </w:p>
    <w:p w14:paraId="5C7C85E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2</w:t>
      </w:r>
      <w:r>
        <w:rPr>
          <w:rFonts w:ascii="Times New Roman"/>
        </w:rPr>
        <w:t>013</w:t>
      </w:r>
      <w:r>
        <w:rPr>
          <w:rFonts w:ascii="Times New Roman" w:hint="eastAsia"/>
        </w:rPr>
        <w:t>年</w:t>
      </w:r>
      <w:r>
        <w:rPr>
          <w:rFonts w:ascii="Times New Roman" w:hint="eastAsia"/>
        </w:rPr>
        <w:t>12</w:t>
      </w:r>
      <w:r>
        <w:rPr>
          <w:rFonts w:ascii="Times New Roman" w:hint="eastAsia"/>
        </w:rPr>
        <w:t>月</w:t>
      </w:r>
      <w:r>
        <w:rPr>
          <w:rFonts w:ascii="Times New Roman" w:hint="eastAsia"/>
        </w:rPr>
        <w:t>1</w:t>
      </w:r>
      <w:r>
        <w:rPr>
          <w:rFonts w:ascii="Times New Roman"/>
        </w:rPr>
        <w:t>9</w:t>
      </w:r>
      <w:r>
        <w:rPr>
          <w:rFonts w:ascii="Times New Roman" w:hint="eastAsia"/>
        </w:rPr>
        <w:t>日，宁东基地管委会环保局以宁东管（环）发</w:t>
      </w:r>
      <w:r>
        <w:rPr>
          <w:rFonts w:hint="eastAsia"/>
        </w:rPr>
        <w:t>〔</w:t>
      </w:r>
      <w:r>
        <w:rPr>
          <w:rFonts w:ascii="Times New Roman"/>
        </w:rPr>
        <w:t>2013</w:t>
      </w:r>
      <w:r>
        <w:rPr>
          <w:rFonts w:hint="eastAsia"/>
        </w:rPr>
        <w:t>〕</w:t>
      </w:r>
      <w:r>
        <w:rPr>
          <w:rFonts w:ascii="Times New Roman"/>
        </w:rPr>
        <w:t>167</w:t>
      </w:r>
      <w:r>
        <w:rPr>
          <w:rFonts w:ascii="Times New Roman" w:hint="eastAsia"/>
        </w:rPr>
        <w:t>号文《关于宁夏宁东开发投资有限公司宁东能源化工基地</w:t>
      </w:r>
      <w:r>
        <w:rPr>
          <w:rFonts w:ascii="Times New Roman" w:hint="eastAsia"/>
        </w:rPr>
        <w:t>2</w:t>
      </w:r>
      <w:r>
        <w:rPr>
          <w:rFonts w:ascii="Times New Roman" w:hint="eastAsia"/>
        </w:rPr>
        <w:t>号综合渣场项目环境影响报告书的批复》对宁东基地</w:t>
      </w:r>
      <w:r>
        <w:rPr>
          <w:rFonts w:ascii="Times New Roman"/>
        </w:rPr>
        <w:t>2</w:t>
      </w:r>
      <w:r>
        <w:rPr>
          <w:rFonts w:ascii="Times New Roman"/>
        </w:rPr>
        <w:t>号综合渣场环评进行了批复</w:t>
      </w:r>
      <w:r>
        <w:rPr>
          <w:rFonts w:ascii="Times New Roman" w:hint="eastAsia"/>
        </w:rPr>
        <w:t>。</w:t>
      </w:r>
    </w:p>
    <w:p w14:paraId="3028FD4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本次规划修编时将原甜水河井田调入丁家梁井田与原规划的丁家梁井田一起规划形成新的丁家梁井田。本次规划修编后，宁东基地</w:t>
      </w:r>
      <w:r>
        <w:rPr>
          <w:rFonts w:ascii="Times New Roman"/>
        </w:rPr>
        <w:t>2</w:t>
      </w:r>
      <w:r>
        <w:rPr>
          <w:rFonts w:ascii="Times New Roman"/>
        </w:rPr>
        <w:t>号综合渣场</w:t>
      </w:r>
      <w:r>
        <w:rPr>
          <w:rFonts w:ascii="Times New Roman" w:hint="eastAsia"/>
        </w:rPr>
        <w:t>位于丁家梁井田内。渣场</w:t>
      </w:r>
      <w:r>
        <w:rPr>
          <w:rFonts w:ascii="Times New Roman"/>
        </w:rPr>
        <w:t>底部和边坡设防渗层，渗透系数均小于</w:t>
      </w:r>
      <w:r>
        <w:rPr>
          <w:rFonts w:ascii="Times New Roman"/>
        </w:rPr>
        <w:t>10</w:t>
      </w:r>
      <w:r>
        <w:rPr>
          <w:rFonts w:ascii="Times New Roman"/>
          <w:vertAlign w:val="superscript"/>
        </w:rPr>
        <w:t>-7</w:t>
      </w:r>
      <w:r>
        <w:rPr>
          <w:rFonts w:ascii="Times New Roman"/>
        </w:rPr>
        <w:t>cm/s</w:t>
      </w:r>
      <w:r>
        <w:rPr>
          <w:rFonts w:ascii="Times New Roman"/>
        </w:rPr>
        <w:t>，其南部拦渣坝紧邻太中银铁路，在太中银铁路保护煤柱范围内。</w:t>
      </w:r>
    </w:p>
    <w:p w14:paraId="2F886B66" w14:textId="77777777" w:rsidR="009C353B" w:rsidRDefault="00000000">
      <w:pPr>
        <w:adjustRightInd w:val="0"/>
        <w:snapToGrid w:val="0"/>
        <w:spacing w:line="440" w:lineRule="exact"/>
        <w:ind w:firstLineChars="200" w:firstLine="480"/>
        <w:rPr>
          <w:rFonts w:ascii="Times New Roman" w:hint="eastAsia"/>
        </w:rPr>
      </w:pPr>
      <w:r>
        <w:rPr>
          <w:rFonts w:ascii="Times New Roman"/>
        </w:rPr>
        <w:t>根据开采沉陷预测结果</w:t>
      </w:r>
      <w:r>
        <w:rPr>
          <w:rFonts w:ascii="Times New Roman" w:hint="eastAsia"/>
        </w:rPr>
        <w:t>，丁家梁煤矿开采后，渣场将受到开采沉陷影响，其下沉量在</w:t>
      </w:r>
      <w:r>
        <w:rPr>
          <w:rFonts w:ascii="Times New Roman" w:hint="eastAsia"/>
        </w:rPr>
        <w:t>0-</w:t>
      </w:r>
      <w:r>
        <w:rPr>
          <w:rFonts w:ascii="Times New Roman"/>
        </w:rPr>
        <w:t>10m</w:t>
      </w:r>
      <w:r>
        <w:rPr>
          <w:rFonts w:ascii="Times New Roman" w:hint="eastAsia"/>
        </w:rPr>
        <w:t>。虽然</w:t>
      </w:r>
      <w:r>
        <w:rPr>
          <w:rFonts w:ascii="Times New Roman"/>
        </w:rPr>
        <w:t>渣场</w:t>
      </w:r>
      <w:r>
        <w:rPr>
          <w:rFonts w:ascii="Times New Roman" w:hint="eastAsia"/>
        </w:rPr>
        <w:t>所在区域煤层埋深较大，深度在</w:t>
      </w:r>
      <w:r>
        <w:rPr>
          <w:rFonts w:ascii="Times New Roman"/>
        </w:rPr>
        <w:t>403-772m</w:t>
      </w:r>
      <w:r>
        <w:rPr>
          <w:rFonts w:ascii="Times New Roman" w:hint="eastAsia"/>
        </w:rPr>
        <w:t>，该区域采深采厚比约</w:t>
      </w:r>
      <w:r>
        <w:rPr>
          <w:rFonts w:ascii="Times New Roman"/>
        </w:rPr>
        <w:t>40-77</w:t>
      </w:r>
      <w:r>
        <w:rPr>
          <w:rFonts w:ascii="Times New Roman" w:hint="eastAsia"/>
        </w:rPr>
        <w:t>，</w:t>
      </w:r>
      <w:r>
        <w:rPr>
          <w:rFonts w:ascii="Times New Roman"/>
        </w:rPr>
        <w:t>使该区域所受沉陷影响相对缓和</w:t>
      </w:r>
      <w:r>
        <w:rPr>
          <w:rFonts w:ascii="Times New Roman" w:hint="eastAsia"/>
        </w:rPr>
        <w:t>，</w:t>
      </w:r>
      <w:r>
        <w:rPr>
          <w:rFonts w:ascii="Times New Roman"/>
        </w:rPr>
        <w:t>但由于下沉量较大</w:t>
      </w:r>
      <w:r>
        <w:rPr>
          <w:rFonts w:ascii="Times New Roman" w:hint="eastAsia"/>
        </w:rPr>
        <w:t>，</w:t>
      </w:r>
      <w:r>
        <w:rPr>
          <w:rFonts w:ascii="Times New Roman"/>
        </w:rPr>
        <w:t>仍有可能会破坏渣场防渗层</w:t>
      </w:r>
      <w:r>
        <w:rPr>
          <w:rFonts w:ascii="Times New Roman" w:hint="eastAsia"/>
        </w:rPr>
        <w:t>。</w:t>
      </w:r>
    </w:p>
    <w:p w14:paraId="1F8CF828" w14:textId="77777777" w:rsidR="009C353B" w:rsidRDefault="00000000">
      <w:pPr>
        <w:adjustRightInd w:val="0"/>
        <w:snapToGrid w:val="0"/>
        <w:spacing w:line="440" w:lineRule="exact"/>
        <w:ind w:firstLineChars="200" w:firstLine="480"/>
        <w:rPr>
          <w:rFonts w:ascii="Times New Roman" w:hint="eastAsia"/>
        </w:rPr>
      </w:pPr>
      <w:r>
        <w:rPr>
          <w:rFonts w:ascii="Times New Roman"/>
        </w:rPr>
        <w:t>因此</w:t>
      </w:r>
      <w:r>
        <w:rPr>
          <w:rFonts w:ascii="Times New Roman" w:hint="eastAsia"/>
        </w:rPr>
        <w:t>，</w:t>
      </w:r>
      <w:r>
        <w:rPr>
          <w:rFonts w:ascii="Times New Roman"/>
        </w:rPr>
        <w:t>为保证渣场的安全</w:t>
      </w:r>
      <w:r>
        <w:rPr>
          <w:rFonts w:ascii="Times New Roman" w:hint="eastAsia"/>
        </w:rPr>
        <w:t>，防止地表沉陷破坏渣场底部防渗层，本次</w:t>
      </w:r>
      <w:r>
        <w:rPr>
          <w:rFonts w:ascii="Times New Roman"/>
        </w:rPr>
        <w:t>评价要求后续开采过程中结合实际沉陷观测参数留设</w:t>
      </w:r>
      <w:r>
        <w:rPr>
          <w:rFonts w:ascii="Times New Roman" w:hint="eastAsia"/>
        </w:rPr>
        <w:t>3</w:t>
      </w:r>
      <w:r>
        <w:rPr>
          <w:rFonts w:ascii="Times New Roman"/>
        </w:rPr>
        <w:t>60-460</w:t>
      </w:r>
      <w:r>
        <w:rPr>
          <w:rFonts w:ascii="Times New Roman" w:hint="eastAsia"/>
        </w:rPr>
        <w:t>m</w:t>
      </w:r>
      <w:r>
        <w:rPr>
          <w:rFonts w:ascii="Times New Roman" w:hint="eastAsia"/>
        </w:rPr>
        <w:t>的</w:t>
      </w:r>
      <w:r>
        <w:rPr>
          <w:rFonts w:ascii="Times New Roman"/>
        </w:rPr>
        <w:t>保护煤柱</w:t>
      </w:r>
      <w:r>
        <w:rPr>
          <w:rFonts w:ascii="Times New Roman" w:hint="eastAsia"/>
        </w:rPr>
        <w:t>，</w:t>
      </w:r>
      <w:r>
        <w:rPr>
          <w:rFonts w:ascii="Times New Roman"/>
        </w:rPr>
        <w:t>或采取充填开采等保护性开采措施</w:t>
      </w:r>
      <w:r>
        <w:rPr>
          <w:rFonts w:ascii="Times New Roman" w:hint="eastAsia"/>
        </w:rPr>
        <w:t>，</w:t>
      </w:r>
      <w:r>
        <w:rPr>
          <w:rFonts w:ascii="Times New Roman"/>
        </w:rPr>
        <w:t>在经过论证确实不影响渣场的情况下</w:t>
      </w:r>
      <w:r>
        <w:rPr>
          <w:rFonts w:ascii="Times New Roman" w:hint="eastAsia"/>
        </w:rPr>
        <w:t>，</w:t>
      </w:r>
      <w:r>
        <w:rPr>
          <w:rFonts w:ascii="Times New Roman"/>
        </w:rPr>
        <w:t>再行开采渣场压煤资源</w:t>
      </w:r>
      <w:r>
        <w:rPr>
          <w:rFonts w:ascii="Times New Roman" w:hint="eastAsia"/>
        </w:rPr>
        <w:t>。</w:t>
      </w:r>
    </w:p>
    <w:p w14:paraId="7E18D0AC" w14:textId="77777777" w:rsidR="009C353B" w:rsidRDefault="00000000">
      <w:pPr>
        <w:pStyle w:val="2ff4"/>
        <w:spacing w:line="440" w:lineRule="exact"/>
        <w:ind w:firstLine="482"/>
        <w:rPr>
          <w:rFonts w:hAnsi="宋体" w:cs="Times New Roman" w:hint="eastAsia"/>
          <w:b/>
          <w:bCs/>
        </w:rPr>
      </w:pPr>
      <w:r>
        <w:rPr>
          <w:rFonts w:hAnsi="宋体" w:cs="Times New Roman" w:hint="eastAsia"/>
          <w:b/>
          <w:bCs/>
        </w:rPr>
        <w:t>（</w:t>
      </w:r>
      <w:r>
        <w:rPr>
          <w:rFonts w:hAnsi="宋体" w:cs="Times New Roman" w:hint="eastAsia"/>
          <w:b/>
          <w:bCs/>
        </w:rPr>
        <w:t>15</w:t>
      </w:r>
      <w:r>
        <w:rPr>
          <w:rFonts w:hAnsi="宋体" w:cs="Times New Roman" w:hint="eastAsia"/>
          <w:b/>
          <w:bCs/>
        </w:rPr>
        <w:t>）地表沉陷对宁东镇的影响分析</w:t>
      </w:r>
    </w:p>
    <w:p w14:paraId="190A54E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宁东镇位于丁家梁井田东侧，距离井田最近距离</w:t>
      </w:r>
      <w:r>
        <w:rPr>
          <w:rFonts w:ascii="Times New Roman" w:hAnsi="Times New Roman" w:hint="eastAsia"/>
        </w:rPr>
        <w:t>2</w:t>
      </w:r>
      <w:r>
        <w:rPr>
          <w:rFonts w:ascii="Times New Roman" w:hAnsi="Times New Roman"/>
        </w:rPr>
        <w:t>.5</w:t>
      </w:r>
      <w:r>
        <w:rPr>
          <w:rFonts w:ascii="Times New Roman" w:hAnsi="Times New Roman" w:hint="eastAsia"/>
        </w:rPr>
        <w:t>km</w:t>
      </w:r>
      <w:r>
        <w:rPr>
          <w:rFonts w:ascii="Times New Roman" w:hAnsi="Times New Roman" w:hint="eastAsia"/>
        </w:rPr>
        <w:t>，位于沉陷影响评价范围外，不受采煤沉陷影响。</w:t>
      </w:r>
    </w:p>
    <w:p w14:paraId="3C6772CA" w14:textId="77777777" w:rsidR="009C353B" w:rsidRDefault="00000000">
      <w:pPr>
        <w:pStyle w:val="2"/>
        <w:snapToGrid w:val="0"/>
        <w:spacing w:line="440" w:lineRule="exact"/>
        <w:rPr>
          <w:rFonts w:ascii="Times New Roman" w:eastAsia="宋体" w:hAnsi="Times New Roman"/>
          <w:b/>
          <w:sz w:val="28"/>
        </w:rPr>
      </w:pPr>
      <w:bookmarkStart w:id="227" w:name="_Toc59189847"/>
      <w:r>
        <w:rPr>
          <w:rFonts w:ascii="Times New Roman" w:eastAsia="宋体" w:hAnsi="Times New Roman" w:hint="eastAsia"/>
          <w:b/>
          <w:sz w:val="28"/>
        </w:rPr>
        <w:t>6</w:t>
      </w:r>
      <w:r>
        <w:rPr>
          <w:rFonts w:ascii="Times New Roman" w:eastAsia="宋体" w:hAnsi="Times New Roman"/>
          <w:b/>
          <w:sz w:val="28"/>
        </w:rPr>
        <w:t xml:space="preserve">.2 </w:t>
      </w:r>
      <w:r>
        <w:rPr>
          <w:rFonts w:ascii="Times New Roman" w:eastAsia="宋体" w:hAnsi="Times New Roman"/>
          <w:b/>
          <w:sz w:val="28"/>
        </w:rPr>
        <w:t>生态环境影响评价</w:t>
      </w:r>
      <w:bookmarkEnd w:id="222"/>
      <w:bookmarkEnd w:id="223"/>
      <w:bookmarkEnd w:id="224"/>
      <w:bookmarkEnd w:id="225"/>
      <w:bookmarkEnd w:id="227"/>
    </w:p>
    <w:p w14:paraId="67AB7F8E" w14:textId="77777777" w:rsidR="009C353B" w:rsidRDefault="00000000">
      <w:pPr>
        <w:pStyle w:val="3"/>
        <w:adjustRightInd w:val="0"/>
        <w:snapToGrid w:val="0"/>
        <w:spacing w:before="0" w:after="0" w:line="440" w:lineRule="exact"/>
        <w:rPr>
          <w:rFonts w:ascii="Times New Roman" w:hAnsi="Times New Roman"/>
          <w:sz w:val="24"/>
        </w:rPr>
      </w:pPr>
      <w:bookmarkStart w:id="228" w:name="_Toc339875209"/>
      <w:bookmarkStart w:id="229" w:name="_Toc339816259"/>
      <w:r>
        <w:rPr>
          <w:rFonts w:ascii="Times New Roman" w:hAnsi="Times New Roman" w:hint="eastAsia"/>
          <w:sz w:val="24"/>
        </w:rPr>
        <w:t>6.2.1</w:t>
      </w:r>
      <w:r>
        <w:rPr>
          <w:rFonts w:ascii="Times New Roman" w:hAnsi="Times New Roman"/>
          <w:sz w:val="24"/>
        </w:rPr>
        <w:t xml:space="preserve"> </w:t>
      </w:r>
      <w:r>
        <w:rPr>
          <w:rFonts w:ascii="Times New Roman" w:hAnsi="Times New Roman" w:hint="eastAsia"/>
          <w:sz w:val="24"/>
        </w:rPr>
        <w:t>矿区开发对土地利用的影响分析</w:t>
      </w:r>
      <w:bookmarkEnd w:id="228"/>
      <w:bookmarkEnd w:id="229"/>
    </w:p>
    <w:p w14:paraId="39495210" w14:textId="77777777" w:rsidR="009C353B" w:rsidRDefault="00000000">
      <w:pPr>
        <w:adjustRightInd w:val="0"/>
        <w:snapToGrid w:val="0"/>
        <w:spacing w:line="440" w:lineRule="exact"/>
        <w:ind w:firstLineChars="200" w:firstLine="480"/>
        <w:rPr>
          <w:rFonts w:ascii="Times New Roman" w:hint="eastAsia"/>
          <w:bCs/>
          <w:szCs w:val="24"/>
        </w:rPr>
      </w:pPr>
      <w:r>
        <w:rPr>
          <w:rFonts w:ascii="Times New Roman" w:hint="eastAsia"/>
          <w:bCs/>
          <w:szCs w:val="24"/>
        </w:rPr>
        <w:t>横城</w:t>
      </w:r>
      <w:r>
        <w:rPr>
          <w:rFonts w:ascii="Times New Roman"/>
          <w:bCs/>
          <w:szCs w:val="24"/>
        </w:rPr>
        <w:t>矿区规划实施后对土地利用的影响主要体现在</w:t>
      </w:r>
      <w:r>
        <w:rPr>
          <w:rFonts w:ascii="Times New Roman" w:hint="eastAsia"/>
          <w:bCs/>
          <w:szCs w:val="24"/>
        </w:rPr>
        <w:t>两</w:t>
      </w:r>
      <w:r>
        <w:rPr>
          <w:rFonts w:ascii="Times New Roman"/>
          <w:bCs/>
          <w:szCs w:val="24"/>
        </w:rPr>
        <w:t>方面：一是矿区规划项目</w:t>
      </w:r>
      <w:r>
        <w:rPr>
          <w:rFonts w:ascii="Times New Roman" w:hint="eastAsia"/>
          <w:bCs/>
          <w:szCs w:val="24"/>
        </w:rPr>
        <w:t>工业场地</w:t>
      </w:r>
      <w:r>
        <w:rPr>
          <w:rFonts w:ascii="Times New Roman"/>
          <w:bCs/>
          <w:szCs w:val="24"/>
        </w:rPr>
        <w:t>、道路</w:t>
      </w:r>
      <w:r>
        <w:rPr>
          <w:rFonts w:ascii="Times New Roman" w:hint="eastAsia"/>
          <w:bCs/>
          <w:szCs w:val="24"/>
        </w:rPr>
        <w:t>、排矸场</w:t>
      </w:r>
      <w:r>
        <w:rPr>
          <w:rFonts w:ascii="Times New Roman"/>
          <w:bCs/>
          <w:szCs w:val="24"/>
        </w:rPr>
        <w:t>等占地的影响；</w:t>
      </w:r>
      <w:r>
        <w:rPr>
          <w:rFonts w:ascii="Times New Roman" w:hint="eastAsia"/>
          <w:bCs/>
          <w:szCs w:val="24"/>
        </w:rPr>
        <w:t>二</w:t>
      </w:r>
      <w:r>
        <w:rPr>
          <w:rFonts w:ascii="Times New Roman"/>
          <w:bCs/>
          <w:szCs w:val="24"/>
        </w:rPr>
        <w:t>是</w:t>
      </w:r>
      <w:r>
        <w:rPr>
          <w:rFonts w:ascii="Times New Roman" w:hint="eastAsia"/>
          <w:bCs/>
          <w:szCs w:val="24"/>
        </w:rPr>
        <w:t>矿井</w:t>
      </w:r>
      <w:r>
        <w:rPr>
          <w:rFonts w:ascii="Times New Roman"/>
          <w:bCs/>
          <w:szCs w:val="24"/>
        </w:rPr>
        <w:t>采煤沉陷将对沉陷范围内的植被造成一定程度的影响，从而影响土地利用功能</w:t>
      </w:r>
      <w:r>
        <w:rPr>
          <w:rFonts w:ascii="Times New Roman" w:hint="eastAsia"/>
          <w:bCs/>
          <w:szCs w:val="24"/>
        </w:rPr>
        <w:t>。</w:t>
      </w:r>
    </w:p>
    <w:p w14:paraId="4CDE03BB" w14:textId="77777777" w:rsidR="009C353B" w:rsidRDefault="00000000">
      <w:pPr>
        <w:pStyle w:val="forth"/>
        <w:rPr>
          <w:rFonts w:ascii="Times New Roman" w:hAnsi="Times New Roman"/>
        </w:rPr>
      </w:pPr>
      <w:r>
        <w:rPr>
          <w:rFonts w:ascii="Times New Roman" w:hAnsi="Times New Roman"/>
        </w:rPr>
        <w:t xml:space="preserve">6.2.1.1 </w:t>
      </w:r>
      <w:r>
        <w:rPr>
          <w:rFonts w:ascii="Times New Roman" w:hAnsi="Times New Roman" w:hint="eastAsia"/>
        </w:rPr>
        <w:t>规划</w:t>
      </w:r>
      <w:r>
        <w:rPr>
          <w:rFonts w:ascii="Times New Roman" w:hAnsi="Times New Roman"/>
        </w:rPr>
        <w:t>项目占地对土地利用的影响</w:t>
      </w:r>
    </w:p>
    <w:p w14:paraId="7C42078E" w14:textId="77777777" w:rsidR="009C353B" w:rsidRDefault="00000000">
      <w:pPr>
        <w:spacing w:line="440" w:lineRule="exact"/>
        <w:ind w:firstLineChars="200" w:firstLine="480"/>
        <w:rPr>
          <w:rFonts w:ascii="Times New Roman" w:hAnsi="Times New Roman"/>
        </w:rPr>
      </w:pPr>
      <w:r>
        <w:rPr>
          <w:rFonts w:ascii="Times New Roman" w:hAnsi="Times New Roman"/>
        </w:rPr>
        <w:t>矿区</w:t>
      </w:r>
      <w:r>
        <w:rPr>
          <w:rFonts w:ascii="Times New Roman" w:hAnsi="Times New Roman" w:hint="eastAsia"/>
        </w:rPr>
        <w:t>内</w:t>
      </w:r>
      <w:r>
        <w:rPr>
          <w:rFonts w:ascii="Times New Roman" w:hAnsi="Times New Roman"/>
        </w:rPr>
        <w:t>规划项目占地包括规划建设的工业场地、</w:t>
      </w:r>
      <w:r>
        <w:rPr>
          <w:rFonts w:ascii="Times New Roman" w:hAnsi="Times New Roman" w:hint="eastAsia"/>
        </w:rPr>
        <w:t>排矸场</w:t>
      </w:r>
      <w:r>
        <w:rPr>
          <w:rFonts w:ascii="Times New Roman" w:hAnsi="Times New Roman"/>
        </w:rPr>
        <w:t>等永久占地，总面积为</w:t>
      </w:r>
      <w:r>
        <w:rPr>
          <w:rFonts w:ascii="Times New Roman" w:hAnsi="Times New Roman" w:hint="eastAsia"/>
        </w:rPr>
        <w:t>127.47</w:t>
      </w:r>
      <w:r>
        <w:rPr>
          <w:rFonts w:ascii="Times New Roman" w:hAnsi="Times New Roman"/>
        </w:rPr>
        <w:t>hm</w:t>
      </w:r>
      <w:r>
        <w:rPr>
          <w:rFonts w:ascii="Times New Roman" w:hAnsi="Times New Roman"/>
          <w:vertAlign w:val="superscript"/>
        </w:rPr>
        <w:t>2</w:t>
      </w:r>
      <w:r>
        <w:rPr>
          <w:rFonts w:ascii="Times New Roman" w:hAnsi="Times New Roman"/>
        </w:rPr>
        <w:t>；另外项目建设过程中还有施工过程中的平整土地、开挖地表、材料堆放等临时占地。</w:t>
      </w:r>
      <w:r>
        <w:rPr>
          <w:rFonts w:ascii="Times New Roman" w:hAnsi="Times New Roman" w:hint="eastAsia"/>
        </w:rPr>
        <w:t>目前马莲台、任家庄和红石湾均已建成投产，已占用土地</w:t>
      </w:r>
      <w:r>
        <w:rPr>
          <w:rFonts w:ascii="Times New Roman" w:hAnsi="Times New Roman" w:hint="eastAsia"/>
        </w:rPr>
        <w:t>87.79hm</w:t>
      </w:r>
      <w:r>
        <w:rPr>
          <w:rFonts w:ascii="Times New Roman" w:hAnsi="Times New Roman" w:hint="eastAsia"/>
          <w:vertAlign w:val="superscript"/>
        </w:rPr>
        <w:t>2</w:t>
      </w:r>
      <w:r>
        <w:rPr>
          <w:rFonts w:ascii="Times New Roman" w:hAnsi="Times New Roman" w:hint="eastAsia"/>
        </w:rPr>
        <w:t>。结合</w:t>
      </w:r>
      <w:r>
        <w:rPr>
          <w:rFonts w:ascii="Times New Roman" w:hAnsi="Times New Roman" w:hint="eastAsia"/>
        </w:rPr>
        <w:t>2004</w:t>
      </w:r>
      <w:r>
        <w:rPr>
          <w:rFonts w:ascii="Times New Roman" w:hAnsi="Times New Roman" w:hint="eastAsia"/>
        </w:rPr>
        <w:t>年、</w:t>
      </w:r>
      <w:r>
        <w:rPr>
          <w:rFonts w:ascii="Times New Roman" w:hAnsi="Times New Roman" w:hint="eastAsia"/>
        </w:rPr>
        <w:t>2010</w:t>
      </w:r>
      <w:r>
        <w:rPr>
          <w:rFonts w:ascii="Times New Roman" w:hAnsi="Times New Roman" w:hint="eastAsia"/>
        </w:rPr>
        <w:t>年及</w:t>
      </w:r>
      <w:r>
        <w:rPr>
          <w:rFonts w:ascii="Times New Roman" w:hAnsi="Times New Roman" w:hint="eastAsia"/>
        </w:rPr>
        <w:t>2019</w:t>
      </w:r>
      <w:r>
        <w:rPr>
          <w:rFonts w:ascii="Times New Roman" w:hAnsi="Times New Roman" w:hint="eastAsia"/>
        </w:rPr>
        <w:t>年的土地利用图确定，规划项目已占用及未占用土地的地类主要为草地，矿区项目占地类型及面积见表</w:t>
      </w:r>
      <w:r>
        <w:rPr>
          <w:rFonts w:ascii="Times New Roman" w:hAnsi="Times New Roman" w:hint="eastAsia"/>
        </w:rPr>
        <w:t>6.2-1</w:t>
      </w:r>
      <w:r>
        <w:rPr>
          <w:rFonts w:ascii="Times New Roman" w:hAnsi="Times New Roman" w:hint="eastAsia"/>
        </w:rPr>
        <w:t>。</w:t>
      </w:r>
      <w:r>
        <w:rPr>
          <w:rFonts w:ascii="Times New Roman" w:hAnsi="Times New Roman"/>
        </w:rPr>
        <w:t>矿区开发之后，永久占地将原有土地利用类型改变为工矿用地。由于永久占地类型相对于矿区面积来说较小，因此对矿区土地利用分布格局影响很小。其中排矸场在排矸结束之后会恢复为原土地利用类型，即草地类型，不会对矿区土地利用造成影响。临时占地在建设期完毕后也会恢复为原有土地利用类型（主要为草地），因此也不会对矿区土地利用造成影响。</w:t>
      </w:r>
    </w:p>
    <w:p w14:paraId="0C28BEA3" w14:textId="77777777" w:rsidR="009C353B" w:rsidRDefault="00000000">
      <w:pPr>
        <w:spacing w:line="440" w:lineRule="exact"/>
        <w:jc w:val="center"/>
        <w:rPr>
          <w:rFonts w:ascii="Times New Roman" w:hAnsi="Times New Roman"/>
          <w:b/>
          <w:snapToGrid w:val="0"/>
          <w:kern w:val="0"/>
        </w:rPr>
      </w:pPr>
      <w:r>
        <w:rPr>
          <w:rFonts w:ascii="Times New Roman" w:hAnsi="Times New Roman"/>
          <w:b/>
          <w:snapToGrid w:val="0"/>
          <w:kern w:val="0"/>
        </w:rPr>
        <w:t>矿区项目占地面积及类型表</w:t>
      </w:r>
    </w:p>
    <w:p w14:paraId="122623FF" w14:textId="77777777" w:rsidR="009C353B" w:rsidRDefault="00000000">
      <w:pPr>
        <w:spacing w:line="440" w:lineRule="exact"/>
        <w:outlineLvl w:val="4"/>
        <w:rPr>
          <w:rFonts w:ascii="Times New Roman" w:hAnsi="Times New Roman"/>
          <w:snapToGrid w:val="0"/>
          <w:kern w:val="0"/>
          <w:szCs w:val="21"/>
        </w:rPr>
      </w:pPr>
      <w:r>
        <w:rPr>
          <w:rFonts w:ascii="Times New Roman" w:hAnsi="Times New Roman"/>
        </w:rPr>
        <w:t>表</w:t>
      </w:r>
      <w:r>
        <w:rPr>
          <w:rFonts w:ascii="Times New Roman" w:hAnsi="Times New Roman"/>
        </w:rPr>
        <w:t>6.2-1</w:t>
      </w:r>
      <w:r>
        <w:rPr>
          <w:rFonts w:ascii="Times New Roman" w:hAnsi="Times New Roman"/>
          <w:snapToGrid w:val="0"/>
          <w:kern w:val="0"/>
          <w:szCs w:val="21"/>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50"/>
        <w:gridCol w:w="2279"/>
        <w:gridCol w:w="2135"/>
        <w:gridCol w:w="2019"/>
        <w:gridCol w:w="1818"/>
      </w:tblGrid>
      <w:tr w:rsidR="009C353B" w14:paraId="3E045A3D" w14:textId="77777777">
        <w:trPr>
          <w:trHeight w:val="555"/>
        </w:trPr>
        <w:tc>
          <w:tcPr>
            <w:tcW w:w="467" w:type="pct"/>
            <w:shd w:val="clear" w:color="auto" w:fill="auto"/>
            <w:tcMar>
              <w:top w:w="15" w:type="dxa"/>
              <w:left w:w="15" w:type="dxa"/>
              <w:right w:w="15" w:type="dxa"/>
            </w:tcMar>
            <w:vAlign w:val="center"/>
          </w:tcPr>
          <w:p w14:paraId="5C3FAAA1"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序号</w:t>
            </w:r>
          </w:p>
        </w:tc>
        <w:tc>
          <w:tcPr>
            <w:tcW w:w="2424" w:type="pct"/>
            <w:gridSpan w:val="2"/>
            <w:shd w:val="clear" w:color="auto" w:fill="auto"/>
            <w:tcMar>
              <w:top w:w="15" w:type="dxa"/>
              <w:left w:w="15" w:type="dxa"/>
              <w:right w:w="15" w:type="dxa"/>
            </w:tcMar>
            <w:vAlign w:val="center"/>
          </w:tcPr>
          <w:p w14:paraId="1181B6C9"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项目名称</w:t>
            </w:r>
          </w:p>
        </w:tc>
        <w:tc>
          <w:tcPr>
            <w:tcW w:w="1109" w:type="pct"/>
            <w:shd w:val="clear" w:color="auto" w:fill="auto"/>
            <w:tcMar>
              <w:top w:w="15" w:type="dxa"/>
              <w:left w:w="15" w:type="dxa"/>
              <w:right w:w="15" w:type="dxa"/>
            </w:tcMar>
            <w:vAlign w:val="center"/>
          </w:tcPr>
          <w:p w14:paraId="384DFDC2"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占地面积</w:t>
            </w:r>
            <w:r>
              <w:rPr>
                <w:rFonts w:ascii="Times New Roman" w:eastAsiaTheme="minorEastAsia" w:hAnsi="Times New Roman"/>
                <w:kern w:val="0"/>
                <w:sz w:val="21"/>
                <w:szCs w:val="21"/>
                <w:lang w:bidi="ar"/>
              </w:rPr>
              <w:t>( hm</w:t>
            </w:r>
            <w:r>
              <w:rPr>
                <w:rStyle w:val="font31"/>
                <w:rFonts w:eastAsiaTheme="minorEastAsia"/>
                <w:color w:val="auto"/>
                <w:lang w:bidi="ar"/>
              </w:rPr>
              <w:t>2</w:t>
            </w:r>
            <w:r>
              <w:rPr>
                <w:rFonts w:ascii="Times New Roman" w:eastAsiaTheme="minorEastAsia" w:hAnsi="Times New Roman"/>
                <w:kern w:val="0"/>
                <w:sz w:val="21"/>
                <w:szCs w:val="21"/>
                <w:lang w:bidi="ar"/>
              </w:rPr>
              <w:t xml:space="preserve"> )</w:t>
            </w:r>
          </w:p>
        </w:tc>
        <w:tc>
          <w:tcPr>
            <w:tcW w:w="1000" w:type="pct"/>
            <w:shd w:val="clear" w:color="auto" w:fill="auto"/>
            <w:tcMar>
              <w:top w:w="15" w:type="dxa"/>
              <w:left w:w="15" w:type="dxa"/>
              <w:right w:w="15" w:type="dxa"/>
            </w:tcMar>
            <w:vAlign w:val="center"/>
          </w:tcPr>
          <w:p w14:paraId="230CD2EC"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主要占地类型</w:t>
            </w:r>
          </w:p>
        </w:tc>
      </w:tr>
      <w:tr w:rsidR="009C353B" w14:paraId="6F61CE40" w14:textId="77777777">
        <w:trPr>
          <w:trHeight w:val="300"/>
        </w:trPr>
        <w:tc>
          <w:tcPr>
            <w:tcW w:w="467" w:type="pct"/>
            <w:vMerge w:val="restart"/>
            <w:shd w:val="clear" w:color="auto" w:fill="auto"/>
            <w:tcMar>
              <w:top w:w="15" w:type="dxa"/>
              <w:left w:w="15" w:type="dxa"/>
              <w:right w:w="15" w:type="dxa"/>
            </w:tcMar>
            <w:vAlign w:val="center"/>
          </w:tcPr>
          <w:p w14:paraId="480699F8"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1</w:t>
            </w:r>
          </w:p>
        </w:tc>
        <w:tc>
          <w:tcPr>
            <w:tcW w:w="1252" w:type="pct"/>
            <w:vMerge w:val="restart"/>
            <w:shd w:val="clear" w:color="auto" w:fill="auto"/>
            <w:tcMar>
              <w:top w:w="15" w:type="dxa"/>
              <w:left w:w="15" w:type="dxa"/>
              <w:right w:w="15" w:type="dxa"/>
            </w:tcMar>
            <w:vAlign w:val="center"/>
          </w:tcPr>
          <w:p w14:paraId="404DA7B2"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马莲台煤矿及选煤厂</w:t>
            </w:r>
          </w:p>
        </w:tc>
        <w:tc>
          <w:tcPr>
            <w:tcW w:w="1173" w:type="pct"/>
            <w:shd w:val="clear" w:color="auto" w:fill="auto"/>
            <w:noWrap/>
            <w:tcMar>
              <w:top w:w="15" w:type="dxa"/>
              <w:left w:w="15" w:type="dxa"/>
              <w:right w:w="15" w:type="dxa"/>
            </w:tcMar>
            <w:vAlign w:val="center"/>
          </w:tcPr>
          <w:p w14:paraId="7E272104" w14:textId="77777777" w:rsidR="009C353B" w:rsidRDefault="00000000">
            <w:pPr>
              <w:widowControl/>
              <w:jc w:val="center"/>
              <w:textAlignment w:val="center"/>
              <w:rPr>
                <w:rFonts w:ascii="Times New Roman" w:eastAsiaTheme="minorEastAsia" w:hAnsi="Times New Roman"/>
                <w:sz w:val="22"/>
                <w:szCs w:val="22"/>
              </w:rPr>
            </w:pPr>
            <w:r>
              <w:rPr>
                <w:rFonts w:ascii="Times New Roman" w:eastAsiaTheme="minorEastAsia" w:hAnsi="Times New Roman"/>
                <w:kern w:val="0"/>
                <w:sz w:val="22"/>
                <w:szCs w:val="22"/>
                <w:lang w:bidi="ar"/>
              </w:rPr>
              <w:t>工业场地</w:t>
            </w:r>
          </w:p>
        </w:tc>
        <w:tc>
          <w:tcPr>
            <w:tcW w:w="1109" w:type="pct"/>
            <w:shd w:val="clear" w:color="auto" w:fill="auto"/>
            <w:tcMar>
              <w:top w:w="15" w:type="dxa"/>
              <w:left w:w="15" w:type="dxa"/>
              <w:right w:w="15" w:type="dxa"/>
            </w:tcMar>
            <w:vAlign w:val="center"/>
          </w:tcPr>
          <w:p w14:paraId="3E2A8FFD"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21</w:t>
            </w:r>
          </w:p>
        </w:tc>
        <w:tc>
          <w:tcPr>
            <w:tcW w:w="1000" w:type="pct"/>
            <w:shd w:val="clear" w:color="auto" w:fill="auto"/>
            <w:tcMar>
              <w:top w:w="15" w:type="dxa"/>
              <w:left w:w="15" w:type="dxa"/>
              <w:right w:w="15" w:type="dxa"/>
            </w:tcMar>
            <w:vAlign w:val="center"/>
          </w:tcPr>
          <w:p w14:paraId="01E2A85E"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草地</w:t>
            </w:r>
          </w:p>
        </w:tc>
      </w:tr>
      <w:tr w:rsidR="009C353B" w14:paraId="3F0F0034" w14:textId="77777777">
        <w:trPr>
          <w:trHeight w:val="300"/>
        </w:trPr>
        <w:tc>
          <w:tcPr>
            <w:tcW w:w="467" w:type="pct"/>
            <w:vMerge/>
            <w:shd w:val="clear" w:color="auto" w:fill="auto"/>
            <w:tcMar>
              <w:top w:w="15" w:type="dxa"/>
              <w:left w:w="15" w:type="dxa"/>
              <w:right w:w="15" w:type="dxa"/>
            </w:tcMar>
            <w:vAlign w:val="center"/>
          </w:tcPr>
          <w:p w14:paraId="16325E9F" w14:textId="77777777" w:rsidR="009C353B" w:rsidRDefault="009C353B">
            <w:pPr>
              <w:jc w:val="center"/>
              <w:rPr>
                <w:rFonts w:ascii="Times New Roman" w:eastAsiaTheme="minorEastAsia" w:hAnsi="Times New Roman"/>
                <w:sz w:val="21"/>
                <w:szCs w:val="21"/>
              </w:rPr>
            </w:pPr>
          </w:p>
        </w:tc>
        <w:tc>
          <w:tcPr>
            <w:tcW w:w="1252" w:type="pct"/>
            <w:vMerge/>
            <w:shd w:val="clear" w:color="auto" w:fill="auto"/>
            <w:tcMar>
              <w:top w:w="15" w:type="dxa"/>
              <w:left w:w="15" w:type="dxa"/>
              <w:right w:w="15" w:type="dxa"/>
            </w:tcMar>
            <w:vAlign w:val="center"/>
          </w:tcPr>
          <w:p w14:paraId="2564BD6D" w14:textId="77777777" w:rsidR="009C353B" w:rsidRDefault="009C353B">
            <w:pPr>
              <w:jc w:val="center"/>
              <w:rPr>
                <w:rFonts w:ascii="Times New Roman" w:eastAsiaTheme="minorEastAsia" w:hAnsi="Times New Roman"/>
                <w:sz w:val="21"/>
                <w:szCs w:val="21"/>
              </w:rPr>
            </w:pPr>
          </w:p>
        </w:tc>
        <w:tc>
          <w:tcPr>
            <w:tcW w:w="1173" w:type="pct"/>
            <w:shd w:val="clear" w:color="auto" w:fill="auto"/>
            <w:noWrap/>
            <w:tcMar>
              <w:top w:w="15" w:type="dxa"/>
              <w:left w:w="15" w:type="dxa"/>
              <w:right w:w="15" w:type="dxa"/>
            </w:tcMar>
            <w:vAlign w:val="center"/>
          </w:tcPr>
          <w:p w14:paraId="24C3B2E6" w14:textId="77777777" w:rsidR="009C353B" w:rsidRDefault="00000000">
            <w:pPr>
              <w:widowControl/>
              <w:jc w:val="center"/>
              <w:textAlignment w:val="center"/>
              <w:rPr>
                <w:rFonts w:ascii="Times New Roman" w:eastAsiaTheme="minorEastAsia" w:hAnsi="Times New Roman"/>
                <w:sz w:val="22"/>
                <w:szCs w:val="22"/>
              </w:rPr>
            </w:pPr>
            <w:r>
              <w:rPr>
                <w:rFonts w:ascii="Times New Roman" w:eastAsiaTheme="minorEastAsia" w:hAnsi="Times New Roman"/>
                <w:kern w:val="0"/>
                <w:sz w:val="22"/>
                <w:szCs w:val="22"/>
                <w:lang w:bidi="ar"/>
              </w:rPr>
              <w:t>排矸场</w:t>
            </w:r>
          </w:p>
        </w:tc>
        <w:tc>
          <w:tcPr>
            <w:tcW w:w="1109" w:type="pct"/>
            <w:shd w:val="clear" w:color="auto" w:fill="auto"/>
            <w:tcMar>
              <w:top w:w="15" w:type="dxa"/>
              <w:left w:w="15" w:type="dxa"/>
              <w:right w:w="15" w:type="dxa"/>
            </w:tcMar>
            <w:vAlign w:val="center"/>
          </w:tcPr>
          <w:p w14:paraId="02B2F328"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38</w:t>
            </w:r>
          </w:p>
        </w:tc>
        <w:tc>
          <w:tcPr>
            <w:tcW w:w="1000" w:type="pct"/>
            <w:shd w:val="clear" w:color="auto" w:fill="auto"/>
            <w:tcMar>
              <w:top w:w="15" w:type="dxa"/>
              <w:left w:w="15" w:type="dxa"/>
              <w:right w:w="15" w:type="dxa"/>
            </w:tcMar>
            <w:vAlign w:val="center"/>
          </w:tcPr>
          <w:p w14:paraId="2626F197"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草地</w:t>
            </w:r>
          </w:p>
        </w:tc>
      </w:tr>
      <w:tr w:rsidR="009C353B" w14:paraId="20925534" w14:textId="77777777">
        <w:trPr>
          <w:trHeight w:val="288"/>
        </w:trPr>
        <w:tc>
          <w:tcPr>
            <w:tcW w:w="467" w:type="pct"/>
            <w:vMerge w:val="restart"/>
            <w:shd w:val="clear" w:color="auto" w:fill="auto"/>
            <w:tcMar>
              <w:top w:w="15" w:type="dxa"/>
              <w:left w:w="15" w:type="dxa"/>
              <w:right w:w="15" w:type="dxa"/>
            </w:tcMar>
            <w:vAlign w:val="center"/>
          </w:tcPr>
          <w:p w14:paraId="3D87AD46"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2</w:t>
            </w:r>
          </w:p>
        </w:tc>
        <w:tc>
          <w:tcPr>
            <w:tcW w:w="1252" w:type="pct"/>
            <w:vMerge w:val="restart"/>
            <w:shd w:val="clear" w:color="auto" w:fill="auto"/>
            <w:tcMar>
              <w:top w:w="15" w:type="dxa"/>
              <w:left w:w="15" w:type="dxa"/>
              <w:right w:w="15" w:type="dxa"/>
            </w:tcMar>
            <w:vAlign w:val="center"/>
          </w:tcPr>
          <w:p w14:paraId="190F1CDD"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任家庄煤矿及选煤厂</w:t>
            </w:r>
          </w:p>
        </w:tc>
        <w:tc>
          <w:tcPr>
            <w:tcW w:w="1173" w:type="pct"/>
            <w:shd w:val="clear" w:color="auto" w:fill="auto"/>
            <w:noWrap/>
            <w:tcMar>
              <w:top w:w="15" w:type="dxa"/>
              <w:left w:w="15" w:type="dxa"/>
              <w:right w:w="15" w:type="dxa"/>
            </w:tcMar>
            <w:vAlign w:val="center"/>
          </w:tcPr>
          <w:p w14:paraId="73D31A3B" w14:textId="77777777" w:rsidR="009C353B" w:rsidRDefault="00000000">
            <w:pPr>
              <w:widowControl/>
              <w:jc w:val="center"/>
              <w:textAlignment w:val="center"/>
              <w:rPr>
                <w:rFonts w:ascii="Times New Roman" w:eastAsiaTheme="minorEastAsia" w:hAnsi="Times New Roman"/>
                <w:sz w:val="22"/>
                <w:szCs w:val="22"/>
              </w:rPr>
            </w:pPr>
            <w:r>
              <w:rPr>
                <w:rFonts w:ascii="Times New Roman" w:eastAsiaTheme="minorEastAsia" w:hAnsi="Times New Roman"/>
                <w:kern w:val="0"/>
                <w:sz w:val="22"/>
                <w:szCs w:val="22"/>
                <w:lang w:bidi="ar"/>
              </w:rPr>
              <w:t>工业场地</w:t>
            </w:r>
          </w:p>
        </w:tc>
        <w:tc>
          <w:tcPr>
            <w:tcW w:w="1109" w:type="pct"/>
            <w:shd w:val="clear" w:color="auto" w:fill="auto"/>
            <w:tcMar>
              <w:top w:w="15" w:type="dxa"/>
              <w:left w:w="15" w:type="dxa"/>
              <w:right w:w="15" w:type="dxa"/>
            </w:tcMar>
            <w:vAlign w:val="center"/>
          </w:tcPr>
          <w:p w14:paraId="04A2425F"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13.5</w:t>
            </w:r>
          </w:p>
        </w:tc>
        <w:tc>
          <w:tcPr>
            <w:tcW w:w="1000" w:type="pct"/>
            <w:shd w:val="clear" w:color="auto" w:fill="auto"/>
            <w:tcMar>
              <w:top w:w="15" w:type="dxa"/>
              <w:left w:w="15" w:type="dxa"/>
              <w:right w:w="15" w:type="dxa"/>
            </w:tcMar>
            <w:vAlign w:val="center"/>
          </w:tcPr>
          <w:p w14:paraId="5FD8F094"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草地</w:t>
            </w:r>
          </w:p>
        </w:tc>
      </w:tr>
      <w:tr w:rsidR="009C353B" w14:paraId="77D3E364" w14:textId="77777777">
        <w:trPr>
          <w:trHeight w:val="300"/>
        </w:trPr>
        <w:tc>
          <w:tcPr>
            <w:tcW w:w="467" w:type="pct"/>
            <w:vMerge/>
            <w:shd w:val="clear" w:color="auto" w:fill="auto"/>
            <w:tcMar>
              <w:top w:w="15" w:type="dxa"/>
              <w:left w:w="15" w:type="dxa"/>
              <w:right w:w="15" w:type="dxa"/>
            </w:tcMar>
            <w:vAlign w:val="center"/>
          </w:tcPr>
          <w:p w14:paraId="28DB73E6" w14:textId="77777777" w:rsidR="009C353B" w:rsidRDefault="009C353B">
            <w:pPr>
              <w:jc w:val="center"/>
              <w:rPr>
                <w:rFonts w:ascii="Times New Roman" w:eastAsiaTheme="minorEastAsia" w:hAnsi="Times New Roman"/>
                <w:sz w:val="21"/>
                <w:szCs w:val="21"/>
              </w:rPr>
            </w:pPr>
          </w:p>
        </w:tc>
        <w:tc>
          <w:tcPr>
            <w:tcW w:w="1252" w:type="pct"/>
            <w:vMerge/>
            <w:shd w:val="clear" w:color="auto" w:fill="auto"/>
            <w:tcMar>
              <w:top w:w="15" w:type="dxa"/>
              <w:left w:w="15" w:type="dxa"/>
              <w:right w:w="15" w:type="dxa"/>
            </w:tcMar>
            <w:vAlign w:val="center"/>
          </w:tcPr>
          <w:p w14:paraId="05FA0764" w14:textId="77777777" w:rsidR="009C353B" w:rsidRDefault="009C353B">
            <w:pPr>
              <w:jc w:val="center"/>
              <w:rPr>
                <w:rFonts w:ascii="Times New Roman" w:eastAsiaTheme="minorEastAsia" w:hAnsi="Times New Roman"/>
                <w:sz w:val="21"/>
                <w:szCs w:val="21"/>
              </w:rPr>
            </w:pPr>
          </w:p>
        </w:tc>
        <w:tc>
          <w:tcPr>
            <w:tcW w:w="1173" w:type="pct"/>
            <w:shd w:val="clear" w:color="auto" w:fill="auto"/>
            <w:noWrap/>
            <w:tcMar>
              <w:top w:w="15" w:type="dxa"/>
              <w:left w:w="15" w:type="dxa"/>
              <w:right w:w="15" w:type="dxa"/>
            </w:tcMar>
            <w:vAlign w:val="center"/>
          </w:tcPr>
          <w:p w14:paraId="63FA29B8" w14:textId="77777777" w:rsidR="009C353B" w:rsidRDefault="00000000">
            <w:pPr>
              <w:widowControl/>
              <w:jc w:val="center"/>
              <w:textAlignment w:val="center"/>
              <w:rPr>
                <w:rFonts w:ascii="Times New Roman" w:eastAsiaTheme="minorEastAsia" w:hAnsi="Times New Roman"/>
                <w:sz w:val="22"/>
                <w:szCs w:val="22"/>
              </w:rPr>
            </w:pPr>
            <w:r>
              <w:rPr>
                <w:rFonts w:ascii="Times New Roman" w:eastAsiaTheme="minorEastAsia" w:hAnsi="Times New Roman"/>
                <w:kern w:val="0"/>
                <w:sz w:val="22"/>
                <w:szCs w:val="22"/>
                <w:lang w:bidi="ar"/>
              </w:rPr>
              <w:t>排矸场</w:t>
            </w:r>
          </w:p>
        </w:tc>
        <w:tc>
          <w:tcPr>
            <w:tcW w:w="1109" w:type="pct"/>
            <w:shd w:val="clear" w:color="auto" w:fill="auto"/>
            <w:tcMar>
              <w:top w:w="15" w:type="dxa"/>
              <w:left w:w="15" w:type="dxa"/>
              <w:right w:w="15" w:type="dxa"/>
            </w:tcMar>
            <w:vAlign w:val="center"/>
          </w:tcPr>
          <w:p w14:paraId="0F1F5FFF"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11.8</w:t>
            </w:r>
          </w:p>
        </w:tc>
        <w:tc>
          <w:tcPr>
            <w:tcW w:w="1000" w:type="pct"/>
            <w:shd w:val="clear" w:color="auto" w:fill="auto"/>
            <w:tcMar>
              <w:top w:w="15" w:type="dxa"/>
              <w:left w:w="15" w:type="dxa"/>
              <w:right w:w="15" w:type="dxa"/>
            </w:tcMar>
            <w:vAlign w:val="center"/>
          </w:tcPr>
          <w:p w14:paraId="41B27F8C"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草地</w:t>
            </w:r>
          </w:p>
        </w:tc>
      </w:tr>
      <w:tr w:rsidR="009C353B" w14:paraId="04FCEA06" w14:textId="77777777">
        <w:trPr>
          <w:trHeight w:val="300"/>
        </w:trPr>
        <w:tc>
          <w:tcPr>
            <w:tcW w:w="467" w:type="pct"/>
            <w:vMerge w:val="restart"/>
            <w:shd w:val="clear" w:color="auto" w:fill="auto"/>
            <w:tcMar>
              <w:top w:w="15" w:type="dxa"/>
              <w:left w:w="15" w:type="dxa"/>
              <w:right w:w="15" w:type="dxa"/>
            </w:tcMar>
            <w:vAlign w:val="center"/>
          </w:tcPr>
          <w:p w14:paraId="16C762C0"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3</w:t>
            </w:r>
          </w:p>
        </w:tc>
        <w:tc>
          <w:tcPr>
            <w:tcW w:w="1252" w:type="pct"/>
            <w:vMerge w:val="restart"/>
            <w:shd w:val="clear" w:color="auto" w:fill="auto"/>
            <w:tcMar>
              <w:top w:w="15" w:type="dxa"/>
              <w:left w:w="15" w:type="dxa"/>
              <w:right w:w="15" w:type="dxa"/>
            </w:tcMar>
            <w:vAlign w:val="center"/>
          </w:tcPr>
          <w:p w14:paraId="7A24171E"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红石湾煤矿及选煤厂</w:t>
            </w:r>
          </w:p>
        </w:tc>
        <w:tc>
          <w:tcPr>
            <w:tcW w:w="1173" w:type="pct"/>
            <w:shd w:val="clear" w:color="auto" w:fill="auto"/>
            <w:noWrap/>
            <w:tcMar>
              <w:top w:w="15" w:type="dxa"/>
              <w:left w:w="15" w:type="dxa"/>
              <w:right w:w="15" w:type="dxa"/>
            </w:tcMar>
            <w:vAlign w:val="center"/>
          </w:tcPr>
          <w:p w14:paraId="5597E304" w14:textId="77777777" w:rsidR="009C353B" w:rsidRDefault="00000000">
            <w:pPr>
              <w:widowControl/>
              <w:jc w:val="center"/>
              <w:textAlignment w:val="center"/>
              <w:rPr>
                <w:rFonts w:ascii="Times New Roman" w:eastAsiaTheme="minorEastAsia" w:hAnsi="Times New Roman"/>
                <w:sz w:val="22"/>
                <w:szCs w:val="22"/>
              </w:rPr>
            </w:pPr>
            <w:r>
              <w:rPr>
                <w:rFonts w:ascii="Times New Roman" w:eastAsiaTheme="minorEastAsia" w:hAnsi="Times New Roman"/>
                <w:kern w:val="0"/>
                <w:sz w:val="22"/>
                <w:szCs w:val="22"/>
                <w:lang w:bidi="ar"/>
              </w:rPr>
              <w:t>工业场地</w:t>
            </w:r>
          </w:p>
        </w:tc>
        <w:tc>
          <w:tcPr>
            <w:tcW w:w="1109" w:type="pct"/>
            <w:shd w:val="clear" w:color="auto" w:fill="auto"/>
            <w:tcMar>
              <w:top w:w="15" w:type="dxa"/>
              <w:left w:w="15" w:type="dxa"/>
              <w:right w:w="15" w:type="dxa"/>
            </w:tcMar>
            <w:vAlign w:val="center"/>
          </w:tcPr>
          <w:p w14:paraId="3EECF9E1"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24.36</w:t>
            </w:r>
          </w:p>
        </w:tc>
        <w:tc>
          <w:tcPr>
            <w:tcW w:w="1000" w:type="pct"/>
            <w:shd w:val="clear" w:color="auto" w:fill="auto"/>
            <w:tcMar>
              <w:top w:w="15" w:type="dxa"/>
              <w:left w:w="15" w:type="dxa"/>
              <w:right w:w="15" w:type="dxa"/>
            </w:tcMar>
            <w:vAlign w:val="center"/>
          </w:tcPr>
          <w:p w14:paraId="243AF605"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草地</w:t>
            </w:r>
          </w:p>
        </w:tc>
      </w:tr>
      <w:tr w:rsidR="009C353B" w14:paraId="3E936BBE" w14:textId="77777777">
        <w:trPr>
          <w:trHeight w:val="300"/>
        </w:trPr>
        <w:tc>
          <w:tcPr>
            <w:tcW w:w="467" w:type="pct"/>
            <w:vMerge/>
            <w:shd w:val="clear" w:color="auto" w:fill="auto"/>
            <w:tcMar>
              <w:top w:w="15" w:type="dxa"/>
              <w:left w:w="15" w:type="dxa"/>
              <w:right w:w="15" w:type="dxa"/>
            </w:tcMar>
            <w:vAlign w:val="center"/>
          </w:tcPr>
          <w:p w14:paraId="75AA913D" w14:textId="77777777" w:rsidR="009C353B" w:rsidRDefault="009C353B">
            <w:pPr>
              <w:jc w:val="center"/>
              <w:rPr>
                <w:rFonts w:ascii="Times New Roman" w:eastAsiaTheme="minorEastAsia" w:hAnsi="Times New Roman"/>
                <w:sz w:val="21"/>
                <w:szCs w:val="21"/>
              </w:rPr>
            </w:pPr>
          </w:p>
        </w:tc>
        <w:tc>
          <w:tcPr>
            <w:tcW w:w="1252" w:type="pct"/>
            <w:vMerge/>
            <w:shd w:val="clear" w:color="auto" w:fill="auto"/>
            <w:tcMar>
              <w:top w:w="15" w:type="dxa"/>
              <w:left w:w="15" w:type="dxa"/>
              <w:right w:w="15" w:type="dxa"/>
            </w:tcMar>
            <w:vAlign w:val="center"/>
          </w:tcPr>
          <w:p w14:paraId="2B92BFAE" w14:textId="77777777" w:rsidR="009C353B" w:rsidRDefault="009C353B">
            <w:pPr>
              <w:jc w:val="center"/>
              <w:rPr>
                <w:rFonts w:ascii="Times New Roman" w:eastAsiaTheme="minorEastAsia" w:hAnsi="Times New Roman"/>
                <w:sz w:val="21"/>
                <w:szCs w:val="21"/>
              </w:rPr>
            </w:pPr>
          </w:p>
        </w:tc>
        <w:tc>
          <w:tcPr>
            <w:tcW w:w="1173" w:type="pct"/>
            <w:shd w:val="clear" w:color="auto" w:fill="auto"/>
            <w:noWrap/>
            <w:tcMar>
              <w:top w:w="15" w:type="dxa"/>
              <w:left w:w="15" w:type="dxa"/>
              <w:right w:w="15" w:type="dxa"/>
            </w:tcMar>
            <w:vAlign w:val="center"/>
          </w:tcPr>
          <w:p w14:paraId="37D04D0E" w14:textId="77777777" w:rsidR="009C353B" w:rsidRDefault="00000000">
            <w:pPr>
              <w:widowControl/>
              <w:jc w:val="center"/>
              <w:textAlignment w:val="center"/>
              <w:rPr>
                <w:rFonts w:ascii="Times New Roman" w:eastAsiaTheme="minorEastAsia" w:hAnsi="Times New Roman"/>
                <w:sz w:val="22"/>
                <w:szCs w:val="22"/>
              </w:rPr>
            </w:pPr>
            <w:r>
              <w:rPr>
                <w:rFonts w:ascii="Times New Roman" w:eastAsiaTheme="minorEastAsia" w:hAnsi="Times New Roman"/>
                <w:kern w:val="0"/>
                <w:sz w:val="22"/>
                <w:szCs w:val="22"/>
                <w:lang w:bidi="ar"/>
              </w:rPr>
              <w:t>排矸场</w:t>
            </w:r>
          </w:p>
        </w:tc>
        <w:tc>
          <w:tcPr>
            <w:tcW w:w="1109" w:type="pct"/>
            <w:shd w:val="clear" w:color="auto" w:fill="auto"/>
            <w:tcMar>
              <w:top w:w="15" w:type="dxa"/>
              <w:left w:w="15" w:type="dxa"/>
              <w:right w:w="15" w:type="dxa"/>
            </w:tcMar>
            <w:vAlign w:val="center"/>
          </w:tcPr>
          <w:p w14:paraId="4D28D991"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2</w:t>
            </w:r>
          </w:p>
        </w:tc>
        <w:tc>
          <w:tcPr>
            <w:tcW w:w="1000" w:type="pct"/>
            <w:shd w:val="clear" w:color="auto" w:fill="auto"/>
            <w:tcMar>
              <w:top w:w="15" w:type="dxa"/>
              <w:left w:w="15" w:type="dxa"/>
              <w:right w:w="15" w:type="dxa"/>
            </w:tcMar>
            <w:vAlign w:val="center"/>
          </w:tcPr>
          <w:p w14:paraId="332F7475"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草地</w:t>
            </w:r>
          </w:p>
        </w:tc>
      </w:tr>
      <w:tr w:rsidR="009C353B" w14:paraId="63543001" w14:textId="77777777">
        <w:trPr>
          <w:trHeight w:val="264"/>
        </w:trPr>
        <w:tc>
          <w:tcPr>
            <w:tcW w:w="467" w:type="pct"/>
            <w:vMerge w:val="restart"/>
            <w:shd w:val="clear" w:color="auto" w:fill="auto"/>
            <w:tcMar>
              <w:top w:w="15" w:type="dxa"/>
              <w:left w:w="15" w:type="dxa"/>
              <w:right w:w="15" w:type="dxa"/>
            </w:tcMar>
            <w:vAlign w:val="center"/>
          </w:tcPr>
          <w:p w14:paraId="38993D8D"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4</w:t>
            </w:r>
          </w:p>
        </w:tc>
        <w:tc>
          <w:tcPr>
            <w:tcW w:w="1252" w:type="pct"/>
            <w:vMerge w:val="restart"/>
            <w:shd w:val="clear" w:color="auto" w:fill="auto"/>
            <w:tcMar>
              <w:top w:w="15" w:type="dxa"/>
              <w:left w:w="15" w:type="dxa"/>
              <w:right w:w="15" w:type="dxa"/>
            </w:tcMar>
            <w:vAlign w:val="center"/>
          </w:tcPr>
          <w:p w14:paraId="69DB28C8"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丁家梁煤矿</w:t>
            </w:r>
          </w:p>
        </w:tc>
        <w:tc>
          <w:tcPr>
            <w:tcW w:w="1173" w:type="pct"/>
            <w:shd w:val="clear" w:color="auto" w:fill="auto"/>
            <w:noWrap/>
            <w:tcMar>
              <w:top w:w="15" w:type="dxa"/>
              <w:left w:w="15" w:type="dxa"/>
              <w:right w:w="15" w:type="dxa"/>
            </w:tcMar>
            <w:vAlign w:val="center"/>
          </w:tcPr>
          <w:p w14:paraId="17B86357" w14:textId="77777777" w:rsidR="009C353B" w:rsidRDefault="00000000">
            <w:pPr>
              <w:widowControl/>
              <w:jc w:val="center"/>
              <w:textAlignment w:val="center"/>
              <w:rPr>
                <w:rFonts w:ascii="Times New Roman" w:eastAsiaTheme="minorEastAsia" w:hAnsi="Times New Roman"/>
                <w:sz w:val="22"/>
                <w:szCs w:val="22"/>
              </w:rPr>
            </w:pPr>
            <w:r>
              <w:rPr>
                <w:rFonts w:ascii="Times New Roman" w:eastAsiaTheme="minorEastAsia" w:hAnsi="Times New Roman"/>
                <w:kern w:val="0"/>
                <w:sz w:val="22"/>
                <w:szCs w:val="22"/>
                <w:lang w:bidi="ar"/>
              </w:rPr>
              <w:t>工业场地</w:t>
            </w:r>
          </w:p>
        </w:tc>
        <w:tc>
          <w:tcPr>
            <w:tcW w:w="1109" w:type="pct"/>
            <w:shd w:val="clear" w:color="auto" w:fill="auto"/>
            <w:tcMar>
              <w:top w:w="15" w:type="dxa"/>
              <w:left w:w="15" w:type="dxa"/>
              <w:right w:w="15" w:type="dxa"/>
            </w:tcMar>
            <w:vAlign w:val="center"/>
          </w:tcPr>
          <w:p w14:paraId="17C7BC8D"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13</w:t>
            </w:r>
          </w:p>
        </w:tc>
        <w:tc>
          <w:tcPr>
            <w:tcW w:w="1000" w:type="pct"/>
            <w:shd w:val="clear" w:color="auto" w:fill="auto"/>
            <w:tcMar>
              <w:top w:w="15" w:type="dxa"/>
              <w:left w:w="15" w:type="dxa"/>
              <w:right w:w="15" w:type="dxa"/>
            </w:tcMar>
            <w:vAlign w:val="center"/>
          </w:tcPr>
          <w:p w14:paraId="64992CAF"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草地</w:t>
            </w:r>
          </w:p>
        </w:tc>
      </w:tr>
      <w:tr w:rsidR="009C353B" w14:paraId="49E32CC9" w14:textId="77777777">
        <w:trPr>
          <w:trHeight w:val="300"/>
        </w:trPr>
        <w:tc>
          <w:tcPr>
            <w:tcW w:w="467" w:type="pct"/>
            <w:vMerge/>
            <w:shd w:val="clear" w:color="auto" w:fill="auto"/>
            <w:tcMar>
              <w:top w:w="15" w:type="dxa"/>
              <w:left w:w="15" w:type="dxa"/>
              <w:right w:w="15" w:type="dxa"/>
            </w:tcMar>
            <w:vAlign w:val="center"/>
          </w:tcPr>
          <w:p w14:paraId="2FC28EED" w14:textId="77777777" w:rsidR="009C353B" w:rsidRDefault="009C353B">
            <w:pPr>
              <w:jc w:val="center"/>
              <w:rPr>
                <w:rFonts w:ascii="Times New Roman" w:eastAsiaTheme="minorEastAsia" w:hAnsi="Times New Roman"/>
                <w:sz w:val="21"/>
                <w:szCs w:val="21"/>
              </w:rPr>
            </w:pPr>
          </w:p>
        </w:tc>
        <w:tc>
          <w:tcPr>
            <w:tcW w:w="1252" w:type="pct"/>
            <w:vMerge/>
            <w:shd w:val="clear" w:color="auto" w:fill="auto"/>
            <w:tcMar>
              <w:top w:w="15" w:type="dxa"/>
              <w:left w:w="15" w:type="dxa"/>
              <w:right w:w="15" w:type="dxa"/>
            </w:tcMar>
            <w:vAlign w:val="center"/>
          </w:tcPr>
          <w:p w14:paraId="55F1D78A" w14:textId="77777777" w:rsidR="009C353B" w:rsidRDefault="009C353B">
            <w:pPr>
              <w:jc w:val="center"/>
              <w:rPr>
                <w:rFonts w:ascii="Times New Roman" w:eastAsiaTheme="minorEastAsia" w:hAnsi="Times New Roman"/>
                <w:sz w:val="21"/>
                <w:szCs w:val="21"/>
              </w:rPr>
            </w:pPr>
          </w:p>
        </w:tc>
        <w:tc>
          <w:tcPr>
            <w:tcW w:w="1173" w:type="pct"/>
            <w:shd w:val="clear" w:color="auto" w:fill="auto"/>
            <w:noWrap/>
            <w:tcMar>
              <w:top w:w="15" w:type="dxa"/>
              <w:left w:w="15" w:type="dxa"/>
              <w:right w:w="15" w:type="dxa"/>
            </w:tcMar>
            <w:vAlign w:val="center"/>
          </w:tcPr>
          <w:p w14:paraId="39E6A0E0" w14:textId="77777777" w:rsidR="009C353B" w:rsidRDefault="00000000">
            <w:pPr>
              <w:widowControl/>
              <w:jc w:val="center"/>
              <w:textAlignment w:val="center"/>
              <w:rPr>
                <w:rFonts w:ascii="Times New Roman" w:eastAsiaTheme="minorEastAsia" w:hAnsi="Times New Roman"/>
                <w:sz w:val="22"/>
                <w:szCs w:val="22"/>
              </w:rPr>
            </w:pPr>
            <w:r>
              <w:rPr>
                <w:rFonts w:ascii="Times New Roman" w:eastAsiaTheme="minorEastAsia" w:hAnsi="Times New Roman"/>
                <w:kern w:val="0"/>
                <w:sz w:val="22"/>
                <w:szCs w:val="22"/>
                <w:lang w:bidi="ar"/>
              </w:rPr>
              <w:t>排矸场</w:t>
            </w:r>
          </w:p>
        </w:tc>
        <w:tc>
          <w:tcPr>
            <w:tcW w:w="1109" w:type="pct"/>
            <w:shd w:val="clear" w:color="auto" w:fill="auto"/>
            <w:tcMar>
              <w:top w:w="15" w:type="dxa"/>
              <w:left w:w="15" w:type="dxa"/>
              <w:right w:w="15" w:type="dxa"/>
            </w:tcMar>
            <w:vAlign w:val="center"/>
          </w:tcPr>
          <w:p w14:paraId="5FB67FC0"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3.81</w:t>
            </w:r>
          </w:p>
        </w:tc>
        <w:tc>
          <w:tcPr>
            <w:tcW w:w="1000" w:type="pct"/>
            <w:shd w:val="clear" w:color="auto" w:fill="auto"/>
            <w:tcMar>
              <w:top w:w="15" w:type="dxa"/>
              <w:left w:w="15" w:type="dxa"/>
              <w:right w:w="15" w:type="dxa"/>
            </w:tcMar>
            <w:vAlign w:val="center"/>
          </w:tcPr>
          <w:p w14:paraId="774FC270"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草地</w:t>
            </w:r>
          </w:p>
        </w:tc>
      </w:tr>
      <w:tr w:rsidR="009C353B" w14:paraId="170138B0" w14:textId="77777777">
        <w:trPr>
          <w:trHeight w:val="285"/>
        </w:trPr>
        <w:tc>
          <w:tcPr>
            <w:tcW w:w="1719" w:type="pct"/>
            <w:gridSpan w:val="2"/>
            <w:shd w:val="clear" w:color="auto" w:fill="auto"/>
            <w:tcMar>
              <w:top w:w="15" w:type="dxa"/>
              <w:left w:w="15" w:type="dxa"/>
              <w:right w:w="15" w:type="dxa"/>
            </w:tcMar>
            <w:vAlign w:val="center"/>
          </w:tcPr>
          <w:p w14:paraId="2B39FCA7"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合</w:t>
            </w:r>
            <w:r>
              <w:rPr>
                <w:rFonts w:ascii="Times New Roman" w:eastAsiaTheme="minorEastAsia" w:hAnsi="Times New Roman"/>
                <w:kern w:val="0"/>
                <w:sz w:val="21"/>
                <w:szCs w:val="21"/>
                <w:lang w:bidi="ar"/>
              </w:rPr>
              <w:t xml:space="preserve">   </w:t>
            </w:r>
            <w:r>
              <w:rPr>
                <w:rFonts w:ascii="Times New Roman" w:eastAsiaTheme="minorEastAsia" w:hAnsi="Times New Roman"/>
                <w:kern w:val="0"/>
                <w:sz w:val="21"/>
                <w:szCs w:val="21"/>
                <w:lang w:bidi="ar"/>
              </w:rPr>
              <w:t>计</w:t>
            </w:r>
          </w:p>
        </w:tc>
        <w:tc>
          <w:tcPr>
            <w:tcW w:w="1173" w:type="pct"/>
            <w:shd w:val="clear" w:color="auto" w:fill="auto"/>
            <w:noWrap/>
            <w:tcMar>
              <w:top w:w="15" w:type="dxa"/>
              <w:left w:w="15" w:type="dxa"/>
              <w:right w:w="15" w:type="dxa"/>
            </w:tcMar>
            <w:vAlign w:val="center"/>
          </w:tcPr>
          <w:p w14:paraId="6A9E6024" w14:textId="77777777" w:rsidR="009C353B" w:rsidRDefault="009C353B">
            <w:pPr>
              <w:rPr>
                <w:rFonts w:ascii="Times New Roman" w:eastAsiaTheme="minorEastAsia" w:hAnsi="Times New Roman"/>
                <w:sz w:val="22"/>
                <w:szCs w:val="22"/>
              </w:rPr>
            </w:pPr>
          </w:p>
        </w:tc>
        <w:tc>
          <w:tcPr>
            <w:tcW w:w="1109" w:type="pct"/>
            <w:shd w:val="clear" w:color="auto" w:fill="auto"/>
            <w:tcMar>
              <w:top w:w="15" w:type="dxa"/>
              <w:left w:w="15" w:type="dxa"/>
              <w:right w:w="15" w:type="dxa"/>
            </w:tcMar>
            <w:vAlign w:val="center"/>
          </w:tcPr>
          <w:p w14:paraId="58DB3E3C" w14:textId="77777777" w:rsidR="009C353B" w:rsidRDefault="00000000">
            <w:pPr>
              <w:widowControl/>
              <w:jc w:val="center"/>
              <w:textAlignment w:val="center"/>
              <w:rPr>
                <w:rFonts w:ascii="Times New Roman" w:eastAsiaTheme="minorEastAsia" w:hAnsi="Times New Roman"/>
                <w:sz w:val="21"/>
                <w:szCs w:val="21"/>
              </w:rPr>
            </w:pPr>
            <w:r>
              <w:rPr>
                <w:rFonts w:ascii="Times New Roman" w:eastAsiaTheme="minorEastAsia" w:hAnsi="Times New Roman"/>
                <w:kern w:val="0"/>
                <w:sz w:val="21"/>
                <w:szCs w:val="21"/>
                <w:lang w:bidi="ar"/>
              </w:rPr>
              <w:t>127.47</w:t>
            </w:r>
          </w:p>
        </w:tc>
        <w:tc>
          <w:tcPr>
            <w:tcW w:w="1000" w:type="pct"/>
            <w:shd w:val="clear" w:color="auto" w:fill="auto"/>
            <w:tcMar>
              <w:top w:w="15" w:type="dxa"/>
              <w:left w:w="15" w:type="dxa"/>
              <w:right w:w="15" w:type="dxa"/>
            </w:tcMar>
            <w:vAlign w:val="center"/>
          </w:tcPr>
          <w:p w14:paraId="6DEF78FB" w14:textId="77777777" w:rsidR="009C353B" w:rsidRDefault="009C353B">
            <w:pPr>
              <w:jc w:val="center"/>
              <w:rPr>
                <w:rFonts w:ascii="Times New Roman" w:eastAsiaTheme="minorEastAsia" w:hAnsi="Times New Roman"/>
                <w:sz w:val="21"/>
                <w:szCs w:val="21"/>
              </w:rPr>
            </w:pPr>
          </w:p>
        </w:tc>
      </w:tr>
    </w:tbl>
    <w:p w14:paraId="24E86306" w14:textId="77777777" w:rsidR="009C353B" w:rsidRDefault="00000000">
      <w:pPr>
        <w:pStyle w:val="forth"/>
        <w:rPr>
          <w:rFonts w:ascii="Times New Roman" w:hAnsi="Times New Roman"/>
        </w:rPr>
      </w:pPr>
      <w:r>
        <w:rPr>
          <w:rFonts w:ascii="Times New Roman" w:hAnsi="Times New Roman"/>
        </w:rPr>
        <w:t xml:space="preserve">6.2.1.2 </w:t>
      </w:r>
      <w:r>
        <w:rPr>
          <w:rFonts w:ascii="Times New Roman" w:hAnsi="Times New Roman" w:hint="eastAsia"/>
        </w:rPr>
        <w:t>井工</w:t>
      </w:r>
      <w:r>
        <w:rPr>
          <w:rFonts w:ascii="Times New Roman" w:hAnsi="Times New Roman"/>
        </w:rPr>
        <w:t>矿开采对土地利用的影响</w:t>
      </w:r>
    </w:p>
    <w:p w14:paraId="022BA1AB"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横城矿区四个规划矿井全部采用井工开采，根据沉陷预测结果，煤层全部开采后，累计沉陷面积</w:t>
      </w:r>
      <w:r>
        <w:rPr>
          <w:rFonts w:ascii="Times New Roman" w:hAnsi="Times New Roman" w:hint="eastAsia"/>
        </w:rPr>
        <w:t>58.02km</w:t>
      </w:r>
      <w:r>
        <w:rPr>
          <w:rFonts w:ascii="Times New Roman" w:hAnsi="Times New Roman" w:hint="eastAsia"/>
          <w:vertAlign w:val="superscript"/>
        </w:rPr>
        <w:t>2</w:t>
      </w:r>
      <w:r>
        <w:rPr>
          <w:rFonts w:ascii="Times New Roman" w:hAnsi="Times New Roman" w:hint="eastAsia"/>
        </w:rPr>
        <w:t>，</w:t>
      </w:r>
      <w:r>
        <w:rPr>
          <w:rFonts w:ascii="Times New Roman" w:hAnsi="Times New Roman"/>
        </w:rPr>
        <w:t>预计最终地表下沉值最大达到</w:t>
      </w:r>
      <w:r>
        <w:rPr>
          <w:rFonts w:ascii="Times New Roman" w:hAnsi="Times New Roman" w:hint="eastAsia"/>
        </w:rPr>
        <w:t>21.52</w:t>
      </w:r>
      <w:r>
        <w:rPr>
          <w:rFonts w:ascii="Times New Roman" w:hAnsi="Times New Roman"/>
        </w:rPr>
        <w:t>m</w:t>
      </w:r>
      <w:r>
        <w:rPr>
          <w:rFonts w:ascii="Times New Roman" w:hAnsi="Times New Roman" w:hint="eastAsia"/>
        </w:rPr>
        <w:t>，位于任家庄井田内</w:t>
      </w:r>
      <w:r>
        <w:rPr>
          <w:rFonts w:ascii="Times New Roman" w:hAnsi="Times New Roman"/>
        </w:rPr>
        <w:t>。</w:t>
      </w:r>
    </w:p>
    <w:p w14:paraId="5EE5D158" w14:textId="77777777" w:rsidR="009C353B" w:rsidRDefault="00000000">
      <w:pPr>
        <w:spacing w:line="440" w:lineRule="exact"/>
        <w:ind w:firstLineChars="200" w:firstLine="480"/>
        <w:rPr>
          <w:rFonts w:ascii="Times New Roman" w:hAnsi="Times New Roman"/>
        </w:rPr>
      </w:pPr>
      <w:r>
        <w:rPr>
          <w:rFonts w:ascii="Times New Roman" w:hAnsi="Times New Roman"/>
        </w:rPr>
        <w:t>本次评价根据采煤沉陷预测结果，类比</w:t>
      </w:r>
      <w:r>
        <w:rPr>
          <w:rFonts w:ascii="Times New Roman" w:hAnsi="Times New Roman" w:hint="eastAsia"/>
        </w:rPr>
        <w:t>马莲台、红石湾和任家庄三个煤矿的</w:t>
      </w:r>
      <w:r>
        <w:rPr>
          <w:rFonts w:ascii="Times New Roman" w:hAnsi="Times New Roman"/>
        </w:rPr>
        <w:t>已有</w:t>
      </w:r>
      <w:r>
        <w:rPr>
          <w:rFonts w:ascii="Times New Roman" w:hAnsi="Times New Roman" w:hint="eastAsia"/>
        </w:rPr>
        <w:t>沉陷区</w:t>
      </w:r>
      <w:r>
        <w:rPr>
          <w:rFonts w:ascii="Times New Roman" w:hAnsi="Times New Roman"/>
        </w:rPr>
        <w:t>分析采煤沉陷对土地利用的影响。根据</w:t>
      </w:r>
      <w:r>
        <w:rPr>
          <w:rFonts w:ascii="Times New Roman" w:hAnsi="Times New Roman" w:hint="eastAsia"/>
        </w:rPr>
        <w:t>对已有沉陷区</w:t>
      </w:r>
      <w:r>
        <w:rPr>
          <w:rFonts w:ascii="Times New Roman" w:hAnsi="Times New Roman"/>
        </w:rPr>
        <w:t>现场调研，</w:t>
      </w:r>
      <w:r>
        <w:rPr>
          <w:rFonts w:ascii="Times New Roman" w:hAnsi="Times New Roman" w:hint="eastAsia"/>
        </w:rPr>
        <w:t>矿区内埋深较小的区域（</w:t>
      </w:r>
      <w:r>
        <w:rPr>
          <w:rFonts w:ascii="Times New Roman" w:hAnsi="Times New Roman" w:hint="eastAsia"/>
        </w:rPr>
        <w:t>1</w:t>
      </w:r>
      <w:r>
        <w:rPr>
          <w:rFonts w:ascii="Times New Roman" w:hAnsi="Times New Roman"/>
        </w:rPr>
        <w:t>40-400</w:t>
      </w:r>
      <w:r>
        <w:rPr>
          <w:rFonts w:ascii="Times New Roman" w:hAnsi="Times New Roman" w:hint="eastAsia"/>
        </w:rPr>
        <w:t>m</w:t>
      </w:r>
      <w:r>
        <w:rPr>
          <w:rFonts w:ascii="Times New Roman" w:hAnsi="Times New Roman" w:hint="eastAsia"/>
        </w:rPr>
        <w:t>）开采后地表沉陷主要表现形式是地表裂缝、沉陷台阶，局部出现沉陷坑，沉陷裂缝主要发生在采空区边界上方的局部区域；埋深较大的区域（</w:t>
      </w:r>
      <w:r>
        <w:rPr>
          <w:rFonts w:ascii="Times New Roman" w:hAnsi="Times New Roman" w:hint="eastAsia"/>
        </w:rPr>
        <w:t>4</w:t>
      </w:r>
      <w:r>
        <w:rPr>
          <w:rFonts w:ascii="Times New Roman" w:hAnsi="Times New Roman"/>
        </w:rPr>
        <w:t>00-960</w:t>
      </w:r>
      <w:r>
        <w:rPr>
          <w:rFonts w:ascii="Times New Roman" w:hAnsi="Times New Roman" w:hint="eastAsia"/>
        </w:rPr>
        <w:t>m</w:t>
      </w:r>
      <w:r>
        <w:rPr>
          <w:rFonts w:ascii="Times New Roman" w:hAnsi="Times New Roman" w:hint="eastAsia"/>
        </w:rPr>
        <w:t>）沉陷表现形式一般为整体缓慢下沉，仅在</w:t>
      </w:r>
      <w:r>
        <w:rPr>
          <w:rFonts w:ascii="Times New Roman" w:hAnsi="Times New Roman"/>
        </w:rPr>
        <w:t>沉陷区边缘会出现轻微</w:t>
      </w:r>
      <w:r>
        <w:rPr>
          <w:rFonts w:ascii="Times New Roman" w:hAnsi="Times New Roman" w:hint="eastAsia"/>
        </w:rPr>
        <w:t>裂缝。</w:t>
      </w:r>
      <w:r>
        <w:rPr>
          <w:rFonts w:ascii="Times New Roman" w:hAnsi="Times New Roman"/>
        </w:rPr>
        <w:t>因此</w:t>
      </w:r>
      <w:r>
        <w:rPr>
          <w:rFonts w:ascii="Times New Roman" w:hAnsi="Times New Roman" w:hint="eastAsia"/>
        </w:rPr>
        <w:t>横城矿区</w:t>
      </w:r>
      <w:r>
        <w:rPr>
          <w:rFonts w:ascii="Times New Roman" w:hAnsi="Times New Roman"/>
        </w:rPr>
        <w:t>开采后会形成的</w:t>
      </w:r>
      <w:r>
        <w:rPr>
          <w:rFonts w:ascii="Times New Roman" w:hAnsi="Times New Roman" w:hint="eastAsia"/>
        </w:rPr>
        <w:t>地表裂缝</w:t>
      </w:r>
      <w:r>
        <w:rPr>
          <w:rFonts w:ascii="Times New Roman" w:hAnsi="Times New Roman"/>
        </w:rPr>
        <w:t>和沉陷坑会</w:t>
      </w:r>
      <w:r>
        <w:rPr>
          <w:rFonts w:ascii="Times New Roman" w:hAnsi="Times New Roman" w:hint="eastAsia"/>
        </w:rPr>
        <w:t>对地表造成破坏进而影响土地利用。根据沉陷预测结果，受沉陷影响的土地利用类型以草地为主，面积为</w:t>
      </w:r>
      <w:r>
        <w:rPr>
          <w:rFonts w:ascii="Times New Roman" w:hAnsi="Times New Roman" w:hint="eastAsia"/>
        </w:rPr>
        <w:t>39.90km</w:t>
      </w:r>
      <w:r>
        <w:rPr>
          <w:rFonts w:ascii="Times New Roman" w:hAnsi="Times New Roman" w:hint="eastAsia"/>
          <w:vertAlign w:val="superscript"/>
        </w:rPr>
        <w:t>2</w:t>
      </w:r>
      <w:r>
        <w:rPr>
          <w:rFonts w:ascii="Times New Roman" w:hAnsi="Times New Roman" w:hint="eastAsia"/>
        </w:rPr>
        <w:t>，占沉陷面积的</w:t>
      </w:r>
      <w:r>
        <w:rPr>
          <w:rFonts w:ascii="Times New Roman" w:hAnsi="Times New Roman" w:hint="eastAsia"/>
        </w:rPr>
        <w:t>68.78%</w:t>
      </w:r>
      <w:r>
        <w:rPr>
          <w:rFonts w:ascii="Times New Roman" w:hAnsi="Times New Roman" w:hint="eastAsia"/>
        </w:rPr>
        <w:t>，其次为林地，面积为</w:t>
      </w:r>
      <w:r>
        <w:rPr>
          <w:rFonts w:ascii="Times New Roman" w:hAnsi="Times New Roman" w:hint="eastAsia"/>
        </w:rPr>
        <w:t>12.18km</w:t>
      </w:r>
      <w:r>
        <w:rPr>
          <w:rFonts w:ascii="Times New Roman" w:hAnsi="Times New Roman" w:hint="eastAsia"/>
          <w:vertAlign w:val="superscript"/>
        </w:rPr>
        <w:t>2</w:t>
      </w:r>
      <w:r>
        <w:rPr>
          <w:rFonts w:ascii="Times New Roman" w:hAnsi="Times New Roman" w:hint="eastAsia"/>
        </w:rPr>
        <w:t>，占沉陷面积的</w:t>
      </w:r>
      <w:r>
        <w:rPr>
          <w:rFonts w:ascii="Times New Roman" w:hAnsi="Times New Roman" w:hint="eastAsia"/>
        </w:rPr>
        <w:t>20.99%</w:t>
      </w:r>
      <w:r>
        <w:rPr>
          <w:rFonts w:ascii="Times New Roman" w:hAnsi="Times New Roman" w:hint="eastAsia"/>
        </w:rPr>
        <w:t>。受沉陷影响的土地利用类型详见表</w:t>
      </w:r>
      <w:r>
        <w:rPr>
          <w:rFonts w:ascii="Times New Roman" w:hAnsi="Times New Roman" w:hint="eastAsia"/>
        </w:rPr>
        <w:t>6.2-2</w:t>
      </w:r>
      <w:r>
        <w:rPr>
          <w:rFonts w:ascii="Times New Roman" w:hAnsi="Times New Roman" w:hint="eastAsia"/>
        </w:rPr>
        <w:t>。</w:t>
      </w:r>
    </w:p>
    <w:p w14:paraId="319D0DF7" w14:textId="77777777" w:rsidR="009C353B" w:rsidRDefault="00000000">
      <w:pPr>
        <w:spacing w:line="440" w:lineRule="exact"/>
        <w:ind w:firstLineChars="200" w:firstLine="482"/>
        <w:jc w:val="center"/>
        <w:rPr>
          <w:rFonts w:ascii="Times New Roman" w:hAnsi="Times New Roman"/>
          <w:b/>
          <w:snapToGrid w:val="0"/>
          <w:kern w:val="0"/>
        </w:rPr>
      </w:pPr>
      <w:r>
        <w:rPr>
          <w:rFonts w:ascii="Times New Roman" w:hAnsi="Times New Roman" w:hint="eastAsia"/>
          <w:b/>
          <w:snapToGrid w:val="0"/>
          <w:kern w:val="0"/>
        </w:rPr>
        <w:t>规划实施后受沉陷影响的土地利用类型及</w:t>
      </w:r>
      <w:r>
        <w:rPr>
          <w:rFonts w:ascii="Times New Roman" w:hAnsi="Times New Roman"/>
          <w:b/>
          <w:snapToGrid w:val="0"/>
          <w:kern w:val="0"/>
        </w:rPr>
        <w:t>面积</w:t>
      </w:r>
      <w:r>
        <w:rPr>
          <w:rFonts w:ascii="Times New Roman" w:hAnsi="Times New Roman" w:hint="eastAsia"/>
          <w:b/>
          <w:snapToGrid w:val="0"/>
          <w:kern w:val="0"/>
        </w:rPr>
        <w:t>统计</w:t>
      </w:r>
      <w:r>
        <w:rPr>
          <w:rFonts w:ascii="Times New Roman" w:hAnsi="Times New Roman"/>
          <w:b/>
          <w:snapToGrid w:val="0"/>
          <w:kern w:val="0"/>
        </w:rPr>
        <w:t>表</w:t>
      </w:r>
    </w:p>
    <w:p w14:paraId="712D83E9" w14:textId="77777777" w:rsidR="009C353B" w:rsidRDefault="00000000">
      <w:pPr>
        <w:spacing w:line="440" w:lineRule="exact"/>
        <w:outlineLvl w:val="4"/>
        <w:rPr>
          <w:rFonts w:ascii="Times New Roman" w:hAnsi="Times New Roman"/>
          <w:snapToGrid w:val="0"/>
          <w:kern w:val="0"/>
          <w:szCs w:val="21"/>
        </w:rPr>
      </w:pPr>
      <w:r>
        <w:rPr>
          <w:rFonts w:ascii="Times New Roman" w:hAnsi="Times New Roman"/>
        </w:rPr>
        <w:t>表</w:t>
      </w:r>
      <w:r>
        <w:rPr>
          <w:rFonts w:ascii="Times New Roman" w:hAnsi="Times New Roman"/>
        </w:rPr>
        <w:t>6.2-</w:t>
      </w:r>
      <w:r>
        <w:rPr>
          <w:rFonts w:ascii="Times New Roman" w:hAnsi="Times New Roman" w:hint="eastAsia"/>
        </w:rPr>
        <w:t>2</w:t>
      </w:r>
      <w:r>
        <w:rPr>
          <w:rFonts w:ascii="Times New Roman" w:hAnsi="Times New Roman"/>
          <w:snapToGrid w:val="0"/>
          <w:kern w:val="0"/>
          <w:szCs w:val="21"/>
        </w:rPr>
        <w:t xml:space="preserv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01"/>
        <w:gridCol w:w="2564"/>
        <w:gridCol w:w="1849"/>
        <w:gridCol w:w="1985"/>
      </w:tblGrid>
      <w:tr w:rsidR="009C353B" w14:paraId="66D219E8" w14:textId="77777777">
        <w:trPr>
          <w:trHeight w:val="300"/>
          <w:tblHeader/>
        </w:trPr>
        <w:tc>
          <w:tcPr>
            <w:tcW w:w="2893" w:type="pct"/>
            <w:gridSpan w:val="2"/>
            <w:shd w:val="clear" w:color="auto" w:fill="auto"/>
            <w:noWrap/>
            <w:tcMar>
              <w:top w:w="15" w:type="dxa"/>
              <w:left w:w="15" w:type="dxa"/>
              <w:right w:w="15" w:type="dxa"/>
            </w:tcMar>
            <w:vAlign w:val="center"/>
          </w:tcPr>
          <w:p w14:paraId="7A2A70E9" w14:textId="77777777" w:rsidR="009C353B" w:rsidRDefault="00000000">
            <w:pPr>
              <w:widowControl/>
              <w:jc w:val="center"/>
              <w:textAlignment w:val="center"/>
              <w:rPr>
                <w:rStyle w:val="font41"/>
                <w:rFonts w:hint="default"/>
                <w:color w:val="auto"/>
                <w:lang w:bidi="ar"/>
              </w:rPr>
            </w:pPr>
            <w:r>
              <w:rPr>
                <w:rStyle w:val="font41"/>
                <w:rFonts w:hint="default"/>
                <w:color w:val="auto"/>
              </w:rPr>
              <w:t>地类</w:t>
            </w:r>
          </w:p>
        </w:tc>
        <w:tc>
          <w:tcPr>
            <w:tcW w:w="2107" w:type="pct"/>
            <w:gridSpan w:val="2"/>
            <w:shd w:val="clear" w:color="auto" w:fill="auto"/>
            <w:tcMar>
              <w:top w:w="15" w:type="dxa"/>
              <w:left w:w="15" w:type="dxa"/>
              <w:right w:w="15" w:type="dxa"/>
            </w:tcMar>
            <w:vAlign w:val="center"/>
          </w:tcPr>
          <w:p w14:paraId="493A90CE" w14:textId="77777777" w:rsidR="009C353B" w:rsidRDefault="00000000">
            <w:pPr>
              <w:widowControl/>
              <w:jc w:val="center"/>
              <w:textAlignment w:val="center"/>
              <w:rPr>
                <w:rFonts w:cs="宋体" w:hint="eastAsia"/>
                <w:sz w:val="21"/>
                <w:szCs w:val="21"/>
              </w:rPr>
            </w:pPr>
            <w:r>
              <w:rPr>
                <w:rFonts w:cs="宋体" w:hint="eastAsia"/>
                <w:kern w:val="0"/>
                <w:sz w:val="21"/>
                <w:szCs w:val="21"/>
                <w:lang w:bidi="ar"/>
              </w:rPr>
              <w:t>沉陷区</w:t>
            </w:r>
          </w:p>
        </w:tc>
      </w:tr>
      <w:tr w:rsidR="009C353B" w14:paraId="2AA325A6" w14:textId="77777777">
        <w:trPr>
          <w:trHeight w:val="380"/>
          <w:tblHeader/>
        </w:trPr>
        <w:tc>
          <w:tcPr>
            <w:tcW w:w="1484" w:type="pct"/>
            <w:shd w:val="clear" w:color="auto" w:fill="auto"/>
            <w:noWrap/>
            <w:tcMar>
              <w:top w:w="15" w:type="dxa"/>
              <w:left w:w="15" w:type="dxa"/>
              <w:right w:w="15" w:type="dxa"/>
            </w:tcMar>
            <w:vAlign w:val="center"/>
          </w:tcPr>
          <w:p w14:paraId="2538C8C7" w14:textId="77777777" w:rsidR="009C353B" w:rsidRDefault="00000000">
            <w:pPr>
              <w:widowControl/>
              <w:jc w:val="center"/>
              <w:textAlignment w:val="center"/>
              <w:rPr>
                <w:rStyle w:val="font41"/>
                <w:rFonts w:hint="default"/>
                <w:color w:val="auto"/>
                <w:lang w:bidi="ar"/>
              </w:rPr>
            </w:pPr>
            <w:r>
              <w:rPr>
                <w:rStyle w:val="font41"/>
                <w:rFonts w:hint="default"/>
                <w:color w:val="auto"/>
              </w:rPr>
              <w:t>一级类</w:t>
            </w:r>
          </w:p>
        </w:tc>
        <w:tc>
          <w:tcPr>
            <w:tcW w:w="1409" w:type="pct"/>
            <w:shd w:val="clear" w:color="auto" w:fill="auto"/>
            <w:tcMar>
              <w:top w:w="15" w:type="dxa"/>
              <w:left w:w="15" w:type="dxa"/>
              <w:right w:w="15" w:type="dxa"/>
            </w:tcMar>
            <w:vAlign w:val="center"/>
          </w:tcPr>
          <w:p w14:paraId="0E7B3890" w14:textId="77777777" w:rsidR="009C353B" w:rsidRDefault="00000000">
            <w:pPr>
              <w:widowControl/>
              <w:jc w:val="center"/>
              <w:textAlignment w:val="center"/>
              <w:rPr>
                <w:rStyle w:val="font41"/>
                <w:rFonts w:hint="default"/>
                <w:color w:val="auto"/>
                <w:lang w:bidi="ar"/>
              </w:rPr>
            </w:pPr>
            <w:r>
              <w:rPr>
                <w:rStyle w:val="font41"/>
                <w:rFonts w:hint="default"/>
                <w:color w:val="auto"/>
              </w:rPr>
              <w:t>二级类</w:t>
            </w:r>
          </w:p>
        </w:tc>
        <w:tc>
          <w:tcPr>
            <w:tcW w:w="1016" w:type="pct"/>
            <w:shd w:val="clear" w:color="auto" w:fill="auto"/>
            <w:tcMar>
              <w:top w:w="15" w:type="dxa"/>
              <w:left w:w="15" w:type="dxa"/>
              <w:right w:w="15" w:type="dxa"/>
            </w:tcMar>
            <w:vAlign w:val="center"/>
          </w:tcPr>
          <w:p w14:paraId="28359D9E" w14:textId="77777777" w:rsidR="009C353B" w:rsidRDefault="00000000">
            <w:pPr>
              <w:widowControl/>
              <w:jc w:val="center"/>
              <w:textAlignment w:val="center"/>
              <w:rPr>
                <w:rFonts w:cs="宋体" w:hint="eastAsia"/>
                <w:sz w:val="21"/>
                <w:szCs w:val="21"/>
              </w:rPr>
            </w:pPr>
            <w:r>
              <w:rPr>
                <w:rStyle w:val="font41"/>
                <w:rFonts w:hint="default"/>
                <w:color w:val="auto"/>
                <w:lang w:bidi="ar"/>
              </w:rPr>
              <w:t>面积（</w:t>
            </w:r>
            <w:r>
              <w:rPr>
                <w:rFonts w:ascii="Times New Roman" w:hAnsi="Times New Roman"/>
                <w:kern w:val="0"/>
                <w:sz w:val="21"/>
                <w:szCs w:val="21"/>
                <w:lang w:bidi="ar"/>
              </w:rPr>
              <w:t>km</w:t>
            </w:r>
            <w:r>
              <w:rPr>
                <w:rFonts w:ascii="Times New Roman" w:hAnsi="Times New Roman"/>
                <w:kern w:val="0"/>
                <w:sz w:val="21"/>
                <w:szCs w:val="21"/>
                <w:vertAlign w:val="superscript"/>
                <w:lang w:bidi="ar"/>
              </w:rPr>
              <w:t>2</w:t>
            </w:r>
            <w:r>
              <w:rPr>
                <w:rStyle w:val="font41"/>
                <w:rFonts w:hint="default"/>
                <w:color w:val="auto"/>
                <w:lang w:bidi="ar"/>
              </w:rPr>
              <w:t>）</w:t>
            </w:r>
          </w:p>
        </w:tc>
        <w:tc>
          <w:tcPr>
            <w:tcW w:w="1091" w:type="pct"/>
            <w:shd w:val="clear" w:color="auto" w:fill="auto"/>
            <w:tcMar>
              <w:top w:w="15" w:type="dxa"/>
              <w:left w:w="15" w:type="dxa"/>
              <w:right w:w="15" w:type="dxa"/>
            </w:tcMar>
            <w:vAlign w:val="center"/>
          </w:tcPr>
          <w:p w14:paraId="2BEC7DCF" w14:textId="77777777" w:rsidR="009C353B" w:rsidRDefault="00000000">
            <w:pPr>
              <w:widowControl/>
              <w:jc w:val="center"/>
              <w:textAlignment w:val="center"/>
              <w:rPr>
                <w:rFonts w:cs="宋体" w:hint="eastAsia"/>
                <w:sz w:val="21"/>
                <w:szCs w:val="21"/>
              </w:rPr>
            </w:pPr>
            <w:r>
              <w:rPr>
                <w:rStyle w:val="font41"/>
                <w:rFonts w:hint="default"/>
                <w:color w:val="auto"/>
                <w:lang w:bidi="ar"/>
              </w:rPr>
              <w:t>比例（</w:t>
            </w:r>
            <w:r>
              <w:rPr>
                <w:rFonts w:ascii="Times New Roman" w:hAnsi="Times New Roman"/>
                <w:kern w:val="0"/>
                <w:sz w:val="21"/>
                <w:szCs w:val="21"/>
                <w:lang w:bidi="ar"/>
              </w:rPr>
              <w:t>%</w:t>
            </w:r>
            <w:r>
              <w:rPr>
                <w:rStyle w:val="font41"/>
                <w:rFonts w:hint="default"/>
                <w:color w:val="auto"/>
                <w:lang w:bidi="ar"/>
              </w:rPr>
              <w:t>）</w:t>
            </w:r>
          </w:p>
        </w:tc>
      </w:tr>
      <w:tr w:rsidR="009C353B" w14:paraId="70DF0834" w14:textId="77777777">
        <w:trPr>
          <w:trHeight w:val="300"/>
        </w:trPr>
        <w:tc>
          <w:tcPr>
            <w:tcW w:w="1484" w:type="pct"/>
            <w:vMerge w:val="restart"/>
            <w:shd w:val="clear" w:color="auto" w:fill="auto"/>
            <w:noWrap/>
            <w:tcMar>
              <w:top w:w="15" w:type="dxa"/>
              <w:left w:w="15" w:type="dxa"/>
              <w:right w:w="15" w:type="dxa"/>
            </w:tcMar>
            <w:vAlign w:val="center"/>
          </w:tcPr>
          <w:p w14:paraId="4FE814AA" w14:textId="77777777" w:rsidR="009C353B" w:rsidRDefault="00000000">
            <w:pPr>
              <w:widowControl/>
              <w:jc w:val="center"/>
              <w:textAlignment w:val="center"/>
              <w:rPr>
                <w:rStyle w:val="font41"/>
                <w:rFonts w:hint="default"/>
                <w:color w:val="auto"/>
                <w:lang w:bidi="ar"/>
              </w:rPr>
            </w:pPr>
            <w:r>
              <w:rPr>
                <w:rStyle w:val="font41"/>
                <w:rFonts w:hint="default"/>
                <w:color w:val="auto"/>
              </w:rPr>
              <w:t>林地</w:t>
            </w:r>
          </w:p>
        </w:tc>
        <w:tc>
          <w:tcPr>
            <w:tcW w:w="1409" w:type="pct"/>
            <w:shd w:val="clear" w:color="auto" w:fill="auto"/>
            <w:noWrap/>
            <w:tcMar>
              <w:top w:w="15" w:type="dxa"/>
              <w:left w:w="15" w:type="dxa"/>
              <w:right w:w="15" w:type="dxa"/>
            </w:tcMar>
            <w:vAlign w:val="center"/>
          </w:tcPr>
          <w:p w14:paraId="156DA2EA" w14:textId="77777777" w:rsidR="009C353B" w:rsidRDefault="00000000">
            <w:pPr>
              <w:widowControl/>
              <w:jc w:val="center"/>
              <w:textAlignment w:val="center"/>
              <w:rPr>
                <w:rStyle w:val="font41"/>
                <w:rFonts w:hint="default"/>
                <w:color w:val="auto"/>
                <w:lang w:bidi="ar"/>
              </w:rPr>
            </w:pPr>
            <w:r>
              <w:rPr>
                <w:rStyle w:val="font41"/>
                <w:rFonts w:hint="default"/>
                <w:color w:val="auto"/>
              </w:rPr>
              <w:t>乔木林地</w:t>
            </w:r>
          </w:p>
        </w:tc>
        <w:tc>
          <w:tcPr>
            <w:tcW w:w="1016" w:type="pct"/>
            <w:shd w:val="clear" w:color="auto" w:fill="auto"/>
            <w:noWrap/>
            <w:tcMar>
              <w:top w:w="15" w:type="dxa"/>
              <w:left w:w="15" w:type="dxa"/>
              <w:right w:w="15" w:type="dxa"/>
            </w:tcMar>
            <w:vAlign w:val="center"/>
          </w:tcPr>
          <w:p w14:paraId="2A0FA6BA"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hint="eastAsia"/>
                <w:kern w:val="0"/>
                <w:sz w:val="22"/>
                <w:szCs w:val="22"/>
                <w:lang w:bidi="ar"/>
              </w:rPr>
              <w:t xml:space="preserve">10.24 </w:t>
            </w:r>
          </w:p>
        </w:tc>
        <w:tc>
          <w:tcPr>
            <w:tcW w:w="1091" w:type="pct"/>
            <w:shd w:val="clear" w:color="auto" w:fill="auto"/>
            <w:noWrap/>
            <w:tcMar>
              <w:top w:w="15" w:type="dxa"/>
              <w:left w:w="15" w:type="dxa"/>
              <w:right w:w="15" w:type="dxa"/>
            </w:tcMar>
            <w:vAlign w:val="center"/>
          </w:tcPr>
          <w:p w14:paraId="357BFE7E"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17.65 </w:t>
            </w:r>
          </w:p>
        </w:tc>
      </w:tr>
      <w:tr w:rsidR="009C353B" w14:paraId="00755F87" w14:textId="77777777">
        <w:trPr>
          <w:trHeight w:val="300"/>
        </w:trPr>
        <w:tc>
          <w:tcPr>
            <w:tcW w:w="1484" w:type="pct"/>
            <w:vMerge/>
            <w:shd w:val="clear" w:color="auto" w:fill="auto"/>
            <w:noWrap/>
            <w:tcMar>
              <w:top w:w="15" w:type="dxa"/>
              <w:left w:w="15" w:type="dxa"/>
              <w:right w:w="15" w:type="dxa"/>
            </w:tcMar>
            <w:vAlign w:val="center"/>
          </w:tcPr>
          <w:p w14:paraId="374AAA54" w14:textId="77777777" w:rsidR="009C353B" w:rsidRDefault="009C353B">
            <w:pPr>
              <w:widowControl/>
              <w:jc w:val="center"/>
              <w:textAlignment w:val="center"/>
              <w:rPr>
                <w:rStyle w:val="font41"/>
                <w:rFonts w:hint="default"/>
                <w:color w:val="auto"/>
                <w:lang w:bidi="ar"/>
              </w:rPr>
            </w:pPr>
          </w:p>
        </w:tc>
        <w:tc>
          <w:tcPr>
            <w:tcW w:w="1409" w:type="pct"/>
            <w:shd w:val="clear" w:color="auto" w:fill="auto"/>
            <w:noWrap/>
            <w:tcMar>
              <w:top w:w="15" w:type="dxa"/>
              <w:left w:w="15" w:type="dxa"/>
              <w:right w:w="15" w:type="dxa"/>
            </w:tcMar>
            <w:vAlign w:val="center"/>
          </w:tcPr>
          <w:p w14:paraId="467520AC" w14:textId="77777777" w:rsidR="009C353B" w:rsidRDefault="00000000">
            <w:pPr>
              <w:widowControl/>
              <w:jc w:val="center"/>
              <w:textAlignment w:val="center"/>
              <w:rPr>
                <w:rStyle w:val="font41"/>
                <w:rFonts w:hint="default"/>
                <w:color w:val="auto"/>
                <w:lang w:bidi="ar"/>
              </w:rPr>
            </w:pPr>
            <w:r>
              <w:rPr>
                <w:rStyle w:val="font41"/>
                <w:rFonts w:hint="default"/>
                <w:color w:val="auto"/>
              </w:rPr>
              <w:t>灌木林地</w:t>
            </w:r>
          </w:p>
        </w:tc>
        <w:tc>
          <w:tcPr>
            <w:tcW w:w="1016" w:type="pct"/>
            <w:shd w:val="clear" w:color="auto" w:fill="auto"/>
            <w:noWrap/>
            <w:tcMar>
              <w:top w:w="15" w:type="dxa"/>
              <w:left w:w="15" w:type="dxa"/>
              <w:right w:w="15" w:type="dxa"/>
            </w:tcMar>
            <w:vAlign w:val="center"/>
          </w:tcPr>
          <w:p w14:paraId="16733D41"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1.94 </w:t>
            </w:r>
          </w:p>
        </w:tc>
        <w:tc>
          <w:tcPr>
            <w:tcW w:w="1091" w:type="pct"/>
            <w:shd w:val="clear" w:color="auto" w:fill="auto"/>
            <w:noWrap/>
            <w:tcMar>
              <w:top w:w="15" w:type="dxa"/>
              <w:left w:w="15" w:type="dxa"/>
              <w:right w:w="15" w:type="dxa"/>
            </w:tcMar>
            <w:vAlign w:val="center"/>
          </w:tcPr>
          <w:p w14:paraId="5E01A720"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3.34 </w:t>
            </w:r>
          </w:p>
        </w:tc>
      </w:tr>
      <w:tr w:rsidR="009C353B" w14:paraId="50754D85" w14:textId="77777777">
        <w:trPr>
          <w:trHeight w:val="300"/>
        </w:trPr>
        <w:tc>
          <w:tcPr>
            <w:tcW w:w="1484" w:type="pct"/>
            <w:shd w:val="clear" w:color="auto" w:fill="auto"/>
            <w:noWrap/>
            <w:tcMar>
              <w:top w:w="15" w:type="dxa"/>
              <w:left w:w="15" w:type="dxa"/>
              <w:right w:w="15" w:type="dxa"/>
            </w:tcMar>
            <w:vAlign w:val="center"/>
          </w:tcPr>
          <w:p w14:paraId="31DE7CE9" w14:textId="77777777" w:rsidR="009C353B" w:rsidRDefault="00000000">
            <w:pPr>
              <w:widowControl/>
              <w:jc w:val="center"/>
              <w:textAlignment w:val="center"/>
              <w:rPr>
                <w:rStyle w:val="font41"/>
                <w:rFonts w:hint="default"/>
                <w:color w:val="auto"/>
                <w:lang w:bidi="ar"/>
              </w:rPr>
            </w:pPr>
            <w:r>
              <w:rPr>
                <w:rStyle w:val="font41"/>
                <w:rFonts w:hint="default"/>
                <w:color w:val="auto"/>
              </w:rPr>
              <w:t>草地</w:t>
            </w:r>
          </w:p>
        </w:tc>
        <w:tc>
          <w:tcPr>
            <w:tcW w:w="1409" w:type="pct"/>
            <w:shd w:val="clear" w:color="auto" w:fill="auto"/>
            <w:noWrap/>
            <w:tcMar>
              <w:top w:w="15" w:type="dxa"/>
              <w:left w:w="15" w:type="dxa"/>
              <w:right w:w="15" w:type="dxa"/>
            </w:tcMar>
            <w:vAlign w:val="center"/>
          </w:tcPr>
          <w:p w14:paraId="3F6AB955" w14:textId="77777777" w:rsidR="009C353B" w:rsidRDefault="00000000">
            <w:pPr>
              <w:widowControl/>
              <w:jc w:val="center"/>
              <w:textAlignment w:val="center"/>
              <w:rPr>
                <w:rStyle w:val="font41"/>
                <w:rFonts w:hint="default"/>
                <w:color w:val="auto"/>
                <w:lang w:bidi="ar"/>
              </w:rPr>
            </w:pPr>
            <w:r>
              <w:rPr>
                <w:rStyle w:val="font41"/>
                <w:rFonts w:hint="default"/>
                <w:color w:val="auto"/>
              </w:rPr>
              <w:t>天然牧草地</w:t>
            </w:r>
          </w:p>
        </w:tc>
        <w:tc>
          <w:tcPr>
            <w:tcW w:w="1016" w:type="pct"/>
            <w:shd w:val="clear" w:color="auto" w:fill="auto"/>
            <w:noWrap/>
            <w:tcMar>
              <w:top w:w="15" w:type="dxa"/>
              <w:left w:w="15" w:type="dxa"/>
              <w:right w:w="15" w:type="dxa"/>
            </w:tcMar>
            <w:vAlign w:val="center"/>
          </w:tcPr>
          <w:p w14:paraId="7C54CA2E"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hint="eastAsia"/>
                <w:kern w:val="0"/>
                <w:sz w:val="22"/>
                <w:szCs w:val="22"/>
                <w:lang w:bidi="ar"/>
              </w:rPr>
              <w:t xml:space="preserve">39.90 </w:t>
            </w:r>
          </w:p>
        </w:tc>
        <w:tc>
          <w:tcPr>
            <w:tcW w:w="1091" w:type="pct"/>
            <w:shd w:val="clear" w:color="auto" w:fill="auto"/>
            <w:noWrap/>
            <w:tcMar>
              <w:top w:w="15" w:type="dxa"/>
              <w:left w:w="15" w:type="dxa"/>
              <w:right w:w="15" w:type="dxa"/>
            </w:tcMar>
            <w:vAlign w:val="center"/>
          </w:tcPr>
          <w:p w14:paraId="5BDD3634"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68.78 </w:t>
            </w:r>
          </w:p>
        </w:tc>
      </w:tr>
      <w:tr w:rsidR="009C353B" w14:paraId="068BB2A8" w14:textId="77777777">
        <w:trPr>
          <w:trHeight w:val="315"/>
        </w:trPr>
        <w:tc>
          <w:tcPr>
            <w:tcW w:w="1484" w:type="pct"/>
            <w:shd w:val="clear" w:color="auto" w:fill="auto"/>
            <w:noWrap/>
            <w:tcMar>
              <w:top w:w="15" w:type="dxa"/>
              <w:left w:w="15" w:type="dxa"/>
              <w:right w:w="15" w:type="dxa"/>
            </w:tcMar>
            <w:vAlign w:val="center"/>
          </w:tcPr>
          <w:p w14:paraId="3F2BBEFC" w14:textId="77777777" w:rsidR="009C353B" w:rsidRDefault="00000000">
            <w:pPr>
              <w:widowControl/>
              <w:jc w:val="center"/>
              <w:textAlignment w:val="center"/>
              <w:rPr>
                <w:rStyle w:val="font41"/>
                <w:rFonts w:hint="default"/>
                <w:color w:val="auto"/>
                <w:lang w:bidi="ar"/>
              </w:rPr>
            </w:pPr>
            <w:r>
              <w:rPr>
                <w:rStyle w:val="font41"/>
                <w:rFonts w:hint="default"/>
                <w:color w:val="auto"/>
              </w:rPr>
              <w:t>工矿仓储用地</w:t>
            </w:r>
          </w:p>
        </w:tc>
        <w:tc>
          <w:tcPr>
            <w:tcW w:w="1409" w:type="pct"/>
            <w:shd w:val="clear" w:color="auto" w:fill="auto"/>
            <w:noWrap/>
            <w:tcMar>
              <w:top w:w="15" w:type="dxa"/>
              <w:left w:w="15" w:type="dxa"/>
              <w:right w:w="15" w:type="dxa"/>
            </w:tcMar>
            <w:vAlign w:val="center"/>
          </w:tcPr>
          <w:p w14:paraId="0C4A90F5" w14:textId="77777777" w:rsidR="009C353B" w:rsidRDefault="00000000">
            <w:pPr>
              <w:widowControl/>
              <w:jc w:val="center"/>
              <w:textAlignment w:val="center"/>
              <w:rPr>
                <w:rStyle w:val="font41"/>
                <w:rFonts w:hint="default"/>
                <w:color w:val="auto"/>
                <w:lang w:bidi="ar"/>
              </w:rPr>
            </w:pPr>
            <w:r>
              <w:rPr>
                <w:rStyle w:val="font41"/>
                <w:rFonts w:hint="default"/>
                <w:color w:val="auto"/>
              </w:rPr>
              <w:t>工矿用地</w:t>
            </w:r>
          </w:p>
        </w:tc>
        <w:tc>
          <w:tcPr>
            <w:tcW w:w="1016" w:type="pct"/>
            <w:shd w:val="clear" w:color="auto" w:fill="auto"/>
            <w:noWrap/>
            <w:tcMar>
              <w:top w:w="15" w:type="dxa"/>
              <w:left w:w="15" w:type="dxa"/>
              <w:right w:w="15" w:type="dxa"/>
            </w:tcMar>
            <w:vAlign w:val="center"/>
          </w:tcPr>
          <w:p w14:paraId="23A7BE74"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2.69 </w:t>
            </w:r>
          </w:p>
        </w:tc>
        <w:tc>
          <w:tcPr>
            <w:tcW w:w="1091" w:type="pct"/>
            <w:shd w:val="clear" w:color="auto" w:fill="auto"/>
            <w:noWrap/>
            <w:tcMar>
              <w:top w:w="15" w:type="dxa"/>
              <w:left w:w="15" w:type="dxa"/>
              <w:right w:w="15" w:type="dxa"/>
            </w:tcMar>
            <w:vAlign w:val="center"/>
          </w:tcPr>
          <w:p w14:paraId="75422B80"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4.63 </w:t>
            </w:r>
          </w:p>
        </w:tc>
      </w:tr>
      <w:tr w:rsidR="009C353B" w14:paraId="113EEA29" w14:textId="77777777">
        <w:trPr>
          <w:trHeight w:val="315"/>
        </w:trPr>
        <w:tc>
          <w:tcPr>
            <w:tcW w:w="1484" w:type="pct"/>
            <w:vMerge w:val="restart"/>
            <w:shd w:val="clear" w:color="auto" w:fill="auto"/>
            <w:noWrap/>
            <w:tcMar>
              <w:top w:w="15" w:type="dxa"/>
              <w:left w:w="15" w:type="dxa"/>
              <w:right w:w="15" w:type="dxa"/>
            </w:tcMar>
            <w:vAlign w:val="center"/>
          </w:tcPr>
          <w:p w14:paraId="385192E6" w14:textId="77777777" w:rsidR="009C353B" w:rsidRDefault="00000000">
            <w:pPr>
              <w:widowControl/>
              <w:jc w:val="center"/>
              <w:textAlignment w:val="center"/>
              <w:rPr>
                <w:rStyle w:val="font41"/>
                <w:rFonts w:hint="default"/>
                <w:color w:val="auto"/>
                <w:lang w:bidi="ar"/>
              </w:rPr>
            </w:pPr>
            <w:r>
              <w:rPr>
                <w:rStyle w:val="font41"/>
                <w:rFonts w:hint="default"/>
                <w:color w:val="auto"/>
              </w:rPr>
              <w:t>交通运输用地</w:t>
            </w:r>
          </w:p>
        </w:tc>
        <w:tc>
          <w:tcPr>
            <w:tcW w:w="1409" w:type="pct"/>
            <w:shd w:val="clear" w:color="auto" w:fill="auto"/>
            <w:noWrap/>
            <w:tcMar>
              <w:top w:w="15" w:type="dxa"/>
              <w:left w:w="15" w:type="dxa"/>
              <w:right w:w="15" w:type="dxa"/>
            </w:tcMar>
            <w:vAlign w:val="center"/>
          </w:tcPr>
          <w:p w14:paraId="2C7D606A" w14:textId="77777777" w:rsidR="009C353B" w:rsidRDefault="00000000">
            <w:pPr>
              <w:widowControl/>
              <w:jc w:val="center"/>
              <w:textAlignment w:val="center"/>
              <w:rPr>
                <w:rStyle w:val="font41"/>
                <w:rFonts w:hint="default"/>
                <w:color w:val="auto"/>
                <w:lang w:bidi="ar"/>
              </w:rPr>
            </w:pPr>
            <w:r>
              <w:rPr>
                <w:rStyle w:val="font41"/>
                <w:rFonts w:hint="default"/>
                <w:color w:val="auto"/>
              </w:rPr>
              <w:t>铁路用地</w:t>
            </w:r>
          </w:p>
        </w:tc>
        <w:tc>
          <w:tcPr>
            <w:tcW w:w="1016" w:type="pct"/>
            <w:shd w:val="clear" w:color="auto" w:fill="auto"/>
            <w:noWrap/>
            <w:tcMar>
              <w:top w:w="15" w:type="dxa"/>
              <w:left w:w="15" w:type="dxa"/>
              <w:right w:w="15" w:type="dxa"/>
            </w:tcMar>
            <w:vAlign w:val="center"/>
          </w:tcPr>
          <w:p w14:paraId="60E89AB2"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0.13 </w:t>
            </w:r>
          </w:p>
        </w:tc>
        <w:tc>
          <w:tcPr>
            <w:tcW w:w="1091" w:type="pct"/>
            <w:shd w:val="clear" w:color="auto" w:fill="auto"/>
            <w:noWrap/>
            <w:tcMar>
              <w:top w:w="15" w:type="dxa"/>
              <w:left w:w="15" w:type="dxa"/>
              <w:right w:w="15" w:type="dxa"/>
            </w:tcMar>
            <w:vAlign w:val="center"/>
          </w:tcPr>
          <w:p w14:paraId="568396D9"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0.22 </w:t>
            </w:r>
          </w:p>
        </w:tc>
      </w:tr>
      <w:tr w:rsidR="009C353B" w14:paraId="0F6B9B67" w14:textId="77777777">
        <w:trPr>
          <w:trHeight w:val="315"/>
        </w:trPr>
        <w:tc>
          <w:tcPr>
            <w:tcW w:w="1484" w:type="pct"/>
            <w:vMerge/>
            <w:shd w:val="clear" w:color="auto" w:fill="auto"/>
            <w:noWrap/>
            <w:tcMar>
              <w:top w:w="15" w:type="dxa"/>
              <w:left w:w="15" w:type="dxa"/>
              <w:right w:w="15" w:type="dxa"/>
            </w:tcMar>
            <w:vAlign w:val="center"/>
          </w:tcPr>
          <w:p w14:paraId="35A9ECE1" w14:textId="77777777" w:rsidR="009C353B" w:rsidRDefault="009C353B">
            <w:pPr>
              <w:widowControl/>
              <w:jc w:val="center"/>
              <w:textAlignment w:val="center"/>
              <w:rPr>
                <w:rStyle w:val="font41"/>
                <w:rFonts w:hint="default"/>
                <w:color w:val="auto"/>
                <w:lang w:bidi="ar"/>
              </w:rPr>
            </w:pPr>
          </w:p>
        </w:tc>
        <w:tc>
          <w:tcPr>
            <w:tcW w:w="1409" w:type="pct"/>
            <w:shd w:val="clear" w:color="auto" w:fill="auto"/>
            <w:noWrap/>
            <w:tcMar>
              <w:top w:w="15" w:type="dxa"/>
              <w:left w:w="15" w:type="dxa"/>
              <w:right w:w="15" w:type="dxa"/>
            </w:tcMar>
            <w:vAlign w:val="center"/>
          </w:tcPr>
          <w:p w14:paraId="52F1403D" w14:textId="77777777" w:rsidR="009C353B" w:rsidRDefault="00000000">
            <w:pPr>
              <w:widowControl/>
              <w:jc w:val="center"/>
              <w:textAlignment w:val="center"/>
              <w:rPr>
                <w:rStyle w:val="font41"/>
                <w:rFonts w:hint="default"/>
                <w:color w:val="auto"/>
                <w:lang w:bidi="ar"/>
              </w:rPr>
            </w:pPr>
            <w:r>
              <w:rPr>
                <w:rStyle w:val="font41"/>
                <w:rFonts w:hint="default"/>
                <w:color w:val="auto"/>
              </w:rPr>
              <w:t>公路用地</w:t>
            </w:r>
          </w:p>
        </w:tc>
        <w:tc>
          <w:tcPr>
            <w:tcW w:w="1016" w:type="pct"/>
            <w:shd w:val="clear" w:color="auto" w:fill="auto"/>
            <w:noWrap/>
            <w:tcMar>
              <w:top w:w="15" w:type="dxa"/>
              <w:left w:w="15" w:type="dxa"/>
              <w:right w:w="15" w:type="dxa"/>
            </w:tcMar>
            <w:vAlign w:val="center"/>
          </w:tcPr>
          <w:p w14:paraId="0C3A4F76"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0.59 </w:t>
            </w:r>
          </w:p>
        </w:tc>
        <w:tc>
          <w:tcPr>
            <w:tcW w:w="1091" w:type="pct"/>
            <w:shd w:val="clear" w:color="auto" w:fill="auto"/>
            <w:noWrap/>
            <w:tcMar>
              <w:top w:w="15" w:type="dxa"/>
              <w:left w:w="15" w:type="dxa"/>
              <w:right w:w="15" w:type="dxa"/>
            </w:tcMar>
            <w:vAlign w:val="center"/>
          </w:tcPr>
          <w:p w14:paraId="3407198A"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1.02 </w:t>
            </w:r>
          </w:p>
        </w:tc>
      </w:tr>
      <w:tr w:rsidR="009C353B" w14:paraId="251DA6A4" w14:textId="77777777">
        <w:trPr>
          <w:trHeight w:val="315"/>
        </w:trPr>
        <w:tc>
          <w:tcPr>
            <w:tcW w:w="1484" w:type="pct"/>
            <w:vMerge/>
            <w:shd w:val="clear" w:color="auto" w:fill="auto"/>
            <w:noWrap/>
            <w:tcMar>
              <w:top w:w="15" w:type="dxa"/>
              <w:left w:w="15" w:type="dxa"/>
              <w:right w:w="15" w:type="dxa"/>
            </w:tcMar>
            <w:vAlign w:val="center"/>
          </w:tcPr>
          <w:p w14:paraId="2E3570D9" w14:textId="77777777" w:rsidR="009C353B" w:rsidRDefault="009C353B">
            <w:pPr>
              <w:widowControl/>
              <w:jc w:val="center"/>
              <w:textAlignment w:val="center"/>
              <w:rPr>
                <w:rStyle w:val="font41"/>
                <w:rFonts w:hint="default"/>
                <w:color w:val="auto"/>
                <w:lang w:bidi="ar"/>
              </w:rPr>
            </w:pPr>
          </w:p>
        </w:tc>
        <w:tc>
          <w:tcPr>
            <w:tcW w:w="1409" w:type="pct"/>
            <w:shd w:val="clear" w:color="auto" w:fill="auto"/>
            <w:noWrap/>
            <w:tcMar>
              <w:top w:w="15" w:type="dxa"/>
              <w:left w:w="15" w:type="dxa"/>
              <w:right w:w="15" w:type="dxa"/>
            </w:tcMar>
            <w:vAlign w:val="center"/>
          </w:tcPr>
          <w:p w14:paraId="5336F1AC" w14:textId="77777777" w:rsidR="009C353B" w:rsidRDefault="00000000">
            <w:pPr>
              <w:widowControl/>
              <w:jc w:val="center"/>
              <w:textAlignment w:val="center"/>
              <w:rPr>
                <w:rStyle w:val="font41"/>
                <w:rFonts w:hint="default"/>
                <w:color w:val="auto"/>
                <w:lang w:bidi="ar"/>
              </w:rPr>
            </w:pPr>
            <w:r>
              <w:rPr>
                <w:rStyle w:val="font41"/>
                <w:rFonts w:hint="default"/>
                <w:color w:val="auto"/>
              </w:rPr>
              <w:t>农村道路</w:t>
            </w:r>
          </w:p>
        </w:tc>
        <w:tc>
          <w:tcPr>
            <w:tcW w:w="1016" w:type="pct"/>
            <w:shd w:val="clear" w:color="auto" w:fill="auto"/>
            <w:noWrap/>
            <w:tcMar>
              <w:top w:w="15" w:type="dxa"/>
              <w:left w:w="15" w:type="dxa"/>
              <w:right w:w="15" w:type="dxa"/>
            </w:tcMar>
            <w:vAlign w:val="center"/>
          </w:tcPr>
          <w:p w14:paraId="7DE24034"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0.25 </w:t>
            </w:r>
          </w:p>
        </w:tc>
        <w:tc>
          <w:tcPr>
            <w:tcW w:w="1091" w:type="pct"/>
            <w:shd w:val="clear" w:color="auto" w:fill="auto"/>
            <w:noWrap/>
            <w:tcMar>
              <w:top w:w="15" w:type="dxa"/>
              <w:left w:w="15" w:type="dxa"/>
              <w:right w:w="15" w:type="dxa"/>
            </w:tcMar>
            <w:vAlign w:val="center"/>
          </w:tcPr>
          <w:p w14:paraId="6BC5FA3B"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0.43 </w:t>
            </w:r>
          </w:p>
        </w:tc>
      </w:tr>
      <w:tr w:rsidR="009C353B" w14:paraId="4562EBCD" w14:textId="77777777">
        <w:trPr>
          <w:trHeight w:val="315"/>
        </w:trPr>
        <w:tc>
          <w:tcPr>
            <w:tcW w:w="1484" w:type="pct"/>
            <w:vMerge w:val="restart"/>
            <w:shd w:val="clear" w:color="auto" w:fill="auto"/>
            <w:noWrap/>
            <w:tcMar>
              <w:top w:w="15" w:type="dxa"/>
              <w:left w:w="15" w:type="dxa"/>
              <w:right w:w="15" w:type="dxa"/>
            </w:tcMar>
            <w:vAlign w:val="center"/>
          </w:tcPr>
          <w:p w14:paraId="7D8EA922" w14:textId="77777777" w:rsidR="009C353B" w:rsidRDefault="00000000">
            <w:pPr>
              <w:widowControl/>
              <w:jc w:val="center"/>
              <w:textAlignment w:val="center"/>
              <w:rPr>
                <w:rStyle w:val="font41"/>
                <w:rFonts w:hint="default"/>
                <w:color w:val="auto"/>
                <w:lang w:bidi="ar"/>
              </w:rPr>
            </w:pPr>
            <w:r>
              <w:rPr>
                <w:rStyle w:val="font41"/>
                <w:rFonts w:hint="default"/>
                <w:color w:val="auto"/>
              </w:rPr>
              <w:t>水域及水利设施用地</w:t>
            </w:r>
          </w:p>
        </w:tc>
        <w:tc>
          <w:tcPr>
            <w:tcW w:w="1409" w:type="pct"/>
            <w:shd w:val="clear" w:color="auto" w:fill="auto"/>
            <w:noWrap/>
            <w:tcMar>
              <w:top w:w="15" w:type="dxa"/>
              <w:left w:w="15" w:type="dxa"/>
              <w:right w:w="15" w:type="dxa"/>
            </w:tcMar>
            <w:vAlign w:val="center"/>
          </w:tcPr>
          <w:p w14:paraId="64FB6919" w14:textId="77777777" w:rsidR="009C353B" w:rsidRDefault="00000000">
            <w:pPr>
              <w:widowControl/>
              <w:jc w:val="center"/>
              <w:textAlignment w:val="center"/>
              <w:rPr>
                <w:rStyle w:val="font41"/>
                <w:rFonts w:hint="default"/>
                <w:color w:val="auto"/>
                <w:lang w:bidi="ar"/>
              </w:rPr>
            </w:pPr>
            <w:r>
              <w:rPr>
                <w:rStyle w:val="font41"/>
                <w:rFonts w:hint="default"/>
                <w:color w:val="auto"/>
              </w:rPr>
              <w:t>河流水面</w:t>
            </w:r>
          </w:p>
        </w:tc>
        <w:tc>
          <w:tcPr>
            <w:tcW w:w="1016" w:type="pct"/>
            <w:shd w:val="clear" w:color="auto" w:fill="auto"/>
            <w:noWrap/>
            <w:tcMar>
              <w:top w:w="15" w:type="dxa"/>
              <w:left w:w="15" w:type="dxa"/>
              <w:right w:w="15" w:type="dxa"/>
            </w:tcMar>
            <w:vAlign w:val="center"/>
          </w:tcPr>
          <w:p w14:paraId="1BFBC5B7"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0.65 </w:t>
            </w:r>
          </w:p>
        </w:tc>
        <w:tc>
          <w:tcPr>
            <w:tcW w:w="1091" w:type="pct"/>
            <w:shd w:val="clear" w:color="auto" w:fill="auto"/>
            <w:noWrap/>
            <w:tcMar>
              <w:top w:w="15" w:type="dxa"/>
              <w:left w:w="15" w:type="dxa"/>
              <w:right w:w="15" w:type="dxa"/>
            </w:tcMar>
            <w:vAlign w:val="center"/>
          </w:tcPr>
          <w:p w14:paraId="24DCCAF5"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1.12 </w:t>
            </w:r>
          </w:p>
        </w:tc>
      </w:tr>
      <w:tr w:rsidR="009C353B" w14:paraId="03D73FAA" w14:textId="77777777">
        <w:trPr>
          <w:trHeight w:val="315"/>
        </w:trPr>
        <w:tc>
          <w:tcPr>
            <w:tcW w:w="1484" w:type="pct"/>
            <w:vMerge/>
            <w:shd w:val="clear" w:color="auto" w:fill="auto"/>
            <w:noWrap/>
            <w:tcMar>
              <w:top w:w="15" w:type="dxa"/>
              <w:left w:w="15" w:type="dxa"/>
              <w:right w:w="15" w:type="dxa"/>
            </w:tcMar>
            <w:vAlign w:val="center"/>
          </w:tcPr>
          <w:p w14:paraId="7EFCE64B" w14:textId="77777777" w:rsidR="009C353B" w:rsidRDefault="009C353B">
            <w:pPr>
              <w:widowControl/>
              <w:jc w:val="center"/>
              <w:textAlignment w:val="center"/>
              <w:rPr>
                <w:rStyle w:val="font41"/>
                <w:rFonts w:hint="default"/>
                <w:color w:val="auto"/>
                <w:lang w:bidi="ar"/>
              </w:rPr>
            </w:pPr>
          </w:p>
        </w:tc>
        <w:tc>
          <w:tcPr>
            <w:tcW w:w="1409" w:type="pct"/>
            <w:shd w:val="clear" w:color="auto" w:fill="auto"/>
            <w:noWrap/>
            <w:tcMar>
              <w:top w:w="15" w:type="dxa"/>
              <w:left w:w="15" w:type="dxa"/>
              <w:right w:w="15" w:type="dxa"/>
            </w:tcMar>
            <w:vAlign w:val="center"/>
          </w:tcPr>
          <w:p w14:paraId="471BCEBF" w14:textId="77777777" w:rsidR="009C353B" w:rsidRDefault="00000000">
            <w:pPr>
              <w:widowControl/>
              <w:jc w:val="center"/>
              <w:textAlignment w:val="center"/>
              <w:rPr>
                <w:rStyle w:val="font41"/>
                <w:rFonts w:hint="default"/>
                <w:color w:val="auto"/>
                <w:lang w:bidi="ar"/>
              </w:rPr>
            </w:pPr>
            <w:r>
              <w:rPr>
                <w:rStyle w:val="font41"/>
                <w:rFonts w:hint="default"/>
                <w:color w:val="auto"/>
              </w:rPr>
              <w:t>内陆滩涂</w:t>
            </w:r>
          </w:p>
        </w:tc>
        <w:tc>
          <w:tcPr>
            <w:tcW w:w="1016" w:type="pct"/>
            <w:shd w:val="clear" w:color="auto" w:fill="auto"/>
            <w:noWrap/>
            <w:tcMar>
              <w:top w:w="15" w:type="dxa"/>
              <w:left w:w="15" w:type="dxa"/>
              <w:right w:w="15" w:type="dxa"/>
            </w:tcMar>
            <w:vAlign w:val="center"/>
          </w:tcPr>
          <w:p w14:paraId="10D746D6"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0.12 </w:t>
            </w:r>
          </w:p>
        </w:tc>
        <w:tc>
          <w:tcPr>
            <w:tcW w:w="1091" w:type="pct"/>
            <w:shd w:val="clear" w:color="auto" w:fill="auto"/>
            <w:noWrap/>
            <w:tcMar>
              <w:top w:w="15" w:type="dxa"/>
              <w:left w:w="15" w:type="dxa"/>
              <w:right w:w="15" w:type="dxa"/>
            </w:tcMar>
            <w:vAlign w:val="center"/>
          </w:tcPr>
          <w:p w14:paraId="2DC5443A"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0.21 </w:t>
            </w:r>
          </w:p>
        </w:tc>
      </w:tr>
      <w:tr w:rsidR="009C353B" w14:paraId="2B7755D1" w14:textId="77777777">
        <w:trPr>
          <w:trHeight w:val="315"/>
        </w:trPr>
        <w:tc>
          <w:tcPr>
            <w:tcW w:w="1484" w:type="pct"/>
            <w:shd w:val="clear" w:color="auto" w:fill="auto"/>
            <w:noWrap/>
            <w:tcMar>
              <w:top w:w="15" w:type="dxa"/>
              <w:left w:w="15" w:type="dxa"/>
              <w:right w:w="15" w:type="dxa"/>
            </w:tcMar>
            <w:vAlign w:val="center"/>
          </w:tcPr>
          <w:p w14:paraId="73B20105" w14:textId="77777777" w:rsidR="009C353B" w:rsidRDefault="00000000">
            <w:pPr>
              <w:widowControl/>
              <w:jc w:val="center"/>
              <w:textAlignment w:val="center"/>
              <w:rPr>
                <w:rStyle w:val="font41"/>
                <w:rFonts w:hint="default"/>
                <w:color w:val="auto"/>
                <w:lang w:bidi="ar"/>
              </w:rPr>
            </w:pPr>
            <w:r>
              <w:rPr>
                <w:rStyle w:val="font41"/>
                <w:rFonts w:hint="default"/>
                <w:color w:val="auto"/>
              </w:rPr>
              <w:t>其他土地</w:t>
            </w:r>
          </w:p>
        </w:tc>
        <w:tc>
          <w:tcPr>
            <w:tcW w:w="1409" w:type="pct"/>
            <w:shd w:val="clear" w:color="auto" w:fill="auto"/>
            <w:noWrap/>
            <w:tcMar>
              <w:top w:w="15" w:type="dxa"/>
              <w:left w:w="15" w:type="dxa"/>
              <w:right w:w="15" w:type="dxa"/>
            </w:tcMar>
            <w:vAlign w:val="center"/>
          </w:tcPr>
          <w:p w14:paraId="0EDE19BA" w14:textId="77777777" w:rsidR="009C353B" w:rsidRDefault="00000000">
            <w:pPr>
              <w:widowControl/>
              <w:jc w:val="center"/>
              <w:textAlignment w:val="center"/>
              <w:rPr>
                <w:rStyle w:val="font41"/>
                <w:rFonts w:hint="default"/>
                <w:color w:val="auto"/>
                <w:lang w:bidi="ar"/>
              </w:rPr>
            </w:pPr>
            <w:r>
              <w:rPr>
                <w:rStyle w:val="font41"/>
                <w:rFonts w:hint="default"/>
                <w:color w:val="auto"/>
              </w:rPr>
              <w:t>裸土地</w:t>
            </w:r>
          </w:p>
        </w:tc>
        <w:tc>
          <w:tcPr>
            <w:tcW w:w="1016" w:type="pct"/>
            <w:shd w:val="clear" w:color="auto" w:fill="auto"/>
            <w:noWrap/>
            <w:tcMar>
              <w:top w:w="15" w:type="dxa"/>
              <w:left w:w="15" w:type="dxa"/>
              <w:right w:w="15" w:type="dxa"/>
            </w:tcMar>
            <w:vAlign w:val="center"/>
          </w:tcPr>
          <w:p w14:paraId="798DA040"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1.50 </w:t>
            </w:r>
          </w:p>
        </w:tc>
        <w:tc>
          <w:tcPr>
            <w:tcW w:w="1091" w:type="pct"/>
            <w:shd w:val="clear" w:color="auto" w:fill="auto"/>
            <w:noWrap/>
            <w:tcMar>
              <w:top w:w="15" w:type="dxa"/>
              <w:left w:w="15" w:type="dxa"/>
              <w:right w:w="15" w:type="dxa"/>
            </w:tcMar>
            <w:vAlign w:val="center"/>
          </w:tcPr>
          <w:p w14:paraId="4949B37B"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kern w:val="0"/>
                <w:sz w:val="22"/>
                <w:szCs w:val="22"/>
                <w:lang w:bidi="ar"/>
              </w:rPr>
              <w:t xml:space="preserve">2.57 </w:t>
            </w:r>
          </w:p>
        </w:tc>
      </w:tr>
      <w:tr w:rsidR="009C353B" w14:paraId="0DD8F034" w14:textId="77777777">
        <w:trPr>
          <w:trHeight w:val="285"/>
        </w:trPr>
        <w:tc>
          <w:tcPr>
            <w:tcW w:w="1484" w:type="pct"/>
            <w:shd w:val="clear" w:color="auto" w:fill="auto"/>
            <w:noWrap/>
            <w:tcMar>
              <w:top w:w="15" w:type="dxa"/>
              <w:left w:w="15" w:type="dxa"/>
              <w:right w:w="15" w:type="dxa"/>
            </w:tcMar>
            <w:vAlign w:val="center"/>
          </w:tcPr>
          <w:p w14:paraId="1C240E7E" w14:textId="77777777" w:rsidR="009C353B" w:rsidRDefault="00000000">
            <w:pPr>
              <w:widowControl/>
              <w:jc w:val="center"/>
              <w:textAlignment w:val="center"/>
              <w:rPr>
                <w:rStyle w:val="font41"/>
                <w:rFonts w:hint="default"/>
                <w:color w:val="auto"/>
                <w:lang w:bidi="ar"/>
              </w:rPr>
            </w:pPr>
            <w:r>
              <w:rPr>
                <w:rStyle w:val="font41"/>
                <w:rFonts w:hint="default"/>
                <w:color w:val="auto"/>
              </w:rPr>
              <w:t>合计</w:t>
            </w:r>
          </w:p>
        </w:tc>
        <w:tc>
          <w:tcPr>
            <w:tcW w:w="1409" w:type="pct"/>
            <w:shd w:val="clear" w:color="auto" w:fill="auto"/>
            <w:noWrap/>
            <w:tcMar>
              <w:top w:w="15" w:type="dxa"/>
              <w:left w:w="15" w:type="dxa"/>
              <w:right w:w="15" w:type="dxa"/>
            </w:tcMar>
            <w:vAlign w:val="center"/>
          </w:tcPr>
          <w:p w14:paraId="2E4CA9E7" w14:textId="77777777" w:rsidR="009C353B" w:rsidRDefault="009C353B">
            <w:pPr>
              <w:jc w:val="center"/>
              <w:rPr>
                <w:rStyle w:val="font41"/>
                <w:rFonts w:hint="default"/>
                <w:color w:val="auto"/>
                <w:lang w:bidi="ar"/>
              </w:rPr>
            </w:pPr>
          </w:p>
        </w:tc>
        <w:tc>
          <w:tcPr>
            <w:tcW w:w="1016" w:type="pct"/>
            <w:shd w:val="clear" w:color="auto" w:fill="auto"/>
            <w:noWrap/>
            <w:tcMar>
              <w:top w:w="15" w:type="dxa"/>
              <w:left w:w="15" w:type="dxa"/>
              <w:right w:w="15" w:type="dxa"/>
            </w:tcMar>
            <w:vAlign w:val="center"/>
          </w:tcPr>
          <w:p w14:paraId="4E1ECA40"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hint="eastAsia"/>
                <w:kern w:val="0"/>
                <w:sz w:val="22"/>
                <w:szCs w:val="22"/>
                <w:lang w:bidi="ar"/>
              </w:rPr>
              <w:t xml:space="preserve">58.02 </w:t>
            </w:r>
          </w:p>
        </w:tc>
        <w:tc>
          <w:tcPr>
            <w:tcW w:w="1091" w:type="pct"/>
            <w:shd w:val="clear" w:color="auto" w:fill="auto"/>
            <w:noWrap/>
            <w:tcMar>
              <w:top w:w="15" w:type="dxa"/>
              <w:left w:w="15" w:type="dxa"/>
              <w:right w:w="15" w:type="dxa"/>
            </w:tcMar>
            <w:vAlign w:val="center"/>
          </w:tcPr>
          <w:p w14:paraId="0E41D018" w14:textId="77777777" w:rsidR="009C353B" w:rsidRDefault="00000000">
            <w:pPr>
              <w:widowControl/>
              <w:jc w:val="center"/>
              <w:textAlignment w:val="center"/>
              <w:rPr>
                <w:rFonts w:ascii="Times New Roman" w:eastAsia="等线" w:hAnsi="Times New Roman"/>
                <w:kern w:val="0"/>
                <w:sz w:val="22"/>
                <w:szCs w:val="22"/>
                <w:lang w:bidi="ar"/>
              </w:rPr>
            </w:pPr>
            <w:r>
              <w:rPr>
                <w:rFonts w:ascii="Times New Roman" w:eastAsia="等线" w:hAnsi="Times New Roman" w:hint="eastAsia"/>
                <w:kern w:val="0"/>
                <w:sz w:val="22"/>
                <w:szCs w:val="22"/>
                <w:lang w:bidi="ar"/>
              </w:rPr>
              <w:t xml:space="preserve">100.00 </w:t>
            </w:r>
          </w:p>
        </w:tc>
      </w:tr>
    </w:tbl>
    <w:p w14:paraId="5683B94E"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根据对已有沉陷区现场调查结果，横城矿区规划矿井开采后地表沉陷不会形成积水区，受沉陷影响的土地经生态恢复治理，原土地利用类型绝大部分得到恢复。规划实施不会导致矿区土地利用类型发生显著变化。</w:t>
      </w:r>
    </w:p>
    <w:p w14:paraId="1668CAF1" w14:textId="77777777" w:rsidR="009C353B" w:rsidRDefault="00000000">
      <w:pPr>
        <w:pStyle w:val="forth"/>
        <w:rPr>
          <w:rFonts w:ascii="Times New Roman" w:hAnsi="Times New Roman"/>
        </w:rPr>
      </w:pPr>
      <w:r>
        <w:rPr>
          <w:rFonts w:ascii="Times New Roman" w:hAnsi="Times New Roman"/>
        </w:rPr>
        <w:t xml:space="preserve">6.2.1.3 </w:t>
      </w:r>
      <w:r>
        <w:rPr>
          <w:rFonts w:ascii="Times New Roman" w:hAnsi="Times New Roman" w:hint="eastAsia"/>
        </w:rPr>
        <w:t>典型矿井开采沉陷</w:t>
      </w:r>
      <w:r>
        <w:rPr>
          <w:rFonts w:ascii="Times New Roman" w:hAnsi="Times New Roman"/>
        </w:rPr>
        <w:t>对土地利用的影响</w:t>
      </w:r>
      <w:r>
        <w:rPr>
          <w:rFonts w:ascii="Times New Roman" w:hAnsi="Times New Roman" w:hint="eastAsia"/>
        </w:rPr>
        <w:t>——以丁家梁矿井为例</w:t>
      </w:r>
    </w:p>
    <w:p w14:paraId="4D3E3EB7"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横城矿区内马莲台、红石湾和任家庄三个煤矿均已投产多年，只有丁家梁煤矿为已建成未生产矿井，故选丁家梁矿井为典型矿井预测分析采煤沉陷对土地损坏程度。丁家梁矿井全井田开采后地表沉陷不会形成积水区，且煤层埋深较大，地表沉陷表现形式一般为整体缓慢下沉，仅在</w:t>
      </w:r>
      <w:r>
        <w:rPr>
          <w:rFonts w:ascii="Times New Roman" w:hAnsi="Times New Roman"/>
        </w:rPr>
        <w:t>沉陷区边缘会出现</w:t>
      </w:r>
      <w:r>
        <w:rPr>
          <w:rFonts w:ascii="Times New Roman" w:hAnsi="Times New Roman" w:hint="eastAsia"/>
        </w:rPr>
        <w:t>裂缝。因此选取水平变形和倾斜变形作为土地损毁程度判定指标。将沉陷预测结果与土地利用图叠加分析，丁家梁采煤沉陷区内的土地利用以草地为主，参考《土地复垦方案编制规程》中草地损毁程度分级标准划分沉陷区内土地损毁程度，其中土地受轻度损毁面积为</w:t>
      </w:r>
      <w:r>
        <w:rPr>
          <w:rFonts w:ascii="Times New Roman" w:hAnsi="Times New Roman" w:hint="eastAsia"/>
        </w:rPr>
        <w:t>7</w:t>
      </w:r>
      <w:r>
        <w:rPr>
          <w:rFonts w:ascii="Times New Roman" w:hAnsi="Times New Roman"/>
        </w:rPr>
        <w:t>.19</w:t>
      </w:r>
      <w:r>
        <w:rPr>
          <w:rFonts w:ascii="Times New Roman" w:hAnsi="Times New Roman" w:hint="eastAsia"/>
        </w:rPr>
        <w:t>km</w:t>
      </w:r>
      <w:r>
        <w:rPr>
          <w:rFonts w:ascii="Times New Roman" w:hAnsi="Times New Roman"/>
          <w:vertAlign w:val="superscript"/>
        </w:rPr>
        <w:t>2</w:t>
      </w:r>
      <w:r>
        <w:rPr>
          <w:rFonts w:ascii="Times New Roman" w:hAnsi="Times New Roman" w:hint="eastAsia"/>
        </w:rPr>
        <w:t>，受中度损毁面积为</w:t>
      </w:r>
      <w:r>
        <w:rPr>
          <w:rFonts w:ascii="Times New Roman" w:hAnsi="Times New Roman" w:hint="eastAsia"/>
        </w:rPr>
        <w:t>0</w:t>
      </w:r>
      <w:r>
        <w:rPr>
          <w:rFonts w:ascii="Times New Roman" w:hAnsi="Times New Roman"/>
        </w:rPr>
        <w:t>.99</w:t>
      </w:r>
      <w:r>
        <w:rPr>
          <w:rFonts w:ascii="Times New Roman" w:hAnsi="Times New Roman" w:hint="eastAsia"/>
        </w:rPr>
        <w:t>km</w:t>
      </w:r>
      <w:r>
        <w:rPr>
          <w:rFonts w:ascii="Times New Roman" w:hAnsi="Times New Roman"/>
          <w:vertAlign w:val="superscript"/>
        </w:rPr>
        <w:t>2</w:t>
      </w:r>
      <w:r>
        <w:rPr>
          <w:rFonts w:ascii="Times New Roman" w:hAnsi="Times New Roman" w:hint="eastAsia"/>
        </w:rPr>
        <w:t>。具体见图</w:t>
      </w:r>
      <w:r>
        <w:rPr>
          <w:rFonts w:ascii="Times New Roman" w:hAnsi="Times New Roman" w:hint="eastAsia"/>
        </w:rPr>
        <w:t>6</w:t>
      </w:r>
      <w:r>
        <w:rPr>
          <w:rFonts w:ascii="Times New Roman" w:hAnsi="Times New Roman"/>
        </w:rPr>
        <w:t>.2</w:t>
      </w:r>
      <w:r>
        <w:rPr>
          <w:rFonts w:ascii="Times New Roman" w:hAnsi="Times New Roman" w:hint="eastAsia"/>
        </w:rPr>
        <w:t>-</w:t>
      </w:r>
      <w:r>
        <w:rPr>
          <w:rFonts w:ascii="Times New Roman" w:hAnsi="Times New Roman"/>
        </w:rPr>
        <w:t>1</w:t>
      </w:r>
      <w:r>
        <w:rPr>
          <w:rFonts w:ascii="Times New Roman" w:hAnsi="Times New Roman" w:hint="eastAsia"/>
        </w:rPr>
        <w:t>。</w:t>
      </w:r>
    </w:p>
    <w:p w14:paraId="67F8D10A"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6.2.</w:t>
      </w:r>
      <w:r>
        <w:rPr>
          <w:rFonts w:ascii="Times New Roman" w:hAnsi="Times New Roman" w:hint="eastAsia"/>
          <w:sz w:val="24"/>
        </w:rPr>
        <w:t>2</w:t>
      </w:r>
      <w:r>
        <w:rPr>
          <w:rFonts w:ascii="Times New Roman" w:hAnsi="Times New Roman"/>
          <w:sz w:val="24"/>
        </w:rPr>
        <w:t xml:space="preserve"> </w:t>
      </w:r>
      <w:r>
        <w:rPr>
          <w:rFonts w:ascii="Times New Roman" w:hAnsi="Times New Roman"/>
          <w:sz w:val="24"/>
        </w:rPr>
        <w:t>矿区开发对</w:t>
      </w:r>
      <w:r>
        <w:rPr>
          <w:rFonts w:ascii="Times New Roman" w:hAnsi="Times New Roman" w:hint="eastAsia"/>
          <w:sz w:val="24"/>
        </w:rPr>
        <w:t>植物资源</w:t>
      </w:r>
      <w:r>
        <w:rPr>
          <w:rFonts w:ascii="Times New Roman" w:hAnsi="Times New Roman"/>
          <w:sz w:val="24"/>
        </w:rPr>
        <w:t>的影响分析</w:t>
      </w:r>
    </w:p>
    <w:p w14:paraId="4F784F5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评价区内的野生植被以</w:t>
      </w:r>
      <w:r>
        <w:rPr>
          <w:rFonts w:ascii="Times New Roman" w:hAnsi="Times New Roman"/>
        </w:rPr>
        <w:t>草地</w:t>
      </w:r>
      <w:r>
        <w:rPr>
          <w:rFonts w:ascii="Times New Roman" w:hAnsi="Times New Roman" w:hint="eastAsia"/>
        </w:rPr>
        <w:t>为主</w:t>
      </w:r>
      <w:r>
        <w:rPr>
          <w:rFonts w:ascii="Times New Roman" w:hAnsi="Times New Roman"/>
        </w:rPr>
        <w:t>，占整个</w:t>
      </w:r>
      <w:r>
        <w:rPr>
          <w:rFonts w:ascii="Times New Roman" w:hAnsi="Times New Roman" w:hint="eastAsia"/>
        </w:rPr>
        <w:t>评价区</w:t>
      </w:r>
      <w:r>
        <w:rPr>
          <w:rFonts w:ascii="Times New Roman" w:hAnsi="Times New Roman"/>
        </w:rPr>
        <w:t>面积的</w:t>
      </w:r>
      <w:r>
        <w:rPr>
          <w:rFonts w:ascii="Times New Roman" w:hAnsi="Times New Roman"/>
        </w:rPr>
        <w:t>43.10%</w:t>
      </w:r>
      <w:r>
        <w:rPr>
          <w:rFonts w:ascii="Times New Roman" w:hAnsi="Times New Roman"/>
        </w:rPr>
        <w:t>。从大区域地带性规律来看，</w:t>
      </w:r>
      <w:r>
        <w:rPr>
          <w:szCs w:val="22"/>
        </w:rPr>
        <w:t>该区属于矮禾草、矮灌草荒漠草原。</w:t>
      </w:r>
      <w:r>
        <w:rPr>
          <w:rFonts w:hint="eastAsia"/>
          <w:szCs w:val="22"/>
        </w:rPr>
        <w:t>评价</w:t>
      </w:r>
      <w:r>
        <w:rPr>
          <w:szCs w:val="22"/>
        </w:rPr>
        <w:t>区西部丘陵山区为</w:t>
      </w:r>
      <w:r>
        <w:rPr>
          <w:rFonts w:hint="eastAsia"/>
          <w:szCs w:val="22"/>
        </w:rPr>
        <w:t>猫头刺</w:t>
      </w:r>
      <w:r>
        <w:rPr>
          <w:szCs w:val="22"/>
        </w:rPr>
        <w:t>荒漠，主要</w:t>
      </w:r>
      <w:r>
        <w:rPr>
          <w:rFonts w:hint="eastAsia"/>
          <w:szCs w:val="22"/>
        </w:rPr>
        <w:t>优势种</w:t>
      </w:r>
      <w:r>
        <w:rPr>
          <w:szCs w:val="22"/>
        </w:rPr>
        <w:t>为</w:t>
      </w:r>
      <w:r>
        <w:rPr>
          <w:rFonts w:hint="eastAsia"/>
          <w:szCs w:val="22"/>
        </w:rPr>
        <w:t>猫头刺</w:t>
      </w:r>
      <w:r>
        <w:rPr>
          <w:szCs w:val="22"/>
        </w:rPr>
        <w:t>，亚优势种或主要伴生种有珍珠猪毛菜、驼绒藜等半灌木或灌木，草本植物主要有沙生针茅、</w:t>
      </w:r>
      <w:r>
        <w:rPr>
          <w:rFonts w:hint="eastAsia"/>
          <w:szCs w:val="22"/>
        </w:rPr>
        <w:t>短花</w:t>
      </w:r>
      <w:r>
        <w:rPr>
          <w:szCs w:val="22"/>
        </w:rPr>
        <w:t>针茅和</w:t>
      </w:r>
      <w:r>
        <w:rPr>
          <w:rFonts w:hint="eastAsia"/>
          <w:szCs w:val="22"/>
        </w:rPr>
        <w:t>碱蓬</w:t>
      </w:r>
      <w:r>
        <w:rPr>
          <w:szCs w:val="22"/>
        </w:rPr>
        <w:t>等。</w:t>
      </w:r>
      <w:r>
        <w:rPr>
          <w:rFonts w:hint="eastAsia"/>
          <w:szCs w:val="22"/>
        </w:rPr>
        <w:t>东北</w:t>
      </w:r>
      <w:r>
        <w:rPr>
          <w:szCs w:val="22"/>
        </w:rPr>
        <w:t>部</w:t>
      </w:r>
      <w:r>
        <w:rPr>
          <w:rFonts w:hint="eastAsia"/>
          <w:szCs w:val="22"/>
        </w:rPr>
        <w:t>及南部的半固定和少量</w:t>
      </w:r>
      <w:r>
        <w:rPr>
          <w:szCs w:val="22"/>
        </w:rPr>
        <w:t>流动沙丘主要分布沙蓬、雾冰黎和虫实沙地先锋植物 。</w:t>
      </w:r>
      <w:r>
        <w:rPr>
          <w:rFonts w:ascii="Times New Roman" w:hAnsi="Times New Roman"/>
        </w:rPr>
        <w:t>矿区的开发对草地的破坏主要体现在一下几个方面：</w:t>
      </w:r>
    </w:p>
    <w:p w14:paraId="5587925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）建设期对植被的影响</w:t>
      </w:r>
    </w:p>
    <w:p w14:paraId="4D0705F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szCs w:val="24"/>
        </w:rPr>
        <w:t>通过分析评价区内植被分布现状情况可知，评价区内植被覆盖度</w:t>
      </w:r>
      <w:r>
        <w:rPr>
          <w:rFonts w:ascii="Times New Roman" w:hAnsi="Times New Roman"/>
          <w:szCs w:val="24"/>
        </w:rPr>
        <w:t>20%</w:t>
      </w:r>
      <w:r>
        <w:rPr>
          <w:rFonts w:ascii="Times New Roman" w:hAnsi="Times New Roman" w:hint="eastAsia"/>
          <w:szCs w:val="24"/>
        </w:rPr>
        <w:t>左右</w:t>
      </w:r>
      <w:r>
        <w:rPr>
          <w:rFonts w:ascii="Times New Roman" w:hAnsi="Times New Roman"/>
          <w:szCs w:val="24"/>
        </w:rPr>
        <w:t>，</w:t>
      </w:r>
      <w:r>
        <w:rPr>
          <w:rFonts w:ascii="Times New Roman" w:hAnsi="Times New Roman" w:hint="eastAsia"/>
          <w:szCs w:val="24"/>
        </w:rPr>
        <w:t>根据</w:t>
      </w:r>
      <w:r>
        <w:rPr>
          <w:rFonts w:ascii="Times New Roman" w:hAnsi="Times New Roman"/>
          <w:szCs w:val="24"/>
        </w:rPr>
        <w:t>规划</w:t>
      </w:r>
      <w:r>
        <w:rPr>
          <w:rFonts w:ascii="Times New Roman" w:hAnsi="Times New Roman" w:hint="eastAsia"/>
          <w:szCs w:val="24"/>
        </w:rPr>
        <w:t>，项目占地</w:t>
      </w:r>
      <w:r>
        <w:rPr>
          <w:rFonts w:ascii="Times New Roman" w:hAnsi="Times New Roman"/>
          <w:szCs w:val="24"/>
        </w:rPr>
        <w:t>对于评价区植物产生的影响，主要体现在</w:t>
      </w:r>
      <w:r>
        <w:rPr>
          <w:rFonts w:ascii="Times New Roman" w:hAnsi="Times New Roman" w:hint="eastAsia"/>
          <w:szCs w:val="24"/>
        </w:rPr>
        <w:t>永久占地</w:t>
      </w:r>
      <w:r>
        <w:rPr>
          <w:rFonts w:ascii="Times New Roman" w:hAnsi="Times New Roman"/>
          <w:szCs w:val="24"/>
        </w:rPr>
        <w:t>对植被的占用及破坏。</w:t>
      </w:r>
      <w:r>
        <w:rPr>
          <w:rFonts w:ascii="Times New Roman" w:hAnsi="Times New Roman" w:hint="eastAsia"/>
          <w:szCs w:val="24"/>
        </w:rPr>
        <w:t>工程占地</w:t>
      </w:r>
      <w:r>
        <w:rPr>
          <w:rFonts w:ascii="Times New Roman" w:hAnsi="Times New Roman"/>
          <w:szCs w:val="24"/>
        </w:rPr>
        <w:t>占用草地面积为</w:t>
      </w:r>
      <w:r>
        <w:rPr>
          <w:rFonts w:ascii="Times New Roman" w:hAnsi="Times New Roman" w:hint="eastAsia"/>
          <w:szCs w:val="24"/>
        </w:rPr>
        <w:t>127.47</w:t>
      </w:r>
      <w:r>
        <w:rPr>
          <w:rFonts w:ascii="Times New Roman" w:hAnsi="Times New Roman"/>
          <w:szCs w:val="24"/>
        </w:rPr>
        <w:t>hm</w:t>
      </w:r>
      <w:r>
        <w:rPr>
          <w:rFonts w:ascii="Times New Roman" w:hAnsi="Times New Roman"/>
          <w:szCs w:val="24"/>
          <w:vertAlign w:val="superscript"/>
        </w:rPr>
        <w:t>2</w:t>
      </w:r>
      <w:r>
        <w:rPr>
          <w:rFonts w:ascii="Times New Roman" w:hAnsi="Times New Roman" w:hint="eastAsia"/>
          <w:szCs w:val="24"/>
        </w:rPr>
        <w:t>，占</w:t>
      </w:r>
      <w:r>
        <w:rPr>
          <w:rFonts w:ascii="Times New Roman" w:hAnsi="Times New Roman"/>
          <w:szCs w:val="24"/>
        </w:rPr>
        <w:t>评价区</w:t>
      </w:r>
      <w:r>
        <w:rPr>
          <w:rFonts w:ascii="Times New Roman" w:hAnsi="Times New Roman" w:hint="eastAsia"/>
          <w:szCs w:val="24"/>
        </w:rPr>
        <w:t>草地</w:t>
      </w:r>
      <w:r>
        <w:rPr>
          <w:rFonts w:ascii="Times New Roman" w:hAnsi="Times New Roman"/>
          <w:szCs w:val="24"/>
        </w:rPr>
        <w:t>面积的</w:t>
      </w:r>
      <w:r>
        <w:rPr>
          <w:rFonts w:ascii="Times New Roman" w:hAnsi="Times New Roman" w:hint="eastAsia"/>
          <w:szCs w:val="24"/>
        </w:rPr>
        <w:t>0.62</w:t>
      </w:r>
      <w:r>
        <w:rPr>
          <w:rFonts w:ascii="Times New Roman" w:hAnsi="Times New Roman"/>
          <w:szCs w:val="24"/>
        </w:rPr>
        <w:t>%</w:t>
      </w:r>
      <w:r>
        <w:rPr>
          <w:rFonts w:ascii="Times New Roman" w:hAnsi="Times New Roman"/>
          <w:szCs w:val="24"/>
        </w:rPr>
        <w:t>。</w:t>
      </w:r>
      <w:r>
        <w:rPr>
          <w:rFonts w:ascii="Times New Roman" w:hAnsi="Times New Roman" w:hint="eastAsia"/>
          <w:szCs w:val="24"/>
        </w:rPr>
        <w:t>临时占地上的施工扰动也会破坏原有植被，</w:t>
      </w:r>
      <w:r>
        <w:rPr>
          <w:rFonts w:ascii="Times New Roman" w:hAnsi="Times New Roman"/>
          <w:szCs w:val="24"/>
        </w:rPr>
        <w:t>但影响较为短暂，经过一段时间可以恢复。因此，为尽可能降低对评价区内植物生长产生的不利影响，</w:t>
      </w:r>
      <w:r>
        <w:rPr>
          <w:rFonts w:ascii="Times New Roman" w:hAnsi="Times New Roman" w:hint="eastAsia"/>
          <w:szCs w:val="24"/>
        </w:rPr>
        <w:t>应</w:t>
      </w:r>
      <w:r>
        <w:rPr>
          <w:rFonts w:ascii="Times New Roman" w:hAnsi="Times New Roman"/>
          <w:szCs w:val="24"/>
        </w:rPr>
        <w:t>严格限制临时占地的面积</w:t>
      </w:r>
      <w:r>
        <w:rPr>
          <w:rFonts w:ascii="Times New Roman" w:hAnsi="Times New Roman" w:hint="eastAsia"/>
          <w:szCs w:val="24"/>
        </w:rPr>
        <w:t>，</w:t>
      </w:r>
      <w:r>
        <w:rPr>
          <w:rFonts w:ascii="Times New Roman" w:hAnsi="Times New Roman"/>
          <w:szCs w:val="24"/>
        </w:rPr>
        <w:t>减少对</w:t>
      </w:r>
      <w:r>
        <w:rPr>
          <w:rFonts w:ascii="Times New Roman" w:hAnsi="Times New Roman" w:hint="eastAsia"/>
          <w:szCs w:val="24"/>
        </w:rPr>
        <w:t>地表</w:t>
      </w:r>
      <w:r>
        <w:rPr>
          <w:rFonts w:ascii="Times New Roman" w:hAnsi="Times New Roman"/>
          <w:szCs w:val="24"/>
        </w:rPr>
        <w:t>扰动</w:t>
      </w:r>
      <w:r>
        <w:rPr>
          <w:rFonts w:ascii="Times New Roman" w:hAnsi="Times New Roman" w:hint="eastAsia"/>
          <w:szCs w:val="24"/>
        </w:rPr>
        <w:t>和</w:t>
      </w:r>
      <w:r>
        <w:rPr>
          <w:rFonts w:ascii="Times New Roman" w:hAnsi="Times New Roman"/>
          <w:szCs w:val="24"/>
        </w:rPr>
        <w:t>植被的破坏</w:t>
      </w:r>
      <w:r>
        <w:rPr>
          <w:rFonts w:ascii="Times New Roman" w:hAnsi="Times New Roman" w:hint="eastAsia"/>
          <w:szCs w:val="24"/>
        </w:rPr>
        <w:t>。</w:t>
      </w:r>
    </w:p>
    <w:p w14:paraId="217D1BE4"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）地表沉陷对植被的影响</w:t>
      </w:r>
    </w:p>
    <w:p w14:paraId="57A3CC06" w14:textId="77777777" w:rsidR="009C353B" w:rsidRDefault="00000000">
      <w:pPr>
        <w:spacing w:line="440" w:lineRule="exact"/>
        <w:ind w:firstLine="482"/>
        <w:rPr>
          <w:rFonts w:ascii="Times New Roman" w:hAnsi="Times New Roman"/>
          <w:szCs w:val="24"/>
        </w:rPr>
      </w:pPr>
      <w:r>
        <w:rPr>
          <w:rFonts w:ascii="Times New Roman" w:hAnsi="Times New Roman" w:hint="eastAsia"/>
        </w:rPr>
        <w:t>根据对已有沉陷区植被生长状况调查发现，地表沉陷对植被的影响主要来自地表裂缝、沉降台阶及沉陷坑出现的区域，轻微的地表裂缝不会影响植被的正常生长。大裂缝、沉降台阶及沉陷坑则会使其上方的植被不能正常生长，但这种影响局限在小范围内，不会影响周边的植被的正常生长，因此不足以影响整个地区植被生长和植被类型发生变化。对于受沉陷影响地表整体缓慢下沉的区域，由于区域内地下水埋深较大，且区域多年平均降水量为</w:t>
      </w:r>
      <w:r>
        <w:rPr>
          <w:rFonts w:ascii="Times New Roman" w:hAnsi="Times New Roman" w:hint="eastAsia"/>
        </w:rPr>
        <w:t>200.6mm</w:t>
      </w:r>
      <w:r>
        <w:rPr>
          <w:rFonts w:ascii="Times New Roman" w:hAnsi="Times New Roman" w:hint="eastAsia"/>
        </w:rPr>
        <w:t>，不会形成局部季节性积水区或常年积水区。区域植被生长主要是依靠天然降水，区域降水量小，即使地表变形改变汇水条件也不会改变区域以旱生化植被为主的特征，不会使区域植被类型会发生较大变化。</w:t>
      </w:r>
    </w:p>
    <w:p w14:paraId="41D6E5FC" w14:textId="77777777" w:rsidR="009C353B" w:rsidRDefault="00000000">
      <w:pPr>
        <w:spacing w:line="440" w:lineRule="exact"/>
        <w:ind w:firstLine="482"/>
        <w:rPr>
          <w:rFonts w:eastAsia="汉鼎简书宋" w:hint="eastAsia"/>
          <w:szCs w:val="24"/>
        </w:rPr>
      </w:pPr>
      <w:r>
        <w:rPr>
          <w:rFonts w:ascii="Times New Roman" w:hAnsi="Times New Roman" w:hint="eastAsia"/>
          <w:szCs w:val="24"/>
        </w:rPr>
        <w:t>评价区内分布有国家二级保护植被沙冬青。沙冬青能在恶劣的自然环境中生长，具有较厚的角质层、密实的表皮毛，气孔下陷，抗旱性、抗热性强，耐寒、耐盐、耐贫瘠，保水性强，在极度缺水的状况下仍能正常生长。从沙冬青的生物特性可以看出其对生境适应性强，且区域同类型生境大面积分布，即使少量植株生长受到沉陷影响也不会导致沙冬青群落数量明显减少。此外，在区域生态整治时可采取人工措施促进其生长，具体措施见生态整治措施章节。</w:t>
      </w:r>
    </w:p>
    <w:p w14:paraId="6C41CC49"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6.</w:t>
      </w:r>
      <w:r>
        <w:rPr>
          <w:rFonts w:ascii="Times New Roman" w:hAnsi="Times New Roman" w:hint="eastAsia"/>
          <w:sz w:val="24"/>
        </w:rPr>
        <w:t>2</w:t>
      </w:r>
      <w:r>
        <w:rPr>
          <w:rFonts w:ascii="Times New Roman" w:hAnsi="Times New Roman"/>
          <w:sz w:val="24"/>
        </w:rPr>
        <w:t>.</w:t>
      </w:r>
      <w:r>
        <w:rPr>
          <w:rFonts w:ascii="Times New Roman" w:hAnsi="Times New Roman" w:hint="eastAsia"/>
          <w:sz w:val="24"/>
        </w:rPr>
        <w:t>3</w:t>
      </w:r>
      <w:r>
        <w:rPr>
          <w:rFonts w:ascii="Times New Roman" w:hAnsi="Times New Roman"/>
          <w:sz w:val="24"/>
        </w:rPr>
        <w:t xml:space="preserve"> </w:t>
      </w:r>
      <w:r>
        <w:rPr>
          <w:rFonts w:ascii="Times New Roman"/>
          <w:sz w:val="24"/>
        </w:rPr>
        <w:t>矿区开发对动物资源影响分析</w:t>
      </w:r>
    </w:p>
    <w:p w14:paraId="33470142" w14:textId="77777777" w:rsidR="009C353B" w:rsidRDefault="00000000">
      <w:pPr>
        <w:spacing w:line="440" w:lineRule="exact"/>
        <w:ind w:firstLine="482"/>
        <w:rPr>
          <w:rFonts w:ascii="Times New Roman" w:hAnsi="Times New Roman"/>
          <w:szCs w:val="24"/>
        </w:rPr>
      </w:pPr>
      <w:r>
        <w:rPr>
          <w:rFonts w:ascii="Times New Roman" w:hAnsi="Times New Roman" w:hint="eastAsia"/>
          <w:szCs w:val="24"/>
        </w:rPr>
        <w:t>矿区的开发对野生动物的影响主要表现改变土地利用方式，占用了野生动物的栖息环境，减少了原有野生动物的栖息与活动范围，从而迫使部分野生动物向四周迁移。评价区的内野生动物的种类不多，数量很少。优势种为草原沙蜥、达乌尔黄鼠、长爪沙鼠等。鸟类主要有翘鼻麻鸭、沙百灵、家燕等，这些野生动物均为广布种。无濒危物种和国家级保护动物。</w:t>
      </w:r>
    </w:p>
    <w:p w14:paraId="46081AD1" w14:textId="77777777" w:rsidR="009C353B" w:rsidRDefault="00000000">
      <w:pPr>
        <w:spacing w:line="440" w:lineRule="exact"/>
        <w:ind w:firstLine="482"/>
        <w:rPr>
          <w:rFonts w:ascii="Times New Roman" w:hAnsi="Times New Roman"/>
          <w:szCs w:val="24"/>
        </w:rPr>
      </w:pPr>
      <w:r>
        <w:rPr>
          <w:rFonts w:ascii="Times New Roman" w:hAnsi="Times New Roman" w:hint="eastAsia"/>
          <w:szCs w:val="24"/>
        </w:rPr>
        <w:t>由于本矿区已进行了多年的开采，本项目所在地多年的人为活动影响造成本区野生动物不多，野生动物多为广布种，无大型野生哺乳动物、稀有种，以及国家保护动物。因此，矿区的开发建设不会使评价区野生动物物种数发生变化，其种群数量也不会受到较大的影响。</w:t>
      </w:r>
    </w:p>
    <w:p w14:paraId="3FF99599"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 xml:space="preserve">6.2.4 </w:t>
      </w:r>
      <w:r>
        <w:rPr>
          <w:rFonts w:ascii="Times New Roman" w:hAnsi="Times New Roman" w:hint="eastAsia"/>
          <w:sz w:val="24"/>
        </w:rPr>
        <w:t>矿区开发对土壤侵蚀的影响分析</w:t>
      </w:r>
    </w:p>
    <w:p w14:paraId="64ECE7F8" w14:textId="77777777" w:rsidR="009C353B" w:rsidRDefault="00000000">
      <w:pPr>
        <w:spacing w:line="440" w:lineRule="exact"/>
        <w:ind w:firstLine="482"/>
        <w:rPr>
          <w:rFonts w:ascii="Times New Roman" w:hAnsi="Times New Roman"/>
          <w:szCs w:val="24"/>
        </w:rPr>
      </w:pPr>
      <w:r>
        <w:rPr>
          <w:rFonts w:ascii="Times New Roman" w:hAnsi="Times New Roman" w:hint="eastAsia"/>
          <w:szCs w:val="24"/>
        </w:rPr>
        <w:t>横城矿区属于中温带半干旱沙漠大陆性季风气候区，干旱少雨，年降水量小，区域的土壤侵蚀类型以风力侵蚀为主，兼有水力侵蚀。区域植被为荒漠草原，植被覆盖度较低，生态系统抗干扰能力较低。矿区开发之后由于施工期间会对评价区内地表造成人为干扰，一些区域植被会受到破坏，局部地区土壤侵蚀强度有所增加。另外由于井工矿开采造成地表沉陷，沉陷盆地边缘以及裂缝区域土壤侵蚀强度会有所增加。总体来说矿区开发后部分地区土壤侵蚀强度会有所增加，如果不及时采取合理措施恢复植被，远期来说评价区局部土壤侵蚀强度将由轻度和中度侵蚀向强烈侵蚀甚至极强烈侵蚀方向发展。</w:t>
      </w:r>
    </w:p>
    <w:p w14:paraId="6F8C09A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szCs w:val="24"/>
        </w:rPr>
        <w:t>横城矿区已开发多年，根据</w:t>
      </w:r>
      <w:r>
        <w:rPr>
          <w:rFonts w:ascii="Times New Roman" w:hAnsi="Times New Roman" w:hint="eastAsia"/>
          <w:szCs w:val="24"/>
        </w:rPr>
        <w:t>2004-2019</w:t>
      </w:r>
      <w:r>
        <w:rPr>
          <w:rFonts w:ascii="Times New Roman" w:hAnsi="Times New Roman" w:hint="eastAsia"/>
          <w:szCs w:val="24"/>
        </w:rPr>
        <w:t>年间的土壤侵蚀回顾分析可以看出，区域开发后的生态整治措施是控制区域土壤侵蚀的关键，及时实施有效的生态整治措施可以有效控制区域的土壤侵蚀，维持原有的土壤侵蚀强度，甚至改善区域的土壤侵蚀情况。</w:t>
      </w:r>
    </w:p>
    <w:p w14:paraId="6A5C4A53"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6.</w:t>
      </w:r>
      <w:r>
        <w:rPr>
          <w:rFonts w:ascii="Times New Roman" w:hAnsi="Times New Roman" w:hint="eastAsia"/>
          <w:sz w:val="24"/>
        </w:rPr>
        <w:t>2.</w:t>
      </w:r>
      <w:r>
        <w:rPr>
          <w:rFonts w:ascii="Times New Roman" w:hAnsi="Times New Roman"/>
          <w:sz w:val="24"/>
        </w:rPr>
        <w:t>5</w:t>
      </w:r>
      <w:r>
        <w:rPr>
          <w:rFonts w:ascii="Times New Roman" w:hAnsi="Times New Roman" w:hint="eastAsia"/>
          <w:sz w:val="24"/>
        </w:rPr>
        <w:t xml:space="preserve"> </w:t>
      </w:r>
      <w:r>
        <w:rPr>
          <w:rFonts w:ascii="Times New Roman"/>
          <w:sz w:val="24"/>
        </w:rPr>
        <w:t>矿区开发对</w:t>
      </w:r>
      <w:r>
        <w:rPr>
          <w:rFonts w:ascii="Times New Roman" w:hint="eastAsia"/>
          <w:sz w:val="24"/>
        </w:rPr>
        <w:t>国家级公益林的</w:t>
      </w:r>
      <w:r>
        <w:rPr>
          <w:rFonts w:ascii="Times New Roman"/>
          <w:sz w:val="24"/>
        </w:rPr>
        <w:t>影响分析</w:t>
      </w:r>
    </w:p>
    <w:p w14:paraId="719C4491" w14:textId="77777777" w:rsidR="009C353B" w:rsidRDefault="00000000">
      <w:pPr>
        <w:adjustRightInd w:val="0"/>
        <w:snapToGrid w:val="0"/>
        <w:spacing w:line="440" w:lineRule="exact"/>
        <w:ind w:firstLineChars="200" w:firstLine="480"/>
        <w:rPr>
          <w:rFonts w:ascii="Times New Roman" w:hAnsi="Times New Roman"/>
          <w:szCs w:val="24"/>
        </w:rPr>
      </w:pPr>
      <w:bookmarkStart w:id="230" w:name="_Toc339875213"/>
      <w:bookmarkStart w:id="231" w:name="_Toc339816268"/>
      <w:r>
        <w:rPr>
          <w:rFonts w:ascii="Times New Roman" w:hAnsi="Times New Roman" w:hint="eastAsia"/>
          <w:szCs w:val="24"/>
        </w:rPr>
        <w:t>本项目评价区内的公益林分布在鸭子荡水库周围。矿区开发后的地表沉陷边缘距公益林最近距离约</w:t>
      </w:r>
      <w:r>
        <w:rPr>
          <w:rFonts w:ascii="Times New Roman" w:hAnsi="Times New Roman" w:hint="eastAsia"/>
          <w:szCs w:val="24"/>
        </w:rPr>
        <w:t>500m</w:t>
      </w:r>
      <w:r>
        <w:rPr>
          <w:rFonts w:ascii="Times New Roman" w:hAnsi="Times New Roman" w:hint="eastAsia"/>
          <w:szCs w:val="24"/>
        </w:rPr>
        <w:t>，采煤沉陷不会直接影响公益林。公益林以灌木林为主，植被生长主要依靠大气降水及鸭子荡水库侧向补给的潜水。地表沉陷不会影响到鸭子荡水库的水源补给，亦不会影响其周边公益林的正常生长。公益林分布见图</w:t>
      </w:r>
      <w:r>
        <w:rPr>
          <w:rFonts w:ascii="Times New Roman" w:hAnsi="Times New Roman" w:hint="eastAsia"/>
          <w:szCs w:val="24"/>
        </w:rPr>
        <w:t>3.4-5</w:t>
      </w:r>
      <w:r>
        <w:rPr>
          <w:rFonts w:ascii="Times New Roman" w:hAnsi="Times New Roman" w:hint="eastAsia"/>
          <w:szCs w:val="24"/>
        </w:rPr>
        <w:t>。</w:t>
      </w:r>
    </w:p>
    <w:p w14:paraId="12FF5688"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6.</w:t>
      </w:r>
      <w:r>
        <w:rPr>
          <w:rFonts w:ascii="Times New Roman" w:hAnsi="Times New Roman" w:hint="eastAsia"/>
          <w:sz w:val="24"/>
        </w:rPr>
        <w:t xml:space="preserve">2.6 </w:t>
      </w:r>
      <w:r>
        <w:rPr>
          <w:rFonts w:ascii="Times New Roman" w:hAnsi="Times New Roman"/>
          <w:sz w:val="24"/>
        </w:rPr>
        <w:t>矿区开发对</w:t>
      </w:r>
      <w:r>
        <w:rPr>
          <w:rFonts w:ascii="Times New Roman" w:hAnsi="Times New Roman" w:hint="eastAsia"/>
          <w:sz w:val="24"/>
        </w:rPr>
        <w:t>土壤沙化的</w:t>
      </w:r>
      <w:r>
        <w:rPr>
          <w:rFonts w:ascii="Times New Roman" w:hAnsi="Times New Roman"/>
          <w:sz w:val="24"/>
        </w:rPr>
        <w:t>影响分析</w:t>
      </w:r>
    </w:p>
    <w:p w14:paraId="68A7499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本次环评利用《生态功能区划暂行规程》提供的指标体系进行土壤沙化敏感性进行分析。不敏感区域基本不会发生沙漠化，敏感区域就有发生沙漠化的可能。土地沙漠化可以用湿润指数、土壤质地及起沙风的天数等来评价区域沙漠化敏感性程度，具体指标与分级标准见表</w:t>
      </w:r>
      <w:r>
        <w:rPr>
          <w:rFonts w:ascii="Times New Roman" w:hAnsi="Times New Roman" w:hint="eastAsia"/>
          <w:szCs w:val="24"/>
        </w:rPr>
        <w:t>6.2-3</w:t>
      </w:r>
      <w:r>
        <w:rPr>
          <w:rFonts w:ascii="Times New Roman" w:hAnsi="Times New Roman"/>
          <w:szCs w:val="24"/>
        </w:rPr>
        <w:t>。</w:t>
      </w:r>
    </w:p>
    <w:p w14:paraId="74BF09CF" w14:textId="77777777" w:rsidR="009C353B" w:rsidRDefault="00000000">
      <w:pPr>
        <w:spacing w:line="440" w:lineRule="exact"/>
        <w:ind w:firstLineChars="200" w:firstLine="482"/>
        <w:jc w:val="center"/>
        <w:rPr>
          <w:rFonts w:ascii="Times New Roman" w:hAnsi="Times New Roman"/>
          <w:b/>
          <w:snapToGrid w:val="0"/>
          <w:kern w:val="0"/>
        </w:rPr>
      </w:pPr>
      <w:r>
        <w:rPr>
          <w:rFonts w:ascii="Times New Roman" w:hAnsi="Times New Roman"/>
          <w:b/>
          <w:snapToGrid w:val="0"/>
          <w:kern w:val="0"/>
        </w:rPr>
        <w:t>沙漠化敏感性分级指标</w:t>
      </w:r>
    </w:p>
    <w:p w14:paraId="5FE82FE0" w14:textId="77777777" w:rsidR="009C353B" w:rsidRDefault="00000000">
      <w:pPr>
        <w:adjustRightInd w:val="0"/>
        <w:snapToGrid w:val="0"/>
        <w:spacing w:line="440" w:lineRule="exact"/>
        <w:rPr>
          <w:rFonts w:ascii="Times New Roman" w:hAnsi="Times New Roman"/>
          <w:szCs w:val="24"/>
        </w:rPr>
      </w:pPr>
      <w:bookmarkStart w:id="232" w:name="_Toc279866332"/>
      <w:r>
        <w:rPr>
          <w:rFonts w:ascii="Times New Roman" w:hAnsi="Times New Roman"/>
          <w:szCs w:val="24"/>
        </w:rPr>
        <w:t>表</w:t>
      </w:r>
      <w:bookmarkEnd w:id="232"/>
      <w:r>
        <w:rPr>
          <w:rFonts w:ascii="Times New Roman" w:hAnsi="Times New Roman" w:hint="eastAsia"/>
          <w:szCs w:val="24"/>
        </w:rPr>
        <w:t>6.2-3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585"/>
        <w:gridCol w:w="1272"/>
        <w:gridCol w:w="1274"/>
        <w:gridCol w:w="1276"/>
        <w:gridCol w:w="1418"/>
        <w:gridCol w:w="1301"/>
      </w:tblGrid>
      <w:tr w:rsidR="009C353B" w14:paraId="48DBB23B" w14:textId="77777777">
        <w:trPr>
          <w:trHeight w:val="340"/>
          <w:jc w:val="center"/>
        </w:trPr>
        <w:tc>
          <w:tcPr>
            <w:tcW w:w="2585" w:type="dxa"/>
            <w:tcBorders>
              <w:top w:val="single" w:sz="4" w:space="0" w:color="auto"/>
              <w:left w:val="single" w:sz="4" w:space="0" w:color="auto"/>
              <w:bottom w:val="single" w:sz="4" w:space="0" w:color="auto"/>
              <w:right w:val="single" w:sz="4" w:space="0" w:color="auto"/>
            </w:tcBorders>
            <w:vAlign w:val="center"/>
          </w:tcPr>
          <w:p w14:paraId="698190F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敏感性指标</w:t>
            </w:r>
          </w:p>
        </w:tc>
        <w:tc>
          <w:tcPr>
            <w:tcW w:w="1272" w:type="dxa"/>
            <w:tcBorders>
              <w:top w:val="single" w:sz="4" w:space="0" w:color="auto"/>
              <w:left w:val="single" w:sz="4" w:space="0" w:color="auto"/>
              <w:bottom w:val="single" w:sz="4" w:space="0" w:color="auto"/>
              <w:right w:val="single" w:sz="4" w:space="0" w:color="auto"/>
            </w:tcBorders>
            <w:vAlign w:val="center"/>
          </w:tcPr>
          <w:p w14:paraId="2AA2755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不敏感</w:t>
            </w:r>
          </w:p>
        </w:tc>
        <w:tc>
          <w:tcPr>
            <w:tcW w:w="1274" w:type="dxa"/>
            <w:tcBorders>
              <w:top w:val="single" w:sz="4" w:space="0" w:color="auto"/>
              <w:left w:val="single" w:sz="4" w:space="0" w:color="auto"/>
              <w:bottom w:val="single" w:sz="4" w:space="0" w:color="auto"/>
              <w:right w:val="single" w:sz="4" w:space="0" w:color="auto"/>
            </w:tcBorders>
            <w:vAlign w:val="center"/>
          </w:tcPr>
          <w:p w14:paraId="357BA9B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轻度敏感</w:t>
            </w:r>
          </w:p>
        </w:tc>
        <w:tc>
          <w:tcPr>
            <w:tcW w:w="1276" w:type="dxa"/>
            <w:tcBorders>
              <w:top w:val="single" w:sz="4" w:space="0" w:color="auto"/>
              <w:left w:val="single" w:sz="4" w:space="0" w:color="auto"/>
              <w:bottom w:val="single" w:sz="4" w:space="0" w:color="auto"/>
              <w:right w:val="single" w:sz="4" w:space="0" w:color="auto"/>
            </w:tcBorders>
            <w:vAlign w:val="center"/>
          </w:tcPr>
          <w:p w14:paraId="642AFD5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中度敏感</w:t>
            </w:r>
          </w:p>
        </w:tc>
        <w:tc>
          <w:tcPr>
            <w:tcW w:w="1418" w:type="dxa"/>
            <w:tcBorders>
              <w:top w:val="single" w:sz="4" w:space="0" w:color="auto"/>
              <w:left w:val="single" w:sz="4" w:space="0" w:color="auto"/>
              <w:bottom w:val="single" w:sz="4" w:space="0" w:color="auto"/>
              <w:right w:val="single" w:sz="4" w:space="0" w:color="auto"/>
            </w:tcBorders>
            <w:vAlign w:val="center"/>
          </w:tcPr>
          <w:p w14:paraId="6046CCD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高度敏感</w:t>
            </w:r>
          </w:p>
        </w:tc>
        <w:tc>
          <w:tcPr>
            <w:tcW w:w="1301" w:type="dxa"/>
            <w:tcBorders>
              <w:top w:val="single" w:sz="4" w:space="0" w:color="auto"/>
              <w:left w:val="single" w:sz="4" w:space="0" w:color="auto"/>
              <w:bottom w:val="single" w:sz="4" w:space="0" w:color="auto"/>
              <w:right w:val="single" w:sz="4" w:space="0" w:color="auto"/>
            </w:tcBorders>
            <w:vAlign w:val="center"/>
          </w:tcPr>
          <w:p w14:paraId="172D888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极敏感</w:t>
            </w:r>
          </w:p>
        </w:tc>
      </w:tr>
      <w:tr w:rsidR="009C353B" w14:paraId="645A8515" w14:textId="77777777">
        <w:trPr>
          <w:trHeight w:val="340"/>
          <w:jc w:val="center"/>
        </w:trPr>
        <w:tc>
          <w:tcPr>
            <w:tcW w:w="2585" w:type="dxa"/>
            <w:tcBorders>
              <w:top w:val="single" w:sz="4" w:space="0" w:color="auto"/>
              <w:left w:val="single" w:sz="4" w:space="0" w:color="auto"/>
              <w:bottom w:val="single" w:sz="4" w:space="0" w:color="auto"/>
              <w:right w:val="single" w:sz="4" w:space="0" w:color="auto"/>
            </w:tcBorders>
            <w:vAlign w:val="center"/>
          </w:tcPr>
          <w:p w14:paraId="2F515FB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湿润指数</w:t>
            </w:r>
          </w:p>
        </w:tc>
        <w:tc>
          <w:tcPr>
            <w:tcW w:w="1272" w:type="dxa"/>
            <w:tcBorders>
              <w:top w:val="single" w:sz="4" w:space="0" w:color="auto"/>
              <w:left w:val="single" w:sz="4" w:space="0" w:color="auto"/>
              <w:bottom w:val="single" w:sz="4" w:space="0" w:color="auto"/>
              <w:right w:val="single" w:sz="4" w:space="0" w:color="auto"/>
            </w:tcBorders>
            <w:vAlign w:val="center"/>
          </w:tcPr>
          <w:p w14:paraId="5FD0F67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&gt;0.65</w:t>
            </w:r>
          </w:p>
        </w:tc>
        <w:tc>
          <w:tcPr>
            <w:tcW w:w="1274" w:type="dxa"/>
            <w:tcBorders>
              <w:top w:val="single" w:sz="4" w:space="0" w:color="auto"/>
              <w:left w:val="single" w:sz="4" w:space="0" w:color="auto"/>
              <w:bottom w:val="single" w:sz="4" w:space="0" w:color="auto"/>
              <w:right w:val="single" w:sz="4" w:space="0" w:color="auto"/>
            </w:tcBorders>
            <w:vAlign w:val="center"/>
          </w:tcPr>
          <w:p w14:paraId="6E8C4C6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0.5-0.65</w:t>
            </w:r>
          </w:p>
        </w:tc>
        <w:tc>
          <w:tcPr>
            <w:tcW w:w="1276" w:type="dxa"/>
            <w:tcBorders>
              <w:top w:val="single" w:sz="4" w:space="0" w:color="auto"/>
              <w:left w:val="single" w:sz="4" w:space="0" w:color="auto"/>
              <w:bottom w:val="single" w:sz="4" w:space="0" w:color="auto"/>
              <w:right w:val="single" w:sz="4" w:space="0" w:color="auto"/>
            </w:tcBorders>
            <w:vAlign w:val="center"/>
          </w:tcPr>
          <w:p w14:paraId="175B2FE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0.20-0.50</w:t>
            </w:r>
          </w:p>
        </w:tc>
        <w:tc>
          <w:tcPr>
            <w:tcW w:w="1418" w:type="dxa"/>
            <w:tcBorders>
              <w:top w:val="single" w:sz="4" w:space="0" w:color="auto"/>
              <w:left w:val="single" w:sz="4" w:space="0" w:color="auto"/>
              <w:bottom w:val="single" w:sz="4" w:space="0" w:color="auto"/>
              <w:right w:val="single" w:sz="4" w:space="0" w:color="auto"/>
            </w:tcBorders>
            <w:vAlign w:val="center"/>
          </w:tcPr>
          <w:p w14:paraId="204A9FB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0.05-0.20</w:t>
            </w:r>
          </w:p>
        </w:tc>
        <w:tc>
          <w:tcPr>
            <w:tcW w:w="1301" w:type="dxa"/>
            <w:tcBorders>
              <w:top w:val="single" w:sz="4" w:space="0" w:color="auto"/>
              <w:left w:val="single" w:sz="4" w:space="0" w:color="auto"/>
              <w:bottom w:val="single" w:sz="4" w:space="0" w:color="auto"/>
              <w:right w:val="single" w:sz="4" w:space="0" w:color="auto"/>
            </w:tcBorders>
            <w:vAlign w:val="center"/>
          </w:tcPr>
          <w:p w14:paraId="69DD282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&lt;0.05</w:t>
            </w:r>
          </w:p>
        </w:tc>
      </w:tr>
      <w:tr w:rsidR="009C353B" w14:paraId="123939E4" w14:textId="77777777">
        <w:trPr>
          <w:trHeight w:val="340"/>
          <w:jc w:val="center"/>
        </w:trPr>
        <w:tc>
          <w:tcPr>
            <w:tcW w:w="2585" w:type="dxa"/>
            <w:tcBorders>
              <w:top w:val="single" w:sz="4" w:space="0" w:color="auto"/>
              <w:left w:val="single" w:sz="4" w:space="0" w:color="auto"/>
              <w:bottom w:val="single" w:sz="4" w:space="0" w:color="auto"/>
              <w:right w:val="single" w:sz="4" w:space="0" w:color="auto"/>
            </w:tcBorders>
            <w:vAlign w:val="center"/>
          </w:tcPr>
          <w:p w14:paraId="7FB06EC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冬春季大于</w:t>
            </w:r>
            <w:r>
              <w:rPr>
                <w:rFonts w:ascii="Times New Roman" w:hAnsi="Times New Roman"/>
                <w:sz w:val="21"/>
                <w:szCs w:val="21"/>
              </w:rPr>
              <w:t>6m/s</w:t>
            </w:r>
            <w:r>
              <w:rPr>
                <w:rFonts w:ascii="Times New Roman" w:hAnsi="Times New Roman"/>
                <w:sz w:val="21"/>
                <w:szCs w:val="21"/>
              </w:rPr>
              <w:t>大风天数</w:t>
            </w:r>
          </w:p>
        </w:tc>
        <w:tc>
          <w:tcPr>
            <w:tcW w:w="1272" w:type="dxa"/>
            <w:tcBorders>
              <w:top w:val="single" w:sz="4" w:space="0" w:color="auto"/>
              <w:left w:val="single" w:sz="4" w:space="0" w:color="auto"/>
              <w:bottom w:val="single" w:sz="4" w:space="0" w:color="auto"/>
              <w:right w:val="single" w:sz="4" w:space="0" w:color="auto"/>
            </w:tcBorders>
            <w:vAlign w:val="center"/>
          </w:tcPr>
          <w:p w14:paraId="2E9808E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&lt;15</w:t>
            </w:r>
          </w:p>
        </w:tc>
        <w:tc>
          <w:tcPr>
            <w:tcW w:w="1274" w:type="dxa"/>
            <w:tcBorders>
              <w:top w:val="single" w:sz="4" w:space="0" w:color="auto"/>
              <w:left w:val="single" w:sz="4" w:space="0" w:color="auto"/>
              <w:bottom w:val="single" w:sz="4" w:space="0" w:color="auto"/>
              <w:right w:val="single" w:sz="4" w:space="0" w:color="auto"/>
            </w:tcBorders>
            <w:vAlign w:val="center"/>
          </w:tcPr>
          <w:p w14:paraId="1999D8E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15-30</w:t>
            </w:r>
          </w:p>
        </w:tc>
        <w:tc>
          <w:tcPr>
            <w:tcW w:w="1276" w:type="dxa"/>
            <w:tcBorders>
              <w:top w:val="single" w:sz="4" w:space="0" w:color="auto"/>
              <w:left w:val="single" w:sz="4" w:space="0" w:color="auto"/>
              <w:bottom w:val="single" w:sz="4" w:space="0" w:color="auto"/>
              <w:right w:val="single" w:sz="4" w:space="0" w:color="auto"/>
            </w:tcBorders>
            <w:vAlign w:val="center"/>
          </w:tcPr>
          <w:p w14:paraId="3E224FE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30-45</w:t>
            </w:r>
          </w:p>
        </w:tc>
        <w:tc>
          <w:tcPr>
            <w:tcW w:w="1418" w:type="dxa"/>
            <w:tcBorders>
              <w:top w:val="single" w:sz="4" w:space="0" w:color="auto"/>
              <w:left w:val="single" w:sz="4" w:space="0" w:color="auto"/>
              <w:bottom w:val="single" w:sz="4" w:space="0" w:color="auto"/>
              <w:right w:val="single" w:sz="4" w:space="0" w:color="auto"/>
            </w:tcBorders>
            <w:vAlign w:val="center"/>
          </w:tcPr>
          <w:p w14:paraId="45616B0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45-60</w:t>
            </w:r>
          </w:p>
        </w:tc>
        <w:tc>
          <w:tcPr>
            <w:tcW w:w="1301" w:type="dxa"/>
            <w:tcBorders>
              <w:top w:val="single" w:sz="4" w:space="0" w:color="auto"/>
              <w:left w:val="single" w:sz="4" w:space="0" w:color="auto"/>
              <w:bottom w:val="single" w:sz="4" w:space="0" w:color="auto"/>
              <w:right w:val="single" w:sz="4" w:space="0" w:color="auto"/>
            </w:tcBorders>
            <w:vAlign w:val="center"/>
          </w:tcPr>
          <w:p w14:paraId="4552BD6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&gt;60</w:t>
            </w:r>
          </w:p>
        </w:tc>
      </w:tr>
      <w:tr w:rsidR="009C353B" w14:paraId="6CE82D4E" w14:textId="77777777">
        <w:trPr>
          <w:trHeight w:val="340"/>
          <w:jc w:val="center"/>
        </w:trPr>
        <w:tc>
          <w:tcPr>
            <w:tcW w:w="2585" w:type="dxa"/>
            <w:tcBorders>
              <w:top w:val="single" w:sz="4" w:space="0" w:color="auto"/>
              <w:left w:val="single" w:sz="4" w:space="0" w:color="auto"/>
              <w:bottom w:val="single" w:sz="4" w:space="0" w:color="auto"/>
              <w:right w:val="single" w:sz="4" w:space="0" w:color="auto"/>
            </w:tcBorders>
            <w:vAlign w:val="center"/>
          </w:tcPr>
          <w:p w14:paraId="386EA40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土壤质地</w:t>
            </w:r>
          </w:p>
        </w:tc>
        <w:tc>
          <w:tcPr>
            <w:tcW w:w="1272" w:type="dxa"/>
            <w:tcBorders>
              <w:top w:val="single" w:sz="4" w:space="0" w:color="auto"/>
              <w:left w:val="single" w:sz="4" w:space="0" w:color="auto"/>
              <w:bottom w:val="single" w:sz="4" w:space="0" w:color="auto"/>
              <w:right w:val="single" w:sz="4" w:space="0" w:color="auto"/>
            </w:tcBorders>
            <w:vAlign w:val="center"/>
          </w:tcPr>
          <w:p w14:paraId="0796EC2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基岩</w:t>
            </w:r>
          </w:p>
        </w:tc>
        <w:tc>
          <w:tcPr>
            <w:tcW w:w="1274" w:type="dxa"/>
            <w:tcBorders>
              <w:top w:val="single" w:sz="4" w:space="0" w:color="auto"/>
              <w:left w:val="single" w:sz="4" w:space="0" w:color="auto"/>
              <w:bottom w:val="single" w:sz="4" w:space="0" w:color="auto"/>
              <w:right w:val="single" w:sz="4" w:space="0" w:color="auto"/>
            </w:tcBorders>
            <w:vAlign w:val="center"/>
          </w:tcPr>
          <w:p w14:paraId="43EF08B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粘质</w:t>
            </w:r>
          </w:p>
        </w:tc>
        <w:tc>
          <w:tcPr>
            <w:tcW w:w="1276" w:type="dxa"/>
            <w:tcBorders>
              <w:top w:val="single" w:sz="4" w:space="0" w:color="auto"/>
              <w:left w:val="single" w:sz="4" w:space="0" w:color="auto"/>
              <w:bottom w:val="single" w:sz="4" w:space="0" w:color="auto"/>
              <w:right w:val="single" w:sz="4" w:space="0" w:color="auto"/>
            </w:tcBorders>
            <w:vAlign w:val="center"/>
          </w:tcPr>
          <w:p w14:paraId="442EE95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砾质</w:t>
            </w:r>
          </w:p>
        </w:tc>
        <w:tc>
          <w:tcPr>
            <w:tcW w:w="1418" w:type="dxa"/>
            <w:tcBorders>
              <w:top w:val="single" w:sz="4" w:space="0" w:color="auto"/>
              <w:left w:val="single" w:sz="4" w:space="0" w:color="auto"/>
              <w:bottom w:val="single" w:sz="4" w:space="0" w:color="auto"/>
              <w:right w:val="single" w:sz="4" w:space="0" w:color="auto"/>
            </w:tcBorders>
            <w:vAlign w:val="center"/>
          </w:tcPr>
          <w:p w14:paraId="56BA8EA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壤质</w:t>
            </w:r>
          </w:p>
        </w:tc>
        <w:tc>
          <w:tcPr>
            <w:tcW w:w="1301" w:type="dxa"/>
            <w:tcBorders>
              <w:top w:val="single" w:sz="4" w:space="0" w:color="auto"/>
              <w:left w:val="single" w:sz="4" w:space="0" w:color="auto"/>
              <w:bottom w:val="single" w:sz="4" w:space="0" w:color="auto"/>
              <w:right w:val="single" w:sz="4" w:space="0" w:color="auto"/>
            </w:tcBorders>
            <w:vAlign w:val="center"/>
          </w:tcPr>
          <w:p w14:paraId="4DFFE45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沙质</w:t>
            </w:r>
          </w:p>
        </w:tc>
      </w:tr>
      <w:tr w:rsidR="009C353B" w14:paraId="454632B5" w14:textId="77777777">
        <w:trPr>
          <w:trHeight w:val="340"/>
          <w:jc w:val="center"/>
        </w:trPr>
        <w:tc>
          <w:tcPr>
            <w:tcW w:w="2585" w:type="dxa"/>
            <w:tcBorders>
              <w:top w:val="single" w:sz="4" w:space="0" w:color="auto"/>
              <w:left w:val="single" w:sz="4" w:space="0" w:color="auto"/>
              <w:bottom w:val="single" w:sz="4" w:space="0" w:color="auto"/>
              <w:right w:val="single" w:sz="4" w:space="0" w:color="auto"/>
            </w:tcBorders>
            <w:vAlign w:val="center"/>
          </w:tcPr>
          <w:p w14:paraId="221EF6A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植被覆盖</w:t>
            </w:r>
            <w:r>
              <w:rPr>
                <w:rFonts w:ascii="Times New Roman" w:hAnsi="Times New Roman"/>
                <w:sz w:val="21"/>
                <w:szCs w:val="21"/>
              </w:rPr>
              <w:t>(</w:t>
            </w:r>
            <w:r>
              <w:rPr>
                <w:rFonts w:ascii="Times New Roman" w:hAnsi="Times New Roman"/>
                <w:sz w:val="21"/>
                <w:szCs w:val="21"/>
              </w:rPr>
              <w:t>冬春</w:t>
            </w:r>
            <w:r>
              <w:rPr>
                <w:rFonts w:ascii="Times New Roman" w:hAnsi="Times New Roman"/>
                <w:sz w:val="21"/>
                <w:szCs w:val="21"/>
              </w:rPr>
              <w:t>)</w:t>
            </w:r>
          </w:p>
        </w:tc>
        <w:tc>
          <w:tcPr>
            <w:tcW w:w="1272" w:type="dxa"/>
            <w:tcBorders>
              <w:top w:val="single" w:sz="4" w:space="0" w:color="auto"/>
              <w:left w:val="single" w:sz="4" w:space="0" w:color="auto"/>
              <w:bottom w:val="single" w:sz="4" w:space="0" w:color="auto"/>
              <w:right w:val="single" w:sz="4" w:space="0" w:color="auto"/>
            </w:tcBorders>
            <w:vAlign w:val="center"/>
          </w:tcPr>
          <w:p w14:paraId="18E9657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茂密</w:t>
            </w:r>
          </w:p>
        </w:tc>
        <w:tc>
          <w:tcPr>
            <w:tcW w:w="1274" w:type="dxa"/>
            <w:tcBorders>
              <w:top w:val="single" w:sz="4" w:space="0" w:color="auto"/>
              <w:left w:val="single" w:sz="4" w:space="0" w:color="auto"/>
              <w:bottom w:val="single" w:sz="4" w:space="0" w:color="auto"/>
              <w:right w:val="single" w:sz="4" w:space="0" w:color="auto"/>
            </w:tcBorders>
            <w:vAlign w:val="center"/>
          </w:tcPr>
          <w:p w14:paraId="4CE68FA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适中</w:t>
            </w:r>
          </w:p>
        </w:tc>
        <w:tc>
          <w:tcPr>
            <w:tcW w:w="1276" w:type="dxa"/>
            <w:tcBorders>
              <w:top w:val="single" w:sz="4" w:space="0" w:color="auto"/>
              <w:left w:val="single" w:sz="4" w:space="0" w:color="auto"/>
              <w:bottom w:val="single" w:sz="4" w:space="0" w:color="auto"/>
              <w:right w:val="single" w:sz="4" w:space="0" w:color="auto"/>
            </w:tcBorders>
            <w:vAlign w:val="center"/>
          </w:tcPr>
          <w:p w14:paraId="4421B21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较少</w:t>
            </w:r>
          </w:p>
        </w:tc>
        <w:tc>
          <w:tcPr>
            <w:tcW w:w="1418" w:type="dxa"/>
            <w:tcBorders>
              <w:top w:val="single" w:sz="4" w:space="0" w:color="auto"/>
              <w:left w:val="single" w:sz="4" w:space="0" w:color="auto"/>
              <w:bottom w:val="single" w:sz="4" w:space="0" w:color="auto"/>
              <w:right w:val="single" w:sz="4" w:space="0" w:color="auto"/>
            </w:tcBorders>
            <w:vAlign w:val="center"/>
          </w:tcPr>
          <w:p w14:paraId="5BB9ED9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稀疏</w:t>
            </w:r>
          </w:p>
        </w:tc>
        <w:tc>
          <w:tcPr>
            <w:tcW w:w="1301" w:type="dxa"/>
            <w:tcBorders>
              <w:top w:val="single" w:sz="4" w:space="0" w:color="auto"/>
              <w:left w:val="single" w:sz="4" w:space="0" w:color="auto"/>
              <w:bottom w:val="single" w:sz="4" w:space="0" w:color="auto"/>
              <w:right w:val="single" w:sz="4" w:space="0" w:color="auto"/>
            </w:tcBorders>
            <w:vAlign w:val="center"/>
          </w:tcPr>
          <w:p w14:paraId="06DC1CB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裸地</w:t>
            </w:r>
          </w:p>
        </w:tc>
      </w:tr>
      <w:tr w:rsidR="009C353B" w14:paraId="2202606B" w14:textId="77777777">
        <w:trPr>
          <w:trHeight w:val="340"/>
          <w:jc w:val="center"/>
        </w:trPr>
        <w:tc>
          <w:tcPr>
            <w:tcW w:w="2585" w:type="dxa"/>
            <w:tcBorders>
              <w:top w:val="single" w:sz="4" w:space="0" w:color="auto"/>
              <w:left w:val="single" w:sz="4" w:space="0" w:color="auto"/>
              <w:bottom w:val="single" w:sz="4" w:space="0" w:color="auto"/>
              <w:right w:val="single" w:sz="4" w:space="0" w:color="auto"/>
            </w:tcBorders>
            <w:vAlign w:val="center"/>
          </w:tcPr>
          <w:p w14:paraId="3114134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分级赋值</w:t>
            </w:r>
            <w:r>
              <w:rPr>
                <w:rFonts w:ascii="Times New Roman" w:hAnsi="Times New Roman"/>
                <w:sz w:val="21"/>
                <w:szCs w:val="21"/>
              </w:rPr>
              <w:t>(D)</w:t>
            </w:r>
          </w:p>
        </w:tc>
        <w:tc>
          <w:tcPr>
            <w:tcW w:w="1272" w:type="dxa"/>
            <w:tcBorders>
              <w:top w:val="single" w:sz="4" w:space="0" w:color="auto"/>
              <w:left w:val="single" w:sz="4" w:space="0" w:color="auto"/>
              <w:bottom w:val="single" w:sz="4" w:space="0" w:color="auto"/>
              <w:right w:val="single" w:sz="4" w:space="0" w:color="auto"/>
            </w:tcBorders>
            <w:vAlign w:val="center"/>
          </w:tcPr>
          <w:p w14:paraId="6A33AC1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w:t>
            </w:r>
          </w:p>
        </w:tc>
        <w:tc>
          <w:tcPr>
            <w:tcW w:w="1274" w:type="dxa"/>
            <w:tcBorders>
              <w:top w:val="single" w:sz="4" w:space="0" w:color="auto"/>
              <w:left w:val="single" w:sz="4" w:space="0" w:color="auto"/>
              <w:bottom w:val="single" w:sz="4" w:space="0" w:color="auto"/>
              <w:right w:val="single" w:sz="4" w:space="0" w:color="auto"/>
            </w:tcBorders>
            <w:vAlign w:val="center"/>
          </w:tcPr>
          <w:p w14:paraId="5B5D8B0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3</w:t>
            </w:r>
          </w:p>
        </w:tc>
        <w:tc>
          <w:tcPr>
            <w:tcW w:w="1276" w:type="dxa"/>
            <w:tcBorders>
              <w:top w:val="single" w:sz="4" w:space="0" w:color="auto"/>
              <w:left w:val="single" w:sz="4" w:space="0" w:color="auto"/>
              <w:bottom w:val="single" w:sz="4" w:space="0" w:color="auto"/>
              <w:right w:val="single" w:sz="4" w:space="0" w:color="auto"/>
            </w:tcBorders>
            <w:vAlign w:val="center"/>
          </w:tcPr>
          <w:p w14:paraId="2EAC615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5</w:t>
            </w:r>
          </w:p>
        </w:tc>
        <w:tc>
          <w:tcPr>
            <w:tcW w:w="1418" w:type="dxa"/>
            <w:tcBorders>
              <w:top w:val="single" w:sz="4" w:space="0" w:color="auto"/>
              <w:left w:val="single" w:sz="4" w:space="0" w:color="auto"/>
              <w:bottom w:val="single" w:sz="4" w:space="0" w:color="auto"/>
              <w:right w:val="single" w:sz="4" w:space="0" w:color="auto"/>
            </w:tcBorders>
            <w:vAlign w:val="center"/>
          </w:tcPr>
          <w:p w14:paraId="26201F5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w:t>
            </w:r>
          </w:p>
        </w:tc>
        <w:tc>
          <w:tcPr>
            <w:tcW w:w="1301" w:type="dxa"/>
            <w:tcBorders>
              <w:top w:val="single" w:sz="4" w:space="0" w:color="auto"/>
              <w:left w:val="single" w:sz="4" w:space="0" w:color="auto"/>
              <w:bottom w:val="single" w:sz="4" w:space="0" w:color="auto"/>
              <w:right w:val="single" w:sz="4" w:space="0" w:color="auto"/>
            </w:tcBorders>
            <w:vAlign w:val="center"/>
          </w:tcPr>
          <w:p w14:paraId="395F8F1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9</w:t>
            </w:r>
          </w:p>
        </w:tc>
      </w:tr>
      <w:tr w:rsidR="009C353B" w14:paraId="69E625AF" w14:textId="77777777">
        <w:trPr>
          <w:trHeight w:val="340"/>
          <w:jc w:val="center"/>
        </w:trPr>
        <w:tc>
          <w:tcPr>
            <w:tcW w:w="2585" w:type="dxa"/>
            <w:tcBorders>
              <w:top w:val="single" w:sz="4" w:space="0" w:color="auto"/>
              <w:left w:val="single" w:sz="4" w:space="0" w:color="auto"/>
              <w:bottom w:val="single" w:sz="4" w:space="0" w:color="auto"/>
              <w:right w:val="single" w:sz="4" w:space="0" w:color="auto"/>
            </w:tcBorders>
            <w:vAlign w:val="center"/>
          </w:tcPr>
          <w:p w14:paraId="5039BFA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分级标准</w:t>
            </w:r>
            <w:r>
              <w:rPr>
                <w:rFonts w:ascii="Times New Roman" w:hAnsi="Times New Roman"/>
                <w:sz w:val="21"/>
                <w:szCs w:val="21"/>
              </w:rPr>
              <w:t>(DS)</w:t>
            </w:r>
          </w:p>
        </w:tc>
        <w:tc>
          <w:tcPr>
            <w:tcW w:w="1272" w:type="dxa"/>
            <w:tcBorders>
              <w:top w:val="single" w:sz="4" w:space="0" w:color="auto"/>
              <w:left w:val="single" w:sz="4" w:space="0" w:color="auto"/>
              <w:bottom w:val="single" w:sz="4" w:space="0" w:color="auto"/>
              <w:right w:val="single" w:sz="4" w:space="0" w:color="auto"/>
            </w:tcBorders>
            <w:vAlign w:val="center"/>
          </w:tcPr>
          <w:p w14:paraId="5279B71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1.0-2.0</w:t>
            </w:r>
          </w:p>
        </w:tc>
        <w:tc>
          <w:tcPr>
            <w:tcW w:w="1274" w:type="dxa"/>
            <w:tcBorders>
              <w:top w:val="single" w:sz="4" w:space="0" w:color="auto"/>
              <w:left w:val="single" w:sz="4" w:space="0" w:color="auto"/>
              <w:bottom w:val="single" w:sz="4" w:space="0" w:color="auto"/>
              <w:right w:val="single" w:sz="4" w:space="0" w:color="auto"/>
            </w:tcBorders>
            <w:vAlign w:val="center"/>
          </w:tcPr>
          <w:p w14:paraId="2271D64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2.1-4.0</w:t>
            </w:r>
          </w:p>
        </w:tc>
        <w:tc>
          <w:tcPr>
            <w:tcW w:w="1276" w:type="dxa"/>
            <w:tcBorders>
              <w:top w:val="single" w:sz="4" w:space="0" w:color="auto"/>
              <w:left w:val="single" w:sz="4" w:space="0" w:color="auto"/>
              <w:bottom w:val="single" w:sz="4" w:space="0" w:color="auto"/>
              <w:right w:val="single" w:sz="4" w:space="0" w:color="auto"/>
            </w:tcBorders>
            <w:vAlign w:val="center"/>
          </w:tcPr>
          <w:p w14:paraId="043560D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4.1-6.0</w:t>
            </w:r>
          </w:p>
        </w:tc>
        <w:tc>
          <w:tcPr>
            <w:tcW w:w="1418" w:type="dxa"/>
            <w:tcBorders>
              <w:top w:val="single" w:sz="4" w:space="0" w:color="auto"/>
              <w:left w:val="single" w:sz="4" w:space="0" w:color="auto"/>
              <w:bottom w:val="single" w:sz="4" w:space="0" w:color="auto"/>
              <w:right w:val="single" w:sz="4" w:space="0" w:color="auto"/>
            </w:tcBorders>
            <w:vAlign w:val="center"/>
          </w:tcPr>
          <w:p w14:paraId="0ED1012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6.1-8.0</w:t>
            </w:r>
          </w:p>
        </w:tc>
        <w:tc>
          <w:tcPr>
            <w:tcW w:w="1301" w:type="dxa"/>
            <w:tcBorders>
              <w:top w:val="single" w:sz="4" w:space="0" w:color="auto"/>
              <w:left w:val="single" w:sz="4" w:space="0" w:color="auto"/>
              <w:bottom w:val="single" w:sz="4" w:space="0" w:color="auto"/>
              <w:right w:val="single" w:sz="4" w:space="0" w:color="auto"/>
            </w:tcBorders>
            <w:vAlign w:val="center"/>
          </w:tcPr>
          <w:p w14:paraId="0326285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&gt;8.0</w:t>
            </w:r>
          </w:p>
        </w:tc>
      </w:tr>
    </w:tbl>
    <w:p w14:paraId="3D409E7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沙漠化敏感性指数计算方法：</w:t>
      </w:r>
    </w:p>
    <w:p w14:paraId="730D122D" w14:textId="77777777" w:rsidR="009C353B" w:rsidRDefault="00000000">
      <w:pPr>
        <w:adjustRightInd w:val="0"/>
        <w:snapToGrid w:val="0"/>
        <w:spacing w:line="360" w:lineRule="auto"/>
        <w:ind w:firstLineChars="200" w:firstLine="480"/>
        <w:rPr>
          <w:rFonts w:ascii="Times New Roman" w:hAnsi="Times New Roman"/>
          <w:szCs w:val="24"/>
        </w:rPr>
      </w:pPr>
      <w:r>
        <w:rPr>
          <w:rFonts w:ascii="Times New Roman" w:hAnsi="Times New Roman"/>
          <w:noProof/>
          <w:szCs w:val="24"/>
        </w:rPr>
        <w:drawing>
          <wp:inline distT="0" distB="0" distL="0" distR="0" wp14:anchorId="3CF31C06" wp14:editId="5586FA08">
            <wp:extent cx="731520" cy="380365"/>
            <wp:effectExtent l="0" t="0" r="0" b="635"/>
            <wp:docPr id="497" name="图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497"/>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a:xfrm>
                      <a:off x="0" y="0"/>
                      <a:ext cx="731520" cy="380365"/>
                    </a:xfrm>
                    <a:prstGeom prst="rect">
                      <a:avLst/>
                    </a:prstGeom>
                    <a:noFill/>
                    <a:ln>
                      <a:noFill/>
                    </a:ln>
                  </pic:spPr>
                </pic:pic>
              </a:graphicData>
            </a:graphic>
          </wp:inline>
        </w:drawing>
      </w:r>
    </w:p>
    <w:p w14:paraId="577F305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式中：</w:t>
      </w:r>
      <w:r>
        <w:rPr>
          <w:rFonts w:ascii="Times New Roman" w:hAnsi="Times New Roman"/>
          <w:szCs w:val="24"/>
        </w:rPr>
        <w:t>DSj</w:t>
      </w:r>
      <w:r>
        <w:rPr>
          <w:rFonts w:ascii="Times New Roman" w:hAnsi="Times New Roman"/>
          <w:szCs w:val="24"/>
        </w:rPr>
        <w:t>为</w:t>
      </w:r>
      <w:r>
        <w:rPr>
          <w:rFonts w:ascii="Times New Roman" w:hAnsi="Times New Roman"/>
          <w:szCs w:val="24"/>
        </w:rPr>
        <w:t>j</w:t>
      </w:r>
      <w:r>
        <w:rPr>
          <w:rFonts w:ascii="Times New Roman" w:hAnsi="Times New Roman"/>
          <w:szCs w:val="24"/>
        </w:rPr>
        <w:t>空间单元沙漠化敏感性指数；</w:t>
      </w:r>
      <w:r>
        <w:rPr>
          <w:rFonts w:ascii="Times New Roman" w:hAnsi="Times New Roman"/>
          <w:szCs w:val="24"/>
        </w:rPr>
        <w:t>Di</w:t>
      </w:r>
      <w:r>
        <w:rPr>
          <w:rFonts w:ascii="Times New Roman" w:hAnsi="Times New Roman"/>
          <w:szCs w:val="24"/>
        </w:rPr>
        <w:t>为</w:t>
      </w:r>
      <w:r>
        <w:rPr>
          <w:rFonts w:ascii="Times New Roman" w:hAnsi="Times New Roman"/>
          <w:szCs w:val="24"/>
        </w:rPr>
        <w:t>i</w:t>
      </w:r>
      <w:r>
        <w:rPr>
          <w:rFonts w:ascii="Times New Roman" w:hAnsi="Times New Roman"/>
          <w:szCs w:val="24"/>
        </w:rPr>
        <w:t>因素敏感性等级值。</w:t>
      </w:r>
    </w:p>
    <w:p w14:paraId="456EA4A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评价区内湿润指数为干燥度的倒数，反映了一个区域热量和水分之间的相互作用关系。干燥度等于潜在蒸发量与降水量之比。经计算湿润指数为</w:t>
      </w:r>
      <w:r>
        <w:rPr>
          <w:rFonts w:ascii="Times New Roman" w:hAnsi="Times New Roman" w:hint="eastAsia"/>
          <w:szCs w:val="24"/>
        </w:rPr>
        <w:t>0.104</w:t>
      </w:r>
      <w:r>
        <w:rPr>
          <w:rFonts w:ascii="Times New Roman" w:hAnsi="Times New Roman"/>
          <w:szCs w:val="24"/>
        </w:rPr>
        <w:t>，分级赋值为</w:t>
      </w:r>
      <w:r>
        <w:rPr>
          <w:rFonts w:ascii="Times New Roman" w:hAnsi="Times New Roman"/>
          <w:szCs w:val="24"/>
        </w:rPr>
        <w:t>7</w:t>
      </w:r>
      <w:r>
        <w:rPr>
          <w:rFonts w:ascii="Times New Roman" w:hAnsi="Times New Roman"/>
          <w:szCs w:val="24"/>
        </w:rPr>
        <w:t>，属于高度敏感；冬春季大于</w:t>
      </w:r>
      <w:r>
        <w:rPr>
          <w:rFonts w:ascii="Times New Roman" w:hAnsi="Times New Roman"/>
          <w:szCs w:val="24"/>
        </w:rPr>
        <w:t>6m/s</w:t>
      </w:r>
      <w:r>
        <w:rPr>
          <w:rFonts w:ascii="Times New Roman" w:hAnsi="Times New Roman"/>
          <w:szCs w:val="24"/>
        </w:rPr>
        <w:t>大风的天数</w:t>
      </w:r>
      <w:r>
        <w:rPr>
          <w:rFonts w:ascii="Times New Roman" w:hAnsi="Times New Roman" w:hint="eastAsia"/>
          <w:szCs w:val="24"/>
        </w:rPr>
        <w:t>少于</w:t>
      </w:r>
      <w:r>
        <w:rPr>
          <w:rFonts w:ascii="Times New Roman" w:hAnsi="Times New Roman" w:hint="eastAsia"/>
          <w:szCs w:val="24"/>
        </w:rPr>
        <w:t>15</w:t>
      </w:r>
      <w:r>
        <w:rPr>
          <w:rFonts w:ascii="Times New Roman" w:hAnsi="Times New Roman"/>
          <w:szCs w:val="24"/>
        </w:rPr>
        <w:t>天，分级赋值为</w:t>
      </w:r>
      <w:r>
        <w:rPr>
          <w:rFonts w:ascii="Times New Roman" w:hAnsi="Times New Roman" w:hint="eastAsia"/>
          <w:szCs w:val="24"/>
        </w:rPr>
        <w:t>1</w:t>
      </w:r>
      <w:r>
        <w:rPr>
          <w:rFonts w:ascii="Times New Roman" w:hAnsi="Times New Roman"/>
          <w:szCs w:val="24"/>
        </w:rPr>
        <w:t>，属于</w:t>
      </w:r>
      <w:r>
        <w:rPr>
          <w:rFonts w:ascii="Times New Roman" w:hAnsi="Times New Roman" w:hint="eastAsia"/>
          <w:szCs w:val="24"/>
        </w:rPr>
        <w:t>不敏感</w:t>
      </w:r>
      <w:r>
        <w:rPr>
          <w:rFonts w:ascii="Times New Roman" w:hAnsi="Times New Roman"/>
          <w:szCs w:val="24"/>
        </w:rPr>
        <w:t>；土壤质地为</w:t>
      </w:r>
      <w:r>
        <w:rPr>
          <w:rFonts w:ascii="Times New Roman" w:hAnsi="Times New Roman" w:hint="eastAsia"/>
          <w:szCs w:val="24"/>
        </w:rPr>
        <w:t>壤</w:t>
      </w:r>
      <w:r>
        <w:rPr>
          <w:rFonts w:ascii="Times New Roman" w:hAnsi="Times New Roman"/>
          <w:szCs w:val="24"/>
        </w:rPr>
        <w:t>质，</w:t>
      </w:r>
      <w:r>
        <w:rPr>
          <w:rFonts w:ascii="Times New Roman" w:hAnsi="Times New Roman" w:hint="eastAsia"/>
          <w:szCs w:val="24"/>
        </w:rPr>
        <w:t>分级赋值</w:t>
      </w:r>
      <w:r>
        <w:rPr>
          <w:rFonts w:ascii="Times New Roman" w:hAnsi="Times New Roman" w:hint="eastAsia"/>
          <w:szCs w:val="24"/>
        </w:rPr>
        <w:t>7</w:t>
      </w:r>
      <w:r>
        <w:rPr>
          <w:rFonts w:ascii="Times New Roman" w:hAnsi="Times New Roman" w:hint="eastAsia"/>
          <w:szCs w:val="24"/>
        </w:rPr>
        <w:t>，属高度</w:t>
      </w:r>
      <w:r>
        <w:rPr>
          <w:rFonts w:ascii="Times New Roman" w:hAnsi="Times New Roman"/>
          <w:szCs w:val="24"/>
        </w:rPr>
        <w:t>敏感；评价区总体植被盖度较稀疏，</w:t>
      </w:r>
      <w:r>
        <w:rPr>
          <w:rFonts w:ascii="Times New Roman" w:hAnsi="Times New Roman" w:hint="eastAsia"/>
          <w:szCs w:val="24"/>
        </w:rPr>
        <w:t>在冬春季节自然植被盖度稀疏，分级赋值</w:t>
      </w:r>
      <w:r>
        <w:rPr>
          <w:rFonts w:ascii="Times New Roman" w:hAnsi="Times New Roman" w:hint="eastAsia"/>
          <w:szCs w:val="24"/>
        </w:rPr>
        <w:t>7</w:t>
      </w:r>
      <w:r>
        <w:rPr>
          <w:rFonts w:ascii="Times New Roman" w:hAnsi="Times New Roman" w:hint="eastAsia"/>
          <w:szCs w:val="24"/>
        </w:rPr>
        <w:t>。</w:t>
      </w:r>
      <w:r>
        <w:rPr>
          <w:rFonts w:ascii="Times New Roman" w:hAnsi="Times New Roman"/>
          <w:szCs w:val="24"/>
        </w:rPr>
        <w:t>根据计算，</w:t>
      </w:r>
      <w:r>
        <w:rPr>
          <w:rFonts w:ascii="Times New Roman" w:hAnsi="Times New Roman" w:hint="eastAsia"/>
          <w:szCs w:val="24"/>
        </w:rPr>
        <w:t>评价区</w:t>
      </w:r>
      <w:r>
        <w:rPr>
          <w:rFonts w:ascii="Times New Roman" w:hAnsi="Times New Roman"/>
          <w:szCs w:val="24"/>
        </w:rPr>
        <w:t>沙漠化敏感性指数为</w:t>
      </w:r>
      <w:r>
        <w:rPr>
          <w:rFonts w:ascii="Times New Roman" w:hAnsi="Times New Roman" w:hint="eastAsia"/>
          <w:szCs w:val="24"/>
        </w:rPr>
        <w:t>4.3</w:t>
      </w:r>
      <w:r>
        <w:rPr>
          <w:rFonts w:ascii="Times New Roman" w:hAnsi="Times New Roman"/>
          <w:szCs w:val="24"/>
        </w:rPr>
        <w:t>，属于沙漠化</w:t>
      </w:r>
      <w:r>
        <w:rPr>
          <w:rFonts w:ascii="Times New Roman" w:hAnsi="Times New Roman" w:hint="eastAsia"/>
          <w:szCs w:val="24"/>
        </w:rPr>
        <w:t>中</w:t>
      </w:r>
      <w:r>
        <w:rPr>
          <w:rFonts w:ascii="Times New Roman" w:hAnsi="Times New Roman"/>
          <w:szCs w:val="24"/>
        </w:rPr>
        <w:t>度敏感区，较易发生沙漠化。</w:t>
      </w:r>
    </w:p>
    <w:p w14:paraId="40B001E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矿区规划实施后，地表沉陷产生裂缝、沉降台阶、沉陷坑使得其上植被退化，地表土壤结构破坏，土壤侵蚀加剧，</w:t>
      </w:r>
      <w:r>
        <w:rPr>
          <w:rFonts w:ascii="Times New Roman" w:hAnsi="Times New Roman"/>
          <w:szCs w:val="24"/>
        </w:rPr>
        <w:t>增加了土壤沙漠化的风险。</w:t>
      </w:r>
      <w:r>
        <w:rPr>
          <w:rFonts w:ascii="Times New Roman" w:hAnsi="Times New Roman" w:hint="eastAsia"/>
          <w:szCs w:val="24"/>
        </w:rPr>
        <w:t>通过对已形成的采煤沉陷区现场调查，采煤沉陷产生的裂缝、沉降台阶、沉陷坑等经过充填、平整、植被恢复等措施治理后，沉陷区内未发现明显的土壤沙化情况。据此可以推断，在采取生态恢复治理措施的情况下，矿区规划实施对区域土壤沙化影响较小，不会加剧区域土壤沙化敏感程度。</w:t>
      </w:r>
    </w:p>
    <w:p w14:paraId="3B459CDC" w14:textId="77777777" w:rsidR="009C353B" w:rsidRDefault="00000000">
      <w:pPr>
        <w:pStyle w:val="3"/>
        <w:adjustRightInd w:val="0"/>
        <w:snapToGrid w:val="0"/>
        <w:spacing w:before="0" w:after="0" w:line="440" w:lineRule="exact"/>
        <w:rPr>
          <w:rFonts w:ascii="Times New Roman" w:hAnsi="Times New Roman"/>
          <w:sz w:val="24"/>
        </w:rPr>
      </w:pPr>
      <w:bookmarkStart w:id="233" w:name="_Toc279840354"/>
      <w:bookmarkStart w:id="234" w:name="_Toc279866339"/>
      <w:bookmarkStart w:id="235" w:name="_Toc339875215"/>
      <w:bookmarkStart w:id="236" w:name="_Toc279840206"/>
      <w:bookmarkStart w:id="237" w:name="_Toc339816272"/>
      <w:bookmarkEnd w:id="230"/>
      <w:bookmarkEnd w:id="231"/>
      <w:r>
        <w:rPr>
          <w:rFonts w:ascii="Times New Roman" w:hAnsi="Times New Roman" w:hint="eastAsia"/>
          <w:sz w:val="24"/>
        </w:rPr>
        <w:t>6.2.</w:t>
      </w:r>
      <w:r>
        <w:rPr>
          <w:rFonts w:ascii="Times New Roman" w:hAnsi="Times New Roman"/>
          <w:sz w:val="24"/>
        </w:rPr>
        <w:t>7</w:t>
      </w:r>
      <w:r>
        <w:rPr>
          <w:rFonts w:ascii="Times New Roman" w:hAnsi="Times New Roman" w:hint="eastAsia"/>
          <w:sz w:val="24"/>
        </w:rPr>
        <w:t xml:space="preserve"> </w:t>
      </w:r>
      <w:r>
        <w:rPr>
          <w:rFonts w:ascii="Times New Roman" w:hAnsi="Times New Roman" w:hint="eastAsia"/>
          <w:sz w:val="24"/>
        </w:rPr>
        <w:t>矿区规划实施对生态系统完整性影响分析</w:t>
      </w:r>
      <w:bookmarkEnd w:id="233"/>
      <w:bookmarkEnd w:id="234"/>
      <w:bookmarkEnd w:id="235"/>
      <w:bookmarkEnd w:id="236"/>
      <w:bookmarkEnd w:id="237"/>
    </w:p>
    <w:p w14:paraId="789F889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）矿区建设前生态系统结构</w:t>
      </w:r>
    </w:p>
    <w:p w14:paraId="1B4940C3"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矿区建设前，评价区共有荒漠草原生态系统、林地生态系统、水域生态系统、城镇工矿生态系统和路际生态系统</w:t>
      </w:r>
      <w:r>
        <w:rPr>
          <w:rFonts w:ascii="Times New Roman" w:hint="eastAsia"/>
        </w:rPr>
        <w:t>5</w:t>
      </w:r>
      <w:r>
        <w:rPr>
          <w:rFonts w:ascii="Times New Roman" w:hint="eastAsia"/>
        </w:rPr>
        <w:t>种生态系统类型。其中荒漠草原生态系统是评价区内最大生态系统类型，由猫头刺荒漠草原和草原沙生植被组成；林地生态系统由刺槐、杨树、柠条等组成；水域生态系统主要是河流；路际生态系统主要是铁路、公路和农村道路；城镇工矿生态系统由生活、生产建筑、绿地等组成。</w:t>
      </w:r>
    </w:p>
    <w:p w14:paraId="64463C33"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2</w:t>
      </w:r>
      <w:r>
        <w:rPr>
          <w:rFonts w:ascii="Times New Roman" w:hint="eastAsia"/>
        </w:rPr>
        <w:t>）矿区规划实施后对原生态系统完整性的影响分析</w:t>
      </w:r>
    </w:p>
    <w:p w14:paraId="758055A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规划实施后将改变原有的生态景观环境，将由荒漠草原生态系统转变为城镇工矿生态系统，植被第一性生产力进降低。工矿用地、铁路和公路用地增加，将荒漠草原生态系统景观斑块切割破碎化，使该区域的生态系统景观结构发生变化。</w:t>
      </w:r>
    </w:p>
    <w:p w14:paraId="5763D64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规划矿井采用井工开采，煤矿生产不会直接减少地表自然植被，但地表沉陷会影响自然植被生长，降低生态系统生产力。该区域生态系统阻抗稳定性和恢复稳定性均较差，遭受外界干扰破坏后的生态环境需要人为的强烈干预与能量的持续输入才能得以恢复。对此，应加强矿区沉陷区治理和植被恢复，合理规划布置各项生态工程建设，避免破坏敏感或关键的生态单元和廊道，维持区域生态系统的完整性</w:t>
      </w:r>
    </w:p>
    <w:p w14:paraId="2C20CC3F" w14:textId="77777777" w:rsidR="009C353B" w:rsidRDefault="00000000">
      <w:pPr>
        <w:pStyle w:val="2"/>
        <w:snapToGrid w:val="0"/>
        <w:spacing w:line="440" w:lineRule="exact"/>
        <w:rPr>
          <w:rFonts w:ascii="Times New Roman" w:eastAsia="宋体" w:hAnsi="Times New Roman"/>
          <w:b/>
          <w:sz w:val="28"/>
        </w:rPr>
      </w:pPr>
      <w:bookmarkStart w:id="238" w:name="_Toc59189848"/>
      <w:r>
        <w:rPr>
          <w:rFonts w:ascii="Times New Roman" w:eastAsia="宋体" w:hAnsi="Times New Roman"/>
          <w:b/>
          <w:sz w:val="28"/>
        </w:rPr>
        <w:t xml:space="preserve">6.3 </w:t>
      </w:r>
      <w:r>
        <w:rPr>
          <w:rFonts w:ascii="Times New Roman" w:eastAsia="宋体" w:hAnsi="Times New Roman"/>
          <w:b/>
          <w:sz w:val="28"/>
        </w:rPr>
        <w:t>水环境影响评价</w:t>
      </w:r>
      <w:bookmarkEnd w:id="238"/>
    </w:p>
    <w:p w14:paraId="01484DEE"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6.3.1 </w:t>
      </w:r>
      <w:r>
        <w:rPr>
          <w:rFonts w:ascii="Times New Roman"/>
          <w:sz w:val="24"/>
        </w:rPr>
        <w:t>地表水环境影响分析</w:t>
      </w:r>
    </w:p>
    <w:p w14:paraId="4DE24A0C" w14:textId="77777777" w:rsidR="009C353B" w:rsidRDefault="00000000">
      <w:pPr>
        <w:adjustRightInd w:val="0"/>
        <w:snapToGrid w:val="0"/>
        <w:spacing w:line="440" w:lineRule="exact"/>
        <w:ind w:firstLine="482"/>
        <w:rPr>
          <w:rFonts w:ascii="Times New Roman" w:hAnsi="Times New Roman"/>
        </w:rPr>
      </w:pPr>
      <w:r>
        <w:rPr>
          <w:rFonts w:ascii="Times New Roman" w:hint="eastAsia"/>
          <w:szCs w:val="28"/>
        </w:rPr>
        <w:t>矿区</w:t>
      </w:r>
      <w:r>
        <w:rPr>
          <w:rFonts w:ascii="Times New Roman"/>
          <w:szCs w:val="28"/>
        </w:rPr>
        <w:t>附近主要</w:t>
      </w:r>
      <w:r>
        <w:rPr>
          <w:rFonts w:ascii="Times New Roman" w:hint="eastAsia"/>
          <w:szCs w:val="28"/>
        </w:rPr>
        <w:t>地表</w:t>
      </w:r>
      <w:r>
        <w:rPr>
          <w:rFonts w:ascii="Times New Roman"/>
          <w:szCs w:val="28"/>
        </w:rPr>
        <w:t>水体为</w:t>
      </w:r>
      <w:r>
        <w:rPr>
          <w:rFonts w:ascii="Times New Roman" w:hint="eastAsia"/>
          <w:szCs w:val="28"/>
        </w:rPr>
        <w:t>水洞沟（位于矿区北侧）和大河子沟（位于矿区南侧）</w:t>
      </w:r>
      <w:r>
        <w:rPr>
          <w:rFonts w:ascii="Times New Roman"/>
          <w:szCs w:val="28"/>
        </w:rPr>
        <w:t>。</w:t>
      </w:r>
    </w:p>
    <w:p w14:paraId="7D3F9D1A" w14:textId="77777777" w:rsidR="009C353B" w:rsidRDefault="00000000">
      <w:pPr>
        <w:pStyle w:val="4e"/>
        <w:adjustRightInd w:val="0"/>
        <w:snapToGrid w:val="0"/>
        <w:spacing w:before="0" w:after="0" w:line="440" w:lineRule="exact"/>
        <w:rPr>
          <w:rFonts w:hAnsi="宋体" w:hint="eastAsia"/>
        </w:rPr>
      </w:pPr>
      <w:r>
        <w:t xml:space="preserve">6.3.1.1 </w:t>
      </w:r>
      <w:r>
        <w:rPr>
          <w:rFonts w:hAnsi="宋体"/>
        </w:rPr>
        <w:t>建设期水环境影响分析</w:t>
      </w:r>
    </w:p>
    <w:p w14:paraId="0C7AE59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目前马莲台、任家庄和红石湾均已建成投产，丁家梁矿井在建。</w:t>
      </w:r>
    </w:p>
    <w:p w14:paraId="61C657C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建设矿井为丁家梁矿井，矿井建设</w:t>
      </w:r>
      <w:r>
        <w:rPr>
          <w:rFonts w:ascii="Times New Roman"/>
        </w:rPr>
        <w:t>施工过程中产生的水污染源主要是施工人员的生活污水及施工现场的废水。生活污水主要污染物为</w:t>
      </w:r>
      <w:r>
        <w:rPr>
          <w:rFonts w:ascii="Times New Roman"/>
        </w:rPr>
        <w:t>COD</w:t>
      </w:r>
      <w:r>
        <w:rPr>
          <w:rFonts w:ascii="Times New Roman"/>
        </w:rPr>
        <w:t>、</w:t>
      </w:r>
      <w:r>
        <w:rPr>
          <w:rFonts w:ascii="Times New Roman"/>
        </w:rPr>
        <w:t>BOD</w:t>
      </w:r>
      <w:r>
        <w:rPr>
          <w:rFonts w:ascii="Times New Roman"/>
        </w:rPr>
        <w:t>、氨氮、动植物油等。施工废水主要是清洗车辆清洗、设备维修等带来的一定量的含油废水，施工建筑材料在雨水冲刷下产生污水，施工废水主要污染物为悬浮物</w:t>
      </w:r>
      <w:r>
        <w:rPr>
          <w:rFonts w:ascii="Times New Roman"/>
        </w:rPr>
        <w:t>(SS)</w:t>
      </w:r>
      <w:r>
        <w:rPr>
          <w:rFonts w:ascii="Times New Roman"/>
        </w:rPr>
        <w:t>和极少量的油类等。此外，井筒施工在穿越地下含水层时，若不采取措施，将会产生一定量的含水层疏干水，其主要污染物为</w:t>
      </w:r>
      <w:r>
        <w:rPr>
          <w:rFonts w:ascii="Times New Roman"/>
        </w:rPr>
        <w:t>SS</w:t>
      </w:r>
      <w:r>
        <w:rPr>
          <w:rFonts w:ascii="Times New Roman"/>
        </w:rPr>
        <w:t>。</w:t>
      </w:r>
    </w:p>
    <w:p w14:paraId="11222E2F" w14:textId="77777777" w:rsidR="009C353B" w:rsidRDefault="00000000">
      <w:pPr>
        <w:adjustRightInd w:val="0"/>
        <w:snapToGrid w:val="0"/>
        <w:spacing w:line="440" w:lineRule="exact"/>
        <w:ind w:firstLineChars="200" w:firstLine="480"/>
        <w:rPr>
          <w:rFonts w:ascii="Times New Roman" w:hint="eastAsia"/>
        </w:rPr>
      </w:pPr>
      <w:r>
        <w:rPr>
          <w:rFonts w:ascii="Times New Roman"/>
        </w:rPr>
        <w:t>以上产生的水污染物，若不对其采取措施而直接排入地表河流，会对地表水及河道两侧的土壤产生一定的影响。评价提出：</w:t>
      </w:r>
    </w:p>
    <w:p w14:paraId="6752801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）在降雨时对某些建筑材料及时遮盖以减少雨水冲刷产生污水，对污染较重的废污水应设临时储存及处理装置。</w:t>
      </w:r>
    </w:p>
    <w:p w14:paraId="6308C2F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2</w:t>
      </w:r>
      <w:r>
        <w:rPr>
          <w:rFonts w:ascii="Times New Roman" w:hint="eastAsia"/>
        </w:rPr>
        <w:t>）在施工现场设置固定的冲洗场，设备及车辆定期冲洗，不允许将冲洗水随时随地排放，在冲洗场设废水隔油沉淀池，沉淀后的废水复用于施工用水。</w:t>
      </w:r>
    </w:p>
    <w:p w14:paraId="622CDBB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3</w:t>
      </w:r>
      <w:r>
        <w:rPr>
          <w:rFonts w:ascii="Times New Roman" w:hint="eastAsia"/>
        </w:rPr>
        <w:t>）评价提出在施工人员集中生活区要设移动式或其他简易生活污水处理装置，集中处理生活污水，处理后水质达到污水综合排放一级标准，回用于施工降尘洒水等。</w:t>
      </w:r>
    </w:p>
    <w:p w14:paraId="6DF6E99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4</w:t>
      </w:r>
      <w:r>
        <w:rPr>
          <w:rFonts w:ascii="Times New Roman" w:hint="eastAsia"/>
        </w:rPr>
        <w:t>）井筒及大巷掘进过程中产生的废水必须排入地面场地集中水池中与施工废水一并沉淀处理，处理后废水回用于施工或场地降尘洒水，处理后多余的废水外排入附近沟谷中自然蒸发。另外要合理安排施工顺序，在工作面准备结束前地面矿井水处理系统和排水管道应建成并调试完毕，以便在矿井试生产阶段即实现矿井水处理和达标排放。</w:t>
      </w:r>
    </w:p>
    <w:p w14:paraId="346BBFA3"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采用上述环评提出的治理措施后，矿区建设期对地表水的影响轻微。</w:t>
      </w:r>
    </w:p>
    <w:p w14:paraId="24A3A735" w14:textId="77777777" w:rsidR="009C353B" w:rsidRDefault="00000000">
      <w:pPr>
        <w:adjustRightInd w:val="0"/>
        <w:snapToGrid w:val="0"/>
        <w:spacing w:line="440" w:lineRule="exact"/>
        <w:outlineLvl w:val="3"/>
        <w:rPr>
          <w:rFonts w:ascii="Times New Roman" w:hAnsi="Times New Roman"/>
          <w:b/>
          <w:szCs w:val="24"/>
        </w:rPr>
      </w:pPr>
      <w:r>
        <w:rPr>
          <w:rFonts w:ascii="Times New Roman" w:hAnsi="Times New Roman"/>
          <w:b/>
          <w:szCs w:val="24"/>
        </w:rPr>
        <w:t>6.3.1.2</w:t>
      </w:r>
      <w:r>
        <w:rPr>
          <w:rFonts w:ascii="Times New Roman"/>
          <w:b/>
          <w:szCs w:val="24"/>
        </w:rPr>
        <w:t>运营期地表水环境影响分析</w:t>
      </w:r>
    </w:p>
    <w:p w14:paraId="355271AC"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bCs/>
          <w:szCs w:val="24"/>
        </w:rPr>
        <w:t>（</w:t>
      </w:r>
      <w:r>
        <w:rPr>
          <w:rFonts w:ascii="Times New Roman" w:hAnsi="Times New Roman"/>
          <w:bCs/>
          <w:szCs w:val="24"/>
        </w:rPr>
        <w:t>1</w:t>
      </w:r>
      <w:r>
        <w:rPr>
          <w:rFonts w:ascii="Times New Roman" w:hAnsi="Times New Roman"/>
          <w:bCs/>
          <w:szCs w:val="24"/>
        </w:rPr>
        <w:t>）</w:t>
      </w:r>
      <w:r>
        <w:rPr>
          <w:rFonts w:ascii="Times New Roman" w:hAnsi="Times New Roman"/>
          <w:bCs/>
          <w:szCs w:val="24"/>
        </w:rPr>
        <w:t xml:space="preserve"> </w:t>
      </w:r>
      <w:r>
        <w:rPr>
          <w:rFonts w:ascii="Times New Roman" w:hAnsi="Times New Roman"/>
          <w:bCs/>
          <w:szCs w:val="24"/>
        </w:rPr>
        <w:t>地表水水体分布情况</w:t>
      </w:r>
    </w:p>
    <w:p w14:paraId="36DFB006" w14:textId="77777777" w:rsidR="009C353B" w:rsidRDefault="00000000">
      <w:pPr>
        <w:adjustRightInd w:val="0"/>
        <w:snapToGrid w:val="0"/>
        <w:spacing w:line="440" w:lineRule="exact"/>
        <w:ind w:firstLine="561"/>
        <w:rPr>
          <w:rFonts w:ascii="Times New Roman" w:hAnsi="Times New Roman"/>
          <w:szCs w:val="24"/>
        </w:rPr>
      </w:pPr>
      <w:r>
        <w:rPr>
          <w:rFonts w:ascii="Times New Roman" w:hAnsi="Times New Roman"/>
          <w:szCs w:val="24"/>
        </w:rPr>
        <w:t>矿区内及周边地表水体有</w:t>
      </w:r>
      <w:r>
        <w:rPr>
          <w:rFonts w:ascii="Times New Roman" w:hAnsi="Times New Roman" w:hint="eastAsia"/>
          <w:szCs w:val="24"/>
          <w:lang w:val="zh-CN"/>
        </w:rPr>
        <w:t>水洞沟</w:t>
      </w:r>
      <w:r>
        <w:rPr>
          <w:rFonts w:ascii="Times New Roman" w:hAnsi="Times New Roman"/>
          <w:szCs w:val="24"/>
        </w:rPr>
        <w:t>、</w:t>
      </w:r>
      <w:r>
        <w:rPr>
          <w:rFonts w:ascii="Times New Roman" w:hAnsi="Times New Roman" w:hint="eastAsia"/>
          <w:szCs w:val="24"/>
        </w:rPr>
        <w:t>大河子沟</w:t>
      </w:r>
      <w:r>
        <w:rPr>
          <w:rFonts w:ascii="Times New Roman" w:hAnsi="Times New Roman"/>
          <w:szCs w:val="24"/>
        </w:rPr>
        <w:t>、鸭子荡水库。</w:t>
      </w:r>
    </w:p>
    <w:p w14:paraId="3E70962B" w14:textId="77777777" w:rsidR="009C353B" w:rsidRDefault="00000000">
      <w:pPr>
        <w:adjustRightInd w:val="0"/>
        <w:snapToGrid w:val="0"/>
        <w:spacing w:line="440" w:lineRule="exact"/>
        <w:ind w:firstLine="561"/>
        <w:rPr>
          <w:rFonts w:ascii="Times New Roman" w:hAnsi="Times New Roman"/>
          <w:szCs w:val="24"/>
        </w:rPr>
      </w:pPr>
      <w:r>
        <w:rPr>
          <w:rFonts w:ascii="Times New Roman" w:hAnsi="Times New Roman" w:hint="eastAsia"/>
          <w:szCs w:val="24"/>
          <w:lang w:val="zh-CN"/>
        </w:rPr>
        <w:t>水洞沟</w:t>
      </w:r>
      <w:r>
        <w:rPr>
          <w:rFonts w:ascii="Times New Roman" w:hAnsi="Times New Roman"/>
          <w:szCs w:val="24"/>
        </w:rPr>
        <w:t>：东起清水营、西汇黄河，沟深、谷阔，两壁陡竣，沟深</w:t>
      </w:r>
      <w:r>
        <w:rPr>
          <w:rFonts w:ascii="Times New Roman" w:hAnsi="Times New Roman"/>
          <w:szCs w:val="24"/>
        </w:rPr>
        <w:t>7</w:t>
      </w:r>
      <w:r>
        <w:rPr>
          <w:rFonts w:ascii="Times New Roman" w:hAnsi="Times New Roman"/>
          <w:szCs w:val="24"/>
        </w:rPr>
        <w:t>～</w:t>
      </w:r>
      <w:r>
        <w:rPr>
          <w:rFonts w:ascii="Times New Roman" w:hAnsi="Times New Roman"/>
          <w:szCs w:val="24"/>
        </w:rPr>
        <w:t>18m</w:t>
      </w:r>
      <w:r>
        <w:rPr>
          <w:rFonts w:ascii="Times New Roman" w:hAnsi="Times New Roman"/>
          <w:szCs w:val="24"/>
        </w:rPr>
        <w:t>，宽</w:t>
      </w:r>
      <w:r>
        <w:rPr>
          <w:rFonts w:ascii="Times New Roman" w:hAnsi="Times New Roman"/>
          <w:szCs w:val="24"/>
        </w:rPr>
        <w:t>20</w:t>
      </w:r>
      <w:r>
        <w:rPr>
          <w:rFonts w:ascii="Times New Roman" w:hAnsi="Times New Roman"/>
          <w:szCs w:val="24"/>
        </w:rPr>
        <w:t>～</w:t>
      </w:r>
      <w:r>
        <w:rPr>
          <w:rFonts w:ascii="Times New Roman" w:hAnsi="Times New Roman"/>
          <w:szCs w:val="24"/>
        </w:rPr>
        <w:t>50m</w:t>
      </w:r>
      <w:r>
        <w:rPr>
          <w:rFonts w:ascii="Times New Roman" w:hAnsi="Times New Roman"/>
          <w:szCs w:val="24"/>
        </w:rPr>
        <w:t>，主要为第四系冲洪积物。由于沟谷深切，两岸第四系潜水沿侵蚀基准面溢出，形成地下水补给地表水，汇集成常年地表水流，由东往西潜入山前汇入黄河。</w:t>
      </w:r>
    </w:p>
    <w:p w14:paraId="003DCE1C" w14:textId="77777777" w:rsidR="009C353B" w:rsidRDefault="00000000">
      <w:pPr>
        <w:adjustRightInd w:val="0"/>
        <w:snapToGrid w:val="0"/>
        <w:spacing w:line="440" w:lineRule="exact"/>
        <w:ind w:firstLine="561"/>
        <w:rPr>
          <w:rFonts w:ascii="Times New Roman" w:hAnsi="Times New Roman"/>
          <w:szCs w:val="24"/>
        </w:rPr>
      </w:pPr>
      <w:r>
        <w:rPr>
          <w:rFonts w:ascii="Times New Roman" w:hAnsi="Times New Roman" w:hint="eastAsia"/>
          <w:szCs w:val="24"/>
        </w:rPr>
        <w:t>大河子沟</w:t>
      </w:r>
      <w:r>
        <w:rPr>
          <w:rFonts w:ascii="Times New Roman" w:hAnsi="Times New Roman"/>
          <w:szCs w:val="24"/>
        </w:rPr>
        <w:t>：是矿区南部具有常年性地表流水的沟谷，也是地表水、浅层地下水的主要排泄通道。</w:t>
      </w:r>
      <w:r>
        <w:rPr>
          <w:rFonts w:ascii="Times New Roman" w:hAnsi="Times New Roman" w:hint="eastAsia"/>
          <w:szCs w:val="24"/>
        </w:rPr>
        <w:t>大河子沟</w:t>
      </w:r>
      <w:r>
        <w:rPr>
          <w:rFonts w:ascii="Times New Roman" w:hAnsi="Times New Roman"/>
          <w:szCs w:val="24"/>
        </w:rPr>
        <w:t>平均流量</w:t>
      </w:r>
      <w:r>
        <w:rPr>
          <w:rFonts w:ascii="Times New Roman" w:hAnsi="Times New Roman"/>
          <w:szCs w:val="24"/>
        </w:rPr>
        <w:t>1.73m</w:t>
      </w:r>
      <w:r>
        <w:rPr>
          <w:rFonts w:ascii="Times New Roman" w:hAnsi="Times New Roman"/>
          <w:szCs w:val="24"/>
          <w:vertAlign w:val="superscript"/>
        </w:rPr>
        <w:t>3</w:t>
      </w:r>
      <w:r>
        <w:rPr>
          <w:rFonts w:ascii="Times New Roman" w:hAnsi="Times New Roman"/>
          <w:szCs w:val="24"/>
        </w:rPr>
        <w:t>/s</w:t>
      </w:r>
      <w:r>
        <w:rPr>
          <w:rFonts w:ascii="Times New Roman" w:hAnsi="Times New Roman"/>
          <w:szCs w:val="24"/>
        </w:rPr>
        <w:t>，水质较差，进入矿区一带矿化度</w:t>
      </w:r>
      <w:r>
        <w:rPr>
          <w:rFonts w:ascii="Times New Roman" w:hAnsi="Times New Roman"/>
          <w:szCs w:val="24"/>
        </w:rPr>
        <w:t>3g/L</w:t>
      </w:r>
      <w:r>
        <w:rPr>
          <w:rFonts w:ascii="Times New Roman" w:hAnsi="Times New Roman"/>
          <w:szCs w:val="24"/>
        </w:rPr>
        <w:t>左右，属</w:t>
      </w:r>
      <w:r>
        <w:rPr>
          <w:rFonts w:ascii="Times New Roman" w:hAnsi="Times New Roman"/>
          <w:szCs w:val="24"/>
        </w:rPr>
        <w:t>Cl.SO</w:t>
      </w:r>
      <w:r>
        <w:rPr>
          <w:rFonts w:ascii="Times New Roman" w:hAnsi="Times New Roman"/>
          <w:szCs w:val="24"/>
          <w:vertAlign w:val="subscript"/>
        </w:rPr>
        <w:t>4</w:t>
      </w:r>
      <w:r>
        <w:rPr>
          <w:rFonts w:ascii="Times New Roman" w:hAnsi="Times New Roman"/>
          <w:szCs w:val="24"/>
        </w:rPr>
        <w:t>-Na</w:t>
      </w:r>
      <w:r>
        <w:rPr>
          <w:rFonts w:ascii="Times New Roman" w:hAnsi="Times New Roman"/>
          <w:szCs w:val="24"/>
        </w:rPr>
        <w:t>型水。</w:t>
      </w:r>
    </w:p>
    <w:p w14:paraId="5E18BD85" w14:textId="77777777" w:rsidR="009C353B" w:rsidRDefault="00000000">
      <w:pPr>
        <w:adjustRightInd w:val="0"/>
        <w:snapToGrid w:val="0"/>
        <w:spacing w:line="440" w:lineRule="exact"/>
        <w:ind w:firstLine="561"/>
        <w:rPr>
          <w:rFonts w:ascii="Times New Roman" w:hAnsi="Times New Roman"/>
          <w:szCs w:val="24"/>
        </w:rPr>
      </w:pPr>
      <w:r>
        <w:rPr>
          <w:rFonts w:ascii="Times New Roman" w:hAnsi="Times New Roman"/>
          <w:szCs w:val="24"/>
        </w:rPr>
        <w:t>鸭子荡水库：该水库是经由人工筑坝抽取黄河水而形成的引水型水库。水库地域总面积</w:t>
      </w:r>
      <w:r>
        <w:rPr>
          <w:rFonts w:ascii="Times New Roman" w:hAnsi="Times New Roman"/>
          <w:szCs w:val="24"/>
        </w:rPr>
        <w:t>1470hm</w:t>
      </w:r>
      <w:r>
        <w:rPr>
          <w:rFonts w:ascii="Times New Roman" w:hAnsi="Times New Roman"/>
          <w:szCs w:val="24"/>
          <w:vertAlign w:val="superscript"/>
        </w:rPr>
        <w:t>2</w:t>
      </w:r>
      <w:r>
        <w:rPr>
          <w:rFonts w:ascii="Times New Roman" w:hAnsi="Times New Roman"/>
          <w:szCs w:val="24"/>
        </w:rPr>
        <w:t>，水域面积</w:t>
      </w:r>
      <w:r>
        <w:rPr>
          <w:rFonts w:ascii="Times New Roman" w:hAnsi="Times New Roman"/>
          <w:szCs w:val="24"/>
        </w:rPr>
        <w:t>300hm</w:t>
      </w:r>
      <w:r>
        <w:rPr>
          <w:rFonts w:ascii="Times New Roman" w:hAnsi="Times New Roman"/>
          <w:szCs w:val="24"/>
          <w:vertAlign w:val="superscript"/>
        </w:rPr>
        <w:t>2</w:t>
      </w:r>
      <w:r>
        <w:rPr>
          <w:rFonts w:ascii="Times New Roman" w:hAnsi="Times New Roman"/>
          <w:szCs w:val="24"/>
        </w:rPr>
        <w:t>；最大库容</w:t>
      </w:r>
      <w:r>
        <w:rPr>
          <w:rFonts w:ascii="Times New Roman" w:hAnsi="Times New Roman"/>
          <w:szCs w:val="24"/>
        </w:rPr>
        <w:t>2400</w:t>
      </w:r>
      <w:r>
        <w:rPr>
          <w:rFonts w:ascii="Times New Roman" w:hAnsi="Times New Roman"/>
          <w:szCs w:val="24"/>
        </w:rPr>
        <w:t>万</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，最小库容</w:t>
      </w:r>
      <w:r>
        <w:rPr>
          <w:rFonts w:ascii="Times New Roman" w:hAnsi="Times New Roman"/>
          <w:szCs w:val="24"/>
        </w:rPr>
        <w:t>1500</w:t>
      </w:r>
      <w:r>
        <w:rPr>
          <w:rFonts w:ascii="Times New Roman" w:hAnsi="Times New Roman"/>
          <w:szCs w:val="24"/>
        </w:rPr>
        <w:t>万</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；最高水位海拔高程</w:t>
      </w:r>
      <w:r>
        <w:rPr>
          <w:rFonts w:ascii="Times New Roman" w:hAnsi="Times New Roman"/>
          <w:szCs w:val="24"/>
        </w:rPr>
        <w:t>1249.50m</w:t>
      </w:r>
      <w:r>
        <w:rPr>
          <w:rFonts w:ascii="Times New Roman" w:hAnsi="Times New Roman"/>
          <w:szCs w:val="24"/>
        </w:rPr>
        <w:t>，最低水位海拔高程</w:t>
      </w:r>
      <w:r>
        <w:rPr>
          <w:rFonts w:ascii="Times New Roman" w:hAnsi="Times New Roman"/>
          <w:szCs w:val="24"/>
        </w:rPr>
        <w:t>1245.80m</w:t>
      </w:r>
      <w:r>
        <w:rPr>
          <w:rFonts w:ascii="Times New Roman" w:hAnsi="Times New Roman"/>
          <w:szCs w:val="24"/>
        </w:rPr>
        <w:t>。</w:t>
      </w:r>
    </w:p>
    <w:p w14:paraId="762B7DBE"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szCs w:val="24"/>
        </w:rPr>
        <w:t xml:space="preserve"> </w:t>
      </w:r>
      <w:r>
        <w:rPr>
          <w:rFonts w:ascii="Times New Roman" w:hAnsi="Times New Roman"/>
          <w:bCs/>
          <w:szCs w:val="24"/>
        </w:rPr>
        <w:t>（</w:t>
      </w:r>
      <w:r>
        <w:rPr>
          <w:rFonts w:ascii="Times New Roman" w:hAnsi="Times New Roman"/>
          <w:bCs/>
          <w:szCs w:val="24"/>
        </w:rPr>
        <w:t>2</w:t>
      </w:r>
      <w:r>
        <w:rPr>
          <w:rFonts w:ascii="Times New Roman" w:hAnsi="Times New Roman"/>
          <w:bCs/>
          <w:szCs w:val="24"/>
        </w:rPr>
        <w:t>）</w:t>
      </w:r>
      <w:r>
        <w:rPr>
          <w:rFonts w:ascii="Times New Roman" w:hAnsi="Times New Roman"/>
          <w:szCs w:val="24"/>
        </w:rPr>
        <w:t>污废水产生、处理及回用情况</w:t>
      </w:r>
    </w:p>
    <w:p w14:paraId="7D83D5DC" w14:textId="77777777" w:rsidR="009C353B" w:rsidRDefault="00000000">
      <w:pPr>
        <w:adjustRightInd w:val="0"/>
        <w:snapToGrid w:val="0"/>
        <w:spacing w:line="440" w:lineRule="exact"/>
        <w:ind w:firstLine="482"/>
        <w:rPr>
          <w:rFonts w:ascii="Times New Roman" w:hAnsi="Times New Roman"/>
          <w:szCs w:val="24"/>
        </w:rPr>
      </w:pPr>
      <w:r>
        <w:rPr>
          <w:rFonts w:ascii="Times New Roman" w:hAnsi="Times New Roman"/>
          <w:szCs w:val="24"/>
        </w:rPr>
        <w:t>马莲台、任家庄和红石湾矿井均已建成投产，丁家梁矿井在建。矿区污废水来源主要有三类：一是煤矿工业场地排放的生产生活污水，二是矿井水，三是选煤厂煤泥水。</w:t>
      </w:r>
    </w:p>
    <w:p w14:paraId="45B0523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1</w:t>
      </w:r>
      <w:r>
        <w:rPr>
          <w:rFonts w:ascii="Times New Roman" w:hAnsi="Times New Roman"/>
          <w:szCs w:val="24"/>
        </w:rPr>
        <w:t>）生活污水</w:t>
      </w:r>
    </w:p>
    <w:p w14:paraId="184F7E4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矿区各矿井生活污水主要为浴室、食堂、洗衣房、卫生间、单身宿舍、住宅楼排放的生活污水，以及矿灯房等生产部门排放的少量生产废水，主要污染物为</w:t>
      </w:r>
      <w:r>
        <w:rPr>
          <w:rFonts w:ascii="Times New Roman" w:hAnsi="Times New Roman"/>
          <w:szCs w:val="24"/>
        </w:rPr>
        <w:t>CODcr</w:t>
      </w:r>
      <w:r>
        <w:rPr>
          <w:rFonts w:ascii="Times New Roman" w:hAnsi="Times New Roman"/>
          <w:szCs w:val="24"/>
        </w:rPr>
        <w:t>、</w:t>
      </w:r>
      <w:r>
        <w:rPr>
          <w:rFonts w:ascii="Times New Roman" w:hAnsi="Times New Roman"/>
          <w:szCs w:val="24"/>
        </w:rPr>
        <w:t>SS</w:t>
      </w:r>
      <w:r>
        <w:rPr>
          <w:rFonts w:ascii="Times New Roman" w:hAnsi="Times New Roman"/>
          <w:szCs w:val="24"/>
        </w:rPr>
        <w:t>和石油类等。</w:t>
      </w:r>
    </w:p>
    <w:p w14:paraId="3CABF8E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任家庄生活污水产生量约为</w:t>
      </w:r>
      <w:r>
        <w:rPr>
          <w:rFonts w:ascii="Times New Roman" w:hAnsi="Times New Roman" w:hint="eastAsia"/>
          <w:szCs w:val="24"/>
        </w:rPr>
        <w:t>177.58</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，在主工业场地现有生活污水处理站</w:t>
      </w:r>
      <w:r>
        <w:rPr>
          <w:rFonts w:ascii="Times New Roman" w:hAnsi="Times New Roman"/>
          <w:szCs w:val="24"/>
        </w:rPr>
        <w:t xml:space="preserve"> 1 </w:t>
      </w:r>
      <w:r>
        <w:rPr>
          <w:rFonts w:ascii="Times New Roman" w:hAnsi="Times New Roman"/>
          <w:szCs w:val="24"/>
        </w:rPr>
        <w:t>座，处理工艺为</w:t>
      </w:r>
      <w:r>
        <w:rPr>
          <w:rFonts w:ascii="Times New Roman" w:hAnsi="Times New Roman"/>
          <w:szCs w:val="24"/>
        </w:rPr>
        <w:t>“</w:t>
      </w:r>
      <w:r>
        <w:rPr>
          <w:rFonts w:ascii="Times New Roman" w:hAnsi="Times New Roman"/>
          <w:szCs w:val="24"/>
        </w:rPr>
        <w:t>格栅</w:t>
      </w:r>
      <w:r>
        <w:rPr>
          <w:rFonts w:ascii="Times New Roman" w:hAnsi="Times New Roman"/>
          <w:szCs w:val="24"/>
        </w:rPr>
        <w:t>+</w:t>
      </w:r>
      <w:r>
        <w:rPr>
          <w:rFonts w:ascii="Times New Roman" w:hAnsi="Times New Roman"/>
          <w:szCs w:val="24"/>
        </w:rPr>
        <w:t>生化（</w:t>
      </w:r>
      <w:r>
        <w:rPr>
          <w:rFonts w:ascii="Times New Roman" w:hAnsi="Times New Roman"/>
          <w:szCs w:val="24"/>
        </w:rPr>
        <w:t>A/O</w:t>
      </w:r>
      <w:r>
        <w:rPr>
          <w:rFonts w:ascii="Times New Roman" w:hAnsi="Times New Roman"/>
          <w:szCs w:val="24"/>
        </w:rPr>
        <w:t>）</w:t>
      </w:r>
      <w:r>
        <w:rPr>
          <w:rFonts w:ascii="Times New Roman" w:hAnsi="Times New Roman"/>
          <w:szCs w:val="24"/>
        </w:rPr>
        <w:t>+</w:t>
      </w:r>
      <w:r>
        <w:rPr>
          <w:rFonts w:ascii="Times New Roman" w:hAnsi="Times New Roman"/>
          <w:szCs w:val="24"/>
        </w:rPr>
        <w:t>沉淀</w:t>
      </w:r>
      <w:r>
        <w:rPr>
          <w:rFonts w:ascii="Times New Roman" w:hAnsi="Times New Roman"/>
          <w:szCs w:val="24"/>
        </w:rPr>
        <w:t>+</w:t>
      </w:r>
      <w:r>
        <w:rPr>
          <w:rFonts w:ascii="Times New Roman" w:hAnsi="Times New Roman"/>
          <w:szCs w:val="24"/>
        </w:rPr>
        <w:t>消毒</w:t>
      </w:r>
      <w:r>
        <w:rPr>
          <w:rFonts w:ascii="Times New Roman" w:hAnsi="Times New Roman"/>
          <w:szCs w:val="24"/>
        </w:rPr>
        <w:t>”</w:t>
      </w:r>
      <w:r>
        <w:rPr>
          <w:rFonts w:ascii="Times New Roman" w:hAnsi="Times New Roman"/>
          <w:szCs w:val="24"/>
        </w:rPr>
        <w:t>，处理规模为</w:t>
      </w:r>
      <w:r>
        <w:rPr>
          <w:rFonts w:ascii="Times New Roman" w:hAnsi="Times New Roman"/>
          <w:szCs w:val="24"/>
        </w:rPr>
        <w:t xml:space="preserve"> 40m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w:t>
      </w:r>
      <w:r>
        <w:rPr>
          <w:rFonts w:ascii="Times New Roman" w:hAnsi="Times New Roman"/>
          <w:szCs w:val="24"/>
        </w:rPr>
        <w:t>800m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）。处理后回用于工业场地绿化降尘，冬季生活污水处理达标后贮存于蓄水池中，次年抽回复用。全部回用，不外排。</w:t>
      </w:r>
    </w:p>
    <w:p w14:paraId="2C79907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红石湾现有生活污水产生量为</w:t>
      </w:r>
      <w:r>
        <w:rPr>
          <w:rFonts w:ascii="Times New Roman" w:hAnsi="Times New Roman"/>
          <w:szCs w:val="24"/>
        </w:rPr>
        <w:t>391.5 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，现有生活污水处理设施</w:t>
      </w:r>
      <w:r>
        <w:rPr>
          <w:rFonts w:ascii="Times New Roman" w:hAnsi="Times New Roman"/>
          <w:szCs w:val="24"/>
        </w:rPr>
        <w:t>1</w:t>
      </w:r>
      <w:r>
        <w:rPr>
          <w:rFonts w:ascii="Times New Roman" w:hAnsi="Times New Roman"/>
          <w:szCs w:val="24"/>
        </w:rPr>
        <w:t>座，处理规模</w:t>
      </w:r>
      <w:r>
        <w:rPr>
          <w:rFonts w:ascii="Times New Roman" w:hAnsi="Times New Roman"/>
          <w:szCs w:val="24"/>
        </w:rPr>
        <w:t>480m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，采用</w:t>
      </w:r>
      <w:r>
        <w:rPr>
          <w:rFonts w:ascii="Times New Roman" w:hAnsi="Times New Roman"/>
          <w:szCs w:val="24"/>
        </w:rPr>
        <w:t>A2/O</w:t>
      </w:r>
      <w:r>
        <w:rPr>
          <w:rFonts w:ascii="Times New Roman" w:hAnsi="Times New Roman"/>
          <w:szCs w:val="24"/>
        </w:rPr>
        <w:t>处理工艺，并矿井工业场地西侧建设</w:t>
      </w:r>
      <w:r>
        <w:rPr>
          <w:rFonts w:ascii="Times New Roman" w:hAnsi="Times New Roman"/>
          <w:szCs w:val="24"/>
        </w:rPr>
        <w:t>2</w:t>
      </w:r>
      <w:r>
        <w:rPr>
          <w:rFonts w:ascii="Times New Roman" w:hAnsi="Times New Roman"/>
          <w:szCs w:val="24"/>
        </w:rPr>
        <w:t>座蓄水池。经改造后的生活污水处理设施处理达到《城市污水再生利用</w:t>
      </w:r>
      <w:r>
        <w:rPr>
          <w:rFonts w:ascii="Times New Roman" w:hAnsi="Times New Roman"/>
          <w:szCs w:val="24"/>
        </w:rPr>
        <w:t xml:space="preserve"> </w:t>
      </w:r>
      <w:r>
        <w:rPr>
          <w:rFonts w:ascii="Times New Roman" w:hAnsi="Times New Roman"/>
          <w:szCs w:val="24"/>
        </w:rPr>
        <w:t>城市杂用水水质》（</w:t>
      </w:r>
      <w:r>
        <w:rPr>
          <w:rFonts w:ascii="Times New Roman" w:hAnsi="Times New Roman"/>
          <w:szCs w:val="24"/>
        </w:rPr>
        <w:t>GB/T18920-2002</w:t>
      </w:r>
      <w:r>
        <w:rPr>
          <w:rFonts w:ascii="Times New Roman" w:hAnsi="Times New Roman"/>
          <w:szCs w:val="24"/>
        </w:rPr>
        <w:t>）后，冬季全部送生活污水蓄水池暂存，夏季蓄水池蓄水及经生活污水处理设施处理后的生活污水，全部进行综合利用，不外排。</w:t>
      </w:r>
    </w:p>
    <w:p w14:paraId="4EA7DC1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马莲台工业场地生产生活废水每天产生量为</w:t>
      </w:r>
      <w:r>
        <w:rPr>
          <w:rFonts w:ascii="Times New Roman" w:hAnsi="Times New Roman"/>
          <w:szCs w:val="24"/>
        </w:rPr>
        <w:t>340.9m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，依托宁夏宝丰能源集团股份有限公司污水处理站处理，处理满足《城市污水再生利用</w:t>
      </w:r>
      <w:r>
        <w:rPr>
          <w:rFonts w:ascii="Times New Roman" w:hAnsi="Times New Roman"/>
          <w:szCs w:val="24"/>
        </w:rPr>
        <w:t>·</w:t>
      </w:r>
      <w:r>
        <w:rPr>
          <w:rFonts w:ascii="Times New Roman" w:hAnsi="Times New Roman"/>
          <w:szCs w:val="24"/>
        </w:rPr>
        <w:t>工业用水水质》（</w:t>
      </w:r>
      <w:r>
        <w:rPr>
          <w:rFonts w:ascii="Times New Roman" w:hAnsi="Times New Roman"/>
          <w:szCs w:val="24"/>
        </w:rPr>
        <w:t>GB/T 19923-2005</w:t>
      </w:r>
      <w:r>
        <w:rPr>
          <w:rFonts w:ascii="Times New Roman" w:hAnsi="Times New Roman"/>
          <w:szCs w:val="24"/>
        </w:rPr>
        <w:t>）敞开式循环冷却水系统补充水水质标准后，部分用于场地绿化、道路洒水，其余用于宁夏宝丰能源集团股份有限公司焦化厂熄焦，全部综合利用不外排。</w:t>
      </w:r>
    </w:p>
    <w:p w14:paraId="18B2C39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丁家梁煤矿设计生活污水排水量约</w:t>
      </w:r>
      <w:r>
        <w:rPr>
          <w:rFonts w:ascii="Times New Roman" w:hAnsi="Times New Roman"/>
          <w:szCs w:val="24"/>
        </w:rPr>
        <w:t>59.3m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w:t>
      </w:r>
      <w:r>
        <w:rPr>
          <w:rFonts w:ascii="Times New Roman" w:hAnsi="Times New Roman" w:hint="eastAsia"/>
          <w:szCs w:val="24"/>
        </w:rPr>
        <w:t>设计</w:t>
      </w:r>
      <w:r>
        <w:rPr>
          <w:rFonts w:ascii="Times New Roman" w:hAnsi="Times New Roman"/>
          <w:szCs w:val="24"/>
        </w:rPr>
        <w:t>在工业场地建生活污水处理站</w:t>
      </w:r>
      <w:r>
        <w:rPr>
          <w:rFonts w:ascii="Times New Roman" w:hAnsi="Times New Roman"/>
          <w:szCs w:val="24"/>
        </w:rPr>
        <w:t>1</w:t>
      </w:r>
      <w:r>
        <w:rPr>
          <w:rFonts w:ascii="Times New Roman" w:hAnsi="Times New Roman"/>
          <w:szCs w:val="24"/>
        </w:rPr>
        <w:t>座，对工业场地、选煤厂地生活污水进行处理，处理规模</w:t>
      </w:r>
      <w:r>
        <w:rPr>
          <w:rFonts w:ascii="Times New Roman" w:hAnsi="Times New Roman"/>
          <w:szCs w:val="24"/>
        </w:rPr>
        <w:t>100m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，应采用二级处理和深度处理回用，回用水质应达到《城市污水再生利用</w:t>
      </w:r>
      <w:r>
        <w:rPr>
          <w:rFonts w:ascii="Times New Roman" w:hAnsi="Times New Roman"/>
          <w:szCs w:val="24"/>
        </w:rPr>
        <w:t xml:space="preserve"> </w:t>
      </w:r>
      <w:r>
        <w:rPr>
          <w:rFonts w:ascii="Times New Roman" w:hAnsi="Times New Roman"/>
          <w:szCs w:val="24"/>
        </w:rPr>
        <w:t>城市杂用水水质》（</w:t>
      </w:r>
      <w:r>
        <w:rPr>
          <w:rFonts w:ascii="Times New Roman" w:hAnsi="Times New Roman"/>
          <w:szCs w:val="24"/>
        </w:rPr>
        <w:t>GB/T 18920</w:t>
      </w:r>
      <w:r>
        <w:rPr>
          <w:rFonts w:ascii="Times New Roman" w:hAnsi="Times New Roman"/>
          <w:szCs w:val="24"/>
        </w:rPr>
        <w:t>），用于工业场地绿化和道路洒扫。</w:t>
      </w:r>
    </w:p>
    <w:p w14:paraId="1D06F11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2</w:t>
      </w:r>
      <w:r>
        <w:rPr>
          <w:rFonts w:ascii="Times New Roman" w:hAnsi="Times New Roman"/>
          <w:szCs w:val="24"/>
        </w:rPr>
        <w:t>）矿井水</w:t>
      </w:r>
    </w:p>
    <w:p w14:paraId="2E5AF84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矿井水实质上是采煤过程中来自含煤地层和开采沉陷导水裂缝带导入地层的地下水，主要污染物悬浮物，在地面经处理后可以用作生产补充水。</w:t>
      </w:r>
    </w:p>
    <w:p w14:paraId="72F2E91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任家庄实际涌水量平均为</w:t>
      </w:r>
      <w:r>
        <w:rPr>
          <w:rFonts w:ascii="Times New Roman" w:hAnsi="Times New Roman"/>
          <w:szCs w:val="21"/>
        </w:rPr>
        <w:t>1790</w:t>
      </w:r>
      <w:r>
        <w:rPr>
          <w:rFonts w:ascii="Times New Roman" w:hAnsi="Times New Roman" w:hint="eastAsia"/>
          <w:szCs w:val="21"/>
        </w:rPr>
        <w:t>m</w:t>
      </w:r>
      <w:r>
        <w:rPr>
          <w:rFonts w:ascii="Times New Roman" w:hAnsi="Times New Roman"/>
          <w:snapToGrid w:val="0"/>
          <w:szCs w:val="21"/>
          <w:vertAlign w:val="superscript"/>
        </w:rPr>
        <w:t>3</w:t>
      </w:r>
      <w:r>
        <w:rPr>
          <w:rFonts w:ascii="Times New Roman" w:hAnsi="Times New Roman"/>
          <w:snapToGrid w:val="0"/>
          <w:szCs w:val="21"/>
        </w:rPr>
        <w:t>/d</w:t>
      </w:r>
      <w:r>
        <w:rPr>
          <w:rFonts w:ascii="Times New Roman" w:hAnsi="Times New Roman"/>
          <w:szCs w:val="24"/>
        </w:rPr>
        <w:t>，现有矿井涌水处理站</w:t>
      </w:r>
      <w:r>
        <w:rPr>
          <w:rFonts w:ascii="Times New Roman" w:hAnsi="Times New Roman"/>
          <w:szCs w:val="24"/>
        </w:rPr>
        <w:t xml:space="preserve"> 1 </w:t>
      </w:r>
      <w:r>
        <w:rPr>
          <w:rFonts w:ascii="Times New Roman" w:hAnsi="Times New Roman"/>
          <w:szCs w:val="24"/>
        </w:rPr>
        <w:t>座，规模为</w:t>
      </w:r>
      <w:r>
        <w:rPr>
          <w:rFonts w:ascii="Times New Roman" w:hAnsi="Times New Roman"/>
          <w:szCs w:val="24"/>
        </w:rPr>
        <w:t xml:space="preserve"> 8000m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w:t>
      </w:r>
      <w:r>
        <w:rPr>
          <w:rFonts w:ascii="Times New Roman" w:hAnsi="Times New Roman"/>
          <w:szCs w:val="24"/>
        </w:rPr>
        <w:t>400m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，工作时间</w:t>
      </w:r>
      <w:r>
        <w:rPr>
          <w:rFonts w:ascii="Times New Roman" w:hAnsi="Times New Roman"/>
          <w:szCs w:val="24"/>
        </w:rPr>
        <w:t>20h</w:t>
      </w:r>
      <w:r>
        <w:rPr>
          <w:rFonts w:ascii="Times New Roman" w:hAnsi="Times New Roman"/>
          <w:szCs w:val="24"/>
        </w:rPr>
        <w:t>），位于主工业场地，处理矿井涌水，处理工艺为</w:t>
      </w:r>
      <w:r>
        <w:rPr>
          <w:rFonts w:ascii="Times New Roman" w:hAnsi="Times New Roman"/>
          <w:szCs w:val="24"/>
        </w:rPr>
        <w:t>“</w:t>
      </w:r>
      <w:r>
        <w:rPr>
          <w:rFonts w:ascii="Times New Roman" w:hAnsi="Times New Roman"/>
          <w:szCs w:val="24"/>
        </w:rPr>
        <w:t>混凝沉淀</w:t>
      </w:r>
      <w:r>
        <w:rPr>
          <w:rFonts w:ascii="Times New Roman" w:hAnsi="Times New Roman"/>
          <w:szCs w:val="24"/>
        </w:rPr>
        <w:t>+</w:t>
      </w:r>
      <w:r>
        <w:rPr>
          <w:rFonts w:ascii="Times New Roman" w:hAnsi="Times New Roman"/>
          <w:szCs w:val="24"/>
        </w:rPr>
        <w:t>过滤</w:t>
      </w:r>
      <w:r>
        <w:rPr>
          <w:rFonts w:ascii="Times New Roman" w:hAnsi="Times New Roman"/>
          <w:szCs w:val="24"/>
        </w:rPr>
        <w:t>+</w:t>
      </w:r>
      <w:r>
        <w:rPr>
          <w:rFonts w:ascii="Times New Roman" w:hAnsi="Times New Roman"/>
          <w:szCs w:val="24"/>
        </w:rPr>
        <w:t>反渗透</w:t>
      </w:r>
      <w:r>
        <w:rPr>
          <w:rFonts w:ascii="Times New Roman" w:hAnsi="Times New Roman"/>
          <w:szCs w:val="24"/>
        </w:rPr>
        <w:t>+</w:t>
      </w:r>
      <w:r>
        <w:rPr>
          <w:rFonts w:ascii="Times New Roman" w:hAnsi="Times New Roman"/>
          <w:szCs w:val="24"/>
        </w:rPr>
        <w:t>消毒</w:t>
      </w:r>
      <w:r>
        <w:rPr>
          <w:rFonts w:ascii="Times New Roman" w:hAnsi="Times New Roman"/>
          <w:szCs w:val="24"/>
        </w:rPr>
        <w:t>”</w:t>
      </w:r>
      <w:r>
        <w:rPr>
          <w:rFonts w:ascii="Times New Roman" w:hAnsi="Times New Roman"/>
          <w:szCs w:val="24"/>
        </w:rPr>
        <w:t>。</w:t>
      </w:r>
      <w:r>
        <w:rPr>
          <w:rFonts w:ascii="Times New Roman" w:hAnsi="Times New Roman" w:hint="eastAsia"/>
          <w:sz w:val="21"/>
          <w:szCs w:val="21"/>
        </w:rPr>
        <w:t xml:space="preserve"> </w:t>
      </w:r>
      <w:r>
        <w:rPr>
          <w:rFonts w:ascii="Times New Roman" w:hAnsi="Times New Roman"/>
          <w:szCs w:val="24"/>
        </w:rPr>
        <w:t>矿井涌水经混凝沉淀处理后，部分回用于井下巷道降尘，储煤场及矸石场降尘、洗煤厂补充水，剩余部分经反渗适处理须到《城市污水再生利用工业用水质》</w:t>
      </w:r>
      <w:r>
        <w:rPr>
          <w:rFonts w:ascii="Times New Roman" w:hAnsi="Times New Roman"/>
          <w:szCs w:val="24"/>
        </w:rPr>
        <w:t>(GB/T1923205</w:t>
      </w:r>
      <w:r>
        <w:rPr>
          <w:rFonts w:ascii="Times New Roman" w:hAnsi="Times New Roman"/>
          <w:szCs w:val="24"/>
        </w:rPr>
        <w:t>后作为井下工作面采煤设备冷却水、生产、地面绿化等。全部回用不外排。</w:t>
      </w:r>
    </w:p>
    <w:p w14:paraId="6BE4435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红石湾矿井正常涌水量为</w:t>
      </w:r>
      <w:r>
        <w:rPr>
          <w:rFonts w:ascii="Times New Roman" w:hAnsi="Times New Roman" w:hint="eastAsia"/>
          <w:szCs w:val="24"/>
        </w:rPr>
        <w:t>2160</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w:t>
      </w:r>
      <w:r>
        <w:rPr>
          <w:rFonts w:ascii="Times New Roman" w:hAnsi="Times New Roman" w:hint="eastAsia"/>
          <w:szCs w:val="24"/>
        </w:rPr>
        <w:t>90</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），矿井工业场地现有矿井水处理</w:t>
      </w:r>
      <w:r>
        <w:rPr>
          <w:rFonts w:ascii="Times New Roman" w:hAnsi="Times New Roman" w:hint="eastAsia"/>
          <w:szCs w:val="24"/>
        </w:rPr>
        <w:t>设施</w:t>
      </w:r>
      <w:r>
        <w:rPr>
          <w:rFonts w:ascii="Times New Roman" w:hAnsi="Times New Roman" w:hint="eastAsia"/>
          <w:szCs w:val="24"/>
        </w:rPr>
        <w:t>2</w:t>
      </w:r>
      <w:r>
        <w:rPr>
          <w:rFonts w:ascii="Times New Roman" w:hAnsi="Times New Roman" w:hint="eastAsia"/>
          <w:szCs w:val="24"/>
        </w:rPr>
        <w:t>套</w:t>
      </w:r>
      <w:r>
        <w:rPr>
          <w:rFonts w:ascii="Times New Roman" w:hAnsi="Times New Roman"/>
          <w:szCs w:val="24"/>
        </w:rPr>
        <w:t>，处理能力</w:t>
      </w:r>
      <w:r>
        <w:rPr>
          <w:rFonts w:ascii="Times New Roman" w:hAnsi="Times New Roman" w:hint="eastAsia"/>
          <w:szCs w:val="24"/>
        </w:rPr>
        <w:t>均</w:t>
      </w:r>
      <w:r>
        <w:rPr>
          <w:rFonts w:ascii="Times New Roman" w:hAnsi="Times New Roman"/>
          <w:szCs w:val="24"/>
        </w:rPr>
        <w:t>为</w:t>
      </w:r>
      <w:r>
        <w:rPr>
          <w:rFonts w:ascii="Times New Roman" w:hAnsi="Times New Roman" w:hint="eastAsia"/>
          <w:szCs w:val="24"/>
        </w:rPr>
        <w:t>3500</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。经改造后的矿井水处理站采用</w:t>
      </w:r>
      <w:r>
        <w:rPr>
          <w:rFonts w:ascii="Times New Roman" w:hAnsi="Times New Roman"/>
          <w:szCs w:val="24"/>
        </w:rPr>
        <w:t>“</w:t>
      </w:r>
      <w:r>
        <w:rPr>
          <w:rFonts w:ascii="Times New Roman" w:hAnsi="Times New Roman"/>
          <w:szCs w:val="24"/>
        </w:rPr>
        <w:t>混凝</w:t>
      </w:r>
      <w:r>
        <w:rPr>
          <w:rFonts w:ascii="Times New Roman" w:hAnsi="Times New Roman"/>
          <w:szCs w:val="24"/>
        </w:rPr>
        <w:t>+</w:t>
      </w:r>
      <w:r>
        <w:rPr>
          <w:rFonts w:ascii="Times New Roman" w:hAnsi="Times New Roman"/>
          <w:szCs w:val="24"/>
        </w:rPr>
        <w:t>沉淀</w:t>
      </w:r>
      <w:r>
        <w:rPr>
          <w:rFonts w:ascii="Times New Roman" w:hAnsi="Times New Roman"/>
          <w:szCs w:val="24"/>
        </w:rPr>
        <w:t>”</w:t>
      </w:r>
      <w:r>
        <w:rPr>
          <w:rFonts w:ascii="Times New Roman" w:hAnsi="Times New Roman"/>
          <w:szCs w:val="24"/>
        </w:rPr>
        <w:t>处理工艺进行处理后，达到《煤炭工业污染物排放标准》（</w:t>
      </w:r>
      <w:r>
        <w:rPr>
          <w:rFonts w:ascii="Times New Roman" w:hAnsi="Times New Roman"/>
          <w:szCs w:val="24"/>
        </w:rPr>
        <w:t>GB20426-2006</w:t>
      </w:r>
      <w:r>
        <w:rPr>
          <w:rFonts w:ascii="Times New Roman" w:hAnsi="Times New Roman"/>
          <w:szCs w:val="24"/>
        </w:rPr>
        <w:t>）标准后全部用于地面及井下生产、洒水抑尘</w:t>
      </w:r>
      <w:r>
        <w:rPr>
          <w:rFonts w:ascii="Times New Roman" w:hAnsi="Times New Roman" w:hint="eastAsia"/>
          <w:szCs w:val="24"/>
        </w:rPr>
        <w:t>、黄泥灌浆用水</w:t>
      </w:r>
      <w:r>
        <w:rPr>
          <w:rFonts w:ascii="Times New Roman" w:hAnsi="Times New Roman"/>
          <w:szCs w:val="24"/>
        </w:rPr>
        <w:t>等。矿井水全部进行综合利用不外排。</w:t>
      </w:r>
    </w:p>
    <w:p w14:paraId="2EF908F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马莲台矿井水产生量为</w:t>
      </w:r>
      <w:r>
        <w:rPr>
          <w:rFonts w:ascii="Times New Roman" w:hAnsi="Times New Roman" w:hint="eastAsia"/>
          <w:szCs w:val="21"/>
        </w:rPr>
        <w:t>2561m</w:t>
      </w:r>
      <w:r>
        <w:rPr>
          <w:rFonts w:ascii="Times New Roman" w:hAnsi="Times New Roman"/>
          <w:snapToGrid w:val="0"/>
          <w:szCs w:val="21"/>
          <w:vertAlign w:val="superscript"/>
        </w:rPr>
        <w:t>3</w:t>
      </w:r>
      <w:r>
        <w:rPr>
          <w:rFonts w:ascii="Times New Roman" w:hAnsi="Times New Roman"/>
          <w:snapToGrid w:val="0"/>
          <w:szCs w:val="21"/>
        </w:rPr>
        <w:t>/d</w:t>
      </w:r>
      <w:r>
        <w:rPr>
          <w:rFonts w:ascii="Times New Roman" w:hAnsi="Times New Roman" w:hint="eastAsia"/>
          <w:szCs w:val="24"/>
        </w:rPr>
        <w:t>，</w:t>
      </w:r>
      <w:r>
        <w:rPr>
          <w:rFonts w:ascii="Times New Roman" w:hAnsi="Times New Roman"/>
          <w:szCs w:val="24"/>
        </w:rPr>
        <w:t>矿井水经宁夏宝丰能源集团股份有限公司选煤厂沉淀池处理后用于选煤厂洗煤</w:t>
      </w:r>
      <w:r>
        <w:rPr>
          <w:rFonts w:ascii="Times New Roman" w:hAnsi="Times New Roman" w:hint="eastAsia"/>
          <w:szCs w:val="24"/>
        </w:rPr>
        <w:t>。</w:t>
      </w:r>
      <w:r>
        <w:rPr>
          <w:rFonts w:ascii="Times New Roman" w:hAnsi="Times New Roman"/>
          <w:szCs w:val="24"/>
        </w:rPr>
        <w:t>全部回用不外排。</w:t>
      </w:r>
    </w:p>
    <w:p w14:paraId="22D914B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丁家梁矿井水排水量约</w:t>
      </w:r>
      <w:r>
        <w:rPr>
          <w:rFonts w:ascii="Times New Roman" w:hAnsi="Times New Roman"/>
          <w:szCs w:val="24"/>
        </w:rPr>
        <w:t>6504m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w:t>
      </w:r>
      <w:r>
        <w:rPr>
          <w:rFonts w:ascii="Times New Roman" w:hAnsi="Times New Roman" w:hint="eastAsia"/>
          <w:szCs w:val="24"/>
        </w:rPr>
        <w:t>设计</w:t>
      </w:r>
      <w:r>
        <w:rPr>
          <w:rFonts w:ascii="Times New Roman" w:hAnsi="Times New Roman"/>
          <w:szCs w:val="24"/>
        </w:rPr>
        <w:t>丁家梁设矿井水处理站</w:t>
      </w:r>
      <w:r>
        <w:rPr>
          <w:rFonts w:ascii="Times New Roman" w:hAnsi="Times New Roman"/>
          <w:szCs w:val="24"/>
        </w:rPr>
        <w:t>1</w:t>
      </w:r>
      <w:r>
        <w:rPr>
          <w:rFonts w:ascii="Times New Roman" w:hAnsi="Times New Roman"/>
          <w:szCs w:val="24"/>
        </w:rPr>
        <w:t>座，处理规模</w:t>
      </w:r>
      <w:r>
        <w:rPr>
          <w:rFonts w:ascii="Times New Roman" w:hAnsi="Times New Roman"/>
          <w:szCs w:val="24"/>
        </w:rPr>
        <w:t>8000m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，采用混凝、沉淀、过滤、脱盐、消毒等处理工艺处理后回用，根据回用场所达到相应的水质标准，处理后水回用于矿井井下消防洒水，浓盐水回用于黄泥灌浆，多余水达到</w:t>
      </w:r>
      <w:r>
        <w:rPr>
          <w:rFonts w:ascii="Times New Roman" w:hAnsi="Times New Roman" w:hint="eastAsia"/>
          <w:szCs w:val="24"/>
        </w:rPr>
        <w:t>工业园区要求的回用水水质标准后</w:t>
      </w:r>
      <w:r>
        <w:rPr>
          <w:rFonts w:ascii="Times New Roman" w:hAnsi="Times New Roman"/>
          <w:szCs w:val="24"/>
        </w:rPr>
        <w:t>，就近送至临河综合工业园区和宁东煤化工园区工业废水处理厂进行处理后回用园区作为生产用水等全部综合利用</w:t>
      </w:r>
      <w:r>
        <w:rPr>
          <w:rFonts w:ascii="Times New Roman" w:hAnsi="Times New Roman" w:hint="eastAsia"/>
          <w:szCs w:val="24"/>
        </w:rPr>
        <w:t>，</w:t>
      </w:r>
      <w:r>
        <w:rPr>
          <w:rFonts w:ascii="Times New Roman" w:hAnsi="Times New Roman"/>
          <w:szCs w:val="24"/>
        </w:rPr>
        <w:t>不外排。</w:t>
      </w:r>
    </w:p>
    <w:p w14:paraId="7CFD74EB"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bCs/>
          <w:szCs w:val="24"/>
        </w:rPr>
        <w:t>3</w:t>
      </w:r>
      <w:r>
        <w:rPr>
          <w:rFonts w:ascii="Times New Roman" w:hAnsi="Times New Roman"/>
          <w:bCs/>
          <w:szCs w:val="24"/>
        </w:rPr>
        <w:t>）煤泥水</w:t>
      </w:r>
    </w:p>
    <w:p w14:paraId="227B488B" w14:textId="77777777" w:rsidR="009C353B" w:rsidRDefault="00000000">
      <w:pPr>
        <w:adjustRightInd w:val="0"/>
        <w:snapToGrid w:val="0"/>
        <w:spacing w:line="440" w:lineRule="exact"/>
        <w:ind w:firstLine="482"/>
        <w:rPr>
          <w:rFonts w:ascii="Times New Roman" w:hAnsi="Times New Roman"/>
          <w:bCs/>
          <w:szCs w:val="24"/>
        </w:rPr>
      </w:pPr>
      <w:r>
        <w:rPr>
          <w:rFonts w:ascii="Times New Roman" w:hAnsi="Times New Roman"/>
          <w:bCs/>
          <w:szCs w:val="24"/>
        </w:rPr>
        <w:t>煤泥水主要来自各矿井选煤厂经加压过滤产生。选煤厂煤泥水水质差，悬浮物和</w:t>
      </w:r>
      <w:r>
        <w:rPr>
          <w:rFonts w:ascii="Times New Roman" w:hAnsi="Times New Roman"/>
          <w:bCs/>
          <w:szCs w:val="24"/>
        </w:rPr>
        <w:t>COD</w:t>
      </w:r>
      <w:r>
        <w:rPr>
          <w:rFonts w:ascii="Times New Roman" w:hAnsi="Times New Roman"/>
          <w:bCs/>
          <w:szCs w:val="24"/>
        </w:rPr>
        <w:t>含量高，如果排放对外环境影响很大，但由于环保要求的日趋严格以及选煤厂煤泥水处理技术的成熟，选煤厂煤泥水完全可以做到闭路循环。在生产过程中产生的细粒煤泥水进入工作浓缩池，经沉淀后浓缩池底流加压至压滤机回收；浓缩池上清液排入循环水池，加压至主厂房重复使用，实现闭路循环，不外排。为防止事故状态下外排，选煤厂应设立事故浓缩池，事故浓缩池与最大的一座工作浓缩池相同。</w:t>
      </w:r>
    </w:p>
    <w:p w14:paraId="6E9AC8FF"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bCs/>
          <w:szCs w:val="24"/>
        </w:rPr>
        <w:t>（</w:t>
      </w:r>
      <w:r>
        <w:rPr>
          <w:rFonts w:ascii="Times New Roman" w:hAnsi="Times New Roman"/>
          <w:bCs/>
          <w:szCs w:val="24"/>
        </w:rPr>
        <w:t>3</w:t>
      </w:r>
      <w:r>
        <w:rPr>
          <w:rFonts w:ascii="Times New Roman" w:hAnsi="Times New Roman"/>
          <w:bCs/>
          <w:szCs w:val="24"/>
        </w:rPr>
        <w:t>）地表水环境影响分析</w:t>
      </w:r>
    </w:p>
    <w:p w14:paraId="431DC9E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矿区会产生一定量的生产生活污废水</w:t>
      </w:r>
      <w:r>
        <w:rPr>
          <w:rFonts w:ascii="Times New Roman" w:hAnsi="Times New Roman" w:hint="eastAsia"/>
          <w:szCs w:val="24"/>
        </w:rPr>
        <w:t>，</w:t>
      </w:r>
      <w:r>
        <w:rPr>
          <w:rFonts w:ascii="Times New Roman" w:hAnsi="Times New Roman"/>
          <w:szCs w:val="24"/>
        </w:rPr>
        <w:t>由于矿区临近工业园区</w:t>
      </w:r>
      <w:r>
        <w:rPr>
          <w:rFonts w:ascii="Times New Roman" w:hAnsi="Times New Roman" w:hint="eastAsia"/>
          <w:szCs w:val="24"/>
        </w:rPr>
        <w:t>，在各矿对生产生活污废水进行综合利用后，若有剩余，全部就近送至园区作为生产用水等全部综合利用，不外排。因此，</w:t>
      </w:r>
      <w:r>
        <w:rPr>
          <w:rFonts w:ascii="Times New Roman" w:hAnsi="Times New Roman"/>
          <w:szCs w:val="24"/>
        </w:rPr>
        <w:t>矿区生产生活污废水可做到全部综合利用，不会对地表水产生不利影响。</w:t>
      </w:r>
    </w:p>
    <w:p w14:paraId="68D8B3DB" w14:textId="77777777" w:rsidR="009C353B" w:rsidRDefault="00000000">
      <w:pPr>
        <w:keepNext/>
        <w:keepLines/>
        <w:adjustRightInd w:val="0"/>
        <w:snapToGrid w:val="0"/>
        <w:spacing w:line="440" w:lineRule="exact"/>
        <w:outlineLvl w:val="2"/>
        <w:rPr>
          <w:rFonts w:ascii="Times New Roman" w:hAnsi="Times New Roman"/>
          <w:b/>
        </w:rPr>
      </w:pPr>
      <w:r>
        <w:rPr>
          <w:rFonts w:ascii="Times New Roman" w:hAnsi="Times New Roman"/>
          <w:b/>
        </w:rPr>
        <w:t xml:space="preserve">6.3.2 </w:t>
      </w:r>
      <w:r>
        <w:rPr>
          <w:rFonts w:ascii="Times New Roman"/>
          <w:b/>
        </w:rPr>
        <w:t>地下水影响评价</w:t>
      </w:r>
    </w:p>
    <w:p w14:paraId="5C78D730" w14:textId="77777777" w:rsidR="009C353B" w:rsidRDefault="00000000">
      <w:pPr>
        <w:adjustRightInd w:val="0"/>
        <w:snapToGrid w:val="0"/>
        <w:spacing w:line="440" w:lineRule="exact"/>
        <w:outlineLvl w:val="3"/>
        <w:rPr>
          <w:rFonts w:ascii="Times New Roman" w:hAnsi="Times New Roman"/>
          <w:b/>
          <w:szCs w:val="24"/>
        </w:rPr>
      </w:pPr>
      <w:bookmarkStart w:id="239" w:name="_Hlk44920742"/>
      <w:r>
        <w:rPr>
          <w:rFonts w:ascii="Times New Roman" w:hAnsi="Times New Roman"/>
          <w:b/>
          <w:szCs w:val="24"/>
        </w:rPr>
        <w:t>6.3.2.1</w:t>
      </w:r>
      <w:bookmarkEnd w:id="239"/>
      <w:r>
        <w:rPr>
          <w:rFonts w:ascii="Times New Roman" w:hAnsi="Times New Roman"/>
          <w:b/>
          <w:szCs w:val="24"/>
        </w:rPr>
        <w:t xml:space="preserve"> </w:t>
      </w:r>
      <w:r>
        <w:rPr>
          <w:rFonts w:ascii="Times New Roman" w:hAnsi="Times New Roman"/>
          <w:b/>
          <w:szCs w:val="24"/>
        </w:rPr>
        <w:t>区域</w:t>
      </w:r>
      <w:r>
        <w:rPr>
          <w:rFonts w:ascii="Times New Roman" w:hAnsi="Times New Roman" w:hint="eastAsia"/>
          <w:b/>
          <w:szCs w:val="24"/>
        </w:rPr>
        <w:t>水文</w:t>
      </w:r>
      <w:r>
        <w:rPr>
          <w:rFonts w:ascii="Times New Roman" w:hAnsi="Times New Roman"/>
          <w:b/>
          <w:szCs w:val="24"/>
        </w:rPr>
        <w:t>地质概况</w:t>
      </w:r>
    </w:p>
    <w:p w14:paraId="22E4253B" w14:textId="77777777" w:rsidR="009C353B" w:rsidRDefault="00000000">
      <w:pPr>
        <w:adjustRightInd w:val="0"/>
        <w:snapToGrid w:val="0"/>
        <w:spacing w:line="440" w:lineRule="exact"/>
        <w:outlineLvl w:val="4"/>
        <w:rPr>
          <w:rFonts w:ascii="Times New Roman" w:hAnsi="Times New Roman"/>
          <w:b/>
          <w:szCs w:val="24"/>
        </w:rPr>
      </w:pPr>
      <w:r>
        <w:rPr>
          <w:rFonts w:ascii="Times New Roman" w:hAnsi="Times New Roman"/>
          <w:b/>
          <w:szCs w:val="24"/>
        </w:rPr>
        <w:t xml:space="preserve">6.3.2.1.1 </w:t>
      </w:r>
      <w:r>
        <w:rPr>
          <w:rFonts w:ascii="Times New Roman" w:hAnsi="Times New Roman"/>
          <w:b/>
          <w:szCs w:val="24"/>
        </w:rPr>
        <w:t>区域地下水系统</w:t>
      </w:r>
    </w:p>
    <w:p w14:paraId="25750547"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bCs/>
          <w:szCs w:val="24"/>
        </w:rPr>
        <w:t>鄂尔多斯盆地是一个复杂且十分巨大的地下水盆地。赋存有碳酸盐岩类岩溶地下水、石炭系</w:t>
      </w:r>
      <w:r>
        <w:rPr>
          <w:rFonts w:ascii="Times New Roman" w:hAnsi="Times New Roman"/>
          <w:bCs/>
          <w:szCs w:val="24"/>
        </w:rPr>
        <w:t>-</w:t>
      </w:r>
      <w:r>
        <w:rPr>
          <w:rFonts w:ascii="Times New Roman" w:hAnsi="Times New Roman"/>
          <w:bCs/>
          <w:szCs w:val="24"/>
        </w:rPr>
        <w:t>侏罗系碎屑岩类裂隙孔隙水、白垩系孔隙裂隙地下水，以及新生界孔隙地下水等。其赋存规律、埋藏条件、分布范围及循环条件等各有差异，并构成相对独立的地下水循环系统。根据地层岩性、含水介质、富水性及含水特性，将鄂尔多斯盆地划分为三大含水层系统，即寒武系</w:t>
      </w:r>
      <w:r>
        <w:rPr>
          <w:rFonts w:ascii="Times New Roman" w:hAnsi="Times New Roman"/>
          <w:bCs/>
          <w:szCs w:val="24"/>
        </w:rPr>
        <w:t>-</w:t>
      </w:r>
      <w:r>
        <w:rPr>
          <w:rFonts w:ascii="Times New Roman" w:hAnsi="Times New Roman"/>
          <w:bCs/>
          <w:szCs w:val="24"/>
        </w:rPr>
        <w:t>奥陶系碳酸盐岩类岩溶含水层系统、白垩系碎屑岩类孔隙裂隙含水层系统、石炭系</w:t>
      </w:r>
      <w:r>
        <w:rPr>
          <w:rFonts w:ascii="Times New Roman" w:hAnsi="Times New Roman"/>
          <w:bCs/>
          <w:szCs w:val="24"/>
        </w:rPr>
        <w:t>-</w:t>
      </w:r>
      <w:r>
        <w:rPr>
          <w:rFonts w:ascii="Times New Roman" w:hAnsi="Times New Roman"/>
          <w:bCs/>
          <w:szCs w:val="24"/>
        </w:rPr>
        <w:t>侏罗系碎屑岩类裂隙孔隙与上覆松散层孔隙含水层系统。</w:t>
      </w:r>
      <w:r>
        <w:rPr>
          <w:rFonts w:ascii="Times New Roman" w:hAnsi="Times New Roman" w:hint="eastAsia"/>
          <w:bCs/>
          <w:szCs w:val="24"/>
        </w:rPr>
        <w:t>区域水文地质图见图</w:t>
      </w:r>
      <w:r>
        <w:rPr>
          <w:rFonts w:ascii="Times New Roman" w:hAnsi="Times New Roman"/>
          <w:bCs/>
          <w:szCs w:val="24"/>
        </w:rPr>
        <w:t>6.3-</w:t>
      </w:r>
      <w:r>
        <w:rPr>
          <w:rFonts w:ascii="Times New Roman" w:hAnsi="Times New Roman" w:hint="eastAsia"/>
          <w:bCs/>
          <w:szCs w:val="24"/>
        </w:rPr>
        <w:t>1</w:t>
      </w:r>
      <w:r>
        <w:rPr>
          <w:rFonts w:ascii="Times New Roman" w:hAnsi="Times New Roman" w:hint="eastAsia"/>
          <w:bCs/>
          <w:szCs w:val="24"/>
        </w:rPr>
        <w:t>（注：引自“鄂尔多斯盆地水文地质图编制服务国家能源基地规划建设”）。</w:t>
      </w:r>
    </w:p>
    <w:p w14:paraId="15583B27"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bCs/>
          <w:szCs w:val="24"/>
        </w:rPr>
        <w:t>横城矿区位于石炭系</w:t>
      </w:r>
      <w:r>
        <w:rPr>
          <w:rFonts w:ascii="Times New Roman" w:hAnsi="Times New Roman"/>
          <w:bCs/>
          <w:szCs w:val="24"/>
        </w:rPr>
        <w:t>~</w:t>
      </w:r>
      <w:r>
        <w:rPr>
          <w:rFonts w:ascii="Times New Roman" w:hAnsi="Times New Roman"/>
          <w:bCs/>
          <w:szCs w:val="24"/>
        </w:rPr>
        <w:t>侏罗系碎屑岩类裂隙孔隙含水层系统，该含水层系统划分为都思兔河</w:t>
      </w:r>
      <w:r>
        <w:rPr>
          <w:rFonts w:ascii="Times New Roman" w:hAnsi="Times New Roman"/>
          <w:bCs/>
          <w:szCs w:val="24"/>
        </w:rPr>
        <w:t>—</w:t>
      </w:r>
      <w:r>
        <w:rPr>
          <w:rFonts w:ascii="Times New Roman" w:hAnsi="Times New Roman"/>
          <w:bCs/>
          <w:szCs w:val="24"/>
        </w:rPr>
        <w:t>盐池、洛河</w:t>
      </w:r>
      <w:r>
        <w:rPr>
          <w:rFonts w:ascii="Times New Roman" w:hAnsi="Times New Roman"/>
          <w:bCs/>
          <w:szCs w:val="24"/>
        </w:rPr>
        <w:t>—</w:t>
      </w:r>
      <w:r>
        <w:rPr>
          <w:rFonts w:ascii="Times New Roman" w:hAnsi="Times New Roman"/>
          <w:bCs/>
          <w:szCs w:val="24"/>
        </w:rPr>
        <w:t>延河、泾河</w:t>
      </w:r>
      <w:r>
        <w:rPr>
          <w:rFonts w:ascii="Times New Roman" w:hAnsi="Times New Roman"/>
          <w:bCs/>
          <w:szCs w:val="24"/>
        </w:rPr>
        <w:t>—</w:t>
      </w:r>
      <w:r>
        <w:rPr>
          <w:rFonts w:ascii="Times New Roman" w:hAnsi="Times New Roman"/>
          <w:bCs/>
          <w:szCs w:val="24"/>
        </w:rPr>
        <w:t>马莲河、兰木伦河</w:t>
      </w:r>
      <w:r>
        <w:rPr>
          <w:rFonts w:ascii="Times New Roman" w:hAnsi="Times New Roman"/>
          <w:bCs/>
          <w:szCs w:val="24"/>
        </w:rPr>
        <w:t>—</w:t>
      </w:r>
      <w:r>
        <w:rPr>
          <w:rFonts w:ascii="Times New Roman" w:hAnsi="Times New Roman"/>
          <w:bCs/>
          <w:szCs w:val="24"/>
        </w:rPr>
        <w:t>无定河、摩林河</w:t>
      </w:r>
      <w:r>
        <w:rPr>
          <w:rFonts w:ascii="Times New Roman" w:hAnsi="Times New Roman"/>
          <w:bCs/>
          <w:szCs w:val="24"/>
        </w:rPr>
        <w:t>—</w:t>
      </w:r>
      <w:r>
        <w:rPr>
          <w:rFonts w:ascii="Times New Roman" w:hAnsi="Times New Roman"/>
          <w:bCs/>
          <w:szCs w:val="24"/>
        </w:rPr>
        <w:t>沿海子等五个相互独立的地下水系统。其中，丁家梁煤矿位处中西部的都思兔河</w:t>
      </w:r>
      <w:r>
        <w:rPr>
          <w:rFonts w:ascii="Times New Roman" w:hAnsi="Times New Roman"/>
          <w:bCs/>
          <w:szCs w:val="24"/>
        </w:rPr>
        <w:t>—</w:t>
      </w:r>
      <w:r>
        <w:rPr>
          <w:rFonts w:ascii="Times New Roman" w:hAnsi="Times New Roman"/>
          <w:bCs/>
          <w:szCs w:val="24"/>
        </w:rPr>
        <w:t>盐池地下水系统。</w:t>
      </w:r>
    </w:p>
    <w:p w14:paraId="74E21025"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bCs/>
          <w:szCs w:val="24"/>
        </w:rPr>
        <w:t>都思兔河</w:t>
      </w:r>
      <w:r>
        <w:rPr>
          <w:rFonts w:ascii="Times New Roman" w:hAnsi="Times New Roman"/>
          <w:bCs/>
          <w:szCs w:val="24"/>
        </w:rPr>
        <w:t>—</w:t>
      </w:r>
      <w:r>
        <w:rPr>
          <w:rFonts w:ascii="Times New Roman" w:hAnsi="Times New Roman"/>
          <w:bCs/>
          <w:szCs w:val="24"/>
        </w:rPr>
        <w:t>盐池地下水系统南至定边县以南地表水分水岭，北至鄂托克旗以北地表水分水岭，东以鄂托克前旗以东地表水分水岭为界，西抵银川市至吴忠市一线为界。面积约</w:t>
      </w:r>
      <w:r>
        <w:rPr>
          <w:rFonts w:ascii="Times New Roman" w:hAnsi="Times New Roman"/>
          <w:bCs/>
          <w:szCs w:val="24"/>
        </w:rPr>
        <w:t>200km</w:t>
      </w:r>
      <w:r>
        <w:rPr>
          <w:rFonts w:ascii="Times New Roman" w:hAnsi="Times New Roman"/>
          <w:bCs/>
          <w:szCs w:val="24"/>
          <w:vertAlign w:val="superscript"/>
        </w:rPr>
        <w:t>2</w:t>
      </w:r>
      <w:r>
        <w:rPr>
          <w:rFonts w:ascii="Times New Roman" w:hAnsi="Times New Roman"/>
          <w:bCs/>
          <w:szCs w:val="24"/>
        </w:rPr>
        <w:t>左右。</w:t>
      </w:r>
    </w:p>
    <w:p w14:paraId="1F925880"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bCs/>
          <w:szCs w:val="24"/>
        </w:rPr>
        <w:t>区域裂隙孔隙地下水系统边界性质及划分</w:t>
      </w:r>
      <w:r>
        <w:rPr>
          <w:rFonts w:ascii="Times New Roman" w:hAnsi="Times New Roman" w:hint="eastAsia"/>
          <w:bCs/>
          <w:szCs w:val="24"/>
        </w:rPr>
        <w:t>，</w:t>
      </w:r>
      <w:r>
        <w:rPr>
          <w:rFonts w:ascii="Times New Roman" w:hAnsi="Times New Roman"/>
          <w:bCs/>
          <w:szCs w:val="24"/>
        </w:rPr>
        <w:t>鉴于区域内可供参照的直观资料有限，故仅作概略简述于后：</w:t>
      </w:r>
    </w:p>
    <w:p w14:paraId="4C59E01F"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hint="eastAsia"/>
          <w:bCs/>
          <w:szCs w:val="24"/>
        </w:rPr>
        <w:t>（</w:t>
      </w:r>
      <w:r>
        <w:rPr>
          <w:rFonts w:ascii="Times New Roman" w:hAnsi="Times New Roman" w:hint="eastAsia"/>
          <w:bCs/>
          <w:szCs w:val="24"/>
        </w:rPr>
        <w:t>1</w:t>
      </w:r>
      <w:r>
        <w:rPr>
          <w:rFonts w:ascii="Times New Roman" w:hAnsi="Times New Roman" w:hint="eastAsia"/>
          <w:bCs/>
          <w:szCs w:val="24"/>
        </w:rPr>
        <w:t>）</w:t>
      </w:r>
      <w:r>
        <w:rPr>
          <w:rFonts w:ascii="Times New Roman" w:hAnsi="Times New Roman"/>
          <w:bCs/>
          <w:szCs w:val="24"/>
        </w:rPr>
        <w:t>南部边界为地层相对阻水边界</w:t>
      </w:r>
    </w:p>
    <w:p w14:paraId="2EF7D2E4"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bCs/>
          <w:szCs w:val="24"/>
        </w:rPr>
        <w:t>该边界是以定边县之南地表水分水岭，即相邻的泾河</w:t>
      </w:r>
      <w:r>
        <w:rPr>
          <w:rFonts w:ascii="Times New Roman" w:hAnsi="Times New Roman"/>
          <w:bCs/>
          <w:szCs w:val="24"/>
        </w:rPr>
        <w:t>—</w:t>
      </w:r>
      <w:r>
        <w:rPr>
          <w:rFonts w:ascii="Times New Roman" w:hAnsi="Times New Roman"/>
          <w:bCs/>
          <w:szCs w:val="24"/>
        </w:rPr>
        <w:t>马莲河地下水系统的北边界为界，构成了地表水一级分水岭也同为地下水分水岭的相对阻水边界。</w:t>
      </w:r>
    </w:p>
    <w:p w14:paraId="74622F32"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bCs/>
          <w:szCs w:val="24"/>
        </w:rPr>
        <w:t>（</w:t>
      </w:r>
      <w:r>
        <w:rPr>
          <w:rFonts w:ascii="Times New Roman" w:hAnsi="Times New Roman"/>
          <w:bCs/>
          <w:szCs w:val="24"/>
        </w:rPr>
        <w:t>2</w:t>
      </w:r>
      <w:r>
        <w:rPr>
          <w:rFonts w:ascii="Times New Roman" w:hAnsi="Times New Roman"/>
          <w:bCs/>
          <w:szCs w:val="24"/>
        </w:rPr>
        <w:t>）北部边界为地层相对阻水边界</w:t>
      </w:r>
    </w:p>
    <w:p w14:paraId="75B97E1B"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bCs/>
          <w:szCs w:val="24"/>
        </w:rPr>
        <w:t>该边界是以鄂托克旗以北地表水分水岭，即摩林河</w:t>
      </w:r>
      <w:r>
        <w:rPr>
          <w:rFonts w:ascii="Times New Roman" w:hAnsi="Times New Roman"/>
          <w:bCs/>
          <w:szCs w:val="24"/>
        </w:rPr>
        <w:t>—</w:t>
      </w:r>
      <w:r>
        <w:rPr>
          <w:rFonts w:ascii="Times New Roman" w:hAnsi="Times New Roman"/>
          <w:bCs/>
          <w:szCs w:val="24"/>
        </w:rPr>
        <w:t>盐海子地下水系统的南边界为界，构成了地表水一级分水岭也同为地下水分水岭的相对边界</w:t>
      </w:r>
    </w:p>
    <w:p w14:paraId="6827D634"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bCs/>
          <w:szCs w:val="24"/>
        </w:rPr>
        <w:t>（</w:t>
      </w:r>
      <w:r>
        <w:rPr>
          <w:rFonts w:ascii="Times New Roman" w:hAnsi="Times New Roman"/>
          <w:bCs/>
          <w:szCs w:val="24"/>
        </w:rPr>
        <w:t>3</w:t>
      </w:r>
      <w:r>
        <w:rPr>
          <w:rFonts w:ascii="Times New Roman" w:hAnsi="Times New Roman"/>
          <w:bCs/>
          <w:szCs w:val="24"/>
        </w:rPr>
        <w:t>）东边界为地层相对阻水边界</w:t>
      </w:r>
    </w:p>
    <w:p w14:paraId="5B51879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bCs/>
          <w:szCs w:val="24"/>
        </w:rPr>
        <w:t>该边界是以额托克前旗以东地表水分水岭，即乌兰木伦河</w:t>
      </w:r>
      <w:r>
        <w:rPr>
          <w:rFonts w:ascii="Times New Roman" w:hAnsi="Times New Roman"/>
          <w:bCs/>
          <w:szCs w:val="24"/>
        </w:rPr>
        <w:t>—</w:t>
      </w:r>
      <w:r>
        <w:rPr>
          <w:rFonts w:ascii="Times New Roman" w:hAnsi="Times New Roman"/>
          <w:bCs/>
          <w:szCs w:val="24"/>
        </w:rPr>
        <w:t>无定河地下水系统的西边界为界，构成地下水一级分水岭也同为地下水分水岭的相对阻水边界。</w:t>
      </w:r>
    </w:p>
    <w:p w14:paraId="61CBB1F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4</w:t>
      </w:r>
      <w:r>
        <w:rPr>
          <w:rFonts w:ascii="Times New Roman" w:hAnsi="Times New Roman"/>
          <w:szCs w:val="24"/>
        </w:rPr>
        <w:t>）西边界为局部透水排泄边界</w:t>
      </w:r>
    </w:p>
    <w:p w14:paraId="5E77A2E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该边界中部一带地势相对较低，有利于自南、北两方向流来的地下水于此汇集，并越过西边界向地势更低的黄河方向排泄，从而形成了局部透水排泄边界。</w:t>
      </w:r>
    </w:p>
    <w:p w14:paraId="2EB16504"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横城矿区地处鄂尔多斯盆地西缘，在构造上位于横山堡褶皱群上。地表波状起伏，地貌上为沙漠与草地的过渡带，在地理景观上表现为低山、黄土丘陵地貌，现代沙丘、沙梁及第四系松散沉积物广布，地下水的形成与分布受地质、地形地貌、构造、气象等因素的综合控制，水文地质区划属陶灵盐台地地下水系统（</w:t>
      </w:r>
      <w:r>
        <w:rPr>
          <w:rFonts w:ascii="Times New Roman" w:hAnsi="Times New Roman"/>
          <w:szCs w:val="24"/>
        </w:rPr>
        <w:t>Ⅲ</w:t>
      </w:r>
      <w:r>
        <w:rPr>
          <w:rFonts w:ascii="Times New Roman" w:hAnsi="Times New Roman"/>
          <w:szCs w:val="24"/>
        </w:rPr>
        <w:t>），本区属干旱半干旱大陆性季风气候，降水稀少、蒸发强烈、风大沙多。年降水量</w:t>
      </w:r>
      <w:r>
        <w:rPr>
          <w:rFonts w:ascii="Times New Roman" w:hAnsi="Times New Roman"/>
          <w:szCs w:val="24"/>
        </w:rPr>
        <w:t>80.1</w:t>
      </w:r>
      <w:r>
        <w:rPr>
          <w:rFonts w:ascii="Times New Roman" w:hAnsi="Times New Roman"/>
          <w:szCs w:val="24"/>
        </w:rPr>
        <w:t>～</w:t>
      </w:r>
      <w:r>
        <w:rPr>
          <w:rFonts w:ascii="Times New Roman" w:hAnsi="Times New Roman"/>
          <w:szCs w:val="24"/>
        </w:rPr>
        <w:t>352.4mm</w:t>
      </w:r>
      <w:r>
        <w:rPr>
          <w:rFonts w:ascii="Times New Roman" w:hAnsi="Times New Roman"/>
          <w:szCs w:val="24"/>
        </w:rPr>
        <w:t>，多集中于每年的</w:t>
      </w:r>
      <w:r>
        <w:rPr>
          <w:rFonts w:ascii="Times New Roman" w:hAnsi="Times New Roman"/>
          <w:szCs w:val="24"/>
        </w:rPr>
        <w:t>7</w:t>
      </w:r>
      <w:r>
        <w:rPr>
          <w:rFonts w:ascii="Times New Roman" w:hAnsi="Times New Roman"/>
          <w:szCs w:val="24"/>
        </w:rPr>
        <w:t>～</w:t>
      </w:r>
      <w:r>
        <w:rPr>
          <w:rFonts w:ascii="Times New Roman" w:hAnsi="Times New Roman"/>
          <w:szCs w:val="24"/>
        </w:rPr>
        <w:t>9</w:t>
      </w:r>
      <w:r>
        <w:rPr>
          <w:rFonts w:ascii="Times New Roman" w:hAnsi="Times New Roman"/>
          <w:szCs w:val="24"/>
        </w:rPr>
        <w:t>月份，而蒸发量高达</w:t>
      </w:r>
      <w:r>
        <w:rPr>
          <w:rFonts w:ascii="Times New Roman" w:hAnsi="Times New Roman"/>
          <w:szCs w:val="24"/>
        </w:rPr>
        <w:t>1508.8</w:t>
      </w:r>
      <w:r>
        <w:rPr>
          <w:rFonts w:ascii="Times New Roman" w:hAnsi="Times New Roman"/>
          <w:szCs w:val="24"/>
        </w:rPr>
        <w:t>～</w:t>
      </w:r>
      <w:r>
        <w:rPr>
          <w:rFonts w:ascii="Times New Roman" w:hAnsi="Times New Roman"/>
          <w:szCs w:val="24"/>
        </w:rPr>
        <w:t>2304.1mm</w:t>
      </w:r>
      <w:r>
        <w:rPr>
          <w:rFonts w:ascii="Times New Roman" w:hAnsi="Times New Roman"/>
          <w:szCs w:val="24"/>
        </w:rPr>
        <w:t>，约是降水量的十倍。</w:t>
      </w:r>
    </w:p>
    <w:p w14:paraId="667D0FE9"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矿区范围内水源缺乏，只是冲沟较发育，无常年性地表径流，仅夏天雨季有间断性流水，但时间很短。长城边沟中有少量泉水补给，是区内的一条常年流水河，年平均流量约</w:t>
      </w:r>
      <w:r>
        <w:rPr>
          <w:rFonts w:ascii="Times New Roman" w:hAnsi="Times New Roman"/>
          <w:szCs w:val="24"/>
        </w:rPr>
        <w:t>250m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，一般为</w:t>
      </w:r>
      <w:r>
        <w:rPr>
          <w:rFonts w:ascii="Times New Roman" w:hAnsi="Times New Roman"/>
          <w:szCs w:val="24"/>
        </w:rPr>
        <w:t>2.85</w:t>
      </w:r>
      <w:r>
        <w:rPr>
          <w:rFonts w:ascii="Times New Roman" w:hAnsi="Times New Roman"/>
          <w:szCs w:val="24"/>
        </w:rPr>
        <w:t>～</w:t>
      </w:r>
      <w:r>
        <w:rPr>
          <w:rFonts w:ascii="Times New Roman" w:hAnsi="Times New Roman"/>
          <w:szCs w:val="24"/>
        </w:rPr>
        <w:t>40.5l/s</w:t>
      </w:r>
      <w:r>
        <w:rPr>
          <w:rFonts w:ascii="Times New Roman" w:hAnsi="Times New Roman" w:hint="eastAsia"/>
          <w:szCs w:val="24"/>
        </w:rPr>
        <w:t>，最大洪水量为</w:t>
      </w:r>
      <w:r>
        <w:rPr>
          <w:rFonts w:ascii="Times New Roman" w:hAnsi="Times New Roman"/>
          <w:szCs w:val="24"/>
        </w:rPr>
        <w:t>67m</w:t>
      </w:r>
      <w:r>
        <w:rPr>
          <w:rFonts w:ascii="Times New Roman" w:hAnsi="Times New Roman"/>
          <w:szCs w:val="24"/>
          <w:vertAlign w:val="superscript"/>
        </w:rPr>
        <w:t>3</w:t>
      </w:r>
      <w:r>
        <w:rPr>
          <w:rFonts w:ascii="Times New Roman" w:hAnsi="Times New Roman"/>
          <w:szCs w:val="24"/>
        </w:rPr>
        <w:t>/s</w:t>
      </w:r>
      <w:r>
        <w:rPr>
          <w:rFonts w:ascii="Times New Roman" w:hAnsi="Times New Roman" w:hint="eastAsia"/>
          <w:szCs w:val="24"/>
        </w:rPr>
        <w:t>，该河自东南流向西北，汇入黄河。矿区以南之西天河也有常年流水。马莲台煤矿西部有鸭子荡水库，其水源为黄河水提升引入。水位标高</w:t>
      </w:r>
      <w:r>
        <w:rPr>
          <w:rFonts w:ascii="Times New Roman" w:hAnsi="Times New Roman"/>
          <w:szCs w:val="24"/>
        </w:rPr>
        <w:t>1200m</w:t>
      </w:r>
      <w:r>
        <w:rPr>
          <w:rFonts w:ascii="Times New Roman" w:hAnsi="Times New Roman" w:hint="eastAsia"/>
          <w:szCs w:val="24"/>
        </w:rPr>
        <w:t>左右。</w:t>
      </w:r>
    </w:p>
    <w:p w14:paraId="66D84618" w14:textId="77777777" w:rsidR="009C353B" w:rsidRDefault="00000000">
      <w:pPr>
        <w:adjustRightInd w:val="0"/>
        <w:snapToGrid w:val="0"/>
        <w:spacing w:line="440" w:lineRule="exact"/>
        <w:outlineLvl w:val="4"/>
        <w:rPr>
          <w:rFonts w:ascii="Times New Roman" w:hAnsi="Times New Roman"/>
          <w:b/>
          <w:szCs w:val="24"/>
        </w:rPr>
      </w:pPr>
      <w:bookmarkStart w:id="240" w:name="_Toc14374805"/>
      <w:r>
        <w:rPr>
          <w:rFonts w:ascii="Times New Roman" w:hAnsi="Times New Roman"/>
          <w:b/>
          <w:szCs w:val="24"/>
        </w:rPr>
        <w:t xml:space="preserve">6.3.2.1.2 </w:t>
      </w:r>
      <w:r>
        <w:rPr>
          <w:rFonts w:ascii="Times New Roman" w:hAnsi="Times New Roman"/>
          <w:b/>
          <w:szCs w:val="24"/>
        </w:rPr>
        <w:t>含水岩组水文地质特征</w:t>
      </w:r>
      <w:bookmarkEnd w:id="240"/>
    </w:p>
    <w:p w14:paraId="1205E881"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根据岩性组合、含水介质、水力联系、含水特征及富水性、以及地下水的赋存条件等，将区域划分为三大含水岩组。</w:t>
      </w:r>
    </w:p>
    <w:p w14:paraId="07B551EB"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）松散岩类孔隙潜水含水岩组</w:t>
      </w:r>
    </w:p>
    <w:p w14:paraId="52144890"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区域内普遍分布，但是由于本区新生界不发育，地层沉积厚度不大，加之地形较复杂，切割剧烈等原因，受地下水补给与贮存条件的限制，含水层的富水性一般很弱，局部与下伏侏罗系基岩之间无稳定隔水层，故与基岩风化裂隙水含水层构成了统一含水结构体。</w:t>
      </w:r>
    </w:p>
    <w:p w14:paraId="6F308BE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据已有资料分析，含水介质主要以第四系冲洪积砂及局部零星砾石为主，其次是局部地段古近系底部少量的砾石层。虽然含水层结构较疏松，孔隙较发育，但是含水层厚度很薄，仅</w:t>
      </w:r>
      <w:r>
        <w:rPr>
          <w:rFonts w:ascii="Times New Roman" w:hAnsi="Times New Roman"/>
          <w:szCs w:val="24"/>
        </w:rPr>
        <w:t>2~3m</w:t>
      </w:r>
      <w:r>
        <w:rPr>
          <w:rFonts w:ascii="Times New Roman" w:hAnsi="Times New Roman"/>
          <w:szCs w:val="24"/>
        </w:rPr>
        <w:t>左右，局部因沟谷切割形成透水</w:t>
      </w:r>
      <w:r>
        <w:rPr>
          <w:rFonts w:ascii="Times New Roman" w:hAnsi="Times New Roman"/>
          <w:szCs w:val="24"/>
        </w:rPr>
        <w:t>1</w:t>
      </w:r>
      <w:r>
        <w:rPr>
          <w:rFonts w:ascii="Times New Roman" w:hAnsi="Times New Roman"/>
          <w:szCs w:val="24"/>
        </w:rPr>
        <w:t>含水层。在含水层稍厚，地下水补给条件相对有利的地段，涌水量仅在</w:t>
      </w:r>
      <w:r>
        <w:rPr>
          <w:rFonts w:ascii="Times New Roman" w:hAnsi="Times New Roman"/>
          <w:szCs w:val="24"/>
        </w:rPr>
        <w:t>0.04~0.06m</w:t>
      </w:r>
      <w:r>
        <w:rPr>
          <w:rFonts w:ascii="Times New Roman" w:hAnsi="Times New Roman"/>
          <w:szCs w:val="24"/>
          <w:vertAlign w:val="superscript"/>
        </w:rPr>
        <w:t>3</w:t>
      </w:r>
      <w:r>
        <w:rPr>
          <w:rFonts w:ascii="Times New Roman" w:hAnsi="Times New Roman"/>
          <w:szCs w:val="24"/>
        </w:rPr>
        <w:t>/h</w:t>
      </w:r>
      <w:r>
        <w:rPr>
          <w:rFonts w:ascii="Times New Roman" w:hAnsi="Times New Roman"/>
          <w:szCs w:val="24"/>
        </w:rPr>
        <w:t>，含水微弱。水化学类型</w:t>
      </w:r>
      <w:r>
        <w:rPr>
          <w:rFonts w:ascii="Times New Roman" w:hAnsi="Times New Roman"/>
          <w:szCs w:val="24"/>
        </w:rPr>
        <w:t>SO</w:t>
      </w:r>
      <w:r>
        <w:rPr>
          <w:rFonts w:ascii="Times New Roman" w:hAnsi="Times New Roman"/>
          <w:szCs w:val="24"/>
          <w:vertAlign w:val="subscript"/>
        </w:rPr>
        <w:t>4</w:t>
      </w:r>
      <w:r>
        <w:rPr>
          <w:rFonts w:ascii="Times New Roman" w:hAnsi="Times New Roman"/>
          <w:szCs w:val="24"/>
        </w:rPr>
        <w:t>- Na· Ca</w:t>
      </w:r>
      <w:r>
        <w:rPr>
          <w:rFonts w:ascii="Times New Roman" w:hAnsi="Times New Roman"/>
          <w:szCs w:val="24"/>
        </w:rPr>
        <w:t>型、</w:t>
      </w:r>
      <w:r>
        <w:rPr>
          <w:rFonts w:ascii="Times New Roman" w:hAnsi="Times New Roman"/>
          <w:szCs w:val="24"/>
        </w:rPr>
        <w:t>Cl·SO</w:t>
      </w:r>
      <w:r>
        <w:rPr>
          <w:rFonts w:ascii="Times New Roman" w:hAnsi="Times New Roman"/>
          <w:szCs w:val="24"/>
          <w:vertAlign w:val="subscript"/>
        </w:rPr>
        <w:t>4</w:t>
      </w:r>
      <w:r>
        <w:rPr>
          <w:rFonts w:ascii="Times New Roman" w:hAnsi="Times New Roman"/>
          <w:szCs w:val="24"/>
        </w:rPr>
        <w:t>- Na</w:t>
      </w:r>
      <w:r>
        <w:rPr>
          <w:rFonts w:ascii="Times New Roman" w:hAnsi="Times New Roman"/>
          <w:szCs w:val="24"/>
        </w:rPr>
        <w:t>型及</w:t>
      </w:r>
      <w:r>
        <w:rPr>
          <w:rFonts w:ascii="Times New Roman" w:hAnsi="Times New Roman"/>
          <w:szCs w:val="24"/>
        </w:rPr>
        <w:t>SO</w:t>
      </w:r>
      <w:r>
        <w:rPr>
          <w:rFonts w:ascii="Times New Roman" w:hAnsi="Times New Roman"/>
          <w:szCs w:val="24"/>
          <w:vertAlign w:val="subscript"/>
        </w:rPr>
        <w:t>4</w:t>
      </w:r>
      <w:r>
        <w:rPr>
          <w:rFonts w:ascii="Times New Roman" w:hAnsi="Times New Roman"/>
          <w:szCs w:val="24"/>
        </w:rPr>
        <w:t>·Cl- Na</w:t>
      </w:r>
      <w:r>
        <w:rPr>
          <w:rFonts w:ascii="Times New Roman" w:hAnsi="Times New Roman"/>
          <w:szCs w:val="24"/>
        </w:rPr>
        <w:t>型为主。矿化度一般为</w:t>
      </w:r>
      <w:r>
        <w:rPr>
          <w:rFonts w:ascii="Times New Roman" w:hAnsi="Times New Roman"/>
          <w:szCs w:val="24"/>
        </w:rPr>
        <w:t>1</w:t>
      </w:r>
      <w:r>
        <w:rPr>
          <w:rFonts w:ascii="Times New Roman" w:hAnsi="Times New Roman"/>
          <w:szCs w:val="24"/>
        </w:rPr>
        <w:t>～</w:t>
      </w:r>
      <w:r>
        <w:rPr>
          <w:rFonts w:ascii="Times New Roman" w:hAnsi="Times New Roman"/>
          <w:szCs w:val="24"/>
        </w:rPr>
        <w:t>3g/L</w:t>
      </w:r>
      <w:r>
        <w:rPr>
          <w:rFonts w:ascii="Times New Roman" w:hAnsi="Times New Roman"/>
          <w:szCs w:val="24"/>
        </w:rPr>
        <w:t>左右。</w:t>
      </w:r>
    </w:p>
    <w:p w14:paraId="3473598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）碎屑岩类裂隙孔隙承压含水层</w:t>
      </w:r>
    </w:p>
    <w:p w14:paraId="483F918C"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区域内广泛分布。其中含水层主要由白垩系、侏罗系、三叠系、二叠系、石炭系等组成。现分别简述如下：</w:t>
      </w:r>
    </w:p>
    <w:p w14:paraId="49BF9674"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1</w:t>
      </w:r>
      <w:r>
        <w:rPr>
          <w:rFonts w:ascii="Times New Roman" w:hAnsi="Times New Roman"/>
          <w:szCs w:val="24"/>
        </w:rPr>
        <w:t>）白垩系孔隙裂隙含水层</w:t>
      </w:r>
    </w:p>
    <w:p w14:paraId="55FBBDE0"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主要出露于面子山、四耳心、与鞍山、清水营一带。在鸳鸯湖矿区清水营井田揭露最大厚度为</w:t>
      </w:r>
      <w:r>
        <w:rPr>
          <w:rFonts w:ascii="Times New Roman" w:hAnsi="Times New Roman"/>
          <w:szCs w:val="24"/>
        </w:rPr>
        <w:t>222.30m</w:t>
      </w:r>
      <w:r>
        <w:rPr>
          <w:rFonts w:ascii="Times New Roman" w:hAnsi="Times New Roman"/>
          <w:szCs w:val="24"/>
        </w:rPr>
        <w:t>，含水层岩性以砾岩为主，孔隙裂隙一般较为发育。据碎石井矿区及清水营井田资料，泉流量</w:t>
      </w:r>
      <w:r>
        <w:rPr>
          <w:rFonts w:ascii="Times New Roman" w:hAnsi="Times New Roman"/>
          <w:szCs w:val="24"/>
        </w:rPr>
        <w:t>0.1~0.32L/s</w:t>
      </w:r>
      <w:r>
        <w:rPr>
          <w:rFonts w:ascii="Times New Roman" w:hAnsi="Times New Roman"/>
          <w:szCs w:val="24"/>
        </w:rPr>
        <w:t>，单位涌水量</w:t>
      </w:r>
      <w:r>
        <w:rPr>
          <w:rFonts w:ascii="Times New Roman" w:hAnsi="Times New Roman"/>
          <w:szCs w:val="24"/>
        </w:rPr>
        <w:t>0.009~0.50L/s·m</w:t>
      </w:r>
      <w:r>
        <w:rPr>
          <w:rFonts w:ascii="Times New Roman" w:hAnsi="Times New Roman"/>
          <w:szCs w:val="24"/>
        </w:rPr>
        <w:t>，富水性弱</w:t>
      </w:r>
      <w:r>
        <w:rPr>
          <w:rFonts w:ascii="Times New Roman" w:hAnsi="Times New Roman"/>
          <w:szCs w:val="24"/>
        </w:rPr>
        <w:t>—</w:t>
      </w:r>
      <w:r>
        <w:rPr>
          <w:rFonts w:ascii="Times New Roman" w:hAnsi="Times New Roman"/>
          <w:szCs w:val="24"/>
        </w:rPr>
        <w:t>中等。矿化度</w:t>
      </w:r>
      <w:r>
        <w:rPr>
          <w:rFonts w:ascii="Times New Roman" w:hAnsi="Times New Roman"/>
          <w:szCs w:val="24"/>
        </w:rPr>
        <w:t>0.35~9.48g/L</w:t>
      </w:r>
      <w:r>
        <w:rPr>
          <w:rFonts w:ascii="Times New Roman" w:hAnsi="Times New Roman"/>
          <w:szCs w:val="24"/>
        </w:rPr>
        <w:t>。</w:t>
      </w:r>
    </w:p>
    <w:p w14:paraId="35B01D2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2</w:t>
      </w:r>
      <w:r>
        <w:rPr>
          <w:rFonts w:ascii="Times New Roman" w:hAnsi="Times New Roman"/>
          <w:szCs w:val="24"/>
        </w:rPr>
        <w:t>）侏罗系延安组裂隙孔隙含水层</w:t>
      </w:r>
    </w:p>
    <w:p w14:paraId="405A6443"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该组为宁东地区主要含煤地层，除直罗组底部厚层粗砂岩（七里镇砂岩）含水层富水性较好外，含煤地层中的砂岩含水层富水性一般很弱或极弱，单位涌水量</w:t>
      </w:r>
      <w:r>
        <w:rPr>
          <w:rFonts w:ascii="Times New Roman" w:hAnsi="Times New Roman"/>
          <w:szCs w:val="24"/>
        </w:rPr>
        <w:t>0.000393~0.02414L/s·m</w:t>
      </w:r>
      <w:r>
        <w:rPr>
          <w:rFonts w:ascii="Times New Roman" w:hAnsi="Times New Roman"/>
          <w:szCs w:val="24"/>
        </w:rPr>
        <w:t>（区域煤勘富水性与本次勘探相对偏小）。水化学类型与离子含量变化较大，矿化度</w:t>
      </w:r>
      <w:r>
        <w:rPr>
          <w:rFonts w:ascii="Times New Roman" w:hAnsi="Times New Roman"/>
          <w:szCs w:val="24"/>
        </w:rPr>
        <w:t>0.57~20.13g/L</w:t>
      </w:r>
      <w:r>
        <w:rPr>
          <w:rFonts w:ascii="Times New Roman" w:hAnsi="Times New Roman"/>
          <w:szCs w:val="24"/>
        </w:rPr>
        <w:t>。</w:t>
      </w:r>
    </w:p>
    <w:p w14:paraId="66C5400B"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3</w:t>
      </w:r>
      <w:r>
        <w:rPr>
          <w:rFonts w:ascii="Times New Roman" w:hAnsi="Times New Roman"/>
          <w:szCs w:val="24"/>
        </w:rPr>
        <w:t>）</w:t>
      </w:r>
      <w:r>
        <w:rPr>
          <w:rFonts w:ascii="Times New Roman" w:hAnsi="Times New Roman"/>
          <w:szCs w:val="24"/>
        </w:rPr>
        <w:t xml:space="preserve"> </w:t>
      </w:r>
      <w:r>
        <w:rPr>
          <w:rFonts w:ascii="Times New Roman" w:hAnsi="Times New Roman"/>
          <w:szCs w:val="24"/>
        </w:rPr>
        <w:t>三叠系上统延长群裂隙含水层</w:t>
      </w:r>
    </w:p>
    <w:p w14:paraId="3836E0C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该层为含煤地层的下伏基底层，主要分布在刘家庄背斜轴部一带。地层岩性为砂岩、粉砂岩与泥质岩互层，其中含水层是以中粒砂岩为主，但是胶结较致密，裂隙不发育，渗透性与导水性差。据碎石井羊场湾井田井筒检查时抽水资料，单位涌水量为</w:t>
      </w:r>
      <w:r>
        <w:rPr>
          <w:rFonts w:ascii="Times New Roman" w:hAnsi="Times New Roman"/>
          <w:szCs w:val="24"/>
        </w:rPr>
        <w:t>0.00159L/s·m</w:t>
      </w:r>
      <w:r>
        <w:rPr>
          <w:rFonts w:ascii="Times New Roman" w:hAnsi="Times New Roman"/>
          <w:szCs w:val="24"/>
        </w:rPr>
        <w:t>，富水性极弱，矿化度</w:t>
      </w:r>
      <w:r>
        <w:rPr>
          <w:rFonts w:ascii="Times New Roman" w:hAnsi="Times New Roman"/>
          <w:szCs w:val="24"/>
        </w:rPr>
        <w:t>4.34g/L</w:t>
      </w:r>
      <w:r>
        <w:rPr>
          <w:rFonts w:ascii="Times New Roman" w:hAnsi="Times New Roman"/>
          <w:szCs w:val="24"/>
        </w:rPr>
        <w:t>。</w:t>
      </w:r>
    </w:p>
    <w:p w14:paraId="2C5B0D83"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4</w:t>
      </w:r>
      <w:r>
        <w:rPr>
          <w:rFonts w:ascii="Times New Roman" w:hAnsi="Times New Roman"/>
          <w:szCs w:val="24"/>
        </w:rPr>
        <w:t>）二叠系砂岩与石炭系薄层灰岩含水层</w:t>
      </w:r>
    </w:p>
    <w:p w14:paraId="3C2229C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主要分布于横城矿区，丁家梁煤矿埋藏很深。其中，山西组和太原组为主要含煤地层。含水层岩性是以二叠系细粒及中粒砂岩，以及石炭系太原组薄灰岩为主。据区域抽水试验资料，钻孔单位涌水量为</w:t>
      </w:r>
      <w:r>
        <w:rPr>
          <w:rFonts w:ascii="Times New Roman" w:hAnsi="Times New Roman"/>
          <w:szCs w:val="24"/>
        </w:rPr>
        <w:t>0.0023~0.016L/s·m</w:t>
      </w:r>
      <w:r>
        <w:rPr>
          <w:rFonts w:ascii="Times New Roman" w:hAnsi="Times New Roman"/>
          <w:szCs w:val="24"/>
        </w:rPr>
        <w:t>，富水性弱，矿化度</w:t>
      </w:r>
      <w:r>
        <w:rPr>
          <w:rFonts w:ascii="Times New Roman" w:hAnsi="Times New Roman"/>
          <w:szCs w:val="24"/>
        </w:rPr>
        <w:t>1.789~9.0g/L</w:t>
      </w:r>
      <w:r>
        <w:rPr>
          <w:rFonts w:ascii="Times New Roman" w:hAnsi="Times New Roman"/>
          <w:szCs w:val="24"/>
        </w:rPr>
        <w:t>。</w:t>
      </w:r>
    </w:p>
    <w:p w14:paraId="05AA0400"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3</w:t>
      </w:r>
      <w:r>
        <w:rPr>
          <w:rFonts w:ascii="Times New Roman" w:hAnsi="Times New Roman"/>
          <w:szCs w:val="24"/>
        </w:rPr>
        <w:t>）碳酸盐岩类岩溶裂隙含水层</w:t>
      </w:r>
    </w:p>
    <w:p w14:paraId="666830C4"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主要分布在横城矿区，多为新生界所覆盖，在马鞍山北端黑山一带有零星出露。</w:t>
      </w:r>
    </w:p>
    <w:p w14:paraId="4623B4F5" w14:textId="77777777" w:rsidR="009C353B" w:rsidRDefault="00000000">
      <w:pPr>
        <w:adjustRightInd w:val="0"/>
        <w:snapToGrid w:val="0"/>
        <w:spacing w:line="440" w:lineRule="exact"/>
        <w:outlineLvl w:val="4"/>
        <w:rPr>
          <w:rFonts w:ascii="Times New Roman" w:hAnsi="Times New Roman"/>
          <w:b/>
          <w:szCs w:val="24"/>
        </w:rPr>
      </w:pPr>
      <w:bookmarkStart w:id="241" w:name="_Toc14374806"/>
      <w:r>
        <w:rPr>
          <w:rFonts w:ascii="Times New Roman" w:hAnsi="Times New Roman"/>
          <w:b/>
          <w:szCs w:val="24"/>
        </w:rPr>
        <w:t xml:space="preserve">6.3.2.1.3 </w:t>
      </w:r>
      <w:r>
        <w:rPr>
          <w:rFonts w:ascii="Times New Roman" w:hAnsi="Times New Roman"/>
          <w:b/>
          <w:szCs w:val="24"/>
        </w:rPr>
        <w:t>区域隔水层及特征</w:t>
      </w:r>
      <w:bookmarkEnd w:id="241"/>
    </w:p>
    <w:p w14:paraId="62E1E81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古近系清水营组泥质岩类隔水层区域上广泛分布，多在沟谷两侧及井田以南大面积出露。岩性为棕红色亚粘土、粘土、夹砂岩、灰岩、砾石层。该层上部结构紧密，颗粒细，塑性及粘性好，且裂隙多被石膏充填，孔隙多为泥质充填，透水性较差，为良好的隔水层。</w:t>
      </w:r>
    </w:p>
    <w:p w14:paraId="0F922A21" w14:textId="77777777" w:rsidR="009C353B" w:rsidRDefault="00000000">
      <w:pPr>
        <w:adjustRightInd w:val="0"/>
        <w:snapToGrid w:val="0"/>
        <w:spacing w:line="440" w:lineRule="exact"/>
        <w:outlineLvl w:val="4"/>
        <w:rPr>
          <w:rFonts w:ascii="Times New Roman" w:hAnsi="Times New Roman"/>
          <w:b/>
          <w:szCs w:val="24"/>
        </w:rPr>
      </w:pPr>
      <w:bookmarkStart w:id="242" w:name="_Toc14374807"/>
      <w:r>
        <w:rPr>
          <w:rFonts w:ascii="Times New Roman" w:hAnsi="Times New Roman"/>
          <w:b/>
          <w:szCs w:val="24"/>
        </w:rPr>
        <w:t xml:space="preserve">6.3.2.1.4 </w:t>
      </w:r>
      <w:r>
        <w:rPr>
          <w:rFonts w:ascii="Times New Roman" w:hAnsi="Times New Roman"/>
          <w:b/>
          <w:szCs w:val="24"/>
        </w:rPr>
        <w:t>区域地下水补给与径流条件</w:t>
      </w:r>
      <w:bookmarkEnd w:id="242"/>
    </w:p>
    <w:p w14:paraId="7566F10D"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本区域地下水补给与径流条件主要涉及第四系松散层孔隙水和侏罗系裂隙孔隙水的补、径、排条件。</w:t>
      </w:r>
    </w:p>
    <w:p w14:paraId="093A815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）第四系松散层孔隙水补给、径流与排泄条件</w:t>
      </w:r>
    </w:p>
    <w:p w14:paraId="2481167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区域内属半沙漠丘陵地形，局部地形较为复杂，在区内一级和二级地表水分水岭的控制下，浅层孔隙潜水的唯一补给来源是大气降水入渗及地表水的间歇性渗漏补给，其径流方向与地形坡降基本一致，自上游向下游，由地表分水岭向周边谷地排泄，蒸发也是主要的排泄形式之一。</w:t>
      </w:r>
    </w:p>
    <w:p w14:paraId="074792A0"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）侏罗系裂隙孔隙水补给、径流、排泄条件</w:t>
      </w:r>
    </w:p>
    <w:p w14:paraId="5FD0AADC"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地下水的补给来源及补给方式与含水层出露条件，埋藏条件及所处的位置有关。在基岩裸露或浅埋区，可直接接受大气降水入渗和地表水的补给；在隐伏区，主要接受上覆含水层地下水的垂直下渗越流补给，在局部地区可接受邻区地下水的侧向径流补给。</w:t>
      </w:r>
    </w:p>
    <w:p w14:paraId="6337B69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地下水的径流方向总体上受地势、水系的控制，自南、北、东三面地表水一级分水岭，分别由南向北、由北向南和由东向西径流，在区域中部地势低处汇集，最终排泄与河谷（沟谷）或以越流方式排出区外。此外，矿井排水和人工凿井取水也是主要的排泄形式之一。</w:t>
      </w:r>
    </w:p>
    <w:p w14:paraId="6B65155F" w14:textId="77777777" w:rsidR="009C353B" w:rsidRDefault="00000000">
      <w:pPr>
        <w:adjustRightInd w:val="0"/>
        <w:snapToGrid w:val="0"/>
        <w:spacing w:line="440" w:lineRule="exact"/>
        <w:outlineLvl w:val="3"/>
        <w:rPr>
          <w:rFonts w:ascii="Times New Roman" w:hAnsi="Times New Roman"/>
          <w:b/>
          <w:szCs w:val="24"/>
        </w:rPr>
      </w:pPr>
      <w:bookmarkStart w:id="243" w:name="_Toc29817103"/>
      <w:r>
        <w:rPr>
          <w:rFonts w:ascii="Times New Roman" w:hAnsi="Times New Roman"/>
          <w:b/>
          <w:szCs w:val="24"/>
        </w:rPr>
        <w:t xml:space="preserve">6.3.2.2 </w:t>
      </w:r>
      <w:r>
        <w:rPr>
          <w:rFonts w:ascii="Times New Roman" w:hAnsi="Times New Roman" w:hint="eastAsia"/>
          <w:b/>
          <w:szCs w:val="24"/>
        </w:rPr>
        <w:t>横城矿区</w:t>
      </w:r>
      <w:r>
        <w:rPr>
          <w:rFonts w:ascii="Times New Roman" w:hAnsi="Times New Roman"/>
          <w:b/>
          <w:szCs w:val="24"/>
        </w:rPr>
        <w:t>水文地质特征</w:t>
      </w:r>
      <w:bookmarkEnd w:id="243"/>
    </w:p>
    <w:p w14:paraId="1FF1DF24"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szCs w:val="24"/>
        </w:rPr>
        <w:t>1</w:t>
      </w:r>
      <w:r>
        <w:rPr>
          <w:rFonts w:ascii="Times New Roman" w:hAnsi="Times New Roman" w:hint="eastAsia"/>
          <w:szCs w:val="24"/>
        </w:rPr>
        <w:t>）矿区</w:t>
      </w:r>
      <w:r>
        <w:rPr>
          <w:rFonts w:ascii="Times New Roman" w:hAnsi="Times New Roman"/>
          <w:szCs w:val="24"/>
        </w:rPr>
        <w:t>主要含水层及其特征</w:t>
      </w:r>
    </w:p>
    <w:p w14:paraId="1D0A24D9"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横城矿区地下水赋存于第四系孔隙和古近系、白垩系砂砾岩及二叠系上统</w:t>
      </w:r>
      <w:r>
        <w:rPr>
          <w:rFonts w:ascii="Times New Roman" w:hAnsi="Times New Roman"/>
          <w:szCs w:val="24"/>
        </w:rPr>
        <w:t>—</w:t>
      </w:r>
      <w:r>
        <w:rPr>
          <w:rFonts w:ascii="Times New Roman" w:hAnsi="Times New Roman"/>
          <w:szCs w:val="24"/>
        </w:rPr>
        <w:t>三叠系下统石千峰群、二叠系下</w:t>
      </w:r>
      <w:r>
        <w:rPr>
          <w:rFonts w:ascii="Times New Roman" w:hAnsi="Times New Roman"/>
          <w:szCs w:val="24"/>
        </w:rPr>
        <w:t>—</w:t>
      </w:r>
      <w:r>
        <w:rPr>
          <w:rFonts w:ascii="Times New Roman" w:hAnsi="Times New Roman"/>
          <w:szCs w:val="24"/>
        </w:rPr>
        <w:t>上统石盒子组、二叠系下统山西组、石炭系上统</w:t>
      </w:r>
      <w:r>
        <w:rPr>
          <w:rFonts w:ascii="Times New Roman" w:hAnsi="Times New Roman"/>
          <w:szCs w:val="24"/>
        </w:rPr>
        <w:t>―</w:t>
      </w:r>
      <w:r>
        <w:rPr>
          <w:rFonts w:ascii="Times New Roman" w:hAnsi="Times New Roman"/>
          <w:szCs w:val="24"/>
        </w:rPr>
        <w:t>二叠系下统太原组含煤地层砂岩</w:t>
      </w:r>
      <w:r>
        <w:rPr>
          <w:rFonts w:ascii="Times New Roman" w:hAnsi="Times New Roman" w:hint="eastAsia"/>
          <w:szCs w:val="24"/>
        </w:rPr>
        <w:t>及石炭系上统土坡组砂岩层间裂隙承压含水层及奥陶系下统马家沟组灰岩承压含水层之中。</w:t>
      </w:r>
      <w:r>
        <w:rPr>
          <w:rFonts w:ascii="Times New Roman" w:hAnsi="Times New Roman"/>
          <w:szCs w:val="24"/>
        </w:rPr>
        <w:t>按含水层岩性及水力特征分为松散岩类孔隙水、碎屑岩类孔隙裂隙水两大类型。其中松散岩类孔隙水为潜水，碎屑岩类孔隙裂隙水具承压性。含水岩组划分示意图见图</w:t>
      </w:r>
      <w:r>
        <w:rPr>
          <w:rFonts w:ascii="Times New Roman" w:hAnsi="Times New Roman" w:hint="eastAsia"/>
          <w:szCs w:val="24"/>
        </w:rPr>
        <w:t>6.3-</w:t>
      </w:r>
      <w:r>
        <w:rPr>
          <w:rFonts w:ascii="Times New Roman" w:hAnsi="Times New Roman"/>
          <w:szCs w:val="24"/>
        </w:rPr>
        <w:t>2</w:t>
      </w:r>
      <w:r>
        <w:rPr>
          <w:rFonts w:ascii="Times New Roman" w:hAnsi="Times New Roman"/>
          <w:szCs w:val="24"/>
        </w:rPr>
        <w:t>。</w:t>
      </w:r>
    </w:p>
    <w:tbl>
      <w:tblPr>
        <w:tblStyle w:val="afffb"/>
        <w:tblW w:w="0" w:type="auto"/>
        <w:jc w:val="center"/>
        <w:tblLook w:val="04A0" w:firstRow="1" w:lastRow="0" w:firstColumn="1" w:lastColumn="0" w:noHBand="0" w:noVBand="1"/>
      </w:tblPr>
      <w:tblGrid>
        <w:gridCol w:w="8411"/>
      </w:tblGrid>
      <w:tr w:rsidR="009C353B" w14:paraId="327B23F7" w14:textId="77777777">
        <w:trPr>
          <w:trHeight w:val="699"/>
          <w:jc w:val="center"/>
        </w:trPr>
        <w:tc>
          <w:tcPr>
            <w:tcW w:w="8328" w:type="dxa"/>
            <w:vAlign w:val="center"/>
          </w:tcPr>
          <w:p w14:paraId="29345839" w14:textId="77777777" w:rsidR="009C353B" w:rsidRDefault="00000000">
            <w:pPr>
              <w:spacing w:line="360" w:lineRule="atLeast"/>
              <w:jc w:val="left"/>
              <w:rPr>
                <w:rFonts w:ascii="Times New Roman" w:hAnsi="Times New Roman"/>
                <w:sz w:val="21"/>
                <w:szCs w:val="21"/>
              </w:rPr>
            </w:pPr>
            <w:r>
              <w:rPr>
                <w:rFonts w:ascii="Times New Roman" w:hAnsi="Times New Roman"/>
                <w:sz w:val="21"/>
                <w:szCs w:val="21"/>
              </w:rPr>
              <w:t xml:space="preserve">I </w:t>
            </w:r>
            <w:r>
              <w:rPr>
                <w:rFonts w:ascii="Times New Roman" w:hAnsi="Times New Roman" w:hint="eastAsia"/>
                <w:sz w:val="21"/>
                <w:szCs w:val="21"/>
              </w:rPr>
              <w:t>-</w:t>
            </w:r>
            <w:r>
              <w:rPr>
                <w:rFonts w:ascii="Times New Roman" w:hAnsi="Times New Roman"/>
                <w:noProof/>
                <w:sz w:val="21"/>
                <w:szCs w:val="21"/>
              </w:rPr>
              <w:drawing>
                <wp:anchor distT="0" distB="0" distL="114300" distR="114300" simplePos="0" relativeHeight="251664384" behindDoc="0" locked="0" layoutInCell="1" allowOverlap="1" wp14:anchorId="3632D54E" wp14:editId="572DE75A">
                  <wp:simplePos x="0" y="0"/>
                  <wp:positionH relativeFrom="column">
                    <wp:posOffset>-41275</wp:posOffset>
                  </wp:positionH>
                  <wp:positionV relativeFrom="paragraph">
                    <wp:posOffset>-1476375</wp:posOffset>
                  </wp:positionV>
                  <wp:extent cx="5203825" cy="1475105"/>
                  <wp:effectExtent l="0" t="0" r="0" b="0"/>
                  <wp:wrapTopAndBottom/>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445">
                            <a:extLst>
                              <a:ext uri="{28A0092B-C50C-407E-A947-70E740481C1C}">
                                <a14:useLocalDpi xmlns:a14="http://schemas.microsoft.com/office/drawing/2010/main" val="0"/>
                              </a:ext>
                            </a:extLst>
                          </a:blip>
                          <a:srcRect r="1108" b="26888"/>
                          <a:stretch>
                            <a:fillRect/>
                          </a:stretch>
                        </pic:blipFill>
                        <pic:spPr>
                          <a:xfrm>
                            <a:off x="0" y="0"/>
                            <a:ext cx="5203825" cy="1475105"/>
                          </a:xfrm>
                          <a:prstGeom prst="rect">
                            <a:avLst/>
                          </a:prstGeom>
                          <a:noFill/>
                          <a:ln>
                            <a:noFill/>
                          </a:ln>
                        </pic:spPr>
                      </pic:pic>
                    </a:graphicData>
                  </a:graphic>
                </wp:anchor>
              </w:drawing>
            </w:r>
            <w:r>
              <w:rPr>
                <w:rFonts w:ascii="Times New Roman" w:hAnsi="Times New Roman"/>
                <w:sz w:val="21"/>
                <w:szCs w:val="21"/>
              </w:rPr>
              <w:t>第四系松散岩类孔隙潜水含水岩组</w:t>
            </w:r>
          </w:p>
          <w:p w14:paraId="58294FCF" w14:textId="77777777" w:rsidR="009C353B" w:rsidRDefault="00000000">
            <w:pPr>
              <w:spacing w:line="360" w:lineRule="atLeast"/>
              <w:jc w:val="left"/>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 2 \* ROMAN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t>古近系清水营组孔隙裂隙承压水含水岩组</w:t>
            </w:r>
          </w:p>
          <w:p w14:paraId="43E78E84" w14:textId="77777777" w:rsidR="009C353B" w:rsidRDefault="00000000">
            <w:pPr>
              <w:spacing w:line="360" w:lineRule="atLeast"/>
              <w:jc w:val="left"/>
              <w:rPr>
                <w:rFonts w:ascii="Times New Roman" w:hAnsi="Times New Roman"/>
                <w:sz w:val="21"/>
                <w:szCs w:val="21"/>
              </w:rPr>
            </w:pPr>
            <w:r>
              <w:rPr>
                <w:rFonts w:ascii="Times New Roman" w:hAnsi="Times New Roman"/>
                <w:sz w:val="21"/>
                <w:szCs w:val="21"/>
              </w:rPr>
              <w:t>III</w:t>
            </w:r>
            <w:r>
              <w:rPr>
                <w:rFonts w:ascii="Times New Roman" w:hAnsi="Times New Roman" w:hint="eastAsia"/>
                <w:sz w:val="21"/>
                <w:szCs w:val="21"/>
              </w:rPr>
              <w:t>-</w:t>
            </w:r>
            <w:r>
              <w:rPr>
                <w:rFonts w:ascii="Times New Roman" w:hAnsi="Times New Roman"/>
                <w:sz w:val="21"/>
                <w:szCs w:val="21"/>
              </w:rPr>
              <w:t>白垩系保安群砾岩孔隙裂隙承压含水岩组</w:t>
            </w:r>
          </w:p>
          <w:p w14:paraId="25534163" w14:textId="77777777" w:rsidR="009C353B" w:rsidRDefault="00000000">
            <w:pPr>
              <w:spacing w:line="360" w:lineRule="atLeast"/>
              <w:jc w:val="left"/>
              <w:rPr>
                <w:rFonts w:ascii="Times New Roman" w:hAnsi="Times New Roman"/>
                <w:sz w:val="21"/>
                <w:szCs w:val="21"/>
              </w:rPr>
            </w:pPr>
            <w:r>
              <w:rPr>
                <w:rFonts w:ascii="Times New Roman" w:hAnsi="Times New Roman"/>
                <w:sz w:val="21"/>
                <w:szCs w:val="21"/>
              </w:rPr>
              <w:t>IV</w:t>
            </w:r>
            <w:r>
              <w:rPr>
                <w:rFonts w:ascii="Times New Roman" w:hAnsi="Times New Roman" w:hint="eastAsia"/>
                <w:sz w:val="21"/>
                <w:szCs w:val="21"/>
              </w:rPr>
              <w:t>-</w:t>
            </w:r>
            <w:r>
              <w:rPr>
                <w:rFonts w:ascii="Times New Roman" w:hAnsi="Times New Roman"/>
                <w:sz w:val="21"/>
                <w:szCs w:val="21"/>
              </w:rPr>
              <w:t>二叠系石千峰群、石盒子组砂岩层间裂隙承压水含水岩组</w:t>
            </w:r>
          </w:p>
          <w:p w14:paraId="060027DE" w14:textId="77777777" w:rsidR="009C353B" w:rsidRDefault="00000000">
            <w:pPr>
              <w:spacing w:line="360" w:lineRule="atLeast"/>
              <w:jc w:val="left"/>
              <w:rPr>
                <w:rFonts w:ascii="Times New Roman" w:hAnsi="Times New Roman"/>
                <w:sz w:val="21"/>
                <w:szCs w:val="21"/>
              </w:rPr>
            </w:pPr>
            <w:r>
              <w:rPr>
                <w:rFonts w:ascii="Times New Roman" w:hAnsi="Times New Roman"/>
                <w:sz w:val="21"/>
                <w:szCs w:val="21"/>
              </w:rPr>
              <w:t>V</w:t>
            </w:r>
            <w:r>
              <w:rPr>
                <w:rFonts w:ascii="Times New Roman" w:hAnsi="Times New Roman" w:hint="eastAsia"/>
                <w:sz w:val="21"/>
                <w:szCs w:val="21"/>
              </w:rPr>
              <w:t>-</w:t>
            </w:r>
            <w:r>
              <w:rPr>
                <w:rFonts w:ascii="Times New Roman" w:hAnsi="Times New Roman"/>
                <w:sz w:val="21"/>
                <w:szCs w:val="21"/>
              </w:rPr>
              <w:t>二叠系下统山西组砂岩裂隙孔隙含水层组</w:t>
            </w:r>
          </w:p>
          <w:p w14:paraId="4F062C44" w14:textId="77777777" w:rsidR="009C353B" w:rsidRDefault="00000000">
            <w:pPr>
              <w:spacing w:line="360" w:lineRule="atLeast"/>
              <w:jc w:val="left"/>
              <w:rPr>
                <w:rFonts w:ascii="Times New Roman" w:hAnsi="Times New Roman"/>
                <w:sz w:val="21"/>
                <w:szCs w:val="21"/>
              </w:rPr>
            </w:pPr>
            <w:r>
              <w:rPr>
                <w:rFonts w:ascii="Times New Roman" w:hAnsi="Times New Roman"/>
                <w:sz w:val="21"/>
                <w:szCs w:val="21"/>
              </w:rPr>
              <w:t>VI</w:t>
            </w:r>
            <w:r>
              <w:rPr>
                <w:rFonts w:ascii="Times New Roman" w:hAnsi="Times New Roman" w:hint="eastAsia"/>
                <w:sz w:val="21"/>
                <w:szCs w:val="21"/>
              </w:rPr>
              <w:t>-</w:t>
            </w:r>
            <w:r>
              <w:rPr>
                <w:rFonts w:ascii="Times New Roman" w:hAnsi="Times New Roman"/>
                <w:sz w:val="21"/>
                <w:szCs w:val="21"/>
              </w:rPr>
              <w:t>石炭系上统</w:t>
            </w:r>
            <w:r>
              <w:rPr>
                <w:rFonts w:ascii="Times New Roman" w:hAnsi="Times New Roman"/>
                <w:sz w:val="21"/>
                <w:szCs w:val="21"/>
              </w:rPr>
              <w:t>―</w:t>
            </w:r>
            <w:r>
              <w:rPr>
                <w:rFonts w:ascii="Times New Roman" w:hAnsi="Times New Roman"/>
                <w:sz w:val="21"/>
                <w:szCs w:val="21"/>
              </w:rPr>
              <w:t>二叠系下统太原组砂岩裂隙孔隙含水层组</w:t>
            </w:r>
          </w:p>
          <w:p w14:paraId="3ADD0485" w14:textId="77777777" w:rsidR="009C353B" w:rsidRDefault="00000000">
            <w:pPr>
              <w:spacing w:line="360" w:lineRule="atLeast"/>
              <w:jc w:val="left"/>
              <w:rPr>
                <w:rFonts w:ascii="Times New Roman" w:hAnsi="Times New Roman"/>
                <w:sz w:val="21"/>
                <w:szCs w:val="21"/>
              </w:rPr>
            </w:pPr>
            <w:r>
              <w:rPr>
                <w:rFonts w:ascii="Times New Roman" w:hAnsi="Times New Roman"/>
                <w:sz w:val="21"/>
                <w:szCs w:val="21"/>
              </w:rPr>
              <w:t>Ⅶ</w:t>
            </w:r>
            <w:r>
              <w:rPr>
                <w:rFonts w:ascii="Times New Roman" w:hAnsi="Times New Roman" w:hint="eastAsia"/>
                <w:sz w:val="21"/>
                <w:szCs w:val="21"/>
              </w:rPr>
              <w:t>-</w:t>
            </w:r>
            <w:r>
              <w:rPr>
                <w:rFonts w:ascii="Times New Roman" w:hAnsi="Times New Roman"/>
                <w:sz w:val="21"/>
                <w:szCs w:val="21"/>
              </w:rPr>
              <w:t>石炭系上统</w:t>
            </w:r>
            <w:r>
              <w:rPr>
                <w:rFonts w:ascii="Times New Roman" w:hAnsi="Times New Roman" w:hint="eastAsia"/>
                <w:sz w:val="21"/>
                <w:szCs w:val="21"/>
              </w:rPr>
              <w:t>土坡组</w:t>
            </w:r>
            <w:r>
              <w:rPr>
                <w:rFonts w:ascii="Times New Roman" w:hAnsi="Times New Roman"/>
                <w:sz w:val="21"/>
                <w:szCs w:val="21"/>
              </w:rPr>
              <w:t>砂岩层间裂隙承压水</w:t>
            </w:r>
          </w:p>
          <w:p w14:paraId="4C0337A9" w14:textId="77777777" w:rsidR="009C353B" w:rsidRDefault="00000000">
            <w:pPr>
              <w:spacing w:line="360" w:lineRule="atLeast"/>
              <w:jc w:val="left"/>
              <w:rPr>
                <w:rFonts w:ascii="Times New Roman" w:hAnsi="Times New Roman"/>
                <w:szCs w:val="24"/>
              </w:rPr>
            </w:pPr>
            <w:r>
              <w:rPr>
                <w:rFonts w:ascii="Times New Roman" w:hAnsi="Times New Roman"/>
                <w:sz w:val="21"/>
                <w:szCs w:val="21"/>
              </w:rPr>
              <w:t>Ⅷ</w:t>
            </w:r>
            <w:r>
              <w:rPr>
                <w:rFonts w:ascii="Times New Roman" w:hAnsi="Times New Roman" w:hint="eastAsia"/>
                <w:sz w:val="21"/>
                <w:szCs w:val="21"/>
              </w:rPr>
              <w:t>-</w:t>
            </w:r>
            <w:r>
              <w:rPr>
                <w:rFonts w:ascii="Times New Roman" w:hAnsi="Times New Roman"/>
                <w:sz w:val="21"/>
                <w:szCs w:val="21"/>
              </w:rPr>
              <w:t>奥陶系下统马家沟组灰岩承压含水层</w:t>
            </w:r>
          </w:p>
        </w:tc>
      </w:tr>
    </w:tbl>
    <w:p w14:paraId="391F7ED7" w14:textId="77777777" w:rsidR="009C353B" w:rsidRDefault="00000000">
      <w:pPr>
        <w:spacing w:line="440" w:lineRule="exact"/>
        <w:jc w:val="center"/>
        <w:rPr>
          <w:rFonts w:ascii="Times New Roman" w:hAnsi="Times New Roman"/>
          <w:b/>
          <w:bCs/>
          <w:szCs w:val="24"/>
        </w:rPr>
      </w:pPr>
      <w:r>
        <w:rPr>
          <w:rFonts w:ascii="Times New Roman" w:hAnsi="Times New Roman"/>
          <w:b/>
          <w:bCs/>
          <w:szCs w:val="24"/>
        </w:rPr>
        <w:t>图</w:t>
      </w:r>
      <w:r>
        <w:rPr>
          <w:rFonts w:ascii="Times New Roman" w:hAnsi="Times New Roman" w:hint="eastAsia"/>
          <w:b/>
          <w:bCs/>
          <w:szCs w:val="24"/>
        </w:rPr>
        <w:t>6.3-</w:t>
      </w:r>
      <w:r>
        <w:rPr>
          <w:rFonts w:ascii="Times New Roman" w:hAnsi="Times New Roman"/>
          <w:b/>
          <w:bCs/>
          <w:szCs w:val="24"/>
        </w:rPr>
        <w:t xml:space="preserve">2  </w:t>
      </w:r>
      <w:r>
        <w:rPr>
          <w:rFonts w:ascii="Times New Roman" w:hAnsi="Times New Roman"/>
          <w:b/>
          <w:bCs/>
          <w:szCs w:val="24"/>
        </w:rPr>
        <w:t>横城矿区含水岩组划分示意图</w:t>
      </w:r>
    </w:p>
    <w:p w14:paraId="0851DC38"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1</w:t>
      </w:r>
      <w:r>
        <w:rPr>
          <w:rFonts w:ascii="Times New Roman" w:hAnsi="Times New Roman"/>
          <w:szCs w:val="24"/>
        </w:rPr>
        <w:t>）第四系（</w:t>
      </w:r>
      <w:r>
        <w:rPr>
          <w:rFonts w:ascii="Times New Roman" w:hAnsi="Times New Roman"/>
          <w:szCs w:val="24"/>
        </w:rPr>
        <w:t>Q</w:t>
      </w:r>
      <w:r>
        <w:rPr>
          <w:rFonts w:ascii="Times New Roman" w:hAnsi="Times New Roman"/>
          <w:szCs w:val="24"/>
        </w:rPr>
        <w:t>）松散岩类孔隙潜水含水岩组（</w:t>
      </w:r>
      <w:r>
        <w:rPr>
          <w:rFonts w:ascii="Times New Roman" w:hAnsi="Times New Roman"/>
          <w:szCs w:val="24"/>
        </w:rPr>
        <w:t>I</w:t>
      </w:r>
      <w:r>
        <w:rPr>
          <w:rFonts w:ascii="Times New Roman" w:hAnsi="Times New Roman"/>
          <w:szCs w:val="24"/>
        </w:rPr>
        <w:t>）</w:t>
      </w:r>
    </w:p>
    <w:p w14:paraId="477A0937"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矿区第四系黄土一般厚</w:t>
      </w:r>
      <w:r>
        <w:rPr>
          <w:rFonts w:ascii="Times New Roman" w:hAnsi="Times New Roman"/>
          <w:szCs w:val="24"/>
        </w:rPr>
        <w:t>2.92</w:t>
      </w:r>
      <w:r>
        <w:rPr>
          <w:rFonts w:ascii="Times New Roman" w:hAnsi="Times New Roman"/>
          <w:szCs w:val="24"/>
        </w:rPr>
        <w:t>～</w:t>
      </w:r>
      <w:r>
        <w:rPr>
          <w:rFonts w:ascii="Times New Roman" w:hAnsi="Times New Roman"/>
          <w:szCs w:val="24"/>
        </w:rPr>
        <w:t>21.50m</w:t>
      </w:r>
      <w:r>
        <w:rPr>
          <w:rFonts w:ascii="Times New Roman" w:hAnsi="Times New Roman"/>
          <w:szCs w:val="24"/>
        </w:rPr>
        <w:t>，最厚达</w:t>
      </w:r>
      <w:r>
        <w:rPr>
          <w:rFonts w:ascii="Times New Roman" w:hAnsi="Times New Roman"/>
          <w:szCs w:val="24"/>
        </w:rPr>
        <w:t>23.5m</w:t>
      </w:r>
      <w:r>
        <w:rPr>
          <w:rFonts w:ascii="Times New Roman" w:hAnsi="Times New Roman"/>
          <w:szCs w:val="24"/>
        </w:rPr>
        <w:t>，主要为粉砂、细砂，松散，其底部粗砂、砾岩发育不均并为其主要含水层，一般厚</w:t>
      </w:r>
      <w:r>
        <w:rPr>
          <w:rFonts w:ascii="Times New Roman" w:hAnsi="Times New Roman"/>
          <w:szCs w:val="24"/>
        </w:rPr>
        <w:t>0.7</w:t>
      </w:r>
      <w:r>
        <w:rPr>
          <w:rFonts w:ascii="Times New Roman" w:hAnsi="Times New Roman"/>
          <w:szCs w:val="24"/>
        </w:rPr>
        <w:t>～</w:t>
      </w:r>
      <w:r>
        <w:rPr>
          <w:rFonts w:ascii="Times New Roman" w:hAnsi="Times New Roman"/>
          <w:szCs w:val="24"/>
        </w:rPr>
        <w:t>5.5m</w:t>
      </w:r>
      <w:r>
        <w:rPr>
          <w:rFonts w:ascii="Times New Roman" w:hAnsi="Times New Roman"/>
          <w:szCs w:val="24"/>
        </w:rPr>
        <w:t>，透水性好，富水性弱，仅在低洼处方含水。一般水位埋深</w:t>
      </w:r>
      <w:r>
        <w:rPr>
          <w:rFonts w:ascii="Times New Roman" w:hAnsi="Times New Roman"/>
          <w:szCs w:val="24"/>
        </w:rPr>
        <w:t>2.46</w:t>
      </w:r>
      <w:r>
        <w:rPr>
          <w:rFonts w:ascii="Times New Roman" w:hAnsi="Times New Roman"/>
          <w:szCs w:val="24"/>
        </w:rPr>
        <w:t>～</w:t>
      </w:r>
      <w:r>
        <w:rPr>
          <w:rFonts w:ascii="Times New Roman" w:hAnsi="Times New Roman"/>
          <w:szCs w:val="24"/>
        </w:rPr>
        <w:t>22.69m</w:t>
      </w:r>
      <w:r>
        <w:rPr>
          <w:rFonts w:ascii="Times New Roman" w:hAnsi="Times New Roman"/>
          <w:szCs w:val="24"/>
        </w:rPr>
        <w:t>，水量很小，水质矿化度大于</w:t>
      </w:r>
      <w:r>
        <w:rPr>
          <w:rFonts w:ascii="Times New Roman" w:hAnsi="Times New Roman"/>
          <w:szCs w:val="24"/>
        </w:rPr>
        <w:t>1g/l</w:t>
      </w:r>
      <w:r>
        <w:rPr>
          <w:rFonts w:ascii="Times New Roman" w:hAnsi="Times New Roman"/>
          <w:szCs w:val="24"/>
        </w:rPr>
        <w:t>，多为牲畜饮用。该含水层主要接受大气降水的补给，还接受上游侧向径流的补给，以蒸发和泉的形式向地表水排泄。</w:t>
      </w:r>
    </w:p>
    <w:p w14:paraId="2FC057A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2</w:t>
      </w:r>
      <w:r>
        <w:rPr>
          <w:rFonts w:ascii="Times New Roman" w:hAnsi="Times New Roman"/>
          <w:szCs w:val="24"/>
        </w:rPr>
        <w:t>）古近系清水营组（</w:t>
      </w:r>
      <w:r>
        <w:rPr>
          <w:rFonts w:ascii="Times New Roman" w:hAnsi="Times New Roman"/>
          <w:szCs w:val="24"/>
        </w:rPr>
        <w:t>E</w:t>
      </w:r>
      <w:r>
        <w:rPr>
          <w:rFonts w:ascii="Times New Roman" w:hAnsi="Times New Roman"/>
          <w:szCs w:val="24"/>
          <w:vertAlign w:val="subscript"/>
        </w:rPr>
        <w:t>3</w:t>
      </w:r>
      <w:r>
        <w:rPr>
          <w:rFonts w:ascii="Times New Roman" w:hAnsi="Times New Roman"/>
          <w:szCs w:val="24"/>
        </w:rPr>
        <w:t>q</w:t>
      </w:r>
      <w:r>
        <w:rPr>
          <w:rFonts w:ascii="Times New Roman" w:hAnsi="Times New Roman"/>
          <w:szCs w:val="24"/>
        </w:rPr>
        <w:t>）孔隙裂隙承压水含水岩组（</w:t>
      </w:r>
      <w:r>
        <w:rPr>
          <w:rFonts w:ascii="Times New Roman" w:hAnsi="Times New Roman"/>
          <w:szCs w:val="24"/>
        </w:rPr>
        <w:fldChar w:fldCharType="begin"/>
      </w:r>
      <w:r>
        <w:rPr>
          <w:rFonts w:ascii="Times New Roman" w:hAnsi="Times New Roman"/>
          <w:szCs w:val="24"/>
        </w:rPr>
        <w:instrText xml:space="preserve"> = 2 \* ROMAN </w:instrText>
      </w:r>
      <w:r>
        <w:rPr>
          <w:rFonts w:ascii="Times New Roman" w:hAnsi="Times New Roman"/>
          <w:szCs w:val="24"/>
        </w:rPr>
        <w:fldChar w:fldCharType="separate"/>
      </w:r>
      <w:r>
        <w:rPr>
          <w:rFonts w:ascii="Times New Roman" w:hAnsi="Times New Roman"/>
          <w:szCs w:val="24"/>
        </w:rPr>
        <w:t>II</w:t>
      </w:r>
      <w:r>
        <w:rPr>
          <w:rFonts w:ascii="Times New Roman" w:hAnsi="Times New Roman"/>
          <w:szCs w:val="24"/>
        </w:rPr>
        <w:fldChar w:fldCharType="end"/>
      </w:r>
      <w:r>
        <w:rPr>
          <w:rFonts w:ascii="Times New Roman" w:hAnsi="Times New Roman"/>
          <w:szCs w:val="24"/>
        </w:rPr>
        <w:t>）</w:t>
      </w:r>
    </w:p>
    <w:p w14:paraId="00EF5EE3"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古近系渐新统清水营组（</w:t>
      </w:r>
      <w:r>
        <w:rPr>
          <w:rFonts w:ascii="Times New Roman" w:hAnsi="Times New Roman"/>
          <w:szCs w:val="24"/>
        </w:rPr>
        <w:t>E</w:t>
      </w:r>
      <w:r>
        <w:rPr>
          <w:rFonts w:ascii="Times New Roman" w:hAnsi="Times New Roman"/>
          <w:szCs w:val="24"/>
          <w:vertAlign w:val="subscript"/>
        </w:rPr>
        <w:t>3</w:t>
      </w:r>
      <w:r>
        <w:rPr>
          <w:rFonts w:ascii="Times New Roman" w:hAnsi="Times New Roman"/>
          <w:szCs w:val="24"/>
        </w:rPr>
        <w:t>q</w:t>
      </w:r>
      <w:r>
        <w:rPr>
          <w:rFonts w:ascii="Times New Roman" w:hAnsi="Times New Roman"/>
          <w:szCs w:val="24"/>
        </w:rPr>
        <w:t>）红土层，矿区内多被第四系覆盖，厚度</w:t>
      </w:r>
      <w:r>
        <w:rPr>
          <w:rFonts w:ascii="Times New Roman" w:hAnsi="Times New Roman"/>
          <w:szCs w:val="24"/>
        </w:rPr>
        <w:t>13.35</w:t>
      </w:r>
      <w:r>
        <w:rPr>
          <w:rFonts w:ascii="Times New Roman" w:hAnsi="Times New Roman"/>
          <w:szCs w:val="24"/>
        </w:rPr>
        <w:t>～</w:t>
      </w:r>
      <w:r>
        <w:rPr>
          <w:rFonts w:ascii="Times New Roman" w:hAnsi="Times New Roman"/>
          <w:szCs w:val="24"/>
        </w:rPr>
        <w:t>302.41m</w:t>
      </w:r>
      <w:r>
        <w:rPr>
          <w:rFonts w:ascii="Times New Roman" w:hAnsi="Times New Roman"/>
          <w:szCs w:val="24"/>
        </w:rPr>
        <w:t>，平均厚度</w:t>
      </w:r>
      <w:r>
        <w:rPr>
          <w:rFonts w:ascii="Times New Roman" w:hAnsi="Times New Roman"/>
          <w:szCs w:val="24"/>
        </w:rPr>
        <w:t>158.13m</w:t>
      </w:r>
      <w:r>
        <w:rPr>
          <w:rFonts w:ascii="Times New Roman" w:hAnsi="Times New Roman"/>
          <w:szCs w:val="24"/>
        </w:rPr>
        <w:t>。岩性主要为棕红色泥岩、砂质泥岩夹浅色石膏层，底部普遍发育棕红色半胶结砂砾层。上部地层为致密的隔水岩层，仅底部砾岩层为相对较好的含水层，赋存微量地下水，具承压性质。</w:t>
      </w:r>
    </w:p>
    <w:p w14:paraId="7A17ED4C"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据红石湾煤矿</w:t>
      </w:r>
      <w:r>
        <w:rPr>
          <w:rFonts w:ascii="Times New Roman" w:hAnsi="Times New Roman"/>
          <w:szCs w:val="24"/>
        </w:rPr>
        <w:t>242</w:t>
      </w:r>
      <w:r>
        <w:rPr>
          <w:rFonts w:ascii="Times New Roman" w:hAnsi="Times New Roman"/>
          <w:szCs w:val="24"/>
        </w:rPr>
        <w:t>、</w:t>
      </w:r>
      <w:r>
        <w:rPr>
          <w:rFonts w:ascii="Times New Roman" w:hAnsi="Times New Roman"/>
          <w:szCs w:val="24"/>
        </w:rPr>
        <w:t>326</w:t>
      </w:r>
      <w:r>
        <w:rPr>
          <w:rFonts w:ascii="Times New Roman" w:hAnsi="Times New Roman"/>
          <w:szCs w:val="24"/>
        </w:rPr>
        <w:t>、</w:t>
      </w:r>
      <w:r>
        <w:rPr>
          <w:rFonts w:ascii="Times New Roman" w:hAnsi="Times New Roman"/>
          <w:szCs w:val="24"/>
        </w:rPr>
        <w:t>445</w:t>
      </w:r>
      <w:r>
        <w:rPr>
          <w:rFonts w:ascii="Times New Roman" w:hAnsi="Times New Roman"/>
          <w:szCs w:val="24"/>
        </w:rPr>
        <w:t>、检</w:t>
      </w:r>
      <w:r>
        <w:rPr>
          <w:rFonts w:ascii="Times New Roman" w:hAnsi="Times New Roman"/>
          <w:szCs w:val="24"/>
        </w:rPr>
        <w:t>1</w:t>
      </w:r>
      <w:r>
        <w:rPr>
          <w:rFonts w:ascii="Times New Roman" w:hAnsi="Times New Roman"/>
          <w:szCs w:val="24"/>
        </w:rPr>
        <w:t>孔、</w:t>
      </w:r>
      <w:r>
        <w:rPr>
          <w:rFonts w:ascii="Times New Roman" w:hAnsi="Times New Roman"/>
          <w:szCs w:val="24"/>
        </w:rPr>
        <w:t>1701</w:t>
      </w:r>
      <w:r>
        <w:rPr>
          <w:rFonts w:ascii="Times New Roman" w:hAnsi="Times New Roman"/>
          <w:szCs w:val="24"/>
        </w:rPr>
        <w:t>孔资料得知，该含水层在红石湾煤矿地下水位总体趋势为东高西低，地下水自东向西排泄。该层孔隙发育，富水性相对较好，为主要含水层，在煤层隐伏露头区，充当煤层的直接充水含水层。古近系底部砾岩层之下，普遍存在古风化层，具有古风化壳特征。钻孔揭露该层段岩性，岩层颜色呈浅黄色，疏松易碎，风化强烈，下部泥岩层呈乳白色、浅黄色，含铝土质黄褐色斑。由于底部砾岩胶结状况差异性较明显，表现为北部和西部较疏松，孔隙、裂隙发育程度较好，含水层富水性中等。矿区东南部，由于底部砾岩胶结相对致密，含水层富水性弱。结合以往资料，水位埋深</w:t>
      </w:r>
      <w:r>
        <w:rPr>
          <w:rFonts w:ascii="Times New Roman" w:hAnsi="Times New Roman"/>
          <w:szCs w:val="24"/>
        </w:rPr>
        <w:t>+5.17</w:t>
      </w:r>
      <w:r>
        <w:rPr>
          <w:rFonts w:ascii="Times New Roman" w:hAnsi="Times New Roman"/>
          <w:szCs w:val="24"/>
        </w:rPr>
        <w:t>～</w:t>
      </w:r>
      <w:r>
        <w:rPr>
          <w:rFonts w:ascii="Times New Roman" w:hAnsi="Times New Roman"/>
          <w:szCs w:val="24"/>
        </w:rPr>
        <w:t>56.90m</w:t>
      </w:r>
      <w:r>
        <w:rPr>
          <w:rFonts w:ascii="Times New Roman" w:hAnsi="Times New Roman"/>
          <w:szCs w:val="24"/>
        </w:rPr>
        <w:t>，</w:t>
      </w:r>
      <w:r>
        <w:rPr>
          <w:rFonts w:ascii="Times New Roman" w:hAnsi="Times New Roman"/>
          <w:szCs w:val="24"/>
        </w:rPr>
        <w:t>445</w:t>
      </w:r>
      <w:r>
        <w:rPr>
          <w:rFonts w:ascii="Times New Roman" w:hAnsi="Times New Roman"/>
          <w:szCs w:val="24"/>
        </w:rPr>
        <w:t>号揭穿上部隔水层时，以承压水涌出地面。本层段含水层渗透系数</w:t>
      </w:r>
      <w:r>
        <w:rPr>
          <w:rFonts w:ascii="Times New Roman" w:hAnsi="Times New Roman"/>
          <w:szCs w:val="24"/>
        </w:rPr>
        <w:t>0.0091</w:t>
      </w:r>
      <w:r>
        <w:rPr>
          <w:rFonts w:ascii="Times New Roman" w:hAnsi="Times New Roman"/>
          <w:szCs w:val="24"/>
        </w:rPr>
        <w:t>～</w:t>
      </w:r>
      <w:r>
        <w:rPr>
          <w:rFonts w:ascii="Times New Roman" w:hAnsi="Times New Roman"/>
          <w:szCs w:val="24"/>
        </w:rPr>
        <w:t>1.660</w:t>
      </w:r>
      <w:r>
        <w:rPr>
          <w:rFonts w:ascii="Times New Roman" w:hAnsi="Times New Roman"/>
          <w:szCs w:val="24"/>
        </w:rPr>
        <w:t>，单位涌水量</w:t>
      </w:r>
      <w:r>
        <w:rPr>
          <w:rFonts w:ascii="Times New Roman" w:hAnsi="Times New Roman"/>
          <w:szCs w:val="24"/>
        </w:rPr>
        <w:t>0.0035</w:t>
      </w:r>
      <w:r>
        <w:rPr>
          <w:rFonts w:ascii="Times New Roman" w:hAnsi="Times New Roman"/>
          <w:szCs w:val="24"/>
        </w:rPr>
        <w:t>～</w:t>
      </w:r>
      <w:r>
        <w:rPr>
          <w:rFonts w:ascii="Times New Roman" w:hAnsi="Times New Roman"/>
          <w:szCs w:val="24"/>
        </w:rPr>
        <w:t>0.2173 L/s·m</w:t>
      </w:r>
      <w:r>
        <w:rPr>
          <w:rFonts w:ascii="Times New Roman" w:hAnsi="Times New Roman"/>
          <w:szCs w:val="24"/>
        </w:rPr>
        <w:t>，地下水水化学类型为</w:t>
      </w:r>
      <w:r>
        <w:rPr>
          <w:rFonts w:ascii="Times New Roman" w:hAnsi="Times New Roman"/>
          <w:szCs w:val="24"/>
        </w:rPr>
        <w:t>Cl·SO</w:t>
      </w:r>
      <w:r>
        <w:rPr>
          <w:rFonts w:ascii="Times New Roman" w:hAnsi="Times New Roman"/>
          <w:szCs w:val="24"/>
          <w:vertAlign w:val="subscript"/>
        </w:rPr>
        <w:t>4</w:t>
      </w:r>
      <w:r>
        <w:rPr>
          <w:rFonts w:ascii="Times New Roman" w:hAnsi="Times New Roman"/>
          <w:szCs w:val="24"/>
        </w:rPr>
        <w:t>-Na</w:t>
      </w:r>
      <w:r>
        <w:rPr>
          <w:rFonts w:ascii="Times New Roman" w:hAnsi="Times New Roman"/>
          <w:szCs w:val="24"/>
        </w:rPr>
        <w:t>，地下水矿化度</w:t>
      </w:r>
      <w:r>
        <w:rPr>
          <w:rFonts w:ascii="Times New Roman" w:hAnsi="Times New Roman"/>
          <w:szCs w:val="24"/>
        </w:rPr>
        <w:t>0.96</w:t>
      </w:r>
      <w:r>
        <w:rPr>
          <w:rFonts w:ascii="Times New Roman" w:hAnsi="Times New Roman"/>
          <w:szCs w:val="24"/>
        </w:rPr>
        <w:t>～</w:t>
      </w:r>
      <w:r>
        <w:rPr>
          <w:rFonts w:ascii="Times New Roman" w:hAnsi="Times New Roman"/>
          <w:szCs w:val="24"/>
        </w:rPr>
        <w:t>11.57g/L</w:t>
      </w:r>
      <w:r>
        <w:rPr>
          <w:rFonts w:ascii="Times New Roman" w:hAnsi="Times New Roman"/>
          <w:szCs w:val="24"/>
        </w:rPr>
        <w:t>，多数为弱咸水或咸水，该层古近系地下水，对煤系地层隐伏露头区附近的煤层开采产生影响，可能会成为煤层开采的直接充水水源。据详勘报告，</w:t>
      </w:r>
      <w:r>
        <w:rPr>
          <w:rFonts w:ascii="Times New Roman" w:hAnsi="Times New Roman"/>
          <w:szCs w:val="24"/>
        </w:rPr>
        <w:t>154</w:t>
      </w:r>
      <w:r>
        <w:rPr>
          <w:rFonts w:ascii="Times New Roman" w:hAnsi="Times New Roman"/>
          <w:szCs w:val="24"/>
        </w:rPr>
        <w:t>号孔涌水</w:t>
      </w:r>
      <w:r>
        <w:rPr>
          <w:rFonts w:ascii="Times New Roman" w:hAnsi="Times New Roman"/>
          <w:szCs w:val="24"/>
        </w:rPr>
        <w:t>24</w:t>
      </w:r>
      <w:r>
        <w:rPr>
          <w:rFonts w:ascii="Times New Roman" w:hAnsi="Times New Roman"/>
          <w:szCs w:val="24"/>
        </w:rPr>
        <w:t>小时后，水量由水量由</w:t>
      </w:r>
      <w:r>
        <w:rPr>
          <w:rFonts w:ascii="Times New Roman" w:hAnsi="Times New Roman"/>
          <w:szCs w:val="24"/>
        </w:rPr>
        <w:t>1.94 L/s</w:t>
      </w:r>
      <w:r>
        <w:rPr>
          <w:rFonts w:ascii="Times New Roman" w:hAnsi="Times New Roman"/>
          <w:szCs w:val="24"/>
        </w:rPr>
        <w:t>递减为</w:t>
      </w:r>
      <w:r>
        <w:rPr>
          <w:rFonts w:ascii="Times New Roman" w:hAnsi="Times New Roman"/>
          <w:szCs w:val="24"/>
        </w:rPr>
        <w:t>0.159 L/s</w:t>
      </w:r>
      <w:r>
        <w:rPr>
          <w:rFonts w:ascii="Times New Roman" w:hAnsi="Times New Roman"/>
          <w:szCs w:val="24"/>
        </w:rPr>
        <w:t>；</w:t>
      </w:r>
      <w:r>
        <w:rPr>
          <w:rFonts w:ascii="Times New Roman" w:hAnsi="Times New Roman"/>
          <w:szCs w:val="24"/>
        </w:rPr>
        <w:t>160</w:t>
      </w:r>
      <w:r>
        <w:rPr>
          <w:rFonts w:ascii="Times New Roman" w:hAnsi="Times New Roman"/>
          <w:szCs w:val="24"/>
        </w:rPr>
        <w:t>号孔水量</w:t>
      </w:r>
      <w:r>
        <w:rPr>
          <w:rFonts w:ascii="Times New Roman" w:hAnsi="Times New Roman"/>
          <w:szCs w:val="24"/>
        </w:rPr>
        <w:t>2.53 L/s</w:t>
      </w:r>
      <w:r>
        <w:rPr>
          <w:rFonts w:ascii="Times New Roman" w:hAnsi="Times New Roman"/>
          <w:szCs w:val="24"/>
        </w:rPr>
        <w:t>，经两个月后递减为</w:t>
      </w:r>
      <w:r>
        <w:rPr>
          <w:rFonts w:ascii="Times New Roman" w:hAnsi="Times New Roman"/>
          <w:szCs w:val="24"/>
        </w:rPr>
        <w:t>0.183 L/s</w:t>
      </w:r>
      <w:r>
        <w:rPr>
          <w:rFonts w:ascii="Times New Roman" w:hAnsi="Times New Roman"/>
          <w:szCs w:val="24"/>
        </w:rPr>
        <w:t>，水量随时间的延长而逐渐变小，说明砾岩含水层储量不大，主要为静储量，对煤层开采的影响有限。</w:t>
      </w:r>
    </w:p>
    <w:p w14:paraId="02F77DB7"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任家庄煤矿据勘查阶段资料，</w:t>
      </w:r>
      <w:r>
        <w:rPr>
          <w:rFonts w:ascii="Times New Roman" w:hAnsi="Times New Roman"/>
          <w:szCs w:val="24"/>
        </w:rPr>
        <w:t>12</w:t>
      </w:r>
      <w:r>
        <w:rPr>
          <w:rFonts w:ascii="Times New Roman" w:hAnsi="Times New Roman"/>
          <w:szCs w:val="24"/>
        </w:rPr>
        <w:t>勘探线以南经</w:t>
      </w:r>
      <w:r>
        <w:rPr>
          <w:rFonts w:ascii="Times New Roman" w:hAnsi="Times New Roman"/>
          <w:szCs w:val="24"/>
        </w:rPr>
        <w:t>242</w:t>
      </w:r>
      <w:r>
        <w:rPr>
          <w:rFonts w:ascii="Times New Roman" w:hAnsi="Times New Roman"/>
          <w:szCs w:val="24"/>
        </w:rPr>
        <w:t>、</w:t>
      </w:r>
      <w:r>
        <w:rPr>
          <w:rFonts w:ascii="Times New Roman" w:hAnsi="Times New Roman"/>
          <w:szCs w:val="24"/>
        </w:rPr>
        <w:t>326</w:t>
      </w:r>
      <w:r>
        <w:rPr>
          <w:rFonts w:ascii="Times New Roman" w:hAnsi="Times New Roman"/>
          <w:szCs w:val="24"/>
        </w:rPr>
        <w:t>号孔，抽水试验结果，该层单位涌水量</w:t>
      </w:r>
      <w:r>
        <w:rPr>
          <w:rFonts w:ascii="Times New Roman" w:hAnsi="Times New Roman"/>
          <w:szCs w:val="24"/>
        </w:rPr>
        <w:t>0.0035</w:t>
      </w:r>
      <w:r>
        <w:rPr>
          <w:rFonts w:ascii="Times New Roman" w:hAnsi="Times New Roman"/>
          <w:szCs w:val="24"/>
        </w:rPr>
        <w:t>～</w:t>
      </w:r>
      <w:r>
        <w:rPr>
          <w:rFonts w:ascii="Times New Roman" w:hAnsi="Times New Roman"/>
          <w:szCs w:val="24"/>
        </w:rPr>
        <w:t>0.0174L/s·m</w:t>
      </w:r>
      <w:r>
        <w:rPr>
          <w:rFonts w:ascii="Times New Roman" w:hAnsi="Times New Roman"/>
          <w:szCs w:val="24"/>
        </w:rPr>
        <w:t>，属弱富水含水层。</w:t>
      </w:r>
      <w:r>
        <w:rPr>
          <w:rFonts w:ascii="Times New Roman" w:hAnsi="Times New Roman"/>
          <w:szCs w:val="24"/>
        </w:rPr>
        <w:t>12</w:t>
      </w:r>
      <w:r>
        <w:rPr>
          <w:rFonts w:ascii="Times New Roman" w:hAnsi="Times New Roman"/>
          <w:szCs w:val="24"/>
        </w:rPr>
        <w:t>勘探线以北</w:t>
      </w:r>
      <w:r>
        <w:rPr>
          <w:rFonts w:ascii="Times New Roman" w:hAnsi="Times New Roman"/>
          <w:szCs w:val="24"/>
          <w:lang w:val="zh-CN"/>
        </w:rPr>
        <w:t>水洞沟</w:t>
      </w:r>
      <w:r>
        <w:rPr>
          <w:rFonts w:ascii="Times New Roman" w:hAnsi="Times New Roman"/>
          <w:szCs w:val="24"/>
        </w:rPr>
        <w:t>，</w:t>
      </w:r>
      <w:r>
        <w:rPr>
          <w:rFonts w:ascii="Times New Roman" w:hAnsi="Times New Roman"/>
          <w:szCs w:val="24"/>
        </w:rPr>
        <w:t>445</w:t>
      </w:r>
      <w:r>
        <w:rPr>
          <w:rFonts w:ascii="Times New Roman" w:hAnsi="Times New Roman"/>
          <w:szCs w:val="24"/>
        </w:rPr>
        <w:t>号孔抽水单位涌水量为</w:t>
      </w:r>
      <w:r>
        <w:rPr>
          <w:rFonts w:ascii="Times New Roman" w:hAnsi="Times New Roman"/>
          <w:szCs w:val="24"/>
        </w:rPr>
        <w:t>0.185L/</w:t>
      </w:r>
      <w:r>
        <w:rPr>
          <w:rFonts w:ascii="Times New Roman" w:hAnsi="Times New Roman"/>
          <w:szCs w:val="24"/>
        </w:rPr>
        <w:t>秒</w:t>
      </w:r>
      <w:r>
        <w:rPr>
          <w:rFonts w:ascii="Times New Roman" w:hAnsi="Times New Roman"/>
          <w:szCs w:val="24"/>
        </w:rPr>
        <w:t>·</w:t>
      </w:r>
      <w:r>
        <w:rPr>
          <w:rFonts w:ascii="Times New Roman" w:hAnsi="Times New Roman"/>
          <w:szCs w:val="24"/>
        </w:rPr>
        <w:t>米，渗透系数为</w:t>
      </w:r>
      <w:r>
        <w:rPr>
          <w:rFonts w:ascii="Times New Roman" w:hAnsi="Times New Roman"/>
          <w:szCs w:val="24"/>
        </w:rPr>
        <w:t>0.509</w:t>
      </w:r>
      <w:r>
        <w:rPr>
          <w:rFonts w:ascii="Times New Roman" w:hAnsi="Times New Roman"/>
          <w:szCs w:val="24"/>
        </w:rPr>
        <w:t>米</w:t>
      </w:r>
      <w:r>
        <w:rPr>
          <w:rFonts w:ascii="Times New Roman" w:hAnsi="Times New Roman"/>
          <w:szCs w:val="24"/>
        </w:rPr>
        <w:t>/</w:t>
      </w:r>
      <w:r>
        <w:rPr>
          <w:rFonts w:ascii="Times New Roman" w:hAnsi="Times New Roman"/>
          <w:szCs w:val="24"/>
        </w:rPr>
        <w:t>日，砾岩富水性较强，水量由南往北逐渐增大。</w:t>
      </w:r>
    </w:p>
    <w:p w14:paraId="6B9E934B"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红石湾煤矿本层段含水层渗透系数</w:t>
      </w:r>
      <w:r>
        <w:rPr>
          <w:rFonts w:ascii="Times New Roman" w:hAnsi="Times New Roman"/>
          <w:szCs w:val="24"/>
        </w:rPr>
        <w:t>0.0091</w:t>
      </w:r>
      <w:r>
        <w:rPr>
          <w:rFonts w:ascii="Times New Roman" w:hAnsi="Times New Roman"/>
          <w:szCs w:val="24"/>
        </w:rPr>
        <w:t>～</w:t>
      </w:r>
      <w:r>
        <w:rPr>
          <w:rFonts w:ascii="Times New Roman" w:hAnsi="Times New Roman"/>
          <w:szCs w:val="24"/>
        </w:rPr>
        <w:t>1.660</w:t>
      </w:r>
      <w:r>
        <w:rPr>
          <w:rFonts w:ascii="Times New Roman" w:hAnsi="Times New Roman"/>
          <w:szCs w:val="24"/>
        </w:rPr>
        <w:t>，单位涌水量</w:t>
      </w:r>
      <w:r>
        <w:rPr>
          <w:rFonts w:ascii="Times New Roman" w:hAnsi="Times New Roman"/>
          <w:szCs w:val="24"/>
        </w:rPr>
        <w:t>0.0035</w:t>
      </w:r>
      <w:r>
        <w:rPr>
          <w:rFonts w:ascii="Times New Roman" w:hAnsi="Times New Roman"/>
          <w:szCs w:val="24"/>
        </w:rPr>
        <w:t>～</w:t>
      </w:r>
      <w:r>
        <w:rPr>
          <w:rFonts w:ascii="Times New Roman" w:hAnsi="Times New Roman"/>
          <w:szCs w:val="24"/>
        </w:rPr>
        <w:t>0.2173L/s·m</w:t>
      </w:r>
      <w:r>
        <w:rPr>
          <w:rFonts w:ascii="Times New Roman" w:hAnsi="Times New Roman"/>
          <w:szCs w:val="24"/>
        </w:rPr>
        <w:t>，属中等富水性含水层，地下水水化学类型为</w:t>
      </w:r>
      <w:r>
        <w:rPr>
          <w:rFonts w:ascii="Times New Roman" w:hAnsi="Times New Roman"/>
          <w:szCs w:val="24"/>
        </w:rPr>
        <w:t>Cl·SO</w:t>
      </w:r>
      <w:r>
        <w:rPr>
          <w:rFonts w:ascii="Times New Roman" w:hAnsi="Times New Roman"/>
          <w:szCs w:val="24"/>
          <w:vertAlign w:val="subscript"/>
        </w:rPr>
        <w:t>4</w:t>
      </w:r>
      <w:r>
        <w:rPr>
          <w:rFonts w:ascii="Times New Roman" w:hAnsi="Times New Roman"/>
          <w:szCs w:val="24"/>
        </w:rPr>
        <w:t>-Na</w:t>
      </w:r>
      <w:r>
        <w:rPr>
          <w:rFonts w:ascii="Times New Roman" w:hAnsi="Times New Roman"/>
          <w:szCs w:val="24"/>
        </w:rPr>
        <w:t>，地下水矿化度</w:t>
      </w:r>
      <w:r>
        <w:rPr>
          <w:rFonts w:ascii="Times New Roman" w:hAnsi="Times New Roman"/>
          <w:szCs w:val="24"/>
        </w:rPr>
        <w:t>0.96</w:t>
      </w:r>
      <w:r>
        <w:rPr>
          <w:rFonts w:ascii="Times New Roman" w:hAnsi="Times New Roman"/>
          <w:szCs w:val="24"/>
        </w:rPr>
        <w:t>～</w:t>
      </w:r>
      <w:r>
        <w:rPr>
          <w:rFonts w:ascii="Times New Roman" w:hAnsi="Times New Roman"/>
          <w:szCs w:val="24"/>
        </w:rPr>
        <w:t>11.57g/L</w:t>
      </w:r>
      <w:r>
        <w:rPr>
          <w:rFonts w:ascii="Times New Roman" w:hAnsi="Times New Roman"/>
          <w:szCs w:val="24"/>
        </w:rPr>
        <w:t>，多数为弱咸水或咸水。</w:t>
      </w:r>
    </w:p>
    <w:p w14:paraId="3D859ED5"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马莲台煤矿据钻孔抽水试验，静止水位</w:t>
      </w:r>
      <w:r>
        <w:rPr>
          <w:rFonts w:ascii="Times New Roman" w:hAnsi="Times New Roman"/>
          <w:szCs w:val="24"/>
        </w:rPr>
        <w:t>+9.62</w:t>
      </w:r>
      <w:r>
        <w:rPr>
          <w:rFonts w:ascii="Times New Roman" w:hAnsi="Times New Roman"/>
          <w:szCs w:val="24"/>
        </w:rPr>
        <w:t>～</w:t>
      </w:r>
      <w:r>
        <w:rPr>
          <w:rFonts w:ascii="Times New Roman" w:hAnsi="Times New Roman"/>
          <w:szCs w:val="24"/>
        </w:rPr>
        <w:t>19.05m</w:t>
      </w:r>
      <w:r>
        <w:rPr>
          <w:rFonts w:ascii="Times New Roman" w:hAnsi="Times New Roman"/>
          <w:szCs w:val="24"/>
        </w:rPr>
        <w:t>，水位最大降深</w:t>
      </w:r>
      <w:r>
        <w:rPr>
          <w:rFonts w:ascii="Times New Roman" w:hAnsi="Times New Roman"/>
          <w:szCs w:val="24"/>
        </w:rPr>
        <w:t>25.53</w:t>
      </w:r>
      <w:r>
        <w:rPr>
          <w:rFonts w:ascii="Times New Roman" w:hAnsi="Times New Roman"/>
          <w:szCs w:val="24"/>
        </w:rPr>
        <w:t>～</w:t>
      </w:r>
      <w:r>
        <w:rPr>
          <w:rFonts w:ascii="Times New Roman" w:hAnsi="Times New Roman"/>
          <w:szCs w:val="24"/>
        </w:rPr>
        <w:t>72.36m</w:t>
      </w:r>
      <w:r>
        <w:rPr>
          <w:rFonts w:ascii="Times New Roman" w:hAnsi="Times New Roman"/>
          <w:szCs w:val="24"/>
        </w:rPr>
        <w:t>，涌水量</w:t>
      </w:r>
      <w:r>
        <w:rPr>
          <w:rFonts w:ascii="Times New Roman" w:hAnsi="Times New Roman"/>
          <w:szCs w:val="24"/>
        </w:rPr>
        <w:t>0.74</w:t>
      </w:r>
      <w:r>
        <w:rPr>
          <w:rFonts w:ascii="Times New Roman" w:hAnsi="Times New Roman"/>
          <w:szCs w:val="24"/>
        </w:rPr>
        <w:t>～</w:t>
      </w:r>
      <w:r>
        <w:rPr>
          <w:rFonts w:ascii="Times New Roman" w:hAnsi="Times New Roman"/>
          <w:szCs w:val="24"/>
        </w:rPr>
        <w:t>6.16L/s</w:t>
      </w:r>
      <w:r>
        <w:rPr>
          <w:rFonts w:ascii="Times New Roman" w:hAnsi="Times New Roman"/>
          <w:szCs w:val="24"/>
        </w:rPr>
        <w:t>，标准单位涌水量</w:t>
      </w:r>
      <w:r>
        <w:rPr>
          <w:rFonts w:ascii="Times New Roman" w:hAnsi="Times New Roman"/>
          <w:szCs w:val="24"/>
        </w:rPr>
        <w:t>0.0095</w:t>
      </w:r>
      <w:r>
        <w:rPr>
          <w:rFonts w:ascii="Times New Roman" w:hAnsi="Times New Roman"/>
          <w:szCs w:val="24"/>
        </w:rPr>
        <w:t>～</w:t>
      </w:r>
      <w:r>
        <w:rPr>
          <w:rFonts w:ascii="Times New Roman" w:hAnsi="Times New Roman"/>
          <w:szCs w:val="24"/>
        </w:rPr>
        <w:t>0.3033L/S·m</w:t>
      </w:r>
      <w:r>
        <w:rPr>
          <w:rFonts w:ascii="Times New Roman" w:hAnsi="Times New Roman"/>
          <w:szCs w:val="24"/>
        </w:rPr>
        <w:t>，属中等富水性含水层，为煤矿富水性最佳的含水层。呈承压水状态赋存于砾岩中，富水性强弱随砂砾石层厚度的变化而变化。平均渗透系数</w:t>
      </w:r>
      <w:r>
        <w:rPr>
          <w:rFonts w:ascii="Times New Roman" w:hAnsi="Times New Roman"/>
          <w:szCs w:val="24"/>
        </w:rPr>
        <w:t>Kcp=0.6262m/d</w:t>
      </w:r>
      <w:r>
        <w:rPr>
          <w:rFonts w:ascii="Times New Roman" w:hAnsi="Times New Roman"/>
          <w:szCs w:val="24"/>
        </w:rPr>
        <w:t>。据</w:t>
      </w:r>
      <w:r>
        <w:rPr>
          <w:rFonts w:ascii="Times New Roman" w:hAnsi="Times New Roman"/>
          <w:szCs w:val="24"/>
        </w:rPr>
        <w:t>2504</w:t>
      </w:r>
      <w:r>
        <w:rPr>
          <w:rFonts w:ascii="Times New Roman" w:hAnsi="Times New Roman"/>
          <w:szCs w:val="24"/>
        </w:rPr>
        <w:t>孔水质化验成果，溶解性固体</w:t>
      </w:r>
      <w:r>
        <w:rPr>
          <w:rFonts w:ascii="Times New Roman" w:hAnsi="Times New Roman"/>
          <w:szCs w:val="24"/>
        </w:rPr>
        <w:t>0.459g/L</w:t>
      </w:r>
      <w:r>
        <w:rPr>
          <w:rFonts w:ascii="Times New Roman" w:hAnsi="Times New Roman"/>
          <w:szCs w:val="24"/>
        </w:rPr>
        <w:t>，总硬度</w:t>
      </w:r>
      <w:r>
        <w:rPr>
          <w:rFonts w:ascii="Times New Roman" w:hAnsi="Times New Roman"/>
          <w:szCs w:val="24"/>
        </w:rPr>
        <w:t>6.78mg/L</w:t>
      </w:r>
      <w:r>
        <w:rPr>
          <w:rFonts w:ascii="Times New Roman" w:hAnsi="Times New Roman"/>
          <w:szCs w:val="24"/>
        </w:rPr>
        <w:t>，</w:t>
      </w:r>
      <w:r>
        <w:rPr>
          <w:rFonts w:ascii="Times New Roman" w:hAnsi="Times New Roman"/>
          <w:szCs w:val="24"/>
        </w:rPr>
        <w:t>PH</w:t>
      </w:r>
      <w:r>
        <w:rPr>
          <w:rFonts w:ascii="Times New Roman" w:hAnsi="Times New Roman"/>
          <w:szCs w:val="24"/>
        </w:rPr>
        <w:t>值</w:t>
      </w:r>
      <w:r>
        <w:rPr>
          <w:rFonts w:ascii="Times New Roman" w:hAnsi="Times New Roman"/>
          <w:szCs w:val="24"/>
        </w:rPr>
        <w:t>7.8</w:t>
      </w:r>
      <w:r>
        <w:rPr>
          <w:rFonts w:ascii="Times New Roman" w:hAnsi="Times New Roman"/>
          <w:szCs w:val="24"/>
        </w:rPr>
        <w:t>，水化学类型为</w:t>
      </w:r>
      <w:r>
        <w:rPr>
          <w:rFonts w:ascii="Times New Roman" w:hAnsi="Times New Roman"/>
          <w:szCs w:val="24"/>
        </w:rPr>
        <w:t>HCO</w:t>
      </w:r>
      <w:r>
        <w:rPr>
          <w:rFonts w:ascii="Times New Roman" w:hAnsi="Times New Roman"/>
          <w:szCs w:val="24"/>
          <w:vertAlign w:val="subscript"/>
        </w:rPr>
        <w:t>3</w:t>
      </w:r>
      <w:r>
        <w:rPr>
          <w:rFonts w:ascii="Times New Roman" w:hAnsi="Times New Roman"/>
          <w:szCs w:val="24"/>
        </w:rPr>
        <w:t>·SO</w:t>
      </w:r>
      <w:r>
        <w:rPr>
          <w:rFonts w:ascii="Times New Roman" w:hAnsi="Times New Roman"/>
          <w:szCs w:val="24"/>
          <w:vertAlign w:val="subscript"/>
        </w:rPr>
        <w:t>4</w:t>
      </w:r>
      <w:r>
        <w:rPr>
          <w:rFonts w:ascii="Times New Roman" w:hAnsi="Times New Roman"/>
          <w:szCs w:val="24"/>
        </w:rPr>
        <w:t>·Cl-Na</w:t>
      </w:r>
      <w:r>
        <w:rPr>
          <w:rFonts w:ascii="Times New Roman" w:hAnsi="Times New Roman"/>
          <w:szCs w:val="24"/>
        </w:rPr>
        <w:t>型水，除了氟含量（为</w:t>
      </w:r>
      <w:r>
        <w:rPr>
          <w:rFonts w:ascii="Times New Roman" w:hAnsi="Times New Roman"/>
          <w:szCs w:val="24"/>
        </w:rPr>
        <w:t>2.3mg/l</w:t>
      </w:r>
      <w:r>
        <w:rPr>
          <w:rFonts w:ascii="Times New Roman" w:hAnsi="Times New Roman"/>
          <w:szCs w:val="24"/>
        </w:rPr>
        <w:t>）超标外，其余指标符合饮用水标准。</w:t>
      </w:r>
    </w:p>
    <w:p w14:paraId="4A2B223A"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丁家梁井田古近系清水营组地层为一套强烈干旱氧化环境建造，强烈的蒸发作用，使岩体中积累了大量的盐类成分。该层地下水总矿化度高达</w:t>
      </w:r>
      <w:r>
        <w:rPr>
          <w:rFonts w:ascii="Times New Roman" w:hAnsi="Times New Roman"/>
          <w:szCs w:val="24"/>
        </w:rPr>
        <w:t>11570.38 mg/L</w:t>
      </w:r>
      <w:r>
        <w:rPr>
          <w:rFonts w:ascii="Times New Roman" w:hAnsi="Times New Roman"/>
          <w:szCs w:val="24"/>
        </w:rPr>
        <w:t>，地下水化学类型为</w:t>
      </w:r>
      <w:r>
        <w:rPr>
          <w:rFonts w:ascii="Times New Roman" w:hAnsi="Times New Roman"/>
          <w:szCs w:val="24"/>
        </w:rPr>
        <w:t>Cl.SO</w:t>
      </w:r>
      <w:r>
        <w:rPr>
          <w:rFonts w:ascii="Times New Roman" w:hAnsi="Times New Roman"/>
          <w:szCs w:val="24"/>
          <w:vertAlign w:val="subscript"/>
        </w:rPr>
        <w:t>4</w:t>
      </w:r>
      <w:r>
        <w:rPr>
          <w:rFonts w:ascii="Times New Roman" w:hAnsi="Times New Roman"/>
          <w:szCs w:val="24"/>
        </w:rPr>
        <w:t>—Na</w:t>
      </w:r>
      <w:r>
        <w:rPr>
          <w:rFonts w:ascii="Times New Roman" w:hAnsi="Times New Roman"/>
          <w:szCs w:val="24"/>
        </w:rPr>
        <w:t>型，属高矿化水，据勘探阶段</w:t>
      </w:r>
      <w:r>
        <w:rPr>
          <w:rFonts w:ascii="Times New Roman" w:hAnsi="Times New Roman"/>
          <w:szCs w:val="24"/>
        </w:rPr>
        <w:t>T8-2</w:t>
      </w:r>
      <w:r>
        <w:rPr>
          <w:rFonts w:ascii="Times New Roman" w:hAnsi="Times New Roman"/>
          <w:szCs w:val="24"/>
        </w:rPr>
        <w:t>钻孔，对清水营组底部的砾岩层及石千峰群风化带含水层进行抽水试验，单位涌水量</w:t>
      </w:r>
      <w:r>
        <w:rPr>
          <w:rFonts w:ascii="Times New Roman" w:hAnsi="Times New Roman"/>
          <w:szCs w:val="24"/>
        </w:rPr>
        <w:t>&lt;0.1L/s.m</w:t>
      </w:r>
      <w:r>
        <w:rPr>
          <w:rFonts w:ascii="Times New Roman" w:hAnsi="Times New Roman"/>
          <w:szCs w:val="24"/>
        </w:rPr>
        <w:t>，属弱富水性含水层。总矿化度</w:t>
      </w:r>
      <w:r>
        <w:rPr>
          <w:rFonts w:ascii="Times New Roman" w:hAnsi="Times New Roman"/>
          <w:szCs w:val="24"/>
        </w:rPr>
        <w:t>11.570g/L</w:t>
      </w:r>
      <w:r>
        <w:rPr>
          <w:rFonts w:ascii="Times New Roman" w:hAnsi="Times New Roman"/>
          <w:szCs w:val="24"/>
        </w:rPr>
        <w:t>，溶解性总固体</w:t>
      </w:r>
      <w:r>
        <w:rPr>
          <w:rFonts w:ascii="Times New Roman" w:hAnsi="Times New Roman"/>
          <w:szCs w:val="24"/>
        </w:rPr>
        <w:t>11.534g/L</w:t>
      </w:r>
      <w:r>
        <w:rPr>
          <w:rFonts w:ascii="Times New Roman" w:hAnsi="Times New Roman"/>
          <w:szCs w:val="24"/>
        </w:rPr>
        <w:t>，水化学类型为</w:t>
      </w:r>
      <w:r>
        <w:rPr>
          <w:rFonts w:ascii="Times New Roman" w:hAnsi="Times New Roman"/>
          <w:szCs w:val="24"/>
        </w:rPr>
        <w:t>Cl.SO</w:t>
      </w:r>
      <w:r>
        <w:rPr>
          <w:rFonts w:ascii="Times New Roman" w:hAnsi="Times New Roman"/>
          <w:szCs w:val="24"/>
          <w:vertAlign w:val="subscript"/>
        </w:rPr>
        <w:t>4</w:t>
      </w:r>
      <w:r>
        <w:rPr>
          <w:rFonts w:ascii="Times New Roman" w:hAnsi="Times New Roman"/>
          <w:szCs w:val="24"/>
        </w:rPr>
        <w:t>-Na</w:t>
      </w:r>
      <w:r>
        <w:rPr>
          <w:rFonts w:ascii="Times New Roman" w:hAnsi="Times New Roman"/>
          <w:szCs w:val="24"/>
        </w:rPr>
        <w:t>型，属苦咸水。根据</w:t>
      </w:r>
      <w:r>
        <w:rPr>
          <w:rFonts w:ascii="Times New Roman" w:hAnsi="Times New Roman"/>
          <w:szCs w:val="24"/>
        </w:rPr>
        <w:t>DN</w:t>
      </w:r>
      <w:r>
        <w:rPr>
          <w:rFonts w:ascii="Times New Roman" w:hAnsi="Times New Roman"/>
          <w:szCs w:val="24"/>
        </w:rPr>
        <w:t>水</w:t>
      </w:r>
      <w:r>
        <w:rPr>
          <w:rFonts w:ascii="Times New Roman" w:hAnsi="Times New Roman"/>
          <w:szCs w:val="24"/>
        </w:rPr>
        <w:t>3</w:t>
      </w:r>
      <w:r>
        <w:rPr>
          <w:rFonts w:ascii="Times New Roman" w:hAnsi="Times New Roman"/>
          <w:szCs w:val="24"/>
        </w:rPr>
        <w:t>号孔抽水试验资料：含水层为下部及底部中粗砂、砂砾石层。古近系含水层静止水位埋深</w:t>
      </w:r>
      <w:r>
        <w:rPr>
          <w:rFonts w:ascii="Times New Roman" w:hAnsi="Times New Roman"/>
          <w:szCs w:val="24"/>
        </w:rPr>
        <w:t>29.90m</w:t>
      </w:r>
      <w:r>
        <w:rPr>
          <w:rFonts w:ascii="Times New Roman" w:hAnsi="Times New Roman"/>
          <w:szCs w:val="24"/>
        </w:rPr>
        <w:t>，降深</w:t>
      </w:r>
      <w:r>
        <w:rPr>
          <w:rFonts w:ascii="Times New Roman" w:hAnsi="Times New Roman"/>
          <w:szCs w:val="24"/>
        </w:rPr>
        <w:t>65.30m</w:t>
      </w:r>
      <w:r>
        <w:rPr>
          <w:rFonts w:ascii="Times New Roman" w:hAnsi="Times New Roman"/>
          <w:szCs w:val="24"/>
        </w:rPr>
        <w:t>，涌水量</w:t>
      </w:r>
      <w:r>
        <w:rPr>
          <w:rFonts w:ascii="Times New Roman" w:hAnsi="Times New Roman"/>
          <w:szCs w:val="24"/>
        </w:rPr>
        <w:t>0.644L/s</w:t>
      </w:r>
      <w:r>
        <w:rPr>
          <w:rFonts w:ascii="Times New Roman" w:hAnsi="Times New Roman"/>
          <w:szCs w:val="24"/>
        </w:rPr>
        <w:t>，单位涌水量为</w:t>
      </w:r>
      <w:r>
        <w:rPr>
          <w:rFonts w:ascii="Times New Roman" w:hAnsi="Times New Roman"/>
          <w:szCs w:val="24"/>
        </w:rPr>
        <w:t>0.0099l/s·m</w:t>
      </w:r>
      <w:r>
        <w:rPr>
          <w:rFonts w:ascii="Times New Roman" w:hAnsi="Times New Roman"/>
          <w:szCs w:val="24"/>
        </w:rPr>
        <w:t>，渗透系数</w:t>
      </w:r>
      <w:r>
        <w:rPr>
          <w:rFonts w:ascii="Times New Roman" w:hAnsi="Times New Roman"/>
          <w:szCs w:val="24"/>
        </w:rPr>
        <w:t>0.0207m/d</w:t>
      </w:r>
      <w:r>
        <w:rPr>
          <w:rFonts w:ascii="Times New Roman" w:hAnsi="Times New Roman"/>
          <w:szCs w:val="24"/>
        </w:rPr>
        <w:t>，该含水层为弱含水层，具有承压性。据水质分析资料：地下水溶解性固体</w:t>
      </w:r>
      <w:r>
        <w:rPr>
          <w:rFonts w:ascii="Times New Roman" w:hAnsi="Times New Roman"/>
          <w:szCs w:val="24"/>
        </w:rPr>
        <w:t>1.30g/l</w:t>
      </w:r>
      <w:r>
        <w:rPr>
          <w:rFonts w:ascii="Times New Roman" w:hAnsi="Times New Roman"/>
          <w:szCs w:val="24"/>
        </w:rPr>
        <w:t>，为微咸水；</w:t>
      </w:r>
      <w:r>
        <w:rPr>
          <w:rFonts w:ascii="Times New Roman" w:hAnsi="Times New Roman"/>
          <w:szCs w:val="24"/>
        </w:rPr>
        <w:t>PH=8.00</w:t>
      </w:r>
      <w:r>
        <w:rPr>
          <w:rFonts w:ascii="Times New Roman" w:hAnsi="Times New Roman"/>
          <w:szCs w:val="24"/>
        </w:rPr>
        <w:t>，为弱碱性水；总硬度</w:t>
      </w:r>
      <w:r>
        <w:rPr>
          <w:rFonts w:ascii="Times New Roman" w:hAnsi="Times New Roman"/>
          <w:szCs w:val="24"/>
        </w:rPr>
        <w:t>411.30</w:t>
      </w:r>
      <w:r>
        <w:rPr>
          <w:rFonts w:ascii="Times New Roman" w:hAnsi="Times New Roman"/>
          <w:szCs w:val="24"/>
        </w:rPr>
        <w:t>，为极硬水；地下水化学类型为</w:t>
      </w:r>
      <w:r>
        <w:rPr>
          <w:rFonts w:ascii="Times New Roman" w:hAnsi="Times New Roman"/>
          <w:szCs w:val="24"/>
        </w:rPr>
        <w:t>Cl·SO</w:t>
      </w:r>
      <w:r>
        <w:rPr>
          <w:rFonts w:ascii="Times New Roman" w:hAnsi="Times New Roman"/>
          <w:szCs w:val="24"/>
          <w:vertAlign w:val="subscript"/>
        </w:rPr>
        <w:t>4</w:t>
      </w:r>
      <w:r>
        <w:rPr>
          <w:rFonts w:ascii="Times New Roman" w:hAnsi="Times New Roman"/>
          <w:szCs w:val="24"/>
        </w:rPr>
        <w:t>-Na</w:t>
      </w:r>
      <w:r>
        <w:rPr>
          <w:rFonts w:ascii="Times New Roman" w:hAnsi="Times New Roman"/>
          <w:szCs w:val="24"/>
        </w:rPr>
        <w:t>型水。</w:t>
      </w:r>
    </w:p>
    <w:p w14:paraId="73CCE488"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总体而言横城矿区古近系清水营组孔隙裂隙承压水含水岩层在北部红石湾及马莲台煤矿属弱～中等富水性含水层，主要为静储量，衰减迅速，对煤层开采的影响有限，在中南部任家庄及丁家梁煤矿富水性较弱，为弱富水性含水层。</w:t>
      </w:r>
    </w:p>
    <w:p w14:paraId="166830F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3</w:t>
      </w:r>
      <w:r>
        <w:rPr>
          <w:rFonts w:ascii="Times New Roman" w:hAnsi="Times New Roman"/>
          <w:szCs w:val="24"/>
        </w:rPr>
        <w:t>）白垩系保安群（</w:t>
      </w:r>
      <w:r>
        <w:rPr>
          <w:rFonts w:ascii="Times New Roman" w:hAnsi="Times New Roman"/>
          <w:szCs w:val="24"/>
        </w:rPr>
        <w:t>K</w:t>
      </w:r>
      <w:r>
        <w:rPr>
          <w:rFonts w:ascii="Times New Roman" w:hAnsi="Times New Roman"/>
          <w:szCs w:val="24"/>
          <w:vertAlign w:val="subscript"/>
        </w:rPr>
        <w:t>1</w:t>
      </w:r>
      <w:r>
        <w:rPr>
          <w:rFonts w:ascii="Times New Roman" w:hAnsi="Times New Roman"/>
          <w:szCs w:val="24"/>
        </w:rPr>
        <w:t>b</w:t>
      </w:r>
      <w:r>
        <w:rPr>
          <w:rFonts w:ascii="Times New Roman" w:hAnsi="Times New Roman"/>
          <w:szCs w:val="24"/>
        </w:rPr>
        <w:t>）砾岩孔隙裂隙承压含水岩组（</w:t>
      </w:r>
      <w:r>
        <w:rPr>
          <w:rFonts w:ascii="Times New Roman" w:hAnsi="Times New Roman"/>
          <w:szCs w:val="24"/>
        </w:rPr>
        <w:t>III</w:t>
      </w:r>
      <w:r>
        <w:rPr>
          <w:rFonts w:ascii="Times New Roman" w:hAnsi="Times New Roman"/>
          <w:szCs w:val="24"/>
        </w:rPr>
        <w:t>）</w:t>
      </w:r>
    </w:p>
    <w:p w14:paraId="362B3B70"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白垩系保安群砾岩层，仅出露于横城矿区北部及西部地区，见于丁家梁煤矿西部东梁以西，任家庄煤矿仅出露于西部马鞍山东麓，矿区其余地段因剥蚀缺失，钻孔揭露厚度</w:t>
      </w:r>
      <w:r>
        <w:rPr>
          <w:rFonts w:ascii="Times New Roman" w:hAnsi="Times New Roman"/>
          <w:szCs w:val="24"/>
        </w:rPr>
        <w:t>0</w:t>
      </w:r>
      <w:r>
        <w:rPr>
          <w:rFonts w:ascii="Times New Roman" w:hAnsi="Times New Roman"/>
          <w:szCs w:val="24"/>
        </w:rPr>
        <w:t>～</w:t>
      </w:r>
      <w:r>
        <w:rPr>
          <w:rFonts w:ascii="Times New Roman" w:hAnsi="Times New Roman"/>
          <w:szCs w:val="24"/>
        </w:rPr>
        <w:t>481.67m</w:t>
      </w:r>
      <w:r>
        <w:rPr>
          <w:rFonts w:ascii="Times New Roman" w:hAnsi="Times New Roman"/>
          <w:szCs w:val="24"/>
        </w:rPr>
        <w:t>，在丁家梁煤矿西部由东向西厚度增大。岩性为灰岩、砂岩，灰色，杂色砾岩，砾石以变质岩块为主，其次为石英岩砾、石灰岩砾，砂、泥质胶结。在</w:t>
      </w:r>
      <w:r>
        <w:rPr>
          <w:rFonts w:ascii="Times New Roman" w:hAnsi="Times New Roman"/>
          <w:szCs w:val="24"/>
        </w:rPr>
        <w:t>T1N-1</w:t>
      </w:r>
      <w:r>
        <w:rPr>
          <w:rFonts w:ascii="Times New Roman" w:hAnsi="Times New Roman"/>
          <w:szCs w:val="24"/>
        </w:rPr>
        <w:t>、</w:t>
      </w:r>
      <w:r>
        <w:rPr>
          <w:rFonts w:ascii="Times New Roman" w:hAnsi="Times New Roman"/>
          <w:szCs w:val="24"/>
        </w:rPr>
        <w:t>T1-1</w:t>
      </w:r>
      <w:r>
        <w:rPr>
          <w:rFonts w:ascii="Times New Roman" w:hAnsi="Times New Roman"/>
          <w:szCs w:val="24"/>
        </w:rPr>
        <w:t>、</w:t>
      </w:r>
      <w:r>
        <w:rPr>
          <w:rFonts w:ascii="Times New Roman" w:hAnsi="Times New Roman"/>
          <w:szCs w:val="24"/>
        </w:rPr>
        <w:t>T1N-1</w:t>
      </w:r>
      <w:r>
        <w:rPr>
          <w:rFonts w:ascii="Times New Roman" w:hAnsi="Times New Roman"/>
          <w:szCs w:val="24"/>
        </w:rPr>
        <w:t>等钻孔钻进过程中多出现涌水、漏水现象。钻孔内压力水头高出含水层顶板，具承压性质，富水性、透水性较好，与下伏地层的水力联系较为密切。任家庄煤矿在水</w:t>
      </w:r>
      <w:r>
        <w:rPr>
          <w:rFonts w:ascii="Times New Roman" w:hAnsi="Times New Roman"/>
          <w:szCs w:val="24"/>
        </w:rPr>
        <w:t>3</w:t>
      </w:r>
      <w:r>
        <w:rPr>
          <w:rFonts w:ascii="Times New Roman" w:hAnsi="Times New Roman"/>
          <w:szCs w:val="24"/>
        </w:rPr>
        <w:t>号孔资料，水位埋深</w:t>
      </w:r>
      <w:r>
        <w:rPr>
          <w:rFonts w:ascii="Times New Roman" w:hAnsi="Times New Roman"/>
          <w:szCs w:val="24"/>
        </w:rPr>
        <w:t>127.05</w:t>
      </w:r>
      <w:r>
        <w:rPr>
          <w:rFonts w:ascii="Times New Roman" w:hAnsi="Times New Roman" w:hint="eastAsia"/>
          <w:szCs w:val="24"/>
        </w:rPr>
        <w:t>m</w:t>
      </w:r>
      <w:r>
        <w:rPr>
          <w:rFonts w:ascii="Times New Roman" w:hAnsi="Times New Roman"/>
          <w:szCs w:val="24"/>
        </w:rPr>
        <w:t>，降深</w:t>
      </w:r>
      <w:r>
        <w:rPr>
          <w:rFonts w:ascii="Times New Roman" w:hAnsi="Times New Roman"/>
          <w:szCs w:val="24"/>
        </w:rPr>
        <w:t>10.22</w:t>
      </w:r>
      <w:r>
        <w:rPr>
          <w:rFonts w:ascii="Times New Roman" w:hAnsi="Times New Roman" w:hint="eastAsia"/>
          <w:szCs w:val="24"/>
        </w:rPr>
        <w:t>m</w:t>
      </w:r>
      <w:r>
        <w:rPr>
          <w:rFonts w:ascii="Times New Roman" w:hAnsi="Times New Roman"/>
          <w:szCs w:val="24"/>
        </w:rPr>
        <w:t>，单位涌水量为</w:t>
      </w:r>
      <w:r>
        <w:rPr>
          <w:rFonts w:ascii="Times New Roman" w:hAnsi="Times New Roman"/>
          <w:szCs w:val="24"/>
        </w:rPr>
        <w:t>0.036L/</w:t>
      </w:r>
      <w:r>
        <w:rPr>
          <w:rFonts w:ascii="Times New Roman" w:hAnsi="Times New Roman" w:hint="eastAsia"/>
          <w:szCs w:val="24"/>
        </w:rPr>
        <w:t>s</w:t>
      </w:r>
      <w:r>
        <w:rPr>
          <w:rFonts w:ascii="Times New Roman" w:hAnsi="Times New Roman"/>
          <w:szCs w:val="24"/>
        </w:rPr>
        <w:t>·</w:t>
      </w:r>
      <w:r>
        <w:rPr>
          <w:rFonts w:ascii="Times New Roman" w:hAnsi="Times New Roman" w:hint="eastAsia"/>
          <w:szCs w:val="24"/>
        </w:rPr>
        <w:t>m</w:t>
      </w:r>
      <w:r>
        <w:rPr>
          <w:rFonts w:ascii="Times New Roman" w:hAnsi="Times New Roman"/>
          <w:szCs w:val="24"/>
        </w:rPr>
        <w:t>，为含水弱的岩层。</w:t>
      </w:r>
    </w:p>
    <w:p w14:paraId="33940B0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4</w:t>
      </w:r>
      <w:r>
        <w:rPr>
          <w:rFonts w:ascii="Times New Roman" w:hAnsi="Times New Roman"/>
          <w:szCs w:val="24"/>
        </w:rPr>
        <w:t>）二叠系石千峰群（</w:t>
      </w:r>
      <w:r>
        <w:rPr>
          <w:rFonts w:ascii="Times New Roman" w:hAnsi="Times New Roman"/>
          <w:szCs w:val="24"/>
        </w:rPr>
        <w:t>PTs</w:t>
      </w:r>
      <w:r>
        <w:rPr>
          <w:rFonts w:ascii="Times New Roman" w:hAnsi="Times New Roman"/>
          <w:szCs w:val="24"/>
        </w:rPr>
        <w:t>）、石盒子组（</w:t>
      </w:r>
      <w:r>
        <w:rPr>
          <w:rFonts w:ascii="Times New Roman" w:hAnsi="Times New Roman"/>
          <w:szCs w:val="24"/>
        </w:rPr>
        <w:t>Psh</w:t>
      </w:r>
      <w:r>
        <w:rPr>
          <w:rFonts w:ascii="Times New Roman" w:hAnsi="Times New Roman"/>
          <w:szCs w:val="24"/>
        </w:rPr>
        <w:t>）砂岩层间裂隙承压水含水岩组（</w:t>
      </w:r>
      <w:r>
        <w:rPr>
          <w:rFonts w:ascii="Times New Roman" w:hAnsi="Times New Roman"/>
          <w:szCs w:val="24"/>
        </w:rPr>
        <w:t>IV</w:t>
      </w:r>
      <w:r>
        <w:rPr>
          <w:rFonts w:ascii="Times New Roman" w:hAnsi="Times New Roman"/>
          <w:szCs w:val="24"/>
        </w:rPr>
        <w:t>）</w:t>
      </w:r>
    </w:p>
    <w:p w14:paraId="517724F7"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石千峰组为紫红、暗紫色、灰绿色中粗粒砂岩、粉砂岩、泥岩互层，下部夹</w:t>
      </w:r>
      <w:r>
        <w:rPr>
          <w:rFonts w:ascii="Times New Roman" w:hAnsi="Times New Roman"/>
          <w:szCs w:val="24"/>
        </w:rPr>
        <w:t>1</w:t>
      </w:r>
      <w:r>
        <w:rPr>
          <w:rFonts w:ascii="Times New Roman" w:hAnsi="Times New Roman"/>
          <w:szCs w:val="24"/>
        </w:rPr>
        <w:t>～</w:t>
      </w:r>
      <w:r>
        <w:rPr>
          <w:rFonts w:ascii="Times New Roman" w:hAnsi="Times New Roman"/>
          <w:szCs w:val="24"/>
        </w:rPr>
        <w:t>2</w:t>
      </w:r>
      <w:r>
        <w:rPr>
          <w:rFonts w:ascii="Times New Roman" w:hAnsi="Times New Roman"/>
          <w:szCs w:val="24"/>
        </w:rPr>
        <w:t>层浅灰绿色粘土岩，底部为中、粗粒砂岩，局部含较多石硅质细砾，多呈含砾粗砂岩、砾状砂岩，与下伏石盒子组为整合接触关系，分选性较好，结构疏松，孔隙发育，富水性弱，风化带厚度较大，裂隙较发育，与上覆的清水营组底砾岩层或白垩系保安群砾岩层之间有着密切的水力联系。</w:t>
      </w:r>
    </w:p>
    <w:p w14:paraId="62D1FE61"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石盒子组在横城矿区广泛分布，地层埋深平均在</w:t>
      </w:r>
      <w:r>
        <w:rPr>
          <w:rFonts w:ascii="Times New Roman" w:hAnsi="Times New Roman"/>
          <w:szCs w:val="24"/>
        </w:rPr>
        <w:t>200m</w:t>
      </w:r>
      <w:r>
        <w:rPr>
          <w:rFonts w:ascii="Times New Roman" w:hAnsi="Times New Roman"/>
          <w:szCs w:val="24"/>
        </w:rPr>
        <w:t>左右，矿区平均厚度约</w:t>
      </w:r>
      <w:r>
        <w:rPr>
          <w:rFonts w:ascii="Times New Roman" w:hAnsi="Times New Roman"/>
          <w:szCs w:val="24"/>
        </w:rPr>
        <w:t>170</w:t>
      </w:r>
      <w:r>
        <w:rPr>
          <w:rFonts w:ascii="Times New Roman" w:hAnsi="Times New Roman"/>
          <w:szCs w:val="24"/>
        </w:rPr>
        <w:t>～</w:t>
      </w:r>
      <w:r>
        <w:rPr>
          <w:rFonts w:ascii="Times New Roman" w:hAnsi="Times New Roman"/>
          <w:szCs w:val="24"/>
        </w:rPr>
        <w:t>413.4m</w:t>
      </w:r>
      <w:r>
        <w:rPr>
          <w:rFonts w:ascii="Times New Roman" w:hAnsi="Times New Roman"/>
          <w:szCs w:val="24"/>
        </w:rPr>
        <w:t>。砂岩平均厚为</w:t>
      </w:r>
      <w:r>
        <w:rPr>
          <w:rFonts w:ascii="Times New Roman" w:hAnsi="Times New Roman"/>
          <w:szCs w:val="24"/>
        </w:rPr>
        <w:t>44.4</w:t>
      </w:r>
      <w:r>
        <w:rPr>
          <w:rFonts w:ascii="Times New Roman" w:hAnsi="Times New Roman"/>
          <w:szCs w:val="24"/>
        </w:rPr>
        <w:t>～</w:t>
      </w:r>
      <w:r>
        <w:rPr>
          <w:rFonts w:ascii="Times New Roman" w:hAnsi="Times New Roman"/>
          <w:szCs w:val="24"/>
        </w:rPr>
        <w:t>179.86m</w:t>
      </w:r>
      <w:r>
        <w:rPr>
          <w:rFonts w:ascii="Times New Roman" w:hAnsi="Times New Roman"/>
          <w:szCs w:val="24"/>
        </w:rPr>
        <w:t>，岩性以砂岩与泥岩、砂质泥岩互层为特征，下部空间有</w:t>
      </w:r>
      <w:r>
        <w:rPr>
          <w:rFonts w:ascii="Times New Roman" w:hAnsi="Times New Roman"/>
          <w:szCs w:val="24"/>
        </w:rPr>
        <w:t>8</w:t>
      </w:r>
      <w:r>
        <w:rPr>
          <w:rFonts w:ascii="Times New Roman" w:hAnsi="Times New Roman"/>
          <w:szCs w:val="24"/>
        </w:rPr>
        <w:t>～</w:t>
      </w:r>
      <w:r>
        <w:rPr>
          <w:rFonts w:ascii="Times New Roman" w:hAnsi="Times New Roman"/>
          <w:szCs w:val="24"/>
        </w:rPr>
        <w:t>10</w:t>
      </w:r>
      <w:r>
        <w:rPr>
          <w:rFonts w:ascii="Times New Roman" w:hAnsi="Times New Roman"/>
          <w:szCs w:val="24"/>
        </w:rPr>
        <w:t>层砂岩，分布较稳定，含水岩层为中、粗粒砂岩，结构疏松，裂隙较发育，主要为裂隙水，呈层状或脉状分布，不同地段，赋水性差异较大，主要受构造裂隙发育程度控制。根据抽水试验结果，该含水层除在红石湾矿</w:t>
      </w:r>
      <w:r>
        <w:rPr>
          <w:rFonts w:ascii="Times New Roman" w:hAnsi="Times New Roman"/>
          <w:szCs w:val="24"/>
        </w:rPr>
        <w:t>406</w:t>
      </w:r>
      <w:r>
        <w:rPr>
          <w:rFonts w:ascii="Times New Roman" w:hAnsi="Times New Roman"/>
          <w:szCs w:val="24"/>
        </w:rPr>
        <w:t>孔为中等富水性外，总体富水性弱，矿化度高。红石湾煤矿检</w:t>
      </w:r>
      <w:r>
        <w:rPr>
          <w:rFonts w:ascii="Times New Roman" w:hAnsi="Times New Roman"/>
          <w:szCs w:val="24"/>
        </w:rPr>
        <w:t>2</w:t>
      </w:r>
      <w:r>
        <w:rPr>
          <w:rFonts w:ascii="Times New Roman" w:hAnsi="Times New Roman"/>
          <w:szCs w:val="24"/>
        </w:rPr>
        <w:t>号孔抽水试验结果，最大水位降深</w:t>
      </w:r>
      <w:r>
        <w:rPr>
          <w:rFonts w:ascii="Times New Roman" w:hAnsi="Times New Roman"/>
          <w:szCs w:val="24"/>
        </w:rPr>
        <w:t>155.33m</w:t>
      </w:r>
      <w:r>
        <w:rPr>
          <w:rFonts w:ascii="Times New Roman" w:hAnsi="Times New Roman"/>
          <w:szCs w:val="24"/>
        </w:rPr>
        <w:t>，单位涌水量</w:t>
      </w:r>
      <w:r>
        <w:rPr>
          <w:rFonts w:ascii="Times New Roman" w:hAnsi="Times New Roman"/>
          <w:szCs w:val="24"/>
        </w:rPr>
        <w:t>0.006L/s·m</w:t>
      </w:r>
      <w:r>
        <w:rPr>
          <w:rFonts w:ascii="Times New Roman" w:hAnsi="Times New Roman"/>
          <w:szCs w:val="24"/>
        </w:rPr>
        <w:t>，渗透系数</w:t>
      </w:r>
      <w:r>
        <w:rPr>
          <w:rFonts w:ascii="Times New Roman" w:hAnsi="Times New Roman"/>
          <w:szCs w:val="24"/>
        </w:rPr>
        <w:t>0.017m/d</w:t>
      </w:r>
      <w:r>
        <w:rPr>
          <w:rFonts w:ascii="Times New Roman" w:hAnsi="Times New Roman"/>
          <w:szCs w:val="24"/>
        </w:rPr>
        <w:t>，富水性弱。据水质分析资料，地下水矿化度为</w:t>
      </w:r>
      <w:r>
        <w:rPr>
          <w:rFonts w:ascii="Times New Roman" w:hAnsi="Times New Roman"/>
          <w:szCs w:val="24"/>
        </w:rPr>
        <w:t>2.45g/L</w:t>
      </w:r>
      <w:r>
        <w:rPr>
          <w:rFonts w:ascii="Times New Roman" w:hAnsi="Times New Roman"/>
          <w:szCs w:val="24"/>
        </w:rPr>
        <w:t>，为微咸水；</w:t>
      </w:r>
      <w:r>
        <w:rPr>
          <w:rFonts w:ascii="Times New Roman" w:hAnsi="Times New Roman"/>
          <w:szCs w:val="24"/>
        </w:rPr>
        <w:t>PH=8.36</w:t>
      </w:r>
      <w:r>
        <w:rPr>
          <w:rFonts w:ascii="Times New Roman" w:hAnsi="Times New Roman"/>
          <w:szCs w:val="24"/>
        </w:rPr>
        <w:t>，为弱碱性水；总硬度</w:t>
      </w:r>
      <w:r>
        <w:rPr>
          <w:rFonts w:ascii="Times New Roman" w:hAnsi="Times New Roman"/>
          <w:szCs w:val="24"/>
        </w:rPr>
        <w:t>369.31mg/L</w:t>
      </w:r>
      <w:r>
        <w:rPr>
          <w:rFonts w:ascii="Times New Roman" w:hAnsi="Times New Roman"/>
          <w:szCs w:val="24"/>
        </w:rPr>
        <w:t>，为硬水；地下水化学类型属氯化物硫酸盐钠型水。据</w:t>
      </w:r>
      <w:r>
        <w:rPr>
          <w:rFonts w:ascii="Times New Roman" w:hAnsi="Times New Roman"/>
          <w:szCs w:val="24"/>
        </w:rPr>
        <w:t>406</w:t>
      </w:r>
      <w:r>
        <w:rPr>
          <w:rFonts w:ascii="Times New Roman" w:hAnsi="Times New Roman"/>
          <w:szCs w:val="24"/>
        </w:rPr>
        <w:t>孔抽水资料，最大降深</w:t>
      </w:r>
      <w:r>
        <w:rPr>
          <w:rFonts w:ascii="Times New Roman" w:hAnsi="Times New Roman"/>
          <w:szCs w:val="24"/>
        </w:rPr>
        <w:t>15.25m</w:t>
      </w:r>
      <w:r>
        <w:rPr>
          <w:rFonts w:ascii="Times New Roman" w:hAnsi="Times New Roman"/>
          <w:szCs w:val="24"/>
        </w:rPr>
        <w:t>，单位涌水量</w:t>
      </w:r>
      <w:r>
        <w:rPr>
          <w:rFonts w:ascii="Times New Roman" w:hAnsi="Times New Roman"/>
          <w:szCs w:val="24"/>
        </w:rPr>
        <w:t>0.196 L/s·m</w:t>
      </w:r>
      <w:r>
        <w:rPr>
          <w:rFonts w:ascii="Times New Roman" w:hAnsi="Times New Roman"/>
          <w:szCs w:val="24"/>
        </w:rPr>
        <w:t>，渗透系数</w:t>
      </w:r>
      <w:r>
        <w:rPr>
          <w:rFonts w:ascii="Times New Roman" w:hAnsi="Times New Roman"/>
          <w:szCs w:val="24"/>
        </w:rPr>
        <w:t>0.219</w:t>
      </w:r>
      <w:r>
        <w:rPr>
          <w:rFonts w:ascii="Times New Roman" w:hAnsi="Times New Roman"/>
          <w:szCs w:val="24"/>
        </w:rPr>
        <w:t>，富水性中等，据水质分析资料，地下水矿化度</w:t>
      </w:r>
      <w:r>
        <w:rPr>
          <w:rFonts w:ascii="Times New Roman" w:hAnsi="Times New Roman"/>
          <w:szCs w:val="24"/>
        </w:rPr>
        <w:t>1.82g/L</w:t>
      </w:r>
      <w:r>
        <w:rPr>
          <w:rFonts w:ascii="Times New Roman" w:hAnsi="Times New Roman"/>
          <w:szCs w:val="24"/>
        </w:rPr>
        <w:t>；</w:t>
      </w:r>
      <w:r>
        <w:rPr>
          <w:rFonts w:ascii="Times New Roman" w:hAnsi="Times New Roman"/>
          <w:szCs w:val="24"/>
        </w:rPr>
        <w:t>PH=8.10</w:t>
      </w:r>
      <w:r>
        <w:rPr>
          <w:rFonts w:ascii="Times New Roman" w:hAnsi="Times New Roman"/>
          <w:szCs w:val="24"/>
        </w:rPr>
        <w:t>，为弱碱性水；总硬度</w:t>
      </w:r>
      <w:r>
        <w:rPr>
          <w:rFonts w:ascii="Times New Roman" w:hAnsi="Times New Roman"/>
          <w:szCs w:val="24"/>
        </w:rPr>
        <w:t>150.54mg/L</w:t>
      </w:r>
      <w:r>
        <w:rPr>
          <w:rFonts w:ascii="Times New Roman" w:hAnsi="Times New Roman"/>
          <w:szCs w:val="24"/>
        </w:rPr>
        <w:t>，为硬水；地下水化学类型属氯化物硫酸盐钠型水。</w:t>
      </w:r>
    </w:p>
    <w:p w14:paraId="2D18C999"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丁家梁西部在详查工作中，</w:t>
      </w:r>
      <w:r>
        <w:rPr>
          <w:rFonts w:ascii="Times New Roman" w:hAnsi="Times New Roman"/>
          <w:szCs w:val="24"/>
        </w:rPr>
        <w:t>T802</w:t>
      </w:r>
      <w:r>
        <w:rPr>
          <w:rFonts w:ascii="Times New Roman" w:hAnsi="Times New Roman"/>
          <w:szCs w:val="24"/>
        </w:rPr>
        <w:t>孔于清水营组底砾岩层、二叠系上统</w:t>
      </w:r>
      <w:r>
        <w:rPr>
          <w:rFonts w:ascii="Times New Roman" w:hAnsi="Times New Roman"/>
          <w:szCs w:val="24"/>
        </w:rPr>
        <w:t>—</w:t>
      </w:r>
      <w:r>
        <w:rPr>
          <w:rFonts w:ascii="Times New Roman" w:hAnsi="Times New Roman"/>
          <w:szCs w:val="24"/>
        </w:rPr>
        <w:t>三叠系下统石千峰群、二叠系下</w:t>
      </w:r>
      <w:r>
        <w:rPr>
          <w:rFonts w:ascii="Times New Roman" w:hAnsi="Times New Roman"/>
          <w:szCs w:val="24"/>
        </w:rPr>
        <w:t>—</w:t>
      </w:r>
      <w:r>
        <w:rPr>
          <w:rFonts w:ascii="Times New Roman" w:hAnsi="Times New Roman"/>
          <w:szCs w:val="24"/>
        </w:rPr>
        <w:t>上统石盒子组山西组、太原组砂岩层间裂隙承压水含水岩组进行混合抽水试验，单位涌水量</w:t>
      </w:r>
      <w:r>
        <w:rPr>
          <w:rFonts w:ascii="Times New Roman" w:hAnsi="Times New Roman"/>
          <w:szCs w:val="24"/>
        </w:rPr>
        <w:t>0.0217</w:t>
      </w:r>
      <w:r>
        <w:rPr>
          <w:rFonts w:ascii="Times New Roman" w:hAnsi="Times New Roman"/>
          <w:szCs w:val="24"/>
        </w:rPr>
        <w:t>～</w:t>
      </w:r>
      <w:r>
        <w:rPr>
          <w:rFonts w:ascii="Times New Roman" w:hAnsi="Times New Roman"/>
          <w:szCs w:val="24"/>
        </w:rPr>
        <w:t>0.0291L/s.m</w:t>
      </w:r>
      <w:r>
        <w:rPr>
          <w:rFonts w:ascii="Times New Roman" w:hAnsi="Times New Roman"/>
          <w:szCs w:val="24"/>
        </w:rPr>
        <w:t>，渗透系数</w:t>
      </w:r>
      <w:r>
        <w:rPr>
          <w:rFonts w:ascii="Times New Roman" w:hAnsi="Times New Roman"/>
          <w:szCs w:val="24"/>
        </w:rPr>
        <w:t>0.1649m/d</w:t>
      </w:r>
      <w:r>
        <w:rPr>
          <w:rFonts w:ascii="Times New Roman" w:hAnsi="Times New Roman"/>
          <w:szCs w:val="24"/>
        </w:rPr>
        <w:t>，属弱富水含水层。总矿化度</w:t>
      </w:r>
      <w:r>
        <w:rPr>
          <w:rFonts w:ascii="Times New Roman" w:hAnsi="Times New Roman"/>
          <w:szCs w:val="24"/>
        </w:rPr>
        <w:t>16.801g/L</w:t>
      </w:r>
      <w:r>
        <w:rPr>
          <w:rFonts w:ascii="Times New Roman" w:hAnsi="Times New Roman"/>
          <w:szCs w:val="24"/>
        </w:rPr>
        <w:t>，溶解性总固体</w:t>
      </w:r>
      <w:r>
        <w:rPr>
          <w:rFonts w:ascii="Times New Roman" w:hAnsi="Times New Roman"/>
          <w:szCs w:val="24"/>
        </w:rPr>
        <w:t>16.707g/L</w:t>
      </w:r>
      <w:r>
        <w:rPr>
          <w:rFonts w:ascii="Times New Roman" w:hAnsi="Times New Roman"/>
          <w:szCs w:val="24"/>
        </w:rPr>
        <w:t>，属苦咸水，水化学类型为</w:t>
      </w:r>
      <w:r>
        <w:rPr>
          <w:rFonts w:ascii="Times New Roman" w:hAnsi="Times New Roman"/>
          <w:szCs w:val="24"/>
        </w:rPr>
        <w:t>SO</w:t>
      </w:r>
      <w:r>
        <w:rPr>
          <w:rFonts w:ascii="Times New Roman" w:hAnsi="Times New Roman"/>
          <w:szCs w:val="24"/>
          <w:vertAlign w:val="subscript"/>
        </w:rPr>
        <w:t>4</w:t>
      </w:r>
      <w:r>
        <w:rPr>
          <w:rFonts w:ascii="Times New Roman" w:hAnsi="Times New Roman"/>
          <w:szCs w:val="24"/>
        </w:rPr>
        <w:t>-Na</w:t>
      </w:r>
      <w:r>
        <w:rPr>
          <w:rFonts w:ascii="Times New Roman" w:hAnsi="Times New Roman"/>
          <w:szCs w:val="24"/>
        </w:rPr>
        <w:t>型。丁家梁井田内</w:t>
      </w:r>
      <w:r>
        <w:rPr>
          <w:rFonts w:ascii="Times New Roman" w:hAnsi="Times New Roman"/>
          <w:szCs w:val="24"/>
        </w:rPr>
        <w:t>DN</w:t>
      </w:r>
      <w:r>
        <w:rPr>
          <w:rFonts w:ascii="Times New Roman" w:hAnsi="Times New Roman"/>
          <w:szCs w:val="24"/>
        </w:rPr>
        <w:t>水</w:t>
      </w:r>
      <w:r>
        <w:rPr>
          <w:rFonts w:ascii="Times New Roman" w:hAnsi="Times New Roman"/>
          <w:szCs w:val="24"/>
        </w:rPr>
        <w:t>3</w:t>
      </w:r>
      <w:r>
        <w:rPr>
          <w:rFonts w:ascii="Times New Roman" w:hAnsi="Times New Roman"/>
          <w:szCs w:val="24"/>
        </w:rPr>
        <w:t>号孔抽水试验资料：含水层为中</w:t>
      </w:r>
      <w:r>
        <w:rPr>
          <w:rFonts w:ascii="Times New Roman" w:hAnsi="Times New Roman"/>
          <w:szCs w:val="24"/>
        </w:rPr>
        <w:t>-</w:t>
      </w:r>
      <w:r>
        <w:rPr>
          <w:rFonts w:ascii="Times New Roman" w:hAnsi="Times New Roman"/>
          <w:szCs w:val="24"/>
        </w:rPr>
        <w:t>粗粒砂岩、细粒砂岩。含水层静止水位埋深</w:t>
      </w:r>
      <w:r>
        <w:rPr>
          <w:rFonts w:ascii="Times New Roman" w:hAnsi="Times New Roman"/>
          <w:szCs w:val="24"/>
        </w:rPr>
        <w:t>18.49m</w:t>
      </w:r>
      <w:r>
        <w:rPr>
          <w:rFonts w:ascii="Times New Roman" w:hAnsi="Times New Roman"/>
          <w:szCs w:val="24"/>
        </w:rPr>
        <w:t>，降深</w:t>
      </w:r>
      <w:r>
        <w:rPr>
          <w:rFonts w:ascii="Times New Roman" w:hAnsi="Times New Roman"/>
          <w:szCs w:val="24"/>
        </w:rPr>
        <w:t>110.88m</w:t>
      </w:r>
      <w:r>
        <w:rPr>
          <w:rFonts w:ascii="Times New Roman" w:hAnsi="Times New Roman"/>
          <w:szCs w:val="24"/>
        </w:rPr>
        <w:t>，涌水量</w:t>
      </w:r>
      <w:r>
        <w:rPr>
          <w:rFonts w:ascii="Times New Roman" w:hAnsi="Times New Roman"/>
          <w:szCs w:val="24"/>
        </w:rPr>
        <w:t>0.349L/s</w:t>
      </w:r>
      <w:r>
        <w:rPr>
          <w:rFonts w:ascii="Times New Roman" w:hAnsi="Times New Roman"/>
          <w:szCs w:val="24"/>
        </w:rPr>
        <w:t>，单位涌水量为</w:t>
      </w:r>
      <w:r>
        <w:rPr>
          <w:rFonts w:ascii="Times New Roman" w:hAnsi="Times New Roman"/>
          <w:szCs w:val="24"/>
        </w:rPr>
        <w:t>0.0032l/s·m</w:t>
      </w:r>
      <w:r>
        <w:rPr>
          <w:rFonts w:ascii="Times New Roman" w:hAnsi="Times New Roman"/>
          <w:szCs w:val="24"/>
        </w:rPr>
        <w:t>，渗透系数</w:t>
      </w:r>
      <w:r>
        <w:rPr>
          <w:rFonts w:ascii="Times New Roman" w:hAnsi="Times New Roman"/>
          <w:szCs w:val="24"/>
        </w:rPr>
        <w:t>0.0014m/d</w:t>
      </w:r>
      <w:r>
        <w:rPr>
          <w:rFonts w:ascii="Times New Roman" w:hAnsi="Times New Roman"/>
          <w:szCs w:val="24"/>
        </w:rPr>
        <w:t>。该含水层为弱含水层，具有承压性。据水质分析资料：地下水溶解性固体</w:t>
      </w:r>
      <w:r>
        <w:rPr>
          <w:rFonts w:ascii="Times New Roman" w:hAnsi="Times New Roman"/>
          <w:szCs w:val="24"/>
        </w:rPr>
        <w:t>6.14g/l</w:t>
      </w:r>
      <w:r>
        <w:rPr>
          <w:rFonts w:ascii="Times New Roman" w:hAnsi="Times New Roman"/>
          <w:szCs w:val="24"/>
        </w:rPr>
        <w:t>，为咸水；</w:t>
      </w:r>
      <w:r>
        <w:rPr>
          <w:rFonts w:ascii="Times New Roman" w:hAnsi="Times New Roman"/>
          <w:szCs w:val="24"/>
        </w:rPr>
        <w:t>PH=13.50</w:t>
      </w:r>
      <w:r>
        <w:rPr>
          <w:rFonts w:ascii="Times New Roman" w:hAnsi="Times New Roman"/>
          <w:szCs w:val="24"/>
        </w:rPr>
        <w:t>，为强碱性水；总硬度</w:t>
      </w:r>
      <w:r>
        <w:rPr>
          <w:rFonts w:ascii="Times New Roman" w:hAnsi="Times New Roman"/>
          <w:szCs w:val="24"/>
        </w:rPr>
        <w:t>686.89</w:t>
      </w:r>
      <w:r>
        <w:rPr>
          <w:rFonts w:ascii="Times New Roman" w:hAnsi="Times New Roman"/>
          <w:szCs w:val="24"/>
        </w:rPr>
        <w:t>，为极硬水；地下水化学类型为</w:t>
      </w:r>
      <w:r>
        <w:rPr>
          <w:rFonts w:ascii="Times New Roman" w:hAnsi="Times New Roman"/>
          <w:szCs w:val="24"/>
        </w:rPr>
        <w:t>Cl·SO</w:t>
      </w:r>
      <w:r>
        <w:rPr>
          <w:rFonts w:ascii="Times New Roman" w:hAnsi="Times New Roman"/>
          <w:szCs w:val="24"/>
          <w:vertAlign w:val="subscript"/>
        </w:rPr>
        <w:t>4</w:t>
      </w:r>
      <w:r>
        <w:rPr>
          <w:rFonts w:ascii="Times New Roman" w:hAnsi="Times New Roman"/>
          <w:szCs w:val="24"/>
        </w:rPr>
        <w:t>-Na</w:t>
      </w:r>
      <w:r>
        <w:rPr>
          <w:rFonts w:ascii="Times New Roman" w:hAnsi="Times New Roman"/>
          <w:szCs w:val="24"/>
        </w:rPr>
        <w:t>型水。根据盐化测井，石盒子组砂岩含水层段为</w:t>
      </w:r>
      <w:r>
        <w:rPr>
          <w:rFonts w:ascii="Times New Roman" w:hAnsi="Times New Roman"/>
          <w:szCs w:val="24"/>
        </w:rPr>
        <w:t>693.80</w:t>
      </w:r>
      <w:r>
        <w:rPr>
          <w:rFonts w:ascii="Times New Roman" w:hAnsi="Times New Roman"/>
          <w:szCs w:val="24"/>
        </w:rPr>
        <w:t>～</w:t>
      </w:r>
      <w:r>
        <w:rPr>
          <w:rFonts w:ascii="Times New Roman" w:hAnsi="Times New Roman"/>
          <w:szCs w:val="24"/>
        </w:rPr>
        <w:t>709.05m</w:t>
      </w:r>
      <w:r>
        <w:rPr>
          <w:rFonts w:ascii="Times New Roman" w:hAnsi="Times New Roman"/>
          <w:szCs w:val="24"/>
        </w:rPr>
        <w:t>及</w:t>
      </w:r>
      <w:r>
        <w:rPr>
          <w:rFonts w:ascii="Times New Roman" w:hAnsi="Times New Roman"/>
          <w:szCs w:val="24"/>
        </w:rPr>
        <w:t>738.95</w:t>
      </w:r>
      <w:r>
        <w:rPr>
          <w:rFonts w:ascii="Times New Roman" w:hAnsi="Times New Roman"/>
          <w:szCs w:val="24"/>
        </w:rPr>
        <w:t>～</w:t>
      </w:r>
      <w:r>
        <w:rPr>
          <w:rFonts w:ascii="Times New Roman" w:hAnsi="Times New Roman"/>
          <w:szCs w:val="24"/>
        </w:rPr>
        <w:t>764.25m</w:t>
      </w:r>
      <w:r>
        <w:rPr>
          <w:rFonts w:ascii="Times New Roman" w:hAnsi="Times New Roman"/>
          <w:szCs w:val="24"/>
        </w:rPr>
        <w:t>，主要为粉砂岩、细砂岩和中砂岩，分析原因该处砂岩裂隙较发育。马莲台煤矿</w:t>
      </w:r>
      <w:r>
        <w:rPr>
          <w:rFonts w:ascii="Times New Roman" w:hAnsi="Times New Roman"/>
          <w:szCs w:val="24"/>
        </w:rPr>
        <w:t>B5-1</w:t>
      </w:r>
      <w:r>
        <w:rPr>
          <w:rFonts w:ascii="Times New Roman" w:hAnsi="Times New Roman"/>
          <w:szCs w:val="24"/>
        </w:rPr>
        <w:t>、</w:t>
      </w:r>
      <w:r>
        <w:rPr>
          <w:rFonts w:ascii="Times New Roman" w:hAnsi="Times New Roman"/>
          <w:szCs w:val="24"/>
        </w:rPr>
        <w:t>2502</w:t>
      </w:r>
      <w:r>
        <w:rPr>
          <w:rFonts w:ascii="Times New Roman" w:hAnsi="Times New Roman"/>
          <w:szCs w:val="24"/>
        </w:rPr>
        <w:t>、</w:t>
      </w:r>
      <w:r>
        <w:rPr>
          <w:rFonts w:ascii="Times New Roman" w:hAnsi="Times New Roman"/>
          <w:szCs w:val="24"/>
        </w:rPr>
        <w:t>S2708</w:t>
      </w:r>
      <w:r>
        <w:rPr>
          <w:rFonts w:ascii="Times New Roman" w:hAnsi="Times New Roman"/>
          <w:szCs w:val="24"/>
        </w:rPr>
        <w:t>孔抽水资料，静水位</w:t>
      </w:r>
      <w:r>
        <w:rPr>
          <w:rFonts w:ascii="Times New Roman" w:hAnsi="Times New Roman"/>
          <w:szCs w:val="24"/>
        </w:rPr>
        <w:t>14.73</w:t>
      </w:r>
      <w:r>
        <w:rPr>
          <w:rFonts w:ascii="Times New Roman" w:hAnsi="Times New Roman"/>
          <w:szCs w:val="24"/>
        </w:rPr>
        <w:t>～</w:t>
      </w:r>
      <w:r>
        <w:rPr>
          <w:rFonts w:ascii="Times New Roman" w:hAnsi="Times New Roman"/>
          <w:szCs w:val="24"/>
        </w:rPr>
        <w:t>39.06m</w:t>
      </w:r>
      <w:r>
        <w:rPr>
          <w:rFonts w:ascii="Times New Roman" w:hAnsi="Times New Roman"/>
          <w:szCs w:val="24"/>
        </w:rPr>
        <w:t>，水位最大降深</w:t>
      </w:r>
      <w:r>
        <w:rPr>
          <w:rFonts w:ascii="Times New Roman" w:hAnsi="Times New Roman"/>
          <w:szCs w:val="24"/>
        </w:rPr>
        <w:t>33.32</w:t>
      </w:r>
      <w:r>
        <w:rPr>
          <w:rFonts w:ascii="Times New Roman" w:hAnsi="Times New Roman"/>
          <w:szCs w:val="24"/>
        </w:rPr>
        <w:t>～</w:t>
      </w:r>
      <w:r>
        <w:rPr>
          <w:rFonts w:ascii="Times New Roman" w:hAnsi="Times New Roman"/>
          <w:szCs w:val="24"/>
        </w:rPr>
        <w:t>153.12m</w:t>
      </w:r>
      <w:r>
        <w:rPr>
          <w:rFonts w:ascii="Times New Roman" w:hAnsi="Times New Roman"/>
          <w:szCs w:val="24"/>
        </w:rPr>
        <w:t>，涌水量</w:t>
      </w:r>
      <w:r>
        <w:rPr>
          <w:rFonts w:ascii="Times New Roman" w:hAnsi="Times New Roman"/>
          <w:szCs w:val="24"/>
        </w:rPr>
        <w:t>0.603</w:t>
      </w:r>
      <w:r>
        <w:rPr>
          <w:rFonts w:ascii="Times New Roman" w:hAnsi="Times New Roman"/>
          <w:szCs w:val="24"/>
        </w:rPr>
        <w:t>～</w:t>
      </w:r>
      <w:r>
        <w:rPr>
          <w:rFonts w:ascii="Times New Roman" w:hAnsi="Times New Roman"/>
          <w:szCs w:val="24"/>
        </w:rPr>
        <w:t>1.329L/s</w:t>
      </w:r>
      <w:r>
        <w:rPr>
          <w:rFonts w:ascii="Times New Roman" w:hAnsi="Times New Roman"/>
          <w:szCs w:val="24"/>
        </w:rPr>
        <w:t>，标准单位涌水量</w:t>
      </w:r>
      <w:r>
        <w:rPr>
          <w:rFonts w:ascii="Times New Roman" w:hAnsi="Times New Roman"/>
          <w:szCs w:val="24"/>
        </w:rPr>
        <w:t>0.0032</w:t>
      </w:r>
      <w:r>
        <w:rPr>
          <w:rFonts w:ascii="Times New Roman" w:hAnsi="Times New Roman"/>
          <w:szCs w:val="24"/>
        </w:rPr>
        <w:t>～</w:t>
      </w:r>
      <w:r>
        <w:rPr>
          <w:rFonts w:ascii="Times New Roman" w:hAnsi="Times New Roman"/>
          <w:szCs w:val="24"/>
        </w:rPr>
        <w:t>0.0314L/s·m</w:t>
      </w:r>
      <w:r>
        <w:rPr>
          <w:rFonts w:ascii="Times New Roman" w:hAnsi="Times New Roman"/>
          <w:szCs w:val="24"/>
        </w:rPr>
        <w:t>，为弱富水性含水层。平均渗透系数</w:t>
      </w:r>
      <w:r>
        <w:rPr>
          <w:rFonts w:ascii="Times New Roman" w:hAnsi="Times New Roman"/>
          <w:szCs w:val="24"/>
        </w:rPr>
        <w:t>Kcp=0.0290m/d</w:t>
      </w:r>
      <w:r>
        <w:rPr>
          <w:rFonts w:ascii="Times New Roman" w:hAnsi="Times New Roman"/>
          <w:szCs w:val="24"/>
        </w:rPr>
        <w:t>。据</w:t>
      </w:r>
      <w:r>
        <w:rPr>
          <w:rFonts w:ascii="Times New Roman" w:hAnsi="Times New Roman"/>
          <w:szCs w:val="24"/>
        </w:rPr>
        <w:t>S2708</w:t>
      </w:r>
      <w:r>
        <w:rPr>
          <w:rFonts w:ascii="Times New Roman" w:hAnsi="Times New Roman"/>
          <w:szCs w:val="24"/>
        </w:rPr>
        <w:t>、</w:t>
      </w:r>
      <w:r>
        <w:rPr>
          <w:rFonts w:ascii="Times New Roman" w:hAnsi="Times New Roman"/>
          <w:szCs w:val="24"/>
        </w:rPr>
        <w:t>2502</w:t>
      </w:r>
      <w:r>
        <w:rPr>
          <w:rFonts w:ascii="Times New Roman" w:hAnsi="Times New Roman"/>
          <w:szCs w:val="24"/>
        </w:rPr>
        <w:t>孔水质化验成果，溶解性固体</w:t>
      </w:r>
      <w:r>
        <w:rPr>
          <w:rFonts w:ascii="Times New Roman" w:hAnsi="Times New Roman"/>
          <w:szCs w:val="24"/>
        </w:rPr>
        <w:t>1.75</w:t>
      </w:r>
      <w:r>
        <w:rPr>
          <w:rFonts w:ascii="Times New Roman" w:hAnsi="Times New Roman"/>
          <w:szCs w:val="24"/>
        </w:rPr>
        <w:t>～</w:t>
      </w:r>
      <w:r>
        <w:rPr>
          <w:rFonts w:ascii="Times New Roman" w:hAnsi="Times New Roman"/>
          <w:szCs w:val="24"/>
        </w:rPr>
        <w:t>4.78g/L</w:t>
      </w:r>
      <w:r>
        <w:rPr>
          <w:rFonts w:ascii="Times New Roman" w:hAnsi="Times New Roman"/>
          <w:szCs w:val="24"/>
        </w:rPr>
        <w:t>，总硬度</w:t>
      </w:r>
      <w:r>
        <w:rPr>
          <w:rFonts w:ascii="Times New Roman" w:hAnsi="Times New Roman"/>
          <w:szCs w:val="24"/>
        </w:rPr>
        <w:t>12.43</w:t>
      </w:r>
      <w:r>
        <w:rPr>
          <w:rFonts w:ascii="Times New Roman" w:hAnsi="Times New Roman"/>
          <w:szCs w:val="24"/>
        </w:rPr>
        <w:t>～</w:t>
      </w:r>
      <w:r>
        <w:rPr>
          <w:rFonts w:ascii="Times New Roman" w:hAnsi="Times New Roman"/>
          <w:szCs w:val="24"/>
        </w:rPr>
        <w:t>838.30mg/L</w:t>
      </w:r>
      <w:r>
        <w:rPr>
          <w:rFonts w:ascii="Times New Roman" w:hAnsi="Times New Roman"/>
          <w:szCs w:val="24"/>
        </w:rPr>
        <w:t>，</w:t>
      </w:r>
      <w:r>
        <w:rPr>
          <w:rFonts w:ascii="Times New Roman" w:hAnsi="Times New Roman"/>
          <w:szCs w:val="24"/>
        </w:rPr>
        <w:t>PH</w:t>
      </w:r>
      <w:r>
        <w:rPr>
          <w:rFonts w:ascii="Times New Roman" w:hAnsi="Times New Roman"/>
          <w:szCs w:val="24"/>
        </w:rPr>
        <w:t>值</w:t>
      </w:r>
      <w:r>
        <w:rPr>
          <w:rFonts w:ascii="Times New Roman" w:hAnsi="Times New Roman"/>
          <w:szCs w:val="24"/>
        </w:rPr>
        <w:t>8.29</w:t>
      </w:r>
      <w:r>
        <w:rPr>
          <w:rFonts w:ascii="Times New Roman" w:hAnsi="Times New Roman"/>
          <w:szCs w:val="24"/>
        </w:rPr>
        <w:t>，水化学类型为</w:t>
      </w:r>
      <w:r>
        <w:rPr>
          <w:rFonts w:ascii="Times New Roman" w:hAnsi="Times New Roman"/>
          <w:szCs w:val="24"/>
        </w:rPr>
        <w:t>SO</w:t>
      </w:r>
      <w:r>
        <w:rPr>
          <w:rFonts w:ascii="Times New Roman" w:hAnsi="Times New Roman"/>
          <w:szCs w:val="24"/>
          <w:vertAlign w:val="subscript"/>
        </w:rPr>
        <w:t>4</w:t>
      </w:r>
      <w:r>
        <w:rPr>
          <w:rFonts w:ascii="Times New Roman" w:hAnsi="Times New Roman"/>
          <w:szCs w:val="24"/>
        </w:rPr>
        <w:t>·Cl-Na</w:t>
      </w:r>
      <w:r>
        <w:rPr>
          <w:rFonts w:ascii="Times New Roman" w:hAnsi="Times New Roman"/>
          <w:szCs w:val="24"/>
        </w:rPr>
        <w:t>型水。</w:t>
      </w:r>
    </w:p>
    <w:p w14:paraId="2AFABDD0"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5</w:t>
      </w:r>
      <w:r>
        <w:rPr>
          <w:rFonts w:ascii="Times New Roman" w:hAnsi="Times New Roman"/>
          <w:szCs w:val="24"/>
        </w:rPr>
        <w:t>）二叠系下统山西组（</w:t>
      </w:r>
      <w:r>
        <w:rPr>
          <w:rFonts w:ascii="Times New Roman" w:hAnsi="Times New Roman"/>
          <w:szCs w:val="24"/>
        </w:rPr>
        <w:t>Ps</w:t>
      </w:r>
      <w:r>
        <w:rPr>
          <w:rFonts w:ascii="Times New Roman" w:hAnsi="Times New Roman"/>
          <w:szCs w:val="24"/>
        </w:rPr>
        <w:t>）砂岩裂隙孔隙含水层组（</w:t>
      </w:r>
      <w:r>
        <w:rPr>
          <w:rFonts w:ascii="Times New Roman" w:hAnsi="Times New Roman"/>
          <w:szCs w:val="24"/>
        </w:rPr>
        <w:t>V</w:t>
      </w:r>
      <w:r>
        <w:rPr>
          <w:rFonts w:ascii="Times New Roman" w:hAnsi="Times New Roman"/>
          <w:szCs w:val="24"/>
        </w:rPr>
        <w:t>）</w:t>
      </w:r>
    </w:p>
    <w:p w14:paraId="7050961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横城矿区二叠系下统山西组岩性为灰白、深灰色中</w:t>
      </w:r>
      <w:r>
        <w:rPr>
          <w:rFonts w:ascii="Times New Roman" w:hAnsi="Times New Roman"/>
          <w:szCs w:val="24"/>
        </w:rPr>
        <w:t>—</w:t>
      </w:r>
      <w:r>
        <w:rPr>
          <w:rFonts w:ascii="Times New Roman" w:hAnsi="Times New Roman"/>
          <w:szCs w:val="24"/>
        </w:rPr>
        <w:t>粗粒砂岩、细砂岩、灰黑色粉砂岩、泥岩及煤层。矿区该层厚度稳定，（如红石湾平均约为</w:t>
      </w:r>
      <w:r>
        <w:rPr>
          <w:rFonts w:ascii="Times New Roman" w:hAnsi="Times New Roman"/>
          <w:szCs w:val="24"/>
        </w:rPr>
        <w:t>87m</w:t>
      </w:r>
      <w:r>
        <w:rPr>
          <w:rFonts w:ascii="Times New Roman" w:hAnsi="Times New Roman"/>
          <w:szCs w:val="24"/>
        </w:rPr>
        <w:t>、任家庄</w:t>
      </w:r>
      <w:r>
        <w:rPr>
          <w:rFonts w:ascii="Times New Roman" w:hAnsi="Times New Roman"/>
          <w:szCs w:val="24"/>
        </w:rPr>
        <w:t>70m</w:t>
      </w:r>
      <w:r>
        <w:rPr>
          <w:rFonts w:ascii="Times New Roman" w:hAnsi="Times New Roman"/>
          <w:szCs w:val="24"/>
        </w:rPr>
        <w:t>、丁家梁西部</w:t>
      </w:r>
      <w:r>
        <w:rPr>
          <w:rFonts w:ascii="Times New Roman" w:hAnsi="Times New Roman"/>
          <w:szCs w:val="24"/>
        </w:rPr>
        <w:t>88.77m</w:t>
      </w:r>
      <w:r>
        <w:rPr>
          <w:rFonts w:ascii="Times New Roman" w:hAnsi="Times New Roman"/>
          <w:szCs w:val="24"/>
        </w:rPr>
        <w:t>）。其含水层为裂隙较发育的砂岩，厚度平均为</w:t>
      </w:r>
      <w:r>
        <w:rPr>
          <w:rFonts w:ascii="Times New Roman" w:hAnsi="Times New Roman"/>
          <w:szCs w:val="24"/>
        </w:rPr>
        <w:t>24.14</w:t>
      </w:r>
      <w:r>
        <w:rPr>
          <w:rFonts w:ascii="Times New Roman" w:hAnsi="Times New Roman"/>
          <w:szCs w:val="24"/>
        </w:rPr>
        <w:t>～</w:t>
      </w:r>
      <w:r>
        <w:rPr>
          <w:rFonts w:ascii="Times New Roman" w:hAnsi="Times New Roman"/>
          <w:szCs w:val="24"/>
        </w:rPr>
        <w:t>29.29m</w:t>
      </w:r>
      <w:r>
        <w:rPr>
          <w:rFonts w:ascii="Times New Roman" w:hAnsi="Times New Roman"/>
          <w:szCs w:val="24"/>
        </w:rPr>
        <w:t>，而柔性的泥岩、煤层透水性均差，构成相对隔水层，形成层间裂隙承压水，各含水层间水力联系微弱。总体来看，矿区该含水层富水性弱，属承压水。矿化度高，属氯化物硫酸盐钠型水。</w:t>
      </w:r>
    </w:p>
    <w:p w14:paraId="5E9C20FD"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其中丁家梁煤矿西部在勘探阶段施工的</w:t>
      </w:r>
      <w:r>
        <w:rPr>
          <w:rFonts w:ascii="Times New Roman" w:hAnsi="Times New Roman"/>
          <w:szCs w:val="24"/>
        </w:rPr>
        <w:t>T1-2</w:t>
      </w:r>
      <w:r>
        <w:rPr>
          <w:rFonts w:ascii="Times New Roman" w:hAnsi="Times New Roman"/>
          <w:szCs w:val="24"/>
        </w:rPr>
        <w:t>钻孔，对山西组砂岩层间孔隙裂隙承压含水层进行抽水试验，单位涌水量</w:t>
      </w:r>
      <w:r>
        <w:rPr>
          <w:rFonts w:ascii="Times New Roman" w:hAnsi="Times New Roman"/>
          <w:szCs w:val="24"/>
        </w:rPr>
        <w:t>0.00174L/s.m</w:t>
      </w:r>
      <w:r>
        <w:rPr>
          <w:rFonts w:ascii="Times New Roman" w:hAnsi="Times New Roman"/>
          <w:szCs w:val="24"/>
        </w:rPr>
        <w:t>，渗透系数</w:t>
      </w:r>
      <w:r>
        <w:rPr>
          <w:rFonts w:ascii="Times New Roman" w:hAnsi="Times New Roman"/>
          <w:szCs w:val="24"/>
        </w:rPr>
        <w:t>0.0061m/d</w:t>
      </w:r>
      <w:r>
        <w:rPr>
          <w:rFonts w:ascii="Times New Roman" w:hAnsi="Times New Roman"/>
          <w:szCs w:val="24"/>
        </w:rPr>
        <w:t>，属弱富水性。总矿化度</w:t>
      </w:r>
      <w:r>
        <w:rPr>
          <w:rFonts w:ascii="Times New Roman" w:hAnsi="Times New Roman"/>
          <w:szCs w:val="24"/>
        </w:rPr>
        <w:t>7.675g/L</w:t>
      </w:r>
      <w:r>
        <w:rPr>
          <w:rFonts w:ascii="Times New Roman" w:hAnsi="Times New Roman"/>
          <w:szCs w:val="24"/>
        </w:rPr>
        <w:t>，溶解性总固体</w:t>
      </w:r>
      <w:r>
        <w:rPr>
          <w:rFonts w:ascii="Times New Roman" w:hAnsi="Times New Roman"/>
          <w:szCs w:val="24"/>
        </w:rPr>
        <w:t>6.462g/L</w:t>
      </w:r>
      <w:r>
        <w:rPr>
          <w:rFonts w:ascii="Times New Roman" w:hAnsi="Times New Roman"/>
          <w:szCs w:val="24"/>
        </w:rPr>
        <w:t>，属苦咸水，水化学类型为</w:t>
      </w:r>
      <w:r>
        <w:rPr>
          <w:rFonts w:ascii="Times New Roman" w:hAnsi="Times New Roman"/>
          <w:szCs w:val="24"/>
        </w:rPr>
        <w:t>SO</w:t>
      </w:r>
      <w:r>
        <w:rPr>
          <w:rFonts w:ascii="Times New Roman" w:hAnsi="Times New Roman"/>
          <w:szCs w:val="24"/>
          <w:vertAlign w:val="subscript"/>
        </w:rPr>
        <w:t>4</w:t>
      </w:r>
      <w:r>
        <w:rPr>
          <w:rFonts w:ascii="Times New Roman" w:hAnsi="Times New Roman"/>
          <w:szCs w:val="24"/>
        </w:rPr>
        <w:t>-Na</w:t>
      </w:r>
      <w:r>
        <w:rPr>
          <w:rFonts w:ascii="Times New Roman" w:hAnsi="Times New Roman"/>
          <w:szCs w:val="24"/>
        </w:rPr>
        <w:t>型。</w:t>
      </w:r>
    </w:p>
    <w:p w14:paraId="26AA825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6</w:t>
      </w:r>
      <w:r>
        <w:rPr>
          <w:rFonts w:ascii="Times New Roman" w:hAnsi="Times New Roman"/>
          <w:szCs w:val="24"/>
        </w:rPr>
        <w:t>）石炭系上统</w:t>
      </w:r>
      <w:r>
        <w:rPr>
          <w:rFonts w:ascii="Times New Roman" w:hAnsi="Times New Roman"/>
          <w:szCs w:val="24"/>
        </w:rPr>
        <w:t>―</w:t>
      </w:r>
      <w:r>
        <w:rPr>
          <w:rFonts w:ascii="Times New Roman" w:hAnsi="Times New Roman"/>
          <w:szCs w:val="24"/>
        </w:rPr>
        <w:t>二叠系下统太原组（</w:t>
      </w:r>
      <w:r>
        <w:rPr>
          <w:rFonts w:ascii="Times New Roman" w:hAnsi="Times New Roman"/>
          <w:szCs w:val="24"/>
        </w:rPr>
        <w:t>CPt</w:t>
      </w:r>
      <w:r>
        <w:rPr>
          <w:rFonts w:ascii="Times New Roman" w:hAnsi="Times New Roman"/>
          <w:szCs w:val="24"/>
        </w:rPr>
        <w:t>）砂岩裂隙孔隙含水层组（</w:t>
      </w:r>
      <w:r>
        <w:rPr>
          <w:rFonts w:ascii="Times New Roman" w:hAnsi="Times New Roman"/>
          <w:szCs w:val="24"/>
        </w:rPr>
        <w:t>VI</w:t>
      </w:r>
      <w:r>
        <w:rPr>
          <w:rFonts w:ascii="Times New Roman" w:hAnsi="Times New Roman"/>
          <w:szCs w:val="24"/>
        </w:rPr>
        <w:t>）</w:t>
      </w:r>
    </w:p>
    <w:p w14:paraId="765659A7"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矿区内为灰白色中</w:t>
      </w:r>
      <w:r>
        <w:rPr>
          <w:rFonts w:ascii="Times New Roman" w:hAnsi="Times New Roman"/>
          <w:szCs w:val="24"/>
        </w:rPr>
        <w:t>—</w:t>
      </w:r>
      <w:r>
        <w:rPr>
          <w:rFonts w:ascii="Times New Roman" w:hAnsi="Times New Roman"/>
          <w:szCs w:val="24"/>
        </w:rPr>
        <w:t>粗粒砂岩、细砂岩、灰黑色泥岩、粉砂岩、石灰岩、粘土岩及沥青质泥岩及煤层，矿区该层厚度稳定，（如红石湾平均约为</w:t>
      </w:r>
      <w:r>
        <w:rPr>
          <w:rFonts w:ascii="Times New Roman" w:hAnsi="Times New Roman"/>
          <w:szCs w:val="24"/>
        </w:rPr>
        <w:t>77m</w:t>
      </w:r>
      <w:r>
        <w:rPr>
          <w:rFonts w:ascii="Times New Roman" w:hAnsi="Times New Roman"/>
          <w:szCs w:val="24"/>
        </w:rPr>
        <w:t>、任家庄</w:t>
      </w:r>
      <w:r>
        <w:rPr>
          <w:rFonts w:ascii="Times New Roman" w:hAnsi="Times New Roman"/>
          <w:szCs w:val="24"/>
        </w:rPr>
        <w:t>78m</w:t>
      </w:r>
      <w:r>
        <w:rPr>
          <w:rFonts w:ascii="Times New Roman" w:hAnsi="Times New Roman"/>
          <w:szCs w:val="24"/>
        </w:rPr>
        <w:t>、丁家梁西部</w:t>
      </w:r>
      <w:r>
        <w:rPr>
          <w:rFonts w:ascii="Times New Roman" w:hAnsi="Times New Roman"/>
          <w:szCs w:val="24"/>
        </w:rPr>
        <w:t>86m</w:t>
      </w:r>
      <w:r>
        <w:rPr>
          <w:rFonts w:ascii="Times New Roman" w:hAnsi="Times New Roman"/>
          <w:szCs w:val="24"/>
        </w:rPr>
        <w:t>）。该层九煤以上岩性较粗，九煤以下岩性变细，多为泥岩、粉砂岩和薄层细粒砂岩互层，裂隙不发育，太原组砂岩质地较纯，颗粒成分以石英为主。粉砂岩普遍含有粘土质，局部夹薄层状、透镜状细砂岩。泥岩多位于煤层顶底，较细腻。含水层为裂隙较发育的砂岩，而细腻柔性的泥岩层则由于透水性差，构成相对隔水层。各含水层间水力联系微弱，为层间裂隙承压水类型，矿区内该含水层整体富水性弱，属承压水。</w:t>
      </w:r>
    </w:p>
    <w:p w14:paraId="69BA6203"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据红石湾煤矿检</w:t>
      </w:r>
      <w:r>
        <w:rPr>
          <w:rFonts w:ascii="Times New Roman" w:hAnsi="Times New Roman"/>
          <w:szCs w:val="24"/>
        </w:rPr>
        <w:t>2</w:t>
      </w:r>
      <w:r>
        <w:rPr>
          <w:rFonts w:ascii="Times New Roman" w:hAnsi="Times New Roman"/>
          <w:szCs w:val="24"/>
        </w:rPr>
        <w:t>孔二叠系下统山西组和石炭系上统太原组砂岩裂隙孔隙含水层（组）混合抽水试验结果，当水位降深</w:t>
      </w:r>
      <w:r>
        <w:rPr>
          <w:rFonts w:ascii="Times New Roman" w:hAnsi="Times New Roman"/>
          <w:szCs w:val="24"/>
        </w:rPr>
        <w:t>S</w:t>
      </w:r>
      <w:r>
        <w:rPr>
          <w:rFonts w:ascii="Times New Roman" w:hAnsi="Times New Roman"/>
          <w:szCs w:val="24"/>
        </w:rPr>
        <w:t>＝</w:t>
      </w:r>
      <w:r>
        <w:rPr>
          <w:rFonts w:ascii="Times New Roman" w:hAnsi="Times New Roman"/>
          <w:szCs w:val="24"/>
        </w:rPr>
        <w:t>122.17m</w:t>
      </w:r>
      <w:r>
        <w:rPr>
          <w:rFonts w:ascii="Times New Roman" w:hAnsi="Times New Roman"/>
          <w:szCs w:val="24"/>
        </w:rPr>
        <w:t>时，涌水量</w:t>
      </w:r>
      <w:r>
        <w:rPr>
          <w:rFonts w:ascii="Times New Roman" w:hAnsi="Times New Roman"/>
          <w:szCs w:val="24"/>
        </w:rPr>
        <w:t>Q</w:t>
      </w:r>
      <w:r>
        <w:rPr>
          <w:rFonts w:ascii="Times New Roman" w:hAnsi="Times New Roman"/>
          <w:szCs w:val="24"/>
        </w:rPr>
        <w:t>＝</w:t>
      </w:r>
      <w:r>
        <w:rPr>
          <w:rFonts w:ascii="Times New Roman" w:hAnsi="Times New Roman"/>
          <w:szCs w:val="24"/>
        </w:rPr>
        <w:t>0.184 L/s</w:t>
      </w:r>
      <w:r>
        <w:rPr>
          <w:rFonts w:ascii="Times New Roman" w:hAnsi="Times New Roman"/>
          <w:szCs w:val="24"/>
        </w:rPr>
        <w:t>，单位涌水量</w:t>
      </w:r>
      <w:r>
        <w:rPr>
          <w:rFonts w:ascii="Times New Roman" w:hAnsi="Times New Roman"/>
          <w:szCs w:val="24"/>
        </w:rPr>
        <w:t>0.002L/s·m</w:t>
      </w:r>
      <w:r>
        <w:rPr>
          <w:rFonts w:ascii="Times New Roman" w:hAnsi="Times New Roman"/>
          <w:szCs w:val="24"/>
        </w:rPr>
        <w:t>，渗透系数</w:t>
      </w:r>
      <w:r>
        <w:rPr>
          <w:rFonts w:ascii="Times New Roman" w:hAnsi="Times New Roman"/>
          <w:szCs w:val="24"/>
        </w:rPr>
        <w:t>K=0.007m/d</w:t>
      </w:r>
      <w:r>
        <w:rPr>
          <w:rFonts w:ascii="Times New Roman" w:hAnsi="Times New Roman"/>
          <w:szCs w:val="24"/>
        </w:rPr>
        <w:t>。据水质分析资料，地下水矿化度为</w:t>
      </w:r>
      <w:r>
        <w:rPr>
          <w:rFonts w:ascii="Times New Roman" w:hAnsi="Times New Roman"/>
          <w:szCs w:val="24"/>
        </w:rPr>
        <w:t>4.76g/L</w:t>
      </w:r>
      <w:r>
        <w:rPr>
          <w:rFonts w:ascii="Times New Roman" w:hAnsi="Times New Roman"/>
          <w:szCs w:val="24"/>
        </w:rPr>
        <w:t>，为咸水；</w:t>
      </w:r>
      <w:r>
        <w:rPr>
          <w:rFonts w:ascii="Times New Roman" w:hAnsi="Times New Roman"/>
          <w:szCs w:val="24"/>
        </w:rPr>
        <w:t>PH=8.28</w:t>
      </w:r>
      <w:r>
        <w:rPr>
          <w:rFonts w:ascii="Times New Roman" w:hAnsi="Times New Roman"/>
          <w:szCs w:val="24"/>
        </w:rPr>
        <w:t>，为弱碱性水；总硬度</w:t>
      </w:r>
      <w:r>
        <w:rPr>
          <w:rFonts w:ascii="Times New Roman" w:hAnsi="Times New Roman"/>
          <w:szCs w:val="24"/>
        </w:rPr>
        <w:t>346.69mg/L</w:t>
      </w:r>
      <w:r>
        <w:rPr>
          <w:rFonts w:ascii="Times New Roman" w:hAnsi="Times New Roman"/>
          <w:szCs w:val="24"/>
        </w:rPr>
        <w:t>，为硬水；地下水化学类型氯化物硫酸盐钠型水。</w:t>
      </w:r>
      <w:r>
        <w:rPr>
          <w:rFonts w:ascii="Times New Roman" w:hAnsi="Times New Roman"/>
          <w:szCs w:val="24"/>
        </w:rPr>
        <w:t>1701</w:t>
      </w:r>
      <w:r>
        <w:rPr>
          <w:rFonts w:ascii="Times New Roman" w:hAnsi="Times New Roman"/>
          <w:szCs w:val="24"/>
        </w:rPr>
        <w:t>孔二叠系石盒子组、山西组和石炭系上统太原组砂岩裂隙孔隙含水层（组）混合抽水试验结果显示，当水位降深</w:t>
      </w:r>
      <w:r>
        <w:rPr>
          <w:rFonts w:ascii="Times New Roman" w:hAnsi="Times New Roman"/>
          <w:szCs w:val="24"/>
        </w:rPr>
        <w:t>S</w:t>
      </w:r>
      <w:r>
        <w:rPr>
          <w:rFonts w:ascii="Times New Roman" w:hAnsi="Times New Roman"/>
          <w:szCs w:val="24"/>
        </w:rPr>
        <w:t>＝</w:t>
      </w:r>
      <w:r>
        <w:rPr>
          <w:rFonts w:ascii="Times New Roman" w:hAnsi="Times New Roman"/>
          <w:szCs w:val="24"/>
        </w:rPr>
        <w:t>93.50m</w:t>
      </w:r>
      <w:r>
        <w:rPr>
          <w:rFonts w:ascii="Times New Roman" w:hAnsi="Times New Roman"/>
          <w:szCs w:val="24"/>
        </w:rPr>
        <w:t>时，涌水量</w:t>
      </w:r>
      <w:r>
        <w:rPr>
          <w:rFonts w:ascii="Times New Roman" w:hAnsi="Times New Roman"/>
          <w:szCs w:val="24"/>
        </w:rPr>
        <w:t>Q</w:t>
      </w:r>
      <w:r>
        <w:rPr>
          <w:rFonts w:ascii="Times New Roman" w:hAnsi="Times New Roman"/>
          <w:szCs w:val="24"/>
        </w:rPr>
        <w:t>＝</w:t>
      </w:r>
      <w:r>
        <w:rPr>
          <w:rFonts w:ascii="Times New Roman" w:hAnsi="Times New Roman"/>
          <w:szCs w:val="24"/>
        </w:rPr>
        <w:t>0.508 L/s</w:t>
      </w:r>
      <w:r>
        <w:rPr>
          <w:rFonts w:ascii="Times New Roman" w:hAnsi="Times New Roman"/>
          <w:szCs w:val="24"/>
        </w:rPr>
        <w:t>，单位涌水量</w:t>
      </w:r>
      <w:r>
        <w:rPr>
          <w:rFonts w:ascii="Times New Roman" w:hAnsi="Times New Roman"/>
          <w:szCs w:val="24"/>
        </w:rPr>
        <w:t>0.00543L/s·m</w:t>
      </w:r>
      <w:r>
        <w:rPr>
          <w:rFonts w:ascii="Times New Roman" w:hAnsi="Times New Roman"/>
          <w:szCs w:val="24"/>
        </w:rPr>
        <w:t>，渗透系数</w:t>
      </w:r>
      <w:r>
        <w:rPr>
          <w:rFonts w:ascii="Times New Roman" w:hAnsi="Times New Roman"/>
          <w:szCs w:val="24"/>
        </w:rPr>
        <w:t>K=0.0042m/d</w:t>
      </w:r>
      <w:r>
        <w:rPr>
          <w:rFonts w:ascii="Times New Roman" w:hAnsi="Times New Roman"/>
          <w:szCs w:val="24"/>
        </w:rPr>
        <w:t>。据水质分析资料，地下水矿化度为</w:t>
      </w:r>
      <w:r>
        <w:rPr>
          <w:rFonts w:ascii="Times New Roman" w:hAnsi="Times New Roman"/>
          <w:szCs w:val="24"/>
        </w:rPr>
        <w:t>4.87g/L</w:t>
      </w:r>
      <w:r>
        <w:rPr>
          <w:rFonts w:ascii="Times New Roman" w:hAnsi="Times New Roman"/>
          <w:szCs w:val="24"/>
        </w:rPr>
        <w:t>，为咸水；</w:t>
      </w:r>
      <w:r>
        <w:rPr>
          <w:rFonts w:ascii="Times New Roman" w:hAnsi="Times New Roman"/>
          <w:szCs w:val="24"/>
        </w:rPr>
        <w:t>PH=8.06</w:t>
      </w:r>
      <w:r>
        <w:rPr>
          <w:rFonts w:ascii="Times New Roman" w:hAnsi="Times New Roman"/>
          <w:szCs w:val="24"/>
        </w:rPr>
        <w:t>，为弱碱性水；总硬度</w:t>
      </w:r>
      <w:r>
        <w:rPr>
          <w:rFonts w:ascii="Times New Roman" w:hAnsi="Times New Roman"/>
          <w:szCs w:val="24"/>
        </w:rPr>
        <w:t>346.69mg/L</w:t>
      </w:r>
      <w:r>
        <w:rPr>
          <w:rFonts w:ascii="Times New Roman" w:hAnsi="Times New Roman"/>
          <w:szCs w:val="24"/>
        </w:rPr>
        <w:t>，为硬水；地下水化学类型氯化物硫酸盐钠型水。</w:t>
      </w:r>
    </w:p>
    <w:p w14:paraId="2E4F0128"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另据丁家梁井田内</w:t>
      </w:r>
      <w:r>
        <w:rPr>
          <w:rFonts w:ascii="Times New Roman" w:hAnsi="Times New Roman"/>
          <w:szCs w:val="24"/>
        </w:rPr>
        <w:t>DN</w:t>
      </w:r>
      <w:r>
        <w:rPr>
          <w:rFonts w:ascii="Times New Roman" w:hAnsi="Times New Roman"/>
          <w:szCs w:val="24"/>
        </w:rPr>
        <w:t>水</w:t>
      </w:r>
      <w:r>
        <w:rPr>
          <w:rFonts w:ascii="Times New Roman" w:hAnsi="Times New Roman"/>
          <w:szCs w:val="24"/>
        </w:rPr>
        <w:t>1</w:t>
      </w:r>
      <w:r>
        <w:rPr>
          <w:rFonts w:ascii="Times New Roman" w:hAnsi="Times New Roman"/>
          <w:szCs w:val="24"/>
        </w:rPr>
        <w:t>、</w:t>
      </w:r>
      <w:r>
        <w:rPr>
          <w:rFonts w:ascii="Times New Roman" w:hAnsi="Times New Roman"/>
          <w:szCs w:val="24"/>
        </w:rPr>
        <w:t>DN</w:t>
      </w:r>
      <w:r>
        <w:rPr>
          <w:rFonts w:ascii="Times New Roman" w:hAnsi="Times New Roman"/>
          <w:szCs w:val="24"/>
        </w:rPr>
        <w:t>水</w:t>
      </w:r>
      <w:r>
        <w:rPr>
          <w:rFonts w:ascii="Times New Roman" w:hAnsi="Times New Roman"/>
          <w:szCs w:val="24"/>
        </w:rPr>
        <w:t>2</w:t>
      </w:r>
      <w:r>
        <w:rPr>
          <w:rFonts w:ascii="Times New Roman" w:hAnsi="Times New Roman"/>
          <w:szCs w:val="24"/>
        </w:rPr>
        <w:t>号孔抽水试验资料：含水层为中</w:t>
      </w:r>
      <w:r>
        <w:rPr>
          <w:rFonts w:ascii="Times New Roman" w:hAnsi="Times New Roman"/>
          <w:szCs w:val="24"/>
        </w:rPr>
        <w:t>-</w:t>
      </w:r>
      <w:r>
        <w:rPr>
          <w:rFonts w:ascii="Times New Roman" w:hAnsi="Times New Roman"/>
          <w:szCs w:val="24"/>
        </w:rPr>
        <w:t>粗粒砂岩、细粒砂岩、灰岩。含水层静止水位埋深</w:t>
      </w:r>
      <w:r>
        <w:rPr>
          <w:rFonts w:ascii="Times New Roman" w:hAnsi="Times New Roman"/>
          <w:szCs w:val="24"/>
        </w:rPr>
        <w:t>34.56</w:t>
      </w:r>
      <w:r>
        <w:rPr>
          <w:rFonts w:ascii="Times New Roman" w:hAnsi="Times New Roman"/>
          <w:szCs w:val="24"/>
        </w:rPr>
        <w:t>～</w:t>
      </w:r>
      <w:r>
        <w:rPr>
          <w:rFonts w:ascii="Times New Roman" w:hAnsi="Times New Roman"/>
          <w:szCs w:val="24"/>
        </w:rPr>
        <w:t>50.16m</w:t>
      </w:r>
      <w:r>
        <w:rPr>
          <w:rFonts w:ascii="Times New Roman" w:hAnsi="Times New Roman"/>
          <w:szCs w:val="24"/>
        </w:rPr>
        <w:t>，降</w:t>
      </w:r>
      <w:r>
        <w:rPr>
          <w:rFonts w:ascii="Times New Roman" w:hAnsi="Times New Roman"/>
          <w:szCs w:val="24"/>
        </w:rPr>
        <w:t>122.08</w:t>
      </w:r>
      <w:r>
        <w:rPr>
          <w:rFonts w:ascii="Times New Roman" w:hAnsi="Times New Roman"/>
          <w:szCs w:val="24"/>
        </w:rPr>
        <w:t>～</w:t>
      </w:r>
      <w:r>
        <w:rPr>
          <w:rFonts w:ascii="Times New Roman" w:hAnsi="Times New Roman"/>
          <w:szCs w:val="24"/>
        </w:rPr>
        <w:t>137.53m</w:t>
      </w:r>
      <w:r>
        <w:rPr>
          <w:rFonts w:ascii="Times New Roman" w:hAnsi="Times New Roman"/>
          <w:szCs w:val="24"/>
        </w:rPr>
        <w:t>，涌水量</w:t>
      </w:r>
      <w:r>
        <w:rPr>
          <w:rFonts w:ascii="Times New Roman" w:hAnsi="Times New Roman"/>
          <w:szCs w:val="24"/>
        </w:rPr>
        <w:t>0.098</w:t>
      </w:r>
      <w:r>
        <w:rPr>
          <w:rFonts w:ascii="Times New Roman" w:hAnsi="Times New Roman"/>
          <w:szCs w:val="24"/>
        </w:rPr>
        <w:t>～</w:t>
      </w:r>
      <w:r>
        <w:rPr>
          <w:rFonts w:ascii="Times New Roman" w:hAnsi="Times New Roman"/>
          <w:szCs w:val="24"/>
        </w:rPr>
        <w:t>0.303L/s</w:t>
      </w:r>
      <w:r>
        <w:rPr>
          <w:rFonts w:ascii="Times New Roman" w:hAnsi="Times New Roman"/>
          <w:szCs w:val="24"/>
        </w:rPr>
        <w:t>，单位涌水量为</w:t>
      </w:r>
      <w:r>
        <w:rPr>
          <w:rFonts w:ascii="Times New Roman" w:hAnsi="Times New Roman"/>
          <w:szCs w:val="24"/>
        </w:rPr>
        <w:t>0.0008</w:t>
      </w:r>
      <w:r>
        <w:rPr>
          <w:rFonts w:ascii="Times New Roman" w:hAnsi="Times New Roman"/>
          <w:szCs w:val="24"/>
        </w:rPr>
        <w:t>～</w:t>
      </w:r>
      <w:r>
        <w:rPr>
          <w:rFonts w:ascii="Times New Roman" w:hAnsi="Times New Roman"/>
          <w:szCs w:val="24"/>
        </w:rPr>
        <w:t>0.0022 L /s·m</w:t>
      </w:r>
      <w:r>
        <w:rPr>
          <w:rFonts w:ascii="Times New Roman" w:hAnsi="Times New Roman"/>
          <w:szCs w:val="24"/>
        </w:rPr>
        <w:t>，渗透系数</w:t>
      </w:r>
      <w:r>
        <w:rPr>
          <w:rFonts w:ascii="Times New Roman" w:hAnsi="Times New Roman"/>
          <w:szCs w:val="24"/>
        </w:rPr>
        <w:t>0.0010</w:t>
      </w:r>
      <w:r>
        <w:rPr>
          <w:rFonts w:ascii="Times New Roman" w:hAnsi="Times New Roman"/>
          <w:szCs w:val="24"/>
        </w:rPr>
        <w:t>～</w:t>
      </w:r>
      <w:r>
        <w:rPr>
          <w:rFonts w:ascii="Times New Roman" w:hAnsi="Times New Roman"/>
          <w:szCs w:val="24"/>
        </w:rPr>
        <w:t>0.0050 m /d</w:t>
      </w:r>
      <w:r>
        <w:rPr>
          <w:rFonts w:ascii="Times New Roman" w:hAnsi="Times New Roman"/>
          <w:szCs w:val="24"/>
        </w:rPr>
        <w:t>。该含水层为弱含水层，具有承压性。</w:t>
      </w:r>
    </w:p>
    <w:p w14:paraId="27EC1CDF"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据水质分析资料：地下水溶解性固体</w:t>
      </w:r>
      <w:r>
        <w:rPr>
          <w:rFonts w:ascii="Times New Roman" w:hAnsi="Times New Roman"/>
          <w:szCs w:val="24"/>
        </w:rPr>
        <w:t>3.45</w:t>
      </w:r>
      <w:r>
        <w:rPr>
          <w:rFonts w:ascii="Times New Roman" w:hAnsi="Times New Roman"/>
          <w:szCs w:val="24"/>
        </w:rPr>
        <w:t>～</w:t>
      </w:r>
      <w:r>
        <w:rPr>
          <w:rFonts w:ascii="Times New Roman" w:hAnsi="Times New Roman"/>
          <w:szCs w:val="24"/>
        </w:rPr>
        <w:t>12.75g/ l</w:t>
      </w:r>
      <w:r>
        <w:rPr>
          <w:rFonts w:ascii="Times New Roman" w:hAnsi="Times New Roman"/>
          <w:szCs w:val="24"/>
        </w:rPr>
        <w:t>，为咸水；</w:t>
      </w:r>
      <w:r>
        <w:rPr>
          <w:rFonts w:ascii="Times New Roman" w:hAnsi="Times New Roman"/>
          <w:szCs w:val="24"/>
        </w:rPr>
        <w:t>PH=7.86</w:t>
      </w:r>
      <w:r>
        <w:rPr>
          <w:rFonts w:ascii="Times New Roman" w:hAnsi="Times New Roman"/>
          <w:szCs w:val="24"/>
        </w:rPr>
        <w:t>～</w:t>
      </w:r>
      <w:r>
        <w:rPr>
          <w:rFonts w:ascii="Times New Roman" w:hAnsi="Times New Roman"/>
          <w:szCs w:val="24"/>
        </w:rPr>
        <w:t>8.70</w:t>
      </w:r>
      <w:r>
        <w:rPr>
          <w:rFonts w:ascii="Times New Roman" w:hAnsi="Times New Roman"/>
          <w:szCs w:val="24"/>
        </w:rPr>
        <w:t>，为弱碱性水；总硬度</w:t>
      </w:r>
      <w:r>
        <w:rPr>
          <w:rFonts w:ascii="Times New Roman" w:hAnsi="Times New Roman"/>
          <w:szCs w:val="24"/>
        </w:rPr>
        <w:t>278.37</w:t>
      </w:r>
      <w:r>
        <w:rPr>
          <w:rFonts w:ascii="Times New Roman" w:hAnsi="Times New Roman"/>
          <w:szCs w:val="24"/>
        </w:rPr>
        <w:t>～</w:t>
      </w:r>
      <w:r>
        <w:rPr>
          <w:rFonts w:ascii="Times New Roman" w:hAnsi="Times New Roman"/>
          <w:szCs w:val="24"/>
        </w:rPr>
        <w:t>3077.77</w:t>
      </w:r>
      <w:r>
        <w:rPr>
          <w:rFonts w:ascii="Times New Roman" w:hAnsi="Times New Roman"/>
          <w:szCs w:val="24"/>
        </w:rPr>
        <w:t>，为极硬水；地下水化学类型为</w:t>
      </w:r>
      <w:r>
        <w:rPr>
          <w:rFonts w:ascii="Times New Roman" w:hAnsi="Times New Roman"/>
          <w:szCs w:val="24"/>
        </w:rPr>
        <w:t>Cl·SO</w:t>
      </w:r>
      <w:r>
        <w:rPr>
          <w:rFonts w:ascii="Times New Roman" w:hAnsi="Times New Roman"/>
          <w:szCs w:val="24"/>
          <w:vertAlign w:val="subscript"/>
        </w:rPr>
        <w:t>4</w:t>
      </w:r>
      <w:r>
        <w:rPr>
          <w:rFonts w:ascii="Times New Roman" w:hAnsi="Times New Roman"/>
          <w:szCs w:val="24"/>
        </w:rPr>
        <w:t>-Na</w:t>
      </w:r>
      <w:r>
        <w:rPr>
          <w:rFonts w:ascii="Times New Roman" w:hAnsi="Times New Roman"/>
          <w:szCs w:val="24"/>
        </w:rPr>
        <w:t>或</w:t>
      </w:r>
      <w:r>
        <w:rPr>
          <w:rFonts w:ascii="Times New Roman" w:hAnsi="Times New Roman"/>
          <w:szCs w:val="24"/>
        </w:rPr>
        <w:t>SO</w:t>
      </w:r>
      <w:r>
        <w:rPr>
          <w:rFonts w:ascii="Times New Roman" w:hAnsi="Times New Roman"/>
          <w:szCs w:val="24"/>
          <w:vertAlign w:val="subscript"/>
        </w:rPr>
        <w:t>4</w:t>
      </w:r>
      <w:r>
        <w:rPr>
          <w:rFonts w:ascii="Times New Roman" w:hAnsi="Times New Roman"/>
          <w:szCs w:val="24"/>
        </w:rPr>
        <w:t>·Cl-Na</w:t>
      </w:r>
      <w:r>
        <w:rPr>
          <w:rFonts w:ascii="Times New Roman" w:hAnsi="Times New Roman"/>
          <w:szCs w:val="24"/>
        </w:rPr>
        <w:t>型水。丁家梁煤矿西部在勘探阶段施工的</w:t>
      </w:r>
      <w:r>
        <w:rPr>
          <w:rFonts w:ascii="Times New Roman" w:hAnsi="Times New Roman"/>
          <w:szCs w:val="24"/>
        </w:rPr>
        <w:t>T5-3</w:t>
      </w:r>
      <w:r>
        <w:rPr>
          <w:rFonts w:ascii="Times New Roman" w:hAnsi="Times New Roman"/>
          <w:szCs w:val="24"/>
        </w:rPr>
        <w:t>钻孔，对太原组</w:t>
      </w:r>
      <w:r>
        <w:rPr>
          <w:rFonts w:ascii="Times New Roman" w:hAnsi="Times New Roman"/>
          <w:szCs w:val="24"/>
        </w:rPr>
        <w:t>5</w:t>
      </w:r>
      <w:r>
        <w:rPr>
          <w:rFonts w:ascii="Times New Roman" w:hAnsi="Times New Roman"/>
          <w:szCs w:val="24"/>
        </w:rPr>
        <w:t>煤至</w:t>
      </w:r>
      <w:r>
        <w:rPr>
          <w:rFonts w:ascii="Times New Roman" w:hAnsi="Times New Roman"/>
          <w:szCs w:val="24"/>
        </w:rPr>
        <w:t>9</w:t>
      </w:r>
      <w:r>
        <w:rPr>
          <w:rFonts w:ascii="Times New Roman" w:hAnsi="Times New Roman"/>
          <w:szCs w:val="24"/>
        </w:rPr>
        <w:t>煤段的砂岩层间裂隙承压含水层进行抽水试验，单位涌水量</w:t>
      </w:r>
      <w:r>
        <w:rPr>
          <w:rFonts w:ascii="Times New Roman" w:hAnsi="Times New Roman"/>
          <w:szCs w:val="24"/>
        </w:rPr>
        <w:t>0.0052</w:t>
      </w:r>
      <w:r>
        <w:rPr>
          <w:rFonts w:ascii="Times New Roman" w:hAnsi="Times New Roman"/>
          <w:szCs w:val="24"/>
        </w:rPr>
        <w:t>～</w:t>
      </w:r>
      <w:r>
        <w:rPr>
          <w:rFonts w:ascii="Times New Roman" w:hAnsi="Times New Roman"/>
          <w:szCs w:val="24"/>
        </w:rPr>
        <w:t>0.0077L/s.m</w:t>
      </w:r>
      <w:r>
        <w:rPr>
          <w:rFonts w:ascii="Times New Roman" w:hAnsi="Times New Roman"/>
          <w:szCs w:val="24"/>
        </w:rPr>
        <w:t>。渗透系数</w:t>
      </w:r>
      <w:r>
        <w:rPr>
          <w:rFonts w:ascii="Times New Roman" w:hAnsi="Times New Roman"/>
          <w:szCs w:val="24"/>
        </w:rPr>
        <w:t>0.0156</w:t>
      </w:r>
      <w:r>
        <w:rPr>
          <w:rFonts w:ascii="Times New Roman" w:hAnsi="Times New Roman"/>
          <w:szCs w:val="24"/>
        </w:rPr>
        <w:t>～</w:t>
      </w:r>
      <w:r>
        <w:rPr>
          <w:rFonts w:ascii="Times New Roman" w:hAnsi="Times New Roman"/>
          <w:szCs w:val="24"/>
        </w:rPr>
        <w:t>0.0272m/d</w:t>
      </w:r>
      <w:r>
        <w:rPr>
          <w:rFonts w:ascii="Times New Roman" w:hAnsi="Times New Roman"/>
          <w:szCs w:val="24"/>
        </w:rPr>
        <w:t>，属弱富水含水层。采样分析结果：总矿化度</w:t>
      </w:r>
      <w:r>
        <w:rPr>
          <w:rFonts w:ascii="Times New Roman" w:hAnsi="Times New Roman"/>
          <w:szCs w:val="24"/>
        </w:rPr>
        <w:t>3.360g/L</w:t>
      </w:r>
      <w:r>
        <w:rPr>
          <w:rFonts w:ascii="Times New Roman" w:hAnsi="Times New Roman"/>
          <w:szCs w:val="24"/>
        </w:rPr>
        <w:t>，溶解性总固体</w:t>
      </w:r>
      <w:r>
        <w:rPr>
          <w:rFonts w:ascii="Times New Roman" w:hAnsi="Times New Roman"/>
          <w:szCs w:val="24"/>
        </w:rPr>
        <w:t>2.889g/L</w:t>
      </w:r>
      <w:r>
        <w:rPr>
          <w:rFonts w:ascii="Times New Roman" w:hAnsi="Times New Roman"/>
          <w:szCs w:val="24"/>
        </w:rPr>
        <w:t>，属苦咸水，水化学类型为氯化物硫酸盐钠型（</w:t>
      </w:r>
      <w:r>
        <w:rPr>
          <w:rFonts w:ascii="Times New Roman" w:hAnsi="Times New Roman"/>
          <w:szCs w:val="24"/>
        </w:rPr>
        <w:t>Cl.HCO</w:t>
      </w:r>
      <w:r>
        <w:rPr>
          <w:rFonts w:ascii="Times New Roman" w:hAnsi="Times New Roman"/>
          <w:szCs w:val="24"/>
          <w:vertAlign w:val="subscript"/>
        </w:rPr>
        <w:t>3</w:t>
      </w:r>
      <w:r>
        <w:rPr>
          <w:rFonts w:ascii="Times New Roman" w:hAnsi="Times New Roman"/>
          <w:szCs w:val="24"/>
        </w:rPr>
        <w:t>-Na</w:t>
      </w:r>
      <w:r>
        <w:rPr>
          <w:rFonts w:ascii="Times New Roman" w:hAnsi="Times New Roman"/>
          <w:szCs w:val="24"/>
        </w:rPr>
        <w:t>）。但据北邻的任家庄矿主斜井掘进资料显示，</w:t>
      </w:r>
      <w:r>
        <w:rPr>
          <w:rFonts w:ascii="Times New Roman" w:hAnsi="Times New Roman"/>
          <w:szCs w:val="24"/>
        </w:rPr>
        <w:t>8</w:t>
      </w:r>
      <w:r>
        <w:rPr>
          <w:rFonts w:ascii="Times New Roman" w:hAnsi="Times New Roman"/>
          <w:szCs w:val="24"/>
        </w:rPr>
        <w:t>煤顶板砂岩含水层为井下主要的充水岩层，且涌水量稳定，水量衰减过程不明显，说明该岩组地下水富水性区域上有较大差异。</w:t>
      </w:r>
    </w:p>
    <w:p w14:paraId="281C597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7</w:t>
      </w:r>
      <w:r>
        <w:rPr>
          <w:rFonts w:ascii="Times New Roman" w:hAnsi="Times New Roman"/>
          <w:szCs w:val="24"/>
        </w:rPr>
        <w:t>）石炭系上统</w:t>
      </w:r>
      <w:r>
        <w:rPr>
          <w:rFonts w:ascii="Times New Roman" w:hAnsi="Times New Roman" w:hint="eastAsia"/>
          <w:szCs w:val="24"/>
        </w:rPr>
        <w:t>土坡组</w:t>
      </w:r>
      <w:r>
        <w:rPr>
          <w:rFonts w:ascii="Times New Roman" w:hAnsi="Times New Roman"/>
          <w:szCs w:val="24"/>
        </w:rPr>
        <w:t>砂岩层间裂隙承压水（</w:t>
      </w:r>
      <w:r>
        <w:rPr>
          <w:rFonts w:ascii="Times New Roman" w:hAnsi="Times New Roman"/>
          <w:szCs w:val="24"/>
        </w:rPr>
        <w:t>Ⅶ</w:t>
      </w:r>
      <w:r>
        <w:rPr>
          <w:rFonts w:ascii="Times New Roman" w:hAnsi="Times New Roman"/>
          <w:szCs w:val="24"/>
        </w:rPr>
        <w:t>）</w:t>
      </w:r>
    </w:p>
    <w:p w14:paraId="62A1553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矿区丁家梁煤矿西部在勘探阶段</w:t>
      </w:r>
      <w:r>
        <w:rPr>
          <w:rFonts w:ascii="Times New Roman" w:hAnsi="Times New Roman"/>
          <w:szCs w:val="24"/>
        </w:rPr>
        <w:t>T5S-3</w:t>
      </w:r>
      <w:r>
        <w:rPr>
          <w:rFonts w:ascii="Times New Roman" w:hAnsi="Times New Roman"/>
          <w:szCs w:val="24"/>
        </w:rPr>
        <w:t>钻孔，钻孔深度</w:t>
      </w:r>
      <w:r>
        <w:rPr>
          <w:rFonts w:ascii="Times New Roman" w:hAnsi="Times New Roman"/>
          <w:szCs w:val="24"/>
        </w:rPr>
        <w:t>1014.75m</w:t>
      </w:r>
      <w:r>
        <w:rPr>
          <w:rFonts w:ascii="Times New Roman" w:hAnsi="Times New Roman"/>
          <w:szCs w:val="24"/>
        </w:rPr>
        <w:t>，终孔层位至奥陶系下统马家沟组灰岩地层，揭穿</w:t>
      </w:r>
      <w:r>
        <w:rPr>
          <w:rFonts w:ascii="Times New Roman" w:hAnsi="Times New Roman" w:hint="eastAsia"/>
          <w:szCs w:val="24"/>
        </w:rPr>
        <w:t>土坡组</w:t>
      </w:r>
      <w:r>
        <w:rPr>
          <w:rFonts w:ascii="Times New Roman" w:hAnsi="Times New Roman"/>
          <w:szCs w:val="24"/>
        </w:rPr>
        <w:t>地层厚度为</w:t>
      </w:r>
      <w:r>
        <w:rPr>
          <w:rFonts w:ascii="Times New Roman" w:hAnsi="Times New Roman"/>
          <w:szCs w:val="24"/>
        </w:rPr>
        <w:t>320m</w:t>
      </w:r>
      <w:r>
        <w:rPr>
          <w:rFonts w:ascii="Times New Roman" w:hAnsi="Times New Roman"/>
          <w:szCs w:val="24"/>
        </w:rPr>
        <w:t>，揭露马家沟组灰岩地层厚度</w:t>
      </w:r>
      <w:r>
        <w:rPr>
          <w:rFonts w:ascii="Times New Roman" w:hAnsi="Times New Roman"/>
          <w:szCs w:val="24"/>
        </w:rPr>
        <w:t>48m</w:t>
      </w:r>
      <w:r>
        <w:rPr>
          <w:rFonts w:ascii="Times New Roman" w:hAnsi="Times New Roman"/>
          <w:szCs w:val="24"/>
        </w:rPr>
        <w:t>。</w:t>
      </w:r>
      <w:r>
        <w:rPr>
          <w:rFonts w:ascii="Times New Roman" w:hAnsi="Times New Roman"/>
          <w:szCs w:val="24"/>
        </w:rPr>
        <w:t>T1S-2</w:t>
      </w:r>
      <w:r>
        <w:rPr>
          <w:rFonts w:ascii="Times New Roman" w:hAnsi="Times New Roman"/>
          <w:szCs w:val="24"/>
        </w:rPr>
        <w:t>水文钻孔，揭露</w:t>
      </w:r>
      <w:r>
        <w:rPr>
          <w:rFonts w:ascii="Times New Roman" w:hAnsi="Times New Roman" w:hint="eastAsia"/>
          <w:szCs w:val="24"/>
        </w:rPr>
        <w:t>土坡组</w:t>
      </w:r>
      <w:r>
        <w:rPr>
          <w:rFonts w:ascii="Times New Roman" w:hAnsi="Times New Roman"/>
          <w:szCs w:val="24"/>
        </w:rPr>
        <w:t>地层厚度</w:t>
      </w:r>
      <w:r>
        <w:rPr>
          <w:rFonts w:ascii="Times New Roman" w:hAnsi="Times New Roman"/>
          <w:szCs w:val="24"/>
        </w:rPr>
        <w:t>200m</w:t>
      </w:r>
      <w:r>
        <w:rPr>
          <w:rFonts w:ascii="Times New Roman" w:hAnsi="Times New Roman"/>
          <w:szCs w:val="24"/>
        </w:rPr>
        <w:t>（未揭穿）。</w:t>
      </w:r>
      <w:r>
        <w:rPr>
          <w:rFonts w:ascii="Times New Roman" w:hAnsi="Times New Roman" w:hint="eastAsia"/>
          <w:szCs w:val="24"/>
        </w:rPr>
        <w:t>土坡组</w:t>
      </w:r>
      <w:r>
        <w:rPr>
          <w:rFonts w:ascii="Times New Roman" w:hAnsi="Times New Roman"/>
          <w:szCs w:val="24"/>
        </w:rPr>
        <w:t>地层主要由厚层状灰黑色泥岩、泥灰岩、鲕状泥岩及粘土质泥岩组成，夹数层厚度不等的灰白色粗粒、中粒砂岩（砂岩单层最大厚度</w:t>
      </w:r>
      <w:r>
        <w:rPr>
          <w:rFonts w:ascii="Times New Roman" w:hAnsi="Times New Roman"/>
          <w:szCs w:val="24"/>
        </w:rPr>
        <w:t>25m</w:t>
      </w:r>
      <w:r>
        <w:rPr>
          <w:rFonts w:ascii="Times New Roman" w:hAnsi="Times New Roman"/>
          <w:szCs w:val="24"/>
        </w:rPr>
        <w:t>）。经对</w:t>
      </w:r>
      <w:r>
        <w:rPr>
          <w:rFonts w:ascii="Times New Roman" w:hAnsi="Times New Roman" w:hint="eastAsia"/>
          <w:szCs w:val="24"/>
        </w:rPr>
        <w:t>土坡组</w:t>
      </w:r>
      <w:r>
        <w:rPr>
          <w:rFonts w:ascii="Times New Roman" w:hAnsi="Times New Roman"/>
          <w:szCs w:val="24"/>
        </w:rPr>
        <w:t>砂岩含水岩组上部</w:t>
      </w:r>
      <w:r>
        <w:rPr>
          <w:rFonts w:ascii="Times New Roman" w:hAnsi="Times New Roman"/>
          <w:szCs w:val="24"/>
        </w:rPr>
        <w:t>200m</w:t>
      </w:r>
      <w:r>
        <w:rPr>
          <w:rFonts w:ascii="Times New Roman" w:hAnsi="Times New Roman"/>
          <w:szCs w:val="24"/>
        </w:rPr>
        <w:t>层段进行抽水试验，单位涌水量</w:t>
      </w:r>
      <w:r>
        <w:rPr>
          <w:rFonts w:ascii="Times New Roman" w:hAnsi="Times New Roman"/>
          <w:szCs w:val="24"/>
        </w:rPr>
        <w:t>&lt;0.01 l/s.m</w:t>
      </w:r>
      <w:r>
        <w:rPr>
          <w:rFonts w:ascii="Times New Roman" w:hAnsi="Times New Roman"/>
          <w:szCs w:val="24"/>
        </w:rPr>
        <w:t>，渗透系数为</w:t>
      </w:r>
      <w:r>
        <w:rPr>
          <w:rFonts w:ascii="Times New Roman" w:hAnsi="Times New Roman"/>
          <w:szCs w:val="24"/>
        </w:rPr>
        <w:t>0.0170m/d</w:t>
      </w:r>
      <w:r>
        <w:rPr>
          <w:rFonts w:ascii="Times New Roman" w:hAnsi="Times New Roman"/>
          <w:szCs w:val="24"/>
        </w:rPr>
        <w:t>，属弱富水岩层。该岩组地层主要以泥岩类地层为主，构成巨厚的隔水岩层，因此煤系地层受下伏奥陶系灰岩岩溶水影响甚微。</w:t>
      </w:r>
    </w:p>
    <w:p w14:paraId="624F0C26"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8</w:t>
      </w:r>
      <w:r>
        <w:rPr>
          <w:rFonts w:ascii="Times New Roman" w:hAnsi="Times New Roman"/>
          <w:szCs w:val="24"/>
        </w:rPr>
        <w:t>）奥陶系下统马家沟组灰岩承压含水层（</w:t>
      </w:r>
      <w:r>
        <w:rPr>
          <w:rFonts w:ascii="Times New Roman" w:hAnsi="Times New Roman"/>
          <w:szCs w:val="24"/>
        </w:rPr>
        <w:t>Ⅷ</w:t>
      </w:r>
      <w:r>
        <w:rPr>
          <w:rFonts w:ascii="Times New Roman" w:hAnsi="Times New Roman"/>
          <w:szCs w:val="24"/>
        </w:rPr>
        <w:t>）</w:t>
      </w:r>
    </w:p>
    <w:p w14:paraId="0D920099" w14:textId="77777777" w:rsidR="009C353B" w:rsidRDefault="00000000">
      <w:pPr>
        <w:spacing w:line="440" w:lineRule="exact"/>
        <w:ind w:firstLine="482"/>
        <w:rPr>
          <w:rFonts w:ascii="Times New Roman" w:hAnsi="Times New Roman"/>
          <w:szCs w:val="24"/>
        </w:rPr>
      </w:pPr>
      <w:r>
        <w:rPr>
          <w:rFonts w:ascii="Times New Roman" w:hAnsi="Times New Roman"/>
          <w:szCs w:val="24"/>
        </w:rPr>
        <w:t>仅出露于马鞍山北部东侧，面积不足</w:t>
      </w:r>
      <w:r>
        <w:rPr>
          <w:rFonts w:ascii="Times New Roman" w:hAnsi="Times New Roman"/>
          <w:szCs w:val="24"/>
        </w:rPr>
        <w:t>1km</w:t>
      </w:r>
      <w:r>
        <w:rPr>
          <w:rFonts w:ascii="Times New Roman" w:hAnsi="Times New Roman"/>
          <w:szCs w:val="24"/>
          <w:vertAlign w:val="superscript"/>
        </w:rPr>
        <w:t>2</w:t>
      </w:r>
      <w:r>
        <w:rPr>
          <w:rFonts w:ascii="Times New Roman" w:hAnsi="Times New Roman"/>
          <w:szCs w:val="24"/>
        </w:rPr>
        <w:t>，主要为灰褐色隐晶质灰岩、含白云质灰岩。结构致密、完整，岩溶不发育，裂隙较少，且多为方解石充填。</w:t>
      </w:r>
    </w:p>
    <w:p w14:paraId="352DAB8C" w14:textId="77777777" w:rsidR="009C353B" w:rsidRDefault="00000000">
      <w:pPr>
        <w:spacing w:line="440" w:lineRule="exact"/>
        <w:ind w:firstLine="482"/>
        <w:rPr>
          <w:rFonts w:ascii="Times New Roman" w:hAnsi="Times New Roman"/>
          <w:szCs w:val="24"/>
        </w:rPr>
      </w:pPr>
      <w:r>
        <w:rPr>
          <w:rFonts w:ascii="Times New Roman" w:hAnsi="Times New Roman"/>
          <w:szCs w:val="24"/>
        </w:rPr>
        <w:t>根据《宁夏灵武市横城水源地供水水文地质普查报告》：奥陶系灰岩只在黑山零星出露，其余均被中生代、新生代地层覆盖，据电法和以往资料表明，在丁家梁背斜至沙葱沟断层间埋藏较浅，埋深</w:t>
      </w:r>
      <w:r>
        <w:rPr>
          <w:rFonts w:ascii="Times New Roman" w:hAnsi="Times New Roman"/>
          <w:szCs w:val="24"/>
        </w:rPr>
        <w:t>&lt;300m</w:t>
      </w:r>
      <w:r>
        <w:rPr>
          <w:rFonts w:ascii="Times New Roman" w:hAnsi="Times New Roman"/>
          <w:szCs w:val="24"/>
        </w:rPr>
        <w:t>，余者埋深较大，岩性以灰色块状灰岩为主，厚度＞</w:t>
      </w:r>
      <w:r>
        <w:rPr>
          <w:rFonts w:ascii="Times New Roman" w:hAnsi="Times New Roman"/>
          <w:szCs w:val="24"/>
        </w:rPr>
        <w:t>500m</w:t>
      </w:r>
      <w:r>
        <w:rPr>
          <w:rFonts w:ascii="Times New Roman" w:hAnsi="Times New Roman"/>
          <w:szCs w:val="24"/>
        </w:rPr>
        <w:t>，其岩溶裂隙发育程度和深度差异很大，经</w:t>
      </w:r>
      <w:r>
        <w:rPr>
          <w:rFonts w:ascii="Times New Roman" w:hAnsi="Times New Roman"/>
          <w:szCs w:val="24"/>
        </w:rPr>
        <w:t>9701</w:t>
      </w:r>
      <w:r>
        <w:rPr>
          <w:rFonts w:ascii="Times New Roman" w:hAnsi="Times New Roman"/>
          <w:szCs w:val="24"/>
        </w:rPr>
        <w:t>号孔证实在</w:t>
      </w:r>
      <w:r>
        <w:rPr>
          <w:rFonts w:ascii="Times New Roman" w:hAnsi="Times New Roman"/>
          <w:szCs w:val="24"/>
        </w:rPr>
        <w:t>28m</w:t>
      </w:r>
      <w:r>
        <w:rPr>
          <w:rFonts w:ascii="Times New Roman" w:hAnsi="Times New Roman"/>
          <w:szCs w:val="24"/>
        </w:rPr>
        <w:t>处揭露灰岩，至</w:t>
      </w:r>
      <w:r>
        <w:rPr>
          <w:rFonts w:ascii="Times New Roman" w:hAnsi="Times New Roman"/>
          <w:szCs w:val="24"/>
        </w:rPr>
        <w:t>501m</w:t>
      </w:r>
      <w:r>
        <w:rPr>
          <w:rFonts w:ascii="Times New Roman" w:hAnsi="Times New Roman"/>
          <w:szCs w:val="24"/>
        </w:rPr>
        <w:t>终孔，在</w:t>
      </w:r>
      <w:r>
        <w:rPr>
          <w:rFonts w:ascii="Times New Roman" w:hAnsi="Times New Roman"/>
          <w:szCs w:val="24"/>
        </w:rPr>
        <w:t>93.00-501.00m</w:t>
      </w:r>
      <w:r>
        <w:rPr>
          <w:rFonts w:ascii="Times New Roman" w:hAnsi="Times New Roman"/>
          <w:szCs w:val="24"/>
        </w:rPr>
        <w:t>深度内均发育有裂隙和岩溶，裂隙和岩溶系成层出现，该段冲洗液全部漏失，水位始终稳定在</w:t>
      </w:r>
      <w:r>
        <w:rPr>
          <w:rFonts w:ascii="Times New Roman" w:hAnsi="Times New Roman"/>
          <w:szCs w:val="24"/>
        </w:rPr>
        <w:t>53m</w:t>
      </w:r>
      <w:r>
        <w:rPr>
          <w:rFonts w:ascii="Times New Roman" w:hAnsi="Times New Roman"/>
          <w:szCs w:val="24"/>
        </w:rPr>
        <w:t>处，岩溶和裂隙段内见有冲蚀的痕迹，经抽水试验水位埋深</w:t>
      </w:r>
      <w:r>
        <w:rPr>
          <w:rFonts w:ascii="Times New Roman" w:hAnsi="Times New Roman"/>
          <w:szCs w:val="24"/>
        </w:rPr>
        <w:t>53.87m</w:t>
      </w:r>
      <w:r>
        <w:rPr>
          <w:rFonts w:ascii="Times New Roman" w:hAnsi="Times New Roman"/>
          <w:szCs w:val="24"/>
        </w:rPr>
        <w:t>，水位降深</w:t>
      </w:r>
      <w:r>
        <w:rPr>
          <w:rFonts w:ascii="Times New Roman" w:hAnsi="Times New Roman"/>
          <w:szCs w:val="24"/>
        </w:rPr>
        <w:t>0.83m</w:t>
      </w:r>
      <w:r>
        <w:rPr>
          <w:rFonts w:ascii="Times New Roman" w:hAnsi="Times New Roman"/>
          <w:szCs w:val="24"/>
        </w:rPr>
        <w:t>，单位涌水量单位涌水量</w:t>
      </w:r>
      <w:r>
        <w:rPr>
          <w:rFonts w:ascii="Times New Roman" w:hAnsi="Times New Roman"/>
          <w:szCs w:val="24"/>
        </w:rPr>
        <w:t>4.515L/s.m</w:t>
      </w:r>
      <w:r>
        <w:rPr>
          <w:rFonts w:ascii="Times New Roman" w:hAnsi="Times New Roman"/>
          <w:szCs w:val="24"/>
        </w:rPr>
        <w:t>，渗透系数</w:t>
      </w:r>
      <w:r>
        <w:rPr>
          <w:rFonts w:ascii="Times New Roman" w:hAnsi="Times New Roman"/>
          <w:szCs w:val="24"/>
        </w:rPr>
        <w:t>0.15m/d</w:t>
      </w:r>
      <w:r>
        <w:rPr>
          <w:rFonts w:ascii="Times New Roman" w:hAnsi="Times New Roman"/>
          <w:szCs w:val="24"/>
        </w:rPr>
        <w:t>，水质矿化度</w:t>
      </w:r>
      <w:r>
        <w:rPr>
          <w:rFonts w:ascii="Times New Roman" w:hAnsi="Times New Roman"/>
          <w:szCs w:val="24"/>
        </w:rPr>
        <w:t>4.2g/l</w:t>
      </w:r>
      <w:r>
        <w:rPr>
          <w:rFonts w:ascii="Times New Roman" w:hAnsi="Times New Roman"/>
          <w:szCs w:val="24"/>
        </w:rPr>
        <w:t>，而距</w:t>
      </w:r>
      <w:r>
        <w:rPr>
          <w:rFonts w:ascii="Times New Roman" w:hAnsi="Times New Roman"/>
          <w:szCs w:val="24"/>
        </w:rPr>
        <w:t>9701</w:t>
      </w:r>
      <w:r>
        <w:rPr>
          <w:rFonts w:ascii="Times New Roman" w:hAnsi="Times New Roman"/>
          <w:szCs w:val="24"/>
        </w:rPr>
        <w:t>号孔</w:t>
      </w:r>
      <w:r>
        <w:rPr>
          <w:rFonts w:ascii="Times New Roman" w:hAnsi="Times New Roman"/>
          <w:szCs w:val="24"/>
        </w:rPr>
        <w:t>1.8km</w:t>
      </w:r>
      <w:r>
        <w:rPr>
          <w:rFonts w:ascii="Times New Roman" w:hAnsi="Times New Roman"/>
          <w:szCs w:val="24"/>
        </w:rPr>
        <w:t>的水</w:t>
      </w:r>
      <w:r>
        <w:rPr>
          <w:rFonts w:ascii="Times New Roman" w:hAnsi="Times New Roman"/>
          <w:szCs w:val="24"/>
        </w:rPr>
        <w:t>1</w:t>
      </w:r>
      <w:r>
        <w:rPr>
          <w:rFonts w:ascii="Times New Roman" w:hAnsi="Times New Roman"/>
          <w:szCs w:val="24"/>
        </w:rPr>
        <w:t>号孔，穿过</w:t>
      </w:r>
      <w:r>
        <w:rPr>
          <w:rFonts w:ascii="Times New Roman" w:hAnsi="Times New Roman"/>
          <w:szCs w:val="24"/>
        </w:rPr>
        <w:t>193.73m</w:t>
      </w:r>
      <w:r>
        <w:rPr>
          <w:rFonts w:ascii="Times New Roman" w:hAnsi="Times New Roman"/>
          <w:szCs w:val="24"/>
        </w:rPr>
        <w:t>的灰岩，灰岩呈致密块状，裂隙均被钙质、泥质充填，水位</w:t>
      </w:r>
      <w:r>
        <w:rPr>
          <w:rFonts w:ascii="Times New Roman" w:hAnsi="Times New Roman"/>
          <w:szCs w:val="24"/>
        </w:rPr>
        <w:t>45.00m</w:t>
      </w:r>
      <w:r>
        <w:rPr>
          <w:rFonts w:ascii="Times New Roman" w:hAnsi="Times New Roman"/>
          <w:szCs w:val="24"/>
        </w:rPr>
        <w:t>，降深</w:t>
      </w:r>
      <w:r>
        <w:rPr>
          <w:rFonts w:ascii="Times New Roman" w:hAnsi="Times New Roman"/>
          <w:szCs w:val="24"/>
        </w:rPr>
        <w:t>7.99m</w:t>
      </w:r>
      <w:r>
        <w:rPr>
          <w:rFonts w:ascii="Times New Roman" w:hAnsi="Times New Roman"/>
          <w:szCs w:val="24"/>
        </w:rPr>
        <w:t>，单位涌水量</w:t>
      </w:r>
      <w:r>
        <w:rPr>
          <w:rFonts w:ascii="Times New Roman" w:hAnsi="Times New Roman"/>
          <w:szCs w:val="24"/>
        </w:rPr>
        <w:t>0.0611 L/s.m</w:t>
      </w:r>
      <w:r>
        <w:rPr>
          <w:rFonts w:ascii="Times New Roman" w:hAnsi="Times New Roman"/>
          <w:szCs w:val="24"/>
        </w:rPr>
        <w:t>，由此可见，岩溶的发育程度和富水性差异很大，经电法圈定岩溶裂隙的发育面积</w:t>
      </w:r>
      <w:r>
        <w:rPr>
          <w:rFonts w:ascii="Times New Roman" w:hAnsi="Times New Roman"/>
          <w:szCs w:val="24"/>
        </w:rPr>
        <w:t>10.5km</w:t>
      </w:r>
      <w:r>
        <w:rPr>
          <w:rFonts w:ascii="Times New Roman" w:hAnsi="Times New Roman"/>
          <w:szCs w:val="24"/>
          <w:vertAlign w:val="superscript"/>
        </w:rPr>
        <w:t>2</w:t>
      </w:r>
      <w:r>
        <w:rPr>
          <w:rFonts w:ascii="Times New Roman" w:hAnsi="Times New Roman"/>
          <w:szCs w:val="24"/>
        </w:rPr>
        <w:t>，分布在丁家梁背斜轴部。通过分析资料此次圈定的岩溶裂隙的分布范围最近边界距离丁家梁煤矿西部约</w:t>
      </w:r>
      <w:r>
        <w:rPr>
          <w:rFonts w:ascii="Times New Roman" w:hAnsi="Times New Roman"/>
          <w:szCs w:val="24"/>
        </w:rPr>
        <w:t>2.4km</w:t>
      </w:r>
      <w:r>
        <w:rPr>
          <w:rFonts w:ascii="Times New Roman" w:hAnsi="Times New Roman"/>
          <w:szCs w:val="24"/>
        </w:rPr>
        <w:t>，且该含水层上段为石炭系上统土坡组，该岩组地层主要以泥岩类地层为主，为巨厚的隔水岩层，因此矿区内煤系地层受下伏奥陶系灰岩岩溶水影响甚微。</w:t>
      </w:r>
    </w:p>
    <w:p w14:paraId="341AFC04" w14:textId="77777777" w:rsidR="009C353B" w:rsidRDefault="00000000">
      <w:pPr>
        <w:autoSpaceDE w:val="0"/>
        <w:autoSpaceDN w:val="0"/>
        <w:adjustRightInd w:val="0"/>
        <w:spacing w:line="440" w:lineRule="exact"/>
        <w:ind w:firstLineChars="200" w:firstLine="480"/>
        <w:rPr>
          <w:rFonts w:ascii="Times New Roman" w:hAnsi="Times New Roman"/>
          <w:szCs w:val="24"/>
        </w:rPr>
      </w:pPr>
      <w:bookmarkStart w:id="244" w:name="_Toc29817104"/>
      <w:r>
        <w:rPr>
          <w:rFonts w:ascii="Times New Roman" w:hAnsi="Times New Roman" w:hint="eastAsia"/>
          <w:szCs w:val="24"/>
        </w:rPr>
        <w:t>（</w:t>
      </w:r>
      <w:r>
        <w:rPr>
          <w:rFonts w:ascii="Times New Roman" w:hAnsi="Times New Roman"/>
          <w:szCs w:val="24"/>
        </w:rPr>
        <w:t>2</w:t>
      </w:r>
      <w:r>
        <w:rPr>
          <w:rFonts w:ascii="Times New Roman" w:hAnsi="Times New Roman" w:hint="eastAsia"/>
          <w:szCs w:val="24"/>
        </w:rPr>
        <w:t>）矿区</w:t>
      </w:r>
      <w:r>
        <w:rPr>
          <w:rFonts w:ascii="Times New Roman" w:hAnsi="Times New Roman"/>
          <w:szCs w:val="24"/>
        </w:rPr>
        <w:t>隔水层及其特征</w:t>
      </w:r>
      <w:bookmarkEnd w:id="244"/>
    </w:p>
    <w:p w14:paraId="0A42FD59"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根据横城矿区以往物探资料、钻孔资料、岩石物理力学测试及土工试验资料，隔水层以低阻、高密度的粘土、粉砂岩和泥岩为主。以往揭露的隔水层有：古近系粘土隔水层；下石盒子组、山西组、太原组粉砂岩、泥岩为主的隔水层；石炭系上统土坡组砂泥岩段隔水层，现将主要隔水层分述如下：</w:t>
      </w:r>
    </w:p>
    <w:p w14:paraId="46FDF548" w14:textId="77777777" w:rsidR="009C353B" w:rsidRDefault="00000000">
      <w:pPr>
        <w:spacing w:line="440" w:lineRule="exact"/>
        <w:ind w:left="480"/>
        <w:jc w:val="left"/>
        <w:rPr>
          <w:rFonts w:ascii="Times New Roman" w:hAnsi="Times New Roman"/>
          <w:szCs w:val="24"/>
        </w:rPr>
      </w:pPr>
      <w:r>
        <w:rPr>
          <w:rFonts w:ascii="Times New Roman" w:hAnsi="Times New Roman" w:hint="eastAsia"/>
          <w:szCs w:val="24"/>
        </w:rPr>
        <w:t>1</w:t>
      </w:r>
      <w:r>
        <w:rPr>
          <w:rFonts w:ascii="Times New Roman" w:hAnsi="Times New Roman" w:hint="eastAsia"/>
          <w:szCs w:val="24"/>
        </w:rPr>
        <w:t>）</w:t>
      </w:r>
      <w:r>
        <w:rPr>
          <w:rFonts w:ascii="Times New Roman" w:hAnsi="Times New Roman"/>
          <w:szCs w:val="24"/>
        </w:rPr>
        <w:t>古近系粘土隔水层</w:t>
      </w:r>
    </w:p>
    <w:p w14:paraId="17B79C9B"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该隔水层是第四系与基岩裂隙孔隙含水层之间的隔水介质，是外观以红色为主色调的碎屑岩沉积地层，也称</w:t>
      </w:r>
      <w:r>
        <w:rPr>
          <w:rFonts w:ascii="Times New Roman" w:hAnsi="Times New Roman"/>
          <w:szCs w:val="24"/>
        </w:rPr>
        <w:t>“</w:t>
      </w:r>
      <w:r>
        <w:rPr>
          <w:rFonts w:ascii="Times New Roman" w:hAnsi="Times New Roman"/>
          <w:szCs w:val="24"/>
        </w:rPr>
        <w:t>红层</w:t>
      </w:r>
      <w:r>
        <w:rPr>
          <w:rFonts w:ascii="Times New Roman" w:hAnsi="Times New Roman"/>
          <w:szCs w:val="24"/>
        </w:rPr>
        <w:t>”</w:t>
      </w:r>
      <w:r>
        <w:rPr>
          <w:rFonts w:ascii="Times New Roman" w:hAnsi="Times New Roman"/>
          <w:szCs w:val="24"/>
        </w:rPr>
        <w:t>，该层在矿区广泛发育，沉积厚度大，如在丁家梁井田厚度一般在</w:t>
      </w:r>
      <w:r>
        <w:rPr>
          <w:rFonts w:ascii="Times New Roman" w:hAnsi="Times New Roman"/>
          <w:szCs w:val="24"/>
        </w:rPr>
        <w:t>80</w:t>
      </w:r>
      <w:r>
        <w:rPr>
          <w:rFonts w:ascii="Times New Roman" w:hAnsi="Times New Roman"/>
          <w:szCs w:val="24"/>
        </w:rPr>
        <w:t>～</w:t>
      </w:r>
      <w:r>
        <w:rPr>
          <w:rFonts w:ascii="Times New Roman" w:hAnsi="Times New Roman"/>
          <w:szCs w:val="24"/>
        </w:rPr>
        <w:t>130m</w:t>
      </w:r>
      <w:r>
        <w:rPr>
          <w:rFonts w:ascii="Times New Roman" w:hAnsi="Times New Roman"/>
          <w:szCs w:val="24"/>
        </w:rPr>
        <w:t>，马莲台煤矿厚度</w:t>
      </w:r>
      <w:r>
        <w:rPr>
          <w:rFonts w:ascii="Times New Roman" w:hAnsi="Times New Roman"/>
          <w:szCs w:val="24"/>
        </w:rPr>
        <w:t>92.78</w:t>
      </w:r>
      <w:r>
        <w:rPr>
          <w:rFonts w:ascii="Times New Roman" w:hAnsi="Times New Roman"/>
          <w:szCs w:val="24"/>
        </w:rPr>
        <w:t>～</w:t>
      </w:r>
      <w:r>
        <w:rPr>
          <w:rFonts w:ascii="Times New Roman" w:hAnsi="Times New Roman"/>
          <w:szCs w:val="24"/>
        </w:rPr>
        <w:t>242.45m</w:t>
      </w:r>
      <w:r>
        <w:rPr>
          <w:rFonts w:ascii="Times New Roman" w:hAnsi="Times New Roman"/>
          <w:szCs w:val="24"/>
        </w:rPr>
        <w:t>，平均</w:t>
      </w:r>
      <w:r>
        <w:rPr>
          <w:rFonts w:ascii="Times New Roman" w:hAnsi="Times New Roman"/>
          <w:szCs w:val="24"/>
        </w:rPr>
        <w:t>175m</w:t>
      </w:r>
      <w:r>
        <w:rPr>
          <w:rFonts w:ascii="Times New Roman" w:hAnsi="Times New Roman"/>
          <w:szCs w:val="24"/>
        </w:rPr>
        <w:t>，红石湾煤矿平均厚</w:t>
      </w:r>
      <w:r>
        <w:rPr>
          <w:rFonts w:ascii="Times New Roman" w:hAnsi="Times New Roman"/>
          <w:szCs w:val="24"/>
        </w:rPr>
        <w:t>160m</w:t>
      </w:r>
      <w:r>
        <w:rPr>
          <w:rFonts w:ascii="Times New Roman" w:hAnsi="Times New Roman"/>
          <w:szCs w:val="24"/>
        </w:rPr>
        <w:t>左右，埋藏深度在</w:t>
      </w:r>
      <w:r>
        <w:rPr>
          <w:rFonts w:ascii="Times New Roman" w:hAnsi="Times New Roman"/>
          <w:szCs w:val="24"/>
        </w:rPr>
        <w:t>10m</w:t>
      </w:r>
      <w:r>
        <w:rPr>
          <w:rFonts w:ascii="Times New Roman" w:hAnsi="Times New Roman"/>
          <w:szCs w:val="24"/>
        </w:rPr>
        <w:t>左右。据矿区以往钻孔岩芯鉴定及土工试验：井筒穿越的古近系粘土、粉质粘土，部分层位属高液限、具低～强膨胀性的不良工程土体，吸水后膨胀，抗风化能力差，力学强度低。虽然裂隙发育，但大多充填泥质碎屑物和石膏。因此，其导水性与含水性很弱，它阻隔了松散层孔隙潜水、地表水、及大气降水对古近系底部及基岩风氧化带承压水的补给、大大减弱了它们之间的水力联系，为一良好的隔水层</w:t>
      </w:r>
      <w:r>
        <w:rPr>
          <w:rFonts w:ascii="Times New Roman" w:hAnsi="Times New Roman" w:hint="eastAsia"/>
          <w:szCs w:val="24"/>
        </w:rPr>
        <w:t>，</w:t>
      </w:r>
      <w:r>
        <w:rPr>
          <w:rFonts w:ascii="Times New Roman" w:hAnsi="Times New Roman"/>
          <w:szCs w:val="24"/>
        </w:rPr>
        <w:t>构成矿区含水层顶部隔水边界。</w:t>
      </w:r>
    </w:p>
    <w:p w14:paraId="79FFAAC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2</w:t>
      </w:r>
      <w:r>
        <w:rPr>
          <w:rFonts w:ascii="Times New Roman" w:hAnsi="Times New Roman"/>
          <w:szCs w:val="24"/>
        </w:rPr>
        <w:t>）下石盒子组粉砂岩、泥岩隔水层</w:t>
      </w:r>
    </w:p>
    <w:p w14:paraId="60480855"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岩性以粉砂岩、泥岩为主，夹各级砂岩。据红石湾煤矿钻孔揭露该组地层总厚</w:t>
      </w:r>
      <w:r>
        <w:rPr>
          <w:rFonts w:ascii="Times New Roman" w:hAnsi="Times New Roman"/>
          <w:szCs w:val="24"/>
        </w:rPr>
        <w:t>169.95m</w:t>
      </w:r>
      <w:r>
        <w:rPr>
          <w:rFonts w:ascii="Times New Roman" w:hAnsi="Times New Roman"/>
          <w:szCs w:val="24"/>
        </w:rPr>
        <w:t>，其中粉砂岩、泥岩为主的隔水层厚度为</w:t>
      </w:r>
      <w:r>
        <w:rPr>
          <w:rFonts w:ascii="Times New Roman" w:hAnsi="Times New Roman"/>
          <w:szCs w:val="24"/>
        </w:rPr>
        <w:t>127.40m</w:t>
      </w:r>
      <w:r>
        <w:rPr>
          <w:rFonts w:ascii="Times New Roman" w:hAnsi="Times New Roman"/>
          <w:szCs w:val="24"/>
        </w:rPr>
        <w:t>。</w:t>
      </w:r>
      <w:r>
        <w:rPr>
          <w:rFonts w:ascii="Times New Roman" w:hAnsi="Times New Roman" w:hint="eastAsia"/>
          <w:szCs w:val="24"/>
        </w:rPr>
        <w:t>丁家梁</w:t>
      </w:r>
      <w:r>
        <w:rPr>
          <w:rFonts w:ascii="Times New Roman" w:hAnsi="Times New Roman"/>
          <w:szCs w:val="24"/>
        </w:rPr>
        <w:t>煤矿</w:t>
      </w:r>
      <w:r>
        <w:rPr>
          <w:rFonts w:ascii="Times New Roman" w:hAnsi="Times New Roman" w:hint="eastAsia"/>
          <w:szCs w:val="24"/>
        </w:rPr>
        <w:t>西部</w:t>
      </w:r>
      <w:r>
        <w:rPr>
          <w:rFonts w:ascii="Times New Roman" w:hAnsi="Times New Roman"/>
          <w:szCs w:val="24"/>
        </w:rPr>
        <w:t>石盒子组下段平均厚度</w:t>
      </w:r>
      <w:r>
        <w:rPr>
          <w:rFonts w:ascii="Times New Roman" w:hAnsi="Times New Roman"/>
          <w:szCs w:val="24"/>
        </w:rPr>
        <w:t>113m</w:t>
      </w:r>
      <w:r>
        <w:rPr>
          <w:rFonts w:ascii="Times New Roman" w:hAnsi="Times New Roman"/>
          <w:szCs w:val="24"/>
        </w:rPr>
        <w:t>，隔水层厚度约</w:t>
      </w:r>
      <w:r>
        <w:rPr>
          <w:rFonts w:ascii="Times New Roman" w:hAnsi="Times New Roman"/>
          <w:szCs w:val="24"/>
        </w:rPr>
        <w:t>100m</w:t>
      </w:r>
      <w:r>
        <w:rPr>
          <w:rFonts w:ascii="Times New Roman" w:hAnsi="Times New Roman"/>
          <w:szCs w:val="24"/>
        </w:rPr>
        <w:t>，据宁东煤田煤矿井巷施工调查，结合井田水文地质资料分析，隔水层的隔水性与泥质含量高低成正相关、与沉积环境、地下水赋存状态及构造性质、裂隙发育程度有关；当隔水层为岩性较细且致密的粉砂岩，或泥质含量较高的细砂岩，或砂岩与泥岩类呈互层状，岩性分布较稳定时，隔水效果较好。在马莲台煤矿井巷施工过程中，亦发现涌水段多发生在中、粗砂岩层；泥岩或粉砂岩与砂岩类呈互层状时涌水量极为微弱，粉砂岩中裂隙发育时，涌水量略有增大，在粗粒砂岩与泥岩、粉砂岩层面间呈现明显渗水界面；泥岩类厚度大于</w:t>
      </w:r>
      <w:r>
        <w:rPr>
          <w:rFonts w:ascii="Times New Roman" w:hAnsi="Times New Roman"/>
          <w:szCs w:val="24"/>
        </w:rPr>
        <w:t>2.0m</w:t>
      </w:r>
      <w:r>
        <w:rPr>
          <w:rFonts w:ascii="Times New Roman" w:hAnsi="Times New Roman"/>
          <w:szCs w:val="24"/>
        </w:rPr>
        <w:t>时，则具有一定的隔水效果。井筒检查孔施工简易水文观测也表明，在该隔水层泥岩、粉砂岩中钻进时，泥浆消耗量很低；中、粗粒砂岩层钻进时，泥浆消耗则有增大；说明粉砂岩、泥隔水效果良好。</w:t>
      </w:r>
    </w:p>
    <w:p w14:paraId="467495F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3</w:t>
      </w:r>
      <w:r>
        <w:rPr>
          <w:rFonts w:ascii="Times New Roman" w:hAnsi="Times New Roman"/>
          <w:szCs w:val="24"/>
        </w:rPr>
        <w:t>）石炭系上统土坡组砂泥岩段隔水层</w:t>
      </w:r>
    </w:p>
    <w:p w14:paraId="01A9426E"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主要由厚层状灰黑色泥岩、泥灰岩、鲕状泥岩及粘土质泥岩与致密坚硬的砂岩互层组成，较细腻，局部含粘土质，具水平、隐水平层理，属静水湖泊或滨海相沉积。</w:t>
      </w:r>
      <w:r>
        <w:rPr>
          <w:rFonts w:ascii="Times New Roman" w:hAnsi="Times New Roman" w:hint="eastAsia"/>
          <w:szCs w:val="24"/>
        </w:rPr>
        <w:t>丁家梁西部</w:t>
      </w:r>
      <w:r>
        <w:rPr>
          <w:rFonts w:ascii="Times New Roman" w:hAnsi="Times New Roman"/>
          <w:szCs w:val="24"/>
        </w:rPr>
        <w:t>在</w:t>
      </w:r>
      <w:r>
        <w:rPr>
          <w:rFonts w:ascii="Times New Roman" w:hAnsi="Times New Roman"/>
          <w:szCs w:val="24"/>
        </w:rPr>
        <w:t>T1S-2</w:t>
      </w:r>
      <w:r>
        <w:rPr>
          <w:rFonts w:ascii="Times New Roman" w:hAnsi="Times New Roman"/>
          <w:szCs w:val="24"/>
        </w:rPr>
        <w:t>孔对该层揭露</w:t>
      </w:r>
      <w:r>
        <w:rPr>
          <w:rFonts w:ascii="Times New Roman" w:hAnsi="Times New Roman"/>
          <w:szCs w:val="24"/>
        </w:rPr>
        <w:t>200m</w:t>
      </w:r>
      <w:r>
        <w:rPr>
          <w:rFonts w:ascii="Times New Roman" w:hAnsi="Times New Roman"/>
          <w:szCs w:val="24"/>
        </w:rPr>
        <w:t>后进行抽水试验，证明水量极小。土坡组至</w:t>
      </w:r>
      <w:r>
        <w:rPr>
          <w:rFonts w:ascii="Times New Roman" w:hAnsi="Times New Roman"/>
          <w:szCs w:val="24"/>
        </w:rPr>
        <w:t>9</w:t>
      </w:r>
      <w:r>
        <w:rPr>
          <w:rFonts w:ascii="Times New Roman" w:hAnsi="Times New Roman"/>
          <w:szCs w:val="24"/>
        </w:rPr>
        <w:t>煤顶底板发育有较稳定的泥岩、粉砂质泥岩，共同组合成为较好的隔水岩层，阻隔并减弱土坡组含水层、奥灰岩溶地下水与上覆煤层之间的水力联系。</w:t>
      </w:r>
    </w:p>
    <w:p w14:paraId="55661D72" w14:textId="77777777" w:rsidR="009C353B" w:rsidRDefault="00000000">
      <w:pPr>
        <w:autoSpaceDE w:val="0"/>
        <w:autoSpaceDN w:val="0"/>
        <w:adjustRightInd w:val="0"/>
        <w:spacing w:line="440" w:lineRule="exact"/>
        <w:ind w:firstLineChars="200" w:firstLine="480"/>
        <w:rPr>
          <w:rFonts w:ascii="Times New Roman" w:hAnsi="Times New Roman"/>
          <w:szCs w:val="24"/>
        </w:rPr>
      </w:pPr>
      <w:bookmarkStart w:id="245" w:name="_Toc265970002"/>
      <w:bookmarkStart w:id="246" w:name="_Toc267942151"/>
      <w:bookmarkStart w:id="247" w:name="_Toc265970281"/>
      <w:bookmarkStart w:id="248" w:name="_Toc265970375"/>
      <w:bookmarkStart w:id="249" w:name="_Toc29817105"/>
      <w:r>
        <w:rPr>
          <w:rFonts w:ascii="Times New Roman" w:hAnsi="Times New Roman" w:hint="eastAsia"/>
          <w:szCs w:val="24"/>
        </w:rPr>
        <w:t>（</w:t>
      </w:r>
      <w:r>
        <w:rPr>
          <w:rFonts w:ascii="Times New Roman" w:hAnsi="Times New Roman"/>
          <w:szCs w:val="24"/>
        </w:rPr>
        <w:t>3</w:t>
      </w:r>
      <w:r>
        <w:rPr>
          <w:rFonts w:ascii="Times New Roman" w:hAnsi="Times New Roman" w:hint="eastAsia"/>
          <w:szCs w:val="24"/>
        </w:rPr>
        <w:t>）矿区</w:t>
      </w:r>
      <w:r>
        <w:rPr>
          <w:rFonts w:ascii="Times New Roman" w:hAnsi="Times New Roman"/>
          <w:szCs w:val="24"/>
        </w:rPr>
        <w:t>地下水补给、径流及排泄条件</w:t>
      </w:r>
      <w:bookmarkEnd w:id="245"/>
      <w:bookmarkEnd w:id="246"/>
      <w:bookmarkEnd w:id="247"/>
      <w:bookmarkEnd w:id="248"/>
      <w:bookmarkEnd w:id="249"/>
    </w:p>
    <w:p w14:paraId="4984940D" w14:textId="77777777" w:rsidR="009C353B" w:rsidRDefault="00000000">
      <w:pPr>
        <w:autoSpaceDE w:val="0"/>
        <w:autoSpaceDN w:val="0"/>
        <w:adjustRightInd w:val="0"/>
        <w:spacing w:line="440" w:lineRule="exact"/>
        <w:ind w:firstLineChars="200" w:firstLine="480"/>
        <w:rPr>
          <w:rFonts w:ascii="Times New Roman" w:hAnsi="Times New Roman"/>
          <w:szCs w:val="24"/>
        </w:rPr>
      </w:pPr>
      <w:r>
        <w:rPr>
          <w:rFonts w:ascii="Times New Roman" w:hAnsi="Times New Roman"/>
          <w:szCs w:val="24"/>
        </w:rPr>
        <w:t>地下水在经水平径流及浅层</w:t>
      </w:r>
      <w:r>
        <w:rPr>
          <w:rFonts w:ascii="Times New Roman" w:hAnsi="Times New Roman"/>
          <w:szCs w:val="24"/>
        </w:rPr>
        <w:t>—</w:t>
      </w:r>
      <w:r>
        <w:rPr>
          <w:rFonts w:ascii="Times New Roman" w:hAnsi="Times New Roman"/>
          <w:szCs w:val="24"/>
        </w:rPr>
        <w:t>深层垂向交替，最终向区域最低侵蚀基准面（矿区各个沟谷）排泄。矿区地下水补给源主要有大气降水入渗补给，地表水入渗补给，林地灌溉水水入渗补给和侧向径流补给。排泄项有矿井疏排水和侧向径流排泄。</w:t>
      </w:r>
    </w:p>
    <w:p w14:paraId="7E30A2C4" w14:textId="77777777" w:rsidR="009C353B" w:rsidRDefault="00000000">
      <w:pPr>
        <w:spacing w:line="440" w:lineRule="exact"/>
        <w:ind w:left="480"/>
        <w:rPr>
          <w:rFonts w:ascii="Times New Roman" w:hAnsi="Times New Roman"/>
          <w:szCs w:val="24"/>
        </w:rPr>
      </w:pPr>
      <w:r>
        <w:rPr>
          <w:rFonts w:ascii="Times New Roman" w:hAnsi="Times New Roman"/>
          <w:szCs w:val="24"/>
        </w:rPr>
        <w:t>1</w:t>
      </w:r>
      <w:r>
        <w:rPr>
          <w:rFonts w:ascii="Times New Roman" w:hAnsi="Times New Roman"/>
          <w:szCs w:val="24"/>
        </w:rPr>
        <w:t>）第四系松散岩类孔隙水</w:t>
      </w:r>
    </w:p>
    <w:p w14:paraId="2AE1368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第四系松散岩类孔隙水补给来源主要为大气降水、凝结水。</w:t>
      </w:r>
      <w:r>
        <w:rPr>
          <w:rFonts w:ascii="Times New Roman" w:hAnsi="Times New Roman" w:hint="eastAsia"/>
          <w:szCs w:val="24"/>
        </w:rPr>
        <w:t>大河子沟</w:t>
      </w:r>
      <w:r>
        <w:rPr>
          <w:rFonts w:ascii="Times New Roman" w:hAnsi="Times New Roman"/>
          <w:szCs w:val="24"/>
        </w:rPr>
        <w:t>漫滩、一级阶地接受部分地表水及大气降水补给。由于矿区降水稀少，蒸发量大，加之第四系厚度总体较小，又多被沟谷切穿，大气降水多以地表径流形式向地势低洼的</w:t>
      </w:r>
      <w:r>
        <w:rPr>
          <w:rFonts w:ascii="Times New Roman" w:hAnsi="Times New Roman" w:hint="eastAsia"/>
          <w:szCs w:val="24"/>
        </w:rPr>
        <w:t>大河子沟</w:t>
      </w:r>
      <w:r>
        <w:rPr>
          <w:rFonts w:ascii="Times New Roman" w:hAnsi="Times New Roman"/>
          <w:szCs w:val="24"/>
        </w:rPr>
        <w:t>及矿区其它沟谷方向排泄，使处于稍高位置的第四系松散地层基本不含水，仅</w:t>
      </w:r>
      <w:r>
        <w:rPr>
          <w:rFonts w:ascii="Times New Roman" w:hAnsi="Times New Roman" w:hint="eastAsia"/>
          <w:szCs w:val="24"/>
        </w:rPr>
        <w:t>大河子沟</w:t>
      </w:r>
      <w:r>
        <w:rPr>
          <w:rFonts w:ascii="Times New Roman" w:hAnsi="Times New Roman"/>
          <w:szCs w:val="24"/>
        </w:rPr>
        <w:t>及局部地形地貌有利地段赋存微量地下水。每一含水区段成为独立的水文地质单元，彼此间基本无水力联系。在单个独立的水文地质单元中，地下水接受大气降水入渗补给后，沿基底向地势低洼的地段（如</w:t>
      </w:r>
      <w:r>
        <w:rPr>
          <w:rFonts w:ascii="Times New Roman" w:hAnsi="Times New Roman" w:hint="eastAsia"/>
          <w:szCs w:val="24"/>
        </w:rPr>
        <w:t>丁家梁</w:t>
      </w:r>
      <w:r>
        <w:rPr>
          <w:rFonts w:ascii="Times New Roman" w:hAnsi="Times New Roman"/>
          <w:szCs w:val="24"/>
        </w:rPr>
        <w:t>煤矿</w:t>
      </w:r>
      <w:r>
        <w:rPr>
          <w:rFonts w:ascii="Times New Roman" w:hAnsi="Times New Roman" w:hint="eastAsia"/>
          <w:szCs w:val="24"/>
        </w:rPr>
        <w:t>西部</w:t>
      </w:r>
      <w:r>
        <w:rPr>
          <w:rFonts w:ascii="Times New Roman" w:hAnsi="Times New Roman"/>
          <w:szCs w:val="24"/>
        </w:rPr>
        <w:t>一般为</w:t>
      </w:r>
      <w:r>
        <w:rPr>
          <w:rFonts w:ascii="Times New Roman" w:hAnsi="Times New Roman" w:hint="eastAsia"/>
          <w:szCs w:val="24"/>
        </w:rPr>
        <w:t>大河子沟</w:t>
      </w:r>
      <w:r>
        <w:rPr>
          <w:rFonts w:ascii="Times New Roman" w:hAnsi="Times New Roman"/>
          <w:szCs w:val="24"/>
        </w:rPr>
        <w:t>方向、红石湾、煤矿地下水总体上沿古近系顶部隔水界面由西南向东北径流汇入</w:t>
      </w:r>
      <w:r>
        <w:rPr>
          <w:rFonts w:ascii="Times New Roman" w:hAnsi="Times New Roman" w:hint="eastAsia"/>
          <w:szCs w:val="24"/>
          <w:lang w:val="zh-CN"/>
        </w:rPr>
        <w:t>水洞沟</w:t>
      </w:r>
      <w:r>
        <w:rPr>
          <w:rFonts w:ascii="Times New Roman" w:hAnsi="Times New Roman"/>
          <w:szCs w:val="24"/>
        </w:rPr>
        <w:t>，此</w:t>
      </w:r>
      <w:r>
        <w:rPr>
          <w:rFonts w:ascii="Times New Roman" w:hAnsi="Times New Roman" w:hint="eastAsia"/>
          <w:szCs w:val="24"/>
          <w:lang w:val="zh-CN"/>
        </w:rPr>
        <w:t>水洞沟</w:t>
      </w:r>
      <w:r>
        <w:rPr>
          <w:rFonts w:ascii="Times New Roman" w:hAnsi="Times New Roman"/>
          <w:szCs w:val="24"/>
        </w:rPr>
        <w:t>在马莲台煤矿由于两侧溢出泉水补给，形成常年性地表溪流，最终潜入山前入黄河）径流、汇集，排泄于蒸发和少量人工开采，另外通过对矿区红石湾煤矿、任家庄煤矿、马莲台煤矿等矿井涌水量调查，矿</w:t>
      </w:r>
      <w:r>
        <w:rPr>
          <w:rFonts w:ascii="Times New Roman" w:hAnsi="Times New Roman" w:hint="eastAsia"/>
          <w:szCs w:val="24"/>
        </w:rPr>
        <w:t>井</w:t>
      </w:r>
      <w:r>
        <w:rPr>
          <w:rFonts w:ascii="Times New Roman" w:hAnsi="Times New Roman"/>
          <w:szCs w:val="24"/>
        </w:rPr>
        <w:t>涌水量与大气降水的数量、性质及延续时间无关，说明基岩承压水含水层主要通过含水层之间越流及断层破碎带补给，大气降水补给微弱。</w:t>
      </w:r>
    </w:p>
    <w:p w14:paraId="1CF6E17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2</w:t>
      </w:r>
      <w:r>
        <w:rPr>
          <w:rFonts w:ascii="Times New Roman" w:hAnsi="Times New Roman"/>
          <w:szCs w:val="24"/>
        </w:rPr>
        <w:t>）碎屑岩类孔隙裂隙水</w:t>
      </w:r>
    </w:p>
    <w:p w14:paraId="46338F8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由于大气降水的入渗补给被较厚的古近系清水营组泥岩地层所阻隔，使矿区碎屑岩类孔隙裂隙水补给条件变差。碎屑岩类孔隙裂隙水补给来源主要为各岩组之间的弱渗透补给及含水层的侧向补给，其次为基岩裸露区接受大气降水补给。综上所述，矿区地下水在浅部补给条件差，径流及排泄条件较好；而深部则补给、径流、排泄条件均较差。</w:t>
      </w:r>
    </w:p>
    <w:p w14:paraId="43171CD1"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横城矿区地质图见图</w:t>
      </w:r>
      <w:r>
        <w:rPr>
          <w:rFonts w:ascii="Times New Roman" w:hAnsi="Times New Roman" w:hint="eastAsia"/>
          <w:szCs w:val="24"/>
        </w:rPr>
        <w:t>6.3-3</w:t>
      </w:r>
      <w:r>
        <w:rPr>
          <w:rFonts w:ascii="Times New Roman" w:hAnsi="Times New Roman" w:hint="eastAsia"/>
          <w:szCs w:val="24"/>
        </w:rPr>
        <w:t>，矿区水文地质图见图</w:t>
      </w:r>
      <w:r>
        <w:rPr>
          <w:rFonts w:ascii="Times New Roman" w:hAnsi="Times New Roman" w:hint="eastAsia"/>
          <w:szCs w:val="24"/>
        </w:rPr>
        <w:t>6.3-4</w:t>
      </w:r>
      <w:r>
        <w:rPr>
          <w:rFonts w:ascii="Times New Roman" w:hAnsi="Times New Roman" w:hint="eastAsia"/>
          <w:szCs w:val="24"/>
        </w:rPr>
        <w:t>，丁家梁、红石湾、马莲台、任家庄煤矿水文地质图见图</w:t>
      </w:r>
      <w:r>
        <w:rPr>
          <w:rFonts w:ascii="Times New Roman" w:hAnsi="Times New Roman" w:hint="eastAsia"/>
          <w:szCs w:val="24"/>
        </w:rPr>
        <w:t>6.3-4</w:t>
      </w: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w:t>
      </w:r>
      <w:r>
        <w:rPr>
          <w:rFonts w:hint="eastAsia"/>
          <w:szCs w:val="24"/>
        </w:rPr>
        <w:t>～</w:t>
      </w:r>
      <w:r>
        <w:rPr>
          <w:rFonts w:ascii="Times New Roman" w:hAnsi="Times New Roman"/>
          <w:szCs w:val="24"/>
        </w:rPr>
        <w:t>6.3</w:t>
      </w:r>
      <w:r>
        <w:rPr>
          <w:rFonts w:ascii="Times New Roman" w:hAnsi="Times New Roman" w:hint="eastAsia"/>
          <w:szCs w:val="24"/>
        </w:rPr>
        <w:t>-4</w:t>
      </w:r>
      <w:r>
        <w:rPr>
          <w:rFonts w:ascii="Times New Roman" w:hAnsi="Times New Roman" w:hint="eastAsia"/>
          <w:szCs w:val="24"/>
        </w:rPr>
        <w:t>（</w:t>
      </w:r>
      <w:r>
        <w:rPr>
          <w:rFonts w:ascii="Times New Roman" w:hAnsi="Times New Roman" w:hint="eastAsia"/>
          <w:szCs w:val="24"/>
        </w:rPr>
        <w:t>5</w:t>
      </w:r>
      <w:r>
        <w:rPr>
          <w:rFonts w:ascii="Times New Roman" w:hAnsi="Times New Roman" w:hint="eastAsia"/>
          <w:szCs w:val="24"/>
        </w:rPr>
        <w:t>），矿区部分矿井典型水文地质剖面见图</w:t>
      </w:r>
      <w:r>
        <w:rPr>
          <w:rFonts w:ascii="Times New Roman" w:hAnsi="Times New Roman" w:hint="eastAsia"/>
          <w:szCs w:val="24"/>
        </w:rPr>
        <w:t>6</w:t>
      </w:r>
      <w:r>
        <w:rPr>
          <w:rFonts w:ascii="Times New Roman" w:hAnsi="Times New Roman"/>
          <w:szCs w:val="24"/>
        </w:rPr>
        <w:t>.3-</w:t>
      </w:r>
      <w:r>
        <w:rPr>
          <w:rFonts w:ascii="Times New Roman" w:hAnsi="Times New Roman" w:hint="eastAsia"/>
          <w:szCs w:val="24"/>
        </w:rPr>
        <w:t>5</w:t>
      </w:r>
      <w:r>
        <w:rPr>
          <w:rFonts w:ascii="Times New Roman" w:hAnsi="Times New Roman"/>
          <w:szCs w:val="24"/>
        </w:rPr>
        <w:t>~6.3-8</w:t>
      </w:r>
      <w:r>
        <w:rPr>
          <w:rFonts w:ascii="Times New Roman" w:hAnsi="Times New Roman" w:hint="eastAsia"/>
          <w:szCs w:val="24"/>
        </w:rPr>
        <w:t>。</w:t>
      </w:r>
    </w:p>
    <w:p w14:paraId="68B95CC8" w14:textId="77777777" w:rsidR="009C353B" w:rsidRDefault="00000000">
      <w:pPr>
        <w:adjustRightInd w:val="0"/>
        <w:snapToGrid w:val="0"/>
        <w:spacing w:line="440" w:lineRule="exact"/>
        <w:outlineLvl w:val="3"/>
        <w:rPr>
          <w:rFonts w:ascii="Times New Roman" w:hAnsi="Times New Roman"/>
          <w:b/>
          <w:szCs w:val="24"/>
        </w:rPr>
      </w:pPr>
      <w:bookmarkStart w:id="250" w:name="_Hlk44915596"/>
      <w:bookmarkStart w:id="251" w:name="_Hlk44922352"/>
      <w:r>
        <w:rPr>
          <w:rFonts w:ascii="Times New Roman" w:hAnsi="Times New Roman"/>
          <w:b/>
          <w:szCs w:val="24"/>
        </w:rPr>
        <w:t>6.</w:t>
      </w:r>
      <w:bookmarkEnd w:id="250"/>
      <w:r>
        <w:rPr>
          <w:rFonts w:ascii="Times New Roman" w:hAnsi="Times New Roman"/>
          <w:b/>
          <w:szCs w:val="24"/>
        </w:rPr>
        <w:t>3.2</w:t>
      </w:r>
      <w:bookmarkEnd w:id="251"/>
      <w:r>
        <w:rPr>
          <w:rFonts w:ascii="Times New Roman" w:hAnsi="Times New Roman"/>
          <w:b/>
          <w:szCs w:val="24"/>
        </w:rPr>
        <w:t xml:space="preserve">.3 </w:t>
      </w:r>
      <w:r>
        <w:rPr>
          <w:rFonts w:ascii="Times New Roman" w:hAnsi="Times New Roman"/>
          <w:b/>
          <w:szCs w:val="24"/>
        </w:rPr>
        <w:t>矿区煤炭井工开采对地下含水层的影响</w:t>
      </w:r>
    </w:p>
    <w:p w14:paraId="2A296336"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本矿区共包含有</w:t>
      </w:r>
      <w:r>
        <w:rPr>
          <w:rFonts w:ascii="Times New Roman" w:hAnsi="Times New Roman"/>
          <w:szCs w:val="24"/>
        </w:rPr>
        <w:t>4</w:t>
      </w:r>
      <w:r>
        <w:rPr>
          <w:rFonts w:ascii="Times New Roman" w:hAnsi="Times New Roman"/>
          <w:szCs w:val="24"/>
        </w:rPr>
        <w:t>个矿井，分别为马莲台矿井、红石湾矿井、任家庄矿井及丁家梁矿井。</w:t>
      </w:r>
    </w:p>
    <w:p w14:paraId="10CFE071"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当煤层采出后，采空区周围的岩层发生位移，变形乃至破坏，上覆岩层根据变形和破坏的程度不同分冒落、裂缝和弯曲三带，其中裂缝带又分为连通和非连通两部分，通常将冒落带和裂缝带的连通部分称为导水裂缝带，进而使含水层遭到破坏，导致地下水漏失，水位下降，并间接对与被破坏含水层存在水力联系的其它含水层产生影响。含水层破坏程度直接取决于覆岩破坏形成的导水裂缝带高度，因此从导水裂缝带的角度分析能够科学而有效地揭示矿区煤炭井工开采对地下含水层的影响。</w:t>
      </w:r>
    </w:p>
    <w:p w14:paraId="11E21004" w14:textId="77777777" w:rsidR="009C353B" w:rsidRDefault="00000000">
      <w:pPr>
        <w:spacing w:line="440" w:lineRule="exact"/>
        <w:ind w:firstLineChars="200" w:firstLine="480"/>
        <w:rPr>
          <w:rFonts w:ascii="Times New Roman" w:hAnsi="Times New Roman"/>
          <w:bCs/>
          <w:szCs w:val="24"/>
        </w:rPr>
      </w:pPr>
      <w:r>
        <w:rPr>
          <w:rFonts w:ascii="Times New Roman" w:hAnsi="Times New Roman"/>
          <w:bCs/>
          <w:szCs w:val="24"/>
        </w:rPr>
        <w:t>（</w:t>
      </w:r>
      <w:r>
        <w:rPr>
          <w:rFonts w:ascii="Times New Roman" w:hAnsi="Times New Roman"/>
          <w:bCs/>
          <w:szCs w:val="24"/>
        </w:rPr>
        <w:t>1</w:t>
      </w:r>
      <w:r>
        <w:rPr>
          <w:rFonts w:ascii="Times New Roman" w:hAnsi="Times New Roman"/>
          <w:bCs/>
          <w:szCs w:val="24"/>
        </w:rPr>
        <w:t>）矿区井工开采导水裂缝带高度预测</w:t>
      </w:r>
    </w:p>
    <w:p w14:paraId="288D2F70" w14:textId="77777777" w:rsidR="009C353B" w:rsidRDefault="00000000">
      <w:pPr>
        <w:spacing w:line="440" w:lineRule="exact"/>
        <w:ind w:firstLineChars="200" w:firstLine="480"/>
        <w:rPr>
          <w:rFonts w:ascii="Times New Roman" w:hAnsi="Times New Roman"/>
          <w:szCs w:val="24"/>
        </w:rPr>
      </w:pPr>
      <w:bookmarkStart w:id="252" w:name="_Hlk45721691"/>
      <w:r>
        <w:rPr>
          <w:rFonts w:ascii="Times New Roman" w:hAnsi="Times New Roman"/>
          <w:szCs w:val="24"/>
        </w:rPr>
        <w:t>导水裂缝带发育高度与煤层赋存地质条件、顶板岩性、煤层开采厚度、倾角及开采工艺等均有密切关系。</w:t>
      </w:r>
      <w:r>
        <w:rPr>
          <w:rFonts w:ascii="Times New Roman" w:hAnsi="Times New Roman" w:hint="eastAsia"/>
          <w:szCs w:val="24"/>
        </w:rPr>
        <w:t>已生产矿井均未进行导水裂缝带实测，本次环评采用经验公式对煤矿开采产生的导水裂缝带发育高度进行预测。</w:t>
      </w:r>
      <w:r>
        <w:rPr>
          <w:rFonts w:ascii="Times New Roman" w:hAnsi="Times New Roman"/>
          <w:szCs w:val="24"/>
        </w:rPr>
        <w:t>根据以往地质报告，马莲台、任家庄、红石湾煤矿煤层倾角大部分小于</w:t>
      </w:r>
      <w:r>
        <w:rPr>
          <w:rFonts w:ascii="Times New Roman" w:hAnsi="Times New Roman"/>
          <w:szCs w:val="24"/>
        </w:rPr>
        <w:t>25°</w:t>
      </w:r>
      <w:r>
        <w:rPr>
          <w:rFonts w:ascii="Times New Roman" w:hAnsi="Times New Roman"/>
          <w:szCs w:val="24"/>
        </w:rPr>
        <w:t>，丁家梁煤矿煤层倾角大多介于</w:t>
      </w:r>
      <w:r>
        <w:rPr>
          <w:rFonts w:ascii="Times New Roman" w:hAnsi="Times New Roman"/>
          <w:szCs w:val="24"/>
        </w:rPr>
        <w:t>10~48°</w:t>
      </w:r>
      <w:r>
        <w:rPr>
          <w:rFonts w:ascii="Times New Roman" w:hAnsi="Times New Roman" w:hint="eastAsia"/>
          <w:szCs w:val="24"/>
        </w:rPr>
        <w:t>。本次环评采用</w:t>
      </w:r>
      <w:r>
        <w:rPr>
          <w:rFonts w:ascii="Times New Roman" w:hAnsi="Times New Roman"/>
          <w:szCs w:val="24"/>
        </w:rPr>
        <w:t>中硬覆岩</w:t>
      </w:r>
      <w:r>
        <w:rPr>
          <w:rFonts w:ascii="Times New Roman" w:hAnsi="Times New Roman" w:hint="eastAsia"/>
          <w:szCs w:val="24"/>
        </w:rPr>
        <w:t>类经验公式，以</w:t>
      </w:r>
      <w:r>
        <w:rPr>
          <w:rFonts w:ascii="Times New Roman" w:hAnsi="Times New Roman"/>
          <w:szCs w:val="24"/>
        </w:rPr>
        <w:t>《建筑物、水体、铁路及主要井巷煤柱留设与压煤开采规范》、</w:t>
      </w:r>
      <w:bookmarkStart w:id="253" w:name="_Hlk46737341"/>
      <w:r>
        <w:rPr>
          <w:rFonts w:ascii="Times New Roman" w:hAnsi="Times New Roman"/>
          <w:szCs w:val="24"/>
        </w:rPr>
        <w:t>《矿区水文地质工程地质勘探规范</w:t>
      </w:r>
      <w:bookmarkStart w:id="254" w:name="_Hlk46737258"/>
      <w:r>
        <w:rPr>
          <w:rFonts w:ascii="Times New Roman" w:hAnsi="Times New Roman"/>
          <w:szCs w:val="24"/>
        </w:rPr>
        <w:t>》（</w:t>
      </w:r>
      <w:r>
        <w:rPr>
          <w:rFonts w:ascii="Times New Roman" w:hAnsi="Times New Roman"/>
          <w:szCs w:val="24"/>
        </w:rPr>
        <w:t>GB12719-1991</w:t>
      </w:r>
      <w:r>
        <w:rPr>
          <w:rFonts w:ascii="Times New Roman" w:hAnsi="Times New Roman"/>
          <w:szCs w:val="24"/>
        </w:rPr>
        <w:t>）</w:t>
      </w:r>
      <w:bookmarkEnd w:id="253"/>
      <w:bookmarkEnd w:id="254"/>
      <w:r>
        <w:rPr>
          <w:rFonts w:ascii="Times New Roman" w:hAnsi="Times New Roman"/>
          <w:szCs w:val="24"/>
        </w:rPr>
        <w:t>中推荐的公式模式（取较大值）</w:t>
      </w:r>
      <w:r>
        <w:rPr>
          <w:rFonts w:ascii="Times New Roman" w:hAnsi="Times New Roman" w:hint="eastAsia"/>
          <w:szCs w:val="24"/>
        </w:rPr>
        <w:t>计算井工矿垮落带及导水裂缝带发育高度</w:t>
      </w:r>
      <w:r>
        <w:rPr>
          <w:rFonts w:ascii="Times New Roman" w:hAnsi="Times New Roman"/>
          <w:szCs w:val="24"/>
        </w:rPr>
        <w:t>，以下简称为</w:t>
      </w:r>
      <w:r>
        <w:rPr>
          <w:rFonts w:ascii="Times New Roman" w:hAnsi="Times New Roman" w:hint="eastAsia"/>
          <w:szCs w:val="24"/>
        </w:rPr>
        <w:t>“</w:t>
      </w:r>
      <w:r>
        <w:rPr>
          <w:rFonts w:ascii="Times New Roman" w:hAnsi="Times New Roman"/>
          <w:szCs w:val="24"/>
        </w:rPr>
        <w:t>三下采煤规程</w:t>
      </w:r>
      <w:r>
        <w:rPr>
          <w:rFonts w:ascii="Times New Roman" w:hAnsi="Times New Roman" w:hint="eastAsia"/>
          <w:szCs w:val="24"/>
        </w:rPr>
        <w:t>”</w:t>
      </w:r>
      <w:r>
        <w:rPr>
          <w:rFonts w:ascii="Times New Roman" w:hAnsi="Times New Roman"/>
          <w:szCs w:val="24"/>
        </w:rPr>
        <w:t>、</w:t>
      </w:r>
      <w:r>
        <w:rPr>
          <w:rFonts w:ascii="Times New Roman" w:hAnsi="Times New Roman" w:hint="eastAsia"/>
          <w:szCs w:val="24"/>
        </w:rPr>
        <w:t>“</w:t>
      </w:r>
      <w:r>
        <w:rPr>
          <w:rFonts w:ascii="Times New Roman" w:hAnsi="Times New Roman"/>
          <w:szCs w:val="24"/>
        </w:rPr>
        <w:t>矿区勘探规范</w:t>
      </w:r>
      <w:r>
        <w:rPr>
          <w:rFonts w:ascii="Times New Roman" w:hAnsi="Times New Roman" w:hint="eastAsia"/>
          <w:szCs w:val="24"/>
        </w:rPr>
        <w:t>”</w:t>
      </w:r>
      <w:r>
        <w:rPr>
          <w:rFonts w:ascii="Times New Roman" w:hAnsi="Times New Roman"/>
          <w:szCs w:val="24"/>
        </w:rPr>
        <w:t>。因此根据表</w:t>
      </w:r>
      <w:r>
        <w:rPr>
          <w:rFonts w:ascii="Times New Roman" w:hAnsi="Times New Roman"/>
          <w:szCs w:val="24"/>
        </w:rPr>
        <w:t>6.3-1</w:t>
      </w:r>
      <w:r>
        <w:rPr>
          <w:rFonts w:ascii="Times New Roman" w:hAnsi="Times New Roman"/>
          <w:szCs w:val="24"/>
        </w:rPr>
        <w:t>及表</w:t>
      </w:r>
      <w:r>
        <w:rPr>
          <w:rFonts w:ascii="Times New Roman" w:hAnsi="Times New Roman"/>
          <w:szCs w:val="24"/>
        </w:rPr>
        <w:t>6.3-2</w:t>
      </w:r>
      <w:r>
        <w:rPr>
          <w:rFonts w:ascii="Times New Roman" w:hAnsi="Times New Roman"/>
          <w:szCs w:val="24"/>
        </w:rPr>
        <w:t>中的中硬覆岩对应的公式，对井田内的可采煤层计算垮落带和导水裂缝带高度，来反映矿区内煤层开采后所形成的导水裂缝带的总体导水状况</w:t>
      </w:r>
      <w:r>
        <w:rPr>
          <w:rFonts w:ascii="Times New Roman" w:hAnsi="Times New Roman" w:hint="eastAsia"/>
          <w:szCs w:val="24"/>
        </w:rPr>
        <w:t>，</w:t>
      </w:r>
      <w:r>
        <w:rPr>
          <w:rFonts w:ascii="Times New Roman" w:hAnsi="Times New Roman"/>
          <w:szCs w:val="24"/>
        </w:rPr>
        <w:t>计算结果见表</w:t>
      </w:r>
      <w:r>
        <w:rPr>
          <w:rFonts w:ascii="Times New Roman" w:hAnsi="Times New Roman"/>
          <w:szCs w:val="24"/>
        </w:rPr>
        <w:t>6.3-3</w:t>
      </w:r>
      <w:r>
        <w:rPr>
          <w:rFonts w:ascii="Times New Roman" w:hAnsi="Times New Roman"/>
          <w:szCs w:val="24"/>
        </w:rPr>
        <w:t>。</w:t>
      </w:r>
    </w:p>
    <w:p w14:paraId="4B61A830" w14:textId="77777777" w:rsidR="009C353B" w:rsidRDefault="00000000">
      <w:pPr>
        <w:spacing w:line="440" w:lineRule="exact"/>
        <w:jc w:val="center"/>
        <w:rPr>
          <w:rFonts w:ascii="Times New Roman" w:hAnsi="Times New Roman"/>
          <w:b/>
          <w:szCs w:val="24"/>
        </w:rPr>
      </w:pPr>
      <w:r>
        <w:rPr>
          <w:rFonts w:ascii="Times New Roman" w:hAnsi="Times New Roman" w:hint="eastAsia"/>
          <w:b/>
          <w:szCs w:val="24"/>
        </w:rPr>
        <w:t xml:space="preserve"> </w:t>
      </w:r>
      <w:r>
        <w:rPr>
          <w:rFonts w:ascii="Times New Roman" w:hAnsi="Times New Roman" w:hint="eastAsia"/>
          <w:b/>
          <w:szCs w:val="24"/>
        </w:rPr>
        <w:t>“</w:t>
      </w:r>
      <w:r>
        <w:rPr>
          <w:rFonts w:ascii="Times New Roman" w:hAnsi="Times New Roman"/>
          <w:b/>
          <w:szCs w:val="24"/>
        </w:rPr>
        <w:t>三下采煤规程</w:t>
      </w:r>
      <w:r>
        <w:rPr>
          <w:rFonts w:ascii="Times New Roman" w:hAnsi="Times New Roman" w:hint="eastAsia"/>
          <w:b/>
          <w:szCs w:val="24"/>
        </w:rPr>
        <w:t>”</w:t>
      </w:r>
      <w:r>
        <w:rPr>
          <w:rFonts w:ascii="Times New Roman" w:hAnsi="Times New Roman"/>
          <w:b/>
          <w:szCs w:val="24"/>
        </w:rPr>
        <w:t>导水裂缝带发育高度计算公式</w:t>
      </w:r>
    </w:p>
    <w:p w14:paraId="7C7E24BB" w14:textId="77777777" w:rsidR="009C353B" w:rsidRDefault="00000000">
      <w:pPr>
        <w:adjustRightInd w:val="0"/>
        <w:snapToGrid w:val="0"/>
        <w:spacing w:line="440" w:lineRule="exact"/>
        <w:outlineLvl w:val="4"/>
        <w:rPr>
          <w:rFonts w:ascii="Times New Roman" w:hAnsi="Times New Roman"/>
          <w:bCs/>
          <w:szCs w:val="24"/>
        </w:rPr>
      </w:pPr>
      <w:r>
        <w:rPr>
          <w:rFonts w:ascii="Times New Roman" w:hAnsi="Times New Roman"/>
          <w:bCs/>
          <w:szCs w:val="24"/>
        </w:rPr>
        <w:t>表</w:t>
      </w:r>
      <w:r>
        <w:rPr>
          <w:rFonts w:ascii="Times New Roman" w:hAnsi="Times New Roman" w:hint="eastAsia"/>
          <w:bCs/>
          <w:szCs w:val="24"/>
        </w:rPr>
        <w:t>6.3-</w:t>
      </w:r>
      <w:r>
        <w:rPr>
          <w:rFonts w:ascii="Times New Roman" w:hAnsi="Times New Roman"/>
          <w:bCs/>
          <w:szCs w:val="24"/>
        </w:rPr>
        <w:t>1</w:t>
      </w:r>
    </w:p>
    <w:tbl>
      <w:tblPr>
        <w:tblStyle w:val="afffffffffffffffffffffff6"/>
        <w:tblW w:w="5000" w:type="pct"/>
        <w:tblLayout w:type="fixed"/>
        <w:tblLook w:val="04A0" w:firstRow="1" w:lastRow="0" w:firstColumn="1" w:lastColumn="0" w:noHBand="0" w:noVBand="1"/>
      </w:tblPr>
      <w:tblGrid>
        <w:gridCol w:w="1799"/>
        <w:gridCol w:w="3653"/>
        <w:gridCol w:w="3835"/>
      </w:tblGrid>
      <w:tr w:rsidR="009C353B" w14:paraId="280E0B88" w14:textId="77777777">
        <w:trPr>
          <w:trHeight w:val="340"/>
        </w:trPr>
        <w:tc>
          <w:tcPr>
            <w:tcW w:w="1729" w:type="dxa"/>
          </w:tcPr>
          <w:p w14:paraId="0E541E56" w14:textId="77777777" w:rsidR="009C353B" w:rsidRDefault="00000000">
            <w:pPr>
              <w:ind w:firstLine="480"/>
              <w:jc w:val="center"/>
              <w:rPr>
                <w:rFonts w:ascii="Times New Roman" w:hAnsi="Times New Roman"/>
                <w:sz w:val="21"/>
                <w:szCs w:val="21"/>
              </w:rPr>
            </w:pPr>
            <w:r>
              <w:rPr>
                <w:rFonts w:ascii="Times New Roman" w:hAnsi="Times New Roman"/>
                <w:sz w:val="21"/>
                <w:szCs w:val="21"/>
              </w:rPr>
              <w:t>覆岩岩性</w:t>
            </w:r>
          </w:p>
        </w:tc>
        <w:tc>
          <w:tcPr>
            <w:tcW w:w="3511" w:type="dxa"/>
          </w:tcPr>
          <w:p w14:paraId="4C1C7B38" w14:textId="77777777" w:rsidR="009C353B" w:rsidRDefault="00000000">
            <w:pPr>
              <w:ind w:firstLine="480"/>
              <w:jc w:val="center"/>
              <w:rPr>
                <w:rFonts w:ascii="Times New Roman" w:hAnsi="Times New Roman"/>
                <w:sz w:val="21"/>
                <w:szCs w:val="21"/>
              </w:rPr>
            </w:pPr>
            <w:r>
              <w:rPr>
                <w:rFonts w:ascii="Times New Roman" w:hAnsi="Times New Roman"/>
                <w:sz w:val="21"/>
                <w:szCs w:val="21"/>
              </w:rPr>
              <w:t>经验公式之一（</w:t>
            </w:r>
            <w:r>
              <w:rPr>
                <w:rFonts w:ascii="Times New Roman" w:hAnsi="Times New Roman"/>
                <w:sz w:val="21"/>
                <w:szCs w:val="21"/>
              </w:rPr>
              <w:t>m</w:t>
            </w:r>
            <w:r>
              <w:rPr>
                <w:rFonts w:ascii="Times New Roman" w:hAnsi="Times New Roman"/>
                <w:sz w:val="21"/>
                <w:szCs w:val="21"/>
              </w:rPr>
              <w:t>）</w:t>
            </w:r>
          </w:p>
        </w:tc>
        <w:tc>
          <w:tcPr>
            <w:tcW w:w="3686" w:type="dxa"/>
          </w:tcPr>
          <w:p w14:paraId="7BAFF319" w14:textId="77777777" w:rsidR="009C353B" w:rsidRDefault="00000000">
            <w:pPr>
              <w:ind w:firstLine="480"/>
              <w:jc w:val="center"/>
              <w:rPr>
                <w:rFonts w:ascii="Times New Roman" w:hAnsi="Times New Roman"/>
                <w:sz w:val="21"/>
                <w:szCs w:val="21"/>
              </w:rPr>
            </w:pPr>
            <w:r>
              <w:rPr>
                <w:rFonts w:ascii="Times New Roman" w:hAnsi="Times New Roman"/>
                <w:sz w:val="21"/>
                <w:szCs w:val="21"/>
              </w:rPr>
              <w:t>经验公式之二（</w:t>
            </w:r>
            <w:r>
              <w:rPr>
                <w:rFonts w:ascii="Times New Roman" w:hAnsi="Times New Roman"/>
                <w:sz w:val="21"/>
                <w:szCs w:val="21"/>
              </w:rPr>
              <w:t>m</w:t>
            </w:r>
            <w:r>
              <w:rPr>
                <w:rFonts w:ascii="Times New Roman" w:hAnsi="Times New Roman"/>
                <w:sz w:val="21"/>
                <w:szCs w:val="21"/>
              </w:rPr>
              <w:t>）</w:t>
            </w:r>
          </w:p>
        </w:tc>
      </w:tr>
      <w:tr w:rsidR="009C353B" w14:paraId="11360355" w14:textId="77777777">
        <w:trPr>
          <w:trHeight w:val="340"/>
        </w:trPr>
        <w:tc>
          <w:tcPr>
            <w:tcW w:w="1729" w:type="dxa"/>
          </w:tcPr>
          <w:p w14:paraId="3DDD2737" w14:textId="77777777" w:rsidR="009C353B" w:rsidRDefault="00000000">
            <w:pPr>
              <w:ind w:firstLine="480"/>
              <w:jc w:val="center"/>
              <w:rPr>
                <w:rFonts w:ascii="Times New Roman" w:hAnsi="Times New Roman"/>
                <w:sz w:val="21"/>
                <w:szCs w:val="21"/>
              </w:rPr>
            </w:pPr>
            <w:r>
              <w:rPr>
                <w:rFonts w:ascii="Times New Roman" w:hAnsi="Times New Roman"/>
                <w:sz w:val="21"/>
                <w:szCs w:val="21"/>
              </w:rPr>
              <w:t>坚硬</w:t>
            </w:r>
          </w:p>
        </w:tc>
        <w:tc>
          <w:tcPr>
            <w:tcW w:w="3511" w:type="dxa"/>
          </w:tcPr>
          <w:p w14:paraId="68363568" w14:textId="77777777" w:rsidR="009C353B" w:rsidRDefault="00000000">
            <w:pPr>
              <w:ind w:firstLine="48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sz w:val="21"/>
                        <w:szCs w:val="21"/>
                      </w:rPr>
                      <m:t>li</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100</m:t>
                    </m:r>
                    <m:nary>
                      <m:naryPr>
                        <m:chr m:val="∑"/>
                        <m:limLoc m:val="undOvr"/>
                        <m:subHide m:val="1"/>
                        <m:supHide m:val="1"/>
                        <m:ctrlPr>
                          <w:rPr>
                            <w:rFonts w:ascii="Cambria Math" w:hAnsi="Cambria Math"/>
                            <w:i/>
                            <w:sz w:val="21"/>
                            <w:szCs w:val="21"/>
                          </w:rPr>
                        </m:ctrlPr>
                      </m:naryPr>
                      <m:sub/>
                      <m:sup/>
                      <m:e>
                        <m:r>
                          <w:rPr>
                            <w:rFonts w:ascii="Cambria Math" w:hAnsi="Cambria Math"/>
                            <w:sz w:val="21"/>
                            <w:szCs w:val="21"/>
                          </w:rPr>
                          <m:t>M</m:t>
                        </m:r>
                      </m:e>
                    </m:nary>
                  </m:num>
                  <m:den>
                    <m:r>
                      <w:rPr>
                        <w:rFonts w:ascii="Cambria Math" w:hAnsi="Cambria Math"/>
                        <w:sz w:val="21"/>
                        <w:szCs w:val="21"/>
                      </w:rPr>
                      <m:t>1.2</m:t>
                    </m:r>
                    <m:nary>
                      <m:naryPr>
                        <m:chr m:val="∑"/>
                        <m:limLoc m:val="undOvr"/>
                        <m:subHide m:val="1"/>
                        <m:supHide m:val="1"/>
                        <m:ctrlPr>
                          <w:rPr>
                            <w:rFonts w:ascii="Cambria Math" w:hAnsi="Cambria Math"/>
                            <w:i/>
                            <w:sz w:val="21"/>
                            <w:szCs w:val="21"/>
                          </w:rPr>
                        </m:ctrlPr>
                      </m:naryPr>
                      <m:sub/>
                      <m:sup/>
                      <m:e>
                        <m:r>
                          <w:rPr>
                            <w:rFonts w:ascii="Cambria Math" w:hAnsi="Cambria Math"/>
                            <w:sz w:val="21"/>
                            <w:szCs w:val="21"/>
                          </w:rPr>
                          <m:t>M</m:t>
                        </m:r>
                      </m:e>
                    </m:nary>
                    <m:r>
                      <w:rPr>
                        <w:rFonts w:ascii="Cambria Math" w:hAnsi="Cambria Math"/>
                        <w:sz w:val="21"/>
                        <w:szCs w:val="21"/>
                      </w:rPr>
                      <m:t>+2.0</m:t>
                    </m:r>
                  </m:den>
                </m:f>
                <m:r>
                  <w:rPr>
                    <w:rFonts w:ascii="Cambria Math" w:hAnsi="Cambria Math"/>
                    <w:sz w:val="21"/>
                    <w:szCs w:val="21"/>
                  </w:rPr>
                  <m:t>±8.9</m:t>
                </m:r>
              </m:oMath>
            </m:oMathPara>
          </w:p>
        </w:tc>
        <w:tc>
          <w:tcPr>
            <w:tcW w:w="3686" w:type="dxa"/>
          </w:tcPr>
          <w:p w14:paraId="02ABBB1D" w14:textId="77777777" w:rsidR="009C353B" w:rsidRDefault="00000000">
            <w:pPr>
              <w:ind w:firstLine="48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sz w:val="21"/>
                        <w:szCs w:val="21"/>
                      </w:rPr>
                      <m:t>li</m:t>
                    </m:r>
                  </m:sub>
                </m:sSub>
                <m:r>
                  <w:rPr>
                    <w:rFonts w:ascii="Cambria Math" w:hAnsi="Cambria Math"/>
                    <w:sz w:val="21"/>
                    <w:szCs w:val="21"/>
                  </w:rPr>
                  <m:t>=30</m:t>
                </m:r>
                <m:rad>
                  <m:radPr>
                    <m:degHide m:val="1"/>
                    <m:ctrlPr>
                      <w:rPr>
                        <w:rFonts w:ascii="Cambria Math" w:hAnsi="Cambria Math"/>
                        <w:i/>
                        <w:sz w:val="21"/>
                        <w:szCs w:val="21"/>
                      </w:rPr>
                    </m:ctrlPr>
                  </m:radPr>
                  <m:deg/>
                  <m:e>
                    <m:nary>
                      <m:naryPr>
                        <m:chr m:val="∑"/>
                        <m:limLoc m:val="undOvr"/>
                        <m:subHide m:val="1"/>
                        <m:supHide m:val="1"/>
                        <m:ctrlPr>
                          <w:rPr>
                            <w:rFonts w:ascii="Cambria Math" w:hAnsi="Cambria Math"/>
                            <w:i/>
                            <w:sz w:val="21"/>
                            <w:szCs w:val="21"/>
                          </w:rPr>
                        </m:ctrlPr>
                      </m:naryPr>
                      <m:sub/>
                      <m:sup/>
                      <m:e>
                        <m:r>
                          <w:rPr>
                            <w:rFonts w:ascii="Cambria Math" w:hAnsi="Cambria Math"/>
                            <w:sz w:val="21"/>
                            <w:szCs w:val="21"/>
                          </w:rPr>
                          <m:t>M</m:t>
                        </m:r>
                      </m:e>
                    </m:nary>
                  </m:e>
                </m:rad>
                <m:r>
                  <w:rPr>
                    <w:rFonts w:ascii="Cambria Math" w:hAnsi="Cambria Math"/>
                    <w:sz w:val="21"/>
                    <w:szCs w:val="21"/>
                  </w:rPr>
                  <m:t>+10</m:t>
                </m:r>
              </m:oMath>
            </m:oMathPara>
          </w:p>
        </w:tc>
      </w:tr>
      <w:tr w:rsidR="009C353B" w14:paraId="2D72CF8A" w14:textId="77777777">
        <w:trPr>
          <w:trHeight w:val="340"/>
        </w:trPr>
        <w:tc>
          <w:tcPr>
            <w:tcW w:w="1729" w:type="dxa"/>
          </w:tcPr>
          <w:p w14:paraId="602A8568" w14:textId="77777777" w:rsidR="009C353B" w:rsidRDefault="00000000">
            <w:pPr>
              <w:ind w:firstLine="480"/>
              <w:jc w:val="center"/>
              <w:rPr>
                <w:rFonts w:ascii="Times New Roman" w:hAnsi="Times New Roman"/>
                <w:sz w:val="21"/>
                <w:szCs w:val="21"/>
              </w:rPr>
            </w:pPr>
            <w:r>
              <w:rPr>
                <w:rFonts w:ascii="Times New Roman" w:hAnsi="Times New Roman"/>
                <w:sz w:val="21"/>
                <w:szCs w:val="21"/>
              </w:rPr>
              <w:t>中硬</w:t>
            </w:r>
          </w:p>
        </w:tc>
        <w:tc>
          <w:tcPr>
            <w:tcW w:w="3511" w:type="dxa"/>
          </w:tcPr>
          <w:p w14:paraId="5A4CDA18" w14:textId="77777777" w:rsidR="009C353B" w:rsidRDefault="00000000">
            <w:pPr>
              <w:ind w:firstLine="48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sz w:val="21"/>
                        <w:szCs w:val="21"/>
                      </w:rPr>
                      <m:t>li</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100</m:t>
                    </m:r>
                    <m:nary>
                      <m:naryPr>
                        <m:chr m:val="∑"/>
                        <m:limLoc m:val="undOvr"/>
                        <m:subHide m:val="1"/>
                        <m:supHide m:val="1"/>
                        <m:ctrlPr>
                          <w:rPr>
                            <w:rFonts w:ascii="Cambria Math" w:hAnsi="Cambria Math"/>
                            <w:i/>
                            <w:sz w:val="21"/>
                            <w:szCs w:val="21"/>
                          </w:rPr>
                        </m:ctrlPr>
                      </m:naryPr>
                      <m:sub/>
                      <m:sup/>
                      <m:e>
                        <m:r>
                          <w:rPr>
                            <w:rFonts w:ascii="Cambria Math" w:hAnsi="Cambria Math"/>
                            <w:sz w:val="21"/>
                            <w:szCs w:val="21"/>
                          </w:rPr>
                          <m:t>M</m:t>
                        </m:r>
                      </m:e>
                    </m:nary>
                  </m:num>
                  <m:den>
                    <m:r>
                      <w:rPr>
                        <w:rFonts w:ascii="Cambria Math" w:hAnsi="Cambria Math"/>
                        <w:sz w:val="21"/>
                        <w:szCs w:val="21"/>
                      </w:rPr>
                      <m:t>1.6</m:t>
                    </m:r>
                    <m:nary>
                      <m:naryPr>
                        <m:chr m:val="∑"/>
                        <m:limLoc m:val="undOvr"/>
                        <m:subHide m:val="1"/>
                        <m:supHide m:val="1"/>
                        <m:ctrlPr>
                          <w:rPr>
                            <w:rFonts w:ascii="Cambria Math" w:hAnsi="Cambria Math"/>
                            <w:i/>
                            <w:sz w:val="21"/>
                            <w:szCs w:val="21"/>
                          </w:rPr>
                        </m:ctrlPr>
                      </m:naryPr>
                      <m:sub/>
                      <m:sup/>
                      <m:e>
                        <m:r>
                          <w:rPr>
                            <w:rFonts w:ascii="Cambria Math" w:hAnsi="Cambria Math"/>
                            <w:sz w:val="21"/>
                            <w:szCs w:val="21"/>
                          </w:rPr>
                          <m:t>M</m:t>
                        </m:r>
                      </m:e>
                    </m:nary>
                    <m:r>
                      <w:rPr>
                        <w:rFonts w:ascii="Cambria Math" w:hAnsi="Cambria Math"/>
                        <w:sz w:val="21"/>
                        <w:szCs w:val="21"/>
                      </w:rPr>
                      <m:t>+3.6</m:t>
                    </m:r>
                  </m:den>
                </m:f>
                <m:r>
                  <w:rPr>
                    <w:rFonts w:ascii="Cambria Math" w:hAnsi="Cambria Math"/>
                    <w:sz w:val="21"/>
                    <w:szCs w:val="21"/>
                  </w:rPr>
                  <m:t>±5.6</m:t>
                </m:r>
              </m:oMath>
            </m:oMathPara>
          </w:p>
        </w:tc>
        <w:tc>
          <w:tcPr>
            <w:tcW w:w="3686" w:type="dxa"/>
          </w:tcPr>
          <w:p w14:paraId="5157B976" w14:textId="77777777" w:rsidR="009C353B" w:rsidRDefault="00000000">
            <w:pPr>
              <w:ind w:firstLine="48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sz w:val="21"/>
                        <w:szCs w:val="21"/>
                      </w:rPr>
                      <m:t>li</m:t>
                    </m:r>
                  </m:sub>
                </m:sSub>
                <m:r>
                  <w:rPr>
                    <w:rFonts w:ascii="Cambria Math" w:hAnsi="Cambria Math"/>
                    <w:sz w:val="21"/>
                    <w:szCs w:val="21"/>
                  </w:rPr>
                  <m:t>=20</m:t>
                </m:r>
                <m:rad>
                  <m:radPr>
                    <m:degHide m:val="1"/>
                    <m:ctrlPr>
                      <w:rPr>
                        <w:rFonts w:ascii="Cambria Math" w:hAnsi="Cambria Math"/>
                        <w:i/>
                        <w:sz w:val="21"/>
                        <w:szCs w:val="21"/>
                      </w:rPr>
                    </m:ctrlPr>
                  </m:radPr>
                  <m:deg/>
                  <m:e>
                    <m:nary>
                      <m:naryPr>
                        <m:chr m:val="∑"/>
                        <m:limLoc m:val="undOvr"/>
                        <m:subHide m:val="1"/>
                        <m:supHide m:val="1"/>
                        <m:ctrlPr>
                          <w:rPr>
                            <w:rFonts w:ascii="Cambria Math" w:hAnsi="Cambria Math"/>
                            <w:i/>
                            <w:sz w:val="21"/>
                            <w:szCs w:val="21"/>
                          </w:rPr>
                        </m:ctrlPr>
                      </m:naryPr>
                      <m:sub/>
                      <m:sup/>
                      <m:e>
                        <m:r>
                          <w:rPr>
                            <w:rFonts w:ascii="Cambria Math" w:hAnsi="Cambria Math"/>
                            <w:sz w:val="21"/>
                            <w:szCs w:val="21"/>
                          </w:rPr>
                          <m:t>M</m:t>
                        </m:r>
                      </m:e>
                    </m:nary>
                  </m:e>
                </m:rad>
                <m:r>
                  <w:rPr>
                    <w:rFonts w:ascii="Cambria Math" w:hAnsi="Cambria Math"/>
                    <w:sz w:val="21"/>
                    <w:szCs w:val="21"/>
                  </w:rPr>
                  <m:t>+10</m:t>
                </m:r>
              </m:oMath>
            </m:oMathPara>
          </w:p>
        </w:tc>
      </w:tr>
      <w:tr w:rsidR="009C353B" w14:paraId="17FD3C4B" w14:textId="77777777">
        <w:trPr>
          <w:trHeight w:val="340"/>
        </w:trPr>
        <w:tc>
          <w:tcPr>
            <w:tcW w:w="1729" w:type="dxa"/>
          </w:tcPr>
          <w:p w14:paraId="2890BBA6" w14:textId="77777777" w:rsidR="009C353B" w:rsidRDefault="00000000">
            <w:pPr>
              <w:ind w:firstLine="480"/>
              <w:jc w:val="center"/>
              <w:rPr>
                <w:rFonts w:ascii="Times New Roman" w:hAnsi="Times New Roman"/>
                <w:sz w:val="21"/>
                <w:szCs w:val="21"/>
              </w:rPr>
            </w:pPr>
            <w:r>
              <w:rPr>
                <w:rFonts w:ascii="Times New Roman" w:hAnsi="Times New Roman"/>
                <w:sz w:val="21"/>
                <w:szCs w:val="21"/>
              </w:rPr>
              <w:t>软弱</w:t>
            </w:r>
          </w:p>
        </w:tc>
        <w:tc>
          <w:tcPr>
            <w:tcW w:w="3511" w:type="dxa"/>
          </w:tcPr>
          <w:p w14:paraId="537B92F7" w14:textId="77777777" w:rsidR="009C353B" w:rsidRDefault="00000000">
            <w:pPr>
              <w:ind w:firstLine="48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sz w:val="21"/>
                        <w:szCs w:val="21"/>
                      </w:rPr>
                      <m:t>li</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100</m:t>
                    </m:r>
                    <m:nary>
                      <m:naryPr>
                        <m:chr m:val="∑"/>
                        <m:limLoc m:val="undOvr"/>
                        <m:subHide m:val="1"/>
                        <m:supHide m:val="1"/>
                        <m:ctrlPr>
                          <w:rPr>
                            <w:rFonts w:ascii="Cambria Math" w:hAnsi="Cambria Math"/>
                            <w:i/>
                            <w:sz w:val="21"/>
                            <w:szCs w:val="21"/>
                          </w:rPr>
                        </m:ctrlPr>
                      </m:naryPr>
                      <m:sub/>
                      <m:sup/>
                      <m:e>
                        <m:r>
                          <w:rPr>
                            <w:rFonts w:ascii="Cambria Math" w:hAnsi="Cambria Math"/>
                            <w:sz w:val="21"/>
                            <w:szCs w:val="21"/>
                          </w:rPr>
                          <m:t>M</m:t>
                        </m:r>
                      </m:e>
                    </m:nary>
                  </m:num>
                  <m:den>
                    <m:r>
                      <w:rPr>
                        <w:rFonts w:ascii="Cambria Math" w:hAnsi="Cambria Math"/>
                        <w:sz w:val="21"/>
                        <w:szCs w:val="21"/>
                      </w:rPr>
                      <m:t>3.1</m:t>
                    </m:r>
                    <m:nary>
                      <m:naryPr>
                        <m:chr m:val="∑"/>
                        <m:limLoc m:val="undOvr"/>
                        <m:subHide m:val="1"/>
                        <m:supHide m:val="1"/>
                        <m:ctrlPr>
                          <w:rPr>
                            <w:rFonts w:ascii="Cambria Math" w:hAnsi="Cambria Math"/>
                            <w:i/>
                            <w:sz w:val="21"/>
                            <w:szCs w:val="21"/>
                          </w:rPr>
                        </m:ctrlPr>
                      </m:naryPr>
                      <m:sub/>
                      <m:sup/>
                      <m:e>
                        <m:r>
                          <w:rPr>
                            <w:rFonts w:ascii="Cambria Math" w:hAnsi="Cambria Math"/>
                            <w:sz w:val="21"/>
                            <w:szCs w:val="21"/>
                          </w:rPr>
                          <m:t>M</m:t>
                        </m:r>
                      </m:e>
                    </m:nary>
                    <m:r>
                      <w:rPr>
                        <w:rFonts w:ascii="Cambria Math" w:hAnsi="Cambria Math"/>
                        <w:sz w:val="21"/>
                        <w:szCs w:val="21"/>
                      </w:rPr>
                      <m:t>+5.0</m:t>
                    </m:r>
                  </m:den>
                </m:f>
                <m:r>
                  <w:rPr>
                    <w:rFonts w:ascii="Cambria Math" w:hAnsi="Cambria Math"/>
                    <w:sz w:val="21"/>
                    <w:szCs w:val="21"/>
                  </w:rPr>
                  <m:t>±4.0</m:t>
                </m:r>
              </m:oMath>
            </m:oMathPara>
          </w:p>
        </w:tc>
        <w:tc>
          <w:tcPr>
            <w:tcW w:w="3686" w:type="dxa"/>
          </w:tcPr>
          <w:p w14:paraId="46C1E865" w14:textId="77777777" w:rsidR="009C353B" w:rsidRDefault="00000000">
            <w:pPr>
              <w:ind w:firstLine="48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sz w:val="21"/>
                        <w:szCs w:val="21"/>
                      </w:rPr>
                      <m:t>li</m:t>
                    </m:r>
                  </m:sub>
                </m:sSub>
                <m:r>
                  <w:rPr>
                    <w:rFonts w:ascii="Cambria Math" w:hAnsi="Cambria Math"/>
                    <w:sz w:val="21"/>
                    <w:szCs w:val="21"/>
                  </w:rPr>
                  <m:t>=10</m:t>
                </m:r>
                <m:rad>
                  <m:radPr>
                    <m:degHide m:val="1"/>
                    <m:ctrlPr>
                      <w:rPr>
                        <w:rFonts w:ascii="Cambria Math" w:hAnsi="Cambria Math"/>
                        <w:i/>
                        <w:sz w:val="21"/>
                        <w:szCs w:val="21"/>
                      </w:rPr>
                    </m:ctrlPr>
                  </m:radPr>
                  <m:deg/>
                  <m:e>
                    <m:nary>
                      <m:naryPr>
                        <m:chr m:val="∑"/>
                        <m:limLoc m:val="undOvr"/>
                        <m:subHide m:val="1"/>
                        <m:supHide m:val="1"/>
                        <m:ctrlPr>
                          <w:rPr>
                            <w:rFonts w:ascii="Cambria Math" w:hAnsi="Cambria Math"/>
                            <w:i/>
                            <w:sz w:val="21"/>
                            <w:szCs w:val="21"/>
                          </w:rPr>
                        </m:ctrlPr>
                      </m:naryPr>
                      <m:sub/>
                      <m:sup/>
                      <m:e>
                        <m:r>
                          <w:rPr>
                            <w:rFonts w:ascii="Cambria Math" w:hAnsi="Cambria Math"/>
                            <w:sz w:val="21"/>
                            <w:szCs w:val="21"/>
                          </w:rPr>
                          <m:t>M</m:t>
                        </m:r>
                      </m:e>
                    </m:nary>
                  </m:e>
                </m:rad>
                <m:r>
                  <w:rPr>
                    <w:rFonts w:ascii="Cambria Math" w:hAnsi="Cambria Math"/>
                    <w:sz w:val="21"/>
                    <w:szCs w:val="21"/>
                  </w:rPr>
                  <m:t>+5</m:t>
                </m:r>
              </m:oMath>
            </m:oMathPara>
          </w:p>
        </w:tc>
      </w:tr>
      <w:tr w:rsidR="009C353B" w14:paraId="588F6F23" w14:textId="77777777">
        <w:trPr>
          <w:trHeight w:val="340"/>
        </w:trPr>
        <w:tc>
          <w:tcPr>
            <w:tcW w:w="1729" w:type="dxa"/>
          </w:tcPr>
          <w:p w14:paraId="68FEB54D" w14:textId="77777777" w:rsidR="009C353B" w:rsidRDefault="00000000">
            <w:pPr>
              <w:ind w:firstLine="480"/>
              <w:jc w:val="center"/>
              <w:rPr>
                <w:rFonts w:ascii="Times New Roman" w:hAnsi="Times New Roman"/>
                <w:sz w:val="21"/>
                <w:szCs w:val="21"/>
              </w:rPr>
            </w:pPr>
            <w:r>
              <w:rPr>
                <w:rFonts w:ascii="Times New Roman" w:hAnsi="Times New Roman"/>
                <w:sz w:val="21"/>
                <w:szCs w:val="21"/>
              </w:rPr>
              <w:t>极软弱</w:t>
            </w:r>
          </w:p>
        </w:tc>
        <w:tc>
          <w:tcPr>
            <w:tcW w:w="3511" w:type="dxa"/>
          </w:tcPr>
          <w:p w14:paraId="0E7E43AF" w14:textId="77777777" w:rsidR="009C353B" w:rsidRDefault="00000000">
            <w:pPr>
              <w:ind w:firstLine="48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sz w:val="21"/>
                        <w:szCs w:val="21"/>
                      </w:rPr>
                      <m:t>li</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100</m:t>
                    </m:r>
                    <m:nary>
                      <m:naryPr>
                        <m:chr m:val="∑"/>
                        <m:limLoc m:val="undOvr"/>
                        <m:subHide m:val="1"/>
                        <m:supHide m:val="1"/>
                        <m:ctrlPr>
                          <w:rPr>
                            <w:rFonts w:ascii="Cambria Math" w:hAnsi="Cambria Math"/>
                            <w:i/>
                            <w:sz w:val="21"/>
                            <w:szCs w:val="21"/>
                          </w:rPr>
                        </m:ctrlPr>
                      </m:naryPr>
                      <m:sub/>
                      <m:sup/>
                      <m:e>
                        <m:r>
                          <w:rPr>
                            <w:rFonts w:ascii="Cambria Math" w:hAnsi="Cambria Math"/>
                            <w:sz w:val="21"/>
                            <w:szCs w:val="21"/>
                          </w:rPr>
                          <m:t>M</m:t>
                        </m:r>
                      </m:e>
                    </m:nary>
                  </m:num>
                  <m:den>
                    <m:r>
                      <w:rPr>
                        <w:rFonts w:ascii="Cambria Math" w:hAnsi="Cambria Math"/>
                        <w:sz w:val="21"/>
                        <w:szCs w:val="21"/>
                      </w:rPr>
                      <m:t>5.0</m:t>
                    </m:r>
                    <m:nary>
                      <m:naryPr>
                        <m:chr m:val="∑"/>
                        <m:limLoc m:val="undOvr"/>
                        <m:subHide m:val="1"/>
                        <m:supHide m:val="1"/>
                        <m:ctrlPr>
                          <w:rPr>
                            <w:rFonts w:ascii="Cambria Math" w:hAnsi="Cambria Math"/>
                            <w:i/>
                            <w:sz w:val="21"/>
                            <w:szCs w:val="21"/>
                          </w:rPr>
                        </m:ctrlPr>
                      </m:naryPr>
                      <m:sub/>
                      <m:sup/>
                      <m:e>
                        <m:r>
                          <w:rPr>
                            <w:rFonts w:ascii="Cambria Math" w:hAnsi="Cambria Math"/>
                            <w:sz w:val="21"/>
                            <w:szCs w:val="21"/>
                          </w:rPr>
                          <m:t>M</m:t>
                        </m:r>
                      </m:e>
                    </m:nary>
                    <m:r>
                      <w:rPr>
                        <w:rFonts w:ascii="Cambria Math" w:hAnsi="Cambria Math"/>
                        <w:sz w:val="21"/>
                        <w:szCs w:val="21"/>
                      </w:rPr>
                      <m:t>+8.0</m:t>
                    </m:r>
                  </m:den>
                </m:f>
                <m:r>
                  <w:rPr>
                    <w:rFonts w:ascii="Cambria Math" w:hAnsi="Cambria Math"/>
                    <w:sz w:val="21"/>
                    <w:szCs w:val="21"/>
                  </w:rPr>
                  <m:t>±3.0</m:t>
                </m:r>
              </m:oMath>
            </m:oMathPara>
          </w:p>
        </w:tc>
        <w:tc>
          <w:tcPr>
            <w:tcW w:w="3686" w:type="dxa"/>
          </w:tcPr>
          <w:p w14:paraId="1CF75BF4" w14:textId="77777777" w:rsidR="009C353B" w:rsidRDefault="009C353B">
            <w:pPr>
              <w:ind w:firstLine="480"/>
              <w:jc w:val="center"/>
              <w:rPr>
                <w:rFonts w:ascii="Times New Roman" w:hAnsi="Times New Roman"/>
                <w:sz w:val="21"/>
                <w:szCs w:val="21"/>
              </w:rPr>
            </w:pPr>
          </w:p>
        </w:tc>
      </w:tr>
    </w:tbl>
    <w:p w14:paraId="11A78735" w14:textId="77777777" w:rsidR="009C353B" w:rsidRDefault="00000000">
      <w:pPr>
        <w:adjustRightInd w:val="0"/>
        <w:spacing w:line="440" w:lineRule="exact"/>
        <w:jc w:val="left"/>
        <w:textAlignment w:val="baseline"/>
        <w:rPr>
          <w:rFonts w:ascii="Times New Roman" w:hAnsi="Times New Roman"/>
          <w:b/>
          <w:kern w:val="0"/>
          <w:szCs w:val="21"/>
        </w:rPr>
      </w:pPr>
      <w:bookmarkStart w:id="255" w:name="_Hlk44488064"/>
      <w:r>
        <w:rPr>
          <w:rFonts w:ascii="Times New Roman" w:hAnsi="Times New Roman"/>
          <w:b/>
          <w:kern w:val="0"/>
          <w:szCs w:val="21"/>
        </w:rPr>
        <w:t>注：</w:t>
      </w:r>
      <w:r>
        <w:rPr>
          <w:rFonts w:ascii="Times New Roman" w:hAnsi="Times New Roman"/>
          <w:b/>
          <w:i/>
          <w:iCs/>
          <w:kern w:val="0"/>
          <w:szCs w:val="21"/>
        </w:rPr>
        <w:t>H</w:t>
      </w:r>
      <w:r>
        <w:rPr>
          <w:rFonts w:ascii="Times New Roman" w:hAnsi="Times New Roman"/>
          <w:b/>
          <w:i/>
          <w:iCs/>
          <w:kern w:val="0"/>
          <w:szCs w:val="21"/>
          <w:vertAlign w:val="subscript"/>
        </w:rPr>
        <w:t>li</w:t>
      </w:r>
      <w:r>
        <w:rPr>
          <w:rFonts w:ascii="Times New Roman" w:hAnsi="Times New Roman"/>
          <w:b/>
          <w:kern w:val="0"/>
          <w:szCs w:val="21"/>
        </w:rPr>
        <w:t>为导水裂缝带高度</w:t>
      </w:r>
      <m:oMath>
        <m:r>
          <m:rPr>
            <m:sty m:val="bi"/>
          </m:rPr>
          <w:rPr>
            <w:rFonts w:ascii="Cambria Math" w:hAnsi="Cambria Math" w:hint="eastAsia"/>
            <w:kern w:val="0"/>
            <w:szCs w:val="21"/>
          </w:rPr>
          <m:t>，</m:t>
        </m:r>
        <m:nary>
          <m:naryPr>
            <m:chr m:val="∑"/>
            <m:limLoc m:val="undOvr"/>
            <m:subHide m:val="1"/>
            <m:supHide m:val="1"/>
            <m:ctrlPr>
              <w:rPr>
                <w:rFonts w:ascii="Cambria Math" w:hAnsi="Cambria Math"/>
                <w:b/>
                <w:i/>
                <w:kern w:val="0"/>
                <w:szCs w:val="21"/>
              </w:rPr>
            </m:ctrlPr>
          </m:naryPr>
          <m:sub/>
          <m:sup/>
          <m:e>
            <m:r>
              <m:rPr>
                <m:sty m:val="bi"/>
              </m:rPr>
              <w:rPr>
                <w:rFonts w:ascii="Cambria Math" w:hAnsi="Cambria Math"/>
                <w:kern w:val="0"/>
                <w:szCs w:val="21"/>
              </w:rPr>
              <m:t>M</m:t>
            </m:r>
          </m:e>
        </m:nary>
      </m:oMath>
      <w:r>
        <w:rPr>
          <w:rFonts w:ascii="Times New Roman" w:hAnsi="Times New Roman"/>
          <w:b/>
          <w:kern w:val="0"/>
          <w:szCs w:val="21"/>
        </w:rPr>
        <w:t>为累计采厚</w:t>
      </w:r>
    </w:p>
    <w:p w14:paraId="62FAA889" w14:textId="77777777" w:rsidR="009C353B" w:rsidRDefault="00000000">
      <w:pPr>
        <w:adjustRightInd w:val="0"/>
        <w:spacing w:line="440" w:lineRule="exact"/>
        <w:jc w:val="center"/>
        <w:textAlignment w:val="baseline"/>
        <w:rPr>
          <w:rFonts w:ascii="Times New Roman" w:hAnsi="Times New Roman"/>
          <w:b/>
          <w:kern w:val="0"/>
          <w:szCs w:val="24"/>
        </w:rPr>
      </w:pPr>
      <w:r>
        <w:rPr>
          <w:rFonts w:ascii="Times New Roman" w:hAnsi="Times New Roman" w:hint="eastAsia"/>
          <w:b/>
          <w:kern w:val="0"/>
          <w:szCs w:val="24"/>
        </w:rPr>
        <w:t>“</w:t>
      </w:r>
      <w:r>
        <w:rPr>
          <w:rFonts w:ascii="Times New Roman" w:hAnsi="Times New Roman"/>
          <w:b/>
          <w:kern w:val="0"/>
          <w:szCs w:val="24"/>
        </w:rPr>
        <w:t>矿区勘探规范</w:t>
      </w:r>
      <w:r>
        <w:rPr>
          <w:rFonts w:ascii="Times New Roman" w:hAnsi="Times New Roman" w:hint="eastAsia"/>
          <w:b/>
          <w:kern w:val="0"/>
          <w:szCs w:val="24"/>
        </w:rPr>
        <w:t>”</w:t>
      </w:r>
      <w:r>
        <w:rPr>
          <w:rFonts w:ascii="Times New Roman" w:hAnsi="Times New Roman"/>
          <w:b/>
          <w:kern w:val="0"/>
          <w:szCs w:val="24"/>
        </w:rPr>
        <w:t>导水裂缝带发育高度计算公式</w:t>
      </w:r>
    </w:p>
    <w:p w14:paraId="45207705" w14:textId="77777777" w:rsidR="009C353B" w:rsidRDefault="00000000">
      <w:pPr>
        <w:adjustRightInd w:val="0"/>
        <w:snapToGrid w:val="0"/>
        <w:spacing w:line="440" w:lineRule="exact"/>
        <w:jc w:val="left"/>
        <w:outlineLvl w:val="4"/>
        <w:rPr>
          <w:rFonts w:ascii="Times New Roman" w:hAnsi="Times New Roman"/>
          <w:bCs/>
          <w:szCs w:val="24"/>
        </w:rPr>
      </w:pPr>
      <w:r>
        <w:rPr>
          <w:rFonts w:ascii="Times New Roman" w:hAnsi="Times New Roman"/>
          <w:bCs/>
          <w:szCs w:val="24"/>
        </w:rPr>
        <w:t>表</w:t>
      </w:r>
      <w:r>
        <w:rPr>
          <w:rFonts w:ascii="Times New Roman" w:hAnsi="Times New Roman" w:hint="eastAsia"/>
          <w:bCs/>
          <w:szCs w:val="24"/>
        </w:rPr>
        <w:t>6.3-</w:t>
      </w:r>
      <w:r>
        <w:rPr>
          <w:rFonts w:ascii="Times New Roman" w:hAnsi="Times New Roman"/>
          <w:bCs/>
          <w:szCs w:val="24"/>
        </w:rPr>
        <w:t>2</w:t>
      </w:r>
    </w:p>
    <w:tbl>
      <w:tblPr>
        <w:tblW w:w="9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959"/>
        <w:gridCol w:w="2726"/>
        <w:gridCol w:w="1101"/>
        <w:gridCol w:w="1279"/>
        <w:gridCol w:w="2182"/>
      </w:tblGrid>
      <w:tr w:rsidR="009C353B" w14:paraId="0370C1DB" w14:textId="77777777">
        <w:trPr>
          <w:trHeight w:val="340"/>
          <w:tblHeader/>
          <w:jc w:val="center"/>
        </w:trPr>
        <w:tc>
          <w:tcPr>
            <w:tcW w:w="879" w:type="dxa"/>
            <w:tcMar>
              <w:top w:w="0" w:type="dxa"/>
              <w:left w:w="28" w:type="dxa"/>
              <w:bottom w:w="0" w:type="dxa"/>
              <w:right w:w="28" w:type="dxa"/>
            </w:tcMar>
            <w:vAlign w:val="center"/>
          </w:tcPr>
          <w:p w14:paraId="0982E03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煤层倾角（</w:t>
            </w:r>
            <w:r>
              <w:rPr>
                <w:rFonts w:ascii="Times New Roman" w:hAnsi="Times New Roman"/>
                <w:sz w:val="21"/>
                <w:szCs w:val="21"/>
              </w:rPr>
              <w:t>°</w:t>
            </w:r>
            <w:r>
              <w:rPr>
                <w:rFonts w:ascii="Times New Roman" w:hAnsi="Times New Roman"/>
                <w:sz w:val="21"/>
                <w:szCs w:val="21"/>
              </w:rPr>
              <w:t>）</w:t>
            </w:r>
          </w:p>
        </w:tc>
        <w:tc>
          <w:tcPr>
            <w:tcW w:w="959" w:type="dxa"/>
            <w:tcMar>
              <w:top w:w="0" w:type="dxa"/>
              <w:left w:w="28" w:type="dxa"/>
              <w:bottom w:w="0" w:type="dxa"/>
              <w:right w:w="28" w:type="dxa"/>
            </w:tcMar>
            <w:vAlign w:val="center"/>
          </w:tcPr>
          <w:p w14:paraId="7CDFAEC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岩石抗</w:t>
            </w:r>
          </w:p>
          <w:p w14:paraId="2C413FF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压强度（</w:t>
            </w:r>
            <w:r>
              <w:rPr>
                <w:rFonts w:ascii="Times New Roman" w:hAnsi="Times New Roman"/>
                <w:sz w:val="21"/>
                <w:szCs w:val="21"/>
              </w:rPr>
              <w:t>MPa</w:t>
            </w:r>
            <w:r>
              <w:rPr>
                <w:rFonts w:ascii="Times New Roman" w:hAnsi="Times New Roman"/>
                <w:sz w:val="21"/>
                <w:szCs w:val="21"/>
              </w:rPr>
              <w:t>）</w:t>
            </w:r>
          </w:p>
        </w:tc>
        <w:tc>
          <w:tcPr>
            <w:tcW w:w="2726" w:type="dxa"/>
            <w:tcMar>
              <w:top w:w="0" w:type="dxa"/>
              <w:left w:w="28" w:type="dxa"/>
              <w:bottom w:w="0" w:type="dxa"/>
              <w:right w:w="28" w:type="dxa"/>
            </w:tcMar>
            <w:vAlign w:val="center"/>
          </w:tcPr>
          <w:p w14:paraId="5E3EE22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岩石名称</w:t>
            </w:r>
          </w:p>
        </w:tc>
        <w:tc>
          <w:tcPr>
            <w:tcW w:w="1101" w:type="dxa"/>
            <w:tcMar>
              <w:top w:w="0" w:type="dxa"/>
              <w:left w:w="28" w:type="dxa"/>
              <w:bottom w:w="0" w:type="dxa"/>
              <w:right w:w="28" w:type="dxa"/>
            </w:tcMar>
            <w:vAlign w:val="center"/>
          </w:tcPr>
          <w:p w14:paraId="2D77F28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顶板管</w:t>
            </w:r>
          </w:p>
          <w:p w14:paraId="6DA0DE0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理方法</w:t>
            </w:r>
          </w:p>
        </w:tc>
        <w:tc>
          <w:tcPr>
            <w:tcW w:w="1279" w:type="dxa"/>
            <w:tcMar>
              <w:top w:w="0" w:type="dxa"/>
              <w:left w:w="28" w:type="dxa"/>
              <w:bottom w:w="0" w:type="dxa"/>
              <w:right w:w="28" w:type="dxa"/>
            </w:tcMar>
            <w:vAlign w:val="center"/>
          </w:tcPr>
          <w:p w14:paraId="4F7234A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冒落带最大高度</w:t>
            </w:r>
            <w:r>
              <w:rPr>
                <w:rFonts w:ascii="Times New Roman" w:hAnsi="Times New Roman" w:hint="eastAsia"/>
                <w:sz w:val="21"/>
                <w:szCs w:val="21"/>
              </w:rPr>
              <w:t>（</w:t>
            </w:r>
            <w:r>
              <w:rPr>
                <w:rFonts w:ascii="Times New Roman" w:hAnsi="Times New Roman"/>
                <w:sz w:val="21"/>
                <w:szCs w:val="21"/>
              </w:rPr>
              <w:t>m</w:t>
            </w:r>
            <w:r>
              <w:rPr>
                <w:rFonts w:ascii="Times New Roman" w:hAnsi="Times New Roman" w:hint="eastAsia"/>
                <w:sz w:val="21"/>
                <w:szCs w:val="21"/>
              </w:rPr>
              <w:t>）</w:t>
            </w:r>
          </w:p>
        </w:tc>
        <w:tc>
          <w:tcPr>
            <w:tcW w:w="2182" w:type="dxa"/>
            <w:tcMar>
              <w:top w:w="0" w:type="dxa"/>
              <w:left w:w="28" w:type="dxa"/>
              <w:bottom w:w="0" w:type="dxa"/>
              <w:right w:w="28" w:type="dxa"/>
            </w:tcMar>
            <w:vAlign w:val="center"/>
          </w:tcPr>
          <w:p w14:paraId="6B5A54B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导水裂隙带（包括冒落带最大高度）</w:t>
            </w:r>
            <w:r>
              <w:rPr>
                <w:rFonts w:ascii="Times New Roman" w:hAnsi="Times New Roman" w:hint="eastAsia"/>
                <w:sz w:val="21"/>
                <w:szCs w:val="21"/>
              </w:rPr>
              <w:t>（</w:t>
            </w:r>
            <w:r>
              <w:rPr>
                <w:rFonts w:ascii="Times New Roman" w:hAnsi="Times New Roman"/>
                <w:sz w:val="21"/>
                <w:szCs w:val="21"/>
              </w:rPr>
              <w:t>m</w:t>
            </w:r>
            <w:r>
              <w:rPr>
                <w:rFonts w:ascii="Times New Roman" w:hAnsi="Times New Roman" w:hint="eastAsia"/>
                <w:sz w:val="21"/>
                <w:szCs w:val="21"/>
              </w:rPr>
              <w:t>）</w:t>
            </w:r>
          </w:p>
        </w:tc>
      </w:tr>
      <w:tr w:rsidR="009C353B" w14:paraId="5C4F1CAF" w14:textId="77777777">
        <w:trPr>
          <w:trHeight w:val="340"/>
          <w:jc w:val="center"/>
        </w:trPr>
        <w:tc>
          <w:tcPr>
            <w:tcW w:w="879" w:type="dxa"/>
            <w:vMerge w:val="restart"/>
            <w:tcMar>
              <w:top w:w="0" w:type="dxa"/>
              <w:left w:w="28" w:type="dxa"/>
              <w:bottom w:w="0" w:type="dxa"/>
              <w:right w:w="28" w:type="dxa"/>
            </w:tcMar>
            <w:vAlign w:val="center"/>
          </w:tcPr>
          <w:p w14:paraId="17C9AC3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w:t>
            </w:r>
            <w:r>
              <w:rPr>
                <w:rFonts w:ascii="Times New Roman" w:hAnsi="Times New Roman"/>
                <w:sz w:val="21"/>
                <w:szCs w:val="21"/>
              </w:rPr>
              <w:t>～</w:t>
            </w:r>
            <w:r>
              <w:rPr>
                <w:rFonts w:ascii="Times New Roman" w:hAnsi="Times New Roman"/>
                <w:sz w:val="21"/>
                <w:szCs w:val="21"/>
              </w:rPr>
              <w:t>54</w:t>
            </w:r>
          </w:p>
        </w:tc>
        <w:tc>
          <w:tcPr>
            <w:tcW w:w="959" w:type="dxa"/>
            <w:tcMar>
              <w:top w:w="0" w:type="dxa"/>
              <w:left w:w="28" w:type="dxa"/>
              <w:bottom w:w="0" w:type="dxa"/>
              <w:right w:w="28" w:type="dxa"/>
            </w:tcMar>
            <w:vAlign w:val="center"/>
          </w:tcPr>
          <w:p w14:paraId="2EE0F35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40</w:t>
            </w:r>
            <w:r>
              <w:rPr>
                <w:rFonts w:ascii="Times New Roman" w:hAnsi="Times New Roman"/>
                <w:sz w:val="21"/>
                <w:szCs w:val="21"/>
              </w:rPr>
              <w:t>～</w:t>
            </w:r>
            <w:r>
              <w:rPr>
                <w:rFonts w:ascii="Times New Roman" w:hAnsi="Times New Roman"/>
                <w:sz w:val="21"/>
                <w:szCs w:val="21"/>
              </w:rPr>
              <w:t>60</w:t>
            </w:r>
          </w:p>
        </w:tc>
        <w:tc>
          <w:tcPr>
            <w:tcW w:w="2726" w:type="dxa"/>
            <w:tcMar>
              <w:top w:w="0" w:type="dxa"/>
              <w:left w:w="28" w:type="dxa"/>
              <w:bottom w:w="0" w:type="dxa"/>
              <w:right w:w="28" w:type="dxa"/>
            </w:tcMar>
            <w:vAlign w:val="center"/>
          </w:tcPr>
          <w:p w14:paraId="06E4AC13" w14:textId="77777777" w:rsidR="009C353B" w:rsidRDefault="00000000">
            <w:pPr>
              <w:adjustRightInd w:val="0"/>
              <w:snapToGrid w:val="0"/>
              <w:jc w:val="left"/>
              <w:rPr>
                <w:rFonts w:ascii="Times New Roman" w:hAnsi="Times New Roman"/>
                <w:sz w:val="21"/>
                <w:szCs w:val="21"/>
              </w:rPr>
            </w:pPr>
            <w:r>
              <w:rPr>
                <w:rFonts w:ascii="Times New Roman" w:hAnsi="Times New Roman"/>
                <w:sz w:val="21"/>
                <w:szCs w:val="21"/>
              </w:rPr>
              <w:t>辉绿岩、石灰岩、硅质石英岩、砾岩、砂砾岩、砂质页岩等</w:t>
            </w:r>
          </w:p>
        </w:tc>
        <w:tc>
          <w:tcPr>
            <w:tcW w:w="1101" w:type="dxa"/>
            <w:tcMar>
              <w:top w:w="0" w:type="dxa"/>
              <w:left w:w="28" w:type="dxa"/>
              <w:bottom w:w="0" w:type="dxa"/>
              <w:right w:w="28" w:type="dxa"/>
            </w:tcMar>
            <w:vAlign w:val="center"/>
          </w:tcPr>
          <w:p w14:paraId="0DAA095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全部</w:t>
            </w:r>
          </w:p>
          <w:p w14:paraId="4F35A13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陷落</w:t>
            </w:r>
          </w:p>
        </w:tc>
        <w:tc>
          <w:tcPr>
            <w:tcW w:w="1279" w:type="dxa"/>
            <w:tcMar>
              <w:top w:w="0" w:type="dxa"/>
              <w:left w:w="28" w:type="dxa"/>
              <w:bottom w:w="0" w:type="dxa"/>
              <w:right w:w="28" w:type="dxa"/>
            </w:tcMar>
            <w:vAlign w:val="center"/>
          </w:tcPr>
          <w:p w14:paraId="57771E9D" w14:textId="77777777" w:rsidR="009C353B" w:rsidRDefault="00000000">
            <w:pPr>
              <w:adjustRightInd w:val="0"/>
              <w:snapToGrid w:val="0"/>
              <w:jc w:val="center"/>
              <w:rPr>
                <w:rFonts w:ascii="Times New Roman" w:hAnsi="Times New Roman"/>
                <w:spacing w:val="-20"/>
                <w:kern w:val="0"/>
                <w:sz w:val="21"/>
                <w:szCs w:val="21"/>
              </w:rPr>
            </w:pPr>
            <w:r>
              <w:rPr>
                <w:rFonts w:ascii="Times New Roman" w:hAnsi="Times New Roman"/>
                <w:i/>
                <w:iCs/>
                <w:spacing w:val="-20"/>
                <w:kern w:val="0"/>
                <w:sz w:val="21"/>
                <w:szCs w:val="21"/>
              </w:rPr>
              <w:t>H</w:t>
            </w:r>
            <w:r>
              <w:rPr>
                <w:rFonts w:ascii="Times New Roman" w:hAnsi="Times New Roman"/>
                <w:i/>
                <w:iCs/>
                <w:spacing w:val="-20"/>
                <w:kern w:val="0"/>
                <w:sz w:val="21"/>
                <w:szCs w:val="21"/>
                <w:vertAlign w:val="subscript"/>
              </w:rPr>
              <w:t>c</w:t>
            </w:r>
            <w:r>
              <w:rPr>
                <w:rFonts w:ascii="Times New Roman" w:hAnsi="Times New Roman"/>
                <w:spacing w:val="-20"/>
                <w:kern w:val="0"/>
                <w:sz w:val="21"/>
                <w:szCs w:val="21"/>
              </w:rPr>
              <w:t>=</w:t>
            </w:r>
            <w:r>
              <w:rPr>
                <w:rFonts w:ascii="Times New Roman" w:hAnsi="Times New Roman"/>
                <w:spacing w:val="-20"/>
                <w:kern w:val="0"/>
                <w:sz w:val="21"/>
                <w:szCs w:val="21"/>
              </w:rPr>
              <w:t>（</w:t>
            </w:r>
            <w:r>
              <w:rPr>
                <w:rFonts w:ascii="Times New Roman" w:hAnsi="Times New Roman"/>
                <w:spacing w:val="-20"/>
                <w:kern w:val="0"/>
                <w:sz w:val="21"/>
                <w:szCs w:val="21"/>
              </w:rPr>
              <w:t>4</w:t>
            </w:r>
            <w:r>
              <w:rPr>
                <w:rFonts w:ascii="Times New Roman" w:hAnsi="Times New Roman"/>
                <w:spacing w:val="-20"/>
                <w:kern w:val="0"/>
                <w:sz w:val="21"/>
                <w:szCs w:val="21"/>
              </w:rPr>
              <w:t>～</w:t>
            </w:r>
            <w:r>
              <w:rPr>
                <w:rFonts w:ascii="Times New Roman" w:hAnsi="Times New Roman"/>
                <w:spacing w:val="-20"/>
                <w:kern w:val="0"/>
                <w:sz w:val="21"/>
                <w:szCs w:val="21"/>
              </w:rPr>
              <w:t>5</w:t>
            </w:r>
            <w:r>
              <w:rPr>
                <w:rFonts w:ascii="Times New Roman" w:hAnsi="Times New Roman"/>
                <w:spacing w:val="-20"/>
                <w:kern w:val="0"/>
                <w:sz w:val="21"/>
                <w:szCs w:val="21"/>
              </w:rPr>
              <w:t>）</w:t>
            </w:r>
            <w:r>
              <w:rPr>
                <w:rFonts w:ascii="Times New Roman" w:hAnsi="Times New Roman"/>
                <w:b/>
                <w:bCs/>
                <w:spacing w:val="-20"/>
                <w:kern w:val="0"/>
                <w:sz w:val="21"/>
                <w:szCs w:val="21"/>
              </w:rPr>
              <w:t>M</w:t>
            </w:r>
          </w:p>
        </w:tc>
        <w:tc>
          <w:tcPr>
            <w:tcW w:w="2182" w:type="dxa"/>
            <w:tcMar>
              <w:top w:w="0" w:type="dxa"/>
              <w:left w:w="28" w:type="dxa"/>
              <w:bottom w:w="0" w:type="dxa"/>
              <w:right w:w="28" w:type="dxa"/>
            </w:tcMar>
            <w:vAlign w:val="center"/>
          </w:tcPr>
          <w:p w14:paraId="0FDE4022" w14:textId="77777777" w:rsidR="009C353B" w:rsidRDefault="00000000">
            <w:pPr>
              <w:adjustRightInd w:val="0"/>
              <w:snapToGrid w:val="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hint="eastAsia"/>
                        <w:sz w:val="21"/>
                        <w:szCs w:val="21"/>
                      </w:rPr>
                      <m:t>f</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100M</m:t>
                    </m:r>
                  </m:num>
                  <m:den>
                    <m:r>
                      <w:rPr>
                        <w:rFonts w:ascii="Cambria Math" w:hAnsi="Cambria Math"/>
                        <w:sz w:val="21"/>
                        <w:szCs w:val="21"/>
                      </w:rPr>
                      <m:t>2.4n+2.1</m:t>
                    </m:r>
                  </m:den>
                </m:f>
                <m:r>
                  <w:rPr>
                    <w:rFonts w:ascii="Cambria Math" w:hAnsi="Cambria Math"/>
                    <w:sz w:val="21"/>
                    <w:szCs w:val="21"/>
                  </w:rPr>
                  <m:t>+11.2</m:t>
                </m:r>
              </m:oMath>
            </m:oMathPara>
          </w:p>
        </w:tc>
      </w:tr>
      <w:tr w:rsidR="009C353B" w14:paraId="60160D43" w14:textId="77777777">
        <w:trPr>
          <w:trHeight w:val="340"/>
          <w:jc w:val="center"/>
        </w:trPr>
        <w:tc>
          <w:tcPr>
            <w:tcW w:w="879" w:type="dxa"/>
            <w:vMerge/>
            <w:tcMar>
              <w:top w:w="0" w:type="dxa"/>
              <w:left w:w="28" w:type="dxa"/>
              <w:bottom w:w="0" w:type="dxa"/>
              <w:right w:w="28" w:type="dxa"/>
            </w:tcMar>
            <w:vAlign w:val="center"/>
          </w:tcPr>
          <w:p w14:paraId="620C5896" w14:textId="77777777" w:rsidR="009C353B" w:rsidRDefault="009C353B">
            <w:pPr>
              <w:adjustRightInd w:val="0"/>
              <w:snapToGrid w:val="0"/>
              <w:jc w:val="center"/>
              <w:rPr>
                <w:rFonts w:ascii="Times New Roman" w:hAnsi="Times New Roman"/>
                <w:sz w:val="21"/>
                <w:szCs w:val="21"/>
              </w:rPr>
            </w:pPr>
          </w:p>
        </w:tc>
        <w:tc>
          <w:tcPr>
            <w:tcW w:w="959" w:type="dxa"/>
            <w:tcMar>
              <w:top w:w="0" w:type="dxa"/>
              <w:left w:w="28" w:type="dxa"/>
              <w:bottom w:w="0" w:type="dxa"/>
              <w:right w:w="28" w:type="dxa"/>
            </w:tcMar>
            <w:vAlign w:val="center"/>
          </w:tcPr>
          <w:p w14:paraId="0EAF6BB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w:t>
            </w:r>
            <w:r>
              <w:rPr>
                <w:rFonts w:ascii="Times New Roman" w:hAnsi="Times New Roman"/>
                <w:sz w:val="21"/>
                <w:szCs w:val="21"/>
              </w:rPr>
              <w:t>～</w:t>
            </w:r>
            <w:r>
              <w:rPr>
                <w:rFonts w:ascii="Times New Roman" w:hAnsi="Times New Roman"/>
                <w:sz w:val="21"/>
                <w:szCs w:val="21"/>
              </w:rPr>
              <w:t>40</w:t>
            </w:r>
          </w:p>
        </w:tc>
        <w:tc>
          <w:tcPr>
            <w:tcW w:w="2726" w:type="dxa"/>
            <w:tcMar>
              <w:top w:w="0" w:type="dxa"/>
              <w:left w:w="28" w:type="dxa"/>
              <w:bottom w:w="0" w:type="dxa"/>
              <w:right w:w="28" w:type="dxa"/>
            </w:tcMar>
            <w:vAlign w:val="center"/>
          </w:tcPr>
          <w:p w14:paraId="7AC4945C" w14:textId="77777777" w:rsidR="009C353B" w:rsidRDefault="00000000">
            <w:pPr>
              <w:adjustRightInd w:val="0"/>
              <w:snapToGrid w:val="0"/>
              <w:jc w:val="left"/>
              <w:rPr>
                <w:rFonts w:ascii="Times New Roman" w:hAnsi="Times New Roman"/>
                <w:sz w:val="21"/>
                <w:szCs w:val="21"/>
              </w:rPr>
            </w:pPr>
            <w:r>
              <w:rPr>
                <w:rFonts w:ascii="Times New Roman" w:hAnsi="Times New Roman"/>
                <w:sz w:val="21"/>
                <w:szCs w:val="21"/>
              </w:rPr>
              <w:t>砂质页岩、泥质砂岩、页岩等</w:t>
            </w:r>
          </w:p>
        </w:tc>
        <w:tc>
          <w:tcPr>
            <w:tcW w:w="1101" w:type="dxa"/>
            <w:tcMar>
              <w:top w:w="0" w:type="dxa"/>
              <w:left w:w="28" w:type="dxa"/>
              <w:bottom w:w="0" w:type="dxa"/>
              <w:right w:w="28" w:type="dxa"/>
            </w:tcMar>
            <w:vAlign w:val="center"/>
          </w:tcPr>
          <w:p w14:paraId="627C8CC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全部</w:t>
            </w:r>
          </w:p>
          <w:p w14:paraId="5F32663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陷落</w:t>
            </w:r>
          </w:p>
        </w:tc>
        <w:tc>
          <w:tcPr>
            <w:tcW w:w="1279" w:type="dxa"/>
            <w:tcMar>
              <w:top w:w="0" w:type="dxa"/>
              <w:left w:w="28" w:type="dxa"/>
              <w:bottom w:w="0" w:type="dxa"/>
              <w:right w:w="28" w:type="dxa"/>
            </w:tcMar>
            <w:vAlign w:val="center"/>
          </w:tcPr>
          <w:p w14:paraId="2B8852B4" w14:textId="77777777" w:rsidR="009C353B" w:rsidRDefault="00000000">
            <w:pPr>
              <w:adjustRightInd w:val="0"/>
              <w:snapToGrid w:val="0"/>
              <w:jc w:val="center"/>
              <w:rPr>
                <w:rFonts w:ascii="Times New Roman" w:hAnsi="Times New Roman"/>
                <w:spacing w:val="-20"/>
                <w:kern w:val="0"/>
                <w:sz w:val="21"/>
                <w:szCs w:val="21"/>
              </w:rPr>
            </w:pPr>
            <w:r>
              <w:rPr>
                <w:rFonts w:ascii="Times New Roman" w:hAnsi="Times New Roman"/>
                <w:i/>
                <w:iCs/>
                <w:spacing w:val="-20"/>
                <w:kern w:val="0"/>
                <w:sz w:val="21"/>
                <w:szCs w:val="21"/>
              </w:rPr>
              <w:t>H</w:t>
            </w:r>
            <w:r>
              <w:rPr>
                <w:rFonts w:ascii="Times New Roman" w:hAnsi="Times New Roman"/>
                <w:i/>
                <w:iCs/>
                <w:spacing w:val="-20"/>
                <w:kern w:val="0"/>
                <w:sz w:val="21"/>
                <w:szCs w:val="21"/>
                <w:vertAlign w:val="subscript"/>
              </w:rPr>
              <w:t>c</w:t>
            </w:r>
            <w:r>
              <w:rPr>
                <w:rFonts w:ascii="Times New Roman" w:hAnsi="Times New Roman"/>
                <w:spacing w:val="-20"/>
                <w:kern w:val="0"/>
                <w:sz w:val="21"/>
                <w:szCs w:val="21"/>
              </w:rPr>
              <w:t>=</w:t>
            </w:r>
            <w:r>
              <w:rPr>
                <w:rFonts w:ascii="Times New Roman" w:hAnsi="Times New Roman"/>
                <w:spacing w:val="-20"/>
                <w:kern w:val="0"/>
                <w:sz w:val="21"/>
                <w:szCs w:val="21"/>
              </w:rPr>
              <w:t>（</w:t>
            </w:r>
            <w:r>
              <w:rPr>
                <w:rFonts w:ascii="Times New Roman" w:hAnsi="Times New Roman"/>
                <w:spacing w:val="-20"/>
                <w:kern w:val="0"/>
                <w:sz w:val="21"/>
                <w:szCs w:val="21"/>
              </w:rPr>
              <w:t>3</w:t>
            </w:r>
            <w:r>
              <w:rPr>
                <w:rFonts w:ascii="Times New Roman" w:hAnsi="Times New Roman"/>
                <w:spacing w:val="-20"/>
                <w:kern w:val="0"/>
                <w:sz w:val="21"/>
                <w:szCs w:val="21"/>
              </w:rPr>
              <w:t>～</w:t>
            </w:r>
            <w:r>
              <w:rPr>
                <w:rFonts w:ascii="Times New Roman" w:hAnsi="Times New Roman"/>
                <w:spacing w:val="-20"/>
                <w:kern w:val="0"/>
                <w:sz w:val="21"/>
                <w:szCs w:val="21"/>
              </w:rPr>
              <w:t>4</w:t>
            </w:r>
            <w:r>
              <w:rPr>
                <w:rFonts w:ascii="Times New Roman" w:hAnsi="Times New Roman"/>
                <w:spacing w:val="-20"/>
                <w:kern w:val="0"/>
                <w:sz w:val="21"/>
                <w:szCs w:val="21"/>
              </w:rPr>
              <w:t>）</w:t>
            </w:r>
            <w:r>
              <w:rPr>
                <w:rFonts w:ascii="Times New Roman" w:hAnsi="Times New Roman"/>
                <w:i/>
                <w:iCs/>
                <w:spacing w:val="-20"/>
                <w:kern w:val="0"/>
                <w:sz w:val="21"/>
                <w:szCs w:val="21"/>
              </w:rPr>
              <w:t>M</w:t>
            </w:r>
          </w:p>
        </w:tc>
        <w:tc>
          <w:tcPr>
            <w:tcW w:w="2182" w:type="dxa"/>
            <w:tcMar>
              <w:top w:w="0" w:type="dxa"/>
              <w:left w:w="28" w:type="dxa"/>
              <w:bottom w:w="0" w:type="dxa"/>
              <w:right w:w="28" w:type="dxa"/>
            </w:tcMar>
            <w:vAlign w:val="center"/>
          </w:tcPr>
          <w:p w14:paraId="27D98D7F" w14:textId="77777777" w:rsidR="009C353B" w:rsidRDefault="00000000">
            <w:pPr>
              <w:adjustRightInd w:val="0"/>
              <w:snapToGrid w:val="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hint="eastAsia"/>
                        <w:sz w:val="21"/>
                        <w:szCs w:val="21"/>
                      </w:rPr>
                      <m:t>f</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100M</m:t>
                    </m:r>
                  </m:num>
                  <m:den>
                    <m:r>
                      <w:rPr>
                        <w:rFonts w:ascii="Cambria Math" w:hAnsi="Cambria Math"/>
                        <w:sz w:val="21"/>
                        <w:szCs w:val="21"/>
                      </w:rPr>
                      <m:t>3.3n+3.8</m:t>
                    </m:r>
                  </m:den>
                </m:f>
                <m:r>
                  <w:rPr>
                    <w:rFonts w:ascii="Cambria Math" w:hAnsi="Cambria Math"/>
                    <w:sz w:val="21"/>
                    <w:szCs w:val="21"/>
                  </w:rPr>
                  <m:t>+5.1</m:t>
                </m:r>
              </m:oMath>
            </m:oMathPara>
          </w:p>
        </w:tc>
      </w:tr>
      <w:tr w:rsidR="009C353B" w14:paraId="3F3666A6" w14:textId="77777777">
        <w:trPr>
          <w:trHeight w:val="340"/>
          <w:jc w:val="center"/>
        </w:trPr>
        <w:tc>
          <w:tcPr>
            <w:tcW w:w="879" w:type="dxa"/>
            <w:vMerge/>
            <w:tcMar>
              <w:top w:w="0" w:type="dxa"/>
              <w:left w:w="28" w:type="dxa"/>
              <w:bottom w:w="0" w:type="dxa"/>
              <w:right w:w="28" w:type="dxa"/>
            </w:tcMar>
            <w:vAlign w:val="center"/>
          </w:tcPr>
          <w:p w14:paraId="4907B229" w14:textId="77777777" w:rsidR="009C353B" w:rsidRDefault="009C353B">
            <w:pPr>
              <w:adjustRightInd w:val="0"/>
              <w:snapToGrid w:val="0"/>
              <w:jc w:val="center"/>
              <w:rPr>
                <w:rFonts w:ascii="Times New Roman" w:hAnsi="Times New Roman"/>
                <w:sz w:val="21"/>
                <w:szCs w:val="21"/>
              </w:rPr>
            </w:pPr>
          </w:p>
        </w:tc>
        <w:tc>
          <w:tcPr>
            <w:tcW w:w="959" w:type="dxa"/>
            <w:tcMar>
              <w:top w:w="0" w:type="dxa"/>
              <w:left w:w="28" w:type="dxa"/>
              <w:bottom w:w="0" w:type="dxa"/>
              <w:right w:w="28" w:type="dxa"/>
            </w:tcMar>
            <w:vAlign w:val="center"/>
          </w:tcPr>
          <w:p w14:paraId="474A9B2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&lt;20</w:t>
            </w:r>
          </w:p>
        </w:tc>
        <w:tc>
          <w:tcPr>
            <w:tcW w:w="2726" w:type="dxa"/>
            <w:tcMar>
              <w:top w:w="0" w:type="dxa"/>
              <w:left w:w="28" w:type="dxa"/>
              <w:bottom w:w="0" w:type="dxa"/>
              <w:right w:w="28" w:type="dxa"/>
            </w:tcMar>
            <w:vAlign w:val="center"/>
          </w:tcPr>
          <w:p w14:paraId="142FBD61" w14:textId="77777777" w:rsidR="009C353B" w:rsidRDefault="00000000">
            <w:pPr>
              <w:adjustRightInd w:val="0"/>
              <w:snapToGrid w:val="0"/>
              <w:jc w:val="left"/>
              <w:rPr>
                <w:rFonts w:ascii="Times New Roman" w:hAnsi="Times New Roman"/>
                <w:sz w:val="21"/>
                <w:szCs w:val="21"/>
              </w:rPr>
            </w:pPr>
            <w:r>
              <w:rPr>
                <w:rFonts w:ascii="Times New Roman" w:hAnsi="Times New Roman"/>
                <w:sz w:val="21"/>
                <w:szCs w:val="21"/>
              </w:rPr>
              <w:t>风化岩石、页岩、泥质砂岩、粘土岩、第四系和第三系松散层等</w:t>
            </w:r>
          </w:p>
        </w:tc>
        <w:tc>
          <w:tcPr>
            <w:tcW w:w="1101" w:type="dxa"/>
            <w:tcMar>
              <w:top w:w="0" w:type="dxa"/>
              <w:left w:w="28" w:type="dxa"/>
              <w:bottom w:w="0" w:type="dxa"/>
              <w:right w:w="28" w:type="dxa"/>
            </w:tcMar>
            <w:vAlign w:val="center"/>
          </w:tcPr>
          <w:p w14:paraId="0680F64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全部</w:t>
            </w:r>
          </w:p>
          <w:p w14:paraId="1C74B29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陷落</w:t>
            </w:r>
          </w:p>
        </w:tc>
        <w:tc>
          <w:tcPr>
            <w:tcW w:w="1279" w:type="dxa"/>
            <w:tcMar>
              <w:top w:w="0" w:type="dxa"/>
              <w:left w:w="28" w:type="dxa"/>
              <w:bottom w:w="0" w:type="dxa"/>
              <w:right w:w="28" w:type="dxa"/>
            </w:tcMar>
            <w:vAlign w:val="center"/>
          </w:tcPr>
          <w:p w14:paraId="43F36E65" w14:textId="77777777" w:rsidR="009C353B" w:rsidRDefault="00000000">
            <w:pPr>
              <w:adjustRightInd w:val="0"/>
              <w:snapToGrid w:val="0"/>
              <w:jc w:val="center"/>
              <w:rPr>
                <w:rFonts w:ascii="Times New Roman" w:hAnsi="Times New Roman"/>
                <w:spacing w:val="-20"/>
                <w:kern w:val="0"/>
                <w:sz w:val="21"/>
                <w:szCs w:val="21"/>
              </w:rPr>
            </w:pPr>
            <w:r>
              <w:rPr>
                <w:rFonts w:ascii="Times New Roman" w:hAnsi="Times New Roman"/>
                <w:i/>
                <w:iCs/>
                <w:spacing w:val="-20"/>
                <w:kern w:val="0"/>
                <w:sz w:val="21"/>
                <w:szCs w:val="21"/>
              </w:rPr>
              <w:t>H</w:t>
            </w:r>
            <w:r>
              <w:rPr>
                <w:rFonts w:ascii="Times New Roman" w:hAnsi="Times New Roman"/>
                <w:i/>
                <w:iCs/>
                <w:spacing w:val="-20"/>
                <w:kern w:val="0"/>
                <w:sz w:val="21"/>
                <w:szCs w:val="21"/>
                <w:vertAlign w:val="subscript"/>
              </w:rPr>
              <w:t>c</w:t>
            </w:r>
            <w:r>
              <w:rPr>
                <w:rFonts w:ascii="Times New Roman" w:hAnsi="Times New Roman"/>
                <w:spacing w:val="-20"/>
                <w:kern w:val="0"/>
                <w:sz w:val="21"/>
                <w:szCs w:val="21"/>
              </w:rPr>
              <w:t>=</w:t>
            </w:r>
            <w:r>
              <w:rPr>
                <w:rFonts w:ascii="Times New Roman" w:hAnsi="Times New Roman"/>
                <w:spacing w:val="-20"/>
                <w:kern w:val="0"/>
                <w:sz w:val="21"/>
                <w:szCs w:val="21"/>
              </w:rPr>
              <w:t>（</w:t>
            </w:r>
            <w:r>
              <w:rPr>
                <w:rFonts w:ascii="Times New Roman" w:hAnsi="Times New Roman"/>
                <w:spacing w:val="-20"/>
                <w:kern w:val="0"/>
                <w:sz w:val="21"/>
                <w:szCs w:val="21"/>
              </w:rPr>
              <w:t>1</w:t>
            </w:r>
            <w:r>
              <w:rPr>
                <w:rFonts w:ascii="Times New Roman" w:hAnsi="Times New Roman"/>
                <w:spacing w:val="-20"/>
                <w:kern w:val="0"/>
                <w:sz w:val="21"/>
                <w:szCs w:val="21"/>
              </w:rPr>
              <w:t>～</w:t>
            </w:r>
            <w:r>
              <w:rPr>
                <w:rFonts w:ascii="Times New Roman" w:hAnsi="Times New Roman"/>
                <w:spacing w:val="-20"/>
                <w:kern w:val="0"/>
                <w:sz w:val="21"/>
                <w:szCs w:val="21"/>
              </w:rPr>
              <w:t>2</w:t>
            </w:r>
            <w:r>
              <w:rPr>
                <w:rFonts w:ascii="Times New Roman" w:hAnsi="Times New Roman"/>
                <w:spacing w:val="-20"/>
                <w:kern w:val="0"/>
                <w:sz w:val="21"/>
                <w:szCs w:val="21"/>
              </w:rPr>
              <w:t>）</w:t>
            </w:r>
            <w:r>
              <w:rPr>
                <w:rFonts w:ascii="Times New Roman" w:hAnsi="Times New Roman"/>
                <w:i/>
                <w:iCs/>
                <w:spacing w:val="-20"/>
                <w:kern w:val="0"/>
                <w:sz w:val="21"/>
                <w:szCs w:val="21"/>
              </w:rPr>
              <w:t>M</w:t>
            </w:r>
          </w:p>
        </w:tc>
        <w:tc>
          <w:tcPr>
            <w:tcW w:w="2182" w:type="dxa"/>
            <w:tcMar>
              <w:top w:w="0" w:type="dxa"/>
              <w:left w:w="28" w:type="dxa"/>
              <w:bottom w:w="0" w:type="dxa"/>
              <w:right w:w="28" w:type="dxa"/>
            </w:tcMar>
            <w:vAlign w:val="center"/>
          </w:tcPr>
          <w:p w14:paraId="6CDEECFC" w14:textId="77777777" w:rsidR="009C353B" w:rsidRDefault="00000000">
            <w:pPr>
              <w:adjustRightInd w:val="0"/>
              <w:snapToGrid w:val="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hint="eastAsia"/>
                        <w:sz w:val="21"/>
                        <w:szCs w:val="21"/>
                      </w:rPr>
                      <m:t>f</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100M</m:t>
                    </m:r>
                  </m:num>
                  <m:den>
                    <m:r>
                      <w:rPr>
                        <w:rFonts w:ascii="Cambria Math" w:hAnsi="Cambria Math"/>
                        <w:sz w:val="21"/>
                        <w:szCs w:val="21"/>
                      </w:rPr>
                      <m:t>5.1n+5.2</m:t>
                    </m:r>
                  </m:den>
                </m:f>
                <m:r>
                  <w:rPr>
                    <w:rFonts w:ascii="Cambria Math" w:hAnsi="Cambria Math"/>
                    <w:sz w:val="21"/>
                    <w:szCs w:val="21"/>
                  </w:rPr>
                  <m:t>+5.1</m:t>
                </m:r>
              </m:oMath>
            </m:oMathPara>
          </w:p>
        </w:tc>
      </w:tr>
      <w:tr w:rsidR="009C353B" w14:paraId="79EB3D44" w14:textId="77777777">
        <w:trPr>
          <w:trHeight w:val="340"/>
          <w:jc w:val="center"/>
        </w:trPr>
        <w:tc>
          <w:tcPr>
            <w:tcW w:w="879" w:type="dxa"/>
            <w:vMerge w:val="restart"/>
            <w:tcMar>
              <w:top w:w="0" w:type="dxa"/>
              <w:left w:w="28" w:type="dxa"/>
              <w:bottom w:w="0" w:type="dxa"/>
              <w:right w:w="28" w:type="dxa"/>
            </w:tcMar>
            <w:vAlign w:val="center"/>
          </w:tcPr>
          <w:p w14:paraId="250CC5B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55</w:t>
            </w:r>
            <w:r>
              <w:rPr>
                <w:rFonts w:ascii="Times New Roman" w:hAnsi="Times New Roman"/>
                <w:sz w:val="21"/>
                <w:szCs w:val="21"/>
              </w:rPr>
              <w:t>～</w:t>
            </w:r>
            <w:r>
              <w:rPr>
                <w:rFonts w:ascii="Times New Roman" w:hAnsi="Times New Roman"/>
                <w:sz w:val="21"/>
                <w:szCs w:val="21"/>
              </w:rPr>
              <w:t>85</w:t>
            </w:r>
          </w:p>
        </w:tc>
        <w:tc>
          <w:tcPr>
            <w:tcW w:w="959" w:type="dxa"/>
            <w:tcMar>
              <w:top w:w="0" w:type="dxa"/>
              <w:left w:w="28" w:type="dxa"/>
              <w:bottom w:w="0" w:type="dxa"/>
              <w:right w:w="28" w:type="dxa"/>
            </w:tcMar>
            <w:vAlign w:val="center"/>
          </w:tcPr>
          <w:p w14:paraId="760B094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40</w:t>
            </w:r>
            <w:r>
              <w:rPr>
                <w:rFonts w:ascii="Times New Roman" w:hAnsi="Times New Roman"/>
                <w:sz w:val="21"/>
                <w:szCs w:val="21"/>
              </w:rPr>
              <w:t>～</w:t>
            </w:r>
            <w:r>
              <w:rPr>
                <w:rFonts w:ascii="Times New Roman" w:hAnsi="Times New Roman"/>
                <w:sz w:val="21"/>
                <w:szCs w:val="21"/>
              </w:rPr>
              <w:t>60</w:t>
            </w:r>
          </w:p>
        </w:tc>
        <w:tc>
          <w:tcPr>
            <w:tcW w:w="2726" w:type="dxa"/>
            <w:tcMar>
              <w:top w:w="0" w:type="dxa"/>
              <w:left w:w="28" w:type="dxa"/>
              <w:bottom w:w="0" w:type="dxa"/>
              <w:right w:w="28" w:type="dxa"/>
            </w:tcMar>
            <w:vAlign w:val="center"/>
          </w:tcPr>
          <w:p w14:paraId="206EC66D" w14:textId="77777777" w:rsidR="009C353B" w:rsidRDefault="00000000">
            <w:pPr>
              <w:adjustRightInd w:val="0"/>
              <w:snapToGrid w:val="0"/>
              <w:jc w:val="left"/>
              <w:rPr>
                <w:rFonts w:ascii="Times New Roman" w:hAnsi="Times New Roman"/>
                <w:sz w:val="21"/>
                <w:szCs w:val="21"/>
              </w:rPr>
            </w:pPr>
            <w:r>
              <w:rPr>
                <w:rFonts w:ascii="Times New Roman" w:hAnsi="Times New Roman"/>
                <w:sz w:val="21"/>
                <w:szCs w:val="21"/>
              </w:rPr>
              <w:t>辉绿岩、石灰岩、硅质石英岩、砾岩、砂砾岩、砂质页岩等</w:t>
            </w:r>
          </w:p>
        </w:tc>
        <w:tc>
          <w:tcPr>
            <w:tcW w:w="1101" w:type="dxa"/>
            <w:tcMar>
              <w:top w:w="0" w:type="dxa"/>
              <w:left w:w="28" w:type="dxa"/>
              <w:bottom w:w="0" w:type="dxa"/>
              <w:right w:w="28" w:type="dxa"/>
            </w:tcMar>
            <w:vAlign w:val="center"/>
          </w:tcPr>
          <w:p w14:paraId="54BF05E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全部</w:t>
            </w:r>
          </w:p>
          <w:p w14:paraId="3F528BF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陷落</w:t>
            </w:r>
          </w:p>
        </w:tc>
        <w:tc>
          <w:tcPr>
            <w:tcW w:w="1279" w:type="dxa"/>
            <w:tcMar>
              <w:top w:w="0" w:type="dxa"/>
              <w:left w:w="28" w:type="dxa"/>
              <w:bottom w:w="0" w:type="dxa"/>
              <w:right w:w="28" w:type="dxa"/>
            </w:tcMar>
            <w:vAlign w:val="center"/>
          </w:tcPr>
          <w:p w14:paraId="5CD07824" w14:textId="77777777" w:rsidR="009C353B" w:rsidRDefault="009C353B">
            <w:pPr>
              <w:adjustRightInd w:val="0"/>
              <w:snapToGrid w:val="0"/>
              <w:jc w:val="center"/>
              <w:rPr>
                <w:rFonts w:ascii="Times New Roman" w:hAnsi="Times New Roman"/>
                <w:spacing w:val="-20"/>
                <w:kern w:val="0"/>
                <w:sz w:val="21"/>
                <w:szCs w:val="21"/>
              </w:rPr>
            </w:pPr>
          </w:p>
        </w:tc>
        <w:tc>
          <w:tcPr>
            <w:tcW w:w="2182" w:type="dxa"/>
            <w:tcMar>
              <w:top w:w="0" w:type="dxa"/>
              <w:left w:w="28" w:type="dxa"/>
              <w:bottom w:w="0" w:type="dxa"/>
              <w:right w:w="28" w:type="dxa"/>
            </w:tcMar>
            <w:vAlign w:val="center"/>
          </w:tcPr>
          <w:p w14:paraId="449DEF1E" w14:textId="77777777" w:rsidR="009C353B" w:rsidRDefault="00000000">
            <w:pPr>
              <w:adjustRightInd w:val="0"/>
              <w:snapToGrid w:val="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hint="eastAsia"/>
                        <w:sz w:val="21"/>
                        <w:szCs w:val="21"/>
                      </w:rPr>
                      <m:t>f</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100mh</m:t>
                    </m:r>
                  </m:num>
                  <m:den>
                    <m:r>
                      <w:rPr>
                        <w:rFonts w:ascii="Cambria Math" w:hAnsi="Cambria Math"/>
                        <w:sz w:val="21"/>
                        <w:szCs w:val="21"/>
                      </w:rPr>
                      <m:t>4.1</m:t>
                    </m:r>
                    <m:r>
                      <w:rPr>
                        <w:rFonts w:ascii="Cambria Math" w:hAnsi="Cambria Math"/>
                        <w:sz w:val="21"/>
                        <w:szCs w:val="21"/>
                      </w:rPr>
                      <m:t>h+</m:t>
                    </m:r>
                    <m:r>
                      <w:rPr>
                        <w:rFonts w:ascii="Cambria Math" w:hAnsi="Cambria Math"/>
                        <w:sz w:val="21"/>
                        <w:szCs w:val="21"/>
                      </w:rPr>
                      <m:t>133</m:t>
                    </m:r>
                  </m:den>
                </m:f>
                <m:r>
                  <w:rPr>
                    <w:rFonts w:ascii="Cambria Math" w:hAnsi="Cambria Math"/>
                    <w:sz w:val="21"/>
                    <w:szCs w:val="21"/>
                  </w:rPr>
                  <m:t>+8.4</m:t>
                </m:r>
              </m:oMath>
            </m:oMathPara>
          </w:p>
        </w:tc>
      </w:tr>
      <w:tr w:rsidR="009C353B" w14:paraId="6477CB21" w14:textId="77777777">
        <w:trPr>
          <w:trHeight w:val="340"/>
          <w:jc w:val="center"/>
        </w:trPr>
        <w:tc>
          <w:tcPr>
            <w:tcW w:w="879" w:type="dxa"/>
            <w:vMerge/>
            <w:tcMar>
              <w:top w:w="0" w:type="dxa"/>
              <w:left w:w="28" w:type="dxa"/>
              <w:bottom w:w="0" w:type="dxa"/>
              <w:right w:w="28" w:type="dxa"/>
            </w:tcMar>
            <w:vAlign w:val="center"/>
          </w:tcPr>
          <w:p w14:paraId="509A6512" w14:textId="77777777" w:rsidR="009C353B" w:rsidRDefault="009C353B">
            <w:pPr>
              <w:adjustRightInd w:val="0"/>
              <w:snapToGrid w:val="0"/>
              <w:jc w:val="center"/>
              <w:rPr>
                <w:rFonts w:ascii="Times New Roman" w:hAnsi="Times New Roman"/>
                <w:sz w:val="21"/>
                <w:szCs w:val="21"/>
              </w:rPr>
            </w:pPr>
          </w:p>
        </w:tc>
        <w:tc>
          <w:tcPr>
            <w:tcW w:w="959" w:type="dxa"/>
            <w:tcMar>
              <w:top w:w="0" w:type="dxa"/>
              <w:left w:w="28" w:type="dxa"/>
              <w:bottom w:w="0" w:type="dxa"/>
              <w:right w:w="28" w:type="dxa"/>
            </w:tcMar>
            <w:vAlign w:val="center"/>
          </w:tcPr>
          <w:p w14:paraId="4E2437A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&lt;40</w:t>
            </w:r>
          </w:p>
        </w:tc>
        <w:tc>
          <w:tcPr>
            <w:tcW w:w="2726" w:type="dxa"/>
            <w:tcMar>
              <w:top w:w="0" w:type="dxa"/>
              <w:left w:w="28" w:type="dxa"/>
              <w:bottom w:w="0" w:type="dxa"/>
              <w:right w:w="28" w:type="dxa"/>
            </w:tcMar>
            <w:vAlign w:val="center"/>
          </w:tcPr>
          <w:p w14:paraId="5E790DBD" w14:textId="77777777" w:rsidR="009C353B" w:rsidRDefault="00000000">
            <w:pPr>
              <w:adjustRightInd w:val="0"/>
              <w:snapToGrid w:val="0"/>
              <w:jc w:val="left"/>
              <w:rPr>
                <w:rFonts w:ascii="Times New Roman" w:hAnsi="Times New Roman"/>
                <w:sz w:val="21"/>
                <w:szCs w:val="21"/>
              </w:rPr>
            </w:pPr>
            <w:r>
              <w:rPr>
                <w:rFonts w:ascii="Times New Roman" w:hAnsi="Times New Roman"/>
                <w:sz w:val="21"/>
                <w:szCs w:val="21"/>
              </w:rPr>
              <w:t>砂质页岩、泥质砂岩、页岩、粘土岩、风化岩石、第三系和第四系松散层等</w:t>
            </w:r>
          </w:p>
        </w:tc>
        <w:tc>
          <w:tcPr>
            <w:tcW w:w="1101" w:type="dxa"/>
            <w:tcMar>
              <w:top w:w="0" w:type="dxa"/>
              <w:left w:w="28" w:type="dxa"/>
              <w:bottom w:w="0" w:type="dxa"/>
              <w:right w:w="28" w:type="dxa"/>
            </w:tcMar>
            <w:vAlign w:val="center"/>
          </w:tcPr>
          <w:p w14:paraId="6510EB5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全部</w:t>
            </w:r>
          </w:p>
          <w:p w14:paraId="5521671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陷落</w:t>
            </w:r>
          </w:p>
        </w:tc>
        <w:tc>
          <w:tcPr>
            <w:tcW w:w="1279" w:type="dxa"/>
            <w:tcMar>
              <w:top w:w="0" w:type="dxa"/>
              <w:left w:w="28" w:type="dxa"/>
              <w:bottom w:w="0" w:type="dxa"/>
              <w:right w:w="28" w:type="dxa"/>
            </w:tcMar>
            <w:vAlign w:val="center"/>
          </w:tcPr>
          <w:p w14:paraId="7D7C81D8" w14:textId="77777777" w:rsidR="009C353B" w:rsidRDefault="00000000">
            <w:pPr>
              <w:adjustRightInd w:val="0"/>
              <w:snapToGrid w:val="0"/>
              <w:jc w:val="center"/>
              <w:rPr>
                <w:rFonts w:ascii="Times New Roman" w:hAnsi="Times New Roman"/>
                <w:spacing w:val="-20"/>
                <w:kern w:val="0"/>
                <w:sz w:val="21"/>
                <w:szCs w:val="21"/>
              </w:rPr>
            </w:pPr>
            <w:r>
              <w:rPr>
                <w:rFonts w:ascii="Times New Roman" w:hAnsi="Times New Roman"/>
                <w:i/>
                <w:iCs/>
                <w:spacing w:val="-20"/>
                <w:kern w:val="0"/>
                <w:sz w:val="21"/>
                <w:szCs w:val="21"/>
              </w:rPr>
              <w:t>H</w:t>
            </w:r>
            <w:r>
              <w:rPr>
                <w:rFonts w:ascii="Times New Roman" w:hAnsi="Times New Roman"/>
                <w:i/>
                <w:iCs/>
                <w:spacing w:val="-20"/>
                <w:kern w:val="0"/>
                <w:sz w:val="21"/>
                <w:szCs w:val="21"/>
                <w:vertAlign w:val="subscript"/>
              </w:rPr>
              <w:t>c</w:t>
            </w:r>
            <w:r>
              <w:rPr>
                <w:rFonts w:ascii="Times New Roman" w:hAnsi="Times New Roman"/>
                <w:spacing w:val="-20"/>
                <w:kern w:val="0"/>
                <w:sz w:val="21"/>
                <w:szCs w:val="21"/>
              </w:rPr>
              <w:t>=0.5</w:t>
            </w:r>
            <w:r>
              <w:rPr>
                <w:rFonts w:ascii="Times New Roman" w:hAnsi="Times New Roman"/>
                <w:i/>
                <w:iCs/>
                <w:spacing w:val="-20"/>
                <w:kern w:val="0"/>
                <w:sz w:val="21"/>
                <w:szCs w:val="21"/>
              </w:rPr>
              <w:t>M</w:t>
            </w:r>
          </w:p>
        </w:tc>
        <w:tc>
          <w:tcPr>
            <w:tcW w:w="2182" w:type="dxa"/>
            <w:tcMar>
              <w:top w:w="0" w:type="dxa"/>
              <w:left w:w="28" w:type="dxa"/>
              <w:bottom w:w="0" w:type="dxa"/>
              <w:right w:w="28" w:type="dxa"/>
            </w:tcMar>
            <w:vAlign w:val="center"/>
          </w:tcPr>
          <w:p w14:paraId="2C8E26EB" w14:textId="77777777" w:rsidR="009C353B" w:rsidRDefault="00000000">
            <w:pPr>
              <w:adjustRightInd w:val="0"/>
              <w:snapToGrid w:val="0"/>
              <w:jc w:val="center"/>
              <w:rPr>
                <w:rFonts w:ascii="Times New Roman" w:hAnsi="Times New Roman"/>
                <w:sz w:val="21"/>
                <w:szCs w:val="21"/>
              </w:rPr>
            </w:pPr>
            <m:oMathPara>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hint="eastAsia"/>
                        <w:sz w:val="21"/>
                        <w:szCs w:val="21"/>
                      </w:rPr>
                      <m:t>f</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100mh</m:t>
                    </m:r>
                  </m:num>
                  <m:den>
                    <m:r>
                      <w:rPr>
                        <w:rFonts w:ascii="Cambria Math" w:hAnsi="Cambria Math"/>
                        <w:sz w:val="21"/>
                        <w:szCs w:val="21"/>
                      </w:rPr>
                      <m:t>7.5</m:t>
                    </m:r>
                    <m:r>
                      <w:rPr>
                        <w:rFonts w:ascii="Cambria Math" w:hAnsi="Cambria Math"/>
                        <w:sz w:val="21"/>
                        <w:szCs w:val="21"/>
                      </w:rPr>
                      <m:t>h+</m:t>
                    </m:r>
                    <m:r>
                      <w:rPr>
                        <w:rFonts w:ascii="Cambria Math" w:hAnsi="Cambria Math"/>
                        <w:sz w:val="21"/>
                        <w:szCs w:val="21"/>
                      </w:rPr>
                      <m:t>293</m:t>
                    </m:r>
                  </m:den>
                </m:f>
                <m:r>
                  <w:rPr>
                    <w:rFonts w:ascii="Cambria Math" w:hAnsi="Cambria Math"/>
                    <w:sz w:val="21"/>
                    <w:szCs w:val="21"/>
                  </w:rPr>
                  <m:t>+7.3</m:t>
                </m:r>
              </m:oMath>
            </m:oMathPara>
          </w:p>
        </w:tc>
      </w:tr>
    </w:tbl>
    <w:p w14:paraId="62B88EF2" w14:textId="77777777" w:rsidR="009C353B" w:rsidRDefault="00000000">
      <w:pPr>
        <w:adjustRightInd w:val="0"/>
        <w:spacing w:line="440" w:lineRule="exact"/>
        <w:jc w:val="left"/>
        <w:textAlignment w:val="baseline"/>
        <w:rPr>
          <w:rFonts w:ascii="Times New Roman" w:hAnsi="Times New Roman"/>
          <w:b/>
          <w:kern w:val="0"/>
          <w:sz w:val="21"/>
          <w:szCs w:val="21"/>
        </w:rPr>
      </w:pPr>
      <w:r>
        <w:rPr>
          <w:rFonts w:ascii="Times New Roman" w:hAnsi="Times New Roman"/>
          <w:b/>
          <w:kern w:val="0"/>
          <w:sz w:val="21"/>
          <w:szCs w:val="21"/>
        </w:rPr>
        <w:t>注</w:t>
      </w:r>
      <w:r>
        <w:rPr>
          <w:rFonts w:ascii="Times New Roman" w:hAnsi="Times New Roman" w:hint="eastAsia"/>
          <w:b/>
          <w:kern w:val="0"/>
          <w:sz w:val="21"/>
          <w:szCs w:val="21"/>
        </w:rPr>
        <w:t>：</w:t>
      </w:r>
      <w:r>
        <w:rPr>
          <w:rFonts w:ascii="Times New Roman" w:hAnsi="Times New Roman" w:hint="eastAsia"/>
          <w:b/>
          <w:kern w:val="0"/>
          <w:sz w:val="21"/>
          <w:szCs w:val="21"/>
        </w:rPr>
        <w:t>M</w:t>
      </w:r>
      <w:r>
        <w:rPr>
          <w:rFonts w:ascii="Times New Roman" w:hAnsi="Times New Roman" w:hint="eastAsia"/>
          <w:b/>
          <w:kern w:val="0"/>
          <w:sz w:val="21"/>
          <w:szCs w:val="21"/>
        </w:rPr>
        <w:t>为累计采厚（</w:t>
      </w:r>
      <w:r>
        <w:rPr>
          <w:rFonts w:ascii="Times New Roman" w:hAnsi="Times New Roman" w:hint="eastAsia"/>
          <w:b/>
          <w:kern w:val="0"/>
          <w:sz w:val="21"/>
          <w:szCs w:val="21"/>
        </w:rPr>
        <w:t>m</w:t>
      </w:r>
      <w:r>
        <w:rPr>
          <w:rFonts w:ascii="Times New Roman" w:hAnsi="Times New Roman" w:hint="eastAsia"/>
          <w:b/>
          <w:kern w:val="0"/>
          <w:sz w:val="21"/>
          <w:szCs w:val="21"/>
        </w:rPr>
        <w:t>）；</w:t>
      </w:r>
      <w:r>
        <w:rPr>
          <w:rFonts w:ascii="Times New Roman" w:hAnsi="Times New Roman"/>
          <w:b/>
          <w:kern w:val="0"/>
          <w:sz w:val="21"/>
          <w:szCs w:val="21"/>
        </w:rPr>
        <w:t>n</w:t>
      </w:r>
      <w:r>
        <w:rPr>
          <w:rFonts w:ascii="Times New Roman" w:hAnsi="Times New Roman"/>
          <w:b/>
          <w:kern w:val="0"/>
          <w:sz w:val="21"/>
          <w:szCs w:val="21"/>
        </w:rPr>
        <w:t>为分层层数</w:t>
      </w:r>
      <w:r>
        <w:rPr>
          <w:rFonts w:ascii="Times New Roman" w:hAnsi="Times New Roman" w:hint="eastAsia"/>
          <w:b/>
          <w:kern w:val="0"/>
          <w:sz w:val="21"/>
          <w:szCs w:val="21"/>
        </w:rPr>
        <w:t>；</w:t>
      </w:r>
      <w:r>
        <w:rPr>
          <w:rFonts w:ascii="Times New Roman" w:hAnsi="Times New Roman" w:hint="eastAsia"/>
          <w:b/>
          <w:kern w:val="0"/>
          <w:sz w:val="21"/>
          <w:szCs w:val="21"/>
        </w:rPr>
        <w:t>m</w:t>
      </w:r>
      <w:r>
        <w:rPr>
          <w:rFonts w:ascii="Times New Roman" w:hAnsi="Times New Roman" w:hint="eastAsia"/>
          <w:b/>
          <w:kern w:val="0"/>
          <w:sz w:val="21"/>
          <w:szCs w:val="21"/>
        </w:rPr>
        <w:t>为煤层厚度（</w:t>
      </w:r>
      <w:r>
        <w:rPr>
          <w:rFonts w:ascii="Times New Roman" w:hAnsi="Times New Roman" w:hint="eastAsia"/>
          <w:b/>
          <w:kern w:val="0"/>
          <w:sz w:val="21"/>
          <w:szCs w:val="21"/>
        </w:rPr>
        <w:t>m</w:t>
      </w:r>
      <w:r>
        <w:rPr>
          <w:rFonts w:ascii="Times New Roman" w:hAnsi="Times New Roman" w:hint="eastAsia"/>
          <w:b/>
          <w:kern w:val="0"/>
          <w:sz w:val="21"/>
          <w:szCs w:val="21"/>
        </w:rPr>
        <w:t>）；</w:t>
      </w:r>
      <w:r>
        <w:rPr>
          <w:rFonts w:ascii="Times New Roman" w:hAnsi="Times New Roman" w:hint="eastAsia"/>
          <w:b/>
          <w:kern w:val="0"/>
          <w:sz w:val="21"/>
          <w:szCs w:val="21"/>
        </w:rPr>
        <w:t>h</w:t>
      </w:r>
      <w:r>
        <w:rPr>
          <w:rFonts w:ascii="Times New Roman" w:hAnsi="Times New Roman" w:hint="eastAsia"/>
          <w:b/>
          <w:kern w:val="0"/>
          <w:sz w:val="21"/>
          <w:szCs w:val="21"/>
        </w:rPr>
        <w:t>为采煤工作面小阶段垂高（</w:t>
      </w:r>
      <w:r>
        <w:rPr>
          <w:rFonts w:ascii="Times New Roman" w:hAnsi="Times New Roman" w:hint="eastAsia"/>
          <w:b/>
          <w:kern w:val="0"/>
          <w:sz w:val="21"/>
          <w:szCs w:val="21"/>
        </w:rPr>
        <w:t>m</w:t>
      </w:r>
      <w:r>
        <w:rPr>
          <w:rFonts w:ascii="Times New Roman" w:hAnsi="Times New Roman" w:hint="eastAsia"/>
          <w:b/>
          <w:kern w:val="0"/>
          <w:sz w:val="21"/>
          <w:szCs w:val="21"/>
        </w:rPr>
        <w:t>）。</w:t>
      </w:r>
    </w:p>
    <w:bookmarkEnd w:id="252"/>
    <w:bookmarkEnd w:id="255"/>
    <w:p w14:paraId="5D50D193"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根据《宁夏宁夏回族自治区灵武市横城矿区煤炭地质资料汇编》报告，横城矿区含煤地层主要为山西组和太原组，从地层的含煤性上看，矿区分布的煤层多达</w:t>
      </w:r>
      <w:r>
        <w:rPr>
          <w:rFonts w:ascii="Times New Roman" w:hAnsi="Times New Roman"/>
          <w:szCs w:val="24"/>
        </w:rPr>
        <w:t>12</w:t>
      </w:r>
      <w:r>
        <w:rPr>
          <w:rFonts w:ascii="Times New Roman" w:hAnsi="Times New Roman"/>
          <w:szCs w:val="24"/>
        </w:rPr>
        <w:t>层。就整个矿区来看，达到可采且分布稳定的煤层有</w:t>
      </w:r>
      <w:r>
        <w:rPr>
          <w:rFonts w:ascii="Times New Roman" w:hAnsi="Times New Roman"/>
          <w:szCs w:val="24"/>
        </w:rPr>
        <w:t>5</w:t>
      </w:r>
      <w:r>
        <w:rPr>
          <w:rFonts w:ascii="Times New Roman" w:hAnsi="Times New Roman"/>
          <w:szCs w:val="24"/>
        </w:rPr>
        <w:t>层，分别是山西组的一、三、五煤层及太原组的八、九煤层。</w:t>
      </w:r>
    </w:p>
    <w:p w14:paraId="0084D151"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按照</w:t>
      </w:r>
      <w:r>
        <w:rPr>
          <w:rFonts w:ascii="Times New Roman" w:hAnsi="Times New Roman" w:hint="eastAsia"/>
          <w:szCs w:val="24"/>
        </w:rPr>
        <w:t>“</w:t>
      </w:r>
      <w:r>
        <w:rPr>
          <w:rFonts w:ascii="Times New Roman" w:hAnsi="Times New Roman"/>
          <w:szCs w:val="24"/>
        </w:rPr>
        <w:t>三下采煤规程</w:t>
      </w:r>
      <w:r>
        <w:rPr>
          <w:rFonts w:ascii="Times New Roman" w:hAnsi="Times New Roman" w:hint="eastAsia"/>
          <w:szCs w:val="24"/>
        </w:rPr>
        <w:t>”</w:t>
      </w:r>
      <w:r>
        <w:rPr>
          <w:rFonts w:ascii="Times New Roman" w:hAnsi="Times New Roman"/>
          <w:szCs w:val="24"/>
        </w:rPr>
        <w:t>及</w:t>
      </w:r>
      <w:r>
        <w:rPr>
          <w:rFonts w:ascii="Times New Roman" w:hAnsi="Times New Roman" w:hint="eastAsia"/>
          <w:szCs w:val="24"/>
        </w:rPr>
        <w:t>“矿区勘探规范”</w:t>
      </w:r>
      <w:r>
        <w:rPr>
          <w:rFonts w:ascii="Times New Roman" w:hAnsi="Times New Roman"/>
          <w:szCs w:val="24"/>
        </w:rPr>
        <w:t>中推荐的导水裂缝带计算公式计算得到横城矿区煤炭开采导水裂缝带总体发育高度。</w:t>
      </w:r>
    </w:p>
    <w:p w14:paraId="025ECCE6"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根据计算结果，马莲台井田一煤导水裂隙带高度为</w:t>
      </w:r>
      <w:r>
        <w:rPr>
          <w:rFonts w:ascii="Times New Roman" w:hAnsi="Times New Roman"/>
          <w:szCs w:val="24"/>
        </w:rPr>
        <w:t>28.22-68.76m</w:t>
      </w:r>
      <w:r>
        <w:rPr>
          <w:rFonts w:ascii="Times New Roman" w:hAnsi="Times New Roman"/>
          <w:szCs w:val="24"/>
        </w:rPr>
        <w:t>，平均为</w:t>
      </w:r>
      <w:r>
        <w:rPr>
          <w:rFonts w:ascii="Times New Roman" w:hAnsi="Times New Roman"/>
          <w:szCs w:val="24"/>
        </w:rPr>
        <w:t>38m</w:t>
      </w:r>
      <w:r>
        <w:rPr>
          <w:rFonts w:ascii="Times New Roman" w:hAnsi="Times New Roman"/>
          <w:szCs w:val="24"/>
        </w:rPr>
        <w:t>；三煤导水裂隙带高度为</w:t>
      </w:r>
      <w:r>
        <w:rPr>
          <w:rFonts w:ascii="Times New Roman" w:hAnsi="Times New Roman"/>
          <w:szCs w:val="24"/>
        </w:rPr>
        <w:t>27.2-58.76m</w:t>
      </w:r>
      <w:r>
        <w:rPr>
          <w:rFonts w:ascii="Times New Roman" w:hAnsi="Times New Roman"/>
          <w:szCs w:val="24"/>
        </w:rPr>
        <w:t>，平均为</w:t>
      </w:r>
      <w:r>
        <w:rPr>
          <w:rFonts w:ascii="Times New Roman" w:hAnsi="Times New Roman"/>
          <w:szCs w:val="24"/>
        </w:rPr>
        <w:t>37.71m</w:t>
      </w:r>
      <w:r>
        <w:rPr>
          <w:rFonts w:ascii="Times New Roman" w:hAnsi="Times New Roman"/>
          <w:szCs w:val="24"/>
        </w:rPr>
        <w:t>；五煤导水裂隙带高度为</w:t>
      </w:r>
      <w:r>
        <w:rPr>
          <w:rFonts w:ascii="Times New Roman" w:hAnsi="Times New Roman"/>
          <w:szCs w:val="24"/>
        </w:rPr>
        <w:t>27.66-78.62m</w:t>
      </w:r>
      <w:r>
        <w:rPr>
          <w:rFonts w:ascii="Times New Roman" w:hAnsi="Times New Roman"/>
          <w:szCs w:val="24"/>
        </w:rPr>
        <w:t>，平均为</w:t>
      </w:r>
      <w:r>
        <w:rPr>
          <w:rFonts w:ascii="Times New Roman" w:hAnsi="Times New Roman"/>
          <w:szCs w:val="24"/>
        </w:rPr>
        <w:t>44.54m</w:t>
      </w:r>
      <w:r>
        <w:rPr>
          <w:rFonts w:ascii="Times New Roman" w:hAnsi="Times New Roman"/>
          <w:szCs w:val="24"/>
        </w:rPr>
        <w:t>；八煤导水裂隙带高度为</w:t>
      </w:r>
      <w:r>
        <w:rPr>
          <w:rFonts w:ascii="Times New Roman" w:hAnsi="Times New Roman"/>
          <w:szCs w:val="24"/>
        </w:rPr>
        <w:t>26.73-37.57m</w:t>
      </w:r>
      <w:r>
        <w:rPr>
          <w:rFonts w:ascii="Times New Roman" w:hAnsi="Times New Roman"/>
          <w:szCs w:val="24"/>
        </w:rPr>
        <w:t>，平均为</w:t>
      </w:r>
      <w:r>
        <w:rPr>
          <w:rFonts w:ascii="Times New Roman" w:hAnsi="Times New Roman"/>
          <w:szCs w:val="24"/>
        </w:rPr>
        <w:t>31.26m</w:t>
      </w:r>
      <w:r>
        <w:rPr>
          <w:rFonts w:ascii="Times New Roman" w:hAnsi="Times New Roman"/>
          <w:szCs w:val="24"/>
        </w:rPr>
        <w:t>；九煤导水裂隙带高度为</w:t>
      </w:r>
      <w:r>
        <w:rPr>
          <w:rFonts w:ascii="Times New Roman" w:hAnsi="Times New Roman"/>
          <w:szCs w:val="24"/>
        </w:rPr>
        <w:t>27.32-87.78m</w:t>
      </w:r>
      <w:r>
        <w:rPr>
          <w:rFonts w:ascii="Times New Roman" w:hAnsi="Times New Roman"/>
          <w:szCs w:val="24"/>
        </w:rPr>
        <w:t>，平均为</w:t>
      </w:r>
      <w:r>
        <w:rPr>
          <w:rFonts w:ascii="Times New Roman" w:hAnsi="Times New Roman"/>
          <w:szCs w:val="24"/>
        </w:rPr>
        <w:t>57.64m</w:t>
      </w:r>
      <w:r>
        <w:rPr>
          <w:rFonts w:ascii="Times New Roman" w:hAnsi="Times New Roman"/>
          <w:szCs w:val="24"/>
        </w:rPr>
        <w:t>。红石湾井田一煤导水裂隙带高度为</w:t>
      </w:r>
      <w:r>
        <w:rPr>
          <w:rFonts w:ascii="Times New Roman" w:hAnsi="Times New Roman"/>
          <w:szCs w:val="24"/>
        </w:rPr>
        <w:t>27.09-48.06m</w:t>
      </w:r>
      <w:r>
        <w:rPr>
          <w:rFonts w:ascii="Times New Roman" w:hAnsi="Times New Roman"/>
          <w:szCs w:val="24"/>
        </w:rPr>
        <w:t>，平均为</w:t>
      </w:r>
      <w:r>
        <w:rPr>
          <w:rFonts w:ascii="Times New Roman" w:hAnsi="Times New Roman"/>
          <w:szCs w:val="24"/>
        </w:rPr>
        <w:t>34.58m</w:t>
      </w:r>
      <w:r>
        <w:rPr>
          <w:rFonts w:ascii="Times New Roman" w:hAnsi="Times New Roman"/>
          <w:szCs w:val="24"/>
        </w:rPr>
        <w:t>；三煤导水裂隙带高度为</w:t>
      </w:r>
      <w:r>
        <w:rPr>
          <w:rFonts w:ascii="Times New Roman" w:hAnsi="Times New Roman"/>
          <w:szCs w:val="24"/>
        </w:rPr>
        <w:t>27.2-61.02m</w:t>
      </w:r>
      <w:r>
        <w:rPr>
          <w:rFonts w:ascii="Times New Roman" w:hAnsi="Times New Roman"/>
          <w:szCs w:val="24"/>
        </w:rPr>
        <w:t>，平均为</w:t>
      </w:r>
      <w:r>
        <w:rPr>
          <w:rFonts w:ascii="Times New Roman" w:hAnsi="Times New Roman"/>
          <w:szCs w:val="24"/>
        </w:rPr>
        <w:t>39.66m</w:t>
      </w:r>
      <w:r>
        <w:rPr>
          <w:rFonts w:ascii="Times New Roman" w:hAnsi="Times New Roman"/>
          <w:szCs w:val="24"/>
        </w:rPr>
        <w:t>；五煤导水裂隙带高度为</w:t>
      </w:r>
      <w:r>
        <w:rPr>
          <w:rFonts w:ascii="Times New Roman" w:hAnsi="Times New Roman"/>
          <w:szCs w:val="24"/>
        </w:rPr>
        <w:t>28.87-88.9m</w:t>
      </w:r>
      <w:r>
        <w:rPr>
          <w:rFonts w:ascii="Times New Roman" w:hAnsi="Times New Roman"/>
          <w:szCs w:val="24"/>
        </w:rPr>
        <w:t>，平均为</w:t>
      </w:r>
      <w:r>
        <w:rPr>
          <w:rFonts w:ascii="Times New Roman" w:hAnsi="Times New Roman"/>
          <w:szCs w:val="24"/>
        </w:rPr>
        <w:t>59.75m</w:t>
      </w:r>
      <w:r>
        <w:rPr>
          <w:rFonts w:ascii="Times New Roman" w:hAnsi="Times New Roman"/>
          <w:szCs w:val="24"/>
        </w:rPr>
        <w:t>；八煤导水裂隙带高度为</w:t>
      </w:r>
      <w:r>
        <w:rPr>
          <w:rFonts w:ascii="Times New Roman" w:hAnsi="Times New Roman"/>
          <w:szCs w:val="24"/>
        </w:rPr>
        <w:t>28.87-33.58m</w:t>
      </w:r>
      <w:r>
        <w:rPr>
          <w:rFonts w:ascii="Times New Roman" w:hAnsi="Times New Roman"/>
          <w:szCs w:val="24"/>
        </w:rPr>
        <w:t>，平均为</w:t>
      </w:r>
      <w:r>
        <w:rPr>
          <w:rFonts w:ascii="Times New Roman" w:hAnsi="Times New Roman"/>
          <w:szCs w:val="24"/>
        </w:rPr>
        <w:t>31.82m</w:t>
      </w:r>
      <w:r>
        <w:rPr>
          <w:rFonts w:ascii="Times New Roman" w:hAnsi="Times New Roman"/>
          <w:szCs w:val="24"/>
        </w:rPr>
        <w:t>；</w:t>
      </w:r>
    </w:p>
    <w:p w14:paraId="09E73713" w14:textId="77777777" w:rsidR="009C353B" w:rsidRDefault="00000000">
      <w:pPr>
        <w:spacing w:line="440" w:lineRule="exact"/>
        <w:rPr>
          <w:rFonts w:ascii="Times New Roman" w:hAnsi="Times New Roman"/>
          <w:szCs w:val="24"/>
        </w:rPr>
      </w:pPr>
      <w:r>
        <w:rPr>
          <w:rFonts w:ascii="Times New Roman" w:hAnsi="Times New Roman"/>
          <w:szCs w:val="24"/>
        </w:rPr>
        <w:t>九煤导水裂隙带高度为</w:t>
      </w:r>
      <w:r>
        <w:rPr>
          <w:rFonts w:ascii="Times New Roman" w:hAnsi="Times New Roman"/>
          <w:szCs w:val="24"/>
        </w:rPr>
        <w:t>30.98-134.54m</w:t>
      </w:r>
      <w:r>
        <w:rPr>
          <w:rFonts w:ascii="Times New Roman" w:hAnsi="Times New Roman"/>
          <w:szCs w:val="24"/>
        </w:rPr>
        <w:t>，平均为</w:t>
      </w:r>
      <w:r>
        <w:rPr>
          <w:rFonts w:ascii="Times New Roman" w:hAnsi="Times New Roman"/>
          <w:szCs w:val="24"/>
        </w:rPr>
        <w:t>79.33m</w:t>
      </w:r>
      <w:r>
        <w:rPr>
          <w:rFonts w:ascii="Times New Roman" w:hAnsi="Times New Roman"/>
          <w:szCs w:val="24"/>
        </w:rPr>
        <w:t>。任家庄井田一煤导水裂隙带高度为</w:t>
      </w:r>
      <w:r>
        <w:rPr>
          <w:rFonts w:ascii="Times New Roman" w:hAnsi="Times New Roman"/>
          <w:szCs w:val="24"/>
        </w:rPr>
        <w:t>26.73-48.76m</w:t>
      </w:r>
      <w:r>
        <w:rPr>
          <w:rFonts w:ascii="Times New Roman" w:hAnsi="Times New Roman"/>
          <w:szCs w:val="24"/>
        </w:rPr>
        <w:t>，平均为</w:t>
      </w:r>
      <w:r>
        <w:rPr>
          <w:rFonts w:ascii="Times New Roman" w:hAnsi="Times New Roman"/>
          <w:szCs w:val="24"/>
        </w:rPr>
        <w:t>33.58m</w:t>
      </w:r>
      <w:r>
        <w:rPr>
          <w:rFonts w:ascii="Times New Roman" w:hAnsi="Times New Roman"/>
          <w:szCs w:val="24"/>
        </w:rPr>
        <w:t>；三煤导水裂隙带高度为</w:t>
      </w:r>
      <w:r>
        <w:rPr>
          <w:rFonts w:ascii="Times New Roman" w:hAnsi="Times New Roman"/>
          <w:szCs w:val="24"/>
        </w:rPr>
        <w:t>28.76-88.76m</w:t>
      </w:r>
      <w:r>
        <w:rPr>
          <w:rFonts w:ascii="Times New Roman" w:hAnsi="Times New Roman"/>
          <w:szCs w:val="24"/>
        </w:rPr>
        <w:t>，平均为</w:t>
      </w:r>
      <w:r>
        <w:rPr>
          <w:rFonts w:ascii="Times New Roman" w:hAnsi="Times New Roman"/>
          <w:szCs w:val="24"/>
        </w:rPr>
        <w:t>47.49m</w:t>
      </w:r>
      <w:r>
        <w:rPr>
          <w:rFonts w:ascii="Times New Roman" w:hAnsi="Times New Roman"/>
          <w:szCs w:val="24"/>
        </w:rPr>
        <w:t>；五煤导水裂隙带高度为</w:t>
      </w:r>
      <w:r>
        <w:rPr>
          <w:rFonts w:ascii="Times New Roman" w:hAnsi="Times New Roman"/>
          <w:szCs w:val="24"/>
        </w:rPr>
        <w:t>38.14-167.21m</w:t>
      </w:r>
      <w:r>
        <w:rPr>
          <w:rFonts w:ascii="Times New Roman" w:hAnsi="Times New Roman"/>
          <w:szCs w:val="24"/>
        </w:rPr>
        <w:t>，平均为</w:t>
      </w:r>
      <w:r>
        <w:rPr>
          <w:rFonts w:ascii="Times New Roman" w:hAnsi="Times New Roman"/>
          <w:szCs w:val="24"/>
        </w:rPr>
        <w:t>77.78m</w:t>
      </w:r>
      <w:r>
        <w:rPr>
          <w:rFonts w:ascii="Times New Roman" w:hAnsi="Times New Roman"/>
          <w:szCs w:val="24"/>
        </w:rPr>
        <w:t>；八煤导水裂隙带高度为</w:t>
      </w:r>
      <w:r>
        <w:rPr>
          <w:rFonts w:ascii="Times New Roman" w:hAnsi="Times New Roman"/>
          <w:szCs w:val="24"/>
        </w:rPr>
        <w:t>26.25-34.98m</w:t>
      </w:r>
      <w:r>
        <w:rPr>
          <w:rFonts w:ascii="Times New Roman" w:hAnsi="Times New Roman"/>
          <w:szCs w:val="24"/>
        </w:rPr>
        <w:t>，平均为</w:t>
      </w:r>
      <w:r>
        <w:rPr>
          <w:rFonts w:ascii="Times New Roman" w:hAnsi="Times New Roman"/>
          <w:szCs w:val="24"/>
        </w:rPr>
        <w:t>30.3m</w:t>
      </w:r>
      <w:r>
        <w:rPr>
          <w:rFonts w:ascii="Times New Roman" w:hAnsi="Times New Roman"/>
          <w:szCs w:val="24"/>
        </w:rPr>
        <w:t>；九煤导水裂隙带高度为</w:t>
      </w:r>
      <w:r>
        <w:rPr>
          <w:rFonts w:ascii="Times New Roman" w:hAnsi="Times New Roman"/>
          <w:szCs w:val="24"/>
        </w:rPr>
        <w:t>36.61-97.07m</w:t>
      </w:r>
      <w:r>
        <w:rPr>
          <w:rFonts w:ascii="Times New Roman" w:hAnsi="Times New Roman"/>
          <w:szCs w:val="24"/>
        </w:rPr>
        <w:t>，平均为</w:t>
      </w:r>
      <w:r>
        <w:rPr>
          <w:rFonts w:ascii="Times New Roman" w:hAnsi="Times New Roman"/>
          <w:szCs w:val="24"/>
        </w:rPr>
        <w:t>77.92m</w:t>
      </w:r>
      <w:r>
        <w:rPr>
          <w:rFonts w:ascii="Times New Roman" w:hAnsi="Times New Roman"/>
          <w:szCs w:val="24"/>
        </w:rPr>
        <w:t>。丁家梁井田一煤导水裂隙带</w:t>
      </w:r>
      <w:r>
        <w:rPr>
          <w:rFonts w:ascii="Times New Roman" w:hAnsi="Times New Roman" w:hint="eastAsia"/>
          <w:szCs w:val="24"/>
        </w:rPr>
        <w:t>发育</w:t>
      </w:r>
      <w:r>
        <w:rPr>
          <w:rFonts w:ascii="Times New Roman" w:hAnsi="Times New Roman"/>
          <w:szCs w:val="24"/>
        </w:rPr>
        <w:t>高度为</w:t>
      </w:r>
      <w:r>
        <w:rPr>
          <w:rFonts w:ascii="Times New Roman" w:hAnsi="Times New Roman" w:hint="eastAsia"/>
          <w:szCs w:val="24"/>
        </w:rPr>
        <w:t>27.55</w:t>
      </w:r>
      <w:r>
        <w:rPr>
          <w:rFonts w:ascii="Times New Roman" w:hAnsi="Times New Roman"/>
          <w:szCs w:val="24"/>
        </w:rPr>
        <w:t>-53.41m</w:t>
      </w:r>
      <w:r>
        <w:rPr>
          <w:rFonts w:ascii="Times New Roman" w:hAnsi="Times New Roman"/>
          <w:szCs w:val="24"/>
        </w:rPr>
        <w:t>，平均为</w:t>
      </w:r>
      <w:r>
        <w:rPr>
          <w:rFonts w:ascii="Times New Roman" w:hAnsi="Times New Roman" w:hint="eastAsia"/>
          <w:szCs w:val="24"/>
        </w:rPr>
        <w:t>35.85</w:t>
      </w:r>
      <w:r>
        <w:rPr>
          <w:rFonts w:ascii="Times New Roman" w:hAnsi="Times New Roman"/>
          <w:szCs w:val="24"/>
        </w:rPr>
        <w:t>m</w:t>
      </w:r>
      <w:r>
        <w:rPr>
          <w:rFonts w:ascii="Times New Roman" w:hAnsi="Times New Roman"/>
          <w:szCs w:val="24"/>
        </w:rPr>
        <w:t>；三煤导水裂隙带高度为</w:t>
      </w:r>
      <w:r>
        <w:rPr>
          <w:rFonts w:ascii="Times New Roman" w:hAnsi="Times New Roman"/>
          <w:szCs w:val="24"/>
        </w:rPr>
        <w:t>26.97-78.62m</w:t>
      </w:r>
      <w:r>
        <w:rPr>
          <w:rFonts w:ascii="Times New Roman" w:hAnsi="Times New Roman"/>
          <w:szCs w:val="24"/>
        </w:rPr>
        <w:t>，平均为</w:t>
      </w:r>
      <w:r>
        <w:rPr>
          <w:rFonts w:ascii="Times New Roman" w:hAnsi="Times New Roman" w:hint="eastAsia"/>
          <w:szCs w:val="24"/>
        </w:rPr>
        <w:t>40.63</w:t>
      </w:r>
      <w:r>
        <w:rPr>
          <w:rFonts w:ascii="Times New Roman" w:hAnsi="Times New Roman"/>
          <w:szCs w:val="24"/>
        </w:rPr>
        <w:t>m</w:t>
      </w:r>
      <w:r>
        <w:rPr>
          <w:rFonts w:ascii="Times New Roman" w:hAnsi="Times New Roman"/>
          <w:szCs w:val="24"/>
        </w:rPr>
        <w:t>；五煤导水裂隙带高度为</w:t>
      </w:r>
      <w:r>
        <w:rPr>
          <w:rFonts w:ascii="Times New Roman" w:hAnsi="Times New Roman" w:hint="eastAsia"/>
          <w:szCs w:val="24"/>
        </w:rPr>
        <w:t>31.35</w:t>
      </w:r>
      <w:r>
        <w:rPr>
          <w:rFonts w:ascii="Times New Roman" w:hAnsi="Times New Roman"/>
          <w:szCs w:val="24"/>
        </w:rPr>
        <w:t>-</w:t>
      </w:r>
      <w:r>
        <w:rPr>
          <w:rFonts w:ascii="Times New Roman" w:hAnsi="Times New Roman" w:hint="eastAsia"/>
          <w:szCs w:val="24"/>
        </w:rPr>
        <w:t>135.58</w:t>
      </w:r>
      <w:r>
        <w:rPr>
          <w:rFonts w:ascii="Times New Roman" w:hAnsi="Times New Roman"/>
          <w:szCs w:val="24"/>
        </w:rPr>
        <w:t>m</w:t>
      </w:r>
      <w:r>
        <w:rPr>
          <w:rFonts w:ascii="Times New Roman" w:hAnsi="Times New Roman"/>
          <w:szCs w:val="24"/>
        </w:rPr>
        <w:t>，平均为</w:t>
      </w:r>
      <w:r>
        <w:rPr>
          <w:rFonts w:ascii="Times New Roman" w:hAnsi="Times New Roman" w:hint="eastAsia"/>
          <w:szCs w:val="24"/>
        </w:rPr>
        <w:t>67.85</w:t>
      </w:r>
      <w:r>
        <w:rPr>
          <w:rFonts w:ascii="Times New Roman" w:hAnsi="Times New Roman"/>
          <w:szCs w:val="24"/>
        </w:rPr>
        <w:t>m</w:t>
      </w:r>
      <w:r>
        <w:rPr>
          <w:rFonts w:ascii="Times New Roman" w:hAnsi="Times New Roman"/>
          <w:szCs w:val="24"/>
        </w:rPr>
        <w:t>；八煤导水裂隙带高度为</w:t>
      </w:r>
      <w:r>
        <w:rPr>
          <w:rFonts w:ascii="Times New Roman" w:hAnsi="Times New Roman"/>
          <w:szCs w:val="24"/>
        </w:rPr>
        <w:t>27.09-68.34m</w:t>
      </w:r>
      <w:r>
        <w:rPr>
          <w:rFonts w:ascii="Times New Roman" w:hAnsi="Times New Roman"/>
          <w:szCs w:val="24"/>
        </w:rPr>
        <w:t>，平均为</w:t>
      </w:r>
      <w:r>
        <w:rPr>
          <w:rFonts w:ascii="Times New Roman" w:hAnsi="Times New Roman" w:hint="eastAsia"/>
          <w:szCs w:val="24"/>
        </w:rPr>
        <w:t>31.12</w:t>
      </w:r>
      <w:r>
        <w:rPr>
          <w:rFonts w:ascii="Times New Roman" w:hAnsi="Times New Roman"/>
          <w:szCs w:val="24"/>
        </w:rPr>
        <w:t>m</w:t>
      </w:r>
      <w:r>
        <w:rPr>
          <w:rFonts w:ascii="Times New Roman" w:hAnsi="Times New Roman"/>
          <w:szCs w:val="24"/>
        </w:rPr>
        <w:t>；九煤导水裂隙带高度为</w:t>
      </w:r>
      <w:r>
        <w:rPr>
          <w:rFonts w:ascii="Times New Roman" w:hAnsi="Times New Roman"/>
          <w:szCs w:val="24"/>
        </w:rPr>
        <w:t>34.17-</w:t>
      </w:r>
      <w:r>
        <w:rPr>
          <w:rFonts w:ascii="Times New Roman" w:hAnsi="Times New Roman" w:hint="eastAsia"/>
          <w:szCs w:val="24"/>
        </w:rPr>
        <w:t>116.09</w:t>
      </w:r>
      <w:r>
        <w:rPr>
          <w:rFonts w:ascii="Times New Roman" w:hAnsi="Times New Roman"/>
          <w:szCs w:val="24"/>
        </w:rPr>
        <w:t>m</w:t>
      </w:r>
      <w:r>
        <w:rPr>
          <w:rFonts w:ascii="Times New Roman" w:hAnsi="Times New Roman"/>
          <w:szCs w:val="24"/>
        </w:rPr>
        <w:t>，平均为</w:t>
      </w:r>
      <w:r>
        <w:rPr>
          <w:rFonts w:ascii="Times New Roman" w:hAnsi="Times New Roman" w:hint="eastAsia"/>
          <w:szCs w:val="24"/>
        </w:rPr>
        <w:t>63.41</w:t>
      </w:r>
      <w:r>
        <w:rPr>
          <w:rFonts w:ascii="Times New Roman" w:hAnsi="Times New Roman"/>
          <w:szCs w:val="24"/>
        </w:rPr>
        <w:t>m</w:t>
      </w:r>
      <w:r>
        <w:rPr>
          <w:rFonts w:ascii="Times New Roman" w:hAnsi="Times New Roman"/>
          <w:szCs w:val="24"/>
        </w:rPr>
        <w:t>。</w:t>
      </w:r>
    </w:p>
    <w:p w14:paraId="063896A1" w14:textId="77777777" w:rsidR="009C353B" w:rsidRDefault="00000000">
      <w:pPr>
        <w:adjustRightInd w:val="0"/>
        <w:spacing w:line="440" w:lineRule="exact"/>
        <w:jc w:val="center"/>
        <w:textAlignment w:val="baseline"/>
        <w:rPr>
          <w:rFonts w:ascii="Times New Roman" w:hAnsi="Times New Roman"/>
          <w:b/>
          <w:kern w:val="0"/>
          <w:szCs w:val="24"/>
        </w:rPr>
      </w:pPr>
      <w:r>
        <w:rPr>
          <w:rFonts w:ascii="Times New Roman" w:hAnsi="Times New Roman"/>
          <w:b/>
          <w:kern w:val="0"/>
          <w:szCs w:val="24"/>
        </w:rPr>
        <w:t>各煤层开采后导水裂缝带发育高度计算结果一览表</w:t>
      </w:r>
    </w:p>
    <w:p w14:paraId="43F74499" w14:textId="77777777" w:rsidR="009C353B" w:rsidRDefault="00000000">
      <w:pPr>
        <w:adjustRightInd w:val="0"/>
        <w:snapToGrid w:val="0"/>
        <w:spacing w:line="440" w:lineRule="exact"/>
        <w:outlineLvl w:val="4"/>
        <w:rPr>
          <w:rFonts w:ascii="Times New Roman" w:hAnsi="Times New Roman"/>
          <w:bCs/>
          <w:szCs w:val="24"/>
        </w:rPr>
      </w:pPr>
      <w:r>
        <w:rPr>
          <w:rFonts w:ascii="Times New Roman" w:hAnsi="Times New Roman"/>
          <w:bCs/>
          <w:szCs w:val="24"/>
        </w:rPr>
        <w:t>表</w:t>
      </w:r>
      <w:r>
        <w:rPr>
          <w:rFonts w:ascii="Times New Roman" w:hAnsi="Times New Roman" w:hint="eastAsia"/>
          <w:bCs/>
          <w:szCs w:val="24"/>
        </w:rPr>
        <w:t>6.3-</w:t>
      </w:r>
      <w:r>
        <w:rPr>
          <w:rFonts w:ascii="Times New Roman" w:hAnsi="Times New Roman"/>
          <w:bCs/>
          <w:szCs w:val="24"/>
        </w:rPr>
        <w:t>3</w:t>
      </w:r>
    </w:p>
    <w:tbl>
      <w:tblPr>
        <w:tblStyle w:val="afffffffffffffffffffffff6"/>
        <w:tblW w:w="5004" w:type="pct"/>
        <w:tblLayout w:type="fixed"/>
        <w:tblLook w:val="04A0" w:firstRow="1" w:lastRow="0" w:firstColumn="1" w:lastColumn="0" w:noHBand="0" w:noVBand="1"/>
      </w:tblPr>
      <w:tblGrid>
        <w:gridCol w:w="470"/>
        <w:gridCol w:w="398"/>
        <w:gridCol w:w="1308"/>
        <w:gridCol w:w="1162"/>
        <w:gridCol w:w="1452"/>
        <w:gridCol w:w="1454"/>
        <w:gridCol w:w="1452"/>
        <w:gridCol w:w="1598"/>
      </w:tblGrid>
      <w:tr w:rsidR="009C353B" w14:paraId="7366BC50" w14:textId="77777777">
        <w:trPr>
          <w:trHeight w:val="340"/>
          <w:tblHeader/>
        </w:trPr>
        <w:tc>
          <w:tcPr>
            <w:tcW w:w="470" w:type="dxa"/>
            <w:vMerge w:val="restart"/>
          </w:tcPr>
          <w:p w14:paraId="000F857A"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井田名称</w:t>
            </w:r>
          </w:p>
        </w:tc>
        <w:tc>
          <w:tcPr>
            <w:tcW w:w="398" w:type="dxa"/>
            <w:vMerge w:val="restart"/>
          </w:tcPr>
          <w:p w14:paraId="6E803A96"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煤层</w:t>
            </w:r>
          </w:p>
        </w:tc>
        <w:tc>
          <w:tcPr>
            <w:tcW w:w="1308" w:type="dxa"/>
            <w:vMerge w:val="restart"/>
          </w:tcPr>
          <w:p w14:paraId="48547F35"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煤层厚度</w:t>
            </w:r>
          </w:p>
          <w:p w14:paraId="6CA0FF53"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kern w:val="0"/>
                <w:sz w:val="21"/>
                <w:szCs w:val="21"/>
              </w:rPr>
              <w:t>m</w:t>
            </w:r>
            <w:r>
              <w:rPr>
                <w:rFonts w:ascii="Times New Roman" w:hAnsi="Times New Roman"/>
                <w:kern w:val="0"/>
                <w:sz w:val="21"/>
                <w:szCs w:val="21"/>
              </w:rPr>
              <w:t>）</w:t>
            </w:r>
          </w:p>
        </w:tc>
        <w:tc>
          <w:tcPr>
            <w:tcW w:w="1162" w:type="dxa"/>
            <w:vMerge w:val="restart"/>
          </w:tcPr>
          <w:p w14:paraId="777002A5"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可采厚度</w:t>
            </w:r>
          </w:p>
          <w:p w14:paraId="1F225893"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kern w:val="0"/>
                <w:sz w:val="21"/>
                <w:szCs w:val="21"/>
              </w:rPr>
              <w:t>m</w:t>
            </w:r>
            <w:r>
              <w:rPr>
                <w:rFonts w:ascii="Times New Roman" w:hAnsi="Times New Roman"/>
                <w:kern w:val="0"/>
                <w:sz w:val="21"/>
                <w:szCs w:val="21"/>
              </w:rPr>
              <w:t>）</w:t>
            </w:r>
          </w:p>
        </w:tc>
        <w:tc>
          <w:tcPr>
            <w:tcW w:w="2906" w:type="dxa"/>
            <w:gridSpan w:val="2"/>
          </w:tcPr>
          <w:p w14:paraId="03ACB0C9" w14:textId="77777777" w:rsidR="009C353B" w:rsidRDefault="00000000">
            <w:pPr>
              <w:widowControl/>
              <w:adjustRightInd w:val="0"/>
              <w:snapToGrid w:val="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三下采煤规程</w:t>
            </w:r>
            <w:r>
              <w:rPr>
                <w:rFonts w:ascii="Times New Roman" w:hAnsi="Times New Roman" w:hint="eastAsia"/>
                <w:sz w:val="21"/>
                <w:szCs w:val="21"/>
              </w:rPr>
              <w:t>”</w:t>
            </w:r>
            <w:r>
              <w:rPr>
                <w:rFonts w:ascii="Times New Roman" w:hAnsi="Times New Roman"/>
                <w:sz w:val="21"/>
                <w:szCs w:val="21"/>
              </w:rPr>
              <w:t>导水裂缝带高度（</w:t>
            </w:r>
            <w:r>
              <w:rPr>
                <w:rFonts w:ascii="Times New Roman" w:hAnsi="Times New Roman"/>
                <w:sz w:val="21"/>
                <w:szCs w:val="21"/>
              </w:rPr>
              <w:t>m</w:t>
            </w:r>
            <w:r>
              <w:rPr>
                <w:rFonts w:ascii="Times New Roman" w:hAnsi="Times New Roman"/>
                <w:sz w:val="21"/>
                <w:szCs w:val="21"/>
              </w:rPr>
              <w:t>）</w:t>
            </w:r>
          </w:p>
        </w:tc>
        <w:tc>
          <w:tcPr>
            <w:tcW w:w="1452" w:type="dxa"/>
            <w:vMerge w:val="restart"/>
          </w:tcPr>
          <w:p w14:paraId="1306B709" w14:textId="77777777" w:rsidR="009C353B" w:rsidRDefault="00000000">
            <w:pPr>
              <w:widowControl/>
              <w:adjustRightInd w:val="0"/>
              <w:snapToGrid w:val="0"/>
              <w:jc w:val="center"/>
              <w:rPr>
                <w:rFonts w:ascii="Times New Roman" w:hAnsi="Times New Roman"/>
                <w:sz w:val="21"/>
                <w:szCs w:val="21"/>
              </w:rPr>
            </w:pPr>
            <w:r>
              <w:rPr>
                <w:rFonts w:ascii="Times New Roman" w:hAnsi="Times New Roman" w:hint="eastAsia"/>
                <w:kern w:val="0"/>
                <w:sz w:val="21"/>
                <w:szCs w:val="21"/>
              </w:rPr>
              <w:t>“</w:t>
            </w:r>
            <w:r>
              <w:rPr>
                <w:rFonts w:ascii="Times New Roman" w:hAnsi="Times New Roman"/>
                <w:kern w:val="0"/>
                <w:sz w:val="21"/>
                <w:szCs w:val="21"/>
              </w:rPr>
              <w:t>矿区勘探规范</w:t>
            </w:r>
            <w:r>
              <w:rPr>
                <w:rFonts w:ascii="Times New Roman" w:hAnsi="Times New Roman" w:hint="eastAsia"/>
                <w:kern w:val="0"/>
                <w:sz w:val="21"/>
                <w:szCs w:val="21"/>
              </w:rPr>
              <w:t>”</w:t>
            </w:r>
            <w:r>
              <w:rPr>
                <w:rFonts w:ascii="Times New Roman" w:hAnsi="Times New Roman"/>
                <w:kern w:val="0"/>
                <w:sz w:val="21"/>
                <w:szCs w:val="21"/>
              </w:rPr>
              <w:t>导水裂缝带高度（</w:t>
            </w:r>
            <w:r>
              <w:rPr>
                <w:rFonts w:ascii="Times New Roman" w:hAnsi="Times New Roman"/>
                <w:kern w:val="0"/>
                <w:sz w:val="21"/>
                <w:szCs w:val="21"/>
              </w:rPr>
              <w:t>m</w:t>
            </w:r>
            <w:r>
              <w:rPr>
                <w:rFonts w:ascii="Times New Roman" w:hAnsi="Times New Roman"/>
                <w:kern w:val="0"/>
                <w:sz w:val="21"/>
                <w:szCs w:val="21"/>
              </w:rPr>
              <w:t>）</w:t>
            </w:r>
          </w:p>
        </w:tc>
        <w:tc>
          <w:tcPr>
            <w:tcW w:w="1598" w:type="dxa"/>
            <w:vMerge w:val="restart"/>
          </w:tcPr>
          <w:p w14:paraId="03A88799" w14:textId="77777777" w:rsidR="009C353B" w:rsidRDefault="00000000">
            <w:pPr>
              <w:widowControl/>
              <w:adjustRightInd w:val="0"/>
              <w:snapToGrid w:val="0"/>
              <w:jc w:val="center"/>
              <w:rPr>
                <w:rFonts w:ascii="Times New Roman" w:hAnsi="Times New Roman"/>
                <w:sz w:val="21"/>
                <w:szCs w:val="21"/>
              </w:rPr>
            </w:pPr>
            <w:r>
              <w:rPr>
                <w:rFonts w:ascii="Times New Roman" w:hAnsi="Times New Roman"/>
                <w:sz w:val="21"/>
                <w:szCs w:val="21"/>
              </w:rPr>
              <w:t>采用的导水裂缝带高度（</w:t>
            </w:r>
            <w:r>
              <w:rPr>
                <w:rFonts w:ascii="Times New Roman" w:hAnsi="Times New Roman"/>
                <w:sz w:val="21"/>
                <w:szCs w:val="21"/>
              </w:rPr>
              <w:t>m</w:t>
            </w:r>
            <w:r>
              <w:rPr>
                <w:rFonts w:ascii="Times New Roman" w:hAnsi="Times New Roman"/>
                <w:sz w:val="21"/>
                <w:szCs w:val="21"/>
              </w:rPr>
              <w:t>）</w:t>
            </w:r>
          </w:p>
        </w:tc>
      </w:tr>
      <w:tr w:rsidR="009C353B" w14:paraId="74AE4016" w14:textId="77777777">
        <w:trPr>
          <w:trHeight w:val="340"/>
          <w:tblHeader/>
        </w:trPr>
        <w:tc>
          <w:tcPr>
            <w:tcW w:w="470" w:type="dxa"/>
            <w:vMerge/>
          </w:tcPr>
          <w:p w14:paraId="4753510F"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vMerge/>
          </w:tcPr>
          <w:p w14:paraId="62597A00"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1308" w:type="dxa"/>
            <w:vMerge/>
          </w:tcPr>
          <w:p w14:paraId="1DAA2BC4" w14:textId="77777777" w:rsidR="009C353B" w:rsidRDefault="009C353B">
            <w:pPr>
              <w:autoSpaceDE w:val="0"/>
              <w:autoSpaceDN w:val="0"/>
              <w:adjustRightInd w:val="0"/>
              <w:snapToGrid w:val="0"/>
              <w:jc w:val="center"/>
              <w:rPr>
                <w:rFonts w:ascii="Times New Roman" w:hAnsi="Times New Roman"/>
                <w:kern w:val="0"/>
                <w:sz w:val="21"/>
                <w:szCs w:val="21"/>
                <w:u w:val="single"/>
              </w:rPr>
            </w:pPr>
          </w:p>
        </w:tc>
        <w:tc>
          <w:tcPr>
            <w:tcW w:w="1162" w:type="dxa"/>
            <w:vMerge/>
          </w:tcPr>
          <w:p w14:paraId="245DC8E9" w14:textId="77777777" w:rsidR="009C353B" w:rsidRDefault="009C353B">
            <w:pPr>
              <w:autoSpaceDE w:val="0"/>
              <w:autoSpaceDN w:val="0"/>
              <w:adjustRightInd w:val="0"/>
              <w:snapToGrid w:val="0"/>
              <w:jc w:val="center"/>
              <w:rPr>
                <w:rFonts w:ascii="Times New Roman" w:hAnsi="Times New Roman"/>
                <w:kern w:val="0"/>
                <w:sz w:val="21"/>
                <w:szCs w:val="21"/>
                <w:u w:val="single"/>
              </w:rPr>
            </w:pPr>
          </w:p>
        </w:tc>
        <w:tc>
          <w:tcPr>
            <w:tcW w:w="1452" w:type="dxa"/>
          </w:tcPr>
          <w:p w14:paraId="3CF149CB" w14:textId="77777777" w:rsidR="009C353B" w:rsidRDefault="00000000">
            <w:pPr>
              <w:widowControl/>
              <w:adjustRightInd w:val="0"/>
              <w:snapToGrid w:val="0"/>
              <w:jc w:val="center"/>
              <w:rPr>
                <w:rFonts w:ascii="Times New Roman" w:hAnsi="Times New Roman"/>
                <w:sz w:val="21"/>
                <w:szCs w:val="21"/>
                <w:u w:val="single"/>
              </w:rPr>
            </w:pPr>
            <w:r>
              <w:rPr>
                <w:rFonts w:ascii="Times New Roman" w:hAnsi="Times New Roman"/>
                <w:sz w:val="21"/>
                <w:szCs w:val="21"/>
                <w:u w:val="single"/>
              </w:rPr>
              <w:t>公式一</w:t>
            </w:r>
          </w:p>
        </w:tc>
        <w:tc>
          <w:tcPr>
            <w:tcW w:w="1454" w:type="dxa"/>
          </w:tcPr>
          <w:p w14:paraId="0FA8BE9A" w14:textId="77777777" w:rsidR="009C353B" w:rsidRDefault="00000000">
            <w:pPr>
              <w:widowControl/>
              <w:adjustRightInd w:val="0"/>
              <w:snapToGrid w:val="0"/>
              <w:jc w:val="center"/>
              <w:rPr>
                <w:rFonts w:ascii="Times New Roman" w:hAnsi="Times New Roman"/>
                <w:sz w:val="21"/>
                <w:szCs w:val="21"/>
                <w:u w:val="single"/>
              </w:rPr>
            </w:pPr>
            <w:r>
              <w:rPr>
                <w:rFonts w:ascii="Times New Roman" w:hAnsi="Times New Roman"/>
                <w:sz w:val="21"/>
                <w:szCs w:val="21"/>
                <w:u w:val="single"/>
              </w:rPr>
              <w:t>公式二</w:t>
            </w:r>
          </w:p>
        </w:tc>
        <w:tc>
          <w:tcPr>
            <w:tcW w:w="1452" w:type="dxa"/>
            <w:vMerge/>
          </w:tcPr>
          <w:p w14:paraId="57A4C2DB" w14:textId="77777777" w:rsidR="009C353B" w:rsidRDefault="009C353B">
            <w:pPr>
              <w:widowControl/>
              <w:adjustRightInd w:val="0"/>
              <w:snapToGrid w:val="0"/>
              <w:jc w:val="center"/>
              <w:rPr>
                <w:rFonts w:ascii="Times New Roman" w:hAnsi="Times New Roman"/>
                <w:sz w:val="21"/>
                <w:szCs w:val="21"/>
                <w:u w:val="single"/>
              </w:rPr>
            </w:pPr>
          </w:p>
        </w:tc>
        <w:tc>
          <w:tcPr>
            <w:tcW w:w="1598" w:type="dxa"/>
            <w:vMerge/>
          </w:tcPr>
          <w:p w14:paraId="66D42C24" w14:textId="77777777" w:rsidR="009C353B" w:rsidRDefault="009C353B">
            <w:pPr>
              <w:widowControl/>
              <w:adjustRightInd w:val="0"/>
              <w:snapToGrid w:val="0"/>
              <w:jc w:val="center"/>
              <w:rPr>
                <w:rFonts w:ascii="Times New Roman" w:hAnsi="Times New Roman"/>
                <w:sz w:val="21"/>
                <w:szCs w:val="21"/>
                <w:u w:val="single"/>
              </w:rPr>
            </w:pPr>
          </w:p>
        </w:tc>
      </w:tr>
      <w:tr w:rsidR="009C353B" w14:paraId="516BAD41" w14:textId="77777777">
        <w:trPr>
          <w:trHeight w:val="340"/>
          <w:tblHeader/>
        </w:trPr>
        <w:tc>
          <w:tcPr>
            <w:tcW w:w="470" w:type="dxa"/>
            <w:vMerge/>
          </w:tcPr>
          <w:p w14:paraId="5BDD721E"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vMerge/>
          </w:tcPr>
          <w:p w14:paraId="596FD8EA"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1308" w:type="dxa"/>
          </w:tcPr>
          <w:p w14:paraId="32E1780D"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rPr>
              <w:t>最小</w:t>
            </w:r>
            <w:r>
              <w:rPr>
                <w:rFonts w:ascii="Times New Roman" w:hAnsi="Times New Roman"/>
                <w:sz w:val="21"/>
                <w:szCs w:val="21"/>
                <w:u w:val="single"/>
              </w:rPr>
              <w:t>-</w:t>
            </w:r>
            <w:r>
              <w:rPr>
                <w:rFonts w:ascii="Times New Roman" w:hAnsi="Times New Roman"/>
                <w:kern w:val="0"/>
                <w:sz w:val="21"/>
                <w:szCs w:val="21"/>
                <w:u w:val="single"/>
              </w:rPr>
              <w:t>最大</w:t>
            </w:r>
          </w:p>
          <w:p w14:paraId="0EC76BE8"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平均</w:t>
            </w:r>
          </w:p>
        </w:tc>
        <w:tc>
          <w:tcPr>
            <w:tcW w:w="1162" w:type="dxa"/>
          </w:tcPr>
          <w:p w14:paraId="13836D50"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rPr>
              <w:t>最小</w:t>
            </w:r>
            <w:r>
              <w:rPr>
                <w:rFonts w:ascii="Times New Roman" w:hAnsi="Times New Roman"/>
                <w:sz w:val="21"/>
                <w:szCs w:val="21"/>
                <w:u w:val="single"/>
              </w:rPr>
              <w:t>-</w:t>
            </w:r>
            <w:r>
              <w:rPr>
                <w:rFonts w:ascii="Times New Roman" w:hAnsi="Times New Roman"/>
                <w:kern w:val="0"/>
                <w:sz w:val="21"/>
                <w:szCs w:val="21"/>
                <w:u w:val="single"/>
              </w:rPr>
              <w:t>最大</w:t>
            </w:r>
          </w:p>
          <w:p w14:paraId="34055B3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平均</w:t>
            </w:r>
          </w:p>
        </w:tc>
        <w:tc>
          <w:tcPr>
            <w:tcW w:w="1452" w:type="dxa"/>
          </w:tcPr>
          <w:p w14:paraId="4C896649" w14:textId="77777777" w:rsidR="009C353B" w:rsidRDefault="00000000">
            <w:pPr>
              <w:widowControl/>
              <w:adjustRightInd w:val="0"/>
              <w:snapToGrid w:val="0"/>
              <w:jc w:val="center"/>
              <w:rPr>
                <w:rFonts w:ascii="Times New Roman" w:hAnsi="Times New Roman"/>
                <w:sz w:val="21"/>
                <w:szCs w:val="21"/>
                <w:u w:val="single"/>
              </w:rPr>
            </w:pPr>
            <w:r>
              <w:rPr>
                <w:rFonts w:ascii="Times New Roman" w:hAnsi="Times New Roman"/>
                <w:sz w:val="21"/>
                <w:szCs w:val="21"/>
                <w:u w:val="single"/>
              </w:rPr>
              <w:t>最小</w:t>
            </w:r>
            <w:r>
              <w:rPr>
                <w:rFonts w:ascii="Times New Roman" w:hAnsi="Times New Roman"/>
                <w:sz w:val="21"/>
                <w:szCs w:val="21"/>
                <w:u w:val="single"/>
              </w:rPr>
              <w:t>-</w:t>
            </w:r>
            <w:r>
              <w:rPr>
                <w:rFonts w:ascii="Times New Roman" w:hAnsi="Times New Roman"/>
                <w:sz w:val="21"/>
                <w:szCs w:val="21"/>
                <w:u w:val="single"/>
              </w:rPr>
              <w:t>最大</w:t>
            </w:r>
          </w:p>
          <w:p w14:paraId="4E25CA6C" w14:textId="77777777" w:rsidR="009C353B" w:rsidRDefault="00000000">
            <w:pPr>
              <w:widowControl/>
              <w:adjustRightInd w:val="0"/>
              <w:snapToGrid w:val="0"/>
              <w:jc w:val="center"/>
              <w:rPr>
                <w:rFonts w:ascii="Times New Roman" w:hAnsi="Times New Roman"/>
                <w:sz w:val="21"/>
                <w:szCs w:val="21"/>
                <w:u w:val="single"/>
              </w:rPr>
            </w:pPr>
            <w:r>
              <w:rPr>
                <w:rFonts w:ascii="Times New Roman" w:hAnsi="Times New Roman"/>
                <w:sz w:val="21"/>
                <w:szCs w:val="21"/>
              </w:rPr>
              <w:t>平均</w:t>
            </w:r>
          </w:p>
        </w:tc>
        <w:tc>
          <w:tcPr>
            <w:tcW w:w="1454" w:type="dxa"/>
          </w:tcPr>
          <w:p w14:paraId="1AD36B27" w14:textId="77777777" w:rsidR="009C353B" w:rsidRDefault="00000000">
            <w:pPr>
              <w:widowControl/>
              <w:adjustRightInd w:val="0"/>
              <w:snapToGrid w:val="0"/>
              <w:jc w:val="center"/>
              <w:rPr>
                <w:rFonts w:ascii="Times New Roman" w:hAnsi="Times New Roman"/>
                <w:sz w:val="21"/>
                <w:szCs w:val="21"/>
                <w:u w:val="single"/>
              </w:rPr>
            </w:pPr>
            <w:r>
              <w:rPr>
                <w:rFonts w:ascii="Times New Roman" w:hAnsi="Times New Roman"/>
                <w:sz w:val="21"/>
                <w:szCs w:val="21"/>
                <w:u w:val="single"/>
              </w:rPr>
              <w:t>最小</w:t>
            </w:r>
            <w:r>
              <w:rPr>
                <w:rFonts w:ascii="Times New Roman" w:hAnsi="Times New Roman"/>
                <w:sz w:val="21"/>
                <w:szCs w:val="21"/>
                <w:u w:val="single"/>
              </w:rPr>
              <w:t>-</w:t>
            </w:r>
            <w:r>
              <w:rPr>
                <w:rFonts w:ascii="Times New Roman" w:hAnsi="Times New Roman"/>
                <w:sz w:val="21"/>
                <w:szCs w:val="21"/>
                <w:u w:val="single"/>
              </w:rPr>
              <w:t>最大</w:t>
            </w:r>
          </w:p>
          <w:p w14:paraId="3BC26972" w14:textId="77777777" w:rsidR="009C353B" w:rsidRDefault="00000000">
            <w:pPr>
              <w:widowControl/>
              <w:adjustRightInd w:val="0"/>
              <w:snapToGrid w:val="0"/>
              <w:jc w:val="center"/>
              <w:rPr>
                <w:rFonts w:ascii="Times New Roman" w:hAnsi="Times New Roman"/>
                <w:sz w:val="21"/>
                <w:szCs w:val="21"/>
              </w:rPr>
            </w:pPr>
            <w:r>
              <w:rPr>
                <w:rFonts w:ascii="Times New Roman" w:hAnsi="Times New Roman"/>
                <w:sz w:val="21"/>
                <w:szCs w:val="21"/>
              </w:rPr>
              <w:t>平均</w:t>
            </w:r>
          </w:p>
        </w:tc>
        <w:tc>
          <w:tcPr>
            <w:tcW w:w="1452" w:type="dxa"/>
          </w:tcPr>
          <w:p w14:paraId="2C540FAF" w14:textId="77777777" w:rsidR="009C353B" w:rsidRDefault="00000000">
            <w:pPr>
              <w:widowControl/>
              <w:adjustRightInd w:val="0"/>
              <w:snapToGrid w:val="0"/>
              <w:jc w:val="center"/>
              <w:rPr>
                <w:rFonts w:ascii="Times New Roman" w:hAnsi="Times New Roman"/>
                <w:sz w:val="21"/>
                <w:szCs w:val="21"/>
                <w:u w:val="single"/>
              </w:rPr>
            </w:pPr>
            <w:r>
              <w:rPr>
                <w:rFonts w:ascii="Times New Roman" w:hAnsi="Times New Roman"/>
                <w:sz w:val="21"/>
                <w:szCs w:val="21"/>
                <w:u w:val="single"/>
              </w:rPr>
              <w:t>最小</w:t>
            </w:r>
            <w:r>
              <w:rPr>
                <w:rFonts w:ascii="Times New Roman" w:hAnsi="Times New Roman"/>
                <w:sz w:val="21"/>
                <w:szCs w:val="21"/>
                <w:u w:val="single"/>
              </w:rPr>
              <w:t>-</w:t>
            </w:r>
            <w:r>
              <w:rPr>
                <w:rFonts w:ascii="Times New Roman" w:hAnsi="Times New Roman"/>
                <w:sz w:val="21"/>
                <w:szCs w:val="21"/>
                <w:u w:val="single"/>
              </w:rPr>
              <w:t>最大</w:t>
            </w:r>
          </w:p>
          <w:p w14:paraId="2FEA7B2D" w14:textId="77777777" w:rsidR="009C353B" w:rsidRDefault="00000000">
            <w:pPr>
              <w:widowControl/>
              <w:adjustRightInd w:val="0"/>
              <w:snapToGrid w:val="0"/>
              <w:jc w:val="center"/>
              <w:rPr>
                <w:rFonts w:ascii="Times New Roman" w:hAnsi="Times New Roman"/>
                <w:sz w:val="21"/>
                <w:szCs w:val="21"/>
                <w:u w:val="single"/>
              </w:rPr>
            </w:pPr>
            <w:r>
              <w:rPr>
                <w:rFonts w:ascii="Times New Roman" w:hAnsi="Times New Roman"/>
                <w:sz w:val="21"/>
                <w:szCs w:val="21"/>
              </w:rPr>
              <w:t>平均</w:t>
            </w:r>
          </w:p>
        </w:tc>
        <w:tc>
          <w:tcPr>
            <w:tcW w:w="1598" w:type="dxa"/>
          </w:tcPr>
          <w:p w14:paraId="51843594" w14:textId="77777777" w:rsidR="009C353B" w:rsidRDefault="00000000">
            <w:pPr>
              <w:widowControl/>
              <w:adjustRightInd w:val="0"/>
              <w:snapToGrid w:val="0"/>
              <w:jc w:val="center"/>
              <w:rPr>
                <w:rFonts w:ascii="Times New Roman" w:hAnsi="Times New Roman"/>
                <w:sz w:val="21"/>
                <w:szCs w:val="21"/>
                <w:u w:val="single"/>
              </w:rPr>
            </w:pPr>
            <w:r>
              <w:rPr>
                <w:rFonts w:ascii="Times New Roman" w:hAnsi="Times New Roman"/>
                <w:sz w:val="21"/>
                <w:szCs w:val="21"/>
                <w:u w:val="single"/>
              </w:rPr>
              <w:t>最小</w:t>
            </w:r>
            <w:r>
              <w:rPr>
                <w:rFonts w:ascii="Times New Roman" w:hAnsi="Times New Roman"/>
                <w:sz w:val="21"/>
                <w:szCs w:val="21"/>
                <w:u w:val="single"/>
              </w:rPr>
              <w:t>-</w:t>
            </w:r>
            <w:r>
              <w:rPr>
                <w:rFonts w:ascii="Times New Roman" w:hAnsi="Times New Roman"/>
                <w:sz w:val="21"/>
                <w:szCs w:val="21"/>
                <w:u w:val="single"/>
              </w:rPr>
              <w:t>最大</w:t>
            </w:r>
          </w:p>
          <w:p w14:paraId="58084C80" w14:textId="77777777" w:rsidR="009C353B" w:rsidRDefault="00000000">
            <w:pPr>
              <w:widowControl/>
              <w:adjustRightInd w:val="0"/>
              <w:snapToGrid w:val="0"/>
              <w:jc w:val="center"/>
              <w:rPr>
                <w:rFonts w:ascii="Times New Roman" w:hAnsi="Times New Roman"/>
                <w:sz w:val="21"/>
                <w:szCs w:val="21"/>
                <w:u w:val="single"/>
              </w:rPr>
            </w:pPr>
            <w:r>
              <w:rPr>
                <w:rFonts w:ascii="Times New Roman" w:hAnsi="Times New Roman"/>
                <w:sz w:val="21"/>
                <w:szCs w:val="21"/>
              </w:rPr>
              <w:t>平均</w:t>
            </w:r>
          </w:p>
        </w:tc>
      </w:tr>
      <w:tr w:rsidR="009C353B" w14:paraId="76685935" w14:textId="77777777">
        <w:trPr>
          <w:trHeight w:val="340"/>
        </w:trPr>
        <w:tc>
          <w:tcPr>
            <w:tcW w:w="470" w:type="dxa"/>
            <w:vMerge w:val="restart"/>
          </w:tcPr>
          <w:p w14:paraId="2AE27FE4" w14:textId="77777777" w:rsidR="009C353B" w:rsidRDefault="00000000">
            <w:pPr>
              <w:autoSpaceDE w:val="0"/>
              <w:autoSpaceDN w:val="0"/>
              <w:adjustRightInd w:val="0"/>
              <w:snapToGrid w:val="0"/>
              <w:jc w:val="center"/>
              <w:rPr>
                <w:rFonts w:ascii="Times New Roman" w:hAnsi="Times New Roman"/>
                <w:kern w:val="0"/>
                <w:sz w:val="21"/>
                <w:szCs w:val="21"/>
              </w:rPr>
            </w:pPr>
            <w:bookmarkStart w:id="256" w:name="_Hlk44334646"/>
            <w:r>
              <w:rPr>
                <w:rFonts w:ascii="Times New Roman" w:hAnsi="Times New Roman"/>
                <w:kern w:val="0"/>
                <w:sz w:val="21"/>
                <w:szCs w:val="21"/>
              </w:rPr>
              <w:t>马连台井田</w:t>
            </w:r>
          </w:p>
        </w:tc>
        <w:tc>
          <w:tcPr>
            <w:tcW w:w="398" w:type="dxa"/>
          </w:tcPr>
          <w:p w14:paraId="4E51092C"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一煤</w:t>
            </w:r>
          </w:p>
        </w:tc>
        <w:tc>
          <w:tcPr>
            <w:tcW w:w="1308" w:type="dxa"/>
          </w:tcPr>
          <w:p w14:paraId="15D9B16E"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0.38~5.71</w:t>
            </w:r>
          </w:p>
          <w:p w14:paraId="5B7897A2"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2.15</w:t>
            </w:r>
          </w:p>
        </w:tc>
        <w:tc>
          <w:tcPr>
            <w:tcW w:w="1162" w:type="dxa"/>
          </w:tcPr>
          <w:p w14:paraId="3C5E176A"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0.83-4.52</w:t>
            </w:r>
          </w:p>
          <w:p w14:paraId="00B51720"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1.96</w:t>
            </w:r>
          </w:p>
        </w:tc>
        <w:tc>
          <w:tcPr>
            <w:tcW w:w="1452" w:type="dxa"/>
          </w:tcPr>
          <w:p w14:paraId="3E44E364"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22.44-47.33</w:t>
            </w:r>
          </w:p>
          <w:p w14:paraId="73D45914"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34.7</w:t>
            </w:r>
          </w:p>
        </w:tc>
        <w:tc>
          <w:tcPr>
            <w:tcW w:w="1454" w:type="dxa"/>
          </w:tcPr>
          <w:p w14:paraId="346A5332"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28.22-52.52</w:t>
            </w:r>
          </w:p>
          <w:p w14:paraId="6E06739D"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38</w:t>
            </w:r>
          </w:p>
        </w:tc>
        <w:tc>
          <w:tcPr>
            <w:tcW w:w="1452" w:type="dxa"/>
            <w:shd w:val="clear" w:color="auto" w:fill="auto"/>
          </w:tcPr>
          <w:p w14:paraId="088E2EB2" w14:textId="77777777" w:rsidR="009C353B" w:rsidRDefault="00000000">
            <w:pPr>
              <w:autoSpaceDE w:val="0"/>
              <w:autoSpaceDN w:val="0"/>
              <w:adjustRightInd w:val="0"/>
              <w:snapToGrid w:val="0"/>
              <w:jc w:val="center"/>
              <w:rPr>
                <w:rFonts w:ascii="Times New Roman" w:hAnsi="Times New Roman"/>
                <w:sz w:val="21"/>
                <w:szCs w:val="21"/>
              </w:rPr>
            </w:pPr>
            <w:r>
              <w:rPr>
                <w:rFonts w:ascii="Times New Roman" w:hAnsi="Times New Roman"/>
                <w:sz w:val="21"/>
                <w:szCs w:val="21"/>
                <w:u w:val="single"/>
              </w:rPr>
              <w:t xml:space="preserve">16.79-68.76 </w:t>
            </w:r>
            <w:r>
              <w:rPr>
                <w:rFonts w:ascii="Times New Roman" w:hAnsi="Times New Roman"/>
                <w:sz w:val="21"/>
                <w:szCs w:val="21"/>
              </w:rPr>
              <w:t>32.71</w:t>
            </w:r>
          </w:p>
        </w:tc>
        <w:tc>
          <w:tcPr>
            <w:tcW w:w="1598" w:type="dxa"/>
            <w:shd w:val="clear" w:color="auto" w:fill="auto"/>
          </w:tcPr>
          <w:p w14:paraId="51A2226D"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28.22-68.76</w:t>
            </w:r>
          </w:p>
          <w:p w14:paraId="540F9F8A" w14:textId="77777777" w:rsidR="009C353B" w:rsidRDefault="00000000">
            <w:pPr>
              <w:autoSpaceDE w:val="0"/>
              <w:autoSpaceDN w:val="0"/>
              <w:adjustRightInd w:val="0"/>
              <w:snapToGrid w:val="0"/>
              <w:jc w:val="center"/>
              <w:rPr>
                <w:rFonts w:ascii="Times New Roman" w:hAnsi="Times New Roman"/>
                <w:sz w:val="21"/>
                <w:szCs w:val="21"/>
              </w:rPr>
            </w:pPr>
            <w:r>
              <w:rPr>
                <w:rFonts w:ascii="Times New Roman" w:hAnsi="Times New Roman"/>
                <w:sz w:val="21"/>
                <w:szCs w:val="21"/>
              </w:rPr>
              <w:t>38</w:t>
            </w:r>
          </w:p>
        </w:tc>
      </w:tr>
      <w:tr w:rsidR="009C353B" w14:paraId="06ED285F" w14:textId="77777777">
        <w:trPr>
          <w:trHeight w:val="340"/>
        </w:trPr>
        <w:tc>
          <w:tcPr>
            <w:tcW w:w="470" w:type="dxa"/>
            <w:vMerge/>
          </w:tcPr>
          <w:p w14:paraId="1C332B8F"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721AD69A"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三煤</w:t>
            </w:r>
          </w:p>
        </w:tc>
        <w:tc>
          <w:tcPr>
            <w:tcW w:w="1308" w:type="dxa"/>
          </w:tcPr>
          <w:p w14:paraId="0AA7C0FE"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0.26~3.81</w:t>
            </w:r>
          </w:p>
          <w:p w14:paraId="60A38B3E"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1.95</w:t>
            </w:r>
          </w:p>
        </w:tc>
        <w:tc>
          <w:tcPr>
            <w:tcW w:w="1162" w:type="dxa"/>
          </w:tcPr>
          <w:p w14:paraId="7D21A17C"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0.74-3.81</w:t>
            </w:r>
          </w:p>
          <w:p w14:paraId="0E3D1BB2"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1.92</w:t>
            </w:r>
          </w:p>
        </w:tc>
        <w:tc>
          <w:tcPr>
            <w:tcW w:w="1452" w:type="dxa"/>
          </w:tcPr>
          <w:p w14:paraId="595C22B3"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21.07-44.89</w:t>
            </w:r>
          </w:p>
          <w:p w14:paraId="3EAC1F38"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34.38</w:t>
            </w:r>
          </w:p>
        </w:tc>
        <w:tc>
          <w:tcPr>
            <w:tcW w:w="1454" w:type="dxa"/>
          </w:tcPr>
          <w:p w14:paraId="6C367A49"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27.2-49.04</w:t>
            </w:r>
          </w:p>
          <w:p w14:paraId="00FE45A6"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37.71</w:t>
            </w:r>
          </w:p>
        </w:tc>
        <w:tc>
          <w:tcPr>
            <w:tcW w:w="1452" w:type="dxa"/>
            <w:shd w:val="clear" w:color="auto" w:fill="auto"/>
          </w:tcPr>
          <w:p w14:paraId="35C29FFC"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15.52-58.76 </w:t>
            </w:r>
            <w:r>
              <w:rPr>
                <w:rFonts w:ascii="Times New Roman" w:hAnsi="Times New Roman"/>
                <w:sz w:val="21"/>
                <w:szCs w:val="21"/>
              </w:rPr>
              <w:t>32.14</w:t>
            </w:r>
          </w:p>
        </w:tc>
        <w:tc>
          <w:tcPr>
            <w:tcW w:w="1598" w:type="dxa"/>
            <w:shd w:val="clear" w:color="auto" w:fill="auto"/>
          </w:tcPr>
          <w:p w14:paraId="0680669C"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27.2-58.76 </w:t>
            </w:r>
            <w:r>
              <w:rPr>
                <w:rFonts w:ascii="Times New Roman" w:hAnsi="Times New Roman"/>
                <w:sz w:val="21"/>
                <w:szCs w:val="21"/>
              </w:rPr>
              <w:t>37.71</w:t>
            </w:r>
          </w:p>
        </w:tc>
      </w:tr>
      <w:tr w:rsidR="009C353B" w14:paraId="11EAF9F1" w14:textId="77777777">
        <w:trPr>
          <w:trHeight w:val="340"/>
        </w:trPr>
        <w:tc>
          <w:tcPr>
            <w:tcW w:w="470" w:type="dxa"/>
            <w:vMerge/>
          </w:tcPr>
          <w:p w14:paraId="533272BE"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5168BFA2"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五煤</w:t>
            </w:r>
          </w:p>
        </w:tc>
        <w:tc>
          <w:tcPr>
            <w:tcW w:w="1308" w:type="dxa"/>
          </w:tcPr>
          <w:p w14:paraId="3A8C972C"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0.28~5.98</w:t>
            </w:r>
          </w:p>
          <w:p w14:paraId="3E904D5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3.17</w:t>
            </w:r>
          </w:p>
        </w:tc>
        <w:tc>
          <w:tcPr>
            <w:tcW w:w="1162" w:type="dxa"/>
          </w:tcPr>
          <w:p w14:paraId="40F42B6B"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0.78-5.22</w:t>
            </w:r>
          </w:p>
          <w:p w14:paraId="72328AC6" w14:textId="77777777" w:rsidR="009C353B" w:rsidRDefault="00000000">
            <w:pPr>
              <w:autoSpaceDE w:val="0"/>
              <w:autoSpaceDN w:val="0"/>
              <w:adjustRightInd w:val="0"/>
              <w:snapToGrid w:val="0"/>
              <w:jc w:val="center"/>
              <w:rPr>
                <w:rFonts w:ascii="Times New Roman" w:hAnsi="Times New Roman"/>
                <w:sz w:val="21"/>
                <w:szCs w:val="21"/>
              </w:rPr>
            </w:pPr>
            <w:r>
              <w:rPr>
                <w:rFonts w:ascii="Times New Roman" w:hAnsi="Times New Roman"/>
                <w:sz w:val="21"/>
                <w:szCs w:val="21"/>
              </w:rPr>
              <w:t>2.8</w:t>
            </w:r>
          </w:p>
        </w:tc>
        <w:tc>
          <w:tcPr>
            <w:tcW w:w="1452" w:type="dxa"/>
          </w:tcPr>
          <w:p w14:paraId="1802C525"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21.69-49.27</w:t>
            </w:r>
          </w:p>
          <w:p w14:paraId="3D51CF9E"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40.25</w:t>
            </w:r>
          </w:p>
        </w:tc>
        <w:tc>
          <w:tcPr>
            <w:tcW w:w="1454" w:type="dxa"/>
          </w:tcPr>
          <w:p w14:paraId="0696BC90"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27.66-55.69</w:t>
            </w:r>
          </w:p>
          <w:p w14:paraId="5FCCA3D2"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43.47</w:t>
            </w:r>
          </w:p>
        </w:tc>
        <w:tc>
          <w:tcPr>
            <w:tcW w:w="1452" w:type="dxa"/>
            <w:shd w:val="clear" w:color="auto" w:fill="auto"/>
          </w:tcPr>
          <w:p w14:paraId="48B5A261"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16.09-78.62 </w:t>
            </w:r>
            <w:r>
              <w:rPr>
                <w:rFonts w:ascii="Times New Roman" w:hAnsi="Times New Roman"/>
                <w:sz w:val="21"/>
                <w:szCs w:val="21"/>
              </w:rPr>
              <w:t>44.54</w:t>
            </w:r>
          </w:p>
        </w:tc>
        <w:tc>
          <w:tcPr>
            <w:tcW w:w="1598" w:type="dxa"/>
            <w:shd w:val="clear" w:color="auto" w:fill="auto"/>
          </w:tcPr>
          <w:p w14:paraId="7B233D13"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27.66-78.62 </w:t>
            </w:r>
            <w:r>
              <w:rPr>
                <w:rFonts w:ascii="Times New Roman" w:hAnsi="Times New Roman"/>
                <w:sz w:val="21"/>
                <w:szCs w:val="21"/>
              </w:rPr>
              <w:t>44.54</w:t>
            </w:r>
          </w:p>
        </w:tc>
      </w:tr>
      <w:tr w:rsidR="009C353B" w14:paraId="4862B15E" w14:textId="77777777">
        <w:trPr>
          <w:trHeight w:val="340"/>
        </w:trPr>
        <w:tc>
          <w:tcPr>
            <w:tcW w:w="470" w:type="dxa"/>
            <w:vMerge/>
          </w:tcPr>
          <w:p w14:paraId="7E8345B9"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0D16CCBC"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八煤</w:t>
            </w:r>
          </w:p>
        </w:tc>
        <w:tc>
          <w:tcPr>
            <w:tcW w:w="1308" w:type="dxa"/>
          </w:tcPr>
          <w:p w14:paraId="3EB90BF5"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0.36~2.25</w:t>
            </w:r>
          </w:p>
          <w:p w14:paraId="5C0C90AA"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1.38</w:t>
            </w:r>
          </w:p>
        </w:tc>
        <w:tc>
          <w:tcPr>
            <w:tcW w:w="1162" w:type="dxa"/>
          </w:tcPr>
          <w:p w14:paraId="6916C1B7"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0.7-1.9</w:t>
            </w:r>
          </w:p>
          <w:p w14:paraId="29128244"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1.13</w:t>
            </w:r>
          </w:p>
        </w:tc>
        <w:tc>
          <w:tcPr>
            <w:tcW w:w="1452" w:type="dxa"/>
          </w:tcPr>
          <w:p w14:paraId="461C3D0D"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20.43-34.21</w:t>
            </w:r>
          </w:p>
          <w:p w14:paraId="445EE71A"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26.49</w:t>
            </w:r>
          </w:p>
        </w:tc>
        <w:tc>
          <w:tcPr>
            <w:tcW w:w="1454" w:type="dxa"/>
          </w:tcPr>
          <w:p w14:paraId="07D49FF3"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26.73-37.57</w:t>
            </w:r>
          </w:p>
          <w:p w14:paraId="0308D60B"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31.26</w:t>
            </w:r>
          </w:p>
        </w:tc>
        <w:tc>
          <w:tcPr>
            <w:tcW w:w="1452" w:type="dxa"/>
            <w:shd w:val="clear" w:color="auto" w:fill="auto"/>
          </w:tcPr>
          <w:p w14:paraId="05081048"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14.96-31.86 </w:t>
            </w:r>
            <w:r>
              <w:rPr>
                <w:rFonts w:ascii="Times New Roman" w:hAnsi="Times New Roman"/>
                <w:sz w:val="21"/>
                <w:szCs w:val="21"/>
              </w:rPr>
              <w:t>21.02</w:t>
            </w:r>
          </w:p>
        </w:tc>
        <w:tc>
          <w:tcPr>
            <w:tcW w:w="1598" w:type="dxa"/>
            <w:shd w:val="clear" w:color="auto" w:fill="auto"/>
          </w:tcPr>
          <w:p w14:paraId="21655B0C"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26.73-37.57 </w:t>
            </w:r>
            <w:r>
              <w:rPr>
                <w:rFonts w:ascii="Times New Roman" w:hAnsi="Times New Roman"/>
                <w:sz w:val="21"/>
                <w:szCs w:val="21"/>
              </w:rPr>
              <w:t>31.26</w:t>
            </w:r>
          </w:p>
        </w:tc>
      </w:tr>
      <w:tr w:rsidR="009C353B" w14:paraId="0F113A55" w14:textId="77777777">
        <w:trPr>
          <w:trHeight w:val="340"/>
        </w:trPr>
        <w:tc>
          <w:tcPr>
            <w:tcW w:w="470" w:type="dxa"/>
            <w:vMerge/>
          </w:tcPr>
          <w:p w14:paraId="0D3B41D3"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3558EF34"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九煤</w:t>
            </w:r>
          </w:p>
        </w:tc>
        <w:tc>
          <w:tcPr>
            <w:tcW w:w="1308" w:type="dxa"/>
          </w:tcPr>
          <w:p w14:paraId="2FDD7688"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0.75~6.71</w:t>
            </w:r>
          </w:p>
          <w:p w14:paraId="5E1914AC"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4.61</w:t>
            </w:r>
          </w:p>
        </w:tc>
        <w:tc>
          <w:tcPr>
            <w:tcW w:w="1162" w:type="dxa"/>
          </w:tcPr>
          <w:p w14:paraId="033AFF74"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0.75-5.87</w:t>
            </w:r>
          </w:p>
          <w:p w14:paraId="0966A703"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3.73</w:t>
            </w:r>
          </w:p>
        </w:tc>
        <w:tc>
          <w:tcPr>
            <w:tcW w:w="1452" w:type="dxa"/>
          </w:tcPr>
          <w:p w14:paraId="4221D577"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21.23-50.78</w:t>
            </w:r>
          </w:p>
          <w:p w14:paraId="2707099E"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44.58</w:t>
            </w:r>
          </w:p>
        </w:tc>
        <w:tc>
          <w:tcPr>
            <w:tcW w:w="1454" w:type="dxa"/>
          </w:tcPr>
          <w:p w14:paraId="5408C352"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27.32-58.46</w:t>
            </w:r>
          </w:p>
          <w:p w14:paraId="6F3A0138"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48.63</w:t>
            </w:r>
          </w:p>
        </w:tc>
        <w:tc>
          <w:tcPr>
            <w:tcW w:w="1452" w:type="dxa"/>
            <w:shd w:val="clear" w:color="auto" w:fill="auto"/>
          </w:tcPr>
          <w:p w14:paraId="1F4DB8C8"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15.66-87.78 </w:t>
            </w:r>
            <w:r>
              <w:rPr>
                <w:rFonts w:ascii="Times New Roman" w:hAnsi="Times New Roman"/>
                <w:sz w:val="21"/>
                <w:szCs w:val="21"/>
              </w:rPr>
              <w:t>57.64</w:t>
            </w:r>
          </w:p>
        </w:tc>
        <w:tc>
          <w:tcPr>
            <w:tcW w:w="1598" w:type="dxa"/>
            <w:shd w:val="clear" w:color="auto" w:fill="auto"/>
          </w:tcPr>
          <w:p w14:paraId="03B698D1"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27.32-87.78 </w:t>
            </w:r>
            <w:r>
              <w:rPr>
                <w:rFonts w:ascii="Times New Roman" w:hAnsi="Times New Roman"/>
                <w:sz w:val="21"/>
                <w:szCs w:val="21"/>
              </w:rPr>
              <w:t>57.64</w:t>
            </w:r>
          </w:p>
        </w:tc>
      </w:tr>
      <w:tr w:rsidR="009C353B" w14:paraId="4D70DFBB" w14:textId="77777777">
        <w:trPr>
          <w:trHeight w:val="340"/>
        </w:trPr>
        <w:tc>
          <w:tcPr>
            <w:tcW w:w="470" w:type="dxa"/>
            <w:vMerge w:val="restart"/>
          </w:tcPr>
          <w:p w14:paraId="22F78F65"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红石湾井田</w:t>
            </w:r>
          </w:p>
        </w:tc>
        <w:tc>
          <w:tcPr>
            <w:tcW w:w="398" w:type="dxa"/>
          </w:tcPr>
          <w:p w14:paraId="0E44D83B"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一煤</w:t>
            </w:r>
          </w:p>
        </w:tc>
        <w:tc>
          <w:tcPr>
            <w:tcW w:w="1308" w:type="dxa"/>
          </w:tcPr>
          <w:p w14:paraId="02280E4D"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0.38~3.05</w:t>
            </w:r>
          </w:p>
          <w:p w14:paraId="55B962A8"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1.43</w:t>
            </w:r>
          </w:p>
        </w:tc>
        <w:tc>
          <w:tcPr>
            <w:tcW w:w="1162" w:type="dxa"/>
          </w:tcPr>
          <w:p w14:paraId="440ABA33"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0.73-3.05</w:t>
            </w:r>
          </w:p>
          <w:p w14:paraId="6A9607F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1.51</w:t>
            </w:r>
          </w:p>
        </w:tc>
        <w:tc>
          <w:tcPr>
            <w:tcW w:w="1452" w:type="dxa"/>
          </w:tcPr>
          <w:p w14:paraId="18BCC64F"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20.91-41.57</w:t>
            </w:r>
          </w:p>
          <w:p w14:paraId="1D1078ED"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30.7</w:t>
            </w:r>
          </w:p>
        </w:tc>
        <w:tc>
          <w:tcPr>
            <w:tcW w:w="1454" w:type="dxa"/>
          </w:tcPr>
          <w:p w14:paraId="1BFBE6BB"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27.09-44.93</w:t>
            </w:r>
          </w:p>
          <w:p w14:paraId="29CF441D"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34.58</w:t>
            </w:r>
          </w:p>
        </w:tc>
        <w:tc>
          <w:tcPr>
            <w:tcW w:w="1452" w:type="dxa"/>
            <w:shd w:val="clear" w:color="auto" w:fill="auto"/>
          </w:tcPr>
          <w:p w14:paraId="0F74DE83"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15.38-48.06 </w:t>
            </w:r>
            <w:r>
              <w:rPr>
                <w:rFonts w:ascii="Times New Roman" w:hAnsi="Times New Roman"/>
                <w:sz w:val="21"/>
                <w:szCs w:val="21"/>
              </w:rPr>
              <w:t>26.37</w:t>
            </w:r>
          </w:p>
        </w:tc>
        <w:tc>
          <w:tcPr>
            <w:tcW w:w="1598" w:type="dxa"/>
            <w:shd w:val="clear" w:color="auto" w:fill="auto"/>
          </w:tcPr>
          <w:p w14:paraId="1188F021"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27.09-48.06 </w:t>
            </w:r>
            <w:r>
              <w:rPr>
                <w:rFonts w:ascii="Times New Roman" w:hAnsi="Times New Roman"/>
                <w:sz w:val="21"/>
                <w:szCs w:val="21"/>
              </w:rPr>
              <w:t>34.58</w:t>
            </w:r>
          </w:p>
        </w:tc>
      </w:tr>
      <w:tr w:rsidR="009C353B" w14:paraId="5BCFB648" w14:textId="77777777">
        <w:trPr>
          <w:trHeight w:val="340"/>
        </w:trPr>
        <w:tc>
          <w:tcPr>
            <w:tcW w:w="470" w:type="dxa"/>
            <w:vMerge/>
          </w:tcPr>
          <w:p w14:paraId="7E43D62E"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0B7CAD55"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三煤</w:t>
            </w:r>
          </w:p>
        </w:tc>
        <w:tc>
          <w:tcPr>
            <w:tcW w:w="1308" w:type="dxa"/>
          </w:tcPr>
          <w:p w14:paraId="49124ADA"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0.11~3.97</w:t>
            </w:r>
          </w:p>
          <w:p w14:paraId="5DCE7724"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1.94</w:t>
            </w:r>
          </w:p>
        </w:tc>
        <w:tc>
          <w:tcPr>
            <w:tcW w:w="1162" w:type="dxa"/>
          </w:tcPr>
          <w:p w14:paraId="54BD9A23"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0.74-3.97</w:t>
            </w:r>
          </w:p>
          <w:p w14:paraId="08CF0670"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2.2</w:t>
            </w:r>
          </w:p>
        </w:tc>
        <w:tc>
          <w:tcPr>
            <w:tcW w:w="1452" w:type="dxa"/>
          </w:tcPr>
          <w:p w14:paraId="0936A260"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21.07-45.49</w:t>
            </w:r>
          </w:p>
          <w:p w14:paraId="0FFFEC62"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36.5</w:t>
            </w:r>
          </w:p>
        </w:tc>
        <w:tc>
          <w:tcPr>
            <w:tcW w:w="1454" w:type="dxa"/>
          </w:tcPr>
          <w:p w14:paraId="681C2538"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27.2-49.85</w:t>
            </w:r>
          </w:p>
          <w:p w14:paraId="1ACCC956"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39.66</w:t>
            </w:r>
          </w:p>
        </w:tc>
        <w:tc>
          <w:tcPr>
            <w:tcW w:w="1452" w:type="dxa"/>
            <w:shd w:val="clear" w:color="auto" w:fill="auto"/>
          </w:tcPr>
          <w:p w14:paraId="3D54A29D"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15.52-61.02 </w:t>
            </w:r>
            <w:r>
              <w:rPr>
                <w:rFonts w:ascii="Times New Roman" w:hAnsi="Times New Roman"/>
                <w:sz w:val="21"/>
                <w:szCs w:val="21"/>
              </w:rPr>
              <w:t>36.09</w:t>
            </w:r>
          </w:p>
        </w:tc>
        <w:tc>
          <w:tcPr>
            <w:tcW w:w="1598" w:type="dxa"/>
            <w:shd w:val="clear" w:color="auto" w:fill="auto"/>
          </w:tcPr>
          <w:p w14:paraId="72EF279D"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27.2-61.02 </w:t>
            </w:r>
            <w:r>
              <w:rPr>
                <w:rFonts w:ascii="Times New Roman" w:hAnsi="Times New Roman"/>
                <w:sz w:val="21"/>
                <w:szCs w:val="21"/>
              </w:rPr>
              <w:t>39.66</w:t>
            </w:r>
          </w:p>
        </w:tc>
      </w:tr>
      <w:tr w:rsidR="009C353B" w14:paraId="06834C91" w14:textId="77777777">
        <w:trPr>
          <w:trHeight w:val="340"/>
        </w:trPr>
        <w:tc>
          <w:tcPr>
            <w:tcW w:w="470" w:type="dxa"/>
            <w:vMerge/>
          </w:tcPr>
          <w:p w14:paraId="4A90D8EC"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31DEBDBC"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五煤</w:t>
            </w:r>
          </w:p>
        </w:tc>
        <w:tc>
          <w:tcPr>
            <w:tcW w:w="1308" w:type="dxa"/>
          </w:tcPr>
          <w:p w14:paraId="4921B3A2"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0.12~5.95</w:t>
            </w:r>
          </w:p>
          <w:p w14:paraId="2CF51BA1"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3.62</w:t>
            </w:r>
          </w:p>
        </w:tc>
        <w:tc>
          <w:tcPr>
            <w:tcW w:w="1162" w:type="dxa"/>
          </w:tcPr>
          <w:p w14:paraId="5231B7CB"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0.89-5.95</w:t>
            </w:r>
          </w:p>
          <w:p w14:paraId="5864CB73"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3.88</w:t>
            </w:r>
          </w:p>
        </w:tc>
        <w:tc>
          <w:tcPr>
            <w:tcW w:w="1452" w:type="dxa"/>
          </w:tcPr>
          <w:p w14:paraId="2DDDD96A"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23.31-50.95</w:t>
            </w:r>
          </w:p>
          <w:p w14:paraId="32EA7ACB"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45.16</w:t>
            </w:r>
          </w:p>
        </w:tc>
        <w:tc>
          <w:tcPr>
            <w:tcW w:w="1454" w:type="dxa"/>
          </w:tcPr>
          <w:p w14:paraId="68759BEE"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28.87-58.79</w:t>
            </w:r>
          </w:p>
          <w:p w14:paraId="02EBDFAB"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49.4</w:t>
            </w:r>
          </w:p>
        </w:tc>
        <w:tc>
          <w:tcPr>
            <w:tcW w:w="1452" w:type="dxa"/>
            <w:shd w:val="clear" w:color="auto" w:fill="auto"/>
          </w:tcPr>
          <w:p w14:paraId="2DF04D4F"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17.64-88.9 </w:t>
            </w:r>
            <w:r>
              <w:rPr>
                <w:rFonts w:ascii="Times New Roman" w:hAnsi="Times New Roman"/>
                <w:sz w:val="21"/>
                <w:szCs w:val="21"/>
              </w:rPr>
              <w:t>59.75</w:t>
            </w:r>
          </w:p>
        </w:tc>
        <w:tc>
          <w:tcPr>
            <w:tcW w:w="1598" w:type="dxa"/>
            <w:shd w:val="clear" w:color="auto" w:fill="auto"/>
          </w:tcPr>
          <w:p w14:paraId="76D28D4A"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28.87-88.9 </w:t>
            </w:r>
            <w:r>
              <w:rPr>
                <w:rFonts w:ascii="Times New Roman" w:hAnsi="Times New Roman"/>
                <w:sz w:val="21"/>
                <w:szCs w:val="21"/>
              </w:rPr>
              <w:t>59.75</w:t>
            </w:r>
          </w:p>
        </w:tc>
      </w:tr>
      <w:tr w:rsidR="009C353B" w14:paraId="09D05E22" w14:textId="77777777">
        <w:trPr>
          <w:trHeight w:val="340"/>
        </w:trPr>
        <w:tc>
          <w:tcPr>
            <w:tcW w:w="470" w:type="dxa"/>
            <w:vMerge/>
          </w:tcPr>
          <w:p w14:paraId="761D13BD"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548B3B4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八煤</w:t>
            </w:r>
          </w:p>
        </w:tc>
        <w:tc>
          <w:tcPr>
            <w:tcW w:w="1308" w:type="dxa"/>
          </w:tcPr>
          <w:p w14:paraId="7C6E42A5"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0.24~1.39</w:t>
            </w:r>
          </w:p>
          <w:p w14:paraId="2CFFC00F"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0.93</w:t>
            </w:r>
          </w:p>
        </w:tc>
        <w:tc>
          <w:tcPr>
            <w:tcW w:w="1162" w:type="dxa"/>
          </w:tcPr>
          <w:p w14:paraId="6A77CCB3"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0.89-1.39</w:t>
            </w:r>
          </w:p>
          <w:p w14:paraId="10F4D34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1.19</w:t>
            </w:r>
          </w:p>
        </w:tc>
        <w:tc>
          <w:tcPr>
            <w:tcW w:w="1452" w:type="dxa"/>
          </w:tcPr>
          <w:p w14:paraId="1B5A4C59"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23.31-29.47</w:t>
            </w:r>
          </w:p>
          <w:p w14:paraId="722FA7FA"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27.22</w:t>
            </w:r>
          </w:p>
        </w:tc>
        <w:tc>
          <w:tcPr>
            <w:tcW w:w="1454" w:type="dxa"/>
          </w:tcPr>
          <w:p w14:paraId="294C241F"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28.87-33.58</w:t>
            </w:r>
          </w:p>
          <w:p w14:paraId="69128E4E"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31.82</w:t>
            </w:r>
          </w:p>
        </w:tc>
        <w:tc>
          <w:tcPr>
            <w:tcW w:w="1452" w:type="dxa"/>
            <w:shd w:val="clear" w:color="auto" w:fill="auto"/>
          </w:tcPr>
          <w:p w14:paraId="07EA2666"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17.64-24.68 </w:t>
            </w:r>
            <w:r>
              <w:rPr>
                <w:rFonts w:ascii="Times New Roman" w:hAnsi="Times New Roman"/>
                <w:sz w:val="21"/>
                <w:szCs w:val="21"/>
              </w:rPr>
              <w:t>21.86</w:t>
            </w:r>
          </w:p>
        </w:tc>
        <w:tc>
          <w:tcPr>
            <w:tcW w:w="1598" w:type="dxa"/>
            <w:shd w:val="clear" w:color="auto" w:fill="auto"/>
          </w:tcPr>
          <w:p w14:paraId="3CCFC549"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28.87-33.58 </w:t>
            </w:r>
            <w:r>
              <w:rPr>
                <w:rFonts w:ascii="Times New Roman" w:hAnsi="Times New Roman"/>
                <w:sz w:val="21"/>
                <w:szCs w:val="21"/>
              </w:rPr>
              <w:t>31.82</w:t>
            </w:r>
          </w:p>
        </w:tc>
      </w:tr>
      <w:tr w:rsidR="009C353B" w14:paraId="39EB6680" w14:textId="77777777">
        <w:trPr>
          <w:trHeight w:val="340"/>
        </w:trPr>
        <w:tc>
          <w:tcPr>
            <w:tcW w:w="470" w:type="dxa"/>
            <w:vMerge/>
          </w:tcPr>
          <w:p w14:paraId="19B80550"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43B08210"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九煤</w:t>
            </w:r>
          </w:p>
        </w:tc>
        <w:tc>
          <w:tcPr>
            <w:tcW w:w="1308" w:type="dxa"/>
          </w:tcPr>
          <w:p w14:paraId="657A7BE6"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1.1~9.19</w:t>
            </w:r>
          </w:p>
          <w:p w14:paraId="26F00976"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5.27</w:t>
            </w:r>
          </w:p>
        </w:tc>
        <w:tc>
          <w:tcPr>
            <w:tcW w:w="1162" w:type="dxa"/>
          </w:tcPr>
          <w:p w14:paraId="61A7C4B7"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1.1~9.19</w:t>
            </w:r>
          </w:p>
          <w:p w14:paraId="7C3279F1"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5.27</w:t>
            </w:r>
          </w:p>
        </w:tc>
        <w:tc>
          <w:tcPr>
            <w:tcW w:w="1452" w:type="dxa"/>
          </w:tcPr>
          <w:p w14:paraId="377D0E1C"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26.12~55.81</w:t>
            </w:r>
          </w:p>
          <w:p w14:paraId="53930FE1"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49.4</w:t>
            </w:r>
          </w:p>
        </w:tc>
        <w:tc>
          <w:tcPr>
            <w:tcW w:w="1454" w:type="dxa"/>
          </w:tcPr>
          <w:p w14:paraId="4BD4FE0F"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30.98~70.63</w:t>
            </w:r>
          </w:p>
          <w:p w14:paraId="45235EB0"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55.91</w:t>
            </w:r>
          </w:p>
        </w:tc>
        <w:tc>
          <w:tcPr>
            <w:tcW w:w="1452" w:type="dxa"/>
            <w:shd w:val="clear" w:color="auto" w:fill="auto"/>
          </w:tcPr>
          <w:p w14:paraId="78F46C96"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20.59-134.54 </w:t>
            </w:r>
            <w:r>
              <w:rPr>
                <w:rFonts w:ascii="Times New Roman" w:hAnsi="Times New Roman"/>
                <w:sz w:val="21"/>
                <w:szCs w:val="21"/>
              </w:rPr>
              <w:t>79.33</w:t>
            </w:r>
          </w:p>
        </w:tc>
        <w:tc>
          <w:tcPr>
            <w:tcW w:w="1598" w:type="dxa"/>
            <w:shd w:val="clear" w:color="auto" w:fill="auto"/>
          </w:tcPr>
          <w:p w14:paraId="53F6B0D9"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30.98-134.54 </w:t>
            </w:r>
            <w:r>
              <w:rPr>
                <w:rFonts w:ascii="Times New Roman" w:hAnsi="Times New Roman"/>
                <w:sz w:val="21"/>
                <w:szCs w:val="21"/>
              </w:rPr>
              <w:t>79.33</w:t>
            </w:r>
          </w:p>
        </w:tc>
      </w:tr>
      <w:tr w:rsidR="009C353B" w14:paraId="68C12909" w14:textId="77777777">
        <w:trPr>
          <w:trHeight w:val="340"/>
        </w:trPr>
        <w:tc>
          <w:tcPr>
            <w:tcW w:w="470" w:type="dxa"/>
            <w:vMerge w:val="restart"/>
          </w:tcPr>
          <w:p w14:paraId="16C8050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任家庄井田</w:t>
            </w:r>
          </w:p>
        </w:tc>
        <w:tc>
          <w:tcPr>
            <w:tcW w:w="398" w:type="dxa"/>
          </w:tcPr>
          <w:p w14:paraId="1275D728"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一煤</w:t>
            </w:r>
          </w:p>
        </w:tc>
        <w:tc>
          <w:tcPr>
            <w:tcW w:w="1308" w:type="dxa"/>
          </w:tcPr>
          <w:p w14:paraId="4DCBC570"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0.26~4.19</w:t>
            </w:r>
          </w:p>
          <w:p w14:paraId="1D624476"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1.38</w:t>
            </w:r>
          </w:p>
        </w:tc>
        <w:tc>
          <w:tcPr>
            <w:tcW w:w="1162" w:type="dxa"/>
          </w:tcPr>
          <w:p w14:paraId="5DE9367C"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0.7-3.1</w:t>
            </w:r>
          </w:p>
          <w:p w14:paraId="56DC282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1.39</w:t>
            </w:r>
          </w:p>
        </w:tc>
        <w:tc>
          <w:tcPr>
            <w:tcW w:w="1452" w:type="dxa"/>
          </w:tcPr>
          <w:p w14:paraId="56FD8310"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20.43-41.81</w:t>
            </w:r>
          </w:p>
          <w:p w14:paraId="5699D24E"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29.47</w:t>
            </w:r>
          </w:p>
        </w:tc>
        <w:tc>
          <w:tcPr>
            <w:tcW w:w="1454" w:type="dxa"/>
          </w:tcPr>
          <w:p w14:paraId="6625DDD7"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26.73-45.21</w:t>
            </w:r>
          </w:p>
          <w:p w14:paraId="55BC6356"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33.58</w:t>
            </w:r>
          </w:p>
        </w:tc>
        <w:tc>
          <w:tcPr>
            <w:tcW w:w="1452" w:type="dxa"/>
            <w:shd w:val="clear" w:color="auto" w:fill="auto"/>
          </w:tcPr>
          <w:p w14:paraId="373BB91A"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14.96-48.76 </w:t>
            </w:r>
            <w:r>
              <w:rPr>
                <w:rFonts w:ascii="Times New Roman" w:hAnsi="Times New Roman"/>
                <w:sz w:val="21"/>
                <w:szCs w:val="21"/>
              </w:rPr>
              <w:t>24.68</w:t>
            </w:r>
          </w:p>
        </w:tc>
        <w:tc>
          <w:tcPr>
            <w:tcW w:w="1598" w:type="dxa"/>
            <w:shd w:val="clear" w:color="auto" w:fill="auto"/>
          </w:tcPr>
          <w:p w14:paraId="0938F2A4"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26.73-48.76 </w:t>
            </w:r>
            <w:r>
              <w:rPr>
                <w:rFonts w:ascii="Times New Roman" w:hAnsi="Times New Roman"/>
                <w:sz w:val="21"/>
                <w:szCs w:val="21"/>
              </w:rPr>
              <w:t>33.58</w:t>
            </w:r>
          </w:p>
        </w:tc>
      </w:tr>
      <w:tr w:rsidR="009C353B" w14:paraId="6BCCFB8A" w14:textId="77777777">
        <w:trPr>
          <w:trHeight w:val="340"/>
        </w:trPr>
        <w:tc>
          <w:tcPr>
            <w:tcW w:w="470" w:type="dxa"/>
            <w:vMerge/>
          </w:tcPr>
          <w:p w14:paraId="55502598"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7EBF2490"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三煤</w:t>
            </w:r>
          </w:p>
        </w:tc>
        <w:tc>
          <w:tcPr>
            <w:tcW w:w="1308" w:type="dxa"/>
          </w:tcPr>
          <w:p w14:paraId="05EA9B2E"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0.9~6.17</w:t>
            </w:r>
          </w:p>
          <w:p w14:paraId="144FF8B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3.09</w:t>
            </w:r>
          </w:p>
        </w:tc>
        <w:tc>
          <w:tcPr>
            <w:tcW w:w="1162" w:type="dxa"/>
          </w:tcPr>
          <w:p w14:paraId="5B058FD9"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0.88-5.94</w:t>
            </w:r>
          </w:p>
          <w:p w14:paraId="7F6C4BF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3.01</w:t>
            </w:r>
          </w:p>
        </w:tc>
        <w:tc>
          <w:tcPr>
            <w:tcW w:w="1452" w:type="dxa"/>
          </w:tcPr>
          <w:p w14:paraId="78AB8EFB"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23.17-50.93</w:t>
            </w:r>
          </w:p>
          <w:p w14:paraId="68993961"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41.37</w:t>
            </w:r>
          </w:p>
        </w:tc>
        <w:tc>
          <w:tcPr>
            <w:tcW w:w="1454" w:type="dxa"/>
          </w:tcPr>
          <w:p w14:paraId="593B245D"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28.76-58.74</w:t>
            </w:r>
          </w:p>
          <w:p w14:paraId="4CEEF3BA"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44.7</w:t>
            </w:r>
          </w:p>
        </w:tc>
        <w:tc>
          <w:tcPr>
            <w:tcW w:w="1452" w:type="dxa"/>
            <w:shd w:val="clear" w:color="auto" w:fill="auto"/>
          </w:tcPr>
          <w:p w14:paraId="06090EA6"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17.49-88.76 </w:t>
            </w:r>
            <w:r>
              <w:rPr>
                <w:rFonts w:ascii="Times New Roman" w:hAnsi="Times New Roman"/>
                <w:sz w:val="21"/>
                <w:szCs w:val="21"/>
              </w:rPr>
              <w:t>47.49</w:t>
            </w:r>
          </w:p>
        </w:tc>
        <w:tc>
          <w:tcPr>
            <w:tcW w:w="1598" w:type="dxa"/>
            <w:shd w:val="clear" w:color="auto" w:fill="auto"/>
          </w:tcPr>
          <w:p w14:paraId="2483B53F"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28.76-88.76 </w:t>
            </w:r>
            <w:r>
              <w:rPr>
                <w:rFonts w:ascii="Times New Roman" w:hAnsi="Times New Roman"/>
                <w:sz w:val="21"/>
                <w:szCs w:val="21"/>
              </w:rPr>
              <w:t>47.49</w:t>
            </w:r>
          </w:p>
        </w:tc>
      </w:tr>
      <w:tr w:rsidR="009C353B" w14:paraId="6AB13203" w14:textId="77777777">
        <w:trPr>
          <w:trHeight w:val="340"/>
        </w:trPr>
        <w:tc>
          <w:tcPr>
            <w:tcW w:w="470" w:type="dxa"/>
            <w:vMerge/>
          </w:tcPr>
          <w:p w14:paraId="31DACC2E"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31D7BBAE"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五煤</w:t>
            </w:r>
          </w:p>
        </w:tc>
        <w:tc>
          <w:tcPr>
            <w:tcW w:w="1308" w:type="dxa"/>
          </w:tcPr>
          <w:p w14:paraId="3C47DA2D"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2.17~11.5</w:t>
            </w:r>
          </w:p>
          <w:p w14:paraId="2B89D3A1"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5.33</w:t>
            </w:r>
          </w:p>
        </w:tc>
        <w:tc>
          <w:tcPr>
            <w:tcW w:w="1162" w:type="dxa"/>
          </w:tcPr>
          <w:p w14:paraId="618894D0"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1.98-11.51</w:t>
            </w:r>
          </w:p>
          <w:p w14:paraId="4FC1DAC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5.16</w:t>
            </w:r>
          </w:p>
        </w:tc>
        <w:tc>
          <w:tcPr>
            <w:tcW w:w="1452" w:type="dxa"/>
          </w:tcPr>
          <w:p w14:paraId="5AF32816"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34.86-57.88</w:t>
            </w:r>
          </w:p>
          <w:p w14:paraId="3D55B061"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49.12</w:t>
            </w:r>
          </w:p>
        </w:tc>
        <w:tc>
          <w:tcPr>
            <w:tcW w:w="1454" w:type="dxa"/>
          </w:tcPr>
          <w:p w14:paraId="1B5C51A8"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38.14-77.85</w:t>
            </w:r>
          </w:p>
          <w:p w14:paraId="3FB55A65"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55.43</w:t>
            </w:r>
          </w:p>
        </w:tc>
        <w:tc>
          <w:tcPr>
            <w:tcW w:w="1452" w:type="dxa"/>
            <w:shd w:val="clear" w:color="auto" w:fill="auto"/>
          </w:tcPr>
          <w:p w14:paraId="2B59AFA8"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32.99-167.21 </w:t>
            </w:r>
            <w:r>
              <w:rPr>
                <w:rFonts w:ascii="Times New Roman" w:hAnsi="Times New Roman"/>
                <w:sz w:val="21"/>
                <w:szCs w:val="21"/>
              </w:rPr>
              <w:t>77.78</w:t>
            </w:r>
          </w:p>
        </w:tc>
        <w:tc>
          <w:tcPr>
            <w:tcW w:w="1598" w:type="dxa"/>
            <w:shd w:val="clear" w:color="auto" w:fill="auto"/>
          </w:tcPr>
          <w:p w14:paraId="2AB48724"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38.14-167.21 </w:t>
            </w:r>
            <w:r>
              <w:rPr>
                <w:rFonts w:ascii="Times New Roman" w:hAnsi="Times New Roman"/>
                <w:sz w:val="21"/>
                <w:szCs w:val="21"/>
              </w:rPr>
              <w:t>77.78</w:t>
            </w:r>
          </w:p>
        </w:tc>
      </w:tr>
      <w:tr w:rsidR="009C353B" w14:paraId="139A5472" w14:textId="77777777">
        <w:trPr>
          <w:trHeight w:val="340"/>
        </w:trPr>
        <w:tc>
          <w:tcPr>
            <w:tcW w:w="470" w:type="dxa"/>
            <w:vMerge/>
          </w:tcPr>
          <w:p w14:paraId="2AD8974D"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52312243"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八煤</w:t>
            </w:r>
          </w:p>
        </w:tc>
        <w:tc>
          <w:tcPr>
            <w:tcW w:w="1308" w:type="dxa"/>
          </w:tcPr>
          <w:p w14:paraId="41FC5482"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0.34~2.5</w:t>
            </w:r>
          </w:p>
          <w:p w14:paraId="0842D5D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1.36</w:t>
            </w:r>
          </w:p>
        </w:tc>
        <w:tc>
          <w:tcPr>
            <w:tcW w:w="1162" w:type="dxa"/>
          </w:tcPr>
          <w:p w14:paraId="0712986A"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0.66-1.56</w:t>
            </w:r>
          </w:p>
          <w:p w14:paraId="6F6DBEEC"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1.03</w:t>
            </w:r>
          </w:p>
        </w:tc>
        <w:tc>
          <w:tcPr>
            <w:tcW w:w="1452" w:type="dxa"/>
          </w:tcPr>
          <w:p w14:paraId="60424836"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19.78-31.19</w:t>
            </w:r>
          </w:p>
          <w:p w14:paraId="69D92FC8"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25.23</w:t>
            </w:r>
          </w:p>
        </w:tc>
        <w:tc>
          <w:tcPr>
            <w:tcW w:w="1454" w:type="dxa"/>
          </w:tcPr>
          <w:p w14:paraId="4C0B08A3"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26.25-34.98</w:t>
            </w:r>
          </w:p>
          <w:p w14:paraId="5E572E27"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30.3</w:t>
            </w:r>
          </w:p>
        </w:tc>
        <w:tc>
          <w:tcPr>
            <w:tcW w:w="1452" w:type="dxa"/>
            <w:shd w:val="clear" w:color="auto" w:fill="auto"/>
          </w:tcPr>
          <w:p w14:paraId="51927F4F"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14.4-27.07 </w:t>
            </w:r>
            <w:r>
              <w:rPr>
                <w:rFonts w:ascii="Times New Roman" w:hAnsi="Times New Roman"/>
                <w:sz w:val="21"/>
                <w:szCs w:val="21"/>
              </w:rPr>
              <w:t>19.61</w:t>
            </w:r>
          </w:p>
        </w:tc>
        <w:tc>
          <w:tcPr>
            <w:tcW w:w="1598" w:type="dxa"/>
            <w:shd w:val="clear" w:color="auto" w:fill="auto"/>
          </w:tcPr>
          <w:p w14:paraId="7C2ADE2D"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26.25-34.98 </w:t>
            </w:r>
            <w:r>
              <w:rPr>
                <w:rFonts w:ascii="Times New Roman" w:hAnsi="Times New Roman"/>
                <w:sz w:val="21"/>
                <w:szCs w:val="21"/>
              </w:rPr>
              <w:t>30.3</w:t>
            </w:r>
          </w:p>
        </w:tc>
      </w:tr>
      <w:tr w:rsidR="009C353B" w14:paraId="4484C7DC" w14:textId="77777777">
        <w:trPr>
          <w:trHeight w:val="340"/>
        </w:trPr>
        <w:tc>
          <w:tcPr>
            <w:tcW w:w="470" w:type="dxa"/>
            <w:vMerge/>
          </w:tcPr>
          <w:p w14:paraId="22A642B4"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5F59AA16"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九煤</w:t>
            </w:r>
          </w:p>
        </w:tc>
        <w:tc>
          <w:tcPr>
            <w:tcW w:w="1308" w:type="dxa"/>
          </w:tcPr>
          <w:p w14:paraId="0DDEFEC3"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1.77~9.1</w:t>
            </w:r>
          </w:p>
          <w:p w14:paraId="3EE0407A"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6.35</w:t>
            </w:r>
          </w:p>
        </w:tc>
        <w:tc>
          <w:tcPr>
            <w:tcW w:w="1162" w:type="dxa"/>
          </w:tcPr>
          <w:p w14:paraId="3C1666A8"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1.77-6.53</w:t>
            </w:r>
          </w:p>
          <w:p w14:paraId="426D08CF"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5.17</w:t>
            </w:r>
          </w:p>
        </w:tc>
        <w:tc>
          <w:tcPr>
            <w:tcW w:w="1452" w:type="dxa"/>
          </w:tcPr>
          <w:p w14:paraId="6BF7B581"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33.12-52.08</w:t>
            </w:r>
          </w:p>
          <w:p w14:paraId="18FAFA92"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49.15</w:t>
            </w:r>
          </w:p>
        </w:tc>
        <w:tc>
          <w:tcPr>
            <w:tcW w:w="1454" w:type="dxa"/>
          </w:tcPr>
          <w:p w14:paraId="6F6B6B4F"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36.61-61.11</w:t>
            </w:r>
          </w:p>
          <w:p w14:paraId="07009F5A"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55.48</w:t>
            </w:r>
          </w:p>
        </w:tc>
        <w:tc>
          <w:tcPr>
            <w:tcW w:w="1452" w:type="dxa"/>
            <w:shd w:val="clear" w:color="auto" w:fill="auto"/>
          </w:tcPr>
          <w:p w14:paraId="3DEDF7AB"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30.03-97.07 </w:t>
            </w:r>
            <w:r>
              <w:rPr>
                <w:rFonts w:ascii="Times New Roman" w:hAnsi="Times New Roman"/>
                <w:sz w:val="21"/>
                <w:szCs w:val="21"/>
              </w:rPr>
              <w:t>77.92</w:t>
            </w:r>
          </w:p>
        </w:tc>
        <w:tc>
          <w:tcPr>
            <w:tcW w:w="1598" w:type="dxa"/>
            <w:shd w:val="clear" w:color="auto" w:fill="auto"/>
          </w:tcPr>
          <w:p w14:paraId="6D4328E5"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36.61-97.07 </w:t>
            </w:r>
            <w:r>
              <w:rPr>
                <w:rFonts w:ascii="Times New Roman" w:hAnsi="Times New Roman"/>
                <w:sz w:val="21"/>
                <w:szCs w:val="21"/>
              </w:rPr>
              <w:t>77.92</w:t>
            </w:r>
          </w:p>
        </w:tc>
      </w:tr>
      <w:tr w:rsidR="009C353B" w14:paraId="7ED10587" w14:textId="77777777">
        <w:trPr>
          <w:trHeight w:val="340"/>
        </w:trPr>
        <w:tc>
          <w:tcPr>
            <w:tcW w:w="470" w:type="dxa"/>
            <w:vMerge w:val="restart"/>
          </w:tcPr>
          <w:p w14:paraId="34F427B4"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丁家梁井田</w:t>
            </w:r>
          </w:p>
        </w:tc>
        <w:tc>
          <w:tcPr>
            <w:tcW w:w="398" w:type="dxa"/>
          </w:tcPr>
          <w:p w14:paraId="15A3E3A2"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一煤</w:t>
            </w:r>
          </w:p>
        </w:tc>
        <w:tc>
          <w:tcPr>
            <w:tcW w:w="1308" w:type="dxa"/>
          </w:tcPr>
          <w:p w14:paraId="4B607D04"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0~3.43</w:t>
            </w:r>
          </w:p>
          <w:p w14:paraId="4FA8E103"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1.44</w:t>
            </w:r>
          </w:p>
        </w:tc>
        <w:tc>
          <w:tcPr>
            <w:tcW w:w="1162" w:type="dxa"/>
          </w:tcPr>
          <w:p w14:paraId="1CCD12C6"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0.77-3.43</w:t>
            </w:r>
          </w:p>
          <w:p w14:paraId="0255F1E0"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1.67</w:t>
            </w:r>
          </w:p>
        </w:tc>
        <w:tc>
          <w:tcPr>
            <w:tcW w:w="1452" w:type="dxa"/>
          </w:tcPr>
          <w:p w14:paraId="362CDDD7"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21.53-43.34</w:t>
            </w:r>
          </w:p>
          <w:p w14:paraId="7247552D"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32.22</w:t>
            </w:r>
          </w:p>
        </w:tc>
        <w:tc>
          <w:tcPr>
            <w:tcW w:w="1454" w:type="dxa"/>
          </w:tcPr>
          <w:p w14:paraId="359B888C"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27.55-47.04</w:t>
            </w:r>
          </w:p>
          <w:p w14:paraId="2AD23D99"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35.85</w:t>
            </w:r>
          </w:p>
        </w:tc>
        <w:tc>
          <w:tcPr>
            <w:tcW w:w="1452" w:type="dxa"/>
            <w:shd w:val="clear" w:color="auto" w:fill="auto"/>
          </w:tcPr>
          <w:p w14:paraId="5E91EF25" w14:textId="77777777" w:rsidR="009C353B" w:rsidRDefault="00000000">
            <w:pPr>
              <w:autoSpaceDE w:val="0"/>
              <w:autoSpaceDN w:val="0"/>
              <w:adjustRightInd w:val="0"/>
              <w:snapToGrid w:val="0"/>
              <w:jc w:val="center"/>
              <w:rPr>
                <w:rFonts w:ascii="Times New Roman" w:hAnsi="Times New Roman"/>
                <w:sz w:val="21"/>
                <w:szCs w:val="21"/>
              </w:rPr>
            </w:pPr>
            <w:r>
              <w:rPr>
                <w:rFonts w:ascii="Times New Roman" w:hAnsi="Times New Roman"/>
                <w:sz w:val="21"/>
                <w:szCs w:val="21"/>
                <w:u w:val="single"/>
              </w:rPr>
              <w:t xml:space="preserve">15.94-53.41 </w:t>
            </w:r>
            <w:r>
              <w:rPr>
                <w:rFonts w:ascii="Times New Roman" w:hAnsi="Times New Roman"/>
                <w:sz w:val="21"/>
                <w:szCs w:val="21"/>
              </w:rPr>
              <w:t>28.62</w:t>
            </w:r>
          </w:p>
        </w:tc>
        <w:tc>
          <w:tcPr>
            <w:tcW w:w="1598" w:type="dxa"/>
            <w:shd w:val="clear" w:color="auto" w:fill="auto"/>
          </w:tcPr>
          <w:p w14:paraId="1F90531B" w14:textId="77777777" w:rsidR="009C353B" w:rsidRDefault="00000000">
            <w:pPr>
              <w:autoSpaceDE w:val="0"/>
              <w:autoSpaceDN w:val="0"/>
              <w:adjustRightInd w:val="0"/>
              <w:snapToGrid w:val="0"/>
              <w:jc w:val="center"/>
              <w:rPr>
                <w:rFonts w:ascii="Times New Roman" w:hAnsi="Times New Roman"/>
                <w:sz w:val="21"/>
                <w:szCs w:val="21"/>
              </w:rPr>
            </w:pPr>
            <w:r>
              <w:rPr>
                <w:rFonts w:ascii="Times New Roman" w:hAnsi="Times New Roman"/>
                <w:sz w:val="21"/>
                <w:szCs w:val="21"/>
                <w:u w:val="single"/>
              </w:rPr>
              <w:t xml:space="preserve">27.55-53.41 </w:t>
            </w:r>
            <w:r>
              <w:rPr>
                <w:rFonts w:ascii="Times New Roman" w:hAnsi="Times New Roman"/>
                <w:sz w:val="21"/>
                <w:szCs w:val="21"/>
              </w:rPr>
              <w:t>35.85</w:t>
            </w:r>
          </w:p>
        </w:tc>
      </w:tr>
      <w:tr w:rsidR="009C353B" w14:paraId="25C5CF6C" w14:textId="77777777">
        <w:trPr>
          <w:trHeight w:val="340"/>
        </w:trPr>
        <w:tc>
          <w:tcPr>
            <w:tcW w:w="470" w:type="dxa"/>
            <w:vMerge/>
          </w:tcPr>
          <w:p w14:paraId="33CDFA43"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0006BDAD"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三煤</w:t>
            </w:r>
          </w:p>
        </w:tc>
        <w:tc>
          <w:tcPr>
            <w:tcW w:w="1308" w:type="dxa"/>
          </w:tcPr>
          <w:p w14:paraId="1DA74774"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0.72~6.34</w:t>
            </w:r>
          </w:p>
          <w:p w14:paraId="356CEA0F"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2.54</w:t>
            </w:r>
          </w:p>
        </w:tc>
        <w:tc>
          <w:tcPr>
            <w:tcW w:w="1162" w:type="dxa"/>
          </w:tcPr>
          <w:p w14:paraId="2E5C1C6A"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0.72-5.22</w:t>
            </w:r>
          </w:p>
          <w:p w14:paraId="1EBAD59E"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2.35</w:t>
            </w:r>
          </w:p>
        </w:tc>
        <w:tc>
          <w:tcPr>
            <w:tcW w:w="1452" w:type="dxa"/>
          </w:tcPr>
          <w:p w14:paraId="00A1D057"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20.75-49.27</w:t>
            </w:r>
          </w:p>
          <w:p w14:paraId="5AC24716"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37.5</w:t>
            </w:r>
          </w:p>
        </w:tc>
        <w:tc>
          <w:tcPr>
            <w:tcW w:w="1454" w:type="dxa"/>
          </w:tcPr>
          <w:p w14:paraId="6A2DFAA5"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26.97-55.69</w:t>
            </w:r>
          </w:p>
          <w:p w14:paraId="00F58794"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40.63</w:t>
            </w:r>
          </w:p>
        </w:tc>
        <w:tc>
          <w:tcPr>
            <w:tcW w:w="1452" w:type="dxa"/>
            <w:shd w:val="clear" w:color="auto" w:fill="auto"/>
          </w:tcPr>
          <w:p w14:paraId="665EE100"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15.24-78.62 </w:t>
            </w:r>
            <w:r>
              <w:rPr>
                <w:rFonts w:ascii="Times New Roman" w:hAnsi="Times New Roman"/>
                <w:sz w:val="21"/>
                <w:szCs w:val="21"/>
              </w:rPr>
              <w:t>38.13</w:t>
            </w:r>
          </w:p>
        </w:tc>
        <w:tc>
          <w:tcPr>
            <w:tcW w:w="1598" w:type="dxa"/>
            <w:shd w:val="clear" w:color="auto" w:fill="auto"/>
          </w:tcPr>
          <w:p w14:paraId="60EAAB98"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26.97-78.62</w:t>
            </w:r>
            <w:r>
              <w:rPr>
                <w:rFonts w:ascii="Times New Roman" w:hAnsi="Times New Roman"/>
                <w:sz w:val="21"/>
                <w:szCs w:val="21"/>
              </w:rPr>
              <w:t xml:space="preserve"> 40.63</w:t>
            </w:r>
          </w:p>
        </w:tc>
      </w:tr>
      <w:tr w:rsidR="009C353B" w14:paraId="4DBEE0E4" w14:textId="77777777">
        <w:trPr>
          <w:trHeight w:val="340"/>
        </w:trPr>
        <w:tc>
          <w:tcPr>
            <w:tcW w:w="470" w:type="dxa"/>
            <w:vMerge/>
          </w:tcPr>
          <w:p w14:paraId="30B3169C"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6177373C"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五煤</w:t>
            </w:r>
          </w:p>
        </w:tc>
        <w:tc>
          <w:tcPr>
            <w:tcW w:w="1308" w:type="dxa"/>
          </w:tcPr>
          <w:p w14:paraId="358EED76"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1.29~12.27</w:t>
            </w:r>
          </w:p>
          <w:p w14:paraId="47389A97"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4.89</w:t>
            </w:r>
          </w:p>
        </w:tc>
        <w:tc>
          <w:tcPr>
            <w:tcW w:w="1162" w:type="dxa"/>
          </w:tcPr>
          <w:p w14:paraId="618F5AB6"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1.14-9.25</w:t>
            </w:r>
          </w:p>
          <w:p w14:paraId="5397D960"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4.46</w:t>
            </w:r>
          </w:p>
        </w:tc>
        <w:tc>
          <w:tcPr>
            <w:tcW w:w="1452" w:type="dxa"/>
          </w:tcPr>
          <w:p w14:paraId="037B08E0"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26.62-55.87</w:t>
            </w:r>
          </w:p>
          <w:p w14:paraId="22103A6A"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47.13</w:t>
            </w:r>
          </w:p>
        </w:tc>
        <w:tc>
          <w:tcPr>
            <w:tcW w:w="1454" w:type="dxa"/>
          </w:tcPr>
          <w:p w14:paraId="639DC175"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31.35-70.83</w:t>
            </w:r>
          </w:p>
          <w:p w14:paraId="36139440"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52.21</w:t>
            </w:r>
          </w:p>
        </w:tc>
        <w:tc>
          <w:tcPr>
            <w:tcW w:w="1452" w:type="dxa"/>
            <w:shd w:val="clear" w:color="auto" w:fill="auto"/>
          </w:tcPr>
          <w:p w14:paraId="282B208F"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21.16-135.38 </w:t>
            </w:r>
            <w:r>
              <w:rPr>
                <w:rFonts w:ascii="Times New Roman" w:hAnsi="Times New Roman"/>
                <w:sz w:val="21"/>
                <w:szCs w:val="21"/>
              </w:rPr>
              <w:t>67.85</w:t>
            </w:r>
          </w:p>
        </w:tc>
        <w:tc>
          <w:tcPr>
            <w:tcW w:w="1598" w:type="dxa"/>
            <w:shd w:val="clear" w:color="auto" w:fill="auto"/>
          </w:tcPr>
          <w:p w14:paraId="198CE877"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31.35-135.38</w:t>
            </w:r>
            <w:r>
              <w:rPr>
                <w:rFonts w:ascii="Times New Roman" w:hAnsi="Times New Roman"/>
                <w:sz w:val="21"/>
                <w:szCs w:val="21"/>
              </w:rPr>
              <w:t xml:space="preserve"> 67.85</w:t>
            </w:r>
          </w:p>
        </w:tc>
      </w:tr>
      <w:tr w:rsidR="009C353B" w14:paraId="6DFC5608" w14:textId="77777777">
        <w:trPr>
          <w:trHeight w:val="340"/>
        </w:trPr>
        <w:tc>
          <w:tcPr>
            <w:tcW w:w="470" w:type="dxa"/>
            <w:vMerge/>
          </w:tcPr>
          <w:p w14:paraId="2EC6657E"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0C306460"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八煤</w:t>
            </w:r>
          </w:p>
        </w:tc>
        <w:tc>
          <w:tcPr>
            <w:tcW w:w="1308" w:type="dxa"/>
          </w:tcPr>
          <w:p w14:paraId="378762EF"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0~4.69</w:t>
            </w:r>
          </w:p>
          <w:p w14:paraId="5FEB3D2B"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1.05</w:t>
            </w:r>
          </w:p>
        </w:tc>
        <w:tc>
          <w:tcPr>
            <w:tcW w:w="1162" w:type="dxa"/>
          </w:tcPr>
          <w:p w14:paraId="5E968C5C"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0.73-4.49</w:t>
            </w:r>
          </w:p>
          <w:p w14:paraId="50939B49"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1.12</w:t>
            </w:r>
          </w:p>
        </w:tc>
        <w:tc>
          <w:tcPr>
            <w:tcW w:w="1452" w:type="dxa"/>
          </w:tcPr>
          <w:p w14:paraId="49B90EA5"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20.91-47.24</w:t>
            </w:r>
          </w:p>
          <w:p w14:paraId="5B73A296"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26.31</w:t>
            </w:r>
          </w:p>
        </w:tc>
        <w:tc>
          <w:tcPr>
            <w:tcW w:w="1454" w:type="dxa"/>
          </w:tcPr>
          <w:p w14:paraId="7E313BBD"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27.09-52.38</w:t>
            </w:r>
          </w:p>
          <w:p w14:paraId="41CDCD67"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31.12</w:t>
            </w:r>
          </w:p>
        </w:tc>
        <w:tc>
          <w:tcPr>
            <w:tcW w:w="1452" w:type="dxa"/>
            <w:shd w:val="clear" w:color="auto" w:fill="auto"/>
          </w:tcPr>
          <w:p w14:paraId="0F4DB91E"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15.38-68.34 </w:t>
            </w:r>
            <w:r>
              <w:rPr>
                <w:rFonts w:ascii="Times New Roman" w:hAnsi="Times New Roman"/>
                <w:sz w:val="21"/>
                <w:szCs w:val="21"/>
              </w:rPr>
              <w:t>20.80</w:t>
            </w:r>
          </w:p>
        </w:tc>
        <w:tc>
          <w:tcPr>
            <w:tcW w:w="1598" w:type="dxa"/>
            <w:shd w:val="clear" w:color="auto" w:fill="auto"/>
          </w:tcPr>
          <w:p w14:paraId="33C37F6D"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27.09-68.34</w:t>
            </w:r>
            <w:r>
              <w:rPr>
                <w:rFonts w:ascii="Times New Roman" w:hAnsi="Times New Roman"/>
                <w:sz w:val="21"/>
                <w:szCs w:val="21"/>
              </w:rPr>
              <w:t xml:space="preserve"> 31.12</w:t>
            </w:r>
          </w:p>
        </w:tc>
      </w:tr>
      <w:tr w:rsidR="009C353B" w14:paraId="2C65F787" w14:textId="77777777">
        <w:trPr>
          <w:trHeight w:val="340"/>
        </w:trPr>
        <w:tc>
          <w:tcPr>
            <w:tcW w:w="470" w:type="dxa"/>
            <w:vMerge/>
          </w:tcPr>
          <w:p w14:paraId="047D5E28" w14:textId="77777777" w:rsidR="009C353B" w:rsidRDefault="009C353B">
            <w:pPr>
              <w:autoSpaceDE w:val="0"/>
              <w:autoSpaceDN w:val="0"/>
              <w:adjustRightInd w:val="0"/>
              <w:snapToGrid w:val="0"/>
              <w:jc w:val="center"/>
              <w:rPr>
                <w:rFonts w:ascii="Times New Roman" w:hAnsi="Times New Roman"/>
                <w:kern w:val="0"/>
                <w:sz w:val="21"/>
                <w:szCs w:val="21"/>
              </w:rPr>
            </w:pPr>
          </w:p>
        </w:tc>
        <w:tc>
          <w:tcPr>
            <w:tcW w:w="398" w:type="dxa"/>
          </w:tcPr>
          <w:p w14:paraId="5891D1B6"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kern w:val="0"/>
                <w:sz w:val="21"/>
                <w:szCs w:val="21"/>
              </w:rPr>
              <w:t>九煤</w:t>
            </w:r>
          </w:p>
        </w:tc>
        <w:tc>
          <w:tcPr>
            <w:tcW w:w="1308" w:type="dxa"/>
          </w:tcPr>
          <w:p w14:paraId="6D272142"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1.46~7.88</w:t>
            </w:r>
          </w:p>
          <w:p w14:paraId="1133E1A2"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4.5</w:t>
            </w:r>
          </w:p>
        </w:tc>
        <w:tc>
          <w:tcPr>
            <w:tcW w:w="1162" w:type="dxa"/>
          </w:tcPr>
          <w:p w14:paraId="0E63B2AF"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1.46-7.88</w:t>
            </w:r>
          </w:p>
          <w:p w14:paraId="21CAAB35"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4.14</w:t>
            </w:r>
          </w:p>
        </w:tc>
        <w:tc>
          <w:tcPr>
            <w:tcW w:w="1452" w:type="dxa"/>
          </w:tcPr>
          <w:p w14:paraId="7716DC9A"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30.2-54.22</w:t>
            </w:r>
          </w:p>
          <w:p w14:paraId="431A03AB" w14:textId="77777777" w:rsidR="009C353B" w:rsidRDefault="00000000">
            <w:pPr>
              <w:autoSpaceDE w:val="0"/>
              <w:autoSpaceDN w:val="0"/>
              <w:adjustRightInd w:val="0"/>
              <w:snapToGrid w:val="0"/>
              <w:jc w:val="center"/>
              <w:rPr>
                <w:rFonts w:ascii="Times New Roman" w:hAnsi="Times New Roman"/>
                <w:kern w:val="0"/>
                <w:sz w:val="21"/>
                <w:szCs w:val="21"/>
              </w:rPr>
            </w:pPr>
            <w:r>
              <w:rPr>
                <w:rFonts w:ascii="Times New Roman" w:hAnsi="Times New Roman"/>
                <w:sz w:val="21"/>
                <w:szCs w:val="21"/>
              </w:rPr>
              <w:t>46.09</w:t>
            </w:r>
          </w:p>
        </w:tc>
        <w:tc>
          <w:tcPr>
            <w:tcW w:w="1454" w:type="dxa"/>
          </w:tcPr>
          <w:p w14:paraId="580B9D8C"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34.17-66.14</w:t>
            </w:r>
          </w:p>
          <w:p w14:paraId="50A7E950" w14:textId="77777777" w:rsidR="009C353B" w:rsidRDefault="00000000">
            <w:pPr>
              <w:autoSpaceDE w:val="0"/>
              <w:autoSpaceDN w:val="0"/>
              <w:adjustRightInd w:val="0"/>
              <w:snapToGrid w:val="0"/>
              <w:jc w:val="center"/>
              <w:rPr>
                <w:rFonts w:ascii="Times New Roman" w:hAnsi="Times New Roman"/>
                <w:kern w:val="0"/>
                <w:sz w:val="21"/>
                <w:szCs w:val="21"/>
                <w:u w:val="single"/>
              </w:rPr>
            </w:pPr>
            <w:r>
              <w:rPr>
                <w:rFonts w:ascii="Times New Roman" w:hAnsi="Times New Roman"/>
                <w:sz w:val="21"/>
                <w:szCs w:val="21"/>
              </w:rPr>
              <w:t>50.69</w:t>
            </w:r>
          </w:p>
        </w:tc>
        <w:tc>
          <w:tcPr>
            <w:tcW w:w="1452" w:type="dxa"/>
            <w:shd w:val="clear" w:color="auto" w:fill="auto"/>
          </w:tcPr>
          <w:p w14:paraId="54AE79A7"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25.66-116.09 </w:t>
            </w:r>
            <w:r>
              <w:rPr>
                <w:rFonts w:ascii="Times New Roman" w:hAnsi="Times New Roman"/>
                <w:sz w:val="21"/>
                <w:szCs w:val="21"/>
              </w:rPr>
              <w:t>63.41</w:t>
            </w:r>
          </w:p>
        </w:tc>
        <w:tc>
          <w:tcPr>
            <w:tcW w:w="1598" w:type="dxa"/>
            <w:shd w:val="clear" w:color="auto" w:fill="auto"/>
          </w:tcPr>
          <w:p w14:paraId="447DE278" w14:textId="77777777" w:rsidR="009C353B" w:rsidRDefault="00000000">
            <w:pPr>
              <w:autoSpaceDE w:val="0"/>
              <w:autoSpaceDN w:val="0"/>
              <w:adjustRightInd w:val="0"/>
              <w:snapToGrid w:val="0"/>
              <w:jc w:val="center"/>
              <w:rPr>
                <w:rFonts w:ascii="Times New Roman" w:hAnsi="Times New Roman"/>
                <w:sz w:val="21"/>
                <w:szCs w:val="21"/>
                <w:u w:val="single"/>
              </w:rPr>
            </w:pPr>
            <w:r>
              <w:rPr>
                <w:rFonts w:ascii="Times New Roman" w:hAnsi="Times New Roman"/>
                <w:sz w:val="21"/>
                <w:szCs w:val="21"/>
                <w:u w:val="single"/>
              </w:rPr>
              <w:t xml:space="preserve">34.17-116.09 </w:t>
            </w:r>
            <w:r>
              <w:rPr>
                <w:rFonts w:ascii="Times New Roman" w:hAnsi="Times New Roman"/>
                <w:sz w:val="21"/>
                <w:szCs w:val="21"/>
              </w:rPr>
              <w:t>63.41</w:t>
            </w:r>
          </w:p>
        </w:tc>
      </w:tr>
    </w:tbl>
    <w:bookmarkEnd w:id="256"/>
    <w:p w14:paraId="5ED5B90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矿区内共有</w:t>
      </w:r>
      <w:r>
        <w:rPr>
          <w:rFonts w:ascii="Times New Roman" w:hAnsi="Times New Roman"/>
          <w:szCs w:val="24"/>
        </w:rPr>
        <w:t>4</w:t>
      </w:r>
      <w:r>
        <w:rPr>
          <w:rFonts w:ascii="Times New Roman" w:hAnsi="Times New Roman"/>
          <w:szCs w:val="24"/>
        </w:rPr>
        <w:t>个矿井，现有生产矿井</w:t>
      </w:r>
      <w:r>
        <w:rPr>
          <w:rFonts w:ascii="Times New Roman" w:hAnsi="Times New Roman"/>
          <w:szCs w:val="24"/>
        </w:rPr>
        <w:t>3</w:t>
      </w:r>
      <w:r>
        <w:rPr>
          <w:rFonts w:ascii="Times New Roman" w:hAnsi="Times New Roman"/>
          <w:szCs w:val="24"/>
        </w:rPr>
        <w:t>个，即马莲台煤矿、任家庄煤矿、红石湾煤矿；在建矿井</w:t>
      </w:r>
      <w:r>
        <w:rPr>
          <w:rFonts w:ascii="Times New Roman" w:hAnsi="Times New Roman"/>
          <w:szCs w:val="24"/>
        </w:rPr>
        <w:t>1</w:t>
      </w:r>
      <w:r>
        <w:rPr>
          <w:rFonts w:ascii="Times New Roman" w:hAnsi="Times New Roman"/>
          <w:szCs w:val="24"/>
        </w:rPr>
        <w:t>个，丁家梁矿井。本次规划环评以丁家梁煤矿作为典型煤矿</w:t>
      </w:r>
      <w:r>
        <w:rPr>
          <w:rFonts w:ascii="Times New Roman" w:hAnsi="Times New Roman" w:hint="eastAsia"/>
          <w:szCs w:val="24"/>
        </w:rPr>
        <w:t>，并同时选取其余几个矿井典型勘探线剖面，通过计算</w:t>
      </w:r>
      <w:r>
        <w:rPr>
          <w:rFonts w:ascii="Times New Roman" w:hAnsi="Times New Roman"/>
          <w:szCs w:val="24"/>
        </w:rPr>
        <w:t>丁家梁煤矿内</w:t>
      </w:r>
      <w:r>
        <w:rPr>
          <w:rFonts w:ascii="Times New Roman" w:hAnsi="Times New Roman"/>
          <w:szCs w:val="24"/>
        </w:rPr>
        <w:t>DN1</w:t>
      </w:r>
      <w:r>
        <w:rPr>
          <w:rFonts w:ascii="Times New Roman" w:hAnsi="Times New Roman"/>
          <w:szCs w:val="24"/>
        </w:rPr>
        <w:t>、</w:t>
      </w:r>
      <w:r>
        <w:rPr>
          <w:rFonts w:ascii="Times New Roman" w:hAnsi="Times New Roman"/>
          <w:szCs w:val="24"/>
        </w:rPr>
        <w:t>DN2</w:t>
      </w:r>
      <w:r>
        <w:rPr>
          <w:rFonts w:ascii="Times New Roman" w:hAnsi="Times New Roman" w:hint="eastAsia"/>
          <w:szCs w:val="24"/>
        </w:rPr>
        <w:t>、</w:t>
      </w:r>
      <w:r>
        <w:rPr>
          <w:rFonts w:ascii="Times New Roman" w:hAnsi="Times New Roman" w:hint="eastAsia"/>
          <w:szCs w:val="24"/>
        </w:rPr>
        <w:t>L</w:t>
      </w:r>
      <w:r>
        <w:rPr>
          <w:rFonts w:ascii="Times New Roman" w:hAnsi="Times New Roman"/>
          <w:szCs w:val="24"/>
        </w:rPr>
        <w:t>1</w:t>
      </w:r>
      <w:r>
        <w:rPr>
          <w:rFonts w:ascii="Times New Roman" w:hAnsi="Times New Roman" w:hint="eastAsia"/>
          <w:szCs w:val="24"/>
        </w:rPr>
        <w:t>勘探线、</w:t>
      </w:r>
      <w:r>
        <w:rPr>
          <w:rFonts w:ascii="Times New Roman" w:hAnsi="Times New Roman" w:hint="eastAsia"/>
          <w:szCs w:val="24"/>
        </w:rPr>
        <w:t>L2</w:t>
      </w:r>
      <w:r>
        <w:rPr>
          <w:rFonts w:ascii="Times New Roman" w:hAnsi="Times New Roman" w:hint="eastAsia"/>
          <w:szCs w:val="24"/>
        </w:rPr>
        <w:t>勘探线、</w:t>
      </w:r>
      <w:r>
        <w:rPr>
          <w:rFonts w:ascii="Times New Roman" w:hAnsi="Times New Roman" w:hint="eastAsia"/>
          <w:szCs w:val="24"/>
        </w:rPr>
        <w:t>T8</w:t>
      </w:r>
      <w:r>
        <w:rPr>
          <w:rFonts w:ascii="Times New Roman" w:hAnsi="Times New Roman"/>
          <w:szCs w:val="24"/>
        </w:rPr>
        <w:t>N</w:t>
      </w:r>
      <w:r>
        <w:rPr>
          <w:rFonts w:ascii="Times New Roman" w:hAnsi="Times New Roman" w:hint="eastAsia"/>
          <w:szCs w:val="24"/>
        </w:rPr>
        <w:t>勘探线、</w:t>
      </w:r>
      <w:r>
        <w:rPr>
          <w:rFonts w:ascii="Times New Roman" w:hAnsi="Times New Roman" w:hint="eastAsia"/>
          <w:szCs w:val="24"/>
        </w:rPr>
        <w:t>T5</w:t>
      </w:r>
      <w:r>
        <w:rPr>
          <w:rFonts w:ascii="Times New Roman" w:hAnsi="Times New Roman" w:hint="eastAsia"/>
          <w:szCs w:val="24"/>
        </w:rPr>
        <w:t>勘探线、</w:t>
      </w:r>
      <w:r>
        <w:rPr>
          <w:rFonts w:ascii="Times New Roman" w:hAnsi="Times New Roman" w:hint="eastAsia"/>
          <w:szCs w:val="24"/>
        </w:rPr>
        <w:t>T2</w:t>
      </w:r>
      <w:r>
        <w:rPr>
          <w:rFonts w:ascii="Times New Roman" w:hAnsi="Times New Roman"/>
          <w:szCs w:val="24"/>
        </w:rPr>
        <w:t>N</w:t>
      </w:r>
      <w:r>
        <w:rPr>
          <w:rFonts w:ascii="Times New Roman" w:hAnsi="Times New Roman" w:hint="eastAsia"/>
          <w:szCs w:val="24"/>
        </w:rPr>
        <w:t>勘探线、马莲台</w:t>
      </w:r>
      <w:r>
        <w:rPr>
          <w:rFonts w:ascii="Times New Roman" w:hAnsi="Times New Roman" w:hint="eastAsia"/>
          <w:szCs w:val="24"/>
        </w:rPr>
        <w:t>25</w:t>
      </w:r>
      <w:r>
        <w:rPr>
          <w:rFonts w:ascii="Times New Roman" w:hAnsi="Times New Roman" w:hint="eastAsia"/>
          <w:szCs w:val="24"/>
        </w:rPr>
        <w:t>勘探线、红石湾</w:t>
      </w:r>
      <w:r>
        <w:rPr>
          <w:rFonts w:ascii="Times New Roman" w:hAnsi="Times New Roman" w:hint="eastAsia"/>
          <w:szCs w:val="24"/>
        </w:rPr>
        <w:t>17</w:t>
      </w:r>
      <w:r>
        <w:rPr>
          <w:rFonts w:ascii="Times New Roman" w:hAnsi="Times New Roman" w:hint="eastAsia"/>
          <w:szCs w:val="24"/>
        </w:rPr>
        <w:t>勘探线</w:t>
      </w:r>
      <w:r>
        <w:rPr>
          <w:rFonts w:ascii="Times New Roman" w:hAnsi="Times New Roman"/>
          <w:szCs w:val="24"/>
        </w:rPr>
        <w:t>上各钻孔</w:t>
      </w:r>
      <w:r>
        <w:rPr>
          <w:rFonts w:ascii="Times New Roman" w:hAnsi="Times New Roman" w:hint="eastAsia"/>
          <w:szCs w:val="24"/>
        </w:rPr>
        <w:t>一</w:t>
      </w:r>
      <w:r>
        <w:rPr>
          <w:rFonts w:ascii="Times New Roman" w:hAnsi="Times New Roman"/>
          <w:szCs w:val="24"/>
        </w:rPr>
        <w:t>煤</w:t>
      </w:r>
      <w:r>
        <w:rPr>
          <w:rFonts w:ascii="Times New Roman" w:hAnsi="Times New Roman" w:hint="eastAsia"/>
          <w:szCs w:val="24"/>
        </w:rPr>
        <w:t>、三煤及五煤及任家庄第</w:t>
      </w:r>
      <w:r>
        <w:rPr>
          <w:rFonts w:ascii="Times New Roman" w:hAnsi="Times New Roman" w:hint="eastAsia"/>
          <w:szCs w:val="24"/>
        </w:rPr>
        <w:t>5</w:t>
      </w:r>
      <w:r>
        <w:rPr>
          <w:rFonts w:ascii="Times New Roman" w:hAnsi="Times New Roman" w:hint="eastAsia"/>
          <w:szCs w:val="24"/>
        </w:rPr>
        <w:t>勘探线上各钻孔一煤、三煤、四煤、五煤</w:t>
      </w:r>
      <w:r>
        <w:rPr>
          <w:rFonts w:ascii="Times New Roman" w:hAnsi="Times New Roman"/>
          <w:szCs w:val="24"/>
        </w:rPr>
        <w:t>层导水裂缝带</w:t>
      </w:r>
      <w:r>
        <w:rPr>
          <w:rFonts w:ascii="Times New Roman" w:hAnsi="Times New Roman" w:hint="eastAsia"/>
          <w:szCs w:val="24"/>
        </w:rPr>
        <w:t>发育</w:t>
      </w:r>
      <w:r>
        <w:rPr>
          <w:rFonts w:ascii="Times New Roman" w:hAnsi="Times New Roman"/>
          <w:szCs w:val="24"/>
        </w:rPr>
        <w:t>高度，分析煤矿开采对地下各含水层的影响，导水裂缝带高度计算结果见表</w:t>
      </w:r>
      <w:r>
        <w:rPr>
          <w:rFonts w:ascii="Times New Roman" w:hAnsi="Times New Roman" w:hint="eastAsia"/>
          <w:szCs w:val="24"/>
        </w:rPr>
        <w:t>6.3-</w:t>
      </w:r>
      <w:r>
        <w:rPr>
          <w:rFonts w:ascii="Times New Roman" w:hAnsi="Times New Roman"/>
          <w:szCs w:val="24"/>
        </w:rPr>
        <w:t>4</w:t>
      </w:r>
      <w:r>
        <w:rPr>
          <w:rFonts w:ascii="Times New Roman" w:hAnsi="Times New Roman" w:hint="eastAsia"/>
          <w:szCs w:val="24"/>
        </w:rPr>
        <w:t>，典型水文地质剖面导水裂缝带发育最大高度见图</w:t>
      </w:r>
      <w:r>
        <w:rPr>
          <w:rFonts w:ascii="Times New Roman" w:hAnsi="Times New Roman" w:hint="eastAsia"/>
          <w:szCs w:val="24"/>
        </w:rPr>
        <w:t>6.3-9~6.3~13</w:t>
      </w:r>
      <w:r>
        <w:rPr>
          <w:rFonts w:ascii="Times New Roman" w:hAnsi="Times New Roman" w:hint="eastAsia"/>
          <w:szCs w:val="24"/>
        </w:rPr>
        <w:t>。</w:t>
      </w:r>
    </w:p>
    <w:p w14:paraId="48282A38" w14:textId="77777777" w:rsidR="009C353B" w:rsidRDefault="00000000">
      <w:pPr>
        <w:spacing w:line="440" w:lineRule="exact"/>
        <w:ind w:firstLineChars="200" w:firstLine="482"/>
        <w:jc w:val="center"/>
        <w:rPr>
          <w:rFonts w:ascii="Times New Roman" w:hAnsi="Times New Roman"/>
          <w:b/>
          <w:bCs/>
          <w:szCs w:val="24"/>
        </w:rPr>
      </w:pPr>
      <w:r>
        <w:rPr>
          <w:rFonts w:ascii="Times New Roman" w:hAnsi="Times New Roman"/>
          <w:b/>
          <w:bCs/>
          <w:szCs w:val="24"/>
        </w:rPr>
        <w:t>各勘探线各钻孔煤层导水裂缝带高度</w:t>
      </w:r>
    </w:p>
    <w:p w14:paraId="47E876AB" w14:textId="77777777" w:rsidR="009C353B" w:rsidRDefault="00000000">
      <w:pPr>
        <w:adjustRightInd w:val="0"/>
        <w:snapToGrid w:val="0"/>
        <w:spacing w:line="440" w:lineRule="exact"/>
        <w:outlineLvl w:val="4"/>
        <w:rPr>
          <w:rFonts w:ascii="Times New Roman" w:hAnsi="Times New Roman"/>
          <w:bCs/>
          <w:szCs w:val="24"/>
        </w:rPr>
      </w:pPr>
      <w:r>
        <w:rPr>
          <w:rFonts w:ascii="Times New Roman" w:hAnsi="Times New Roman"/>
          <w:bCs/>
          <w:szCs w:val="24"/>
        </w:rPr>
        <w:t>表</w:t>
      </w:r>
      <w:r>
        <w:rPr>
          <w:rFonts w:ascii="Times New Roman" w:hAnsi="Times New Roman" w:hint="eastAsia"/>
          <w:bCs/>
          <w:szCs w:val="24"/>
        </w:rPr>
        <w:t>6.3-</w:t>
      </w:r>
      <w:r>
        <w:rPr>
          <w:rFonts w:ascii="Times New Roman" w:hAnsi="Times New Roman"/>
          <w:bCs/>
          <w:szCs w:val="24"/>
        </w:rPr>
        <w:t>4</w:t>
      </w:r>
    </w:p>
    <w:tbl>
      <w:tblPr>
        <w:tblStyle w:val="afffffffffffffffffffffff6"/>
        <w:tblW w:w="5000" w:type="pct"/>
        <w:tblLook w:val="04A0" w:firstRow="1" w:lastRow="0" w:firstColumn="1" w:lastColumn="0" w:noHBand="0" w:noVBand="1"/>
      </w:tblPr>
      <w:tblGrid>
        <w:gridCol w:w="649"/>
        <w:gridCol w:w="1111"/>
        <w:gridCol w:w="883"/>
        <w:gridCol w:w="800"/>
        <w:gridCol w:w="882"/>
        <w:gridCol w:w="883"/>
        <w:gridCol w:w="1942"/>
        <w:gridCol w:w="1307"/>
        <w:gridCol w:w="830"/>
      </w:tblGrid>
      <w:tr w:rsidR="009C353B" w14:paraId="28FB6340" w14:textId="77777777">
        <w:trPr>
          <w:trHeight w:val="340"/>
          <w:tblHeader/>
        </w:trPr>
        <w:tc>
          <w:tcPr>
            <w:tcW w:w="648" w:type="dxa"/>
            <w:vMerge w:val="restart"/>
            <w:noWrap/>
          </w:tcPr>
          <w:p w14:paraId="3C1D4D2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勘查线</w:t>
            </w:r>
          </w:p>
        </w:tc>
        <w:tc>
          <w:tcPr>
            <w:tcW w:w="1111" w:type="dxa"/>
            <w:vMerge w:val="restart"/>
            <w:noWrap/>
          </w:tcPr>
          <w:p w14:paraId="4B265CA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钻孔号</w:t>
            </w:r>
          </w:p>
        </w:tc>
        <w:tc>
          <w:tcPr>
            <w:tcW w:w="883" w:type="dxa"/>
            <w:vMerge w:val="restart"/>
            <w:noWrap/>
          </w:tcPr>
          <w:p w14:paraId="19BDAAC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煤层</w:t>
            </w:r>
          </w:p>
        </w:tc>
        <w:tc>
          <w:tcPr>
            <w:tcW w:w="800" w:type="dxa"/>
            <w:vMerge w:val="restart"/>
            <w:noWrap/>
          </w:tcPr>
          <w:p w14:paraId="1C4D063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煤厚（</w:t>
            </w:r>
            <w:r>
              <w:rPr>
                <w:rFonts w:ascii="Times New Roman" w:hAnsi="Times New Roman"/>
                <w:kern w:val="0"/>
                <w:sz w:val="21"/>
                <w:szCs w:val="21"/>
              </w:rPr>
              <w:t>m</w:t>
            </w:r>
            <w:r>
              <w:rPr>
                <w:rFonts w:ascii="Times New Roman" w:hAnsi="Times New Roman"/>
                <w:kern w:val="0"/>
                <w:sz w:val="21"/>
                <w:szCs w:val="21"/>
              </w:rPr>
              <w:t>）</w:t>
            </w:r>
          </w:p>
        </w:tc>
        <w:tc>
          <w:tcPr>
            <w:tcW w:w="1765" w:type="dxa"/>
            <w:gridSpan w:val="2"/>
            <w:noWrap/>
          </w:tcPr>
          <w:p w14:paraId="51F3F36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kern w:val="0"/>
                <w:sz w:val="21"/>
                <w:szCs w:val="21"/>
              </w:rPr>
              <w:t>三下采煤规程</w:t>
            </w:r>
            <w:r>
              <w:rPr>
                <w:rFonts w:ascii="Times New Roman" w:hAnsi="Times New Roman"/>
                <w:kern w:val="0"/>
                <w:sz w:val="21"/>
                <w:szCs w:val="21"/>
              </w:rPr>
              <w:t>”</w:t>
            </w:r>
            <w:r>
              <w:rPr>
                <w:rFonts w:ascii="Times New Roman" w:hAnsi="Times New Roman"/>
                <w:kern w:val="0"/>
                <w:sz w:val="21"/>
                <w:szCs w:val="21"/>
              </w:rPr>
              <w:t>导水裂缝带高度（</w:t>
            </w:r>
            <w:r>
              <w:rPr>
                <w:rFonts w:ascii="Times New Roman" w:hAnsi="Times New Roman"/>
                <w:kern w:val="0"/>
                <w:sz w:val="21"/>
                <w:szCs w:val="21"/>
              </w:rPr>
              <w:t>m</w:t>
            </w:r>
            <w:r>
              <w:rPr>
                <w:rFonts w:ascii="Times New Roman" w:hAnsi="Times New Roman"/>
                <w:kern w:val="0"/>
                <w:sz w:val="21"/>
                <w:szCs w:val="21"/>
              </w:rPr>
              <w:t>）</w:t>
            </w:r>
          </w:p>
        </w:tc>
        <w:tc>
          <w:tcPr>
            <w:tcW w:w="1942" w:type="dxa"/>
            <w:vMerge w:val="restart"/>
          </w:tcPr>
          <w:p w14:paraId="16CD693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kern w:val="0"/>
                <w:sz w:val="21"/>
                <w:szCs w:val="21"/>
              </w:rPr>
              <w:t>矿区勘探规范</w:t>
            </w:r>
            <w:r>
              <w:rPr>
                <w:rFonts w:ascii="Times New Roman" w:hAnsi="Times New Roman"/>
                <w:kern w:val="0"/>
                <w:sz w:val="21"/>
                <w:szCs w:val="21"/>
              </w:rPr>
              <w:t>”</w:t>
            </w:r>
            <w:r>
              <w:rPr>
                <w:rFonts w:ascii="Times New Roman" w:hAnsi="Times New Roman"/>
                <w:kern w:val="0"/>
                <w:sz w:val="21"/>
                <w:szCs w:val="21"/>
              </w:rPr>
              <w:t>导水裂缝带高度（</w:t>
            </w:r>
            <w:r>
              <w:rPr>
                <w:rFonts w:ascii="Times New Roman" w:hAnsi="Times New Roman"/>
                <w:kern w:val="0"/>
                <w:sz w:val="21"/>
                <w:szCs w:val="21"/>
              </w:rPr>
              <w:t>m</w:t>
            </w:r>
            <w:r>
              <w:rPr>
                <w:rFonts w:ascii="Times New Roman" w:hAnsi="Times New Roman"/>
                <w:kern w:val="0"/>
                <w:sz w:val="21"/>
                <w:szCs w:val="21"/>
              </w:rPr>
              <w:t>）</w:t>
            </w:r>
          </w:p>
        </w:tc>
        <w:tc>
          <w:tcPr>
            <w:tcW w:w="1307" w:type="dxa"/>
            <w:vMerge w:val="restart"/>
          </w:tcPr>
          <w:p w14:paraId="614A690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采用的导水裂缝带高度（</w:t>
            </w:r>
            <w:r>
              <w:rPr>
                <w:rFonts w:ascii="Times New Roman" w:hAnsi="Times New Roman"/>
                <w:sz w:val="21"/>
                <w:szCs w:val="21"/>
              </w:rPr>
              <w:t>m</w:t>
            </w:r>
            <w:r>
              <w:rPr>
                <w:rFonts w:ascii="Times New Roman" w:hAnsi="Times New Roman"/>
                <w:sz w:val="21"/>
                <w:szCs w:val="21"/>
              </w:rPr>
              <w:t>）</w:t>
            </w:r>
          </w:p>
        </w:tc>
        <w:tc>
          <w:tcPr>
            <w:tcW w:w="830" w:type="dxa"/>
            <w:vMerge w:val="restart"/>
            <w:noWrap/>
          </w:tcPr>
          <w:p w14:paraId="7EAC09A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导入层位</w:t>
            </w:r>
          </w:p>
        </w:tc>
      </w:tr>
      <w:tr w:rsidR="009C353B" w14:paraId="14925CB2" w14:textId="77777777">
        <w:trPr>
          <w:trHeight w:val="340"/>
          <w:tblHeader/>
        </w:trPr>
        <w:tc>
          <w:tcPr>
            <w:tcW w:w="648" w:type="dxa"/>
            <w:vMerge/>
          </w:tcPr>
          <w:p w14:paraId="4F1B5369" w14:textId="77777777" w:rsidR="009C353B" w:rsidRDefault="009C353B">
            <w:pPr>
              <w:widowControl/>
              <w:jc w:val="center"/>
              <w:rPr>
                <w:rFonts w:ascii="Times New Roman" w:hAnsi="Times New Roman"/>
                <w:kern w:val="0"/>
                <w:sz w:val="21"/>
                <w:szCs w:val="21"/>
              </w:rPr>
            </w:pPr>
          </w:p>
        </w:tc>
        <w:tc>
          <w:tcPr>
            <w:tcW w:w="1111" w:type="dxa"/>
            <w:vMerge/>
          </w:tcPr>
          <w:p w14:paraId="665BAFB8" w14:textId="77777777" w:rsidR="009C353B" w:rsidRDefault="009C353B">
            <w:pPr>
              <w:widowControl/>
              <w:jc w:val="center"/>
              <w:rPr>
                <w:rFonts w:ascii="Times New Roman" w:hAnsi="Times New Roman"/>
                <w:kern w:val="0"/>
                <w:sz w:val="21"/>
                <w:szCs w:val="21"/>
              </w:rPr>
            </w:pPr>
          </w:p>
        </w:tc>
        <w:tc>
          <w:tcPr>
            <w:tcW w:w="883" w:type="dxa"/>
            <w:vMerge/>
          </w:tcPr>
          <w:p w14:paraId="6671181B" w14:textId="77777777" w:rsidR="009C353B" w:rsidRDefault="009C353B">
            <w:pPr>
              <w:widowControl/>
              <w:jc w:val="center"/>
              <w:rPr>
                <w:rFonts w:ascii="Times New Roman" w:hAnsi="Times New Roman"/>
                <w:kern w:val="0"/>
                <w:sz w:val="21"/>
                <w:szCs w:val="21"/>
              </w:rPr>
            </w:pPr>
          </w:p>
        </w:tc>
        <w:tc>
          <w:tcPr>
            <w:tcW w:w="800" w:type="dxa"/>
            <w:vMerge/>
          </w:tcPr>
          <w:p w14:paraId="1BB6C417" w14:textId="77777777" w:rsidR="009C353B" w:rsidRDefault="009C353B">
            <w:pPr>
              <w:widowControl/>
              <w:jc w:val="center"/>
              <w:rPr>
                <w:rFonts w:ascii="Times New Roman" w:hAnsi="Times New Roman"/>
                <w:kern w:val="0"/>
                <w:sz w:val="21"/>
                <w:szCs w:val="21"/>
              </w:rPr>
            </w:pPr>
          </w:p>
        </w:tc>
        <w:tc>
          <w:tcPr>
            <w:tcW w:w="882" w:type="dxa"/>
            <w:noWrap/>
          </w:tcPr>
          <w:p w14:paraId="4D8D58A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公式一</w:t>
            </w:r>
          </w:p>
        </w:tc>
        <w:tc>
          <w:tcPr>
            <w:tcW w:w="883" w:type="dxa"/>
            <w:noWrap/>
          </w:tcPr>
          <w:p w14:paraId="428E141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公式二</w:t>
            </w:r>
          </w:p>
        </w:tc>
        <w:tc>
          <w:tcPr>
            <w:tcW w:w="1942" w:type="dxa"/>
            <w:vMerge/>
          </w:tcPr>
          <w:p w14:paraId="5FA6B7DC" w14:textId="77777777" w:rsidR="009C353B" w:rsidRDefault="009C353B">
            <w:pPr>
              <w:widowControl/>
              <w:jc w:val="center"/>
              <w:rPr>
                <w:rFonts w:ascii="Times New Roman" w:hAnsi="Times New Roman"/>
                <w:kern w:val="0"/>
                <w:sz w:val="21"/>
                <w:szCs w:val="21"/>
              </w:rPr>
            </w:pPr>
          </w:p>
        </w:tc>
        <w:tc>
          <w:tcPr>
            <w:tcW w:w="1307" w:type="dxa"/>
            <w:vMerge/>
          </w:tcPr>
          <w:p w14:paraId="19E86185" w14:textId="77777777" w:rsidR="009C353B" w:rsidRDefault="009C353B">
            <w:pPr>
              <w:widowControl/>
              <w:jc w:val="center"/>
              <w:rPr>
                <w:rFonts w:ascii="Times New Roman" w:hAnsi="Times New Roman"/>
                <w:kern w:val="0"/>
                <w:sz w:val="21"/>
                <w:szCs w:val="21"/>
              </w:rPr>
            </w:pPr>
          </w:p>
        </w:tc>
        <w:tc>
          <w:tcPr>
            <w:tcW w:w="830" w:type="dxa"/>
            <w:vMerge/>
            <w:noWrap/>
          </w:tcPr>
          <w:p w14:paraId="02F1E2B1" w14:textId="77777777" w:rsidR="009C353B" w:rsidRDefault="009C353B">
            <w:pPr>
              <w:widowControl/>
              <w:jc w:val="center"/>
              <w:rPr>
                <w:rFonts w:ascii="Times New Roman" w:hAnsi="Times New Roman"/>
                <w:kern w:val="0"/>
                <w:sz w:val="21"/>
                <w:szCs w:val="21"/>
              </w:rPr>
            </w:pPr>
          </w:p>
        </w:tc>
      </w:tr>
      <w:tr w:rsidR="009C353B" w14:paraId="6A01C31A" w14:textId="77777777">
        <w:trPr>
          <w:trHeight w:val="340"/>
        </w:trPr>
        <w:tc>
          <w:tcPr>
            <w:tcW w:w="648" w:type="dxa"/>
            <w:vMerge w:val="restart"/>
            <w:noWrap/>
          </w:tcPr>
          <w:p w14:paraId="4DFADB9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DN1</w:t>
            </w:r>
          </w:p>
        </w:tc>
        <w:tc>
          <w:tcPr>
            <w:tcW w:w="1111" w:type="dxa"/>
            <w:vMerge w:val="restart"/>
            <w:noWrap/>
          </w:tcPr>
          <w:p w14:paraId="2BC68F1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DN101</w:t>
            </w:r>
          </w:p>
        </w:tc>
        <w:tc>
          <w:tcPr>
            <w:tcW w:w="883" w:type="dxa"/>
            <w:noWrap/>
          </w:tcPr>
          <w:p w14:paraId="7B6D16E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三煤</w:t>
            </w:r>
          </w:p>
        </w:tc>
        <w:tc>
          <w:tcPr>
            <w:tcW w:w="800" w:type="dxa"/>
            <w:noWrap/>
          </w:tcPr>
          <w:p w14:paraId="2314DE8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6.34</w:t>
            </w:r>
          </w:p>
        </w:tc>
        <w:tc>
          <w:tcPr>
            <w:tcW w:w="882" w:type="dxa"/>
            <w:noWrap/>
          </w:tcPr>
          <w:p w14:paraId="72A8F06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51.73</w:t>
            </w:r>
          </w:p>
        </w:tc>
        <w:tc>
          <w:tcPr>
            <w:tcW w:w="883" w:type="dxa"/>
            <w:noWrap/>
          </w:tcPr>
          <w:p w14:paraId="561C5F3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60.36</w:t>
            </w:r>
          </w:p>
        </w:tc>
        <w:tc>
          <w:tcPr>
            <w:tcW w:w="1942" w:type="dxa"/>
            <w:shd w:val="clear" w:color="auto" w:fill="auto"/>
          </w:tcPr>
          <w:p w14:paraId="197D7DC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94.4</w:t>
            </w:r>
          </w:p>
        </w:tc>
        <w:tc>
          <w:tcPr>
            <w:tcW w:w="1307" w:type="dxa"/>
            <w:shd w:val="clear" w:color="auto" w:fill="auto"/>
          </w:tcPr>
          <w:p w14:paraId="7E4DEE2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94.4</w:t>
            </w:r>
          </w:p>
        </w:tc>
        <w:tc>
          <w:tcPr>
            <w:tcW w:w="830" w:type="dxa"/>
            <w:noWrap/>
          </w:tcPr>
          <w:p w14:paraId="0EB5A82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Psh</w:t>
            </w:r>
          </w:p>
        </w:tc>
      </w:tr>
      <w:tr w:rsidR="009C353B" w14:paraId="63A672FC" w14:textId="77777777">
        <w:trPr>
          <w:trHeight w:val="340"/>
        </w:trPr>
        <w:tc>
          <w:tcPr>
            <w:tcW w:w="648" w:type="dxa"/>
            <w:vMerge/>
          </w:tcPr>
          <w:p w14:paraId="60A6A6D8" w14:textId="77777777" w:rsidR="009C353B" w:rsidRDefault="009C353B">
            <w:pPr>
              <w:widowControl/>
              <w:jc w:val="center"/>
              <w:rPr>
                <w:rFonts w:ascii="Times New Roman" w:hAnsi="Times New Roman"/>
                <w:kern w:val="0"/>
                <w:sz w:val="21"/>
                <w:szCs w:val="21"/>
              </w:rPr>
            </w:pPr>
          </w:p>
        </w:tc>
        <w:tc>
          <w:tcPr>
            <w:tcW w:w="1111" w:type="dxa"/>
            <w:vMerge/>
          </w:tcPr>
          <w:p w14:paraId="745B839C" w14:textId="77777777" w:rsidR="009C353B" w:rsidRDefault="009C353B">
            <w:pPr>
              <w:widowControl/>
              <w:jc w:val="center"/>
              <w:rPr>
                <w:rFonts w:ascii="Times New Roman" w:hAnsi="Times New Roman"/>
                <w:kern w:val="0"/>
                <w:sz w:val="21"/>
                <w:szCs w:val="21"/>
              </w:rPr>
            </w:pPr>
          </w:p>
        </w:tc>
        <w:tc>
          <w:tcPr>
            <w:tcW w:w="883" w:type="dxa"/>
            <w:noWrap/>
          </w:tcPr>
          <w:p w14:paraId="75D4DB0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五煤</w:t>
            </w:r>
          </w:p>
        </w:tc>
        <w:tc>
          <w:tcPr>
            <w:tcW w:w="800" w:type="dxa"/>
            <w:noWrap/>
          </w:tcPr>
          <w:p w14:paraId="01E36FF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3.31</w:t>
            </w:r>
          </w:p>
        </w:tc>
        <w:tc>
          <w:tcPr>
            <w:tcW w:w="882" w:type="dxa"/>
            <w:noWrap/>
          </w:tcPr>
          <w:p w14:paraId="0D4C0BA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42.81</w:t>
            </w:r>
          </w:p>
        </w:tc>
        <w:tc>
          <w:tcPr>
            <w:tcW w:w="883" w:type="dxa"/>
            <w:noWrap/>
          </w:tcPr>
          <w:p w14:paraId="3968289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46.39</w:t>
            </w:r>
          </w:p>
        </w:tc>
        <w:tc>
          <w:tcPr>
            <w:tcW w:w="1942" w:type="dxa"/>
            <w:shd w:val="clear" w:color="auto" w:fill="auto"/>
          </w:tcPr>
          <w:p w14:paraId="6BE908CC" w14:textId="77777777" w:rsidR="009C353B" w:rsidRDefault="00000000">
            <w:pPr>
              <w:widowControl/>
              <w:jc w:val="center"/>
              <w:rPr>
                <w:rFonts w:ascii="Times New Roman" w:hAnsi="Times New Roman"/>
                <w:sz w:val="21"/>
                <w:szCs w:val="21"/>
              </w:rPr>
            </w:pPr>
            <w:r>
              <w:rPr>
                <w:rFonts w:ascii="Times New Roman" w:hAnsi="Times New Roman"/>
                <w:sz w:val="21"/>
                <w:szCs w:val="21"/>
              </w:rPr>
              <w:t>51.72</w:t>
            </w:r>
          </w:p>
        </w:tc>
        <w:tc>
          <w:tcPr>
            <w:tcW w:w="1307" w:type="dxa"/>
            <w:shd w:val="clear" w:color="auto" w:fill="auto"/>
          </w:tcPr>
          <w:p w14:paraId="66036BA0" w14:textId="77777777" w:rsidR="009C353B" w:rsidRDefault="00000000">
            <w:pPr>
              <w:widowControl/>
              <w:jc w:val="center"/>
              <w:rPr>
                <w:rFonts w:ascii="Times New Roman" w:hAnsi="Times New Roman"/>
                <w:sz w:val="21"/>
                <w:szCs w:val="21"/>
              </w:rPr>
            </w:pPr>
            <w:r>
              <w:rPr>
                <w:rFonts w:ascii="Times New Roman" w:hAnsi="Times New Roman"/>
                <w:sz w:val="21"/>
                <w:szCs w:val="21"/>
              </w:rPr>
              <w:t>51.72</w:t>
            </w:r>
          </w:p>
        </w:tc>
        <w:tc>
          <w:tcPr>
            <w:tcW w:w="830" w:type="dxa"/>
            <w:noWrap/>
          </w:tcPr>
          <w:p w14:paraId="2C44BA2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605BD453" w14:textId="77777777">
        <w:trPr>
          <w:trHeight w:val="340"/>
        </w:trPr>
        <w:tc>
          <w:tcPr>
            <w:tcW w:w="648" w:type="dxa"/>
            <w:vMerge/>
          </w:tcPr>
          <w:p w14:paraId="03962151" w14:textId="77777777" w:rsidR="009C353B" w:rsidRDefault="009C353B">
            <w:pPr>
              <w:widowControl/>
              <w:jc w:val="center"/>
              <w:rPr>
                <w:rFonts w:ascii="Times New Roman" w:hAnsi="Times New Roman"/>
                <w:kern w:val="0"/>
                <w:sz w:val="21"/>
                <w:szCs w:val="21"/>
              </w:rPr>
            </w:pPr>
          </w:p>
        </w:tc>
        <w:tc>
          <w:tcPr>
            <w:tcW w:w="1111" w:type="dxa"/>
            <w:vMerge w:val="restart"/>
            <w:noWrap/>
          </w:tcPr>
          <w:p w14:paraId="3188C5E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DN102</w:t>
            </w:r>
          </w:p>
        </w:tc>
        <w:tc>
          <w:tcPr>
            <w:tcW w:w="883" w:type="dxa"/>
            <w:noWrap/>
          </w:tcPr>
          <w:p w14:paraId="671C8EC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一煤</w:t>
            </w:r>
          </w:p>
        </w:tc>
        <w:tc>
          <w:tcPr>
            <w:tcW w:w="800" w:type="dxa"/>
            <w:noWrap/>
          </w:tcPr>
          <w:p w14:paraId="4D9E1EB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1.73</w:t>
            </w:r>
          </w:p>
        </w:tc>
        <w:tc>
          <w:tcPr>
            <w:tcW w:w="882" w:type="dxa"/>
            <w:noWrap/>
          </w:tcPr>
          <w:p w14:paraId="460C413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32.77</w:t>
            </w:r>
          </w:p>
        </w:tc>
        <w:tc>
          <w:tcPr>
            <w:tcW w:w="883" w:type="dxa"/>
            <w:noWrap/>
          </w:tcPr>
          <w:p w14:paraId="5F2DED4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36.31</w:t>
            </w:r>
          </w:p>
        </w:tc>
        <w:tc>
          <w:tcPr>
            <w:tcW w:w="1942" w:type="dxa"/>
            <w:shd w:val="clear" w:color="auto" w:fill="auto"/>
          </w:tcPr>
          <w:p w14:paraId="7FF4E65A" w14:textId="77777777" w:rsidR="009C353B" w:rsidRDefault="00000000">
            <w:pPr>
              <w:widowControl/>
              <w:jc w:val="center"/>
              <w:rPr>
                <w:rFonts w:ascii="Times New Roman" w:hAnsi="Times New Roman"/>
                <w:sz w:val="21"/>
                <w:szCs w:val="21"/>
              </w:rPr>
            </w:pPr>
            <w:r>
              <w:rPr>
                <w:rFonts w:ascii="Times New Roman" w:hAnsi="Times New Roman"/>
                <w:sz w:val="21"/>
                <w:szCs w:val="21"/>
              </w:rPr>
              <w:t>29.47</w:t>
            </w:r>
          </w:p>
        </w:tc>
        <w:tc>
          <w:tcPr>
            <w:tcW w:w="1307" w:type="dxa"/>
            <w:shd w:val="clear" w:color="auto" w:fill="auto"/>
          </w:tcPr>
          <w:p w14:paraId="71360CEB" w14:textId="77777777" w:rsidR="009C353B" w:rsidRDefault="00000000">
            <w:pPr>
              <w:widowControl/>
              <w:jc w:val="center"/>
              <w:rPr>
                <w:rFonts w:ascii="Times New Roman" w:hAnsi="Times New Roman"/>
                <w:sz w:val="21"/>
                <w:szCs w:val="21"/>
              </w:rPr>
            </w:pPr>
            <w:r>
              <w:rPr>
                <w:rFonts w:ascii="Times New Roman" w:hAnsi="Times New Roman"/>
                <w:sz w:val="21"/>
                <w:szCs w:val="21"/>
              </w:rPr>
              <w:t>36.31</w:t>
            </w:r>
          </w:p>
        </w:tc>
        <w:tc>
          <w:tcPr>
            <w:tcW w:w="830" w:type="dxa"/>
            <w:noWrap/>
          </w:tcPr>
          <w:p w14:paraId="419A87E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AAAE84C" w14:textId="77777777">
        <w:trPr>
          <w:trHeight w:val="340"/>
        </w:trPr>
        <w:tc>
          <w:tcPr>
            <w:tcW w:w="648" w:type="dxa"/>
            <w:vMerge/>
          </w:tcPr>
          <w:p w14:paraId="3DED4B38" w14:textId="77777777" w:rsidR="009C353B" w:rsidRDefault="009C353B">
            <w:pPr>
              <w:widowControl/>
              <w:jc w:val="center"/>
              <w:rPr>
                <w:rFonts w:ascii="Times New Roman" w:hAnsi="Times New Roman"/>
                <w:kern w:val="0"/>
                <w:sz w:val="21"/>
                <w:szCs w:val="21"/>
              </w:rPr>
            </w:pPr>
          </w:p>
        </w:tc>
        <w:tc>
          <w:tcPr>
            <w:tcW w:w="1111" w:type="dxa"/>
            <w:vMerge/>
          </w:tcPr>
          <w:p w14:paraId="536B7FBB" w14:textId="77777777" w:rsidR="009C353B" w:rsidRDefault="009C353B">
            <w:pPr>
              <w:widowControl/>
              <w:jc w:val="center"/>
              <w:rPr>
                <w:rFonts w:ascii="Times New Roman" w:hAnsi="Times New Roman"/>
                <w:kern w:val="0"/>
                <w:sz w:val="21"/>
                <w:szCs w:val="21"/>
              </w:rPr>
            </w:pPr>
          </w:p>
        </w:tc>
        <w:tc>
          <w:tcPr>
            <w:tcW w:w="883" w:type="dxa"/>
            <w:noWrap/>
          </w:tcPr>
          <w:p w14:paraId="5E10015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三煤</w:t>
            </w:r>
          </w:p>
        </w:tc>
        <w:tc>
          <w:tcPr>
            <w:tcW w:w="800" w:type="dxa"/>
            <w:noWrap/>
          </w:tcPr>
          <w:p w14:paraId="27109A1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3.23</w:t>
            </w:r>
          </w:p>
        </w:tc>
        <w:tc>
          <w:tcPr>
            <w:tcW w:w="882" w:type="dxa"/>
            <w:noWrap/>
          </w:tcPr>
          <w:p w14:paraId="42F30C6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42.44</w:t>
            </w:r>
          </w:p>
        </w:tc>
        <w:tc>
          <w:tcPr>
            <w:tcW w:w="883" w:type="dxa"/>
            <w:noWrap/>
          </w:tcPr>
          <w:p w14:paraId="0130059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45.94</w:t>
            </w:r>
          </w:p>
        </w:tc>
        <w:tc>
          <w:tcPr>
            <w:tcW w:w="1942" w:type="dxa"/>
            <w:shd w:val="clear" w:color="auto" w:fill="auto"/>
          </w:tcPr>
          <w:p w14:paraId="2A544056" w14:textId="77777777" w:rsidR="009C353B" w:rsidRDefault="00000000">
            <w:pPr>
              <w:widowControl/>
              <w:jc w:val="center"/>
              <w:rPr>
                <w:rFonts w:ascii="Times New Roman" w:hAnsi="Times New Roman"/>
                <w:sz w:val="21"/>
                <w:szCs w:val="21"/>
              </w:rPr>
            </w:pPr>
            <w:r>
              <w:rPr>
                <w:rFonts w:ascii="Times New Roman" w:hAnsi="Times New Roman"/>
                <w:sz w:val="21"/>
                <w:szCs w:val="21"/>
              </w:rPr>
              <w:t>50.59</w:t>
            </w:r>
          </w:p>
        </w:tc>
        <w:tc>
          <w:tcPr>
            <w:tcW w:w="1307" w:type="dxa"/>
            <w:shd w:val="clear" w:color="auto" w:fill="auto"/>
          </w:tcPr>
          <w:p w14:paraId="7D34F716" w14:textId="77777777" w:rsidR="009C353B" w:rsidRDefault="00000000">
            <w:pPr>
              <w:widowControl/>
              <w:jc w:val="center"/>
              <w:rPr>
                <w:rFonts w:ascii="Times New Roman" w:hAnsi="Times New Roman"/>
                <w:sz w:val="21"/>
                <w:szCs w:val="21"/>
              </w:rPr>
            </w:pPr>
            <w:r>
              <w:rPr>
                <w:rFonts w:ascii="Times New Roman" w:hAnsi="Times New Roman"/>
                <w:sz w:val="21"/>
                <w:szCs w:val="21"/>
              </w:rPr>
              <w:t>50.59</w:t>
            </w:r>
          </w:p>
        </w:tc>
        <w:tc>
          <w:tcPr>
            <w:tcW w:w="830" w:type="dxa"/>
            <w:noWrap/>
          </w:tcPr>
          <w:p w14:paraId="73F7F62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7C2089F" w14:textId="77777777">
        <w:trPr>
          <w:trHeight w:val="340"/>
        </w:trPr>
        <w:tc>
          <w:tcPr>
            <w:tcW w:w="648" w:type="dxa"/>
            <w:vMerge/>
          </w:tcPr>
          <w:p w14:paraId="599E7304" w14:textId="77777777" w:rsidR="009C353B" w:rsidRDefault="009C353B">
            <w:pPr>
              <w:widowControl/>
              <w:jc w:val="center"/>
              <w:rPr>
                <w:rFonts w:ascii="Times New Roman" w:hAnsi="Times New Roman"/>
                <w:kern w:val="0"/>
                <w:sz w:val="21"/>
                <w:szCs w:val="21"/>
              </w:rPr>
            </w:pPr>
          </w:p>
        </w:tc>
        <w:tc>
          <w:tcPr>
            <w:tcW w:w="1111" w:type="dxa"/>
            <w:vMerge/>
          </w:tcPr>
          <w:p w14:paraId="2EAF3E44" w14:textId="77777777" w:rsidR="009C353B" w:rsidRDefault="009C353B">
            <w:pPr>
              <w:widowControl/>
              <w:jc w:val="center"/>
              <w:rPr>
                <w:rFonts w:ascii="Times New Roman" w:hAnsi="Times New Roman"/>
                <w:kern w:val="0"/>
                <w:sz w:val="21"/>
                <w:szCs w:val="21"/>
              </w:rPr>
            </w:pPr>
          </w:p>
        </w:tc>
        <w:tc>
          <w:tcPr>
            <w:tcW w:w="883" w:type="dxa"/>
            <w:noWrap/>
          </w:tcPr>
          <w:p w14:paraId="13F47A1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五煤</w:t>
            </w:r>
          </w:p>
        </w:tc>
        <w:tc>
          <w:tcPr>
            <w:tcW w:w="800" w:type="dxa"/>
            <w:noWrap/>
          </w:tcPr>
          <w:p w14:paraId="24FB9CF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4.56</w:t>
            </w:r>
          </w:p>
        </w:tc>
        <w:tc>
          <w:tcPr>
            <w:tcW w:w="882" w:type="dxa"/>
            <w:noWrap/>
          </w:tcPr>
          <w:p w14:paraId="63C191C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47.45</w:t>
            </w:r>
          </w:p>
        </w:tc>
        <w:tc>
          <w:tcPr>
            <w:tcW w:w="883" w:type="dxa"/>
            <w:noWrap/>
          </w:tcPr>
          <w:p w14:paraId="1403A97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52.71</w:t>
            </w:r>
          </w:p>
        </w:tc>
        <w:tc>
          <w:tcPr>
            <w:tcW w:w="1942" w:type="dxa"/>
            <w:shd w:val="clear" w:color="auto" w:fill="auto"/>
          </w:tcPr>
          <w:p w14:paraId="6B89DA7A" w14:textId="77777777" w:rsidR="009C353B" w:rsidRDefault="00000000">
            <w:pPr>
              <w:widowControl/>
              <w:jc w:val="center"/>
              <w:rPr>
                <w:rFonts w:ascii="Times New Roman" w:hAnsi="Times New Roman"/>
                <w:sz w:val="21"/>
                <w:szCs w:val="21"/>
              </w:rPr>
            </w:pPr>
            <w:r>
              <w:rPr>
                <w:rFonts w:ascii="Times New Roman" w:hAnsi="Times New Roman"/>
                <w:sz w:val="21"/>
                <w:szCs w:val="21"/>
              </w:rPr>
              <w:t>69.33</w:t>
            </w:r>
          </w:p>
        </w:tc>
        <w:tc>
          <w:tcPr>
            <w:tcW w:w="1307" w:type="dxa"/>
            <w:shd w:val="clear" w:color="auto" w:fill="auto"/>
          </w:tcPr>
          <w:p w14:paraId="228F71C2" w14:textId="77777777" w:rsidR="009C353B" w:rsidRDefault="00000000">
            <w:pPr>
              <w:widowControl/>
              <w:jc w:val="center"/>
              <w:rPr>
                <w:rFonts w:ascii="Times New Roman" w:hAnsi="Times New Roman"/>
                <w:sz w:val="21"/>
                <w:szCs w:val="21"/>
              </w:rPr>
            </w:pPr>
            <w:r>
              <w:rPr>
                <w:rFonts w:ascii="Times New Roman" w:hAnsi="Times New Roman"/>
                <w:sz w:val="21"/>
                <w:szCs w:val="21"/>
              </w:rPr>
              <w:t>69.33</w:t>
            </w:r>
          </w:p>
        </w:tc>
        <w:tc>
          <w:tcPr>
            <w:tcW w:w="830" w:type="dxa"/>
            <w:noWrap/>
          </w:tcPr>
          <w:p w14:paraId="740BE7A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4E97C99" w14:textId="77777777">
        <w:trPr>
          <w:trHeight w:val="340"/>
        </w:trPr>
        <w:tc>
          <w:tcPr>
            <w:tcW w:w="648" w:type="dxa"/>
            <w:vMerge/>
          </w:tcPr>
          <w:p w14:paraId="39D17C6D" w14:textId="77777777" w:rsidR="009C353B" w:rsidRDefault="009C353B">
            <w:pPr>
              <w:widowControl/>
              <w:jc w:val="center"/>
              <w:rPr>
                <w:rFonts w:ascii="Times New Roman" w:hAnsi="Times New Roman"/>
                <w:kern w:val="0"/>
                <w:sz w:val="21"/>
                <w:szCs w:val="21"/>
              </w:rPr>
            </w:pPr>
          </w:p>
        </w:tc>
        <w:tc>
          <w:tcPr>
            <w:tcW w:w="1111" w:type="dxa"/>
            <w:vMerge w:val="restart"/>
            <w:noWrap/>
          </w:tcPr>
          <w:p w14:paraId="349F321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DN103</w:t>
            </w:r>
          </w:p>
        </w:tc>
        <w:tc>
          <w:tcPr>
            <w:tcW w:w="883" w:type="dxa"/>
            <w:noWrap/>
          </w:tcPr>
          <w:p w14:paraId="5A50B98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一煤</w:t>
            </w:r>
          </w:p>
        </w:tc>
        <w:tc>
          <w:tcPr>
            <w:tcW w:w="800" w:type="dxa"/>
            <w:noWrap/>
          </w:tcPr>
          <w:p w14:paraId="65EA337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2.95</w:t>
            </w:r>
          </w:p>
        </w:tc>
        <w:tc>
          <w:tcPr>
            <w:tcW w:w="882" w:type="dxa"/>
            <w:noWrap/>
          </w:tcPr>
          <w:p w14:paraId="64C5BB7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41.06</w:t>
            </w:r>
          </w:p>
        </w:tc>
        <w:tc>
          <w:tcPr>
            <w:tcW w:w="883" w:type="dxa"/>
            <w:noWrap/>
          </w:tcPr>
          <w:p w14:paraId="10B4BC0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44.35</w:t>
            </w:r>
          </w:p>
        </w:tc>
        <w:tc>
          <w:tcPr>
            <w:tcW w:w="1942" w:type="dxa"/>
            <w:shd w:val="clear" w:color="auto" w:fill="auto"/>
          </w:tcPr>
          <w:p w14:paraId="009D9064" w14:textId="77777777" w:rsidR="009C353B" w:rsidRDefault="00000000">
            <w:pPr>
              <w:widowControl/>
              <w:jc w:val="center"/>
              <w:rPr>
                <w:rFonts w:ascii="Times New Roman" w:hAnsi="Times New Roman"/>
                <w:sz w:val="21"/>
                <w:szCs w:val="21"/>
              </w:rPr>
            </w:pPr>
            <w:r>
              <w:rPr>
                <w:rFonts w:ascii="Times New Roman" w:hAnsi="Times New Roman"/>
                <w:sz w:val="21"/>
                <w:szCs w:val="21"/>
              </w:rPr>
              <w:t>46.65</w:t>
            </w:r>
          </w:p>
        </w:tc>
        <w:tc>
          <w:tcPr>
            <w:tcW w:w="1307" w:type="dxa"/>
            <w:shd w:val="clear" w:color="auto" w:fill="auto"/>
          </w:tcPr>
          <w:p w14:paraId="37B902E0" w14:textId="77777777" w:rsidR="009C353B" w:rsidRDefault="00000000">
            <w:pPr>
              <w:widowControl/>
              <w:jc w:val="center"/>
              <w:rPr>
                <w:rFonts w:ascii="Times New Roman" w:hAnsi="Times New Roman"/>
                <w:sz w:val="21"/>
                <w:szCs w:val="21"/>
              </w:rPr>
            </w:pPr>
            <w:r>
              <w:rPr>
                <w:rFonts w:ascii="Times New Roman" w:hAnsi="Times New Roman"/>
                <w:sz w:val="21"/>
                <w:szCs w:val="21"/>
              </w:rPr>
              <w:t>46.65</w:t>
            </w:r>
          </w:p>
        </w:tc>
        <w:tc>
          <w:tcPr>
            <w:tcW w:w="830" w:type="dxa"/>
            <w:noWrap/>
          </w:tcPr>
          <w:p w14:paraId="4FB02E3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D804021" w14:textId="77777777">
        <w:trPr>
          <w:trHeight w:val="340"/>
        </w:trPr>
        <w:tc>
          <w:tcPr>
            <w:tcW w:w="648" w:type="dxa"/>
            <w:vMerge/>
          </w:tcPr>
          <w:p w14:paraId="7C5DCF26" w14:textId="77777777" w:rsidR="009C353B" w:rsidRDefault="009C353B">
            <w:pPr>
              <w:widowControl/>
              <w:jc w:val="center"/>
              <w:rPr>
                <w:rFonts w:ascii="Times New Roman" w:hAnsi="Times New Roman"/>
                <w:kern w:val="0"/>
                <w:sz w:val="21"/>
                <w:szCs w:val="21"/>
              </w:rPr>
            </w:pPr>
          </w:p>
        </w:tc>
        <w:tc>
          <w:tcPr>
            <w:tcW w:w="1111" w:type="dxa"/>
            <w:vMerge/>
          </w:tcPr>
          <w:p w14:paraId="35E0CF47" w14:textId="77777777" w:rsidR="009C353B" w:rsidRDefault="009C353B">
            <w:pPr>
              <w:widowControl/>
              <w:jc w:val="center"/>
              <w:rPr>
                <w:rFonts w:ascii="Times New Roman" w:hAnsi="Times New Roman"/>
                <w:kern w:val="0"/>
                <w:sz w:val="21"/>
                <w:szCs w:val="21"/>
              </w:rPr>
            </w:pPr>
          </w:p>
        </w:tc>
        <w:tc>
          <w:tcPr>
            <w:tcW w:w="883" w:type="dxa"/>
            <w:noWrap/>
          </w:tcPr>
          <w:p w14:paraId="0C7CB4F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三煤</w:t>
            </w:r>
          </w:p>
        </w:tc>
        <w:tc>
          <w:tcPr>
            <w:tcW w:w="800" w:type="dxa"/>
            <w:noWrap/>
          </w:tcPr>
          <w:p w14:paraId="2737C10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0.72</w:t>
            </w:r>
          </w:p>
        </w:tc>
        <w:tc>
          <w:tcPr>
            <w:tcW w:w="882" w:type="dxa"/>
            <w:noWrap/>
          </w:tcPr>
          <w:p w14:paraId="20F4D3B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20.75</w:t>
            </w:r>
          </w:p>
        </w:tc>
        <w:tc>
          <w:tcPr>
            <w:tcW w:w="883" w:type="dxa"/>
            <w:noWrap/>
          </w:tcPr>
          <w:p w14:paraId="6B6B6A8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26.97</w:t>
            </w:r>
          </w:p>
        </w:tc>
        <w:tc>
          <w:tcPr>
            <w:tcW w:w="1942" w:type="dxa"/>
            <w:shd w:val="clear" w:color="auto" w:fill="auto"/>
          </w:tcPr>
          <w:p w14:paraId="12E27C5C" w14:textId="77777777" w:rsidR="009C353B" w:rsidRDefault="00000000">
            <w:pPr>
              <w:widowControl/>
              <w:jc w:val="center"/>
              <w:rPr>
                <w:rFonts w:ascii="Times New Roman" w:hAnsi="Times New Roman"/>
                <w:sz w:val="21"/>
                <w:szCs w:val="21"/>
              </w:rPr>
            </w:pPr>
            <w:r>
              <w:rPr>
                <w:rFonts w:ascii="Times New Roman" w:hAnsi="Times New Roman"/>
                <w:sz w:val="21"/>
                <w:szCs w:val="21"/>
              </w:rPr>
              <w:t>15.24</w:t>
            </w:r>
          </w:p>
        </w:tc>
        <w:tc>
          <w:tcPr>
            <w:tcW w:w="1307" w:type="dxa"/>
            <w:shd w:val="clear" w:color="auto" w:fill="auto"/>
          </w:tcPr>
          <w:p w14:paraId="15C99BA2" w14:textId="77777777" w:rsidR="009C353B" w:rsidRDefault="00000000">
            <w:pPr>
              <w:widowControl/>
              <w:jc w:val="center"/>
              <w:rPr>
                <w:rFonts w:ascii="Times New Roman" w:hAnsi="Times New Roman"/>
                <w:sz w:val="21"/>
                <w:szCs w:val="21"/>
              </w:rPr>
            </w:pPr>
            <w:r>
              <w:rPr>
                <w:rFonts w:ascii="Times New Roman" w:hAnsi="Times New Roman"/>
                <w:sz w:val="21"/>
                <w:szCs w:val="21"/>
              </w:rPr>
              <w:t>26.97</w:t>
            </w:r>
          </w:p>
        </w:tc>
        <w:tc>
          <w:tcPr>
            <w:tcW w:w="830" w:type="dxa"/>
            <w:noWrap/>
          </w:tcPr>
          <w:p w14:paraId="726450E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771C2A6A" w14:textId="77777777">
        <w:trPr>
          <w:trHeight w:val="340"/>
        </w:trPr>
        <w:tc>
          <w:tcPr>
            <w:tcW w:w="648" w:type="dxa"/>
            <w:vMerge/>
          </w:tcPr>
          <w:p w14:paraId="0C28EADD" w14:textId="77777777" w:rsidR="009C353B" w:rsidRDefault="009C353B">
            <w:pPr>
              <w:widowControl/>
              <w:jc w:val="center"/>
              <w:rPr>
                <w:rFonts w:ascii="Times New Roman" w:hAnsi="Times New Roman"/>
                <w:kern w:val="0"/>
                <w:sz w:val="21"/>
                <w:szCs w:val="21"/>
              </w:rPr>
            </w:pPr>
          </w:p>
        </w:tc>
        <w:tc>
          <w:tcPr>
            <w:tcW w:w="1111" w:type="dxa"/>
            <w:vMerge/>
          </w:tcPr>
          <w:p w14:paraId="18C6CE98" w14:textId="77777777" w:rsidR="009C353B" w:rsidRDefault="009C353B">
            <w:pPr>
              <w:widowControl/>
              <w:jc w:val="center"/>
              <w:rPr>
                <w:rFonts w:ascii="Times New Roman" w:hAnsi="Times New Roman"/>
                <w:kern w:val="0"/>
                <w:sz w:val="21"/>
                <w:szCs w:val="21"/>
              </w:rPr>
            </w:pPr>
          </w:p>
        </w:tc>
        <w:tc>
          <w:tcPr>
            <w:tcW w:w="883" w:type="dxa"/>
            <w:noWrap/>
          </w:tcPr>
          <w:p w14:paraId="1DF05A7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五煤</w:t>
            </w:r>
          </w:p>
        </w:tc>
        <w:tc>
          <w:tcPr>
            <w:tcW w:w="800" w:type="dxa"/>
            <w:noWrap/>
          </w:tcPr>
          <w:p w14:paraId="28CA3D8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4.6</w:t>
            </w:r>
          </w:p>
        </w:tc>
        <w:tc>
          <w:tcPr>
            <w:tcW w:w="882" w:type="dxa"/>
            <w:noWrap/>
          </w:tcPr>
          <w:p w14:paraId="71A7186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47.57</w:t>
            </w:r>
          </w:p>
        </w:tc>
        <w:tc>
          <w:tcPr>
            <w:tcW w:w="883" w:type="dxa"/>
            <w:noWrap/>
          </w:tcPr>
          <w:p w14:paraId="3260997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52.9</w:t>
            </w:r>
          </w:p>
        </w:tc>
        <w:tc>
          <w:tcPr>
            <w:tcW w:w="1942" w:type="dxa"/>
            <w:shd w:val="clear" w:color="auto" w:fill="auto"/>
          </w:tcPr>
          <w:p w14:paraId="3EEB2C23" w14:textId="77777777" w:rsidR="009C353B" w:rsidRDefault="00000000">
            <w:pPr>
              <w:widowControl/>
              <w:jc w:val="center"/>
              <w:rPr>
                <w:rFonts w:ascii="Times New Roman" w:hAnsi="Times New Roman"/>
                <w:sz w:val="21"/>
                <w:szCs w:val="21"/>
              </w:rPr>
            </w:pPr>
            <w:r>
              <w:rPr>
                <w:rFonts w:ascii="Times New Roman" w:hAnsi="Times New Roman"/>
                <w:sz w:val="21"/>
                <w:szCs w:val="21"/>
              </w:rPr>
              <w:t>69.89</w:t>
            </w:r>
          </w:p>
        </w:tc>
        <w:tc>
          <w:tcPr>
            <w:tcW w:w="1307" w:type="dxa"/>
            <w:shd w:val="clear" w:color="auto" w:fill="auto"/>
          </w:tcPr>
          <w:p w14:paraId="5F091B5F" w14:textId="77777777" w:rsidR="009C353B" w:rsidRDefault="00000000">
            <w:pPr>
              <w:widowControl/>
              <w:jc w:val="center"/>
              <w:rPr>
                <w:rFonts w:ascii="Times New Roman" w:hAnsi="Times New Roman"/>
                <w:sz w:val="21"/>
                <w:szCs w:val="21"/>
              </w:rPr>
            </w:pPr>
            <w:r>
              <w:rPr>
                <w:rFonts w:ascii="Times New Roman" w:hAnsi="Times New Roman"/>
                <w:sz w:val="21"/>
                <w:szCs w:val="21"/>
              </w:rPr>
              <w:t>69.89</w:t>
            </w:r>
          </w:p>
        </w:tc>
        <w:tc>
          <w:tcPr>
            <w:tcW w:w="830" w:type="dxa"/>
            <w:noWrap/>
          </w:tcPr>
          <w:p w14:paraId="7B6BF17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4AECC26D" w14:textId="77777777">
        <w:trPr>
          <w:trHeight w:val="340"/>
        </w:trPr>
        <w:tc>
          <w:tcPr>
            <w:tcW w:w="648" w:type="dxa"/>
            <w:vMerge/>
          </w:tcPr>
          <w:p w14:paraId="0E9414D4" w14:textId="77777777" w:rsidR="009C353B" w:rsidRDefault="009C353B">
            <w:pPr>
              <w:widowControl/>
              <w:jc w:val="center"/>
              <w:rPr>
                <w:rFonts w:ascii="Times New Roman" w:hAnsi="Times New Roman"/>
                <w:kern w:val="0"/>
                <w:sz w:val="21"/>
                <w:szCs w:val="21"/>
              </w:rPr>
            </w:pPr>
          </w:p>
        </w:tc>
        <w:tc>
          <w:tcPr>
            <w:tcW w:w="1111" w:type="dxa"/>
            <w:vMerge w:val="restart"/>
            <w:noWrap/>
          </w:tcPr>
          <w:p w14:paraId="61EFC74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DN105</w:t>
            </w:r>
          </w:p>
        </w:tc>
        <w:tc>
          <w:tcPr>
            <w:tcW w:w="883" w:type="dxa"/>
            <w:noWrap/>
          </w:tcPr>
          <w:p w14:paraId="46BCECD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三煤</w:t>
            </w:r>
          </w:p>
        </w:tc>
        <w:tc>
          <w:tcPr>
            <w:tcW w:w="800" w:type="dxa"/>
            <w:noWrap/>
          </w:tcPr>
          <w:p w14:paraId="58D6220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5.09</w:t>
            </w:r>
          </w:p>
        </w:tc>
        <w:tc>
          <w:tcPr>
            <w:tcW w:w="882" w:type="dxa"/>
            <w:noWrap/>
          </w:tcPr>
          <w:p w14:paraId="29E5774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48.94</w:t>
            </w:r>
          </w:p>
        </w:tc>
        <w:tc>
          <w:tcPr>
            <w:tcW w:w="883" w:type="dxa"/>
            <w:noWrap/>
          </w:tcPr>
          <w:p w14:paraId="631D08B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55.12</w:t>
            </w:r>
          </w:p>
        </w:tc>
        <w:tc>
          <w:tcPr>
            <w:tcW w:w="1942" w:type="dxa"/>
            <w:shd w:val="clear" w:color="auto" w:fill="auto"/>
          </w:tcPr>
          <w:p w14:paraId="6BE3A02E" w14:textId="77777777" w:rsidR="009C353B" w:rsidRDefault="00000000">
            <w:pPr>
              <w:widowControl/>
              <w:jc w:val="center"/>
              <w:rPr>
                <w:rFonts w:ascii="Times New Roman" w:hAnsi="Times New Roman"/>
                <w:sz w:val="21"/>
                <w:szCs w:val="21"/>
              </w:rPr>
            </w:pPr>
            <w:r>
              <w:rPr>
                <w:rFonts w:ascii="Times New Roman" w:hAnsi="Times New Roman"/>
                <w:sz w:val="21"/>
                <w:szCs w:val="21"/>
              </w:rPr>
              <w:t>76.79</w:t>
            </w:r>
          </w:p>
        </w:tc>
        <w:tc>
          <w:tcPr>
            <w:tcW w:w="1307" w:type="dxa"/>
            <w:shd w:val="clear" w:color="auto" w:fill="auto"/>
          </w:tcPr>
          <w:p w14:paraId="1684E6CC" w14:textId="77777777" w:rsidR="009C353B" w:rsidRDefault="00000000">
            <w:pPr>
              <w:widowControl/>
              <w:jc w:val="center"/>
              <w:rPr>
                <w:rFonts w:ascii="Times New Roman" w:hAnsi="Times New Roman"/>
                <w:sz w:val="21"/>
                <w:szCs w:val="21"/>
              </w:rPr>
            </w:pPr>
            <w:r>
              <w:rPr>
                <w:rFonts w:ascii="Times New Roman" w:hAnsi="Times New Roman"/>
                <w:sz w:val="21"/>
                <w:szCs w:val="21"/>
              </w:rPr>
              <w:t>76.79</w:t>
            </w:r>
          </w:p>
        </w:tc>
        <w:tc>
          <w:tcPr>
            <w:tcW w:w="830" w:type="dxa"/>
            <w:noWrap/>
          </w:tcPr>
          <w:p w14:paraId="0396CAB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706B966" w14:textId="77777777">
        <w:trPr>
          <w:trHeight w:val="340"/>
        </w:trPr>
        <w:tc>
          <w:tcPr>
            <w:tcW w:w="648" w:type="dxa"/>
            <w:vMerge/>
          </w:tcPr>
          <w:p w14:paraId="77EB9C8C" w14:textId="77777777" w:rsidR="009C353B" w:rsidRDefault="009C353B">
            <w:pPr>
              <w:widowControl/>
              <w:jc w:val="center"/>
              <w:rPr>
                <w:rFonts w:ascii="Times New Roman" w:hAnsi="Times New Roman"/>
                <w:kern w:val="0"/>
                <w:sz w:val="21"/>
                <w:szCs w:val="21"/>
              </w:rPr>
            </w:pPr>
          </w:p>
        </w:tc>
        <w:tc>
          <w:tcPr>
            <w:tcW w:w="1111" w:type="dxa"/>
            <w:vMerge/>
          </w:tcPr>
          <w:p w14:paraId="24E1959B" w14:textId="77777777" w:rsidR="009C353B" w:rsidRDefault="009C353B">
            <w:pPr>
              <w:widowControl/>
              <w:jc w:val="center"/>
              <w:rPr>
                <w:rFonts w:ascii="Times New Roman" w:hAnsi="Times New Roman"/>
                <w:kern w:val="0"/>
                <w:sz w:val="21"/>
                <w:szCs w:val="21"/>
              </w:rPr>
            </w:pPr>
          </w:p>
        </w:tc>
        <w:tc>
          <w:tcPr>
            <w:tcW w:w="883" w:type="dxa"/>
            <w:noWrap/>
          </w:tcPr>
          <w:p w14:paraId="7D3520C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五煤</w:t>
            </w:r>
          </w:p>
        </w:tc>
        <w:tc>
          <w:tcPr>
            <w:tcW w:w="800" w:type="dxa"/>
            <w:noWrap/>
          </w:tcPr>
          <w:p w14:paraId="7A36E7A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4.29</w:t>
            </w:r>
          </w:p>
        </w:tc>
        <w:tc>
          <w:tcPr>
            <w:tcW w:w="882" w:type="dxa"/>
            <w:noWrap/>
          </w:tcPr>
          <w:p w14:paraId="2761D39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46.6</w:t>
            </w:r>
          </w:p>
        </w:tc>
        <w:tc>
          <w:tcPr>
            <w:tcW w:w="883" w:type="dxa"/>
            <w:noWrap/>
          </w:tcPr>
          <w:p w14:paraId="6EFF7E0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51.42</w:t>
            </w:r>
          </w:p>
        </w:tc>
        <w:tc>
          <w:tcPr>
            <w:tcW w:w="1942" w:type="dxa"/>
            <w:shd w:val="clear" w:color="auto" w:fill="auto"/>
          </w:tcPr>
          <w:p w14:paraId="5A91DC01" w14:textId="77777777" w:rsidR="009C353B" w:rsidRDefault="00000000">
            <w:pPr>
              <w:widowControl/>
              <w:jc w:val="center"/>
              <w:rPr>
                <w:rFonts w:ascii="Times New Roman" w:hAnsi="Times New Roman"/>
                <w:sz w:val="21"/>
                <w:szCs w:val="21"/>
              </w:rPr>
            </w:pPr>
            <w:r>
              <w:rPr>
                <w:rFonts w:ascii="Times New Roman" w:hAnsi="Times New Roman"/>
                <w:sz w:val="21"/>
                <w:szCs w:val="21"/>
              </w:rPr>
              <w:t>65.52</w:t>
            </w:r>
          </w:p>
        </w:tc>
        <w:tc>
          <w:tcPr>
            <w:tcW w:w="1307" w:type="dxa"/>
            <w:shd w:val="clear" w:color="auto" w:fill="auto"/>
          </w:tcPr>
          <w:p w14:paraId="28B20515" w14:textId="77777777" w:rsidR="009C353B" w:rsidRDefault="00000000">
            <w:pPr>
              <w:widowControl/>
              <w:jc w:val="center"/>
              <w:rPr>
                <w:rFonts w:ascii="Times New Roman" w:hAnsi="Times New Roman"/>
                <w:sz w:val="21"/>
                <w:szCs w:val="21"/>
              </w:rPr>
            </w:pPr>
            <w:r>
              <w:rPr>
                <w:rFonts w:ascii="Times New Roman" w:hAnsi="Times New Roman"/>
                <w:sz w:val="21"/>
                <w:szCs w:val="21"/>
              </w:rPr>
              <w:t>65.52</w:t>
            </w:r>
          </w:p>
        </w:tc>
        <w:tc>
          <w:tcPr>
            <w:tcW w:w="830" w:type="dxa"/>
            <w:noWrap/>
          </w:tcPr>
          <w:p w14:paraId="5079ADA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2382682B" w14:textId="77777777">
        <w:trPr>
          <w:trHeight w:val="340"/>
        </w:trPr>
        <w:tc>
          <w:tcPr>
            <w:tcW w:w="648" w:type="dxa"/>
            <w:vMerge/>
          </w:tcPr>
          <w:p w14:paraId="08037BF0" w14:textId="77777777" w:rsidR="009C353B" w:rsidRDefault="009C353B">
            <w:pPr>
              <w:widowControl/>
              <w:jc w:val="center"/>
              <w:rPr>
                <w:rFonts w:ascii="Times New Roman" w:hAnsi="Times New Roman"/>
                <w:kern w:val="0"/>
                <w:sz w:val="21"/>
                <w:szCs w:val="21"/>
              </w:rPr>
            </w:pPr>
          </w:p>
        </w:tc>
        <w:tc>
          <w:tcPr>
            <w:tcW w:w="1111" w:type="dxa"/>
            <w:vMerge w:val="restart"/>
            <w:noWrap/>
          </w:tcPr>
          <w:p w14:paraId="08B65FA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w:t>
            </w:r>
            <w:r>
              <w:rPr>
                <w:rFonts w:ascii="Times New Roman" w:hAnsi="Times New Roman"/>
                <w:kern w:val="0"/>
                <w:sz w:val="21"/>
                <w:szCs w:val="21"/>
              </w:rPr>
              <w:t>水</w:t>
            </w:r>
            <w:r>
              <w:rPr>
                <w:rFonts w:ascii="Times New Roman" w:hAnsi="Times New Roman"/>
                <w:kern w:val="0"/>
                <w:sz w:val="21"/>
                <w:szCs w:val="21"/>
              </w:rPr>
              <w:t>2</w:t>
            </w:r>
          </w:p>
        </w:tc>
        <w:tc>
          <w:tcPr>
            <w:tcW w:w="883" w:type="dxa"/>
            <w:noWrap/>
          </w:tcPr>
          <w:p w14:paraId="5780961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一煤</w:t>
            </w:r>
          </w:p>
        </w:tc>
        <w:tc>
          <w:tcPr>
            <w:tcW w:w="800" w:type="dxa"/>
            <w:noWrap/>
          </w:tcPr>
          <w:p w14:paraId="7B0A8C9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1.95</w:t>
            </w:r>
          </w:p>
        </w:tc>
        <w:tc>
          <w:tcPr>
            <w:tcW w:w="882" w:type="dxa"/>
            <w:noWrap/>
          </w:tcPr>
          <w:p w14:paraId="5EC0DC2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34.62</w:t>
            </w:r>
          </w:p>
        </w:tc>
        <w:tc>
          <w:tcPr>
            <w:tcW w:w="883" w:type="dxa"/>
            <w:noWrap/>
          </w:tcPr>
          <w:p w14:paraId="27CA360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37.93</w:t>
            </w:r>
          </w:p>
        </w:tc>
        <w:tc>
          <w:tcPr>
            <w:tcW w:w="1942" w:type="dxa"/>
            <w:shd w:val="clear" w:color="auto" w:fill="auto"/>
          </w:tcPr>
          <w:p w14:paraId="1386B7E8" w14:textId="77777777" w:rsidR="009C353B" w:rsidRDefault="00000000">
            <w:pPr>
              <w:widowControl/>
              <w:jc w:val="center"/>
              <w:rPr>
                <w:rFonts w:ascii="Times New Roman" w:hAnsi="Times New Roman"/>
                <w:sz w:val="21"/>
                <w:szCs w:val="21"/>
              </w:rPr>
            </w:pPr>
            <w:r>
              <w:rPr>
                <w:rFonts w:ascii="Times New Roman" w:hAnsi="Times New Roman"/>
                <w:sz w:val="21"/>
                <w:szCs w:val="21"/>
              </w:rPr>
              <w:t>32.56</w:t>
            </w:r>
          </w:p>
        </w:tc>
        <w:tc>
          <w:tcPr>
            <w:tcW w:w="1307" w:type="dxa"/>
            <w:shd w:val="clear" w:color="auto" w:fill="auto"/>
          </w:tcPr>
          <w:p w14:paraId="3249F634" w14:textId="77777777" w:rsidR="009C353B" w:rsidRDefault="00000000">
            <w:pPr>
              <w:widowControl/>
              <w:jc w:val="center"/>
              <w:rPr>
                <w:rFonts w:ascii="Times New Roman" w:hAnsi="Times New Roman"/>
                <w:sz w:val="21"/>
                <w:szCs w:val="21"/>
              </w:rPr>
            </w:pPr>
            <w:r>
              <w:rPr>
                <w:rFonts w:ascii="Times New Roman" w:hAnsi="Times New Roman"/>
                <w:sz w:val="21"/>
                <w:szCs w:val="21"/>
              </w:rPr>
              <w:t>37.93</w:t>
            </w:r>
          </w:p>
        </w:tc>
        <w:tc>
          <w:tcPr>
            <w:tcW w:w="830" w:type="dxa"/>
            <w:noWrap/>
          </w:tcPr>
          <w:p w14:paraId="5A77083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29F1F3D1" w14:textId="77777777">
        <w:trPr>
          <w:trHeight w:val="340"/>
        </w:trPr>
        <w:tc>
          <w:tcPr>
            <w:tcW w:w="648" w:type="dxa"/>
            <w:vMerge/>
          </w:tcPr>
          <w:p w14:paraId="5CE2F2B7" w14:textId="77777777" w:rsidR="009C353B" w:rsidRDefault="009C353B">
            <w:pPr>
              <w:widowControl/>
              <w:jc w:val="center"/>
              <w:rPr>
                <w:rFonts w:ascii="Times New Roman" w:hAnsi="Times New Roman"/>
                <w:kern w:val="0"/>
                <w:sz w:val="21"/>
                <w:szCs w:val="21"/>
              </w:rPr>
            </w:pPr>
          </w:p>
        </w:tc>
        <w:tc>
          <w:tcPr>
            <w:tcW w:w="1111" w:type="dxa"/>
            <w:vMerge/>
          </w:tcPr>
          <w:p w14:paraId="0986400F" w14:textId="77777777" w:rsidR="009C353B" w:rsidRDefault="009C353B">
            <w:pPr>
              <w:widowControl/>
              <w:jc w:val="center"/>
              <w:rPr>
                <w:rFonts w:ascii="Times New Roman" w:hAnsi="Times New Roman"/>
                <w:kern w:val="0"/>
                <w:sz w:val="21"/>
                <w:szCs w:val="21"/>
              </w:rPr>
            </w:pPr>
          </w:p>
        </w:tc>
        <w:tc>
          <w:tcPr>
            <w:tcW w:w="883" w:type="dxa"/>
            <w:noWrap/>
          </w:tcPr>
          <w:p w14:paraId="7E54304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三煤</w:t>
            </w:r>
          </w:p>
        </w:tc>
        <w:tc>
          <w:tcPr>
            <w:tcW w:w="800" w:type="dxa"/>
            <w:noWrap/>
          </w:tcPr>
          <w:p w14:paraId="7ECDE44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1.66</w:t>
            </w:r>
          </w:p>
        </w:tc>
        <w:tc>
          <w:tcPr>
            <w:tcW w:w="882" w:type="dxa"/>
            <w:noWrap/>
          </w:tcPr>
          <w:p w14:paraId="3BBC07D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32.13</w:t>
            </w:r>
          </w:p>
        </w:tc>
        <w:tc>
          <w:tcPr>
            <w:tcW w:w="883" w:type="dxa"/>
            <w:noWrap/>
          </w:tcPr>
          <w:p w14:paraId="37864B1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35.77</w:t>
            </w:r>
          </w:p>
        </w:tc>
        <w:tc>
          <w:tcPr>
            <w:tcW w:w="1942" w:type="dxa"/>
            <w:shd w:val="clear" w:color="auto" w:fill="auto"/>
          </w:tcPr>
          <w:p w14:paraId="35FB1509" w14:textId="77777777" w:rsidR="009C353B" w:rsidRDefault="00000000">
            <w:pPr>
              <w:widowControl/>
              <w:jc w:val="center"/>
              <w:rPr>
                <w:rFonts w:ascii="Times New Roman" w:hAnsi="Times New Roman"/>
                <w:sz w:val="21"/>
                <w:szCs w:val="21"/>
              </w:rPr>
            </w:pPr>
            <w:r>
              <w:rPr>
                <w:rFonts w:ascii="Times New Roman" w:hAnsi="Times New Roman"/>
                <w:sz w:val="21"/>
                <w:szCs w:val="21"/>
              </w:rPr>
              <w:t>28.48</w:t>
            </w:r>
          </w:p>
        </w:tc>
        <w:tc>
          <w:tcPr>
            <w:tcW w:w="1307" w:type="dxa"/>
            <w:shd w:val="clear" w:color="auto" w:fill="auto"/>
          </w:tcPr>
          <w:p w14:paraId="7C62BAC8" w14:textId="77777777" w:rsidR="009C353B" w:rsidRDefault="00000000">
            <w:pPr>
              <w:widowControl/>
              <w:jc w:val="center"/>
              <w:rPr>
                <w:rFonts w:ascii="Times New Roman" w:hAnsi="Times New Roman"/>
                <w:sz w:val="21"/>
                <w:szCs w:val="21"/>
              </w:rPr>
            </w:pPr>
            <w:r>
              <w:rPr>
                <w:rFonts w:ascii="Times New Roman" w:hAnsi="Times New Roman"/>
                <w:sz w:val="21"/>
                <w:szCs w:val="21"/>
              </w:rPr>
              <w:t>35.77</w:t>
            </w:r>
          </w:p>
        </w:tc>
        <w:tc>
          <w:tcPr>
            <w:tcW w:w="830" w:type="dxa"/>
            <w:noWrap/>
          </w:tcPr>
          <w:p w14:paraId="72A4738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68BBBF5" w14:textId="77777777">
        <w:trPr>
          <w:trHeight w:val="340"/>
        </w:trPr>
        <w:tc>
          <w:tcPr>
            <w:tcW w:w="648" w:type="dxa"/>
            <w:vMerge/>
          </w:tcPr>
          <w:p w14:paraId="42235BB0" w14:textId="77777777" w:rsidR="009C353B" w:rsidRDefault="009C353B">
            <w:pPr>
              <w:widowControl/>
              <w:jc w:val="center"/>
              <w:rPr>
                <w:rFonts w:ascii="Times New Roman" w:hAnsi="Times New Roman"/>
                <w:kern w:val="0"/>
                <w:sz w:val="21"/>
                <w:szCs w:val="21"/>
              </w:rPr>
            </w:pPr>
          </w:p>
        </w:tc>
        <w:tc>
          <w:tcPr>
            <w:tcW w:w="1111" w:type="dxa"/>
            <w:vMerge/>
          </w:tcPr>
          <w:p w14:paraId="618142B5" w14:textId="77777777" w:rsidR="009C353B" w:rsidRDefault="009C353B">
            <w:pPr>
              <w:widowControl/>
              <w:jc w:val="center"/>
              <w:rPr>
                <w:rFonts w:ascii="Times New Roman" w:hAnsi="Times New Roman"/>
                <w:kern w:val="0"/>
                <w:sz w:val="21"/>
                <w:szCs w:val="21"/>
              </w:rPr>
            </w:pPr>
          </w:p>
        </w:tc>
        <w:tc>
          <w:tcPr>
            <w:tcW w:w="883" w:type="dxa"/>
            <w:noWrap/>
          </w:tcPr>
          <w:p w14:paraId="36E8F67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五煤</w:t>
            </w:r>
          </w:p>
        </w:tc>
        <w:tc>
          <w:tcPr>
            <w:tcW w:w="800" w:type="dxa"/>
            <w:noWrap/>
          </w:tcPr>
          <w:p w14:paraId="22431AF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3.58</w:t>
            </w:r>
          </w:p>
        </w:tc>
        <w:tc>
          <w:tcPr>
            <w:tcW w:w="882" w:type="dxa"/>
            <w:noWrap/>
          </w:tcPr>
          <w:p w14:paraId="036EBF1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43.98</w:t>
            </w:r>
          </w:p>
        </w:tc>
        <w:tc>
          <w:tcPr>
            <w:tcW w:w="883" w:type="dxa"/>
            <w:noWrap/>
          </w:tcPr>
          <w:p w14:paraId="4AA4A54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47.84</w:t>
            </w:r>
          </w:p>
        </w:tc>
        <w:tc>
          <w:tcPr>
            <w:tcW w:w="1942" w:type="dxa"/>
            <w:shd w:val="clear" w:color="auto" w:fill="auto"/>
          </w:tcPr>
          <w:p w14:paraId="29654DD1" w14:textId="77777777" w:rsidR="009C353B" w:rsidRDefault="00000000">
            <w:pPr>
              <w:widowControl/>
              <w:jc w:val="center"/>
              <w:rPr>
                <w:rFonts w:ascii="Times New Roman" w:hAnsi="Times New Roman"/>
                <w:sz w:val="21"/>
                <w:szCs w:val="21"/>
              </w:rPr>
            </w:pPr>
            <w:r>
              <w:rPr>
                <w:rFonts w:ascii="Times New Roman" w:hAnsi="Times New Roman"/>
                <w:sz w:val="21"/>
                <w:szCs w:val="21"/>
              </w:rPr>
              <w:t>55.52</w:t>
            </w:r>
          </w:p>
        </w:tc>
        <w:tc>
          <w:tcPr>
            <w:tcW w:w="1307" w:type="dxa"/>
            <w:shd w:val="clear" w:color="auto" w:fill="auto"/>
          </w:tcPr>
          <w:p w14:paraId="2E67072B" w14:textId="77777777" w:rsidR="009C353B" w:rsidRDefault="00000000">
            <w:pPr>
              <w:widowControl/>
              <w:jc w:val="center"/>
              <w:rPr>
                <w:rFonts w:ascii="Times New Roman" w:hAnsi="Times New Roman"/>
                <w:sz w:val="21"/>
                <w:szCs w:val="21"/>
              </w:rPr>
            </w:pPr>
            <w:r>
              <w:rPr>
                <w:rFonts w:ascii="Times New Roman" w:hAnsi="Times New Roman"/>
                <w:sz w:val="21"/>
                <w:szCs w:val="21"/>
              </w:rPr>
              <w:t>55.52</w:t>
            </w:r>
          </w:p>
        </w:tc>
        <w:tc>
          <w:tcPr>
            <w:tcW w:w="830" w:type="dxa"/>
            <w:noWrap/>
          </w:tcPr>
          <w:p w14:paraId="418AD7F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7C6A8EBF" w14:textId="77777777">
        <w:trPr>
          <w:trHeight w:val="340"/>
        </w:trPr>
        <w:tc>
          <w:tcPr>
            <w:tcW w:w="648" w:type="dxa"/>
            <w:vMerge/>
          </w:tcPr>
          <w:p w14:paraId="39B65356" w14:textId="77777777" w:rsidR="009C353B" w:rsidRDefault="009C353B">
            <w:pPr>
              <w:widowControl/>
              <w:jc w:val="center"/>
              <w:rPr>
                <w:rFonts w:ascii="Times New Roman" w:hAnsi="Times New Roman"/>
                <w:kern w:val="0"/>
                <w:sz w:val="21"/>
                <w:szCs w:val="21"/>
              </w:rPr>
            </w:pPr>
          </w:p>
        </w:tc>
        <w:tc>
          <w:tcPr>
            <w:tcW w:w="1111" w:type="dxa"/>
            <w:vMerge w:val="restart"/>
            <w:noWrap/>
          </w:tcPr>
          <w:p w14:paraId="22A7DFF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DN107</w:t>
            </w:r>
          </w:p>
        </w:tc>
        <w:tc>
          <w:tcPr>
            <w:tcW w:w="883" w:type="dxa"/>
            <w:noWrap/>
          </w:tcPr>
          <w:p w14:paraId="1D47B26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一煤</w:t>
            </w:r>
          </w:p>
        </w:tc>
        <w:tc>
          <w:tcPr>
            <w:tcW w:w="800" w:type="dxa"/>
            <w:noWrap/>
          </w:tcPr>
          <w:p w14:paraId="6294626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3.35</w:t>
            </w:r>
          </w:p>
        </w:tc>
        <w:tc>
          <w:tcPr>
            <w:tcW w:w="882" w:type="dxa"/>
            <w:noWrap/>
          </w:tcPr>
          <w:p w14:paraId="718EDCD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42.99</w:t>
            </w:r>
          </w:p>
        </w:tc>
        <w:tc>
          <w:tcPr>
            <w:tcW w:w="883" w:type="dxa"/>
            <w:noWrap/>
          </w:tcPr>
          <w:p w14:paraId="10BBB18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46.61</w:t>
            </w:r>
          </w:p>
        </w:tc>
        <w:tc>
          <w:tcPr>
            <w:tcW w:w="1942" w:type="dxa"/>
            <w:shd w:val="clear" w:color="auto" w:fill="auto"/>
          </w:tcPr>
          <w:p w14:paraId="0B972898" w14:textId="77777777" w:rsidR="009C353B" w:rsidRDefault="00000000">
            <w:pPr>
              <w:widowControl/>
              <w:jc w:val="center"/>
              <w:rPr>
                <w:rFonts w:ascii="Times New Roman" w:hAnsi="Times New Roman"/>
                <w:sz w:val="21"/>
                <w:szCs w:val="21"/>
              </w:rPr>
            </w:pPr>
            <w:r>
              <w:rPr>
                <w:rFonts w:ascii="Times New Roman" w:hAnsi="Times New Roman"/>
                <w:sz w:val="21"/>
                <w:szCs w:val="21"/>
              </w:rPr>
              <w:t>52.28</w:t>
            </w:r>
          </w:p>
        </w:tc>
        <w:tc>
          <w:tcPr>
            <w:tcW w:w="1307" w:type="dxa"/>
            <w:shd w:val="clear" w:color="auto" w:fill="auto"/>
          </w:tcPr>
          <w:p w14:paraId="40FD15CD" w14:textId="77777777" w:rsidR="009C353B" w:rsidRDefault="00000000">
            <w:pPr>
              <w:widowControl/>
              <w:jc w:val="center"/>
              <w:rPr>
                <w:rFonts w:ascii="Times New Roman" w:hAnsi="Times New Roman"/>
                <w:sz w:val="21"/>
                <w:szCs w:val="21"/>
              </w:rPr>
            </w:pPr>
            <w:r>
              <w:rPr>
                <w:rFonts w:ascii="Times New Roman" w:hAnsi="Times New Roman"/>
                <w:sz w:val="21"/>
                <w:szCs w:val="21"/>
              </w:rPr>
              <w:t>52.28</w:t>
            </w:r>
          </w:p>
        </w:tc>
        <w:tc>
          <w:tcPr>
            <w:tcW w:w="830" w:type="dxa"/>
            <w:noWrap/>
          </w:tcPr>
          <w:p w14:paraId="483A375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80DE7F4" w14:textId="77777777">
        <w:trPr>
          <w:trHeight w:val="340"/>
        </w:trPr>
        <w:tc>
          <w:tcPr>
            <w:tcW w:w="648" w:type="dxa"/>
            <w:vMerge/>
          </w:tcPr>
          <w:p w14:paraId="1EF33CC9" w14:textId="77777777" w:rsidR="009C353B" w:rsidRDefault="009C353B">
            <w:pPr>
              <w:widowControl/>
              <w:jc w:val="center"/>
              <w:rPr>
                <w:rFonts w:ascii="Times New Roman" w:hAnsi="Times New Roman"/>
                <w:kern w:val="0"/>
                <w:sz w:val="21"/>
                <w:szCs w:val="21"/>
              </w:rPr>
            </w:pPr>
          </w:p>
        </w:tc>
        <w:tc>
          <w:tcPr>
            <w:tcW w:w="1111" w:type="dxa"/>
            <w:vMerge/>
          </w:tcPr>
          <w:p w14:paraId="746FA72F" w14:textId="77777777" w:rsidR="009C353B" w:rsidRDefault="009C353B">
            <w:pPr>
              <w:widowControl/>
              <w:jc w:val="center"/>
              <w:rPr>
                <w:rFonts w:ascii="Times New Roman" w:hAnsi="Times New Roman"/>
                <w:kern w:val="0"/>
                <w:sz w:val="21"/>
                <w:szCs w:val="21"/>
              </w:rPr>
            </w:pPr>
          </w:p>
        </w:tc>
        <w:tc>
          <w:tcPr>
            <w:tcW w:w="883" w:type="dxa"/>
            <w:noWrap/>
          </w:tcPr>
          <w:p w14:paraId="7A6DB0C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三煤</w:t>
            </w:r>
          </w:p>
        </w:tc>
        <w:tc>
          <w:tcPr>
            <w:tcW w:w="800" w:type="dxa"/>
            <w:noWrap/>
          </w:tcPr>
          <w:p w14:paraId="5D24BD0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2.25</w:t>
            </w:r>
          </w:p>
        </w:tc>
        <w:tc>
          <w:tcPr>
            <w:tcW w:w="882" w:type="dxa"/>
            <w:noWrap/>
          </w:tcPr>
          <w:p w14:paraId="6575A36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36.85</w:t>
            </w:r>
          </w:p>
        </w:tc>
        <w:tc>
          <w:tcPr>
            <w:tcW w:w="883" w:type="dxa"/>
            <w:noWrap/>
          </w:tcPr>
          <w:p w14:paraId="6D0B17D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40</w:t>
            </w:r>
          </w:p>
        </w:tc>
        <w:tc>
          <w:tcPr>
            <w:tcW w:w="1942" w:type="dxa"/>
            <w:shd w:val="clear" w:color="auto" w:fill="auto"/>
          </w:tcPr>
          <w:p w14:paraId="5D9E5005" w14:textId="77777777" w:rsidR="009C353B" w:rsidRDefault="00000000">
            <w:pPr>
              <w:widowControl/>
              <w:jc w:val="center"/>
              <w:rPr>
                <w:rFonts w:ascii="Times New Roman" w:hAnsi="Times New Roman"/>
                <w:sz w:val="21"/>
                <w:szCs w:val="21"/>
              </w:rPr>
            </w:pPr>
            <w:r>
              <w:rPr>
                <w:rFonts w:ascii="Times New Roman" w:hAnsi="Times New Roman"/>
                <w:sz w:val="21"/>
                <w:szCs w:val="21"/>
              </w:rPr>
              <w:t>36.79</w:t>
            </w:r>
          </w:p>
        </w:tc>
        <w:tc>
          <w:tcPr>
            <w:tcW w:w="1307" w:type="dxa"/>
            <w:shd w:val="clear" w:color="auto" w:fill="auto"/>
          </w:tcPr>
          <w:p w14:paraId="1D70C395" w14:textId="77777777" w:rsidR="009C353B" w:rsidRDefault="00000000">
            <w:pPr>
              <w:widowControl/>
              <w:jc w:val="center"/>
              <w:rPr>
                <w:rFonts w:ascii="Times New Roman" w:hAnsi="Times New Roman"/>
                <w:sz w:val="21"/>
                <w:szCs w:val="21"/>
              </w:rPr>
            </w:pPr>
            <w:r>
              <w:rPr>
                <w:rFonts w:ascii="Times New Roman" w:hAnsi="Times New Roman"/>
                <w:sz w:val="21"/>
                <w:szCs w:val="21"/>
              </w:rPr>
              <w:t>40</w:t>
            </w:r>
          </w:p>
        </w:tc>
        <w:tc>
          <w:tcPr>
            <w:tcW w:w="830" w:type="dxa"/>
            <w:noWrap/>
          </w:tcPr>
          <w:p w14:paraId="0A0BF6F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131EFB9B" w14:textId="77777777">
        <w:trPr>
          <w:trHeight w:val="340"/>
        </w:trPr>
        <w:tc>
          <w:tcPr>
            <w:tcW w:w="648" w:type="dxa"/>
            <w:vMerge/>
          </w:tcPr>
          <w:p w14:paraId="1888320B" w14:textId="77777777" w:rsidR="009C353B" w:rsidRDefault="009C353B">
            <w:pPr>
              <w:widowControl/>
              <w:jc w:val="center"/>
              <w:rPr>
                <w:rFonts w:ascii="Times New Roman" w:hAnsi="Times New Roman"/>
                <w:kern w:val="0"/>
                <w:sz w:val="21"/>
                <w:szCs w:val="21"/>
              </w:rPr>
            </w:pPr>
          </w:p>
        </w:tc>
        <w:tc>
          <w:tcPr>
            <w:tcW w:w="1111" w:type="dxa"/>
            <w:vMerge/>
          </w:tcPr>
          <w:p w14:paraId="3BF47E87" w14:textId="77777777" w:rsidR="009C353B" w:rsidRDefault="009C353B">
            <w:pPr>
              <w:widowControl/>
              <w:jc w:val="center"/>
              <w:rPr>
                <w:rFonts w:ascii="Times New Roman" w:hAnsi="Times New Roman"/>
                <w:kern w:val="0"/>
                <w:sz w:val="21"/>
                <w:szCs w:val="21"/>
              </w:rPr>
            </w:pPr>
          </w:p>
        </w:tc>
        <w:tc>
          <w:tcPr>
            <w:tcW w:w="883" w:type="dxa"/>
            <w:noWrap/>
          </w:tcPr>
          <w:p w14:paraId="2DA6D32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五煤</w:t>
            </w:r>
          </w:p>
        </w:tc>
        <w:tc>
          <w:tcPr>
            <w:tcW w:w="800" w:type="dxa"/>
            <w:noWrap/>
          </w:tcPr>
          <w:p w14:paraId="73FFCF1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6.25</w:t>
            </w:r>
          </w:p>
        </w:tc>
        <w:tc>
          <w:tcPr>
            <w:tcW w:w="882" w:type="dxa"/>
            <w:noWrap/>
          </w:tcPr>
          <w:p w14:paraId="37B8A79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51.56</w:t>
            </w:r>
          </w:p>
        </w:tc>
        <w:tc>
          <w:tcPr>
            <w:tcW w:w="883" w:type="dxa"/>
            <w:noWrap/>
          </w:tcPr>
          <w:p w14:paraId="4201CD4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60</w:t>
            </w:r>
          </w:p>
        </w:tc>
        <w:tc>
          <w:tcPr>
            <w:tcW w:w="1942" w:type="dxa"/>
            <w:shd w:val="clear" w:color="auto" w:fill="auto"/>
          </w:tcPr>
          <w:p w14:paraId="5A2D07F0" w14:textId="77777777" w:rsidR="009C353B" w:rsidRDefault="00000000">
            <w:pPr>
              <w:widowControl/>
              <w:jc w:val="center"/>
              <w:rPr>
                <w:rFonts w:ascii="Times New Roman" w:hAnsi="Times New Roman"/>
                <w:sz w:val="21"/>
                <w:szCs w:val="21"/>
              </w:rPr>
            </w:pPr>
            <w:r>
              <w:rPr>
                <w:rFonts w:ascii="Times New Roman" w:hAnsi="Times New Roman"/>
                <w:sz w:val="21"/>
                <w:szCs w:val="21"/>
              </w:rPr>
              <w:t>93.13</w:t>
            </w:r>
          </w:p>
        </w:tc>
        <w:tc>
          <w:tcPr>
            <w:tcW w:w="1307" w:type="dxa"/>
            <w:shd w:val="clear" w:color="auto" w:fill="auto"/>
          </w:tcPr>
          <w:p w14:paraId="0C9678A7" w14:textId="77777777" w:rsidR="009C353B" w:rsidRDefault="00000000">
            <w:pPr>
              <w:widowControl/>
              <w:jc w:val="center"/>
              <w:rPr>
                <w:rFonts w:ascii="Times New Roman" w:hAnsi="Times New Roman"/>
                <w:sz w:val="21"/>
                <w:szCs w:val="21"/>
              </w:rPr>
            </w:pPr>
            <w:r>
              <w:rPr>
                <w:rFonts w:ascii="Times New Roman" w:hAnsi="Times New Roman"/>
                <w:sz w:val="21"/>
                <w:szCs w:val="21"/>
              </w:rPr>
              <w:t>93.13</w:t>
            </w:r>
          </w:p>
        </w:tc>
        <w:tc>
          <w:tcPr>
            <w:tcW w:w="830" w:type="dxa"/>
            <w:noWrap/>
          </w:tcPr>
          <w:p w14:paraId="039F58D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B85F724" w14:textId="77777777">
        <w:trPr>
          <w:trHeight w:val="340"/>
        </w:trPr>
        <w:tc>
          <w:tcPr>
            <w:tcW w:w="648" w:type="dxa"/>
            <w:vMerge w:val="restart"/>
            <w:noWrap/>
          </w:tcPr>
          <w:p w14:paraId="26A72D3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DN2</w:t>
            </w:r>
          </w:p>
        </w:tc>
        <w:tc>
          <w:tcPr>
            <w:tcW w:w="1111" w:type="dxa"/>
            <w:vMerge w:val="restart"/>
            <w:noWrap/>
          </w:tcPr>
          <w:p w14:paraId="767DA05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DN201</w:t>
            </w:r>
          </w:p>
        </w:tc>
        <w:tc>
          <w:tcPr>
            <w:tcW w:w="883" w:type="dxa"/>
            <w:noWrap/>
          </w:tcPr>
          <w:p w14:paraId="4C7E21B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一煤</w:t>
            </w:r>
          </w:p>
        </w:tc>
        <w:tc>
          <w:tcPr>
            <w:tcW w:w="800" w:type="dxa"/>
            <w:noWrap/>
          </w:tcPr>
          <w:p w14:paraId="1DE16FE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3.43</w:t>
            </w:r>
          </w:p>
        </w:tc>
        <w:tc>
          <w:tcPr>
            <w:tcW w:w="882" w:type="dxa"/>
            <w:noWrap/>
          </w:tcPr>
          <w:p w14:paraId="6C8FEB9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43.34</w:t>
            </w:r>
          </w:p>
        </w:tc>
        <w:tc>
          <w:tcPr>
            <w:tcW w:w="883" w:type="dxa"/>
            <w:noWrap/>
          </w:tcPr>
          <w:p w14:paraId="684E739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47.04</w:t>
            </w:r>
          </w:p>
        </w:tc>
        <w:tc>
          <w:tcPr>
            <w:tcW w:w="1942" w:type="dxa"/>
            <w:shd w:val="clear" w:color="auto" w:fill="auto"/>
          </w:tcPr>
          <w:p w14:paraId="24B589C7" w14:textId="77777777" w:rsidR="009C353B" w:rsidRDefault="00000000">
            <w:pPr>
              <w:widowControl/>
              <w:jc w:val="center"/>
              <w:rPr>
                <w:rFonts w:ascii="Times New Roman" w:hAnsi="Times New Roman"/>
                <w:sz w:val="21"/>
                <w:szCs w:val="21"/>
              </w:rPr>
            </w:pPr>
            <w:r>
              <w:rPr>
                <w:rFonts w:ascii="Times New Roman" w:hAnsi="Times New Roman"/>
                <w:sz w:val="21"/>
                <w:szCs w:val="21"/>
              </w:rPr>
              <w:t>53.41</w:t>
            </w:r>
          </w:p>
        </w:tc>
        <w:tc>
          <w:tcPr>
            <w:tcW w:w="1307" w:type="dxa"/>
            <w:shd w:val="clear" w:color="auto" w:fill="auto"/>
          </w:tcPr>
          <w:p w14:paraId="63735EEC" w14:textId="77777777" w:rsidR="009C353B" w:rsidRDefault="00000000">
            <w:pPr>
              <w:widowControl/>
              <w:jc w:val="center"/>
              <w:rPr>
                <w:rFonts w:ascii="Times New Roman" w:hAnsi="Times New Roman"/>
                <w:sz w:val="21"/>
                <w:szCs w:val="21"/>
              </w:rPr>
            </w:pPr>
            <w:r>
              <w:rPr>
                <w:rFonts w:ascii="Times New Roman" w:hAnsi="Times New Roman"/>
                <w:sz w:val="21"/>
                <w:szCs w:val="21"/>
              </w:rPr>
              <w:t>53.41</w:t>
            </w:r>
          </w:p>
        </w:tc>
        <w:tc>
          <w:tcPr>
            <w:tcW w:w="830" w:type="dxa"/>
            <w:noWrap/>
          </w:tcPr>
          <w:p w14:paraId="5C0D767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7108802" w14:textId="77777777">
        <w:trPr>
          <w:trHeight w:val="340"/>
        </w:trPr>
        <w:tc>
          <w:tcPr>
            <w:tcW w:w="648" w:type="dxa"/>
            <w:vMerge/>
          </w:tcPr>
          <w:p w14:paraId="2D66DFFE" w14:textId="77777777" w:rsidR="009C353B" w:rsidRDefault="009C353B">
            <w:pPr>
              <w:widowControl/>
              <w:jc w:val="center"/>
              <w:rPr>
                <w:rFonts w:ascii="Times New Roman" w:hAnsi="Times New Roman"/>
                <w:kern w:val="0"/>
                <w:sz w:val="21"/>
                <w:szCs w:val="21"/>
              </w:rPr>
            </w:pPr>
          </w:p>
        </w:tc>
        <w:tc>
          <w:tcPr>
            <w:tcW w:w="1111" w:type="dxa"/>
            <w:vMerge/>
          </w:tcPr>
          <w:p w14:paraId="5EABEACA" w14:textId="77777777" w:rsidR="009C353B" w:rsidRDefault="009C353B">
            <w:pPr>
              <w:widowControl/>
              <w:jc w:val="center"/>
              <w:rPr>
                <w:rFonts w:ascii="Times New Roman" w:hAnsi="Times New Roman"/>
                <w:kern w:val="0"/>
                <w:sz w:val="21"/>
                <w:szCs w:val="21"/>
              </w:rPr>
            </w:pPr>
          </w:p>
        </w:tc>
        <w:tc>
          <w:tcPr>
            <w:tcW w:w="883" w:type="dxa"/>
            <w:noWrap/>
          </w:tcPr>
          <w:p w14:paraId="045B273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三煤</w:t>
            </w:r>
          </w:p>
        </w:tc>
        <w:tc>
          <w:tcPr>
            <w:tcW w:w="800" w:type="dxa"/>
            <w:noWrap/>
          </w:tcPr>
          <w:p w14:paraId="37FC4F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6.08</w:t>
            </w:r>
          </w:p>
        </w:tc>
        <w:tc>
          <w:tcPr>
            <w:tcW w:w="882" w:type="dxa"/>
            <w:noWrap/>
          </w:tcPr>
          <w:p w14:paraId="6570CEE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51.22</w:t>
            </w:r>
          </w:p>
        </w:tc>
        <w:tc>
          <w:tcPr>
            <w:tcW w:w="883" w:type="dxa"/>
            <w:noWrap/>
          </w:tcPr>
          <w:p w14:paraId="33BD79F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59.32</w:t>
            </w:r>
          </w:p>
        </w:tc>
        <w:tc>
          <w:tcPr>
            <w:tcW w:w="1942" w:type="dxa"/>
            <w:shd w:val="clear" w:color="auto" w:fill="auto"/>
          </w:tcPr>
          <w:p w14:paraId="06FBAAC2" w14:textId="77777777" w:rsidR="009C353B" w:rsidRDefault="00000000">
            <w:pPr>
              <w:widowControl/>
              <w:jc w:val="center"/>
              <w:rPr>
                <w:rFonts w:ascii="Times New Roman" w:hAnsi="Times New Roman"/>
                <w:sz w:val="21"/>
                <w:szCs w:val="21"/>
              </w:rPr>
            </w:pPr>
            <w:r>
              <w:rPr>
                <w:rFonts w:ascii="Times New Roman" w:hAnsi="Times New Roman"/>
                <w:sz w:val="21"/>
                <w:szCs w:val="21"/>
              </w:rPr>
              <w:t>90.73</w:t>
            </w:r>
          </w:p>
        </w:tc>
        <w:tc>
          <w:tcPr>
            <w:tcW w:w="1307" w:type="dxa"/>
            <w:shd w:val="clear" w:color="auto" w:fill="auto"/>
          </w:tcPr>
          <w:p w14:paraId="7FD27B49" w14:textId="77777777" w:rsidR="009C353B" w:rsidRDefault="00000000">
            <w:pPr>
              <w:widowControl/>
              <w:jc w:val="center"/>
              <w:rPr>
                <w:rFonts w:ascii="Times New Roman" w:hAnsi="Times New Roman"/>
                <w:sz w:val="21"/>
                <w:szCs w:val="21"/>
              </w:rPr>
            </w:pPr>
            <w:r>
              <w:rPr>
                <w:rFonts w:ascii="Times New Roman" w:hAnsi="Times New Roman"/>
                <w:sz w:val="21"/>
                <w:szCs w:val="21"/>
              </w:rPr>
              <w:t>90.73</w:t>
            </w:r>
          </w:p>
        </w:tc>
        <w:tc>
          <w:tcPr>
            <w:tcW w:w="830" w:type="dxa"/>
            <w:noWrap/>
          </w:tcPr>
          <w:p w14:paraId="48D0A32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132689B1" w14:textId="77777777">
        <w:trPr>
          <w:trHeight w:val="340"/>
        </w:trPr>
        <w:tc>
          <w:tcPr>
            <w:tcW w:w="648" w:type="dxa"/>
            <w:vMerge/>
          </w:tcPr>
          <w:p w14:paraId="203E70F9" w14:textId="77777777" w:rsidR="009C353B" w:rsidRDefault="009C353B">
            <w:pPr>
              <w:widowControl/>
              <w:jc w:val="center"/>
              <w:rPr>
                <w:rFonts w:ascii="Times New Roman" w:hAnsi="Times New Roman"/>
                <w:kern w:val="0"/>
                <w:sz w:val="21"/>
                <w:szCs w:val="21"/>
              </w:rPr>
            </w:pPr>
          </w:p>
        </w:tc>
        <w:tc>
          <w:tcPr>
            <w:tcW w:w="1111" w:type="dxa"/>
            <w:vMerge/>
          </w:tcPr>
          <w:p w14:paraId="1680B56F" w14:textId="77777777" w:rsidR="009C353B" w:rsidRDefault="009C353B">
            <w:pPr>
              <w:widowControl/>
              <w:jc w:val="center"/>
              <w:rPr>
                <w:rFonts w:ascii="Times New Roman" w:hAnsi="Times New Roman"/>
                <w:kern w:val="0"/>
                <w:sz w:val="21"/>
                <w:szCs w:val="21"/>
              </w:rPr>
            </w:pPr>
          </w:p>
        </w:tc>
        <w:tc>
          <w:tcPr>
            <w:tcW w:w="883" w:type="dxa"/>
            <w:noWrap/>
          </w:tcPr>
          <w:p w14:paraId="62BD26E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五煤</w:t>
            </w:r>
          </w:p>
        </w:tc>
        <w:tc>
          <w:tcPr>
            <w:tcW w:w="800" w:type="dxa"/>
            <w:noWrap/>
          </w:tcPr>
          <w:p w14:paraId="0D8A8C5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7.93</w:t>
            </w:r>
          </w:p>
        </w:tc>
        <w:tc>
          <w:tcPr>
            <w:tcW w:w="882" w:type="dxa"/>
            <w:noWrap/>
          </w:tcPr>
          <w:p w14:paraId="1736BB5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54.29</w:t>
            </w:r>
          </w:p>
        </w:tc>
        <w:tc>
          <w:tcPr>
            <w:tcW w:w="883" w:type="dxa"/>
            <w:noWrap/>
          </w:tcPr>
          <w:p w14:paraId="29BD313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66.32</w:t>
            </w:r>
          </w:p>
        </w:tc>
        <w:tc>
          <w:tcPr>
            <w:tcW w:w="1942" w:type="dxa"/>
            <w:shd w:val="clear" w:color="auto" w:fill="auto"/>
          </w:tcPr>
          <w:p w14:paraId="5A154765" w14:textId="77777777" w:rsidR="009C353B" w:rsidRDefault="00000000">
            <w:pPr>
              <w:widowControl/>
              <w:jc w:val="center"/>
              <w:rPr>
                <w:rFonts w:ascii="Times New Roman" w:hAnsi="Times New Roman"/>
                <w:sz w:val="21"/>
                <w:szCs w:val="21"/>
              </w:rPr>
            </w:pPr>
            <w:r>
              <w:rPr>
                <w:rFonts w:ascii="Times New Roman" w:hAnsi="Times New Roman"/>
                <w:sz w:val="21"/>
                <w:szCs w:val="21"/>
              </w:rPr>
              <w:t>116.79</w:t>
            </w:r>
          </w:p>
        </w:tc>
        <w:tc>
          <w:tcPr>
            <w:tcW w:w="1307" w:type="dxa"/>
            <w:shd w:val="clear" w:color="auto" w:fill="auto"/>
          </w:tcPr>
          <w:p w14:paraId="7D60CDAC" w14:textId="77777777" w:rsidR="009C353B" w:rsidRDefault="00000000">
            <w:pPr>
              <w:widowControl/>
              <w:jc w:val="center"/>
              <w:rPr>
                <w:rFonts w:ascii="Times New Roman" w:hAnsi="Times New Roman"/>
                <w:sz w:val="21"/>
                <w:szCs w:val="21"/>
              </w:rPr>
            </w:pPr>
            <w:r>
              <w:rPr>
                <w:rFonts w:ascii="Times New Roman" w:hAnsi="Times New Roman"/>
                <w:sz w:val="21"/>
                <w:szCs w:val="21"/>
              </w:rPr>
              <w:t>116.79</w:t>
            </w:r>
          </w:p>
        </w:tc>
        <w:tc>
          <w:tcPr>
            <w:tcW w:w="830" w:type="dxa"/>
            <w:noWrap/>
          </w:tcPr>
          <w:p w14:paraId="05BF337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12CCBC03" w14:textId="77777777">
        <w:trPr>
          <w:trHeight w:val="340"/>
        </w:trPr>
        <w:tc>
          <w:tcPr>
            <w:tcW w:w="648" w:type="dxa"/>
            <w:vMerge/>
          </w:tcPr>
          <w:p w14:paraId="487D11E2" w14:textId="77777777" w:rsidR="009C353B" w:rsidRDefault="009C353B">
            <w:pPr>
              <w:widowControl/>
              <w:jc w:val="center"/>
              <w:rPr>
                <w:rFonts w:ascii="Times New Roman" w:hAnsi="Times New Roman"/>
                <w:kern w:val="0"/>
                <w:sz w:val="21"/>
                <w:szCs w:val="21"/>
              </w:rPr>
            </w:pPr>
          </w:p>
        </w:tc>
        <w:tc>
          <w:tcPr>
            <w:tcW w:w="1111" w:type="dxa"/>
            <w:vMerge w:val="restart"/>
            <w:noWrap/>
          </w:tcPr>
          <w:p w14:paraId="0123E8F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DN202</w:t>
            </w:r>
          </w:p>
        </w:tc>
        <w:tc>
          <w:tcPr>
            <w:tcW w:w="883" w:type="dxa"/>
            <w:noWrap/>
          </w:tcPr>
          <w:p w14:paraId="59ADFC3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一煤</w:t>
            </w:r>
          </w:p>
        </w:tc>
        <w:tc>
          <w:tcPr>
            <w:tcW w:w="800" w:type="dxa"/>
            <w:noWrap/>
          </w:tcPr>
          <w:p w14:paraId="02B2913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1.73</w:t>
            </w:r>
          </w:p>
        </w:tc>
        <w:tc>
          <w:tcPr>
            <w:tcW w:w="882" w:type="dxa"/>
            <w:noWrap/>
          </w:tcPr>
          <w:p w14:paraId="1778F2B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32.77</w:t>
            </w:r>
          </w:p>
        </w:tc>
        <w:tc>
          <w:tcPr>
            <w:tcW w:w="883" w:type="dxa"/>
            <w:noWrap/>
          </w:tcPr>
          <w:p w14:paraId="1604689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36.31</w:t>
            </w:r>
          </w:p>
        </w:tc>
        <w:tc>
          <w:tcPr>
            <w:tcW w:w="1942" w:type="dxa"/>
            <w:shd w:val="clear" w:color="auto" w:fill="auto"/>
          </w:tcPr>
          <w:p w14:paraId="422D6157" w14:textId="77777777" w:rsidR="009C353B" w:rsidRDefault="00000000">
            <w:pPr>
              <w:widowControl/>
              <w:jc w:val="center"/>
              <w:rPr>
                <w:rFonts w:ascii="Times New Roman" w:hAnsi="Times New Roman"/>
                <w:sz w:val="21"/>
                <w:szCs w:val="21"/>
              </w:rPr>
            </w:pPr>
            <w:r>
              <w:rPr>
                <w:rFonts w:ascii="Times New Roman" w:hAnsi="Times New Roman"/>
                <w:sz w:val="21"/>
                <w:szCs w:val="21"/>
              </w:rPr>
              <w:t>29.47</w:t>
            </w:r>
          </w:p>
        </w:tc>
        <w:tc>
          <w:tcPr>
            <w:tcW w:w="1307" w:type="dxa"/>
            <w:shd w:val="clear" w:color="auto" w:fill="auto"/>
          </w:tcPr>
          <w:p w14:paraId="61FC2371" w14:textId="77777777" w:rsidR="009C353B" w:rsidRDefault="00000000">
            <w:pPr>
              <w:widowControl/>
              <w:jc w:val="center"/>
              <w:rPr>
                <w:rFonts w:ascii="Times New Roman" w:hAnsi="Times New Roman"/>
                <w:sz w:val="21"/>
                <w:szCs w:val="21"/>
              </w:rPr>
            </w:pPr>
            <w:r>
              <w:rPr>
                <w:rFonts w:ascii="Times New Roman" w:hAnsi="Times New Roman"/>
                <w:sz w:val="21"/>
                <w:szCs w:val="21"/>
              </w:rPr>
              <w:t>36.31</w:t>
            </w:r>
          </w:p>
        </w:tc>
        <w:tc>
          <w:tcPr>
            <w:tcW w:w="830" w:type="dxa"/>
            <w:noWrap/>
          </w:tcPr>
          <w:p w14:paraId="20E881E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A7E2EBF" w14:textId="77777777">
        <w:trPr>
          <w:trHeight w:val="340"/>
        </w:trPr>
        <w:tc>
          <w:tcPr>
            <w:tcW w:w="648" w:type="dxa"/>
            <w:vMerge/>
          </w:tcPr>
          <w:p w14:paraId="535575F0" w14:textId="77777777" w:rsidR="009C353B" w:rsidRDefault="009C353B">
            <w:pPr>
              <w:widowControl/>
              <w:jc w:val="center"/>
              <w:rPr>
                <w:rFonts w:ascii="Times New Roman" w:hAnsi="Times New Roman"/>
                <w:kern w:val="0"/>
                <w:sz w:val="21"/>
                <w:szCs w:val="21"/>
              </w:rPr>
            </w:pPr>
          </w:p>
        </w:tc>
        <w:tc>
          <w:tcPr>
            <w:tcW w:w="1111" w:type="dxa"/>
            <w:vMerge/>
          </w:tcPr>
          <w:p w14:paraId="109A5088" w14:textId="77777777" w:rsidR="009C353B" w:rsidRDefault="009C353B">
            <w:pPr>
              <w:widowControl/>
              <w:jc w:val="center"/>
              <w:rPr>
                <w:rFonts w:ascii="Times New Roman" w:hAnsi="Times New Roman"/>
                <w:kern w:val="0"/>
                <w:sz w:val="21"/>
                <w:szCs w:val="21"/>
              </w:rPr>
            </w:pPr>
          </w:p>
        </w:tc>
        <w:tc>
          <w:tcPr>
            <w:tcW w:w="883" w:type="dxa"/>
            <w:noWrap/>
          </w:tcPr>
          <w:p w14:paraId="0B102AC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三煤</w:t>
            </w:r>
          </w:p>
        </w:tc>
        <w:tc>
          <w:tcPr>
            <w:tcW w:w="800" w:type="dxa"/>
            <w:noWrap/>
          </w:tcPr>
          <w:p w14:paraId="0646D98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1.94</w:t>
            </w:r>
          </w:p>
        </w:tc>
        <w:tc>
          <w:tcPr>
            <w:tcW w:w="882" w:type="dxa"/>
            <w:noWrap/>
          </w:tcPr>
          <w:p w14:paraId="671509A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34.54</w:t>
            </w:r>
          </w:p>
        </w:tc>
        <w:tc>
          <w:tcPr>
            <w:tcW w:w="883" w:type="dxa"/>
            <w:noWrap/>
          </w:tcPr>
          <w:p w14:paraId="2D2144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37.86</w:t>
            </w:r>
          </w:p>
        </w:tc>
        <w:tc>
          <w:tcPr>
            <w:tcW w:w="1942" w:type="dxa"/>
            <w:shd w:val="clear" w:color="auto" w:fill="auto"/>
          </w:tcPr>
          <w:p w14:paraId="703BCF5B" w14:textId="77777777" w:rsidR="009C353B" w:rsidRDefault="00000000">
            <w:pPr>
              <w:widowControl/>
              <w:jc w:val="center"/>
              <w:rPr>
                <w:rFonts w:ascii="Times New Roman" w:hAnsi="Times New Roman"/>
                <w:sz w:val="21"/>
                <w:szCs w:val="21"/>
              </w:rPr>
            </w:pPr>
            <w:r>
              <w:rPr>
                <w:rFonts w:ascii="Times New Roman" w:hAnsi="Times New Roman"/>
                <w:sz w:val="21"/>
                <w:szCs w:val="21"/>
              </w:rPr>
              <w:t>32.42</w:t>
            </w:r>
          </w:p>
        </w:tc>
        <w:tc>
          <w:tcPr>
            <w:tcW w:w="1307" w:type="dxa"/>
            <w:shd w:val="clear" w:color="auto" w:fill="auto"/>
          </w:tcPr>
          <w:p w14:paraId="418EB7D7" w14:textId="77777777" w:rsidR="009C353B" w:rsidRDefault="00000000">
            <w:pPr>
              <w:widowControl/>
              <w:jc w:val="center"/>
              <w:rPr>
                <w:rFonts w:ascii="Times New Roman" w:hAnsi="Times New Roman"/>
                <w:sz w:val="21"/>
                <w:szCs w:val="21"/>
              </w:rPr>
            </w:pPr>
            <w:r>
              <w:rPr>
                <w:rFonts w:ascii="Times New Roman" w:hAnsi="Times New Roman"/>
                <w:sz w:val="21"/>
                <w:szCs w:val="21"/>
              </w:rPr>
              <w:t>37.86</w:t>
            </w:r>
          </w:p>
        </w:tc>
        <w:tc>
          <w:tcPr>
            <w:tcW w:w="830" w:type="dxa"/>
            <w:noWrap/>
          </w:tcPr>
          <w:p w14:paraId="1B2F8E9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467D3075" w14:textId="77777777">
        <w:trPr>
          <w:trHeight w:val="340"/>
        </w:trPr>
        <w:tc>
          <w:tcPr>
            <w:tcW w:w="648" w:type="dxa"/>
            <w:vMerge/>
          </w:tcPr>
          <w:p w14:paraId="25D3FA7A" w14:textId="77777777" w:rsidR="009C353B" w:rsidRDefault="009C353B">
            <w:pPr>
              <w:widowControl/>
              <w:jc w:val="center"/>
              <w:rPr>
                <w:rFonts w:ascii="Times New Roman" w:hAnsi="Times New Roman"/>
                <w:kern w:val="0"/>
                <w:sz w:val="21"/>
                <w:szCs w:val="21"/>
              </w:rPr>
            </w:pPr>
          </w:p>
        </w:tc>
        <w:tc>
          <w:tcPr>
            <w:tcW w:w="1111" w:type="dxa"/>
            <w:vMerge/>
          </w:tcPr>
          <w:p w14:paraId="503CF0C9" w14:textId="77777777" w:rsidR="009C353B" w:rsidRDefault="009C353B">
            <w:pPr>
              <w:widowControl/>
              <w:jc w:val="center"/>
              <w:rPr>
                <w:rFonts w:ascii="Times New Roman" w:hAnsi="Times New Roman"/>
                <w:kern w:val="0"/>
                <w:sz w:val="21"/>
                <w:szCs w:val="21"/>
              </w:rPr>
            </w:pPr>
          </w:p>
        </w:tc>
        <w:tc>
          <w:tcPr>
            <w:tcW w:w="883" w:type="dxa"/>
            <w:noWrap/>
          </w:tcPr>
          <w:p w14:paraId="4CEE406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五煤</w:t>
            </w:r>
          </w:p>
        </w:tc>
        <w:tc>
          <w:tcPr>
            <w:tcW w:w="800" w:type="dxa"/>
            <w:noWrap/>
          </w:tcPr>
          <w:p w14:paraId="6B28E8F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4.4</w:t>
            </w:r>
          </w:p>
        </w:tc>
        <w:tc>
          <w:tcPr>
            <w:tcW w:w="882" w:type="dxa"/>
            <w:noWrap/>
          </w:tcPr>
          <w:p w14:paraId="1B7EEF4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46.95</w:t>
            </w:r>
          </w:p>
        </w:tc>
        <w:tc>
          <w:tcPr>
            <w:tcW w:w="883" w:type="dxa"/>
            <w:noWrap/>
          </w:tcPr>
          <w:p w14:paraId="6FAE47A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51.95</w:t>
            </w:r>
          </w:p>
        </w:tc>
        <w:tc>
          <w:tcPr>
            <w:tcW w:w="1942" w:type="dxa"/>
            <w:shd w:val="clear" w:color="auto" w:fill="auto"/>
          </w:tcPr>
          <w:p w14:paraId="0BFF380C" w14:textId="77777777" w:rsidR="009C353B" w:rsidRDefault="00000000">
            <w:pPr>
              <w:widowControl/>
              <w:jc w:val="center"/>
              <w:rPr>
                <w:rFonts w:ascii="Times New Roman" w:hAnsi="Times New Roman"/>
                <w:sz w:val="21"/>
                <w:szCs w:val="21"/>
              </w:rPr>
            </w:pPr>
            <w:r>
              <w:rPr>
                <w:rFonts w:ascii="Times New Roman" w:hAnsi="Times New Roman"/>
                <w:sz w:val="21"/>
                <w:szCs w:val="21"/>
              </w:rPr>
              <w:t>67.07</w:t>
            </w:r>
          </w:p>
        </w:tc>
        <w:tc>
          <w:tcPr>
            <w:tcW w:w="1307" w:type="dxa"/>
            <w:shd w:val="clear" w:color="auto" w:fill="auto"/>
          </w:tcPr>
          <w:p w14:paraId="5915D357" w14:textId="77777777" w:rsidR="009C353B" w:rsidRDefault="00000000">
            <w:pPr>
              <w:widowControl/>
              <w:jc w:val="center"/>
              <w:rPr>
                <w:rFonts w:ascii="Times New Roman" w:hAnsi="Times New Roman"/>
                <w:sz w:val="21"/>
                <w:szCs w:val="21"/>
              </w:rPr>
            </w:pPr>
            <w:r>
              <w:rPr>
                <w:rFonts w:ascii="Times New Roman" w:hAnsi="Times New Roman"/>
                <w:sz w:val="21"/>
                <w:szCs w:val="21"/>
              </w:rPr>
              <w:t>67.07</w:t>
            </w:r>
          </w:p>
        </w:tc>
        <w:tc>
          <w:tcPr>
            <w:tcW w:w="830" w:type="dxa"/>
            <w:noWrap/>
          </w:tcPr>
          <w:p w14:paraId="3559862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164D3B39" w14:textId="77777777">
        <w:trPr>
          <w:trHeight w:val="340"/>
        </w:trPr>
        <w:tc>
          <w:tcPr>
            <w:tcW w:w="648" w:type="dxa"/>
            <w:vMerge/>
          </w:tcPr>
          <w:p w14:paraId="4BB8D69D" w14:textId="77777777" w:rsidR="009C353B" w:rsidRDefault="009C353B">
            <w:pPr>
              <w:widowControl/>
              <w:jc w:val="center"/>
              <w:rPr>
                <w:rFonts w:ascii="Times New Roman" w:hAnsi="Times New Roman"/>
                <w:kern w:val="0"/>
                <w:sz w:val="21"/>
                <w:szCs w:val="21"/>
              </w:rPr>
            </w:pPr>
          </w:p>
        </w:tc>
        <w:tc>
          <w:tcPr>
            <w:tcW w:w="1111" w:type="dxa"/>
            <w:vMerge w:val="restart"/>
            <w:noWrap/>
          </w:tcPr>
          <w:p w14:paraId="0D0E2446"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w:t>
            </w:r>
            <w:r>
              <w:rPr>
                <w:rFonts w:ascii="Times New Roman" w:hAnsi="Times New Roman"/>
                <w:kern w:val="0"/>
                <w:sz w:val="21"/>
                <w:szCs w:val="21"/>
              </w:rPr>
              <w:t>水</w:t>
            </w:r>
            <w:r>
              <w:rPr>
                <w:rFonts w:ascii="Times New Roman" w:hAnsi="Times New Roman"/>
                <w:kern w:val="0"/>
                <w:sz w:val="21"/>
                <w:szCs w:val="21"/>
              </w:rPr>
              <w:t>3</w:t>
            </w:r>
          </w:p>
        </w:tc>
        <w:tc>
          <w:tcPr>
            <w:tcW w:w="883" w:type="dxa"/>
            <w:noWrap/>
          </w:tcPr>
          <w:p w14:paraId="72923FB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一煤</w:t>
            </w:r>
          </w:p>
        </w:tc>
        <w:tc>
          <w:tcPr>
            <w:tcW w:w="800" w:type="dxa"/>
            <w:noWrap/>
          </w:tcPr>
          <w:p w14:paraId="6FA3F2E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0.47</w:t>
            </w:r>
          </w:p>
        </w:tc>
        <w:tc>
          <w:tcPr>
            <w:tcW w:w="882" w:type="dxa"/>
            <w:noWrap/>
          </w:tcPr>
          <w:p w14:paraId="7FA964A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16.4</w:t>
            </w:r>
          </w:p>
        </w:tc>
        <w:tc>
          <w:tcPr>
            <w:tcW w:w="883" w:type="dxa"/>
            <w:noWrap/>
          </w:tcPr>
          <w:p w14:paraId="2087161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23.71</w:t>
            </w:r>
          </w:p>
        </w:tc>
        <w:tc>
          <w:tcPr>
            <w:tcW w:w="1942" w:type="dxa"/>
            <w:shd w:val="clear" w:color="auto" w:fill="auto"/>
          </w:tcPr>
          <w:p w14:paraId="7967257A" w14:textId="77777777" w:rsidR="009C353B" w:rsidRDefault="00000000">
            <w:pPr>
              <w:widowControl/>
              <w:jc w:val="center"/>
              <w:rPr>
                <w:rFonts w:ascii="Times New Roman" w:hAnsi="Times New Roman"/>
                <w:sz w:val="21"/>
                <w:szCs w:val="21"/>
              </w:rPr>
            </w:pPr>
            <w:r>
              <w:rPr>
                <w:rFonts w:ascii="Times New Roman" w:hAnsi="Times New Roman"/>
                <w:sz w:val="21"/>
                <w:szCs w:val="21"/>
              </w:rPr>
              <w:t>11.72</w:t>
            </w:r>
          </w:p>
        </w:tc>
        <w:tc>
          <w:tcPr>
            <w:tcW w:w="1307" w:type="dxa"/>
            <w:shd w:val="clear" w:color="auto" w:fill="auto"/>
          </w:tcPr>
          <w:p w14:paraId="0515B136" w14:textId="77777777" w:rsidR="009C353B" w:rsidRDefault="00000000">
            <w:pPr>
              <w:widowControl/>
              <w:jc w:val="center"/>
              <w:rPr>
                <w:rFonts w:ascii="Times New Roman" w:hAnsi="Times New Roman"/>
                <w:sz w:val="21"/>
                <w:szCs w:val="21"/>
              </w:rPr>
            </w:pPr>
            <w:r>
              <w:rPr>
                <w:rFonts w:ascii="Times New Roman" w:hAnsi="Times New Roman"/>
                <w:sz w:val="21"/>
                <w:szCs w:val="21"/>
              </w:rPr>
              <w:t>23.71</w:t>
            </w:r>
          </w:p>
        </w:tc>
        <w:tc>
          <w:tcPr>
            <w:tcW w:w="830" w:type="dxa"/>
            <w:noWrap/>
          </w:tcPr>
          <w:p w14:paraId="2C3C09B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42FB59A5" w14:textId="77777777">
        <w:trPr>
          <w:trHeight w:val="340"/>
        </w:trPr>
        <w:tc>
          <w:tcPr>
            <w:tcW w:w="648" w:type="dxa"/>
            <w:vMerge/>
          </w:tcPr>
          <w:p w14:paraId="2BE5C4B6" w14:textId="77777777" w:rsidR="009C353B" w:rsidRDefault="009C353B">
            <w:pPr>
              <w:widowControl/>
              <w:jc w:val="center"/>
              <w:rPr>
                <w:rFonts w:ascii="Times New Roman" w:hAnsi="Times New Roman"/>
                <w:kern w:val="0"/>
                <w:sz w:val="21"/>
                <w:szCs w:val="21"/>
              </w:rPr>
            </w:pPr>
          </w:p>
        </w:tc>
        <w:tc>
          <w:tcPr>
            <w:tcW w:w="1111" w:type="dxa"/>
            <w:vMerge/>
          </w:tcPr>
          <w:p w14:paraId="28B84D24" w14:textId="77777777" w:rsidR="009C353B" w:rsidRDefault="009C353B">
            <w:pPr>
              <w:widowControl/>
              <w:jc w:val="center"/>
              <w:rPr>
                <w:rFonts w:ascii="Times New Roman" w:hAnsi="Times New Roman"/>
                <w:kern w:val="0"/>
                <w:sz w:val="21"/>
                <w:szCs w:val="21"/>
              </w:rPr>
            </w:pPr>
          </w:p>
        </w:tc>
        <w:tc>
          <w:tcPr>
            <w:tcW w:w="883" w:type="dxa"/>
            <w:noWrap/>
          </w:tcPr>
          <w:p w14:paraId="41741B7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三煤</w:t>
            </w:r>
          </w:p>
        </w:tc>
        <w:tc>
          <w:tcPr>
            <w:tcW w:w="800" w:type="dxa"/>
            <w:noWrap/>
          </w:tcPr>
          <w:p w14:paraId="1E4DB53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3.27</w:t>
            </w:r>
          </w:p>
        </w:tc>
        <w:tc>
          <w:tcPr>
            <w:tcW w:w="882" w:type="dxa"/>
            <w:noWrap/>
          </w:tcPr>
          <w:p w14:paraId="262CC4E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42.62</w:t>
            </w:r>
          </w:p>
        </w:tc>
        <w:tc>
          <w:tcPr>
            <w:tcW w:w="883" w:type="dxa"/>
            <w:noWrap/>
          </w:tcPr>
          <w:p w14:paraId="1E8BDE2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46.17</w:t>
            </w:r>
          </w:p>
        </w:tc>
        <w:tc>
          <w:tcPr>
            <w:tcW w:w="1942" w:type="dxa"/>
            <w:shd w:val="clear" w:color="auto" w:fill="auto"/>
          </w:tcPr>
          <w:p w14:paraId="76D5D255" w14:textId="77777777" w:rsidR="009C353B" w:rsidRDefault="00000000">
            <w:pPr>
              <w:widowControl/>
              <w:jc w:val="center"/>
              <w:rPr>
                <w:rFonts w:ascii="Times New Roman" w:hAnsi="Times New Roman"/>
                <w:sz w:val="21"/>
                <w:szCs w:val="21"/>
              </w:rPr>
            </w:pPr>
            <w:r>
              <w:rPr>
                <w:rFonts w:ascii="Times New Roman" w:hAnsi="Times New Roman"/>
                <w:sz w:val="21"/>
                <w:szCs w:val="21"/>
              </w:rPr>
              <w:t>51.16</w:t>
            </w:r>
          </w:p>
        </w:tc>
        <w:tc>
          <w:tcPr>
            <w:tcW w:w="1307" w:type="dxa"/>
            <w:shd w:val="clear" w:color="auto" w:fill="auto"/>
          </w:tcPr>
          <w:p w14:paraId="03F2FD1F" w14:textId="77777777" w:rsidR="009C353B" w:rsidRDefault="00000000">
            <w:pPr>
              <w:widowControl/>
              <w:jc w:val="center"/>
              <w:rPr>
                <w:rFonts w:ascii="Times New Roman" w:hAnsi="Times New Roman"/>
                <w:sz w:val="21"/>
                <w:szCs w:val="21"/>
              </w:rPr>
            </w:pPr>
            <w:r>
              <w:rPr>
                <w:rFonts w:ascii="Times New Roman" w:hAnsi="Times New Roman"/>
                <w:sz w:val="21"/>
                <w:szCs w:val="21"/>
              </w:rPr>
              <w:t>51.16</w:t>
            </w:r>
          </w:p>
        </w:tc>
        <w:tc>
          <w:tcPr>
            <w:tcW w:w="830" w:type="dxa"/>
            <w:noWrap/>
          </w:tcPr>
          <w:p w14:paraId="1BE533A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815D306" w14:textId="77777777">
        <w:trPr>
          <w:trHeight w:val="340"/>
        </w:trPr>
        <w:tc>
          <w:tcPr>
            <w:tcW w:w="648" w:type="dxa"/>
            <w:vMerge/>
          </w:tcPr>
          <w:p w14:paraId="3FAAEFD3" w14:textId="77777777" w:rsidR="009C353B" w:rsidRDefault="009C353B">
            <w:pPr>
              <w:widowControl/>
              <w:jc w:val="center"/>
              <w:rPr>
                <w:rFonts w:ascii="Times New Roman" w:hAnsi="Times New Roman"/>
                <w:kern w:val="0"/>
                <w:sz w:val="21"/>
                <w:szCs w:val="21"/>
              </w:rPr>
            </w:pPr>
          </w:p>
        </w:tc>
        <w:tc>
          <w:tcPr>
            <w:tcW w:w="1111" w:type="dxa"/>
            <w:vMerge/>
          </w:tcPr>
          <w:p w14:paraId="1BBF462D" w14:textId="77777777" w:rsidR="009C353B" w:rsidRDefault="009C353B">
            <w:pPr>
              <w:widowControl/>
              <w:jc w:val="center"/>
              <w:rPr>
                <w:rFonts w:ascii="Times New Roman" w:hAnsi="Times New Roman"/>
                <w:kern w:val="0"/>
                <w:sz w:val="21"/>
                <w:szCs w:val="21"/>
              </w:rPr>
            </w:pPr>
          </w:p>
        </w:tc>
        <w:tc>
          <w:tcPr>
            <w:tcW w:w="883" w:type="dxa"/>
            <w:noWrap/>
          </w:tcPr>
          <w:p w14:paraId="13F3DBA1"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五煤</w:t>
            </w:r>
          </w:p>
        </w:tc>
        <w:tc>
          <w:tcPr>
            <w:tcW w:w="800" w:type="dxa"/>
            <w:noWrap/>
          </w:tcPr>
          <w:p w14:paraId="0D3D7A92"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4.15</w:t>
            </w:r>
          </w:p>
        </w:tc>
        <w:tc>
          <w:tcPr>
            <w:tcW w:w="882" w:type="dxa"/>
            <w:noWrap/>
          </w:tcPr>
          <w:p w14:paraId="0A93E6A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46.13</w:t>
            </w:r>
          </w:p>
        </w:tc>
        <w:tc>
          <w:tcPr>
            <w:tcW w:w="883" w:type="dxa"/>
            <w:noWrap/>
          </w:tcPr>
          <w:p w14:paraId="6704E75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50.74</w:t>
            </w:r>
          </w:p>
        </w:tc>
        <w:tc>
          <w:tcPr>
            <w:tcW w:w="1942" w:type="dxa"/>
            <w:shd w:val="clear" w:color="auto" w:fill="auto"/>
          </w:tcPr>
          <w:p w14:paraId="422CD24C" w14:textId="77777777" w:rsidR="009C353B" w:rsidRDefault="00000000">
            <w:pPr>
              <w:widowControl/>
              <w:jc w:val="center"/>
              <w:rPr>
                <w:rFonts w:ascii="Times New Roman" w:hAnsi="Times New Roman"/>
                <w:sz w:val="21"/>
                <w:szCs w:val="21"/>
              </w:rPr>
            </w:pPr>
            <w:r>
              <w:rPr>
                <w:rFonts w:ascii="Times New Roman" w:hAnsi="Times New Roman"/>
                <w:sz w:val="21"/>
                <w:szCs w:val="21"/>
              </w:rPr>
              <w:t>63.55</w:t>
            </w:r>
          </w:p>
        </w:tc>
        <w:tc>
          <w:tcPr>
            <w:tcW w:w="1307" w:type="dxa"/>
            <w:shd w:val="clear" w:color="auto" w:fill="auto"/>
          </w:tcPr>
          <w:p w14:paraId="4C8C7C95" w14:textId="77777777" w:rsidR="009C353B" w:rsidRDefault="00000000">
            <w:pPr>
              <w:widowControl/>
              <w:jc w:val="center"/>
              <w:rPr>
                <w:rFonts w:ascii="Times New Roman" w:hAnsi="Times New Roman"/>
                <w:sz w:val="21"/>
                <w:szCs w:val="21"/>
              </w:rPr>
            </w:pPr>
            <w:r>
              <w:rPr>
                <w:rFonts w:ascii="Times New Roman" w:hAnsi="Times New Roman"/>
                <w:sz w:val="21"/>
                <w:szCs w:val="21"/>
              </w:rPr>
              <w:t>63.55</w:t>
            </w:r>
          </w:p>
        </w:tc>
        <w:tc>
          <w:tcPr>
            <w:tcW w:w="830" w:type="dxa"/>
            <w:noWrap/>
          </w:tcPr>
          <w:p w14:paraId="44944B3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3315AB2B" w14:textId="77777777">
        <w:trPr>
          <w:trHeight w:val="340"/>
        </w:trPr>
        <w:tc>
          <w:tcPr>
            <w:tcW w:w="648" w:type="dxa"/>
            <w:vMerge/>
          </w:tcPr>
          <w:p w14:paraId="484D4B72" w14:textId="77777777" w:rsidR="009C353B" w:rsidRDefault="009C353B">
            <w:pPr>
              <w:widowControl/>
              <w:jc w:val="center"/>
              <w:rPr>
                <w:rFonts w:ascii="Times New Roman" w:hAnsi="Times New Roman"/>
                <w:kern w:val="0"/>
                <w:sz w:val="21"/>
                <w:szCs w:val="21"/>
              </w:rPr>
            </w:pPr>
          </w:p>
        </w:tc>
        <w:tc>
          <w:tcPr>
            <w:tcW w:w="1111" w:type="dxa"/>
            <w:vMerge w:val="restart"/>
            <w:noWrap/>
          </w:tcPr>
          <w:p w14:paraId="58542C1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DN203</w:t>
            </w:r>
          </w:p>
        </w:tc>
        <w:tc>
          <w:tcPr>
            <w:tcW w:w="883" w:type="dxa"/>
            <w:noWrap/>
          </w:tcPr>
          <w:p w14:paraId="302BE90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一煤</w:t>
            </w:r>
          </w:p>
        </w:tc>
        <w:tc>
          <w:tcPr>
            <w:tcW w:w="800" w:type="dxa"/>
            <w:noWrap/>
          </w:tcPr>
          <w:p w14:paraId="1F97DC15"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1.79</w:t>
            </w:r>
          </w:p>
        </w:tc>
        <w:tc>
          <w:tcPr>
            <w:tcW w:w="882" w:type="dxa"/>
            <w:noWrap/>
          </w:tcPr>
          <w:p w14:paraId="1FE2D4F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33.29</w:t>
            </w:r>
          </w:p>
        </w:tc>
        <w:tc>
          <w:tcPr>
            <w:tcW w:w="883" w:type="dxa"/>
            <w:noWrap/>
          </w:tcPr>
          <w:p w14:paraId="5C11D31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36.76</w:t>
            </w:r>
          </w:p>
        </w:tc>
        <w:tc>
          <w:tcPr>
            <w:tcW w:w="1942" w:type="dxa"/>
            <w:shd w:val="clear" w:color="auto" w:fill="auto"/>
          </w:tcPr>
          <w:p w14:paraId="32DAEEE5" w14:textId="77777777" w:rsidR="009C353B" w:rsidRDefault="00000000">
            <w:pPr>
              <w:widowControl/>
              <w:jc w:val="center"/>
              <w:rPr>
                <w:rFonts w:ascii="Times New Roman" w:hAnsi="Times New Roman"/>
                <w:sz w:val="21"/>
                <w:szCs w:val="21"/>
              </w:rPr>
            </w:pPr>
            <w:r>
              <w:rPr>
                <w:rFonts w:ascii="Times New Roman" w:hAnsi="Times New Roman"/>
                <w:sz w:val="21"/>
                <w:szCs w:val="21"/>
              </w:rPr>
              <w:t>30.31</w:t>
            </w:r>
          </w:p>
        </w:tc>
        <w:tc>
          <w:tcPr>
            <w:tcW w:w="1307" w:type="dxa"/>
            <w:shd w:val="clear" w:color="auto" w:fill="auto"/>
          </w:tcPr>
          <w:p w14:paraId="140B981E" w14:textId="77777777" w:rsidR="009C353B" w:rsidRDefault="00000000">
            <w:pPr>
              <w:widowControl/>
              <w:jc w:val="center"/>
              <w:rPr>
                <w:rFonts w:ascii="Times New Roman" w:hAnsi="Times New Roman"/>
                <w:sz w:val="21"/>
                <w:szCs w:val="21"/>
              </w:rPr>
            </w:pPr>
            <w:r>
              <w:rPr>
                <w:rFonts w:ascii="Times New Roman" w:hAnsi="Times New Roman"/>
                <w:sz w:val="21"/>
                <w:szCs w:val="21"/>
              </w:rPr>
              <w:t>36.76</w:t>
            </w:r>
          </w:p>
        </w:tc>
        <w:tc>
          <w:tcPr>
            <w:tcW w:w="830" w:type="dxa"/>
            <w:noWrap/>
          </w:tcPr>
          <w:p w14:paraId="1BD770F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2D275781" w14:textId="77777777">
        <w:trPr>
          <w:trHeight w:val="340"/>
        </w:trPr>
        <w:tc>
          <w:tcPr>
            <w:tcW w:w="648" w:type="dxa"/>
            <w:vMerge/>
          </w:tcPr>
          <w:p w14:paraId="615458A0" w14:textId="77777777" w:rsidR="009C353B" w:rsidRDefault="009C353B">
            <w:pPr>
              <w:widowControl/>
              <w:jc w:val="center"/>
              <w:rPr>
                <w:rFonts w:ascii="Times New Roman" w:hAnsi="Times New Roman"/>
                <w:kern w:val="0"/>
                <w:sz w:val="21"/>
                <w:szCs w:val="21"/>
              </w:rPr>
            </w:pPr>
          </w:p>
        </w:tc>
        <w:tc>
          <w:tcPr>
            <w:tcW w:w="1111" w:type="dxa"/>
            <w:vMerge/>
          </w:tcPr>
          <w:p w14:paraId="7BD8E151" w14:textId="77777777" w:rsidR="009C353B" w:rsidRDefault="009C353B">
            <w:pPr>
              <w:widowControl/>
              <w:jc w:val="center"/>
              <w:rPr>
                <w:rFonts w:ascii="Times New Roman" w:hAnsi="Times New Roman"/>
                <w:kern w:val="0"/>
                <w:sz w:val="21"/>
                <w:szCs w:val="21"/>
              </w:rPr>
            </w:pPr>
          </w:p>
        </w:tc>
        <w:tc>
          <w:tcPr>
            <w:tcW w:w="883" w:type="dxa"/>
            <w:noWrap/>
          </w:tcPr>
          <w:p w14:paraId="4A48CF8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三煤</w:t>
            </w:r>
          </w:p>
        </w:tc>
        <w:tc>
          <w:tcPr>
            <w:tcW w:w="800" w:type="dxa"/>
            <w:noWrap/>
          </w:tcPr>
          <w:p w14:paraId="664EEFB8"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2.7</w:t>
            </w:r>
          </w:p>
        </w:tc>
        <w:tc>
          <w:tcPr>
            <w:tcW w:w="882" w:type="dxa"/>
            <w:noWrap/>
          </w:tcPr>
          <w:p w14:paraId="7D4F591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39.69</w:t>
            </w:r>
          </w:p>
        </w:tc>
        <w:tc>
          <w:tcPr>
            <w:tcW w:w="883" w:type="dxa"/>
            <w:noWrap/>
          </w:tcPr>
          <w:p w14:paraId="6819626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42.86</w:t>
            </w:r>
          </w:p>
        </w:tc>
        <w:tc>
          <w:tcPr>
            <w:tcW w:w="1942" w:type="dxa"/>
            <w:shd w:val="clear" w:color="auto" w:fill="auto"/>
          </w:tcPr>
          <w:p w14:paraId="30E0F94A" w14:textId="77777777" w:rsidR="009C353B" w:rsidRDefault="00000000">
            <w:pPr>
              <w:widowControl/>
              <w:jc w:val="center"/>
              <w:rPr>
                <w:rFonts w:ascii="Times New Roman" w:hAnsi="Times New Roman"/>
                <w:sz w:val="21"/>
                <w:szCs w:val="21"/>
              </w:rPr>
            </w:pPr>
            <w:r>
              <w:rPr>
                <w:rFonts w:ascii="Times New Roman" w:hAnsi="Times New Roman"/>
                <w:sz w:val="21"/>
                <w:szCs w:val="21"/>
              </w:rPr>
              <w:t>43.13</w:t>
            </w:r>
          </w:p>
        </w:tc>
        <w:tc>
          <w:tcPr>
            <w:tcW w:w="1307" w:type="dxa"/>
            <w:shd w:val="clear" w:color="auto" w:fill="auto"/>
          </w:tcPr>
          <w:p w14:paraId="41C846A0" w14:textId="77777777" w:rsidR="009C353B" w:rsidRDefault="00000000">
            <w:pPr>
              <w:widowControl/>
              <w:jc w:val="center"/>
              <w:rPr>
                <w:rFonts w:ascii="Times New Roman" w:hAnsi="Times New Roman"/>
                <w:sz w:val="21"/>
                <w:szCs w:val="21"/>
              </w:rPr>
            </w:pPr>
            <w:r>
              <w:rPr>
                <w:rFonts w:ascii="Times New Roman" w:hAnsi="Times New Roman"/>
                <w:sz w:val="21"/>
                <w:szCs w:val="21"/>
              </w:rPr>
              <w:t>43.13</w:t>
            </w:r>
          </w:p>
        </w:tc>
        <w:tc>
          <w:tcPr>
            <w:tcW w:w="830" w:type="dxa"/>
            <w:noWrap/>
          </w:tcPr>
          <w:p w14:paraId="3B4A518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2BC06A0C" w14:textId="77777777">
        <w:trPr>
          <w:trHeight w:val="340"/>
        </w:trPr>
        <w:tc>
          <w:tcPr>
            <w:tcW w:w="648" w:type="dxa"/>
            <w:vMerge/>
          </w:tcPr>
          <w:p w14:paraId="5954BC10" w14:textId="77777777" w:rsidR="009C353B" w:rsidRDefault="009C353B">
            <w:pPr>
              <w:widowControl/>
              <w:jc w:val="center"/>
              <w:rPr>
                <w:rFonts w:ascii="Times New Roman" w:hAnsi="Times New Roman"/>
                <w:kern w:val="0"/>
                <w:sz w:val="21"/>
                <w:szCs w:val="21"/>
              </w:rPr>
            </w:pPr>
          </w:p>
        </w:tc>
        <w:tc>
          <w:tcPr>
            <w:tcW w:w="1111" w:type="dxa"/>
            <w:vMerge/>
          </w:tcPr>
          <w:p w14:paraId="22BFA79A" w14:textId="77777777" w:rsidR="009C353B" w:rsidRDefault="009C353B">
            <w:pPr>
              <w:widowControl/>
              <w:jc w:val="center"/>
              <w:rPr>
                <w:rFonts w:ascii="Times New Roman" w:hAnsi="Times New Roman"/>
                <w:kern w:val="0"/>
                <w:sz w:val="21"/>
                <w:szCs w:val="21"/>
              </w:rPr>
            </w:pPr>
          </w:p>
        </w:tc>
        <w:tc>
          <w:tcPr>
            <w:tcW w:w="883" w:type="dxa"/>
            <w:noWrap/>
          </w:tcPr>
          <w:p w14:paraId="2D8D871A"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五煤</w:t>
            </w:r>
          </w:p>
        </w:tc>
        <w:tc>
          <w:tcPr>
            <w:tcW w:w="800" w:type="dxa"/>
            <w:noWrap/>
          </w:tcPr>
          <w:p w14:paraId="2984C73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4.27</w:t>
            </w:r>
          </w:p>
        </w:tc>
        <w:tc>
          <w:tcPr>
            <w:tcW w:w="882" w:type="dxa"/>
            <w:noWrap/>
          </w:tcPr>
          <w:p w14:paraId="65DB497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46.53</w:t>
            </w:r>
          </w:p>
        </w:tc>
        <w:tc>
          <w:tcPr>
            <w:tcW w:w="883" w:type="dxa"/>
            <w:noWrap/>
          </w:tcPr>
          <w:p w14:paraId="289F4FAD"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51.33</w:t>
            </w:r>
          </w:p>
        </w:tc>
        <w:tc>
          <w:tcPr>
            <w:tcW w:w="1942" w:type="dxa"/>
            <w:shd w:val="clear" w:color="auto" w:fill="auto"/>
          </w:tcPr>
          <w:p w14:paraId="02C05EB7" w14:textId="77777777" w:rsidR="009C353B" w:rsidRDefault="00000000">
            <w:pPr>
              <w:widowControl/>
              <w:jc w:val="center"/>
              <w:rPr>
                <w:rFonts w:ascii="Times New Roman" w:hAnsi="Times New Roman"/>
                <w:sz w:val="21"/>
                <w:szCs w:val="21"/>
              </w:rPr>
            </w:pPr>
            <w:r>
              <w:rPr>
                <w:rFonts w:ascii="Times New Roman" w:hAnsi="Times New Roman"/>
                <w:sz w:val="21"/>
                <w:szCs w:val="21"/>
              </w:rPr>
              <w:t>65.24</w:t>
            </w:r>
          </w:p>
        </w:tc>
        <w:tc>
          <w:tcPr>
            <w:tcW w:w="1307" w:type="dxa"/>
            <w:shd w:val="clear" w:color="auto" w:fill="auto"/>
          </w:tcPr>
          <w:p w14:paraId="28FE552B" w14:textId="77777777" w:rsidR="009C353B" w:rsidRDefault="00000000">
            <w:pPr>
              <w:widowControl/>
              <w:jc w:val="center"/>
              <w:rPr>
                <w:rFonts w:ascii="Times New Roman" w:hAnsi="Times New Roman"/>
                <w:sz w:val="21"/>
                <w:szCs w:val="21"/>
              </w:rPr>
            </w:pPr>
            <w:r>
              <w:rPr>
                <w:rFonts w:ascii="Times New Roman" w:hAnsi="Times New Roman"/>
                <w:sz w:val="21"/>
                <w:szCs w:val="21"/>
              </w:rPr>
              <w:t>65.24</w:t>
            </w:r>
          </w:p>
        </w:tc>
        <w:tc>
          <w:tcPr>
            <w:tcW w:w="830" w:type="dxa"/>
            <w:noWrap/>
          </w:tcPr>
          <w:p w14:paraId="40161F6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573B9A16" w14:textId="77777777">
        <w:trPr>
          <w:trHeight w:val="340"/>
        </w:trPr>
        <w:tc>
          <w:tcPr>
            <w:tcW w:w="648" w:type="dxa"/>
            <w:vMerge/>
          </w:tcPr>
          <w:p w14:paraId="0FB112D9" w14:textId="77777777" w:rsidR="009C353B" w:rsidRDefault="009C353B">
            <w:pPr>
              <w:widowControl/>
              <w:jc w:val="center"/>
              <w:rPr>
                <w:rFonts w:ascii="Times New Roman" w:hAnsi="Times New Roman"/>
                <w:kern w:val="0"/>
                <w:sz w:val="21"/>
                <w:szCs w:val="21"/>
              </w:rPr>
            </w:pPr>
          </w:p>
        </w:tc>
        <w:tc>
          <w:tcPr>
            <w:tcW w:w="1111" w:type="dxa"/>
            <w:vMerge w:val="restart"/>
            <w:noWrap/>
          </w:tcPr>
          <w:p w14:paraId="172CC30F"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DN204</w:t>
            </w:r>
          </w:p>
        </w:tc>
        <w:tc>
          <w:tcPr>
            <w:tcW w:w="883" w:type="dxa"/>
            <w:noWrap/>
          </w:tcPr>
          <w:p w14:paraId="2B43E114"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一煤</w:t>
            </w:r>
          </w:p>
        </w:tc>
        <w:tc>
          <w:tcPr>
            <w:tcW w:w="800" w:type="dxa"/>
            <w:noWrap/>
          </w:tcPr>
          <w:p w14:paraId="661E92CE"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0.9</w:t>
            </w:r>
          </w:p>
        </w:tc>
        <w:tc>
          <w:tcPr>
            <w:tcW w:w="882" w:type="dxa"/>
            <w:noWrap/>
          </w:tcPr>
          <w:p w14:paraId="3DF2E12C"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23.46</w:t>
            </w:r>
          </w:p>
        </w:tc>
        <w:tc>
          <w:tcPr>
            <w:tcW w:w="883" w:type="dxa"/>
            <w:noWrap/>
          </w:tcPr>
          <w:p w14:paraId="29B523E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28.97</w:t>
            </w:r>
          </w:p>
        </w:tc>
        <w:tc>
          <w:tcPr>
            <w:tcW w:w="1942" w:type="dxa"/>
            <w:shd w:val="clear" w:color="auto" w:fill="auto"/>
          </w:tcPr>
          <w:p w14:paraId="252E7935" w14:textId="77777777" w:rsidR="009C353B" w:rsidRDefault="00000000">
            <w:pPr>
              <w:widowControl/>
              <w:jc w:val="center"/>
              <w:rPr>
                <w:rFonts w:ascii="Times New Roman" w:hAnsi="Times New Roman"/>
                <w:sz w:val="21"/>
                <w:szCs w:val="21"/>
              </w:rPr>
            </w:pPr>
            <w:r>
              <w:rPr>
                <w:rFonts w:ascii="Times New Roman" w:hAnsi="Times New Roman"/>
                <w:sz w:val="21"/>
                <w:szCs w:val="21"/>
              </w:rPr>
              <w:t>17.78</w:t>
            </w:r>
          </w:p>
        </w:tc>
        <w:tc>
          <w:tcPr>
            <w:tcW w:w="1307" w:type="dxa"/>
            <w:shd w:val="clear" w:color="auto" w:fill="auto"/>
          </w:tcPr>
          <w:p w14:paraId="02ECB382" w14:textId="77777777" w:rsidR="009C353B" w:rsidRDefault="00000000">
            <w:pPr>
              <w:widowControl/>
              <w:jc w:val="center"/>
              <w:rPr>
                <w:rFonts w:ascii="Times New Roman" w:hAnsi="Times New Roman"/>
                <w:sz w:val="21"/>
                <w:szCs w:val="21"/>
              </w:rPr>
            </w:pPr>
            <w:r>
              <w:rPr>
                <w:rFonts w:ascii="Times New Roman" w:hAnsi="Times New Roman"/>
                <w:sz w:val="21"/>
                <w:szCs w:val="21"/>
              </w:rPr>
              <w:t>28.97</w:t>
            </w:r>
          </w:p>
        </w:tc>
        <w:tc>
          <w:tcPr>
            <w:tcW w:w="830" w:type="dxa"/>
            <w:noWrap/>
          </w:tcPr>
          <w:p w14:paraId="4DAF401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4A1BA6C9" w14:textId="77777777">
        <w:trPr>
          <w:trHeight w:val="340"/>
        </w:trPr>
        <w:tc>
          <w:tcPr>
            <w:tcW w:w="648" w:type="dxa"/>
            <w:vMerge/>
          </w:tcPr>
          <w:p w14:paraId="24933102" w14:textId="77777777" w:rsidR="009C353B" w:rsidRDefault="009C353B">
            <w:pPr>
              <w:widowControl/>
              <w:jc w:val="center"/>
              <w:rPr>
                <w:rFonts w:ascii="Times New Roman" w:hAnsi="Times New Roman"/>
                <w:kern w:val="0"/>
                <w:sz w:val="21"/>
                <w:szCs w:val="21"/>
              </w:rPr>
            </w:pPr>
          </w:p>
        </w:tc>
        <w:tc>
          <w:tcPr>
            <w:tcW w:w="1111" w:type="dxa"/>
            <w:vMerge/>
          </w:tcPr>
          <w:p w14:paraId="3DCBEC99" w14:textId="77777777" w:rsidR="009C353B" w:rsidRDefault="009C353B">
            <w:pPr>
              <w:widowControl/>
              <w:jc w:val="center"/>
              <w:rPr>
                <w:rFonts w:ascii="Times New Roman" w:hAnsi="Times New Roman"/>
                <w:kern w:val="0"/>
                <w:sz w:val="21"/>
                <w:szCs w:val="21"/>
              </w:rPr>
            </w:pPr>
          </w:p>
        </w:tc>
        <w:tc>
          <w:tcPr>
            <w:tcW w:w="883" w:type="dxa"/>
            <w:noWrap/>
          </w:tcPr>
          <w:p w14:paraId="53407F6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三煤</w:t>
            </w:r>
          </w:p>
        </w:tc>
        <w:tc>
          <w:tcPr>
            <w:tcW w:w="800" w:type="dxa"/>
            <w:noWrap/>
          </w:tcPr>
          <w:p w14:paraId="6C635EE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2.19</w:t>
            </w:r>
          </w:p>
        </w:tc>
        <w:tc>
          <w:tcPr>
            <w:tcW w:w="882" w:type="dxa"/>
            <w:noWrap/>
          </w:tcPr>
          <w:p w14:paraId="3B3C2293"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36.43</w:t>
            </w:r>
          </w:p>
        </w:tc>
        <w:tc>
          <w:tcPr>
            <w:tcW w:w="883" w:type="dxa"/>
            <w:noWrap/>
          </w:tcPr>
          <w:p w14:paraId="0D0741D7"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39.6</w:t>
            </w:r>
          </w:p>
        </w:tc>
        <w:tc>
          <w:tcPr>
            <w:tcW w:w="1942" w:type="dxa"/>
            <w:shd w:val="clear" w:color="auto" w:fill="auto"/>
          </w:tcPr>
          <w:p w14:paraId="6A757FD0" w14:textId="77777777" w:rsidR="009C353B" w:rsidRDefault="00000000">
            <w:pPr>
              <w:widowControl/>
              <w:jc w:val="center"/>
              <w:rPr>
                <w:rFonts w:ascii="Times New Roman" w:hAnsi="Times New Roman"/>
                <w:sz w:val="21"/>
                <w:szCs w:val="21"/>
              </w:rPr>
            </w:pPr>
            <w:r>
              <w:rPr>
                <w:rFonts w:ascii="Times New Roman" w:hAnsi="Times New Roman"/>
                <w:sz w:val="21"/>
                <w:szCs w:val="21"/>
              </w:rPr>
              <w:t>35.95</w:t>
            </w:r>
          </w:p>
        </w:tc>
        <w:tc>
          <w:tcPr>
            <w:tcW w:w="1307" w:type="dxa"/>
            <w:shd w:val="clear" w:color="auto" w:fill="auto"/>
          </w:tcPr>
          <w:p w14:paraId="38B53CEF" w14:textId="77777777" w:rsidR="009C353B" w:rsidRDefault="00000000">
            <w:pPr>
              <w:widowControl/>
              <w:jc w:val="center"/>
              <w:rPr>
                <w:rFonts w:ascii="Times New Roman" w:hAnsi="Times New Roman"/>
                <w:sz w:val="21"/>
                <w:szCs w:val="21"/>
              </w:rPr>
            </w:pPr>
            <w:r>
              <w:rPr>
                <w:rFonts w:ascii="Times New Roman" w:hAnsi="Times New Roman"/>
                <w:sz w:val="21"/>
                <w:szCs w:val="21"/>
              </w:rPr>
              <w:t>39.6</w:t>
            </w:r>
          </w:p>
        </w:tc>
        <w:tc>
          <w:tcPr>
            <w:tcW w:w="830" w:type="dxa"/>
            <w:noWrap/>
          </w:tcPr>
          <w:p w14:paraId="1BEF65A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7B9AB858" w14:textId="77777777">
        <w:trPr>
          <w:trHeight w:val="340"/>
        </w:trPr>
        <w:tc>
          <w:tcPr>
            <w:tcW w:w="648" w:type="dxa"/>
            <w:vMerge/>
          </w:tcPr>
          <w:p w14:paraId="21DA552C" w14:textId="77777777" w:rsidR="009C353B" w:rsidRDefault="009C353B">
            <w:pPr>
              <w:widowControl/>
              <w:jc w:val="center"/>
              <w:rPr>
                <w:rFonts w:ascii="Times New Roman" w:hAnsi="Times New Roman"/>
                <w:kern w:val="0"/>
                <w:sz w:val="21"/>
                <w:szCs w:val="21"/>
              </w:rPr>
            </w:pPr>
          </w:p>
        </w:tc>
        <w:tc>
          <w:tcPr>
            <w:tcW w:w="1111" w:type="dxa"/>
            <w:vMerge/>
          </w:tcPr>
          <w:p w14:paraId="50023EE4" w14:textId="77777777" w:rsidR="009C353B" w:rsidRDefault="009C353B">
            <w:pPr>
              <w:widowControl/>
              <w:jc w:val="center"/>
              <w:rPr>
                <w:rFonts w:ascii="Times New Roman" w:hAnsi="Times New Roman"/>
                <w:kern w:val="0"/>
                <w:sz w:val="21"/>
                <w:szCs w:val="21"/>
              </w:rPr>
            </w:pPr>
          </w:p>
        </w:tc>
        <w:tc>
          <w:tcPr>
            <w:tcW w:w="883" w:type="dxa"/>
            <w:noWrap/>
          </w:tcPr>
          <w:p w14:paraId="01339CBB"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五煤</w:t>
            </w:r>
          </w:p>
        </w:tc>
        <w:tc>
          <w:tcPr>
            <w:tcW w:w="800" w:type="dxa"/>
            <w:noWrap/>
          </w:tcPr>
          <w:p w14:paraId="341054A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3.3</w:t>
            </w:r>
          </w:p>
        </w:tc>
        <w:tc>
          <w:tcPr>
            <w:tcW w:w="882" w:type="dxa"/>
            <w:noWrap/>
          </w:tcPr>
          <w:p w14:paraId="718B5BC9"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42.76</w:t>
            </w:r>
          </w:p>
        </w:tc>
        <w:tc>
          <w:tcPr>
            <w:tcW w:w="883" w:type="dxa"/>
            <w:noWrap/>
          </w:tcPr>
          <w:p w14:paraId="0A4D1550" w14:textId="77777777" w:rsidR="009C353B" w:rsidRDefault="00000000">
            <w:pPr>
              <w:widowControl/>
              <w:jc w:val="center"/>
              <w:rPr>
                <w:rFonts w:ascii="Times New Roman" w:hAnsi="Times New Roman"/>
                <w:kern w:val="0"/>
                <w:sz w:val="21"/>
                <w:szCs w:val="21"/>
              </w:rPr>
            </w:pPr>
            <w:r>
              <w:rPr>
                <w:rFonts w:ascii="Times New Roman" w:hAnsi="Times New Roman"/>
                <w:kern w:val="0"/>
                <w:sz w:val="21"/>
                <w:szCs w:val="21"/>
              </w:rPr>
              <w:t>46.33</w:t>
            </w:r>
          </w:p>
        </w:tc>
        <w:tc>
          <w:tcPr>
            <w:tcW w:w="1942" w:type="dxa"/>
            <w:shd w:val="clear" w:color="auto" w:fill="auto"/>
          </w:tcPr>
          <w:p w14:paraId="4A374D7E" w14:textId="77777777" w:rsidR="009C353B" w:rsidRDefault="00000000">
            <w:pPr>
              <w:widowControl/>
              <w:jc w:val="center"/>
              <w:rPr>
                <w:rFonts w:ascii="Times New Roman" w:hAnsi="Times New Roman"/>
                <w:sz w:val="21"/>
                <w:szCs w:val="21"/>
              </w:rPr>
            </w:pPr>
            <w:r>
              <w:rPr>
                <w:rFonts w:ascii="Times New Roman" w:hAnsi="Times New Roman"/>
                <w:sz w:val="21"/>
                <w:szCs w:val="21"/>
              </w:rPr>
              <w:t>51.58</w:t>
            </w:r>
          </w:p>
        </w:tc>
        <w:tc>
          <w:tcPr>
            <w:tcW w:w="1307" w:type="dxa"/>
            <w:shd w:val="clear" w:color="auto" w:fill="auto"/>
          </w:tcPr>
          <w:p w14:paraId="46A4B3CA" w14:textId="77777777" w:rsidR="009C353B" w:rsidRDefault="00000000">
            <w:pPr>
              <w:widowControl/>
              <w:jc w:val="center"/>
              <w:rPr>
                <w:rFonts w:ascii="Times New Roman" w:hAnsi="Times New Roman"/>
                <w:sz w:val="21"/>
                <w:szCs w:val="21"/>
              </w:rPr>
            </w:pPr>
            <w:r>
              <w:rPr>
                <w:rFonts w:ascii="Times New Roman" w:hAnsi="Times New Roman"/>
                <w:sz w:val="21"/>
                <w:szCs w:val="21"/>
              </w:rPr>
              <w:t>51.58</w:t>
            </w:r>
          </w:p>
        </w:tc>
        <w:tc>
          <w:tcPr>
            <w:tcW w:w="830" w:type="dxa"/>
            <w:noWrap/>
          </w:tcPr>
          <w:p w14:paraId="37921E2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4443206A" w14:textId="77777777">
        <w:trPr>
          <w:trHeight w:val="340"/>
        </w:trPr>
        <w:tc>
          <w:tcPr>
            <w:tcW w:w="648" w:type="dxa"/>
            <w:vMerge w:val="restart"/>
            <w:shd w:val="clear" w:color="auto" w:fill="auto"/>
          </w:tcPr>
          <w:p w14:paraId="799EF86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L1</w:t>
            </w:r>
          </w:p>
        </w:tc>
        <w:tc>
          <w:tcPr>
            <w:tcW w:w="1111" w:type="dxa"/>
            <w:vMerge w:val="restart"/>
            <w:shd w:val="clear" w:color="auto" w:fill="auto"/>
          </w:tcPr>
          <w:p w14:paraId="62ADACE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T5S-1</w:t>
            </w:r>
          </w:p>
        </w:tc>
        <w:tc>
          <w:tcPr>
            <w:tcW w:w="883" w:type="dxa"/>
            <w:shd w:val="clear" w:color="auto" w:fill="auto"/>
            <w:noWrap/>
          </w:tcPr>
          <w:p w14:paraId="3BCE765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7A9E43A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1.40</w:t>
            </w:r>
          </w:p>
        </w:tc>
        <w:tc>
          <w:tcPr>
            <w:tcW w:w="882" w:type="dxa"/>
            <w:shd w:val="clear" w:color="auto" w:fill="auto"/>
            <w:noWrap/>
          </w:tcPr>
          <w:p w14:paraId="2495BD3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29.57</w:t>
            </w:r>
          </w:p>
        </w:tc>
        <w:tc>
          <w:tcPr>
            <w:tcW w:w="883" w:type="dxa"/>
            <w:shd w:val="clear" w:color="auto" w:fill="auto"/>
            <w:noWrap/>
          </w:tcPr>
          <w:p w14:paraId="1F891B0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33.66</w:t>
            </w:r>
          </w:p>
        </w:tc>
        <w:tc>
          <w:tcPr>
            <w:tcW w:w="1942" w:type="dxa"/>
            <w:shd w:val="clear" w:color="auto" w:fill="auto"/>
          </w:tcPr>
          <w:p w14:paraId="69DEEE40" w14:textId="77777777" w:rsidR="009C353B" w:rsidRDefault="00000000">
            <w:pPr>
              <w:widowControl/>
              <w:jc w:val="center"/>
              <w:rPr>
                <w:rFonts w:ascii="Times New Roman" w:hAnsi="Times New Roman"/>
                <w:sz w:val="21"/>
                <w:szCs w:val="21"/>
              </w:rPr>
            </w:pPr>
            <w:r>
              <w:rPr>
                <w:rFonts w:ascii="Times New Roman" w:hAnsi="Times New Roman"/>
                <w:sz w:val="21"/>
                <w:szCs w:val="21"/>
              </w:rPr>
              <w:t>24.82</w:t>
            </w:r>
          </w:p>
        </w:tc>
        <w:tc>
          <w:tcPr>
            <w:tcW w:w="1307" w:type="dxa"/>
            <w:shd w:val="clear" w:color="auto" w:fill="auto"/>
          </w:tcPr>
          <w:p w14:paraId="2867001E" w14:textId="77777777" w:rsidR="009C353B" w:rsidRDefault="00000000">
            <w:pPr>
              <w:widowControl/>
              <w:jc w:val="center"/>
              <w:rPr>
                <w:rFonts w:ascii="Times New Roman" w:hAnsi="Times New Roman"/>
                <w:sz w:val="21"/>
                <w:szCs w:val="21"/>
              </w:rPr>
            </w:pPr>
            <w:r>
              <w:rPr>
                <w:rFonts w:ascii="Times New Roman" w:hAnsi="Times New Roman"/>
                <w:sz w:val="21"/>
                <w:szCs w:val="21"/>
              </w:rPr>
              <w:t>33.66</w:t>
            </w:r>
          </w:p>
        </w:tc>
        <w:tc>
          <w:tcPr>
            <w:tcW w:w="830" w:type="dxa"/>
            <w:shd w:val="clear" w:color="auto" w:fill="auto"/>
            <w:noWrap/>
          </w:tcPr>
          <w:p w14:paraId="127C43D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C6E7E26" w14:textId="77777777">
        <w:trPr>
          <w:trHeight w:val="340"/>
        </w:trPr>
        <w:tc>
          <w:tcPr>
            <w:tcW w:w="648" w:type="dxa"/>
            <w:vMerge/>
          </w:tcPr>
          <w:p w14:paraId="5E3F5AC6" w14:textId="77777777" w:rsidR="009C353B" w:rsidRDefault="009C353B">
            <w:pPr>
              <w:widowControl/>
              <w:jc w:val="center"/>
              <w:rPr>
                <w:rFonts w:ascii="Times New Roman" w:hAnsi="Times New Roman"/>
                <w:kern w:val="0"/>
                <w:sz w:val="21"/>
                <w:szCs w:val="21"/>
              </w:rPr>
            </w:pPr>
          </w:p>
        </w:tc>
        <w:tc>
          <w:tcPr>
            <w:tcW w:w="1111" w:type="dxa"/>
            <w:vMerge/>
          </w:tcPr>
          <w:p w14:paraId="3F8A36B8"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3462140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31A7FD1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1.84</w:t>
            </w:r>
          </w:p>
        </w:tc>
        <w:tc>
          <w:tcPr>
            <w:tcW w:w="882" w:type="dxa"/>
            <w:shd w:val="clear" w:color="auto" w:fill="auto"/>
            <w:noWrap/>
          </w:tcPr>
          <w:p w14:paraId="14A4D79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33.72</w:t>
            </w:r>
          </w:p>
        </w:tc>
        <w:tc>
          <w:tcPr>
            <w:tcW w:w="883" w:type="dxa"/>
            <w:shd w:val="clear" w:color="auto" w:fill="auto"/>
            <w:noWrap/>
          </w:tcPr>
          <w:p w14:paraId="12F0525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37.13</w:t>
            </w:r>
          </w:p>
        </w:tc>
        <w:tc>
          <w:tcPr>
            <w:tcW w:w="1942" w:type="dxa"/>
            <w:shd w:val="clear" w:color="auto" w:fill="auto"/>
          </w:tcPr>
          <w:p w14:paraId="289499B2" w14:textId="77777777" w:rsidR="009C353B" w:rsidRDefault="00000000">
            <w:pPr>
              <w:widowControl/>
              <w:jc w:val="center"/>
              <w:rPr>
                <w:rFonts w:ascii="Times New Roman" w:hAnsi="Times New Roman"/>
                <w:sz w:val="21"/>
                <w:szCs w:val="21"/>
              </w:rPr>
            </w:pPr>
            <w:r>
              <w:rPr>
                <w:rFonts w:ascii="Times New Roman" w:hAnsi="Times New Roman"/>
                <w:sz w:val="21"/>
                <w:szCs w:val="21"/>
              </w:rPr>
              <w:t>31.02</w:t>
            </w:r>
          </w:p>
        </w:tc>
        <w:tc>
          <w:tcPr>
            <w:tcW w:w="1307" w:type="dxa"/>
            <w:shd w:val="clear" w:color="auto" w:fill="auto"/>
          </w:tcPr>
          <w:p w14:paraId="67D90852" w14:textId="77777777" w:rsidR="009C353B" w:rsidRDefault="00000000">
            <w:pPr>
              <w:widowControl/>
              <w:jc w:val="center"/>
              <w:rPr>
                <w:rFonts w:ascii="Times New Roman" w:hAnsi="Times New Roman"/>
                <w:sz w:val="21"/>
                <w:szCs w:val="21"/>
              </w:rPr>
            </w:pPr>
            <w:r>
              <w:rPr>
                <w:rFonts w:ascii="Times New Roman" w:hAnsi="Times New Roman"/>
                <w:sz w:val="21"/>
                <w:szCs w:val="21"/>
              </w:rPr>
              <w:t>37.13</w:t>
            </w:r>
          </w:p>
        </w:tc>
        <w:tc>
          <w:tcPr>
            <w:tcW w:w="830" w:type="dxa"/>
            <w:shd w:val="clear" w:color="auto" w:fill="auto"/>
            <w:noWrap/>
          </w:tcPr>
          <w:p w14:paraId="0C2116A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7AF71929" w14:textId="77777777">
        <w:trPr>
          <w:trHeight w:val="340"/>
        </w:trPr>
        <w:tc>
          <w:tcPr>
            <w:tcW w:w="648" w:type="dxa"/>
            <w:vMerge/>
          </w:tcPr>
          <w:p w14:paraId="65EA5936" w14:textId="77777777" w:rsidR="009C353B" w:rsidRDefault="009C353B">
            <w:pPr>
              <w:widowControl/>
              <w:jc w:val="center"/>
              <w:rPr>
                <w:rFonts w:ascii="Times New Roman" w:hAnsi="Times New Roman"/>
                <w:kern w:val="0"/>
                <w:sz w:val="21"/>
                <w:szCs w:val="21"/>
              </w:rPr>
            </w:pPr>
          </w:p>
        </w:tc>
        <w:tc>
          <w:tcPr>
            <w:tcW w:w="1111" w:type="dxa"/>
            <w:vMerge/>
          </w:tcPr>
          <w:p w14:paraId="6A6D4B8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DF83F6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37A4604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4.44</w:t>
            </w:r>
          </w:p>
        </w:tc>
        <w:tc>
          <w:tcPr>
            <w:tcW w:w="882" w:type="dxa"/>
            <w:shd w:val="clear" w:color="auto" w:fill="auto"/>
            <w:noWrap/>
          </w:tcPr>
          <w:p w14:paraId="380F51C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47.08</w:t>
            </w:r>
          </w:p>
        </w:tc>
        <w:tc>
          <w:tcPr>
            <w:tcW w:w="883" w:type="dxa"/>
            <w:shd w:val="clear" w:color="auto" w:fill="auto"/>
            <w:noWrap/>
          </w:tcPr>
          <w:p w14:paraId="3EBFFC2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52.14</w:t>
            </w:r>
          </w:p>
        </w:tc>
        <w:tc>
          <w:tcPr>
            <w:tcW w:w="1942" w:type="dxa"/>
            <w:shd w:val="clear" w:color="auto" w:fill="auto"/>
          </w:tcPr>
          <w:p w14:paraId="663A4AD9" w14:textId="77777777" w:rsidR="009C353B" w:rsidRDefault="00000000">
            <w:pPr>
              <w:widowControl/>
              <w:jc w:val="center"/>
              <w:rPr>
                <w:rFonts w:ascii="Times New Roman" w:hAnsi="Times New Roman"/>
                <w:sz w:val="21"/>
                <w:szCs w:val="21"/>
              </w:rPr>
            </w:pPr>
            <w:r>
              <w:rPr>
                <w:rFonts w:ascii="Times New Roman" w:hAnsi="Times New Roman"/>
                <w:sz w:val="21"/>
                <w:szCs w:val="21"/>
              </w:rPr>
              <w:t>67.64</w:t>
            </w:r>
          </w:p>
        </w:tc>
        <w:tc>
          <w:tcPr>
            <w:tcW w:w="1307" w:type="dxa"/>
            <w:shd w:val="clear" w:color="auto" w:fill="auto"/>
          </w:tcPr>
          <w:p w14:paraId="65565460" w14:textId="77777777" w:rsidR="009C353B" w:rsidRDefault="00000000">
            <w:pPr>
              <w:widowControl/>
              <w:jc w:val="center"/>
              <w:rPr>
                <w:rFonts w:ascii="Times New Roman" w:hAnsi="Times New Roman"/>
                <w:sz w:val="21"/>
                <w:szCs w:val="21"/>
              </w:rPr>
            </w:pPr>
            <w:r>
              <w:rPr>
                <w:rFonts w:ascii="Times New Roman" w:hAnsi="Times New Roman"/>
                <w:sz w:val="21"/>
                <w:szCs w:val="21"/>
              </w:rPr>
              <w:t>67.64</w:t>
            </w:r>
          </w:p>
        </w:tc>
        <w:tc>
          <w:tcPr>
            <w:tcW w:w="830" w:type="dxa"/>
            <w:shd w:val="clear" w:color="auto" w:fill="auto"/>
            <w:noWrap/>
          </w:tcPr>
          <w:p w14:paraId="3BEFD62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0496BE43" w14:textId="77777777">
        <w:trPr>
          <w:trHeight w:val="340"/>
        </w:trPr>
        <w:tc>
          <w:tcPr>
            <w:tcW w:w="648" w:type="dxa"/>
            <w:vMerge/>
          </w:tcPr>
          <w:p w14:paraId="748D4449"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6A81913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T1-1</w:t>
            </w:r>
          </w:p>
        </w:tc>
        <w:tc>
          <w:tcPr>
            <w:tcW w:w="883" w:type="dxa"/>
            <w:shd w:val="clear" w:color="auto" w:fill="auto"/>
            <w:noWrap/>
          </w:tcPr>
          <w:p w14:paraId="07ADC09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2FC1CB6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1.01</w:t>
            </w:r>
          </w:p>
        </w:tc>
        <w:tc>
          <w:tcPr>
            <w:tcW w:w="882" w:type="dxa"/>
            <w:shd w:val="clear" w:color="auto" w:fill="auto"/>
            <w:noWrap/>
          </w:tcPr>
          <w:p w14:paraId="38A5F06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24.96</w:t>
            </w:r>
          </w:p>
        </w:tc>
        <w:tc>
          <w:tcPr>
            <w:tcW w:w="883" w:type="dxa"/>
            <w:shd w:val="clear" w:color="auto" w:fill="auto"/>
            <w:noWrap/>
          </w:tcPr>
          <w:p w14:paraId="5103CCF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30.10</w:t>
            </w:r>
          </w:p>
        </w:tc>
        <w:tc>
          <w:tcPr>
            <w:tcW w:w="1942" w:type="dxa"/>
            <w:shd w:val="clear" w:color="auto" w:fill="auto"/>
          </w:tcPr>
          <w:p w14:paraId="19DC33F9" w14:textId="77777777" w:rsidR="009C353B" w:rsidRDefault="00000000">
            <w:pPr>
              <w:widowControl/>
              <w:jc w:val="center"/>
              <w:rPr>
                <w:rFonts w:ascii="Times New Roman" w:hAnsi="Times New Roman"/>
                <w:sz w:val="21"/>
                <w:szCs w:val="21"/>
              </w:rPr>
            </w:pPr>
            <w:r>
              <w:rPr>
                <w:rFonts w:ascii="Times New Roman" w:hAnsi="Times New Roman"/>
                <w:sz w:val="21"/>
                <w:szCs w:val="21"/>
              </w:rPr>
              <w:t>19.33</w:t>
            </w:r>
          </w:p>
        </w:tc>
        <w:tc>
          <w:tcPr>
            <w:tcW w:w="1307" w:type="dxa"/>
            <w:shd w:val="clear" w:color="auto" w:fill="auto"/>
          </w:tcPr>
          <w:p w14:paraId="2FC28910" w14:textId="77777777" w:rsidR="009C353B" w:rsidRDefault="00000000">
            <w:pPr>
              <w:widowControl/>
              <w:jc w:val="center"/>
              <w:rPr>
                <w:rFonts w:ascii="Times New Roman" w:hAnsi="Times New Roman"/>
                <w:sz w:val="21"/>
                <w:szCs w:val="21"/>
              </w:rPr>
            </w:pPr>
            <w:r>
              <w:rPr>
                <w:rFonts w:ascii="Times New Roman" w:hAnsi="Times New Roman"/>
                <w:sz w:val="21"/>
                <w:szCs w:val="21"/>
              </w:rPr>
              <w:t>30.10</w:t>
            </w:r>
          </w:p>
        </w:tc>
        <w:tc>
          <w:tcPr>
            <w:tcW w:w="830" w:type="dxa"/>
            <w:shd w:val="clear" w:color="auto" w:fill="auto"/>
            <w:noWrap/>
          </w:tcPr>
          <w:p w14:paraId="5510E7B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1825B16" w14:textId="77777777">
        <w:trPr>
          <w:trHeight w:val="340"/>
        </w:trPr>
        <w:tc>
          <w:tcPr>
            <w:tcW w:w="648" w:type="dxa"/>
            <w:vMerge/>
          </w:tcPr>
          <w:p w14:paraId="260DD533" w14:textId="77777777" w:rsidR="009C353B" w:rsidRDefault="009C353B">
            <w:pPr>
              <w:widowControl/>
              <w:jc w:val="center"/>
              <w:rPr>
                <w:rFonts w:ascii="Times New Roman" w:hAnsi="Times New Roman"/>
                <w:kern w:val="0"/>
                <w:sz w:val="21"/>
                <w:szCs w:val="21"/>
              </w:rPr>
            </w:pPr>
          </w:p>
        </w:tc>
        <w:tc>
          <w:tcPr>
            <w:tcW w:w="1111" w:type="dxa"/>
            <w:vMerge/>
          </w:tcPr>
          <w:p w14:paraId="7BB8DC97"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DF38F9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03D905C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2.26</w:t>
            </w:r>
          </w:p>
        </w:tc>
        <w:tc>
          <w:tcPr>
            <w:tcW w:w="882" w:type="dxa"/>
            <w:shd w:val="clear" w:color="auto" w:fill="auto"/>
            <w:noWrap/>
          </w:tcPr>
          <w:p w14:paraId="37C050E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36.92</w:t>
            </w:r>
          </w:p>
        </w:tc>
        <w:tc>
          <w:tcPr>
            <w:tcW w:w="883" w:type="dxa"/>
            <w:shd w:val="clear" w:color="auto" w:fill="auto"/>
            <w:noWrap/>
          </w:tcPr>
          <w:p w14:paraId="67EBA58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40.07</w:t>
            </w:r>
          </w:p>
        </w:tc>
        <w:tc>
          <w:tcPr>
            <w:tcW w:w="1942" w:type="dxa"/>
            <w:shd w:val="clear" w:color="auto" w:fill="auto"/>
          </w:tcPr>
          <w:p w14:paraId="563AD595" w14:textId="77777777" w:rsidR="009C353B" w:rsidRDefault="00000000">
            <w:pPr>
              <w:widowControl/>
              <w:jc w:val="center"/>
              <w:rPr>
                <w:rFonts w:ascii="Times New Roman" w:hAnsi="Times New Roman"/>
                <w:sz w:val="21"/>
                <w:szCs w:val="21"/>
              </w:rPr>
            </w:pPr>
            <w:r>
              <w:rPr>
                <w:rFonts w:ascii="Times New Roman" w:hAnsi="Times New Roman"/>
                <w:sz w:val="21"/>
                <w:szCs w:val="21"/>
              </w:rPr>
              <w:t>36.93</w:t>
            </w:r>
          </w:p>
        </w:tc>
        <w:tc>
          <w:tcPr>
            <w:tcW w:w="1307" w:type="dxa"/>
            <w:shd w:val="clear" w:color="auto" w:fill="auto"/>
          </w:tcPr>
          <w:p w14:paraId="2A209A49" w14:textId="77777777" w:rsidR="009C353B" w:rsidRDefault="00000000">
            <w:pPr>
              <w:widowControl/>
              <w:jc w:val="center"/>
              <w:rPr>
                <w:rFonts w:ascii="Times New Roman" w:hAnsi="Times New Roman"/>
                <w:sz w:val="21"/>
                <w:szCs w:val="21"/>
              </w:rPr>
            </w:pPr>
            <w:r>
              <w:rPr>
                <w:rFonts w:ascii="Times New Roman" w:hAnsi="Times New Roman"/>
                <w:sz w:val="21"/>
                <w:szCs w:val="21"/>
              </w:rPr>
              <w:t>40.07</w:t>
            </w:r>
          </w:p>
        </w:tc>
        <w:tc>
          <w:tcPr>
            <w:tcW w:w="830" w:type="dxa"/>
            <w:shd w:val="clear" w:color="auto" w:fill="auto"/>
            <w:noWrap/>
          </w:tcPr>
          <w:p w14:paraId="3FCB9E3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00BE4E00" w14:textId="77777777">
        <w:trPr>
          <w:trHeight w:val="340"/>
        </w:trPr>
        <w:tc>
          <w:tcPr>
            <w:tcW w:w="648" w:type="dxa"/>
            <w:vMerge/>
          </w:tcPr>
          <w:p w14:paraId="00ED1511" w14:textId="77777777" w:rsidR="009C353B" w:rsidRDefault="009C353B">
            <w:pPr>
              <w:widowControl/>
              <w:jc w:val="center"/>
              <w:rPr>
                <w:rFonts w:ascii="Times New Roman" w:hAnsi="Times New Roman"/>
                <w:kern w:val="0"/>
                <w:sz w:val="21"/>
                <w:szCs w:val="21"/>
              </w:rPr>
            </w:pPr>
          </w:p>
        </w:tc>
        <w:tc>
          <w:tcPr>
            <w:tcW w:w="1111" w:type="dxa"/>
            <w:vMerge/>
          </w:tcPr>
          <w:p w14:paraId="224DD7E3"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F5FF2F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3EF8FAE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3.98</w:t>
            </w:r>
          </w:p>
        </w:tc>
        <w:tc>
          <w:tcPr>
            <w:tcW w:w="882" w:type="dxa"/>
            <w:shd w:val="clear" w:color="auto" w:fill="auto"/>
            <w:noWrap/>
          </w:tcPr>
          <w:p w14:paraId="70BF750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45.53</w:t>
            </w:r>
          </w:p>
        </w:tc>
        <w:tc>
          <w:tcPr>
            <w:tcW w:w="883" w:type="dxa"/>
            <w:shd w:val="clear" w:color="auto" w:fill="auto"/>
            <w:noWrap/>
          </w:tcPr>
          <w:p w14:paraId="7BFA948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49.90</w:t>
            </w:r>
          </w:p>
        </w:tc>
        <w:tc>
          <w:tcPr>
            <w:tcW w:w="1942" w:type="dxa"/>
            <w:shd w:val="clear" w:color="auto" w:fill="auto"/>
          </w:tcPr>
          <w:p w14:paraId="572084A9" w14:textId="77777777" w:rsidR="009C353B" w:rsidRDefault="00000000">
            <w:pPr>
              <w:widowControl/>
              <w:jc w:val="center"/>
              <w:rPr>
                <w:rFonts w:ascii="Times New Roman" w:hAnsi="Times New Roman"/>
                <w:sz w:val="21"/>
                <w:szCs w:val="21"/>
              </w:rPr>
            </w:pPr>
            <w:r>
              <w:rPr>
                <w:rFonts w:ascii="Times New Roman" w:hAnsi="Times New Roman"/>
                <w:sz w:val="21"/>
                <w:szCs w:val="21"/>
              </w:rPr>
              <w:t>61.16</w:t>
            </w:r>
          </w:p>
        </w:tc>
        <w:tc>
          <w:tcPr>
            <w:tcW w:w="1307" w:type="dxa"/>
            <w:shd w:val="clear" w:color="auto" w:fill="auto"/>
          </w:tcPr>
          <w:p w14:paraId="158E3937" w14:textId="77777777" w:rsidR="009C353B" w:rsidRDefault="00000000">
            <w:pPr>
              <w:widowControl/>
              <w:jc w:val="center"/>
              <w:rPr>
                <w:rFonts w:ascii="Times New Roman" w:hAnsi="Times New Roman"/>
                <w:sz w:val="21"/>
                <w:szCs w:val="21"/>
              </w:rPr>
            </w:pPr>
            <w:r>
              <w:rPr>
                <w:rFonts w:ascii="Times New Roman" w:hAnsi="Times New Roman"/>
                <w:sz w:val="21"/>
                <w:szCs w:val="21"/>
              </w:rPr>
              <w:t>61.16</w:t>
            </w:r>
          </w:p>
        </w:tc>
        <w:tc>
          <w:tcPr>
            <w:tcW w:w="830" w:type="dxa"/>
            <w:shd w:val="clear" w:color="auto" w:fill="auto"/>
            <w:noWrap/>
          </w:tcPr>
          <w:p w14:paraId="0C35A31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7759B0BB" w14:textId="77777777">
        <w:trPr>
          <w:trHeight w:val="340"/>
        </w:trPr>
        <w:tc>
          <w:tcPr>
            <w:tcW w:w="648" w:type="dxa"/>
            <w:vMerge/>
          </w:tcPr>
          <w:p w14:paraId="1FC302A9"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1749CAC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T1N-3</w:t>
            </w:r>
          </w:p>
        </w:tc>
        <w:tc>
          <w:tcPr>
            <w:tcW w:w="883" w:type="dxa"/>
            <w:shd w:val="clear" w:color="auto" w:fill="auto"/>
            <w:noWrap/>
          </w:tcPr>
          <w:p w14:paraId="04F4771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318A74A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1.39</w:t>
            </w:r>
          </w:p>
        </w:tc>
        <w:tc>
          <w:tcPr>
            <w:tcW w:w="882" w:type="dxa"/>
            <w:shd w:val="clear" w:color="auto" w:fill="auto"/>
            <w:noWrap/>
          </w:tcPr>
          <w:p w14:paraId="27AB10F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29.47</w:t>
            </w:r>
          </w:p>
        </w:tc>
        <w:tc>
          <w:tcPr>
            <w:tcW w:w="883" w:type="dxa"/>
            <w:shd w:val="clear" w:color="auto" w:fill="auto"/>
            <w:noWrap/>
          </w:tcPr>
          <w:p w14:paraId="68B5A19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33.58</w:t>
            </w:r>
          </w:p>
        </w:tc>
        <w:tc>
          <w:tcPr>
            <w:tcW w:w="1942" w:type="dxa"/>
            <w:shd w:val="clear" w:color="auto" w:fill="auto"/>
          </w:tcPr>
          <w:p w14:paraId="1B04EA3F" w14:textId="77777777" w:rsidR="009C353B" w:rsidRDefault="00000000">
            <w:pPr>
              <w:widowControl/>
              <w:jc w:val="center"/>
              <w:rPr>
                <w:rFonts w:ascii="Times New Roman" w:hAnsi="Times New Roman"/>
                <w:sz w:val="21"/>
                <w:szCs w:val="21"/>
              </w:rPr>
            </w:pPr>
            <w:r>
              <w:rPr>
                <w:rFonts w:ascii="Times New Roman" w:hAnsi="Times New Roman"/>
                <w:sz w:val="21"/>
                <w:szCs w:val="21"/>
              </w:rPr>
              <w:t>24.68</w:t>
            </w:r>
          </w:p>
        </w:tc>
        <w:tc>
          <w:tcPr>
            <w:tcW w:w="1307" w:type="dxa"/>
            <w:shd w:val="clear" w:color="auto" w:fill="auto"/>
          </w:tcPr>
          <w:p w14:paraId="269B4084" w14:textId="77777777" w:rsidR="009C353B" w:rsidRDefault="00000000">
            <w:pPr>
              <w:widowControl/>
              <w:jc w:val="center"/>
              <w:rPr>
                <w:rFonts w:ascii="Times New Roman" w:hAnsi="Times New Roman"/>
                <w:sz w:val="21"/>
                <w:szCs w:val="21"/>
              </w:rPr>
            </w:pPr>
            <w:r>
              <w:rPr>
                <w:rFonts w:ascii="Times New Roman" w:hAnsi="Times New Roman"/>
                <w:sz w:val="21"/>
                <w:szCs w:val="21"/>
              </w:rPr>
              <w:t>33.58</w:t>
            </w:r>
          </w:p>
        </w:tc>
        <w:tc>
          <w:tcPr>
            <w:tcW w:w="830" w:type="dxa"/>
            <w:shd w:val="clear" w:color="auto" w:fill="auto"/>
            <w:noWrap/>
          </w:tcPr>
          <w:p w14:paraId="2D06C25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6ACC0008" w14:textId="77777777">
        <w:trPr>
          <w:trHeight w:val="340"/>
        </w:trPr>
        <w:tc>
          <w:tcPr>
            <w:tcW w:w="648" w:type="dxa"/>
            <w:vMerge/>
          </w:tcPr>
          <w:p w14:paraId="46DDFA2F" w14:textId="77777777" w:rsidR="009C353B" w:rsidRDefault="009C353B">
            <w:pPr>
              <w:widowControl/>
              <w:jc w:val="center"/>
              <w:rPr>
                <w:rFonts w:ascii="Times New Roman" w:hAnsi="Times New Roman"/>
                <w:kern w:val="0"/>
                <w:sz w:val="21"/>
                <w:szCs w:val="21"/>
              </w:rPr>
            </w:pPr>
          </w:p>
        </w:tc>
        <w:tc>
          <w:tcPr>
            <w:tcW w:w="1111" w:type="dxa"/>
            <w:vMerge/>
          </w:tcPr>
          <w:p w14:paraId="4CD3A77A"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6ECCDB5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4406B72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1.79</w:t>
            </w:r>
          </w:p>
        </w:tc>
        <w:tc>
          <w:tcPr>
            <w:tcW w:w="882" w:type="dxa"/>
            <w:shd w:val="clear" w:color="auto" w:fill="auto"/>
            <w:noWrap/>
          </w:tcPr>
          <w:p w14:paraId="50AC147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33.29</w:t>
            </w:r>
          </w:p>
        </w:tc>
        <w:tc>
          <w:tcPr>
            <w:tcW w:w="883" w:type="dxa"/>
            <w:shd w:val="clear" w:color="auto" w:fill="auto"/>
            <w:noWrap/>
          </w:tcPr>
          <w:p w14:paraId="749A5B9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36.76</w:t>
            </w:r>
          </w:p>
        </w:tc>
        <w:tc>
          <w:tcPr>
            <w:tcW w:w="1942" w:type="dxa"/>
            <w:shd w:val="clear" w:color="auto" w:fill="auto"/>
          </w:tcPr>
          <w:p w14:paraId="60B8B6CD" w14:textId="77777777" w:rsidR="009C353B" w:rsidRDefault="00000000">
            <w:pPr>
              <w:widowControl/>
              <w:jc w:val="center"/>
              <w:rPr>
                <w:rFonts w:ascii="Times New Roman" w:hAnsi="Times New Roman"/>
                <w:sz w:val="21"/>
                <w:szCs w:val="21"/>
              </w:rPr>
            </w:pPr>
            <w:r>
              <w:rPr>
                <w:rFonts w:ascii="Times New Roman" w:hAnsi="Times New Roman"/>
                <w:sz w:val="21"/>
                <w:szCs w:val="21"/>
              </w:rPr>
              <w:t>30.31</w:t>
            </w:r>
          </w:p>
        </w:tc>
        <w:tc>
          <w:tcPr>
            <w:tcW w:w="1307" w:type="dxa"/>
            <w:shd w:val="clear" w:color="auto" w:fill="auto"/>
          </w:tcPr>
          <w:p w14:paraId="2949B58F" w14:textId="77777777" w:rsidR="009C353B" w:rsidRDefault="00000000">
            <w:pPr>
              <w:widowControl/>
              <w:jc w:val="center"/>
              <w:rPr>
                <w:rFonts w:ascii="Times New Roman" w:hAnsi="Times New Roman"/>
                <w:sz w:val="21"/>
                <w:szCs w:val="21"/>
              </w:rPr>
            </w:pPr>
            <w:r>
              <w:rPr>
                <w:rFonts w:ascii="Times New Roman" w:hAnsi="Times New Roman"/>
                <w:sz w:val="21"/>
                <w:szCs w:val="21"/>
              </w:rPr>
              <w:t>36.76</w:t>
            </w:r>
          </w:p>
        </w:tc>
        <w:tc>
          <w:tcPr>
            <w:tcW w:w="830" w:type="dxa"/>
            <w:shd w:val="clear" w:color="auto" w:fill="auto"/>
            <w:noWrap/>
          </w:tcPr>
          <w:p w14:paraId="0BC6F5A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578B017D" w14:textId="77777777">
        <w:trPr>
          <w:trHeight w:val="340"/>
        </w:trPr>
        <w:tc>
          <w:tcPr>
            <w:tcW w:w="648" w:type="dxa"/>
            <w:vMerge/>
          </w:tcPr>
          <w:p w14:paraId="2F2A1B5C" w14:textId="77777777" w:rsidR="009C353B" w:rsidRDefault="009C353B">
            <w:pPr>
              <w:widowControl/>
              <w:jc w:val="center"/>
              <w:rPr>
                <w:rFonts w:ascii="Times New Roman" w:hAnsi="Times New Roman"/>
                <w:kern w:val="0"/>
                <w:sz w:val="21"/>
                <w:szCs w:val="21"/>
              </w:rPr>
            </w:pPr>
          </w:p>
        </w:tc>
        <w:tc>
          <w:tcPr>
            <w:tcW w:w="1111" w:type="dxa"/>
            <w:vMerge/>
          </w:tcPr>
          <w:p w14:paraId="7D6853F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66AFA4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710F9EC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3.94</w:t>
            </w:r>
          </w:p>
        </w:tc>
        <w:tc>
          <w:tcPr>
            <w:tcW w:w="882" w:type="dxa"/>
            <w:shd w:val="clear" w:color="auto" w:fill="auto"/>
            <w:noWrap/>
          </w:tcPr>
          <w:p w14:paraId="7F4BFCB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45.38</w:t>
            </w:r>
          </w:p>
        </w:tc>
        <w:tc>
          <w:tcPr>
            <w:tcW w:w="883" w:type="dxa"/>
            <w:shd w:val="clear" w:color="auto" w:fill="auto"/>
            <w:noWrap/>
          </w:tcPr>
          <w:p w14:paraId="212B7F4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49.70</w:t>
            </w:r>
          </w:p>
        </w:tc>
        <w:tc>
          <w:tcPr>
            <w:tcW w:w="1942" w:type="dxa"/>
            <w:shd w:val="clear" w:color="auto" w:fill="auto"/>
          </w:tcPr>
          <w:p w14:paraId="1CBDBB0E" w14:textId="77777777" w:rsidR="009C353B" w:rsidRDefault="00000000">
            <w:pPr>
              <w:widowControl/>
              <w:jc w:val="center"/>
              <w:rPr>
                <w:rFonts w:ascii="Times New Roman" w:hAnsi="Times New Roman"/>
                <w:sz w:val="21"/>
                <w:szCs w:val="21"/>
              </w:rPr>
            </w:pPr>
            <w:r>
              <w:rPr>
                <w:rFonts w:ascii="Times New Roman" w:hAnsi="Times New Roman"/>
                <w:sz w:val="21"/>
                <w:szCs w:val="21"/>
              </w:rPr>
              <w:t>60.59</w:t>
            </w:r>
          </w:p>
        </w:tc>
        <w:tc>
          <w:tcPr>
            <w:tcW w:w="1307" w:type="dxa"/>
            <w:shd w:val="clear" w:color="auto" w:fill="auto"/>
          </w:tcPr>
          <w:p w14:paraId="35BDC4C7" w14:textId="77777777" w:rsidR="009C353B" w:rsidRDefault="00000000">
            <w:pPr>
              <w:widowControl/>
              <w:jc w:val="center"/>
              <w:rPr>
                <w:rFonts w:ascii="Times New Roman" w:hAnsi="Times New Roman"/>
                <w:sz w:val="21"/>
                <w:szCs w:val="21"/>
              </w:rPr>
            </w:pPr>
            <w:r>
              <w:rPr>
                <w:rFonts w:ascii="Times New Roman" w:hAnsi="Times New Roman"/>
                <w:sz w:val="21"/>
                <w:szCs w:val="21"/>
              </w:rPr>
              <w:t>60.59</w:t>
            </w:r>
          </w:p>
        </w:tc>
        <w:tc>
          <w:tcPr>
            <w:tcW w:w="830" w:type="dxa"/>
            <w:shd w:val="clear" w:color="auto" w:fill="auto"/>
            <w:noWrap/>
          </w:tcPr>
          <w:p w14:paraId="4C32E51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70391534" w14:textId="77777777">
        <w:trPr>
          <w:trHeight w:val="340"/>
        </w:trPr>
        <w:tc>
          <w:tcPr>
            <w:tcW w:w="648" w:type="dxa"/>
            <w:vMerge/>
          </w:tcPr>
          <w:p w14:paraId="0AC4EE5B"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3FF8D9A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T8-1</w:t>
            </w:r>
          </w:p>
        </w:tc>
        <w:tc>
          <w:tcPr>
            <w:tcW w:w="883" w:type="dxa"/>
            <w:shd w:val="clear" w:color="auto" w:fill="auto"/>
            <w:noWrap/>
          </w:tcPr>
          <w:p w14:paraId="48C27EC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6887AC4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2.25</w:t>
            </w:r>
          </w:p>
        </w:tc>
        <w:tc>
          <w:tcPr>
            <w:tcW w:w="882" w:type="dxa"/>
            <w:shd w:val="clear" w:color="auto" w:fill="auto"/>
            <w:noWrap/>
          </w:tcPr>
          <w:p w14:paraId="37EA15C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36.85</w:t>
            </w:r>
          </w:p>
        </w:tc>
        <w:tc>
          <w:tcPr>
            <w:tcW w:w="883" w:type="dxa"/>
            <w:shd w:val="clear" w:color="auto" w:fill="auto"/>
            <w:noWrap/>
          </w:tcPr>
          <w:p w14:paraId="2A51A31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40.00</w:t>
            </w:r>
          </w:p>
        </w:tc>
        <w:tc>
          <w:tcPr>
            <w:tcW w:w="1942" w:type="dxa"/>
            <w:shd w:val="clear" w:color="auto" w:fill="auto"/>
          </w:tcPr>
          <w:p w14:paraId="18EBA877" w14:textId="77777777" w:rsidR="009C353B" w:rsidRDefault="00000000">
            <w:pPr>
              <w:widowControl/>
              <w:jc w:val="center"/>
              <w:rPr>
                <w:rFonts w:ascii="Times New Roman" w:hAnsi="Times New Roman"/>
                <w:sz w:val="21"/>
                <w:szCs w:val="21"/>
              </w:rPr>
            </w:pPr>
            <w:r>
              <w:rPr>
                <w:rFonts w:ascii="Times New Roman" w:hAnsi="Times New Roman"/>
                <w:sz w:val="21"/>
                <w:szCs w:val="21"/>
              </w:rPr>
              <w:t>36.79</w:t>
            </w:r>
          </w:p>
        </w:tc>
        <w:tc>
          <w:tcPr>
            <w:tcW w:w="1307" w:type="dxa"/>
            <w:shd w:val="clear" w:color="auto" w:fill="auto"/>
          </w:tcPr>
          <w:p w14:paraId="23AAACA8" w14:textId="77777777" w:rsidR="009C353B" w:rsidRDefault="00000000">
            <w:pPr>
              <w:widowControl/>
              <w:jc w:val="center"/>
              <w:rPr>
                <w:rFonts w:ascii="Times New Roman" w:hAnsi="Times New Roman"/>
                <w:sz w:val="21"/>
                <w:szCs w:val="21"/>
              </w:rPr>
            </w:pPr>
            <w:r>
              <w:rPr>
                <w:rFonts w:ascii="Times New Roman" w:hAnsi="Times New Roman"/>
                <w:sz w:val="21"/>
                <w:szCs w:val="21"/>
              </w:rPr>
              <w:t>40.00</w:t>
            </w:r>
          </w:p>
        </w:tc>
        <w:tc>
          <w:tcPr>
            <w:tcW w:w="830" w:type="dxa"/>
            <w:shd w:val="clear" w:color="auto" w:fill="auto"/>
            <w:noWrap/>
          </w:tcPr>
          <w:p w14:paraId="65AE712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5ACB8C69" w14:textId="77777777">
        <w:trPr>
          <w:trHeight w:val="340"/>
        </w:trPr>
        <w:tc>
          <w:tcPr>
            <w:tcW w:w="648" w:type="dxa"/>
            <w:vMerge/>
          </w:tcPr>
          <w:p w14:paraId="58EF52C4" w14:textId="77777777" w:rsidR="009C353B" w:rsidRDefault="009C353B">
            <w:pPr>
              <w:widowControl/>
              <w:jc w:val="center"/>
              <w:rPr>
                <w:rFonts w:ascii="Times New Roman" w:hAnsi="Times New Roman"/>
                <w:kern w:val="0"/>
                <w:sz w:val="21"/>
                <w:szCs w:val="21"/>
              </w:rPr>
            </w:pPr>
          </w:p>
        </w:tc>
        <w:tc>
          <w:tcPr>
            <w:tcW w:w="1111" w:type="dxa"/>
            <w:vMerge/>
          </w:tcPr>
          <w:p w14:paraId="7047122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191348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6A999D6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2.84</w:t>
            </w:r>
          </w:p>
        </w:tc>
        <w:tc>
          <w:tcPr>
            <w:tcW w:w="882" w:type="dxa"/>
            <w:shd w:val="clear" w:color="auto" w:fill="auto"/>
            <w:noWrap/>
          </w:tcPr>
          <w:p w14:paraId="22392BD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40.47</w:t>
            </w:r>
          </w:p>
        </w:tc>
        <w:tc>
          <w:tcPr>
            <w:tcW w:w="883" w:type="dxa"/>
            <w:shd w:val="clear" w:color="auto" w:fill="auto"/>
            <w:noWrap/>
          </w:tcPr>
          <w:p w14:paraId="0654081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43.70</w:t>
            </w:r>
          </w:p>
        </w:tc>
        <w:tc>
          <w:tcPr>
            <w:tcW w:w="1942" w:type="dxa"/>
            <w:shd w:val="clear" w:color="auto" w:fill="auto"/>
          </w:tcPr>
          <w:p w14:paraId="60C70F2E" w14:textId="77777777" w:rsidR="009C353B" w:rsidRDefault="00000000">
            <w:pPr>
              <w:widowControl/>
              <w:jc w:val="center"/>
              <w:rPr>
                <w:rFonts w:ascii="Times New Roman" w:hAnsi="Times New Roman"/>
                <w:sz w:val="21"/>
                <w:szCs w:val="21"/>
              </w:rPr>
            </w:pPr>
            <w:r>
              <w:rPr>
                <w:rFonts w:ascii="Times New Roman" w:hAnsi="Times New Roman"/>
                <w:sz w:val="21"/>
                <w:szCs w:val="21"/>
              </w:rPr>
              <w:t>45.10</w:t>
            </w:r>
          </w:p>
        </w:tc>
        <w:tc>
          <w:tcPr>
            <w:tcW w:w="1307" w:type="dxa"/>
            <w:shd w:val="clear" w:color="auto" w:fill="auto"/>
          </w:tcPr>
          <w:p w14:paraId="4F9E33B9" w14:textId="77777777" w:rsidR="009C353B" w:rsidRDefault="00000000">
            <w:pPr>
              <w:widowControl/>
              <w:jc w:val="center"/>
              <w:rPr>
                <w:rFonts w:ascii="Times New Roman" w:hAnsi="Times New Roman"/>
                <w:sz w:val="21"/>
                <w:szCs w:val="21"/>
              </w:rPr>
            </w:pPr>
            <w:r>
              <w:rPr>
                <w:rFonts w:ascii="Times New Roman" w:hAnsi="Times New Roman"/>
                <w:sz w:val="21"/>
                <w:szCs w:val="21"/>
              </w:rPr>
              <w:t>45.10</w:t>
            </w:r>
          </w:p>
        </w:tc>
        <w:tc>
          <w:tcPr>
            <w:tcW w:w="830" w:type="dxa"/>
            <w:shd w:val="clear" w:color="auto" w:fill="auto"/>
            <w:noWrap/>
          </w:tcPr>
          <w:p w14:paraId="03331C2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9D6C0A6" w14:textId="77777777">
        <w:trPr>
          <w:trHeight w:val="340"/>
        </w:trPr>
        <w:tc>
          <w:tcPr>
            <w:tcW w:w="648" w:type="dxa"/>
            <w:vMerge/>
          </w:tcPr>
          <w:p w14:paraId="4DD6713C" w14:textId="77777777" w:rsidR="009C353B" w:rsidRDefault="009C353B">
            <w:pPr>
              <w:widowControl/>
              <w:jc w:val="center"/>
              <w:rPr>
                <w:rFonts w:ascii="Times New Roman" w:hAnsi="Times New Roman"/>
                <w:kern w:val="0"/>
                <w:sz w:val="21"/>
                <w:szCs w:val="21"/>
              </w:rPr>
            </w:pPr>
          </w:p>
        </w:tc>
        <w:tc>
          <w:tcPr>
            <w:tcW w:w="1111" w:type="dxa"/>
            <w:vMerge/>
          </w:tcPr>
          <w:p w14:paraId="36C2FA84"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1116D1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44942FE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5.03</w:t>
            </w:r>
          </w:p>
        </w:tc>
        <w:tc>
          <w:tcPr>
            <w:tcW w:w="882" w:type="dxa"/>
            <w:shd w:val="clear" w:color="auto" w:fill="auto"/>
            <w:noWrap/>
          </w:tcPr>
          <w:p w14:paraId="03FF861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48.78</w:t>
            </w:r>
          </w:p>
        </w:tc>
        <w:tc>
          <w:tcPr>
            <w:tcW w:w="883" w:type="dxa"/>
            <w:shd w:val="clear" w:color="auto" w:fill="auto"/>
            <w:noWrap/>
          </w:tcPr>
          <w:p w14:paraId="7CC7146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54.86</w:t>
            </w:r>
          </w:p>
        </w:tc>
        <w:tc>
          <w:tcPr>
            <w:tcW w:w="1942" w:type="dxa"/>
            <w:shd w:val="clear" w:color="auto" w:fill="auto"/>
          </w:tcPr>
          <w:p w14:paraId="7C660E7A" w14:textId="77777777" w:rsidR="009C353B" w:rsidRDefault="00000000">
            <w:pPr>
              <w:widowControl/>
              <w:jc w:val="center"/>
              <w:rPr>
                <w:rFonts w:ascii="Times New Roman" w:hAnsi="Times New Roman"/>
                <w:sz w:val="21"/>
                <w:szCs w:val="21"/>
              </w:rPr>
            </w:pPr>
            <w:r>
              <w:rPr>
                <w:rFonts w:ascii="Times New Roman" w:hAnsi="Times New Roman"/>
                <w:sz w:val="21"/>
                <w:szCs w:val="21"/>
              </w:rPr>
              <w:t>75.95</w:t>
            </w:r>
          </w:p>
        </w:tc>
        <w:tc>
          <w:tcPr>
            <w:tcW w:w="1307" w:type="dxa"/>
            <w:shd w:val="clear" w:color="auto" w:fill="auto"/>
          </w:tcPr>
          <w:p w14:paraId="7246498A" w14:textId="77777777" w:rsidR="009C353B" w:rsidRDefault="00000000">
            <w:pPr>
              <w:widowControl/>
              <w:jc w:val="center"/>
              <w:rPr>
                <w:rFonts w:ascii="Times New Roman" w:hAnsi="Times New Roman"/>
                <w:sz w:val="21"/>
                <w:szCs w:val="21"/>
              </w:rPr>
            </w:pPr>
            <w:r>
              <w:rPr>
                <w:rFonts w:ascii="Times New Roman" w:hAnsi="Times New Roman"/>
                <w:sz w:val="21"/>
                <w:szCs w:val="21"/>
              </w:rPr>
              <w:t>75.95</w:t>
            </w:r>
          </w:p>
        </w:tc>
        <w:tc>
          <w:tcPr>
            <w:tcW w:w="830" w:type="dxa"/>
            <w:shd w:val="clear" w:color="auto" w:fill="auto"/>
            <w:noWrap/>
          </w:tcPr>
          <w:p w14:paraId="0D8030A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49D96D45" w14:textId="77777777">
        <w:trPr>
          <w:trHeight w:val="340"/>
        </w:trPr>
        <w:tc>
          <w:tcPr>
            <w:tcW w:w="648" w:type="dxa"/>
            <w:vMerge/>
          </w:tcPr>
          <w:p w14:paraId="0EA95535"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11368EE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T8N-2</w:t>
            </w:r>
          </w:p>
        </w:tc>
        <w:tc>
          <w:tcPr>
            <w:tcW w:w="883" w:type="dxa"/>
            <w:shd w:val="clear" w:color="auto" w:fill="auto"/>
            <w:noWrap/>
          </w:tcPr>
          <w:p w14:paraId="7513D8D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1572125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1.64</w:t>
            </w:r>
          </w:p>
        </w:tc>
        <w:tc>
          <w:tcPr>
            <w:tcW w:w="882" w:type="dxa"/>
            <w:shd w:val="clear" w:color="auto" w:fill="auto"/>
            <w:noWrap/>
          </w:tcPr>
          <w:p w14:paraId="5437291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31.95</w:t>
            </w:r>
          </w:p>
        </w:tc>
        <w:tc>
          <w:tcPr>
            <w:tcW w:w="883" w:type="dxa"/>
            <w:shd w:val="clear" w:color="auto" w:fill="auto"/>
            <w:noWrap/>
          </w:tcPr>
          <w:p w14:paraId="632F3C4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35.61</w:t>
            </w:r>
          </w:p>
        </w:tc>
        <w:tc>
          <w:tcPr>
            <w:tcW w:w="1942" w:type="dxa"/>
            <w:shd w:val="clear" w:color="auto" w:fill="auto"/>
          </w:tcPr>
          <w:p w14:paraId="2627639B" w14:textId="77777777" w:rsidR="009C353B" w:rsidRDefault="00000000">
            <w:pPr>
              <w:widowControl/>
              <w:jc w:val="center"/>
              <w:rPr>
                <w:rFonts w:ascii="Times New Roman" w:hAnsi="Times New Roman"/>
                <w:sz w:val="21"/>
                <w:szCs w:val="21"/>
              </w:rPr>
            </w:pPr>
            <w:r>
              <w:rPr>
                <w:rFonts w:ascii="Times New Roman" w:hAnsi="Times New Roman"/>
                <w:sz w:val="21"/>
                <w:szCs w:val="21"/>
              </w:rPr>
              <w:t>28.20</w:t>
            </w:r>
          </w:p>
        </w:tc>
        <w:tc>
          <w:tcPr>
            <w:tcW w:w="1307" w:type="dxa"/>
            <w:shd w:val="clear" w:color="auto" w:fill="auto"/>
          </w:tcPr>
          <w:p w14:paraId="5024EA8E" w14:textId="77777777" w:rsidR="009C353B" w:rsidRDefault="00000000">
            <w:pPr>
              <w:widowControl/>
              <w:jc w:val="center"/>
              <w:rPr>
                <w:rFonts w:ascii="Times New Roman" w:hAnsi="Times New Roman"/>
                <w:sz w:val="21"/>
                <w:szCs w:val="21"/>
              </w:rPr>
            </w:pPr>
            <w:r>
              <w:rPr>
                <w:rFonts w:ascii="Times New Roman" w:hAnsi="Times New Roman"/>
                <w:sz w:val="21"/>
                <w:szCs w:val="21"/>
              </w:rPr>
              <w:t>35.61</w:t>
            </w:r>
          </w:p>
        </w:tc>
        <w:tc>
          <w:tcPr>
            <w:tcW w:w="830" w:type="dxa"/>
            <w:shd w:val="clear" w:color="auto" w:fill="auto"/>
            <w:noWrap/>
          </w:tcPr>
          <w:p w14:paraId="33471AB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50F68685" w14:textId="77777777">
        <w:trPr>
          <w:trHeight w:val="340"/>
        </w:trPr>
        <w:tc>
          <w:tcPr>
            <w:tcW w:w="648" w:type="dxa"/>
            <w:vMerge/>
          </w:tcPr>
          <w:p w14:paraId="3541DB24" w14:textId="77777777" w:rsidR="009C353B" w:rsidRDefault="009C353B">
            <w:pPr>
              <w:widowControl/>
              <w:jc w:val="center"/>
              <w:rPr>
                <w:rFonts w:ascii="Times New Roman" w:hAnsi="Times New Roman"/>
                <w:kern w:val="0"/>
                <w:sz w:val="21"/>
                <w:szCs w:val="21"/>
              </w:rPr>
            </w:pPr>
          </w:p>
        </w:tc>
        <w:tc>
          <w:tcPr>
            <w:tcW w:w="1111" w:type="dxa"/>
            <w:vMerge/>
          </w:tcPr>
          <w:p w14:paraId="3A80BD35"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7E77EE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06FB7BC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1.99</w:t>
            </w:r>
          </w:p>
        </w:tc>
        <w:tc>
          <w:tcPr>
            <w:tcW w:w="882" w:type="dxa"/>
            <w:shd w:val="clear" w:color="auto" w:fill="auto"/>
            <w:noWrap/>
          </w:tcPr>
          <w:p w14:paraId="78C7FC1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34.93</w:t>
            </w:r>
          </w:p>
        </w:tc>
        <w:tc>
          <w:tcPr>
            <w:tcW w:w="883" w:type="dxa"/>
            <w:shd w:val="clear" w:color="auto" w:fill="auto"/>
            <w:noWrap/>
          </w:tcPr>
          <w:p w14:paraId="2B201D0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38.21</w:t>
            </w:r>
          </w:p>
        </w:tc>
        <w:tc>
          <w:tcPr>
            <w:tcW w:w="1942" w:type="dxa"/>
            <w:shd w:val="clear" w:color="auto" w:fill="auto"/>
          </w:tcPr>
          <w:p w14:paraId="0A05B75D" w14:textId="77777777" w:rsidR="009C353B" w:rsidRDefault="00000000">
            <w:pPr>
              <w:widowControl/>
              <w:jc w:val="center"/>
              <w:rPr>
                <w:rFonts w:ascii="Times New Roman" w:hAnsi="Times New Roman"/>
                <w:sz w:val="21"/>
                <w:szCs w:val="21"/>
              </w:rPr>
            </w:pPr>
            <w:r>
              <w:rPr>
                <w:rFonts w:ascii="Times New Roman" w:hAnsi="Times New Roman"/>
                <w:sz w:val="21"/>
                <w:szCs w:val="21"/>
              </w:rPr>
              <w:t>33.13</w:t>
            </w:r>
          </w:p>
        </w:tc>
        <w:tc>
          <w:tcPr>
            <w:tcW w:w="1307" w:type="dxa"/>
            <w:shd w:val="clear" w:color="auto" w:fill="auto"/>
          </w:tcPr>
          <w:p w14:paraId="185811E7" w14:textId="77777777" w:rsidR="009C353B" w:rsidRDefault="00000000">
            <w:pPr>
              <w:widowControl/>
              <w:jc w:val="center"/>
              <w:rPr>
                <w:rFonts w:ascii="Times New Roman" w:hAnsi="Times New Roman"/>
                <w:sz w:val="21"/>
                <w:szCs w:val="21"/>
              </w:rPr>
            </w:pPr>
            <w:r>
              <w:rPr>
                <w:rFonts w:ascii="Times New Roman" w:hAnsi="Times New Roman"/>
                <w:sz w:val="21"/>
                <w:szCs w:val="21"/>
              </w:rPr>
              <w:t>38.21</w:t>
            </w:r>
          </w:p>
        </w:tc>
        <w:tc>
          <w:tcPr>
            <w:tcW w:w="830" w:type="dxa"/>
            <w:shd w:val="clear" w:color="auto" w:fill="auto"/>
            <w:noWrap/>
          </w:tcPr>
          <w:p w14:paraId="05B3775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7A66C27E" w14:textId="77777777">
        <w:trPr>
          <w:trHeight w:val="340"/>
        </w:trPr>
        <w:tc>
          <w:tcPr>
            <w:tcW w:w="648" w:type="dxa"/>
            <w:vMerge/>
          </w:tcPr>
          <w:p w14:paraId="1C937974" w14:textId="77777777" w:rsidR="009C353B" w:rsidRDefault="009C353B">
            <w:pPr>
              <w:widowControl/>
              <w:jc w:val="center"/>
              <w:rPr>
                <w:rFonts w:ascii="Times New Roman" w:hAnsi="Times New Roman"/>
                <w:kern w:val="0"/>
                <w:sz w:val="21"/>
                <w:szCs w:val="21"/>
              </w:rPr>
            </w:pPr>
          </w:p>
        </w:tc>
        <w:tc>
          <w:tcPr>
            <w:tcW w:w="1111" w:type="dxa"/>
            <w:vMerge/>
          </w:tcPr>
          <w:p w14:paraId="60A72883"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7CA0D7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6D73934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5.57</w:t>
            </w:r>
          </w:p>
        </w:tc>
        <w:tc>
          <w:tcPr>
            <w:tcW w:w="882" w:type="dxa"/>
            <w:shd w:val="clear" w:color="auto" w:fill="auto"/>
            <w:noWrap/>
          </w:tcPr>
          <w:p w14:paraId="05E6E19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50.12</w:t>
            </w:r>
          </w:p>
        </w:tc>
        <w:tc>
          <w:tcPr>
            <w:tcW w:w="883" w:type="dxa"/>
            <w:shd w:val="clear" w:color="auto" w:fill="auto"/>
            <w:noWrap/>
          </w:tcPr>
          <w:p w14:paraId="0569380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57.20</w:t>
            </w:r>
          </w:p>
        </w:tc>
        <w:tc>
          <w:tcPr>
            <w:tcW w:w="1942" w:type="dxa"/>
            <w:shd w:val="clear" w:color="auto" w:fill="auto"/>
          </w:tcPr>
          <w:p w14:paraId="3095F8D2" w14:textId="77777777" w:rsidR="009C353B" w:rsidRDefault="00000000">
            <w:pPr>
              <w:widowControl/>
              <w:jc w:val="center"/>
              <w:rPr>
                <w:rFonts w:ascii="Times New Roman" w:hAnsi="Times New Roman"/>
                <w:sz w:val="21"/>
                <w:szCs w:val="21"/>
              </w:rPr>
            </w:pPr>
            <w:r>
              <w:rPr>
                <w:rFonts w:ascii="Times New Roman" w:hAnsi="Times New Roman"/>
                <w:sz w:val="21"/>
                <w:szCs w:val="21"/>
              </w:rPr>
              <w:t>83.55</w:t>
            </w:r>
          </w:p>
        </w:tc>
        <w:tc>
          <w:tcPr>
            <w:tcW w:w="1307" w:type="dxa"/>
            <w:shd w:val="clear" w:color="auto" w:fill="auto"/>
          </w:tcPr>
          <w:p w14:paraId="04775933" w14:textId="77777777" w:rsidR="009C353B" w:rsidRDefault="00000000">
            <w:pPr>
              <w:widowControl/>
              <w:jc w:val="center"/>
              <w:rPr>
                <w:rFonts w:ascii="Times New Roman" w:hAnsi="Times New Roman"/>
                <w:sz w:val="21"/>
                <w:szCs w:val="21"/>
              </w:rPr>
            </w:pPr>
            <w:r>
              <w:rPr>
                <w:rFonts w:ascii="Times New Roman" w:hAnsi="Times New Roman"/>
                <w:sz w:val="21"/>
                <w:szCs w:val="21"/>
              </w:rPr>
              <w:t>83.55</w:t>
            </w:r>
          </w:p>
        </w:tc>
        <w:tc>
          <w:tcPr>
            <w:tcW w:w="830" w:type="dxa"/>
            <w:shd w:val="clear" w:color="auto" w:fill="auto"/>
            <w:noWrap/>
          </w:tcPr>
          <w:p w14:paraId="71A5A2E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5186E7F0" w14:textId="77777777">
        <w:trPr>
          <w:trHeight w:val="340"/>
        </w:trPr>
        <w:tc>
          <w:tcPr>
            <w:tcW w:w="648" w:type="dxa"/>
            <w:vMerge/>
          </w:tcPr>
          <w:p w14:paraId="5340487E"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6429F93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T0-2</w:t>
            </w:r>
          </w:p>
        </w:tc>
        <w:tc>
          <w:tcPr>
            <w:tcW w:w="883" w:type="dxa"/>
            <w:shd w:val="clear" w:color="auto" w:fill="auto"/>
            <w:noWrap/>
          </w:tcPr>
          <w:p w14:paraId="3949AA7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5A1D4CA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1.26</w:t>
            </w:r>
          </w:p>
        </w:tc>
        <w:tc>
          <w:tcPr>
            <w:tcW w:w="882" w:type="dxa"/>
            <w:shd w:val="clear" w:color="auto" w:fill="auto"/>
            <w:noWrap/>
          </w:tcPr>
          <w:p w14:paraId="3112901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28.04</w:t>
            </w:r>
          </w:p>
        </w:tc>
        <w:tc>
          <w:tcPr>
            <w:tcW w:w="883" w:type="dxa"/>
            <w:shd w:val="clear" w:color="auto" w:fill="auto"/>
            <w:noWrap/>
          </w:tcPr>
          <w:p w14:paraId="302D972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32.45</w:t>
            </w:r>
          </w:p>
        </w:tc>
        <w:tc>
          <w:tcPr>
            <w:tcW w:w="1942" w:type="dxa"/>
            <w:shd w:val="clear" w:color="auto" w:fill="auto"/>
          </w:tcPr>
          <w:p w14:paraId="600C3E68" w14:textId="77777777" w:rsidR="009C353B" w:rsidRDefault="00000000">
            <w:pPr>
              <w:widowControl/>
              <w:jc w:val="center"/>
              <w:rPr>
                <w:rFonts w:ascii="Times New Roman" w:hAnsi="Times New Roman"/>
                <w:sz w:val="21"/>
                <w:szCs w:val="21"/>
              </w:rPr>
            </w:pPr>
            <w:r>
              <w:rPr>
                <w:rFonts w:ascii="Times New Roman" w:hAnsi="Times New Roman"/>
                <w:sz w:val="21"/>
                <w:szCs w:val="21"/>
              </w:rPr>
              <w:t>22.85</w:t>
            </w:r>
          </w:p>
        </w:tc>
        <w:tc>
          <w:tcPr>
            <w:tcW w:w="1307" w:type="dxa"/>
            <w:shd w:val="clear" w:color="auto" w:fill="auto"/>
          </w:tcPr>
          <w:p w14:paraId="50C2FF0F" w14:textId="77777777" w:rsidR="009C353B" w:rsidRDefault="00000000">
            <w:pPr>
              <w:widowControl/>
              <w:jc w:val="center"/>
              <w:rPr>
                <w:rFonts w:ascii="Times New Roman" w:hAnsi="Times New Roman"/>
                <w:sz w:val="21"/>
                <w:szCs w:val="21"/>
              </w:rPr>
            </w:pPr>
            <w:r>
              <w:rPr>
                <w:rFonts w:ascii="Times New Roman" w:hAnsi="Times New Roman"/>
                <w:sz w:val="21"/>
                <w:szCs w:val="21"/>
              </w:rPr>
              <w:t>32.45</w:t>
            </w:r>
          </w:p>
        </w:tc>
        <w:tc>
          <w:tcPr>
            <w:tcW w:w="830" w:type="dxa"/>
            <w:shd w:val="clear" w:color="auto" w:fill="auto"/>
            <w:noWrap/>
          </w:tcPr>
          <w:p w14:paraId="63BFD62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772BE81" w14:textId="77777777">
        <w:trPr>
          <w:trHeight w:val="340"/>
        </w:trPr>
        <w:tc>
          <w:tcPr>
            <w:tcW w:w="648" w:type="dxa"/>
            <w:vMerge/>
          </w:tcPr>
          <w:p w14:paraId="3F7CB941" w14:textId="77777777" w:rsidR="009C353B" w:rsidRDefault="009C353B">
            <w:pPr>
              <w:widowControl/>
              <w:jc w:val="center"/>
              <w:rPr>
                <w:rFonts w:ascii="Times New Roman" w:hAnsi="Times New Roman"/>
                <w:kern w:val="0"/>
                <w:sz w:val="21"/>
                <w:szCs w:val="21"/>
              </w:rPr>
            </w:pPr>
          </w:p>
        </w:tc>
        <w:tc>
          <w:tcPr>
            <w:tcW w:w="1111" w:type="dxa"/>
            <w:vMerge/>
          </w:tcPr>
          <w:p w14:paraId="2EDBCF00"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1A10B6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5A3FC83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2.51</w:t>
            </w:r>
          </w:p>
        </w:tc>
        <w:tc>
          <w:tcPr>
            <w:tcW w:w="882" w:type="dxa"/>
            <w:shd w:val="clear" w:color="auto" w:fill="auto"/>
            <w:noWrap/>
          </w:tcPr>
          <w:p w14:paraId="5BF180C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38.56</w:t>
            </w:r>
          </w:p>
        </w:tc>
        <w:tc>
          <w:tcPr>
            <w:tcW w:w="883" w:type="dxa"/>
            <w:shd w:val="clear" w:color="auto" w:fill="auto"/>
            <w:noWrap/>
          </w:tcPr>
          <w:p w14:paraId="5AE57FF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41.69</w:t>
            </w:r>
          </w:p>
        </w:tc>
        <w:tc>
          <w:tcPr>
            <w:tcW w:w="1942" w:type="dxa"/>
            <w:shd w:val="clear" w:color="auto" w:fill="auto"/>
          </w:tcPr>
          <w:p w14:paraId="316A4F37" w14:textId="77777777" w:rsidR="009C353B" w:rsidRDefault="00000000">
            <w:pPr>
              <w:widowControl/>
              <w:jc w:val="center"/>
              <w:rPr>
                <w:rFonts w:ascii="Times New Roman" w:hAnsi="Times New Roman"/>
                <w:sz w:val="21"/>
                <w:szCs w:val="21"/>
              </w:rPr>
            </w:pPr>
            <w:r>
              <w:rPr>
                <w:rFonts w:ascii="Times New Roman" w:hAnsi="Times New Roman"/>
                <w:sz w:val="21"/>
                <w:szCs w:val="21"/>
              </w:rPr>
              <w:t>40.45</w:t>
            </w:r>
          </w:p>
        </w:tc>
        <w:tc>
          <w:tcPr>
            <w:tcW w:w="1307" w:type="dxa"/>
            <w:shd w:val="clear" w:color="auto" w:fill="auto"/>
          </w:tcPr>
          <w:p w14:paraId="566DC4D3" w14:textId="77777777" w:rsidR="009C353B" w:rsidRDefault="00000000">
            <w:pPr>
              <w:widowControl/>
              <w:jc w:val="center"/>
              <w:rPr>
                <w:rFonts w:ascii="Times New Roman" w:hAnsi="Times New Roman"/>
                <w:sz w:val="21"/>
                <w:szCs w:val="21"/>
              </w:rPr>
            </w:pPr>
            <w:r>
              <w:rPr>
                <w:rFonts w:ascii="Times New Roman" w:hAnsi="Times New Roman"/>
                <w:sz w:val="21"/>
                <w:szCs w:val="21"/>
              </w:rPr>
              <w:t>41.69</w:t>
            </w:r>
          </w:p>
        </w:tc>
        <w:tc>
          <w:tcPr>
            <w:tcW w:w="830" w:type="dxa"/>
            <w:shd w:val="clear" w:color="auto" w:fill="auto"/>
            <w:noWrap/>
          </w:tcPr>
          <w:p w14:paraId="4C24B64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17CD77FF" w14:textId="77777777">
        <w:trPr>
          <w:trHeight w:val="340"/>
        </w:trPr>
        <w:tc>
          <w:tcPr>
            <w:tcW w:w="648" w:type="dxa"/>
            <w:vMerge/>
          </w:tcPr>
          <w:p w14:paraId="4803317B" w14:textId="77777777" w:rsidR="009C353B" w:rsidRDefault="009C353B">
            <w:pPr>
              <w:widowControl/>
              <w:jc w:val="center"/>
              <w:rPr>
                <w:rFonts w:ascii="Times New Roman" w:hAnsi="Times New Roman"/>
                <w:kern w:val="0"/>
                <w:sz w:val="21"/>
                <w:szCs w:val="21"/>
              </w:rPr>
            </w:pPr>
          </w:p>
        </w:tc>
        <w:tc>
          <w:tcPr>
            <w:tcW w:w="1111" w:type="dxa"/>
            <w:vMerge/>
          </w:tcPr>
          <w:p w14:paraId="3D8E14A0"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EBA08E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11F46A6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6.05</w:t>
            </w:r>
          </w:p>
        </w:tc>
        <w:tc>
          <w:tcPr>
            <w:tcW w:w="882" w:type="dxa"/>
            <w:shd w:val="clear" w:color="auto" w:fill="auto"/>
            <w:noWrap/>
          </w:tcPr>
          <w:p w14:paraId="68A294C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51.16</w:t>
            </w:r>
          </w:p>
        </w:tc>
        <w:tc>
          <w:tcPr>
            <w:tcW w:w="883" w:type="dxa"/>
            <w:shd w:val="clear" w:color="auto" w:fill="auto"/>
            <w:noWrap/>
          </w:tcPr>
          <w:p w14:paraId="4032B2A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59.19</w:t>
            </w:r>
          </w:p>
        </w:tc>
        <w:tc>
          <w:tcPr>
            <w:tcW w:w="1942" w:type="dxa"/>
            <w:shd w:val="clear" w:color="auto" w:fill="auto"/>
          </w:tcPr>
          <w:p w14:paraId="73FD272E" w14:textId="77777777" w:rsidR="009C353B" w:rsidRDefault="00000000">
            <w:pPr>
              <w:widowControl/>
              <w:jc w:val="center"/>
              <w:rPr>
                <w:rFonts w:ascii="Times New Roman" w:hAnsi="Times New Roman"/>
                <w:sz w:val="21"/>
                <w:szCs w:val="21"/>
              </w:rPr>
            </w:pPr>
            <w:r>
              <w:rPr>
                <w:rFonts w:ascii="Times New Roman" w:hAnsi="Times New Roman"/>
                <w:sz w:val="21"/>
                <w:szCs w:val="21"/>
              </w:rPr>
              <w:t>90.31</w:t>
            </w:r>
          </w:p>
        </w:tc>
        <w:tc>
          <w:tcPr>
            <w:tcW w:w="1307" w:type="dxa"/>
            <w:shd w:val="clear" w:color="auto" w:fill="auto"/>
          </w:tcPr>
          <w:p w14:paraId="51D5007A" w14:textId="77777777" w:rsidR="009C353B" w:rsidRDefault="00000000">
            <w:pPr>
              <w:widowControl/>
              <w:jc w:val="center"/>
              <w:rPr>
                <w:rFonts w:ascii="Times New Roman" w:hAnsi="Times New Roman"/>
                <w:sz w:val="21"/>
                <w:szCs w:val="21"/>
              </w:rPr>
            </w:pPr>
            <w:r>
              <w:rPr>
                <w:rFonts w:ascii="Times New Roman" w:hAnsi="Times New Roman"/>
                <w:sz w:val="21"/>
                <w:szCs w:val="21"/>
              </w:rPr>
              <w:t>90.31</w:t>
            </w:r>
          </w:p>
        </w:tc>
        <w:tc>
          <w:tcPr>
            <w:tcW w:w="830" w:type="dxa"/>
            <w:shd w:val="clear" w:color="auto" w:fill="auto"/>
            <w:noWrap/>
          </w:tcPr>
          <w:p w14:paraId="7380306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45A18A2" w14:textId="77777777">
        <w:trPr>
          <w:trHeight w:val="340"/>
        </w:trPr>
        <w:tc>
          <w:tcPr>
            <w:tcW w:w="648" w:type="dxa"/>
            <w:vMerge w:val="restart"/>
            <w:shd w:val="clear" w:color="auto" w:fill="auto"/>
          </w:tcPr>
          <w:p w14:paraId="40813B4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L2</w:t>
            </w:r>
          </w:p>
        </w:tc>
        <w:tc>
          <w:tcPr>
            <w:tcW w:w="1111" w:type="dxa"/>
            <w:vMerge w:val="restart"/>
            <w:shd w:val="clear" w:color="auto" w:fill="auto"/>
          </w:tcPr>
          <w:p w14:paraId="38CC74E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T204</w:t>
            </w:r>
          </w:p>
        </w:tc>
        <w:tc>
          <w:tcPr>
            <w:tcW w:w="883" w:type="dxa"/>
            <w:shd w:val="clear" w:color="auto" w:fill="auto"/>
            <w:noWrap/>
          </w:tcPr>
          <w:p w14:paraId="16AE894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40D5593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1.10</w:t>
            </w:r>
          </w:p>
        </w:tc>
        <w:tc>
          <w:tcPr>
            <w:tcW w:w="882" w:type="dxa"/>
            <w:shd w:val="clear" w:color="auto" w:fill="auto"/>
            <w:noWrap/>
          </w:tcPr>
          <w:p w14:paraId="53CB4B9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26.12</w:t>
            </w:r>
          </w:p>
        </w:tc>
        <w:tc>
          <w:tcPr>
            <w:tcW w:w="883" w:type="dxa"/>
            <w:shd w:val="clear" w:color="auto" w:fill="auto"/>
            <w:noWrap/>
          </w:tcPr>
          <w:p w14:paraId="391FF92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30.98</w:t>
            </w:r>
          </w:p>
        </w:tc>
        <w:tc>
          <w:tcPr>
            <w:tcW w:w="1942" w:type="dxa"/>
            <w:shd w:val="clear" w:color="auto" w:fill="auto"/>
          </w:tcPr>
          <w:p w14:paraId="1AA665CD" w14:textId="77777777" w:rsidR="009C353B" w:rsidRDefault="00000000">
            <w:pPr>
              <w:widowControl/>
              <w:jc w:val="center"/>
              <w:rPr>
                <w:rFonts w:ascii="Times New Roman" w:hAnsi="Times New Roman"/>
                <w:sz w:val="21"/>
                <w:szCs w:val="21"/>
              </w:rPr>
            </w:pPr>
            <w:r>
              <w:rPr>
                <w:rFonts w:ascii="Times New Roman" w:hAnsi="Times New Roman"/>
                <w:sz w:val="21"/>
                <w:szCs w:val="21"/>
              </w:rPr>
              <w:t>20.59</w:t>
            </w:r>
          </w:p>
        </w:tc>
        <w:tc>
          <w:tcPr>
            <w:tcW w:w="1307" w:type="dxa"/>
            <w:shd w:val="clear" w:color="auto" w:fill="auto"/>
          </w:tcPr>
          <w:p w14:paraId="7C9C1D05" w14:textId="77777777" w:rsidR="009C353B" w:rsidRDefault="00000000">
            <w:pPr>
              <w:widowControl/>
              <w:jc w:val="center"/>
              <w:rPr>
                <w:rFonts w:ascii="Times New Roman" w:hAnsi="Times New Roman"/>
                <w:sz w:val="21"/>
                <w:szCs w:val="21"/>
              </w:rPr>
            </w:pPr>
            <w:r>
              <w:rPr>
                <w:rFonts w:ascii="Times New Roman" w:hAnsi="Times New Roman"/>
                <w:sz w:val="21"/>
                <w:szCs w:val="21"/>
              </w:rPr>
              <w:t>30.98</w:t>
            </w:r>
          </w:p>
        </w:tc>
        <w:tc>
          <w:tcPr>
            <w:tcW w:w="830" w:type="dxa"/>
            <w:shd w:val="clear" w:color="auto" w:fill="auto"/>
            <w:noWrap/>
          </w:tcPr>
          <w:p w14:paraId="0C1247D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5E0775D6" w14:textId="77777777">
        <w:trPr>
          <w:trHeight w:val="340"/>
        </w:trPr>
        <w:tc>
          <w:tcPr>
            <w:tcW w:w="648" w:type="dxa"/>
            <w:vMerge/>
          </w:tcPr>
          <w:p w14:paraId="7F6FD46B" w14:textId="77777777" w:rsidR="009C353B" w:rsidRDefault="009C353B">
            <w:pPr>
              <w:widowControl/>
              <w:jc w:val="center"/>
              <w:rPr>
                <w:rFonts w:ascii="Times New Roman" w:hAnsi="Times New Roman"/>
                <w:kern w:val="0"/>
                <w:sz w:val="21"/>
                <w:szCs w:val="21"/>
              </w:rPr>
            </w:pPr>
          </w:p>
        </w:tc>
        <w:tc>
          <w:tcPr>
            <w:tcW w:w="1111" w:type="dxa"/>
            <w:vMerge/>
          </w:tcPr>
          <w:p w14:paraId="0034F759"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B01C92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5E8EC35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1.16</w:t>
            </w:r>
          </w:p>
        </w:tc>
        <w:tc>
          <w:tcPr>
            <w:tcW w:w="882" w:type="dxa"/>
            <w:shd w:val="clear" w:color="auto" w:fill="auto"/>
            <w:noWrap/>
          </w:tcPr>
          <w:p w14:paraId="25E9F27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26.86</w:t>
            </w:r>
          </w:p>
        </w:tc>
        <w:tc>
          <w:tcPr>
            <w:tcW w:w="883" w:type="dxa"/>
            <w:shd w:val="clear" w:color="auto" w:fill="auto"/>
            <w:noWrap/>
          </w:tcPr>
          <w:p w14:paraId="1B06829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31.54</w:t>
            </w:r>
          </w:p>
        </w:tc>
        <w:tc>
          <w:tcPr>
            <w:tcW w:w="1942" w:type="dxa"/>
            <w:shd w:val="clear" w:color="auto" w:fill="auto"/>
          </w:tcPr>
          <w:p w14:paraId="63CB99EA" w14:textId="77777777" w:rsidR="009C353B" w:rsidRDefault="00000000">
            <w:pPr>
              <w:widowControl/>
              <w:jc w:val="center"/>
              <w:rPr>
                <w:rFonts w:ascii="Times New Roman" w:hAnsi="Times New Roman"/>
                <w:sz w:val="21"/>
                <w:szCs w:val="21"/>
              </w:rPr>
            </w:pPr>
            <w:r>
              <w:rPr>
                <w:rFonts w:ascii="Times New Roman" w:hAnsi="Times New Roman"/>
                <w:sz w:val="21"/>
                <w:szCs w:val="21"/>
              </w:rPr>
              <w:t>21.44</w:t>
            </w:r>
          </w:p>
        </w:tc>
        <w:tc>
          <w:tcPr>
            <w:tcW w:w="1307" w:type="dxa"/>
            <w:shd w:val="clear" w:color="auto" w:fill="auto"/>
          </w:tcPr>
          <w:p w14:paraId="14DC8A6A" w14:textId="77777777" w:rsidR="009C353B" w:rsidRDefault="00000000">
            <w:pPr>
              <w:widowControl/>
              <w:jc w:val="center"/>
              <w:rPr>
                <w:rFonts w:ascii="Times New Roman" w:hAnsi="Times New Roman"/>
                <w:sz w:val="21"/>
                <w:szCs w:val="21"/>
              </w:rPr>
            </w:pPr>
            <w:r>
              <w:rPr>
                <w:rFonts w:ascii="Times New Roman" w:hAnsi="Times New Roman"/>
                <w:sz w:val="21"/>
                <w:szCs w:val="21"/>
              </w:rPr>
              <w:t>31.54</w:t>
            </w:r>
          </w:p>
        </w:tc>
        <w:tc>
          <w:tcPr>
            <w:tcW w:w="830" w:type="dxa"/>
            <w:shd w:val="clear" w:color="auto" w:fill="auto"/>
            <w:noWrap/>
          </w:tcPr>
          <w:p w14:paraId="6BB6C74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528AC485" w14:textId="77777777">
        <w:trPr>
          <w:trHeight w:val="340"/>
        </w:trPr>
        <w:tc>
          <w:tcPr>
            <w:tcW w:w="648" w:type="dxa"/>
            <w:vMerge/>
          </w:tcPr>
          <w:p w14:paraId="5F406F94" w14:textId="77777777" w:rsidR="009C353B" w:rsidRDefault="009C353B">
            <w:pPr>
              <w:widowControl/>
              <w:jc w:val="center"/>
              <w:rPr>
                <w:rFonts w:ascii="Times New Roman" w:hAnsi="Times New Roman"/>
                <w:kern w:val="0"/>
                <w:sz w:val="21"/>
                <w:szCs w:val="21"/>
              </w:rPr>
            </w:pPr>
          </w:p>
        </w:tc>
        <w:tc>
          <w:tcPr>
            <w:tcW w:w="1111" w:type="dxa"/>
            <w:vMerge/>
          </w:tcPr>
          <w:p w14:paraId="46055CA1"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56BF5A7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05FF4AA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3.54</w:t>
            </w:r>
          </w:p>
        </w:tc>
        <w:tc>
          <w:tcPr>
            <w:tcW w:w="882" w:type="dxa"/>
            <w:shd w:val="clear" w:color="auto" w:fill="auto"/>
            <w:noWrap/>
          </w:tcPr>
          <w:p w14:paraId="2DDE8E1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43.81</w:t>
            </w:r>
          </w:p>
        </w:tc>
        <w:tc>
          <w:tcPr>
            <w:tcW w:w="883" w:type="dxa"/>
            <w:shd w:val="clear" w:color="auto" w:fill="auto"/>
            <w:noWrap/>
          </w:tcPr>
          <w:p w14:paraId="4DFE5B3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47.63</w:t>
            </w:r>
          </w:p>
        </w:tc>
        <w:tc>
          <w:tcPr>
            <w:tcW w:w="1942" w:type="dxa"/>
            <w:shd w:val="clear" w:color="auto" w:fill="auto"/>
          </w:tcPr>
          <w:p w14:paraId="31FDB8FA" w14:textId="77777777" w:rsidR="009C353B" w:rsidRDefault="00000000">
            <w:pPr>
              <w:widowControl/>
              <w:jc w:val="center"/>
              <w:rPr>
                <w:rFonts w:ascii="Times New Roman" w:hAnsi="Times New Roman"/>
                <w:sz w:val="21"/>
                <w:szCs w:val="21"/>
              </w:rPr>
            </w:pPr>
            <w:r>
              <w:rPr>
                <w:rFonts w:ascii="Times New Roman" w:hAnsi="Times New Roman"/>
                <w:sz w:val="21"/>
                <w:szCs w:val="21"/>
              </w:rPr>
              <w:t>54.96</w:t>
            </w:r>
          </w:p>
        </w:tc>
        <w:tc>
          <w:tcPr>
            <w:tcW w:w="1307" w:type="dxa"/>
            <w:shd w:val="clear" w:color="auto" w:fill="auto"/>
          </w:tcPr>
          <w:p w14:paraId="6DAE158D" w14:textId="77777777" w:rsidR="009C353B" w:rsidRDefault="00000000">
            <w:pPr>
              <w:widowControl/>
              <w:jc w:val="center"/>
              <w:rPr>
                <w:rFonts w:ascii="Times New Roman" w:hAnsi="Times New Roman"/>
                <w:sz w:val="21"/>
                <w:szCs w:val="21"/>
              </w:rPr>
            </w:pPr>
            <w:r>
              <w:rPr>
                <w:rFonts w:ascii="Times New Roman" w:hAnsi="Times New Roman"/>
                <w:sz w:val="21"/>
                <w:szCs w:val="21"/>
              </w:rPr>
              <w:t>54.96</w:t>
            </w:r>
          </w:p>
        </w:tc>
        <w:tc>
          <w:tcPr>
            <w:tcW w:w="830" w:type="dxa"/>
            <w:shd w:val="clear" w:color="auto" w:fill="auto"/>
            <w:noWrap/>
          </w:tcPr>
          <w:p w14:paraId="4A7DAE0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75BAA507" w14:textId="77777777">
        <w:trPr>
          <w:trHeight w:val="340"/>
        </w:trPr>
        <w:tc>
          <w:tcPr>
            <w:tcW w:w="648" w:type="dxa"/>
            <w:vMerge/>
          </w:tcPr>
          <w:p w14:paraId="30A20B11"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538F627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T603</w:t>
            </w:r>
          </w:p>
        </w:tc>
        <w:tc>
          <w:tcPr>
            <w:tcW w:w="883" w:type="dxa"/>
            <w:shd w:val="clear" w:color="auto" w:fill="auto"/>
            <w:noWrap/>
          </w:tcPr>
          <w:p w14:paraId="3EC1608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1BA0C0B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1.74</w:t>
            </w:r>
          </w:p>
        </w:tc>
        <w:tc>
          <w:tcPr>
            <w:tcW w:w="882" w:type="dxa"/>
            <w:shd w:val="clear" w:color="auto" w:fill="auto"/>
            <w:noWrap/>
          </w:tcPr>
          <w:p w14:paraId="010EADC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32.86</w:t>
            </w:r>
          </w:p>
        </w:tc>
        <w:tc>
          <w:tcPr>
            <w:tcW w:w="883" w:type="dxa"/>
            <w:shd w:val="clear" w:color="auto" w:fill="auto"/>
            <w:noWrap/>
          </w:tcPr>
          <w:p w14:paraId="2B2DC86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36.38</w:t>
            </w:r>
          </w:p>
        </w:tc>
        <w:tc>
          <w:tcPr>
            <w:tcW w:w="1942" w:type="dxa"/>
            <w:shd w:val="clear" w:color="auto" w:fill="auto"/>
          </w:tcPr>
          <w:p w14:paraId="166E86E5" w14:textId="77777777" w:rsidR="009C353B" w:rsidRDefault="00000000">
            <w:pPr>
              <w:widowControl/>
              <w:jc w:val="center"/>
              <w:rPr>
                <w:rFonts w:ascii="Times New Roman" w:hAnsi="Times New Roman"/>
                <w:sz w:val="21"/>
                <w:szCs w:val="21"/>
              </w:rPr>
            </w:pPr>
            <w:r>
              <w:rPr>
                <w:rFonts w:ascii="Times New Roman" w:hAnsi="Times New Roman"/>
                <w:sz w:val="21"/>
                <w:szCs w:val="21"/>
              </w:rPr>
              <w:t>29.61</w:t>
            </w:r>
          </w:p>
        </w:tc>
        <w:tc>
          <w:tcPr>
            <w:tcW w:w="1307" w:type="dxa"/>
            <w:shd w:val="clear" w:color="auto" w:fill="auto"/>
          </w:tcPr>
          <w:p w14:paraId="2939ABE3" w14:textId="77777777" w:rsidR="009C353B" w:rsidRDefault="00000000">
            <w:pPr>
              <w:widowControl/>
              <w:jc w:val="center"/>
              <w:rPr>
                <w:rFonts w:ascii="Times New Roman" w:hAnsi="Times New Roman"/>
                <w:sz w:val="21"/>
                <w:szCs w:val="21"/>
              </w:rPr>
            </w:pPr>
            <w:r>
              <w:rPr>
                <w:rFonts w:ascii="Times New Roman" w:hAnsi="Times New Roman"/>
                <w:sz w:val="21"/>
                <w:szCs w:val="21"/>
              </w:rPr>
              <w:t>36.38</w:t>
            </w:r>
          </w:p>
        </w:tc>
        <w:tc>
          <w:tcPr>
            <w:tcW w:w="830" w:type="dxa"/>
            <w:shd w:val="clear" w:color="auto" w:fill="auto"/>
            <w:noWrap/>
          </w:tcPr>
          <w:p w14:paraId="2483F78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5DD4E70" w14:textId="77777777">
        <w:trPr>
          <w:trHeight w:val="340"/>
        </w:trPr>
        <w:tc>
          <w:tcPr>
            <w:tcW w:w="648" w:type="dxa"/>
            <w:vMerge/>
          </w:tcPr>
          <w:p w14:paraId="1459F698" w14:textId="77777777" w:rsidR="009C353B" w:rsidRDefault="009C353B">
            <w:pPr>
              <w:widowControl/>
              <w:jc w:val="center"/>
              <w:rPr>
                <w:rFonts w:ascii="Times New Roman" w:hAnsi="Times New Roman"/>
                <w:kern w:val="0"/>
                <w:sz w:val="21"/>
                <w:szCs w:val="21"/>
              </w:rPr>
            </w:pPr>
          </w:p>
        </w:tc>
        <w:tc>
          <w:tcPr>
            <w:tcW w:w="1111" w:type="dxa"/>
            <w:vMerge/>
          </w:tcPr>
          <w:p w14:paraId="5A55D672"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A10BA3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5EC4B1E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1.93</w:t>
            </w:r>
          </w:p>
        </w:tc>
        <w:tc>
          <w:tcPr>
            <w:tcW w:w="882" w:type="dxa"/>
            <w:shd w:val="clear" w:color="auto" w:fill="auto"/>
            <w:noWrap/>
          </w:tcPr>
          <w:p w14:paraId="3AEA20F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34.46</w:t>
            </w:r>
          </w:p>
        </w:tc>
        <w:tc>
          <w:tcPr>
            <w:tcW w:w="883" w:type="dxa"/>
            <w:shd w:val="clear" w:color="auto" w:fill="auto"/>
            <w:noWrap/>
          </w:tcPr>
          <w:p w14:paraId="430098F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37.78</w:t>
            </w:r>
          </w:p>
        </w:tc>
        <w:tc>
          <w:tcPr>
            <w:tcW w:w="1942" w:type="dxa"/>
            <w:shd w:val="clear" w:color="auto" w:fill="auto"/>
          </w:tcPr>
          <w:p w14:paraId="08F8729B" w14:textId="77777777" w:rsidR="009C353B" w:rsidRDefault="00000000">
            <w:pPr>
              <w:widowControl/>
              <w:jc w:val="center"/>
              <w:rPr>
                <w:rFonts w:ascii="Times New Roman" w:hAnsi="Times New Roman"/>
                <w:sz w:val="21"/>
                <w:szCs w:val="21"/>
              </w:rPr>
            </w:pPr>
            <w:r>
              <w:rPr>
                <w:rFonts w:ascii="Times New Roman" w:hAnsi="Times New Roman"/>
                <w:sz w:val="21"/>
                <w:szCs w:val="21"/>
              </w:rPr>
              <w:t>32.28</w:t>
            </w:r>
          </w:p>
        </w:tc>
        <w:tc>
          <w:tcPr>
            <w:tcW w:w="1307" w:type="dxa"/>
            <w:shd w:val="clear" w:color="auto" w:fill="auto"/>
          </w:tcPr>
          <w:p w14:paraId="3E514CFF" w14:textId="77777777" w:rsidR="009C353B" w:rsidRDefault="00000000">
            <w:pPr>
              <w:widowControl/>
              <w:jc w:val="center"/>
              <w:rPr>
                <w:rFonts w:ascii="Times New Roman" w:hAnsi="Times New Roman"/>
                <w:sz w:val="21"/>
                <w:szCs w:val="21"/>
              </w:rPr>
            </w:pPr>
            <w:r>
              <w:rPr>
                <w:rFonts w:ascii="Times New Roman" w:hAnsi="Times New Roman"/>
                <w:sz w:val="21"/>
                <w:szCs w:val="21"/>
              </w:rPr>
              <w:t>37.78</w:t>
            </w:r>
          </w:p>
        </w:tc>
        <w:tc>
          <w:tcPr>
            <w:tcW w:w="830" w:type="dxa"/>
            <w:shd w:val="clear" w:color="auto" w:fill="auto"/>
            <w:noWrap/>
          </w:tcPr>
          <w:p w14:paraId="50039E5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1794363A" w14:textId="77777777">
        <w:trPr>
          <w:trHeight w:val="340"/>
        </w:trPr>
        <w:tc>
          <w:tcPr>
            <w:tcW w:w="648" w:type="dxa"/>
            <w:vMerge/>
          </w:tcPr>
          <w:p w14:paraId="0616DD55" w14:textId="77777777" w:rsidR="009C353B" w:rsidRDefault="009C353B">
            <w:pPr>
              <w:widowControl/>
              <w:jc w:val="center"/>
              <w:rPr>
                <w:rFonts w:ascii="Times New Roman" w:hAnsi="Times New Roman"/>
                <w:kern w:val="0"/>
                <w:sz w:val="21"/>
                <w:szCs w:val="21"/>
              </w:rPr>
            </w:pPr>
          </w:p>
        </w:tc>
        <w:tc>
          <w:tcPr>
            <w:tcW w:w="1111" w:type="dxa"/>
            <w:vMerge/>
          </w:tcPr>
          <w:p w14:paraId="3635B3A9"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53A338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64D8D4A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3.33</w:t>
            </w:r>
          </w:p>
        </w:tc>
        <w:tc>
          <w:tcPr>
            <w:tcW w:w="882" w:type="dxa"/>
            <w:shd w:val="clear" w:color="auto" w:fill="auto"/>
            <w:noWrap/>
          </w:tcPr>
          <w:p w14:paraId="6D6222F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42.90</w:t>
            </w:r>
          </w:p>
        </w:tc>
        <w:tc>
          <w:tcPr>
            <w:tcW w:w="883" w:type="dxa"/>
            <w:shd w:val="clear" w:color="auto" w:fill="auto"/>
            <w:noWrap/>
          </w:tcPr>
          <w:p w14:paraId="68E44EF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46.50</w:t>
            </w:r>
          </w:p>
        </w:tc>
        <w:tc>
          <w:tcPr>
            <w:tcW w:w="1942" w:type="dxa"/>
            <w:shd w:val="clear" w:color="auto" w:fill="auto"/>
          </w:tcPr>
          <w:p w14:paraId="19B58570" w14:textId="77777777" w:rsidR="009C353B" w:rsidRDefault="00000000">
            <w:pPr>
              <w:widowControl/>
              <w:jc w:val="center"/>
              <w:rPr>
                <w:rFonts w:ascii="Times New Roman" w:hAnsi="Times New Roman"/>
                <w:sz w:val="21"/>
                <w:szCs w:val="21"/>
              </w:rPr>
            </w:pPr>
            <w:r>
              <w:rPr>
                <w:rFonts w:ascii="Times New Roman" w:hAnsi="Times New Roman"/>
                <w:sz w:val="21"/>
                <w:szCs w:val="21"/>
              </w:rPr>
              <w:t>52.00</w:t>
            </w:r>
          </w:p>
        </w:tc>
        <w:tc>
          <w:tcPr>
            <w:tcW w:w="1307" w:type="dxa"/>
            <w:shd w:val="clear" w:color="auto" w:fill="auto"/>
          </w:tcPr>
          <w:p w14:paraId="63CCE643" w14:textId="77777777" w:rsidR="009C353B" w:rsidRDefault="00000000">
            <w:pPr>
              <w:widowControl/>
              <w:jc w:val="center"/>
              <w:rPr>
                <w:rFonts w:ascii="Times New Roman" w:hAnsi="Times New Roman"/>
                <w:sz w:val="21"/>
                <w:szCs w:val="21"/>
              </w:rPr>
            </w:pPr>
            <w:r>
              <w:rPr>
                <w:rFonts w:ascii="Times New Roman" w:hAnsi="Times New Roman"/>
                <w:sz w:val="21"/>
                <w:szCs w:val="21"/>
              </w:rPr>
              <w:t>52.00</w:t>
            </w:r>
          </w:p>
        </w:tc>
        <w:tc>
          <w:tcPr>
            <w:tcW w:w="830" w:type="dxa"/>
            <w:shd w:val="clear" w:color="auto" w:fill="auto"/>
            <w:noWrap/>
          </w:tcPr>
          <w:p w14:paraId="46AA8A9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227C1195" w14:textId="77777777">
        <w:trPr>
          <w:trHeight w:val="340"/>
        </w:trPr>
        <w:tc>
          <w:tcPr>
            <w:tcW w:w="648" w:type="dxa"/>
            <w:vMerge/>
          </w:tcPr>
          <w:p w14:paraId="2BF10159"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57CD889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T5S-3</w:t>
            </w:r>
          </w:p>
        </w:tc>
        <w:tc>
          <w:tcPr>
            <w:tcW w:w="883" w:type="dxa"/>
            <w:shd w:val="clear" w:color="auto" w:fill="auto"/>
            <w:noWrap/>
          </w:tcPr>
          <w:p w14:paraId="02FE4A8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707EA51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1.36</w:t>
            </w:r>
          </w:p>
        </w:tc>
        <w:tc>
          <w:tcPr>
            <w:tcW w:w="882" w:type="dxa"/>
            <w:shd w:val="clear" w:color="auto" w:fill="auto"/>
            <w:noWrap/>
          </w:tcPr>
          <w:p w14:paraId="4590411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29.15</w:t>
            </w:r>
          </w:p>
        </w:tc>
        <w:tc>
          <w:tcPr>
            <w:tcW w:w="883" w:type="dxa"/>
            <w:shd w:val="clear" w:color="auto" w:fill="auto"/>
            <w:noWrap/>
          </w:tcPr>
          <w:p w14:paraId="4A1E091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33.32</w:t>
            </w:r>
          </w:p>
        </w:tc>
        <w:tc>
          <w:tcPr>
            <w:tcW w:w="1942" w:type="dxa"/>
            <w:shd w:val="clear" w:color="auto" w:fill="auto"/>
          </w:tcPr>
          <w:p w14:paraId="7D507DBD" w14:textId="77777777" w:rsidR="009C353B" w:rsidRDefault="00000000">
            <w:pPr>
              <w:widowControl/>
              <w:jc w:val="center"/>
              <w:rPr>
                <w:rFonts w:ascii="Times New Roman" w:hAnsi="Times New Roman"/>
                <w:sz w:val="21"/>
                <w:szCs w:val="21"/>
              </w:rPr>
            </w:pPr>
            <w:r>
              <w:rPr>
                <w:rFonts w:ascii="Times New Roman" w:hAnsi="Times New Roman"/>
                <w:sz w:val="21"/>
                <w:szCs w:val="21"/>
              </w:rPr>
              <w:t>24.25</w:t>
            </w:r>
          </w:p>
        </w:tc>
        <w:tc>
          <w:tcPr>
            <w:tcW w:w="1307" w:type="dxa"/>
            <w:shd w:val="clear" w:color="auto" w:fill="auto"/>
          </w:tcPr>
          <w:p w14:paraId="13F4C48F" w14:textId="77777777" w:rsidR="009C353B" w:rsidRDefault="00000000">
            <w:pPr>
              <w:widowControl/>
              <w:jc w:val="center"/>
              <w:rPr>
                <w:rFonts w:ascii="Times New Roman" w:hAnsi="Times New Roman"/>
                <w:sz w:val="21"/>
                <w:szCs w:val="21"/>
              </w:rPr>
            </w:pPr>
            <w:r>
              <w:rPr>
                <w:rFonts w:ascii="Times New Roman" w:hAnsi="Times New Roman"/>
                <w:sz w:val="21"/>
                <w:szCs w:val="21"/>
              </w:rPr>
              <w:t>33.32</w:t>
            </w:r>
          </w:p>
        </w:tc>
        <w:tc>
          <w:tcPr>
            <w:tcW w:w="830" w:type="dxa"/>
            <w:shd w:val="clear" w:color="auto" w:fill="auto"/>
            <w:noWrap/>
          </w:tcPr>
          <w:p w14:paraId="3025500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1A599444" w14:textId="77777777">
        <w:trPr>
          <w:trHeight w:val="340"/>
        </w:trPr>
        <w:tc>
          <w:tcPr>
            <w:tcW w:w="648" w:type="dxa"/>
            <w:vMerge/>
          </w:tcPr>
          <w:p w14:paraId="0CBB5055" w14:textId="77777777" w:rsidR="009C353B" w:rsidRDefault="009C353B">
            <w:pPr>
              <w:widowControl/>
              <w:jc w:val="center"/>
              <w:rPr>
                <w:rFonts w:ascii="Times New Roman" w:hAnsi="Times New Roman"/>
                <w:kern w:val="0"/>
                <w:sz w:val="21"/>
                <w:szCs w:val="21"/>
              </w:rPr>
            </w:pPr>
          </w:p>
        </w:tc>
        <w:tc>
          <w:tcPr>
            <w:tcW w:w="1111" w:type="dxa"/>
            <w:vMerge/>
          </w:tcPr>
          <w:p w14:paraId="09058022"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3311551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3AFB45A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1.69</w:t>
            </w:r>
          </w:p>
        </w:tc>
        <w:tc>
          <w:tcPr>
            <w:tcW w:w="882" w:type="dxa"/>
            <w:shd w:val="clear" w:color="auto" w:fill="auto"/>
            <w:noWrap/>
          </w:tcPr>
          <w:p w14:paraId="54ABE4C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32.41</w:t>
            </w:r>
          </w:p>
        </w:tc>
        <w:tc>
          <w:tcPr>
            <w:tcW w:w="883" w:type="dxa"/>
            <w:shd w:val="clear" w:color="auto" w:fill="auto"/>
            <w:noWrap/>
          </w:tcPr>
          <w:p w14:paraId="61742FE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36.00</w:t>
            </w:r>
          </w:p>
        </w:tc>
        <w:tc>
          <w:tcPr>
            <w:tcW w:w="1942" w:type="dxa"/>
            <w:shd w:val="clear" w:color="auto" w:fill="auto"/>
          </w:tcPr>
          <w:p w14:paraId="415DD488" w14:textId="77777777" w:rsidR="009C353B" w:rsidRDefault="00000000">
            <w:pPr>
              <w:widowControl/>
              <w:jc w:val="center"/>
              <w:rPr>
                <w:rFonts w:ascii="Times New Roman" w:hAnsi="Times New Roman"/>
                <w:sz w:val="21"/>
                <w:szCs w:val="21"/>
              </w:rPr>
            </w:pPr>
            <w:r>
              <w:rPr>
                <w:rFonts w:ascii="Times New Roman" w:hAnsi="Times New Roman"/>
                <w:sz w:val="21"/>
                <w:szCs w:val="21"/>
              </w:rPr>
              <w:t>28.90</w:t>
            </w:r>
          </w:p>
        </w:tc>
        <w:tc>
          <w:tcPr>
            <w:tcW w:w="1307" w:type="dxa"/>
            <w:shd w:val="clear" w:color="auto" w:fill="auto"/>
          </w:tcPr>
          <w:p w14:paraId="47AF40AB" w14:textId="77777777" w:rsidR="009C353B" w:rsidRDefault="00000000">
            <w:pPr>
              <w:widowControl/>
              <w:jc w:val="center"/>
              <w:rPr>
                <w:rFonts w:ascii="Times New Roman" w:hAnsi="Times New Roman"/>
                <w:sz w:val="21"/>
                <w:szCs w:val="21"/>
              </w:rPr>
            </w:pPr>
            <w:r>
              <w:rPr>
                <w:rFonts w:ascii="Times New Roman" w:hAnsi="Times New Roman"/>
                <w:sz w:val="21"/>
                <w:szCs w:val="21"/>
              </w:rPr>
              <w:t>36.00</w:t>
            </w:r>
          </w:p>
        </w:tc>
        <w:tc>
          <w:tcPr>
            <w:tcW w:w="830" w:type="dxa"/>
            <w:shd w:val="clear" w:color="auto" w:fill="auto"/>
            <w:noWrap/>
          </w:tcPr>
          <w:p w14:paraId="2950C31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13163076" w14:textId="77777777">
        <w:trPr>
          <w:trHeight w:val="340"/>
        </w:trPr>
        <w:tc>
          <w:tcPr>
            <w:tcW w:w="648" w:type="dxa"/>
            <w:vMerge/>
          </w:tcPr>
          <w:p w14:paraId="7999A3AE" w14:textId="77777777" w:rsidR="009C353B" w:rsidRDefault="009C353B">
            <w:pPr>
              <w:widowControl/>
              <w:jc w:val="center"/>
              <w:rPr>
                <w:rFonts w:ascii="Times New Roman" w:hAnsi="Times New Roman"/>
                <w:kern w:val="0"/>
                <w:sz w:val="21"/>
                <w:szCs w:val="21"/>
              </w:rPr>
            </w:pPr>
          </w:p>
        </w:tc>
        <w:tc>
          <w:tcPr>
            <w:tcW w:w="1111" w:type="dxa"/>
            <w:vMerge/>
          </w:tcPr>
          <w:p w14:paraId="16294625"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874BDB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419E681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3.01</w:t>
            </w:r>
          </w:p>
        </w:tc>
        <w:tc>
          <w:tcPr>
            <w:tcW w:w="882" w:type="dxa"/>
            <w:shd w:val="clear" w:color="auto" w:fill="auto"/>
            <w:noWrap/>
          </w:tcPr>
          <w:p w14:paraId="750B77E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41.37</w:t>
            </w:r>
          </w:p>
        </w:tc>
        <w:tc>
          <w:tcPr>
            <w:tcW w:w="883" w:type="dxa"/>
            <w:shd w:val="clear" w:color="auto" w:fill="auto"/>
            <w:noWrap/>
          </w:tcPr>
          <w:p w14:paraId="5403619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44.70</w:t>
            </w:r>
          </w:p>
        </w:tc>
        <w:tc>
          <w:tcPr>
            <w:tcW w:w="1942" w:type="dxa"/>
            <w:shd w:val="clear" w:color="auto" w:fill="auto"/>
          </w:tcPr>
          <w:p w14:paraId="20C47A36" w14:textId="77777777" w:rsidR="009C353B" w:rsidRDefault="00000000">
            <w:pPr>
              <w:widowControl/>
              <w:jc w:val="center"/>
              <w:rPr>
                <w:rFonts w:ascii="Times New Roman" w:hAnsi="Times New Roman"/>
                <w:sz w:val="21"/>
                <w:szCs w:val="21"/>
              </w:rPr>
            </w:pPr>
            <w:r>
              <w:rPr>
                <w:rFonts w:ascii="Times New Roman" w:hAnsi="Times New Roman"/>
                <w:sz w:val="21"/>
                <w:szCs w:val="21"/>
              </w:rPr>
              <w:t>47.49</w:t>
            </w:r>
          </w:p>
        </w:tc>
        <w:tc>
          <w:tcPr>
            <w:tcW w:w="1307" w:type="dxa"/>
            <w:shd w:val="clear" w:color="auto" w:fill="auto"/>
          </w:tcPr>
          <w:p w14:paraId="2C91299C" w14:textId="77777777" w:rsidR="009C353B" w:rsidRDefault="00000000">
            <w:pPr>
              <w:widowControl/>
              <w:jc w:val="center"/>
              <w:rPr>
                <w:rFonts w:ascii="Times New Roman" w:hAnsi="Times New Roman"/>
                <w:sz w:val="21"/>
                <w:szCs w:val="21"/>
              </w:rPr>
            </w:pPr>
            <w:r>
              <w:rPr>
                <w:rFonts w:ascii="Times New Roman" w:hAnsi="Times New Roman"/>
                <w:sz w:val="21"/>
                <w:szCs w:val="21"/>
              </w:rPr>
              <w:t>47.49</w:t>
            </w:r>
          </w:p>
        </w:tc>
        <w:tc>
          <w:tcPr>
            <w:tcW w:w="830" w:type="dxa"/>
            <w:shd w:val="clear" w:color="auto" w:fill="auto"/>
            <w:noWrap/>
          </w:tcPr>
          <w:p w14:paraId="57F5FDC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7CA950E1" w14:textId="77777777">
        <w:trPr>
          <w:trHeight w:val="340"/>
        </w:trPr>
        <w:tc>
          <w:tcPr>
            <w:tcW w:w="648" w:type="dxa"/>
            <w:vMerge/>
          </w:tcPr>
          <w:p w14:paraId="554DDEEE"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276E35E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T504</w:t>
            </w:r>
          </w:p>
        </w:tc>
        <w:tc>
          <w:tcPr>
            <w:tcW w:w="883" w:type="dxa"/>
            <w:shd w:val="clear" w:color="auto" w:fill="auto"/>
            <w:noWrap/>
          </w:tcPr>
          <w:p w14:paraId="4A17299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75A3B96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1.41</w:t>
            </w:r>
          </w:p>
        </w:tc>
        <w:tc>
          <w:tcPr>
            <w:tcW w:w="882" w:type="dxa"/>
            <w:shd w:val="clear" w:color="auto" w:fill="auto"/>
            <w:noWrap/>
          </w:tcPr>
          <w:p w14:paraId="250BC68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29.68</w:t>
            </w:r>
          </w:p>
        </w:tc>
        <w:tc>
          <w:tcPr>
            <w:tcW w:w="883" w:type="dxa"/>
            <w:shd w:val="clear" w:color="auto" w:fill="auto"/>
            <w:noWrap/>
          </w:tcPr>
          <w:p w14:paraId="4FCC38D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33.75</w:t>
            </w:r>
          </w:p>
        </w:tc>
        <w:tc>
          <w:tcPr>
            <w:tcW w:w="1942" w:type="dxa"/>
            <w:shd w:val="clear" w:color="auto" w:fill="auto"/>
          </w:tcPr>
          <w:p w14:paraId="68AD0CA8" w14:textId="77777777" w:rsidR="009C353B" w:rsidRDefault="00000000">
            <w:pPr>
              <w:widowControl/>
              <w:jc w:val="center"/>
              <w:rPr>
                <w:rFonts w:ascii="Times New Roman" w:hAnsi="Times New Roman"/>
                <w:sz w:val="21"/>
                <w:szCs w:val="21"/>
              </w:rPr>
            </w:pPr>
            <w:r>
              <w:rPr>
                <w:rFonts w:ascii="Times New Roman" w:hAnsi="Times New Roman"/>
                <w:sz w:val="21"/>
                <w:szCs w:val="21"/>
              </w:rPr>
              <w:t>24.96</w:t>
            </w:r>
          </w:p>
        </w:tc>
        <w:tc>
          <w:tcPr>
            <w:tcW w:w="1307" w:type="dxa"/>
            <w:shd w:val="clear" w:color="auto" w:fill="auto"/>
          </w:tcPr>
          <w:p w14:paraId="51CB7B99" w14:textId="77777777" w:rsidR="009C353B" w:rsidRDefault="00000000">
            <w:pPr>
              <w:widowControl/>
              <w:jc w:val="center"/>
              <w:rPr>
                <w:rFonts w:ascii="Times New Roman" w:hAnsi="Times New Roman"/>
                <w:sz w:val="21"/>
                <w:szCs w:val="21"/>
              </w:rPr>
            </w:pPr>
            <w:r>
              <w:rPr>
                <w:rFonts w:ascii="Times New Roman" w:hAnsi="Times New Roman"/>
                <w:sz w:val="21"/>
                <w:szCs w:val="21"/>
              </w:rPr>
              <w:t>33.75</w:t>
            </w:r>
          </w:p>
        </w:tc>
        <w:tc>
          <w:tcPr>
            <w:tcW w:w="830" w:type="dxa"/>
            <w:shd w:val="clear" w:color="auto" w:fill="auto"/>
            <w:noWrap/>
          </w:tcPr>
          <w:p w14:paraId="06516C0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708DC0B1" w14:textId="77777777">
        <w:trPr>
          <w:trHeight w:val="340"/>
        </w:trPr>
        <w:tc>
          <w:tcPr>
            <w:tcW w:w="648" w:type="dxa"/>
            <w:vMerge/>
          </w:tcPr>
          <w:p w14:paraId="0690C4DF" w14:textId="77777777" w:rsidR="009C353B" w:rsidRDefault="009C353B">
            <w:pPr>
              <w:widowControl/>
              <w:jc w:val="center"/>
              <w:rPr>
                <w:rFonts w:ascii="Times New Roman" w:hAnsi="Times New Roman"/>
                <w:kern w:val="0"/>
                <w:sz w:val="21"/>
                <w:szCs w:val="21"/>
              </w:rPr>
            </w:pPr>
          </w:p>
        </w:tc>
        <w:tc>
          <w:tcPr>
            <w:tcW w:w="1111" w:type="dxa"/>
            <w:vMerge/>
          </w:tcPr>
          <w:p w14:paraId="7ADD5FAC"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9AC405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002C66E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1.69</w:t>
            </w:r>
          </w:p>
        </w:tc>
        <w:tc>
          <w:tcPr>
            <w:tcW w:w="882" w:type="dxa"/>
            <w:shd w:val="clear" w:color="auto" w:fill="auto"/>
            <w:noWrap/>
          </w:tcPr>
          <w:p w14:paraId="4275637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32.41</w:t>
            </w:r>
          </w:p>
        </w:tc>
        <w:tc>
          <w:tcPr>
            <w:tcW w:w="883" w:type="dxa"/>
            <w:shd w:val="clear" w:color="auto" w:fill="auto"/>
            <w:noWrap/>
          </w:tcPr>
          <w:p w14:paraId="2C75D67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36.00</w:t>
            </w:r>
          </w:p>
        </w:tc>
        <w:tc>
          <w:tcPr>
            <w:tcW w:w="1942" w:type="dxa"/>
            <w:shd w:val="clear" w:color="auto" w:fill="auto"/>
          </w:tcPr>
          <w:p w14:paraId="3FB1CD0E" w14:textId="77777777" w:rsidR="009C353B" w:rsidRDefault="00000000">
            <w:pPr>
              <w:widowControl/>
              <w:jc w:val="center"/>
              <w:rPr>
                <w:rFonts w:ascii="Times New Roman" w:hAnsi="Times New Roman"/>
                <w:sz w:val="21"/>
                <w:szCs w:val="21"/>
              </w:rPr>
            </w:pPr>
            <w:r>
              <w:rPr>
                <w:rFonts w:ascii="Times New Roman" w:hAnsi="Times New Roman"/>
                <w:sz w:val="21"/>
                <w:szCs w:val="21"/>
              </w:rPr>
              <w:t>28.90</w:t>
            </w:r>
          </w:p>
        </w:tc>
        <w:tc>
          <w:tcPr>
            <w:tcW w:w="1307" w:type="dxa"/>
            <w:shd w:val="clear" w:color="auto" w:fill="auto"/>
          </w:tcPr>
          <w:p w14:paraId="2314578C" w14:textId="77777777" w:rsidR="009C353B" w:rsidRDefault="00000000">
            <w:pPr>
              <w:widowControl/>
              <w:jc w:val="center"/>
              <w:rPr>
                <w:rFonts w:ascii="Times New Roman" w:hAnsi="Times New Roman"/>
                <w:sz w:val="21"/>
                <w:szCs w:val="21"/>
              </w:rPr>
            </w:pPr>
            <w:r>
              <w:rPr>
                <w:rFonts w:ascii="Times New Roman" w:hAnsi="Times New Roman"/>
                <w:sz w:val="21"/>
                <w:szCs w:val="21"/>
              </w:rPr>
              <w:t>36.00</w:t>
            </w:r>
          </w:p>
        </w:tc>
        <w:tc>
          <w:tcPr>
            <w:tcW w:w="830" w:type="dxa"/>
            <w:shd w:val="clear" w:color="auto" w:fill="auto"/>
            <w:noWrap/>
          </w:tcPr>
          <w:p w14:paraId="5E6F57F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A6462A1" w14:textId="77777777">
        <w:trPr>
          <w:trHeight w:val="340"/>
        </w:trPr>
        <w:tc>
          <w:tcPr>
            <w:tcW w:w="648" w:type="dxa"/>
            <w:vMerge/>
          </w:tcPr>
          <w:p w14:paraId="09264815" w14:textId="77777777" w:rsidR="009C353B" w:rsidRDefault="009C353B">
            <w:pPr>
              <w:widowControl/>
              <w:jc w:val="center"/>
              <w:rPr>
                <w:rFonts w:ascii="Times New Roman" w:hAnsi="Times New Roman"/>
                <w:kern w:val="0"/>
                <w:sz w:val="21"/>
                <w:szCs w:val="21"/>
              </w:rPr>
            </w:pPr>
          </w:p>
        </w:tc>
        <w:tc>
          <w:tcPr>
            <w:tcW w:w="1111" w:type="dxa"/>
            <w:vMerge/>
          </w:tcPr>
          <w:p w14:paraId="1CA7F1D2"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1F4D4D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5896F86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2.92</w:t>
            </w:r>
          </w:p>
        </w:tc>
        <w:tc>
          <w:tcPr>
            <w:tcW w:w="882" w:type="dxa"/>
            <w:shd w:val="clear" w:color="auto" w:fill="auto"/>
            <w:noWrap/>
          </w:tcPr>
          <w:p w14:paraId="32C36FD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40.90</w:t>
            </w:r>
          </w:p>
        </w:tc>
        <w:tc>
          <w:tcPr>
            <w:tcW w:w="883" w:type="dxa"/>
            <w:shd w:val="clear" w:color="auto" w:fill="auto"/>
            <w:noWrap/>
          </w:tcPr>
          <w:p w14:paraId="0EA6535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44.18</w:t>
            </w:r>
          </w:p>
        </w:tc>
        <w:tc>
          <w:tcPr>
            <w:tcW w:w="1942" w:type="dxa"/>
            <w:shd w:val="clear" w:color="auto" w:fill="auto"/>
          </w:tcPr>
          <w:p w14:paraId="1DD7E7FB" w14:textId="77777777" w:rsidR="009C353B" w:rsidRDefault="00000000">
            <w:pPr>
              <w:widowControl/>
              <w:jc w:val="center"/>
              <w:rPr>
                <w:rFonts w:ascii="Times New Roman" w:hAnsi="Times New Roman"/>
                <w:sz w:val="21"/>
                <w:szCs w:val="21"/>
              </w:rPr>
            </w:pPr>
            <w:r>
              <w:rPr>
                <w:rFonts w:ascii="Times New Roman" w:hAnsi="Times New Roman"/>
                <w:sz w:val="21"/>
                <w:szCs w:val="21"/>
              </w:rPr>
              <w:t>46.23</w:t>
            </w:r>
          </w:p>
        </w:tc>
        <w:tc>
          <w:tcPr>
            <w:tcW w:w="1307" w:type="dxa"/>
            <w:shd w:val="clear" w:color="auto" w:fill="auto"/>
          </w:tcPr>
          <w:p w14:paraId="7EEB4493" w14:textId="77777777" w:rsidR="009C353B" w:rsidRDefault="00000000">
            <w:pPr>
              <w:widowControl/>
              <w:jc w:val="center"/>
              <w:rPr>
                <w:rFonts w:ascii="Times New Roman" w:hAnsi="Times New Roman"/>
                <w:sz w:val="21"/>
                <w:szCs w:val="21"/>
              </w:rPr>
            </w:pPr>
            <w:r>
              <w:rPr>
                <w:rFonts w:ascii="Times New Roman" w:hAnsi="Times New Roman"/>
                <w:sz w:val="21"/>
                <w:szCs w:val="21"/>
              </w:rPr>
              <w:t>46.23</w:t>
            </w:r>
          </w:p>
        </w:tc>
        <w:tc>
          <w:tcPr>
            <w:tcW w:w="830" w:type="dxa"/>
            <w:shd w:val="clear" w:color="auto" w:fill="auto"/>
            <w:noWrap/>
          </w:tcPr>
          <w:p w14:paraId="22B2A4A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78F0B7E0" w14:textId="77777777">
        <w:trPr>
          <w:trHeight w:val="340"/>
        </w:trPr>
        <w:tc>
          <w:tcPr>
            <w:tcW w:w="648" w:type="dxa"/>
            <w:vMerge/>
          </w:tcPr>
          <w:p w14:paraId="382895E7"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080B897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T1S-2</w:t>
            </w:r>
          </w:p>
        </w:tc>
        <w:tc>
          <w:tcPr>
            <w:tcW w:w="883" w:type="dxa"/>
            <w:shd w:val="clear" w:color="auto" w:fill="auto"/>
            <w:noWrap/>
          </w:tcPr>
          <w:p w14:paraId="3DA5B68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1958558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1.16</w:t>
            </w:r>
          </w:p>
        </w:tc>
        <w:tc>
          <w:tcPr>
            <w:tcW w:w="882" w:type="dxa"/>
            <w:shd w:val="clear" w:color="auto" w:fill="auto"/>
            <w:noWrap/>
          </w:tcPr>
          <w:p w14:paraId="6CD4DE0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26.86</w:t>
            </w:r>
          </w:p>
        </w:tc>
        <w:tc>
          <w:tcPr>
            <w:tcW w:w="883" w:type="dxa"/>
            <w:shd w:val="clear" w:color="auto" w:fill="auto"/>
            <w:noWrap/>
          </w:tcPr>
          <w:p w14:paraId="3D5673C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31.54</w:t>
            </w:r>
          </w:p>
        </w:tc>
        <w:tc>
          <w:tcPr>
            <w:tcW w:w="1942" w:type="dxa"/>
            <w:shd w:val="clear" w:color="auto" w:fill="auto"/>
          </w:tcPr>
          <w:p w14:paraId="38A587C5" w14:textId="77777777" w:rsidR="009C353B" w:rsidRDefault="00000000">
            <w:pPr>
              <w:widowControl/>
              <w:jc w:val="center"/>
              <w:rPr>
                <w:rFonts w:ascii="Times New Roman" w:hAnsi="Times New Roman"/>
                <w:sz w:val="21"/>
                <w:szCs w:val="21"/>
              </w:rPr>
            </w:pPr>
            <w:r>
              <w:rPr>
                <w:rFonts w:ascii="Times New Roman" w:hAnsi="Times New Roman"/>
                <w:sz w:val="21"/>
                <w:szCs w:val="21"/>
              </w:rPr>
              <w:t>21.44</w:t>
            </w:r>
          </w:p>
        </w:tc>
        <w:tc>
          <w:tcPr>
            <w:tcW w:w="1307" w:type="dxa"/>
            <w:shd w:val="clear" w:color="auto" w:fill="auto"/>
          </w:tcPr>
          <w:p w14:paraId="4156538D" w14:textId="77777777" w:rsidR="009C353B" w:rsidRDefault="00000000">
            <w:pPr>
              <w:widowControl/>
              <w:jc w:val="center"/>
              <w:rPr>
                <w:rFonts w:ascii="Times New Roman" w:hAnsi="Times New Roman"/>
                <w:sz w:val="21"/>
                <w:szCs w:val="21"/>
              </w:rPr>
            </w:pPr>
            <w:r>
              <w:rPr>
                <w:rFonts w:ascii="Times New Roman" w:hAnsi="Times New Roman"/>
                <w:sz w:val="21"/>
                <w:szCs w:val="21"/>
              </w:rPr>
              <w:t>31.54</w:t>
            </w:r>
          </w:p>
        </w:tc>
        <w:tc>
          <w:tcPr>
            <w:tcW w:w="830" w:type="dxa"/>
            <w:shd w:val="clear" w:color="auto" w:fill="auto"/>
            <w:noWrap/>
          </w:tcPr>
          <w:p w14:paraId="27D030E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2BD41A3A" w14:textId="77777777">
        <w:trPr>
          <w:trHeight w:val="340"/>
        </w:trPr>
        <w:tc>
          <w:tcPr>
            <w:tcW w:w="648" w:type="dxa"/>
            <w:vMerge/>
          </w:tcPr>
          <w:p w14:paraId="45CB01CA" w14:textId="77777777" w:rsidR="009C353B" w:rsidRDefault="009C353B">
            <w:pPr>
              <w:widowControl/>
              <w:jc w:val="center"/>
              <w:rPr>
                <w:rFonts w:ascii="Times New Roman" w:hAnsi="Times New Roman"/>
                <w:kern w:val="0"/>
                <w:sz w:val="21"/>
                <w:szCs w:val="21"/>
              </w:rPr>
            </w:pPr>
          </w:p>
        </w:tc>
        <w:tc>
          <w:tcPr>
            <w:tcW w:w="1111" w:type="dxa"/>
            <w:vMerge/>
          </w:tcPr>
          <w:p w14:paraId="18106E23"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95E00B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364D672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1.99</w:t>
            </w:r>
          </w:p>
        </w:tc>
        <w:tc>
          <w:tcPr>
            <w:tcW w:w="882" w:type="dxa"/>
            <w:shd w:val="clear" w:color="auto" w:fill="auto"/>
            <w:noWrap/>
          </w:tcPr>
          <w:p w14:paraId="527C4A9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34.93</w:t>
            </w:r>
          </w:p>
        </w:tc>
        <w:tc>
          <w:tcPr>
            <w:tcW w:w="883" w:type="dxa"/>
            <w:shd w:val="clear" w:color="auto" w:fill="auto"/>
            <w:noWrap/>
          </w:tcPr>
          <w:p w14:paraId="05467ED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38.21</w:t>
            </w:r>
          </w:p>
        </w:tc>
        <w:tc>
          <w:tcPr>
            <w:tcW w:w="1942" w:type="dxa"/>
            <w:shd w:val="clear" w:color="auto" w:fill="auto"/>
          </w:tcPr>
          <w:p w14:paraId="7C7DAF5C" w14:textId="77777777" w:rsidR="009C353B" w:rsidRDefault="00000000">
            <w:pPr>
              <w:widowControl/>
              <w:jc w:val="center"/>
              <w:rPr>
                <w:rFonts w:ascii="Times New Roman" w:hAnsi="Times New Roman"/>
                <w:sz w:val="21"/>
                <w:szCs w:val="21"/>
              </w:rPr>
            </w:pPr>
            <w:r>
              <w:rPr>
                <w:rFonts w:ascii="Times New Roman" w:hAnsi="Times New Roman"/>
                <w:sz w:val="21"/>
                <w:szCs w:val="21"/>
              </w:rPr>
              <w:t>33.13</w:t>
            </w:r>
          </w:p>
        </w:tc>
        <w:tc>
          <w:tcPr>
            <w:tcW w:w="1307" w:type="dxa"/>
            <w:shd w:val="clear" w:color="auto" w:fill="auto"/>
          </w:tcPr>
          <w:p w14:paraId="7CBD5CC5" w14:textId="77777777" w:rsidR="009C353B" w:rsidRDefault="00000000">
            <w:pPr>
              <w:widowControl/>
              <w:jc w:val="center"/>
              <w:rPr>
                <w:rFonts w:ascii="Times New Roman" w:hAnsi="Times New Roman"/>
                <w:sz w:val="21"/>
                <w:szCs w:val="21"/>
              </w:rPr>
            </w:pPr>
            <w:r>
              <w:rPr>
                <w:rFonts w:ascii="Times New Roman" w:hAnsi="Times New Roman"/>
                <w:sz w:val="21"/>
                <w:szCs w:val="21"/>
              </w:rPr>
              <w:t>38.21</w:t>
            </w:r>
          </w:p>
        </w:tc>
        <w:tc>
          <w:tcPr>
            <w:tcW w:w="830" w:type="dxa"/>
            <w:shd w:val="clear" w:color="auto" w:fill="auto"/>
            <w:noWrap/>
          </w:tcPr>
          <w:p w14:paraId="079CF79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30E45B50" w14:textId="77777777">
        <w:trPr>
          <w:trHeight w:val="340"/>
        </w:trPr>
        <w:tc>
          <w:tcPr>
            <w:tcW w:w="648" w:type="dxa"/>
            <w:vMerge/>
          </w:tcPr>
          <w:p w14:paraId="02FEF4E5" w14:textId="77777777" w:rsidR="009C353B" w:rsidRDefault="009C353B">
            <w:pPr>
              <w:widowControl/>
              <w:jc w:val="center"/>
              <w:rPr>
                <w:rFonts w:ascii="Times New Roman" w:hAnsi="Times New Roman"/>
                <w:kern w:val="0"/>
                <w:sz w:val="21"/>
                <w:szCs w:val="21"/>
              </w:rPr>
            </w:pPr>
          </w:p>
        </w:tc>
        <w:tc>
          <w:tcPr>
            <w:tcW w:w="1111" w:type="dxa"/>
            <w:vMerge/>
          </w:tcPr>
          <w:p w14:paraId="0A05B628"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829E28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19E3C57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4.88</w:t>
            </w:r>
          </w:p>
        </w:tc>
        <w:tc>
          <w:tcPr>
            <w:tcW w:w="882" w:type="dxa"/>
            <w:shd w:val="clear" w:color="auto" w:fill="auto"/>
            <w:noWrap/>
          </w:tcPr>
          <w:p w14:paraId="521A9FC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48.38</w:t>
            </w:r>
          </w:p>
        </w:tc>
        <w:tc>
          <w:tcPr>
            <w:tcW w:w="883" w:type="dxa"/>
            <w:shd w:val="clear" w:color="auto" w:fill="auto"/>
            <w:noWrap/>
          </w:tcPr>
          <w:p w14:paraId="626FC8E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54.18</w:t>
            </w:r>
          </w:p>
        </w:tc>
        <w:tc>
          <w:tcPr>
            <w:tcW w:w="1942" w:type="dxa"/>
            <w:shd w:val="clear" w:color="auto" w:fill="auto"/>
          </w:tcPr>
          <w:p w14:paraId="757B2BF8" w14:textId="77777777" w:rsidR="009C353B" w:rsidRDefault="00000000">
            <w:pPr>
              <w:widowControl/>
              <w:jc w:val="center"/>
              <w:rPr>
                <w:rFonts w:ascii="Times New Roman" w:hAnsi="Times New Roman"/>
                <w:sz w:val="21"/>
                <w:szCs w:val="21"/>
              </w:rPr>
            </w:pPr>
            <w:r>
              <w:rPr>
                <w:rFonts w:ascii="Times New Roman" w:hAnsi="Times New Roman"/>
                <w:sz w:val="21"/>
                <w:szCs w:val="21"/>
              </w:rPr>
              <w:t>73.83</w:t>
            </w:r>
          </w:p>
        </w:tc>
        <w:tc>
          <w:tcPr>
            <w:tcW w:w="1307" w:type="dxa"/>
            <w:shd w:val="clear" w:color="auto" w:fill="auto"/>
          </w:tcPr>
          <w:p w14:paraId="1152B212" w14:textId="77777777" w:rsidR="009C353B" w:rsidRDefault="00000000">
            <w:pPr>
              <w:widowControl/>
              <w:jc w:val="center"/>
              <w:rPr>
                <w:rFonts w:ascii="Times New Roman" w:hAnsi="Times New Roman"/>
                <w:sz w:val="21"/>
                <w:szCs w:val="21"/>
              </w:rPr>
            </w:pPr>
            <w:r>
              <w:rPr>
                <w:rFonts w:ascii="Times New Roman" w:hAnsi="Times New Roman"/>
                <w:sz w:val="21"/>
                <w:szCs w:val="21"/>
              </w:rPr>
              <w:t>73.83</w:t>
            </w:r>
          </w:p>
        </w:tc>
        <w:tc>
          <w:tcPr>
            <w:tcW w:w="830" w:type="dxa"/>
            <w:shd w:val="clear" w:color="auto" w:fill="auto"/>
            <w:noWrap/>
          </w:tcPr>
          <w:p w14:paraId="2C86227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6855C261" w14:textId="77777777">
        <w:trPr>
          <w:trHeight w:val="340"/>
        </w:trPr>
        <w:tc>
          <w:tcPr>
            <w:tcW w:w="648" w:type="dxa"/>
            <w:vMerge/>
          </w:tcPr>
          <w:p w14:paraId="438FD51E"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7FEFBD8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T103</w:t>
            </w:r>
          </w:p>
        </w:tc>
        <w:tc>
          <w:tcPr>
            <w:tcW w:w="883" w:type="dxa"/>
            <w:shd w:val="clear" w:color="auto" w:fill="auto"/>
            <w:noWrap/>
          </w:tcPr>
          <w:p w14:paraId="2B47F2B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023803C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1.33</w:t>
            </w:r>
          </w:p>
        </w:tc>
        <w:tc>
          <w:tcPr>
            <w:tcW w:w="882" w:type="dxa"/>
            <w:shd w:val="clear" w:color="auto" w:fill="auto"/>
            <w:noWrap/>
          </w:tcPr>
          <w:p w14:paraId="39F55E8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28.82</w:t>
            </w:r>
          </w:p>
        </w:tc>
        <w:tc>
          <w:tcPr>
            <w:tcW w:w="883" w:type="dxa"/>
            <w:shd w:val="clear" w:color="auto" w:fill="auto"/>
            <w:noWrap/>
          </w:tcPr>
          <w:p w14:paraId="15374EB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33.07</w:t>
            </w:r>
          </w:p>
        </w:tc>
        <w:tc>
          <w:tcPr>
            <w:tcW w:w="1942" w:type="dxa"/>
            <w:shd w:val="clear" w:color="auto" w:fill="auto"/>
          </w:tcPr>
          <w:p w14:paraId="05D3706A" w14:textId="77777777" w:rsidR="009C353B" w:rsidRDefault="00000000">
            <w:pPr>
              <w:widowControl/>
              <w:jc w:val="center"/>
              <w:rPr>
                <w:rFonts w:ascii="Times New Roman" w:hAnsi="Times New Roman"/>
                <w:sz w:val="21"/>
                <w:szCs w:val="21"/>
              </w:rPr>
            </w:pPr>
            <w:r>
              <w:rPr>
                <w:rFonts w:ascii="Times New Roman" w:hAnsi="Times New Roman"/>
                <w:sz w:val="21"/>
                <w:szCs w:val="21"/>
              </w:rPr>
              <w:t>23.83</w:t>
            </w:r>
          </w:p>
        </w:tc>
        <w:tc>
          <w:tcPr>
            <w:tcW w:w="1307" w:type="dxa"/>
            <w:shd w:val="clear" w:color="auto" w:fill="auto"/>
          </w:tcPr>
          <w:p w14:paraId="1B8C5340" w14:textId="77777777" w:rsidR="009C353B" w:rsidRDefault="00000000">
            <w:pPr>
              <w:widowControl/>
              <w:jc w:val="center"/>
              <w:rPr>
                <w:rFonts w:ascii="Times New Roman" w:hAnsi="Times New Roman"/>
                <w:sz w:val="21"/>
                <w:szCs w:val="21"/>
              </w:rPr>
            </w:pPr>
            <w:r>
              <w:rPr>
                <w:rFonts w:ascii="Times New Roman" w:hAnsi="Times New Roman"/>
                <w:sz w:val="21"/>
                <w:szCs w:val="21"/>
              </w:rPr>
              <w:t>33.07</w:t>
            </w:r>
          </w:p>
        </w:tc>
        <w:tc>
          <w:tcPr>
            <w:tcW w:w="830" w:type="dxa"/>
            <w:shd w:val="clear" w:color="auto" w:fill="auto"/>
            <w:noWrap/>
          </w:tcPr>
          <w:p w14:paraId="71626F5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2A81DCB8" w14:textId="77777777">
        <w:trPr>
          <w:trHeight w:val="340"/>
        </w:trPr>
        <w:tc>
          <w:tcPr>
            <w:tcW w:w="648" w:type="dxa"/>
            <w:vMerge/>
          </w:tcPr>
          <w:p w14:paraId="3D0EED90" w14:textId="77777777" w:rsidR="009C353B" w:rsidRDefault="009C353B">
            <w:pPr>
              <w:widowControl/>
              <w:jc w:val="center"/>
              <w:rPr>
                <w:rFonts w:ascii="Times New Roman" w:hAnsi="Times New Roman"/>
                <w:kern w:val="0"/>
                <w:sz w:val="21"/>
                <w:szCs w:val="21"/>
              </w:rPr>
            </w:pPr>
          </w:p>
        </w:tc>
        <w:tc>
          <w:tcPr>
            <w:tcW w:w="1111" w:type="dxa"/>
            <w:vMerge/>
          </w:tcPr>
          <w:p w14:paraId="00BC7D7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5A26E58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2140199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2.06</w:t>
            </w:r>
          </w:p>
        </w:tc>
        <w:tc>
          <w:tcPr>
            <w:tcW w:w="882" w:type="dxa"/>
            <w:shd w:val="clear" w:color="auto" w:fill="auto"/>
            <w:noWrap/>
          </w:tcPr>
          <w:p w14:paraId="3322F8A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35.47</w:t>
            </w:r>
          </w:p>
        </w:tc>
        <w:tc>
          <w:tcPr>
            <w:tcW w:w="883" w:type="dxa"/>
            <w:shd w:val="clear" w:color="auto" w:fill="auto"/>
            <w:noWrap/>
          </w:tcPr>
          <w:p w14:paraId="5FAA9C2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38.71</w:t>
            </w:r>
          </w:p>
        </w:tc>
        <w:tc>
          <w:tcPr>
            <w:tcW w:w="1942" w:type="dxa"/>
            <w:shd w:val="clear" w:color="auto" w:fill="auto"/>
          </w:tcPr>
          <w:p w14:paraId="2F354A74" w14:textId="77777777" w:rsidR="009C353B" w:rsidRDefault="00000000">
            <w:pPr>
              <w:widowControl/>
              <w:jc w:val="center"/>
              <w:rPr>
                <w:rFonts w:ascii="Times New Roman" w:hAnsi="Times New Roman"/>
                <w:sz w:val="21"/>
                <w:szCs w:val="21"/>
              </w:rPr>
            </w:pPr>
            <w:r>
              <w:rPr>
                <w:rFonts w:ascii="Times New Roman" w:hAnsi="Times New Roman"/>
                <w:sz w:val="21"/>
                <w:szCs w:val="21"/>
              </w:rPr>
              <w:t>34.11</w:t>
            </w:r>
          </w:p>
        </w:tc>
        <w:tc>
          <w:tcPr>
            <w:tcW w:w="1307" w:type="dxa"/>
            <w:shd w:val="clear" w:color="auto" w:fill="auto"/>
          </w:tcPr>
          <w:p w14:paraId="2A760627" w14:textId="77777777" w:rsidR="009C353B" w:rsidRDefault="00000000">
            <w:pPr>
              <w:widowControl/>
              <w:jc w:val="center"/>
              <w:rPr>
                <w:rFonts w:ascii="Times New Roman" w:hAnsi="Times New Roman"/>
                <w:sz w:val="21"/>
                <w:szCs w:val="21"/>
              </w:rPr>
            </w:pPr>
            <w:r>
              <w:rPr>
                <w:rFonts w:ascii="Times New Roman" w:hAnsi="Times New Roman"/>
                <w:sz w:val="21"/>
                <w:szCs w:val="21"/>
              </w:rPr>
              <w:t>38.71</w:t>
            </w:r>
          </w:p>
        </w:tc>
        <w:tc>
          <w:tcPr>
            <w:tcW w:w="830" w:type="dxa"/>
            <w:shd w:val="clear" w:color="auto" w:fill="auto"/>
            <w:noWrap/>
          </w:tcPr>
          <w:p w14:paraId="0CD6E0F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310F4981" w14:textId="77777777">
        <w:trPr>
          <w:trHeight w:val="340"/>
        </w:trPr>
        <w:tc>
          <w:tcPr>
            <w:tcW w:w="648" w:type="dxa"/>
            <w:vMerge/>
          </w:tcPr>
          <w:p w14:paraId="52FD4906" w14:textId="77777777" w:rsidR="009C353B" w:rsidRDefault="009C353B">
            <w:pPr>
              <w:widowControl/>
              <w:jc w:val="center"/>
              <w:rPr>
                <w:rFonts w:ascii="Times New Roman" w:hAnsi="Times New Roman"/>
                <w:kern w:val="0"/>
                <w:sz w:val="21"/>
                <w:szCs w:val="21"/>
              </w:rPr>
            </w:pPr>
          </w:p>
        </w:tc>
        <w:tc>
          <w:tcPr>
            <w:tcW w:w="1111" w:type="dxa"/>
            <w:vMerge/>
          </w:tcPr>
          <w:p w14:paraId="59E73E46"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74CEE2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7D5834A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5.79</w:t>
            </w:r>
          </w:p>
        </w:tc>
        <w:tc>
          <w:tcPr>
            <w:tcW w:w="882" w:type="dxa"/>
            <w:shd w:val="clear" w:color="auto" w:fill="auto"/>
            <w:noWrap/>
          </w:tcPr>
          <w:p w14:paraId="3BE84A7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50.61</w:t>
            </w:r>
          </w:p>
        </w:tc>
        <w:tc>
          <w:tcPr>
            <w:tcW w:w="883" w:type="dxa"/>
            <w:shd w:val="clear" w:color="auto" w:fill="auto"/>
            <w:noWrap/>
          </w:tcPr>
          <w:p w14:paraId="597CF3B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58.12</w:t>
            </w:r>
          </w:p>
        </w:tc>
        <w:tc>
          <w:tcPr>
            <w:tcW w:w="1942" w:type="dxa"/>
            <w:shd w:val="clear" w:color="auto" w:fill="auto"/>
          </w:tcPr>
          <w:p w14:paraId="299EC0CC" w14:textId="77777777" w:rsidR="009C353B" w:rsidRDefault="00000000">
            <w:pPr>
              <w:widowControl/>
              <w:jc w:val="center"/>
              <w:rPr>
                <w:rFonts w:ascii="Times New Roman" w:hAnsi="Times New Roman"/>
                <w:sz w:val="21"/>
                <w:szCs w:val="21"/>
              </w:rPr>
            </w:pPr>
            <w:r>
              <w:rPr>
                <w:rFonts w:ascii="Times New Roman" w:hAnsi="Times New Roman"/>
                <w:sz w:val="21"/>
                <w:szCs w:val="21"/>
              </w:rPr>
              <w:t>86.65</w:t>
            </w:r>
          </w:p>
        </w:tc>
        <w:tc>
          <w:tcPr>
            <w:tcW w:w="1307" w:type="dxa"/>
            <w:shd w:val="clear" w:color="auto" w:fill="auto"/>
          </w:tcPr>
          <w:p w14:paraId="4A571B9D" w14:textId="77777777" w:rsidR="009C353B" w:rsidRDefault="00000000">
            <w:pPr>
              <w:widowControl/>
              <w:jc w:val="center"/>
              <w:rPr>
                <w:rFonts w:ascii="Times New Roman" w:hAnsi="Times New Roman"/>
                <w:sz w:val="21"/>
                <w:szCs w:val="21"/>
              </w:rPr>
            </w:pPr>
            <w:r>
              <w:rPr>
                <w:rFonts w:ascii="Times New Roman" w:hAnsi="Times New Roman"/>
                <w:sz w:val="21"/>
                <w:szCs w:val="21"/>
              </w:rPr>
              <w:t>86.65</w:t>
            </w:r>
          </w:p>
        </w:tc>
        <w:tc>
          <w:tcPr>
            <w:tcW w:w="830" w:type="dxa"/>
            <w:shd w:val="clear" w:color="auto" w:fill="auto"/>
            <w:noWrap/>
          </w:tcPr>
          <w:p w14:paraId="0ACB372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75E1D3D" w14:textId="77777777">
        <w:trPr>
          <w:trHeight w:val="340"/>
        </w:trPr>
        <w:tc>
          <w:tcPr>
            <w:tcW w:w="648" w:type="dxa"/>
            <w:vMerge/>
          </w:tcPr>
          <w:p w14:paraId="3283A325"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7F168EA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T1N-8</w:t>
            </w:r>
          </w:p>
        </w:tc>
        <w:tc>
          <w:tcPr>
            <w:tcW w:w="883" w:type="dxa"/>
            <w:shd w:val="clear" w:color="auto" w:fill="auto"/>
            <w:noWrap/>
          </w:tcPr>
          <w:p w14:paraId="1F6B1F5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6B9F214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1.32</w:t>
            </w:r>
          </w:p>
        </w:tc>
        <w:tc>
          <w:tcPr>
            <w:tcW w:w="882" w:type="dxa"/>
            <w:shd w:val="clear" w:color="auto" w:fill="auto"/>
            <w:noWrap/>
          </w:tcPr>
          <w:p w14:paraId="52CD841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28.71</w:t>
            </w:r>
          </w:p>
        </w:tc>
        <w:tc>
          <w:tcPr>
            <w:tcW w:w="883" w:type="dxa"/>
            <w:shd w:val="clear" w:color="auto" w:fill="auto"/>
            <w:noWrap/>
          </w:tcPr>
          <w:p w14:paraId="3151C07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32.98</w:t>
            </w:r>
          </w:p>
        </w:tc>
        <w:tc>
          <w:tcPr>
            <w:tcW w:w="1942" w:type="dxa"/>
            <w:shd w:val="clear" w:color="auto" w:fill="auto"/>
          </w:tcPr>
          <w:p w14:paraId="2851B26F" w14:textId="77777777" w:rsidR="009C353B" w:rsidRDefault="00000000">
            <w:pPr>
              <w:widowControl/>
              <w:jc w:val="center"/>
              <w:rPr>
                <w:rFonts w:ascii="Times New Roman" w:hAnsi="Times New Roman"/>
                <w:sz w:val="21"/>
                <w:szCs w:val="21"/>
              </w:rPr>
            </w:pPr>
            <w:r>
              <w:rPr>
                <w:rFonts w:ascii="Times New Roman" w:hAnsi="Times New Roman"/>
                <w:sz w:val="21"/>
                <w:szCs w:val="21"/>
              </w:rPr>
              <w:t>23.69</w:t>
            </w:r>
          </w:p>
        </w:tc>
        <w:tc>
          <w:tcPr>
            <w:tcW w:w="1307" w:type="dxa"/>
            <w:shd w:val="clear" w:color="auto" w:fill="auto"/>
          </w:tcPr>
          <w:p w14:paraId="613702F2" w14:textId="77777777" w:rsidR="009C353B" w:rsidRDefault="00000000">
            <w:pPr>
              <w:widowControl/>
              <w:jc w:val="center"/>
              <w:rPr>
                <w:rFonts w:ascii="Times New Roman" w:hAnsi="Times New Roman"/>
                <w:sz w:val="21"/>
                <w:szCs w:val="21"/>
              </w:rPr>
            </w:pPr>
            <w:r>
              <w:rPr>
                <w:rFonts w:ascii="Times New Roman" w:hAnsi="Times New Roman"/>
                <w:sz w:val="21"/>
                <w:szCs w:val="21"/>
              </w:rPr>
              <w:t>32.98</w:t>
            </w:r>
          </w:p>
        </w:tc>
        <w:tc>
          <w:tcPr>
            <w:tcW w:w="830" w:type="dxa"/>
            <w:shd w:val="clear" w:color="auto" w:fill="auto"/>
            <w:noWrap/>
          </w:tcPr>
          <w:p w14:paraId="1678E7B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58052DD2" w14:textId="77777777">
        <w:trPr>
          <w:trHeight w:val="340"/>
        </w:trPr>
        <w:tc>
          <w:tcPr>
            <w:tcW w:w="648" w:type="dxa"/>
            <w:vMerge/>
          </w:tcPr>
          <w:p w14:paraId="30948B1F" w14:textId="77777777" w:rsidR="009C353B" w:rsidRDefault="009C353B">
            <w:pPr>
              <w:widowControl/>
              <w:jc w:val="center"/>
              <w:rPr>
                <w:rFonts w:ascii="Times New Roman" w:hAnsi="Times New Roman"/>
                <w:kern w:val="0"/>
                <w:sz w:val="21"/>
                <w:szCs w:val="21"/>
              </w:rPr>
            </w:pPr>
          </w:p>
        </w:tc>
        <w:tc>
          <w:tcPr>
            <w:tcW w:w="1111" w:type="dxa"/>
            <w:vMerge/>
          </w:tcPr>
          <w:p w14:paraId="4DA9F58F"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C3E4BD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4CF119C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1.02</w:t>
            </w:r>
          </w:p>
        </w:tc>
        <w:tc>
          <w:tcPr>
            <w:tcW w:w="882" w:type="dxa"/>
            <w:shd w:val="clear" w:color="auto" w:fill="auto"/>
            <w:noWrap/>
          </w:tcPr>
          <w:p w14:paraId="5875CAF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25.10</w:t>
            </w:r>
          </w:p>
        </w:tc>
        <w:tc>
          <w:tcPr>
            <w:tcW w:w="883" w:type="dxa"/>
            <w:shd w:val="clear" w:color="auto" w:fill="auto"/>
            <w:noWrap/>
          </w:tcPr>
          <w:p w14:paraId="39F94FD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30.20</w:t>
            </w:r>
          </w:p>
        </w:tc>
        <w:tc>
          <w:tcPr>
            <w:tcW w:w="1942" w:type="dxa"/>
            <w:shd w:val="clear" w:color="auto" w:fill="auto"/>
          </w:tcPr>
          <w:p w14:paraId="2C797FBE" w14:textId="77777777" w:rsidR="009C353B" w:rsidRDefault="00000000">
            <w:pPr>
              <w:widowControl/>
              <w:jc w:val="center"/>
              <w:rPr>
                <w:rFonts w:ascii="Times New Roman" w:hAnsi="Times New Roman"/>
                <w:sz w:val="21"/>
                <w:szCs w:val="21"/>
              </w:rPr>
            </w:pPr>
            <w:r>
              <w:rPr>
                <w:rFonts w:ascii="Times New Roman" w:hAnsi="Times New Roman"/>
                <w:sz w:val="21"/>
                <w:szCs w:val="21"/>
              </w:rPr>
              <w:t>19.47</w:t>
            </w:r>
          </w:p>
        </w:tc>
        <w:tc>
          <w:tcPr>
            <w:tcW w:w="1307" w:type="dxa"/>
            <w:shd w:val="clear" w:color="auto" w:fill="auto"/>
          </w:tcPr>
          <w:p w14:paraId="4C26672D" w14:textId="77777777" w:rsidR="009C353B" w:rsidRDefault="00000000">
            <w:pPr>
              <w:widowControl/>
              <w:jc w:val="center"/>
              <w:rPr>
                <w:rFonts w:ascii="Times New Roman" w:hAnsi="Times New Roman"/>
                <w:sz w:val="21"/>
                <w:szCs w:val="21"/>
              </w:rPr>
            </w:pPr>
            <w:r>
              <w:rPr>
                <w:rFonts w:ascii="Times New Roman" w:hAnsi="Times New Roman"/>
                <w:sz w:val="21"/>
                <w:szCs w:val="21"/>
              </w:rPr>
              <w:t>30.20</w:t>
            </w:r>
          </w:p>
        </w:tc>
        <w:tc>
          <w:tcPr>
            <w:tcW w:w="830" w:type="dxa"/>
            <w:shd w:val="clear" w:color="auto" w:fill="auto"/>
            <w:noWrap/>
          </w:tcPr>
          <w:p w14:paraId="78510A4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4E4F6A46" w14:textId="77777777">
        <w:trPr>
          <w:trHeight w:val="340"/>
        </w:trPr>
        <w:tc>
          <w:tcPr>
            <w:tcW w:w="648" w:type="dxa"/>
            <w:vMerge/>
          </w:tcPr>
          <w:p w14:paraId="59BBC93F" w14:textId="77777777" w:rsidR="009C353B" w:rsidRDefault="009C353B">
            <w:pPr>
              <w:widowControl/>
              <w:jc w:val="center"/>
              <w:rPr>
                <w:rFonts w:ascii="Times New Roman" w:hAnsi="Times New Roman"/>
                <w:kern w:val="0"/>
                <w:sz w:val="21"/>
                <w:szCs w:val="21"/>
              </w:rPr>
            </w:pPr>
          </w:p>
        </w:tc>
        <w:tc>
          <w:tcPr>
            <w:tcW w:w="1111" w:type="dxa"/>
            <w:vMerge/>
          </w:tcPr>
          <w:p w14:paraId="14246EA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54B68ED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7A924CC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7.00</w:t>
            </w:r>
          </w:p>
        </w:tc>
        <w:tc>
          <w:tcPr>
            <w:tcW w:w="882" w:type="dxa"/>
            <w:shd w:val="clear" w:color="auto" w:fill="auto"/>
            <w:noWrap/>
          </w:tcPr>
          <w:p w14:paraId="59977DF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52.90</w:t>
            </w:r>
          </w:p>
        </w:tc>
        <w:tc>
          <w:tcPr>
            <w:tcW w:w="883" w:type="dxa"/>
            <w:shd w:val="clear" w:color="auto" w:fill="auto"/>
            <w:noWrap/>
          </w:tcPr>
          <w:p w14:paraId="23C8AF0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62.92</w:t>
            </w:r>
          </w:p>
        </w:tc>
        <w:tc>
          <w:tcPr>
            <w:tcW w:w="1942" w:type="dxa"/>
            <w:shd w:val="clear" w:color="auto" w:fill="auto"/>
          </w:tcPr>
          <w:p w14:paraId="64EF2C6E" w14:textId="77777777" w:rsidR="009C353B" w:rsidRDefault="00000000">
            <w:pPr>
              <w:widowControl/>
              <w:jc w:val="center"/>
              <w:rPr>
                <w:rFonts w:ascii="Times New Roman" w:hAnsi="Times New Roman"/>
                <w:sz w:val="21"/>
                <w:szCs w:val="21"/>
              </w:rPr>
            </w:pPr>
            <w:r>
              <w:rPr>
                <w:rFonts w:ascii="Times New Roman" w:hAnsi="Times New Roman"/>
                <w:sz w:val="21"/>
                <w:szCs w:val="21"/>
              </w:rPr>
              <w:t>103.69</w:t>
            </w:r>
          </w:p>
        </w:tc>
        <w:tc>
          <w:tcPr>
            <w:tcW w:w="1307" w:type="dxa"/>
            <w:shd w:val="clear" w:color="auto" w:fill="auto"/>
          </w:tcPr>
          <w:p w14:paraId="46885B17" w14:textId="77777777" w:rsidR="009C353B" w:rsidRDefault="00000000">
            <w:pPr>
              <w:widowControl/>
              <w:jc w:val="center"/>
              <w:rPr>
                <w:rFonts w:ascii="Times New Roman" w:hAnsi="Times New Roman"/>
                <w:sz w:val="21"/>
                <w:szCs w:val="21"/>
              </w:rPr>
            </w:pPr>
            <w:r>
              <w:rPr>
                <w:rFonts w:ascii="Times New Roman" w:hAnsi="Times New Roman"/>
                <w:sz w:val="21"/>
                <w:szCs w:val="21"/>
              </w:rPr>
              <w:t>103.69</w:t>
            </w:r>
          </w:p>
        </w:tc>
        <w:tc>
          <w:tcPr>
            <w:tcW w:w="830" w:type="dxa"/>
            <w:shd w:val="clear" w:color="auto" w:fill="auto"/>
            <w:noWrap/>
          </w:tcPr>
          <w:p w14:paraId="781B671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48A2B4F" w14:textId="77777777">
        <w:trPr>
          <w:trHeight w:val="340"/>
        </w:trPr>
        <w:tc>
          <w:tcPr>
            <w:tcW w:w="648" w:type="dxa"/>
            <w:vMerge/>
          </w:tcPr>
          <w:p w14:paraId="57ACD5D2"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1C93C3B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T803</w:t>
            </w:r>
          </w:p>
        </w:tc>
        <w:tc>
          <w:tcPr>
            <w:tcW w:w="883" w:type="dxa"/>
            <w:shd w:val="clear" w:color="auto" w:fill="auto"/>
            <w:noWrap/>
          </w:tcPr>
          <w:p w14:paraId="6BC70E1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4E73F89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1.96</w:t>
            </w:r>
          </w:p>
        </w:tc>
        <w:tc>
          <w:tcPr>
            <w:tcW w:w="882" w:type="dxa"/>
            <w:shd w:val="clear" w:color="auto" w:fill="auto"/>
            <w:noWrap/>
          </w:tcPr>
          <w:p w14:paraId="5215C03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34.70</w:t>
            </w:r>
          </w:p>
        </w:tc>
        <w:tc>
          <w:tcPr>
            <w:tcW w:w="883" w:type="dxa"/>
            <w:shd w:val="clear" w:color="auto" w:fill="auto"/>
            <w:noWrap/>
          </w:tcPr>
          <w:p w14:paraId="277B7FE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38.00</w:t>
            </w:r>
          </w:p>
        </w:tc>
        <w:tc>
          <w:tcPr>
            <w:tcW w:w="1942" w:type="dxa"/>
            <w:shd w:val="clear" w:color="auto" w:fill="auto"/>
          </w:tcPr>
          <w:p w14:paraId="47E79CA9" w14:textId="77777777" w:rsidR="009C353B" w:rsidRDefault="00000000">
            <w:pPr>
              <w:widowControl/>
              <w:jc w:val="center"/>
              <w:rPr>
                <w:rFonts w:ascii="Times New Roman" w:hAnsi="Times New Roman"/>
                <w:sz w:val="21"/>
                <w:szCs w:val="21"/>
              </w:rPr>
            </w:pPr>
            <w:r>
              <w:rPr>
                <w:rFonts w:ascii="Times New Roman" w:hAnsi="Times New Roman"/>
                <w:sz w:val="21"/>
                <w:szCs w:val="21"/>
              </w:rPr>
              <w:t>32.71</w:t>
            </w:r>
          </w:p>
        </w:tc>
        <w:tc>
          <w:tcPr>
            <w:tcW w:w="1307" w:type="dxa"/>
            <w:shd w:val="clear" w:color="auto" w:fill="auto"/>
          </w:tcPr>
          <w:p w14:paraId="1B71D903" w14:textId="77777777" w:rsidR="009C353B" w:rsidRDefault="00000000">
            <w:pPr>
              <w:widowControl/>
              <w:jc w:val="center"/>
              <w:rPr>
                <w:rFonts w:ascii="Times New Roman" w:hAnsi="Times New Roman"/>
                <w:sz w:val="21"/>
                <w:szCs w:val="21"/>
              </w:rPr>
            </w:pPr>
            <w:r>
              <w:rPr>
                <w:rFonts w:ascii="Times New Roman" w:hAnsi="Times New Roman"/>
                <w:sz w:val="21"/>
                <w:szCs w:val="21"/>
              </w:rPr>
              <w:t>38.00</w:t>
            </w:r>
          </w:p>
        </w:tc>
        <w:tc>
          <w:tcPr>
            <w:tcW w:w="830" w:type="dxa"/>
            <w:shd w:val="clear" w:color="auto" w:fill="auto"/>
            <w:noWrap/>
          </w:tcPr>
          <w:p w14:paraId="799F04D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443DE99" w14:textId="77777777">
        <w:trPr>
          <w:trHeight w:val="340"/>
        </w:trPr>
        <w:tc>
          <w:tcPr>
            <w:tcW w:w="648" w:type="dxa"/>
            <w:vMerge/>
          </w:tcPr>
          <w:p w14:paraId="23AC6951" w14:textId="77777777" w:rsidR="009C353B" w:rsidRDefault="009C353B">
            <w:pPr>
              <w:widowControl/>
              <w:jc w:val="center"/>
              <w:rPr>
                <w:rFonts w:ascii="Times New Roman" w:hAnsi="Times New Roman"/>
                <w:kern w:val="0"/>
                <w:sz w:val="21"/>
                <w:szCs w:val="21"/>
              </w:rPr>
            </w:pPr>
          </w:p>
        </w:tc>
        <w:tc>
          <w:tcPr>
            <w:tcW w:w="1111" w:type="dxa"/>
            <w:vMerge/>
          </w:tcPr>
          <w:p w14:paraId="28510651"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76C2C9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1BF85F0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9.25</w:t>
            </w:r>
          </w:p>
        </w:tc>
        <w:tc>
          <w:tcPr>
            <w:tcW w:w="882" w:type="dxa"/>
            <w:shd w:val="clear" w:color="auto" w:fill="auto"/>
            <w:noWrap/>
          </w:tcPr>
          <w:p w14:paraId="22632B4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55.87</w:t>
            </w:r>
          </w:p>
        </w:tc>
        <w:tc>
          <w:tcPr>
            <w:tcW w:w="883" w:type="dxa"/>
            <w:shd w:val="clear" w:color="auto" w:fill="auto"/>
            <w:noWrap/>
          </w:tcPr>
          <w:p w14:paraId="5180D79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70.83</w:t>
            </w:r>
          </w:p>
        </w:tc>
        <w:tc>
          <w:tcPr>
            <w:tcW w:w="1942" w:type="dxa"/>
            <w:shd w:val="clear" w:color="auto" w:fill="auto"/>
          </w:tcPr>
          <w:p w14:paraId="56DB21DB" w14:textId="77777777" w:rsidR="009C353B" w:rsidRDefault="00000000">
            <w:pPr>
              <w:widowControl/>
              <w:jc w:val="center"/>
              <w:rPr>
                <w:rFonts w:ascii="Times New Roman" w:hAnsi="Times New Roman"/>
                <w:sz w:val="21"/>
                <w:szCs w:val="21"/>
              </w:rPr>
            </w:pPr>
            <w:r>
              <w:rPr>
                <w:rFonts w:ascii="Times New Roman" w:hAnsi="Times New Roman"/>
                <w:sz w:val="21"/>
                <w:szCs w:val="21"/>
              </w:rPr>
              <w:t>135.38</w:t>
            </w:r>
          </w:p>
        </w:tc>
        <w:tc>
          <w:tcPr>
            <w:tcW w:w="1307" w:type="dxa"/>
            <w:shd w:val="clear" w:color="auto" w:fill="auto"/>
          </w:tcPr>
          <w:p w14:paraId="2FAEA746" w14:textId="77777777" w:rsidR="009C353B" w:rsidRDefault="00000000">
            <w:pPr>
              <w:widowControl/>
              <w:jc w:val="center"/>
              <w:rPr>
                <w:rFonts w:ascii="Times New Roman" w:hAnsi="Times New Roman"/>
                <w:sz w:val="21"/>
                <w:szCs w:val="21"/>
              </w:rPr>
            </w:pPr>
            <w:r>
              <w:rPr>
                <w:rFonts w:ascii="Times New Roman" w:hAnsi="Times New Roman"/>
                <w:sz w:val="21"/>
                <w:szCs w:val="21"/>
              </w:rPr>
              <w:t>135.38</w:t>
            </w:r>
          </w:p>
        </w:tc>
        <w:tc>
          <w:tcPr>
            <w:tcW w:w="830" w:type="dxa"/>
            <w:shd w:val="clear" w:color="auto" w:fill="auto"/>
            <w:noWrap/>
          </w:tcPr>
          <w:p w14:paraId="5A5404A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752207A" w14:textId="77777777">
        <w:trPr>
          <w:trHeight w:val="340"/>
        </w:trPr>
        <w:tc>
          <w:tcPr>
            <w:tcW w:w="648" w:type="dxa"/>
            <w:vMerge w:val="restart"/>
            <w:shd w:val="clear" w:color="auto" w:fill="auto"/>
          </w:tcPr>
          <w:p w14:paraId="1ABF828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T8N</w:t>
            </w:r>
          </w:p>
        </w:tc>
        <w:tc>
          <w:tcPr>
            <w:tcW w:w="1111" w:type="dxa"/>
            <w:vMerge w:val="restart"/>
            <w:shd w:val="clear" w:color="auto" w:fill="auto"/>
          </w:tcPr>
          <w:p w14:paraId="4000357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T8N-1</w:t>
            </w:r>
          </w:p>
        </w:tc>
        <w:tc>
          <w:tcPr>
            <w:tcW w:w="883" w:type="dxa"/>
            <w:shd w:val="clear" w:color="auto" w:fill="auto"/>
            <w:noWrap/>
          </w:tcPr>
          <w:p w14:paraId="630ED7D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4B7B17E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1.66</w:t>
            </w:r>
          </w:p>
        </w:tc>
        <w:tc>
          <w:tcPr>
            <w:tcW w:w="882" w:type="dxa"/>
            <w:shd w:val="clear" w:color="auto" w:fill="auto"/>
            <w:noWrap/>
          </w:tcPr>
          <w:p w14:paraId="4C5055E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32.13</w:t>
            </w:r>
          </w:p>
        </w:tc>
        <w:tc>
          <w:tcPr>
            <w:tcW w:w="883" w:type="dxa"/>
            <w:shd w:val="clear" w:color="auto" w:fill="auto"/>
            <w:noWrap/>
          </w:tcPr>
          <w:p w14:paraId="40FD459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35.77</w:t>
            </w:r>
          </w:p>
        </w:tc>
        <w:tc>
          <w:tcPr>
            <w:tcW w:w="1942" w:type="dxa"/>
            <w:shd w:val="clear" w:color="auto" w:fill="auto"/>
          </w:tcPr>
          <w:p w14:paraId="4F642359" w14:textId="77777777" w:rsidR="009C353B" w:rsidRDefault="00000000">
            <w:pPr>
              <w:widowControl/>
              <w:jc w:val="center"/>
              <w:rPr>
                <w:rFonts w:ascii="Times New Roman" w:hAnsi="Times New Roman"/>
                <w:sz w:val="21"/>
                <w:szCs w:val="21"/>
              </w:rPr>
            </w:pPr>
            <w:r>
              <w:rPr>
                <w:rFonts w:ascii="Times New Roman" w:hAnsi="Times New Roman"/>
                <w:sz w:val="21"/>
                <w:szCs w:val="21"/>
              </w:rPr>
              <w:t>28.48</w:t>
            </w:r>
          </w:p>
        </w:tc>
        <w:tc>
          <w:tcPr>
            <w:tcW w:w="1307" w:type="dxa"/>
            <w:shd w:val="clear" w:color="auto" w:fill="auto"/>
          </w:tcPr>
          <w:p w14:paraId="4FACF794" w14:textId="77777777" w:rsidR="009C353B" w:rsidRDefault="00000000">
            <w:pPr>
              <w:widowControl/>
              <w:jc w:val="center"/>
              <w:rPr>
                <w:rFonts w:ascii="Times New Roman" w:hAnsi="Times New Roman"/>
                <w:sz w:val="21"/>
                <w:szCs w:val="21"/>
              </w:rPr>
            </w:pPr>
            <w:r>
              <w:rPr>
                <w:rFonts w:ascii="Times New Roman" w:hAnsi="Times New Roman"/>
                <w:sz w:val="21"/>
                <w:szCs w:val="21"/>
              </w:rPr>
              <w:t>35.77</w:t>
            </w:r>
          </w:p>
        </w:tc>
        <w:tc>
          <w:tcPr>
            <w:tcW w:w="830" w:type="dxa"/>
            <w:shd w:val="clear" w:color="auto" w:fill="auto"/>
            <w:noWrap/>
          </w:tcPr>
          <w:p w14:paraId="39A2D85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F53CCA6" w14:textId="77777777">
        <w:trPr>
          <w:trHeight w:val="340"/>
        </w:trPr>
        <w:tc>
          <w:tcPr>
            <w:tcW w:w="648" w:type="dxa"/>
            <w:vMerge/>
          </w:tcPr>
          <w:p w14:paraId="64B4BBDD" w14:textId="77777777" w:rsidR="009C353B" w:rsidRDefault="009C353B">
            <w:pPr>
              <w:widowControl/>
              <w:jc w:val="center"/>
              <w:rPr>
                <w:rFonts w:ascii="Times New Roman" w:hAnsi="Times New Roman"/>
                <w:kern w:val="0"/>
                <w:sz w:val="21"/>
                <w:szCs w:val="21"/>
              </w:rPr>
            </w:pPr>
          </w:p>
        </w:tc>
        <w:tc>
          <w:tcPr>
            <w:tcW w:w="1111" w:type="dxa"/>
            <w:vMerge/>
          </w:tcPr>
          <w:p w14:paraId="0497FB6F"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5595854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6425BD5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2.44</w:t>
            </w:r>
          </w:p>
        </w:tc>
        <w:tc>
          <w:tcPr>
            <w:tcW w:w="882" w:type="dxa"/>
            <w:shd w:val="clear" w:color="auto" w:fill="auto"/>
            <w:noWrap/>
          </w:tcPr>
          <w:p w14:paraId="16DEA62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38.12</w:t>
            </w:r>
          </w:p>
        </w:tc>
        <w:tc>
          <w:tcPr>
            <w:tcW w:w="883" w:type="dxa"/>
            <w:shd w:val="clear" w:color="auto" w:fill="auto"/>
            <w:noWrap/>
          </w:tcPr>
          <w:p w14:paraId="7699DCD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41.24</w:t>
            </w:r>
          </w:p>
        </w:tc>
        <w:tc>
          <w:tcPr>
            <w:tcW w:w="1942" w:type="dxa"/>
            <w:shd w:val="clear" w:color="auto" w:fill="auto"/>
          </w:tcPr>
          <w:p w14:paraId="07B94147" w14:textId="77777777" w:rsidR="009C353B" w:rsidRDefault="00000000">
            <w:pPr>
              <w:widowControl/>
              <w:jc w:val="center"/>
              <w:rPr>
                <w:rFonts w:ascii="Times New Roman" w:hAnsi="Times New Roman"/>
                <w:sz w:val="21"/>
                <w:szCs w:val="21"/>
              </w:rPr>
            </w:pPr>
            <w:r>
              <w:rPr>
                <w:rFonts w:ascii="Times New Roman" w:hAnsi="Times New Roman"/>
                <w:sz w:val="21"/>
                <w:szCs w:val="21"/>
              </w:rPr>
              <w:t>39.47</w:t>
            </w:r>
          </w:p>
        </w:tc>
        <w:tc>
          <w:tcPr>
            <w:tcW w:w="1307" w:type="dxa"/>
            <w:shd w:val="clear" w:color="auto" w:fill="auto"/>
          </w:tcPr>
          <w:p w14:paraId="690A044D" w14:textId="77777777" w:rsidR="009C353B" w:rsidRDefault="00000000">
            <w:pPr>
              <w:widowControl/>
              <w:jc w:val="center"/>
              <w:rPr>
                <w:rFonts w:ascii="Times New Roman" w:hAnsi="Times New Roman"/>
                <w:sz w:val="21"/>
                <w:szCs w:val="21"/>
              </w:rPr>
            </w:pPr>
            <w:r>
              <w:rPr>
                <w:rFonts w:ascii="Times New Roman" w:hAnsi="Times New Roman"/>
                <w:sz w:val="21"/>
                <w:szCs w:val="21"/>
              </w:rPr>
              <w:t>41.24</w:t>
            </w:r>
          </w:p>
        </w:tc>
        <w:tc>
          <w:tcPr>
            <w:tcW w:w="830" w:type="dxa"/>
            <w:shd w:val="clear" w:color="auto" w:fill="auto"/>
            <w:noWrap/>
          </w:tcPr>
          <w:p w14:paraId="4053F11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89B5F13" w14:textId="77777777">
        <w:trPr>
          <w:trHeight w:val="340"/>
        </w:trPr>
        <w:tc>
          <w:tcPr>
            <w:tcW w:w="648" w:type="dxa"/>
            <w:vMerge/>
          </w:tcPr>
          <w:p w14:paraId="7CDEF456" w14:textId="77777777" w:rsidR="009C353B" w:rsidRDefault="009C353B">
            <w:pPr>
              <w:widowControl/>
              <w:jc w:val="center"/>
              <w:rPr>
                <w:rFonts w:ascii="Times New Roman" w:hAnsi="Times New Roman"/>
                <w:kern w:val="0"/>
                <w:sz w:val="21"/>
                <w:szCs w:val="21"/>
              </w:rPr>
            </w:pPr>
          </w:p>
        </w:tc>
        <w:tc>
          <w:tcPr>
            <w:tcW w:w="1111" w:type="dxa"/>
            <w:vMerge/>
          </w:tcPr>
          <w:p w14:paraId="10508726"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C5D72A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280547B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4.51</w:t>
            </w:r>
          </w:p>
        </w:tc>
        <w:tc>
          <w:tcPr>
            <w:tcW w:w="882" w:type="dxa"/>
            <w:shd w:val="clear" w:color="auto" w:fill="auto"/>
            <w:noWrap/>
          </w:tcPr>
          <w:p w14:paraId="6D9C1A0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47.30</w:t>
            </w:r>
          </w:p>
        </w:tc>
        <w:tc>
          <w:tcPr>
            <w:tcW w:w="883" w:type="dxa"/>
            <w:shd w:val="clear" w:color="auto" w:fill="auto"/>
            <w:noWrap/>
          </w:tcPr>
          <w:p w14:paraId="18A0733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52.47</w:t>
            </w:r>
          </w:p>
        </w:tc>
        <w:tc>
          <w:tcPr>
            <w:tcW w:w="1942" w:type="dxa"/>
            <w:shd w:val="clear" w:color="auto" w:fill="auto"/>
          </w:tcPr>
          <w:p w14:paraId="5E71B137" w14:textId="77777777" w:rsidR="009C353B" w:rsidRDefault="00000000">
            <w:pPr>
              <w:widowControl/>
              <w:jc w:val="center"/>
              <w:rPr>
                <w:rFonts w:ascii="Times New Roman" w:hAnsi="Times New Roman"/>
                <w:sz w:val="21"/>
                <w:szCs w:val="21"/>
              </w:rPr>
            </w:pPr>
            <w:r>
              <w:rPr>
                <w:rFonts w:ascii="Times New Roman" w:hAnsi="Times New Roman"/>
                <w:sz w:val="21"/>
                <w:szCs w:val="21"/>
              </w:rPr>
              <w:t>68.62</w:t>
            </w:r>
          </w:p>
        </w:tc>
        <w:tc>
          <w:tcPr>
            <w:tcW w:w="1307" w:type="dxa"/>
            <w:shd w:val="clear" w:color="auto" w:fill="auto"/>
          </w:tcPr>
          <w:p w14:paraId="4AA884D0" w14:textId="77777777" w:rsidR="009C353B" w:rsidRDefault="00000000">
            <w:pPr>
              <w:widowControl/>
              <w:jc w:val="center"/>
              <w:rPr>
                <w:rFonts w:ascii="Times New Roman" w:hAnsi="Times New Roman"/>
                <w:sz w:val="21"/>
                <w:szCs w:val="21"/>
              </w:rPr>
            </w:pPr>
            <w:r>
              <w:rPr>
                <w:rFonts w:ascii="Times New Roman" w:hAnsi="Times New Roman"/>
                <w:sz w:val="21"/>
                <w:szCs w:val="21"/>
              </w:rPr>
              <w:t>68.62</w:t>
            </w:r>
          </w:p>
        </w:tc>
        <w:tc>
          <w:tcPr>
            <w:tcW w:w="830" w:type="dxa"/>
            <w:shd w:val="clear" w:color="auto" w:fill="auto"/>
            <w:noWrap/>
          </w:tcPr>
          <w:p w14:paraId="3DFC06B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E7F1EB5" w14:textId="77777777">
        <w:trPr>
          <w:trHeight w:val="340"/>
        </w:trPr>
        <w:tc>
          <w:tcPr>
            <w:tcW w:w="648" w:type="dxa"/>
            <w:vMerge/>
          </w:tcPr>
          <w:p w14:paraId="4B9B0A48"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15E656B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T8N-2</w:t>
            </w:r>
          </w:p>
        </w:tc>
        <w:tc>
          <w:tcPr>
            <w:tcW w:w="883" w:type="dxa"/>
            <w:shd w:val="clear" w:color="auto" w:fill="auto"/>
            <w:noWrap/>
          </w:tcPr>
          <w:p w14:paraId="40991C7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4CE602B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1.64</w:t>
            </w:r>
          </w:p>
        </w:tc>
        <w:tc>
          <w:tcPr>
            <w:tcW w:w="882" w:type="dxa"/>
            <w:shd w:val="clear" w:color="auto" w:fill="auto"/>
            <w:noWrap/>
          </w:tcPr>
          <w:p w14:paraId="2F02AEC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31.95</w:t>
            </w:r>
          </w:p>
        </w:tc>
        <w:tc>
          <w:tcPr>
            <w:tcW w:w="883" w:type="dxa"/>
            <w:shd w:val="clear" w:color="auto" w:fill="auto"/>
            <w:noWrap/>
          </w:tcPr>
          <w:p w14:paraId="14F8A82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35.61</w:t>
            </w:r>
          </w:p>
        </w:tc>
        <w:tc>
          <w:tcPr>
            <w:tcW w:w="1942" w:type="dxa"/>
            <w:shd w:val="clear" w:color="auto" w:fill="auto"/>
          </w:tcPr>
          <w:p w14:paraId="22584E38" w14:textId="77777777" w:rsidR="009C353B" w:rsidRDefault="00000000">
            <w:pPr>
              <w:widowControl/>
              <w:jc w:val="center"/>
              <w:rPr>
                <w:rFonts w:ascii="Times New Roman" w:hAnsi="Times New Roman"/>
                <w:sz w:val="21"/>
                <w:szCs w:val="21"/>
              </w:rPr>
            </w:pPr>
            <w:r>
              <w:rPr>
                <w:rFonts w:ascii="Times New Roman" w:hAnsi="Times New Roman"/>
                <w:sz w:val="21"/>
                <w:szCs w:val="21"/>
              </w:rPr>
              <w:t>28.20</w:t>
            </w:r>
          </w:p>
        </w:tc>
        <w:tc>
          <w:tcPr>
            <w:tcW w:w="1307" w:type="dxa"/>
            <w:shd w:val="clear" w:color="auto" w:fill="auto"/>
          </w:tcPr>
          <w:p w14:paraId="30BD7098" w14:textId="77777777" w:rsidR="009C353B" w:rsidRDefault="00000000">
            <w:pPr>
              <w:widowControl/>
              <w:jc w:val="center"/>
              <w:rPr>
                <w:rFonts w:ascii="Times New Roman" w:hAnsi="Times New Roman"/>
                <w:sz w:val="21"/>
                <w:szCs w:val="21"/>
              </w:rPr>
            </w:pPr>
            <w:r>
              <w:rPr>
                <w:rFonts w:ascii="Times New Roman" w:hAnsi="Times New Roman"/>
                <w:sz w:val="21"/>
                <w:szCs w:val="21"/>
              </w:rPr>
              <w:t>35.61</w:t>
            </w:r>
          </w:p>
        </w:tc>
        <w:tc>
          <w:tcPr>
            <w:tcW w:w="830" w:type="dxa"/>
            <w:shd w:val="clear" w:color="auto" w:fill="auto"/>
            <w:noWrap/>
          </w:tcPr>
          <w:p w14:paraId="6E953E2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76A2A52" w14:textId="77777777">
        <w:trPr>
          <w:trHeight w:val="340"/>
        </w:trPr>
        <w:tc>
          <w:tcPr>
            <w:tcW w:w="648" w:type="dxa"/>
            <w:vMerge/>
          </w:tcPr>
          <w:p w14:paraId="1DCA085B" w14:textId="77777777" w:rsidR="009C353B" w:rsidRDefault="009C353B">
            <w:pPr>
              <w:widowControl/>
              <w:jc w:val="center"/>
              <w:rPr>
                <w:rFonts w:ascii="Times New Roman" w:hAnsi="Times New Roman"/>
                <w:kern w:val="0"/>
                <w:sz w:val="21"/>
                <w:szCs w:val="21"/>
              </w:rPr>
            </w:pPr>
          </w:p>
        </w:tc>
        <w:tc>
          <w:tcPr>
            <w:tcW w:w="1111" w:type="dxa"/>
            <w:vMerge/>
          </w:tcPr>
          <w:p w14:paraId="6AAF559C"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6374379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7C8631C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1.99</w:t>
            </w:r>
          </w:p>
        </w:tc>
        <w:tc>
          <w:tcPr>
            <w:tcW w:w="882" w:type="dxa"/>
            <w:shd w:val="clear" w:color="auto" w:fill="auto"/>
            <w:noWrap/>
          </w:tcPr>
          <w:p w14:paraId="432FFAB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34.93</w:t>
            </w:r>
          </w:p>
        </w:tc>
        <w:tc>
          <w:tcPr>
            <w:tcW w:w="883" w:type="dxa"/>
            <w:shd w:val="clear" w:color="auto" w:fill="auto"/>
            <w:noWrap/>
          </w:tcPr>
          <w:p w14:paraId="22B2993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38.21</w:t>
            </w:r>
          </w:p>
        </w:tc>
        <w:tc>
          <w:tcPr>
            <w:tcW w:w="1942" w:type="dxa"/>
            <w:shd w:val="clear" w:color="auto" w:fill="auto"/>
          </w:tcPr>
          <w:p w14:paraId="38ABF505" w14:textId="77777777" w:rsidR="009C353B" w:rsidRDefault="00000000">
            <w:pPr>
              <w:widowControl/>
              <w:jc w:val="center"/>
              <w:rPr>
                <w:rFonts w:ascii="Times New Roman" w:hAnsi="Times New Roman"/>
                <w:sz w:val="21"/>
                <w:szCs w:val="21"/>
              </w:rPr>
            </w:pPr>
            <w:r>
              <w:rPr>
                <w:rFonts w:ascii="Times New Roman" w:hAnsi="Times New Roman"/>
                <w:sz w:val="21"/>
                <w:szCs w:val="21"/>
              </w:rPr>
              <w:t>33.13</w:t>
            </w:r>
          </w:p>
        </w:tc>
        <w:tc>
          <w:tcPr>
            <w:tcW w:w="1307" w:type="dxa"/>
            <w:shd w:val="clear" w:color="auto" w:fill="auto"/>
          </w:tcPr>
          <w:p w14:paraId="37E3A333" w14:textId="77777777" w:rsidR="009C353B" w:rsidRDefault="00000000">
            <w:pPr>
              <w:widowControl/>
              <w:jc w:val="center"/>
              <w:rPr>
                <w:rFonts w:ascii="Times New Roman" w:hAnsi="Times New Roman"/>
                <w:sz w:val="21"/>
                <w:szCs w:val="21"/>
              </w:rPr>
            </w:pPr>
            <w:r>
              <w:rPr>
                <w:rFonts w:ascii="Times New Roman" w:hAnsi="Times New Roman"/>
                <w:sz w:val="21"/>
                <w:szCs w:val="21"/>
              </w:rPr>
              <w:t>38.21</w:t>
            </w:r>
          </w:p>
        </w:tc>
        <w:tc>
          <w:tcPr>
            <w:tcW w:w="830" w:type="dxa"/>
            <w:shd w:val="clear" w:color="auto" w:fill="auto"/>
            <w:noWrap/>
          </w:tcPr>
          <w:p w14:paraId="32F8A1F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2BF1EC3" w14:textId="77777777">
        <w:trPr>
          <w:trHeight w:val="340"/>
        </w:trPr>
        <w:tc>
          <w:tcPr>
            <w:tcW w:w="648" w:type="dxa"/>
            <w:vMerge/>
          </w:tcPr>
          <w:p w14:paraId="0EE63800" w14:textId="77777777" w:rsidR="009C353B" w:rsidRDefault="009C353B">
            <w:pPr>
              <w:widowControl/>
              <w:jc w:val="center"/>
              <w:rPr>
                <w:rFonts w:ascii="Times New Roman" w:hAnsi="Times New Roman"/>
                <w:kern w:val="0"/>
                <w:sz w:val="21"/>
                <w:szCs w:val="21"/>
              </w:rPr>
            </w:pPr>
          </w:p>
        </w:tc>
        <w:tc>
          <w:tcPr>
            <w:tcW w:w="1111" w:type="dxa"/>
            <w:vMerge/>
          </w:tcPr>
          <w:p w14:paraId="30FF11EC"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45F4DD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173B344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5.57</w:t>
            </w:r>
          </w:p>
        </w:tc>
        <w:tc>
          <w:tcPr>
            <w:tcW w:w="882" w:type="dxa"/>
            <w:shd w:val="clear" w:color="auto" w:fill="auto"/>
            <w:noWrap/>
          </w:tcPr>
          <w:p w14:paraId="5550B66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50.12</w:t>
            </w:r>
          </w:p>
        </w:tc>
        <w:tc>
          <w:tcPr>
            <w:tcW w:w="883" w:type="dxa"/>
            <w:shd w:val="clear" w:color="auto" w:fill="auto"/>
            <w:noWrap/>
          </w:tcPr>
          <w:p w14:paraId="14731D0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57.20</w:t>
            </w:r>
          </w:p>
        </w:tc>
        <w:tc>
          <w:tcPr>
            <w:tcW w:w="1942" w:type="dxa"/>
            <w:shd w:val="clear" w:color="auto" w:fill="auto"/>
          </w:tcPr>
          <w:p w14:paraId="1F2DA6E8" w14:textId="77777777" w:rsidR="009C353B" w:rsidRDefault="00000000">
            <w:pPr>
              <w:widowControl/>
              <w:jc w:val="center"/>
              <w:rPr>
                <w:rFonts w:ascii="Times New Roman" w:hAnsi="Times New Roman"/>
                <w:sz w:val="21"/>
                <w:szCs w:val="21"/>
              </w:rPr>
            </w:pPr>
            <w:r>
              <w:rPr>
                <w:rFonts w:ascii="Times New Roman" w:hAnsi="Times New Roman"/>
                <w:sz w:val="21"/>
                <w:szCs w:val="21"/>
              </w:rPr>
              <w:t>83.55</w:t>
            </w:r>
          </w:p>
        </w:tc>
        <w:tc>
          <w:tcPr>
            <w:tcW w:w="1307" w:type="dxa"/>
            <w:shd w:val="clear" w:color="auto" w:fill="auto"/>
          </w:tcPr>
          <w:p w14:paraId="3568D472" w14:textId="77777777" w:rsidR="009C353B" w:rsidRDefault="00000000">
            <w:pPr>
              <w:widowControl/>
              <w:jc w:val="center"/>
              <w:rPr>
                <w:rFonts w:ascii="Times New Roman" w:hAnsi="Times New Roman"/>
                <w:sz w:val="21"/>
                <w:szCs w:val="21"/>
              </w:rPr>
            </w:pPr>
            <w:r>
              <w:rPr>
                <w:rFonts w:ascii="Times New Roman" w:hAnsi="Times New Roman"/>
                <w:sz w:val="21"/>
                <w:szCs w:val="21"/>
              </w:rPr>
              <w:t>83.55</w:t>
            </w:r>
          </w:p>
        </w:tc>
        <w:tc>
          <w:tcPr>
            <w:tcW w:w="830" w:type="dxa"/>
            <w:shd w:val="clear" w:color="auto" w:fill="auto"/>
            <w:noWrap/>
          </w:tcPr>
          <w:p w14:paraId="11AADBC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FA72263" w14:textId="77777777">
        <w:trPr>
          <w:trHeight w:val="340"/>
        </w:trPr>
        <w:tc>
          <w:tcPr>
            <w:tcW w:w="648" w:type="dxa"/>
            <w:vMerge/>
          </w:tcPr>
          <w:p w14:paraId="590C1021"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3ED3B46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T8N-3</w:t>
            </w:r>
          </w:p>
        </w:tc>
        <w:tc>
          <w:tcPr>
            <w:tcW w:w="883" w:type="dxa"/>
            <w:shd w:val="clear" w:color="auto" w:fill="auto"/>
            <w:noWrap/>
          </w:tcPr>
          <w:p w14:paraId="5ABCBB4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1569167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1.38</w:t>
            </w:r>
          </w:p>
        </w:tc>
        <w:tc>
          <w:tcPr>
            <w:tcW w:w="882" w:type="dxa"/>
            <w:shd w:val="clear" w:color="auto" w:fill="auto"/>
            <w:noWrap/>
          </w:tcPr>
          <w:p w14:paraId="7B8FA93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29.36</w:t>
            </w:r>
          </w:p>
        </w:tc>
        <w:tc>
          <w:tcPr>
            <w:tcW w:w="883" w:type="dxa"/>
            <w:shd w:val="clear" w:color="auto" w:fill="auto"/>
            <w:noWrap/>
          </w:tcPr>
          <w:p w14:paraId="515CC3C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33.49</w:t>
            </w:r>
          </w:p>
        </w:tc>
        <w:tc>
          <w:tcPr>
            <w:tcW w:w="1942" w:type="dxa"/>
            <w:shd w:val="clear" w:color="auto" w:fill="auto"/>
          </w:tcPr>
          <w:p w14:paraId="6ED0A1A8" w14:textId="77777777" w:rsidR="009C353B" w:rsidRDefault="00000000">
            <w:pPr>
              <w:widowControl/>
              <w:jc w:val="center"/>
              <w:rPr>
                <w:rFonts w:ascii="Times New Roman" w:hAnsi="Times New Roman"/>
                <w:sz w:val="21"/>
                <w:szCs w:val="21"/>
              </w:rPr>
            </w:pPr>
            <w:r>
              <w:rPr>
                <w:rFonts w:ascii="Times New Roman" w:hAnsi="Times New Roman"/>
                <w:sz w:val="21"/>
                <w:szCs w:val="21"/>
              </w:rPr>
              <w:t>24.54</w:t>
            </w:r>
          </w:p>
        </w:tc>
        <w:tc>
          <w:tcPr>
            <w:tcW w:w="1307" w:type="dxa"/>
            <w:shd w:val="clear" w:color="auto" w:fill="auto"/>
          </w:tcPr>
          <w:p w14:paraId="54D6927B" w14:textId="77777777" w:rsidR="009C353B" w:rsidRDefault="00000000">
            <w:pPr>
              <w:widowControl/>
              <w:jc w:val="center"/>
              <w:rPr>
                <w:rFonts w:ascii="Times New Roman" w:hAnsi="Times New Roman"/>
                <w:sz w:val="21"/>
                <w:szCs w:val="21"/>
              </w:rPr>
            </w:pPr>
            <w:r>
              <w:rPr>
                <w:rFonts w:ascii="Times New Roman" w:hAnsi="Times New Roman"/>
                <w:sz w:val="21"/>
                <w:szCs w:val="21"/>
              </w:rPr>
              <w:t>33.49</w:t>
            </w:r>
          </w:p>
        </w:tc>
        <w:tc>
          <w:tcPr>
            <w:tcW w:w="830" w:type="dxa"/>
            <w:shd w:val="clear" w:color="auto" w:fill="auto"/>
            <w:noWrap/>
          </w:tcPr>
          <w:p w14:paraId="46BE5A9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699A0FB" w14:textId="77777777">
        <w:trPr>
          <w:trHeight w:val="340"/>
        </w:trPr>
        <w:tc>
          <w:tcPr>
            <w:tcW w:w="648" w:type="dxa"/>
            <w:vMerge/>
          </w:tcPr>
          <w:p w14:paraId="19DEF247" w14:textId="77777777" w:rsidR="009C353B" w:rsidRDefault="009C353B">
            <w:pPr>
              <w:widowControl/>
              <w:jc w:val="center"/>
              <w:rPr>
                <w:rFonts w:ascii="Times New Roman" w:hAnsi="Times New Roman"/>
                <w:kern w:val="0"/>
                <w:sz w:val="21"/>
                <w:szCs w:val="21"/>
              </w:rPr>
            </w:pPr>
          </w:p>
        </w:tc>
        <w:tc>
          <w:tcPr>
            <w:tcW w:w="1111" w:type="dxa"/>
            <w:vMerge/>
          </w:tcPr>
          <w:p w14:paraId="19015E1E"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648473F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4860FCF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2.46</w:t>
            </w:r>
          </w:p>
        </w:tc>
        <w:tc>
          <w:tcPr>
            <w:tcW w:w="882" w:type="dxa"/>
            <w:shd w:val="clear" w:color="auto" w:fill="auto"/>
            <w:noWrap/>
          </w:tcPr>
          <w:p w14:paraId="4BD5080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38.24</w:t>
            </w:r>
          </w:p>
        </w:tc>
        <w:tc>
          <w:tcPr>
            <w:tcW w:w="883" w:type="dxa"/>
            <w:shd w:val="clear" w:color="auto" w:fill="auto"/>
            <w:noWrap/>
          </w:tcPr>
          <w:p w14:paraId="46A1401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41.37</w:t>
            </w:r>
          </w:p>
        </w:tc>
        <w:tc>
          <w:tcPr>
            <w:tcW w:w="1942" w:type="dxa"/>
            <w:shd w:val="clear" w:color="auto" w:fill="auto"/>
          </w:tcPr>
          <w:p w14:paraId="3324ACDD" w14:textId="77777777" w:rsidR="009C353B" w:rsidRDefault="00000000">
            <w:pPr>
              <w:widowControl/>
              <w:jc w:val="center"/>
              <w:rPr>
                <w:rFonts w:ascii="Times New Roman" w:hAnsi="Times New Roman"/>
                <w:sz w:val="21"/>
                <w:szCs w:val="21"/>
              </w:rPr>
            </w:pPr>
            <w:r>
              <w:rPr>
                <w:rFonts w:ascii="Times New Roman" w:hAnsi="Times New Roman"/>
                <w:sz w:val="21"/>
                <w:szCs w:val="21"/>
              </w:rPr>
              <w:t>39.75</w:t>
            </w:r>
          </w:p>
        </w:tc>
        <w:tc>
          <w:tcPr>
            <w:tcW w:w="1307" w:type="dxa"/>
            <w:shd w:val="clear" w:color="auto" w:fill="auto"/>
          </w:tcPr>
          <w:p w14:paraId="21087374" w14:textId="77777777" w:rsidR="009C353B" w:rsidRDefault="00000000">
            <w:pPr>
              <w:widowControl/>
              <w:jc w:val="center"/>
              <w:rPr>
                <w:rFonts w:ascii="Times New Roman" w:hAnsi="Times New Roman"/>
                <w:sz w:val="21"/>
                <w:szCs w:val="21"/>
              </w:rPr>
            </w:pPr>
            <w:r>
              <w:rPr>
                <w:rFonts w:ascii="Times New Roman" w:hAnsi="Times New Roman"/>
                <w:sz w:val="21"/>
                <w:szCs w:val="21"/>
              </w:rPr>
              <w:t>41.37</w:t>
            </w:r>
          </w:p>
        </w:tc>
        <w:tc>
          <w:tcPr>
            <w:tcW w:w="830" w:type="dxa"/>
            <w:shd w:val="clear" w:color="auto" w:fill="auto"/>
            <w:noWrap/>
          </w:tcPr>
          <w:p w14:paraId="5C41E27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FF3D6EF" w14:textId="77777777">
        <w:trPr>
          <w:trHeight w:val="340"/>
        </w:trPr>
        <w:tc>
          <w:tcPr>
            <w:tcW w:w="648" w:type="dxa"/>
            <w:vMerge/>
          </w:tcPr>
          <w:p w14:paraId="2EC1AE67" w14:textId="77777777" w:rsidR="009C353B" w:rsidRDefault="009C353B">
            <w:pPr>
              <w:widowControl/>
              <w:jc w:val="center"/>
              <w:rPr>
                <w:rFonts w:ascii="Times New Roman" w:hAnsi="Times New Roman"/>
                <w:kern w:val="0"/>
                <w:sz w:val="21"/>
                <w:szCs w:val="21"/>
              </w:rPr>
            </w:pPr>
          </w:p>
        </w:tc>
        <w:tc>
          <w:tcPr>
            <w:tcW w:w="1111" w:type="dxa"/>
            <w:vMerge/>
          </w:tcPr>
          <w:p w14:paraId="574C6A80"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99E9C7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44E59DF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5.94</w:t>
            </w:r>
          </w:p>
        </w:tc>
        <w:tc>
          <w:tcPr>
            <w:tcW w:w="882" w:type="dxa"/>
            <w:shd w:val="clear" w:color="auto" w:fill="auto"/>
            <w:noWrap/>
          </w:tcPr>
          <w:p w14:paraId="37EA7FB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50.93</w:t>
            </w:r>
          </w:p>
        </w:tc>
        <w:tc>
          <w:tcPr>
            <w:tcW w:w="883" w:type="dxa"/>
            <w:shd w:val="clear" w:color="auto" w:fill="auto"/>
            <w:noWrap/>
          </w:tcPr>
          <w:p w14:paraId="3A32B85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58.74</w:t>
            </w:r>
          </w:p>
        </w:tc>
        <w:tc>
          <w:tcPr>
            <w:tcW w:w="1942" w:type="dxa"/>
            <w:shd w:val="clear" w:color="auto" w:fill="auto"/>
          </w:tcPr>
          <w:p w14:paraId="46D7D806" w14:textId="77777777" w:rsidR="009C353B" w:rsidRDefault="00000000">
            <w:pPr>
              <w:widowControl/>
              <w:jc w:val="center"/>
              <w:rPr>
                <w:rFonts w:ascii="Times New Roman" w:hAnsi="Times New Roman"/>
                <w:sz w:val="21"/>
                <w:szCs w:val="21"/>
              </w:rPr>
            </w:pPr>
            <w:r>
              <w:rPr>
                <w:rFonts w:ascii="Times New Roman" w:hAnsi="Times New Roman"/>
                <w:sz w:val="21"/>
                <w:szCs w:val="21"/>
              </w:rPr>
              <w:t>88.76</w:t>
            </w:r>
          </w:p>
        </w:tc>
        <w:tc>
          <w:tcPr>
            <w:tcW w:w="1307" w:type="dxa"/>
            <w:shd w:val="clear" w:color="auto" w:fill="auto"/>
          </w:tcPr>
          <w:p w14:paraId="61872AE8" w14:textId="77777777" w:rsidR="009C353B" w:rsidRDefault="00000000">
            <w:pPr>
              <w:widowControl/>
              <w:jc w:val="center"/>
              <w:rPr>
                <w:rFonts w:ascii="Times New Roman" w:hAnsi="Times New Roman"/>
                <w:sz w:val="21"/>
                <w:szCs w:val="21"/>
              </w:rPr>
            </w:pPr>
            <w:r>
              <w:rPr>
                <w:rFonts w:ascii="Times New Roman" w:hAnsi="Times New Roman"/>
                <w:sz w:val="21"/>
                <w:szCs w:val="21"/>
              </w:rPr>
              <w:t>88.76</w:t>
            </w:r>
          </w:p>
        </w:tc>
        <w:tc>
          <w:tcPr>
            <w:tcW w:w="830" w:type="dxa"/>
            <w:shd w:val="clear" w:color="auto" w:fill="auto"/>
            <w:noWrap/>
          </w:tcPr>
          <w:p w14:paraId="1985E01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586C314" w14:textId="77777777">
        <w:trPr>
          <w:trHeight w:val="340"/>
        </w:trPr>
        <w:tc>
          <w:tcPr>
            <w:tcW w:w="648" w:type="dxa"/>
            <w:vMerge/>
          </w:tcPr>
          <w:p w14:paraId="08896838"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1A6FD43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T8N-4</w:t>
            </w:r>
          </w:p>
        </w:tc>
        <w:tc>
          <w:tcPr>
            <w:tcW w:w="883" w:type="dxa"/>
            <w:shd w:val="clear" w:color="auto" w:fill="auto"/>
            <w:noWrap/>
          </w:tcPr>
          <w:p w14:paraId="4F2CC10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02F535B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1.73</w:t>
            </w:r>
          </w:p>
        </w:tc>
        <w:tc>
          <w:tcPr>
            <w:tcW w:w="882" w:type="dxa"/>
            <w:shd w:val="clear" w:color="auto" w:fill="auto"/>
            <w:noWrap/>
          </w:tcPr>
          <w:p w14:paraId="141A1B4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32.77</w:t>
            </w:r>
          </w:p>
        </w:tc>
        <w:tc>
          <w:tcPr>
            <w:tcW w:w="883" w:type="dxa"/>
            <w:shd w:val="clear" w:color="auto" w:fill="auto"/>
            <w:noWrap/>
          </w:tcPr>
          <w:p w14:paraId="489520F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36.31</w:t>
            </w:r>
          </w:p>
        </w:tc>
        <w:tc>
          <w:tcPr>
            <w:tcW w:w="1942" w:type="dxa"/>
            <w:shd w:val="clear" w:color="auto" w:fill="auto"/>
          </w:tcPr>
          <w:p w14:paraId="1C1DF6ED" w14:textId="77777777" w:rsidR="009C353B" w:rsidRDefault="00000000">
            <w:pPr>
              <w:widowControl/>
              <w:jc w:val="center"/>
              <w:rPr>
                <w:rFonts w:ascii="Times New Roman" w:hAnsi="Times New Roman"/>
                <w:sz w:val="21"/>
                <w:szCs w:val="21"/>
              </w:rPr>
            </w:pPr>
            <w:r>
              <w:rPr>
                <w:rFonts w:ascii="Times New Roman" w:hAnsi="Times New Roman"/>
                <w:sz w:val="21"/>
                <w:szCs w:val="21"/>
              </w:rPr>
              <w:t>29.47</w:t>
            </w:r>
          </w:p>
        </w:tc>
        <w:tc>
          <w:tcPr>
            <w:tcW w:w="1307" w:type="dxa"/>
            <w:shd w:val="clear" w:color="auto" w:fill="auto"/>
          </w:tcPr>
          <w:p w14:paraId="4496A41C" w14:textId="77777777" w:rsidR="009C353B" w:rsidRDefault="00000000">
            <w:pPr>
              <w:widowControl/>
              <w:jc w:val="center"/>
              <w:rPr>
                <w:rFonts w:ascii="Times New Roman" w:hAnsi="Times New Roman"/>
                <w:sz w:val="21"/>
                <w:szCs w:val="21"/>
              </w:rPr>
            </w:pPr>
            <w:r>
              <w:rPr>
                <w:rFonts w:ascii="Times New Roman" w:hAnsi="Times New Roman"/>
                <w:sz w:val="21"/>
                <w:szCs w:val="21"/>
              </w:rPr>
              <w:t>36.31</w:t>
            </w:r>
          </w:p>
        </w:tc>
        <w:tc>
          <w:tcPr>
            <w:tcW w:w="830" w:type="dxa"/>
            <w:shd w:val="clear" w:color="auto" w:fill="auto"/>
            <w:noWrap/>
          </w:tcPr>
          <w:p w14:paraId="6222A0F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7D6CAFD" w14:textId="77777777">
        <w:trPr>
          <w:trHeight w:val="340"/>
        </w:trPr>
        <w:tc>
          <w:tcPr>
            <w:tcW w:w="648" w:type="dxa"/>
            <w:vMerge/>
          </w:tcPr>
          <w:p w14:paraId="7DF6C6CE" w14:textId="77777777" w:rsidR="009C353B" w:rsidRDefault="009C353B">
            <w:pPr>
              <w:widowControl/>
              <w:jc w:val="center"/>
              <w:rPr>
                <w:rFonts w:ascii="Times New Roman" w:hAnsi="Times New Roman"/>
                <w:kern w:val="0"/>
                <w:sz w:val="21"/>
                <w:szCs w:val="21"/>
              </w:rPr>
            </w:pPr>
          </w:p>
        </w:tc>
        <w:tc>
          <w:tcPr>
            <w:tcW w:w="1111" w:type="dxa"/>
            <w:vMerge/>
          </w:tcPr>
          <w:p w14:paraId="7F35C64B"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D05160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572A918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2.17</w:t>
            </w:r>
          </w:p>
        </w:tc>
        <w:tc>
          <w:tcPr>
            <w:tcW w:w="882" w:type="dxa"/>
            <w:shd w:val="clear" w:color="auto" w:fill="auto"/>
            <w:noWrap/>
          </w:tcPr>
          <w:p w14:paraId="171D245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36.28</w:t>
            </w:r>
          </w:p>
        </w:tc>
        <w:tc>
          <w:tcPr>
            <w:tcW w:w="883" w:type="dxa"/>
            <w:shd w:val="clear" w:color="auto" w:fill="auto"/>
            <w:noWrap/>
          </w:tcPr>
          <w:p w14:paraId="5406BCB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39.46</w:t>
            </w:r>
          </w:p>
        </w:tc>
        <w:tc>
          <w:tcPr>
            <w:tcW w:w="1942" w:type="dxa"/>
            <w:shd w:val="clear" w:color="auto" w:fill="auto"/>
          </w:tcPr>
          <w:p w14:paraId="2183C142" w14:textId="77777777" w:rsidR="009C353B" w:rsidRDefault="00000000">
            <w:pPr>
              <w:widowControl/>
              <w:jc w:val="center"/>
              <w:rPr>
                <w:rFonts w:ascii="Times New Roman" w:hAnsi="Times New Roman"/>
                <w:sz w:val="21"/>
                <w:szCs w:val="21"/>
              </w:rPr>
            </w:pPr>
            <w:r>
              <w:rPr>
                <w:rFonts w:ascii="Times New Roman" w:hAnsi="Times New Roman"/>
                <w:sz w:val="21"/>
                <w:szCs w:val="21"/>
              </w:rPr>
              <w:t>35.66</w:t>
            </w:r>
          </w:p>
        </w:tc>
        <w:tc>
          <w:tcPr>
            <w:tcW w:w="1307" w:type="dxa"/>
            <w:shd w:val="clear" w:color="auto" w:fill="auto"/>
          </w:tcPr>
          <w:p w14:paraId="5699BA98" w14:textId="77777777" w:rsidR="009C353B" w:rsidRDefault="00000000">
            <w:pPr>
              <w:widowControl/>
              <w:jc w:val="center"/>
              <w:rPr>
                <w:rFonts w:ascii="Times New Roman" w:hAnsi="Times New Roman"/>
                <w:sz w:val="21"/>
                <w:szCs w:val="21"/>
              </w:rPr>
            </w:pPr>
            <w:r>
              <w:rPr>
                <w:rFonts w:ascii="Times New Roman" w:hAnsi="Times New Roman"/>
                <w:sz w:val="21"/>
                <w:szCs w:val="21"/>
              </w:rPr>
              <w:t>39.46</w:t>
            </w:r>
          </w:p>
        </w:tc>
        <w:tc>
          <w:tcPr>
            <w:tcW w:w="830" w:type="dxa"/>
            <w:shd w:val="clear" w:color="auto" w:fill="auto"/>
            <w:noWrap/>
          </w:tcPr>
          <w:p w14:paraId="62984D3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1C907D3F" w14:textId="77777777">
        <w:trPr>
          <w:trHeight w:val="340"/>
        </w:trPr>
        <w:tc>
          <w:tcPr>
            <w:tcW w:w="648" w:type="dxa"/>
            <w:vMerge/>
          </w:tcPr>
          <w:p w14:paraId="5636127E" w14:textId="77777777" w:rsidR="009C353B" w:rsidRDefault="009C353B">
            <w:pPr>
              <w:widowControl/>
              <w:jc w:val="center"/>
              <w:rPr>
                <w:rFonts w:ascii="Times New Roman" w:hAnsi="Times New Roman"/>
                <w:kern w:val="0"/>
                <w:sz w:val="21"/>
                <w:szCs w:val="21"/>
              </w:rPr>
            </w:pPr>
          </w:p>
        </w:tc>
        <w:tc>
          <w:tcPr>
            <w:tcW w:w="1111" w:type="dxa"/>
            <w:vMerge/>
          </w:tcPr>
          <w:p w14:paraId="737049A8"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35C6A2B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205D743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6.65</w:t>
            </w:r>
          </w:p>
        </w:tc>
        <w:tc>
          <w:tcPr>
            <w:tcW w:w="882" w:type="dxa"/>
            <w:shd w:val="clear" w:color="auto" w:fill="auto"/>
            <w:noWrap/>
          </w:tcPr>
          <w:p w14:paraId="3C412A9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52.30</w:t>
            </w:r>
          </w:p>
        </w:tc>
        <w:tc>
          <w:tcPr>
            <w:tcW w:w="883" w:type="dxa"/>
            <w:shd w:val="clear" w:color="auto" w:fill="auto"/>
            <w:noWrap/>
          </w:tcPr>
          <w:p w14:paraId="2B0CBCC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61.58</w:t>
            </w:r>
          </w:p>
        </w:tc>
        <w:tc>
          <w:tcPr>
            <w:tcW w:w="1942" w:type="dxa"/>
            <w:shd w:val="clear" w:color="auto" w:fill="auto"/>
          </w:tcPr>
          <w:p w14:paraId="22B3D04D" w14:textId="77777777" w:rsidR="009C353B" w:rsidRDefault="00000000">
            <w:pPr>
              <w:widowControl/>
              <w:jc w:val="center"/>
              <w:rPr>
                <w:rFonts w:ascii="Times New Roman" w:hAnsi="Times New Roman"/>
                <w:sz w:val="21"/>
                <w:szCs w:val="21"/>
              </w:rPr>
            </w:pPr>
            <w:r>
              <w:rPr>
                <w:rFonts w:ascii="Times New Roman" w:hAnsi="Times New Roman"/>
                <w:sz w:val="21"/>
                <w:szCs w:val="21"/>
              </w:rPr>
              <w:t>98.76</w:t>
            </w:r>
          </w:p>
        </w:tc>
        <w:tc>
          <w:tcPr>
            <w:tcW w:w="1307" w:type="dxa"/>
            <w:shd w:val="clear" w:color="auto" w:fill="auto"/>
          </w:tcPr>
          <w:p w14:paraId="674AECEB" w14:textId="77777777" w:rsidR="009C353B" w:rsidRDefault="00000000">
            <w:pPr>
              <w:widowControl/>
              <w:jc w:val="center"/>
              <w:rPr>
                <w:rFonts w:ascii="Times New Roman" w:hAnsi="Times New Roman"/>
                <w:sz w:val="21"/>
                <w:szCs w:val="21"/>
              </w:rPr>
            </w:pPr>
            <w:r>
              <w:rPr>
                <w:rFonts w:ascii="Times New Roman" w:hAnsi="Times New Roman"/>
                <w:sz w:val="21"/>
                <w:szCs w:val="21"/>
              </w:rPr>
              <w:t>98.76</w:t>
            </w:r>
          </w:p>
        </w:tc>
        <w:tc>
          <w:tcPr>
            <w:tcW w:w="830" w:type="dxa"/>
            <w:shd w:val="clear" w:color="auto" w:fill="auto"/>
            <w:noWrap/>
          </w:tcPr>
          <w:p w14:paraId="406FD02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4367EE74" w14:textId="77777777">
        <w:trPr>
          <w:trHeight w:val="340"/>
        </w:trPr>
        <w:tc>
          <w:tcPr>
            <w:tcW w:w="648" w:type="dxa"/>
            <w:vMerge/>
          </w:tcPr>
          <w:p w14:paraId="6E21AC01"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1CD0A59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T8N-5</w:t>
            </w:r>
          </w:p>
        </w:tc>
        <w:tc>
          <w:tcPr>
            <w:tcW w:w="883" w:type="dxa"/>
            <w:shd w:val="clear" w:color="auto" w:fill="auto"/>
            <w:noWrap/>
          </w:tcPr>
          <w:p w14:paraId="0B6C614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57DBA93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2.47</w:t>
            </w:r>
          </w:p>
        </w:tc>
        <w:tc>
          <w:tcPr>
            <w:tcW w:w="882" w:type="dxa"/>
            <w:shd w:val="clear" w:color="auto" w:fill="auto"/>
            <w:noWrap/>
          </w:tcPr>
          <w:p w14:paraId="20F7A27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38.31</w:t>
            </w:r>
          </w:p>
        </w:tc>
        <w:tc>
          <w:tcPr>
            <w:tcW w:w="883" w:type="dxa"/>
            <w:shd w:val="clear" w:color="auto" w:fill="auto"/>
            <w:noWrap/>
          </w:tcPr>
          <w:p w14:paraId="571F550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41.43</w:t>
            </w:r>
          </w:p>
        </w:tc>
        <w:tc>
          <w:tcPr>
            <w:tcW w:w="1942" w:type="dxa"/>
            <w:shd w:val="clear" w:color="auto" w:fill="auto"/>
          </w:tcPr>
          <w:p w14:paraId="680E3CDE" w14:textId="77777777" w:rsidR="009C353B" w:rsidRDefault="00000000">
            <w:pPr>
              <w:widowControl/>
              <w:jc w:val="center"/>
              <w:rPr>
                <w:rFonts w:ascii="Times New Roman" w:hAnsi="Times New Roman"/>
                <w:sz w:val="21"/>
                <w:szCs w:val="21"/>
              </w:rPr>
            </w:pPr>
            <w:r>
              <w:rPr>
                <w:rFonts w:ascii="Times New Roman" w:hAnsi="Times New Roman"/>
                <w:sz w:val="21"/>
                <w:szCs w:val="21"/>
              </w:rPr>
              <w:t>39.89</w:t>
            </w:r>
          </w:p>
        </w:tc>
        <w:tc>
          <w:tcPr>
            <w:tcW w:w="1307" w:type="dxa"/>
            <w:shd w:val="clear" w:color="auto" w:fill="auto"/>
          </w:tcPr>
          <w:p w14:paraId="0542017F" w14:textId="77777777" w:rsidR="009C353B" w:rsidRDefault="00000000">
            <w:pPr>
              <w:widowControl/>
              <w:jc w:val="center"/>
              <w:rPr>
                <w:rFonts w:ascii="Times New Roman" w:hAnsi="Times New Roman"/>
                <w:sz w:val="21"/>
                <w:szCs w:val="21"/>
              </w:rPr>
            </w:pPr>
            <w:r>
              <w:rPr>
                <w:rFonts w:ascii="Times New Roman" w:hAnsi="Times New Roman"/>
                <w:sz w:val="21"/>
                <w:szCs w:val="21"/>
              </w:rPr>
              <w:t>41.43</w:t>
            </w:r>
          </w:p>
        </w:tc>
        <w:tc>
          <w:tcPr>
            <w:tcW w:w="830" w:type="dxa"/>
            <w:shd w:val="clear" w:color="auto" w:fill="auto"/>
            <w:noWrap/>
          </w:tcPr>
          <w:p w14:paraId="5040076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1521AA13" w14:textId="77777777">
        <w:trPr>
          <w:trHeight w:val="340"/>
        </w:trPr>
        <w:tc>
          <w:tcPr>
            <w:tcW w:w="648" w:type="dxa"/>
            <w:vMerge/>
          </w:tcPr>
          <w:p w14:paraId="0533A64B" w14:textId="77777777" w:rsidR="009C353B" w:rsidRDefault="009C353B">
            <w:pPr>
              <w:widowControl/>
              <w:jc w:val="center"/>
              <w:rPr>
                <w:rFonts w:ascii="Times New Roman" w:hAnsi="Times New Roman"/>
                <w:kern w:val="0"/>
                <w:sz w:val="21"/>
                <w:szCs w:val="21"/>
              </w:rPr>
            </w:pPr>
          </w:p>
        </w:tc>
        <w:tc>
          <w:tcPr>
            <w:tcW w:w="1111" w:type="dxa"/>
            <w:vMerge/>
          </w:tcPr>
          <w:p w14:paraId="297F5008"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42E130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469BEDD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3.68</w:t>
            </w:r>
          </w:p>
        </w:tc>
        <w:tc>
          <w:tcPr>
            <w:tcW w:w="882" w:type="dxa"/>
            <w:shd w:val="clear" w:color="auto" w:fill="auto"/>
            <w:noWrap/>
          </w:tcPr>
          <w:p w14:paraId="67015C0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44.39</w:t>
            </w:r>
          </w:p>
        </w:tc>
        <w:tc>
          <w:tcPr>
            <w:tcW w:w="883" w:type="dxa"/>
            <w:shd w:val="clear" w:color="auto" w:fill="auto"/>
            <w:noWrap/>
          </w:tcPr>
          <w:p w14:paraId="3A3548F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48.37</w:t>
            </w:r>
          </w:p>
        </w:tc>
        <w:tc>
          <w:tcPr>
            <w:tcW w:w="1942" w:type="dxa"/>
            <w:shd w:val="clear" w:color="auto" w:fill="auto"/>
          </w:tcPr>
          <w:p w14:paraId="293D41AA" w14:textId="77777777" w:rsidR="009C353B" w:rsidRDefault="00000000">
            <w:pPr>
              <w:widowControl/>
              <w:jc w:val="center"/>
              <w:rPr>
                <w:rFonts w:ascii="Times New Roman" w:hAnsi="Times New Roman"/>
                <w:sz w:val="21"/>
                <w:szCs w:val="21"/>
              </w:rPr>
            </w:pPr>
            <w:r>
              <w:rPr>
                <w:rFonts w:ascii="Times New Roman" w:hAnsi="Times New Roman"/>
                <w:sz w:val="21"/>
                <w:szCs w:val="21"/>
              </w:rPr>
              <w:t>56.93</w:t>
            </w:r>
          </w:p>
        </w:tc>
        <w:tc>
          <w:tcPr>
            <w:tcW w:w="1307" w:type="dxa"/>
            <w:shd w:val="clear" w:color="auto" w:fill="auto"/>
          </w:tcPr>
          <w:p w14:paraId="2E0CDBFE" w14:textId="77777777" w:rsidR="009C353B" w:rsidRDefault="00000000">
            <w:pPr>
              <w:widowControl/>
              <w:jc w:val="center"/>
              <w:rPr>
                <w:rFonts w:ascii="Times New Roman" w:hAnsi="Times New Roman"/>
                <w:sz w:val="21"/>
                <w:szCs w:val="21"/>
              </w:rPr>
            </w:pPr>
            <w:r>
              <w:rPr>
                <w:rFonts w:ascii="Times New Roman" w:hAnsi="Times New Roman"/>
                <w:sz w:val="21"/>
                <w:szCs w:val="21"/>
              </w:rPr>
              <w:t>56.93</w:t>
            </w:r>
          </w:p>
        </w:tc>
        <w:tc>
          <w:tcPr>
            <w:tcW w:w="830" w:type="dxa"/>
            <w:shd w:val="clear" w:color="auto" w:fill="auto"/>
            <w:noWrap/>
          </w:tcPr>
          <w:p w14:paraId="3E6072D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704DFCE4" w14:textId="77777777">
        <w:trPr>
          <w:trHeight w:val="340"/>
        </w:trPr>
        <w:tc>
          <w:tcPr>
            <w:tcW w:w="648" w:type="dxa"/>
            <w:vMerge/>
          </w:tcPr>
          <w:p w14:paraId="47864ED4"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068AF02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T8N-6</w:t>
            </w:r>
          </w:p>
        </w:tc>
        <w:tc>
          <w:tcPr>
            <w:tcW w:w="883" w:type="dxa"/>
            <w:shd w:val="clear" w:color="auto" w:fill="auto"/>
            <w:noWrap/>
          </w:tcPr>
          <w:p w14:paraId="1B2B2F6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62C56CB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2.09</w:t>
            </w:r>
          </w:p>
        </w:tc>
        <w:tc>
          <w:tcPr>
            <w:tcW w:w="882" w:type="dxa"/>
            <w:shd w:val="clear" w:color="auto" w:fill="auto"/>
            <w:noWrap/>
          </w:tcPr>
          <w:p w14:paraId="4AE85F1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35.70</w:t>
            </w:r>
          </w:p>
        </w:tc>
        <w:tc>
          <w:tcPr>
            <w:tcW w:w="883" w:type="dxa"/>
            <w:shd w:val="clear" w:color="auto" w:fill="auto"/>
            <w:noWrap/>
          </w:tcPr>
          <w:p w14:paraId="4F95523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38.91</w:t>
            </w:r>
          </w:p>
        </w:tc>
        <w:tc>
          <w:tcPr>
            <w:tcW w:w="1942" w:type="dxa"/>
            <w:shd w:val="clear" w:color="auto" w:fill="auto"/>
          </w:tcPr>
          <w:p w14:paraId="2E8100A5" w14:textId="77777777" w:rsidR="009C353B" w:rsidRDefault="00000000">
            <w:pPr>
              <w:widowControl/>
              <w:jc w:val="center"/>
              <w:rPr>
                <w:rFonts w:ascii="Times New Roman" w:hAnsi="Times New Roman"/>
                <w:sz w:val="21"/>
                <w:szCs w:val="21"/>
              </w:rPr>
            </w:pPr>
            <w:r>
              <w:rPr>
                <w:rFonts w:ascii="Times New Roman" w:hAnsi="Times New Roman"/>
                <w:sz w:val="21"/>
                <w:szCs w:val="21"/>
              </w:rPr>
              <w:t>34.54</w:t>
            </w:r>
          </w:p>
        </w:tc>
        <w:tc>
          <w:tcPr>
            <w:tcW w:w="1307" w:type="dxa"/>
            <w:shd w:val="clear" w:color="auto" w:fill="auto"/>
          </w:tcPr>
          <w:p w14:paraId="260297E7" w14:textId="77777777" w:rsidR="009C353B" w:rsidRDefault="00000000">
            <w:pPr>
              <w:widowControl/>
              <w:jc w:val="center"/>
              <w:rPr>
                <w:rFonts w:ascii="Times New Roman" w:hAnsi="Times New Roman"/>
                <w:sz w:val="21"/>
                <w:szCs w:val="21"/>
              </w:rPr>
            </w:pPr>
            <w:r>
              <w:rPr>
                <w:rFonts w:ascii="Times New Roman" w:hAnsi="Times New Roman"/>
                <w:sz w:val="21"/>
                <w:szCs w:val="21"/>
              </w:rPr>
              <w:t>38.91</w:t>
            </w:r>
          </w:p>
        </w:tc>
        <w:tc>
          <w:tcPr>
            <w:tcW w:w="830" w:type="dxa"/>
            <w:shd w:val="clear" w:color="auto" w:fill="auto"/>
            <w:noWrap/>
          </w:tcPr>
          <w:p w14:paraId="4C8A4A3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6B5BAD7" w14:textId="77777777">
        <w:trPr>
          <w:trHeight w:val="340"/>
        </w:trPr>
        <w:tc>
          <w:tcPr>
            <w:tcW w:w="648" w:type="dxa"/>
            <w:vMerge/>
          </w:tcPr>
          <w:p w14:paraId="7AEB99A8" w14:textId="77777777" w:rsidR="009C353B" w:rsidRDefault="009C353B">
            <w:pPr>
              <w:widowControl/>
              <w:jc w:val="center"/>
              <w:rPr>
                <w:rFonts w:ascii="Times New Roman" w:hAnsi="Times New Roman"/>
                <w:kern w:val="0"/>
                <w:sz w:val="21"/>
                <w:szCs w:val="21"/>
              </w:rPr>
            </w:pPr>
          </w:p>
        </w:tc>
        <w:tc>
          <w:tcPr>
            <w:tcW w:w="1111" w:type="dxa"/>
            <w:vMerge/>
          </w:tcPr>
          <w:p w14:paraId="3B72B259"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3A30E4F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00CC890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1.95</w:t>
            </w:r>
          </w:p>
        </w:tc>
        <w:tc>
          <w:tcPr>
            <w:tcW w:w="882" w:type="dxa"/>
            <w:shd w:val="clear" w:color="auto" w:fill="auto"/>
            <w:noWrap/>
          </w:tcPr>
          <w:p w14:paraId="41B1E5A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34.62</w:t>
            </w:r>
          </w:p>
        </w:tc>
        <w:tc>
          <w:tcPr>
            <w:tcW w:w="883" w:type="dxa"/>
            <w:shd w:val="clear" w:color="auto" w:fill="auto"/>
            <w:noWrap/>
          </w:tcPr>
          <w:p w14:paraId="60C4FBA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37.93</w:t>
            </w:r>
          </w:p>
        </w:tc>
        <w:tc>
          <w:tcPr>
            <w:tcW w:w="1942" w:type="dxa"/>
            <w:shd w:val="clear" w:color="auto" w:fill="auto"/>
          </w:tcPr>
          <w:p w14:paraId="7FF75137" w14:textId="77777777" w:rsidR="009C353B" w:rsidRDefault="00000000">
            <w:pPr>
              <w:widowControl/>
              <w:jc w:val="center"/>
              <w:rPr>
                <w:rFonts w:ascii="Times New Roman" w:hAnsi="Times New Roman"/>
                <w:sz w:val="21"/>
                <w:szCs w:val="21"/>
              </w:rPr>
            </w:pPr>
            <w:r>
              <w:rPr>
                <w:rFonts w:ascii="Times New Roman" w:hAnsi="Times New Roman"/>
                <w:sz w:val="21"/>
                <w:szCs w:val="21"/>
              </w:rPr>
              <w:t>32.56</w:t>
            </w:r>
          </w:p>
        </w:tc>
        <w:tc>
          <w:tcPr>
            <w:tcW w:w="1307" w:type="dxa"/>
            <w:shd w:val="clear" w:color="auto" w:fill="auto"/>
          </w:tcPr>
          <w:p w14:paraId="4DF3AE7B" w14:textId="77777777" w:rsidR="009C353B" w:rsidRDefault="00000000">
            <w:pPr>
              <w:widowControl/>
              <w:jc w:val="center"/>
              <w:rPr>
                <w:rFonts w:ascii="Times New Roman" w:hAnsi="Times New Roman"/>
                <w:sz w:val="21"/>
                <w:szCs w:val="21"/>
              </w:rPr>
            </w:pPr>
            <w:r>
              <w:rPr>
                <w:rFonts w:ascii="Times New Roman" w:hAnsi="Times New Roman"/>
                <w:sz w:val="21"/>
                <w:szCs w:val="21"/>
              </w:rPr>
              <w:t>37.93</w:t>
            </w:r>
          </w:p>
        </w:tc>
        <w:tc>
          <w:tcPr>
            <w:tcW w:w="830" w:type="dxa"/>
            <w:shd w:val="clear" w:color="auto" w:fill="auto"/>
            <w:noWrap/>
          </w:tcPr>
          <w:p w14:paraId="1879762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31C21B2F" w14:textId="77777777">
        <w:trPr>
          <w:trHeight w:val="340"/>
        </w:trPr>
        <w:tc>
          <w:tcPr>
            <w:tcW w:w="648" w:type="dxa"/>
            <w:vMerge/>
          </w:tcPr>
          <w:p w14:paraId="04CD7E56" w14:textId="77777777" w:rsidR="009C353B" w:rsidRDefault="009C353B">
            <w:pPr>
              <w:widowControl/>
              <w:jc w:val="center"/>
              <w:rPr>
                <w:rFonts w:ascii="Times New Roman" w:hAnsi="Times New Roman"/>
                <w:kern w:val="0"/>
                <w:sz w:val="21"/>
                <w:szCs w:val="21"/>
              </w:rPr>
            </w:pPr>
          </w:p>
        </w:tc>
        <w:tc>
          <w:tcPr>
            <w:tcW w:w="1111" w:type="dxa"/>
            <w:vMerge/>
          </w:tcPr>
          <w:p w14:paraId="5A744D82"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3ACE4AC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1717398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5.28</w:t>
            </w:r>
          </w:p>
        </w:tc>
        <w:tc>
          <w:tcPr>
            <w:tcW w:w="882" w:type="dxa"/>
            <w:shd w:val="clear" w:color="auto" w:fill="auto"/>
            <w:noWrap/>
          </w:tcPr>
          <w:p w14:paraId="7107320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49.42</w:t>
            </w:r>
          </w:p>
        </w:tc>
        <w:tc>
          <w:tcPr>
            <w:tcW w:w="883" w:type="dxa"/>
            <w:shd w:val="clear" w:color="auto" w:fill="auto"/>
            <w:noWrap/>
          </w:tcPr>
          <w:p w14:paraId="3C17410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55.96</w:t>
            </w:r>
          </w:p>
        </w:tc>
        <w:tc>
          <w:tcPr>
            <w:tcW w:w="1942" w:type="dxa"/>
            <w:shd w:val="clear" w:color="auto" w:fill="auto"/>
          </w:tcPr>
          <w:p w14:paraId="6325DD57" w14:textId="77777777" w:rsidR="009C353B" w:rsidRDefault="00000000">
            <w:pPr>
              <w:widowControl/>
              <w:jc w:val="center"/>
              <w:rPr>
                <w:rFonts w:ascii="Times New Roman" w:hAnsi="Times New Roman"/>
                <w:sz w:val="21"/>
                <w:szCs w:val="21"/>
              </w:rPr>
            </w:pPr>
            <w:r>
              <w:rPr>
                <w:rFonts w:ascii="Times New Roman" w:hAnsi="Times New Roman"/>
                <w:sz w:val="21"/>
                <w:szCs w:val="21"/>
              </w:rPr>
              <w:t>79.47</w:t>
            </w:r>
          </w:p>
        </w:tc>
        <w:tc>
          <w:tcPr>
            <w:tcW w:w="1307" w:type="dxa"/>
            <w:shd w:val="clear" w:color="auto" w:fill="auto"/>
          </w:tcPr>
          <w:p w14:paraId="3EA936DC" w14:textId="77777777" w:rsidR="009C353B" w:rsidRDefault="00000000">
            <w:pPr>
              <w:widowControl/>
              <w:jc w:val="center"/>
              <w:rPr>
                <w:rFonts w:ascii="Times New Roman" w:hAnsi="Times New Roman"/>
                <w:sz w:val="21"/>
                <w:szCs w:val="21"/>
              </w:rPr>
            </w:pPr>
            <w:r>
              <w:rPr>
                <w:rFonts w:ascii="Times New Roman" w:hAnsi="Times New Roman"/>
                <w:sz w:val="21"/>
                <w:szCs w:val="21"/>
              </w:rPr>
              <w:t>79.47</w:t>
            </w:r>
          </w:p>
        </w:tc>
        <w:tc>
          <w:tcPr>
            <w:tcW w:w="830" w:type="dxa"/>
            <w:shd w:val="clear" w:color="auto" w:fill="auto"/>
            <w:noWrap/>
          </w:tcPr>
          <w:p w14:paraId="7CAA711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7D3A0356" w14:textId="77777777">
        <w:trPr>
          <w:trHeight w:val="340"/>
        </w:trPr>
        <w:tc>
          <w:tcPr>
            <w:tcW w:w="648" w:type="dxa"/>
            <w:vMerge w:val="restart"/>
            <w:shd w:val="clear" w:color="auto" w:fill="auto"/>
          </w:tcPr>
          <w:p w14:paraId="7E99B60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T5</w:t>
            </w:r>
          </w:p>
        </w:tc>
        <w:tc>
          <w:tcPr>
            <w:tcW w:w="1111" w:type="dxa"/>
            <w:vMerge w:val="restart"/>
            <w:shd w:val="clear" w:color="auto" w:fill="auto"/>
          </w:tcPr>
          <w:p w14:paraId="69E8660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T502</w:t>
            </w:r>
          </w:p>
        </w:tc>
        <w:tc>
          <w:tcPr>
            <w:tcW w:w="883" w:type="dxa"/>
            <w:shd w:val="clear" w:color="auto" w:fill="auto"/>
            <w:noWrap/>
          </w:tcPr>
          <w:p w14:paraId="13A026B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01F9149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1.45</w:t>
            </w:r>
          </w:p>
        </w:tc>
        <w:tc>
          <w:tcPr>
            <w:tcW w:w="882" w:type="dxa"/>
            <w:shd w:val="clear" w:color="auto" w:fill="auto"/>
            <w:noWrap/>
          </w:tcPr>
          <w:p w14:paraId="4B97B8D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30.09</w:t>
            </w:r>
          </w:p>
        </w:tc>
        <w:tc>
          <w:tcPr>
            <w:tcW w:w="883" w:type="dxa"/>
            <w:shd w:val="clear" w:color="auto" w:fill="auto"/>
            <w:noWrap/>
          </w:tcPr>
          <w:p w14:paraId="169B4E6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34.08</w:t>
            </w:r>
          </w:p>
        </w:tc>
        <w:tc>
          <w:tcPr>
            <w:tcW w:w="1942" w:type="dxa"/>
            <w:shd w:val="clear" w:color="auto" w:fill="auto"/>
          </w:tcPr>
          <w:p w14:paraId="5F1C8429" w14:textId="77777777" w:rsidR="009C353B" w:rsidRDefault="00000000">
            <w:pPr>
              <w:widowControl/>
              <w:jc w:val="center"/>
              <w:rPr>
                <w:rFonts w:ascii="Times New Roman" w:hAnsi="Times New Roman"/>
                <w:sz w:val="21"/>
                <w:szCs w:val="21"/>
              </w:rPr>
            </w:pPr>
            <w:r>
              <w:rPr>
                <w:rFonts w:ascii="Times New Roman" w:hAnsi="Times New Roman"/>
                <w:sz w:val="21"/>
                <w:szCs w:val="21"/>
              </w:rPr>
              <w:t>25.52</w:t>
            </w:r>
          </w:p>
        </w:tc>
        <w:tc>
          <w:tcPr>
            <w:tcW w:w="1307" w:type="dxa"/>
            <w:shd w:val="clear" w:color="auto" w:fill="auto"/>
          </w:tcPr>
          <w:p w14:paraId="64070D8E" w14:textId="77777777" w:rsidR="009C353B" w:rsidRDefault="00000000">
            <w:pPr>
              <w:widowControl/>
              <w:jc w:val="center"/>
              <w:rPr>
                <w:rFonts w:ascii="Times New Roman" w:hAnsi="Times New Roman"/>
                <w:sz w:val="21"/>
                <w:szCs w:val="21"/>
              </w:rPr>
            </w:pPr>
            <w:r>
              <w:rPr>
                <w:rFonts w:ascii="Times New Roman" w:hAnsi="Times New Roman"/>
                <w:sz w:val="21"/>
                <w:szCs w:val="21"/>
              </w:rPr>
              <w:t>34.08</w:t>
            </w:r>
          </w:p>
        </w:tc>
        <w:tc>
          <w:tcPr>
            <w:tcW w:w="830" w:type="dxa"/>
            <w:shd w:val="clear" w:color="auto" w:fill="auto"/>
            <w:noWrap/>
          </w:tcPr>
          <w:p w14:paraId="7D9FF9A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1E775696" w14:textId="77777777">
        <w:trPr>
          <w:trHeight w:val="340"/>
        </w:trPr>
        <w:tc>
          <w:tcPr>
            <w:tcW w:w="648" w:type="dxa"/>
            <w:vMerge/>
          </w:tcPr>
          <w:p w14:paraId="359F01F0" w14:textId="77777777" w:rsidR="009C353B" w:rsidRDefault="009C353B">
            <w:pPr>
              <w:widowControl/>
              <w:jc w:val="center"/>
              <w:rPr>
                <w:rFonts w:ascii="Times New Roman" w:hAnsi="Times New Roman"/>
                <w:kern w:val="0"/>
                <w:sz w:val="21"/>
                <w:szCs w:val="21"/>
              </w:rPr>
            </w:pPr>
          </w:p>
        </w:tc>
        <w:tc>
          <w:tcPr>
            <w:tcW w:w="1111" w:type="dxa"/>
            <w:vMerge/>
          </w:tcPr>
          <w:p w14:paraId="301A2C3B"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71F975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11FCEDF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2.18</w:t>
            </w:r>
          </w:p>
        </w:tc>
        <w:tc>
          <w:tcPr>
            <w:tcW w:w="882" w:type="dxa"/>
            <w:shd w:val="clear" w:color="auto" w:fill="auto"/>
            <w:noWrap/>
          </w:tcPr>
          <w:p w14:paraId="2F4314F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36.36</w:t>
            </w:r>
          </w:p>
        </w:tc>
        <w:tc>
          <w:tcPr>
            <w:tcW w:w="883" w:type="dxa"/>
            <w:shd w:val="clear" w:color="auto" w:fill="auto"/>
            <w:noWrap/>
          </w:tcPr>
          <w:p w14:paraId="3B87626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39.53</w:t>
            </w:r>
          </w:p>
        </w:tc>
        <w:tc>
          <w:tcPr>
            <w:tcW w:w="1942" w:type="dxa"/>
            <w:shd w:val="clear" w:color="auto" w:fill="auto"/>
          </w:tcPr>
          <w:p w14:paraId="53D7D99F" w14:textId="77777777" w:rsidR="009C353B" w:rsidRDefault="00000000">
            <w:pPr>
              <w:widowControl/>
              <w:jc w:val="center"/>
              <w:rPr>
                <w:rFonts w:ascii="Times New Roman" w:hAnsi="Times New Roman"/>
                <w:sz w:val="21"/>
                <w:szCs w:val="21"/>
              </w:rPr>
            </w:pPr>
            <w:r>
              <w:rPr>
                <w:rFonts w:ascii="Times New Roman" w:hAnsi="Times New Roman"/>
                <w:sz w:val="21"/>
                <w:szCs w:val="21"/>
              </w:rPr>
              <w:t>35.80</w:t>
            </w:r>
          </w:p>
        </w:tc>
        <w:tc>
          <w:tcPr>
            <w:tcW w:w="1307" w:type="dxa"/>
            <w:shd w:val="clear" w:color="auto" w:fill="auto"/>
          </w:tcPr>
          <w:p w14:paraId="1AC4836D" w14:textId="77777777" w:rsidR="009C353B" w:rsidRDefault="00000000">
            <w:pPr>
              <w:widowControl/>
              <w:jc w:val="center"/>
              <w:rPr>
                <w:rFonts w:ascii="Times New Roman" w:hAnsi="Times New Roman"/>
                <w:sz w:val="21"/>
                <w:szCs w:val="21"/>
              </w:rPr>
            </w:pPr>
            <w:r>
              <w:rPr>
                <w:rFonts w:ascii="Times New Roman" w:hAnsi="Times New Roman"/>
                <w:sz w:val="21"/>
                <w:szCs w:val="21"/>
              </w:rPr>
              <w:t>39.53</w:t>
            </w:r>
          </w:p>
        </w:tc>
        <w:tc>
          <w:tcPr>
            <w:tcW w:w="830" w:type="dxa"/>
            <w:shd w:val="clear" w:color="auto" w:fill="auto"/>
            <w:noWrap/>
          </w:tcPr>
          <w:p w14:paraId="7FF2BE3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089060A4" w14:textId="77777777">
        <w:trPr>
          <w:trHeight w:val="340"/>
        </w:trPr>
        <w:tc>
          <w:tcPr>
            <w:tcW w:w="648" w:type="dxa"/>
            <w:vMerge/>
          </w:tcPr>
          <w:p w14:paraId="63418AD6" w14:textId="77777777" w:rsidR="009C353B" w:rsidRDefault="009C353B">
            <w:pPr>
              <w:widowControl/>
              <w:jc w:val="center"/>
              <w:rPr>
                <w:rFonts w:ascii="Times New Roman" w:hAnsi="Times New Roman"/>
                <w:kern w:val="0"/>
                <w:sz w:val="21"/>
                <w:szCs w:val="21"/>
              </w:rPr>
            </w:pPr>
          </w:p>
        </w:tc>
        <w:tc>
          <w:tcPr>
            <w:tcW w:w="1111" w:type="dxa"/>
            <w:vMerge/>
          </w:tcPr>
          <w:p w14:paraId="6478257B"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042D58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4F072AF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4.98</w:t>
            </w:r>
          </w:p>
        </w:tc>
        <w:tc>
          <w:tcPr>
            <w:tcW w:w="882" w:type="dxa"/>
            <w:shd w:val="clear" w:color="auto" w:fill="auto"/>
            <w:noWrap/>
          </w:tcPr>
          <w:p w14:paraId="6108D83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48.65</w:t>
            </w:r>
          </w:p>
        </w:tc>
        <w:tc>
          <w:tcPr>
            <w:tcW w:w="883" w:type="dxa"/>
            <w:shd w:val="clear" w:color="auto" w:fill="auto"/>
            <w:noWrap/>
          </w:tcPr>
          <w:p w14:paraId="2B5AB70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54.63</w:t>
            </w:r>
          </w:p>
        </w:tc>
        <w:tc>
          <w:tcPr>
            <w:tcW w:w="1942" w:type="dxa"/>
            <w:shd w:val="clear" w:color="auto" w:fill="auto"/>
          </w:tcPr>
          <w:p w14:paraId="522D531A" w14:textId="77777777" w:rsidR="009C353B" w:rsidRDefault="00000000">
            <w:pPr>
              <w:widowControl/>
              <w:jc w:val="center"/>
              <w:rPr>
                <w:rFonts w:ascii="Times New Roman" w:hAnsi="Times New Roman"/>
                <w:sz w:val="21"/>
                <w:szCs w:val="21"/>
              </w:rPr>
            </w:pPr>
            <w:r>
              <w:rPr>
                <w:rFonts w:ascii="Times New Roman" w:hAnsi="Times New Roman"/>
                <w:sz w:val="21"/>
                <w:szCs w:val="21"/>
              </w:rPr>
              <w:t>75.24</w:t>
            </w:r>
          </w:p>
        </w:tc>
        <w:tc>
          <w:tcPr>
            <w:tcW w:w="1307" w:type="dxa"/>
            <w:shd w:val="clear" w:color="auto" w:fill="auto"/>
          </w:tcPr>
          <w:p w14:paraId="2FD9DD12" w14:textId="77777777" w:rsidR="009C353B" w:rsidRDefault="00000000">
            <w:pPr>
              <w:widowControl/>
              <w:jc w:val="center"/>
              <w:rPr>
                <w:rFonts w:ascii="Times New Roman" w:hAnsi="Times New Roman"/>
                <w:sz w:val="21"/>
                <w:szCs w:val="21"/>
              </w:rPr>
            </w:pPr>
            <w:r>
              <w:rPr>
                <w:rFonts w:ascii="Times New Roman" w:hAnsi="Times New Roman"/>
                <w:sz w:val="21"/>
                <w:szCs w:val="21"/>
              </w:rPr>
              <w:t>75.24</w:t>
            </w:r>
          </w:p>
        </w:tc>
        <w:tc>
          <w:tcPr>
            <w:tcW w:w="830" w:type="dxa"/>
            <w:shd w:val="clear" w:color="auto" w:fill="auto"/>
            <w:noWrap/>
          </w:tcPr>
          <w:p w14:paraId="5402C01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F3CC1C1" w14:textId="77777777">
        <w:trPr>
          <w:trHeight w:val="340"/>
        </w:trPr>
        <w:tc>
          <w:tcPr>
            <w:tcW w:w="648" w:type="dxa"/>
            <w:vMerge/>
          </w:tcPr>
          <w:p w14:paraId="25D83A16"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733934E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T503</w:t>
            </w:r>
          </w:p>
        </w:tc>
        <w:tc>
          <w:tcPr>
            <w:tcW w:w="883" w:type="dxa"/>
            <w:shd w:val="clear" w:color="auto" w:fill="auto"/>
            <w:noWrap/>
          </w:tcPr>
          <w:p w14:paraId="74AF9D1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102A827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1.14</w:t>
            </w:r>
          </w:p>
        </w:tc>
        <w:tc>
          <w:tcPr>
            <w:tcW w:w="882" w:type="dxa"/>
            <w:shd w:val="clear" w:color="auto" w:fill="auto"/>
            <w:noWrap/>
          </w:tcPr>
          <w:p w14:paraId="49DB62C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26.62</w:t>
            </w:r>
          </w:p>
        </w:tc>
        <w:tc>
          <w:tcPr>
            <w:tcW w:w="883" w:type="dxa"/>
            <w:shd w:val="clear" w:color="auto" w:fill="auto"/>
            <w:noWrap/>
          </w:tcPr>
          <w:p w14:paraId="006A10F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31.35</w:t>
            </w:r>
          </w:p>
        </w:tc>
        <w:tc>
          <w:tcPr>
            <w:tcW w:w="1942" w:type="dxa"/>
            <w:shd w:val="clear" w:color="auto" w:fill="auto"/>
          </w:tcPr>
          <w:p w14:paraId="001999F1" w14:textId="77777777" w:rsidR="009C353B" w:rsidRDefault="00000000">
            <w:pPr>
              <w:widowControl/>
              <w:jc w:val="center"/>
              <w:rPr>
                <w:rFonts w:ascii="Times New Roman" w:hAnsi="Times New Roman"/>
                <w:sz w:val="21"/>
                <w:szCs w:val="21"/>
              </w:rPr>
            </w:pPr>
            <w:r>
              <w:rPr>
                <w:rFonts w:ascii="Times New Roman" w:hAnsi="Times New Roman"/>
                <w:sz w:val="21"/>
                <w:szCs w:val="21"/>
              </w:rPr>
              <w:t>21.16</w:t>
            </w:r>
          </w:p>
        </w:tc>
        <w:tc>
          <w:tcPr>
            <w:tcW w:w="1307" w:type="dxa"/>
            <w:shd w:val="clear" w:color="auto" w:fill="auto"/>
          </w:tcPr>
          <w:p w14:paraId="71336D98" w14:textId="77777777" w:rsidR="009C353B" w:rsidRDefault="00000000">
            <w:pPr>
              <w:widowControl/>
              <w:jc w:val="center"/>
              <w:rPr>
                <w:rFonts w:ascii="Times New Roman" w:hAnsi="Times New Roman"/>
                <w:sz w:val="21"/>
                <w:szCs w:val="21"/>
              </w:rPr>
            </w:pPr>
            <w:r>
              <w:rPr>
                <w:rFonts w:ascii="Times New Roman" w:hAnsi="Times New Roman"/>
                <w:sz w:val="21"/>
                <w:szCs w:val="21"/>
              </w:rPr>
              <w:t>31.35</w:t>
            </w:r>
          </w:p>
        </w:tc>
        <w:tc>
          <w:tcPr>
            <w:tcW w:w="830" w:type="dxa"/>
            <w:shd w:val="clear" w:color="auto" w:fill="auto"/>
            <w:noWrap/>
          </w:tcPr>
          <w:p w14:paraId="5D004AA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C5EFE19" w14:textId="77777777">
        <w:trPr>
          <w:trHeight w:val="340"/>
        </w:trPr>
        <w:tc>
          <w:tcPr>
            <w:tcW w:w="648" w:type="dxa"/>
            <w:vMerge/>
          </w:tcPr>
          <w:p w14:paraId="08E20832" w14:textId="77777777" w:rsidR="009C353B" w:rsidRDefault="009C353B">
            <w:pPr>
              <w:widowControl/>
              <w:jc w:val="center"/>
              <w:rPr>
                <w:rFonts w:ascii="Times New Roman" w:hAnsi="Times New Roman"/>
                <w:kern w:val="0"/>
                <w:sz w:val="21"/>
                <w:szCs w:val="21"/>
              </w:rPr>
            </w:pPr>
          </w:p>
        </w:tc>
        <w:tc>
          <w:tcPr>
            <w:tcW w:w="1111" w:type="dxa"/>
            <w:vMerge/>
          </w:tcPr>
          <w:p w14:paraId="62611C09"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27D761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6228FF2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1.64</w:t>
            </w:r>
          </w:p>
        </w:tc>
        <w:tc>
          <w:tcPr>
            <w:tcW w:w="882" w:type="dxa"/>
            <w:shd w:val="clear" w:color="auto" w:fill="auto"/>
            <w:noWrap/>
          </w:tcPr>
          <w:p w14:paraId="59D0E24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31.95</w:t>
            </w:r>
          </w:p>
        </w:tc>
        <w:tc>
          <w:tcPr>
            <w:tcW w:w="883" w:type="dxa"/>
            <w:shd w:val="clear" w:color="auto" w:fill="auto"/>
            <w:noWrap/>
          </w:tcPr>
          <w:p w14:paraId="3D86256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35.61</w:t>
            </w:r>
          </w:p>
        </w:tc>
        <w:tc>
          <w:tcPr>
            <w:tcW w:w="1942" w:type="dxa"/>
            <w:shd w:val="clear" w:color="auto" w:fill="auto"/>
          </w:tcPr>
          <w:p w14:paraId="5E557ED6" w14:textId="77777777" w:rsidR="009C353B" w:rsidRDefault="00000000">
            <w:pPr>
              <w:widowControl/>
              <w:jc w:val="center"/>
              <w:rPr>
                <w:rFonts w:ascii="Times New Roman" w:hAnsi="Times New Roman"/>
                <w:sz w:val="21"/>
                <w:szCs w:val="21"/>
              </w:rPr>
            </w:pPr>
            <w:r>
              <w:rPr>
                <w:rFonts w:ascii="Times New Roman" w:hAnsi="Times New Roman"/>
                <w:sz w:val="21"/>
                <w:szCs w:val="21"/>
              </w:rPr>
              <w:t>28.20</w:t>
            </w:r>
          </w:p>
        </w:tc>
        <w:tc>
          <w:tcPr>
            <w:tcW w:w="1307" w:type="dxa"/>
            <w:shd w:val="clear" w:color="auto" w:fill="auto"/>
          </w:tcPr>
          <w:p w14:paraId="10EFCE35" w14:textId="77777777" w:rsidR="009C353B" w:rsidRDefault="00000000">
            <w:pPr>
              <w:widowControl/>
              <w:jc w:val="center"/>
              <w:rPr>
                <w:rFonts w:ascii="Times New Roman" w:hAnsi="Times New Roman"/>
                <w:sz w:val="21"/>
                <w:szCs w:val="21"/>
              </w:rPr>
            </w:pPr>
            <w:r>
              <w:rPr>
                <w:rFonts w:ascii="Times New Roman" w:hAnsi="Times New Roman"/>
                <w:sz w:val="21"/>
                <w:szCs w:val="21"/>
              </w:rPr>
              <w:t>35.61</w:t>
            </w:r>
          </w:p>
        </w:tc>
        <w:tc>
          <w:tcPr>
            <w:tcW w:w="830" w:type="dxa"/>
            <w:shd w:val="clear" w:color="auto" w:fill="auto"/>
            <w:noWrap/>
          </w:tcPr>
          <w:p w14:paraId="5AC6816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12A8469E" w14:textId="77777777">
        <w:trPr>
          <w:trHeight w:val="340"/>
        </w:trPr>
        <w:tc>
          <w:tcPr>
            <w:tcW w:w="648" w:type="dxa"/>
            <w:vMerge/>
          </w:tcPr>
          <w:p w14:paraId="3346C8F8" w14:textId="77777777" w:rsidR="009C353B" w:rsidRDefault="009C353B">
            <w:pPr>
              <w:widowControl/>
              <w:jc w:val="center"/>
              <w:rPr>
                <w:rFonts w:ascii="Times New Roman" w:hAnsi="Times New Roman"/>
                <w:kern w:val="0"/>
                <w:sz w:val="21"/>
                <w:szCs w:val="21"/>
              </w:rPr>
            </w:pPr>
          </w:p>
        </w:tc>
        <w:tc>
          <w:tcPr>
            <w:tcW w:w="1111" w:type="dxa"/>
            <w:vMerge/>
          </w:tcPr>
          <w:p w14:paraId="3D989B4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28A9E3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3AE42AC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3.75</w:t>
            </w:r>
          </w:p>
        </w:tc>
        <w:tc>
          <w:tcPr>
            <w:tcW w:w="882" w:type="dxa"/>
            <w:shd w:val="clear" w:color="auto" w:fill="auto"/>
            <w:noWrap/>
          </w:tcPr>
          <w:p w14:paraId="5E4AC24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44.66</w:t>
            </w:r>
          </w:p>
        </w:tc>
        <w:tc>
          <w:tcPr>
            <w:tcW w:w="883" w:type="dxa"/>
            <w:shd w:val="clear" w:color="auto" w:fill="auto"/>
            <w:noWrap/>
          </w:tcPr>
          <w:p w14:paraId="750B11E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48.73</w:t>
            </w:r>
          </w:p>
        </w:tc>
        <w:tc>
          <w:tcPr>
            <w:tcW w:w="1942" w:type="dxa"/>
            <w:shd w:val="clear" w:color="auto" w:fill="auto"/>
          </w:tcPr>
          <w:p w14:paraId="44BAA009" w14:textId="77777777" w:rsidR="009C353B" w:rsidRDefault="00000000">
            <w:pPr>
              <w:widowControl/>
              <w:jc w:val="center"/>
              <w:rPr>
                <w:rFonts w:ascii="Times New Roman" w:hAnsi="Times New Roman"/>
                <w:sz w:val="21"/>
                <w:szCs w:val="21"/>
              </w:rPr>
            </w:pPr>
            <w:r>
              <w:rPr>
                <w:rFonts w:ascii="Times New Roman" w:hAnsi="Times New Roman"/>
                <w:sz w:val="21"/>
                <w:szCs w:val="21"/>
              </w:rPr>
              <w:t>57.92</w:t>
            </w:r>
          </w:p>
        </w:tc>
        <w:tc>
          <w:tcPr>
            <w:tcW w:w="1307" w:type="dxa"/>
            <w:shd w:val="clear" w:color="auto" w:fill="auto"/>
          </w:tcPr>
          <w:p w14:paraId="469A604C" w14:textId="77777777" w:rsidR="009C353B" w:rsidRDefault="00000000">
            <w:pPr>
              <w:widowControl/>
              <w:jc w:val="center"/>
              <w:rPr>
                <w:rFonts w:ascii="Times New Roman" w:hAnsi="Times New Roman"/>
                <w:sz w:val="21"/>
                <w:szCs w:val="21"/>
              </w:rPr>
            </w:pPr>
            <w:r>
              <w:rPr>
                <w:rFonts w:ascii="Times New Roman" w:hAnsi="Times New Roman"/>
                <w:sz w:val="21"/>
                <w:szCs w:val="21"/>
              </w:rPr>
              <w:t>57.92</w:t>
            </w:r>
          </w:p>
        </w:tc>
        <w:tc>
          <w:tcPr>
            <w:tcW w:w="830" w:type="dxa"/>
            <w:shd w:val="clear" w:color="auto" w:fill="auto"/>
            <w:noWrap/>
          </w:tcPr>
          <w:p w14:paraId="2B6D141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2E34A66C" w14:textId="77777777">
        <w:trPr>
          <w:trHeight w:val="340"/>
        </w:trPr>
        <w:tc>
          <w:tcPr>
            <w:tcW w:w="648" w:type="dxa"/>
            <w:vMerge/>
          </w:tcPr>
          <w:p w14:paraId="5CA9DED5"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7BD67D7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T5-1</w:t>
            </w:r>
          </w:p>
        </w:tc>
        <w:tc>
          <w:tcPr>
            <w:tcW w:w="883" w:type="dxa"/>
            <w:shd w:val="clear" w:color="auto" w:fill="auto"/>
            <w:noWrap/>
          </w:tcPr>
          <w:p w14:paraId="6E99757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103C015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2.32</w:t>
            </w:r>
          </w:p>
        </w:tc>
        <w:tc>
          <w:tcPr>
            <w:tcW w:w="882" w:type="dxa"/>
            <w:shd w:val="clear" w:color="auto" w:fill="auto"/>
            <w:noWrap/>
          </w:tcPr>
          <w:p w14:paraId="690B44F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37.33</w:t>
            </w:r>
          </w:p>
        </w:tc>
        <w:tc>
          <w:tcPr>
            <w:tcW w:w="883" w:type="dxa"/>
            <w:shd w:val="clear" w:color="auto" w:fill="auto"/>
            <w:noWrap/>
          </w:tcPr>
          <w:p w14:paraId="7062591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40.46</w:t>
            </w:r>
          </w:p>
        </w:tc>
        <w:tc>
          <w:tcPr>
            <w:tcW w:w="1942" w:type="dxa"/>
            <w:shd w:val="clear" w:color="auto" w:fill="auto"/>
          </w:tcPr>
          <w:p w14:paraId="08012752" w14:textId="77777777" w:rsidR="009C353B" w:rsidRDefault="00000000">
            <w:pPr>
              <w:widowControl/>
              <w:jc w:val="center"/>
              <w:rPr>
                <w:rFonts w:ascii="Times New Roman" w:hAnsi="Times New Roman"/>
                <w:sz w:val="21"/>
                <w:szCs w:val="21"/>
              </w:rPr>
            </w:pPr>
            <w:r>
              <w:rPr>
                <w:rFonts w:ascii="Times New Roman" w:hAnsi="Times New Roman"/>
                <w:sz w:val="21"/>
                <w:szCs w:val="21"/>
              </w:rPr>
              <w:t>37.78</w:t>
            </w:r>
          </w:p>
        </w:tc>
        <w:tc>
          <w:tcPr>
            <w:tcW w:w="1307" w:type="dxa"/>
            <w:shd w:val="clear" w:color="auto" w:fill="auto"/>
          </w:tcPr>
          <w:p w14:paraId="2F4E256B" w14:textId="77777777" w:rsidR="009C353B" w:rsidRDefault="00000000">
            <w:pPr>
              <w:widowControl/>
              <w:jc w:val="center"/>
              <w:rPr>
                <w:rFonts w:ascii="Times New Roman" w:hAnsi="Times New Roman"/>
                <w:sz w:val="21"/>
                <w:szCs w:val="21"/>
              </w:rPr>
            </w:pPr>
            <w:r>
              <w:rPr>
                <w:rFonts w:ascii="Times New Roman" w:hAnsi="Times New Roman"/>
                <w:sz w:val="21"/>
                <w:szCs w:val="21"/>
              </w:rPr>
              <w:t>40.46</w:t>
            </w:r>
          </w:p>
        </w:tc>
        <w:tc>
          <w:tcPr>
            <w:tcW w:w="830" w:type="dxa"/>
            <w:shd w:val="clear" w:color="auto" w:fill="auto"/>
            <w:noWrap/>
          </w:tcPr>
          <w:p w14:paraId="63FE4F4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819D3D9" w14:textId="77777777">
        <w:trPr>
          <w:trHeight w:val="340"/>
        </w:trPr>
        <w:tc>
          <w:tcPr>
            <w:tcW w:w="648" w:type="dxa"/>
            <w:vMerge/>
          </w:tcPr>
          <w:p w14:paraId="34E13D39" w14:textId="77777777" w:rsidR="009C353B" w:rsidRDefault="009C353B">
            <w:pPr>
              <w:widowControl/>
              <w:jc w:val="center"/>
              <w:rPr>
                <w:rFonts w:ascii="Times New Roman" w:hAnsi="Times New Roman"/>
                <w:kern w:val="0"/>
                <w:sz w:val="21"/>
                <w:szCs w:val="21"/>
              </w:rPr>
            </w:pPr>
          </w:p>
        </w:tc>
        <w:tc>
          <w:tcPr>
            <w:tcW w:w="1111" w:type="dxa"/>
            <w:vMerge/>
          </w:tcPr>
          <w:p w14:paraId="3FF69231"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1533D8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216BB10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2.57</w:t>
            </w:r>
          </w:p>
        </w:tc>
        <w:tc>
          <w:tcPr>
            <w:tcW w:w="882" w:type="dxa"/>
            <w:shd w:val="clear" w:color="auto" w:fill="auto"/>
            <w:noWrap/>
          </w:tcPr>
          <w:p w14:paraId="3B72CBF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38.92</w:t>
            </w:r>
          </w:p>
        </w:tc>
        <w:tc>
          <w:tcPr>
            <w:tcW w:w="883" w:type="dxa"/>
            <w:shd w:val="clear" w:color="auto" w:fill="auto"/>
            <w:noWrap/>
          </w:tcPr>
          <w:p w14:paraId="3E083AB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42.06</w:t>
            </w:r>
          </w:p>
        </w:tc>
        <w:tc>
          <w:tcPr>
            <w:tcW w:w="1942" w:type="dxa"/>
            <w:shd w:val="clear" w:color="auto" w:fill="auto"/>
          </w:tcPr>
          <w:p w14:paraId="5CC26DB4" w14:textId="77777777" w:rsidR="009C353B" w:rsidRDefault="00000000">
            <w:pPr>
              <w:widowControl/>
              <w:jc w:val="center"/>
              <w:rPr>
                <w:rFonts w:ascii="Times New Roman" w:hAnsi="Times New Roman"/>
                <w:sz w:val="21"/>
                <w:szCs w:val="21"/>
              </w:rPr>
            </w:pPr>
            <w:r>
              <w:rPr>
                <w:rFonts w:ascii="Times New Roman" w:hAnsi="Times New Roman"/>
                <w:sz w:val="21"/>
                <w:szCs w:val="21"/>
              </w:rPr>
              <w:t>41.30</w:t>
            </w:r>
          </w:p>
        </w:tc>
        <w:tc>
          <w:tcPr>
            <w:tcW w:w="1307" w:type="dxa"/>
            <w:shd w:val="clear" w:color="auto" w:fill="auto"/>
          </w:tcPr>
          <w:p w14:paraId="29F774B3" w14:textId="77777777" w:rsidR="009C353B" w:rsidRDefault="00000000">
            <w:pPr>
              <w:widowControl/>
              <w:jc w:val="center"/>
              <w:rPr>
                <w:rFonts w:ascii="Times New Roman" w:hAnsi="Times New Roman"/>
                <w:sz w:val="21"/>
                <w:szCs w:val="21"/>
              </w:rPr>
            </w:pPr>
            <w:r>
              <w:rPr>
                <w:rFonts w:ascii="Times New Roman" w:hAnsi="Times New Roman"/>
                <w:sz w:val="21"/>
                <w:szCs w:val="21"/>
              </w:rPr>
              <w:t>42.06</w:t>
            </w:r>
          </w:p>
        </w:tc>
        <w:tc>
          <w:tcPr>
            <w:tcW w:w="830" w:type="dxa"/>
            <w:shd w:val="clear" w:color="auto" w:fill="auto"/>
            <w:noWrap/>
          </w:tcPr>
          <w:p w14:paraId="1544B67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6F605392" w14:textId="77777777">
        <w:trPr>
          <w:trHeight w:val="340"/>
        </w:trPr>
        <w:tc>
          <w:tcPr>
            <w:tcW w:w="648" w:type="dxa"/>
            <w:vMerge/>
          </w:tcPr>
          <w:p w14:paraId="61E0D7AA" w14:textId="77777777" w:rsidR="009C353B" w:rsidRDefault="009C353B">
            <w:pPr>
              <w:widowControl/>
              <w:jc w:val="center"/>
              <w:rPr>
                <w:rFonts w:ascii="Times New Roman" w:hAnsi="Times New Roman"/>
                <w:kern w:val="0"/>
                <w:sz w:val="21"/>
                <w:szCs w:val="21"/>
              </w:rPr>
            </w:pPr>
          </w:p>
        </w:tc>
        <w:tc>
          <w:tcPr>
            <w:tcW w:w="1111" w:type="dxa"/>
            <w:vMerge/>
          </w:tcPr>
          <w:p w14:paraId="09BE7891"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6B24040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5FBC5B7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6.78</w:t>
            </w:r>
          </w:p>
        </w:tc>
        <w:tc>
          <w:tcPr>
            <w:tcW w:w="882" w:type="dxa"/>
            <w:shd w:val="clear" w:color="auto" w:fill="auto"/>
            <w:noWrap/>
          </w:tcPr>
          <w:p w14:paraId="580D97B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52.53</w:t>
            </w:r>
          </w:p>
        </w:tc>
        <w:tc>
          <w:tcPr>
            <w:tcW w:w="883" w:type="dxa"/>
            <w:shd w:val="clear" w:color="auto" w:fill="auto"/>
            <w:noWrap/>
          </w:tcPr>
          <w:p w14:paraId="1C81CC6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62.08</w:t>
            </w:r>
          </w:p>
        </w:tc>
        <w:tc>
          <w:tcPr>
            <w:tcW w:w="1942" w:type="dxa"/>
            <w:shd w:val="clear" w:color="auto" w:fill="auto"/>
          </w:tcPr>
          <w:p w14:paraId="3A8C4AFD" w14:textId="77777777" w:rsidR="009C353B" w:rsidRDefault="00000000">
            <w:pPr>
              <w:widowControl/>
              <w:jc w:val="center"/>
              <w:rPr>
                <w:rFonts w:ascii="Times New Roman" w:hAnsi="Times New Roman"/>
                <w:sz w:val="21"/>
                <w:szCs w:val="21"/>
              </w:rPr>
            </w:pPr>
            <w:r>
              <w:rPr>
                <w:rFonts w:ascii="Times New Roman" w:hAnsi="Times New Roman"/>
                <w:sz w:val="21"/>
                <w:szCs w:val="21"/>
              </w:rPr>
              <w:t>100.59</w:t>
            </w:r>
          </w:p>
        </w:tc>
        <w:tc>
          <w:tcPr>
            <w:tcW w:w="1307" w:type="dxa"/>
            <w:shd w:val="clear" w:color="auto" w:fill="auto"/>
          </w:tcPr>
          <w:p w14:paraId="33259A23" w14:textId="77777777" w:rsidR="009C353B" w:rsidRDefault="00000000">
            <w:pPr>
              <w:widowControl/>
              <w:jc w:val="center"/>
              <w:rPr>
                <w:rFonts w:ascii="Times New Roman" w:hAnsi="Times New Roman"/>
                <w:sz w:val="21"/>
                <w:szCs w:val="21"/>
              </w:rPr>
            </w:pPr>
            <w:r>
              <w:rPr>
                <w:rFonts w:ascii="Times New Roman" w:hAnsi="Times New Roman"/>
                <w:sz w:val="21"/>
                <w:szCs w:val="21"/>
              </w:rPr>
              <w:t>100.59</w:t>
            </w:r>
          </w:p>
        </w:tc>
        <w:tc>
          <w:tcPr>
            <w:tcW w:w="830" w:type="dxa"/>
            <w:shd w:val="clear" w:color="auto" w:fill="auto"/>
            <w:noWrap/>
          </w:tcPr>
          <w:p w14:paraId="4496FC7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4AA9ED61" w14:textId="77777777">
        <w:trPr>
          <w:trHeight w:val="340"/>
        </w:trPr>
        <w:tc>
          <w:tcPr>
            <w:tcW w:w="648" w:type="dxa"/>
            <w:vMerge/>
          </w:tcPr>
          <w:p w14:paraId="5D72E8EB"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1C5E7A5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T504</w:t>
            </w:r>
          </w:p>
        </w:tc>
        <w:tc>
          <w:tcPr>
            <w:tcW w:w="883" w:type="dxa"/>
            <w:shd w:val="clear" w:color="auto" w:fill="auto"/>
            <w:noWrap/>
          </w:tcPr>
          <w:p w14:paraId="6F87C52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46A249F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1.41</w:t>
            </w:r>
          </w:p>
        </w:tc>
        <w:tc>
          <w:tcPr>
            <w:tcW w:w="882" w:type="dxa"/>
            <w:shd w:val="clear" w:color="auto" w:fill="auto"/>
            <w:noWrap/>
          </w:tcPr>
          <w:p w14:paraId="5AFBA35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29.68</w:t>
            </w:r>
          </w:p>
        </w:tc>
        <w:tc>
          <w:tcPr>
            <w:tcW w:w="883" w:type="dxa"/>
            <w:shd w:val="clear" w:color="auto" w:fill="auto"/>
            <w:noWrap/>
          </w:tcPr>
          <w:p w14:paraId="02B696C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33.75</w:t>
            </w:r>
          </w:p>
        </w:tc>
        <w:tc>
          <w:tcPr>
            <w:tcW w:w="1942" w:type="dxa"/>
            <w:shd w:val="clear" w:color="auto" w:fill="auto"/>
          </w:tcPr>
          <w:p w14:paraId="31C22289" w14:textId="77777777" w:rsidR="009C353B" w:rsidRDefault="00000000">
            <w:pPr>
              <w:widowControl/>
              <w:jc w:val="center"/>
              <w:rPr>
                <w:rFonts w:ascii="Times New Roman" w:hAnsi="Times New Roman"/>
                <w:sz w:val="21"/>
                <w:szCs w:val="21"/>
              </w:rPr>
            </w:pPr>
            <w:r>
              <w:rPr>
                <w:rFonts w:ascii="Times New Roman" w:hAnsi="Times New Roman"/>
                <w:sz w:val="21"/>
                <w:szCs w:val="21"/>
              </w:rPr>
              <w:t>24.96</w:t>
            </w:r>
          </w:p>
        </w:tc>
        <w:tc>
          <w:tcPr>
            <w:tcW w:w="1307" w:type="dxa"/>
            <w:shd w:val="clear" w:color="auto" w:fill="auto"/>
          </w:tcPr>
          <w:p w14:paraId="7FB3B2FE" w14:textId="77777777" w:rsidR="009C353B" w:rsidRDefault="00000000">
            <w:pPr>
              <w:widowControl/>
              <w:jc w:val="center"/>
              <w:rPr>
                <w:rFonts w:ascii="Times New Roman" w:hAnsi="Times New Roman"/>
                <w:sz w:val="21"/>
                <w:szCs w:val="21"/>
              </w:rPr>
            </w:pPr>
            <w:r>
              <w:rPr>
                <w:rFonts w:ascii="Times New Roman" w:hAnsi="Times New Roman"/>
                <w:sz w:val="21"/>
                <w:szCs w:val="21"/>
              </w:rPr>
              <w:t>33.75</w:t>
            </w:r>
          </w:p>
        </w:tc>
        <w:tc>
          <w:tcPr>
            <w:tcW w:w="830" w:type="dxa"/>
            <w:shd w:val="clear" w:color="auto" w:fill="auto"/>
            <w:noWrap/>
          </w:tcPr>
          <w:p w14:paraId="2BE6A73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1C890B81" w14:textId="77777777">
        <w:trPr>
          <w:trHeight w:val="340"/>
        </w:trPr>
        <w:tc>
          <w:tcPr>
            <w:tcW w:w="648" w:type="dxa"/>
            <w:vMerge/>
          </w:tcPr>
          <w:p w14:paraId="74047A80" w14:textId="77777777" w:rsidR="009C353B" w:rsidRDefault="009C353B">
            <w:pPr>
              <w:widowControl/>
              <w:jc w:val="center"/>
              <w:rPr>
                <w:rFonts w:ascii="Times New Roman" w:hAnsi="Times New Roman"/>
                <w:kern w:val="0"/>
                <w:sz w:val="21"/>
                <w:szCs w:val="21"/>
              </w:rPr>
            </w:pPr>
          </w:p>
        </w:tc>
        <w:tc>
          <w:tcPr>
            <w:tcW w:w="1111" w:type="dxa"/>
            <w:vMerge/>
          </w:tcPr>
          <w:p w14:paraId="6ADC7FA7"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81A0CF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0A6F93A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1.69</w:t>
            </w:r>
          </w:p>
        </w:tc>
        <w:tc>
          <w:tcPr>
            <w:tcW w:w="882" w:type="dxa"/>
            <w:shd w:val="clear" w:color="auto" w:fill="auto"/>
            <w:noWrap/>
          </w:tcPr>
          <w:p w14:paraId="7581460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32.41</w:t>
            </w:r>
          </w:p>
        </w:tc>
        <w:tc>
          <w:tcPr>
            <w:tcW w:w="883" w:type="dxa"/>
            <w:shd w:val="clear" w:color="auto" w:fill="auto"/>
            <w:noWrap/>
          </w:tcPr>
          <w:p w14:paraId="7B68C09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36.00</w:t>
            </w:r>
          </w:p>
        </w:tc>
        <w:tc>
          <w:tcPr>
            <w:tcW w:w="1942" w:type="dxa"/>
            <w:shd w:val="clear" w:color="auto" w:fill="auto"/>
          </w:tcPr>
          <w:p w14:paraId="7CB0CA99" w14:textId="77777777" w:rsidR="009C353B" w:rsidRDefault="00000000">
            <w:pPr>
              <w:widowControl/>
              <w:jc w:val="center"/>
              <w:rPr>
                <w:rFonts w:ascii="Times New Roman" w:hAnsi="Times New Roman"/>
                <w:sz w:val="21"/>
                <w:szCs w:val="21"/>
              </w:rPr>
            </w:pPr>
            <w:r>
              <w:rPr>
                <w:rFonts w:ascii="Times New Roman" w:hAnsi="Times New Roman"/>
                <w:sz w:val="21"/>
                <w:szCs w:val="21"/>
              </w:rPr>
              <w:t>28.90</w:t>
            </w:r>
          </w:p>
        </w:tc>
        <w:tc>
          <w:tcPr>
            <w:tcW w:w="1307" w:type="dxa"/>
            <w:shd w:val="clear" w:color="auto" w:fill="auto"/>
          </w:tcPr>
          <w:p w14:paraId="255951E2" w14:textId="77777777" w:rsidR="009C353B" w:rsidRDefault="00000000">
            <w:pPr>
              <w:widowControl/>
              <w:jc w:val="center"/>
              <w:rPr>
                <w:rFonts w:ascii="Times New Roman" w:hAnsi="Times New Roman"/>
                <w:sz w:val="21"/>
                <w:szCs w:val="21"/>
              </w:rPr>
            </w:pPr>
            <w:r>
              <w:rPr>
                <w:rFonts w:ascii="Times New Roman" w:hAnsi="Times New Roman"/>
                <w:sz w:val="21"/>
                <w:szCs w:val="21"/>
              </w:rPr>
              <w:t>36.00</w:t>
            </w:r>
          </w:p>
        </w:tc>
        <w:tc>
          <w:tcPr>
            <w:tcW w:w="830" w:type="dxa"/>
            <w:shd w:val="clear" w:color="auto" w:fill="auto"/>
            <w:noWrap/>
          </w:tcPr>
          <w:p w14:paraId="6EA7202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40EE1DB" w14:textId="77777777">
        <w:trPr>
          <w:trHeight w:val="340"/>
        </w:trPr>
        <w:tc>
          <w:tcPr>
            <w:tcW w:w="648" w:type="dxa"/>
            <w:vMerge/>
          </w:tcPr>
          <w:p w14:paraId="508B023E" w14:textId="77777777" w:rsidR="009C353B" w:rsidRDefault="009C353B">
            <w:pPr>
              <w:widowControl/>
              <w:jc w:val="center"/>
              <w:rPr>
                <w:rFonts w:ascii="Times New Roman" w:hAnsi="Times New Roman"/>
                <w:kern w:val="0"/>
                <w:sz w:val="21"/>
                <w:szCs w:val="21"/>
              </w:rPr>
            </w:pPr>
          </w:p>
        </w:tc>
        <w:tc>
          <w:tcPr>
            <w:tcW w:w="1111" w:type="dxa"/>
            <w:vMerge/>
          </w:tcPr>
          <w:p w14:paraId="7FE1EF11"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99D6A9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47100A9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2.92</w:t>
            </w:r>
          </w:p>
        </w:tc>
        <w:tc>
          <w:tcPr>
            <w:tcW w:w="882" w:type="dxa"/>
            <w:shd w:val="clear" w:color="auto" w:fill="auto"/>
            <w:noWrap/>
          </w:tcPr>
          <w:p w14:paraId="4D72F88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40.90</w:t>
            </w:r>
          </w:p>
        </w:tc>
        <w:tc>
          <w:tcPr>
            <w:tcW w:w="883" w:type="dxa"/>
            <w:shd w:val="clear" w:color="auto" w:fill="auto"/>
            <w:noWrap/>
          </w:tcPr>
          <w:p w14:paraId="4EB448C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44.18</w:t>
            </w:r>
          </w:p>
        </w:tc>
        <w:tc>
          <w:tcPr>
            <w:tcW w:w="1942" w:type="dxa"/>
            <w:shd w:val="clear" w:color="auto" w:fill="auto"/>
          </w:tcPr>
          <w:p w14:paraId="7559B570" w14:textId="77777777" w:rsidR="009C353B" w:rsidRDefault="00000000">
            <w:pPr>
              <w:widowControl/>
              <w:jc w:val="center"/>
              <w:rPr>
                <w:rFonts w:ascii="Times New Roman" w:hAnsi="Times New Roman"/>
                <w:sz w:val="21"/>
                <w:szCs w:val="21"/>
              </w:rPr>
            </w:pPr>
            <w:r>
              <w:rPr>
                <w:rFonts w:ascii="Times New Roman" w:hAnsi="Times New Roman"/>
                <w:sz w:val="21"/>
                <w:szCs w:val="21"/>
              </w:rPr>
              <w:t>46.23</w:t>
            </w:r>
          </w:p>
        </w:tc>
        <w:tc>
          <w:tcPr>
            <w:tcW w:w="1307" w:type="dxa"/>
            <w:shd w:val="clear" w:color="auto" w:fill="auto"/>
          </w:tcPr>
          <w:p w14:paraId="0D928925" w14:textId="77777777" w:rsidR="009C353B" w:rsidRDefault="00000000">
            <w:pPr>
              <w:widowControl/>
              <w:jc w:val="center"/>
              <w:rPr>
                <w:rFonts w:ascii="Times New Roman" w:hAnsi="Times New Roman"/>
                <w:sz w:val="21"/>
                <w:szCs w:val="21"/>
              </w:rPr>
            </w:pPr>
            <w:r>
              <w:rPr>
                <w:rFonts w:ascii="Times New Roman" w:hAnsi="Times New Roman"/>
                <w:sz w:val="21"/>
                <w:szCs w:val="21"/>
              </w:rPr>
              <w:t>46.23</w:t>
            </w:r>
          </w:p>
        </w:tc>
        <w:tc>
          <w:tcPr>
            <w:tcW w:w="830" w:type="dxa"/>
            <w:shd w:val="clear" w:color="auto" w:fill="auto"/>
            <w:noWrap/>
          </w:tcPr>
          <w:p w14:paraId="49A402D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2F24C6D0" w14:textId="77777777">
        <w:trPr>
          <w:trHeight w:val="340"/>
        </w:trPr>
        <w:tc>
          <w:tcPr>
            <w:tcW w:w="648" w:type="dxa"/>
            <w:vMerge/>
          </w:tcPr>
          <w:p w14:paraId="39FB54EB"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79F5845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T5-2</w:t>
            </w:r>
          </w:p>
        </w:tc>
        <w:tc>
          <w:tcPr>
            <w:tcW w:w="883" w:type="dxa"/>
            <w:shd w:val="clear" w:color="auto" w:fill="auto"/>
            <w:noWrap/>
          </w:tcPr>
          <w:p w14:paraId="5AE3476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5C3680F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1.26</w:t>
            </w:r>
          </w:p>
        </w:tc>
        <w:tc>
          <w:tcPr>
            <w:tcW w:w="882" w:type="dxa"/>
            <w:shd w:val="clear" w:color="auto" w:fill="auto"/>
            <w:noWrap/>
          </w:tcPr>
          <w:p w14:paraId="31FDB7E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28.04</w:t>
            </w:r>
          </w:p>
        </w:tc>
        <w:tc>
          <w:tcPr>
            <w:tcW w:w="883" w:type="dxa"/>
            <w:shd w:val="clear" w:color="auto" w:fill="auto"/>
            <w:noWrap/>
          </w:tcPr>
          <w:p w14:paraId="6D84F9A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32.45</w:t>
            </w:r>
          </w:p>
        </w:tc>
        <w:tc>
          <w:tcPr>
            <w:tcW w:w="1942" w:type="dxa"/>
            <w:shd w:val="clear" w:color="auto" w:fill="auto"/>
          </w:tcPr>
          <w:p w14:paraId="216A4241" w14:textId="77777777" w:rsidR="009C353B" w:rsidRDefault="00000000">
            <w:pPr>
              <w:widowControl/>
              <w:jc w:val="center"/>
              <w:rPr>
                <w:rFonts w:ascii="Times New Roman" w:hAnsi="Times New Roman"/>
                <w:sz w:val="21"/>
                <w:szCs w:val="21"/>
              </w:rPr>
            </w:pPr>
            <w:r>
              <w:rPr>
                <w:rFonts w:ascii="Times New Roman" w:hAnsi="Times New Roman"/>
                <w:sz w:val="21"/>
                <w:szCs w:val="21"/>
              </w:rPr>
              <w:t>22.85</w:t>
            </w:r>
          </w:p>
        </w:tc>
        <w:tc>
          <w:tcPr>
            <w:tcW w:w="1307" w:type="dxa"/>
            <w:shd w:val="clear" w:color="auto" w:fill="auto"/>
          </w:tcPr>
          <w:p w14:paraId="047C6F4A" w14:textId="77777777" w:rsidR="009C353B" w:rsidRDefault="00000000">
            <w:pPr>
              <w:widowControl/>
              <w:jc w:val="center"/>
              <w:rPr>
                <w:rFonts w:ascii="Times New Roman" w:hAnsi="Times New Roman"/>
                <w:sz w:val="21"/>
                <w:szCs w:val="21"/>
              </w:rPr>
            </w:pPr>
            <w:r>
              <w:rPr>
                <w:rFonts w:ascii="Times New Roman" w:hAnsi="Times New Roman"/>
                <w:sz w:val="21"/>
                <w:szCs w:val="21"/>
              </w:rPr>
              <w:t>32.45</w:t>
            </w:r>
          </w:p>
        </w:tc>
        <w:tc>
          <w:tcPr>
            <w:tcW w:w="830" w:type="dxa"/>
            <w:shd w:val="clear" w:color="auto" w:fill="auto"/>
            <w:noWrap/>
          </w:tcPr>
          <w:p w14:paraId="34C61BC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64039FC" w14:textId="77777777">
        <w:trPr>
          <w:trHeight w:val="340"/>
        </w:trPr>
        <w:tc>
          <w:tcPr>
            <w:tcW w:w="648" w:type="dxa"/>
            <w:vMerge/>
          </w:tcPr>
          <w:p w14:paraId="30EBD668" w14:textId="77777777" w:rsidR="009C353B" w:rsidRDefault="009C353B">
            <w:pPr>
              <w:widowControl/>
              <w:jc w:val="center"/>
              <w:rPr>
                <w:rFonts w:ascii="Times New Roman" w:hAnsi="Times New Roman"/>
                <w:kern w:val="0"/>
                <w:sz w:val="21"/>
                <w:szCs w:val="21"/>
              </w:rPr>
            </w:pPr>
          </w:p>
        </w:tc>
        <w:tc>
          <w:tcPr>
            <w:tcW w:w="1111" w:type="dxa"/>
            <w:vMerge/>
          </w:tcPr>
          <w:p w14:paraId="628D1A23"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5A30A00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1679362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1.93</w:t>
            </w:r>
          </w:p>
        </w:tc>
        <w:tc>
          <w:tcPr>
            <w:tcW w:w="882" w:type="dxa"/>
            <w:shd w:val="clear" w:color="auto" w:fill="auto"/>
            <w:noWrap/>
          </w:tcPr>
          <w:p w14:paraId="431EE2F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34.46</w:t>
            </w:r>
          </w:p>
        </w:tc>
        <w:tc>
          <w:tcPr>
            <w:tcW w:w="883" w:type="dxa"/>
            <w:shd w:val="clear" w:color="auto" w:fill="auto"/>
            <w:noWrap/>
          </w:tcPr>
          <w:p w14:paraId="12F6CA9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37.78</w:t>
            </w:r>
          </w:p>
        </w:tc>
        <w:tc>
          <w:tcPr>
            <w:tcW w:w="1942" w:type="dxa"/>
            <w:shd w:val="clear" w:color="auto" w:fill="auto"/>
          </w:tcPr>
          <w:p w14:paraId="20C60188" w14:textId="77777777" w:rsidR="009C353B" w:rsidRDefault="00000000">
            <w:pPr>
              <w:widowControl/>
              <w:jc w:val="center"/>
              <w:rPr>
                <w:rFonts w:ascii="Times New Roman" w:hAnsi="Times New Roman"/>
                <w:sz w:val="21"/>
                <w:szCs w:val="21"/>
              </w:rPr>
            </w:pPr>
            <w:r>
              <w:rPr>
                <w:rFonts w:ascii="Times New Roman" w:hAnsi="Times New Roman"/>
                <w:sz w:val="21"/>
                <w:szCs w:val="21"/>
              </w:rPr>
              <w:t>32.28</w:t>
            </w:r>
          </w:p>
        </w:tc>
        <w:tc>
          <w:tcPr>
            <w:tcW w:w="1307" w:type="dxa"/>
            <w:shd w:val="clear" w:color="auto" w:fill="auto"/>
          </w:tcPr>
          <w:p w14:paraId="6735849D" w14:textId="77777777" w:rsidR="009C353B" w:rsidRDefault="00000000">
            <w:pPr>
              <w:widowControl/>
              <w:jc w:val="center"/>
              <w:rPr>
                <w:rFonts w:ascii="Times New Roman" w:hAnsi="Times New Roman"/>
                <w:sz w:val="21"/>
                <w:szCs w:val="21"/>
              </w:rPr>
            </w:pPr>
            <w:r>
              <w:rPr>
                <w:rFonts w:ascii="Times New Roman" w:hAnsi="Times New Roman"/>
                <w:sz w:val="21"/>
                <w:szCs w:val="21"/>
              </w:rPr>
              <w:t>37.78</w:t>
            </w:r>
          </w:p>
        </w:tc>
        <w:tc>
          <w:tcPr>
            <w:tcW w:w="830" w:type="dxa"/>
            <w:shd w:val="clear" w:color="auto" w:fill="auto"/>
            <w:noWrap/>
          </w:tcPr>
          <w:p w14:paraId="0B2D5C7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0C33ECA5" w14:textId="77777777">
        <w:trPr>
          <w:trHeight w:val="340"/>
        </w:trPr>
        <w:tc>
          <w:tcPr>
            <w:tcW w:w="648" w:type="dxa"/>
            <w:vMerge/>
          </w:tcPr>
          <w:p w14:paraId="48FD57B5" w14:textId="77777777" w:rsidR="009C353B" w:rsidRDefault="009C353B">
            <w:pPr>
              <w:widowControl/>
              <w:jc w:val="center"/>
              <w:rPr>
                <w:rFonts w:ascii="Times New Roman" w:hAnsi="Times New Roman"/>
                <w:kern w:val="0"/>
                <w:sz w:val="21"/>
                <w:szCs w:val="21"/>
              </w:rPr>
            </w:pPr>
          </w:p>
        </w:tc>
        <w:tc>
          <w:tcPr>
            <w:tcW w:w="1111" w:type="dxa"/>
            <w:vMerge/>
          </w:tcPr>
          <w:p w14:paraId="3A1A8875"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6F1B1D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21406DE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4.17</w:t>
            </w:r>
          </w:p>
        </w:tc>
        <w:tc>
          <w:tcPr>
            <w:tcW w:w="882" w:type="dxa"/>
            <w:shd w:val="clear" w:color="auto" w:fill="auto"/>
            <w:noWrap/>
          </w:tcPr>
          <w:p w14:paraId="3FC621B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46.20</w:t>
            </w:r>
          </w:p>
        </w:tc>
        <w:tc>
          <w:tcPr>
            <w:tcW w:w="883" w:type="dxa"/>
            <w:shd w:val="clear" w:color="auto" w:fill="auto"/>
            <w:noWrap/>
          </w:tcPr>
          <w:p w14:paraId="2F087D0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50.84</w:t>
            </w:r>
          </w:p>
        </w:tc>
        <w:tc>
          <w:tcPr>
            <w:tcW w:w="1942" w:type="dxa"/>
            <w:shd w:val="clear" w:color="auto" w:fill="auto"/>
          </w:tcPr>
          <w:p w14:paraId="73B0CEE1" w14:textId="77777777" w:rsidR="009C353B" w:rsidRDefault="00000000">
            <w:pPr>
              <w:widowControl/>
              <w:jc w:val="center"/>
              <w:rPr>
                <w:rFonts w:ascii="Times New Roman" w:hAnsi="Times New Roman"/>
                <w:sz w:val="21"/>
                <w:szCs w:val="21"/>
              </w:rPr>
            </w:pPr>
            <w:r>
              <w:rPr>
                <w:rFonts w:ascii="Times New Roman" w:hAnsi="Times New Roman"/>
                <w:sz w:val="21"/>
                <w:szCs w:val="21"/>
              </w:rPr>
              <w:t>63.83</w:t>
            </w:r>
          </w:p>
        </w:tc>
        <w:tc>
          <w:tcPr>
            <w:tcW w:w="1307" w:type="dxa"/>
            <w:shd w:val="clear" w:color="auto" w:fill="auto"/>
          </w:tcPr>
          <w:p w14:paraId="60FD7211" w14:textId="77777777" w:rsidR="009C353B" w:rsidRDefault="00000000">
            <w:pPr>
              <w:widowControl/>
              <w:jc w:val="center"/>
              <w:rPr>
                <w:rFonts w:ascii="Times New Roman" w:hAnsi="Times New Roman"/>
                <w:sz w:val="21"/>
                <w:szCs w:val="21"/>
              </w:rPr>
            </w:pPr>
            <w:r>
              <w:rPr>
                <w:rFonts w:ascii="Times New Roman" w:hAnsi="Times New Roman"/>
                <w:sz w:val="21"/>
                <w:szCs w:val="21"/>
              </w:rPr>
              <w:t>63.83</w:t>
            </w:r>
          </w:p>
        </w:tc>
        <w:tc>
          <w:tcPr>
            <w:tcW w:w="830" w:type="dxa"/>
            <w:shd w:val="clear" w:color="auto" w:fill="auto"/>
            <w:noWrap/>
          </w:tcPr>
          <w:p w14:paraId="760DD86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5C591C6A" w14:textId="77777777">
        <w:trPr>
          <w:trHeight w:val="340"/>
        </w:trPr>
        <w:tc>
          <w:tcPr>
            <w:tcW w:w="648" w:type="dxa"/>
            <w:vMerge/>
          </w:tcPr>
          <w:p w14:paraId="3F0A27EB"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03AA422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T505</w:t>
            </w:r>
          </w:p>
        </w:tc>
        <w:tc>
          <w:tcPr>
            <w:tcW w:w="883" w:type="dxa"/>
            <w:shd w:val="clear" w:color="auto" w:fill="auto"/>
            <w:noWrap/>
          </w:tcPr>
          <w:p w14:paraId="35B7CB1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66F65EA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1.12</w:t>
            </w:r>
          </w:p>
        </w:tc>
        <w:tc>
          <w:tcPr>
            <w:tcW w:w="882" w:type="dxa"/>
            <w:shd w:val="clear" w:color="auto" w:fill="auto"/>
            <w:noWrap/>
          </w:tcPr>
          <w:p w14:paraId="149958A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26.37</w:t>
            </w:r>
          </w:p>
        </w:tc>
        <w:tc>
          <w:tcPr>
            <w:tcW w:w="883" w:type="dxa"/>
            <w:shd w:val="clear" w:color="auto" w:fill="auto"/>
            <w:noWrap/>
          </w:tcPr>
          <w:p w14:paraId="59EBA6E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31.17</w:t>
            </w:r>
          </w:p>
        </w:tc>
        <w:tc>
          <w:tcPr>
            <w:tcW w:w="1942" w:type="dxa"/>
            <w:shd w:val="clear" w:color="auto" w:fill="auto"/>
          </w:tcPr>
          <w:p w14:paraId="4070009B" w14:textId="77777777" w:rsidR="009C353B" w:rsidRDefault="00000000">
            <w:pPr>
              <w:widowControl/>
              <w:jc w:val="center"/>
              <w:rPr>
                <w:rFonts w:ascii="Times New Roman" w:hAnsi="Times New Roman"/>
                <w:sz w:val="21"/>
                <w:szCs w:val="21"/>
              </w:rPr>
            </w:pPr>
            <w:r>
              <w:rPr>
                <w:rFonts w:ascii="Times New Roman" w:hAnsi="Times New Roman"/>
                <w:sz w:val="21"/>
                <w:szCs w:val="21"/>
              </w:rPr>
              <w:t>20.87</w:t>
            </w:r>
          </w:p>
        </w:tc>
        <w:tc>
          <w:tcPr>
            <w:tcW w:w="1307" w:type="dxa"/>
            <w:shd w:val="clear" w:color="auto" w:fill="auto"/>
          </w:tcPr>
          <w:p w14:paraId="23D415B9" w14:textId="77777777" w:rsidR="009C353B" w:rsidRDefault="00000000">
            <w:pPr>
              <w:widowControl/>
              <w:jc w:val="center"/>
              <w:rPr>
                <w:rFonts w:ascii="Times New Roman" w:hAnsi="Times New Roman"/>
                <w:sz w:val="21"/>
                <w:szCs w:val="21"/>
              </w:rPr>
            </w:pPr>
            <w:r>
              <w:rPr>
                <w:rFonts w:ascii="Times New Roman" w:hAnsi="Times New Roman"/>
                <w:sz w:val="21"/>
                <w:szCs w:val="21"/>
              </w:rPr>
              <w:t>31.17</w:t>
            </w:r>
          </w:p>
        </w:tc>
        <w:tc>
          <w:tcPr>
            <w:tcW w:w="830" w:type="dxa"/>
            <w:shd w:val="clear" w:color="auto" w:fill="auto"/>
            <w:noWrap/>
          </w:tcPr>
          <w:p w14:paraId="1A5224C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F360888" w14:textId="77777777">
        <w:trPr>
          <w:trHeight w:val="340"/>
        </w:trPr>
        <w:tc>
          <w:tcPr>
            <w:tcW w:w="648" w:type="dxa"/>
            <w:vMerge/>
          </w:tcPr>
          <w:p w14:paraId="61A3E499" w14:textId="77777777" w:rsidR="009C353B" w:rsidRDefault="009C353B">
            <w:pPr>
              <w:widowControl/>
              <w:jc w:val="center"/>
              <w:rPr>
                <w:rFonts w:ascii="Times New Roman" w:hAnsi="Times New Roman"/>
                <w:kern w:val="0"/>
                <w:sz w:val="21"/>
                <w:szCs w:val="21"/>
              </w:rPr>
            </w:pPr>
          </w:p>
        </w:tc>
        <w:tc>
          <w:tcPr>
            <w:tcW w:w="1111" w:type="dxa"/>
            <w:vMerge/>
          </w:tcPr>
          <w:p w14:paraId="6785B678"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FB6013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5459A33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2.09</w:t>
            </w:r>
          </w:p>
        </w:tc>
        <w:tc>
          <w:tcPr>
            <w:tcW w:w="882" w:type="dxa"/>
            <w:shd w:val="clear" w:color="auto" w:fill="auto"/>
            <w:noWrap/>
          </w:tcPr>
          <w:p w14:paraId="0DD6BDE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35.70</w:t>
            </w:r>
          </w:p>
        </w:tc>
        <w:tc>
          <w:tcPr>
            <w:tcW w:w="883" w:type="dxa"/>
            <w:shd w:val="clear" w:color="auto" w:fill="auto"/>
            <w:noWrap/>
          </w:tcPr>
          <w:p w14:paraId="02405A1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38.91</w:t>
            </w:r>
          </w:p>
        </w:tc>
        <w:tc>
          <w:tcPr>
            <w:tcW w:w="1942" w:type="dxa"/>
            <w:shd w:val="clear" w:color="auto" w:fill="auto"/>
          </w:tcPr>
          <w:p w14:paraId="79CC8136" w14:textId="77777777" w:rsidR="009C353B" w:rsidRDefault="00000000">
            <w:pPr>
              <w:widowControl/>
              <w:jc w:val="center"/>
              <w:rPr>
                <w:rFonts w:ascii="Times New Roman" w:hAnsi="Times New Roman"/>
                <w:sz w:val="21"/>
                <w:szCs w:val="21"/>
              </w:rPr>
            </w:pPr>
            <w:r>
              <w:rPr>
                <w:rFonts w:ascii="Times New Roman" w:hAnsi="Times New Roman"/>
                <w:sz w:val="21"/>
                <w:szCs w:val="21"/>
              </w:rPr>
              <w:t>34.54</w:t>
            </w:r>
          </w:p>
        </w:tc>
        <w:tc>
          <w:tcPr>
            <w:tcW w:w="1307" w:type="dxa"/>
            <w:shd w:val="clear" w:color="auto" w:fill="auto"/>
          </w:tcPr>
          <w:p w14:paraId="3585ED8E" w14:textId="77777777" w:rsidR="009C353B" w:rsidRDefault="00000000">
            <w:pPr>
              <w:widowControl/>
              <w:jc w:val="center"/>
              <w:rPr>
                <w:rFonts w:ascii="Times New Roman" w:hAnsi="Times New Roman"/>
                <w:sz w:val="21"/>
                <w:szCs w:val="21"/>
              </w:rPr>
            </w:pPr>
            <w:r>
              <w:rPr>
                <w:rFonts w:ascii="Times New Roman" w:hAnsi="Times New Roman"/>
                <w:sz w:val="21"/>
                <w:szCs w:val="21"/>
              </w:rPr>
              <w:t>38.91</w:t>
            </w:r>
          </w:p>
        </w:tc>
        <w:tc>
          <w:tcPr>
            <w:tcW w:w="830" w:type="dxa"/>
            <w:shd w:val="clear" w:color="auto" w:fill="auto"/>
            <w:noWrap/>
          </w:tcPr>
          <w:p w14:paraId="6DF7319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098E90AC" w14:textId="77777777">
        <w:trPr>
          <w:trHeight w:val="340"/>
        </w:trPr>
        <w:tc>
          <w:tcPr>
            <w:tcW w:w="648" w:type="dxa"/>
            <w:vMerge/>
          </w:tcPr>
          <w:p w14:paraId="16F2165C" w14:textId="77777777" w:rsidR="009C353B" w:rsidRDefault="009C353B">
            <w:pPr>
              <w:widowControl/>
              <w:jc w:val="center"/>
              <w:rPr>
                <w:rFonts w:ascii="Times New Roman" w:hAnsi="Times New Roman"/>
                <w:kern w:val="0"/>
                <w:sz w:val="21"/>
                <w:szCs w:val="21"/>
              </w:rPr>
            </w:pPr>
          </w:p>
        </w:tc>
        <w:tc>
          <w:tcPr>
            <w:tcW w:w="1111" w:type="dxa"/>
            <w:vMerge/>
          </w:tcPr>
          <w:p w14:paraId="60508FC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DA9972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3E1840F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5.19</w:t>
            </w:r>
          </w:p>
        </w:tc>
        <w:tc>
          <w:tcPr>
            <w:tcW w:w="882" w:type="dxa"/>
            <w:shd w:val="clear" w:color="auto" w:fill="auto"/>
            <w:noWrap/>
          </w:tcPr>
          <w:p w14:paraId="4380BAA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49.20</w:t>
            </w:r>
          </w:p>
        </w:tc>
        <w:tc>
          <w:tcPr>
            <w:tcW w:w="883" w:type="dxa"/>
            <w:shd w:val="clear" w:color="auto" w:fill="auto"/>
            <w:noWrap/>
          </w:tcPr>
          <w:p w14:paraId="3C85E66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55.56</w:t>
            </w:r>
          </w:p>
        </w:tc>
        <w:tc>
          <w:tcPr>
            <w:tcW w:w="1942" w:type="dxa"/>
            <w:shd w:val="clear" w:color="auto" w:fill="auto"/>
          </w:tcPr>
          <w:p w14:paraId="77E58ED4" w14:textId="77777777" w:rsidR="009C353B" w:rsidRDefault="00000000">
            <w:pPr>
              <w:widowControl/>
              <w:jc w:val="center"/>
              <w:rPr>
                <w:rFonts w:ascii="Times New Roman" w:hAnsi="Times New Roman"/>
                <w:sz w:val="21"/>
                <w:szCs w:val="21"/>
              </w:rPr>
            </w:pPr>
            <w:r>
              <w:rPr>
                <w:rFonts w:ascii="Times New Roman" w:hAnsi="Times New Roman"/>
                <w:sz w:val="21"/>
                <w:szCs w:val="21"/>
              </w:rPr>
              <w:t>78.20</w:t>
            </w:r>
          </w:p>
        </w:tc>
        <w:tc>
          <w:tcPr>
            <w:tcW w:w="1307" w:type="dxa"/>
            <w:shd w:val="clear" w:color="auto" w:fill="auto"/>
          </w:tcPr>
          <w:p w14:paraId="3CA553CD" w14:textId="77777777" w:rsidR="009C353B" w:rsidRDefault="00000000">
            <w:pPr>
              <w:widowControl/>
              <w:jc w:val="center"/>
              <w:rPr>
                <w:rFonts w:ascii="Times New Roman" w:hAnsi="Times New Roman"/>
                <w:sz w:val="21"/>
                <w:szCs w:val="21"/>
              </w:rPr>
            </w:pPr>
            <w:r>
              <w:rPr>
                <w:rFonts w:ascii="Times New Roman" w:hAnsi="Times New Roman"/>
                <w:sz w:val="21"/>
                <w:szCs w:val="21"/>
              </w:rPr>
              <w:t>78.20</w:t>
            </w:r>
          </w:p>
        </w:tc>
        <w:tc>
          <w:tcPr>
            <w:tcW w:w="830" w:type="dxa"/>
            <w:shd w:val="clear" w:color="auto" w:fill="auto"/>
            <w:noWrap/>
          </w:tcPr>
          <w:p w14:paraId="2D8CB1D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2E10C830" w14:textId="77777777">
        <w:trPr>
          <w:trHeight w:val="340"/>
        </w:trPr>
        <w:tc>
          <w:tcPr>
            <w:tcW w:w="648" w:type="dxa"/>
            <w:vMerge/>
          </w:tcPr>
          <w:p w14:paraId="3D50BF9F"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5DD405E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T5-3</w:t>
            </w:r>
          </w:p>
        </w:tc>
        <w:tc>
          <w:tcPr>
            <w:tcW w:w="883" w:type="dxa"/>
            <w:shd w:val="clear" w:color="auto" w:fill="auto"/>
            <w:noWrap/>
          </w:tcPr>
          <w:p w14:paraId="29F2A81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5D28216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1.09</w:t>
            </w:r>
          </w:p>
        </w:tc>
        <w:tc>
          <w:tcPr>
            <w:tcW w:w="882" w:type="dxa"/>
            <w:shd w:val="clear" w:color="auto" w:fill="auto"/>
            <w:noWrap/>
          </w:tcPr>
          <w:p w14:paraId="6797119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26.00</w:t>
            </w:r>
          </w:p>
        </w:tc>
        <w:tc>
          <w:tcPr>
            <w:tcW w:w="883" w:type="dxa"/>
            <w:shd w:val="clear" w:color="auto" w:fill="auto"/>
            <w:noWrap/>
          </w:tcPr>
          <w:p w14:paraId="298B84A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30.88</w:t>
            </w:r>
          </w:p>
        </w:tc>
        <w:tc>
          <w:tcPr>
            <w:tcW w:w="1942" w:type="dxa"/>
            <w:shd w:val="clear" w:color="auto" w:fill="auto"/>
          </w:tcPr>
          <w:p w14:paraId="686D0BF4" w14:textId="77777777" w:rsidR="009C353B" w:rsidRDefault="00000000">
            <w:pPr>
              <w:widowControl/>
              <w:jc w:val="center"/>
              <w:rPr>
                <w:rFonts w:ascii="Times New Roman" w:hAnsi="Times New Roman"/>
                <w:sz w:val="21"/>
                <w:szCs w:val="21"/>
              </w:rPr>
            </w:pPr>
            <w:r>
              <w:rPr>
                <w:rFonts w:ascii="Times New Roman" w:hAnsi="Times New Roman"/>
                <w:sz w:val="21"/>
                <w:szCs w:val="21"/>
              </w:rPr>
              <w:t>20.45</w:t>
            </w:r>
          </w:p>
        </w:tc>
        <w:tc>
          <w:tcPr>
            <w:tcW w:w="1307" w:type="dxa"/>
            <w:shd w:val="clear" w:color="auto" w:fill="auto"/>
          </w:tcPr>
          <w:p w14:paraId="3A707133" w14:textId="77777777" w:rsidR="009C353B" w:rsidRDefault="00000000">
            <w:pPr>
              <w:widowControl/>
              <w:jc w:val="center"/>
              <w:rPr>
                <w:rFonts w:ascii="Times New Roman" w:hAnsi="Times New Roman"/>
                <w:sz w:val="21"/>
                <w:szCs w:val="21"/>
              </w:rPr>
            </w:pPr>
            <w:r>
              <w:rPr>
                <w:rFonts w:ascii="Times New Roman" w:hAnsi="Times New Roman"/>
                <w:sz w:val="21"/>
                <w:szCs w:val="21"/>
              </w:rPr>
              <w:t>30.88</w:t>
            </w:r>
          </w:p>
        </w:tc>
        <w:tc>
          <w:tcPr>
            <w:tcW w:w="830" w:type="dxa"/>
            <w:shd w:val="clear" w:color="auto" w:fill="auto"/>
            <w:noWrap/>
          </w:tcPr>
          <w:p w14:paraId="06B3780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5CB83E7C" w14:textId="77777777">
        <w:trPr>
          <w:trHeight w:val="340"/>
        </w:trPr>
        <w:tc>
          <w:tcPr>
            <w:tcW w:w="648" w:type="dxa"/>
            <w:vMerge/>
          </w:tcPr>
          <w:p w14:paraId="54DCA7E3" w14:textId="77777777" w:rsidR="009C353B" w:rsidRDefault="009C353B">
            <w:pPr>
              <w:widowControl/>
              <w:jc w:val="center"/>
              <w:rPr>
                <w:rFonts w:ascii="Times New Roman" w:hAnsi="Times New Roman"/>
                <w:kern w:val="0"/>
                <w:sz w:val="21"/>
                <w:szCs w:val="21"/>
              </w:rPr>
            </w:pPr>
          </w:p>
        </w:tc>
        <w:tc>
          <w:tcPr>
            <w:tcW w:w="1111" w:type="dxa"/>
            <w:vMerge/>
          </w:tcPr>
          <w:p w14:paraId="30219020"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2A2DB3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0CC1952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0.95</w:t>
            </w:r>
          </w:p>
        </w:tc>
        <w:tc>
          <w:tcPr>
            <w:tcW w:w="882" w:type="dxa"/>
            <w:shd w:val="clear" w:color="auto" w:fill="auto"/>
            <w:noWrap/>
          </w:tcPr>
          <w:p w14:paraId="79845C9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24.15</w:t>
            </w:r>
          </w:p>
        </w:tc>
        <w:tc>
          <w:tcPr>
            <w:tcW w:w="883" w:type="dxa"/>
            <w:shd w:val="clear" w:color="auto" w:fill="auto"/>
            <w:noWrap/>
          </w:tcPr>
          <w:p w14:paraId="65E057F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29.49</w:t>
            </w:r>
          </w:p>
        </w:tc>
        <w:tc>
          <w:tcPr>
            <w:tcW w:w="1942" w:type="dxa"/>
            <w:shd w:val="clear" w:color="auto" w:fill="auto"/>
          </w:tcPr>
          <w:p w14:paraId="6A9B22D9" w14:textId="77777777" w:rsidR="009C353B" w:rsidRDefault="00000000">
            <w:pPr>
              <w:widowControl/>
              <w:jc w:val="center"/>
              <w:rPr>
                <w:rFonts w:ascii="Times New Roman" w:hAnsi="Times New Roman"/>
                <w:sz w:val="21"/>
                <w:szCs w:val="21"/>
              </w:rPr>
            </w:pPr>
            <w:r>
              <w:rPr>
                <w:rFonts w:ascii="Times New Roman" w:hAnsi="Times New Roman"/>
                <w:sz w:val="21"/>
                <w:szCs w:val="21"/>
              </w:rPr>
              <w:t>18.48</w:t>
            </w:r>
          </w:p>
        </w:tc>
        <w:tc>
          <w:tcPr>
            <w:tcW w:w="1307" w:type="dxa"/>
            <w:shd w:val="clear" w:color="auto" w:fill="auto"/>
          </w:tcPr>
          <w:p w14:paraId="5C94DEA9" w14:textId="77777777" w:rsidR="009C353B" w:rsidRDefault="00000000">
            <w:pPr>
              <w:widowControl/>
              <w:jc w:val="center"/>
              <w:rPr>
                <w:rFonts w:ascii="Times New Roman" w:hAnsi="Times New Roman"/>
                <w:sz w:val="21"/>
                <w:szCs w:val="21"/>
              </w:rPr>
            </w:pPr>
            <w:r>
              <w:rPr>
                <w:rFonts w:ascii="Times New Roman" w:hAnsi="Times New Roman"/>
                <w:sz w:val="21"/>
                <w:szCs w:val="21"/>
              </w:rPr>
              <w:t>29.49</w:t>
            </w:r>
          </w:p>
        </w:tc>
        <w:tc>
          <w:tcPr>
            <w:tcW w:w="830" w:type="dxa"/>
            <w:shd w:val="clear" w:color="auto" w:fill="auto"/>
            <w:noWrap/>
          </w:tcPr>
          <w:p w14:paraId="562ECE9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3911271D" w14:textId="77777777">
        <w:trPr>
          <w:trHeight w:val="340"/>
        </w:trPr>
        <w:tc>
          <w:tcPr>
            <w:tcW w:w="648" w:type="dxa"/>
            <w:vMerge/>
          </w:tcPr>
          <w:p w14:paraId="23420DC4" w14:textId="77777777" w:rsidR="009C353B" w:rsidRDefault="009C353B">
            <w:pPr>
              <w:widowControl/>
              <w:jc w:val="center"/>
              <w:rPr>
                <w:rFonts w:ascii="Times New Roman" w:hAnsi="Times New Roman"/>
                <w:kern w:val="0"/>
                <w:sz w:val="21"/>
                <w:szCs w:val="21"/>
              </w:rPr>
            </w:pPr>
          </w:p>
        </w:tc>
        <w:tc>
          <w:tcPr>
            <w:tcW w:w="1111" w:type="dxa"/>
            <w:vMerge/>
          </w:tcPr>
          <w:p w14:paraId="3816CF34"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5E17BDC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4FD95F5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6.23</w:t>
            </w:r>
          </w:p>
        </w:tc>
        <w:tc>
          <w:tcPr>
            <w:tcW w:w="882" w:type="dxa"/>
            <w:shd w:val="clear" w:color="auto" w:fill="auto"/>
            <w:noWrap/>
          </w:tcPr>
          <w:p w14:paraId="612BDF8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51.52</w:t>
            </w:r>
          </w:p>
        </w:tc>
        <w:tc>
          <w:tcPr>
            <w:tcW w:w="883" w:type="dxa"/>
            <w:shd w:val="clear" w:color="auto" w:fill="auto"/>
            <w:noWrap/>
          </w:tcPr>
          <w:p w14:paraId="6B2B241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59.92</w:t>
            </w:r>
          </w:p>
        </w:tc>
        <w:tc>
          <w:tcPr>
            <w:tcW w:w="1942" w:type="dxa"/>
            <w:shd w:val="clear" w:color="auto" w:fill="auto"/>
          </w:tcPr>
          <w:p w14:paraId="711495B1" w14:textId="77777777" w:rsidR="009C353B" w:rsidRDefault="00000000">
            <w:pPr>
              <w:widowControl/>
              <w:jc w:val="center"/>
              <w:rPr>
                <w:rFonts w:ascii="Times New Roman" w:hAnsi="Times New Roman"/>
                <w:sz w:val="21"/>
                <w:szCs w:val="21"/>
              </w:rPr>
            </w:pPr>
            <w:r>
              <w:rPr>
                <w:rFonts w:ascii="Times New Roman" w:hAnsi="Times New Roman"/>
                <w:sz w:val="21"/>
                <w:szCs w:val="21"/>
              </w:rPr>
              <w:t>92.85</w:t>
            </w:r>
          </w:p>
        </w:tc>
        <w:tc>
          <w:tcPr>
            <w:tcW w:w="1307" w:type="dxa"/>
            <w:shd w:val="clear" w:color="auto" w:fill="auto"/>
          </w:tcPr>
          <w:p w14:paraId="3DBF9393" w14:textId="77777777" w:rsidR="009C353B" w:rsidRDefault="00000000">
            <w:pPr>
              <w:widowControl/>
              <w:jc w:val="center"/>
              <w:rPr>
                <w:rFonts w:ascii="Times New Roman" w:hAnsi="Times New Roman"/>
                <w:sz w:val="21"/>
                <w:szCs w:val="21"/>
              </w:rPr>
            </w:pPr>
            <w:r>
              <w:rPr>
                <w:rFonts w:ascii="Times New Roman" w:hAnsi="Times New Roman"/>
                <w:sz w:val="21"/>
                <w:szCs w:val="21"/>
              </w:rPr>
              <w:t>92.85</w:t>
            </w:r>
          </w:p>
        </w:tc>
        <w:tc>
          <w:tcPr>
            <w:tcW w:w="830" w:type="dxa"/>
            <w:shd w:val="clear" w:color="auto" w:fill="auto"/>
            <w:noWrap/>
          </w:tcPr>
          <w:p w14:paraId="798D340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CC4720F" w14:textId="77777777">
        <w:trPr>
          <w:trHeight w:val="340"/>
        </w:trPr>
        <w:tc>
          <w:tcPr>
            <w:tcW w:w="648" w:type="dxa"/>
            <w:vMerge w:val="restart"/>
            <w:shd w:val="clear" w:color="auto" w:fill="auto"/>
          </w:tcPr>
          <w:p w14:paraId="62165D1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T2N</w:t>
            </w:r>
          </w:p>
        </w:tc>
        <w:tc>
          <w:tcPr>
            <w:tcW w:w="1111" w:type="dxa"/>
            <w:vMerge w:val="restart"/>
            <w:shd w:val="clear" w:color="auto" w:fill="auto"/>
          </w:tcPr>
          <w:p w14:paraId="0EFD7E1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T2N-1</w:t>
            </w:r>
          </w:p>
        </w:tc>
        <w:tc>
          <w:tcPr>
            <w:tcW w:w="883" w:type="dxa"/>
            <w:shd w:val="clear" w:color="auto" w:fill="auto"/>
            <w:noWrap/>
          </w:tcPr>
          <w:p w14:paraId="2DDA15B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227ECDA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1.23</w:t>
            </w:r>
          </w:p>
        </w:tc>
        <w:tc>
          <w:tcPr>
            <w:tcW w:w="882" w:type="dxa"/>
            <w:shd w:val="clear" w:color="auto" w:fill="auto"/>
            <w:noWrap/>
          </w:tcPr>
          <w:p w14:paraId="75A4CC9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27.69</w:t>
            </w:r>
          </w:p>
        </w:tc>
        <w:tc>
          <w:tcPr>
            <w:tcW w:w="883" w:type="dxa"/>
            <w:shd w:val="clear" w:color="auto" w:fill="auto"/>
            <w:noWrap/>
          </w:tcPr>
          <w:p w14:paraId="4E49DB4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32.18</w:t>
            </w:r>
          </w:p>
        </w:tc>
        <w:tc>
          <w:tcPr>
            <w:tcW w:w="1942" w:type="dxa"/>
            <w:shd w:val="clear" w:color="auto" w:fill="auto"/>
          </w:tcPr>
          <w:p w14:paraId="026D2628" w14:textId="77777777" w:rsidR="009C353B" w:rsidRDefault="00000000">
            <w:pPr>
              <w:widowControl/>
              <w:jc w:val="center"/>
              <w:rPr>
                <w:rFonts w:ascii="Times New Roman" w:hAnsi="Times New Roman"/>
                <w:sz w:val="21"/>
                <w:szCs w:val="21"/>
              </w:rPr>
            </w:pPr>
            <w:r>
              <w:rPr>
                <w:rFonts w:ascii="Times New Roman" w:hAnsi="Times New Roman"/>
                <w:sz w:val="21"/>
                <w:szCs w:val="21"/>
              </w:rPr>
              <w:t>22.42</w:t>
            </w:r>
          </w:p>
        </w:tc>
        <w:tc>
          <w:tcPr>
            <w:tcW w:w="1307" w:type="dxa"/>
            <w:shd w:val="clear" w:color="auto" w:fill="auto"/>
          </w:tcPr>
          <w:p w14:paraId="305D8255" w14:textId="77777777" w:rsidR="009C353B" w:rsidRDefault="00000000">
            <w:pPr>
              <w:widowControl/>
              <w:jc w:val="center"/>
              <w:rPr>
                <w:rFonts w:ascii="Times New Roman" w:hAnsi="Times New Roman"/>
                <w:sz w:val="21"/>
                <w:szCs w:val="21"/>
              </w:rPr>
            </w:pPr>
            <w:r>
              <w:rPr>
                <w:rFonts w:ascii="Times New Roman" w:hAnsi="Times New Roman"/>
                <w:sz w:val="21"/>
                <w:szCs w:val="21"/>
              </w:rPr>
              <w:t>32.18</w:t>
            </w:r>
          </w:p>
        </w:tc>
        <w:tc>
          <w:tcPr>
            <w:tcW w:w="830" w:type="dxa"/>
            <w:shd w:val="clear" w:color="auto" w:fill="auto"/>
            <w:noWrap/>
          </w:tcPr>
          <w:p w14:paraId="0E5DBA6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514BA4A" w14:textId="77777777">
        <w:trPr>
          <w:trHeight w:val="340"/>
        </w:trPr>
        <w:tc>
          <w:tcPr>
            <w:tcW w:w="648" w:type="dxa"/>
            <w:vMerge/>
          </w:tcPr>
          <w:p w14:paraId="57587A39" w14:textId="77777777" w:rsidR="009C353B" w:rsidRDefault="009C353B">
            <w:pPr>
              <w:widowControl/>
              <w:jc w:val="center"/>
              <w:rPr>
                <w:rFonts w:ascii="Times New Roman" w:hAnsi="Times New Roman"/>
                <w:kern w:val="0"/>
                <w:sz w:val="21"/>
                <w:szCs w:val="21"/>
              </w:rPr>
            </w:pPr>
          </w:p>
        </w:tc>
        <w:tc>
          <w:tcPr>
            <w:tcW w:w="1111" w:type="dxa"/>
            <w:vMerge/>
          </w:tcPr>
          <w:p w14:paraId="7855AF33"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A2F373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5065B38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1.97</w:t>
            </w:r>
          </w:p>
        </w:tc>
        <w:tc>
          <w:tcPr>
            <w:tcW w:w="882" w:type="dxa"/>
            <w:shd w:val="clear" w:color="auto" w:fill="auto"/>
            <w:noWrap/>
          </w:tcPr>
          <w:p w14:paraId="68A4787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34.78</w:t>
            </w:r>
          </w:p>
        </w:tc>
        <w:tc>
          <w:tcPr>
            <w:tcW w:w="883" w:type="dxa"/>
            <w:shd w:val="clear" w:color="auto" w:fill="auto"/>
            <w:noWrap/>
          </w:tcPr>
          <w:p w14:paraId="08AE38D6"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38.07</w:t>
            </w:r>
          </w:p>
        </w:tc>
        <w:tc>
          <w:tcPr>
            <w:tcW w:w="1942" w:type="dxa"/>
            <w:shd w:val="clear" w:color="auto" w:fill="auto"/>
          </w:tcPr>
          <w:p w14:paraId="1EC727C9" w14:textId="77777777" w:rsidR="009C353B" w:rsidRDefault="00000000">
            <w:pPr>
              <w:widowControl/>
              <w:jc w:val="center"/>
              <w:rPr>
                <w:rFonts w:ascii="Times New Roman" w:hAnsi="Times New Roman"/>
                <w:sz w:val="21"/>
                <w:szCs w:val="21"/>
              </w:rPr>
            </w:pPr>
            <w:r>
              <w:rPr>
                <w:rFonts w:ascii="Times New Roman" w:hAnsi="Times New Roman"/>
                <w:sz w:val="21"/>
                <w:szCs w:val="21"/>
              </w:rPr>
              <w:t>32.85</w:t>
            </w:r>
          </w:p>
        </w:tc>
        <w:tc>
          <w:tcPr>
            <w:tcW w:w="1307" w:type="dxa"/>
            <w:shd w:val="clear" w:color="auto" w:fill="auto"/>
          </w:tcPr>
          <w:p w14:paraId="594E0CC8" w14:textId="77777777" w:rsidR="009C353B" w:rsidRDefault="00000000">
            <w:pPr>
              <w:widowControl/>
              <w:jc w:val="center"/>
              <w:rPr>
                <w:rFonts w:ascii="Times New Roman" w:hAnsi="Times New Roman"/>
                <w:sz w:val="21"/>
                <w:szCs w:val="21"/>
              </w:rPr>
            </w:pPr>
            <w:r>
              <w:rPr>
                <w:rFonts w:ascii="Times New Roman" w:hAnsi="Times New Roman"/>
                <w:sz w:val="21"/>
                <w:szCs w:val="21"/>
              </w:rPr>
              <w:t>38.07</w:t>
            </w:r>
          </w:p>
        </w:tc>
        <w:tc>
          <w:tcPr>
            <w:tcW w:w="830" w:type="dxa"/>
            <w:shd w:val="clear" w:color="auto" w:fill="auto"/>
            <w:noWrap/>
          </w:tcPr>
          <w:p w14:paraId="224D286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6863EDE0" w14:textId="77777777">
        <w:trPr>
          <w:trHeight w:val="340"/>
        </w:trPr>
        <w:tc>
          <w:tcPr>
            <w:tcW w:w="648" w:type="dxa"/>
            <w:vMerge/>
          </w:tcPr>
          <w:p w14:paraId="073B5073" w14:textId="77777777" w:rsidR="009C353B" w:rsidRDefault="009C353B">
            <w:pPr>
              <w:widowControl/>
              <w:jc w:val="center"/>
              <w:rPr>
                <w:rFonts w:ascii="Times New Roman" w:hAnsi="Times New Roman"/>
                <w:kern w:val="0"/>
                <w:sz w:val="21"/>
                <w:szCs w:val="21"/>
              </w:rPr>
            </w:pPr>
          </w:p>
        </w:tc>
        <w:tc>
          <w:tcPr>
            <w:tcW w:w="1111" w:type="dxa"/>
            <w:vMerge/>
          </w:tcPr>
          <w:p w14:paraId="0989FBA9"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D88387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3DEC192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3.59</w:t>
            </w:r>
          </w:p>
        </w:tc>
        <w:tc>
          <w:tcPr>
            <w:tcW w:w="882" w:type="dxa"/>
            <w:shd w:val="clear" w:color="auto" w:fill="auto"/>
            <w:noWrap/>
          </w:tcPr>
          <w:p w14:paraId="258DF62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44.02</w:t>
            </w:r>
          </w:p>
        </w:tc>
        <w:tc>
          <w:tcPr>
            <w:tcW w:w="883" w:type="dxa"/>
            <w:shd w:val="clear" w:color="auto" w:fill="auto"/>
            <w:noWrap/>
          </w:tcPr>
          <w:p w14:paraId="5228780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47.89</w:t>
            </w:r>
          </w:p>
        </w:tc>
        <w:tc>
          <w:tcPr>
            <w:tcW w:w="1942" w:type="dxa"/>
            <w:shd w:val="clear" w:color="auto" w:fill="auto"/>
          </w:tcPr>
          <w:p w14:paraId="759274AB" w14:textId="77777777" w:rsidR="009C353B" w:rsidRDefault="00000000">
            <w:pPr>
              <w:widowControl/>
              <w:jc w:val="center"/>
              <w:rPr>
                <w:rFonts w:ascii="Times New Roman" w:hAnsi="Times New Roman"/>
                <w:sz w:val="21"/>
                <w:szCs w:val="21"/>
              </w:rPr>
            </w:pPr>
            <w:r>
              <w:rPr>
                <w:rFonts w:ascii="Times New Roman" w:hAnsi="Times New Roman"/>
                <w:sz w:val="21"/>
                <w:szCs w:val="21"/>
              </w:rPr>
              <w:t>55.66</w:t>
            </w:r>
          </w:p>
        </w:tc>
        <w:tc>
          <w:tcPr>
            <w:tcW w:w="1307" w:type="dxa"/>
            <w:shd w:val="clear" w:color="auto" w:fill="auto"/>
          </w:tcPr>
          <w:p w14:paraId="0E92BE2F" w14:textId="77777777" w:rsidR="009C353B" w:rsidRDefault="00000000">
            <w:pPr>
              <w:widowControl/>
              <w:jc w:val="center"/>
              <w:rPr>
                <w:rFonts w:ascii="Times New Roman" w:hAnsi="Times New Roman"/>
                <w:sz w:val="21"/>
                <w:szCs w:val="21"/>
              </w:rPr>
            </w:pPr>
            <w:r>
              <w:rPr>
                <w:rFonts w:ascii="Times New Roman" w:hAnsi="Times New Roman"/>
                <w:sz w:val="21"/>
                <w:szCs w:val="21"/>
              </w:rPr>
              <w:t>55.66</w:t>
            </w:r>
          </w:p>
        </w:tc>
        <w:tc>
          <w:tcPr>
            <w:tcW w:w="830" w:type="dxa"/>
            <w:shd w:val="clear" w:color="auto" w:fill="auto"/>
            <w:noWrap/>
          </w:tcPr>
          <w:p w14:paraId="2E96C08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w:t>
            </w:r>
          </w:p>
        </w:tc>
      </w:tr>
      <w:tr w:rsidR="009C353B" w14:paraId="045B3EA9" w14:textId="77777777">
        <w:trPr>
          <w:trHeight w:val="340"/>
        </w:trPr>
        <w:tc>
          <w:tcPr>
            <w:tcW w:w="648" w:type="dxa"/>
            <w:vMerge/>
            <w:shd w:val="clear" w:color="auto" w:fill="auto"/>
          </w:tcPr>
          <w:p w14:paraId="5CA9A27C"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72CB4F6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T2N-3</w:t>
            </w:r>
          </w:p>
        </w:tc>
        <w:tc>
          <w:tcPr>
            <w:tcW w:w="883" w:type="dxa"/>
            <w:shd w:val="clear" w:color="auto" w:fill="auto"/>
            <w:noWrap/>
          </w:tcPr>
          <w:p w14:paraId="7CB212E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一煤</w:t>
            </w:r>
          </w:p>
        </w:tc>
        <w:tc>
          <w:tcPr>
            <w:tcW w:w="800" w:type="dxa"/>
            <w:shd w:val="clear" w:color="auto" w:fill="auto"/>
            <w:noWrap/>
          </w:tcPr>
          <w:p w14:paraId="568B5AA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1.54</w:t>
            </w:r>
          </w:p>
        </w:tc>
        <w:tc>
          <w:tcPr>
            <w:tcW w:w="882" w:type="dxa"/>
            <w:shd w:val="clear" w:color="auto" w:fill="auto"/>
            <w:noWrap/>
          </w:tcPr>
          <w:p w14:paraId="3B22219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31.00</w:t>
            </w:r>
          </w:p>
        </w:tc>
        <w:tc>
          <w:tcPr>
            <w:tcW w:w="883" w:type="dxa"/>
            <w:shd w:val="clear" w:color="auto" w:fill="auto"/>
            <w:noWrap/>
          </w:tcPr>
          <w:p w14:paraId="27709FE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34.82</w:t>
            </w:r>
          </w:p>
        </w:tc>
        <w:tc>
          <w:tcPr>
            <w:tcW w:w="1942" w:type="dxa"/>
            <w:shd w:val="clear" w:color="auto" w:fill="auto"/>
          </w:tcPr>
          <w:p w14:paraId="26B29A1D" w14:textId="77777777" w:rsidR="009C353B" w:rsidRDefault="00000000">
            <w:pPr>
              <w:widowControl/>
              <w:jc w:val="center"/>
              <w:rPr>
                <w:rFonts w:ascii="Times New Roman" w:hAnsi="Times New Roman"/>
                <w:sz w:val="21"/>
                <w:szCs w:val="21"/>
              </w:rPr>
            </w:pPr>
            <w:r>
              <w:rPr>
                <w:rFonts w:ascii="Times New Roman" w:hAnsi="Times New Roman"/>
                <w:sz w:val="21"/>
                <w:szCs w:val="21"/>
              </w:rPr>
              <w:t>26.79</w:t>
            </w:r>
          </w:p>
        </w:tc>
        <w:tc>
          <w:tcPr>
            <w:tcW w:w="1307" w:type="dxa"/>
            <w:shd w:val="clear" w:color="auto" w:fill="auto"/>
          </w:tcPr>
          <w:p w14:paraId="2CCF0B6D" w14:textId="77777777" w:rsidR="009C353B" w:rsidRDefault="00000000">
            <w:pPr>
              <w:widowControl/>
              <w:jc w:val="center"/>
              <w:rPr>
                <w:rFonts w:ascii="Times New Roman" w:hAnsi="Times New Roman"/>
                <w:sz w:val="21"/>
                <w:szCs w:val="21"/>
              </w:rPr>
            </w:pPr>
            <w:r>
              <w:rPr>
                <w:rFonts w:ascii="Times New Roman" w:hAnsi="Times New Roman"/>
                <w:sz w:val="21"/>
                <w:szCs w:val="21"/>
              </w:rPr>
              <w:t>34.82</w:t>
            </w:r>
          </w:p>
        </w:tc>
        <w:tc>
          <w:tcPr>
            <w:tcW w:w="830" w:type="dxa"/>
            <w:shd w:val="clear" w:color="auto" w:fill="auto"/>
            <w:noWrap/>
          </w:tcPr>
          <w:p w14:paraId="1DF6139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0E80BD9" w14:textId="77777777">
        <w:trPr>
          <w:trHeight w:val="340"/>
        </w:trPr>
        <w:tc>
          <w:tcPr>
            <w:tcW w:w="648" w:type="dxa"/>
            <w:vMerge/>
          </w:tcPr>
          <w:p w14:paraId="3B7F9DF4" w14:textId="77777777" w:rsidR="009C353B" w:rsidRDefault="009C353B">
            <w:pPr>
              <w:widowControl/>
              <w:jc w:val="center"/>
              <w:rPr>
                <w:rFonts w:ascii="Times New Roman" w:hAnsi="Times New Roman"/>
                <w:kern w:val="0"/>
                <w:sz w:val="21"/>
                <w:szCs w:val="21"/>
              </w:rPr>
            </w:pPr>
          </w:p>
        </w:tc>
        <w:tc>
          <w:tcPr>
            <w:tcW w:w="1111" w:type="dxa"/>
            <w:vMerge/>
          </w:tcPr>
          <w:p w14:paraId="29DB7B33"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64121A0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三煤</w:t>
            </w:r>
          </w:p>
        </w:tc>
        <w:tc>
          <w:tcPr>
            <w:tcW w:w="800" w:type="dxa"/>
            <w:shd w:val="clear" w:color="auto" w:fill="auto"/>
            <w:noWrap/>
          </w:tcPr>
          <w:p w14:paraId="257DA23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2.39</w:t>
            </w:r>
          </w:p>
        </w:tc>
        <w:tc>
          <w:tcPr>
            <w:tcW w:w="882" w:type="dxa"/>
            <w:shd w:val="clear" w:color="auto" w:fill="auto"/>
            <w:noWrap/>
          </w:tcPr>
          <w:p w14:paraId="5FC3D9E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37.79</w:t>
            </w:r>
          </w:p>
        </w:tc>
        <w:tc>
          <w:tcPr>
            <w:tcW w:w="883" w:type="dxa"/>
            <w:shd w:val="clear" w:color="auto" w:fill="auto"/>
            <w:noWrap/>
          </w:tcPr>
          <w:p w14:paraId="778ABA1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40.92</w:t>
            </w:r>
          </w:p>
        </w:tc>
        <w:tc>
          <w:tcPr>
            <w:tcW w:w="1942" w:type="dxa"/>
            <w:shd w:val="clear" w:color="auto" w:fill="auto"/>
          </w:tcPr>
          <w:p w14:paraId="20131D3E" w14:textId="77777777" w:rsidR="009C353B" w:rsidRDefault="00000000">
            <w:pPr>
              <w:widowControl/>
              <w:jc w:val="center"/>
              <w:rPr>
                <w:rFonts w:ascii="Times New Roman" w:hAnsi="Times New Roman"/>
                <w:sz w:val="21"/>
                <w:szCs w:val="21"/>
              </w:rPr>
            </w:pPr>
            <w:r>
              <w:rPr>
                <w:rFonts w:ascii="Times New Roman" w:hAnsi="Times New Roman"/>
                <w:sz w:val="21"/>
                <w:szCs w:val="21"/>
              </w:rPr>
              <w:t>38.76</w:t>
            </w:r>
          </w:p>
        </w:tc>
        <w:tc>
          <w:tcPr>
            <w:tcW w:w="1307" w:type="dxa"/>
            <w:shd w:val="clear" w:color="auto" w:fill="auto"/>
          </w:tcPr>
          <w:p w14:paraId="18558F3E" w14:textId="77777777" w:rsidR="009C353B" w:rsidRDefault="00000000">
            <w:pPr>
              <w:widowControl/>
              <w:jc w:val="center"/>
              <w:rPr>
                <w:rFonts w:ascii="Times New Roman" w:hAnsi="Times New Roman"/>
                <w:sz w:val="21"/>
                <w:szCs w:val="21"/>
              </w:rPr>
            </w:pPr>
            <w:r>
              <w:rPr>
                <w:rFonts w:ascii="Times New Roman" w:hAnsi="Times New Roman"/>
                <w:sz w:val="21"/>
                <w:szCs w:val="21"/>
              </w:rPr>
              <w:t>40.92</w:t>
            </w:r>
          </w:p>
        </w:tc>
        <w:tc>
          <w:tcPr>
            <w:tcW w:w="830" w:type="dxa"/>
            <w:shd w:val="clear" w:color="auto" w:fill="auto"/>
            <w:noWrap/>
          </w:tcPr>
          <w:p w14:paraId="25650E73"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3B550E3E" w14:textId="77777777">
        <w:trPr>
          <w:trHeight w:val="340"/>
        </w:trPr>
        <w:tc>
          <w:tcPr>
            <w:tcW w:w="648" w:type="dxa"/>
            <w:vMerge/>
          </w:tcPr>
          <w:p w14:paraId="511B54E7" w14:textId="77777777" w:rsidR="009C353B" w:rsidRDefault="009C353B">
            <w:pPr>
              <w:widowControl/>
              <w:jc w:val="center"/>
              <w:rPr>
                <w:rFonts w:ascii="Times New Roman" w:hAnsi="Times New Roman"/>
                <w:kern w:val="0"/>
                <w:sz w:val="21"/>
                <w:szCs w:val="21"/>
              </w:rPr>
            </w:pPr>
          </w:p>
        </w:tc>
        <w:tc>
          <w:tcPr>
            <w:tcW w:w="1111" w:type="dxa"/>
            <w:vMerge/>
          </w:tcPr>
          <w:p w14:paraId="2095104A"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19EAFB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五煤</w:t>
            </w:r>
          </w:p>
        </w:tc>
        <w:tc>
          <w:tcPr>
            <w:tcW w:w="800" w:type="dxa"/>
            <w:shd w:val="clear" w:color="auto" w:fill="auto"/>
            <w:noWrap/>
          </w:tcPr>
          <w:p w14:paraId="0FC7C83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3.89</w:t>
            </w:r>
          </w:p>
        </w:tc>
        <w:tc>
          <w:tcPr>
            <w:tcW w:w="882" w:type="dxa"/>
            <w:shd w:val="clear" w:color="auto" w:fill="auto"/>
            <w:noWrap/>
          </w:tcPr>
          <w:p w14:paraId="7E598DF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45.20</w:t>
            </w:r>
          </w:p>
        </w:tc>
        <w:tc>
          <w:tcPr>
            <w:tcW w:w="883" w:type="dxa"/>
            <w:shd w:val="clear" w:color="auto" w:fill="auto"/>
            <w:noWrap/>
          </w:tcPr>
          <w:p w14:paraId="4CA7692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49.45</w:t>
            </w:r>
          </w:p>
        </w:tc>
        <w:tc>
          <w:tcPr>
            <w:tcW w:w="1942" w:type="dxa"/>
            <w:shd w:val="clear" w:color="auto" w:fill="auto"/>
          </w:tcPr>
          <w:p w14:paraId="4D7B1C0C" w14:textId="77777777" w:rsidR="009C353B" w:rsidRDefault="00000000">
            <w:pPr>
              <w:widowControl/>
              <w:jc w:val="center"/>
              <w:rPr>
                <w:rFonts w:ascii="Times New Roman" w:hAnsi="Times New Roman"/>
                <w:sz w:val="21"/>
                <w:szCs w:val="21"/>
              </w:rPr>
            </w:pPr>
            <w:r>
              <w:rPr>
                <w:rFonts w:ascii="Times New Roman" w:hAnsi="Times New Roman"/>
                <w:sz w:val="21"/>
                <w:szCs w:val="21"/>
              </w:rPr>
              <w:t>59.89</w:t>
            </w:r>
          </w:p>
        </w:tc>
        <w:tc>
          <w:tcPr>
            <w:tcW w:w="1307" w:type="dxa"/>
            <w:shd w:val="clear" w:color="auto" w:fill="auto"/>
          </w:tcPr>
          <w:p w14:paraId="06EFC863" w14:textId="77777777" w:rsidR="009C353B" w:rsidRDefault="00000000">
            <w:pPr>
              <w:widowControl/>
              <w:jc w:val="center"/>
              <w:rPr>
                <w:rFonts w:ascii="Times New Roman" w:hAnsi="Times New Roman"/>
                <w:sz w:val="21"/>
                <w:szCs w:val="21"/>
              </w:rPr>
            </w:pPr>
            <w:r>
              <w:rPr>
                <w:rFonts w:ascii="Times New Roman" w:hAnsi="Times New Roman"/>
                <w:sz w:val="21"/>
                <w:szCs w:val="21"/>
              </w:rPr>
              <w:t>59.89</w:t>
            </w:r>
          </w:p>
        </w:tc>
        <w:tc>
          <w:tcPr>
            <w:tcW w:w="830" w:type="dxa"/>
            <w:shd w:val="clear" w:color="auto" w:fill="auto"/>
            <w:noWrap/>
          </w:tcPr>
          <w:p w14:paraId="37E73124"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Psh</w:t>
            </w:r>
          </w:p>
        </w:tc>
      </w:tr>
      <w:tr w:rsidR="009C353B" w14:paraId="0E318871" w14:textId="77777777">
        <w:trPr>
          <w:trHeight w:val="340"/>
        </w:trPr>
        <w:tc>
          <w:tcPr>
            <w:tcW w:w="648" w:type="dxa"/>
            <w:vMerge w:val="restart"/>
            <w:shd w:val="clear" w:color="auto" w:fill="auto"/>
          </w:tcPr>
          <w:p w14:paraId="49102409"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马</w:t>
            </w:r>
          </w:p>
          <w:p w14:paraId="0B433A00"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莲</w:t>
            </w:r>
          </w:p>
          <w:p w14:paraId="2D14C57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台</w:t>
            </w:r>
          </w:p>
          <w:p w14:paraId="10E8AAFF"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第</w:t>
            </w:r>
            <w:r>
              <w:rPr>
                <w:rFonts w:ascii="Times New Roman" w:hAnsi="Times New Roman" w:hint="eastAsia"/>
                <w:kern w:val="0"/>
                <w:sz w:val="21"/>
                <w:szCs w:val="21"/>
              </w:rPr>
              <w:t>25</w:t>
            </w:r>
          </w:p>
          <w:p w14:paraId="48F4ABAA"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勘</w:t>
            </w:r>
          </w:p>
          <w:p w14:paraId="6D6A66FB"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查</w:t>
            </w:r>
          </w:p>
          <w:p w14:paraId="25FD9D4D" w14:textId="77777777" w:rsidR="009C353B" w:rsidRDefault="00000000">
            <w:pPr>
              <w:widowControl/>
              <w:jc w:val="center"/>
              <w:rPr>
                <w:rFonts w:ascii="Times New Roman" w:hAnsi="Times New Roman"/>
                <w:kern w:val="0"/>
                <w:sz w:val="21"/>
                <w:szCs w:val="21"/>
              </w:rPr>
            </w:pPr>
            <w:r>
              <w:rPr>
                <w:rFonts w:ascii="Times New Roman" w:hAnsi="Times New Roman" w:hint="eastAsia"/>
                <w:kern w:val="0"/>
                <w:sz w:val="21"/>
                <w:szCs w:val="21"/>
              </w:rPr>
              <w:t>线</w:t>
            </w:r>
          </w:p>
        </w:tc>
        <w:tc>
          <w:tcPr>
            <w:tcW w:w="1111" w:type="dxa"/>
            <w:vMerge w:val="restart"/>
            <w:shd w:val="clear" w:color="auto" w:fill="auto"/>
          </w:tcPr>
          <w:p w14:paraId="0D885F07"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2501</w:t>
            </w:r>
          </w:p>
        </w:tc>
        <w:tc>
          <w:tcPr>
            <w:tcW w:w="883" w:type="dxa"/>
            <w:shd w:val="clear" w:color="auto" w:fill="auto"/>
            <w:noWrap/>
          </w:tcPr>
          <w:p w14:paraId="43B25108"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2ADB704E" w14:textId="77777777" w:rsidR="009C353B" w:rsidRDefault="00000000">
            <w:pPr>
              <w:widowControl/>
              <w:jc w:val="center"/>
              <w:rPr>
                <w:rFonts w:ascii="Times New Roman" w:hAnsi="Times New Roman"/>
                <w:sz w:val="21"/>
                <w:szCs w:val="21"/>
              </w:rPr>
            </w:pPr>
            <w:r>
              <w:rPr>
                <w:rFonts w:ascii="Times New Roman" w:hAnsi="Times New Roman"/>
                <w:sz w:val="21"/>
                <w:szCs w:val="21"/>
              </w:rPr>
              <w:t>0.65</w:t>
            </w:r>
          </w:p>
        </w:tc>
        <w:tc>
          <w:tcPr>
            <w:tcW w:w="882" w:type="dxa"/>
            <w:shd w:val="clear" w:color="auto" w:fill="auto"/>
            <w:noWrap/>
          </w:tcPr>
          <w:p w14:paraId="3F70365B" w14:textId="77777777" w:rsidR="009C353B" w:rsidRDefault="00000000">
            <w:pPr>
              <w:widowControl/>
              <w:jc w:val="center"/>
              <w:rPr>
                <w:rFonts w:ascii="Times New Roman" w:hAnsi="Times New Roman"/>
                <w:sz w:val="21"/>
                <w:szCs w:val="21"/>
              </w:rPr>
            </w:pPr>
            <w:r>
              <w:rPr>
                <w:rFonts w:ascii="Times New Roman" w:hAnsi="Times New Roman"/>
                <w:sz w:val="21"/>
                <w:szCs w:val="21"/>
              </w:rPr>
              <w:t>19.61</w:t>
            </w:r>
          </w:p>
        </w:tc>
        <w:tc>
          <w:tcPr>
            <w:tcW w:w="883" w:type="dxa"/>
            <w:shd w:val="clear" w:color="auto" w:fill="auto"/>
            <w:noWrap/>
          </w:tcPr>
          <w:p w14:paraId="4EE2089D" w14:textId="77777777" w:rsidR="009C353B" w:rsidRDefault="00000000">
            <w:pPr>
              <w:widowControl/>
              <w:jc w:val="center"/>
              <w:rPr>
                <w:rFonts w:ascii="Times New Roman" w:hAnsi="Times New Roman"/>
                <w:sz w:val="21"/>
                <w:szCs w:val="21"/>
              </w:rPr>
            </w:pPr>
            <w:r>
              <w:rPr>
                <w:rFonts w:ascii="Times New Roman" w:hAnsi="Times New Roman"/>
                <w:sz w:val="21"/>
                <w:szCs w:val="21"/>
              </w:rPr>
              <w:t>26.12</w:t>
            </w:r>
          </w:p>
        </w:tc>
        <w:tc>
          <w:tcPr>
            <w:tcW w:w="1942" w:type="dxa"/>
            <w:shd w:val="clear" w:color="auto" w:fill="auto"/>
          </w:tcPr>
          <w:p w14:paraId="50715AC8" w14:textId="77777777" w:rsidR="009C353B" w:rsidRDefault="00000000">
            <w:pPr>
              <w:widowControl/>
              <w:jc w:val="center"/>
              <w:rPr>
                <w:rFonts w:ascii="Times New Roman" w:hAnsi="Times New Roman"/>
                <w:sz w:val="21"/>
                <w:szCs w:val="21"/>
              </w:rPr>
            </w:pPr>
            <w:r>
              <w:rPr>
                <w:rFonts w:ascii="Times New Roman" w:hAnsi="Times New Roman"/>
                <w:sz w:val="21"/>
                <w:szCs w:val="21"/>
              </w:rPr>
              <w:t>14.25</w:t>
            </w:r>
          </w:p>
        </w:tc>
        <w:tc>
          <w:tcPr>
            <w:tcW w:w="1307" w:type="dxa"/>
            <w:shd w:val="clear" w:color="auto" w:fill="auto"/>
          </w:tcPr>
          <w:p w14:paraId="27B48C24" w14:textId="77777777" w:rsidR="009C353B" w:rsidRDefault="00000000">
            <w:pPr>
              <w:widowControl/>
              <w:jc w:val="center"/>
              <w:rPr>
                <w:rFonts w:ascii="Times New Roman" w:hAnsi="Times New Roman"/>
                <w:sz w:val="21"/>
                <w:szCs w:val="21"/>
              </w:rPr>
            </w:pPr>
            <w:r>
              <w:rPr>
                <w:rFonts w:ascii="Times New Roman" w:hAnsi="Times New Roman"/>
                <w:sz w:val="21"/>
                <w:szCs w:val="21"/>
              </w:rPr>
              <w:t>26.12</w:t>
            </w:r>
          </w:p>
        </w:tc>
        <w:tc>
          <w:tcPr>
            <w:tcW w:w="830" w:type="dxa"/>
            <w:vMerge w:val="restart"/>
            <w:shd w:val="clear" w:color="auto" w:fill="auto"/>
            <w:noWrap/>
          </w:tcPr>
          <w:p w14:paraId="5471009E"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E</w:t>
            </w:r>
          </w:p>
        </w:tc>
      </w:tr>
      <w:tr w:rsidR="009C353B" w14:paraId="0CC039F5" w14:textId="77777777">
        <w:trPr>
          <w:trHeight w:val="340"/>
        </w:trPr>
        <w:tc>
          <w:tcPr>
            <w:tcW w:w="648" w:type="dxa"/>
            <w:vMerge/>
            <w:shd w:val="clear" w:color="auto" w:fill="auto"/>
          </w:tcPr>
          <w:p w14:paraId="1D4BFEC4"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07796306"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56D88B09"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上煤</w:t>
            </w:r>
          </w:p>
        </w:tc>
        <w:tc>
          <w:tcPr>
            <w:tcW w:w="800" w:type="dxa"/>
            <w:shd w:val="clear" w:color="auto" w:fill="auto"/>
            <w:noWrap/>
          </w:tcPr>
          <w:p w14:paraId="4C5AB867" w14:textId="77777777" w:rsidR="009C353B" w:rsidRDefault="00000000">
            <w:pPr>
              <w:widowControl/>
              <w:jc w:val="center"/>
              <w:rPr>
                <w:rFonts w:ascii="Times New Roman" w:hAnsi="Times New Roman"/>
                <w:sz w:val="21"/>
                <w:szCs w:val="21"/>
              </w:rPr>
            </w:pPr>
            <w:r>
              <w:rPr>
                <w:rFonts w:ascii="Times New Roman" w:hAnsi="Times New Roman"/>
                <w:sz w:val="21"/>
                <w:szCs w:val="21"/>
              </w:rPr>
              <w:t>1.55</w:t>
            </w:r>
          </w:p>
        </w:tc>
        <w:tc>
          <w:tcPr>
            <w:tcW w:w="882" w:type="dxa"/>
            <w:shd w:val="clear" w:color="auto" w:fill="auto"/>
            <w:noWrap/>
          </w:tcPr>
          <w:p w14:paraId="4F6122FB" w14:textId="77777777" w:rsidR="009C353B" w:rsidRDefault="00000000">
            <w:pPr>
              <w:widowControl/>
              <w:jc w:val="center"/>
              <w:rPr>
                <w:rFonts w:ascii="Times New Roman" w:hAnsi="Times New Roman"/>
                <w:sz w:val="21"/>
                <w:szCs w:val="21"/>
              </w:rPr>
            </w:pPr>
            <w:r>
              <w:rPr>
                <w:rFonts w:ascii="Times New Roman" w:hAnsi="Times New Roman"/>
                <w:sz w:val="21"/>
                <w:szCs w:val="21"/>
              </w:rPr>
              <w:t>31.09</w:t>
            </w:r>
          </w:p>
        </w:tc>
        <w:tc>
          <w:tcPr>
            <w:tcW w:w="883" w:type="dxa"/>
            <w:shd w:val="clear" w:color="auto" w:fill="auto"/>
            <w:noWrap/>
          </w:tcPr>
          <w:p w14:paraId="5C87CFAC" w14:textId="77777777" w:rsidR="009C353B" w:rsidRDefault="00000000">
            <w:pPr>
              <w:widowControl/>
              <w:jc w:val="center"/>
              <w:rPr>
                <w:rFonts w:ascii="Times New Roman" w:hAnsi="Times New Roman"/>
                <w:sz w:val="21"/>
                <w:szCs w:val="21"/>
              </w:rPr>
            </w:pPr>
            <w:r>
              <w:rPr>
                <w:rFonts w:ascii="Times New Roman" w:hAnsi="Times New Roman"/>
                <w:sz w:val="21"/>
                <w:szCs w:val="21"/>
              </w:rPr>
              <w:t>34.90</w:t>
            </w:r>
          </w:p>
        </w:tc>
        <w:tc>
          <w:tcPr>
            <w:tcW w:w="1942" w:type="dxa"/>
            <w:shd w:val="clear" w:color="auto" w:fill="auto"/>
          </w:tcPr>
          <w:p w14:paraId="6136E72D" w14:textId="77777777" w:rsidR="009C353B" w:rsidRDefault="00000000">
            <w:pPr>
              <w:widowControl/>
              <w:jc w:val="center"/>
              <w:rPr>
                <w:rFonts w:ascii="Times New Roman" w:hAnsi="Times New Roman"/>
                <w:sz w:val="21"/>
                <w:szCs w:val="21"/>
              </w:rPr>
            </w:pPr>
            <w:r>
              <w:rPr>
                <w:rFonts w:ascii="Times New Roman" w:hAnsi="Times New Roman"/>
                <w:sz w:val="21"/>
                <w:szCs w:val="21"/>
              </w:rPr>
              <w:t>26.93</w:t>
            </w:r>
          </w:p>
        </w:tc>
        <w:tc>
          <w:tcPr>
            <w:tcW w:w="1307" w:type="dxa"/>
            <w:shd w:val="clear" w:color="auto" w:fill="auto"/>
          </w:tcPr>
          <w:p w14:paraId="124FA68E" w14:textId="77777777" w:rsidR="009C353B" w:rsidRDefault="00000000">
            <w:pPr>
              <w:widowControl/>
              <w:jc w:val="center"/>
              <w:rPr>
                <w:rFonts w:ascii="Times New Roman" w:hAnsi="Times New Roman"/>
                <w:sz w:val="21"/>
                <w:szCs w:val="21"/>
              </w:rPr>
            </w:pPr>
            <w:r>
              <w:rPr>
                <w:rFonts w:ascii="Times New Roman" w:hAnsi="Times New Roman"/>
                <w:sz w:val="21"/>
                <w:szCs w:val="21"/>
              </w:rPr>
              <w:t>34.90</w:t>
            </w:r>
          </w:p>
        </w:tc>
        <w:tc>
          <w:tcPr>
            <w:tcW w:w="830" w:type="dxa"/>
            <w:vMerge/>
            <w:shd w:val="clear" w:color="auto" w:fill="auto"/>
            <w:noWrap/>
          </w:tcPr>
          <w:p w14:paraId="14B55D12" w14:textId="77777777" w:rsidR="009C353B" w:rsidRDefault="009C353B">
            <w:pPr>
              <w:widowControl/>
              <w:jc w:val="center"/>
              <w:rPr>
                <w:rFonts w:ascii="Times New Roman" w:hAnsi="Times New Roman"/>
                <w:sz w:val="21"/>
                <w:szCs w:val="21"/>
              </w:rPr>
            </w:pPr>
          </w:p>
        </w:tc>
      </w:tr>
      <w:tr w:rsidR="009C353B" w14:paraId="25C02260" w14:textId="77777777">
        <w:trPr>
          <w:trHeight w:val="340"/>
        </w:trPr>
        <w:tc>
          <w:tcPr>
            <w:tcW w:w="648" w:type="dxa"/>
            <w:vMerge/>
            <w:shd w:val="clear" w:color="auto" w:fill="auto"/>
          </w:tcPr>
          <w:p w14:paraId="457C2B3E"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4793CF0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C7B0449"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666020D6" w14:textId="77777777" w:rsidR="009C353B" w:rsidRDefault="00000000">
            <w:pPr>
              <w:widowControl/>
              <w:jc w:val="center"/>
              <w:rPr>
                <w:rFonts w:ascii="Times New Roman" w:hAnsi="Times New Roman"/>
                <w:sz w:val="21"/>
                <w:szCs w:val="21"/>
              </w:rPr>
            </w:pPr>
            <w:r>
              <w:rPr>
                <w:rFonts w:ascii="Times New Roman" w:hAnsi="Times New Roman"/>
                <w:sz w:val="21"/>
                <w:szCs w:val="21"/>
              </w:rPr>
              <w:t>1.86</w:t>
            </w:r>
          </w:p>
        </w:tc>
        <w:tc>
          <w:tcPr>
            <w:tcW w:w="882" w:type="dxa"/>
            <w:shd w:val="clear" w:color="auto" w:fill="auto"/>
            <w:noWrap/>
          </w:tcPr>
          <w:p w14:paraId="10D8940D" w14:textId="77777777" w:rsidR="009C353B" w:rsidRDefault="00000000">
            <w:pPr>
              <w:widowControl/>
              <w:jc w:val="center"/>
              <w:rPr>
                <w:rFonts w:ascii="Times New Roman" w:hAnsi="Times New Roman"/>
                <w:sz w:val="21"/>
                <w:szCs w:val="21"/>
              </w:rPr>
            </w:pPr>
            <w:r>
              <w:rPr>
                <w:rFonts w:ascii="Times New Roman" w:hAnsi="Times New Roman"/>
                <w:sz w:val="21"/>
                <w:szCs w:val="21"/>
              </w:rPr>
              <w:t>33.88</w:t>
            </w:r>
          </w:p>
        </w:tc>
        <w:tc>
          <w:tcPr>
            <w:tcW w:w="883" w:type="dxa"/>
            <w:shd w:val="clear" w:color="auto" w:fill="auto"/>
            <w:noWrap/>
          </w:tcPr>
          <w:p w14:paraId="5FB4762F" w14:textId="77777777" w:rsidR="009C353B" w:rsidRDefault="00000000">
            <w:pPr>
              <w:widowControl/>
              <w:jc w:val="center"/>
              <w:rPr>
                <w:rFonts w:ascii="Times New Roman" w:hAnsi="Times New Roman"/>
                <w:sz w:val="21"/>
                <w:szCs w:val="21"/>
              </w:rPr>
            </w:pPr>
            <w:r>
              <w:rPr>
                <w:rFonts w:ascii="Times New Roman" w:hAnsi="Times New Roman"/>
                <w:sz w:val="21"/>
                <w:szCs w:val="21"/>
              </w:rPr>
              <w:t>37.28</w:t>
            </w:r>
          </w:p>
        </w:tc>
        <w:tc>
          <w:tcPr>
            <w:tcW w:w="1942" w:type="dxa"/>
            <w:shd w:val="clear" w:color="auto" w:fill="auto"/>
          </w:tcPr>
          <w:p w14:paraId="2926E382" w14:textId="77777777" w:rsidR="009C353B" w:rsidRDefault="00000000">
            <w:pPr>
              <w:widowControl/>
              <w:jc w:val="center"/>
              <w:rPr>
                <w:rFonts w:ascii="Times New Roman" w:hAnsi="Times New Roman"/>
                <w:sz w:val="21"/>
                <w:szCs w:val="21"/>
              </w:rPr>
            </w:pPr>
            <w:r>
              <w:rPr>
                <w:rFonts w:ascii="Times New Roman" w:hAnsi="Times New Roman"/>
                <w:sz w:val="21"/>
                <w:szCs w:val="21"/>
              </w:rPr>
              <w:t>31.30</w:t>
            </w:r>
          </w:p>
        </w:tc>
        <w:tc>
          <w:tcPr>
            <w:tcW w:w="1307" w:type="dxa"/>
            <w:shd w:val="clear" w:color="auto" w:fill="auto"/>
          </w:tcPr>
          <w:p w14:paraId="53F2C46C" w14:textId="77777777" w:rsidR="009C353B" w:rsidRDefault="00000000">
            <w:pPr>
              <w:widowControl/>
              <w:jc w:val="center"/>
              <w:rPr>
                <w:rFonts w:ascii="Times New Roman" w:hAnsi="Times New Roman"/>
                <w:sz w:val="21"/>
                <w:szCs w:val="21"/>
              </w:rPr>
            </w:pPr>
            <w:r>
              <w:rPr>
                <w:rFonts w:ascii="Times New Roman" w:hAnsi="Times New Roman"/>
                <w:sz w:val="21"/>
                <w:szCs w:val="21"/>
              </w:rPr>
              <w:t>37.28</w:t>
            </w:r>
          </w:p>
        </w:tc>
        <w:tc>
          <w:tcPr>
            <w:tcW w:w="830" w:type="dxa"/>
            <w:vMerge/>
            <w:shd w:val="clear" w:color="auto" w:fill="auto"/>
            <w:noWrap/>
          </w:tcPr>
          <w:p w14:paraId="2366470A" w14:textId="77777777" w:rsidR="009C353B" w:rsidRDefault="009C353B">
            <w:pPr>
              <w:widowControl/>
              <w:jc w:val="center"/>
              <w:rPr>
                <w:rFonts w:ascii="Times New Roman" w:hAnsi="Times New Roman"/>
                <w:sz w:val="21"/>
                <w:szCs w:val="21"/>
              </w:rPr>
            </w:pPr>
          </w:p>
        </w:tc>
      </w:tr>
      <w:tr w:rsidR="009C353B" w14:paraId="56BC5BCD" w14:textId="77777777">
        <w:trPr>
          <w:trHeight w:val="340"/>
        </w:trPr>
        <w:tc>
          <w:tcPr>
            <w:tcW w:w="648" w:type="dxa"/>
            <w:vMerge/>
            <w:shd w:val="clear" w:color="auto" w:fill="auto"/>
          </w:tcPr>
          <w:p w14:paraId="56F38B40"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5831EFF0"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ECEB44A"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2AE73627" w14:textId="77777777" w:rsidR="009C353B" w:rsidRDefault="00000000">
            <w:pPr>
              <w:widowControl/>
              <w:jc w:val="center"/>
              <w:rPr>
                <w:rFonts w:ascii="Times New Roman" w:hAnsi="Times New Roman"/>
                <w:sz w:val="21"/>
                <w:szCs w:val="21"/>
              </w:rPr>
            </w:pPr>
            <w:r>
              <w:rPr>
                <w:rFonts w:ascii="Times New Roman" w:hAnsi="Times New Roman"/>
                <w:sz w:val="21"/>
                <w:szCs w:val="21"/>
              </w:rPr>
              <w:t>3.76</w:t>
            </w:r>
          </w:p>
        </w:tc>
        <w:tc>
          <w:tcPr>
            <w:tcW w:w="882" w:type="dxa"/>
            <w:shd w:val="clear" w:color="auto" w:fill="auto"/>
            <w:noWrap/>
          </w:tcPr>
          <w:p w14:paraId="031543A6" w14:textId="77777777" w:rsidR="009C353B" w:rsidRDefault="00000000">
            <w:pPr>
              <w:widowControl/>
              <w:jc w:val="center"/>
              <w:rPr>
                <w:rFonts w:ascii="Times New Roman" w:hAnsi="Times New Roman"/>
                <w:sz w:val="21"/>
                <w:szCs w:val="21"/>
              </w:rPr>
            </w:pPr>
            <w:r>
              <w:rPr>
                <w:rFonts w:ascii="Times New Roman" w:hAnsi="Times New Roman"/>
                <w:sz w:val="21"/>
                <w:szCs w:val="21"/>
              </w:rPr>
              <w:t>44.70</w:t>
            </w:r>
          </w:p>
        </w:tc>
        <w:tc>
          <w:tcPr>
            <w:tcW w:w="883" w:type="dxa"/>
            <w:shd w:val="clear" w:color="auto" w:fill="auto"/>
            <w:noWrap/>
          </w:tcPr>
          <w:p w14:paraId="61D0E3BC" w14:textId="77777777" w:rsidR="009C353B" w:rsidRDefault="00000000">
            <w:pPr>
              <w:widowControl/>
              <w:jc w:val="center"/>
              <w:rPr>
                <w:rFonts w:ascii="Times New Roman" w:hAnsi="Times New Roman"/>
                <w:sz w:val="21"/>
                <w:szCs w:val="21"/>
              </w:rPr>
            </w:pPr>
            <w:r>
              <w:rPr>
                <w:rFonts w:ascii="Times New Roman" w:hAnsi="Times New Roman"/>
                <w:sz w:val="21"/>
                <w:szCs w:val="21"/>
              </w:rPr>
              <w:t>48.78</w:t>
            </w:r>
          </w:p>
        </w:tc>
        <w:tc>
          <w:tcPr>
            <w:tcW w:w="1942" w:type="dxa"/>
            <w:shd w:val="clear" w:color="auto" w:fill="auto"/>
          </w:tcPr>
          <w:p w14:paraId="25BD987D" w14:textId="77777777" w:rsidR="009C353B" w:rsidRDefault="00000000">
            <w:pPr>
              <w:widowControl/>
              <w:jc w:val="center"/>
              <w:rPr>
                <w:rFonts w:ascii="Times New Roman" w:hAnsi="Times New Roman"/>
                <w:sz w:val="21"/>
                <w:szCs w:val="21"/>
              </w:rPr>
            </w:pPr>
            <w:r>
              <w:rPr>
                <w:rFonts w:ascii="Times New Roman" w:hAnsi="Times New Roman"/>
                <w:sz w:val="21"/>
                <w:szCs w:val="21"/>
              </w:rPr>
              <w:t>58.06</w:t>
            </w:r>
          </w:p>
        </w:tc>
        <w:tc>
          <w:tcPr>
            <w:tcW w:w="1307" w:type="dxa"/>
            <w:shd w:val="clear" w:color="auto" w:fill="auto"/>
          </w:tcPr>
          <w:p w14:paraId="758FC12F" w14:textId="77777777" w:rsidR="009C353B" w:rsidRDefault="00000000">
            <w:pPr>
              <w:widowControl/>
              <w:jc w:val="center"/>
              <w:rPr>
                <w:rFonts w:ascii="Times New Roman" w:hAnsi="Times New Roman"/>
                <w:sz w:val="21"/>
                <w:szCs w:val="21"/>
              </w:rPr>
            </w:pPr>
            <w:r>
              <w:rPr>
                <w:rFonts w:ascii="Times New Roman" w:hAnsi="Times New Roman"/>
                <w:sz w:val="21"/>
                <w:szCs w:val="21"/>
              </w:rPr>
              <w:t>58.06</w:t>
            </w:r>
          </w:p>
        </w:tc>
        <w:tc>
          <w:tcPr>
            <w:tcW w:w="830" w:type="dxa"/>
            <w:vMerge/>
            <w:shd w:val="clear" w:color="auto" w:fill="auto"/>
            <w:noWrap/>
          </w:tcPr>
          <w:p w14:paraId="26F316BF" w14:textId="77777777" w:rsidR="009C353B" w:rsidRDefault="009C353B">
            <w:pPr>
              <w:widowControl/>
              <w:jc w:val="center"/>
              <w:rPr>
                <w:rFonts w:ascii="Times New Roman" w:hAnsi="Times New Roman"/>
                <w:sz w:val="21"/>
                <w:szCs w:val="21"/>
              </w:rPr>
            </w:pPr>
          </w:p>
        </w:tc>
      </w:tr>
      <w:tr w:rsidR="009C353B" w14:paraId="5E6A1BB9" w14:textId="77777777">
        <w:trPr>
          <w:trHeight w:val="340"/>
        </w:trPr>
        <w:tc>
          <w:tcPr>
            <w:tcW w:w="648" w:type="dxa"/>
            <w:vMerge/>
            <w:shd w:val="clear" w:color="auto" w:fill="auto"/>
          </w:tcPr>
          <w:p w14:paraId="131AAD14"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016E976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2505</w:t>
            </w:r>
          </w:p>
        </w:tc>
        <w:tc>
          <w:tcPr>
            <w:tcW w:w="883" w:type="dxa"/>
            <w:shd w:val="clear" w:color="auto" w:fill="auto"/>
            <w:noWrap/>
          </w:tcPr>
          <w:p w14:paraId="0AB43586"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上煤</w:t>
            </w:r>
          </w:p>
        </w:tc>
        <w:tc>
          <w:tcPr>
            <w:tcW w:w="800" w:type="dxa"/>
            <w:shd w:val="clear" w:color="auto" w:fill="auto"/>
            <w:noWrap/>
          </w:tcPr>
          <w:p w14:paraId="3E761200" w14:textId="77777777" w:rsidR="009C353B" w:rsidRDefault="00000000">
            <w:pPr>
              <w:widowControl/>
              <w:jc w:val="center"/>
              <w:rPr>
                <w:rFonts w:ascii="Times New Roman" w:hAnsi="Times New Roman"/>
                <w:sz w:val="21"/>
                <w:szCs w:val="21"/>
              </w:rPr>
            </w:pPr>
            <w:r>
              <w:rPr>
                <w:rFonts w:ascii="Times New Roman" w:hAnsi="Times New Roman"/>
                <w:sz w:val="21"/>
                <w:szCs w:val="21"/>
              </w:rPr>
              <w:t>1.45</w:t>
            </w:r>
          </w:p>
        </w:tc>
        <w:tc>
          <w:tcPr>
            <w:tcW w:w="882" w:type="dxa"/>
            <w:shd w:val="clear" w:color="auto" w:fill="auto"/>
            <w:noWrap/>
          </w:tcPr>
          <w:p w14:paraId="529D5171" w14:textId="77777777" w:rsidR="009C353B" w:rsidRDefault="00000000">
            <w:pPr>
              <w:widowControl/>
              <w:jc w:val="center"/>
              <w:rPr>
                <w:rFonts w:ascii="Times New Roman" w:hAnsi="Times New Roman"/>
                <w:sz w:val="21"/>
                <w:szCs w:val="21"/>
              </w:rPr>
            </w:pPr>
            <w:r>
              <w:rPr>
                <w:rFonts w:ascii="Times New Roman" w:hAnsi="Times New Roman"/>
                <w:sz w:val="21"/>
                <w:szCs w:val="21"/>
              </w:rPr>
              <w:t>30.09</w:t>
            </w:r>
          </w:p>
        </w:tc>
        <w:tc>
          <w:tcPr>
            <w:tcW w:w="883" w:type="dxa"/>
            <w:shd w:val="clear" w:color="auto" w:fill="auto"/>
            <w:noWrap/>
          </w:tcPr>
          <w:p w14:paraId="784A507C" w14:textId="77777777" w:rsidR="009C353B" w:rsidRDefault="00000000">
            <w:pPr>
              <w:widowControl/>
              <w:jc w:val="center"/>
              <w:rPr>
                <w:rFonts w:ascii="Times New Roman" w:hAnsi="Times New Roman"/>
                <w:sz w:val="21"/>
                <w:szCs w:val="21"/>
              </w:rPr>
            </w:pPr>
            <w:r>
              <w:rPr>
                <w:rFonts w:ascii="Times New Roman" w:hAnsi="Times New Roman"/>
                <w:sz w:val="21"/>
                <w:szCs w:val="21"/>
              </w:rPr>
              <w:t>34.08</w:t>
            </w:r>
          </w:p>
        </w:tc>
        <w:tc>
          <w:tcPr>
            <w:tcW w:w="1942" w:type="dxa"/>
            <w:shd w:val="clear" w:color="auto" w:fill="auto"/>
          </w:tcPr>
          <w:p w14:paraId="55FEAF97" w14:textId="77777777" w:rsidR="009C353B" w:rsidRDefault="00000000">
            <w:pPr>
              <w:widowControl/>
              <w:jc w:val="center"/>
              <w:rPr>
                <w:rFonts w:ascii="Times New Roman" w:hAnsi="Times New Roman"/>
                <w:sz w:val="21"/>
                <w:szCs w:val="21"/>
              </w:rPr>
            </w:pPr>
            <w:r>
              <w:rPr>
                <w:rFonts w:ascii="Times New Roman" w:hAnsi="Times New Roman"/>
                <w:sz w:val="21"/>
                <w:szCs w:val="21"/>
              </w:rPr>
              <w:t>25.52</w:t>
            </w:r>
          </w:p>
        </w:tc>
        <w:tc>
          <w:tcPr>
            <w:tcW w:w="1307" w:type="dxa"/>
            <w:shd w:val="clear" w:color="auto" w:fill="auto"/>
          </w:tcPr>
          <w:p w14:paraId="26A30827" w14:textId="77777777" w:rsidR="009C353B" w:rsidRDefault="00000000">
            <w:pPr>
              <w:widowControl/>
              <w:jc w:val="center"/>
              <w:rPr>
                <w:rFonts w:ascii="Times New Roman" w:hAnsi="Times New Roman"/>
                <w:sz w:val="21"/>
                <w:szCs w:val="21"/>
              </w:rPr>
            </w:pPr>
            <w:r>
              <w:rPr>
                <w:rFonts w:ascii="Times New Roman" w:hAnsi="Times New Roman"/>
                <w:sz w:val="21"/>
                <w:szCs w:val="21"/>
              </w:rPr>
              <w:t>34.08</w:t>
            </w:r>
          </w:p>
        </w:tc>
        <w:tc>
          <w:tcPr>
            <w:tcW w:w="830" w:type="dxa"/>
            <w:vMerge w:val="restart"/>
            <w:shd w:val="clear" w:color="auto" w:fill="auto"/>
            <w:noWrap/>
          </w:tcPr>
          <w:p w14:paraId="577C80E8"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44BCD5AB" w14:textId="77777777">
        <w:trPr>
          <w:trHeight w:val="340"/>
        </w:trPr>
        <w:tc>
          <w:tcPr>
            <w:tcW w:w="648" w:type="dxa"/>
            <w:vMerge/>
            <w:shd w:val="clear" w:color="auto" w:fill="auto"/>
          </w:tcPr>
          <w:p w14:paraId="27B66113"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1AB6D9B7"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3CB03B7"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4E5A7333" w14:textId="77777777" w:rsidR="009C353B" w:rsidRDefault="00000000">
            <w:pPr>
              <w:widowControl/>
              <w:jc w:val="center"/>
              <w:rPr>
                <w:rFonts w:ascii="Times New Roman" w:hAnsi="Times New Roman"/>
                <w:sz w:val="21"/>
                <w:szCs w:val="21"/>
              </w:rPr>
            </w:pPr>
            <w:r>
              <w:rPr>
                <w:rFonts w:ascii="Times New Roman" w:hAnsi="Times New Roman"/>
                <w:sz w:val="21"/>
                <w:szCs w:val="21"/>
              </w:rPr>
              <w:t>3.81</w:t>
            </w:r>
          </w:p>
        </w:tc>
        <w:tc>
          <w:tcPr>
            <w:tcW w:w="882" w:type="dxa"/>
            <w:shd w:val="clear" w:color="auto" w:fill="auto"/>
            <w:noWrap/>
          </w:tcPr>
          <w:p w14:paraId="7F023EC5" w14:textId="77777777" w:rsidR="009C353B" w:rsidRDefault="00000000">
            <w:pPr>
              <w:widowControl/>
              <w:jc w:val="center"/>
              <w:rPr>
                <w:rFonts w:ascii="Times New Roman" w:hAnsi="Times New Roman"/>
                <w:sz w:val="21"/>
                <w:szCs w:val="21"/>
              </w:rPr>
            </w:pPr>
            <w:r>
              <w:rPr>
                <w:rFonts w:ascii="Times New Roman" w:hAnsi="Times New Roman"/>
                <w:sz w:val="21"/>
                <w:szCs w:val="21"/>
              </w:rPr>
              <w:t>44.89</w:t>
            </w:r>
          </w:p>
        </w:tc>
        <w:tc>
          <w:tcPr>
            <w:tcW w:w="883" w:type="dxa"/>
            <w:shd w:val="clear" w:color="auto" w:fill="auto"/>
            <w:noWrap/>
          </w:tcPr>
          <w:p w14:paraId="142F0434" w14:textId="77777777" w:rsidR="009C353B" w:rsidRDefault="00000000">
            <w:pPr>
              <w:widowControl/>
              <w:jc w:val="center"/>
              <w:rPr>
                <w:rFonts w:ascii="Times New Roman" w:hAnsi="Times New Roman"/>
                <w:sz w:val="21"/>
                <w:szCs w:val="21"/>
              </w:rPr>
            </w:pPr>
            <w:r>
              <w:rPr>
                <w:rFonts w:ascii="Times New Roman" w:hAnsi="Times New Roman"/>
                <w:sz w:val="21"/>
                <w:szCs w:val="21"/>
              </w:rPr>
              <w:t>49.04</w:t>
            </w:r>
          </w:p>
        </w:tc>
        <w:tc>
          <w:tcPr>
            <w:tcW w:w="1942" w:type="dxa"/>
            <w:shd w:val="clear" w:color="auto" w:fill="auto"/>
          </w:tcPr>
          <w:p w14:paraId="6AC10373" w14:textId="77777777" w:rsidR="009C353B" w:rsidRDefault="00000000">
            <w:pPr>
              <w:widowControl/>
              <w:jc w:val="center"/>
              <w:rPr>
                <w:rFonts w:ascii="Times New Roman" w:hAnsi="Times New Roman"/>
                <w:sz w:val="21"/>
                <w:szCs w:val="21"/>
              </w:rPr>
            </w:pPr>
            <w:r>
              <w:rPr>
                <w:rFonts w:ascii="Times New Roman" w:hAnsi="Times New Roman"/>
                <w:sz w:val="21"/>
                <w:szCs w:val="21"/>
              </w:rPr>
              <w:t>58.76</w:t>
            </w:r>
          </w:p>
        </w:tc>
        <w:tc>
          <w:tcPr>
            <w:tcW w:w="1307" w:type="dxa"/>
            <w:shd w:val="clear" w:color="auto" w:fill="auto"/>
          </w:tcPr>
          <w:p w14:paraId="09AE3456" w14:textId="77777777" w:rsidR="009C353B" w:rsidRDefault="00000000">
            <w:pPr>
              <w:widowControl/>
              <w:jc w:val="center"/>
              <w:rPr>
                <w:rFonts w:ascii="Times New Roman" w:hAnsi="Times New Roman"/>
                <w:sz w:val="21"/>
                <w:szCs w:val="21"/>
              </w:rPr>
            </w:pPr>
            <w:r>
              <w:rPr>
                <w:rFonts w:ascii="Times New Roman" w:hAnsi="Times New Roman"/>
                <w:sz w:val="21"/>
                <w:szCs w:val="21"/>
              </w:rPr>
              <w:t>58.76</w:t>
            </w:r>
          </w:p>
        </w:tc>
        <w:tc>
          <w:tcPr>
            <w:tcW w:w="830" w:type="dxa"/>
            <w:vMerge/>
            <w:shd w:val="clear" w:color="auto" w:fill="auto"/>
            <w:noWrap/>
          </w:tcPr>
          <w:p w14:paraId="7B1A8DBF" w14:textId="77777777" w:rsidR="009C353B" w:rsidRDefault="009C353B">
            <w:pPr>
              <w:widowControl/>
              <w:jc w:val="center"/>
              <w:rPr>
                <w:rFonts w:ascii="Times New Roman" w:hAnsi="Times New Roman"/>
                <w:sz w:val="21"/>
                <w:szCs w:val="21"/>
              </w:rPr>
            </w:pPr>
          </w:p>
        </w:tc>
      </w:tr>
      <w:tr w:rsidR="009C353B" w14:paraId="5C99A6AF" w14:textId="77777777">
        <w:trPr>
          <w:trHeight w:val="340"/>
        </w:trPr>
        <w:tc>
          <w:tcPr>
            <w:tcW w:w="648" w:type="dxa"/>
            <w:vMerge/>
            <w:shd w:val="clear" w:color="auto" w:fill="auto"/>
          </w:tcPr>
          <w:p w14:paraId="1B5DCF93"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78F0F4B2"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EE836A4"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3D8513A9" w14:textId="77777777" w:rsidR="009C353B" w:rsidRDefault="00000000">
            <w:pPr>
              <w:widowControl/>
              <w:jc w:val="center"/>
              <w:rPr>
                <w:rFonts w:ascii="Times New Roman" w:hAnsi="Times New Roman"/>
                <w:sz w:val="21"/>
                <w:szCs w:val="21"/>
              </w:rPr>
            </w:pPr>
            <w:r>
              <w:rPr>
                <w:rFonts w:ascii="Times New Roman" w:hAnsi="Times New Roman"/>
                <w:sz w:val="21"/>
                <w:szCs w:val="21"/>
              </w:rPr>
              <w:t>2.90</w:t>
            </w:r>
          </w:p>
        </w:tc>
        <w:tc>
          <w:tcPr>
            <w:tcW w:w="882" w:type="dxa"/>
            <w:shd w:val="clear" w:color="auto" w:fill="auto"/>
            <w:noWrap/>
          </w:tcPr>
          <w:p w14:paraId="35500B51" w14:textId="77777777" w:rsidR="009C353B" w:rsidRDefault="00000000">
            <w:pPr>
              <w:widowControl/>
              <w:jc w:val="center"/>
              <w:rPr>
                <w:rFonts w:ascii="Times New Roman" w:hAnsi="Times New Roman"/>
                <w:sz w:val="21"/>
                <w:szCs w:val="21"/>
              </w:rPr>
            </w:pPr>
            <w:r>
              <w:rPr>
                <w:rFonts w:ascii="Times New Roman" w:hAnsi="Times New Roman"/>
                <w:sz w:val="21"/>
                <w:szCs w:val="21"/>
              </w:rPr>
              <w:t>40.79</w:t>
            </w:r>
          </w:p>
        </w:tc>
        <w:tc>
          <w:tcPr>
            <w:tcW w:w="883" w:type="dxa"/>
            <w:shd w:val="clear" w:color="auto" w:fill="auto"/>
            <w:noWrap/>
          </w:tcPr>
          <w:p w14:paraId="5ACF02DB" w14:textId="77777777" w:rsidR="009C353B" w:rsidRDefault="00000000">
            <w:pPr>
              <w:widowControl/>
              <w:jc w:val="center"/>
              <w:rPr>
                <w:rFonts w:ascii="Times New Roman" w:hAnsi="Times New Roman"/>
                <w:sz w:val="21"/>
                <w:szCs w:val="21"/>
              </w:rPr>
            </w:pPr>
            <w:r>
              <w:rPr>
                <w:rFonts w:ascii="Times New Roman" w:hAnsi="Times New Roman"/>
                <w:sz w:val="21"/>
                <w:szCs w:val="21"/>
              </w:rPr>
              <w:t>44.06</w:t>
            </w:r>
          </w:p>
        </w:tc>
        <w:tc>
          <w:tcPr>
            <w:tcW w:w="1942" w:type="dxa"/>
            <w:shd w:val="clear" w:color="auto" w:fill="auto"/>
          </w:tcPr>
          <w:p w14:paraId="52AD82FE" w14:textId="77777777" w:rsidR="009C353B" w:rsidRDefault="00000000">
            <w:pPr>
              <w:widowControl/>
              <w:jc w:val="center"/>
              <w:rPr>
                <w:rFonts w:ascii="Times New Roman" w:hAnsi="Times New Roman"/>
                <w:sz w:val="21"/>
                <w:szCs w:val="21"/>
              </w:rPr>
            </w:pPr>
            <w:r>
              <w:rPr>
                <w:rFonts w:ascii="Times New Roman" w:hAnsi="Times New Roman"/>
                <w:sz w:val="21"/>
                <w:szCs w:val="21"/>
              </w:rPr>
              <w:t>45.95</w:t>
            </w:r>
          </w:p>
        </w:tc>
        <w:tc>
          <w:tcPr>
            <w:tcW w:w="1307" w:type="dxa"/>
            <w:shd w:val="clear" w:color="auto" w:fill="auto"/>
          </w:tcPr>
          <w:p w14:paraId="658738A4" w14:textId="77777777" w:rsidR="009C353B" w:rsidRDefault="00000000">
            <w:pPr>
              <w:widowControl/>
              <w:jc w:val="center"/>
              <w:rPr>
                <w:rFonts w:ascii="Times New Roman" w:hAnsi="Times New Roman"/>
                <w:sz w:val="21"/>
                <w:szCs w:val="21"/>
              </w:rPr>
            </w:pPr>
            <w:r>
              <w:rPr>
                <w:rFonts w:ascii="Times New Roman" w:hAnsi="Times New Roman"/>
                <w:sz w:val="21"/>
                <w:szCs w:val="21"/>
              </w:rPr>
              <w:t>45.95</w:t>
            </w:r>
          </w:p>
        </w:tc>
        <w:tc>
          <w:tcPr>
            <w:tcW w:w="830" w:type="dxa"/>
            <w:vMerge/>
            <w:shd w:val="clear" w:color="auto" w:fill="auto"/>
            <w:noWrap/>
          </w:tcPr>
          <w:p w14:paraId="0F94DAC6" w14:textId="77777777" w:rsidR="009C353B" w:rsidRDefault="009C353B">
            <w:pPr>
              <w:widowControl/>
              <w:jc w:val="center"/>
              <w:rPr>
                <w:rFonts w:ascii="Times New Roman" w:hAnsi="Times New Roman"/>
                <w:sz w:val="21"/>
                <w:szCs w:val="21"/>
              </w:rPr>
            </w:pPr>
          </w:p>
        </w:tc>
      </w:tr>
      <w:tr w:rsidR="009C353B" w14:paraId="3193850D" w14:textId="77777777">
        <w:trPr>
          <w:trHeight w:val="340"/>
        </w:trPr>
        <w:tc>
          <w:tcPr>
            <w:tcW w:w="648" w:type="dxa"/>
            <w:vMerge/>
            <w:shd w:val="clear" w:color="auto" w:fill="auto"/>
          </w:tcPr>
          <w:p w14:paraId="0D9C6FBA"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4576F87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110</w:t>
            </w:r>
          </w:p>
        </w:tc>
        <w:tc>
          <w:tcPr>
            <w:tcW w:w="883" w:type="dxa"/>
            <w:shd w:val="clear" w:color="auto" w:fill="auto"/>
            <w:noWrap/>
          </w:tcPr>
          <w:p w14:paraId="00274C39"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上煤</w:t>
            </w:r>
          </w:p>
        </w:tc>
        <w:tc>
          <w:tcPr>
            <w:tcW w:w="800" w:type="dxa"/>
            <w:shd w:val="clear" w:color="auto" w:fill="auto"/>
            <w:noWrap/>
          </w:tcPr>
          <w:p w14:paraId="7EA3C965" w14:textId="77777777" w:rsidR="009C353B" w:rsidRDefault="00000000">
            <w:pPr>
              <w:widowControl/>
              <w:jc w:val="center"/>
              <w:rPr>
                <w:rFonts w:ascii="Times New Roman" w:hAnsi="Times New Roman"/>
                <w:sz w:val="21"/>
                <w:szCs w:val="21"/>
              </w:rPr>
            </w:pPr>
            <w:r>
              <w:rPr>
                <w:rFonts w:ascii="Times New Roman" w:hAnsi="Times New Roman"/>
                <w:sz w:val="21"/>
                <w:szCs w:val="21"/>
              </w:rPr>
              <w:t>1.95</w:t>
            </w:r>
          </w:p>
        </w:tc>
        <w:tc>
          <w:tcPr>
            <w:tcW w:w="882" w:type="dxa"/>
            <w:shd w:val="clear" w:color="auto" w:fill="auto"/>
            <w:noWrap/>
          </w:tcPr>
          <w:p w14:paraId="6C722BB7" w14:textId="77777777" w:rsidR="009C353B" w:rsidRDefault="00000000">
            <w:pPr>
              <w:widowControl/>
              <w:jc w:val="center"/>
              <w:rPr>
                <w:rFonts w:ascii="Times New Roman" w:hAnsi="Times New Roman"/>
                <w:sz w:val="21"/>
                <w:szCs w:val="21"/>
              </w:rPr>
            </w:pPr>
            <w:r>
              <w:rPr>
                <w:rFonts w:ascii="Times New Roman" w:hAnsi="Times New Roman"/>
                <w:sz w:val="21"/>
                <w:szCs w:val="21"/>
              </w:rPr>
              <w:t>34.62</w:t>
            </w:r>
          </w:p>
        </w:tc>
        <w:tc>
          <w:tcPr>
            <w:tcW w:w="883" w:type="dxa"/>
            <w:shd w:val="clear" w:color="auto" w:fill="auto"/>
            <w:noWrap/>
          </w:tcPr>
          <w:p w14:paraId="7303F5A7" w14:textId="77777777" w:rsidR="009C353B" w:rsidRDefault="00000000">
            <w:pPr>
              <w:widowControl/>
              <w:jc w:val="center"/>
              <w:rPr>
                <w:rFonts w:ascii="Times New Roman" w:hAnsi="Times New Roman"/>
                <w:sz w:val="21"/>
                <w:szCs w:val="21"/>
              </w:rPr>
            </w:pPr>
            <w:r>
              <w:rPr>
                <w:rFonts w:ascii="Times New Roman" w:hAnsi="Times New Roman"/>
                <w:sz w:val="21"/>
                <w:szCs w:val="21"/>
              </w:rPr>
              <w:t>37.93</w:t>
            </w:r>
          </w:p>
        </w:tc>
        <w:tc>
          <w:tcPr>
            <w:tcW w:w="1942" w:type="dxa"/>
            <w:shd w:val="clear" w:color="auto" w:fill="auto"/>
          </w:tcPr>
          <w:p w14:paraId="79F3F057" w14:textId="77777777" w:rsidR="009C353B" w:rsidRDefault="00000000">
            <w:pPr>
              <w:widowControl/>
              <w:jc w:val="center"/>
              <w:rPr>
                <w:rFonts w:ascii="Times New Roman" w:hAnsi="Times New Roman"/>
                <w:sz w:val="21"/>
                <w:szCs w:val="21"/>
              </w:rPr>
            </w:pPr>
            <w:r>
              <w:rPr>
                <w:rFonts w:ascii="Times New Roman" w:hAnsi="Times New Roman"/>
                <w:sz w:val="21"/>
                <w:szCs w:val="21"/>
              </w:rPr>
              <w:t>32.56</w:t>
            </w:r>
          </w:p>
        </w:tc>
        <w:tc>
          <w:tcPr>
            <w:tcW w:w="1307" w:type="dxa"/>
            <w:shd w:val="clear" w:color="auto" w:fill="auto"/>
          </w:tcPr>
          <w:p w14:paraId="1E58305F" w14:textId="77777777" w:rsidR="009C353B" w:rsidRDefault="00000000">
            <w:pPr>
              <w:widowControl/>
              <w:jc w:val="center"/>
              <w:rPr>
                <w:rFonts w:ascii="Times New Roman" w:hAnsi="Times New Roman"/>
                <w:sz w:val="21"/>
                <w:szCs w:val="21"/>
              </w:rPr>
            </w:pPr>
            <w:r>
              <w:rPr>
                <w:rFonts w:ascii="Times New Roman" w:hAnsi="Times New Roman"/>
                <w:sz w:val="21"/>
                <w:szCs w:val="21"/>
              </w:rPr>
              <w:t>37.93</w:t>
            </w:r>
          </w:p>
        </w:tc>
        <w:tc>
          <w:tcPr>
            <w:tcW w:w="830" w:type="dxa"/>
            <w:vMerge w:val="restart"/>
            <w:shd w:val="clear" w:color="auto" w:fill="auto"/>
            <w:noWrap/>
          </w:tcPr>
          <w:p w14:paraId="38445C3E"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4BA4764D" w14:textId="77777777">
        <w:trPr>
          <w:trHeight w:val="340"/>
        </w:trPr>
        <w:tc>
          <w:tcPr>
            <w:tcW w:w="648" w:type="dxa"/>
            <w:vMerge/>
            <w:shd w:val="clear" w:color="auto" w:fill="auto"/>
          </w:tcPr>
          <w:p w14:paraId="036404FD"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2F201968"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D7B66CC"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02238CE9" w14:textId="77777777" w:rsidR="009C353B" w:rsidRDefault="00000000">
            <w:pPr>
              <w:widowControl/>
              <w:jc w:val="center"/>
              <w:rPr>
                <w:rFonts w:ascii="Times New Roman" w:hAnsi="Times New Roman"/>
                <w:sz w:val="21"/>
                <w:szCs w:val="21"/>
              </w:rPr>
            </w:pPr>
            <w:r>
              <w:rPr>
                <w:rFonts w:ascii="Times New Roman" w:hAnsi="Times New Roman"/>
                <w:sz w:val="21"/>
                <w:szCs w:val="21"/>
              </w:rPr>
              <w:t>3.05</w:t>
            </w:r>
          </w:p>
        </w:tc>
        <w:tc>
          <w:tcPr>
            <w:tcW w:w="882" w:type="dxa"/>
            <w:shd w:val="clear" w:color="auto" w:fill="auto"/>
            <w:noWrap/>
          </w:tcPr>
          <w:p w14:paraId="28E1703B" w14:textId="77777777" w:rsidR="009C353B" w:rsidRDefault="00000000">
            <w:pPr>
              <w:widowControl/>
              <w:jc w:val="center"/>
              <w:rPr>
                <w:rFonts w:ascii="Times New Roman" w:hAnsi="Times New Roman"/>
                <w:sz w:val="21"/>
                <w:szCs w:val="21"/>
              </w:rPr>
            </w:pPr>
            <w:r>
              <w:rPr>
                <w:rFonts w:ascii="Times New Roman" w:hAnsi="Times New Roman"/>
                <w:sz w:val="21"/>
                <w:szCs w:val="21"/>
              </w:rPr>
              <w:t>41.57</w:t>
            </w:r>
          </w:p>
        </w:tc>
        <w:tc>
          <w:tcPr>
            <w:tcW w:w="883" w:type="dxa"/>
            <w:shd w:val="clear" w:color="auto" w:fill="auto"/>
            <w:noWrap/>
          </w:tcPr>
          <w:p w14:paraId="6B9B5A01" w14:textId="77777777" w:rsidR="009C353B" w:rsidRDefault="00000000">
            <w:pPr>
              <w:widowControl/>
              <w:jc w:val="center"/>
              <w:rPr>
                <w:rFonts w:ascii="Times New Roman" w:hAnsi="Times New Roman"/>
                <w:sz w:val="21"/>
                <w:szCs w:val="21"/>
              </w:rPr>
            </w:pPr>
            <w:r>
              <w:rPr>
                <w:rFonts w:ascii="Times New Roman" w:hAnsi="Times New Roman"/>
                <w:sz w:val="21"/>
                <w:szCs w:val="21"/>
              </w:rPr>
              <w:t>44.93</w:t>
            </w:r>
          </w:p>
        </w:tc>
        <w:tc>
          <w:tcPr>
            <w:tcW w:w="1942" w:type="dxa"/>
            <w:shd w:val="clear" w:color="auto" w:fill="auto"/>
          </w:tcPr>
          <w:p w14:paraId="41D8CFA6" w14:textId="77777777" w:rsidR="009C353B" w:rsidRDefault="00000000">
            <w:pPr>
              <w:widowControl/>
              <w:jc w:val="center"/>
              <w:rPr>
                <w:rFonts w:ascii="Times New Roman" w:hAnsi="Times New Roman"/>
                <w:sz w:val="21"/>
                <w:szCs w:val="21"/>
              </w:rPr>
            </w:pPr>
            <w:r>
              <w:rPr>
                <w:rFonts w:ascii="Times New Roman" w:hAnsi="Times New Roman"/>
                <w:sz w:val="21"/>
                <w:szCs w:val="21"/>
              </w:rPr>
              <w:t>48.06</w:t>
            </w:r>
          </w:p>
        </w:tc>
        <w:tc>
          <w:tcPr>
            <w:tcW w:w="1307" w:type="dxa"/>
            <w:shd w:val="clear" w:color="auto" w:fill="auto"/>
          </w:tcPr>
          <w:p w14:paraId="35A2F3BD" w14:textId="77777777" w:rsidR="009C353B" w:rsidRDefault="00000000">
            <w:pPr>
              <w:widowControl/>
              <w:jc w:val="center"/>
              <w:rPr>
                <w:rFonts w:ascii="Times New Roman" w:hAnsi="Times New Roman"/>
                <w:sz w:val="21"/>
                <w:szCs w:val="21"/>
              </w:rPr>
            </w:pPr>
            <w:r>
              <w:rPr>
                <w:rFonts w:ascii="Times New Roman" w:hAnsi="Times New Roman"/>
                <w:sz w:val="21"/>
                <w:szCs w:val="21"/>
              </w:rPr>
              <w:t>48.06</w:t>
            </w:r>
          </w:p>
        </w:tc>
        <w:tc>
          <w:tcPr>
            <w:tcW w:w="830" w:type="dxa"/>
            <w:vMerge/>
            <w:shd w:val="clear" w:color="auto" w:fill="auto"/>
            <w:noWrap/>
          </w:tcPr>
          <w:p w14:paraId="476D6ABC" w14:textId="77777777" w:rsidR="009C353B" w:rsidRDefault="009C353B">
            <w:pPr>
              <w:widowControl/>
              <w:jc w:val="center"/>
              <w:rPr>
                <w:rFonts w:ascii="Times New Roman" w:hAnsi="Times New Roman"/>
                <w:sz w:val="21"/>
                <w:szCs w:val="21"/>
              </w:rPr>
            </w:pPr>
          </w:p>
        </w:tc>
      </w:tr>
      <w:tr w:rsidR="009C353B" w14:paraId="3E8807CF" w14:textId="77777777">
        <w:trPr>
          <w:trHeight w:val="340"/>
        </w:trPr>
        <w:tc>
          <w:tcPr>
            <w:tcW w:w="648" w:type="dxa"/>
            <w:vMerge/>
            <w:shd w:val="clear" w:color="auto" w:fill="auto"/>
          </w:tcPr>
          <w:p w14:paraId="7F5B572A"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E2BD560"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2A5AC1A"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48C82E65" w14:textId="77777777" w:rsidR="009C353B" w:rsidRDefault="00000000">
            <w:pPr>
              <w:widowControl/>
              <w:jc w:val="center"/>
              <w:rPr>
                <w:rFonts w:ascii="Times New Roman" w:hAnsi="Times New Roman"/>
                <w:sz w:val="21"/>
                <w:szCs w:val="21"/>
              </w:rPr>
            </w:pPr>
            <w:r>
              <w:rPr>
                <w:rFonts w:ascii="Times New Roman" w:hAnsi="Times New Roman"/>
                <w:sz w:val="21"/>
                <w:szCs w:val="21"/>
              </w:rPr>
              <w:t>2.42</w:t>
            </w:r>
          </w:p>
        </w:tc>
        <w:tc>
          <w:tcPr>
            <w:tcW w:w="882" w:type="dxa"/>
            <w:shd w:val="clear" w:color="auto" w:fill="auto"/>
            <w:noWrap/>
          </w:tcPr>
          <w:p w14:paraId="42A8C770" w14:textId="77777777" w:rsidR="009C353B" w:rsidRDefault="00000000">
            <w:pPr>
              <w:widowControl/>
              <w:jc w:val="center"/>
              <w:rPr>
                <w:rFonts w:ascii="Times New Roman" w:hAnsi="Times New Roman"/>
                <w:sz w:val="21"/>
                <w:szCs w:val="21"/>
              </w:rPr>
            </w:pPr>
            <w:r>
              <w:rPr>
                <w:rFonts w:ascii="Times New Roman" w:hAnsi="Times New Roman"/>
                <w:sz w:val="21"/>
                <w:szCs w:val="21"/>
              </w:rPr>
              <w:t>37.99</w:t>
            </w:r>
          </w:p>
        </w:tc>
        <w:tc>
          <w:tcPr>
            <w:tcW w:w="883" w:type="dxa"/>
            <w:shd w:val="clear" w:color="auto" w:fill="auto"/>
            <w:noWrap/>
          </w:tcPr>
          <w:p w14:paraId="5FF7D8FF" w14:textId="77777777" w:rsidR="009C353B" w:rsidRDefault="00000000">
            <w:pPr>
              <w:widowControl/>
              <w:jc w:val="center"/>
              <w:rPr>
                <w:rFonts w:ascii="Times New Roman" w:hAnsi="Times New Roman"/>
                <w:sz w:val="21"/>
                <w:szCs w:val="21"/>
              </w:rPr>
            </w:pPr>
            <w:r>
              <w:rPr>
                <w:rFonts w:ascii="Times New Roman" w:hAnsi="Times New Roman"/>
                <w:sz w:val="21"/>
                <w:szCs w:val="21"/>
              </w:rPr>
              <w:t>41.11</w:t>
            </w:r>
          </w:p>
        </w:tc>
        <w:tc>
          <w:tcPr>
            <w:tcW w:w="1942" w:type="dxa"/>
            <w:shd w:val="clear" w:color="auto" w:fill="auto"/>
          </w:tcPr>
          <w:p w14:paraId="424C8926" w14:textId="77777777" w:rsidR="009C353B" w:rsidRDefault="00000000">
            <w:pPr>
              <w:widowControl/>
              <w:jc w:val="center"/>
              <w:rPr>
                <w:rFonts w:ascii="Times New Roman" w:hAnsi="Times New Roman"/>
                <w:sz w:val="21"/>
                <w:szCs w:val="21"/>
              </w:rPr>
            </w:pPr>
            <w:r>
              <w:rPr>
                <w:rFonts w:ascii="Times New Roman" w:hAnsi="Times New Roman"/>
                <w:sz w:val="21"/>
                <w:szCs w:val="21"/>
              </w:rPr>
              <w:t>39.18</w:t>
            </w:r>
          </w:p>
        </w:tc>
        <w:tc>
          <w:tcPr>
            <w:tcW w:w="1307" w:type="dxa"/>
            <w:shd w:val="clear" w:color="auto" w:fill="auto"/>
          </w:tcPr>
          <w:p w14:paraId="0D3660D5" w14:textId="77777777" w:rsidR="009C353B" w:rsidRDefault="00000000">
            <w:pPr>
              <w:widowControl/>
              <w:jc w:val="center"/>
              <w:rPr>
                <w:rFonts w:ascii="Times New Roman" w:hAnsi="Times New Roman"/>
                <w:sz w:val="21"/>
                <w:szCs w:val="21"/>
              </w:rPr>
            </w:pPr>
            <w:r>
              <w:rPr>
                <w:rFonts w:ascii="Times New Roman" w:hAnsi="Times New Roman"/>
                <w:sz w:val="21"/>
                <w:szCs w:val="21"/>
              </w:rPr>
              <w:t>41.11</w:t>
            </w:r>
          </w:p>
        </w:tc>
        <w:tc>
          <w:tcPr>
            <w:tcW w:w="830" w:type="dxa"/>
            <w:vMerge/>
            <w:shd w:val="clear" w:color="auto" w:fill="auto"/>
            <w:noWrap/>
          </w:tcPr>
          <w:p w14:paraId="7A2D7FAD" w14:textId="77777777" w:rsidR="009C353B" w:rsidRDefault="009C353B">
            <w:pPr>
              <w:widowControl/>
              <w:jc w:val="center"/>
              <w:rPr>
                <w:rFonts w:ascii="Times New Roman" w:hAnsi="Times New Roman"/>
                <w:sz w:val="21"/>
                <w:szCs w:val="21"/>
              </w:rPr>
            </w:pPr>
          </w:p>
        </w:tc>
      </w:tr>
      <w:tr w:rsidR="009C353B" w14:paraId="36782EDC" w14:textId="77777777">
        <w:trPr>
          <w:trHeight w:val="340"/>
        </w:trPr>
        <w:tc>
          <w:tcPr>
            <w:tcW w:w="648" w:type="dxa"/>
            <w:vMerge/>
            <w:shd w:val="clear" w:color="auto" w:fill="auto"/>
          </w:tcPr>
          <w:p w14:paraId="03A062B3"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3AF71FF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2511</w:t>
            </w:r>
          </w:p>
        </w:tc>
        <w:tc>
          <w:tcPr>
            <w:tcW w:w="883" w:type="dxa"/>
            <w:shd w:val="clear" w:color="auto" w:fill="auto"/>
            <w:noWrap/>
          </w:tcPr>
          <w:p w14:paraId="3592A771"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562E69EC" w14:textId="77777777" w:rsidR="009C353B" w:rsidRDefault="00000000">
            <w:pPr>
              <w:widowControl/>
              <w:jc w:val="center"/>
              <w:rPr>
                <w:rFonts w:ascii="Times New Roman" w:hAnsi="Times New Roman"/>
                <w:sz w:val="21"/>
                <w:szCs w:val="21"/>
              </w:rPr>
            </w:pPr>
            <w:r>
              <w:rPr>
                <w:rFonts w:ascii="Times New Roman" w:hAnsi="Times New Roman"/>
                <w:sz w:val="21"/>
                <w:szCs w:val="21"/>
              </w:rPr>
              <w:t>1.56</w:t>
            </w:r>
          </w:p>
        </w:tc>
        <w:tc>
          <w:tcPr>
            <w:tcW w:w="882" w:type="dxa"/>
            <w:shd w:val="clear" w:color="auto" w:fill="auto"/>
            <w:noWrap/>
          </w:tcPr>
          <w:p w14:paraId="4DA274B3" w14:textId="77777777" w:rsidR="009C353B" w:rsidRDefault="00000000">
            <w:pPr>
              <w:widowControl/>
              <w:jc w:val="center"/>
              <w:rPr>
                <w:rFonts w:ascii="Times New Roman" w:hAnsi="Times New Roman"/>
                <w:sz w:val="21"/>
                <w:szCs w:val="21"/>
              </w:rPr>
            </w:pPr>
            <w:r>
              <w:rPr>
                <w:rFonts w:ascii="Times New Roman" w:hAnsi="Times New Roman"/>
                <w:sz w:val="21"/>
                <w:szCs w:val="21"/>
              </w:rPr>
              <w:t>31.19</w:t>
            </w:r>
          </w:p>
        </w:tc>
        <w:tc>
          <w:tcPr>
            <w:tcW w:w="883" w:type="dxa"/>
            <w:shd w:val="clear" w:color="auto" w:fill="auto"/>
            <w:noWrap/>
          </w:tcPr>
          <w:p w14:paraId="6C63DB6E" w14:textId="77777777" w:rsidR="009C353B" w:rsidRDefault="00000000">
            <w:pPr>
              <w:widowControl/>
              <w:jc w:val="center"/>
              <w:rPr>
                <w:rFonts w:ascii="Times New Roman" w:hAnsi="Times New Roman"/>
                <w:sz w:val="21"/>
                <w:szCs w:val="21"/>
              </w:rPr>
            </w:pPr>
            <w:r>
              <w:rPr>
                <w:rFonts w:ascii="Times New Roman" w:hAnsi="Times New Roman"/>
                <w:sz w:val="21"/>
                <w:szCs w:val="21"/>
              </w:rPr>
              <w:t>34.98</w:t>
            </w:r>
          </w:p>
        </w:tc>
        <w:tc>
          <w:tcPr>
            <w:tcW w:w="1942" w:type="dxa"/>
            <w:shd w:val="clear" w:color="auto" w:fill="auto"/>
          </w:tcPr>
          <w:p w14:paraId="4DE5F416" w14:textId="77777777" w:rsidR="009C353B" w:rsidRDefault="00000000">
            <w:pPr>
              <w:widowControl/>
              <w:jc w:val="center"/>
              <w:rPr>
                <w:rFonts w:ascii="Times New Roman" w:hAnsi="Times New Roman"/>
                <w:sz w:val="21"/>
                <w:szCs w:val="21"/>
              </w:rPr>
            </w:pPr>
            <w:r>
              <w:rPr>
                <w:rFonts w:ascii="Times New Roman" w:hAnsi="Times New Roman"/>
                <w:sz w:val="21"/>
                <w:szCs w:val="21"/>
              </w:rPr>
              <w:t>27.07</w:t>
            </w:r>
          </w:p>
        </w:tc>
        <w:tc>
          <w:tcPr>
            <w:tcW w:w="1307" w:type="dxa"/>
            <w:shd w:val="clear" w:color="auto" w:fill="auto"/>
          </w:tcPr>
          <w:p w14:paraId="09D1C3D7" w14:textId="77777777" w:rsidR="009C353B" w:rsidRDefault="00000000">
            <w:pPr>
              <w:widowControl/>
              <w:jc w:val="center"/>
              <w:rPr>
                <w:rFonts w:ascii="Times New Roman" w:hAnsi="Times New Roman"/>
                <w:sz w:val="21"/>
                <w:szCs w:val="21"/>
              </w:rPr>
            </w:pPr>
            <w:r>
              <w:rPr>
                <w:rFonts w:ascii="Times New Roman" w:hAnsi="Times New Roman"/>
                <w:sz w:val="21"/>
                <w:szCs w:val="21"/>
              </w:rPr>
              <w:t>34.98</w:t>
            </w:r>
          </w:p>
        </w:tc>
        <w:tc>
          <w:tcPr>
            <w:tcW w:w="830" w:type="dxa"/>
            <w:vMerge w:val="restart"/>
            <w:shd w:val="clear" w:color="auto" w:fill="auto"/>
            <w:noWrap/>
          </w:tcPr>
          <w:p w14:paraId="4F52CC65"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0F46C88B" w14:textId="77777777">
        <w:trPr>
          <w:trHeight w:val="340"/>
        </w:trPr>
        <w:tc>
          <w:tcPr>
            <w:tcW w:w="648" w:type="dxa"/>
            <w:vMerge/>
            <w:shd w:val="clear" w:color="auto" w:fill="auto"/>
          </w:tcPr>
          <w:p w14:paraId="3BAA848A"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17AB7B13"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89D52AF"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上煤</w:t>
            </w:r>
          </w:p>
        </w:tc>
        <w:tc>
          <w:tcPr>
            <w:tcW w:w="800" w:type="dxa"/>
            <w:shd w:val="clear" w:color="auto" w:fill="auto"/>
            <w:noWrap/>
          </w:tcPr>
          <w:p w14:paraId="3679C1B1" w14:textId="77777777" w:rsidR="009C353B" w:rsidRDefault="00000000">
            <w:pPr>
              <w:widowControl/>
              <w:jc w:val="center"/>
              <w:rPr>
                <w:rFonts w:ascii="Times New Roman" w:hAnsi="Times New Roman"/>
                <w:sz w:val="21"/>
                <w:szCs w:val="21"/>
              </w:rPr>
            </w:pPr>
            <w:r>
              <w:rPr>
                <w:rFonts w:ascii="Times New Roman" w:hAnsi="Times New Roman"/>
                <w:sz w:val="21"/>
                <w:szCs w:val="21"/>
              </w:rPr>
              <w:t>1.71</w:t>
            </w:r>
          </w:p>
        </w:tc>
        <w:tc>
          <w:tcPr>
            <w:tcW w:w="882" w:type="dxa"/>
            <w:shd w:val="clear" w:color="auto" w:fill="auto"/>
            <w:noWrap/>
          </w:tcPr>
          <w:p w14:paraId="78086D07" w14:textId="77777777" w:rsidR="009C353B" w:rsidRDefault="00000000">
            <w:pPr>
              <w:widowControl/>
              <w:jc w:val="center"/>
              <w:rPr>
                <w:rFonts w:ascii="Times New Roman" w:hAnsi="Times New Roman"/>
                <w:sz w:val="21"/>
                <w:szCs w:val="21"/>
              </w:rPr>
            </w:pPr>
            <w:r>
              <w:rPr>
                <w:rFonts w:ascii="Times New Roman" w:hAnsi="Times New Roman"/>
                <w:sz w:val="21"/>
                <w:szCs w:val="21"/>
              </w:rPr>
              <w:t>32.59</w:t>
            </w:r>
          </w:p>
        </w:tc>
        <w:tc>
          <w:tcPr>
            <w:tcW w:w="883" w:type="dxa"/>
            <w:shd w:val="clear" w:color="auto" w:fill="auto"/>
            <w:noWrap/>
          </w:tcPr>
          <w:p w14:paraId="764B9B8D" w14:textId="77777777" w:rsidR="009C353B" w:rsidRDefault="00000000">
            <w:pPr>
              <w:widowControl/>
              <w:jc w:val="center"/>
              <w:rPr>
                <w:rFonts w:ascii="Times New Roman" w:hAnsi="Times New Roman"/>
                <w:sz w:val="21"/>
                <w:szCs w:val="21"/>
              </w:rPr>
            </w:pPr>
            <w:r>
              <w:rPr>
                <w:rFonts w:ascii="Times New Roman" w:hAnsi="Times New Roman"/>
                <w:sz w:val="21"/>
                <w:szCs w:val="21"/>
              </w:rPr>
              <w:t>36.15</w:t>
            </w:r>
          </w:p>
        </w:tc>
        <w:tc>
          <w:tcPr>
            <w:tcW w:w="1942" w:type="dxa"/>
            <w:shd w:val="clear" w:color="auto" w:fill="auto"/>
          </w:tcPr>
          <w:p w14:paraId="4D9B73B9" w14:textId="77777777" w:rsidR="009C353B" w:rsidRDefault="00000000">
            <w:pPr>
              <w:widowControl/>
              <w:jc w:val="center"/>
              <w:rPr>
                <w:rFonts w:ascii="Times New Roman" w:hAnsi="Times New Roman"/>
                <w:sz w:val="21"/>
                <w:szCs w:val="21"/>
              </w:rPr>
            </w:pPr>
            <w:r>
              <w:rPr>
                <w:rFonts w:ascii="Times New Roman" w:hAnsi="Times New Roman"/>
                <w:sz w:val="21"/>
                <w:szCs w:val="21"/>
              </w:rPr>
              <w:t>29.18</w:t>
            </w:r>
          </w:p>
        </w:tc>
        <w:tc>
          <w:tcPr>
            <w:tcW w:w="1307" w:type="dxa"/>
            <w:shd w:val="clear" w:color="auto" w:fill="auto"/>
          </w:tcPr>
          <w:p w14:paraId="5FB351A7" w14:textId="77777777" w:rsidR="009C353B" w:rsidRDefault="00000000">
            <w:pPr>
              <w:widowControl/>
              <w:jc w:val="center"/>
              <w:rPr>
                <w:rFonts w:ascii="Times New Roman" w:hAnsi="Times New Roman"/>
                <w:sz w:val="21"/>
                <w:szCs w:val="21"/>
              </w:rPr>
            </w:pPr>
            <w:r>
              <w:rPr>
                <w:rFonts w:ascii="Times New Roman" w:hAnsi="Times New Roman"/>
                <w:sz w:val="21"/>
                <w:szCs w:val="21"/>
              </w:rPr>
              <w:t>36.15</w:t>
            </w:r>
          </w:p>
        </w:tc>
        <w:tc>
          <w:tcPr>
            <w:tcW w:w="830" w:type="dxa"/>
            <w:vMerge/>
            <w:shd w:val="clear" w:color="auto" w:fill="auto"/>
            <w:noWrap/>
          </w:tcPr>
          <w:p w14:paraId="7D505E83" w14:textId="77777777" w:rsidR="009C353B" w:rsidRDefault="009C353B">
            <w:pPr>
              <w:widowControl/>
              <w:jc w:val="center"/>
              <w:rPr>
                <w:rFonts w:ascii="Times New Roman" w:hAnsi="Times New Roman"/>
                <w:sz w:val="21"/>
                <w:szCs w:val="21"/>
              </w:rPr>
            </w:pPr>
          </w:p>
        </w:tc>
      </w:tr>
      <w:tr w:rsidR="009C353B" w14:paraId="34CAF4CA" w14:textId="77777777">
        <w:trPr>
          <w:trHeight w:val="340"/>
        </w:trPr>
        <w:tc>
          <w:tcPr>
            <w:tcW w:w="648" w:type="dxa"/>
            <w:vMerge/>
            <w:shd w:val="clear" w:color="auto" w:fill="auto"/>
          </w:tcPr>
          <w:p w14:paraId="29884734"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C204D09"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E38467C"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3FF4D265" w14:textId="77777777" w:rsidR="009C353B" w:rsidRDefault="00000000">
            <w:pPr>
              <w:widowControl/>
              <w:jc w:val="center"/>
              <w:rPr>
                <w:rFonts w:ascii="Times New Roman" w:hAnsi="Times New Roman"/>
                <w:sz w:val="21"/>
                <w:szCs w:val="21"/>
              </w:rPr>
            </w:pPr>
            <w:r>
              <w:rPr>
                <w:rFonts w:ascii="Times New Roman" w:hAnsi="Times New Roman"/>
                <w:sz w:val="21"/>
                <w:szCs w:val="21"/>
              </w:rPr>
              <w:t>1.78</w:t>
            </w:r>
          </w:p>
        </w:tc>
        <w:tc>
          <w:tcPr>
            <w:tcW w:w="882" w:type="dxa"/>
            <w:shd w:val="clear" w:color="auto" w:fill="auto"/>
            <w:noWrap/>
          </w:tcPr>
          <w:p w14:paraId="2E38543E" w14:textId="77777777" w:rsidR="009C353B" w:rsidRDefault="00000000">
            <w:pPr>
              <w:widowControl/>
              <w:jc w:val="center"/>
              <w:rPr>
                <w:rFonts w:ascii="Times New Roman" w:hAnsi="Times New Roman"/>
                <w:sz w:val="21"/>
                <w:szCs w:val="21"/>
              </w:rPr>
            </w:pPr>
            <w:r>
              <w:rPr>
                <w:rFonts w:ascii="Times New Roman" w:hAnsi="Times New Roman"/>
                <w:sz w:val="21"/>
                <w:szCs w:val="21"/>
              </w:rPr>
              <w:t>33.21</w:t>
            </w:r>
          </w:p>
        </w:tc>
        <w:tc>
          <w:tcPr>
            <w:tcW w:w="883" w:type="dxa"/>
            <w:shd w:val="clear" w:color="auto" w:fill="auto"/>
            <w:noWrap/>
          </w:tcPr>
          <w:p w14:paraId="4204A969" w14:textId="77777777" w:rsidR="009C353B" w:rsidRDefault="00000000">
            <w:pPr>
              <w:widowControl/>
              <w:jc w:val="center"/>
              <w:rPr>
                <w:rFonts w:ascii="Times New Roman" w:hAnsi="Times New Roman"/>
                <w:sz w:val="21"/>
                <w:szCs w:val="21"/>
              </w:rPr>
            </w:pPr>
            <w:r>
              <w:rPr>
                <w:rFonts w:ascii="Times New Roman" w:hAnsi="Times New Roman"/>
                <w:sz w:val="21"/>
                <w:szCs w:val="21"/>
              </w:rPr>
              <w:t>36.68</w:t>
            </w:r>
          </w:p>
        </w:tc>
        <w:tc>
          <w:tcPr>
            <w:tcW w:w="1942" w:type="dxa"/>
            <w:shd w:val="clear" w:color="auto" w:fill="auto"/>
          </w:tcPr>
          <w:p w14:paraId="47E407A5" w14:textId="77777777" w:rsidR="009C353B" w:rsidRDefault="00000000">
            <w:pPr>
              <w:widowControl/>
              <w:jc w:val="center"/>
              <w:rPr>
                <w:rFonts w:ascii="Times New Roman" w:hAnsi="Times New Roman"/>
                <w:sz w:val="21"/>
                <w:szCs w:val="21"/>
              </w:rPr>
            </w:pPr>
            <w:r>
              <w:rPr>
                <w:rFonts w:ascii="Times New Roman" w:hAnsi="Times New Roman"/>
                <w:sz w:val="21"/>
                <w:szCs w:val="21"/>
              </w:rPr>
              <w:t>30.17</w:t>
            </w:r>
          </w:p>
        </w:tc>
        <w:tc>
          <w:tcPr>
            <w:tcW w:w="1307" w:type="dxa"/>
            <w:shd w:val="clear" w:color="auto" w:fill="auto"/>
          </w:tcPr>
          <w:p w14:paraId="1206315E" w14:textId="77777777" w:rsidR="009C353B" w:rsidRDefault="00000000">
            <w:pPr>
              <w:widowControl/>
              <w:jc w:val="center"/>
              <w:rPr>
                <w:rFonts w:ascii="Times New Roman" w:hAnsi="Times New Roman"/>
                <w:sz w:val="21"/>
                <w:szCs w:val="21"/>
              </w:rPr>
            </w:pPr>
            <w:r>
              <w:rPr>
                <w:rFonts w:ascii="Times New Roman" w:hAnsi="Times New Roman"/>
                <w:sz w:val="21"/>
                <w:szCs w:val="21"/>
              </w:rPr>
              <w:t>36.68</w:t>
            </w:r>
          </w:p>
        </w:tc>
        <w:tc>
          <w:tcPr>
            <w:tcW w:w="830" w:type="dxa"/>
            <w:vMerge/>
            <w:shd w:val="clear" w:color="auto" w:fill="auto"/>
            <w:noWrap/>
          </w:tcPr>
          <w:p w14:paraId="12A09042" w14:textId="77777777" w:rsidR="009C353B" w:rsidRDefault="009C353B">
            <w:pPr>
              <w:widowControl/>
              <w:jc w:val="center"/>
              <w:rPr>
                <w:rFonts w:ascii="Times New Roman" w:hAnsi="Times New Roman"/>
                <w:sz w:val="21"/>
                <w:szCs w:val="21"/>
              </w:rPr>
            </w:pPr>
          </w:p>
        </w:tc>
      </w:tr>
      <w:tr w:rsidR="009C353B" w14:paraId="1F05916D" w14:textId="77777777">
        <w:trPr>
          <w:trHeight w:val="340"/>
        </w:trPr>
        <w:tc>
          <w:tcPr>
            <w:tcW w:w="648" w:type="dxa"/>
            <w:vMerge/>
            <w:shd w:val="clear" w:color="auto" w:fill="auto"/>
          </w:tcPr>
          <w:p w14:paraId="691DC7CA"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36868B7E"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62A224F5"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0170B016" w14:textId="77777777" w:rsidR="009C353B" w:rsidRDefault="00000000">
            <w:pPr>
              <w:widowControl/>
              <w:jc w:val="center"/>
              <w:rPr>
                <w:rFonts w:ascii="Times New Roman" w:hAnsi="Times New Roman"/>
                <w:sz w:val="21"/>
                <w:szCs w:val="21"/>
              </w:rPr>
            </w:pPr>
            <w:r>
              <w:rPr>
                <w:rFonts w:ascii="Times New Roman" w:hAnsi="Times New Roman"/>
                <w:sz w:val="21"/>
                <w:szCs w:val="21"/>
              </w:rPr>
              <w:t>4.68</w:t>
            </w:r>
          </w:p>
        </w:tc>
        <w:tc>
          <w:tcPr>
            <w:tcW w:w="882" w:type="dxa"/>
            <w:shd w:val="clear" w:color="auto" w:fill="auto"/>
            <w:noWrap/>
          </w:tcPr>
          <w:p w14:paraId="5B1FF0BE" w14:textId="77777777" w:rsidR="009C353B" w:rsidRDefault="00000000">
            <w:pPr>
              <w:widowControl/>
              <w:jc w:val="center"/>
              <w:rPr>
                <w:rFonts w:ascii="Times New Roman" w:hAnsi="Times New Roman"/>
                <w:sz w:val="21"/>
                <w:szCs w:val="21"/>
              </w:rPr>
            </w:pPr>
            <w:r>
              <w:rPr>
                <w:rFonts w:ascii="Times New Roman" w:hAnsi="Times New Roman"/>
                <w:sz w:val="21"/>
                <w:szCs w:val="21"/>
              </w:rPr>
              <w:t>47.81</w:t>
            </w:r>
          </w:p>
        </w:tc>
        <w:tc>
          <w:tcPr>
            <w:tcW w:w="883" w:type="dxa"/>
            <w:shd w:val="clear" w:color="auto" w:fill="auto"/>
            <w:noWrap/>
          </w:tcPr>
          <w:p w14:paraId="73637E11" w14:textId="77777777" w:rsidR="009C353B" w:rsidRDefault="00000000">
            <w:pPr>
              <w:widowControl/>
              <w:jc w:val="center"/>
              <w:rPr>
                <w:rFonts w:ascii="Times New Roman" w:hAnsi="Times New Roman"/>
                <w:sz w:val="21"/>
                <w:szCs w:val="21"/>
              </w:rPr>
            </w:pPr>
            <w:r>
              <w:rPr>
                <w:rFonts w:ascii="Times New Roman" w:hAnsi="Times New Roman"/>
                <w:sz w:val="21"/>
                <w:szCs w:val="21"/>
              </w:rPr>
              <w:t>53.27</w:t>
            </w:r>
          </w:p>
        </w:tc>
        <w:tc>
          <w:tcPr>
            <w:tcW w:w="1942" w:type="dxa"/>
            <w:shd w:val="clear" w:color="auto" w:fill="auto"/>
          </w:tcPr>
          <w:p w14:paraId="4AE83DB3" w14:textId="77777777" w:rsidR="009C353B" w:rsidRDefault="00000000">
            <w:pPr>
              <w:widowControl/>
              <w:jc w:val="center"/>
              <w:rPr>
                <w:rFonts w:ascii="Times New Roman" w:hAnsi="Times New Roman"/>
                <w:sz w:val="21"/>
                <w:szCs w:val="21"/>
              </w:rPr>
            </w:pPr>
            <w:r>
              <w:rPr>
                <w:rFonts w:ascii="Times New Roman" w:hAnsi="Times New Roman"/>
                <w:sz w:val="21"/>
                <w:szCs w:val="21"/>
              </w:rPr>
              <w:t>71.02</w:t>
            </w:r>
          </w:p>
        </w:tc>
        <w:tc>
          <w:tcPr>
            <w:tcW w:w="1307" w:type="dxa"/>
            <w:shd w:val="clear" w:color="auto" w:fill="auto"/>
          </w:tcPr>
          <w:p w14:paraId="4A93C8AE" w14:textId="77777777" w:rsidR="009C353B" w:rsidRDefault="00000000">
            <w:pPr>
              <w:widowControl/>
              <w:jc w:val="center"/>
              <w:rPr>
                <w:rFonts w:ascii="Times New Roman" w:hAnsi="Times New Roman"/>
                <w:sz w:val="21"/>
                <w:szCs w:val="21"/>
              </w:rPr>
            </w:pPr>
            <w:r>
              <w:rPr>
                <w:rFonts w:ascii="Times New Roman" w:hAnsi="Times New Roman"/>
                <w:sz w:val="21"/>
                <w:szCs w:val="21"/>
              </w:rPr>
              <w:t>71.02</w:t>
            </w:r>
          </w:p>
        </w:tc>
        <w:tc>
          <w:tcPr>
            <w:tcW w:w="830" w:type="dxa"/>
            <w:vMerge/>
            <w:shd w:val="clear" w:color="auto" w:fill="auto"/>
            <w:noWrap/>
          </w:tcPr>
          <w:p w14:paraId="22868E15" w14:textId="77777777" w:rsidR="009C353B" w:rsidRDefault="009C353B">
            <w:pPr>
              <w:widowControl/>
              <w:jc w:val="center"/>
              <w:rPr>
                <w:rFonts w:ascii="Times New Roman" w:hAnsi="Times New Roman"/>
                <w:sz w:val="21"/>
                <w:szCs w:val="21"/>
              </w:rPr>
            </w:pPr>
          </w:p>
        </w:tc>
      </w:tr>
      <w:tr w:rsidR="009C353B" w14:paraId="778D2546" w14:textId="77777777">
        <w:trPr>
          <w:trHeight w:val="340"/>
        </w:trPr>
        <w:tc>
          <w:tcPr>
            <w:tcW w:w="648" w:type="dxa"/>
            <w:vMerge/>
            <w:shd w:val="clear" w:color="auto" w:fill="auto"/>
          </w:tcPr>
          <w:p w14:paraId="33A8B540"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6A3E29FF"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108</w:t>
            </w:r>
          </w:p>
        </w:tc>
        <w:tc>
          <w:tcPr>
            <w:tcW w:w="883" w:type="dxa"/>
            <w:shd w:val="clear" w:color="auto" w:fill="auto"/>
            <w:noWrap/>
          </w:tcPr>
          <w:p w14:paraId="6DDDFBFE"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78192FBD" w14:textId="77777777" w:rsidR="009C353B" w:rsidRDefault="00000000">
            <w:pPr>
              <w:widowControl/>
              <w:jc w:val="center"/>
              <w:rPr>
                <w:rFonts w:ascii="Times New Roman" w:hAnsi="Times New Roman"/>
                <w:sz w:val="21"/>
                <w:szCs w:val="21"/>
              </w:rPr>
            </w:pPr>
            <w:r>
              <w:rPr>
                <w:rFonts w:ascii="Times New Roman" w:hAnsi="Times New Roman"/>
                <w:sz w:val="21"/>
                <w:szCs w:val="21"/>
              </w:rPr>
              <w:t>1.73</w:t>
            </w:r>
          </w:p>
        </w:tc>
        <w:tc>
          <w:tcPr>
            <w:tcW w:w="882" w:type="dxa"/>
            <w:shd w:val="clear" w:color="auto" w:fill="auto"/>
            <w:noWrap/>
          </w:tcPr>
          <w:p w14:paraId="79495839" w14:textId="77777777" w:rsidR="009C353B" w:rsidRDefault="00000000">
            <w:pPr>
              <w:widowControl/>
              <w:jc w:val="center"/>
              <w:rPr>
                <w:rFonts w:ascii="Times New Roman" w:hAnsi="Times New Roman"/>
                <w:sz w:val="21"/>
                <w:szCs w:val="21"/>
              </w:rPr>
            </w:pPr>
            <w:r>
              <w:rPr>
                <w:rFonts w:ascii="Times New Roman" w:hAnsi="Times New Roman"/>
                <w:sz w:val="21"/>
                <w:szCs w:val="21"/>
              </w:rPr>
              <w:t>32.77</w:t>
            </w:r>
          </w:p>
        </w:tc>
        <w:tc>
          <w:tcPr>
            <w:tcW w:w="883" w:type="dxa"/>
            <w:shd w:val="clear" w:color="auto" w:fill="auto"/>
            <w:noWrap/>
          </w:tcPr>
          <w:p w14:paraId="0DCA7893" w14:textId="77777777" w:rsidR="009C353B" w:rsidRDefault="00000000">
            <w:pPr>
              <w:widowControl/>
              <w:jc w:val="center"/>
              <w:rPr>
                <w:rFonts w:ascii="Times New Roman" w:hAnsi="Times New Roman"/>
                <w:sz w:val="21"/>
                <w:szCs w:val="21"/>
              </w:rPr>
            </w:pPr>
            <w:r>
              <w:rPr>
                <w:rFonts w:ascii="Times New Roman" w:hAnsi="Times New Roman"/>
                <w:sz w:val="21"/>
                <w:szCs w:val="21"/>
              </w:rPr>
              <w:t>36.31</w:t>
            </w:r>
          </w:p>
        </w:tc>
        <w:tc>
          <w:tcPr>
            <w:tcW w:w="1942" w:type="dxa"/>
            <w:shd w:val="clear" w:color="auto" w:fill="auto"/>
          </w:tcPr>
          <w:p w14:paraId="2B80483D" w14:textId="77777777" w:rsidR="009C353B" w:rsidRDefault="00000000">
            <w:pPr>
              <w:widowControl/>
              <w:jc w:val="center"/>
              <w:rPr>
                <w:rFonts w:ascii="Times New Roman" w:hAnsi="Times New Roman"/>
                <w:sz w:val="21"/>
                <w:szCs w:val="21"/>
              </w:rPr>
            </w:pPr>
            <w:r>
              <w:rPr>
                <w:rFonts w:ascii="Times New Roman" w:hAnsi="Times New Roman"/>
                <w:sz w:val="21"/>
                <w:szCs w:val="21"/>
              </w:rPr>
              <w:t>29.47</w:t>
            </w:r>
          </w:p>
        </w:tc>
        <w:tc>
          <w:tcPr>
            <w:tcW w:w="1307" w:type="dxa"/>
            <w:shd w:val="clear" w:color="auto" w:fill="auto"/>
          </w:tcPr>
          <w:p w14:paraId="736025C6" w14:textId="77777777" w:rsidR="009C353B" w:rsidRDefault="00000000">
            <w:pPr>
              <w:widowControl/>
              <w:jc w:val="center"/>
              <w:rPr>
                <w:rFonts w:ascii="Times New Roman" w:hAnsi="Times New Roman"/>
                <w:sz w:val="21"/>
                <w:szCs w:val="21"/>
              </w:rPr>
            </w:pPr>
            <w:r>
              <w:rPr>
                <w:rFonts w:ascii="Times New Roman" w:hAnsi="Times New Roman"/>
                <w:sz w:val="21"/>
                <w:szCs w:val="21"/>
              </w:rPr>
              <w:t>36.31</w:t>
            </w:r>
          </w:p>
        </w:tc>
        <w:tc>
          <w:tcPr>
            <w:tcW w:w="830" w:type="dxa"/>
            <w:vMerge w:val="restart"/>
            <w:shd w:val="clear" w:color="auto" w:fill="auto"/>
            <w:noWrap/>
          </w:tcPr>
          <w:p w14:paraId="4A96000F"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3A5501B1" w14:textId="77777777">
        <w:trPr>
          <w:trHeight w:val="340"/>
        </w:trPr>
        <w:tc>
          <w:tcPr>
            <w:tcW w:w="648" w:type="dxa"/>
            <w:vMerge/>
            <w:shd w:val="clear" w:color="auto" w:fill="auto"/>
          </w:tcPr>
          <w:p w14:paraId="7CDBE8DC"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1B8138A2"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7666A4E"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上煤</w:t>
            </w:r>
          </w:p>
        </w:tc>
        <w:tc>
          <w:tcPr>
            <w:tcW w:w="800" w:type="dxa"/>
            <w:shd w:val="clear" w:color="auto" w:fill="auto"/>
            <w:noWrap/>
          </w:tcPr>
          <w:p w14:paraId="3F0908CE" w14:textId="77777777" w:rsidR="009C353B" w:rsidRDefault="00000000">
            <w:pPr>
              <w:widowControl/>
              <w:jc w:val="center"/>
              <w:rPr>
                <w:rFonts w:ascii="Times New Roman" w:hAnsi="Times New Roman"/>
                <w:sz w:val="21"/>
                <w:szCs w:val="21"/>
              </w:rPr>
            </w:pPr>
            <w:r>
              <w:rPr>
                <w:rFonts w:ascii="Times New Roman" w:hAnsi="Times New Roman"/>
                <w:sz w:val="21"/>
                <w:szCs w:val="21"/>
              </w:rPr>
              <w:t>1.90</w:t>
            </w:r>
          </w:p>
        </w:tc>
        <w:tc>
          <w:tcPr>
            <w:tcW w:w="882" w:type="dxa"/>
            <w:shd w:val="clear" w:color="auto" w:fill="auto"/>
            <w:noWrap/>
          </w:tcPr>
          <w:p w14:paraId="58A391D7" w14:textId="77777777" w:rsidR="009C353B" w:rsidRDefault="00000000">
            <w:pPr>
              <w:widowControl/>
              <w:jc w:val="center"/>
              <w:rPr>
                <w:rFonts w:ascii="Times New Roman" w:hAnsi="Times New Roman"/>
                <w:sz w:val="21"/>
                <w:szCs w:val="21"/>
              </w:rPr>
            </w:pPr>
            <w:r>
              <w:rPr>
                <w:rFonts w:ascii="Times New Roman" w:hAnsi="Times New Roman"/>
                <w:sz w:val="21"/>
                <w:szCs w:val="21"/>
              </w:rPr>
              <w:t>34.21</w:t>
            </w:r>
          </w:p>
        </w:tc>
        <w:tc>
          <w:tcPr>
            <w:tcW w:w="883" w:type="dxa"/>
            <w:shd w:val="clear" w:color="auto" w:fill="auto"/>
            <w:noWrap/>
          </w:tcPr>
          <w:p w14:paraId="161EB821" w14:textId="77777777" w:rsidR="009C353B" w:rsidRDefault="00000000">
            <w:pPr>
              <w:widowControl/>
              <w:jc w:val="center"/>
              <w:rPr>
                <w:rFonts w:ascii="Times New Roman" w:hAnsi="Times New Roman"/>
                <w:sz w:val="21"/>
                <w:szCs w:val="21"/>
              </w:rPr>
            </w:pPr>
            <w:r>
              <w:rPr>
                <w:rFonts w:ascii="Times New Roman" w:hAnsi="Times New Roman"/>
                <w:sz w:val="21"/>
                <w:szCs w:val="21"/>
              </w:rPr>
              <w:t>37.57</w:t>
            </w:r>
          </w:p>
        </w:tc>
        <w:tc>
          <w:tcPr>
            <w:tcW w:w="1942" w:type="dxa"/>
            <w:shd w:val="clear" w:color="auto" w:fill="auto"/>
          </w:tcPr>
          <w:p w14:paraId="338A875B" w14:textId="77777777" w:rsidR="009C353B" w:rsidRDefault="00000000">
            <w:pPr>
              <w:widowControl/>
              <w:jc w:val="center"/>
              <w:rPr>
                <w:rFonts w:ascii="Times New Roman" w:hAnsi="Times New Roman"/>
                <w:sz w:val="21"/>
                <w:szCs w:val="21"/>
              </w:rPr>
            </w:pPr>
            <w:r>
              <w:rPr>
                <w:rFonts w:ascii="Times New Roman" w:hAnsi="Times New Roman"/>
                <w:sz w:val="21"/>
                <w:szCs w:val="21"/>
              </w:rPr>
              <w:t>31.86</w:t>
            </w:r>
          </w:p>
        </w:tc>
        <w:tc>
          <w:tcPr>
            <w:tcW w:w="1307" w:type="dxa"/>
            <w:shd w:val="clear" w:color="auto" w:fill="auto"/>
          </w:tcPr>
          <w:p w14:paraId="64777ED4" w14:textId="77777777" w:rsidR="009C353B" w:rsidRDefault="00000000">
            <w:pPr>
              <w:widowControl/>
              <w:jc w:val="center"/>
              <w:rPr>
                <w:rFonts w:ascii="Times New Roman" w:hAnsi="Times New Roman"/>
                <w:sz w:val="21"/>
                <w:szCs w:val="21"/>
              </w:rPr>
            </w:pPr>
            <w:r>
              <w:rPr>
                <w:rFonts w:ascii="Times New Roman" w:hAnsi="Times New Roman"/>
                <w:sz w:val="21"/>
                <w:szCs w:val="21"/>
              </w:rPr>
              <w:t>37.57</w:t>
            </w:r>
          </w:p>
        </w:tc>
        <w:tc>
          <w:tcPr>
            <w:tcW w:w="830" w:type="dxa"/>
            <w:vMerge/>
            <w:shd w:val="clear" w:color="auto" w:fill="auto"/>
            <w:noWrap/>
          </w:tcPr>
          <w:p w14:paraId="574983E0" w14:textId="77777777" w:rsidR="009C353B" w:rsidRDefault="009C353B">
            <w:pPr>
              <w:widowControl/>
              <w:jc w:val="center"/>
              <w:rPr>
                <w:rFonts w:ascii="Times New Roman" w:hAnsi="Times New Roman"/>
                <w:sz w:val="21"/>
                <w:szCs w:val="21"/>
              </w:rPr>
            </w:pPr>
          </w:p>
        </w:tc>
      </w:tr>
      <w:tr w:rsidR="009C353B" w14:paraId="09DBF95B" w14:textId="77777777">
        <w:trPr>
          <w:trHeight w:val="340"/>
        </w:trPr>
        <w:tc>
          <w:tcPr>
            <w:tcW w:w="648" w:type="dxa"/>
            <w:vMerge/>
            <w:shd w:val="clear" w:color="auto" w:fill="auto"/>
          </w:tcPr>
          <w:p w14:paraId="6A2EAA8E"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1B51FFD3"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33D00D42"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4F995B04" w14:textId="77777777" w:rsidR="009C353B" w:rsidRDefault="00000000">
            <w:pPr>
              <w:widowControl/>
              <w:jc w:val="center"/>
              <w:rPr>
                <w:rFonts w:ascii="Times New Roman" w:hAnsi="Times New Roman"/>
                <w:sz w:val="21"/>
                <w:szCs w:val="21"/>
              </w:rPr>
            </w:pPr>
            <w:r>
              <w:rPr>
                <w:rFonts w:ascii="Times New Roman" w:hAnsi="Times New Roman"/>
                <w:sz w:val="21"/>
                <w:szCs w:val="21"/>
              </w:rPr>
              <w:t>2.46</w:t>
            </w:r>
          </w:p>
        </w:tc>
        <w:tc>
          <w:tcPr>
            <w:tcW w:w="882" w:type="dxa"/>
            <w:shd w:val="clear" w:color="auto" w:fill="auto"/>
            <w:noWrap/>
          </w:tcPr>
          <w:p w14:paraId="49459194" w14:textId="77777777" w:rsidR="009C353B" w:rsidRDefault="00000000">
            <w:pPr>
              <w:widowControl/>
              <w:jc w:val="center"/>
              <w:rPr>
                <w:rFonts w:ascii="Times New Roman" w:hAnsi="Times New Roman"/>
                <w:sz w:val="21"/>
                <w:szCs w:val="21"/>
              </w:rPr>
            </w:pPr>
            <w:r>
              <w:rPr>
                <w:rFonts w:ascii="Times New Roman" w:hAnsi="Times New Roman"/>
                <w:sz w:val="21"/>
                <w:szCs w:val="21"/>
              </w:rPr>
              <w:t>38.24</w:t>
            </w:r>
          </w:p>
        </w:tc>
        <w:tc>
          <w:tcPr>
            <w:tcW w:w="883" w:type="dxa"/>
            <w:shd w:val="clear" w:color="auto" w:fill="auto"/>
            <w:noWrap/>
          </w:tcPr>
          <w:p w14:paraId="0CEEAE8A" w14:textId="77777777" w:rsidR="009C353B" w:rsidRDefault="00000000">
            <w:pPr>
              <w:widowControl/>
              <w:jc w:val="center"/>
              <w:rPr>
                <w:rFonts w:ascii="Times New Roman" w:hAnsi="Times New Roman"/>
                <w:sz w:val="21"/>
                <w:szCs w:val="21"/>
              </w:rPr>
            </w:pPr>
            <w:r>
              <w:rPr>
                <w:rFonts w:ascii="Times New Roman" w:hAnsi="Times New Roman"/>
                <w:sz w:val="21"/>
                <w:szCs w:val="21"/>
              </w:rPr>
              <w:t>41.37</w:t>
            </w:r>
          </w:p>
        </w:tc>
        <w:tc>
          <w:tcPr>
            <w:tcW w:w="1942" w:type="dxa"/>
            <w:shd w:val="clear" w:color="auto" w:fill="auto"/>
          </w:tcPr>
          <w:p w14:paraId="3BAA9A75" w14:textId="77777777" w:rsidR="009C353B" w:rsidRDefault="00000000">
            <w:pPr>
              <w:widowControl/>
              <w:jc w:val="center"/>
              <w:rPr>
                <w:rFonts w:ascii="Times New Roman" w:hAnsi="Times New Roman"/>
                <w:sz w:val="21"/>
                <w:szCs w:val="21"/>
              </w:rPr>
            </w:pPr>
            <w:r>
              <w:rPr>
                <w:rFonts w:ascii="Times New Roman" w:hAnsi="Times New Roman"/>
                <w:sz w:val="21"/>
                <w:szCs w:val="21"/>
              </w:rPr>
              <w:t>39.75</w:t>
            </w:r>
          </w:p>
        </w:tc>
        <w:tc>
          <w:tcPr>
            <w:tcW w:w="1307" w:type="dxa"/>
            <w:shd w:val="clear" w:color="auto" w:fill="auto"/>
          </w:tcPr>
          <w:p w14:paraId="1AF4486F" w14:textId="77777777" w:rsidR="009C353B" w:rsidRDefault="00000000">
            <w:pPr>
              <w:widowControl/>
              <w:jc w:val="center"/>
              <w:rPr>
                <w:rFonts w:ascii="Times New Roman" w:hAnsi="Times New Roman"/>
                <w:sz w:val="21"/>
                <w:szCs w:val="21"/>
              </w:rPr>
            </w:pPr>
            <w:r>
              <w:rPr>
                <w:rFonts w:ascii="Times New Roman" w:hAnsi="Times New Roman"/>
                <w:sz w:val="21"/>
                <w:szCs w:val="21"/>
              </w:rPr>
              <w:t>41.37</w:t>
            </w:r>
          </w:p>
        </w:tc>
        <w:tc>
          <w:tcPr>
            <w:tcW w:w="830" w:type="dxa"/>
            <w:vMerge/>
            <w:shd w:val="clear" w:color="auto" w:fill="auto"/>
            <w:noWrap/>
          </w:tcPr>
          <w:p w14:paraId="288B7A35" w14:textId="77777777" w:rsidR="009C353B" w:rsidRDefault="009C353B">
            <w:pPr>
              <w:widowControl/>
              <w:jc w:val="center"/>
              <w:rPr>
                <w:rFonts w:ascii="Times New Roman" w:hAnsi="Times New Roman"/>
                <w:sz w:val="21"/>
                <w:szCs w:val="21"/>
              </w:rPr>
            </w:pPr>
          </w:p>
        </w:tc>
      </w:tr>
      <w:tr w:rsidR="009C353B" w14:paraId="4BE8AF90" w14:textId="77777777">
        <w:trPr>
          <w:trHeight w:val="340"/>
        </w:trPr>
        <w:tc>
          <w:tcPr>
            <w:tcW w:w="648" w:type="dxa"/>
            <w:vMerge/>
            <w:shd w:val="clear" w:color="auto" w:fill="auto"/>
          </w:tcPr>
          <w:p w14:paraId="56F9D114"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48D6CEDF"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3CB1C59"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520B6C48" w14:textId="77777777" w:rsidR="009C353B" w:rsidRDefault="00000000">
            <w:pPr>
              <w:widowControl/>
              <w:jc w:val="center"/>
              <w:rPr>
                <w:rFonts w:ascii="Times New Roman" w:hAnsi="Times New Roman"/>
                <w:sz w:val="21"/>
                <w:szCs w:val="21"/>
              </w:rPr>
            </w:pPr>
            <w:r>
              <w:rPr>
                <w:rFonts w:ascii="Times New Roman" w:hAnsi="Times New Roman"/>
                <w:sz w:val="21"/>
                <w:szCs w:val="21"/>
              </w:rPr>
              <w:t>5.32</w:t>
            </w:r>
          </w:p>
        </w:tc>
        <w:tc>
          <w:tcPr>
            <w:tcW w:w="882" w:type="dxa"/>
            <w:shd w:val="clear" w:color="auto" w:fill="auto"/>
            <w:noWrap/>
          </w:tcPr>
          <w:p w14:paraId="1B45DA01" w14:textId="77777777" w:rsidR="009C353B" w:rsidRDefault="00000000">
            <w:pPr>
              <w:widowControl/>
              <w:jc w:val="center"/>
              <w:rPr>
                <w:rFonts w:ascii="Times New Roman" w:hAnsi="Times New Roman"/>
                <w:sz w:val="21"/>
                <w:szCs w:val="21"/>
              </w:rPr>
            </w:pPr>
            <w:r>
              <w:rPr>
                <w:rFonts w:ascii="Times New Roman" w:hAnsi="Times New Roman"/>
                <w:sz w:val="21"/>
                <w:szCs w:val="21"/>
              </w:rPr>
              <w:t>49.52</w:t>
            </w:r>
          </w:p>
        </w:tc>
        <w:tc>
          <w:tcPr>
            <w:tcW w:w="883" w:type="dxa"/>
            <w:shd w:val="clear" w:color="auto" w:fill="auto"/>
            <w:noWrap/>
          </w:tcPr>
          <w:p w14:paraId="61C915A7" w14:textId="77777777" w:rsidR="009C353B" w:rsidRDefault="00000000">
            <w:pPr>
              <w:widowControl/>
              <w:jc w:val="center"/>
              <w:rPr>
                <w:rFonts w:ascii="Times New Roman" w:hAnsi="Times New Roman"/>
                <w:sz w:val="21"/>
                <w:szCs w:val="21"/>
              </w:rPr>
            </w:pPr>
            <w:r>
              <w:rPr>
                <w:rFonts w:ascii="Times New Roman" w:hAnsi="Times New Roman"/>
                <w:sz w:val="21"/>
                <w:szCs w:val="21"/>
              </w:rPr>
              <w:t>56.13</w:t>
            </w:r>
          </w:p>
        </w:tc>
        <w:tc>
          <w:tcPr>
            <w:tcW w:w="1942" w:type="dxa"/>
            <w:shd w:val="clear" w:color="auto" w:fill="auto"/>
          </w:tcPr>
          <w:p w14:paraId="7A5097D5" w14:textId="77777777" w:rsidR="009C353B" w:rsidRDefault="00000000">
            <w:pPr>
              <w:widowControl/>
              <w:jc w:val="center"/>
              <w:rPr>
                <w:rFonts w:ascii="Times New Roman" w:hAnsi="Times New Roman"/>
                <w:sz w:val="21"/>
                <w:szCs w:val="21"/>
              </w:rPr>
            </w:pPr>
            <w:r>
              <w:rPr>
                <w:rFonts w:ascii="Times New Roman" w:hAnsi="Times New Roman"/>
                <w:sz w:val="21"/>
                <w:szCs w:val="21"/>
              </w:rPr>
              <w:t>80.03</w:t>
            </w:r>
          </w:p>
        </w:tc>
        <w:tc>
          <w:tcPr>
            <w:tcW w:w="1307" w:type="dxa"/>
            <w:shd w:val="clear" w:color="auto" w:fill="auto"/>
          </w:tcPr>
          <w:p w14:paraId="00DDC35D" w14:textId="77777777" w:rsidR="009C353B" w:rsidRDefault="00000000">
            <w:pPr>
              <w:widowControl/>
              <w:jc w:val="center"/>
              <w:rPr>
                <w:rFonts w:ascii="Times New Roman" w:hAnsi="Times New Roman"/>
                <w:sz w:val="21"/>
                <w:szCs w:val="21"/>
              </w:rPr>
            </w:pPr>
            <w:r>
              <w:rPr>
                <w:rFonts w:ascii="Times New Roman" w:hAnsi="Times New Roman"/>
                <w:sz w:val="21"/>
                <w:szCs w:val="21"/>
              </w:rPr>
              <w:t>80.03</w:t>
            </w:r>
          </w:p>
        </w:tc>
        <w:tc>
          <w:tcPr>
            <w:tcW w:w="830" w:type="dxa"/>
            <w:vMerge/>
            <w:shd w:val="clear" w:color="auto" w:fill="auto"/>
            <w:noWrap/>
          </w:tcPr>
          <w:p w14:paraId="569C795C" w14:textId="77777777" w:rsidR="009C353B" w:rsidRDefault="009C353B">
            <w:pPr>
              <w:widowControl/>
              <w:jc w:val="center"/>
              <w:rPr>
                <w:rFonts w:ascii="Times New Roman" w:hAnsi="Times New Roman"/>
                <w:sz w:val="21"/>
                <w:szCs w:val="21"/>
              </w:rPr>
            </w:pPr>
          </w:p>
        </w:tc>
      </w:tr>
      <w:tr w:rsidR="009C353B" w14:paraId="221A8CEA" w14:textId="77777777">
        <w:trPr>
          <w:trHeight w:val="340"/>
        </w:trPr>
        <w:tc>
          <w:tcPr>
            <w:tcW w:w="648" w:type="dxa"/>
            <w:vMerge/>
            <w:shd w:val="clear" w:color="auto" w:fill="auto"/>
          </w:tcPr>
          <w:p w14:paraId="38A41742"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0A1D00B1"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104</w:t>
            </w:r>
          </w:p>
        </w:tc>
        <w:tc>
          <w:tcPr>
            <w:tcW w:w="883" w:type="dxa"/>
            <w:shd w:val="clear" w:color="auto" w:fill="auto"/>
            <w:noWrap/>
          </w:tcPr>
          <w:p w14:paraId="15B0453E"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265D252E" w14:textId="77777777" w:rsidR="009C353B" w:rsidRDefault="00000000">
            <w:pPr>
              <w:widowControl/>
              <w:jc w:val="center"/>
              <w:rPr>
                <w:rFonts w:ascii="Times New Roman" w:hAnsi="Times New Roman"/>
                <w:sz w:val="21"/>
                <w:szCs w:val="21"/>
              </w:rPr>
            </w:pPr>
            <w:r>
              <w:rPr>
                <w:rFonts w:ascii="Times New Roman" w:hAnsi="Times New Roman"/>
                <w:sz w:val="21"/>
                <w:szCs w:val="21"/>
              </w:rPr>
              <w:t>2.09</w:t>
            </w:r>
          </w:p>
        </w:tc>
        <w:tc>
          <w:tcPr>
            <w:tcW w:w="882" w:type="dxa"/>
            <w:shd w:val="clear" w:color="auto" w:fill="auto"/>
            <w:noWrap/>
          </w:tcPr>
          <w:p w14:paraId="5E681E64" w14:textId="77777777" w:rsidR="009C353B" w:rsidRDefault="00000000">
            <w:pPr>
              <w:widowControl/>
              <w:jc w:val="center"/>
              <w:rPr>
                <w:rFonts w:ascii="Times New Roman" w:hAnsi="Times New Roman"/>
                <w:sz w:val="21"/>
                <w:szCs w:val="21"/>
              </w:rPr>
            </w:pPr>
            <w:r>
              <w:rPr>
                <w:rFonts w:ascii="Times New Roman" w:hAnsi="Times New Roman"/>
                <w:sz w:val="21"/>
                <w:szCs w:val="21"/>
              </w:rPr>
              <w:t>35.70</w:t>
            </w:r>
          </w:p>
        </w:tc>
        <w:tc>
          <w:tcPr>
            <w:tcW w:w="883" w:type="dxa"/>
            <w:shd w:val="clear" w:color="auto" w:fill="auto"/>
            <w:noWrap/>
          </w:tcPr>
          <w:p w14:paraId="5B62C382" w14:textId="77777777" w:rsidR="009C353B" w:rsidRDefault="00000000">
            <w:pPr>
              <w:widowControl/>
              <w:jc w:val="center"/>
              <w:rPr>
                <w:rFonts w:ascii="Times New Roman" w:hAnsi="Times New Roman"/>
                <w:sz w:val="21"/>
                <w:szCs w:val="21"/>
              </w:rPr>
            </w:pPr>
            <w:r>
              <w:rPr>
                <w:rFonts w:ascii="Times New Roman" w:hAnsi="Times New Roman"/>
                <w:sz w:val="21"/>
                <w:szCs w:val="21"/>
              </w:rPr>
              <w:t>38.91</w:t>
            </w:r>
          </w:p>
        </w:tc>
        <w:tc>
          <w:tcPr>
            <w:tcW w:w="1942" w:type="dxa"/>
            <w:shd w:val="clear" w:color="auto" w:fill="auto"/>
          </w:tcPr>
          <w:p w14:paraId="76F3429E" w14:textId="77777777" w:rsidR="009C353B" w:rsidRDefault="00000000">
            <w:pPr>
              <w:widowControl/>
              <w:jc w:val="center"/>
              <w:rPr>
                <w:rFonts w:ascii="Times New Roman" w:hAnsi="Times New Roman"/>
                <w:sz w:val="21"/>
                <w:szCs w:val="21"/>
              </w:rPr>
            </w:pPr>
            <w:r>
              <w:rPr>
                <w:rFonts w:ascii="Times New Roman" w:hAnsi="Times New Roman"/>
                <w:sz w:val="21"/>
                <w:szCs w:val="21"/>
              </w:rPr>
              <w:t>34.54</w:t>
            </w:r>
          </w:p>
        </w:tc>
        <w:tc>
          <w:tcPr>
            <w:tcW w:w="1307" w:type="dxa"/>
            <w:shd w:val="clear" w:color="auto" w:fill="auto"/>
          </w:tcPr>
          <w:p w14:paraId="6D4F92EB" w14:textId="77777777" w:rsidR="009C353B" w:rsidRDefault="00000000">
            <w:pPr>
              <w:widowControl/>
              <w:jc w:val="center"/>
              <w:rPr>
                <w:rFonts w:ascii="Times New Roman" w:hAnsi="Times New Roman"/>
                <w:sz w:val="21"/>
                <w:szCs w:val="21"/>
              </w:rPr>
            </w:pPr>
            <w:r>
              <w:rPr>
                <w:rFonts w:ascii="Times New Roman" w:hAnsi="Times New Roman"/>
                <w:sz w:val="21"/>
                <w:szCs w:val="21"/>
              </w:rPr>
              <w:t>38.91</w:t>
            </w:r>
          </w:p>
        </w:tc>
        <w:tc>
          <w:tcPr>
            <w:tcW w:w="830" w:type="dxa"/>
            <w:vMerge w:val="restart"/>
            <w:shd w:val="clear" w:color="auto" w:fill="auto"/>
            <w:noWrap/>
          </w:tcPr>
          <w:p w14:paraId="20C43463"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5362FC0E" w14:textId="77777777">
        <w:trPr>
          <w:trHeight w:val="340"/>
        </w:trPr>
        <w:tc>
          <w:tcPr>
            <w:tcW w:w="648" w:type="dxa"/>
            <w:vMerge/>
            <w:shd w:val="clear" w:color="auto" w:fill="auto"/>
          </w:tcPr>
          <w:p w14:paraId="6F9CA367"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735A1AC"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F883C0C"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上煤</w:t>
            </w:r>
          </w:p>
        </w:tc>
        <w:tc>
          <w:tcPr>
            <w:tcW w:w="800" w:type="dxa"/>
            <w:shd w:val="clear" w:color="auto" w:fill="auto"/>
            <w:noWrap/>
          </w:tcPr>
          <w:p w14:paraId="787455CC" w14:textId="77777777" w:rsidR="009C353B" w:rsidRDefault="00000000">
            <w:pPr>
              <w:widowControl/>
              <w:jc w:val="center"/>
              <w:rPr>
                <w:rFonts w:ascii="Times New Roman" w:hAnsi="Times New Roman"/>
                <w:sz w:val="21"/>
                <w:szCs w:val="21"/>
              </w:rPr>
            </w:pPr>
            <w:r>
              <w:rPr>
                <w:rFonts w:ascii="Times New Roman" w:hAnsi="Times New Roman"/>
                <w:sz w:val="21"/>
                <w:szCs w:val="21"/>
              </w:rPr>
              <w:t>2.03</w:t>
            </w:r>
          </w:p>
        </w:tc>
        <w:tc>
          <w:tcPr>
            <w:tcW w:w="882" w:type="dxa"/>
            <w:shd w:val="clear" w:color="auto" w:fill="auto"/>
            <w:noWrap/>
          </w:tcPr>
          <w:p w14:paraId="220C7137" w14:textId="77777777" w:rsidR="009C353B" w:rsidRDefault="00000000">
            <w:pPr>
              <w:widowControl/>
              <w:jc w:val="center"/>
              <w:rPr>
                <w:rFonts w:ascii="Times New Roman" w:hAnsi="Times New Roman"/>
                <w:sz w:val="21"/>
                <w:szCs w:val="21"/>
              </w:rPr>
            </w:pPr>
            <w:r>
              <w:rPr>
                <w:rFonts w:ascii="Times New Roman" w:hAnsi="Times New Roman"/>
                <w:sz w:val="21"/>
                <w:szCs w:val="21"/>
              </w:rPr>
              <w:t>35.24</w:t>
            </w:r>
          </w:p>
        </w:tc>
        <w:tc>
          <w:tcPr>
            <w:tcW w:w="883" w:type="dxa"/>
            <w:shd w:val="clear" w:color="auto" w:fill="auto"/>
            <w:noWrap/>
          </w:tcPr>
          <w:p w14:paraId="5260196E" w14:textId="77777777" w:rsidR="009C353B" w:rsidRDefault="00000000">
            <w:pPr>
              <w:widowControl/>
              <w:jc w:val="center"/>
              <w:rPr>
                <w:rFonts w:ascii="Times New Roman" w:hAnsi="Times New Roman"/>
                <w:sz w:val="21"/>
                <w:szCs w:val="21"/>
              </w:rPr>
            </w:pPr>
            <w:r>
              <w:rPr>
                <w:rFonts w:ascii="Times New Roman" w:hAnsi="Times New Roman"/>
                <w:sz w:val="21"/>
                <w:szCs w:val="21"/>
              </w:rPr>
              <w:t>38.50</w:t>
            </w:r>
          </w:p>
        </w:tc>
        <w:tc>
          <w:tcPr>
            <w:tcW w:w="1942" w:type="dxa"/>
            <w:shd w:val="clear" w:color="auto" w:fill="auto"/>
          </w:tcPr>
          <w:p w14:paraId="4BBC719E" w14:textId="77777777" w:rsidR="009C353B" w:rsidRDefault="00000000">
            <w:pPr>
              <w:widowControl/>
              <w:jc w:val="center"/>
              <w:rPr>
                <w:rFonts w:ascii="Times New Roman" w:hAnsi="Times New Roman"/>
                <w:sz w:val="21"/>
                <w:szCs w:val="21"/>
              </w:rPr>
            </w:pPr>
            <w:r>
              <w:rPr>
                <w:rFonts w:ascii="Times New Roman" w:hAnsi="Times New Roman"/>
                <w:sz w:val="21"/>
                <w:szCs w:val="21"/>
              </w:rPr>
              <w:t>33.69</w:t>
            </w:r>
          </w:p>
        </w:tc>
        <w:tc>
          <w:tcPr>
            <w:tcW w:w="1307" w:type="dxa"/>
            <w:shd w:val="clear" w:color="auto" w:fill="auto"/>
          </w:tcPr>
          <w:p w14:paraId="175FA061" w14:textId="77777777" w:rsidR="009C353B" w:rsidRDefault="00000000">
            <w:pPr>
              <w:widowControl/>
              <w:jc w:val="center"/>
              <w:rPr>
                <w:rFonts w:ascii="Times New Roman" w:hAnsi="Times New Roman"/>
                <w:sz w:val="21"/>
                <w:szCs w:val="21"/>
              </w:rPr>
            </w:pPr>
            <w:r>
              <w:rPr>
                <w:rFonts w:ascii="Times New Roman" w:hAnsi="Times New Roman"/>
                <w:sz w:val="21"/>
                <w:szCs w:val="21"/>
              </w:rPr>
              <w:t>38.50</w:t>
            </w:r>
          </w:p>
        </w:tc>
        <w:tc>
          <w:tcPr>
            <w:tcW w:w="830" w:type="dxa"/>
            <w:vMerge/>
            <w:shd w:val="clear" w:color="auto" w:fill="auto"/>
            <w:noWrap/>
          </w:tcPr>
          <w:p w14:paraId="4A9864E2" w14:textId="77777777" w:rsidR="009C353B" w:rsidRDefault="009C353B">
            <w:pPr>
              <w:widowControl/>
              <w:jc w:val="center"/>
              <w:rPr>
                <w:rFonts w:ascii="Times New Roman" w:hAnsi="Times New Roman"/>
                <w:sz w:val="21"/>
                <w:szCs w:val="21"/>
              </w:rPr>
            </w:pPr>
          </w:p>
        </w:tc>
      </w:tr>
      <w:tr w:rsidR="009C353B" w14:paraId="7C2B3E61" w14:textId="77777777">
        <w:trPr>
          <w:trHeight w:val="340"/>
        </w:trPr>
        <w:tc>
          <w:tcPr>
            <w:tcW w:w="648" w:type="dxa"/>
            <w:vMerge/>
            <w:shd w:val="clear" w:color="auto" w:fill="auto"/>
          </w:tcPr>
          <w:p w14:paraId="176C89A4"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39E92947"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0E15452"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1F6CAB3A" w14:textId="77777777" w:rsidR="009C353B" w:rsidRDefault="00000000">
            <w:pPr>
              <w:widowControl/>
              <w:jc w:val="center"/>
              <w:rPr>
                <w:rFonts w:ascii="Times New Roman" w:hAnsi="Times New Roman"/>
                <w:sz w:val="21"/>
                <w:szCs w:val="21"/>
              </w:rPr>
            </w:pPr>
            <w:r>
              <w:rPr>
                <w:rFonts w:ascii="Times New Roman" w:hAnsi="Times New Roman"/>
                <w:sz w:val="21"/>
                <w:szCs w:val="21"/>
              </w:rPr>
              <w:t>2.22</w:t>
            </w:r>
          </w:p>
        </w:tc>
        <w:tc>
          <w:tcPr>
            <w:tcW w:w="882" w:type="dxa"/>
            <w:shd w:val="clear" w:color="auto" w:fill="auto"/>
            <w:noWrap/>
          </w:tcPr>
          <w:p w14:paraId="26F196F4" w14:textId="77777777" w:rsidR="009C353B" w:rsidRDefault="00000000">
            <w:pPr>
              <w:widowControl/>
              <w:jc w:val="center"/>
              <w:rPr>
                <w:rFonts w:ascii="Times New Roman" w:hAnsi="Times New Roman"/>
                <w:sz w:val="21"/>
                <w:szCs w:val="21"/>
              </w:rPr>
            </w:pPr>
            <w:r>
              <w:rPr>
                <w:rFonts w:ascii="Times New Roman" w:hAnsi="Times New Roman"/>
                <w:sz w:val="21"/>
                <w:szCs w:val="21"/>
              </w:rPr>
              <w:t>36.64</w:t>
            </w:r>
          </w:p>
        </w:tc>
        <w:tc>
          <w:tcPr>
            <w:tcW w:w="883" w:type="dxa"/>
            <w:shd w:val="clear" w:color="auto" w:fill="auto"/>
            <w:noWrap/>
          </w:tcPr>
          <w:p w14:paraId="1D38E20A" w14:textId="77777777" w:rsidR="009C353B" w:rsidRDefault="00000000">
            <w:pPr>
              <w:widowControl/>
              <w:jc w:val="center"/>
              <w:rPr>
                <w:rFonts w:ascii="Times New Roman" w:hAnsi="Times New Roman"/>
                <w:sz w:val="21"/>
                <w:szCs w:val="21"/>
              </w:rPr>
            </w:pPr>
            <w:r>
              <w:rPr>
                <w:rFonts w:ascii="Times New Roman" w:hAnsi="Times New Roman"/>
                <w:sz w:val="21"/>
                <w:szCs w:val="21"/>
              </w:rPr>
              <w:t>39.80</w:t>
            </w:r>
          </w:p>
        </w:tc>
        <w:tc>
          <w:tcPr>
            <w:tcW w:w="1942" w:type="dxa"/>
            <w:shd w:val="clear" w:color="auto" w:fill="auto"/>
          </w:tcPr>
          <w:p w14:paraId="2A44537B" w14:textId="77777777" w:rsidR="009C353B" w:rsidRDefault="00000000">
            <w:pPr>
              <w:widowControl/>
              <w:jc w:val="center"/>
              <w:rPr>
                <w:rFonts w:ascii="Times New Roman" w:hAnsi="Times New Roman"/>
                <w:sz w:val="21"/>
                <w:szCs w:val="21"/>
              </w:rPr>
            </w:pPr>
            <w:r>
              <w:rPr>
                <w:rFonts w:ascii="Times New Roman" w:hAnsi="Times New Roman"/>
                <w:sz w:val="21"/>
                <w:szCs w:val="21"/>
              </w:rPr>
              <w:t>36.37</w:t>
            </w:r>
          </w:p>
        </w:tc>
        <w:tc>
          <w:tcPr>
            <w:tcW w:w="1307" w:type="dxa"/>
            <w:shd w:val="clear" w:color="auto" w:fill="auto"/>
          </w:tcPr>
          <w:p w14:paraId="1A4351DB" w14:textId="77777777" w:rsidR="009C353B" w:rsidRDefault="00000000">
            <w:pPr>
              <w:widowControl/>
              <w:jc w:val="center"/>
              <w:rPr>
                <w:rFonts w:ascii="Times New Roman" w:hAnsi="Times New Roman"/>
                <w:sz w:val="21"/>
                <w:szCs w:val="21"/>
              </w:rPr>
            </w:pPr>
            <w:r>
              <w:rPr>
                <w:rFonts w:ascii="Times New Roman" w:hAnsi="Times New Roman"/>
                <w:sz w:val="21"/>
                <w:szCs w:val="21"/>
              </w:rPr>
              <w:t>39.80</w:t>
            </w:r>
          </w:p>
        </w:tc>
        <w:tc>
          <w:tcPr>
            <w:tcW w:w="830" w:type="dxa"/>
            <w:vMerge/>
            <w:shd w:val="clear" w:color="auto" w:fill="auto"/>
            <w:noWrap/>
          </w:tcPr>
          <w:p w14:paraId="23A7EC91" w14:textId="77777777" w:rsidR="009C353B" w:rsidRDefault="009C353B">
            <w:pPr>
              <w:widowControl/>
              <w:jc w:val="center"/>
              <w:rPr>
                <w:rFonts w:ascii="Times New Roman" w:hAnsi="Times New Roman"/>
                <w:sz w:val="21"/>
                <w:szCs w:val="21"/>
              </w:rPr>
            </w:pPr>
          </w:p>
        </w:tc>
      </w:tr>
      <w:tr w:rsidR="009C353B" w14:paraId="06F6C9B3" w14:textId="77777777">
        <w:trPr>
          <w:trHeight w:val="340"/>
        </w:trPr>
        <w:tc>
          <w:tcPr>
            <w:tcW w:w="648" w:type="dxa"/>
            <w:vMerge/>
            <w:shd w:val="clear" w:color="auto" w:fill="auto"/>
          </w:tcPr>
          <w:p w14:paraId="220508ED"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36341EFA"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8951D1D"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5B8A8F2A" w14:textId="77777777" w:rsidR="009C353B" w:rsidRDefault="00000000">
            <w:pPr>
              <w:widowControl/>
              <w:jc w:val="center"/>
              <w:rPr>
                <w:rFonts w:ascii="Times New Roman" w:hAnsi="Times New Roman"/>
                <w:sz w:val="21"/>
                <w:szCs w:val="21"/>
              </w:rPr>
            </w:pPr>
            <w:r>
              <w:rPr>
                <w:rFonts w:ascii="Times New Roman" w:hAnsi="Times New Roman"/>
                <w:sz w:val="21"/>
                <w:szCs w:val="21"/>
              </w:rPr>
              <w:t>3.19</w:t>
            </w:r>
          </w:p>
        </w:tc>
        <w:tc>
          <w:tcPr>
            <w:tcW w:w="882" w:type="dxa"/>
            <w:shd w:val="clear" w:color="auto" w:fill="auto"/>
            <w:noWrap/>
          </w:tcPr>
          <w:p w14:paraId="6DA32FD9" w14:textId="77777777" w:rsidR="009C353B" w:rsidRDefault="00000000">
            <w:pPr>
              <w:widowControl/>
              <w:jc w:val="center"/>
              <w:rPr>
                <w:rFonts w:ascii="Times New Roman" w:hAnsi="Times New Roman"/>
                <w:sz w:val="21"/>
                <w:szCs w:val="21"/>
              </w:rPr>
            </w:pPr>
            <w:r>
              <w:rPr>
                <w:rFonts w:ascii="Times New Roman" w:hAnsi="Times New Roman"/>
                <w:sz w:val="21"/>
                <w:szCs w:val="21"/>
              </w:rPr>
              <w:t>42.25</w:t>
            </w:r>
          </w:p>
        </w:tc>
        <w:tc>
          <w:tcPr>
            <w:tcW w:w="883" w:type="dxa"/>
            <w:shd w:val="clear" w:color="auto" w:fill="auto"/>
            <w:noWrap/>
          </w:tcPr>
          <w:p w14:paraId="286F7FC2" w14:textId="77777777" w:rsidR="009C353B" w:rsidRDefault="00000000">
            <w:pPr>
              <w:widowControl/>
              <w:jc w:val="center"/>
              <w:rPr>
                <w:rFonts w:ascii="Times New Roman" w:hAnsi="Times New Roman"/>
                <w:sz w:val="21"/>
                <w:szCs w:val="21"/>
              </w:rPr>
            </w:pPr>
            <w:r>
              <w:rPr>
                <w:rFonts w:ascii="Times New Roman" w:hAnsi="Times New Roman"/>
                <w:sz w:val="21"/>
                <w:szCs w:val="21"/>
              </w:rPr>
              <w:t>45.72</w:t>
            </w:r>
          </w:p>
        </w:tc>
        <w:tc>
          <w:tcPr>
            <w:tcW w:w="1942" w:type="dxa"/>
            <w:shd w:val="clear" w:color="auto" w:fill="auto"/>
          </w:tcPr>
          <w:p w14:paraId="58850CEB" w14:textId="77777777" w:rsidR="009C353B" w:rsidRDefault="00000000">
            <w:pPr>
              <w:widowControl/>
              <w:jc w:val="center"/>
              <w:rPr>
                <w:rFonts w:ascii="Times New Roman" w:hAnsi="Times New Roman"/>
                <w:sz w:val="21"/>
                <w:szCs w:val="21"/>
              </w:rPr>
            </w:pPr>
            <w:r>
              <w:rPr>
                <w:rFonts w:ascii="Times New Roman" w:hAnsi="Times New Roman"/>
                <w:sz w:val="21"/>
                <w:szCs w:val="21"/>
              </w:rPr>
              <w:t>50.03</w:t>
            </w:r>
          </w:p>
        </w:tc>
        <w:tc>
          <w:tcPr>
            <w:tcW w:w="1307" w:type="dxa"/>
            <w:shd w:val="clear" w:color="auto" w:fill="auto"/>
          </w:tcPr>
          <w:p w14:paraId="034D6C3D" w14:textId="77777777" w:rsidR="009C353B" w:rsidRDefault="00000000">
            <w:pPr>
              <w:widowControl/>
              <w:jc w:val="center"/>
              <w:rPr>
                <w:rFonts w:ascii="Times New Roman" w:hAnsi="Times New Roman"/>
                <w:sz w:val="21"/>
                <w:szCs w:val="21"/>
              </w:rPr>
            </w:pPr>
            <w:r>
              <w:rPr>
                <w:rFonts w:ascii="Times New Roman" w:hAnsi="Times New Roman"/>
                <w:sz w:val="21"/>
                <w:szCs w:val="21"/>
              </w:rPr>
              <w:t>50.03</w:t>
            </w:r>
          </w:p>
        </w:tc>
        <w:tc>
          <w:tcPr>
            <w:tcW w:w="830" w:type="dxa"/>
            <w:vMerge/>
            <w:shd w:val="clear" w:color="auto" w:fill="auto"/>
            <w:noWrap/>
          </w:tcPr>
          <w:p w14:paraId="4C3E23F8" w14:textId="77777777" w:rsidR="009C353B" w:rsidRDefault="009C353B">
            <w:pPr>
              <w:widowControl/>
              <w:jc w:val="center"/>
              <w:rPr>
                <w:rFonts w:ascii="Times New Roman" w:hAnsi="Times New Roman"/>
                <w:sz w:val="21"/>
                <w:szCs w:val="21"/>
              </w:rPr>
            </w:pPr>
          </w:p>
        </w:tc>
      </w:tr>
      <w:tr w:rsidR="009C353B" w14:paraId="6D488806" w14:textId="77777777">
        <w:trPr>
          <w:trHeight w:val="340"/>
        </w:trPr>
        <w:tc>
          <w:tcPr>
            <w:tcW w:w="648" w:type="dxa"/>
            <w:vMerge/>
            <w:shd w:val="clear" w:color="auto" w:fill="auto"/>
          </w:tcPr>
          <w:p w14:paraId="44A49206"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7882BA4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133</w:t>
            </w:r>
          </w:p>
        </w:tc>
        <w:tc>
          <w:tcPr>
            <w:tcW w:w="883" w:type="dxa"/>
            <w:shd w:val="clear" w:color="auto" w:fill="auto"/>
            <w:noWrap/>
          </w:tcPr>
          <w:p w14:paraId="4A314EA5"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60A2FEC2" w14:textId="77777777" w:rsidR="009C353B" w:rsidRDefault="00000000">
            <w:pPr>
              <w:widowControl/>
              <w:jc w:val="center"/>
              <w:rPr>
                <w:rFonts w:ascii="Times New Roman" w:hAnsi="Times New Roman"/>
                <w:sz w:val="21"/>
                <w:szCs w:val="21"/>
              </w:rPr>
            </w:pPr>
            <w:r>
              <w:rPr>
                <w:rFonts w:ascii="Times New Roman" w:hAnsi="Times New Roman"/>
                <w:sz w:val="21"/>
                <w:szCs w:val="21"/>
              </w:rPr>
              <w:t>2.07</w:t>
            </w:r>
          </w:p>
        </w:tc>
        <w:tc>
          <w:tcPr>
            <w:tcW w:w="882" w:type="dxa"/>
            <w:shd w:val="clear" w:color="auto" w:fill="auto"/>
            <w:noWrap/>
          </w:tcPr>
          <w:p w14:paraId="68144B1D" w14:textId="77777777" w:rsidR="009C353B" w:rsidRDefault="00000000">
            <w:pPr>
              <w:widowControl/>
              <w:jc w:val="center"/>
              <w:rPr>
                <w:rFonts w:ascii="Times New Roman" w:hAnsi="Times New Roman"/>
                <w:sz w:val="21"/>
                <w:szCs w:val="21"/>
              </w:rPr>
            </w:pPr>
            <w:r>
              <w:rPr>
                <w:rFonts w:ascii="Times New Roman" w:hAnsi="Times New Roman"/>
                <w:sz w:val="21"/>
                <w:szCs w:val="21"/>
              </w:rPr>
              <w:t>35.55</w:t>
            </w:r>
          </w:p>
        </w:tc>
        <w:tc>
          <w:tcPr>
            <w:tcW w:w="883" w:type="dxa"/>
            <w:shd w:val="clear" w:color="auto" w:fill="auto"/>
            <w:noWrap/>
          </w:tcPr>
          <w:p w14:paraId="6D92944A" w14:textId="77777777" w:rsidR="009C353B" w:rsidRDefault="00000000">
            <w:pPr>
              <w:widowControl/>
              <w:jc w:val="center"/>
              <w:rPr>
                <w:rFonts w:ascii="Times New Roman" w:hAnsi="Times New Roman"/>
                <w:sz w:val="21"/>
                <w:szCs w:val="21"/>
              </w:rPr>
            </w:pPr>
            <w:r>
              <w:rPr>
                <w:rFonts w:ascii="Times New Roman" w:hAnsi="Times New Roman"/>
                <w:sz w:val="21"/>
                <w:szCs w:val="21"/>
              </w:rPr>
              <w:t>38.77</w:t>
            </w:r>
          </w:p>
        </w:tc>
        <w:tc>
          <w:tcPr>
            <w:tcW w:w="1942" w:type="dxa"/>
            <w:shd w:val="clear" w:color="auto" w:fill="auto"/>
          </w:tcPr>
          <w:p w14:paraId="2B4FC548" w14:textId="77777777" w:rsidR="009C353B" w:rsidRDefault="00000000">
            <w:pPr>
              <w:widowControl/>
              <w:jc w:val="center"/>
              <w:rPr>
                <w:rFonts w:ascii="Times New Roman" w:hAnsi="Times New Roman"/>
                <w:sz w:val="21"/>
                <w:szCs w:val="21"/>
              </w:rPr>
            </w:pPr>
            <w:r>
              <w:rPr>
                <w:rFonts w:ascii="Times New Roman" w:hAnsi="Times New Roman"/>
                <w:sz w:val="21"/>
                <w:szCs w:val="21"/>
              </w:rPr>
              <w:t>34.25</w:t>
            </w:r>
          </w:p>
        </w:tc>
        <w:tc>
          <w:tcPr>
            <w:tcW w:w="1307" w:type="dxa"/>
            <w:shd w:val="clear" w:color="auto" w:fill="auto"/>
          </w:tcPr>
          <w:p w14:paraId="2E50324D" w14:textId="77777777" w:rsidR="009C353B" w:rsidRDefault="00000000">
            <w:pPr>
              <w:widowControl/>
              <w:jc w:val="center"/>
              <w:rPr>
                <w:rFonts w:ascii="Times New Roman" w:hAnsi="Times New Roman"/>
                <w:sz w:val="21"/>
                <w:szCs w:val="21"/>
              </w:rPr>
            </w:pPr>
            <w:r>
              <w:rPr>
                <w:rFonts w:ascii="Times New Roman" w:hAnsi="Times New Roman"/>
                <w:sz w:val="21"/>
                <w:szCs w:val="21"/>
              </w:rPr>
              <w:t>38.77</w:t>
            </w:r>
          </w:p>
        </w:tc>
        <w:tc>
          <w:tcPr>
            <w:tcW w:w="830" w:type="dxa"/>
            <w:vMerge w:val="restart"/>
            <w:shd w:val="clear" w:color="auto" w:fill="auto"/>
            <w:noWrap/>
          </w:tcPr>
          <w:p w14:paraId="55A670F7"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259F3744" w14:textId="77777777">
        <w:trPr>
          <w:trHeight w:val="340"/>
        </w:trPr>
        <w:tc>
          <w:tcPr>
            <w:tcW w:w="648" w:type="dxa"/>
            <w:vMerge/>
            <w:shd w:val="clear" w:color="auto" w:fill="auto"/>
          </w:tcPr>
          <w:p w14:paraId="12973549"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4DE3E299"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3A78E073"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上煤</w:t>
            </w:r>
          </w:p>
        </w:tc>
        <w:tc>
          <w:tcPr>
            <w:tcW w:w="800" w:type="dxa"/>
            <w:shd w:val="clear" w:color="auto" w:fill="auto"/>
            <w:noWrap/>
          </w:tcPr>
          <w:p w14:paraId="4A475F96" w14:textId="77777777" w:rsidR="009C353B" w:rsidRDefault="00000000">
            <w:pPr>
              <w:widowControl/>
              <w:jc w:val="center"/>
              <w:rPr>
                <w:rFonts w:ascii="Times New Roman" w:hAnsi="Times New Roman"/>
                <w:sz w:val="21"/>
                <w:szCs w:val="21"/>
              </w:rPr>
            </w:pPr>
            <w:r>
              <w:rPr>
                <w:rFonts w:ascii="Times New Roman" w:hAnsi="Times New Roman"/>
                <w:sz w:val="21"/>
                <w:szCs w:val="21"/>
              </w:rPr>
              <w:t>2.02</w:t>
            </w:r>
          </w:p>
        </w:tc>
        <w:tc>
          <w:tcPr>
            <w:tcW w:w="882" w:type="dxa"/>
            <w:shd w:val="clear" w:color="auto" w:fill="auto"/>
            <w:noWrap/>
          </w:tcPr>
          <w:p w14:paraId="2F2AE618" w14:textId="77777777" w:rsidR="009C353B" w:rsidRDefault="00000000">
            <w:pPr>
              <w:widowControl/>
              <w:jc w:val="center"/>
              <w:rPr>
                <w:rFonts w:ascii="Times New Roman" w:hAnsi="Times New Roman"/>
                <w:sz w:val="21"/>
                <w:szCs w:val="21"/>
              </w:rPr>
            </w:pPr>
            <w:r>
              <w:rPr>
                <w:rFonts w:ascii="Times New Roman" w:hAnsi="Times New Roman"/>
                <w:sz w:val="21"/>
                <w:szCs w:val="21"/>
              </w:rPr>
              <w:t>35.17</w:t>
            </w:r>
          </w:p>
        </w:tc>
        <w:tc>
          <w:tcPr>
            <w:tcW w:w="883" w:type="dxa"/>
            <w:shd w:val="clear" w:color="auto" w:fill="auto"/>
            <w:noWrap/>
          </w:tcPr>
          <w:p w14:paraId="1BC9F013" w14:textId="77777777" w:rsidR="009C353B" w:rsidRDefault="00000000">
            <w:pPr>
              <w:widowControl/>
              <w:jc w:val="center"/>
              <w:rPr>
                <w:rFonts w:ascii="Times New Roman" w:hAnsi="Times New Roman"/>
                <w:sz w:val="21"/>
                <w:szCs w:val="21"/>
              </w:rPr>
            </w:pPr>
            <w:r>
              <w:rPr>
                <w:rFonts w:ascii="Times New Roman" w:hAnsi="Times New Roman"/>
                <w:sz w:val="21"/>
                <w:szCs w:val="21"/>
              </w:rPr>
              <w:t>38.43</w:t>
            </w:r>
          </w:p>
        </w:tc>
        <w:tc>
          <w:tcPr>
            <w:tcW w:w="1942" w:type="dxa"/>
            <w:shd w:val="clear" w:color="auto" w:fill="auto"/>
          </w:tcPr>
          <w:p w14:paraId="2D0BDC13" w14:textId="77777777" w:rsidR="009C353B" w:rsidRDefault="00000000">
            <w:pPr>
              <w:widowControl/>
              <w:jc w:val="center"/>
              <w:rPr>
                <w:rFonts w:ascii="Times New Roman" w:hAnsi="Times New Roman"/>
                <w:sz w:val="21"/>
                <w:szCs w:val="21"/>
              </w:rPr>
            </w:pPr>
            <w:r>
              <w:rPr>
                <w:rFonts w:ascii="Times New Roman" w:hAnsi="Times New Roman"/>
                <w:sz w:val="21"/>
                <w:szCs w:val="21"/>
              </w:rPr>
              <w:t>33.55</w:t>
            </w:r>
          </w:p>
        </w:tc>
        <w:tc>
          <w:tcPr>
            <w:tcW w:w="1307" w:type="dxa"/>
            <w:shd w:val="clear" w:color="auto" w:fill="auto"/>
          </w:tcPr>
          <w:p w14:paraId="3B069035" w14:textId="77777777" w:rsidR="009C353B" w:rsidRDefault="00000000">
            <w:pPr>
              <w:widowControl/>
              <w:jc w:val="center"/>
              <w:rPr>
                <w:rFonts w:ascii="Times New Roman" w:hAnsi="Times New Roman"/>
                <w:sz w:val="21"/>
                <w:szCs w:val="21"/>
              </w:rPr>
            </w:pPr>
            <w:r>
              <w:rPr>
                <w:rFonts w:ascii="Times New Roman" w:hAnsi="Times New Roman"/>
                <w:sz w:val="21"/>
                <w:szCs w:val="21"/>
              </w:rPr>
              <w:t>38.43</w:t>
            </w:r>
          </w:p>
        </w:tc>
        <w:tc>
          <w:tcPr>
            <w:tcW w:w="830" w:type="dxa"/>
            <w:vMerge/>
            <w:shd w:val="clear" w:color="auto" w:fill="auto"/>
            <w:noWrap/>
          </w:tcPr>
          <w:p w14:paraId="05D709CA" w14:textId="77777777" w:rsidR="009C353B" w:rsidRDefault="009C353B">
            <w:pPr>
              <w:widowControl/>
              <w:jc w:val="center"/>
              <w:rPr>
                <w:rFonts w:ascii="Times New Roman" w:hAnsi="Times New Roman"/>
                <w:sz w:val="21"/>
                <w:szCs w:val="21"/>
              </w:rPr>
            </w:pPr>
          </w:p>
        </w:tc>
      </w:tr>
      <w:tr w:rsidR="009C353B" w14:paraId="04E97425" w14:textId="77777777">
        <w:trPr>
          <w:trHeight w:val="340"/>
        </w:trPr>
        <w:tc>
          <w:tcPr>
            <w:tcW w:w="648" w:type="dxa"/>
            <w:vMerge/>
            <w:shd w:val="clear" w:color="auto" w:fill="auto"/>
          </w:tcPr>
          <w:p w14:paraId="6817FDF9"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7B77243A"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4B5BF0E"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6B6F4AD5" w14:textId="77777777" w:rsidR="009C353B" w:rsidRDefault="00000000">
            <w:pPr>
              <w:widowControl/>
              <w:jc w:val="center"/>
              <w:rPr>
                <w:rFonts w:ascii="Times New Roman" w:hAnsi="Times New Roman"/>
                <w:sz w:val="21"/>
                <w:szCs w:val="21"/>
              </w:rPr>
            </w:pPr>
            <w:r>
              <w:rPr>
                <w:rFonts w:ascii="Times New Roman" w:hAnsi="Times New Roman"/>
                <w:sz w:val="21"/>
                <w:szCs w:val="21"/>
              </w:rPr>
              <w:t>2.12</w:t>
            </w:r>
          </w:p>
        </w:tc>
        <w:tc>
          <w:tcPr>
            <w:tcW w:w="882" w:type="dxa"/>
            <w:shd w:val="clear" w:color="auto" w:fill="auto"/>
            <w:noWrap/>
          </w:tcPr>
          <w:p w14:paraId="2796C9E9" w14:textId="77777777" w:rsidR="009C353B" w:rsidRDefault="00000000">
            <w:pPr>
              <w:widowControl/>
              <w:jc w:val="center"/>
              <w:rPr>
                <w:rFonts w:ascii="Times New Roman" w:hAnsi="Times New Roman"/>
                <w:sz w:val="21"/>
                <w:szCs w:val="21"/>
              </w:rPr>
            </w:pPr>
            <w:r>
              <w:rPr>
                <w:rFonts w:ascii="Times New Roman" w:hAnsi="Times New Roman"/>
                <w:sz w:val="21"/>
                <w:szCs w:val="21"/>
              </w:rPr>
              <w:t>35.92</w:t>
            </w:r>
          </w:p>
        </w:tc>
        <w:tc>
          <w:tcPr>
            <w:tcW w:w="883" w:type="dxa"/>
            <w:shd w:val="clear" w:color="auto" w:fill="auto"/>
            <w:noWrap/>
          </w:tcPr>
          <w:p w14:paraId="5ECCC549" w14:textId="77777777" w:rsidR="009C353B" w:rsidRDefault="00000000">
            <w:pPr>
              <w:widowControl/>
              <w:jc w:val="center"/>
              <w:rPr>
                <w:rFonts w:ascii="Times New Roman" w:hAnsi="Times New Roman"/>
                <w:sz w:val="21"/>
                <w:szCs w:val="21"/>
              </w:rPr>
            </w:pPr>
            <w:r>
              <w:rPr>
                <w:rFonts w:ascii="Times New Roman" w:hAnsi="Times New Roman"/>
                <w:sz w:val="21"/>
                <w:szCs w:val="21"/>
              </w:rPr>
              <w:t>39.12</w:t>
            </w:r>
          </w:p>
        </w:tc>
        <w:tc>
          <w:tcPr>
            <w:tcW w:w="1942" w:type="dxa"/>
            <w:shd w:val="clear" w:color="auto" w:fill="auto"/>
          </w:tcPr>
          <w:p w14:paraId="70B972F5" w14:textId="77777777" w:rsidR="009C353B" w:rsidRDefault="00000000">
            <w:pPr>
              <w:widowControl/>
              <w:jc w:val="center"/>
              <w:rPr>
                <w:rFonts w:ascii="Times New Roman" w:hAnsi="Times New Roman"/>
                <w:sz w:val="21"/>
                <w:szCs w:val="21"/>
              </w:rPr>
            </w:pPr>
            <w:r>
              <w:rPr>
                <w:rFonts w:ascii="Times New Roman" w:hAnsi="Times New Roman"/>
                <w:sz w:val="21"/>
                <w:szCs w:val="21"/>
              </w:rPr>
              <w:t>34.96</w:t>
            </w:r>
          </w:p>
        </w:tc>
        <w:tc>
          <w:tcPr>
            <w:tcW w:w="1307" w:type="dxa"/>
            <w:shd w:val="clear" w:color="auto" w:fill="auto"/>
          </w:tcPr>
          <w:p w14:paraId="157C215C" w14:textId="77777777" w:rsidR="009C353B" w:rsidRDefault="00000000">
            <w:pPr>
              <w:widowControl/>
              <w:jc w:val="center"/>
              <w:rPr>
                <w:rFonts w:ascii="Times New Roman" w:hAnsi="Times New Roman"/>
                <w:sz w:val="21"/>
                <w:szCs w:val="21"/>
              </w:rPr>
            </w:pPr>
            <w:r>
              <w:rPr>
                <w:rFonts w:ascii="Times New Roman" w:hAnsi="Times New Roman"/>
                <w:sz w:val="21"/>
                <w:szCs w:val="21"/>
              </w:rPr>
              <w:t>39.12</w:t>
            </w:r>
          </w:p>
        </w:tc>
        <w:tc>
          <w:tcPr>
            <w:tcW w:w="830" w:type="dxa"/>
            <w:vMerge/>
            <w:shd w:val="clear" w:color="auto" w:fill="auto"/>
            <w:noWrap/>
          </w:tcPr>
          <w:p w14:paraId="56187FBE" w14:textId="77777777" w:rsidR="009C353B" w:rsidRDefault="009C353B">
            <w:pPr>
              <w:widowControl/>
              <w:jc w:val="center"/>
              <w:rPr>
                <w:rFonts w:ascii="Times New Roman" w:hAnsi="Times New Roman"/>
                <w:sz w:val="21"/>
                <w:szCs w:val="21"/>
              </w:rPr>
            </w:pPr>
          </w:p>
        </w:tc>
      </w:tr>
      <w:tr w:rsidR="009C353B" w14:paraId="6BE06A56" w14:textId="77777777">
        <w:trPr>
          <w:trHeight w:val="340"/>
        </w:trPr>
        <w:tc>
          <w:tcPr>
            <w:tcW w:w="648" w:type="dxa"/>
            <w:vMerge/>
            <w:shd w:val="clear" w:color="auto" w:fill="auto"/>
          </w:tcPr>
          <w:p w14:paraId="0B1953EF"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5B5BCE8"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81CFC42"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5B0619A3" w14:textId="77777777" w:rsidR="009C353B" w:rsidRDefault="00000000">
            <w:pPr>
              <w:widowControl/>
              <w:jc w:val="center"/>
              <w:rPr>
                <w:rFonts w:ascii="Times New Roman" w:hAnsi="Times New Roman"/>
                <w:sz w:val="21"/>
                <w:szCs w:val="21"/>
              </w:rPr>
            </w:pPr>
            <w:r>
              <w:rPr>
                <w:rFonts w:ascii="Times New Roman" w:hAnsi="Times New Roman"/>
                <w:sz w:val="21"/>
                <w:szCs w:val="21"/>
              </w:rPr>
              <w:t>2.80</w:t>
            </w:r>
          </w:p>
        </w:tc>
        <w:tc>
          <w:tcPr>
            <w:tcW w:w="882" w:type="dxa"/>
            <w:shd w:val="clear" w:color="auto" w:fill="auto"/>
            <w:noWrap/>
          </w:tcPr>
          <w:p w14:paraId="14125BC2" w14:textId="77777777" w:rsidR="009C353B" w:rsidRDefault="00000000">
            <w:pPr>
              <w:widowControl/>
              <w:jc w:val="center"/>
              <w:rPr>
                <w:rFonts w:ascii="Times New Roman" w:hAnsi="Times New Roman"/>
                <w:sz w:val="21"/>
                <w:szCs w:val="21"/>
              </w:rPr>
            </w:pPr>
            <w:r>
              <w:rPr>
                <w:rFonts w:ascii="Times New Roman" w:hAnsi="Times New Roman"/>
                <w:sz w:val="21"/>
                <w:szCs w:val="21"/>
              </w:rPr>
              <w:t>40.25</w:t>
            </w:r>
          </w:p>
        </w:tc>
        <w:tc>
          <w:tcPr>
            <w:tcW w:w="883" w:type="dxa"/>
            <w:shd w:val="clear" w:color="auto" w:fill="auto"/>
            <w:noWrap/>
          </w:tcPr>
          <w:p w14:paraId="1F56D747" w14:textId="77777777" w:rsidR="009C353B" w:rsidRDefault="00000000">
            <w:pPr>
              <w:widowControl/>
              <w:jc w:val="center"/>
              <w:rPr>
                <w:rFonts w:ascii="Times New Roman" w:hAnsi="Times New Roman"/>
                <w:sz w:val="21"/>
                <w:szCs w:val="21"/>
              </w:rPr>
            </w:pPr>
            <w:r>
              <w:rPr>
                <w:rFonts w:ascii="Times New Roman" w:hAnsi="Times New Roman"/>
                <w:sz w:val="21"/>
                <w:szCs w:val="21"/>
              </w:rPr>
              <w:t>43.47</w:t>
            </w:r>
          </w:p>
        </w:tc>
        <w:tc>
          <w:tcPr>
            <w:tcW w:w="1942" w:type="dxa"/>
            <w:shd w:val="clear" w:color="auto" w:fill="auto"/>
          </w:tcPr>
          <w:p w14:paraId="618D824D" w14:textId="77777777" w:rsidR="009C353B" w:rsidRDefault="00000000">
            <w:pPr>
              <w:widowControl/>
              <w:jc w:val="center"/>
              <w:rPr>
                <w:rFonts w:ascii="Times New Roman" w:hAnsi="Times New Roman"/>
                <w:sz w:val="21"/>
                <w:szCs w:val="21"/>
              </w:rPr>
            </w:pPr>
            <w:r>
              <w:rPr>
                <w:rFonts w:ascii="Times New Roman" w:hAnsi="Times New Roman"/>
                <w:sz w:val="21"/>
                <w:szCs w:val="21"/>
              </w:rPr>
              <w:t>44.54</w:t>
            </w:r>
          </w:p>
        </w:tc>
        <w:tc>
          <w:tcPr>
            <w:tcW w:w="1307" w:type="dxa"/>
            <w:shd w:val="clear" w:color="auto" w:fill="auto"/>
          </w:tcPr>
          <w:p w14:paraId="0CCCB711" w14:textId="77777777" w:rsidR="009C353B" w:rsidRDefault="00000000">
            <w:pPr>
              <w:widowControl/>
              <w:jc w:val="center"/>
              <w:rPr>
                <w:rFonts w:ascii="Times New Roman" w:hAnsi="Times New Roman"/>
                <w:sz w:val="21"/>
                <w:szCs w:val="21"/>
              </w:rPr>
            </w:pPr>
            <w:r>
              <w:rPr>
                <w:rFonts w:ascii="Times New Roman" w:hAnsi="Times New Roman"/>
                <w:sz w:val="21"/>
                <w:szCs w:val="21"/>
              </w:rPr>
              <w:t>44.54</w:t>
            </w:r>
          </w:p>
        </w:tc>
        <w:tc>
          <w:tcPr>
            <w:tcW w:w="830" w:type="dxa"/>
            <w:vMerge/>
            <w:shd w:val="clear" w:color="auto" w:fill="auto"/>
            <w:noWrap/>
          </w:tcPr>
          <w:p w14:paraId="2497BAA7" w14:textId="77777777" w:rsidR="009C353B" w:rsidRDefault="009C353B">
            <w:pPr>
              <w:widowControl/>
              <w:jc w:val="center"/>
              <w:rPr>
                <w:rFonts w:ascii="Times New Roman" w:hAnsi="Times New Roman"/>
                <w:sz w:val="21"/>
                <w:szCs w:val="21"/>
              </w:rPr>
            </w:pPr>
          </w:p>
        </w:tc>
      </w:tr>
      <w:tr w:rsidR="009C353B" w14:paraId="7B13A848" w14:textId="77777777">
        <w:trPr>
          <w:trHeight w:val="340"/>
        </w:trPr>
        <w:tc>
          <w:tcPr>
            <w:tcW w:w="648" w:type="dxa"/>
            <w:vMerge/>
            <w:shd w:val="clear" w:color="auto" w:fill="auto"/>
          </w:tcPr>
          <w:p w14:paraId="1B5C64FF"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429B58F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2504</w:t>
            </w:r>
          </w:p>
        </w:tc>
        <w:tc>
          <w:tcPr>
            <w:tcW w:w="883" w:type="dxa"/>
            <w:shd w:val="clear" w:color="auto" w:fill="auto"/>
            <w:noWrap/>
          </w:tcPr>
          <w:p w14:paraId="5CAFC1E8"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5DAECF80" w14:textId="77777777" w:rsidR="009C353B" w:rsidRDefault="00000000">
            <w:pPr>
              <w:widowControl/>
              <w:jc w:val="center"/>
              <w:rPr>
                <w:rFonts w:ascii="Times New Roman" w:hAnsi="Times New Roman"/>
                <w:sz w:val="21"/>
                <w:szCs w:val="21"/>
              </w:rPr>
            </w:pPr>
            <w:r>
              <w:rPr>
                <w:rFonts w:ascii="Times New Roman" w:hAnsi="Times New Roman"/>
                <w:sz w:val="21"/>
                <w:szCs w:val="21"/>
              </w:rPr>
              <w:t>3.91</w:t>
            </w:r>
          </w:p>
        </w:tc>
        <w:tc>
          <w:tcPr>
            <w:tcW w:w="882" w:type="dxa"/>
            <w:shd w:val="clear" w:color="auto" w:fill="auto"/>
            <w:noWrap/>
          </w:tcPr>
          <w:p w14:paraId="165B42C3" w14:textId="77777777" w:rsidR="009C353B" w:rsidRDefault="00000000">
            <w:pPr>
              <w:widowControl/>
              <w:jc w:val="center"/>
              <w:rPr>
                <w:rFonts w:ascii="Times New Roman" w:hAnsi="Times New Roman"/>
                <w:sz w:val="21"/>
                <w:szCs w:val="21"/>
              </w:rPr>
            </w:pPr>
            <w:r>
              <w:rPr>
                <w:rFonts w:ascii="Times New Roman" w:hAnsi="Times New Roman"/>
                <w:sz w:val="21"/>
                <w:szCs w:val="21"/>
              </w:rPr>
              <w:t>45.27</w:t>
            </w:r>
          </w:p>
        </w:tc>
        <w:tc>
          <w:tcPr>
            <w:tcW w:w="883" w:type="dxa"/>
            <w:shd w:val="clear" w:color="auto" w:fill="auto"/>
            <w:noWrap/>
          </w:tcPr>
          <w:p w14:paraId="461CDD79" w14:textId="77777777" w:rsidR="009C353B" w:rsidRDefault="00000000">
            <w:pPr>
              <w:widowControl/>
              <w:jc w:val="center"/>
              <w:rPr>
                <w:rFonts w:ascii="Times New Roman" w:hAnsi="Times New Roman"/>
                <w:sz w:val="21"/>
                <w:szCs w:val="21"/>
              </w:rPr>
            </w:pPr>
            <w:r>
              <w:rPr>
                <w:rFonts w:ascii="Times New Roman" w:hAnsi="Times New Roman"/>
                <w:sz w:val="21"/>
                <w:szCs w:val="21"/>
              </w:rPr>
              <w:t>49.55</w:t>
            </w:r>
          </w:p>
        </w:tc>
        <w:tc>
          <w:tcPr>
            <w:tcW w:w="1942" w:type="dxa"/>
            <w:shd w:val="clear" w:color="auto" w:fill="auto"/>
          </w:tcPr>
          <w:p w14:paraId="5C69525B" w14:textId="77777777" w:rsidR="009C353B" w:rsidRDefault="00000000">
            <w:pPr>
              <w:widowControl/>
              <w:jc w:val="center"/>
              <w:rPr>
                <w:rFonts w:ascii="Times New Roman" w:hAnsi="Times New Roman"/>
                <w:sz w:val="21"/>
                <w:szCs w:val="21"/>
              </w:rPr>
            </w:pPr>
            <w:r>
              <w:rPr>
                <w:rFonts w:ascii="Times New Roman" w:hAnsi="Times New Roman"/>
                <w:sz w:val="21"/>
                <w:szCs w:val="21"/>
              </w:rPr>
              <w:t>60.17</w:t>
            </w:r>
          </w:p>
        </w:tc>
        <w:tc>
          <w:tcPr>
            <w:tcW w:w="1307" w:type="dxa"/>
            <w:shd w:val="clear" w:color="auto" w:fill="auto"/>
          </w:tcPr>
          <w:p w14:paraId="4F89605F" w14:textId="77777777" w:rsidR="009C353B" w:rsidRDefault="00000000">
            <w:pPr>
              <w:widowControl/>
              <w:jc w:val="center"/>
              <w:rPr>
                <w:rFonts w:ascii="Times New Roman" w:hAnsi="Times New Roman"/>
                <w:sz w:val="21"/>
                <w:szCs w:val="21"/>
              </w:rPr>
            </w:pPr>
            <w:r>
              <w:rPr>
                <w:rFonts w:ascii="Times New Roman" w:hAnsi="Times New Roman"/>
                <w:sz w:val="21"/>
                <w:szCs w:val="21"/>
              </w:rPr>
              <w:t>60.17</w:t>
            </w:r>
          </w:p>
        </w:tc>
        <w:tc>
          <w:tcPr>
            <w:tcW w:w="830" w:type="dxa"/>
            <w:vMerge w:val="restart"/>
            <w:shd w:val="clear" w:color="auto" w:fill="auto"/>
            <w:noWrap/>
          </w:tcPr>
          <w:p w14:paraId="64430B41"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18425C30" w14:textId="77777777">
        <w:trPr>
          <w:trHeight w:val="340"/>
        </w:trPr>
        <w:tc>
          <w:tcPr>
            <w:tcW w:w="648" w:type="dxa"/>
            <w:vMerge/>
            <w:shd w:val="clear" w:color="auto" w:fill="auto"/>
          </w:tcPr>
          <w:p w14:paraId="3C2BD309"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784BC3E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DA85C21"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上煤</w:t>
            </w:r>
          </w:p>
        </w:tc>
        <w:tc>
          <w:tcPr>
            <w:tcW w:w="800" w:type="dxa"/>
            <w:shd w:val="clear" w:color="auto" w:fill="auto"/>
            <w:noWrap/>
          </w:tcPr>
          <w:p w14:paraId="0EE30960" w14:textId="77777777" w:rsidR="009C353B" w:rsidRDefault="00000000">
            <w:pPr>
              <w:widowControl/>
              <w:jc w:val="center"/>
              <w:rPr>
                <w:rFonts w:ascii="Times New Roman" w:hAnsi="Times New Roman"/>
                <w:sz w:val="21"/>
                <w:szCs w:val="21"/>
              </w:rPr>
            </w:pPr>
            <w:r>
              <w:rPr>
                <w:rFonts w:ascii="Times New Roman" w:hAnsi="Times New Roman"/>
                <w:sz w:val="21"/>
                <w:szCs w:val="21"/>
              </w:rPr>
              <w:t>1.37</w:t>
            </w:r>
          </w:p>
        </w:tc>
        <w:tc>
          <w:tcPr>
            <w:tcW w:w="882" w:type="dxa"/>
            <w:shd w:val="clear" w:color="auto" w:fill="auto"/>
            <w:noWrap/>
          </w:tcPr>
          <w:p w14:paraId="36EB61DF" w14:textId="77777777" w:rsidR="009C353B" w:rsidRDefault="00000000">
            <w:pPr>
              <w:widowControl/>
              <w:jc w:val="center"/>
              <w:rPr>
                <w:rFonts w:ascii="Times New Roman" w:hAnsi="Times New Roman"/>
                <w:sz w:val="21"/>
                <w:szCs w:val="21"/>
              </w:rPr>
            </w:pPr>
            <w:r>
              <w:rPr>
                <w:rFonts w:ascii="Times New Roman" w:hAnsi="Times New Roman"/>
                <w:sz w:val="21"/>
                <w:szCs w:val="21"/>
              </w:rPr>
              <w:t>29.25</w:t>
            </w:r>
          </w:p>
        </w:tc>
        <w:tc>
          <w:tcPr>
            <w:tcW w:w="883" w:type="dxa"/>
            <w:shd w:val="clear" w:color="auto" w:fill="auto"/>
            <w:noWrap/>
          </w:tcPr>
          <w:p w14:paraId="7F16721D" w14:textId="77777777" w:rsidR="009C353B" w:rsidRDefault="00000000">
            <w:pPr>
              <w:widowControl/>
              <w:jc w:val="center"/>
              <w:rPr>
                <w:rFonts w:ascii="Times New Roman" w:hAnsi="Times New Roman"/>
                <w:sz w:val="21"/>
                <w:szCs w:val="21"/>
              </w:rPr>
            </w:pPr>
            <w:r>
              <w:rPr>
                <w:rFonts w:ascii="Times New Roman" w:hAnsi="Times New Roman"/>
                <w:sz w:val="21"/>
                <w:szCs w:val="21"/>
              </w:rPr>
              <w:t>33.41</w:t>
            </w:r>
          </w:p>
        </w:tc>
        <w:tc>
          <w:tcPr>
            <w:tcW w:w="1942" w:type="dxa"/>
            <w:shd w:val="clear" w:color="auto" w:fill="auto"/>
          </w:tcPr>
          <w:p w14:paraId="1B24B507" w14:textId="77777777" w:rsidR="009C353B" w:rsidRDefault="00000000">
            <w:pPr>
              <w:widowControl/>
              <w:jc w:val="center"/>
              <w:rPr>
                <w:rFonts w:ascii="Times New Roman" w:hAnsi="Times New Roman"/>
                <w:sz w:val="21"/>
                <w:szCs w:val="21"/>
              </w:rPr>
            </w:pPr>
            <w:r>
              <w:rPr>
                <w:rFonts w:ascii="Times New Roman" w:hAnsi="Times New Roman"/>
                <w:sz w:val="21"/>
                <w:szCs w:val="21"/>
              </w:rPr>
              <w:t>24.40</w:t>
            </w:r>
          </w:p>
        </w:tc>
        <w:tc>
          <w:tcPr>
            <w:tcW w:w="1307" w:type="dxa"/>
            <w:shd w:val="clear" w:color="auto" w:fill="auto"/>
          </w:tcPr>
          <w:p w14:paraId="6A4195FF" w14:textId="77777777" w:rsidR="009C353B" w:rsidRDefault="00000000">
            <w:pPr>
              <w:widowControl/>
              <w:jc w:val="center"/>
              <w:rPr>
                <w:rFonts w:ascii="Times New Roman" w:hAnsi="Times New Roman"/>
                <w:sz w:val="21"/>
                <w:szCs w:val="21"/>
              </w:rPr>
            </w:pPr>
            <w:r>
              <w:rPr>
                <w:rFonts w:ascii="Times New Roman" w:hAnsi="Times New Roman"/>
                <w:sz w:val="21"/>
                <w:szCs w:val="21"/>
              </w:rPr>
              <w:t>33.41</w:t>
            </w:r>
          </w:p>
        </w:tc>
        <w:tc>
          <w:tcPr>
            <w:tcW w:w="830" w:type="dxa"/>
            <w:vMerge/>
            <w:shd w:val="clear" w:color="auto" w:fill="auto"/>
            <w:noWrap/>
          </w:tcPr>
          <w:p w14:paraId="71244A46" w14:textId="77777777" w:rsidR="009C353B" w:rsidRDefault="009C353B">
            <w:pPr>
              <w:widowControl/>
              <w:jc w:val="center"/>
              <w:rPr>
                <w:rFonts w:ascii="Times New Roman" w:hAnsi="Times New Roman"/>
                <w:sz w:val="21"/>
                <w:szCs w:val="21"/>
              </w:rPr>
            </w:pPr>
          </w:p>
        </w:tc>
      </w:tr>
      <w:tr w:rsidR="009C353B" w14:paraId="10419E5E" w14:textId="77777777">
        <w:trPr>
          <w:trHeight w:val="340"/>
        </w:trPr>
        <w:tc>
          <w:tcPr>
            <w:tcW w:w="648" w:type="dxa"/>
            <w:vMerge/>
            <w:shd w:val="clear" w:color="auto" w:fill="auto"/>
          </w:tcPr>
          <w:p w14:paraId="44D7618C"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15C615F9"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6B45AA53"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6AA42D2F" w14:textId="77777777" w:rsidR="009C353B" w:rsidRDefault="00000000">
            <w:pPr>
              <w:widowControl/>
              <w:jc w:val="center"/>
              <w:rPr>
                <w:rFonts w:ascii="Times New Roman" w:hAnsi="Times New Roman"/>
                <w:sz w:val="21"/>
                <w:szCs w:val="21"/>
              </w:rPr>
            </w:pPr>
            <w:r>
              <w:rPr>
                <w:rFonts w:ascii="Times New Roman" w:hAnsi="Times New Roman"/>
                <w:sz w:val="21"/>
                <w:szCs w:val="21"/>
              </w:rPr>
              <w:t>2.91</w:t>
            </w:r>
          </w:p>
        </w:tc>
        <w:tc>
          <w:tcPr>
            <w:tcW w:w="882" w:type="dxa"/>
            <w:shd w:val="clear" w:color="auto" w:fill="auto"/>
            <w:noWrap/>
          </w:tcPr>
          <w:p w14:paraId="376647CE" w14:textId="77777777" w:rsidR="009C353B" w:rsidRDefault="00000000">
            <w:pPr>
              <w:widowControl/>
              <w:jc w:val="center"/>
              <w:rPr>
                <w:rFonts w:ascii="Times New Roman" w:hAnsi="Times New Roman"/>
                <w:sz w:val="21"/>
                <w:szCs w:val="21"/>
              </w:rPr>
            </w:pPr>
            <w:r>
              <w:rPr>
                <w:rFonts w:ascii="Times New Roman" w:hAnsi="Times New Roman"/>
                <w:sz w:val="21"/>
                <w:szCs w:val="21"/>
              </w:rPr>
              <w:t>40.85</w:t>
            </w:r>
          </w:p>
        </w:tc>
        <w:tc>
          <w:tcPr>
            <w:tcW w:w="883" w:type="dxa"/>
            <w:shd w:val="clear" w:color="auto" w:fill="auto"/>
            <w:noWrap/>
          </w:tcPr>
          <w:p w14:paraId="69DD7A9B" w14:textId="77777777" w:rsidR="009C353B" w:rsidRDefault="00000000">
            <w:pPr>
              <w:widowControl/>
              <w:jc w:val="center"/>
              <w:rPr>
                <w:rFonts w:ascii="Times New Roman" w:hAnsi="Times New Roman"/>
                <w:sz w:val="21"/>
                <w:szCs w:val="21"/>
              </w:rPr>
            </w:pPr>
            <w:r>
              <w:rPr>
                <w:rFonts w:ascii="Times New Roman" w:hAnsi="Times New Roman"/>
                <w:sz w:val="21"/>
                <w:szCs w:val="21"/>
              </w:rPr>
              <w:t>44.12</w:t>
            </w:r>
          </w:p>
        </w:tc>
        <w:tc>
          <w:tcPr>
            <w:tcW w:w="1942" w:type="dxa"/>
            <w:shd w:val="clear" w:color="auto" w:fill="auto"/>
          </w:tcPr>
          <w:p w14:paraId="70B5852A" w14:textId="77777777" w:rsidR="009C353B" w:rsidRDefault="00000000">
            <w:pPr>
              <w:widowControl/>
              <w:jc w:val="center"/>
              <w:rPr>
                <w:rFonts w:ascii="Times New Roman" w:hAnsi="Times New Roman"/>
                <w:sz w:val="21"/>
                <w:szCs w:val="21"/>
              </w:rPr>
            </w:pPr>
            <w:r>
              <w:rPr>
                <w:rFonts w:ascii="Times New Roman" w:hAnsi="Times New Roman"/>
                <w:sz w:val="21"/>
                <w:szCs w:val="21"/>
              </w:rPr>
              <w:t>46.09</w:t>
            </w:r>
          </w:p>
        </w:tc>
        <w:tc>
          <w:tcPr>
            <w:tcW w:w="1307" w:type="dxa"/>
            <w:shd w:val="clear" w:color="auto" w:fill="auto"/>
          </w:tcPr>
          <w:p w14:paraId="7EC29BEF" w14:textId="77777777" w:rsidR="009C353B" w:rsidRDefault="00000000">
            <w:pPr>
              <w:widowControl/>
              <w:jc w:val="center"/>
              <w:rPr>
                <w:rFonts w:ascii="Times New Roman" w:hAnsi="Times New Roman"/>
                <w:sz w:val="21"/>
                <w:szCs w:val="21"/>
              </w:rPr>
            </w:pPr>
            <w:r>
              <w:rPr>
                <w:rFonts w:ascii="Times New Roman" w:hAnsi="Times New Roman"/>
                <w:sz w:val="21"/>
                <w:szCs w:val="21"/>
              </w:rPr>
              <w:t>46.09</w:t>
            </w:r>
          </w:p>
        </w:tc>
        <w:tc>
          <w:tcPr>
            <w:tcW w:w="830" w:type="dxa"/>
            <w:vMerge/>
            <w:shd w:val="clear" w:color="auto" w:fill="auto"/>
            <w:noWrap/>
          </w:tcPr>
          <w:p w14:paraId="0AE50D73" w14:textId="77777777" w:rsidR="009C353B" w:rsidRDefault="009C353B">
            <w:pPr>
              <w:widowControl/>
              <w:jc w:val="center"/>
              <w:rPr>
                <w:rFonts w:ascii="Times New Roman" w:hAnsi="Times New Roman"/>
                <w:sz w:val="21"/>
                <w:szCs w:val="21"/>
              </w:rPr>
            </w:pPr>
          </w:p>
        </w:tc>
      </w:tr>
      <w:tr w:rsidR="009C353B" w14:paraId="49CB5E98" w14:textId="77777777">
        <w:trPr>
          <w:trHeight w:val="340"/>
        </w:trPr>
        <w:tc>
          <w:tcPr>
            <w:tcW w:w="648" w:type="dxa"/>
            <w:vMerge/>
            <w:shd w:val="clear" w:color="auto" w:fill="auto"/>
          </w:tcPr>
          <w:p w14:paraId="4065285B"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03CA0B58"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921F21A"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2651C60F" w14:textId="77777777" w:rsidR="009C353B" w:rsidRDefault="00000000">
            <w:pPr>
              <w:widowControl/>
              <w:jc w:val="center"/>
              <w:rPr>
                <w:rFonts w:ascii="Times New Roman" w:hAnsi="Times New Roman"/>
                <w:sz w:val="21"/>
                <w:szCs w:val="21"/>
              </w:rPr>
            </w:pPr>
            <w:r>
              <w:rPr>
                <w:rFonts w:ascii="Times New Roman" w:hAnsi="Times New Roman"/>
                <w:sz w:val="21"/>
                <w:szCs w:val="21"/>
              </w:rPr>
              <w:t>3.10</w:t>
            </w:r>
          </w:p>
        </w:tc>
        <w:tc>
          <w:tcPr>
            <w:tcW w:w="882" w:type="dxa"/>
            <w:shd w:val="clear" w:color="auto" w:fill="auto"/>
            <w:noWrap/>
          </w:tcPr>
          <w:p w14:paraId="2A27F59B" w14:textId="77777777" w:rsidR="009C353B" w:rsidRDefault="00000000">
            <w:pPr>
              <w:widowControl/>
              <w:jc w:val="center"/>
              <w:rPr>
                <w:rFonts w:ascii="Times New Roman" w:hAnsi="Times New Roman"/>
                <w:sz w:val="21"/>
                <w:szCs w:val="21"/>
              </w:rPr>
            </w:pPr>
            <w:r>
              <w:rPr>
                <w:rFonts w:ascii="Times New Roman" w:hAnsi="Times New Roman"/>
                <w:sz w:val="21"/>
                <w:szCs w:val="21"/>
              </w:rPr>
              <w:t>41.81</w:t>
            </w:r>
          </w:p>
        </w:tc>
        <w:tc>
          <w:tcPr>
            <w:tcW w:w="883" w:type="dxa"/>
            <w:shd w:val="clear" w:color="auto" w:fill="auto"/>
            <w:noWrap/>
          </w:tcPr>
          <w:p w14:paraId="5A061213" w14:textId="77777777" w:rsidR="009C353B" w:rsidRDefault="00000000">
            <w:pPr>
              <w:widowControl/>
              <w:jc w:val="center"/>
              <w:rPr>
                <w:rFonts w:ascii="Times New Roman" w:hAnsi="Times New Roman"/>
                <w:sz w:val="21"/>
                <w:szCs w:val="21"/>
              </w:rPr>
            </w:pPr>
            <w:r>
              <w:rPr>
                <w:rFonts w:ascii="Times New Roman" w:hAnsi="Times New Roman"/>
                <w:sz w:val="21"/>
                <w:szCs w:val="21"/>
              </w:rPr>
              <w:t>45.21</w:t>
            </w:r>
          </w:p>
        </w:tc>
        <w:tc>
          <w:tcPr>
            <w:tcW w:w="1942" w:type="dxa"/>
            <w:shd w:val="clear" w:color="auto" w:fill="auto"/>
          </w:tcPr>
          <w:p w14:paraId="35F049C8" w14:textId="77777777" w:rsidR="009C353B" w:rsidRDefault="00000000">
            <w:pPr>
              <w:widowControl/>
              <w:jc w:val="center"/>
              <w:rPr>
                <w:rFonts w:ascii="Times New Roman" w:hAnsi="Times New Roman"/>
                <w:sz w:val="21"/>
                <w:szCs w:val="21"/>
              </w:rPr>
            </w:pPr>
            <w:r>
              <w:rPr>
                <w:rFonts w:ascii="Times New Roman" w:hAnsi="Times New Roman"/>
                <w:sz w:val="21"/>
                <w:szCs w:val="21"/>
              </w:rPr>
              <w:t>48.76</w:t>
            </w:r>
          </w:p>
        </w:tc>
        <w:tc>
          <w:tcPr>
            <w:tcW w:w="1307" w:type="dxa"/>
            <w:shd w:val="clear" w:color="auto" w:fill="auto"/>
          </w:tcPr>
          <w:p w14:paraId="5E4B4031" w14:textId="77777777" w:rsidR="009C353B" w:rsidRDefault="00000000">
            <w:pPr>
              <w:widowControl/>
              <w:jc w:val="center"/>
              <w:rPr>
                <w:rFonts w:ascii="Times New Roman" w:hAnsi="Times New Roman"/>
                <w:sz w:val="21"/>
                <w:szCs w:val="21"/>
              </w:rPr>
            </w:pPr>
            <w:r>
              <w:rPr>
                <w:rFonts w:ascii="Times New Roman" w:hAnsi="Times New Roman"/>
                <w:sz w:val="21"/>
                <w:szCs w:val="21"/>
              </w:rPr>
              <w:t>48.76</w:t>
            </w:r>
          </w:p>
        </w:tc>
        <w:tc>
          <w:tcPr>
            <w:tcW w:w="830" w:type="dxa"/>
            <w:vMerge/>
            <w:shd w:val="clear" w:color="auto" w:fill="auto"/>
            <w:noWrap/>
          </w:tcPr>
          <w:p w14:paraId="07EA7D08" w14:textId="77777777" w:rsidR="009C353B" w:rsidRDefault="009C353B">
            <w:pPr>
              <w:widowControl/>
              <w:jc w:val="center"/>
              <w:rPr>
                <w:rFonts w:ascii="Times New Roman" w:hAnsi="Times New Roman"/>
                <w:sz w:val="21"/>
                <w:szCs w:val="21"/>
              </w:rPr>
            </w:pPr>
          </w:p>
        </w:tc>
      </w:tr>
      <w:tr w:rsidR="009C353B" w14:paraId="48E6B19D" w14:textId="77777777">
        <w:trPr>
          <w:trHeight w:val="340"/>
        </w:trPr>
        <w:tc>
          <w:tcPr>
            <w:tcW w:w="648" w:type="dxa"/>
            <w:vMerge w:val="restart"/>
            <w:shd w:val="clear" w:color="auto" w:fill="auto"/>
          </w:tcPr>
          <w:p w14:paraId="19F8BA06" w14:textId="77777777" w:rsidR="009C353B" w:rsidRDefault="00000000">
            <w:pPr>
              <w:widowControl/>
              <w:jc w:val="center"/>
              <w:rPr>
                <w:rFonts w:ascii="Times New Roman" w:hAnsi="Times New Roman"/>
                <w:sz w:val="21"/>
                <w:szCs w:val="21"/>
              </w:rPr>
            </w:pPr>
            <w:r>
              <w:rPr>
                <w:rFonts w:ascii="Times New Roman" w:hAnsi="Times New Roman"/>
                <w:sz w:val="21"/>
                <w:szCs w:val="21"/>
              </w:rPr>
              <w:t>红</w:t>
            </w:r>
          </w:p>
          <w:p w14:paraId="7605329F" w14:textId="77777777" w:rsidR="009C353B" w:rsidRDefault="00000000">
            <w:pPr>
              <w:widowControl/>
              <w:jc w:val="center"/>
              <w:rPr>
                <w:rFonts w:ascii="Times New Roman" w:hAnsi="Times New Roman"/>
                <w:sz w:val="21"/>
                <w:szCs w:val="21"/>
              </w:rPr>
            </w:pPr>
            <w:r>
              <w:rPr>
                <w:rFonts w:ascii="Times New Roman" w:hAnsi="Times New Roman"/>
                <w:sz w:val="21"/>
                <w:szCs w:val="21"/>
              </w:rPr>
              <w:t>石</w:t>
            </w:r>
          </w:p>
          <w:p w14:paraId="4073F1AD" w14:textId="77777777" w:rsidR="009C353B" w:rsidRDefault="00000000">
            <w:pPr>
              <w:widowControl/>
              <w:jc w:val="center"/>
              <w:rPr>
                <w:rFonts w:ascii="Times New Roman" w:hAnsi="Times New Roman"/>
                <w:sz w:val="21"/>
                <w:szCs w:val="21"/>
              </w:rPr>
            </w:pPr>
            <w:r>
              <w:rPr>
                <w:rFonts w:ascii="Times New Roman" w:hAnsi="Times New Roman"/>
                <w:sz w:val="21"/>
                <w:szCs w:val="21"/>
              </w:rPr>
              <w:t>湾</w:t>
            </w:r>
            <w:r>
              <w:rPr>
                <w:rFonts w:ascii="Times New Roman" w:hAnsi="Times New Roman"/>
                <w:sz w:val="21"/>
                <w:szCs w:val="21"/>
              </w:rPr>
              <w:t>17</w:t>
            </w:r>
          </w:p>
          <w:p w14:paraId="3B0B53B0"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线</w:t>
            </w:r>
          </w:p>
        </w:tc>
        <w:tc>
          <w:tcPr>
            <w:tcW w:w="1111" w:type="dxa"/>
            <w:vMerge w:val="restart"/>
            <w:shd w:val="clear" w:color="auto" w:fill="auto"/>
          </w:tcPr>
          <w:p w14:paraId="3C96589C"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408</w:t>
            </w:r>
          </w:p>
        </w:tc>
        <w:tc>
          <w:tcPr>
            <w:tcW w:w="883" w:type="dxa"/>
            <w:shd w:val="clear" w:color="auto" w:fill="auto"/>
            <w:noWrap/>
          </w:tcPr>
          <w:p w14:paraId="6ED2320F"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10D75E0A" w14:textId="77777777" w:rsidR="009C353B" w:rsidRDefault="00000000">
            <w:pPr>
              <w:widowControl/>
              <w:jc w:val="center"/>
              <w:rPr>
                <w:rFonts w:ascii="Times New Roman" w:hAnsi="Times New Roman"/>
                <w:sz w:val="21"/>
                <w:szCs w:val="21"/>
              </w:rPr>
            </w:pPr>
            <w:r>
              <w:rPr>
                <w:rFonts w:ascii="Times New Roman" w:hAnsi="Times New Roman"/>
                <w:sz w:val="21"/>
                <w:szCs w:val="21"/>
              </w:rPr>
              <w:t>0.41</w:t>
            </w:r>
          </w:p>
        </w:tc>
        <w:tc>
          <w:tcPr>
            <w:tcW w:w="882" w:type="dxa"/>
            <w:shd w:val="clear" w:color="auto" w:fill="auto"/>
            <w:noWrap/>
          </w:tcPr>
          <w:p w14:paraId="313F7163" w14:textId="77777777" w:rsidR="009C353B" w:rsidRDefault="00000000">
            <w:pPr>
              <w:widowControl/>
              <w:jc w:val="center"/>
              <w:rPr>
                <w:rFonts w:ascii="Times New Roman" w:hAnsi="Times New Roman"/>
                <w:sz w:val="21"/>
                <w:szCs w:val="21"/>
              </w:rPr>
            </w:pPr>
            <w:r>
              <w:rPr>
                <w:rFonts w:ascii="Times New Roman" w:hAnsi="Times New Roman"/>
                <w:sz w:val="21"/>
                <w:szCs w:val="21"/>
              </w:rPr>
              <w:t>15.23</w:t>
            </w:r>
          </w:p>
        </w:tc>
        <w:tc>
          <w:tcPr>
            <w:tcW w:w="883" w:type="dxa"/>
            <w:shd w:val="clear" w:color="auto" w:fill="auto"/>
            <w:noWrap/>
          </w:tcPr>
          <w:p w14:paraId="69EDAEF1" w14:textId="77777777" w:rsidR="009C353B" w:rsidRDefault="00000000">
            <w:pPr>
              <w:widowControl/>
              <w:jc w:val="center"/>
              <w:rPr>
                <w:rFonts w:ascii="Times New Roman" w:hAnsi="Times New Roman"/>
                <w:sz w:val="21"/>
                <w:szCs w:val="21"/>
              </w:rPr>
            </w:pPr>
            <w:r>
              <w:rPr>
                <w:rFonts w:ascii="Times New Roman" w:hAnsi="Times New Roman"/>
                <w:sz w:val="21"/>
                <w:szCs w:val="21"/>
              </w:rPr>
              <w:t>22.81</w:t>
            </w:r>
          </w:p>
        </w:tc>
        <w:tc>
          <w:tcPr>
            <w:tcW w:w="1942" w:type="dxa"/>
            <w:shd w:val="clear" w:color="auto" w:fill="auto"/>
          </w:tcPr>
          <w:p w14:paraId="5E5D346E" w14:textId="77777777" w:rsidR="009C353B" w:rsidRDefault="00000000">
            <w:pPr>
              <w:widowControl/>
              <w:jc w:val="center"/>
              <w:rPr>
                <w:rFonts w:ascii="Times New Roman" w:hAnsi="Times New Roman"/>
                <w:sz w:val="21"/>
                <w:szCs w:val="21"/>
              </w:rPr>
            </w:pPr>
            <w:r>
              <w:rPr>
                <w:rFonts w:ascii="Times New Roman" w:hAnsi="Times New Roman"/>
                <w:sz w:val="21"/>
                <w:szCs w:val="21"/>
              </w:rPr>
              <w:t>10.87</w:t>
            </w:r>
          </w:p>
        </w:tc>
        <w:tc>
          <w:tcPr>
            <w:tcW w:w="1307" w:type="dxa"/>
            <w:shd w:val="clear" w:color="auto" w:fill="auto"/>
          </w:tcPr>
          <w:p w14:paraId="38B15AD8" w14:textId="77777777" w:rsidR="009C353B" w:rsidRDefault="00000000">
            <w:pPr>
              <w:widowControl/>
              <w:jc w:val="center"/>
              <w:rPr>
                <w:rFonts w:ascii="Times New Roman" w:hAnsi="Times New Roman"/>
                <w:sz w:val="21"/>
                <w:szCs w:val="21"/>
              </w:rPr>
            </w:pPr>
            <w:r>
              <w:rPr>
                <w:rFonts w:ascii="Times New Roman" w:hAnsi="Times New Roman"/>
                <w:sz w:val="21"/>
                <w:szCs w:val="21"/>
              </w:rPr>
              <w:t>22.81</w:t>
            </w:r>
          </w:p>
        </w:tc>
        <w:tc>
          <w:tcPr>
            <w:tcW w:w="830" w:type="dxa"/>
            <w:vMerge w:val="restart"/>
            <w:shd w:val="clear" w:color="auto" w:fill="auto"/>
            <w:noWrap/>
          </w:tcPr>
          <w:p w14:paraId="06F6E61E"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Eq</w:t>
            </w:r>
          </w:p>
        </w:tc>
      </w:tr>
      <w:tr w:rsidR="009C353B" w14:paraId="75749427" w14:textId="77777777">
        <w:trPr>
          <w:trHeight w:val="340"/>
        </w:trPr>
        <w:tc>
          <w:tcPr>
            <w:tcW w:w="648" w:type="dxa"/>
            <w:vMerge/>
            <w:shd w:val="clear" w:color="auto" w:fill="auto"/>
          </w:tcPr>
          <w:p w14:paraId="5538AE06"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7A78FBC9"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E604589"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1E584175" w14:textId="77777777" w:rsidR="009C353B" w:rsidRDefault="00000000">
            <w:pPr>
              <w:widowControl/>
              <w:jc w:val="center"/>
              <w:rPr>
                <w:rFonts w:ascii="Times New Roman" w:hAnsi="Times New Roman"/>
                <w:sz w:val="21"/>
                <w:szCs w:val="21"/>
              </w:rPr>
            </w:pPr>
            <w:r>
              <w:rPr>
                <w:rFonts w:ascii="Times New Roman" w:hAnsi="Times New Roman"/>
                <w:sz w:val="21"/>
                <w:szCs w:val="21"/>
              </w:rPr>
              <w:t>3.38</w:t>
            </w:r>
          </w:p>
        </w:tc>
        <w:tc>
          <w:tcPr>
            <w:tcW w:w="882" w:type="dxa"/>
            <w:shd w:val="clear" w:color="auto" w:fill="auto"/>
            <w:noWrap/>
          </w:tcPr>
          <w:p w14:paraId="3AD3F12F" w14:textId="77777777" w:rsidR="009C353B" w:rsidRDefault="00000000">
            <w:pPr>
              <w:widowControl/>
              <w:jc w:val="center"/>
              <w:rPr>
                <w:rFonts w:ascii="Times New Roman" w:hAnsi="Times New Roman"/>
                <w:sz w:val="21"/>
                <w:szCs w:val="21"/>
              </w:rPr>
            </w:pPr>
            <w:r>
              <w:rPr>
                <w:rFonts w:ascii="Times New Roman" w:hAnsi="Times New Roman"/>
                <w:sz w:val="21"/>
                <w:szCs w:val="21"/>
              </w:rPr>
              <w:t>43.12</w:t>
            </w:r>
          </w:p>
        </w:tc>
        <w:tc>
          <w:tcPr>
            <w:tcW w:w="883" w:type="dxa"/>
            <w:shd w:val="clear" w:color="auto" w:fill="auto"/>
            <w:noWrap/>
          </w:tcPr>
          <w:p w14:paraId="6FD85D15" w14:textId="77777777" w:rsidR="009C353B" w:rsidRDefault="00000000">
            <w:pPr>
              <w:widowControl/>
              <w:jc w:val="center"/>
              <w:rPr>
                <w:rFonts w:ascii="Times New Roman" w:hAnsi="Times New Roman"/>
                <w:sz w:val="21"/>
                <w:szCs w:val="21"/>
              </w:rPr>
            </w:pPr>
            <w:r>
              <w:rPr>
                <w:rFonts w:ascii="Times New Roman" w:hAnsi="Times New Roman"/>
                <w:sz w:val="21"/>
                <w:szCs w:val="21"/>
              </w:rPr>
              <w:t>46.77</w:t>
            </w:r>
          </w:p>
        </w:tc>
        <w:tc>
          <w:tcPr>
            <w:tcW w:w="1942" w:type="dxa"/>
            <w:shd w:val="clear" w:color="auto" w:fill="auto"/>
          </w:tcPr>
          <w:p w14:paraId="5A77D3A2" w14:textId="77777777" w:rsidR="009C353B" w:rsidRDefault="00000000">
            <w:pPr>
              <w:widowControl/>
              <w:jc w:val="center"/>
              <w:rPr>
                <w:rFonts w:ascii="Times New Roman" w:hAnsi="Times New Roman"/>
                <w:sz w:val="21"/>
                <w:szCs w:val="21"/>
              </w:rPr>
            </w:pPr>
            <w:r>
              <w:rPr>
                <w:rFonts w:ascii="Times New Roman" w:hAnsi="Times New Roman"/>
                <w:sz w:val="21"/>
                <w:szCs w:val="21"/>
              </w:rPr>
              <w:t>52.71</w:t>
            </w:r>
          </w:p>
        </w:tc>
        <w:tc>
          <w:tcPr>
            <w:tcW w:w="1307" w:type="dxa"/>
            <w:shd w:val="clear" w:color="auto" w:fill="auto"/>
          </w:tcPr>
          <w:p w14:paraId="41FEC1FF" w14:textId="77777777" w:rsidR="009C353B" w:rsidRDefault="00000000">
            <w:pPr>
              <w:widowControl/>
              <w:jc w:val="center"/>
              <w:rPr>
                <w:rFonts w:ascii="Times New Roman" w:hAnsi="Times New Roman"/>
                <w:sz w:val="21"/>
                <w:szCs w:val="21"/>
              </w:rPr>
            </w:pPr>
            <w:r>
              <w:rPr>
                <w:rFonts w:ascii="Times New Roman" w:hAnsi="Times New Roman"/>
                <w:sz w:val="21"/>
                <w:szCs w:val="21"/>
              </w:rPr>
              <w:t>52.71</w:t>
            </w:r>
          </w:p>
        </w:tc>
        <w:tc>
          <w:tcPr>
            <w:tcW w:w="830" w:type="dxa"/>
            <w:vMerge/>
            <w:shd w:val="clear" w:color="auto" w:fill="auto"/>
            <w:noWrap/>
          </w:tcPr>
          <w:p w14:paraId="65652CCD" w14:textId="77777777" w:rsidR="009C353B" w:rsidRDefault="009C353B">
            <w:pPr>
              <w:widowControl/>
              <w:jc w:val="center"/>
              <w:rPr>
                <w:rFonts w:ascii="Times New Roman" w:hAnsi="Times New Roman"/>
                <w:sz w:val="21"/>
                <w:szCs w:val="21"/>
              </w:rPr>
            </w:pPr>
          </w:p>
        </w:tc>
      </w:tr>
      <w:tr w:rsidR="009C353B" w14:paraId="43D63870" w14:textId="77777777">
        <w:trPr>
          <w:trHeight w:val="340"/>
        </w:trPr>
        <w:tc>
          <w:tcPr>
            <w:tcW w:w="648" w:type="dxa"/>
            <w:vMerge/>
            <w:shd w:val="clear" w:color="auto" w:fill="auto"/>
          </w:tcPr>
          <w:p w14:paraId="14649AA6"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728D9D28"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407</w:t>
            </w:r>
          </w:p>
        </w:tc>
        <w:tc>
          <w:tcPr>
            <w:tcW w:w="883" w:type="dxa"/>
            <w:shd w:val="clear" w:color="auto" w:fill="auto"/>
            <w:noWrap/>
          </w:tcPr>
          <w:p w14:paraId="3DD2F2FB"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60C04CF1" w14:textId="77777777" w:rsidR="009C353B" w:rsidRDefault="00000000">
            <w:pPr>
              <w:widowControl/>
              <w:jc w:val="center"/>
              <w:rPr>
                <w:rFonts w:ascii="Times New Roman" w:hAnsi="Times New Roman"/>
                <w:sz w:val="21"/>
                <w:szCs w:val="21"/>
              </w:rPr>
            </w:pPr>
            <w:r>
              <w:rPr>
                <w:rFonts w:ascii="Times New Roman" w:hAnsi="Times New Roman"/>
                <w:sz w:val="21"/>
                <w:szCs w:val="21"/>
              </w:rPr>
              <w:t>1.74</w:t>
            </w:r>
          </w:p>
        </w:tc>
        <w:tc>
          <w:tcPr>
            <w:tcW w:w="882" w:type="dxa"/>
            <w:shd w:val="clear" w:color="auto" w:fill="auto"/>
            <w:noWrap/>
          </w:tcPr>
          <w:p w14:paraId="4C549783" w14:textId="77777777" w:rsidR="009C353B" w:rsidRDefault="00000000">
            <w:pPr>
              <w:widowControl/>
              <w:jc w:val="center"/>
              <w:rPr>
                <w:rFonts w:ascii="Times New Roman" w:hAnsi="Times New Roman"/>
                <w:sz w:val="21"/>
                <w:szCs w:val="21"/>
              </w:rPr>
            </w:pPr>
            <w:r>
              <w:rPr>
                <w:rFonts w:ascii="Times New Roman" w:hAnsi="Times New Roman"/>
                <w:sz w:val="21"/>
                <w:szCs w:val="21"/>
              </w:rPr>
              <w:t>32.86</w:t>
            </w:r>
          </w:p>
        </w:tc>
        <w:tc>
          <w:tcPr>
            <w:tcW w:w="883" w:type="dxa"/>
            <w:shd w:val="clear" w:color="auto" w:fill="auto"/>
            <w:noWrap/>
          </w:tcPr>
          <w:p w14:paraId="64454DE3" w14:textId="77777777" w:rsidR="009C353B" w:rsidRDefault="00000000">
            <w:pPr>
              <w:widowControl/>
              <w:jc w:val="center"/>
              <w:rPr>
                <w:rFonts w:ascii="Times New Roman" w:hAnsi="Times New Roman"/>
                <w:sz w:val="21"/>
                <w:szCs w:val="21"/>
              </w:rPr>
            </w:pPr>
            <w:r>
              <w:rPr>
                <w:rFonts w:ascii="Times New Roman" w:hAnsi="Times New Roman"/>
                <w:sz w:val="21"/>
                <w:szCs w:val="21"/>
              </w:rPr>
              <w:t>36.38</w:t>
            </w:r>
          </w:p>
        </w:tc>
        <w:tc>
          <w:tcPr>
            <w:tcW w:w="1942" w:type="dxa"/>
            <w:shd w:val="clear" w:color="auto" w:fill="auto"/>
          </w:tcPr>
          <w:p w14:paraId="51C9DA60" w14:textId="77777777" w:rsidR="009C353B" w:rsidRDefault="00000000">
            <w:pPr>
              <w:widowControl/>
              <w:jc w:val="center"/>
              <w:rPr>
                <w:rFonts w:ascii="Times New Roman" w:hAnsi="Times New Roman"/>
                <w:sz w:val="21"/>
                <w:szCs w:val="21"/>
              </w:rPr>
            </w:pPr>
            <w:r>
              <w:rPr>
                <w:rFonts w:ascii="Times New Roman" w:hAnsi="Times New Roman"/>
                <w:sz w:val="21"/>
                <w:szCs w:val="21"/>
              </w:rPr>
              <w:t>29.61</w:t>
            </w:r>
          </w:p>
        </w:tc>
        <w:tc>
          <w:tcPr>
            <w:tcW w:w="1307" w:type="dxa"/>
            <w:shd w:val="clear" w:color="auto" w:fill="auto"/>
          </w:tcPr>
          <w:p w14:paraId="47CB77B5" w14:textId="77777777" w:rsidR="009C353B" w:rsidRDefault="00000000">
            <w:pPr>
              <w:widowControl/>
              <w:jc w:val="center"/>
              <w:rPr>
                <w:rFonts w:ascii="Times New Roman" w:hAnsi="Times New Roman"/>
                <w:sz w:val="21"/>
                <w:szCs w:val="21"/>
              </w:rPr>
            </w:pPr>
            <w:r>
              <w:rPr>
                <w:rFonts w:ascii="Times New Roman" w:hAnsi="Times New Roman"/>
                <w:sz w:val="21"/>
                <w:szCs w:val="21"/>
              </w:rPr>
              <w:t>36.38</w:t>
            </w:r>
          </w:p>
        </w:tc>
        <w:tc>
          <w:tcPr>
            <w:tcW w:w="830" w:type="dxa"/>
            <w:vMerge w:val="restart"/>
            <w:shd w:val="clear" w:color="auto" w:fill="auto"/>
            <w:noWrap/>
          </w:tcPr>
          <w:p w14:paraId="63BC24A2"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7BA24CBD" w14:textId="77777777">
        <w:trPr>
          <w:trHeight w:val="340"/>
        </w:trPr>
        <w:tc>
          <w:tcPr>
            <w:tcW w:w="648" w:type="dxa"/>
            <w:vMerge/>
            <w:shd w:val="clear" w:color="auto" w:fill="auto"/>
          </w:tcPr>
          <w:p w14:paraId="0C3FF583"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0CBA4762"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61513532"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03729AA8" w14:textId="77777777" w:rsidR="009C353B" w:rsidRDefault="00000000">
            <w:pPr>
              <w:widowControl/>
              <w:jc w:val="center"/>
              <w:rPr>
                <w:rFonts w:ascii="Times New Roman" w:hAnsi="Times New Roman"/>
                <w:sz w:val="21"/>
                <w:szCs w:val="21"/>
              </w:rPr>
            </w:pPr>
            <w:r>
              <w:rPr>
                <w:rFonts w:ascii="Times New Roman" w:hAnsi="Times New Roman"/>
                <w:sz w:val="21"/>
                <w:szCs w:val="21"/>
              </w:rPr>
              <w:t>2.28</w:t>
            </w:r>
          </w:p>
        </w:tc>
        <w:tc>
          <w:tcPr>
            <w:tcW w:w="882" w:type="dxa"/>
            <w:shd w:val="clear" w:color="auto" w:fill="auto"/>
            <w:noWrap/>
          </w:tcPr>
          <w:p w14:paraId="5EA3CA30" w14:textId="77777777" w:rsidR="009C353B" w:rsidRDefault="00000000">
            <w:pPr>
              <w:widowControl/>
              <w:jc w:val="center"/>
              <w:rPr>
                <w:rFonts w:ascii="Times New Roman" w:hAnsi="Times New Roman"/>
                <w:sz w:val="21"/>
                <w:szCs w:val="21"/>
              </w:rPr>
            </w:pPr>
            <w:r>
              <w:rPr>
                <w:rFonts w:ascii="Times New Roman" w:hAnsi="Times New Roman"/>
                <w:sz w:val="21"/>
                <w:szCs w:val="21"/>
              </w:rPr>
              <w:t>37.06</w:t>
            </w:r>
          </w:p>
        </w:tc>
        <w:tc>
          <w:tcPr>
            <w:tcW w:w="883" w:type="dxa"/>
            <w:shd w:val="clear" w:color="auto" w:fill="auto"/>
            <w:noWrap/>
          </w:tcPr>
          <w:p w14:paraId="4C908541" w14:textId="77777777" w:rsidR="009C353B" w:rsidRDefault="00000000">
            <w:pPr>
              <w:widowControl/>
              <w:jc w:val="center"/>
              <w:rPr>
                <w:rFonts w:ascii="Times New Roman" w:hAnsi="Times New Roman"/>
                <w:sz w:val="21"/>
                <w:szCs w:val="21"/>
              </w:rPr>
            </w:pPr>
            <w:r>
              <w:rPr>
                <w:rFonts w:ascii="Times New Roman" w:hAnsi="Times New Roman"/>
                <w:sz w:val="21"/>
                <w:szCs w:val="21"/>
              </w:rPr>
              <w:t>40.20</w:t>
            </w:r>
          </w:p>
        </w:tc>
        <w:tc>
          <w:tcPr>
            <w:tcW w:w="1942" w:type="dxa"/>
            <w:shd w:val="clear" w:color="auto" w:fill="auto"/>
          </w:tcPr>
          <w:p w14:paraId="5F54E514" w14:textId="77777777" w:rsidR="009C353B" w:rsidRDefault="00000000">
            <w:pPr>
              <w:widowControl/>
              <w:jc w:val="center"/>
              <w:rPr>
                <w:rFonts w:ascii="Times New Roman" w:hAnsi="Times New Roman"/>
                <w:sz w:val="21"/>
                <w:szCs w:val="21"/>
              </w:rPr>
            </w:pPr>
            <w:r>
              <w:rPr>
                <w:rFonts w:ascii="Times New Roman" w:hAnsi="Times New Roman"/>
                <w:sz w:val="21"/>
                <w:szCs w:val="21"/>
              </w:rPr>
              <w:t>37.21</w:t>
            </w:r>
          </w:p>
        </w:tc>
        <w:tc>
          <w:tcPr>
            <w:tcW w:w="1307" w:type="dxa"/>
            <w:shd w:val="clear" w:color="auto" w:fill="auto"/>
          </w:tcPr>
          <w:p w14:paraId="56E521A2" w14:textId="77777777" w:rsidR="009C353B" w:rsidRDefault="00000000">
            <w:pPr>
              <w:widowControl/>
              <w:jc w:val="center"/>
              <w:rPr>
                <w:rFonts w:ascii="Times New Roman" w:hAnsi="Times New Roman"/>
                <w:sz w:val="21"/>
                <w:szCs w:val="21"/>
              </w:rPr>
            </w:pPr>
            <w:r>
              <w:rPr>
                <w:rFonts w:ascii="Times New Roman" w:hAnsi="Times New Roman"/>
                <w:sz w:val="21"/>
                <w:szCs w:val="21"/>
              </w:rPr>
              <w:t>40.20</w:t>
            </w:r>
          </w:p>
        </w:tc>
        <w:tc>
          <w:tcPr>
            <w:tcW w:w="830" w:type="dxa"/>
            <w:vMerge/>
            <w:shd w:val="clear" w:color="auto" w:fill="auto"/>
            <w:noWrap/>
          </w:tcPr>
          <w:p w14:paraId="2F4816E0" w14:textId="77777777" w:rsidR="009C353B" w:rsidRDefault="009C353B">
            <w:pPr>
              <w:widowControl/>
              <w:jc w:val="center"/>
              <w:rPr>
                <w:rFonts w:ascii="Times New Roman" w:hAnsi="Times New Roman"/>
                <w:sz w:val="21"/>
                <w:szCs w:val="21"/>
              </w:rPr>
            </w:pPr>
          </w:p>
        </w:tc>
      </w:tr>
      <w:tr w:rsidR="009C353B" w14:paraId="064954A9" w14:textId="77777777">
        <w:trPr>
          <w:trHeight w:val="340"/>
        </w:trPr>
        <w:tc>
          <w:tcPr>
            <w:tcW w:w="648" w:type="dxa"/>
            <w:vMerge/>
            <w:shd w:val="clear" w:color="auto" w:fill="auto"/>
          </w:tcPr>
          <w:p w14:paraId="1C66E5CC"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328A95C2"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99FF45E"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586E7929" w14:textId="77777777" w:rsidR="009C353B" w:rsidRDefault="00000000">
            <w:pPr>
              <w:widowControl/>
              <w:jc w:val="center"/>
              <w:rPr>
                <w:rFonts w:ascii="Times New Roman" w:hAnsi="Times New Roman"/>
                <w:sz w:val="21"/>
                <w:szCs w:val="21"/>
              </w:rPr>
            </w:pPr>
            <w:r>
              <w:rPr>
                <w:rFonts w:ascii="Times New Roman" w:hAnsi="Times New Roman"/>
                <w:sz w:val="21"/>
                <w:szCs w:val="21"/>
              </w:rPr>
              <w:t>5.17</w:t>
            </w:r>
          </w:p>
        </w:tc>
        <w:tc>
          <w:tcPr>
            <w:tcW w:w="882" w:type="dxa"/>
            <w:shd w:val="clear" w:color="auto" w:fill="auto"/>
            <w:noWrap/>
          </w:tcPr>
          <w:p w14:paraId="212B10E2" w14:textId="77777777" w:rsidR="009C353B" w:rsidRDefault="00000000">
            <w:pPr>
              <w:widowControl/>
              <w:jc w:val="center"/>
              <w:rPr>
                <w:rFonts w:ascii="Times New Roman" w:hAnsi="Times New Roman"/>
                <w:sz w:val="21"/>
                <w:szCs w:val="21"/>
              </w:rPr>
            </w:pPr>
            <w:r>
              <w:rPr>
                <w:rFonts w:ascii="Times New Roman" w:hAnsi="Times New Roman"/>
                <w:sz w:val="21"/>
                <w:szCs w:val="21"/>
              </w:rPr>
              <w:t>49.15</w:t>
            </w:r>
          </w:p>
        </w:tc>
        <w:tc>
          <w:tcPr>
            <w:tcW w:w="883" w:type="dxa"/>
            <w:shd w:val="clear" w:color="auto" w:fill="auto"/>
            <w:noWrap/>
          </w:tcPr>
          <w:p w14:paraId="0C3372AA" w14:textId="77777777" w:rsidR="009C353B" w:rsidRDefault="00000000">
            <w:pPr>
              <w:widowControl/>
              <w:jc w:val="center"/>
              <w:rPr>
                <w:rFonts w:ascii="Times New Roman" w:hAnsi="Times New Roman"/>
                <w:sz w:val="21"/>
                <w:szCs w:val="21"/>
              </w:rPr>
            </w:pPr>
            <w:r>
              <w:rPr>
                <w:rFonts w:ascii="Times New Roman" w:hAnsi="Times New Roman"/>
                <w:sz w:val="21"/>
                <w:szCs w:val="21"/>
              </w:rPr>
              <w:t>55.48</w:t>
            </w:r>
          </w:p>
        </w:tc>
        <w:tc>
          <w:tcPr>
            <w:tcW w:w="1942" w:type="dxa"/>
            <w:shd w:val="clear" w:color="auto" w:fill="auto"/>
          </w:tcPr>
          <w:p w14:paraId="2CC29EF4" w14:textId="77777777" w:rsidR="009C353B" w:rsidRDefault="00000000">
            <w:pPr>
              <w:widowControl/>
              <w:jc w:val="center"/>
              <w:rPr>
                <w:rFonts w:ascii="Times New Roman" w:hAnsi="Times New Roman"/>
                <w:sz w:val="21"/>
                <w:szCs w:val="21"/>
              </w:rPr>
            </w:pPr>
            <w:r>
              <w:rPr>
                <w:rFonts w:ascii="Times New Roman" w:hAnsi="Times New Roman"/>
                <w:sz w:val="21"/>
                <w:szCs w:val="21"/>
              </w:rPr>
              <w:t>77.92</w:t>
            </w:r>
          </w:p>
        </w:tc>
        <w:tc>
          <w:tcPr>
            <w:tcW w:w="1307" w:type="dxa"/>
            <w:shd w:val="clear" w:color="auto" w:fill="auto"/>
          </w:tcPr>
          <w:p w14:paraId="4158BD26" w14:textId="77777777" w:rsidR="009C353B" w:rsidRDefault="00000000">
            <w:pPr>
              <w:widowControl/>
              <w:jc w:val="center"/>
              <w:rPr>
                <w:rFonts w:ascii="Times New Roman" w:hAnsi="Times New Roman"/>
                <w:sz w:val="21"/>
                <w:szCs w:val="21"/>
              </w:rPr>
            </w:pPr>
            <w:r>
              <w:rPr>
                <w:rFonts w:ascii="Times New Roman" w:hAnsi="Times New Roman"/>
                <w:sz w:val="21"/>
                <w:szCs w:val="21"/>
              </w:rPr>
              <w:t>77.92</w:t>
            </w:r>
          </w:p>
        </w:tc>
        <w:tc>
          <w:tcPr>
            <w:tcW w:w="830" w:type="dxa"/>
            <w:vMerge/>
            <w:shd w:val="clear" w:color="auto" w:fill="auto"/>
            <w:noWrap/>
          </w:tcPr>
          <w:p w14:paraId="045D31BA" w14:textId="77777777" w:rsidR="009C353B" w:rsidRDefault="009C353B">
            <w:pPr>
              <w:widowControl/>
              <w:jc w:val="center"/>
              <w:rPr>
                <w:rFonts w:ascii="Times New Roman" w:hAnsi="Times New Roman"/>
                <w:sz w:val="21"/>
                <w:szCs w:val="21"/>
              </w:rPr>
            </w:pPr>
          </w:p>
        </w:tc>
      </w:tr>
      <w:tr w:rsidR="009C353B" w14:paraId="78CBE98F" w14:textId="77777777">
        <w:trPr>
          <w:trHeight w:val="340"/>
        </w:trPr>
        <w:tc>
          <w:tcPr>
            <w:tcW w:w="648" w:type="dxa"/>
            <w:vMerge/>
            <w:shd w:val="clear" w:color="auto" w:fill="auto"/>
          </w:tcPr>
          <w:p w14:paraId="464191B0"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5C7EF2E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406</w:t>
            </w:r>
          </w:p>
        </w:tc>
        <w:tc>
          <w:tcPr>
            <w:tcW w:w="883" w:type="dxa"/>
            <w:shd w:val="clear" w:color="auto" w:fill="auto"/>
            <w:noWrap/>
          </w:tcPr>
          <w:p w14:paraId="0D39DD04"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7FE0AC67" w14:textId="77777777" w:rsidR="009C353B" w:rsidRDefault="00000000">
            <w:pPr>
              <w:widowControl/>
              <w:jc w:val="center"/>
              <w:rPr>
                <w:rFonts w:ascii="Times New Roman" w:hAnsi="Times New Roman"/>
                <w:sz w:val="21"/>
                <w:szCs w:val="21"/>
              </w:rPr>
            </w:pPr>
            <w:r>
              <w:rPr>
                <w:rFonts w:ascii="Times New Roman" w:hAnsi="Times New Roman"/>
                <w:sz w:val="21"/>
                <w:szCs w:val="21"/>
              </w:rPr>
              <w:t>1.78</w:t>
            </w:r>
          </w:p>
        </w:tc>
        <w:tc>
          <w:tcPr>
            <w:tcW w:w="882" w:type="dxa"/>
            <w:shd w:val="clear" w:color="auto" w:fill="auto"/>
            <w:noWrap/>
          </w:tcPr>
          <w:p w14:paraId="6942F655" w14:textId="77777777" w:rsidR="009C353B" w:rsidRDefault="00000000">
            <w:pPr>
              <w:widowControl/>
              <w:jc w:val="center"/>
              <w:rPr>
                <w:rFonts w:ascii="Times New Roman" w:hAnsi="Times New Roman"/>
                <w:sz w:val="21"/>
                <w:szCs w:val="21"/>
              </w:rPr>
            </w:pPr>
            <w:r>
              <w:rPr>
                <w:rFonts w:ascii="Times New Roman" w:hAnsi="Times New Roman"/>
                <w:sz w:val="21"/>
                <w:szCs w:val="21"/>
              </w:rPr>
              <w:t>33.21</w:t>
            </w:r>
          </w:p>
        </w:tc>
        <w:tc>
          <w:tcPr>
            <w:tcW w:w="883" w:type="dxa"/>
            <w:shd w:val="clear" w:color="auto" w:fill="auto"/>
            <w:noWrap/>
          </w:tcPr>
          <w:p w14:paraId="48F11217" w14:textId="77777777" w:rsidR="009C353B" w:rsidRDefault="00000000">
            <w:pPr>
              <w:widowControl/>
              <w:jc w:val="center"/>
              <w:rPr>
                <w:rFonts w:ascii="Times New Roman" w:hAnsi="Times New Roman"/>
                <w:sz w:val="21"/>
                <w:szCs w:val="21"/>
              </w:rPr>
            </w:pPr>
            <w:r>
              <w:rPr>
                <w:rFonts w:ascii="Times New Roman" w:hAnsi="Times New Roman"/>
                <w:sz w:val="21"/>
                <w:szCs w:val="21"/>
              </w:rPr>
              <w:t>36.68</w:t>
            </w:r>
          </w:p>
        </w:tc>
        <w:tc>
          <w:tcPr>
            <w:tcW w:w="1942" w:type="dxa"/>
            <w:shd w:val="clear" w:color="auto" w:fill="auto"/>
          </w:tcPr>
          <w:p w14:paraId="634FD5D1" w14:textId="77777777" w:rsidR="009C353B" w:rsidRDefault="00000000">
            <w:pPr>
              <w:widowControl/>
              <w:jc w:val="center"/>
              <w:rPr>
                <w:rFonts w:ascii="Times New Roman" w:hAnsi="Times New Roman"/>
                <w:sz w:val="21"/>
                <w:szCs w:val="21"/>
              </w:rPr>
            </w:pPr>
            <w:r>
              <w:rPr>
                <w:rFonts w:ascii="Times New Roman" w:hAnsi="Times New Roman"/>
                <w:sz w:val="21"/>
                <w:szCs w:val="21"/>
              </w:rPr>
              <w:t>30.17</w:t>
            </w:r>
          </w:p>
        </w:tc>
        <w:tc>
          <w:tcPr>
            <w:tcW w:w="1307" w:type="dxa"/>
            <w:shd w:val="clear" w:color="auto" w:fill="auto"/>
          </w:tcPr>
          <w:p w14:paraId="08CAAE7C" w14:textId="77777777" w:rsidR="009C353B" w:rsidRDefault="00000000">
            <w:pPr>
              <w:widowControl/>
              <w:jc w:val="center"/>
              <w:rPr>
                <w:rFonts w:ascii="Times New Roman" w:hAnsi="Times New Roman"/>
                <w:sz w:val="21"/>
                <w:szCs w:val="21"/>
              </w:rPr>
            </w:pPr>
            <w:r>
              <w:rPr>
                <w:rFonts w:ascii="Times New Roman" w:hAnsi="Times New Roman"/>
                <w:sz w:val="21"/>
                <w:szCs w:val="21"/>
              </w:rPr>
              <w:t>36.68</w:t>
            </w:r>
          </w:p>
        </w:tc>
        <w:tc>
          <w:tcPr>
            <w:tcW w:w="830" w:type="dxa"/>
            <w:vMerge w:val="restart"/>
            <w:shd w:val="clear" w:color="auto" w:fill="auto"/>
            <w:noWrap/>
          </w:tcPr>
          <w:p w14:paraId="629492AD"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678A6F90" w14:textId="77777777">
        <w:trPr>
          <w:trHeight w:val="340"/>
        </w:trPr>
        <w:tc>
          <w:tcPr>
            <w:tcW w:w="648" w:type="dxa"/>
            <w:vMerge/>
            <w:shd w:val="clear" w:color="auto" w:fill="auto"/>
          </w:tcPr>
          <w:p w14:paraId="41CC16AC"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4D8EAAE9"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53F9218"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22D4A0AD" w14:textId="77777777" w:rsidR="009C353B" w:rsidRDefault="00000000">
            <w:pPr>
              <w:widowControl/>
              <w:jc w:val="center"/>
              <w:rPr>
                <w:rFonts w:ascii="Times New Roman" w:hAnsi="Times New Roman"/>
                <w:sz w:val="21"/>
                <w:szCs w:val="21"/>
              </w:rPr>
            </w:pPr>
            <w:r>
              <w:rPr>
                <w:rFonts w:ascii="Times New Roman" w:hAnsi="Times New Roman"/>
                <w:sz w:val="21"/>
                <w:szCs w:val="21"/>
              </w:rPr>
              <w:t>1.01</w:t>
            </w:r>
          </w:p>
        </w:tc>
        <w:tc>
          <w:tcPr>
            <w:tcW w:w="882" w:type="dxa"/>
            <w:shd w:val="clear" w:color="auto" w:fill="auto"/>
            <w:noWrap/>
          </w:tcPr>
          <w:p w14:paraId="5224CD5C" w14:textId="77777777" w:rsidR="009C353B" w:rsidRDefault="00000000">
            <w:pPr>
              <w:widowControl/>
              <w:jc w:val="center"/>
              <w:rPr>
                <w:rFonts w:ascii="Times New Roman" w:hAnsi="Times New Roman"/>
                <w:sz w:val="21"/>
                <w:szCs w:val="21"/>
              </w:rPr>
            </w:pPr>
            <w:r>
              <w:rPr>
                <w:rFonts w:ascii="Times New Roman" w:hAnsi="Times New Roman"/>
                <w:sz w:val="21"/>
                <w:szCs w:val="21"/>
              </w:rPr>
              <w:t>24.96</w:t>
            </w:r>
          </w:p>
        </w:tc>
        <w:tc>
          <w:tcPr>
            <w:tcW w:w="883" w:type="dxa"/>
            <w:shd w:val="clear" w:color="auto" w:fill="auto"/>
            <w:noWrap/>
          </w:tcPr>
          <w:p w14:paraId="68E72B52" w14:textId="77777777" w:rsidR="009C353B" w:rsidRDefault="00000000">
            <w:pPr>
              <w:widowControl/>
              <w:jc w:val="center"/>
              <w:rPr>
                <w:rFonts w:ascii="Times New Roman" w:hAnsi="Times New Roman"/>
                <w:sz w:val="21"/>
                <w:szCs w:val="21"/>
              </w:rPr>
            </w:pPr>
            <w:r>
              <w:rPr>
                <w:rFonts w:ascii="Times New Roman" w:hAnsi="Times New Roman"/>
                <w:sz w:val="21"/>
                <w:szCs w:val="21"/>
              </w:rPr>
              <w:t>30.10</w:t>
            </w:r>
          </w:p>
        </w:tc>
        <w:tc>
          <w:tcPr>
            <w:tcW w:w="1942" w:type="dxa"/>
            <w:shd w:val="clear" w:color="auto" w:fill="auto"/>
          </w:tcPr>
          <w:p w14:paraId="0775CE05" w14:textId="77777777" w:rsidR="009C353B" w:rsidRDefault="00000000">
            <w:pPr>
              <w:widowControl/>
              <w:jc w:val="center"/>
              <w:rPr>
                <w:rFonts w:ascii="Times New Roman" w:hAnsi="Times New Roman"/>
                <w:sz w:val="21"/>
                <w:szCs w:val="21"/>
              </w:rPr>
            </w:pPr>
            <w:r>
              <w:rPr>
                <w:rFonts w:ascii="Times New Roman" w:hAnsi="Times New Roman"/>
                <w:sz w:val="21"/>
                <w:szCs w:val="21"/>
              </w:rPr>
              <w:t>19.33</w:t>
            </w:r>
          </w:p>
        </w:tc>
        <w:tc>
          <w:tcPr>
            <w:tcW w:w="1307" w:type="dxa"/>
            <w:shd w:val="clear" w:color="auto" w:fill="auto"/>
          </w:tcPr>
          <w:p w14:paraId="4D6D5881" w14:textId="77777777" w:rsidR="009C353B" w:rsidRDefault="00000000">
            <w:pPr>
              <w:widowControl/>
              <w:jc w:val="center"/>
              <w:rPr>
                <w:rFonts w:ascii="Times New Roman" w:hAnsi="Times New Roman"/>
                <w:sz w:val="21"/>
                <w:szCs w:val="21"/>
              </w:rPr>
            </w:pPr>
            <w:r>
              <w:rPr>
                <w:rFonts w:ascii="Times New Roman" w:hAnsi="Times New Roman"/>
                <w:sz w:val="21"/>
                <w:szCs w:val="21"/>
              </w:rPr>
              <w:t>30.10</w:t>
            </w:r>
          </w:p>
        </w:tc>
        <w:tc>
          <w:tcPr>
            <w:tcW w:w="830" w:type="dxa"/>
            <w:vMerge/>
            <w:shd w:val="clear" w:color="auto" w:fill="auto"/>
            <w:noWrap/>
          </w:tcPr>
          <w:p w14:paraId="76E919A9" w14:textId="77777777" w:rsidR="009C353B" w:rsidRDefault="009C353B">
            <w:pPr>
              <w:widowControl/>
              <w:jc w:val="center"/>
              <w:rPr>
                <w:rFonts w:ascii="Times New Roman" w:hAnsi="Times New Roman"/>
                <w:sz w:val="21"/>
                <w:szCs w:val="21"/>
              </w:rPr>
            </w:pPr>
          </w:p>
        </w:tc>
      </w:tr>
      <w:tr w:rsidR="009C353B" w14:paraId="73D19987" w14:textId="77777777">
        <w:trPr>
          <w:trHeight w:val="340"/>
        </w:trPr>
        <w:tc>
          <w:tcPr>
            <w:tcW w:w="648" w:type="dxa"/>
            <w:vMerge/>
            <w:shd w:val="clear" w:color="auto" w:fill="auto"/>
          </w:tcPr>
          <w:p w14:paraId="44E6DB3A"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77519D5"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26CF173"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78777FEC" w14:textId="77777777" w:rsidR="009C353B" w:rsidRDefault="00000000">
            <w:pPr>
              <w:widowControl/>
              <w:jc w:val="center"/>
              <w:rPr>
                <w:rFonts w:ascii="Times New Roman" w:hAnsi="Times New Roman"/>
                <w:sz w:val="21"/>
                <w:szCs w:val="21"/>
              </w:rPr>
            </w:pPr>
            <w:r>
              <w:rPr>
                <w:rFonts w:ascii="Times New Roman" w:hAnsi="Times New Roman"/>
                <w:sz w:val="21"/>
                <w:szCs w:val="21"/>
              </w:rPr>
              <w:t>5.96</w:t>
            </w:r>
          </w:p>
        </w:tc>
        <w:tc>
          <w:tcPr>
            <w:tcW w:w="882" w:type="dxa"/>
            <w:shd w:val="clear" w:color="auto" w:fill="auto"/>
            <w:noWrap/>
          </w:tcPr>
          <w:p w14:paraId="1B7374F3" w14:textId="77777777" w:rsidR="009C353B" w:rsidRDefault="00000000">
            <w:pPr>
              <w:widowControl/>
              <w:jc w:val="center"/>
              <w:rPr>
                <w:rFonts w:ascii="Times New Roman" w:hAnsi="Times New Roman"/>
                <w:sz w:val="21"/>
                <w:szCs w:val="21"/>
              </w:rPr>
            </w:pPr>
            <w:r>
              <w:rPr>
                <w:rFonts w:ascii="Times New Roman" w:hAnsi="Times New Roman"/>
                <w:sz w:val="21"/>
                <w:szCs w:val="21"/>
              </w:rPr>
              <w:t>50.97</w:t>
            </w:r>
          </w:p>
        </w:tc>
        <w:tc>
          <w:tcPr>
            <w:tcW w:w="883" w:type="dxa"/>
            <w:shd w:val="clear" w:color="auto" w:fill="auto"/>
            <w:noWrap/>
          </w:tcPr>
          <w:p w14:paraId="375A5DA1" w14:textId="77777777" w:rsidR="009C353B" w:rsidRDefault="00000000">
            <w:pPr>
              <w:widowControl/>
              <w:jc w:val="center"/>
              <w:rPr>
                <w:rFonts w:ascii="Times New Roman" w:hAnsi="Times New Roman"/>
                <w:sz w:val="21"/>
                <w:szCs w:val="21"/>
              </w:rPr>
            </w:pPr>
            <w:r>
              <w:rPr>
                <w:rFonts w:ascii="Times New Roman" w:hAnsi="Times New Roman"/>
                <w:sz w:val="21"/>
                <w:szCs w:val="21"/>
              </w:rPr>
              <w:t>58.83</w:t>
            </w:r>
          </w:p>
        </w:tc>
        <w:tc>
          <w:tcPr>
            <w:tcW w:w="1942" w:type="dxa"/>
            <w:shd w:val="clear" w:color="auto" w:fill="auto"/>
          </w:tcPr>
          <w:p w14:paraId="20C6AAAE" w14:textId="77777777" w:rsidR="009C353B" w:rsidRDefault="00000000">
            <w:pPr>
              <w:widowControl/>
              <w:jc w:val="center"/>
              <w:rPr>
                <w:rFonts w:ascii="Times New Roman" w:hAnsi="Times New Roman"/>
                <w:sz w:val="21"/>
                <w:szCs w:val="21"/>
              </w:rPr>
            </w:pPr>
            <w:r>
              <w:rPr>
                <w:rFonts w:ascii="Times New Roman" w:hAnsi="Times New Roman"/>
                <w:sz w:val="21"/>
                <w:szCs w:val="21"/>
              </w:rPr>
              <w:t>89.04</w:t>
            </w:r>
          </w:p>
        </w:tc>
        <w:tc>
          <w:tcPr>
            <w:tcW w:w="1307" w:type="dxa"/>
            <w:shd w:val="clear" w:color="auto" w:fill="auto"/>
          </w:tcPr>
          <w:p w14:paraId="008E89BD" w14:textId="77777777" w:rsidR="009C353B" w:rsidRDefault="00000000">
            <w:pPr>
              <w:widowControl/>
              <w:jc w:val="center"/>
              <w:rPr>
                <w:rFonts w:ascii="Times New Roman" w:hAnsi="Times New Roman"/>
                <w:sz w:val="21"/>
                <w:szCs w:val="21"/>
              </w:rPr>
            </w:pPr>
            <w:r>
              <w:rPr>
                <w:rFonts w:ascii="Times New Roman" w:hAnsi="Times New Roman"/>
                <w:sz w:val="21"/>
                <w:szCs w:val="21"/>
              </w:rPr>
              <w:t>89.04</w:t>
            </w:r>
          </w:p>
        </w:tc>
        <w:tc>
          <w:tcPr>
            <w:tcW w:w="830" w:type="dxa"/>
            <w:vMerge/>
            <w:shd w:val="clear" w:color="auto" w:fill="auto"/>
            <w:noWrap/>
          </w:tcPr>
          <w:p w14:paraId="7746D7CC" w14:textId="77777777" w:rsidR="009C353B" w:rsidRDefault="009C353B">
            <w:pPr>
              <w:widowControl/>
              <w:jc w:val="center"/>
              <w:rPr>
                <w:rFonts w:ascii="Times New Roman" w:hAnsi="Times New Roman"/>
                <w:sz w:val="21"/>
                <w:szCs w:val="21"/>
              </w:rPr>
            </w:pPr>
          </w:p>
        </w:tc>
      </w:tr>
      <w:tr w:rsidR="009C353B" w14:paraId="6B68C91F" w14:textId="77777777">
        <w:trPr>
          <w:trHeight w:val="340"/>
        </w:trPr>
        <w:tc>
          <w:tcPr>
            <w:tcW w:w="648" w:type="dxa"/>
            <w:vMerge/>
            <w:shd w:val="clear" w:color="auto" w:fill="auto"/>
          </w:tcPr>
          <w:p w14:paraId="4AFBD57D"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3A3A0995"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1701</w:t>
            </w:r>
          </w:p>
        </w:tc>
        <w:tc>
          <w:tcPr>
            <w:tcW w:w="883" w:type="dxa"/>
            <w:shd w:val="clear" w:color="auto" w:fill="auto"/>
            <w:noWrap/>
          </w:tcPr>
          <w:p w14:paraId="5F8E658E"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74DADCE9" w14:textId="77777777" w:rsidR="009C353B" w:rsidRDefault="00000000">
            <w:pPr>
              <w:widowControl/>
              <w:jc w:val="center"/>
              <w:rPr>
                <w:rFonts w:ascii="Times New Roman" w:hAnsi="Times New Roman"/>
                <w:sz w:val="21"/>
                <w:szCs w:val="21"/>
              </w:rPr>
            </w:pPr>
            <w:r>
              <w:rPr>
                <w:rFonts w:ascii="Times New Roman" w:hAnsi="Times New Roman"/>
                <w:sz w:val="21"/>
                <w:szCs w:val="21"/>
              </w:rPr>
              <w:t>1.70</w:t>
            </w:r>
          </w:p>
        </w:tc>
        <w:tc>
          <w:tcPr>
            <w:tcW w:w="882" w:type="dxa"/>
            <w:shd w:val="clear" w:color="auto" w:fill="auto"/>
            <w:noWrap/>
          </w:tcPr>
          <w:p w14:paraId="0B59DF2B" w14:textId="77777777" w:rsidR="009C353B" w:rsidRDefault="00000000">
            <w:pPr>
              <w:widowControl/>
              <w:jc w:val="center"/>
              <w:rPr>
                <w:rFonts w:ascii="Times New Roman" w:hAnsi="Times New Roman"/>
                <w:sz w:val="21"/>
                <w:szCs w:val="21"/>
              </w:rPr>
            </w:pPr>
            <w:r>
              <w:rPr>
                <w:rFonts w:ascii="Times New Roman" w:hAnsi="Times New Roman"/>
                <w:sz w:val="21"/>
                <w:szCs w:val="21"/>
              </w:rPr>
              <w:t>32.50</w:t>
            </w:r>
          </w:p>
        </w:tc>
        <w:tc>
          <w:tcPr>
            <w:tcW w:w="883" w:type="dxa"/>
            <w:shd w:val="clear" w:color="auto" w:fill="auto"/>
            <w:noWrap/>
          </w:tcPr>
          <w:p w14:paraId="11D3264D" w14:textId="77777777" w:rsidR="009C353B" w:rsidRDefault="00000000">
            <w:pPr>
              <w:widowControl/>
              <w:jc w:val="center"/>
              <w:rPr>
                <w:rFonts w:ascii="Times New Roman" w:hAnsi="Times New Roman"/>
                <w:sz w:val="21"/>
                <w:szCs w:val="21"/>
              </w:rPr>
            </w:pPr>
            <w:r>
              <w:rPr>
                <w:rFonts w:ascii="Times New Roman" w:hAnsi="Times New Roman"/>
                <w:sz w:val="21"/>
                <w:szCs w:val="21"/>
              </w:rPr>
              <w:t>36.08</w:t>
            </w:r>
          </w:p>
        </w:tc>
        <w:tc>
          <w:tcPr>
            <w:tcW w:w="1942" w:type="dxa"/>
            <w:shd w:val="clear" w:color="auto" w:fill="auto"/>
          </w:tcPr>
          <w:p w14:paraId="6C711BDB" w14:textId="77777777" w:rsidR="009C353B" w:rsidRDefault="00000000">
            <w:pPr>
              <w:widowControl/>
              <w:jc w:val="center"/>
              <w:rPr>
                <w:rFonts w:ascii="Times New Roman" w:hAnsi="Times New Roman"/>
                <w:sz w:val="21"/>
                <w:szCs w:val="21"/>
              </w:rPr>
            </w:pPr>
            <w:r>
              <w:rPr>
                <w:rFonts w:ascii="Times New Roman" w:hAnsi="Times New Roman"/>
                <w:sz w:val="21"/>
                <w:szCs w:val="21"/>
              </w:rPr>
              <w:t>29.04</w:t>
            </w:r>
          </w:p>
        </w:tc>
        <w:tc>
          <w:tcPr>
            <w:tcW w:w="1307" w:type="dxa"/>
            <w:shd w:val="clear" w:color="auto" w:fill="auto"/>
          </w:tcPr>
          <w:p w14:paraId="4A469020" w14:textId="77777777" w:rsidR="009C353B" w:rsidRDefault="00000000">
            <w:pPr>
              <w:widowControl/>
              <w:jc w:val="center"/>
              <w:rPr>
                <w:rFonts w:ascii="Times New Roman" w:hAnsi="Times New Roman"/>
                <w:sz w:val="21"/>
                <w:szCs w:val="21"/>
              </w:rPr>
            </w:pPr>
            <w:r>
              <w:rPr>
                <w:rFonts w:ascii="Times New Roman" w:hAnsi="Times New Roman"/>
                <w:sz w:val="21"/>
                <w:szCs w:val="21"/>
              </w:rPr>
              <w:t>36.08</w:t>
            </w:r>
          </w:p>
        </w:tc>
        <w:tc>
          <w:tcPr>
            <w:tcW w:w="830" w:type="dxa"/>
            <w:vMerge w:val="restart"/>
            <w:shd w:val="clear" w:color="auto" w:fill="auto"/>
            <w:noWrap/>
          </w:tcPr>
          <w:p w14:paraId="1014074D"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6FE285A3" w14:textId="77777777">
        <w:trPr>
          <w:trHeight w:val="340"/>
        </w:trPr>
        <w:tc>
          <w:tcPr>
            <w:tcW w:w="648" w:type="dxa"/>
            <w:vMerge/>
            <w:shd w:val="clear" w:color="auto" w:fill="auto"/>
          </w:tcPr>
          <w:p w14:paraId="2DF89449"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345D8F42"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44DAF8C"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335435CC" w14:textId="77777777" w:rsidR="009C353B" w:rsidRDefault="00000000">
            <w:pPr>
              <w:widowControl/>
              <w:jc w:val="center"/>
              <w:rPr>
                <w:rFonts w:ascii="Times New Roman" w:hAnsi="Times New Roman"/>
                <w:sz w:val="21"/>
                <w:szCs w:val="21"/>
              </w:rPr>
            </w:pPr>
            <w:r>
              <w:rPr>
                <w:rFonts w:ascii="Times New Roman" w:hAnsi="Times New Roman"/>
                <w:sz w:val="21"/>
                <w:szCs w:val="21"/>
              </w:rPr>
              <w:t>2.09</w:t>
            </w:r>
          </w:p>
        </w:tc>
        <w:tc>
          <w:tcPr>
            <w:tcW w:w="882" w:type="dxa"/>
            <w:shd w:val="clear" w:color="auto" w:fill="auto"/>
            <w:noWrap/>
          </w:tcPr>
          <w:p w14:paraId="40A0A5D5" w14:textId="77777777" w:rsidR="009C353B" w:rsidRDefault="00000000">
            <w:pPr>
              <w:widowControl/>
              <w:jc w:val="center"/>
              <w:rPr>
                <w:rFonts w:ascii="Times New Roman" w:hAnsi="Times New Roman"/>
                <w:sz w:val="21"/>
                <w:szCs w:val="21"/>
              </w:rPr>
            </w:pPr>
            <w:r>
              <w:rPr>
                <w:rFonts w:ascii="Times New Roman" w:hAnsi="Times New Roman"/>
                <w:sz w:val="21"/>
                <w:szCs w:val="21"/>
              </w:rPr>
              <w:t>35.70</w:t>
            </w:r>
          </w:p>
        </w:tc>
        <w:tc>
          <w:tcPr>
            <w:tcW w:w="883" w:type="dxa"/>
            <w:shd w:val="clear" w:color="auto" w:fill="auto"/>
            <w:noWrap/>
          </w:tcPr>
          <w:p w14:paraId="6E06A43C" w14:textId="77777777" w:rsidR="009C353B" w:rsidRDefault="00000000">
            <w:pPr>
              <w:widowControl/>
              <w:jc w:val="center"/>
              <w:rPr>
                <w:rFonts w:ascii="Times New Roman" w:hAnsi="Times New Roman"/>
                <w:sz w:val="21"/>
                <w:szCs w:val="21"/>
              </w:rPr>
            </w:pPr>
            <w:r>
              <w:rPr>
                <w:rFonts w:ascii="Times New Roman" w:hAnsi="Times New Roman"/>
                <w:sz w:val="21"/>
                <w:szCs w:val="21"/>
              </w:rPr>
              <w:t>38.91</w:t>
            </w:r>
          </w:p>
        </w:tc>
        <w:tc>
          <w:tcPr>
            <w:tcW w:w="1942" w:type="dxa"/>
            <w:shd w:val="clear" w:color="auto" w:fill="auto"/>
          </w:tcPr>
          <w:p w14:paraId="0FD7730F" w14:textId="77777777" w:rsidR="009C353B" w:rsidRDefault="00000000">
            <w:pPr>
              <w:widowControl/>
              <w:jc w:val="center"/>
              <w:rPr>
                <w:rFonts w:ascii="Times New Roman" w:hAnsi="Times New Roman"/>
                <w:sz w:val="21"/>
                <w:szCs w:val="21"/>
              </w:rPr>
            </w:pPr>
            <w:r>
              <w:rPr>
                <w:rFonts w:ascii="Times New Roman" w:hAnsi="Times New Roman"/>
                <w:sz w:val="21"/>
                <w:szCs w:val="21"/>
              </w:rPr>
              <w:t>34.54</w:t>
            </w:r>
          </w:p>
        </w:tc>
        <w:tc>
          <w:tcPr>
            <w:tcW w:w="1307" w:type="dxa"/>
            <w:shd w:val="clear" w:color="auto" w:fill="auto"/>
          </w:tcPr>
          <w:p w14:paraId="5765B13B" w14:textId="77777777" w:rsidR="009C353B" w:rsidRDefault="00000000">
            <w:pPr>
              <w:widowControl/>
              <w:jc w:val="center"/>
              <w:rPr>
                <w:rFonts w:ascii="Times New Roman" w:hAnsi="Times New Roman"/>
                <w:sz w:val="21"/>
                <w:szCs w:val="21"/>
              </w:rPr>
            </w:pPr>
            <w:r>
              <w:rPr>
                <w:rFonts w:ascii="Times New Roman" w:hAnsi="Times New Roman"/>
                <w:sz w:val="21"/>
                <w:szCs w:val="21"/>
              </w:rPr>
              <w:t>38.91</w:t>
            </w:r>
          </w:p>
        </w:tc>
        <w:tc>
          <w:tcPr>
            <w:tcW w:w="830" w:type="dxa"/>
            <w:vMerge/>
            <w:shd w:val="clear" w:color="auto" w:fill="auto"/>
            <w:noWrap/>
          </w:tcPr>
          <w:p w14:paraId="734D19C5" w14:textId="77777777" w:rsidR="009C353B" w:rsidRDefault="009C353B">
            <w:pPr>
              <w:widowControl/>
              <w:jc w:val="center"/>
              <w:rPr>
                <w:rFonts w:ascii="Times New Roman" w:hAnsi="Times New Roman"/>
                <w:sz w:val="21"/>
                <w:szCs w:val="21"/>
              </w:rPr>
            </w:pPr>
          </w:p>
        </w:tc>
      </w:tr>
      <w:tr w:rsidR="009C353B" w14:paraId="2C62F9DD" w14:textId="77777777">
        <w:trPr>
          <w:trHeight w:val="340"/>
        </w:trPr>
        <w:tc>
          <w:tcPr>
            <w:tcW w:w="648" w:type="dxa"/>
            <w:vMerge/>
            <w:shd w:val="clear" w:color="auto" w:fill="auto"/>
          </w:tcPr>
          <w:p w14:paraId="602DADC8"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5370BD54"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71C1A08"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7C1F6890" w14:textId="77777777" w:rsidR="009C353B" w:rsidRDefault="00000000">
            <w:pPr>
              <w:widowControl/>
              <w:jc w:val="center"/>
              <w:rPr>
                <w:rFonts w:ascii="Times New Roman" w:hAnsi="Times New Roman"/>
                <w:sz w:val="21"/>
                <w:szCs w:val="21"/>
              </w:rPr>
            </w:pPr>
            <w:r>
              <w:rPr>
                <w:rFonts w:ascii="Times New Roman" w:hAnsi="Times New Roman"/>
                <w:sz w:val="21"/>
                <w:szCs w:val="21"/>
              </w:rPr>
              <w:t>2.85</w:t>
            </w:r>
          </w:p>
        </w:tc>
        <w:tc>
          <w:tcPr>
            <w:tcW w:w="882" w:type="dxa"/>
            <w:shd w:val="clear" w:color="auto" w:fill="auto"/>
            <w:noWrap/>
          </w:tcPr>
          <w:p w14:paraId="5BFB5D56" w14:textId="77777777" w:rsidR="009C353B" w:rsidRDefault="00000000">
            <w:pPr>
              <w:widowControl/>
              <w:jc w:val="center"/>
              <w:rPr>
                <w:rFonts w:ascii="Times New Roman" w:hAnsi="Times New Roman"/>
                <w:sz w:val="21"/>
                <w:szCs w:val="21"/>
              </w:rPr>
            </w:pPr>
            <w:r>
              <w:rPr>
                <w:rFonts w:ascii="Times New Roman" w:hAnsi="Times New Roman"/>
                <w:sz w:val="21"/>
                <w:szCs w:val="21"/>
              </w:rPr>
              <w:t>40.53</w:t>
            </w:r>
          </w:p>
        </w:tc>
        <w:tc>
          <w:tcPr>
            <w:tcW w:w="883" w:type="dxa"/>
            <w:shd w:val="clear" w:color="auto" w:fill="auto"/>
            <w:noWrap/>
          </w:tcPr>
          <w:p w14:paraId="5538A45A" w14:textId="77777777" w:rsidR="009C353B" w:rsidRDefault="00000000">
            <w:pPr>
              <w:widowControl/>
              <w:jc w:val="center"/>
              <w:rPr>
                <w:rFonts w:ascii="Times New Roman" w:hAnsi="Times New Roman"/>
                <w:sz w:val="21"/>
                <w:szCs w:val="21"/>
              </w:rPr>
            </w:pPr>
            <w:r>
              <w:rPr>
                <w:rFonts w:ascii="Times New Roman" w:hAnsi="Times New Roman"/>
                <w:sz w:val="21"/>
                <w:szCs w:val="21"/>
              </w:rPr>
              <w:t>43.76</w:t>
            </w:r>
          </w:p>
        </w:tc>
        <w:tc>
          <w:tcPr>
            <w:tcW w:w="1942" w:type="dxa"/>
            <w:shd w:val="clear" w:color="auto" w:fill="auto"/>
          </w:tcPr>
          <w:p w14:paraId="7905F10D" w14:textId="77777777" w:rsidR="009C353B" w:rsidRDefault="00000000">
            <w:pPr>
              <w:widowControl/>
              <w:jc w:val="center"/>
              <w:rPr>
                <w:rFonts w:ascii="Times New Roman" w:hAnsi="Times New Roman"/>
                <w:sz w:val="21"/>
                <w:szCs w:val="21"/>
              </w:rPr>
            </w:pPr>
            <w:r>
              <w:rPr>
                <w:rFonts w:ascii="Times New Roman" w:hAnsi="Times New Roman"/>
                <w:sz w:val="21"/>
                <w:szCs w:val="21"/>
              </w:rPr>
              <w:t>45.24</w:t>
            </w:r>
          </w:p>
        </w:tc>
        <w:tc>
          <w:tcPr>
            <w:tcW w:w="1307" w:type="dxa"/>
            <w:shd w:val="clear" w:color="auto" w:fill="auto"/>
          </w:tcPr>
          <w:p w14:paraId="73FD7030" w14:textId="77777777" w:rsidR="009C353B" w:rsidRDefault="00000000">
            <w:pPr>
              <w:widowControl/>
              <w:jc w:val="center"/>
              <w:rPr>
                <w:rFonts w:ascii="Times New Roman" w:hAnsi="Times New Roman"/>
                <w:sz w:val="21"/>
                <w:szCs w:val="21"/>
              </w:rPr>
            </w:pPr>
            <w:r>
              <w:rPr>
                <w:rFonts w:ascii="Times New Roman" w:hAnsi="Times New Roman"/>
                <w:sz w:val="21"/>
                <w:szCs w:val="21"/>
              </w:rPr>
              <w:t>45.24</w:t>
            </w:r>
          </w:p>
        </w:tc>
        <w:tc>
          <w:tcPr>
            <w:tcW w:w="830" w:type="dxa"/>
            <w:vMerge/>
            <w:shd w:val="clear" w:color="auto" w:fill="auto"/>
            <w:noWrap/>
          </w:tcPr>
          <w:p w14:paraId="5CC5D400" w14:textId="77777777" w:rsidR="009C353B" w:rsidRDefault="009C353B">
            <w:pPr>
              <w:widowControl/>
              <w:jc w:val="center"/>
              <w:rPr>
                <w:rFonts w:ascii="Times New Roman" w:hAnsi="Times New Roman"/>
                <w:sz w:val="21"/>
                <w:szCs w:val="21"/>
              </w:rPr>
            </w:pPr>
          </w:p>
        </w:tc>
      </w:tr>
      <w:tr w:rsidR="009C353B" w14:paraId="19A57FE9" w14:textId="77777777">
        <w:trPr>
          <w:trHeight w:val="340"/>
        </w:trPr>
        <w:tc>
          <w:tcPr>
            <w:tcW w:w="648" w:type="dxa"/>
            <w:vMerge w:val="restart"/>
            <w:shd w:val="clear" w:color="auto" w:fill="auto"/>
          </w:tcPr>
          <w:p w14:paraId="6C186268" w14:textId="77777777" w:rsidR="009C353B" w:rsidRDefault="00000000">
            <w:pPr>
              <w:widowControl/>
              <w:jc w:val="center"/>
              <w:rPr>
                <w:rFonts w:ascii="Times New Roman" w:hAnsi="Times New Roman"/>
                <w:sz w:val="21"/>
                <w:szCs w:val="21"/>
              </w:rPr>
            </w:pPr>
            <w:r>
              <w:rPr>
                <w:rFonts w:ascii="Times New Roman" w:hAnsi="Times New Roman"/>
                <w:sz w:val="21"/>
                <w:szCs w:val="21"/>
              </w:rPr>
              <w:t>任</w:t>
            </w:r>
          </w:p>
          <w:p w14:paraId="7E8428C9" w14:textId="77777777" w:rsidR="009C353B" w:rsidRDefault="00000000">
            <w:pPr>
              <w:widowControl/>
              <w:jc w:val="center"/>
              <w:rPr>
                <w:rFonts w:ascii="Times New Roman" w:hAnsi="Times New Roman"/>
                <w:sz w:val="21"/>
                <w:szCs w:val="21"/>
              </w:rPr>
            </w:pPr>
            <w:r>
              <w:rPr>
                <w:rFonts w:ascii="Times New Roman" w:hAnsi="Times New Roman"/>
                <w:sz w:val="21"/>
                <w:szCs w:val="21"/>
              </w:rPr>
              <w:t>家</w:t>
            </w:r>
          </w:p>
          <w:p w14:paraId="2F1DB4B6" w14:textId="77777777" w:rsidR="009C353B" w:rsidRDefault="00000000">
            <w:pPr>
              <w:widowControl/>
              <w:jc w:val="center"/>
              <w:rPr>
                <w:rFonts w:ascii="Times New Roman" w:hAnsi="Times New Roman"/>
                <w:sz w:val="21"/>
                <w:szCs w:val="21"/>
              </w:rPr>
            </w:pPr>
            <w:r>
              <w:rPr>
                <w:rFonts w:ascii="Times New Roman" w:hAnsi="Times New Roman"/>
                <w:sz w:val="21"/>
                <w:szCs w:val="21"/>
              </w:rPr>
              <w:t>庄</w:t>
            </w:r>
          </w:p>
          <w:p w14:paraId="21AA702D"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p>
          <w:p w14:paraId="229E41D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线</w:t>
            </w:r>
          </w:p>
        </w:tc>
        <w:tc>
          <w:tcPr>
            <w:tcW w:w="1111" w:type="dxa"/>
            <w:vMerge w:val="restart"/>
            <w:shd w:val="clear" w:color="auto" w:fill="auto"/>
          </w:tcPr>
          <w:p w14:paraId="2C4FD61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111</w:t>
            </w:r>
          </w:p>
        </w:tc>
        <w:tc>
          <w:tcPr>
            <w:tcW w:w="883" w:type="dxa"/>
            <w:shd w:val="clear" w:color="auto" w:fill="auto"/>
            <w:noWrap/>
          </w:tcPr>
          <w:p w14:paraId="0DD581DC"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52E3834D" w14:textId="77777777" w:rsidR="009C353B" w:rsidRDefault="00000000">
            <w:pPr>
              <w:widowControl/>
              <w:jc w:val="center"/>
              <w:rPr>
                <w:rFonts w:ascii="Times New Roman" w:hAnsi="Times New Roman"/>
                <w:sz w:val="21"/>
                <w:szCs w:val="21"/>
              </w:rPr>
            </w:pPr>
            <w:r>
              <w:rPr>
                <w:rFonts w:ascii="Times New Roman" w:hAnsi="Times New Roman"/>
                <w:sz w:val="21"/>
                <w:szCs w:val="21"/>
              </w:rPr>
              <w:t>0.45</w:t>
            </w:r>
          </w:p>
        </w:tc>
        <w:tc>
          <w:tcPr>
            <w:tcW w:w="882" w:type="dxa"/>
            <w:shd w:val="clear" w:color="auto" w:fill="auto"/>
            <w:noWrap/>
          </w:tcPr>
          <w:p w14:paraId="7D310B84" w14:textId="77777777" w:rsidR="009C353B" w:rsidRDefault="00000000">
            <w:pPr>
              <w:widowControl/>
              <w:jc w:val="center"/>
              <w:rPr>
                <w:rFonts w:ascii="Times New Roman" w:hAnsi="Times New Roman"/>
                <w:sz w:val="21"/>
                <w:szCs w:val="21"/>
              </w:rPr>
            </w:pPr>
            <w:r>
              <w:rPr>
                <w:rFonts w:ascii="Times New Roman" w:hAnsi="Times New Roman"/>
                <w:sz w:val="21"/>
                <w:szCs w:val="21"/>
              </w:rPr>
              <w:t>16.02</w:t>
            </w:r>
          </w:p>
        </w:tc>
        <w:tc>
          <w:tcPr>
            <w:tcW w:w="883" w:type="dxa"/>
            <w:shd w:val="clear" w:color="auto" w:fill="auto"/>
            <w:noWrap/>
          </w:tcPr>
          <w:p w14:paraId="5D93D265" w14:textId="77777777" w:rsidR="009C353B" w:rsidRDefault="00000000">
            <w:pPr>
              <w:widowControl/>
              <w:jc w:val="center"/>
              <w:rPr>
                <w:rFonts w:ascii="Times New Roman" w:hAnsi="Times New Roman"/>
                <w:sz w:val="21"/>
                <w:szCs w:val="21"/>
              </w:rPr>
            </w:pPr>
            <w:r>
              <w:rPr>
                <w:rFonts w:ascii="Times New Roman" w:hAnsi="Times New Roman"/>
                <w:sz w:val="21"/>
                <w:szCs w:val="21"/>
              </w:rPr>
              <w:t>23.42</w:t>
            </w:r>
          </w:p>
        </w:tc>
        <w:tc>
          <w:tcPr>
            <w:tcW w:w="1942" w:type="dxa"/>
            <w:shd w:val="clear" w:color="auto" w:fill="auto"/>
          </w:tcPr>
          <w:p w14:paraId="0AFB47E2" w14:textId="77777777" w:rsidR="009C353B" w:rsidRDefault="00000000">
            <w:pPr>
              <w:widowControl/>
              <w:jc w:val="center"/>
              <w:rPr>
                <w:rFonts w:ascii="Times New Roman" w:hAnsi="Times New Roman"/>
                <w:sz w:val="21"/>
                <w:szCs w:val="21"/>
              </w:rPr>
            </w:pPr>
            <w:r>
              <w:rPr>
                <w:rFonts w:ascii="Times New Roman" w:hAnsi="Times New Roman"/>
                <w:sz w:val="21"/>
                <w:szCs w:val="21"/>
              </w:rPr>
              <w:t>11.44</w:t>
            </w:r>
          </w:p>
        </w:tc>
        <w:tc>
          <w:tcPr>
            <w:tcW w:w="1307" w:type="dxa"/>
            <w:shd w:val="clear" w:color="auto" w:fill="auto"/>
          </w:tcPr>
          <w:p w14:paraId="65015EC0" w14:textId="77777777" w:rsidR="009C353B" w:rsidRDefault="00000000">
            <w:pPr>
              <w:widowControl/>
              <w:jc w:val="center"/>
              <w:rPr>
                <w:rFonts w:ascii="Times New Roman" w:hAnsi="Times New Roman"/>
                <w:sz w:val="21"/>
                <w:szCs w:val="21"/>
              </w:rPr>
            </w:pPr>
            <w:r>
              <w:rPr>
                <w:rFonts w:ascii="Times New Roman" w:hAnsi="Times New Roman"/>
                <w:sz w:val="21"/>
                <w:szCs w:val="21"/>
              </w:rPr>
              <w:t>23.42</w:t>
            </w:r>
          </w:p>
        </w:tc>
        <w:tc>
          <w:tcPr>
            <w:tcW w:w="830" w:type="dxa"/>
            <w:vMerge w:val="restart"/>
            <w:shd w:val="clear" w:color="auto" w:fill="auto"/>
            <w:noWrap/>
          </w:tcPr>
          <w:p w14:paraId="009CC7B1"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22E9AC7D" w14:textId="77777777">
        <w:trPr>
          <w:trHeight w:val="340"/>
        </w:trPr>
        <w:tc>
          <w:tcPr>
            <w:tcW w:w="648" w:type="dxa"/>
            <w:vMerge/>
            <w:shd w:val="clear" w:color="auto" w:fill="auto"/>
          </w:tcPr>
          <w:p w14:paraId="7D28C05E"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1F68E0BB"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5822A7F"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3DA50555" w14:textId="77777777" w:rsidR="009C353B" w:rsidRDefault="00000000">
            <w:pPr>
              <w:widowControl/>
              <w:jc w:val="center"/>
              <w:rPr>
                <w:rFonts w:ascii="Times New Roman" w:hAnsi="Times New Roman"/>
                <w:sz w:val="21"/>
                <w:szCs w:val="21"/>
              </w:rPr>
            </w:pPr>
            <w:r>
              <w:rPr>
                <w:rFonts w:ascii="Times New Roman" w:hAnsi="Times New Roman"/>
                <w:sz w:val="21"/>
                <w:szCs w:val="21"/>
              </w:rPr>
              <w:t>1.50</w:t>
            </w:r>
          </w:p>
        </w:tc>
        <w:tc>
          <w:tcPr>
            <w:tcW w:w="882" w:type="dxa"/>
            <w:shd w:val="clear" w:color="auto" w:fill="auto"/>
            <w:noWrap/>
          </w:tcPr>
          <w:p w14:paraId="7ECA5462" w14:textId="77777777" w:rsidR="009C353B" w:rsidRDefault="00000000">
            <w:pPr>
              <w:widowControl/>
              <w:jc w:val="center"/>
              <w:rPr>
                <w:rFonts w:ascii="Times New Roman" w:hAnsi="Times New Roman"/>
                <w:sz w:val="21"/>
                <w:szCs w:val="21"/>
              </w:rPr>
            </w:pPr>
            <w:r>
              <w:rPr>
                <w:rFonts w:ascii="Times New Roman" w:hAnsi="Times New Roman"/>
                <w:sz w:val="21"/>
                <w:szCs w:val="21"/>
              </w:rPr>
              <w:t>30.60</w:t>
            </w:r>
          </w:p>
        </w:tc>
        <w:tc>
          <w:tcPr>
            <w:tcW w:w="883" w:type="dxa"/>
            <w:shd w:val="clear" w:color="auto" w:fill="auto"/>
            <w:noWrap/>
          </w:tcPr>
          <w:p w14:paraId="331430E2" w14:textId="77777777" w:rsidR="009C353B" w:rsidRDefault="00000000">
            <w:pPr>
              <w:widowControl/>
              <w:jc w:val="center"/>
              <w:rPr>
                <w:rFonts w:ascii="Times New Roman" w:hAnsi="Times New Roman"/>
                <w:sz w:val="21"/>
                <w:szCs w:val="21"/>
              </w:rPr>
            </w:pPr>
            <w:r>
              <w:rPr>
                <w:rFonts w:ascii="Times New Roman" w:hAnsi="Times New Roman"/>
                <w:sz w:val="21"/>
                <w:szCs w:val="21"/>
              </w:rPr>
              <w:t>34.49</w:t>
            </w:r>
          </w:p>
        </w:tc>
        <w:tc>
          <w:tcPr>
            <w:tcW w:w="1942" w:type="dxa"/>
            <w:shd w:val="clear" w:color="auto" w:fill="auto"/>
          </w:tcPr>
          <w:p w14:paraId="28A41C8E" w14:textId="77777777" w:rsidR="009C353B" w:rsidRDefault="00000000">
            <w:pPr>
              <w:widowControl/>
              <w:jc w:val="center"/>
              <w:rPr>
                <w:rFonts w:ascii="Times New Roman" w:hAnsi="Times New Roman"/>
                <w:sz w:val="21"/>
                <w:szCs w:val="21"/>
              </w:rPr>
            </w:pPr>
            <w:r>
              <w:rPr>
                <w:rFonts w:ascii="Times New Roman" w:hAnsi="Times New Roman"/>
                <w:sz w:val="21"/>
                <w:szCs w:val="21"/>
              </w:rPr>
              <w:t>26.23</w:t>
            </w:r>
          </w:p>
        </w:tc>
        <w:tc>
          <w:tcPr>
            <w:tcW w:w="1307" w:type="dxa"/>
            <w:shd w:val="clear" w:color="auto" w:fill="auto"/>
          </w:tcPr>
          <w:p w14:paraId="3AE82DE1" w14:textId="77777777" w:rsidR="009C353B" w:rsidRDefault="00000000">
            <w:pPr>
              <w:widowControl/>
              <w:jc w:val="center"/>
              <w:rPr>
                <w:rFonts w:ascii="Times New Roman" w:hAnsi="Times New Roman"/>
                <w:sz w:val="21"/>
                <w:szCs w:val="21"/>
              </w:rPr>
            </w:pPr>
            <w:r>
              <w:rPr>
                <w:rFonts w:ascii="Times New Roman" w:hAnsi="Times New Roman"/>
                <w:sz w:val="21"/>
                <w:szCs w:val="21"/>
              </w:rPr>
              <w:t>34.49</w:t>
            </w:r>
          </w:p>
        </w:tc>
        <w:tc>
          <w:tcPr>
            <w:tcW w:w="830" w:type="dxa"/>
            <w:vMerge/>
            <w:shd w:val="clear" w:color="auto" w:fill="auto"/>
            <w:noWrap/>
          </w:tcPr>
          <w:p w14:paraId="7834F6B6" w14:textId="77777777" w:rsidR="009C353B" w:rsidRDefault="009C353B">
            <w:pPr>
              <w:widowControl/>
              <w:jc w:val="center"/>
              <w:rPr>
                <w:rFonts w:ascii="Times New Roman" w:hAnsi="Times New Roman"/>
                <w:sz w:val="21"/>
                <w:szCs w:val="21"/>
              </w:rPr>
            </w:pPr>
          </w:p>
        </w:tc>
      </w:tr>
      <w:tr w:rsidR="009C353B" w14:paraId="6B1DC5FC" w14:textId="77777777">
        <w:trPr>
          <w:trHeight w:val="340"/>
        </w:trPr>
        <w:tc>
          <w:tcPr>
            <w:tcW w:w="648" w:type="dxa"/>
            <w:vMerge/>
            <w:shd w:val="clear" w:color="auto" w:fill="auto"/>
          </w:tcPr>
          <w:p w14:paraId="798B015C"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4C03156"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3C31A774"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57F1E69B" w14:textId="77777777" w:rsidR="009C353B" w:rsidRDefault="00000000">
            <w:pPr>
              <w:widowControl/>
              <w:jc w:val="center"/>
              <w:rPr>
                <w:rFonts w:ascii="Times New Roman" w:hAnsi="Times New Roman"/>
                <w:sz w:val="21"/>
                <w:szCs w:val="21"/>
              </w:rPr>
            </w:pPr>
            <w:r>
              <w:rPr>
                <w:rFonts w:ascii="Times New Roman" w:hAnsi="Times New Roman"/>
                <w:sz w:val="21"/>
                <w:szCs w:val="21"/>
              </w:rPr>
              <w:t>5.08</w:t>
            </w:r>
          </w:p>
        </w:tc>
        <w:tc>
          <w:tcPr>
            <w:tcW w:w="882" w:type="dxa"/>
            <w:shd w:val="clear" w:color="auto" w:fill="auto"/>
            <w:noWrap/>
          </w:tcPr>
          <w:p w14:paraId="76289D80" w14:textId="77777777" w:rsidR="009C353B" w:rsidRDefault="00000000">
            <w:pPr>
              <w:widowControl/>
              <w:jc w:val="center"/>
              <w:rPr>
                <w:rFonts w:ascii="Times New Roman" w:hAnsi="Times New Roman"/>
                <w:sz w:val="21"/>
                <w:szCs w:val="21"/>
              </w:rPr>
            </w:pPr>
            <w:r>
              <w:rPr>
                <w:rFonts w:ascii="Times New Roman" w:hAnsi="Times New Roman"/>
                <w:sz w:val="21"/>
                <w:szCs w:val="21"/>
              </w:rPr>
              <w:t>48.92</w:t>
            </w:r>
          </w:p>
        </w:tc>
        <w:tc>
          <w:tcPr>
            <w:tcW w:w="883" w:type="dxa"/>
            <w:shd w:val="clear" w:color="auto" w:fill="auto"/>
            <w:noWrap/>
          </w:tcPr>
          <w:p w14:paraId="0F2F257F" w14:textId="77777777" w:rsidR="009C353B" w:rsidRDefault="00000000">
            <w:pPr>
              <w:widowControl/>
              <w:jc w:val="center"/>
              <w:rPr>
                <w:rFonts w:ascii="Times New Roman" w:hAnsi="Times New Roman"/>
                <w:sz w:val="21"/>
                <w:szCs w:val="21"/>
              </w:rPr>
            </w:pPr>
            <w:r>
              <w:rPr>
                <w:rFonts w:ascii="Times New Roman" w:hAnsi="Times New Roman"/>
                <w:sz w:val="21"/>
                <w:szCs w:val="21"/>
              </w:rPr>
              <w:t>55.08</w:t>
            </w:r>
          </w:p>
        </w:tc>
        <w:tc>
          <w:tcPr>
            <w:tcW w:w="1942" w:type="dxa"/>
            <w:shd w:val="clear" w:color="auto" w:fill="auto"/>
          </w:tcPr>
          <w:p w14:paraId="1EBE457E" w14:textId="77777777" w:rsidR="009C353B" w:rsidRDefault="00000000">
            <w:pPr>
              <w:widowControl/>
              <w:jc w:val="center"/>
              <w:rPr>
                <w:rFonts w:ascii="Times New Roman" w:hAnsi="Times New Roman"/>
                <w:sz w:val="21"/>
                <w:szCs w:val="21"/>
              </w:rPr>
            </w:pPr>
            <w:r>
              <w:rPr>
                <w:rFonts w:ascii="Times New Roman" w:hAnsi="Times New Roman"/>
                <w:sz w:val="21"/>
                <w:szCs w:val="21"/>
              </w:rPr>
              <w:t>76.65</w:t>
            </w:r>
          </w:p>
        </w:tc>
        <w:tc>
          <w:tcPr>
            <w:tcW w:w="1307" w:type="dxa"/>
            <w:shd w:val="clear" w:color="auto" w:fill="auto"/>
          </w:tcPr>
          <w:p w14:paraId="047CA9C6" w14:textId="77777777" w:rsidR="009C353B" w:rsidRDefault="00000000">
            <w:pPr>
              <w:widowControl/>
              <w:jc w:val="center"/>
              <w:rPr>
                <w:rFonts w:ascii="Times New Roman" w:hAnsi="Times New Roman"/>
                <w:sz w:val="21"/>
                <w:szCs w:val="21"/>
              </w:rPr>
            </w:pPr>
            <w:r>
              <w:rPr>
                <w:rFonts w:ascii="Times New Roman" w:hAnsi="Times New Roman"/>
                <w:sz w:val="21"/>
                <w:szCs w:val="21"/>
              </w:rPr>
              <w:t>76.65</w:t>
            </w:r>
          </w:p>
        </w:tc>
        <w:tc>
          <w:tcPr>
            <w:tcW w:w="830" w:type="dxa"/>
            <w:vMerge/>
            <w:shd w:val="clear" w:color="auto" w:fill="auto"/>
            <w:noWrap/>
          </w:tcPr>
          <w:p w14:paraId="3D89D0D8" w14:textId="77777777" w:rsidR="009C353B" w:rsidRDefault="009C353B">
            <w:pPr>
              <w:widowControl/>
              <w:jc w:val="center"/>
              <w:rPr>
                <w:rFonts w:ascii="Times New Roman" w:hAnsi="Times New Roman"/>
                <w:sz w:val="21"/>
                <w:szCs w:val="21"/>
              </w:rPr>
            </w:pPr>
          </w:p>
        </w:tc>
      </w:tr>
      <w:tr w:rsidR="009C353B" w14:paraId="0B60A5D0" w14:textId="77777777">
        <w:trPr>
          <w:trHeight w:val="340"/>
        </w:trPr>
        <w:tc>
          <w:tcPr>
            <w:tcW w:w="648" w:type="dxa"/>
            <w:vMerge/>
            <w:shd w:val="clear" w:color="auto" w:fill="auto"/>
          </w:tcPr>
          <w:p w14:paraId="70413461"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1083535E"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167</w:t>
            </w:r>
          </w:p>
        </w:tc>
        <w:tc>
          <w:tcPr>
            <w:tcW w:w="883" w:type="dxa"/>
            <w:shd w:val="clear" w:color="auto" w:fill="auto"/>
            <w:noWrap/>
          </w:tcPr>
          <w:p w14:paraId="192206CE"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496BD584" w14:textId="77777777" w:rsidR="009C353B" w:rsidRDefault="00000000">
            <w:pPr>
              <w:widowControl/>
              <w:jc w:val="center"/>
              <w:rPr>
                <w:rFonts w:ascii="Times New Roman" w:hAnsi="Times New Roman"/>
                <w:sz w:val="21"/>
                <w:szCs w:val="21"/>
              </w:rPr>
            </w:pPr>
            <w:r>
              <w:rPr>
                <w:rFonts w:ascii="Times New Roman" w:hAnsi="Times New Roman"/>
                <w:sz w:val="21"/>
                <w:szCs w:val="21"/>
              </w:rPr>
              <w:t>3.48</w:t>
            </w:r>
          </w:p>
        </w:tc>
        <w:tc>
          <w:tcPr>
            <w:tcW w:w="882" w:type="dxa"/>
            <w:shd w:val="clear" w:color="auto" w:fill="auto"/>
            <w:noWrap/>
          </w:tcPr>
          <w:p w14:paraId="48EB0A23" w14:textId="77777777" w:rsidR="009C353B" w:rsidRDefault="00000000">
            <w:pPr>
              <w:widowControl/>
              <w:jc w:val="center"/>
              <w:rPr>
                <w:rFonts w:ascii="Times New Roman" w:hAnsi="Times New Roman"/>
                <w:sz w:val="21"/>
                <w:szCs w:val="21"/>
              </w:rPr>
            </w:pPr>
            <w:r>
              <w:rPr>
                <w:rFonts w:ascii="Times New Roman" w:hAnsi="Times New Roman"/>
                <w:sz w:val="21"/>
                <w:szCs w:val="21"/>
              </w:rPr>
              <w:t>43.56</w:t>
            </w:r>
          </w:p>
        </w:tc>
        <w:tc>
          <w:tcPr>
            <w:tcW w:w="883" w:type="dxa"/>
            <w:shd w:val="clear" w:color="auto" w:fill="auto"/>
            <w:noWrap/>
          </w:tcPr>
          <w:p w14:paraId="7BF0AABE" w14:textId="77777777" w:rsidR="009C353B" w:rsidRDefault="00000000">
            <w:pPr>
              <w:widowControl/>
              <w:jc w:val="center"/>
              <w:rPr>
                <w:rFonts w:ascii="Times New Roman" w:hAnsi="Times New Roman"/>
                <w:sz w:val="21"/>
                <w:szCs w:val="21"/>
              </w:rPr>
            </w:pPr>
            <w:r>
              <w:rPr>
                <w:rFonts w:ascii="Times New Roman" w:hAnsi="Times New Roman"/>
                <w:sz w:val="21"/>
                <w:szCs w:val="21"/>
              </w:rPr>
              <w:t>47.31</w:t>
            </w:r>
          </w:p>
        </w:tc>
        <w:tc>
          <w:tcPr>
            <w:tcW w:w="1942" w:type="dxa"/>
            <w:shd w:val="clear" w:color="auto" w:fill="auto"/>
          </w:tcPr>
          <w:p w14:paraId="5AD3268B" w14:textId="77777777" w:rsidR="009C353B" w:rsidRDefault="00000000">
            <w:pPr>
              <w:widowControl/>
              <w:jc w:val="center"/>
              <w:rPr>
                <w:rFonts w:ascii="Times New Roman" w:hAnsi="Times New Roman"/>
                <w:sz w:val="21"/>
                <w:szCs w:val="21"/>
              </w:rPr>
            </w:pPr>
            <w:r>
              <w:rPr>
                <w:rFonts w:ascii="Times New Roman" w:hAnsi="Times New Roman"/>
                <w:sz w:val="21"/>
                <w:szCs w:val="21"/>
              </w:rPr>
              <w:t>54.11</w:t>
            </w:r>
          </w:p>
        </w:tc>
        <w:tc>
          <w:tcPr>
            <w:tcW w:w="1307" w:type="dxa"/>
            <w:shd w:val="clear" w:color="auto" w:fill="auto"/>
          </w:tcPr>
          <w:p w14:paraId="717A9582" w14:textId="77777777" w:rsidR="009C353B" w:rsidRDefault="00000000">
            <w:pPr>
              <w:widowControl/>
              <w:jc w:val="center"/>
              <w:rPr>
                <w:rFonts w:ascii="Times New Roman" w:hAnsi="Times New Roman"/>
                <w:sz w:val="21"/>
                <w:szCs w:val="21"/>
              </w:rPr>
            </w:pPr>
            <w:r>
              <w:rPr>
                <w:rFonts w:ascii="Times New Roman" w:hAnsi="Times New Roman"/>
                <w:sz w:val="21"/>
                <w:szCs w:val="21"/>
              </w:rPr>
              <w:t>54.11</w:t>
            </w:r>
          </w:p>
        </w:tc>
        <w:tc>
          <w:tcPr>
            <w:tcW w:w="830" w:type="dxa"/>
            <w:vMerge w:val="restart"/>
            <w:shd w:val="clear" w:color="auto" w:fill="auto"/>
            <w:noWrap/>
          </w:tcPr>
          <w:p w14:paraId="06C69577"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08F79FC6" w14:textId="77777777">
        <w:trPr>
          <w:trHeight w:val="340"/>
        </w:trPr>
        <w:tc>
          <w:tcPr>
            <w:tcW w:w="648" w:type="dxa"/>
            <w:vMerge/>
            <w:shd w:val="clear" w:color="auto" w:fill="auto"/>
          </w:tcPr>
          <w:p w14:paraId="15C5DD27"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2C1EAAC"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4454A997"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7EFAEF47" w14:textId="77777777" w:rsidR="009C353B" w:rsidRDefault="00000000">
            <w:pPr>
              <w:widowControl/>
              <w:jc w:val="center"/>
              <w:rPr>
                <w:rFonts w:ascii="Times New Roman" w:hAnsi="Times New Roman"/>
                <w:sz w:val="21"/>
                <w:szCs w:val="21"/>
              </w:rPr>
            </w:pPr>
            <w:r>
              <w:rPr>
                <w:rFonts w:ascii="Times New Roman" w:hAnsi="Times New Roman"/>
                <w:sz w:val="21"/>
                <w:szCs w:val="21"/>
              </w:rPr>
              <w:t>1.37</w:t>
            </w:r>
          </w:p>
        </w:tc>
        <w:tc>
          <w:tcPr>
            <w:tcW w:w="882" w:type="dxa"/>
            <w:shd w:val="clear" w:color="auto" w:fill="auto"/>
            <w:noWrap/>
          </w:tcPr>
          <w:p w14:paraId="7BBA666F" w14:textId="77777777" w:rsidR="009C353B" w:rsidRDefault="00000000">
            <w:pPr>
              <w:widowControl/>
              <w:jc w:val="center"/>
              <w:rPr>
                <w:rFonts w:ascii="Times New Roman" w:hAnsi="Times New Roman"/>
                <w:sz w:val="21"/>
                <w:szCs w:val="21"/>
              </w:rPr>
            </w:pPr>
            <w:r>
              <w:rPr>
                <w:rFonts w:ascii="Times New Roman" w:hAnsi="Times New Roman"/>
                <w:sz w:val="21"/>
                <w:szCs w:val="21"/>
              </w:rPr>
              <w:t>29.25</w:t>
            </w:r>
          </w:p>
        </w:tc>
        <w:tc>
          <w:tcPr>
            <w:tcW w:w="883" w:type="dxa"/>
            <w:shd w:val="clear" w:color="auto" w:fill="auto"/>
            <w:noWrap/>
          </w:tcPr>
          <w:p w14:paraId="38F8A30A" w14:textId="77777777" w:rsidR="009C353B" w:rsidRDefault="00000000">
            <w:pPr>
              <w:widowControl/>
              <w:jc w:val="center"/>
              <w:rPr>
                <w:rFonts w:ascii="Times New Roman" w:hAnsi="Times New Roman"/>
                <w:sz w:val="21"/>
                <w:szCs w:val="21"/>
              </w:rPr>
            </w:pPr>
            <w:r>
              <w:rPr>
                <w:rFonts w:ascii="Times New Roman" w:hAnsi="Times New Roman"/>
                <w:sz w:val="21"/>
                <w:szCs w:val="21"/>
              </w:rPr>
              <w:t>33.41</w:t>
            </w:r>
          </w:p>
        </w:tc>
        <w:tc>
          <w:tcPr>
            <w:tcW w:w="1942" w:type="dxa"/>
            <w:shd w:val="clear" w:color="auto" w:fill="auto"/>
          </w:tcPr>
          <w:p w14:paraId="35939412" w14:textId="77777777" w:rsidR="009C353B" w:rsidRDefault="00000000">
            <w:pPr>
              <w:widowControl/>
              <w:jc w:val="center"/>
              <w:rPr>
                <w:rFonts w:ascii="Times New Roman" w:hAnsi="Times New Roman"/>
                <w:sz w:val="21"/>
                <w:szCs w:val="21"/>
              </w:rPr>
            </w:pPr>
            <w:r>
              <w:rPr>
                <w:rFonts w:ascii="Times New Roman" w:hAnsi="Times New Roman"/>
                <w:sz w:val="21"/>
                <w:szCs w:val="21"/>
              </w:rPr>
              <w:t>24.40</w:t>
            </w:r>
          </w:p>
        </w:tc>
        <w:tc>
          <w:tcPr>
            <w:tcW w:w="1307" w:type="dxa"/>
            <w:shd w:val="clear" w:color="auto" w:fill="auto"/>
          </w:tcPr>
          <w:p w14:paraId="79A43D6B" w14:textId="77777777" w:rsidR="009C353B" w:rsidRDefault="00000000">
            <w:pPr>
              <w:widowControl/>
              <w:jc w:val="center"/>
              <w:rPr>
                <w:rFonts w:ascii="Times New Roman" w:hAnsi="Times New Roman"/>
                <w:sz w:val="21"/>
                <w:szCs w:val="21"/>
              </w:rPr>
            </w:pPr>
            <w:r>
              <w:rPr>
                <w:rFonts w:ascii="Times New Roman" w:hAnsi="Times New Roman"/>
                <w:sz w:val="21"/>
                <w:szCs w:val="21"/>
              </w:rPr>
              <w:t>33.41</w:t>
            </w:r>
          </w:p>
        </w:tc>
        <w:tc>
          <w:tcPr>
            <w:tcW w:w="830" w:type="dxa"/>
            <w:vMerge/>
            <w:shd w:val="clear" w:color="auto" w:fill="auto"/>
            <w:noWrap/>
          </w:tcPr>
          <w:p w14:paraId="2CD52BA2" w14:textId="77777777" w:rsidR="009C353B" w:rsidRDefault="009C353B">
            <w:pPr>
              <w:widowControl/>
              <w:jc w:val="center"/>
              <w:rPr>
                <w:rFonts w:ascii="Times New Roman" w:hAnsi="Times New Roman"/>
                <w:sz w:val="21"/>
                <w:szCs w:val="21"/>
              </w:rPr>
            </w:pPr>
          </w:p>
        </w:tc>
      </w:tr>
      <w:tr w:rsidR="009C353B" w14:paraId="51DBD0D1" w14:textId="77777777">
        <w:trPr>
          <w:trHeight w:val="340"/>
        </w:trPr>
        <w:tc>
          <w:tcPr>
            <w:tcW w:w="648" w:type="dxa"/>
            <w:vMerge/>
            <w:shd w:val="clear" w:color="auto" w:fill="auto"/>
          </w:tcPr>
          <w:p w14:paraId="1EB93211"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41C2866D"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213</w:t>
            </w:r>
          </w:p>
        </w:tc>
        <w:tc>
          <w:tcPr>
            <w:tcW w:w="883" w:type="dxa"/>
            <w:shd w:val="clear" w:color="auto" w:fill="auto"/>
            <w:noWrap/>
          </w:tcPr>
          <w:p w14:paraId="5EABCBAD" w14:textId="77777777" w:rsidR="009C353B" w:rsidRDefault="00000000">
            <w:pPr>
              <w:widowControl/>
              <w:jc w:val="center"/>
              <w:rPr>
                <w:rFonts w:ascii="Times New Roman" w:hAnsi="Times New Roman"/>
                <w:sz w:val="21"/>
                <w:szCs w:val="21"/>
              </w:rPr>
            </w:pPr>
            <w:r>
              <w:rPr>
                <w:rFonts w:ascii="Times New Roman" w:hAnsi="Times New Roman"/>
                <w:sz w:val="21"/>
                <w:szCs w:val="21"/>
              </w:rPr>
              <w:t>4</w:t>
            </w:r>
            <w:r>
              <w:rPr>
                <w:rFonts w:ascii="Times New Roman" w:hAnsi="Times New Roman"/>
                <w:sz w:val="21"/>
                <w:szCs w:val="21"/>
              </w:rPr>
              <w:t>煤</w:t>
            </w:r>
          </w:p>
        </w:tc>
        <w:tc>
          <w:tcPr>
            <w:tcW w:w="800" w:type="dxa"/>
            <w:shd w:val="clear" w:color="auto" w:fill="auto"/>
            <w:noWrap/>
          </w:tcPr>
          <w:p w14:paraId="7FB1A202" w14:textId="77777777" w:rsidR="009C353B" w:rsidRDefault="00000000">
            <w:pPr>
              <w:widowControl/>
              <w:jc w:val="center"/>
              <w:rPr>
                <w:rFonts w:ascii="Times New Roman" w:hAnsi="Times New Roman"/>
                <w:sz w:val="21"/>
                <w:szCs w:val="21"/>
              </w:rPr>
            </w:pPr>
            <w:r>
              <w:rPr>
                <w:rFonts w:ascii="Times New Roman" w:hAnsi="Times New Roman"/>
                <w:sz w:val="21"/>
                <w:szCs w:val="21"/>
              </w:rPr>
              <w:t>1.20</w:t>
            </w:r>
          </w:p>
        </w:tc>
        <w:tc>
          <w:tcPr>
            <w:tcW w:w="882" w:type="dxa"/>
            <w:shd w:val="clear" w:color="auto" w:fill="auto"/>
            <w:noWrap/>
          </w:tcPr>
          <w:p w14:paraId="5CA111B9" w14:textId="77777777" w:rsidR="009C353B" w:rsidRDefault="00000000">
            <w:pPr>
              <w:widowControl/>
              <w:jc w:val="center"/>
              <w:rPr>
                <w:rFonts w:ascii="Times New Roman" w:hAnsi="Times New Roman"/>
                <w:sz w:val="21"/>
                <w:szCs w:val="21"/>
              </w:rPr>
            </w:pPr>
            <w:r>
              <w:rPr>
                <w:rFonts w:ascii="Times New Roman" w:hAnsi="Times New Roman"/>
                <w:sz w:val="21"/>
                <w:szCs w:val="21"/>
              </w:rPr>
              <w:t>27.34</w:t>
            </w:r>
          </w:p>
        </w:tc>
        <w:tc>
          <w:tcPr>
            <w:tcW w:w="883" w:type="dxa"/>
            <w:shd w:val="clear" w:color="auto" w:fill="auto"/>
            <w:noWrap/>
          </w:tcPr>
          <w:p w14:paraId="2A31CEBC" w14:textId="77777777" w:rsidR="009C353B" w:rsidRDefault="00000000">
            <w:pPr>
              <w:widowControl/>
              <w:jc w:val="center"/>
              <w:rPr>
                <w:rFonts w:ascii="Times New Roman" w:hAnsi="Times New Roman"/>
                <w:sz w:val="21"/>
                <w:szCs w:val="21"/>
              </w:rPr>
            </w:pPr>
            <w:r>
              <w:rPr>
                <w:rFonts w:ascii="Times New Roman" w:hAnsi="Times New Roman"/>
                <w:sz w:val="21"/>
                <w:szCs w:val="21"/>
              </w:rPr>
              <w:t>31.91</w:t>
            </w:r>
          </w:p>
        </w:tc>
        <w:tc>
          <w:tcPr>
            <w:tcW w:w="1942" w:type="dxa"/>
            <w:shd w:val="clear" w:color="auto" w:fill="auto"/>
          </w:tcPr>
          <w:p w14:paraId="53D4C4AF" w14:textId="77777777" w:rsidR="009C353B" w:rsidRDefault="00000000">
            <w:pPr>
              <w:widowControl/>
              <w:jc w:val="center"/>
              <w:rPr>
                <w:rFonts w:ascii="Times New Roman" w:hAnsi="Times New Roman"/>
                <w:sz w:val="21"/>
                <w:szCs w:val="21"/>
              </w:rPr>
            </w:pPr>
            <w:r>
              <w:rPr>
                <w:rFonts w:ascii="Times New Roman" w:hAnsi="Times New Roman"/>
                <w:sz w:val="21"/>
                <w:szCs w:val="21"/>
              </w:rPr>
              <w:t>22.00</w:t>
            </w:r>
          </w:p>
        </w:tc>
        <w:tc>
          <w:tcPr>
            <w:tcW w:w="1307" w:type="dxa"/>
            <w:shd w:val="clear" w:color="auto" w:fill="auto"/>
          </w:tcPr>
          <w:p w14:paraId="248A44DE" w14:textId="77777777" w:rsidR="009C353B" w:rsidRDefault="00000000">
            <w:pPr>
              <w:widowControl/>
              <w:jc w:val="center"/>
              <w:rPr>
                <w:rFonts w:ascii="Times New Roman" w:hAnsi="Times New Roman"/>
                <w:sz w:val="21"/>
                <w:szCs w:val="21"/>
              </w:rPr>
            </w:pPr>
            <w:r>
              <w:rPr>
                <w:rFonts w:ascii="Times New Roman" w:hAnsi="Times New Roman"/>
                <w:sz w:val="21"/>
                <w:szCs w:val="21"/>
              </w:rPr>
              <w:t>31.91</w:t>
            </w:r>
          </w:p>
        </w:tc>
        <w:tc>
          <w:tcPr>
            <w:tcW w:w="830" w:type="dxa"/>
            <w:vMerge w:val="restart"/>
            <w:shd w:val="clear" w:color="auto" w:fill="auto"/>
            <w:noWrap/>
          </w:tcPr>
          <w:p w14:paraId="6780C393"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E</w:t>
            </w:r>
            <w:r>
              <w:rPr>
                <w:rFonts w:ascii="Times New Roman" w:hAnsi="Times New Roman"/>
                <w:sz w:val="21"/>
                <w:szCs w:val="21"/>
              </w:rPr>
              <w:t>q</w:t>
            </w:r>
          </w:p>
        </w:tc>
      </w:tr>
      <w:tr w:rsidR="009C353B" w14:paraId="3B4E6D34" w14:textId="77777777">
        <w:trPr>
          <w:trHeight w:val="340"/>
        </w:trPr>
        <w:tc>
          <w:tcPr>
            <w:tcW w:w="648" w:type="dxa"/>
            <w:vMerge/>
            <w:shd w:val="clear" w:color="auto" w:fill="auto"/>
          </w:tcPr>
          <w:p w14:paraId="78E6C9C6"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48D7A7B1"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4490765"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50AD7C37" w14:textId="77777777" w:rsidR="009C353B" w:rsidRDefault="00000000">
            <w:pPr>
              <w:widowControl/>
              <w:jc w:val="center"/>
              <w:rPr>
                <w:rFonts w:ascii="Times New Roman" w:hAnsi="Times New Roman"/>
                <w:sz w:val="21"/>
                <w:szCs w:val="21"/>
              </w:rPr>
            </w:pPr>
            <w:r>
              <w:rPr>
                <w:rFonts w:ascii="Times New Roman" w:hAnsi="Times New Roman"/>
                <w:sz w:val="21"/>
                <w:szCs w:val="21"/>
              </w:rPr>
              <w:t>6.08</w:t>
            </w:r>
          </w:p>
        </w:tc>
        <w:tc>
          <w:tcPr>
            <w:tcW w:w="882" w:type="dxa"/>
            <w:shd w:val="clear" w:color="auto" w:fill="auto"/>
            <w:noWrap/>
          </w:tcPr>
          <w:p w14:paraId="2A83319C" w14:textId="77777777" w:rsidR="009C353B" w:rsidRDefault="00000000">
            <w:pPr>
              <w:widowControl/>
              <w:jc w:val="center"/>
              <w:rPr>
                <w:rFonts w:ascii="Times New Roman" w:hAnsi="Times New Roman"/>
                <w:sz w:val="21"/>
                <w:szCs w:val="21"/>
              </w:rPr>
            </w:pPr>
            <w:r>
              <w:rPr>
                <w:rFonts w:ascii="Times New Roman" w:hAnsi="Times New Roman"/>
                <w:sz w:val="21"/>
                <w:szCs w:val="21"/>
              </w:rPr>
              <w:t>51.22</w:t>
            </w:r>
          </w:p>
        </w:tc>
        <w:tc>
          <w:tcPr>
            <w:tcW w:w="883" w:type="dxa"/>
            <w:shd w:val="clear" w:color="auto" w:fill="auto"/>
            <w:noWrap/>
          </w:tcPr>
          <w:p w14:paraId="0612E92B" w14:textId="77777777" w:rsidR="009C353B" w:rsidRDefault="00000000">
            <w:pPr>
              <w:widowControl/>
              <w:jc w:val="center"/>
              <w:rPr>
                <w:rFonts w:ascii="Times New Roman" w:hAnsi="Times New Roman"/>
                <w:sz w:val="21"/>
                <w:szCs w:val="21"/>
              </w:rPr>
            </w:pPr>
            <w:r>
              <w:rPr>
                <w:rFonts w:ascii="Times New Roman" w:hAnsi="Times New Roman"/>
                <w:sz w:val="21"/>
                <w:szCs w:val="21"/>
              </w:rPr>
              <w:t>59.32</w:t>
            </w:r>
          </w:p>
        </w:tc>
        <w:tc>
          <w:tcPr>
            <w:tcW w:w="1942" w:type="dxa"/>
            <w:shd w:val="clear" w:color="auto" w:fill="auto"/>
          </w:tcPr>
          <w:p w14:paraId="1E87D2A4" w14:textId="77777777" w:rsidR="009C353B" w:rsidRDefault="00000000">
            <w:pPr>
              <w:widowControl/>
              <w:jc w:val="center"/>
              <w:rPr>
                <w:rFonts w:ascii="Times New Roman" w:hAnsi="Times New Roman"/>
                <w:sz w:val="21"/>
                <w:szCs w:val="21"/>
              </w:rPr>
            </w:pPr>
            <w:r>
              <w:rPr>
                <w:rFonts w:ascii="Times New Roman" w:hAnsi="Times New Roman"/>
                <w:sz w:val="21"/>
                <w:szCs w:val="21"/>
              </w:rPr>
              <w:t>90.73</w:t>
            </w:r>
          </w:p>
        </w:tc>
        <w:tc>
          <w:tcPr>
            <w:tcW w:w="1307" w:type="dxa"/>
            <w:shd w:val="clear" w:color="auto" w:fill="auto"/>
          </w:tcPr>
          <w:p w14:paraId="5BA8A402" w14:textId="77777777" w:rsidR="009C353B" w:rsidRDefault="00000000">
            <w:pPr>
              <w:widowControl/>
              <w:jc w:val="center"/>
              <w:rPr>
                <w:rFonts w:ascii="Times New Roman" w:hAnsi="Times New Roman"/>
                <w:sz w:val="21"/>
                <w:szCs w:val="21"/>
              </w:rPr>
            </w:pPr>
            <w:r>
              <w:rPr>
                <w:rFonts w:ascii="Times New Roman" w:hAnsi="Times New Roman"/>
                <w:sz w:val="21"/>
                <w:szCs w:val="21"/>
              </w:rPr>
              <w:t>90.73</w:t>
            </w:r>
          </w:p>
        </w:tc>
        <w:tc>
          <w:tcPr>
            <w:tcW w:w="830" w:type="dxa"/>
            <w:vMerge/>
            <w:shd w:val="clear" w:color="auto" w:fill="auto"/>
            <w:noWrap/>
          </w:tcPr>
          <w:p w14:paraId="6FA8D709" w14:textId="77777777" w:rsidR="009C353B" w:rsidRDefault="009C353B">
            <w:pPr>
              <w:widowControl/>
              <w:jc w:val="center"/>
              <w:rPr>
                <w:rFonts w:ascii="Times New Roman" w:hAnsi="Times New Roman"/>
                <w:sz w:val="21"/>
                <w:szCs w:val="21"/>
              </w:rPr>
            </w:pPr>
          </w:p>
        </w:tc>
      </w:tr>
      <w:tr w:rsidR="009C353B" w14:paraId="3C7ACAE5" w14:textId="77777777">
        <w:trPr>
          <w:trHeight w:val="340"/>
        </w:trPr>
        <w:tc>
          <w:tcPr>
            <w:tcW w:w="648" w:type="dxa"/>
            <w:vMerge/>
            <w:shd w:val="clear" w:color="auto" w:fill="auto"/>
          </w:tcPr>
          <w:p w14:paraId="4AC04453"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4D09F53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120</w:t>
            </w:r>
          </w:p>
        </w:tc>
        <w:tc>
          <w:tcPr>
            <w:tcW w:w="883" w:type="dxa"/>
            <w:shd w:val="clear" w:color="auto" w:fill="auto"/>
            <w:noWrap/>
          </w:tcPr>
          <w:p w14:paraId="12117A14"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43851A19" w14:textId="77777777" w:rsidR="009C353B" w:rsidRDefault="00000000">
            <w:pPr>
              <w:widowControl/>
              <w:jc w:val="center"/>
              <w:rPr>
                <w:rFonts w:ascii="Times New Roman" w:hAnsi="Times New Roman"/>
                <w:sz w:val="21"/>
                <w:szCs w:val="21"/>
              </w:rPr>
            </w:pPr>
            <w:r>
              <w:rPr>
                <w:rFonts w:ascii="Times New Roman" w:hAnsi="Times New Roman"/>
                <w:sz w:val="21"/>
                <w:szCs w:val="21"/>
              </w:rPr>
              <w:t>0.35</w:t>
            </w:r>
          </w:p>
        </w:tc>
        <w:tc>
          <w:tcPr>
            <w:tcW w:w="882" w:type="dxa"/>
            <w:shd w:val="clear" w:color="auto" w:fill="auto"/>
            <w:noWrap/>
          </w:tcPr>
          <w:p w14:paraId="6446F9D6" w14:textId="77777777" w:rsidR="009C353B" w:rsidRDefault="00000000">
            <w:pPr>
              <w:widowControl/>
              <w:jc w:val="center"/>
              <w:rPr>
                <w:rFonts w:ascii="Times New Roman" w:hAnsi="Times New Roman"/>
                <w:sz w:val="21"/>
                <w:szCs w:val="21"/>
              </w:rPr>
            </w:pPr>
            <w:r>
              <w:rPr>
                <w:rFonts w:ascii="Times New Roman" w:hAnsi="Times New Roman"/>
                <w:sz w:val="21"/>
                <w:szCs w:val="21"/>
              </w:rPr>
              <w:t>14.01</w:t>
            </w:r>
          </w:p>
        </w:tc>
        <w:tc>
          <w:tcPr>
            <w:tcW w:w="883" w:type="dxa"/>
            <w:shd w:val="clear" w:color="auto" w:fill="auto"/>
            <w:noWrap/>
          </w:tcPr>
          <w:p w14:paraId="11EB6EE5" w14:textId="77777777" w:rsidR="009C353B" w:rsidRDefault="00000000">
            <w:pPr>
              <w:widowControl/>
              <w:jc w:val="center"/>
              <w:rPr>
                <w:rFonts w:ascii="Times New Roman" w:hAnsi="Times New Roman"/>
                <w:sz w:val="21"/>
                <w:szCs w:val="21"/>
              </w:rPr>
            </w:pPr>
            <w:r>
              <w:rPr>
                <w:rFonts w:ascii="Times New Roman" w:hAnsi="Times New Roman"/>
                <w:sz w:val="21"/>
                <w:szCs w:val="21"/>
              </w:rPr>
              <w:t>21.83</w:t>
            </w:r>
          </w:p>
        </w:tc>
        <w:tc>
          <w:tcPr>
            <w:tcW w:w="1942" w:type="dxa"/>
            <w:shd w:val="clear" w:color="auto" w:fill="auto"/>
          </w:tcPr>
          <w:p w14:paraId="100A0D1A" w14:textId="77777777" w:rsidR="009C353B" w:rsidRDefault="00000000">
            <w:pPr>
              <w:widowControl/>
              <w:jc w:val="center"/>
              <w:rPr>
                <w:rFonts w:ascii="Times New Roman" w:hAnsi="Times New Roman"/>
                <w:sz w:val="21"/>
                <w:szCs w:val="21"/>
              </w:rPr>
            </w:pPr>
            <w:r>
              <w:rPr>
                <w:rFonts w:ascii="Times New Roman" w:hAnsi="Times New Roman"/>
                <w:sz w:val="21"/>
                <w:szCs w:val="21"/>
              </w:rPr>
              <w:t>10.03</w:t>
            </w:r>
          </w:p>
        </w:tc>
        <w:tc>
          <w:tcPr>
            <w:tcW w:w="1307" w:type="dxa"/>
            <w:shd w:val="clear" w:color="auto" w:fill="auto"/>
          </w:tcPr>
          <w:p w14:paraId="6CA563FA" w14:textId="77777777" w:rsidR="009C353B" w:rsidRDefault="00000000">
            <w:pPr>
              <w:widowControl/>
              <w:jc w:val="center"/>
              <w:rPr>
                <w:rFonts w:ascii="Times New Roman" w:hAnsi="Times New Roman"/>
                <w:sz w:val="21"/>
                <w:szCs w:val="21"/>
              </w:rPr>
            </w:pPr>
            <w:r>
              <w:rPr>
                <w:rFonts w:ascii="Times New Roman" w:hAnsi="Times New Roman"/>
                <w:sz w:val="21"/>
                <w:szCs w:val="21"/>
              </w:rPr>
              <w:t>21.83</w:t>
            </w:r>
          </w:p>
        </w:tc>
        <w:tc>
          <w:tcPr>
            <w:tcW w:w="830" w:type="dxa"/>
            <w:vMerge w:val="restart"/>
            <w:shd w:val="clear" w:color="auto" w:fill="auto"/>
            <w:noWrap/>
          </w:tcPr>
          <w:p w14:paraId="1FF95D3E"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579E4E5C" w14:textId="77777777">
        <w:trPr>
          <w:trHeight w:val="340"/>
        </w:trPr>
        <w:tc>
          <w:tcPr>
            <w:tcW w:w="648" w:type="dxa"/>
            <w:vMerge/>
            <w:shd w:val="clear" w:color="auto" w:fill="auto"/>
          </w:tcPr>
          <w:p w14:paraId="4DC695F2"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56734E30"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208B6925"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1F4D84E3" w14:textId="77777777" w:rsidR="009C353B" w:rsidRDefault="00000000">
            <w:pPr>
              <w:widowControl/>
              <w:jc w:val="center"/>
              <w:rPr>
                <w:rFonts w:ascii="Times New Roman" w:hAnsi="Times New Roman"/>
                <w:sz w:val="21"/>
                <w:szCs w:val="21"/>
              </w:rPr>
            </w:pPr>
            <w:r>
              <w:rPr>
                <w:rFonts w:ascii="Times New Roman" w:hAnsi="Times New Roman"/>
                <w:sz w:val="21"/>
                <w:szCs w:val="21"/>
              </w:rPr>
              <w:t>3.17</w:t>
            </w:r>
          </w:p>
        </w:tc>
        <w:tc>
          <w:tcPr>
            <w:tcW w:w="882" w:type="dxa"/>
            <w:shd w:val="clear" w:color="auto" w:fill="auto"/>
            <w:noWrap/>
          </w:tcPr>
          <w:p w14:paraId="7BEFC723" w14:textId="77777777" w:rsidR="009C353B" w:rsidRDefault="00000000">
            <w:pPr>
              <w:widowControl/>
              <w:jc w:val="center"/>
              <w:rPr>
                <w:rFonts w:ascii="Times New Roman" w:hAnsi="Times New Roman"/>
                <w:sz w:val="21"/>
                <w:szCs w:val="21"/>
              </w:rPr>
            </w:pPr>
            <w:r>
              <w:rPr>
                <w:rFonts w:ascii="Times New Roman" w:hAnsi="Times New Roman"/>
                <w:sz w:val="21"/>
                <w:szCs w:val="21"/>
              </w:rPr>
              <w:t>42.15</w:t>
            </w:r>
          </w:p>
        </w:tc>
        <w:tc>
          <w:tcPr>
            <w:tcW w:w="883" w:type="dxa"/>
            <w:shd w:val="clear" w:color="auto" w:fill="auto"/>
            <w:noWrap/>
          </w:tcPr>
          <w:p w14:paraId="38B77F47" w14:textId="77777777" w:rsidR="009C353B" w:rsidRDefault="00000000">
            <w:pPr>
              <w:widowControl/>
              <w:jc w:val="center"/>
              <w:rPr>
                <w:rFonts w:ascii="Times New Roman" w:hAnsi="Times New Roman"/>
                <w:sz w:val="21"/>
                <w:szCs w:val="21"/>
              </w:rPr>
            </w:pPr>
            <w:r>
              <w:rPr>
                <w:rFonts w:ascii="Times New Roman" w:hAnsi="Times New Roman"/>
                <w:sz w:val="21"/>
                <w:szCs w:val="21"/>
              </w:rPr>
              <w:t>45.61</w:t>
            </w:r>
          </w:p>
        </w:tc>
        <w:tc>
          <w:tcPr>
            <w:tcW w:w="1942" w:type="dxa"/>
            <w:shd w:val="clear" w:color="auto" w:fill="auto"/>
          </w:tcPr>
          <w:p w14:paraId="729AA07B" w14:textId="77777777" w:rsidR="009C353B" w:rsidRDefault="00000000">
            <w:pPr>
              <w:widowControl/>
              <w:jc w:val="center"/>
              <w:rPr>
                <w:rFonts w:ascii="Times New Roman" w:hAnsi="Times New Roman"/>
                <w:sz w:val="21"/>
                <w:szCs w:val="21"/>
              </w:rPr>
            </w:pPr>
            <w:r>
              <w:rPr>
                <w:rFonts w:ascii="Times New Roman" w:hAnsi="Times New Roman"/>
                <w:sz w:val="21"/>
                <w:szCs w:val="21"/>
              </w:rPr>
              <w:t>49.75</w:t>
            </w:r>
          </w:p>
        </w:tc>
        <w:tc>
          <w:tcPr>
            <w:tcW w:w="1307" w:type="dxa"/>
            <w:shd w:val="clear" w:color="auto" w:fill="auto"/>
          </w:tcPr>
          <w:p w14:paraId="310B78C9" w14:textId="77777777" w:rsidR="009C353B" w:rsidRDefault="00000000">
            <w:pPr>
              <w:widowControl/>
              <w:jc w:val="center"/>
              <w:rPr>
                <w:rFonts w:ascii="Times New Roman" w:hAnsi="Times New Roman"/>
                <w:sz w:val="21"/>
                <w:szCs w:val="21"/>
              </w:rPr>
            </w:pPr>
            <w:r>
              <w:rPr>
                <w:rFonts w:ascii="Times New Roman" w:hAnsi="Times New Roman"/>
                <w:sz w:val="21"/>
                <w:szCs w:val="21"/>
              </w:rPr>
              <w:t>49.75</w:t>
            </w:r>
          </w:p>
        </w:tc>
        <w:tc>
          <w:tcPr>
            <w:tcW w:w="830" w:type="dxa"/>
            <w:vMerge/>
            <w:shd w:val="clear" w:color="auto" w:fill="auto"/>
            <w:noWrap/>
          </w:tcPr>
          <w:p w14:paraId="2025724A" w14:textId="77777777" w:rsidR="009C353B" w:rsidRDefault="009C353B">
            <w:pPr>
              <w:widowControl/>
              <w:jc w:val="center"/>
              <w:rPr>
                <w:rFonts w:ascii="Times New Roman" w:hAnsi="Times New Roman"/>
                <w:sz w:val="21"/>
                <w:szCs w:val="21"/>
              </w:rPr>
            </w:pPr>
          </w:p>
        </w:tc>
      </w:tr>
      <w:tr w:rsidR="009C353B" w14:paraId="7573BDB3" w14:textId="77777777">
        <w:trPr>
          <w:trHeight w:val="340"/>
        </w:trPr>
        <w:tc>
          <w:tcPr>
            <w:tcW w:w="648" w:type="dxa"/>
            <w:vMerge/>
            <w:shd w:val="clear" w:color="auto" w:fill="auto"/>
          </w:tcPr>
          <w:p w14:paraId="6F30F237"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43C91D2B"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570D7C3" w14:textId="77777777" w:rsidR="009C353B" w:rsidRDefault="00000000">
            <w:pPr>
              <w:widowControl/>
              <w:jc w:val="center"/>
              <w:rPr>
                <w:rFonts w:ascii="Times New Roman" w:hAnsi="Times New Roman"/>
                <w:sz w:val="21"/>
                <w:szCs w:val="21"/>
              </w:rPr>
            </w:pPr>
            <w:r>
              <w:rPr>
                <w:rFonts w:ascii="Times New Roman" w:hAnsi="Times New Roman"/>
                <w:sz w:val="21"/>
                <w:szCs w:val="21"/>
              </w:rPr>
              <w:t>4</w:t>
            </w:r>
            <w:r>
              <w:rPr>
                <w:rFonts w:ascii="Times New Roman" w:hAnsi="Times New Roman"/>
                <w:sz w:val="21"/>
                <w:szCs w:val="21"/>
              </w:rPr>
              <w:t>煤</w:t>
            </w:r>
          </w:p>
        </w:tc>
        <w:tc>
          <w:tcPr>
            <w:tcW w:w="800" w:type="dxa"/>
            <w:shd w:val="clear" w:color="auto" w:fill="auto"/>
            <w:noWrap/>
          </w:tcPr>
          <w:p w14:paraId="2511FEDA" w14:textId="77777777" w:rsidR="009C353B" w:rsidRDefault="00000000">
            <w:pPr>
              <w:widowControl/>
              <w:jc w:val="center"/>
              <w:rPr>
                <w:rFonts w:ascii="Times New Roman" w:hAnsi="Times New Roman"/>
                <w:sz w:val="21"/>
                <w:szCs w:val="21"/>
              </w:rPr>
            </w:pPr>
            <w:r>
              <w:rPr>
                <w:rFonts w:ascii="Times New Roman" w:hAnsi="Times New Roman"/>
                <w:sz w:val="21"/>
                <w:szCs w:val="21"/>
              </w:rPr>
              <w:t>1.58</w:t>
            </w:r>
          </w:p>
        </w:tc>
        <w:tc>
          <w:tcPr>
            <w:tcW w:w="882" w:type="dxa"/>
            <w:shd w:val="clear" w:color="auto" w:fill="auto"/>
            <w:noWrap/>
          </w:tcPr>
          <w:p w14:paraId="3E6AAEB6" w14:textId="77777777" w:rsidR="009C353B" w:rsidRDefault="00000000">
            <w:pPr>
              <w:widowControl/>
              <w:jc w:val="center"/>
              <w:rPr>
                <w:rFonts w:ascii="Times New Roman" w:hAnsi="Times New Roman"/>
                <w:sz w:val="21"/>
                <w:szCs w:val="21"/>
              </w:rPr>
            </w:pPr>
            <w:r>
              <w:rPr>
                <w:rFonts w:ascii="Times New Roman" w:hAnsi="Times New Roman"/>
                <w:sz w:val="21"/>
                <w:szCs w:val="21"/>
              </w:rPr>
              <w:t>31.38</w:t>
            </w:r>
          </w:p>
        </w:tc>
        <w:tc>
          <w:tcPr>
            <w:tcW w:w="883" w:type="dxa"/>
            <w:shd w:val="clear" w:color="auto" w:fill="auto"/>
            <w:noWrap/>
          </w:tcPr>
          <w:p w14:paraId="1DBD5AD4" w14:textId="77777777" w:rsidR="009C353B" w:rsidRDefault="00000000">
            <w:pPr>
              <w:widowControl/>
              <w:jc w:val="center"/>
              <w:rPr>
                <w:rFonts w:ascii="Times New Roman" w:hAnsi="Times New Roman"/>
                <w:sz w:val="21"/>
                <w:szCs w:val="21"/>
              </w:rPr>
            </w:pPr>
            <w:r>
              <w:rPr>
                <w:rFonts w:ascii="Times New Roman" w:hAnsi="Times New Roman"/>
                <w:sz w:val="21"/>
                <w:szCs w:val="21"/>
              </w:rPr>
              <w:t>35.14</w:t>
            </w:r>
          </w:p>
        </w:tc>
        <w:tc>
          <w:tcPr>
            <w:tcW w:w="1942" w:type="dxa"/>
            <w:shd w:val="clear" w:color="auto" w:fill="auto"/>
          </w:tcPr>
          <w:p w14:paraId="04524146" w14:textId="77777777" w:rsidR="009C353B" w:rsidRDefault="00000000">
            <w:pPr>
              <w:widowControl/>
              <w:jc w:val="center"/>
              <w:rPr>
                <w:rFonts w:ascii="Times New Roman" w:hAnsi="Times New Roman"/>
                <w:sz w:val="21"/>
                <w:szCs w:val="21"/>
              </w:rPr>
            </w:pPr>
            <w:r>
              <w:rPr>
                <w:rFonts w:ascii="Times New Roman" w:hAnsi="Times New Roman"/>
                <w:sz w:val="21"/>
                <w:szCs w:val="21"/>
              </w:rPr>
              <w:t>27.35</w:t>
            </w:r>
          </w:p>
        </w:tc>
        <w:tc>
          <w:tcPr>
            <w:tcW w:w="1307" w:type="dxa"/>
            <w:shd w:val="clear" w:color="auto" w:fill="auto"/>
          </w:tcPr>
          <w:p w14:paraId="629ECE21" w14:textId="77777777" w:rsidR="009C353B" w:rsidRDefault="00000000">
            <w:pPr>
              <w:widowControl/>
              <w:jc w:val="center"/>
              <w:rPr>
                <w:rFonts w:ascii="Times New Roman" w:hAnsi="Times New Roman"/>
                <w:sz w:val="21"/>
                <w:szCs w:val="21"/>
              </w:rPr>
            </w:pPr>
            <w:r>
              <w:rPr>
                <w:rFonts w:ascii="Times New Roman" w:hAnsi="Times New Roman"/>
                <w:sz w:val="21"/>
                <w:szCs w:val="21"/>
              </w:rPr>
              <w:t>35.14</w:t>
            </w:r>
          </w:p>
        </w:tc>
        <w:tc>
          <w:tcPr>
            <w:tcW w:w="830" w:type="dxa"/>
            <w:vMerge/>
            <w:shd w:val="clear" w:color="auto" w:fill="auto"/>
            <w:noWrap/>
          </w:tcPr>
          <w:p w14:paraId="0156AE92" w14:textId="77777777" w:rsidR="009C353B" w:rsidRDefault="009C353B">
            <w:pPr>
              <w:widowControl/>
              <w:jc w:val="center"/>
              <w:rPr>
                <w:rFonts w:ascii="Times New Roman" w:hAnsi="Times New Roman"/>
                <w:sz w:val="21"/>
                <w:szCs w:val="21"/>
              </w:rPr>
            </w:pPr>
          </w:p>
        </w:tc>
      </w:tr>
      <w:tr w:rsidR="009C353B" w14:paraId="4FA6F340" w14:textId="77777777">
        <w:trPr>
          <w:trHeight w:val="340"/>
        </w:trPr>
        <w:tc>
          <w:tcPr>
            <w:tcW w:w="648" w:type="dxa"/>
            <w:vMerge/>
            <w:shd w:val="clear" w:color="auto" w:fill="auto"/>
          </w:tcPr>
          <w:p w14:paraId="744171BD"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0DB552D4"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037498A"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640CE149" w14:textId="77777777" w:rsidR="009C353B" w:rsidRDefault="00000000">
            <w:pPr>
              <w:widowControl/>
              <w:jc w:val="center"/>
              <w:rPr>
                <w:rFonts w:ascii="Times New Roman" w:hAnsi="Times New Roman"/>
                <w:sz w:val="21"/>
                <w:szCs w:val="21"/>
              </w:rPr>
            </w:pPr>
            <w:r>
              <w:rPr>
                <w:rFonts w:ascii="Times New Roman" w:hAnsi="Times New Roman"/>
                <w:sz w:val="21"/>
                <w:szCs w:val="21"/>
              </w:rPr>
              <w:t>5.38</w:t>
            </w:r>
          </w:p>
        </w:tc>
        <w:tc>
          <w:tcPr>
            <w:tcW w:w="882" w:type="dxa"/>
            <w:shd w:val="clear" w:color="auto" w:fill="auto"/>
            <w:noWrap/>
          </w:tcPr>
          <w:p w14:paraId="5D2BA987" w14:textId="77777777" w:rsidR="009C353B" w:rsidRDefault="00000000">
            <w:pPr>
              <w:widowControl/>
              <w:jc w:val="center"/>
              <w:rPr>
                <w:rFonts w:ascii="Times New Roman" w:hAnsi="Times New Roman"/>
                <w:sz w:val="21"/>
                <w:szCs w:val="21"/>
              </w:rPr>
            </w:pPr>
            <w:r>
              <w:rPr>
                <w:rFonts w:ascii="Times New Roman" w:hAnsi="Times New Roman"/>
                <w:sz w:val="21"/>
                <w:szCs w:val="21"/>
              </w:rPr>
              <w:t>49.67</w:t>
            </w:r>
          </w:p>
        </w:tc>
        <w:tc>
          <w:tcPr>
            <w:tcW w:w="883" w:type="dxa"/>
            <w:shd w:val="clear" w:color="auto" w:fill="auto"/>
            <w:noWrap/>
          </w:tcPr>
          <w:p w14:paraId="6F137981" w14:textId="77777777" w:rsidR="009C353B" w:rsidRDefault="00000000">
            <w:pPr>
              <w:widowControl/>
              <w:jc w:val="center"/>
              <w:rPr>
                <w:rFonts w:ascii="Times New Roman" w:hAnsi="Times New Roman"/>
                <w:sz w:val="21"/>
                <w:szCs w:val="21"/>
              </w:rPr>
            </w:pPr>
            <w:r>
              <w:rPr>
                <w:rFonts w:ascii="Times New Roman" w:hAnsi="Times New Roman"/>
                <w:sz w:val="21"/>
                <w:szCs w:val="21"/>
              </w:rPr>
              <w:t>56.39</w:t>
            </w:r>
          </w:p>
        </w:tc>
        <w:tc>
          <w:tcPr>
            <w:tcW w:w="1942" w:type="dxa"/>
            <w:shd w:val="clear" w:color="auto" w:fill="auto"/>
          </w:tcPr>
          <w:p w14:paraId="5929456B" w14:textId="77777777" w:rsidR="009C353B" w:rsidRDefault="00000000">
            <w:pPr>
              <w:widowControl/>
              <w:jc w:val="center"/>
              <w:rPr>
                <w:rFonts w:ascii="Times New Roman" w:hAnsi="Times New Roman"/>
                <w:sz w:val="21"/>
                <w:szCs w:val="21"/>
              </w:rPr>
            </w:pPr>
            <w:r>
              <w:rPr>
                <w:rFonts w:ascii="Times New Roman" w:hAnsi="Times New Roman"/>
                <w:sz w:val="21"/>
                <w:szCs w:val="21"/>
              </w:rPr>
              <w:t>80.87</w:t>
            </w:r>
          </w:p>
        </w:tc>
        <w:tc>
          <w:tcPr>
            <w:tcW w:w="1307" w:type="dxa"/>
            <w:shd w:val="clear" w:color="auto" w:fill="auto"/>
          </w:tcPr>
          <w:p w14:paraId="1F5907F1" w14:textId="77777777" w:rsidR="009C353B" w:rsidRDefault="00000000">
            <w:pPr>
              <w:widowControl/>
              <w:jc w:val="center"/>
              <w:rPr>
                <w:rFonts w:ascii="Times New Roman" w:hAnsi="Times New Roman"/>
                <w:sz w:val="21"/>
                <w:szCs w:val="21"/>
              </w:rPr>
            </w:pPr>
            <w:r>
              <w:rPr>
                <w:rFonts w:ascii="Times New Roman" w:hAnsi="Times New Roman"/>
                <w:sz w:val="21"/>
                <w:szCs w:val="21"/>
              </w:rPr>
              <w:t>80.87</w:t>
            </w:r>
          </w:p>
        </w:tc>
        <w:tc>
          <w:tcPr>
            <w:tcW w:w="830" w:type="dxa"/>
            <w:vMerge/>
            <w:shd w:val="clear" w:color="auto" w:fill="auto"/>
            <w:noWrap/>
          </w:tcPr>
          <w:p w14:paraId="35927BDF" w14:textId="77777777" w:rsidR="009C353B" w:rsidRDefault="009C353B">
            <w:pPr>
              <w:widowControl/>
              <w:jc w:val="center"/>
              <w:rPr>
                <w:rFonts w:ascii="Times New Roman" w:hAnsi="Times New Roman"/>
                <w:sz w:val="21"/>
                <w:szCs w:val="21"/>
              </w:rPr>
            </w:pPr>
          </w:p>
        </w:tc>
      </w:tr>
      <w:tr w:rsidR="009C353B" w14:paraId="36718F7A" w14:textId="77777777">
        <w:trPr>
          <w:trHeight w:val="340"/>
        </w:trPr>
        <w:tc>
          <w:tcPr>
            <w:tcW w:w="648" w:type="dxa"/>
            <w:vMerge/>
            <w:shd w:val="clear" w:color="auto" w:fill="auto"/>
          </w:tcPr>
          <w:p w14:paraId="52CEC4E7"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6164A5E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119</w:t>
            </w:r>
          </w:p>
        </w:tc>
        <w:tc>
          <w:tcPr>
            <w:tcW w:w="883" w:type="dxa"/>
            <w:shd w:val="clear" w:color="auto" w:fill="auto"/>
            <w:noWrap/>
          </w:tcPr>
          <w:p w14:paraId="6D3DCD3C"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76F75EB8" w14:textId="77777777" w:rsidR="009C353B" w:rsidRDefault="00000000">
            <w:pPr>
              <w:widowControl/>
              <w:jc w:val="center"/>
              <w:rPr>
                <w:rFonts w:ascii="Times New Roman" w:hAnsi="Times New Roman"/>
                <w:sz w:val="21"/>
                <w:szCs w:val="21"/>
              </w:rPr>
            </w:pPr>
            <w:r>
              <w:rPr>
                <w:rFonts w:ascii="Times New Roman" w:hAnsi="Times New Roman"/>
                <w:sz w:val="21"/>
                <w:szCs w:val="21"/>
              </w:rPr>
              <w:t>1.03</w:t>
            </w:r>
          </w:p>
        </w:tc>
        <w:tc>
          <w:tcPr>
            <w:tcW w:w="882" w:type="dxa"/>
            <w:shd w:val="clear" w:color="auto" w:fill="auto"/>
            <w:noWrap/>
          </w:tcPr>
          <w:p w14:paraId="0AF9B6A7" w14:textId="77777777" w:rsidR="009C353B" w:rsidRDefault="00000000">
            <w:pPr>
              <w:widowControl/>
              <w:jc w:val="center"/>
              <w:rPr>
                <w:rFonts w:ascii="Times New Roman" w:hAnsi="Times New Roman"/>
                <w:sz w:val="21"/>
                <w:szCs w:val="21"/>
              </w:rPr>
            </w:pPr>
            <w:r>
              <w:rPr>
                <w:rFonts w:ascii="Times New Roman" w:hAnsi="Times New Roman"/>
                <w:sz w:val="21"/>
                <w:szCs w:val="21"/>
              </w:rPr>
              <w:t>25.23</w:t>
            </w:r>
          </w:p>
        </w:tc>
        <w:tc>
          <w:tcPr>
            <w:tcW w:w="883" w:type="dxa"/>
            <w:shd w:val="clear" w:color="auto" w:fill="auto"/>
            <w:noWrap/>
          </w:tcPr>
          <w:p w14:paraId="28E0D73F" w14:textId="77777777" w:rsidR="009C353B" w:rsidRDefault="00000000">
            <w:pPr>
              <w:widowControl/>
              <w:jc w:val="center"/>
              <w:rPr>
                <w:rFonts w:ascii="Times New Roman" w:hAnsi="Times New Roman"/>
                <w:sz w:val="21"/>
                <w:szCs w:val="21"/>
              </w:rPr>
            </w:pPr>
            <w:r>
              <w:rPr>
                <w:rFonts w:ascii="Times New Roman" w:hAnsi="Times New Roman"/>
                <w:sz w:val="21"/>
                <w:szCs w:val="21"/>
              </w:rPr>
              <w:t>30.30</w:t>
            </w:r>
          </w:p>
        </w:tc>
        <w:tc>
          <w:tcPr>
            <w:tcW w:w="1942" w:type="dxa"/>
            <w:shd w:val="clear" w:color="auto" w:fill="auto"/>
          </w:tcPr>
          <w:p w14:paraId="54AE56AA" w14:textId="77777777" w:rsidR="009C353B" w:rsidRDefault="00000000">
            <w:pPr>
              <w:widowControl/>
              <w:jc w:val="center"/>
              <w:rPr>
                <w:rFonts w:ascii="Times New Roman" w:hAnsi="Times New Roman"/>
                <w:sz w:val="21"/>
                <w:szCs w:val="21"/>
              </w:rPr>
            </w:pPr>
            <w:r>
              <w:rPr>
                <w:rFonts w:ascii="Times New Roman" w:hAnsi="Times New Roman"/>
                <w:sz w:val="21"/>
                <w:szCs w:val="21"/>
              </w:rPr>
              <w:t>19.61</w:t>
            </w:r>
          </w:p>
        </w:tc>
        <w:tc>
          <w:tcPr>
            <w:tcW w:w="1307" w:type="dxa"/>
            <w:shd w:val="clear" w:color="auto" w:fill="auto"/>
          </w:tcPr>
          <w:p w14:paraId="3F3F9C3D" w14:textId="77777777" w:rsidR="009C353B" w:rsidRDefault="00000000">
            <w:pPr>
              <w:widowControl/>
              <w:jc w:val="center"/>
              <w:rPr>
                <w:rFonts w:ascii="Times New Roman" w:hAnsi="Times New Roman"/>
                <w:sz w:val="21"/>
                <w:szCs w:val="21"/>
              </w:rPr>
            </w:pPr>
            <w:r>
              <w:rPr>
                <w:rFonts w:ascii="Times New Roman" w:hAnsi="Times New Roman"/>
                <w:sz w:val="21"/>
                <w:szCs w:val="21"/>
              </w:rPr>
              <w:t>30.30</w:t>
            </w:r>
          </w:p>
        </w:tc>
        <w:tc>
          <w:tcPr>
            <w:tcW w:w="830" w:type="dxa"/>
            <w:vMerge w:val="restart"/>
            <w:shd w:val="clear" w:color="auto" w:fill="auto"/>
            <w:noWrap/>
          </w:tcPr>
          <w:p w14:paraId="065999E5"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2F11265A" w14:textId="77777777">
        <w:trPr>
          <w:trHeight w:val="340"/>
        </w:trPr>
        <w:tc>
          <w:tcPr>
            <w:tcW w:w="648" w:type="dxa"/>
            <w:vMerge/>
            <w:shd w:val="clear" w:color="auto" w:fill="auto"/>
          </w:tcPr>
          <w:p w14:paraId="3D9A1862"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5BA63201"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1D9385E"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5554261E" w14:textId="77777777" w:rsidR="009C353B" w:rsidRDefault="00000000">
            <w:pPr>
              <w:widowControl/>
              <w:jc w:val="center"/>
              <w:rPr>
                <w:rFonts w:ascii="Times New Roman" w:hAnsi="Times New Roman"/>
                <w:sz w:val="21"/>
                <w:szCs w:val="21"/>
              </w:rPr>
            </w:pPr>
            <w:r>
              <w:rPr>
                <w:rFonts w:ascii="Times New Roman" w:hAnsi="Times New Roman"/>
                <w:sz w:val="21"/>
                <w:szCs w:val="21"/>
              </w:rPr>
              <w:t>1.80</w:t>
            </w:r>
          </w:p>
        </w:tc>
        <w:tc>
          <w:tcPr>
            <w:tcW w:w="882" w:type="dxa"/>
            <w:shd w:val="clear" w:color="auto" w:fill="auto"/>
            <w:noWrap/>
          </w:tcPr>
          <w:p w14:paraId="1847410A" w14:textId="77777777" w:rsidR="009C353B" w:rsidRDefault="00000000">
            <w:pPr>
              <w:widowControl/>
              <w:jc w:val="center"/>
              <w:rPr>
                <w:rFonts w:ascii="Times New Roman" w:hAnsi="Times New Roman"/>
                <w:sz w:val="21"/>
                <w:szCs w:val="21"/>
              </w:rPr>
            </w:pPr>
            <w:r>
              <w:rPr>
                <w:rFonts w:ascii="Times New Roman" w:hAnsi="Times New Roman"/>
                <w:sz w:val="21"/>
                <w:szCs w:val="21"/>
              </w:rPr>
              <w:t>33.38</w:t>
            </w:r>
          </w:p>
        </w:tc>
        <w:tc>
          <w:tcPr>
            <w:tcW w:w="883" w:type="dxa"/>
            <w:shd w:val="clear" w:color="auto" w:fill="auto"/>
            <w:noWrap/>
          </w:tcPr>
          <w:p w14:paraId="0096E4F1" w14:textId="77777777" w:rsidR="009C353B" w:rsidRDefault="00000000">
            <w:pPr>
              <w:widowControl/>
              <w:jc w:val="center"/>
              <w:rPr>
                <w:rFonts w:ascii="Times New Roman" w:hAnsi="Times New Roman"/>
                <w:sz w:val="21"/>
                <w:szCs w:val="21"/>
              </w:rPr>
            </w:pPr>
            <w:r>
              <w:rPr>
                <w:rFonts w:ascii="Times New Roman" w:hAnsi="Times New Roman"/>
                <w:sz w:val="21"/>
                <w:szCs w:val="21"/>
              </w:rPr>
              <w:t>36.83</w:t>
            </w:r>
          </w:p>
        </w:tc>
        <w:tc>
          <w:tcPr>
            <w:tcW w:w="1942" w:type="dxa"/>
            <w:shd w:val="clear" w:color="auto" w:fill="auto"/>
          </w:tcPr>
          <w:p w14:paraId="37D9AFE4" w14:textId="77777777" w:rsidR="009C353B" w:rsidRDefault="00000000">
            <w:pPr>
              <w:widowControl/>
              <w:jc w:val="center"/>
              <w:rPr>
                <w:rFonts w:ascii="Times New Roman" w:hAnsi="Times New Roman"/>
                <w:sz w:val="21"/>
                <w:szCs w:val="21"/>
              </w:rPr>
            </w:pPr>
            <w:r>
              <w:rPr>
                <w:rFonts w:ascii="Times New Roman" w:hAnsi="Times New Roman"/>
                <w:sz w:val="21"/>
                <w:szCs w:val="21"/>
              </w:rPr>
              <w:t>30.45</w:t>
            </w:r>
          </w:p>
        </w:tc>
        <w:tc>
          <w:tcPr>
            <w:tcW w:w="1307" w:type="dxa"/>
            <w:shd w:val="clear" w:color="auto" w:fill="auto"/>
          </w:tcPr>
          <w:p w14:paraId="353D9C77" w14:textId="77777777" w:rsidR="009C353B" w:rsidRDefault="00000000">
            <w:pPr>
              <w:widowControl/>
              <w:jc w:val="center"/>
              <w:rPr>
                <w:rFonts w:ascii="Times New Roman" w:hAnsi="Times New Roman"/>
                <w:sz w:val="21"/>
                <w:szCs w:val="21"/>
              </w:rPr>
            </w:pPr>
            <w:r>
              <w:rPr>
                <w:rFonts w:ascii="Times New Roman" w:hAnsi="Times New Roman"/>
                <w:sz w:val="21"/>
                <w:szCs w:val="21"/>
              </w:rPr>
              <w:t>36.83</w:t>
            </w:r>
          </w:p>
        </w:tc>
        <w:tc>
          <w:tcPr>
            <w:tcW w:w="830" w:type="dxa"/>
            <w:vMerge/>
            <w:shd w:val="clear" w:color="auto" w:fill="auto"/>
            <w:noWrap/>
          </w:tcPr>
          <w:p w14:paraId="17A84FFC" w14:textId="77777777" w:rsidR="009C353B" w:rsidRDefault="009C353B">
            <w:pPr>
              <w:widowControl/>
              <w:jc w:val="center"/>
              <w:rPr>
                <w:rFonts w:ascii="Times New Roman" w:hAnsi="Times New Roman"/>
                <w:sz w:val="21"/>
                <w:szCs w:val="21"/>
              </w:rPr>
            </w:pPr>
          </w:p>
        </w:tc>
      </w:tr>
      <w:tr w:rsidR="009C353B" w14:paraId="4319B5CF" w14:textId="77777777">
        <w:trPr>
          <w:trHeight w:val="340"/>
        </w:trPr>
        <w:tc>
          <w:tcPr>
            <w:tcW w:w="648" w:type="dxa"/>
            <w:vMerge/>
            <w:shd w:val="clear" w:color="auto" w:fill="auto"/>
          </w:tcPr>
          <w:p w14:paraId="3FF92030"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5354B4F1"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3AE63C7"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0436CE85" w14:textId="77777777" w:rsidR="009C353B" w:rsidRDefault="00000000">
            <w:pPr>
              <w:widowControl/>
              <w:jc w:val="center"/>
              <w:rPr>
                <w:rFonts w:ascii="Times New Roman" w:hAnsi="Times New Roman"/>
                <w:sz w:val="21"/>
                <w:szCs w:val="21"/>
              </w:rPr>
            </w:pPr>
            <w:r>
              <w:rPr>
                <w:rFonts w:ascii="Times New Roman" w:hAnsi="Times New Roman"/>
                <w:sz w:val="21"/>
                <w:szCs w:val="21"/>
              </w:rPr>
              <w:t>5.70</w:t>
            </w:r>
          </w:p>
        </w:tc>
        <w:tc>
          <w:tcPr>
            <w:tcW w:w="882" w:type="dxa"/>
            <w:shd w:val="clear" w:color="auto" w:fill="auto"/>
            <w:noWrap/>
          </w:tcPr>
          <w:p w14:paraId="459D764B" w14:textId="77777777" w:rsidR="009C353B" w:rsidRDefault="00000000">
            <w:pPr>
              <w:widowControl/>
              <w:jc w:val="center"/>
              <w:rPr>
                <w:rFonts w:ascii="Times New Roman" w:hAnsi="Times New Roman"/>
                <w:sz w:val="21"/>
                <w:szCs w:val="21"/>
              </w:rPr>
            </w:pPr>
            <w:r>
              <w:rPr>
                <w:rFonts w:ascii="Times New Roman" w:hAnsi="Times New Roman"/>
                <w:sz w:val="21"/>
                <w:szCs w:val="21"/>
              </w:rPr>
              <w:t>50.41</w:t>
            </w:r>
          </w:p>
        </w:tc>
        <w:tc>
          <w:tcPr>
            <w:tcW w:w="883" w:type="dxa"/>
            <w:shd w:val="clear" w:color="auto" w:fill="auto"/>
            <w:noWrap/>
          </w:tcPr>
          <w:p w14:paraId="44CFFB01" w14:textId="77777777" w:rsidR="009C353B" w:rsidRDefault="00000000">
            <w:pPr>
              <w:widowControl/>
              <w:jc w:val="center"/>
              <w:rPr>
                <w:rFonts w:ascii="Times New Roman" w:hAnsi="Times New Roman"/>
                <w:sz w:val="21"/>
                <w:szCs w:val="21"/>
              </w:rPr>
            </w:pPr>
            <w:r>
              <w:rPr>
                <w:rFonts w:ascii="Times New Roman" w:hAnsi="Times New Roman"/>
                <w:sz w:val="21"/>
                <w:szCs w:val="21"/>
              </w:rPr>
              <w:t>57.75</w:t>
            </w:r>
          </w:p>
        </w:tc>
        <w:tc>
          <w:tcPr>
            <w:tcW w:w="1942" w:type="dxa"/>
            <w:shd w:val="clear" w:color="auto" w:fill="auto"/>
          </w:tcPr>
          <w:p w14:paraId="79DD3472" w14:textId="77777777" w:rsidR="009C353B" w:rsidRDefault="00000000">
            <w:pPr>
              <w:widowControl/>
              <w:jc w:val="center"/>
              <w:rPr>
                <w:rFonts w:ascii="Times New Roman" w:hAnsi="Times New Roman"/>
                <w:sz w:val="21"/>
                <w:szCs w:val="21"/>
              </w:rPr>
            </w:pPr>
            <w:r>
              <w:rPr>
                <w:rFonts w:ascii="Times New Roman" w:hAnsi="Times New Roman"/>
                <w:sz w:val="21"/>
                <w:szCs w:val="21"/>
              </w:rPr>
              <w:t>85.38</w:t>
            </w:r>
          </w:p>
        </w:tc>
        <w:tc>
          <w:tcPr>
            <w:tcW w:w="1307" w:type="dxa"/>
            <w:shd w:val="clear" w:color="auto" w:fill="auto"/>
          </w:tcPr>
          <w:p w14:paraId="3631E683" w14:textId="77777777" w:rsidR="009C353B" w:rsidRDefault="00000000">
            <w:pPr>
              <w:widowControl/>
              <w:jc w:val="center"/>
              <w:rPr>
                <w:rFonts w:ascii="Times New Roman" w:hAnsi="Times New Roman"/>
                <w:sz w:val="21"/>
                <w:szCs w:val="21"/>
              </w:rPr>
            </w:pPr>
            <w:r>
              <w:rPr>
                <w:rFonts w:ascii="Times New Roman" w:hAnsi="Times New Roman"/>
                <w:sz w:val="21"/>
                <w:szCs w:val="21"/>
              </w:rPr>
              <w:t>85.38</w:t>
            </w:r>
          </w:p>
        </w:tc>
        <w:tc>
          <w:tcPr>
            <w:tcW w:w="830" w:type="dxa"/>
            <w:vMerge/>
            <w:shd w:val="clear" w:color="auto" w:fill="auto"/>
            <w:noWrap/>
          </w:tcPr>
          <w:p w14:paraId="3364F50D" w14:textId="77777777" w:rsidR="009C353B" w:rsidRDefault="009C353B">
            <w:pPr>
              <w:widowControl/>
              <w:jc w:val="center"/>
              <w:rPr>
                <w:rFonts w:ascii="Times New Roman" w:hAnsi="Times New Roman"/>
                <w:sz w:val="21"/>
                <w:szCs w:val="21"/>
              </w:rPr>
            </w:pPr>
          </w:p>
        </w:tc>
      </w:tr>
      <w:tr w:rsidR="009C353B" w14:paraId="534313F4" w14:textId="77777777">
        <w:trPr>
          <w:trHeight w:val="340"/>
        </w:trPr>
        <w:tc>
          <w:tcPr>
            <w:tcW w:w="648" w:type="dxa"/>
            <w:vMerge/>
            <w:shd w:val="clear" w:color="auto" w:fill="auto"/>
          </w:tcPr>
          <w:p w14:paraId="4C60A7FB"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3319239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212</w:t>
            </w:r>
          </w:p>
        </w:tc>
        <w:tc>
          <w:tcPr>
            <w:tcW w:w="883" w:type="dxa"/>
            <w:shd w:val="clear" w:color="auto" w:fill="auto"/>
            <w:noWrap/>
          </w:tcPr>
          <w:p w14:paraId="66776F22"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0EEF614B" w14:textId="77777777" w:rsidR="009C353B" w:rsidRDefault="00000000">
            <w:pPr>
              <w:widowControl/>
              <w:jc w:val="center"/>
              <w:rPr>
                <w:rFonts w:ascii="Times New Roman" w:hAnsi="Times New Roman"/>
                <w:sz w:val="21"/>
                <w:szCs w:val="21"/>
              </w:rPr>
            </w:pPr>
            <w:r>
              <w:rPr>
                <w:rFonts w:ascii="Times New Roman" w:hAnsi="Times New Roman"/>
                <w:sz w:val="21"/>
                <w:szCs w:val="21"/>
              </w:rPr>
              <w:t>1.17</w:t>
            </w:r>
          </w:p>
        </w:tc>
        <w:tc>
          <w:tcPr>
            <w:tcW w:w="882" w:type="dxa"/>
            <w:shd w:val="clear" w:color="auto" w:fill="auto"/>
            <w:noWrap/>
          </w:tcPr>
          <w:p w14:paraId="107429FB" w14:textId="77777777" w:rsidR="009C353B" w:rsidRDefault="00000000">
            <w:pPr>
              <w:widowControl/>
              <w:jc w:val="center"/>
              <w:rPr>
                <w:rFonts w:ascii="Times New Roman" w:hAnsi="Times New Roman"/>
                <w:sz w:val="21"/>
                <w:szCs w:val="21"/>
              </w:rPr>
            </w:pPr>
            <w:r>
              <w:rPr>
                <w:rFonts w:ascii="Times New Roman" w:hAnsi="Times New Roman"/>
                <w:sz w:val="21"/>
                <w:szCs w:val="21"/>
              </w:rPr>
              <w:t>26.98</w:t>
            </w:r>
          </w:p>
        </w:tc>
        <w:tc>
          <w:tcPr>
            <w:tcW w:w="883" w:type="dxa"/>
            <w:shd w:val="clear" w:color="auto" w:fill="auto"/>
            <w:noWrap/>
          </w:tcPr>
          <w:p w14:paraId="537B2A58" w14:textId="77777777" w:rsidR="009C353B" w:rsidRDefault="00000000">
            <w:pPr>
              <w:widowControl/>
              <w:jc w:val="center"/>
              <w:rPr>
                <w:rFonts w:ascii="Times New Roman" w:hAnsi="Times New Roman"/>
                <w:sz w:val="21"/>
                <w:szCs w:val="21"/>
              </w:rPr>
            </w:pPr>
            <w:r>
              <w:rPr>
                <w:rFonts w:ascii="Times New Roman" w:hAnsi="Times New Roman"/>
                <w:sz w:val="21"/>
                <w:szCs w:val="21"/>
              </w:rPr>
              <w:t>31.63</w:t>
            </w:r>
          </w:p>
        </w:tc>
        <w:tc>
          <w:tcPr>
            <w:tcW w:w="1942" w:type="dxa"/>
            <w:shd w:val="clear" w:color="auto" w:fill="auto"/>
          </w:tcPr>
          <w:p w14:paraId="37145998" w14:textId="77777777" w:rsidR="009C353B" w:rsidRDefault="00000000">
            <w:pPr>
              <w:widowControl/>
              <w:jc w:val="center"/>
              <w:rPr>
                <w:rFonts w:ascii="Times New Roman" w:hAnsi="Times New Roman"/>
                <w:sz w:val="21"/>
                <w:szCs w:val="21"/>
              </w:rPr>
            </w:pPr>
            <w:r>
              <w:rPr>
                <w:rFonts w:ascii="Times New Roman" w:hAnsi="Times New Roman"/>
                <w:sz w:val="21"/>
                <w:szCs w:val="21"/>
              </w:rPr>
              <w:t>21.58</w:t>
            </w:r>
          </w:p>
        </w:tc>
        <w:tc>
          <w:tcPr>
            <w:tcW w:w="1307" w:type="dxa"/>
            <w:shd w:val="clear" w:color="auto" w:fill="auto"/>
          </w:tcPr>
          <w:p w14:paraId="22BDFE14" w14:textId="77777777" w:rsidR="009C353B" w:rsidRDefault="00000000">
            <w:pPr>
              <w:widowControl/>
              <w:jc w:val="center"/>
              <w:rPr>
                <w:rFonts w:ascii="Times New Roman" w:hAnsi="Times New Roman"/>
                <w:sz w:val="21"/>
                <w:szCs w:val="21"/>
              </w:rPr>
            </w:pPr>
            <w:r>
              <w:rPr>
                <w:rFonts w:ascii="Times New Roman" w:hAnsi="Times New Roman"/>
                <w:sz w:val="21"/>
                <w:szCs w:val="21"/>
              </w:rPr>
              <w:t>31.63</w:t>
            </w:r>
          </w:p>
        </w:tc>
        <w:tc>
          <w:tcPr>
            <w:tcW w:w="830" w:type="dxa"/>
            <w:vMerge w:val="restart"/>
            <w:shd w:val="clear" w:color="auto" w:fill="auto"/>
            <w:noWrap/>
          </w:tcPr>
          <w:p w14:paraId="6DC90148"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3B37B6FB" w14:textId="77777777">
        <w:trPr>
          <w:trHeight w:val="340"/>
        </w:trPr>
        <w:tc>
          <w:tcPr>
            <w:tcW w:w="648" w:type="dxa"/>
            <w:vMerge/>
            <w:shd w:val="clear" w:color="auto" w:fill="auto"/>
          </w:tcPr>
          <w:p w14:paraId="4F614797"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2043E6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57DBBBE1"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23C3903D" w14:textId="77777777" w:rsidR="009C353B" w:rsidRDefault="00000000">
            <w:pPr>
              <w:widowControl/>
              <w:jc w:val="center"/>
              <w:rPr>
                <w:rFonts w:ascii="Times New Roman" w:hAnsi="Times New Roman"/>
                <w:sz w:val="21"/>
                <w:szCs w:val="21"/>
              </w:rPr>
            </w:pPr>
            <w:r>
              <w:rPr>
                <w:rFonts w:ascii="Times New Roman" w:hAnsi="Times New Roman"/>
                <w:sz w:val="21"/>
                <w:szCs w:val="21"/>
              </w:rPr>
              <w:t>3.01</w:t>
            </w:r>
          </w:p>
        </w:tc>
        <w:tc>
          <w:tcPr>
            <w:tcW w:w="882" w:type="dxa"/>
            <w:shd w:val="clear" w:color="auto" w:fill="auto"/>
            <w:noWrap/>
          </w:tcPr>
          <w:p w14:paraId="20814469" w14:textId="77777777" w:rsidR="009C353B" w:rsidRDefault="00000000">
            <w:pPr>
              <w:widowControl/>
              <w:jc w:val="center"/>
              <w:rPr>
                <w:rFonts w:ascii="Times New Roman" w:hAnsi="Times New Roman"/>
                <w:sz w:val="21"/>
                <w:szCs w:val="21"/>
              </w:rPr>
            </w:pPr>
            <w:r>
              <w:rPr>
                <w:rFonts w:ascii="Times New Roman" w:hAnsi="Times New Roman"/>
                <w:sz w:val="21"/>
                <w:szCs w:val="21"/>
              </w:rPr>
              <w:t>41.37</w:t>
            </w:r>
          </w:p>
        </w:tc>
        <w:tc>
          <w:tcPr>
            <w:tcW w:w="883" w:type="dxa"/>
            <w:shd w:val="clear" w:color="auto" w:fill="auto"/>
            <w:noWrap/>
          </w:tcPr>
          <w:p w14:paraId="1A2A383A" w14:textId="77777777" w:rsidR="009C353B" w:rsidRDefault="00000000">
            <w:pPr>
              <w:widowControl/>
              <w:jc w:val="center"/>
              <w:rPr>
                <w:rFonts w:ascii="Times New Roman" w:hAnsi="Times New Roman"/>
                <w:sz w:val="21"/>
                <w:szCs w:val="21"/>
              </w:rPr>
            </w:pPr>
            <w:r>
              <w:rPr>
                <w:rFonts w:ascii="Times New Roman" w:hAnsi="Times New Roman"/>
                <w:sz w:val="21"/>
                <w:szCs w:val="21"/>
              </w:rPr>
              <w:t>44.70</w:t>
            </w:r>
          </w:p>
        </w:tc>
        <w:tc>
          <w:tcPr>
            <w:tcW w:w="1942" w:type="dxa"/>
            <w:shd w:val="clear" w:color="auto" w:fill="auto"/>
          </w:tcPr>
          <w:p w14:paraId="60BBD8DE" w14:textId="77777777" w:rsidR="009C353B" w:rsidRDefault="00000000">
            <w:pPr>
              <w:widowControl/>
              <w:jc w:val="center"/>
              <w:rPr>
                <w:rFonts w:ascii="Times New Roman" w:hAnsi="Times New Roman"/>
                <w:sz w:val="21"/>
                <w:szCs w:val="21"/>
              </w:rPr>
            </w:pPr>
            <w:r>
              <w:rPr>
                <w:rFonts w:ascii="Times New Roman" w:hAnsi="Times New Roman"/>
                <w:sz w:val="21"/>
                <w:szCs w:val="21"/>
              </w:rPr>
              <w:t>47.49</w:t>
            </w:r>
          </w:p>
        </w:tc>
        <w:tc>
          <w:tcPr>
            <w:tcW w:w="1307" w:type="dxa"/>
            <w:shd w:val="clear" w:color="auto" w:fill="auto"/>
          </w:tcPr>
          <w:p w14:paraId="217BA7A6" w14:textId="77777777" w:rsidR="009C353B" w:rsidRDefault="00000000">
            <w:pPr>
              <w:widowControl/>
              <w:jc w:val="center"/>
              <w:rPr>
                <w:rFonts w:ascii="Times New Roman" w:hAnsi="Times New Roman"/>
                <w:sz w:val="21"/>
                <w:szCs w:val="21"/>
              </w:rPr>
            </w:pPr>
            <w:r>
              <w:rPr>
                <w:rFonts w:ascii="Times New Roman" w:hAnsi="Times New Roman"/>
                <w:sz w:val="21"/>
                <w:szCs w:val="21"/>
              </w:rPr>
              <w:t>47.49</w:t>
            </w:r>
          </w:p>
        </w:tc>
        <w:tc>
          <w:tcPr>
            <w:tcW w:w="830" w:type="dxa"/>
            <w:vMerge/>
            <w:shd w:val="clear" w:color="auto" w:fill="auto"/>
            <w:noWrap/>
          </w:tcPr>
          <w:p w14:paraId="1FDB4D78" w14:textId="77777777" w:rsidR="009C353B" w:rsidRDefault="009C353B">
            <w:pPr>
              <w:widowControl/>
              <w:jc w:val="center"/>
              <w:rPr>
                <w:rFonts w:ascii="Times New Roman" w:hAnsi="Times New Roman"/>
                <w:sz w:val="21"/>
                <w:szCs w:val="21"/>
              </w:rPr>
            </w:pPr>
          </w:p>
        </w:tc>
      </w:tr>
      <w:tr w:rsidR="009C353B" w14:paraId="200CF8BE" w14:textId="77777777">
        <w:trPr>
          <w:trHeight w:val="340"/>
        </w:trPr>
        <w:tc>
          <w:tcPr>
            <w:tcW w:w="648" w:type="dxa"/>
            <w:vMerge/>
            <w:shd w:val="clear" w:color="auto" w:fill="auto"/>
          </w:tcPr>
          <w:p w14:paraId="63739279"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3C71D3F"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68B9EC4D" w14:textId="77777777" w:rsidR="009C353B" w:rsidRDefault="00000000">
            <w:pPr>
              <w:widowControl/>
              <w:jc w:val="center"/>
              <w:rPr>
                <w:rFonts w:ascii="Times New Roman" w:hAnsi="Times New Roman"/>
                <w:sz w:val="21"/>
                <w:szCs w:val="21"/>
              </w:rPr>
            </w:pPr>
            <w:r>
              <w:rPr>
                <w:rFonts w:ascii="Times New Roman" w:hAnsi="Times New Roman"/>
                <w:sz w:val="21"/>
                <w:szCs w:val="21"/>
              </w:rPr>
              <w:t>4</w:t>
            </w:r>
            <w:r>
              <w:rPr>
                <w:rFonts w:ascii="Times New Roman" w:hAnsi="Times New Roman"/>
                <w:sz w:val="21"/>
                <w:szCs w:val="21"/>
              </w:rPr>
              <w:t>煤</w:t>
            </w:r>
          </w:p>
        </w:tc>
        <w:tc>
          <w:tcPr>
            <w:tcW w:w="800" w:type="dxa"/>
            <w:shd w:val="clear" w:color="auto" w:fill="auto"/>
            <w:noWrap/>
          </w:tcPr>
          <w:p w14:paraId="3FAB2DD3" w14:textId="77777777" w:rsidR="009C353B" w:rsidRDefault="00000000">
            <w:pPr>
              <w:widowControl/>
              <w:jc w:val="center"/>
              <w:rPr>
                <w:rFonts w:ascii="Times New Roman" w:hAnsi="Times New Roman"/>
                <w:sz w:val="21"/>
                <w:szCs w:val="21"/>
              </w:rPr>
            </w:pPr>
            <w:r>
              <w:rPr>
                <w:rFonts w:ascii="Times New Roman" w:hAnsi="Times New Roman"/>
                <w:sz w:val="21"/>
                <w:szCs w:val="21"/>
              </w:rPr>
              <w:t>1.35</w:t>
            </w:r>
          </w:p>
        </w:tc>
        <w:tc>
          <w:tcPr>
            <w:tcW w:w="882" w:type="dxa"/>
            <w:shd w:val="clear" w:color="auto" w:fill="auto"/>
            <w:noWrap/>
          </w:tcPr>
          <w:p w14:paraId="2509C80D" w14:textId="77777777" w:rsidR="009C353B" w:rsidRDefault="00000000">
            <w:pPr>
              <w:widowControl/>
              <w:jc w:val="center"/>
              <w:rPr>
                <w:rFonts w:ascii="Times New Roman" w:hAnsi="Times New Roman"/>
                <w:sz w:val="21"/>
                <w:szCs w:val="21"/>
              </w:rPr>
            </w:pPr>
            <w:r>
              <w:rPr>
                <w:rFonts w:ascii="Times New Roman" w:hAnsi="Times New Roman"/>
                <w:sz w:val="21"/>
                <w:szCs w:val="21"/>
              </w:rPr>
              <w:t>29.04</w:t>
            </w:r>
          </w:p>
        </w:tc>
        <w:tc>
          <w:tcPr>
            <w:tcW w:w="883" w:type="dxa"/>
            <w:shd w:val="clear" w:color="auto" w:fill="auto"/>
            <w:noWrap/>
          </w:tcPr>
          <w:p w14:paraId="034C70BF" w14:textId="77777777" w:rsidR="009C353B" w:rsidRDefault="00000000">
            <w:pPr>
              <w:widowControl/>
              <w:jc w:val="center"/>
              <w:rPr>
                <w:rFonts w:ascii="Times New Roman" w:hAnsi="Times New Roman"/>
                <w:sz w:val="21"/>
                <w:szCs w:val="21"/>
              </w:rPr>
            </w:pPr>
            <w:r>
              <w:rPr>
                <w:rFonts w:ascii="Times New Roman" w:hAnsi="Times New Roman"/>
                <w:sz w:val="21"/>
                <w:szCs w:val="21"/>
              </w:rPr>
              <w:t>33.24</w:t>
            </w:r>
          </w:p>
        </w:tc>
        <w:tc>
          <w:tcPr>
            <w:tcW w:w="1942" w:type="dxa"/>
            <w:shd w:val="clear" w:color="auto" w:fill="auto"/>
          </w:tcPr>
          <w:p w14:paraId="268DF095" w14:textId="77777777" w:rsidR="009C353B" w:rsidRDefault="00000000">
            <w:pPr>
              <w:widowControl/>
              <w:jc w:val="center"/>
              <w:rPr>
                <w:rFonts w:ascii="Times New Roman" w:hAnsi="Times New Roman"/>
                <w:sz w:val="21"/>
                <w:szCs w:val="21"/>
              </w:rPr>
            </w:pPr>
            <w:r>
              <w:rPr>
                <w:rFonts w:ascii="Times New Roman" w:hAnsi="Times New Roman"/>
                <w:sz w:val="21"/>
                <w:szCs w:val="21"/>
              </w:rPr>
              <w:t>24.11</w:t>
            </w:r>
          </w:p>
        </w:tc>
        <w:tc>
          <w:tcPr>
            <w:tcW w:w="1307" w:type="dxa"/>
            <w:shd w:val="clear" w:color="auto" w:fill="auto"/>
          </w:tcPr>
          <w:p w14:paraId="2E534984" w14:textId="77777777" w:rsidR="009C353B" w:rsidRDefault="00000000">
            <w:pPr>
              <w:widowControl/>
              <w:jc w:val="center"/>
              <w:rPr>
                <w:rFonts w:ascii="Times New Roman" w:hAnsi="Times New Roman"/>
                <w:sz w:val="21"/>
                <w:szCs w:val="21"/>
              </w:rPr>
            </w:pPr>
            <w:r>
              <w:rPr>
                <w:rFonts w:ascii="Times New Roman" w:hAnsi="Times New Roman"/>
                <w:sz w:val="21"/>
                <w:szCs w:val="21"/>
              </w:rPr>
              <w:t>33.24</w:t>
            </w:r>
          </w:p>
        </w:tc>
        <w:tc>
          <w:tcPr>
            <w:tcW w:w="830" w:type="dxa"/>
            <w:vMerge/>
            <w:shd w:val="clear" w:color="auto" w:fill="auto"/>
            <w:noWrap/>
          </w:tcPr>
          <w:p w14:paraId="4C381F13" w14:textId="77777777" w:rsidR="009C353B" w:rsidRDefault="009C353B">
            <w:pPr>
              <w:widowControl/>
              <w:jc w:val="center"/>
              <w:rPr>
                <w:rFonts w:ascii="Times New Roman" w:hAnsi="Times New Roman"/>
                <w:sz w:val="21"/>
                <w:szCs w:val="21"/>
              </w:rPr>
            </w:pPr>
          </w:p>
        </w:tc>
      </w:tr>
      <w:tr w:rsidR="009C353B" w14:paraId="374F1DC1" w14:textId="77777777">
        <w:trPr>
          <w:trHeight w:val="340"/>
        </w:trPr>
        <w:tc>
          <w:tcPr>
            <w:tcW w:w="648" w:type="dxa"/>
            <w:vMerge/>
            <w:shd w:val="clear" w:color="auto" w:fill="auto"/>
          </w:tcPr>
          <w:p w14:paraId="2CAF4686"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5B3150AE"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DF1006D"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71AA0792" w14:textId="77777777" w:rsidR="009C353B" w:rsidRDefault="00000000">
            <w:pPr>
              <w:widowControl/>
              <w:jc w:val="center"/>
              <w:rPr>
                <w:rFonts w:ascii="Times New Roman" w:hAnsi="Times New Roman"/>
                <w:sz w:val="21"/>
                <w:szCs w:val="21"/>
              </w:rPr>
            </w:pPr>
            <w:r>
              <w:rPr>
                <w:rFonts w:ascii="Times New Roman" w:hAnsi="Times New Roman"/>
                <w:sz w:val="21"/>
                <w:szCs w:val="21"/>
              </w:rPr>
              <w:t>4.81</w:t>
            </w:r>
          </w:p>
        </w:tc>
        <w:tc>
          <w:tcPr>
            <w:tcW w:w="882" w:type="dxa"/>
            <w:shd w:val="clear" w:color="auto" w:fill="auto"/>
            <w:noWrap/>
          </w:tcPr>
          <w:p w14:paraId="22F1722A" w14:textId="77777777" w:rsidR="009C353B" w:rsidRDefault="00000000">
            <w:pPr>
              <w:widowControl/>
              <w:jc w:val="center"/>
              <w:rPr>
                <w:rFonts w:ascii="Times New Roman" w:hAnsi="Times New Roman"/>
                <w:sz w:val="21"/>
                <w:szCs w:val="21"/>
              </w:rPr>
            </w:pPr>
            <w:r>
              <w:rPr>
                <w:rFonts w:ascii="Times New Roman" w:hAnsi="Times New Roman"/>
                <w:sz w:val="21"/>
                <w:szCs w:val="21"/>
              </w:rPr>
              <w:t>48.18</w:t>
            </w:r>
          </w:p>
        </w:tc>
        <w:tc>
          <w:tcPr>
            <w:tcW w:w="883" w:type="dxa"/>
            <w:shd w:val="clear" w:color="auto" w:fill="auto"/>
            <w:noWrap/>
          </w:tcPr>
          <w:p w14:paraId="23B56E21" w14:textId="77777777" w:rsidR="009C353B" w:rsidRDefault="00000000">
            <w:pPr>
              <w:widowControl/>
              <w:jc w:val="center"/>
              <w:rPr>
                <w:rFonts w:ascii="Times New Roman" w:hAnsi="Times New Roman"/>
                <w:sz w:val="21"/>
                <w:szCs w:val="21"/>
              </w:rPr>
            </w:pPr>
            <w:r>
              <w:rPr>
                <w:rFonts w:ascii="Times New Roman" w:hAnsi="Times New Roman"/>
                <w:sz w:val="21"/>
                <w:szCs w:val="21"/>
              </w:rPr>
              <w:t>53.86</w:t>
            </w:r>
          </w:p>
        </w:tc>
        <w:tc>
          <w:tcPr>
            <w:tcW w:w="1942" w:type="dxa"/>
            <w:shd w:val="clear" w:color="auto" w:fill="auto"/>
          </w:tcPr>
          <w:p w14:paraId="024EBCA9" w14:textId="77777777" w:rsidR="009C353B" w:rsidRDefault="00000000">
            <w:pPr>
              <w:widowControl/>
              <w:jc w:val="center"/>
              <w:rPr>
                <w:rFonts w:ascii="Times New Roman" w:hAnsi="Times New Roman"/>
                <w:sz w:val="21"/>
                <w:szCs w:val="21"/>
              </w:rPr>
            </w:pPr>
            <w:r>
              <w:rPr>
                <w:rFonts w:ascii="Times New Roman" w:hAnsi="Times New Roman"/>
                <w:sz w:val="21"/>
                <w:szCs w:val="21"/>
              </w:rPr>
              <w:t>72.85</w:t>
            </w:r>
          </w:p>
        </w:tc>
        <w:tc>
          <w:tcPr>
            <w:tcW w:w="1307" w:type="dxa"/>
            <w:shd w:val="clear" w:color="auto" w:fill="auto"/>
          </w:tcPr>
          <w:p w14:paraId="21A85C9D" w14:textId="77777777" w:rsidR="009C353B" w:rsidRDefault="00000000">
            <w:pPr>
              <w:widowControl/>
              <w:jc w:val="center"/>
              <w:rPr>
                <w:rFonts w:ascii="Times New Roman" w:hAnsi="Times New Roman"/>
                <w:sz w:val="21"/>
                <w:szCs w:val="21"/>
              </w:rPr>
            </w:pPr>
            <w:r>
              <w:rPr>
                <w:rFonts w:ascii="Times New Roman" w:hAnsi="Times New Roman"/>
                <w:sz w:val="21"/>
                <w:szCs w:val="21"/>
              </w:rPr>
              <w:t>72.85</w:t>
            </w:r>
          </w:p>
        </w:tc>
        <w:tc>
          <w:tcPr>
            <w:tcW w:w="830" w:type="dxa"/>
            <w:vMerge/>
            <w:shd w:val="clear" w:color="auto" w:fill="auto"/>
            <w:noWrap/>
          </w:tcPr>
          <w:p w14:paraId="52F5B5DF" w14:textId="77777777" w:rsidR="009C353B" w:rsidRDefault="009C353B">
            <w:pPr>
              <w:widowControl/>
              <w:jc w:val="center"/>
              <w:rPr>
                <w:rFonts w:ascii="Times New Roman" w:hAnsi="Times New Roman"/>
                <w:sz w:val="21"/>
                <w:szCs w:val="21"/>
              </w:rPr>
            </w:pPr>
          </w:p>
        </w:tc>
      </w:tr>
      <w:tr w:rsidR="009C353B" w14:paraId="3DA75F94" w14:textId="77777777">
        <w:trPr>
          <w:trHeight w:val="340"/>
        </w:trPr>
        <w:tc>
          <w:tcPr>
            <w:tcW w:w="648" w:type="dxa"/>
            <w:vMerge/>
            <w:shd w:val="clear" w:color="auto" w:fill="auto"/>
          </w:tcPr>
          <w:p w14:paraId="7135449C"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23960A29"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118</w:t>
            </w:r>
          </w:p>
        </w:tc>
        <w:tc>
          <w:tcPr>
            <w:tcW w:w="883" w:type="dxa"/>
            <w:shd w:val="clear" w:color="auto" w:fill="auto"/>
            <w:noWrap/>
          </w:tcPr>
          <w:p w14:paraId="4E10998A"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6DDF2A62" w14:textId="77777777" w:rsidR="009C353B" w:rsidRDefault="00000000">
            <w:pPr>
              <w:widowControl/>
              <w:jc w:val="center"/>
              <w:rPr>
                <w:rFonts w:ascii="Times New Roman" w:hAnsi="Times New Roman"/>
                <w:sz w:val="21"/>
                <w:szCs w:val="21"/>
              </w:rPr>
            </w:pPr>
            <w:r>
              <w:rPr>
                <w:rFonts w:ascii="Times New Roman" w:hAnsi="Times New Roman"/>
                <w:sz w:val="21"/>
                <w:szCs w:val="21"/>
              </w:rPr>
              <w:t>1.04</w:t>
            </w:r>
          </w:p>
        </w:tc>
        <w:tc>
          <w:tcPr>
            <w:tcW w:w="882" w:type="dxa"/>
            <w:shd w:val="clear" w:color="auto" w:fill="auto"/>
            <w:noWrap/>
          </w:tcPr>
          <w:p w14:paraId="2569D6FB" w14:textId="77777777" w:rsidR="009C353B" w:rsidRDefault="00000000">
            <w:pPr>
              <w:widowControl/>
              <w:jc w:val="center"/>
              <w:rPr>
                <w:rFonts w:ascii="Times New Roman" w:hAnsi="Times New Roman"/>
                <w:sz w:val="21"/>
                <w:szCs w:val="21"/>
              </w:rPr>
            </w:pPr>
            <w:r>
              <w:rPr>
                <w:rFonts w:ascii="Times New Roman" w:hAnsi="Times New Roman"/>
                <w:sz w:val="21"/>
                <w:szCs w:val="21"/>
              </w:rPr>
              <w:t>25.36</w:t>
            </w:r>
          </w:p>
        </w:tc>
        <w:tc>
          <w:tcPr>
            <w:tcW w:w="883" w:type="dxa"/>
            <w:shd w:val="clear" w:color="auto" w:fill="auto"/>
            <w:noWrap/>
          </w:tcPr>
          <w:p w14:paraId="68692BE1" w14:textId="77777777" w:rsidR="009C353B" w:rsidRDefault="00000000">
            <w:pPr>
              <w:widowControl/>
              <w:jc w:val="center"/>
              <w:rPr>
                <w:rFonts w:ascii="Times New Roman" w:hAnsi="Times New Roman"/>
                <w:sz w:val="21"/>
                <w:szCs w:val="21"/>
              </w:rPr>
            </w:pPr>
            <w:r>
              <w:rPr>
                <w:rFonts w:ascii="Times New Roman" w:hAnsi="Times New Roman"/>
                <w:sz w:val="21"/>
                <w:szCs w:val="21"/>
              </w:rPr>
              <w:t>30.40</w:t>
            </w:r>
          </w:p>
        </w:tc>
        <w:tc>
          <w:tcPr>
            <w:tcW w:w="1942" w:type="dxa"/>
            <w:shd w:val="clear" w:color="auto" w:fill="auto"/>
          </w:tcPr>
          <w:p w14:paraId="25C548A2" w14:textId="77777777" w:rsidR="009C353B" w:rsidRDefault="00000000">
            <w:pPr>
              <w:widowControl/>
              <w:jc w:val="center"/>
              <w:rPr>
                <w:rFonts w:ascii="Times New Roman" w:hAnsi="Times New Roman"/>
                <w:sz w:val="21"/>
                <w:szCs w:val="21"/>
              </w:rPr>
            </w:pPr>
            <w:r>
              <w:rPr>
                <w:rFonts w:ascii="Times New Roman" w:hAnsi="Times New Roman"/>
                <w:sz w:val="21"/>
                <w:szCs w:val="21"/>
              </w:rPr>
              <w:t>19.75</w:t>
            </w:r>
          </w:p>
        </w:tc>
        <w:tc>
          <w:tcPr>
            <w:tcW w:w="1307" w:type="dxa"/>
            <w:shd w:val="clear" w:color="auto" w:fill="auto"/>
          </w:tcPr>
          <w:p w14:paraId="1C8025ED" w14:textId="77777777" w:rsidR="009C353B" w:rsidRDefault="00000000">
            <w:pPr>
              <w:widowControl/>
              <w:jc w:val="center"/>
              <w:rPr>
                <w:rFonts w:ascii="Times New Roman" w:hAnsi="Times New Roman"/>
                <w:sz w:val="21"/>
                <w:szCs w:val="21"/>
              </w:rPr>
            </w:pPr>
            <w:r>
              <w:rPr>
                <w:rFonts w:ascii="Times New Roman" w:hAnsi="Times New Roman"/>
                <w:sz w:val="21"/>
                <w:szCs w:val="21"/>
              </w:rPr>
              <w:t>30.40</w:t>
            </w:r>
          </w:p>
        </w:tc>
        <w:tc>
          <w:tcPr>
            <w:tcW w:w="830" w:type="dxa"/>
            <w:vMerge w:val="restart"/>
            <w:shd w:val="clear" w:color="auto" w:fill="auto"/>
            <w:noWrap/>
          </w:tcPr>
          <w:p w14:paraId="7B3BBBFA"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sh</w:t>
            </w:r>
          </w:p>
        </w:tc>
      </w:tr>
      <w:tr w:rsidR="009C353B" w14:paraId="5A834CB5" w14:textId="77777777">
        <w:trPr>
          <w:trHeight w:val="340"/>
        </w:trPr>
        <w:tc>
          <w:tcPr>
            <w:tcW w:w="648" w:type="dxa"/>
            <w:vMerge/>
            <w:shd w:val="clear" w:color="auto" w:fill="auto"/>
          </w:tcPr>
          <w:p w14:paraId="590A910C"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056B62D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3BC622D"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6D0EFA10" w14:textId="77777777" w:rsidR="009C353B" w:rsidRDefault="00000000">
            <w:pPr>
              <w:widowControl/>
              <w:jc w:val="center"/>
              <w:rPr>
                <w:rFonts w:ascii="Times New Roman" w:hAnsi="Times New Roman"/>
                <w:sz w:val="21"/>
                <w:szCs w:val="21"/>
              </w:rPr>
            </w:pPr>
            <w:r>
              <w:rPr>
                <w:rFonts w:ascii="Times New Roman" w:hAnsi="Times New Roman"/>
                <w:sz w:val="21"/>
                <w:szCs w:val="21"/>
              </w:rPr>
              <w:t>3.25</w:t>
            </w:r>
          </w:p>
        </w:tc>
        <w:tc>
          <w:tcPr>
            <w:tcW w:w="882" w:type="dxa"/>
            <w:shd w:val="clear" w:color="auto" w:fill="auto"/>
            <w:noWrap/>
          </w:tcPr>
          <w:p w14:paraId="729C2DF9" w14:textId="77777777" w:rsidR="009C353B" w:rsidRDefault="00000000">
            <w:pPr>
              <w:widowControl/>
              <w:jc w:val="center"/>
              <w:rPr>
                <w:rFonts w:ascii="Times New Roman" w:hAnsi="Times New Roman"/>
                <w:sz w:val="21"/>
                <w:szCs w:val="21"/>
              </w:rPr>
            </w:pPr>
            <w:r>
              <w:rPr>
                <w:rFonts w:ascii="Times New Roman" w:hAnsi="Times New Roman"/>
                <w:sz w:val="21"/>
                <w:szCs w:val="21"/>
              </w:rPr>
              <w:t>42.53</w:t>
            </w:r>
          </w:p>
        </w:tc>
        <w:tc>
          <w:tcPr>
            <w:tcW w:w="883" w:type="dxa"/>
            <w:shd w:val="clear" w:color="auto" w:fill="auto"/>
            <w:noWrap/>
          </w:tcPr>
          <w:p w14:paraId="6C9C9487" w14:textId="77777777" w:rsidR="009C353B" w:rsidRDefault="00000000">
            <w:pPr>
              <w:widowControl/>
              <w:jc w:val="center"/>
              <w:rPr>
                <w:rFonts w:ascii="Times New Roman" w:hAnsi="Times New Roman"/>
                <w:sz w:val="21"/>
                <w:szCs w:val="21"/>
              </w:rPr>
            </w:pPr>
            <w:r>
              <w:rPr>
                <w:rFonts w:ascii="Times New Roman" w:hAnsi="Times New Roman"/>
                <w:sz w:val="21"/>
                <w:szCs w:val="21"/>
              </w:rPr>
              <w:t>46.06</w:t>
            </w:r>
          </w:p>
        </w:tc>
        <w:tc>
          <w:tcPr>
            <w:tcW w:w="1942" w:type="dxa"/>
            <w:shd w:val="clear" w:color="auto" w:fill="auto"/>
          </w:tcPr>
          <w:p w14:paraId="4DFAEE9C" w14:textId="77777777" w:rsidR="009C353B" w:rsidRDefault="00000000">
            <w:pPr>
              <w:widowControl/>
              <w:jc w:val="center"/>
              <w:rPr>
                <w:rFonts w:ascii="Times New Roman" w:hAnsi="Times New Roman"/>
                <w:sz w:val="21"/>
                <w:szCs w:val="21"/>
              </w:rPr>
            </w:pPr>
            <w:r>
              <w:rPr>
                <w:rFonts w:ascii="Times New Roman" w:hAnsi="Times New Roman"/>
                <w:sz w:val="21"/>
                <w:szCs w:val="21"/>
              </w:rPr>
              <w:t>50.87</w:t>
            </w:r>
          </w:p>
        </w:tc>
        <w:tc>
          <w:tcPr>
            <w:tcW w:w="1307" w:type="dxa"/>
            <w:shd w:val="clear" w:color="auto" w:fill="auto"/>
          </w:tcPr>
          <w:p w14:paraId="2EA0C258" w14:textId="77777777" w:rsidR="009C353B" w:rsidRDefault="00000000">
            <w:pPr>
              <w:widowControl/>
              <w:jc w:val="center"/>
              <w:rPr>
                <w:rFonts w:ascii="Times New Roman" w:hAnsi="Times New Roman"/>
                <w:sz w:val="21"/>
                <w:szCs w:val="21"/>
              </w:rPr>
            </w:pPr>
            <w:r>
              <w:rPr>
                <w:rFonts w:ascii="Times New Roman" w:hAnsi="Times New Roman"/>
                <w:sz w:val="21"/>
                <w:szCs w:val="21"/>
              </w:rPr>
              <w:t>50.87</w:t>
            </w:r>
          </w:p>
        </w:tc>
        <w:tc>
          <w:tcPr>
            <w:tcW w:w="830" w:type="dxa"/>
            <w:vMerge/>
            <w:shd w:val="clear" w:color="auto" w:fill="auto"/>
            <w:noWrap/>
          </w:tcPr>
          <w:p w14:paraId="684C847B" w14:textId="77777777" w:rsidR="009C353B" w:rsidRDefault="009C353B">
            <w:pPr>
              <w:widowControl/>
              <w:jc w:val="center"/>
              <w:rPr>
                <w:rFonts w:ascii="Times New Roman" w:hAnsi="Times New Roman"/>
                <w:sz w:val="21"/>
                <w:szCs w:val="21"/>
              </w:rPr>
            </w:pPr>
          </w:p>
        </w:tc>
      </w:tr>
      <w:tr w:rsidR="009C353B" w14:paraId="26DD160D" w14:textId="77777777">
        <w:trPr>
          <w:trHeight w:val="340"/>
        </w:trPr>
        <w:tc>
          <w:tcPr>
            <w:tcW w:w="648" w:type="dxa"/>
            <w:vMerge/>
            <w:shd w:val="clear" w:color="auto" w:fill="auto"/>
          </w:tcPr>
          <w:p w14:paraId="7A22966A"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1BF15878"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4DBC618" w14:textId="77777777" w:rsidR="009C353B" w:rsidRDefault="00000000">
            <w:pPr>
              <w:widowControl/>
              <w:jc w:val="center"/>
              <w:rPr>
                <w:rFonts w:ascii="Times New Roman" w:hAnsi="Times New Roman"/>
                <w:sz w:val="21"/>
                <w:szCs w:val="21"/>
              </w:rPr>
            </w:pPr>
            <w:r>
              <w:rPr>
                <w:rFonts w:ascii="Times New Roman" w:hAnsi="Times New Roman"/>
                <w:sz w:val="21"/>
                <w:szCs w:val="21"/>
              </w:rPr>
              <w:t>4</w:t>
            </w:r>
            <w:r>
              <w:rPr>
                <w:rFonts w:ascii="Times New Roman" w:hAnsi="Times New Roman"/>
                <w:sz w:val="21"/>
                <w:szCs w:val="21"/>
              </w:rPr>
              <w:t>煤</w:t>
            </w:r>
          </w:p>
        </w:tc>
        <w:tc>
          <w:tcPr>
            <w:tcW w:w="800" w:type="dxa"/>
            <w:shd w:val="clear" w:color="auto" w:fill="auto"/>
            <w:noWrap/>
          </w:tcPr>
          <w:p w14:paraId="4E4B39AB" w14:textId="77777777" w:rsidR="009C353B" w:rsidRDefault="00000000">
            <w:pPr>
              <w:widowControl/>
              <w:jc w:val="center"/>
              <w:rPr>
                <w:rFonts w:ascii="Times New Roman" w:hAnsi="Times New Roman"/>
                <w:sz w:val="21"/>
                <w:szCs w:val="21"/>
              </w:rPr>
            </w:pPr>
            <w:r>
              <w:rPr>
                <w:rFonts w:ascii="Times New Roman" w:hAnsi="Times New Roman"/>
                <w:sz w:val="21"/>
                <w:szCs w:val="21"/>
              </w:rPr>
              <w:t>0.66</w:t>
            </w:r>
          </w:p>
        </w:tc>
        <w:tc>
          <w:tcPr>
            <w:tcW w:w="882" w:type="dxa"/>
            <w:shd w:val="clear" w:color="auto" w:fill="auto"/>
            <w:noWrap/>
          </w:tcPr>
          <w:p w14:paraId="36F042BE" w14:textId="77777777" w:rsidR="009C353B" w:rsidRDefault="00000000">
            <w:pPr>
              <w:widowControl/>
              <w:jc w:val="center"/>
              <w:rPr>
                <w:rFonts w:ascii="Times New Roman" w:hAnsi="Times New Roman"/>
                <w:sz w:val="21"/>
                <w:szCs w:val="21"/>
              </w:rPr>
            </w:pPr>
            <w:r>
              <w:rPr>
                <w:rFonts w:ascii="Times New Roman" w:hAnsi="Times New Roman"/>
                <w:sz w:val="21"/>
                <w:szCs w:val="21"/>
              </w:rPr>
              <w:t>19.78</w:t>
            </w:r>
          </w:p>
        </w:tc>
        <w:tc>
          <w:tcPr>
            <w:tcW w:w="883" w:type="dxa"/>
            <w:shd w:val="clear" w:color="auto" w:fill="auto"/>
            <w:noWrap/>
          </w:tcPr>
          <w:p w14:paraId="3A3D42E6" w14:textId="77777777" w:rsidR="009C353B" w:rsidRDefault="00000000">
            <w:pPr>
              <w:widowControl/>
              <w:jc w:val="center"/>
              <w:rPr>
                <w:rFonts w:ascii="Times New Roman" w:hAnsi="Times New Roman"/>
                <w:sz w:val="21"/>
                <w:szCs w:val="21"/>
              </w:rPr>
            </w:pPr>
            <w:r>
              <w:rPr>
                <w:rFonts w:ascii="Times New Roman" w:hAnsi="Times New Roman"/>
                <w:sz w:val="21"/>
                <w:szCs w:val="21"/>
              </w:rPr>
              <w:t>26.25</w:t>
            </w:r>
          </w:p>
        </w:tc>
        <w:tc>
          <w:tcPr>
            <w:tcW w:w="1942" w:type="dxa"/>
            <w:shd w:val="clear" w:color="auto" w:fill="auto"/>
          </w:tcPr>
          <w:p w14:paraId="5B3C3D28" w14:textId="77777777" w:rsidR="009C353B" w:rsidRDefault="00000000">
            <w:pPr>
              <w:widowControl/>
              <w:jc w:val="center"/>
              <w:rPr>
                <w:rFonts w:ascii="Times New Roman" w:hAnsi="Times New Roman"/>
                <w:sz w:val="21"/>
                <w:szCs w:val="21"/>
              </w:rPr>
            </w:pPr>
            <w:r>
              <w:rPr>
                <w:rFonts w:ascii="Times New Roman" w:hAnsi="Times New Roman"/>
                <w:sz w:val="21"/>
                <w:szCs w:val="21"/>
              </w:rPr>
              <w:t>14.40</w:t>
            </w:r>
          </w:p>
        </w:tc>
        <w:tc>
          <w:tcPr>
            <w:tcW w:w="1307" w:type="dxa"/>
            <w:shd w:val="clear" w:color="auto" w:fill="auto"/>
          </w:tcPr>
          <w:p w14:paraId="31030BF0" w14:textId="77777777" w:rsidR="009C353B" w:rsidRDefault="00000000">
            <w:pPr>
              <w:widowControl/>
              <w:jc w:val="center"/>
              <w:rPr>
                <w:rFonts w:ascii="Times New Roman" w:hAnsi="Times New Roman"/>
                <w:sz w:val="21"/>
                <w:szCs w:val="21"/>
              </w:rPr>
            </w:pPr>
            <w:r>
              <w:rPr>
                <w:rFonts w:ascii="Times New Roman" w:hAnsi="Times New Roman"/>
                <w:sz w:val="21"/>
                <w:szCs w:val="21"/>
              </w:rPr>
              <w:t>26.25</w:t>
            </w:r>
          </w:p>
        </w:tc>
        <w:tc>
          <w:tcPr>
            <w:tcW w:w="830" w:type="dxa"/>
            <w:vMerge/>
            <w:shd w:val="clear" w:color="auto" w:fill="auto"/>
            <w:noWrap/>
          </w:tcPr>
          <w:p w14:paraId="5CEDB8F2" w14:textId="77777777" w:rsidR="009C353B" w:rsidRDefault="009C353B">
            <w:pPr>
              <w:widowControl/>
              <w:jc w:val="center"/>
              <w:rPr>
                <w:rFonts w:ascii="Times New Roman" w:hAnsi="Times New Roman"/>
                <w:sz w:val="21"/>
                <w:szCs w:val="21"/>
              </w:rPr>
            </w:pPr>
          </w:p>
        </w:tc>
      </w:tr>
      <w:tr w:rsidR="009C353B" w14:paraId="6B9523A4" w14:textId="77777777">
        <w:trPr>
          <w:trHeight w:val="340"/>
        </w:trPr>
        <w:tc>
          <w:tcPr>
            <w:tcW w:w="648" w:type="dxa"/>
            <w:vMerge/>
            <w:shd w:val="clear" w:color="auto" w:fill="auto"/>
          </w:tcPr>
          <w:p w14:paraId="0AA3A70D"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434C4549"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600AD7C3"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1B04304E" w14:textId="77777777" w:rsidR="009C353B" w:rsidRDefault="00000000">
            <w:pPr>
              <w:widowControl/>
              <w:jc w:val="center"/>
              <w:rPr>
                <w:rFonts w:ascii="Times New Roman" w:hAnsi="Times New Roman"/>
                <w:sz w:val="21"/>
                <w:szCs w:val="21"/>
              </w:rPr>
            </w:pPr>
            <w:r>
              <w:rPr>
                <w:rFonts w:ascii="Times New Roman" w:hAnsi="Times New Roman"/>
                <w:sz w:val="21"/>
                <w:szCs w:val="21"/>
              </w:rPr>
              <w:t>8.18</w:t>
            </w:r>
          </w:p>
        </w:tc>
        <w:tc>
          <w:tcPr>
            <w:tcW w:w="882" w:type="dxa"/>
            <w:shd w:val="clear" w:color="auto" w:fill="auto"/>
            <w:noWrap/>
          </w:tcPr>
          <w:p w14:paraId="0ABDD95C" w14:textId="77777777" w:rsidR="009C353B" w:rsidRDefault="00000000">
            <w:pPr>
              <w:widowControl/>
              <w:jc w:val="center"/>
              <w:rPr>
                <w:rFonts w:ascii="Times New Roman" w:hAnsi="Times New Roman"/>
                <w:sz w:val="21"/>
                <w:szCs w:val="21"/>
              </w:rPr>
            </w:pPr>
            <w:r>
              <w:rPr>
                <w:rFonts w:ascii="Times New Roman" w:hAnsi="Times New Roman"/>
                <w:sz w:val="21"/>
                <w:szCs w:val="21"/>
              </w:rPr>
              <w:t>54.62</w:t>
            </w:r>
          </w:p>
        </w:tc>
        <w:tc>
          <w:tcPr>
            <w:tcW w:w="883" w:type="dxa"/>
            <w:shd w:val="clear" w:color="auto" w:fill="auto"/>
            <w:noWrap/>
          </w:tcPr>
          <w:p w14:paraId="30485AAA" w14:textId="77777777" w:rsidR="009C353B" w:rsidRDefault="00000000">
            <w:pPr>
              <w:widowControl/>
              <w:jc w:val="center"/>
              <w:rPr>
                <w:rFonts w:ascii="Times New Roman" w:hAnsi="Times New Roman"/>
                <w:sz w:val="21"/>
                <w:szCs w:val="21"/>
              </w:rPr>
            </w:pPr>
            <w:r>
              <w:rPr>
                <w:rFonts w:ascii="Times New Roman" w:hAnsi="Times New Roman"/>
                <w:sz w:val="21"/>
                <w:szCs w:val="21"/>
              </w:rPr>
              <w:t>67.20</w:t>
            </w:r>
          </w:p>
        </w:tc>
        <w:tc>
          <w:tcPr>
            <w:tcW w:w="1942" w:type="dxa"/>
            <w:shd w:val="clear" w:color="auto" w:fill="auto"/>
          </w:tcPr>
          <w:p w14:paraId="62CB0718" w14:textId="77777777" w:rsidR="009C353B" w:rsidRDefault="00000000">
            <w:pPr>
              <w:widowControl/>
              <w:jc w:val="center"/>
              <w:rPr>
                <w:rFonts w:ascii="Times New Roman" w:hAnsi="Times New Roman"/>
                <w:sz w:val="21"/>
                <w:szCs w:val="21"/>
              </w:rPr>
            </w:pPr>
            <w:r>
              <w:rPr>
                <w:rFonts w:ascii="Times New Roman" w:hAnsi="Times New Roman"/>
                <w:sz w:val="21"/>
                <w:szCs w:val="21"/>
              </w:rPr>
              <w:t>120.31</w:t>
            </w:r>
          </w:p>
        </w:tc>
        <w:tc>
          <w:tcPr>
            <w:tcW w:w="1307" w:type="dxa"/>
            <w:shd w:val="clear" w:color="auto" w:fill="auto"/>
          </w:tcPr>
          <w:p w14:paraId="21DC0DAB" w14:textId="77777777" w:rsidR="009C353B" w:rsidRDefault="00000000">
            <w:pPr>
              <w:widowControl/>
              <w:jc w:val="center"/>
              <w:rPr>
                <w:rFonts w:ascii="Times New Roman" w:hAnsi="Times New Roman"/>
                <w:sz w:val="21"/>
                <w:szCs w:val="21"/>
              </w:rPr>
            </w:pPr>
            <w:r>
              <w:rPr>
                <w:rFonts w:ascii="Times New Roman" w:hAnsi="Times New Roman"/>
                <w:sz w:val="21"/>
                <w:szCs w:val="21"/>
              </w:rPr>
              <w:t>120.31</w:t>
            </w:r>
          </w:p>
        </w:tc>
        <w:tc>
          <w:tcPr>
            <w:tcW w:w="830" w:type="dxa"/>
            <w:vMerge/>
            <w:shd w:val="clear" w:color="auto" w:fill="auto"/>
            <w:noWrap/>
          </w:tcPr>
          <w:p w14:paraId="12052CD2" w14:textId="77777777" w:rsidR="009C353B" w:rsidRDefault="009C353B">
            <w:pPr>
              <w:widowControl/>
              <w:jc w:val="center"/>
              <w:rPr>
                <w:rFonts w:ascii="Times New Roman" w:hAnsi="Times New Roman"/>
                <w:sz w:val="21"/>
                <w:szCs w:val="21"/>
              </w:rPr>
            </w:pPr>
          </w:p>
        </w:tc>
      </w:tr>
      <w:tr w:rsidR="009C353B" w14:paraId="76446CAF" w14:textId="77777777">
        <w:trPr>
          <w:trHeight w:val="340"/>
        </w:trPr>
        <w:tc>
          <w:tcPr>
            <w:tcW w:w="648" w:type="dxa"/>
            <w:vMerge/>
            <w:shd w:val="clear" w:color="auto" w:fill="auto"/>
          </w:tcPr>
          <w:p w14:paraId="538542FD"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3A67B9DB"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239</w:t>
            </w:r>
          </w:p>
        </w:tc>
        <w:tc>
          <w:tcPr>
            <w:tcW w:w="883" w:type="dxa"/>
            <w:shd w:val="clear" w:color="auto" w:fill="auto"/>
            <w:noWrap/>
          </w:tcPr>
          <w:p w14:paraId="3851C726"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3451C64F" w14:textId="77777777" w:rsidR="009C353B" w:rsidRDefault="00000000">
            <w:pPr>
              <w:widowControl/>
              <w:jc w:val="center"/>
              <w:rPr>
                <w:rFonts w:ascii="Times New Roman" w:hAnsi="Times New Roman"/>
                <w:sz w:val="21"/>
                <w:szCs w:val="21"/>
              </w:rPr>
            </w:pPr>
            <w:r>
              <w:rPr>
                <w:rFonts w:ascii="Times New Roman" w:hAnsi="Times New Roman"/>
                <w:sz w:val="21"/>
                <w:szCs w:val="21"/>
              </w:rPr>
              <w:t>1.28</w:t>
            </w:r>
          </w:p>
        </w:tc>
        <w:tc>
          <w:tcPr>
            <w:tcW w:w="882" w:type="dxa"/>
            <w:shd w:val="clear" w:color="auto" w:fill="auto"/>
            <w:noWrap/>
          </w:tcPr>
          <w:p w14:paraId="4031A5CE" w14:textId="77777777" w:rsidR="009C353B" w:rsidRDefault="00000000">
            <w:pPr>
              <w:widowControl/>
              <w:jc w:val="center"/>
              <w:rPr>
                <w:rFonts w:ascii="Times New Roman" w:hAnsi="Times New Roman"/>
                <w:sz w:val="21"/>
                <w:szCs w:val="21"/>
              </w:rPr>
            </w:pPr>
            <w:r>
              <w:rPr>
                <w:rFonts w:ascii="Times New Roman" w:hAnsi="Times New Roman"/>
                <w:sz w:val="21"/>
                <w:szCs w:val="21"/>
              </w:rPr>
              <w:t>28.26</w:t>
            </w:r>
          </w:p>
        </w:tc>
        <w:tc>
          <w:tcPr>
            <w:tcW w:w="883" w:type="dxa"/>
            <w:shd w:val="clear" w:color="auto" w:fill="auto"/>
            <w:noWrap/>
          </w:tcPr>
          <w:p w14:paraId="4BB2B942" w14:textId="77777777" w:rsidR="009C353B" w:rsidRDefault="00000000">
            <w:pPr>
              <w:widowControl/>
              <w:jc w:val="center"/>
              <w:rPr>
                <w:rFonts w:ascii="Times New Roman" w:hAnsi="Times New Roman"/>
                <w:sz w:val="21"/>
                <w:szCs w:val="21"/>
              </w:rPr>
            </w:pPr>
            <w:r>
              <w:rPr>
                <w:rFonts w:ascii="Times New Roman" w:hAnsi="Times New Roman"/>
                <w:sz w:val="21"/>
                <w:szCs w:val="21"/>
              </w:rPr>
              <w:t>32.63</w:t>
            </w:r>
          </w:p>
        </w:tc>
        <w:tc>
          <w:tcPr>
            <w:tcW w:w="1942" w:type="dxa"/>
            <w:shd w:val="clear" w:color="auto" w:fill="auto"/>
          </w:tcPr>
          <w:p w14:paraId="227A089F" w14:textId="77777777" w:rsidR="009C353B" w:rsidRDefault="00000000">
            <w:pPr>
              <w:widowControl/>
              <w:jc w:val="center"/>
              <w:rPr>
                <w:rFonts w:ascii="Times New Roman" w:hAnsi="Times New Roman"/>
                <w:sz w:val="21"/>
                <w:szCs w:val="21"/>
              </w:rPr>
            </w:pPr>
            <w:r>
              <w:rPr>
                <w:rFonts w:ascii="Times New Roman" w:hAnsi="Times New Roman"/>
                <w:sz w:val="21"/>
                <w:szCs w:val="21"/>
              </w:rPr>
              <w:t>23.13</w:t>
            </w:r>
          </w:p>
        </w:tc>
        <w:tc>
          <w:tcPr>
            <w:tcW w:w="1307" w:type="dxa"/>
            <w:shd w:val="clear" w:color="auto" w:fill="auto"/>
          </w:tcPr>
          <w:p w14:paraId="3EA987F7" w14:textId="77777777" w:rsidR="009C353B" w:rsidRDefault="00000000">
            <w:pPr>
              <w:widowControl/>
              <w:jc w:val="center"/>
              <w:rPr>
                <w:rFonts w:ascii="Times New Roman" w:hAnsi="Times New Roman"/>
                <w:sz w:val="21"/>
                <w:szCs w:val="21"/>
              </w:rPr>
            </w:pPr>
            <w:r>
              <w:rPr>
                <w:rFonts w:ascii="Times New Roman" w:hAnsi="Times New Roman"/>
                <w:sz w:val="21"/>
                <w:szCs w:val="21"/>
              </w:rPr>
              <w:t>32.63</w:t>
            </w:r>
          </w:p>
        </w:tc>
        <w:tc>
          <w:tcPr>
            <w:tcW w:w="830" w:type="dxa"/>
            <w:vMerge w:val="restart"/>
            <w:shd w:val="clear" w:color="auto" w:fill="auto"/>
            <w:noWrap/>
          </w:tcPr>
          <w:p w14:paraId="08D1DE28"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64CD1AE4" w14:textId="77777777">
        <w:trPr>
          <w:trHeight w:val="340"/>
        </w:trPr>
        <w:tc>
          <w:tcPr>
            <w:tcW w:w="648" w:type="dxa"/>
            <w:vMerge/>
            <w:shd w:val="clear" w:color="auto" w:fill="auto"/>
          </w:tcPr>
          <w:p w14:paraId="3A0A72B5"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3DDF4A6B"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3A36BB58"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60BDFBF4" w14:textId="77777777" w:rsidR="009C353B" w:rsidRDefault="00000000">
            <w:pPr>
              <w:widowControl/>
              <w:jc w:val="center"/>
              <w:rPr>
                <w:rFonts w:ascii="Times New Roman" w:hAnsi="Times New Roman"/>
                <w:sz w:val="21"/>
                <w:szCs w:val="21"/>
              </w:rPr>
            </w:pPr>
            <w:r>
              <w:rPr>
                <w:rFonts w:ascii="Times New Roman" w:hAnsi="Times New Roman"/>
                <w:sz w:val="21"/>
                <w:szCs w:val="21"/>
              </w:rPr>
              <w:t>3.04</w:t>
            </w:r>
          </w:p>
        </w:tc>
        <w:tc>
          <w:tcPr>
            <w:tcW w:w="882" w:type="dxa"/>
            <w:shd w:val="clear" w:color="auto" w:fill="auto"/>
            <w:noWrap/>
          </w:tcPr>
          <w:p w14:paraId="7377A970" w14:textId="77777777" w:rsidR="009C353B" w:rsidRDefault="00000000">
            <w:pPr>
              <w:widowControl/>
              <w:jc w:val="center"/>
              <w:rPr>
                <w:rFonts w:ascii="Times New Roman" w:hAnsi="Times New Roman"/>
                <w:sz w:val="21"/>
                <w:szCs w:val="21"/>
              </w:rPr>
            </w:pPr>
            <w:r>
              <w:rPr>
                <w:rFonts w:ascii="Times New Roman" w:hAnsi="Times New Roman"/>
                <w:sz w:val="21"/>
                <w:szCs w:val="21"/>
              </w:rPr>
              <w:t>41.52</w:t>
            </w:r>
          </w:p>
        </w:tc>
        <w:tc>
          <w:tcPr>
            <w:tcW w:w="883" w:type="dxa"/>
            <w:shd w:val="clear" w:color="auto" w:fill="auto"/>
            <w:noWrap/>
          </w:tcPr>
          <w:p w14:paraId="50AC19CF" w14:textId="77777777" w:rsidR="009C353B" w:rsidRDefault="00000000">
            <w:pPr>
              <w:widowControl/>
              <w:jc w:val="center"/>
              <w:rPr>
                <w:rFonts w:ascii="Times New Roman" w:hAnsi="Times New Roman"/>
                <w:sz w:val="21"/>
                <w:szCs w:val="21"/>
              </w:rPr>
            </w:pPr>
            <w:r>
              <w:rPr>
                <w:rFonts w:ascii="Times New Roman" w:hAnsi="Times New Roman"/>
                <w:sz w:val="21"/>
                <w:szCs w:val="21"/>
              </w:rPr>
              <w:t>44.87</w:t>
            </w:r>
          </w:p>
        </w:tc>
        <w:tc>
          <w:tcPr>
            <w:tcW w:w="1942" w:type="dxa"/>
            <w:shd w:val="clear" w:color="auto" w:fill="auto"/>
          </w:tcPr>
          <w:p w14:paraId="7566F83B" w14:textId="77777777" w:rsidR="009C353B" w:rsidRDefault="00000000">
            <w:pPr>
              <w:widowControl/>
              <w:jc w:val="center"/>
              <w:rPr>
                <w:rFonts w:ascii="Times New Roman" w:hAnsi="Times New Roman"/>
                <w:sz w:val="21"/>
                <w:szCs w:val="21"/>
              </w:rPr>
            </w:pPr>
            <w:r>
              <w:rPr>
                <w:rFonts w:ascii="Times New Roman" w:hAnsi="Times New Roman"/>
                <w:sz w:val="21"/>
                <w:szCs w:val="21"/>
              </w:rPr>
              <w:t>47.92</w:t>
            </w:r>
          </w:p>
        </w:tc>
        <w:tc>
          <w:tcPr>
            <w:tcW w:w="1307" w:type="dxa"/>
            <w:shd w:val="clear" w:color="auto" w:fill="auto"/>
          </w:tcPr>
          <w:p w14:paraId="0A4DEE11" w14:textId="77777777" w:rsidR="009C353B" w:rsidRDefault="00000000">
            <w:pPr>
              <w:widowControl/>
              <w:jc w:val="center"/>
              <w:rPr>
                <w:rFonts w:ascii="Times New Roman" w:hAnsi="Times New Roman"/>
                <w:sz w:val="21"/>
                <w:szCs w:val="21"/>
              </w:rPr>
            </w:pPr>
            <w:r>
              <w:rPr>
                <w:rFonts w:ascii="Times New Roman" w:hAnsi="Times New Roman"/>
                <w:sz w:val="21"/>
                <w:szCs w:val="21"/>
              </w:rPr>
              <w:t>47.92</w:t>
            </w:r>
          </w:p>
        </w:tc>
        <w:tc>
          <w:tcPr>
            <w:tcW w:w="830" w:type="dxa"/>
            <w:vMerge/>
            <w:shd w:val="clear" w:color="auto" w:fill="auto"/>
            <w:noWrap/>
          </w:tcPr>
          <w:p w14:paraId="6AB2B4C0" w14:textId="77777777" w:rsidR="009C353B" w:rsidRDefault="009C353B">
            <w:pPr>
              <w:widowControl/>
              <w:jc w:val="center"/>
              <w:rPr>
                <w:rFonts w:ascii="Times New Roman" w:hAnsi="Times New Roman"/>
                <w:sz w:val="21"/>
                <w:szCs w:val="21"/>
              </w:rPr>
            </w:pPr>
          </w:p>
        </w:tc>
      </w:tr>
      <w:tr w:rsidR="009C353B" w14:paraId="7F8C4A1C" w14:textId="77777777">
        <w:trPr>
          <w:trHeight w:val="340"/>
        </w:trPr>
        <w:tc>
          <w:tcPr>
            <w:tcW w:w="648" w:type="dxa"/>
            <w:vMerge/>
            <w:shd w:val="clear" w:color="auto" w:fill="auto"/>
          </w:tcPr>
          <w:p w14:paraId="2B8D814F"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EA67D6D"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0426B49D" w14:textId="77777777" w:rsidR="009C353B" w:rsidRDefault="00000000">
            <w:pPr>
              <w:widowControl/>
              <w:jc w:val="center"/>
              <w:rPr>
                <w:rFonts w:ascii="Times New Roman" w:hAnsi="Times New Roman"/>
                <w:sz w:val="21"/>
                <w:szCs w:val="21"/>
              </w:rPr>
            </w:pPr>
            <w:r>
              <w:rPr>
                <w:rFonts w:ascii="Times New Roman" w:hAnsi="Times New Roman"/>
                <w:sz w:val="21"/>
                <w:szCs w:val="21"/>
              </w:rPr>
              <w:t>4</w:t>
            </w:r>
            <w:r>
              <w:rPr>
                <w:rFonts w:ascii="Times New Roman" w:hAnsi="Times New Roman"/>
                <w:sz w:val="21"/>
                <w:szCs w:val="21"/>
              </w:rPr>
              <w:t>煤</w:t>
            </w:r>
          </w:p>
        </w:tc>
        <w:tc>
          <w:tcPr>
            <w:tcW w:w="800" w:type="dxa"/>
            <w:shd w:val="clear" w:color="auto" w:fill="auto"/>
            <w:noWrap/>
          </w:tcPr>
          <w:p w14:paraId="5BEBA1CE" w14:textId="77777777" w:rsidR="009C353B" w:rsidRDefault="00000000">
            <w:pPr>
              <w:widowControl/>
              <w:jc w:val="center"/>
              <w:rPr>
                <w:rFonts w:ascii="Times New Roman" w:hAnsi="Times New Roman"/>
                <w:sz w:val="21"/>
                <w:szCs w:val="21"/>
              </w:rPr>
            </w:pPr>
            <w:r>
              <w:rPr>
                <w:rFonts w:ascii="Times New Roman" w:hAnsi="Times New Roman"/>
                <w:sz w:val="21"/>
                <w:szCs w:val="21"/>
              </w:rPr>
              <w:t>0.58</w:t>
            </w:r>
          </w:p>
        </w:tc>
        <w:tc>
          <w:tcPr>
            <w:tcW w:w="882" w:type="dxa"/>
            <w:shd w:val="clear" w:color="auto" w:fill="auto"/>
            <w:noWrap/>
          </w:tcPr>
          <w:p w14:paraId="79AB5391" w14:textId="77777777" w:rsidR="009C353B" w:rsidRDefault="00000000">
            <w:pPr>
              <w:widowControl/>
              <w:jc w:val="center"/>
              <w:rPr>
                <w:rFonts w:ascii="Times New Roman" w:hAnsi="Times New Roman"/>
                <w:sz w:val="21"/>
                <w:szCs w:val="21"/>
              </w:rPr>
            </w:pPr>
            <w:r>
              <w:rPr>
                <w:rFonts w:ascii="Times New Roman" w:hAnsi="Times New Roman"/>
                <w:sz w:val="21"/>
                <w:szCs w:val="21"/>
              </w:rPr>
              <w:t>18.41</w:t>
            </w:r>
          </w:p>
        </w:tc>
        <w:tc>
          <w:tcPr>
            <w:tcW w:w="883" w:type="dxa"/>
            <w:shd w:val="clear" w:color="auto" w:fill="auto"/>
            <w:noWrap/>
          </w:tcPr>
          <w:p w14:paraId="3CB1EBEB" w14:textId="77777777" w:rsidR="009C353B" w:rsidRDefault="00000000">
            <w:pPr>
              <w:widowControl/>
              <w:jc w:val="center"/>
              <w:rPr>
                <w:rFonts w:ascii="Times New Roman" w:hAnsi="Times New Roman"/>
                <w:sz w:val="21"/>
                <w:szCs w:val="21"/>
              </w:rPr>
            </w:pPr>
            <w:r>
              <w:rPr>
                <w:rFonts w:ascii="Times New Roman" w:hAnsi="Times New Roman"/>
                <w:sz w:val="21"/>
                <w:szCs w:val="21"/>
              </w:rPr>
              <w:t>25.23</w:t>
            </w:r>
          </w:p>
        </w:tc>
        <w:tc>
          <w:tcPr>
            <w:tcW w:w="1942" w:type="dxa"/>
            <w:shd w:val="clear" w:color="auto" w:fill="auto"/>
          </w:tcPr>
          <w:p w14:paraId="10B47529" w14:textId="77777777" w:rsidR="009C353B" w:rsidRDefault="00000000">
            <w:pPr>
              <w:widowControl/>
              <w:jc w:val="center"/>
              <w:rPr>
                <w:rFonts w:ascii="Times New Roman" w:hAnsi="Times New Roman"/>
                <w:sz w:val="21"/>
                <w:szCs w:val="21"/>
              </w:rPr>
            </w:pPr>
            <w:r>
              <w:rPr>
                <w:rFonts w:ascii="Times New Roman" w:hAnsi="Times New Roman"/>
                <w:sz w:val="21"/>
                <w:szCs w:val="21"/>
              </w:rPr>
              <w:t>13.27</w:t>
            </w:r>
          </w:p>
        </w:tc>
        <w:tc>
          <w:tcPr>
            <w:tcW w:w="1307" w:type="dxa"/>
            <w:shd w:val="clear" w:color="auto" w:fill="auto"/>
          </w:tcPr>
          <w:p w14:paraId="75FF50C0" w14:textId="77777777" w:rsidR="009C353B" w:rsidRDefault="00000000">
            <w:pPr>
              <w:widowControl/>
              <w:jc w:val="center"/>
              <w:rPr>
                <w:rFonts w:ascii="Times New Roman" w:hAnsi="Times New Roman"/>
                <w:sz w:val="21"/>
                <w:szCs w:val="21"/>
              </w:rPr>
            </w:pPr>
            <w:r>
              <w:rPr>
                <w:rFonts w:ascii="Times New Roman" w:hAnsi="Times New Roman"/>
                <w:sz w:val="21"/>
                <w:szCs w:val="21"/>
              </w:rPr>
              <w:t>25.23</w:t>
            </w:r>
          </w:p>
        </w:tc>
        <w:tc>
          <w:tcPr>
            <w:tcW w:w="830" w:type="dxa"/>
            <w:vMerge/>
            <w:shd w:val="clear" w:color="auto" w:fill="auto"/>
            <w:noWrap/>
          </w:tcPr>
          <w:p w14:paraId="5EC9D20E" w14:textId="77777777" w:rsidR="009C353B" w:rsidRDefault="009C353B">
            <w:pPr>
              <w:widowControl/>
              <w:jc w:val="center"/>
              <w:rPr>
                <w:rFonts w:ascii="Times New Roman" w:hAnsi="Times New Roman"/>
                <w:sz w:val="21"/>
                <w:szCs w:val="21"/>
              </w:rPr>
            </w:pPr>
          </w:p>
        </w:tc>
      </w:tr>
      <w:tr w:rsidR="009C353B" w14:paraId="4F227EA0" w14:textId="77777777">
        <w:trPr>
          <w:trHeight w:val="340"/>
        </w:trPr>
        <w:tc>
          <w:tcPr>
            <w:tcW w:w="648" w:type="dxa"/>
            <w:vMerge/>
            <w:shd w:val="clear" w:color="auto" w:fill="auto"/>
          </w:tcPr>
          <w:p w14:paraId="44040B02"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A2728DC"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B5777A7"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65964BE9" w14:textId="77777777" w:rsidR="009C353B" w:rsidRDefault="00000000">
            <w:pPr>
              <w:widowControl/>
              <w:jc w:val="center"/>
              <w:rPr>
                <w:rFonts w:ascii="Times New Roman" w:hAnsi="Times New Roman"/>
                <w:sz w:val="21"/>
                <w:szCs w:val="21"/>
              </w:rPr>
            </w:pPr>
            <w:r>
              <w:rPr>
                <w:rFonts w:ascii="Times New Roman" w:hAnsi="Times New Roman"/>
                <w:sz w:val="21"/>
                <w:szCs w:val="21"/>
              </w:rPr>
              <w:t>5.45</w:t>
            </w:r>
          </w:p>
        </w:tc>
        <w:tc>
          <w:tcPr>
            <w:tcW w:w="882" w:type="dxa"/>
            <w:shd w:val="clear" w:color="auto" w:fill="auto"/>
            <w:noWrap/>
          </w:tcPr>
          <w:p w14:paraId="51EB086E" w14:textId="77777777" w:rsidR="009C353B" w:rsidRDefault="00000000">
            <w:pPr>
              <w:widowControl/>
              <w:jc w:val="center"/>
              <w:rPr>
                <w:rFonts w:ascii="Times New Roman" w:hAnsi="Times New Roman"/>
                <w:sz w:val="21"/>
                <w:szCs w:val="21"/>
              </w:rPr>
            </w:pPr>
            <w:r>
              <w:rPr>
                <w:rFonts w:ascii="Times New Roman" w:hAnsi="Times New Roman"/>
                <w:sz w:val="21"/>
                <w:szCs w:val="21"/>
              </w:rPr>
              <w:t>49.84</w:t>
            </w:r>
          </w:p>
        </w:tc>
        <w:tc>
          <w:tcPr>
            <w:tcW w:w="883" w:type="dxa"/>
            <w:shd w:val="clear" w:color="auto" w:fill="auto"/>
            <w:noWrap/>
          </w:tcPr>
          <w:p w14:paraId="40AF352F" w14:textId="77777777" w:rsidR="009C353B" w:rsidRDefault="00000000">
            <w:pPr>
              <w:widowControl/>
              <w:jc w:val="center"/>
              <w:rPr>
                <w:rFonts w:ascii="Times New Roman" w:hAnsi="Times New Roman"/>
                <w:sz w:val="21"/>
                <w:szCs w:val="21"/>
              </w:rPr>
            </w:pPr>
            <w:r>
              <w:rPr>
                <w:rFonts w:ascii="Times New Roman" w:hAnsi="Times New Roman"/>
                <w:sz w:val="21"/>
                <w:szCs w:val="21"/>
              </w:rPr>
              <w:t>56.69</w:t>
            </w:r>
          </w:p>
        </w:tc>
        <w:tc>
          <w:tcPr>
            <w:tcW w:w="1942" w:type="dxa"/>
            <w:shd w:val="clear" w:color="auto" w:fill="auto"/>
          </w:tcPr>
          <w:p w14:paraId="1C982205" w14:textId="77777777" w:rsidR="009C353B" w:rsidRDefault="00000000">
            <w:pPr>
              <w:widowControl/>
              <w:jc w:val="center"/>
              <w:rPr>
                <w:rFonts w:ascii="Times New Roman" w:hAnsi="Times New Roman"/>
                <w:sz w:val="21"/>
                <w:szCs w:val="21"/>
              </w:rPr>
            </w:pPr>
            <w:r>
              <w:rPr>
                <w:rFonts w:ascii="Times New Roman" w:hAnsi="Times New Roman"/>
                <w:sz w:val="21"/>
                <w:szCs w:val="21"/>
              </w:rPr>
              <w:t>81.86</w:t>
            </w:r>
          </w:p>
        </w:tc>
        <w:tc>
          <w:tcPr>
            <w:tcW w:w="1307" w:type="dxa"/>
            <w:shd w:val="clear" w:color="auto" w:fill="auto"/>
          </w:tcPr>
          <w:p w14:paraId="135DDA68" w14:textId="77777777" w:rsidR="009C353B" w:rsidRDefault="00000000">
            <w:pPr>
              <w:widowControl/>
              <w:jc w:val="center"/>
              <w:rPr>
                <w:rFonts w:ascii="Times New Roman" w:hAnsi="Times New Roman"/>
                <w:sz w:val="21"/>
                <w:szCs w:val="21"/>
              </w:rPr>
            </w:pPr>
            <w:r>
              <w:rPr>
                <w:rFonts w:ascii="Times New Roman" w:hAnsi="Times New Roman"/>
                <w:sz w:val="21"/>
                <w:szCs w:val="21"/>
              </w:rPr>
              <w:t>81.86</w:t>
            </w:r>
          </w:p>
        </w:tc>
        <w:tc>
          <w:tcPr>
            <w:tcW w:w="830" w:type="dxa"/>
            <w:vMerge/>
            <w:shd w:val="clear" w:color="auto" w:fill="auto"/>
            <w:noWrap/>
          </w:tcPr>
          <w:p w14:paraId="1290914A" w14:textId="77777777" w:rsidR="009C353B" w:rsidRDefault="009C353B">
            <w:pPr>
              <w:widowControl/>
              <w:jc w:val="center"/>
              <w:rPr>
                <w:rFonts w:ascii="Times New Roman" w:hAnsi="Times New Roman"/>
                <w:sz w:val="21"/>
                <w:szCs w:val="21"/>
              </w:rPr>
            </w:pPr>
          </w:p>
        </w:tc>
      </w:tr>
      <w:tr w:rsidR="009C353B" w14:paraId="1C46A704" w14:textId="77777777">
        <w:trPr>
          <w:trHeight w:val="340"/>
        </w:trPr>
        <w:tc>
          <w:tcPr>
            <w:tcW w:w="648" w:type="dxa"/>
            <w:vMerge/>
            <w:shd w:val="clear" w:color="auto" w:fill="auto"/>
          </w:tcPr>
          <w:p w14:paraId="7960A98C"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0C554F82"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117</w:t>
            </w:r>
          </w:p>
        </w:tc>
        <w:tc>
          <w:tcPr>
            <w:tcW w:w="883" w:type="dxa"/>
            <w:shd w:val="clear" w:color="auto" w:fill="auto"/>
            <w:noWrap/>
          </w:tcPr>
          <w:p w14:paraId="3FD7D437"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55F51F57" w14:textId="77777777" w:rsidR="009C353B" w:rsidRDefault="00000000">
            <w:pPr>
              <w:widowControl/>
              <w:jc w:val="center"/>
              <w:rPr>
                <w:rFonts w:ascii="Times New Roman" w:hAnsi="Times New Roman"/>
                <w:sz w:val="21"/>
                <w:szCs w:val="21"/>
              </w:rPr>
            </w:pPr>
            <w:r>
              <w:rPr>
                <w:rFonts w:ascii="Times New Roman" w:hAnsi="Times New Roman"/>
                <w:sz w:val="21"/>
                <w:szCs w:val="21"/>
              </w:rPr>
              <w:t>1.44</w:t>
            </w:r>
          </w:p>
        </w:tc>
        <w:tc>
          <w:tcPr>
            <w:tcW w:w="882" w:type="dxa"/>
            <w:shd w:val="clear" w:color="auto" w:fill="auto"/>
            <w:noWrap/>
          </w:tcPr>
          <w:p w14:paraId="37C032E2" w14:textId="77777777" w:rsidR="009C353B" w:rsidRDefault="00000000">
            <w:pPr>
              <w:widowControl/>
              <w:jc w:val="center"/>
              <w:rPr>
                <w:rFonts w:ascii="Times New Roman" w:hAnsi="Times New Roman"/>
                <w:sz w:val="21"/>
                <w:szCs w:val="21"/>
              </w:rPr>
            </w:pPr>
            <w:r>
              <w:rPr>
                <w:rFonts w:ascii="Times New Roman" w:hAnsi="Times New Roman"/>
                <w:sz w:val="21"/>
                <w:szCs w:val="21"/>
              </w:rPr>
              <w:t>29.99</w:t>
            </w:r>
          </w:p>
        </w:tc>
        <w:tc>
          <w:tcPr>
            <w:tcW w:w="883" w:type="dxa"/>
            <w:shd w:val="clear" w:color="auto" w:fill="auto"/>
            <w:noWrap/>
          </w:tcPr>
          <w:p w14:paraId="636CDF9E" w14:textId="77777777" w:rsidR="009C353B" w:rsidRDefault="00000000">
            <w:pPr>
              <w:widowControl/>
              <w:jc w:val="center"/>
              <w:rPr>
                <w:rFonts w:ascii="Times New Roman" w:hAnsi="Times New Roman"/>
                <w:sz w:val="21"/>
                <w:szCs w:val="21"/>
              </w:rPr>
            </w:pPr>
            <w:r>
              <w:rPr>
                <w:rFonts w:ascii="Times New Roman" w:hAnsi="Times New Roman"/>
                <w:sz w:val="21"/>
                <w:szCs w:val="21"/>
              </w:rPr>
              <w:t>34.00</w:t>
            </w:r>
          </w:p>
        </w:tc>
        <w:tc>
          <w:tcPr>
            <w:tcW w:w="1942" w:type="dxa"/>
            <w:shd w:val="clear" w:color="auto" w:fill="auto"/>
          </w:tcPr>
          <w:p w14:paraId="62CB903B" w14:textId="77777777" w:rsidR="009C353B" w:rsidRDefault="00000000">
            <w:pPr>
              <w:widowControl/>
              <w:jc w:val="center"/>
              <w:rPr>
                <w:rFonts w:ascii="Times New Roman" w:hAnsi="Times New Roman"/>
                <w:sz w:val="21"/>
                <w:szCs w:val="21"/>
              </w:rPr>
            </w:pPr>
            <w:r>
              <w:rPr>
                <w:rFonts w:ascii="Times New Roman" w:hAnsi="Times New Roman"/>
                <w:sz w:val="21"/>
                <w:szCs w:val="21"/>
              </w:rPr>
              <w:t>25.38</w:t>
            </w:r>
          </w:p>
        </w:tc>
        <w:tc>
          <w:tcPr>
            <w:tcW w:w="1307" w:type="dxa"/>
            <w:shd w:val="clear" w:color="auto" w:fill="auto"/>
          </w:tcPr>
          <w:p w14:paraId="36690D7D" w14:textId="77777777" w:rsidR="009C353B" w:rsidRDefault="00000000">
            <w:pPr>
              <w:widowControl/>
              <w:jc w:val="center"/>
              <w:rPr>
                <w:rFonts w:ascii="Times New Roman" w:hAnsi="Times New Roman"/>
                <w:sz w:val="21"/>
                <w:szCs w:val="21"/>
              </w:rPr>
            </w:pPr>
            <w:r>
              <w:rPr>
                <w:rFonts w:ascii="Times New Roman" w:hAnsi="Times New Roman"/>
                <w:sz w:val="21"/>
                <w:szCs w:val="21"/>
              </w:rPr>
              <w:t>34.00</w:t>
            </w:r>
          </w:p>
        </w:tc>
        <w:tc>
          <w:tcPr>
            <w:tcW w:w="830" w:type="dxa"/>
            <w:vMerge w:val="restart"/>
            <w:shd w:val="clear" w:color="auto" w:fill="auto"/>
            <w:noWrap/>
          </w:tcPr>
          <w:p w14:paraId="77373705"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5495EA3F" w14:textId="77777777">
        <w:trPr>
          <w:trHeight w:val="340"/>
        </w:trPr>
        <w:tc>
          <w:tcPr>
            <w:tcW w:w="648" w:type="dxa"/>
            <w:vMerge/>
            <w:shd w:val="clear" w:color="auto" w:fill="auto"/>
          </w:tcPr>
          <w:p w14:paraId="5D820304"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5FBAA3FE"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16322490"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1CB16143" w14:textId="77777777" w:rsidR="009C353B" w:rsidRDefault="00000000">
            <w:pPr>
              <w:widowControl/>
              <w:jc w:val="center"/>
              <w:rPr>
                <w:rFonts w:ascii="Times New Roman" w:hAnsi="Times New Roman"/>
                <w:sz w:val="21"/>
                <w:szCs w:val="21"/>
              </w:rPr>
            </w:pPr>
            <w:r>
              <w:rPr>
                <w:rFonts w:ascii="Times New Roman" w:hAnsi="Times New Roman"/>
                <w:sz w:val="21"/>
                <w:szCs w:val="21"/>
              </w:rPr>
              <w:t>2.11</w:t>
            </w:r>
          </w:p>
        </w:tc>
        <w:tc>
          <w:tcPr>
            <w:tcW w:w="882" w:type="dxa"/>
            <w:shd w:val="clear" w:color="auto" w:fill="auto"/>
            <w:noWrap/>
          </w:tcPr>
          <w:p w14:paraId="5BECFC9D" w14:textId="77777777" w:rsidR="009C353B" w:rsidRDefault="00000000">
            <w:pPr>
              <w:widowControl/>
              <w:jc w:val="center"/>
              <w:rPr>
                <w:rFonts w:ascii="Times New Roman" w:hAnsi="Times New Roman"/>
                <w:sz w:val="21"/>
                <w:szCs w:val="21"/>
              </w:rPr>
            </w:pPr>
            <w:r>
              <w:rPr>
                <w:rFonts w:ascii="Times New Roman" w:hAnsi="Times New Roman"/>
                <w:sz w:val="21"/>
                <w:szCs w:val="21"/>
              </w:rPr>
              <w:t>35.85</w:t>
            </w:r>
          </w:p>
        </w:tc>
        <w:tc>
          <w:tcPr>
            <w:tcW w:w="883" w:type="dxa"/>
            <w:shd w:val="clear" w:color="auto" w:fill="auto"/>
            <w:noWrap/>
          </w:tcPr>
          <w:p w14:paraId="2DA3F27F" w14:textId="77777777" w:rsidR="009C353B" w:rsidRDefault="00000000">
            <w:pPr>
              <w:widowControl/>
              <w:jc w:val="center"/>
              <w:rPr>
                <w:rFonts w:ascii="Times New Roman" w:hAnsi="Times New Roman"/>
                <w:sz w:val="21"/>
                <w:szCs w:val="21"/>
              </w:rPr>
            </w:pPr>
            <w:r>
              <w:rPr>
                <w:rFonts w:ascii="Times New Roman" w:hAnsi="Times New Roman"/>
                <w:sz w:val="21"/>
                <w:szCs w:val="21"/>
              </w:rPr>
              <w:t>39.05</w:t>
            </w:r>
          </w:p>
        </w:tc>
        <w:tc>
          <w:tcPr>
            <w:tcW w:w="1942" w:type="dxa"/>
            <w:shd w:val="clear" w:color="auto" w:fill="auto"/>
          </w:tcPr>
          <w:p w14:paraId="059AB55A" w14:textId="77777777" w:rsidR="009C353B" w:rsidRDefault="00000000">
            <w:pPr>
              <w:widowControl/>
              <w:jc w:val="center"/>
              <w:rPr>
                <w:rFonts w:ascii="Times New Roman" w:hAnsi="Times New Roman"/>
                <w:sz w:val="21"/>
                <w:szCs w:val="21"/>
              </w:rPr>
            </w:pPr>
            <w:r>
              <w:rPr>
                <w:rFonts w:ascii="Times New Roman" w:hAnsi="Times New Roman"/>
                <w:sz w:val="21"/>
                <w:szCs w:val="21"/>
              </w:rPr>
              <w:t>34.82</w:t>
            </w:r>
          </w:p>
        </w:tc>
        <w:tc>
          <w:tcPr>
            <w:tcW w:w="1307" w:type="dxa"/>
            <w:shd w:val="clear" w:color="auto" w:fill="auto"/>
          </w:tcPr>
          <w:p w14:paraId="1B2BEE8D" w14:textId="77777777" w:rsidR="009C353B" w:rsidRDefault="00000000">
            <w:pPr>
              <w:widowControl/>
              <w:jc w:val="center"/>
              <w:rPr>
                <w:rFonts w:ascii="Times New Roman" w:hAnsi="Times New Roman"/>
                <w:sz w:val="21"/>
                <w:szCs w:val="21"/>
              </w:rPr>
            </w:pPr>
            <w:r>
              <w:rPr>
                <w:rFonts w:ascii="Times New Roman" w:hAnsi="Times New Roman"/>
                <w:sz w:val="21"/>
                <w:szCs w:val="21"/>
              </w:rPr>
              <w:t>39.05</w:t>
            </w:r>
          </w:p>
        </w:tc>
        <w:tc>
          <w:tcPr>
            <w:tcW w:w="830" w:type="dxa"/>
            <w:vMerge/>
            <w:shd w:val="clear" w:color="auto" w:fill="auto"/>
            <w:noWrap/>
          </w:tcPr>
          <w:p w14:paraId="7F6B5B2E" w14:textId="77777777" w:rsidR="009C353B" w:rsidRDefault="009C353B">
            <w:pPr>
              <w:widowControl/>
              <w:jc w:val="center"/>
              <w:rPr>
                <w:rFonts w:ascii="Times New Roman" w:hAnsi="Times New Roman"/>
                <w:sz w:val="21"/>
                <w:szCs w:val="21"/>
              </w:rPr>
            </w:pPr>
          </w:p>
        </w:tc>
      </w:tr>
      <w:tr w:rsidR="009C353B" w14:paraId="5C14C6E8" w14:textId="77777777">
        <w:trPr>
          <w:trHeight w:val="340"/>
        </w:trPr>
        <w:tc>
          <w:tcPr>
            <w:tcW w:w="648" w:type="dxa"/>
            <w:vMerge/>
            <w:shd w:val="clear" w:color="auto" w:fill="auto"/>
          </w:tcPr>
          <w:p w14:paraId="16485A84"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70C53572"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58A038CB" w14:textId="77777777" w:rsidR="009C353B" w:rsidRDefault="00000000">
            <w:pPr>
              <w:widowControl/>
              <w:jc w:val="center"/>
              <w:rPr>
                <w:rFonts w:ascii="Times New Roman" w:hAnsi="Times New Roman"/>
                <w:sz w:val="21"/>
                <w:szCs w:val="21"/>
              </w:rPr>
            </w:pPr>
            <w:r>
              <w:rPr>
                <w:rFonts w:ascii="Times New Roman" w:hAnsi="Times New Roman"/>
                <w:sz w:val="21"/>
                <w:szCs w:val="21"/>
              </w:rPr>
              <w:t>4</w:t>
            </w:r>
            <w:r>
              <w:rPr>
                <w:rFonts w:ascii="Times New Roman" w:hAnsi="Times New Roman"/>
                <w:sz w:val="21"/>
                <w:szCs w:val="21"/>
              </w:rPr>
              <w:t>煤</w:t>
            </w:r>
          </w:p>
        </w:tc>
        <w:tc>
          <w:tcPr>
            <w:tcW w:w="800" w:type="dxa"/>
            <w:shd w:val="clear" w:color="auto" w:fill="auto"/>
            <w:noWrap/>
          </w:tcPr>
          <w:p w14:paraId="15AFB09F" w14:textId="77777777" w:rsidR="009C353B" w:rsidRDefault="00000000">
            <w:pPr>
              <w:widowControl/>
              <w:jc w:val="center"/>
              <w:rPr>
                <w:rFonts w:ascii="Times New Roman" w:hAnsi="Times New Roman"/>
                <w:sz w:val="21"/>
                <w:szCs w:val="21"/>
              </w:rPr>
            </w:pPr>
            <w:r>
              <w:rPr>
                <w:rFonts w:ascii="Times New Roman" w:hAnsi="Times New Roman"/>
                <w:sz w:val="21"/>
                <w:szCs w:val="21"/>
              </w:rPr>
              <w:t>1.60</w:t>
            </w:r>
          </w:p>
        </w:tc>
        <w:tc>
          <w:tcPr>
            <w:tcW w:w="882" w:type="dxa"/>
            <w:shd w:val="clear" w:color="auto" w:fill="auto"/>
            <w:noWrap/>
          </w:tcPr>
          <w:p w14:paraId="10177452" w14:textId="77777777" w:rsidR="009C353B" w:rsidRDefault="00000000">
            <w:pPr>
              <w:widowControl/>
              <w:jc w:val="center"/>
              <w:rPr>
                <w:rFonts w:ascii="Times New Roman" w:hAnsi="Times New Roman"/>
                <w:sz w:val="21"/>
                <w:szCs w:val="21"/>
              </w:rPr>
            </w:pPr>
            <w:r>
              <w:rPr>
                <w:rFonts w:ascii="Times New Roman" w:hAnsi="Times New Roman"/>
                <w:sz w:val="21"/>
                <w:szCs w:val="21"/>
              </w:rPr>
              <w:t>31.57</w:t>
            </w:r>
          </w:p>
        </w:tc>
        <w:tc>
          <w:tcPr>
            <w:tcW w:w="883" w:type="dxa"/>
            <w:shd w:val="clear" w:color="auto" w:fill="auto"/>
            <w:noWrap/>
          </w:tcPr>
          <w:p w14:paraId="6ED615E0" w14:textId="77777777" w:rsidR="009C353B" w:rsidRDefault="00000000">
            <w:pPr>
              <w:widowControl/>
              <w:jc w:val="center"/>
              <w:rPr>
                <w:rFonts w:ascii="Times New Roman" w:hAnsi="Times New Roman"/>
                <w:sz w:val="21"/>
                <w:szCs w:val="21"/>
              </w:rPr>
            </w:pPr>
            <w:r>
              <w:rPr>
                <w:rFonts w:ascii="Times New Roman" w:hAnsi="Times New Roman"/>
                <w:sz w:val="21"/>
                <w:szCs w:val="21"/>
              </w:rPr>
              <w:t>35.30</w:t>
            </w:r>
          </w:p>
        </w:tc>
        <w:tc>
          <w:tcPr>
            <w:tcW w:w="1942" w:type="dxa"/>
            <w:shd w:val="clear" w:color="auto" w:fill="auto"/>
          </w:tcPr>
          <w:p w14:paraId="26121309" w14:textId="77777777" w:rsidR="009C353B" w:rsidRDefault="00000000">
            <w:pPr>
              <w:widowControl/>
              <w:jc w:val="center"/>
              <w:rPr>
                <w:rFonts w:ascii="Times New Roman" w:hAnsi="Times New Roman"/>
                <w:sz w:val="21"/>
                <w:szCs w:val="21"/>
              </w:rPr>
            </w:pPr>
            <w:r>
              <w:rPr>
                <w:rFonts w:ascii="Times New Roman" w:hAnsi="Times New Roman"/>
                <w:sz w:val="21"/>
                <w:szCs w:val="21"/>
              </w:rPr>
              <w:t>27.64</w:t>
            </w:r>
          </w:p>
        </w:tc>
        <w:tc>
          <w:tcPr>
            <w:tcW w:w="1307" w:type="dxa"/>
            <w:shd w:val="clear" w:color="auto" w:fill="auto"/>
          </w:tcPr>
          <w:p w14:paraId="1E710009" w14:textId="77777777" w:rsidR="009C353B" w:rsidRDefault="00000000">
            <w:pPr>
              <w:widowControl/>
              <w:jc w:val="center"/>
              <w:rPr>
                <w:rFonts w:ascii="Times New Roman" w:hAnsi="Times New Roman"/>
                <w:sz w:val="21"/>
                <w:szCs w:val="21"/>
              </w:rPr>
            </w:pPr>
            <w:r>
              <w:rPr>
                <w:rFonts w:ascii="Times New Roman" w:hAnsi="Times New Roman"/>
                <w:sz w:val="21"/>
                <w:szCs w:val="21"/>
              </w:rPr>
              <w:t>35.30</w:t>
            </w:r>
          </w:p>
        </w:tc>
        <w:tc>
          <w:tcPr>
            <w:tcW w:w="830" w:type="dxa"/>
            <w:vMerge/>
            <w:shd w:val="clear" w:color="auto" w:fill="auto"/>
            <w:noWrap/>
          </w:tcPr>
          <w:p w14:paraId="701B22D9" w14:textId="77777777" w:rsidR="009C353B" w:rsidRDefault="009C353B">
            <w:pPr>
              <w:widowControl/>
              <w:jc w:val="center"/>
              <w:rPr>
                <w:rFonts w:ascii="Times New Roman" w:hAnsi="Times New Roman"/>
                <w:sz w:val="21"/>
                <w:szCs w:val="21"/>
              </w:rPr>
            </w:pPr>
          </w:p>
        </w:tc>
      </w:tr>
      <w:tr w:rsidR="009C353B" w14:paraId="66012C16" w14:textId="77777777">
        <w:trPr>
          <w:trHeight w:val="340"/>
        </w:trPr>
        <w:tc>
          <w:tcPr>
            <w:tcW w:w="648" w:type="dxa"/>
            <w:vMerge/>
            <w:shd w:val="clear" w:color="auto" w:fill="auto"/>
          </w:tcPr>
          <w:p w14:paraId="241F97A9"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6B09FF04"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7989275F" w14:textId="77777777" w:rsidR="009C353B" w:rsidRDefault="00000000">
            <w:pPr>
              <w:widowControl/>
              <w:jc w:val="center"/>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煤</w:t>
            </w:r>
          </w:p>
        </w:tc>
        <w:tc>
          <w:tcPr>
            <w:tcW w:w="800" w:type="dxa"/>
            <w:shd w:val="clear" w:color="auto" w:fill="auto"/>
            <w:noWrap/>
          </w:tcPr>
          <w:p w14:paraId="1DB86F82" w14:textId="77777777" w:rsidR="009C353B" w:rsidRDefault="00000000">
            <w:pPr>
              <w:widowControl/>
              <w:jc w:val="center"/>
              <w:rPr>
                <w:rFonts w:ascii="Times New Roman" w:hAnsi="Times New Roman"/>
                <w:sz w:val="21"/>
                <w:szCs w:val="21"/>
              </w:rPr>
            </w:pPr>
            <w:r>
              <w:rPr>
                <w:rFonts w:ascii="Times New Roman" w:hAnsi="Times New Roman"/>
                <w:sz w:val="21"/>
                <w:szCs w:val="21"/>
              </w:rPr>
              <w:t>4.71</w:t>
            </w:r>
          </w:p>
        </w:tc>
        <w:tc>
          <w:tcPr>
            <w:tcW w:w="882" w:type="dxa"/>
            <w:shd w:val="clear" w:color="auto" w:fill="auto"/>
            <w:noWrap/>
          </w:tcPr>
          <w:p w14:paraId="479A9BC7" w14:textId="77777777" w:rsidR="009C353B" w:rsidRDefault="00000000">
            <w:pPr>
              <w:widowControl/>
              <w:jc w:val="center"/>
              <w:rPr>
                <w:rFonts w:ascii="Times New Roman" w:hAnsi="Times New Roman"/>
                <w:sz w:val="21"/>
                <w:szCs w:val="21"/>
              </w:rPr>
            </w:pPr>
            <w:r>
              <w:rPr>
                <w:rFonts w:ascii="Times New Roman" w:hAnsi="Times New Roman"/>
                <w:sz w:val="21"/>
                <w:szCs w:val="21"/>
              </w:rPr>
              <w:t>47.90</w:t>
            </w:r>
          </w:p>
        </w:tc>
        <w:tc>
          <w:tcPr>
            <w:tcW w:w="883" w:type="dxa"/>
            <w:shd w:val="clear" w:color="auto" w:fill="auto"/>
            <w:noWrap/>
          </w:tcPr>
          <w:p w14:paraId="1156FB0F" w14:textId="77777777" w:rsidR="009C353B" w:rsidRDefault="00000000">
            <w:pPr>
              <w:widowControl/>
              <w:jc w:val="center"/>
              <w:rPr>
                <w:rFonts w:ascii="Times New Roman" w:hAnsi="Times New Roman"/>
                <w:sz w:val="21"/>
                <w:szCs w:val="21"/>
              </w:rPr>
            </w:pPr>
            <w:r>
              <w:rPr>
                <w:rFonts w:ascii="Times New Roman" w:hAnsi="Times New Roman"/>
                <w:sz w:val="21"/>
                <w:szCs w:val="21"/>
              </w:rPr>
              <w:t>53.41</w:t>
            </w:r>
          </w:p>
        </w:tc>
        <w:tc>
          <w:tcPr>
            <w:tcW w:w="1942" w:type="dxa"/>
            <w:shd w:val="clear" w:color="auto" w:fill="auto"/>
          </w:tcPr>
          <w:p w14:paraId="50EA3927" w14:textId="77777777" w:rsidR="009C353B" w:rsidRDefault="00000000">
            <w:pPr>
              <w:widowControl/>
              <w:jc w:val="center"/>
              <w:rPr>
                <w:rFonts w:ascii="Times New Roman" w:hAnsi="Times New Roman"/>
                <w:sz w:val="21"/>
                <w:szCs w:val="21"/>
              </w:rPr>
            </w:pPr>
            <w:r>
              <w:rPr>
                <w:rFonts w:ascii="Times New Roman" w:hAnsi="Times New Roman"/>
                <w:sz w:val="21"/>
                <w:szCs w:val="21"/>
              </w:rPr>
              <w:t>71.44</w:t>
            </w:r>
          </w:p>
        </w:tc>
        <w:tc>
          <w:tcPr>
            <w:tcW w:w="1307" w:type="dxa"/>
            <w:shd w:val="clear" w:color="auto" w:fill="auto"/>
          </w:tcPr>
          <w:p w14:paraId="449F6AAE" w14:textId="77777777" w:rsidR="009C353B" w:rsidRDefault="00000000">
            <w:pPr>
              <w:widowControl/>
              <w:jc w:val="center"/>
              <w:rPr>
                <w:rFonts w:ascii="Times New Roman" w:hAnsi="Times New Roman"/>
                <w:sz w:val="21"/>
                <w:szCs w:val="21"/>
              </w:rPr>
            </w:pPr>
            <w:r>
              <w:rPr>
                <w:rFonts w:ascii="Times New Roman" w:hAnsi="Times New Roman"/>
                <w:sz w:val="21"/>
                <w:szCs w:val="21"/>
              </w:rPr>
              <w:t>71.44</w:t>
            </w:r>
          </w:p>
        </w:tc>
        <w:tc>
          <w:tcPr>
            <w:tcW w:w="830" w:type="dxa"/>
            <w:vMerge/>
            <w:shd w:val="clear" w:color="auto" w:fill="auto"/>
            <w:noWrap/>
          </w:tcPr>
          <w:p w14:paraId="32CC6310" w14:textId="77777777" w:rsidR="009C353B" w:rsidRDefault="009C353B">
            <w:pPr>
              <w:widowControl/>
              <w:jc w:val="center"/>
              <w:rPr>
                <w:rFonts w:ascii="Times New Roman" w:hAnsi="Times New Roman"/>
                <w:sz w:val="21"/>
                <w:szCs w:val="21"/>
              </w:rPr>
            </w:pPr>
          </w:p>
        </w:tc>
      </w:tr>
      <w:tr w:rsidR="009C353B" w14:paraId="16E33478" w14:textId="77777777">
        <w:trPr>
          <w:trHeight w:val="340"/>
        </w:trPr>
        <w:tc>
          <w:tcPr>
            <w:tcW w:w="648" w:type="dxa"/>
            <w:vMerge/>
            <w:shd w:val="clear" w:color="auto" w:fill="auto"/>
          </w:tcPr>
          <w:p w14:paraId="56052893" w14:textId="77777777" w:rsidR="009C353B" w:rsidRDefault="009C353B">
            <w:pPr>
              <w:widowControl/>
              <w:jc w:val="center"/>
              <w:rPr>
                <w:rFonts w:ascii="Times New Roman" w:hAnsi="Times New Roman"/>
                <w:kern w:val="0"/>
                <w:sz w:val="21"/>
                <w:szCs w:val="21"/>
              </w:rPr>
            </w:pPr>
          </w:p>
        </w:tc>
        <w:tc>
          <w:tcPr>
            <w:tcW w:w="1111" w:type="dxa"/>
            <w:vMerge w:val="restart"/>
            <w:shd w:val="clear" w:color="auto" w:fill="auto"/>
          </w:tcPr>
          <w:p w14:paraId="1EF26E6A" w14:textId="77777777" w:rsidR="009C353B" w:rsidRDefault="00000000">
            <w:pPr>
              <w:widowControl/>
              <w:jc w:val="center"/>
              <w:rPr>
                <w:rFonts w:ascii="Times New Roman" w:hAnsi="Times New Roman"/>
                <w:kern w:val="0"/>
                <w:sz w:val="21"/>
                <w:szCs w:val="21"/>
              </w:rPr>
            </w:pPr>
            <w:r>
              <w:rPr>
                <w:rFonts w:ascii="Times New Roman" w:hAnsi="Times New Roman"/>
                <w:sz w:val="21"/>
                <w:szCs w:val="21"/>
              </w:rPr>
              <w:t>120</w:t>
            </w:r>
          </w:p>
        </w:tc>
        <w:tc>
          <w:tcPr>
            <w:tcW w:w="883" w:type="dxa"/>
            <w:shd w:val="clear" w:color="auto" w:fill="auto"/>
            <w:noWrap/>
          </w:tcPr>
          <w:p w14:paraId="55829845" w14:textId="77777777" w:rsidR="009C353B" w:rsidRDefault="00000000">
            <w:pPr>
              <w:widowControl/>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煤</w:t>
            </w:r>
          </w:p>
        </w:tc>
        <w:tc>
          <w:tcPr>
            <w:tcW w:w="800" w:type="dxa"/>
            <w:shd w:val="clear" w:color="auto" w:fill="auto"/>
            <w:noWrap/>
          </w:tcPr>
          <w:p w14:paraId="0E187F03" w14:textId="77777777" w:rsidR="009C353B" w:rsidRDefault="00000000">
            <w:pPr>
              <w:widowControl/>
              <w:jc w:val="center"/>
              <w:rPr>
                <w:rFonts w:ascii="Times New Roman" w:hAnsi="Times New Roman"/>
                <w:sz w:val="21"/>
                <w:szCs w:val="21"/>
              </w:rPr>
            </w:pPr>
            <w:r>
              <w:rPr>
                <w:rFonts w:ascii="Times New Roman" w:hAnsi="Times New Roman"/>
                <w:sz w:val="21"/>
                <w:szCs w:val="21"/>
              </w:rPr>
              <w:t>0.35</w:t>
            </w:r>
          </w:p>
        </w:tc>
        <w:tc>
          <w:tcPr>
            <w:tcW w:w="882" w:type="dxa"/>
            <w:shd w:val="clear" w:color="auto" w:fill="auto"/>
            <w:noWrap/>
          </w:tcPr>
          <w:p w14:paraId="5CCD57CD" w14:textId="77777777" w:rsidR="009C353B" w:rsidRDefault="00000000">
            <w:pPr>
              <w:widowControl/>
              <w:jc w:val="center"/>
              <w:rPr>
                <w:rFonts w:ascii="Times New Roman" w:hAnsi="Times New Roman"/>
                <w:sz w:val="21"/>
                <w:szCs w:val="21"/>
              </w:rPr>
            </w:pPr>
            <w:r>
              <w:rPr>
                <w:rFonts w:ascii="Times New Roman" w:hAnsi="Times New Roman"/>
                <w:sz w:val="21"/>
                <w:szCs w:val="21"/>
              </w:rPr>
              <w:t>14.01</w:t>
            </w:r>
          </w:p>
        </w:tc>
        <w:tc>
          <w:tcPr>
            <w:tcW w:w="883" w:type="dxa"/>
            <w:shd w:val="clear" w:color="auto" w:fill="auto"/>
            <w:noWrap/>
          </w:tcPr>
          <w:p w14:paraId="4CAE38C6" w14:textId="77777777" w:rsidR="009C353B" w:rsidRDefault="00000000">
            <w:pPr>
              <w:widowControl/>
              <w:jc w:val="center"/>
              <w:rPr>
                <w:rFonts w:ascii="Times New Roman" w:hAnsi="Times New Roman"/>
                <w:sz w:val="21"/>
                <w:szCs w:val="21"/>
              </w:rPr>
            </w:pPr>
            <w:r>
              <w:rPr>
                <w:rFonts w:ascii="Times New Roman" w:hAnsi="Times New Roman"/>
                <w:sz w:val="21"/>
                <w:szCs w:val="21"/>
              </w:rPr>
              <w:t>21.83</w:t>
            </w:r>
          </w:p>
        </w:tc>
        <w:tc>
          <w:tcPr>
            <w:tcW w:w="1942" w:type="dxa"/>
            <w:shd w:val="clear" w:color="auto" w:fill="auto"/>
          </w:tcPr>
          <w:p w14:paraId="52C4F3F2" w14:textId="77777777" w:rsidR="009C353B" w:rsidRDefault="00000000">
            <w:pPr>
              <w:widowControl/>
              <w:jc w:val="center"/>
              <w:rPr>
                <w:rFonts w:ascii="Times New Roman" w:hAnsi="Times New Roman"/>
                <w:sz w:val="21"/>
                <w:szCs w:val="21"/>
              </w:rPr>
            </w:pPr>
            <w:r>
              <w:rPr>
                <w:rFonts w:ascii="Times New Roman" w:hAnsi="Times New Roman"/>
                <w:sz w:val="21"/>
                <w:szCs w:val="21"/>
              </w:rPr>
              <w:t>10.03</w:t>
            </w:r>
          </w:p>
        </w:tc>
        <w:tc>
          <w:tcPr>
            <w:tcW w:w="1307" w:type="dxa"/>
            <w:shd w:val="clear" w:color="auto" w:fill="auto"/>
          </w:tcPr>
          <w:p w14:paraId="68CF79F5" w14:textId="77777777" w:rsidR="009C353B" w:rsidRDefault="00000000">
            <w:pPr>
              <w:widowControl/>
              <w:jc w:val="center"/>
              <w:rPr>
                <w:rFonts w:ascii="Times New Roman" w:hAnsi="Times New Roman"/>
                <w:sz w:val="21"/>
                <w:szCs w:val="21"/>
              </w:rPr>
            </w:pPr>
            <w:r>
              <w:rPr>
                <w:rFonts w:ascii="Times New Roman" w:hAnsi="Times New Roman"/>
                <w:sz w:val="21"/>
                <w:szCs w:val="21"/>
              </w:rPr>
              <w:t>21.83</w:t>
            </w:r>
          </w:p>
        </w:tc>
        <w:tc>
          <w:tcPr>
            <w:tcW w:w="830" w:type="dxa"/>
            <w:vMerge w:val="restart"/>
            <w:shd w:val="clear" w:color="auto" w:fill="auto"/>
            <w:noWrap/>
          </w:tcPr>
          <w:p w14:paraId="7A868D2F" w14:textId="77777777" w:rsidR="009C353B" w:rsidRDefault="00000000">
            <w:pPr>
              <w:widowControl/>
              <w:jc w:val="center"/>
              <w:rPr>
                <w:rFonts w:ascii="Times New Roman" w:hAnsi="Times New Roman"/>
                <w:sz w:val="21"/>
                <w:szCs w:val="21"/>
              </w:rPr>
            </w:pPr>
            <w:r>
              <w:rPr>
                <w:rFonts w:ascii="Times New Roman" w:hAnsi="Times New Roman" w:hint="eastAsia"/>
                <w:sz w:val="21"/>
                <w:szCs w:val="21"/>
              </w:rPr>
              <w:t>Psh</w:t>
            </w:r>
          </w:p>
        </w:tc>
      </w:tr>
      <w:tr w:rsidR="009C353B" w14:paraId="757F601F" w14:textId="77777777">
        <w:trPr>
          <w:trHeight w:val="340"/>
        </w:trPr>
        <w:tc>
          <w:tcPr>
            <w:tcW w:w="648" w:type="dxa"/>
            <w:vMerge/>
            <w:shd w:val="clear" w:color="auto" w:fill="auto"/>
          </w:tcPr>
          <w:p w14:paraId="2560A4C1" w14:textId="77777777" w:rsidR="009C353B" w:rsidRDefault="009C353B">
            <w:pPr>
              <w:widowControl/>
              <w:jc w:val="center"/>
              <w:rPr>
                <w:rFonts w:ascii="Times New Roman" w:hAnsi="Times New Roman"/>
                <w:kern w:val="0"/>
                <w:sz w:val="21"/>
                <w:szCs w:val="21"/>
              </w:rPr>
            </w:pPr>
          </w:p>
        </w:tc>
        <w:tc>
          <w:tcPr>
            <w:tcW w:w="1111" w:type="dxa"/>
            <w:vMerge/>
            <w:shd w:val="clear" w:color="auto" w:fill="auto"/>
          </w:tcPr>
          <w:p w14:paraId="079D4CB2" w14:textId="77777777" w:rsidR="009C353B" w:rsidRDefault="009C353B">
            <w:pPr>
              <w:widowControl/>
              <w:jc w:val="center"/>
              <w:rPr>
                <w:rFonts w:ascii="Times New Roman" w:hAnsi="Times New Roman"/>
                <w:kern w:val="0"/>
                <w:sz w:val="21"/>
                <w:szCs w:val="21"/>
              </w:rPr>
            </w:pPr>
          </w:p>
        </w:tc>
        <w:tc>
          <w:tcPr>
            <w:tcW w:w="883" w:type="dxa"/>
            <w:shd w:val="clear" w:color="auto" w:fill="auto"/>
            <w:noWrap/>
          </w:tcPr>
          <w:p w14:paraId="3893EE34" w14:textId="77777777" w:rsidR="009C353B" w:rsidRDefault="00000000">
            <w:pPr>
              <w:widowControl/>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煤</w:t>
            </w:r>
          </w:p>
        </w:tc>
        <w:tc>
          <w:tcPr>
            <w:tcW w:w="800" w:type="dxa"/>
            <w:shd w:val="clear" w:color="auto" w:fill="auto"/>
            <w:noWrap/>
          </w:tcPr>
          <w:p w14:paraId="1E261ACF" w14:textId="77777777" w:rsidR="009C353B" w:rsidRDefault="00000000">
            <w:pPr>
              <w:widowControl/>
              <w:jc w:val="center"/>
              <w:rPr>
                <w:rFonts w:ascii="Times New Roman" w:hAnsi="Times New Roman"/>
                <w:sz w:val="21"/>
                <w:szCs w:val="21"/>
              </w:rPr>
            </w:pPr>
            <w:r>
              <w:rPr>
                <w:rFonts w:ascii="Times New Roman" w:hAnsi="Times New Roman"/>
                <w:sz w:val="21"/>
                <w:szCs w:val="21"/>
              </w:rPr>
              <w:t>3.17</w:t>
            </w:r>
          </w:p>
        </w:tc>
        <w:tc>
          <w:tcPr>
            <w:tcW w:w="882" w:type="dxa"/>
            <w:shd w:val="clear" w:color="auto" w:fill="auto"/>
            <w:noWrap/>
          </w:tcPr>
          <w:p w14:paraId="36DF297A" w14:textId="77777777" w:rsidR="009C353B" w:rsidRDefault="00000000">
            <w:pPr>
              <w:widowControl/>
              <w:jc w:val="center"/>
              <w:rPr>
                <w:rFonts w:ascii="Times New Roman" w:hAnsi="Times New Roman"/>
                <w:sz w:val="21"/>
                <w:szCs w:val="21"/>
              </w:rPr>
            </w:pPr>
            <w:r>
              <w:rPr>
                <w:rFonts w:ascii="Times New Roman" w:hAnsi="Times New Roman"/>
                <w:sz w:val="21"/>
                <w:szCs w:val="21"/>
              </w:rPr>
              <w:t>42.15</w:t>
            </w:r>
          </w:p>
        </w:tc>
        <w:tc>
          <w:tcPr>
            <w:tcW w:w="883" w:type="dxa"/>
            <w:shd w:val="clear" w:color="auto" w:fill="auto"/>
            <w:noWrap/>
          </w:tcPr>
          <w:p w14:paraId="2A470297" w14:textId="77777777" w:rsidR="009C353B" w:rsidRDefault="00000000">
            <w:pPr>
              <w:widowControl/>
              <w:jc w:val="center"/>
              <w:rPr>
                <w:rFonts w:ascii="Times New Roman" w:hAnsi="Times New Roman"/>
                <w:sz w:val="21"/>
                <w:szCs w:val="21"/>
              </w:rPr>
            </w:pPr>
            <w:r>
              <w:rPr>
                <w:rFonts w:ascii="Times New Roman" w:hAnsi="Times New Roman"/>
                <w:sz w:val="21"/>
                <w:szCs w:val="21"/>
              </w:rPr>
              <w:t>45.61</w:t>
            </w:r>
          </w:p>
        </w:tc>
        <w:tc>
          <w:tcPr>
            <w:tcW w:w="1942" w:type="dxa"/>
            <w:shd w:val="clear" w:color="auto" w:fill="auto"/>
          </w:tcPr>
          <w:p w14:paraId="013B2976" w14:textId="77777777" w:rsidR="009C353B" w:rsidRDefault="00000000">
            <w:pPr>
              <w:widowControl/>
              <w:jc w:val="center"/>
              <w:rPr>
                <w:rFonts w:ascii="Times New Roman" w:hAnsi="Times New Roman"/>
                <w:sz w:val="21"/>
                <w:szCs w:val="21"/>
              </w:rPr>
            </w:pPr>
            <w:r>
              <w:rPr>
                <w:rFonts w:ascii="Times New Roman" w:hAnsi="Times New Roman"/>
                <w:sz w:val="21"/>
                <w:szCs w:val="21"/>
              </w:rPr>
              <w:t>49.75</w:t>
            </w:r>
          </w:p>
        </w:tc>
        <w:tc>
          <w:tcPr>
            <w:tcW w:w="1307" w:type="dxa"/>
            <w:shd w:val="clear" w:color="auto" w:fill="auto"/>
          </w:tcPr>
          <w:p w14:paraId="55B235BC" w14:textId="77777777" w:rsidR="009C353B" w:rsidRDefault="00000000">
            <w:pPr>
              <w:widowControl/>
              <w:jc w:val="center"/>
              <w:rPr>
                <w:rFonts w:ascii="Times New Roman" w:hAnsi="Times New Roman"/>
                <w:sz w:val="21"/>
                <w:szCs w:val="21"/>
              </w:rPr>
            </w:pPr>
            <w:r>
              <w:rPr>
                <w:rFonts w:ascii="Times New Roman" w:hAnsi="Times New Roman"/>
                <w:sz w:val="21"/>
                <w:szCs w:val="21"/>
              </w:rPr>
              <w:t>49.75</w:t>
            </w:r>
          </w:p>
        </w:tc>
        <w:tc>
          <w:tcPr>
            <w:tcW w:w="830" w:type="dxa"/>
            <w:vMerge/>
            <w:shd w:val="clear" w:color="auto" w:fill="auto"/>
            <w:noWrap/>
          </w:tcPr>
          <w:p w14:paraId="30C44B09" w14:textId="77777777" w:rsidR="009C353B" w:rsidRDefault="009C353B">
            <w:pPr>
              <w:widowControl/>
              <w:jc w:val="center"/>
              <w:rPr>
                <w:rFonts w:ascii="Times New Roman" w:hAnsi="Times New Roman"/>
                <w:sz w:val="21"/>
                <w:szCs w:val="21"/>
              </w:rPr>
            </w:pPr>
          </w:p>
        </w:tc>
      </w:tr>
    </w:tbl>
    <w:p w14:paraId="32978CE2" w14:textId="77777777" w:rsidR="009C353B" w:rsidRDefault="00000000">
      <w:pPr>
        <w:spacing w:line="440" w:lineRule="exact"/>
        <w:ind w:firstLineChars="200" w:firstLine="480"/>
        <w:rPr>
          <w:rFonts w:ascii="Times New Roman" w:hAnsi="Times New Roman"/>
          <w:bCs/>
          <w:szCs w:val="24"/>
        </w:rPr>
      </w:pPr>
      <w:r>
        <w:rPr>
          <w:rFonts w:ascii="Times New Roman" w:hAnsi="Times New Roman"/>
          <w:bCs/>
          <w:szCs w:val="24"/>
        </w:rPr>
        <w:t>（</w:t>
      </w:r>
      <w:r>
        <w:rPr>
          <w:rFonts w:ascii="Times New Roman" w:hAnsi="Times New Roman"/>
          <w:bCs/>
          <w:szCs w:val="24"/>
        </w:rPr>
        <w:t>2</w:t>
      </w:r>
      <w:r>
        <w:rPr>
          <w:rFonts w:ascii="Times New Roman" w:hAnsi="Times New Roman"/>
          <w:bCs/>
          <w:szCs w:val="24"/>
        </w:rPr>
        <w:t>）</w:t>
      </w:r>
      <w:r>
        <w:rPr>
          <w:rFonts w:ascii="Times New Roman" w:hAnsi="Times New Roman"/>
          <w:bCs/>
          <w:szCs w:val="24"/>
        </w:rPr>
        <w:t xml:space="preserve"> </w:t>
      </w:r>
      <w:r>
        <w:rPr>
          <w:rFonts w:ascii="Times New Roman" w:hAnsi="Times New Roman"/>
          <w:bCs/>
          <w:szCs w:val="24"/>
        </w:rPr>
        <w:t>煤炭开采对各含水层影响分析</w:t>
      </w:r>
    </w:p>
    <w:p w14:paraId="7B048B3F"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bCs/>
          <w:szCs w:val="24"/>
        </w:rPr>
        <w:t>矿区煤炭开采主要影响的含水层（岩组）有：第四系松散孔隙潜水含水岩组、古近系清水营组孔隙裂隙承压水含水岩组</w:t>
      </w:r>
      <w:r>
        <w:rPr>
          <w:rFonts w:ascii="Times New Roman" w:hAnsi="Times New Roman"/>
          <w:bCs/>
          <w:szCs w:val="24"/>
        </w:rPr>
        <w:t>、白垩系保安群砾岩孔隙裂隙承压含水岩组、</w:t>
      </w:r>
      <w:r>
        <w:rPr>
          <w:rFonts w:ascii="Times New Roman" w:hAnsi="Times New Roman" w:hint="eastAsia"/>
          <w:bCs/>
          <w:szCs w:val="24"/>
        </w:rPr>
        <w:t>（</w:t>
      </w:r>
      <w:r>
        <w:rPr>
          <w:rFonts w:ascii="Times New Roman" w:hAnsi="Times New Roman"/>
          <w:bCs/>
          <w:szCs w:val="24"/>
        </w:rPr>
        <w:t>石千峰群、石盒子组</w:t>
      </w:r>
      <w:r>
        <w:rPr>
          <w:rFonts w:ascii="Times New Roman" w:hAnsi="Times New Roman" w:hint="eastAsia"/>
          <w:bCs/>
          <w:szCs w:val="24"/>
        </w:rPr>
        <w:t>）</w:t>
      </w:r>
      <w:r>
        <w:rPr>
          <w:rFonts w:ascii="Times New Roman" w:hAnsi="Times New Roman"/>
          <w:bCs/>
          <w:szCs w:val="24"/>
        </w:rPr>
        <w:t>砂岩层间裂隙承压水含水岩组</w:t>
      </w:r>
      <w:r>
        <w:rPr>
          <w:rFonts w:ascii="Times New Roman" w:hAnsi="Times New Roman" w:hint="eastAsia"/>
          <w:bCs/>
          <w:szCs w:val="24"/>
        </w:rPr>
        <w:t>、山西组砂岩裂隙孔隙含水层组</w:t>
      </w:r>
      <w:r>
        <w:rPr>
          <w:rFonts w:ascii="Times New Roman" w:hAnsi="Times New Roman"/>
          <w:bCs/>
          <w:szCs w:val="24"/>
        </w:rPr>
        <w:t>、太原组砂岩裂隙孔隙含水层组</w:t>
      </w:r>
      <w:r>
        <w:rPr>
          <w:rFonts w:ascii="Times New Roman" w:hAnsi="Times New Roman" w:hint="eastAsia"/>
          <w:bCs/>
          <w:szCs w:val="24"/>
        </w:rPr>
        <w:t>。其中第四系含水层在</w:t>
      </w:r>
      <w:r>
        <w:rPr>
          <w:rFonts w:ascii="Times New Roman" w:hAnsi="Times New Roman" w:hint="eastAsia"/>
          <w:szCs w:val="24"/>
        </w:rPr>
        <w:t>矿区大部分地段透水不含水，仅在地势低洼处含水，矿化度大于</w:t>
      </w:r>
      <w:r>
        <w:rPr>
          <w:rFonts w:ascii="Times New Roman" w:hAnsi="Times New Roman" w:hint="eastAsia"/>
          <w:szCs w:val="24"/>
        </w:rPr>
        <w:t>1g</w:t>
      </w:r>
      <w:r>
        <w:rPr>
          <w:rFonts w:ascii="Times New Roman" w:hAnsi="Times New Roman"/>
          <w:szCs w:val="24"/>
        </w:rPr>
        <w:t>/l</w:t>
      </w:r>
      <w:r>
        <w:rPr>
          <w:rFonts w:ascii="Times New Roman" w:hAnsi="Times New Roman" w:hint="eastAsia"/>
          <w:szCs w:val="24"/>
        </w:rPr>
        <w:t>；</w:t>
      </w:r>
      <w:r>
        <w:rPr>
          <w:rFonts w:ascii="Times New Roman" w:hAnsi="Times New Roman" w:hint="eastAsia"/>
          <w:bCs/>
          <w:szCs w:val="24"/>
        </w:rPr>
        <w:t>古近系清水营组孔隙裂隙承压水含水岩组地下水矿化度较高，多为</w:t>
      </w:r>
      <w:r>
        <w:rPr>
          <w:rFonts w:ascii="Times New Roman" w:hAnsi="Times New Roman"/>
          <w:szCs w:val="24"/>
        </w:rPr>
        <w:t>弱咸水或咸水</w:t>
      </w:r>
      <w:r>
        <w:rPr>
          <w:rFonts w:ascii="Times New Roman" w:hAnsi="Times New Roman" w:hint="eastAsia"/>
          <w:szCs w:val="24"/>
        </w:rPr>
        <w:t>，仅马莲台矿化度符合人饮用标准，但马莲台该含水层氟化物超标，故不具供水意义；</w:t>
      </w:r>
      <w:r>
        <w:rPr>
          <w:rFonts w:ascii="Times New Roman" w:hAnsi="Times New Roman"/>
          <w:bCs/>
          <w:szCs w:val="24"/>
        </w:rPr>
        <w:t>白垩系保安群砾岩孔隙裂隙承压含水岩组</w:t>
      </w:r>
      <w:r>
        <w:rPr>
          <w:rFonts w:ascii="Times New Roman" w:hAnsi="Times New Roman" w:hint="eastAsia"/>
          <w:bCs/>
          <w:szCs w:val="24"/>
        </w:rPr>
        <w:t>在矿区内几乎缺失，仅局部发育该层；（</w:t>
      </w:r>
      <w:r>
        <w:rPr>
          <w:rFonts w:ascii="Times New Roman" w:hAnsi="Times New Roman"/>
          <w:bCs/>
          <w:szCs w:val="24"/>
        </w:rPr>
        <w:t>石千峰群、石盒子组</w:t>
      </w:r>
      <w:r>
        <w:rPr>
          <w:rFonts w:ascii="Times New Roman" w:hAnsi="Times New Roman" w:hint="eastAsia"/>
          <w:bCs/>
          <w:szCs w:val="24"/>
        </w:rPr>
        <w:t>）</w:t>
      </w:r>
      <w:r>
        <w:rPr>
          <w:rFonts w:ascii="Times New Roman" w:hAnsi="Times New Roman"/>
          <w:bCs/>
          <w:szCs w:val="24"/>
        </w:rPr>
        <w:t>砂岩层间裂隙承压水含水岩组</w:t>
      </w:r>
      <w:r>
        <w:rPr>
          <w:rFonts w:ascii="Times New Roman" w:hAnsi="Times New Roman" w:hint="eastAsia"/>
          <w:bCs/>
          <w:szCs w:val="24"/>
        </w:rPr>
        <w:t>、山西组砂岩裂隙孔隙含水层组</w:t>
      </w:r>
      <w:r>
        <w:rPr>
          <w:rFonts w:ascii="Times New Roman" w:hAnsi="Times New Roman"/>
          <w:bCs/>
          <w:szCs w:val="24"/>
        </w:rPr>
        <w:t>、太原组砂岩裂隙孔隙含水层组</w:t>
      </w:r>
      <w:r>
        <w:rPr>
          <w:rFonts w:ascii="Times New Roman" w:hAnsi="Times New Roman" w:hint="eastAsia"/>
          <w:bCs/>
          <w:szCs w:val="24"/>
        </w:rPr>
        <w:t>地下水矿化度较高，多为咸水或苦咸水。故矿区地下水水质总体较差，且氟化物普遍超标，基本没有供水意义的含水层。本次环评分析煤炭开采对以上含水层的影响。</w:t>
      </w:r>
    </w:p>
    <w:p w14:paraId="785EE539"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1</w:t>
      </w:r>
      <w:r>
        <w:rPr>
          <w:rFonts w:ascii="Times New Roman" w:hAnsi="Times New Roman"/>
          <w:szCs w:val="24"/>
        </w:rPr>
        <w:t>）</w:t>
      </w:r>
      <w:r>
        <w:rPr>
          <w:rFonts w:ascii="Times New Roman" w:hAnsi="Times New Roman"/>
          <w:szCs w:val="24"/>
        </w:rPr>
        <w:t xml:space="preserve"> </w:t>
      </w:r>
      <w:r>
        <w:rPr>
          <w:rFonts w:ascii="Times New Roman" w:hAnsi="Times New Roman"/>
          <w:szCs w:val="24"/>
        </w:rPr>
        <w:t>煤炭开采对第四系松散孔隙潜水含水岩组（</w:t>
      </w:r>
      <w:r>
        <w:rPr>
          <w:rFonts w:ascii="Times New Roman" w:hAnsi="Times New Roman"/>
          <w:szCs w:val="24"/>
        </w:rPr>
        <w:t>I</w:t>
      </w:r>
      <w:r>
        <w:rPr>
          <w:rFonts w:ascii="Times New Roman" w:hAnsi="Times New Roman"/>
          <w:szCs w:val="24"/>
        </w:rPr>
        <w:t>）的影响</w:t>
      </w:r>
    </w:p>
    <w:p w14:paraId="6B8CA6ED"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第四系在全区广泛分布，岩性以冲洪积的亚砂土、亚粘土为主，底部含砂砾石，厚度一般小于</w:t>
      </w:r>
      <w:r>
        <w:rPr>
          <w:rFonts w:ascii="Times New Roman" w:hAnsi="Times New Roman"/>
          <w:szCs w:val="24"/>
        </w:rPr>
        <w:t>30m</w:t>
      </w:r>
      <w:r>
        <w:rPr>
          <w:rFonts w:ascii="Times New Roman" w:hAnsi="Times New Roman" w:hint="eastAsia"/>
          <w:szCs w:val="24"/>
        </w:rPr>
        <w:t>，矿区大部分地段透水不含水，仅在地势低洼处含水</w:t>
      </w:r>
      <w:r>
        <w:rPr>
          <w:rFonts w:ascii="Times New Roman" w:hAnsi="Times New Roman"/>
          <w:szCs w:val="24"/>
        </w:rPr>
        <w:t>。在煤系地层与第四系浅部含水层之间还存在古近系清水营组粘土隔水层及二叠系石盒子组底部山西组顶部隔水层。古近系清水营组粘土隔水主要为厚层亚粘土，结构致密，具有可塑性，是良好的隔水层</w:t>
      </w:r>
      <w:r>
        <w:rPr>
          <w:rFonts w:ascii="Times New Roman" w:hAnsi="Times New Roman" w:hint="eastAsia"/>
          <w:szCs w:val="24"/>
        </w:rPr>
        <w:t>，该隔水层是第四系与基岩裂隙孔隙含水层之间的隔水介质</w:t>
      </w:r>
      <w:r>
        <w:rPr>
          <w:rFonts w:ascii="Times New Roman" w:hAnsi="Times New Roman"/>
          <w:szCs w:val="24"/>
        </w:rPr>
        <w:t>；</w:t>
      </w:r>
      <w:r>
        <w:rPr>
          <w:rFonts w:ascii="Times New Roman" w:hAnsi="Times New Roman" w:hint="eastAsia"/>
          <w:szCs w:val="24"/>
        </w:rPr>
        <w:t>该隔水层在丁家梁井田厚度一般在</w:t>
      </w:r>
      <w:r>
        <w:rPr>
          <w:rFonts w:ascii="Times New Roman" w:hAnsi="Times New Roman"/>
          <w:szCs w:val="24"/>
        </w:rPr>
        <w:t>80</w:t>
      </w:r>
      <w:r>
        <w:rPr>
          <w:rFonts w:ascii="Times New Roman" w:hAnsi="Times New Roman"/>
          <w:szCs w:val="24"/>
        </w:rPr>
        <w:t>～</w:t>
      </w:r>
      <w:r>
        <w:rPr>
          <w:rFonts w:ascii="Times New Roman" w:hAnsi="Times New Roman"/>
          <w:szCs w:val="24"/>
        </w:rPr>
        <w:t>130m</w:t>
      </w:r>
      <w:r>
        <w:rPr>
          <w:rFonts w:ascii="Times New Roman" w:hAnsi="Times New Roman"/>
          <w:szCs w:val="24"/>
        </w:rPr>
        <w:t>，马莲台煤矿厚度</w:t>
      </w:r>
      <w:r>
        <w:rPr>
          <w:rFonts w:ascii="Times New Roman" w:hAnsi="Times New Roman"/>
          <w:szCs w:val="24"/>
        </w:rPr>
        <w:t>92.78</w:t>
      </w:r>
      <w:r>
        <w:rPr>
          <w:rFonts w:ascii="Times New Roman" w:hAnsi="Times New Roman"/>
          <w:szCs w:val="24"/>
        </w:rPr>
        <w:t>～</w:t>
      </w:r>
      <w:r>
        <w:rPr>
          <w:rFonts w:ascii="Times New Roman" w:hAnsi="Times New Roman"/>
          <w:szCs w:val="24"/>
        </w:rPr>
        <w:t>242.45m</w:t>
      </w:r>
      <w:r>
        <w:rPr>
          <w:rFonts w:ascii="Times New Roman" w:hAnsi="Times New Roman"/>
          <w:szCs w:val="24"/>
        </w:rPr>
        <w:t>，平均</w:t>
      </w:r>
      <w:r>
        <w:rPr>
          <w:rFonts w:ascii="Times New Roman" w:hAnsi="Times New Roman"/>
          <w:szCs w:val="24"/>
        </w:rPr>
        <w:t>175m</w:t>
      </w:r>
      <w:r>
        <w:rPr>
          <w:rFonts w:ascii="Times New Roman" w:hAnsi="Times New Roman"/>
          <w:szCs w:val="24"/>
        </w:rPr>
        <w:t>，红石湾煤矿平均厚</w:t>
      </w:r>
      <w:r>
        <w:rPr>
          <w:rFonts w:ascii="Times New Roman" w:hAnsi="Times New Roman"/>
          <w:szCs w:val="24"/>
        </w:rPr>
        <w:t>160m</w:t>
      </w:r>
      <w:r>
        <w:rPr>
          <w:rFonts w:ascii="Times New Roman" w:hAnsi="Times New Roman"/>
          <w:szCs w:val="24"/>
        </w:rPr>
        <w:t>左右</w:t>
      </w:r>
      <w:r>
        <w:rPr>
          <w:rFonts w:ascii="Times New Roman" w:hAnsi="Times New Roman" w:hint="eastAsia"/>
          <w:szCs w:val="24"/>
        </w:rPr>
        <w:t>，任家庄平均厚</w:t>
      </w:r>
      <w:r>
        <w:rPr>
          <w:rFonts w:ascii="Times New Roman" w:hAnsi="Times New Roman" w:hint="eastAsia"/>
          <w:szCs w:val="24"/>
        </w:rPr>
        <w:t>90m</w:t>
      </w:r>
      <w:r>
        <w:rPr>
          <w:rFonts w:ascii="Times New Roman" w:hAnsi="Times New Roman"/>
          <w:szCs w:val="24"/>
        </w:rPr>
        <w:t>；石盒子组底部山西组顶部隔水层由泥岩、粉砂岩构成，具有良好的稳定与隔水性能。由各勘探线上各钻孔导水裂缝带最大发育高度计算结果可知，煤层开采形成的导水裂缝带发育最大高度仅进入二叠系石盒子组砂泥岩隔水层，导水裂缝带发育高度距第四系</w:t>
      </w:r>
      <w:r>
        <w:rPr>
          <w:rFonts w:ascii="Times New Roman" w:hAnsi="Times New Roman"/>
          <w:szCs w:val="24"/>
        </w:rPr>
        <w:t>208.31~1128.01m</w:t>
      </w:r>
      <w:r>
        <w:rPr>
          <w:rFonts w:ascii="Times New Roman" w:hAnsi="Times New Roman"/>
          <w:szCs w:val="24"/>
        </w:rPr>
        <w:t>，矿区内开采煤层不会</w:t>
      </w:r>
      <w:r>
        <w:rPr>
          <w:rFonts w:ascii="Times New Roman" w:hAnsi="Times New Roman" w:hint="eastAsia"/>
          <w:szCs w:val="24"/>
        </w:rPr>
        <w:t>直接</w:t>
      </w:r>
      <w:r>
        <w:rPr>
          <w:rFonts w:ascii="Times New Roman" w:hAnsi="Times New Roman"/>
          <w:szCs w:val="24"/>
        </w:rPr>
        <w:t>导通浅部第四系孔隙潜水含水层。</w:t>
      </w:r>
      <w:r>
        <w:rPr>
          <w:rFonts w:ascii="Times New Roman" w:hAnsi="Times New Roman" w:hint="eastAsia"/>
          <w:szCs w:val="24"/>
        </w:rPr>
        <w:t>综上</w:t>
      </w:r>
      <w:r>
        <w:rPr>
          <w:rFonts w:ascii="Times New Roman" w:hAnsi="Times New Roman"/>
          <w:szCs w:val="24"/>
        </w:rPr>
        <w:t>，评价认为</w:t>
      </w:r>
      <w:r>
        <w:rPr>
          <w:rFonts w:ascii="Times New Roman" w:hAnsi="Times New Roman" w:hint="eastAsia"/>
          <w:szCs w:val="24"/>
        </w:rPr>
        <w:t>煤炭开采</w:t>
      </w:r>
      <w:r>
        <w:rPr>
          <w:rFonts w:ascii="Times New Roman" w:hAnsi="Times New Roman"/>
          <w:szCs w:val="24"/>
        </w:rPr>
        <w:t>对第四系松散孔隙潜水含水层影响较小。</w:t>
      </w:r>
    </w:p>
    <w:p w14:paraId="0DECCF9B"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2</w:t>
      </w:r>
      <w:r>
        <w:rPr>
          <w:rFonts w:ascii="Times New Roman" w:hAnsi="Times New Roman"/>
          <w:szCs w:val="24"/>
        </w:rPr>
        <w:t>）</w:t>
      </w:r>
      <w:r>
        <w:rPr>
          <w:rFonts w:ascii="Times New Roman" w:hAnsi="Times New Roman"/>
          <w:szCs w:val="24"/>
        </w:rPr>
        <w:t xml:space="preserve"> </w:t>
      </w:r>
      <w:r>
        <w:rPr>
          <w:rFonts w:ascii="Times New Roman" w:hAnsi="Times New Roman"/>
          <w:szCs w:val="24"/>
        </w:rPr>
        <w:t>煤炭开采对煤系上覆含水岩组的影响</w:t>
      </w:r>
    </w:p>
    <w:p w14:paraId="50E52A60"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煤系上覆含水层有古近系清水营组孔隙裂隙承压水含水岩组（</w:t>
      </w:r>
      <w:r>
        <w:rPr>
          <w:rFonts w:ascii="Times New Roman" w:hAnsi="Times New Roman"/>
          <w:szCs w:val="24"/>
        </w:rPr>
        <w:fldChar w:fldCharType="begin"/>
      </w:r>
      <w:r>
        <w:rPr>
          <w:rFonts w:ascii="Times New Roman" w:hAnsi="Times New Roman"/>
          <w:szCs w:val="24"/>
        </w:rPr>
        <w:instrText xml:space="preserve"> = 2 \* ROMAN </w:instrText>
      </w:r>
      <w:r>
        <w:rPr>
          <w:rFonts w:ascii="Times New Roman" w:hAnsi="Times New Roman"/>
          <w:szCs w:val="24"/>
        </w:rPr>
        <w:fldChar w:fldCharType="separate"/>
      </w:r>
      <w:r>
        <w:rPr>
          <w:rFonts w:ascii="Times New Roman" w:hAnsi="Times New Roman"/>
          <w:szCs w:val="24"/>
        </w:rPr>
        <w:t>II</w:t>
      </w:r>
      <w:r>
        <w:rPr>
          <w:rFonts w:ascii="Times New Roman" w:hAnsi="Times New Roman"/>
          <w:szCs w:val="24"/>
        </w:rPr>
        <w:fldChar w:fldCharType="end"/>
      </w:r>
      <w:r>
        <w:rPr>
          <w:rFonts w:ascii="Times New Roman" w:hAnsi="Times New Roman"/>
          <w:szCs w:val="24"/>
        </w:rPr>
        <w:t>）、白垩系保安群砾岩孔隙裂隙承压含水岩组（</w:t>
      </w:r>
      <w:r>
        <w:rPr>
          <w:rFonts w:ascii="Times New Roman" w:hAnsi="Times New Roman"/>
          <w:szCs w:val="24"/>
        </w:rPr>
        <w:t>III</w:t>
      </w:r>
      <w:r>
        <w:rPr>
          <w:rFonts w:ascii="Times New Roman" w:hAnsi="Times New Roman"/>
          <w:szCs w:val="24"/>
        </w:rPr>
        <w:t>）、二叠系石千峰群、石盒子组砂岩层间裂隙承压水含水岩组（</w:t>
      </w:r>
      <w:r>
        <w:rPr>
          <w:rFonts w:ascii="Times New Roman" w:hAnsi="Times New Roman"/>
          <w:szCs w:val="24"/>
        </w:rPr>
        <w:t>IV</w:t>
      </w:r>
      <w:r>
        <w:rPr>
          <w:rFonts w:ascii="Times New Roman" w:hAnsi="Times New Roman"/>
          <w:szCs w:val="24"/>
        </w:rPr>
        <w:t>）。</w:t>
      </w:r>
    </w:p>
    <w:p w14:paraId="02978024"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古近系清水营组孔隙裂隙承压水含水岩组（</w:t>
      </w:r>
      <w:r>
        <w:rPr>
          <w:rFonts w:ascii="Times New Roman" w:hAnsi="Times New Roman"/>
          <w:szCs w:val="24"/>
        </w:rPr>
        <w:fldChar w:fldCharType="begin"/>
      </w:r>
      <w:r>
        <w:rPr>
          <w:rFonts w:ascii="Times New Roman" w:hAnsi="Times New Roman"/>
          <w:szCs w:val="24"/>
        </w:rPr>
        <w:instrText xml:space="preserve"> = 2 \* ROMAN </w:instrText>
      </w:r>
      <w:r>
        <w:rPr>
          <w:rFonts w:ascii="Times New Roman" w:hAnsi="Times New Roman"/>
          <w:szCs w:val="24"/>
        </w:rPr>
        <w:fldChar w:fldCharType="separate"/>
      </w:r>
      <w:r>
        <w:rPr>
          <w:rFonts w:ascii="Times New Roman" w:hAnsi="Times New Roman"/>
          <w:szCs w:val="24"/>
        </w:rPr>
        <w:t>II</w:t>
      </w:r>
      <w:r>
        <w:rPr>
          <w:rFonts w:ascii="Times New Roman" w:hAnsi="Times New Roman"/>
          <w:szCs w:val="24"/>
        </w:rPr>
        <w:fldChar w:fldCharType="end"/>
      </w:r>
      <w:r>
        <w:rPr>
          <w:rFonts w:ascii="Times New Roman" w:hAnsi="Times New Roman"/>
          <w:szCs w:val="24"/>
        </w:rPr>
        <w:t>）</w:t>
      </w:r>
      <w:r>
        <w:rPr>
          <w:rFonts w:ascii="Times New Roman" w:hAnsi="Times New Roman" w:hint="eastAsia"/>
          <w:szCs w:val="24"/>
        </w:rPr>
        <w:t>：</w:t>
      </w:r>
      <w:r>
        <w:rPr>
          <w:rFonts w:ascii="Times New Roman" w:hAnsi="Times New Roman"/>
          <w:szCs w:val="24"/>
        </w:rPr>
        <w:t>古近系渐新统清水营组（</w:t>
      </w:r>
      <w:r>
        <w:rPr>
          <w:rFonts w:ascii="Times New Roman" w:hAnsi="Times New Roman"/>
          <w:szCs w:val="24"/>
        </w:rPr>
        <w:t>E</w:t>
      </w:r>
      <w:r>
        <w:rPr>
          <w:rFonts w:ascii="Times New Roman" w:hAnsi="Times New Roman"/>
          <w:szCs w:val="24"/>
          <w:vertAlign w:val="subscript"/>
        </w:rPr>
        <w:t>3</w:t>
      </w:r>
      <w:r>
        <w:rPr>
          <w:rFonts w:ascii="Times New Roman" w:hAnsi="Times New Roman"/>
          <w:szCs w:val="24"/>
        </w:rPr>
        <w:t>q</w:t>
      </w:r>
      <w:r>
        <w:rPr>
          <w:rFonts w:ascii="Times New Roman" w:hAnsi="Times New Roman"/>
          <w:szCs w:val="24"/>
        </w:rPr>
        <w:t>）红土层，矿区内多被第四系覆盖，上部地层为致密的隔水岩层，仅底部砾岩层为相对较好的含水层，</w:t>
      </w:r>
      <w:r>
        <w:rPr>
          <w:rFonts w:ascii="Times New Roman" w:hAnsi="Times New Roman" w:hint="eastAsia"/>
          <w:szCs w:val="24"/>
        </w:rPr>
        <w:t>该层孔隙发育，富水性弱</w:t>
      </w:r>
      <w:r>
        <w:rPr>
          <w:rFonts w:ascii="Times New Roman" w:hAnsi="Times New Roman" w:hint="eastAsia"/>
          <w:szCs w:val="24"/>
        </w:rPr>
        <w:t>~</w:t>
      </w:r>
      <w:r>
        <w:rPr>
          <w:rFonts w:ascii="Times New Roman" w:hAnsi="Times New Roman" w:hint="eastAsia"/>
          <w:szCs w:val="24"/>
        </w:rPr>
        <w:t>中等，为矿区主要含水层。由丁家梁各勘探线计算得到的导水裂缝带发育高度，分析可知，开采一煤、三煤层所形成的导水裂缝带距古近系</w:t>
      </w:r>
      <w:r>
        <w:rPr>
          <w:rFonts w:ascii="Times New Roman" w:hAnsi="Times New Roman"/>
          <w:szCs w:val="24"/>
        </w:rPr>
        <w:t>133.29~1097.51m</w:t>
      </w:r>
      <w:r>
        <w:rPr>
          <w:rFonts w:ascii="Times New Roman" w:hAnsi="Times New Roman"/>
          <w:szCs w:val="24"/>
        </w:rPr>
        <w:t>，仅导入二叠系石盒子组，导入高度最大为</w:t>
      </w:r>
      <w:r>
        <w:rPr>
          <w:rFonts w:ascii="Times New Roman" w:hAnsi="Times New Roman"/>
          <w:szCs w:val="24"/>
        </w:rPr>
        <w:t>67.33m</w:t>
      </w:r>
      <w:r>
        <w:rPr>
          <w:rFonts w:ascii="Times New Roman" w:hAnsi="Times New Roman" w:hint="eastAsia"/>
          <w:szCs w:val="24"/>
        </w:rPr>
        <w:t>，影响不到古近系含水层。但由于该组含水层与下伏含水层存在一定水力联系，当导水裂缝带勾通下部含水层时，对该组含水层也会造成一定的影响。要注意在矿区煤层隐伏露头、煤层埋深较浅处附近局部地带，如上表中任家庄</w:t>
      </w:r>
      <w:r>
        <w:rPr>
          <w:rFonts w:ascii="Times New Roman" w:hAnsi="Times New Roman" w:hint="eastAsia"/>
          <w:szCs w:val="24"/>
        </w:rPr>
        <w:t>213</w:t>
      </w:r>
      <w:r>
        <w:rPr>
          <w:rFonts w:ascii="Times New Roman" w:hAnsi="Times New Roman" w:hint="eastAsia"/>
          <w:szCs w:val="24"/>
        </w:rPr>
        <w:t>号钻孔，据计算导裂带会导入古近系，且</w:t>
      </w:r>
      <w:r>
        <w:rPr>
          <w:rFonts w:ascii="Times New Roman" w:hAnsi="Times New Roman"/>
          <w:szCs w:val="24"/>
        </w:rPr>
        <w:t>导水</w:t>
      </w:r>
      <w:r>
        <w:rPr>
          <w:rFonts w:ascii="Times New Roman" w:hAnsi="Times New Roman" w:hint="eastAsia"/>
          <w:szCs w:val="24"/>
        </w:rPr>
        <w:t>裂隙可沟通古近系底部地下水与煤系地下水，古近系含水层成为矿井直接充水含水层，</w:t>
      </w:r>
      <w:bookmarkStart w:id="257" w:name="_Hlk50282026"/>
      <w:r>
        <w:rPr>
          <w:rFonts w:ascii="Times New Roman" w:hAnsi="Times New Roman" w:hint="eastAsia"/>
          <w:szCs w:val="24"/>
        </w:rPr>
        <w:t>故应加强对该组含水层的观测，并在煤层隐伏露头、煤层埋深较浅处附近，建议合理设置保护煤柱</w:t>
      </w:r>
      <w:bookmarkEnd w:id="257"/>
      <w:r>
        <w:rPr>
          <w:rFonts w:ascii="Times New Roman" w:hAnsi="Times New Roman" w:hint="eastAsia"/>
          <w:szCs w:val="24"/>
        </w:rPr>
        <w:t>。</w:t>
      </w:r>
    </w:p>
    <w:p w14:paraId="091BA1B3"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白垩系保安群砾岩孔隙裂隙承压含水岩组（</w:t>
      </w:r>
      <w:r>
        <w:rPr>
          <w:rFonts w:ascii="Times New Roman" w:hAnsi="Times New Roman"/>
          <w:szCs w:val="24"/>
        </w:rPr>
        <w:t>III</w:t>
      </w:r>
      <w:r>
        <w:rPr>
          <w:rFonts w:ascii="Times New Roman" w:hAnsi="Times New Roman"/>
          <w:szCs w:val="24"/>
        </w:rPr>
        <w:t>）</w:t>
      </w:r>
      <w:r>
        <w:rPr>
          <w:rFonts w:ascii="Times New Roman" w:hAnsi="Times New Roman" w:hint="eastAsia"/>
          <w:szCs w:val="24"/>
        </w:rPr>
        <w:t>：</w:t>
      </w:r>
      <w:r>
        <w:rPr>
          <w:rFonts w:ascii="Times New Roman" w:hAnsi="Times New Roman"/>
          <w:szCs w:val="24"/>
        </w:rPr>
        <w:t>白垩系保安群砾岩层见于丁家梁煤矿西部</w:t>
      </w:r>
      <w:r>
        <w:rPr>
          <w:rFonts w:ascii="Times New Roman" w:hAnsi="Times New Roman" w:hint="eastAsia"/>
          <w:szCs w:val="24"/>
        </w:rPr>
        <w:t>（原甜水河井田）</w:t>
      </w:r>
      <w:r>
        <w:rPr>
          <w:rFonts w:ascii="Times New Roman" w:hAnsi="Times New Roman"/>
          <w:szCs w:val="24"/>
        </w:rPr>
        <w:t>东梁以西</w:t>
      </w:r>
      <w:r>
        <w:rPr>
          <w:rFonts w:ascii="Times New Roman" w:hAnsi="Times New Roman" w:hint="eastAsia"/>
          <w:szCs w:val="24"/>
        </w:rPr>
        <w:t>，大部分地段不在本次规划范围内，仅井田西边界局部地段发育该组；</w:t>
      </w:r>
      <w:r>
        <w:rPr>
          <w:rFonts w:ascii="Times New Roman" w:hAnsi="Times New Roman"/>
          <w:szCs w:val="24"/>
        </w:rPr>
        <w:t>任家庄煤矿仅出露于西部马鞍山东麓，矿区其余地段因剥蚀缺失。</w:t>
      </w:r>
      <w:r>
        <w:rPr>
          <w:rFonts w:ascii="Times New Roman" w:hAnsi="Times New Roman" w:hint="eastAsia"/>
          <w:szCs w:val="24"/>
        </w:rPr>
        <w:t>导水裂缝带发育高度除隐伏露头及埋藏较浅局部地段外，仅</w:t>
      </w:r>
      <w:r>
        <w:rPr>
          <w:rFonts w:ascii="Times New Roman" w:hAnsi="Times New Roman"/>
          <w:szCs w:val="24"/>
        </w:rPr>
        <w:t>导入二叠系石盒子组</w:t>
      </w:r>
      <w:r>
        <w:rPr>
          <w:rFonts w:ascii="Times New Roman" w:hAnsi="Times New Roman" w:hint="eastAsia"/>
          <w:szCs w:val="24"/>
        </w:rPr>
        <w:t>，</w:t>
      </w:r>
      <w:r>
        <w:rPr>
          <w:rFonts w:ascii="Times New Roman" w:hAnsi="Times New Roman"/>
          <w:szCs w:val="24"/>
        </w:rPr>
        <w:t>评价认为煤矿开采对白垩系保安群砾岩孔隙裂隙承压含水岩组（</w:t>
      </w:r>
      <w:r>
        <w:rPr>
          <w:rFonts w:ascii="Times New Roman" w:hAnsi="Times New Roman"/>
          <w:szCs w:val="24"/>
        </w:rPr>
        <w:t>III</w:t>
      </w:r>
      <w:r>
        <w:rPr>
          <w:rFonts w:ascii="Times New Roman" w:hAnsi="Times New Roman"/>
          <w:szCs w:val="24"/>
        </w:rPr>
        <w:t>）影响</w:t>
      </w:r>
      <w:r>
        <w:rPr>
          <w:rFonts w:ascii="Times New Roman" w:hAnsi="Times New Roman" w:hint="eastAsia"/>
          <w:szCs w:val="24"/>
        </w:rPr>
        <w:t>可以接受。虽该组在矿区内分布有限，但由于白垩系砾岩含水层厚度大，富水性较好，且</w:t>
      </w:r>
      <w:r>
        <w:rPr>
          <w:rFonts w:hint="eastAsia"/>
        </w:rPr>
        <w:t>与下伏地层的水力联系较为密切</w:t>
      </w:r>
      <w:r>
        <w:rPr>
          <w:rFonts w:ascii="Times New Roman" w:hAnsi="Times New Roman" w:hint="eastAsia"/>
          <w:szCs w:val="24"/>
        </w:rPr>
        <w:t>，矿山建设后期应对白垩系砾岩含水层予以足够的重视。</w:t>
      </w:r>
    </w:p>
    <w:p w14:paraId="0417017D"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二叠系石千峰群、石盒子组砂岩层间裂隙承压水含水岩组（</w:t>
      </w:r>
      <w:r>
        <w:rPr>
          <w:rFonts w:ascii="Times New Roman" w:hAnsi="Times New Roman"/>
          <w:szCs w:val="24"/>
        </w:rPr>
        <w:t>IV</w:t>
      </w:r>
      <w:r>
        <w:rPr>
          <w:rFonts w:ascii="Times New Roman" w:hAnsi="Times New Roman"/>
          <w:szCs w:val="24"/>
        </w:rPr>
        <w:t>）</w:t>
      </w:r>
      <w:r>
        <w:rPr>
          <w:rFonts w:ascii="Times New Roman" w:hAnsi="Times New Roman" w:hint="eastAsia"/>
          <w:szCs w:val="24"/>
        </w:rPr>
        <w:t>：石千峰组</w:t>
      </w:r>
      <w:r>
        <w:rPr>
          <w:rFonts w:ascii="Times New Roman" w:hAnsi="Times New Roman"/>
          <w:szCs w:val="24"/>
        </w:rPr>
        <w:t>与下伏石盒子组为整合接触关系，分选性较好，结构疏松，孔隙发育，</w:t>
      </w:r>
      <w:r>
        <w:rPr>
          <w:rFonts w:ascii="Times New Roman" w:hAnsi="Times New Roman" w:hint="eastAsia"/>
          <w:szCs w:val="24"/>
        </w:rPr>
        <w:t>含水层为裂隙较发育的砂岩，而柔性的泥质岩类透水性差，构成相对隔水层，形成层间裂隙承压水，</w:t>
      </w:r>
      <w:r>
        <w:rPr>
          <w:rFonts w:ascii="Times New Roman" w:hAnsi="Times New Roman"/>
          <w:szCs w:val="24"/>
        </w:rPr>
        <w:t>富水性弱</w:t>
      </w:r>
      <w:r>
        <w:rPr>
          <w:rFonts w:ascii="Times New Roman" w:hAnsi="Times New Roman" w:hint="eastAsia"/>
          <w:szCs w:val="24"/>
        </w:rPr>
        <w:t>，</w:t>
      </w:r>
      <w:r>
        <w:rPr>
          <w:rFonts w:ascii="Times New Roman" w:hAnsi="Times New Roman"/>
          <w:szCs w:val="24"/>
        </w:rPr>
        <w:t>与上覆的清水营组底砾岩层或白垩系保安群砾岩层之间有着密切的水力联系。石盒子组在横城矿区广泛分布，地层埋深平均在</w:t>
      </w:r>
      <w:r>
        <w:rPr>
          <w:rFonts w:ascii="Times New Roman" w:hAnsi="Times New Roman"/>
          <w:szCs w:val="24"/>
        </w:rPr>
        <w:t>200m</w:t>
      </w:r>
      <w:r>
        <w:rPr>
          <w:rFonts w:ascii="Times New Roman" w:hAnsi="Times New Roman"/>
          <w:szCs w:val="24"/>
        </w:rPr>
        <w:t>左右，矿区平均厚度约</w:t>
      </w:r>
      <w:r>
        <w:rPr>
          <w:rFonts w:ascii="Times New Roman" w:hAnsi="Times New Roman"/>
          <w:szCs w:val="24"/>
        </w:rPr>
        <w:t>170</w:t>
      </w:r>
      <w:r>
        <w:rPr>
          <w:rFonts w:ascii="Times New Roman" w:hAnsi="Times New Roman"/>
          <w:szCs w:val="24"/>
        </w:rPr>
        <w:t>～</w:t>
      </w:r>
      <w:r>
        <w:rPr>
          <w:rFonts w:ascii="Times New Roman" w:hAnsi="Times New Roman"/>
          <w:szCs w:val="24"/>
        </w:rPr>
        <w:t>413.4m</w:t>
      </w:r>
      <w:r>
        <w:rPr>
          <w:rFonts w:ascii="Times New Roman" w:hAnsi="Times New Roman"/>
          <w:szCs w:val="24"/>
        </w:rPr>
        <w:t>。砂岩平均厚为</w:t>
      </w:r>
      <w:r>
        <w:rPr>
          <w:rFonts w:ascii="Times New Roman" w:hAnsi="Times New Roman"/>
          <w:szCs w:val="24"/>
        </w:rPr>
        <w:t>44.4</w:t>
      </w:r>
      <w:r>
        <w:rPr>
          <w:rFonts w:ascii="Times New Roman" w:hAnsi="Times New Roman"/>
          <w:szCs w:val="24"/>
        </w:rPr>
        <w:t>～</w:t>
      </w:r>
      <w:r>
        <w:rPr>
          <w:rFonts w:ascii="Times New Roman" w:hAnsi="Times New Roman"/>
          <w:szCs w:val="24"/>
        </w:rPr>
        <w:t>179.86m</w:t>
      </w:r>
      <w:r>
        <w:rPr>
          <w:rFonts w:ascii="Times New Roman" w:hAnsi="Times New Roman"/>
          <w:szCs w:val="24"/>
        </w:rPr>
        <w:t>，岩性以砂岩与泥岩、砂质泥岩互层为特征，下部空间有</w:t>
      </w:r>
      <w:r>
        <w:rPr>
          <w:rFonts w:ascii="Times New Roman" w:hAnsi="Times New Roman"/>
          <w:szCs w:val="24"/>
        </w:rPr>
        <w:t>8</w:t>
      </w:r>
      <w:r>
        <w:rPr>
          <w:rFonts w:ascii="Times New Roman" w:hAnsi="Times New Roman"/>
          <w:szCs w:val="24"/>
        </w:rPr>
        <w:t>～</w:t>
      </w:r>
      <w:r>
        <w:rPr>
          <w:rFonts w:ascii="Times New Roman" w:hAnsi="Times New Roman"/>
          <w:szCs w:val="24"/>
        </w:rPr>
        <w:t>10</w:t>
      </w:r>
      <w:r>
        <w:rPr>
          <w:rFonts w:ascii="Times New Roman" w:hAnsi="Times New Roman"/>
          <w:szCs w:val="24"/>
        </w:rPr>
        <w:t>层砂岩，分布较稳定，含水岩层为中、粗粒砂岩，结构疏松，裂隙较发育，主要为裂隙水，呈层状或脉状分布，不同地段，赋水性差异较大，主要受构造裂隙发育程度控制。</w:t>
      </w:r>
      <w:r>
        <w:rPr>
          <w:rFonts w:ascii="Times New Roman" w:hAnsi="Times New Roman" w:hint="eastAsia"/>
          <w:szCs w:val="24"/>
        </w:rPr>
        <w:t>该含水层除在红石湾矿</w:t>
      </w:r>
      <w:r>
        <w:rPr>
          <w:rFonts w:ascii="Times New Roman" w:hAnsi="Times New Roman"/>
          <w:szCs w:val="24"/>
        </w:rPr>
        <w:t>406</w:t>
      </w:r>
      <w:r>
        <w:rPr>
          <w:rFonts w:ascii="Times New Roman" w:hAnsi="Times New Roman"/>
          <w:szCs w:val="24"/>
        </w:rPr>
        <w:t>孔为中等富水性外，总体富水性弱</w:t>
      </w:r>
      <w:r>
        <w:rPr>
          <w:rFonts w:ascii="Times New Roman" w:hAnsi="Times New Roman" w:hint="eastAsia"/>
          <w:szCs w:val="24"/>
        </w:rPr>
        <w:t>，</w:t>
      </w:r>
      <w:r>
        <w:rPr>
          <w:rFonts w:ascii="Times New Roman" w:hAnsi="Times New Roman"/>
          <w:szCs w:val="24"/>
        </w:rPr>
        <w:t>与上覆</w:t>
      </w:r>
      <w:r>
        <w:rPr>
          <w:rFonts w:ascii="Times New Roman" w:hAnsi="Times New Roman" w:hint="eastAsia"/>
          <w:szCs w:val="24"/>
        </w:rPr>
        <w:t>含水层存在一定</w:t>
      </w:r>
      <w:r>
        <w:rPr>
          <w:rFonts w:ascii="Times New Roman" w:hAnsi="Times New Roman"/>
          <w:szCs w:val="24"/>
        </w:rPr>
        <w:t>水力联系</w:t>
      </w:r>
      <w:r>
        <w:rPr>
          <w:rFonts w:ascii="Times New Roman" w:hAnsi="Times New Roman" w:hint="eastAsia"/>
          <w:szCs w:val="24"/>
        </w:rPr>
        <w:t>。</w:t>
      </w:r>
      <w:r>
        <w:rPr>
          <w:rFonts w:ascii="Times New Roman" w:hAnsi="Times New Roman"/>
          <w:szCs w:val="24"/>
        </w:rPr>
        <w:t>由计算得到的导水裂缝带发育高度，分析可知，开采一煤、三煤层所形成的导水裂缝带导入二叠系石盒子组，导入高度最大为</w:t>
      </w:r>
      <w:r>
        <w:rPr>
          <w:rFonts w:ascii="Times New Roman" w:hAnsi="Times New Roman"/>
          <w:szCs w:val="24"/>
        </w:rPr>
        <w:t>67.33m</w:t>
      </w:r>
      <w:r>
        <w:rPr>
          <w:rFonts w:ascii="Times New Roman" w:hAnsi="Times New Roman"/>
          <w:szCs w:val="24"/>
        </w:rPr>
        <w:t>。上覆二叠系石千峰群、石盒子组砂岩层间裂隙承压水含水岩组（</w:t>
      </w:r>
      <w:r>
        <w:rPr>
          <w:rFonts w:ascii="Times New Roman" w:hAnsi="Times New Roman"/>
          <w:szCs w:val="24"/>
        </w:rPr>
        <w:t>IV</w:t>
      </w:r>
      <w:r>
        <w:rPr>
          <w:rFonts w:ascii="Times New Roman" w:hAnsi="Times New Roman"/>
          <w:szCs w:val="24"/>
        </w:rPr>
        <w:t>）将随着煤矿的开采逐渐被疏干，局部地段造成含水层破坏，</w:t>
      </w:r>
      <w:r>
        <w:rPr>
          <w:rFonts w:ascii="Times New Roman" w:hAnsi="Times New Roman" w:hint="eastAsia"/>
          <w:szCs w:val="24"/>
        </w:rPr>
        <w:t>且可能影响古近系含水层。因此，</w:t>
      </w:r>
      <w:r>
        <w:rPr>
          <w:rFonts w:ascii="Times New Roman" w:hAnsi="Times New Roman"/>
          <w:szCs w:val="24"/>
        </w:rPr>
        <w:t>评价认为煤矿开采</w:t>
      </w:r>
      <w:r>
        <w:rPr>
          <w:rFonts w:ascii="Times New Roman" w:hAnsi="Times New Roman" w:hint="eastAsia"/>
          <w:szCs w:val="24"/>
        </w:rPr>
        <w:t>对</w:t>
      </w:r>
      <w:r>
        <w:rPr>
          <w:rFonts w:ascii="Times New Roman" w:hAnsi="Times New Roman"/>
          <w:szCs w:val="24"/>
        </w:rPr>
        <w:t>二叠系石千峰群、石盒子组砂岩层间裂隙承压水含水岩组（</w:t>
      </w:r>
      <w:r>
        <w:rPr>
          <w:rFonts w:ascii="Times New Roman" w:hAnsi="Times New Roman"/>
          <w:szCs w:val="24"/>
        </w:rPr>
        <w:t>IV</w:t>
      </w:r>
      <w:r>
        <w:rPr>
          <w:rFonts w:ascii="Times New Roman" w:hAnsi="Times New Roman"/>
          <w:szCs w:val="24"/>
        </w:rPr>
        <w:t>）影响</w:t>
      </w:r>
      <w:r>
        <w:rPr>
          <w:rFonts w:ascii="Times New Roman" w:hAnsi="Times New Roman" w:hint="eastAsia"/>
          <w:szCs w:val="24"/>
        </w:rPr>
        <w:t>较大</w:t>
      </w:r>
      <w:r>
        <w:rPr>
          <w:rFonts w:ascii="Times New Roman" w:hAnsi="Times New Roman"/>
          <w:szCs w:val="24"/>
        </w:rPr>
        <w:t>。</w:t>
      </w:r>
    </w:p>
    <w:p w14:paraId="01A0B806"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3</w:t>
      </w:r>
      <w:r>
        <w:rPr>
          <w:rFonts w:ascii="Times New Roman" w:hAnsi="Times New Roman"/>
          <w:szCs w:val="24"/>
        </w:rPr>
        <w:t>）</w:t>
      </w:r>
      <w:r>
        <w:rPr>
          <w:rFonts w:ascii="Times New Roman" w:hAnsi="Times New Roman"/>
          <w:szCs w:val="24"/>
        </w:rPr>
        <w:t xml:space="preserve"> </w:t>
      </w:r>
      <w:r>
        <w:rPr>
          <w:rFonts w:ascii="Times New Roman" w:hAnsi="Times New Roman"/>
          <w:szCs w:val="24"/>
        </w:rPr>
        <w:t>煤炭开采对煤系含水层影响</w:t>
      </w:r>
    </w:p>
    <w:p w14:paraId="0DC07B6D"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煤系含水层</w:t>
      </w:r>
      <w:r>
        <w:rPr>
          <w:rFonts w:ascii="Times New Roman" w:hAnsi="Times New Roman" w:hint="eastAsia"/>
          <w:szCs w:val="24"/>
        </w:rPr>
        <w:t>为</w:t>
      </w:r>
      <w:r>
        <w:rPr>
          <w:rFonts w:ascii="Times New Roman" w:hAnsi="Times New Roman"/>
          <w:szCs w:val="24"/>
        </w:rPr>
        <w:t>二叠系下统山西组砂岩裂隙孔隙含水层组（</w:t>
      </w:r>
      <w:r>
        <w:rPr>
          <w:rFonts w:ascii="Times New Roman" w:hAnsi="Times New Roman"/>
          <w:szCs w:val="24"/>
        </w:rPr>
        <w:t>V</w:t>
      </w:r>
      <w:r>
        <w:rPr>
          <w:rFonts w:ascii="Times New Roman" w:hAnsi="Times New Roman"/>
          <w:szCs w:val="24"/>
        </w:rPr>
        <w:t>）、石炭系上统</w:t>
      </w:r>
      <w:r>
        <w:rPr>
          <w:rFonts w:ascii="Times New Roman" w:hAnsi="Times New Roman"/>
          <w:szCs w:val="24"/>
        </w:rPr>
        <w:t>―</w:t>
      </w:r>
      <w:r>
        <w:rPr>
          <w:rFonts w:ascii="Times New Roman" w:hAnsi="Times New Roman"/>
          <w:szCs w:val="24"/>
        </w:rPr>
        <w:t>二叠系下统太原组砂岩裂隙孔隙含水层组（</w:t>
      </w:r>
      <w:r>
        <w:rPr>
          <w:rFonts w:ascii="Times New Roman" w:hAnsi="Times New Roman"/>
          <w:szCs w:val="24"/>
        </w:rPr>
        <w:t>VI</w:t>
      </w:r>
      <w:r>
        <w:rPr>
          <w:rFonts w:ascii="Times New Roman" w:hAnsi="Times New Roman"/>
          <w:szCs w:val="24"/>
        </w:rPr>
        <w:t>），是</w:t>
      </w:r>
      <w:r>
        <w:rPr>
          <w:rFonts w:ascii="Times New Roman" w:hAnsi="Times New Roman" w:hint="eastAsia"/>
          <w:szCs w:val="24"/>
        </w:rPr>
        <w:t>矿井</w:t>
      </w:r>
      <w:r>
        <w:rPr>
          <w:rFonts w:ascii="Times New Roman" w:hAnsi="Times New Roman"/>
          <w:szCs w:val="24"/>
        </w:rPr>
        <w:t>直接充水含水层。</w:t>
      </w:r>
    </w:p>
    <w:p w14:paraId="2C4BCED8" w14:textId="77777777" w:rsidR="009C353B" w:rsidRDefault="00000000">
      <w:pPr>
        <w:spacing w:line="440" w:lineRule="exact"/>
        <w:ind w:firstLineChars="200" w:firstLine="480"/>
        <w:rPr>
          <w:rFonts w:ascii="Times New Roman" w:hAnsi="Times New Roman"/>
          <w:bCs/>
          <w:szCs w:val="24"/>
        </w:rPr>
      </w:pPr>
      <w:r>
        <w:rPr>
          <w:rFonts w:ascii="Times New Roman" w:hAnsi="Times New Roman"/>
          <w:szCs w:val="24"/>
        </w:rPr>
        <w:t>二叠系下统山西组</w:t>
      </w:r>
      <w:r>
        <w:rPr>
          <w:rFonts w:ascii="Times New Roman" w:hAnsi="Times New Roman" w:hint="eastAsia"/>
          <w:szCs w:val="24"/>
        </w:rPr>
        <w:t>在矿区</w:t>
      </w:r>
      <w:r>
        <w:rPr>
          <w:rFonts w:ascii="Times New Roman" w:hAnsi="Times New Roman"/>
          <w:szCs w:val="24"/>
        </w:rPr>
        <w:t>厚度稳定（如红石湾平均约为</w:t>
      </w:r>
      <w:r>
        <w:rPr>
          <w:rFonts w:ascii="Times New Roman" w:hAnsi="Times New Roman"/>
          <w:szCs w:val="24"/>
        </w:rPr>
        <w:t>87m</w:t>
      </w:r>
      <w:r>
        <w:rPr>
          <w:rFonts w:ascii="Times New Roman" w:hAnsi="Times New Roman"/>
          <w:szCs w:val="24"/>
        </w:rPr>
        <w:t>、任家庄</w:t>
      </w:r>
      <w:r>
        <w:rPr>
          <w:rFonts w:ascii="Times New Roman" w:hAnsi="Times New Roman"/>
          <w:szCs w:val="24"/>
        </w:rPr>
        <w:t>70m</w:t>
      </w:r>
      <w:r>
        <w:rPr>
          <w:rFonts w:ascii="Times New Roman" w:hAnsi="Times New Roman"/>
          <w:szCs w:val="24"/>
        </w:rPr>
        <w:t>、丁家梁西部</w:t>
      </w:r>
      <w:r>
        <w:rPr>
          <w:rFonts w:ascii="Times New Roman" w:hAnsi="Times New Roman"/>
          <w:szCs w:val="24"/>
        </w:rPr>
        <w:t>88.77m</w:t>
      </w:r>
      <w:r>
        <w:rPr>
          <w:rFonts w:ascii="Times New Roman" w:hAnsi="Times New Roman" w:hint="eastAsia"/>
          <w:szCs w:val="24"/>
        </w:rPr>
        <w:t>、马莲台</w:t>
      </w:r>
      <w:r>
        <w:rPr>
          <w:rFonts w:ascii="Times New Roman" w:hAnsi="Times New Roman" w:hint="eastAsia"/>
          <w:szCs w:val="24"/>
        </w:rPr>
        <w:t>62.27m</w:t>
      </w:r>
      <w:r>
        <w:rPr>
          <w:rFonts w:ascii="Times New Roman" w:hAnsi="Times New Roman"/>
          <w:szCs w:val="24"/>
        </w:rPr>
        <w:t>），其含水层为裂隙较发育的砂岩，厚度平均为</w:t>
      </w:r>
      <w:r>
        <w:rPr>
          <w:rFonts w:ascii="Times New Roman" w:hAnsi="Times New Roman"/>
          <w:szCs w:val="24"/>
        </w:rPr>
        <w:t>24.14</w:t>
      </w:r>
      <w:r>
        <w:rPr>
          <w:rFonts w:ascii="Times New Roman" w:hAnsi="Times New Roman"/>
          <w:szCs w:val="24"/>
        </w:rPr>
        <w:t>～</w:t>
      </w:r>
      <w:r>
        <w:rPr>
          <w:rFonts w:ascii="Times New Roman" w:hAnsi="Times New Roman"/>
          <w:szCs w:val="24"/>
        </w:rPr>
        <w:t>29.29m</w:t>
      </w:r>
      <w:r>
        <w:rPr>
          <w:rFonts w:ascii="Times New Roman" w:hAnsi="Times New Roman"/>
          <w:szCs w:val="24"/>
        </w:rPr>
        <w:t>，矿区</w:t>
      </w:r>
      <w:r>
        <w:rPr>
          <w:rFonts w:ascii="Times New Roman" w:hAnsi="Times New Roman" w:hint="eastAsia"/>
          <w:szCs w:val="24"/>
        </w:rPr>
        <w:t>总体</w:t>
      </w:r>
      <w:r>
        <w:rPr>
          <w:rFonts w:ascii="Times New Roman" w:hAnsi="Times New Roman"/>
          <w:szCs w:val="24"/>
        </w:rPr>
        <w:t>含水层富水性弱。矿区</w:t>
      </w:r>
      <w:r>
        <w:rPr>
          <w:rFonts w:ascii="Times New Roman" w:hAnsi="Times New Roman" w:hint="eastAsia"/>
          <w:szCs w:val="24"/>
        </w:rPr>
        <w:t>太原组地层</w:t>
      </w:r>
      <w:r>
        <w:rPr>
          <w:rFonts w:ascii="Times New Roman" w:hAnsi="Times New Roman"/>
          <w:szCs w:val="24"/>
        </w:rPr>
        <w:t>厚度稳定（如红石湾平均约为</w:t>
      </w:r>
      <w:r>
        <w:rPr>
          <w:rFonts w:ascii="Times New Roman" w:hAnsi="Times New Roman"/>
          <w:szCs w:val="24"/>
        </w:rPr>
        <w:t>77m</w:t>
      </w:r>
      <w:r>
        <w:rPr>
          <w:rFonts w:ascii="Times New Roman" w:hAnsi="Times New Roman"/>
          <w:szCs w:val="24"/>
        </w:rPr>
        <w:t>、任家庄</w:t>
      </w:r>
      <w:r>
        <w:rPr>
          <w:rFonts w:ascii="Times New Roman" w:hAnsi="Times New Roman"/>
          <w:szCs w:val="24"/>
        </w:rPr>
        <w:t>78m</w:t>
      </w:r>
      <w:r>
        <w:rPr>
          <w:rFonts w:ascii="Times New Roman" w:hAnsi="Times New Roman"/>
          <w:szCs w:val="24"/>
        </w:rPr>
        <w:t>、丁家梁西部</w:t>
      </w:r>
      <w:r>
        <w:rPr>
          <w:rFonts w:ascii="Times New Roman" w:hAnsi="Times New Roman"/>
          <w:szCs w:val="24"/>
        </w:rPr>
        <w:t>86m</w:t>
      </w:r>
      <w:r>
        <w:rPr>
          <w:rFonts w:ascii="Times New Roman" w:hAnsi="Times New Roman" w:hint="eastAsia"/>
          <w:szCs w:val="24"/>
        </w:rPr>
        <w:t>、马莲台</w:t>
      </w:r>
      <w:r>
        <w:rPr>
          <w:rFonts w:ascii="Times New Roman" w:hAnsi="Times New Roman" w:hint="eastAsia"/>
          <w:szCs w:val="24"/>
        </w:rPr>
        <w:t>78.47m</w:t>
      </w:r>
      <w:r>
        <w:rPr>
          <w:rFonts w:ascii="Times New Roman" w:hAnsi="Times New Roman"/>
          <w:szCs w:val="24"/>
        </w:rPr>
        <w:t>），</w:t>
      </w:r>
      <w:r>
        <w:rPr>
          <w:rFonts w:ascii="Times New Roman" w:hAnsi="Times New Roman" w:hint="eastAsia"/>
          <w:szCs w:val="24"/>
        </w:rPr>
        <w:t>含水层为裂隙较发育的砂岩，</w:t>
      </w:r>
      <w:r>
        <w:rPr>
          <w:rFonts w:ascii="Times New Roman" w:hAnsi="Times New Roman"/>
          <w:szCs w:val="24"/>
        </w:rPr>
        <w:t>整体富水性弱。通过分析开采各煤层导水裂缝带发育结果可知，当开采一煤、三煤及五煤，将直接扰动两段含水层。随着煤矿开采，承压水将沿导水裂缝带进入井内，排泄方式将由原天然排泄方式变为以人工开采排泄为主，含水层内地下水基本被疏干。因此，评价认为煤矿开采会对</w:t>
      </w:r>
      <w:r>
        <w:rPr>
          <w:rFonts w:ascii="Times New Roman" w:hAnsi="Times New Roman"/>
          <w:bCs/>
          <w:szCs w:val="24"/>
        </w:rPr>
        <w:t>煤系含水层产生较大的影响。</w:t>
      </w:r>
    </w:p>
    <w:p w14:paraId="734B0AC4"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4</w:t>
      </w:r>
      <w:r>
        <w:rPr>
          <w:rFonts w:ascii="Times New Roman" w:hAnsi="Times New Roman"/>
          <w:szCs w:val="24"/>
        </w:rPr>
        <w:t>）对煤系下伏含水层的影响分析</w:t>
      </w:r>
    </w:p>
    <w:p w14:paraId="20E8EC81"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煤系下伏含水层有石炭系上统土坡组砂岩层间裂隙承压水（</w:t>
      </w:r>
      <w:r>
        <w:rPr>
          <w:rFonts w:ascii="Times New Roman" w:hAnsi="Times New Roman"/>
          <w:szCs w:val="24"/>
        </w:rPr>
        <w:t>Ⅶ</w:t>
      </w:r>
      <w:r>
        <w:rPr>
          <w:rFonts w:ascii="Times New Roman" w:hAnsi="Times New Roman"/>
          <w:szCs w:val="24"/>
        </w:rPr>
        <w:t>）、奥陶系下统马家沟组灰岩承压含水层（</w:t>
      </w:r>
      <w:r>
        <w:rPr>
          <w:rFonts w:ascii="Times New Roman" w:hAnsi="Times New Roman"/>
          <w:szCs w:val="24"/>
        </w:rPr>
        <w:t>Ⅷ</w:t>
      </w:r>
      <w:r>
        <w:rPr>
          <w:rFonts w:ascii="Times New Roman" w:hAnsi="Times New Roman"/>
          <w:szCs w:val="24"/>
        </w:rPr>
        <w:t>）。</w:t>
      </w:r>
    </w:p>
    <w:p w14:paraId="22C5C88A" w14:textId="77777777" w:rsidR="009C353B" w:rsidRDefault="00000000">
      <w:pPr>
        <w:spacing w:line="440" w:lineRule="exact"/>
        <w:ind w:firstLine="482"/>
        <w:rPr>
          <w:rFonts w:ascii="Times New Roman" w:hAnsi="Times New Roman"/>
          <w:szCs w:val="24"/>
        </w:rPr>
      </w:pPr>
      <w:r>
        <w:rPr>
          <w:rFonts w:ascii="Times New Roman" w:hAnsi="Times New Roman"/>
          <w:szCs w:val="24"/>
        </w:rPr>
        <w:t>根据以往钻探资料，揭穿土坡组地层厚度为</w:t>
      </w:r>
      <w:r>
        <w:rPr>
          <w:rFonts w:ascii="Times New Roman" w:hAnsi="Times New Roman"/>
          <w:szCs w:val="24"/>
        </w:rPr>
        <w:t>320m</w:t>
      </w:r>
      <w:r>
        <w:rPr>
          <w:rFonts w:ascii="Times New Roman" w:hAnsi="Times New Roman"/>
          <w:szCs w:val="24"/>
        </w:rPr>
        <w:t>，主要由厚层状灰黑色泥岩、泥灰岩、鲕状泥岩及粘土质泥岩组成，夹数层厚度不等的灰白色粗粒、中粒砂岩（砂岩单层最大厚度</w:t>
      </w:r>
      <w:r>
        <w:rPr>
          <w:rFonts w:ascii="Times New Roman" w:hAnsi="Times New Roman"/>
          <w:szCs w:val="24"/>
        </w:rPr>
        <w:t>25m</w:t>
      </w:r>
      <w:r>
        <w:rPr>
          <w:rFonts w:ascii="Times New Roman" w:hAnsi="Times New Roman"/>
          <w:szCs w:val="24"/>
        </w:rPr>
        <w:t>）。根据抽水试验数据，属弱富水岩层，该岩组地层主要以泥岩类地层为主，为巨厚的隔水岩层。奥陶系下统马家沟组仅出露于马鞍山北部东侧，面积不足</w:t>
      </w:r>
      <w:r>
        <w:rPr>
          <w:rFonts w:ascii="Times New Roman" w:hAnsi="Times New Roman"/>
          <w:szCs w:val="24"/>
        </w:rPr>
        <w:t>1km</w:t>
      </w:r>
      <w:r>
        <w:rPr>
          <w:rFonts w:ascii="Times New Roman" w:hAnsi="Times New Roman"/>
          <w:szCs w:val="24"/>
          <w:vertAlign w:val="superscript"/>
        </w:rPr>
        <w:t>2</w:t>
      </w:r>
      <w:r>
        <w:rPr>
          <w:rFonts w:ascii="Times New Roman" w:hAnsi="Times New Roman"/>
          <w:szCs w:val="24"/>
        </w:rPr>
        <w:t>，主要为灰褐色隐晶质灰岩、含白云质灰岩。结构致密、完整，岩溶不发育，裂隙较少，且多为方解石充填。含水层上段为以巨厚泥岩为主的石炭系上统土坡组隔水层。因此，评价认为煤炭开采对下伏含水层影响较小。</w:t>
      </w:r>
    </w:p>
    <w:p w14:paraId="18AB080A"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3</w:t>
      </w:r>
      <w:r>
        <w:rPr>
          <w:rFonts w:ascii="Times New Roman" w:hAnsi="Times New Roman"/>
          <w:szCs w:val="24"/>
        </w:rPr>
        <w:t>）</w:t>
      </w:r>
      <w:r>
        <w:rPr>
          <w:rFonts w:ascii="Times New Roman" w:hAnsi="Times New Roman"/>
          <w:szCs w:val="24"/>
        </w:rPr>
        <w:t xml:space="preserve"> </w:t>
      </w:r>
      <w:r>
        <w:rPr>
          <w:rFonts w:ascii="Times New Roman" w:hAnsi="Times New Roman"/>
          <w:szCs w:val="24"/>
        </w:rPr>
        <w:t>煤炭开采对地下水</w:t>
      </w:r>
      <w:r>
        <w:rPr>
          <w:rFonts w:ascii="Times New Roman" w:hAnsi="Times New Roman" w:hint="eastAsia"/>
          <w:szCs w:val="24"/>
        </w:rPr>
        <w:t>水位、地下水</w:t>
      </w:r>
      <w:r>
        <w:rPr>
          <w:rFonts w:ascii="Times New Roman" w:hAnsi="Times New Roman"/>
          <w:szCs w:val="24"/>
        </w:rPr>
        <w:t>流场的影响分析</w:t>
      </w:r>
    </w:p>
    <w:p w14:paraId="74601A0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1</w:t>
      </w:r>
      <w:r>
        <w:rPr>
          <w:rFonts w:ascii="Times New Roman" w:hAnsi="Times New Roman"/>
          <w:szCs w:val="24"/>
        </w:rPr>
        <w:t>）煤炭开采对第四系潜水含水层地下水</w:t>
      </w:r>
      <w:r>
        <w:rPr>
          <w:rFonts w:ascii="Times New Roman" w:hAnsi="Times New Roman" w:hint="eastAsia"/>
          <w:szCs w:val="24"/>
        </w:rPr>
        <w:t>水位、地下水</w:t>
      </w:r>
      <w:r>
        <w:rPr>
          <w:rFonts w:ascii="Times New Roman" w:hAnsi="Times New Roman"/>
          <w:szCs w:val="24"/>
        </w:rPr>
        <w:t>流场的影响分析</w:t>
      </w:r>
    </w:p>
    <w:p w14:paraId="25D494A8"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由矿区煤炭开采对地下含水层影响分析可知，矿区煤炭开采所成的导水裂缝带不会直接导通第四系含水层。</w:t>
      </w:r>
      <w:r>
        <w:rPr>
          <w:rFonts w:ascii="Times New Roman" w:hAnsi="Times New Roman" w:hint="eastAsia"/>
          <w:szCs w:val="24"/>
        </w:rPr>
        <w:t>第四系潜水含水层与基岩裂隙孔隙含水层之间存在稳定且隔水性能良好的厚层古近系清水营组粘土隔水层，该隔水层主要为厚层亚粘土，结构致密，具有可塑性（丁家梁井田厚度一般在</w:t>
      </w:r>
      <w:r>
        <w:rPr>
          <w:rFonts w:ascii="Times New Roman" w:hAnsi="Times New Roman"/>
          <w:szCs w:val="24"/>
        </w:rPr>
        <w:t>80</w:t>
      </w:r>
      <w:r>
        <w:rPr>
          <w:rFonts w:ascii="Times New Roman" w:hAnsi="Times New Roman"/>
          <w:szCs w:val="24"/>
        </w:rPr>
        <w:t>～</w:t>
      </w:r>
      <w:r>
        <w:rPr>
          <w:rFonts w:ascii="Times New Roman" w:hAnsi="Times New Roman"/>
          <w:szCs w:val="24"/>
        </w:rPr>
        <w:t>130m</w:t>
      </w:r>
      <w:r>
        <w:rPr>
          <w:rFonts w:ascii="Times New Roman" w:hAnsi="Times New Roman"/>
          <w:szCs w:val="24"/>
        </w:rPr>
        <w:t>，马莲台煤矿厚度</w:t>
      </w:r>
      <w:r>
        <w:rPr>
          <w:rFonts w:ascii="Times New Roman" w:hAnsi="Times New Roman"/>
          <w:szCs w:val="24"/>
        </w:rPr>
        <w:t>92.78</w:t>
      </w:r>
      <w:r>
        <w:rPr>
          <w:rFonts w:ascii="Times New Roman" w:hAnsi="Times New Roman"/>
          <w:szCs w:val="24"/>
        </w:rPr>
        <w:t>～</w:t>
      </w:r>
      <w:r>
        <w:rPr>
          <w:rFonts w:ascii="Times New Roman" w:hAnsi="Times New Roman"/>
          <w:szCs w:val="24"/>
        </w:rPr>
        <w:t>242.45m</w:t>
      </w:r>
      <w:r>
        <w:rPr>
          <w:rFonts w:ascii="Times New Roman" w:hAnsi="Times New Roman"/>
          <w:szCs w:val="24"/>
        </w:rPr>
        <w:t>，平均</w:t>
      </w:r>
      <w:r>
        <w:rPr>
          <w:rFonts w:ascii="Times New Roman" w:hAnsi="Times New Roman"/>
          <w:szCs w:val="24"/>
        </w:rPr>
        <w:t>175m</w:t>
      </w:r>
      <w:r>
        <w:rPr>
          <w:rFonts w:ascii="Times New Roman" w:hAnsi="Times New Roman"/>
          <w:szCs w:val="24"/>
        </w:rPr>
        <w:t>，红石湾煤矿平均厚</w:t>
      </w:r>
      <w:r>
        <w:rPr>
          <w:rFonts w:ascii="Times New Roman" w:hAnsi="Times New Roman"/>
          <w:szCs w:val="24"/>
        </w:rPr>
        <w:t>160m</w:t>
      </w:r>
      <w:r>
        <w:rPr>
          <w:rFonts w:ascii="Times New Roman" w:hAnsi="Times New Roman"/>
          <w:szCs w:val="24"/>
        </w:rPr>
        <w:t>左右，任家庄平均厚</w:t>
      </w:r>
      <w:r>
        <w:rPr>
          <w:rFonts w:ascii="Times New Roman" w:hAnsi="Times New Roman"/>
          <w:szCs w:val="24"/>
        </w:rPr>
        <w:t>90m</w:t>
      </w:r>
      <w:r>
        <w:rPr>
          <w:rFonts w:ascii="Times New Roman" w:hAnsi="Times New Roman" w:hint="eastAsia"/>
          <w:szCs w:val="24"/>
        </w:rPr>
        <w:t>），阻断了第四系与下部含水层水力联系。同时考虑到矿区内第四系多数为透水不含水层，含水区域主要在沟谷中分布。</w:t>
      </w:r>
      <w:r>
        <w:rPr>
          <w:rFonts w:ascii="Times New Roman" w:hAnsi="Times New Roman"/>
          <w:szCs w:val="24"/>
        </w:rPr>
        <w:t>因此，煤炭开采范围内</w:t>
      </w:r>
      <w:r>
        <w:rPr>
          <w:rFonts w:ascii="Times New Roman" w:hAnsi="Times New Roman" w:hint="eastAsia"/>
          <w:szCs w:val="24"/>
        </w:rPr>
        <w:t>对</w:t>
      </w:r>
      <w:r>
        <w:rPr>
          <w:rFonts w:ascii="Times New Roman" w:hAnsi="Times New Roman"/>
          <w:szCs w:val="24"/>
        </w:rPr>
        <w:t>第四系含水层</w:t>
      </w:r>
      <w:r>
        <w:rPr>
          <w:rFonts w:ascii="Times New Roman" w:hAnsi="Times New Roman" w:hint="eastAsia"/>
          <w:szCs w:val="24"/>
        </w:rPr>
        <w:t>水位、</w:t>
      </w:r>
      <w:r>
        <w:rPr>
          <w:rFonts w:ascii="Times New Roman" w:hAnsi="Times New Roman"/>
          <w:szCs w:val="24"/>
        </w:rPr>
        <w:t>地下水</w:t>
      </w:r>
      <w:r>
        <w:rPr>
          <w:rFonts w:ascii="Times New Roman" w:hAnsi="Times New Roman" w:hint="eastAsia"/>
          <w:szCs w:val="24"/>
        </w:rPr>
        <w:t>流场影响较小</w:t>
      </w:r>
      <w:r>
        <w:rPr>
          <w:rFonts w:ascii="Times New Roman" w:hAnsi="Times New Roman"/>
          <w:szCs w:val="24"/>
        </w:rPr>
        <w:t>。</w:t>
      </w:r>
    </w:p>
    <w:p w14:paraId="6757B763"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2</w:t>
      </w:r>
      <w:r>
        <w:rPr>
          <w:rFonts w:ascii="Times New Roman" w:hAnsi="Times New Roman"/>
          <w:szCs w:val="24"/>
        </w:rPr>
        <w:t>）煤炭开采对</w:t>
      </w:r>
      <w:bookmarkStart w:id="258" w:name="_Hlk60231238"/>
      <w:r>
        <w:rPr>
          <w:rFonts w:ascii="Times New Roman" w:hAnsi="Times New Roman"/>
          <w:szCs w:val="24"/>
        </w:rPr>
        <w:t>古近系清水营组孔隙裂隙承压水含水层</w:t>
      </w:r>
      <w:bookmarkEnd w:id="258"/>
      <w:r>
        <w:rPr>
          <w:rFonts w:ascii="Times New Roman" w:hAnsi="Times New Roman"/>
          <w:szCs w:val="24"/>
        </w:rPr>
        <w:t>地下水</w:t>
      </w:r>
      <w:r>
        <w:rPr>
          <w:rFonts w:ascii="Times New Roman" w:hAnsi="Times New Roman" w:hint="eastAsia"/>
          <w:szCs w:val="24"/>
        </w:rPr>
        <w:t>水位、地下水</w:t>
      </w:r>
      <w:r>
        <w:rPr>
          <w:rFonts w:ascii="Times New Roman" w:hAnsi="Times New Roman"/>
          <w:szCs w:val="24"/>
        </w:rPr>
        <w:t>流场影响分析</w:t>
      </w:r>
    </w:p>
    <w:p w14:paraId="2B23404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由前面矿区煤炭开采对含水层影响分析可知，煤层开采形成的导水裂缝带发育最大高度仅进入二叠系石盒子组，不会导入到古近系清水营组孔隙裂隙承压水含水层。</w:t>
      </w:r>
      <w:r>
        <w:rPr>
          <w:rFonts w:ascii="Times New Roman" w:hAnsi="Times New Roman" w:hint="eastAsia"/>
          <w:szCs w:val="24"/>
        </w:rPr>
        <w:t>但古近系清水营组孔隙裂隙承压水含水层与下伏含水层存在一定水力联系，与下部岩组存在一定的的弱渗透补给。但由于矿区基岩含水层总体富水性弱，渗透能力差，故当导裂带对</w:t>
      </w:r>
      <w:r>
        <w:rPr>
          <w:rFonts w:ascii="Times New Roman" w:hAnsi="Times New Roman"/>
          <w:szCs w:val="24"/>
        </w:rPr>
        <w:t>二叠系及石炭系裂隙</w:t>
      </w:r>
      <w:r>
        <w:rPr>
          <w:rFonts w:ascii="Times New Roman" w:hAnsi="Times New Roman"/>
          <w:szCs w:val="24"/>
        </w:rPr>
        <w:t>-</w:t>
      </w:r>
      <w:r>
        <w:rPr>
          <w:rFonts w:ascii="Times New Roman" w:hAnsi="Times New Roman"/>
          <w:szCs w:val="24"/>
        </w:rPr>
        <w:t>孔隙承压含水层地下水</w:t>
      </w:r>
      <w:r>
        <w:rPr>
          <w:rFonts w:ascii="Times New Roman" w:hAnsi="Times New Roman" w:hint="eastAsia"/>
          <w:szCs w:val="24"/>
        </w:rPr>
        <w:t>水位、地下水</w:t>
      </w:r>
      <w:r>
        <w:rPr>
          <w:rFonts w:ascii="Times New Roman" w:hAnsi="Times New Roman"/>
          <w:szCs w:val="24"/>
        </w:rPr>
        <w:t>流场</w:t>
      </w:r>
      <w:r>
        <w:rPr>
          <w:rFonts w:ascii="Times New Roman" w:hAnsi="Times New Roman" w:hint="eastAsia"/>
          <w:szCs w:val="24"/>
        </w:rPr>
        <w:t>产生影响时，会对该组含水层水位、流场产生一定影响，但总体影响较小。</w:t>
      </w:r>
    </w:p>
    <w:p w14:paraId="0266ED65"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3</w:t>
      </w:r>
      <w:r>
        <w:rPr>
          <w:rFonts w:ascii="Times New Roman" w:hAnsi="Times New Roman"/>
          <w:szCs w:val="24"/>
        </w:rPr>
        <w:t>）煤炭开采对二叠系及石炭系裂隙</w:t>
      </w:r>
      <w:r>
        <w:rPr>
          <w:rFonts w:ascii="Times New Roman" w:hAnsi="Times New Roman"/>
          <w:szCs w:val="24"/>
        </w:rPr>
        <w:t>-</w:t>
      </w:r>
      <w:r>
        <w:rPr>
          <w:rFonts w:ascii="Times New Roman" w:hAnsi="Times New Roman"/>
          <w:szCs w:val="24"/>
        </w:rPr>
        <w:t>孔隙承压含水层地下水</w:t>
      </w:r>
      <w:r>
        <w:rPr>
          <w:rFonts w:ascii="Times New Roman" w:hAnsi="Times New Roman" w:hint="eastAsia"/>
          <w:szCs w:val="24"/>
        </w:rPr>
        <w:t>水位、地下水</w:t>
      </w:r>
      <w:r>
        <w:rPr>
          <w:rFonts w:ascii="Times New Roman" w:hAnsi="Times New Roman"/>
          <w:szCs w:val="24"/>
        </w:rPr>
        <w:t>流场影响分析</w:t>
      </w:r>
    </w:p>
    <w:p w14:paraId="41ADF53D"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由前面矿区煤炭开采对含水层影响分析可知，煤炭开采将</w:t>
      </w:r>
      <w:r>
        <w:rPr>
          <w:rFonts w:ascii="Times New Roman" w:hAnsi="Times New Roman" w:hint="eastAsia"/>
          <w:szCs w:val="24"/>
        </w:rPr>
        <w:t>直接</w:t>
      </w:r>
      <w:r>
        <w:rPr>
          <w:rFonts w:ascii="Times New Roman" w:hAnsi="Times New Roman"/>
          <w:szCs w:val="24"/>
        </w:rPr>
        <w:t>影响煤系上覆二叠系石盒子组含水层、二叠系山西组</w:t>
      </w:r>
      <w:r>
        <w:rPr>
          <w:rFonts w:ascii="Times New Roman" w:hAnsi="Times New Roman" w:hint="eastAsia"/>
          <w:szCs w:val="24"/>
        </w:rPr>
        <w:t>~</w:t>
      </w:r>
      <w:r>
        <w:rPr>
          <w:rFonts w:ascii="Times New Roman" w:hAnsi="Times New Roman"/>
          <w:szCs w:val="24"/>
        </w:rPr>
        <w:t>石炭系太原组煤系含水层</w:t>
      </w:r>
      <w:r>
        <w:rPr>
          <w:rFonts w:ascii="Times New Roman" w:hAnsi="Times New Roman" w:hint="eastAsia"/>
          <w:szCs w:val="24"/>
        </w:rPr>
        <w:t>。煤炭开采对含水层的影响主要集中在开采区中心，开采时间越长，形成的不规则水位降落漏斗的深度和面积越大。</w:t>
      </w:r>
      <w:r>
        <w:rPr>
          <w:rFonts w:ascii="Times New Roman" w:hAnsi="Times New Roman"/>
          <w:szCs w:val="24"/>
        </w:rPr>
        <w:t>含水层地下水流场</w:t>
      </w:r>
      <w:r>
        <w:rPr>
          <w:rFonts w:ascii="Times New Roman" w:hAnsi="Times New Roman" w:hint="eastAsia"/>
          <w:szCs w:val="24"/>
        </w:rPr>
        <w:t>由</w:t>
      </w:r>
      <w:r>
        <w:rPr>
          <w:rFonts w:ascii="Times New Roman" w:hAnsi="Times New Roman"/>
          <w:szCs w:val="24"/>
        </w:rPr>
        <w:t>原先自然流场状态，在矿区煤矿开采区内转为向煤矿井下排泄</w:t>
      </w:r>
      <w:r>
        <w:rPr>
          <w:rFonts w:ascii="Times New Roman" w:hAnsi="Times New Roman" w:hint="eastAsia"/>
          <w:szCs w:val="24"/>
        </w:rPr>
        <w:t>，漏斗中心</w:t>
      </w:r>
      <w:r>
        <w:rPr>
          <w:rFonts w:ascii="Times New Roman" w:hAnsi="Times New Roman"/>
          <w:szCs w:val="24"/>
        </w:rPr>
        <w:t>含水层地下水将随着煤炭的开采而以矿井水的形式排出地表</w:t>
      </w:r>
      <w:r>
        <w:rPr>
          <w:rFonts w:ascii="Times New Roman" w:hAnsi="Times New Roman" w:hint="eastAsia"/>
          <w:szCs w:val="24"/>
        </w:rPr>
        <w:t>，随着排水量的加大，深层地下水位也会逐年下降，所形成的地下水降落漏斗的范围及深度也会越来越大。各矿煤炭开采对二叠系石盒子组含水层、二叠系山西组</w:t>
      </w:r>
      <w:r>
        <w:rPr>
          <w:rFonts w:ascii="Times New Roman" w:hAnsi="Times New Roman" w:hint="eastAsia"/>
          <w:szCs w:val="24"/>
        </w:rPr>
        <w:t>~</w:t>
      </w:r>
      <w:r>
        <w:rPr>
          <w:rFonts w:ascii="Times New Roman" w:hAnsi="Times New Roman" w:hint="eastAsia"/>
          <w:szCs w:val="24"/>
        </w:rPr>
        <w:t>太原组煤系含水层地下水疏干影响半径见表</w:t>
      </w:r>
      <w:r>
        <w:rPr>
          <w:rFonts w:ascii="Times New Roman" w:hAnsi="Times New Roman" w:hint="eastAsia"/>
          <w:szCs w:val="24"/>
        </w:rPr>
        <w:t>6.3-5</w:t>
      </w:r>
      <w:r>
        <w:rPr>
          <w:rFonts w:ascii="Times New Roman" w:hAnsi="Times New Roman" w:hint="eastAsia"/>
          <w:szCs w:val="24"/>
        </w:rPr>
        <w:t>。</w:t>
      </w:r>
    </w:p>
    <w:p w14:paraId="49A5EBD2"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评价认为煤炭开采对</w:t>
      </w:r>
      <w:r>
        <w:rPr>
          <w:rFonts w:ascii="Times New Roman" w:hAnsi="Times New Roman"/>
          <w:szCs w:val="24"/>
        </w:rPr>
        <w:t>二叠系及石炭系裂隙</w:t>
      </w:r>
      <w:r>
        <w:rPr>
          <w:rFonts w:ascii="Times New Roman" w:hAnsi="Times New Roman"/>
          <w:szCs w:val="24"/>
        </w:rPr>
        <w:t>-</w:t>
      </w:r>
      <w:r>
        <w:rPr>
          <w:rFonts w:ascii="Times New Roman" w:hAnsi="Times New Roman"/>
          <w:szCs w:val="24"/>
        </w:rPr>
        <w:t>孔隙承压含水层地下水</w:t>
      </w:r>
      <w:r>
        <w:rPr>
          <w:rFonts w:ascii="Times New Roman" w:hAnsi="Times New Roman" w:hint="eastAsia"/>
          <w:szCs w:val="24"/>
        </w:rPr>
        <w:t>水位、地下水</w:t>
      </w:r>
      <w:r>
        <w:rPr>
          <w:rFonts w:ascii="Times New Roman" w:hAnsi="Times New Roman"/>
          <w:szCs w:val="24"/>
        </w:rPr>
        <w:t>流场影响</w:t>
      </w:r>
      <w:r>
        <w:rPr>
          <w:rFonts w:ascii="Times New Roman" w:hAnsi="Times New Roman" w:hint="eastAsia"/>
          <w:szCs w:val="24"/>
        </w:rPr>
        <w:t>较大。</w:t>
      </w:r>
    </w:p>
    <w:p w14:paraId="7D54ACC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4</w:t>
      </w:r>
      <w:r>
        <w:rPr>
          <w:rFonts w:ascii="Times New Roman" w:hAnsi="Times New Roman"/>
          <w:szCs w:val="24"/>
        </w:rPr>
        <w:t>）</w:t>
      </w:r>
      <w:r>
        <w:rPr>
          <w:rFonts w:ascii="Times New Roman" w:hAnsi="Times New Roman"/>
          <w:szCs w:val="24"/>
        </w:rPr>
        <w:t xml:space="preserve"> </w:t>
      </w:r>
      <w:r>
        <w:rPr>
          <w:rFonts w:ascii="Times New Roman" w:hAnsi="Times New Roman" w:hint="eastAsia"/>
          <w:szCs w:val="24"/>
        </w:rPr>
        <w:t>疏干影响半径计算</w:t>
      </w:r>
    </w:p>
    <w:p w14:paraId="34755829"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根据上面导水裂缝带发育高度分析结果，导裂带主要影响煤层上覆含水层（二叠系石盒子组砂岩层间裂隙承压水含水岩组）及煤系含水层（山西组</w:t>
      </w:r>
      <w:r>
        <w:rPr>
          <w:rFonts w:ascii="Times New Roman" w:hAnsi="Times New Roman" w:hint="eastAsia"/>
          <w:szCs w:val="24"/>
        </w:rPr>
        <w:t>~</w:t>
      </w:r>
      <w:r>
        <w:rPr>
          <w:rFonts w:ascii="Times New Roman" w:hAnsi="Times New Roman" w:hint="eastAsia"/>
          <w:szCs w:val="24"/>
        </w:rPr>
        <w:t>太原组裂隙承压水含水层组），根据各矿抽水试验数据，对煤系上覆含水层、煤系含水层疏干影响半径进行计算，结果见下表：</w:t>
      </w:r>
    </w:p>
    <w:p w14:paraId="14C3FF21" w14:textId="77777777" w:rsidR="009C353B" w:rsidRDefault="00000000">
      <w:pPr>
        <w:spacing w:line="440" w:lineRule="exact"/>
        <w:ind w:firstLineChars="200" w:firstLine="480"/>
        <w:jc w:val="center"/>
        <w:rPr>
          <w:rFonts w:ascii="Times New Roman" w:hAnsi="Times New Roman"/>
          <w:szCs w:val="24"/>
        </w:rPr>
      </w:pPr>
      <w:r>
        <w:rPr>
          <w:rFonts w:ascii="Times New Roman" w:hAnsi="Times New Roman" w:hint="eastAsia"/>
          <w:szCs w:val="24"/>
        </w:rPr>
        <w:t>各矿地下水疏干影响半径</w:t>
      </w:r>
    </w:p>
    <w:p w14:paraId="3E1F4D7C" w14:textId="77777777" w:rsidR="009C353B" w:rsidRDefault="00000000">
      <w:pPr>
        <w:adjustRightInd w:val="0"/>
        <w:snapToGrid w:val="0"/>
        <w:spacing w:line="440" w:lineRule="exact"/>
        <w:outlineLvl w:val="4"/>
        <w:rPr>
          <w:rFonts w:ascii="Times New Roman" w:hAnsi="Times New Roman"/>
          <w:bCs/>
          <w:szCs w:val="24"/>
        </w:rPr>
      </w:pPr>
      <w:r>
        <w:rPr>
          <w:rFonts w:ascii="Times New Roman" w:hAnsi="Times New Roman"/>
          <w:bCs/>
          <w:szCs w:val="24"/>
        </w:rPr>
        <w:t>表</w:t>
      </w:r>
      <w:r>
        <w:rPr>
          <w:rFonts w:ascii="Times New Roman" w:hAnsi="Times New Roman" w:hint="eastAsia"/>
          <w:bCs/>
          <w:szCs w:val="24"/>
        </w:rPr>
        <w:t>6.3-5</w:t>
      </w:r>
    </w:p>
    <w:tbl>
      <w:tblPr>
        <w:tblStyle w:val="afffb"/>
        <w:tblW w:w="5000" w:type="pct"/>
        <w:jc w:val="center"/>
        <w:tblLook w:val="04A0" w:firstRow="1" w:lastRow="0" w:firstColumn="1" w:lastColumn="0" w:noHBand="0" w:noVBand="1"/>
      </w:tblPr>
      <w:tblGrid>
        <w:gridCol w:w="935"/>
        <w:gridCol w:w="2106"/>
        <w:gridCol w:w="1599"/>
        <w:gridCol w:w="1599"/>
        <w:gridCol w:w="1633"/>
        <w:gridCol w:w="1415"/>
      </w:tblGrid>
      <w:tr w:rsidR="009C353B" w14:paraId="0CC46A39" w14:textId="77777777">
        <w:trPr>
          <w:trHeight w:val="340"/>
          <w:jc w:val="center"/>
        </w:trPr>
        <w:tc>
          <w:tcPr>
            <w:tcW w:w="503" w:type="pct"/>
            <w:vAlign w:val="center"/>
          </w:tcPr>
          <w:p w14:paraId="51EC663D" w14:textId="77777777" w:rsidR="009C353B" w:rsidRDefault="00000000">
            <w:pPr>
              <w:jc w:val="center"/>
              <w:rPr>
                <w:rFonts w:ascii="Times New Roman" w:hAnsi="Times New Roman"/>
                <w:sz w:val="21"/>
                <w:szCs w:val="21"/>
              </w:rPr>
            </w:pPr>
            <w:r>
              <w:rPr>
                <w:rFonts w:ascii="Times New Roman" w:hAnsi="Times New Roman"/>
                <w:sz w:val="21"/>
                <w:szCs w:val="21"/>
              </w:rPr>
              <w:t>煤矿</w:t>
            </w:r>
          </w:p>
        </w:tc>
        <w:tc>
          <w:tcPr>
            <w:tcW w:w="1134" w:type="pct"/>
            <w:vAlign w:val="center"/>
          </w:tcPr>
          <w:p w14:paraId="751B03FB" w14:textId="77777777" w:rsidR="009C353B" w:rsidRDefault="00000000">
            <w:pPr>
              <w:jc w:val="center"/>
              <w:rPr>
                <w:rFonts w:ascii="Times New Roman" w:hAnsi="Times New Roman"/>
                <w:sz w:val="21"/>
                <w:szCs w:val="21"/>
              </w:rPr>
            </w:pPr>
            <w:r>
              <w:rPr>
                <w:rFonts w:ascii="Times New Roman" w:hAnsi="Times New Roman"/>
                <w:sz w:val="21"/>
                <w:szCs w:val="21"/>
              </w:rPr>
              <w:t>含水层</w:t>
            </w:r>
          </w:p>
        </w:tc>
        <w:tc>
          <w:tcPr>
            <w:tcW w:w="861" w:type="pct"/>
            <w:vAlign w:val="center"/>
          </w:tcPr>
          <w:p w14:paraId="28749B83" w14:textId="77777777" w:rsidR="009C353B" w:rsidRDefault="00000000">
            <w:pPr>
              <w:jc w:val="center"/>
              <w:rPr>
                <w:rFonts w:ascii="Times New Roman" w:hAnsi="Times New Roman"/>
                <w:sz w:val="21"/>
                <w:szCs w:val="21"/>
              </w:rPr>
            </w:pPr>
            <w:r>
              <w:rPr>
                <w:rFonts w:ascii="Times New Roman" w:hAnsi="Times New Roman"/>
                <w:sz w:val="21"/>
                <w:szCs w:val="21"/>
              </w:rPr>
              <w:t>渗透系数（</w:t>
            </w:r>
            <w:r>
              <w:rPr>
                <w:rFonts w:ascii="Times New Roman" w:hAnsi="Times New Roman"/>
                <w:sz w:val="21"/>
                <w:szCs w:val="21"/>
              </w:rPr>
              <w:t>m/d</w:t>
            </w:r>
            <w:r>
              <w:rPr>
                <w:rFonts w:ascii="Times New Roman" w:hAnsi="Times New Roman"/>
                <w:sz w:val="21"/>
                <w:szCs w:val="21"/>
              </w:rPr>
              <w:t>）</w:t>
            </w:r>
          </w:p>
        </w:tc>
        <w:tc>
          <w:tcPr>
            <w:tcW w:w="861" w:type="pct"/>
            <w:vAlign w:val="center"/>
          </w:tcPr>
          <w:p w14:paraId="1C7EB6A6" w14:textId="77777777" w:rsidR="009C353B" w:rsidRDefault="00000000">
            <w:pPr>
              <w:jc w:val="center"/>
              <w:rPr>
                <w:rFonts w:ascii="Times New Roman" w:hAnsi="Times New Roman"/>
                <w:sz w:val="21"/>
                <w:szCs w:val="21"/>
              </w:rPr>
            </w:pPr>
            <w:r>
              <w:rPr>
                <w:rFonts w:ascii="Times New Roman" w:hAnsi="Times New Roman"/>
                <w:sz w:val="21"/>
                <w:szCs w:val="21"/>
              </w:rPr>
              <w:t>水柱高度</w:t>
            </w:r>
            <w:r>
              <w:rPr>
                <w:rFonts w:ascii="Times New Roman" w:hAnsi="Times New Roman"/>
                <w:sz w:val="21"/>
                <w:szCs w:val="21"/>
              </w:rPr>
              <w:t>(m)</w:t>
            </w:r>
          </w:p>
        </w:tc>
        <w:tc>
          <w:tcPr>
            <w:tcW w:w="879" w:type="pct"/>
            <w:vAlign w:val="center"/>
          </w:tcPr>
          <w:p w14:paraId="4431D1C6" w14:textId="77777777" w:rsidR="009C353B" w:rsidRDefault="00000000">
            <w:pPr>
              <w:jc w:val="center"/>
              <w:rPr>
                <w:rFonts w:ascii="Times New Roman" w:hAnsi="Times New Roman"/>
                <w:sz w:val="21"/>
                <w:szCs w:val="21"/>
              </w:rPr>
            </w:pPr>
            <w:r>
              <w:rPr>
                <w:rFonts w:ascii="Times New Roman" w:hAnsi="Times New Roman"/>
                <w:sz w:val="21"/>
                <w:szCs w:val="21"/>
              </w:rPr>
              <w:t>影响半径</w:t>
            </w:r>
            <w:r>
              <w:rPr>
                <w:rFonts w:ascii="Times New Roman" w:hAnsi="Times New Roman"/>
                <w:sz w:val="21"/>
                <w:szCs w:val="21"/>
              </w:rPr>
              <w:t>(m)</w:t>
            </w:r>
          </w:p>
        </w:tc>
        <w:tc>
          <w:tcPr>
            <w:tcW w:w="762" w:type="pct"/>
            <w:vAlign w:val="center"/>
          </w:tcPr>
          <w:p w14:paraId="4649801B" w14:textId="77777777" w:rsidR="009C353B" w:rsidRDefault="00000000">
            <w:pPr>
              <w:jc w:val="center"/>
              <w:rPr>
                <w:rFonts w:ascii="Times New Roman" w:hAnsi="Times New Roman"/>
                <w:sz w:val="21"/>
                <w:szCs w:val="21"/>
              </w:rPr>
            </w:pPr>
            <w:r>
              <w:rPr>
                <w:rFonts w:ascii="Times New Roman" w:hAnsi="Times New Roman"/>
                <w:sz w:val="21"/>
                <w:szCs w:val="21"/>
              </w:rPr>
              <w:t>钻孔</w:t>
            </w:r>
          </w:p>
        </w:tc>
      </w:tr>
      <w:tr w:rsidR="009C353B" w14:paraId="6A2B837D" w14:textId="77777777">
        <w:trPr>
          <w:trHeight w:val="340"/>
          <w:jc w:val="center"/>
        </w:trPr>
        <w:tc>
          <w:tcPr>
            <w:tcW w:w="503" w:type="pct"/>
            <w:vMerge w:val="restart"/>
            <w:vAlign w:val="center"/>
          </w:tcPr>
          <w:p w14:paraId="662BBB16" w14:textId="77777777" w:rsidR="009C353B" w:rsidRDefault="00000000">
            <w:pPr>
              <w:jc w:val="center"/>
              <w:rPr>
                <w:rFonts w:ascii="Times New Roman" w:hAnsi="Times New Roman"/>
                <w:sz w:val="21"/>
                <w:szCs w:val="21"/>
              </w:rPr>
            </w:pPr>
            <w:r>
              <w:rPr>
                <w:rFonts w:ascii="Times New Roman" w:hAnsi="Times New Roman"/>
                <w:sz w:val="21"/>
                <w:szCs w:val="21"/>
              </w:rPr>
              <w:t>红石湾</w:t>
            </w:r>
          </w:p>
        </w:tc>
        <w:tc>
          <w:tcPr>
            <w:tcW w:w="1134" w:type="pct"/>
            <w:vAlign w:val="center"/>
          </w:tcPr>
          <w:p w14:paraId="36B5258B" w14:textId="77777777" w:rsidR="009C353B" w:rsidRDefault="00000000">
            <w:pPr>
              <w:jc w:val="center"/>
              <w:rPr>
                <w:rStyle w:val="fontstyle01"/>
                <w:rFonts w:ascii="Times New Roman" w:eastAsia="宋体" w:hAnsi="Times New Roman" w:hint="default"/>
                <w:color w:val="auto"/>
                <w:sz w:val="21"/>
                <w:szCs w:val="21"/>
              </w:rPr>
            </w:pPr>
            <w:r>
              <w:rPr>
                <w:rFonts w:ascii="Times New Roman" w:hAnsi="Times New Roman" w:hint="eastAsia"/>
                <w:sz w:val="21"/>
                <w:szCs w:val="21"/>
              </w:rPr>
              <w:t>二叠系石盒子组砂岩层间裂隙承压水含水岩组</w:t>
            </w:r>
          </w:p>
        </w:tc>
        <w:tc>
          <w:tcPr>
            <w:tcW w:w="861" w:type="pct"/>
            <w:vAlign w:val="center"/>
          </w:tcPr>
          <w:p w14:paraId="5E6E0436" w14:textId="77777777" w:rsidR="009C353B" w:rsidRDefault="00000000">
            <w:pPr>
              <w:jc w:val="center"/>
              <w:rPr>
                <w:rFonts w:ascii="Times New Roman" w:hAnsi="Times New Roman"/>
                <w:sz w:val="21"/>
                <w:szCs w:val="21"/>
              </w:rPr>
            </w:pPr>
            <w:r>
              <w:rPr>
                <w:rFonts w:ascii="Times New Roman" w:hAnsi="Times New Roman"/>
                <w:sz w:val="21"/>
                <w:szCs w:val="21"/>
              </w:rPr>
              <w:t>0.1</w:t>
            </w:r>
            <w:r>
              <w:rPr>
                <w:rFonts w:ascii="Times New Roman" w:hAnsi="Times New Roman" w:hint="eastAsia"/>
                <w:sz w:val="21"/>
                <w:szCs w:val="21"/>
              </w:rPr>
              <w:t>33</w:t>
            </w:r>
          </w:p>
        </w:tc>
        <w:tc>
          <w:tcPr>
            <w:tcW w:w="861" w:type="pct"/>
            <w:vAlign w:val="center"/>
          </w:tcPr>
          <w:p w14:paraId="3DA466BB" w14:textId="77777777" w:rsidR="009C353B" w:rsidRDefault="00000000">
            <w:pPr>
              <w:jc w:val="center"/>
              <w:rPr>
                <w:rFonts w:ascii="Times New Roman" w:hAnsi="Times New Roman"/>
                <w:sz w:val="21"/>
                <w:szCs w:val="21"/>
              </w:rPr>
            </w:pPr>
            <w:r>
              <w:rPr>
                <w:rFonts w:ascii="Times New Roman" w:hAnsi="Times New Roman" w:hint="eastAsia"/>
                <w:sz w:val="21"/>
                <w:szCs w:val="21"/>
              </w:rPr>
              <w:t>393.65</w:t>
            </w:r>
          </w:p>
        </w:tc>
        <w:tc>
          <w:tcPr>
            <w:tcW w:w="879" w:type="pct"/>
            <w:vAlign w:val="center"/>
          </w:tcPr>
          <w:p w14:paraId="6705E8FA" w14:textId="77777777" w:rsidR="009C353B" w:rsidRDefault="00000000">
            <w:pPr>
              <w:jc w:val="center"/>
              <w:rPr>
                <w:rFonts w:ascii="Times New Roman" w:hAnsi="Times New Roman"/>
                <w:sz w:val="21"/>
                <w:szCs w:val="21"/>
              </w:rPr>
            </w:pPr>
            <w:r>
              <w:rPr>
                <w:rFonts w:ascii="Times New Roman" w:hAnsi="Times New Roman" w:hint="eastAsia"/>
                <w:sz w:val="21"/>
                <w:szCs w:val="21"/>
              </w:rPr>
              <w:t>1435.61</w:t>
            </w:r>
          </w:p>
        </w:tc>
        <w:tc>
          <w:tcPr>
            <w:tcW w:w="762" w:type="pct"/>
            <w:vAlign w:val="center"/>
          </w:tcPr>
          <w:p w14:paraId="68C79EE0" w14:textId="77777777" w:rsidR="009C353B" w:rsidRDefault="00000000">
            <w:pPr>
              <w:jc w:val="center"/>
              <w:rPr>
                <w:rFonts w:ascii="Times New Roman" w:hAnsi="Times New Roman"/>
                <w:sz w:val="21"/>
                <w:szCs w:val="21"/>
              </w:rPr>
            </w:pPr>
            <w:r>
              <w:rPr>
                <w:rFonts w:ascii="Times New Roman" w:hAnsi="Times New Roman"/>
                <w:sz w:val="21"/>
                <w:szCs w:val="21"/>
              </w:rPr>
              <w:t>检</w:t>
            </w:r>
            <w:r>
              <w:rPr>
                <w:rFonts w:ascii="Times New Roman" w:hAnsi="Times New Roman"/>
                <w:sz w:val="21"/>
                <w:szCs w:val="21"/>
              </w:rPr>
              <w:t>2</w:t>
            </w:r>
            <w:r>
              <w:rPr>
                <w:rFonts w:ascii="Times New Roman" w:hAnsi="Times New Roman"/>
                <w:sz w:val="21"/>
                <w:szCs w:val="21"/>
              </w:rPr>
              <w:t>孔、</w:t>
            </w:r>
          </w:p>
          <w:p w14:paraId="4D26F255" w14:textId="77777777" w:rsidR="009C353B" w:rsidRDefault="00000000">
            <w:pPr>
              <w:jc w:val="center"/>
              <w:rPr>
                <w:rFonts w:ascii="Times New Roman" w:hAnsi="Times New Roman"/>
                <w:sz w:val="21"/>
                <w:szCs w:val="21"/>
              </w:rPr>
            </w:pPr>
            <w:r>
              <w:rPr>
                <w:rFonts w:ascii="Times New Roman" w:hAnsi="Times New Roman"/>
                <w:sz w:val="21"/>
                <w:szCs w:val="21"/>
              </w:rPr>
              <w:t>406</w:t>
            </w:r>
            <w:r>
              <w:rPr>
                <w:rFonts w:ascii="Times New Roman" w:hAnsi="Times New Roman"/>
                <w:sz w:val="21"/>
                <w:szCs w:val="21"/>
              </w:rPr>
              <w:t>孔</w:t>
            </w:r>
          </w:p>
        </w:tc>
      </w:tr>
      <w:tr w:rsidR="009C353B" w14:paraId="29816287" w14:textId="77777777">
        <w:trPr>
          <w:trHeight w:val="340"/>
          <w:jc w:val="center"/>
        </w:trPr>
        <w:tc>
          <w:tcPr>
            <w:tcW w:w="503" w:type="pct"/>
            <w:vMerge/>
            <w:vAlign w:val="center"/>
          </w:tcPr>
          <w:p w14:paraId="22603FBC" w14:textId="77777777" w:rsidR="009C353B" w:rsidRDefault="009C353B">
            <w:pPr>
              <w:jc w:val="center"/>
              <w:rPr>
                <w:rFonts w:ascii="Times New Roman" w:hAnsi="Times New Roman"/>
                <w:sz w:val="21"/>
                <w:szCs w:val="21"/>
              </w:rPr>
            </w:pPr>
          </w:p>
        </w:tc>
        <w:tc>
          <w:tcPr>
            <w:tcW w:w="1134" w:type="pct"/>
            <w:vAlign w:val="center"/>
          </w:tcPr>
          <w:p w14:paraId="6179C34C" w14:textId="77777777" w:rsidR="009C353B" w:rsidRDefault="00000000">
            <w:pPr>
              <w:jc w:val="center"/>
              <w:rPr>
                <w:rStyle w:val="fontstyle01"/>
                <w:rFonts w:ascii="Times New Roman" w:eastAsia="宋体" w:hAnsi="Times New Roman" w:hint="default"/>
                <w:color w:val="auto"/>
                <w:sz w:val="21"/>
                <w:szCs w:val="21"/>
              </w:rPr>
            </w:pPr>
            <w:r>
              <w:rPr>
                <w:rStyle w:val="fontstyle01"/>
                <w:rFonts w:ascii="Times New Roman" w:eastAsia="宋体" w:hAnsi="Times New Roman" w:hint="default"/>
                <w:color w:val="auto"/>
                <w:sz w:val="21"/>
                <w:szCs w:val="21"/>
              </w:rPr>
              <w:t>山西组</w:t>
            </w:r>
            <w:r>
              <w:rPr>
                <w:rStyle w:val="fontstyle01"/>
                <w:rFonts w:ascii="Times New Roman" w:eastAsia="宋体" w:hAnsi="Times New Roman" w:hint="default"/>
                <w:color w:val="auto"/>
                <w:sz w:val="21"/>
                <w:szCs w:val="21"/>
              </w:rPr>
              <w:t>~</w:t>
            </w:r>
            <w:r>
              <w:rPr>
                <w:rStyle w:val="fontstyle01"/>
                <w:rFonts w:ascii="Times New Roman" w:eastAsia="宋体" w:hAnsi="Times New Roman" w:hint="default"/>
                <w:color w:val="auto"/>
                <w:sz w:val="21"/>
                <w:szCs w:val="21"/>
              </w:rPr>
              <w:t>太原组裂隙承压水含水层组</w:t>
            </w:r>
          </w:p>
        </w:tc>
        <w:tc>
          <w:tcPr>
            <w:tcW w:w="861" w:type="pct"/>
            <w:vAlign w:val="center"/>
          </w:tcPr>
          <w:p w14:paraId="174616B3" w14:textId="77777777" w:rsidR="009C353B" w:rsidRDefault="00000000">
            <w:pPr>
              <w:jc w:val="center"/>
              <w:rPr>
                <w:rFonts w:ascii="Times New Roman" w:hAnsi="Times New Roman"/>
                <w:sz w:val="21"/>
                <w:szCs w:val="21"/>
              </w:rPr>
            </w:pPr>
            <w:r>
              <w:rPr>
                <w:rFonts w:ascii="Times New Roman" w:hAnsi="Times New Roman"/>
                <w:sz w:val="21"/>
                <w:szCs w:val="21"/>
              </w:rPr>
              <w:t>0.</w:t>
            </w:r>
            <w:r>
              <w:rPr>
                <w:rFonts w:ascii="Times New Roman" w:hAnsi="Times New Roman" w:hint="eastAsia"/>
                <w:sz w:val="21"/>
                <w:szCs w:val="21"/>
              </w:rPr>
              <w:t>0161</w:t>
            </w:r>
          </w:p>
        </w:tc>
        <w:tc>
          <w:tcPr>
            <w:tcW w:w="861" w:type="pct"/>
            <w:vAlign w:val="center"/>
          </w:tcPr>
          <w:p w14:paraId="76E18D91" w14:textId="77777777" w:rsidR="009C353B" w:rsidRDefault="00000000">
            <w:pPr>
              <w:jc w:val="center"/>
              <w:rPr>
                <w:rFonts w:ascii="Times New Roman" w:hAnsi="Times New Roman"/>
                <w:sz w:val="21"/>
                <w:szCs w:val="21"/>
              </w:rPr>
            </w:pPr>
            <w:r>
              <w:rPr>
                <w:rFonts w:ascii="Times New Roman" w:hAnsi="Times New Roman" w:hint="eastAsia"/>
                <w:sz w:val="21"/>
                <w:szCs w:val="21"/>
              </w:rPr>
              <w:t>412.18</w:t>
            </w:r>
          </w:p>
        </w:tc>
        <w:tc>
          <w:tcPr>
            <w:tcW w:w="879" w:type="pct"/>
            <w:vAlign w:val="center"/>
          </w:tcPr>
          <w:p w14:paraId="4600EAE3" w14:textId="77777777" w:rsidR="009C353B" w:rsidRDefault="00000000">
            <w:pPr>
              <w:jc w:val="center"/>
              <w:rPr>
                <w:rFonts w:ascii="Times New Roman" w:hAnsi="Times New Roman"/>
                <w:sz w:val="21"/>
                <w:szCs w:val="21"/>
              </w:rPr>
            </w:pPr>
            <w:r>
              <w:rPr>
                <w:rFonts w:ascii="Times New Roman" w:hAnsi="Times New Roman" w:hint="eastAsia"/>
                <w:sz w:val="21"/>
                <w:szCs w:val="21"/>
              </w:rPr>
              <w:t>523</w:t>
            </w:r>
          </w:p>
        </w:tc>
        <w:tc>
          <w:tcPr>
            <w:tcW w:w="762" w:type="pct"/>
            <w:vAlign w:val="center"/>
          </w:tcPr>
          <w:p w14:paraId="2C3FE001" w14:textId="77777777" w:rsidR="009C353B" w:rsidRDefault="00000000">
            <w:pPr>
              <w:rPr>
                <w:rFonts w:ascii="Times New Roman" w:hAnsi="Times New Roman"/>
                <w:sz w:val="21"/>
                <w:szCs w:val="21"/>
              </w:rPr>
            </w:pPr>
            <w:r>
              <w:rPr>
                <w:rFonts w:ascii="Times New Roman" w:hAnsi="Times New Roman"/>
                <w:sz w:val="21"/>
                <w:szCs w:val="21"/>
              </w:rPr>
              <w:t>214</w:t>
            </w:r>
            <w:r>
              <w:rPr>
                <w:rFonts w:ascii="Times New Roman" w:hAnsi="Times New Roman" w:hint="eastAsia"/>
                <w:sz w:val="21"/>
                <w:szCs w:val="21"/>
              </w:rPr>
              <w:t>、</w:t>
            </w:r>
            <w:r>
              <w:rPr>
                <w:rFonts w:ascii="Times New Roman" w:hAnsi="Times New Roman"/>
                <w:sz w:val="21"/>
                <w:szCs w:val="21"/>
              </w:rPr>
              <w:t>310</w:t>
            </w:r>
            <w:r>
              <w:rPr>
                <w:rFonts w:ascii="Times New Roman" w:hAnsi="Times New Roman" w:hint="eastAsia"/>
                <w:sz w:val="21"/>
                <w:szCs w:val="21"/>
              </w:rPr>
              <w:t>、</w:t>
            </w:r>
            <w:r>
              <w:rPr>
                <w:rFonts w:ascii="Times New Roman" w:hAnsi="Times New Roman"/>
                <w:sz w:val="21"/>
                <w:szCs w:val="21"/>
              </w:rPr>
              <w:t>416</w:t>
            </w:r>
            <w:r>
              <w:rPr>
                <w:rFonts w:ascii="Times New Roman" w:hAnsi="Times New Roman" w:hint="eastAsia"/>
                <w:sz w:val="21"/>
                <w:szCs w:val="21"/>
              </w:rPr>
              <w:t>、检</w:t>
            </w:r>
            <w:r>
              <w:rPr>
                <w:rFonts w:ascii="Times New Roman" w:hAnsi="Times New Roman"/>
                <w:sz w:val="21"/>
                <w:szCs w:val="21"/>
              </w:rPr>
              <w:t>2</w:t>
            </w:r>
          </w:p>
        </w:tc>
      </w:tr>
      <w:tr w:rsidR="009C353B" w14:paraId="33230E4A" w14:textId="77777777">
        <w:trPr>
          <w:trHeight w:val="340"/>
          <w:jc w:val="center"/>
        </w:trPr>
        <w:tc>
          <w:tcPr>
            <w:tcW w:w="503" w:type="pct"/>
            <w:vMerge w:val="restart"/>
            <w:vAlign w:val="center"/>
          </w:tcPr>
          <w:p w14:paraId="63AD988D" w14:textId="77777777" w:rsidR="009C353B" w:rsidRDefault="00000000">
            <w:pPr>
              <w:jc w:val="center"/>
              <w:rPr>
                <w:rFonts w:ascii="Times New Roman" w:hAnsi="Times New Roman"/>
                <w:sz w:val="21"/>
                <w:szCs w:val="21"/>
              </w:rPr>
            </w:pPr>
            <w:r>
              <w:rPr>
                <w:rFonts w:ascii="Times New Roman" w:hAnsi="Times New Roman"/>
                <w:sz w:val="21"/>
                <w:szCs w:val="21"/>
              </w:rPr>
              <w:t>任家庄</w:t>
            </w:r>
          </w:p>
        </w:tc>
        <w:tc>
          <w:tcPr>
            <w:tcW w:w="1134" w:type="pct"/>
            <w:vAlign w:val="center"/>
          </w:tcPr>
          <w:p w14:paraId="15C24C51" w14:textId="77777777" w:rsidR="009C353B" w:rsidRDefault="00000000">
            <w:pPr>
              <w:jc w:val="center"/>
              <w:rPr>
                <w:rStyle w:val="fontstyle01"/>
                <w:rFonts w:ascii="Times New Roman" w:eastAsia="宋体" w:hAnsi="Times New Roman" w:hint="default"/>
                <w:color w:val="auto"/>
                <w:sz w:val="21"/>
                <w:szCs w:val="21"/>
              </w:rPr>
            </w:pPr>
            <w:r>
              <w:rPr>
                <w:rFonts w:ascii="Times New Roman" w:hAnsi="Times New Roman" w:hint="eastAsia"/>
                <w:sz w:val="21"/>
                <w:szCs w:val="21"/>
              </w:rPr>
              <w:t>二叠系石盒子组砂岩层间裂隙承压水含水岩组</w:t>
            </w:r>
          </w:p>
        </w:tc>
        <w:tc>
          <w:tcPr>
            <w:tcW w:w="861" w:type="pct"/>
            <w:vAlign w:val="center"/>
          </w:tcPr>
          <w:p w14:paraId="59F672E6" w14:textId="77777777" w:rsidR="009C353B" w:rsidRDefault="00000000">
            <w:pPr>
              <w:jc w:val="center"/>
              <w:rPr>
                <w:rFonts w:ascii="Times New Roman" w:hAnsi="Times New Roman"/>
                <w:sz w:val="21"/>
                <w:szCs w:val="21"/>
              </w:rPr>
            </w:pPr>
            <w:r>
              <w:rPr>
                <w:rFonts w:ascii="Times New Roman" w:hAnsi="Times New Roman"/>
                <w:sz w:val="21"/>
                <w:szCs w:val="21"/>
              </w:rPr>
              <w:t>0.0</w:t>
            </w:r>
            <w:r>
              <w:rPr>
                <w:rFonts w:ascii="Times New Roman" w:hAnsi="Times New Roman" w:hint="eastAsia"/>
                <w:sz w:val="21"/>
                <w:szCs w:val="21"/>
              </w:rPr>
              <w:t>869</w:t>
            </w:r>
          </w:p>
        </w:tc>
        <w:tc>
          <w:tcPr>
            <w:tcW w:w="861" w:type="pct"/>
            <w:vAlign w:val="center"/>
          </w:tcPr>
          <w:p w14:paraId="5EA2D997" w14:textId="77777777" w:rsidR="009C353B" w:rsidRDefault="00000000">
            <w:pPr>
              <w:jc w:val="center"/>
              <w:rPr>
                <w:rFonts w:ascii="Times New Roman" w:hAnsi="Times New Roman"/>
                <w:sz w:val="21"/>
                <w:szCs w:val="21"/>
              </w:rPr>
            </w:pPr>
            <w:r>
              <w:rPr>
                <w:rFonts w:ascii="Times New Roman" w:hAnsi="Times New Roman" w:hint="eastAsia"/>
                <w:sz w:val="21"/>
                <w:szCs w:val="21"/>
              </w:rPr>
              <w:t>约</w:t>
            </w:r>
            <w:r>
              <w:rPr>
                <w:rFonts w:ascii="Times New Roman" w:hAnsi="Times New Roman"/>
                <w:sz w:val="21"/>
                <w:szCs w:val="21"/>
              </w:rPr>
              <w:t>400</w:t>
            </w:r>
          </w:p>
        </w:tc>
        <w:tc>
          <w:tcPr>
            <w:tcW w:w="879" w:type="pct"/>
            <w:vAlign w:val="center"/>
          </w:tcPr>
          <w:p w14:paraId="28824F3F" w14:textId="77777777" w:rsidR="009C353B" w:rsidRDefault="00000000">
            <w:pPr>
              <w:jc w:val="center"/>
              <w:rPr>
                <w:rFonts w:ascii="Times New Roman" w:hAnsi="Times New Roman"/>
                <w:sz w:val="21"/>
                <w:szCs w:val="21"/>
              </w:rPr>
            </w:pPr>
            <w:r>
              <w:rPr>
                <w:rFonts w:ascii="Times New Roman" w:hAnsi="Times New Roman"/>
                <w:sz w:val="21"/>
                <w:szCs w:val="21"/>
              </w:rPr>
              <w:t>1179.15</w:t>
            </w:r>
          </w:p>
        </w:tc>
        <w:tc>
          <w:tcPr>
            <w:tcW w:w="762" w:type="pct"/>
            <w:vAlign w:val="center"/>
          </w:tcPr>
          <w:p w14:paraId="2A26F21D" w14:textId="77777777" w:rsidR="009C353B" w:rsidRDefault="00000000">
            <w:pPr>
              <w:jc w:val="center"/>
              <w:rPr>
                <w:rFonts w:ascii="Times New Roman" w:hAnsi="Times New Roman"/>
                <w:sz w:val="21"/>
                <w:szCs w:val="21"/>
              </w:rPr>
            </w:pPr>
            <w:r>
              <w:rPr>
                <w:rFonts w:ascii="Times New Roman" w:hAnsi="Times New Roman" w:hint="eastAsia"/>
                <w:sz w:val="21"/>
                <w:szCs w:val="21"/>
              </w:rPr>
              <w:t>406</w:t>
            </w:r>
            <w:r>
              <w:rPr>
                <w:rFonts w:ascii="Times New Roman" w:hAnsi="Times New Roman" w:hint="eastAsia"/>
                <w:sz w:val="21"/>
                <w:szCs w:val="21"/>
              </w:rPr>
              <w:t>、</w:t>
            </w:r>
            <w:r>
              <w:rPr>
                <w:rFonts w:ascii="Times New Roman" w:hAnsi="Times New Roman"/>
                <w:sz w:val="21"/>
                <w:szCs w:val="21"/>
              </w:rPr>
              <w:t>ZK02</w:t>
            </w:r>
            <w:r>
              <w:rPr>
                <w:rFonts w:ascii="Times New Roman" w:hAnsi="Times New Roman"/>
                <w:sz w:val="21"/>
                <w:szCs w:val="21"/>
              </w:rPr>
              <w:t>、</w:t>
            </w:r>
            <w:r>
              <w:rPr>
                <w:rFonts w:ascii="Times New Roman" w:hAnsi="Times New Roman"/>
                <w:sz w:val="21"/>
                <w:szCs w:val="21"/>
              </w:rPr>
              <w:t>ZK03</w:t>
            </w:r>
          </w:p>
        </w:tc>
      </w:tr>
      <w:tr w:rsidR="009C353B" w14:paraId="521023D0" w14:textId="77777777">
        <w:trPr>
          <w:trHeight w:val="340"/>
          <w:jc w:val="center"/>
        </w:trPr>
        <w:tc>
          <w:tcPr>
            <w:tcW w:w="503" w:type="pct"/>
            <w:vMerge/>
            <w:vAlign w:val="center"/>
          </w:tcPr>
          <w:p w14:paraId="62E7F8DC" w14:textId="77777777" w:rsidR="009C353B" w:rsidRDefault="009C353B">
            <w:pPr>
              <w:jc w:val="center"/>
              <w:rPr>
                <w:rFonts w:ascii="Times New Roman" w:hAnsi="Times New Roman"/>
                <w:sz w:val="21"/>
                <w:szCs w:val="21"/>
              </w:rPr>
            </w:pPr>
          </w:p>
        </w:tc>
        <w:tc>
          <w:tcPr>
            <w:tcW w:w="1134" w:type="pct"/>
            <w:vAlign w:val="center"/>
          </w:tcPr>
          <w:p w14:paraId="7842F0CD" w14:textId="77777777" w:rsidR="009C353B" w:rsidRDefault="00000000">
            <w:pPr>
              <w:jc w:val="center"/>
              <w:rPr>
                <w:rStyle w:val="fontstyle01"/>
                <w:rFonts w:ascii="Times New Roman" w:eastAsia="宋体" w:hAnsi="Times New Roman" w:hint="default"/>
                <w:color w:val="auto"/>
                <w:sz w:val="21"/>
                <w:szCs w:val="21"/>
              </w:rPr>
            </w:pPr>
            <w:r>
              <w:rPr>
                <w:rStyle w:val="fontstyle01"/>
                <w:rFonts w:ascii="Times New Roman" w:eastAsia="宋体" w:hAnsi="Times New Roman" w:hint="default"/>
                <w:color w:val="auto"/>
                <w:sz w:val="21"/>
                <w:szCs w:val="21"/>
              </w:rPr>
              <w:t>山西组、太原组裂隙承压水含水层组</w:t>
            </w:r>
          </w:p>
        </w:tc>
        <w:tc>
          <w:tcPr>
            <w:tcW w:w="861" w:type="pct"/>
            <w:vAlign w:val="center"/>
          </w:tcPr>
          <w:p w14:paraId="3B1CE35B" w14:textId="77777777" w:rsidR="009C353B" w:rsidRDefault="00000000">
            <w:pPr>
              <w:jc w:val="center"/>
              <w:rPr>
                <w:rFonts w:ascii="Times New Roman" w:hAnsi="Times New Roman"/>
                <w:sz w:val="21"/>
                <w:szCs w:val="21"/>
              </w:rPr>
            </w:pPr>
            <w:r>
              <w:rPr>
                <w:rFonts w:ascii="Times New Roman" w:hAnsi="Times New Roman"/>
                <w:sz w:val="21"/>
                <w:szCs w:val="21"/>
              </w:rPr>
              <w:t>0.0096</w:t>
            </w:r>
          </w:p>
        </w:tc>
        <w:tc>
          <w:tcPr>
            <w:tcW w:w="861" w:type="pct"/>
            <w:vAlign w:val="center"/>
          </w:tcPr>
          <w:p w14:paraId="5E4AEFB3" w14:textId="77777777" w:rsidR="009C353B" w:rsidRDefault="00000000">
            <w:pPr>
              <w:jc w:val="center"/>
              <w:rPr>
                <w:rFonts w:ascii="Times New Roman" w:hAnsi="Times New Roman"/>
                <w:sz w:val="21"/>
                <w:szCs w:val="21"/>
              </w:rPr>
            </w:pPr>
            <w:r>
              <w:rPr>
                <w:rFonts w:ascii="Times New Roman" w:hAnsi="Times New Roman" w:hint="eastAsia"/>
                <w:sz w:val="21"/>
                <w:szCs w:val="21"/>
              </w:rPr>
              <w:t>约</w:t>
            </w:r>
            <w:r>
              <w:rPr>
                <w:rFonts w:ascii="Times New Roman" w:hAnsi="Times New Roman" w:hint="eastAsia"/>
                <w:sz w:val="21"/>
                <w:szCs w:val="21"/>
              </w:rPr>
              <w:t>400</w:t>
            </w:r>
          </w:p>
        </w:tc>
        <w:tc>
          <w:tcPr>
            <w:tcW w:w="879" w:type="pct"/>
            <w:vAlign w:val="center"/>
          </w:tcPr>
          <w:p w14:paraId="7BDA9777" w14:textId="77777777" w:rsidR="009C353B" w:rsidRDefault="00000000">
            <w:pPr>
              <w:jc w:val="center"/>
              <w:rPr>
                <w:rFonts w:ascii="Times New Roman" w:hAnsi="Times New Roman"/>
                <w:sz w:val="21"/>
                <w:szCs w:val="21"/>
              </w:rPr>
            </w:pPr>
            <w:r>
              <w:rPr>
                <w:rFonts w:ascii="Times New Roman" w:hAnsi="Times New Roman"/>
                <w:sz w:val="21"/>
                <w:szCs w:val="21"/>
              </w:rPr>
              <w:t>391.92</w:t>
            </w:r>
          </w:p>
        </w:tc>
        <w:tc>
          <w:tcPr>
            <w:tcW w:w="762" w:type="pct"/>
            <w:vAlign w:val="center"/>
          </w:tcPr>
          <w:p w14:paraId="0BF1B096" w14:textId="77777777" w:rsidR="009C353B" w:rsidRDefault="00000000">
            <w:pPr>
              <w:jc w:val="center"/>
              <w:rPr>
                <w:rFonts w:ascii="Times New Roman" w:hAnsi="Times New Roman"/>
                <w:sz w:val="21"/>
                <w:szCs w:val="21"/>
              </w:rPr>
            </w:pPr>
            <w:r>
              <w:rPr>
                <w:rFonts w:ascii="Times New Roman" w:hAnsi="Times New Roman" w:hint="eastAsia"/>
                <w:sz w:val="21"/>
                <w:szCs w:val="21"/>
              </w:rPr>
              <w:t>检</w:t>
            </w:r>
            <w:r>
              <w:rPr>
                <w:rFonts w:ascii="Times New Roman" w:hAnsi="Times New Roman" w:hint="eastAsia"/>
                <w:sz w:val="21"/>
                <w:szCs w:val="21"/>
              </w:rPr>
              <w:t>2</w:t>
            </w:r>
            <w:r>
              <w:rPr>
                <w:rFonts w:ascii="Times New Roman" w:hAnsi="Times New Roman" w:hint="eastAsia"/>
                <w:sz w:val="21"/>
                <w:szCs w:val="21"/>
              </w:rPr>
              <w:t>孔、检</w:t>
            </w:r>
            <w:r>
              <w:rPr>
                <w:rFonts w:ascii="Times New Roman" w:hAnsi="Times New Roman" w:hint="eastAsia"/>
                <w:sz w:val="21"/>
                <w:szCs w:val="21"/>
              </w:rPr>
              <w:t>3</w:t>
            </w:r>
            <w:r>
              <w:rPr>
                <w:rFonts w:ascii="Times New Roman" w:hAnsi="Times New Roman" w:hint="eastAsia"/>
                <w:sz w:val="21"/>
                <w:szCs w:val="21"/>
              </w:rPr>
              <w:t>孔、</w:t>
            </w:r>
            <w:r>
              <w:rPr>
                <w:rFonts w:ascii="Times New Roman" w:hAnsi="Times New Roman" w:hint="eastAsia"/>
                <w:sz w:val="21"/>
                <w:szCs w:val="21"/>
              </w:rPr>
              <w:t>Z</w:t>
            </w:r>
            <w:r>
              <w:rPr>
                <w:rFonts w:ascii="Times New Roman" w:hAnsi="Times New Roman"/>
                <w:sz w:val="21"/>
                <w:szCs w:val="21"/>
              </w:rPr>
              <w:t>K03</w:t>
            </w:r>
          </w:p>
        </w:tc>
      </w:tr>
      <w:tr w:rsidR="009C353B" w14:paraId="27E17B29" w14:textId="77777777">
        <w:trPr>
          <w:trHeight w:val="340"/>
          <w:jc w:val="center"/>
        </w:trPr>
        <w:tc>
          <w:tcPr>
            <w:tcW w:w="503" w:type="pct"/>
            <w:vMerge w:val="restart"/>
            <w:vAlign w:val="center"/>
          </w:tcPr>
          <w:p w14:paraId="503ABAAD" w14:textId="77777777" w:rsidR="009C353B" w:rsidRDefault="00000000">
            <w:pPr>
              <w:jc w:val="center"/>
              <w:rPr>
                <w:rFonts w:ascii="Times New Roman" w:hAnsi="Times New Roman"/>
                <w:sz w:val="21"/>
                <w:szCs w:val="21"/>
              </w:rPr>
            </w:pPr>
            <w:r>
              <w:rPr>
                <w:rFonts w:ascii="Times New Roman" w:hAnsi="Times New Roman"/>
                <w:sz w:val="21"/>
                <w:szCs w:val="21"/>
              </w:rPr>
              <w:t>马莲台</w:t>
            </w:r>
          </w:p>
        </w:tc>
        <w:tc>
          <w:tcPr>
            <w:tcW w:w="1134" w:type="pct"/>
            <w:vAlign w:val="center"/>
          </w:tcPr>
          <w:p w14:paraId="78187010" w14:textId="77777777" w:rsidR="009C353B" w:rsidRDefault="00000000">
            <w:pPr>
              <w:jc w:val="center"/>
              <w:rPr>
                <w:rFonts w:ascii="Times New Roman" w:hAnsi="Times New Roman"/>
                <w:sz w:val="21"/>
                <w:szCs w:val="21"/>
              </w:rPr>
            </w:pPr>
            <w:r>
              <w:rPr>
                <w:rFonts w:ascii="Times New Roman" w:hAnsi="Times New Roman" w:hint="eastAsia"/>
                <w:sz w:val="21"/>
                <w:szCs w:val="21"/>
              </w:rPr>
              <w:t>二叠系石盒子组砂岩层间裂隙承压水含水岩组</w:t>
            </w:r>
          </w:p>
        </w:tc>
        <w:tc>
          <w:tcPr>
            <w:tcW w:w="861" w:type="pct"/>
            <w:vAlign w:val="center"/>
          </w:tcPr>
          <w:p w14:paraId="5C900142" w14:textId="77777777" w:rsidR="009C353B" w:rsidRDefault="00000000">
            <w:pPr>
              <w:jc w:val="center"/>
              <w:rPr>
                <w:rFonts w:ascii="Times New Roman" w:hAnsi="Times New Roman"/>
                <w:sz w:val="21"/>
                <w:szCs w:val="21"/>
              </w:rPr>
            </w:pPr>
            <w:r>
              <w:rPr>
                <w:rFonts w:ascii="Times New Roman" w:hAnsi="Times New Roman" w:hint="eastAsia"/>
                <w:sz w:val="21"/>
                <w:szCs w:val="21"/>
              </w:rPr>
              <w:t>0.0247</w:t>
            </w:r>
          </w:p>
        </w:tc>
        <w:tc>
          <w:tcPr>
            <w:tcW w:w="861" w:type="pct"/>
            <w:vAlign w:val="center"/>
          </w:tcPr>
          <w:p w14:paraId="1B8D2D1A" w14:textId="77777777" w:rsidR="009C353B" w:rsidRDefault="00000000">
            <w:pPr>
              <w:jc w:val="center"/>
              <w:rPr>
                <w:rFonts w:ascii="Times New Roman" w:hAnsi="Times New Roman"/>
                <w:sz w:val="21"/>
                <w:szCs w:val="21"/>
              </w:rPr>
            </w:pPr>
            <w:r>
              <w:rPr>
                <w:rFonts w:ascii="Times New Roman" w:hAnsi="Times New Roman" w:hint="eastAsia"/>
                <w:sz w:val="21"/>
                <w:szCs w:val="21"/>
              </w:rPr>
              <w:t>513.3</w:t>
            </w:r>
          </w:p>
        </w:tc>
        <w:tc>
          <w:tcPr>
            <w:tcW w:w="879" w:type="pct"/>
            <w:vAlign w:val="center"/>
          </w:tcPr>
          <w:p w14:paraId="1207F60C" w14:textId="77777777" w:rsidR="009C353B" w:rsidRDefault="00000000">
            <w:pPr>
              <w:jc w:val="center"/>
              <w:rPr>
                <w:rFonts w:ascii="Times New Roman" w:hAnsi="Times New Roman"/>
                <w:sz w:val="21"/>
                <w:szCs w:val="21"/>
              </w:rPr>
            </w:pPr>
            <w:r>
              <w:rPr>
                <w:rFonts w:ascii="Times New Roman" w:hAnsi="Times New Roman" w:hint="eastAsia"/>
                <w:sz w:val="21"/>
                <w:szCs w:val="21"/>
              </w:rPr>
              <w:t>806.71</w:t>
            </w:r>
          </w:p>
        </w:tc>
        <w:tc>
          <w:tcPr>
            <w:tcW w:w="762" w:type="pct"/>
            <w:vAlign w:val="center"/>
          </w:tcPr>
          <w:p w14:paraId="5676D54B" w14:textId="77777777" w:rsidR="009C353B" w:rsidRDefault="00000000">
            <w:pPr>
              <w:jc w:val="center"/>
              <w:rPr>
                <w:rFonts w:ascii="Times New Roman" w:hAnsi="Times New Roman"/>
                <w:sz w:val="21"/>
                <w:szCs w:val="21"/>
              </w:rPr>
            </w:pPr>
            <w:r>
              <w:rPr>
                <w:rFonts w:ascii="Times New Roman" w:hAnsi="Times New Roman"/>
                <w:sz w:val="21"/>
                <w:szCs w:val="21"/>
              </w:rPr>
              <w:t>B5-1</w:t>
            </w:r>
            <w:r>
              <w:rPr>
                <w:rFonts w:ascii="Times New Roman" w:hAnsi="Times New Roman" w:hint="eastAsia"/>
                <w:sz w:val="21"/>
                <w:szCs w:val="21"/>
              </w:rPr>
              <w:t>、</w:t>
            </w:r>
            <w:r>
              <w:rPr>
                <w:rFonts w:ascii="Times New Roman" w:hAnsi="Times New Roman" w:hint="eastAsia"/>
                <w:sz w:val="21"/>
                <w:szCs w:val="21"/>
              </w:rPr>
              <w:t>2502</w:t>
            </w:r>
            <w:r>
              <w:rPr>
                <w:rFonts w:ascii="Times New Roman" w:hAnsi="Times New Roman" w:hint="eastAsia"/>
                <w:sz w:val="21"/>
                <w:szCs w:val="21"/>
              </w:rPr>
              <w:t>、</w:t>
            </w:r>
            <w:r>
              <w:rPr>
                <w:rFonts w:ascii="Times New Roman" w:hAnsi="Times New Roman"/>
                <w:sz w:val="21"/>
                <w:szCs w:val="21"/>
              </w:rPr>
              <w:t>S2708</w:t>
            </w:r>
          </w:p>
        </w:tc>
      </w:tr>
      <w:tr w:rsidR="009C353B" w14:paraId="4A00830F" w14:textId="77777777">
        <w:trPr>
          <w:trHeight w:val="340"/>
          <w:jc w:val="center"/>
        </w:trPr>
        <w:tc>
          <w:tcPr>
            <w:tcW w:w="503" w:type="pct"/>
            <w:vMerge/>
            <w:vAlign w:val="center"/>
          </w:tcPr>
          <w:p w14:paraId="103E905D" w14:textId="77777777" w:rsidR="009C353B" w:rsidRDefault="009C353B">
            <w:pPr>
              <w:jc w:val="center"/>
              <w:rPr>
                <w:rFonts w:ascii="Times New Roman" w:hAnsi="Times New Roman"/>
                <w:sz w:val="21"/>
                <w:szCs w:val="21"/>
              </w:rPr>
            </w:pPr>
          </w:p>
        </w:tc>
        <w:tc>
          <w:tcPr>
            <w:tcW w:w="1134" w:type="pct"/>
            <w:vAlign w:val="center"/>
          </w:tcPr>
          <w:p w14:paraId="4B3509AA" w14:textId="77777777" w:rsidR="009C353B" w:rsidRDefault="00000000">
            <w:pPr>
              <w:jc w:val="center"/>
              <w:rPr>
                <w:rFonts w:ascii="Times New Roman" w:hAnsi="Times New Roman"/>
                <w:sz w:val="21"/>
                <w:szCs w:val="21"/>
              </w:rPr>
            </w:pPr>
            <w:r>
              <w:rPr>
                <w:rStyle w:val="fontstyle01"/>
                <w:rFonts w:ascii="Times New Roman" w:eastAsia="宋体" w:hAnsi="Times New Roman" w:hint="default"/>
                <w:color w:val="auto"/>
                <w:sz w:val="21"/>
                <w:szCs w:val="21"/>
              </w:rPr>
              <w:t>山西组</w:t>
            </w:r>
            <w:r>
              <w:rPr>
                <w:rStyle w:val="fontstyle01"/>
                <w:rFonts w:ascii="Times New Roman" w:eastAsia="宋体" w:hAnsi="Times New Roman" w:hint="default"/>
                <w:color w:val="auto"/>
                <w:sz w:val="21"/>
                <w:szCs w:val="21"/>
              </w:rPr>
              <w:t>~</w:t>
            </w:r>
            <w:r>
              <w:rPr>
                <w:rStyle w:val="fontstyle01"/>
                <w:rFonts w:ascii="Times New Roman" w:eastAsia="宋体" w:hAnsi="Times New Roman" w:hint="default"/>
                <w:color w:val="auto"/>
                <w:sz w:val="21"/>
                <w:szCs w:val="21"/>
              </w:rPr>
              <w:t>太原组裂隙承压水含水层组</w:t>
            </w:r>
          </w:p>
        </w:tc>
        <w:tc>
          <w:tcPr>
            <w:tcW w:w="861" w:type="pct"/>
            <w:vAlign w:val="center"/>
          </w:tcPr>
          <w:p w14:paraId="4CC09C58" w14:textId="77777777" w:rsidR="009C353B" w:rsidRDefault="00000000">
            <w:pPr>
              <w:jc w:val="center"/>
              <w:rPr>
                <w:rFonts w:ascii="Times New Roman" w:hAnsi="Times New Roman"/>
                <w:sz w:val="21"/>
                <w:szCs w:val="21"/>
              </w:rPr>
            </w:pPr>
            <w:r>
              <w:rPr>
                <w:rFonts w:ascii="Times New Roman" w:hAnsi="Times New Roman"/>
                <w:sz w:val="21"/>
                <w:szCs w:val="21"/>
              </w:rPr>
              <w:t>0.</w:t>
            </w:r>
            <w:r>
              <w:rPr>
                <w:rFonts w:ascii="Times New Roman" w:hAnsi="Times New Roman" w:hint="eastAsia"/>
                <w:sz w:val="21"/>
                <w:szCs w:val="21"/>
              </w:rPr>
              <w:t>0823</w:t>
            </w:r>
          </w:p>
        </w:tc>
        <w:tc>
          <w:tcPr>
            <w:tcW w:w="861" w:type="pct"/>
            <w:vAlign w:val="center"/>
          </w:tcPr>
          <w:p w14:paraId="143AB0CA" w14:textId="77777777" w:rsidR="009C353B" w:rsidRDefault="00000000">
            <w:pPr>
              <w:jc w:val="center"/>
              <w:rPr>
                <w:rFonts w:ascii="Times New Roman" w:hAnsi="Times New Roman"/>
                <w:sz w:val="21"/>
                <w:szCs w:val="21"/>
              </w:rPr>
            </w:pPr>
            <w:r>
              <w:rPr>
                <w:rFonts w:ascii="Times New Roman" w:hAnsi="Times New Roman" w:hint="eastAsia"/>
                <w:sz w:val="21"/>
                <w:szCs w:val="21"/>
              </w:rPr>
              <w:t>815.4</w:t>
            </w:r>
          </w:p>
        </w:tc>
        <w:tc>
          <w:tcPr>
            <w:tcW w:w="879" w:type="pct"/>
            <w:vAlign w:val="center"/>
          </w:tcPr>
          <w:p w14:paraId="2A9D008A" w14:textId="77777777" w:rsidR="009C353B" w:rsidRDefault="00000000">
            <w:pPr>
              <w:jc w:val="center"/>
              <w:rPr>
                <w:rFonts w:ascii="Times New Roman" w:hAnsi="Times New Roman"/>
                <w:sz w:val="21"/>
                <w:szCs w:val="21"/>
              </w:rPr>
            </w:pPr>
            <w:r>
              <w:rPr>
                <w:rFonts w:ascii="Times New Roman" w:hAnsi="Times New Roman" w:hint="eastAsia"/>
                <w:sz w:val="21"/>
                <w:szCs w:val="21"/>
              </w:rPr>
              <w:t>2339.22</w:t>
            </w:r>
          </w:p>
        </w:tc>
        <w:tc>
          <w:tcPr>
            <w:tcW w:w="762" w:type="pct"/>
            <w:vAlign w:val="center"/>
          </w:tcPr>
          <w:p w14:paraId="642A68BA" w14:textId="77777777" w:rsidR="009C353B" w:rsidRDefault="00000000">
            <w:pPr>
              <w:jc w:val="center"/>
              <w:rPr>
                <w:rFonts w:ascii="Times New Roman" w:hAnsi="Times New Roman"/>
                <w:sz w:val="21"/>
                <w:szCs w:val="21"/>
              </w:rPr>
            </w:pPr>
            <w:r>
              <w:rPr>
                <w:rFonts w:ascii="Times New Roman" w:hAnsi="Times New Roman"/>
                <w:sz w:val="21"/>
                <w:szCs w:val="21"/>
              </w:rPr>
              <w:t>S2708</w:t>
            </w:r>
          </w:p>
        </w:tc>
      </w:tr>
    </w:tbl>
    <w:p w14:paraId="10B0A7F9"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hint="eastAsia"/>
          <w:szCs w:val="24"/>
        </w:rPr>
        <w:t>5</w:t>
      </w:r>
      <w:r>
        <w:rPr>
          <w:rFonts w:ascii="Times New Roman" w:hAnsi="Times New Roman"/>
          <w:szCs w:val="24"/>
        </w:rPr>
        <w:t>）</w:t>
      </w:r>
      <w:r>
        <w:rPr>
          <w:rFonts w:ascii="Times New Roman" w:hAnsi="Times New Roman"/>
          <w:szCs w:val="24"/>
        </w:rPr>
        <w:t xml:space="preserve"> </w:t>
      </w:r>
      <w:r>
        <w:rPr>
          <w:rFonts w:ascii="Times New Roman" w:hAnsi="Times New Roman"/>
          <w:szCs w:val="24"/>
        </w:rPr>
        <w:t>煤炭开采对地下水</w:t>
      </w:r>
      <w:r>
        <w:rPr>
          <w:rFonts w:ascii="Times New Roman" w:hAnsi="Times New Roman" w:hint="eastAsia"/>
          <w:szCs w:val="24"/>
        </w:rPr>
        <w:t>资源量</w:t>
      </w:r>
      <w:r>
        <w:rPr>
          <w:rFonts w:ascii="Times New Roman" w:hAnsi="Times New Roman"/>
          <w:szCs w:val="24"/>
        </w:rPr>
        <w:t>的影响分析</w:t>
      </w:r>
    </w:p>
    <w:p w14:paraId="6428C6E8"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煤矿开采对地下水资源的影响主要表现为随着煤层开采后形成的采空区顶板岩石（层）的冒落，致使采空区上覆含水层遭到破坏，原来赋存于含水层中的地下水在短时间内疏干而造成地下水资源的损失。本项目正常情况下将对煤系上覆含水岩组（二叠系石千峰群、石盒子组砂岩层间裂隙承压水含水岩组）及煤系含水岩组（二叠系山西组、石炭系上统太原组裂隙承压水含水层组）的水资源造成破坏。根据各矿地质、水文地质资料，矿区内煤系上覆含水层、煤系含水层总体矿化度高，均不具供水意义。</w:t>
      </w:r>
    </w:p>
    <w:p w14:paraId="0B63AF1E"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承压水沿导水裂缝带进入井内，根据上面对含水层的分析，矿区内煤系上覆含水层、煤系含水层整体富水性弱，疏排水量有限。现阶段生产矿井任家庄矿井水产生量</w:t>
      </w:r>
      <w:r>
        <w:rPr>
          <w:rFonts w:ascii="Times New Roman" w:hAnsi="Times New Roman" w:hint="eastAsia"/>
          <w:szCs w:val="24"/>
        </w:rPr>
        <w:t>1790m</w:t>
      </w:r>
      <w:r>
        <w:rPr>
          <w:rFonts w:ascii="Times New Roman" w:hAnsi="Times New Roman"/>
          <w:szCs w:val="24"/>
          <w:vertAlign w:val="superscript"/>
        </w:rPr>
        <w:t>3</w:t>
      </w:r>
      <w:r>
        <w:rPr>
          <w:rFonts w:ascii="Times New Roman" w:hAnsi="Times New Roman"/>
          <w:szCs w:val="24"/>
        </w:rPr>
        <w:t>/d</w:t>
      </w:r>
      <w:r>
        <w:rPr>
          <w:rFonts w:ascii="Times New Roman" w:hAnsi="Times New Roman" w:hint="eastAsia"/>
          <w:szCs w:val="24"/>
        </w:rPr>
        <w:t>，马莲台矿井水产生量</w:t>
      </w:r>
      <w:r>
        <w:rPr>
          <w:rFonts w:ascii="Times New Roman" w:hAnsi="Times New Roman" w:hint="eastAsia"/>
          <w:szCs w:val="24"/>
        </w:rPr>
        <w:t>2561m</w:t>
      </w:r>
      <w:r>
        <w:rPr>
          <w:rFonts w:ascii="Times New Roman" w:hAnsi="Times New Roman"/>
          <w:szCs w:val="24"/>
          <w:vertAlign w:val="superscript"/>
        </w:rPr>
        <w:t>3</w:t>
      </w:r>
      <w:r>
        <w:rPr>
          <w:rFonts w:ascii="Times New Roman" w:hAnsi="Times New Roman"/>
          <w:szCs w:val="24"/>
        </w:rPr>
        <w:t>/d</w:t>
      </w:r>
      <w:r>
        <w:rPr>
          <w:rFonts w:ascii="Times New Roman" w:hAnsi="Times New Roman" w:hint="eastAsia"/>
          <w:szCs w:val="24"/>
        </w:rPr>
        <w:t>，红石湾矿井水产生量</w:t>
      </w:r>
      <w:r>
        <w:rPr>
          <w:rFonts w:ascii="Times New Roman" w:hAnsi="Times New Roman" w:hint="eastAsia"/>
          <w:szCs w:val="24"/>
        </w:rPr>
        <w:t>2160m</w:t>
      </w:r>
      <w:r>
        <w:rPr>
          <w:rFonts w:ascii="Times New Roman" w:hAnsi="Times New Roman"/>
          <w:szCs w:val="24"/>
          <w:vertAlign w:val="superscript"/>
        </w:rPr>
        <w:t>3</w:t>
      </w:r>
      <w:r>
        <w:rPr>
          <w:rFonts w:ascii="Times New Roman" w:hAnsi="Times New Roman"/>
          <w:szCs w:val="24"/>
        </w:rPr>
        <w:t>/d</w:t>
      </w:r>
      <w:r>
        <w:rPr>
          <w:rFonts w:ascii="Times New Roman" w:hAnsi="Times New Roman" w:hint="eastAsia"/>
          <w:szCs w:val="24"/>
        </w:rPr>
        <w:t>，各矿井下排水均经矿井水处理设施处理，并全部进行了综合利用，不外排。预测丁家梁矿井水排水量约</w:t>
      </w:r>
      <w:r>
        <w:rPr>
          <w:rFonts w:ascii="Times New Roman" w:hAnsi="Times New Roman"/>
          <w:szCs w:val="24"/>
        </w:rPr>
        <w:t>6504m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w:t>
      </w:r>
      <w:r>
        <w:rPr>
          <w:rFonts w:ascii="Times New Roman" w:hAnsi="Times New Roman" w:hint="eastAsia"/>
          <w:szCs w:val="24"/>
        </w:rPr>
        <w:t>规划</w:t>
      </w:r>
      <w:r>
        <w:rPr>
          <w:rFonts w:ascii="Times New Roman" w:hAnsi="Times New Roman"/>
          <w:szCs w:val="24"/>
        </w:rPr>
        <w:t>丁家梁设矿井水处理站</w:t>
      </w:r>
      <w:r>
        <w:rPr>
          <w:rFonts w:ascii="Times New Roman" w:hAnsi="Times New Roman"/>
          <w:szCs w:val="24"/>
        </w:rPr>
        <w:t>1</w:t>
      </w:r>
      <w:r>
        <w:rPr>
          <w:rFonts w:ascii="Times New Roman" w:hAnsi="Times New Roman"/>
          <w:szCs w:val="24"/>
        </w:rPr>
        <w:t>座，处理规模</w:t>
      </w:r>
      <w:r>
        <w:rPr>
          <w:rFonts w:ascii="Times New Roman" w:hAnsi="Times New Roman"/>
          <w:szCs w:val="24"/>
        </w:rPr>
        <w:t>8000m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w:t>
      </w:r>
      <w:r>
        <w:rPr>
          <w:rFonts w:ascii="Times New Roman" w:hAnsi="Times New Roman" w:hint="eastAsia"/>
          <w:szCs w:val="24"/>
        </w:rPr>
        <w:t>对处理后的矿井水全部进行综合利用。</w:t>
      </w:r>
    </w:p>
    <w:p w14:paraId="0A41B68B"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因此，横城矿区各矿井下疏排水能得到合理利用，不会造成大量地下水资源的浪费和损失。</w:t>
      </w:r>
    </w:p>
    <w:p w14:paraId="16049F28"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hint="eastAsia"/>
          <w:szCs w:val="24"/>
        </w:rPr>
        <w:t>6</w:t>
      </w:r>
      <w:r>
        <w:rPr>
          <w:rFonts w:ascii="Times New Roman" w:hAnsi="Times New Roman"/>
          <w:szCs w:val="24"/>
        </w:rPr>
        <w:t>）</w:t>
      </w:r>
      <w:r>
        <w:rPr>
          <w:rFonts w:ascii="Times New Roman" w:hAnsi="Times New Roman"/>
          <w:szCs w:val="24"/>
        </w:rPr>
        <w:t xml:space="preserve"> </w:t>
      </w:r>
      <w:r>
        <w:rPr>
          <w:rFonts w:ascii="Times New Roman" w:hAnsi="Times New Roman"/>
          <w:szCs w:val="24"/>
        </w:rPr>
        <w:t>煤炭开采对地下水</w:t>
      </w:r>
      <w:r>
        <w:rPr>
          <w:rFonts w:ascii="Times New Roman" w:hAnsi="Times New Roman" w:hint="eastAsia"/>
          <w:szCs w:val="24"/>
        </w:rPr>
        <w:t>水质</w:t>
      </w:r>
      <w:r>
        <w:rPr>
          <w:rFonts w:ascii="Times New Roman" w:hAnsi="Times New Roman"/>
          <w:szCs w:val="24"/>
        </w:rPr>
        <w:t>的影响分析</w:t>
      </w:r>
    </w:p>
    <w:p w14:paraId="4A5A7EE6"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根据矿区汇编资料及各矿地质、水文地质资料，矿区地下水水质总体较差。</w:t>
      </w:r>
    </w:p>
    <w:p w14:paraId="0CC30E55"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煤系上覆含水岩组（二叠系石千峰群、石盒子组砂岩层间裂隙承压水含水岩组）及煤系含水岩组（二叠系山西组、石炭系上统太原组裂隙承压水含水层组）</w:t>
      </w:r>
      <w:r>
        <w:rPr>
          <w:rFonts w:ascii="Times New Roman" w:hAnsi="Times New Roman"/>
          <w:szCs w:val="24"/>
        </w:rPr>
        <w:t>中的地下水通过导水裂隙带</w:t>
      </w:r>
      <w:r>
        <w:rPr>
          <w:rFonts w:ascii="Times New Roman" w:hAnsi="Times New Roman" w:hint="eastAsia"/>
          <w:szCs w:val="24"/>
        </w:rPr>
        <w:t>、掘进巷道流入</w:t>
      </w:r>
      <w:r>
        <w:rPr>
          <w:rFonts w:ascii="Times New Roman" w:hAnsi="Times New Roman"/>
          <w:szCs w:val="24"/>
        </w:rPr>
        <w:t>开采区而被疏排，以矿井水的形式排出</w:t>
      </w:r>
      <w:r>
        <w:rPr>
          <w:rFonts w:ascii="Times New Roman" w:hAnsi="Times New Roman" w:hint="eastAsia"/>
          <w:szCs w:val="24"/>
        </w:rPr>
        <w:t>。</w:t>
      </w:r>
      <w:r>
        <w:rPr>
          <w:rFonts w:ascii="Times New Roman" w:hAnsi="Times New Roman"/>
          <w:szCs w:val="24"/>
        </w:rPr>
        <w:t>因含水层</w:t>
      </w:r>
      <w:r>
        <w:rPr>
          <w:rFonts w:ascii="Times New Roman" w:hAnsi="Times New Roman" w:hint="eastAsia"/>
          <w:szCs w:val="24"/>
        </w:rPr>
        <w:t>总体</w:t>
      </w:r>
      <w:r>
        <w:rPr>
          <w:rFonts w:ascii="Times New Roman" w:hAnsi="Times New Roman"/>
          <w:szCs w:val="24"/>
        </w:rPr>
        <w:t>富水性弱，透水性与导水性能差，地下水的补给条件与径流条件均较差，疏排水量有限，排出的矿井水经处理站处理后</w:t>
      </w:r>
      <w:r>
        <w:rPr>
          <w:rFonts w:ascii="Times New Roman" w:hAnsi="Times New Roman" w:hint="eastAsia"/>
          <w:szCs w:val="24"/>
        </w:rPr>
        <w:t>均</w:t>
      </w:r>
      <w:r>
        <w:rPr>
          <w:rFonts w:ascii="Times New Roman" w:hAnsi="Times New Roman"/>
          <w:szCs w:val="24"/>
        </w:rPr>
        <w:t>全部回用。</w:t>
      </w:r>
      <w:r>
        <w:rPr>
          <w:rFonts w:ascii="Times New Roman" w:hAnsi="Times New Roman" w:hint="eastAsia"/>
          <w:szCs w:val="24"/>
        </w:rPr>
        <w:t>在煤层隐伏露头及煤层埋深较浅处，可能会影响到上覆白垩系含水层、古近系含水层，但白垩系在矿区分布有限，且与可能受到影响的古近系含水层中地下水只可能是向下流入煤层中，随矿井涌水排出，经处理站处理，不影响上覆含水层水质。</w:t>
      </w:r>
    </w:p>
    <w:p w14:paraId="32097F03"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因此，</w:t>
      </w:r>
      <w:r>
        <w:rPr>
          <w:rFonts w:ascii="Times New Roman" w:hAnsi="Times New Roman" w:hint="eastAsia"/>
          <w:szCs w:val="24"/>
        </w:rPr>
        <w:t>评价认为煤矿</w:t>
      </w:r>
      <w:r>
        <w:rPr>
          <w:rFonts w:ascii="Times New Roman" w:hAnsi="Times New Roman"/>
          <w:szCs w:val="24"/>
        </w:rPr>
        <w:t>开采对地下水水质影响较</w:t>
      </w:r>
      <w:r>
        <w:rPr>
          <w:rFonts w:ascii="Times New Roman" w:hAnsi="Times New Roman" w:hint="eastAsia"/>
          <w:szCs w:val="24"/>
        </w:rPr>
        <w:t>小</w:t>
      </w:r>
      <w:r>
        <w:rPr>
          <w:rFonts w:ascii="Times New Roman" w:hAnsi="Times New Roman"/>
          <w:szCs w:val="24"/>
        </w:rPr>
        <w:t>。</w:t>
      </w:r>
    </w:p>
    <w:p w14:paraId="315A6F68" w14:textId="77777777" w:rsidR="009C353B" w:rsidRDefault="00000000">
      <w:pPr>
        <w:adjustRightInd w:val="0"/>
        <w:snapToGrid w:val="0"/>
        <w:spacing w:line="440" w:lineRule="exact"/>
        <w:outlineLvl w:val="3"/>
        <w:rPr>
          <w:rFonts w:ascii="Times New Roman" w:hAnsi="Times New Roman"/>
          <w:b/>
          <w:szCs w:val="24"/>
        </w:rPr>
      </w:pPr>
      <w:r>
        <w:rPr>
          <w:rFonts w:ascii="Times New Roman" w:hAnsi="Times New Roman"/>
          <w:b/>
          <w:szCs w:val="24"/>
        </w:rPr>
        <w:t xml:space="preserve">6.3.2.4 </w:t>
      </w:r>
      <w:r>
        <w:rPr>
          <w:rFonts w:ascii="Times New Roman" w:hAnsi="Times New Roman"/>
          <w:b/>
          <w:szCs w:val="24"/>
        </w:rPr>
        <w:t>煤炭开采对</w:t>
      </w:r>
      <w:r>
        <w:rPr>
          <w:rFonts w:ascii="Times New Roman" w:hAnsi="Times New Roman" w:hint="eastAsia"/>
          <w:b/>
          <w:szCs w:val="24"/>
        </w:rPr>
        <w:t>大河子沟</w:t>
      </w:r>
      <w:r>
        <w:rPr>
          <w:rFonts w:ascii="Times New Roman" w:hAnsi="Times New Roman"/>
          <w:b/>
          <w:szCs w:val="24"/>
        </w:rPr>
        <w:t>的影响分析</w:t>
      </w:r>
    </w:p>
    <w:p w14:paraId="7570B009" w14:textId="77777777" w:rsidR="009C353B" w:rsidRDefault="00000000">
      <w:pPr>
        <w:spacing w:line="440" w:lineRule="exact"/>
        <w:ind w:firstLine="464"/>
        <w:rPr>
          <w:rFonts w:ascii="Times New Roman" w:hAnsi="Times New Roman"/>
          <w:szCs w:val="24"/>
        </w:rPr>
      </w:pPr>
      <w:r>
        <w:rPr>
          <w:rFonts w:ascii="Times New Roman" w:hAnsi="Times New Roman" w:hint="eastAsia"/>
          <w:szCs w:val="24"/>
        </w:rPr>
        <w:t>大河子沟流经矿区南部，</w:t>
      </w:r>
      <w:r>
        <w:rPr>
          <w:rFonts w:ascii="Times New Roman" w:hAnsi="Times New Roman"/>
          <w:szCs w:val="24"/>
        </w:rPr>
        <w:t>为地表水对第四系松散层侵蚀所形成，</w:t>
      </w:r>
      <w:r>
        <w:rPr>
          <w:rFonts w:ascii="Times New Roman" w:hAnsi="Times New Roman" w:hint="eastAsia"/>
          <w:szCs w:val="24"/>
        </w:rPr>
        <w:t>水量较小，水质较差，无法饮用。</w:t>
      </w:r>
      <w:r>
        <w:rPr>
          <w:rFonts w:ascii="Times New Roman" w:hAnsi="Times New Roman"/>
          <w:szCs w:val="24"/>
        </w:rPr>
        <w:t>河床由古近系泥岩、泥质砂岩隔水层构成，且分布连续、稳定，厚度较大，切断了其与碎屑岩类孔隙裂隙水之间的水力联系。采区与</w:t>
      </w:r>
      <w:r>
        <w:rPr>
          <w:rFonts w:ascii="Times New Roman" w:hAnsi="Times New Roman" w:hint="eastAsia"/>
          <w:szCs w:val="24"/>
        </w:rPr>
        <w:t>大河子沟</w:t>
      </w:r>
      <w:r>
        <w:rPr>
          <w:rFonts w:ascii="Times New Roman" w:hAnsi="Times New Roman"/>
          <w:szCs w:val="24"/>
        </w:rPr>
        <w:t>之间为太中银铁路，</w:t>
      </w:r>
      <w:r>
        <w:rPr>
          <w:rFonts w:ascii="Times New Roman" w:hAnsi="Times New Roman" w:hint="eastAsia"/>
          <w:szCs w:val="24"/>
        </w:rPr>
        <w:t>以往环评报告对太中银铁路（联络线）以南区域留设了足够的保护煤柱，</w:t>
      </w:r>
      <w:r>
        <w:rPr>
          <w:rFonts w:ascii="Times New Roman" w:hAnsi="Times New Roman"/>
          <w:szCs w:val="24"/>
        </w:rPr>
        <w:t>开采区距离</w:t>
      </w:r>
      <w:r>
        <w:rPr>
          <w:rFonts w:ascii="Times New Roman" w:hAnsi="Times New Roman" w:hint="eastAsia"/>
          <w:szCs w:val="24"/>
        </w:rPr>
        <w:t>大河子沟</w:t>
      </w:r>
      <w:r>
        <w:rPr>
          <w:rFonts w:ascii="Times New Roman" w:hAnsi="Times New Roman"/>
          <w:szCs w:val="24"/>
        </w:rPr>
        <w:t>沟谷距离较远</w:t>
      </w:r>
      <w:r>
        <w:rPr>
          <w:rFonts w:ascii="Times New Roman" w:hAnsi="Times New Roman" w:hint="eastAsia"/>
          <w:szCs w:val="24"/>
        </w:rPr>
        <w:t>。</w:t>
      </w:r>
      <w:r>
        <w:rPr>
          <w:rFonts w:ascii="Times New Roman" w:hAnsi="Times New Roman"/>
          <w:szCs w:val="24"/>
        </w:rPr>
        <w:t>根据</w:t>
      </w:r>
      <w:r>
        <w:rPr>
          <w:rFonts w:ascii="Times New Roman" w:hAnsi="Times New Roman" w:hint="eastAsia"/>
          <w:szCs w:val="24"/>
        </w:rPr>
        <w:t>前面</w:t>
      </w:r>
      <w:r>
        <w:rPr>
          <w:rFonts w:ascii="Times New Roman" w:hAnsi="Times New Roman"/>
          <w:szCs w:val="24"/>
        </w:rPr>
        <w:t>煤层开采导水裂缝带发育高度预测结果可知，</w:t>
      </w:r>
      <w:r>
        <w:rPr>
          <w:rFonts w:ascii="Times New Roman" w:hAnsi="Times New Roman" w:hint="eastAsia"/>
          <w:szCs w:val="24"/>
        </w:rPr>
        <w:t>导水裂缝带距古近系</w:t>
      </w:r>
      <w:r>
        <w:rPr>
          <w:rFonts w:ascii="Times New Roman" w:hAnsi="Times New Roman"/>
          <w:szCs w:val="24"/>
        </w:rPr>
        <w:t>133.29~1097.51m</w:t>
      </w:r>
      <w:r>
        <w:rPr>
          <w:rFonts w:ascii="Times New Roman" w:hAnsi="Times New Roman" w:hint="eastAsia"/>
          <w:szCs w:val="24"/>
        </w:rPr>
        <w:t>，导水裂缝带影响不到大河子沟</w:t>
      </w:r>
      <w:r>
        <w:rPr>
          <w:rFonts w:ascii="Times New Roman" w:hAnsi="Times New Roman"/>
          <w:szCs w:val="24"/>
        </w:rPr>
        <w:t>。</w:t>
      </w:r>
      <w:r>
        <w:rPr>
          <w:rFonts w:ascii="Times New Roman" w:hAnsi="Times New Roman" w:hint="eastAsia"/>
          <w:szCs w:val="24"/>
        </w:rPr>
        <w:t>且</w:t>
      </w:r>
      <w:r>
        <w:rPr>
          <w:rFonts w:ascii="Times New Roman" w:hAnsi="Times New Roman"/>
          <w:szCs w:val="24"/>
        </w:rPr>
        <w:t>根据沉陷预测结果，开采造成的塌陷影响</w:t>
      </w:r>
      <w:r>
        <w:rPr>
          <w:rFonts w:ascii="Times New Roman" w:hAnsi="Times New Roman" w:hint="eastAsia"/>
          <w:szCs w:val="24"/>
        </w:rPr>
        <w:t>半径</w:t>
      </w:r>
      <w:r>
        <w:rPr>
          <w:rFonts w:ascii="Times New Roman" w:hAnsi="Times New Roman"/>
          <w:szCs w:val="24"/>
        </w:rPr>
        <w:t>约</w:t>
      </w:r>
      <w:r>
        <w:rPr>
          <w:rFonts w:ascii="Times New Roman" w:hAnsi="Times New Roman" w:hint="eastAsia"/>
          <w:szCs w:val="24"/>
        </w:rPr>
        <w:t>460</w:t>
      </w:r>
      <w:r>
        <w:rPr>
          <w:rFonts w:ascii="Times New Roman" w:hAnsi="Times New Roman"/>
          <w:szCs w:val="24"/>
        </w:rPr>
        <w:t>m</w:t>
      </w:r>
      <w:r>
        <w:rPr>
          <w:rFonts w:ascii="Times New Roman" w:hAnsi="Times New Roman"/>
          <w:szCs w:val="24"/>
        </w:rPr>
        <w:t>，</w:t>
      </w:r>
      <w:r>
        <w:rPr>
          <w:rFonts w:ascii="Times New Roman" w:hAnsi="Times New Roman" w:hint="eastAsia"/>
          <w:szCs w:val="24"/>
        </w:rPr>
        <w:t>开采边界与大河子沟</w:t>
      </w:r>
      <w:r>
        <w:rPr>
          <w:rFonts w:ascii="Times New Roman" w:hAnsi="Times New Roman"/>
          <w:szCs w:val="24"/>
        </w:rPr>
        <w:t>最近距离约</w:t>
      </w:r>
      <w:r>
        <w:rPr>
          <w:rFonts w:ascii="Times New Roman" w:hAnsi="Times New Roman" w:hint="eastAsia"/>
          <w:szCs w:val="24"/>
        </w:rPr>
        <w:t>1388</w:t>
      </w:r>
      <w:r>
        <w:rPr>
          <w:rFonts w:ascii="Times New Roman" w:hAnsi="Times New Roman"/>
          <w:szCs w:val="24"/>
        </w:rPr>
        <w:t>m</w:t>
      </w:r>
      <w:r>
        <w:rPr>
          <w:rFonts w:ascii="Times New Roman" w:hAnsi="Times New Roman"/>
          <w:szCs w:val="24"/>
        </w:rPr>
        <w:t>，</w:t>
      </w:r>
      <w:r>
        <w:rPr>
          <w:rFonts w:ascii="Times New Roman" w:hAnsi="Times New Roman" w:hint="eastAsia"/>
          <w:szCs w:val="24"/>
        </w:rPr>
        <w:t>大河子沟</w:t>
      </w:r>
      <w:r>
        <w:rPr>
          <w:rFonts w:ascii="Times New Roman" w:hAnsi="Times New Roman"/>
          <w:szCs w:val="24"/>
        </w:rPr>
        <w:t>不会受煤炭开采沉陷的直接影响。因此</w:t>
      </w:r>
      <w:r>
        <w:rPr>
          <w:rFonts w:ascii="Times New Roman" w:hAnsi="Times New Roman" w:hint="eastAsia"/>
          <w:szCs w:val="24"/>
        </w:rPr>
        <w:t>，认为</w:t>
      </w:r>
      <w:r>
        <w:rPr>
          <w:rFonts w:ascii="Times New Roman" w:hAnsi="Times New Roman"/>
          <w:szCs w:val="24"/>
        </w:rPr>
        <w:t>煤炭开采对</w:t>
      </w:r>
      <w:r>
        <w:rPr>
          <w:rFonts w:ascii="Times New Roman" w:hAnsi="Times New Roman" w:hint="eastAsia"/>
          <w:szCs w:val="24"/>
        </w:rPr>
        <w:t>大河子沟</w:t>
      </w:r>
      <w:r>
        <w:rPr>
          <w:rFonts w:ascii="Times New Roman" w:hAnsi="Times New Roman"/>
          <w:szCs w:val="24"/>
        </w:rPr>
        <w:t>及其赋存的第四系潜水影响较小。</w:t>
      </w:r>
    </w:p>
    <w:p w14:paraId="7F1E3F81" w14:textId="77777777" w:rsidR="009C353B" w:rsidRDefault="00000000">
      <w:pPr>
        <w:adjustRightInd w:val="0"/>
        <w:snapToGrid w:val="0"/>
        <w:spacing w:line="440" w:lineRule="exact"/>
        <w:outlineLvl w:val="3"/>
        <w:rPr>
          <w:rFonts w:ascii="Times New Roman" w:hAnsi="Times New Roman"/>
          <w:b/>
          <w:szCs w:val="24"/>
        </w:rPr>
      </w:pPr>
      <w:r>
        <w:rPr>
          <w:rFonts w:ascii="Times New Roman" w:hAnsi="Times New Roman"/>
          <w:b/>
          <w:szCs w:val="24"/>
        </w:rPr>
        <w:t xml:space="preserve">6.3.2.5 </w:t>
      </w:r>
      <w:r>
        <w:rPr>
          <w:rFonts w:ascii="Times New Roman" w:hAnsi="Times New Roman"/>
          <w:b/>
          <w:szCs w:val="24"/>
        </w:rPr>
        <w:t>煤炭开采对</w:t>
      </w:r>
      <w:r>
        <w:rPr>
          <w:rFonts w:ascii="Times New Roman" w:hAnsi="Times New Roman" w:hint="eastAsia"/>
          <w:b/>
          <w:szCs w:val="24"/>
        </w:rPr>
        <w:t>水洞</w:t>
      </w:r>
      <w:r>
        <w:rPr>
          <w:rFonts w:ascii="Times New Roman" w:hAnsi="Times New Roman"/>
          <w:b/>
          <w:szCs w:val="24"/>
        </w:rPr>
        <w:t>沟的影响分析</w:t>
      </w:r>
      <w:r>
        <w:rPr>
          <w:rFonts w:ascii="Times New Roman" w:hAnsi="Times New Roman"/>
          <w:szCs w:val="24"/>
        </w:rPr>
        <w:t xml:space="preserve"> </w:t>
      </w:r>
    </w:p>
    <w:p w14:paraId="467729FB"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位于矿区北侧边界处，该沟发源于距矿区东部</w:t>
      </w:r>
      <w:r>
        <w:rPr>
          <w:rFonts w:ascii="Times New Roman" w:hAnsi="Times New Roman"/>
          <w:szCs w:val="24"/>
        </w:rPr>
        <w:t>20km</w:t>
      </w:r>
      <w:r>
        <w:rPr>
          <w:rFonts w:ascii="Times New Roman" w:hAnsi="Times New Roman"/>
          <w:szCs w:val="24"/>
        </w:rPr>
        <w:t>的清水营，沟深、谷阔，两壁陡竣，沟深</w:t>
      </w:r>
      <w:r>
        <w:rPr>
          <w:rFonts w:ascii="Times New Roman" w:hAnsi="Times New Roman"/>
          <w:szCs w:val="24"/>
        </w:rPr>
        <w:t>7</w:t>
      </w:r>
      <w:r>
        <w:rPr>
          <w:rFonts w:ascii="Times New Roman" w:hAnsi="Times New Roman"/>
          <w:szCs w:val="24"/>
        </w:rPr>
        <w:t>～</w:t>
      </w:r>
      <w:r>
        <w:rPr>
          <w:rFonts w:ascii="Times New Roman" w:hAnsi="Times New Roman"/>
          <w:szCs w:val="24"/>
        </w:rPr>
        <w:t>18m</w:t>
      </w:r>
      <w:r>
        <w:rPr>
          <w:rFonts w:ascii="Times New Roman" w:hAnsi="Times New Roman"/>
          <w:szCs w:val="24"/>
        </w:rPr>
        <w:t>，宽</w:t>
      </w:r>
      <w:r>
        <w:rPr>
          <w:rFonts w:ascii="Times New Roman" w:hAnsi="Times New Roman"/>
          <w:szCs w:val="24"/>
        </w:rPr>
        <w:t>20</w:t>
      </w:r>
      <w:r>
        <w:rPr>
          <w:rFonts w:ascii="Times New Roman" w:hAnsi="Times New Roman"/>
          <w:szCs w:val="24"/>
        </w:rPr>
        <w:t>～</w:t>
      </w:r>
      <w:r>
        <w:rPr>
          <w:rFonts w:ascii="Times New Roman" w:hAnsi="Times New Roman"/>
          <w:szCs w:val="24"/>
        </w:rPr>
        <w:t>50m</w:t>
      </w:r>
      <w:r>
        <w:rPr>
          <w:rFonts w:ascii="Times New Roman" w:hAnsi="Times New Roman"/>
          <w:szCs w:val="24"/>
        </w:rPr>
        <w:t>，</w:t>
      </w:r>
      <w:r>
        <w:rPr>
          <w:rFonts w:ascii="Times New Roman" w:hAnsi="Times New Roman"/>
          <w:szCs w:val="24"/>
        </w:rPr>
        <w:t xml:space="preserve"> </w:t>
      </w:r>
      <w:r>
        <w:rPr>
          <w:rFonts w:ascii="Times New Roman" w:hAnsi="Times New Roman"/>
          <w:szCs w:val="24"/>
        </w:rPr>
        <w:t>自南向北流过，绝大部分位于矿区外，局部河段从矿区北部红石湾、马莲台井田东北侧穿过。根据</w:t>
      </w:r>
      <w:r>
        <w:rPr>
          <w:rFonts w:ascii="Times New Roman" w:hAnsi="Times New Roman" w:hint="eastAsia"/>
          <w:szCs w:val="24"/>
        </w:rPr>
        <w:t>上面导水裂缝带发育高度计算结果可知，红石湾煤炭开采导水裂缝带发育高度为</w:t>
      </w:r>
      <w:r>
        <w:rPr>
          <w:rFonts w:ascii="Times New Roman" w:hAnsi="Times New Roman" w:hint="eastAsia"/>
          <w:szCs w:val="24"/>
        </w:rPr>
        <w:t>27.09~48.06m</w:t>
      </w:r>
      <w:r>
        <w:rPr>
          <w:rFonts w:ascii="Times New Roman" w:hAnsi="Times New Roman" w:hint="eastAsia"/>
          <w:szCs w:val="24"/>
        </w:rPr>
        <w:t>，平均</w:t>
      </w:r>
      <w:r>
        <w:rPr>
          <w:rFonts w:ascii="Times New Roman" w:hAnsi="Times New Roman" w:hint="eastAsia"/>
          <w:szCs w:val="24"/>
        </w:rPr>
        <w:t>34.58m</w:t>
      </w:r>
      <w:r>
        <w:rPr>
          <w:rFonts w:ascii="Times New Roman" w:hAnsi="Times New Roman" w:hint="eastAsia"/>
          <w:szCs w:val="24"/>
        </w:rPr>
        <w:t>，根据以往勘探报告，第三系厚度约</w:t>
      </w:r>
      <w:r>
        <w:rPr>
          <w:rFonts w:ascii="Times New Roman" w:hAnsi="Times New Roman" w:hint="eastAsia"/>
          <w:szCs w:val="24"/>
        </w:rPr>
        <w:t>90~217m</w:t>
      </w:r>
      <w:r>
        <w:rPr>
          <w:rFonts w:ascii="Times New Roman" w:hAnsi="Times New Roman" w:hint="eastAsia"/>
          <w:szCs w:val="24"/>
        </w:rPr>
        <w:t>，据</w:t>
      </w:r>
      <w:r>
        <w:rPr>
          <w:rFonts w:ascii="Times New Roman" w:hAnsi="Times New Roman" w:hint="eastAsia"/>
          <w:szCs w:val="24"/>
        </w:rPr>
        <w:t>308</w:t>
      </w:r>
      <w:r>
        <w:rPr>
          <w:rFonts w:ascii="Times New Roman" w:hAnsi="Times New Roman" w:hint="eastAsia"/>
          <w:szCs w:val="24"/>
        </w:rPr>
        <w:t>号钻孔石千峰组厚</w:t>
      </w:r>
      <w:r>
        <w:rPr>
          <w:rFonts w:ascii="Times New Roman" w:hAnsi="Times New Roman" w:hint="eastAsia"/>
          <w:szCs w:val="24"/>
        </w:rPr>
        <w:t>225.39m</w:t>
      </w:r>
      <w:r>
        <w:rPr>
          <w:rFonts w:ascii="Times New Roman" w:hAnsi="Times New Roman" w:hint="eastAsia"/>
          <w:szCs w:val="24"/>
        </w:rPr>
        <w:t>，且</w:t>
      </w:r>
      <w:r>
        <w:rPr>
          <w:rFonts w:ascii="Times New Roman" w:hAnsi="Times New Roman"/>
          <w:szCs w:val="24"/>
        </w:rPr>
        <w:t>上石</w:t>
      </w:r>
      <w:r>
        <w:rPr>
          <w:rFonts w:ascii="Times New Roman" w:hAnsi="Times New Roman" w:hint="eastAsia"/>
          <w:szCs w:val="24"/>
        </w:rPr>
        <w:t>盒子组厚</w:t>
      </w:r>
      <w:r>
        <w:rPr>
          <w:rFonts w:ascii="Times New Roman" w:hAnsi="Times New Roman" w:hint="eastAsia"/>
          <w:szCs w:val="24"/>
        </w:rPr>
        <w:t>210~225m</w:t>
      </w:r>
      <w:r>
        <w:rPr>
          <w:rFonts w:ascii="Times New Roman" w:hAnsi="Times New Roman"/>
          <w:szCs w:val="24"/>
        </w:rPr>
        <w:t>，下石</w:t>
      </w:r>
      <w:r>
        <w:rPr>
          <w:rFonts w:ascii="Times New Roman" w:hAnsi="Times New Roman" w:hint="eastAsia"/>
          <w:szCs w:val="24"/>
        </w:rPr>
        <w:t>盒子组厚</w:t>
      </w:r>
      <w:r>
        <w:rPr>
          <w:rFonts w:ascii="Times New Roman" w:hAnsi="Times New Roman" w:hint="eastAsia"/>
          <w:szCs w:val="24"/>
        </w:rPr>
        <w:t>169~172m</w:t>
      </w:r>
      <w:r>
        <w:rPr>
          <w:rFonts w:ascii="Times New Roman" w:hAnsi="Times New Roman"/>
          <w:szCs w:val="24"/>
        </w:rPr>
        <w:t>，故</w:t>
      </w:r>
      <w:r>
        <w:rPr>
          <w:rFonts w:ascii="Times New Roman" w:hAnsi="Times New Roman" w:hint="eastAsia"/>
          <w:szCs w:val="24"/>
        </w:rPr>
        <w:t>红石湾煤矿开采导水裂缝带发育高度影响不到水洞沟；马莲台煤矿开采导水裂缝带发育高度为</w:t>
      </w:r>
      <w:r>
        <w:rPr>
          <w:rFonts w:ascii="Times New Roman" w:hAnsi="Times New Roman" w:hint="eastAsia"/>
          <w:szCs w:val="24"/>
        </w:rPr>
        <w:t>28.22~68.76m</w:t>
      </w:r>
      <w:r>
        <w:rPr>
          <w:rFonts w:ascii="Times New Roman" w:hAnsi="Times New Roman" w:hint="eastAsia"/>
          <w:szCs w:val="24"/>
        </w:rPr>
        <w:t>，平均</w:t>
      </w:r>
      <w:r>
        <w:rPr>
          <w:rFonts w:ascii="Times New Roman" w:hAnsi="Times New Roman" w:hint="eastAsia"/>
          <w:szCs w:val="24"/>
        </w:rPr>
        <w:t>38m</w:t>
      </w:r>
      <w:r>
        <w:rPr>
          <w:rFonts w:ascii="Times New Roman" w:hAnsi="Times New Roman" w:hint="eastAsia"/>
          <w:szCs w:val="24"/>
        </w:rPr>
        <w:t>，根据以往地质勘探资料，新近系厚</w:t>
      </w:r>
      <w:r>
        <w:rPr>
          <w:rFonts w:ascii="Times New Roman" w:hAnsi="Times New Roman" w:hint="eastAsia"/>
          <w:szCs w:val="24"/>
        </w:rPr>
        <w:t>20~306.2m</w:t>
      </w:r>
      <w:r>
        <w:rPr>
          <w:rFonts w:ascii="Times New Roman" w:hAnsi="Times New Roman" w:hint="eastAsia"/>
          <w:szCs w:val="24"/>
        </w:rPr>
        <w:t>，二叠系石千峰组于</w:t>
      </w:r>
      <w:r>
        <w:rPr>
          <w:rFonts w:ascii="Times New Roman" w:hAnsi="Times New Roman" w:hint="eastAsia"/>
          <w:szCs w:val="24"/>
        </w:rPr>
        <w:t>104</w:t>
      </w:r>
      <w:r>
        <w:rPr>
          <w:rFonts w:ascii="Times New Roman" w:hAnsi="Times New Roman" w:hint="eastAsia"/>
          <w:szCs w:val="24"/>
        </w:rPr>
        <w:t>号孔揭露厚度</w:t>
      </w:r>
      <w:r>
        <w:rPr>
          <w:rFonts w:ascii="Times New Roman" w:hAnsi="Times New Roman" w:hint="eastAsia"/>
          <w:szCs w:val="24"/>
        </w:rPr>
        <w:t>156.25m</w:t>
      </w:r>
      <w:r>
        <w:rPr>
          <w:rFonts w:ascii="Times New Roman" w:hAnsi="Times New Roman" w:hint="eastAsia"/>
          <w:szCs w:val="24"/>
        </w:rPr>
        <w:t>，上石盒子组厚</w:t>
      </w:r>
      <w:r>
        <w:rPr>
          <w:rFonts w:ascii="Times New Roman" w:hAnsi="Times New Roman" w:hint="eastAsia"/>
          <w:szCs w:val="24"/>
        </w:rPr>
        <w:t>179.3~231.52m</w:t>
      </w:r>
      <w:r>
        <w:rPr>
          <w:rFonts w:ascii="Times New Roman" w:hAnsi="Times New Roman"/>
          <w:szCs w:val="24"/>
        </w:rPr>
        <w:t>，</w:t>
      </w:r>
      <w:r>
        <w:rPr>
          <w:rFonts w:ascii="Times New Roman" w:hAnsi="Times New Roman" w:hint="eastAsia"/>
          <w:szCs w:val="24"/>
        </w:rPr>
        <w:t>平均厚</w:t>
      </w:r>
      <w:r>
        <w:rPr>
          <w:rFonts w:ascii="Times New Roman" w:hAnsi="Times New Roman" w:hint="eastAsia"/>
          <w:szCs w:val="24"/>
        </w:rPr>
        <w:t>190.53m</w:t>
      </w:r>
      <w:r>
        <w:rPr>
          <w:rFonts w:ascii="Times New Roman" w:hAnsi="Times New Roman" w:hint="eastAsia"/>
          <w:szCs w:val="24"/>
        </w:rPr>
        <w:t>，下石盒子组厚</w:t>
      </w:r>
      <w:r>
        <w:rPr>
          <w:rFonts w:ascii="Times New Roman" w:hAnsi="Times New Roman" w:hint="eastAsia"/>
          <w:szCs w:val="24"/>
        </w:rPr>
        <w:t>124.48~277.64m</w:t>
      </w:r>
      <w:r>
        <w:rPr>
          <w:rFonts w:ascii="Times New Roman" w:hAnsi="Times New Roman" w:hint="eastAsia"/>
          <w:szCs w:val="24"/>
        </w:rPr>
        <w:t>，平均厚</w:t>
      </w:r>
      <w:r>
        <w:rPr>
          <w:rFonts w:ascii="Times New Roman" w:hAnsi="Times New Roman" w:hint="eastAsia"/>
          <w:szCs w:val="24"/>
        </w:rPr>
        <w:t>158.83m</w:t>
      </w:r>
      <w:r>
        <w:rPr>
          <w:rFonts w:ascii="Times New Roman" w:hAnsi="Times New Roman" w:hint="eastAsia"/>
          <w:szCs w:val="24"/>
        </w:rPr>
        <w:t>，故马莲台煤矿开采导水裂缝带发育高度影响不到水洞沟。</w:t>
      </w:r>
      <w:r>
        <w:rPr>
          <w:rFonts w:ascii="Times New Roman" w:hAnsi="Times New Roman"/>
          <w:szCs w:val="24"/>
        </w:rPr>
        <w:t>但顶板垮落产生的地表变形、地裂缝会增大储水空间，并部分增加边沟地表水、第</w:t>
      </w:r>
      <w:r>
        <w:rPr>
          <w:rFonts w:ascii="Times New Roman" w:hAnsi="Times New Roman"/>
          <w:szCs w:val="24"/>
        </w:rPr>
        <w:t>Ⅰ</w:t>
      </w:r>
      <w:r>
        <w:rPr>
          <w:rFonts w:ascii="Times New Roman" w:hAnsi="Times New Roman"/>
          <w:szCs w:val="24"/>
        </w:rPr>
        <w:t>含水层组、第</w:t>
      </w:r>
      <w:r>
        <w:rPr>
          <w:rFonts w:ascii="Times New Roman" w:hAnsi="Times New Roman"/>
          <w:szCs w:val="24"/>
        </w:rPr>
        <w:t>Ⅱ</w:t>
      </w:r>
      <w:r>
        <w:rPr>
          <w:rFonts w:ascii="Times New Roman" w:hAnsi="Times New Roman"/>
          <w:szCs w:val="24"/>
        </w:rPr>
        <w:t>含水层组的水力联系</w:t>
      </w:r>
      <w:r>
        <w:rPr>
          <w:rFonts w:ascii="Times New Roman" w:hAnsi="Times New Roman" w:hint="eastAsia"/>
          <w:szCs w:val="24"/>
        </w:rPr>
        <w:t>。应对马莲台、任家庄煤矿安排专人不定期的对长城边沟检查，发现裂隙立即做填堵、压实处理。据地表沉陷预测结果，红石湾受开采沉陷影响的河段下沉深度在</w:t>
      </w:r>
      <w:r>
        <w:rPr>
          <w:rFonts w:ascii="Times New Roman" w:hAnsi="Times New Roman" w:hint="eastAsia"/>
          <w:szCs w:val="24"/>
        </w:rPr>
        <w:t>0.01-5m</w:t>
      </w:r>
      <w:r>
        <w:rPr>
          <w:rFonts w:ascii="Times New Roman" w:hAnsi="Times New Roman" w:hint="eastAsia"/>
          <w:szCs w:val="24"/>
        </w:rPr>
        <w:t>之间，在局部区域可能因沉陷引起的高差变化造成水流变缓、河面扩大的情况，届时应加强观测，必要时采取疏通河道或抽水等措施，保证汇水通畅。</w:t>
      </w:r>
    </w:p>
    <w:p w14:paraId="64924E3C" w14:textId="77777777" w:rsidR="009C353B" w:rsidRDefault="00000000">
      <w:pPr>
        <w:adjustRightInd w:val="0"/>
        <w:snapToGrid w:val="0"/>
        <w:spacing w:line="440" w:lineRule="exact"/>
        <w:outlineLvl w:val="3"/>
        <w:rPr>
          <w:rFonts w:ascii="Times New Roman" w:hAnsi="Times New Roman"/>
          <w:b/>
          <w:szCs w:val="24"/>
        </w:rPr>
      </w:pPr>
      <w:r>
        <w:rPr>
          <w:rFonts w:ascii="Times New Roman" w:hAnsi="Times New Roman"/>
          <w:b/>
          <w:szCs w:val="24"/>
        </w:rPr>
        <w:t xml:space="preserve">6.3.2.6 </w:t>
      </w:r>
      <w:r>
        <w:rPr>
          <w:rFonts w:ascii="Times New Roman" w:hAnsi="Times New Roman"/>
          <w:b/>
          <w:szCs w:val="24"/>
        </w:rPr>
        <w:t>煤炭开采对</w:t>
      </w:r>
      <w:r>
        <w:rPr>
          <w:rFonts w:ascii="Times New Roman" w:hAnsi="Times New Roman" w:hint="eastAsia"/>
          <w:b/>
          <w:szCs w:val="24"/>
        </w:rPr>
        <w:t>鸭子荡水库</w:t>
      </w:r>
      <w:r>
        <w:rPr>
          <w:rFonts w:ascii="Times New Roman" w:hAnsi="Times New Roman"/>
          <w:b/>
          <w:szCs w:val="24"/>
        </w:rPr>
        <w:t>的影响分析</w:t>
      </w:r>
    </w:p>
    <w:p w14:paraId="5BD03BA5"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该水库离丁家梁井田较近，水库基底虽为古近系清水营组泥岩、砂质泥岩隔水岩层，但水库多为自然岸坡，仅有部分岸坡经用片石及混凝土砌筑，仅有少量地表水将入渗补给地下</w:t>
      </w:r>
      <w:r>
        <w:rPr>
          <w:rFonts w:ascii="Times New Roman" w:hAnsi="Times New Roman"/>
          <w:bCs/>
          <w:spacing w:val="-4"/>
          <w:szCs w:val="24"/>
        </w:rPr>
        <w:t>。通过</w:t>
      </w:r>
      <w:r>
        <w:rPr>
          <w:rFonts w:ascii="Times New Roman" w:hAnsi="Times New Roman" w:hint="eastAsia"/>
          <w:bCs/>
          <w:spacing w:val="-4"/>
          <w:szCs w:val="24"/>
        </w:rPr>
        <w:t>分析</w:t>
      </w:r>
      <w:r>
        <w:rPr>
          <w:rFonts w:ascii="Times New Roman" w:hAnsi="Times New Roman"/>
          <w:bCs/>
          <w:spacing w:val="-4"/>
          <w:szCs w:val="24"/>
        </w:rPr>
        <w:t>煤层开采最大导裂带</w:t>
      </w:r>
      <w:r>
        <w:rPr>
          <w:rFonts w:ascii="Times New Roman" w:hAnsi="Times New Roman" w:hint="eastAsia"/>
          <w:bCs/>
          <w:spacing w:val="-4"/>
          <w:szCs w:val="24"/>
        </w:rPr>
        <w:t>发育</w:t>
      </w:r>
      <w:r>
        <w:rPr>
          <w:rFonts w:ascii="Times New Roman" w:hAnsi="Times New Roman"/>
          <w:bCs/>
          <w:spacing w:val="-4"/>
          <w:szCs w:val="24"/>
        </w:rPr>
        <w:t>高度</w:t>
      </w:r>
      <w:r>
        <w:rPr>
          <w:rFonts w:ascii="Times New Roman" w:hAnsi="Times New Roman" w:hint="eastAsia"/>
          <w:bCs/>
          <w:spacing w:val="-4"/>
          <w:szCs w:val="24"/>
        </w:rPr>
        <w:t>，距古近系</w:t>
      </w:r>
      <w:r>
        <w:rPr>
          <w:rFonts w:ascii="Times New Roman" w:hAnsi="Times New Roman" w:hint="eastAsia"/>
          <w:bCs/>
          <w:spacing w:val="-4"/>
          <w:szCs w:val="24"/>
        </w:rPr>
        <w:t>133.29~1097.51m</w:t>
      </w:r>
      <w:r>
        <w:rPr>
          <w:rFonts w:ascii="Times New Roman" w:hAnsi="Times New Roman" w:hint="eastAsia"/>
          <w:bCs/>
          <w:spacing w:val="-4"/>
          <w:szCs w:val="24"/>
        </w:rPr>
        <w:t>，</w:t>
      </w:r>
      <w:r>
        <w:rPr>
          <w:rFonts w:ascii="Times New Roman" w:hAnsi="Times New Roman"/>
          <w:bCs/>
          <w:spacing w:val="-4"/>
          <w:szCs w:val="24"/>
        </w:rPr>
        <w:t>远未至古近系泥岩隔水层，即未破坏至古近系清水营组泥岩隔水</w:t>
      </w:r>
      <w:r>
        <w:rPr>
          <w:rFonts w:ascii="Times New Roman" w:hAnsi="Times New Roman"/>
          <w:szCs w:val="24"/>
        </w:rPr>
        <w:t>层。</w:t>
      </w:r>
      <w:r>
        <w:rPr>
          <w:rFonts w:ascii="Times New Roman" w:hAnsi="Times New Roman" w:hint="eastAsia"/>
          <w:szCs w:val="24"/>
        </w:rPr>
        <w:t>水库西侧紧邻</w:t>
      </w:r>
      <w:r>
        <w:rPr>
          <w:rFonts w:ascii="Times New Roman" w:hAnsi="Times New Roman"/>
          <w:szCs w:val="24"/>
        </w:rPr>
        <w:t>F1</w:t>
      </w:r>
      <w:r>
        <w:rPr>
          <w:rFonts w:ascii="Times New Roman" w:hAnsi="Times New Roman"/>
          <w:szCs w:val="24"/>
        </w:rPr>
        <w:t>边界断裂，开采条件下，上覆岩层发生变形，使构造裂隙扩大并使导水裂隙向上延伸，煤矿开采形成的裂隙带如果延至水库有可能沟通库水并增强与下伏岩层的水力联系</w:t>
      </w:r>
      <w:r>
        <w:rPr>
          <w:rFonts w:ascii="Times New Roman" w:hAnsi="Times New Roman" w:hint="eastAsia"/>
          <w:szCs w:val="24"/>
        </w:rPr>
        <w:t>。在采区与鸭子荡水库间为古青</w:t>
      </w:r>
      <w:r>
        <w:rPr>
          <w:rFonts w:ascii="Times New Roman" w:hAnsi="Times New Roman"/>
          <w:szCs w:val="24"/>
        </w:rPr>
        <w:t>高速公路和</w:t>
      </w:r>
      <w:r>
        <w:rPr>
          <w:rFonts w:ascii="Times New Roman" w:hAnsi="Times New Roman"/>
          <w:szCs w:val="24"/>
        </w:rPr>
        <w:t>F1</w:t>
      </w:r>
      <w:r>
        <w:rPr>
          <w:rFonts w:ascii="Times New Roman" w:hAnsi="Times New Roman"/>
          <w:szCs w:val="24"/>
        </w:rPr>
        <w:t>断层预留保护煤柱，阻隔了鸭子荡水库和井田的地下水水力联系。据沉陷预测结果，开采造成的塌陷影响</w:t>
      </w:r>
      <w:r>
        <w:rPr>
          <w:rFonts w:ascii="Times New Roman" w:hAnsi="Times New Roman" w:hint="eastAsia"/>
          <w:szCs w:val="24"/>
        </w:rPr>
        <w:t>半径</w:t>
      </w:r>
      <w:r>
        <w:rPr>
          <w:rFonts w:ascii="Times New Roman" w:hAnsi="Times New Roman"/>
          <w:szCs w:val="24"/>
        </w:rPr>
        <w:t>约</w:t>
      </w:r>
      <w:r>
        <w:rPr>
          <w:rFonts w:ascii="Times New Roman" w:hAnsi="Times New Roman" w:hint="eastAsia"/>
          <w:szCs w:val="24"/>
        </w:rPr>
        <w:t>685</w:t>
      </w:r>
      <w:r>
        <w:rPr>
          <w:rFonts w:ascii="Times New Roman" w:hAnsi="Times New Roman"/>
          <w:szCs w:val="24"/>
        </w:rPr>
        <w:t>m</w:t>
      </w:r>
      <w:r>
        <w:rPr>
          <w:rFonts w:ascii="Times New Roman" w:hAnsi="Times New Roman"/>
          <w:szCs w:val="24"/>
        </w:rPr>
        <w:t>，</w:t>
      </w:r>
      <w:r>
        <w:rPr>
          <w:rFonts w:ascii="Times New Roman" w:hAnsi="Times New Roman" w:hint="eastAsia"/>
          <w:szCs w:val="24"/>
        </w:rPr>
        <w:t>丁家梁井田东部开采边界距鸭子荡水库</w:t>
      </w:r>
      <w:r>
        <w:rPr>
          <w:rFonts w:ascii="Times New Roman" w:hAnsi="Times New Roman"/>
          <w:szCs w:val="24"/>
        </w:rPr>
        <w:t>最近距离约</w:t>
      </w:r>
      <w:r>
        <w:rPr>
          <w:rFonts w:ascii="Times New Roman" w:hAnsi="Times New Roman" w:hint="eastAsia"/>
          <w:szCs w:val="24"/>
        </w:rPr>
        <w:t>1k</w:t>
      </w:r>
      <w:r>
        <w:rPr>
          <w:rFonts w:ascii="Times New Roman" w:hAnsi="Times New Roman"/>
          <w:szCs w:val="24"/>
        </w:rPr>
        <w:t>m</w:t>
      </w:r>
      <w:r>
        <w:rPr>
          <w:rFonts w:ascii="Times New Roman" w:hAnsi="Times New Roman"/>
          <w:szCs w:val="24"/>
        </w:rPr>
        <w:t>，</w:t>
      </w:r>
      <w:r>
        <w:rPr>
          <w:rFonts w:ascii="Times New Roman" w:hAnsi="Times New Roman" w:hint="eastAsia"/>
          <w:szCs w:val="24"/>
        </w:rPr>
        <w:t>故水库</w:t>
      </w:r>
      <w:r>
        <w:rPr>
          <w:rFonts w:ascii="Times New Roman" w:hAnsi="Times New Roman"/>
          <w:szCs w:val="24"/>
        </w:rPr>
        <w:t>不会受煤炭开采沉陷的直接影响。</w:t>
      </w:r>
      <w:r>
        <w:rPr>
          <w:rFonts w:ascii="Times New Roman" w:hAnsi="Times New Roman" w:hint="eastAsia"/>
          <w:szCs w:val="24"/>
        </w:rPr>
        <w:t>综上，评价认为煤炭开采对鸭子荡水库影响较小。</w:t>
      </w:r>
    </w:p>
    <w:p w14:paraId="5E8D1FB4" w14:textId="77777777" w:rsidR="009C353B" w:rsidRDefault="00000000">
      <w:pPr>
        <w:adjustRightInd w:val="0"/>
        <w:snapToGrid w:val="0"/>
        <w:spacing w:line="440" w:lineRule="exact"/>
        <w:outlineLvl w:val="3"/>
        <w:rPr>
          <w:rFonts w:ascii="Times New Roman" w:hAnsi="Times New Roman"/>
          <w:b/>
          <w:szCs w:val="24"/>
        </w:rPr>
      </w:pPr>
      <w:r>
        <w:rPr>
          <w:rFonts w:ascii="Times New Roman" w:hAnsi="Times New Roman"/>
          <w:b/>
          <w:szCs w:val="24"/>
        </w:rPr>
        <w:t>6.3.2.</w:t>
      </w:r>
      <w:r>
        <w:rPr>
          <w:rFonts w:ascii="Times New Roman" w:hAnsi="Times New Roman" w:hint="eastAsia"/>
          <w:b/>
          <w:szCs w:val="24"/>
        </w:rPr>
        <w:t>7</w:t>
      </w:r>
      <w:r>
        <w:rPr>
          <w:rFonts w:ascii="Times New Roman" w:hAnsi="Times New Roman"/>
          <w:b/>
          <w:szCs w:val="24"/>
        </w:rPr>
        <w:t xml:space="preserve"> </w:t>
      </w:r>
      <w:r>
        <w:rPr>
          <w:rFonts w:ascii="Times New Roman" w:hAnsi="Times New Roman"/>
          <w:b/>
          <w:szCs w:val="24"/>
        </w:rPr>
        <w:t>煤炭开采对</w:t>
      </w:r>
      <w:r>
        <w:rPr>
          <w:rFonts w:ascii="Times New Roman" w:hAnsi="Times New Roman" w:hint="eastAsia"/>
          <w:b/>
          <w:szCs w:val="24"/>
        </w:rPr>
        <w:t>白芨滩自然保护区</w:t>
      </w:r>
      <w:r>
        <w:rPr>
          <w:rFonts w:ascii="Times New Roman" w:hAnsi="Times New Roman"/>
          <w:b/>
          <w:szCs w:val="24"/>
        </w:rPr>
        <w:t>的影响分析</w:t>
      </w:r>
    </w:p>
    <w:p w14:paraId="67061268"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保护区总体上属水源匮乏区，区域水源补给主要是大气降水。地下水主要是埋藏在其中的潜水，类型主要是基岩裂隙孔隙水带、碎屑岩裂隙孔隙水带。该地区潜水的聚集和贮存条件极差，地下水一般在丘陵中的沟整、洼地及大面积沙带中有少量分布。</w:t>
      </w:r>
    </w:p>
    <w:p w14:paraId="6EFD0DB3"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随着煤矿的开采，周边地区的地下水位会随之下降。若地下水位下降，对白芨滩自然保护区地下水产生影响，同时影响白芨滩自然保护区植物生长。从以下几个方面分析对白芨滩自然保护区的影响：</w:t>
      </w:r>
    </w:p>
    <w:p w14:paraId="7D0377C5"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szCs w:val="24"/>
        </w:rPr>
        <w:t>）</w:t>
      </w:r>
      <w:r>
        <w:rPr>
          <w:rFonts w:ascii="Times New Roman" w:hAnsi="Times New Roman" w:hint="eastAsia"/>
          <w:szCs w:val="24"/>
        </w:rPr>
        <w:t>保护区与矿区的距离关系：白芨滩自然保护区距离矿区最近的是任家庄煤矿，距离约</w:t>
      </w:r>
      <w:r>
        <w:rPr>
          <w:rFonts w:ascii="Times New Roman" w:hAnsi="Times New Roman" w:hint="eastAsia"/>
          <w:szCs w:val="24"/>
        </w:rPr>
        <w:t>92m</w:t>
      </w:r>
      <w:r>
        <w:rPr>
          <w:rFonts w:ascii="Times New Roman" w:hAnsi="Times New Roman" w:hint="eastAsia"/>
          <w:szCs w:val="24"/>
        </w:rPr>
        <w:t>，本次评价已提出</w:t>
      </w:r>
      <w:r>
        <w:rPr>
          <w:rFonts w:ascii="Times New Roman"/>
        </w:rPr>
        <w:t>参考本次评价计算的沉陷影响</w:t>
      </w:r>
      <w:r>
        <w:rPr>
          <w:rFonts w:ascii="Times New Roman" w:hint="eastAsia"/>
        </w:rPr>
        <w:t>半径</w:t>
      </w:r>
      <w:r>
        <w:rPr>
          <w:rFonts w:ascii="Times New Roman" w:hint="eastAsia"/>
        </w:rPr>
        <w:t>280m</w:t>
      </w:r>
      <w:r>
        <w:rPr>
          <w:rFonts w:ascii="Times New Roman"/>
        </w:rPr>
        <w:t>对自然保护区留设保护煤柱</w:t>
      </w:r>
      <w:r>
        <w:rPr>
          <w:rFonts w:ascii="Times New Roman" w:hint="eastAsia"/>
        </w:rPr>
        <w:t>。</w:t>
      </w:r>
    </w:p>
    <w:p w14:paraId="0916C891" w14:textId="77777777" w:rsidR="009C353B" w:rsidRDefault="00000000">
      <w:pPr>
        <w:spacing w:line="440" w:lineRule="exact"/>
        <w:ind w:firstLineChars="200" w:firstLine="480"/>
        <w:rPr>
          <w:rFonts w:ascii="Times New Roman" w:hAnsi="Times New Roman"/>
          <w:szCs w:val="24"/>
        </w:rPr>
      </w:pPr>
      <w:bookmarkStart w:id="259" w:name="_Hlk60233943"/>
      <w:r>
        <w:rPr>
          <w:rFonts w:ascii="Times New Roman" w:hAnsi="Times New Roman" w:hint="eastAsia"/>
          <w:szCs w:val="24"/>
        </w:rPr>
        <w:t>（</w:t>
      </w:r>
      <w:r>
        <w:rPr>
          <w:rFonts w:ascii="Times New Roman" w:hAnsi="Times New Roman"/>
          <w:szCs w:val="24"/>
        </w:rPr>
        <w:t>2</w:t>
      </w:r>
      <w:r>
        <w:rPr>
          <w:rFonts w:ascii="Times New Roman" w:hAnsi="Times New Roman" w:hint="eastAsia"/>
          <w:szCs w:val="24"/>
        </w:rPr>
        <w:t>）矿区及保护区第四系地下水均局部发育，含水层大多透水不含水，保护区内潜水的聚集和贮存条件极差，一般在丘陵中的沟壑、洼地及大面积沙带中有少量分布。根据前面导水裂缝带发育高度分析，导裂带距第四系大于</w:t>
      </w:r>
      <w:r>
        <w:rPr>
          <w:rFonts w:ascii="Times New Roman" w:hAnsi="Times New Roman" w:hint="eastAsia"/>
          <w:szCs w:val="24"/>
        </w:rPr>
        <w:t>100</w:t>
      </w:r>
      <w:r>
        <w:rPr>
          <w:rFonts w:ascii="Times New Roman" w:hAnsi="Times New Roman"/>
          <w:szCs w:val="24"/>
        </w:rPr>
        <w:t>m</w:t>
      </w:r>
      <w:r>
        <w:rPr>
          <w:rFonts w:ascii="Times New Roman" w:hAnsi="Times New Roman" w:hint="eastAsia"/>
          <w:szCs w:val="24"/>
        </w:rPr>
        <w:t>，影响不到第四系含水层，煤矿开采对第四系含水层水位、水质影响均较小</w:t>
      </w:r>
      <w:bookmarkEnd w:id="259"/>
      <w:r>
        <w:rPr>
          <w:rFonts w:ascii="Times New Roman" w:hAnsi="Times New Roman" w:hint="eastAsia"/>
          <w:szCs w:val="24"/>
        </w:rPr>
        <w:t>。</w:t>
      </w:r>
    </w:p>
    <w:p w14:paraId="4A1909DD"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szCs w:val="24"/>
        </w:rPr>
        <w:t>3</w:t>
      </w:r>
      <w:r>
        <w:rPr>
          <w:rFonts w:ascii="Times New Roman" w:hAnsi="Times New Roman" w:hint="eastAsia"/>
          <w:szCs w:val="24"/>
        </w:rPr>
        <w:t>）第四系潜水含水层与下部基岩裂隙孔隙含水层水力联系微弱。第四系潜水含水层下部存在厚层古近系清水营组粘土隔水层，隔水层结构致密，具有可塑性，是第四系与基岩裂隙孔隙含水层之间稳定且隔水性能良好的的隔水介质，在丁家梁井田厚度约</w:t>
      </w:r>
      <w:r>
        <w:rPr>
          <w:rFonts w:ascii="Times New Roman" w:hAnsi="Times New Roman"/>
          <w:szCs w:val="24"/>
        </w:rPr>
        <w:t>80</w:t>
      </w:r>
      <w:r>
        <w:rPr>
          <w:rFonts w:ascii="Times New Roman" w:hAnsi="Times New Roman"/>
          <w:szCs w:val="24"/>
        </w:rPr>
        <w:t>～</w:t>
      </w:r>
      <w:r>
        <w:rPr>
          <w:rFonts w:ascii="Times New Roman" w:hAnsi="Times New Roman"/>
          <w:szCs w:val="24"/>
        </w:rPr>
        <w:t>130m</w:t>
      </w:r>
      <w:r>
        <w:rPr>
          <w:rFonts w:ascii="Times New Roman" w:hAnsi="Times New Roman"/>
          <w:szCs w:val="24"/>
        </w:rPr>
        <w:t>，马莲台煤矿</w:t>
      </w:r>
      <w:r>
        <w:rPr>
          <w:rFonts w:ascii="Times New Roman" w:hAnsi="Times New Roman" w:hint="eastAsia"/>
          <w:szCs w:val="24"/>
        </w:rPr>
        <w:t>平均厚</w:t>
      </w:r>
      <w:r>
        <w:rPr>
          <w:rFonts w:ascii="Times New Roman" w:hAnsi="Times New Roman"/>
          <w:szCs w:val="24"/>
        </w:rPr>
        <w:t>175m</w:t>
      </w:r>
      <w:r>
        <w:rPr>
          <w:rFonts w:ascii="Times New Roman" w:hAnsi="Times New Roman"/>
          <w:szCs w:val="24"/>
        </w:rPr>
        <w:t>，红石湾煤矿平均厚</w:t>
      </w:r>
      <w:r>
        <w:rPr>
          <w:rFonts w:ascii="Times New Roman" w:hAnsi="Times New Roman"/>
          <w:szCs w:val="24"/>
        </w:rPr>
        <w:t>160m</w:t>
      </w:r>
      <w:r>
        <w:rPr>
          <w:rFonts w:ascii="Times New Roman" w:hAnsi="Times New Roman"/>
          <w:szCs w:val="24"/>
        </w:rPr>
        <w:t>左右，任家庄</w:t>
      </w:r>
      <w:r>
        <w:rPr>
          <w:rFonts w:ascii="Times New Roman" w:hAnsi="Times New Roman" w:hint="eastAsia"/>
          <w:szCs w:val="24"/>
        </w:rPr>
        <w:t>煤矿</w:t>
      </w:r>
      <w:r>
        <w:rPr>
          <w:rFonts w:ascii="Times New Roman" w:hAnsi="Times New Roman"/>
          <w:szCs w:val="24"/>
        </w:rPr>
        <w:t>平均厚</w:t>
      </w:r>
      <w:r>
        <w:rPr>
          <w:rFonts w:ascii="Times New Roman" w:hAnsi="Times New Roman"/>
          <w:szCs w:val="24"/>
        </w:rPr>
        <w:t>90m</w:t>
      </w:r>
      <w:r>
        <w:rPr>
          <w:rFonts w:ascii="Times New Roman" w:hAnsi="Times New Roman"/>
          <w:szCs w:val="24"/>
        </w:rPr>
        <w:t>。故</w:t>
      </w:r>
      <w:r>
        <w:rPr>
          <w:rFonts w:ascii="Times New Roman" w:hAnsi="Times New Roman" w:hint="eastAsia"/>
          <w:szCs w:val="24"/>
        </w:rPr>
        <w:t>矿区</w:t>
      </w:r>
      <w:r>
        <w:rPr>
          <w:rFonts w:ascii="Times New Roman" w:hAnsi="Times New Roman"/>
          <w:szCs w:val="24"/>
        </w:rPr>
        <w:t>地下开采</w:t>
      </w:r>
      <w:r>
        <w:rPr>
          <w:rFonts w:ascii="Times New Roman" w:hAnsi="Times New Roman" w:hint="eastAsia"/>
          <w:szCs w:val="24"/>
        </w:rPr>
        <w:t>疏排下部基岩裂隙孔隙含水层时，对第四系含水层不会</w:t>
      </w:r>
      <w:r>
        <w:rPr>
          <w:rFonts w:ascii="Times New Roman" w:hAnsi="Times New Roman"/>
          <w:szCs w:val="24"/>
        </w:rPr>
        <w:t>产生直接影响，其间接影响也较轻微。</w:t>
      </w:r>
    </w:p>
    <w:p w14:paraId="3D9C3D0D"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szCs w:val="24"/>
        </w:rPr>
        <w:t>4</w:t>
      </w:r>
      <w:r>
        <w:rPr>
          <w:rFonts w:ascii="Times New Roman" w:hAnsi="Times New Roman" w:hint="eastAsia"/>
          <w:szCs w:val="24"/>
        </w:rPr>
        <w:t>）白芨滩自然保护区属于荒漠生态系统，保护区内的植被主要为荒漠植被和沙生植被，主要依赖大气降水和凝结水生长，对地下水的依赖性不大。</w:t>
      </w:r>
    </w:p>
    <w:p w14:paraId="2DDEE66D"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因此，保护区内的第四系含水层地下水水位、水质基本不受煤矿开采影响，基本不会对白芨滩自然保护区植被产生影响。</w:t>
      </w:r>
    </w:p>
    <w:p w14:paraId="5B3AC11B" w14:textId="77777777" w:rsidR="009C353B" w:rsidRDefault="00000000">
      <w:pPr>
        <w:pStyle w:val="2"/>
        <w:snapToGrid w:val="0"/>
        <w:spacing w:line="440" w:lineRule="exact"/>
        <w:rPr>
          <w:rFonts w:ascii="Times New Roman" w:eastAsia="宋体" w:hAnsi="Times New Roman"/>
          <w:b/>
          <w:sz w:val="28"/>
        </w:rPr>
      </w:pPr>
      <w:bookmarkStart w:id="260" w:name="_Toc163441004"/>
      <w:bookmarkStart w:id="261" w:name="_Toc59189849"/>
      <w:r>
        <w:rPr>
          <w:rFonts w:ascii="Times New Roman" w:eastAsia="宋体" w:hAnsi="Times New Roman" w:hint="eastAsia"/>
          <w:b/>
          <w:sz w:val="28"/>
        </w:rPr>
        <w:t>6</w:t>
      </w:r>
      <w:r>
        <w:rPr>
          <w:rFonts w:ascii="Times New Roman" w:eastAsia="宋体" w:hAnsi="Times New Roman"/>
          <w:b/>
          <w:sz w:val="28"/>
        </w:rPr>
        <w:t xml:space="preserve">.4 </w:t>
      </w:r>
      <w:r>
        <w:rPr>
          <w:rFonts w:ascii="Times New Roman" w:eastAsia="宋体" w:hAnsi="Times New Roman"/>
          <w:b/>
          <w:sz w:val="28"/>
        </w:rPr>
        <w:t>环境空气影响</w:t>
      </w:r>
      <w:bookmarkEnd w:id="260"/>
      <w:r>
        <w:rPr>
          <w:rFonts w:ascii="Times New Roman" w:eastAsia="宋体" w:hAnsi="Times New Roman"/>
          <w:b/>
          <w:sz w:val="28"/>
        </w:rPr>
        <w:t>分析</w:t>
      </w:r>
      <w:bookmarkEnd w:id="261"/>
    </w:p>
    <w:p w14:paraId="780F1D05" w14:textId="77777777" w:rsidR="009C353B" w:rsidRDefault="00000000">
      <w:pPr>
        <w:pStyle w:val="3"/>
        <w:adjustRightInd w:val="0"/>
        <w:snapToGrid w:val="0"/>
        <w:spacing w:before="0" w:after="0" w:line="440" w:lineRule="exact"/>
        <w:rPr>
          <w:rFonts w:ascii="Times New Roman" w:hAnsi="Times New Roman"/>
          <w:sz w:val="24"/>
        </w:rPr>
      </w:pPr>
      <w:bookmarkStart w:id="262" w:name="_Toc156188936"/>
      <w:bookmarkStart w:id="263" w:name="_Toc125192830"/>
      <w:r>
        <w:rPr>
          <w:rFonts w:ascii="Times New Roman" w:hAnsi="Times New Roman"/>
          <w:sz w:val="24"/>
        </w:rPr>
        <w:t>6.</w:t>
      </w:r>
      <w:r>
        <w:rPr>
          <w:rFonts w:ascii="Times New Roman" w:hAnsi="Times New Roman" w:hint="eastAsia"/>
          <w:sz w:val="24"/>
        </w:rPr>
        <w:t>4</w:t>
      </w:r>
      <w:r>
        <w:rPr>
          <w:rFonts w:ascii="Times New Roman" w:hAnsi="Times New Roman"/>
          <w:sz w:val="24"/>
        </w:rPr>
        <w:t xml:space="preserve">.1 </w:t>
      </w:r>
      <w:r>
        <w:rPr>
          <w:rFonts w:ascii="Times New Roman" w:hAnsi="Times New Roman" w:hint="eastAsia"/>
          <w:sz w:val="24"/>
        </w:rPr>
        <w:t>区域气象特征</w:t>
      </w:r>
    </w:p>
    <w:p w14:paraId="76D93E73"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本次评价采用距离矿区最近的灵武气象站的气象数据，该站拥有长期的气象观测资料，气象站位于宁夏回族自治区银川市，地理坐标为东经</w:t>
      </w:r>
      <w:r>
        <w:rPr>
          <w:rFonts w:ascii="Times New Roman" w:hint="eastAsia"/>
        </w:rPr>
        <w:t>106.3</w:t>
      </w:r>
      <w:r>
        <w:rPr>
          <w:rFonts w:ascii="Times New Roman" w:hint="eastAsia"/>
        </w:rPr>
        <w:t>度，北纬</w:t>
      </w:r>
      <w:r>
        <w:rPr>
          <w:rFonts w:ascii="Times New Roman" w:hint="eastAsia"/>
        </w:rPr>
        <w:t>38.1167</w:t>
      </w:r>
      <w:r>
        <w:rPr>
          <w:rFonts w:ascii="Times New Roman" w:hint="eastAsia"/>
        </w:rPr>
        <w:t>度，海拔高度</w:t>
      </w:r>
      <w:r>
        <w:rPr>
          <w:rFonts w:ascii="Times New Roman" w:hint="eastAsia"/>
        </w:rPr>
        <w:t>1115.9m</w:t>
      </w:r>
      <w:r>
        <w:rPr>
          <w:rFonts w:ascii="Times New Roman" w:hint="eastAsia"/>
        </w:rPr>
        <w:t>，收集了</w:t>
      </w:r>
      <w:r>
        <w:rPr>
          <w:rFonts w:ascii="Times New Roman" w:hint="eastAsia"/>
        </w:rPr>
        <w:t>1998</w:t>
      </w:r>
      <w:r>
        <w:rPr>
          <w:rFonts w:ascii="Times New Roman" w:hint="eastAsia"/>
        </w:rPr>
        <w:t>年</w:t>
      </w:r>
      <w:r>
        <w:rPr>
          <w:rFonts w:ascii="Times New Roman" w:hint="eastAsia"/>
        </w:rPr>
        <w:t>-2017</w:t>
      </w:r>
      <w:r>
        <w:rPr>
          <w:rFonts w:ascii="Times New Roman" w:hint="eastAsia"/>
        </w:rPr>
        <w:t>年的主要气候资料，气象参数统计结果见表</w:t>
      </w:r>
      <w:r>
        <w:rPr>
          <w:rFonts w:ascii="Times New Roman" w:hint="eastAsia"/>
        </w:rPr>
        <w:t>6.4-1</w:t>
      </w:r>
      <w:r>
        <w:rPr>
          <w:rFonts w:ascii="Times New Roman" w:hint="eastAsia"/>
        </w:rPr>
        <w:t>。</w:t>
      </w:r>
    </w:p>
    <w:p w14:paraId="073DC8E0" w14:textId="77777777" w:rsidR="009C353B" w:rsidRDefault="009C353B">
      <w:pPr>
        <w:adjustRightInd w:val="0"/>
        <w:snapToGrid w:val="0"/>
        <w:spacing w:line="440" w:lineRule="exact"/>
        <w:ind w:firstLineChars="200" w:firstLine="480"/>
        <w:rPr>
          <w:rFonts w:ascii="Times New Roman" w:hint="eastAsia"/>
        </w:rPr>
      </w:pPr>
    </w:p>
    <w:p w14:paraId="68500008" w14:textId="77777777" w:rsidR="009C353B" w:rsidRDefault="009C353B">
      <w:pPr>
        <w:adjustRightInd w:val="0"/>
        <w:snapToGrid w:val="0"/>
        <w:spacing w:line="440" w:lineRule="exact"/>
        <w:ind w:firstLineChars="200" w:firstLine="480"/>
        <w:rPr>
          <w:rFonts w:ascii="Times New Roman" w:hint="eastAsia"/>
        </w:rPr>
      </w:pPr>
    </w:p>
    <w:p w14:paraId="601E17C2" w14:textId="77777777" w:rsidR="009C353B" w:rsidRDefault="009C353B">
      <w:pPr>
        <w:adjustRightInd w:val="0"/>
        <w:snapToGrid w:val="0"/>
        <w:spacing w:line="440" w:lineRule="exact"/>
        <w:ind w:firstLineChars="200" w:firstLine="480"/>
        <w:rPr>
          <w:rFonts w:ascii="Times New Roman" w:hint="eastAsia"/>
        </w:rPr>
      </w:pPr>
    </w:p>
    <w:p w14:paraId="7D825A0B" w14:textId="77777777" w:rsidR="009C353B" w:rsidRDefault="009C353B">
      <w:pPr>
        <w:adjustRightInd w:val="0"/>
        <w:snapToGrid w:val="0"/>
        <w:spacing w:line="440" w:lineRule="exact"/>
        <w:ind w:firstLineChars="200" w:firstLine="480"/>
        <w:rPr>
          <w:rFonts w:ascii="Times New Roman" w:hint="eastAsia"/>
        </w:rPr>
      </w:pPr>
    </w:p>
    <w:p w14:paraId="0CC55FC5" w14:textId="77777777" w:rsidR="009C353B" w:rsidRDefault="009C353B">
      <w:pPr>
        <w:adjustRightInd w:val="0"/>
        <w:snapToGrid w:val="0"/>
        <w:spacing w:line="440" w:lineRule="exact"/>
        <w:ind w:firstLineChars="200" w:firstLine="480"/>
        <w:rPr>
          <w:rFonts w:ascii="Times New Roman" w:hint="eastAsia"/>
        </w:rPr>
      </w:pPr>
    </w:p>
    <w:p w14:paraId="0AF7C124" w14:textId="77777777" w:rsidR="009C353B" w:rsidRDefault="009C353B">
      <w:pPr>
        <w:adjustRightInd w:val="0"/>
        <w:snapToGrid w:val="0"/>
        <w:spacing w:line="440" w:lineRule="exact"/>
        <w:ind w:firstLineChars="200" w:firstLine="480"/>
        <w:rPr>
          <w:rFonts w:ascii="Times New Roman" w:hint="eastAsia"/>
        </w:rPr>
      </w:pPr>
    </w:p>
    <w:p w14:paraId="5DB93ADF" w14:textId="77777777" w:rsidR="009C353B" w:rsidRDefault="009C353B">
      <w:pPr>
        <w:adjustRightInd w:val="0"/>
        <w:snapToGrid w:val="0"/>
        <w:spacing w:line="440" w:lineRule="exact"/>
        <w:ind w:firstLineChars="200" w:firstLine="480"/>
        <w:rPr>
          <w:rFonts w:ascii="Times New Roman" w:hint="eastAsia"/>
        </w:rPr>
      </w:pPr>
    </w:p>
    <w:p w14:paraId="26147114" w14:textId="77777777" w:rsidR="009C353B" w:rsidRDefault="009C353B">
      <w:pPr>
        <w:adjustRightInd w:val="0"/>
        <w:snapToGrid w:val="0"/>
        <w:spacing w:line="440" w:lineRule="exact"/>
        <w:ind w:firstLineChars="200" w:firstLine="480"/>
        <w:rPr>
          <w:rFonts w:ascii="Times New Roman" w:hint="eastAsia"/>
        </w:rPr>
      </w:pPr>
    </w:p>
    <w:p w14:paraId="7942CD9A" w14:textId="77777777" w:rsidR="009C353B" w:rsidRDefault="009C353B">
      <w:pPr>
        <w:adjustRightInd w:val="0"/>
        <w:snapToGrid w:val="0"/>
        <w:spacing w:line="440" w:lineRule="exact"/>
        <w:ind w:firstLineChars="200" w:firstLine="480"/>
        <w:rPr>
          <w:rFonts w:ascii="Times New Roman" w:hint="eastAsia"/>
        </w:rPr>
      </w:pPr>
    </w:p>
    <w:p w14:paraId="12D675C6" w14:textId="77777777" w:rsidR="009C353B" w:rsidRDefault="00000000">
      <w:pPr>
        <w:adjustRightInd w:val="0"/>
        <w:snapToGrid w:val="0"/>
        <w:spacing w:line="440" w:lineRule="exact"/>
        <w:jc w:val="center"/>
        <w:rPr>
          <w:rFonts w:ascii="Times New Roman" w:hint="eastAsia"/>
          <w:b/>
        </w:rPr>
      </w:pPr>
      <w:r>
        <w:rPr>
          <w:rFonts w:ascii="Times New Roman" w:hint="eastAsia"/>
          <w:b/>
        </w:rPr>
        <w:t>灵武气象站常规气象参数统计（</w:t>
      </w:r>
      <w:r>
        <w:rPr>
          <w:rFonts w:ascii="Times New Roman" w:hint="eastAsia"/>
          <w:b/>
        </w:rPr>
        <w:t>1998</w:t>
      </w:r>
      <w:r>
        <w:rPr>
          <w:rFonts w:ascii="Times New Roman" w:hint="eastAsia"/>
          <w:b/>
        </w:rPr>
        <w:t>年</w:t>
      </w:r>
      <w:r>
        <w:rPr>
          <w:rFonts w:ascii="Times New Roman" w:hint="eastAsia"/>
          <w:b/>
        </w:rPr>
        <w:t>-2017</w:t>
      </w:r>
      <w:r>
        <w:rPr>
          <w:rFonts w:ascii="Times New Roman" w:hint="eastAsia"/>
          <w:b/>
        </w:rPr>
        <w:t>年）</w:t>
      </w:r>
    </w:p>
    <w:p w14:paraId="4870E4E7" w14:textId="77777777" w:rsidR="009C353B" w:rsidRDefault="00000000">
      <w:pPr>
        <w:adjustRightInd w:val="0"/>
        <w:snapToGrid w:val="0"/>
        <w:spacing w:line="440" w:lineRule="exact"/>
        <w:rPr>
          <w:rFonts w:ascii="Times New Roman" w:hint="eastAsia"/>
        </w:rPr>
      </w:pPr>
      <w:r>
        <w:rPr>
          <w:rFonts w:ascii="Times New Roman" w:hint="eastAsia"/>
        </w:rPr>
        <w:t>表</w:t>
      </w:r>
      <w:r>
        <w:rPr>
          <w:rFonts w:ascii="Times New Roman" w:hint="eastAsia"/>
        </w:rPr>
        <w:t>6.4-1</w:t>
      </w:r>
    </w:p>
    <w:tbl>
      <w:tblPr>
        <w:tblStyle w:val="afffb"/>
        <w:tblW w:w="5000" w:type="pct"/>
        <w:jc w:val="center"/>
        <w:tblLook w:val="04A0" w:firstRow="1" w:lastRow="0" w:firstColumn="1" w:lastColumn="0" w:noHBand="0" w:noVBand="1"/>
      </w:tblPr>
      <w:tblGrid>
        <w:gridCol w:w="698"/>
        <w:gridCol w:w="831"/>
        <w:gridCol w:w="3014"/>
        <w:gridCol w:w="1802"/>
        <w:gridCol w:w="1538"/>
        <w:gridCol w:w="1404"/>
      </w:tblGrid>
      <w:tr w:rsidR="009C353B" w14:paraId="44127BAB" w14:textId="77777777">
        <w:trPr>
          <w:trHeight w:val="514"/>
          <w:jc w:val="center"/>
        </w:trPr>
        <w:tc>
          <w:tcPr>
            <w:tcW w:w="710" w:type="dxa"/>
            <w:vAlign w:val="center"/>
          </w:tcPr>
          <w:p w14:paraId="2E0A3FB2" w14:textId="77777777" w:rsidR="009C353B" w:rsidRDefault="00000000">
            <w:pPr>
              <w:adjustRightInd w:val="0"/>
              <w:snapToGrid w:val="0"/>
              <w:jc w:val="center"/>
              <w:rPr>
                <w:rFonts w:ascii="Times New Roman" w:hAnsi="Times New Roman"/>
                <w:sz w:val="21"/>
                <w:szCs w:val="21"/>
              </w:rPr>
            </w:pPr>
            <w:r>
              <w:rPr>
                <w:rFonts w:ascii="Times New Roman"/>
                <w:sz w:val="21"/>
                <w:szCs w:val="21"/>
              </w:rPr>
              <w:t>序号</w:t>
            </w:r>
          </w:p>
        </w:tc>
        <w:tc>
          <w:tcPr>
            <w:tcW w:w="3969" w:type="dxa"/>
            <w:gridSpan w:val="2"/>
            <w:vAlign w:val="center"/>
          </w:tcPr>
          <w:p w14:paraId="5A3A57F8" w14:textId="77777777" w:rsidR="009C353B" w:rsidRDefault="00000000">
            <w:pPr>
              <w:adjustRightInd w:val="0"/>
              <w:snapToGrid w:val="0"/>
              <w:jc w:val="center"/>
              <w:rPr>
                <w:rFonts w:ascii="Times New Roman" w:hAnsi="Times New Roman"/>
                <w:sz w:val="21"/>
                <w:szCs w:val="21"/>
              </w:rPr>
            </w:pPr>
            <w:r>
              <w:rPr>
                <w:rFonts w:ascii="Times New Roman"/>
                <w:sz w:val="21"/>
                <w:szCs w:val="21"/>
              </w:rPr>
              <w:t>统计项目</w:t>
            </w:r>
          </w:p>
        </w:tc>
        <w:tc>
          <w:tcPr>
            <w:tcW w:w="1842" w:type="dxa"/>
            <w:vAlign w:val="center"/>
          </w:tcPr>
          <w:p w14:paraId="0B4DA9CD" w14:textId="77777777" w:rsidR="009C353B" w:rsidRDefault="00000000">
            <w:pPr>
              <w:adjustRightInd w:val="0"/>
              <w:snapToGrid w:val="0"/>
              <w:jc w:val="center"/>
              <w:rPr>
                <w:rFonts w:ascii="Times New Roman" w:hAnsi="Times New Roman"/>
                <w:sz w:val="21"/>
                <w:szCs w:val="21"/>
              </w:rPr>
            </w:pPr>
            <w:r>
              <w:rPr>
                <w:rFonts w:ascii="Times New Roman"/>
                <w:sz w:val="21"/>
                <w:szCs w:val="21"/>
              </w:rPr>
              <w:t>统计值</w:t>
            </w:r>
          </w:p>
        </w:tc>
        <w:tc>
          <w:tcPr>
            <w:tcW w:w="1560" w:type="dxa"/>
            <w:vAlign w:val="center"/>
          </w:tcPr>
          <w:p w14:paraId="3D77D5BF" w14:textId="77777777" w:rsidR="009C353B" w:rsidRDefault="00000000">
            <w:pPr>
              <w:adjustRightInd w:val="0"/>
              <w:snapToGrid w:val="0"/>
              <w:jc w:val="center"/>
              <w:rPr>
                <w:rFonts w:ascii="Times New Roman" w:hAnsi="Times New Roman"/>
                <w:sz w:val="21"/>
                <w:szCs w:val="21"/>
              </w:rPr>
            </w:pPr>
            <w:r>
              <w:rPr>
                <w:rFonts w:ascii="Times New Roman"/>
                <w:sz w:val="21"/>
                <w:szCs w:val="21"/>
              </w:rPr>
              <w:t>极值出现时间</w:t>
            </w:r>
          </w:p>
        </w:tc>
        <w:tc>
          <w:tcPr>
            <w:tcW w:w="1417" w:type="dxa"/>
            <w:vAlign w:val="center"/>
          </w:tcPr>
          <w:p w14:paraId="394FC3AC" w14:textId="77777777" w:rsidR="009C353B" w:rsidRDefault="00000000">
            <w:pPr>
              <w:adjustRightInd w:val="0"/>
              <w:snapToGrid w:val="0"/>
              <w:jc w:val="center"/>
              <w:rPr>
                <w:rFonts w:ascii="Times New Roman" w:hAnsi="Times New Roman"/>
                <w:sz w:val="21"/>
                <w:szCs w:val="21"/>
              </w:rPr>
            </w:pPr>
            <w:r>
              <w:rPr>
                <w:rFonts w:ascii="Times New Roman"/>
                <w:sz w:val="21"/>
                <w:szCs w:val="21"/>
              </w:rPr>
              <w:t>极值</w:t>
            </w:r>
          </w:p>
        </w:tc>
      </w:tr>
      <w:tr w:rsidR="009C353B" w14:paraId="5766A84F" w14:textId="77777777">
        <w:trPr>
          <w:trHeight w:val="408"/>
          <w:jc w:val="center"/>
        </w:trPr>
        <w:tc>
          <w:tcPr>
            <w:tcW w:w="710" w:type="dxa"/>
            <w:vAlign w:val="center"/>
          </w:tcPr>
          <w:p w14:paraId="141F355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w:t>
            </w:r>
          </w:p>
        </w:tc>
        <w:tc>
          <w:tcPr>
            <w:tcW w:w="3969" w:type="dxa"/>
            <w:gridSpan w:val="2"/>
            <w:vAlign w:val="center"/>
          </w:tcPr>
          <w:p w14:paraId="0C4D81B4"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多年平均气温（</w:t>
            </w:r>
            <w:r>
              <w:rPr>
                <w:rFonts w:ascii="Times New Roman" w:hAnsi="Times New Roman"/>
                <w:sz w:val="21"/>
                <w:szCs w:val="21"/>
              </w:rPr>
              <w:t>℃</w:t>
            </w:r>
            <w:r>
              <w:rPr>
                <w:rFonts w:ascii="Times New Roman"/>
                <w:sz w:val="21"/>
                <w:szCs w:val="21"/>
              </w:rPr>
              <w:t>）</w:t>
            </w:r>
          </w:p>
        </w:tc>
        <w:tc>
          <w:tcPr>
            <w:tcW w:w="1842" w:type="dxa"/>
            <w:vAlign w:val="center"/>
          </w:tcPr>
          <w:p w14:paraId="147593F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9.8</w:t>
            </w:r>
          </w:p>
        </w:tc>
        <w:tc>
          <w:tcPr>
            <w:tcW w:w="1560" w:type="dxa"/>
            <w:vAlign w:val="center"/>
          </w:tcPr>
          <w:p w14:paraId="7DBAE9D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417" w:type="dxa"/>
            <w:vAlign w:val="center"/>
          </w:tcPr>
          <w:p w14:paraId="06AA896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r>
      <w:tr w:rsidR="009C353B" w14:paraId="1F514A42" w14:textId="77777777">
        <w:trPr>
          <w:trHeight w:val="413"/>
          <w:jc w:val="center"/>
        </w:trPr>
        <w:tc>
          <w:tcPr>
            <w:tcW w:w="710" w:type="dxa"/>
            <w:vAlign w:val="center"/>
          </w:tcPr>
          <w:p w14:paraId="1853C1C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w:t>
            </w:r>
          </w:p>
        </w:tc>
        <w:tc>
          <w:tcPr>
            <w:tcW w:w="3969" w:type="dxa"/>
            <w:gridSpan w:val="2"/>
            <w:vAlign w:val="center"/>
          </w:tcPr>
          <w:p w14:paraId="603CE7E5" w14:textId="77777777" w:rsidR="009C353B" w:rsidRDefault="00000000">
            <w:pPr>
              <w:adjustRightInd w:val="0"/>
              <w:snapToGrid w:val="0"/>
              <w:jc w:val="center"/>
              <w:rPr>
                <w:rFonts w:ascii="Times New Roman" w:hAnsi="Times New Roman"/>
                <w:sz w:val="21"/>
                <w:szCs w:val="21"/>
              </w:rPr>
            </w:pPr>
            <w:r>
              <w:rPr>
                <w:rFonts w:ascii="Times New Roman"/>
                <w:sz w:val="21"/>
                <w:szCs w:val="21"/>
              </w:rPr>
              <w:t>累年极端最高气温（</w:t>
            </w:r>
            <w:r>
              <w:rPr>
                <w:rFonts w:ascii="Times New Roman" w:hAnsi="Times New Roman"/>
                <w:sz w:val="21"/>
                <w:szCs w:val="21"/>
              </w:rPr>
              <w:t>℃</w:t>
            </w:r>
            <w:r>
              <w:rPr>
                <w:rFonts w:ascii="Times New Roman"/>
                <w:sz w:val="21"/>
                <w:szCs w:val="21"/>
              </w:rPr>
              <w:t>）</w:t>
            </w:r>
          </w:p>
        </w:tc>
        <w:tc>
          <w:tcPr>
            <w:tcW w:w="1842" w:type="dxa"/>
            <w:vAlign w:val="center"/>
          </w:tcPr>
          <w:p w14:paraId="1B9933C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36.2</w:t>
            </w:r>
          </w:p>
        </w:tc>
        <w:tc>
          <w:tcPr>
            <w:tcW w:w="1560" w:type="dxa"/>
            <w:vAlign w:val="center"/>
          </w:tcPr>
          <w:p w14:paraId="5F642F3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2017.7.12</w:t>
            </w:r>
          </w:p>
        </w:tc>
        <w:tc>
          <w:tcPr>
            <w:tcW w:w="1417" w:type="dxa"/>
            <w:vAlign w:val="center"/>
          </w:tcPr>
          <w:p w14:paraId="2174F7C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38.7</w:t>
            </w:r>
          </w:p>
        </w:tc>
      </w:tr>
      <w:tr w:rsidR="009C353B" w14:paraId="6929CF30" w14:textId="77777777">
        <w:trPr>
          <w:trHeight w:val="419"/>
          <w:jc w:val="center"/>
        </w:trPr>
        <w:tc>
          <w:tcPr>
            <w:tcW w:w="710" w:type="dxa"/>
            <w:vAlign w:val="center"/>
          </w:tcPr>
          <w:p w14:paraId="0C9A80B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w:t>
            </w:r>
          </w:p>
        </w:tc>
        <w:tc>
          <w:tcPr>
            <w:tcW w:w="3969" w:type="dxa"/>
            <w:gridSpan w:val="2"/>
            <w:vAlign w:val="center"/>
          </w:tcPr>
          <w:p w14:paraId="1E48FC45" w14:textId="77777777" w:rsidR="009C353B" w:rsidRDefault="00000000">
            <w:pPr>
              <w:adjustRightInd w:val="0"/>
              <w:snapToGrid w:val="0"/>
              <w:jc w:val="center"/>
              <w:rPr>
                <w:rFonts w:ascii="Times New Roman" w:hAnsi="Times New Roman"/>
                <w:sz w:val="21"/>
                <w:szCs w:val="21"/>
              </w:rPr>
            </w:pPr>
            <w:r>
              <w:rPr>
                <w:rFonts w:ascii="Times New Roman"/>
                <w:sz w:val="21"/>
                <w:szCs w:val="21"/>
              </w:rPr>
              <w:t>累年极端最低气温（</w:t>
            </w:r>
            <w:r>
              <w:rPr>
                <w:rFonts w:ascii="Times New Roman" w:hAnsi="Times New Roman"/>
                <w:sz w:val="21"/>
                <w:szCs w:val="21"/>
              </w:rPr>
              <w:t>℃</w:t>
            </w:r>
            <w:r>
              <w:rPr>
                <w:rFonts w:ascii="Times New Roman"/>
                <w:sz w:val="21"/>
                <w:szCs w:val="21"/>
              </w:rPr>
              <w:t>）</w:t>
            </w:r>
          </w:p>
        </w:tc>
        <w:tc>
          <w:tcPr>
            <w:tcW w:w="1842" w:type="dxa"/>
            <w:vAlign w:val="center"/>
          </w:tcPr>
          <w:p w14:paraId="7102AC5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-21.7</w:t>
            </w:r>
          </w:p>
        </w:tc>
        <w:tc>
          <w:tcPr>
            <w:tcW w:w="1560" w:type="dxa"/>
            <w:vAlign w:val="center"/>
          </w:tcPr>
          <w:p w14:paraId="0E9A9E8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2008.2.1</w:t>
            </w:r>
          </w:p>
        </w:tc>
        <w:tc>
          <w:tcPr>
            <w:tcW w:w="1417" w:type="dxa"/>
            <w:vAlign w:val="center"/>
          </w:tcPr>
          <w:p w14:paraId="5CC0BD4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-26.6</w:t>
            </w:r>
          </w:p>
        </w:tc>
      </w:tr>
      <w:tr w:rsidR="009C353B" w14:paraId="46E679D0" w14:textId="77777777">
        <w:trPr>
          <w:trHeight w:val="412"/>
          <w:jc w:val="center"/>
        </w:trPr>
        <w:tc>
          <w:tcPr>
            <w:tcW w:w="710" w:type="dxa"/>
            <w:vAlign w:val="center"/>
          </w:tcPr>
          <w:p w14:paraId="03FE5D7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4</w:t>
            </w:r>
          </w:p>
        </w:tc>
        <w:tc>
          <w:tcPr>
            <w:tcW w:w="3969" w:type="dxa"/>
            <w:gridSpan w:val="2"/>
            <w:vAlign w:val="center"/>
          </w:tcPr>
          <w:p w14:paraId="5053C5AA"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多年平均气压（</w:t>
            </w:r>
            <w:r>
              <w:rPr>
                <w:rFonts w:ascii="Times New Roman" w:hAnsi="Times New Roman"/>
                <w:sz w:val="21"/>
                <w:szCs w:val="21"/>
              </w:rPr>
              <w:t>hPa</w:t>
            </w:r>
            <w:r>
              <w:rPr>
                <w:rFonts w:ascii="Times New Roman"/>
                <w:sz w:val="21"/>
                <w:szCs w:val="21"/>
              </w:rPr>
              <w:t>）</w:t>
            </w:r>
          </w:p>
        </w:tc>
        <w:tc>
          <w:tcPr>
            <w:tcW w:w="1842" w:type="dxa"/>
            <w:vAlign w:val="center"/>
          </w:tcPr>
          <w:p w14:paraId="38D2F02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889.9</w:t>
            </w:r>
          </w:p>
        </w:tc>
        <w:tc>
          <w:tcPr>
            <w:tcW w:w="1560" w:type="dxa"/>
            <w:vAlign w:val="center"/>
          </w:tcPr>
          <w:p w14:paraId="0F533F5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417" w:type="dxa"/>
            <w:vAlign w:val="center"/>
          </w:tcPr>
          <w:p w14:paraId="07B1B12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r>
      <w:tr w:rsidR="009C353B" w14:paraId="0D5ECC99" w14:textId="77777777">
        <w:trPr>
          <w:trHeight w:val="418"/>
          <w:jc w:val="center"/>
        </w:trPr>
        <w:tc>
          <w:tcPr>
            <w:tcW w:w="710" w:type="dxa"/>
            <w:vAlign w:val="center"/>
          </w:tcPr>
          <w:p w14:paraId="12DC0D7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w:t>
            </w:r>
          </w:p>
        </w:tc>
        <w:tc>
          <w:tcPr>
            <w:tcW w:w="3969" w:type="dxa"/>
            <w:gridSpan w:val="2"/>
            <w:vAlign w:val="center"/>
          </w:tcPr>
          <w:p w14:paraId="1EFC323E"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多年平均水汽压（</w:t>
            </w:r>
            <w:r>
              <w:rPr>
                <w:rFonts w:ascii="Times New Roman" w:hAnsi="Times New Roman"/>
                <w:sz w:val="21"/>
                <w:szCs w:val="21"/>
              </w:rPr>
              <w:t>hPa</w:t>
            </w:r>
            <w:r>
              <w:rPr>
                <w:rFonts w:ascii="Times New Roman"/>
                <w:sz w:val="21"/>
                <w:szCs w:val="21"/>
              </w:rPr>
              <w:t>）</w:t>
            </w:r>
          </w:p>
        </w:tc>
        <w:tc>
          <w:tcPr>
            <w:tcW w:w="1842" w:type="dxa"/>
            <w:vAlign w:val="center"/>
          </w:tcPr>
          <w:p w14:paraId="4C2042F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8.2</w:t>
            </w:r>
          </w:p>
        </w:tc>
        <w:tc>
          <w:tcPr>
            <w:tcW w:w="1560" w:type="dxa"/>
            <w:vAlign w:val="center"/>
          </w:tcPr>
          <w:p w14:paraId="0CB62B1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417" w:type="dxa"/>
            <w:vAlign w:val="center"/>
          </w:tcPr>
          <w:p w14:paraId="43A0DD8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r>
      <w:tr w:rsidR="009C353B" w14:paraId="04EFD1B8" w14:textId="77777777">
        <w:trPr>
          <w:trHeight w:val="409"/>
          <w:jc w:val="center"/>
        </w:trPr>
        <w:tc>
          <w:tcPr>
            <w:tcW w:w="710" w:type="dxa"/>
            <w:vAlign w:val="center"/>
          </w:tcPr>
          <w:p w14:paraId="08DBD38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6</w:t>
            </w:r>
          </w:p>
        </w:tc>
        <w:tc>
          <w:tcPr>
            <w:tcW w:w="3969" w:type="dxa"/>
            <w:gridSpan w:val="2"/>
            <w:vAlign w:val="center"/>
          </w:tcPr>
          <w:p w14:paraId="744F1352"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多年平均相对湿度（</w:t>
            </w:r>
            <w:r>
              <w:rPr>
                <w:rFonts w:ascii="Times New Roman" w:hAnsi="Times New Roman"/>
                <w:sz w:val="21"/>
                <w:szCs w:val="21"/>
              </w:rPr>
              <w:t>%</w:t>
            </w:r>
            <w:r>
              <w:rPr>
                <w:rFonts w:ascii="Times New Roman"/>
                <w:sz w:val="21"/>
                <w:szCs w:val="21"/>
              </w:rPr>
              <w:t>）</w:t>
            </w:r>
          </w:p>
        </w:tc>
        <w:tc>
          <w:tcPr>
            <w:tcW w:w="1842" w:type="dxa"/>
            <w:vAlign w:val="center"/>
          </w:tcPr>
          <w:p w14:paraId="18A527D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55.7</w:t>
            </w:r>
          </w:p>
        </w:tc>
        <w:tc>
          <w:tcPr>
            <w:tcW w:w="1560" w:type="dxa"/>
            <w:vAlign w:val="center"/>
          </w:tcPr>
          <w:p w14:paraId="12F6A1C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417" w:type="dxa"/>
            <w:vAlign w:val="center"/>
          </w:tcPr>
          <w:p w14:paraId="1AA9F38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r>
      <w:tr w:rsidR="009C353B" w14:paraId="3831D4B3" w14:textId="77777777">
        <w:trPr>
          <w:trHeight w:val="429"/>
          <w:jc w:val="center"/>
        </w:trPr>
        <w:tc>
          <w:tcPr>
            <w:tcW w:w="710" w:type="dxa"/>
            <w:vAlign w:val="center"/>
          </w:tcPr>
          <w:p w14:paraId="7F4D2D3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7</w:t>
            </w:r>
          </w:p>
        </w:tc>
        <w:tc>
          <w:tcPr>
            <w:tcW w:w="3969" w:type="dxa"/>
            <w:gridSpan w:val="2"/>
            <w:vAlign w:val="center"/>
          </w:tcPr>
          <w:p w14:paraId="4ECDCCF0"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多年平均降雨量（</w:t>
            </w:r>
            <w:r>
              <w:rPr>
                <w:rFonts w:ascii="Times New Roman" w:hAnsi="Times New Roman"/>
                <w:sz w:val="21"/>
                <w:szCs w:val="21"/>
              </w:rPr>
              <w:t>mm</w:t>
            </w:r>
            <w:r>
              <w:rPr>
                <w:rFonts w:ascii="Times New Roman"/>
                <w:sz w:val="21"/>
                <w:szCs w:val="21"/>
              </w:rPr>
              <w:t>）</w:t>
            </w:r>
          </w:p>
        </w:tc>
        <w:tc>
          <w:tcPr>
            <w:tcW w:w="1842" w:type="dxa"/>
            <w:vAlign w:val="center"/>
          </w:tcPr>
          <w:p w14:paraId="483BE13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200.6</w:t>
            </w:r>
          </w:p>
        </w:tc>
        <w:tc>
          <w:tcPr>
            <w:tcW w:w="1560" w:type="dxa"/>
            <w:vAlign w:val="center"/>
          </w:tcPr>
          <w:p w14:paraId="3C3ACBA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2002.6.8</w:t>
            </w:r>
          </w:p>
        </w:tc>
        <w:tc>
          <w:tcPr>
            <w:tcW w:w="1417" w:type="dxa"/>
            <w:vAlign w:val="center"/>
          </w:tcPr>
          <w:p w14:paraId="36A377A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55.2</w:t>
            </w:r>
          </w:p>
        </w:tc>
      </w:tr>
      <w:tr w:rsidR="009C353B" w14:paraId="6DF888F0" w14:textId="77777777">
        <w:trPr>
          <w:trHeight w:val="407"/>
          <w:jc w:val="center"/>
        </w:trPr>
        <w:tc>
          <w:tcPr>
            <w:tcW w:w="710" w:type="dxa"/>
            <w:vAlign w:val="center"/>
          </w:tcPr>
          <w:p w14:paraId="6AB9B61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8</w:t>
            </w:r>
          </w:p>
        </w:tc>
        <w:tc>
          <w:tcPr>
            <w:tcW w:w="850" w:type="dxa"/>
            <w:vMerge w:val="restart"/>
            <w:vAlign w:val="center"/>
          </w:tcPr>
          <w:p w14:paraId="718C3D44" w14:textId="77777777" w:rsidR="009C353B" w:rsidRDefault="00000000">
            <w:pPr>
              <w:adjustRightInd w:val="0"/>
              <w:snapToGrid w:val="0"/>
              <w:jc w:val="center"/>
              <w:rPr>
                <w:rFonts w:ascii="Times New Roman" w:hAnsi="Times New Roman"/>
                <w:sz w:val="21"/>
                <w:szCs w:val="21"/>
              </w:rPr>
            </w:pPr>
            <w:r>
              <w:rPr>
                <w:rFonts w:ascii="Times New Roman"/>
                <w:sz w:val="21"/>
                <w:szCs w:val="21"/>
              </w:rPr>
              <w:t>灾害天气统计</w:t>
            </w:r>
          </w:p>
        </w:tc>
        <w:tc>
          <w:tcPr>
            <w:tcW w:w="3119" w:type="dxa"/>
            <w:vAlign w:val="center"/>
          </w:tcPr>
          <w:p w14:paraId="2C174587"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多年平均沙暴日数（</w:t>
            </w:r>
            <w:r>
              <w:rPr>
                <w:rFonts w:ascii="Times New Roman" w:hAnsi="Times New Roman"/>
                <w:sz w:val="21"/>
                <w:szCs w:val="21"/>
              </w:rPr>
              <w:t>d</w:t>
            </w:r>
            <w:r>
              <w:rPr>
                <w:rFonts w:ascii="Times New Roman"/>
                <w:sz w:val="21"/>
                <w:szCs w:val="21"/>
              </w:rPr>
              <w:t>）</w:t>
            </w:r>
          </w:p>
        </w:tc>
        <w:tc>
          <w:tcPr>
            <w:tcW w:w="1842" w:type="dxa"/>
            <w:vAlign w:val="center"/>
          </w:tcPr>
          <w:p w14:paraId="13D30E3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0.2</w:t>
            </w:r>
          </w:p>
        </w:tc>
        <w:tc>
          <w:tcPr>
            <w:tcW w:w="1560" w:type="dxa"/>
            <w:vAlign w:val="center"/>
          </w:tcPr>
          <w:p w14:paraId="22D4C9A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417" w:type="dxa"/>
            <w:vAlign w:val="center"/>
          </w:tcPr>
          <w:p w14:paraId="58486FD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r>
      <w:tr w:rsidR="009C353B" w14:paraId="667AB339" w14:textId="77777777">
        <w:trPr>
          <w:trHeight w:val="400"/>
          <w:jc w:val="center"/>
        </w:trPr>
        <w:tc>
          <w:tcPr>
            <w:tcW w:w="710" w:type="dxa"/>
            <w:vAlign w:val="center"/>
          </w:tcPr>
          <w:p w14:paraId="72AA519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9</w:t>
            </w:r>
          </w:p>
        </w:tc>
        <w:tc>
          <w:tcPr>
            <w:tcW w:w="850" w:type="dxa"/>
            <w:vMerge/>
            <w:vAlign w:val="center"/>
          </w:tcPr>
          <w:p w14:paraId="0B0968E0" w14:textId="77777777" w:rsidR="009C353B" w:rsidRDefault="009C353B">
            <w:pPr>
              <w:adjustRightInd w:val="0"/>
              <w:snapToGrid w:val="0"/>
              <w:jc w:val="center"/>
              <w:rPr>
                <w:rFonts w:ascii="Times New Roman" w:hAnsi="Times New Roman"/>
                <w:sz w:val="21"/>
                <w:szCs w:val="21"/>
              </w:rPr>
            </w:pPr>
          </w:p>
        </w:tc>
        <w:tc>
          <w:tcPr>
            <w:tcW w:w="3119" w:type="dxa"/>
            <w:vAlign w:val="center"/>
          </w:tcPr>
          <w:p w14:paraId="03090A75"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多年平均雷暴日数（</w:t>
            </w:r>
            <w:r>
              <w:rPr>
                <w:rFonts w:ascii="Times New Roman" w:hAnsi="Times New Roman"/>
                <w:sz w:val="21"/>
                <w:szCs w:val="21"/>
              </w:rPr>
              <w:t>d</w:t>
            </w:r>
            <w:r>
              <w:rPr>
                <w:rFonts w:ascii="Times New Roman"/>
                <w:sz w:val="21"/>
                <w:szCs w:val="21"/>
              </w:rPr>
              <w:t>）</w:t>
            </w:r>
          </w:p>
        </w:tc>
        <w:tc>
          <w:tcPr>
            <w:tcW w:w="1842" w:type="dxa"/>
            <w:vAlign w:val="center"/>
          </w:tcPr>
          <w:p w14:paraId="0CE2DD0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11.5</w:t>
            </w:r>
          </w:p>
        </w:tc>
        <w:tc>
          <w:tcPr>
            <w:tcW w:w="1560" w:type="dxa"/>
            <w:vAlign w:val="center"/>
          </w:tcPr>
          <w:p w14:paraId="7645598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417" w:type="dxa"/>
            <w:vAlign w:val="center"/>
          </w:tcPr>
          <w:p w14:paraId="5D88DC5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r>
      <w:tr w:rsidR="009C353B" w14:paraId="1C5E3FE2" w14:textId="77777777">
        <w:trPr>
          <w:trHeight w:val="433"/>
          <w:jc w:val="center"/>
        </w:trPr>
        <w:tc>
          <w:tcPr>
            <w:tcW w:w="710" w:type="dxa"/>
            <w:vAlign w:val="center"/>
          </w:tcPr>
          <w:p w14:paraId="0C3A90F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10</w:t>
            </w:r>
          </w:p>
        </w:tc>
        <w:tc>
          <w:tcPr>
            <w:tcW w:w="850" w:type="dxa"/>
            <w:vMerge/>
            <w:vAlign w:val="center"/>
          </w:tcPr>
          <w:p w14:paraId="3DD70B00" w14:textId="77777777" w:rsidR="009C353B" w:rsidRDefault="009C353B">
            <w:pPr>
              <w:adjustRightInd w:val="0"/>
              <w:snapToGrid w:val="0"/>
              <w:jc w:val="center"/>
              <w:rPr>
                <w:rFonts w:ascii="Times New Roman" w:hAnsi="Times New Roman"/>
                <w:sz w:val="21"/>
                <w:szCs w:val="21"/>
              </w:rPr>
            </w:pPr>
          </w:p>
        </w:tc>
        <w:tc>
          <w:tcPr>
            <w:tcW w:w="3119" w:type="dxa"/>
            <w:vAlign w:val="center"/>
          </w:tcPr>
          <w:p w14:paraId="7DCDC13C"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多年平均冰雹日数（</w:t>
            </w:r>
            <w:r>
              <w:rPr>
                <w:rFonts w:ascii="Times New Roman" w:hAnsi="Times New Roman"/>
                <w:sz w:val="21"/>
                <w:szCs w:val="21"/>
              </w:rPr>
              <w:t>d</w:t>
            </w:r>
            <w:r>
              <w:rPr>
                <w:rFonts w:ascii="Times New Roman"/>
                <w:sz w:val="21"/>
                <w:szCs w:val="21"/>
              </w:rPr>
              <w:t>）</w:t>
            </w:r>
          </w:p>
        </w:tc>
        <w:tc>
          <w:tcPr>
            <w:tcW w:w="1842" w:type="dxa"/>
            <w:vAlign w:val="center"/>
          </w:tcPr>
          <w:p w14:paraId="597B0A8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0.1</w:t>
            </w:r>
          </w:p>
        </w:tc>
        <w:tc>
          <w:tcPr>
            <w:tcW w:w="1560" w:type="dxa"/>
            <w:vAlign w:val="center"/>
          </w:tcPr>
          <w:p w14:paraId="604F3D3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417" w:type="dxa"/>
            <w:vAlign w:val="center"/>
          </w:tcPr>
          <w:p w14:paraId="5AEB9FC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r>
      <w:tr w:rsidR="009C353B" w14:paraId="54C416DA" w14:textId="77777777">
        <w:trPr>
          <w:trHeight w:val="411"/>
          <w:jc w:val="center"/>
        </w:trPr>
        <w:tc>
          <w:tcPr>
            <w:tcW w:w="710" w:type="dxa"/>
            <w:vAlign w:val="center"/>
          </w:tcPr>
          <w:p w14:paraId="66C594B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11</w:t>
            </w:r>
          </w:p>
        </w:tc>
        <w:tc>
          <w:tcPr>
            <w:tcW w:w="850" w:type="dxa"/>
            <w:vMerge/>
            <w:vAlign w:val="center"/>
          </w:tcPr>
          <w:p w14:paraId="44E74BF5" w14:textId="77777777" w:rsidR="009C353B" w:rsidRDefault="009C353B">
            <w:pPr>
              <w:adjustRightInd w:val="0"/>
              <w:snapToGrid w:val="0"/>
              <w:jc w:val="center"/>
              <w:rPr>
                <w:rFonts w:ascii="Times New Roman" w:hAnsi="Times New Roman"/>
                <w:sz w:val="21"/>
                <w:szCs w:val="21"/>
              </w:rPr>
            </w:pPr>
          </w:p>
        </w:tc>
        <w:tc>
          <w:tcPr>
            <w:tcW w:w="3119" w:type="dxa"/>
            <w:vAlign w:val="center"/>
          </w:tcPr>
          <w:p w14:paraId="7859CC2B"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多年平均大风日数（</w:t>
            </w:r>
            <w:r>
              <w:rPr>
                <w:rFonts w:ascii="Times New Roman" w:hAnsi="Times New Roman"/>
                <w:sz w:val="21"/>
                <w:szCs w:val="21"/>
              </w:rPr>
              <w:t>d</w:t>
            </w:r>
            <w:r>
              <w:rPr>
                <w:rFonts w:ascii="Times New Roman"/>
                <w:sz w:val="21"/>
                <w:szCs w:val="21"/>
              </w:rPr>
              <w:t>）</w:t>
            </w:r>
          </w:p>
        </w:tc>
        <w:tc>
          <w:tcPr>
            <w:tcW w:w="1842" w:type="dxa"/>
            <w:vAlign w:val="center"/>
          </w:tcPr>
          <w:p w14:paraId="27FA897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14.8</w:t>
            </w:r>
          </w:p>
        </w:tc>
        <w:tc>
          <w:tcPr>
            <w:tcW w:w="1560" w:type="dxa"/>
            <w:vAlign w:val="center"/>
          </w:tcPr>
          <w:p w14:paraId="5178F0E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417" w:type="dxa"/>
            <w:vAlign w:val="center"/>
          </w:tcPr>
          <w:p w14:paraId="27BE90C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r>
      <w:tr w:rsidR="009C353B" w14:paraId="0E43D541" w14:textId="77777777">
        <w:trPr>
          <w:trHeight w:val="417"/>
          <w:jc w:val="center"/>
        </w:trPr>
        <w:tc>
          <w:tcPr>
            <w:tcW w:w="710" w:type="dxa"/>
            <w:vAlign w:val="center"/>
          </w:tcPr>
          <w:p w14:paraId="01AD81C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12</w:t>
            </w:r>
          </w:p>
        </w:tc>
        <w:tc>
          <w:tcPr>
            <w:tcW w:w="3969" w:type="dxa"/>
            <w:gridSpan w:val="2"/>
            <w:vAlign w:val="center"/>
          </w:tcPr>
          <w:p w14:paraId="7857E423"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多年实测极大风速（</w:t>
            </w:r>
            <w:r>
              <w:rPr>
                <w:rFonts w:ascii="Times New Roman" w:hAnsi="Times New Roman"/>
                <w:sz w:val="21"/>
                <w:szCs w:val="21"/>
              </w:rPr>
              <w:t>m/s</w:t>
            </w:r>
            <w:r>
              <w:rPr>
                <w:rFonts w:ascii="Times New Roman"/>
                <w:sz w:val="21"/>
                <w:szCs w:val="21"/>
              </w:rPr>
              <w:t>）、相应风向</w:t>
            </w:r>
          </w:p>
        </w:tc>
        <w:tc>
          <w:tcPr>
            <w:tcW w:w="1842" w:type="dxa"/>
            <w:vAlign w:val="center"/>
          </w:tcPr>
          <w:p w14:paraId="5ED80BC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9.4</w:t>
            </w:r>
          </w:p>
        </w:tc>
        <w:tc>
          <w:tcPr>
            <w:tcW w:w="1560" w:type="dxa"/>
            <w:vAlign w:val="center"/>
          </w:tcPr>
          <w:p w14:paraId="2149966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2004.3.4</w:t>
            </w:r>
          </w:p>
        </w:tc>
        <w:tc>
          <w:tcPr>
            <w:tcW w:w="1417" w:type="dxa"/>
            <w:vAlign w:val="center"/>
          </w:tcPr>
          <w:p w14:paraId="1F1BF2F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25.6WNW</w:t>
            </w:r>
          </w:p>
        </w:tc>
      </w:tr>
      <w:tr w:rsidR="009C353B" w14:paraId="79F485C4" w14:textId="77777777">
        <w:trPr>
          <w:trHeight w:val="410"/>
          <w:jc w:val="center"/>
        </w:trPr>
        <w:tc>
          <w:tcPr>
            <w:tcW w:w="710" w:type="dxa"/>
            <w:vAlign w:val="center"/>
          </w:tcPr>
          <w:p w14:paraId="5B58DFF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13</w:t>
            </w:r>
          </w:p>
        </w:tc>
        <w:tc>
          <w:tcPr>
            <w:tcW w:w="3969" w:type="dxa"/>
            <w:gridSpan w:val="2"/>
            <w:vAlign w:val="center"/>
          </w:tcPr>
          <w:p w14:paraId="7B945619"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多年平均风速（</w:t>
            </w:r>
            <w:r>
              <w:rPr>
                <w:rFonts w:ascii="Times New Roman" w:hAnsi="Times New Roman"/>
                <w:sz w:val="21"/>
                <w:szCs w:val="21"/>
              </w:rPr>
              <w:t>m/s</w:t>
            </w:r>
            <w:r>
              <w:rPr>
                <w:rFonts w:ascii="Times New Roman"/>
                <w:sz w:val="21"/>
                <w:szCs w:val="21"/>
              </w:rPr>
              <w:t>）</w:t>
            </w:r>
          </w:p>
        </w:tc>
        <w:tc>
          <w:tcPr>
            <w:tcW w:w="1842" w:type="dxa"/>
            <w:vAlign w:val="center"/>
          </w:tcPr>
          <w:p w14:paraId="04B801B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2.7</w:t>
            </w:r>
          </w:p>
        </w:tc>
        <w:tc>
          <w:tcPr>
            <w:tcW w:w="1560" w:type="dxa"/>
            <w:vAlign w:val="center"/>
          </w:tcPr>
          <w:p w14:paraId="222643B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417" w:type="dxa"/>
            <w:vAlign w:val="center"/>
          </w:tcPr>
          <w:p w14:paraId="3100777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r>
      <w:tr w:rsidR="009C353B" w14:paraId="489D44F7" w14:textId="77777777">
        <w:trPr>
          <w:trHeight w:val="415"/>
          <w:jc w:val="center"/>
        </w:trPr>
        <w:tc>
          <w:tcPr>
            <w:tcW w:w="710" w:type="dxa"/>
            <w:vAlign w:val="center"/>
          </w:tcPr>
          <w:p w14:paraId="34BCB97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14</w:t>
            </w:r>
          </w:p>
        </w:tc>
        <w:tc>
          <w:tcPr>
            <w:tcW w:w="3969" w:type="dxa"/>
            <w:gridSpan w:val="2"/>
            <w:vAlign w:val="center"/>
          </w:tcPr>
          <w:p w14:paraId="472427CE"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多年主导风向、风向频率（</w:t>
            </w:r>
            <w:r>
              <w:rPr>
                <w:rFonts w:ascii="Times New Roman" w:hAnsi="Times New Roman"/>
                <w:sz w:val="21"/>
                <w:szCs w:val="21"/>
              </w:rPr>
              <w:t>%</w:t>
            </w:r>
            <w:r>
              <w:rPr>
                <w:rFonts w:ascii="Times New Roman"/>
                <w:sz w:val="21"/>
                <w:szCs w:val="21"/>
              </w:rPr>
              <w:t>）</w:t>
            </w:r>
          </w:p>
        </w:tc>
        <w:tc>
          <w:tcPr>
            <w:tcW w:w="1842" w:type="dxa"/>
            <w:vAlign w:val="center"/>
          </w:tcPr>
          <w:p w14:paraId="5117E34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SSE11.7</w:t>
            </w:r>
          </w:p>
        </w:tc>
        <w:tc>
          <w:tcPr>
            <w:tcW w:w="1560" w:type="dxa"/>
            <w:vAlign w:val="center"/>
          </w:tcPr>
          <w:p w14:paraId="1C77D62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417" w:type="dxa"/>
            <w:vAlign w:val="center"/>
          </w:tcPr>
          <w:p w14:paraId="3C5FF74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r>
      <w:tr w:rsidR="009C353B" w14:paraId="51DB39EC" w14:textId="77777777">
        <w:trPr>
          <w:trHeight w:val="421"/>
          <w:jc w:val="center"/>
        </w:trPr>
        <w:tc>
          <w:tcPr>
            <w:tcW w:w="710" w:type="dxa"/>
            <w:vAlign w:val="center"/>
          </w:tcPr>
          <w:p w14:paraId="546B951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15</w:t>
            </w:r>
          </w:p>
        </w:tc>
        <w:tc>
          <w:tcPr>
            <w:tcW w:w="3969" w:type="dxa"/>
            <w:gridSpan w:val="2"/>
            <w:vAlign w:val="center"/>
          </w:tcPr>
          <w:p w14:paraId="3E4379A2" w14:textId="77777777" w:rsidR="009C353B" w:rsidRDefault="00000000">
            <w:pPr>
              <w:adjustRightInd w:val="0"/>
              <w:snapToGrid w:val="0"/>
              <w:jc w:val="center"/>
              <w:rPr>
                <w:rFonts w:ascii="Times New Roman" w:hAnsi="Times New Roman"/>
                <w:sz w:val="21"/>
                <w:szCs w:val="21"/>
              </w:rPr>
            </w:pPr>
            <w:r>
              <w:rPr>
                <w:rFonts w:ascii="Times New Roman"/>
                <w:sz w:val="21"/>
                <w:szCs w:val="21"/>
              </w:rPr>
              <w:t>多年静风频率（风速</w:t>
            </w:r>
            <w:r>
              <w:rPr>
                <w:rFonts w:ascii="Times New Roman" w:hAnsi="Times New Roman"/>
                <w:sz w:val="21"/>
                <w:szCs w:val="21"/>
              </w:rPr>
              <w:t>&lt;0.2m/s</w:t>
            </w:r>
            <w:r>
              <w:rPr>
                <w:rFonts w:ascii="Times New Roman"/>
                <w:sz w:val="21"/>
                <w:szCs w:val="21"/>
              </w:rPr>
              <w:t>）（</w:t>
            </w:r>
            <w:r>
              <w:rPr>
                <w:rFonts w:ascii="Times New Roman" w:hAnsi="Times New Roman"/>
                <w:sz w:val="21"/>
                <w:szCs w:val="21"/>
              </w:rPr>
              <w:t>%</w:t>
            </w:r>
            <w:r>
              <w:rPr>
                <w:rFonts w:ascii="Times New Roman"/>
                <w:sz w:val="21"/>
                <w:szCs w:val="21"/>
              </w:rPr>
              <w:t>）</w:t>
            </w:r>
          </w:p>
        </w:tc>
        <w:tc>
          <w:tcPr>
            <w:tcW w:w="1842" w:type="dxa"/>
            <w:vAlign w:val="center"/>
          </w:tcPr>
          <w:p w14:paraId="3D9E135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5.1</w:t>
            </w:r>
          </w:p>
        </w:tc>
        <w:tc>
          <w:tcPr>
            <w:tcW w:w="1560" w:type="dxa"/>
            <w:vAlign w:val="center"/>
          </w:tcPr>
          <w:p w14:paraId="7459DCF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c>
          <w:tcPr>
            <w:tcW w:w="1417" w:type="dxa"/>
            <w:vAlign w:val="center"/>
          </w:tcPr>
          <w:p w14:paraId="367F6F3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p>
        </w:tc>
      </w:tr>
    </w:tbl>
    <w:p w14:paraId="6249E68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）近地面风场分析</w:t>
      </w:r>
    </w:p>
    <w:p w14:paraId="481CBF8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）月平均风速</w:t>
      </w:r>
    </w:p>
    <w:p w14:paraId="11ED522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int="eastAsia"/>
        </w:rPr>
        <w:t>1998</w:t>
      </w:r>
      <w:r>
        <w:rPr>
          <w:rFonts w:ascii="Times New Roman" w:hint="eastAsia"/>
        </w:rPr>
        <w:t>年</w:t>
      </w:r>
      <w:r>
        <w:rPr>
          <w:rFonts w:ascii="Times New Roman" w:hint="eastAsia"/>
        </w:rPr>
        <w:t>-2017</w:t>
      </w:r>
      <w:r>
        <w:rPr>
          <w:rFonts w:ascii="Times New Roman" w:hint="eastAsia"/>
        </w:rPr>
        <w:t>年的气象数据分析，灵武气象站</w:t>
      </w:r>
      <w:r>
        <w:rPr>
          <w:rFonts w:ascii="Times New Roman" w:hint="eastAsia"/>
        </w:rPr>
        <w:t>4</w:t>
      </w:r>
      <w:r>
        <w:rPr>
          <w:rFonts w:ascii="Times New Roman" w:hint="eastAsia"/>
        </w:rPr>
        <w:t>月平均风速最大为</w:t>
      </w:r>
      <w:r>
        <w:rPr>
          <w:rFonts w:ascii="Times New Roman" w:hint="eastAsia"/>
        </w:rPr>
        <w:t>3.16m/s</w:t>
      </w:r>
      <w:r>
        <w:rPr>
          <w:rFonts w:ascii="Times New Roman" w:hint="eastAsia"/>
        </w:rPr>
        <w:t>，</w:t>
      </w:r>
      <w:r>
        <w:rPr>
          <w:rFonts w:ascii="Times New Roman" w:hint="eastAsia"/>
        </w:rPr>
        <w:t>9</w:t>
      </w:r>
      <w:r>
        <w:rPr>
          <w:rFonts w:ascii="Times New Roman" w:hint="eastAsia"/>
        </w:rPr>
        <w:t>月风速最小为</w:t>
      </w:r>
      <w:r>
        <w:rPr>
          <w:rFonts w:ascii="Times New Roman" w:hint="eastAsia"/>
        </w:rPr>
        <w:t>2.20m/s</w:t>
      </w:r>
      <w:r>
        <w:rPr>
          <w:rFonts w:ascii="Times New Roman" w:hint="eastAsia"/>
        </w:rPr>
        <w:t>，具体见表</w:t>
      </w:r>
      <w:r>
        <w:rPr>
          <w:rFonts w:ascii="Times New Roman" w:hint="eastAsia"/>
        </w:rPr>
        <w:t>6.4-2</w:t>
      </w:r>
      <w:r>
        <w:rPr>
          <w:rFonts w:ascii="Times New Roman" w:hint="eastAsia"/>
        </w:rPr>
        <w:t>。</w:t>
      </w:r>
    </w:p>
    <w:p w14:paraId="5875520C" w14:textId="77777777" w:rsidR="009C353B" w:rsidRDefault="00000000">
      <w:pPr>
        <w:adjustRightInd w:val="0"/>
        <w:snapToGrid w:val="0"/>
        <w:spacing w:line="440" w:lineRule="exact"/>
        <w:jc w:val="center"/>
        <w:rPr>
          <w:rFonts w:ascii="Times New Roman" w:hint="eastAsia"/>
          <w:b/>
        </w:rPr>
      </w:pPr>
      <w:r>
        <w:rPr>
          <w:rFonts w:ascii="Times New Roman"/>
          <w:b/>
        </w:rPr>
        <w:t>灵武气象站月平均风速统计</w:t>
      </w:r>
    </w:p>
    <w:p w14:paraId="27D972D3" w14:textId="77777777" w:rsidR="009C353B" w:rsidRDefault="00000000">
      <w:pPr>
        <w:adjustRightInd w:val="0"/>
        <w:snapToGrid w:val="0"/>
        <w:spacing w:line="440" w:lineRule="exact"/>
        <w:rPr>
          <w:rFonts w:ascii="Times New Roman" w:hint="eastAsia"/>
        </w:rPr>
      </w:pPr>
      <w:r>
        <w:rPr>
          <w:rFonts w:ascii="Times New Roman" w:hint="eastAsia"/>
        </w:rPr>
        <w:t>表</w:t>
      </w:r>
      <w:r>
        <w:rPr>
          <w:rFonts w:ascii="Times New Roman" w:hint="eastAsia"/>
        </w:rPr>
        <w:t xml:space="preserve">6.4-2                                                     </w:t>
      </w:r>
      <w:r>
        <w:rPr>
          <w:rFonts w:ascii="Times New Roman" w:hint="eastAsia"/>
        </w:rPr>
        <w:t>单位：</w:t>
      </w:r>
      <w:r>
        <w:rPr>
          <w:rFonts w:ascii="Times New Roman" w:hint="eastAsia"/>
        </w:rPr>
        <w:t>m/s</w:t>
      </w:r>
    </w:p>
    <w:tbl>
      <w:tblPr>
        <w:tblStyle w:val="afffb"/>
        <w:tblW w:w="0" w:type="auto"/>
        <w:tblLook w:val="04A0" w:firstRow="1" w:lastRow="0" w:firstColumn="1" w:lastColumn="0" w:noHBand="0" w:noVBand="1"/>
      </w:tblPr>
      <w:tblGrid>
        <w:gridCol w:w="701"/>
        <w:gridCol w:w="701"/>
        <w:gridCol w:w="701"/>
        <w:gridCol w:w="701"/>
        <w:gridCol w:w="701"/>
        <w:gridCol w:w="701"/>
        <w:gridCol w:w="701"/>
        <w:gridCol w:w="701"/>
        <w:gridCol w:w="701"/>
        <w:gridCol w:w="702"/>
        <w:gridCol w:w="702"/>
        <w:gridCol w:w="702"/>
        <w:gridCol w:w="702"/>
      </w:tblGrid>
      <w:tr w:rsidR="009C353B" w14:paraId="7097D1FB" w14:textId="77777777">
        <w:trPr>
          <w:trHeight w:val="540"/>
        </w:trPr>
        <w:tc>
          <w:tcPr>
            <w:tcW w:w="701" w:type="dxa"/>
            <w:vAlign w:val="center"/>
          </w:tcPr>
          <w:p w14:paraId="5C16C1AC" w14:textId="77777777" w:rsidR="009C353B" w:rsidRDefault="00000000">
            <w:pPr>
              <w:adjustRightInd w:val="0"/>
              <w:snapToGrid w:val="0"/>
              <w:jc w:val="center"/>
              <w:rPr>
                <w:rFonts w:ascii="Times New Roman" w:hAnsi="Times New Roman"/>
                <w:sz w:val="21"/>
                <w:szCs w:val="21"/>
              </w:rPr>
            </w:pPr>
            <w:r>
              <w:rPr>
                <w:rFonts w:ascii="Times New Roman"/>
                <w:sz w:val="21"/>
                <w:szCs w:val="21"/>
              </w:rPr>
              <w:t>月份</w:t>
            </w:r>
          </w:p>
        </w:tc>
        <w:tc>
          <w:tcPr>
            <w:tcW w:w="701" w:type="dxa"/>
            <w:vAlign w:val="center"/>
          </w:tcPr>
          <w:p w14:paraId="7010C61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w:t>
            </w:r>
          </w:p>
        </w:tc>
        <w:tc>
          <w:tcPr>
            <w:tcW w:w="701" w:type="dxa"/>
            <w:vAlign w:val="center"/>
          </w:tcPr>
          <w:p w14:paraId="4E8C3BB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w:t>
            </w:r>
          </w:p>
        </w:tc>
        <w:tc>
          <w:tcPr>
            <w:tcW w:w="701" w:type="dxa"/>
            <w:vAlign w:val="center"/>
          </w:tcPr>
          <w:p w14:paraId="74DADF5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w:t>
            </w:r>
          </w:p>
        </w:tc>
        <w:tc>
          <w:tcPr>
            <w:tcW w:w="701" w:type="dxa"/>
            <w:vAlign w:val="center"/>
          </w:tcPr>
          <w:p w14:paraId="0BB64DD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4</w:t>
            </w:r>
          </w:p>
        </w:tc>
        <w:tc>
          <w:tcPr>
            <w:tcW w:w="701" w:type="dxa"/>
            <w:vAlign w:val="center"/>
          </w:tcPr>
          <w:p w14:paraId="6BD41CA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w:t>
            </w:r>
          </w:p>
        </w:tc>
        <w:tc>
          <w:tcPr>
            <w:tcW w:w="701" w:type="dxa"/>
            <w:vAlign w:val="center"/>
          </w:tcPr>
          <w:p w14:paraId="435CD2D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6</w:t>
            </w:r>
          </w:p>
        </w:tc>
        <w:tc>
          <w:tcPr>
            <w:tcW w:w="701" w:type="dxa"/>
            <w:vAlign w:val="center"/>
          </w:tcPr>
          <w:p w14:paraId="5B1172B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7</w:t>
            </w:r>
          </w:p>
        </w:tc>
        <w:tc>
          <w:tcPr>
            <w:tcW w:w="701" w:type="dxa"/>
            <w:vAlign w:val="center"/>
          </w:tcPr>
          <w:p w14:paraId="476AFD4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8</w:t>
            </w:r>
          </w:p>
        </w:tc>
        <w:tc>
          <w:tcPr>
            <w:tcW w:w="702" w:type="dxa"/>
            <w:vAlign w:val="center"/>
          </w:tcPr>
          <w:p w14:paraId="6E8326A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9</w:t>
            </w:r>
          </w:p>
        </w:tc>
        <w:tc>
          <w:tcPr>
            <w:tcW w:w="702" w:type="dxa"/>
            <w:vAlign w:val="center"/>
          </w:tcPr>
          <w:p w14:paraId="386E54F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10</w:t>
            </w:r>
          </w:p>
        </w:tc>
        <w:tc>
          <w:tcPr>
            <w:tcW w:w="702" w:type="dxa"/>
            <w:vAlign w:val="center"/>
          </w:tcPr>
          <w:p w14:paraId="7BBE7D7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11</w:t>
            </w:r>
          </w:p>
        </w:tc>
        <w:tc>
          <w:tcPr>
            <w:tcW w:w="702" w:type="dxa"/>
            <w:vAlign w:val="center"/>
          </w:tcPr>
          <w:p w14:paraId="55DF3F9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12</w:t>
            </w:r>
          </w:p>
        </w:tc>
      </w:tr>
      <w:tr w:rsidR="009C353B" w14:paraId="098FC6E4" w14:textId="77777777">
        <w:tc>
          <w:tcPr>
            <w:tcW w:w="701" w:type="dxa"/>
            <w:vAlign w:val="center"/>
          </w:tcPr>
          <w:p w14:paraId="0B5F7EA0" w14:textId="77777777" w:rsidR="009C353B" w:rsidRDefault="00000000">
            <w:pPr>
              <w:adjustRightInd w:val="0"/>
              <w:snapToGrid w:val="0"/>
              <w:jc w:val="center"/>
              <w:rPr>
                <w:rFonts w:ascii="Times New Roman" w:hAnsi="Times New Roman"/>
                <w:sz w:val="21"/>
                <w:szCs w:val="21"/>
              </w:rPr>
            </w:pPr>
            <w:r>
              <w:rPr>
                <w:rFonts w:ascii="Times New Roman"/>
                <w:sz w:val="21"/>
                <w:szCs w:val="21"/>
              </w:rPr>
              <w:t>平均风速</w:t>
            </w:r>
          </w:p>
        </w:tc>
        <w:tc>
          <w:tcPr>
            <w:tcW w:w="701" w:type="dxa"/>
            <w:vAlign w:val="center"/>
          </w:tcPr>
          <w:p w14:paraId="69897E1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2.5</w:t>
            </w:r>
          </w:p>
        </w:tc>
        <w:tc>
          <w:tcPr>
            <w:tcW w:w="701" w:type="dxa"/>
            <w:vAlign w:val="center"/>
          </w:tcPr>
          <w:p w14:paraId="5AB71A8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2.9</w:t>
            </w:r>
          </w:p>
        </w:tc>
        <w:tc>
          <w:tcPr>
            <w:tcW w:w="701" w:type="dxa"/>
            <w:vAlign w:val="center"/>
          </w:tcPr>
          <w:p w14:paraId="3D80EB7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3.1</w:t>
            </w:r>
          </w:p>
        </w:tc>
        <w:tc>
          <w:tcPr>
            <w:tcW w:w="701" w:type="dxa"/>
            <w:vAlign w:val="center"/>
          </w:tcPr>
          <w:p w14:paraId="15D6AA0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3.2</w:t>
            </w:r>
          </w:p>
        </w:tc>
        <w:tc>
          <w:tcPr>
            <w:tcW w:w="701" w:type="dxa"/>
            <w:vAlign w:val="center"/>
          </w:tcPr>
          <w:p w14:paraId="67446D1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2.8</w:t>
            </w:r>
          </w:p>
        </w:tc>
        <w:tc>
          <w:tcPr>
            <w:tcW w:w="701" w:type="dxa"/>
            <w:vAlign w:val="center"/>
          </w:tcPr>
          <w:p w14:paraId="4719A97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2.6</w:t>
            </w:r>
          </w:p>
        </w:tc>
        <w:tc>
          <w:tcPr>
            <w:tcW w:w="701" w:type="dxa"/>
            <w:vAlign w:val="center"/>
          </w:tcPr>
          <w:p w14:paraId="3E8787E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2.5</w:t>
            </w:r>
          </w:p>
        </w:tc>
        <w:tc>
          <w:tcPr>
            <w:tcW w:w="701" w:type="dxa"/>
            <w:vAlign w:val="center"/>
          </w:tcPr>
          <w:p w14:paraId="7075C04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2.3</w:t>
            </w:r>
          </w:p>
        </w:tc>
        <w:tc>
          <w:tcPr>
            <w:tcW w:w="702" w:type="dxa"/>
            <w:vAlign w:val="center"/>
          </w:tcPr>
          <w:p w14:paraId="705E13F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2.2</w:t>
            </w:r>
          </w:p>
        </w:tc>
        <w:tc>
          <w:tcPr>
            <w:tcW w:w="702" w:type="dxa"/>
            <w:vAlign w:val="center"/>
          </w:tcPr>
          <w:p w14:paraId="6431098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2.3</w:t>
            </w:r>
          </w:p>
        </w:tc>
        <w:tc>
          <w:tcPr>
            <w:tcW w:w="702" w:type="dxa"/>
            <w:vAlign w:val="center"/>
          </w:tcPr>
          <w:p w14:paraId="48466FC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2.7</w:t>
            </w:r>
          </w:p>
        </w:tc>
        <w:tc>
          <w:tcPr>
            <w:tcW w:w="702" w:type="dxa"/>
            <w:vAlign w:val="center"/>
          </w:tcPr>
          <w:p w14:paraId="513C18C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2.8</w:t>
            </w:r>
          </w:p>
        </w:tc>
      </w:tr>
    </w:tbl>
    <w:p w14:paraId="6BCDD392"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2</w:t>
      </w:r>
      <w:r>
        <w:rPr>
          <w:rFonts w:ascii="Times New Roman" w:hint="eastAsia"/>
        </w:rPr>
        <w:t>）风向特征</w:t>
      </w:r>
    </w:p>
    <w:p w14:paraId="523A717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int="eastAsia"/>
        </w:rPr>
        <w:t>1998</w:t>
      </w:r>
      <w:r>
        <w:rPr>
          <w:rFonts w:ascii="Times New Roman" w:hint="eastAsia"/>
        </w:rPr>
        <w:t>年</w:t>
      </w:r>
      <w:r>
        <w:rPr>
          <w:rFonts w:ascii="Times New Roman" w:hint="eastAsia"/>
        </w:rPr>
        <w:t>-2017</w:t>
      </w:r>
      <w:r>
        <w:rPr>
          <w:rFonts w:ascii="Times New Roman" w:hint="eastAsia"/>
        </w:rPr>
        <w:t>年的气象数据分析，灵武气象站主导风向为</w:t>
      </w:r>
      <w:r>
        <w:rPr>
          <w:rFonts w:ascii="Times New Roman" w:hint="eastAsia"/>
        </w:rPr>
        <w:t>SSE</w:t>
      </w:r>
      <w:r>
        <w:rPr>
          <w:rFonts w:ascii="Times New Roman" w:hint="eastAsia"/>
        </w:rPr>
        <w:t>和</w:t>
      </w:r>
      <w:r>
        <w:rPr>
          <w:rFonts w:ascii="Times New Roman" w:hint="eastAsia"/>
        </w:rPr>
        <w:t>N</w:t>
      </w:r>
      <w:r>
        <w:rPr>
          <w:rFonts w:ascii="Times New Roman" w:hint="eastAsia"/>
        </w:rPr>
        <w:t>、</w:t>
      </w:r>
      <w:r>
        <w:rPr>
          <w:rFonts w:ascii="Times New Roman" w:hint="eastAsia"/>
        </w:rPr>
        <w:t>S</w:t>
      </w:r>
      <w:r>
        <w:rPr>
          <w:rFonts w:ascii="Times New Roman" w:hint="eastAsia"/>
        </w:rPr>
        <w:t>、</w:t>
      </w:r>
      <w:r>
        <w:rPr>
          <w:rFonts w:ascii="Times New Roman" w:hint="eastAsia"/>
        </w:rPr>
        <w:t>SE</w:t>
      </w:r>
      <w:r>
        <w:rPr>
          <w:rFonts w:ascii="Times New Roman" w:hint="eastAsia"/>
        </w:rPr>
        <w:t>，风向频率占比</w:t>
      </w:r>
      <w:r>
        <w:rPr>
          <w:rFonts w:ascii="Times New Roman" w:hint="eastAsia"/>
        </w:rPr>
        <w:t>39.9%</w:t>
      </w:r>
      <w:r>
        <w:rPr>
          <w:rFonts w:ascii="Times New Roman" w:hint="eastAsia"/>
        </w:rPr>
        <w:t>，其中以</w:t>
      </w:r>
      <w:r>
        <w:rPr>
          <w:rFonts w:ascii="Times New Roman" w:hint="eastAsia"/>
        </w:rPr>
        <w:t>SSE</w:t>
      </w:r>
      <w:r>
        <w:rPr>
          <w:rFonts w:ascii="Times New Roman" w:hint="eastAsia"/>
        </w:rPr>
        <w:t>为主风向，占到全年</w:t>
      </w:r>
      <w:r>
        <w:rPr>
          <w:rFonts w:ascii="Times New Roman" w:hint="eastAsia"/>
        </w:rPr>
        <w:t>11.7%</w:t>
      </w:r>
      <w:r>
        <w:rPr>
          <w:rFonts w:ascii="Times New Roman" w:hint="eastAsia"/>
        </w:rPr>
        <w:t>左右，风向玫瑰图见图</w:t>
      </w:r>
      <w:r>
        <w:rPr>
          <w:rFonts w:ascii="Times New Roman" w:hint="eastAsia"/>
        </w:rPr>
        <w:t>6.4-1</w:t>
      </w:r>
      <w:r>
        <w:rPr>
          <w:rFonts w:ascii="Times New Roman" w:hint="eastAsia"/>
        </w:rPr>
        <w:t>。</w:t>
      </w:r>
    </w:p>
    <w:p w14:paraId="271FAB96" w14:textId="77777777" w:rsidR="009C353B" w:rsidRDefault="00000000">
      <w:pPr>
        <w:adjustRightInd w:val="0"/>
        <w:snapToGrid w:val="0"/>
        <w:jc w:val="center"/>
        <w:rPr>
          <w:rFonts w:ascii="Times New Roman" w:hint="eastAsia"/>
        </w:rPr>
      </w:pPr>
      <w:r>
        <w:rPr>
          <w:rFonts w:ascii="Times New Roman" w:hint="eastAsia"/>
          <w:noProof/>
        </w:rPr>
        <w:drawing>
          <wp:inline distT="0" distB="0" distL="0" distR="0" wp14:anchorId="1711559E" wp14:editId="0F0E53C9">
            <wp:extent cx="3797300" cy="3276600"/>
            <wp:effectExtent l="19050" t="0" r="0" b="0"/>
            <wp:docPr id="482" name="图片 0" descr="宁东基地风向玫瑰图（对比度调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0" descr="宁东基地风向玫瑰图（对比度调整）.jpg"/>
                    <pic:cNvPicPr>
                      <a:picLocks noChangeAspect="1"/>
                    </pic:cNvPicPr>
                  </pic:nvPicPr>
                  <pic:blipFill>
                    <a:blip r:embed="rId446" cstate="print"/>
                    <a:srcRect l="12976" t="6949" r="26816"/>
                    <a:stretch>
                      <a:fillRect/>
                    </a:stretch>
                  </pic:blipFill>
                  <pic:spPr>
                    <a:xfrm>
                      <a:off x="0" y="0"/>
                      <a:ext cx="3800769" cy="3279095"/>
                    </a:xfrm>
                    <a:prstGeom prst="rect">
                      <a:avLst/>
                    </a:prstGeom>
                  </pic:spPr>
                </pic:pic>
              </a:graphicData>
            </a:graphic>
          </wp:inline>
        </w:drawing>
      </w:r>
    </w:p>
    <w:p w14:paraId="05066CAB" w14:textId="77777777" w:rsidR="009C353B" w:rsidRDefault="00000000">
      <w:pPr>
        <w:adjustRightInd w:val="0"/>
        <w:snapToGrid w:val="0"/>
        <w:spacing w:line="440" w:lineRule="exact"/>
        <w:jc w:val="center"/>
        <w:rPr>
          <w:rFonts w:ascii="Times New Roman" w:hint="eastAsia"/>
          <w:b/>
        </w:rPr>
      </w:pPr>
      <w:r>
        <w:rPr>
          <w:rFonts w:ascii="Times New Roman" w:hint="eastAsia"/>
          <w:b/>
        </w:rPr>
        <w:t>图</w:t>
      </w:r>
      <w:r>
        <w:rPr>
          <w:rFonts w:ascii="Times New Roman" w:hint="eastAsia"/>
          <w:b/>
        </w:rPr>
        <w:t xml:space="preserve">6.4-1 </w:t>
      </w:r>
      <w:r>
        <w:rPr>
          <w:rFonts w:ascii="Times New Roman" w:hint="eastAsia"/>
          <w:b/>
        </w:rPr>
        <w:t>灵武气象站</w:t>
      </w:r>
      <w:r>
        <w:rPr>
          <w:rFonts w:ascii="Times New Roman" w:hint="eastAsia"/>
          <w:b/>
        </w:rPr>
        <w:t>1998</w:t>
      </w:r>
      <w:r>
        <w:rPr>
          <w:rFonts w:ascii="Times New Roman" w:hint="eastAsia"/>
          <w:b/>
        </w:rPr>
        <w:t>年</w:t>
      </w:r>
      <w:r>
        <w:rPr>
          <w:rFonts w:ascii="Times New Roman" w:hint="eastAsia"/>
          <w:b/>
        </w:rPr>
        <w:t>-2017</w:t>
      </w:r>
      <w:r>
        <w:rPr>
          <w:rFonts w:ascii="Times New Roman" w:hint="eastAsia"/>
          <w:b/>
        </w:rPr>
        <w:t>年风向玫瑰图（静风频率</w:t>
      </w:r>
      <w:r>
        <w:rPr>
          <w:rFonts w:ascii="Times New Roman" w:hint="eastAsia"/>
          <w:b/>
        </w:rPr>
        <w:t>5.1%</w:t>
      </w:r>
      <w:r>
        <w:rPr>
          <w:rFonts w:ascii="Times New Roman" w:hint="eastAsia"/>
          <w:b/>
        </w:rPr>
        <w:t>）</w:t>
      </w:r>
    </w:p>
    <w:p w14:paraId="6283810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3</w:t>
      </w:r>
      <w:r>
        <w:rPr>
          <w:rFonts w:ascii="Times New Roman" w:hint="eastAsia"/>
        </w:rPr>
        <w:t>）风速年际变化特征与周期分析</w:t>
      </w:r>
    </w:p>
    <w:p w14:paraId="69FB0B5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int="eastAsia"/>
        </w:rPr>
        <w:t>1998</w:t>
      </w:r>
      <w:r>
        <w:rPr>
          <w:rFonts w:ascii="Times New Roman" w:hint="eastAsia"/>
        </w:rPr>
        <w:t>年</w:t>
      </w:r>
      <w:r>
        <w:rPr>
          <w:rFonts w:ascii="Times New Roman" w:hint="eastAsia"/>
        </w:rPr>
        <w:t>-2017</w:t>
      </w:r>
      <w:r>
        <w:rPr>
          <w:rFonts w:ascii="Times New Roman" w:hint="eastAsia"/>
        </w:rPr>
        <w:t>年的气象数据分析，灵武气象站风速呈现下降趋势，每年下降</w:t>
      </w:r>
      <w:r>
        <w:rPr>
          <w:rFonts w:ascii="Times New Roman" w:hint="eastAsia"/>
        </w:rPr>
        <w:t>0.07m/s</w:t>
      </w:r>
      <w:r>
        <w:rPr>
          <w:rFonts w:ascii="Times New Roman" w:hint="eastAsia"/>
        </w:rPr>
        <w:t>，</w:t>
      </w:r>
      <w:r>
        <w:rPr>
          <w:rFonts w:ascii="Times New Roman" w:hint="eastAsia"/>
        </w:rPr>
        <w:t>1998</w:t>
      </w:r>
      <w:r>
        <w:rPr>
          <w:rFonts w:ascii="Times New Roman" w:hint="eastAsia"/>
        </w:rPr>
        <w:t>年年平均风速最大为</w:t>
      </w:r>
      <w:r>
        <w:rPr>
          <w:rFonts w:ascii="Times New Roman" w:hint="eastAsia"/>
        </w:rPr>
        <w:t>3.30m/s</w:t>
      </w:r>
      <w:r>
        <w:rPr>
          <w:rFonts w:ascii="Times New Roman" w:hint="eastAsia"/>
        </w:rPr>
        <w:t>，</w:t>
      </w:r>
      <w:r>
        <w:rPr>
          <w:rFonts w:ascii="Times New Roman" w:hint="eastAsia"/>
        </w:rPr>
        <w:t>2014</w:t>
      </w:r>
      <w:r>
        <w:rPr>
          <w:rFonts w:ascii="Times New Roman" w:hint="eastAsia"/>
        </w:rPr>
        <w:t>年年平均风速最小为</w:t>
      </w:r>
      <w:r>
        <w:rPr>
          <w:rFonts w:ascii="Times New Roman" w:hint="eastAsia"/>
        </w:rPr>
        <w:t>2.10m/s</w:t>
      </w:r>
      <w:r>
        <w:rPr>
          <w:rFonts w:ascii="Times New Roman" w:hint="eastAsia"/>
        </w:rPr>
        <w:t>，无明显周期。</w:t>
      </w:r>
    </w:p>
    <w:p w14:paraId="5EEF023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2</w:t>
      </w:r>
      <w:r>
        <w:rPr>
          <w:rFonts w:ascii="Times New Roman" w:hint="eastAsia"/>
        </w:rPr>
        <w:t>）近地面温度分析</w:t>
      </w:r>
    </w:p>
    <w:p w14:paraId="1234CA4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）月平均气温与极端气温</w:t>
      </w:r>
    </w:p>
    <w:p w14:paraId="0E3FE40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int="eastAsia"/>
        </w:rPr>
        <w:t>1998</w:t>
      </w:r>
      <w:r>
        <w:rPr>
          <w:rFonts w:ascii="Times New Roman" w:hint="eastAsia"/>
        </w:rPr>
        <w:t>年</w:t>
      </w:r>
      <w:r>
        <w:rPr>
          <w:rFonts w:ascii="Times New Roman" w:hint="eastAsia"/>
        </w:rPr>
        <w:t>-2017</w:t>
      </w:r>
      <w:r>
        <w:rPr>
          <w:rFonts w:ascii="Times New Roman" w:hint="eastAsia"/>
        </w:rPr>
        <w:t>年的气象数据分析，灵武气象站</w:t>
      </w:r>
      <w:r>
        <w:rPr>
          <w:rFonts w:ascii="Times New Roman" w:hint="eastAsia"/>
        </w:rPr>
        <w:t>7</w:t>
      </w:r>
      <w:r>
        <w:rPr>
          <w:rFonts w:ascii="Times New Roman" w:hint="eastAsia"/>
        </w:rPr>
        <w:t>月气温最高为</w:t>
      </w:r>
      <w:r>
        <w:rPr>
          <w:rFonts w:ascii="Times New Roman" w:hint="eastAsia"/>
        </w:rPr>
        <w:t>23.85</w:t>
      </w:r>
      <w:r>
        <w:rPr>
          <w:rFonts w:ascii="Times New Roman" w:hint="eastAsia"/>
        </w:rPr>
        <w:t>℃，</w:t>
      </w:r>
      <w:r>
        <w:rPr>
          <w:rFonts w:ascii="Times New Roman" w:hint="eastAsia"/>
        </w:rPr>
        <w:t>1</w:t>
      </w:r>
      <w:r>
        <w:rPr>
          <w:rFonts w:ascii="Times New Roman" w:hint="eastAsia"/>
        </w:rPr>
        <w:t>月气温最低为</w:t>
      </w:r>
      <w:r>
        <w:rPr>
          <w:rFonts w:ascii="Times New Roman" w:hint="eastAsia"/>
        </w:rPr>
        <w:t>-6.94</w:t>
      </w:r>
      <w:r>
        <w:rPr>
          <w:rFonts w:ascii="Times New Roman" w:hint="eastAsia"/>
        </w:rPr>
        <w:t>℃，极端最高气温出现在</w:t>
      </w:r>
      <w:r>
        <w:rPr>
          <w:rFonts w:ascii="Times New Roman" w:hint="eastAsia"/>
        </w:rPr>
        <w:t>2017</w:t>
      </w:r>
      <w:r>
        <w:rPr>
          <w:rFonts w:ascii="Times New Roman" w:hint="eastAsia"/>
        </w:rPr>
        <w:t>年</w:t>
      </w:r>
      <w:r>
        <w:rPr>
          <w:rFonts w:ascii="Times New Roman" w:hint="eastAsia"/>
        </w:rPr>
        <w:t>7</w:t>
      </w:r>
      <w:r>
        <w:rPr>
          <w:rFonts w:ascii="Times New Roman" w:hint="eastAsia"/>
        </w:rPr>
        <w:t>月</w:t>
      </w:r>
      <w:r>
        <w:rPr>
          <w:rFonts w:ascii="Times New Roman" w:hint="eastAsia"/>
        </w:rPr>
        <w:t>12</w:t>
      </w:r>
      <w:r>
        <w:rPr>
          <w:rFonts w:ascii="Times New Roman" w:hint="eastAsia"/>
        </w:rPr>
        <w:t>日为</w:t>
      </w:r>
      <w:r>
        <w:rPr>
          <w:rFonts w:ascii="Times New Roman" w:hint="eastAsia"/>
        </w:rPr>
        <w:t>38.7</w:t>
      </w:r>
      <w:r>
        <w:rPr>
          <w:rFonts w:ascii="Times New Roman" w:hint="eastAsia"/>
        </w:rPr>
        <w:t>℃，极端最低气温出现在</w:t>
      </w:r>
      <w:r>
        <w:rPr>
          <w:rFonts w:ascii="Times New Roman" w:hint="eastAsia"/>
        </w:rPr>
        <w:t>2008</w:t>
      </w:r>
      <w:r>
        <w:rPr>
          <w:rFonts w:ascii="Times New Roman" w:hint="eastAsia"/>
        </w:rPr>
        <w:t>年</w:t>
      </w:r>
      <w:r>
        <w:rPr>
          <w:rFonts w:ascii="Times New Roman" w:hint="eastAsia"/>
        </w:rPr>
        <w:t>2</w:t>
      </w:r>
      <w:r>
        <w:rPr>
          <w:rFonts w:ascii="Times New Roman" w:hint="eastAsia"/>
        </w:rPr>
        <w:t>月</w:t>
      </w:r>
      <w:r>
        <w:rPr>
          <w:rFonts w:ascii="Times New Roman" w:hint="eastAsia"/>
        </w:rPr>
        <w:t>1</w:t>
      </w:r>
      <w:r>
        <w:rPr>
          <w:rFonts w:ascii="Times New Roman" w:hint="eastAsia"/>
        </w:rPr>
        <w:t>日为</w:t>
      </w:r>
      <w:r>
        <w:rPr>
          <w:rFonts w:ascii="Times New Roman" w:hint="eastAsia"/>
        </w:rPr>
        <w:t>-26.6</w:t>
      </w:r>
      <w:r>
        <w:rPr>
          <w:rFonts w:ascii="Times New Roman" w:hint="eastAsia"/>
        </w:rPr>
        <w:t>℃。</w:t>
      </w:r>
    </w:p>
    <w:p w14:paraId="441B8DC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2</w:t>
      </w:r>
      <w:r>
        <w:rPr>
          <w:rFonts w:ascii="Times New Roman" w:hint="eastAsia"/>
        </w:rPr>
        <w:t>）温度年际变化趋势与周期分析</w:t>
      </w:r>
    </w:p>
    <w:p w14:paraId="701BC03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int="eastAsia"/>
        </w:rPr>
        <w:t>1998</w:t>
      </w:r>
      <w:r>
        <w:rPr>
          <w:rFonts w:ascii="Times New Roman" w:hint="eastAsia"/>
        </w:rPr>
        <w:t>年</w:t>
      </w:r>
      <w:r>
        <w:rPr>
          <w:rFonts w:ascii="Times New Roman" w:hint="eastAsia"/>
        </w:rPr>
        <w:t>-2017</w:t>
      </w:r>
      <w:r>
        <w:rPr>
          <w:rFonts w:ascii="Times New Roman" w:hint="eastAsia"/>
        </w:rPr>
        <w:t>年的气象数据分析，灵武气象站气温无明显变化趋势，</w:t>
      </w:r>
      <w:r>
        <w:rPr>
          <w:rFonts w:ascii="Times New Roman" w:hint="eastAsia"/>
        </w:rPr>
        <w:t>1998</w:t>
      </w:r>
      <w:r>
        <w:rPr>
          <w:rFonts w:ascii="Times New Roman" w:hint="eastAsia"/>
        </w:rPr>
        <w:t>年年平均气温最高为</w:t>
      </w:r>
      <w:r>
        <w:rPr>
          <w:rFonts w:ascii="Times New Roman" w:hint="eastAsia"/>
        </w:rPr>
        <w:t>10.50</w:t>
      </w:r>
      <w:r>
        <w:rPr>
          <w:rFonts w:ascii="Times New Roman" w:hint="eastAsia"/>
        </w:rPr>
        <w:t>℃，</w:t>
      </w:r>
      <w:r>
        <w:rPr>
          <w:rFonts w:ascii="Times New Roman" w:hint="eastAsia"/>
        </w:rPr>
        <w:t>2012</w:t>
      </w:r>
      <w:r>
        <w:rPr>
          <w:rFonts w:ascii="Times New Roman" w:hint="eastAsia"/>
        </w:rPr>
        <w:t>年年平均气温最低为</w:t>
      </w:r>
      <w:r>
        <w:rPr>
          <w:rFonts w:ascii="Times New Roman" w:hint="eastAsia"/>
        </w:rPr>
        <w:t>9.00</w:t>
      </w:r>
      <w:r>
        <w:rPr>
          <w:rFonts w:ascii="Times New Roman" w:hint="eastAsia"/>
        </w:rPr>
        <w:t>℃，周期为</w:t>
      </w:r>
      <w:r>
        <w:rPr>
          <w:rFonts w:ascii="Times New Roman" w:hint="eastAsia"/>
        </w:rPr>
        <w:t>5</w:t>
      </w:r>
      <w:r>
        <w:rPr>
          <w:rFonts w:ascii="Times New Roman" w:hint="eastAsia"/>
        </w:rPr>
        <w:t>年。</w:t>
      </w:r>
    </w:p>
    <w:p w14:paraId="73AA20D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3</w:t>
      </w:r>
      <w:r>
        <w:rPr>
          <w:rFonts w:ascii="Times New Roman" w:hint="eastAsia"/>
        </w:rPr>
        <w:t>）降水情况分析</w:t>
      </w:r>
    </w:p>
    <w:p w14:paraId="60BC070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）月平均降水与极端降水</w:t>
      </w:r>
    </w:p>
    <w:p w14:paraId="286615F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int="eastAsia"/>
        </w:rPr>
        <w:t>1998</w:t>
      </w:r>
      <w:r>
        <w:rPr>
          <w:rFonts w:ascii="Times New Roman" w:hint="eastAsia"/>
        </w:rPr>
        <w:t>年</w:t>
      </w:r>
      <w:r>
        <w:rPr>
          <w:rFonts w:ascii="Times New Roman" w:hint="eastAsia"/>
        </w:rPr>
        <w:t>-2017</w:t>
      </w:r>
      <w:r>
        <w:rPr>
          <w:rFonts w:ascii="Times New Roman" w:hint="eastAsia"/>
        </w:rPr>
        <w:t>年的气象数据分析，灵武气象站</w:t>
      </w:r>
      <w:r>
        <w:rPr>
          <w:rFonts w:ascii="Times New Roman" w:hint="eastAsia"/>
        </w:rPr>
        <w:t>7</w:t>
      </w:r>
      <w:r>
        <w:rPr>
          <w:rFonts w:ascii="Times New Roman" w:hint="eastAsia"/>
        </w:rPr>
        <w:t>月降水量最大为</w:t>
      </w:r>
      <w:r>
        <w:rPr>
          <w:rFonts w:ascii="Times New Roman" w:hint="eastAsia"/>
        </w:rPr>
        <w:t>38.34mm</w:t>
      </w:r>
      <w:r>
        <w:rPr>
          <w:rFonts w:ascii="Times New Roman" w:hint="eastAsia"/>
        </w:rPr>
        <w:t>，</w:t>
      </w:r>
      <w:r>
        <w:rPr>
          <w:rFonts w:ascii="Times New Roman" w:hint="eastAsia"/>
        </w:rPr>
        <w:t>12</w:t>
      </w:r>
      <w:r>
        <w:rPr>
          <w:rFonts w:ascii="Times New Roman" w:hint="eastAsia"/>
        </w:rPr>
        <w:t>月降水量最小为</w:t>
      </w:r>
      <w:r>
        <w:rPr>
          <w:rFonts w:ascii="Times New Roman" w:hint="eastAsia"/>
        </w:rPr>
        <w:t>1.01mm</w:t>
      </w:r>
      <w:r>
        <w:rPr>
          <w:rFonts w:ascii="Times New Roman" w:hint="eastAsia"/>
        </w:rPr>
        <w:t>，极端最大日降水出现在</w:t>
      </w:r>
      <w:r>
        <w:rPr>
          <w:rFonts w:ascii="Times New Roman" w:hint="eastAsia"/>
        </w:rPr>
        <w:t>2002</w:t>
      </w:r>
      <w:r>
        <w:rPr>
          <w:rFonts w:ascii="Times New Roman" w:hint="eastAsia"/>
        </w:rPr>
        <w:t>年</w:t>
      </w:r>
      <w:r>
        <w:rPr>
          <w:rFonts w:ascii="Times New Roman" w:hint="eastAsia"/>
        </w:rPr>
        <w:t>6</w:t>
      </w:r>
      <w:r>
        <w:rPr>
          <w:rFonts w:ascii="Times New Roman" w:hint="eastAsia"/>
        </w:rPr>
        <w:t>月</w:t>
      </w:r>
      <w:r>
        <w:rPr>
          <w:rFonts w:ascii="Times New Roman" w:hint="eastAsia"/>
        </w:rPr>
        <w:t>8</w:t>
      </w:r>
      <w:r>
        <w:rPr>
          <w:rFonts w:ascii="Times New Roman" w:hint="eastAsia"/>
        </w:rPr>
        <w:t>日为</w:t>
      </w:r>
      <w:r>
        <w:rPr>
          <w:rFonts w:ascii="Times New Roman" w:hint="eastAsia"/>
        </w:rPr>
        <w:t>55.2mm</w:t>
      </w:r>
      <w:r>
        <w:rPr>
          <w:rFonts w:ascii="Times New Roman" w:hint="eastAsia"/>
        </w:rPr>
        <w:t>。</w:t>
      </w:r>
    </w:p>
    <w:p w14:paraId="6F65AC0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2</w:t>
      </w:r>
      <w:r>
        <w:rPr>
          <w:rFonts w:ascii="Times New Roman" w:hint="eastAsia"/>
        </w:rPr>
        <w:t>）年际降水变化与周期</w:t>
      </w:r>
    </w:p>
    <w:p w14:paraId="2A864A3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int="eastAsia"/>
        </w:rPr>
        <w:t>1998</w:t>
      </w:r>
      <w:r>
        <w:rPr>
          <w:rFonts w:ascii="Times New Roman" w:hint="eastAsia"/>
        </w:rPr>
        <w:t>年</w:t>
      </w:r>
      <w:r>
        <w:rPr>
          <w:rFonts w:ascii="Times New Roman" w:hint="eastAsia"/>
        </w:rPr>
        <w:t>-2017</w:t>
      </w:r>
      <w:r>
        <w:rPr>
          <w:rFonts w:ascii="Times New Roman" w:hint="eastAsia"/>
        </w:rPr>
        <w:t>年的气象数据分析，灵武气象站年降水总量无明显变化趋势，</w:t>
      </w:r>
      <w:r>
        <w:rPr>
          <w:rFonts w:ascii="Times New Roman" w:hint="eastAsia"/>
        </w:rPr>
        <w:t>2016</w:t>
      </w:r>
      <w:r>
        <w:rPr>
          <w:rFonts w:ascii="Times New Roman" w:hint="eastAsia"/>
        </w:rPr>
        <w:t>年年降水总量最大为</w:t>
      </w:r>
      <w:r>
        <w:rPr>
          <w:rFonts w:ascii="Times New Roman" w:hint="eastAsia"/>
        </w:rPr>
        <w:t>264.40mm</w:t>
      </w:r>
      <w:r>
        <w:rPr>
          <w:rFonts w:ascii="Times New Roman" w:hint="eastAsia"/>
        </w:rPr>
        <w:t>，</w:t>
      </w:r>
      <w:r>
        <w:rPr>
          <w:rFonts w:ascii="Times New Roman" w:hint="eastAsia"/>
        </w:rPr>
        <w:t>2005</w:t>
      </w:r>
      <w:r>
        <w:rPr>
          <w:rFonts w:ascii="Times New Roman" w:hint="eastAsia"/>
        </w:rPr>
        <w:t>年年降水总量最小为</w:t>
      </w:r>
      <w:r>
        <w:rPr>
          <w:rFonts w:ascii="Times New Roman" w:hint="eastAsia"/>
        </w:rPr>
        <w:t>80.40mm</w:t>
      </w:r>
      <w:r>
        <w:rPr>
          <w:rFonts w:ascii="Times New Roman" w:hint="eastAsia"/>
        </w:rPr>
        <w:t>，周期为</w:t>
      </w:r>
      <w:r>
        <w:rPr>
          <w:rFonts w:ascii="Times New Roman" w:hint="eastAsia"/>
        </w:rPr>
        <w:t>5</w:t>
      </w:r>
      <w:r>
        <w:rPr>
          <w:rFonts w:ascii="Times New Roman" w:hint="eastAsia"/>
        </w:rPr>
        <w:t>年。</w:t>
      </w:r>
    </w:p>
    <w:p w14:paraId="7CD9CB3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4</w:t>
      </w:r>
      <w:r>
        <w:rPr>
          <w:rFonts w:ascii="Times New Roman" w:hint="eastAsia"/>
        </w:rPr>
        <w:t>）气象站日照情况分析</w:t>
      </w:r>
    </w:p>
    <w:p w14:paraId="4A55CF6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）月日照时数</w:t>
      </w:r>
    </w:p>
    <w:p w14:paraId="590274C3"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int="eastAsia"/>
        </w:rPr>
        <w:t>1998</w:t>
      </w:r>
      <w:r>
        <w:rPr>
          <w:rFonts w:ascii="Times New Roman" w:hint="eastAsia"/>
        </w:rPr>
        <w:t>年</w:t>
      </w:r>
      <w:r>
        <w:rPr>
          <w:rFonts w:ascii="Times New Roman" w:hint="eastAsia"/>
        </w:rPr>
        <w:t>-2017</w:t>
      </w:r>
      <w:r>
        <w:rPr>
          <w:rFonts w:ascii="Times New Roman" w:hint="eastAsia"/>
        </w:rPr>
        <w:t>年的气象数据分析，灵武气象站</w:t>
      </w:r>
      <w:r>
        <w:rPr>
          <w:rFonts w:ascii="Times New Roman" w:hint="eastAsia"/>
        </w:rPr>
        <w:t>5</w:t>
      </w:r>
      <w:r>
        <w:rPr>
          <w:rFonts w:ascii="Times New Roman" w:hint="eastAsia"/>
        </w:rPr>
        <w:t>月日照最长为</w:t>
      </w:r>
      <w:r>
        <w:rPr>
          <w:rFonts w:ascii="Times New Roman" w:hint="eastAsia"/>
        </w:rPr>
        <w:t>299.19h</w:t>
      </w:r>
      <w:r>
        <w:rPr>
          <w:rFonts w:ascii="Times New Roman" w:hint="eastAsia"/>
        </w:rPr>
        <w:t>，</w:t>
      </w:r>
      <w:r>
        <w:rPr>
          <w:rFonts w:ascii="Times New Roman" w:hint="eastAsia"/>
        </w:rPr>
        <w:t>2</w:t>
      </w:r>
      <w:r>
        <w:rPr>
          <w:rFonts w:ascii="Times New Roman" w:hint="eastAsia"/>
        </w:rPr>
        <w:t>月日照最短为</w:t>
      </w:r>
      <w:r>
        <w:rPr>
          <w:rFonts w:ascii="Times New Roman" w:hint="eastAsia"/>
        </w:rPr>
        <w:t>205.63h</w:t>
      </w:r>
      <w:r>
        <w:rPr>
          <w:rFonts w:ascii="Times New Roman" w:hint="eastAsia"/>
        </w:rPr>
        <w:t>。</w:t>
      </w:r>
    </w:p>
    <w:p w14:paraId="4E464E9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2</w:t>
      </w:r>
      <w:r>
        <w:rPr>
          <w:rFonts w:ascii="Times New Roman" w:hint="eastAsia"/>
        </w:rPr>
        <w:t>）日照时数年际变化趋势与周期分析</w:t>
      </w:r>
    </w:p>
    <w:p w14:paraId="7A4179A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int="eastAsia"/>
        </w:rPr>
        <w:t>1998</w:t>
      </w:r>
      <w:r>
        <w:rPr>
          <w:rFonts w:ascii="Times New Roman" w:hint="eastAsia"/>
        </w:rPr>
        <w:t>年</w:t>
      </w:r>
      <w:r>
        <w:rPr>
          <w:rFonts w:ascii="Times New Roman" w:hint="eastAsia"/>
        </w:rPr>
        <w:t>-2017</w:t>
      </w:r>
      <w:r>
        <w:rPr>
          <w:rFonts w:ascii="Times New Roman" w:hint="eastAsia"/>
        </w:rPr>
        <w:t>年的气象数据分析，灵武气象站年日照时数无明显变化趋势，</w:t>
      </w:r>
      <w:r>
        <w:rPr>
          <w:rFonts w:ascii="Times New Roman" w:hint="eastAsia"/>
        </w:rPr>
        <w:t>2005</w:t>
      </w:r>
      <w:r>
        <w:rPr>
          <w:rFonts w:ascii="Times New Roman" w:hint="eastAsia"/>
        </w:rPr>
        <w:t>年年日照时数最长为</w:t>
      </w:r>
      <w:r>
        <w:rPr>
          <w:rFonts w:ascii="Times New Roman" w:hint="eastAsia"/>
        </w:rPr>
        <w:t>3224.40h</w:t>
      </w:r>
      <w:r>
        <w:rPr>
          <w:rFonts w:ascii="Times New Roman" w:hint="eastAsia"/>
        </w:rPr>
        <w:t>，</w:t>
      </w:r>
      <w:r>
        <w:rPr>
          <w:rFonts w:ascii="Times New Roman" w:hint="eastAsia"/>
        </w:rPr>
        <w:t>2011</w:t>
      </w:r>
      <w:r>
        <w:rPr>
          <w:rFonts w:ascii="Times New Roman" w:hint="eastAsia"/>
        </w:rPr>
        <w:t>年年日照时数最短为</w:t>
      </w:r>
      <w:r>
        <w:rPr>
          <w:rFonts w:ascii="Times New Roman" w:hint="eastAsia"/>
        </w:rPr>
        <w:t>2700.20h</w:t>
      </w:r>
      <w:r>
        <w:rPr>
          <w:rFonts w:ascii="Times New Roman" w:hint="eastAsia"/>
        </w:rPr>
        <w:t>，周期为</w:t>
      </w:r>
      <w:r>
        <w:rPr>
          <w:rFonts w:ascii="Times New Roman" w:hint="eastAsia"/>
        </w:rPr>
        <w:t>6-7</w:t>
      </w:r>
      <w:r>
        <w:rPr>
          <w:rFonts w:ascii="Times New Roman" w:hint="eastAsia"/>
        </w:rPr>
        <w:t>年。</w:t>
      </w:r>
    </w:p>
    <w:p w14:paraId="3CE3E49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5</w:t>
      </w:r>
      <w:r>
        <w:rPr>
          <w:rFonts w:ascii="Times New Roman" w:hint="eastAsia"/>
        </w:rPr>
        <w:t>）相对湿度分析</w:t>
      </w:r>
    </w:p>
    <w:p w14:paraId="0DC62DA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）月相对湿度分析</w:t>
      </w:r>
    </w:p>
    <w:p w14:paraId="06D3537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int="eastAsia"/>
        </w:rPr>
        <w:t>1998</w:t>
      </w:r>
      <w:r>
        <w:rPr>
          <w:rFonts w:ascii="Times New Roman" w:hint="eastAsia"/>
        </w:rPr>
        <w:t>年</w:t>
      </w:r>
      <w:r>
        <w:rPr>
          <w:rFonts w:ascii="Times New Roman" w:hint="eastAsia"/>
        </w:rPr>
        <w:t>-2017</w:t>
      </w:r>
      <w:r>
        <w:rPr>
          <w:rFonts w:ascii="Times New Roman" w:hint="eastAsia"/>
        </w:rPr>
        <w:t>年的气象数据分析，灵武气象站</w:t>
      </w:r>
      <w:r>
        <w:rPr>
          <w:rFonts w:ascii="Times New Roman" w:hint="eastAsia"/>
        </w:rPr>
        <w:t>9</w:t>
      </w:r>
      <w:r>
        <w:rPr>
          <w:rFonts w:ascii="Times New Roman" w:hint="eastAsia"/>
        </w:rPr>
        <w:t>月平均相对湿度最大为</w:t>
      </w:r>
      <w:r>
        <w:rPr>
          <w:rFonts w:ascii="Times New Roman" w:hint="eastAsia"/>
        </w:rPr>
        <w:t>71%</w:t>
      </w:r>
      <w:r>
        <w:rPr>
          <w:rFonts w:ascii="Times New Roman" w:hint="eastAsia"/>
        </w:rPr>
        <w:t>，</w:t>
      </w:r>
      <w:r>
        <w:rPr>
          <w:rFonts w:ascii="Times New Roman" w:hint="eastAsia"/>
        </w:rPr>
        <w:t>4</w:t>
      </w:r>
      <w:r>
        <w:rPr>
          <w:rFonts w:ascii="Times New Roman" w:hint="eastAsia"/>
        </w:rPr>
        <w:t>月平均相对湿度最小为</w:t>
      </w:r>
      <w:r>
        <w:rPr>
          <w:rFonts w:ascii="Times New Roman" w:hint="eastAsia"/>
        </w:rPr>
        <w:t>39%</w:t>
      </w:r>
      <w:r>
        <w:rPr>
          <w:rFonts w:ascii="Times New Roman" w:hint="eastAsia"/>
        </w:rPr>
        <w:t>。</w:t>
      </w:r>
    </w:p>
    <w:p w14:paraId="7435BB3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2</w:t>
      </w:r>
      <w:r>
        <w:rPr>
          <w:rFonts w:ascii="Times New Roman" w:hint="eastAsia"/>
        </w:rPr>
        <w:t>）相对湿度年际变化趋势与周期分析</w:t>
      </w:r>
    </w:p>
    <w:p w14:paraId="4C5D3082"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hint="eastAsia"/>
        </w:rPr>
        <w:t>1998</w:t>
      </w:r>
      <w:r>
        <w:rPr>
          <w:rFonts w:ascii="Times New Roman" w:hint="eastAsia"/>
        </w:rPr>
        <w:t>年</w:t>
      </w:r>
      <w:r>
        <w:rPr>
          <w:rFonts w:ascii="Times New Roman" w:hint="eastAsia"/>
        </w:rPr>
        <w:t>-2017</w:t>
      </w:r>
      <w:r>
        <w:rPr>
          <w:rFonts w:ascii="Times New Roman" w:hint="eastAsia"/>
        </w:rPr>
        <w:t>年的气象数据分析，灵武气象站年平均相对湿度无明显变化趋势，</w:t>
      </w:r>
      <w:r>
        <w:rPr>
          <w:rFonts w:ascii="Times New Roman" w:hint="eastAsia"/>
        </w:rPr>
        <w:t>2007</w:t>
      </w:r>
      <w:r>
        <w:rPr>
          <w:rFonts w:ascii="Times New Roman" w:hint="eastAsia"/>
        </w:rPr>
        <w:t>年年平均相对湿度最大为</w:t>
      </w:r>
      <w:r>
        <w:rPr>
          <w:rFonts w:ascii="Times New Roman" w:hint="eastAsia"/>
        </w:rPr>
        <w:t>60.00%</w:t>
      </w:r>
      <w:r>
        <w:rPr>
          <w:rFonts w:ascii="Times New Roman" w:hint="eastAsia"/>
        </w:rPr>
        <w:t>，</w:t>
      </w:r>
      <w:r>
        <w:rPr>
          <w:rFonts w:ascii="Times New Roman" w:hint="eastAsia"/>
        </w:rPr>
        <w:t>2013</w:t>
      </w:r>
      <w:r>
        <w:rPr>
          <w:rFonts w:ascii="Times New Roman" w:hint="eastAsia"/>
        </w:rPr>
        <w:t>年年平均相对湿度最小为</w:t>
      </w:r>
      <w:r>
        <w:rPr>
          <w:rFonts w:ascii="Times New Roman" w:hint="eastAsia"/>
        </w:rPr>
        <w:t>50.00%</w:t>
      </w:r>
      <w:r>
        <w:rPr>
          <w:rFonts w:ascii="Times New Roman" w:hint="eastAsia"/>
        </w:rPr>
        <w:t>，周期为</w:t>
      </w:r>
      <w:r>
        <w:rPr>
          <w:rFonts w:ascii="Times New Roman" w:hint="eastAsia"/>
        </w:rPr>
        <w:t>6-7</w:t>
      </w:r>
      <w:r>
        <w:rPr>
          <w:rFonts w:ascii="Times New Roman" w:hint="eastAsia"/>
        </w:rPr>
        <w:t>年。</w:t>
      </w:r>
    </w:p>
    <w:bookmarkEnd w:id="262"/>
    <w:bookmarkEnd w:id="263"/>
    <w:p w14:paraId="2E1AD627"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6.</w:t>
      </w:r>
      <w:r>
        <w:rPr>
          <w:rFonts w:ascii="Times New Roman" w:hAnsi="Times New Roman" w:hint="eastAsia"/>
          <w:sz w:val="24"/>
        </w:rPr>
        <w:t>4</w:t>
      </w:r>
      <w:r>
        <w:rPr>
          <w:rFonts w:ascii="Times New Roman" w:hAnsi="Times New Roman"/>
          <w:sz w:val="24"/>
        </w:rPr>
        <w:t xml:space="preserve">.2 </w:t>
      </w:r>
      <w:r>
        <w:rPr>
          <w:rFonts w:ascii="Times New Roman" w:hAnsi="Times New Roman"/>
          <w:sz w:val="24"/>
        </w:rPr>
        <w:t>矿区</w:t>
      </w:r>
      <w:r>
        <w:rPr>
          <w:rFonts w:ascii="Times New Roman" w:hAnsi="Times New Roman" w:hint="eastAsia"/>
          <w:sz w:val="24"/>
        </w:rPr>
        <w:t>规划项目</w:t>
      </w:r>
      <w:r>
        <w:rPr>
          <w:rFonts w:ascii="Times New Roman" w:hAnsi="Times New Roman"/>
          <w:sz w:val="24"/>
        </w:rPr>
        <w:t>大气污染源</w:t>
      </w:r>
    </w:p>
    <w:p w14:paraId="5696515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本矿区规划</w:t>
      </w:r>
      <w:r>
        <w:rPr>
          <w:rFonts w:ascii="Times New Roman" w:hint="eastAsia"/>
        </w:rPr>
        <w:t>4</w:t>
      </w:r>
      <w:r>
        <w:rPr>
          <w:rFonts w:ascii="Times New Roman" w:hint="eastAsia"/>
        </w:rPr>
        <w:t>个矿井，其中马莲台煤矿、红石湾煤矿和任家庄煤矿属于生产矿井，目前的供热方式分别为临河</w:t>
      </w:r>
      <w:r>
        <w:rPr>
          <w:rFonts w:ascii="Times New Roman"/>
        </w:rPr>
        <w:t>工业园区</w:t>
      </w:r>
      <w:r>
        <w:rPr>
          <w:rFonts w:ascii="Times New Roman" w:hint="eastAsia"/>
        </w:rPr>
        <w:t>甲醇厂</w:t>
      </w:r>
      <w:r>
        <w:rPr>
          <w:rFonts w:ascii="Times New Roman" w:hint="eastAsia"/>
        </w:rPr>
        <w:t>5</w:t>
      </w:r>
      <w:r>
        <w:rPr>
          <w:rFonts w:ascii="Times New Roman" w:hint="eastAsia"/>
        </w:rPr>
        <w:t>×</w:t>
      </w:r>
      <w:r>
        <w:rPr>
          <w:rFonts w:ascii="Times New Roman" w:hint="eastAsia"/>
        </w:rPr>
        <w:t>25MW</w:t>
      </w:r>
      <w:r>
        <w:rPr>
          <w:rFonts w:ascii="Times New Roman" w:hint="eastAsia"/>
        </w:rPr>
        <w:t>自备热电站</w:t>
      </w:r>
      <w:r>
        <w:rPr>
          <w:rFonts w:ascii="Times New Roman"/>
        </w:rPr>
        <w:t>供热</w:t>
      </w:r>
      <w:r>
        <w:rPr>
          <w:rFonts w:ascii="Times New Roman" w:hint="eastAsia"/>
        </w:rPr>
        <w:t>、银川中科环保电力有限公司生活垃圾焚烧发电厂余热和锅炉房燃气锅炉供热，任家庄煤矿主</w:t>
      </w:r>
      <w:r>
        <w:rPr>
          <w:rFonts w:ascii="Times New Roman"/>
        </w:rPr>
        <w:t>工业</w:t>
      </w:r>
      <w:r>
        <w:rPr>
          <w:rFonts w:ascii="Times New Roman" w:hint="eastAsia"/>
        </w:rPr>
        <w:t>场地设</w:t>
      </w:r>
      <w:r>
        <w:rPr>
          <w:rFonts w:ascii="Times New Roman" w:hint="eastAsia"/>
        </w:rPr>
        <w:t>2</w:t>
      </w:r>
      <w:r>
        <w:rPr>
          <w:rFonts w:ascii="Times New Roman" w:hint="eastAsia"/>
        </w:rPr>
        <w:t>台</w:t>
      </w:r>
      <w:r>
        <w:rPr>
          <w:rFonts w:ascii="Times New Roman" w:hint="eastAsia"/>
        </w:rPr>
        <w:t>20t/h</w:t>
      </w:r>
      <w:r>
        <w:rPr>
          <w:rFonts w:ascii="Times New Roman" w:hint="eastAsia"/>
        </w:rPr>
        <w:t>燃气锅炉、副立井</w:t>
      </w:r>
      <w:r>
        <w:rPr>
          <w:rFonts w:ascii="Times New Roman"/>
        </w:rPr>
        <w:t>场地</w:t>
      </w:r>
      <w:r>
        <w:rPr>
          <w:rFonts w:ascii="Times New Roman" w:hint="eastAsia"/>
        </w:rPr>
        <w:t>设</w:t>
      </w:r>
      <w:r>
        <w:rPr>
          <w:rFonts w:ascii="Times New Roman" w:hint="eastAsia"/>
        </w:rPr>
        <w:t>4</w:t>
      </w:r>
      <w:r>
        <w:rPr>
          <w:rFonts w:ascii="Times New Roman" w:hint="eastAsia"/>
        </w:rPr>
        <w:t>台</w:t>
      </w:r>
      <w:r>
        <w:rPr>
          <w:rFonts w:ascii="Times New Roman" w:hint="eastAsia"/>
        </w:rPr>
        <w:t>4t/h</w:t>
      </w:r>
      <w:r>
        <w:rPr>
          <w:rFonts w:ascii="Times New Roman" w:hint="eastAsia"/>
        </w:rPr>
        <w:t>燃气</w:t>
      </w:r>
      <w:r>
        <w:rPr>
          <w:rFonts w:ascii="Times New Roman"/>
        </w:rPr>
        <w:t>锅炉，拟建丁家梁煤矿采用</w:t>
      </w:r>
      <w:r>
        <w:rPr>
          <w:rFonts w:ascii="Times New Roman" w:hint="eastAsia"/>
        </w:rPr>
        <w:t>燃气锅炉供热，</w:t>
      </w:r>
      <w:r>
        <w:rPr>
          <w:rFonts w:ascii="Times New Roman"/>
        </w:rPr>
        <w:t>工业</w:t>
      </w:r>
      <w:r>
        <w:rPr>
          <w:rFonts w:ascii="Times New Roman" w:hint="eastAsia"/>
        </w:rPr>
        <w:t>场地设置</w:t>
      </w:r>
      <w:r>
        <w:rPr>
          <w:rFonts w:ascii="Times New Roman" w:hint="eastAsia"/>
        </w:rPr>
        <w:t>2</w:t>
      </w:r>
      <w:r>
        <w:rPr>
          <w:rFonts w:ascii="Times New Roman" w:hint="eastAsia"/>
        </w:rPr>
        <w:t>台</w:t>
      </w:r>
      <w:r>
        <w:rPr>
          <w:rFonts w:ascii="Times New Roman" w:hint="eastAsia"/>
        </w:rPr>
        <w:t>1</w:t>
      </w:r>
      <w:r>
        <w:rPr>
          <w:rFonts w:ascii="Times New Roman"/>
        </w:rPr>
        <w:t>0t/h</w:t>
      </w:r>
      <w:r>
        <w:rPr>
          <w:rFonts w:ascii="Times New Roman"/>
        </w:rPr>
        <w:t>燃气锅炉</w:t>
      </w:r>
      <w:r>
        <w:rPr>
          <w:rFonts w:ascii="Times New Roman" w:hint="eastAsia"/>
        </w:rPr>
        <w:t>。</w:t>
      </w:r>
    </w:p>
    <w:p w14:paraId="5FBC234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横城矿区</w:t>
      </w:r>
      <w:r>
        <w:rPr>
          <w:rFonts w:ascii="Times New Roman"/>
        </w:rPr>
        <w:t>各规划项目大气污染源</w:t>
      </w:r>
      <w:r>
        <w:rPr>
          <w:rFonts w:ascii="Times New Roman" w:hint="eastAsia"/>
        </w:rPr>
        <w:t>排放情况</w:t>
      </w:r>
      <w:r>
        <w:rPr>
          <w:rFonts w:ascii="Times New Roman"/>
        </w:rPr>
        <w:t>见表</w:t>
      </w:r>
      <w:r>
        <w:rPr>
          <w:rFonts w:ascii="Times New Roman" w:hAnsi="Times New Roman"/>
        </w:rPr>
        <w:t>6.4-</w:t>
      </w:r>
      <w:r>
        <w:rPr>
          <w:rFonts w:ascii="Times New Roman" w:hAnsi="Times New Roman" w:hint="eastAsia"/>
        </w:rPr>
        <w:t>3</w:t>
      </w:r>
      <w:r>
        <w:rPr>
          <w:rFonts w:ascii="Times New Roman"/>
        </w:rPr>
        <w:t>。</w:t>
      </w:r>
    </w:p>
    <w:p w14:paraId="4FA2CB2A" w14:textId="77777777" w:rsidR="009C353B" w:rsidRDefault="00000000">
      <w:pPr>
        <w:adjustRightInd w:val="0"/>
        <w:snapToGrid w:val="0"/>
        <w:spacing w:line="440" w:lineRule="exact"/>
        <w:jc w:val="center"/>
        <w:rPr>
          <w:rFonts w:ascii="Times New Roman" w:hAnsi="Times New Roman"/>
          <w:b/>
        </w:rPr>
      </w:pPr>
      <w:r>
        <w:rPr>
          <w:rFonts w:ascii="Times New Roman"/>
          <w:b/>
        </w:rPr>
        <w:t>矿区大气污染源污染物排放量</w:t>
      </w:r>
    </w:p>
    <w:p w14:paraId="3358D8B5" w14:textId="77777777" w:rsidR="009C353B" w:rsidRDefault="00000000">
      <w:pPr>
        <w:adjustRightInd w:val="0"/>
        <w:snapToGrid w:val="0"/>
        <w:spacing w:line="440" w:lineRule="exact"/>
        <w:rPr>
          <w:rFonts w:ascii="Times New Roman" w:hint="eastAsia"/>
        </w:rPr>
      </w:pPr>
      <w:r>
        <w:rPr>
          <w:rFonts w:ascii="Times New Roman"/>
        </w:rPr>
        <w:t>表</w:t>
      </w:r>
      <w:r>
        <w:rPr>
          <w:rFonts w:ascii="Times New Roman"/>
        </w:rPr>
        <w:t>6.4-</w:t>
      </w:r>
      <w:r>
        <w:rPr>
          <w:rFonts w:ascii="Times New Roman" w:hint="eastAsia"/>
        </w:rPr>
        <w:t>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bottom w:w="28" w:type="dxa"/>
          <w:right w:w="0" w:type="dxa"/>
        </w:tblCellMar>
        <w:tblLook w:val="04A0" w:firstRow="1" w:lastRow="0" w:firstColumn="1" w:lastColumn="0" w:noHBand="0" w:noVBand="1"/>
      </w:tblPr>
      <w:tblGrid>
        <w:gridCol w:w="1652"/>
        <w:gridCol w:w="991"/>
        <w:gridCol w:w="991"/>
        <w:gridCol w:w="1700"/>
        <w:gridCol w:w="851"/>
        <w:gridCol w:w="850"/>
        <w:gridCol w:w="901"/>
        <w:gridCol w:w="1145"/>
      </w:tblGrid>
      <w:tr w:rsidR="009C353B" w14:paraId="47CF95F7" w14:textId="77777777">
        <w:trPr>
          <w:trHeight w:val="340"/>
          <w:jc w:val="center"/>
        </w:trPr>
        <w:tc>
          <w:tcPr>
            <w:tcW w:w="1652" w:type="dxa"/>
            <w:vMerge w:val="restart"/>
            <w:vAlign w:val="center"/>
          </w:tcPr>
          <w:p w14:paraId="727E786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污染源</w:t>
            </w:r>
          </w:p>
        </w:tc>
        <w:tc>
          <w:tcPr>
            <w:tcW w:w="6284" w:type="dxa"/>
            <w:gridSpan w:val="6"/>
            <w:vAlign w:val="center"/>
          </w:tcPr>
          <w:p w14:paraId="78DE3A1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废气排放</w:t>
            </w:r>
          </w:p>
        </w:tc>
        <w:tc>
          <w:tcPr>
            <w:tcW w:w="1145" w:type="dxa"/>
            <w:vMerge w:val="restart"/>
            <w:vAlign w:val="center"/>
          </w:tcPr>
          <w:p w14:paraId="0068995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备注</w:t>
            </w:r>
          </w:p>
        </w:tc>
      </w:tr>
      <w:tr w:rsidR="009C353B" w14:paraId="6F15EDE0" w14:textId="77777777">
        <w:trPr>
          <w:trHeight w:val="340"/>
          <w:jc w:val="center"/>
        </w:trPr>
        <w:tc>
          <w:tcPr>
            <w:tcW w:w="1652" w:type="dxa"/>
            <w:vMerge/>
            <w:vAlign w:val="center"/>
          </w:tcPr>
          <w:p w14:paraId="01B90C23" w14:textId="77777777" w:rsidR="009C353B" w:rsidRDefault="009C353B">
            <w:pPr>
              <w:adjustRightInd w:val="0"/>
              <w:snapToGrid w:val="0"/>
              <w:spacing w:line="240" w:lineRule="atLeast"/>
              <w:jc w:val="center"/>
              <w:rPr>
                <w:rFonts w:ascii="Times New Roman" w:hAnsi="Times New Roman"/>
                <w:sz w:val="21"/>
                <w:szCs w:val="21"/>
              </w:rPr>
            </w:pPr>
          </w:p>
        </w:tc>
        <w:tc>
          <w:tcPr>
            <w:tcW w:w="991" w:type="dxa"/>
            <w:vAlign w:val="center"/>
          </w:tcPr>
          <w:p w14:paraId="33134FB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烟囱高度（</w:t>
            </w:r>
            <w:r>
              <w:rPr>
                <w:rFonts w:ascii="Times New Roman" w:hAnsi="Times New Roman"/>
                <w:sz w:val="21"/>
                <w:szCs w:val="21"/>
              </w:rPr>
              <w:t>m</w:t>
            </w:r>
            <w:r>
              <w:rPr>
                <w:rFonts w:ascii="Times New Roman"/>
                <w:sz w:val="21"/>
                <w:szCs w:val="21"/>
              </w:rPr>
              <w:t>）</w:t>
            </w:r>
          </w:p>
        </w:tc>
        <w:tc>
          <w:tcPr>
            <w:tcW w:w="991" w:type="dxa"/>
            <w:vAlign w:val="center"/>
          </w:tcPr>
          <w:p w14:paraId="06E4FCE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出口</w:t>
            </w:r>
            <w:r>
              <w:rPr>
                <w:rFonts w:ascii="Times New Roman" w:hint="eastAsia"/>
                <w:sz w:val="21"/>
                <w:szCs w:val="21"/>
              </w:rPr>
              <w:t>内径</w:t>
            </w:r>
            <w:r>
              <w:rPr>
                <w:rFonts w:ascii="Times New Roman"/>
                <w:sz w:val="21"/>
                <w:szCs w:val="21"/>
              </w:rPr>
              <w:t>（</w:t>
            </w:r>
            <w:r>
              <w:rPr>
                <w:rFonts w:ascii="Times New Roman" w:hAnsi="Times New Roman"/>
                <w:sz w:val="21"/>
                <w:szCs w:val="21"/>
              </w:rPr>
              <w:t>m</w:t>
            </w:r>
            <w:r>
              <w:rPr>
                <w:rFonts w:ascii="Times New Roman"/>
                <w:sz w:val="21"/>
                <w:szCs w:val="21"/>
              </w:rPr>
              <w:t>）</w:t>
            </w:r>
          </w:p>
        </w:tc>
        <w:tc>
          <w:tcPr>
            <w:tcW w:w="1700" w:type="dxa"/>
            <w:vAlign w:val="center"/>
          </w:tcPr>
          <w:p w14:paraId="19C67B2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烟筒出口烟</w:t>
            </w:r>
            <w:r>
              <w:rPr>
                <w:rFonts w:ascii="Times New Roman"/>
                <w:kern w:val="0"/>
                <w:sz w:val="21"/>
                <w:szCs w:val="21"/>
              </w:rPr>
              <w:t>气量（</w:t>
            </w:r>
            <w:r>
              <w:rPr>
                <w:rFonts w:ascii="Times New Roman" w:hAnsi="Times New Roman"/>
                <w:sz w:val="21"/>
                <w:szCs w:val="21"/>
              </w:rPr>
              <w:t>N</w:t>
            </w:r>
            <w:r>
              <w:rPr>
                <w:rFonts w:ascii="Times New Roman" w:hAnsi="Times New Roman"/>
                <w:kern w:val="0"/>
                <w:sz w:val="21"/>
                <w:szCs w:val="21"/>
              </w:rPr>
              <w:t>m</w:t>
            </w:r>
            <w:r>
              <w:rPr>
                <w:rFonts w:ascii="Times New Roman" w:hAnsi="Times New Roman"/>
                <w:kern w:val="0"/>
                <w:sz w:val="21"/>
                <w:szCs w:val="21"/>
                <w:vertAlign w:val="superscript"/>
              </w:rPr>
              <w:t>3</w:t>
            </w:r>
            <w:r>
              <w:rPr>
                <w:rFonts w:ascii="Times New Roman" w:hAnsi="Times New Roman"/>
                <w:kern w:val="0"/>
                <w:sz w:val="21"/>
                <w:szCs w:val="21"/>
              </w:rPr>
              <w:t>/</w:t>
            </w:r>
            <w:r>
              <w:rPr>
                <w:rFonts w:ascii="Times New Roman" w:hAnsi="Times New Roman"/>
                <w:sz w:val="21"/>
                <w:szCs w:val="21"/>
              </w:rPr>
              <w:t>s</w:t>
            </w:r>
            <w:r>
              <w:rPr>
                <w:rFonts w:ascii="Times New Roman"/>
                <w:kern w:val="0"/>
                <w:sz w:val="21"/>
                <w:szCs w:val="21"/>
              </w:rPr>
              <w:t>）</w:t>
            </w:r>
          </w:p>
        </w:tc>
        <w:tc>
          <w:tcPr>
            <w:tcW w:w="851" w:type="dxa"/>
            <w:vAlign w:val="center"/>
          </w:tcPr>
          <w:p w14:paraId="6E6FC6E8"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烟尘</w:t>
            </w:r>
          </w:p>
          <w:p w14:paraId="512EAB8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w:t>
            </w:r>
            <w:r>
              <w:rPr>
                <w:rFonts w:ascii="Times New Roman" w:hAnsi="Times New Roman"/>
                <w:sz w:val="21"/>
                <w:szCs w:val="21"/>
              </w:rPr>
              <w:t>t/a</w:t>
            </w:r>
            <w:r>
              <w:rPr>
                <w:rFonts w:ascii="Times New Roman"/>
                <w:sz w:val="21"/>
                <w:szCs w:val="21"/>
              </w:rPr>
              <w:t>）</w:t>
            </w:r>
          </w:p>
        </w:tc>
        <w:tc>
          <w:tcPr>
            <w:tcW w:w="850" w:type="dxa"/>
            <w:vAlign w:val="center"/>
          </w:tcPr>
          <w:p w14:paraId="0676BCE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p w14:paraId="1439842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w:t>
            </w:r>
            <w:r>
              <w:rPr>
                <w:rFonts w:ascii="Times New Roman" w:hAnsi="Times New Roman"/>
                <w:sz w:val="21"/>
                <w:szCs w:val="21"/>
              </w:rPr>
              <w:t>t/a</w:t>
            </w:r>
            <w:r>
              <w:rPr>
                <w:rFonts w:ascii="Times New Roman"/>
                <w:sz w:val="21"/>
                <w:szCs w:val="21"/>
              </w:rPr>
              <w:t>）</w:t>
            </w:r>
          </w:p>
        </w:tc>
        <w:tc>
          <w:tcPr>
            <w:tcW w:w="901" w:type="dxa"/>
            <w:vAlign w:val="center"/>
          </w:tcPr>
          <w:p w14:paraId="7D8F48F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NOx</w:t>
            </w:r>
          </w:p>
          <w:p w14:paraId="7CEE4D0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w:t>
            </w:r>
            <w:r>
              <w:rPr>
                <w:rFonts w:ascii="Times New Roman" w:hAnsi="Times New Roman"/>
                <w:sz w:val="21"/>
                <w:szCs w:val="21"/>
              </w:rPr>
              <w:t>t/a</w:t>
            </w:r>
            <w:r>
              <w:rPr>
                <w:rFonts w:ascii="Times New Roman"/>
                <w:sz w:val="21"/>
                <w:szCs w:val="21"/>
              </w:rPr>
              <w:t>）</w:t>
            </w:r>
          </w:p>
        </w:tc>
        <w:tc>
          <w:tcPr>
            <w:tcW w:w="1145" w:type="dxa"/>
            <w:vMerge/>
            <w:vAlign w:val="center"/>
          </w:tcPr>
          <w:p w14:paraId="5D0DA23D" w14:textId="77777777" w:rsidR="009C353B" w:rsidRDefault="009C353B">
            <w:pPr>
              <w:adjustRightInd w:val="0"/>
              <w:snapToGrid w:val="0"/>
              <w:spacing w:line="240" w:lineRule="atLeast"/>
              <w:jc w:val="center"/>
              <w:rPr>
                <w:rFonts w:ascii="Times New Roman" w:hAnsi="Times New Roman"/>
                <w:sz w:val="21"/>
                <w:szCs w:val="21"/>
              </w:rPr>
            </w:pPr>
          </w:p>
        </w:tc>
      </w:tr>
      <w:tr w:rsidR="009C353B" w14:paraId="2C790802" w14:textId="77777777">
        <w:trPr>
          <w:trHeight w:val="340"/>
          <w:jc w:val="center"/>
        </w:trPr>
        <w:tc>
          <w:tcPr>
            <w:tcW w:w="1652" w:type="dxa"/>
            <w:vAlign w:val="center"/>
          </w:tcPr>
          <w:p w14:paraId="3753A3E9"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任家庄煤矿</w:t>
            </w:r>
          </w:p>
          <w:p w14:paraId="1EC3ED1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主工广锅炉房</w:t>
            </w:r>
          </w:p>
        </w:tc>
        <w:tc>
          <w:tcPr>
            <w:tcW w:w="991" w:type="dxa"/>
            <w:vAlign w:val="center"/>
          </w:tcPr>
          <w:p w14:paraId="5D6BAE8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12</w:t>
            </w:r>
          </w:p>
        </w:tc>
        <w:tc>
          <w:tcPr>
            <w:tcW w:w="991" w:type="dxa"/>
            <w:vAlign w:val="center"/>
          </w:tcPr>
          <w:p w14:paraId="0714223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1.6</w:t>
            </w:r>
          </w:p>
        </w:tc>
        <w:tc>
          <w:tcPr>
            <w:tcW w:w="1700" w:type="dxa"/>
            <w:vAlign w:val="center"/>
          </w:tcPr>
          <w:p w14:paraId="2A71DE18" w14:textId="77777777" w:rsidR="009C353B" w:rsidRDefault="00000000">
            <w:pPr>
              <w:pStyle w:val="afffff7"/>
              <w:jc w:val="center"/>
              <w:rPr>
                <w:rFonts w:ascii="Times New Roman" w:hAnsi="Times New Roman"/>
                <w:szCs w:val="21"/>
              </w:rPr>
            </w:pPr>
            <w:r>
              <w:rPr>
                <w:rFonts w:ascii="Times New Roman" w:hAnsi="Times New Roman" w:hint="eastAsia"/>
                <w:szCs w:val="21"/>
              </w:rPr>
              <w:t>/</w:t>
            </w:r>
          </w:p>
        </w:tc>
        <w:tc>
          <w:tcPr>
            <w:tcW w:w="851" w:type="dxa"/>
            <w:vAlign w:val="center"/>
          </w:tcPr>
          <w:p w14:paraId="6D61FC15" w14:textId="77777777" w:rsidR="009C353B" w:rsidRDefault="00000000">
            <w:pPr>
              <w:pStyle w:val="afffff7"/>
              <w:jc w:val="center"/>
              <w:rPr>
                <w:rFonts w:ascii="Times New Roman" w:hAnsi="Times New Roman"/>
                <w:szCs w:val="21"/>
              </w:rPr>
            </w:pPr>
            <w:r>
              <w:rPr>
                <w:rFonts w:ascii="Times New Roman" w:hAnsi="Times New Roman" w:hint="eastAsia"/>
                <w:szCs w:val="21"/>
              </w:rPr>
              <w:t>0.216</w:t>
            </w:r>
          </w:p>
        </w:tc>
        <w:tc>
          <w:tcPr>
            <w:tcW w:w="850" w:type="dxa"/>
            <w:vAlign w:val="center"/>
          </w:tcPr>
          <w:p w14:paraId="6310A8C3" w14:textId="77777777" w:rsidR="009C353B" w:rsidRDefault="00000000">
            <w:pPr>
              <w:pStyle w:val="afffff7"/>
              <w:jc w:val="center"/>
              <w:rPr>
                <w:rFonts w:ascii="Times New Roman" w:hAnsi="Times New Roman"/>
                <w:szCs w:val="21"/>
              </w:rPr>
            </w:pPr>
            <w:r>
              <w:rPr>
                <w:rFonts w:ascii="Times New Roman" w:hAnsi="Times New Roman" w:hint="eastAsia"/>
                <w:szCs w:val="21"/>
              </w:rPr>
              <w:t>/</w:t>
            </w:r>
          </w:p>
        </w:tc>
        <w:tc>
          <w:tcPr>
            <w:tcW w:w="901" w:type="dxa"/>
            <w:vAlign w:val="center"/>
          </w:tcPr>
          <w:p w14:paraId="112739DA" w14:textId="77777777" w:rsidR="009C353B" w:rsidRDefault="00000000">
            <w:pPr>
              <w:pStyle w:val="afffff7"/>
              <w:jc w:val="center"/>
              <w:rPr>
                <w:rFonts w:ascii="Times New Roman" w:hAnsi="Times New Roman"/>
                <w:szCs w:val="21"/>
              </w:rPr>
            </w:pPr>
            <w:r>
              <w:rPr>
                <w:rFonts w:ascii="Times New Roman" w:hAnsi="Times New Roman" w:hint="eastAsia"/>
                <w:szCs w:val="21"/>
              </w:rPr>
              <w:t>6.336</w:t>
            </w:r>
          </w:p>
        </w:tc>
        <w:tc>
          <w:tcPr>
            <w:tcW w:w="1145" w:type="dxa"/>
            <w:vAlign w:val="center"/>
          </w:tcPr>
          <w:p w14:paraId="28E3211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现有污染源</w:t>
            </w:r>
          </w:p>
        </w:tc>
      </w:tr>
      <w:tr w:rsidR="009C353B" w14:paraId="3CE38A57" w14:textId="77777777">
        <w:trPr>
          <w:trHeight w:val="552"/>
          <w:jc w:val="center"/>
        </w:trPr>
        <w:tc>
          <w:tcPr>
            <w:tcW w:w="1652" w:type="dxa"/>
            <w:vAlign w:val="center"/>
          </w:tcPr>
          <w:p w14:paraId="3A35055A"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任家庄煤矿</w:t>
            </w:r>
          </w:p>
          <w:p w14:paraId="1F1B1242"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int="eastAsia"/>
                <w:sz w:val="21"/>
                <w:szCs w:val="21"/>
              </w:rPr>
              <w:t>副立井</w:t>
            </w:r>
            <w:r>
              <w:rPr>
                <w:rFonts w:ascii="Times New Roman"/>
                <w:sz w:val="21"/>
                <w:szCs w:val="21"/>
              </w:rPr>
              <w:t>锅炉房</w:t>
            </w:r>
          </w:p>
        </w:tc>
        <w:tc>
          <w:tcPr>
            <w:tcW w:w="991" w:type="dxa"/>
            <w:vAlign w:val="center"/>
          </w:tcPr>
          <w:p w14:paraId="6C98292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8</w:t>
            </w:r>
          </w:p>
        </w:tc>
        <w:tc>
          <w:tcPr>
            <w:tcW w:w="991" w:type="dxa"/>
            <w:vAlign w:val="center"/>
          </w:tcPr>
          <w:p w14:paraId="2470437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0.4</w:t>
            </w:r>
          </w:p>
        </w:tc>
        <w:tc>
          <w:tcPr>
            <w:tcW w:w="1700" w:type="dxa"/>
            <w:vAlign w:val="center"/>
          </w:tcPr>
          <w:p w14:paraId="01DA0FC5" w14:textId="77777777" w:rsidR="009C353B" w:rsidRDefault="00000000">
            <w:pPr>
              <w:pStyle w:val="afffff7"/>
              <w:jc w:val="center"/>
              <w:rPr>
                <w:rFonts w:ascii="Times New Roman" w:hAnsi="Times New Roman"/>
                <w:szCs w:val="21"/>
              </w:rPr>
            </w:pPr>
            <w:r>
              <w:rPr>
                <w:rFonts w:ascii="Times New Roman" w:hAnsi="Times New Roman" w:hint="eastAsia"/>
                <w:szCs w:val="21"/>
              </w:rPr>
              <w:t>/</w:t>
            </w:r>
          </w:p>
        </w:tc>
        <w:tc>
          <w:tcPr>
            <w:tcW w:w="851" w:type="dxa"/>
            <w:vAlign w:val="center"/>
          </w:tcPr>
          <w:p w14:paraId="259BA7A0" w14:textId="77777777" w:rsidR="009C353B" w:rsidRDefault="00000000">
            <w:pPr>
              <w:pStyle w:val="afffff7"/>
              <w:jc w:val="center"/>
              <w:rPr>
                <w:rFonts w:ascii="Times New Roman" w:hAnsi="Times New Roman"/>
                <w:szCs w:val="21"/>
              </w:rPr>
            </w:pPr>
            <w:r>
              <w:rPr>
                <w:rFonts w:ascii="Times New Roman" w:hAnsi="Times New Roman" w:hint="eastAsia"/>
                <w:szCs w:val="21"/>
              </w:rPr>
              <w:t>0.0043</w:t>
            </w:r>
          </w:p>
        </w:tc>
        <w:tc>
          <w:tcPr>
            <w:tcW w:w="850" w:type="dxa"/>
            <w:vAlign w:val="center"/>
          </w:tcPr>
          <w:p w14:paraId="5F7A5B4D" w14:textId="77777777" w:rsidR="009C353B" w:rsidRDefault="00000000">
            <w:pPr>
              <w:pStyle w:val="afffff7"/>
              <w:jc w:val="center"/>
              <w:rPr>
                <w:rFonts w:ascii="Times New Roman" w:hAnsi="Times New Roman"/>
                <w:szCs w:val="21"/>
              </w:rPr>
            </w:pPr>
            <w:r>
              <w:rPr>
                <w:rFonts w:ascii="Times New Roman" w:hAnsi="Times New Roman" w:hint="eastAsia"/>
                <w:szCs w:val="21"/>
              </w:rPr>
              <w:t>/</w:t>
            </w:r>
          </w:p>
        </w:tc>
        <w:tc>
          <w:tcPr>
            <w:tcW w:w="901" w:type="dxa"/>
            <w:vAlign w:val="center"/>
          </w:tcPr>
          <w:p w14:paraId="740D6FF6" w14:textId="77777777" w:rsidR="009C353B" w:rsidRDefault="00000000">
            <w:pPr>
              <w:pStyle w:val="afffff7"/>
              <w:jc w:val="center"/>
              <w:rPr>
                <w:rFonts w:ascii="Times New Roman" w:hAnsi="Times New Roman"/>
                <w:szCs w:val="21"/>
              </w:rPr>
            </w:pPr>
            <w:r>
              <w:rPr>
                <w:rFonts w:ascii="Times New Roman" w:hAnsi="Times New Roman" w:hint="eastAsia"/>
                <w:szCs w:val="21"/>
              </w:rPr>
              <w:t>0.144</w:t>
            </w:r>
          </w:p>
        </w:tc>
        <w:tc>
          <w:tcPr>
            <w:tcW w:w="1145" w:type="dxa"/>
            <w:vAlign w:val="center"/>
          </w:tcPr>
          <w:p w14:paraId="428D2C26"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现有污染源</w:t>
            </w:r>
          </w:p>
        </w:tc>
      </w:tr>
      <w:tr w:rsidR="009C353B" w14:paraId="15C21C83" w14:textId="77777777">
        <w:trPr>
          <w:trHeight w:val="552"/>
          <w:jc w:val="center"/>
        </w:trPr>
        <w:tc>
          <w:tcPr>
            <w:tcW w:w="1652" w:type="dxa"/>
            <w:vAlign w:val="center"/>
          </w:tcPr>
          <w:p w14:paraId="003F11F6" w14:textId="77777777" w:rsidR="009C353B" w:rsidRDefault="00000000">
            <w:pPr>
              <w:adjustRightInd w:val="0"/>
              <w:snapToGrid w:val="0"/>
              <w:spacing w:line="240" w:lineRule="atLeast"/>
              <w:jc w:val="center"/>
              <w:rPr>
                <w:rFonts w:ascii="Times New Roman" w:hAnsi="Times New Roman"/>
                <w:kern w:val="0"/>
                <w:sz w:val="21"/>
                <w:szCs w:val="21"/>
              </w:rPr>
            </w:pPr>
            <w:r>
              <w:rPr>
                <w:rFonts w:ascii="Times New Roman" w:hAnsi="Times New Roman" w:hint="eastAsia"/>
                <w:kern w:val="0"/>
                <w:sz w:val="21"/>
                <w:szCs w:val="21"/>
              </w:rPr>
              <w:t>丁家梁煤矿工业场地锅炉房</w:t>
            </w:r>
          </w:p>
        </w:tc>
        <w:tc>
          <w:tcPr>
            <w:tcW w:w="991" w:type="dxa"/>
            <w:vAlign w:val="center"/>
          </w:tcPr>
          <w:p w14:paraId="0EA0C27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17</w:t>
            </w:r>
          </w:p>
        </w:tc>
        <w:tc>
          <w:tcPr>
            <w:tcW w:w="991" w:type="dxa"/>
            <w:vAlign w:val="center"/>
          </w:tcPr>
          <w:p w14:paraId="4852112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0.8</w:t>
            </w:r>
          </w:p>
        </w:tc>
        <w:tc>
          <w:tcPr>
            <w:tcW w:w="1700" w:type="dxa"/>
            <w:vAlign w:val="center"/>
          </w:tcPr>
          <w:p w14:paraId="0F67C70F" w14:textId="77777777" w:rsidR="009C353B" w:rsidRDefault="00000000">
            <w:pPr>
              <w:pStyle w:val="afffff7"/>
              <w:jc w:val="center"/>
              <w:rPr>
                <w:rFonts w:ascii="Times New Roman" w:hAnsi="Times New Roman"/>
                <w:szCs w:val="21"/>
              </w:rPr>
            </w:pPr>
            <w:r>
              <w:rPr>
                <w:rFonts w:ascii="Times New Roman" w:hAnsi="Times New Roman"/>
                <w:szCs w:val="21"/>
              </w:rPr>
              <w:t>6.05</w:t>
            </w:r>
          </w:p>
        </w:tc>
        <w:tc>
          <w:tcPr>
            <w:tcW w:w="851" w:type="dxa"/>
            <w:vAlign w:val="center"/>
          </w:tcPr>
          <w:p w14:paraId="1B4C4C9D" w14:textId="77777777" w:rsidR="009C353B" w:rsidRDefault="00000000">
            <w:pPr>
              <w:pStyle w:val="afffff7"/>
              <w:jc w:val="center"/>
              <w:rPr>
                <w:rFonts w:ascii="Times New Roman" w:hAnsi="Times New Roman"/>
                <w:szCs w:val="21"/>
              </w:rPr>
            </w:pPr>
            <w:r>
              <w:rPr>
                <w:rFonts w:ascii="Times New Roman" w:hAnsi="Times New Roman"/>
                <w:szCs w:val="21"/>
              </w:rPr>
              <w:t>1.382</w:t>
            </w:r>
          </w:p>
        </w:tc>
        <w:tc>
          <w:tcPr>
            <w:tcW w:w="850" w:type="dxa"/>
            <w:vAlign w:val="center"/>
          </w:tcPr>
          <w:p w14:paraId="5923E56C" w14:textId="77777777" w:rsidR="009C353B" w:rsidRDefault="00000000">
            <w:pPr>
              <w:pStyle w:val="afffff7"/>
              <w:jc w:val="center"/>
              <w:rPr>
                <w:rFonts w:ascii="Times New Roman" w:hAnsi="Times New Roman"/>
                <w:szCs w:val="21"/>
              </w:rPr>
            </w:pPr>
            <w:r>
              <w:rPr>
                <w:rFonts w:ascii="Times New Roman" w:hAnsi="Times New Roman"/>
                <w:szCs w:val="21"/>
              </w:rPr>
              <w:t>2.304</w:t>
            </w:r>
          </w:p>
        </w:tc>
        <w:tc>
          <w:tcPr>
            <w:tcW w:w="901" w:type="dxa"/>
            <w:vAlign w:val="center"/>
          </w:tcPr>
          <w:p w14:paraId="51253786" w14:textId="77777777" w:rsidR="009C353B" w:rsidRDefault="00000000">
            <w:pPr>
              <w:pStyle w:val="afffff7"/>
              <w:jc w:val="center"/>
              <w:rPr>
                <w:rFonts w:ascii="Times New Roman" w:hAnsi="Times New Roman"/>
                <w:szCs w:val="21"/>
              </w:rPr>
            </w:pPr>
            <w:r>
              <w:rPr>
                <w:rFonts w:ascii="Times New Roman" w:hAnsi="Times New Roman"/>
                <w:szCs w:val="21"/>
              </w:rPr>
              <w:t>3.233</w:t>
            </w:r>
          </w:p>
        </w:tc>
        <w:tc>
          <w:tcPr>
            <w:tcW w:w="1145" w:type="dxa"/>
            <w:vAlign w:val="center"/>
          </w:tcPr>
          <w:p w14:paraId="1BD000F9"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拟建污染源</w:t>
            </w:r>
          </w:p>
        </w:tc>
      </w:tr>
    </w:tbl>
    <w:p w14:paraId="52CC8F14" w14:textId="77777777" w:rsidR="009C353B" w:rsidRDefault="009C353B">
      <w:pPr>
        <w:adjustRightInd w:val="0"/>
        <w:snapToGrid w:val="0"/>
        <w:spacing w:line="440" w:lineRule="exact"/>
        <w:ind w:firstLineChars="200" w:firstLine="480"/>
        <w:rPr>
          <w:rFonts w:ascii="Times New Roman" w:hAnsi="Times New Roman"/>
        </w:rPr>
      </w:pPr>
    </w:p>
    <w:p w14:paraId="0C99C2AB" w14:textId="77777777" w:rsidR="009C353B" w:rsidRDefault="00000000">
      <w:pPr>
        <w:pStyle w:val="3"/>
        <w:adjustRightInd w:val="0"/>
        <w:snapToGrid w:val="0"/>
        <w:spacing w:before="0" w:after="0" w:line="440" w:lineRule="exact"/>
        <w:rPr>
          <w:rFonts w:ascii="Times New Roman" w:hAnsi="Times New Roman"/>
          <w:sz w:val="24"/>
        </w:rPr>
      </w:pPr>
      <w:bookmarkStart w:id="264" w:name="_Toc407635616"/>
      <w:bookmarkStart w:id="265" w:name="_Toc163441009"/>
      <w:r>
        <w:rPr>
          <w:rFonts w:ascii="Times New Roman" w:hAnsi="Times New Roman" w:hint="eastAsia"/>
          <w:sz w:val="24"/>
        </w:rPr>
        <w:t>6.4</w:t>
      </w:r>
      <w:r>
        <w:rPr>
          <w:rFonts w:ascii="Times New Roman" w:hAnsi="Times New Roman"/>
          <w:sz w:val="24"/>
        </w:rPr>
        <w:t>.</w:t>
      </w:r>
      <w:r>
        <w:rPr>
          <w:rFonts w:ascii="Times New Roman" w:hAnsi="Times New Roman" w:hint="eastAsia"/>
          <w:sz w:val="24"/>
        </w:rPr>
        <w:t>3</w:t>
      </w:r>
      <w:r>
        <w:rPr>
          <w:rFonts w:ascii="Times New Roman" w:hAnsi="Times New Roman"/>
          <w:sz w:val="24"/>
        </w:rPr>
        <w:t xml:space="preserve"> </w:t>
      </w:r>
      <w:r>
        <w:rPr>
          <w:rFonts w:ascii="Times New Roman" w:hAnsi="Times New Roman"/>
          <w:sz w:val="24"/>
        </w:rPr>
        <w:t>锅炉烟气排放对</w:t>
      </w:r>
      <w:r>
        <w:rPr>
          <w:rFonts w:ascii="Times New Roman" w:hAnsi="Times New Roman" w:hint="eastAsia"/>
          <w:sz w:val="24"/>
        </w:rPr>
        <w:t>环境空气的影响分析</w:t>
      </w:r>
    </w:p>
    <w:p w14:paraId="01CDC9C8"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在规划环评层次，矿区大气环境影响预测与评价的内容重点是针对矿区规划新建大气污染源废气排放对矿区内及周边环境空气的累积影响进行预测、分析与评价，预测点位选择矿区内</w:t>
      </w:r>
      <w:r>
        <w:rPr>
          <w:rFonts w:ascii="Times New Roman" w:hint="eastAsia"/>
        </w:rPr>
        <w:t>重点</w:t>
      </w:r>
      <w:r>
        <w:rPr>
          <w:rFonts w:ascii="Times New Roman"/>
        </w:rPr>
        <w:t>城市（镇）控制区、</w:t>
      </w:r>
      <w:r>
        <w:rPr>
          <w:rFonts w:ascii="Times New Roman" w:hint="eastAsia"/>
        </w:rPr>
        <w:t>自然保护区</w:t>
      </w:r>
      <w:r>
        <w:rPr>
          <w:rFonts w:ascii="Times New Roman"/>
        </w:rPr>
        <w:t>、村庄等环境敏感目标</w:t>
      </w:r>
      <w:r>
        <w:rPr>
          <w:rFonts w:ascii="Times New Roman" w:hint="eastAsia"/>
        </w:rPr>
        <w:t>，</w:t>
      </w:r>
      <w:r>
        <w:rPr>
          <w:rFonts w:ascii="Times New Roman"/>
        </w:rPr>
        <w:t>评价因子能够反映国家总量控制指标，并反映矿区开发的特征。</w:t>
      </w:r>
    </w:p>
    <w:p w14:paraId="4EC29ED9"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矿区开发对大气环境的影响主要来自</w:t>
      </w:r>
      <w:r>
        <w:rPr>
          <w:rFonts w:hint="eastAsia"/>
        </w:rPr>
        <w:t>矿区煤矿锅炉废气排放，矿区煤炭</w:t>
      </w:r>
      <w:r>
        <w:t>开采、运输及</w:t>
      </w:r>
      <w:r>
        <w:rPr>
          <w:rFonts w:hint="eastAsia"/>
        </w:rPr>
        <w:t>运矸道路扬尘，储煤场等无组织粉尘排放，以及煤炭洗选加工过程无组织粉尘排放等，</w:t>
      </w:r>
      <w:r>
        <w:rPr>
          <w:rFonts w:ascii="Times New Roman" w:hAnsi="Times New Roman"/>
        </w:rPr>
        <w:t>主要污染物为</w:t>
      </w:r>
      <w:r>
        <w:rPr>
          <w:rFonts w:ascii="Times New Roman" w:hAnsi="Times New Roman"/>
        </w:rPr>
        <w:t>SO</w:t>
      </w:r>
      <w:r>
        <w:rPr>
          <w:rFonts w:ascii="Times New Roman" w:hAnsi="Times New Roman"/>
          <w:vertAlign w:val="subscript"/>
        </w:rPr>
        <w:t>2</w:t>
      </w:r>
      <w:r>
        <w:rPr>
          <w:rFonts w:ascii="Times New Roman" w:hAnsi="Times New Roman"/>
        </w:rPr>
        <w:t>、</w:t>
      </w:r>
      <w:r>
        <w:rPr>
          <w:rFonts w:ascii="Times New Roman" w:hAnsi="Times New Roman"/>
        </w:rPr>
        <w:t>TSP</w:t>
      </w:r>
      <w:r>
        <w:rPr>
          <w:rFonts w:ascii="Times New Roman" w:hAnsi="Times New Roman"/>
        </w:rPr>
        <w:t>、</w:t>
      </w:r>
      <w:r>
        <w:rPr>
          <w:rFonts w:ascii="Times New Roman" w:hAnsi="Times New Roman"/>
        </w:rPr>
        <w:t>NO</w:t>
      </w:r>
      <w:r>
        <w:rPr>
          <w:rFonts w:ascii="Times New Roman" w:hAnsi="Times New Roman"/>
          <w:vertAlign w:val="subscript"/>
        </w:rPr>
        <w:t>2</w:t>
      </w:r>
      <w:r>
        <w:rPr>
          <w:rFonts w:ascii="Times New Roman" w:hAnsi="Times New Roman" w:hint="eastAsia"/>
        </w:rPr>
        <w:t>，</w:t>
      </w:r>
      <w:r>
        <w:rPr>
          <w:rFonts w:ascii="Times New Roman" w:hAnsi="Times New Roman"/>
        </w:rPr>
        <w:t>其中锅炉烟气排放对大气环境影响</w:t>
      </w:r>
      <w:r>
        <w:rPr>
          <w:rFonts w:ascii="Times New Roman" w:hAnsi="Times New Roman" w:hint="eastAsia"/>
        </w:rPr>
        <w:t>较大</w:t>
      </w:r>
      <w:r>
        <w:rPr>
          <w:rFonts w:ascii="Times New Roman" w:hAnsi="Times New Roman"/>
        </w:rPr>
        <w:t>。</w:t>
      </w:r>
    </w:p>
    <w:p w14:paraId="1B54D69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本矿区现有供热系统除任家庄煤矿采用燃气锅炉房供热外，其余马莲台煤矿和红石湾煤矿均采用余热供热。根据对任家庄煤矿锅炉烟气的监测数据可知，排放烟气中</w:t>
      </w:r>
      <w:r>
        <w:rPr>
          <w:rFonts w:ascii="Times New Roman" w:hAnsi="Times New Roman"/>
        </w:rPr>
        <w:t>颗粒物、</w:t>
      </w:r>
      <w:r>
        <w:rPr>
          <w:rFonts w:ascii="Times New Roman" w:hAnsi="Times New Roman"/>
        </w:rPr>
        <w:t>SO</w:t>
      </w:r>
      <w:r>
        <w:rPr>
          <w:rFonts w:ascii="Times New Roman" w:hAnsi="Times New Roman"/>
          <w:vertAlign w:val="subscript"/>
        </w:rPr>
        <w:t>2</w:t>
      </w:r>
      <w:r>
        <w:rPr>
          <w:rFonts w:ascii="Times New Roman" w:hAnsi="Times New Roman" w:hint="eastAsia"/>
        </w:rPr>
        <w:t>、</w:t>
      </w:r>
      <w:r>
        <w:rPr>
          <w:rFonts w:ascii="Times New Roman" w:hAnsi="Times New Roman" w:hint="eastAsia"/>
        </w:rPr>
        <w:t>N</w:t>
      </w:r>
      <w:r>
        <w:rPr>
          <w:rFonts w:ascii="Times New Roman" w:hAnsi="Times New Roman"/>
        </w:rPr>
        <w:t>O</w:t>
      </w:r>
      <w:r>
        <w:rPr>
          <w:rFonts w:ascii="Times New Roman" w:hAnsi="Times New Roman" w:hint="eastAsia"/>
        </w:rPr>
        <w:t>x</w:t>
      </w:r>
      <w:r>
        <w:rPr>
          <w:rFonts w:ascii="Times New Roman" w:hAnsi="Times New Roman" w:hint="eastAsia"/>
        </w:rPr>
        <w:t>的</w:t>
      </w:r>
      <w:r>
        <w:rPr>
          <w:rFonts w:ascii="Times New Roman" w:hAnsi="Times New Roman"/>
        </w:rPr>
        <w:t>浓度</w:t>
      </w:r>
      <w:r>
        <w:rPr>
          <w:rFonts w:ascii="Times New Roman" w:hAnsi="Times New Roman" w:hint="eastAsia"/>
        </w:rPr>
        <w:t>均满足《锅炉大气污染物排放标准》（</w:t>
      </w:r>
      <w:r>
        <w:rPr>
          <w:rFonts w:ascii="Times New Roman" w:hAnsi="Times New Roman"/>
        </w:rPr>
        <w:t>GB13</w:t>
      </w:r>
      <w:r>
        <w:rPr>
          <w:rFonts w:ascii="Times New Roman" w:hAnsi="Times New Roman" w:hint="eastAsia"/>
        </w:rPr>
        <w:t>271</w:t>
      </w:r>
      <w:r>
        <w:rPr>
          <w:rFonts w:ascii="Times New Roman" w:hAnsi="Times New Roman"/>
        </w:rPr>
        <w:t>-20</w:t>
      </w:r>
      <w:r>
        <w:rPr>
          <w:rFonts w:ascii="Times New Roman" w:hAnsi="Times New Roman" w:hint="eastAsia"/>
        </w:rPr>
        <w:t>14</w:t>
      </w:r>
      <w:r>
        <w:rPr>
          <w:rFonts w:ascii="Times New Roman" w:hAnsi="Times New Roman" w:hint="eastAsia"/>
        </w:rPr>
        <w:t>）中表</w:t>
      </w:r>
      <w:r>
        <w:rPr>
          <w:rFonts w:ascii="Times New Roman" w:hAnsi="Times New Roman" w:hint="eastAsia"/>
        </w:rPr>
        <w:t>3</w:t>
      </w:r>
      <w:r>
        <w:rPr>
          <w:rFonts w:ascii="Times New Roman" w:hAnsi="Times New Roman" w:hint="eastAsia"/>
        </w:rPr>
        <w:t>特别排放限值，实现达标排放，对周围大气环境影响较小，现状监测结果可代表现有锅炉烟气排放对周边环境空气的影响，因此本次评价锅炉烟气大气环境影响仅对拟建丁家梁煤矿燃气锅炉进行预测。</w:t>
      </w:r>
    </w:p>
    <w:p w14:paraId="20B8E44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拟建</w:t>
      </w:r>
      <w:r>
        <w:rPr>
          <w:rFonts w:ascii="Times New Roman"/>
        </w:rPr>
        <w:t>丁家梁煤矿采用燃气锅炉</w:t>
      </w:r>
      <w:r>
        <w:rPr>
          <w:rFonts w:ascii="Times New Roman" w:hint="eastAsia"/>
        </w:rPr>
        <w:t>进行供热，在工业场地设置</w:t>
      </w:r>
      <w:r>
        <w:rPr>
          <w:rFonts w:ascii="Times New Roman" w:hint="eastAsia"/>
        </w:rPr>
        <w:t>2</w:t>
      </w:r>
      <w:r>
        <w:rPr>
          <w:rFonts w:ascii="Times New Roman" w:hint="eastAsia"/>
        </w:rPr>
        <w:t>台</w:t>
      </w:r>
      <w:r>
        <w:rPr>
          <w:rFonts w:ascii="Times New Roman" w:hint="eastAsia"/>
        </w:rPr>
        <w:t>1</w:t>
      </w:r>
      <w:r>
        <w:rPr>
          <w:rFonts w:ascii="Times New Roman"/>
        </w:rPr>
        <w:t>0t/h</w:t>
      </w:r>
      <w:r>
        <w:rPr>
          <w:rFonts w:ascii="Times New Roman"/>
        </w:rPr>
        <w:t>燃气锅炉</w:t>
      </w:r>
      <w:r>
        <w:rPr>
          <w:rFonts w:ascii="Times New Roman" w:hint="eastAsia"/>
        </w:rPr>
        <w:t>，</w:t>
      </w:r>
      <w:r>
        <w:rPr>
          <w:rFonts w:ascii="Times New Roman"/>
        </w:rPr>
        <w:t>燃料为天然气</w:t>
      </w:r>
      <w:r>
        <w:rPr>
          <w:rFonts w:ascii="Times New Roman" w:hint="eastAsia"/>
        </w:rPr>
        <w:t>，燃气锅炉烟囱高度、出口内径分别为</w:t>
      </w:r>
      <w:r>
        <w:rPr>
          <w:rFonts w:ascii="Times New Roman" w:hint="eastAsia"/>
        </w:rPr>
        <w:t>1</w:t>
      </w:r>
      <w:r>
        <w:rPr>
          <w:rFonts w:ascii="Times New Roman"/>
        </w:rPr>
        <w:t>7</w:t>
      </w:r>
      <w:r>
        <w:rPr>
          <w:rFonts w:ascii="Times New Roman" w:hint="eastAsia"/>
        </w:rPr>
        <w:t>m</w:t>
      </w:r>
      <w:r>
        <w:rPr>
          <w:rFonts w:ascii="Times New Roman" w:hint="eastAsia"/>
        </w:rPr>
        <w:t>、</w:t>
      </w:r>
      <w:r>
        <w:rPr>
          <w:rFonts w:ascii="Times New Roman"/>
        </w:rPr>
        <w:t>0.8</w:t>
      </w:r>
      <w:r>
        <w:rPr>
          <w:rFonts w:ascii="Times New Roman" w:hint="eastAsia"/>
        </w:rPr>
        <w:t>m</w:t>
      </w:r>
      <w:r>
        <w:rPr>
          <w:rFonts w:ascii="Times New Roman" w:hint="eastAsia"/>
        </w:rPr>
        <w:t>。考虑天然气的实际热值及锅炉的效率等因素影响，燃气锅炉燃气消耗量按</w:t>
      </w:r>
      <w:r>
        <w:rPr>
          <w:rFonts w:ascii="Times New Roman" w:hint="eastAsia"/>
        </w:rPr>
        <w:t>800m</w:t>
      </w:r>
      <w:r>
        <w:rPr>
          <w:rFonts w:ascii="Times New Roman" w:hint="eastAsia"/>
          <w:vertAlign w:val="superscript"/>
        </w:rPr>
        <w:t>3</w:t>
      </w:r>
      <w:r>
        <w:rPr>
          <w:rFonts w:ascii="Times New Roman" w:hint="eastAsia"/>
        </w:rPr>
        <w:t>/h</w:t>
      </w:r>
      <w:r>
        <w:rPr>
          <w:rFonts w:ascii="Times New Roman" w:hint="eastAsia"/>
        </w:rPr>
        <w:t>计算。</w:t>
      </w:r>
    </w:p>
    <w:p w14:paraId="7019481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本次评价根据《</w:t>
      </w:r>
      <w:r>
        <w:rPr>
          <w:rFonts w:ascii="Times New Roman" w:hAnsi="Times New Roman" w:hint="eastAsia"/>
        </w:rPr>
        <w:t>第一次</w:t>
      </w:r>
      <w:r>
        <w:rPr>
          <w:rFonts w:ascii="Times New Roman" w:hAnsi="Times New Roman"/>
        </w:rPr>
        <w:t>全国污染源普查工业污染源产排污系数手册</w:t>
      </w:r>
      <w:r>
        <w:rPr>
          <w:rFonts w:ascii="Times New Roman" w:hAnsi="Times New Roman" w:hint="eastAsia"/>
        </w:rPr>
        <w:t>-</w:t>
      </w:r>
      <w:r>
        <w:rPr>
          <w:rFonts w:ascii="Times New Roman" w:hAnsi="Times New Roman" w:hint="eastAsia"/>
        </w:rPr>
        <w:t>第十分册</w:t>
      </w:r>
      <w:r>
        <w:rPr>
          <w:rFonts w:ascii="Times New Roman" w:hAnsi="Times New Roman"/>
        </w:rPr>
        <w:t>》和</w:t>
      </w:r>
      <w:r>
        <w:rPr>
          <w:rFonts w:ascii="Times New Roman" w:hAnsi="Times New Roman" w:hint="eastAsia"/>
        </w:rPr>
        <w:t>《煤、天然气燃烧的污染物产生系数》</w:t>
      </w:r>
      <w:r>
        <w:rPr>
          <w:rFonts w:ascii="Times New Roman" w:hAnsi="Times New Roman"/>
        </w:rPr>
        <w:t>中推荐的计算方法对</w:t>
      </w:r>
      <w:r>
        <w:rPr>
          <w:rFonts w:ascii="Times New Roman" w:hAnsi="Times New Roman" w:hint="eastAsia"/>
        </w:rPr>
        <w:t>丁家梁</w:t>
      </w:r>
      <w:r>
        <w:rPr>
          <w:rFonts w:ascii="Times New Roman" w:hAnsi="Times New Roman"/>
        </w:rPr>
        <w:t>煤矿锅炉房烟气排放进行初步核算，计算结果见表</w:t>
      </w:r>
      <w:r>
        <w:rPr>
          <w:rFonts w:ascii="Times New Roman" w:hAnsi="Times New Roman" w:hint="eastAsia"/>
        </w:rPr>
        <w:t>6.4-4</w:t>
      </w:r>
      <w:r>
        <w:rPr>
          <w:rFonts w:ascii="Times New Roman" w:hAnsi="Times New Roman" w:hint="eastAsia"/>
        </w:rPr>
        <w:t>。</w:t>
      </w:r>
    </w:p>
    <w:p w14:paraId="14EF4FDB" w14:textId="77777777" w:rsidR="009C353B" w:rsidRDefault="009C353B">
      <w:pPr>
        <w:adjustRightInd w:val="0"/>
        <w:snapToGrid w:val="0"/>
        <w:spacing w:line="440" w:lineRule="exact"/>
        <w:ind w:firstLineChars="200" w:firstLine="480"/>
        <w:rPr>
          <w:rFonts w:ascii="Times New Roman" w:hAnsi="Times New Roman"/>
        </w:rPr>
      </w:pPr>
    </w:p>
    <w:p w14:paraId="3BD752B6" w14:textId="77777777" w:rsidR="009C353B" w:rsidRDefault="00000000">
      <w:pPr>
        <w:adjustRightInd w:val="0"/>
        <w:snapToGrid w:val="0"/>
        <w:spacing w:line="440" w:lineRule="exact"/>
        <w:jc w:val="center"/>
        <w:rPr>
          <w:rFonts w:ascii="Times New Roman" w:hAnsi="Times New Roman"/>
          <w:b/>
        </w:rPr>
      </w:pPr>
      <w:r>
        <w:rPr>
          <w:rFonts w:ascii="Times New Roman" w:hAnsi="Times New Roman" w:hint="eastAsia"/>
          <w:b/>
        </w:rPr>
        <w:t>丁家梁</w:t>
      </w:r>
      <w:r>
        <w:rPr>
          <w:rFonts w:ascii="Times New Roman" w:hAnsi="Times New Roman"/>
          <w:b/>
        </w:rPr>
        <w:t>煤矿供热锅炉房大气污染物排放量预测表</w:t>
      </w:r>
    </w:p>
    <w:p w14:paraId="4E8CD4E7" w14:textId="77777777" w:rsidR="009C353B" w:rsidRDefault="00000000">
      <w:pPr>
        <w:adjustRightInd w:val="0"/>
        <w:snapToGrid w:val="0"/>
        <w:spacing w:line="440" w:lineRule="exact"/>
        <w:outlineLvl w:val="4"/>
        <w:rPr>
          <w:rFonts w:ascii="Times New Roman" w:hAnsi="Times New Roman"/>
        </w:rPr>
      </w:pPr>
      <w:r>
        <w:rPr>
          <w:rFonts w:ascii="Times New Roman" w:hAnsi="Times New Roman"/>
        </w:rPr>
        <w:t>表</w:t>
      </w:r>
      <w:r>
        <w:rPr>
          <w:rFonts w:ascii="Times New Roman" w:hAnsi="Times New Roman" w:hint="eastAsia"/>
        </w:rPr>
        <w:t>6.4-4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bottom w:w="28" w:type="dxa"/>
          <w:right w:w="0" w:type="dxa"/>
        </w:tblCellMar>
        <w:tblLook w:val="04A0" w:firstRow="1" w:lastRow="0" w:firstColumn="1" w:lastColumn="0" w:noHBand="0" w:noVBand="1"/>
      </w:tblPr>
      <w:tblGrid>
        <w:gridCol w:w="1099"/>
        <w:gridCol w:w="1101"/>
        <w:gridCol w:w="964"/>
        <w:gridCol w:w="964"/>
        <w:gridCol w:w="964"/>
        <w:gridCol w:w="1101"/>
        <w:gridCol w:w="965"/>
        <w:gridCol w:w="964"/>
        <w:gridCol w:w="959"/>
      </w:tblGrid>
      <w:tr w:rsidR="009C353B" w14:paraId="27E02C69" w14:textId="77777777">
        <w:trPr>
          <w:trHeight w:val="397"/>
          <w:jc w:val="center"/>
        </w:trPr>
        <w:tc>
          <w:tcPr>
            <w:tcW w:w="1099" w:type="dxa"/>
            <w:vMerge w:val="restart"/>
            <w:noWrap/>
            <w:vAlign w:val="center"/>
          </w:tcPr>
          <w:p w14:paraId="0BD0720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污染源</w:t>
            </w:r>
          </w:p>
        </w:tc>
        <w:tc>
          <w:tcPr>
            <w:tcW w:w="7982" w:type="dxa"/>
            <w:gridSpan w:val="8"/>
            <w:noWrap/>
            <w:vAlign w:val="center"/>
          </w:tcPr>
          <w:p w14:paraId="56B2E3F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废气排放</w:t>
            </w:r>
          </w:p>
        </w:tc>
      </w:tr>
      <w:tr w:rsidR="009C353B" w14:paraId="77AD08EF" w14:textId="77777777">
        <w:trPr>
          <w:trHeight w:val="397"/>
          <w:jc w:val="center"/>
        </w:trPr>
        <w:tc>
          <w:tcPr>
            <w:tcW w:w="1099" w:type="dxa"/>
            <w:vMerge/>
            <w:noWrap/>
            <w:vAlign w:val="center"/>
          </w:tcPr>
          <w:p w14:paraId="5E147C07" w14:textId="77777777" w:rsidR="009C353B" w:rsidRDefault="009C353B">
            <w:pPr>
              <w:adjustRightInd w:val="0"/>
              <w:snapToGrid w:val="0"/>
              <w:jc w:val="center"/>
              <w:rPr>
                <w:rFonts w:ascii="Times New Roman" w:hAnsi="Times New Roman"/>
                <w:sz w:val="21"/>
                <w:szCs w:val="21"/>
              </w:rPr>
            </w:pPr>
          </w:p>
        </w:tc>
        <w:tc>
          <w:tcPr>
            <w:tcW w:w="1101" w:type="dxa"/>
            <w:noWrap/>
            <w:vAlign w:val="center"/>
          </w:tcPr>
          <w:p w14:paraId="52E7081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耗气量</w:t>
            </w:r>
          </w:p>
          <w:p w14:paraId="042F05C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（万</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/a</w:t>
            </w:r>
            <w:r>
              <w:rPr>
                <w:rFonts w:ascii="Times New Roman" w:hAnsi="Times New Roman"/>
                <w:sz w:val="21"/>
                <w:szCs w:val="21"/>
              </w:rPr>
              <w:t>）</w:t>
            </w:r>
          </w:p>
        </w:tc>
        <w:tc>
          <w:tcPr>
            <w:tcW w:w="964" w:type="dxa"/>
            <w:noWrap/>
            <w:vAlign w:val="center"/>
          </w:tcPr>
          <w:p w14:paraId="1AFD2A1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颗粒物</w:t>
            </w:r>
          </w:p>
          <w:p w14:paraId="7D45625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r>
              <w:rPr>
                <w:rFonts w:ascii="Times New Roman" w:hAnsi="Times New Roman" w:hint="eastAsia"/>
                <w:sz w:val="21"/>
                <w:szCs w:val="21"/>
              </w:rPr>
              <w:t>g</w:t>
            </w:r>
            <w:r>
              <w:rPr>
                <w:rFonts w:ascii="Times New Roman" w:hAnsi="Times New Roman"/>
                <w:sz w:val="21"/>
                <w:szCs w:val="21"/>
              </w:rPr>
              <w:t>/</w:t>
            </w:r>
            <w:r>
              <w:rPr>
                <w:rFonts w:ascii="Times New Roman" w:hAnsi="Times New Roman" w:hint="eastAsia"/>
                <w:sz w:val="21"/>
                <w:szCs w:val="21"/>
              </w:rPr>
              <w:t>s</w:t>
            </w:r>
            <w:r>
              <w:rPr>
                <w:rFonts w:ascii="Times New Roman" w:hAnsi="Times New Roman"/>
                <w:sz w:val="21"/>
                <w:szCs w:val="21"/>
              </w:rPr>
              <w:t>）</w:t>
            </w:r>
          </w:p>
        </w:tc>
        <w:tc>
          <w:tcPr>
            <w:tcW w:w="964" w:type="dxa"/>
            <w:noWrap/>
            <w:vAlign w:val="center"/>
          </w:tcPr>
          <w:p w14:paraId="69D997B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p w14:paraId="5B9E1CA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r>
              <w:rPr>
                <w:rFonts w:ascii="Times New Roman" w:hAnsi="Times New Roman" w:hint="eastAsia"/>
                <w:sz w:val="21"/>
                <w:szCs w:val="21"/>
              </w:rPr>
              <w:t>g</w:t>
            </w:r>
            <w:r>
              <w:rPr>
                <w:rFonts w:ascii="Times New Roman" w:hAnsi="Times New Roman"/>
                <w:sz w:val="21"/>
                <w:szCs w:val="21"/>
              </w:rPr>
              <w:t>/</w:t>
            </w:r>
            <w:r>
              <w:rPr>
                <w:rFonts w:ascii="Times New Roman" w:hAnsi="Times New Roman" w:hint="eastAsia"/>
                <w:sz w:val="21"/>
                <w:szCs w:val="21"/>
              </w:rPr>
              <w:t>s</w:t>
            </w:r>
            <w:r>
              <w:rPr>
                <w:rFonts w:ascii="Times New Roman" w:hAnsi="Times New Roman"/>
                <w:sz w:val="21"/>
                <w:szCs w:val="21"/>
              </w:rPr>
              <w:t>）</w:t>
            </w:r>
          </w:p>
        </w:tc>
        <w:tc>
          <w:tcPr>
            <w:tcW w:w="964" w:type="dxa"/>
            <w:vAlign w:val="center"/>
          </w:tcPr>
          <w:p w14:paraId="5BBEE07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NOx</w:t>
            </w:r>
          </w:p>
          <w:p w14:paraId="44B69B0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r>
              <w:rPr>
                <w:rFonts w:ascii="Times New Roman" w:hAnsi="Times New Roman" w:hint="eastAsia"/>
                <w:sz w:val="21"/>
                <w:szCs w:val="21"/>
              </w:rPr>
              <w:t>g</w:t>
            </w:r>
            <w:r>
              <w:rPr>
                <w:rFonts w:ascii="Times New Roman" w:hAnsi="Times New Roman"/>
                <w:sz w:val="21"/>
                <w:szCs w:val="21"/>
              </w:rPr>
              <w:t>/</w:t>
            </w:r>
            <w:r>
              <w:rPr>
                <w:rFonts w:ascii="Times New Roman" w:hAnsi="Times New Roman" w:hint="eastAsia"/>
                <w:sz w:val="21"/>
                <w:szCs w:val="21"/>
              </w:rPr>
              <w:t>s</w:t>
            </w:r>
            <w:r>
              <w:rPr>
                <w:rFonts w:ascii="Times New Roman" w:hAnsi="Times New Roman"/>
                <w:sz w:val="21"/>
                <w:szCs w:val="21"/>
              </w:rPr>
              <w:t>）</w:t>
            </w:r>
          </w:p>
        </w:tc>
        <w:tc>
          <w:tcPr>
            <w:tcW w:w="1101" w:type="dxa"/>
            <w:vAlign w:val="center"/>
          </w:tcPr>
          <w:p w14:paraId="2C6685A2" w14:textId="77777777" w:rsidR="009C353B" w:rsidRDefault="00000000">
            <w:pPr>
              <w:adjustRightInd w:val="0"/>
              <w:snapToGrid w:val="0"/>
              <w:jc w:val="center"/>
              <w:rPr>
                <w:rFonts w:ascii="Times New Roman" w:hAnsi="Times New Roman"/>
                <w:kern w:val="0"/>
                <w:sz w:val="21"/>
                <w:szCs w:val="21"/>
              </w:rPr>
            </w:pPr>
            <w:r>
              <w:rPr>
                <w:rFonts w:ascii="Times New Roman" w:hAnsi="Times New Roman"/>
                <w:sz w:val="21"/>
                <w:szCs w:val="21"/>
              </w:rPr>
              <w:t>烟</w:t>
            </w:r>
            <w:r>
              <w:rPr>
                <w:rFonts w:ascii="Times New Roman" w:hAnsi="Times New Roman"/>
                <w:kern w:val="0"/>
                <w:sz w:val="21"/>
                <w:szCs w:val="21"/>
              </w:rPr>
              <w:t>气量</w:t>
            </w:r>
          </w:p>
          <w:p w14:paraId="742157C3" w14:textId="77777777" w:rsidR="009C353B" w:rsidRDefault="00000000">
            <w:pPr>
              <w:adjustRightInd w:val="0"/>
              <w:snapToGrid w:val="0"/>
              <w:jc w:val="center"/>
              <w:rPr>
                <w:rFonts w:ascii="Times New Roman" w:hAnsi="Times New Roman"/>
                <w:sz w:val="21"/>
                <w:szCs w:val="21"/>
              </w:rPr>
            </w:pPr>
            <w:r>
              <w:rPr>
                <w:rFonts w:ascii="Times New Roman" w:hAnsi="Times New Roman"/>
                <w:kern w:val="0"/>
                <w:sz w:val="21"/>
                <w:szCs w:val="21"/>
              </w:rPr>
              <w:t>（</w:t>
            </w:r>
            <w:r>
              <w:rPr>
                <w:rFonts w:ascii="Times New Roman" w:hAnsi="Times New Roman"/>
                <w:sz w:val="21"/>
                <w:szCs w:val="21"/>
              </w:rPr>
              <w:t>N</w:t>
            </w:r>
            <w:r>
              <w:rPr>
                <w:rFonts w:ascii="Times New Roman" w:hAnsi="Times New Roman"/>
                <w:kern w:val="0"/>
                <w:sz w:val="21"/>
                <w:szCs w:val="21"/>
              </w:rPr>
              <w:t>m</w:t>
            </w:r>
            <w:r>
              <w:rPr>
                <w:rFonts w:ascii="Times New Roman" w:hAnsi="Times New Roman"/>
                <w:kern w:val="0"/>
                <w:sz w:val="21"/>
                <w:szCs w:val="21"/>
                <w:vertAlign w:val="superscript"/>
              </w:rPr>
              <w:t>3</w:t>
            </w:r>
            <w:r>
              <w:rPr>
                <w:rFonts w:ascii="Times New Roman" w:hAnsi="Times New Roman"/>
                <w:kern w:val="0"/>
                <w:sz w:val="21"/>
                <w:szCs w:val="21"/>
              </w:rPr>
              <w:t>/</w:t>
            </w:r>
            <w:r>
              <w:rPr>
                <w:rFonts w:ascii="Times New Roman" w:hAnsi="Times New Roman"/>
                <w:sz w:val="21"/>
                <w:szCs w:val="21"/>
              </w:rPr>
              <w:t>s</w:t>
            </w:r>
            <w:r>
              <w:rPr>
                <w:rFonts w:ascii="Times New Roman" w:hAnsi="Times New Roman"/>
                <w:kern w:val="0"/>
                <w:sz w:val="21"/>
                <w:szCs w:val="21"/>
              </w:rPr>
              <w:t>）</w:t>
            </w:r>
          </w:p>
        </w:tc>
        <w:tc>
          <w:tcPr>
            <w:tcW w:w="965" w:type="dxa"/>
            <w:noWrap/>
            <w:vAlign w:val="center"/>
          </w:tcPr>
          <w:p w14:paraId="3E30D1B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颗粒物</w:t>
            </w:r>
          </w:p>
          <w:p w14:paraId="71EA5FA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mg/m</w:t>
            </w:r>
            <w:r>
              <w:rPr>
                <w:rFonts w:ascii="Times New Roman" w:hAnsi="Times New Roman"/>
                <w:sz w:val="21"/>
                <w:szCs w:val="21"/>
                <w:vertAlign w:val="superscript"/>
              </w:rPr>
              <w:t>3</w:t>
            </w:r>
            <w:r>
              <w:rPr>
                <w:rFonts w:ascii="Times New Roman" w:hAnsi="Times New Roman"/>
                <w:sz w:val="21"/>
                <w:szCs w:val="21"/>
              </w:rPr>
              <w:t>）</w:t>
            </w:r>
          </w:p>
        </w:tc>
        <w:tc>
          <w:tcPr>
            <w:tcW w:w="964" w:type="dxa"/>
            <w:noWrap/>
            <w:vAlign w:val="center"/>
          </w:tcPr>
          <w:p w14:paraId="476555E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p w14:paraId="159D41A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mg/m</w:t>
            </w:r>
            <w:r>
              <w:rPr>
                <w:rFonts w:ascii="Times New Roman" w:hAnsi="Times New Roman"/>
                <w:sz w:val="21"/>
                <w:szCs w:val="21"/>
                <w:vertAlign w:val="superscript"/>
              </w:rPr>
              <w:t>3</w:t>
            </w:r>
            <w:r>
              <w:rPr>
                <w:rFonts w:ascii="Times New Roman" w:hAnsi="Times New Roman"/>
                <w:sz w:val="21"/>
                <w:szCs w:val="21"/>
              </w:rPr>
              <w:t>）</w:t>
            </w:r>
          </w:p>
        </w:tc>
        <w:tc>
          <w:tcPr>
            <w:tcW w:w="959" w:type="dxa"/>
            <w:noWrap/>
            <w:vAlign w:val="center"/>
          </w:tcPr>
          <w:p w14:paraId="4CED83F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NOx</w:t>
            </w:r>
          </w:p>
          <w:p w14:paraId="4EED10D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mg/m</w:t>
            </w:r>
            <w:r>
              <w:rPr>
                <w:rFonts w:ascii="Times New Roman" w:hAnsi="Times New Roman"/>
                <w:sz w:val="21"/>
                <w:szCs w:val="21"/>
                <w:vertAlign w:val="superscript"/>
              </w:rPr>
              <w:t>3</w:t>
            </w:r>
            <w:r>
              <w:rPr>
                <w:rFonts w:ascii="Times New Roman" w:hAnsi="Times New Roman"/>
                <w:sz w:val="21"/>
                <w:szCs w:val="21"/>
              </w:rPr>
              <w:t>）</w:t>
            </w:r>
          </w:p>
        </w:tc>
      </w:tr>
      <w:tr w:rsidR="009C353B" w14:paraId="34546413" w14:textId="77777777">
        <w:trPr>
          <w:trHeight w:val="397"/>
          <w:jc w:val="center"/>
        </w:trPr>
        <w:tc>
          <w:tcPr>
            <w:tcW w:w="1099" w:type="dxa"/>
            <w:shd w:val="clear" w:color="auto" w:fill="auto"/>
            <w:vAlign w:val="center"/>
          </w:tcPr>
          <w:p w14:paraId="443CB56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丁家梁</w:t>
            </w:r>
            <w:r>
              <w:rPr>
                <w:rFonts w:ascii="Times New Roman" w:hAnsi="Times New Roman"/>
                <w:sz w:val="21"/>
                <w:szCs w:val="21"/>
              </w:rPr>
              <w:t>煤矿</w:t>
            </w:r>
          </w:p>
        </w:tc>
        <w:tc>
          <w:tcPr>
            <w:tcW w:w="1101" w:type="dxa"/>
            <w:noWrap/>
            <w:vAlign w:val="center"/>
          </w:tcPr>
          <w:p w14:paraId="6809197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288</w:t>
            </w:r>
          </w:p>
        </w:tc>
        <w:tc>
          <w:tcPr>
            <w:tcW w:w="964" w:type="dxa"/>
            <w:noWrap/>
            <w:vAlign w:val="center"/>
          </w:tcPr>
          <w:p w14:paraId="4024037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0.107</w:t>
            </w:r>
          </w:p>
        </w:tc>
        <w:tc>
          <w:tcPr>
            <w:tcW w:w="964" w:type="dxa"/>
            <w:noWrap/>
            <w:vAlign w:val="center"/>
          </w:tcPr>
          <w:p w14:paraId="40A6B0E5"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0.178</w:t>
            </w:r>
          </w:p>
        </w:tc>
        <w:tc>
          <w:tcPr>
            <w:tcW w:w="964" w:type="dxa"/>
            <w:vAlign w:val="center"/>
          </w:tcPr>
          <w:p w14:paraId="55DD1CE7" w14:textId="77777777" w:rsidR="009C353B" w:rsidRDefault="00000000">
            <w:pPr>
              <w:adjustRightInd w:val="0"/>
              <w:snapToGrid w:val="0"/>
              <w:jc w:val="center"/>
              <w:rPr>
                <w:rFonts w:ascii="Times New Roman" w:hAnsi="Times New Roman"/>
                <w:kern w:val="0"/>
                <w:sz w:val="21"/>
                <w:szCs w:val="21"/>
              </w:rPr>
            </w:pPr>
            <w:r>
              <w:rPr>
                <w:rFonts w:ascii="Times New Roman" w:hAnsi="Times New Roman" w:hint="eastAsia"/>
                <w:kern w:val="0"/>
                <w:sz w:val="21"/>
                <w:szCs w:val="21"/>
              </w:rPr>
              <w:t>0.250</w:t>
            </w:r>
          </w:p>
        </w:tc>
        <w:tc>
          <w:tcPr>
            <w:tcW w:w="1101" w:type="dxa"/>
            <w:vAlign w:val="center"/>
          </w:tcPr>
          <w:p w14:paraId="1EAAB059" w14:textId="77777777" w:rsidR="009C353B" w:rsidRDefault="00000000">
            <w:pPr>
              <w:adjustRightInd w:val="0"/>
              <w:snapToGrid w:val="0"/>
              <w:jc w:val="center"/>
              <w:rPr>
                <w:rFonts w:ascii="Times New Roman" w:hAnsi="Times New Roman"/>
                <w:kern w:val="0"/>
                <w:sz w:val="21"/>
                <w:szCs w:val="21"/>
              </w:rPr>
            </w:pPr>
            <w:r>
              <w:rPr>
                <w:rFonts w:ascii="Times New Roman" w:hAnsi="Times New Roman" w:hint="eastAsia"/>
                <w:kern w:val="0"/>
                <w:sz w:val="21"/>
                <w:szCs w:val="21"/>
              </w:rPr>
              <w:t>6.05</w:t>
            </w:r>
          </w:p>
        </w:tc>
        <w:tc>
          <w:tcPr>
            <w:tcW w:w="965" w:type="dxa"/>
            <w:noWrap/>
            <w:vAlign w:val="center"/>
          </w:tcPr>
          <w:p w14:paraId="153C056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17.6</w:t>
            </w:r>
          </w:p>
        </w:tc>
        <w:tc>
          <w:tcPr>
            <w:tcW w:w="964" w:type="dxa"/>
            <w:noWrap/>
            <w:vAlign w:val="center"/>
          </w:tcPr>
          <w:p w14:paraId="3AA8D7D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29.3</w:t>
            </w:r>
          </w:p>
        </w:tc>
        <w:tc>
          <w:tcPr>
            <w:tcW w:w="959" w:type="dxa"/>
            <w:noWrap/>
            <w:vAlign w:val="center"/>
          </w:tcPr>
          <w:p w14:paraId="7A6CA073"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41.2</w:t>
            </w:r>
          </w:p>
        </w:tc>
      </w:tr>
      <w:tr w:rsidR="009C353B" w14:paraId="40F5A003" w14:textId="77777777">
        <w:trPr>
          <w:trHeight w:val="397"/>
          <w:jc w:val="center"/>
        </w:trPr>
        <w:tc>
          <w:tcPr>
            <w:tcW w:w="9081" w:type="dxa"/>
            <w:gridSpan w:val="9"/>
            <w:vAlign w:val="center"/>
          </w:tcPr>
          <w:p w14:paraId="248FEFF7" w14:textId="77777777" w:rsidR="009C353B" w:rsidRDefault="00000000">
            <w:pPr>
              <w:adjustRightInd w:val="0"/>
              <w:snapToGrid w:val="0"/>
              <w:rPr>
                <w:rFonts w:ascii="Times New Roman" w:hAnsi="Times New Roman"/>
                <w:sz w:val="21"/>
                <w:szCs w:val="21"/>
              </w:rPr>
            </w:pPr>
            <w:r>
              <w:rPr>
                <w:rFonts w:ascii="Times New Roman" w:hAnsi="Times New Roman"/>
                <w:sz w:val="21"/>
                <w:szCs w:val="21"/>
              </w:rPr>
              <w:t>注：上述计算在无除尘措施和</w:t>
            </w:r>
            <w:r>
              <w:rPr>
                <w:rFonts w:ascii="Times New Roman" w:hAnsi="Times New Roman" w:hint="eastAsia"/>
                <w:sz w:val="21"/>
                <w:szCs w:val="21"/>
              </w:rPr>
              <w:t>仅低氮燃烧的</w:t>
            </w:r>
            <w:r>
              <w:rPr>
                <w:rFonts w:ascii="Times New Roman" w:hAnsi="Times New Roman"/>
                <w:sz w:val="21"/>
                <w:szCs w:val="21"/>
              </w:rPr>
              <w:t>情况下进行。</w:t>
            </w:r>
          </w:p>
        </w:tc>
      </w:tr>
    </w:tbl>
    <w:p w14:paraId="2A085F4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根据表</w:t>
      </w:r>
      <w:r>
        <w:rPr>
          <w:rFonts w:ascii="Times New Roman" w:hAnsi="Times New Roman" w:hint="eastAsia"/>
        </w:rPr>
        <w:t>6.4-4</w:t>
      </w:r>
      <w:r>
        <w:rPr>
          <w:rFonts w:ascii="Times New Roman" w:hAnsi="Times New Roman"/>
        </w:rPr>
        <w:t>可知，在没有采取除尘脱硫和仅低氮燃烧的情况下，丁家梁煤矿锅炉房出口烟气中颗粒物、</w:t>
      </w:r>
      <w:r>
        <w:rPr>
          <w:rFonts w:ascii="Times New Roman" w:hAnsi="Times New Roman"/>
        </w:rPr>
        <w:t>SO</w:t>
      </w:r>
      <w:r>
        <w:rPr>
          <w:rFonts w:ascii="Times New Roman" w:hAnsi="Times New Roman"/>
          <w:vertAlign w:val="subscript"/>
        </w:rPr>
        <w:t>2</w:t>
      </w:r>
      <w:r>
        <w:rPr>
          <w:rFonts w:ascii="Times New Roman" w:hAnsi="Times New Roman"/>
        </w:rPr>
        <w:t>、</w:t>
      </w:r>
      <w:r>
        <w:rPr>
          <w:rFonts w:ascii="Times New Roman" w:hAnsi="Times New Roman"/>
        </w:rPr>
        <w:t>NOx</w:t>
      </w:r>
      <w:r>
        <w:rPr>
          <w:rFonts w:ascii="Times New Roman" w:hAnsi="Times New Roman"/>
        </w:rPr>
        <w:t>的浓度分别为</w:t>
      </w:r>
      <w:r>
        <w:rPr>
          <w:rFonts w:ascii="Times New Roman" w:hAnsi="Times New Roman" w:hint="eastAsia"/>
        </w:rPr>
        <w:t>17.6</w:t>
      </w:r>
      <w:r>
        <w:rPr>
          <w:rFonts w:ascii="Times New Roman" w:hAnsi="Times New Roman"/>
        </w:rPr>
        <w:t>mg/m</w:t>
      </w:r>
      <w:r>
        <w:rPr>
          <w:rFonts w:ascii="Times New Roman" w:hAnsi="Times New Roman"/>
          <w:vertAlign w:val="superscript"/>
        </w:rPr>
        <w:t>3</w:t>
      </w:r>
      <w:r>
        <w:rPr>
          <w:rFonts w:ascii="Times New Roman" w:hAnsi="Times New Roman"/>
        </w:rPr>
        <w:t>、</w:t>
      </w:r>
      <w:r>
        <w:rPr>
          <w:rFonts w:ascii="Times New Roman" w:hAnsi="Times New Roman" w:hint="eastAsia"/>
        </w:rPr>
        <w:t>29.3</w:t>
      </w:r>
      <w:r>
        <w:rPr>
          <w:rFonts w:ascii="Times New Roman" w:hAnsi="Times New Roman"/>
        </w:rPr>
        <w:t>mg/m</w:t>
      </w:r>
      <w:r>
        <w:rPr>
          <w:rFonts w:ascii="Times New Roman" w:hAnsi="Times New Roman"/>
          <w:vertAlign w:val="superscript"/>
        </w:rPr>
        <w:t>3</w:t>
      </w:r>
      <w:r>
        <w:rPr>
          <w:rFonts w:ascii="Times New Roman" w:hAnsi="Times New Roman"/>
        </w:rPr>
        <w:t>和</w:t>
      </w:r>
      <w:r>
        <w:rPr>
          <w:rFonts w:ascii="Times New Roman" w:hAnsi="Times New Roman" w:hint="eastAsia"/>
        </w:rPr>
        <w:t>41.2</w:t>
      </w:r>
      <w:r>
        <w:rPr>
          <w:rFonts w:ascii="Times New Roman" w:hAnsi="Times New Roman"/>
        </w:rPr>
        <w:t>mg/m</w:t>
      </w:r>
      <w:r>
        <w:rPr>
          <w:rFonts w:ascii="Times New Roman" w:hAnsi="Times New Roman"/>
          <w:vertAlign w:val="superscript"/>
        </w:rPr>
        <w:t>3</w:t>
      </w:r>
      <w:r>
        <w:rPr>
          <w:rFonts w:ascii="Times New Roman" w:hAnsi="Times New Roman"/>
        </w:rPr>
        <w:t>，满足</w:t>
      </w:r>
      <w:r>
        <w:rPr>
          <w:rFonts w:ascii="Times New Roman" w:hAnsi="Times New Roman" w:hint="eastAsia"/>
        </w:rPr>
        <w:t>《锅炉大气污染物排放标准》（</w:t>
      </w:r>
      <w:r>
        <w:rPr>
          <w:rFonts w:ascii="Times New Roman" w:hAnsi="Times New Roman" w:hint="eastAsia"/>
        </w:rPr>
        <w:t>GB13271-2014</w:t>
      </w:r>
      <w:r>
        <w:rPr>
          <w:rFonts w:ascii="Times New Roman" w:hAnsi="Times New Roman" w:hint="eastAsia"/>
        </w:rPr>
        <w:t>）中表</w:t>
      </w:r>
      <w:r>
        <w:rPr>
          <w:rFonts w:ascii="Times New Roman" w:hAnsi="Times New Roman" w:hint="eastAsia"/>
        </w:rPr>
        <w:t>3</w:t>
      </w:r>
      <w:r>
        <w:rPr>
          <w:rFonts w:ascii="Times New Roman" w:hAnsi="Times New Roman" w:hint="eastAsia"/>
        </w:rPr>
        <w:t>特别排放限值中燃气锅炉排放要求。</w:t>
      </w:r>
    </w:p>
    <w:p w14:paraId="1E3C8FA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经预测分析，丁家梁煤矿锅炉房排放烟气中颗粒物、</w:t>
      </w:r>
      <w:r>
        <w:rPr>
          <w:rFonts w:ascii="Times New Roman" w:hAnsi="Times New Roman"/>
        </w:rPr>
        <w:t>SO</w:t>
      </w:r>
      <w:r>
        <w:rPr>
          <w:rFonts w:ascii="Times New Roman" w:hAnsi="Times New Roman"/>
          <w:vertAlign w:val="subscript"/>
        </w:rPr>
        <w:t>2</w:t>
      </w:r>
      <w:r>
        <w:rPr>
          <w:rFonts w:ascii="Times New Roman" w:hAnsi="Times New Roman"/>
        </w:rPr>
        <w:t>、</w:t>
      </w:r>
      <w:r>
        <w:rPr>
          <w:rFonts w:ascii="Times New Roman" w:hAnsi="Times New Roman"/>
        </w:rPr>
        <w:t>NOx</w:t>
      </w:r>
      <w:r>
        <w:rPr>
          <w:rFonts w:ascii="Times New Roman" w:hAnsi="Times New Roman"/>
        </w:rPr>
        <w:t>的最大落地浓度分别为</w:t>
      </w:r>
      <w:r>
        <w:rPr>
          <w:rFonts w:ascii="Times New Roman" w:hAnsi="Times New Roman"/>
        </w:rPr>
        <w:t>6.505ug/m</w:t>
      </w:r>
      <w:r>
        <w:rPr>
          <w:rFonts w:ascii="Times New Roman" w:hAnsi="Times New Roman"/>
          <w:vertAlign w:val="superscript"/>
        </w:rPr>
        <w:t>3</w:t>
      </w:r>
      <w:r>
        <w:rPr>
          <w:rFonts w:ascii="Times New Roman" w:hAnsi="Times New Roman"/>
        </w:rPr>
        <w:t>、</w:t>
      </w:r>
      <w:r>
        <w:rPr>
          <w:rFonts w:ascii="Times New Roman" w:hAnsi="Times New Roman"/>
        </w:rPr>
        <w:t>10.8214ug/m</w:t>
      </w:r>
      <w:r>
        <w:rPr>
          <w:rFonts w:ascii="Times New Roman" w:hAnsi="Times New Roman"/>
          <w:vertAlign w:val="superscript"/>
        </w:rPr>
        <w:t>3</w:t>
      </w:r>
      <w:r>
        <w:rPr>
          <w:rFonts w:ascii="Times New Roman" w:hAnsi="Times New Roman"/>
        </w:rPr>
        <w:t>、</w:t>
      </w:r>
      <w:r>
        <w:rPr>
          <w:rFonts w:ascii="Times New Roman" w:hAnsi="Times New Roman"/>
        </w:rPr>
        <w:t>15.1986ug/m</w:t>
      </w:r>
      <w:r>
        <w:rPr>
          <w:rFonts w:ascii="Times New Roman" w:hAnsi="Times New Roman"/>
          <w:vertAlign w:val="superscript"/>
        </w:rPr>
        <w:t>3</w:t>
      </w:r>
      <w:r>
        <w:rPr>
          <w:rFonts w:ascii="Times New Roman" w:hAnsi="Times New Roman"/>
        </w:rPr>
        <w:t>，占标率分别为</w:t>
      </w:r>
      <w:r>
        <w:rPr>
          <w:rFonts w:ascii="Times New Roman" w:hAnsi="Times New Roman"/>
        </w:rPr>
        <w:t>1.45%</w:t>
      </w:r>
      <w:r>
        <w:rPr>
          <w:rFonts w:ascii="Times New Roman" w:hAnsi="Times New Roman"/>
        </w:rPr>
        <w:t>、</w:t>
      </w:r>
      <w:r>
        <w:rPr>
          <w:rFonts w:ascii="Times New Roman" w:hAnsi="Times New Roman"/>
        </w:rPr>
        <w:t>2.16%</w:t>
      </w:r>
      <w:r>
        <w:rPr>
          <w:rFonts w:ascii="Times New Roman" w:hAnsi="Times New Roman"/>
        </w:rPr>
        <w:t>、</w:t>
      </w:r>
      <w:r>
        <w:rPr>
          <w:rFonts w:ascii="Times New Roman" w:hAnsi="Times New Roman"/>
        </w:rPr>
        <w:t>6.08%</w:t>
      </w:r>
      <w:r>
        <w:rPr>
          <w:rFonts w:ascii="Times New Roman" w:hAnsi="Times New Roman"/>
        </w:rPr>
        <w:t>，最大浓度落地点为</w:t>
      </w:r>
      <w:r>
        <w:rPr>
          <w:rFonts w:ascii="Times New Roman" w:hAnsi="Times New Roman"/>
        </w:rPr>
        <w:t>108m</w:t>
      </w:r>
      <w:r>
        <w:rPr>
          <w:rFonts w:ascii="Times New Roman" w:hAnsi="Times New Roman"/>
        </w:rPr>
        <w:t>，贡献值很小，并且在最大浓度落地点范围内无敏感保护目标，因此</w:t>
      </w:r>
      <w:r>
        <w:rPr>
          <w:rFonts w:ascii="Times New Roman" w:hAnsi="Times New Roman" w:hint="eastAsia"/>
        </w:rPr>
        <w:t>规划矿区实施后</w:t>
      </w:r>
      <w:r>
        <w:rPr>
          <w:rFonts w:ascii="Times New Roman" w:hAnsi="Times New Roman"/>
        </w:rPr>
        <w:t>锅炉烟气排放对周边环境空气影响较小。</w:t>
      </w:r>
    </w:p>
    <w:p w14:paraId="146081A5"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6.4.4</w:t>
      </w:r>
      <w:r>
        <w:rPr>
          <w:rFonts w:ascii="Times New Roman" w:hAnsi="Times New Roman"/>
          <w:sz w:val="24"/>
        </w:rPr>
        <w:t xml:space="preserve"> </w:t>
      </w:r>
      <w:r>
        <w:rPr>
          <w:rFonts w:ascii="Times New Roman" w:hAnsi="Times New Roman"/>
          <w:sz w:val="24"/>
        </w:rPr>
        <w:t>煤炭转储运和筛分过程扬尘对环境空气的影响分析</w:t>
      </w:r>
    </w:p>
    <w:p w14:paraId="555A4758" w14:textId="77777777" w:rsidR="009C353B" w:rsidRDefault="00000000">
      <w:pPr>
        <w:pStyle w:val="3f4"/>
        <w:adjustRightInd w:val="0"/>
        <w:snapToGrid w:val="0"/>
        <w:spacing w:line="440" w:lineRule="exact"/>
        <w:ind w:firstLine="480"/>
        <w:rPr>
          <w:rFonts w:ascii="Times New Roman" w:hint="eastAsia"/>
          <w:szCs w:val="24"/>
        </w:rPr>
      </w:pPr>
      <w:r>
        <w:rPr>
          <w:rFonts w:ascii="Times New Roman"/>
          <w:szCs w:val="24"/>
        </w:rPr>
        <w:t>对于煤炭场内储存和输送，只要选择合理的储存和输送方式和必要的治理措施，其扬尘对环境空气的影响可有效控制，一般情况下对大气环境的影响较小</w:t>
      </w:r>
      <w:r>
        <w:rPr>
          <w:rFonts w:ascii="Times New Roman" w:hint="eastAsia"/>
          <w:szCs w:val="24"/>
        </w:rPr>
        <w:t>，</w:t>
      </w:r>
      <w:r>
        <w:rPr>
          <w:rFonts w:ascii="Times New Roman"/>
          <w:szCs w:val="24"/>
        </w:rPr>
        <w:t>矿区煤炭储存、输送与转载扬尘对环境空气的影响分析结果见表</w:t>
      </w:r>
      <w:r>
        <w:rPr>
          <w:rFonts w:ascii="Times New Roman" w:hAnsi="Times New Roman" w:hint="eastAsia"/>
          <w:szCs w:val="24"/>
        </w:rPr>
        <w:t>6.4-</w:t>
      </w:r>
      <w:r>
        <w:rPr>
          <w:rFonts w:ascii="Times New Roman" w:hAnsi="Times New Roman"/>
          <w:szCs w:val="24"/>
        </w:rPr>
        <w:t>5</w:t>
      </w:r>
      <w:r>
        <w:rPr>
          <w:rFonts w:ascii="Times New Roman"/>
          <w:szCs w:val="24"/>
        </w:rPr>
        <w:t>。</w:t>
      </w:r>
    </w:p>
    <w:p w14:paraId="036FE1D9" w14:textId="77777777" w:rsidR="009C353B" w:rsidRDefault="00000000">
      <w:pPr>
        <w:pStyle w:val="affffff0"/>
        <w:adjustRightInd w:val="0"/>
        <w:spacing w:line="440" w:lineRule="exact"/>
        <w:ind w:firstLine="480"/>
        <w:jc w:val="center"/>
        <w:rPr>
          <w:rFonts w:ascii="Times New Roman" w:hAnsi="Times New Roman"/>
          <w:szCs w:val="24"/>
        </w:rPr>
      </w:pPr>
      <w:r>
        <w:rPr>
          <w:rFonts w:ascii="Times New Roman"/>
          <w:szCs w:val="24"/>
        </w:rPr>
        <w:t>煤炭转储运和筛分过程扬尘环境空气影响分析表</w:t>
      </w:r>
    </w:p>
    <w:p w14:paraId="7638045E" w14:textId="77777777" w:rsidR="009C353B" w:rsidRDefault="00000000">
      <w:pPr>
        <w:widowControl/>
        <w:adjustRightInd w:val="0"/>
        <w:snapToGrid w:val="0"/>
        <w:spacing w:line="440" w:lineRule="exact"/>
        <w:outlineLvl w:val="4"/>
        <w:rPr>
          <w:rFonts w:ascii="Times New Roman" w:hAnsi="Times New Roman"/>
          <w:kern w:val="0"/>
          <w:szCs w:val="24"/>
        </w:rPr>
      </w:pPr>
      <w:r>
        <w:rPr>
          <w:rFonts w:ascii="Times New Roman" w:hAnsi="Times New Roman"/>
          <w:kern w:val="0"/>
          <w:szCs w:val="24"/>
        </w:rPr>
        <w:t>表</w:t>
      </w:r>
      <w:r>
        <w:rPr>
          <w:rFonts w:ascii="Times New Roman" w:hAnsi="Times New Roman" w:hint="eastAsia"/>
          <w:kern w:val="0"/>
          <w:szCs w:val="24"/>
        </w:rPr>
        <w:t>6.4-</w:t>
      </w:r>
      <w:r>
        <w:rPr>
          <w:rFonts w:ascii="Times New Roman" w:hAnsi="Times New Roman"/>
          <w:kern w:val="0"/>
          <w:szCs w:val="24"/>
        </w:rPr>
        <w:t>5</w:t>
      </w:r>
    </w:p>
    <w:tbl>
      <w:tblPr>
        <w:tblW w:w="9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57" w:type="dxa"/>
          <w:bottom w:w="85" w:type="dxa"/>
          <w:right w:w="57" w:type="dxa"/>
        </w:tblCellMar>
        <w:tblLook w:val="04A0" w:firstRow="1" w:lastRow="0" w:firstColumn="1" w:lastColumn="0" w:noHBand="0" w:noVBand="1"/>
      </w:tblPr>
      <w:tblGrid>
        <w:gridCol w:w="1487"/>
        <w:gridCol w:w="2705"/>
        <w:gridCol w:w="2498"/>
        <w:gridCol w:w="2517"/>
      </w:tblGrid>
      <w:tr w:rsidR="009C353B" w14:paraId="0D98EB8B" w14:textId="77777777">
        <w:trPr>
          <w:trHeight w:val="397"/>
          <w:tblHeader/>
          <w:jc w:val="center"/>
        </w:trPr>
        <w:tc>
          <w:tcPr>
            <w:tcW w:w="1487" w:type="dxa"/>
            <w:vAlign w:val="center"/>
          </w:tcPr>
          <w:p w14:paraId="5E0C6F60"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sz w:val="21"/>
                <w:szCs w:val="21"/>
              </w:rPr>
              <w:t>类别</w:t>
            </w:r>
          </w:p>
        </w:tc>
        <w:tc>
          <w:tcPr>
            <w:tcW w:w="2705" w:type="dxa"/>
            <w:vAlign w:val="center"/>
          </w:tcPr>
          <w:p w14:paraId="1E199F00"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sz w:val="21"/>
                <w:szCs w:val="21"/>
              </w:rPr>
              <w:t>方式与特征</w:t>
            </w:r>
          </w:p>
        </w:tc>
        <w:tc>
          <w:tcPr>
            <w:tcW w:w="2498" w:type="dxa"/>
            <w:vAlign w:val="center"/>
          </w:tcPr>
          <w:p w14:paraId="57F596C5"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sz w:val="21"/>
                <w:szCs w:val="21"/>
              </w:rPr>
              <w:t>治理措施</w:t>
            </w:r>
          </w:p>
        </w:tc>
        <w:tc>
          <w:tcPr>
            <w:tcW w:w="2517" w:type="dxa"/>
            <w:vAlign w:val="center"/>
          </w:tcPr>
          <w:p w14:paraId="03A5E042"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sz w:val="21"/>
                <w:szCs w:val="21"/>
              </w:rPr>
              <w:t>影响分析</w:t>
            </w:r>
          </w:p>
        </w:tc>
      </w:tr>
      <w:tr w:rsidR="009C353B" w14:paraId="7706AD45" w14:textId="77777777">
        <w:trPr>
          <w:trHeight w:val="397"/>
          <w:tblHeader/>
          <w:jc w:val="center"/>
        </w:trPr>
        <w:tc>
          <w:tcPr>
            <w:tcW w:w="1487" w:type="dxa"/>
            <w:vAlign w:val="center"/>
          </w:tcPr>
          <w:p w14:paraId="3E90E360"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sz w:val="21"/>
                <w:szCs w:val="21"/>
              </w:rPr>
              <w:t>煤炭储存</w:t>
            </w:r>
          </w:p>
        </w:tc>
        <w:tc>
          <w:tcPr>
            <w:tcW w:w="2705" w:type="dxa"/>
            <w:vAlign w:val="center"/>
          </w:tcPr>
          <w:p w14:paraId="576FB656" w14:textId="77777777" w:rsidR="009C353B" w:rsidRDefault="00000000">
            <w:pPr>
              <w:topLinePunct/>
              <w:adjustRightInd w:val="0"/>
              <w:snapToGrid w:val="0"/>
              <w:spacing w:line="240" w:lineRule="atLeast"/>
              <w:jc w:val="left"/>
              <w:textAlignment w:val="baseline"/>
              <w:rPr>
                <w:rFonts w:ascii="Times New Roman" w:hAnsi="Times New Roman"/>
                <w:sz w:val="21"/>
                <w:szCs w:val="21"/>
              </w:rPr>
            </w:pPr>
            <w:r>
              <w:rPr>
                <w:rFonts w:ascii="Times New Roman"/>
                <w:sz w:val="21"/>
                <w:szCs w:val="21"/>
              </w:rPr>
              <w:t>原煤仓、产品仓、矸石仓均为全封闭结构，且外运及时</w:t>
            </w:r>
          </w:p>
        </w:tc>
        <w:tc>
          <w:tcPr>
            <w:tcW w:w="2498" w:type="dxa"/>
            <w:vAlign w:val="center"/>
          </w:tcPr>
          <w:p w14:paraId="73B2E0A0"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sz w:val="21"/>
                <w:szCs w:val="21"/>
              </w:rPr>
              <w:t>全封闭结构</w:t>
            </w:r>
          </w:p>
        </w:tc>
        <w:tc>
          <w:tcPr>
            <w:tcW w:w="2517" w:type="dxa"/>
            <w:vAlign w:val="center"/>
          </w:tcPr>
          <w:p w14:paraId="30603CBB" w14:textId="77777777" w:rsidR="009C353B" w:rsidRDefault="00000000">
            <w:pPr>
              <w:topLinePunct/>
              <w:adjustRightInd w:val="0"/>
              <w:snapToGrid w:val="0"/>
              <w:spacing w:line="240" w:lineRule="atLeast"/>
              <w:jc w:val="left"/>
              <w:textAlignment w:val="baseline"/>
              <w:rPr>
                <w:rFonts w:ascii="Times New Roman" w:hAnsi="Times New Roman"/>
                <w:sz w:val="21"/>
                <w:szCs w:val="21"/>
              </w:rPr>
            </w:pPr>
            <w:r>
              <w:rPr>
                <w:rFonts w:ascii="Times New Roman"/>
                <w:sz w:val="21"/>
                <w:szCs w:val="21"/>
              </w:rPr>
              <w:t>全封闭，对环境空气质量影响轻微</w:t>
            </w:r>
          </w:p>
        </w:tc>
      </w:tr>
      <w:tr w:rsidR="009C353B" w14:paraId="29D83DEC" w14:textId="77777777">
        <w:trPr>
          <w:trHeight w:val="397"/>
          <w:tblHeader/>
          <w:jc w:val="center"/>
        </w:trPr>
        <w:tc>
          <w:tcPr>
            <w:tcW w:w="1487" w:type="dxa"/>
            <w:vAlign w:val="center"/>
          </w:tcPr>
          <w:p w14:paraId="56321A04"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sz w:val="21"/>
                <w:szCs w:val="21"/>
              </w:rPr>
              <w:t>场内输送</w:t>
            </w:r>
          </w:p>
        </w:tc>
        <w:tc>
          <w:tcPr>
            <w:tcW w:w="2705" w:type="dxa"/>
            <w:vAlign w:val="center"/>
          </w:tcPr>
          <w:p w14:paraId="5B1CDF4C" w14:textId="77777777" w:rsidR="009C353B" w:rsidRDefault="00000000">
            <w:pPr>
              <w:topLinePunct/>
              <w:adjustRightInd w:val="0"/>
              <w:snapToGrid w:val="0"/>
              <w:spacing w:line="240" w:lineRule="atLeast"/>
              <w:jc w:val="left"/>
              <w:textAlignment w:val="baseline"/>
              <w:rPr>
                <w:rFonts w:ascii="Times New Roman" w:hAnsi="Times New Roman"/>
                <w:sz w:val="21"/>
                <w:szCs w:val="21"/>
              </w:rPr>
            </w:pPr>
            <w:r>
              <w:rPr>
                <w:rFonts w:ascii="Times New Roman"/>
                <w:sz w:val="21"/>
                <w:szCs w:val="21"/>
              </w:rPr>
              <w:t>输煤栈桥，胶带输送机输送</w:t>
            </w:r>
          </w:p>
        </w:tc>
        <w:tc>
          <w:tcPr>
            <w:tcW w:w="2498" w:type="dxa"/>
            <w:vAlign w:val="center"/>
          </w:tcPr>
          <w:p w14:paraId="7DAF4A43"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sz w:val="21"/>
                <w:szCs w:val="21"/>
              </w:rPr>
              <w:t>全封闭结构</w:t>
            </w:r>
          </w:p>
        </w:tc>
        <w:tc>
          <w:tcPr>
            <w:tcW w:w="2517" w:type="dxa"/>
            <w:vAlign w:val="center"/>
          </w:tcPr>
          <w:p w14:paraId="48C0DC82" w14:textId="77777777" w:rsidR="009C353B" w:rsidRDefault="00000000">
            <w:pPr>
              <w:topLinePunct/>
              <w:adjustRightInd w:val="0"/>
              <w:snapToGrid w:val="0"/>
              <w:spacing w:line="240" w:lineRule="atLeast"/>
              <w:jc w:val="left"/>
              <w:textAlignment w:val="baseline"/>
              <w:rPr>
                <w:rFonts w:ascii="Times New Roman" w:hAnsi="Times New Roman"/>
                <w:sz w:val="21"/>
                <w:szCs w:val="21"/>
              </w:rPr>
            </w:pPr>
            <w:r>
              <w:rPr>
                <w:rFonts w:ascii="Times New Roman"/>
                <w:sz w:val="21"/>
                <w:szCs w:val="21"/>
              </w:rPr>
              <w:t>全封闭，逸出煤尘很少，对环境影响小</w:t>
            </w:r>
          </w:p>
        </w:tc>
      </w:tr>
      <w:tr w:rsidR="009C353B" w14:paraId="141FB3C0" w14:textId="77777777">
        <w:trPr>
          <w:trHeight w:val="397"/>
          <w:tblHeader/>
          <w:jc w:val="center"/>
        </w:trPr>
        <w:tc>
          <w:tcPr>
            <w:tcW w:w="1487" w:type="dxa"/>
            <w:vAlign w:val="center"/>
          </w:tcPr>
          <w:p w14:paraId="67CC4047"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sz w:val="21"/>
                <w:szCs w:val="21"/>
              </w:rPr>
              <w:t>外运</w:t>
            </w:r>
          </w:p>
        </w:tc>
        <w:tc>
          <w:tcPr>
            <w:tcW w:w="2705" w:type="dxa"/>
            <w:vAlign w:val="center"/>
          </w:tcPr>
          <w:p w14:paraId="21CAD0D1" w14:textId="77777777" w:rsidR="009C353B" w:rsidRDefault="00000000">
            <w:pPr>
              <w:topLinePunct/>
              <w:adjustRightInd w:val="0"/>
              <w:snapToGrid w:val="0"/>
              <w:spacing w:line="240" w:lineRule="atLeast"/>
              <w:jc w:val="left"/>
              <w:textAlignment w:val="baseline"/>
              <w:rPr>
                <w:rFonts w:ascii="Times New Roman" w:hAnsi="Times New Roman"/>
                <w:sz w:val="21"/>
                <w:szCs w:val="21"/>
              </w:rPr>
            </w:pPr>
            <w:r>
              <w:rPr>
                <w:rFonts w:ascii="Times New Roman"/>
                <w:sz w:val="21"/>
                <w:szCs w:val="21"/>
              </w:rPr>
              <w:t>产品煤通过</w:t>
            </w:r>
            <w:r>
              <w:rPr>
                <w:rFonts w:ascii="Times New Roman" w:hint="eastAsia"/>
                <w:sz w:val="21"/>
                <w:szCs w:val="21"/>
              </w:rPr>
              <w:t>铁路</w:t>
            </w:r>
            <w:r>
              <w:rPr>
                <w:rFonts w:ascii="Times New Roman"/>
                <w:sz w:val="21"/>
                <w:szCs w:val="21"/>
              </w:rPr>
              <w:t>专用线和汽车运输方式外运</w:t>
            </w:r>
          </w:p>
        </w:tc>
        <w:tc>
          <w:tcPr>
            <w:tcW w:w="2498" w:type="dxa"/>
            <w:vAlign w:val="center"/>
          </w:tcPr>
          <w:p w14:paraId="7CB9A06A" w14:textId="77777777" w:rsidR="009C353B" w:rsidRDefault="00000000">
            <w:pPr>
              <w:topLinePunct/>
              <w:adjustRightInd w:val="0"/>
              <w:snapToGrid w:val="0"/>
              <w:spacing w:line="240" w:lineRule="atLeast"/>
              <w:jc w:val="left"/>
              <w:textAlignment w:val="baseline"/>
              <w:rPr>
                <w:rFonts w:ascii="Times New Roman" w:hAnsi="Times New Roman"/>
                <w:sz w:val="21"/>
                <w:szCs w:val="21"/>
              </w:rPr>
            </w:pPr>
            <w:r>
              <w:rPr>
                <w:rFonts w:ascii="Times New Roman" w:hint="eastAsia"/>
                <w:sz w:val="21"/>
                <w:szCs w:val="21"/>
              </w:rPr>
              <w:t>铁路专用线</w:t>
            </w:r>
            <w:r>
              <w:rPr>
                <w:rFonts w:ascii="Times New Roman"/>
                <w:sz w:val="21"/>
                <w:szCs w:val="21"/>
              </w:rPr>
              <w:t>采用全封闭结构</w:t>
            </w:r>
            <w:r>
              <w:rPr>
                <w:rFonts w:ascii="Times New Roman" w:hint="eastAsia"/>
                <w:sz w:val="21"/>
                <w:szCs w:val="21"/>
              </w:rPr>
              <w:t>，</w:t>
            </w:r>
            <w:r>
              <w:rPr>
                <w:rFonts w:ascii="Times New Roman"/>
                <w:sz w:val="21"/>
                <w:szCs w:val="21"/>
              </w:rPr>
              <w:t>汽车运输车辆加盖苫布</w:t>
            </w:r>
            <w:r>
              <w:rPr>
                <w:rFonts w:ascii="Times New Roman" w:hint="eastAsia"/>
                <w:sz w:val="21"/>
                <w:szCs w:val="21"/>
              </w:rPr>
              <w:t>、道路洒水降尘</w:t>
            </w:r>
          </w:p>
        </w:tc>
        <w:tc>
          <w:tcPr>
            <w:tcW w:w="2517" w:type="dxa"/>
            <w:vAlign w:val="center"/>
          </w:tcPr>
          <w:p w14:paraId="784BEF13" w14:textId="77777777" w:rsidR="009C353B" w:rsidRDefault="00000000">
            <w:pPr>
              <w:topLinePunct/>
              <w:adjustRightInd w:val="0"/>
              <w:snapToGrid w:val="0"/>
              <w:spacing w:line="240" w:lineRule="atLeast"/>
              <w:jc w:val="left"/>
              <w:textAlignment w:val="baseline"/>
              <w:rPr>
                <w:rFonts w:ascii="Times New Roman" w:hAnsi="Times New Roman"/>
                <w:sz w:val="21"/>
                <w:szCs w:val="21"/>
              </w:rPr>
            </w:pPr>
            <w:r>
              <w:rPr>
                <w:rFonts w:ascii="Times New Roman"/>
                <w:sz w:val="21"/>
                <w:szCs w:val="21"/>
              </w:rPr>
              <w:t>逸出煤尘很少，对环境影响小</w:t>
            </w:r>
          </w:p>
        </w:tc>
      </w:tr>
      <w:tr w:rsidR="009C353B" w14:paraId="1F72998C" w14:textId="77777777">
        <w:trPr>
          <w:trHeight w:val="397"/>
          <w:tblHeader/>
          <w:jc w:val="center"/>
        </w:trPr>
        <w:tc>
          <w:tcPr>
            <w:tcW w:w="1487" w:type="dxa"/>
            <w:vAlign w:val="center"/>
          </w:tcPr>
          <w:p w14:paraId="1F3F8C5E" w14:textId="77777777" w:rsidR="009C353B" w:rsidRDefault="00000000">
            <w:pPr>
              <w:topLinePunct/>
              <w:adjustRightInd w:val="0"/>
              <w:snapToGrid w:val="0"/>
              <w:spacing w:line="240" w:lineRule="atLeast"/>
              <w:jc w:val="center"/>
              <w:textAlignment w:val="baseline"/>
              <w:rPr>
                <w:rFonts w:ascii="Times New Roman" w:hAnsi="Times New Roman"/>
                <w:sz w:val="21"/>
                <w:szCs w:val="21"/>
              </w:rPr>
            </w:pPr>
            <w:r>
              <w:rPr>
                <w:rFonts w:ascii="Times New Roman"/>
                <w:sz w:val="21"/>
                <w:szCs w:val="21"/>
              </w:rPr>
              <w:t>场外道路</w:t>
            </w:r>
          </w:p>
        </w:tc>
        <w:tc>
          <w:tcPr>
            <w:tcW w:w="2705" w:type="dxa"/>
            <w:vAlign w:val="center"/>
          </w:tcPr>
          <w:p w14:paraId="63F8ADCA" w14:textId="77777777" w:rsidR="009C353B" w:rsidRDefault="00000000">
            <w:pPr>
              <w:topLinePunct/>
              <w:adjustRightInd w:val="0"/>
              <w:snapToGrid w:val="0"/>
              <w:spacing w:line="240" w:lineRule="atLeast"/>
              <w:jc w:val="left"/>
              <w:textAlignment w:val="baseline"/>
              <w:rPr>
                <w:rFonts w:ascii="Times New Roman" w:hAnsi="Times New Roman"/>
                <w:sz w:val="21"/>
                <w:szCs w:val="21"/>
              </w:rPr>
            </w:pPr>
            <w:r>
              <w:rPr>
                <w:rFonts w:ascii="Times New Roman"/>
                <w:sz w:val="21"/>
                <w:szCs w:val="21"/>
              </w:rPr>
              <w:t>硬化路面</w:t>
            </w:r>
            <w:r>
              <w:rPr>
                <w:rFonts w:ascii="Times New Roman" w:hint="eastAsia"/>
                <w:sz w:val="21"/>
                <w:szCs w:val="21"/>
              </w:rPr>
              <w:t>，</w:t>
            </w:r>
            <w:r>
              <w:rPr>
                <w:rFonts w:ascii="Times New Roman"/>
                <w:sz w:val="21"/>
                <w:szCs w:val="21"/>
              </w:rPr>
              <w:t>定期清扫、洒水</w:t>
            </w:r>
          </w:p>
        </w:tc>
        <w:tc>
          <w:tcPr>
            <w:tcW w:w="2498" w:type="dxa"/>
            <w:vAlign w:val="center"/>
          </w:tcPr>
          <w:p w14:paraId="56300EB3"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sz w:val="21"/>
                <w:szCs w:val="21"/>
              </w:rPr>
              <w:t>对场外道路定期洒水和清扫，一般在清扫后洒水，抑尘效率能达</w:t>
            </w:r>
            <w:r>
              <w:rPr>
                <w:rFonts w:ascii="Times New Roman"/>
                <w:sz w:val="21"/>
                <w:szCs w:val="21"/>
              </w:rPr>
              <w:t>90%</w:t>
            </w:r>
            <w:r>
              <w:rPr>
                <w:rFonts w:ascii="Times New Roman"/>
                <w:sz w:val="21"/>
                <w:szCs w:val="21"/>
              </w:rPr>
              <w:t>以上</w:t>
            </w:r>
            <w:r>
              <w:rPr>
                <w:rFonts w:ascii="Times New Roman" w:hint="eastAsia"/>
                <w:sz w:val="21"/>
                <w:szCs w:val="21"/>
              </w:rPr>
              <w:t>；</w:t>
            </w:r>
          </w:p>
          <w:p w14:paraId="0CB0CD96"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sz w:val="21"/>
                <w:szCs w:val="21"/>
              </w:rPr>
              <w:t>加强对道路的维护，保证其路面处于完好状态，平整完好的路面可以大大减少汽车尾气和扬尘量</w:t>
            </w:r>
          </w:p>
        </w:tc>
        <w:tc>
          <w:tcPr>
            <w:tcW w:w="2517" w:type="dxa"/>
            <w:vAlign w:val="center"/>
          </w:tcPr>
          <w:p w14:paraId="75CB9DD3"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sz w:val="21"/>
                <w:szCs w:val="21"/>
              </w:rPr>
              <w:t>有关试验表明，在矿区道路每天洒水抑尘作业</w:t>
            </w:r>
            <w:r>
              <w:rPr>
                <w:rFonts w:ascii="Times New Roman"/>
                <w:sz w:val="21"/>
                <w:szCs w:val="21"/>
              </w:rPr>
              <w:t>3</w:t>
            </w:r>
            <w:r>
              <w:rPr>
                <w:rFonts w:ascii="Times New Roman" w:hint="eastAsia"/>
                <w:sz w:val="21"/>
                <w:szCs w:val="21"/>
              </w:rPr>
              <w:t>-</w:t>
            </w:r>
            <w:r>
              <w:rPr>
                <w:rFonts w:ascii="Times New Roman"/>
                <w:sz w:val="21"/>
                <w:szCs w:val="21"/>
              </w:rPr>
              <w:t>4</w:t>
            </w:r>
            <w:r>
              <w:rPr>
                <w:rFonts w:ascii="Times New Roman"/>
                <w:sz w:val="21"/>
                <w:szCs w:val="21"/>
              </w:rPr>
              <w:t>次，其扬尘造成的</w:t>
            </w:r>
            <w:r>
              <w:rPr>
                <w:rFonts w:ascii="Times New Roman"/>
                <w:sz w:val="21"/>
                <w:szCs w:val="21"/>
              </w:rPr>
              <w:t>TSP</w:t>
            </w:r>
            <w:r>
              <w:rPr>
                <w:rFonts w:ascii="Times New Roman"/>
                <w:sz w:val="21"/>
                <w:szCs w:val="21"/>
              </w:rPr>
              <w:t>污染距离可缩小到</w:t>
            </w:r>
            <w:r>
              <w:rPr>
                <w:rFonts w:ascii="Times New Roman"/>
                <w:sz w:val="21"/>
                <w:szCs w:val="21"/>
              </w:rPr>
              <w:t>20</w:t>
            </w:r>
            <w:r>
              <w:rPr>
                <w:rFonts w:ascii="Times New Roman" w:hint="eastAsia"/>
                <w:sz w:val="21"/>
                <w:szCs w:val="21"/>
              </w:rPr>
              <w:t>-</w:t>
            </w:r>
            <w:r>
              <w:rPr>
                <w:rFonts w:ascii="Times New Roman"/>
                <w:sz w:val="21"/>
                <w:szCs w:val="21"/>
              </w:rPr>
              <w:t>50m</w:t>
            </w:r>
            <w:r>
              <w:rPr>
                <w:rFonts w:ascii="Times New Roman"/>
                <w:sz w:val="21"/>
                <w:szCs w:val="21"/>
              </w:rPr>
              <w:t>范围</w:t>
            </w:r>
          </w:p>
        </w:tc>
      </w:tr>
      <w:tr w:rsidR="009C353B" w14:paraId="5B54439F" w14:textId="77777777">
        <w:trPr>
          <w:trHeight w:val="397"/>
          <w:tblHeader/>
          <w:jc w:val="center"/>
        </w:trPr>
        <w:tc>
          <w:tcPr>
            <w:tcW w:w="1487" w:type="dxa"/>
            <w:vAlign w:val="center"/>
          </w:tcPr>
          <w:p w14:paraId="0A7946EF" w14:textId="77777777" w:rsidR="009C353B" w:rsidRDefault="00000000">
            <w:pPr>
              <w:topLinePunct/>
              <w:adjustRightInd w:val="0"/>
              <w:snapToGrid w:val="0"/>
              <w:spacing w:line="240" w:lineRule="atLeast"/>
              <w:jc w:val="center"/>
              <w:textAlignment w:val="baseline"/>
              <w:rPr>
                <w:rFonts w:ascii="Times New Roman" w:hint="eastAsia"/>
                <w:sz w:val="21"/>
                <w:szCs w:val="21"/>
              </w:rPr>
            </w:pPr>
            <w:r>
              <w:rPr>
                <w:rFonts w:ascii="Times New Roman"/>
                <w:sz w:val="21"/>
                <w:szCs w:val="21"/>
              </w:rPr>
              <w:t>各转载点和筛分破碎系统</w:t>
            </w:r>
          </w:p>
        </w:tc>
        <w:tc>
          <w:tcPr>
            <w:tcW w:w="2705" w:type="dxa"/>
            <w:vAlign w:val="center"/>
          </w:tcPr>
          <w:p w14:paraId="69A305B4"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hint="eastAsia"/>
                <w:sz w:val="21"/>
                <w:szCs w:val="21"/>
              </w:rPr>
              <w:t>/</w:t>
            </w:r>
          </w:p>
        </w:tc>
        <w:tc>
          <w:tcPr>
            <w:tcW w:w="2498" w:type="dxa"/>
            <w:shd w:val="clear" w:color="auto" w:fill="auto"/>
            <w:vAlign w:val="center"/>
          </w:tcPr>
          <w:p w14:paraId="2E1EC427"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sz w:val="21"/>
                <w:szCs w:val="21"/>
              </w:rPr>
              <w:t>采取洒水降尘或封闭收尘措施</w:t>
            </w:r>
          </w:p>
        </w:tc>
        <w:tc>
          <w:tcPr>
            <w:tcW w:w="2517" w:type="dxa"/>
            <w:vMerge w:val="restart"/>
            <w:vAlign w:val="center"/>
          </w:tcPr>
          <w:p w14:paraId="6D57C603"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sz w:val="21"/>
                <w:szCs w:val="21"/>
              </w:rPr>
              <w:t>采取了综合性降尘措施后，粉尘排放量少，对周围环境空气质量影响较小，且影响主要局限在车间周围</w:t>
            </w:r>
            <w:r>
              <w:rPr>
                <w:rFonts w:ascii="Times New Roman"/>
                <w:sz w:val="21"/>
                <w:szCs w:val="21"/>
              </w:rPr>
              <w:t>200m</w:t>
            </w:r>
            <w:r>
              <w:rPr>
                <w:rFonts w:ascii="Times New Roman"/>
                <w:sz w:val="21"/>
                <w:szCs w:val="21"/>
              </w:rPr>
              <w:t>的区域内</w:t>
            </w:r>
          </w:p>
        </w:tc>
      </w:tr>
      <w:tr w:rsidR="009C353B" w14:paraId="165873DC" w14:textId="77777777">
        <w:trPr>
          <w:trHeight w:val="397"/>
          <w:tblHeader/>
          <w:jc w:val="center"/>
        </w:trPr>
        <w:tc>
          <w:tcPr>
            <w:tcW w:w="1487" w:type="dxa"/>
            <w:vAlign w:val="center"/>
          </w:tcPr>
          <w:p w14:paraId="4AB2FF35" w14:textId="77777777" w:rsidR="009C353B" w:rsidRDefault="00000000">
            <w:pPr>
              <w:topLinePunct/>
              <w:adjustRightInd w:val="0"/>
              <w:snapToGrid w:val="0"/>
              <w:spacing w:line="240" w:lineRule="atLeast"/>
              <w:jc w:val="center"/>
              <w:textAlignment w:val="baseline"/>
              <w:rPr>
                <w:rFonts w:ascii="Times New Roman" w:hint="eastAsia"/>
                <w:sz w:val="21"/>
                <w:szCs w:val="21"/>
              </w:rPr>
            </w:pPr>
            <w:r>
              <w:rPr>
                <w:rFonts w:ascii="Times New Roman"/>
                <w:sz w:val="21"/>
                <w:szCs w:val="21"/>
              </w:rPr>
              <w:t>在分选设备的顶部和易产生粉尘的振动筛处</w:t>
            </w:r>
          </w:p>
        </w:tc>
        <w:tc>
          <w:tcPr>
            <w:tcW w:w="2705" w:type="dxa"/>
            <w:vAlign w:val="center"/>
          </w:tcPr>
          <w:p w14:paraId="4FF562EE"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sz w:val="21"/>
                <w:szCs w:val="21"/>
              </w:rPr>
              <w:t>设置吸尘罩，同时使设备始终处于负压状态，确保粉尘不外逸</w:t>
            </w:r>
            <w:r>
              <w:rPr>
                <w:rFonts w:ascii="Times New Roman" w:hint="eastAsia"/>
                <w:sz w:val="21"/>
                <w:szCs w:val="21"/>
              </w:rPr>
              <w:t>，</w:t>
            </w:r>
            <w:r>
              <w:rPr>
                <w:rFonts w:ascii="Times New Roman"/>
                <w:sz w:val="21"/>
                <w:szCs w:val="21"/>
              </w:rPr>
              <w:t>含尘气体再经旋风除尘器和袋式除尘器除尘</w:t>
            </w:r>
          </w:p>
        </w:tc>
        <w:tc>
          <w:tcPr>
            <w:tcW w:w="2498" w:type="dxa"/>
            <w:shd w:val="clear" w:color="auto" w:fill="auto"/>
            <w:vAlign w:val="center"/>
          </w:tcPr>
          <w:p w14:paraId="13E113AA"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sz w:val="21"/>
                <w:szCs w:val="21"/>
              </w:rPr>
              <w:t>粉尘的外排浓度小于</w:t>
            </w:r>
            <w:r>
              <w:rPr>
                <w:rFonts w:ascii="Times New Roman"/>
                <w:sz w:val="21"/>
                <w:szCs w:val="21"/>
              </w:rPr>
              <w:t>50mg/m</w:t>
            </w:r>
            <w:r>
              <w:rPr>
                <w:rFonts w:ascii="Times New Roman"/>
                <w:sz w:val="21"/>
                <w:szCs w:val="21"/>
                <w:vertAlign w:val="superscript"/>
              </w:rPr>
              <w:t>3</w:t>
            </w:r>
          </w:p>
        </w:tc>
        <w:tc>
          <w:tcPr>
            <w:tcW w:w="2517" w:type="dxa"/>
            <w:vMerge/>
            <w:vAlign w:val="center"/>
          </w:tcPr>
          <w:p w14:paraId="3CBC1402" w14:textId="77777777" w:rsidR="009C353B" w:rsidRDefault="009C353B">
            <w:pPr>
              <w:topLinePunct/>
              <w:adjustRightInd w:val="0"/>
              <w:snapToGrid w:val="0"/>
              <w:spacing w:line="240" w:lineRule="atLeast"/>
              <w:jc w:val="left"/>
              <w:textAlignment w:val="baseline"/>
              <w:rPr>
                <w:rFonts w:ascii="Times New Roman" w:hint="eastAsia"/>
                <w:sz w:val="21"/>
                <w:szCs w:val="21"/>
              </w:rPr>
            </w:pPr>
          </w:p>
        </w:tc>
      </w:tr>
    </w:tbl>
    <w:p w14:paraId="5A617E4F" w14:textId="77777777" w:rsidR="009C353B" w:rsidRDefault="00000000">
      <w:pPr>
        <w:pStyle w:val="3f4"/>
        <w:adjustRightInd w:val="0"/>
        <w:snapToGrid w:val="0"/>
        <w:spacing w:line="440" w:lineRule="exact"/>
        <w:ind w:firstLine="480"/>
        <w:rPr>
          <w:rFonts w:ascii="Times New Roman" w:hint="eastAsia"/>
          <w:szCs w:val="24"/>
        </w:rPr>
      </w:pPr>
      <w:r>
        <w:rPr>
          <w:rFonts w:ascii="Times New Roman"/>
          <w:szCs w:val="24"/>
        </w:rPr>
        <w:t>由表</w:t>
      </w:r>
      <w:r>
        <w:rPr>
          <w:rFonts w:ascii="Times New Roman" w:hint="eastAsia"/>
          <w:szCs w:val="24"/>
        </w:rPr>
        <w:t>6.4-4</w:t>
      </w:r>
      <w:r>
        <w:rPr>
          <w:rFonts w:ascii="Times New Roman" w:hint="eastAsia"/>
          <w:szCs w:val="24"/>
        </w:rPr>
        <w:t>可知</w:t>
      </w:r>
      <w:r>
        <w:rPr>
          <w:rFonts w:ascii="Times New Roman"/>
          <w:szCs w:val="24"/>
        </w:rPr>
        <w:t>，矿区内生产煤矿均已采取了扬尘控制措施</w:t>
      </w:r>
      <w:r>
        <w:rPr>
          <w:rFonts w:ascii="Times New Roman" w:hint="eastAsia"/>
          <w:szCs w:val="24"/>
        </w:rPr>
        <w:t>，通过对各生产煤矿工业场地、排矸场的无组织粉尘监测结果可知，无组织粉尘监测结果</w:t>
      </w:r>
      <w:r>
        <w:rPr>
          <w:rFonts w:ascii="Times New Roman"/>
          <w:szCs w:val="24"/>
        </w:rPr>
        <w:t>满足《煤炭工业污染物排放标准》（</w:t>
      </w:r>
      <w:r>
        <w:rPr>
          <w:rFonts w:ascii="Times New Roman"/>
          <w:szCs w:val="24"/>
        </w:rPr>
        <w:t>GB20426-2006</w:t>
      </w:r>
      <w:r>
        <w:rPr>
          <w:rFonts w:ascii="Times New Roman"/>
          <w:szCs w:val="24"/>
        </w:rPr>
        <w:t>）无组织排放限值（监控点与参照点浓度差值）小于</w:t>
      </w:r>
      <w:r>
        <w:rPr>
          <w:rFonts w:ascii="Times New Roman"/>
          <w:szCs w:val="24"/>
        </w:rPr>
        <w:t>1.0mg/Nm</w:t>
      </w:r>
      <w:r>
        <w:rPr>
          <w:rFonts w:ascii="Times New Roman"/>
          <w:szCs w:val="24"/>
          <w:vertAlign w:val="superscript"/>
        </w:rPr>
        <w:t>3</w:t>
      </w:r>
      <w:r>
        <w:rPr>
          <w:rFonts w:ascii="Times New Roman"/>
          <w:szCs w:val="24"/>
        </w:rPr>
        <w:t>的要求</w:t>
      </w:r>
      <w:r>
        <w:rPr>
          <w:rFonts w:ascii="Times New Roman" w:hint="eastAsia"/>
          <w:szCs w:val="24"/>
        </w:rPr>
        <w:t>，</w:t>
      </w:r>
      <w:r>
        <w:rPr>
          <w:rFonts w:ascii="Times New Roman"/>
          <w:szCs w:val="24"/>
        </w:rPr>
        <w:t>扬尘控制措施有效</w:t>
      </w:r>
      <w:r>
        <w:rPr>
          <w:rFonts w:ascii="Times New Roman" w:hint="eastAsia"/>
          <w:szCs w:val="24"/>
        </w:rPr>
        <w:t>，</w:t>
      </w:r>
      <w:r>
        <w:rPr>
          <w:rFonts w:ascii="Times New Roman"/>
          <w:szCs w:val="24"/>
        </w:rPr>
        <w:t>矿区开发所产生的扬尘能够被有效地控制，扬尘对环境的影响甚微。</w:t>
      </w:r>
    </w:p>
    <w:p w14:paraId="69379029" w14:textId="77777777" w:rsidR="009C353B" w:rsidRDefault="00000000">
      <w:pPr>
        <w:keepNext/>
        <w:keepLines/>
        <w:snapToGrid w:val="0"/>
        <w:spacing w:before="260" w:after="260" w:line="440" w:lineRule="exact"/>
        <w:outlineLvl w:val="1"/>
        <w:rPr>
          <w:rFonts w:ascii="Times New Roman" w:hAnsi="Times New Roman"/>
          <w:b/>
          <w:sz w:val="28"/>
        </w:rPr>
      </w:pPr>
      <w:bookmarkStart w:id="266" w:name="_Toc59189850"/>
      <w:r>
        <w:rPr>
          <w:rFonts w:ascii="Times New Roman" w:hAnsi="Times New Roman"/>
          <w:b/>
          <w:sz w:val="28"/>
        </w:rPr>
        <w:t xml:space="preserve">6.5 </w:t>
      </w:r>
      <w:r>
        <w:rPr>
          <w:rFonts w:ascii="Times New Roman" w:hAnsi="Times New Roman"/>
          <w:b/>
          <w:sz w:val="28"/>
        </w:rPr>
        <w:t>声环境影响评价</w:t>
      </w:r>
      <w:bookmarkEnd w:id="264"/>
      <w:bookmarkEnd w:id="265"/>
      <w:bookmarkEnd w:id="266"/>
    </w:p>
    <w:p w14:paraId="13A27194" w14:textId="77777777" w:rsidR="009C353B" w:rsidRDefault="00000000">
      <w:pPr>
        <w:keepNext/>
        <w:keepLines/>
        <w:spacing w:before="120" w:after="120" w:line="440" w:lineRule="exact"/>
        <w:outlineLvl w:val="2"/>
        <w:rPr>
          <w:rFonts w:ascii="Times New Roman" w:hAnsi="Times New Roman"/>
          <w:b/>
        </w:rPr>
      </w:pPr>
      <w:bookmarkStart w:id="267" w:name="_Toc163441010"/>
      <w:r>
        <w:rPr>
          <w:rFonts w:ascii="Times New Roman" w:hAnsi="Times New Roman"/>
          <w:b/>
        </w:rPr>
        <w:t xml:space="preserve">6.5.1 </w:t>
      </w:r>
      <w:r>
        <w:rPr>
          <w:rFonts w:ascii="Times New Roman" w:hAnsi="Times New Roman"/>
          <w:b/>
        </w:rPr>
        <w:t>运输线路声环境影响分析</w:t>
      </w:r>
    </w:p>
    <w:p w14:paraId="59EBF7D5" w14:textId="77777777" w:rsidR="009C353B" w:rsidRDefault="00000000">
      <w:pPr>
        <w:adjustRightInd w:val="0"/>
        <w:snapToGrid w:val="0"/>
        <w:spacing w:line="440" w:lineRule="exact"/>
        <w:ind w:firstLine="480"/>
        <w:rPr>
          <w:rFonts w:ascii="Times New Roman" w:hAnsi="Times New Roman"/>
          <w:kern w:val="0"/>
        </w:rPr>
      </w:pPr>
      <w:r>
        <w:rPr>
          <w:rFonts w:ascii="Times New Roman" w:hAnsi="Times New Roman"/>
          <w:kern w:val="0"/>
        </w:rPr>
        <w:t>（</w:t>
      </w:r>
      <w:r>
        <w:rPr>
          <w:rFonts w:ascii="Times New Roman" w:hAnsi="Times New Roman"/>
          <w:kern w:val="0"/>
        </w:rPr>
        <w:t>1</w:t>
      </w:r>
      <w:r>
        <w:rPr>
          <w:rFonts w:ascii="Times New Roman" w:hAnsi="Times New Roman"/>
          <w:kern w:val="0"/>
        </w:rPr>
        <w:t>）公路运输</w:t>
      </w:r>
    </w:p>
    <w:p w14:paraId="4C8F81A4" w14:textId="77777777" w:rsidR="009C353B" w:rsidRDefault="00000000">
      <w:pPr>
        <w:adjustRightInd w:val="0"/>
        <w:snapToGrid w:val="0"/>
        <w:spacing w:line="440" w:lineRule="exact"/>
        <w:ind w:firstLine="492"/>
        <w:rPr>
          <w:rFonts w:ascii="Times New Roman" w:hAnsi="Times New Roman"/>
          <w:spacing w:val="3"/>
          <w:kern w:val="0"/>
        </w:rPr>
      </w:pPr>
      <w:r>
        <w:rPr>
          <w:rFonts w:ascii="Times New Roman" w:hAnsi="Times New Roman"/>
          <w:spacing w:val="3"/>
          <w:kern w:val="0"/>
        </w:rPr>
        <w:t>公路运输噪声与运输设备、道路路面路况、载重量大小、运行速度等因素有关。一般情况下，运输车辆状况不佳、道路路面不良、超载、运行速度高、爬坡时的噪声较大，影响范围也较大。根据</w:t>
      </w:r>
      <w:r>
        <w:rPr>
          <w:rFonts w:ascii="Times New Roman" w:hAnsi="Times New Roman" w:hint="eastAsia"/>
          <w:spacing w:val="3"/>
          <w:kern w:val="0"/>
        </w:rPr>
        <w:t>国内</w:t>
      </w:r>
      <w:r>
        <w:rPr>
          <w:rFonts w:ascii="Times New Roman" w:hAnsi="Times New Roman"/>
          <w:spacing w:val="3"/>
          <w:kern w:val="0"/>
        </w:rPr>
        <w:t>现有矿井煤炭运输道路类比，矿区公路运输一般影响距离在</w:t>
      </w:r>
      <w:r>
        <w:rPr>
          <w:rFonts w:ascii="Times New Roman" w:hAnsi="Times New Roman"/>
          <w:spacing w:val="3"/>
          <w:kern w:val="0"/>
        </w:rPr>
        <w:t>200m</w:t>
      </w:r>
      <w:r>
        <w:rPr>
          <w:rFonts w:ascii="Times New Roman" w:hAnsi="Times New Roman"/>
          <w:spacing w:val="3"/>
          <w:kern w:val="0"/>
        </w:rPr>
        <w:t>以内。规划区人口</w:t>
      </w:r>
      <w:r>
        <w:rPr>
          <w:rFonts w:ascii="Times New Roman" w:hAnsi="Times New Roman" w:hint="eastAsia"/>
          <w:spacing w:val="3"/>
          <w:kern w:val="0"/>
        </w:rPr>
        <w:t>稀少</w:t>
      </w:r>
      <w:r>
        <w:rPr>
          <w:rFonts w:ascii="Times New Roman" w:hAnsi="Times New Roman"/>
          <w:spacing w:val="3"/>
          <w:kern w:val="0"/>
        </w:rPr>
        <w:t>，本区处于宁东基地和园区</w:t>
      </w:r>
      <w:r>
        <w:rPr>
          <w:rFonts w:ascii="Times New Roman" w:hAnsi="Times New Roman" w:hint="eastAsia"/>
          <w:spacing w:val="3"/>
          <w:kern w:val="0"/>
        </w:rPr>
        <w:t>，规划丁家梁进场公路两侧</w:t>
      </w:r>
      <w:r>
        <w:rPr>
          <w:rFonts w:ascii="Times New Roman" w:hAnsi="Times New Roman" w:hint="eastAsia"/>
          <w:spacing w:val="3"/>
          <w:kern w:val="0"/>
        </w:rPr>
        <w:t>200m</w:t>
      </w:r>
      <w:r>
        <w:rPr>
          <w:rFonts w:ascii="Times New Roman" w:hAnsi="Times New Roman" w:hint="eastAsia"/>
          <w:spacing w:val="3"/>
          <w:kern w:val="0"/>
        </w:rPr>
        <w:t>范围内没有声敏感点，不会产生噪声扰民现象。为防止噪声污染，评价提出在</w:t>
      </w:r>
      <w:r>
        <w:rPr>
          <w:rFonts w:ascii="Times New Roman" w:hAnsi="Times New Roman"/>
          <w:spacing w:val="3"/>
          <w:kern w:val="0"/>
        </w:rPr>
        <w:t>规划方案实施</w:t>
      </w:r>
      <w:r>
        <w:rPr>
          <w:rFonts w:ascii="Times New Roman" w:hAnsi="Times New Roman" w:hint="eastAsia"/>
          <w:spacing w:val="3"/>
          <w:kern w:val="0"/>
        </w:rPr>
        <w:t>过程中</w:t>
      </w:r>
      <w:r>
        <w:rPr>
          <w:rFonts w:ascii="Times New Roman" w:hAnsi="Times New Roman"/>
          <w:spacing w:val="3"/>
          <w:kern w:val="0"/>
        </w:rPr>
        <w:t>应</w:t>
      </w:r>
      <w:r>
        <w:rPr>
          <w:rFonts w:ascii="Times New Roman" w:hAnsi="Times New Roman" w:hint="eastAsia"/>
          <w:spacing w:val="3"/>
          <w:kern w:val="0"/>
        </w:rPr>
        <w:t>首先按照“</w:t>
      </w:r>
      <w:r>
        <w:rPr>
          <w:rFonts w:ascii="Times New Roman" w:hAnsi="Times New Roman"/>
          <w:spacing w:val="3"/>
          <w:kern w:val="0"/>
        </w:rPr>
        <w:t>避让为主、防治为辅</w:t>
      </w:r>
      <w:r>
        <w:rPr>
          <w:rFonts w:ascii="Times New Roman" w:hAnsi="Times New Roman" w:hint="eastAsia"/>
          <w:spacing w:val="3"/>
          <w:kern w:val="0"/>
        </w:rPr>
        <w:t>”的原则进行规划设计</w:t>
      </w:r>
      <w:r>
        <w:rPr>
          <w:rFonts w:ascii="Times New Roman" w:hAnsi="Times New Roman"/>
          <w:spacing w:val="3"/>
          <w:kern w:val="0"/>
        </w:rPr>
        <w:t>，</w:t>
      </w:r>
      <w:r>
        <w:rPr>
          <w:rFonts w:ascii="Times New Roman" w:hAnsi="Times New Roman"/>
          <w:kern w:val="0"/>
        </w:rPr>
        <w:t>将道路两侧</w:t>
      </w:r>
      <w:r>
        <w:rPr>
          <w:rFonts w:ascii="Times New Roman" w:hAnsi="Times New Roman"/>
          <w:kern w:val="0"/>
        </w:rPr>
        <w:t>200m</w:t>
      </w:r>
      <w:r>
        <w:rPr>
          <w:rFonts w:ascii="Times New Roman" w:hAnsi="Times New Roman"/>
          <w:kern w:val="0"/>
        </w:rPr>
        <w:t>作为道路卫生防护距离。同时在运输</w:t>
      </w:r>
      <w:r>
        <w:rPr>
          <w:rFonts w:ascii="Times New Roman" w:hAnsi="Times New Roman" w:hint="eastAsia"/>
          <w:kern w:val="0"/>
        </w:rPr>
        <w:t>过程</w:t>
      </w:r>
      <w:r>
        <w:rPr>
          <w:rFonts w:ascii="Times New Roman" w:hAnsi="Times New Roman"/>
          <w:kern w:val="0"/>
        </w:rPr>
        <w:t>中要</w:t>
      </w:r>
      <w:r>
        <w:rPr>
          <w:rFonts w:ascii="Times New Roman" w:hAnsi="Times New Roman" w:hint="eastAsia"/>
          <w:spacing w:val="3"/>
          <w:kern w:val="0"/>
        </w:rPr>
        <w:t>避免“</w:t>
      </w:r>
      <w:r>
        <w:rPr>
          <w:rFonts w:ascii="Times New Roman" w:hAnsi="Times New Roman"/>
          <w:spacing w:val="3"/>
          <w:kern w:val="0"/>
        </w:rPr>
        <w:t>超载</w:t>
      </w:r>
      <w:r>
        <w:rPr>
          <w:rFonts w:ascii="Times New Roman" w:hAnsi="Times New Roman" w:hint="eastAsia"/>
          <w:spacing w:val="3"/>
          <w:kern w:val="0"/>
        </w:rPr>
        <w:t>”</w:t>
      </w:r>
      <w:r>
        <w:rPr>
          <w:rFonts w:ascii="Times New Roman" w:hAnsi="Times New Roman"/>
          <w:spacing w:val="3"/>
          <w:kern w:val="0"/>
        </w:rPr>
        <w:t>、维护道路路面</w:t>
      </w:r>
      <w:r>
        <w:rPr>
          <w:rFonts w:ascii="Times New Roman" w:hAnsi="Times New Roman" w:hint="eastAsia"/>
          <w:spacing w:val="3"/>
          <w:kern w:val="0"/>
        </w:rPr>
        <w:t>完好</w:t>
      </w:r>
      <w:r>
        <w:rPr>
          <w:rFonts w:ascii="Times New Roman" w:hAnsi="Times New Roman"/>
          <w:spacing w:val="3"/>
          <w:kern w:val="0"/>
        </w:rPr>
        <w:t>等都是降低公路运输噪声的有效措施</w:t>
      </w:r>
      <w:r>
        <w:rPr>
          <w:rFonts w:ascii="Times New Roman" w:hAnsi="Times New Roman" w:hint="eastAsia"/>
          <w:spacing w:val="3"/>
          <w:kern w:val="0"/>
        </w:rPr>
        <w:t>，</w:t>
      </w:r>
      <w:r>
        <w:rPr>
          <w:rFonts w:ascii="Times New Roman" w:hAnsi="Times New Roman"/>
          <w:spacing w:val="3"/>
          <w:kern w:val="0"/>
        </w:rPr>
        <w:t>预测采取以上措施后可有效</w:t>
      </w:r>
      <w:r>
        <w:rPr>
          <w:rFonts w:ascii="Times New Roman" w:hAnsi="Times New Roman"/>
          <w:kern w:val="0"/>
        </w:rPr>
        <w:t>避免</w:t>
      </w:r>
      <w:r>
        <w:rPr>
          <w:rFonts w:ascii="Times New Roman" w:hAnsi="Times New Roman" w:hint="eastAsia"/>
          <w:kern w:val="0"/>
        </w:rPr>
        <w:t>噪声</w:t>
      </w:r>
      <w:r>
        <w:rPr>
          <w:rFonts w:ascii="Times New Roman" w:hAnsi="Times New Roman"/>
          <w:kern w:val="0"/>
        </w:rPr>
        <w:t>污染事件的发生。</w:t>
      </w:r>
    </w:p>
    <w:p w14:paraId="386D538F" w14:textId="77777777" w:rsidR="009C353B" w:rsidRDefault="00000000">
      <w:pPr>
        <w:adjustRightInd w:val="0"/>
        <w:snapToGrid w:val="0"/>
        <w:spacing w:line="440" w:lineRule="exact"/>
        <w:ind w:firstLine="480"/>
        <w:rPr>
          <w:rFonts w:ascii="Times New Roman" w:hAnsi="Times New Roman"/>
          <w:kern w:val="0"/>
        </w:rPr>
      </w:pPr>
      <w:r>
        <w:rPr>
          <w:rFonts w:ascii="Times New Roman" w:hAnsi="Times New Roman"/>
          <w:kern w:val="0"/>
        </w:rPr>
        <w:t>（</w:t>
      </w:r>
      <w:r>
        <w:rPr>
          <w:rFonts w:ascii="Times New Roman" w:hAnsi="Times New Roman"/>
          <w:kern w:val="0"/>
        </w:rPr>
        <w:t>2</w:t>
      </w:r>
      <w:r>
        <w:rPr>
          <w:rFonts w:ascii="Times New Roman" w:hAnsi="Times New Roman"/>
          <w:kern w:val="0"/>
        </w:rPr>
        <w:t>）铁路</w:t>
      </w:r>
    </w:p>
    <w:p w14:paraId="552B6CC4" w14:textId="77777777" w:rsidR="009C353B" w:rsidRDefault="00000000">
      <w:pPr>
        <w:adjustRightInd w:val="0"/>
        <w:snapToGrid w:val="0"/>
        <w:spacing w:line="440" w:lineRule="exact"/>
        <w:ind w:firstLine="492"/>
        <w:rPr>
          <w:rFonts w:ascii="Times New Roman" w:hAnsi="Times New Roman"/>
        </w:rPr>
      </w:pPr>
      <w:r>
        <w:rPr>
          <w:rFonts w:ascii="Times New Roman" w:hAnsi="Times New Roman"/>
        </w:rPr>
        <w:t>矿区</w:t>
      </w:r>
      <w:r>
        <w:rPr>
          <w:rFonts w:ascii="Times New Roman" w:hAnsi="Times New Roman" w:hint="eastAsia"/>
        </w:rPr>
        <w:t>已有铁路可满足煤炭运输需求，不再新规划铁路</w:t>
      </w:r>
      <w:r>
        <w:rPr>
          <w:rFonts w:ascii="Times New Roman" w:hAnsi="Times New Roman"/>
        </w:rPr>
        <w:t>。</w:t>
      </w:r>
    </w:p>
    <w:p w14:paraId="7DF8708B" w14:textId="77777777" w:rsidR="009C353B" w:rsidRDefault="00000000">
      <w:pPr>
        <w:keepNext/>
        <w:keepLines/>
        <w:spacing w:before="120" w:after="120" w:line="440" w:lineRule="exact"/>
        <w:outlineLvl w:val="2"/>
        <w:rPr>
          <w:rFonts w:ascii="Times New Roman" w:hAnsi="Times New Roman"/>
          <w:b/>
        </w:rPr>
      </w:pPr>
      <w:r>
        <w:rPr>
          <w:rFonts w:ascii="Times New Roman" w:hAnsi="Times New Roman"/>
          <w:b/>
        </w:rPr>
        <w:t xml:space="preserve">6.5.2 </w:t>
      </w:r>
      <w:r>
        <w:rPr>
          <w:rFonts w:ascii="Times New Roman" w:hAnsi="Times New Roman"/>
          <w:b/>
        </w:rPr>
        <w:t>工业场地声环境影响分析</w:t>
      </w:r>
    </w:p>
    <w:p w14:paraId="3F02806E" w14:textId="77777777" w:rsidR="009C353B" w:rsidRDefault="00000000">
      <w:pPr>
        <w:adjustRightInd w:val="0"/>
        <w:snapToGrid w:val="0"/>
        <w:spacing w:line="440" w:lineRule="exact"/>
        <w:ind w:firstLine="482"/>
        <w:rPr>
          <w:rFonts w:ascii="Times New Roman" w:hAnsi="Times New Roman"/>
          <w:kern w:val="0"/>
        </w:rPr>
      </w:pPr>
      <w:r>
        <w:rPr>
          <w:rFonts w:ascii="Times New Roman" w:hAnsi="Times New Roman"/>
          <w:kern w:val="0"/>
        </w:rPr>
        <w:t>工业场地机械设备噪声是规划实施对声环境产生影响的主要因素之一。</w:t>
      </w:r>
      <w:r>
        <w:rPr>
          <w:rFonts w:ascii="Times New Roman" w:hAnsi="Times New Roman"/>
        </w:rPr>
        <w:t>其</w:t>
      </w:r>
      <w:r>
        <w:rPr>
          <w:rFonts w:ascii="Times New Roman" w:hAnsi="Times New Roman"/>
          <w:kern w:val="0"/>
        </w:rPr>
        <w:t>主要声源强一般在</w:t>
      </w:r>
      <w:r>
        <w:rPr>
          <w:rFonts w:ascii="Times New Roman" w:hAnsi="Times New Roman"/>
          <w:kern w:val="0"/>
        </w:rPr>
        <w:t>70~100 dB(A)</w:t>
      </w:r>
      <w:r>
        <w:rPr>
          <w:rFonts w:ascii="Times New Roman" w:hAnsi="Times New Roman"/>
          <w:kern w:val="0"/>
        </w:rPr>
        <w:t>之间，其对声环境的影响也仅局限在场地周围一定范围内。本次规划</w:t>
      </w:r>
      <w:r>
        <w:rPr>
          <w:rFonts w:ascii="Times New Roman" w:hAnsi="Times New Roman" w:hint="eastAsia"/>
          <w:kern w:val="0"/>
        </w:rPr>
        <w:t>各矿已生产多年，丁家梁煤矿基本已建成，</w:t>
      </w:r>
      <w:r>
        <w:rPr>
          <w:rFonts w:ascii="Times New Roman" w:hAnsi="Times New Roman"/>
          <w:kern w:val="0"/>
        </w:rPr>
        <w:t>对工业场地机械设备噪声</w:t>
      </w:r>
      <w:r>
        <w:rPr>
          <w:rFonts w:ascii="Times New Roman" w:hAnsi="Times New Roman" w:hint="eastAsia"/>
          <w:kern w:val="0"/>
        </w:rPr>
        <w:t>已采取</w:t>
      </w:r>
      <w:r>
        <w:rPr>
          <w:rFonts w:ascii="Times New Roman" w:hAnsi="Times New Roman"/>
          <w:kern w:val="0"/>
        </w:rPr>
        <w:t>选取低噪设备、设备减</w:t>
      </w:r>
      <w:r>
        <w:rPr>
          <w:rFonts w:ascii="Times New Roman" w:hAnsi="Times New Roman" w:hint="eastAsia"/>
          <w:kern w:val="0"/>
        </w:rPr>
        <w:t>振</w:t>
      </w:r>
      <w:r>
        <w:rPr>
          <w:rFonts w:ascii="Times New Roman" w:hAnsi="Times New Roman"/>
          <w:kern w:val="0"/>
        </w:rPr>
        <w:t>、隔声、消声、吸声等措施处理</w:t>
      </w:r>
      <w:r>
        <w:rPr>
          <w:rFonts w:ascii="Times New Roman" w:hAnsi="Times New Roman" w:hint="eastAsia"/>
          <w:kern w:val="0"/>
        </w:rPr>
        <w:t>。根据本次</w:t>
      </w:r>
      <w:r>
        <w:rPr>
          <w:rFonts w:ascii="Times New Roman" w:hAnsi="Times New Roman"/>
          <w:kern w:val="0"/>
        </w:rPr>
        <w:t>评价对矿区</w:t>
      </w:r>
      <w:r>
        <w:rPr>
          <w:rFonts w:ascii="Times New Roman" w:hAnsi="Times New Roman" w:hint="eastAsia"/>
          <w:kern w:val="0"/>
        </w:rPr>
        <w:t>工业场地等</w:t>
      </w:r>
      <w:r>
        <w:rPr>
          <w:rFonts w:ascii="Times New Roman" w:hAnsi="Times New Roman"/>
          <w:kern w:val="0"/>
        </w:rPr>
        <w:t>的噪声监测数据，</w:t>
      </w:r>
      <w:r>
        <w:rPr>
          <w:rFonts w:ascii="Times New Roman" w:hAnsi="Times New Roman" w:hint="eastAsia"/>
          <w:kern w:val="0"/>
        </w:rPr>
        <w:t>任家庄工业场地</w:t>
      </w:r>
      <w:r>
        <w:rPr>
          <w:rFonts w:ascii="Times New Roman" w:hAnsi="Times New Roman"/>
          <w:kern w:val="0"/>
        </w:rPr>
        <w:t>、</w:t>
      </w:r>
      <w:r>
        <w:rPr>
          <w:rFonts w:ascii="Times New Roman" w:hAnsi="Times New Roman" w:hint="eastAsia"/>
          <w:kern w:val="0"/>
        </w:rPr>
        <w:t>丁家梁</w:t>
      </w:r>
      <w:r>
        <w:rPr>
          <w:rFonts w:ascii="Times New Roman" w:hAnsi="Times New Roman"/>
          <w:kern w:val="0"/>
        </w:rPr>
        <w:t>矿井工业场地厂界噪声均达到《工业企业厂界环境噪声排放标准》中</w:t>
      </w:r>
      <w:r>
        <w:rPr>
          <w:rFonts w:ascii="Times New Roman" w:hAnsi="Times New Roman"/>
          <w:kern w:val="0"/>
        </w:rPr>
        <w:t>3</w:t>
      </w:r>
      <w:r>
        <w:rPr>
          <w:rFonts w:ascii="Times New Roman" w:hAnsi="Times New Roman"/>
          <w:kern w:val="0"/>
        </w:rPr>
        <w:t>类标准（昼间</w:t>
      </w:r>
      <w:r>
        <w:rPr>
          <w:rFonts w:ascii="Times New Roman" w:hAnsi="Times New Roman"/>
          <w:kern w:val="0"/>
        </w:rPr>
        <w:t>65dB(A)</w:t>
      </w:r>
      <w:r>
        <w:rPr>
          <w:rFonts w:ascii="Times New Roman" w:hAnsi="Times New Roman"/>
          <w:kern w:val="0"/>
        </w:rPr>
        <w:t>，夜间</w:t>
      </w:r>
      <w:r>
        <w:rPr>
          <w:rFonts w:ascii="Times New Roman" w:hAnsi="Times New Roman"/>
          <w:kern w:val="0"/>
        </w:rPr>
        <w:t>55 dB</w:t>
      </w:r>
      <w:r>
        <w:rPr>
          <w:rFonts w:ascii="Times New Roman" w:hAnsi="Times New Roman"/>
          <w:kern w:val="0"/>
        </w:rPr>
        <w:t>（</w:t>
      </w:r>
      <w:r>
        <w:rPr>
          <w:rFonts w:ascii="Times New Roman" w:hAnsi="Times New Roman"/>
          <w:kern w:val="0"/>
        </w:rPr>
        <w:t>A</w:t>
      </w:r>
      <w:r>
        <w:rPr>
          <w:rFonts w:ascii="Times New Roman" w:hAnsi="Times New Roman"/>
          <w:kern w:val="0"/>
        </w:rPr>
        <w:t>）</w:t>
      </w:r>
      <w:r>
        <w:rPr>
          <w:rFonts w:ascii="Times New Roman" w:hAnsi="Times New Roman" w:hint="eastAsia"/>
          <w:kern w:val="0"/>
        </w:rPr>
        <w:t>）</w:t>
      </w:r>
      <w:r>
        <w:rPr>
          <w:rFonts w:ascii="Times New Roman" w:hAnsi="Times New Roman"/>
          <w:kern w:val="0"/>
        </w:rPr>
        <w:t>。</w:t>
      </w:r>
      <w:r>
        <w:rPr>
          <w:rFonts w:ascii="Times New Roman" w:hAnsi="Times New Roman" w:hint="eastAsia"/>
          <w:kern w:val="0"/>
        </w:rPr>
        <w:t>另外，矿区各矿工业场地及进场道路周边</w:t>
      </w:r>
      <w:r>
        <w:rPr>
          <w:rFonts w:ascii="Times New Roman" w:hAnsi="Times New Roman" w:hint="eastAsia"/>
          <w:kern w:val="0"/>
        </w:rPr>
        <w:t>200m</w:t>
      </w:r>
      <w:r>
        <w:rPr>
          <w:rFonts w:ascii="Times New Roman" w:hAnsi="Times New Roman" w:hint="eastAsia"/>
          <w:kern w:val="0"/>
        </w:rPr>
        <w:t>范围内没有村庄等声环境敏感点，不会产生扰民现象。</w:t>
      </w:r>
    </w:p>
    <w:p w14:paraId="5E05C038" w14:textId="77777777" w:rsidR="009C353B" w:rsidRDefault="00000000">
      <w:pPr>
        <w:pStyle w:val="2"/>
        <w:snapToGrid w:val="0"/>
        <w:spacing w:before="320" w:after="240" w:line="440" w:lineRule="atLeast"/>
        <w:rPr>
          <w:rFonts w:ascii="Times New Roman" w:eastAsia="宋体" w:hAnsi="Times New Roman"/>
          <w:b/>
          <w:sz w:val="28"/>
        </w:rPr>
      </w:pPr>
      <w:bookmarkStart w:id="268" w:name="_Toc163441014"/>
      <w:bookmarkStart w:id="269" w:name="_Toc59189851"/>
      <w:bookmarkEnd w:id="267"/>
      <w:r>
        <w:rPr>
          <w:rFonts w:ascii="Times New Roman" w:eastAsia="宋体" w:hAnsi="Times New Roman" w:hint="eastAsia"/>
          <w:b/>
          <w:sz w:val="28"/>
        </w:rPr>
        <w:t>6</w:t>
      </w:r>
      <w:r>
        <w:rPr>
          <w:rFonts w:ascii="Times New Roman" w:eastAsia="宋体" w:hAnsi="Times New Roman"/>
          <w:b/>
          <w:sz w:val="28"/>
        </w:rPr>
        <w:t xml:space="preserve">.6 </w:t>
      </w:r>
      <w:r>
        <w:rPr>
          <w:rFonts w:ascii="Times New Roman" w:eastAsia="宋体" w:hAnsi="Times New Roman"/>
          <w:b/>
          <w:sz w:val="28"/>
        </w:rPr>
        <w:t>固体废物环境影响分析与评价</w:t>
      </w:r>
      <w:bookmarkEnd w:id="268"/>
      <w:bookmarkEnd w:id="269"/>
    </w:p>
    <w:p w14:paraId="1DAC106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从规划层次来考虑，规划环评主要从宏观角度分析矿区固体废物处置方案合理性，提出固废处置的优化建议。本报告将首先分析固体废物产生量和分类，然后分析矿区处置方案的合理性，并在此基础上提出矿区固废处置优化建议。</w:t>
      </w:r>
    </w:p>
    <w:p w14:paraId="6CFDA351"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6</w:t>
      </w:r>
      <w:r>
        <w:rPr>
          <w:rFonts w:ascii="Times New Roman" w:hAnsi="Times New Roman"/>
          <w:sz w:val="24"/>
        </w:rPr>
        <w:t xml:space="preserve">.6.1 </w:t>
      </w:r>
      <w:r>
        <w:rPr>
          <w:rFonts w:ascii="Times New Roman" w:hAnsi="Times New Roman"/>
          <w:sz w:val="24"/>
        </w:rPr>
        <w:t>固体废物产生量估算</w:t>
      </w:r>
    </w:p>
    <w:p w14:paraId="596F5635"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）建设期固体废物</w:t>
      </w:r>
    </w:p>
    <w:p w14:paraId="1F4B0BC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矿区建设期固体废物主要来自井筒开凿、巷道掘进排放的岩石及煤矸石和地面建构物施工过程排弃的土石渣，另外还有少量的生活垃圾。</w:t>
      </w:r>
      <w:r>
        <w:rPr>
          <w:rFonts w:ascii="Times New Roman" w:hAnsi="Times New Roman" w:hint="eastAsia"/>
        </w:rPr>
        <w:t>本矿区中，马莲台矿井、</w:t>
      </w:r>
      <w:r>
        <w:rPr>
          <w:rFonts w:ascii="Times New Roman" w:hAnsi="Times New Roman"/>
        </w:rPr>
        <w:t>红石湾矿井、任家庄</w:t>
      </w:r>
      <w:r>
        <w:rPr>
          <w:rFonts w:ascii="Times New Roman" w:hAnsi="Times New Roman" w:hint="eastAsia"/>
        </w:rPr>
        <w:t>矿井为生产矿井，</w:t>
      </w:r>
      <w:r>
        <w:rPr>
          <w:rFonts w:ascii="Times New Roman" w:hAnsi="Times New Roman"/>
        </w:rPr>
        <w:t>丁家梁矿井</w:t>
      </w:r>
      <w:r>
        <w:rPr>
          <w:rFonts w:ascii="Times New Roman" w:hAnsi="Times New Roman" w:hint="eastAsia"/>
        </w:rPr>
        <w:t>为在建矿井，且</w:t>
      </w:r>
      <w:r>
        <w:rPr>
          <w:rFonts w:ascii="Times New Roman" w:hAnsi="Times New Roman"/>
        </w:rPr>
        <w:t>井巷工程已基本完成建设，因此产生的掘进矸石量很少</w:t>
      </w:r>
      <w:r>
        <w:rPr>
          <w:rFonts w:ascii="Times New Roman" w:hAnsi="Times New Roman" w:hint="eastAsia"/>
        </w:rPr>
        <w:t>。</w:t>
      </w:r>
    </w:p>
    <w:p w14:paraId="1D102ABD"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）运行期固体废物</w:t>
      </w:r>
    </w:p>
    <w:p w14:paraId="10444CC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w:t>
      </w:r>
      <w:r>
        <w:rPr>
          <w:rFonts w:ascii="Times New Roman" w:hAnsi="Times New Roman" w:hint="eastAsia"/>
        </w:rPr>
        <w:t>运行期</w:t>
      </w:r>
      <w:r>
        <w:rPr>
          <w:rFonts w:ascii="Times New Roman" w:hAnsi="Times New Roman"/>
        </w:rPr>
        <w:t>固体废物来源主要为</w:t>
      </w:r>
      <w:r>
        <w:rPr>
          <w:rFonts w:ascii="Times New Roman" w:hAnsi="Times New Roman" w:hint="eastAsia"/>
        </w:rPr>
        <w:t>矿井</w:t>
      </w:r>
      <w:r>
        <w:rPr>
          <w:rFonts w:ascii="Times New Roman" w:hAnsi="Times New Roman"/>
        </w:rPr>
        <w:t>掘进矸石、选煤厂洗选矸石、生活垃圾</w:t>
      </w:r>
      <w:r>
        <w:rPr>
          <w:rFonts w:ascii="Times New Roman" w:hAnsi="Times New Roman" w:hint="eastAsia"/>
        </w:rPr>
        <w:t>以及水处理站有机污泥、危险废物</w:t>
      </w:r>
      <w:r>
        <w:rPr>
          <w:rFonts w:ascii="Times New Roman" w:hAnsi="Times New Roman"/>
        </w:rPr>
        <w:t>。矿区</w:t>
      </w:r>
      <w:r>
        <w:rPr>
          <w:rFonts w:ascii="Times New Roman" w:hAnsi="Times New Roman" w:hint="eastAsia"/>
        </w:rPr>
        <w:t>达产时</w:t>
      </w:r>
      <w:r>
        <w:rPr>
          <w:rFonts w:ascii="Times New Roman" w:hAnsi="Times New Roman"/>
        </w:rPr>
        <w:t>固体废物产生量见表</w:t>
      </w:r>
      <w:r>
        <w:rPr>
          <w:rFonts w:ascii="Times New Roman" w:hAnsi="Times New Roman" w:hint="eastAsia"/>
        </w:rPr>
        <w:t>6</w:t>
      </w:r>
      <w:r>
        <w:rPr>
          <w:rFonts w:ascii="Times New Roman" w:hAnsi="Times New Roman"/>
        </w:rPr>
        <w:t>.6-1</w:t>
      </w:r>
    </w:p>
    <w:p w14:paraId="2742705F" w14:textId="77777777" w:rsidR="009C353B" w:rsidRDefault="00000000">
      <w:pPr>
        <w:adjustRightInd w:val="0"/>
        <w:snapToGrid w:val="0"/>
        <w:spacing w:line="440" w:lineRule="exact"/>
        <w:jc w:val="center"/>
        <w:rPr>
          <w:rFonts w:ascii="Times New Roman" w:hAnsi="Times New Roman"/>
        </w:rPr>
      </w:pPr>
      <w:r>
        <w:rPr>
          <w:rFonts w:ascii="Times New Roman" w:hAnsi="Times New Roman"/>
        </w:rPr>
        <w:t>矿区规划</w:t>
      </w:r>
      <w:r>
        <w:rPr>
          <w:rFonts w:ascii="Times New Roman" w:hAnsi="Times New Roman" w:hint="eastAsia"/>
        </w:rPr>
        <w:t>达产</w:t>
      </w:r>
      <w:r>
        <w:rPr>
          <w:rFonts w:ascii="Times New Roman" w:hAnsi="Times New Roman"/>
        </w:rPr>
        <w:t>时固体废物</w:t>
      </w:r>
      <w:r>
        <w:rPr>
          <w:rFonts w:ascii="Times New Roman" w:hAnsi="Times New Roman" w:hint="eastAsia"/>
        </w:rPr>
        <w:t>产生量</w:t>
      </w:r>
      <w:r>
        <w:rPr>
          <w:rFonts w:ascii="Times New Roman" w:hAnsi="Times New Roman"/>
        </w:rPr>
        <w:t>一览表</w:t>
      </w:r>
    </w:p>
    <w:p w14:paraId="3ADDAC93" w14:textId="77777777" w:rsidR="009C353B" w:rsidRDefault="00000000">
      <w:pPr>
        <w:pStyle w:val="affffd"/>
        <w:spacing w:line="440" w:lineRule="exact"/>
        <w:ind w:firstLineChars="50" w:firstLine="120"/>
        <w:rPr>
          <w:rFonts w:ascii="Times New Roman" w:hAnsi="Times New Roman"/>
        </w:rPr>
      </w:pPr>
      <w:r>
        <w:rPr>
          <w:rFonts w:ascii="Times New Roman" w:hAnsi="Times New Roman"/>
        </w:rPr>
        <w:t>表</w:t>
      </w:r>
      <w:r>
        <w:rPr>
          <w:rFonts w:ascii="Times New Roman" w:hAnsi="Times New Roman" w:hint="eastAsia"/>
        </w:rPr>
        <w:t>6</w:t>
      </w:r>
      <w:r>
        <w:rPr>
          <w:rFonts w:ascii="Times New Roman" w:hAnsi="Times New Roman"/>
        </w:rPr>
        <w:t>.6-1</w:t>
      </w:r>
    </w:p>
    <w:tbl>
      <w:tblPr>
        <w:tblW w:w="89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1104"/>
        <w:gridCol w:w="1580"/>
        <w:gridCol w:w="1984"/>
        <w:gridCol w:w="4274"/>
      </w:tblGrid>
      <w:tr w:rsidR="009C353B" w14:paraId="6A500D3D" w14:textId="77777777">
        <w:trPr>
          <w:trHeight w:val="340"/>
          <w:tblHeader/>
          <w:jc w:val="center"/>
        </w:trPr>
        <w:tc>
          <w:tcPr>
            <w:tcW w:w="2684" w:type="dxa"/>
            <w:gridSpan w:val="2"/>
            <w:tcMar>
              <w:top w:w="20" w:type="dxa"/>
              <w:left w:w="20" w:type="dxa"/>
              <w:bottom w:w="0" w:type="dxa"/>
              <w:right w:w="20" w:type="dxa"/>
            </w:tcMar>
            <w:vAlign w:val="center"/>
          </w:tcPr>
          <w:p w14:paraId="653268D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污染物</w:t>
            </w:r>
          </w:p>
        </w:tc>
        <w:tc>
          <w:tcPr>
            <w:tcW w:w="1984" w:type="dxa"/>
            <w:tcMar>
              <w:top w:w="20" w:type="dxa"/>
              <w:left w:w="20" w:type="dxa"/>
              <w:bottom w:w="0" w:type="dxa"/>
              <w:right w:w="20" w:type="dxa"/>
            </w:tcMar>
            <w:vAlign w:val="center"/>
          </w:tcPr>
          <w:p w14:paraId="59ED712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产生量</w:t>
            </w:r>
          </w:p>
        </w:tc>
        <w:tc>
          <w:tcPr>
            <w:tcW w:w="4274" w:type="dxa"/>
            <w:tcMar>
              <w:top w:w="20" w:type="dxa"/>
              <w:left w:w="20" w:type="dxa"/>
              <w:bottom w:w="0" w:type="dxa"/>
              <w:right w:w="20" w:type="dxa"/>
            </w:tcMar>
            <w:vAlign w:val="center"/>
          </w:tcPr>
          <w:p w14:paraId="051AA59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备</w:t>
            </w:r>
            <w:r>
              <w:rPr>
                <w:rFonts w:ascii="Times New Roman" w:hAnsi="Times New Roman"/>
                <w:sz w:val="21"/>
                <w:szCs w:val="21"/>
              </w:rPr>
              <w:t xml:space="preserve">     </w:t>
            </w:r>
            <w:r>
              <w:rPr>
                <w:rFonts w:ascii="Times New Roman" w:hAnsi="Times New Roman"/>
                <w:sz w:val="21"/>
                <w:szCs w:val="21"/>
              </w:rPr>
              <w:t>注</w:t>
            </w:r>
          </w:p>
        </w:tc>
      </w:tr>
      <w:tr w:rsidR="009C353B" w14:paraId="735179A3" w14:textId="77777777">
        <w:trPr>
          <w:trHeight w:val="340"/>
          <w:tblHeader/>
          <w:jc w:val="center"/>
        </w:trPr>
        <w:tc>
          <w:tcPr>
            <w:tcW w:w="1104" w:type="dxa"/>
            <w:vMerge w:val="restart"/>
            <w:tcMar>
              <w:top w:w="20" w:type="dxa"/>
              <w:left w:w="20" w:type="dxa"/>
              <w:bottom w:w="0" w:type="dxa"/>
              <w:right w:w="20" w:type="dxa"/>
            </w:tcMar>
            <w:vAlign w:val="center"/>
          </w:tcPr>
          <w:p w14:paraId="1C18C683" w14:textId="77777777" w:rsidR="009C353B" w:rsidRDefault="00000000">
            <w:pPr>
              <w:pStyle w:val="afffff7"/>
              <w:snapToGrid w:val="0"/>
              <w:spacing w:line="240" w:lineRule="atLeast"/>
              <w:jc w:val="center"/>
              <w:rPr>
                <w:rFonts w:ascii="Times New Roman" w:hAnsi="Times New Roman"/>
                <w:szCs w:val="21"/>
              </w:rPr>
            </w:pPr>
            <w:r>
              <w:rPr>
                <w:rFonts w:ascii="Times New Roman" w:hAnsi="Times New Roman"/>
                <w:szCs w:val="21"/>
              </w:rPr>
              <w:t>矸石</w:t>
            </w:r>
          </w:p>
          <w:p w14:paraId="7D8451E6" w14:textId="77777777" w:rsidR="009C353B" w:rsidRDefault="00000000">
            <w:pPr>
              <w:pStyle w:val="afffff7"/>
              <w:snapToGrid w:val="0"/>
              <w:spacing w:line="240" w:lineRule="atLeast"/>
              <w:jc w:val="center"/>
              <w:rPr>
                <w:rFonts w:ascii="Times New Roman" w:hAnsi="Times New Roman"/>
                <w:szCs w:val="21"/>
              </w:rPr>
            </w:pPr>
            <w:r>
              <w:rPr>
                <w:rFonts w:ascii="Times New Roman" w:hAnsi="Times New Roman"/>
                <w:szCs w:val="21"/>
              </w:rPr>
              <w:t>（万</w:t>
            </w:r>
            <w:r>
              <w:rPr>
                <w:rFonts w:ascii="Times New Roman" w:hAnsi="Times New Roman"/>
                <w:szCs w:val="21"/>
              </w:rPr>
              <w:t>t/a</w:t>
            </w:r>
            <w:r>
              <w:rPr>
                <w:rFonts w:ascii="Times New Roman" w:hAnsi="Times New Roman"/>
                <w:szCs w:val="21"/>
              </w:rPr>
              <w:t>）</w:t>
            </w:r>
          </w:p>
        </w:tc>
        <w:tc>
          <w:tcPr>
            <w:tcW w:w="1580" w:type="dxa"/>
            <w:tcMar>
              <w:top w:w="20" w:type="dxa"/>
              <w:left w:w="20" w:type="dxa"/>
              <w:bottom w:w="0" w:type="dxa"/>
              <w:right w:w="20" w:type="dxa"/>
            </w:tcMar>
            <w:vAlign w:val="center"/>
          </w:tcPr>
          <w:p w14:paraId="5846DB3D" w14:textId="77777777" w:rsidR="009C353B" w:rsidRDefault="00000000">
            <w:pPr>
              <w:pStyle w:val="afffff7"/>
              <w:snapToGrid w:val="0"/>
              <w:spacing w:line="240" w:lineRule="atLeast"/>
              <w:jc w:val="center"/>
              <w:rPr>
                <w:rFonts w:ascii="Times New Roman" w:hAnsi="Times New Roman"/>
                <w:szCs w:val="21"/>
              </w:rPr>
            </w:pPr>
            <w:r>
              <w:rPr>
                <w:rFonts w:ascii="Times New Roman" w:hAnsi="Times New Roman" w:hint="eastAsia"/>
                <w:szCs w:val="21"/>
              </w:rPr>
              <w:t>掘进矸</w:t>
            </w:r>
          </w:p>
        </w:tc>
        <w:tc>
          <w:tcPr>
            <w:tcW w:w="1984" w:type="dxa"/>
            <w:tcMar>
              <w:top w:w="20" w:type="dxa"/>
              <w:left w:w="20" w:type="dxa"/>
              <w:bottom w:w="0" w:type="dxa"/>
              <w:right w:w="20" w:type="dxa"/>
            </w:tcMar>
          </w:tcPr>
          <w:p w14:paraId="3155A89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24</w:t>
            </w:r>
          </w:p>
        </w:tc>
        <w:tc>
          <w:tcPr>
            <w:tcW w:w="4274" w:type="dxa"/>
            <w:tcMar>
              <w:top w:w="20" w:type="dxa"/>
              <w:left w:w="20" w:type="dxa"/>
              <w:bottom w:w="0" w:type="dxa"/>
              <w:right w:w="20" w:type="dxa"/>
            </w:tcMar>
            <w:vAlign w:val="center"/>
          </w:tcPr>
          <w:p w14:paraId="3E30DB15" w14:textId="77777777" w:rsidR="009C353B" w:rsidRDefault="00000000">
            <w:pPr>
              <w:pStyle w:val="afffff7"/>
              <w:snapToGrid w:val="0"/>
              <w:spacing w:line="240" w:lineRule="atLeast"/>
              <w:rPr>
                <w:rFonts w:ascii="Times New Roman" w:hAnsi="Times New Roman"/>
                <w:kern w:val="0"/>
                <w:szCs w:val="21"/>
              </w:rPr>
            </w:pPr>
            <w:r>
              <w:rPr>
                <w:rFonts w:ascii="Times New Roman" w:hAnsi="Times New Roman"/>
                <w:kern w:val="0"/>
                <w:szCs w:val="21"/>
              </w:rPr>
              <w:t>来源于矿井</w:t>
            </w:r>
            <w:r>
              <w:rPr>
                <w:rFonts w:ascii="Times New Roman" w:hAnsi="Times New Roman" w:hint="eastAsia"/>
                <w:kern w:val="0"/>
                <w:szCs w:val="21"/>
              </w:rPr>
              <w:t>开采</w:t>
            </w:r>
            <w:r>
              <w:rPr>
                <w:rFonts w:ascii="Times New Roman" w:hAnsi="Times New Roman"/>
                <w:kern w:val="0"/>
                <w:szCs w:val="21"/>
              </w:rPr>
              <w:t>掘进矸石</w:t>
            </w:r>
          </w:p>
        </w:tc>
      </w:tr>
      <w:tr w:rsidR="009C353B" w14:paraId="330611DA" w14:textId="77777777">
        <w:trPr>
          <w:trHeight w:val="340"/>
          <w:tblHeader/>
          <w:jc w:val="center"/>
        </w:trPr>
        <w:tc>
          <w:tcPr>
            <w:tcW w:w="1104" w:type="dxa"/>
            <w:vMerge/>
            <w:tcMar>
              <w:top w:w="20" w:type="dxa"/>
              <w:left w:w="20" w:type="dxa"/>
              <w:bottom w:w="0" w:type="dxa"/>
              <w:right w:w="20" w:type="dxa"/>
            </w:tcMar>
            <w:vAlign w:val="center"/>
          </w:tcPr>
          <w:p w14:paraId="17B44739" w14:textId="77777777" w:rsidR="009C353B" w:rsidRDefault="009C353B">
            <w:pPr>
              <w:pStyle w:val="afffff7"/>
              <w:snapToGrid w:val="0"/>
              <w:spacing w:line="240" w:lineRule="atLeast"/>
              <w:jc w:val="center"/>
              <w:rPr>
                <w:rFonts w:ascii="Times New Roman" w:hAnsi="Times New Roman"/>
                <w:szCs w:val="21"/>
              </w:rPr>
            </w:pPr>
          </w:p>
        </w:tc>
        <w:tc>
          <w:tcPr>
            <w:tcW w:w="1580" w:type="dxa"/>
            <w:tcMar>
              <w:top w:w="20" w:type="dxa"/>
              <w:left w:w="20" w:type="dxa"/>
              <w:bottom w:w="0" w:type="dxa"/>
              <w:right w:w="20" w:type="dxa"/>
            </w:tcMar>
            <w:vAlign w:val="center"/>
          </w:tcPr>
          <w:p w14:paraId="7A1D037C" w14:textId="77777777" w:rsidR="009C353B" w:rsidRDefault="00000000">
            <w:pPr>
              <w:pStyle w:val="afffff7"/>
              <w:snapToGrid w:val="0"/>
              <w:spacing w:line="240" w:lineRule="atLeast"/>
              <w:jc w:val="center"/>
              <w:rPr>
                <w:rFonts w:ascii="Times New Roman" w:hAnsi="Times New Roman"/>
                <w:szCs w:val="21"/>
              </w:rPr>
            </w:pPr>
            <w:r>
              <w:rPr>
                <w:rFonts w:ascii="Times New Roman" w:hAnsi="Times New Roman" w:hint="eastAsia"/>
                <w:szCs w:val="21"/>
              </w:rPr>
              <w:t>洗选矸</w:t>
            </w:r>
          </w:p>
        </w:tc>
        <w:tc>
          <w:tcPr>
            <w:tcW w:w="1984" w:type="dxa"/>
            <w:tcMar>
              <w:top w:w="20" w:type="dxa"/>
              <w:left w:w="20" w:type="dxa"/>
              <w:bottom w:w="0" w:type="dxa"/>
              <w:right w:w="20" w:type="dxa"/>
            </w:tcMar>
          </w:tcPr>
          <w:p w14:paraId="461BAB93" w14:textId="77777777" w:rsidR="009C353B" w:rsidRDefault="00000000">
            <w:pPr>
              <w:pStyle w:val="afffff7"/>
              <w:jc w:val="center"/>
              <w:rPr>
                <w:rFonts w:ascii="Times New Roman" w:hAnsi="Times New Roman"/>
                <w:szCs w:val="21"/>
              </w:rPr>
            </w:pPr>
            <w:r>
              <w:rPr>
                <w:rFonts w:ascii="Times New Roman" w:hAnsi="Times New Roman" w:hint="eastAsia"/>
                <w:szCs w:val="21"/>
              </w:rPr>
              <w:t>495</w:t>
            </w:r>
          </w:p>
        </w:tc>
        <w:tc>
          <w:tcPr>
            <w:tcW w:w="4274" w:type="dxa"/>
            <w:tcMar>
              <w:top w:w="20" w:type="dxa"/>
              <w:left w:w="20" w:type="dxa"/>
              <w:bottom w:w="0" w:type="dxa"/>
              <w:right w:w="20" w:type="dxa"/>
            </w:tcMar>
            <w:vAlign w:val="center"/>
          </w:tcPr>
          <w:p w14:paraId="2E92063D" w14:textId="77777777" w:rsidR="009C353B" w:rsidRDefault="00000000">
            <w:pPr>
              <w:pStyle w:val="afffff7"/>
              <w:snapToGrid w:val="0"/>
              <w:spacing w:line="240" w:lineRule="atLeast"/>
              <w:rPr>
                <w:rFonts w:ascii="Times New Roman" w:hAnsi="Times New Roman"/>
                <w:szCs w:val="21"/>
              </w:rPr>
            </w:pPr>
            <w:r>
              <w:rPr>
                <w:rFonts w:ascii="Times New Roman" w:hAnsi="Times New Roman" w:hint="eastAsia"/>
                <w:szCs w:val="21"/>
              </w:rPr>
              <w:t>来源</w:t>
            </w:r>
            <w:r>
              <w:rPr>
                <w:rFonts w:ascii="Times New Roman" w:hAnsi="Times New Roman"/>
                <w:szCs w:val="21"/>
              </w:rPr>
              <w:t>于选煤厂洗洗矸石</w:t>
            </w:r>
          </w:p>
        </w:tc>
      </w:tr>
      <w:tr w:rsidR="009C353B" w14:paraId="3ACC9EFE" w14:textId="77777777">
        <w:trPr>
          <w:trHeight w:val="340"/>
          <w:tblHeader/>
          <w:jc w:val="center"/>
        </w:trPr>
        <w:tc>
          <w:tcPr>
            <w:tcW w:w="2684" w:type="dxa"/>
            <w:gridSpan w:val="2"/>
            <w:tcMar>
              <w:top w:w="20" w:type="dxa"/>
              <w:left w:w="20" w:type="dxa"/>
              <w:bottom w:w="0" w:type="dxa"/>
              <w:right w:w="20" w:type="dxa"/>
            </w:tcMar>
            <w:vAlign w:val="center"/>
          </w:tcPr>
          <w:p w14:paraId="0AE79ACF" w14:textId="77777777" w:rsidR="009C353B" w:rsidRDefault="00000000">
            <w:pPr>
              <w:pStyle w:val="afffff7"/>
              <w:snapToGrid w:val="0"/>
              <w:spacing w:line="240" w:lineRule="atLeast"/>
              <w:ind w:leftChars="25" w:left="60" w:rightChars="25" w:right="60"/>
              <w:jc w:val="center"/>
              <w:rPr>
                <w:rFonts w:ascii="Times New Roman" w:hAnsi="Times New Roman"/>
                <w:szCs w:val="21"/>
              </w:rPr>
            </w:pPr>
            <w:r>
              <w:rPr>
                <w:rFonts w:ascii="Times New Roman" w:hAnsi="Times New Roman"/>
                <w:szCs w:val="21"/>
              </w:rPr>
              <w:t>生活垃圾（</w:t>
            </w:r>
            <w:r>
              <w:rPr>
                <w:rFonts w:ascii="Times New Roman" w:hAnsi="Times New Roman"/>
                <w:szCs w:val="21"/>
              </w:rPr>
              <w:t>t/a</w:t>
            </w:r>
            <w:r>
              <w:rPr>
                <w:rFonts w:ascii="Times New Roman" w:hAnsi="Times New Roman"/>
                <w:szCs w:val="21"/>
              </w:rPr>
              <w:t>）</w:t>
            </w:r>
          </w:p>
        </w:tc>
        <w:tc>
          <w:tcPr>
            <w:tcW w:w="1984" w:type="dxa"/>
            <w:tcMar>
              <w:top w:w="20" w:type="dxa"/>
              <w:left w:w="20" w:type="dxa"/>
              <w:bottom w:w="0" w:type="dxa"/>
              <w:right w:w="20" w:type="dxa"/>
            </w:tcMar>
            <w:vAlign w:val="center"/>
          </w:tcPr>
          <w:p w14:paraId="722ABD0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1500.2</w:t>
            </w:r>
          </w:p>
        </w:tc>
        <w:tc>
          <w:tcPr>
            <w:tcW w:w="4274" w:type="dxa"/>
            <w:tcMar>
              <w:top w:w="20" w:type="dxa"/>
              <w:left w:w="20" w:type="dxa"/>
              <w:bottom w:w="0" w:type="dxa"/>
              <w:right w:w="20" w:type="dxa"/>
            </w:tcMar>
            <w:vAlign w:val="center"/>
          </w:tcPr>
          <w:p w14:paraId="6CA2C0D5"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矿区</w:t>
            </w:r>
            <w:r>
              <w:rPr>
                <w:rFonts w:ascii="Times New Roman" w:hAnsi="Times New Roman"/>
                <w:sz w:val="21"/>
                <w:szCs w:val="21"/>
              </w:rPr>
              <w:t>人口按整个矿区劳动定员</w:t>
            </w:r>
            <w:r>
              <w:rPr>
                <w:rFonts w:ascii="Times New Roman" w:hAnsi="Times New Roman" w:hint="eastAsia"/>
                <w:sz w:val="21"/>
                <w:szCs w:val="21"/>
              </w:rPr>
              <w:t xml:space="preserve"> </w:t>
            </w:r>
            <w:r>
              <w:rPr>
                <w:rFonts w:ascii="Times New Roman" w:hAnsi="Times New Roman"/>
                <w:sz w:val="21"/>
                <w:szCs w:val="21"/>
              </w:rPr>
              <w:t>，并考虑家属</w:t>
            </w:r>
            <w:r>
              <w:rPr>
                <w:rFonts w:ascii="Times New Roman" w:hAnsi="Times New Roman" w:hint="eastAsia"/>
                <w:sz w:val="21"/>
                <w:szCs w:val="21"/>
              </w:rPr>
              <w:t xml:space="preserve">                    </w:t>
            </w:r>
          </w:p>
        </w:tc>
      </w:tr>
      <w:tr w:rsidR="009C353B" w14:paraId="5954508D" w14:textId="77777777">
        <w:trPr>
          <w:trHeight w:val="340"/>
          <w:tblHeader/>
          <w:jc w:val="center"/>
        </w:trPr>
        <w:tc>
          <w:tcPr>
            <w:tcW w:w="2684" w:type="dxa"/>
            <w:gridSpan w:val="2"/>
            <w:tcMar>
              <w:top w:w="20" w:type="dxa"/>
              <w:left w:w="20" w:type="dxa"/>
              <w:bottom w:w="0" w:type="dxa"/>
              <w:right w:w="20" w:type="dxa"/>
            </w:tcMar>
            <w:vAlign w:val="center"/>
          </w:tcPr>
          <w:p w14:paraId="56FC5A9A" w14:textId="77777777" w:rsidR="009C353B" w:rsidRDefault="00000000">
            <w:pPr>
              <w:pStyle w:val="afffff7"/>
              <w:snapToGrid w:val="0"/>
              <w:spacing w:line="240" w:lineRule="atLeast"/>
              <w:ind w:leftChars="25" w:left="60" w:rightChars="25" w:right="60"/>
              <w:jc w:val="center"/>
              <w:rPr>
                <w:rFonts w:ascii="Times New Roman" w:hAnsi="Times New Roman"/>
                <w:szCs w:val="21"/>
              </w:rPr>
            </w:pPr>
            <w:r>
              <w:rPr>
                <w:rFonts w:ascii="Times New Roman" w:hAnsi="Times New Roman"/>
                <w:szCs w:val="21"/>
              </w:rPr>
              <w:t>水处理站有机污泥（</w:t>
            </w:r>
            <w:r>
              <w:rPr>
                <w:rFonts w:ascii="Times New Roman" w:hAnsi="Times New Roman"/>
                <w:szCs w:val="21"/>
              </w:rPr>
              <w:t>t/a</w:t>
            </w:r>
            <w:r>
              <w:rPr>
                <w:rFonts w:ascii="Times New Roman" w:hAnsi="Times New Roman"/>
                <w:szCs w:val="21"/>
              </w:rPr>
              <w:t>）</w:t>
            </w:r>
          </w:p>
        </w:tc>
        <w:tc>
          <w:tcPr>
            <w:tcW w:w="1984" w:type="dxa"/>
            <w:tcMar>
              <w:top w:w="20" w:type="dxa"/>
              <w:left w:w="20" w:type="dxa"/>
              <w:bottom w:w="0" w:type="dxa"/>
              <w:right w:w="20" w:type="dxa"/>
            </w:tcMar>
            <w:vAlign w:val="center"/>
          </w:tcPr>
          <w:p w14:paraId="2A2CA81A"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330</w:t>
            </w:r>
          </w:p>
        </w:tc>
        <w:tc>
          <w:tcPr>
            <w:tcW w:w="4274" w:type="dxa"/>
            <w:tcMar>
              <w:top w:w="20" w:type="dxa"/>
              <w:left w:w="20" w:type="dxa"/>
              <w:bottom w:w="0" w:type="dxa"/>
              <w:right w:w="20" w:type="dxa"/>
            </w:tcMar>
            <w:vAlign w:val="center"/>
          </w:tcPr>
          <w:p w14:paraId="0E39C55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kern w:val="0"/>
                <w:sz w:val="21"/>
                <w:szCs w:val="21"/>
              </w:rPr>
              <w:t>污泥来源于生活污水处理站</w:t>
            </w:r>
          </w:p>
        </w:tc>
      </w:tr>
      <w:tr w:rsidR="009C353B" w14:paraId="196E4406" w14:textId="77777777">
        <w:trPr>
          <w:trHeight w:val="340"/>
          <w:tblHeader/>
          <w:jc w:val="center"/>
        </w:trPr>
        <w:tc>
          <w:tcPr>
            <w:tcW w:w="2684" w:type="dxa"/>
            <w:gridSpan w:val="2"/>
            <w:tcMar>
              <w:top w:w="20" w:type="dxa"/>
              <w:left w:w="20" w:type="dxa"/>
              <w:bottom w:w="0" w:type="dxa"/>
              <w:right w:w="20" w:type="dxa"/>
            </w:tcMar>
            <w:vAlign w:val="center"/>
          </w:tcPr>
          <w:p w14:paraId="12A32909" w14:textId="77777777" w:rsidR="009C353B" w:rsidRDefault="00000000">
            <w:pPr>
              <w:pStyle w:val="afffff7"/>
              <w:snapToGrid w:val="0"/>
              <w:spacing w:line="240" w:lineRule="atLeast"/>
              <w:ind w:leftChars="25" w:left="60" w:rightChars="25" w:right="60"/>
              <w:jc w:val="center"/>
              <w:rPr>
                <w:rFonts w:ascii="Times New Roman" w:hAnsi="Times New Roman"/>
                <w:szCs w:val="21"/>
              </w:rPr>
            </w:pPr>
            <w:r>
              <w:rPr>
                <w:rFonts w:ascii="Times New Roman" w:hAnsi="Times New Roman" w:hint="eastAsia"/>
                <w:szCs w:val="21"/>
              </w:rPr>
              <w:t>危废（矿物油）（</w:t>
            </w:r>
            <w:r>
              <w:rPr>
                <w:rFonts w:ascii="Times New Roman" w:hAnsi="Times New Roman"/>
                <w:szCs w:val="21"/>
              </w:rPr>
              <w:t>t/a</w:t>
            </w:r>
            <w:r>
              <w:rPr>
                <w:rFonts w:ascii="Times New Roman" w:hAnsi="Times New Roman"/>
                <w:szCs w:val="21"/>
              </w:rPr>
              <w:t>）</w:t>
            </w:r>
          </w:p>
        </w:tc>
        <w:tc>
          <w:tcPr>
            <w:tcW w:w="1984" w:type="dxa"/>
            <w:tcMar>
              <w:top w:w="20" w:type="dxa"/>
              <w:left w:w="20" w:type="dxa"/>
              <w:bottom w:w="0" w:type="dxa"/>
              <w:right w:w="20" w:type="dxa"/>
            </w:tcMar>
            <w:vAlign w:val="center"/>
          </w:tcPr>
          <w:p w14:paraId="186A02C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22.97</w:t>
            </w:r>
          </w:p>
        </w:tc>
        <w:tc>
          <w:tcPr>
            <w:tcW w:w="4274" w:type="dxa"/>
            <w:vMerge w:val="restart"/>
            <w:tcMar>
              <w:top w:w="20" w:type="dxa"/>
              <w:left w:w="20" w:type="dxa"/>
              <w:bottom w:w="0" w:type="dxa"/>
              <w:right w:w="20" w:type="dxa"/>
            </w:tcMar>
            <w:vAlign w:val="center"/>
          </w:tcPr>
          <w:p w14:paraId="35F880B4" w14:textId="77777777" w:rsidR="009C353B" w:rsidRDefault="00000000">
            <w:pPr>
              <w:adjustRightInd w:val="0"/>
              <w:snapToGrid w:val="0"/>
              <w:spacing w:line="240" w:lineRule="atLeast"/>
              <w:rPr>
                <w:rFonts w:ascii="Times New Roman" w:hAnsi="Times New Roman"/>
                <w:kern w:val="0"/>
                <w:sz w:val="21"/>
                <w:szCs w:val="21"/>
              </w:rPr>
            </w:pPr>
            <w:r>
              <w:rPr>
                <w:rFonts w:ascii="Times New Roman" w:hAnsi="Times New Roman" w:hint="eastAsia"/>
                <w:sz w:val="21"/>
                <w:szCs w:val="21"/>
              </w:rPr>
              <w:t>来源于红石湾和任家庄煤矿，马莲台煤矿设备修理等均依托临和工业园区，基本无废机油产生</w:t>
            </w:r>
          </w:p>
        </w:tc>
      </w:tr>
      <w:tr w:rsidR="009C353B" w14:paraId="123836F6" w14:textId="77777777">
        <w:trPr>
          <w:trHeight w:val="340"/>
          <w:tblHeader/>
          <w:jc w:val="center"/>
        </w:trPr>
        <w:tc>
          <w:tcPr>
            <w:tcW w:w="2684" w:type="dxa"/>
            <w:gridSpan w:val="2"/>
            <w:tcMar>
              <w:top w:w="20" w:type="dxa"/>
              <w:left w:w="20" w:type="dxa"/>
              <w:bottom w:w="0" w:type="dxa"/>
              <w:right w:w="20" w:type="dxa"/>
            </w:tcMar>
            <w:vAlign w:val="center"/>
          </w:tcPr>
          <w:p w14:paraId="36344A5C" w14:textId="77777777" w:rsidR="009C353B" w:rsidRDefault="00000000">
            <w:pPr>
              <w:pStyle w:val="afffff7"/>
              <w:snapToGrid w:val="0"/>
              <w:spacing w:line="240" w:lineRule="atLeast"/>
              <w:ind w:leftChars="25" w:left="60" w:rightChars="25" w:right="60"/>
              <w:jc w:val="center"/>
              <w:rPr>
                <w:rFonts w:ascii="Times New Roman" w:hAnsi="Times New Roman"/>
                <w:szCs w:val="21"/>
              </w:rPr>
            </w:pPr>
            <w:r>
              <w:rPr>
                <w:rFonts w:ascii="Times New Roman" w:hAnsi="Times New Roman" w:hint="eastAsia"/>
                <w:szCs w:val="21"/>
              </w:rPr>
              <w:t>危废（废油桶）</w:t>
            </w:r>
          </w:p>
        </w:tc>
        <w:tc>
          <w:tcPr>
            <w:tcW w:w="1984" w:type="dxa"/>
            <w:tcMar>
              <w:top w:w="20" w:type="dxa"/>
              <w:left w:w="20" w:type="dxa"/>
              <w:bottom w:w="0" w:type="dxa"/>
              <w:right w:w="20" w:type="dxa"/>
            </w:tcMar>
            <w:vAlign w:val="center"/>
          </w:tcPr>
          <w:p w14:paraId="0F157D6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少量</w:t>
            </w:r>
          </w:p>
        </w:tc>
        <w:tc>
          <w:tcPr>
            <w:tcW w:w="4274" w:type="dxa"/>
            <w:vMerge/>
            <w:tcMar>
              <w:top w:w="20" w:type="dxa"/>
              <w:left w:w="20" w:type="dxa"/>
              <w:bottom w:w="0" w:type="dxa"/>
              <w:right w:w="20" w:type="dxa"/>
            </w:tcMar>
            <w:vAlign w:val="center"/>
          </w:tcPr>
          <w:p w14:paraId="46785A97" w14:textId="77777777" w:rsidR="009C353B" w:rsidRDefault="009C353B">
            <w:pPr>
              <w:adjustRightInd w:val="0"/>
              <w:snapToGrid w:val="0"/>
              <w:spacing w:line="240" w:lineRule="atLeast"/>
              <w:rPr>
                <w:rFonts w:ascii="Times New Roman" w:hAnsi="Times New Roman"/>
                <w:sz w:val="21"/>
                <w:szCs w:val="21"/>
              </w:rPr>
            </w:pPr>
          </w:p>
        </w:tc>
      </w:tr>
    </w:tbl>
    <w:p w14:paraId="11A1489F" w14:textId="77777777" w:rsidR="009C353B" w:rsidRDefault="009C353B">
      <w:pPr>
        <w:adjustRightInd w:val="0"/>
        <w:snapToGrid w:val="0"/>
        <w:spacing w:line="440" w:lineRule="exact"/>
        <w:ind w:firstLineChars="200" w:firstLine="480"/>
        <w:rPr>
          <w:rFonts w:ascii="Times New Roman" w:hAnsi="Times New Roman"/>
        </w:rPr>
      </w:pPr>
    </w:p>
    <w:p w14:paraId="736BB9A6" w14:textId="77777777" w:rsidR="009C353B" w:rsidRDefault="00000000">
      <w:pPr>
        <w:pStyle w:val="3"/>
        <w:adjustRightInd w:val="0"/>
        <w:spacing w:before="0" w:after="0" w:line="440" w:lineRule="exact"/>
        <w:rPr>
          <w:rFonts w:ascii="Times New Roman" w:hAnsi="Times New Roman"/>
          <w:sz w:val="24"/>
        </w:rPr>
      </w:pPr>
      <w:r>
        <w:rPr>
          <w:rFonts w:ascii="Times New Roman" w:hAnsi="Times New Roman" w:hint="eastAsia"/>
          <w:sz w:val="24"/>
        </w:rPr>
        <w:t>6</w:t>
      </w:r>
      <w:r>
        <w:rPr>
          <w:rFonts w:ascii="Times New Roman" w:hAnsi="Times New Roman"/>
          <w:sz w:val="24"/>
        </w:rPr>
        <w:t xml:space="preserve">.6.2 </w:t>
      </w:r>
      <w:r>
        <w:rPr>
          <w:rFonts w:ascii="Times New Roman" w:hAnsi="Times New Roman"/>
          <w:sz w:val="24"/>
        </w:rPr>
        <w:t>固体废物性质</w:t>
      </w:r>
    </w:p>
    <w:p w14:paraId="06BE16DC" w14:textId="77777777" w:rsidR="009C353B" w:rsidRDefault="00000000">
      <w:pPr>
        <w:adjustRightInd w:val="0"/>
        <w:snapToGrid w:val="0"/>
        <w:spacing w:line="440" w:lineRule="exact"/>
        <w:ind w:firstLineChars="200" w:firstLine="482"/>
        <w:rPr>
          <w:rFonts w:hint="eastAsia"/>
          <w:b/>
          <w:bCs/>
        </w:rPr>
      </w:pPr>
      <w:r>
        <w:rPr>
          <w:rFonts w:hint="eastAsia"/>
          <w:b/>
          <w:bCs/>
        </w:rPr>
        <w:t>（1）</w:t>
      </w:r>
      <w:r>
        <w:rPr>
          <w:b/>
          <w:bCs/>
        </w:rPr>
        <w:t xml:space="preserve"> 矸石</w:t>
      </w:r>
    </w:p>
    <w:p w14:paraId="457FABA5" w14:textId="77777777" w:rsidR="009C353B" w:rsidRDefault="00000000">
      <w:pPr>
        <w:adjustRightInd w:val="0"/>
        <w:snapToGrid w:val="0"/>
        <w:spacing w:line="440" w:lineRule="exact"/>
        <w:ind w:firstLineChars="200" w:firstLine="480"/>
        <w:rPr>
          <w:rFonts w:hint="eastAsia"/>
        </w:rPr>
      </w:pPr>
      <w:r>
        <w:rPr>
          <w:rFonts w:hint="eastAsia"/>
        </w:rPr>
        <w:t>矿区矸石来源有两方面，一方面来自煤矿掘进过程产出的掘进矸，另一方面来自选煤厂洗选过程中产出的洗选矸，</w:t>
      </w:r>
      <w:r>
        <w:rPr>
          <w:rFonts w:ascii="Times New Roman" w:hAnsi="Times New Roman"/>
        </w:rPr>
        <w:t>以后者占绝大部分。</w:t>
      </w:r>
    </w:p>
    <w:p w14:paraId="4DE8BBD9" w14:textId="77777777" w:rsidR="009C353B" w:rsidRDefault="00000000">
      <w:pPr>
        <w:adjustRightInd w:val="0"/>
        <w:snapToGrid w:val="0"/>
        <w:spacing w:line="440" w:lineRule="exact"/>
        <w:ind w:firstLineChars="200" w:firstLine="480"/>
        <w:rPr>
          <w:rFonts w:ascii="Times New Roman" w:hAnsi="Times New Roman"/>
          <w:kern w:val="0"/>
        </w:rPr>
        <w:sectPr w:rsidR="009C353B">
          <w:headerReference w:type="default" r:id="rId447"/>
          <w:pgSz w:w="11907" w:h="16840"/>
          <w:pgMar w:top="1701" w:right="1418" w:bottom="1418" w:left="1418" w:header="1134" w:footer="851" w:gutter="0"/>
          <w:paperSrc w:first="7" w:other="7"/>
          <w:cols w:space="720"/>
          <w:docGrid w:linePitch="312"/>
        </w:sectPr>
      </w:pPr>
      <w:r>
        <w:rPr>
          <w:rFonts w:ascii="Times New Roman" w:hAnsi="Times New Roman" w:hint="eastAsia"/>
        </w:rPr>
        <w:t>横城矿区中，马莲台矿井、</w:t>
      </w:r>
      <w:r>
        <w:rPr>
          <w:rFonts w:ascii="Times New Roman" w:hAnsi="Times New Roman"/>
        </w:rPr>
        <w:t>红石湾矿井、任家庄</w:t>
      </w:r>
      <w:r>
        <w:rPr>
          <w:rFonts w:ascii="Times New Roman" w:hAnsi="Times New Roman" w:hint="eastAsia"/>
        </w:rPr>
        <w:t>矿井为现有生产矿井，</w:t>
      </w:r>
      <w:r>
        <w:rPr>
          <w:rFonts w:ascii="Times New Roman" w:hAnsi="Times New Roman"/>
        </w:rPr>
        <w:t>丁家梁矿井</w:t>
      </w:r>
      <w:r>
        <w:rPr>
          <w:rFonts w:ascii="Times New Roman" w:hAnsi="Times New Roman" w:hint="eastAsia"/>
        </w:rPr>
        <w:t>为在建矿井，</w:t>
      </w:r>
      <w:r>
        <w:rPr>
          <w:rFonts w:ascii="Times New Roman" w:hAnsi="Times New Roman"/>
        </w:rPr>
        <w:t>本次评价</w:t>
      </w:r>
      <w:r>
        <w:rPr>
          <w:rFonts w:ascii="Times New Roman" w:hAnsi="Times New Roman" w:hint="eastAsia"/>
        </w:rPr>
        <w:t>对矿区</w:t>
      </w:r>
      <w:r>
        <w:rPr>
          <w:rFonts w:ascii="Times New Roman" w:hAnsi="Times New Roman"/>
        </w:rPr>
        <w:t>内</w:t>
      </w:r>
      <w:r>
        <w:rPr>
          <w:rFonts w:ascii="Times New Roman" w:hAnsi="Times New Roman" w:hint="eastAsia"/>
        </w:rPr>
        <w:t>红石湾</w:t>
      </w:r>
      <w:r>
        <w:rPr>
          <w:rFonts w:ascii="Times New Roman" w:hAnsi="Times New Roman"/>
        </w:rPr>
        <w:t>矿井临时排矸场采样进行矸石</w:t>
      </w:r>
      <w:r>
        <w:rPr>
          <w:rFonts w:ascii="Times New Roman" w:hAnsi="Times New Roman" w:hint="eastAsia"/>
        </w:rPr>
        <w:t>浸出液毒性</w:t>
      </w:r>
      <w:r>
        <w:rPr>
          <w:rFonts w:ascii="Times New Roman" w:hAnsi="Times New Roman"/>
        </w:rPr>
        <w:t>分析</w:t>
      </w:r>
      <w:r>
        <w:rPr>
          <w:rFonts w:ascii="Times New Roman" w:hAnsi="Times New Roman" w:hint="eastAsia"/>
        </w:rPr>
        <w:t>，选取</w:t>
      </w:r>
      <w:r>
        <w:rPr>
          <w:rFonts w:hint="eastAsia"/>
        </w:rPr>
        <w:t>项目</w:t>
      </w:r>
      <w:r>
        <w:t>运行期间的</w:t>
      </w:r>
      <w:r>
        <w:rPr>
          <w:rFonts w:hint="eastAsia"/>
        </w:rPr>
        <w:t>选煤厂新鲜矸石样，连续监测2天，每天3个批量样，每班各1个，共6个批量样进行检测。</w:t>
      </w:r>
      <w:r>
        <w:rPr>
          <w:rFonts w:ascii="Times New Roman" w:hAnsi="Times New Roman" w:hint="eastAsia"/>
        </w:rPr>
        <w:t>监测单位为宁夏京诚检测技术有限公司，监测日期为</w:t>
      </w:r>
      <w:r>
        <w:rPr>
          <w:rFonts w:ascii="Times New Roman" w:hAnsi="Times New Roman" w:hint="eastAsia"/>
        </w:rPr>
        <w:t>20</w:t>
      </w:r>
      <w:r>
        <w:rPr>
          <w:rFonts w:ascii="Times New Roman" w:hAnsi="Times New Roman"/>
        </w:rPr>
        <w:t>20</w:t>
      </w:r>
      <w:r>
        <w:rPr>
          <w:rFonts w:ascii="Times New Roman" w:hAnsi="Times New Roman" w:hint="eastAsia"/>
        </w:rPr>
        <w:t>.</w:t>
      </w:r>
      <w:r>
        <w:rPr>
          <w:rFonts w:ascii="Times New Roman" w:hAnsi="Times New Roman"/>
        </w:rPr>
        <w:t>8</w:t>
      </w:r>
      <w:r>
        <w:rPr>
          <w:rFonts w:ascii="Times New Roman" w:hAnsi="Times New Roman" w:hint="eastAsia"/>
        </w:rPr>
        <w:t>.</w:t>
      </w:r>
      <w:r>
        <w:rPr>
          <w:rFonts w:ascii="Times New Roman" w:hAnsi="Times New Roman"/>
        </w:rPr>
        <w:t>7-2020.8.8</w:t>
      </w:r>
      <w:r>
        <w:rPr>
          <w:rFonts w:ascii="Times New Roman" w:hAnsi="Times New Roman"/>
        </w:rPr>
        <w:t>，结果见表</w:t>
      </w:r>
      <w:r>
        <w:rPr>
          <w:rFonts w:ascii="Times New Roman" w:hAnsi="Times New Roman"/>
        </w:rPr>
        <w:t>6.6-</w:t>
      </w:r>
      <w:r>
        <w:rPr>
          <w:rFonts w:ascii="Times New Roman" w:hAnsi="Times New Roman" w:hint="eastAsia"/>
        </w:rPr>
        <w:t>2</w:t>
      </w:r>
      <w:r>
        <w:rPr>
          <w:rFonts w:ascii="Times New Roman" w:hAnsi="Times New Roman"/>
        </w:rPr>
        <w:t>。</w:t>
      </w:r>
    </w:p>
    <w:p w14:paraId="747B44AD" w14:textId="77777777" w:rsidR="009C353B" w:rsidRDefault="00000000">
      <w:pPr>
        <w:pStyle w:val="affffff0"/>
        <w:adjustRightInd w:val="0"/>
        <w:spacing w:beforeLines="50" w:before="120" w:line="440" w:lineRule="exact"/>
        <w:jc w:val="center"/>
        <w:rPr>
          <w:rFonts w:ascii="Times New Roman" w:hAnsi="Times New Roman"/>
        </w:rPr>
      </w:pPr>
      <w:r>
        <w:rPr>
          <w:rFonts w:ascii="Times New Roman" w:hAnsi="Times New Roman"/>
        </w:rPr>
        <w:t>矿区内煤矸石浸溶试验结果</w:t>
      </w:r>
      <w:r>
        <w:rPr>
          <w:rFonts w:ascii="Times New Roman" w:hAnsi="Times New Roman" w:hint="eastAsia"/>
        </w:rPr>
        <w:t>表</w:t>
      </w:r>
    </w:p>
    <w:p w14:paraId="3806A0AD" w14:textId="77777777" w:rsidR="009C353B" w:rsidRDefault="00000000">
      <w:pPr>
        <w:pStyle w:val="affffd"/>
        <w:spacing w:line="440" w:lineRule="exact"/>
        <w:ind w:firstLineChars="50" w:firstLine="120"/>
        <w:rPr>
          <w:rFonts w:ascii="Times New Roman" w:hAnsi="Times New Roman"/>
          <w:sz w:val="21"/>
        </w:rPr>
      </w:pPr>
      <w:r>
        <w:rPr>
          <w:rFonts w:ascii="Times New Roman" w:hAnsi="Times New Roman"/>
        </w:rPr>
        <w:t>表</w:t>
      </w:r>
      <w:r>
        <w:rPr>
          <w:rFonts w:ascii="Times New Roman" w:hAnsi="Times New Roman"/>
        </w:rPr>
        <w:t>6.6-</w:t>
      </w:r>
      <w:r>
        <w:rPr>
          <w:rFonts w:ascii="Times New Roman" w:hAnsi="Times New Roman" w:hint="eastAsia"/>
        </w:rPr>
        <w:t>2</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sz w:val="21"/>
        </w:rPr>
        <w:t>单位：</w:t>
      </w:r>
      <w:r>
        <w:rPr>
          <w:rFonts w:ascii="Times New Roman" w:hAnsi="Times New Roman"/>
          <w:sz w:val="21"/>
        </w:rPr>
        <w:t>mg/L</w:t>
      </w:r>
      <w:r>
        <w:rPr>
          <w:rFonts w:ascii="Times New Roman" w:hAnsi="Times New Roman"/>
          <w:sz w:val="21"/>
        </w:rPr>
        <w:t>（</w:t>
      </w:r>
      <w:r>
        <w:rPr>
          <w:rFonts w:ascii="Times New Roman" w:hAnsi="Times New Roman"/>
          <w:sz w:val="21"/>
        </w:rPr>
        <w:t>pH</w:t>
      </w:r>
      <w:r>
        <w:rPr>
          <w:rFonts w:ascii="Times New Roman" w:hAnsi="Times New Roman"/>
          <w:sz w:val="21"/>
        </w:rPr>
        <w:t>外）</w:t>
      </w:r>
    </w:p>
    <w:tbl>
      <w:tblPr>
        <w:tblW w:w="13400"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8"/>
        <w:gridCol w:w="1416"/>
        <w:gridCol w:w="1464"/>
        <w:gridCol w:w="1524"/>
        <w:gridCol w:w="1425"/>
        <w:gridCol w:w="1500"/>
        <w:gridCol w:w="1403"/>
        <w:gridCol w:w="1602"/>
        <w:gridCol w:w="1458"/>
      </w:tblGrid>
      <w:tr w:rsidR="009C353B" w14:paraId="5D6CADE5" w14:textId="77777777">
        <w:trPr>
          <w:trHeight w:val="90"/>
        </w:trPr>
        <w:tc>
          <w:tcPr>
            <w:tcW w:w="1608" w:type="dxa"/>
            <w:vMerge w:val="restart"/>
            <w:shd w:val="clear" w:color="auto" w:fill="auto"/>
            <w:vAlign w:val="center"/>
          </w:tcPr>
          <w:p w14:paraId="714EE23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监测项目</w:t>
            </w:r>
          </w:p>
        </w:tc>
        <w:tc>
          <w:tcPr>
            <w:tcW w:w="8732" w:type="dxa"/>
            <w:gridSpan w:val="6"/>
            <w:shd w:val="clear" w:color="auto" w:fill="auto"/>
            <w:vAlign w:val="center"/>
          </w:tcPr>
          <w:p w14:paraId="7A48475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监测结果</w:t>
            </w:r>
          </w:p>
        </w:tc>
        <w:tc>
          <w:tcPr>
            <w:tcW w:w="1602" w:type="dxa"/>
            <w:vMerge w:val="restart"/>
            <w:shd w:val="clear" w:color="auto" w:fill="auto"/>
            <w:vAlign w:val="center"/>
          </w:tcPr>
          <w:p w14:paraId="41E6CBC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GB5083.3-2007</w:t>
            </w:r>
          </w:p>
        </w:tc>
        <w:tc>
          <w:tcPr>
            <w:tcW w:w="1458" w:type="dxa"/>
            <w:vMerge w:val="restart"/>
            <w:shd w:val="clear" w:color="auto" w:fill="auto"/>
            <w:vAlign w:val="center"/>
          </w:tcPr>
          <w:p w14:paraId="4E2430B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GB8978-1996</w:t>
            </w:r>
            <w:r>
              <w:rPr>
                <w:rFonts w:ascii="Times New Roman" w:eastAsiaTheme="minorEastAsia" w:hAnsi="Times New Roman"/>
                <w:kern w:val="0"/>
                <w:sz w:val="21"/>
                <w:szCs w:val="21"/>
              </w:rPr>
              <w:t>一级标准</w:t>
            </w:r>
          </w:p>
        </w:tc>
      </w:tr>
      <w:tr w:rsidR="009C353B" w14:paraId="4F39952C" w14:textId="77777777">
        <w:trPr>
          <w:trHeight w:val="90"/>
        </w:trPr>
        <w:tc>
          <w:tcPr>
            <w:tcW w:w="1608" w:type="dxa"/>
            <w:vMerge/>
            <w:shd w:val="clear" w:color="auto" w:fill="auto"/>
            <w:vAlign w:val="center"/>
          </w:tcPr>
          <w:p w14:paraId="2D5821DA" w14:textId="77777777" w:rsidR="009C353B" w:rsidRDefault="009C353B">
            <w:pPr>
              <w:widowControl/>
              <w:jc w:val="center"/>
              <w:rPr>
                <w:rFonts w:ascii="Times New Roman" w:eastAsiaTheme="minorEastAsia" w:hAnsi="Times New Roman"/>
                <w:kern w:val="0"/>
                <w:sz w:val="21"/>
                <w:szCs w:val="21"/>
              </w:rPr>
            </w:pPr>
          </w:p>
        </w:tc>
        <w:tc>
          <w:tcPr>
            <w:tcW w:w="4404" w:type="dxa"/>
            <w:gridSpan w:val="3"/>
            <w:shd w:val="clear" w:color="auto" w:fill="auto"/>
            <w:vAlign w:val="center"/>
          </w:tcPr>
          <w:p w14:paraId="2917851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2020.8.7</w:t>
            </w:r>
          </w:p>
        </w:tc>
        <w:tc>
          <w:tcPr>
            <w:tcW w:w="4328" w:type="dxa"/>
            <w:gridSpan w:val="3"/>
            <w:shd w:val="clear" w:color="auto" w:fill="auto"/>
            <w:vAlign w:val="center"/>
          </w:tcPr>
          <w:p w14:paraId="065A3FA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2020.8.8</w:t>
            </w:r>
          </w:p>
        </w:tc>
        <w:tc>
          <w:tcPr>
            <w:tcW w:w="1602" w:type="dxa"/>
            <w:vMerge/>
            <w:shd w:val="clear" w:color="auto" w:fill="auto"/>
            <w:vAlign w:val="center"/>
          </w:tcPr>
          <w:p w14:paraId="4F484075" w14:textId="77777777" w:rsidR="009C353B" w:rsidRDefault="009C353B">
            <w:pPr>
              <w:widowControl/>
              <w:jc w:val="center"/>
              <w:rPr>
                <w:rFonts w:ascii="Times New Roman" w:eastAsiaTheme="minorEastAsia" w:hAnsi="Times New Roman"/>
                <w:kern w:val="0"/>
                <w:sz w:val="21"/>
                <w:szCs w:val="21"/>
              </w:rPr>
            </w:pPr>
          </w:p>
        </w:tc>
        <w:tc>
          <w:tcPr>
            <w:tcW w:w="1458" w:type="dxa"/>
            <w:vMerge/>
            <w:shd w:val="clear" w:color="auto" w:fill="auto"/>
            <w:vAlign w:val="center"/>
          </w:tcPr>
          <w:p w14:paraId="21DDA617" w14:textId="77777777" w:rsidR="009C353B" w:rsidRDefault="009C353B">
            <w:pPr>
              <w:widowControl/>
              <w:jc w:val="center"/>
              <w:rPr>
                <w:rFonts w:ascii="Times New Roman" w:eastAsiaTheme="minorEastAsia" w:hAnsi="Times New Roman"/>
                <w:kern w:val="0"/>
                <w:sz w:val="21"/>
                <w:szCs w:val="21"/>
              </w:rPr>
            </w:pPr>
          </w:p>
        </w:tc>
      </w:tr>
      <w:tr w:rsidR="009C353B" w14:paraId="2DAE7DC3" w14:textId="77777777">
        <w:trPr>
          <w:trHeight w:val="90"/>
        </w:trPr>
        <w:tc>
          <w:tcPr>
            <w:tcW w:w="1608" w:type="dxa"/>
            <w:shd w:val="clear" w:color="auto" w:fill="auto"/>
            <w:vAlign w:val="center"/>
          </w:tcPr>
          <w:p w14:paraId="6F1CAA8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pH</w:t>
            </w:r>
            <w:r>
              <w:rPr>
                <w:rFonts w:ascii="Times New Roman" w:eastAsiaTheme="minorEastAsia" w:hAnsi="Times New Roman"/>
                <w:kern w:val="0"/>
                <w:sz w:val="21"/>
                <w:szCs w:val="21"/>
              </w:rPr>
              <w:t>值</w:t>
            </w:r>
          </w:p>
        </w:tc>
        <w:tc>
          <w:tcPr>
            <w:tcW w:w="1416" w:type="dxa"/>
            <w:shd w:val="clear" w:color="auto" w:fill="auto"/>
            <w:vAlign w:val="center"/>
          </w:tcPr>
          <w:p w14:paraId="39C5D17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6.69</w:t>
            </w:r>
          </w:p>
        </w:tc>
        <w:tc>
          <w:tcPr>
            <w:tcW w:w="1464" w:type="dxa"/>
            <w:shd w:val="clear" w:color="auto" w:fill="auto"/>
            <w:vAlign w:val="center"/>
          </w:tcPr>
          <w:p w14:paraId="7501512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6.69</w:t>
            </w:r>
          </w:p>
        </w:tc>
        <w:tc>
          <w:tcPr>
            <w:tcW w:w="1524" w:type="dxa"/>
            <w:shd w:val="clear" w:color="auto" w:fill="auto"/>
            <w:vAlign w:val="center"/>
          </w:tcPr>
          <w:p w14:paraId="4E92B18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6.69</w:t>
            </w:r>
          </w:p>
        </w:tc>
        <w:tc>
          <w:tcPr>
            <w:tcW w:w="1425" w:type="dxa"/>
            <w:shd w:val="clear" w:color="auto" w:fill="auto"/>
            <w:vAlign w:val="center"/>
          </w:tcPr>
          <w:p w14:paraId="6CB1BE7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6.69</w:t>
            </w:r>
          </w:p>
        </w:tc>
        <w:tc>
          <w:tcPr>
            <w:tcW w:w="1500" w:type="dxa"/>
            <w:shd w:val="clear" w:color="auto" w:fill="auto"/>
            <w:vAlign w:val="center"/>
          </w:tcPr>
          <w:p w14:paraId="79E5CCE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6.69</w:t>
            </w:r>
          </w:p>
        </w:tc>
        <w:tc>
          <w:tcPr>
            <w:tcW w:w="1403" w:type="dxa"/>
            <w:shd w:val="clear" w:color="auto" w:fill="auto"/>
            <w:vAlign w:val="center"/>
          </w:tcPr>
          <w:p w14:paraId="7FF3825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6.69</w:t>
            </w:r>
          </w:p>
        </w:tc>
        <w:tc>
          <w:tcPr>
            <w:tcW w:w="1602" w:type="dxa"/>
            <w:shd w:val="clear" w:color="auto" w:fill="auto"/>
            <w:vAlign w:val="center"/>
          </w:tcPr>
          <w:p w14:paraId="3BDBAF7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58" w:type="dxa"/>
            <w:shd w:val="clear" w:color="auto" w:fill="auto"/>
            <w:vAlign w:val="center"/>
          </w:tcPr>
          <w:p w14:paraId="75E6AE0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6~9</w:t>
            </w:r>
          </w:p>
        </w:tc>
      </w:tr>
      <w:tr w:rsidR="009C353B" w14:paraId="43F5EDDF" w14:textId="77777777">
        <w:trPr>
          <w:trHeight w:val="90"/>
        </w:trPr>
        <w:tc>
          <w:tcPr>
            <w:tcW w:w="1608" w:type="dxa"/>
            <w:shd w:val="clear" w:color="auto" w:fill="auto"/>
            <w:vAlign w:val="center"/>
          </w:tcPr>
          <w:p w14:paraId="1A1B5F3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总硬度</w:t>
            </w:r>
          </w:p>
        </w:tc>
        <w:tc>
          <w:tcPr>
            <w:tcW w:w="1416" w:type="dxa"/>
            <w:shd w:val="clear" w:color="auto" w:fill="auto"/>
            <w:vAlign w:val="center"/>
          </w:tcPr>
          <w:p w14:paraId="2720450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71.7</w:t>
            </w:r>
          </w:p>
        </w:tc>
        <w:tc>
          <w:tcPr>
            <w:tcW w:w="1464" w:type="dxa"/>
            <w:shd w:val="clear" w:color="auto" w:fill="auto"/>
            <w:vAlign w:val="center"/>
          </w:tcPr>
          <w:p w14:paraId="1C04F00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73.5</w:t>
            </w:r>
          </w:p>
        </w:tc>
        <w:tc>
          <w:tcPr>
            <w:tcW w:w="1524" w:type="dxa"/>
            <w:shd w:val="clear" w:color="auto" w:fill="auto"/>
            <w:vAlign w:val="center"/>
          </w:tcPr>
          <w:p w14:paraId="047988F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74.3</w:t>
            </w:r>
          </w:p>
        </w:tc>
        <w:tc>
          <w:tcPr>
            <w:tcW w:w="1425" w:type="dxa"/>
            <w:shd w:val="clear" w:color="auto" w:fill="auto"/>
            <w:vAlign w:val="center"/>
          </w:tcPr>
          <w:p w14:paraId="4587998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75.9</w:t>
            </w:r>
          </w:p>
        </w:tc>
        <w:tc>
          <w:tcPr>
            <w:tcW w:w="1500" w:type="dxa"/>
            <w:shd w:val="clear" w:color="auto" w:fill="auto"/>
            <w:vAlign w:val="center"/>
          </w:tcPr>
          <w:p w14:paraId="7E19ECA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74.5</w:t>
            </w:r>
          </w:p>
        </w:tc>
        <w:tc>
          <w:tcPr>
            <w:tcW w:w="1403" w:type="dxa"/>
            <w:shd w:val="clear" w:color="auto" w:fill="auto"/>
            <w:vAlign w:val="center"/>
          </w:tcPr>
          <w:p w14:paraId="4398418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76</w:t>
            </w:r>
          </w:p>
        </w:tc>
        <w:tc>
          <w:tcPr>
            <w:tcW w:w="1602" w:type="dxa"/>
            <w:shd w:val="clear" w:color="auto" w:fill="auto"/>
            <w:vAlign w:val="center"/>
          </w:tcPr>
          <w:p w14:paraId="431755F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58" w:type="dxa"/>
            <w:shd w:val="clear" w:color="auto" w:fill="auto"/>
            <w:vAlign w:val="center"/>
          </w:tcPr>
          <w:p w14:paraId="714A218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4111BD0A" w14:textId="77777777">
        <w:trPr>
          <w:trHeight w:val="90"/>
        </w:trPr>
        <w:tc>
          <w:tcPr>
            <w:tcW w:w="1608" w:type="dxa"/>
            <w:shd w:val="clear" w:color="auto" w:fill="auto"/>
            <w:vAlign w:val="center"/>
          </w:tcPr>
          <w:p w14:paraId="4CB3612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溶解性总固体</w:t>
            </w:r>
          </w:p>
        </w:tc>
        <w:tc>
          <w:tcPr>
            <w:tcW w:w="1416" w:type="dxa"/>
            <w:shd w:val="clear" w:color="auto" w:fill="auto"/>
            <w:vAlign w:val="center"/>
          </w:tcPr>
          <w:p w14:paraId="18A2C02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206</w:t>
            </w:r>
          </w:p>
        </w:tc>
        <w:tc>
          <w:tcPr>
            <w:tcW w:w="1464" w:type="dxa"/>
            <w:shd w:val="clear" w:color="auto" w:fill="auto"/>
            <w:vAlign w:val="center"/>
          </w:tcPr>
          <w:p w14:paraId="36B3623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198</w:t>
            </w:r>
          </w:p>
        </w:tc>
        <w:tc>
          <w:tcPr>
            <w:tcW w:w="1524" w:type="dxa"/>
            <w:shd w:val="clear" w:color="auto" w:fill="auto"/>
            <w:vAlign w:val="center"/>
          </w:tcPr>
          <w:p w14:paraId="1ACC29C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198</w:t>
            </w:r>
          </w:p>
        </w:tc>
        <w:tc>
          <w:tcPr>
            <w:tcW w:w="1425" w:type="dxa"/>
            <w:shd w:val="clear" w:color="auto" w:fill="auto"/>
            <w:vAlign w:val="center"/>
          </w:tcPr>
          <w:p w14:paraId="256BA7E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202</w:t>
            </w:r>
          </w:p>
        </w:tc>
        <w:tc>
          <w:tcPr>
            <w:tcW w:w="1500" w:type="dxa"/>
            <w:shd w:val="clear" w:color="auto" w:fill="auto"/>
            <w:vAlign w:val="center"/>
          </w:tcPr>
          <w:p w14:paraId="2E156F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211</w:t>
            </w:r>
          </w:p>
        </w:tc>
        <w:tc>
          <w:tcPr>
            <w:tcW w:w="1403" w:type="dxa"/>
            <w:shd w:val="clear" w:color="auto" w:fill="auto"/>
            <w:vAlign w:val="center"/>
          </w:tcPr>
          <w:p w14:paraId="076B595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222</w:t>
            </w:r>
          </w:p>
        </w:tc>
        <w:tc>
          <w:tcPr>
            <w:tcW w:w="1602" w:type="dxa"/>
            <w:shd w:val="clear" w:color="auto" w:fill="auto"/>
            <w:vAlign w:val="center"/>
          </w:tcPr>
          <w:p w14:paraId="3C4EDEE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58" w:type="dxa"/>
            <w:shd w:val="clear" w:color="auto" w:fill="auto"/>
            <w:vAlign w:val="center"/>
          </w:tcPr>
          <w:p w14:paraId="38CA39A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01EB5029" w14:textId="77777777">
        <w:trPr>
          <w:trHeight w:val="90"/>
        </w:trPr>
        <w:tc>
          <w:tcPr>
            <w:tcW w:w="1608" w:type="dxa"/>
            <w:shd w:val="clear" w:color="auto" w:fill="auto"/>
            <w:vAlign w:val="center"/>
          </w:tcPr>
          <w:p w14:paraId="608E038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硝酸盐</w:t>
            </w:r>
          </w:p>
        </w:tc>
        <w:tc>
          <w:tcPr>
            <w:tcW w:w="1416" w:type="dxa"/>
            <w:shd w:val="clear" w:color="auto" w:fill="auto"/>
            <w:vAlign w:val="center"/>
          </w:tcPr>
          <w:p w14:paraId="4329EBD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0.24</w:t>
            </w:r>
          </w:p>
        </w:tc>
        <w:tc>
          <w:tcPr>
            <w:tcW w:w="1464" w:type="dxa"/>
            <w:shd w:val="clear" w:color="auto" w:fill="auto"/>
            <w:vAlign w:val="center"/>
          </w:tcPr>
          <w:p w14:paraId="3A489D5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0.25</w:t>
            </w:r>
          </w:p>
        </w:tc>
        <w:tc>
          <w:tcPr>
            <w:tcW w:w="1524" w:type="dxa"/>
            <w:shd w:val="clear" w:color="auto" w:fill="auto"/>
            <w:vAlign w:val="center"/>
          </w:tcPr>
          <w:p w14:paraId="0EC932C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0.25</w:t>
            </w:r>
          </w:p>
        </w:tc>
        <w:tc>
          <w:tcPr>
            <w:tcW w:w="1425" w:type="dxa"/>
            <w:shd w:val="clear" w:color="auto" w:fill="auto"/>
            <w:vAlign w:val="center"/>
          </w:tcPr>
          <w:p w14:paraId="57AEC9A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0.22</w:t>
            </w:r>
          </w:p>
        </w:tc>
        <w:tc>
          <w:tcPr>
            <w:tcW w:w="1500" w:type="dxa"/>
            <w:shd w:val="clear" w:color="auto" w:fill="auto"/>
            <w:vAlign w:val="center"/>
          </w:tcPr>
          <w:p w14:paraId="677AC3B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0.22</w:t>
            </w:r>
          </w:p>
        </w:tc>
        <w:tc>
          <w:tcPr>
            <w:tcW w:w="1403" w:type="dxa"/>
            <w:shd w:val="clear" w:color="auto" w:fill="auto"/>
            <w:vAlign w:val="center"/>
          </w:tcPr>
          <w:p w14:paraId="6BB3183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0.22</w:t>
            </w:r>
          </w:p>
        </w:tc>
        <w:tc>
          <w:tcPr>
            <w:tcW w:w="1602" w:type="dxa"/>
            <w:shd w:val="clear" w:color="auto" w:fill="auto"/>
            <w:vAlign w:val="center"/>
          </w:tcPr>
          <w:p w14:paraId="50B52D4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58" w:type="dxa"/>
            <w:shd w:val="clear" w:color="auto" w:fill="auto"/>
            <w:vAlign w:val="center"/>
          </w:tcPr>
          <w:p w14:paraId="5195FBD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1BFA97BD" w14:textId="77777777">
        <w:trPr>
          <w:trHeight w:val="90"/>
        </w:trPr>
        <w:tc>
          <w:tcPr>
            <w:tcW w:w="1608" w:type="dxa"/>
            <w:shd w:val="clear" w:color="auto" w:fill="auto"/>
            <w:vAlign w:val="center"/>
          </w:tcPr>
          <w:p w14:paraId="3B6EDB5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亚硝酸盐</w:t>
            </w:r>
          </w:p>
        </w:tc>
        <w:tc>
          <w:tcPr>
            <w:tcW w:w="1416" w:type="dxa"/>
            <w:shd w:val="clear" w:color="auto" w:fill="auto"/>
            <w:vAlign w:val="center"/>
          </w:tcPr>
          <w:p w14:paraId="26E12CB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0.007</w:t>
            </w:r>
          </w:p>
        </w:tc>
        <w:tc>
          <w:tcPr>
            <w:tcW w:w="1464" w:type="dxa"/>
            <w:shd w:val="clear" w:color="auto" w:fill="auto"/>
            <w:vAlign w:val="center"/>
          </w:tcPr>
          <w:p w14:paraId="277C407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0.008</w:t>
            </w:r>
          </w:p>
        </w:tc>
        <w:tc>
          <w:tcPr>
            <w:tcW w:w="1524" w:type="dxa"/>
            <w:shd w:val="clear" w:color="auto" w:fill="auto"/>
            <w:vAlign w:val="center"/>
          </w:tcPr>
          <w:p w14:paraId="64C2F27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0.008</w:t>
            </w:r>
          </w:p>
        </w:tc>
        <w:tc>
          <w:tcPr>
            <w:tcW w:w="1425" w:type="dxa"/>
            <w:shd w:val="clear" w:color="auto" w:fill="auto"/>
            <w:vAlign w:val="center"/>
          </w:tcPr>
          <w:p w14:paraId="25DCD77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0.008</w:t>
            </w:r>
          </w:p>
        </w:tc>
        <w:tc>
          <w:tcPr>
            <w:tcW w:w="1500" w:type="dxa"/>
            <w:shd w:val="clear" w:color="auto" w:fill="auto"/>
            <w:vAlign w:val="center"/>
          </w:tcPr>
          <w:p w14:paraId="24438D7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0.008</w:t>
            </w:r>
          </w:p>
        </w:tc>
        <w:tc>
          <w:tcPr>
            <w:tcW w:w="1403" w:type="dxa"/>
            <w:shd w:val="clear" w:color="auto" w:fill="auto"/>
            <w:vAlign w:val="center"/>
          </w:tcPr>
          <w:p w14:paraId="4E9794E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0.008</w:t>
            </w:r>
          </w:p>
        </w:tc>
        <w:tc>
          <w:tcPr>
            <w:tcW w:w="1602" w:type="dxa"/>
            <w:shd w:val="clear" w:color="auto" w:fill="auto"/>
            <w:vAlign w:val="center"/>
          </w:tcPr>
          <w:p w14:paraId="283941D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58" w:type="dxa"/>
            <w:shd w:val="clear" w:color="auto" w:fill="auto"/>
            <w:vAlign w:val="center"/>
          </w:tcPr>
          <w:p w14:paraId="37A04EC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060B68FD" w14:textId="77777777">
        <w:trPr>
          <w:trHeight w:val="90"/>
        </w:trPr>
        <w:tc>
          <w:tcPr>
            <w:tcW w:w="1608" w:type="dxa"/>
            <w:shd w:val="clear" w:color="auto" w:fill="auto"/>
            <w:vAlign w:val="center"/>
          </w:tcPr>
          <w:p w14:paraId="779BDBA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无机氟化物</w:t>
            </w:r>
          </w:p>
        </w:tc>
        <w:tc>
          <w:tcPr>
            <w:tcW w:w="1416" w:type="dxa"/>
            <w:shd w:val="clear" w:color="auto" w:fill="auto"/>
            <w:vAlign w:val="center"/>
          </w:tcPr>
          <w:p w14:paraId="3146F6D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0.37</w:t>
            </w:r>
          </w:p>
        </w:tc>
        <w:tc>
          <w:tcPr>
            <w:tcW w:w="1464" w:type="dxa"/>
            <w:shd w:val="clear" w:color="auto" w:fill="auto"/>
            <w:vAlign w:val="center"/>
          </w:tcPr>
          <w:p w14:paraId="0A77F66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0.371</w:t>
            </w:r>
          </w:p>
        </w:tc>
        <w:tc>
          <w:tcPr>
            <w:tcW w:w="1524" w:type="dxa"/>
            <w:shd w:val="clear" w:color="auto" w:fill="auto"/>
            <w:vAlign w:val="center"/>
          </w:tcPr>
          <w:p w14:paraId="3734FA5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0.374</w:t>
            </w:r>
          </w:p>
        </w:tc>
        <w:tc>
          <w:tcPr>
            <w:tcW w:w="1425" w:type="dxa"/>
            <w:shd w:val="clear" w:color="auto" w:fill="auto"/>
            <w:vAlign w:val="center"/>
          </w:tcPr>
          <w:p w14:paraId="0675313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0.334</w:t>
            </w:r>
          </w:p>
        </w:tc>
        <w:tc>
          <w:tcPr>
            <w:tcW w:w="1500" w:type="dxa"/>
            <w:shd w:val="clear" w:color="auto" w:fill="auto"/>
            <w:vAlign w:val="center"/>
          </w:tcPr>
          <w:p w14:paraId="58EE527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0.331</w:t>
            </w:r>
          </w:p>
        </w:tc>
        <w:tc>
          <w:tcPr>
            <w:tcW w:w="1403" w:type="dxa"/>
            <w:shd w:val="clear" w:color="auto" w:fill="auto"/>
            <w:vAlign w:val="center"/>
          </w:tcPr>
          <w:p w14:paraId="49DD80C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0.332</w:t>
            </w:r>
          </w:p>
        </w:tc>
        <w:tc>
          <w:tcPr>
            <w:tcW w:w="1602" w:type="dxa"/>
            <w:shd w:val="clear" w:color="auto" w:fill="auto"/>
            <w:vAlign w:val="center"/>
          </w:tcPr>
          <w:p w14:paraId="51A165C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100</w:t>
            </w:r>
          </w:p>
        </w:tc>
        <w:tc>
          <w:tcPr>
            <w:tcW w:w="1458" w:type="dxa"/>
            <w:shd w:val="clear" w:color="auto" w:fill="auto"/>
            <w:vAlign w:val="center"/>
          </w:tcPr>
          <w:p w14:paraId="37CB1C5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w:t>
            </w:r>
          </w:p>
        </w:tc>
      </w:tr>
      <w:tr w:rsidR="009C353B" w14:paraId="7D365101" w14:textId="77777777">
        <w:trPr>
          <w:trHeight w:val="90"/>
        </w:trPr>
        <w:tc>
          <w:tcPr>
            <w:tcW w:w="1608" w:type="dxa"/>
            <w:shd w:val="clear" w:color="auto" w:fill="auto"/>
            <w:vAlign w:val="center"/>
          </w:tcPr>
          <w:p w14:paraId="7EC75F8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氯化物</w:t>
            </w:r>
          </w:p>
        </w:tc>
        <w:tc>
          <w:tcPr>
            <w:tcW w:w="1416" w:type="dxa"/>
            <w:shd w:val="clear" w:color="auto" w:fill="auto"/>
            <w:vAlign w:val="center"/>
          </w:tcPr>
          <w:p w14:paraId="41A922B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8.8</w:t>
            </w:r>
          </w:p>
        </w:tc>
        <w:tc>
          <w:tcPr>
            <w:tcW w:w="1464" w:type="dxa"/>
            <w:shd w:val="clear" w:color="auto" w:fill="auto"/>
            <w:vAlign w:val="center"/>
          </w:tcPr>
          <w:p w14:paraId="10A5FB2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9.6</w:t>
            </w:r>
          </w:p>
        </w:tc>
        <w:tc>
          <w:tcPr>
            <w:tcW w:w="1524" w:type="dxa"/>
            <w:shd w:val="clear" w:color="auto" w:fill="auto"/>
            <w:vAlign w:val="center"/>
          </w:tcPr>
          <w:p w14:paraId="4AA01EB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8.3</w:t>
            </w:r>
          </w:p>
        </w:tc>
        <w:tc>
          <w:tcPr>
            <w:tcW w:w="1425" w:type="dxa"/>
            <w:shd w:val="clear" w:color="auto" w:fill="auto"/>
            <w:vAlign w:val="center"/>
          </w:tcPr>
          <w:p w14:paraId="7BC74AB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9.7</w:t>
            </w:r>
          </w:p>
        </w:tc>
        <w:tc>
          <w:tcPr>
            <w:tcW w:w="1500" w:type="dxa"/>
            <w:shd w:val="clear" w:color="auto" w:fill="auto"/>
            <w:vAlign w:val="center"/>
          </w:tcPr>
          <w:p w14:paraId="278B22F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9</w:t>
            </w:r>
          </w:p>
        </w:tc>
        <w:tc>
          <w:tcPr>
            <w:tcW w:w="1403" w:type="dxa"/>
            <w:shd w:val="clear" w:color="auto" w:fill="auto"/>
            <w:vAlign w:val="center"/>
          </w:tcPr>
          <w:p w14:paraId="1FC8D2D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8.8</w:t>
            </w:r>
          </w:p>
        </w:tc>
        <w:tc>
          <w:tcPr>
            <w:tcW w:w="1602" w:type="dxa"/>
            <w:shd w:val="clear" w:color="auto" w:fill="auto"/>
            <w:vAlign w:val="center"/>
          </w:tcPr>
          <w:p w14:paraId="764E5B8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58" w:type="dxa"/>
            <w:shd w:val="clear" w:color="auto" w:fill="auto"/>
            <w:vAlign w:val="center"/>
          </w:tcPr>
          <w:p w14:paraId="371A0B7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056AC860" w14:textId="77777777">
        <w:trPr>
          <w:trHeight w:val="90"/>
        </w:trPr>
        <w:tc>
          <w:tcPr>
            <w:tcW w:w="1608" w:type="dxa"/>
            <w:shd w:val="clear" w:color="auto" w:fill="auto"/>
            <w:vAlign w:val="center"/>
          </w:tcPr>
          <w:p w14:paraId="27CE9AD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氰化物</w:t>
            </w:r>
          </w:p>
        </w:tc>
        <w:tc>
          <w:tcPr>
            <w:tcW w:w="1416" w:type="dxa"/>
            <w:shd w:val="clear" w:color="auto" w:fill="auto"/>
            <w:vAlign w:val="center"/>
          </w:tcPr>
          <w:p w14:paraId="3C16C6C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464" w:type="dxa"/>
            <w:shd w:val="clear" w:color="auto" w:fill="auto"/>
            <w:vAlign w:val="center"/>
          </w:tcPr>
          <w:p w14:paraId="50D5961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524" w:type="dxa"/>
            <w:shd w:val="clear" w:color="auto" w:fill="auto"/>
            <w:vAlign w:val="center"/>
          </w:tcPr>
          <w:p w14:paraId="2CECC91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425" w:type="dxa"/>
            <w:shd w:val="clear" w:color="auto" w:fill="auto"/>
            <w:vAlign w:val="center"/>
          </w:tcPr>
          <w:p w14:paraId="12EBB9D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500" w:type="dxa"/>
            <w:shd w:val="clear" w:color="auto" w:fill="auto"/>
            <w:vAlign w:val="center"/>
          </w:tcPr>
          <w:p w14:paraId="7846682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403" w:type="dxa"/>
            <w:shd w:val="clear" w:color="auto" w:fill="auto"/>
            <w:vAlign w:val="center"/>
          </w:tcPr>
          <w:p w14:paraId="4017106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602" w:type="dxa"/>
            <w:shd w:val="clear" w:color="auto" w:fill="auto"/>
            <w:vAlign w:val="center"/>
          </w:tcPr>
          <w:p w14:paraId="4FDC8CF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1458" w:type="dxa"/>
            <w:shd w:val="clear" w:color="auto" w:fill="auto"/>
            <w:vAlign w:val="center"/>
          </w:tcPr>
          <w:p w14:paraId="5B19BCB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0.5</w:t>
            </w:r>
          </w:p>
        </w:tc>
      </w:tr>
      <w:tr w:rsidR="009C353B" w14:paraId="3896448C" w14:textId="77777777">
        <w:trPr>
          <w:trHeight w:val="90"/>
        </w:trPr>
        <w:tc>
          <w:tcPr>
            <w:tcW w:w="1608" w:type="dxa"/>
            <w:shd w:val="clear" w:color="auto" w:fill="auto"/>
            <w:vAlign w:val="center"/>
          </w:tcPr>
          <w:p w14:paraId="6C95CE4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硫化物</w:t>
            </w:r>
          </w:p>
        </w:tc>
        <w:tc>
          <w:tcPr>
            <w:tcW w:w="1416" w:type="dxa"/>
            <w:shd w:val="clear" w:color="auto" w:fill="auto"/>
            <w:vAlign w:val="center"/>
          </w:tcPr>
          <w:p w14:paraId="4A1898D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0.005L</w:t>
            </w:r>
          </w:p>
        </w:tc>
        <w:tc>
          <w:tcPr>
            <w:tcW w:w="1464" w:type="dxa"/>
            <w:shd w:val="clear" w:color="auto" w:fill="auto"/>
            <w:vAlign w:val="center"/>
          </w:tcPr>
          <w:p w14:paraId="2CAB8E5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0.005L</w:t>
            </w:r>
          </w:p>
        </w:tc>
        <w:tc>
          <w:tcPr>
            <w:tcW w:w="1524" w:type="dxa"/>
            <w:shd w:val="clear" w:color="auto" w:fill="auto"/>
            <w:vAlign w:val="center"/>
          </w:tcPr>
          <w:p w14:paraId="4C7FDE6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0.005L</w:t>
            </w:r>
          </w:p>
        </w:tc>
        <w:tc>
          <w:tcPr>
            <w:tcW w:w="1425" w:type="dxa"/>
            <w:shd w:val="clear" w:color="auto" w:fill="auto"/>
            <w:vAlign w:val="center"/>
          </w:tcPr>
          <w:p w14:paraId="608487A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0.005L</w:t>
            </w:r>
          </w:p>
        </w:tc>
        <w:tc>
          <w:tcPr>
            <w:tcW w:w="1500" w:type="dxa"/>
            <w:shd w:val="clear" w:color="auto" w:fill="auto"/>
            <w:vAlign w:val="center"/>
          </w:tcPr>
          <w:p w14:paraId="5755419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0.005L</w:t>
            </w:r>
          </w:p>
        </w:tc>
        <w:tc>
          <w:tcPr>
            <w:tcW w:w="1403" w:type="dxa"/>
            <w:shd w:val="clear" w:color="auto" w:fill="auto"/>
            <w:vAlign w:val="center"/>
          </w:tcPr>
          <w:p w14:paraId="7CC2774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0.005L</w:t>
            </w:r>
          </w:p>
        </w:tc>
        <w:tc>
          <w:tcPr>
            <w:tcW w:w="1602" w:type="dxa"/>
            <w:shd w:val="clear" w:color="auto" w:fill="auto"/>
            <w:vAlign w:val="center"/>
          </w:tcPr>
          <w:p w14:paraId="4B67B45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58" w:type="dxa"/>
            <w:shd w:val="clear" w:color="auto" w:fill="auto"/>
            <w:vAlign w:val="center"/>
          </w:tcPr>
          <w:p w14:paraId="647D5E4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r>
      <w:tr w:rsidR="009C353B" w14:paraId="3466F97D" w14:textId="77777777">
        <w:trPr>
          <w:trHeight w:val="90"/>
        </w:trPr>
        <w:tc>
          <w:tcPr>
            <w:tcW w:w="1608" w:type="dxa"/>
            <w:shd w:val="clear" w:color="auto" w:fill="auto"/>
            <w:vAlign w:val="center"/>
          </w:tcPr>
          <w:p w14:paraId="77D093A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硫酸盐</w:t>
            </w:r>
          </w:p>
        </w:tc>
        <w:tc>
          <w:tcPr>
            <w:tcW w:w="1416" w:type="dxa"/>
            <w:shd w:val="clear" w:color="auto" w:fill="auto"/>
            <w:vAlign w:val="center"/>
          </w:tcPr>
          <w:p w14:paraId="17BCB9D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84</w:t>
            </w:r>
          </w:p>
        </w:tc>
        <w:tc>
          <w:tcPr>
            <w:tcW w:w="1464" w:type="dxa"/>
            <w:shd w:val="clear" w:color="auto" w:fill="auto"/>
            <w:vAlign w:val="center"/>
          </w:tcPr>
          <w:p w14:paraId="3E316C7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84</w:t>
            </w:r>
          </w:p>
        </w:tc>
        <w:tc>
          <w:tcPr>
            <w:tcW w:w="1524" w:type="dxa"/>
            <w:shd w:val="clear" w:color="auto" w:fill="auto"/>
            <w:vAlign w:val="center"/>
          </w:tcPr>
          <w:p w14:paraId="091A7CB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85.4</w:t>
            </w:r>
          </w:p>
        </w:tc>
        <w:tc>
          <w:tcPr>
            <w:tcW w:w="1425" w:type="dxa"/>
            <w:shd w:val="clear" w:color="auto" w:fill="auto"/>
            <w:vAlign w:val="center"/>
          </w:tcPr>
          <w:p w14:paraId="582EC1B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84.2</w:t>
            </w:r>
          </w:p>
        </w:tc>
        <w:tc>
          <w:tcPr>
            <w:tcW w:w="1500" w:type="dxa"/>
            <w:shd w:val="clear" w:color="auto" w:fill="auto"/>
            <w:vAlign w:val="center"/>
          </w:tcPr>
          <w:p w14:paraId="14CA1F1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84</w:t>
            </w:r>
          </w:p>
        </w:tc>
        <w:tc>
          <w:tcPr>
            <w:tcW w:w="1403" w:type="dxa"/>
            <w:shd w:val="clear" w:color="auto" w:fill="auto"/>
            <w:vAlign w:val="center"/>
          </w:tcPr>
          <w:p w14:paraId="2916684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84.6</w:t>
            </w:r>
          </w:p>
        </w:tc>
        <w:tc>
          <w:tcPr>
            <w:tcW w:w="1602" w:type="dxa"/>
            <w:shd w:val="clear" w:color="auto" w:fill="auto"/>
            <w:vAlign w:val="center"/>
          </w:tcPr>
          <w:p w14:paraId="5BAB3FD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58" w:type="dxa"/>
            <w:shd w:val="clear" w:color="auto" w:fill="auto"/>
            <w:vAlign w:val="center"/>
          </w:tcPr>
          <w:p w14:paraId="53BDD37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0594528A" w14:textId="77777777">
        <w:trPr>
          <w:trHeight w:val="90"/>
        </w:trPr>
        <w:tc>
          <w:tcPr>
            <w:tcW w:w="1608" w:type="dxa"/>
            <w:shd w:val="clear" w:color="auto" w:fill="auto"/>
            <w:vAlign w:val="center"/>
          </w:tcPr>
          <w:p w14:paraId="6D7E082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挥发酚</w:t>
            </w:r>
          </w:p>
        </w:tc>
        <w:tc>
          <w:tcPr>
            <w:tcW w:w="1416" w:type="dxa"/>
            <w:shd w:val="clear" w:color="auto" w:fill="auto"/>
            <w:vAlign w:val="center"/>
          </w:tcPr>
          <w:p w14:paraId="170B8E8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0.001L</w:t>
            </w:r>
          </w:p>
        </w:tc>
        <w:tc>
          <w:tcPr>
            <w:tcW w:w="1464" w:type="dxa"/>
            <w:shd w:val="clear" w:color="auto" w:fill="auto"/>
            <w:vAlign w:val="center"/>
          </w:tcPr>
          <w:p w14:paraId="3168445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0.001L</w:t>
            </w:r>
          </w:p>
        </w:tc>
        <w:tc>
          <w:tcPr>
            <w:tcW w:w="1524" w:type="dxa"/>
            <w:shd w:val="clear" w:color="auto" w:fill="auto"/>
            <w:vAlign w:val="center"/>
          </w:tcPr>
          <w:p w14:paraId="081268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0.001L</w:t>
            </w:r>
          </w:p>
        </w:tc>
        <w:tc>
          <w:tcPr>
            <w:tcW w:w="1425" w:type="dxa"/>
            <w:shd w:val="clear" w:color="auto" w:fill="auto"/>
            <w:vAlign w:val="center"/>
          </w:tcPr>
          <w:p w14:paraId="454FB26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0.001L</w:t>
            </w:r>
          </w:p>
        </w:tc>
        <w:tc>
          <w:tcPr>
            <w:tcW w:w="1500" w:type="dxa"/>
            <w:shd w:val="clear" w:color="auto" w:fill="auto"/>
            <w:vAlign w:val="center"/>
          </w:tcPr>
          <w:p w14:paraId="1D7BC14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0.001L</w:t>
            </w:r>
          </w:p>
        </w:tc>
        <w:tc>
          <w:tcPr>
            <w:tcW w:w="1403" w:type="dxa"/>
            <w:shd w:val="clear" w:color="auto" w:fill="auto"/>
            <w:vAlign w:val="center"/>
          </w:tcPr>
          <w:p w14:paraId="2FB2B2E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0.001L</w:t>
            </w:r>
          </w:p>
        </w:tc>
        <w:tc>
          <w:tcPr>
            <w:tcW w:w="1602" w:type="dxa"/>
            <w:shd w:val="clear" w:color="auto" w:fill="auto"/>
            <w:vAlign w:val="center"/>
          </w:tcPr>
          <w:p w14:paraId="7586609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58" w:type="dxa"/>
            <w:shd w:val="clear" w:color="auto" w:fill="auto"/>
            <w:vAlign w:val="center"/>
          </w:tcPr>
          <w:p w14:paraId="3F3594A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0.5</w:t>
            </w:r>
          </w:p>
        </w:tc>
      </w:tr>
      <w:tr w:rsidR="009C353B" w14:paraId="4AAD64C0" w14:textId="77777777">
        <w:trPr>
          <w:trHeight w:val="90"/>
        </w:trPr>
        <w:tc>
          <w:tcPr>
            <w:tcW w:w="1608" w:type="dxa"/>
            <w:shd w:val="clear" w:color="auto" w:fill="auto"/>
            <w:vAlign w:val="center"/>
          </w:tcPr>
          <w:p w14:paraId="262F2E6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六价铬</w:t>
            </w:r>
          </w:p>
        </w:tc>
        <w:tc>
          <w:tcPr>
            <w:tcW w:w="1416" w:type="dxa"/>
            <w:shd w:val="clear" w:color="auto" w:fill="auto"/>
            <w:vAlign w:val="center"/>
          </w:tcPr>
          <w:p w14:paraId="7B132C8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464" w:type="dxa"/>
            <w:shd w:val="clear" w:color="auto" w:fill="auto"/>
            <w:vAlign w:val="center"/>
          </w:tcPr>
          <w:p w14:paraId="29A1445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524" w:type="dxa"/>
            <w:shd w:val="clear" w:color="auto" w:fill="auto"/>
            <w:vAlign w:val="center"/>
          </w:tcPr>
          <w:p w14:paraId="2AC68D4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425" w:type="dxa"/>
            <w:shd w:val="clear" w:color="auto" w:fill="auto"/>
            <w:vAlign w:val="center"/>
          </w:tcPr>
          <w:p w14:paraId="1E278D7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500" w:type="dxa"/>
            <w:shd w:val="clear" w:color="auto" w:fill="auto"/>
            <w:vAlign w:val="center"/>
          </w:tcPr>
          <w:p w14:paraId="6E6A63B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403" w:type="dxa"/>
            <w:shd w:val="clear" w:color="auto" w:fill="auto"/>
            <w:vAlign w:val="center"/>
          </w:tcPr>
          <w:p w14:paraId="0281709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602" w:type="dxa"/>
            <w:shd w:val="clear" w:color="auto" w:fill="auto"/>
            <w:vAlign w:val="center"/>
          </w:tcPr>
          <w:p w14:paraId="3AC9921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1458" w:type="dxa"/>
            <w:shd w:val="clear" w:color="auto" w:fill="auto"/>
            <w:vAlign w:val="center"/>
          </w:tcPr>
          <w:p w14:paraId="61F68DD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0.5</w:t>
            </w:r>
          </w:p>
        </w:tc>
      </w:tr>
      <w:tr w:rsidR="009C353B" w14:paraId="0B4B4827" w14:textId="77777777">
        <w:trPr>
          <w:trHeight w:val="90"/>
        </w:trPr>
        <w:tc>
          <w:tcPr>
            <w:tcW w:w="1608" w:type="dxa"/>
            <w:shd w:val="clear" w:color="auto" w:fill="auto"/>
            <w:vAlign w:val="center"/>
          </w:tcPr>
          <w:p w14:paraId="78FEF13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铬</w:t>
            </w:r>
          </w:p>
        </w:tc>
        <w:tc>
          <w:tcPr>
            <w:tcW w:w="1416" w:type="dxa"/>
            <w:shd w:val="clear" w:color="auto" w:fill="auto"/>
            <w:vAlign w:val="center"/>
          </w:tcPr>
          <w:p w14:paraId="6777BDA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464" w:type="dxa"/>
            <w:shd w:val="clear" w:color="auto" w:fill="auto"/>
            <w:vAlign w:val="center"/>
          </w:tcPr>
          <w:p w14:paraId="77B40D1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524" w:type="dxa"/>
            <w:shd w:val="clear" w:color="auto" w:fill="auto"/>
            <w:vAlign w:val="center"/>
          </w:tcPr>
          <w:p w14:paraId="5166AEC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425" w:type="dxa"/>
            <w:shd w:val="clear" w:color="auto" w:fill="auto"/>
            <w:vAlign w:val="center"/>
          </w:tcPr>
          <w:p w14:paraId="6B4CD61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500" w:type="dxa"/>
            <w:shd w:val="clear" w:color="auto" w:fill="auto"/>
            <w:vAlign w:val="center"/>
          </w:tcPr>
          <w:p w14:paraId="7DBE5EE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403" w:type="dxa"/>
            <w:shd w:val="clear" w:color="auto" w:fill="auto"/>
            <w:vAlign w:val="center"/>
          </w:tcPr>
          <w:p w14:paraId="0B4CFFB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602" w:type="dxa"/>
            <w:shd w:val="clear" w:color="auto" w:fill="auto"/>
            <w:vAlign w:val="center"/>
          </w:tcPr>
          <w:p w14:paraId="23FB0A4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15</w:t>
            </w:r>
          </w:p>
        </w:tc>
        <w:tc>
          <w:tcPr>
            <w:tcW w:w="1458" w:type="dxa"/>
            <w:shd w:val="clear" w:color="auto" w:fill="auto"/>
            <w:vAlign w:val="center"/>
          </w:tcPr>
          <w:p w14:paraId="70C6878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1.5</w:t>
            </w:r>
          </w:p>
        </w:tc>
      </w:tr>
      <w:tr w:rsidR="009C353B" w14:paraId="5FB4D52E" w14:textId="77777777">
        <w:trPr>
          <w:trHeight w:val="90"/>
        </w:trPr>
        <w:tc>
          <w:tcPr>
            <w:tcW w:w="1608" w:type="dxa"/>
            <w:shd w:val="clear" w:color="auto" w:fill="auto"/>
            <w:vAlign w:val="center"/>
          </w:tcPr>
          <w:p w14:paraId="621BB37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镉</w:t>
            </w:r>
          </w:p>
        </w:tc>
        <w:tc>
          <w:tcPr>
            <w:tcW w:w="1416" w:type="dxa"/>
            <w:shd w:val="clear" w:color="auto" w:fill="auto"/>
            <w:vAlign w:val="center"/>
          </w:tcPr>
          <w:p w14:paraId="5BC1D2D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464" w:type="dxa"/>
            <w:shd w:val="clear" w:color="auto" w:fill="auto"/>
            <w:vAlign w:val="center"/>
          </w:tcPr>
          <w:p w14:paraId="35C396A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524" w:type="dxa"/>
            <w:shd w:val="clear" w:color="auto" w:fill="auto"/>
            <w:vAlign w:val="center"/>
          </w:tcPr>
          <w:p w14:paraId="2B77056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425" w:type="dxa"/>
            <w:shd w:val="clear" w:color="auto" w:fill="auto"/>
            <w:vAlign w:val="center"/>
          </w:tcPr>
          <w:p w14:paraId="1017ACA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500" w:type="dxa"/>
            <w:shd w:val="clear" w:color="auto" w:fill="auto"/>
            <w:vAlign w:val="center"/>
          </w:tcPr>
          <w:p w14:paraId="7747EAF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403" w:type="dxa"/>
            <w:shd w:val="clear" w:color="auto" w:fill="auto"/>
            <w:vAlign w:val="center"/>
          </w:tcPr>
          <w:p w14:paraId="1D0D230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602" w:type="dxa"/>
            <w:shd w:val="clear" w:color="auto" w:fill="auto"/>
            <w:vAlign w:val="center"/>
          </w:tcPr>
          <w:p w14:paraId="1C067B2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1458" w:type="dxa"/>
            <w:shd w:val="clear" w:color="auto" w:fill="auto"/>
            <w:vAlign w:val="center"/>
          </w:tcPr>
          <w:p w14:paraId="3FB00B7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w:t>
            </w:r>
          </w:p>
        </w:tc>
      </w:tr>
      <w:tr w:rsidR="009C353B" w14:paraId="26582620" w14:textId="77777777">
        <w:trPr>
          <w:trHeight w:val="90"/>
        </w:trPr>
        <w:tc>
          <w:tcPr>
            <w:tcW w:w="1608" w:type="dxa"/>
            <w:shd w:val="clear" w:color="auto" w:fill="auto"/>
            <w:vAlign w:val="center"/>
          </w:tcPr>
          <w:p w14:paraId="376336B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汞</w:t>
            </w:r>
          </w:p>
        </w:tc>
        <w:tc>
          <w:tcPr>
            <w:tcW w:w="1416" w:type="dxa"/>
            <w:shd w:val="clear" w:color="auto" w:fill="auto"/>
            <w:vAlign w:val="center"/>
          </w:tcPr>
          <w:p w14:paraId="74366DE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0.00004L</w:t>
            </w:r>
          </w:p>
        </w:tc>
        <w:tc>
          <w:tcPr>
            <w:tcW w:w="1464" w:type="dxa"/>
            <w:shd w:val="clear" w:color="auto" w:fill="auto"/>
            <w:vAlign w:val="center"/>
          </w:tcPr>
          <w:p w14:paraId="67243BC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0.00004L</w:t>
            </w:r>
          </w:p>
        </w:tc>
        <w:tc>
          <w:tcPr>
            <w:tcW w:w="1524" w:type="dxa"/>
            <w:shd w:val="clear" w:color="auto" w:fill="auto"/>
            <w:vAlign w:val="center"/>
          </w:tcPr>
          <w:p w14:paraId="7416D02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0.00004L</w:t>
            </w:r>
          </w:p>
        </w:tc>
        <w:tc>
          <w:tcPr>
            <w:tcW w:w="1425" w:type="dxa"/>
            <w:shd w:val="clear" w:color="auto" w:fill="auto"/>
            <w:vAlign w:val="center"/>
          </w:tcPr>
          <w:p w14:paraId="2A3C809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0.00004L</w:t>
            </w:r>
          </w:p>
        </w:tc>
        <w:tc>
          <w:tcPr>
            <w:tcW w:w="1500" w:type="dxa"/>
            <w:shd w:val="clear" w:color="auto" w:fill="auto"/>
            <w:vAlign w:val="center"/>
          </w:tcPr>
          <w:p w14:paraId="6E1D4C8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0.00004L</w:t>
            </w:r>
          </w:p>
        </w:tc>
        <w:tc>
          <w:tcPr>
            <w:tcW w:w="1403" w:type="dxa"/>
            <w:shd w:val="clear" w:color="auto" w:fill="auto"/>
            <w:vAlign w:val="center"/>
          </w:tcPr>
          <w:p w14:paraId="750EFCE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0.00004L</w:t>
            </w:r>
          </w:p>
        </w:tc>
        <w:tc>
          <w:tcPr>
            <w:tcW w:w="1602" w:type="dxa"/>
            <w:shd w:val="clear" w:color="auto" w:fill="auto"/>
            <w:vAlign w:val="center"/>
          </w:tcPr>
          <w:p w14:paraId="5B0882E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w:t>
            </w:r>
          </w:p>
        </w:tc>
        <w:tc>
          <w:tcPr>
            <w:tcW w:w="1458" w:type="dxa"/>
            <w:shd w:val="clear" w:color="auto" w:fill="auto"/>
            <w:vAlign w:val="center"/>
          </w:tcPr>
          <w:p w14:paraId="7091D9A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0.05</w:t>
            </w:r>
          </w:p>
        </w:tc>
      </w:tr>
      <w:tr w:rsidR="009C353B" w14:paraId="79464C56" w14:textId="77777777">
        <w:trPr>
          <w:trHeight w:val="90"/>
        </w:trPr>
        <w:tc>
          <w:tcPr>
            <w:tcW w:w="1608" w:type="dxa"/>
            <w:shd w:val="clear" w:color="auto" w:fill="auto"/>
            <w:vAlign w:val="center"/>
          </w:tcPr>
          <w:p w14:paraId="1EBB6BA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砷</w:t>
            </w:r>
          </w:p>
        </w:tc>
        <w:tc>
          <w:tcPr>
            <w:tcW w:w="1416" w:type="dxa"/>
            <w:shd w:val="clear" w:color="auto" w:fill="auto"/>
            <w:vAlign w:val="center"/>
          </w:tcPr>
          <w:p w14:paraId="171E7B5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0.0003L</w:t>
            </w:r>
          </w:p>
        </w:tc>
        <w:tc>
          <w:tcPr>
            <w:tcW w:w="1464" w:type="dxa"/>
            <w:shd w:val="clear" w:color="auto" w:fill="auto"/>
            <w:vAlign w:val="center"/>
          </w:tcPr>
          <w:p w14:paraId="076F0BA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0.0003L</w:t>
            </w:r>
          </w:p>
        </w:tc>
        <w:tc>
          <w:tcPr>
            <w:tcW w:w="1524" w:type="dxa"/>
            <w:shd w:val="clear" w:color="auto" w:fill="auto"/>
            <w:vAlign w:val="center"/>
          </w:tcPr>
          <w:p w14:paraId="4A1FDFD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0.0003L</w:t>
            </w:r>
          </w:p>
        </w:tc>
        <w:tc>
          <w:tcPr>
            <w:tcW w:w="1425" w:type="dxa"/>
            <w:shd w:val="clear" w:color="auto" w:fill="auto"/>
            <w:vAlign w:val="center"/>
          </w:tcPr>
          <w:p w14:paraId="43DAF57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0.0003L</w:t>
            </w:r>
          </w:p>
        </w:tc>
        <w:tc>
          <w:tcPr>
            <w:tcW w:w="1500" w:type="dxa"/>
            <w:shd w:val="clear" w:color="auto" w:fill="auto"/>
            <w:vAlign w:val="center"/>
          </w:tcPr>
          <w:p w14:paraId="42080FE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0.0003L</w:t>
            </w:r>
          </w:p>
        </w:tc>
        <w:tc>
          <w:tcPr>
            <w:tcW w:w="1403" w:type="dxa"/>
            <w:shd w:val="clear" w:color="auto" w:fill="auto"/>
            <w:vAlign w:val="center"/>
          </w:tcPr>
          <w:p w14:paraId="4A56EEC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0.0003L</w:t>
            </w:r>
          </w:p>
        </w:tc>
        <w:tc>
          <w:tcPr>
            <w:tcW w:w="1602" w:type="dxa"/>
            <w:shd w:val="clear" w:color="auto" w:fill="auto"/>
            <w:vAlign w:val="center"/>
          </w:tcPr>
          <w:p w14:paraId="04141F2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1458" w:type="dxa"/>
            <w:shd w:val="clear" w:color="auto" w:fill="auto"/>
            <w:vAlign w:val="center"/>
          </w:tcPr>
          <w:p w14:paraId="12FC6F4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0.5</w:t>
            </w:r>
          </w:p>
        </w:tc>
      </w:tr>
      <w:tr w:rsidR="009C353B" w14:paraId="03481CD5" w14:textId="77777777">
        <w:trPr>
          <w:trHeight w:val="90"/>
        </w:trPr>
        <w:tc>
          <w:tcPr>
            <w:tcW w:w="1608" w:type="dxa"/>
            <w:shd w:val="clear" w:color="auto" w:fill="auto"/>
            <w:vAlign w:val="center"/>
          </w:tcPr>
          <w:p w14:paraId="18EB730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铅</w:t>
            </w:r>
          </w:p>
        </w:tc>
        <w:tc>
          <w:tcPr>
            <w:tcW w:w="1416" w:type="dxa"/>
            <w:shd w:val="clear" w:color="auto" w:fill="auto"/>
            <w:vAlign w:val="center"/>
          </w:tcPr>
          <w:p w14:paraId="1BA7DFA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0.03L</w:t>
            </w:r>
          </w:p>
        </w:tc>
        <w:tc>
          <w:tcPr>
            <w:tcW w:w="1464" w:type="dxa"/>
            <w:shd w:val="clear" w:color="auto" w:fill="auto"/>
            <w:vAlign w:val="center"/>
          </w:tcPr>
          <w:p w14:paraId="123AFD6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0.03L</w:t>
            </w:r>
          </w:p>
        </w:tc>
        <w:tc>
          <w:tcPr>
            <w:tcW w:w="1524" w:type="dxa"/>
            <w:shd w:val="clear" w:color="auto" w:fill="auto"/>
            <w:vAlign w:val="center"/>
          </w:tcPr>
          <w:p w14:paraId="7C18310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0.03L</w:t>
            </w:r>
          </w:p>
        </w:tc>
        <w:tc>
          <w:tcPr>
            <w:tcW w:w="1425" w:type="dxa"/>
            <w:shd w:val="clear" w:color="auto" w:fill="auto"/>
            <w:vAlign w:val="center"/>
          </w:tcPr>
          <w:p w14:paraId="471EE1B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0.03L</w:t>
            </w:r>
          </w:p>
        </w:tc>
        <w:tc>
          <w:tcPr>
            <w:tcW w:w="1500" w:type="dxa"/>
            <w:shd w:val="clear" w:color="auto" w:fill="auto"/>
            <w:vAlign w:val="center"/>
          </w:tcPr>
          <w:p w14:paraId="06C61E9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0.03L</w:t>
            </w:r>
          </w:p>
        </w:tc>
        <w:tc>
          <w:tcPr>
            <w:tcW w:w="1403" w:type="dxa"/>
            <w:shd w:val="clear" w:color="auto" w:fill="auto"/>
            <w:vAlign w:val="center"/>
          </w:tcPr>
          <w:p w14:paraId="7990836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0.03L</w:t>
            </w:r>
          </w:p>
        </w:tc>
        <w:tc>
          <w:tcPr>
            <w:tcW w:w="1602" w:type="dxa"/>
            <w:shd w:val="clear" w:color="auto" w:fill="auto"/>
            <w:vAlign w:val="center"/>
          </w:tcPr>
          <w:p w14:paraId="380D427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1458" w:type="dxa"/>
            <w:shd w:val="clear" w:color="auto" w:fill="auto"/>
            <w:vAlign w:val="center"/>
          </w:tcPr>
          <w:p w14:paraId="6FBB661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r>
      <w:tr w:rsidR="009C353B" w14:paraId="05F8A851" w14:textId="77777777">
        <w:trPr>
          <w:trHeight w:val="90"/>
        </w:trPr>
        <w:tc>
          <w:tcPr>
            <w:tcW w:w="1608" w:type="dxa"/>
            <w:shd w:val="clear" w:color="auto" w:fill="auto"/>
            <w:vAlign w:val="center"/>
          </w:tcPr>
          <w:p w14:paraId="0086CBC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锰</w:t>
            </w:r>
          </w:p>
        </w:tc>
        <w:tc>
          <w:tcPr>
            <w:tcW w:w="1416" w:type="dxa"/>
            <w:shd w:val="clear" w:color="auto" w:fill="auto"/>
            <w:vAlign w:val="center"/>
          </w:tcPr>
          <w:p w14:paraId="4E4383A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1464" w:type="dxa"/>
            <w:shd w:val="clear" w:color="auto" w:fill="auto"/>
            <w:vAlign w:val="center"/>
          </w:tcPr>
          <w:p w14:paraId="0F1F8F8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1524" w:type="dxa"/>
            <w:shd w:val="clear" w:color="auto" w:fill="auto"/>
            <w:vAlign w:val="center"/>
          </w:tcPr>
          <w:p w14:paraId="48D14B2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1425" w:type="dxa"/>
            <w:shd w:val="clear" w:color="auto" w:fill="auto"/>
            <w:vAlign w:val="center"/>
          </w:tcPr>
          <w:p w14:paraId="203C608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1500" w:type="dxa"/>
            <w:shd w:val="clear" w:color="auto" w:fill="auto"/>
            <w:vAlign w:val="center"/>
          </w:tcPr>
          <w:p w14:paraId="4750A4B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0.03</w:t>
            </w:r>
          </w:p>
        </w:tc>
        <w:tc>
          <w:tcPr>
            <w:tcW w:w="1403" w:type="dxa"/>
            <w:shd w:val="clear" w:color="auto" w:fill="auto"/>
            <w:vAlign w:val="center"/>
          </w:tcPr>
          <w:p w14:paraId="7BCCC43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0.04</w:t>
            </w:r>
          </w:p>
        </w:tc>
        <w:tc>
          <w:tcPr>
            <w:tcW w:w="1602" w:type="dxa"/>
            <w:shd w:val="clear" w:color="auto" w:fill="auto"/>
            <w:vAlign w:val="center"/>
          </w:tcPr>
          <w:p w14:paraId="799179B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c>
          <w:tcPr>
            <w:tcW w:w="1458" w:type="dxa"/>
            <w:shd w:val="clear" w:color="auto" w:fill="auto"/>
            <w:vAlign w:val="center"/>
          </w:tcPr>
          <w:p w14:paraId="5CF6DFE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r>
      <w:tr w:rsidR="009C353B" w14:paraId="15A82A94" w14:textId="77777777">
        <w:trPr>
          <w:trHeight w:val="90"/>
        </w:trPr>
        <w:tc>
          <w:tcPr>
            <w:tcW w:w="1608" w:type="dxa"/>
            <w:shd w:val="clear" w:color="auto" w:fill="auto"/>
            <w:vAlign w:val="center"/>
          </w:tcPr>
          <w:p w14:paraId="2F5DE78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铜</w:t>
            </w:r>
          </w:p>
        </w:tc>
        <w:tc>
          <w:tcPr>
            <w:tcW w:w="1416" w:type="dxa"/>
            <w:shd w:val="clear" w:color="auto" w:fill="auto"/>
            <w:vAlign w:val="center"/>
          </w:tcPr>
          <w:p w14:paraId="4087A6B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464" w:type="dxa"/>
            <w:shd w:val="clear" w:color="auto" w:fill="auto"/>
            <w:vAlign w:val="center"/>
          </w:tcPr>
          <w:p w14:paraId="2F13ACA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524" w:type="dxa"/>
            <w:shd w:val="clear" w:color="auto" w:fill="auto"/>
            <w:vAlign w:val="center"/>
          </w:tcPr>
          <w:p w14:paraId="20D4156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425" w:type="dxa"/>
            <w:shd w:val="clear" w:color="auto" w:fill="auto"/>
            <w:vAlign w:val="center"/>
          </w:tcPr>
          <w:p w14:paraId="0346F9B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500" w:type="dxa"/>
            <w:shd w:val="clear" w:color="auto" w:fill="auto"/>
            <w:vAlign w:val="center"/>
          </w:tcPr>
          <w:p w14:paraId="54E7031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403" w:type="dxa"/>
            <w:shd w:val="clear" w:color="auto" w:fill="auto"/>
            <w:vAlign w:val="center"/>
          </w:tcPr>
          <w:p w14:paraId="3D6ECE9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602" w:type="dxa"/>
            <w:shd w:val="clear" w:color="auto" w:fill="auto"/>
            <w:vAlign w:val="center"/>
          </w:tcPr>
          <w:p w14:paraId="5EF7848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100</w:t>
            </w:r>
          </w:p>
        </w:tc>
        <w:tc>
          <w:tcPr>
            <w:tcW w:w="1458" w:type="dxa"/>
            <w:shd w:val="clear" w:color="auto" w:fill="auto"/>
            <w:vAlign w:val="center"/>
          </w:tcPr>
          <w:p w14:paraId="58A38EB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0.5</w:t>
            </w:r>
          </w:p>
        </w:tc>
      </w:tr>
      <w:tr w:rsidR="009C353B" w14:paraId="2E14228D" w14:textId="77777777">
        <w:trPr>
          <w:trHeight w:val="90"/>
        </w:trPr>
        <w:tc>
          <w:tcPr>
            <w:tcW w:w="1608" w:type="dxa"/>
            <w:shd w:val="clear" w:color="auto" w:fill="auto"/>
            <w:vAlign w:val="center"/>
          </w:tcPr>
          <w:p w14:paraId="6F76268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锌</w:t>
            </w:r>
          </w:p>
        </w:tc>
        <w:tc>
          <w:tcPr>
            <w:tcW w:w="1416" w:type="dxa"/>
            <w:shd w:val="clear" w:color="auto" w:fill="auto"/>
            <w:vAlign w:val="center"/>
          </w:tcPr>
          <w:p w14:paraId="22B14D8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c>
          <w:tcPr>
            <w:tcW w:w="1464" w:type="dxa"/>
            <w:shd w:val="clear" w:color="auto" w:fill="auto"/>
            <w:vAlign w:val="center"/>
          </w:tcPr>
          <w:p w14:paraId="06F731E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c>
          <w:tcPr>
            <w:tcW w:w="1524" w:type="dxa"/>
            <w:shd w:val="clear" w:color="auto" w:fill="auto"/>
            <w:vAlign w:val="center"/>
          </w:tcPr>
          <w:p w14:paraId="5441E47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c>
          <w:tcPr>
            <w:tcW w:w="1425" w:type="dxa"/>
            <w:shd w:val="clear" w:color="auto" w:fill="auto"/>
            <w:vAlign w:val="center"/>
          </w:tcPr>
          <w:p w14:paraId="7EE6DE5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c>
          <w:tcPr>
            <w:tcW w:w="1500" w:type="dxa"/>
            <w:shd w:val="clear" w:color="auto" w:fill="auto"/>
            <w:vAlign w:val="center"/>
          </w:tcPr>
          <w:p w14:paraId="79EC3DB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c>
          <w:tcPr>
            <w:tcW w:w="1403" w:type="dxa"/>
            <w:shd w:val="clear" w:color="auto" w:fill="auto"/>
            <w:vAlign w:val="center"/>
          </w:tcPr>
          <w:p w14:paraId="77078ED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w:t>
            </w:r>
          </w:p>
        </w:tc>
        <w:tc>
          <w:tcPr>
            <w:tcW w:w="1602" w:type="dxa"/>
            <w:shd w:val="clear" w:color="auto" w:fill="auto"/>
            <w:vAlign w:val="center"/>
          </w:tcPr>
          <w:p w14:paraId="77FF71F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100</w:t>
            </w:r>
          </w:p>
        </w:tc>
        <w:tc>
          <w:tcPr>
            <w:tcW w:w="1458" w:type="dxa"/>
            <w:shd w:val="clear" w:color="auto" w:fill="auto"/>
            <w:vAlign w:val="center"/>
          </w:tcPr>
          <w:p w14:paraId="1DC51DC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r>
      <w:tr w:rsidR="009C353B" w14:paraId="551A7289" w14:textId="77777777">
        <w:trPr>
          <w:trHeight w:val="90"/>
        </w:trPr>
        <w:tc>
          <w:tcPr>
            <w:tcW w:w="1608" w:type="dxa"/>
            <w:shd w:val="clear" w:color="auto" w:fill="auto"/>
            <w:vAlign w:val="center"/>
          </w:tcPr>
          <w:p w14:paraId="557E4B1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镍</w:t>
            </w:r>
          </w:p>
        </w:tc>
        <w:tc>
          <w:tcPr>
            <w:tcW w:w="1416" w:type="dxa"/>
            <w:shd w:val="clear" w:color="auto" w:fill="auto"/>
            <w:vAlign w:val="center"/>
          </w:tcPr>
          <w:p w14:paraId="6913C9A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464" w:type="dxa"/>
            <w:shd w:val="clear" w:color="auto" w:fill="auto"/>
            <w:vAlign w:val="center"/>
          </w:tcPr>
          <w:p w14:paraId="372D22F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524" w:type="dxa"/>
            <w:shd w:val="clear" w:color="auto" w:fill="auto"/>
            <w:vAlign w:val="center"/>
          </w:tcPr>
          <w:p w14:paraId="59A3B9F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425" w:type="dxa"/>
            <w:shd w:val="clear" w:color="auto" w:fill="auto"/>
            <w:vAlign w:val="center"/>
          </w:tcPr>
          <w:p w14:paraId="79214CA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500" w:type="dxa"/>
            <w:shd w:val="clear" w:color="auto" w:fill="auto"/>
            <w:vAlign w:val="center"/>
          </w:tcPr>
          <w:p w14:paraId="0D87B24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403" w:type="dxa"/>
            <w:shd w:val="clear" w:color="auto" w:fill="auto"/>
            <w:vAlign w:val="center"/>
          </w:tcPr>
          <w:p w14:paraId="29CE825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0.02L</w:t>
            </w:r>
          </w:p>
        </w:tc>
        <w:tc>
          <w:tcPr>
            <w:tcW w:w="1602" w:type="dxa"/>
            <w:shd w:val="clear" w:color="auto" w:fill="auto"/>
            <w:vAlign w:val="center"/>
          </w:tcPr>
          <w:p w14:paraId="726B20D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1458" w:type="dxa"/>
            <w:shd w:val="clear" w:color="auto" w:fill="auto"/>
            <w:vAlign w:val="center"/>
          </w:tcPr>
          <w:p w14:paraId="12D6CA4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r>
      <w:tr w:rsidR="009C353B" w14:paraId="342549BA" w14:textId="77777777">
        <w:trPr>
          <w:trHeight w:val="90"/>
        </w:trPr>
        <w:tc>
          <w:tcPr>
            <w:tcW w:w="1608" w:type="dxa"/>
            <w:shd w:val="clear" w:color="auto" w:fill="auto"/>
            <w:vAlign w:val="center"/>
          </w:tcPr>
          <w:p w14:paraId="72A8D7D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铍</w:t>
            </w:r>
          </w:p>
        </w:tc>
        <w:tc>
          <w:tcPr>
            <w:tcW w:w="1416" w:type="dxa"/>
            <w:shd w:val="clear" w:color="auto" w:fill="auto"/>
            <w:vAlign w:val="center"/>
          </w:tcPr>
          <w:p w14:paraId="526C7C4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464" w:type="dxa"/>
            <w:shd w:val="clear" w:color="auto" w:fill="auto"/>
            <w:vAlign w:val="center"/>
          </w:tcPr>
          <w:p w14:paraId="26E8029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524" w:type="dxa"/>
            <w:shd w:val="clear" w:color="auto" w:fill="auto"/>
            <w:vAlign w:val="center"/>
          </w:tcPr>
          <w:p w14:paraId="2DB9069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425" w:type="dxa"/>
            <w:shd w:val="clear" w:color="auto" w:fill="auto"/>
            <w:vAlign w:val="center"/>
          </w:tcPr>
          <w:p w14:paraId="2E3DD81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500" w:type="dxa"/>
            <w:shd w:val="clear" w:color="auto" w:fill="auto"/>
            <w:vAlign w:val="center"/>
          </w:tcPr>
          <w:p w14:paraId="1597EE6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403" w:type="dxa"/>
            <w:shd w:val="clear" w:color="auto" w:fill="auto"/>
            <w:vAlign w:val="center"/>
          </w:tcPr>
          <w:p w14:paraId="00A0DB0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0.004L</w:t>
            </w:r>
          </w:p>
        </w:tc>
        <w:tc>
          <w:tcPr>
            <w:tcW w:w="1602" w:type="dxa"/>
            <w:shd w:val="clear" w:color="auto" w:fill="auto"/>
            <w:vAlign w:val="center"/>
          </w:tcPr>
          <w:p w14:paraId="35FF629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0.02</w:t>
            </w:r>
          </w:p>
        </w:tc>
        <w:tc>
          <w:tcPr>
            <w:tcW w:w="1458" w:type="dxa"/>
            <w:shd w:val="clear" w:color="auto" w:fill="auto"/>
            <w:vAlign w:val="center"/>
          </w:tcPr>
          <w:p w14:paraId="217582B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0.005</w:t>
            </w:r>
          </w:p>
        </w:tc>
      </w:tr>
      <w:tr w:rsidR="009C353B" w14:paraId="4F4052FA" w14:textId="77777777">
        <w:trPr>
          <w:trHeight w:val="90"/>
        </w:trPr>
        <w:tc>
          <w:tcPr>
            <w:tcW w:w="1608" w:type="dxa"/>
            <w:shd w:val="clear" w:color="auto" w:fill="auto"/>
            <w:vAlign w:val="center"/>
          </w:tcPr>
          <w:p w14:paraId="158A3FD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钡</w:t>
            </w:r>
          </w:p>
        </w:tc>
        <w:tc>
          <w:tcPr>
            <w:tcW w:w="1416" w:type="dxa"/>
            <w:shd w:val="clear" w:color="auto" w:fill="auto"/>
            <w:vAlign w:val="center"/>
          </w:tcPr>
          <w:p w14:paraId="73BFB15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0.06L</w:t>
            </w:r>
          </w:p>
        </w:tc>
        <w:tc>
          <w:tcPr>
            <w:tcW w:w="1464" w:type="dxa"/>
            <w:shd w:val="clear" w:color="auto" w:fill="auto"/>
            <w:vAlign w:val="center"/>
          </w:tcPr>
          <w:p w14:paraId="1C03EE3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0.06L</w:t>
            </w:r>
          </w:p>
        </w:tc>
        <w:tc>
          <w:tcPr>
            <w:tcW w:w="1524" w:type="dxa"/>
            <w:shd w:val="clear" w:color="auto" w:fill="auto"/>
            <w:vAlign w:val="center"/>
          </w:tcPr>
          <w:p w14:paraId="5DD76F8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0.06L</w:t>
            </w:r>
          </w:p>
        </w:tc>
        <w:tc>
          <w:tcPr>
            <w:tcW w:w="1425" w:type="dxa"/>
            <w:shd w:val="clear" w:color="auto" w:fill="auto"/>
            <w:vAlign w:val="center"/>
          </w:tcPr>
          <w:p w14:paraId="2CDD7D6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0.06L</w:t>
            </w:r>
          </w:p>
        </w:tc>
        <w:tc>
          <w:tcPr>
            <w:tcW w:w="1500" w:type="dxa"/>
            <w:shd w:val="clear" w:color="auto" w:fill="auto"/>
            <w:vAlign w:val="center"/>
          </w:tcPr>
          <w:p w14:paraId="4821CF6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0.06L</w:t>
            </w:r>
          </w:p>
        </w:tc>
        <w:tc>
          <w:tcPr>
            <w:tcW w:w="1403" w:type="dxa"/>
            <w:shd w:val="clear" w:color="auto" w:fill="auto"/>
            <w:vAlign w:val="center"/>
          </w:tcPr>
          <w:p w14:paraId="541FB36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0.06L</w:t>
            </w:r>
          </w:p>
        </w:tc>
        <w:tc>
          <w:tcPr>
            <w:tcW w:w="1602" w:type="dxa"/>
            <w:shd w:val="clear" w:color="auto" w:fill="auto"/>
            <w:vAlign w:val="center"/>
          </w:tcPr>
          <w:p w14:paraId="5F33888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100</w:t>
            </w:r>
          </w:p>
        </w:tc>
        <w:tc>
          <w:tcPr>
            <w:tcW w:w="1458" w:type="dxa"/>
            <w:shd w:val="clear" w:color="auto" w:fill="auto"/>
            <w:vAlign w:val="center"/>
          </w:tcPr>
          <w:p w14:paraId="570AAA9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w:t>
            </w:r>
          </w:p>
        </w:tc>
      </w:tr>
      <w:tr w:rsidR="009C353B" w14:paraId="4EB2A8DD" w14:textId="77777777">
        <w:trPr>
          <w:trHeight w:val="90"/>
        </w:trPr>
        <w:tc>
          <w:tcPr>
            <w:tcW w:w="1608" w:type="dxa"/>
            <w:shd w:val="clear" w:color="auto" w:fill="auto"/>
            <w:vAlign w:val="center"/>
          </w:tcPr>
          <w:p w14:paraId="71BC2A0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银</w:t>
            </w:r>
          </w:p>
        </w:tc>
        <w:tc>
          <w:tcPr>
            <w:tcW w:w="1416" w:type="dxa"/>
            <w:shd w:val="clear" w:color="auto" w:fill="auto"/>
            <w:vAlign w:val="center"/>
          </w:tcPr>
          <w:p w14:paraId="5AA4DC8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464" w:type="dxa"/>
            <w:shd w:val="clear" w:color="auto" w:fill="auto"/>
            <w:vAlign w:val="center"/>
          </w:tcPr>
          <w:p w14:paraId="01AE0C3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524" w:type="dxa"/>
            <w:shd w:val="clear" w:color="auto" w:fill="auto"/>
            <w:vAlign w:val="center"/>
          </w:tcPr>
          <w:p w14:paraId="0D17E25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425" w:type="dxa"/>
            <w:shd w:val="clear" w:color="auto" w:fill="auto"/>
            <w:vAlign w:val="center"/>
          </w:tcPr>
          <w:p w14:paraId="6852F23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500" w:type="dxa"/>
            <w:shd w:val="clear" w:color="auto" w:fill="auto"/>
            <w:vAlign w:val="center"/>
          </w:tcPr>
          <w:p w14:paraId="5122BA7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403" w:type="dxa"/>
            <w:shd w:val="clear" w:color="auto" w:fill="auto"/>
            <w:vAlign w:val="center"/>
          </w:tcPr>
          <w:p w14:paraId="3C58C61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0.01L</w:t>
            </w:r>
          </w:p>
        </w:tc>
        <w:tc>
          <w:tcPr>
            <w:tcW w:w="1602" w:type="dxa"/>
            <w:shd w:val="clear" w:color="auto" w:fill="auto"/>
            <w:vAlign w:val="center"/>
          </w:tcPr>
          <w:p w14:paraId="34B35BA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w:t>
            </w:r>
          </w:p>
        </w:tc>
        <w:tc>
          <w:tcPr>
            <w:tcW w:w="1458" w:type="dxa"/>
            <w:shd w:val="clear" w:color="auto" w:fill="auto"/>
            <w:vAlign w:val="center"/>
          </w:tcPr>
          <w:p w14:paraId="5FD021E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0.5</w:t>
            </w:r>
          </w:p>
        </w:tc>
      </w:tr>
      <w:tr w:rsidR="009C353B" w14:paraId="3F35FDA9" w14:textId="77777777">
        <w:trPr>
          <w:trHeight w:val="90"/>
        </w:trPr>
        <w:tc>
          <w:tcPr>
            <w:tcW w:w="1608" w:type="dxa"/>
            <w:shd w:val="clear" w:color="auto" w:fill="auto"/>
            <w:vAlign w:val="center"/>
          </w:tcPr>
          <w:p w14:paraId="3704F45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硒</w:t>
            </w:r>
          </w:p>
        </w:tc>
        <w:tc>
          <w:tcPr>
            <w:tcW w:w="1416" w:type="dxa"/>
            <w:shd w:val="clear" w:color="auto" w:fill="auto"/>
            <w:vAlign w:val="center"/>
          </w:tcPr>
          <w:p w14:paraId="541F519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0.0006</w:t>
            </w:r>
          </w:p>
        </w:tc>
        <w:tc>
          <w:tcPr>
            <w:tcW w:w="1464" w:type="dxa"/>
            <w:shd w:val="clear" w:color="auto" w:fill="auto"/>
            <w:vAlign w:val="center"/>
          </w:tcPr>
          <w:p w14:paraId="508A552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0.0006</w:t>
            </w:r>
          </w:p>
        </w:tc>
        <w:tc>
          <w:tcPr>
            <w:tcW w:w="1524" w:type="dxa"/>
            <w:shd w:val="clear" w:color="auto" w:fill="auto"/>
            <w:vAlign w:val="center"/>
          </w:tcPr>
          <w:p w14:paraId="65F20C6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0.0006</w:t>
            </w:r>
          </w:p>
        </w:tc>
        <w:tc>
          <w:tcPr>
            <w:tcW w:w="1425" w:type="dxa"/>
            <w:shd w:val="clear" w:color="auto" w:fill="auto"/>
            <w:vAlign w:val="center"/>
          </w:tcPr>
          <w:p w14:paraId="11D233E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0.0007</w:t>
            </w:r>
          </w:p>
        </w:tc>
        <w:tc>
          <w:tcPr>
            <w:tcW w:w="1500" w:type="dxa"/>
            <w:shd w:val="clear" w:color="auto" w:fill="auto"/>
            <w:vAlign w:val="center"/>
          </w:tcPr>
          <w:p w14:paraId="481D8A5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0.0007</w:t>
            </w:r>
          </w:p>
        </w:tc>
        <w:tc>
          <w:tcPr>
            <w:tcW w:w="1403" w:type="dxa"/>
            <w:shd w:val="clear" w:color="auto" w:fill="auto"/>
            <w:vAlign w:val="center"/>
          </w:tcPr>
          <w:p w14:paraId="3050331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0.0006</w:t>
            </w:r>
          </w:p>
        </w:tc>
        <w:tc>
          <w:tcPr>
            <w:tcW w:w="1602" w:type="dxa"/>
            <w:shd w:val="clear" w:color="auto" w:fill="auto"/>
            <w:vAlign w:val="center"/>
          </w:tcPr>
          <w:p w14:paraId="0FC6031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1458" w:type="dxa"/>
            <w:shd w:val="clear" w:color="auto" w:fill="auto"/>
            <w:vAlign w:val="center"/>
          </w:tcPr>
          <w:p w14:paraId="3A71EA4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0.1</w:t>
            </w:r>
          </w:p>
        </w:tc>
      </w:tr>
    </w:tbl>
    <w:p w14:paraId="15512200" w14:textId="77777777" w:rsidR="009C353B" w:rsidRDefault="009C353B">
      <w:pPr>
        <w:pStyle w:val="affffff0"/>
        <w:adjustRightInd w:val="0"/>
        <w:snapToGrid/>
        <w:spacing w:line="440" w:lineRule="exact"/>
        <w:jc w:val="center"/>
        <w:rPr>
          <w:rFonts w:ascii="Times New Roman" w:hAnsi="Times New Roman"/>
          <w:kern w:val="0"/>
        </w:rPr>
        <w:sectPr w:rsidR="009C353B">
          <w:headerReference w:type="default" r:id="rId448"/>
          <w:pgSz w:w="16840" w:h="11907" w:orient="landscape"/>
          <w:pgMar w:top="1418" w:right="1418" w:bottom="1418" w:left="1701" w:header="1134" w:footer="851" w:gutter="0"/>
          <w:paperSrc w:first="7" w:other="7"/>
          <w:cols w:space="720"/>
          <w:docGrid w:linePitch="326"/>
        </w:sectPr>
      </w:pPr>
    </w:p>
    <w:p w14:paraId="6492192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矿区矸石不在《国家危险废物名录》中，根据矸石</w:t>
      </w:r>
      <w:r>
        <w:rPr>
          <w:rFonts w:ascii="Times New Roman" w:hAnsi="Times New Roman" w:hint="eastAsia"/>
        </w:rPr>
        <w:t>浸出</w:t>
      </w:r>
      <w:r>
        <w:rPr>
          <w:rFonts w:ascii="Times New Roman" w:hAnsi="Times New Roman"/>
        </w:rPr>
        <w:t>毒性分析结果，浸出液各项指标均远小于《危险废物鉴别标准</w:t>
      </w:r>
      <w:r>
        <w:rPr>
          <w:rFonts w:ascii="Times New Roman" w:hAnsi="Times New Roman"/>
        </w:rPr>
        <w:t>—</w:t>
      </w:r>
      <w:r>
        <w:rPr>
          <w:rFonts w:ascii="Times New Roman" w:hAnsi="Times New Roman"/>
        </w:rPr>
        <w:t>浸出毒性鉴别》（</w:t>
      </w:r>
      <w:r>
        <w:rPr>
          <w:rFonts w:ascii="Times New Roman" w:hAnsi="Times New Roman"/>
        </w:rPr>
        <w:t>GB5085.3-2007</w:t>
      </w:r>
      <w:r>
        <w:rPr>
          <w:rFonts w:ascii="Times New Roman" w:hAnsi="Times New Roman"/>
        </w:rPr>
        <w:t>）中的各项指标，且浸出液各项指标均未超过《污水综合排放标准》（</w:t>
      </w:r>
      <w:r>
        <w:rPr>
          <w:rFonts w:ascii="Times New Roman" w:hAnsi="Times New Roman"/>
        </w:rPr>
        <w:t>GB8978-1996</w:t>
      </w:r>
      <w:r>
        <w:rPr>
          <w:rFonts w:ascii="Times New Roman" w:hAnsi="Times New Roman"/>
        </w:rPr>
        <w:t>）中一级排放标准规定限值。因此，本矿区矸石不属于危险固体废物，属于第</w:t>
      </w:r>
      <w:r>
        <w:rPr>
          <w:rFonts w:ascii="Times New Roman" w:hAnsi="Times New Roman"/>
        </w:rPr>
        <w:t>Ⅰ</w:t>
      </w:r>
      <w:r>
        <w:rPr>
          <w:rFonts w:ascii="Times New Roman" w:hAnsi="Times New Roman"/>
        </w:rPr>
        <w:t>类一般工业固体废物，</w:t>
      </w:r>
      <w:r>
        <w:rPr>
          <w:rFonts w:ascii="Times New Roman" w:hAnsi="Times New Roman" w:hint="eastAsia"/>
        </w:rPr>
        <w:t>矸石排放场地</w:t>
      </w:r>
      <w:r>
        <w:rPr>
          <w:rFonts w:ascii="Times New Roman" w:hAnsi="Times New Roman"/>
        </w:rPr>
        <w:t>可按</w:t>
      </w:r>
      <w:r>
        <w:rPr>
          <w:rFonts w:ascii="Times New Roman" w:hAnsi="Times New Roman"/>
        </w:rPr>
        <w:t>Ⅰ</w:t>
      </w:r>
      <w:r>
        <w:rPr>
          <w:rFonts w:ascii="Times New Roman" w:hAnsi="Times New Roman"/>
        </w:rPr>
        <w:t>类贮存场设计。</w:t>
      </w:r>
    </w:p>
    <w:p w14:paraId="53DC3ED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环评阶段，煤矿委托编制项目环境影响报告书时，矿井尚未开工建设，无法直接取煤矸石进行分析化验，环评指出“本矿井属石炭二叠系煤层，而其周边矿井均为中侏罗统延安组，煤层赋存条件不同，不具备矸石、炉渣浸出毒性试验类比条件，因此本工程排矸场的设计从最安全的角度出发，按Ⅱ类贮存场设计，矸石场底部防渗系数应达到</w:t>
      </w:r>
      <w:r>
        <w:rPr>
          <w:rFonts w:ascii="Times New Roman" w:hAnsi="Times New Roman" w:hint="eastAsia"/>
        </w:rPr>
        <w:t>1</w:t>
      </w:r>
      <w:r>
        <w:rPr>
          <w:rFonts w:ascii="Times New Roman" w:hAnsi="Times New Roman" w:hint="eastAsia"/>
        </w:rPr>
        <w:t>×</w:t>
      </w:r>
      <w:r>
        <w:rPr>
          <w:rFonts w:ascii="Times New Roman" w:hAnsi="Times New Roman" w:hint="eastAsia"/>
        </w:rPr>
        <w:t>10</w:t>
      </w:r>
      <w:r>
        <w:rPr>
          <w:rFonts w:ascii="Times New Roman" w:hAnsi="Times New Roman" w:hint="eastAsia"/>
          <w:vertAlign w:val="superscript"/>
        </w:rPr>
        <w:t>-7</w:t>
      </w:r>
      <w:r>
        <w:rPr>
          <w:rFonts w:ascii="Times New Roman" w:hAnsi="Times New Roman" w:hint="eastAsia"/>
        </w:rPr>
        <w:t>cm/s</w:t>
      </w:r>
      <w:r>
        <w:rPr>
          <w:rFonts w:ascii="Times New Roman" w:hAnsi="Times New Roman" w:hint="eastAsia"/>
        </w:rPr>
        <w:t>”。根据验收报告及本次监测鉴别结果，本项目煤矸石属于《一般工业固体废物贮存、处置场污染控制标准》（</w:t>
      </w:r>
      <w:r>
        <w:rPr>
          <w:rFonts w:ascii="Times New Roman" w:hAnsi="Times New Roman" w:hint="eastAsia"/>
        </w:rPr>
        <w:t>GB18599-2001</w:t>
      </w:r>
      <w:r>
        <w:rPr>
          <w:rFonts w:ascii="Times New Roman" w:hAnsi="Times New Roman" w:hint="eastAsia"/>
        </w:rPr>
        <w:t>）第Ⅰ类工业固体废物。</w:t>
      </w:r>
    </w:p>
    <w:p w14:paraId="4362BA9B" w14:textId="77777777" w:rsidR="009C353B" w:rsidRDefault="00000000">
      <w:pPr>
        <w:adjustRightInd w:val="0"/>
        <w:snapToGrid w:val="0"/>
        <w:spacing w:line="440" w:lineRule="exact"/>
        <w:ind w:firstLineChars="200" w:firstLine="482"/>
        <w:rPr>
          <w:rFonts w:ascii="Times New Roman" w:hAnsi="Times New Roman"/>
          <w:b/>
          <w:bCs/>
        </w:rPr>
      </w:pPr>
      <w:r>
        <w:rPr>
          <w:rFonts w:ascii="Times New Roman" w:hAnsi="Times New Roman" w:hint="eastAsia"/>
          <w:b/>
          <w:bCs/>
        </w:rPr>
        <w:t>（</w:t>
      </w:r>
      <w:r>
        <w:rPr>
          <w:rFonts w:ascii="Times New Roman" w:hAnsi="Times New Roman" w:hint="eastAsia"/>
          <w:b/>
          <w:bCs/>
        </w:rPr>
        <w:t>2</w:t>
      </w:r>
      <w:r>
        <w:rPr>
          <w:rFonts w:ascii="Times New Roman" w:hAnsi="Times New Roman" w:hint="eastAsia"/>
          <w:b/>
          <w:bCs/>
        </w:rPr>
        <w:t>）</w:t>
      </w:r>
      <w:r>
        <w:rPr>
          <w:rFonts w:ascii="Times New Roman" w:hAnsi="Times New Roman"/>
          <w:b/>
          <w:bCs/>
        </w:rPr>
        <w:t>生活垃圾</w:t>
      </w:r>
    </w:p>
    <w:p w14:paraId="3D9DAE9D"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w:t>
      </w:r>
      <w:r>
        <w:rPr>
          <w:rFonts w:ascii="Times New Roman" w:hAnsi="Times New Roman"/>
        </w:rPr>
        <w:t>产生的生活垃圾主要</w:t>
      </w:r>
      <w:r>
        <w:rPr>
          <w:rFonts w:ascii="Times New Roman" w:hAnsi="Times New Roman" w:hint="eastAsia"/>
        </w:rPr>
        <w:t>由矿井工业场地、辅助</w:t>
      </w:r>
      <w:r>
        <w:rPr>
          <w:rFonts w:ascii="Times New Roman" w:hAnsi="Times New Roman"/>
        </w:rPr>
        <w:t>设施及居住区</w:t>
      </w:r>
      <w:r>
        <w:rPr>
          <w:rFonts w:ascii="Times New Roman" w:hAnsi="Times New Roman" w:hint="eastAsia"/>
        </w:rPr>
        <w:t>的</w:t>
      </w:r>
      <w:r>
        <w:rPr>
          <w:rFonts w:ascii="Times New Roman" w:hAnsi="Times New Roman"/>
        </w:rPr>
        <w:t>人员生产生活产生。</w:t>
      </w:r>
      <w:r>
        <w:rPr>
          <w:rFonts w:ascii="Times New Roman" w:hAnsi="Times New Roman" w:hint="eastAsia"/>
        </w:rPr>
        <w:t>主要来自于煤矿食堂、职工宿舍等。</w:t>
      </w:r>
      <w:r>
        <w:rPr>
          <w:rFonts w:ascii="Times New Roman" w:hAnsi="Times New Roman"/>
        </w:rPr>
        <w:t>生活垃圾可分为有机物和无机物，有机物有厨余、纸类、橡塑、布类、果皮和竹木类等，属于无机类的有玻璃、金属和杂物，包括炉灰、庭院灰土、碎砖瓦等；其中可回收废品包括金属、橡胶、塑料、废纸、玻璃等。有机物和无机物在生活垃圾中的比例随时空不同而不同，近年来，由于居民生活水平的提高，我国城市生活垃圾成分发生了很大的变化，厨余类有机物含量稳定在</w:t>
      </w:r>
      <w:r>
        <w:rPr>
          <w:rFonts w:ascii="Times New Roman" w:hAnsi="Times New Roman"/>
        </w:rPr>
        <w:t>67</w:t>
      </w:r>
      <w:r>
        <w:rPr>
          <w:rFonts w:ascii="Times New Roman" w:hAnsi="Times New Roman"/>
        </w:rPr>
        <w:t>％</w:t>
      </w:r>
      <w:r>
        <w:rPr>
          <w:rFonts w:ascii="Times New Roman" w:hAnsi="Times New Roman"/>
        </w:rPr>
        <w:t>-79</w:t>
      </w:r>
      <w:r>
        <w:rPr>
          <w:rFonts w:ascii="Times New Roman" w:hAnsi="Times New Roman"/>
        </w:rPr>
        <w:t>％，可回收类的有机物含量在</w:t>
      </w:r>
      <w:r>
        <w:rPr>
          <w:rFonts w:ascii="Times New Roman" w:hAnsi="Times New Roman"/>
        </w:rPr>
        <w:t>14</w:t>
      </w:r>
      <w:r>
        <w:rPr>
          <w:rFonts w:ascii="Times New Roman" w:hAnsi="Times New Roman"/>
        </w:rPr>
        <w:t>％</w:t>
      </w:r>
      <w:r>
        <w:rPr>
          <w:rFonts w:ascii="Times New Roman" w:hAnsi="Times New Roman"/>
        </w:rPr>
        <w:t>-26</w:t>
      </w:r>
      <w:r>
        <w:rPr>
          <w:rFonts w:ascii="Times New Roman" w:hAnsi="Times New Roman"/>
        </w:rPr>
        <w:t>％，各城市的有机成分总含量均在</w:t>
      </w:r>
      <w:r>
        <w:rPr>
          <w:rFonts w:ascii="Times New Roman" w:hAnsi="Times New Roman"/>
        </w:rPr>
        <w:t>90</w:t>
      </w:r>
      <w:r>
        <w:rPr>
          <w:rFonts w:ascii="Times New Roman" w:hAnsi="Times New Roman"/>
        </w:rPr>
        <w:t>％以上。</w:t>
      </w:r>
    </w:p>
    <w:p w14:paraId="6540A2DC" w14:textId="77777777" w:rsidR="009C353B" w:rsidRDefault="00000000">
      <w:pPr>
        <w:adjustRightInd w:val="0"/>
        <w:snapToGrid w:val="0"/>
        <w:spacing w:line="440" w:lineRule="exact"/>
        <w:ind w:firstLineChars="200" w:firstLine="482"/>
        <w:rPr>
          <w:rFonts w:ascii="Times New Roman" w:hAnsi="Times New Roman"/>
          <w:b/>
          <w:bCs/>
        </w:rPr>
      </w:pPr>
      <w:r>
        <w:rPr>
          <w:rFonts w:ascii="Times New Roman" w:hAnsi="Times New Roman" w:hint="eastAsia"/>
          <w:b/>
          <w:bCs/>
        </w:rPr>
        <w:t>（</w:t>
      </w:r>
      <w:r>
        <w:rPr>
          <w:rFonts w:ascii="Times New Roman" w:hAnsi="Times New Roman" w:hint="eastAsia"/>
          <w:b/>
          <w:bCs/>
        </w:rPr>
        <w:t>3</w:t>
      </w:r>
      <w:r>
        <w:rPr>
          <w:rFonts w:ascii="Times New Roman" w:hAnsi="Times New Roman" w:hint="eastAsia"/>
          <w:b/>
          <w:bCs/>
        </w:rPr>
        <w:t>）生活污水处理站</w:t>
      </w:r>
      <w:r>
        <w:rPr>
          <w:rFonts w:ascii="Times New Roman" w:hAnsi="Times New Roman"/>
          <w:b/>
          <w:bCs/>
        </w:rPr>
        <w:t>有机污泥</w:t>
      </w:r>
    </w:p>
    <w:p w14:paraId="7BB4CC5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矿区有机污泥主要来自煤矿生产生活污水处理场，其污泥量的大小与污水处理的程度有关。一般来说，一级处理产生的污泥中含有</w:t>
      </w:r>
      <w:r>
        <w:rPr>
          <w:rFonts w:ascii="Times New Roman" w:hAnsi="Times New Roman"/>
        </w:rPr>
        <w:t>3~7%</w:t>
      </w:r>
      <w:r>
        <w:rPr>
          <w:rFonts w:ascii="Times New Roman" w:hAnsi="Times New Roman"/>
        </w:rPr>
        <w:t>的固态物，其中约含</w:t>
      </w:r>
      <w:r>
        <w:rPr>
          <w:rFonts w:ascii="Times New Roman" w:hAnsi="Times New Roman"/>
        </w:rPr>
        <w:t>60~80%</w:t>
      </w:r>
      <w:r>
        <w:rPr>
          <w:rFonts w:ascii="Times New Roman" w:hAnsi="Times New Roman"/>
        </w:rPr>
        <w:t>的有机物，呈灰色、黏性、粗燥和散发恶臭味；二级处理产生的污泥主要由微生物（</w:t>
      </w:r>
      <w:r>
        <w:rPr>
          <w:rFonts w:ascii="Times New Roman" w:hAnsi="Times New Roman"/>
        </w:rPr>
        <w:t>75~90%</w:t>
      </w:r>
      <w:r>
        <w:rPr>
          <w:rFonts w:ascii="Times New Roman" w:hAnsi="Times New Roman"/>
        </w:rPr>
        <w:t>）和惰性物质组成，呈棕色、絮状、带泥土气味，有机物的相对密度一般为</w:t>
      </w:r>
      <w:r>
        <w:rPr>
          <w:rFonts w:ascii="Times New Roman" w:hAnsi="Times New Roman"/>
        </w:rPr>
        <w:t>1.01~1.06</w:t>
      </w:r>
      <w:r>
        <w:rPr>
          <w:rFonts w:ascii="Times New Roman" w:hAnsi="Times New Roman"/>
        </w:rPr>
        <w:t>，无机颗粒物的相对密度为</w:t>
      </w:r>
      <w:r>
        <w:rPr>
          <w:rFonts w:ascii="Times New Roman" w:hAnsi="Times New Roman"/>
        </w:rPr>
        <w:t>2.5</w:t>
      </w:r>
      <w:r>
        <w:rPr>
          <w:rFonts w:ascii="Times New Roman" w:hAnsi="Times New Roman"/>
        </w:rPr>
        <w:t>，含有较多的絮状体机少量的纤维状物质；三级处理产生的污泥与其处理单元过程有关，除磷时产生的化学污泥较难处理，而采用生物硝化</w:t>
      </w:r>
      <w:r>
        <w:rPr>
          <w:rFonts w:ascii="Times New Roman" w:hAnsi="Times New Roman"/>
        </w:rPr>
        <w:t>-</w:t>
      </w:r>
      <w:r>
        <w:rPr>
          <w:rFonts w:ascii="Times New Roman" w:hAnsi="Times New Roman"/>
        </w:rPr>
        <w:t>反硝化过程的污泥与剩余活性污泥相似。</w:t>
      </w:r>
    </w:p>
    <w:p w14:paraId="62109141" w14:textId="77777777" w:rsidR="009C353B" w:rsidRDefault="00000000">
      <w:pPr>
        <w:adjustRightInd w:val="0"/>
        <w:snapToGrid w:val="0"/>
        <w:spacing w:line="440" w:lineRule="exact"/>
        <w:ind w:firstLineChars="200" w:firstLine="482"/>
        <w:rPr>
          <w:rFonts w:ascii="Times New Roman" w:hAnsi="Times New Roman"/>
          <w:b/>
          <w:bCs/>
        </w:rPr>
      </w:pPr>
      <w:r>
        <w:rPr>
          <w:rFonts w:ascii="Times New Roman" w:hAnsi="Times New Roman" w:hint="eastAsia"/>
          <w:b/>
          <w:bCs/>
        </w:rPr>
        <w:t>（</w:t>
      </w:r>
      <w:r>
        <w:rPr>
          <w:rFonts w:ascii="Times New Roman" w:hAnsi="Times New Roman" w:hint="eastAsia"/>
          <w:b/>
          <w:bCs/>
        </w:rPr>
        <w:t>4</w:t>
      </w:r>
      <w:r>
        <w:rPr>
          <w:rFonts w:ascii="Times New Roman" w:hAnsi="Times New Roman" w:hint="eastAsia"/>
          <w:b/>
          <w:bCs/>
        </w:rPr>
        <w:t>）危险废物</w:t>
      </w:r>
    </w:p>
    <w:p w14:paraId="30A14E7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危险废物包括废矿物油及废油桶。废矿物油是因受杂质污染，氧化和热的作用，改变了原有的理化性能而不能继续使用时被更换下来的油；主要成分是含碳原子数比较少的</w:t>
      </w:r>
      <w:hyperlink r:id="rId449" w:tgtFrame="https://baike.baidu.com/item/%E5%BA%9F%E7%9F%BF%E7%89%A9%E6%B2%B9/_blank" w:history="1">
        <w:r>
          <w:rPr>
            <w:rFonts w:ascii="Times New Roman" w:hAnsi="Times New Roman"/>
          </w:rPr>
          <w:t>烃类</w:t>
        </w:r>
      </w:hyperlink>
      <w:r>
        <w:rPr>
          <w:rFonts w:ascii="Times New Roman" w:hAnsi="Times New Roman"/>
        </w:rPr>
        <w:t>物质，多数是</w:t>
      </w:r>
      <w:hyperlink r:id="rId450" w:tgtFrame="https://baike.baidu.com/item/%E5%BA%9F%E7%9F%BF%E7%89%A9%E6%B2%B9/_blank" w:history="1">
        <w:r>
          <w:rPr>
            <w:rFonts w:ascii="Times New Roman" w:hAnsi="Times New Roman"/>
          </w:rPr>
          <w:t>不饱和烃</w:t>
        </w:r>
      </w:hyperlink>
      <w:r>
        <w:rPr>
          <w:rFonts w:ascii="Times New Roman" w:hAnsi="Times New Roman"/>
        </w:rPr>
        <w:t>。其主要成分是</w:t>
      </w:r>
      <w:hyperlink r:id="rId451" w:tgtFrame="https://baike.baidu.com/item/%E5%BA%9F%E7%9F%BF%E7%89%A9%E6%B2%B9/_blank" w:history="1">
        <w:r>
          <w:rPr>
            <w:rFonts w:ascii="Times New Roman" w:hAnsi="Times New Roman"/>
          </w:rPr>
          <w:t>链长</w:t>
        </w:r>
      </w:hyperlink>
      <w:r>
        <w:rPr>
          <w:rFonts w:ascii="Times New Roman" w:hAnsi="Times New Roman"/>
        </w:rPr>
        <w:t>不等的碳氢化合物，性能稳定。</w:t>
      </w:r>
      <w:r>
        <w:rPr>
          <w:rFonts w:ascii="Times New Roman" w:hAnsi="Times New Roman" w:hint="eastAsia"/>
        </w:rPr>
        <w:t>根据《国家危险废物名录</w:t>
      </w:r>
      <w:r>
        <w:rPr>
          <w:rFonts w:ascii="Times New Roman" w:hAnsi="Times New Roman" w:hint="eastAsia"/>
        </w:rPr>
        <w:t>2020</w:t>
      </w:r>
      <w:r>
        <w:rPr>
          <w:rFonts w:ascii="Times New Roman" w:hAnsi="Times New Roman" w:hint="eastAsia"/>
        </w:rPr>
        <w:t>》，废矿物油的危险特性为毒性和易燃性。</w:t>
      </w:r>
    </w:p>
    <w:p w14:paraId="374D167C"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6</w:t>
      </w:r>
      <w:r>
        <w:rPr>
          <w:rFonts w:ascii="Times New Roman" w:hAnsi="Times New Roman"/>
          <w:sz w:val="24"/>
        </w:rPr>
        <w:t xml:space="preserve">.6.3 </w:t>
      </w:r>
      <w:r>
        <w:rPr>
          <w:rFonts w:ascii="Times New Roman" w:hAnsi="Times New Roman"/>
          <w:sz w:val="24"/>
        </w:rPr>
        <w:t>固体废物处理处置方式</w:t>
      </w:r>
    </w:p>
    <w:p w14:paraId="23645D4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横城矿区中，马莲台矿井、</w:t>
      </w:r>
      <w:r>
        <w:rPr>
          <w:rFonts w:ascii="Times New Roman" w:hAnsi="Times New Roman"/>
        </w:rPr>
        <w:t>红石湾矿井、任家庄</w:t>
      </w:r>
      <w:r>
        <w:rPr>
          <w:rFonts w:ascii="Times New Roman" w:hAnsi="Times New Roman" w:hint="eastAsia"/>
        </w:rPr>
        <w:t>矿井为现有生产矿井，</w:t>
      </w:r>
      <w:r>
        <w:rPr>
          <w:rFonts w:ascii="Times New Roman" w:hAnsi="Times New Roman"/>
        </w:rPr>
        <w:t>丁家梁矿井</w:t>
      </w:r>
      <w:r>
        <w:rPr>
          <w:rFonts w:ascii="Times New Roman" w:hAnsi="Times New Roman" w:hint="eastAsia"/>
        </w:rPr>
        <w:t>为在建矿井。</w:t>
      </w:r>
    </w:p>
    <w:p w14:paraId="5C5C2D09" w14:textId="77777777" w:rsidR="009C353B" w:rsidRDefault="00000000">
      <w:pPr>
        <w:adjustRightInd w:val="0"/>
        <w:snapToGrid w:val="0"/>
        <w:spacing w:line="440" w:lineRule="exact"/>
        <w:ind w:firstLineChars="200" w:firstLine="482"/>
        <w:rPr>
          <w:rFonts w:ascii="Times New Roman" w:hAnsi="Times New Roman"/>
          <w:b/>
          <w:bCs/>
        </w:rPr>
      </w:pPr>
      <w:r>
        <w:rPr>
          <w:rFonts w:ascii="Times New Roman" w:hAnsi="Times New Roman" w:hint="eastAsia"/>
          <w:b/>
          <w:bCs/>
        </w:rPr>
        <w:t>（</w:t>
      </w:r>
      <w:r>
        <w:rPr>
          <w:rFonts w:ascii="Times New Roman" w:hAnsi="Times New Roman" w:hint="eastAsia"/>
          <w:b/>
          <w:bCs/>
        </w:rPr>
        <w:t>1</w:t>
      </w:r>
      <w:r>
        <w:rPr>
          <w:rFonts w:ascii="Times New Roman" w:hAnsi="Times New Roman" w:hint="eastAsia"/>
          <w:b/>
          <w:bCs/>
        </w:rPr>
        <w:t>）</w:t>
      </w:r>
      <w:r>
        <w:rPr>
          <w:rFonts w:ascii="Times New Roman" w:hAnsi="Times New Roman"/>
          <w:b/>
          <w:bCs/>
        </w:rPr>
        <w:t xml:space="preserve"> </w:t>
      </w:r>
      <w:r>
        <w:rPr>
          <w:rFonts w:ascii="Times New Roman" w:hAnsi="Times New Roman"/>
          <w:b/>
          <w:bCs/>
        </w:rPr>
        <w:t>建设期固体废弃物处置</w:t>
      </w:r>
    </w:p>
    <w:p w14:paraId="573898D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规划阶段仅丁家梁矿井在建，其</w:t>
      </w:r>
      <w:r>
        <w:rPr>
          <w:rFonts w:ascii="Times New Roman" w:hAnsi="Times New Roman"/>
        </w:rPr>
        <w:t>井巷工程</w:t>
      </w:r>
      <w:r>
        <w:rPr>
          <w:rFonts w:ascii="Times New Roman" w:hAnsi="Times New Roman" w:hint="eastAsia"/>
        </w:rPr>
        <w:t>、工业场地平整、道路建设等工作</w:t>
      </w:r>
      <w:r>
        <w:rPr>
          <w:rFonts w:ascii="Times New Roman" w:hAnsi="Times New Roman"/>
        </w:rPr>
        <w:t>已基本完成建设，因此产生的</w:t>
      </w:r>
      <w:r>
        <w:rPr>
          <w:rFonts w:ascii="Times New Roman" w:hAnsi="Times New Roman" w:hint="eastAsia"/>
        </w:rPr>
        <w:t>建设期固废</w:t>
      </w:r>
      <w:r>
        <w:rPr>
          <w:rFonts w:ascii="Times New Roman" w:hAnsi="Times New Roman"/>
        </w:rPr>
        <w:t>量很少</w:t>
      </w:r>
      <w:r>
        <w:rPr>
          <w:rFonts w:ascii="Times New Roman" w:hAnsi="Times New Roman" w:hint="eastAsia"/>
        </w:rPr>
        <w:t>。要求其</w:t>
      </w:r>
      <w:r>
        <w:rPr>
          <w:rFonts w:ascii="Times New Roman" w:hAnsi="Times New Roman"/>
        </w:rPr>
        <w:t>固体废物严禁乱堆乱放，临时堆放应加盖遮挡物或进行植被覆盖，永久弃用的固体废弃物运至集中处置场，并进行拦挡、覆土、复垦处置，防止固体废弃物乱堆乱放产生水土流失、扬尘。</w:t>
      </w:r>
    </w:p>
    <w:p w14:paraId="314C89DC" w14:textId="77777777" w:rsidR="009C353B" w:rsidRDefault="00000000">
      <w:pPr>
        <w:adjustRightInd w:val="0"/>
        <w:snapToGrid w:val="0"/>
        <w:spacing w:line="440" w:lineRule="exact"/>
        <w:ind w:firstLineChars="200" w:firstLine="482"/>
        <w:rPr>
          <w:rFonts w:ascii="Times New Roman" w:hAnsi="Times New Roman"/>
          <w:b/>
          <w:bCs/>
        </w:rPr>
      </w:pPr>
      <w:r>
        <w:rPr>
          <w:rFonts w:ascii="Times New Roman" w:hAnsi="Times New Roman" w:hint="eastAsia"/>
          <w:b/>
          <w:bCs/>
        </w:rPr>
        <w:t>（</w:t>
      </w:r>
      <w:r>
        <w:rPr>
          <w:rFonts w:ascii="Times New Roman" w:hAnsi="Times New Roman" w:hint="eastAsia"/>
          <w:b/>
          <w:bCs/>
        </w:rPr>
        <w:t>2</w:t>
      </w:r>
      <w:r>
        <w:rPr>
          <w:rFonts w:ascii="Times New Roman" w:hAnsi="Times New Roman" w:hint="eastAsia"/>
          <w:b/>
          <w:bCs/>
        </w:rPr>
        <w:t>）生产期矸石处理与处置</w:t>
      </w:r>
    </w:p>
    <w:p w14:paraId="60518C4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横城矿区各矿井</w:t>
      </w:r>
      <w:r>
        <w:rPr>
          <w:rFonts w:ascii="Times New Roman" w:hAnsi="Times New Roman"/>
        </w:rPr>
        <w:t>矸石</w:t>
      </w:r>
      <w:r>
        <w:rPr>
          <w:rFonts w:ascii="Times New Roman" w:hAnsi="Times New Roman" w:hint="eastAsia"/>
        </w:rPr>
        <w:t>现状见</w:t>
      </w:r>
      <w:r>
        <w:rPr>
          <w:rFonts w:ascii="Times New Roman" w:hAnsi="Times New Roman"/>
        </w:rPr>
        <w:t>表</w:t>
      </w:r>
      <w:r>
        <w:rPr>
          <w:rFonts w:ascii="Times New Roman" w:hAnsi="Times New Roman"/>
        </w:rPr>
        <w:t>6.6</w:t>
      </w:r>
      <w:r>
        <w:rPr>
          <w:rFonts w:ascii="Times New Roman" w:hAnsi="Times New Roman" w:hint="eastAsia"/>
        </w:rPr>
        <w:t>-3</w:t>
      </w:r>
      <w:r>
        <w:rPr>
          <w:rFonts w:ascii="Times New Roman" w:hAnsi="Times New Roman" w:hint="eastAsia"/>
        </w:rPr>
        <w:t>。</w:t>
      </w:r>
    </w:p>
    <w:p w14:paraId="337F1A9E" w14:textId="77777777" w:rsidR="009C353B" w:rsidRDefault="00000000">
      <w:pPr>
        <w:pStyle w:val="affffff0"/>
        <w:adjustRightInd w:val="0"/>
        <w:spacing w:line="240" w:lineRule="auto"/>
        <w:ind w:firstLine="482"/>
        <w:jc w:val="center"/>
        <w:rPr>
          <w:rFonts w:ascii="Times New Roman" w:hAnsi="Times New Roman"/>
        </w:rPr>
      </w:pPr>
      <w:r>
        <w:rPr>
          <w:rFonts w:ascii="Times New Roman" w:hAnsi="Times New Roman"/>
        </w:rPr>
        <w:t>矿区</w:t>
      </w:r>
      <w:r>
        <w:rPr>
          <w:rFonts w:ascii="Times New Roman" w:hAnsi="Times New Roman" w:hint="eastAsia"/>
        </w:rPr>
        <w:t>内各矿井矸石现状及</w:t>
      </w:r>
      <w:r>
        <w:rPr>
          <w:rFonts w:ascii="Times New Roman" w:hAnsi="Times New Roman"/>
        </w:rPr>
        <w:t>规划</w:t>
      </w:r>
      <w:r>
        <w:rPr>
          <w:rFonts w:ascii="Times New Roman" w:hAnsi="Times New Roman" w:hint="eastAsia"/>
        </w:rPr>
        <w:t>处置方式</w:t>
      </w:r>
      <w:r>
        <w:rPr>
          <w:rFonts w:ascii="Times New Roman" w:hAnsi="Times New Roman"/>
        </w:rPr>
        <w:t>一览表</w:t>
      </w:r>
    </w:p>
    <w:p w14:paraId="2E2CFA4A" w14:textId="77777777" w:rsidR="009C353B" w:rsidRDefault="00000000">
      <w:pPr>
        <w:pStyle w:val="affffd"/>
        <w:spacing w:line="240" w:lineRule="auto"/>
        <w:rPr>
          <w:rFonts w:ascii="Times New Roman" w:hAnsi="Times New Roman"/>
        </w:rPr>
      </w:pPr>
      <w:r>
        <w:rPr>
          <w:rFonts w:ascii="Times New Roman" w:hAnsi="Times New Roman"/>
        </w:rPr>
        <w:t>表</w:t>
      </w:r>
      <w:r>
        <w:rPr>
          <w:rFonts w:ascii="Times New Roman" w:hAnsi="Times New Roman"/>
        </w:rPr>
        <w:t>6.6</w:t>
      </w:r>
      <w:r>
        <w:rPr>
          <w:rFonts w:ascii="Times New Roman" w:hAnsi="Times New Roman" w:hint="eastAsia"/>
        </w:rPr>
        <w:t>-</w:t>
      </w:r>
      <w:r>
        <w:rPr>
          <w:rFonts w:ascii="Times New Roman" w:hAnsi="Times New Roman"/>
        </w:rPr>
        <w:t>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453"/>
        <w:gridCol w:w="1163"/>
        <w:gridCol w:w="6245"/>
      </w:tblGrid>
      <w:tr w:rsidR="009C353B" w14:paraId="69194525" w14:textId="77777777">
        <w:trPr>
          <w:trHeight w:val="448"/>
          <w:jc w:val="center"/>
        </w:trPr>
        <w:tc>
          <w:tcPr>
            <w:tcW w:w="426" w:type="dxa"/>
            <w:vAlign w:val="center"/>
          </w:tcPr>
          <w:p w14:paraId="0E8AA906" w14:textId="77777777" w:rsidR="009C353B" w:rsidRDefault="00000000">
            <w:pPr>
              <w:snapToGrid w:val="0"/>
              <w:ind w:leftChars="-57" w:left="-137" w:rightChars="-64" w:right="-154"/>
              <w:jc w:val="center"/>
              <w:rPr>
                <w:rFonts w:ascii="Times New Roman" w:hAnsi="Times New Roman"/>
                <w:sz w:val="21"/>
                <w:szCs w:val="21"/>
              </w:rPr>
            </w:pPr>
            <w:bookmarkStart w:id="270" w:name="OLE_LINK3"/>
            <w:r>
              <w:rPr>
                <w:rFonts w:ascii="Times New Roman" w:hAnsi="Times New Roman" w:hint="eastAsia"/>
                <w:sz w:val="21"/>
                <w:szCs w:val="21"/>
              </w:rPr>
              <w:t>序号</w:t>
            </w:r>
          </w:p>
        </w:tc>
        <w:tc>
          <w:tcPr>
            <w:tcW w:w="1453" w:type="dxa"/>
            <w:vAlign w:val="center"/>
          </w:tcPr>
          <w:p w14:paraId="7883113C"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sz w:val="21"/>
                <w:szCs w:val="21"/>
              </w:rPr>
              <w:t>名称</w:t>
            </w:r>
          </w:p>
        </w:tc>
        <w:tc>
          <w:tcPr>
            <w:tcW w:w="1163" w:type="dxa"/>
            <w:vAlign w:val="center"/>
          </w:tcPr>
          <w:p w14:paraId="573924A1" w14:textId="77777777" w:rsidR="009C353B" w:rsidRDefault="00000000">
            <w:pPr>
              <w:snapToGrid w:val="0"/>
              <w:ind w:rightChars="-64" w:right="-154"/>
              <w:jc w:val="center"/>
              <w:rPr>
                <w:rFonts w:ascii="Times New Roman" w:hAnsi="Times New Roman"/>
                <w:sz w:val="21"/>
                <w:szCs w:val="21"/>
              </w:rPr>
            </w:pPr>
            <w:r>
              <w:rPr>
                <w:rFonts w:ascii="Times New Roman" w:hAnsi="Times New Roman"/>
                <w:sz w:val="21"/>
                <w:szCs w:val="21"/>
              </w:rPr>
              <w:t>矸石产量</w:t>
            </w:r>
          </w:p>
          <w:p w14:paraId="463F1BD0" w14:textId="77777777" w:rsidR="009C353B" w:rsidRDefault="00000000">
            <w:pPr>
              <w:snapToGrid w:val="0"/>
              <w:ind w:rightChars="-64" w:right="-154"/>
              <w:jc w:val="center"/>
              <w:rPr>
                <w:rFonts w:ascii="Times New Roman" w:hAnsi="Times New Roman"/>
                <w:sz w:val="21"/>
                <w:szCs w:val="21"/>
              </w:rPr>
            </w:pPr>
            <w:r>
              <w:rPr>
                <w:rFonts w:ascii="Times New Roman" w:hAnsi="Times New Roman" w:hint="eastAsia"/>
                <w:sz w:val="21"/>
                <w:szCs w:val="21"/>
              </w:rPr>
              <w:t>（万</w:t>
            </w:r>
            <w:r>
              <w:rPr>
                <w:rFonts w:ascii="Times New Roman" w:hAnsi="Times New Roman"/>
                <w:sz w:val="21"/>
                <w:szCs w:val="21"/>
              </w:rPr>
              <w:t>t/ a</w:t>
            </w:r>
            <w:r>
              <w:rPr>
                <w:rFonts w:ascii="Times New Roman" w:hAnsi="Times New Roman" w:hint="eastAsia"/>
                <w:sz w:val="21"/>
                <w:szCs w:val="21"/>
              </w:rPr>
              <w:t>）</w:t>
            </w:r>
          </w:p>
        </w:tc>
        <w:tc>
          <w:tcPr>
            <w:tcW w:w="6245" w:type="dxa"/>
            <w:vAlign w:val="center"/>
          </w:tcPr>
          <w:p w14:paraId="7E1AE6E8"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hint="eastAsia"/>
                <w:sz w:val="21"/>
                <w:szCs w:val="21"/>
              </w:rPr>
              <w:t>矸石处置现状及规划处置措施</w:t>
            </w:r>
          </w:p>
        </w:tc>
      </w:tr>
      <w:tr w:rsidR="009C353B" w14:paraId="70242951" w14:textId="77777777">
        <w:trPr>
          <w:trHeight w:val="316"/>
          <w:jc w:val="center"/>
        </w:trPr>
        <w:tc>
          <w:tcPr>
            <w:tcW w:w="426" w:type="dxa"/>
            <w:vAlign w:val="center"/>
          </w:tcPr>
          <w:p w14:paraId="097E87D1"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hint="eastAsia"/>
                <w:sz w:val="21"/>
                <w:szCs w:val="21"/>
              </w:rPr>
              <w:t>1</w:t>
            </w:r>
          </w:p>
        </w:tc>
        <w:tc>
          <w:tcPr>
            <w:tcW w:w="1453" w:type="dxa"/>
            <w:vAlign w:val="center"/>
          </w:tcPr>
          <w:p w14:paraId="562D1B91"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红石湾煤矿及选煤厂</w:t>
            </w:r>
          </w:p>
        </w:tc>
        <w:tc>
          <w:tcPr>
            <w:tcW w:w="1163" w:type="dxa"/>
            <w:vAlign w:val="center"/>
          </w:tcPr>
          <w:p w14:paraId="1B875DD3"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掘进：</w:t>
            </w:r>
            <w:r>
              <w:rPr>
                <w:rFonts w:ascii="Times New Roman" w:hAnsi="Times New Roman"/>
                <w:sz w:val="21"/>
                <w:szCs w:val="21"/>
              </w:rPr>
              <w:t>8.7</w:t>
            </w:r>
          </w:p>
          <w:p w14:paraId="33271A74"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洗选：</w:t>
            </w:r>
            <w:r>
              <w:rPr>
                <w:rFonts w:ascii="Times New Roman" w:hAnsi="Times New Roman" w:hint="eastAsia"/>
                <w:sz w:val="21"/>
                <w:szCs w:val="21"/>
              </w:rPr>
              <w:t>36</w:t>
            </w:r>
          </w:p>
        </w:tc>
        <w:tc>
          <w:tcPr>
            <w:tcW w:w="6245" w:type="dxa"/>
            <w:vAlign w:val="center"/>
          </w:tcPr>
          <w:p w14:paraId="7E2EB3D2"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矿井建设临时排矸场</w:t>
            </w:r>
            <w:r>
              <w:rPr>
                <w:rFonts w:ascii="Times New Roman" w:hAnsi="Times New Roman" w:hint="eastAsia"/>
                <w:sz w:val="21"/>
                <w:szCs w:val="21"/>
              </w:rPr>
              <w:t>1</w:t>
            </w:r>
            <w:r>
              <w:rPr>
                <w:rFonts w:ascii="Times New Roman" w:hAnsi="Times New Roman" w:hint="eastAsia"/>
                <w:sz w:val="21"/>
                <w:szCs w:val="21"/>
              </w:rPr>
              <w:t>座，位于工业场地西南侧</w:t>
            </w:r>
            <w:r>
              <w:rPr>
                <w:rFonts w:ascii="Times New Roman" w:hAnsi="Times New Roman" w:hint="eastAsia"/>
                <w:sz w:val="21"/>
                <w:szCs w:val="21"/>
              </w:rPr>
              <w:t>2km</w:t>
            </w:r>
            <w:r>
              <w:rPr>
                <w:rFonts w:ascii="Times New Roman" w:hAnsi="Times New Roman" w:hint="eastAsia"/>
                <w:sz w:val="21"/>
                <w:szCs w:val="21"/>
              </w:rPr>
              <w:t>处，占地面积</w:t>
            </w:r>
            <w:r>
              <w:rPr>
                <w:rFonts w:ascii="Times New Roman" w:hAnsi="Times New Roman" w:hint="eastAsia"/>
                <w:sz w:val="21"/>
                <w:szCs w:val="21"/>
              </w:rPr>
              <w:t>2.00hm</w:t>
            </w:r>
            <w:r>
              <w:rPr>
                <w:rFonts w:ascii="Times New Roman" w:hAnsi="Times New Roman" w:hint="eastAsia"/>
                <w:sz w:val="21"/>
                <w:szCs w:val="21"/>
                <w:vertAlign w:val="superscript"/>
              </w:rPr>
              <w:t>2</w:t>
            </w:r>
            <w:r>
              <w:rPr>
                <w:rFonts w:ascii="Times New Roman" w:hAnsi="Times New Roman" w:hint="eastAsia"/>
                <w:sz w:val="21"/>
                <w:szCs w:val="21"/>
              </w:rPr>
              <w:t>，总库容</w:t>
            </w:r>
            <w:r>
              <w:rPr>
                <w:rFonts w:ascii="Times New Roman" w:hAnsi="Times New Roman" w:hint="eastAsia"/>
                <w:sz w:val="21"/>
                <w:szCs w:val="21"/>
              </w:rPr>
              <w:t>14</w:t>
            </w:r>
            <w:r>
              <w:rPr>
                <w:rFonts w:ascii="Times New Roman" w:hAnsi="Times New Roman" w:hint="eastAsia"/>
                <w:sz w:val="21"/>
                <w:szCs w:val="21"/>
              </w:rPr>
              <w:t>万</w:t>
            </w:r>
            <w:r>
              <w:rPr>
                <w:rFonts w:ascii="Times New Roman" w:hAnsi="Times New Roman" w:hint="eastAsia"/>
                <w:sz w:val="21"/>
                <w:szCs w:val="21"/>
              </w:rPr>
              <w:t>m</w:t>
            </w:r>
            <w:r>
              <w:rPr>
                <w:rFonts w:ascii="Times New Roman" w:hAnsi="Times New Roman" w:hint="eastAsia"/>
                <w:sz w:val="21"/>
                <w:szCs w:val="21"/>
                <w:vertAlign w:val="superscript"/>
              </w:rPr>
              <w:t>3</w:t>
            </w:r>
            <w:r>
              <w:rPr>
                <w:rFonts w:ascii="Times New Roman" w:hAnsi="Times New Roman" w:hint="eastAsia"/>
                <w:sz w:val="21"/>
                <w:szCs w:val="21"/>
              </w:rPr>
              <w:t>。排矸场目前已暂存矸石</w:t>
            </w:r>
            <w:r>
              <w:rPr>
                <w:rFonts w:ascii="Times New Roman" w:hAnsi="Times New Roman" w:hint="eastAsia"/>
                <w:sz w:val="21"/>
                <w:szCs w:val="21"/>
              </w:rPr>
              <w:t>16.61</w:t>
            </w:r>
            <w:r>
              <w:rPr>
                <w:rFonts w:ascii="Times New Roman" w:hAnsi="Times New Roman" w:hint="eastAsia"/>
                <w:sz w:val="21"/>
                <w:szCs w:val="21"/>
              </w:rPr>
              <w:t>万</w:t>
            </w:r>
            <w:r>
              <w:rPr>
                <w:rFonts w:ascii="Times New Roman" w:hAnsi="Times New Roman" w:hint="eastAsia"/>
                <w:sz w:val="21"/>
                <w:szCs w:val="21"/>
              </w:rPr>
              <w:t>t</w:t>
            </w:r>
            <w:r>
              <w:rPr>
                <w:rFonts w:ascii="Times New Roman" w:hAnsi="Times New Roman" w:hint="eastAsia"/>
                <w:sz w:val="21"/>
                <w:szCs w:val="21"/>
              </w:rPr>
              <w:t>（</w:t>
            </w:r>
            <w:r>
              <w:rPr>
                <w:rFonts w:ascii="Times New Roman" w:hAnsi="Times New Roman" w:hint="eastAsia"/>
                <w:sz w:val="21"/>
                <w:szCs w:val="21"/>
              </w:rPr>
              <w:t>10.38</w:t>
            </w:r>
            <w:r>
              <w:rPr>
                <w:rFonts w:ascii="Times New Roman" w:hAnsi="Times New Roman" w:hint="eastAsia"/>
                <w:sz w:val="21"/>
                <w:szCs w:val="21"/>
              </w:rPr>
              <w:t>万</w:t>
            </w:r>
            <w:r>
              <w:rPr>
                <w:rFonts w:ascii="Times New Roman" w:hAnsi="Times New Roman" w:hint="eastAsia"/>
                <w:sz w:val="21"/>
                <w:szCs w:val="21"/>
              </w:rPr>
              <w:t>m</w:t>
            </w:r>
            <w:r>
              <w:rPr>
                <w:rFonts w:ascii="Times New Roman" w:hAnsi="Times New Roman" w:hint="eastAsia"/>
                <w:sz w:val="21"/>
                <w:szCs w:val="21"/>
                <w:vertAlign w:val="superscript"/>
              </w:rPr>
              <w:t>3</w:t>
            </w:r>
            <w:r>
              <w:rPr>
                <w:rFonts w:ascii="Times New Roman" w:hAnsi="Times New Roman" w:hint="eastAsia"/>
                <w:sz w:val="21"/>
                <w:szCs w:val="21"/>
              </w:rPr>
              <w:t>），剩余容量</w:t>
            </w:r>
            <w:r>
              <w:rPr>
                <w:rFonts w:ascii="Times New Roman" w:hAnsi="Times New Roman" w:hint="eastAsia"/>
                <w:sz w:val="21"/>
                <w:szCs w:val="21"/>
              </w:rPr>
              <w:t>3.62</w:t>
            </w:r>
            <w:r>
              <w:rPr>
                <w:rFonts w:ascii="Times New Roman" w:hAnsi="Times New Roman" w:hint="eastAsia"/>
                <w:sz w:val="21"/>
                <w:szCs w:val="21"/>
              </w:rPr>
              <w:t>万</w:t>
            </w:r>
            <w:r>
              <w:rPr>
                <w:rFonts w:ascii="Times New Roman" w:hAnsi="Times New Roman" w:hint="eastAsia"/>
                <w:sz w:val="21"/>
                <w:szCs w:val="21"/>
              </w:rPr>
              <w:t>m</w:t>
            </w:r>
            <w:r>
              <w:rPr>
                <w:rFonts w:ascii="Times New Roman" w:hAnsi="Times New Roman" w:hint="eastAsia"/>
                <w:sz w:val="21"/>
                <w:szCs w:val="21"/>
                <w:vertAlign w:val="superscript"/>
              </w:rPr>
              <w:t>3</w:t>
            </w:r>
            <w:r>
              <w:rPr>
                <w:rFonts w:ascii="Times New Roman" w:hAnsi="Times New Roman" w:hint="eastAsia"/>
                <w:sz w:val="21"/>
                <w:szCs w:val="21"/>
              </w:rPr>
              <w:t>，后续矸石充填沉陷区。目前无洗选矸石产生。</w:t>
            </w:r>
          </w:p>
          <w:p w14:paraId="60B57DC4"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矿井原煤破碎筛分过程中产生的煤矸石部分送灵州矸石电厂进行综合利用，剩余部分送排矸场暂存。</w:t>
            </w:r>
          </w:p>
          <w:p w14:paraId="2DA6B96C" w14:textId="77777777" w:rsidR="009C353B" w:rsidRDefault="00000000">
            <w:pPr>
              <w:snapToGrid w:val="0"/>
              <w:jc w:val="left"/>
              <w:rPr>
                <w:rFonts w:cs="宋体" w:hint="eastAsia"/>
                <w:sz w:val="21"/>
                <w:szCs w:val="21"/>
              </w:rPr>
            </w:pPr>
            <w:r>
              <w:rPr>
                <w:rFonts w:ascii="Times New Roman" w:hAnsi="Times New Roman" w:hint="eastAsia"/>
                <w:sz w:val="21"/>
                <w:szCs w:val="21"/>
              </w:rPr>
              <w:t>矸石暂存期间，建设单位采取生产建筑材料、筑路、土地复垦、充填（包括建筑充填、低洼地和荒地充填、矿井采空区充填）等方式开展综合利用工作。环评建议待</w:t>
            </w:r>
            <w:r>
              <w:rPr>
                <w:rFonts w:ascii="Times New Roman" w:hAnsi="Times New Roman"/>
                <w:sz w:val="21"/>
                <w:szCs w:val="21"/>
              </w:rPr>
              <w:t>宝丰</w:t>
            </w:r>
            <w:r>
              <w:rPr>
                <w:rFonts w:ascii="Times New Roman" w:hAnsi="Times New Roman" w:hint="eastAsia"/>
                <w:sz w:val="21"/>
                <w:szCs w:val="21"/>
              </w:rPr>
              <w:t>低热值煤矸石</w:t>
            </w:r>
            <w:r>
              <w:rPr>
                <w:rFonts w:ascii="Times New Roman" w:hAnsi="Times New Roman"/>
                <w:sz w:val="21"/>
                <w:szCs w:val="21"/>
              </w:rPr>
              <w:t>电厂</w:t>
            </w:r>
            <w:r>
              <w:rPr>
                <w:rFonts w:ascii="Times New Roman" w:hAnsi="Times New Roman" w:hint="eastAsia"/>
                <w:sz w:val="21"/>
                <w:szCs w:val="21"/>
              </w:rPr>
              <w:t>建成后</w:t>
            </w:r>
            <w:r>
              <w:rPr>
                <w:rFonts w:ascii="Times New Roman" w:hAnsi="Times New Roman"/>
                <w:sz w:val="21"/>
                <w:szCs w:val="21"/>
              </w:rPr>
              <w:t>运至宝丰</w:t>
            </w:r>
            <w:r>
              <w:rPr>
                <w:rFonts w:ascii="Times New Roman" w:hAnsi="Times New Roman" w:hint="eastAsia"/>
                <w:sz w:val="21"/>
                <w:szCs w:val="21"/>
              </w:rPr>
              <w:t>低热值煤</w:t>
            </w:r>
            <w:r>
              <w:rPr>
                <w:rFonts w:ascii="Times New Roman" w:hAnsi="Times New Roman"/>
                <w:sz w:val="21"/>
                <w:szCs w:val="21"/>
              </w:rPr>
              <w:t>电厂进行综合利用</w:t>
            </w:r>
            <w:r>
              <w:rPr>
                <w:rFonts w:ascii="Times New Roman" w:hAnsi="Times New Roman" w:hint="eastAsia"/>
                <w:sz w:val="21"/>
                <w:szCs w:val="21"/>
              </w:rPr>
              <w:t>，未电厂建成前可充填沉陷区用于矿区生态治理。</w:t>
            </w:r>
          </w:p>
        </w:tc>
      </w:tr>
      <w:tr w:rsidR="009C353B" w14:paraId="49169298" w14:textId="77777777">
        <w:trPr>
          <w:trHeight w:val="316"/>
          <w:jc w:val="center"/>
        </w:trPr>
        <w:tc>
          <w:tcPr>
            <w:tcW w:w="426" w:type="dxa"/>
            <w:vAlign w:val="center"/>
          </w:tcPr>
          <w:p w14:paraId="3651F466"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hint="eastAsia"/>
                <w:sz w:val="21"/>
                <w:szCs w:val="21"/>
              </w:rPr>
              <w:t>2</w:t>
            </w:r>
          </w:p>
        </w:tc>
        <w:tc>
          <w:tcPr>
            <w:tcW w:w="1453" w:type="dxa"/>
            <w:vAlign w:val="center"/>
          </w:tcPr>
          <w:p w14:paraId="0119BD28"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马莲台煤矿及选煤厂</w:t>
            </w:r>
          </w:p>
        </w:tc>
        <w:tc>
          <w:tcPr>
            <w:tcW w:w="1163" w:type="dxa"/>
            <w:vAlign w:val="center"/>
          </w:tcPr>
          <w:p w14:paraId="537A61AD"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掘进：</w:t>
            </w:r>
            <w:r>
              <w:rPr>
                <w:rFonts w:ascii="Times New Roman" w:hAnsi="Times New Roman"/>
                <w:sz w:val="21"/>
                <w:szCs w:val="21"/>
              </w:rPr>
              <w:t>37</w:t>
            </w:r>
          </w:p>
          <w:p w14:paraId="190201E4"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洗选：</w:t>
            </w:r>
            <w:r>
              <w:rPr>
                <w:rFonts w:ascii="Times New Roman" w:hAnsi="Times New Roman" w:hint="eastAsia"/>
                <w:sz w:val="21"/>
                <w:szCs w:val="21"/>
              </w:rPr>
              <w:t>311</w:t>
            </w:r>
          </w:p>
        </w:tc>
        <w:tc>
          <w:tcPr>
            <w:tcW w:w="6245" w:type="dxa"/>
            <w:vAlign w:val="center"/>
          </w:tcPr>
          <w:p w14:paraId="7D0F572C"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原排矸场位于工业场地东北的部分冲沟及东侧的平地，该场地已服务期满并封场绿化。现阶段排矸场已取得环评批复，位于工业场地东北</w:t>
            </w:r>
            <w:r>
              <w:rPr>
                <w:rFonts w:ascii="Times New Roman" w:hAnsi="Times New Roman" w:hint="eastAsia"/>
                <w:sz w:val="21"/>
                <w:szCs w:val="21"/>
              </w:rPr>
              <w:t>600</w:t>
            </w:r>
            <w:r>
              <w:rPr>
                <w:rFonts w:ascii="Times New Roman" w:hAnsi="Times New Roman" w:hint="eastAsia"/>
                <w:sz w:val="21"/>
                <w:szCs w:val="21"/>
              </w:rPr>
              <w:t>米，水洞沟以南，占地约</w:t>
            </w:r>
            <w:r>
              <w:rPr>
                <w:rFonts w:ascii="Times New Roman" w:hAnsi="Times New Roman" w:hint="eastAsia"/>
                <w:sz w:val="21"/>
                <w:szCs w:val="21"/>
              </w:rPr>
              <w:t>33hm</w:t>
            </w:r>
            <w:r>
              <w:rPr>
                <w:rFonts w:ascii="Times New Roman" w:hAnsi="Times New Roman" w:hint="eastAsia"/>
                <w:sz w:val="21"/>
                <w:szCs w:val="21"/>
                <w:vertAlign w:val="superscript"/>
              </w:rPr>
              <w:t>2</w:t>
            </w:r>
            <w:r>
              <w:rPr>
                <w:rFonts w:ascii="Times New Roman" w:hAnsi="Times New Roman" w:hint="eastAsia"/>
                <w:sz w:val="21"/>
                <w:szCs w:val="21"/>
              </w:rPr>
              <w:t>，总库容</w:t>
            </w:r>
            <w:r>
              <w:rPr>
                <w:rFonts w:ascii="Times New Roman" w:hAnsi="Times New Roman" w:hint="eastAsia"/>
                <w:sz w:val="21"/>
                <w:szCs w:val="21"/>
              </w:rPr>
              <w:t>560</w:t>
            </w:r>
            <w:r>
              <w:rPr>
                <w:rFonts w:ascii="Times New Roman" w:hAnsi="Times New Roman" w:hint="eastAsia"/>
                <w:sz w:val="21"/>
                <w:szCs w:val="21"/>
              </w:rPr>
              <w:t>万</w:t>
            </w:r>
            <w:r>
              <w:rPr>
                <w:rFonts w:ascii="Times New Roman" w:hAnsi="Times New Roman" w:hint="eastAsia"/>
                <w:sz w:val="21"/>
                <w:szCs w:val="21"/>
              </w:rPr>
              <w:t>m</w:t>
            </w:r>
            <w:r>
              <w:rPr>
                <w:rFonts w:ascii="Times New Roman" w:hAnsi="Times New Roman" w:hint="eastAsia"/>
                <w:sz w:val="21"/>
                <w:szCs w:val="21"/>
                <w:vertAlign w:val="superscript"/>
              </w:rPr>
              <w:t>3</w:t>
            </w:r>
            <w:r>
              <w:rPr>
                <w:rFonts w:ascii="Times New Roman" w:hAnsi="Times New Roman" w:hint="eastAsia"/>
                <w:sz w:val="21"/>
                <w:szCs w:val="21"/>
              </w:rPr>
              <w:t>。</w:t>
            </w:r>
          </w:p>
          <w:p w14:paraId="509040E6"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后期矸石将考虑送至宝丰矸石电厂进行综合利用，电厂未建成前可充填沉陷区用于矿区生态治理或井下充填置换煤柱。</w:t>
            </w:r>
          </w:p>
        </w:tc>
      </w:tr>
      <w:tr w:rsidR="009C353B" w14:paraId="1A5F4A04" w14:textId="77777777">
        <w:trPr>
          <w:trHeight w:val="316"/>
          <w:jc w:val="center"/>
        </w:trPr>
        <w:tc>
          <w:tcPr>
            <w:tcW w:w="426" w:type="dxa"/>
            <w:vAlign w:val="center"/>
          </w:tcPr>
          <w:p w14:paraId="02029F4C"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hint="eastAsia"/>
                <w:sz w:val="21"/>
                <w:szCs w:val="21"/>
              </w:rPr>
              <w:t>3</w:t>
            </w:r>
          </w:p>
        </w:tc>
        <w:tc>
          <w:tcPr>
            <w:tcW w:w="1453" w:type="dxa"/>
            <w:vAlign w:val="center"/>
          </w:tcPr>
          <w:p w14:paraId="39A5E46D"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任家庄煤矿及选煤厂</w:t>
            </w:r>
          </w:p>
        </w:tc>
        <w:tc>
          <w:tcPr>
            <w:tcW w:w="1163" w:type="dxa"/>
            <w:vAlign w:val="center"/>
          </w:tcPr>
          <w:p w14:paraId="2C38FDD2"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掘进：</w:t>
            </w:r>
            <w:r>
              <w:rPr>
                <w:rFonts w:ascii="Times New Roman" w:hAnsi="Times New Roman"/>
                <w:sz w:val="21"/>
                <w:szCs w:val="21"/>
              </w:rPr>
              <w:t>9</w:t>
            </w:r>
          </w:p>
          <w:p w14:paraId="216E3210"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洗选：</w:t>
            </w:r>
            <w:r>
              <w:rPr>
                <w:rFonts w:ascii="Times New Roman" w:hAnsi="Times New Roman" w:hint="eastAsia"/>
                <w:sz w:val="21"/>
                <w:szCs w:val="21"/>
              </w:rPr>
              <w:t>148</w:t>
            </w:r>
          </w:p>
        </w:tc>
        <w:tc>
          <w:tcPr>
            <w:tcW w:w="6245" w:type="dxa"/>
            <w:vAlign w:val="center"/>
          </w:tcPr>
          <w:p w14:paraId="1B836250"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原排矸场位于工业场地南</w:t>
            </w:r>
            <w:r>
              <w:rPr>
                <w:rFonts w:ascii="Times New Roman" w:hAnsi="Times New Roman" w:hint="eastAsia"/>
                <w:sz w:val="21"/>
                <w:szCs w:val="21"/>
              </w:rPr>
              <w:t>1.5km</w:t>
            </w:r>
            <w:r>
              <w:rPr>
                <w:rFonts w:ascii="Times New Roman" w:hAnsi="Times New Roman" w:hint="eastAsia"/>
                <w:sz w:val="21"/>
                <w:szCs w:val="21"/>
              </w:rPr>
              <w:t>处，占地面积</w:t>
            </w:r>
            <w:r>
              <w:rPr>
                <w:rFonts w:ascii="Times New Roman" w:hAnsi="Times New Roman" w:hint="eastAsia"/>
                <w:sz w:val="21"/>
                <w:szCs w:val="21"/>
              </w:rPr>
              <w:t>7.12hm</w:t>
            </w:r>
            <w:r>
              <w:rPr>
                <w:rFonts w:ascii="Times New Roman" w:hAnsi="Times New Roman" w:hint="eastAsia"/>
                <w:sz w:val="21"/>
                <w:szCs w:val="21"/>
                <w:vertAlign w:val="superscript"/>
              </w:rPr>
              <w:t>2</w:t>
            </w:r>
            <w:r>
              <w:rPr>
                <w:rFonts w:ascii="Times New Roman" w:hAnsi="Times New Roman" w:hint="eastAsia"/>
                <w:sz w:val="21"/>
                <w:szCs w:val="21"/>
              </w:rPr>
              <w:t>，容量为</w:t>
            </w:r>
            <w:r>
              <w:rPr>
                <w:rFonts w:ascii="Times New Roman" w:hAnsi="Times New Roman" w:hint="eastAsia"/>
                <w:sz w:val="21"/>
                <w:szCs w:val="21"/>
              </w:rPr>
              <w:t>85</w:t>
            </w:r>
            <w:r>
              <w:rPr>
                <w:rFonts w:ascii="Times New Roman" w:hAnsi="Times New Roman" w:hint="eastAsia"/>
                <w:sz w:val="21"/>
                <w:szCs w:val="21"/>
              </w:rPr>
              <w:t>万</w:t>
            </w:r>
            <w:r>
              <w:rPr>
                <w:rFonts w:ascii="Times New Roman" w:hAnsi="Times New Roman" w:hint="eastAsia"/>
                <w:sz w:val="21"/>
                <w:szCs w:val="21"/>
              </w:rPr>
              <w:t>m</w:t>
            </w:r>
            <w:r>
              <w:rPr>
                <w:rFonts w:ascii="Times New Roman" w:hAnsi="Times New Roman" w:hint="eastAsia"/>
                <w:sz w:val="21"/>
                <w:szCs w:val="21"/>
                <w:vertAlign w:val="superscript"/>
              </w:rPr>
              <w:t>3</w:t>
            </w:r>
            <w:r>
              <w:rPr>
                <w:rFonts w:ascii="Times New Roman" w:hAnsi="Times New Roman" w:hint="eastAsia"/>
                <w:sz w:val="21"/>
                <w:szCs w:val="21"/>
              </w:rPr>
              <w:t>，已服务期满并覆土绿化。现阶段矸石委托宁夏聚鑫融工贸有限公司进行处置。</w:t>
            </w:r>
          </w:p>
        </w:tc>
      </w:tr>
      <w:tr w:rsidR="009C353B" w14:paraId="7B517A6A" w14:textId="77777777">
        <w:trPr>
          <w:trHeight w:val="316"/>
          <w:jc w:val="center"/>
        </w:trPr>
        <w:tc>
          <w:tcPr>
            <w:tcW w:w="426" w:type="dxa"/>
            <w:vAlign w:val="center"/>
          </w:tcPr>
          <w:p w14:paraId="54A742B6" w14:textId="77777777" w:rsidR="009C353B" w:rsidRDefault="00000000">
            <w:pPr>
              <w:snapToGrid w:val="0"/>
              <w:ind w:leftChars="-57" w:left="-137" w:rightChars="-64" w:right="-154"/>
              <w:jc w:val="center"/>
              <w:rPr>
                <w:rFonts w:ascii="Times New Roman" w:hAnsi="Times New Roman"/>
                <w:sz w:val="21"/>
                <w:szCs w:val="21"/>
              </w:rPr>
            </w:pPr>
            <w:r>
              <w:rPr>
                <w:rFonts w:ascii="Times New Roman" w:hAnsi="Times New Roman" w:hint="eastAsia"/>
                <w:sz w:val="21"/>
                <w:szCs w:val="21"/>
              </w:rPr>
              <w:t>4</w:t>
            </w:r>
          </w:p>
        </w:tc>
        <w:tc>
          <w:tcPr>
            <w:tcW w:w="1453" w:type="dxa"/>
            <w:vAlign w:val="center"/>
          </w:tcPr>
          <w:p w14:paraId="2FB70FFE"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丁家梁煤矿</w:t>
            </w:r>
          </w:p>
        </w:tc>
        <w:tc>
          <w:tcPr>
            <w:tcW w:w="1163" w:type="dxa"/>
            <w:vAlign w:val="center"/>
          </w:tcPr>
          <w:p w14:paraId="1CED4EE1"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掘进：</w:t>
            </w:r>
            <w:r>
              <w:rPr>
                <w:rFonts w:ascii="Times New Roman" w:hAnsi="Times New Roman" w:hint="eastAsia"/>
                <w:sz w:val="21"/>
                <w:szCs w:val="21"/>
              </w:rPr>
              <w:t>7</w:t>
            </w:r>
          </w:p>
        </w:tc>
        <w:tc>
          <w:tcPr>
            <w:tcW w:w="6245" w:type="dxa"/>
            <w:vAlign w:val="center"/>
          </w:tcPr>
          <w:p w14:paraId="56F7CBC7" w14:textId="77777777" w:rsidR="009C353B" w:rsidRDefault="00000000">
            <w:pPr>
              <w:snapToGrid w:val="0"/>
              <w:jc w:val="left"/>
              <w:rPr>
                <w:rFonts w:ascii="Times New Roman" w:hAnsi="Times New Roman"/>
                <w:sz w:val="21"/>
                <w:szCs w:val="21"/>
              </w:rPr>
            </w:pPr>
            <w:r>
              <w:rPr>
                <w:rFonts w:ascii="Times New Roman" w:hAnsi="Times New Roman" w:hint="eastAsia"/>
                <w:sz w:val="21"/>
                <w:szCs w:val="21"/>
              </w:rPr>
              <w:t>规划建设排矸场位于工业场地西侧约</w:t>
            </w:r>
            <w:r>
              <w:rPr>
                <w:rFonts w:ascii="Times New Roman" w:hAnsi="Times New Roman" w:hint="eastAsia"/>
                <w:sz w:val="21"/>
                <w:szCs w:val="21"/>
              </w:rPr>
              <w:t>80m</w:t>
            </w:r>
            <w:r>
              <w:rPr>
                <w:rFonts w:ascii="Times New Roman" w:hAnsi="Times New Roman" w:hint="eastAsia"/>
                <w:sz w:val="21"/>
                <w:szCs w:val="21"/>
              </w:rPr>
              <w:t>的凹地，占地面积</w:t>
            </w:r>
            <w:r>
              <w:rPr>
                <w:rFonts w:ascii="Times New Roman" w:hAnsi="Times New Roman" w:hint="eastAsia"/>
                <w:sz w:val="21"/>
                <w:szCs w:val="21"/>
              </w:rPr>
              <w:t>3.81hm</w:t>
            </w:r>
            <w:r>
              <w:rPr>
                <w:rFonts w:ascii="Times New Roman" w:hAnsi="Times New Roman" w:hint="eastAsia"/>
                <w:sz w:val="21"/>
                <w:szCs w:val="21"/>
                <w:vertAlign w:val="superscript"/>
              </w:rPr>
              <w:t>2</w:t>
            </w:r>
            <w:r>
              <w:rPr>
                <w:rFonts w:ascii="Times New Roman" w:hAnsi="Times New Roman" w:hint="eastAsia"/>
                <w:sz w:val="21"/>
                <w:szCs w:val="21"/>
              </w:rPr>
              <w:t>，总库容为</w:t>
            </w:r>
            <w:r>
              <w:rPr>
                <w:rFonts w:ascii="Times New Roman" w:hAnsi="Times New Roman" w:hint="eastAsia"/>
                <w:sz w:val="21"/>
                <w:szCs w:val="21"/>
              </w:rPr>
              <w:t>27.43</w:t>
            </w:r>
            <w:r>
              <w:rPr>
                <w:rFonts w:ascii="Times New Roman" w:hAnsi="Times New Roman" w:hint="eastAsia"/>
                <w:sz w:val="21"/>
                <w:szCs w:val="21"/>
              </w:rPr>
              <w:t>万</w:t>
            </w:r>
            <w:r>
              <w:rPr>
                <w:rFonts w:ascii="Times New Roman" w:hAnsi="Times New Roman" w:hint="eastAsia"/>
                <w:sz w:val="21"/>
                <w:szCs w:val="21"/>
              </w:rPr>
              <w:t>t</w:t>
            </w:r>
            <w:r>
              <w:rPr>
                <w:rFonts w:ascii="Times New Roman" w:hAnsi="Times New Roman" w:hint="eastAsia"/>
                <w:sz w:val="21"/>
                <w:szCs w:val="21"/>
              </w:rPr>
              <w:t>，服务年限为</w:t>
            </w:r>
            <w:r>
              <w:rPr>
                <w:rFonts w:ascii="Times New Roman" w:hAnsi="Times New Roman" w:hint="eastAsia"/>
                <w:sz w:val="21"/>
                <w:szCs w:val="21"/>
              </w:rPr>
              <w:t>9.2</w:t>
            </w:r>
            <w:r>
              <w:rPr>
                <w:rFonts w:ascii="Times New Roman" w:hAnsi="Times New Roman" w:hint="eastAsia"/>
                <w:sz w:val="21"/>
                <w:szCs w:val="21"/>
              </w:rPr>
              <w:t>年。</w:t>
            </w:r>
          </w:p>
        </w:tc>
      </w:tr>
      <w:tr w:rsidR="009C353B" w14:paraId="59E2C662" w14:textId="77777777">
        <w:trPr>
          <w:trHeight w:val="331"/>
          <w:jc w:val="center"/>
        </w:trPr>
        <w:tc>
          <w:tcPr>
            <w:tcW w:w="426" w:type="dxa"/>
            <w:vAlign w:val="center"/>
          </w:tcPr>
          <w:p w14:paraId="7FD22EA3" w14:textId="77777777" w:rsidR="009C353B" w:rsidRDefault="009C353B">
            <w:pPr>
              <w:snapToGrid w:val="0"/>
              <w:ind w:leftChars="-57" w:left="-137" w:rightChars="-64" w:right="-154"/>
              <w:jc w:val="center"/>
              <w:rPr>
                <w:rFonts w:ascii="Times New Roman" w:hAnsi="Times New Roman"/>
                <w:sz w:val="21"/>
                <w:szCs w:val="21"/>
              </w:rPr>
            </w:pPr>
          </w:p>
        </w:tc>
        <w:tc>
          <w:tcPr>
            <w:tcW w:w="1453" w:type="dxa"/>
            <w:vAlign w:val="center"/>
          </w:tcPr>
          <w:p w14:paraId="3D54266A" w14:textId="77777777" w:rsidR="009C353B" w:rsidRDefault="00000000">
            <w:pPr>
              <w:snapToGrid w:val="0"/>
              <w:jc w:val="center"/>
              <w:rPr>
                <w:rFonts w:ascii="Times New Roman" w:hAnsi="Times New Roman"/>
                <w:sz w:val="21"/>
                <w:szCs w:val="21"/>
              </w:rPr>
            </w:pPr>
            <w:r>
              <w:rPr>
                <w:rFonts w:ascii="Times New Roman" w:hAnsi="Times New Roman"/>
                <w:sz w:val="21"/>
                <w:szCs w:val="21"/>
              </w:rPr>
              <w:t>合</w:t>
            </w:r>
            <w:r>
              <w:rPr>
                <w:rFonts w:ascii="Times New Roman" w:hAnsi="Times New Roman"/>
                <w:sz w:val="21"/>
                <w:szCs w:val="21"/>
              </w:rPr>
              <w:t xml:space="preserve">  </w:t>
            </w:r>
            <w:r>
              <w:rPr>
                <w:rFonts w:ascii="Times New Roman" w:hAnsi="Times New Roman"/>
                <w:sz w:val="21"/>
                <w:szCs w:val="21"/>
              </w:rPr>
              <w:t>计</w:t>
            </w:r>
          </w:p>
        </w:tc>
        <w:tc>
          <w:tcPr>
            <w:tcW w:w="7408" w:type="dxa"/>
            <w:gridSpan w:val="2"/>
            <w:vAlign w:val="center"/>
          </w:tcPr>
          <w:p w14:paraId="60528C71" w14:textId="77777777" w:rsidR="009C353B" w:rsidRDefault="00000000">
            <w:pPr>
              <w:snapToGrid w:val="0"/>
              <w:jc w:val="center"/>
              <w:rPr>
                <w:rFonts w:ascii="Times New Roman" w:hAnsi="Times New Roman"/>
                <w:sz w:val="21"/>
                <w:szCs w:val="21"/>
              </w:rPr>
            </w:pPr>
            <w:r>
              <w:rPr>
                <w:rFonts w:ascii="Times New Roman" w:hAnsi="Times New Roman" w:hint="eastAsia"/>
                <w:sz w:val="21"/>
                <w:szCs w:val="21"/>
              </w:rPr>
              <w:t>掘进：</w:t>
            </w:r>
            <w:r>
              <w:rPr>
                <w:rFonts w:ascii="Times New Roman" w:hAnsi="Times New Roman" w:hint="eastAsia"/>
                <w:sz w:val="21"/>
                <w:szCs w:val="21"/>
              </w:rPr>
              <w:t xml:space="preserve">24 </w:t>
            </w:r>
            <w:r>
              <w:rPr>
                <w:rFonts w:ascii="Times New Roman" w:hAnsi="Times New Roman" w:hint="eastAsia"/>
                <w:sz w:val="21"/>
                <w:szCs w:val="21"/>
              </w:rPr>
              <w:t>洗选：</w:t>
            </w:r>
            <w:r>
              <w:rPr>
                <w:rFonts w:ascii="Times New Roman" w:hAnsi="Times New Roman" w:hint="eastAsia"/>
                <w:sz w:val="21"/>
                <w:szCs w:val="21"/>
              </w:rPr>
              <w:t>495</w:t>
            </w:r>
          </w:p>
        </w:tc>
      </w:tr>
    </w:tbl>
    <w:bookmarkEnd w:id="270"/>
    <w:p w14:paraId="6BE176B0" w14:textId="77777777" w:rsidR="009C353B" w:rsidRDefault="00000000">
      <w:pPr>
        <w:adjustRightInd w:val="0"/>
        <w:snapToGrid w:val="0"/>
        <w:spacing w:line="440" w:lineRule="exact"/>
        <w:ind w:firstLineChars="200" w:firstLine="482"/>
        <w:rPr>
          <w:rFonts w:ascii="Times New Roman" w:hAnsi="Times New Roman"/>
        </w:rPr>
      </w:pPr>
      <w:r>
        <w:rPr>
          <w:rFonts w:ascii="Times New Roman" w:hAnsi="Times New Roman" w:hint="eastAsia"/>
          <w:b/>
        </w:rPr>
        <w:t>掘进矸石</w:t>
      </w:r>
      <w:r>
        <w:rPr>
          <w:rFonts w:ascii="Times New Roman" w:hAnsi="Times New Roman" w:hint="eastAsia"/>
        </w:rPr>
        <w:t>：各矿井生产期间，原则不升井，回填井下废弃巷道，对环境基本无影响，处置方式是合理的。</w:t>
      </w:r>
    </w:p>
    <w:p w14:paraId="43933D04" w14:textId="77777777" w:rsidR="009C353B" w:rsidRDefault="00000000">
      <w:pPr>
        <w:adjustRightInd w:val="0"/>
        <w:snapToGrid w:val="0"/>
        <w:spacing w:line="440" w:lineRule="exact"/>
        <w:ind w:firstLineChars="200" w:firstLine="482"/>
        <w:rPr>
          <w:rFonts w:ascii="Times New Roman" w:hAnsi="Times New Roman"/>
        </w:rPr>
      </w:pPr>
      <w:r>
        <w:rPr>
          <w:rFonts w:ascii="Times New Roman" w:hAnsi="Times New Roman" w:hint="eastAsia"/>
          <w:b/>
        </w:rPr>
        <w:t>洗选矸石</w:t>
      </w:r>
      <w:r>
        <w:rPr>
          <w:rFonts w:ascii="Times New Roman" w:hAnsi="Times New Roman" w:hint="eastAsia"/>
        </w:rPr>
        <w:t>：产生量较大，约为</w:t>
      </w:r>
      <w:r>
        <w:rPr>
          <w:rFonts w:ascii="Times New Roman" w:hAnsi="Times New Roman" w:hint="eastAsia"/>
        </w:rPr>
        <w:t>495</w:t>
      </w:r>
      <w:r>
        <w:rPr>
          <w:rFonts w:ascii="Times New Roman" w:hAnsi="Times New Roman" w:hint="eastAsia"/>
        </w:rPr>
        <w:t>万</w:t>
      </w:r>
      <w:r>
        <w:rPr>
          <w:rFonts w:ascii="Times New Roman" w:hAnsi="Times New Roman" w:hint="eastAsia"/>
        </w:rPr>
        <w:t>t/a</w:t>
      </w:r>
      <w:r>
        <w:rPr>
          <w:rFonts w:ascii="Times New Roman" w:hAnsi="Times New Roman" w:hint="eastAsia"/>
        </w:rPr>
        <w:t>。</w:t>
      </w:r>
      <w:r>
        <w:rPr>
          <w:rFonts w:ascii="Times New Roman" w:hAnsi="Times New Roman" w:hint="eastAsia"/>
          <w:szCs w:val="24"/>
        </w:rPr>
        <w:t>洗选矸石目前以运往排矸场处置为主，虽然符合其环评文件及批复要求，但由于相关环评文件批复时间较久，与现行环境保护政策的要求还有一定距离。所以，环评要求一方面各矿应继续做好排矸场的拦挡工程、生态恢复工作，另一方面还应以现行环保政策要求为准，矸石应寻求多种综合利用途径，可采取以下如井下充填、沉陷区治理等方法，</w:t>
      </w:r>
      <w:r>
        <w:rPr>
          <w:rFonts w:ascii="Times New Roman" w:hAnsi="Times New Roman"/>
          <w:szCs w:val="24"/>
        </w:rPr>
        <w:t>提高煤矿矸石利用率</w:t>
      </w:r>
      <w:r>
        <w:rPr>
          <w:rFonts w:ascii="Times New Roman" w:hAnsi="Times New Roman" w:hint="eastAsia"/>
          <w:szCs w:val="24"/>
        </w:rPr>
        <w:t>：</w:t>
      </w:r>
    </w:p>
    <w:p w14:paraId="02989EB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1</w:t>
      </w:r>
      <w:r>
        <w:rPr>
          <w:rFonts w:ascii="Times New Roman" w:hAnsi="Times New Roman" w:hint="eastAsia"/>
        </w:rPr>
        <w:t>）宁东镇</w:t>
      </w:r>
      <w:r>
        <w:rPr>
          <w:rFonts w:ascii="Times New Roman" w:hAnsi="Times New Roman"/>
        </w:rPr>
        <w:t>内</w:t>
      </w:r>
      <w:r>
        <w:rPr>
          <w:rFonts w:ascii="Times New Roman" w:hAnsi="Times New Roman" w:hint="eastAsia"/>
        </w:rPr>
        <w:t>现</w:t>
      </w:r>
      <w:r>
        <w:rPr>
          <w:rFonts w:ascii="Times New Roman" w:hAnsi="Times New Roman"/>
        </w:rPr>
        <w:t>建有</w:t>
      </w:r>
      <w:r>
        <w:rPr>
          <w:rFonts w:ascii="Times New Roman" w:hAnsi="Times New Roman" w:hint="eastAsia"/>
        </w:rPr>
        <w:t>灵州矸石电厂（</w:t>
      </w:r>
      <w:r>
        <w:rPr>
          <w:rFonts w:ascii="Times New Roman" w:hAnsi="Times New Roman"/>
        </w:rPr>
        <w:t>2×</w:t>
      </w:r>
      <w:r>
        <w:rPr>
          <w:rFonts w:ascii="Times New Roman" w:hAnsi="Times New Roman" w:hint="eastAsia"/>
        </w:rPr>
        <w:t>135</w:t>
      </w:r>
      <w:r>
        <w:rPr>
          <w:rFonts w:ascii="Times New Roman" w:hAnsi="Times New Roman"/>
        </w:rPr>
        <w:t>MW</w:t>
      </w:r>
      <w:r>
        <w:rPr>
          <w:rFonts w:ascii="Times New Roman" w:hAnsi="Times New Roman" w:hint="eastAsia"/>
        </w:rPr>
        <w:t>）</w:t>
      </w:r>
      <w:r>
        <w:rPr>
          <w:rFonts w:ascii="Times New Roman" w:hAnsi="Times New Roman"/>
        </w:rPr>
        <w:t>项目，距</w:t>
      </w:r>
      <w:r>
        <w:rPr>
          <w:rFonts w:ascii="Times New Roman" w:hAnsi="Times New Roman" w:hint="eastAsia"/>
        </w:rPr>
        <w:t>红石湾、马莲台和任家庄</w:t>
      </w:r>
      <w:r>
        <w:rPr>
          <w:rFonts w:ascii="Times New Roman" w:hAnsi="Times New Roman"/>
        </w:rPr>
        <w:t>煤矿工业场地</w:t>
      </w:r>
      <w:r>
        <w:rPr>
          <w:rFonts w:ascii="Times New Roman" w:hAnsi="Times New Roman" w:hint="eastAsia"/>
        </w:rPr>
        <w:t>不大于</w:t>
      </w:r>
      <w:r>
        <w:rPr>
          <w:rFonts w:ascii="Times New Roman" w:hAnsi="Times New Roman" w:hint="eastAsia"/>
        </w:rPr>
        <w:t>10</w:t>
      </w:r>
      <w:r>
        <w:rPr>
          <w:rFonts w:ascii="Times New Roman" w:hAnsi="Times New Roman"/>
        </w:rPr>
        <w:t>km</w:t>
      </w:r>
      <w:r>
        <w:rPr>
          <w:rFonts w:ascii="Times New Roman" w:hAnsi="Times New Roman" w:hint="eastAsia"/>
        </w:rPr>
        <w:t>，年需煤矸石约</w:t>
      </w:r>
      <w:r>
        <w:rPr>
          <w:rFonts w:ascii="Times New Roman" w:hAnsi="Times New Roman" w:hint="eastAsia"/>
        </w:rPr>
        <w:t>80</w:t>
      </w:r>
      <w:r>
        <w:rPr>
          <w:rFonts w:ascii="Times New Roman" w:hAnsi="Times New Roman" w:hint="eastAsia"/>
        </w:rPr>
        <w:t>万吨，可运至灵州矸石电厂进行综合利用</w:t>
      </w:r>
      <w:r>
        <w:rPr>
          <w:rFonts w:ascii="Times New Roman" w:hAnsi="Times New Roman"/>
        </w:rPr>
        <w:t>。</w:t>
      </w:r>
    </w:p>
    <w:p w14:paraId="340CB6C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2</w:t>
      </w:r>
      <w:r>
        <w:rPr>
          <w:rFonts w:ascii="Times New Roman" w:hAnsi="Times New Roman" w:hint="eastAsia"/>
        </w:rPr>
        <w:t>）规划建设有宝丰低热值煤综合利用电厂（</w:t>
      </w:r>
      <w:r>
        <w:rPr>
          <w:rFonts w:ascii="Times New Roman" w:hAnsi="Times New Roman"/>
        </w:rPr>
        <w:t>2×</w:t>
      </w:r>
      <w:r>
        <w:rPr>
          <w:rFonts w:ascii="Times New Roman" w:hAnsi="Times New Roman" w:hint="eastAsia"/>
        </w:rPr>
        <w:t>350</w:t>
      </w:r>
      <w:r>
        <w:rPr>
          <w:rFonts w:ascii="Times New Roman" w:hAnsi="Times New Roman"/>
        </w:rPr>
        <w:t>MW</w:t>
      </w:r>
      <w:r>
        <w:rPr>
          <w:rFonts w:ascii="Times New Roman" w:hAnsi="Times New Roman" w:hint="eastAsia"/>
        </w:rPr>
        <w:t>），建成后年需煤矸石约</w:t>
      </w:r>
      <w:r>
        <w:rPr>
          <w:rFonts w:ascii="Times New Roman" w:hAnsi="Times New Roman" w:hint="eastAsia"/>
        </w:rPr>
        <w:t>300</w:t>
      </w:r>
      <w:r>
        <w:rPr>
          <w:rFonts w:ascii="Times New Roman" w:hAnsi="Times New Roman" w:hint="eastAsia"/>
        </w:rPr>
        <w:t>万吨，位于马莲台和红石湾煤矿之间，建成后可大量效消耗洗选矸石。</w:t>
      </w:r>
    </w:p>
    <w:p w14:paraId="66CCDF43"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3</w:t>
      </w:r>
      <w:r>
        <w:rPr>
          <w:rFonts w:ascii="Times New Roman" w:hint="eastAsia"/>
        </w:rPr>
        <w:t>）剩余洗选矸石，可</w:t>
      </w:r>
      <w:r>
        <w:rPr>
          <w:rFonts w:ascii="Times New Roman"/>
        </w:rPr>
        <w:t>用于充填沉陷裂缝</w:t>
      </w:r>
      <w:r>
        <w:rPr>
          <w:rFonts w:ascii="Times New Roman" w:hint="eastAsia"/>
        </w:rPr>
        <w:t>，</w:t>
      </w:r>
      <w:r>
        <w:rPr>
          <w:rFonts w:ascii="Times New Roman"/>
        </w:rPr>
        <w:t>或用于沉陷区治理</w:t>
      </w:r>
      <w:r>
        <w:rPr>
          <w:rFonts w:ascii="Times New Roman" w:hint="eastAsia"/>
        </w:rPr>
        <w:t>、</w:t>
      </w:r>
      <w:r>
        <w:rPr>
          <w:rFonts w:ascii="Times New Roman"/>
        </w:rPr>
        <w:t>宁东城镇市政</w:t>
      </w:r>
      <w:r>
        <w:rPr>
          <w:rFonts w:ascii="Times New Roman" w:hint="eastAsia"/>
        </w:rPr>
        <w:t>、</w:t>
      </w:r>
      <w:r>
        <w:rPr>
          <w:rFonts w:ascii="Times New Roman"/>
        </w:rPr>
        <w:t>道路建设作为填垫材料</w:t>
      </w:r>
      <w:r>
        <w:rPr>
          <w:rFonts w:ascii="Times New Roman" w:hint="eastAsia"/>
        </w:rPr>
        <w:t>。后续可将矸石用于充填煤柱区，回收煤柱区煤炭资源。</w:t>
      </w:r>
    </w:p>
    <w:p w14:paraId="5C9DFE8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矸石充填裂缝及沉陷区用于矿区生态治理在国内煤矿均有实施，在开展人工生态恢复治理后，治理区生态恢复较好，甚至比原有植被要好。这也在本矿区任家庄等煤矿沉陷区排矸场生态恢复实际情况得到了验证。根据预测横城</w:t>
      </w:r>
      <w:r>
        <w:rPr>
          <w:rFonts w:ascii="Times New Roman"/>
        </w:rPr>
        <w:t>矿区开采后沉陷面积累计</w:t>
      </w:r>
      <w:r>
        <w:rPr>
          <w:rFonts w:ascii="Times New Roman" w:hint="eastAsia"/>
        </w:rPr>
        <w:t>5</w:t>
      </w:r>
      <w:r>
        <w:rPr>
          <w:rFonts w:ascii="Times New Roman"/>
        </w:rPr>
        <w:t>8.02km</w:t>
      </w:r>
      <w:r>
        <w:rPr>
          <w:rFonts w:ascii="Times New Roman"/>
          <w:vertAlign w:val="superscript"/>
        </w:rPr>
        <w:t>2</w:t>
      </w:r>
      <w:r>
        <w:rPr>
          <w:rFonts w:ascii="Times New Roman"/>
        </w:rPr>
        <w:t>，地表下沉值最大</w:t>
      </w:r>
      <w:r>
        <w:rPr>
          <w:rFonts w:ascii="Times New Roman" w:hint="eastAsia"/>
        </w:rPr>
        <w:t>可</w:t>
      </w:r>
      <w:r>
        <w:rPr>
          <w:rFonts w:ascii="Times New Roman"/>
        </w:rPr>
        <w:t>达到</w:t>
      </w:r>
      <w:r>
        <w:rPr>
          <w:rFonts w:ascii="Times New Roman"/>
        </w:rPr>
        <w:t>21.52m</w:t>
      </w:r>
      <w:r>
        <w:rPr>
          <w:rFonts w:ascii="Times New Roman" w:hint="eastAsia"/>
        </w:rPr>
        <w:t>（任家庄），最小</w:t>
      </w:r>
      <w:r>
        <w:rPr>
          <w:rFonts w:ascii="Times New Roman"/>
        </w:rPr>
        <w:t>地表下沉值</w:t>
      </w:r>
      <w:r>
        <w:rPr>
          <w:rFonts w:ascii="Times New Roman" w:hint="eastAsia"/>
        </w:rPr>
        <w:t>也可</w:t>
      </w:r>
      <w:r>
        <w:rPr>
          <w:rFonts w:ascii="Times New Roman"/>
        </w:rPr>
        <w:t>达到</w:t>
      </w:r>
      <w:r>
        <w:rPr>
          <w:rFonts w:ascii="Times New Roman"/>
        </w:rPr>
        <w:t>10.82m</w:t>
      </w:r>
      <w:r>
        <w:rPr>
          <w:rFonts w:ascii="Times New Roman" w:hint="eastAsia"/>
        </w:rPr>
        <w:t>（丁家梁）</w:t>
      </w:r>
      <w:r>
        <w:rPr>
          <w:rFonts w:ascii="Times New Roman"/>
        </w:rPr>
        <w:t>。</w:t>
      </w:r>
      <w:r>
        <w:rPr>
          <w:rFonts w:ascii="Times New Roman" w:hint="eastAsia"/>
        </w:rPr>
        <w:t>根据估算，按沉陷区充填高度为</w:t>
      </w:r>
      <w:r>
        <w:rPr>
          <w:rFonts w:ascii="Times New Roman" w:hint="eastAsia"/>
        </w:rPr>
        <w:t>10m</w:t>
      </w:r>
      <w:r>
        <w:rPr>
          <w:rFonts w:ascii="Times New Roman" w:hint="eastAsia"/>
        </w:rPr>
        <w:t>，面积</w:t>
      </w:r>
      <w:r>
        <w:rPr>
          <w:rFonts w:ascii="Times New Roman" w:hint="eastAsia"/>
        </w:rPr>
        <w:t>58km</w:t>
      </w:r>
      <w:r>
        <w:rPr>
          <w:rFonts w:ascii="Times New Roman" w:hint="eastAsia"/>
          <w:vertAlign w:val="superscript"/>
        </w:rPr>
        <w:t>2</w:t>
      </w:r>
      <w:r>
        <w:rPr>
          <w:rFonts w:ascii="Times New Roman" w:hint="eastAsia"/>
        </w:rPr>
        <w:t>估算，可消耗煤矸石</w:t>
      </w:r>
      <w:r>
        <w:rPr>
          <w:rFonts w:ascii="Times New Roman" w:hint="eastAsia"/>
        </w:rPr>
        <w:t>58000</w:t>
      </w:r>
      <w:r>
        <w:rPr>
          <w:rFonts w:ascii="Times New Roman" w:hint="eastAsia"/>
        </w:rPr>
        <w:t>万</w:t>
      </w:r>
      <w:r>
        <w:rPr>
          <w:rFonts w:ascii="Times New Roman"/>
        </w:rPr>
        <w:t>m</w:t>
      </w:r>
      <w:r>
        <w:rPr>
          <w:rFonts w:ascii="Times New Roman" w:hint="eastAsia"/>
          <w:vertAlign w:val="superscript"/>
        </w:rPr>
        <w:t>3</w:t>
      </w:r>
      <w:r>
        <w:rPr>
          <w:rFonts w:ascii="Times New Roman"/>
        </w:rPr>
        <w:t>，</w:t>
      </w:r>
      <w:r>
        <w:rPr>
          <w:rFonts w:ascii="Times New Roman" w:hint="eastAsia"/>
        </w:rPr>
        <w:t>约</w:t>
      </w:r>
      <w:r>
        <w:rPr>
          <w:rFonts w:ascii="Times New Roman" w:hint="eastAsia"/>
        </w:rPr>
        <w:t>98600</w:t>
      </w:r>
      <w:r>
        <w:rPr>
          <w:rFonts w:ascii="Times New Roman" w:hint="eastAsia"/>
        </w:rPr>
        <w:t>万吨。</w:t>
      </w:r>
    </w:p>
    <w:p w14:paraId="343B790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4</w:t>
      </w:r>
      <w:r>
        <w:rPr>
          <w:rFonts w:ascii="Times New Roman" w:hint="eastAsia"/>
        </w:rPr>
        <w:t>）剩余洗选矸石，还可</w:t>
      </w:r>
      <w:r>
        <w:rPr>
          <w:rFonts w:ascii="Times New Roman"/>
        </w:rPr>
        <w:t>用于</w:t>
      </w:r>
      <w:r>
        <w:rPr>
          <w:rFonts w:ascii="Times New Roman" w:hint="eastAsia"/>
        </w:rPr>
        <w:t>矸石充填回收置换煤柱，回收资源</w:t>
      </w:r>
    </w:p>
    <w:p w14:paraId="689F13E0" w14:textId="77777777" w:rsidR="009C353B" w:rsidRDefault="00000000">
      <w:pPr>
        <w:adjustRightInd w:val="0"/>
        <w:snapToGrid w:val="0"/>
        <w:spacing w:line="440" w:lineRule="exact"/>
        <w:ind w:firstLineChars="200" w:firstLine="480"/>
        <w:rPr>
          <w:rFonts w:ascii="Times New Roman" w:hint="eastAsia"/>
        </w:rPr>
      </w:pPr>
      <w:r>
        <w:rPr>
          <w:rFonts w:ascii="Times New Roman"/>
        </w:rPr>
        <w:t>目前</w:t>
      </w:r>
      <w:r>
        <w:rPr>
          <w:rFonts w:ascii="Times New Roman" w:hint="eastAsia"/>
        </w:rPr>
        <w:t>全国多个矿区均有采用矸石充填回收置换煤柱区煤炭资源的实施经验，如</w:t>
      </w:r>
      <w:r>
        <w:rPr>
          <w:rFonts w:ascii="Times New Roman"/>
        </w:rPr>
        <w:t>山东新汶矿区</w:t>
      </w:r>
      <w:r>
        <w:rPr>
          <w:rFonts w:ascii="Times New Roman" w:hint="eastAsia"/>
        </w:rPr>
        <w:t>、</w:t>
      </w:r>
      <w:r>
        <w:rPr>
          <w:rFonts w:ascii="Times New Roman"/>
        </w:rPr>
        <w:t>河北峰峰矿区等</w:t>
      </w:r>
      <w:r>
        <w:rPr>
          <w:rFonts w:ascii="Times New Roman" w:hint="eastAsia"/>
        </w:rPr>
        <w:t>，井下充填置换煤柱资源既满足资源回收，也能有效的处置矸石，并能满足地面保护要求，是可行的。而且矿区高压输电线、工业园区、高速公路等也留设大范围煤柱，对以上地区采用矸石充填回收置换煤柱可回收大量煤炭资源。根据矿区煤炭资源情况可知区内平均煤厚约</w:t>
      </w:r>
      <w:r>
        <w:rPr>
          <w:rFonts w:ascii="Times New Roman" w:hint="eastAsia"/>
        </w:rPr>
        <w:t>1</w:t>
      </w:r>
      <w:r>
        <w:rPr>
          <w:rFonts w:ascii="Times New Roman"/>
        </w:rPr>
        <w:t>2</w:t>
      </w:r>
      <w:r>
        <w:rPr>
          <w:rFonts w:ascii="Times New Roman" w:hint="eastAsia"/>
        </w:rPr>
        <w:t>m</w:t>
      </w:r>
      <w:r>
        <w:rPr>
          <w:rFonts w:ascii="Times New Roman" w:hint="eastAsia"/>
        </w:rPr>
        <w:t>，预留煤柱区面积粗略估算约</w:t>
      </w:r>
      <w:r>
        <w:rPr>
          <w:rFonts w:ascii="Times New Roman" w:hint="eastAsia"/>
        </w:rPr>
        <w:t>24km</w:t>
      </w:r>
      <w:r>
        <w:rPr>
          <w:rFonts w:ascii="Times New Roman"/>
          <w:vertAlign w:val="superscript"/>
        </w:rPr>
        <w:t>2</w:t>
      </w:r>
      <w:r>
        <w:rPr>
          <w:rFonts w:ascii="Times New Roman" w:hint="eastAsia"/>
        </w:rPr>
        <w:t>，可回收资源量约</w:t>
      </w:r>
      <w:r>
        <w:rPr>
          <w:rFonts w:ascii="Times New Roman" w:hint="eastAsia"/>
        </w:rPr>
        <w:t>28800</w:t>
      </w:r>
      <w:r>
        <w:rPr>
          <w:rFonts w:ascii="Times New Roman" w:hint="eastAsia"/>
        </w:rPr>
        <w:t>万</w:t>
      </w:r>
      <w:r>
        <w:rPr>
          <w:rFonts w:ascii="Times New Roman" w:hint="eastAsia"/>
        </w:rPr>
        <w:t>m</w:t>
      </w:r>
      <w:r>
        <w:rPr>
          <w:rFonts w:ascii="Times New Roman"/>
          <w:vertAlign w:val="superscript"/>
        </w:rPr>
        <w:t>3</w:t>
      </w:r>
      <w:r>
        <w:rPr>
          <w:rFonts w:ascii="Times New Roman" w:hint="eastAsia"/>
        </w:rPr>
        <w:t>。以充填开采的方式置换煤柱，按完全置换且煤矸石占充填料的</w:t>
      </w:r>
      <w:r>
        <w:rPr>
          <w:rFonts w:ascii="Times New Roman" w:hint="eastAsia"/>
        </w:rPr>
        <w:t>7</w:t>
      </w:r>
      <w:r>
        <w:rPr>
          <w:rFonts w:ascii="Times New Roman"/>
        </w:rPr>
        <w:t>0</w:t>
      </w:r>
      <w:r>
        <w:rPr>
          <w:rFonts w:ascii="Times New Roman" w:hint="eastAsia"/>
        </w:rPr>
        <w:t>%</w:t>
      </w:r>
      <w:r>
        <w:rPr>
          <w:rFonts w:ascii="Times New Roman" w:hint="eastAsia"/>
        </w:rPr>
        <w:t>计算，可消耗矸石量约</w:t>
      </w:r>
      <w:r>
        <w:rPr>
          <w:rFonts w:ascii="Times New Roman" w:hint="eastAsia"/>
        </w:rPr>
        <w:t>20160</w:t>
      </w:r>
      <w:r>
        <w:rPr>
          <w:rFonts w:ascii="Times New Roman" w:hint="eastAsia"/>
        </w:rPr>
        <w:t>万</w:t>
      </w:r>
      <w:r>
        <w:rPr>
          <w:rFonts w:ascii="Times New Roman" w:hint="eastAsia"/>
        </w:rPr>
        <w:t>t</w:t>
      </w:r>
      <w:r>
        <w:rPr>
          <w:rFonts w:ascii="Times New Roman" w:hint="eastAsia"/>
        </w:rPr>
        <w:t>。</w:t>
      </w:r>
    </w:p>
    <w:p w14:paraId="39CA6EC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采取以上综合利用方式可有效的消耗大量煤矸石，</w:t>
      </w:r>
      <w:r>
        <w:rPr>
          <w:rFonts w:ascii="Times New Roman" w:hAnsi="Times New Roman" w:hint="eastAsia"/>
        </w:rPr>
        <w:t>处置方式是合理的。</w:t>
      </w:r>
    </w:p>
    <w:p w14:paraId="26080862" w14:textId="77777777" w:rsidR="009C353B" w:rsidRDefault="00000000">
      <w:pPr>
        <w:adjustRightInd w:val="0"/>
        <w:snapToGrid w:val="0"/>
        <w:spacing w:line="440" w:lineRule="exact"/>
        <w:ind w:firstLineChars="200" w:firstLine="482"/>
        <w:rPr>
          <w:rFonts w:ascii="Times New Roman" w:hAnsi="Times New Roman"/>
          <w:b/>
          <w:bCs/>
        </w:rPr>
      </w:pPr>
      <w:r>
        <w:rPr>
          <w:rFonts w:ascii="Times New Roman" w:hAnsi="Times New Roman" w:hint="eastAsia"/>
          <w:b/>
          <w:bCs/>
        </w:rPr>
        <w:t>（</w:t>
      </w:r>
      <w:r>
        <w:rPr>
          <w:rFonts w:ascii="Times New Roman" w:hAnsi="Times New Roman" w:hint="eastAsia"/>
          <w:b/>
          <w:bCs/>
        </w:rPr>
        <w:t>3</w:t>
      </w:r>
      <w:r>
        <w:rPr>
          <w:rFonts w:ascii="Times New Roman" w:hAnsi="Times New Roman" w:hint="eastAsia"/>
          <w:b/>
          <w:bCs/>
        </w:rPr>
        <w:t>）</w:t>
      </w:r>
      <w:r>
        <w:rPr>
          <w:rFonts w:ascii="Times New Roman" w:hAnsi="Times New Roman"/>
          <w:b/>
          <w:bCs/>
        </w:rPr>
        <w:t xml:space="preserve"> </w:t>
      </w:r>
      <w:r>
        <w:rPr>
          <w:rFonts w:ascii="Times New Roman" w:hAnsi="Times New Roman" w:hint="eastAsia"/>
          <w:b/>
          <w:bCs/>
        </w:rPr>
        <w:t>生产期</w:t>
      </w:r>
      <w:r>
        <w:rPr>
          <w:rFonts w:ascii="Times New Roman" w:hAnsi="Times New Roman"/>
          <w:b/>
          <w:bCs/>
        </w:rPr>
        <w:t>生活垃圾和</w:t>
      </w:r>
      <w:r>
        <w:rPr>
          <w:rFonts w:ascii="Times New Roman" w:hAnsi="Times New Roman" w:hint="eastAsia"/>
          <w:b/>
          <w:bCs/>
        </w:rPr>
        <w:t>水处理站</w:t>
      </w:r>
      <w:r>
        <w:rPr>
          <w:rFonts w:ascii="Times New Roman" w:hAnsi="Times New Roman"/>
          <w:b/>
          <w:bCs/>
        </w:rPr>
        <w:t>生化污泥的处理与处置</w:t>
      </w:r>
    </w:p>
    <w:p w14:paraId="1D364D6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1</w:t>
      </w:r>
      <w:r>
        <w:rPr>
          <w:rFonts w:ascii="Times New Roman" w:hAnsi="Times New Roman"/>
        </w:rPr>
        <w:t>）生活垃圾的处理与处置</w:t>
      </w:r>
    </w:p>
    <w:p w14:paraId="47442BE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矿区内生活垃圾</w:t>
      </w:r>
      <w:r>
        <w:rPr>
          <w:rFonts w:ascii="Times New Roman" w:hAnsi="Times New Roman" w:hint="eastAsia"/>
        </w:rPr>
        <w:t>应先</w:t>
      </w:r>
      <w:r>
        <w:rPr>
          <w:rFonts w:ascii="Times New Roman" w:hAnsi="Times New Roman"/>
        </w:rPr>
        <w:t>由</w:t>
      </w:r>
      <w:r>
        <w:rPr>
          <w:rFonts w:ascii="Times New Roman" w:hAnsi="Times New Roman" w:hint="eastAsia"/>
        </w:rPr>
        <w:t>各矿收集后，再由</w:t>
      </w:r>
      <w:r>
        <w:rPr>
          <w:rFonts w:ascii="Times New Roman" w:hAnsi="Times New Roman"/>
        </w:rPr>
        <w:t>当地城建环卫部</w:t>
      </w:r>
      <w:r>
        <w:rPr>
          <w:rFonts w:ascii="Times New Roman" w:hAnsi="Times New Roman" w:hint="eastAsia"/>
        </w:rPr>
        <w:t>门</w:t>
      </w:r>
      <w:r>
        <w:rPr>
          <w:rFonts w:ascii="Times New Roman" w:hAnsi="Times New Roman"/>
        </w:rPr>
        <w:t>统一集中处理</w:t>
      </w:r>
      <w:r>
        <w:rPr>
          <w:rFonts w:ascii="Times New Roman" w:hAnsi="Times New Roman" w:hint="eastAsia"/>
        </w:rPr>
        <w:t>。本矿区中三个生产矿井已委托环卫部门处理。</w:t>
      </w:r>
    </w:p>
    <w:p w14:paraId="1D56163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2</w:t>
      </w:r>
      <w:r>
        <w:rPr>
          <w:rFonts w:ascii="Times New Roman" w:hAnsi="Times New Roman"/>
        </w:rPr>
        <w:t>）生化污泥的处理与处置</w:t>
      </w:r>
    </w:p>
    <w:p w14:paraId="0A9E094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矿区有机污泥主要来自各矿井生产生活污水处理</w:t>
      </w:r>
      <w:r>
        <w:rPr>
          <w:rFonts w:ascii="Times New Roman" w:hAnsi="Times New Roman" w:hint="eastAsia"/>
        </w:rPr>
        <w:t>站</w:t>
      </w:r>
      <w:r>
        <w:rPr>
          <w:rFonts w:ascii="Times New Roman" w:hAnsi="Times New Roman"/>
        </w:rPr>
        <w:t>，</w:t>
      </w:r>
      <w:r>
        <w:rPr>
          <w:rFonts w:ascii="Times New Roman" w:hAnsi="Times New Roman" w:hint="eastAsia"/>
        </w:rPr>
        <w:t>本</w:t>
      </w:r>
      <w:r>
        <w:rPr>
          <w:rFonts w:ascii="Times New Roman" w:hAnsi="Times New Roman"/>
        </w:rPr>
        <w:t>矿区规划将</w:t>
      </w:r>
      <w:r>
        <w:rPr>
          <w:rFonts w:ascii="Times New Roman" w:hAnsi="Times New Roman" w:hint="eastAsia"/>
        </w:rPr>
        <w:t>污泥脱水后，随各矿垃圾统一由当地环卫部门</w:t>
      </w:r>
      <w:r>
        <w:rPr>
          <w:rFonts w:ascii="Times New Roman" w:hAnsi="Times New Roman"/>
        </w:rPr>
        <w:t>进行</w:t>
      </w:r>
      <w:r>
        <w:rPr>
          <w:rFonts w:ascii="Times New Roman" w:hAnsi="Times New Roman" w:hint="eastAsia"/>
        </w:rPr>
        <w:t>统一处置</w:t>
      </w:r>
      <w:r>
        <w:rPr>
          <w:rFonts w:ascii="Times New Roman" w:hAnsi="Times New Roman"/>
        </w:rPr>
        <w:t>。</w:t>
      </w:r>
      <w:r>
        <w:rPr>
          <w:rFonts w:ascii="Times New Roman" w:hAnsi="Times New Roman" w:hint="eastAsia"/>
        </w:rPr>
        <w:t>本矿区中三个生产矿井已委托环卫部门处理。</w:t>
      </w:r>
    </w:p>
    <w:p w14:paraId="6BD6BA76" w14:textId="77777777" w:rsidR="009C353B" w:rsidRDefault="00000000">
      <w:pPr>
        <w:adjustRightInd w:val="0"/>
        <w:snapToGrid w:val="0"/>
        <w:spacing w:line="440" w:lineRule="exact"/>
        <w:ind w:firstLineChars="200" w:firstLine="482"/>
        <w:rPr>
          <w:rFonts w:ascii="Times New Roman" w:hAnsi="Times New Roman"/>
          <w:b/>
          <w:bCs/>
        </w:rPr>
      </w:pPr>
      <w:r>
        <w:rPr>
          <w:rFonts w:ascii="Times New Roman" w:hAnsi="Times New Roman" w:hint="eastAsia"/>
          <w:b/>
          <w:bCs/>
        </w:rPr>
        <w:t>（</w:t>
      </w:r>
      <w:r>
        <w:rPr>
          <w:rFonts w:ascii="Times New Roman" w:hAnsi="Times New Roman" w:hint="eastAsia"/>
          <w:b/>
          <w:bCs/>
        </w:rPr>
        <w:t>4</w:t>
      </w:r>
      <w:r>
        <w:rPr>
          <w:rFonts w:ascii="Times New Roman" w:hAnsi="Times New Roman" w:hint="eastAsia"/>
          <w:b/>
          <w:bCs/>
        </w:rPr>
        <w:t>）</w:t>
      </w:r>
      <w:r>
        <w:rPr>
          <w:rFonts w:ascii="Times New Roman" w:hAnsi="Times New Roman"/>
          <w:b/>
          <w:bCs/>
        </w:rPr>
        <w:t xml:space="preserve"> </w:t>
      </w:r>
      <w:r>
        <w:rPr>
          <w:rFonts w:ascii="Times New Roman" w:hAnsi="Times New Roman" w:hint="eastAsia"/>
          <w:b/>
          <w:bCs/>
        </w:rPr>
        <w:t>生产期危险废物</w:t>
      </w:r>
      <w:r>
        <w:rPr>
          <w:rFonts w:ascii="Times New Roman" w:hAnsi="Times New Roman"/>
          <w:b/>
          <w:bCs/>
        </w:rPr>
        <w:t>处理与处置</w:t>
      </w:r>
    </w:p>
    <w:p w14:paraId="27BC409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矿区危险废物包括废矿物油及废油桶。据现场调查，红石湾煤矿自</w:t>
      </w:r>
      <w:r>
        <w:rPr>
          <w:rFonts w:ascii="Times New Roman" w:hAnsi="Times New Roman" w:hint="eastAsia"/>
        </w:rPr>
        <w:t>2020</w:t>
      </w:r>
      <w:r>
        <w:rPr>
          <w:rFonts w:ascii="Times New Roman" w:hAnsi="Times New Roman" w:hint="eastAsia"/>
        </w:rPr>
        <w:t>年至今共产生废矿物油</w:t>
      </w:r>
      <w:r>
        <w:rPr>
          <w:rFonts w:ascii="Times New Roman" w:hAnsi="Times New Roman" w:hint="eastAsia"/>
        </w:rPr>
        <w:t>4.63t</w:t>
      </w:r>
      <w:r>
        <w:rPr>
          <w:rFonts w:ascii="Times New Roman" w:hAnsi="Times New Roman" w:hint="eastAsia"/>
        </w:rPr>
        <w:t>，其中</w:t>
      </w:r>
      <w:r>
        <w:rPr>
          <w:rFonts w:ascii="Times New Roman" w:hAnsi="Times New Roman" w:hint="eastAsia"/>
        </w:rPr>
        <w:t>2t</w:t>
      </w:r>
      <w:r>
        <w:rPr>
          <w:rFonts w:ascii="Times New Roman" w:hAnsi="Times New Roman" w:hint="eastAsia"/>
        </w:rPr>
        <w:t>已按危险废物规定进行处理；任家庄煤矿</w:t>
      </w:r>
      <w:r>
        <w:rPr>
          <w:rFonts w:ascii="Times New Roman" w:hAnsi="Times New Roman" w:hint="eastAsia"/>
        </w:rPr>
        <w:t>2020</w:t>
      </w:r>
      <w:r>
        <w:rPr>
          <w:rFonts w:ascii="Times New Roman" w:hAnsi="Times New Roman" w:hint="eastAsia"/>
        </w:rPr>
        <w:t>年至今已处理废矿物油</w:t>
      </w:r>
      <w:r>
        <w:rPr>
          <w:rFonts w:ascii="Times New Roman" w:hAnsi="Times New Roman" w:hint="eastAsia"/>
        </w:rPr>
        <w:t>18.34t</w:t>
      </w:r>
      <w:r>
        <w:rPr>
          <w:rFonts w:ascii="Times New Roman" w:hAnsi="Times New Roman" w:hint="eastAsia"/>
        </w:rPr>
        <w:t>。以上两煤矿废矿物油处置单位为宁夏华平科瑞能源化工有限公司；废油桶处置单位河南亿得帮环保科技有限公司。马莲台煤矿危险废物由临河工业园区统一收集并由园区统一委托有资质的单位对其进行处置。</w:t>
      </w:r>
    </w:p>
    <w:p w14:paraId="7C07E20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矿区内现有煤矿均委托有资质的单位对其产生的危险废物进行处理，后续要求现有矿井及新建矿井需按要求委托有相关资质的单位对其危废进行处理。</w:t>
      </w:r>
    </w:p>
    <w:p w14:paraId="55785288"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6.6.</w:t>
      </w:r>
      <w:r>
        <w:rPr>
          <w:rFonts w:ascii="Times New Roman" w:hAnsi="Times New Roman" w:hint="eastAsia"/>
          <w:sz w:val="24"/>
        </w:rPr>
        <w:t>4</w:t>
      </w:r>
      <w:r>
        <w:rPr>
          <w:rFonts w:ascii="Times New Roman" w:hAnsi="Times New Roman"/>
          <w:sz w:val="24"/>
        </w:rPr>
        <w:t xml:space="preserve"> </w:t>
      </w:r>
      <w:r>
        <w:rPr>
          <w:rFonts w:ascii="Times New Roman" w:hAnsi="Times New Roman"/>
          <w:sz w:val="24"/>
        </w:rPr>
        <w:t>固体废物处置环境影响分析</w:t>
      </w:r>
    </w:p>
    <w:p w14:paraId="040319A1" w14:textId="77777777" w:rsidR="009C353B" w:rsidRDefault="00000000">
      <w:pPr>
        <w:adjustRightInd w:val="0"/>
        <w:snapToGrid w:val="0"/>
        <w:spacing w:line="440" w:lineRule="exact"/>
        <w:ind w:firstLineChars="200" w:firstLine="482"/>
        <w:rPr>
          <w:rFonts w:ascii="Times New Roman" w:hAnsi="Times New Roman"/>
          <w:b/>
          <w:bCs/>
        </w:rPr>
      </w:pPr>
      <w:r>
        <w:rPr>
          <w:rFonts w:ascii="Times New Roman" w:hAnsi="Times New Roman" w:hint="eastAsia"/>
          <w:b/>
          <w:bCs/>
        </w:rPr>
        <w:t>（</w:t>
      </w:r>
      <w:r>
        <w:rPr>
          <w:rFonts w:ascii="Times New Roman" w:hAnsi="Times New Roman" w:hint="eastAsia"/>
          <w:b/>
          <w:bCs/>
        </w:rPr>
        <w:t>1</w:t>
      </w:r>
      <w:r>
        <w:rPr>
          <w:rFonts w:ascii="Times New Roman" w:hAnsi="Times New Roman" w:hint="eastAsia"/>
          <w:b/>
          <w:bCs/>
        </w:rPr>
        <w:t>）</w:t>
      </w:r>
      <w:r>
        <w:rPr>
          <w:rFonts w:ascii="Times New Roman" w:hAnsi="Times New Roman"/>
          <w:b/>
          <w:bCs/>
        </w:rPr>
        <w:t xml:space="preserve"> </w:t>
      </w:r>
      <w:r>
        <w:rPr>
          <w:rFonts w:ascii="Times New Roman" w:hAnsi="Times New Roman"/>
          <w:b/>
          <w:bCs/>
        </w:rPr>
        <w:t>矸石堆存的环境影响</w:t>
      </w:r>
    </w:p>
    <w:p w14:paraId="05FAF06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本矿区产生的掘进矸石不出井，</w:t>
      </w:r>
      <w:r>
        <w:rPr>
          <w:rFonts w:ascii="Times New Roman" w:hAnsi="Times New Roman"/>
        </w:rPr>
        <w:t>选煤厂矸石</w:t>
      </w:r>
      <w:r>
        <w:rPr>
          <w:rFonts w:ascii="Times New Roman" w:hAnsi="Times New Roman" w:hint="eastAsia"/>
        </w:rPr>
        <w:t>中</w:t>
      </w:r>
      <w:r>
        <w:rPr>
          <w:rFonts w:ascii="Times New Roman" w:hAnsi="Times New Roman"/>
        </w:rPr>
        <w:t>，</w:t>
      </w:r>
      <w:r>
        <w:rPr>
          <w:rFonts w:ascii="Times New Roman" w:hAnsi="Times New Roman" w:hint="eastAsia"/>
        </w:rPr>
        <w:t>部分</w:t>
      </w:r>
      <w:r>
        <w:rPr>
          <w:rFonts w:ascii="Times New Roman" w:hAnsi="Times New Roman"/>
        </w:rPr>
        <w:t>进行综合利用，剩余矸石</w:t>
      </w:r>
      <w:r>
        <w:rPr>
          <w:rFonts w:ascii="Times New Roman" w:hAnsi="Times New Roman" w:hint="eastAsia"/>
        </w:rPr>
        <w:t>排至排矸场</w:t>
      </w:r>
      <w:r>
        <w:rPr>
          <w:rFonts w:ascii="Times New Roman" w:hAnsi="Times New Roman"/>
        </w:rPr>
        <w:t>，</w:t>
      </w:r>
      <w:r>
        <w:rPr>
          <w:rFonts w:ascii="Times New Roman" w:hAnsi="Times New Roman" w:hint="eastAsia"/>
        </w:rPr>
        <w:t>达到</w:t>
      </w:r>
      <w:r>
        <w:rPr>
          <w:rFonts w:ascii="Times New Roman" w:hAnsi="Times New Roman"/>
        </w:rPr>
        <w:t>设计标高后覆土绿化，恢复植被。评价对</w:t>
      </w:r>
      <w:r>
        <w:rPr>
          <w:rFonts w:ascii="Times New Roman" w:hAnsi="Times New Roman" w:hint="eastAsia"/>
        </w:rPr>
        <w:t>排矸场</w:t>
      </w:r>
      <w:r>
        <w:rPr>
          <w:rFonts w:ascii="Times New Roman" w:hAnsi="Times New Roman"/>
        </w:rPr>
        <w:t>的环境影响简要分析如下：</w:t>
      </w:r>
    </w:p>
    <w:p w14:paraId="06E4B09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1</w:t>
      </w:r>
      <w:r>
        <w:rPr>
          <w:rFonts w:ascii="Times New Roman" w:hAnsi="Times New Roman"/>
        </w:rPr>
        <w:t>）扬尘污染</w:t>
      </w:r>
    </w:p>
    <w:p w14:paraId="0E57C4FD"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固体物料起尘条件主要取决于其粒度、表面含水量和风速的大小。矸石和土渣在堆放场存放过程中，随着表面水分的逐渐蒸发，遇到大气天气就易产生风蚀扬尘。</w:t>
      </w:r>
    </w:p>
    <w:p w14:paraId="582CC47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根据矸石堆扬尘的风洞模拟试验资料，矸石堆的起尘风速为</w:t>
      </w:r>
      <w:r>
        <w:rPr>
          <w:rFonts w:ascii="Times New Roman" w:hAnsi="Times New Roman"/>
        </w:rPr>
        <w:t>4.8m/s</w:t>
      </w:r>
      <w:r>
        <w:rPr>
          <w:rFonts w:ascii="Times New Roman" w:hAnsi="Times New Roman"/>
        </w:rPr>
        <w:t>。而据当地气象资料，矿区多年平均风速为</w:t>
      </w:r>
      <w:r>
        <w:rPr>
          <w:rFonts w:ascii="Times New Roman" w:hAnsi="Times New Roman" w:hint="eastAsia"/>
        </w:rPr>
        <w:t>2.7</w:t>
      </w:r>
      <w:r>
        <w:rPr>
          <w:rFonts w:ascii="Times New Roman" w:hAnsi="Times New Roman"/>
        </w:rPr>
        <w:t>m/s</w:t>
      </w:r>
      <w:r>
        <w:rPr>
          <w:rFonts w:ascii="Times New Roman" w:hAnsi="Times New Roman"/>
        </w:rPr>
        <w:t>，由此可预知，矿区一年之中发生矸石堆扬尘机会较少，但在具备起尘风速条件时，土石堆处理不当会对周围环境空气产生扬尘污染。</w:t>
      </w:r>
    </w:p>
    <w:p w14:paraId="487B2AE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鉴于</w:t>
      </w:r>
      <w:r>
        <w:rPr>
          <w:rFonts w:ascii="Times New Roman" w:hAnsi="Times New Roman" w:hint="eastAsia"/>
        </w:rPr>
        <w:t>排矸场</w:t>
      </w:r>
      <w:r>
        <w:rPr>
          <w:rFonts w:ascii="Times New Roman" w:hAnsi="Times New Roman"/>
        </w:rPr>
        <w:t>影响范围随着</w:t>
      </w:r>
      <w:r>
        <w:rPr>
          <w:rFonts w:ascii="Times New Roman" w:hAnsi="Times New Roman" w:hint="eastAsia"/>
        </w:rPr>
        <w:t>矸石堆</w:t>
      </w:r>
      <w:r>
        <w:rPr>
          <w:rFonts w:ascii="Times New Roman" w:hAnsi="Times New Roman"/>
        </w:rPr>
        <w:t>含水率的增加而迅速缩小，建议矿区对</w:t>
      </w:r>
      <w:r>
        <w:rPr>
          <w:rFonts w:ascii="Times New Roman" w:hAnsi="Times New Roman" w:hint="eastAsia"/>
        </w:rPr>
        <w:t>排矸</w:t>
      </w:r>
      <w:r>
        <w:rPr>
          <w:rFonts w:ascii="Times New Roman" w:hAnsi="Times New Roman"/>
        </w:rPr>
        <w:t>场加强洒水设施管理，提高</w:t>
      </w:r>
      <w:r>
        <w:rPr>
          <w:rFonts w:ascii="Times New Roman" w:hAnsi="Times New Roman" w:hint="eastAsia"/>
        </w:rPr>
        <w:t>排矸场</w:t>
      </w:r>
      <w:r>
        <w:rPr>
          <w:rFonts w:ascii="Times New Roman" w:hAnsi="Times New Roman"/>
        </w:rPr>
        <w:t>的含水率来有效控制</w:t>
      </w:r>
      <w:r>
        <w:rPr>
          <w:rFonts w:ascii="Times New Roman" w:hAnsi="Times New Roman" w:hint="eastAsia"/>
        </w:rPr>
        <w:t>矸石</w:t>
      </w:r>
      <w:r>
        <w:rPr>
          <w:rFonts w:ascii="Times New Roman" w:hAnsi="Times New Roman"/>
        </w:rPr>
        <w:t>堆扬尘对周边环境的影响。</w:t>
      </w:r>
    </w:p>
    <w:p w14:paraId="3828E56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2</w:t>
      </w:r>
      <w:r>
        <w:rPr>
          <w:rFonts w:ascii="Times New Roman" w:hAnsi="Times New Roman"/>
        </w:rPr>
        <w:t>）自燃影响</w:t>
      </w:r>
    </w:p>
    <w:p w14:paraId="13F5C7A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煤矸石发生自燃的两个基本条件是矸石中存在可燃物质和良好通风、储热条件。硫铁矿和丝炭是煤矸石中的主要可燃物质，硫铁矿是缺氧条件下生成的，赋存于煤层及煤系地层之中，呈结核和结晶状态，经过开采后，能在常温下从低温氧化自热到燃烧，煤中的丝炭也有吸氧作用，燃点低，易引起煤炭的自燃；氧气和水是煤矸石自燃的必要条件，良好的通风条件使自燃有充足氧气供给，同时在煤矸自热过程也需要良好的储热条件，使矸石堆中温度达到燃点，发生自燃。水可以加速煤矸石的风化，使矸石表面粉碎膨胀，使自燃更加容易。</w:t>
      </w:r>
    </w:p>
    <w:p w14:paraId="56F9620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若矸石碓自燃易造成火灾，同时也会散发大量</w:t>
      </w:r>
      <w:r>
        <w:rPr>
          <w:rFonts w:ascii="Times New Roman" w:hAnsi="Times New Roman"/>
        </w:rPr>
        <w:t>SO</w:t>
      </w:r>
      <w:r>
        <w:rPr>
          <w:rFonts w:ascii="Times New Roman" w:hAnsi="Times New Roman"/>
          <w:vertAlign w:val="subscript"/>
        </w:rPr>
        <w:t>2</w:t>
      </w:r>
      <w:r>
        <w:rPr>
          <w:rFonts w:ascii="Times New Roman" w:hAnsi="Times New Roman"/>
        </w:rPr>
        <w:t>，造成周边大气</w:t>
      </w:r>
      <w:r>
        <w:rPr>
          <w:rFonts w:ascii="Times New Roman" w:hAnsi="Times New Roman"/>
        </w:rPr>
        <w:t>SO</w:t>
      </w:r>
      <w:r>
        <w:rPr>
          <w:rFonts w:ascii="Times New Roman" w:hAnsi="Times New Roman"/>
          <w:vertAlign w:val="subscript"/>
        </w:rPr>
        <w:t>2</w:t>
      </w:r>
      <w:r>
        <w:rPr>
          <w:rFonts w:ascii="Times New Roman" w:hAnsi="Times New Roman"/>
        </w:rPr>
        <w:t>浓度增高，这不仅给大气造成严重污染，而且还会使</w:t>
      </w:r>
      <w:r>
        <w:rPr>
          <w:rFonts w:ascii="Times New Roman" w:hAnsi="Times New Roman" w:hint="eastAsia"/>
        </w:rPr>
        <w:t>排矸场</w:t>
      </w:r>
      <w:r>
        <w:rPr>
          <w:rFonts w:ascii="Times New Roman" w:hAnsi="Times New Roman"/>
        </w:rPr>
        <w:t>附近生态环境恶化，对</w:t>
      </w:r>
      <w:r>
        <w:rPr>
          <w:rFonts w:ascii="Times New Roman" w:hAnsi="Times New Roman" w:hint="eastAsia"/>
        </w:rPr>
        <w:t>排矸场</w:t>
      </w:r>
      <w:r>
        <w:rPr>
          <w:rFonts w:ascii="Times New Roman" w:hAnsi="Times New Roman"/>
        </w:rPr>
        <w:t>周围农牧业生产也带来严重影响。建议矿区各规划煤矿对矸石堆置实施分层堆置、压实、覆土的措施，隔绝空气，以防止矸石堆自燃。</w:t>
      </w:r>
    </w:p>
    <w:p w14:paraId="38338DC0" w14:textId="77777777" w:rsidR="009C353B" w:rsidRDefault="00000000">
      <w:pPr>
        <w:adjustRightInd w:val="0"/>
        <w:snapToGrid w:val="0"/>
        <w:spacing w:line="440" w:lineRule="exact"/>
        <w:ind w:firstLineChars="200" w:firstLine="480"/>
        <w:rPr>
          <w:rFonts w:ascii="Times New Roman" w:hAnsi="Times New Roman"/>
        </w:rPr>
      </w:pPr>
      <w:bookmarkStart w:id="271" w:name="_Hlk59371705"/>
      <w:r>
        <w:rPr>
          <w:rFonts w:ascii="Times New Roman" w:hAnsi="Times New Roman"/>
        </w:rPr>
        <w:t>各矿已生产</w:t>
      </w:r>
      <w:r>
        <w:rPr>
          <w:rFonts w:ascii="Times New Roman" w:hAnsi="Times New Roman" w:hint="eastAsia"/>
        </w:rPr>
        <w:t>1</w:t>
      </w:r>
      <w:r>
        <w:rPr>
          <w:rFonts w:ascii="Times New Roman" w:hAnsi="Times New Roman"/>
        </w:rPr>
        <w:t>0</w:t>
      </w:r>
      <w:r>
        <w:rPr>
          <w:rFonts w:ascii="Times New Roman" w:hAnsi="Times New Roman"/>
        </w:rPr>
        <w:t>余年</w:t>
      </w:r>
      <w:r>
        <w:rPr>
          <w:rFonts w:ascii="Times New Roman" w:hAnsi="Times New Roman" w:hint="eastAsia"/>
        </w:rPr>
        <w:t>，未</w:t>
      </w:r>
      <w:r>
        <w:rPr>
          <w:rFonts w:ascii="Times New Roman" w:hAnsi="Times New Roman"/>
        </w:rPr>
        <w:t>发生过矸石自燃事件</w:t>
      </w:r>
      <w:r>
        <w:rPr>
          <w:rFonts w:ascii="Times New Roman" w:hAnsi="Times New Roman" w:hint="eastAsia"/>
        </w:rPr>
        <w:t>，</w:t>
      </w:r>
      <w:r>
        <w:rPr>
          <w:rFonts w:ascii="Times New Roman" w:hAnsi="Times New Roman"/>
        </w:rPr>
        <w:t>各矿矸石含硫</w:t>
      </w:r>
      <w:r>
        <w:rPr>
          <w:rFonts w:ascii="Times New Roman" w:hAnsi="Times New Roman" w:hint="eastAsia"/>
        </w:rPr>
        <w:t>量</w:t>
      </w:r>
      <w:r>
        <w:rPr>
          <w:rFonts w:ascii="Times New Roman" w:hAnsi="Times New Roman"/>
        </w:rPr>
        <w:t>不大</w:t>
      </w:r>
      <w:r>
        <w:rPr>
          <w:rFonts w:ascii="Times New Roman" w:hAnsi="Times New Roman" w:hint="eastAsia"/>
        </w:rPr>
        <w:t>，</w:t>
      </w:r>
      <w:r>
        <w:rPr>
          <w:rFonts w:ascii="Times New Roman" w:hAnsi="Times New Roman"/>
        </w:rPr>
        <w:t>不具备自燃的条件</w:t>
      </w:r>
      <w:r>
        <w:rPr>
          <w:rFonts w:ascii="Times New Roman" w:hAnsi="Times New Roman" w:hint="eastAsia"/>
        </w:rPr>
        <w:t>。</w:t>
      </w:r>
    </w:p>
    <w:bookmarkEnd w:id="271"/>
    <w:p w14:paraId="2CD1D059" w14:textId="77777777" w:rsidR="009C353B" w:rsidRDefault="00000000">
      <w:pPr>
        <w:adjustRightInd w:val="0"/>
        <w:snapToGrid w:val="0"/>
        <w:spacing w:line="440" w:lineRule="exact"/>
        <w:ind w:firstLineChars="200" w:firstLine="482"/>
        <w:rPr>
          <w:rFonts w:ascii="Times New Roman" w:hAnsi="Times New Roman"/>
          <w:b/>
          <w:bCs/>
        </w:rPr>
      </w:pPr>
      <w:r>
        <w:rPr>
          <w:rFonts w:ascii="Times New Roman" w:hAnsi="Times New Roman" w:hint="eastAsia"/>
          <w:b/>
          <w:bCs/>
        </w:rPr>
        <w:t>（</w:t>
      </w:r>
      <w:r>
        <w:rPr>
          <w:rFonts w:ascii="Times New Roman" w:hAnsi="Times New Roman" w:hint="eastAsia"/>
          <w:b/>
          <w:bCs/>
        </w:rPr>
        <w:t>2</w:t>
      </w:r>
      <w:r>
        <w:rPr>
          <w:rFonts w:ascii="Times New Roman" w:hAnsi="Times New Roman" w:hint="eastAsia"/>
          <w:b/>
          <w:bCs/>
        </w:rPr>
        <w:t>）</w:t>
      </w:r>
      <w:r>
        <w:rPr>
          <w:rFonts w:ascii="Times New Roman" w:hAnsi="Times New Roman"/>
          <w:b/>
          <w:bCs/>
        </w:rPr>
        <w:t xml:space="preserve"> </w:t>
      </w:r>
      <w:r>
        <w:rPr>
          <w:rFonts w:ascii="Times New Roman" w:hAnsi="Times New Roman"/>
          <w:b/>
          <w:bCs/>
        </w:rPr>
        <w:t>生活垃圾和</w:t>
      </w:r>
      <w:r>
        <w:rPr>
          <w:rFonts w:ascii="Times New Roman" w:hAnsi="Times New Roman" w:hint="eastAsia"/>
          <w:b/>
          <w:bCs/>
        </w:rPr>
        <w:t>水处理站</w:t>
      </w:r>
      <w:r>
        <w:rPr>
          <w:rFonts w:ascii="Times New Roman" w:hAnsi="Times New Roman"/>
          <w:b/>
          <w:bCs/>
        </w:rPr>
        <w:t>有机污泥的环境影响</w:t>
      </w:r>
    </w:p>
    <w:p w14:paraId="0832B8C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1</w:t>
      </w:r>
      <w:r>
        <w:rPr>
          <w:rFonts w:ascii="Times New Roman" w:hAnsi="Times New Roman"/>
        </w:rPr>
        <w:t>）生活垃圾对环境的影响分析</w:t>
      </w:r>
    </w:p>
    <w:p w14:paraId="1CE6967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生活垃圾中</w:t>
      </w:r>
      <w:r>
        <w:rPr>
          <w:rFonts w:ascii="Times New Roman" w:hAnsi="Times New Roman" w:hint="eastAsia"/>
        </w:rPr>
        <w:t>通常</w:t>
      </w:r>
      <w:r>
        <w:rPr>
          <w:rFonts w:ascii="Times New Roman" w:hAnsi="Times New Roman"/>
        </w:rPr>
        <w:t>含有大量病原微生物</w:t>
      </w:r>
      <w:r>
        <w:rPr>
          <w:rFonts w:ascii="Times New Roman" w:hAnsi="Times New Roman" w:hint="eastAsia"/>
        </w:rPr>
        <w:t>，</w:t>
      </w:r>
      <w:r>
        <w:rPr>
          <w:rFonts w:ascii="Times New Roman" w:hAnsi="Times New Roman"/>
        </w:rPr>
        <w:t>可能通过渗滤液污染地表水、地下水而传播各种疾病</w:t>
      </w:r>
      <w:r>
        <w:rPr>
          <w:rFonts w:ascii="Times New Roman" w:hAnsi="Times New Roman" w:hint="eastAsia"/>
        </w:rPr>
        <w:t>，污染</w:t>
      </w:r>
      <w:r>
        <w:rPr>
          <w:rFonts w:ascii="Times New Roman" w:hAnsi="Times New Roman"/>
        </w:rPr>
        <w:t>土壤环境。</w:t>
      </w:r>
      <w:r>
        <w:rPr>
          <w:rFonts w:ascii="Times New Roman" w:hAnsi="Times New Roman" w:hint="eastAsia"/>
        </w:rPr>
        <w:t>因此</w:t>
      </w:r>
      <w:r>
        <w:rPr>
          <w:rFonts w:ascii="Times New Roman" w:hAnsi="Times New Roman"/>
        </w:rPr>
        <w:t>，评价提出，矿区生活垃圾</w:t>
      </w:r>
      <w:r>
        <w:rPr>
          <w:rFonts w:ascii="Times New Roman" w:hAnsi="Times New Roman" w:hint="eastAsia"/>
        </w:rPr>
        <w:t>不得</w:t>
      </w:r>
      <w:r>
        <w:rPr>
          <w:rFonts w:ascii="Times New Roman" w:hAnsi="Times New Roman"/>
        </w:rPr>
        <w:t>随意堆放、乱倒乱</w:t>
      </w:r>
      <w:r>
        <w:rPr>
          <w:rFonts w:ascii="Times New Roman" w:hAnsi="Times New Roman" w:hint="eastAsia"/>
        </w:rPr>
        <w:t>弃</w:t>
      </w:r>
      <w:r>
        <w:rPr>
          <w:rFonts w:ascii="Times New Roman" w:hAnsi="Times New Roman"/>
        </w:rPr>
        <w:t>，</w:t>
      </w:r>
      <w:r>
        <w:rPr>
          <w:rFonts w:ascii="Times New Roman" w:hAnsi="Times New Roman" w:hint="eastAsia"/>
        </w:rPr>
        <w:t>矿区生活垃圾定期收集</w:t>
      </w:r>
      <w:r>
        <w:rPr>
          <w:rFonts w:ascii="Times New Roman" w:hAnsi="Times New Roman"/>
        </w:rPr>
        <w:t>后</w:t>
      </w:r>
      <w:r>
        <w:rPr>
          <w:rFonts w:ascii="Times New Roman" w:hAnsi="Times New Roman" w:hint="eastAsia"/>
        </w:rPr>
        <w:t>，定期送至具有接收能力的环卫部门进行集中处理</w:t>
      </w:r>
      <w:r>
        <w:rPr>
          <w:rFonts w:ascii="Times New Roman" w:hAnsi="Times New Roman"/>
        </w:rPr>
        <w:t>，</w:t>
      </w:r>
      <w:r>
        <w:rPr>
          <w:rFonts w:ascii="Times New Roman" w:hAnsi="Times New Roman" w:hint="eastAsia"/>
        </w:rPr>
        <w:t>在</w:t>
      </w:r>
      <w:r>
        <w:rPr>
          <w:rFonts w:ascii="Times New Roman" w:hAnsi="Times New Roman"/>
        </w:rPr>
        <w:t>采取上述措施后，生活垃圾</w:t>
      </w:r>
      <w:r>
        <w:rPr>
          <w:rFonts w:ascii="Times New Roman" w:hAnsi="Times New Roman" w:hint="eastAsia"/>
        </w:rPr>
        <w:t>可</w:t>
      </w:r>
      <w:r>
        <w:rPr>
          <w:rFonts w:ascii="Times New Roman" w:hAnsi="Times New Roman"/>
        </w:rPr>
        <w:t>得到有效处置，</w:t>
      </w:r>
      <w:r>
        <w:rPr>
          <w:rFonts w:ascii="Times New Roman" w:hAnsi="Times New Roman" w:hint="eastAsia"/>
        </w:rPr>
        <w:t>对</w:t>
      </w:r>
      <w:r>
        <w:rPr>
          <w:rFonts w:ascii="Times New Roman" w:hAnsi="Times New Roman"/>
        </w:rPr>
        <w:t>矿区</w:t>
      </w:r>
      <w:r>
        <w:rPr>
          <w:rFonts w:ascii="Times New Roman" w:hAnsi="Times New Roman" w:hint="eastAsia"/>
        </w:rPr>
        <w:t>周边环境</w:t>
      </w:r>
      <w:r>
        <w:rPr>
          <w:rFonts w:ascii="Times New Roman" w:hAnsi="Times New Roman"/>
        </w:rPr>
        <w:t>影响</w:t>
      </w:r>
      <w:r>
        <w:rPr>
          <w:rFonts w:ascii="Times New Roman" w:hAnsi="Times New Roman" w:hint="eastAsia"/>
        </w:rPr>
        <w:t>较小</w:t>
      </w:r>
      <w:r>
        <w:rPr>
          <w:rFonts w:ascii="Times New Roman" w:hAnsi="Times New Roman"/>
        </w:rPr>
        <w:t>。</w:t>
      </w:r>
    </w:p>
    <w:p w14:paraId="5526F83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2</w:t>
      </w:r>
      <w:r>
        <w:rPr>
          <w:rFonts w:ascii="Times New Roman" w:hAnsi="Times New Roman"/>
        </w:rPr>
        <w:t>）有机污泥对环境的影响分析</w:t>
      </w:r>
    </w:p>
    <w:p w14:paraId="530E586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矿区有机污泥主要来自各矿井生产生活污水处理场产出的</w:t>
      </w:r>
      <w:r>
        <w:rPr>
          <w:rFonts w:ascii="Times New Roman" w:hAnsi="Times New Roman" w:hint="eastAsia"/>
        </w:rPr>
        <w:t>剩余</w:t>
      </w:r>
      <w:r>
        <w:rPr>
          <w:rFonts w:ascii="Times New Roman" w:hAnsi="Times New Roman"/>
        </w:rPr>
        <w:t>活性污泥。</w:t>
      </w:r>
      <w:r>
        <w:rPr>
          <w:rFonts w:ascii="Times New Roman" w:hAnsi="Times New Roman" w:hint="eastAsia"/>
        </w:rPr>
        <w:t>矿区生活污水</w:t>
      </w:r>
      <w:r>
        <w:rPr>
          <w:rFonts w:ascii="Times New Roman" w:hAnsi="Times New Roman"/>
        </w:rPr>
        <w:t>处理站污泥</w:t>
      </w:r>
      <w:r>
        <w:rPr>
          <w:rFonts w:ascii="Times New Roman" w:hAnsi="Times New Roman" w:hint="eastAsia"/>
        </w:rPr>
        <w:t>脱水</w:t>
      </w:r>
      <w:r>
        <w:rPr>
          <w:rFonts w:ascii="Times New Roman" w:hAnsi="Times New Roman"/>
        </w:rPr>
        <w:t>后</w:t>
      </w:r>
      <w:r>
        <w:rPr>
          <w:rFonts w:ascii="Times New Roman" w:hAnsi="Times New Roman" w:hint="eastAsia"/>
        </w:rPr>
        <w:t>交由当地环卫部门统一</w:t>
      </w:r>
      <w:r>
        <w:rPr>
          <w:rFonts w:ascii="Times New Roman" w:hAnsi="Times New Roman"/>
        </w:rPr>
        <w:t>处置</w:t>
      </w:r>
      <w:r>
        <w:rPr>
          <w:rFonts w:ascii="Times New Roman" w:hAnsi="Times New Roman" w:hint="eastAsia"/>
        </w:rPr>
        <w:t>在</w:t>
      </w:r>
      <w:r>
        <w:rPr>
          <w:rFonts w:ascii="Times New Roman" w:hAnsi="Times New Roman"/>
        </w:rPr>
        <w:t>采取上述措施后，生活</w:t>
      </w:r>
      <w:r>
        <w:rPr>
          <w:rFonts w:ascii="Times New Roman" w:hAnsi="Times New Roman" w:hint="eastAsia"/>
        </w:rPr>
        <w:t>污水处理站</w:t>
      </w:r>
      <w:r>
        <w:rPr>
          <w:rFonts w:ascii="Times New Roman" w:hAnsi="Times New Roman"/>
        </w:rPr>
        <w:t>污泥</w:t>
      </w:r>
      <w:r>
        <w:rPr>
          <w:rFonts w:ascii="Times New Roman" w:hAnsi="Times New Roman" w:hint="eastAsia"/>
        </w:rPr>
        <w:t>可</w:t>
      </w:r>
      <w:r>
        <w:rPr>
          <w:rFonts w:ascii="Times New Roman" w:hAnsi="Times New Roman"/>
        </w:rPr>
        <w:t>得到有效处置，</w:t>
      </w:r>
      <w:r>
        <w:rPr>
          <w:rFonts w:ascii="Times New Roman" w:hAnsi="Times New Roman" w:hint="eastAsia"/>
        </w:rPr>
        <w:t>对</w:t>
      </w:r>
      <w:r>
        <w:rPr>
          <w:rFonts w:ascii="Times New Roman" w:hAnsi="Times New Roman"/>
        </w:rPr>
        <w:t>矿区</w:t>
      </w:r>
      <w:r>
        <w:rPr>
          <w:rFonts w:ascii="Times New Roman" w:hAnsi="Times New Roman" w:hint="eastAsia"/>
        </w:rPr>
        <w:t>周边环境</w:t>
      </w:r>
      <w:r>
        <w:rPr>
          <w:rFonts w:ascii="Times New Roman" w:hAnsi="Times New Roman"/>
        </w:rPr>
        <w:t>影响</w:t>
      </w:r>
      <w:r>
        <w:rPr>
          <w:rFonts w:ascii="Times New Roman" w:hAnsi="Times New Roman" w:hint="eastAsia"/>
        </w:rPr>
        <w:t>较小</w:t>
      </w:r>
      <w:r>
        <w:rPr>
          <w:rFonts w:ascii="Times New Roman" w:hAnsi="Times New Roman"/>
        </w:rPr>
        <w:t>。</w:t>
      </w:r>
    </w:p>
    <w:p w14:paraId="68619D16" w14:textId="77777777" w:rsidR="009C353B" w:rsidRDefault="00000000">
      <w:pPr>
        <w:adjustRightInd w:val="0"/>
        <w:snapToGrid w:val="0"/>
        <w:spacing w:line="440" w:lineRule="exact"/>
        <w:ind w:firstLineChars="200" w:firstLine="482"/>
        <w:rPr>
          <w:rFonts w:ascii="Times New Roman" w:hAnsi="Times New Roman"/>
          <w:b/>
          <w:bCs/>
        </w:rPr>
      </w:pPr>
      <w:r>
        <w:rPr>
          <w:rFonts w:ascii="Times New Roman" w:hAnsi="Times New Roman" w:hint="eastAsia"/>
          <w:b/>
          <w:bCs/>
        </w:rPr>
        <w:t>（</w:t>
      </w:r>
      <w:r>
        <w:rPr>
          <w:rFonts w:ascii="Times New Roman" w:hAnsi="Times New Roman" w:hint="eastAsia"/>
          <w:b/>
          <w:bCs/>
        </w:rPr>
        <w:t>3</w:t>
      </w:r>
      <w:r>
        <w:rPr>
          <w:rFonts w:ascii="Times New Roman" w:hAnsi="Times New Roman" w:hint="eastAsia"/>
          <w:b/>
          <w:bCs/>
        </w:rPr>
        <w:t>）</w:t>
      </w:r>
      <w:r>
        <w:rPr>
          <w:rFonts w:ascii="Times New Roman" w:hAnsi="Times New Roman"/>
          <w:b/>
          <w:bCs/>
        </w:rPr>
        <w:t xml:space="preserve"> </w:t>
      </w:r>
      <w:r>
        <w:rPr>
          <w:rFonts w:ascii="Times New Roman" w:hAnsi="Times New Roman" w:hint="eastAsia"/>
          <w:b/>
          <w:bCs/>
        </w:rPr>
        <w:t>危险废物</w:t>
      </w:r>
      <w:r>
        <w:rPr>
          <w:rFonts w:ascii="Times New Roman" w:hAnsi="Times New Roman"/>
          <w:b/>
          <w:bCs/>
        </w:rPr>
        <w:t>的环境影响</w:t>
      </w:r>
    </w:p>
    <w:p w14:paraId="03D44E0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煤矿生产过程中产生的危险废物主要包括废矿物油及废油桶。本矿区产生的危险废物严格按照《危险废物贮存污染控制标准》（</w:t>
      </w:r>
      <w:r>
        <w:rPr>
          <w:rFonts w:ascii="Times New Roman" w:hAnsi="Times New Roman" w:hint="eastAsia"/>
        </w:rPr>
        <w:t>GB18597-2001</w:t>
      </w:r>
      <w:r>
        <w:rPr>
          <w:rFonts w:ascii="Times New Roman" w:hAnsi="Times New Roman" w:hint="eastAsia"/>
        </w:rPr>
        <w:t>）及其</w:t>
      </w:r>
      <w:r>
        <w:rPr>
          <w:rFonts w:ascii="Times New Roman" w:hAnsi="Times New Roman" w:hint="eastAsia"/>
        </w:rPr>
        <w:t>2013</w:t>
      </w:r>
      <w:r>
        <w:rPr>
          <w:rFonts w:ascii="Times New Roman" w:hAnsi="Times New Roman" w:hint="eastAsia"/>
        </w:rPr>
        <w:t>年修改单要求，由各矿集中收集后，交由有资质的单位进行处理。因此在</w:t>
      </w:r>
      <w:r>
        <w:rPr>
          <w:rFonts w:ascii="Times New Roman" w:hAnsi="Times New Roman"/>
        </w:rPr>
        <w:t>采取上述措施后，</w:t>
      </w:r>
      <w:r>
        <w:rPr>
          <w:rFonts w:ascii="Times New Roman" w:hAnsi="Times New Roman" w:hint="eastAsia"/>
        </w:rPr>
        <w:t>危险废物可</w:t>
      </w:r>
      <w:r>
        <w:rPr>
          <w:rFonts w:ascii="Times New Roman" w:hAnsi="Times New Roman"/>
        </w:rPr>
        <w:t>得到有效处置，</w:t>
      </w:r>
      <w:r>
        <w:rPr>
          <w:rFonts w:ascii="Times New Roman" w:hAnsi="Times New Roman" w:hint="eastAsia"/>
        </w:rPr>
        <w:t>对</w:t>
      </w:r>
      <w:r>
        <w:rPr>
          <w:rFonts w:ascii="Times New Roman" w:hAnsi="Times New Roman"/>
        </w:rPr>
        <w:t>矿区</w:t>
      </w:r>
      <w:r>
        <w:rPr>
          <w:rFonts w:ascii="Times New Roman" w:hAnsi="Times New Roman" w:hint="eastAsia"/>
        </w:rPr>
        <w:t>周边环境</w:t>
      </w:r>
      <w:r>
        <w:rPr>
          <w:rFonts w:ascii="Times New Roman" w:hAnsi="Times New Roman"/>
        </w:rPr>
        <w:t>影响</w:t>
      </w:r>
      <w:r>
        <w:rPr>
          <w:rFonts w:ascii="Times New Roman" w:hAnsi="Times New Roman" w:hint="eastAsia"/>
        </w:rPr>
        <w:t>较小</w:t>
      </w:r>
      <w:r>
        <w:rPr>
          <w:rFonts w:ascii="Times New Roman" w:hAnsi="Times New Roman"/>
        </w:rPr>
        <w:t>。</w:t>
      </w:r>
    </w:p>
    <w:p w14:paraId="02C13D41" w14:textId="77777777" w:rsidR="009C353B" w:rsidRDefault="00000000">
      <w:pPr>
        <w:pStyle w:val="2"/>
        <w:snapToGrid w:val="0"/>
        <w:spacing w:before="320" w:after="240" w:line="440" w:lineRule="atLeast"/>
        <w:rPr>
          <w:rFonts w:ascii="Times New Roman" w:eastAsia="宋体" w:hAnsi="Times New Roman"/>
          <w:b/>
          <w:sz w:val="28"/>
        </w:rPr>
      </w:pPr>
      <w:bookmarkStart w:id="272" w:name="_Toc59189852"/>
      <w:r>
        <w:rPr>
          <w:rFonts w:ascii="Times New Roman" w:eastAsia="宋体" w:hAnsi="Times New Roman" w:hint="eastAsia"/>
          <w:b/>
          <w:sz w:val="28"/>
        </w:rPr>
        <w:t>6</w:t>
      </w:r>
      <w:r>
        <w:rPr>
          <w:rFonts w:ascii="Times New Roman" w:eastAsia="宋体" w:hAnsi="Times New Roman"/>
          <w:b/>
          <w:sz w:val="28"/>
        </w:rPr>
        <w:t xml:space="preserve">.7 </w:t>
      </w:r>
      <w:r>
        <w:rPr>
          <w:rFonts w:ascii="Times New Roman" w:eastAsia="宋体" w:hAnsi="Times New Roman" w:hint="eastAsia"/>
          <w:b/>
          <w:sz w:val="28"/>
        </w:rPr>
        <w:t>土壤环境影响分析</w:t>
      </w:r>
      <w:bookmarkEnd w:id="272"/>
    </w:p>
    <w:p w14:paraId="4A57A5A1" w14:textId="77777777" w:rsidR="009C353B" w:rsidRDefault="00000000">
      <w:pPr>
        <w:adjustRightInd w:val="0"/>
        <w:snapToGrid w:val="0"/>
        <w:spacing w:line="440" w:lineRule="exact"/>
        <w:ind w:firstLine="482"/>
        <w:rPr>
          <w:rFonts w:ascii="Times New Roman" w:eastAsiaTheme="minorEastAsia" w:hAnsi="Times New Roman"/>
        </w:rPr>
      </w:pPr>
      <w:r>
        <w:rPr>
          <w:rFonts w:ascii="Times New Roman" w:eastAsiaTheme="minorEastAsia" w:hAnsi="Times New Roman"/>
        </w:rPr>
        <w:t>根据矿区土壤环境质量现状监测结果，各监测点土壤含盐量（</w:t>
      </w:r>
      <w:r>
        <w:rPr>
          <w:rFonts w:ascii="Times New Roman" w:eastAsiaTheme="minorEastAsia" w:hAnsi="Times New Roman"/>
        </w:rPr>
        <w:t>SSC</w:t>
      </w:r>
      <w:r>
        <w:rPr>
          <w:rFonts w:ascii="Times New Roman" w:eastAsiaTheme="minorEastAsia" w:hAnsi="Times New Roman"/>
        </w:rPr>
        <w:t>）</w:t>
      </w:r>
      <w:r>
        <w:rPr>
          <w:rFonts w:ascii="Times New Roman" w:eastAsiaTheme="minorEastAsia" w:hAnsi="Times New Roman" w:hint="eastAsia"/>
        </w:rPr>
        <w:t>除两个点位</w:t>
      </w:r>
      <w:r>
        <w:rPr>
          <w:rFonts w:ascii="Times New Roman" w:eastAsiaTheme="minorEastAsia" w:hAnsi="Times New Roman"/>
        </w:rPr>
        <w:t>土壤含盐量（</w:t>
      </w:r>
      <w:r>
        <w:rPr>
          <w:rFonts w:ascii="Times New Roman" w:eastAsiaTheme="minorEastAsia" w:hAnsi="Times New Roman"/>
        </w:rPr>
        <w:t>SSC</w:t>
      </w:r>
      <w:r>
        <w:rPr>
          <w:rFonts w:ascii="Times New Roman" w:eastAsiaTheme="minorEastAsia" w:hAnsi="Times New Roman"/>
        </w:rPr>
        <w:t>）为</w:t>
      </w:r>
      <w:r>
        <w:rPr>
          <w:rFonts w:ascii="Times New Roman" w:eastAsiaTheme="minorEastAsia" w:hAnsi="Times New Roman" w:hint="eastAsia"/>
        </w:rPr>
        <w:t>8</w:t>
      </w:r>
      <w:r>
        <w:rPr>
          <w:rFonts w:ascii="Times New Roman" w:eastAsiaTheme="minorEastAsia" w:hAnsi="Times New Roman"/>
        </w:rPr>
        <w:t>.04</w:t>
      </w:r>
      <w:r>
        <w:rPr>
          <w:rFonts w:ascii="Times New Roman" w:eastAsiaTheme="minorEastAsia" w:hAnsi="Times New Roman" w:hint="eastAsia"/>
        </w:rPr>
        <w:t>、</w:t>
      </w:r>
      <w:r>
        <w:rPr>
          <w:rFonts w:ascii="Times New Roman" w:eastAsiaTheme="minorEastAsia" w:hAnsi="Times New Roman"/>
        </w:rPr>
        <w:t>11.4 g/kg</w:t>
      </w:r>
      <w:r>
        <w:rPr>
          <w:rFonts w:ascii="Times New Roman" w:eastAsiaTheme="minorEastAsia" w:hAnsi="Times New Roman" w:hint="eastAsia"/>
        </w:rPr>
        <w:t>外</w:t>
      </w:r>
      <w:r>
        <w:rPr>
          <w:rFonts w:ascii="Times New Roman" w:eastAsiaTheme="minorEastAsia" w:hAnsi="Times New Roman"/>
        </w:rPr>
        <w:t>，各监测点土壤含盐量（</w:t>
      </w:r>
      <w:r>
        <w:rPr>
          <w:rFonts w:ascii="Times New Roman" w:eastAsiaTheme="minorEastAsia" w:hAnsi="Times New Roman"/>
        </w:rPr>
        <w:t>SSC</w:t>
      </w:r>
      <w:r>
        <w:rPr>
          <w:rFonts w:ascii="Times New Roman" w:eastAsiaTheme="minorEastAsia" w:hAnsi="Times New Roman"/>
        </w:rPr>
        <w:t>）为</w:t>
      </w:r>
      <w:r>
        <w:rPr>
          <w:rFonts w:ascii="Times New Roman" w:eastAsiaTheme="minorEastAsia" w:hAnsi="Times New Roman"/>
        </w:rPr>
        <w:t>0.37~1.19 g/kg</w:t>
      </w:r>
      <w:r>
        <w:rPr>
          <w:rFonts w:ascii="Times New Roman" w:eastAsiaTheme="minorEastAsia" w:hAnsi="Times New Roman"/>
        </w:rPr>
        <w:t>，有</w:t>
      </w:r>
      <w:r>
        <w:rPr>
          <w:rFonts w:ascii="Times New Roman" w:eastAsiaTheme="minorEastAsia" w:hAnsi="Times New Roman"/>
        </w:rPr>
        <w:t>14</w:t>
      </w:r>
      <w:r>
        <w:rPr>
          <w:rFonts w:ascii="Times New Roman" w:eastAsiaTheme="minorEastAsia" w:hAnsi="Times New Roman"/>
        </w:rPr>
        <w:t>个监测点为轻</w:t>
      </w:r>
      <w:r>
        <w:rPr>
          <w:rFonts w:ascii="Times New Roman" w:eastAsiaTheme="minorEastAsia" w:hAnsi="Times New Roman" w:hint="eastAsia"/>
        </w:rPr>
        <w:t>-</w:t>
      </w:r>
      <w:r>
        <w:rPr>
          <w:rFonts w:ascii="Times New Roman" w:eastAsiaTheme="minorEastAsia" w:hAnsi="Times New Roman" w:hint="eastAsia"/>
        </w:rPr>
        <w:t>中</w:t>
      </w:r>
      <w:r>
        <w:rPr>
          <w:rFonts w:ascii="Times New Roman" w:eastAsiaTheme="minorEastAsia" w:hAnsi="Times New Roman"/>
        </w:rPr>
        <w:t>度碱化。</w:t>
      </w:r>
    </w:p>
    <w:p w14:paraId="1F79E21E" w14:textId="77777777" w:rsidR="009C353B" w:rsidRDefault="00000000">
      <w:pPr>
        <w:adjustRightInd w:val="0"/>
        <w:snapToGrid w:val="0"/>
        <w:spacing w:line="440" w:lineRule="exact"/>
        <w:ind w:firstLineChars="200" w:firstLine="480"/>
        <w:rPr>
          <w:rFonts w:ascii="Times New Roman" w:eastAsiaTheme="minorEastAsia" w:hAnsi="Times New Roman"/>
        </w:rPr>
      </w:pPr>
      <w:r>
        <w:rPr>
          <w:rFonts w:ascii="Times New Roman" w:eastAsiaTheme="minorEastAsia" w:hAnsi="Times New Roman" w:hint="eastAsia"/>
        </w:rPr>
        <w:t>土壤</w:t>
      </w:r>
      <w:r>
        <w:rPr>
          <w:rFonts w:ascii="Times New Roman" w:eastAsiaTheme="minorEastAsia" w:hAnsi="Times New Roman"/>
        </w:rPr>
        <w:t>pH</w:t>
      </w:r>
      <w:r>
        <w:rPr>
          <w:rFonts w:ascii="Times New Roman" w:eastAsiaTheme="minorEastAsia" w:hAnsi="Times New Roman"/>
        </w:rPr>
        <w:t>值为</w:t>
      </w:r>
      <w:r>
        <w:rPr>
          <w:rFonts w:ascii="Times New Roman" w:eastAsiaTheme="minorEastAsia" w:hAnsi="Times New Roman"/>
        </w:rPr>
        <w:t>8.35-9.21</w:t>
      </w:r>
      <w:r>
        <w:rPr>
          <w:rFonts w:ascii="Times New Roman" w:eastAsiaTheme="minorEastAsia" w:hAnsi="Times New Roman"/>
        </w:rPr>
        <w:t>，该区土壤对酸化不敏感，对盐化与碱化较敏感。结合煤矿项目土壤环境影响特征</w:t>
      </w:r>
      <w:r>
        <w:rPr>
          <w:rFonts w:ascii="Times New Roman" w:eastAsiaTheme="minorEastAsia" w:hAnsi="Times New Roman" w:hint="eastAsia"/>
        </w:rPr>
        <w:t>，</w:t>
      </w:r>
      <w:r>
        <w:rPr>
          <w:rFonts w:ascii="Times New Roman" w:eastAsiaTheme="minorEastAsia" w:hAnsi="Times New Roman"/>
        </w:rPr>
        <w:t>本次评价主要评价矿区煤矿开发对土壤环境的</w:t>
      </w:r>
      <w:r>
        <w:rPr>
          <w:rFonts w:ascii="Times New Roman" w:eastAsiaTheme="minorEastAsia" w:hAnsi="Times New Roman" w:hint="eastAsia"/>
        </w:rPr>
        <w:t>碱</w:t>
      </w:r>
      <w:r>
        <w:rPr>
          <w:rFonts w:ascii="Times New Roman" w:eastAsiaTheme="minorEastAsia" w:hAnsi="Times New Roman"/>
        </w:rPr>
        <w:t>化</w:t>
      </w:r>
      <w:r>
        <w:rPr>
          <w:rFonts w:ascii="Times New Roman" w:eastAsiaTheme="minorEastAsia" w:hAnsi="Times New Roman" w:hint="eastAsia"/>
        </w:rPr>
        <w:t>、盐化</w:t>
      </w:r>
      <w:r>
        <w:rPr>
          <w:rFonts w:ascii="Times New Roman" w:eastAsiaTheme="minorEastAsia" w:hAnsi="Times New Roman"/>
        </w:rPr>
        <w:t>影响。本矿区规划</w:t>
      </w:r>
      <w:r>
        <w:rPr>
          <w:rFonts w:ascii="Times New Roman" w:eastAsiaTheme="minorEastAsia" w:hAnsi="Times New Roman" w:hint="eastAsia"/>
        </w:rPr>
        <w:t>四</w:t>
      </w:r>
      <w:r>
        <w:rPr>
          <w:rFonts w:ascii="Times New Roman" w:eastAsiaTheme="minorEastAsia" w:hAnsi="Times New Roman"/>
        </w:rPr>
        <w:t>个煤矿，即</w:t>
      </w:r>
      <w:r>
        <w:rPr>
          <w:rFonts w:ascii="Times New Roman" w:eastAsiaTheme="minorEastAsia" w:hAnsi="Times New Roman" w:hint="eastAsia"/>
        </w:rPr>
        <w:t>马莲台</w:t>
      </w:r>
      <w:r>
        <w:rPr>
          <w:rFonts w:ascii="Times New Roman" w:eastAsiaTheme="minorEastAsia" w:hAnsi="Times New Roman"/>
        </w:rPr>
        <w:t>矿井</w:t>
      </w:r>
      <w:r>
        <w:rPr>
          <w:rFonts w:ascii="Times New Roman" w:eastAsiaTheme="minorEastAsia" w:hAnsi="Times New Roman" w:hint="eastAsia"/>
        </w:rPr>
        <w:t>、红石湾</w:t>
      </w:r>
      <w:r>
        <w:rPr>
          <w:rFonts w:ascii="Times New Roman" w:eastAsiaTheme="minorEastAsia" w:hAnsi="Times New Roman"/>
        </w:rPr>
        <w:t>矿井</w:t>
      </w:r>
      <w:r>
        <w:rPr>
          <w:rFonts w:ascii="Times New Roman" w:eastAsiaTheme="minorEastAsia" w:hAnsi="Times New Roman" w:hint="eastAsia"/>
        </w:rPr>
        <w:t>、任家庄</w:t>
      </w:r>
      <w:r>
        <w:rPr>
          <w:rFonts w:ascii="Times New Roman" w:eastAsiaTheme="minorEastAsia" w:hAnsi="Times New Roman"/>
        </w:rPr>
        <w:t>矿井</w:t>
      </w:r>
      <w:r>
        <w:rPr>
          <w:rFonts w:ascii="Times New Roman" w:eastAsiaTheme="minorEastAsia" w:hAnsi="Times New Roman" w:hint="eastAsia"/>
        </w:rPr>
        <w:t>和丁家梁</w:t>
      </w:r>
      <w:r>
        <w:rPr>
          <w:rFonts w:ascii="Times New Roman" w:eastAsiaTheme="minorEastAsia" w:hAnsi="Times New Roman"/>
        </w:rPr>
        <w:t>矿井</w:t>
      </w:r>
      <w:r>
        <w:rPr>
          <w:rFonts w:ascii="Times New Roman" w:eastAsiaTheme="minorEastAsia" w:hAnsi="Times New Roman" w:hint="eastAsia"/>
        </w:rPr>
        <w:t>。</w:t>
      </w:r>
    </w:p>
    <w:p w14:paraId="21E44E1A" w14:textId="77777777" w:rsidR="009C353B" w:rsidRDefault="00000000">
      <w:pPr>
        <w:pStyle w:val="affffffffffff"/>
        <w:ind w:firstLine="480"/>
        <w:rPr>
          <w:rFonts w:ascii="Times New Roman" w:eastAsiaTheme="minorEastAsia" w:hAnsi="Times New Roman" w:cs="Times New Roman"/>
        </w:rPr>
      </w:pPr>
      <w:r>
        <w:rPr>
          <w:rFonts w:ascii="Times New Roman" w:eastAsiaTheme="minorEastAsia" w:hAnsi="Times New Roman" w:cs="Times New Roman"/>
        </w:rPr>
        <w:t>本次评价采用《环境影响评价技术导则土壤环境（试行）》（</w:t>
      </w:r>
      <w:r>
        <w:rPr>
          <w:rFonts w:ascii="Times New Roman" w:eastAsiaTheme="minorEastAsia" w:hAnsi="Times New Roman" w:cs="Times New Roman"/>
        </w:rPr>
        <w:t>HJ964-2018</w:t>
      </w:r>
      <w:r>
        <w:rPr>
          <w:rFonts w:ascii="Times New Roman" w:eastAsiaTheme="minorEastAsia" w:hAnsi="Times New Roman" w:cs="Times New Roman"/>
        </w:rPr>
        <w:t>）中附录</w:t>
      </w:r>
      <w:r>
        <w:rPr>
          <w:rFonts w:ascii="Times New Roman" w:eastAsiaTheme="minorEastAsia" w:hAnsi="Times New Roman" w:cs="Times New Roman"/>
        </w:rPr>
        <w:t>F</w:t>
      </w:r>
      <w:r>
        <w:rPr>
          <w:rFonts w:ascii="Times New Roman" w:eastAsiaTheme="minorEastAsia" w:hAnsi="Times New Roman" w:cs="Times New Roman"/>
        </w:rPr>
        <w:t>土壤盐化综合评价预测方法进行预测评价。</w:t>
      </w:r>
    </w:p>
    <w:p w14:paraId="4E94ED92" w14:textId="77777777" w:rsidR="009C353B" w:rsidRDefault="00000000">
      <w:pPr>
        <w:keepNext/>
        <w:keepLines/>
        <w:adjustRightInd w:val="0"/>
        <w:snapToGrid w:val="0"/>
        <w:spacing w:line="440" w:lineRule="exact"/>
        <w:outlineLvl w:val="2"/>
        <w:rPr>
          <w:rFonts w:ascii="Times New Roman" w:hAnsi="Times New Roman"/>
          <w:b/>
        </w:rPr>
      </w:pPr>
      <w:r>
        <w:rPr>
          <w:rFonts w:ascii="Times New Roman" w:hAnsi="Times New Roman"/>
          <w:b/>
        </w:rPr>
        <w:t xml:space="preserve">6.7.1 </w:t>
      </w:r>
      <w:r>
        <w:rPr>
          <w:rFonts w:ascii="Times New Roman" w:hAnsi="Times New Roman"/>
          <w:b/>
        </w:rPr>
        <w:t>土壤</w:t>
      </w:r>
      <w:r>
        <w:rPr>
          <w:rFonts w:ascii="Times New Roman" w:hAnsi="Times New Roman" w:hint="eastAsia"/>
          <w:b/>
        </w:rPr>
        <w:t>碱化及盐</w:t>
      </w:r>
      <w:r>
        <w:rPr>
          <w:rFonts w:ascii="Times New Roman" w:hAnsi="Times New Roman"/>
          <w:b/>
        </w:rPr>
        <w:t>化综合评分法</w:t>
      </w:r>
    </w:p>
    <w:p w14:paraId="426AE7BC" w14:textId="77777777" w:rsidR="009C353B" w:rsidRDefault="00000000">
      <w:pPr>
        <w:pStyle w:val="affffffffffff"/>
        <w:ind w:firstLine="480"/>
        <w:rPr>
          <w:rFonts w:ascii="Times New Roman" w:eastAsiaTheme="minorEastAsia" w:hAnsi="Times New Roman" w:cs="Times New Roman"/>
        </w:rPr>
      </w:pPr>
      <w:r>
        <w:rPr>
          <w:rFonts w:ascii="Times New Roman" w:eastAsiaTheme="minorEastAsia" w:hAnsi="Times New Roman" w:cs="Times New Roman"/>
        </w:rPr>
        <w:t>根据表</w:t>
      </w:r>
      <w:r>
        <w:rPr>
          <w:rFonts w:ascii="Times New Roman" w:eastAsiaTheme="minorEastAsia" w:hAnsi="Times New Roman" w:cs="Times New Roman"/>
        </w:rPr>
        <w:t>6.7-1</w:t>
      </w:r>
      <w:r>
        <w:rPr>
          <w:rFonts w:ascii="Times New Roman" w:eastAsiaTheme="minorEastAsia" w:hAnsi="Times New Roman" w:cs="Times New Roman" w:hint="eastAsia"/>
        </w:rPr>
        <w:t>，判定矿区土壤碱化程度</w:t>
      </w:r>
      <w:r>
        <w:rPr>
          <w:rFonts w:ascii="Times New Roman" w:eastAsiaTheme="minorEastAsia" w:hAnsi="Times New Roman" w:cs="Times New Roman"/>
        </w:rPr>
        <w:t>。</w:t>
      </w:r>
    </w:p>
    <w:p w14:paraId="1A48EE24" w14:textId="77777777" w:rsidR="009C353B" w:rsidRDefault="00000000">
      <w:pPr>
        <w:pStyle w:val="a-"/>
        <w:spacing w:afterLines="0" w:after="0" w:line="440" w:lineRule="exact"/>
        <w:rPr>
          <w:rFonts w:eastAsia="宋体"/>
          <w:color w:val="auto"/>
          <w:sz w:val="24"/>
          <w:szCs w:val="24"/>
        </w:rPr>
      </w:pPr>
      <w:r>
        <w:rPr>
          <w:rFonts w:eastAsia="宋体"/>
          <w:color w:val="auto"/>
          <w:sz w:val="24"/>
          <w:szCs w:val="24"/>
        </w:rPr>
        <w:t>土壤酸化、碱化分级标准</w:t>
      </w:r>
    </w:p>
    <w:p w14:paraId="7AE4A28E" w14:textId="77777777" w:rsidR="009C353B" w:rsidRDefault="00000000">
      <w:pPr>
        <w:widowControl/>
        <w:jc w:val="left"/>
        <w:outlineLvl w:val="4"/>
        <w:rPr>
          <w:rFonts w:ascii="Times New Roman" w:eastAsiaTheme="minorEastAsia" w:hAnsi="Times New Roman"/>
          <w:kern w:val="0"/>
        </w:rPr>
      </w:pPr>
      <w:r>
        <w:rPr>
          <w:rFonts w:ascii="Times New Roman" w:eastAsiaTheme="minorEastAsia" w:hAnsi="Times New Roman"/>
          <w:kern w:val="0"/>
        </w:rPr>
        <w:t>表</w:t>
      </w:r>
      <w:r>
        <w:rPr>
          <w:rFonts w:ascii="Times New Roman" w:eastAsiaTheme="minorEastAsia" w:hAnsi="Times New Roman"/>
          <w:kern w:val="0"/>
        </w:rPr>
        <w:t>6.7</w:t>
      </w:r>
      <w:r>
        <w:rPr>
          <w:rFonts w:ascii="Times New Roman" w:eastAsiaTheme="minorEastAsia" w:hAnsi="Times New Roman" w:hint="eastAsia"/>
          <w:kern w:val="0"/>
        </w:rPr>
        <w:t>-</w:t>
      </w:r>
      <w:r>
        <w:rPr>
          <w:rFonts w:ascii="Times New Roman" w:eastAsiaTheme="minorEastAsia" w:hAnsi="Times New Roman"/>
          <w:kern w:val="0"/>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5"/>
        <w:gridCol w:w="4532"/>
      </w:tblGrid>
      <w:tr w:rsidR="009C353B" w14:paraId="63A77A62" w14:textId="77777777">
        <w:trPr>
          <w:trHeight w:val="340"/>
        </w:trPr>
        <w:tc>
          <w:tcPr>
            <w:tcW w:w="2560" w:type="pct"/>
            <w:shd w:val="clear" w:color="auto" w:fill="auto"/>
            <w:vAlign w:val="center"/>
          </w:tcPr>
          <w:p w14:paraId="303D2CBB" w14:textId="77777777" w:rsidR="009C353B" w:rsidRDefault="00000000">
            <w:pPr>
              <w:pStyle w:val="1-1"/>
              <w:spacing w:line="240" w:lineRule="auto"/>
              <w:ind w:firstLineChars="0" w:firstLine="0"/>
              <w:jc w:val="center"/>
              <w:rPr>
                <w:rFonts w:ascii="Times New Roman" w:hAnsi="Times New Roman"/>
                <w:b/>
                <w:sz w:val="21"/>
              </w:rPr>
            </w:pPr>
            <w:r>
              <w:rPr>
                <w:rFonts w:ascii="Times New Roman" w:hAnsi="Times New Roman"/>
                <w:b/>
                <w:sz w:val="21"/>
              </w:rPr>
              <w:t>土壤</w:t>
            </w:r>
            <w:r>
              <w:rPr>
                <w:rFonts w:ascii="Times New Roman" w:hAnsi="Times New Roman"/>
                <w:b/>
                <w:sz w:val="21"/>
              </w:rPr>
              <w:t>pH</w:t>
            </w:r>
            <w:r>
              <w:rPr>
                <w:rFonts w:ascii="Times New Roman" w:hAnsi="Times New Roman"/>
                <w:b/>
                <w:sz w:val="21"/>
              </w:rPr>
              <w:t>值</w:t>
            </w:r>
          </w:p>
        </w:tc>
        <w:tc>
          <w:tcPr>
            <w:tcW w:w="2440" w:type="pct"/>
            <w:shd w:val="clear" w:color="auto" w:fill="auto"/>
            <w:vAlign w:val="center"/>
          </w:tcPr>
          <w:p w14:paraId="35E9C140" w14:textId="77777777" w:rsidR="009C353B" w:rsidRDefault="00000000">
            <w:pPr>
              <w:pStyle w:val="1-1"/>
              <w:spacing w:line="240" w:lineRule="auto"/>
              <w:ind w:firstLineChars="0" w:firstLine="0"/>
              <w:jc w:val="center"/>
              <w:rPr>
                <w:rFonts w:ascii="Times New Roman" w:hAnsi="Times New Roman"/>
                <w:b/>
                <w:sz w:val="21"/>
              </w:rPr>
            </w:pPr>
            <w:r>
              <w:rPr>
                <w:rFonts w:ascii="Times New Roman" w:hAnsi="Times New Roman"/>
                <w:b/>
                <w:sz w:val="21"/>
              </w:rPr>
              <w:t>土壤酸化、碱化强度</w:t>
            </w:r>
          </w:p>
        </w:tc>
      </w:tr>
      <w:tr w:rsidR="009C353B" w14:paraId="7D0394B8" w14:textId="77777777">
        <w:trPr>
          <w:trHeight w:val="340"/>
        </w:trPr>
        <w:tc>
          <w:tcPr>
            <w:tcW w:w="2560" w:type="pct"/>
            <w:shd w:val="clear" w:color="auto" w:fill="auto"/>
            <w:vAlign w:val="center"/>
          </w:tcPr>
          <w:p w14:paraId="2B0EDC0B"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pH</w:t>
            </w:r>
            <w:r>
              <w:rPr>
                <w:rFonts w:ascii="Times New Roman" w:hAnsi="Times New Roman"/>
                <w:sz w:val="21"/>
              </w:rPr>
              <w:t>＜</w:t>
            </w:r>
            <w:r>
              <w:rPr>
                <w:rFonts w:ascii="Times New Roman" w:hAnsi="Times New Roman"/>
                <w:sz w:val="21"/>
              </w:rPr>
              <w:t>3.5</w:t>
            </w:r>
          </w:p>
        </w:tc>
        <w:tc>
          <w:tcPr>
            <w:tcW w:w="2440" w:type="pct"/>
            <w:shd w:val="clear" w:color="auto" w:fill="auto"/>
            <w:vAlign w:val="center"/>
          </w:tcPr>
          <w:p w14:paraId="741C4EAF"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极重度酸化</w:t>
            </w:r>
          </w:p>
        </w:tc>
      </w:tr>
      <w:tr w:rsidR="009C353B" w14:paraId="2C8D79A2" w14:textId="77777777">
        <w:trPr>
          <w:trHeight w:val="340"/>
        </w:trPr>
        <w:tc>
          <w:tcPr>
            <w:tcW w:w="2560" w:type="pct"/>
            <w:shd w:val="clear" w:color="auto" w:fill="auto"/>
            <w:vAlign w:val="center"/>
          </w:tcPr>
          <w:p w14:paraId="0D6D4E82"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3.5≤pH≤4.0</w:t>
            </w:r>
          </w:p>
        </w:tc>
        <w:tc>
          <w:tcPr>
            <w:tcW w:w="2440" w:type="pct"/>
            <w:shd w:val="clear" w:color="auto" w:fill="auto"/>
            <w:vAlign w:val="center"/>
          </w:tcPr>
          <w:p w14:paraId="356987DA"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重度酸化</w:t>
            </w:r>
          </w:p>
        </w:tc>
      </w:tr>
      <w:tr w:rsidR="009C353B" w14:paraId="16C16727" w14:textId="77777777">
        <w:trPr>
          <w:trHeight w:val="340"/>
        </w:trPr>
        <w:tc>
          <w:tcPr>
            <w:tcW w:w="2560" w:type="pct"/>
            <w:shd w:val="clear" w:color="auto" w:fill="auto"/>
            <w:vAlign w:val="center"/>
          </w:tcPr>
          <w:p w14:paraId="4A80019C"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4.0≤pH≤4.5</w:t>
            </w:r>
          </w:p>
        </w:tc>
        <w:tc>
          <w:tcPr>
            <w:tcW w:w="2440" w:type="pct"/>
            <w:shd w:val="clear" w:color="auto" w:fill="auto"/>
            <w:vAlign w:val="center"/>
          </w:tcPr>
          <w:p w14:paraId="2BCA9BA2"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中度酸化</w:t>
            </w:r>
          </w:p>
        </w:tc>
      </w:tr>
      <w:tr w:rsidR="009C353B" w14:paraId="4A1DFAF1" w14:textId="77777777">
        <w:trPr>
          <w:trHeight w:val="340"/>
        </w:trPr>
        <w:tc>
          <w:tcPr>
            <w:tcW w:w="2560" w:type="pct"/>
            <w:shd w:val="clear" w:color="auto" w:fill="auto"/>
            <w:vAlign w:val="center"/>
          </w:tcPr>
          <w:p w14:paraId="149EF9B8"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4.5≤pH≤5.5</w:t>
            </w:r>
          </w:p>
        </w:tc>
        <w:tc>
          <w:tcPr>
            <w:tcW w:w="2440" w:type="pct"/>
            <w:shd w:val="clear" w:color="auto" w:fill="auto"/>
            <w:vAlign w:val="center"/>
          </w:tcPr>
          <w:p w14:paraId="31DEC450"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轻度酸化</w:t>
            </w:r>
          </w:p>
        </w:tc>
      </w:tr>
      <w:tr w:rsidR="009C353B" w14:paraId="532E2EEC" w14:textId="77777777">
        <w:trPr>
          <w:trHeight w:val="340"/>
        </w:trPr>
        <w:tc>
          <w:tcPr>
            <w:tcW w:w="2560" w:type="pct"/>
            <w:shd w:val="clear" w:color="auto" w:fill="auto"/>
            <w:vAlign w:val="center"/>
          </w:tcPr>
          <w:p w14:paraId="7B30CD22"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5.5≤pH≤8.5</w:t>
            </w:r>
          </w:p>
        </w:tc>
        <w:tc>
          <w:tcPr>
            <w:tcW w:w="2440" w:type="pct"/>
            <w:shd w:val="clear" w:color="auto" w:fill="auto"/>
            <w:vAlign w:val="center"/>
          </w:tcPr>
          <w:p w14:paraId="1A3A8C89"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无酸化或碱化</w:t>
            </w:r>
          </w:p>
        </w:tc>
      </w:tr>
      <w:tr w:rsidR="009C353B" w14:paraId="275CE7E8" w14:textId="77777777">
        <w:trPr>
          <w:trHeight w:val="340"/>
        </w:trPr>
        <w:tc>
          <w:tcPr>
            <w:tcW w:w="2560" w:type="pct"/>
            <w:shd w:val="clear" w:color="auto" w:fill="auto"/>
            <w:vAlign w:val="center"/>
          </w:tcPr>
          <w:p w14:paraId="2DCAF4B1"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8.5≤pH≤9.0</w:t>
            </w:r>
          </w:p>
        </w:tc>
        <w:tc>
          <w:tcPr>
            <w:tcW w:w="2440" w:type="pct"/>
            <w:shd w:val="clear" w:color="auto" w:fill="auto"/>
            <w:vAlign w:val="center"/>
          </w:tcPr>
          <w:p w14:paraId="5E1A05C9"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轻度碱化</w:t>
            </w:r>
          </w:p>
        </w:tc>
      </w:tr>
      <w:tr w:rsidR="009C353B" w14:paraId="738EAE34" w14:textId="77777777">
        <w:trPr>
          <w:trHeight w:val="340"/>
        </w:trPr>
        <w:tc>
          <w:tcPr>
            <w:tcW w:w="2560" w:type="pct"/>
            <w:shd w:val="clear" w:color="auto" w:fill="auto"/>
            <w:vAlign w:val="center"/>
          </w:tcPr>
          <w:p w14:paraId="32397ABC"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9.0≤pH≤9.5</w:t>
            </w:r>
          </w:p>
        </w:tc>
        <w:tc>
          <w:tcPr>
            <w:tcW w:w="2440" w:type="pct"/>
            <w:shd w:val="clear" w:color="auto" w:fill="auto"/>
            <w:vAlign w:val="center"/>
          </w:tcPr>
          <w:p w14:paraId="622654C3"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中度碱化</w:t>
            </w:r>
          </w:p>
        </w:tc>
      </w:tr>
      <w:tr w:rsidR="009C353B" w14:paraId="62B27CAA" w14:textId="77777777">
        <w:trPr>
          <w:trHeight w:val="340"/>
        </w:trPr>
        <w:tc>
          <w:tcPr>
            <w:tcW w:w="2560" w:type="pct"/>
            <w:shd w:val="clear" w:color="auto" w:fill="auto"/>
            <w:vAlign w:val="center"/>
          </w:tcPr>
          <w:p w14:paraId="43BDFA46"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9.5≤pH≤10.0</w:t>
            </w:r>
          </w:p>
        </w:tc>
        <w:tc>
          <w:tcPr>
            <w:tcW w:w="2440" w:type="pct"/>
            <w:shd w:val="clear" w:color="auto" w:fill="auto"/>
            <w:vAlign w:val="center"/>
          </w:tcPr>
          <w:p w14:paraId="6A373328"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重度碱化</w:t>
            </w:r>
          </w:p>
        </w:tc>
      </w:tr>
      <w:tr w:rsidR="009C353B" w14:paraId="3706CFBD" w14:textId="77777777">
        <w:trPr>
          <w:trHeight w:val="340"/>
        </w:trPr>
        <w:tc>
          <w:tcPr>
            <w:tcW w:w="2560" w:type="pct"/>
            <w:shd w:val="clear" w:color="auto" w:fill="auto"/>
            <w:vAlign w:val="center"/>
          </w:tcPr>
          <w:p w14:paraId="74657E9D"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pH≥10.0</w:t>
            </w:r>
          </w:p>
        </w:tc>
        <w:tc>
          <w:tcPr>
            <w:tcW w:w="2440" w:type="pct"/>
            <w:shd w:val="clear" w:color="auto" w:fill="auto"/>
            <w:vAlign w:val="center"/>
          </w:tcPr>
          <w:p w14:paraId="74B74CB6"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极重度碱化</w:t>
            </w:r>
          </w:p>
        </w:tc>
      </w:tr>
      <w:tr w:rsidR="009C353B" w14:paraId="404D143E" w14:textId="77777777">
        <w:trPr>
          <w:trHeight w:val="340"/>
        </w:trPr>
        <w:tc>
          <w:tcPr>
            <w:tcW w:w="5000" w:type="pct"/>
            <w:gridSpan w:val="2"/>
            <w:shd w:val="clear" w:color="auto" w:fill="auto"/>
            <w:vAlign w:val="center"/>
          </w:tcPr>
          <w:p w14:paraId="1B5C559C" w14:textId="77777777" w:rsidR="009C353B" w:rsidRDefault="00000000">
            <w:pPr>
              <w:pStyle w:val="1-1"/>
              <w:spacing w:line="240" w:lineRule="auto"/>
              <w:ind w:firstLineChars="0" w:firstLine="0"/>
              <w:jc w:val="center"/>
              <w:rPr>
                <w:rFonts w:ascii="Times New Roman" w:hAnsi="Times New Roman"/>
                <w:sz w:val="21"/>
              </w:rPr>
            </w:pPr>
            <w:r>
              <w:rPr>
                <w:rFonts w:ascii="Times New Roman" w:hAnsi="Times New Roman"/>
                <w:sz w:val="21"/>
              </w:rPr>
              <w:t>注：土壤酸化、碱化强度指受人为影响后呈现的土壤</w:t>
            </w:r>
            <w:r>
              <w:rPr>
                <w:rFonts w:ascii="Times New Roman" w:hAnsi="Times New Roman"/>
                <w:sz w:val="21"/>
              </w:rPr>
              <w:t>pH</w:t>
            </w:r>
            <w:r>
              <w:rPr>
                <w:rFonts w:ascii="Times New Roman" w:hAnsi="Times New Roman"/>
                <w:sz w:val="21"/>
              </w:rPr>
              <w:t>值，可根据区域自然背景状况适当调整</w:t>
            </w:r>
          </w:p>
        </w:tc>
      </w:tr>
    </w:tbl>
    <w:p w14:paraId="680E6ECE" w14:textId="77777777" w:rsidR="009C353B" w:rsidRDefault="00000000">
      <w:pPr>
        <w:pStyle w:val="affffffffffff"/>
        <w:ind w:firstLine="480"/>
        <w:rPr>
          <w:rFonts w:ascii="Times New Roman" w:eastAsiaTheme="minorEastAsia" w:hAnsi="Times New Roman" w:cs="Times New Roman"/>
        </w:rPr>
      </w:pPr>
      <w:r>
        <w:rPr>
          <w:rFonts w:ascii="Times New Roman" w:eastAsiaTheme="minorEastAsia" w:hAnsi="Times New Roman" w:cs="Times New Roman"/>
        </w:rPr>
        <w:t>根据表</w:t>
      </w:r>
      <w:r>
        <w:rPr>
          <w:rFonts w:ascii="Times New Roman" w:eastAsiaTheme="minorEastAsia" w:hAnsi="Times New Roman" w:cs="Times New Roman"/>
        </w:rPr>
        <w:t>6.7-2</w:t>
      </w:r>
      <w:r>
        <w:rPr>
          <w:rFonts w:ascii="Times New Roman" w:eastAsiaTheme="minorEastAsia" w:hAnsi="Times New Roman" w:cs="Times New Roman"/>
        </w:rPr>
        <w:t>选取各项影响因素的分值与权重，采用下列公式计算土壤盐化综合评分值（</w:t>
      </w:r>
      <w:r>
        <w:rPr>
          <w:rFonts w:ascii="Times New Roman" w:eastAsiaTheme="minorEastAsia" w:hAnsi="Times New Roman" w:cs="Times New Roman"/>
        </w:rPr>
        <w:t>Sa</w:t>
      </w:r>
      <w:r>
        <w:rPr>
          <w:rFonts w:ascii="Times New Roman" w:eastAsiaTheme="minorEastAsia" w:hAnsi="Times New Roman" w:cs="Times New Roman"/>
        </w:rPr>
        <w:t>）。</w:t>
      </w:r>
    </w:p>
    <w:p w14:paraId="0CBDBE57" w14:textId="77777777" w:rsidR="009C353B" w:rsidRDefault="00000000">
      <w:pPr>
        <w:pStyle w:val="affffffffffff"/>
        <w:spacing w:line="240" w:lineRule="auto"/>
        <w:ind w:leftChars="200" w:left="480" w:firstLine="480"/>
        <w:rPr>
          <w:rFonts w:ascii="Times New Roman" w:eastAsiaTheme="minorEastAsia" w:hAnsi="Times New Roman" w:cs="Times New Roman"/>
        </w:rPr>
      </w:pPr>
      <w:r>
        <w:rPr>
          <w:rFonts w:ascii="Times New Roman" w:eastAsiaTheme="minorEastAsia" w:hAnsi="Times New Roman" w:cs="Times New Roman"/>
          <w:position w:val="-14"/>
        </w:rPr>
        <w:object w:dxaOrig="1908" w:dyaOrig="468" w14:anchorId="33B10124">
          <v:shape id="_x0000_i1182" type="#_x0000_t75" style="width:95.45pt;height:23.45pt" o:ole="">
            <v:imagedata r:id="rId452" o:title=""/>
          </v:shape>
          <o:OLEObject Type="Embed" ProgID="Equation.3" ShapeID="_x0000_i1182" DrawAspect="Content" ObjectID="_1826209281" r:id="rId453"/>
        </w:object>
      </w:r>
    </w:p>
    <w:p w14:paraId="663BB97D" w14:textId="77777777" w:rsidR="009C353B" w:rsidRDefault="00000000">
      <w:pPr>
        <w:pStyle w:val="affffffffffff"/>
        <w:ind w:firstLine="480"/>
        <w:rPr>
          <w:rFonts w:ascii="Times New Roman" w:eastAsiaTheme="minorEastAsia" w:hAnsi="Times New Roman" w:cs="Times New Roman"/>
        </w:rPr>
      </w:pPr>
      <w:r>
        <w:rPr>
          <w:rFonts w:ascii="Times New Roman" w:eastAsiaTheme="minorEastAsia" w:hAnsi="Times New Roman" w:cs="Times New Roman"/>
        </w:rPr>
        <w:t>式中：</w:t>
      </w:r>
      <w:r>
        <w:rPr>
          <w:rFonts w:ascii="Times New Roman" w:eastAsiaTheme="minorEastAsia" w:hAnsi="Times New Roman" w:cs="Times New Roman"/>
        </w:rPr>
        <w:t>n——</w:t>
      </w:r>
      <w:r>
        <w:rPr>
          <w:rFonts w:ascii="Times New Roman" w:eastAsiaTheme="minorEastAsia" w:hAnsi="Times New Roman" w:cs="Times New Roman"/>
        </w:rPr>
        <w:t>影响因素指标数目；</w:t>
      </w:r>
    </w:p>
    <w:p w14:paraId="1C47DEDB" w14:textId="77777777" w:rsidR="009C353B" w:rsidRDefault="00000000">
      <w:pPr>
        <w:pStyle w:val="affffffffffff"/>
        <w:ind w:firstLine="480"/>
        <w:rPr>
          <w:rFonts w:ascii="Times New Roman" w:eastAsiaTheme="minorEastAsia" w:hAnsi="Times New Roman" w:cs="Times New Roman"/>
        </w:rPr>
      </w:pPr>
      <w:r>
        <w:rPr>
          <w:rFonts w:ascii="Times New Roman" w:eastAsiaTheme="minorEastAsia" w:hAnsi="Times New Roman" w:cs="Times New Roman"/>
        </w:rPr>
        <w:t xml:space="preserve">      Ix</w:t>
      </w:r>
      <w:r>
        <w:rPr>
          <w:rFonts w:ascii="Times New Roman" w:eastAsiaTheme="minorEastAsia" w:hAnsi="Times New Roman" w:cs="Times New Roman"/>
          <w:vertAlign w:val="subscript"/>
        </w:rPr>
        <w:t>i</w:t>
      </w:r>
      <w:r>
        <w:rPr>
          <w:rFonts w:ascii="Times New Roman" w:eastAsiaTheme="minorEastAsia" w:hAnsi="Times New Roman" w:cs="Times New Roman"/>
        </w:rPr>
        <w:t>——</w:t>
      </w:r>
      <w:r>
        <w:rPr>
          <w:rFonts w:ascii="Times New Roman" w:eastAsiaTheme="minorEastAsia" w:hAnsi="Times New Roman" w:cs="Times New Roman"/>
        </w:rPr>
        <w:t>影响因素</w:t>
      </w:r>
      <w:r>
        <w:rPr>
          <w:rFonts w:ascii="Times New Roman" w:eastAsiaTheme="minorEastAsia" w:hAnsi="Times New Roman" w:cs="Times New Roman"/>
        </w:rPr>
        <w:t>i</w:t>
      </w:r>
      <w:r>
        <w:rPr>
          <w:rFonts w:ascii="Times New Roman" w:eastAsiaTheme="minorEastAsia" w:hAnsi="Times New Roman" w:cs="Times New Roman"/>
        </w:rPr>
        <w:t>指标评分；</w:t>
      </w:r>
    </w:p>
    <w:p w14:paraId="0C3D475C" w14:textId="77777777" w:rsidR="009C353B" w:rsidRDefault="00000000">
      <w:pPr>
        <w:pStyle w:val="affffffffffff"/>
        <w:ind w:firstLine="480"/>
        <w:rPr>
          <w:rFonts w:ascii="Times New Roman" w:eastAsiaTheme="minorEastAsia" w:hAnsi="Times New Roman" w:cs="Times New Roman"/>
        </w:rPr>
      </w:pPr>
      <w:r>
        <w:rPr>
          <w:rFonts w:ascii="Times New Roman" w:eastAsiaTheme="minorEastAsia" w:hAnsi="Times New Roman" w:cs="Times New Roman"/>
        </w:rPr>
        <w:t xml:space="preserve">      Wx</w:t>
      </w:r>
      <w:r>
        <w:rPr>
          <w:rFonts w:ascii="Times New Roman" w:eastAsiaTheme="minorEastAsia" w:hAnsi="Times New Roman" w:cs="Times New Roman"/>
          <w:vertAlign w:val="subscript"/>
        </w:rPr>
        <w:t>i</w:t>
      </w:r>
      <w:r>
        <w:rPr>
          <w:rFonts w:ascii="Times New Roman" w:eastAsiaTheme="minorEastAsia" w:hAnsi="Times New Roman" w:cs="Times New Roman"/>
        </w:rPr>
        <w:t>——</w:t>
      </w:r>
      <w:r>
        <w:rPr>
          <w:rFonts w:ascii="Times New Roman" w:eastAsiaTheme="minorEastAsia" w:hAnsi="Times New Roman" w:cs="Times New Roman"/>
        </w:rPr>
        <w:t>影响因素</w:t>
      </w:r>
      <w:r>
        <w:rPr>
          <w:rFonts w:ascii="Times New Roman" w:eastAsiaTheme="minorEastAsia" w:hAnsi="Times New Roman" w:cs="Times New Roman"/>
        </w:rPr>
        <w:t>i</w:t>
      </w:r>
      <w:r>
        <w:rPr>
          <w:rFonts w:ascii="Times New Roman" w:eastAsiaTheme="minorEastAsia" w:hAnsi="Times New Roman" w:cs="Times New Roman"/>
        </w:rPr>
        <w:t>指标权重。</w:t>
      </w:r>
    </w:p>
    <w:p w14:paraId="25E7590F" w14:textId="77777777" w:rsidR="009C353B" w:rsidRDefault="00000000">
      <w:pPr>
        <w:pStyle w:val="affffffffffff"/>
        <w:ind w:firstLine="480"/>
        <w:rPr>
          <w:rFonts w:ascii="Times New Roman" w:eastAsiaTheme="minorEastAsia" w:hAnsi="Times New Roman" w:cs="Times New Roman"/>
        </w:rPr>
      </w:pPr>
      <w:r>
        <w:rPr>
          <w:rFonts w:ascii="Times New Roman" w:eastAsiaTheme="minorEastAsia" w:hAnsi="Times New Roman" w:cs="Times New Roman"/>
        </w:rPr>
        <w:t>对照表</w:t>
      </w:r>
      <w:r>
        <w:rPr>
          <w:rFonts w:ascii="Times New Roman" w:eastAsiaTheme="minorEastAsia" w:hAnsi="Times New Roman" w:cs="Times New Roman"/>
        </w:rPr>
        <w:t>6.7-3</w:t>
      </w:r>
      <w:r>
        <w:rPr>
          <w:rFonts w:ascii="Times New Roman" w:eastAsiaTheme="minorEastAsia" w:hAnsi="Times New Roman" w:cs="Times New Roman"/>
        </w:rPr>
        <w:t>得出土壤盐化综合评分预测结果。</w:t>
      </w:r>
    </w:p>
    <w:p w14:paraId="3750569D" w14:textId="77777777" w:rsidR="009C353B" w:rsidRDefault="00000000">
      <w:pPr>
        <w:pStyle w:val="affffff0"/>
        <w:spacing w:line="440" w:lineRule="exact"/>
        <w:jc w:val="center"/>
        <w:rPr>
          <w:rFonts w:ascii="Times New Roman" w:eastAsiaTheme="minorEastAsia" w:hAnsi="Times New Roman"/>
        </w:rPr>
      </w:pPr>
      <w:r>
        <w:rPr>
          <w:rFonts w:ascii="Times New Roman" w:eastAsiaTheme="minorEastAsia" w:hAnsi="Times New Roman"/>
        </w:rPr>
        <w:t>土壤盐化影响因素赋值表</w:t>
      </w:r>
    </w:p>
    <w:p w14:paraId="2017876D" w14:textId="77777777" w:rsidR="009C353B" w:rsidRDefault="00000000">
      <w:pPr>
        <w:widowControl/>
        <w:jc w:val="left"/>
        <w:outlineLvl w:val="4"/>
        <w:rPr>
          <w:rFonts w:ascii="Times New Roman" w:eastAsiaTheme="minorEastAsia" w:hAnsi="Times New Roman"/>
          <w:kern w:val="0"/>
        </w:rPr>
      </w:pPr>
      <w:r>
        <w:rPr>
          <w:rFonts w:ascii="Times New Roman" w:eastAsiaTheme="minorEastAsia" w:hAnsi="Times New Roman"/>
          <w:kern w:val="0"/>
        </w:rPr>
        <w:t>表</w:t>
      </w:r>
      <w:r>
        <w:rPr>
          <w:rFonts w:ascii="Times New Roman" w:eastAsiaTheme="minorEastAsia" w:hAnsi="Times New Roman"/>
        </w:rPr>
        <w:t>6.7-2</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80"/>
        <w:gridCol w:w="1276"/>
        <w:gridCol w:w="1442"/>
        <w:gridCol w:w="1417"/>
        <w:gridCol w:w="1677"/>
        <w:gridCol w:w="814"/>
      </w:tblGrid>
      <w:tr w:rsidR="009C353B" w14:paraId="05E1D115" w14:textId="77777777">
        <w:trPr>
          <w:trHeight w:val="397"/>
        </w:trPr>
        <w:tc>
          <w:tcPr>
            <w:tcW w:w="2580" w:type="dxa"/>
            <w:vMerge w:val="restart"/>
            <w:tcMar>
              <w:left w:w="28" w:type="dxa"/>
              <w:right w:w="28" w:type="dxa"/>
            </w:tcMar>
            <w:vAlign w:val="center"/>
          </w:tcPr>
          <w:p w14:paraId="41B31187" w14:textId="77777777" w:rsidR="009C353B" w:rsidRDefault="00000000">
            <w:pPr>
              <w:pStyle w:val="affffffffffff"/>
              <w:spacing w:line="240" w:lineRule="auto"/>
              <w:ind w:firstLineChars="0" w:firstLine="0"/>
              <w:jc w:val="center"/>
              <w:rPr>
                <w:rFonts w:ascii="Times New Roman" w:eastAsiaTheme="minorEastAsia" w:hAnsi="Times New Roman" w:cs="Times New Roman"/>
                <w:b/>
                <w:sz w:val="21"/>
                <w:szCs w:val="21"/>
              </w:rPr>
            </w:pPr>
            <w:r>
              <w:rPr>
                <w:rFonts w:ascii="Times New Roman" w:eastAsiaTheme="minorEastAsia" w:hAnsi="Times New Roman" w:cs="Times New Roman"/>
                <w:b/>
                <w:sz w:val="21"/>
                <w:szCs w:val="21"/>
              </w:rPr>
              <w:t>影响因素</w:t>
            </w:r>
          </w:p>
        </w:tc>
        <w:tc>
          <w:tcPr>
            <w:tcW w:w="5812" w:type="dxa"/>
            <w:gridSpan w:val="4"/>
            <w:vAlign w:val="center"/>
          </w:tcPr>
          <w:p w14:paraId="0DB432FA" w14:textId="77777777" w:rsidR="009C353B" w:rsidRDefault="00000000">
            <w:pPr>
              <w:pStyle w:val="affffffffffff"/>
              <w:spacing w:line="240" w:lineRule="auto"/>
              <w:ind w:firstLineChars="0" w:firstLine="0"/>
              <w:jc w:val="center"/>
              <w:rPr>
                <w:rFonts w:ascii="Times New Roman" w:eastAsiaTheme="minorEastAsia" w:hAnsi="Times New Roman" w:cs="Times New Roman"/>
                <w:b/>
                <w:sz w:val="21"/>
                <w:szCs w:val="21"/>
              </w:rPr>
            </w:pPr>
            <w:r>
              <w:rPr>
                <w:rFonts w:ascii="Times New Roman" w:eastAsiaTheme="minorEastAsia" w:hAnsi="Times New Roman" w:cs="Times New Roman"/>
                <w:b/>
                <w:sz w:val="21"/>
                <w:szCs w:val="21"/>
              </w:rPr>
              <w:t>分值</w:t>
            </w:r>
          </w:p>
        </w:tc>
        <w:tc>
          <w:tcPr>
            <w:tcW w:w="814" w:type="dxa"/>
            <w:vMerge w:val="restart"/>
            <w:vAlign w:val="center"/>
          </w:tcPr>
          <w:p w14:paraId="55144682" w14:textId="77777777" w:rsidR="009C353B" w:rsidRDefault="00000000">
            <w:pPr>
              <w:pStyle w:val="affffffffffff"/>
              <w:spacing w:line="240" w:lineRule="auto"/>
              <w:ind w:firstLineChars="0" w:firstLine="0"/>
              <w:jc w:val="center"/>
              <w:rPr>
                <w:rFonts w:ascii="Times New Roman" w:eastAsiaTheme="minorEastAsia" w:hAnsi="Times New Roman" w:cs="Times New Roman"/>
                <w:b/>
                <w:sz w:val="21"/>
                <w:szCs w:val="21"/>
              </w:rPr>
            </w:pPr>
            <w:r>
              <w:rPr>
                <w:rFonts w:ascii="Times New Roman" w:eastAsiaTheme="minorEastAsia" w:hAnsi="Times New Roman" w:cs="Times New Roman"/>
                <w:b/>
                <w:sz w:val="21"/>
                <w:szCs w:val="21"/>
              </w:rPr>
              <w:t>权重</w:t>
            </w:r>
          </w:p>
        </w:tc>
      </w:tr>
      <w:tr w:rsidR="009C353B" w14:paraId="169ABD6C" w14:textId="77777777">
        <w:trPr>
          <w:trHeight w:val="397"/>
        </w:trPr>
        <w:tc>
          <w:tcPr>
            <w:tcW w:w="2580" w:type="dxa"/>
            <w:vMerge/>
            <w:tcMar>
              <w:left w:w="28" w:type="dxa"/>
              <w:right w:w="28" w:type="dxa"/>
            </w:tcMar>
          </w:tcPr>
          <w:p w14:paraId="431EBCAA" w14:textId="77777777" w:rsidR="009C353B" w:rsidRDefault="009C353B">
            <w:pPr>
              <w:pStyle w:val="affffffffffff"/>
              <w:spacing w:line="240" w:lineRule="auto"/>
              <w:ind w:firstLineChars="0" w:firstLine="0"/>
              <w:rPr>
                <w:rFonts w:ascii="Times New Roman" w:eastAsiaTheme="minorEastAsia" w:hAnsi="Times New Roman" w:cs="Times New Roman"/>
                <w:b/>
                <w:sz w:val="21"/>
                <w:szCs w:val="21"/>
              </w:rPr>
            </w:pPr>
          </w:p>
        </w:tc>
        <w:tc>
          <w:tcPr>
            <w:tcW w:w="1276" w:type="dxa"/>
            <w:vAlign w:val="center"/>
          </w:tcPr>
          <w:p w14:paraId="0D389BC7" w14:textId="77777777" w:rsidR="009C353B" w:rsidRDefault="00000000">
            <w:pPr>
              <w:pStyle w:val="affffffffffff"/>
              <w:spacing w:line="240" w:lineRule="auto"/>
              <w:ind w:firstLineChars="0" w:firstLine="0"/>
              <w:jc w:val="center"/>
              <w:rPr>
                <w:rFonts w:ascii="Times New Roman" w:eastAsiaTheme="minorEastAsia" w:hAnsi="Times New Roman" w:cs="Times New Roman"/>
                <w:b/>
                <w:sz w:val="21"/>
                <w:szCs w:val="21"/>
              </w:rPr>
            </w:pPr>
            <w:r>
              <w:rPr>
                <w:rFonts w:ascii="Times New Roman" w:eastAsiaTheme="minorEastAsia" w:hAnsi="Times New Roman" w:cs="Times New Roman"/>
                <w:b/>
                <w:sz w:val="21"/>
                <w:szCs w:val="21"/>
              </w:rPr>
              <w:t>0</w:t>
            </w:r>
            <w:r>
              <w:rPr>
                <w:rFonts w:ascii="Times New Roman" w:eastAsiaTheme="minorEastAsia" w:hAnsi="Times New Roman" w:cs="Times New Roman"/>
                <w:b/>
                <w:sz w:val="21"/>
                <w:szCs w:val="21"/>
              </w:rPr>
              <w:t>分</w:t>
            </w:r>
          </w:p>
        </w:tc>
        <w:tc>
          <w:tcPr>
            <w:tcW w:w="1442" w:type="dxa"/>
            <w:vAlign w:val="center"/>
          </w:tcPr>
          <w:p w14:paraId="4FBCE8D9" w14:textId="77777777" w:rsidR="009C353B" w:rsidRDefault="00000000">
            <w:pPr>
              <w:pStyle w:val="affffffffffff"/>
              <w:spacing w:line="240" w:lineRule="auto"/>
              <w:ind w:firstLineChars="0" w:firstLine="0"/>
              <w:jc w:val="center"/>
              <w:rPr>
                <w:rFonts w:ascii="Times New Roman" w:eastAsiaTheme="minorEastAsia" w:hAnsi="Times New Roman" w:cs="Times New Roman"/>
                <w:b/>
                <w:sz w:val="21"/>
                <w:szCs w:val="21"/>
              </w:rPr>
            </w:pPr>
            <w:r>
              <w:rPr>
                <w:rFonts w:ascii="Times New Roman" w:eastAsiaTheme="minorEastAsia" w:hAnsi="Times New Roman" w:cs="Times New Roman"/>
                <w:b/>
                <w:sz w:val="21"/>
                <w:szCs w:val="21"/>
              </w:rPr>
              <w:t>2</w:t>
            </w:r>
            <w:r>
              <w:rPr>
                <w:rFonts w:ascii="Times New Roman" w:eastAsiaTheme="minorEastAsia" w:hAnsi="Times New Roman" w:cs="Times New Roman"/>
                <w:b/>
                <w:sz w:val="21"/>
                <w:szCs w:val="21"/>
              </w:rPr>
              <w:t>分</w:t>
            </w:r>
          </w:p>
        </w:tc>
        <w:tc>
          <w:tcPr>
            <w:tcW w:w="1417" w:type="dxa"/>
            <w:vAlign w:val="center"/>
          </w:tcPr>
          <w:p w14:paraId="1D3DB895" w14:textId="77777777" w:rsidR="009C353B" w:rsidRDefault="00000000">
            <w:pPr>
              <w:pStyle w:val="affffffffffff"/>
              <w:spacing w:line="240" w:lineRule="auto"/>
              <w:ind w:firstLineChars="0" w:firstLine="0"/>
              <w:jc w:val="center"/>
              <w:rPr>
                <w:rFonts w:ascii="Times New Roman" w:eastAsiaTheme="minorEastAsia" w:hAnsi="Times New Roman" w:cs="Times New Roman"/>
                <w:b/>
                <w:sz w:val="21"/>
                <w:szCs w:val="21"/>
              </w:rPr>
            </w:pPr>
            <w:r>
              <w:rPr>
                <w:rFonts w:ascii="Times New Roman" w:eastAsiaTheme="minorEastAsia" w:hAnsi="Times New Roman" w:cs="Times New Roman"/>
                <w:b/>
                <w:sz w:val="21"/>
                <w:szCs w:val="21"/>
              </w:rPr>
              <w:t>4</w:t>
            </w:r>
            <w:r>
              <w:rPr>
                <w:rFonts w:ascii="Times New Roman" w:eastAsiaTheme="minorEastAsia" w:hAnsi="Times New Roman" w:cs="Times New Roman"/>
                <w:b/>
                <w:sz w:val="21"/>
                <w:szCs w:val="21"/>
              </w:rPr>
              <w:t>分</w:t>
            </w:r>
          </w:p>
        </w:tc>
        <w:tc>
          <w:tcPr>
            <w:tcW w:w="1677" w:type="dxa"/>
            <w:vAlign w:val="center"/>
          </w:tcPr>
          <w:p w14:paraId="63DEE73F" w14:textId="77777777" w:rsidR="009C353B" w:rsidRDefault="00000000">
            <w:pPr>
              <w:pStyle w:val="affffffffffff"/>
              <w:spacing w:line="240" w:lineRule="auto"/>
              <w:ind w:firstLineChars="0" w:firstLine="0"/>
              <w:jc w:val="center"/>
              <w:rPr>
                <w:rFonts w:ascii="Times New Roman" w:eastAsiaTheme="minorEastAsia" w:hAnsi="Times New Roman" w:cs="Times New Roman"/>
                <w:b/>
                <w:sz w:val="21"/>
                <w:szCs w:val="21"/>
              </w:rPr>
            </w:pPr>
            <w:r>
              <w:rPr>
                <w:rFonts w:ascii="Times New Roman" w:eastAsiaTheme="minorEastAsia" w:hAnsi="Times New Roman" w:cs="Times New Roman"/>
                <w:b/>
                <w:sz w:val="21"/>
                <w:szCs w:val="21"/>
              </w:rPr>
              <w:t>6</w:t>
            </w:r>
            <w:r>
              <w:rPr>
                <w:rFonts w:ascii="Times New Roman" w:eastAsiaTheme="minorEastAsia" w:hAnsi="Times New Roman" w:cs="Times New Roman"/>
                <w:b/>
                <w:sz w:val="21"/>
                <w:szCs w:val="21"/>
              </w:rPr>
              <w:t>分</w:t>
            </w:r>
          </w:p>
        </w:tc>
        <w:tc>
          <w:tcPr>
            <w:tcW w:w="814" w:type="dxa"/>
            <w:vMerge/>
            <w:vAlign w:val="center"/>
          </w:tcPr>
          <w:p w14:paraId="795A41C9" w14:textId="77777777" w:rsidR="009C353B" w:rsidRDefault="009C353B">
            <w:pPr>
              <w:pStyle w:val="affffffffffff"/>
              <w:spacing w:line="240" w:lineRule="auto"/>
              <w:ind w:firstLineChars="0" w:firstLine="0"/>
              <w:jc w:val="center"/>
              <w:rPr>
                <w:rFonts w:ascii="Times New Roman" w:eastAsiaTheme="minorEastAsia" w:hAnsi="Times New Roman" w:cs="Times New Roman"/>
                <w:sz w:val="21"/>
                <w:szCs w:val="21"/>
              </w:rPr>
            </w:pPr>
          </w:p>
        </w:tc>
      </w:tr>
      <w:tr w:rsidR="009C353B" w14:paraId="5E46C401" w14:textId="77777777">
        <w:trPr>
          <w:trHeight w:val="397"/>
        </w:trPr>
        <w:tc>
          <w:tcPr>
            <w:tcW w:w="2580" w:type="dxa"/>
            <w:tcMar>
              <w:left w:w="28" w:type="dxa"/>
              <w:right w:w="28" w:type="dxa"/>
            </w:tcMar>
            <w:vAlign w:val="center"/>
          </w:tcPr>
          <w:p w14:paraId="4961A662"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地下水位埋深（</w:t>
            </w:r>
            <w:r>
              <w:rPr>
                <w:rFonts w:ascii="Times New Roman" w:eastAsiaTheme="minorEastAsia" w:hAnsi="Times New Roman" w:cs="Times New Roman"/>
                <w:sz w:val="21"/>
                <w:szCs w:val="21"/>
              </w:rPr>
              <w:t>GWD</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m</w:t>
            </w:r>
            <w:r>
              <w:rPr>
                <w:rFonts w:ascii="Times New Roman" w:eastAsiaTheme="minorEastAsia" w:hAnsi="Times New Roman" w:cs="Times New Roman"/>
                <w:sz w:val="21"/>
                <w:szCs w:val="21"/>
              </w:rPr>
              <w:t>）</w:t>
            </w:r>
          </w:p>
        </w:tc>
        <w:tc>
          <w:tcPr>
            <w:tcW w:w="1276" w:type="dxa"/>
            <w:vAlign w:val="center"/>
          </w:tcPr>
          <w:p w14:paraId="4238E8C0"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GWD≥2.5</w:t>
            </w:r>
          </w:p>
        </w:tc>
        <w:tc>
          <w:tcPr>
            <w:tcW w:w="1442" w:type="dxa"/>
            <w:vAlign w:val="center"/>
          </w:tcPr>
          <w:p w14:paraId="1C45DDDA"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1.5≤GWD</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2.5</w:t>
            </w:r>
          </w:p>
        </w:tc>
        <w:tc>
          <w:tcPr>
            <w:tcW w:w="1417" w:type="dxa"/>
            <w:vAlign w:val="center"/>
          </w:tcPr>
          <w:p w14:paraId="3F5CAE57"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1.0≤GWD</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1.5</w:t>
            </w:r>
          </w:p>
        </w:tc>
        <w:tc>
          <w:tcPr>
            <w:tcW w:w="1677" w:type="dxa"/>
            <w:vAlign w:val="center"/>
          </w:tcPr>
          <w:p w14:paraId="619917A5"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GWD</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1.0</w:t>
            </w:r>
          </w:p>
        </w:tc>
        <w:tc>
          <w:tcPr>
            <w:tcW w:w="814" w:type="dxa"/>
            <w:vAlign w:val="center"/>
          </w:tcPr>
          <w:p w14:paraId="492CFF31"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0.35</w:t>
            </w:r>
          </w:p>
        </w:tc>
      </w:tr>
      <w:tr w:rsidR="009C353B" w14:paraId="6FC645ED" w14:textId="77777777">
        <w:trPr>
          <w:trHeight w:val="397"/>
        </w:trPr>
        <w:tc>
          <w:tcPr>
            <w:tcW w:w="2580" w:type="dxa"/>
            <w:tcMar>
              <w:left w:w="28" w:type="dxa"/>
              <w:right w:w="28" w:type="dxa"/>
            </w:tcMar>
            <w:vAlign w:val="center"/>
          </w:tcPr>
          <w:p w14:paraId="5BDA45F5"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干燥度（蒸降比值）（</w:t>
            </w:r>
            <w:r>
              <w:rPr>
                <w:rFonts w:ascii="Times New Roman" w:eastAsiaTheme="minorEastAsia" w:hAnsi="Times New Roman" w:cs="Times New Roman"/>
                <w:sz w:val="21"/>
                <w:szCs w:val="21"/>
              </w:rPr>
              <w:t>EPR</w:t>
            </w:r>
            <w:r>
              <w:rPr>
                <w:rFonts w:ascii="Times New Roman" w:eastAsiaTheme="minorEastAsia" w:hAnsi="Times New Roman" w:cs="Times New Roman"/>
                <w:sz w:val="21"/>
                <w:szCs w:val="21"/>
              </w:rPr>
              <w:t>）</w:t>
            </w:r>
          </w:p>
        </w:tc>
        <w:tc>
          <w:tcPr>
            <w:tcW w:w="1276" w:type="dxa"/>
            <w:vAlign w:val="center"/>
          </w:tcPr>
          <w:p w14:paraId="5FBAC1E9"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EPR</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1.2</w:t>
            </w:r>
          </w:p>
        </w:tc>
        <w:tc>
          <w:tcPr>
            <w:tcW w:w="1442" w:type="dxa"/>
            <w:vAlign w:val="center"/>
          </w:tcPr>
          <w:p w14:paraId="1AADF5CB"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1.2≤EPR</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2.5</w:t>
            </w:r>
          </w:p>
        </w:tc>
        <w:tc>
          <w:tcPr>
            <w:tcW w:w="1417" w:type="dxa"/>
            <w:vAlign w:val="center"/>
          </w:tcPr>
          <w:p w14:paraId="1EBB20AC"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2.5≤EPR</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6</w:t>
            </w:r>
          </w:p>
        </w:tc>
        <w:tc>
          <w:tcPr>
            <w:tcW w:w="1677" w:type="dxa"/>
            <w:vAlign w:val="center"/>
          </w:tcPr>
          <w:p w14:paraId="0BE13B9B"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EPR≥6</w:t>
            </w:r>
          </w:p>
        </w:tc>
        <w:tc>
          <w:tcPr>
            <w:tcW w:w="814" w:type="dxa"/>
            <w:vAlign w:val="center"/>
          </w:tcPr>
          <w:p w14:paraId="5AB869F8"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0.25</w:t>
            </w:r>
          </w:p>
        </w:tc>
      </w:tr>
      <w:tr w:rsidR="009C353B" w14:paraId="67CF4EA5" w14:textId="77777777">
        <w:trPr>
          <w:trHeight w:val="397"/>
        </w:trPr>
        <w:tc>
          <w:tcPr>
            <w:tcW w:w="2580" w:type="dxa"/>
            <w:tcMar>
              <w:left w:w="28" w:type="dxa"/>
              <w:right w:w="28" w:type="dxa"/>
            </w:tcMar>
            <w:vAlign w:val="center"/>
          </w:tcPr>
          <w:p w14:paraId="24759873"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土壤本底含盐量（</w:t>
            </w:r>
            <w:r>
              <w:rPr>
                <w:rFonts w:ascii="Times New Roman" w:eastAsiaTheme="minorEastAsia" w:hAnsi="Times New Roman" w:cs="Times New Roman"/>
                <w:sz w:val="21"/>
                <w:szCs w:val="21"/>
              </w:rPr>
              <w:t>SSD</w:t>
            </w:r>
            <w:r>
              <w:rPr>
                <w:rFonts w:ascii="Times New Roman" w:eastAsiaTheme="minorEastAsia" w:hAnsi="Times New Roman" w:cs="Times New Roman"/>
                <w:sz w:val="21"/>
                <w:szCs w:val="21"/>
              </w:rPr>
              <w:t>）</w:t>
            </w:r>
          </w:p>
          <w:p w14:paraId="4E66374A"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g/kg</w:t>
            </w:r>
            <w:r>
              <w:rPr>
                <w:rFonts w:ascii="Times New Roman" w:eastAsiaTheme="minorEastAsia" w:hAnsi="Times New Roman" w:cs="Times New Roman"/>
                <w:sz w:val="21"/>
                <w:szCs w:val="21"/>
              </w:rPr>
              <w:t>）</w:t>
            </w:r>
          </w:p>
        </w:tc>
        <w:tc>
          <w:tcPr>
            <w:tcW w:w="1276" w:type="dxa"/>
            <w:vAlign w:val="center"/>
          </w:tcPr>
          <w:p w14:paraId="4263DE9C"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SSD</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1</w:t>
            </w:r>
          </w:p>
        </w:tc>
        <w:tc>
          <w:tcPr>
            <w:tcW w:w="1442" w:type="dxa"/>
            <w:vAlign w:val="center"/>
          </w:tcPr>
          <w:p w14:paraId="0C5FE084"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1≤SSD</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2</w:t>
            </w:r>
          </w:p>
        </w:tc>
        <w:tc>
          <w:tcPr>
            <w:tcW w:w="1417" w:type="dxa"/>
            <w:vAlign w:val="center"/>
          </w:tcPr>
          <w:p w14:paraId="5534D343"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2≤SSD</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4</w:t>
            </w:r>
          </w:p>
        </w:tc>
        <w:tc>
          <w:tcPr>
            <w:tcW w:w="1677" w:type="dxa"/>
            <w:vAlign w:val="center"/>
          </w:tcPr>
          <w:p w14:paraId="66998ABA"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SSD≥4</w:t>
            </w:r>
          </w:p>
        </w:tc>
        <w:tc>
          <w:tcPr>
            <w:tcW w:w="814" w:type="dxa"/>
            <w:vAlign w:val="center"/>
          </w:tcPr>
          <w:p w14:paraId="2B6BF629"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0.15</w:t>
            </w:r>
          </w:p>
        </w:tc>
      </w:tr>
      <w:tr w:rsidR="009C353B" w14:paraId="360DCF49" w14:textId="77777777">
        <w:trPr>
          <w:trHeight w:val="397"/>
        </w:trPr>
        <w:tc>
          <w:tcPr>
            <w:tcW w:w="2580" w:type="dxa"/>
            <w:tcMar>
              <w:left w:w="28" w:type="dxa"/>
              <w:right w:w="28" w:type="dxa"/>
            </w:tcMar>
            <w:vAlign w:val="center"/>
          </w:tcPr>
          <w:p w14:paraId="17090249"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地下水溶解性总固体（</w:t>
            </w:r>
            <w:r>
              <w:rPr>
                <w:rFonts w:ascii="Times New Roman" w:eastAsiaTheme="minorEastAsia" w:hAnsi="Times New Roman" w:cs="Times New Roman"/>
                <w:sz w:val="21"/>
                <w:szCs w:val="21"/>
              </w:rPr>
              <w:t>TDS</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g/l</w:t>
            </w:r>
            <w:r>
              <w:rPr>
                <w:rFonts w:ascii="Times New Roman" w:eastAsiaTheme="minorEastAsia" w:hAnsi="Times New Roman" w:cs="Times New Roman"/>
                <w:sz w:val="21"/>
                <w:szCs w:val="21"/>
              </w:rPr>
              <w:t>）</w:t>
            </w:r>
          </w:p>
        </w:tc>
        <w:tc>
          <w:tcPr>
            <w:tcW w:w="1276" w:type="dxa"/>
            <w:vAlign w:val="center"/>
          </w:tcPr>
          <w:p w14:paraId="4FA9650A"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TDS</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1</w:t>
            </w:r>
          </w:p>
        </w:tc>
        <w:tc>
          <w:tcPr>
            <w:tcW w:w="1442" w:type="dxa"/>
            <w:vAlign w:val="center"/>
          </w:tcPr>
          <w:p w14:paraId="30960527"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1≤TDS</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2</w:t>
            </w:r>
          </w:p>
        </w:tc>
        <w:tc>
          <w:tcPr>
            <w:tcW w:w="1417" w:type="dxa"/>
            <w:vAlign w:val="center"/>
          </w:tcPr>
          <w:p w14:paraId="06507ED1"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2≤TDS</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5</w:t>
            </w:r>
          </w:p>
        </w:tc>
        <w:tc>
          <w:tcPr>
            <w:tcW w:w="1677" w:type="dxa"/>
            <w:vAlign w:val="center"/>
          </w:tcPr>
          <w:p w14:paraId="591DBCA4"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TDS≥5</w:t>
            </w:r>
          </w:p>
        </w:tc>
        <w:tc>
          <w:tcPr>
            <w:tcW w:w="814" w:type="dxa"/>
            <w:vAlign w:val="center"/>
          </w:tcPr>
          <w:p w14:paraId="64DAB991"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0.15</w:t>
            </w:r>
          </w:p>
        </w:tc>
      </w:tr>
      <w:tr w:rsidR="009C353B" w14:paraId="03F87451" w14:textId="77777777">
        <w:trPr>
          <w:trHeight w:val="397"/>
        </w:trPr>
        <w:tc>
          <w:tcPr>
            <w:tcW w:w="2580" w:type="dxa"/>
            <w:tcMar>
              <w:left w:w="28" w:type="dxa"/>
              <w:right w:w="28" w:type="dxa"/>
            </w:tcMar>
            <w:vAlign w:val="center"/>
          </w:tcPr>
          <w:p w14:paraId="4AD5F4AB"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土壤质地</w:t>
            </w:r>
          </w:p>
        </w:tc>
        <w:tc>
          <w:tcPr>
            <w:tcW w:w="1276" w:type="dxa"/>
            <w:vAlign w:val="center"/>
          </w:tcPr>
          <w:p w14:paraId="0D181319"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黏土</w:t>
            </w:r>
          </w:p>
        </w:tc>
        <w:tc>
          <w:tcPr>
            <w:tcW w:w="1442" w:type="dxa"/>
            <w:vAlign w:val="center"/>
          </w:tcPr>
          <w:p w14:paraId="6FA16ACA"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砂土</w:t>
            </w:r>
          </w:p>
        </w:tc>
        <w:tc>
          <w:tcPr>
            <w:tcW w:w="1417" w:type="dxa"/>
            <w:vAlign w:val="center"/>
          </w:tcPr>
          <w:p w14:paraId="1E8AB6E1"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壤土</w:t>
            </w:r>
          </w:p>
        </w:tc>
        <w:tc>
          <w:tcPr>
            <w:tcW w:w="1677" w:type="dxa"/>
            <w:vAlign w:val="center"/>
          </w:tcPr>
          <w:p w14:paraId="4A969401"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砂壤、粉土、砂粉土</w:t>
            </w:r>
          </w:p>
        </w:tc>
        <w:tc>
          <w:tcPr>
            <w:tcW w:w="814" w:type="dxa"/>
            <w:vAlign w:val="center"/>
          </w:tcPr>
          <w:p w14:paraId="0DB8C208"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0.10</w:t>
            </w:r>
          </w:p>
        </w:tc>
      </w:tr>
    </w:tbl>
    <w:p w14:paraId="6D92FEDF" w14:textId="77777777" w:rsidR="009C353B" w:rsidRDefault="009C353B">
      <w:pPr>
        <w:pStyle w:val="affffff0"/>
        <w:spacing w:line="440" w:lineRule="exact"/>
        <w:jc w:val="center"/>
        <w:rPr>
          <w:rFonts w:ascii="Times New Roman" w:eastAsiaTheme="minorEastAsia" w:hAnsi="Times New Roman"/>
        </w:rPr>
      </w:pPr>
    </w:p>
    <w:p w14:paraId="3B489ABC" w14:textId="77777777" w:rsidR="009C353B" w:rsidRDefault="009C353B">
      <w:pPr>
        <w:pStyle w:val="affffff0"/>
        <w:spacing w:line="440" w:lineRule="exact"/>
        <w:jc w:val="center"/>
        <w:rPr>
          <w:rFonts w:ascii="Times New Roman" w:eastAsiaTheme="minorEastAsia" w:hAnsi="Times New Roman"/>
        </w:rPr>
      </w:pPr>
    </w:p>
    <w:p w14:paraId="6B650386" w14:textId="77777777" w:rsidR="009C353B" w:rsidRDefault="00000000">
      <w:pPr>
        <w:pStyle w:val="affffff0"/>
        <w:spacing w:line="440" w:lineRule="exact"/>
        <w:jc w:val="center"/>
        <w:rPr>
          <w:rFonts w:ascii="Times New Roman" w:eastAsiaTheme="minorEastAsia" w:hAnsi="Times New Roman"/>
        </w:rPr>
      </w:pPr>
      <w:r>
        <w:rPr>
          <w:rFonts w:ascii="Times New Roman" w:eastAsiaTheme="minorEastAsia" w:hAnsi="Times New Roman"/>
        </w:rPr>
        <w:t>土壤盐化预测表</w:t>
      </w:r>
    </w:p>
    <w:p w14:paraId="1D4514BB" w14:textId="77777777" w:rsidR="009C353B" w:rsidRDefault="00000000">
      <w:pPr>
        <w:widowControl/>
        <w:jc w:val="left"/>
        <w:outlineLvl w:val="4"/>
        <w:rPr>
          <w:rFonts w:ascii="Times New Roman" w:eastAsiaTheme="minorEastAsia" w:hAnsi="Times New Roman"/>
          <w:kern w:val="0"/>
        </w:rPr>
      </w:pPr>
      <w:r>
        <w:rPr>
          <w:rFonts w:ascii="Times New Roman" w:eastAsiaTheme="minorEastAsia" w:hAnsi="Times New Roman"/>
          <w:kern w:val="0"/>
        </w:rPr>
        <w:t>表</w:t>
      </w:r>
      <w:r>
        <w:rPr>
          <w:rFonts w:ascii="Times New Roman" w:eastAsiaTheme="minorEastAsia" w:hAnsi="Times New Roman"/>
          <w:kern w:val="0"/>
        </w:rPr>
        <w:t>6.7-3</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0"/>
        <w:gridCol w:w="1284"/>
        <w:gridCol w:w="1283"/>
        <w:gridCol w:w="1283"/>
        <w:gridCol w:w="1283"/>
        <w:gridCol w:w="1206"/>
      </w:tblGrid>
      <w:tr w:rsidR="009C353B" w14:paraId="28F90AC6" w14:textId="77777777">
        <w:trPr>
          <w:trHeight w:hRule="exact" w:val="397"/>
        </w:trPr>
        <w:tc>
          <w:tcPr>
            <w:tcW w:w="2870" w:type="dxa"/>
            <w:vAlign w:val="center"/>
          </w:tcPr>
          <w:p w14:paraId="7E3916E2"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土壤盐化综合评分值（</w:t>
            </w:r>
            <w:r>
              <w:rPr>
                <w:rFonts w:ascii="Times New Roman" w:eastAsiaTheme="minorEastAsia" w:hAnsi="Times New Roman" w:cs="Times New Roman"/>
                <w:sz w:val="21"/>
                <w:szCs w:val="21"/>
              </w:rPr>
              <w:t>Sa</w:t>
            </w:r>
            <w:r>
              <w:rPr>
                <w:rFonts w:ascii="Times New Roman" w:eastAsiaTheme="minorEastAsia" w:hAnsi="Times New Roman" w:cs="Times New Roman"/>
                <w:sz w:val="21"/>
                <w:szCs w:val="21"/>
              </w:rPr>
              <w:t>）</w:t>
            </w:r>
          </w:p>
        </w:tc>
        <w:tc>
          <w:tcPr>
            <w:tcW w:w="1284" w:type="dxa"/>
            <w:vAlign w:val="center"/>
          </w:tcPr>
          <w:p w14:paraId="6F2FCAD8"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Sa</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1</w:t>
            </w:r>
          </w:p>
        </w:tc>
        <w:tc>
          <w:tcPr>
            <w:tcW w:w="1283" w:type="dxa"/>
            <w:vAlign w:val="center"/>
          </w:tcPr>
          <w:p w14:paraId="1785AC4B"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1≤Sa</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2</w:t>
            </w:r>
          </w:p>
        </w:tc>
        <w:tc>
          <w:tcPr>
            <w:tcW w:w="1283" w:type="dxa"/>
            <w:vAlign w:val="center"/>
          </w:tcPr>
          <w:p w14:paraId="7E2F7B68"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2≤Sa</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3</w:t>
            </w:r>
          </w:p>
        </w:tc>
        <w:tc>
          <w:tcPr>
            <w:tcW w:w="1283" w:type="dxa"/>
            <w:vAlign w:val="center"/>
          </w:tcPr>
          <w:p w14:paraId="7E9E2D87"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3≤Sa</w:t>
            </w:r>
            <w:r>
              <w:rPr>
                <w:rFonts w:ascii="Times New Roman" w:eastAsiaTheme="minorEastAsia" w:hAnsi="Times New Roman" w:cs="Times New Roman"/>
                <w:sz w:val="21"/>
                <w:szCs w:val="21"/>
              </w:rPr>
              <w:t>＜</w:t>
            </w:r>
            <w:r>
              <w:rPr>
                <w:rFonts w:ascii="Times New Roman" w:eastAsiaTheme="minorEastAsia" w:hAnsi="Times New Roman" w:cs="Times New Roman"/>
                <w:sz w:val="21"/>
                <w:szCs w:val="21"/>
              </w:rPr>
              <w:t>4.5</w:t>
            </w:r>
          </w:p>
        </w:tc>
        <w:tc>
          <w:tcPr>
            <w:tcW w:w="1206" w:type="dxa"/>
            <w:vAlign w:val="center"/>
          </w:tcPr>
          <w:p w14:paraId="154591DA"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Sa≥4.5</w:t>
            </w:r>
          </w:p>
        </w:tc>
      </w:tr>
      <w:tr w:rsidR="009C353B" w14:paraId="74DCF2CE" w14:textId="77777777">
        <w:trPr>
          <w:trHeight w:hRule="exact" w:val="635"/>
        </w:trPr>
        <w:tc>
          <w:tcPr>
            <w:tcW w:w="2870" w:type="dxa"/>
            <w:vAlign w:val="center"/>
          </w:tcPr>
          <w:p w14:paraId="751F18B5"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土壤盐化综合评分预测结果</w:t>
            </w:r>
          </w:p>
        </w:tc>
        <w:tc>
          <w:tcPr>
            <w:tcW w:w="1284" w:type="dxa"/>
            <w:vAlign w:val="center"/>
          </w:tcPr>
          <w:p w14:paraId="4503BC3C"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未盐化</w:t>
            </w:r>
          </w:p>
        </w:tc>
        <w:tc>
          <w:tcPr>
            <w:tcW w:w="1283" w:type="dxa"/>
            <w:vAlign w:val="center"/>
          </w:tcPr>
          <w:p w14:paraId="3B59139A"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轻度盐化</w:t>
            </w:r>
          </w:p>
        </w:tc>
        <w:tc>
          <w:tcPr>
            <w:tcW w:w="1283" w:type="dxa"/>
            <w:vAlign w:val="center"/>
          </w:tcPr>
          <w:p w14:paraId="6351D190"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中度盐化</w:t>
            </w:r>
          </w:p>
        </w:tc>
        <w:tc>
          <w:tcPr>
            <w:tcW w:w="1283" w:type="dxa"/>
            <w:vAlign w:val="center"/>
          </w:tcPr>
          <w:p w14:paraId="54E15A40"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重度盐化</w:t>
            </w:r>
          </w:p>
        </w:tc>
        <w:tc>
          <w:tcPr>
            <w:tcW w:w="1206" w:type="dxa"/>
            <w:vAlign w:val="center"/>
          </w:tcPr>
          <w:p w14:paraId="64503A64" w14:textId="77777777" w:rsidR="009C353B" w:rsidRDefault="00000000">
            <w:pPr>
              <w:pStyle w:val="affffffffffff"/>
              <w:spacing w:line="240" w:lineRule="auto"/>
              <w:ind w:firstLineChars="0" w:firstLine="0"/>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极重度盐化</w:t>
            </w:r>
          </w:p>
        </w:tc>
      </w:tr>
    </w:tbl>
    <w:p w14:paraId="5B5BB8ED" w14:textId="77777777" w:rsidR="009C353B" w:rsidRDefault="00000000">
      <w:pPr>
        <w:keepNext/>
        <w:keepLines/>
        <w:adjustRightInd w:val="0"/>
        <w:snapToGrid w:val="0"/>
        <w:spacing w:line="440" w:lineRule="exact"/>
        <w:outlineLvl w:val="2"/>
        <w:rPr>
          <w:rFonts w:ascii="Times New Roman" w:hAnsi="Times New Roman"/>
          <w:b/>
        </w:rPr>
      </w:pPr>
      <w:r>
        <w:rPr>
          <w:rFonts w:ascii="Times New Roman" w:hAnsi="Times New Roman"/>
          <w:b/>
        </w:rPr>
        <w:t xml:space="preserve">6.7.2 </w:t>
      </w:r>
      <w:r>
        <w:rPr>
          <w:rFonts w:ascii="Times New Roman" w:hAnsi="Times New Roman"/>
          <w:b/>
        </w:rPr>
        <w:t>土壤</w:t>
      </w:r>
      <w:r>
        <w:rPr>
          <w:rFonts w:ascii="Times New Roman" w:hAnsi="Times New Roman" w:hint="eastAsia"/>
          <w:b/>
        </w:rPr>
        <w:t>碱化、</w:t>
      </w:r>
      <w:r>
        <w:rPr>
          <w:rFonts w:ascii="Times New Roman" w:hAnsi="Times New Roman"/>
          <w:b/>
        </w:rPr>
        <w:t>盐化预测与分析</w:t>
      </w:r>
    </w:p>
    <w:p w14:paraId="68D2521C" w14:textId="77777777" w:rsidR="009C353B" w:rsidRDefault="00000000">
      <w:pPr>
        <w:pStyle w:val="affffffffffff"/>
        <w:ind w:firstLine="480"/>
        <w:jc w:val="both"/>
        <w:rPr>
          <w:rFonts w:ascii="Times New Roman" w:eastAsiaTheme="minorEastAsia" w:hAnsi="Times New Roman" w:cs="Times New Roman"/>
        </w:rPr>
      </w:pPr>
      <w:r>
        <w:rPr>
          <w:rFonts w:ascii="Times New Roman" w:eastAsiaTheme="minorEastAsia" w:hAnsi="Times New Roman" w:cs="Times New Roman"/>
        </w:rPr>
        <w:t>根据表</w:t>
      </w:r>
      <w:r>
        <w:rPr>
          <w:rFonts w:ascii="Times New Roman" w:eastAsiaTheme="minorEastAsia" w:hAnsi="Times New Roman" w:cs="Times New Roman"/>
        </w:rPr>
        <w:t>6.7-1</w:t>
      </w:r>
      <w:r>
        <w:rPr>
          <w:rFonts w:ascii="Times New Roman" w:eastAsiaTheme="minorEastAsia" w:hAnsi="Times New Roman" w:cs="Times New Roman" w:hint="eastAsia"/>
        </w:rPr>
        <w:t>结合土壤现状调查结果</w:t>
      </w:r>
      <w:r>
        <w:rPr>
          <w:rFonts w:ascii="Times New Roman" w:eastAsiaTheme="minorEastAsia" w:hAnsi="Times New Roman" w:cs="Times New Roman"/>
        </w:rPr>
        <w:t>可知</w:t>
      </w:r>
      <w:r>
        <w:rPr>
          <w:rFonts w:ascii="Times New Roman" w:eastAsiaTheme="minorEastAsia" w:hAnsi="Times New Roman" w:cs="Times New Roman" w:hint="eastAsia"/>
        </w:rPr>
        <w:t>，矿区</w:t>
      </w:r>
      <w:r>
        <w:rPr>
          <w:rFonts w:ascii="Times New Roman" w:eastAsiaTheme="minorEastAsia" w:hAnsi="Times New Roman" w:cs="Times New Roman"/>
        </w:rPr>
        <w:t>pH</w:t>
      </w:r>
      <w:r>
        <w:rPr>
          <w:rFonts w:ascii="Times New Roman" w:eastAsiaTheme="minorEastAsia" w:hAnsi="Times New Roman" w:cs="Times New Roman"/>
        </w:rPr>
        <w:t>值处于轻</w:t>
      </w:r>
      <w:r>
        <w:rPr>
          <w:rFonts w:ascii="Times New Roman" w:eastAsiaTheme="minorEastAsia" w:hAnsi="Times New Roman" w:cs="Times New Roman"/>
        </w:rPr>
        <w:t>-</w:t>
      </w:r>
      <w:r>
        <w:rPr>
          <w:rFonts w:ascii="Times New Roman" w:eastAsiaTheme="minorEastAsia" w:hAnsi="Times New Roman" w:cs="Times New Roman"/>
        </w:rPr>
        <w:t>中度碱化。影响土壤</w:t>
      </w:r>
      <w:r>
        <w:rPr>
          <w:rFonts w:ascii="Times New Roman" w:eastAsiaTheme="minorEastAsia" w:hAnsi="Times New Roman" w:cs="Times New Roman" w:hint="eastAsia"/>
        </w:rPr>
        <w:t>碱</w:t>
      </w:r>
      <w:r>
        <w:rPr>
          <w:rFonts w:ascii="Times New Roman" w:eastAsiaTheme="minorEastAsia" w:hAnsi="Times New Roman" w:cs="Times New Roman"/>
        </w:rPr>
        <w:t>化的因素有土壤本底</w:t>
      </w:r>
      <w:r>
        <w:rPr>
          <w:rFonts w:ascii="Times New Roman" w:eastAsiaTheme="minorEastAsia" w:hAnsi="Times New Roman" w:cs="Times New Roman" w:hint="eastAsia"/>
        </w:rPr>
        <w:t>p</w:t>
      </w:r>
      <w:r>
        <w:rPr>
          <w:rFonts w:ascii="Times New Roman" w:eastAsiaTheme="minorEastAsia" w:hAnsi="Times New Roman" w:cs="Times New Roman"/>
        </w:rPr>
        <w:t>H</w:t>
      </w:r>
      <w:r>
        <w:rPr>
          <w:rFonts w:ascii="Times New Roman" w:eastAsiaTheme="minorEastAsia" w:hAnsi="Times New Roman" w:cs="Times New Roman" w:hint="eastAsia"/>
        </w:rPr>
        <w:t>值、</w:t>
      </w:r>
      <w:r>
        <w:rPr>
          <w:rFonts w:ascii="Times New Roman" w:eastAsiaTheme="minorEastAsia" w:hAnsi="Times New Roman" w:cs="Times New Roman"/>
        </w:rPr>
        <w:t>地下水水位埋深</w:t>
      </w:r>
      <w:r>
        <w:rPr>
          <w:rFonts w:ascii="Times New Roman" w:eastAsiaTheme="minorEastAsia" w:hAnsi="Times New Roman" w:cs="Times New Roman" w:hint="eastAsia"/>
        </w:rPr>
        <w:t>、土壤质地。矿区土壤质地为砂土，</w:t>
      </w:r>
      <w:r>
        <w:rPr>
          <w:rFonts w:ascii="Times New Roman" w:eastAsiaTheme="minorEastAsia" w:hAnsi="Times New Roman" w:cs="Times New Roman"/>
        </w:rPr>
        <w:t>矿区第四系多属于透水而不含水层，开采沉陷后对第四系影响不大，矿区规划矿井开采后，也不会在沉陷区输入碱性物质</w:t>
      </w:r>
      <w:r>
        <w:rPr>
          <w:rFonts w:ascii="Times New Roman" w:eastAsiaTheme="minorEastAsia" w:hAnsi="Times New Roman" w:cs="Times New Roman" w:hint="eastAsia"/>
        </w:rPr>
        <w:t>，</w:t>
      </w:r>
      <w:r>
        <w:rPr>
          <w:rFonts w:ascii="Times New Roman" w:eastAsiaTheme="minorEastAsia" w:hAnsi="Times New Roman" w:cs="Times New Roman"/>
        </w:rPr>
        <w:t>这三个因素在开采沉陷后基本不变，因此，规划矿井开发后土壤</w:t>
      </w:r>
      <w:r>
        <w:rPr>
          <w:rFonts w:ascii="Times New Roman" w:eastAsiaTheme="minorEastAsia" w:hAnsi="Times New Roman" w:cs="Times New Roman" w:hint="eastAsia"/>
        </w:rPr>
        <w:t>碱化</w:t>
      </w:r>
      <w:r>
        <w:rPr>
          <w:rFonts w:ascii="Times New Roman" w:eastAsiaTheme="minorEastAsia" w:hAnsi="Times New Roman" w:cs="Times New Roman"/>
        </w:rPr>
        <w:t>情况仍基本不变，基本不影响土壤环境的碱度</w:t>
      </w:r>
      <w:r>
        <w:rPr>
          <w:rFonts w:ascii="Times New Roman" w:eastAsiaTheme="minorEastAsia" w:hAnsi="Times New Roman" w:cs="Times New Roman" w:hint="eastAsia"/>
        </w:rPr>
        <w:t>。</w:t>
      </w:r>
    </w:p>
    <w:p w14:paraId="67A4D93B" w14:textId="77777777" w:rsidR="009C353B" w:rsidRDefault="00000000">
      <w:pPr>
        <w:pStyle w:val="affffffffffff"/>
        <w:ind w:firstLine="480"/>
        <w:jc w:val="both"/>
        <w:rPr>
          <w:rFonts w:ascii="Times New Roman" w:eastAsiaTheme="minorEastAsia" w:hAnsi="Times New Roman" w:cs="Times New Roman"/>
        </w:rPr>
      </w:pPr>
      <w:r>
        <w:rPr>
          <w:rFonts w:ascii="Times New Roman" w:eastAsiaTheme="minorEastAsia" w:hAnsi="Times New Roman" w:cs="Times New Roman"/>
        </w:rPr>
        <w:t>根据表</w:t>
      </w:r>
      <w:r>
        <w:rPr>
          <w:rFonts w:ascii="Times New Roman" w:eastAsiaTheme="minorEastAsia" w:hAnsi="Times New Roman" w:cs="Times New Roman"/>
        </w:rPr>
        <w:t>6.7-</w:t>
      </w:r>
      <w:r>
        <w:rPr>
          <w:rFonts w:ascii="Times New Roman" w:eastAsiaTheme="minorEastAsia" w:hAnsi="Times New Roman" w:cs="Times New Roman" w:hint="eastAsia"/>
        </w:rPr>
        <w:t>2</w:t>
      </w:r>
      <w:r>
        <w:rPr>
          <w:rFonts w:ascii="Times New Roman" w:eastAsiaTheme="minorEastAsia" w:hAnsi="Times New Roman" w:cs="Times New Roman"/>
        </w:rPr>
        <w:t>可知</w:t>
      </w:r>
      <w:r>
        <w:rPr>
          <w:rFonts w:ascii="Times New Roman" w:eastAsiaTheme="minorEastAsia" w:hAnsi="Times New Roman" w:cs="Times New Roman" w:hint="eastAsia"/>
        </w:rPr>
        <w:t>，</w:t>
      </w:r>
      <w:r>
        <w:rPr>
          <w:rFonts w:ascii="Times New Roman" w:eastAsiaTheme="minorEastAsia" w:hAnsi="Times New Roman" w:cs="Times New Roman"/>
        </w:rPr>
        <w:t>影响土壤盐化的因素有地下水水位埋深、干燥度（蒸降比值）、土壤本底含量、地下水溶解性总固体及土壤质地</w:t>
      </w:r>
      <w:r>
        <w:rPr>
          <w:rFonts w:ascii="Times New Roman" w:eastAsiaTheme="minorEastAsia" w:hAnsi="Times New Roman" w:cs="Times New Roman"/>
        </w:rPr>
        <w:t>5</w:t>
      </w:r>
      <w:r>
        <w:rPr>
          <w:rFonts w:ascii="Times New Roman" w:eastAsiaTheme="minorEastAsia" w:hAnsi="Times New Roman" w:cs="Times New Roman"/>
        </w:rPr>
        <w:t>个因素。通过收集资料、调查及监测，项目区干燥度（蒸降比值）（</w:t>
      </w:r>
      <w:r>
        <w:rPr>
          <w:rFonts w:ascii="Times New Roman" w:eastAsiaTheme="minorEastAsia" w:hAnsi="Times New Roman" w:cs="Times New Roman"/>
        </w:rPr>
        <w:t>EPR</w:t>
      </w:r>
      <w:r>
        <w:rPr>
          <w:rFonts w:ascii="Times New Roman" w:eastAsiaTheme="minorEastAsia" w:hAnsi="Times New Roman" w:cs="Times New Roman"/>
        </w:rPr>
        <w:t>）约</w:t>
      </w:r>
      <w:r>
        <w:rPr>
          <w:rFonts w:ascii="Times New Roman" w:eastAsiaTheme="minorEastAsia" w:hAnsi="Times New Roman" w:cs="Times New Roman"/>
        </w:rPr>
        <w:t>9.61</w:t>
      </w:r>
      <w:r>
        <w:rPr>
          <w:rFonts w:ascii="Times New Roman" w:eastAsiaTheme="minorEastAsia" w:hAnsi="Times New Roman" w:cs="Times New Roman"/>
        </w:rPr>
        <w:t>，本次监测</w:t>
      </w:r>
      <w:r>
        <w:rPr>
          <w:rFonts w:ascii="Times New Roman" w:eastAsiaTheme="minorEastAsia" w:hAnsi="Times New Roman" w:cs="Times New Roman" w:hint="eastAsia"/>
        </w:rPr>
        <w:t>除两个点位</w:t>
      </w:r>
      <w:r>
        <w:rPr>
          <w:rFonts w:ascii="Times New Roman" w:eastAsiaTheme="minorEastAsia" w:hAnsi="Times New Roman" w:cs="Times New Roman"/>
        </w:rPr>
        <w:t>土壤含盐量（</w:t>
      </w:r>
      <w:r>
        <w:rPr>
          <w:rFonts w:ascii="Times New Roman" w:eastAsiaTheme="minorEastAsia" w:hAnsi="Times New Roman" w:cs="Times New Roman"/>
        </w:rPr>
        <w:t>SSC</w:t>
      </w:r>
      <w:r>
        <w:rPr>
          <w:rFonts w:ascii="Times New Roman" w:eastAsiaTheme="minorEastAsia" w:hAnsi="Times New Roman" w:cs="Times New Roman"/>
        </w:rPr>
        <w:t>）为</w:t>
      </w:r>
      <w:r>
        <w:rPr>
          <w:rFonts w:ascii="Times New Roman" w:eastAsiaTheme="minorEastAsia" w:hAnsi="Times New Roman" w:cs="Times New Roman" w:hint="eastAsia"/>
        </w:rPr>
        <w:t>8</w:t>
      </w:r>
      <w:r>
        <w:rPr>
          <w:rFonts w:ascii="Times New Roman" w:eastAsiaTheme="minorEastAsia" w:hAnsi="Times New Roman" w:cs="Times New Roman"/>
        </w:rPr>
        <w:t>.04</w:t>
      </w:r>
      <w:r>
        <w:rPr>
          <w:rFonts w:ascii="Times New Roman" w:eastAsiaTheme="minorEastAsia" w:hAnsi="Times New Roman" w:cs="Times New Roman" w:hint="eastAsia"/>
        </w:rPr>
        <w:t>、</w:t>
      </w:r>
      <w:r>
        <w:rPr>
          <w:rFonts w:ascii="Times New Roman" w:eastAsiaTheme="minorEastAsia" w:hAnsi="Times New Roman" w:cs="Times New Roman"/>
        </w:rPr>
        <w:t>11.4 g/kg</w:t>
      </w:r>
      <w:r>
        <w:rPr>
          <w:rFonts w:ascii="Times New Roman" w:eastAsiaTheme="minorEastAsia" w:hAnsi="Times New Roman" w:cs="Times New Roman" w:hint="eastAsia"/>
        </w:rPr>
        <w:t>外</w:t>
      </w:r>
      <w:r>
        <w:rPr>
          <w:rFonts w:ascii="Times New Roman" w:eastAsiaTheme="minorEastAsia" w:hAnsi="Times New Roman" w:cs="Times New Roman"/>
        </w:rPr>
        <w:t>，各监测点土壤含盐量（</w:t>
      </w:r>
      <w:r>
        <w:rPr>
          <w:rFonts w:ascii="Times New Roman" w:eastAsiaTheme="minorEastAsia" w:hAnsi="Times New Roman" w:cs="Times New Roman"/>
        </w:rPr>
        <w:t>SSC</w:t>
      </w:r>
      <w:r>
        <w:rPr>
          <w:rFonts w:ascii="Times New Roman" w:eastAsiaTheme="minorEastAsia" w:hAnsi="Times New Roman" w:cs="Times New Roman"/>
        </w:rPr>
        <w:t>）为</w:t>
      </w:r>
      <w:r>
        <w:rPr>
          <w:rFonts w:ascii="Times New Roman" w:eastAsiaTheme="minorEastAsia" w:hAnsi="Times New Roman" w:cs="Times New Roman"/>
        </w:rPr>
        <w:t>0.37~1.19 g/kg</w:t>
      </w:r>
      <w:r>
        <w:rPr>
          <w:rFonts w:ascii="Times New Roman" w:eastAsiaTheme="minorEastAsia" w:hAnsi="Times New Roman" w:cs="Times New Roman"/>
        </w:rPr>
        <w:t>，土壤质地为砂土</w:t>
      </w:r>
      <w:r>
        <w:rPr>
          <w:rFonts w:ascii="Times New Roman" w:eastAsiaTheme="minorEastAsia" w:hAnsi="Times New Roman" w:cs="Times New Roman" w:hint="eastAsia"/>
        </w:rPr>
        <w:t>，</w:t>
      </w:r>
      <w:r>
        <w:rPr>
          <w:rFonts w:ascii="Times New Roman" w:eastAsiaTheme="minorEastAsia" w:hAnsi="Times New Roman" w:cs="Times New Roman"/>
        </w:rPr>
        <w:t>根据矿区水文地质特征，</w:t>
      </w:r>
      <w:r>
        <w:rPr>
          <w:rFonts w:ascii="Times New Roman" w:hAnsi="Times New Roman" w:cs="Times New Roman"/>
        </w:rPr>
        <w:t>区内第四系分布广泛，但厚度不大，且多透水而不含水，因此，本次评价主要考虑</w:t>
      </w:r>
      <w:r>
        <w:rPr>
          <w:rFonts w:ascii="Times New Roman" w:eastAsiaTheme="minorEastAsia" w:hAnsi="Times New Roman" w:cs="Times New Roman"/>
        </w:rPr>
        <w:t>干燥度、土壤本底含盐量及土壤质地的三个因素进行评价。</w:t>
      </w:r>
    </w:p>
    <w:p w14:paraId="3A2E9D34" w14:textId="77777777" w:rsidR="009C353B" w:rsidRDefault="00000000">
      <w:pPr>
        <w:pStyle w:val="affffffffffff"/>
        <w:ind w:firstLine="480"/>
        <w:jc w:val="both"/>
      </w:pPr>
      <w:r>
        <w:rPr>
          <w:rFonts w:ascii="Times New Roman" w:eastAsiaTheme="minorEastAsia" w:hAnsi="Times New Roman" w:cs="Times New Roman"/>
        </w:rPr>
        <w:t>计算干燥度、土壤本底含盐量及土壤质地的三个因素权重及分值，计算得</w:t>
      </w:r>
      <w:r>
        <w:rPr>
          <w:rFonts w:ascii="Times New Roman" w:eastAsiaTheme="minorEastAsia" w:hAnsi="Times New Roman" w:cs="Times New Roman"/>
        </w:rPr>
        <w:t>Sa=1.7</w:t>
      </w:r>
      <w:r>
        <w:rPr>
          <w:rFonts w:ascii="Times New Roman" w:eastAsiaTheme="minorEastAsia" w:hAnsi="Times New Roman" w:cs="Times New Roman" w:hint="eastAsia"/>
        </w:rPr>
        <w:t>，</w:t>
      </w:r>
      <w:r>
        <w:rPr>
          <w:rFonts w:ascii="Times New Roman" w:eastAsiaTheme="minorEastAsia" w:hAnsi="Times New Roman"/>
        </w:rPr>
        <w:t>矿区规划矿井开采后，沉陷区地表发生下沉，由于矿区第四系多属于透水而不含水层，因此开采沉陷后沉陷区仍主要是透水不含水状态，沉陷区土壤盐化的影响因素仍然主要是干燥度、土壤本底含盐量及土壤质地三个因素，这三个因素在开采沉陷后一般而言基本不变，另外</w:t>
      </w:r>
      <w:r>
        <w:rPr>
          <w:rFonts w:ascii="Times New Roman" w:eastAsiaTheme="minorEastAsia" w:hAnsi="Times New Roman" w:hint="eastAsia"/>
        </w:rPr>
        <w:t>，</w:t>
      </w:r>
      <w:r>
        <w:rPr>
          <w:rFonts w:ascii="Times New Roman" w:eastAsiaTheme="minorEastAsia" w:hAnsi="Times New Roman"/>
        </w:rPr>
        <w:t>根据矿区开发多年后土壤监测结果看</w:t>
      </w:r>
      <w:r>
        <w:rPr>
          <w:rFonts w:ascii="Times New Roman" w:eastAsiaTheme="minorEastAsia" w:hAnsi="Times New Roman" w:hint="eastAsia"/>
        </w:rPr>
        <w:t>，矿区土壤也未发生盐化。</w:t>
      </w:r>
      <w:r>
        <w:rPr>
          <w:rFonts w:ascii="Times New Roman" w:eastAsiaTheme="minorEastAsia" w:hAnsi="Times New Roman"/>
        </w:rPr>
        <w:t>因此，规划矿井开发后土壤盐化情况基本未变化，对土壤环境的影响较小。</w:t>
      </w:r>
    </w:p>
    <w:p w14:paraId="29519588" w14:textId="77777777" w:rsidR="009C353B" w:rsidRDefault="00000000">
      <w:pPr>
        <w:pStyle w:val="2"/>
        <w:snapToGrid w:val="0"/>
        <w:spacing w:before="320" w:after="240" w:line="440" w:lineRule="atLeast"/>
        <w:rPr>
          <w:rFonts w:ascii="Times New Roman" w:eastAsia="宋体" w:hAnsi="Times New Roman"/>
          <w:b/>
          <w:sz w:val="28"/>
        </w:rPr>
      </w:pPr>
      <w:bookmarkStart w:id="273" w:name="_Toc59189853"/>
      <w:r>
        <w:rPr>
          <w:rFonts w:ascii="Times New Roman" w:eastAsia="宋体" w:hAnsi="Times New Roman"/>
          <w:b/>
          <w:sz w:val="28"/>
        </w:rPr>
        <w:t xml:space="preserve">6.8 </w:t>
      </w:r>
      <w:r>
        <w:rPr>
          <w:rFonts w:ascii="Times New Roman" w:eastAsia="宋体" w:hAnsi="Times New Roman"/>
          <w:b/>
          <w:sz w:val="28"/>
        </w:rPr>
        <w:t>对</w:t>
      </w:r>
      <w:r>
        <w:rPr>
          <w:rFonts w:ascii="Times New Roman" w:eastAsia="宋体" w:hAnsi="Times New Roman" w:hint="eastAsia"/>
          <w:b/>
          <w:sz w:val="28"/>
        </w:rPr>
        <w:t>宁夏灵武白芨滩</w:t>
      </w:r>
      <w:r>
        <w:rPr>
          <w:rFonts w:ascii="Times New Roman" w:eastAsia="宋体" w:hAnsi="Times New Roman"/>
          <w:b/>
          <w:sz w:val="28"/>
        </w:rPr>
        <w:t>自然保护区的影响</w:t>
      </w:r>
      <w:r>
        <w:rPr>
          <w:rFonts w:ascii="Times New Roman" w:eastAsia="宋体" w:hAnsi="Times New Roman" w:hint="eastAsia"/>
          <w:b/>
          <w:sz w:val="28"/>
        </w:rPr>
        <w:t>评价</w:t>
      </w:r>
      <w:bookmarkEnd w:id="273"/>
    </w:p>
    <w:p w14:paraId="39E23A6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根据保护对象，依据《自然保护区类型与级别划分原则》（</w:t>
      </w:r>
      <w:r>
        <w:rPr>
          <w:rFonts w:ascii="Times New Roman"/>
        </w:rPr>
        <w:t>GB/T 14529-93</w:t>
      </w:r>
      <w:r>
        <w:rPr>
          <w:rFonts w:ascii="Times New Roman" w:hint="eastAsia"/>
        </w:rPr>
        <w:t>），宁夏灵武白芨滩国家级自然保护区（以下简称白芨滩保护区）属“自然生态系统类别”中的“荒漠生态系统类型”的国家级自然保护区。是以保护我国自然保护区中面积最大的天然柠条、猫头刺、沙冬青植物群落，珍稀濒危动植物和极端脆弱的荒漠生态系统及黄河上中游的生态环境为宗旨，集资源保护、科学研究、生态旅游于一体的自然保护区。</w:t>
      </w:r>
    </w:p>
    <w:p w14:paraId="36E66904"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6.8.1 </w:t>
      </w:r>
      <w:r>
        <w:rPr>
          <w:rFonts w:ascii="Times New Roman" w:hAnsi="Times New Roman"/>
          <w:sz w:val="24"/>
        </w:rPr>
        <w:t>地理位置</w:t>
      </w:r>
    </w:p>
    <w:p w14:paraId="405786C2"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白芨滩自然保护区地处宁夏回族自治区灵武市东部宁蒙边界处的鄂尔多斯台地，属荒漠类型生态系统自然保护区，面积约占灵武市总面积的</w:t>
      </w:r>
      <w:r>
        <w:rPr>
          <w:rFonts w:ascii="Times New Roman"/>
        </w:rPr>
        <w:t xml:space="preserve"> 1/4</w:t>
      </w:r>
      <w:r>
        <w:rPr>
          <w:rFonts w:ascii="Times New Roman"/>
        </w:rPr>
        <w:t>，地理坐标</w:t>
      </w:r>
      <w:r>
        <w:rPr>
          <w:rFonts w:ascii="Times New Roman" w:hint="eastAsia"/>
        </w:rPr>
        <w:t>位于北纬</w:t>
      </w:r>
      <w:r>
        <w:rPr>
          <w:rFonts w:ascii="Times New Roman"/>
        </w:rPr>
        <w:t xml:space="preserve"> 106</w:t>
      </w:r>
      <w:r>
        <w:rPr>
          <w:rFonts w:ascii="Times New Roman"/>
        </w:rPr>
        <w:t>°</w:t>
      </w:r>
      <w:r>
        <w:rPr>
          <w:rFonts w:ascii="Times New Roman"/>
        </w:rPr>
        <w:t>20</w:t>
      </w:r>
      <w:r>
        <w:rPr>
          <w:rFonts w:ascii="Times New Roman"/>
        </w:rPr>
        <w:t>′</w:t>
      </w:r>
      <w:r>
        <w:rPr>
          <w:rFonts w:ascii="Times New Roman"/>
        </w:rPr>
        <w:t>22"</w:t>
      </w:r>
      <w:r>
        <w:rPr>
          <w:rFonts w:ascii="Times New Roman"/>
        </w:rPr>
        <w:t>—</w:t>
      </w:r>
      <w:r>
        <w:rPr>
          <w:rFonts w:ascii="Times New Roman"/>
        </w:rPr>
        <w:t>106</w:t>
      </w:r>
      <w:r>
        <w:rPr>
          <w:rFonts w:ascii="Times New Roman"/>
        </w:rPr>
        <w:t>°</w:t>
      </w:r>
      <w:r>
        <w:rPr>
          <w:rFonts w:ascii="Times New Roman"/>
        </w:rPr>
        <w:t>37</w:t>
      </w:r>
      <w:r>
        <w:rPr>
          <w:rFonts w:ascii="Times New Roman"/>
        </w:rPr>
        <w:t>′</w:t>
      </w:r>
      <w:r>
        <w:rPr>
          <w:rFonts w:ascii="Times New Roman"/>
        </w:rPr>
        <w:t>19"</w:t>
      </w:r>
      <w:r>
        <w:rPr>
          <w:rFonts w:ascii="Times New Roman"/>
        </w:rPr>
        <w:t>，东经</w:t>
      </w:r>
      <w:r>
        <w:rPr>
          <w:rFonts w:ascii="Times New Roman"/>
        </w:rPr>
        <w:t xml:space="preserve"> 37</w:t>
      </w:r>
      <w:r>
        <w:rPr>
          <w:rFonts w:ascii="Times New Roman"/>
        </w:rPr>
        <w:t>°</w:t>
      </w:r>
      <w:r>
        <w:rPr>
          <w:rFonts w:ascii="Times New Roman"/>
        </w:rPr>
        <w:t>49</w:t>
      </w:r>
      <w:r>
        <w:rPr>
          <w:rFonts w:ascii="Times New Roman"/>
        </w:rPr>
        <w:t>′</w:t>
      </w:r>
      <w:r>
        <w:rPr>
          <w:rFonts w:ascii="Times New Roman"/>
        </w:rPr>
        <w:t>05"</w:t>
      </w:r>
      <w:r>
        <w:rPr>
          <w:rFonts w:ascii="Times New Roman"/>
        </w:rPr>
        <w:t>—</w:t>
      </w:r>
      <w:r>
        <w:rPr>
          <w:rFonts w:ascii="Times New Roman"/>
        </w:rPr>
        <w:t>38</w:t>
      </w:r>
      <w:r>
        <w:rPr>
          <w:rFonts w:ascii="Times New Roman"/>
        </w:rPr>
        <w:t>°</w:t>
      </w:r>
      <w:r>
        <w:rPr>
          <w:rFonts w:ascii="Times New Roman"/>
        </w:rPr>
        <w:t>20</w:t>
      </w:r>
      <w:r>
        <w:rPr>
          <w:rFonts w:ascii="Times New Roman"/>
        </w:rPr>
        <w:t>′</w:t>
      </w:r>
      <w:r>
        <w:rPr>
          <w:rFonts w:ascii="Times New Roman"/>
        </w:rPr>
        <w:t>54"</w:t>
      </w:r>
      <w:r>
        <w:rPr>
          <w:rFonts w:ascii="Times New Roman"/>
        </w:rPr>
        <w:t>。南北长</w:t>
      </w:r>
      <w:r>
        <w:rPr>
          <w:rFonts w:ascii="Times New Roman"/>
        </w:rPr>
        <w:t xml:space="preserve"> 61km</w:t>
      </w:r>
      <w:r>
        <w:rPr>
          <w:rFonts w:ascii="Times New Roman"/>
        </w:rPr>
        <w:t>，</w:t>
      </w:r>
      <w:r>
        <w:rPr>
          <w:rFonts w:ascii="Times New Roman"/>
        </w:rPr>
        <w:t xml:space="preserve"> </w:t>
      </w:r>
      <w:r>
        <w:rPr>
          <w:rFonts w:ascii="Times New Roman"/>
        </w:rPr>
        <w:t>东西宽</w:t>
      </w:r>
      <w:r>
        <w:rPr>
          <w:rFonts w:ascii="Times New Roman"/>
        </w:rPr>
        <w:t xml:space="preserve"> 21km</w:t>
      </w:r>
      <w:r>
        <w:rPr>
          <w:rFonts w:ascii="Times New Roman"/>
        </w:rPr>
        <w:t>，保护区</w:t>
      </w:r>
      <w:r>
        <w:rPr>
          <w:rFonts w:ascii="Times New Roman" w:hint="eastAsia"/>
        </w:rPr>
        <w:t>总</w:t>
      </w:r>
      <w:r>
        <w:rPr>
          <w:rFonts w:ascii="Times New Roman"/>
        </w:rPr>
        <w:t>面积为</w:t>
      </w:r>
      <w:r>
        <w:rPr>
          <w:rFonts w:ascii="Times New Roman"/>
        </w:rPr>
        <w:t xml:space="preserve"> 70921hm</w:t>
      </w:r>
      <w:r>
        <w:rPr>
          <w:rFonts w:ascii="Times New Roman"/>
          <w:vertAlign w:val="superscript"/>
        </w:rPr>
        <w:t>2</w:t>
      </w:r>
      <w:r>
        <w:rPr>
          <w:rFonts w:ascii="Times New Roman"/>
        </w:rPr>
        <w:t>，</w:t>
      </w:r>
      <w:r>
        <w:rPr>
          <w:rFonts w:ascii="Times New Roman" w:hint="eastAsia"/>
        </w:rPr>
        <w:t>其中核心区</w:t>
      </w:r>
      <w:r>
        <w:rPr>
          <w:rFonts w:ascii="Times New Roman"/>
        </w:rPr>
        <w:t>31318hm</w:t>
      </w:r>
      <w:r>
        <w:rPr>
          <w:rFonts w:ascii="Times New Roman"/>
          <w:vertAlign w:val="superscript"/>
        </w:rPr>
        <w:t>2</w:t>
      </w:r>
      <w:r>
        <w:rPr>
          <w:rFonts w:ascii="Times New Roman" w:hint="eastAsia"/>
        </w:rPr>
        <w:t>，缓冲区</w:t>
      </w:r>
      <w:r>
        <w:rPr>
          <w:rFonts w:ascii="Times New Roman"/>
        </w:rPr>
        <w:t>18606hm</w:t>
      </w:r>
      <w:r>
        <w:rPr>
          <w:rFonts w:ascii="Times New Roman"/>
          <w:vertAlign w:val="superscript"/>
        </w:rPr>
        <w:t>2</w:t>
      </w:r>
      <w:r>
        <w:rPr>
          <w:rFonts w:ascii="Times New Roman" w:hint="eastAsia"/>
        </w:rPr>
        <w:t>，实验区</w:t>
      </w:r>
      <w:r>
        <w:rPr>
          <w:rFonts w:ascii="Times New Roman"/>
        </w:rPr>
        <w:t>24919 hm</w:t>
      </w:r>
      <w:r>
        <w:rPr>
          <w:rFonts w:ascii="Times New Roman"/>
          <w:vertAlign w:val="superscript"/>
        </w:rPr>
        <w:t>2</w:t>
      </w:r>
      <w:r>
        <w:rPr>
          <w:rFonts w:ascii="Times New Roman" w:hint="eastAsia"/>
        </w:rPr>
        <w:t>。</w:t>
      </w:r>
    </w:p>
    <w:p w14:paraId="78D9A52D"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6.8.2 </w:t>
      </w:r>
      <w:r>
        <w:rPr>
          <w:rFonts w:ascii="Times New Roman" w:hAnsi="Times New Roman" w:hint="eastAsia"/>
          <w:sz w:val="24"/>
        </w:rPr>
        <w:t>地形地貌</w:t>
      </w:r>
    </w:p>
    <w:p w14:paraId="50A2B45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白芨滩保护区地势东高西低，沟水均向西流入黄河；地貌有低山地貌、缓坡地貌、沙漠低山丘陵地貌</w:t>
      </w:r>
      <w:r>
        <w:rPr>
          <w:rFonts w:ascii="Times New Roman"/>
        </w:rPr>
        <w:t xml:space="preserve">3 </w:t>
      </w:r>
      <w:r>
        <w:rPr>
          <w:rFonts w:ascii="Times New Roman" w:hint="eastAsia"/>
        </w:rPr>
        <w:t>种类型，海拔为</w:t>
      </w:r>
      <w:r>
        <w:rPr>
          <w:rFonts w:ascii="Times New Roman"/>
        </w:rPr>
        <w:t>1150m</w:t>
      </w:r>
      <w:r>
        <w:rPr>
          <w:rFonts w:ascii="Times New Roman" w:hint="eastAsia"/>
        </w:rPr>
        <w:t>～</w:t>
      </w:r>
      <w:r>
        <w:rPr>
          <w:rFonts w:ascii="Times New Roman"/>
        </w:rPr>
        <w:t>1650m</w:t>
      </w:r>
      <w:r>
        <w:rPr>
          <w:rFonts w:ascii="Times New Roman" w:hint="eastAsia"/>
        </w:rPr>
        <w:t>。</w:t>
      </w:r>
      <w:r>
        <w:rPr>
          <w:rFonts w:ascii="Times New Roman"/>
        </w:rPr>
        <w:t>保护区集中分布有干旱沙地、干草原和</w:t>
      </w:r>
      <w:r>
        <w:rPr>
          <w:rFonts w:ascii="Times New Roman" w:hint="eastAsia"/>
        </w:rPr>
        <w:t>流动沙丘等独特的荒漠地貌景观。</w:t>
      </w:r>
    </w:p>
    <w:p w14:paraId="0CED7DB2"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6</w:t>
      </w:r>
      <w:r>
        <w:rPr>
          <w:rFonts w:ascii="Times New Roman" w:hAnsi="Times New Roman"/>
          <w:sz w:val="24"/>
        </w:rPr>
        <w:t>.</w:t>
      </w:r>
      <w:r>
        <w:rPr>
          <w:rFonts w:ascii="Times New Roman" w:hAnsi="Times New Roman" w:hint="eastAsia"/>
          <w:sz w:val="24"/>
        </w:rPr>
        <w:t>8</w:t>
      </w:r>
      <w:r>
        <w:rPr>
          <w:rFonts w:ascii="Times New Roman" w:hAnsi="Times New Roman"/>
          <w:sz w:val="24"/>
        </w:rPr>
        <w:t xml:space="preserve">.3 </w:t>
      </w:r>
      <w:r>
        <w:rPr>
          <w:rFonts w:ascii="Times New Roman" w:hAnsi="Times New Roman"/>
          <w:sz w:val="24"/>
        </w:rPr>
        <w:t>水文</w:t>
      </w:r>
    </w:p>
    <w:p w14:paraId="0DFBD47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）地下水</w:t>
      </w:r>
      <w:r>
        <w:rPr>
          <w:rFonts w:ascii="Times New Roman"/>
        </w:rPr>
        <w:t xml:space="preserve"> </w:t>
      </w:r>
    </w:p>
    <w:p w14:paraId="1112483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白芨滩保护区总体上属水源匮乏区，区域水源补给主要是大气降水。地下水主要是埋藏在其中的潜水，类型主要是基岩裂隙孔隙水带、碎屑岩裂隙孔隙水带。该地区潜水的聚集和贮存条件极差，地下水一般在丘陵中的沟整、洼地及大面积沙带中有少量分布。每年汛期，由于降水强度较大，在沟壑、洼地的水源较为丰富，尤其是雨量集中的时候，其间表土层易出现含水饱和，下渗量小于降水量，陆地表面则出现径流，形成山洪。</w:t>
      </w:r>
      <w:r>
        <w:rPr>
          <w:rFonts w:ascii="Times New Roman"/>
        </w:rPr>
        <w:t xml:space="preserve"> </w:t>
      </w:r>
    </w:p>
    <w:p w14:paraId="056983A2"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据水文地质调查资料，该区域局部地区地下水储量相对较为丰富，但大部分区域地下水储量不丰富，深层水有待进一步勘察，大部分水质较差，矿化度较高，目前打井主要是供人畜饮用和小型灌溉。</w:t>
      </w:r>
      <w:r>
        <w:rPr>
          <w:rFonts w:ascii="Times New Roman"/>
        </w:rPr>
        <w:t xml:space="preserve"> </w:t>
      </w:r>
    </w:p>
    <w:p w14:paraId="3BEB97E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2</w:t>
      </w:r>
      <w:r>
        <w:rPr>
          <w:rFonts w:ascii="Times New Roman" w:hint="eastAsia"/>
        </w:rPr>
        <w:t>）地表水</w:t>
      </w:r>
      <w:r>
        <w:rPr>
          <w:rFonts w:ascii="Times New Roman"/>
        </w:rPr>
        <w:t xml:space="preserve"> </w:t>
      </w:r>
    </w:p>
    <w:p w14:paraId="583009C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该区域地表水很少，属于自治区严重缺水区。河流主要有苦水河、大河子沟和长城边沟。该区境内湖泊较少，主要有鸳鸯湖、圆疙瘩湖、大小海子湖等，目前大部分时间干涸，鸳鸯湖、大小海子湖雨季还可清晰看到两湖依在。保护区内主要水蚀冲沟有长城边沟、大河子沟、二道沟、庙梁子沟、长流水沟。其中以</w:t>
      </w:r>
      <w:r>
        <w:rPr>
          <w:rFonts w:ascii="Times New Roman"/>
        </w:rPr>
        <w:t xml:space="preserve"> 307 </w:t>
      </w:r>
      <w:r>
        <w:rPr>
          <w:rFonts w:ascii="Times New Roman"/>
        </w:rPr>
        <w:t>国道北，马鞍山为主峰的低山丘陵区水土流失较重。季节性水蚀</w:t>
      </w:r>
      <w:r>
        <w:rPr>
          <w:rFonts w:ascii="Times New Roman" w:hint="eastAsia"/>
        </w:rPr>
        <w:t>冲沟还有：泽沟、庆沟、红柳湾沟、偷牛沟，胶泥沟等。这些沟主要由于离黄河较近，汛期山洪携带大量泥沙直接注入黄河。</w:t>
      </w:r>
    </w:p>
    <w:p w14:paraId="45F51235"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6.8</w:t>
      </w:r>
      <w:r>
        <w:rPr>
          <w:rFonts w:ascii="Times New Roman" w:hAnsi="Times New Roman"/>
          <w:sz w:val="24"/>
        </w:rPr>
        <w:t xml:space="preserve">.4 </w:t>
      </w:r>
      <w:r>
        <w:rPr>
          <w:rFonts w:ascii="Times New Roman" w:hAnsi="Times New Roman" w:hint="eastAsia"/>
          <w:sz w:val="24"/>
        </w:rPr>
        <w:t>功能区划</w:t>
      </w:r>
    </w:p>
    <w:p w14:paraId="65C8441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白芨滩保护区划分为核心区、缓冲区和实验区。根据“国务院办公厅关于调整辽宁丹东鸭绿江口湿地等</w:t>
      </w:r>
      <w:r>
        <w:rPr>
          <w:rFonts w:ascii="Times New Roman"/>
        </w:rPr>
        <w:t xml:space="preserve"> 4 </w:t>
      </w:r>
      <w:r>
        <w:rPr>
          <w:rFonts w:ascii="Times New Roman"/>
        </w:rPr>
        <w:t>处国家级自然保护</w:t>
      </w:r>
      <w:r>
        <w:rPr>
          <w:rFonts w:ascii="Times New Roman" w:hint="eastAsia"/>
        </w:rPr>
        <w:t>区的通知”（国办函</w:t>
      </w:r>
      <w:r>
        <w:rPr>
          <w:rFonts w:ascii="Times New Roman"/>
        </w:rPr>
        <w:t>〔</w:t>
      </w:r>
      <w:r>
        <w:rPr>
          <w:rFonts w:ascii="Times New Roman"/>
        </w:rPr>
        <w:t>2012</w:t>
      </w:r>
      <w:r>
        <w:rPr>
          <w:rFonts w:ascii="Times New Roman"/>
        </w:rPr>
        <w:t>〕</w:t>
      </w:r>
      <w:r>
        <w:rPr>
          <w:rFonts w:ascii="Times New Roman"/>
        </w:rPr>
        <w:t xml:space="preserve">153 </w:t>
      </w:r>
      <w:r>
        <w:rPr>
          <w:rFonts w:ascii="Times New Roman"/>
        </w:rPr>
        <w:t>号）及“关于发布河北大海陀等</w:t>
      </w:r>
      <w:r>
        <w:rPr>
          <w:rFonts w:ascii="Times New Roman"/>
        </w:rPr>
        <w:t xml:space="preserve"> 28 </w:t>
      </w:r>
      <w:r>
        <w:rPr>
          <w:rFonts w:ascii="Times New Roman"/>
        </w:rPr>
        <w:t>处国家级自然保</w:t>
      </w:r>
      <w:r>
        <w:rPr>
          <w:rFonts w:ascii="Times New Roman" w:hint="eastAsia"/>
        </w:rPr>
        <w:t>护区面积、范围及功能区划的通知”（环函〔</w:t>
      </w:r>
      <w:r>
        <w:rPr>
          <w:rFonts w:ascii="Times New Roman"/>
        </w:rPr>
        <w:t>2013</w:t>
      </w:r>
      <w:r>
        <w:rPr>
          <w:rFonts w:ascii="Times New Roman"/>
        </w:rPr>
        <w:t>〕</w:t>
      </w:r>
      <w:r>
        <w:rPr>
          <w:rFonts w:ascii="Times New Roman"/>
        </w:rPr>
        <w:t xml:space="preserve">161 </w:t>
      </w:r>
      <w:r>
        <w:rPr>
          <w:rFonts w:ascii="Times New Roman"/>
        </w:rPr>
        <w:t>号），宁夏灵武白芨滩国</w:t>
      </w:r>
      <w:r>
        <w:rPr>
          <w:rFonts w:ascii="Times New Roman" w:hint="eastAsia"/>
        </w:rPr>
        <w:t>家级自然保护区总面积</w:t>
      </w:r>
      <w:r>
        <w:rPr>
          <w:rFonts w:ascii="Times New Roman"/>
        </w:rPr>
        <w:t xml:space="preserve"> 70921hm</w:t>
      </w:r>
      <w:r>
        <w:rPr>
          <w:rFonts w:ascii="Times New Roman"/>
        </w:rPr>
        <w:t>²，保护区功能区划分为核心区、缓冲区和实验</w:t>
      </w:r>
      <w:r>
        <w:rPr>
          <w:rFonts w:ascii="Times New Roman" w:hint="eastAsia"/>
        </w:rPr>
        <w:t>区。其中，核心区</w:t>
      </w:r>
      <w:r>
        <w:rPr>
          <w:rFonts w:ascii="Times New Roman"/>
        </w:rPr>
        <w:t xml:space="preserve"> 31318hm</w:t>
      </w:r>
      <w:r>
        <w:rPr>
          <w:rFonts w:ascii="Times New Roman"/>
        </w:rPr>
        <w:t>²，占保护区总面积的</w:t>
      </w:r>
      <w:r>
        <w:rPr>
          <w:rFonts w:ascii="Times New Roman"/>
        </w:rPr>
        <w:t xml:space="preserve"> 44.</w:t>
      </w:r>
      <w:r>
        <w:rPr>
          <w:rFonts w:ascii="Times New Roman" w:hint="eastAsia"/>
        </w:rPr>
        <w:t>2</w:t>
      </w:r>
      <w:r>
        <w:rPr>
          <w:rFonts w:ascii="Times New Roman"/>
        </w:rPr>
        <w:t>%</w:t>
      </w:r>
      <w:r>
        <w:rPr>
          <w:rFonts w:ascii="Times New Roman"/>
        </w:rPr>
        <w:t>；缓冲区</w:t>
      </w:r>
      <w:r>
        <w:rPr>
          <w:rFonts w:ascii="Times New Roman"/>
        </w:rPr>
        <w:t xml:space="preserve"> 18606hm</w:t>
      </w:r>
      <w:r>
        <w:rPr>
          <w:rFonts w:ascii="Times New Roman"/>
        </w:rPr>
        <w:t>²，占</w:t>
      </w:r>
      <w:r>
        <w:rPr>
          <w:rFonts w:ascii="Times New Roman"/>
        </w:rPr>
        <w:t>26.2%</w:t>
      </w:r>
      <w:r>
        <w:rPr>
          <w:rFonts w:ascii="Times New Roman"/>
        </w:rPr>
        <w:t>；实验区</w:t>
      </w:r>
      <w:r>
        <w:rPr>
          <w:rFonts w:ascii="Times New Roman"/>
        </w:rPr>
        <w:t xml:space="preserve"> 20997hm</w:t>
      </w:r>
      <w:r>
        <w:rPr>
          <w:rFonts w:ascii="Times New Roman"/>
        </w:rPr>
        <w:t>²，占</w:t>
      </w:r>
      <w:r>
        <w:rPr>
          <w:rFonts w:ascii="Times New Roman"/>
        </w:rPr>
        <w:t xml:space="preserve"> 29.6%</w:t>
      </w:r>
      <w:r>
        <w:rPr>
          <w:rFonts w:ascii="Times New Roman"/>
        </w:rPr>
        <w:t>。</w:t>
      </w:r>
      <w:r>
        <w:rPr>
          <w:rFonts w:ascii="Times New Roman" w:hint="eastAsia"/>
        </w:rPr>
        <w:t>保护区功能区划见图</w:t>
      </w:r>
      <w:r>
        <w:rPr>
          <w:rFonts w:ascii="Times New Roman" w:hint="eastAsia"/>
        </w:rPr>
        <w:t>1.8-3</w:t>
      </w:r>
      <w:r>
        <w:rPr>
          <w:rFonts w:ascii="Times New Roman" w:hint="eastAsia"/>
        </w:rPr>
        <w:t>。</w:t>
      </w:r>
    </w:p>
    <w:p w14:paraId="4EE8C8B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1</w:t>
      </w:r>
      <w:r>
        <w:rPr>
          <w:rFonts w:ascii="Times New Roman"/>
        </w:rPr>
        <w:t>）核心区范围：</w:t>
      </w:r>
      <w:r>
        <w:rPr>
          <w:rFonts w:ascii="Times New Roman"/>
        </w:rPr>
        <w:t xml:space="preserve"> </w:t>
      </w:r>
    </w:p>
    <w:p w14:paraId="536A2F8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北部猫头刺群落荒漠核心区：</w:t>
      </w:r>
      <w:r>
        <w:rPr>
          <w:rFonts w:ascii="Times New Roman"/>
        </w:rPr>
        <w:t>该核心区内植被以猫头刺为</w:t>
      </w:r>
      <w:r>
        <w:rPr>
          <w:rFonts w:ascii="Times New Roman" w:hint="eastAsia"/>
        </w:rPr>
        <w:t>主，该片核心区面积为</w:t>
      </w:r>
      <w:r>
        <w:rPr>
          <w:rFonts w:ascii="Times New Roman"/>
        </w:rPr>
        <w:t xml:space="preserve"> 10687 hm</w:t>
      </w:r>
      <w:r>
        <w:rPr>
          <w:rFonts w:ascii="Times New Roman"/>
        </w:rPr>
        <w:t>²。</w:t>
      </w:r>
      <w:r>
        <w:rPr>
          <w:rFonts w:ascii="Times New Roman" w:hint="eastAsia"/>
        </w:rPr>
        <w:t>中部柠条群落荒漠核心区：该片核心区面积为</w:t>
      </w:r>
      <w:r>
        <w:rPr>
          <w:rFonts w:ascii="Times New Roman"/>
        </w:rPr>
        <w:t xml:space="preserve"> 15333 hm</w:t>
      </w:r>
      <w:r>
        <w:rPr>
          <w:rFonts w:ascii="Times New Roman"/>
        </w:rPr>
        <w:t>²。</w:t>
      </w:r>
      <w:r>
        <w:rPr>
          <w:rFonts w:ascii="Times New Roman" w:hint="eastAsia"/>
        </w:rPr>
        <w:t>南部猫头刺—沙冬青荒漠核心区：</w:t>
      </w:r>
      <w:r>
        <w:rPr>
          <w:rFonts w:ascii="Times New Roman"/>
        </w:rPr>
        <w:t>该片核心区面积为</w:t>
      </w:r>
      <w:r>
        <w:rPr>
          <w:rFonts w:ascii="Times New Roman"/>
        </w:rPr>
        <w:t xml:space="preserve"> 5298 hm</w:t>
      </w:r>
      <w:r>
        <w:rPr>
          <w:rFonts w:ascii="Times New Roman"/>
        </w:rPr>
        <w:t>²。</w:t>
      </w:r>
      <w:r>
        <w:rPr>
          <w:rFonts w:ascii="Times New Roman"/>
        </w:rPr>
        <w:t xml:space="preserve"> </w:t>
      </w:r>
    </w:p>
    <w:p w14:paraId="2BAE870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以上三片核心区面积合计为</w:t>
      </w:r>
      <w:r>
        <w:rPr>
          <w:rFonts w:ascii="Times New Roman"/>
        </w:rPr>
        <w:t xml:space="preserve"> 31318hm</w:t>
      </w:r>
      <w:r>
        <w:rPr>
          <w:rFonts w:ascii="Times New Roman"/>
        </w:rPr>
        <w:t>²，占保护区总面积的</w:t>
      </w:r>
      <w:r>
        <w:rPr>
          <w:rFonts w:ascii="Times New Roman"/>
        </w:rPr>
        <w:t xml:space="preserve"> 44.</w:t>
      </w:r>
      <w:r>
        <w:rPr>
          <w:rFonts w:ascii="Times New Roman" w:hint="eastAsia"/>
        </w:rPr>
        <w:t>2</w:t>
      </w:r>
      <w:r>
        <w:rPr>
          <w:rFonts w:ascii="Times New Roman"/>
        </w:rPr>
        <w:t>%</w:t>
      </w:r>
      <w:r>
        <w:rPr>
          <w:rFonts w:ascii="Times New Roman"/>
        </w:rPr>
        <w:t>。</w:t>
      </w:r>
      <w:r>
        <w:rPr>
          <w:rFonts w:ascii="Times New Roman"/>
        </w:rPr>
        <w:t xml:space="preserve"> </w:t>
      </w:r>
    </w:p>
    <w:p w14:paraId="617F768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2</w:t>
      </w:r>
      <w:r>
        <w:rPr>
          <w:rFonts w:ascii="Times New Roman"/>
        </w:rPr>
        <w:t>）缓冲区范围</w:t>
      </w:r>
      <w:r>
        <w:rPr>
          <w:rFonts w:ascii="Times New Roman"/>
        </w:rPr>
        <w:t xml:space="preserve"> </w:t>
      </w:r>
    </w:p>
    <w:p w14:paraId="71F3087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北部缓冲区：里界是核心区界，外界的西界介于保护区大界与核心区西界之间，该片缓冲区面积为</w:t>
      </w:r>
      <w:r>
        <w:rPr>
          <w:rFonts w:ascii="Times New Roman"/>
        </w:rPr>
        <w:t xml:space="preserve"> 6764 hm</w:t>
      </w:r>
      <w:r>
        <w:rPr>
          <w:rFonts w:ascii="Times New Roman"/>
        </w:rPr>
        <w:t>²。</w:t>
      </w:r>
      <w:r>
        <w:rPr>
          <w:rFonts w:ascii="Times New Roman" w:hint="eastAsia"/>
        </w:rPr>
        <w:t>中部缓冲区：里界是核心区界，外界起于苟求湖，该片缓冲区面积为</w:t>
      </w:r>
      <w:r>
        <w:rPr>
          <w:rFonts w:ascii="Times New Roman"/>
        </w:rPr>
        <w:t xml:space="preserve"> 6764 hm</w:t>
      </w:r>
      <w:r>
        <w:rPr>
          <w:rFonts w:ascii="Times New Roman"/>
        </w:rPr>
        <w:t>²。</w:t>
      </w:r>
      <w:r>
        <w:rPr>
          <w:rFonts w:ascii="Times New Roman" w:hint="eastAsia"/>
        </w:rPr>
        <w:t>南部缓冲区：里界是核心区外界，缓冲区南、东、西外界均为保护区边界，该片缓冲区面积为</w:t>
      </w:r>
      <w:r>
        <w:rPr>
          <w:rFonts w:ascii="Times New Roman"/>
        </w:rPr>
        <w:t xml:space="preserve"> 3562 hm</w:t>
      </w:r>
      <w:r>
        <w:rPr>
          <w:rFonts w:ascii="Times New Roman"/>
        </w:rPr>
        <w:t>²。</w:t>
      </w:r>
      <w:r>
        <w:rPr>
          <w:rFonts w:ascii="Times New Roman"/>
        </w:rPr>
        <w:t xml:space="preserve"> </w:t>
      </w:r>
    </w:p>
    <w:p w14:paraId="1398748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以上三片缓冲区面积合计为</w:t>
      </w:r>
      <w:r>
        <w:rPr>
          <w:rFonts w:ascii="Times New Roman"/>
        </w:rPr>
        <w:t xml:space="preserve"> 18606hm</w:t>
      </w:r>
      <w:r>
        <w:rPr>
          <w:rFonts w:ascii="Times New Roman"/>
        </w:rPr>
        <w:t>²，占保护区总面积的</w:t>
      </w:r>
      <w:r>
        <w:rPr>
          <w:rFonts w:ascii="Times New Roman"/>
        </w:rPr>
        <w:t xml:space="preserve"> </w:t>
      </w:r>
      <w:r>
        <w:rPr>
          <w:rFonts w:ascii="Times New Roman" w:hint="eastAsia"/>
        </w:rPr>
        <w:t>26.2</w:t>
      </w:r>
      <w:r>
        <w:rPr>
          <w:rFonts w:ascii="Times New Roman"/>
        </w:rPr>
        <w:t>%</w:t>
      </w:r>
      <w:r>
        <w:rPr>
          <w:rFonts w:ascii="Times New Roman"/>
        </w:rPr>
        <w:t>。</w:t>
      </w:r>
      <w:r>
        <w:rPr>
          <w:rFonts w:ascii="Times New Roman"/>
        </w:rPr>
        <w:t xml:space="preserve"> </w:t>
      </w:r>
    </w:p>
    <w:p w14:paraId="5ABB3AF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3</w:t>
      </w:r>
      <w:r>
        <w:rPr>
          <w:rFonts w:ascii="Times New Roman"/>
        </w:rPr>
        <w:t>）实验区范围</w:t>
      </w:r>
    </w:p>
    <w:p w14:paraId="5BD2842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保护区内核心区、缓冲区以外的区域划为实验区，由北、南两片区域组成，实验区里界是缓冲区外界，实验区外界为保护区大界。其中：北片实验区面积为</w:t>
      </w:r>
      <w:r>
        <w:rPr>
          <w:rFonts w:ascii="Times New Roman"/>
        </w:rPr>
        <w:t xml:space="preserve"> 3878hm</w:t>
      </w:r>
      <w:r>
        <w:rPr>
          <w:rFonts w:ascii="Times New Roman"/>
        </w:rPr>
        <w:t>²，南片实验区面积为</w:t>
      </w:r>
      <w:r>
        <w:rPr>
          <w:rFonts w:ascii="Times New Roman"/>
        </w:rPr>
        <w:t xml:space="preserve"> 17119hm</w:t>
      </w:r>
      <w:r>
        <w:rPr>
          <w:rFonts w:ascii="Times New Roman"/>
        </w:rPr>
        <w:t>²</w:t>
      </w:r>
      <w:r>
        <w:rPr>
          <w:rFonts w:ascii="Times New Roman" w:hint="eastAsia"/>
        </w:rPr>
        <w:t>。实验区总面积为</w:t>
      </w:r>
      <w:r>
        <w:rPr>
          <w:rFonts w:ascii="Times New Roman"/>
        </w:rPr>
        <w:t xml:space="preserve"> 20997hm</w:t>
      </w:r>
      <w:r>
        <w:rPr>
          <w:rFonts w:ascii="Times New Roman"/>
        </w:rPr>
        <w:t>²，占保护区总面积的</w:t>
      </w:r>
      <w:r>
        <w:rPr>
          <w:rFonts w:ascii="Times New Roman"/>
        </w:rPr>
        <w:t xml:space="preserve"> </w:t>
      </w:r>
      <w:r>
        <w:rPr>
          <w:rFonts w:ascii="Times New Roman" w:hint="eastAsia"/>
        </w:rPr>
        <w:t>29.6</w:t>
      </w:r>
      <w:r>
        <w:rPr>
          <w:rFonts w:ascii="Times New Roman"/>
        </w:rPr>
        <w:t>%</w:t>
      </w:r>
      <w:r>
        <w:rPr>
          <w:rFonts w:ascii="Times New Roman"/>
        </w:rPr>
        <w:t>。</w:t>
      </w:r>
    </w:p>
    <w:p w14:paraId="3624A542"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6.8</w:t>
      </w:r>
      <w:r>
        <w:rPr>
          <w:rFonts w:ascii="Times New Roman" w:hAnsi="Times New Roman"/>
          <w:sz w:val="24"/>
        </w:rPr>
        <w:t xml:space="preserve">.5 </w:t>
      </w:r>
      <w:r>
        <w:rPr>
          <w:rFonts w:ascii="Times New Roman" w:hAnsi="Times New Roman" w:hint="eastAsia"/>
          <w:sz w:val="24"/>
        </w:rPr>
        <w:t>保护区</w:t>
      </w:r>
      <w:r>
        <w:rPr>
          <w:rFonts w:ascii="Times New Roman" w:hAnsi="Times New Roman"/>
          <w:sz w:val="24"/>
        </w:rPr>
        <w:t>景观类型</w:t>
      </w:r>
    </w:p>
    <w:p w14:paraId="36E4ADB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白芨滩保护区具有独特的荒漠类型景观，有干旱山地、干草原、流动沙丘及固定和半固定沙丘；有我国面积最大的成片天然柠条群落，有西北地区面积最大的以猫头刺为建群种的荒漠类型区域。</w:t>
      </w:r>
    </w:p>
    <w:p w14:paraId="7DE83B89"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6.8.</w:t>
      </w:r>
      <w:r>
        <w:rPr>
          <w:rFonts w:ascii="Times New Roman" w:hAnsi="Times New Roman"/>
          <w:sz w:val="24"/>
        </w:rPr>
        <w:t xml:space="preserve">6 </w:t>
      </w:r>
      <w:r>
        <w:rPr>
          <w:rFonts w:ascii="Times New Roman" w:hAnsi="Times New Roman" w:hint="eastAsia"/>
          <w:sz w:val="24"/>
        </w:rPr>
        <w:t>主要保护对象</w:t>
      </w:r>
    </w:p>
    <w:p w14:paraId="5140E79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1</w:t>
      </w:r>
      <w:r>
        <w:rPr>
          <w:rFonts w:ascii="Times New Roman"/>
        </w:rPr>
        <w:t>）荒漠生态系统及其生物多样性</w:t>
      </w:r>
      <w:r>
        <w:rPr>
          <w:rFonts w:ascii="Times New Roman"/>
        </w:rPr>
        <w:t xml:space="preserve"> </w:t>
      </w:r>
    </w:p>
    <w:p w14:paraId="42023AC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）保护区内分布的</w:t>
      </w:r>
      <w:r>
        <w:rPr>
          <w:rFonts w:ascii="Times New Roman"/>
        </w:rPr>
        <w:t xml:space="preserve"> 1.73 </w:t>
      </w:r>
      <w:r>
        <w:rPr>
          <w:rFonts w:ascii="Times New Roman"/>
        </w:rPr>
        <w:t>万</w:t>
      </w:r>
      <w:r>
        <w:rPr>
          <w:rFonts w:ascii="Times New Roman"/>
        </w:rPr>
        <w:t xml:space="preserve"> hm</w:t>
      </w:r>
      <w:r>
        <w:rPr>
          <w:rFonts w:ascii="Times New Roman"/>
        </w:rPr>
        <w:t>²以柠条为主的天然灌木林，其面积之大、保存</w:t>
      </w:r>
      <w:r>
        <w:rPr>
          <w:rFonts w:ascii="Times New Roman" w:hint="eastAsia"/>
        </w:rPr>
        <w:t>之完好，非常罕见，是在我国天然柠条分布面积最大的灌木林地之一，得到了各级领导和专家、学者的高度重视，也引起了国内外有关方面的极大关注。</w:t>
      </w:r>
      <w:r>
        <w:rPr>
          <w:rFonts w:ascii="Times New Roman"/>
        </w:rPr>
        <w:t xml:space="preserve"> </w:t>
      </w:r>
    </w:p>
    <w:p w14:paraId="6A963F8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2</w:t>
      </w:r>
      <w:r>
        <w:rPr>
          <w:rFonts w:ascii="Times New Roman" w:hint="eastAsia"/>
        </w:rPr>
        <w:t>）保护区内分布的</w:t>
      </w:r>
      <w:r>
        <w:rPr>
          <w:rFonts w:ascii="Times New Roman"/>
        </w:rPr>
        <w:t xml:space="preserve"> 2 </w:t>
      </w:r>
      <w:r>
        <w:rPr>
          <w:rFonts w:ascii="Times New Roman"/>
        </w:rPr>
        <w:t>万公顷以猫头刺为主的小灌木荒漠生态系统，是国内已</w:t>
      </w:r>
      <w:r>
        <w:rPr>
          <w:rFonts w:ascii="Times New Roman" w:hint="eastAsia"/>
        </w:rPr>
        <w:t>建自然保护区中少有的一处。</w:t>
      </w:r>
      <w:r>
        <w:rPr>
          <w:rFonts w:ascii="Times New Roman"/>
        </w:rPr>
        <w:t xml:space="preserve"> </w:t>
      </w:r>
    </w:p>
    <w:p w14:paraId="211030A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3</w:t>
      </w:r>
      <w:r>
        <w:rPr>
          <w:rFonts w:ascii="Times New Roman" w:hint="eastAsia"/>
        </w:rPr>
        <w:t>）保护区内现有野生维管植物</w:t>
      </w:r>
      <w:r>
        <w:rPr>
          <w:rFonts w:ascii="Times New Roman"/>
        </w:rPr>
        <w:t xml:space="preserve"> 53 </w:t>
      </w:r>
      <w:r>
        <w:rPr>
          <w:rFonts w:ascii="Times New Roman"/>
        </w:rPr>
        <w:t>科</w:t>
      </w:r>
      <w:r>
        <w:rPr>
          <w:rFonts w:ascii="Times New Roman"/>
        </w:rPr>
        <w:t xml:space="preserve"> 170 </w:t>
      </w:r>
      <w:r>
        <w:rPr>
          <w:rFonts w:ascii="Times New Roman"/>
        </w:rPr>
        <w:t>属</w:t>
      </w:r>
      <w:r>
        <w:rPr>
          <w:rFonts w:ascii="Times New Roman"/>
        </w:rPr>
        <w:t xml:space="preserve"> 306 </w:t>
      </w:r>
      <w:r>
        <w:rPr>
          <w:rFonts w:ascii="Times New Roman"/>
        </w:rPr>
        <w:t>种。其中，蕨类植物只有</w:t>
      </w:r>
      <w:r>
        <w:rPr>
          <w:rFonts w:ascii="Times New Roman"/>
        </w:rPr>
        <w:t xml:space="preserve"> 1</w:t>
      </w:r>
      <w:r>
        <w:rPr>
          <w:rFonts w:ascii="Times New Roman" w:hint="eastAsia"/>
        </w:rPr>
        <w:t>科</w:t>
      </w:r>
      <w:r>
        <w:rPr>
          <w:rFonts w:ascii="Times New Roman"/>
        </w:rPr>
        <w:t xml:space="preserve"> 1 </w:t>
      </w:r>
      <w:r>
        <w:rPr>
          <w:rFonts w:ascii="Times New Roman"/>
        </w:rPr>
        <w:t>属</w:t>
      </w:r>
      <w:r>
        <w:rPr>
          <w:rFonts w:ascii="Times New Roman"/>
        </w:rPr>
        <w:t xml:space="preserve"> 3 </w:t>
      </w:r>
      <w:r>
        <w:rPr>
          <w:rFonts w:ascii="Times New Roman"/>
        </w:rPr>
        <w:t>种，种子植物</w:t>
      </w:r>
      <w:r>
        <w:rPr>
          <w:rFonts w:ascii="Times New Roman"/>
        </w:rPr>
        <w:t xml:space="preserve"> 52 </w:t>
      </w:r>
      <w:r>
        <w:rPr>
          <w:rFonts w:ascii="Times New Roman"/>
        </w:rPr>
        <w:t>科</w:t>
      </w:r>
      <w:r>
        <w:rPr>
          <w:rFonts w:ascii="Times New Roman"/>
        </w:rPr>
        <w:t xml:space="preserve"> 169 </w:t>
      </w:r>
      <w:r>
        <w:rPr>
          <w:rFonts w:ascii="Times New Roman"/>
        </w:rPr>
        <w:t>属</w:t>
      </w:r>
      <w:r>
        <w:rPr>
          <w:rFonts w:ascii="Times New Roman"/>
        </w:rPr>
        <w:t xml:space="preserve"> 303 </w:t>
      </w:r>
      <w:r>
        <w:rPr>
          <w:rFonts w:ascii="Times New Roman"/>
        </w:rPr>
        <w:t>种。种子植物中，裸子植物</w:t>
      </w:r>
      <w:r>
        <w:rPr>
          <w:rFonts w:ascii="Times New Roman"/>
        </w:rPr>
        <w:t xml:space="preserve"> 3 </w:t>
      </w:r>
      <w:r>
        <w:rPr>
          <w:rFonts w:ascii="Times New Roman"/>
        </w:rPr>
        <w:t>科</w:t>
      </w:r>
      <w:r>
        <w:rPr>
          <w:rFonts w:ascii="Times New Roman"/>
        </w:rPr>
        <w:t xml:space="preserve"> 6 </w:t>
      </w:r>
      <w:r>
        <w:rPr>
          <w:rFonts w:ascii="Times New Roman"/>
        </w:rPr>
        <w:t>属</w:t>
      </w:r>
      <w:r>
        <w:rPr>
          <w:rFonts w:ascii="Times New Roman"/>
        </w:rPr>
        <w:t xml:space="preserve"> 10</w:t>
      </w:r>
      <w:r>
        <w:rPr>
          <w:rFonts w:ascii="Times New Roman" w:hint="eastAsia"/>
        </w:rPr>
        <w:t>种；被子植物</w:t>
      </w:r>
      <w:r>
        <w:rPr>
          <w:rFonts w:ascii="Times New Roman"/>
        </w:rPr>
        <w:t xml:space="preserve"> 49 </w:t>
      </w:r>
      <w:r>
        <w:rPr>
          <w:rFonts w:ascii="Times New Roman"/>
        </w:rPr>
        <w:t>科</w:t>
      </w:r>
      <w:r>
        <w:rPr>
          <w:rFonts w:ascii="Times New Roman"/>
        </w:rPr>
        <w:t xml:space="preserve"> 163 </w:t>
      </w:r>
      <w:r>
        <w:rPr>
          <w:rFonts w:ascii="Times New Roman"/>
        </w:rPr>
        <w:t>属</w:t>
      </w:r>
      <w:r>
        <w:rPr>
          <w:rFonts w:ascii="Times New Roman"/>
        </w:rPr>
        <w:t xml:space="preserve"> 293 </w:t>
      </w:r>
      <w:r>
        <w:rPr>
          <w:rFonts w:ascii="Times New Roman"/>
        </w:rPr>
        <w:t>种。</w:t>
      </w:r>
      <w:r>
        <w:rPr>
          <w:rFonts w:ascii="Times New Roman"/>
        </w:rPr>
        <w:t xml:space="preserve"> </w:t>
      </w:r>
    </w:p>
    <w:p w14:paraId="052848C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4</w:t>
      </w:r>
      <w:r>
        <w:rPr>
          <w:rFonts w:ascii="Times New Roman" w:hint="eastAsia"/>
        </w:rPr>
        <w:t>）保护区内陆栖脊椎动物有</w:t>
      </w:r>
      <w:r>
        <w:rPr>
          <w:rFonts w:ascii="Times New Roman"/>
        </w:rPr>
        <w:t xml:space="preserve"> 23 </w:t>
      </w:r>
      <w:r>
        <w:rPr>
          <w:rFonts w:ascii="Times New Roman"/>
        </w:rPr>
        <w:t>目</w:t>
      </w:r>
      <w:r>
        <w:rPr>
          <w:rFonts w:ascii="Times New Roman"/>
        </w:rPr>
        <w:t xml:space="preserve"> 47 </w:t>
      </w:r>
      <w:r>
        <w:rPr>
          <w:rFonts w:ascii="Times New Roman"/>
        </w:rPr>
        <w:t>科</w:t>
      </w:r>
      <w:r>
        <w:rPr>
          <w:rFonts w:ascii="Times New Roman"/>
        </w:rPr>
        <w:t xml:space="preserve"> 115 </w:t>
      </w:r>
      <w:r>
        <w:rPr>
          <w:rFonts w:ascii="Times New Roman"/>
        </w:rPr>
        <w:t>种，占宁夏回族自治区野生动物</w:t>
      </w:r>
      <w:r>
        <w:rPr>
          <w:rFonts w:ascii="Times New Roman" w:hint="eastAsia"/>
        </w:rPr>
        <w:t>种数的</w:t>
      </w:r>
      <w:r>
        <w:rPr>
          <w:rFonts w:ascii="Times New Roman"/>
        </w:rPr>
        <w:t xml:space="preserve"> 43.3%</w:t>
      </w:r>
      <w:r>
        <w:rPr>
          <w:rFonts w:ascii="Times New Roman"/>
        </w:rPr>
        <w:t>。其中两栖类</w:t>
      </w:r>
      <w:r>
        <w:rPr>
          <w:rFonts w:ascii="Times New Roman"/>
        </w:rPr>
        <w:t xml:space="preserve"> 1 </w:t>
      </w:r>
      <w:r>
        <w:rPr>
          <w:rFonts w:ascii="Times New Roman"/>
        </w:rPr>
        <w:t>目</w:t>
      </w:r>
      <w:r>
        <w:rPr>
          <w:rFonts w:ascii="Times New Roman"/>
        </w:rPr>
        <w:t xml:space="preserve"> 2 </w:t>
      </w:r>
      <w:r>
        <w:rPr>
          <w:rFonts w:ascii="Times New Roman"/>
        </w:rPr>
        <w:t>科</w:t>
      </w:r>
      <w:r>
        <w:rPr>
          <w:rFonts w:ascii="Times New Roman"/>
        </w:rPr>
        <w:t xml:space="preserve"> 2 </w:t>
      </w:r>
      <w:r>
        <w:rPr>
          <w:rFonts w:ascii="Times New Roman"/>
        </w:rPr>
        <w:t>种，爬行类</w:t>
      </w:r>
      <w:r>
        <w:rPr>
          <w:rFonts w:ascii="Times New Roman"/>
        </w:rPr>
        <w:t xml:space="preserve"> 2 </w:t>
      </w:r>
      <w:r>
        <w:rPr>
          <w:rFonts w:ascii="Times New Roman"/>
        </w:rPr>
        <w:t>目</w:t>
      </w:r>
      <w:r>
        <w:rPr>
          <w:rFonts w:ascii="Times New Roman"/>
        </w:rPr>
        <w:t xml:space="preserve"> 3 </w:t>
      </w:r>
      <w:r>
        <w:rPr>
          <w:rFonts w:ascii="Times New Roman"/>
        </w:rPr>
        <w:t>科</w:t>
      </w:r>
      <w:r>
        <w:rPr>
          <w:rFonts w:ascii="Times New Roman"/>
        </w:rPr>
        <w:t xml:space="preserve"> 5 </w:t>
      </w:r>
      <w:r>
        <w:rPr>
          <w:rFonts w:ascii="Times New Roman"/>
        </w:rPr>
        <w:t>种，鸟类</w:t>
      </w:r>
      <w:r>
        <w:rPr>
          <w:rFonts w:ascii="Times New Roman"/>
        </w:rPr>
        <w:t xml:space="preserve"> 14 </w:t>
      </w:r>
      <w:r>
        <w:rPr>
          <w:rFonts w:ascii="Times New Roman"/>
        </w:rPr>
        <w:t>目</w:t>
      </w:r>
      <w:r>
        <w:rPr>
          <w:rFonts w:ascii="Times New Roman"/>
        </w:rPr>
        <w:t xml:space="preserve"> 28</w:t>
      </w:r>
      <w:r>
        <w:rPr>
          <w:rFonts w:ascii="Times New Roman" w:hint="eastAsia"/>
        </w:rPr>
        <w:t>科</w:t>
      </w:r>
      <w:r>
        <w:rPr>
          <w:rFonts w:ascii="Times New Roman"/>
        </w:rPr>
        <w:t xml:space="preserve"> 83 </w:t>
      </w:r>
      <w:r>
        <w:rPr>
          <w:rFonts w:ascii="Times New Roman"/>
        </w:rPr>
        <w:t>种，兽类</w:t>
      </w:r>
      <w:r>
        <w:rPr>
          <w:rFonts w:ascii="Times New Roman"/>
        </w:rPr>
        <w:t xml:space="preserve"> 6 </w:t>
      </w:r>
      <w:r>
        <w:rPr>
          <w:rFonts w:ascii="Times New Roman"/>
        </w:rPr>
        <w:t>目</w:t>
      </w:r>
      <w:r>
        <w:rPr>
          <w:rFonts w:ascii="Times New Roman"/>
        </w:rPr>
        <w:t xml:space="preserve"> 14 </w:t>
      </w:r>
      <w:r>
        <w:rPr>
          <w:rFonts w:ascii="Times New Roman"/>
        </w:rPr>
        <w:t>科</w:t>
      </w:r>
      <w:r>
        <w:rPr>
          <w:rFonts w:ascii="Times New Roman"/>
        </w:rPr>
        <w:t xml:space="preserve"> 25 </w:t>
      </w:r>
      <w:r>
        <w:rPr>
          <w:rFonts w:ascii="Times New Roman"/>
        </w:rPr>
        <w:t>种。另外，已查明的昆虫有</w:t>
      </w:r>
      <w:r>
        <w:rPr>
          <w:rFonts w:ascii="Times New Roman"/>
        </w:rPr>
        <w:t xml:space="preserve"> 10 </w:t>
      </w:r>
      <w:r>
        <w:rPr>
          <w:rFonts w:ascii="Times New Roman"/>
        </w:rPr>
        <w:t>目</w:t>
      </w:r>
      <w:r>
        <w:rPr>
          <w:rFonts w:ascii="Times New Roman"/>
        </w:rPr>
        <w:t xml:space="preserve"> 58 </w:t>
      </w:r>
      <w:r>
        <w:rPr>
          <w:rFonts w:ascii="Times New Roman"/>
        </w:rPr>
        <w:t>科</w:t>
      </w:r>
      <w:r>
        <w:rPr>
          <w:rFonts w:ascii="Times New Roman"/>
        </w:rPr>
        <w:t xml:space="preserve"> 217 </w:t>
      </w:r>
      <w:r>
        <w:rPr>
          <w:rFonts w:ascii="Times New Roman"/>
        </w:rPr>
        <w:t>种。</w:t>
      </w:r>
      <w:r>
        <w:rPr>
          <w:rFonts w:ascii="Times New Roman"/>
        </w:rPr>
        <w:t xml:space="preserve"> </w:t>
      </w:r>
    </w:p>
    <w:p w14:paraId="757B907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2</w:t>
      </w:r>
      <w:r>
        <w:rPr>
          <w:rFonts w:ascii="Times New Roman"/>
        </w:rPr>
        <w:t>）重点保护野生动植物资源</w:t>
      </w:r>
      <w:r>
        <w:rPr>
          <w:rFonts w:ascii="Times New Roman"/>
        </w:rPr>
        <w:t xml:space="preserve"> </w:t>
      </w:r>
    </w:p>
    <w:p w14:paraId="20611CB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）国家Ⅰ级保护野生植物发菜，国家Ⅱ级保护植物沙芦草；</w:t>
      </w:r>
      <w:r>
        <w:rPr>
          <w:rFonts w:ascii="Times New Roman"/>
        </w:rPr>
        <w:t xml:space="preserve"> </w:t>
      </w:r>
    </w:p>
    <w:p w14:paraId="48974E0E" w14:textId="77777777" w:rsidR="009C353B" w:rsidRDefault="00000000">
      <w:pPr>
        <w:adjustRightInd w:val="0"/>
        <w:snapToGrid w:val="0"/>
        <w:spacing w:line="440" w:lineRule="exact"/>
        <w:ind w:firstLineChars="200" w:firstLine="480"/>
        <w:rPr>
          <w:rFonts w:ascii="Times New Roman" w:hint="eastAsia"/>
        </w:rPr>
      </w:pPr>
      <w:r>
        <w:rPr>
          <w:rFonts w:ascii="Times New Roman"/>
        </w:rPr>
        <w:t>2</w:t>
      </w:r>
      <w:r>
        <w:rPr>
          <w:rFonts w:ascii="Times New Roman" w:hint="eastAsia"/>
        </w:rPr>
        <w:t>）国家Ⅰ级保护野生动物黑鹳、大鸨</w:t>
      </w:r>
      <w:r>
        <w:rPr>
          <w:rFonts w:ascii="Times New Roman"/>
        </w:rPr>
        <w:t xml:space="preserve"> 2 </w:t>
      </w:r>
      <w:r>
        <w:rPr>
          <w:rFonts w:ascii="Times New Roman"/>
        </w:rPr>
        <w:t>种，国家Ⅱ级保护动物鸢、大天鹅、</w:t>
      </w:r>
      <w:r>
        <w:rPr>
          <w:rFonts w:ascii="Times New Roman" w:hint="eastAsia"/>
        </w:rPr>
        <w:t>鸳鸯等</w:t>
      </w:r>
      <w:r>
        <w:rPr>
          <w:rFonts w:ascii="Times New Roman"/>
        </w:rPr>
        <w:t xml:space="preserve"> 20 </w:t>
      </w:r>
      <w:r>
        <w:rPr>
          <w:rFonts w:ascii="Times New Roman"/>
        </w:rPr>
        <w:t>种；</w:t>
      </w:r>
      <w:r>
        <w:rPr>
          <w:rFonts w:ascii="Times New Roman"/>
        </w:rPr>
        <w:t xml:space="preserve"> </w:t>
      </w:r>
    </w:p>
    <w:p w14:paraId="6F9A440D" w14:textId="77777777" w:rsidR="009C353B" w:rsidRDefault="00000000">
      <w:pPr>
        <w:adjustRightInd w:val="0"/>
        <w:snapToGrid w:val="0"/>
        <w:spacing w:line="440" w:lineRule="exact"/>
        <w:ind w:firstLineChars="200" w:firstLine="480"/>
        <w:rPr>
          <w:rFonts w:ascii="Times New Roman" w:hint="eastAsia"/>
        </w:rPr>
      </w:pPr>
      <w:r>
        <w:rPr>
          <w:rFonts w:ascii="Times New Roman"/>
        </w:rPr>
        <w:t>3</w:t>
      </w:r>
      <w:r>
        <w:rPr>
          <w:rFonts w:ascii="Times New Roman" w:hint="eastAsia"/>
        </w:rPr>
        <w:t>）列入濒危野生动物国际贸易公约保护的有绿翅鸭、白琵鹭、猎隼等</w:t>
      </w:r>
      <w:r>
        <w:rPr>
          <w:rFonts w:ascii="Times New Roman"/>
        </w:rPr>
        <w:t xml:space="preserve"> 23 </w:t>
      </w:r>
      <w:r>
        <w:rPr>
          <w:rFonts w:ascii="Times New Roman"/>
        </w:rPr>
        <w:t>种；</w:t>
      </w:r>
    </w:p>
    <w:p w14:paraId="0C31A62E" w14:textId="77777777" w:rsidR="009C353B" w:rsidRDefault="00000000">
      <w:pPr>
        <w:adjustRightInd w:val="0"/>
        <w:snapToGrid w:val="0"/>
        <w:spacing w:line="440" w:lineRule="exact"/>
        <w:ind w:firstLineChars="200" w:firstLine="480"/>
        <w:rPr>
          <w:rFonts w:ascii="Times New Roman" w:hint="eastAsia"/>
        </w:rPr>
      </w:pPr>
      <w:r>
        <w:rPr>
          <w:rFonts w:ascii="Times New Roman"/>
        </w:rPr>
        <w:t>4</w:t>
      </w:r>
      <w:r>
        <w:rPr>
          <w:rFonts w:ascii="Times New Roman" w:hint="eastAsia"/>
        </w:rPr>
        <w:t>）列入中日候鸟保护协定的有凤头鸊鷈、草鹭、大麻鳽等</w:t>
      </w:r>
      <w:r>
        <w:rPr>
          <w:rFonts w:ascii="Times New Roman"/>
        </w:rPr>
        <w:t xml:space="preserve"> 39 </w:t>
      </w:r>
      <w:r>
        <w:rPr>
          <w:rFonts w:ascii="Times New Roman"/>
        </w:rPr>
        <w:t>种；</w:t>
      </w:r>
      <w:r>
        <w:rPr>
          <w:rFonts w:ascii="Times New Roman"/>
        </w:rPr>
        <w:t xml:space="preserve"> </w:t>
      </w:r>
    </w:p>
    <w:p w14:paraId="67C0E523" w14:textId="77777777" w:rsidR="009C353B" w:rsidRDefault="00000000">
      <w:pPr>
        <w:adjustRightInd w:val="0"/>
        <w:snapToGrid w:val="0"/>
        <w:spacing w:line="440" w:lineRule="exact"/>
        <w:ind w:firstLineChars="200" w:firstLine="480"/>
        <w:rPr>
          <w:rFonts w:ascii="Times New Roman" w:hint="eastAsia"/>
        </w:rPr>
      </w:pPr>
      <w:r>
        <w:rPr>
          <w:rFonts w:ascii="Times New Roman"/>
        </w:rPr>
        <w:t>5</w:t>
      </w:r>
      <w:r>
        <w:rPr>
          <w:rFonts w:ascii="Times New Roman" w:hint="eastAsia"/>
        </w:rPr>
        <w:t>）列入中澳候鸟保护协定的有普通燕鸥、白眉鸭、琵嘴鸭等</w:t>
      </w:r>
      <w:r>
        <w:rPr>
          <w:rFonts w:ascii="Times New Roman"/>
        </w:rPr>
        <w:t xml:space="preserve"> 8 </w:t>
      </w:r>
      <w:r>
        <w:rPr>
          <w:rFonts w:ascii="Times New Roman"/>
        </w:rPr>
        <w:t>种。</w:t>
      </w:r>
      <w:r>
        <w:rPr>
          <w:rFonts w:ascii="Times New Roman"/>
        </w:rPr>
        <w:t xml:space="preserve"> </w:t>
      </w:r>
    </w:p>
    <w:p w14:paraId="6E2352E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3</w:t>
      </w:r>
      <w:r>
        <w:rPr>
          <w:rFonts w:ascii="Times New Roman"/>
        </w:rPr>
        <w:t>）甘草、麻黄、黄芪、沙苁蓉等野生固沙经济植物</w:t>
      </w:r>
      <w:r>
        <w:rPr>
          <w:rFonts w:ascii="Times New Roman"/>
        </w:rPr>
        <w:t xml:space="preserve"> </w:t>
      </w:r>
    </w:p>
    <w:p w14:paraId="5C30EE1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4</w:t>
      </w:r>
      <w:r>
        <w:rPr>
          <w:rFonts w:ascii="Times New Roman"/>
        </w:rPr>
        <w:t>）沙冬青：沙冬青是第三纪（古地中海）荒漠植物区系的残遗种，被列</w:t>
      </w:r>
      <w:r>
        <w:rPr>
          <w:rFonts w:ascii="Times New Roman" w:hint="eastAsia"/>
        </w:rPr>
        <w:t>入《中国珍稀濒危保护植物名录》，对研究古地理、气候和植物区系有重要价值，是我国荒漠半荒漠地区特有的常绿灌木，又是宁夏回族自治区唯一的抗旱性极强的常绿稀有珍贵乡土树种。在保护区内分布较为普遍，并成片分布于保护区南部区域。</w:t>
      </w:r>
      <w:r>
        <w:rPr>
          <w:rFonts w:ascii="Times New Roman"/>
        </w:rPr>
        <w:t xml:space="preserve"> </w:t>
      </w:r>
    </w:p>
    <w:p w14:paraId="5C2AD7C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5</w:t>
      </w:r>
      <w:r>
        <w:rPr>
          <w:rFonts w:ascii="Times New Roman"/>
        </w:rPr>
        <w:t>）不同自然地带典型自然景观，主要为鄂尔多斯台地非常脆弱的典型荒</w:t>
      </w:r>
      <w:r>
        <w:rPr>
          <w:rFonts w:ascii="Times New Roman" w:hint="eastAsia"/>
        </w:rPr>
        <w:t>漠草原和毛乌素沙地的草原带沙漠景观。</w:t>
      </w:r>
    </w:p>
    <w:p w14:paraId="72A4A496"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6.8.</w:t>
      </w:r>
      <w:r>
        <w:rPr>
          <w:rFonts w:ascii="Times New Roman" w:hAnsi="Times New Roman"/>
          <w:sz w:val="24"/>
        </w:rPr>
        <w:t xml:space="preserve">7 </w:t>
      </w:r>
      <w:r>
        <w:rPr>
          <w:rFonts w:ascii="Times New Roman" w:hAnsi="Times New Roman" w:hint="eastAsia"/>
          <w:sz w:val="24"/>
        </w:rPr>
        <w:t>主要保护目标</w:t>
      </w:r>
    </w:p>
    <w:p w14:paraId="314B10A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白芨滩保护区是以保护我国自然保护区中面积最大的天然柠条、猫头刺、沙冬青植物群落，珍稀濒危动植物和极端脆弱的荒漠生态系统及黄河上中游的生态环境为宗旨，集资源保护、科学研究、生态旅游于一体的自然保护区。</w:t>
      </w:r>
    </w:p>
    <w:p w14:paraId="27CA510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通过采取形式多样的保护措施，最大限度地保护好区内自然环境、自然资源和自然景观，使其免遭破坏和污染，维护区域荒漠生态系统的稳定性和整体性；保护野生物种的遗传多样性；探索保护与利用协调发展的有效途径，为科学地保护自然资源、实施可持续发展战略提供样板、最终达到和实现人与自然和谐相处的目的。</w:t>
      </w:r>
    </w:p>
    <w:p w14:paraId="179421AA"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6.8.8 </w:t>
      </w:r>
      <w:r>
        <w:rPr>
          <w:rFonts w:ascii="Times New Roman" w:hAnsi="Times New Roman" w:hint="eastAsia"/>
          <w:sz w:val="24"/>
        </w:rPr>
        <w:t>白芨滩自然保护区生态现状</w:t>
      </w:r>
    </w:p>
    <w:p w14:paraId="28DC243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）土壤</w:t>
      </w:r>
    </w:p>
    <w:p w14:paraId="20671BD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保护区的主要土壤类型是栗钙土。栗钙土壤是一种不肥沃的、低有机物含量（少于</w:t>
      </w:r>
      <w:r>
        <w:rPr>
          <w:rFonts w:ascii="Times New Roman"/>
        </w:rPr>
        <w:t>4%</w:t>
      </w:r>
      <w:r>
        <w:rPr>
          <w:rFonts w:ascii="Times New Roman" w:hint="eastAsia"/>
        </w:rPr>
        <w:t>）的碱性土壤以及含钙的地层。保护区中的栗钙土壤主要可以分成两种类型，淡黑钙土和暗粟钙土，淡黑钙土主要分布在保护区东边丘陵起伏的地区，而暗栗钙土一般分布在河谷底与高海拔地区的过渡区。</w:t>
      </w:r>
    </w:p>
    <w:p w14:paraId="2EA2EAB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河谷底的主要土壤类型是草甸沼泽土壤和草甸</w:t>
      </w:r>
      <w:r>
        <w:rPr>
          <w:rFonts w:ascii="Times New Roman"/>
        </w:rPr>
        <w:t>-</w:t>
      </w:r>
      <w:r>
        <w:rPr>
          <w:rFonts w:ascii="Times New Roman" w:hint="eastAsia"/>
        </w:rPr>
        <w:t>盐湖土壤。河谷底的边缘和单个湖泊的边缘含有碱性土壤和盐渍土。保护区其他主要土壤类型为沙土，沙土主要分布在南部，特别是与樟子松森林紧紧相连。</w:t>
      </w:r>
    </w:p>
    <w:p w14:paraId="3B13DE8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根据《中国土壤分类与代码》（</w:t>
      </w:r>
      <w:r>
        <w:rPr>
          <w:rFonts w:ascii="Times New Roman"/>
        </w:rPr>
        <w:t>GB/T 17296-2000</w:t>
      </w:r>
      <w:r>
        <w:rPr>
          <w:rFonts w:ascii="Times New Roman"/>
        </w:rPr>
        <w:t>），结合宁夏灵武的最新土</w:t>
      </w:r>
      <w:r>
        <w:rPr>
          <w:rFonts w:ascii="Times New Roman" w:hint="eastAsia"/>
        </w:rPr>
        <w:t>壤资源普查结果，保护区的土壤可分为：</w:t>
      </w:r>
      <w:r>
        <w:rPr>
          <w:rFonts w:ascii="Times New Roman"/>
        </w:rPr>
        <w:t>干旱土</w:t>
      </w:r>
      <w:r>
        <w:rPr>
          <w:rFonts w:ascii="Times New Roman" w:hint="eastAsia"/>
        </w:rPr>
        <w:t>、</w:t>
      </w:r>
      <w:r>
        <w:rPr>
          <w:rFonts w:ascii="Times New Roman"/>
        </w:rPr>
        <w:t>初育土</w:t>
      </w:r>
      <w:r>
        <w:rPr>
          <w:rFonts w:ascii="Times New Roman"/>
        </w:rPr>
        <w:t xml:space="preserve"> 2 </w:t>
      </w:r>
      <w:r>
        <w:rPr>
          <w:rFonts w:ascii="Times New Roman"/>
        </w:rPr>
        <w:t>个土纲，灰钙土</w:t>
      </w:r>
      <w:r>
        <w:rPr>
          <w:rFonts w:ascii="Times New Roman" w:hint="eastAsia"/>
        </w:rPr>
        <w:t>、</w:t>
      </w:r>
      <w:r>
        <w:rPr>
          <w:rFonts w:ascii="Times New Roman"/>
        </w:rPr>
        <w:t>风沙土</w:t>
      </w:r>
      <w:r>
        <w:rPr>
          <w:rFonts w:ascii="Times New Roman"/>
        </w:rPr>
        <w:t xml:space="preserve">2 </w:t>
      </w:r>
      <w:r>
        <w:rPr>
          <w:rFonts w:ascii="Times New Roman"/>
        </w:rPr>
        <w:t>个土类，典型灰钙土</w:t>
      </w:r>
      <w:r>
        <w:rPr>
          <w:rFonts w:ascii="Times New Roman" w:hint="eastAsia"/>
        </w:rPr>
        <w:t>、</w:t>
      </w:r>
      <w:r>
        <w:rPr>
          <w:rFonts w:ascii="Times New Roman"/>
        </w:rPr>
        <w:t>淡灰钙土</w:t>
      </w:r>
      <w:r>
        <w:rPr>
          <w:rFonts w:ascii="Times New Roman" w:hint="eastAsia"/>
        </w:rPr>
        <w:t>、</w:t>
      </w:r>
      <w:r>
        <w:rPr>
          <w:rFonts w:ascii="Times New Roman"/>
        </w:rPr>
        <w:t>盐化灰钙土</w:t>
      </w:r>
      <w:r>
        <w:rPr>
          <w:rFonts w:ascii="Times New Roman" w:hint="eastAsia"/>
        </w:rPr>
        <w:t>、</w:t>
      </w:r>
      <w:r>
        <w:rPr>
          <w:rFonts w:ascii="Times New Roman"/>
        </w:rPr>
        <w:t>草原风沙土</w:t>
      </w:r>
      <w:r>
        <w:rPr>
          <w:rFonts w:ascii="Times New Roman"/>
        </w:rPr>
        <w:t>4</w:t>
      </w:r>
      <w:r>
        <w:rPr>
          <w:rFonts w:ascii="Times New Roman" w:hint="eastAsia"/>
        </w:rPr>
        <w:t>个亚类。</w:t>
      </w:r>
      <w:r>
        <w:rPr>
          <w:rFonts w:ascii="Times New Roman"/>
        </w:rPr>
        <w:t xml:space="preserve"> </w:t>
      </w:r>
    </w:p>
    <w:p w14:paraId="044DA02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2</w:t>
      </w:r>
      <w:r>
        <w:rPr>
          <w:rFonts w:ascii="Times New Roman" w:hint="eastAsia"/>
        </w:rPr>
        <w:t>）植物资源</w:t>
      </w:r>
    </w:p>
    <w:p w14:paraId="3106360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该区的地带性植被为荒漠草原，依据植被分类原则，参照《中国植被》和《宁夏植被》，保护区植被可分为</w:t>
      </w:r>
      <w:r>
        <w:rPr>
          <w:rFonts w:ascii="Times New Roman"/>
        </w:rPr>
        <w:t xml:space="preserve"> 2 </w:t>
      </w:r>
      <w:r>
        <w:rPr>
          <w:rFonts w:ascii="Times New Roman"/>
        </w:rPr>
        <w:t>个植被型组、</w:t>
      </w:r>
      <w:r>
        <w:rPr>
          <w:rFonts w:ascii="Times New Roman"/>
        </w:rPr>
        <w:t xml:space="preserve">2 </w:t>
      </w:r>
      <w:r>
        <w:rPr>
          <w:rFonts w:ascii="Times New Roman"/>
        </w:rPr>
        <w:t>个植被型、</w:t>
      </w:r>
      <w:r>
        <w:rPr>
          <w:rFonts w:ascii="Times New Roman"/>
        </w:rPr>
        <w:t xml:space="preserve">5 </w:t>
      </w:r>
      <w:r>
        <w:rPr>
          <w:rFonts w:ascii="Times New Roman"/>
        </w:rPr>
        <w:t>个植被亚型、</w:t>
      </w:r>
      <w:r>
        <w:rPr>
          <w:rFonts w:ascii="Times New Roman"/>
        </w:rPr>
        <w:t xml:space="preserve">13 </w:t>
      </w:r>
      <w:r>
        <w:rPr>
          <w:rFonts w:ascii="Times New Roman"/>
        </w:rPr>
        <w:t>个</w:t>
      </w:r>
      <w:r>
        <w:rPr>
          <w:rFonts w:ascii="Times New Roman" w:hint="eastAsia"/>
        </w:rPr>
        <w:t>群系组和</w:t>
      </w:r>
      <w:r>
        <w:rPr>
          <w:rFonts w:ascii="Times New Roman"/>
        </w:rPr>
        <w:t xml:space="preserve"> 27 </w:t>
      </w:r>
      <w:r>
        <w:rPr>
          <w:rFonts w:ascii="Times New Roman"/>
        </w:rPr>
        <w:t>个群系。</w:t>
      </w:r>
      <w:r>
        <w:rPr>
          <w:rFonts w:ascii="Times New Roman" w:hint="eastAsia"/>
        </w:rPr>
        <w:t>白芨滩国家级自然保护区共有维管植物</w:t>
      </w:r>
      <w:r>
        <w:rPr>
          <w:rFonts w:ascii="Times New Roman"/>
        </w:rPr>
        <w:t xml:space="preserve"> 53 </w:t>
      </w:r>
      <w:r>
        <w:rPr>
          <w:rFonts w:ascii="Times New Roman"/>
        </w:rPr>
        <w:t>科</w:t>
      </w:r>
      <w:r>
        <w:rPr>
          <w:rFonts w:ascii="Times New Roman"/>
        </w:rPr>
        <w:t xml:space="preserve"> 170 </w:t>
      </w:r>
      <w:r>
        <w:rPr>
          <w:rFonts w:ascii="Times New Roman"/>
        </w:rPr>
        <w:t>属</w:t>
      </w:r>
      <w:r>
        <w:rPr>
          <w:rFonts w:ascii="Times New Roman"/>
        </w:rPr>
        <w:t xml:space="preserve">306 </w:t>
      </w:r>
      <w:r>
        <w:rPr>
          <w:rFonts w:ascii="Times New Roman"/>
        </w:rPr>
        <w:t>种。种子植物种</w:t>
      </w:r>
      <w:r>
        <w:rPr>
          <w:rFonts w:ascii="Times New Roman" w:hint="eastAsia"/>
        </w:rPr>
        <w:t>种数占保护区野生植物种类的</w:t>
      </w:r>
      <w:r>
        <w:rPr>
          <w:rFonts w:ascii="Times New Roman"/>
        </w:rPr>
        <w:t xml:space="preserve"> 99%</w:t>
      </w:r>
      <w:r>
        <w:rPr>
          <w:rFonts w:ascii="Times New Roman"/>
        </w:rPr>
        <w:t>，占绝对优势。</w:t>
      </w:r>
      <w:r>
        <w:rPr>
          <w:rFonts w:ascii="Times New Roman" w:hint="eastAsia"/>
        </w:rPr>
        <w:t>白芨滩国家级自然保护区植物科属种数量较为贫乏，白芨滩保护区有国家重点保护植物</w:t>
      </w:r>
      <w:r>
        <w:rPr>
          <w:rFonts w:ascii="Times New Roman"/>
        </w:rPr>
        <w:t xml:space="preserve"> 2 </w:t>
      </w:r>
      <w:r>
        <w:rPr>
          <w:rFonts w:ascii="Times New Roman"/>
        </w:rPr>
        <w:t>种，分别是发菜和沙芦草</w:t>
      </w:r>
      <w:r>
        <w:rPr>
          <w:rFonts w:ascii="Times New Roman" w:hint="eastAsia"/>
        </w:rPr>
        <w:t>，</w:t>
      </w:r>
      <w:r>
        <w:rPr>
          <w:rFonts w:ascii="Times New Roman"/>
        </w:rPr>
        <w:t>发菜为国家Ⅰ级保护植物，沙芦草为国家Ⅱ级保护植物。</w:t>
      </w:r>
    </w:p>
    <w:p w14:paraId="5653DBB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3</w:t>
      </w:r>
      <w:r>
        <w:rPr>
          <w:rFonts w:ascii="Times New Roman" w:hint="eastAsia"/>
        </w:rPr>
        <w:t>）动物资源</w:t>
      </w:r>
    </w:p>
    <w:p w14:paraId="6A221E7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保护区共有陆栖脊椎动物</w:t>
      </w:r>
      <w:r>
        <w:rPr>
          <w:rFonts w:ascii="Times New Roman"/>
        </w:rPr>
        <w:t xml:space="preserve"> 23 </w:t>
      </w:r>
      <w:r>
        <w:rPr>
          <w:rFonts w:ascii="Times New Roman"/>
        </w:rPr>
        <w:t>目</w:t>
      </w:r>
      <w:r>
        <w:rPr>
          <w:rFonts w:ascii="Times New Roman"/>
        </w:rPr>
        <w:t xml:space="preserve"> 47 </w:t>
      </w:r>
      <w:r>
        <w:rPr>
          <w:rFonts w:ascii="Times New Roman"/>
        </w:rPr>
        <w:t>科</w:t>
      </w:r>
      <w:r>
        <w:rPr>
          <w:rFonts w:ascii="Times New Roman"/>
        </w:rPr>
        <w:t xml:space="preserve"> 115 </w:t>
      </w:r>
      <w:r>
        <w:rPr>
          <w:rFonts w:ascii="Times New Roman"/>
        </w:rPr>
        <w:t>种，其中两栖类</w:t>
      </w:r>
      <w:r>
        <w:rPr>
          <w:rFonts w:ascii="Times New Roman"/>
        </w:rPr>
        <w:t xml:space="preserve"> 1 </w:t>
      </w:r>
      <w:r>
        <w:rPr>
          <w:rFonts w:ascii="Times New Roman"/>
        </w:rPr>
        <w:t>目</w:t>
      </w:r>
      <w:r>
        <w:rPr>
          <w:rFonts w:ascii="Times New Roman"/>
        </w:rPr>
        <w:t xml:space="preserve"> 2 </w:t>
      </w:r>
      <w:r>
        <w:rPr>
          <w:rFonts w:ascii="Times New Roman"/>
        </w:rPr>
        <w:t>科</w:t>
      </w:r>
      <w:r>
        <w:rPr>
          <w:rFonts w:ascii="Times New Roman"/>
        </w:rPr>
        <w:t xml:space="preserve"> 2 </w:t>
      </w:r>
      <w:r>
        <w:rPr>
          <w:rFonts w:ascii="Times New Roman"/>
        </w:rPr>
        <w:t>种，爬</w:t>
      </w:r>
      <w:r>
        <w:rPr>
          <w:rFonts w:ascii="Times New Roman" w:hint="eastAsia"/>
        </w:rPr>
        <w:t>行类</w:t>
      </w:r>
      <w:r>
        <w:rPr>
          <w:rFonts w:ascii="Times New Roman"/>
        </w:rPr>
        <w:t xml:space="preserve"> 2</w:t>
      </w:r>
      <w:r>
        <w:rPr>
          <w:rFonts w:ascii="Times New Roman"/>
        </w:rPr>
        <w:t>目</w:t>
      </w:r>
      <w:r>
        <w:rPr>
          <w:rFonts w:ascii="Times New Roman"/>
        </w:rPr>
        <w:t xml:space="preserve">3 </w:t>
      </w:r>
      <w:r>
        <w:rPr>
          <w:rFonts w:ascii="Times New Roman"/>
        </w:rPr>
        <w:t>科</w:t>
      </w:r>
      <w:r>
        <w:rPr>
          <w:rFonts w:ascii="Times New Roman"/>
        </w:rPr>
        <w:t>5</w:t>
      </w:r>
      <w:r>
        <w:rPr>
          <w:rFonts w:ascii="Times New Roman"/>
        </w:rPr>
        <w:t>种，鸟类</w:t>
      </w:r>
      <w:r>
        <w:rPr>
          <w:rFonts w:ascii="Times New Roman"/>
        </w:rPr>
        <w:t xml:space="preserve"> 14</w:t>
      </w:r>
      <w:r>
        <w:rPr>
          <w:rFonts w:ascii="Times New Roman"/>
        </w:rPr>
        <w:t>目</w:t>
      </w:r>
      <w:r>
        <w:rPr>
          <w:rFonts w:ascii="Times New Roman"/>
        </w:rPr>
        <w:t xml:space="preserve">28 </w:t>
      </w:r>
      <w:r>
        <w:rPr>
          <w:rFonts w:ascii="Times New Roman"/>
        </w:rPr>
        <w:t>科</w:t>
      </w:r>
      <w:r>
        <w:rPr>
          <w:rFonts w:ascii="Times New Roman"/>
        </w:rPr>
        <w:t>83</w:t>
      </w:r>
      <w:r>
        <w:rPr>
          <w:rFonts w:ascii="Times New Roman"/>
        </w:rPr>
        <w:t>种，兽类</w:t>
      </w:r>
      <w:r>
        <w:rPr>
          <w:rFonts w:ascii="Times New Roman"/>
        </w:rPr>
        <w:t xml:space="preserve"> 6</w:t>
      </w:r>
      <w:r>
        <w:rPr>
          <w:rFonts w:ascii="Times New Roman"/>
        </w:rPr>
        <w:t>目</w:t>
      </w:r>
      <w:r>
        <w:rPr>
          <w:rFonts w:ascii="Times New Roman"/>
        </w:rPr>
        <w:t xml:space="preserve">14 </w:t>
      </w:r>
      <w:r>
        <w:rPr>
          <w:rFonts w:ascii="Times New Roman"/>
        </w:rPr>
        <w:t>科</w:t>
      </w:r>
      <w:r>
        <w:rPr>
          <w:rFonts w:ascii="Times New Roman"/>
        </w:rPr>
        <w:t xml:space="preserve"> 25</w:t>
      </w:r>
      <w:r>
        <w:rPr>
          <w:rFonts w:ascii="Times New Roman"/>
        </w:rPr>
        <w:t>种。另外，已查</w:t>
      </w:r>
      <w:r>
        <w:rPr>
          <w:rFonts w:ascii="Times New Roman" w:hint="eastAsia"/>
        </w:rPr>
        <w:t>明的昆虫有</w:t>
      </w:r>
      <w:r>
        <w:rPr>
          <w:rFonts w:ascii="Times New Roman"/>
        </w:rPr>
        <w:t>10</w:t>
      </w:r>
      <w:r>
        <w:rPr>
          <w:rFonts w:ascii="Times New Roman"/>
        </w:rPr>
        <w:t>目</w:t>
      </w:r>
      <w:r>
        <w:rPr>
          <w:rFonts w:ascii="Times New Roman"/>
        </w:rPr>
        <w:t>58</w:t>
      </w:r>
      <w:r>
        <w:rPr>
          <w:rFonts w:ascii="Times New Roman"/>
        </w:rPr>
        <w:t>科</w:t>
      </w:r>
      <w:r>
        <w:rPr>
          <w:rFonts w:ascii="Times New Roman"/>
        </w:rPr>
        <w:t>217</w:t>
      </w:r>
      <w:r>
        <w:rPr>
          <w:rFonts w:ascii="Times New Roman"/>
        </w:rPr>
        <w:t>种。国家重点保护动物</w:t>
      </w:r>
      <w:r>
        <w:rPr>
          <w:rFonts w:ascii="Times New Roman"/>
        </w:rPr>
        <w:t>22</w:t>
      </w:r>
      <w:r>
        <w:rPr>
          <w:rFonts w:ascii="Times New Roman"/>
        </w:rPr>
        <w:t>种，其中Ⅰ级保护动物</w:t>
      </w:r>
      <w:r>
        <w:rPr>
          <w:rFonts w:ascii="Times New Roman"/>
        </w:rPr>
        <w:t xml:space="preserve"> 2</w:t>
      </w:r>
      <w:r>
        <w:rPr>
          <w:rFonts w:ascii="Times New Roman" w:hint="eastAsia"/>
        </w:rPr>
        <w:t>种，Ⅱ级保护动物</w:t>
      </w:r>
      <w:r>
        <w:rPr>
          <w:rFonts w:ascii="Times New Roman"/>
        </w:rPr>
        <w:t xml:space="preserve"> 20 </w:t>
      </w:r>
      <w:r>
        <w:rPr>
          <w:rFonts w:ascii="Times New Roman"/>
        </w:rPr>
        <w:t>种；宁夏回族自治区保护动物</w:t>
      </w:r>
      <w:r>
        <w:rPr>
          <w:rFonts w:ascii="Times New Roman"/>
        </w:rPr>
        <w:t xml:space="preserve"> 25 </w:t>
      </w:r>
      <w:r>
        <w:rPr>
          <w:rFonts w:ascii="Times New Roman"/>
        </w:rPr>
        <w:t>种；属于“濒危野生动物</w:t>
      </w:r>
      <w:r>
        <w:rPr>
          <w:rFonts w:ascii="Times New Roman" w:hint="eastAsia"/>
        </w:rPr>
        <w:t>种国际贸易公约”规定的保护物种</w:t>
      </w:r>
      <w:r>
        <w:rPr>
          <w:rFonts w:ascii="Times New Roman"/>
        </w:rPr>
        <w:t xml:space="preserve"> 23 </w:t>
      </w:r>
      <w:r>
        <w:rPr>
          <w:rFonts w:ascii="Times New Roman"/>
        </w:rPr>
        <w:t>种；属中日保护候鸟及其栖息环境协定的鸟</w:t>
      </w:r>
      <w:r>
        <w:rPr>
          <w:rFonts w:ascii="Times New Roman" w:hint="eastAsia"/>
        </w:rPr>
        <w:t>类</w:t>
      </w:r>
      <w:r>
        <w:rPr>
          <w:rFonts w:ascii="Times New Roman"/>
        </w:rPr>
        <w:t xml:space="preserve"> 39 </w:t>
      </w:r>
      <w:r>
        <w:rPr>
          <w:rFonts w:ascii="Times New Roman"/>
        </w:rPr>
        <w:t>种；属中澳保护候鸟及其栖息环境协定的鸟类</w:t>
      </w:r>
      <w:r>
        <w:rPr>
          <w:rFonts w:ascii="Times New Roman"/>
        </w:rPr>
        <w:t xml:space="preserve"> 8 </w:t>
      </w:r>
      <w:r>
        <w:rPr>
          <w:rFonts w:ascii="Times New Roman"/>
        </w:rPr>
        <w:t>种。</w:t>
      </w:r>
      <w:r>
        <w:rPr>
          <w:rFonts w:ascii="Times New Roman"/>
        </w:rPr>
        <w:t xml:space="preserve"> </w:t>
      </w:r>
    </w:p>
    <w:p w14:paraId="39F8245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保护区陆栖脊椎动物分属于全北型、古北型、东北型、东北—华北型、季风型、中亚型、草原型、高地型、东洋型等</w:t>
      </w:r>
      <w:r>
        <w:rPr>
          <w:rFonts w:ascii="Times New Roman"/>
        </w:rPr>
        <w:t xml:space="preserve"> 9 </w:t>
      </w:r>
      <w:r>
        <w:rPr>
          <w:rFonts w:ascii="Times New Roman"/>
        </w:rPr>
        <w:t>个地理分布型，古北型分布占大多数，</w:t>
      </w:r>
      <w:r>
        <w:rPr>
          <w:rFonts w:ascii="Times New Roman" w:hint="eastAsia"/>
        </w:rPr>
        <w:t>共</w:t>
      </w:r>
      <w:r>
        <w:rPr>
          <w:rFonts w:ascii="Times New Roman"/>
        </w:rPr>
        <w:t xml:space="preserve"> 49 </w:t>
      </w:r>
      <w:r>
        <w:rPr>
          <w:rFonts w:ascii="Times New Roman"/>
        </w:rPr>
        <w:t>种属于该分布型，占保护区陆栖脊椎野生动物种的</w:t>
      </w:r>
      <w:r>
        <w:rPr>
          <w:rFonts w:ascii="Times New Roman"/>
        </w:rPr>
        <w:t xml:space="preserve"> 42.61%</w:t>
      </w:r>
      <w:r>
        <w:rPr>
          <w:rFonts w:ascii="Times New Roman"/>
        </w:rPr>
        <w:t>；其次是中亚分</w:t>
      </w:r>
      <w:r>
        <w:rPr>
          <w:rFonts w:ascii="Times New Roman" w:hint="eastAsia"/>
        </w:rPr>
        <w:t>布和全北型分布，分别是</w:t>
      </w:r>
      <w:r>
        <w:rPr>
          <w:rFonts w:ascii="Times New Roman"/>
        </w:rPr>
        <w:t>21</w:t>
      </w:r>
      <w:r>
        <w:rPr>
          <w:rFonts w:ascii="Times New Roman"/>
        </w:rPr>
        <w:t>种和</w:t>
      </w:r>
      <w:r>
        <w:rPr>
          <w:rFonts w:ascii="Times New Roman"/>
        </w:rPr>
        <w:t>20</w:t>
      </w:r>
      <w:r>
        <w:rPr>
          <w:rFonts w:ascii="Times New Roman"/>
        </w:rPr>
        <w:t>种，占保护区陆栖脊椎野生动物种的</w:t>
      </w:r>
      <w:r>
        <w:rPr>
          <w:rFonts w:ascii="Times New Roman"/>
        </w:rPr>
        <w:t xml:space="preserve"> 18.26%</w:t>
      </w:r>
      <w:r>
        <w:rPr>
          <w:rFonts w:ascii="Times New Roman" w:hint="eastAsia"/>
        </w:rPr>
        <w:t>和</w:t>
      </w:r>
      <w:r>
        <w:rPr>
          <w:rFonts w:ascii="Times New Roman"/>
        </w:rPr>
        <w:t>17.39%</w:t>
      </w:r>
      <w:r>
        <w:rPr>
          <w:rFonts w:ascii="Times New Roman"/>
        </w:rPr>
        <w:t>；上述</w:t>
      </w:r>
      <w:r>
        <w:rPr>
          <w:rFonts w:ascii="Times New Roman"/>
        </w:rPr>
        <w:t xml:space="preserve"> 3 </w:t>
      </w:r>
      <w:r>
        <w:rPr>
          <w:rFonts w:ascii="Times New Roman"/>
        </w:rPr>
        <w:t>种分布类型的动物种占保护区陆栖脊椎野生动物种总数达</w:t>
      </w:r>
      <w:r>
        <w:rPr>
          <w:rFonts w:ascii="Times New Roman"/>
        </w:rPr>
        <w:t>78.26%</w:t>
      </w:r>
      <w:r>
        <w:rPr>
          <w:rFonts w:ascii="Times New Roman"/>
        </w:rPr>
        <w:t>。其它分布型的情况是东北型</w:t>
      </w:r>
      <w:r>
        <w:rPr>
          <w:rFonts w:ascii="Times New Roman"/>
        </w:rPr>
        <w:t xml:space="preserve"> 8 </w:t>
      </w:r>
      <w:r>
        <w:rPr>
          <w:rFonts w:ascii="Times New Roman"/>
        </w:rPr>
        <w:t>种，占保护区陆栖脊椎野生动物种的</w:t>
      </w:r>
      <w:r>
        <w:rPr>
          <w:rFonts w:ascii="Times New Roman"/>
        </w:rPr>
        <w:t>6.96%</w:t>
      </w:r>
      <w:r>
        <w:rPr>
          <w:rFonts w:ascii="Times New Roman"/>
        </w:rPr>
        <w:t>；草原型</w:t>
      </w:r>
      <w:r>
        <w:rPr>
          <w:rFonts w:ascii="Times New Roman"/>
        </w:rPr>
        <w:t xml:space="preserve"> 5 </w:t>
      </w:r>
      <w:r>
        <w:rPr>
          <w:rFonts w:ascii="Times New Roman"/>
        </w:rPr>
        <w:t>种，占</w:t>
      </w:r>
      <w:r>
        <w:rPr>
          <w:rFonts w:ascii="Times New Roman"/>
        </w:rPr>
        <w:t>4.35%</w:t>
      </w:r>
      <w:r>
        <w:rPr>
          <w:rFonts w:ascii="Times New Roman"/>
        </w:rPr>
        <w:t>；季风型和东洋型均为</w:t>
      </w:r>
      <w:r>
        <w:rPr>
          <w:rFonts w:ascii="Times New Roman"/>
        </w:rPr>
        <w:t xml:space="preserve"> 4 </w:t>
      </w:r>
      <w:r>
        <w:rPr>
          <w:rFonts w:ascii="Times New Roman"/>
        </w:rPr>
        <w:t>种，分别占</w:t>
      </w:r>
      <w:r>
        <w:rPr>
          <w:rFonts w:ascii="Times New Roman"/>
        </w:rPr>
        <w:t xml:space="preserve"> 3.48%</w:t>
      </w:r>
      <w:r>
        <w:rPr>
          <w:rFonts w:ascii="Times New Roman"/>
        </w:rPr>
        <w:t>；东</w:t>
      </w:r>
      <w:r>
        <w:rPr>
          <w:rFonts w:ascii="Times New Roman" w:hint="eastAsia"/>
        </w:rPr>
        <w:t>北—华北型</w:t>
      </w:r>
      <w:r>
        <w:rPr>
          <w:rFonts w:ascii="Times New Roman"/>
        </w:rPr>
        <w:t xml:space="preserve"> 3 </w:t>
      </w:r>
      <w:r>
        <w:rPr>
          <w:rFonts w:ascii="Times New Roman"/>
        </w:rPr>
        <w:t>种，占</w:t>
      </w:r>
      <w:r>
        <w:rPr>
          <w:rFonts w:ascii="Times New Roman"/>
        </w:rPr>
        <w:t>2.61%</w:t>
      </w:r>
      <w:r>
        <w:rPr>
          <w:rFonts w:ascii="Times New Roman"/>
        </w:rPr>
        <w:t>；高地型最少，仅</w:t>
      </w:r>
      <w:r>
        <w:rPr>
          <w:rFonts w:ascii="Times New Roman"/>
        </w:rPr>
        <w:t>1</w:t>
      </w:r>
      <w:r>
        <w:rPr>
          <w:rFonts w:ascii="Times New Roman"/>
        </w:rPr>
        <w:t>种，占</w:t>
      </w:r>
      <w:r>
        <w:rPr>
          <w:rFonts w:ascii="Times New Roman"/>
        </w:rPr>
        <w:t>0.87%</w:t>
      </w:r>
      <w:r>
        <w:rPr>
          <w:rFonts w:ascii="Times New Roman"/>
        </w:rPr>
        <w:t>。</w:t>
      </w:r>
    </w:p>
    <w:p w14:paraId="7F96ADF0"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6.8.9 </w:t>
      </w:r>
      <w:r>
        <w:rPr>
          <w:rFonts w:ascii="Times New Roman" w:hAnsi="Times New Roman"/>
          <w:sz w:val="24"/>
        </w:rPr>
        <w:t>矿区</w:t>
      </w:r>
      <w:r>
        <w:rPr>
          <w:rFonts w:ascii="Times New Roman" w:hAnsi="Times New Roman" w:hint="eastAsia"/>
          <w:sz w:val="24"/>
        </w:rPr>
        <w:t>规划实施</w:t>
      </w:r>
      <w:r>
        <w:rPr>
          <w:rFonts w:ascii="Times New Roman" w:hAnsi="Times New Roman"/>
          <w:sz w:val="24"/>
        </w:rPr>
        <w:t>对白芨滩保护区影响</w:t>
      </w:r>
      <w:r>
        <w:rPr>
          <w:rFonts w:ascii="Times New Roman" w:hAnsi="Times New Roman" w:hint="eastAsia"/>
          <w:sz w:val="24"/>
        </w:rPr>
        <w:t>评价</w:t>
      </w:r>
    </w:p>
    <w:p w14:paraId="529BC0F4" w14:textId="77777777" w:rsidR="009C353B" w:rsidRDefault="00000000">
      <w:pPr>
        <w:adjustRightInd w:val="0"/>
        <w:snapToGrid w:val="0"/>
        <w:spacing w:line="440" w:lineRule="exact"/>
        <w:ind w:firstLineChars="200" w:firstLine="482"/>
        <w:rPr>
          <w:rFonts w:ascii="Times New Roman" w:hAnsi="Times New Roman"/>
          <w:b/>
          <w:bCs/>
        </w:rPr>
      </w:pPr>
      <w:r>
        <w:rPr>
          <w:rFonts w:ascii="Times New Roman" w:hint="eastAsia"/>
          <w:b/>
          <w:bCs/>
        </w:rPr>
        <w:t>（</w:t>
      </w:r>
      <w:r>
        <w:rPr>
          <w:rFonts w:ascii="Times New Roman" w:hint="eastAsia"/>
          <w:b/>
          <w:bCs/>
        </w:rPr>
        <w:t>1</w:t>
      </w:r>
      <w:r>
        <w:rPr>
          <w:rFonts w:ascii="Times New Roman" w:hint="eastAsia"/>
          <w:b/>
          <w:bCs/>
        </w:rPr>
        <w:t>）白芨滩</w:t>
      </w:r>
      <w:r>
        <w:rPr>
          <w:rFonts w:ascii="Times New Roman"/>
          <w:b/>
          <w:bCs/>
        </w:rPr>
        <w:t>保护区</w:t>
      </w:r>
      <w:r>
        <w:rPr>
          <w:rFonts w:ascii="Times New Roman" w:hint="eastAsia"/>
          <w:b/>
          <w:bCs/>
        </w:rPr>
        <w:t>与矿区规划范围的相对</w:t>
      </w:r>
      <w:r>
        <w:rPr>
          <w:rFonts w:ascii="Times New Roman"/>
          <w:b/>
          <w:bCs/>
        </w:rPr>
        <w:t>位置</w:t>
      </w:r>
      <w:r>
        <w:rPr>
          <w:rFonts w:ascii="Times New Roman" w:hint="eastAsia"/>
          <w:b/>
          <w:bCs/>
        </w:rPr>
        <w:t>关系</w:t>
      </w:r>
    </w:p>
    <w:p w14:paraId="3C4638B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横城矿区</w:t>
      </w:r>
      <w:r>
        <w:rPr>
          <w:rFonts w:ascii="Times New Roman"/>
        </w:rPr>
        <w:t>与白芨滩自然保护区无重叠，矿区规划的</w:t>
      </w:r>
      <w:r>
        <w:rPr>
          <w:rFonts w:ascii="Times New Roman" w:hint="eastAsia"/>
        </w:rPr>
        <w:t>4</w:t>
      </w:r>
      <w:r>
        <w:rPr>
          <w:rFonts w:ascii="Times New Roman" w:hint="eastAsia"/>
        </w:rPr>
        <w:t>个矿井中，任家庄和丁家梁矿井临近白芨滩自然保护区，红石湾矿井与白芨滩自然保护区之间有任家庄井田相隔，马莲台井田距离白芨滩自然保护区更远，中间有工业园区相隔。其中，任家庄矿井井田边界与自然保护区实验区、缓冲区和核心区的最近距离分别约为</w:t>
      </w:r>
      <w:r>
        <w:rPr>
          <w:rFonts w:ascii="Times New Roman" w:hint="eastAsia"/>
        </w:rPr>
        <w:t>92m</w:t>
      </w:r>
      <w:r>
        <w:rPr>
          <w:rFonts w:ascii="Times New Roman" w:hint="eastAsia"/>
        </w:rPr>
        <w:t>、</w:t>
      </w:r>
      <w:r>
        <w:rPr>
          <w:rFonts w:ascii="Times New Roman" w:hint="eastAsia"/>
        </w:rPr>
        <w:t>5</w:t>
      </w:r>
      <w:r>
        <w:rPr>
          <w:rFonts w:ascii="Times New Roman"/>
        </w:rPr>
        <w:t>80m</w:t>
      </w:r>
      <w:r>
        <w:rPr>
          <w:rFonts w:ascii="Times New Roman"/>
        </w:rPr>
        <w:t>和</w:t>
      </w:r>
      <w:r>
        <w:rPr>
          <w:rFonts w:ascii="Times New Roman" w:hint="eastAsia"/>
        </w:rPr>
        <w:t>8</w:t>
      </w:r>
      <w:r>
        <w:rPr>
          <w:rFonts w:ascii="Times New Roman"/>
        </w:rPr>
        <w:t>30m</w:t>
      </w:r>
      <w:r>
        <w:rPr>
          <w:rFonts w:ascii="Times New Roman" w:hint="eastAsia"/>
        </w:rPr>
        <w:t>；丁家梁井田边界距离与自然保护区实验区、缓冲区和核心区的最近距离分别约为</w:t>
      </w:r>
      <w:r>
        <w:rPr>
          <w:rFonts w:ascii="Times New Roman"/>
        </w:rPr>
        <w:t>236</w:t>
      </w:r>
      <w:r>
        <w:rPr>
          <w:rFonts w:ascii="Times New Roman" w:hint="eastAsia"/>
        </w:rPr>
        <w:t>m</w:t>
      </w:r>
      <w:r>
        <w:rPr>
          <w:rFonts w:ascii="Times New Roman" w:hint="eastAsia"/>
        </w:rPr>
        <w:t>、</w:t>
      </w:r>
      <w:r>
        <w:rPr>
          <w:rFonts w:ascii="Times New Roman"/>
        </w:rPr>
        <w:t>1620m</w:t>
      </w:r>
      <w:r>
        <w:rPr>
          <w:rFonts w:ascii="Times New Roman"/>
        </w:rPr>
        <w:t>和</w:t>
      </w:r>
      <w:r>
        <w:rPr>
          <w:rFonts w:ascii="Times New Roman"/>
        </w:rPr>
        <w:t>1970m</w:t>
      </w:r>
      <w:r>
        <w:rPr>
          <w:rFonts w:ascii="Times New Roman" w:hint="eastAsia"/>
        </w:rPr>
        <w:t>。白芨滩国家级</w:t>
      </w:r>
      <w:r>
        <w:rPr>
          <w:rFonts w:ascii="Times New Roman"/>
        </w:rPr>
        <w:t>自然保护区</w:t>
      </w:r>
      <w:r>
        <w:rPr>
          <w:rFonts w:ascii="Times New Roman" w:hint="eastAsia"/>
        </w:rPr>
        <w:t>分布与横城矿区位置关系见图</w:t>
      </w:r>
      <w:r>
        <w:rPr>
          <w:rFonts w:ascii="Times New Roman" w:hint="eastAsia"/>
        </w:rPr>
        <w:t>1.</w:t>
      </w:r>
      <w:r>
        <w:rPr>
          <w:rFonts w:ascii="Times New Roman"/>
        </w:rPr>
        <w:t>8</w:t>
      </w:r>
      <w:r>
        <w:rPr>
          <w:rFonts w:ascii="Times New Roman" w:hint="eastAsia"/>
        </w:rPr>
        <w:t>-3</w:t>
      </w:r>
      <w:r>
        <w:rPr>
          <w:rFonts w:ascii="Times New Roman" w:hint="eastAsia"/>
        </w:rPr>
        <w:t>。</w:t>
      </w:r>
    </w:p>
    <w:p w14:paraId="6CFAA9C8" w14:textId="77777777" w:rsidR="009C353B" w:rsidRDefault="00000000">
      <w:pPr>
        <w:adjustRightInd w:val="0"/>
        <w:snapToGrid w:val="0"/>
        <w:spacing w:line="440" w:lineRule="exact"/>
        <w:ind w:firstLineChars="200" w:firstLine="482"/>
        <w:rPr>
          <w:rFonts w:ascii="Times New Roman" w:hAnsi="Times New Roman"/>
        </w:rPr>
      </w:pPr>
      <w:r>
        <w:rPr>
          <w:rFonts w:ascii="Times New Roman" w:hint="eastAsia"/>
          <w:b/>
          <w:bCs/>
        </w:rPr>
        <w:t>（</w:t>
      </w:r>
      <w:r>
        <w:rPr>
          <w:rFonts w:ascii="Times New Roman" w:hint="eastAsia"/>
          <w:b/>
          <w:bCs/>
        </w:rPr>
        <w:t>2</w:t>
      </w:r>
      <w:r>
        <w:rPr>
          <w:rFonts w:ascii="Times New Roman" w:hint="eastAsia"/>
          <w:b/>
          <w:bCs/>
        </w:rPr>
        <w:t>）</w:t>
      </w:r>
      <w:r>
        <w:rPr>
          <w:rFonts w:ascii="Times New Roman"/>
          <w:b/>
          <w:bCs/>
        </w:rPr>
        <w:t>矿区开发对</w:t>
      </w:r>
      <w:r>
        <w:rPr>
          <w:rFonts w:ascii="Times New Roman" w:hint="eastAsia"/>
          <w:b/>
          <w:bCs/>
        </w:rPr>
        <w:t>白芨滩</w:t>
      </w:r>
      <w:r>
        <w:rPr>
          <w:rFonts w:ascii="Times New Roman"/>
          <w:b/>
          <w:bCs/>
        </w:rPr>
        <w:t>保护区</w:t>
      </w:r>
      <w:r>
        <w:rPr>
          <w:rFonts w:ascii="Times New Roman" w:hint="eastAsia"/>
          <w:b/>
          <w:bCs/>
        </w:rPr>
        <w:t>的</w:t>
      </w:r>
      <w:r>
        <w:rPr>
          <w:rFonts w:ascii="Times New Roman"/>
          <w:b/>
          <w:bCs/>
        </w:rPr>
        <w:t>影响</w:t>
      </w:r>
      <w:r>
        <w:rPr>
          <w:rFonts w:ascii="Times New Roman" w:hint="eastAsia"/>
          <w:b/>
          <w:bCs/>
        </w:rPr>
        <w:t>回顾</w:t>
      </w:r>
      <w:r>
        <w:rPr>
          <w:rFonts w:ascii="Times New Roman"/>
          <w:b/>
          <w:bCs/>
        </w:rPr>
        <w:t>分析</w:t>
      </w:r>
    </w:p>
    <w:p w14:paraId="67504DA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w:t>
      </w:r>
      <w:r>
        <w:rPr>
          <w:rFonts w:ascii="Times New Roman"/>
        </w:rPr>
        <w:t>目前</w:t>
      </w:r>
      <w:r>
        <w:rPr>
          <w:rFonts w:ascii="Times New Roman" w:hint="eastAsia"/>
        </w:rPr>
        <w:t>有</w:t>
      </w:r>
      <w:r>
        <w:rPr>
          <w:rFonts w:ascii="Times New Roman" w:hint="eastAsia"/>
        </w:rPr>
        <w:t>3</w:t>
      </w:r>
      <w:r>
        <w:rPr>
          <w:rFonts w:ascii="Times New Roman" w:hint="eastAsia"/>
        </w:rPr>
        <w:t>个生产矿井（红石湾、任家庄、马莲台），均已达到矿区规划规模。</w:t>
      </w:r>
      <w:r>
        <w:rPr>
          <w:rFonts w:ascii="Times New Roman"/>
        </w:rPr>
        <w:t>仅有</w:t>
      </w:r>
      <w:r>
        <w:rPr>
          <w:rFonts w:ascii="Times New Roman" w:hint="eastAsia"/>
        </w:rPr>
        <w:t>丁家梁</w:t>
      </w:r>
      <w:r>
        <w:rPr>
          <w:rFonts w:ascii="Times New Roman"/>
        </w:rPr>
        <w:t>矿井在</w:t>
      </w:r>
      <w:r>
        <w:rPr>
          <w:rFonts w:ascii="Times New Roman" w:hint="eastAsia"/>
        </w:rPr>
        <w:t>建</w:t>
      </w:r>
      <w:r>
        <w:rPr>
          <w:rFonts w:ascii="Times New Roman"/>
        </w:rPr>
        <w:t>，</w:t>
      </w:r>
      <w:r>
        <w:rPr>
          <w:rFonts w:ascii="Times New Roman" w:hint="eastAsia"/>
        </w:rPr>
        <w:t>其工业场地已基本建成完工，目前停工。</w:t>
      </w:r>
    </w:p>
    <w:p w14:paraId="0EC0AE9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丁家梁矿井尚未开展生产，对白芨滩保护区基本无影响。马莲台煤矿距离保护区最近处约为</w:t>
      </w:r>
      <w:r>
        <w:rPr>
          <w:rFonts w:ascii="Times New Roman" w:hint="eastAsia"/>
        </w:rPr>
        <w:t>6</w:t>
      </w:r>
      <w:r>
        <w:rPr>
          <w:rFonts w:ascii="Times New Roman"/>
        </w:rPr>
        <w:t>.3</w:t>
      </w:r>
      <w:r>
        <w:rPr>
          <w:rFonts w:ascii="Times New Roman" w:hint="eastAsia"/>
        </w:rPr>
        <w:t>km</w:t>
      </w:r>
      <w:r>
        <w:rPr>
          <w:rFonts w:ascii="Times New Roman" w:hint="eastAsia"/>
        </w:rPr>
        <w:t>，其生产对白芨滩保护区基本无影响。</w:t>
      </w:r>
    </w:p>
    <w:p w14:paraId="10F7321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任家庄煤矿距离</w:t>
      </w:r>
      <w:r>
        <w:rPr>
          <w:rFonts w:ascii="Times New Roman"/>
        </w:rPr>
        <w:t>白芨滩自然保护区</w:t>
      </w:r>
      <w:r>
        <w:rPr>
          <w:rFonts w:ascii="Times New Roman" w:hint="eastAsia"/>
        </w:rPr>
        <w:t>实验区最</w:t>
      </w:r>
      <w:r>
        <w:rPr>
          <w:rFonts w:ascii="Times New Roman"/>
        </w:rPr>
        <w:t>近，</w:t>
      </w:r>
      <w:r>
        <w:rPr>
          <w:rFonts w:ascii="Times New Roman" w:hint="eastAsia"/>
        </w:rPr>
        <w:t>最近处紧邻保护区，为了确保自然保护区不受沉陷影响，在矿井南侧及西南侧边界留设保护煤柱。任家庄煤矿自</w:t>
      </w:r>
      <w:r>
        <w:rPr>
          <w:rFonts w:ascii="Times New Roman" w:hint="eastAsia"/>
        </w:rPr>
        <w:t>2</w:t>
      </w:r>
      <w:r>
        <w:rPr>
          <w:rFonts w:ascii="Times New Roman"/>
        </w:rPr>
        <w:t>005</w:t>
      </w:r>
      <w:r>
        <w:rPr>
          <w:rFonts w:ascii="Times New Roman" w:hint="eastAsia"/>
        </w:rPr>
        <w:t>年动工建设，</w:t>
      </w:r>
      <w:r>
        <w:rPr>
          <w:rFonts w:ascii="Times New Roman" w:hint="eastAsia"/>
        </w:rPr>
        <w:t>2</w:t>
      </w:r>
      <w:r>
        <w:rPr>
          <w:rFonts w:ascii="Times New Roman"/>
        </w:rPr>
        <w:t>008</w:t>
      </w:r>
      <w:r>
        <w:rPr>
          <w:rFonts w:ascii="Times New Roman" w:hint="eastAsia"/>
        </w:rPr>
        <w:t>年正式开采至今，已开采区距离保护区最近为</w:t>
      </w:r>
      <w:r>
        <w:rPr>
          <w:rFonts w:ascii="Times New Roman"/>
        </w:rPr>
        <w:t>730</w:t>
      </w:r>
      <w:r>
        <w:rPr>
          <w:rFonts w:ascii="Times New Roman" w:hint="eastAsia"/>
        </w:rPr>
        <w:t>m</w:t>
      </w:r>
      <w:r>
        <w:rPr>
          <w:rFonts w:ascii="Times New Roman" w:hint="eastAsia"/>
        </w:rPr>
        <w:t>，项目开采引起的地表沉陷表现为地表裂缝，未影响到白芨滩自然保护区。</w:t>
      </w:r>
    </w:p>
    <w:p w14:paraId="7649AEF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红石湾井田边界距离白芨滩保护区约</w:t>
      </w:r>
      <w:r>
        <w:rPr>
          <w:rFonts w:ascii="Times New Roman" w:hint="eastAsia"/>
        </w:rPr>
        <w:t>1280m</w:t>
      </w:r>
      <w:r>
        <w:rPr>
          <w:rFonts w:ascii="Times New Roman" w:hint="eastAsia"/>
        </w:rPr>
        <w:t>，根据预测地表沉陷影响半径为</w:t>
      </w:r>
      <w:r>
        <w:rPr>
          <w:rFonts w:ascii="Times New Roman" w:hint="eastAsia"/>
        </w:rPr>
        <w:t>213m</w:t>
      </w:r>
      <w:r>
        <w:rPr>
          <w:rFonts w:ascii="Times New Roman" w:hint="eastAsia"/>
        </w:rPr>
        <w:t>，自</w:t>
      </w:r>
      <w:r>
        <w:rPr>
          <w:rFonts w:ascii="Times New Roman" w:hint="eastAsia"/>
        </w:rPr>
        <w:t>2</w:t>
      </w:r>
      <w:r>
        <w:rPr>
          <w:rFonts w:ascii="Times New Roman"/>
        </w:rPr>
        <w:t>008</w:t>
      </w:r>
      <w:r>
        <w:rPr>
          <w:rFonts w:ascii="Times New Roman" w:hint="eastAsia"/>
        </w:rPr>
        <w:t>年动工建设，</w:t>
      </w:r>
      <w:r>
        <w:rPr>
          <w:rFonts w:ascii="Times New Roman" w:hint="eastAsia"/>
        </w:rPr>
        <w:t>2</w:t>
      </w:r>
      <w:r>
        <w:rPr>
          <w:rFonts w:ascii="Times New Roman"/>
        </w:rPr>
        <w:t>012</w:t>
      </w:r>
      <w:r>
        <w:rPr>
          <w:rFonts w:ascii="Times New Roman" w:hint="eastAsia"/>
        </w:rPr>
        <w:t>年正式开采至今，已开采区距离保护区最近为</w:t>
      </w:r>
      <w:r>
        <w:rPr>
          <w:rFonts w:ascii="Times New Roman"/>
        </w:rPr>
        <w:t>1860</w:t>
      </w:r>
      <w:r>
        <w:rPr>
          <w:rFonts w:ascii="Times New Roman" w:hint="eastAsia"/>
        </w:rPr>
        <w:t>m</w:t>
      </w:r>
      <w:r>
        <w:rPr>
          <w:rFonts w:ascii="Times New Roman" w:hint="eastAsia"/>
        </w:rPr>
        <w:t>，项目开采引起的地表沉陷不会影响到白芨滩自然保护区。</w:t>
      </w:r>
    </w:p>
    <w:p w14:paraId="03CB0BD0" w14:textId="77777777" w:rsidR="009C353B" w:rsidRDefault="00000000">
      <w:pPr>
        <w:adjustRightInd w:val="0"/>
        <w:snapToGrid w:val="0"/>
        <w:spacing w:line="440" w:lineRule="exact"/>
        <w:ind w:firstLineChars="200" w:firstLine="480"/>
        <w:rPr>
          <w:rFonts w:ascii="Times New Roman" w:hint="eastAsia"/>
        </w:rPr>
      </w:pPr>
      <w:r>
        <w:rPr>
          <w:rFonts w:ascii="Times New Roman"/>
        </w:rPr>
        <w:t>根据</w:t>
      </w:r>
      <w:r>
        <w:rPr>
          <w:rFonts w:ascii="Times New Roman" w:hint="eastAsia"/>
        </w:rPr>
        <w:t>地形</w:t>
      </w:r>
      <w:r>
        <w:rPr>
          <w:rFonts w:ascii="Times New Roman"/>
        </w:rPr>
        <w:t>地貌看，</w:t>
      </w:r>
      <w:r>
        <w:rPr>
          <w:rFonts w:ascii="Times New Roman" w:hint="eastAsia"/>
        </w:rPr>
        <w:t>矿区与保护区均属黄河水系范围。但根据图</w:t>
      </w:r>
      <w:r>
        <w:rPr>
          <w:rFonts w:ascii="Times New Roman" w:hint="eastAsia"/>
        </w:rPr>
        <w:t>3</w:t>
      </w:r>
      <w:r>
        <w:rPr>
          <w:rFonts w:ascii="Times New Roman"/>
        </w:rPr>
        <w:t>.4</w:t>
      </w:r>
      <w:r>
        <w:rPr>
          <w:rFonts w:ascii="Times New Roman" w:hint="eastAsia"/>
        </w:rPr>
        <w:t>-</w:t>
      </w:r>
      <w:r>
        <w:rPr>
          <w:rFonts w:ascii="Times New Roman"/>
        </w:rPr>
        <w:t>3</w:t>
      </w:r>
      <w:r>
        <w:rPr>
          <w:rFonts w:ascii="Times New Roman" w:hint="eastAsia"/>
        </w:rPr>
        <w:t>评价区数字高程图可知，保护区海拔高度为矿区所在区域最高，矿区开发产生沉陷会导致矿区井田内高程进一步下降，不会影响自然保护区汇水。</w:t>
      </w:r>
    </w:p>
    <w:p w14:paraId="1F90CD42"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根据任家庄煤矿燃气锅炉烟气监测结果，烟气中</w:t>
      </w:r>
      <w:r>
        <w:rPr>
          <w:rFonts w:ascii="Times New Roman"/>
        </w:rPr>
        <w:t>颗粒物浓度为</w:t>
      </w:r>
      <w:r>
        <w:rPr>
          <w:rFonts w:ascii="Times New Roman" w:hint="eastAsia"/>
        </w:rPr>
        <w:t>0.4-3.9</w:t>
      </w:r>
      <w:r>
        <w:rPr>
          <w:rFonts w:ascii="Times New Roman"/>
        </w:rPr>
        <w:t>mg/Nm</w:t>
      </w:r>
      <w:r>
        <w:rPr>
          <w:rFonts w:ascii="Times New Roman"/>
          <w:vertAlign w:val="superscript"/>
        </w:rPr>
        <w:t>3</w:t>
      </w:r>
      <w:r>
        <w:rPr>
          <w:rFonts w:ascii="Times New Roman"/>
        </w:rPr>
        <w:t>、</w:t>
      </w:r>
      <w:r>
        <w:rPr>
          <w:rFonts w:ascii="Times New Roman"/>
        </w:rPr>
        <w:t>SO</w:t>
      </w:r>
      <w:r>
        <w:rPr>
          <w:rFonts w:ascii="Times New Roman"/>
          <w:vertAlign w:val="subscript"/>
        </w:rPr>
        <w:t>2</w:t>
      </w:r>
      <w:r>
        <w:rPr>
          <w:rFonts w:ascii="Times New Roman"/>
        </w:rPr>
        <w:t>浓度为</w:t>
      </w:r>
      <w:r>
        <w:rPr>
          <w:rFonts w:ascii="Times New Roman" w:hint="eastAsia"/>
        </w:rPr>
        <w:t>2.7-5</w:t>
      </w:r>
      <w:r>
        <w:rPr>
          <w:rFonts w:ascii="Times New Roman"/>
        </w:rPr>
        <w:t>mg/Nm</w:t>
      </w:r>
      <w:r>
        <w:rPr>
          <w:rFonts w:ascii="Times New Roman"/>
          <w:vertAlign w:val="superscript"/>
        </w:rPr>
        <w:t>3</w:t>
      </w:r>
      <w:r>
        <w:rPr>
          <w:rFonts w:ascii="Times New Roman" w:hint="eastAsia"/>
        </w:rPr>
        <w:t>、</w:t>
      </w:r>
      <w:r>
        <w:rPr>
          <w:rFonts w:ascii="Times New Roman" w:hint="eastAsia"/>
        </w:rPr>
        <w:t>N</w:t>
      </w:r>
      <w:r>
        <w:rPr>
          <w:rFonts w:ascii="Times New Roman"/>
        </w:rPr>
        <w:t>O</w:t>
      </w:r>
      <w:r>
        <w:rPr>
          <w:rFonts w:ascii="Times New Roman" w:hint="eastAsia"/>
        </w:rPr>
        <w:t>x</w:t>
      </w:r>
      <w:r>
        <w:rPr>
          <w:rFonts w:ascii="Times New Roman"/>
        </w:rPr>
        <w:t>浓度为</w:t>
      </w:r>
      <w:r>
        <w:rPr>
          <w:rFonts w:ascii="Times New Roman" w:hint="eastAsia"/>
        </w:rPr>
        <w:t>16.2-45</w:t>
      </w:r>
      <w:r>
        <w:rPr>
          <w:rFonts w:ascii="Times New Roman"/>
        </w:rPr>
        <w:t>mg/Nm</w:t>
      </w:r>
      <w:r>
        <w:rPr>
          <w:rFonts w:ascii="Times New Roman"/>
          <w:vertAlign w:val="superscript"/>
        </w:rPr>
        <w:t>3</w:t>
      </w:r>
      <w:r>
        <w:rPr>
          <w:rFonts w:ascii="Times New Roman" w:hint="eastAsia"/>
        </w:rPr>
        <w:t>，颗粒物、</w:t>
      </w:r>
      <w:r>
        <w:rPr>
          <w:rFonts w:ascii="Times New Roman"/>
        </w:rPr>
        <w:t>SO</w:t>
      </w:r>
      <w:r>
        <w:rPr>
          <w:rFonts w:ascii="Times New Roman"/>
          <w:vertAlign w:val="subscript"/>
        </w:rPr>
        <w:t>2</w:t>
      </w:r>
      <w:r>
        <w:rPr>
          <w:rFonts w:ascii="Times New Roman" w:hint="eastAsia"/>
        </w:rPr>
        <w:t>、</w:t>
      </w:r>
      <w:r>
        <w:rPr>
          <w:rFonts w:ascii="Times New Roman" w:hint="eastAsia"/>
        </w:rPr>
        <w:t>N</w:t>
      </w:r>
      <w:r>
        <w:rPr>
          <w:rFonts w:ascii="Times New Roman"/>
        </w:rPr>
        <w:t>O</w:t>
      </w:r>
      <w:r>
        <w:rPr>
          <w:rFonts w:ascii="Times New Roman" w:hint="eastAsia"/>
        </w:rPr>
        <w:t>x</w:t>
      </w:r>
      <w:r>
        <w:rPr>
          <w:rFonts w:ascii="Times New Roman" w:hint="eastAsia"/>
        </w:rPr>
        <w:t>排放浓度均低于《锅炉大气污染物排放标准》（</w:t>
      </w:r>
      <w:r>
        <w:rPr>
          <w:rFonts w:ascii="Times New Roman"/>
        </w:rPr>
        <w:t>GB13</w:t>
      </w:r>
      <w:r>
        <w:rPr>
          <w:rFonts w:ascii="Times New Roman" w:hint="eastAsia"/>
        </w:rPr>
        <w:t>271</w:t>
      </w:r>
      <w:r>
        <w:rPr>
          <w:rFonts w:ascii="Times New Roman"/>
        </w:rPr>
        <w:t>-20</w:t>
      </w:r>
      <w:r>
        <w:rPr>
          <w:rFonts w:ascii="Times New Roman" w:hint="eastAsia"/>
        </w:rPr>
        <w:t>14</w:t>
      </w:r>
      <w:r>
        <w:rPr>
          <w:rFonts w:ascii="Times New Roman" w:hint="eastAsia"/>
        </w:rPr>
        <w:t>）中表</w:t>
      </w:r>
      <w:r>
        <w:rPr>
          <w:rFonts w:ascii="Times New Roman" w:hint="eastAsia"/>
        </w:rPr>
        <w:t>3</w:t>
      </w:r>
      <w:r>
        <w:rPr>
          <w:rFonts w:ascii="Times New Roman" w:hint="eastAsia"/>
        </w:rPr>
        <w:t>特别排放限值，污染物排放浓度较低，对白芨滩自然保护区的影响较小。任家庄、丁家梁环评报告对保护区环境空气质量监测结果表明，</w:t>
      </w:r>
      <w:r>
        <w:rPr>
          <w:rFonts w:ascii="Times New Roman" w:hint="eastAsia"/>
        </w:rPr>
        <w:t>2009</w:t>
      </w:r>
      <w:r>
        <w:rPr>
          <w:rFonts w:ascii="Times New Roman" w:hint="eastAsia"/>
        </w:rPr>
        <w:t>至</w:t>
      </w:r>
      <w:r>
        <w:rPr>
          <w:rFonts w:ascii="Times New Roman" w:hint="eastAsia"/>
        </w:rPr>
        <w:t>2016</w:t>
      </w:r>
      <w:r>
        <w:rPr>
          <w:rFonts w:ascii="Times New Roman" w:hint="eastAsia"/>
        </w:rPr>
        <w:t>年，保护区环境空气质量变化不大。另根据对宁东基地内环境空气质量例行监测结果类比分析，基地内环境空气质量逐年改善，保护区与宁东基地紧邻，且保护区内无环境空气污染源，其环境空气质量应同步逐年改善。</w:t>
      </w:r>
    </w:p>
    <w:p w14:paraId="111F144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白芨滩自然保护区环境质量回顾见表</w:t>
      </w:r>
      <w:r>
        <w:rPr>
          <w:rFonts w:ascii="Times New Roman" w:hint="eastAsia"/>
        </w:rPr>
        <w:t>6</w:t>
      </w:r>
      <w:r>
        <w:rPr>
          <w:rFonts w:ascii="Times New Roman"/>
        </w:rPr>
        <w:t>.8</w:t>
      </w:r>
      <w:r>
        <w:rPr>
          <w:rFonts w:ascii="Times New Roman" w:hint="eastAsia"/>
        </w:rPr>
        <w:t>-</w:t>
      </w:r>
      <w:r>
        <w:rPr>
          <w:rFonts w:ascii="Times New Roman"/>
        </w:rPr>
        <w:t>1</w:t>
      </w:r>
      <w:r>
        <w:rPr>
          <w:rFonts w:ascii="Times New Roman" w:hint="eastAsia"/>
        </w:rPr>
        <w:t>。</w:t>
      </w:r>
    </w:p>
    <w:p w14:paraId="70599D37" w14:textId="77777777" w:rsidR="009C353B" w:rsidRDefault="00000000">
      <w:pPr>
        <w:adjustRightInd w:val="0"/>
        <w:snapToGrid w:val="0"/>
        <w:spacing w:line="440" w:lineRule="exact"/>
        <w:jc w:val="center"/>
        <w:rPr>
          <w:rFonts w:ascii="Times New Roman" w:hint="eastAsia"/>
          <w:b/>
        </w:rPr>
      </w:pPr>
      <w:r>
        <w:rPr>
          <w:rFonts w:ascii="Times New Roman" w:hint="eastAsia"/>
          <w:b/>
        </w:rPr>
        <w:t>白芨滩自然保护区环境空气质量回顾</w:t>
      </w:r>
    </w:p>
    <w:p w14:paraId="38F1346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表</w:t>
      </w:r>
      <w:r>
        <w:rPr>
          <w:rFonts w:ascii="Times New Roman" w:hint="eastAsia"/>
        </w:rPr>
        <w:t xml:space="preserve"> </w:t>
      </w:r>
      <w:r>
        <w:rPr>
          <w:rFonts w:ascii="Times New Roman"/>
        </w:rPr>
        <w:t>6.8</w:t>
      </w:r>
      <w:r>
        <w:rPr>
          <w:rFonts w:ascii="Times New Roman" w:hint="eastAsia"/>
        </w:rPr>
        <w:t>-</w:t>
      </w:r>
      <w:r>
        <w:rPr>
          <w:rFonts w:ascii="Times New Roman"/>
        </w:rPr>
        <w:t>1</w:t>
      </w:r>
      <w:r>
        <w:rPr>
          <w:rFonts w:ascii="Times New Roman" w:hint="eastAsia"/>
        </w:rPr>
        <w:t xml:space="preserve">                                  </w:t>
      </w:r>
      <w:r>
        <w:rPr>
          <w:rFonts w:ascii="Times New Roman" w:hint="eastAsia"/>
        </w:rPr>
        <w:t>单位：</w:t>
      </w:r>
      <w:r>
        <w:rPr>
          <w:rFonts w:ascii="Times New Roman" w:hint="eastAsia"/>
        </w:rPr>
        <w:t>CO</w:t>
      </w:r>
      <w:r>
        <w:rPr>
          <w:rFonts w:ascii="Times New Roman" w:hint="eastAsia"/>
        </w:rPr>
        <w:t>为</w:t>
      </w:r>
      <w:r>
        <w:rPr>
          <w:rFonts w:ascii="Times New Roman"/>
          <w:bCs/>
        </w:rPr>
        <w:t>mg/m</w:t>
      </w:r>
      <w:r>
        <w:rPr>
          <w:rFonts w:ascii="Times New Roman"/>
          <w:bCs/>
          <w:vertAlign w:val="superscript"/>
        </w:rPr>
        <w:t>3</w:t>
      </w:r>
      <w:r>
        <w:rPr>
          <w:rFonts w:ascii="Times New Roman" w:hint="eastAsia"/>
          <w:bCs/>
        </w:rPr>
        <w:t>，</w:t>
      </w:r>
      <w:r>
        <w:rPr>
          <w:rFonts w:ascii="Times New Roman"/>
          <w:bCs/>
        </w:rPr>
        <w:t>其余为</w:t>
      </w:r>
      <w:r>
        <w:rPr>
          <w:rFonts w:ascii="Times New Roman" w:hint="eastAsia"/>
          <w:bCs/>
        </w:rPr>
        <w:t>u</w:t>
      </w:r>
      <w:r>
        <w:rPr>
          <w:rFonts w:ascii="Times New Roman"/>
          <w:bCs/>
        </w:rPr>
        <w:t>g/m</w:t>
      </w:r>
      <w:r>
        <w:rPr>
          <w:rFonts w:ascii="Times New Roman"/>
          <w:bCs/>
          <w:vertAlign w:val="superscript"/>
        </w:rPr>
        <w:t>3</w:t>
      </w:r>
    </w:p>
    <w:tbl>
      <w:tblPr>
        <w:tblStyle w:val="afffb"/>
        <w:tblW w:w="5000" w:type="pct"/>
        <w:jc w:val="center"/>
        <w:tblLook w:val="04A0" w:firstRow="1" w:lastRow="0" w:firstColumn="1" w:lastColumn="0" w:noHBand="0" w:noVBand="1"/>
      </w:tblPr>
      <w:tblGrid>
        <w:gridCol w:w="2201"/>
        <w:gridCol w:w="1209"/>
        <w:gridCol w:w="958"/>
        <w:gridCol w:w="944"/>
        <w:gridCol w:w="971"/>
        <w:gridCol w:w="1108"/>
        <w:gridCol w:w="958"/>
        <w:gridCol w:w="938"/>
      </w:tblGrid>
      <w:tr w:rsidR="009C353B" w14:paraId="7EF5834B" w14:textId="77777777">
        <w:trPr>
          <w:jc w:val="center"/>
        </w:trPr>
        <w:tc>
          <w:tcPr>
            <w:tcW w:w="2201" w:type="dxa"/>
            <w:vAlign w:val="center"/>
          </w:tcPr>
          <w:p w14:paraId="18732836"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时间</w:t>
            </w:r>
          </w:p>
        </w:tc>
        <w:tc>
          <w:tcPr>
            <w:tcW w:w="1209" w:type="dxa"/>
            <w:vAlign w:val="center"/>
          </w:tcPr>
          <w:p w14:paraId="14DA5139"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SO</w:t>
            </w:r>
            <w:r>
              <w:rPr>
                <w:rFonts w:ascii="Times New Roman"/>
                <w:sz w:val="21"/>
                <w:szCs w:val="21"/>
                <w:vertAlign w:val="subscript"/>
              </w:rPr>
              <w:t>2</w:t>
            </w:r>
          </w:p>
        </w:tc>
        <w:tc>
          <w:tcPr>
            <w:tcW w:w="958" w:type="dxa"/>
            <w:vAlign w:val="center"/>
          </w:tcPr>
          <w:p w14:paraId="166AB4A0"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NO</w:t>
            </w:r>
            <w:r>
              <w:rPr>
                <w:rFonts w:ascii="Times New Roman"/>
                <w:sz w:val="21"/>
                <w:szCs w:val="21"/>
                <w:vertAlign w:val="subscript"/>
              </w:rPr>
              <w:t>2</w:t>
            </w:r>
          </w:p>
        </w:tc>
        <w:tc>
          <w:tcPr>
            <w:tcW w:w="944" w:type="dxa"/>
            <w:vAlign w:val="center"/>
          </w:tcPr>
          <w:p w14:paraId="16A02B74"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CO</w:t>
            </w:r>
          </w:p>
        </w:tc>
        <w:tc>
          <w:tcPr>
            <w:tcW w:w="971" w:type="dxa"/>
            <w:vAlign w:val="center"/>
          </w:tcPr>
          <w:p w14:paraId="19AFC601"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TSP</w:t>
            </w:r>
          </w:p>
        </w:tc>
        <w:tc>
          <w:tcPr>
            <w:tcW w:w="1108" w:type="dxa"/>
            <w:vAlign w:val="center"/>
          </w:tcPr>
          <w:p w14:paraId="074BC512"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PM</w:t>
            </w:r>
            <w:r>
              <w:rPr>
                <w:rFonts w:ascii="Times New Roman"/>
                <w:sz w:val="21"/>
                <w:szCs w:val="21"/>
                <w:vertAlign w:val="subscript"/>
              </w:rPr>
              <w:t>10</w:t>
            </w:r>
          </w:p>
        </w:tc>
        <w:tc>
          <w:tcPr>
            <w:tcW w:w="958" w:type="dxa"/>
            <w:vAlign w:val="center"/>
          </w:tcPr>
          <w:p w14:paraId="00D3F991"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PM</w:t>
            </w:r>
            <w:r>
              <w:rPr>
                <w:rFonts w:ascii="Times New Roman"/>
                <w:sz w:val="21"/>
                <w:szCs w:val="21"/>
                <w:vertAlign w:val="subscript"/>
              </w:rPr>
              <w:t>2.5</w:t>
            </w:r>
          </w:p>
        </w:tc>
        <w:tc>
          <w:tcPr>
            <w:tcW w:w="938" w:type="dxa"/>
            <w:vAlign w:val="center"/>
          </w:tcPr>
          <w:p w14:paraId="5F19E1BA"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O</w:t>
            </w:r>
            <w:r>
              <w:rPr>
                <w:rFonts w:ascii="Times New Roman"/>
                <w:sz w:val="21"/>
                <w:szCs w:val="21"/>
                <w:vertAlign w:val="superscript"/>
              </w:rPr>
              <w:t>3</w:t>
            </w:r>
          </w:p>
        </w:tc>
      </w:tr>
      <w:tr w:rsidR="009C353B" w14:paraId="11134D9A" w14:textId="77777777">
        <w:trPr>
          <w:jc w:val="center"/>
        </w:trPr>
        <w:tc>
          <w:tcPr>
            <w:tcW w:w="2201" w:type="dxa"/>
            <w:vAlign w:val="center"/>
          </w:tcPr>
          <w:p w14:paraId="2BBAE10A"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2009</w:t>
            </w:r>
            <w:r>
              <w:rPr>
                <w:rFonts w:ascii="Times New Roman"/>
                <w:sz w:val="21"/>
                <w:szCs w:val="21"/>
              </w:rPr>
              <w:t>年</w:t>
            </w:r>
            <w:r>
              <w:rPr>
                <w:rFonts w:ascii="Times New Roman"/>
                <w:sz w:val="21"/>
                <w:szCs w:val="21"/>
              </w:rPr>
              <w:t>9</w:t>
            </w:r>
            <w:r>
              <w:rPr>
                <w:rFonts w:ascii="Times New Roman"/>
                <w:sz w:val="21"/>
                <w:szCs w:val="21"/>
              </w:rPr>
              <w:t>月</w:t>
            </w:r>
          </w:p>
        </w:tc>
        <w:tc>
          <w:tcPr>
            <w:tcW w:w="1209" w:type="dxa"/>
            <w:vAlign w:val="center"/>
          </w:tcPr>
          <w:p w14:paraId="3B57FBCC" w14:textId="77777777" w:rsidR="009C353B" w:rsidRDefault="00000000">
            <w:pPr>
              <w:adjustRightInd w:val="0"/>
              <w:snapToGrid w:val="0"/>
              <w:spacing w:line="440" w:lineRule="exact"/>
              <w:jc w:val="center"/>
              <w:rPr>
                <w:rFonts w:ascii="Times New Roman" w:hint="eastAsia"/>
                <w:sz w:val="21"/>
                <w:szCs w:val="21"/>
              </w:rPr>
            </w:pPr>
            <w:r>
              <w:rPr>
                <w:rFonts w:ascii="Times New Roman"/>
                <w:bCs/>
                <w:sz w:val="21"/>
                <w:szCs w:val="21"/>
              </w:rPr>
              <w:t>未检出</w:t>
            </w:r>
            <w:r>
              <w:rPr>
                <w:rFonts w:ascii="Times New Roman"/>
                <w:bCs/>
                <w:sz w:val="21"/>
                <w:szCs w:val="21"/>
              </w:rPr>
              <w:t>-18</w:t>
            </w:r>
          </w:p>
        </w:tc>
        <w:tc>
          <w:tcPr>
            <w:tcW w:w="958" w:type="dxa"/>
            <w:vAlign w:val="center"/>
          </w:tcPr>
          <w:p w14:paraId="39639FAB"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8-36</w:t>
            </w:r>
          </w:p>
        </w:tc>
        <w:tc>
          <w:tcPr>
            <w:tcW w:w="944" w:type="dxa"/>
            <w:vAlign w:val="center"/>
          </w:tcPr>
          <w:p w14:paraId="3DF145CD"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w:t>
            </w:r>
          </w:p>
        </w:tc>
        <w:tc>
          <w:tcPr>
            <w:tcW w:w="971" w:type="dxa"/>
            <w:vAlign w:val="center"/>
          </w:tcPr>
          <w:p w14:paraId="6C0FABC7"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w:t>
            </w:r>
          </w:p>
        </w:tc>
        <w:tc>
          <w:tcPr>
            <w:tcW w:w="1108" w:type="dxa"/>
            <w:vAlign w:val="center"/>
          </w:tcPr>
          <w:p w14:paraId="303DD71F"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101-189</w:t>
            </w:r>
          </w:p>
        </w:tc>
        <w:tc>
          <w:tcPr>
            <w:tcW w:w="958" w:type="dxa"/>
            <w:vAlign w:val="center"/>
          </w:tcPr>
          <w:p w14:paraId="4F729468"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w:t>
            </w:r>
          </w:p>
        </w:tc>
        <w:tc>
          <w:tcPr>
            <w:tcW w:w="938" w:type="dxa"/>
            <w:vAlign w:val="center"/>
          </w:tcPr>
          <w:p w14:paraId="79B432F1"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w:t>
            </w:r>
          </w:p>
        </w:tc>
      </w:tr>
      <w:tr w:rsidR="009C353B" w14:paraId="5B8328CB" w14:textId="77777777">
        <w:trPr>
          <w:jc w:val="center"/>
        </w:trPr>
        <w:tc>
          <w:tcPr>
            <w:tcW w:w="2201" w:type="dxa"/>
            <w:vMerge w:val="restart"/>
            <w:vAlign w:val="center"/>
          </w:tcPr>
          <w:p w14:paraId="2C94BEC6"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2016</w:t>
            </w:r>
            <w:r>
              <w:rPr>
                <w:rFonts w:ascii="Times New Roman"/>
                <w:sz w:val="21"/>
                <w:szCs w:val="21"/>
              </w:rPr>
              <w:t>年</w:t>
            </w:r>
            <w:r>
              <w:rPr>
                <w:rFonts w:ascii="Times New Roman"/>
                <w:sz w:val="21"/>
                <w:szCs w:val="21"/>
              </w:rPr>
              <w:t>5</w:t>
            </w:r>
            <w:r>
              <w:rPr>
                <w:rFonts w:ascii="Times New Roman"/>
                <w:sz w:val="21"/>
                <w:szCs w:val="21"/>
              </w:rPr>
              <w:t>月</w:t>
            </w:r>
          </w:p>
        </w:tc>
        <w:tc>
          <w:tcPr>
            <w:tcW w:w="1209" w:type="dxa"/>
            <w:vAlign w:val="center"/>
          </w:tcPr>
          <w:p w14:paraId="616783C0"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13-23</w:t>
            </w:r>
          </w:p>
        </w:tc>
        <w:tc>
          <w:tcPr>
            <w:tcW w:w="958" w:type="dxa"/>
            <w:vAlign w:val="center"/>
          </w:tcPr>
          <w:p w14:paraId="5B364413"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20-31</w:t>
            </w:r>
          </w:p>
        </w:tc>
        <w:tc>
          <w:tcPr>
            <w:tcW w:w="944" w:type="dxa"/>
            <w:vAlign w:val="center"/>
          </w:tcPr>
          <w:p w14:paraId="4BDE7940" w14:textId="77777777" w:rsidR="009C353B" w:rsidRDefault="009C353B">
            <w:pPr>
              <w:adjustRightInd w:val="0"/>
              <w:snapToGrid w:val="0"/>
              <w:spacing w:line="440" w:lineRule="exact"/>
              <w:jc w:val="center"/>
              <w:rPr>
                <w:rFonts w:ascii="Times New Roman" w:hint="eastAsia"/>
                <w:sz w:val="21"/>
                <w:szCs w:val="21"/>
              </w:rPr>
            </w:pPr>
          </w:p>
        </w:tc>
        <w:tc>
          <w:tcPr>
            <w:tcW w:w="971" w:type="dxa"/>
            <w:vAlign w:val="center"/>
          </w:tcPr>
          <w:p w14:paraId="30DE58C1"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82-113</w:t>
            </w:r>
          </w:p>
        </w:tc>
        <w:tc>
          <w:tcPr>
            <w:tcW w:w="1108" w:type="dxa"/>
            <w:vAlign w:val="center"/>
          </w:tcPr>
          <w:p w14:paraId="5CFFA90C"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43-66</w:t>
            </w:r>
          </w:p>
        </w:tc>
        <w:tc>
          <w:tcPr>
            <w:tcW w:w="958" w:type="dxa"/>
            <w:vAlign w:val="center"/>
          </w:tcPr>
          <w:p w14:paraId="57050F65"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24-35</w:t>
            </w:r>
          </w:p>
        </w:tc>
        <w:tc>
          <w:tcPr>
            <w:tcW w:w="938" w:type="dxa"/>
            <w:vAlign w:val="center"/>
          </w:tcPr>
          <w:p w14:paraId="782C6DF4"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w:t>
            </w:r>
          </w:p>
        </w:tc>
      </w:tr>
      <w:tr w:rsidR="009C353B" w14:paraId="75A8D48F" w14:textId="77777777">
        <w:trPr>
          <w:jc w:val="center"/>
        </w:trPr>
        <w:tc>
          <w:tcPr>
            <w:tcW w:w="2201" w:type="dxa"/>
            <w:vMerge/>
            <w:vAlign w:val="center"/>
          </w:tcPr>
          <w:p w14:paraId="51C0D706" w14:textId="77777777" w:rsidR="009C353B" w:rsidRDefault="009C353B">
            <w:pPr>
              <w:adjustRightInd w:val="0"/>
              <w:snapToGrid w:val="0"/>
              <w:spacing w:line="440" w:lineRule="exact"/>
              <w:jc w:val="center"/>
              <w:rPr>
                <w:rFonts w:ascii="Times New Roman" w:hint="eastAsia"/>
                <w:sz w:val="21"/>
                <w:szCs w:val="21"/>
              </w:rPr>
            </w:pPr>
          </w:p>
        </w:tc>
        <w:tc>
          <w:tcPr>
            <w:tcW w:w="1209" w:type="dxa"/>
            <w:vAlign w:val="center"/>
          </w:tcPr>
          <w:p w14:paraId="6E05F4DE"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11-27</w:t>
            </w:r>
          </w:p>
        </w:tc>
        <w:tc>
          <w:tcPr>
            <w:tcW w:w="958" w:type="dxa"/>
            <w:vAlign w:val="center"/>
          </w:tcPr>
          <w:p w14:paraId="758FD3DE"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14-28</w:t>
            </w:r>
          </w:p>
        </w:tc>
        <w:tc>
          <w:tcPr>
            <w:tcW w:w="944" w:type="dxa"/>
            <w:vAlign w:val="center"/>
          </w:tcPr>
          <w:p w14:paraId="29BFE928" w14:textId="77777777" w:rsidR="009C353B" w:rsidRDefault="009C353B">
            <w:pPr>
              <w:adjustRightInd w:val="0"/>
              <w:snapToGrid w:val="0"/>
              <w:spacing w:line="440" w:lineRule="exact"/>
              <w:jc w:val="center"/>
              <w:rPr>
                <w:rFonts w:ascii="Times New Roman" w:hint="eastAsia"/>
                <w:sz w:val="21"/>
                <w:szCs w:val="21"/>
              </w:rPr>
            </w:pPr>
          </w:p>
        </w:tc>
        <w:tc>
          <w:tcPr>
            <w:tcW w:w="971" w:type="dxa"/>
            <w:vAlign w:val="center"/>
          </w:tcPr>
          <w:p w14:paraId="42606099"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64-110</w:t>
            </w:r>
          </w:p>
        </w:tc>
        <w:tc>
          <w:tcPr>
            <w:tcW w:w="1108" w:type="dxa"/>
            <w:vAlign w:val="center"/>
          </w:tcPr>
          <w:p w14:paraId="0666A8D9"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35-61</w:t>
            </w:r>
          </w:p>
        </w:tc>
        <w:tc>
          <w:tcPr>
            <w:tcW w:w="958" w:type="dxa"/>
            <w:vAlign w:val="center"/>
          </w:tcPr>
          <w:p w14:paraId="2B684973"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21-32</w:t>
            </w:r>
          </w:p>
        </w:tc>
        <w:tc>
          <w:tcPr>
            <w:tcW w:w="938" w:type="dxa"/>
            <w:vAlign w:val="center"/>
          </w:tcPr>
          <w:p w14:paraId="5AD69898"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w:t>
            </w:r>
          </w:p>
        </w:tc>
      </w:tr>
      <w:tr w:rsidR="009C353B" w14:paraId="06F1A653" w14:textId="77777777">
        <w:trPr>
          <w:jc w:val="center"/>
        </w:trPr>
        <w:tc>
          <w:tcPr>
            <w:tcW w:w="2201" w:type="dxa"/>
            <w:vAlign w:val="center"/>
          </w:tcPr>
          <w:p w14:paraId="68EF6DE1"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《环境空气质量标准》一级标准</w:t>
            </w:r>
          </w:p>
        </w:tc>
        <w:tc>
          <w:tcPr>
            <w:tcW w:w="1209" w:type="dxa"/>
            <w:vAlign w:val="center"/>
          </w:tcPr>
          <w:p w14:paraId="44573B5C"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50</w:t>
            </w:r>
          </w:p>
        </w:tc>
        <w:tc>
          <w:tcPr>
            <w:tcW w:w="958" w:type="dxa"/>
            <w:vAlign w:val="center"/>
          </w:tcPr>
          <w:p w14:paraId="618D2477"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80</w:t>
            </w:r>
          </w:p>
        </w:tc>
        <w:tc>
          <w:tcPr>
            <w:tcW w:w="944" w:type="dxa"/>
            <w:vAlign w:val="center"/>
          </w:tcPr>
          <w:p w14:paraId="7EBCE695"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4</w:t>
            </w:r>
          </w:p>
        </w:tc>
        <w:tc>
          <w:tcPr>
            <w:tcW w:w="971" w:type="dxa"/>
            <w:vAlign w:val="center"/>
          </w:tcPr>
          <w:p w14:paraId="2FE6DDE9"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120</w:t>
            </w:r>
          </w:p>
        </w:tc>
        <w:tc>
          <w:tcPr>
            <w:tcW w:w="1108" w:type="dxa"/>
            <w:vAlign w:val="center"/>
          </w:tcPr>
          <w:p w14:paraId="46DC102E"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50</w:t>
            </w:r>
          </w:p>
        </w:tc>
        <w:tc>
          <w:tcPr>
            <w:tcW w:w="958" w:type="dxa"/>
            <w:vAlign w:val="center"/>
          </w:tcPr>
          <w:p w14:paraId="03659B11"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35</w:t>
            </w:r>
          </w:p>
        </w:tc>
        <w:tc>
          <w:tcPr>
            <w:tcW w:w="938" w:type="dxa"/>
            <w:vAlign w:val="center"/>
          </w:tcPr>
          <w:p w14:paraId="6BFA934B" w14:textId="77777777" w:rsidR="009C353B" w:rsidRDefault="00000000">
            <w:pPr>
              <w:adjustRightInd w:val="0"/>
              <w:snapToGrid w:val="0"/>
              <w:spacing w:line="440" w:lineRule="exact"/>
              <w:jc w:val="center"/>
              <w:rPr>
                <w:rFonts w:ascii="Times New Roman" w:hint="eastAsia"/>
                <w:sz w:val="21"/>
                <w:szCs w:val="21"/>
              </w:rPr>
            </w:pPr>
            <w:r>
              <w:rPr>
                <w:rFonts w:ascii="Times New Roman"/>
                <w:sz w:val="21"/>
                <w:szCs w:val="21"/>
              </w:rPr>
              <w:t>100</w:t>
            </w:r>
          </w:p>
        </w:tc>
      </w:tr>
      <w:tr w:rsidR="009C353B" w14:paraId="65A4E96E" w14:textId="77777777">
        <w:trPr>
          <w:jc w:val="center"/>
        </w:trPr>
        <w:tc>
          <w:tcPr>
            <w:tcW w:w="9287" w:type="dxa"/>
            <w:gridSpan w:val="8"/>
            <w:vAlign w:val="center"/>
          </w:tcPr>
          <w:p w14:paraId="7F867E36" w14:textId="77777777" w:rsidR="009C353B" w:rsidRDefault="00000000">
            <w:pPr>
              <w:adjustRightInd w:val="0"/>
              <w:snapToGrid w:val="0"/>
              <w:spacing w:line="440" w:lineRule="exact"/>
              <w:jc w:val="left"/>
              <w:rPr>
                <w:rFonts w:ascii="Times New Roman" w:hint="eastAsia"/>
                <w:sz w:val="21"/>
                <w:szCs w:val="21"/>
              </w:rPr>
            </w:pPr>
            <w:r>
              <w:rPr>
                <w:rFonts w:ascii="Times New Roman" w:hint="eastAsia"/>
                <w:sz w:val="21"/>
                <w:szCs w:val="21"/>
              </w:rPr>
              <w:t>注：</w:t>
            </w:r>
            <w:r>
              <w:rPr>
                <w:rFonts w:ascii="Times New Roman" w:hint="eastAsia"/>
                <w:sz w:val="21"/>
                <w:szCs w:val="21"/>
              </w:rPr>
              <w:t>2009</w:t>
            </w:r>
            <w:r>
              <w:rPr>
                <w:rFonts w:ascii="Times New Roman" w:hint="eastAsia"/>
                <w:sz w:val="21"/>
                <w:szCs w:val="21"/>
              </w:rPr>
              <w:t>年数据来自于丁家梁环境影响报告书，</w:t>
            </w:r>
            <w:r>
              <w:rPr>
                <w:rFonts w:ascii="Times New Roman" w:hint="eastAsia"/>
                <w:sz w:val="21"/>
                <w:szCs w:val="21"/>
              </w:rPr>
              <w:t>2016</w:t>
            </w:r>
            <w:r>
              <w:rPr>
                <w:rFonts w:ascii="Times New Roman" w:hint="eastAsia"/>
                <w:sz w:val="21"/>
                <w:szCs w:val="21"/>
              </w:rPr>
              <w:t>年数据来源于任家庄煤矿环境影响现状评估报告</w:t>
            </w:r>
          </w:p>
        </w:tc>
      </w:tr>
    </w:tbl>
    <w:p w14:paraId="029C1F12" w14:textId="77777777" w:rsidR="009C353B" w:rsidRDefault="00000000">
      <w:pPr>
        <w:adjustRightInd w:val="0"/>
        <w:snapToGrid w:val="0"/>
        <w:spacing w:line="440" w:lineRule="exact"/>
        <w:ind w:firstLineChars="200" w:firstLine="482"/>
        <w:rPr>
          <w:rFonts w:ascii="Times New Roman" w:hint="eastAsia"/>
          <w:b/>
          <w:bCs/>
        </w:rPr>
      </w:pPr>
      <w:r>
        <w:rPr>
          <w:rFonts w:ascii="Times New Roman" w:hint="eastAsia"/>
          <w:b/>
          <w:bCs/>
        </w:rPr>
        <w:t>（</w:t>
      </w:r>
      <w:r>
        <w:rPr>
          <w:rFonts w:ascii="Times New Roman" w:hint="eastAsia"/>
          <w:b/>
          <w:bCs/>
        </w:rPr>
        <w:t>3</w:t>
      </w:r>
      <w:r>
        <w:rPr>
          <w:rFonts w:ascii="Times New Roman" w:hint="eastAsia"/>
          <w:b/>
          <w:bCs/>
        </w:rPr>
        <w:t>）矿区规划</w:t>
      </w:r>
      <w:r>
        <w:rPr>
          <w:rFonts w:ascii="Times New Roman"/>
          <w:b/>
          <w:bCs/>
        </w:rPr>
        <w:t>实施对</w:t>
      </w:r>
      <w:r>
        <w:rPr>
          <w:rFonts w:ascii="Times New Roman" w:hint="eastAsia"/>
          <w:b/>
          <w:bCs/>
        </w:rPr>
        <w:t>白芨滩</w:t>
      </w:r>
      <w:r>
        <w:rPr>
          <w:rFonts w:ascii="Times New Roman"/>
          <w:b/>
          <w:bCs/>
        </w:rPr>
        <w:t>自然保护区</w:t>
      </w:r>
      <w:r>
        <w:rPr>
          <w:rFonts w:ascii="Times New Roman" w:hint="eastAsia"/>
          <w:b/>
          <w:bCs/>
        </w:rPr>
        <w:t>的</w:t>
      </w:r>
      <w:r>
        <w:rPr>
          <w:rFonts w:ascii="Times New Roman"/>
          <w:b/>
          <w:bCs/>
        </w:rPr>
        <w:t>影响</w:t>
      </w:r>
      <w:r>
        <w:rPr>
          <w:rFonts w:ascii="Times New Roman" w:hint="eastAsia"/>
          <w:b/>
          <w:bCs/>
        </w:rPr>
        <w:t>评价</w:t>
      </w:r>
    </w:p>
    <w:p w14:paraId="3A609D8D" w14:textId="77777777" w:rsidR="009C353B" w:rsidRDefault="00000000">
      <w:pPr>
        <w:adjustRightInd w:val="0"/>
        <w:snapToGrid w:val="0"/>
        <w:spacing w:line="440" w:lineRule="exact"/>
        <w:ind w:firstLineChars="200" w:firstLine="480"/>
        <w:rPr>
          <w:rFonts w:ascii="Times New Roman" w:hint="eastAsia"/>
        </w:rPr>
      </w:pPr>
      <w:r>
        <w:rPr>
          <w:rFonts w:ascii="Times New Roman"/>
        </w:rPr>
        <w:t>保护区主要保护对象为：</w:t>
      </w:r>
      <w:r>
        <w:rPr>
          <w:rFonts w:ascii="Times New Roman" w:hint="eastAsia"/>
        </w:rPr>
        <w:t>我国自然保护区中面积最大的天然柠条、猫头刺、沙冬青植物群落，珍稀濒危动植物和极端脆弱的荒漠生态系统及黄河上中游的生态环境。</w:t>
      </w:r>
    </w:p>
    <w:p w14:paraId="278903EA" w14:textId="77777777" w:rsidR="009C353B" w:rsidRDefault="00000000">
      <w:pPr>
        <w:adjustRightInd w:val="0"/>
        <w:snapToGrid w:val="0"/>
        <w:spacing w:line="440" w:lineRule="exact"/>
        <w:ind w:firstLineChars="200" w:firstLine="482"/>
        <w:rPr>
          <w:rFonts w:ascii="Times New Roman" w:hint="eastAsia"/>
        </w:rPr>
      </w:pPr>
      <w:r>
        <w:rPr>
          <w:rFonts w:ascii="Times New Roman" w:hint="eastAsia"/>
          <w:b/>
          <w:bCs/>
        </w:rPr>
        <w:t>1</w:t>
      </w:r>
      <w:r>
        <w:rPr>
          <w:rFonts w:ascii="Times New Roman" w:hint="eastAsia"/>
          <w:b/>
          <w:bCs/>
        </w:rPr>
        <w:t>）规划实施开采沉陷对保护区的影响评价</w:t>
      </w:r>
    </w:p>
    <w:p w14:paraId="4E6802B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任家庄矿井井田边界与自然保护区实验区、缓冲区和核心区的最近距离分别约为</w:t>
      </w:r>
      <w:r>
        <w:rPr>
          <w:rFonts w:ascii="Times New Roman" w:hint="eastAsia"/>
        </w:rPr>
        <w:t>92m</w:t>
      </w:r>
      <w:r>
        <w:rPr>
          <w:rFonts w:ascii="Times New Roman" w:hint="eastAsia"/>
        </w:rPr>
        <w:t>、</w:t>
      </w:r>
      <w:r>
        <w:rPr>
          <w:rFonts w:ascii="Times New Roman" w:hint="eastAsia"/>
        </w:rPr>
        <w:t>5</w:t>
      </w:r>
      <w:r>
        <w:rPr>
          <w:rFonts w:ascii="Times New Roman"/>
        </w:rPr>
        <w:t>80m</w:t>
      </w:r>
      <w:r>
        <w:rPr>
          <w:rFonts w:ascii="Times New Roman"/>
        </w:rPr>
        <w:t>和</w:t>
      </w:r>
      <w:r>
        <w:rPr>
          <w:rFonts w:ascii="Times New Roman" w:hint="eastAsia"/>
        </w:rPr>
        <w:t>8</w:t>
      </w:r>
      <w:r>
        <w:rPr>
          <w:rFonts w:ascii="Times New Roman"/>
        </w:rPr>
        <w:t>30m</w:t>
      </w:r>
      <w:r>
        <w:rPr>
          <w:rFonts w:ascii="Times New Roman" w:hint="eastAsia"/>
        </w:rPr>
        <w:t>；丁家梁井田边界距离与自然保护区实验区、缓冲区和核心区的最近距离分别约为</w:t>
      </w:r>
      <w:r>
        <w:rPr>
          <w:rFonts w:ascii="Times New Roman"/>
        </w:rPr>
        <w:t>236</w:t>
      </w:r>
      <w:r>
        <w:rPr>
          <w:rFonts w:ascii="Times New Roman" w:hint="eastAsia"/>
        </w:rPr>
        <w:t>m</w:t>
      </w:r>
      <w:r>
        <w:rPr>
          <w:rFonts w:ascii="Times New Roman" w:hint="eastAsia"/>
        </w:rPr>
        <w:t>（东南角最近距离</w:t>
      </w:r>
      <w:r>
        <w:rPr>
          <w:rFonts w:ascii="Times New Roman" w:hint="eastAsia"/>
        </w:rPr>
        <w:t>2</w:t>
      </w:r>
      <w:r>
        <w:rPr>
          <w:rFonts w:ascii="Times New Roman"/>
        </w:rPr>
        <w:t>36m</w:t>
      </w:r>
      <w:r>
        <w:rPr>
          <w:rFonts w:ascii="Times New Roman" w:hint="eastAsia"/>
        </w:rPr>
        <w:t>，西侧最近距离约</w:t>
      </w:r>
      <w:r>
        <w:rPr>
          <w:rFonts w:ascii="Times New Roman" w:hint="eastAsia"/>
        </w:rPr>
        <w:t>4</w:t>
      </w:r>
      <w:r>
        <w:rPr>
          <w:rFonts w:ascii="Times New Roman"/>
        </w:rPr>
        <w:t>80m</w:t>
      </w:r>
      <w:r>
        <w:rPr>
          <w:rFonts w:ascii="Times New Roman" w:hint="eastAsia"/>
        </w:rPr>
        <w:t>）、</w:t>
      </w:r>
      <w:r>
        <w:rPr>
          <w:rFonts w:ascii="Times New Roman"/>
        </w:rPr>
        <w:t>1620m</w:t>
      </w:r>
      <w:r>
        <w:rPr>
          <w:rFonts w:ascii="Times New Roman"/>
        </w:rPr>
        <w:t>和</w:t>
      </w:r>
      <w:r>
        <w:rPr>
          <w:rFonts w:ascii="Times New Roman"/>
        </w:rPr>
        <w:t>1970m</w:t>
      </w:r>
      <w:r>
        <w:rPr>
          <w:rFonts w:ascii="Times New Roman" w:hint="eastAsia"/>
        </w:rPr>
        <w:t>。红石湾煤矿井田距保护区边界最近约</w:t>
      </w:r>
      <w:r>
        <w:rPr>
          <w:rFonts w:ascii="Times New Roman" w:hint="eastAsia"/>
        </w:rPr>
        <w:t>1280m</w:t>
      </w:r>
      <w:r>
        <w:rPr>
          <w:rFonts w:ascii="Times New Roman" w:hint="eastAsia"/>
        </w:rPr>
        <w:t>。根据预测，任家庄、丁家梁、红石湾沉陷影响半径分别为</w:t>
      </w:r>
      <w:r>
        <w:rPr>
          <w:rFonts w:ascii="Times New Roman" w:hint="eastAsia"/>
        </w:rPr>
        <w:t>280m</w:t>
      </w:r>
      <w:r>
        <w:rPr>
          <w:rFonts w:ascii="Times New Roman" w:hint="eastAsia"/>
        </w:rPr>
        <w:t>、</w:t>
      </w:r>
      <w:r>
        <w:rPr>
          <w:rFonts w:ascii="Times New Roman" w:hint="eastAsia"/>
        </w:rPr>
        <w:t>350m</w:t>
      </w:r>
      <w:r>
        <w:rPr>
          <w:rFonts w:ascii="Times New Roman" w:hint="eastAsia"/>
        </w:rPr>
        <w:t>、</w:t>
      </w:r>
      <w:r>
        <w:rPr>
          <w:rFonts w:ascii="Times New Roman" w:hint="eastAsia"/>
        </w:rPr>
        <w:t>213m</w:t>
      </w:r>
      <w:r>
        <w:rPr>
          <w:rFonts w:ascii="Times New Roman" w:hint="eastAsia"/>
        </w:rPr>
        <w:t>，</w:t>
      </w:r>
      <w:r>
        <w:rPr>
          <w:rFonts w:ascii="Times New Roman"/>
        </w:rPr>
        <w:t>矿区规划实施后，任家庄井田西侧距离自然保护区实验区较近</w:t>
      </w:r>
      <w:r>
        <w:rPr>
          <w:rFonts w:ascii="Times New Roman" w:hint="eastAsia"/>
        </w:rPr>
        <w:t>，</w:t>
      </w:r>
      <w:r>
        <w:rPr>
          <w:rFonts w:ascii="Times New Roman"/>
        </w:rPr>
        <w:t>局部在沉陷影响半径范围内</w:t>
      </w:r>
      <w:r>
        <w:rPr>
          <w:rFonts w:ascii="Times New Roman" w:hint="eastAsia"/>
        </w:rPr>
        <w:t>，</w:t>
      </w:r>
      <w:r>
        <w:rPr>
          <w:rFonts w:ascii="Times New Roman"/>
        </w:rPr>
        <w:t>可能受到开采沉陷影响</w:t>
      </w:r>
      <w:r>
        <w:rPr>
          <w:rFonts w:ascii="Times New Roman" w:hint="eastAsia"/>
        </w:rPr>
        <w:t>。为避免</w:t>
      </w:r>
      <w:r>
        <w:rPr>
          <w:rFonts w:ascii="Times New Roman"/>
        </w:rPr>
        <w:t>任家庄井田后续开采沉陷影响到自然保护区</w:t>
      </w:r>
      <w:r>
        <w:rPr>
          <w:rFonts w:ascii="Times New Roman" w:hint="eastAsia"/>
        </w:rPr>
        <w:t>，</w:t>
      </w:r>
      <w:r>
        <w:rPr>
          <w:rFonts w:ascii="Times New Roman"/>
        </w:rPr>
        <w:t>本次评价提出</w:t>
      </w:r>
      <w:r>
        <w:rPr>
          <w:rFonts w:ascii="Times New Roman" w:hint="eastAsia"/>
        </w:rPr>
        <w:t>，</w:t>
      </w:r>
      <w:r>
        <w:rPr>
          <w:rFonts w:ascii="Times New Roman"/>
        </w:rPr>
        <w:t>任家庄井田后续开采过程中</w:t>
      </w:r>
      <w:r>
        <w:rPr>
          <w:rFonts w:ascii="Times New Roman" w:hint="eastAsia"/>
        </w:rPr>
        <w:t>，</w:t>
      </w:r>
      <w:r>
        <w:rPr>
          <w:rFonts w:ascii="Times New Roman"/>
        </w:rPr>
        <w:t>应参考本次评价计算的沉陷影响</w:t>
      </w:r>
      <w:r>
        <w:rPr>
          <w:rFonts w:ascii="Times New Roman" w:hint="eastAsia"/>
        </w:rPr>
        <w:t>半径</w:t>
      </w:r>
      <w:r>
        <w:rPr>
          <w:rFonts w:ascii="Times New Roman" w:hint="eastAsia"/>
        </w:rPr>
        <w:t>280m</w:t>
      </w:r>
      <w:r>
        <w:rPr>
          <w:rFonts w:ascii="Times New Roman"/>
        </w:rPr>
        <w:t>对自然保护区留设保护煤柱</w:t>
      </w:r>
      <w:r>
        <w:rPr>
          <w:rFonts w:ascii="Times New Roman" w:hint="eastAsia"/>
        </w:rPr>
        <w:t>，并在后续开采过程中</w:t>
      </w:r>
      <w:r>
        <w:rPr>
          <w:rFonts w:ascii="Times New Roman"/>
        </w:rPr>
        <w:t>根据井田开采沉陷观测实际参数</w:t>
      </w:r>
      <w:r>
        <w:rPr>
          <w:rFonts w:ascii="Times New Roman" w:hint="eastAsia"/>
        </w:rPr>
        <w:t>，适时调整煤柱范围，确保不影响自然保护区。丁家梁井田西侧由于距离自然保护区实验区在</w:t>
      </w:r>
      <w:r>
        <w:rPr>
          <w:rFonts w:ascii="Times New Roman" w:hint="eastAsia"/>
        </w:rPr>
        <w:t>4</w:t>
      </w:r>
      <w:r>
        <w:rPr>
          <w:rFonts w:ascii="Times New Roman"/>
        </w:rPr>
        <w:t>80m</w:t>
      </w:r>
      <w:r>
        <w:rPr>
          <w:rFonts w:ascii="Times New Roman"/>
        </w:rPr>
        <w:t>以上</w:t>
      </w:r>
      <w:r>
        <w:rPr>
          <w:rFonts w:ascii="Times New Roman" w:hint="eastAsia"/>
        </w:rPr>
        <w:t>，</w:t>
      </w:r>
      <w:r>
        <w:rPr>
          <w:rFonts w:ascii="Times New Roman"/>
        </w:rPr>
        <w:t>不会受到开采沉陷影响</w:t>
      </w:r>
      <w:r>
        <w:rPr>
          <w:rFonts w:ascii="Times New Roman" w:hint="eastAsia"/>
        </w:rPr>
        <w:t>。</w:t>
      </w:r>
      <w:r>
        <w:rPr>
          <w:rFonts w:ascii="Times New Roman"/>
        </w:rPr>
        <w:t>虽然丁家梁井田南侧东南角距离自然保护区实验区较近</w:t>
      </w:r>
      <w:r>
        <w:rPr>
          <w:rFonts w:ascii="Times New Roman" w:hint="eastAsia"/>
        </w:rPr>
        <w:t>，</w:t>
      </w:r>
      <w:r>
        <w:rPr>
          <w:rFonts w:ascii="Times New Roman"/>
        </w:rPr>
        <w:t>但由于丁家梁井田在鸭子荡水库大坝南侧</w:t>
      </w:r>
      <w:r>
        <w:rPr>
          <w:rFonts w:ascii="Times New Roman" w:hint="eastAsia"/>
        </w:rPr>
        <w:t>1</w:t>
      </w:r>
      <w:r>
        <w:rPr>
          <w:rFonts w:ascii="Times New Roman"/>
        </w:rPr>
        <w:t>.8km</w:t>
      </w:r>
      <w:r>
        <w:rPr>
          <w:rFonts w:ascii="Times New Roman"/>
        </w:rPr>
        <w:t>区域已禁止开采</w:t>
      </w:r>
      <w:r>
        <w:rPr>
          <w:rFonts w:ascii="Times New Roman" w:hint="eastAsia"/>
        </w:rPr>
        <w:t>，不会影响到白芨滩自然保护区。</w:t>
      </w:r>
    </w:p>
    <w:p w14:paraId="073E31F5" w14:textId="77777777" w:rsidR="009C353B" w:rsidRDefault="00000000">
      <w:pPr>
        <w:adjustRightInd w:val="0"/>
        <w:snapToGrid w:val="0"/>
        <w:spacing w:line="440" w:lineRule="exact"/>
        <w:ind w:firstLineChars="200" w:firstLine="482"/>
        <w:rPr>
          <w:rFonts w:ascii="Times New Roman" w:hint="eastAsia"/>
          <w:b/>
          <w:bCs/>
        </w:rPr>
      </w:pPr>
      <w:r>
        <w:rPr>
          <w:rFonts w:ascii="Times New Roman" w:hint="eastAsia"/>
          <w:b/>
          <w:bCs/>
        </w:rPr>
        <w:t>2</w:t>
      </w:r>
      <w:r>
        <w:rPr>
          <w:rFonts w:ascii="Times New Roman" w:hint="eastAsia"/>
          <w:b/>
          <w:bCs/>
        </w:rPr>
        <w:t>）</w:t>
      </w:r>
      <w:r>
        <w:rPr>
          <w:rFonts w:ascii="Times New Roman"/>
          <w:b/>
          <w:bCs/>
        </w:rPr>
        <w:t>矿区</w:t>
      </w:r>
      <w:r>
        <w:rPr>
          <w:rFonts w:ascii="Times New Roman" w:hint="eastAsia"/>
          <w:b/>
          <w:bCs/>
        </w:rPr>
        <w:t>规划</w:t>
      </w:r>
      <w:r>
        <w:rPr>
          <w:rFonts w:ascii="Times New Roman"/>
          <w:b/>
          <w:bCs/>
        </w:rPr>
        <w:t>实施对白芨滩自然保护区地下水的影响</w:t>
      </w:r>
      <w:r>
        <w:rPr>
          <w:rFonts w:ascii="Times New Roman" w:hint="eastAsia"/>
          <w:b/>
          <w:bCs/>
        </w:rPr>
        <w:t>评价</w:t>
      </w:r>
    </w:p>
    <w:p w14:paraId="780F2BF0"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煤矿开采过程中，矿井疏干排水，消耗地下水的静储量。随着煤矿的开采，周边地区的地下水位会随之下降。地下水位下降，会间接的影响植物生长，而且这种影响是长期的。</w:t>
      </w:r>
    </w:p>
    <w:p w14:paraId="79158F45"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矿区内第四系含水层大多透水不含水，保护区内潜水的聚集和贮存条件极差，地下水一般在丘陵中的沟整、洼地及大面积沙带中有少量分布。根据前面地下水环境影响分析，导裂带影响不到潜水含水层，煤矿开采对第四系含水层水位、水质影响均较小。第四系潜水含水层下部存在古近系清水营组粘土隔水层，该隔水层主要为厚层亚粘土，结构致密，具有可塑性，是第四系与基岩裂隙孔隙含水层之间稳定且隔水性能良好的的隔水介质，在丁家梁井田厚度一般在</w:t>
      </w:r>
      <w:r>
        <w:rPr>
          <w:rFonts w:ascii="Times New Roman" w:hAnsi="Times New Roman"/>
        </w:rPr>
        <w:t>80</w:t>
      </w:r>
      <w:r>
        <w:rPr>
          <w:rFonts w:ascii="Times New Roman" w:hAnsi="Times New Roman"/>
        </w:rPr>
        <w:t>～</w:t>
      </w:r>
      <w:r>
        <w:rPr>
          <w:rFonts w:ascii="Times New Roman" w:hAnsi="Times New Roman"/>
        </w:rPr>
        <w:t>130m</w:t>
      </w:r>
      <w:r>
        <w:rPr>
          <w:rFonts w:ascii="Times New Roman" w:hAnsi="Times New Roman"/>
        </w:rPr>
        <w:t>，马莲台煤矿厚度</w:t>
      </w:r>
      <w:r>
        <w:rPr>
          <w:rFonts w:ascii="Times New Roman" w:hAnsi="Times New Roman"/>
        </w:rPr>
        <w:t>92.78</w:t>
      </w:r>
      <w:r>
        <w:rPr>
          <w:rFonts w:ascii="Times New Roman" w:hAnsi="Times New Roman"/>
        </w:rPr>
        <w:t>～</w:t>
      </w:r>
      <w:r>
        <w:rPr>
          <w:rFonts w:ascii="Times New Roman" w:hAnsi="Times New Roman"/>
        </w:rPr>
        <w:t>242.45m</w:t>
      </w:r>
      <w:r>
        <w:rPr>
          <w:rFonts w:ascii="Times New Roman" w:hAnsi="Times New Roman"/>
        </w:rPr>
        <w:t>，平均</w:t>
      </w:r>
      <w:r>
        <w:rPr>
          <w:rFonts w:ascii="Times New Roman" w:hAnsi="Times New Roman"/>
        </w:rPr>
        <w:t>175m</w:t>
      </w:r>
      <w:r>
        <w:rPr>
          <w:rFonts w:ascii="Times New Roman" w:hAnsi="Times New Roman"/>
        </w:rPr>
        <w:t>，红石湾煤矿平均厚</w:t>
      </w:r>
      <w:r>
        <w:rPr>
          <w:rFonts w:ascii="Times New Roman" w:hAnsi="Times New Roman"/>
        </w:rPr>
        <w:t>160m</w:t>
      </w:r>
      <w:r>
        <w:rPr>
          <w:rFonts w:ascii="Times New Roman" w:hAnsi="Times New Roman"/>
        </w:rPr>
        <w:t>左右，任家庄平均厚</w:t>
      </w:r>
      <w:r>
        <w:rPr>
          <w:rFonts w:ascii="Times New Roman" w:hAnsi="Times New Roman"/>
        </w:rPr>
        <w:t>90m</w:t>
      </w:r>
      <w:r>
        <w:rPr>
          <w:rFonts w:ascii="Times New Roman" w:hAnsi="Times New Roman" w:hint="eastAsia"/>
        </w:rPr>
        <w:t>。故本区域的地下开采不会对白芨滩自然保护区第四系潜水含水层产生直接影响，其间接影响也较轻微。</w:t>
      </w:r>
    </w:p>
    <w:p w14:paraId="4B263849"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白芨滩自然保护区属于荒漠生态系统，保护区内包括猫头刺等在内的植被主要为荒漠植被和沙生植被，主要依赖大气降水和凝结水生长，对地下水的依赖性不大。</w:t>
      </w:r>
    </w:p>
    <w:p w14:paraId="144A29DB"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rPr>
        <w:t>因此，保护区内的第四系含水层基本不受煤矿开采影响，对于白芨滩自然保护区植被的影响较小。</w:t>
      </w:r>
    </w:p>
    <w:p w14:paraId="7C346828" w14:textId="77777777" w:rsidR="009C353B" w:rsidRDefault="00000000">
      <w:pPr>
        <w:adjustRightInd w:val="0"/>
        <w:snapToGrid w:val="0"/>
        <w:spacing w:line="440" w:lineRule="exact"/>
        <w:ind w:firstLineChars="200" w:firstLine="482"/>
        <w:rPr>
          <w:rFonts w:ascii="Times New Roman" w:hAnsi="Times New Roman"/>
          <w:b/>
          <w:bCs/>
          <w:szCs w:val="24"/>
        </w:rPr>
      </w:pPr>
      <w:r>
        <w:rPr>
          <w:rFonts w:ascii="Times New Roman" w:hAnsi="Times New Roman" w:hint="eastAsia"/>
          <w:b/>
          <w:bCs/>
          <w:szCs w:val="24"/>
        </w:rPr>
        <w:t>3</w:t>
      </w:r>
      <w:r>
        <w:rPr>
          <w:rFonts w:ascii="Times New Roman" w:hAnsi="Times New Roman" w:hint="eastAsia"/>
          <w:b/>
          <w:bCs/>
          <w:szCs w:val="24"/>
        </w:rPr>
        <w:t>）</w:t>
      </w:r>
      <w:r>
        <w:rPr>
          <w:rFonts w:ascii="Times New Roman" w:hAnsi="Times New Roman"/>
          <w:b/>
          <w:bCs/>
          <w:szCs w:val="24"/>
        </w:rPr>
        <w:t>矿区</w:t>
      </w:r>
      <w:r>
        <w:rPr>
          <w:rFonts w:ascii="Times New Roman" w:hAnsi="Times New Roman" w:hint="eastAsia"/>
          <w:b/>
          <w:bCs/>
          <w:szCs w:val="24"/>
        </w:rPr>
        <w:t>规划</w:t>
      </w:r>
      <w:r>
        <w:rPr>
          <w:rFonts w:ascii="Times New Roman" w:hAnsi="Times New Roman"/>
          <w:b/>
          <w:bCs/>
          <w:szCs w:val="24"/>
        </w:rPr>
        <w:t>实施对白芨滩自然保护区</w:t>
      </w:r>
      <w:r>
        <w:rPr>
          <w:rFonts w:ascii="Times New Roman" w:hAnsi="Times New Roman" w:hint="eastAsia"/>
          <w:b/>
          <w:bCs/>
          <w:szCs w:val="24"/>
        </w:rPr>
        <w:t>的</w:t>
      </w:r>
      <w:r>
        <w:rPr>
          <w:rFonts w:ascii="Times New Roman" w:hAnsi="Times New Roman"/>
          <w:b/>
          <w:bCs/>
          <w:szCs w:val="24"/>
        </w:rPr>
        <w:t>污染影响分析</w:t>
      </w:r>
    </w:p>
    <w:p w14:paraId="018CD02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本矿区规划矿井除任家庄、丁家梁供热方式为燃气锅炉外，马莲台煤矿、红石湾煤矿均采用电厂余热供热，从环境空气污染角度看排放的大气污染物主要为</w:t>
      </w:r>
      <w:r>
        <w:rPr>
          <w:rFonts w:ascii="Times New Roman"/>
        </w:rPr>
        <w:t>NO</w:t>
      </w:r>
      <w:r>
        <w:rPr>
          <w:rFonts w:ascii="Times New Roman" w:hint="eastAsia"/>
        </w:rPr>
        <w:t>x</w:t>
      </w:r>
      <w:r>
        <w:rPr>
          <w:rFonts w:ascii="Times New Roman" w:hint="eastAsia"/>
        </w:rPr>
        <w:t>和颗粒物。</w:t>
      </w:r>
    </w:p>
    <w:p w14:paraId="121B1BC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其中任家庄煤矿工业场地距离保护区边界约</w:t>
      </w:r>
      <w:r>
        <w:rPr>
          <w:rFonts w:ascii="Times New Roman"/>
        </w:rPr>
        <w:t>150m</w:t>
      </w:r>
      <w:r>
        <w:rPr>
          <w:rFonts w:ascii="Times New Roman" w:hint="eastAsia"/>
        </w:rPr>
        <w:t>。根据任家庄煤矿燃气锅炉烟气监测结果，烟气中</w:t>
      </w:r>
      <w:r>
        <w:rPr>
          <w:rFonts w:ascii="Times New Roman"/>
        </w:rPr>
        <w:t>颗粒物浓度为</w:t>
      </w:r>
      <w:r>
        <w:rPr>
          <w:rFonts w:ascii="Times New Roman" w:hint="eastAsia"/>
        </w:rPr>
        <w:t>0.4-3.9</w:t>
      </w:r>
      <w:r>
        <w:rPr>
          <w:rFonts w:ascii="Times New Roman"/>
        </w:rPr>
        <w:t>mg/Nm</w:t>
      </w:r>
      <w:r>
        <w:rPr>
          <w:rFonts w:ascii="Times New Roman"/>
          <w:vertAlign w:val="superscript"/>
        </w:rPr>
        <w:t>3</w:t>
      </w:r>
      <w:r>
        <w:rPr>
          <w:rFonts w:ascii="Times New Roman"/>
        </w:rPr>
        <w:t>、</w:t>
      </w:r>
      <w:r>
        <w:rPr>
          <w:rFonts w:ascii="Times New Roman"/>
        </w:rPr>
        <w:t>SO</w:t>
      </w:r>
      <w:r>
        <w:rPr>
          <w:rFonts w:ascii="Times New Roman"/>
          <w:vertAlign w:val="subscript"/>
        </w:rPr>
        <w:t>2</w:t>
      </w:r>
      <w:r>
        <w:rPr>
          <w:rFonts w:ascii="Times New Roman"/>
        </w:rPr>
        <w:t>浓度为</w:t>
      </w:r>
      <w:r>
        <w:rPr>
          <w:rFonts w:ascii="Times New Roman" w:hint="eastAsia"/>
        </w:rPr>
        <w:t>2.7-5</w:t>
      </w:r>
      <w:r>
        <w:rPr>
          <w:rFonts w:ascii="Times New Roman"/>
        </w:rPr>
        <w:t>mg/Nm</w:t>
      </w:r>
      <w:r>
        <w:rPr>
          <w:rFonts w:ascii="Times New Roman"/>
          <w:vertAlign w:val="superscript"/>
        </w:rPr>
        <w:t>3</w:t>
      </w:r>
      <w:r>
        <w:rPr>
          <w:rFonts w:ascii="Times New Roman" w:hint="eastAsia"/>
        </w:rPr>
        <w:t>、</w:t>
      </w:r>
      <w:r>
        <w:rPr>
          <w:rFonts w:ascii="Times New Roman" w:hint="eastAsia"/>
        </w:rPr>
        <w:t>N</w:t>
      </w:r>
      <w:r>
        <w:rPr>
          <w:rFonts w:ascii="Times New Roman"/>
        </w:rPr>
        <w:t>O</w:t>
      </w:r>
      <w:r>
        <w:rPr>
          <w:rFonts w:ascii="Times New Roman" w:hint="eastAsia"/>
        </w:rPr>
        <w:t>x</w:t>
      </w:r>
      <w:r>
        <w:rPr>
          <w:rFonts w:ascii="Times New Roman"/>
        </w:rPr>
        <w:t>浓度为</w:t>
      </w:r>
      <w:r>
        <w:rPr>
          <w:rFonts w:ascii="Times New Roman" w:hint="eastAsia"/>
        </w:rPr>
        <w:t>16.2-45</w:t>
      </w:r>
      <w:r>
        <w:rPr>
          <w:rFonts w:ascii="Times New Roman"/>
        </w:rPr>
        <w:t>mg/Nm</w:t>
      </w:r>
      <w:r>
        <w:rPr>
          <w:rFonts w:ascii="Times New Roman"/>
          <w:vertAlign w:val="superscript"/>
        </w:rPr>
        <w:t>3</w:t>
      </w:r>
      <w:r>
        <w:rPr>
          <w:rFonts w:ascii="Times New Roman" w:hint="eastAsia"/>
        </w:rPr>
        <w:t>，颗粒物、</w:t>
      </w:r>
      <w:r>
        <w:rPr>
          <w:rFonts w:ascii="Times New Roman"/>
        </w:rPr>
        <w:t>SO</w:t>
      </w:r>
      <w:r>
        <w:rPr>
          <w:rFonts w:ascii="Times New Roman"/>
          <w:vertAlign w:val="subscript"/>
        </w:rPr>
        <w:t>2</w:t>
      </w:r>
      <w:r>
        <w:rPr>
          <w:rFonts w:ascii="Times New Roman" w:hint="eastAsia"/>
        </w:rPr>
        <w:t>、</w:t>
      </w:r>
      <w:r>
        <w:rPr>
          <w:rFonts w:ascii="Times New Roman" w:hint="eastAsia"/>
        </w:rPr>
        <w:t>N</w:t>
      </w:r>
      <w:r>
        <w:rPr>
          <w:rFonts w:ascii="Times New Roman"/>
        </w:rPr>
        <w:t>O</w:t>
      </w:r>
      <w:r>
        <w:rPr>
          <w:rFonts w:ascii="Times New Roman" w:hint="eastAsia"/>
        </w:rPr>
        <w:t>x</w:t>
      </w:r>
      <w:r>
        <w:rPr>
          <w:rFonts w:ascii="Times New Roman" w:hint="eastAsia"/>
        </w:rPr>
        <w:t>排放浓度均低于《锅炉大气污染物排放标准》（</w:t>
      </w:r>
      <w:r>
        <w:rPr>
          <w:rFonts w:ascii="Times New Roman"/>
        </w:rPr>
        <w:t>GB13</w:t>
      </w:r>
      <w:r>
        <w:rPr>
          <w:rFonts w:ascii="Times New Roman" w:hint="eastAsia"/>
        </w:rPr>
        <w:t>271</w:t>
      </w:r>
      <w:r>
        <w:rPr>
          <w:rFonts w:ascii="Times New Roman"/>
        </w:rPr>
        <w:t>-20</w:t>
      </w:r>
      <w:r>
        <w:rPr>
          <w:rFonts w:ascii="Times New Roman" w:hint="eastAsia"/>
        </w:rPr>
        <w:t>14</w:t>
      </w:r>
      <w:r>
        <w:rPr>
          <w:rFonts w:ascii="Times New Roman" w:hint="eastAsia"/>
        </w:rPr>
        <w:t>）中表</w:t>
      </w:r>
      <w:r>
        <w:rPr>
          <w:rFonts w:ascii="Times New Roman" w:hint="eastAsia"/>
        </w:rPr>
        <w:t>3</w:t>
      </w:r>
      <w:r>
        <w:rPr>
          <w:rFonts w:ascii="Times New Roman" w:hint="eastAsia"/>
        </w:rPr>
        <w:t>特别排放限值，污染物排放浓度较低，对白芨滩自然保护区的影响较小。丁家梁煤矿锅炉房距离保护区约</w:t>
      </w:r>
      <w:r>
        <w:rPr>
          <w:rFonts w:ascii="Times New Roman" w:hint="eastAsia"/>
        </w:rPr>
        <w:t>1km</w:t>
      </w:r>
      <w:r>
        <w:rPr>
          <w:rFonts w:ascii="Times New Roman" w:hint="eastAsia"/>
        </w:rPr>
        <w:t>，类比任家庄煤矿，燃气锅炉污染物排放浓度低，且距离较远，对白芨滩自然保护区的影响较小。同时，由于任家庄煤矿是生产煤矿，因此目前白芨滩自然保护区的环境质量现状可代表规划实施后对该保护区的影响情况，根据本次环评收集的白芨滩自然保护区的环境质量现状可知，</w:t>
      </w:r>
      <w:r>
        <w:rPr>
          <w:rFonts w:ascii="Times New Roman" w:hint="eastAsia"/>
        </w:rPr>
        <w:t xml:space="preserve"> 2019</w:t>
      </w:r>
      <w:r>
        <w:rPr>
          <w:rFonts w:ascii="Times New Roman" w:hint="eastAsia"/>
        </w:rPr>
        <w:t>年该保护区环境空气质量监测指标均满足</w:t>
      </w:r>
      <w:r>
        <w:rPr>
          <w:rFonts w:ascii="Times New Roman"/>
        </w:rPr>
        <w:t>《环境空气质量标准》</w:t>
      </w:r>
      <w:r>
        <w:rPr>
          <w:rFonts w:ascii="Times New Roman" w:hint="eastAsia"/>
        </w:rPr>
        <w:t>一级</w:t>
      </w:r>
      <w:r>
        <w:rPr>
          <w:rFonts w:ascii="Times New Roman"/>
        </w:rPr>
        <w:t>标准要求</w:t>
      </w:r>
      <w:r>
        <w:rPr>
          <w:rFonts w:ascii="Times New Roman" w:hint="eastAsia"/>
        </w:rPr>
        <w:t>，无超标现象。综上，本矿区规划的实施对白芨滩自然保护区环境空气影响较小。</w:t>
      </w:r>
    </w:p>
    <w:p w14:paraId="3504609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白芨滩自然保护区环境质量现状见表</w:t>
      </w:r>
      <w:r>
        <w:rPr>
          <w:rFonts w:ascii="Times New Roman" w:hint="eastAsia"/>
        </w:rPr>
        <w:t>6</w:t>
      </w:r>
      <w:r>
        <w:rPr>
          <w:rFonts w:ascii="Times New Roman"/>
        </w:rPr>
        <w:t>.8</w:t>
      </w:r>
      <w:r>
        <w:rPr>
          <w:rFonts w:ascii="Times New Roman" w:hint="eastAsia"/>
        </w:rPr>
        <w:t>-2</w:t>
      </w:r>
      <w:r>
        <w:rPr>
          <w:rFonts w:ascii="Times New Roman" w:hint="eastAsia"/>
        </w:rPr>
        <w:t>。</w:t>
      </w:r>
    </w:p>
    <w:p w14:paraId="03F9EC37" w14:textId="77777777" w:rsidR="009C353B" w:rsidRDefault="00000000">
      <w:pPr>
        <w:adjustRightInd w:val="0"/>
        <w:snapToGrid w:val="0"/>
        <w:spacing w:line="440" w:lineRule="exact"/>
        <w:jc w:val="center"/>
        <w:rPr>
          <w:rFonts w:ascii="Times New Roman" w:hint="eastAsia"/>
          <w:b/>
        </w:rPr>
      </w:pPr>
      <w:r>
        <w:rPr>
          <w:rFonts w:ascii="Times New Roman" w:hint="eastAsia"/>
          <w:b/>
        </w:rPr>
        <w:t>白芨滩自然保护区环境质量现状</w:t>
      </w:r>
    </w:p>
    <w:p w14:paraId="25E7BF07" w14:textId="77777777" w:rsidR="009C353B" w:rsidRDefault="00000000">
      <w:pPr>
        <w:adjustRightInd w:val="0"/>
        <w:snapToGrid w:val="0"/>
        <w:spacing w:line="440" w:lineRule="exact"/>
        <w:ind w:firstLineChars="100" w:firstLine="240"/>
        <w:rPr>
          <w:rFonts w:ascii="Times New Roman" w:hint="eastAsia"/>
          <w:szCs w:val="24"/>
        </w:rPr>
      </w:pPr>
      <w:r>
        <w:rPr>
          <w:rFonts w:ascii="Times New Roman" w:hint="eastAsia"/>
        </w:rPr>
        <w:t>表</w:t>
      </w:r>
      <w:r>
        <w:rPr>
          <w:rFonts w:ascii="Times New Roman" w:hint="eastAsia"/>
        </w:rPr>
        <w:t xml:space="preserve"> </w:t>
      </w:r>
      <w:r>
        <w:rPr>
          <w:rFonts w:ascii="Times New Roman"/>
        </w:rPr>
        <w:t>6.8</w:t>
      </w:r>
      <w:r>
        <w:rPr>
          <w:rFonts w:ascii="Times New Roman" w:hint="eastAsia"/>
        </w:rPr>
        <w:t xml:space="preserve">-2                                </w:t>
      </w:r>
      <w:r>
        <w:rPr>
          <w:rFonts w:ascii="Times New Roman" w:hint="eastAsia"/>
          <w:szCs w:val="24"/>
        </w:rPr>
        <w:t xml:space="preserve">  </w:t>
      </w:r>
      <w:r>
        <w:rPr>
          <w:rFonts w:ascii="Times New Roman" w:hint="eastAsia"/>
          <w:szCs w:val="24"/>
        </w:rPr>
        <w:t>单位：</w:t>
      </w:r>
      <w:r>
        <w:rPr>
          <w:rFonts w:ascii="Times New Roman" w:hAnsi="Times New Roman" w:hint="eastAsia"/>
          <w:szCs w:val="24"/>
        </w:rPr>
        <w:t>CO</w:t>
      </w:r>
      <w:r>
        <w:rPr>
          <w:rFonts w:ascii="Times New Roman" w:hAnsi="Times New Roman" w:hint="eastAsia"/>
          <w:szCs w:val="24"/>
        </w:rPr>
        <w:t>为</w:t>
      </w:r>
      <w:r>
        <w:rPr>
          <w:rFonts w:ascii="Times New Roman" w:hAnsi="Times New Roman"/>
          <w:bCs/>
          <w:szCs w:val="24"/>
        </w:rPr>
        <w:t>mg/m</w:t>
      </w:r>
      <w:r>
        <w:rPr>
          <w:rFonts w:ascii="Times New Roman" w:hAnsi="Times New Roman"/>
          <w:bCs/>
          <w:szCs w:val="24"/>
          <w:vertAlign w:val="superscript"/>
        </w:rPr>
        <w:t>3</w:t>
      </w:r>
      <w:r>
        <w:rPr>
          <w:rFonts w:ascii="Times New Roman" w:hAnsi="Times New Roman" w:hint="eastAsia"/>
          <w:bCs/>
          <w:szCs w:val="24"/>
        </w:rPr>
        <w:t>，</w:t>
      </w:r>
      <w:r>
        <w:rPr>
          <w:rFonts w:ascii="Times New Roman" w:hAnsi="Times New Roman"/>
          <w:bCs/>
          <w:szCs w:val="24"/>
        </w:rPr>
        <w:t>其余为</w:t>
      </w:r>
      <w:r>
        <w:rPr>
          <w:rFonts w:ascii="Times New Roman" w:hAnsi="Times New Roman" w:hint="eastAsia"/>
          <w:bCs/>
          <w:szCs w:val="24"/>
        </w:rPr>
        <w:t>u</w:t>
      </w:r>
      <w:r>
        <w:rPr>
          <w:rFonts w:ascii="Times New Roman" w:hAnsi="Times New Roman"/>
          <w:bCs/>
          <w:szCs w:val="24"/>
        </w:rPr>
        <w:t>g/m</w:t>
      </w:r>
      <w:r>
        <w:rPr>
          <w:rFonts w:ascii="Times New Roman" w:hAnsi="Times New Roman"/>
          <w:bCs/>
          <w:szCs w:val="24"/>
          <w:vertAlign w:val="superscript"/>
        </w:rPr>
        <w:t>3</w:t>
      </w:r>
    </w:p>
    <w:tbl>
      <w:tblPr>
        <w:tblStyle w:val="afffb"/>
        <w:tblW w:w="5000" w:type="pct"/>
        <w:jc w:val="center"/>
        <w:tblLook w:val="04A0" w:firstRow="1" w:lastRow="0" w:firstColumn="1" w:lastColumn="0" w:noHBand="0" w:noVBand="1"/>
      </w:tblPr>
      <w:tblGrid>
        <w:gridCol w:w="2201"/>
        <w:gridCol w:w="1209"/>
        <w:gridCol w:w="958"/>
        <w:gridCol w:w="944"/>
        <w:gridCol w:w="971"/>
        <w:gridCol w:w="1108"/>
        <w:gridCol w:w="958"/>
        <w:gridCol w:w="938"/>
      </w:tblGrid>
      <w:tr w:rsidR="009C353B" w14:paraId="334EEC36" w14:textId="77777777">
        <w:trPr>
          <w:jc w:val="center"/>
        </w:trPr>
        <w:tc>
          <w:tcPr>
            <w:tcW w:w="2201" w:type="dxa"/>
            <w:vAlign w:val="center"/>
          </w:tcPr>
          <w:p w14:paraId="469844D9" w14:textId="77777777" w:rsidR="009C353B" w:rsidRDefault="00000000">
            <w:pPr>
              <w:adjustRightInd w:val="0"/>
              <w:snapToGrid w:val="0"/>
              <w:spacing w:line="440" w:lineRule="exact"/>
              <w:jc w:val="center"/>
              <w:rPr>
                <w:rFonts w:ascii="Times New Roman" w:hAnsi="Times New Roman"/>
                <w:sz w:val="21"/>
                <w:szCs w:val="21"/>
              </w:rPr>
            </w:pPr>
            <w:r>
              <w:rPr>
                <w:rFonts w:ascii="Times New Roman"/>
                <w:sz w:val="21"/>
                <w:szCs w:val="21"/>
              </w:rPr>
              <w:t>时间</w:t>
            </w:r>
          </w:p>
        </w:tc>
        <w:tc>
          <w:tcPr>
            <w:tcW w:w="1209" w:type="dxa"/>
            <w:vAlign w:val="center"/>
          </w:tcPr>
          <w:p w14:paraId="5A961E19"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p>
        </w:tc>
        <w:tc>
          <w:tcPr>
            <w:tcW w:w="958" w:type="dxa"/>
            <w:vAlign w:val="center"/>
          </w:tcPr>
          <w:p w14:paraId="4C0D7E65"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NO</w:t>
            </w:r>
            <w:r>
              <w:rPr>
                <w:rFonts w:ascii="Times New Roman" w:hAnsi="Times New Roman"/>
                <w:sz w:val="21"/>
                <w:szCs w:val="21"/>
                <w:vertAlign w:val="subscript"/>
              </w:rPr>
              <w:t>2</w:t>
            </w:r>
          </w:p>
        </w:tc>
        <w:tc>
          <w:tcPr>
            <w:tcW w:w="944" w:type="dxa"/>
            <w:vAlign w:val="center"/>
          </w:tcPr>
          <w:p w14:paraId="3CB6D650"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CO</w:t>
            </w:r>
          </w:p>
        </w:tc>
        <w:tc>
          <w:tcPr>
            <w:tcW w:w="971" w:type="dxa"/>
            <w:vAlign w:val="center"/>
          </w:tcPr>
          <w:p w14:paraId="4D488AF0"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TSP</w:t>
            </w:r>
          </w:p>
        </w:tc>
        <w:tc>
          <w:tcPr>
            <w:tcW w:w="1108" w:type="dxa"/>
            <w:vAlign w:val="center"/>
          </w:tcPr>
          <w:p w14:paraId="7306E4CA"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10</w:t>
            </w:r>
          </w:p>
        </w:tc>
        <w:tc>
          <w:tcPr>
            <w:tcW w:w="958" w:type="dxa"/>
            <w:vAlign w:val="center"/>
          </w:tcPr>
          <w:p w14:paraId="6A83FDC9"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2.5</w:t>
            </w:r>
          </w:p>
        </w:tc>
        <w:tc>
          <w:tcPr>
            <w:tcW w:w="938" w:type="dxa"/>
            <w:vAlign w:val="center"/>
          </w:tcPr>
          <w:p w14:paraId="64ABF124"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O</w:t>
            </w:r>
            <w:r>
              <w:rPr>
                <w:rFonts w:ascii="Times New Roman" w:hAnsi="Times New Roman"/>
                <w:sz w:val="21"/>
                <w:szCs w:val="21"/>
                <w:vertAlign w:val="superscript"/>
              </w:rPr>
              <w:t>3</w:t>
            </w:r>
          </w:p>
        </w:tc>
      </w:tr>
      <w:tr w:rsidR="009C353B" w14:paraId="6A11AF52" w14:textId="77777777">
        <w:trPr>
          <w:jc w:val="center"/>
        </w:trPr>
        <w:tc>
          <w:tcPr>
            <w:tcW w:w="2201" w:type="dxa"/>
            <w:vAlign w:val="center"/>
          </w:tcPr>
          <w:p w14:paraId="75C8B04D"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2019</w:t>
            </w:r>
            <w:r>
              <w:rPr>
                <w:rFonts w:ascii="Times New Roman"/>
                <w:sz w:val="21"/>
                <w:szCs w:val="21"/>
              </w:rPr>
              <w:t>年</w:t>
            </w:r>
            <w:r>
              <w:rPr>
                <w:rFonts w:ascii="Times New Roman" w:hAnsi="Times New Roman"/>
                <w:sz w:val="21"/>
                <w:szCs w:val="21"/>
              </w:rPr>
              <w:t>1</w:t>
            </w:r>
            <w:r>
              <w:rPr>
                <w:rFonts w:ascii="Times New Roman"/>
                <w:sz w:val="21"/>
                <w:szCs w:val="21"/>
              </w:rPr>
              <w:t>月</w:t>
            </w:r>
          </w:p>
        </w:tc>
        <w:tc>
          <w:tcPr>
            <w:tcW w:w="1209" w:type="dxa"/>
            <w:vAlign w:val="center"/>
          </w:tcPr>
          <w:p w14:paraId="2F206E43"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9</w:t>
            </w:r>
          </w:p>
        </w:tc>
        <w:tc>
          <w:tcPr>
            <w:tcW w:w="958" w:type="dxa"/>
            <w:vAlign w:val="center"/>
          </w:tcPr>
          <w:p w14:paraId="0A32D696"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18</w:t>
            </w:r>
          </w:p>
        </w:tc>
        <w:tc>
          <w:tcPr>
            <w:tcW w:w="944" w:type="dxa"/>
            <w:vAlign w:val="center"/>
          </w:tcPr>
          <w:p w14:paraId="5B5EEE97"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1.23</w:t>
            </w:r>
          </w:p>
        </w:tc>
        <w:tc>
          <w:tcPr>
            <w:tcW w:w="971" w:type="dxa"/>
            <w:vAlign w:val="center"/>
          </w:tcPr>
          <w:p w14:paraId="63F3F63D"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w:t>
            </w:r>
          </w:p>
        </w:tc>
        <w:tc>
          <w:tcPr>
            <w:tcW w:w="1108" w:type="dxa"/>
            <w:vAlign w:val="center"/>
          </w:tcPr>
          <w:p w14:paraId="213A64C5"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46</w:t>
            </w:r>
          </w:p>
        </w:tc>
        <w:tc>
          <w:tcPr>
            <w:tcW w:w="958" w:type="dxa"/>
            <w:vAlign w:val="center"/>
          </w:tcPr>
          <w:p w14:paraId="58388E8A"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33</w:t>
            </w:r>
          </w:p>
        </w:tc>
        <w:tc>
          <w:tcPr>
            <w:tcW w:w="938" w:type="dxa"/>
            <w:vAlign w:val="center"/>
          </w:tcPr>
          <w:p w14:paraId="0CC12E16"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32</w:t>
            </w:r>
          </w:p>
        </w:tc>
      </w:tr>
      <w:tr w:rsidR="009C353B" w14:paraId="1E43B15D" w14:textId="77777777">
        <w:trPr>
          <w:jc w:val="center"/>
        </w:trPr>
        <w:tc>
          <w:tcPr>
            <w:tcW w:w="2201" w:type="dxa"/>
            <w:vAlign w:val="center"/>
          </w:tcPr>
          <w:p w14:paraId="437FD8DF" w14:textId="77777777" w:rsidR="009C353B" w:rsidRDefault="00000000">
            <w:pPr>
              <w:adjustRightInd w:val="0"/>
              <w:snapToGrid w:val="0"/>
              <w:spacing w:line="300" w:lineRule="exact"/>
              <w:jc w:val="center"/>
              <w:rPr>
                <w:rFonts w:ascii="Times New Roman" w:hAnsi="Times New Roman"/>
                <w:sz w:val="21"/>
                <w:szCs w:val="21"/>
              </w:rPr>
            </w:pPr>
            <w:r>
              <w:rPr>
                <w:rFonts w:ascii="Times New Roman"/>
                <w:sz w:val="21"/>
                <w:szCs w:val="21"/>
              </w:rPr>
              <w:t>《环境空气质量标准》一级标准</w:t>
            </w:r>
          </w:p>
        </w:tc>
        <w:tc>
          <w:tcPr>
            <w:tcW w:w="1209" w:type="dxa"/>
            <w:vAlign w:val="center"/>
          </w:tcPr>
          <w:p w14:paraId="1AAFB510"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50</w:t>
            </w:r>
          </w:p>
        </w:tc>
        <w:tc>
          <w:tcPr>
            <w:tcW w:w="958" w:type="dxa"/>
            <w:vAlign w:val="center"/>
          </w:tcPr>
          <w:p w14:paraId="61C1D651"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80</w:t>
            </w:r>
          </w:p>
        </w:tc>
        <w:tc>
          <w:tcPr>
            <w:tcW w:w="944" w:type="dxa"/>
            <w:vAlign w:val="center"/>
          </w:tcPr>
          <w:p w14:paraId="6447C168"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4</w:t>
            </w:r>
          </w:p>
        </w:tc>
        <w:tc>
          <w:tcPr>
            <w:tcW w:w="971" w:type="dxa"/>
            <w:vAlign w:val="center"/>
          </w:tcPr>
          <w:p w14:paraId="2FD3A6C6"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120</w:t>
            </w:r>
          </w:p>
        </w:tc>
        <w:tc>
          <w:tcPr>
            <w:tcW w:w="1108" w:type="dxa"/>
            <w:vAlign w:val="center"/>
          </w:tcPr>
          <w:p w14:paraId="65B1B44C"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50</w:t>
            </w:r>
          </w:p>
        </w:tc>
        <w:tc>
          <w:tcPr>
            <w:tcW w:w="958" w:type="dxa"/>
            <w:vAlign w:val="center"/>
          </w:tcPr>
          <w:p w14:paraId="6D5EB48D"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35</w:t>
            </w:r>
          </w:p>
        </w:tc>
        <w:tc>
          <w:tcPr>
            <w:tcW w:w="938" w:type="dxa"/>
            <w:vAlign w:val="center"/>
          </w:tcPr>
          <w:p w14:paraId="65418978" w14:textId="77777777" w:rsidR="009C353B" w:rsidRDefault="00000000">
            <w:pPr>
              <w:adjustRightInd w:val="0"/>
              <w:snapToGrid w:val="0"/>
              <w:spacing w:line="440" w:lineRule="exact"/>
              <w:jc w:val="center"/>
              <w:rPr>
                <w:rFonts w:ascii="Times New Roman" w:hAnsi="Times New Roman"/>
                <w:sz w:val="21"/>
                <w:szCs w:val="21"/>
              </w:rPr>
            </w:pPr>
            <w:r>
              <w:rPr>
                <w:rFonts w:ascii="Times New Roman" w:hAnsi="Times New Roman"/>
                <w:sz w:val="21"/>
                <w:szCs w:val="21"/>
              </w:rPr>
              <w:t>100</w:t>
            </w:r>
          </w:p>
        </w:tc>
      </w:tr>
      <w:tr w:rsidR="009C353B" w14:paraId="35E85392" w14:textId="77777777">
        <w:trPr>
          <w:jc w:val="center"/>
        </w:trPr>
        <w:tc>
          <w:tcPr>
            <w:tcW w:w="9287" w:type="dxa"/>
            <w:gridSpan w:val="8"/>
            <w:vAlign w:val="center"/>
          </w:tcPr>
          <w:p w14:paraId="25F7FE6D" w14:textId="77777777" w:rsidR="009C353B" w:rsidRDefault="00000000">
            <w:pPr>
              <w:adjustRightInd w:val="0"/>
              <w:snapToGrid w:val="0"/>
              <w:spacing w:line="440" w:lineRule="exact"/>
              <w:rPr>
                <w:rFonts w:ascii="Times New Roman" w:hAnsi="Times New Roman"/>
                <w:sz w:val="21"/>
                <w:szCs w:val="21"/>
              </w:rPr>
            </w:pPr>
            <w:r>
              <w:rPr>
                <w:rFonts w:ascii="Times New Roman" w:hAnsi="Times New Roman" w:hint="eastAsia"/>
                <w:sz w:val="21"/>
                <w:szCs w:val="21"/>
              </w:rPr>
              <w:t>注：</w:t>
            </w:r>
            <w:r>
              <w:rPr>
                <w:rFonts w:ascii="Times New Roman" w:hAnsi="Times New Roman" w:hint="eastAsia"/>
                <w:sz w:val="21"/>
                <w:szCs w:val="21"/>
              </w:rPr>
              <w:t xml:space="preserve"> 2019</w:t>
            </w:r>
            <w:r>
              <w:rPr>
                <w:rFonts w:ascii="Times New Roman" w:hAnsi="Times New Roman" w:hint="eastAsia"/>
                <w:sz w:val="21"/>
                <w:szCs w:val="21"/>
              </w:rPr>
              <w:t>年数据来源于</w:t>
            </w:r>
            <w:r>
              <w:rPr>
                <w:rFonts w:ascii="Times New Roman" w:hAnsi="Times New Roman"/>
                <w:sz w:val="21"/>
                <w:szCs w:val="21"/>
              </w:rPr>
              <w:t>宁东基地现代煤化工产业示范区总体规划环境影响报告书</w:t>
            </w:r>
            <w:r>
              <w:rPr>
                <w:rFonts w:ascii="Times New Roman" w:hAnsi="Times New Roman" w:hint="eastAsia"/>
                <w:sz w:val="21"/>
                <w:szCs w:val="21"/>
              </w:rPr>
              <w:t>。</w:t>
            </w:r>
          </w:p>
        </w:tc>
      </w:tr>
    </w:tbl>
    <w:p w14:paraId="2CDAD5D1"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hint="eastAsia"/>
          <w:b/>
        </w:rPr>
        <w:t>4</w:t>
      </w:r>
      <w:r>
        <w:rPr>
          <w:rFonts w:ascii="Times New Roman" w:hAnsi="Times New Roman" w:hint="eastAsia"/>
          <w:b/>
        </w:rPr>
        <w:t>）规划实施</w:t>
      </w:r>
      <w:r>
        <w:rPr>
          <w:rFonts w:ascii="Times New Roman" w:hAnsi="Times New Roman"/>
          <w:b/>
        </w:rPr>
        <w:t>对</w:t>
      </w:r>
      <w:r>
        <w:rPr>
          <w:rFonts w:ascii="Times New Roman" w:hAnsi="Times New Roman" w:hint="eastAsia"/>
          <w:b/>
        </w:rPr>
        <w:t>白芨滩保护区的生态</w:t>
      </w:r>
      <w:r>
        <w:rPr>
          <w:rFonts w:ascii="Times New Roman" w:hAnsi="Times New Roman"/>
          <w:b/>
        </w:rPr>
        <w:t>影响分析</w:t>
      </w:r>
    </w:p>
    <w:p w14:paraId="62497B3B" w14:textId="77777777" w:rsidR="009C353B" w:rsidRDefault="00000000">
      <w:pPr>
        <w:adjustRightInd w:val="0"/>
        <w:snapToGrid w:val="0"/>
        <w:spacing w:line="440" w:lineRule="exact"/>
        <w:ind w:firstLineChars="200" w:firstLine="460"/>
        <w:rPr>
          <w:rFonts w:hint="eastAsia"/>
          <w:sz w:val="23"/>
          <w:szCs w:val="23"/>
        </w:rPr>
      </w:pPr>
      <w:r>
        <w:rPr>
          <w:rFonts w:hint="eastAsia"/>
          <w:sz w:val="23"/>
          <w:szCs w:val="23"/>
        </w:rPr>
        <w:t>根据《宁夏灵武白芨滩国家级自然保护总体规划（2</w:t>
      </w:r>
      <w:r>
        <w:rPr>
          <w:sz w:val="23"/>
          <w:szCs w:val="23"/>
        </w:rPr>
        <w:t>014-2023</w:t>
      </w:r>
      <w:r>
        <w:rPr>
          <w:rFonts w:hint="eastAsia"/>
          <w:sz w:val="23"/>
          <w:szCs w:val="23"/>
        </w:rPr>
        <w:t>年）》，</w:t>
      </w:r>
      <w:r>
        <w:rPr>
          <w:rFonts w:ascii="Times New Roman" w:hAnsi="Times New Roman" w:hint="eastAsia"/>
        </w:rPr>
        <w:t>保护区的天然柠条灌木林和以猫头刺为优势种的灌木林，以旱生、超旱生和强旱生植物占优势。保护区内植被生长主要依赖大气降水和凝结水，对地下水依赖较小。</w:t>
      </w:r>
      <w:r>
        <w:rPr>
          <w:rFonts w:hint="eastAsia"/>
          <w:sz w:val="23"/>
          <w:szCs w:val="23"/>
        </w:rPr>
        <w:t>保护区总体上属水源匮乏区，区域水源补给主要是大气降水。地下水主要是埋藏在其中的潜水，类型主要是基岩裂隙孔隙水带、碎屑岩裂隙孔隙水带。该地区潜水的聚集和贮存条件极差，地下水一般在丘陵中的沟整、洼地及积沙带中有少量分布。</w:t>
      </w:r>
    </w:p>
    <w:p w14:paraId="38096B2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保护区边界外</w:t>
      </w:r>
      <w:r>
        <w:rPr>
          <w:rFonts w:ascii="Times New Roman" w:hAnsi="Times New Roman" w:hint="eastAsia"/>
        </w:rPr>
        <w:t>2</w:t>
      </w:r>
      <w:r>
        <w:rPr>
          <w:rFonts w:ascii="Times New Roman" w:hAnsi="Times New Roman"/>
        </w:rPr>
        <w:t>80</w:t>
      </w:r>
      <w:r>
        <w:rPr>
          <w:rFonts w:ascii="Times New Roman" w:hAnsi="Times New Roman" w:hint="eastAsia"/>
        </w:rPr>
        <w:t>米留设保护煤柱，矿区开采不对自然保护区造成直接的沉陷影响，矿区与保护区的第四系地下水均局部发育，不连续，且与下部基岩裂隙孔隙含水层水力联系微弱，根据对地下水的影响预测，矿区煤炭开采不会对采区上部的第四系含水层产生直接影响，因此也不会对保护区内的第四系含水层产生影响。矿区在保护区的下游，矿区开发不会影响保护区内汇水，因此不会影响沟壑、洼地及积沙带中少量分布的地下水。综上所述，矿区开发不会影响到保护区内植被的正常生长。</w:t>
      </w:r>
    </w:p>
    <w:p w14:paraId="5C5FFC59"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rPr>
        <w:t>保护区内的荒漠猫、兔狲等珍稀动物为留居动物，其生境和栖息地主要分布在保护区深处的核心区。保护区内的黑鹳、大鸨、鸢、大天鹅等珍惜濒危鸟类多为迁徙途径此处的旅鸟，其中白额雁和燕隼主要活动区域距横城矿区较近。白额雁在中国为冬候鸟，繁殖季节栖息于北极苔原带，每年</w:t>
      </w:r>
      <w:r>
        <w:rPr>
          <w:rFonts w:ascii="Times New Roman" w:hAnsi="Times New Roman" w:hint="eastAsia"/>
        </w:rPr>
        <w:t>8</w:t>
      </w:r>
      <w:r>
        <w:rPr>
          <w:rFonts w:ascii="Times New Roman" w:hAnsi="Times New Roman" w:hint="eastAsia"/>
        </w:rPr>
        <w:t>月末</w:t>
      </w:r>
      <w:r>
        <w:rPr>
          <w:rFonts w:ascii="Times New Roman" w:hAnsi="Times New Roman" w:hint="eastAsia"/>
        </w:rPr>
        <w:t>9</w:t>
      </w:r>
      <w:r>
        <w:rPr>
          <w:rFonts w:ascii="Times New Roman" w:hAnsi="Times New Roman" w:hint="eastAsia"/>
        </w:rPr>
        <w:t>月初离开繁殖地，迁往开阔的湖泊、水库、河湾、海岸越冬，通常到达中国的时间在</w:t>
      </w:r>
      <w:r>
        <w:rPr>
          <w:rFonts w:ascii="Times New Roman" w:hAnsi="Times New Roman" w:hint="eastAsia"/>
        </w:rPr>
        <w:t>9</w:t>
      </w:r>
      <w:r>
        <w:rPr>
          <w:rFonts w:ascii="Times New Roman" w:hAnsi="Times New Roman" w:hint="eastAsia"/>
        </w:rPr>
        <w:t>月末</w:t>
      </w:r>
      <w:r>
        <w:rPr>
          <w:rFonts w:ascii="Times New Roman" w:hAnsi="Times New Roman" w:hint="eastAsia"/>
        </w:rPr>
        <w:t>10</w:t>
      </w:r>
      <w:r>
        <w:rPr>
          <w:rFonts w:ascii="Times New Roman" w:hAnsi="Times New Roman" w:hint="eastAsia"/>
        </w:rPr>
        <w:t>月初，来年</w:t>
      </w:r>
      <w:r>
        <w:rPr>
          <w:rFonts w:ascii="Times New Roman" w:hAnsi="Times New Roman" w:hint="eastAsia"/>
        </w:rPr>
        <w:t>3</w:t>
      </w:r>
      <w:r>
        <w:rPr>
          <w:rFonts w:ascii="Times New Roman" w:hAnsi="Times New Roman" w:hint="eastAsia"/>
        </w:rPr>
        <w:t>月初至</w:t>
      </w:r>
      <w:r>
        <w:rPr>
          <w:rFonts w:ascii="Times New Roman" w:hAnsi="Times New Roman" w:hint="eastAsia"/>
        </w:rPr>
        <w:t>3</w:t>
      </w:r>
      <w:r>
        <w:rPr>
          <w:rFonts w:ascii="Times New Roman" w:hAnsi="Times New Roman" w:hint="eastAsia"/>
        </w:rPr>
        <w:t>月中下旬迁离中国，燕隼繁殖于中国北方及西藏，越冬于西藏南部，捕取飞虫以至小型禽鸟等为食。白芨滩作为候鸟迁徙途中的停息地，停留时间较短。横城矿区规划实施后地表沉陷边界距白额雁和燕隼的集中停息地即保护区核心区最近距离在</w:t>
      </w:r>
      <w:r>
        <w:rPr>
          <w:rFonts w:ascii="Times New Roman" w:hAnsi="Times New Roman"/>
        </w:rPr>
        <w:t>2k</w:t>
      </w:r>
      <w:r>
        <w:rPr>
          <w:rFonts w:ascii="Times New Roman" w:hAnsi="Times New Roman" w:hint="eastAsia"/>
        </w:rPr>
        <w:t>m</w:t>
      </w:r>
      <w:r>
        <w:rPr>
          <w:rFonts w:ascii="Times New Roman" w:hAnsi="Times New Roman" w:hint="eastAsia"/>
        </w:rPr>
        <w:t>外，对其停息、觅食等活动基本无影响，不会对保护区内野生动物多样性造成影响。</w:t>
      </w:r>
    </w:p>
    <w:p w14:paraId="6960CBFB"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6.8.10 </w:t>
      </w:r>
      <w:r>
        <w:rPr>
          <w:rFonts w:ascii="Times New Roman" w:hAnsi="Times New Roman" w:hint="eastAsia"/>
          <w:sz w:val="24"/>
        </w:rPr>
        <w:t>保护对策</w:t>
      </w:r>
      <w:r>
        <w:rPr>
          <w:rFonts w:ascii="Times New Roman" w:hAnsi="Times New Roman"/>
          <w:sz w:val="24"/>
        </w:rPr>
        <w:t>和</w:t>
      </w:r>
      <w:r>
        <w:rPr>
          <w:rFonts w:ascii="Times New Roman" w:hAnsi="Times New Roman" w:hint="eastAsia"/>
          <w:sz w:val="24"/>
        </w:rPr>
        <w:t>措施</w:t>
      </w:r>
    </w:p>
    <w:p w14:paraId="417E3A5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矿区规划的</w:t>
      </w:r>
      <w:r>
        <w:rPr>
          <w:rFonts w:ascii="Times New Roman" w:hint="eastAsia"/>
        </w:rPr>
        <w:t>4</w:t>
      </w:r>
      <w:r>
        <w:rPr>
          <w:rFonts w:ascii="Times New Roman" w:hint="eastAsia"/>
        </w:rPr>
        <w:t>个矿井中红石湾、任家庄、丁家梁煤矿与白芨滩保护区实验区东边界相邻，与白芨滩保护区无重叠。</w:t>
      </w:r>
    </w:p>
    <w:p w14:paraId="22920E5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根据《自然保护区内矿业权清理工作方案》规定“严禁新矿权进入自然保护区”，根据</w:t>
      </w:r>
      <w:r>
        <w:rPr>
          <w:rFonts w:ascii="Times New Roman" w:hint="eastAsia"/>
        </w:rPr>
        <w:t>2017</w:t>
      </w:r>
      <w:r>
        <w:rPr>
          <w:rFonts w:ascii="Times New Roman" w:hint="eastAsia"/>
        </w:rPr>
        <w:t>年</w:t>
      </w:r>
      <w:r>
        <w:rPr>
          <w:rFonts w:ascii="Times New Roman" w:hint="eastAsia"/>
        </w:rPr>
        <w:t>10</w:t>
      </w:r>
      <w:r>
        <w:rPr>
          <w:rFonts w:ascii="Times New Roman" w:hint="eastAsia"/>
        </w:rPr>
        <w:t>月</w:t>
      </w:r>
      <w:r>
        <w:rPr>
          <w:rFonts w:ascii="Times New Roman" w:hint="eastAsia"/>
        </w:rPr>
        <w:t>9</w:t>
      </w:r>
      <w:r>
        <w:rPr>
          <w:rFonts w:ascii="Times New Roman" w:hint="eastAsia"/>
        </w:rPr>
        <w:t>日，自治区人民政府令第</w:t>
      </w:r>
      <w:r>
        <w:rPr>
          <w:rFonts w:ascii="Times New Roman" w:hint="eastAsia"/>
        </w:rPr>
        <w:t>92</w:t>
      </w:r>
      <w:r>
        <w:rPr>
          <w:rFonts w:ascii="Times New Roman" w:hint="eastAsia"/>
        </w:rPr>
        <w:t>号《宁夏回族自治区自然保护区管理办法》</w:t>
      </w:r>
      <w:r>
        <w:rPr>
          <w:rFonts w:ascii="Times New Roman" w:hint="eastAsia"/>
        </w:rPr>
        <w:t>(</w:t>
      </w:r>
      <w:r>
        <w:rPr>
          <w:rFonts w:ascii="Times New Roman" w:hint="eastAsia"/>
        </w:rPr>
        <w:t>修订</w:t>
      </w:r>
      <w:r>
        <w:rPr>
          <w:rFonts w:ascii="Times New Roman"/>
        </w:rPr>
        <w:t>)</w:t>
      </w:r>
      <w:r>
        <w:rPr>
          <w:rFonts w:ascii="Times New Roman" w:hint="eastAsia"/>
        </w:rPr>
        <w:t>，其中第十三条“自然保护区边界外围２公里内的地带为外围保护地带。经批准在自然保护区外围保护地带建设的项目或者设施，不得损害自然保护区的环境质量和生态功能。”</w:t>
      </w:r>
      <w:r>
        <w:rPr>
          <w:rFonts w:ascii="Times New Roman"/>
        </w:rPr>
        <w:t xml:space="preserve"> </w:t>
      </w:r>
    </w:p>
    <w:p w14:paraId="583D633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已建成煤矿中，任家庄工业场地距离保护区约</w:t>
      </w:r>
      <w:r>
        <w:rPr>
          <w:rFonts w:ascii="Times New Roman" w:hint="eastAsia"/>
        </w:rPr>
        <w:t>150m</w:t>
      </w:r>
      <w:r>
        <w:rPr>
          <w:rFonts w:ascii="Times New Roman" w:hint="eastAsia"/>
        </w:rPr>
        <w:t>，其他矿井工业场地均在保护区边界</w:t>
      </w:r>
      <w:r>
        <w:rPr>
          <w:rFonts w:ascii="Times New Roman" w:hint="eastAsia"/>
        </w:rPr>
        <w:t>2km</w:t>
      </w:r>
      <w:r>
        <w:rPr>
          <w:rFonts w:ascii="Times New Roman" w:hint="eastAsia"/>
        </w:rPr>
        <w:t>范围外。任家庄煤</w:t>
      </w:r>
      <w:r>
        <w:rPr>
          <w:rFonts w:ascii="Times New Roman" w:hint="eastAsia"/>
        </w:rPr>
        <w:t>2006</w:t>
      </w:r>
      <w:r>
        <w:rPr>
          <w:rFonts w:ascii="Times New Roman" w:hint="eastAsia"/>
        </w:rPr>
        <w:t>年经批准建设，经调查其目前正常生产，产生的生活污水、矿井水经水处理站处理后全部回用不外排，供热方式为燃气锅炉，不会对保护区产生污染影响。</w:t>
      </w:r>
      <w:r>
        <w:rPr>
          <w:rFonts w:ascii="Times New Roman" w:hAnsi="Times New Roman" w:hint="eastAsia"/>
        </w:rPr>
        <w:t>地表沉陷对保护区内的第四系潜水基本无影响，也不会影响到保护区植被的正常生长。</w:t>
      </w:r>
      <w:r>
        <w:rPr>
          <w:rFonts w:ascii="Times New Roman" w:hint="eastAsia"/>
        </w:rPr>
        <w:t>环评提出为避免</w:t>
      </w:r>
      <w:r>
        <w:rPr>
          <w:rFonts w:ascii="Times New Roman"/>
        </w:rPr>
        <w:t>任家庄井田后续开采沉陷影响到自然保护区</w:t>
      </w:r>
      <w:r>
        <w:rPr>
          <w:rFonts w:ascii="Times New Roman" w:hint="eastAsia"/>
        </w:rPr>
        <w:t>，</w:t>
      </w:r>
      <w:r>
        <w:rPr>
          <w:rFonts w:ascii="Times New Roman"/>
        </w:rPr>
        <w:t>后续开采过程中</w:t>
      </w:r>
      <w:r>
        <w:rPr>
          <w:rFonts w:ascii="Times New Roman" w:hint="eastAsia"/>
        </w:rPr>
        <w:t>，可</w:t>
      </w:r>
      <w:r>
        <w:rPr>
          <w:rFonts w:ascii="Times New Roman"/>
        </w:rPr>
        <w:t>参考本次评价计算的沉陷影响</w:t>
      </w:r>
      <w:r>
        <w:rPr>
          <w:rFonts w:ascii="Times New Roman" w:hint="eastAsia"/>
        </w:rPr>
        <w:t>半径</w:t>
      </w:r>
      <w:r>
        <w:rPr>
          <w:rFonts w:ascii="Times New Roman" w:hint="eastAsia"/>
        </w:rPr>
        <w:t>280m</w:t>
      </w:r>
      <w:r>
        <w:rPr>
          <w:rFonts w:ascii="Times New Roman"/>
        </w:rPr>
        <w:t>对自然保护区留设保护煤柱，在临近自然保护区的区域，保护煤柱的宽度应根据井田开采沉陷观测实际参数</w:t>
      </w:r>
      <w:r>
        <w:rPr>
          <w:rFonts w:ascii="Times New Roman" w:hint="eastAsia"/>
        </w:rPr>
        <w:t>、开采区</w:t>
      </w:r>
      <w:r>
        <w:rPr>
          <w:rFonts w:ascii="Times New Roman"/>
        </w:rPr>
        <w:t>煤层埋深等</w:t>
      </w:r>
      <w:r>
        <w:rPr>
          <w:rFonts w:ascii="Times New Roman" w:hint="eastAsia"/>
        </w:rPr>
        <w:t>，适时调整保护</w:t>
      </w:r>
      <w:r>
        <w:rPr>
          <w:rFonts w:ascii="Times New Roman"/>
        </w:rPr>
        <w:t>煤柱宽度</w:t>
      </w:r>
      <w:r>
        <w:rPr>
          <w:rFonts w:ascii="Times New Roman" w:hint="eastAsia"/>
        </w:rPr>
        <w:t>，确保不影响自然保护区。</w:t>
      </w:r>
      <w:r>
        <w:rPr>
          <w:rFonts w:ascii="Times New Roman" w:hAnsi="Times New Roman" w:hint="eastAsia"/>
        </w:rPr>
        <w:t>根据以上结论，项目不会</w:t>
      </w:r>
      <w:r>
        <w:rPr>
          <w:rFonts w:ascii="Times New Roman" w:hint="eastAsia"/>
        </w:rPr>
        <w:t>对自然保护区的环境质量和生态功能造成损害。本次规划要求在后续各矿生产过程中，参照自治区人民政府令第</w:t>
      </w:r>
      <w:r>
        <w:rPr>
          <w:rFonts w:ascii="Times New Roman" w:hint="eastAsia"/>
        </w:rPr>
        <w:t>92</w:t>
      </w:r>
      <w:r>
        <w:rPr>
          <w:rFonts w:ascii="Times New Roman" w:hint="eastAsia"/>
        </w:rPr>
        <w:t>号《宁夏回族自治区自然保护区管理办法》</w:t>
      </w:r>
      <w:r>
        <w:rPr>
          <w:rFonts w:ascii="Times New Roman" w:hint="eastAsia"/>
        </w:rPr>
        <w:t>(</w:t>
      </w:r>
      <w:r>
        <w:rPr>
          <w:rFonts w:ascii="Times New Roman" w:hint="eastAsia"/>
        </w:rPr>
        <w:t>修订</w:t>
      </w:r>
      <w:r>
        <w:rPr>
          <w:rFonts w:ascii="Times New Roman"/>
        </w:rPr>
        <w:t>)</w:t>
      </w:r>
    </w:p>
    <w:p w14:paraId="4615257A" w14:textId="77777777" w:rsidR="009C353B" w:rsidRDefault="00000000">
      <w:pPr>
        <w:adjustRightInd w:val="0"/>
        <w:snapToGrid w:val="0"/>
        <w:spacing w:line="440" w:lineRule="exact"/>
        <w:rPr>
          <w:rFonts w:ascii="Times New Roman" w:hint="eastAsia"/>
        </w:rPr>
      </w:pPr>
      <w:r>
        <w:rPr>
          <w:rFonts w:ascii="Times New Roman" w:hint="eastAsia"/>
        </w:rPr>
        <w:t>，后续丁家梁煤矿在建设开发过程中须遵守以上文件要求，涉及在自然保护区外围保护地带建设的项目或者设施，需经相关部门批准，项目不得损害自然保护区的环境质量和生态功能。</w:t>
      </w:r>
    </w:p>
    <w:p w14:paraId="344B9F0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各矿产生的生活污水、矿井水经水处理站处理后全部回用不外排，不会对保护区产生污染影响。本矿区规划矿井任家庄、丁家梁矿井供热方式为燃气锅炉，马莲台煤矿、红石湾煤矿和均采用电厂余热供热，规划实施对白芨滩自然保护区环境空气影响较小。</w:t>
      </w:r>
    </w:p>
    <w:p w14:paraId="541F8922"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地下水保护措施：</w:t>
      </w:r>
    </w:p>
    <w:p w14:paraId="58DCB7CA"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1</w:t>
      </w:r>
      <w:r>
        <w:rPr>
          <w:rFonts w:ascii="Times New Roman"/>
        </w:rPr>
        <w:t>）煤矿开采期间，严格执行《建筑物、水体、铁路及主要井巷煤柱留设与压煤开采规程》，严禁越界开采；</w:t>
      </w:r>
    </w:p>
    <w:p w14:paraId="2683A37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2</w:t>
      </w:r>
      <w:r>
        <w:rPr>
          <w:rFonts w:ascii="Times New Roman" w:hint="eastAsia"/>
        </w:rPr>
        <w:t>）</w:t>
      </w:r>
      <w:r>
        <w:rPr>
          <w:rFonts w:ascii="Times New Roman"/>
        </w:rPr>
        <w:t>建立地表移动监测系统，定期对地表变形、地面沉降进行监测，并建立合理的应对机制；</w:t>
      </w:r>
    </w:p>
    <w:p w14:paraId="2321DE7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3</w:t>
      </w:r>
      <w:r>
        <w:rPr>
          <w:rFonts w:ascii="Times New Roman" w:hint="eastAsia"/>
        </w:rPr>
        <w:t>）</w:t>
      </w:r>
      <w:r>
        <w:rPr>
          <w:rFonts w:ascii="Times New Roman"/>
        </w:rPr>
        <w:t>煤矿开采时对涌水量较大的地段，可采取工程措施，如地下帷幕等，对其进行处理，以减少矿井的涌水量</w:t>
      </w:r>
      <w:r>
        <w:rPr>
          <w:rFonts w:ascii="Times New Roman" w:hint="eastAsia"/>
        </w:rPr>
        <w:t>。</w:t>
      </w:r>
    </w:p>
    <w:p w14:paraId="6560992D" w14:textId="77777777" w:rsidR="009C353B" w:rsidRDefault="00000000">
      <w:pPr>
        <w:pStyle w:val="2"/>
        <w:snapToGrid w:val="0"/>
        <w:spacing w:before="320" w:after="240" w:line="440" w:lineRule="atLeast"/>
        <w:rPr>
          <w:rFonts w:ascii="Times New Roman" w:eastAsia="宋体" w:hAnsi="Times New Roman"/>
          <w:b/>
          <w:sz w:val="28"/>
        </w:rPr>
      </w:pPr>
      <w:bookmarkStart w:id="274" w:name="_Toc59189854"/>
      <w:bookmarkStart w:id="275" w:name="_Toc163441019"/>
      <w:r>
        <w:rPr>
          <w:rFonts w:ascii="Times New Roman" w:eastAsia="宋体" w:hAnsi="Times New Roman" w:hint="eastAsia"/>
          <w:b/>
          <w:sz w:val="28"/>
        </w:rPr>
        <w:t>6.9</w:t>
      </w:r>
      <w:r>
        <w:rPr>
          <w:rFonts w:ascii="Times New Roman" w:eastAsia="宋体" w:hAnsi="Times New Roman"/>
          <w:b/>
          <w:sz w:val="28"/>
        </w:rPr>
        <w:t xml:space="preserve"> </w:t>
      </w:r>
      <w:r>
        <w:rPr>
          <w:rFonts w:ascii="Times New Roman" w:eastAsia="宋体" w:hAnsi="Times New Roman"/>
          <w:b/>
          <w:sz w:val="28"/>
        </w:rPr>
        <w:t>社会经济环境影响分析</w:t>
      </w:r>
      <w:bookmarkEnd w:id="274"/>
      <w:bookmarkEnd w:id="275"/>
    </w:p>
    <w:p w14:paraId="45E14FA7" w14:textId="77777777" w:rsidR="009C353B" w:rsidRDefault="00000000">
      <w:pPr>
        <w:adjustRightInd w:val="0"/>
        <w:snapToGrid w:val="0"/>
        <w:spacing w:line="440" w:lineRule="exact"/>
        <w:ind w:firstLineChars="200" w:firstLine="480"/>
        <w:rPr>
          <w:rFonts w:hint="eastAsia"/>
        </w:rPr>
      </w:pPr>
      <w:r>
        <w:t>矿区规划方案实施对当地社会经济的影响利弊并存。有利影响主要表现在促进当地经济发展，为当地农民提供更多的就业机会，其促进作用是随着开发规模的加大逐渐深入的；不利影响主要表现在采煤沉陷造成矿区</w:t>
      </w:r>
      <w:r>
        <w:rPr>
          <w:rFonts w:hint="eastAsia"/>
        </w:rPr>
        <w:t>林草地破坏</w:t>
      </w:r>
      <w:r>
        <w:t>，采取破坏土地补偿</w:t>
      </w:r>
      <w:r>
        <w:rPr>
          <w:rFonts w:hint="eastAsia"/>
        </w:rPr>
        <w:t>等</w:t>
      </w:r>
      <w:r>
        <w:t>措施可减缓这种不利影响。</w:t>
      </w:r>
    </w:p>
    <w:p w14:paraId="6FB9A09E" w14:textId="77777777" w:rsidR="009C353B" w:rsidRDefault="00000000">
      <w:pPr>
        <w:pStyle w:val="3"/>
        <w:adjustRightInd w:val="0"/>
        <w:snapToGrid w:val="0"/>
        <w:spacing w:before="0" w:after="0" w:line="440" w:lineRule="exact"/>
        <w:rPr>
          <w:rFonts w:ascii="Times New Roman" w:hAnsi="Times New Roman"/>
          <w:sz w:val="24"/>
        </w:rPr>
      </w:pPr>
      <w:bookmarkStart w:id="276" w:name="_Toc205632439"/>
      <w:bookmarkStart w:id="277" w:name="_Toc205776651"/>
      <w:r>
        <w:rPr>
          <w:rFonts w:ascii="Times New Roman" w:hAnsi="Times New Roman" w:hint="eastAsia"/>
          <w:sz w:val="24"/>
        </w:rPr>
        <w:t>6.9</w:t>
      </w:r>
      <w:r>
        <w:rPr>
          <w:rFonts w:ascii="Times New Roman" w:hAnsi="Times New Roman"/>
          <w:sz w:val="24"/>
        </w:rPr>
        <w:t>.1</w:t>
      </w:r>
      <w:r>
        <w:rPr>
          <w:rFonts w:ascii="Times New Roman" w:hAnsi="Times New Roman" w:hint="eastAsia"/>
          <w:sz w:val="24"/>
        </w:rPr>
        <w:t xml:space="preserve"> </w:t>
      </w:r>
      <w:r>
        <w:rPr>
          <w:rFonts w:ascii="Times New Roman" w:hAnsi="Times New Roman" w:hint="eastAsia"/>
          <w:sz w:val="24"/>
        </w:rPr>
        <w:t>社会经济</w:t>
      </w:r>
      <w:r>
        <w:rPr>
          <w:rFonts w:ascii="Times New Roman" w:hAnsi="Times New Roman"/>
          <w:sz w:val="24"/>
        </w:rPr>
        <w:t>有利影响</w:t>
      </w:r>
      <w:bookmarkEnd w:id="276"/>
      <w:bookmarkEnd w:id="277"/>
    </w:p>
    <w:p w14:paraId="3F53BD44"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）促进国家矿产资源有序开采</w:t>
      </w:r>
    </w:p>
    <w:p w14:paraId="0A90BAE4" w14:textId="77777777" w:rsidR="009C353B" w:rsidRDefault="00000000">
      <w:pPr>
        <w:adjustRightInd w:val="0"/>
        <w:snapToGrid w:val="0"/>
        <w:spacing w:line="440" w:lineRule="exact"/>
        <w:ind w:firstLineChars="200" w:firstLine="480"/>
        <w:rPr>
          <w:rFonts w:ascii="Times New Roman" w:hAnsi="Times New Roman"/>
          <w:snapToGrid w:val="0"/>
          <w:kern w:val="0"/>
        </w:rPr>
      </w:pPr>
      <w:r>
        <w:rPr>
          <w:rFonts w:ascii="Times New Roman" w:hAnsi="Times New Roman"/>
        </w:rPr>
        <w:t>2005</w:t>
      </w:r>
      <w:r>
        <w:rPr>
          <w:rFonts w:ascii="Times New Roman" w:hAnsi="Times New Roman"/>
        </w:rPr>
        <w:t>年</w:t>
      </w:r>
      <w:r>
        <w:rPr>
          <w:rFonts w:ascii="Times New Roman" w:hAnsi="Times New Roman"/>
        </w:rPr>
        <w:t>6</w:t>
      </w:r>
      <w:r>
        <w:rPr>
          <w:rFonts w:ascii="Times New Roman" w:hAnsi="Times New Roman"/>
        </w:rPr>
        <w:t>月</w:t>
      </w:r>
      <w:r>
        <w:rPr>
          <w:rFonts w:ascii="Times New Roman" w:hAnsi="Times New Roman"/>
        </w:rPr>
        <w:t>7</w:t>
      </w:r>
      <w:r>
        <w:rPr>
          <w:rFonts w:ascii="Times New Roman" w:hAnsi="Times New Roman"/>
        </w:rPr>
        <w:t>日，国务院以</w:t>
      </w:r>
      <w:r>
        <w:rPr>
          <w:rFonts w:ascii="Times New Roman" w:hAnsi="Times New Roman"/>
        </w:rPr>
        <w:t>“</w:t>
      </w:r>
      <w:r>
        <w:rPr>
          <w:rFonts w:ascii="Times New Roman" w:hAnsi="Times New Roman"/>
        </w:rPr>
        <w:t>国发〔</w:t>
      </w:r>
      <w:r>
        <w:rPr>
          <w:rFonts w:ascii="Times New Roman" w:hAnsi="Times New Roman"/>
        </w:rPr>
        <w:t>2005</w:t>
      </w:r>
      <w:r>
        <w:rPr>
          <w:rFonts w:ascii="Times New Roman" w:hAnsi="Times New Roman"/>
        </w:rPr>
        <w:t>〕</w:t>
      </w:r>
      <w:r>
        <w:rPr>
          <w:rFonts w:ascii="Times New Roman" w:hAnsi="Times New Roman"/>
        </w:rPr>
        <w:t>18</w:t>
      </w:r>
      <w:r>
        <w:rPr>
          <w:rFonts w:ascii="Times New Roman" w:hAnsi="Times New Roman"/>
        </w:rPr>
        <w:t>号文《国务院关于促进煤炭工业健康发展的若干意见》</w:t>
      </w:r>
      <w:r>
        <w:rPr>
          <w:rFonts w:ascii="Times New Roman" w:hAnsi="Times New Roman"/>
        </w:rPr>
        <w:t>”</w:t>
      </w:r>
      <w:r>
        <w:rPr>
          <w:rFonts w:ascii="Times New Roman" w:hAnsi="Times New Roman"/>
        </w:rPr>
        <w:t>提出</w:t>
      </w:r>
      <w:r>
        <w:rPr>
          <w:rFonts w:ascii="Times New Roman" w:hAnsi="Times New Roman"/>
        </w:rPr>
        <w:t>“</w:t>
      </w:r>
      <w:r>
        <w:rPr>
          <w:rFonts w:ascii="Times New Roman" w:hAnsi="Times New Roman"/>
        </w:rPr>
        <w:t>建立规范的煤炭资源开发秩序</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煤矿安全基础条件有较大改善</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重大事故多发势头得到有效遏制，煤矿安全生产形势明显好转，矿区生态环境恶化的趋势初步得到控制</w:t>
      </w:r>
      <w:r>
        <w:rPr>
          <w:rFonts w:ascii="Times New Roman" w:hAnsi="Times New Roman"/>
        </w:rPr>
        <w:t>···”</w:t>
      </w:r>
      <w:r>
        <w:rPr>
          <w:rFonts w:ascii="Times New Roman" w:hAnsi="Times New Roman"/>
        </w:rPr>
        <w:t>等目标。</w:t>
      </w:r>
      <w:r>
        <w:rPr>
          <w:rFonts w:ascii="Times New Roman" w:hAnsi="Times New Roman"/>
          <w:snapToGrid w:val="0"/>
          <w:kern w:val="0"/>
        </w:rPr>
        <w:t>横城矿区是</w:t>
      </w:r>
      <w:r>
        <w:rPr>
          <w:rFonts w:ascii="Times New Roman" w:hAnsi="Times New Roman" w:hint="eastAsia"/>
          <w:snapToGrid w:val="0"/>
          <w:kern w:val="0"/>
        </w:rPr>
        <w:t>宁</w:t>
      </w:r>
      <w:r>
        <w:rPr>
          <w:rFonts w:ascii="Times New Roman" w:hAnsi="Times New Roman"/>
          <w:snapToGrid w:val="0"/>
          <w:kern w:val="0"/>
        </w:rPr>
        <w:t>东煤炭基地内重要的煤炭矿区。矿区煤炭资源丰富，煤质优良，勘查程度高，具备大规模集约化开发的条件。</w:t>
      </w:r>
    </w:p>
    <w:p w14:paraId="6D5E607E" w14:textId="77777777" w:rsidR="009C353B" w:rsidRDefault="00000000">
      <w:pPr>
        <w:adjustRightInd w:val="0"/>
        <w:snapToGrid w:val="0"/>
        <w:spacing w:line="440" w:lineRule="exact"/>
        <w:ind w:firstLineChars="200" w:firstLine="480"/>
        <w:rPr>
          <w:rFonts w:ascii="Times New Roman" w:hAnsi="Times New Roman"/>
          <w:snapToGrid w:val="0"/>
          <w:kern w:val="0"/>
        </w:rPr>
      </w:pPr>
      <w:r>
        <w:rPr>
          <w:rFonts w:ascii="Times New Roman" w:hAnsi="Times New Roman"/>
          <w:snapToGrid w:val="0"/>
          <w:kern w:val="0"/>
        </w:rPr>
        <w:t>加快</w:t>
      </w:r>
      <w:r>
        <w:rPr>
          <w:rFonts w:ascii="Times New Roman" w:hAnsi="Times New Roman" w:hint="eastAsia"/>
          <w:snapToGrid w:val="0"/>
          <w:kern w:val="0"/>
        </w:rPr>
        <w:t>宁</w:t>
      </w:r>
      <w:r>
        <w:rPr>
          <w:rFonts w:ascii="Times New Roman" w:hAnsi="Times New Roman"/>
          <w:snapToGrid w:val="0"/>
          <w:kern w:val="0"/>
        </w:rPr>
        <w:t>东大型煤炭示范基地建设，符合国家煤炭布局</w:t>
      </w:r>
      <w:r>
        <w:rPr>
          <w:rFonts w:ascii="Times New Roman" w:hAnsi="Times New Roman"/>
          <w:snapToGrid w:val="0"/>
          <w:kern w:val="0"/>
        </w:rPr>
        <w:t>“</w:t>
      </w:r>
      <w:r>
        <w:rPr>
          <w:rFonts w:ascii="Times New Roman" w:hAnsi="Times New Roman"/>
          <w:snapToGrid w:val="0"/>
          <w:kern w:val="0"/>
        </w:rPr>
        <w:t>稳定调入区生产规模，增加调出区开发规模，适度开发自给区资源</w:t>
      </w:r>
      <w:r>
        <w:rPr>
          <w:rFonts w:ascii="Times New Roman" w:hAnsi="Times New Roman"/>
          <w:snapToGrid w:val="0"/>
          <w:kern w:val="0"/>
        </w:rPr>
        <w:t>”</w:t>
      </w:r>
      <w:r>
        <w:rPr>
          <w:rFonts w:ascii="Times New Roman" w:hAnsi="Times New Roman"/>
          <w:snapToGrid w:val="0"/>
          <w:kern w:val="0"/>
        </w:rPr>
        <w:t>的总体思路，也是确保我国一次能源供给和消费的长期均衡发展、支撑国民经济又好又快发展、保障我国能源安全的当务之急。</w:t>
      </w:r>
    </w:p>
    <w:p w14:paraId="58A8AD4B" w14:textId="77777777" w:rsidR="009C353B" w:rsidRDefault="00000000">
      <w:pPr>
        <w:adjustRightInd w:val="0"/>
        <w:snapToGrid w:val="0"/>
        <w:spacing w:line="440" w:lineRule="exact"/>
        <w:ind w:firstLineChars="200" w:firstLine="480"/>
        <w:rPr>
          <w:rFonts w:ascii="Times New Roman" w:hAnsi="Times New Roman"/>
          <w:snapToGrid w:val="0"/>
          <w:kern w:val="0"/>
        </w:rPr>
      </w:pPr>
      <w:r>
        <w:rPr>
          <w:rFonts w:ascii="Times New Roman" w:hAnsi="Times New Roman" w:hint="eastAsia"/>
          <w:snapToGrid w:val="0"/>
          <w:kern w:val="0"/>
        </w:rPr>
        <w:t>宁</w:t>
      </w:r>
      <w:r>
        <w:rPr>
          <w:rFonts w:ascii="Times New Roman" w:hAnsi="Times New Roman"/>
          <w:snapToGrid w:val="0"/>
          <w:kern w:val="0"/>
        </w:rPr>
        <w:t>东大型示范基地建设的方向是，通过示范基地建设，力争使能源产业实现升级，煤矿重特大事故得到有效遏制，矿区生态环境恶化的趋势初步得到控制，区域综合经济取得重大成就，能源安全保障程度显著提高，探索形成建设新型能源化工基地的经济政策体系。</w:t>
      </w:r>
    </w:p>
    <w:p w14:paraId="5A0D0942"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）增加就业机会、缓解社会矛盾</w:t>
      </w:r>
    </w:p>
    <w:p w14:paraId="4129223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随着横城矿区项目的相继实施，预计将需要新增劳动定员</w:t>
      </w:r>
      <w:r>
        <w:rPr>
          <w:rFonts w:ascii="Times New Roman" w:hAnsi="Times New Roman"/>
        </w:rPr>
        <w:t>814</w:t>
      </w:r>
      <w:r>
        <w:rPr>
          <w:rFonts w:ascii="Times New Roman" w:hAnsi="Times New Roman"/>
        </w:rPr>
        <w:t>人。开发所需人员中，除高级管理人员及技术人员采取社会聘用方式解决外，其余一般生产工人可在当地招工，此外随着矿区开发而带来的餐饮、娱乐等服务性行业也会有所发展，增加一部分就业途径，因此，矿区开发对于缓解地区剩余劳动力就业问题有积极意义。</w:t>
      </w:r>
    </w:p>
    <w:p w14:paraId="62124769"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3</w:t>
      </w:r>
      <w:r>
        <w:rPr>
          <w:rFonts w:ascii="Times New Roman" w:hAnsi="Times New Roman"/>
          <w:b/>
        </w:rPr>
        <w:t>）增加区域经济收入</w:t>
      </w:r>
    </w:p>
    <w:p w14:paraId="724A602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横城矿区开发是一项大规模的煤炭开发活动，矿区固定资产静态总投资</w:t>
      </w:r>
      <w:r>
        <w:rPr>
          <w:rFonts w:ascii="Times New Roman" w:hAnsi="Times New Roman"/>
          <w:snapToGrid w:val="0"/>
          <w:kern w:val="0"/>
        </w:rPr>
        <w:t>194733</w:t>
      </w:r>
      <w:r>
        <w:rPr>
          <w:rFonts w:ascii="Times New Roman" w:hAnsi="Times New Roman"/>
        </w:rPr>
        <w:t>万元。施工期的施工材料采购、供水、供电、施工人员的生活必需品大部分从当地市场采购，可带动当地经济发展，增加地方财政收入。</w:t>
      </w:r>
    </w:p>
    <w:p w14:paraId="2A57D6A5"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4</w:t>
      </w:r>
      <w:r>
        <w:rPr>
          <w:rFonts w:ascii="Times New Roman" w:hAnsi="Times New Roman"/>
          <w:b/>
        </w:rPr>
        <w:t>）改善区域基础设施</w:t>
      </w:r>
    </w:p>
    <w:p w14:paraId="06D2320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矿区开发配套建设的生活设施、固体废弃物处理设施等对改善地方交通运输、方便附近居民生活、改善当地环境质量等有益。</w:t>
      </w:r>
    </w:p>
    <w:p w14:paraId="48D56E2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另外，地方财政增加后，政府才可能有能力投入资金改善当地社会环境，如投入资金建立全民社会保险和医疗保险、投入资金进行环境污染治理、投入资金进行区域生态恢复、投入资金进行技术革新等。</w:t>
      </w:r>
    </w:p>
    <w:p w14:paraId="3EF00944" w14:textId="77777777" w:rsidR="009C353B" w:rsidRDefault="00000000">
      <w:pPr>
        <w:pStyle w:val="3"/>
        <w:adjustRightInd w:val="0"/>
        <w:snapToGrid w:val="0"/>
        <w:spacing w:before="0" w:after="0" w:line="440" w:lineRule="exact"/>
        <w:rPr>
          <w:rFonts w:ascii="Times New Roman" w:hAnsi="Times New Roman"/>
          <w:sz w:val="24"/>
        </w:rPr>
      </w:pPr>
      <w:bookmarkStart w:id="278" w:name="_Toc205776652"/>
      <w:bookmarkStart w:id="279" w:name="_Toc205632440"/>
      <w:r>
        <w:rPr>
          <w:rFonts w:ascii="Times New Roman" w:hAnsi="Times New Roman" w:hint="eastAsia"/>
          <w:sz w:val="24"/>
        </w:rPr>
        <w:t>6.9</w:t>
      </w:r>
      <w:r>
        <w:rPr>
          <w:rFonts w:ascii="Times New Roman" w:hAnsi="Times New Roman"/>
          <w:sz w:val="24"/>
        </w:rPr>
        <w:t>.2</w:t>
      </w:r>
      <w:r>
        <w:rPr>
          <w:rFonts w:ascii="Times New Roman" w:hAnsi="Times New Roman" w:hint="eastAsia"/>
          <w:sz w:val="24"/>
        </w:rPr>
        <w:t xml:space="preserve"> </w:t>
      </w:r>
      <w:r>
        <w:rPr>
          <w:rFonts w:ascii="Times New Roman" w:hAnsi="Times New Roman" w:hint="eastAsia"/>
          <w:sz w:val="24"/>
        </w:rPr>
        <w:t>社会经济</w:t>
      </w:r>
      <w:r>
        <w:rPr>
          <w:rFonts w:ascii="Times New Roman" w:hAnsi="Times New Roman"/>
          <w:sz w:val="24"/>
        </w:rPr>
        <w:t>不利影响</w:t>
      </w:r>
      <w:bookmarkEnd w:id="278"/>
      <w:bookmarkEnd w:id="279"/>
    </w:p>
    <w:p w14:paraId="19A03E89" w14:textId="77777777" w:rsidR="009C353B" w:rsidRDefault="00000000">
      <w:pPr>
        <w:adjustRightInd w:val="0"/>
        <w:snapToGrid w:val="0"/>
        <w:spacing w:line="440" w:lineRule="exact"/>
        <w:ind w:firstLineChars="200" w:firstLine="480"/>
        <w:rPr>
          <w:rFonts w:ascii="Times New Roman" w:hint="eastAsia"/>
        </w:rPr>
      </w:pPr>
      <w:r>
        <w:rPr>
          <w:rFonts w:ascii="Times New Roman"/>
        </w:rPr>
        <w:t>横城矿区</w:t>
      </w:r>
      <w:r>
        <w:rPr>
          <w:rFonts w:ascii="Times New Roman"/>
          <w:snapToGrid w:val="0"/>
        </w:rPr>
        <w:t>含煤层</w:t>
      </w:r>
      <w:r>
        <w:rPr>
          <w:rFonts w:ascii="Times New Roman" w:hAnsi="Times New Roman" w:hint="eastAsia"/>
          <w:snapToGrid w:val="0"/>
        </w:rPr>
        <w:t>数较多</w:t>
      </w:r>
      <w:r>
        <w:rPr>
          <w:rFonts w:ascii="Times New Roman"/>
        </w:rPr>
        <w:t>，属于多煤层开采，由此引起的地表移动、变形对地面建筑、</w:t>
      </w:r>
      <w:r>
        <w:rPr>
          <w:rFonts w:ascii="Times New Roman" w:hint="eastAsia"/>
        </w:rPr>
        <w:t>荒漠草原生态系统</w:t>
      </w:r>
      <w:r>
        <w:rPr>
          <w:rFonts w:ascii="Times New Roman"/>
        </w:rPr>
        <w:t>等影响较大，会对社会环境产生一定的不利影响。</w:t>
      </w:r>
    </w:p>
    <w:p w14:paraId="338BD687"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 xml:space="preserve">6.9.2.1 </w:t>
      </w:r>
      <w:r>
        <w:rPr>
          <w:rFonts w:ascii="Times New Roman" w:eastAsia="宋体" w:hAnsi="Times New Roman" w:hint="eastAsia"/>
          <w:sz w:val="24"/>
        </w:rPr>
        <w:t>矿区开发对地面建构筑物的影响分析</w:t>
      </w:r>
    </w:p>
    <w:p w14:paraId="16B1BAD5" w14:textId="77777777" w:rsidR="009C353B" w:rsidRDefault="00000000">
      <w:pPr>
        <w:adjustRightInd w:val="0"/>
        <w:snapToGrid w:val="0"/>
        <w:spacing w:line="440" w:lineRule="exact"/>
        <w:ind w:firstLineChars="200" w:firstLine="480"/>
        <w:rPr>
          <w:rFonts w:ascii="Times New Roman" w:hint="eastAsia"/>
        </w:rPr>
      </w:pPr>
      <w:r>
        <w:rPr>
          <w:rFonts w:ascii="Times New Roman"/>
        </w:rPr>
        <w:t>横城矿区人口密度较低，</w:t>
      </w:r>
      <w:r>
        <w:rPr>
          <w:rFonts w:ascii="Times New Roman" w:hint="eastAsia"/>
        </w:rPr>
        <w:t>人口</w:t>
      </w:r>
      <w:r>
        <w:rPr>
          <w:rFonts w:ascii="Times New Roman"/>
        </w:rPr>
        <w:t>主要集中在矿区东</w:t>
      </w:r>
      <w:r>
        <w:rPr>
          <w:rFonts w:ascii="Times New Roman" w:hint="eastAsia"/>
        </w:rPr>
        <w:t>南</w:t>
      </w:r>
      <w:r>
        <w:rPr>
          <w:rFonts w:ascii="Times New Roman"/>
        </w:rPr>
        <w:t>部</w:t>
      </w:r>
      <w:r>
        <w:rPr>
          <w:rFonts w:ascii="Times New Roman" w:hint="eastAsia"/>
        </w:rPr>
        <w:t>边界外的宁东镇内以及矿区北部边界外沿水洞沟分布的零星村庄</w:t>
      </w:r>
      <w:r>
        <w:rPr>
          <w:rFonts w:ascii="Times New Roman"/>
        </w:rPr>
        <w:t>，</w:t>
      </w:r>
      <w:r>
        <w:rPr>
          <w:rFonts w:ascii="Times New Roman" w:hint="eastAsia"/>
        </w:rPr>
        <w:t>矿区内无村庄民居。其它</w:t>
      </w:r>
      <w:r>
        <w:rPr>
          <w:rFonts w:ascii="Times New Roman"/>
        </w:rPr>
        <w:t>主要地面设施为</w:t>
      </w:r>
      <w:r>
        <w:rPr>
          <w:rFonts w:ascii="Times New Roman" w:hAnsi="Times New Roman" w:hint="eastAsia"/>
        </w:rPr>
        <w:t>铁路和公路、输电线路等</w:t>
      </w:r>
      <w:r>
        <w:rPr>
          <w:rFonts w:ascii="Times New Roman"/>
        </w:rPr>
        <w:t>。</w:t>
      </w:r>
      <w:r>
        <w:rPr>
          <w:rFonts w:ascii="Times New Roman" w:hint="eastAsia"/>
        </w:rPr>
        <w:t>评价</w:t>
      </w:r>
      <w:r>
        <w:rPr>
          <w:rFonts w:ascii="Times New Roman"/>
        </w:rPr>
        <w:t>已提出对</w:t>
      </w:r>
      <w:r>
        <w:rPr>
          <w:rFonts w:ascii="Times New Roman" w:hAnsi="Times New Roman" w:hint="eastAsia"/>
        </w:rPr>
        <w:t>铁路、省道、高度公路、高压输电线路等留设</w:t>
      </w:r>
      <w:r>
        <w:rPr>
          <w:rFonts w:ascii="Times New Roman" w:hAnsi="Times New Roman"/>
        </w:rPr>
        <w:t>保护煤柱，不受开采沉陷影响。</w:t>
      </w:r>
    </w:p>
    <w:p w14:paraId="3B59434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w:t>
      </w:r>
      <w:r>
        <w:rPr>
          <w:rFonts w:ascii="Times New Roman" w:hAnsi="Times New Roman"/>
        </w:rPr>
        <w:t>所在区域人口密度低，</w:t>
      </w:r>
      <w:r>
        <w:rPr>
          <w:rFonts w:ascii="Times New Roman" w:hAnsi="Times New Roman" w:hint="eastAsia"/>
        </w:rPr>
        <w:t>横城矿区自</w:t>
      </w:r>
      <w:r>
        <w:rPr>
          <w:rFonts w:ascii="Times New Roman" w:hAnsi="Times New Roman" w:hint="eastAsia"/>
        </w:rPr>
        <w:t>2</w:t>
      </w:r>
      <w:r>
        <w:rPr>
          <w:rFonts w:ascii="Times New Roman" w:hAnsi="Times New Roman"/>
        </w:rPr>
        <w:t>004</w:t>
      </w:r>
      <w:r>
        <w:rPr>
          <w:rFonts w:ascii="Times New Roman" w:hAnsi="Times New Roman" w:hint="eastAsia"/>
        </w:rPr>
        <w:t>年经</w:t>
      </w:r>
      <w:r>
        <w:rPr>
          <w:rFonts w:ascii="Times New Roman"/>
        </w:rPr>
        <w:t>国家发展和改革委员会</w:t>
      </w:r>
      <w:r>
        <w:rPr>
          <w:rFonts w:ascii="Times New Roman" w:hint="eastAsia"/>
        </w:rPr>
        <w:t>以《国家发展改革委关于宁夏横城矿区总体规划的批复》（发改能源〔</w:t>
      </w:r>
      <w:r>
        <w:rPr>
          <w:rFonts w:ascii="Times New Roman" w:hint="eastAsia"/>
        </w:rPr>
        <w:t>2004</w:t>
      </w:r>
      <w:r>
        <w:rPr>
          <w:rFonts w:ascii="Times New Roman" w:hint="eastAsia"/>
        </w:rPr>
        <w:t>〕</w:t>
      </w:r>
      <w:r>
        <w:rPr>
          <w:rFonts w:ascii="Times New Roman" w:hint="eastAsia"/>
        </w:rPr>
        <w:t>2166</w:t>
      </w:r>
      <w:r>
        <w:rPr>
          <w:rFonts w:ascii="Times New Roman" w:hint="eastAsia"/>
        </w:rPr>
        <w:t>号）批复</w:t>
      </w:r>
      <w:r>
        <w:rPr>
          <w:rFonts w:ascii="Times New Roman" w:hAnsi="Times New Roman" w:hint="eastAsia"/>
        </w:rPr>
        <w:t>开发至今，矿区内村庄已全部搬迁完毕，后续</w:t>
      </w:r>
      <w:r>
        <w:rPr>
          <w:rFonts w:ascii="Times New Roman" w:hAnsi="Times New Roman"/>
        </w:rPr>
        <w:t>开发</w:t>
      </w:r>
      <w:r>
        <w:rPr>
          <w:rFonts w:ascii="Times New Roman" w:hAnsi="Times New Roman" w:hint="eastAsia"/>
        </w:rPr>
        <w:t>不</w:t>
      </w:r>
      <w:r>
        <w:rPr>
          <w:rFonts w:ascii="Times New Roman" w:hAnsi="Times New Roman"/>
        </w:rPr>
        <w:t>涉及移民搬迁</w:t>
      </w:r>
      <w:r>
        <w:rPr>
          <w:rFonts w:ascii="Times New Roman" w:hAnsi="Times New Roman" w:hint="eastAsia"/>
        </w:rPr>
        <w:t>。</w:t>
      </w:r>
    </w:p>
    <w:p w14:paraId="6A77336A"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6.9.2.</w:t>
      </w:r>
      <w:r>
        <w:rPr>
          <w:rFonts w:ascii="Times New Roman" w:eastAsia="宋体" w:hAnsi="Times New Roman"/>
          <w:sz w:val="24"/>
        </w:rPr>
        <w:t>2</w:t>
      </w:r>
      <w:r>
        <w:rPr>
          <w:rFonts w:ascii="Times New Roman" w:eastAsia="宋体" w:hAnsi="Times New Roman"/>
          <w:sz w:val="24"/>
        </w:rPr>
        <w:t>对当地农</w:t>
      </w:r>
      <w:r>
        <w:rPr>
          <w:rFonts w:ascii="Times New Roman" w:eastAsia="宋体" w:hAnsi="Times New Roman" w:hint="eastAsia"/>
          <w:sz w:val="24"/>
        </w:rPr>
        <w:t>业</w:t>
      </w:r>
      <w:r>
        <w:rPr>
          <w:rFonts w:ascii="Times New Roman" w:eastAsia="宋体" w:hAnsi="Times New Roman"/>
          <w:sz w:val="24"/>
        </w:rPr>
        <w:t>生产和</w:t>
      </w:r>
      <w:r>
        <w:rPr>
          <w:rFonts w:ascii="Times New Roman" w:eastAsia="宋体" w:hAnsi="Times New Roman" w:hint="eastAsia"/>
          <w:sz w:val="24"/>
        </w:rPr>
        <w:t>居民</w:t>
      </w:r>
      <w:r>
        <w:rPr>
          <w:rFonts w:ascii="Times New Roman" w:eastAsia="宋体" w:hAnsi="Times New Roman"/>
          <w:sz w:val="24"/>
        </w:rPr>
        <w:t>生活的影响</w:t>
      </w:r>
    </w:p>
    <w:p w14:paraId="79FC58E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）对当地农业生产的影响</w:t>
      </w:r>
    </w:p>
    <w:p w14:paraId="60EC59C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矿区开发对农业生产的影响一方面表现为对土地资源的影响，另一方面表现为对农业产业结构的影响。从</w:t>
      </w:r>
      <w:r>
        <w:rPr>
          <w:rFonts w:ascii="Times New Roman" w:hAnsi="Times New Roman"/>
        </w:rPr>
        <w:t>“</w:t>
      </w:r>
      <w:r>
        <w:rPr>
          <w:rFonts w:ascii="Times New Roman" w:hAnsi="Times New Roman"/>
        </w:rPr>
        <w:t>对土地资源的影响预测分析</w:t>
      </w:r>
      <w:r>
        <w:rPr>
          <w:rFonts w:ascii="Times New Roman" w:hAnsi="Times New Roman"/>
        </w:rPr>
        <w:t>”</w:t>
      </w:r>
      <w:r>
        <w:rPr>
          <w:rFonts w:ascii="Times New Roman" w:hAnsi="Times New Roman"/>
        </w:rPr>
        <w:t>可知，矿区建设永久占地不会对当地土地资源产生较大影响，对矿区土地利用结构的影响也不大，而地表沉陷使土地资源的利用价值在一定时间内降低，特别是沉陷活动期内的土地利用变得困难。</w:t>
      </w:r>
    </w:p>
    <w:p w14:paraId="663C4369" w14:textId="77777777" w:rsidR="009C353B" w:rsidRDefault="00000000">
      <w:pPr>
        <w:adjustRightInd w:val="0"/>
        <w:snapToGrid w:val="0"/>
        <w:spacing w:line="440" w:lineRule="exact"/>
        <w:ind w:firstLineChars="200" w:firstLine="480"/>
        <w:rPr>
          <w:rFonts w:hint="eastAsia"/>
        </w:rPr>
      </w:pPr>
      <w:r>
        <w:rPr>
          <w:rFonts w:ascii="Times New Roman" w:hAnsi="Times New Roman" w:hint="eastAsia"/>
        </w:rPr>
        <w:t>横城矿区井田内无耕地，所以</w:t>
      </w:r>
      <w:r>
        <w:t>矿区开发建设，</w:t>
      </w:r>
      <w:r>
        <w:rPr>
          <w:rFonts w:hint="eastAsia"/>
        </w:rPr>
        <w:t>主要</w:t>
      </w:r>
      <w:r>
        <w:t>会促进矿区农业生产结构的演变。矿区开发建设并投入生产，提高了当地工业经济比重、促进第三产业的发展，为当地剩余劳动力创造了就业机会；同时，为满足区内新增职工较高水平的生活需求，需要改变当地以粮食作物为主的农业、种植业结构，发展蔬菜生产、畜禽业和渔业生产，从而使肉、蛋、奶、林产品、果蔬的生产比重上升，农业生产结构更趋于多样化，农业生产会向高产、高效、优质的方向发展。</w:t>
      </w:r>
    </w:p>
    <w:p w14:paraId="30F30E7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）对当地</w:t>
      </w:r>
      <w:r>
        <w:rPr>
          <w:rFonts w:ascii="Times New Roman" w:hAnsi="Times New Roman" w:hint="eastAsia"/>
        </w:rPr>
        <w:t>居</w:t>
      </w:r>
      <w:r>
        <w:rPr>
          <w:rFonts w:ascii="Times New Roman" w:hAnsi="Times New Roman"/>
        </w:rPr>
        <w:t>民生活的影响</w:t>
      </w:r>
    </w:p>
    <w:p w14:paraId="777F376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由于横城矿区所在区域无耕地，多为荒漠草原和沙地，土地沙化情况普遍存在，当地村民</w:t>
      </w:r>
      <w:r>
        <w:rPr>
          <w:rFonts w:ascii="Times New Roman" w:hAnsi="Times New Roman"/>
        </w:rPr>
        <w:t>收入基本来自</w:t>
      </w:r>
      <w:r>
        <w:rPr>
          <w:rFonts w:ascii="Times New Roman" w:hAnsi="Times New Roman" w:hint="eastAsia"/>
        </w:rPr>
        <w:t>去宁东基地各厂矿企业的就业</w:t>
      </w:r>
      <w:r>
        <w:rPr>
          <w:rFonts w:ascii="Times New Roman" w:hAnsi="Times New Roman"/>
        </w:rPr>
        <w:t>收入，</w:t>
      </w:r>
      <w:r>
        <w:rPr>
          <w:rFonts w:ascii="Times New Roman" w:hAnsi="Times New Roman" w:hint="eastAsia"/>
        </w:rPr>
        <w:t>农业收入占比较小。</w:t>
      </w:r>
    </w:p>
    <w:p w14:paraId="667D8FD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根据采煤地表沉陷、地下水环境影响预测结果，规划区实施采煤对靠凝结水生长的草灌生物影响不大，对靠地下潜水生长的高大乔木影响较大，但在采煤未导通第四系含水层的情况下，及时扶正倾斜乔木，可缓解采煤对乔木的影响；也就是说，采煤对当地农业和林业收入不会产生大的影响。</w:t>
      </w:r>
    </w:p>
    <w:p w14:paraId="7A04C72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另外，矿区开发为当地农业劳动力转移提供了更多的机会，矿区建设将结合城镇体系规划和社会主义新农村建设规划，生活设施将更为完善，相应的商贸网点、文教卫生等生活辅助设施更为便利，生活条件较以前将有所改变。</w:t>
      </w:r>
    </w:p>
    <w:p w14:paraId="24593A60"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 xml:space="preserve">6.9.3 </w:t>
      </w:r>
      <w:r>
        <w:rPr>
          <w:rFonts w:ascii="Times New Roman" w:hAnsi="Times New Roman" w:hint="eastAsia"/>
          <w:sz w:val="24"/>
        </w:rPr>
        <w:t>对人群健康的影响及职业病防治</w:t>
      </w:r>
    </w:p>
    <w:p w14:paraId="0E213DA2" w14:textId="77777777" w:rsidR="009C353B" w:rsidRDefault="00000000">
      <w:pPr>
        <w:autoSpaceDE w:val="0"/>
        <w:autoSpaceDN w:val="0"/>
        <w:adjustRightInd w:val="0"/>
        <w:snapToGrid w:val="0"/>
        <w:spacing w:line="440" w:lineRule="exact"/>
        <w:ind w:firstLineChars="200" w:firstLine="480"/>
        <w:jc w:val="left"/>
        <w:rPr>
          <w:rFonts w:hint="eastAsia"/>
        </w:rPr>
      </w:pPr>
      <w:r>
        <w:rPr>
          <w:rFonts w:ascii="Times New Roman" w:hint="eastAsia"/>
          <w:kern w:val="0"/>
          <w:szCs w:val="24"/>
        </w:rPr>
        <w:t>根据</w:t>
      </w:r>
      <w:r>
        <w:rPr>
          <w:rFonts w:ascii="Times New Roman"/>
          <w:kern w:val="0"/>
          <w:szCs w:val="24"/>
        </w:rPr>
        <w:t>《卫生部办公厅关于</w:t>
      </w:r>
      <w:r>
        <w:rPr>
          <w:rFonts w:ascii="Times New Roman" w:hAnsi="Times New Roman"/>
          <w:kern w:val="0"/>
          <w:szCs w:val="24"/>
        </w:rPr>
        <w:t>2008</w:t>
      </w:r>
      <w:r>
        <w:rPr>
          <w:rFonts w:ascii="Times New Roman"/>
          <w:kern w:val="0"/>
          <w:szCs w:val="24"/>
        </w:rPr>
        <w:t>年全国职业卫生监督管理工作情况的通报》（卫办监督发〔</w:t>
      </w:r>
      <w:r>
        <w:rPr>
          <w:rFonts w:ascii="Times New Roman" w:hAnsi="Times New Roman"/>
          <w:kern w:val="0"/>
          <w:szCs w:val="24"/>
        </w:rPr>
        <w:t>2009</w:t>
      </w:r>
      <w:r>
        <w:rPr>
          <w:rFonts w:ascii="Times New Roman"/>
          <w:kern w:val="0"/>
          <w:szCs w:val="24"/>
        </w:rPr>
        <w:t>〕</w:t>
      </w:r>
      <w:r>
        <w:rPr>
          <w:rFonts w:ascii="Times New Roman" w:hAnsi="Times New Roman"/>
          <w:kern w:val="0"/>
          <w:szCs w:val="24"/>
        </w:rPr>
        <w:t>86</w:t>
      </w:r>
      <w:r>
        <w:rPr>
          <w:rFonts w:ascii="Times New Roman"/>
          <w:kern w:val="0"/>
          <w:szCs w:val="24"/>
        </w:rPr>
        <w:t>号，</w:t>
      </w:r>
      <w:r>
        <w:rPr>
          <w:rFonts w:ascii="Times New Roman" w:hAnsi="Times New Roman"/>
          <w:kern w:val="0"/>
          <w:szCs w:val="24"/>
        </w:rPr>
        <w:t>2009</w:t>
      </w:r>
      <w:r>
        <w:rPr>
          <w:rFonts w:ascii="Times New Roman"/>
          <w:kern w:val="0"/>
          <w:szCs w:val="24"/>
        </w:rPr>
        <w:t>年</w:t>
      </w:r>
      <w:r>
        <w:rPr>
          <w:rFonts w:ascii="Times New Roman" w:hAnsi="Times New Roman"/>
          <w:kern w:val="0"/>
          <w:szCs w:val="24"/>
        </w:rPr>
        <w:t>5</w:t>
      </w:r>
      <w:r>
        <w:rPr>
          <w:rFonts w:ascii="Times New Roman"/>
          <w:kern w:val="0"/>
          <w:szCs w:val="24"/>
        </w:rPr>
        <w:t>月</w:t>
      </w:r>
      <w:r>
        <w:rPr>
          <w:rFonts w:ascii="Times New Roman" w:hAnsi="Times New Roman"/>
          <w:kern w:val="0"/>
          <w:szCs w:val="24"/>
        </w:rPr>
        <w:t>22</w:t>
      </w:r>
      <w:r>
        <w:rPr>
          <w:rFonts w:ascii="Times New Roman"/>
          <w:kern w:val="0"/>
          <w:szCs w:val="24"/>
        </w:rPr>
        <w:t>日）指出：</w:t>
      </w:r>
      <w:r>
        <w:rPr>
          <w:rFonts w:ascii="Times New Roman" w:hAnsi="Times New Roman"/>
          <w:kern w:val="0"/>
          <w:szCs w:val="24"/>
        </w:rPr>
        <w:t>“</w:t>
      </w:r>
      <w:r>
        <w:rPr>
          <w:rFonts w:ascii="Times New Roman"/>
          <w:kern w:val="0"/>
          <w:szCs w:val="24"/>
        </w:rPr>
        <w:t>根据</w:t>
      </w:r>
      <w:r>
        <w:rPr>
          <w:rFonts w:ascii="Times New Roman" w:hAnsi="Times New Roman"/>
          <w:kern w:val="0"/>
          <w:szCs w:val="24"/>
        </w:rPr>
        <w:t>30</w:t>
      </w:r>
      <w:r>
        <w:rPr>
          <w:rFonts w:ascii="Times New Roman"/>
          <w:kern w:val="0"/>
          <w:szCs w:val="24"/>
        </w:rPr>
        <w:t>个省、自治区、直辖市（不包括西藏自治区）和新疆生产建设兵团职业病报告，</w:t>
      </w:r>
      <w:r>
        <w:rPr>
          <w:rFonts w:ascii="Times New Roman" w:hAnsi="Times New Roman"/>
          <w:kern w:val="0"/>
          <w:szCs w:val="24"/>
        </w:rPr>
        <w:t>2008</w:t>
      </w:r>
      <w:r>
        <w:rPr>
          <w:rFonts w:ascii="Times New Roman"/>
          <w:kern w:val="0"/>
          <w:szCs w:val="24"/>
        </w:rPr>
        <w:t>年新发各类职业病</w:t>
      </w:r>
      <w:r>
        <w:rPr>
          <w:rFonts w:ascii="Times New Roman" w:hAnsi="Times New Roman"/>
          <w:kern w:val="0"/>
          <w:szCs w:val="24"/>
        </w:rPr>
        <w:t>13,744</w:t>
      </w:r>
      <w:r>
        <w:rPr>
          <w:rFonts w:ascii="Times New Roman"/>
          <w:kern w:val="0"/>
          <w:szCs w:val="24"/>
        </w:rPr>
        <w:t>例。职业病病例数列前</w:t>
      </w:r>
      <w:r>
        <w:rPr>
          <w:rFonts w:ascii="Times New Roman" w:hAnsi="Times New Roman"/>
          <w:kern w:val="0"/>
          <w:szCs w:val="24"/>
        </w:rPr>
        <w:t>3</w:t>
      </w:r>
      <w:r>
        <w:rPr>
          <w:rFonts w:ascii="Times New Roman"/>
          <w:kern w:val="0"/>
          <w:szCs w:val="24"/>
        </w:rPr>
        <w:t>位的行业依次为煤炭、有色金属和建设行业，分别占总病例数的</w:t>
      </w:r>
      <w:r>
        <w:rPr>
          <w:rFonts w:ascii="Times New Roman" w:hAnsi="Times New Roman"/>
          <w:kern w:val="0"/>
          <w:szCs w:val="24"/>
        </w:rPr>
        <w:t>39.81%</w:t>
      </w:r>
      <w:r>
        <w:rPr>
          <w:rFonts w:ascii="Times New Roman"/>
          <w:kern w:val="0"/>
          <w:szCs w:val="24"/>
        </w:rPr>
        <w:t>、</w:t>
      </w:r>
      <w:r>
        <w:rPr>
          <w:rFonts w:ascii="Times New Roman" w:hAnsi="Times New Roman"/>
          <w:kern w:val="0"/>
          <w:szCs w:val="24"/>
        </w:rPr>
        <w:t>13.05%</w:t>
      </w:r>
      <w:r>
        <w:rPr>
          <w:rFonts w:ascii="Times New Roman"/>
          <w:kern w:val="0"/>
          <w:szCs w:val="24"/>
        </w:rPr>
        <w:t>和</w:t>
      </w:r>
      <w:r>
        <w:rPr>
          <w:rFonts w:ascii="Times New Roman" w:hAnsi="Times New Roman"/>
          <w:kern w:val="0"/>
          <w:szCs w:val="24"/>
        </w:rPr>
        <w:t>6.90%</w:t>
      </w:r>
      <w:r>
        <w:rPr>
          <w:rFonts w:ascii="Times New Roman"/>
          <w:kern w:val="0"/>
          <w:szCs w:val="24"/>
        </w:rPr>
        <w:t>。建国以来至</w:t>
      </w:r>
      <w:r>
        <w:rPr>
          <w:rFonts w:ascii="Times New Roman" w:hAnsi="Times New Roman"/>
          <w:kern w:val="0"/>
          <w:szCs w:val="24"/>
        </w:rPr>
        <w:t>2008</w:t>
      </w:r>
      <w:r>
        <w:rPr>
          <w:rFonts w:ascii="Times New Roman"/>
          <w:kern w:val="0"/>
          <w:szCs w:val="24"/>
        </w:rPr>
        <w:t>年底，累计报告职业病共</w:t>
      </w:r>
      <w:r>
        <w:rPr>
          <w:rFonts w:ascii="Times New Roman" w:hAnsi="Times New Roman"/>
          <w:kern w:val="0"/>
          <w:szCs w:val="24"/>
        </w:rPr>
        <w:t>704</w:t>
      </w:r>
      <w:r>
        <w:rPr>
          <w:rFonts w:ascii="Times New Roman"/>
          <w:kern w:val="0"/>
          <w:szCs w:val="24"/>
        </w:rPr>
        <w:t>，</w:t>
      </w:r>
      <w:r>
        <w:rPr>
          <w:rFonts w:ascii="Times New Roman" w:hAnsi="Times New Roman"/>
          <w:kern w:val="0"/>
          <w:szCs w:val="24"/>
        </w:rPr>
        <w:t>602</w:t>
      </w:r>
      <w:r>
        <w:rPr>
          <w:rFonts w:ascii="Times New Roman"/>
          <w:kern w:val="0"/>
          <w:szCs w:val="24"/>
        </w:rPr>
        <w:t>例。</w:t>
      </w:r>
      <w:r>
        <w:rPr>
          <w:rFonts w:ascii="Times New Roman" w:hAnsi="Times New Roman"/>
          <w:kern w:val="0"/>
          <w:szCs w:val="24"/>
        </w:rPr>
        <w:t>”</w:t>
      </w:r>
      <w:r>
        <w:rPr>
          <w:rFonts w:ascii="Times New Roman"/>
          <w:kern w:val="0"/>
          <w:szCs w:val="24"/>
        </w:rPr>
        <w:t>其中尘肺病：</w:t>
      </w:r>
      <w:r>
        <w:rPr>
          <w:rFonts w:ascii="Times New Roman" w:hAnsi="Times New Roman"/>
          <w:kern w:val="0"/>
          <w:szCs w:val="24"/>
        </w:rPr>
        <w:t>“2008</w:t>
      </w:r>
      <w:r>
        <w:rPr>
          <w:rFonts w:ascii="Times New Roman"/>
          <w:kern w:val="0"/>
          <w:szCs w:val="24"/>
        </w:rPr>
        <w:t>年共报告尘肺病新病例</w:t>
      </w:r>
      <w:r>
        <w:rPr>
          <w:rFonts w:ascii="Times New Roman" w:hAnsi="Times New Roman"/>
          <w:kern w:val="0"/>
          <w:szCs w:val="24"/>
        </w:rPr>
        <w:t>10,829</w:t>
      </w:r>
      <w:r>
        <w:rPr>
          <w:rFonts w:ascii="Times New Roman"/>
          <w:kern w:val="0"/>
          <w:szCs w:val="24"/>
        </w:rPr>
        <w:t>例，死亡病例</w:t>
      </w:r>
      <w:r>
        <w:rPr>
          <w:rFonts w:ascii="Times New Roman" w:hAnsi="Times New Roman"/>
          <w:kern w:val="0"/>
          <w:szCs w:val="24"/>
        </w:rPr>
        <w:t>613</w:t>
      </w:r>
      <w:r>
        <w:rPr>
          <w:rFonts w:ascii="Times New Roman"/>
          <w:kern w:val="0"/>
          <w:szCs w:val="24"/>
        </w:rPr>
        <w:t>例，晋期病例</w:t>
      </w:r>
      <w:r>
        <w:rPr>
          <w:rFonts w:ascii="Times New Roman" w:hAnsi="Times New Roman"/>
          <w:kern w:val="0"/>
          <w:szCs w:val="24"/>
        </w:rPr>
        <w:t>811</w:t>
      </w:r>
      <w:r>
        <w:rPr>
          <w:rFonts w:ascii="Times New Roman"/>
          <w:kern w:val="0"/>
          <w:szCs w:val="24"/>
        </w:rPr>
        <w:t>例。建国以来至</w:t>
      </w:r>
      <w:r>
        <w:rPr>
          <w:rFonts w:ascii="Times New Roman" w:hAnsi="Times New Roman"/>
          <w:kern w:val="0"/>
          <w:szCs w:val="24"/>
        </w:rPr>
        <w:t>2008</w:t>
      </w:r>
      <w:r>
        <w:rPr>
          <w:rFonts w:ascii="Times New Roman"/>
          <w:kern w:val="0"/>
          <w:szCs w:val="24"/>
        </w:rPr>
        <w:t>年底，累计报告的尘肺病病例达</w:t>
      </w:r>
      <w:r>
        <w:rPr>
          <w:rFonts w:ascii="Times New Roman" w:hAnsi="Times New Roman"/>
          <w:kern w:val="0"/>
          <w:szCs w:val="24"/>
        </w:rPr>
        <w:t>638,234</w:t>
      </w:r>
      <w:r>
        <w:rPr>
          <w:rFonts w:ascii="Times New Roman"/>
          <w:kern w:val="0"/>
          <w:szCs w:val="24"/>
        </w:rPr>
        <w:t>例。在</w:t>
      </w:r>
      <w:r>
        <w:rPr>
          <w:rFonts w:ascii="Times New Roman" w:hAnsi="Times New Roman"/>
          <w:kern w:val="0"/>
          <w:szCs w:val="24"/>
        </w:rPr>
        <w:t>10,829</w:t>
      </w:r>
      <w:r>
        <w:rPr>
          <w:rFonts w:ascii="Times New Roman"/>
          <w:kern w:val="0"/>
          <w:szCs w:val="24"/>
        </w:rPr>
        <w:t>例尘肺病新病例中，煤工尘肺和矽肺占</w:t>
      </w:r>
      <w:r>
        <w:rPr>
          <w:rFonts w:ascii="Times New Roman" w:hAnsi="Times New Roman"/>
          <w:kern w:val="0"/>
          <w:szCs w:val="24"/>
        </w:rPr>
        <w:t>89.32</w:t>
      </w:r>
      <w:r>
        <w:rPr>
          <w:rFonts w:ascii="Times New Roman"/>
          <w:kern w:val="0"/>
          <w:szCs w:val="24"/>
        </w:rPr>
        <w:t>％</w:t>
      </w:r>
      <w:r>
        <w:rPr>
          <w:rFonts w:ascii="Times New Roman" w:hAnsi="Times New Roman"/>
          <w:kern w:val="0"/>
          <w:szCs w:val="24"/>
        </w:rPr>
        <w:t>”</w:t>
      </w:r>
      <w:r>
        <w:rPr>
          <w:rFonts w:ascii="Times New Roman"/>
          <w:kern w:val="0"/>
          <w:szCs w:val="24"/>
        </w:rPr>
        <w:t>。煤炭行业职业病危害形势十分严峻，尘肺病发病居高不下，群发性尘肺病时有发生，发病工龄缩短</w:t>
      </w:r>
      <w:r>
        <w:rPr>
          <w:rFonts w:ascii="Times New Roman" w:hint="eastAsia"/>
          <w:kern w:val="0"/>
          <w:szCs w:val="24"/>
        </w:rPr>
        <w:t>，</w:t>
      </w:r>
      <w:r>
        <w:rPr>
          <w:rFonts w:ascii="Times New Roman" w:hAnsi="Times New Roman" w:hint="eastAsia"/>
          <w:kern w:val="0"/>
          <w:szCs w:val="24"/>
        </w:rPr>
        <w:t>煤炭行业预防职业病的任务艰巨。</w:t>
      </w:r>
      <w:r>
        <w:rPr>
          <w:rFonts w:hint="eastAsia"/>
        </w:rPr>
        <w:t xml:space="preserve">    </w:t>
      </w:r>
    </w:p>
    <w:p w14:paraId="2C4631A4"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6.9.3.1</w:t>
      </w:r>
      <w:r>
        <w:rPr>
          <w:rFonts w:ascii="Times New Roman" w:eastAsia="宋体" w:hAnsi="Times New Roman" w:hint="eastAsia"/>
          <w:sz w:val="24"/>
        </w:rPr>
        <w:t>职业病危害因素识别</w:t>
      </w:r>
    </w:p>
    <w:p w14:paraId="1BEB267D" w14:textId="77777777" w:rsidR="009C353B" w:rsidRDefault="00000000">
      <w:pPr>
        <w:autoSpaceDE w:val="0"/>
        <w:autoSpaceDN w:val="0"/>
        <w:adjustRightInd w:val="0"/>
        <w:snapToGrid w:val="0"/>
        <w:spacing w:line="440" w:lineRule="exact"/>
        <w:ind w:firstLineChars="200" w:firstLine="482"/>
        <w:jc w:val="left"/>
        <w:rPr>
          <w:rFonts w:ascii="Times New Roman" w:hAnsi="Times New Roman"/>
          <w:b/>
          <w:bCs/>
          <w:kern w:val="0"/>
          <w:szCs w:val="24"/>
        </w:rPr>
      </w:pPr>
      <w:r>
        <w:rPr>
          <w:rFonts w:ascii="Times New Roman"/>
          <w:b/>
          <w:kern w:val="0"/>
          <w:szCs w:val="24"/>
        </w:rPr>
        <w:t>（</w:t>
      </w:r>
      <w:r>
        <w:rPr>
          <w:rFonts w:ascii="Times New Roman" w:hAnsi="Times New Roman"/>
          <w:b/>
          <w:kern w:val="0"/>
          <w:szCs w:val="24"/>
        </w:rPr>
        <w:t>1</w:t>
      </w:r>
      <w:r>
        <w:rPr>
          <w:rFonts w:ascii="Times New Roman"/>
          <w:b/>
          <w:kern w:val="0"/>
          <w:szCs w:val="24"/>
        </w:rPr>
        <w:t>）</w:t>
      </w:r>
      <w:r>
        <w:rPr>
          <w:rFonts w:ascii="Times New Roman"/>
          <w:b/>
          <w:bCs/>
          <w:kern w:val="0"/>
          <w:szCs w:val="24"/>
        </w:rPr>
        <w:t>生产工艺过程中产生的有害因素</w:t>
      </w:r>
    </w:p>
    <w:p w14:paraId="27304EF2" w14:textId="77777777" w:rsidR="009C353B" w:rsidRDefault="00000000">
      <w:pPr>
        <w:autoSpaceDE w:val="0"/>
        <w:autoSpaceDN w:val="0"/>
        <w:adjustRightInd w:val="0"/>
        <w:snapToGrid w:val="0"/>
        <w:spacing w:line="440" w:lineRule="exact"/>
        <w:ind w:firstLineChars="200" w:firstLine="480"/>
        <w:jc w:val="left"/>
        <w:rPr>
          <w:rFonts w:ascii="Times New Roman" w:hint="eastAsia"/>
          <w:kern w:val="0"/>
          <w:szCs w:val="24"/>
        </w:rPr>
      </w:pPr>
      <w:r>
        <w:rPr>
          <w:rFonts w:ascii="Times New Roman" w:hint="eastAsia"/>
          <w:kern w:val="0"/>
          <w:szCs w:val="24"/>
        </w:rPr>
        <w:t>横城矿区</w:t>
      </w:r>
      <w:r>
        <w:rPr>
          <w:rFonts w:ascii="Times New Roman"/>
          <w:kern w:val="0"/>
          <w:szCs w:val="24"/>
        </w:rPr>
        <w:t>在生产过程中可能存在的职业病危害因素主要有：粉尘性危害因素（煤尘、矽尘、水泥粉尘）；物理性危害因素（噪声、振动、高温、不良气象条件、工频电场）；化学毒物性危害因素（一氧化碳、二氧化碳、二氧化氮、硫化氢、甲烷、硫酸），此外，检修工段电焊作业存在的职业病危害因素有电焊烟尘、砂轮磨尘、紫外辐射。</w:t>
      </w:r>
    </w:p>
    <w:p w14:paraId="035162F9" w14:textId="77777777" w:rsidR="009C353B" w:rsidRDefault="00000000">
      <w:pPr>
        <w:autoSpaceDE w:val="0"/>
        <w:autoSpaceDN w:val="0"/>
        <w:adjustRightInd w:val="0"/>
        <w:snapToGrid w:val="0"/>
        <w:spacing w:line="440" w:lineRule="exact"/>
        <w:ind w:firstLineChars="200" w:firstLine="482"/>
        <w:jc w:val="left"/>
        <w:rPr>
          <w:rFonts w:ascii="Times New Roman" w:hint="eastAsia"/>
          <w:b/>
          <w:kern w:val="0"/>
          <w:szCs w:val="24"/>
        </w:rPr>
      </w:pPr>
      <w:r>
        <w:rPr>
          <w:rFonts w:ascii="Times New Roman"/>
          <w:b/>
          <w:kern w:val="0"/>
          <w:szCs w:val="24"/>
        </w:rPr>
        <w:t>（</w:t>
      </w:r>
      <w:r>
        <w:rPr>
          <w:rFonts w:ascii="Times New Roman" w:hAnsi="Times New Roman"/>
          <w:b/>
          <w:kern w:val="0"/>
          <w:szCs w:val="24"/>
        </w:rPr>
        <w:t>2</w:t>
      </w:r>
      <w:r>
        <w:rPr>
          <w:rFonts w:ascii="Times New Roman"/>
          <w:b/>
          <w:kern w:val="0"/>
          <w:szCs w:val="24"/>
        </w:rPr>
        <w:t>）</w:t>
      </w:r>
      <w:r>
        <w:rPr>
          <w:rFonts w:ascii="Times New Roman"/>
          <w:b/>
          <w:bCs/>
          <w:kern w:val="0"/>
          <w:szCs w:val="24"/>
        </w:rPr>
        <w:t>劳动过程中的有害因素</w:t>
      </w:r>
    </w:p>
    <w:p w14:paraId="644EA1C1" w14:textId="77777777" w:rsidR="009C353B" w:rsidRDefault="00000000">
      <w:pPr>
        <w:autoSpaceDE w:val="0"/>
        <w:autoSpaceDN w:val="0"/>
        <w:adjustRightInd w:val="0"/>
        <w:snapToGrid w:val="0"/>
        <w:spacing w:line="440" w:lineRule="exact"/>
        <w:ind w:firstLineChars="200" w:firstLine="480"/>
        <w:jc w:val="left"/>
        <w:rPr>
          <w:rFonts w:ascii="Times New Roman" w:hint="eastAsia"/>
          <w:kern w:val="0"/>
          <w:szCs w:val="24"/>
        </w:rPr>
      </w:pPr>
      <w:r>
        <w:rPr>
          <w:rFonts w:ascii="Times New Roman"/>
          <w:kern w:val="0"/>
          <w:szCs w:val="24"/>
        </w:rPr>
        <w:t>在生产运营过程中，如果企业相关制度不完善，对职工的培训教育或人文关怀不够，则有可能在职工劳动过程中产生如下职业病危害因素：</w:t>
      </w:r>
    </w:p>
    <w:p w14:paraId="37A044E7"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1</w:t>
      </w:r>
      <w:r>
        <w:rPr>
          <w:rFonts w:ascii="Times New Roman"/>
          <w:kern w:val="0"/>
          <w:szCs w:val="24"/>
        </w:rPr>
        <w:t>）劳动组织和制度的不合理，如劳动时间过长、劳动休息制度不健全或不合理等；</w:t>
      </w:r>
    </w:p>
    <w:p w14:paraId="1A802FF5"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2</w:t>
      </w:r>
      <w:r>
        <w:rPr>
          <w:rFonts w:ascii="Times New Roman"/>
          <w:kern w:val="0"/>
          <w:szCs w:val="24"/>
        </w:rPr>
        <w:t>）劳动中的精神（心理）过度紧张，产生心理疾病；</w:t>
      </w:r>
    </w:p>
    <w:p w14:paraId="42BC7BE8"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3</w:t>
      </w:r>
      <w:r>
        <w:rPr>
          <w:rFonts w:ascii="Times New Roman"/>
          <w:kern w:val="0"/>
          <w:szCs w:val="24"/>
        </w:rPr>
        <w:t>）劳动强度过大或劳动安排不当，如安排的作业与劳动者的生理状况不相适应，或生产定额过高，或超负荷的加班加点等；</w:t>
      </w:r>
    </w:p>
    <w:p w14:paraId="53EA4C12"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4</w:t>
      </w:r>
      <w:r>
        <w:rPr>
          <w:rFonts w:ascii="Times New Roman"/>
          <w:kern w:val="0"/>
          <w:szCs w:val="24"/>
        </w:rPr>
        <w:t>）个别器官或系统过度紧张，如由于光线不足而引起的视力紧张等；</w:t>
      </w:r>
    </w:p>
    <w:p w14:paraId="5E7531BE"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5</w:t>
      </w:r>
      <w:r>
        <w:rPr>
          <w:rFonts w:ascii="Times New Roman"/>
          <w:kern w:val="0"/>
          <w:szCs w:val="24"/>
        </w:rPr>
        <w:t>）不良体位：长时间处于某种姿势，或使用不合理的工具设备等。</w:t>
      </w:r>
    </w:p>
    <w:p w14:paraId="510232BE" w14:textId="77777777" w:rsidR="009C353B" w:rsidRDefault="00000000">
      <w:pPr>
        <w:autoSpaceDE w:val="0"/>
        <w:autoSpaceDN w:val="0"/>
        <w:adjustRightInd w:val="0"/>
        <w:snapToGrid w:val="0"/>
        <w:spacing w:line="440" w:lineRule="exact"/>
        <w:ind w:firstLineChars="200" w:firstLine="482"/>
        <w:jc w:val="left"/>
        <w:rPr>
          <w:rFonts w:ascii="Times New Roman" w:hint="eastAsia"/>
          <w:b/>
          <w:kern w:val="0"/>
          <w:szCs w:val="24"/>
        </w:rPr>
      </w:pPr>
      <w:r>
        <w:rPr>
          <w:rFonts w:ascii="Times New Roman" w:hint="eastAsia"/>
          <w:b/>
          <w:kern w:val="0"/>
          <w:szCs w:val="24"/>
        </w:rPr>
        <w:t>（</w:t>
      </w:r>
      <w:r>
        <w:rPr>
          <w:rFonts w:ascii="Times New Roman" w:hint="eastAsia"/>
          <w:b/>
          <w:kern w:val="0"/>
          <w:szCs w:val="24"/>
        </w:rPr>
        <w:t>3</w:t>
      </w:r>
      <w:r>
        <w:rPr>
          <w:rFonts w:ascii="Times New Roman" w:hint="eastAsia"/>
          <w:b/>
          <w:kern w:val="0"/>
          <w:szCs w:val="24"/>
        </w:rPr>
        <w:t>）</w:t>
      </w:r>
      <w:r>
        <w:rPr>
          <w:rFonts w:ascii="Times New Roman"/>
          <w:b/>
          <w:kern w:val="0"/>
          <w:szCs w:val="24"/>
        </w:rPr>
        <w:t>工作环境的有害因素</w:t>
      </w:r>
    </w:p>
    <w:p w14:paraId="5C61925E"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1</w:t>
      </w:r>
      <w:r>
        <w:rPr>
          <w:rFonts w:ascii="Times New Roman"/>
          <w:kern w:val="0"/>
          <w:szCs w:val="24"/>
        </w:rPr>
        <w:t>）生产场所设计不符合卫生要求或卫生标准，如厂房矮小、狭窄，车间布置不合理（有毒和无毒工段安排在一个车间）等；</w:t>
      </w:r>
    </w:p>
    <w:p w14:paraId="2638F6D8"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2</w:t>
      </w:r>
      <w:r>
        <w:rPr>
          <w:rFonts w:ascii="Times New Roman"/>
          <w:kern w:val="0"/>
          <w:szCs w:val="24"/>
        </w:rPr>
        <w:t>）缺乏必要的卫生工程技术设施，如没有通风换气或照明设备，缺乏防尘、防毒、防暑降温、防噪声等措施、设备或有而不完善、效果不好；</w:t>
      </w:r>
    </w:p>
    <w:p w14:paraId="72627603"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3</w:t>
      </w:r>
      <w:r>
        <w:rPr>
          <w:rFonts w:ascii="Times New Roman"/>
          <w:kern w:val="0"/>
          <w:szCs w:val="24"/>
        </w:rPr>
        <w:t>）自然环境中的因素：如夏季太阳辐射、冬季的低温、井下作业的不良气象条件等；</w:t>
      </w:r>
    </w:p>
    <w:p w14:paraId="46563E1C"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4</w:t>
      </w:r>
      <w:r>
        <w:rPr>
          <w:rFonts w:ascii="Times New Roman"/>
          <w:kern w:val="0"/>
          <w:szCs w:val="24"/>
        </w:rPr>
        <w:t>）安全防护设备和个人防护用品方面有缺陷或不能及时维修或不能正确佩戴使用等。</w:t>
      </w:r>
    </w:p>
    <w:p w14:paraId="75999D19" w14:textId="77777777" w:rsidR="009C353B" w:rsidRDefault="00000000">
      <w:pPr>
        <w:autoSpaceDE w:val="0"/>
        <w:autoSpaceDN w:val="0"/>
        <w:adjustRightInd w:val="0"/>
        <w:snapToGrid w:val="0"/>
        <w:spacing w:line="440" w:lineRule="exact"/>
        <w:ind w:firstLineChars="200" w:firstLine="482"/>
        <w:jc w:val="left"/>
        <w:rPr>
          <w:rFonts w:ascii="Times New Roman" w:hAnsi="Times New Roman"/>
          <w:b/>
          <w:bCs/>
          <w:kern w:val="0"/>
          <w:szCs w:val="24"/>
        </w:rPr>
      </w:pPr>
      <w:r>
        <w:rPr>
          <w:rFonts w:ascii="Times New Roman" w:hAnsi="Times New Roman" w:hint="eastAsia"/>
          <w:b/>
          <w:kern w:val="0"/>
          <w:szCs w:val="24"/>
        </w:rPr>
        <w:t>（</w:t>
      </w:r>
      <w:r>
        <w:rPr>
          <w:rFonts w:ascii="Times New Roman" w:hAnsi="Times New Roman" w:hint="eastAsia"/>
          <w:b/>
          <w:kern w:val="0"/>
          <w:szCs w:val="24"/>
        </w:rPr>
        <w:t>4</w:t>
      </w:r>
      <w:r>
        <w:rPr>
          <w:rFonts w:ascii="Times New Roman" w:hAnsi="Times New Roman" w:hint="eastAsia"/>
          <w:b/>
          <w:kern w:val="0"/>
          <w:szCs w:val="24"/>
        </w:rPr>
        <w:t>）</w:t>
      </w:r>
      <w:r>
        <w:rPr>
          <w:rFonts w:ascii="Times New Roman"/>
          <w:b/>
          <w:bCs/>
          <w:kern w:val="0"/>
          <w:szCs w:val="24"/>
        </w:rPr>
        <w:t>重点关注的职业病危害因素</w:t>
      </w:r>
    </w:p>
    <w:p w14:paraId="212CBBA0" w14:textId="77777777" w:rsidR="009C353B" w:rsidRDefault="00000000">
      <w:pPr>
        <w:autoSpaceDE w:val="0"/>
        <w:autoSpaceDN w:val="0"/>
        <w:adjustRightInd w:val="0"/>
        <w:snapToGrid w:val="0"/>
        <w:spacing w:line="440" w:lineRule="exact"/>
        <w:ind w:firstLineChars="200" w:firstLine="480"/>
        <w:jc w:val="left"/>
        <w:rPr>
          <w:rFonts w:ascii="Times New Roman" w:hint="eastAsia"/>
          <w:kern w:val="0"/>
          <w:szCs w:val="24"/>
        </w:rPr>
      </w:pPr>
      <w:r>
        <w:rPr>
          <w:rFonts w:ascii="Times New Roman" w:hint="eastAsia"/>
          <w:kern w:val="0"/>
          <w:szCs w:val="24"/>
        </w:rPr>
        <w:t>本矿区</w:t>
      </w:r>
      <w:r>
        <w:rPr>
          <w:rFonts w:ascii="Times New Roman"/>
          <w:kern w:val="0"/>
          <w:szCs w:val="24"/>
        </w:rPr>
        <w:t>主要存在的职业病危害因素是粉尘，特别是岩巷掘进等处存在矽尘，</w:t>
      </w:r>
      <w:r>
        <w:rPr>
          <w:rFonts w:ascii="Times New Roman" w:hAnsi="Times New Roman"/>
          <w:kern w:val="0"/>
          <w:szCs w:val="24"/>
        </w:rPr>
        <w:t>CO</w:t>
      </w:r>
      <w:r>
        <w:rPr>
          <w:rFonts w:ascii="Times New Roman"/>
          <w:kern w:val="0"/>
          <w:szCs w:val="24"/>
        </w:rPr>
        <w:t>的急性中毒也要重点关注。</w:t>
      </w:r>
    </w:p>
    <w:p w14:paraId="4C26A032"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6.9.3.2</w:t>
      </w:r>
      <w:r>
        <w:rPr>
          <w:rFonts w:ascii="Times New Roman" w:eastAsia="宋体" w:hAnsi="Times New Roman" w:hint="eastAsia"/>
          <w:sz w:val="24"/>
        </w:rPr>
        <w:t>对人群健康的影响及职业病防治措施</w:t>
      </w:r>
    </w:p>
    <w:p w14:paraId="00DC8B6A" w14:textId="77777777" w:rsidR="009C353B" w:rsidRDefault="00000000">
      <w:pPr>
        <w:autoSpaceDE w:val="0"/>
        <w:autoSpaceDN w:val="0"/>
        <w:adjustRightInd w:val="0"/>
        <w:snapToGrid w:val="0"/>
        <w:spacing w:line="440" w:lineRule="exact"/>
        <w:ind w:firstLineChars="200" w:firstLine="482"/>
        <w:jc w:val="left"/>
        <w:rPr>
          <w:rFonts w:ascii="Times New Roman" w:hAnsi="Times New Roman"/>
          <w:b/>
          <w:kern w:val="0"/>
          <w:szCs w:val="24"/>
        </w:rPr>
      </w:pPr>
      <w:r>
        <w:rPr>
          <w:rFonts w:ascii="Times New Roman" w:hAnsi="Times New Roman" w:hint="eastAsia"/>
          <w:b/>
          <w:kern w:val="0"/>
          <w:szCs w:val="24"/>
        </w:rPr>
        <w:t>（</w:t>
      </w:r>
      <w:r>
        <w:rPr>
          <w:rFonts w:ascii="Times New Roman" w:hAnsi="Times New Roman" w:hint="eastAsia"/>
          <w:b/>
          <w:kern w:val="0"/>
          <w:szCs w:val="24"/>
        </w:rPr>
        <w:t>1</w:t>
      </w:r>
      <w:r>
        <w:rPr>
          <w:rFonts w:ascii="Times New Roman" w:hAnsi="Times New Roman" w:hint="eastAsia"/>
          <w:b/>
          <w:kern w:val="0"/>
          <w:szCs w:val="24"/>
        </w:rPr>
        <w:t>）煤和矸石粉尘对人体健康影响</w:t>
      </w:r>
    </w:p>
    <w:p w14:paraId="27DD0E8B" w14:textId="77777777" w:rsidR="009C353B" w:rsidRDefault="00000000">
      <w:pPr>
        <w:adjustRightInd w:val="0"/>
        <w:snapToGrid w:val="0"/>
        <w:spacing w:line="440" w:lineRule="exact"/>
        <w:ind w:firstLineChars="200" w:firstLine="480"/>
        <w:rPr>
          <w:rFonts w:hint="eastAsia"/>
        </w:rPr>
      </w:pPr>
      <w:r>
        <w:rPr>
          <w:rFonts w:hint="eastAsia"/>
        </w:rPr>
        <w:t>在煤矿开发过程中会产生大量的煤及矸石粉尘，受粉尘影响的人群主要是井下作业人员，其中有采煤、掘进、混合等工种，其次是洗煤工、煤炭装卸工等。此外，煤和矸石露天堆放产生的粉尘对周围大气环境产生一定的影响，并进而影响生活、工作在周围的人体健康。</w:t>
      </w:r>
    </w:p>
    <w:p w14:paraId="6683A457" w14:textId="77777777" w:rsidR="009C353B" w:rsidRDefault="00000000">
      <w:pPr>
        <w:adjustRightInd w:val="0"/>
        <w:snapToGrid w:val="0"/>
        <w:spacing w:line="440" w:lineRule="exact"/>
        <w:ind w:firstLineChars="200" w:firstLine="480"/>
        <w:rPr>
          <w:rFonts w:hint="eastAsia"/>
        </w:rPr>
      </w:pPr>
      <w:r>
        <w:rPr>
          <w:rFonts w:hint="eastAsia"/>
        </w:rPr>
        <w:t>根据井工矿开采经验，矿区规划矿井井下开采将带来井下煤尘污染问题，进而对井下工人身体健康产生影响。矿区建设的集中选煤厂主厂房在煤炭洗选中会产生煤尘，这对选煤工人身体健康带来一定的影响。</w:t>
      </w:r>
    </w:p>
    <w:p w14:paraId="63448BA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关于煤尘致病作用问题，过去曾认为煤尘是惰性粉尘，不会导致肺组织胶原纤维化，它之所以能引起纤维性病变是由于煤尘中含有少量的游离</w:t>
      </w:r>
      <w:r>
        <w:rPr>
          <w:rFonts w:ascii="Times New Roman" w:hAnsi="Times New Roman"/>
        </w:rPr>
        <w:t>SiO</w:t>
      </w:r>
      <w:r>
        <w:rPr>
          <w:rFonts w:ascii="Times New Roman" w:hAnsi="Times New Roman"/>
          <w:vertAlign w:val="subscript"/>
        </w:rPr>
        <w:t>2</w:t>
      </w:r>
      <w:r>
        <w:rPr>
          <w:rFonts w:ascii="Times New Roman" w:hAnsi="Times New Roman"/>
        </w:rPr>
        <w:t>的缘故。现有不少实验证明，虽然肺组织对煤尘的清除作用很强，但最终还是可以引起肺部轻度</w:t>
      </w:r>
      <w:r>
        <w:rPr>
          <w:rFonts w:hint="eastAsia"/>
        </w:rPr>
        <w:t>纤维性病变，病变发展不一定要</w:t>
      </w:r>
      <w:r>
        <w:rPr>
          <w:rFonts w:ascii="Times New Roman" w:hAnsi="Times New Roman"/>
        </w:rPr>
        <w:t>SiO</w:t>
      </w:r>
      <w:r>
        <w:rPr>
          <w:rFonts w:ascii="Times New Roman" w:hAnsi="Times New Roman"/>
          <w:vertAlign w:val="subscript"/>
        </w:rPr>
        <w:t>2</w:t>
      </w:r>
      <w:r>
        <w:rPr>
          <w:rFonts w:hint="eastAsia"/>
        </w:rPr>
        <w:t>。我国煤矿中长期从事采煤作业的工人，大多有明显的肺病变。我国由于煤矿工种的经常变动使得工人有时接触煤尘，有时接触岩尘，加之地质条件复杂，这就使得我国煤矿矿工尘肺大都是以煤矽肺为主。</w:t>
      </w:r>
      <w:r>
        <w:rPr>
          <w:rFonts w:ascii="Times New Roman"/>
        </w:rPr>
        <w:t>本区煤的灰成分主要以</w:t>
      </w:r>
      <w:r>
        <w:rPr>
          <w:rFonts w:ascii="Times New Roman" w:hAnsi="Times New Roman"/>
        </w:rPr>
        <w:t>SiO</w:t>
      </w:r>
      <w:r>
        <w:rPr>
          <w:rFonts w:ascii="Times New Roman" w:hAnsi="Times New Roman"/>
          <w:vertAlign w:val="subscript"/>
        </w:rPr>
        <w:t>2</w:t>
      </w:r>
      <w:r>
        <w:rPr>
          <w:rFonts w:ascii="Times New Roman"/>
        </w:rPr>
        <w:t>和</w:t>
      </w:r>
      <w:r>
        <w:rPr>
          <w:rFonts w:ascii="Times New Roman" w:hAnsi="Times New Roman"/>
        </w:rPr>
        <w:t>Al</w:t>
      </w:r>
      <w:r>
        <w:rPr>
          <w:rFonts w:ascii="Times New Roman" w:hAnsi="Times New Roman"/>
          <w:vertAlign w:val="subscript"/>
        </w:rPr>
        <w:t>2</w:t>
      </w:r>
      <w:r>
        <w:rPr>
          <w:rFonts w:ascii="Times New Roman" w:hAnsi="Times New Roman"/>
        </w:rPr>
        <w:t>O</w:t>
      </w:r>
      <w:r>
        <w:rPr>
          <w:rFonts w:ascii="Times New Roman" w:hAnsi="Times New Roman"/>
          <w:vertAlign w:val="subscript"/>
        </w:rPr>
        <w:t>3</w:t>
      </w:r>
      <w:r>
        <w:rPr>
          <w:rFonts w:ascii="Times New Roman"/>
        </w:rPr>
        <w:t>为主，其次为</w:t>
      </w:r>
      <w:r>
        <w:rPr>
          <w:rFonts w:ascii="Times New Roman" w:hAnsi="Times New Roman"/>
        </w:rPr>
        <w:t>Fe</w:t>
      </w:r>
      <w:r>
        <w:rPr>
          <w:rFonts w:ascii="Times New Roman" w:hAnsi="Times New Roman"/>
          <w:vertAlign w:val="subscript"/>
        </w:rPr>
        <w:t>2</w:t>
      </w:r>
      <w:r>
        <w:rPr>
          <w:rFonts w:ascii="Times New Roman" w:hAnsi="Times New Roman"/>
        </w:rPr>
        <w:t>O</w:t>
      </w:r>
      <w:r>
        <w:rPr>
          <w:rFonts w:ascii="Times New Roman" w:hAnsi="Times New Roman"/>
          <w:vertAlign w:val="subscript"/>
        </w:rPr>
        <w:t>3</w:t>
      </w:r>
      <w:r>
        <w:rPr>
          <w:rFonts w:ascii="Times New Roman"/>
        </w:rPr>
        <w:t>，其它氧化物含量均较低。</w:t>
      </w:r>
    </w:p>
    <w:p w14:paraId="57ADCF45"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根据</w:t>
      </w:r>
      <w:r>
        <w:rPr>
          <w:rFonts w:ascii="Times New Roman" w:hint="eastAsia"/>
        </w:rPr>
        <w:t>矿区地质勘探报告</w:t>
      </w:r>
      <w:r>
        <w:rPr>
          <w:rFonts w:ascii="Times New Roman"/>
        </w:rPr>
        <w:t>，矿区可采煤层</w:t>
      </w:r>
      <w:r>
        <w:rPr>
          <w:rFonts w:ascii="Times New Roman"/>
          <w:lang w:val="zh-CN"/>
        </w:rPr>
        <w:t>煤灰成分以</w:t>
      </w:r>
      <w:r>
        <w:rPr>
          <w:rFonts w:ascii="Times New Roman" w:hAnsi="Times New Roman"/>
          <w:lang w:val="zh-CN"/>
        </w:rPr>
        <w:t>SiO</w:t>
      </w:r>
      <w:r>
        <w:rPr>
          <w:rFonts w:ascii="Times New Roman" w:hAnsi="Times New Roman"/>
          <w:vertAlign w:val="subscript"/>
          <w:lang w:val="zh-CN"/>
        </w:rPr>
        <w:t>2</w:t>
      </w:r>
      <w:r>
        <w:rPr>
          <w:rFonts w:ascii="Times New Roman"/>
          <w:lang w:val="zh-CN"/>
        </w:rPr>
        <w:t>、</w:t>
      </w:r>
      <w:r>
        <w:rPr>
          <w:rFonts w:ascii="Times New Roman" w:hAnsi="Times New Roman"/>
          <w:lang w:val="zh-CN"/>
        </w:rPr>
        <w:t>Al</w:t>
      </w:r>
      <w:r>
        <w:rPr>
          <w:rFonts w:ascii="Times New Roman" w:hAnsi="Times New Roman"/>
          <w:vertAlign w:val="subscript"/>
          <w:lang w:val="zh-CN"/>
        </w:rPr>
        <w:t>2</w:t>
      </w:r>
      <w:r>
        <w:rPr>
          <w:rFonts w:ascii="Times New Roman" w:hAnsi="Times New Roman"/>
          <w:lang w:val="zh-CN"/>
        </w:rPr>
        <w:t>O</w:t>
      </w:r>
      <w:r>
        <w:rPr>
          <w:rFonts w:ascii="Times New Roman" w:hAnsi="Times New Roman"/>
          <w:vertAlign w:val="subscript"/>
          <w:lang w:val="zh-CN"/>
        </w:rPr>
        <w:t>3</w:t>
      </w:r>
      <w:r>
        <w:rPr>
          <w:rFonts w:ascii="Times New Roman"/>
          <w:lang w:val="zh-CN"/>
        </w:rPr>
        <w:t>、</w:t>
      </w:r>
      <w:r>
        <w:rPr>
          <w:rFonts w:ascii="Times New Roman" w:hAnsi="Times New Roman"/>
          <w:lang w:val="zh-CN"/>
        </w:rPr>
        <w:t>CaO</w:t>
      </w:r>
      <w:r>
        <w:rPr>
          <w:rFonts w:ascii="Times New Roman"/>
          <w:lang w:val="zh-CN"/>
        </w:rPr>
        <w:t>、</w:t>
      </w:r>
      <w:r>
        <w:rPr>
          <w:rFonts w:ascii="Times New Roman" w:hAnsi="Times New Roman"/>
          <w:lang w:val="zh-CN"/>
        </w:rPr>
        <w:t>Fe</w:t>
      </w:r>
      <w:r>
        <w:rPr>
          <w:rFonts w:ascii="Times New Roman" w:hAnsi="Times New Roman"/>
          <w:vertAlign w:val="subscript"/>
          <w:lang w:val="zh-CN"/>
        </w:rPr>
        <w:t>2</w:t>
      </w:r>
      <w:r>
        <w:rPr>
          <w:rFonts w:ascii="Times New Roman" w:hAnsi="Times New Roman"/>
          <w:lang w:val="zh-CN"/>
        </w:rPr>
        <w:t>O</w:t>
      </w:r>
      <w:r>
        <w:rPr>
          <w:rFonts w:ascii="Times New Roman" w:hAnsi="Times New Roman"/>
          <w:vertAlign w:val="subscript"/>
          <w:lang w:val="zh-CN"/>
        </w:rPr>
        <w:t>3</w:t>
      </w:r>
      <w:r>
        <w:rPr>
          <w:rFonts w:ascii="Times New Roman"/>
          <w:lang w:val="zh-CN"/>
        </w:rPr>
        <w:t>为主，其他氧化物成分较低</w:t>
      </w:r>
      <w:r>
        <w:rPr>
          <w:rFonts w:ascii="Times New Roman"/>
        </w:rPr>
        <w:t>，由于矿区开采煤层中</w:t>
      </w:r>
      <w:r>
        <w:rPr>
          <w:rFonts w:ascii="Times New Roman" w:hAnsi="Times New Roman"/>
        </w:rPr>
        <w:t>SiO</w:t>
      </w:r>
      <w:r>
        <w:rPr>
          <w:rFonts w:ascii="Times New Roman" w:hAnsi="Times New Roman"/>
          <w:vertAlign w:val="subscript"/>
        </w:rPr>
        <w:t>2</w:t>
      </w:r>
      <w:r>
        <w:rPr>
          <w:rFonts w:ascii="Times New Roman"/>
        </w:rPr>
        <w:t>含量较高，将来规划横城矿区井下开采以及选煤厂主厂房选煤作业，所带来的煤尘和粉尘污染对井下采煤和地面选煤厂作业人员的人体健康产生影响，主要以煤矽肺为主。为此，本报告要求：规划井工矿</w:t>
      </w:r>
      <w:r>
        <w:rPr>
          <w:rFonts w:ascii="Times New Roman" w:hint="eastAsia"/>
        </w:rPr>
        <w:t>应</w:t>
      </w:r>
      <w:r>
        <w:rPr>
          <w:rFonts w:ascii="Times New Roman"/>
        </w:rPr>
        <w:t>加强井下煤尘浓度控制，实施井下洒水降尘措施；集中选煤厂加强破碎车间及主厂房煤尘、粉尘浓度控制，达到国家要求车间粉尘浓度控制标准；除上述措施外，对作业工人配发相应防尘</w:t>
      </w:r>
      <w:r>
        <w:rPr>
          <w:rFonts w:ascii="Times New Roman" w:hint="eastAsia"/>
        </w:rPr>
        <w:t>用品</w:t>
      </w:r>
      <w:r>
        <w:rPr>
          <w:rFonts w:ascii="Times New Roman"/>
        </w:rPr>
        <w:t>（如防尘面罩）。</w:t>
      </w:r>
    </w:p>
    <w:p w14:paraId="41F568DA" w14:textId="77777777" w:rsidR="009C353B" w:rsidRDefault="00000000">
      <w:pPr>
        <w:autoSpaceDE w:val="0"/>
        <w:autoSpaceDN w:val="0"/>
        <w:adjustRightInd w:val="0"/>
        <w:snapToGrid w:val="0"/>
        <w:spacing w:line="440" w:lineRule="exact"/>
        <w:ind w:firstLineChars="200" w:firstLine="482"/>
        <w:jc w:val="left"/>
        <w:rPr>
          <w:rFonts w:ascii="Times New Roman" w:hAnsi="Times New Roman"/>
          <w:b/>
          <w:kern w:val="0"/>
          <w:szCs w:val="24"/>
        </w:rPr>
      </w:pPr>
      <w:r>
        <w:rPr>
          <w:rFonts w:ascii="Times New Roman"/>
          <w:b/>
          <w:kern w:val="0"/>
          <w:szCs w:val="24"/>
        </w:rPr>
        <w:t>（</w:t>
      </w:r>
      <w:r>
        <w:rPr>
          <w:rFonts w:ascii="Times New Roman" w:hAnsi="Times New Roman"/>
          <w:b/>
          <w:kern w:val="0"/>
          <w:szCs w:val="24"/>
        </w:rPr>
        <w:t>2</w:t>
      </w:r>
      <w:r>
        <w:rPr>
          <w:rFonts w:ascii="Times New Roman"/>
          <w:b/>
          <w:kern w:val="0"/>
          <w:szCs w:val="24"/>
        </w:rPr>
        <w:t>）大气污染对人体健康影响</w:t>
      </w:r>
    </w:p>
    <w:p w14:paraId="7EC4446A"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矿区</w:t>
      </w:r>
      <w:r>
        <w:rPr>
          <w:rFonts w:ascii="Times New Roman" w:hint="eastAsia"/>
        </w:rPr>
        <w:t>不设燃煤锅炉，</w:t>
      </w:r>
      <w:r>
        <w:rPr>
          <w:rFonts w:ascii="Times New Roman"/>
        </w:rPr>
        <w:t>开发过程中排入大气的污染物主要来自建设项目</w:t>
      </w:r>
      <w:r>
        <w:rPr>
          <w:rFonts w:ascii="Times New Roman" w:hint="eastAsia"/>
        </w:rPr>
        <w:t>无组织扬尘、瓦斯</w:t>
      </w:r>
      <w:r>
        <w:rPr>
          <w:rFonts w:ascii="Times New Roman"/>
        </w:rPr>
        <w:t>锅炉等。主要污染物有：</w:t>
      </w:r>
      <w:r>
        <w:rPr>
          <w:rFonts w:ascii="Times New Roman" w:hint="eastAsia"/>
        </w:rPr>
        <w:t>颗粒物</w:t>
      </w:r>
      <w:r>
        <w:rPr>
          <w:rFonts w:ascii="Times New Roman"/>
        </w:rPr>
        <w:t>、</w:t>
      </w:r>
      <w:r>
        <w:rPr>
          <w:rFonts w:ascii="Times New Roman" w:hint="eastAsia"/>
        </w:rPr>
        <w:t>氮氧化物</w:t>
      </w:r>
      <w:r>
        <w:rPr>
          <w:rFonts w:ascii="Times New Roman"/>
        </w:rPr>
        <w:t>。</w:t>
      </w:r>
    </w:p>
    <w:p w14:paraId="4A8192D0"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从横城矿区实际情况来看，大气污染主要来自</w:t>
      </w:r>
      <w:r>
        <w:rPr>
          <w:rFonts w:ascii="Times New Roman" w:hint="eastAsia"/>
        </w:rPr>
        <w:t>各矿工业场地无组织扬尘</w:t>
      </w:r>
      <w:r>
        <w:rPr>
          <w:rFonts w:ascii="Times New Roman"/>
        </w:rPr>
        <w:t>。本报告建议：规划各井工矿工业场地</w:t>
      </w:r>
      <w:r>
        <w:rPr>
          <w:rFonts w:ascii="Times New Roman" w:hint="eastAsia"/>
        </w:rPr>
        <w:t>采取加强绿化、定时洒水降尘等</w:t>
      </w:r>
      <w:r>
        <w:rPr>
          <w:rFonts w:ascii="Times New Roman"/>
        </w:rPr>
        <w:t>措施，</w:t>
      </w:r>
      <w:r>
        <w:rPr>
          <w:rFonts w:ascii="Times New Roman" w:hint="eastAsia"/>
        </w:rPr>
        <w:t>选煤厂设置除尘装置，</w:t>
      </w:r>
      <w:r>
        <w:rPr>
          <w:rFonts w:ascii="Times New Roman"/>
        </w:rPr>
        <w:t>确保达标排放，具体措施参见报告书</w:t>
      </w:r>
      <w:r>
        <w:rPr>
          <w:rFonts w:ascii="Times New Roman" w:hAnsi="Times New Roman"/>
        </w:rPr>
        <w:t>9.2</w:t>
      </w:r>
      <w:r>
        <w:rPr>
          <w:rFonts w:ascii="Times New Roman"/>
        </w:rPr>
        <w:t>节。</w:t>
      </w:r>
    </w:p>
    <w:p w14:paraId="67EA1C96" w14:textId="77777777" w:rsidR="009C353B" w:rsidRDefault="00000000">
      <w:pPr>
        <w:autoSpaceDE w:val="0"/>
        <w:autoSpaceDN w:val="0"/>
        <w:adjustRightInd w:val="0"/>
        <w:snapToGrid w:val="0"/>
        <w:spacing w:line="440" w:lineRule="exact"/>
        <w:ind w:firstLineChars="200" w:firstLine="482"/>
        <w:jc w:val="left"/>
        <w:rPr>
          <w:rFonts w:ascii="Times New Roman" w:hAnsi="Times New Roman"/>
          <w:b/>
          <w:kern w:val="0"/>
          <w:szCs w:val="24"/>
        </w:rPr>
      </w:pPr>
      <w:r>
        <w:rPr>
          <w:rFonts w:ascii="Times New Roman"/>
          <w:b/>
          <w:kern w:val="0"/>
          <w:szCs w:val="24"/>
        </w:rPr>
        <w:t>（</w:t>
      </w:r>
      <w:r>
        <w:rPr>
          <w:rFonts w:ascii="Times New Roman" w:hAnsi="Times New Roman"/>
          <w:b/>
          <w:kern w:val="0"/>
          <w:szCs w:val="24"/>
        </w:rPr>
        <w:t>3</w:t>
      </w:r>
      <w:r>
        <w:rPr>
          <w:rFonts w:ascii="Times New Roman"/>
          <w:b/>
          <w:kern w:val="0"/>
          <w:szCs w:val="24"/>
        </w:rPr>
        <w:t>）水污染对人体健康的影响</w:t>
      </w:r>
    </w:p>
    <w:p w14:paraId="1B579D55"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矿区地表水污染源主要来自</w:t>
      </w:r>
      <w:r>
        <w:rPr>
          <w:rFonts w:ascii="Times New Roman" w:hint="eastAsia"/>
        </w:rPr>
        <w:t>：矿井及</w:t>
      </w:r>
      <w:r>
        <w:rPr>
          <w:rFonts w:ascii="Times New Roman"/>
        </w:rPr>
        <w:t>选煤</w:t>
      </w:r>
      <w:r>
        <w:rPr>
          <w:rFonts w:ascii="Times New Roman" w:hint="eastAsia"/>
        </w:rPr>
        <w:t>厂</w:t>
      </w:r>
      <w:r>
        <w:rPr>
          <w:rFonts w:ascii="Times New Roman"/>
        </w:rPr>
        <w:t>排放的</w:t>
      </w:r>
      <w:r>
        <w:rPr>
          <w:rFonts w:ascii="Times New Roman" w:hint="eastAsia"/>
        </w:rPr>
        <w:t>生产</w:t>
      </w:r>
      <w:r>
        <w:rPr>
          <w:rFonts w:ascii="Times New Roman"/>
        </w:rPr>
        <w:t>、生活污水和矿井水。</w:t>
      </w:r>
    </w:p>
    <w:p w14:paraId="0B3B7C81"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选煤废水中主要污染物质优悬浮性固体、有机污染物以及其他有毒有害物质；辅助企业废水主要污染物是氰、酚、石油类、悬浮物、</w:t>
      </w:r>
      <w:r>
        <w:rPr>
          <w:rFonts w:ascii="Times New Roman" w:hAnsi="Times New Roman"/>
        </w:rPr>
        <w:t>COD</w:t>
      </w:r>
      <w:r>
        <w:rPr>
          <w:rFonts w:ascii="Times New Roman"/>
        </w:rPr>
        <w:t>和硫化物等；矿井水主要污染物为悬浮和硫化物等。</w:t>
      </w:r>
    </w:p>
    <w:p w14:paraId="0424244D"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生产生活污废水的排放将对当地地表水环境造成污染，对当地居民人体健康造成一定程度影响。为此，本报告建议：矿区严格按照本报告提出的矿区规划各矿井的矿井水、生产、生活污水处理及回用措施，同时选煤厂采用一级闭路循环，矿区不外排污废水（详见报告书</w:t>
      </w:r>
      <w:r>
        <w:rPr>
          <w:rFonts w:ascii="Times New Roman" w:hAnsi="Times New Roman"/>
        </w:rPr>
        <w:t>9.3</w:t>
      </w:r>
      <w:r>
        <w:rPr>
          <w:rFonts w:ascii="Times New Roman"/>
        </w:rPr>
        <w:t>节）。</w:t>
      </w:r>
    </w:p>
    <w:p w14:paraId="799163BA" w14:textId="77777777" w:rsidR="009C353B" w:rsidRDefault="00000000">
      <w:pPr>
        <w:autoSpaceDE w:val="0"/>
        <w:autoSpaceDN w:val="0"/>
        <w:adjustRightInd w:val="0"/>
        <w:snapToGrid w:val="0"/>
        <w:spacing w:line="440" w:lineRule="exact"/>
        <w:ind w:firstLineChars="200" w:firstLine="482"/>
        <w:jc w:val="left"/>
        <w:rPr>
          <w:rFonts w:ascii="Times New Roman" w:hAnsi="Times New Roman"/>
          <w:b/>
          <w:kern w:val="0"/>
          <w:szCs w:val="24"/>
        </w:rPr>
      </w:pPr>
      <w:r>
        <w:rPr>
          <w:rFonts w:ascii="Times New Roman"/>
          <w:b/>
          <w:kern w:val="0"/>
          <w:szCs w:val="24"/>
        </w:rPr>
        <w:t>（</w:t>
      </w:r>
      <w:r>
        <w:rPr>
          <w:rFonts w:ascii="Times New Roman" w:hAnsi="Times New Roman"/>
          <w:b/>
          <w:kern w:val="0"/>
          <w:szCs w:val="24"/>
        </w:rPr>
        <w:t>4</w:t>
      </w:r>
      <w:r>
        <w:rPr>
          <w:rFonts w:ascii="Times New Roman"/>
          <w:b/>
          <w:kern w:val="0"/>
          <w:szCs w:val="24"/>
        </w:rPr>
        <w:t>）</w:t>
      </w:r>
      <w:r>
        <w:rPr>
          <w:rFonts w:ascii="Times New Roman" w:hAnsi="Times New Roman"/>
          <w:b/>
          <w:kern w:val="0"/>
          <w:szCs w:val="24"/>
        </w:rPr>
        <w:t xml:space="preserve"> </w:t>
      </w:r>
      <w:r>
        <w:rPr>
          <w:rFonts w:ascii="Times New Roman"/>
          <w:b/>
          <w:kern w:val="0"/>
          <w:szCs w:val="24"/>
        </w:rPr>
        <w:t>噪声污染对人体健康影响</w:t>
      </w:r>
    </w:p>
    <w:p w14:paraId="59ABDAE4"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噪声对人体健康的影响比较复杂，不仅与噪声的性质有关，而且还与人们的心理、生理和社会生活各方面有关。有关研究资料表明，成人不论接触噪声多久，不引起感觉神经性听力损伤的最大允许声强是</w:t>
      </w:r>
      <w:r>
        <w:rPr>
          <w:rFonts w:ascii="Times New Roman" w:hAnsi="Times New Roman"/>
        </w:rPr>
        <w:t>80dB</w:t>
      </w:r>
      <w:r>
        <w:rPr>
          <w:rFonts w:ascii="Times New Roman"/>
        </w:rPr>
        <w:t>（</w:t>
      </w:r>
      <w:r>
        <w:rPr>
          <w:rFonts w:ascii="Times New Roman" w:hAnsi="Times New Roman"/>
        </w:rPr>
        <w:t>A</w:t>
      </w:r>
      <w:r>
        <w:rPr>
          <w:rFonts w:ascii="Times New Roman"/>
        </w:rPr>
        <w:t>）。长年累月在强噪声环境工作，受其刺激可产生噪声性耳聋。</w:t>
      </w:r>
    </w:p>
    <w:p w14:paraId="30F954A4"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结合本矿区实际及规划情况，矿区噪声对人体健康影响来自两方面：一是企业内部作业场地噪声对作业工人健康的影响，二是企业向外环境产生的噪声对矿区周边居民健康的影响。</w:t>
      </w:r>
    </w:p>
    <w:p w14:paraId="6830DC0F"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矿区企业内部作业场地噪声主要来自规划矿区选煤厂筛分车间、主厂房的筛分破碎、重介洗选机洗选噪声等。为此，本报告建议：选煤厂筛分洗选设备选型时，尽量优先选择噪声小的设备；另外，在工业场地局部中应严格遵循</w:t>
      </w:r>
      <w:r>
        <w:rPr>
          <w:rFonts w:ascii="Times New Roman" w:hAnsi="Times New Roman"/>
        </w:rPr>
        <w:t>“</w:t>
      </w:r>
      <w:r>
        <w:rPr>
          <w:rFonts w:ascii="Times New Roman"/>
        </w:rPr>
        <w:t>闹静分开</w:t>
      </w:r>
      <w:r>
        <w:rPr>
          <w:rFonts w:ascii="Times New Roman" w:hAnsi="Times New Roman"/>
        </w:rPr>
        <w:t>”</w:t>
      </w:r>
      <w:r>
        <w:rPr>
          <w:rFonts w:ascii="Times New Roman"/>
        </w:rPr>
        <w:t>的原则，合理布置各生产单元。</w:t>
      </w:r>
    </w:p>
    <w:p w14:paraId="35772C67"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矿区企业运行噪声对周边居民区的影响，集中体现在规划矿区工业场地厂界噪声对其周边居民影响。</w:t>
      </w:r>
      <w:r>
        <w:rPr>
          <w:rFonts w:ascii="Times New Roman" w:hint="eastAsia"/>
        </w:rPr>
        <w:t>横城矿区生产矿井及在建丁家梁矿井的各工业场地及进场道路周边均无居民居住。因此，</w:t>
      </w:r>
      <w:r>
        <w:rPr>
          <w:rFonts w:ascii="Times New Roman"/>
        </w:rPr>
        <w:t>噪声影响</w:t>
      </w:r>
      <w:r>
        <w:rPr>
          <w:rFonts w:ascii="Times New Roman" w:hint="eastAsia"/>
        </w:rPr>
        <w:t>很小</w:t>
      </w:r>
      <w:r>
        <w:rPr>
          <w:rFonts w:ascii="Times New Roman"/>
        </w:rPr>
        <w:t>。</w:t>
      </w:r>
    </w:p>
    <w:p w14:paraId="37EF360C" w14:textId="77777777" w:rsidR="009C353B" w:rsidRDefault="00000000">
      <w:pPr>
        <w:autoSpaceDE w:val="0"/>
        <w:autoSpaceDN w:val="0"/>
        <w:adjustRightInd w:val="0"/>
        <w:snapToGrid w:val="0"/>
        <w:spacing w:line="440" w:lineRule="exact"/>
        <w:ind w:firstLineChars="200" w:firstLine="482"/>
        <w:jc w:val="left"/>
        <w:rPr>
          <w:rFonts w:ascii="Times New Roman" w:hint="eastAsia"/>
          <w:b/>
          <w:kern w:val="0"/>
          <w:szCs w:val="24"/>
        </w:rPr>
      </w:pPr>
      <w:r>
        <w:rPr>
          <w:rFonts w:ascii="Times New Roman" w:hint="eastAsia"/>
          <w:b/>
          <w:kern w:val="0"/>
          <w:szCs w:val="24"/>
        </w:rPr>
        <w:t>（</w:t>
      </w:r>
      <w:r>
        <w:rPr>
          <w:rFonts w:ascii="Times New Roman" w:hint="eastAsia"/>
          <w:b/>
          <w:kern w:val="0"/>
          <w:szCs w:val="24"/>
        </w:rPr>
        <w:t>5</w:t>
      </w:r>
      <w:r>
        <w:rPr>
          <w:rFonts w:ascii="Times New Roman" w:hint="eastAsia"/>
          <w:b/>
          <w:kern w:val="0"/>
          <w:szCs w:val="24"/>
        </w:rPr>
        <w:t>）</w:t>
      </w:r>
      <w:r>
        <w:rPr>
          <w:rFonts w:ascii="Times New Roman"/>
          <w:b/>
          <w:kern w:val="0"/>
          <w:szCs w:val="24"/>
        </w:rPr>
        <w:t xml:space="preserve"> </w:t>
      </w:r>
      <w:r>
        <w:rPr>
          <w:rFonts w:ascii="Times New Roman" w:hint="eastAsia"/>
          <w:b/>
          <w:kern w:val="0"/>
          <w:szCs w:val="24"/>
        </w:rPr>
        <w:t>应急救援措施</w:t>
      </w:r>
    </w:p>
    <w:p w14:paraId="6EF940E6"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kern w:val="0"/>
          <w:szCs w:val="24"/>
        </w:rPr>
        <w:t>要严格按《煤矿安全规程》、《煤矿矿山救护工作暂行规定》和《煤矿救护规程》规定建立矿山救护队，并设置详细的人员配置及设备配置。在今后的投入运行时应重点补充，应详细地阐述多种设备故障时拟采取的自救及互救措施。主要内容如下：</w:t>
      </w:r>
    </w:p>
    <w:p w14:paraId="6B3BAFE3"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1</w:t>
      </w:r>
      <w:r>
        <w:rPr>
          <w:rFonts w:ascii="Times New Roman"/>
          <w:kern w:val="0"/>
          <w:szCs w:val="24"/>
        </w:rPr>
        <w:t>）工作场所职业病危害因素监控预案；</w:t>
      </w:r>
    </w:p>
    <w:p w14:paraId="6BD78CE0"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2</w:t>
      </w:r>
      <w:r>
        <w:rPr>
          <w:rFonts w:ascii="Times New Roman"/>
          <w:kern w:val="0"/>
          <w:szCs w:val="24"/>
        </w:rPr>
        <w:t>）职业病危害事故应急救援预案；</w:t>
      </w:r>
    </w:p>
    <w:p w14:paraId="47445F7E"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3</w:t>
      </w:r>
      <w:r>
        <w:rPr>
          <w:rFonts w:ascii="Times New Roman"/>
          <w:kern w:val="0"/>
          <w:szCs w:val="24"/>
        </w:rPr>
        <w:t>）突发性职业病紧急救援预案；</w:t>
      </w:r>
    </w:p>
    <w:p w14:paraId="251030D4"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4</w:t>
      </w:r>
      <w:r>
        <w:rPr>
          <w:rFonts w:ascii="Times New Roman"/>
          <w:kern w:val="0"/>
          <w:szCs w:val="24"/>
        </w:rPr>
        <w:t>）急性职业中毒现场处置预案；</w:t>
      </w:r>
    </w:p>
    <w:p w14:paraId="792DF680"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5</w:t>
      </w:r>
      <w:r>
        <w:rPr>
          <w:rFonts w:ascii="Times New Roman"/>
          <w:kern w:val="0"/>
          <w:szCs w:val="24"/>
        </w:rPr>
        <w:t>）急性传染病处置预案；</w:t>
      </w:r>
    </w:p>
    <w:p w14:paraId="73568342"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6</w:t>
      </w:r>
      <w:r>
        <w:rPr>
          <w:rFonts w:ascii="Times New Roman"/>
          <w:kern w:val="0"/>
          <w:szCs w:val="24"/>
        </w:rPr>
        <w:t>）应急准备与响应程序；</w:t>
      </w:r>
    </w:p>
    <w:p w14:paraId="58F6776E"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kern w:val="0"/>
          <w:szCs w:val="24"/>
        </w:rPr>
      </w:pPr>
      <w:r>
        <w:rPr>
          <w:rFonts w:ascii="Times New Roman" w:hAnsi="Times New Roman"/>
          <w:kern w:val="0"/>
          <w:szCs w:val="24"/>
        </w:rPr>
        <w:t>7</w:t>
      </w:r>
      <w:r>
        <w:rPr>
          <w:rFonts w:ascii="Times New Roman"/>
          <w:kern w:val="0"/>
          <w:szCs w:val="24"/>
        </w:rPr>
        <w:t>）医疗救护预案。</w:t>
      </w:r>
    </w:p>
    <w:p w14:paraId="0250ABEE" w14:textId="77777777" w:rsidR="009C353B" w:rsidRDefault="00000000">
      <w:pPr>
        <w:autoSpaceDE w:val="0"/>
        <w:autoSpaceDN w:val="0"/>
        <w:adjustRightInd w:val="0"/>
        <w:snapToGrid w:val="0"/>
        <w:spacing w:line="440" w:lineRule="exact"/>
        <w:ind w:firstLineChars="200" w:firstLine="480"/>
        <w:jc w:val="left"/>
        <w:rPr>
          <w:rFonts w:ascii="Times New Roman" w:hAnsi="Times New Roman"/>
          <w:b/>
          <w:bCs/>
          <w:kern w:val="0"/>
          <w:szCs w:val="24"/>
        </w:rPr>
      </w:pPr>
      <w:r>
        <w:rPr>
          <w:rFonts w:ascii="Times New Roman"/>
          <w:kern w:val="0"/>
          <w:szCs w:val="24"/>
        </w:rPr>
        <w:t>上述职业卫生应急救援预案应纳入企业应急救援体系，在日常的工作安排中经常进行演练并加以完善。企业应与有资质的医疗单位签订医疗合作协议，承担职工上岗前、在岗期间和离岗时职业健康检查及职业病危害事故应急救援。当发生突发事故时先有企业内部医疗机构进行应急救护，然后送</w:t>
      </w:r>
      <w:r>
        <w:rPr>
          <w:rFonts w:ascii="Times New Roman" w:hint="eastAsia"/>
          <w:kern w:val="0"/>
          <w:szCs w:val="24"/>
        </w:rPr>
        <w:t>宁东镇</w:t>
      </w:r>
      <w:r>
        <w:rPr>
          <w:rFonts w:ascii="Times New Roman"/>
          <w:kern w:val="0"/>
          <w:szCs w:val="24"/>
        </w:rPr>
        <w:t>医院进行进一步治疗</w:t>
      </w:r>
      <w:r>
        <w:rPr>
          <w:rFonts w:ascii="Times New Roman" w:hint="eastAsia"/>
          <w:kern w:val="0"/>
          <w:szCs w:val="24"/>
        </w:rPr>
        <w:t>，</w:t>
      </w:r>
      <w:r>
        <w:rPr>
          <w:rFonts w:ascii="Times New Roman"/>
          <w:kern w:val="0"/>
          <w:szCs w:val="24"/>
        </w:rPr>
        <w:t>企业还需做好转院途中应急救援预案。</w:t>
      </w:r>
    </w:p>
    <w:p w14:paraId="6BE06B54"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综上</w:t>
      </w:r>
      <w:r>
        <w:rPr>
          <w:rFonts w:ascii="Times New Roman" w:hint="eastAsia"/>
        </w:rPr>
        <w:t>所述</w:t>
      </w:r>
      <w:r>
        <w:rPr>
          <w:rFonts w:ascii="Times New Roman"/>
        </w:rPr>
        <w:t>，横城矿区在将来的煤炭开发建设过程中，除了要积极开展污染防治评价工作外，还应选择合适地段进行污染与人体健康的监测工作，加强环境变化对人体健康影响的评价与预测预报工作，把矿区环境保护工作与人民身体健康密切结合起来。</w:t>
      </w:r>
    </w:p>
    <w:p w14:paraId="1B825341" w14:textId="77777777" w:rsidR="009C353B" w:rsidRDefault="00000000">
      <w:pPr>
        <w:pStyle w:val="2"/>
        <w:snapToGrid w:val="0"/>
        <w:spacing w:before="320" w:after="240" w:line="440" w:lineRule="atLeast"/>
        <w:rPr>
          <w:rFonts w:ascii="Times New Roman" w:eastAsia="宋体" w:hAnsi="Times New Roman"/>
          <w:b/>
          <w:sz w:val="28"/>
        </w:rPr>
      </w:pPr>
      <w:bookmarkStart w:id="280" w:name="_Toc59189855"/>
      <w:r>
        <w:rPr>
          <w:rFonts w:ascii="Times New Roman" w:eastAsia="宋体" w:hAnsi="Times New Roman" w:hint="eastAsia"/>
          <w:b/>
          <w:sz w:val="28"/>
        </w:rPr>
        <w:t xml:space="preserve">6.10 </w:t>
      </w:r>
      <w:r>
        <w:rPr>
          <w:rFonts w:ascii="Times New Roman" w:eastAsia="宋体" w:hAnsi="Times New Roman" w:hint="eastAsia"/>
          <w:b/>
          <w:sz w:val="28"/>
        </w:rPr>
        <w:t>环境风险影响分析</w:t>
      </w:r>
      <w:bookmarkEnd w:id="280"/>
    </w:p>
    <w:p w14:paraId="71C0B801"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6.</w:t>
      </w:r>
      <w:r>
        <w:rPr>
          <w:rFonts w:ascii="Times New Roman" w:hAnsi="Times New Roman"/>
          <w:sz w:val="24"/>
        </w:rPr>
        <w:t>1</w:t>
      </w:r>
      <w:r>
        <w:rPr>
          <w:rFonts w:ascii="Times New Roman" w:hAnsi="Times New Roman" w:hint="eastAsia"/>
          <w:sz w:val="24"/>
        </w:rPr>
        <w:t>0</w:t>
      </w:r>
      <w:r>
        <w:rPr>
          <w:rFonts w:ascii="Times New Roman" w:hAnsi="Times New Roman"/>
          <w:sz w:val="24"/>
        </w:rPr>
        <w:t xml:space="preserve">.1 </w:t>
      </w:r>
      <w:r>
        <w:rPr>
          <w:rFonts w:ascii="Times New Roman" w:hAnsi="Times New Roman"/>
          <w:sz w:val="24"/>
        </w:rPr>
        <w:t>环境风险因素识别</w:t>
      </w:r>
    </w:p>
    <w:p w14:paraId="096004F0" w14:textId="77777777" w:rsidR="009C353B" w:rsidRDefault="00000000">
      <w:pPr>
        <w:adjustRightInd w:val="0"/>
        <w:snapToGrid w:val="0"/>
        <w:spacing w:line="440" w:lineRule="exact"/>
        <w:ind w:firstLineChars="200" w:firstLine="480"/>
        <w:rPr>
          <w:rFonts w:hint="eastAsia"/>
        </w:rPr>
      </w:pPr>
      <w:r>
        <w:rPr>
          <w:rFonts w:hint="eastAsia"/>
        </w:rPr>
        <w:t>环境风险评价是对建设和运行期间发生的可预测突发性事件或事故引起有毒有害、易燃易爆等物质泄漏或突发事件产生新的有毒有害物质，所造成的对人身安全与环境的影响和损害进行评估，提出防范措施、应急与减缓措施。</w:t>
      </w:r>
    </w:p>
    <w:p w14:paraId="43AA275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rPr>
        <w:t>井工矿煤炭生产过程中存在的潜在风险危害，主要有瓦斯、煤尘爆炸、火灾、采掘工作面冒顶、矿井透水事故、爆破事故以及排矸场溃坝事故等。其中矿井井下瓦斯、煤尘爆炸、火灾危害、冒顶和透水事故等危机煤矿安全生产的事故主要是煤矿安全生产所要解决的内容，这些内容在具体项目安全预评价报告和安全专篇涉及中将进行全面评价和设计，环评不涉及此类问题。本矿区矿井</w:t>
      </w:r>
      <w:r>
        <w:t>井田内煤层各勘查阶段所测样品煤层气平均含量较低，</w:t>
      </w:r>
      <w:r>
        <w:rPr>
          <w:rFonts w:hint="eastAsia"/>
        </w:rPr>
        <w:t>除丁家梁矿井为高瓦斯矿井外，其余矿井均为低瓦斯矿井，且可采煤层瓦斯含量低，均达不到规范煤层气资源储量估算的要求，不具备单独开采价值</w:t>
      </w:r>
      <w:r>
        <w:rPr>
          <w:rFonts w:ascii="Times New Roman" w:hAnsi="Times New Roman"/>
        </w:rPr>
        <w:t>，矿井地面不设瓦斯储罐，无地面瓦斯爆炸风险。</w:t>
      </w:r>
    </w:p>
    <w:p w14:paraId="71B4A26D" w14:textId="77777777" w:rsidR="009C353B" w:rsidRDefault="00000000">
      <w:pPr>
        <w:adjustRightInd w:val="0"/>
        <w:snapToGrid w:val="0"/>
        <w:spacing w:line="440" w:lineRule="exact"/>
        <w:ind w:firstLineChars="200" w:firstLine="480"/>
        <w:rPr>
          <w:rFonts w:ascii="Times New Roman" w:hAnsi="Times New Roman"/>
          <w:snapToGrid w:val="0"/>
          <w:szCs w:val="24"/>
        </w:rPr>
      </w:pPr>
      <w:r>
        <w:rPr>
          <w:rFonts w:ascii="Times New Roman"/>
          <w:szCs w:val="24"/>
        </w:rPr>
        <w:t>本矿区</w:t>
      </w:r>
      <w:r>
        <w:rPr>
          <w:rFonts w:ascii="Times New Roman"/>
          <w:snapToGrid w:val="0"/>
          <w:szCs w:val="24"/>
        </w:rPr>
        <w:t>选煤厂选煤废水均采用闭路循环工艺，废水不外排，避免了废水外排污染，同时也节约了清水用水量，本环评要求在项目设计过程中要贯彻节水理念，选煤废水达到一级闭路循环要求。矿区建有</w:t>
      </w:r>
      <w:r>
        <w:rPr>
          <w:rFonts w:ascii="Times New Roman" w:hint="eastAsia"/>
          <w:snapToGrid w:val="0"/>
          <w:szCs w:val="24"/>
        </w:rPr>
        <w:t>矿井水、</w:t>
      </w:r>
      <w:r>
        <w:rPr>
          <w:rFonts w:ascii="Times New Roman"/>
          <w:snapToGrid w:val="0"/>
          <w:szCs w:val="24"/>
        </w:rPr>
        <w:t>生活污水处理站，对</w:t>
      </w:r>
      <w:r>
        <w:rPr>
          <w:rFonts w:ascii="Times New Roman" w:hint="eastAsia"/>
          <w:snapToGrid w:val="0"/>
          <w:szCs w:val="24"/>
        </w:rPr>
        <w:t>矿井水、</w:t>
      </w:r>
      <w:r>
        <w:rPr>
          <w:rFonts w:ascii="Times New Roman"/>
          <w:snapToGrid w:val="0"/>
          <w:szCs w:val="24"/>
        </w:rPr>
        <w:t>生活污水处理后实行循环利用，无废水外排，因此不会对当地居民的饮用水源产生污染。</w:t>
      </w:r>
    </w:p>
    <w:p w14:paraId="39C81DAB" w14:textId="77777777" w:rsidR="009C353B" w:rsidRDefault="00000000">
      <w:pPr>
        <w:pStyle w:val="afd"/>
        <w:adjustRightInd w:val="0"/>
        <w:snapToGrid w:val="0"/>
        <w:spacing w:line="440" w:lineRule="exact"/>
        <w:ind w:firstLine="480"/>
        <w:rPr>
          <w:rFonts w:ascii="Times New Roman" w:eastAsia="宋体" w:hAnsi="宋体" w:hint="eastAsia"/>
          <w:szCs w:val="24"/>
        </w:rPr>
      </w:pPr>
      <w:r>
        <w:rPr>
          <w:rFonts w:ascii="Times New Roman" w:eastAsia="宋体" w:hAnsi="宋体"/>
          <w:szCs w:val="24"/>
        </w:rPr>
        <w:t>横城矿区处于</w:t>
      </w:r>
      <w:r>
        <w:rPr>
          <w:rFonts w:ascii="Times New Roman" w:eastAsia="宋体" w:hAnsi="宋体" w:hint="eastAsia"/>
          <w:szCs w:val="24"/>
        </w:rPr>
        <w:t>荒漠草原区</w:t>
      </w:r>
      <w:r>
        <w:rPr>
          <w:rFonts w:ascii="Times New Roman" w:eastAsia="宋体" w:hAnsi="宋体"/>
          <w:szCs w:val="24"/>
        </w:rPr>
        <w:t>，</w:t>
      </w:r>
      <w:r>
        <w:rPr>
          <w:rFonts w:ascii="Times New Roman" w:eastAsia="宋体" w:hAnsi="宋体" w:hint="eastAsia"/>
          <w:szCs w:val="24"/>
        </w:rPr>
        <w:t>评价区生态系统生产力处于较低水平，恢复稳定性较弱，</w:t>
      </w:r>
      <w:r>
        <w:rPr>
          <w:rFonts w:ascii="Times New Roman" w:eastAsia="宋体" w:hAnsi="宋体"/>
          <w:szCs w:val="24"/>
        </w:rPr>
        <w:t>因此矿区在开发过程中必须严格控制生态风险。规划建有固废处置场，当存在地表沉陷等影响时可能会导致</w:t>
      </w:r>
      <w:r>
        <w:rPr>
          <w:rFonts w:ascii="Times New Roman" w:eastAsia="宋体" w:hAnsi="宋体" w:hint="eastAsia"/>
          <w:szCs w:val="24"/>
        </w:rPr>
        <w:t>排矸场场溃坝，</w:t>
      </w:r>
      <w:r>
        <w:rPr>
          <w:rFonts w:ascii="Times New Roman" w:eastAsia="宋体" w:hAnsi="宋体"/>
          <w:szCs w:val="24"/>
        </w:rPr>
        <w:t>影响周边生态。因此对于本矿区来说环境风险评价重点将分析矿区规划实施带来的生态风险</w:t>
      </w:r>
      <w:r>
        <w:rPr>
          <w:rFonts w:ascii="Times New Roman" w:eastAsia="宋体" w:hAnsi="宋体" w:hint="eastAsia"/>
          <w:szCs w:val="24"/>
        </w:rPr>
        <w:t>等</w:t>
      </w:r>
      <w:r>
        <w:rPr>
          <w:rFonts w:ascii="Times New Roman" w:eastAsia="宋体" w:hAnsi="宋体"/>
          <w:szCs w:val="24"/>
        </w:rPr>
        <w:t>以及对环境造成的影响。</w:t>
      </w:r>
    </w:p>
    <w:p w14:paraId="4D26FC84"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6.</w:t>
      </w:r>
      <w:r>
        <w:rPr>
          <w:rFonts w:ascii="Times New Roman" w:hAnsi="Times New Roman" w:hint="eastAsia"/>
          <w:sz w:val="24"/>
        </w:rPr>
        <w:t xml:space="preserve">10.2 </w:t>
      </w:r>
      <w:r>
        <w:rPr>
          <w:rFonts w:ascii="Times New Roman" w:hAnsi="Times New Roman" w:hint="eastAsia"/>
          <w:sz w:val="24"/>
        </w:rPr>
        <w:t>矿区规划实施带来的生态风险及防治措施</w:t>
      </w:r>
    </w:p>
    <w:p w14:paraId="6BB23429"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）生态风险分析</w:t>
      </w:r>
    </w:p>
    <w:p w14:paraId="2E87EB6D"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hint="eastAsia"/>
        </w:rPr>
        <w:t>横城</w:t>
      </w:r>
      <w:r>
        <w:rPr>
          <w:rFonts w:ascii="Times New Roman" w:hAnsi="Times New Roman"/>
        </w:rPr>
        <w:t>矿区的土壤荒漠化比较</w:t>
      </w:r>
      <w:r>
        <w:rPr>
          <w:rFonts w:ascii="Times New Roman" w:hAnsi="Times New Roman" w:hint="eastAsia"/>
        </w:rPr>
        <w:t>普遍</w:t>
      </w:r>
      <w:r>
        <w:rPr>
          <w:rFonts w:ascii="Times New Roman" w:hAnsi="Times New Roman"/>
        </w:rPr>
        <w:t>，该区的主要</w:t>
      </w:r>
      <w:r>
        <w:rPr>
          <w:rFonts w:hint="eastAsia"/>
        </w:rPr>
        <w:t>为半沙漠的荒漠草原缓坡丘陵地带</w:t>
      </w:r>
      <w:r>
        <w:rPr>
          <w:rFonts w:ascii="Times New Roman" w:hAnsi="Times New Roman"/>
        </w:rPr>
        <w:t>。矿区井工矿开采后会形成地表沉陷，进而引发水土流失、土地沙漠化等一系列生态问题。因此在矿区开发过程中，必须严格控制人为影响对当地生态环境的破坏，</w:t>
      </w:r>
      <w:r>
        <w:rPr>
          <w:rFonts w:ascii="Times New Roman" w:hAnsi="Times New Roman" w:hint="eastAsia"/>
        </w:rPr>
        <w:t>生态</w:t>
      </w:r>
      <w:r>
        <w:rPr>
          <w:rFonts w:ascii="Times New Roman" w:hAnsi="Times New Roman"/>
        </w:rPr>
        <w:t>恢复措施不到位，</w:t>
      </w:r>
      <w:r>
        <w:rPr>
          <w:rFonts w:ascii="Times New Roman" w:hAnsi="Times New Roman" w:hint="eastAsia"/>
        </w:rPr>
        <w:t>将</w:t>
      </w:r>
      <w:r>
        <w:rPr>
          <w:rFonts w:ascii="Times New Roman" w:hAnsi="Times New Roman"/>
        </w:rPr>
        <w:t>会导致当地生态环境恶化。</w:t>
      </w:r>
    </w:p>
    <w:p w14:paraId="2F5F890B"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2</w:t>
      </w:r>
      <w:r>
        <w:rPr>
          <w:rFonts w:ascii="Times New Roman"/>
        </w:rPr>
        <w:t>）防治措施</w:t>
      </w:r>
    </w:p>
    <w:p w14:paraId="7F1939AB"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对于井工矿沉陷区，可使用废弃煤矸石对沉陷区进行回填，既能减少矸石占地，又能修复沉陷形成的坑洼区域。沉陷坑在回填中应根据塌陷容积，合理安排废土弃石的运行路线与倾倒方式，提高回填工效。</w:t>
      </w:r>
    </w:p>
    <w:p w14:paraId="05C64AB0"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rPr>
        <w:t>除了以上措施外，在基建过程中的一切建筑垃圾和生产过程中产生的所有固体废物都应及时清运至指定地点，彻底消灭煤矿普遍存在的地面矸石、杂煤，保证工业场地的地面平整。矿区道路必须规划完整，路面硬化。原煤在输送过程中的各个卸料环节，设置喷雾洒水装置，以减少煤尘的飞扬，在煤场安装防尘洒水装置定时洒水。项目区</w:t>
      </w:r>
      <w:r>
        <w:rPr>
          <w:rFonts w:ascii="Times New Roman" w:hAnsi="Times New Roman" w:hint="eastAsia"/>
        </w:rPr>
        <w:t>虽不属于</w:t>
      </w:r>
      <w:r>
        <w:rPr>
          <w:rFonts w:ascii="Times New Roman" w:hAnsi="Times New Roman"/>
        </w:rPr>
        <w:t>属严重缺水区，</w:t>
      </w:r>
      <w:r>
        <w:rPr>
          <w:rFonts w:ascii="Times New Roman" w:hAnsi="Times New Roman" w:hint="eastAsia"/>
        </w:rPr>
        <w:t>但也</w:t>
      </w:r>
      <w:r>
        <w:rPr>
          <w:rFonts w:ascii="Times New Roman" w:hAnsi="Times New Roman"/>
        </w:rPr>
        <w:t>应注意保护水资源，具体做法包括：生活污水经处理达标后应优先用于生活区、行政区的绿化用水；矿井排水经处理后应优先用于井下消防降尘洒水、地面降尘洒水，若有剩余，且水质满足绿化要求，应优先用于工业场地、场内道路绿化用水。</w:t>
      </w:r>
    </w:p>
    <w:p w14:paraId="232BF544" w14:textId="77777777" w:rsidR="009C353B" w:rsidRDefault="00000000">
      <w:pPr>
        <w:adjustRightInd w:val="0"/>
        <w:snapToGrid w:val="0"/>
        <w:spacing w:line="440" w:lineRule="exact"/>
        <w:ind w:firstLineChars="200" w:firstLine="480"/>
        <w:jc w:val="left"/>
        <w:rPr>
          <w:rFonts w:ascii="Times New Roman" w:hint="eastAsia"/>
        </w:rPr>
      </w:pPr>
      <w:r>
        <w:rPr>
          <w:rFonts w:ascii="Times New Roman"/>
        </w:rPr>
        <w:t>矿区位于</w:t>
      </w:r>
      <w:r>
        <w:rPr>
          <w:rFonts w:ascii="Times New Roman" w:hint="eastAsia"/>
        </w:rPr>
        <w:t>荒漠草原区，</w:t>
      </w:r>
      <w:r>
        <w:rPr>
          <w:rFonts w:ascii="Times New Roman"/>
        </w:rPr>
        <w:t>从本区的自然条件看，具有通过人工措施恢复重建生态系统的有利条件</w:t>
      </w:r>
      <w:r>
        <w:rPr>
          <w:rFonts w:ascii="Times New Roman" w:hint="eastAsia"/>
        </w:rPr>
        <w:t>，</w:t>
      </w:r>
      <w:r>
        <w:rPr>
          <w:rFonts w:ascii="Times New Roman"/>
        </w:rPr>
        <w:t>根据矿区</w:t>
      </w:r>
      <w:r>
        <w:rPr>
          <w:rFonts w:ascii="Times New Roman" w:hint="eastAsia"/>
        </w:rPr>
        <w:t>生产矿井</w:t>
      </w:r>
      <w:r>
        <w:rPr>
          <w:rFonts w:ascii="Times New Roman"/>
        </w:rPr>
        <w:t>生态恢复</w:t>
      </w:r>
      <w:r>
        <w:rPr>
          <w:rFonts w:ascii="Times New Roman" w:hint="eastAsia"/>
        </w:rPr>
        <w:t>的</w:t>
      </w:r>
      <w:r>
        <w:rPr>
          <w:rFonts w:ascii="Times New Roman"/>
        </w:rPr>
        <w:t>实际</w:t>
      </w:r>
      <w:r>
        <w:rPr>
          <w:rFonts w:ascii="Times New Roman" w:hint="eastAsia"/>
        </w:rPr>
        <w:t>经验</w:t>
      </w:r>
      <w:r>
        <w:rPr>
          <w:rFonts w:ascii="Times New Roman"/>
        </w:rPr>
        <w:t>看，</w:t>
      </w:r>
      <w:r>
        <w:rPr>
          <w:rFonts w:ascii="Times New Roman" w:hint="eastAsia"/>
        </w:rPr>
        <w:t>在严格</w:t>
      </w:r>
      <w:r>
        <w:rPr>
          <w:rFonts w:ascii="Times New Roman"/>
        </w:rPr>
        <w:t>按照</w:t>
      </w:r>
      <w:r>
        <w:rPr>
          <w:rFonts w:ascii="Times New Roman" w:hint="eastAsia"/>
        </w:rPr>
        <w:t>生态</w:t>
      </w:r>
      <w:r>
        <w:rPr>
          <w:rFonts w:ascii="Times New Roman"/>
        </w:rPr>
        <w:t>恢复工作计划规划</w:t>
      </w:r>
      <w:r>
        <w:rPr>
          <w:rFonts w:ascii="Times New Roman" w:hint="eastAsia"/>
        </w:rPr>
        <w:t>实施</w:t>
      </w:r>
      <w:r>
        <w:rPr>
          <w:rFonts w:ascii="Times New Roman"/>
        </w:rPr>
        <w:t>，进行地形重塑、土壤重构的基础上，选择本地适生草</w:t>
      </w:r>
      <w:r>
        <w:rPr>
          <w:rFonts w:ascii="Times New Roman" w:hint="eastAsia"/>
        </w:rPr>
        <w:t>种</w:t>
      </w:r>
      <w:r>
        <w:rPr>
          <w:rFonts w:ascii="Times New Roman"/>
        </w:rPr>
        <w:t>和树种，做好日常管护，</w:t>
      </w:r>
      <w:r>
        <w:rPr>
          <w:rFonts w:ascii="Times New Roman" w:hint="eastAsia"/>
        </w:rPr>
        <w:t>矿区</w:t>
      </w:r>
      <w:r>
        <w:rPr>
          <w:rFonts w:ascii="Times New Roman"/>
        </w:rPr>
        <w:t>生态恢复工作</w:t>
      </w:r>
      <w:r>
        <w:rPr>
          <w:rFonts w:ascii="Times New Roman" w:hint="eastAsia"/>
        </w:rPr>
        <w:t>可以</w:t>
      </w:r>
      <w:r>
        <w:rPr>
          <w:rFonts w:ascii="Times New Roman"/>
        </w:rPr>
        <w:t>取得很好的效果。</w:t>
      </w:r>
      <w:r>
        <w:rPr>
          <w:rFonts w:ascii="Times New Roman" w:hint="eastAsia"/>
        </w:rPr>
        <w:t>同时</w:t>
      </w:r>
      <w:r>
        <w:rPr>
          <w:rFonts w:ascii="Times New Roman" w:hAnsi="Times New Roman" w:hint="eastAsia"/>
        </w:rPr>
        <w:t>加强</w:t>
      </w:r>
      <w:r>
        <w:rPr>
          <w:rFonts w:ascii="Times New Roman" w:hAnsi="Times New Roman"/>
        </w:rPr>
        <w:t>生态恢复区日常管护工作，</w:t>
      </w:r>
      <w:r>
        <w:rPr>
          <w:rFonts w:ascii="Times New Roman" w:hAnsi="Times New Roman" w:hint="eastAsia"/>
        </w:rPr>
        <w:t>防止</w:t>
      </w:r>
      <w:r>
        <w:rPr>
          <w:rFonts w:ascii="Times New Roman" w:hAnsi="Times New Roman"/>
        </w:rPr>
        <w:t>形成新的风沙源</w:t>
      </w:r>
      <w:r>
        <w:rPr>
          <w:rFonts w:ascii="Times New Roman" w:hAnsi="Times New Roman" w:hint="eastAsia"/>
        </w:rPr>
        <w:t>区，导致局部生态恶化。</w:t>
      </w:r>
      <w:r>
        <w:rPr>
          <w:rFonts w:ascii="Times New Roman"/>
        </w:rPr>
        <w:t>因此</w:t>
      </w:r>
      <w:r>
        <w:rPr>
          <w:rFonts w:ascii="Times New Roman" w:hint="eastAsia"/>
        </w:rPr>
        <w:t>，</w:t>
      </w:r>
      <w:r>
        <w:rPr>
          <w:rFonts w:ascii="Times New Roman"/>
        </w:rPr>
        <w:t>矿区</w:t>
      </w:r>
      <w:r>
        <w:rPr>
          <w:rFonts w:ascii="Times New Roman" w:hint="eastAsia"/>
        </w:rPr>
        <w:t>后续</w:t>
      </w:r>
      <w:r>
        <w:rPr>
          <w:rFonts w:ascii="Times New Roman"/>
        </w:rPr>
        <w:t>开发过程中首先要</w:t>
      </w:r>
      <w:r>
        <w:rPr>
          <w:rFonts w:ascii="Times New Roman" w:hint="eastAsia"/>
        </w:rPr>
        <w:t>根据矿区</w:t>
      </w:r>
      <w:r>
        <w:rPr>
          <w:rFonts w:ascii="Times New Roman"/>
        </w:rPr>
        <w:t>生态恢复工作经验，优化</w:t>
      </w:r>
      <w:r>
        <w:rPr>
          <w:rFonts w:ascii="Times New Roman" w:hint="eastAsia"/>
        </w:rPr>
        <w:t>生态</w:t>
      </w:r>
      <w:r>
        <w:rPr>
          <w:rFonts w:ascii="Times New Roman"/>
        </w:rPr>
        <w:t>恢复方案设计，在设计过程中贯彻实施防沙治沙理念，同时要以防风固沙为中心，大力实施封沙、封滩、育林、育草的措施，逐步建成生态环境良性循环的生态区。</w:t>
      </w:r>
    </w:p>
    <w:p w14:paraId="686CF570"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6.</w:t>
      </w:r>
      <w:r>
        <w:rPr>
          <w:rFonts w:ascii="Times New Roman" w:hAnsi="Times New Roman" w:hint="eastAsia"/>
          <w:sz w:val="24"/>
        </w:rPr>
        <w:t xml:space="preserve">10.3 </w:t>
      </w:r>
      <w:r>
        <w:rPr>
          <w:rFonts w:ascii="Times New Roman" w:hAnsi="Times New Roman" w:hint="eastAsia"/>
          <w:sz w:val="24"/>
        </w:rPr>
        <w:t>矿区规划实施带来的环境污染风险及防治措施</w:t>
      </w:r>
    </w:p>
    <w:p w14:paraId="3710AB52"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）污染风险分析</w:t>
      </w:r>
    </w:p>
    <w:p w14:paraId="15893645" w14:textId="77777777" w:rsidR="009C353B" w:rsidRDefault="00000000">
      <w:pPr>
        <w:adjustRightInd w:val="0"/>
        <w:snapToGrid w:val="0"/>
        <w:spacing w:line="440" w:lineRule="exact"/>
        <w:ind w:firstLineChars="200" w:firstLine="480"/>
        <w:jc w:val="left"/>
        <w:rPr>
          <w:rFonts w:ascii="Times New Roman" w:hint="eastAsia"/>
        </w:rPr>
      </w:pPr>
      <w:r>
        <w:rPr>
          <w:rFonts w:ascii="Times New Roman" w:hint="eastAsia"/>
        </w:rPr>
        <w:t>现有生产煤矿及后续新建丁家梁煤矿的环境风险主要是废水处理设施故障、</w:t>
      </w:r>
      <w:r>
        <w:rPr>
          <w:rFonts w:ascii="Times New Roman"/>
        </w:rPr>
        <w:t>废气处理设施故障、</w:t>
      </w:r>
      <w:r>
        <w:rPr>
          <w:rFonts w:ascii="Times New Roman" w:hint="eastAsia"/>
        </w:rPr>
        <w:t>危险废物泄漏、煤矸石堆场自燃等。</w:t>
      </w:r>
    </w:p>
    <w:p w14:paraId="4BF3A180" w14:textId="77777777" w:rsidR="009C353B" w:rsidRDefault="00000000">
      <w:pPr>
        <w:adjustRightInd w:val="0"/>
        <w:snapToGrid w:val="0"/>
        <w:spacing w:line="440" w:lineRule="exact"/>
        <w:ind w:firstLineChars="200" w:firstLine="480"/>
        <w:jc w:val="left"/>
        <w:rPr>
          <w:rFonts w:ascii="Times New Roman" w:hint="eastAsia"/>
        </w:rPr>
      </w:pPr>
      <w:r>
        <w:rPr>
          <w:rFonts w:ascii="Times New Roman"/>
        </w:rPr>
        <w:t>涉及的风险物质主要为危险废物废机油</w:t>
      </w:r>
      <w:r>
        <w:rPr>
          <w:rFonts w:ascii="Times New Roman" w:hint="eastAsia"/>
        </w:rPr>
        <w:t>、易燃气体天然气</w:t>
      </w:r>
      <w:r>
        <w:rPr>
          <w:rFonts w:ascii="Times New Roman"/>
        </w:rPr>
        <w:t>。</w:t>
      </w:r>
    </w:p>
    <w:p w14:paraId="5C877A53" w14:textId="77777777" w:rsidR="009C353B" w:rsidRDefault="00000000">
      <w:pPr>
        <w:adjustRightInd w:val="0"/>
        <w:snapToGrid w:val="0"/>
        <w:spacing w:line="440" w:lineRule="exact"/>
        <w:ind w:firstLineChars="200" w:firstLine="480"/>
        <w:jc w:val="left"/>
        <w:rPr>
          <w:rFonts w:ascii="Times New Roman" w:hint="eastAsia"/>
        </w:rPr>
      </w:pPr>
      <w:r>
        <w:rPr>
          <w:rFonts w:ascii="Times New Roman" w:hint="eastAsia"/>
        </w:rPr>
        <w:t>根据现场调查，现有生产矿井</w:t>
      </w:r>
      <w:r>
        <w:rPr>
          <w:rFonts w:ascii="Times New Roman"/>
        </w:rPr>
        <w:t>环境风险物质最大储存量</w:t>
      </w:r>
      <w:r>
        <w:rPr>
          <w:rFonts w:ascii="Times New Roman" w:hint="eastAsia"/>
        </w:rPr>
        <w:t>少，约</w:t>
      </w:r>
      <w:r>
        <w:rPr>
          <w:rFonts w:ascii="Times New Roman" w:hint="eastAsia"/>
        </w:rPr>
        <w:t>0.45t</w:t>
      </w:r>
      <w:r>
        <w:rPr>
          <w:rFonts w:hint="eastAsia"/>
        </w:rPr>
        <w:t>～</w:t>
      </w:r>
      <w:r>
        <w:rPr>
          <w:rFonts w:ascii="Times New Roman" w:hint="eastAsia"/>
        </w:rPr>
        <w:t>2t</w:t>
      </w:r>
      <w:r>
        <w:rPr>
          <w:rFonts w:ascii="Times New Roman" w:hint="eastAsia"/>
        </w:rPr>
        <w:t>，远低于临界量</w:t>
      </w:r>
      <w:r>
        <w:rPr>
          <w:rFonts w:ascii="Times New Roman" w:hint="eastAsia"/>
        </w:rPr>
        <w:t>25000</w:t>
      </w:r>
      <w:r>
        <w:rPr>
          <w:rFonts w:ascii="Times New Roman" w:hint="eastAsia"/>
        </w:rPr>
        <w:t>吨，</w:t>
      </w:r>
      <w:r>
        <w:rPr>
          <w:rFonts w:ascii="Times New Roman"/>
        </w:rPr>
        <w:t>未构成重大危险源。</w:t>
      </w:r>
      <w:r>
        <w:rPr>
          <w:rFonts w:ascii="Times New Roman" w:hint="eastAsia"/>
        </w:rPr>
        <w:t>天然气仅任家庄需要，为通过管道输送，厂界内最大存储量</w:t>
      </w:r>
      <w:r>
        <w:rPr>
          <w:rFonts w:ascii="Times New Roman" w:hint="eastAsia"/>
        </w:rPr>
        <w:t>0.039</w:t>
      </w:r>
      <w:r>
        <w:rPr>
          <w:rFonts w:ascii="Times New Roman" w:hint="eastAsia"/>
        </w:rPr>
        <w:t>吨，远低于临界量</w:t>
      </w:r>
      <w:r>
        <w:rPr>
          <w:rFonts w:ascii="Times New Roman" w:hint="eastAsia"/>
        </w:rPr>
        <w:t>10</w:t>
      </w:r>
      <w:r>
        <w:rPr>
          <w:rFonts w:ascii="Times New Roman" w:hint="eastAsia"/>
        </w:rPr>
        <w:t>吨。</w:t>
      </w:r>
      <w:r>
        <w:rPr>
          <w:rFonts w:ascii="Times New Roman"/>
        </w:rPr>
        <w:t>未构成重大危险源。</w:t>
      </w:r>
      <w:r>
        <w:rPr>
          <w:rFonts w:ascii="Times New Roman" w:hint="eastAsia"/>
        </w:rPr>
        <w:t>马莲台煤矿危险废物均交由临河工业园区统一收集暂存，由园区外委有资质单位进行处置，工业场地内不设危废暂存库储存危险废物。</w:t>
      </w:r>
    </w:p>
    <w:p w14:paraId="546C9F4A" w14:textId="77777777" w:rsidR="009C353B" w:rsidRDefault="00000000">
      <w:pPr>
        <w:adjustRightInd w:val="0"/>
        <w:snapToGrid w:val="0"/>
        <w:spacing w:line="440" w:lineRule="exact"/>
        <w:ind w:firstLineChars="200" w:firstLine="480"/>
        <w:rPr>
          <w:rFonts w:ascii="Times New Roman" w:hint="eastAsia"/>
        </w:rPr>
      </w:pPr>
      <w:r>
        <w:rPr>
          <w:rFonts w:ascii="Times New Roman"/>
        </w:rPr>
        <w:t>（</w:t>
      </w:r>
      <w:r>
        <w:rPr>
          <w:rFonts w:ascii="Times New Roman"/>
        </w:rPr>
        <w:t>2</w:t>
      </w:r>
      <w:r>
        <w:rPr>
          <w:rFonts w:ascii="Times New Roman"/>
        </w:rPr>
        <w:t>）防治措施</w:t>
      </w:r>
    </w:p>
    <w:p w14:paraId="6627AB4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）环境风险应急预案及备案情况</w:t>
      </w:r>
    </w:p>
    <w:p w14:paraId="1AE1C07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红石湾：已于</w:t>
      </w:r>
      <w:r>
        <w:rPr>
          <w:rFonts w:ascii="Times New Roman" w:hint="eastAsia"/>
        </w:rPr>
        <w:t>2018</w:t>
      </w:r>
      <w:r>
        <w:rPr>
          <w:rFonts w:ascii="Times New Roman" w:hint="eastAsia"/>
        </w:rPr>
        <w:t>年</w:t>
      </w:r>
      <w:r>
        <w:rPr>
          <w:rFonts w:ascii="Times New Roman" w:hint="eastAsia"/>
        </w:rPr>
        <w:t>7</w:t>
      </w:r>
      <w:r>
        <w:rPr>
          <w:rFonts w:ascii="Times New Roman" w:hint="eastAsia"/>
        </w:rPr>
        <w:t>月</w:t>
      </w:r>
      <w:r>
        <w:rPr>
          <w:rFonts w:ascii="Times New Roman" w:hint="eastAsia"/>
        </w:rPr>
        <w:t>17</w:t>
      </w:r>
      <w:r>
        <w:rPr>
          <w:rFonts w:ascii="Times New Roman" w:hint="eastAsia"/>
        </w:rPr>
        <w:t>日在灵武市环境保护局备案，备案编号</w:t>
      </w:r>
      <w:r>
        <w:rPr>
          <w:rFonts w:ascii="Times New Roman" w:hint="eastAsia"/>
        </w:rPr>
        <w:t>640181-2018-08-M</w:t>
      </w:r>
      <w:r>
        <w:rPr>
          <w:rFonts w:ascii="Times New Roman" w:hint="eastAsia"/>
        </w:rPr>
        <w:t>。</w:t>
      </w:r>
    </w:p>
    <w:p w14:paraId="61A2807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任家庄：已于</w:t>
      </w:r>
      <w:r>
        <w:rPr>
          <w:rFonts w:ascii="Times New Roman" w:hint="eastAsia"/>
        </w:rPr>
        <w:t>2018</w:t>
      </w:r>
      <w:r>
        <w:rPr>
          <w:rFonts w:ascii="Times New Roman" w:hint="eastAsia"/>
        </w:rPr>
        <w:t>年</w:t>
      </w:r>
      <w:r>
        <w:rPr>
          <w:rFonts w:ascii="Times New Roman" w:hint="eastAsia"/>
        </w:rPr>
        <w:t>7</w:t>
      </w:r>
      <w:r>
        <w:rPr>
          <w:rFonts w:ascii="Times New Roman" w:hint="eastAsia"/>
        </w:rPr>
        <w:t>月</w:t>
      </w:r>
      <w:r>
        <w:rPr>
          <w:rFonts w:ascii="Times New Roman" w:hint="eastAsia"/>
        </w:rPr>
        <w:t>3</w:t>
      </w:r>
      <w:r>
        <w:rPr>
          <w:rFonts w:ascii="Times New Roman" w:hint="eastAsia"/>
        </w:rPr>
        <w:t>日在灵武市环境保护局备案，备案编号</w:t>
      </w:r>
      <w:r>
        <w:rPr>
          <w:rFonts w:ascii="Times New Roman" w:hint="eastAsia"/>
        </w:rPr>
        <w:t>640181-2018-03-L</w:t>
      </w:r>
      <w:r>
        <w:rPr>
          <w:rFonts w:ascii="Times New Roman" w:hint="eastAsia"/>
        </w:rPr>
        <w:t>。</w:t>
      </w:r>
    </w:p>
    <w:p w14:paraId="3227DF4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马莲台：已于</w:t>
      </w:r>
      <w:r>
        <w:rPr>
          <w:rFonts w:ascii="Times New Roman" w:hint="eastAsia"/>
        </w:rPr>
        <w:t>2020</w:t>
      </w:r>
      <w:r>
        <w:rPr>
          <w:rFonts w:ascii="Times New Roman" w:hint="eastAsia"/>
        </w:rPr>
        <w:t>年</w:t>
      </w:r>
      <w:r>
        <w:rPr>
          <w:rFonts w:ascii="Times New Roman" w:hint="eastAsia"/>
        </w:rPr>
        <w:t>9</w:t>
      </w:r>
      <w:r>
        <w:rPr>
          <w:rFonts w:ascii="Times New Roman" w:hint="eastAsia"/>
        </w:rPr>
        <w:t>月</w:t>
      </w:r>
      <w:r>
        <w:rPr>
          <w:rFonts w:ascii="Times New Roman" w:hint="eastAsia"/>
        </w:rPr>
        <w:t>9</w:t>
      </w:r>
      <w:r>
        <w:rPr>
          <w:rFonts w:ascii="Times New Roman" w:hint="eastAsia"/>
        </w:rPr>
        <w:t>日在宁夏回族自治区宁东能源化工基地管理委员会环境保护局备案，备案编号</w:t>
      </w:r>
      <w:r>
        <w:rPr>
          <w:rFonts w:ascii="Times New Roman" w:hint="eastAsia"/>
        </w:rPr>
        <w:t>64602-2020-019-H</w:t>
      </w:r>
      <w:r>
        <w:rPr>
          <w:rFonts w:ascii="Times New Roman" w:hint="eastAsia"/>
        </w:rPr>
        <w:t>。</w:t>
      </w:r>
    </w:p>
    <w:p w14:paraId="3EAE670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2</w:t>
      </w:r>
      <w:r>
        <w:rPr>
          <w:rFonts w:ascii="Times New Roman" w:hint="eastAsia"/>
        </w:rPr>
        <w:t>）危险物质泄漏防范措施</w:t>
      </w:r>
    </w:p>
    <w:p w14:paraId="43B3AAD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现有生产矿井均建设有危废暂存库，临时存储危废。危废暂存库均按要求进行建设，设置固定场地，暂存库室内地面为</w:t>
      </w:r>
      <w:r>
        <w:rPr>
          <w:rFonts w:ascii="Times New Roman" w:hint="eastAsia"/>
        </w:rPr>
        <w:t>300mm</w:t>
      </w:r>
      <w:r>
        <w:rPr>
          <w:rFonts w:ascii="Times New Roman" w:hint="eastAsia"/>
        </w:rPr>
        <w:t>厚砼，表面刷聚氨酯防渗涂层，建有导油槽，室外建有积油池。且均通过验收。具体见下图。</w:t>
      </w:r>
    </w:p>
    <w:p w14:paraId="5EAE13DB" w14:textId="77777777" w:rsidR="009C353B" w:rsidRDefault="00000000">
      <w:pPr>
        <w:adjustRightInd w:val="0"/>
        <w:snapToGrid w:val="0"/>
        <w:spacing w:line="360" w:lineRule="auto"/>
        <w:ind w:firstLineChars="200" w:firstLine="480"/>
        <w:rPr>
          <w:rFonts w:ascii="Times New Roman" w:hint="eastAsia"/>
        </w:rPr>
      </w:pPr>
      <w:r>
        <w:rPr>
          <w:rFonts w:ascii="Times New Roman" w:hint="eastAsia"/>
        </w:rPr>
        <w:t xml:space="preserve"> </w:t>
      </w:r>
    </w:p>
    <w:tbl>
      <w:tblPr>
        <w:tblStyle w:val="afffb"/>
        <w:tblW w:w="4790" w:type="pct"/>
        <w:jc w:val="center"/>
        <w:tblLook w:val="04A0" w:firstRow="1" w:lastRow="0" w:firstColumn="1" w:lastColumn="0" w:noHBand="0" w:noVBand="1"/>
      </w:tblPr>
      <w:tblGrid>
        <w:gridCol w:w="4448"/>
        <w:gridCol w:w="4449"/>
      </w:tblGrid>
      <w:tr w:rsidR="009C353B" w14:paraId="02E4AC4A" w14:textId="77777777">
        <w:trPr>
          <w:jc w:val="center"/>
        </w:trPr>
        <w:tc>
          <w:tcPr>
            <w:tcW w:w="4448" w:type="dxa"/>
          </w:tcPr>
          <w:p w14:paraId="573CAE45"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2885819E" wp14:editId="24CA6570">
                  <wp:extent cx="2374265" cy="1780540"/>
                  <wp:effectExtent l="0" t="0" r="6985" b="0"/>
                  <wp:docPr id="4" name="图片 4" descr="H:\横城矿区总体规划（修编）环境影响报告书——受理材料\000横城矿区（修编）环评——会后修改\后后修改——收集资料2020.1.5\红石湾废电池.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横城矿区总体规划（修编）环境影响报告书——受理材料\000横城矿区（修编）环评——会后修改\后后修改——收集资料2020.1.5\红石湾废电池.jpg"/>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a:xfrm>
                            <a:off x="0" y="0"/>
                            <a:ext cx="2375727" cy="1782125"/>
                          </a:xfrm>
                          <a:prstGeom prst="rect">
                            <a:avLst/>
                          </a:prstGeom>
                          <a:noFill/>
                          <a:ln>
                            <a:noFill/>
                          </a:ln>
                        </pic:spPr>
                      </pic:pic>
                    </a:graphicData>
                  </a:graphic>
                </wp:inline>
              </w:drawing>
            </w:r>
          </w:p>
        </w:tc>
        <w:tc>
          <w:tcPr>
            <w:tcW w:w="4449" w:type="dxa"/>
          </w:tcPr>
          <w:p w14:paraId="4DF6749E"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03A247C4" wp14:editId="03A7E806">
                  <wp:extent cx="2374265" cy="1780540"/>
                  <wp:effectExtent l="0" t="0" r="6985" b="0"/>
                  <wp:docPr id="70" name="图片 70" descr="H:\横城矿区总体规划（修编）环境影响报告书——受理材料\000横城矿区（修编）环评——会后修改\后后修改——收集资料2020.1.5\红石湾废油脂.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H:\横城矿区总体规划（修编）环境影响报告书——受理材料\000横城矿区（修编）环评——会后修改\后后修改——收集资料2020.1.5\红石湾废油脂.jpg"/>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a:xfrm>
                            <a:off x="0" y="0"/>
                            <a:ext cx="2376954" cy="1783046"/>
                          </a:xfrm>
                          <a:prstGeom prst="rect">
                            <a:avLst/>
                          </a:prstGeom>
                          <a:noFill/>
                          <a:ln>
                            <a:noFill/>
                          </a:ln>
                        </pic:spPr>
                      </pic:pic>
                    </a:graphicData>
                  </a:graphic>
                </wp:inline>
              </w:drawing>
            </w:r>
          </w:p>
        </w:tc>
      </w:tr>
      <w:tr w:rsidR="009C353B" w14:paraId="6927D33D" w14:textId="77777777">
        <w:trPr>
          <w:jc w:val="center"/>
        </w:trPr>
        <w:tc>
          <w:tcPr>
            <w:tcW w:w="8897" w:type="dxa"/>
            <w:gridSpan w:val="2"/>
          </w:tcPr>
          <w:p w14:paraId="19B25306" w14:textId="77777777" w:rsidR="009C353B" w:rsidRDefault="00000000">
            <w:pPr>
              <w:adjustRightInd w:val="0"/>
              <w:snapToGrid w:val="0"/>
              <w:jc w:val="center"/>
              <w:rPr>
                <w:rFonts w:ascii="Times New Roman" w:hint="eastAsia"/>
              </w:rPr>
            </w:pPr>
            <w:r>
              <w:rPr>
                <w:rFonts w:ascii="Times New Roman" w:hint="eastAsia"/>
              </w:rPr>
              <w:t>红石湾危废暂存情况</w:t>
            </w:r>
          </w:p>
        </w:tc>
      </w:tr>
      <w:tr w:rsidR="009C353B" w14:paraId="0D4DED9B" w14:textId="77777777">
        <w:trPr>
          <w:jc w:val="center"/>
        </w:trPr>
        <w:tc>
          <w:tcPr>
            <w:tcW w:w="4448" w:type="dxa"/>
          </w:tcPr>
          <w:p w14:paraId="37DFB5A2"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5B7CDC09" wp14:editId="60122567">
                  <wp:extent cx="2383155" cy="1709420"/>
                  <wp:effectExtent l="0" t="0" r="0" b="5080"/>
                  <wp:docPr id="71" name="图片 71" descr="H:\横城矿区总体规划（修编）环境影响报告书——受理材料\000横城矿区（修编）环评——会后修改\后后修改——收集资料2020.1.5\任家庄危废库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H:\横城矿区总体规划（修编）环境影响报告书——受理材料\000横城矿区（修编）环评——会后修改\后后修改——收集资料2020.1.5\任家庄危废库1.jpg"/>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a:xfrm>
                            <a:off x="0" y="0"/>
                            <a:ext cx="2390262" cy="1714234"/>
                          </a:xfrm>
                          <a:prstGeom prst="rect">
                            <a:avLst/>
                          </a:prstGeom>
                          <a:noFill/>
                          <a:ln>
                            <a:noFill/>
                          </a:ln>
                        </pic:spPr>
                      </pic:pic>
                    </a:graphicData>
                  </a:graphic>
                </wp:inline>
              </w:drawing>
            </w:r>
          </w:p>
        </w:tc>
        <w:tc>
          <w:tcPr>
            <w:tcW w:w="4449" w:type="dxa"/>
          </w:tcPr>
          <w:p w14:paraId="1C47E5F7"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3331BBFB" wp14:editId="160564AD">
                  <wp:extent cx="2287905" cy="1725295"/>
                  <wp:effectExtent l="0" t="0" r="0" b="8255"/>
                  <wp:docPr id="73" name="图片 73" descr="H:\横城矿区总体规划（修编）环境影响报告书——受理材料\000横城矿区（修编）环评——会后修改\后后修改——收集资料2020.1.5\任家庄危废库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H:\横城矿区总体规划（修编）环境影响报告书——受理材料\000横城矿区（修编）环评——会后修改\后后修改——收集资料2020.1.5\任家庄危废库2.jpg"/>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a:xfrm>
                            <a:off x="0" y="0"/>
                            <a:ext cx="2287390" cy="1724602"/>
                          </a:xfrm>
                          <a:prstGeom prst="rect">
                            <a:avLst/>
                          </a:prstGeom>
                          <a:noFill/>
                          <a:ln>
                            <a:noFill/>
                          </a:ln>
                        </pic:spPr>
                      </pic:pic>
                    </a:graphicData>
                  </a:graphic>
                </wp:inline>
              </w:drawing>
            </w:r>
          </w:p>
        </w:tc>
      </w:tr>
      <w:tr w:rsidR="009C353B" w14:paraId="18C7C79E" w14:textId="77777777">
        <w:trPr>
          <w:jc w:val="center"/>
        </w:trPr>
        <w:tc>
          <w:tcPr>
            <w:tcW w:w="8897" w:type="dxa"/>
            <w:gridSpan w:val="2"/>
          </w:tcPr>
          <w:p w14:paraId="01A1019E" w14:textId="77777777" w:rsidR="009C353B" w:rsidRDefault="00000000">
            <w:pPr>
              <w:adjustRightInd w:val="0"/>
              <w:snapToGrid w:val="0"/>
              <w:jc w:val="center"/>
              <w:rPr>
                <w:rFonts w:ascii="Times New Roman" w:hint="eastAsia"/>
              </w:rPr>
            </w:pPr>
            <w:r>
              <w:rPr>
                <w:rFonts w:ascii="Times New Roman" w:hint="eastAsia"/>
              </w:rPr>
              <w:t>任家庄危废暂存情况</w:t>
            </w:r>
          </w:p>
        </w:tc>
      </w:tr>
      <w:tr w:rsidR="009C353B" w14:paraId="0C84E786" w14:textId="77777777">
        <w:trPr>
          <w:jc w:val="center"/>
        </w:trPr>
        <w:tc>
          <w:tcPr>
            <w:tcW w:w="4448" w:type="dxa"/>
          </w:tcPr>
          <w:p w14:paraId="4341BB3C"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67F4082D" wp14:editId="17EAA38E">
                  <wp:extent cx="2313305" cy="1669415"/>
                  <wp:effectExtent l="0" t="0" r="0" b="6985"/>
                  <wp:docPr id="92" name="图片 92" descr="C:\Users\hbs02\AppData\Local\Temp\360zip$Temp\360$1\照片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C:\Users\hbs02\AppData\Local\Temp\360zip$Temp\360$1\照片2.jpg"/>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a:xfrm>
                            <a:off x="0" y="0"/>
                            <a:ext cx="2320159" cy="1674342"/>
                          </a:xfrm>
                          <a:prstGeom prst="rect">
                            <a:avLst/>
                          </a:prstGeom>
                          <a:noFill/>
                          <a:ln>
                            <a:noFill/>
                          </a:ln>
                        </pic:spPr>
                      </pic:pic>
                    </a:graphicData>
                  </a:graphic>
                </wp:inline>
              </w:drawing>
            </w:r>
          </w:p>
        </w:tc>
        <w:tc>
          <w:tcPr>
            <w:tcW w:w="4449" w:type="dxa"/>
          </w:tcPr>
          <w:p w14:paraId="4BB8D309" w14:textId="77777777" w:rsidR="009C353B" w:rsidRDefault="00000000">
            <w:pPr>
              <w:adjustRightInd w:val="0"/>
              <w:snapToGrid w:val="0"/>
              <w:jc w:val="center"/>
              <w:rPr>
                <w:rFonts w:ascii="Times New Roman" w:hint="eastAsia"/>
              </w:rPr>
            </w:pPr>
            <w:r>
              <w:rPr>
                <w:rFonts w:ascii="Times New Roman"/>
                <w:noProof/>
              </w:rPr>
              <w:drawing>
                <wp:inline distT="0" distB="0" distL="0" distR="0" wp14:anchorId="1F914612" wp14:editId="2339DEF5">
                  <wp:extent cx="2289810" cy="1651000"/>
                  <wp:effectExtent l="0" t="0" r="0" b="6350"/>
                  <wp:docPr id="94" name="图片 94" descr="C:\Users\hbs02\AppData\Local\Temp\360zip$Temp\360$2\照片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C:\Users\hbs02\AppData\Local\Temp\360zip$Temp\360$2\照片1.jpg"/>
                          <pic:cNvPicPr>
                            <a:picLocks noChangeAspect="1" noChangeArrowheads="1"/>
                          </pic:cNvPicPr>
                        </pic:nvPicPr>
                        <pic:blipFill>
                          <a:blip r:embed="rId459" cstate="print">
                            <a:extLst>
                              <a:ext uri="{28A0092B-C50C-407E-A947-70E740481C1C}">
                                <a14:useLocalDpi xmlns:a14="http://schemas.microsoft.com/office/drawing/2010/main" val="0"/>
                              </a:ext>
                            </a:extLst>
                          </a:blip>
                          <a:srcRect t="13549" r="-76" b="26451"/>
                          <a:stretch>
                            <a:fillRect/>
                          </a:stretch>
                        </pic:blipFill>
                        <pic:spPr>
                          <a:xfrm>
                            <a:off x="0" y="0"/>
                            <a:ext cx="2299960" cy="1658259"/>
                          </a:xfrm>
                          <a:prstGeom prst="rect">
                            <a:avLst/>
                          </a:prstGeom>
                          <a:noFill/>
                          <a:ln>
                            <a:noFill/>
                          </a:ln>
                        </pic:spPr>
                      </pic:pic>
                    </a:graphicData>
                  </a:graphic>
                </wp:inline>
              </w:drawing>
            </w:r>
          </w:p>
        </w:tc>
      </w:tr>
      <w:tr w:rsidR="009C353B" w14:paraId="214A834A" w14:textId="77777777">
        <w:trPr>
          <w:trHeight w:val="350"/>
          <w:jc w:val="center"/>
        </w:trPr>
        <w:tc>
          <w:tcPr>
            <w:tcW w:w="8897" w:type="dxa"/>
            <w:gridSpan w:val="2"/>
          </w:tcPr>
          <w:p w14:paraId="61B2BEB1" w14:textId="77777777" w:rsidR="009C353B" w:rsidRDefault="00000000">
            <w:pPr>
              <w:adjustRightInd w:val="0"/>
              <w:snapToGrid w:val="0"/>
              <w:jc w:val="center"/>
              <w:rPr>
                <w:rFonts w:ascii="Times New Roman" w:hint="eastAsia"/>
              </w:rPr>
            </w:pPr>
            <w:r>
              <w:rPr>
                <w:rFonts w:ascii="Times New Roman" w:hint="eastAsia"/>
              </w:rPr>
              <w:t>马莲台危废暂存情况</w:t>
            </w:r>
          </w:p>
        </w:tc>
      </w:tr>
    </w:tbl>
    <w:p w14:paraId="429B7271" w14:textId="77777777" w:rsidR="009C353B" w:rsidRDefault="00000000">
      <w:pPr>
        <w:adjustRightInd w:val="0"/>
        <w:snapToGrid w:val="0"/>
        <w:spacing w:line="440" w:lineRule="exact"/>
        <w:ind w:firstLineChars="200" w:firstLine="480"/>
        <w:rPr>
          <w:rFonts w:ascii="Times New Roman" w:hint="eastAsia"/>
        </w:rPr>
      </w:pPr>
      <w:bookmarkStart w:id="281" w:name="_Toc163441024"/>
      <w:r>
        <w:rPr>
          <w:rFonts w:ascii="Times New Roman" w:hint="eastAsia"/>
        </w:rPr>
        <w:t>3</w:t>
      </w:r>
      <w:r>
        <w:rPr>
          <w:rFonts w:ascii="Times New Roman" w:hint="eastAsia"/>
        </w:rPr>
        <w:t>）水环境风险防范措施</w:t>
      </w:r>
    </w:p>
    <w:p w14:paraId="60823A9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煤矿水环境风险</w:t>
      </w:r>
      <w:r>
        <w:rPr>
          <w:rFonts w:ascii="Times New Roman"/>
        </w:rPr>
        <w:t>主要是污水处理站设备发生故障或设备大修，将导致污水得不到处理而超标排放</w:t>
      </w:r>
      <w:r>
        <w:rPr>
          <w:rFonts w:ascii="Times New Roman" w:hint="eastAsia"/>
        </w:rPr>
        <w:t>，</w:t>
      </w:r>
      <w:r>
        <w:rPr>
          <w:rFonts w:ascii="Times New Roman"/>
        </w:rPr>
        <w:t>处理水池管路渗漏也会引起污水排放超标</w:t>
      </w:r>
      <w:r>
        <w:rPr>
          <w:rFonts w:ascii="Times New Roman" w:hint="eastAsia"/>
        </w:rPr>
        <w:t>，导致自然水体水质恶化并对下游河流等产生危害的风险</w:t>
      </w:r>
      <w:r>
        <w:rPr>
          <w:rFonts w:ascii="Times New Roman"/>
        </w:rPr>
        <w:t>。</w:t>
      </w:r>
    </w:p>
    <w:p w14:paraId="7F0F392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矿区内重要的地表水体为黄河支流大河子沟、水洞沟，鸭子荡水库。</w:t>
      </w:r>
    </w:p>
    <w:p w14:paraId="061170A2"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为了从源头杜绝由于污废水排放导致的对黄河支流大河子沟、水洞沟，鸭子荡水库及下游黄河干流产生污染风险，采取以下水环境风险防范措施：</w:t>
      </w:r>
    </w:p>
    <w:p w14:paraId="661A9EF0" w14:textId="77777777" w:rsidR="009C353B" w:rsidRDefault="00000000">
      <w:pPr>
        <w:adjustRightInd w:val="0"/>
        <w:snapToGrid w:val="0"/>
        <w:spacing w:line="440" w:lineRule="exact"/>
        <w:ind w:firstLineChars="200" w:firstLine="480"/>
        <w:rPr>
          <w:rFonts w:ascii="Times New Roman" w:hint="eastAsia"/>
        </w:rPr>
      </w:pPr>
      <w:r>
        <w:rPr>
          <w:rFonts w:hint="eastAsia"/>
        </w:rPr>
        <w:t>①</w:t>
      </w:r>
      <w:r>
        <w:rPr>
          <w:rFonts w:ascii="Times New Roman"/>
        </w:rPr>
        <w:t>设置在线自动监测系统，确保污染物达标排放；</w:t>
      </w:r>
    </w:p>
    <w:p w14:paraId="26503DD9" w14:textId="77777777" w:rsidR="009C353B" w:rsidRDefault="00000000">
      <w:pPr>
        <w:adjustRightInd w:val="0"/>
        <w:snapToGrid w:val="0"/>
        <w:spacing w:line="440" w:lineRule="exact"/>
        <w:ind w:firstLineChars="200" w:firstLine="480"/>
        <w:rPr>
          <w:rFonts w:ascii="Times New Roman" w:hint="eastAsia"/>
        </w:rPr>
      </w:pPr>
      <w:r>
        <w:rPr>
          <w:rFonts w:hint="eastAsia"/>
        </w:rPr>
        <w:t>②</w:t>
      </w:r>
      <w:r>
        <w:rPr>
          <w:rFonts w:ascii="Times New Roman"/>
        </w:rPr>
        <w:t>操作人员严格按照污水处理站运行、维护及其安全技术规程进行操作，严禁带电作业；</w:t>
      </w:r>
    </w:p>
    <w:p w14:paraId="6F616D72" w14:textId="77777777" w:rsidR="009C353B" w:rsidRDefault="00000000">
      <w:pPr>
        <w:adjustRightInd w:val="0"/>
        <w:snapToGrid w:val="0"/>
        <w:spacing w:line="440" w:lineRule="exact"/>
        <w:ind w:firstLineChars="200" w:firstLine="480"/>
        <w:rPr>
          <w:rFonts w:ascii="Times New Roman" w:hint="eastAsia"/>
        </w:rPr>
      </w:pPr>
      <w:r>
        <w:rPr>
          <w:rFonts w:hint="eastAsia"/>
        </w:rPr>
        <w:t>③</w:t>
      </w:r>
      <w:r>
        <w:rPr>
          <w:rFonts w:ascii="Times New Roman"/>
        </w:rPr>
        <w:t>运行人员、维护人员每班巡视三次，查看是否存在安全隐患，发现问题及时解决。</w:t>
      </w:r>
    </w:p>
    <w:p w14:paraId="07B0906D" w14:textId="77777777" w:rsidR="009C353B" w:rsidRDefault="00000000">
      <w:pPr>
        <w:adjustRightInd w:val="0"/>
        <w:snapToGrid w:val="0"/>
        <w:spacing w:line="440" w:lineRule="exact"/>
        <w:ind w:firstLineChars="200" w:firstLine="480"/>
        <w:rPr>
          <w:rFonts w:ascii="Times New Roman" w:hint="eastAsia"/>
        </w:rPr>
      </w:pPr>
      <w:r>
        <w:rPr>
          <w:rFonts w:hint="eastAsia"/>
        </w:rPr>
        <w:t>④</w:t>
      </w:r>
      <w:r>
        <w:rPr>
          <w:rFonts w:ascii="Times New Roman"/>
        </w:rPr>
        <w:t>建立健全的环保机构，配置必要的监测仪器，对管理人员和技术人员进行岗位培训，对废</w:t>
      </w:r>
      <w:r>
        <w:rPr>
          <w:rFonts w:ascii="Times New Roman" w:hint="eastAsia"/>
        </w:rPr>
        <w:t>水</w:t>
      </w:r>
      <w:r>
        <w:rPr>
          <w:rFonts w:ascii="Times New Roman"/>
        </w:rPr>
        <w:t>处理实行全过程跟踪控制</w:t>
      </w:r>
      <w:r>
        <w:rPr>
          <w:rFonts w:ascii="Times New Roman" w:hint="eastAsia"/>
        </w:rPr>
        <w:t>；</w:t>
      </w:r>
    </w:p>
    <w:p w14:paraId="1BA14931" w14:textId="77777777" w:rsidR="009C353B" w:rsidRDefault="00000000">
      <w:pPr>
        <w:adjustRightInd w:val="0"/>
        <w:snapToGrid w:val="0"/>
        <w:spacing w:line="440" w:lineRule="exact"/>
        <w:ind w:firstLineChars="200" w:firstLine="480"/>
        <w:rPr>
          <w:rFonts w:ascii="Times New Roman" w:hint="eastAsia"/>
        </w:rPr>
      </w:pPr>
      <w:r>
        <w:rPr>
          <w:rFonts w:hint="eastAsia"/>
        </w:rPr>
        <w:t>⑤</w:t>
      </w:r>
      <w:r>
        <w:rPr>
          <w:rFonts w:ascii="Times New Roman" w:hint="eastAsia"/>
        </w:rPr>
        <w:t>一旦发生风险事故，立即启动应急预案，按级别启动突发环境事件应急响应，并上报相应级别的环境保护主管部门，及时处置。</w:t>
      </w:r>
    </w:p>
    <w:p w14:paraId="15819AFF" w14:textId="77777777" w:rsidR="009C353B" w:rsidRDefault="009C353B">
      <w:pPr>
        <w:adjustRightInd w:val="0"/>
        <w:snapToGrid w:val="0"/>
        <w:spacing w:line="440" w:lineRule="exact"/>
        <w:ind w:firstLineChars="200" w:firstLine="480"/>
        <w:rPr>
          <w:rFonts w:ascii="Times New Roman" w:hint="eastAsia"/>
        </w:rPr>
      </w:pPr>
    </w:p>
    <w:p w14:paraId="2823D2F9" w14:textId="77777777" w:rsidR="009C353B" w:rsidRDefault="00000000">
      <w:pPr>
        <w:pStyle w:val="1"/>
        <w:spacing w:before="100" w:beforeAutospacing="1" w:after="100" w:afterAutospacing="1" w:line="578" w:lineRule="exact"/>
        <w:jc w:val="center"/>
        <w:rPr>
          <w:rFonts w:ascii="Times New Roman" w:hAnsi="Times New Roman"/>
          <w:sz w:val="36"/>
        </w:rPr>
      </w:pPr>
      <w:bookmarkStart w:id="282" w:name="_Toc59189856"/>
      <w:r>
        <w:rPr>
          <w:rFonts w:ascii="Times New Roman" w:hAnsi="Times New Roman"/>
          <w:sz w:val="36"/>
        </w:rPr>
        <w:t xml:space="preserve">7 </w:t>
      </w:r>
      <w:r>
        <w:rPr>
          <w:rFonts w:ascii="Times New Roman" w:hAnsi="Times New Roman"/>
          <w:sz w:val="36"/>
        </w:rPr>
        <w:t>矿区资源、环境承载力分析</w:t>
      </w:r>
      <w:bookmarkEnd w:id="281"/>
      <w:bookmarkEnd w:id="282"/>
    </w:p>
    <w:p w14:paraId="016165FD" w14:textId="77777777" w:rsidR="009C353B" w:rsidRDefault="00000000">
      <w:pPr>
        <w:pStyle w:val="2"/>
        <w:adjustRightInd w:val="0"/>
        <w:snapToGrid w:val="0"/>
        <w:spacing w:before="480" w:after="240" w:line="440" w:lineRule="atLeast"/>
        <w:rPr>
          <w:rFonts w:ascii="Times New Roman" w:eastAsia="宋体" w:hAnsi="Times New Roman"/>
          <w:b/>
          <w:sz w:val="28"/>
        </w:rPr>
      </w:pPr>
      <w:bookmarkStart w:id="283" w:name="_Toc163441025"/>
      <w:bookmarkStart w:id="284" w:name="_Toc59189857"/>
      <w:r>
        <w:rPr>
          <w:rFonts w:ascii="Times New Roman" w:eastAsia="宋体" w:hAnsi="Times New Roman"/>
          <w:b/>
          <w:sz w:val="28"/>
        </w:rPr>
        <w:t>7</w:t>
      </w:r>
      <w:r>
        <w:rPr>
          <w:rFonts w:ascii="Times New Roman" w:eastAsia="宋体" w:hAnsi="Times New Roman" w:hint="eastAsia"/>
          <w:b/>
          <w:sz w:val="28"/>
        </w:rPr>
        <w:t>.</w:t>
      </w:r>
      <w:r>
        <w:rPr>
          <w:rFonts w:ascii="Times New Roman" w:eastAsia="宋体" w:hAnsi="Times New Roman"/>
          <w:b/>
          <w:sz w:val="28"/>
        </w:rPr>
        <w:t xml:space="preserve">1 </w:t>
      </w:r>
      <w:r>
        <w:rPr>
          <w:rFonts w:ascii="Times New Roman" w:eastAsia="宋体" w:hAnsi="Times New Roman"/>
          <w:b/>
          <w:sz w:val="28"/>
        </w:rPr>
        <w:t>矿区水资源承载力分析</w:t>
      </w:r>
      <w:bookmarkEnd w:id="283"/>
      <w:bookmarkEnd w:id="284"/>
    </w:p>
    <w:p w14:paraId="109251FC" w14:textId="77777777" w:rsidR="009C353B" w:rsidRDefault="00000000">
      <w:pPr>
        <w:pStyle w:val="40"/>
        <w:adjustRightInd w:val="0"/>
        <w:snapToGrid w:val="0"/>
        <w:spacing w:before="240" w:after="120" w:line="440" w:lineRule="exact"/>
        <w:rPr>
          <w:rFonts w:ascii="Times New Roman" w:eastAsia="宋体" w:hAnsi="Times New Roman"/>
          <w:sz w:val="24"/>
        </w:rPr>
      </w:pPr>
      <w:r>
        <w:rPr>
          <w:rFonts w:ascii="Times New Roman" w:eastAsia="宋体" w:hAnsi="Times New Roman"/>
          <w:sz w:val="24"/>
        </w:rPr>
        <w:t xml:space="preserve">7.1.1 </w:t>
      </w:r>
      <w:r>
        <w:rPr>
          <w:rFonts w:ascii="Times New Roman" w:eastAsia="宋体" w:hAnsi="Times New Roman" w:hint="eastAsia"/>
          <w:sz w:val="24"/>
        </w:rPr>
        <w:t>区域水资源条件分析</w:t>
      </w:r>
    </w:p>
    <w:p w14:paraId="585FF76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）地表水资源量</w:t>
      </w:r>
    </w:p>
    <w:p w14:paraId="74A415D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rPr>
        <w:t>宁夏回族自治区水资源配置保障规划</w:t>
      </w:r>
      <w:r>
        <w:rPr>
          <w:rFonts w:asciiTheme="minorEastAsia" w:eastAsiaTheme="minorEastAsia" w:hAnsiTheme="minorEastAsia"/>
        </w:rPr>
        <w:t>(</w:t>
      </w:r>
      <w:r>
        <w:rPr>
          <w:rFonts w:ascii="Times New Roman"/>
        </w:rPr>
        <w:t>2016</w:t>
      </w:r>
      <w:r>
        <w:rPr>
          <w:rFonts w:ascii="Times New Roman" w:hint="eastAsia"/>
        </w:rPr>
        <w:t>—</w:t>
      </w:r>
      <w:r>
        <w:rPr>
          <w:rFonts w:ascii="Times New Roman"/>
        </w:rPr>
        <w:t>2020</w:t>
      </w:r>
      <w:r>
        <w:rPr>
          <w:rFonts w:ascii="Times New Roman"/>
        </w:rPr>
        <w:t>年</w:t>
      </w:r>
      <w:r>
        <w:rPr>
          <w:rFonts w:asciiTheme="minorEastAsia" w:eastAsiaTheme="minorEastAsia" w:hAnsiTheme="minorEastAsia" w:hint="eastAsia"/>
        </w:rPr>
        <w:t>)</w:t>
      </w:r>
      <w:r>
        <w:rPr>
          <w:rFonts w:ascii="Times New Roman" w:hint="eastAsia"/>
        </w:rPr>
        <w:t>》</w:t>
      </w:r>
      <w:r>
        <w:rPr>
          <w:rFonts w:ascii="Times New Roman"/>
        </w:rPr>
        <w:t>，全区多年平均降水量</w:t>
      </w:r>
      <w:r>
        <w:rPr>
          <w:rFonts w:ascii="Times New Roman"/>
        </w:rPr>
        <w:t>289mm</w:t>
      </w:r>
      <w:r>
        <w:rPr>
          <w:rFonts w:ascii="Times New Roman"/>
        </w:rPr>
        <w:t>，水面蒸发量</w:t>
      </w:r>
      <w:r>
        <w:rPr>
          <w:rFonts w:ascii="Times New Roman"/>
        </w:rPr>
        <w:t>1250mm</w:t>
      </w:r>
      <w:r>
        <w:rPr>
          <w:rFonts w:ascii="Times New Roman"/>
        </w:rPr>
        <w:t>。多年平均当地地表水资源量</w:t>
      </w:r>
      <w:r>
        <w:rPr>
          <w:rFonts w:ascii="Times New Roman"/>
        </w:rPr>
        <w:t>9.49</w:t>
      </w:r>
      <w:r>
        <w:rPr>
          <w:rFonts w:ascii="Times New Roman"/>
        </w:rPr>
        <w:t>亿</w:t>
      </w:r>
      <w:r>
        <w:rPr>
          <w:rFonts w:ascii="Times New Roman"/>
        </w:rPr>
        <w:t>m</w:t>
      </w:r>
      <w:r>
        <w:rPr>
          <w:rFonts w:ascii="Times New Roman"/>
          <w:vertAlign w:val="superscript"/>
        </w:rPr>
        <w:t>3</w:t>
      </w:r>
      <w:r>
        <w:rPr>
          <w:rFonts w:ascii="Times New Roman"/>
        </w:rPr>
        <w:t>，其中</w:t>
      </w:r>
      <w:r>
        <w:rPr>
          <w:rFonts w:ascii="Times New Roman" w:hint="eastAsia"/>
        </w:rPr>
        <w:t>泾</w:t>
      </w:r>
      <w:r>
        <w:rPr>
          <w:rFonts w:ascii="Times New Roman"/>
        </w:rPr>
        <w:t>河</w:t>
      </w:r>
      <w:r>
        <w:rPr>
          <w:rFonts w:ascii="Times New Roman"/>
        </w:rPr>
        <w:t>3.26</w:t>
      </w:r>
      <w:r>
        <w:rPr>
          <w:rFonts w:ascii="Times New Roman"/>
        </w:rPr>
        <w:t>亿</w:t>
      </w:r>
      <w:r>
        <w:rPr>
          <w:rFonts w:ascii="Times New Roman"/>
        </w:rPr>
        <w:t>m</w:t>
      </w:r>
      <w:r>
        <w:rPr>
          <w:rFonts w:ascii="Times New Roman"/>
          <w:vertAlign w:val="superscript"/>
        </w:rPr>
        <w:t>3</w:t>
      </w:r>
      <w:r>
        <w:rPr>
          <w:rFonts w:ascii="Times New Roman"/>
        </w:rPr>
        <w:t>、葫芦河</w:t>
      </w:r>
      <w:r>
        <w:rPr>
          <w:rFonts w:ascii="Times New Roman"/>
        </w:rPr>
        <w:t>1.53</w:t>
      </w:r>
      <w:r>
        <w:rPr>
          <w:rFonts w:ascii="Times New Roman"/>
        </w:rPr>
        <w:t>亿</w:t>
      </w:r>
      <w:r>
        <w:rPr>
          <w:rFonts w:ascii="Times New Roman"/>
        </w:rPr>
        <w:t>m</w:t>
      </w:r>
      <w:r>
        <w:rPr>
          <w:rFonts w:ascii="Times New Roman"/>
          <w:vertAlign w:val="superscript"/>
        </w:rPr>
        <w:t>3</w:t>
      </w:r>
      <w:r>
        <w:rPr>
          <w:rFonts w:ascii="Times New Roman"/>
        </w:rPr>
        <w:t>、清水河</w:t>
      </w:r>
      <w:r>
        <w:rPr>
          <w:rFonts w:ascii="Times New Roman"/>
        </w:rPr>
        <w:t>1.89</w:t>
      </w:r>
      <w:r>
        <w:rPr>
          <w:rFonts w:ascii="Times New Roman"/>
        </w:rPr>
        <w:t>亿</w:t>
      </w:r>
      <w:r>
        <w:rPr>
          <w:rFonts w:ascii="Times New Roman"/>
        </w:rPr>
        <w:t>m</w:t>
      </w:r>
      <w:r>
        <w:rPr>
          <w:rFonts w:ascii="Times New Roman"/>
          <w:vertAlign w:val="superscript"/>
        </w:rPr>
        <w:t>3</w:t>
      </w:r>
      <w:r>
        <w:rPr>
          <w:rFonts w:ascii="Times New Roman"/>
        </w:rPr>
        <w:t>，三条河流河川径流量占全区当地地表水资源量的</w:t>
      </w:r>
      <w:r>
        <w:rPr>
          <w:rFonts w:ascii="Times New Roman"/>
        </w:rPr>
        <w:t>70%</w:t>
      </w:r>
      <w:r>
        <w:rPr>
          <w:rFonts w:ascii="Times New Roman"/>
        </w:rPr>
        <w:t>，扣除难以利用的汛期洪水、苦咸水和预留生态基流水量</w:t>
      </w:r>
      <w:r>
        <w:rPr>
          <w:rFonts w:ascii="Times New Roman"/>
        </w:rPr>
        <w:t>6.49</w:t>
      </w:r>
      <w:r>
        <w:rPr>
          <w:rFonts w:ascii="Times New Roman"/>
        </w:rPr>
        <w:t>亿</w:t>
      </w:r>
      <w:r>
        <w:rPr>
          <w:rFonts w:ascii="Times New Roman"/>
        </w:rPr>
        <w:t>m</w:t>
      </w:r>
      <w:r>
        <w:rPr>
          <w:rFonts w:ascii="Times New Roman"/>
          <w:vertAlign w:val="superscript"/>
        </w:rPr>
        <w:t>3</w:t>
      </w:r>
      <w:r>
        <w:rPr>
          <w:rFonts w:ascii="Times New Roman"/>
        </w:rPr>
        <w:t>，全区当地地表水可利用量</w:t>
      </w:r>
      <w:r>
        <w:rPr>
          <w:rFonts w:ascii="Times New Roman"/>
        </w:rPr>
        <w:t>3.0</w:t>
      </w:r>
      <w:r>
        <w:rPr>
          <w:rFonts w:ascii="Times New Roman"/>
        </w:rPr>
        <w:t>亿</w:t>
      </w:r>
      <w:r>
        <w:rPr>
          <w:rFonts w:ascii="Times New Roman"/>
        </w:rPr>
        <w:t>m</w:t>
      </w:r>
      <w:r>
        <w:rPr>
          <w:rFonts w:ascii="Times New Roman"/>
          <w:vertAlign w:val="superscript"/>
        </w:rPr>
        <w:t>3</w:t>
      </w:r>
      <w:r>
        <w:rPr>
          <w:rFonts w:ascii="Times New Roman"/>
        </w:rPr>
        <w:t>。</w:t>
      </w:r>
      <w:r>
        <w:rPr>
          <w:rFonts w:ascii="Times New Roman" w:hAnsi="Times New Roman" w:hint="eastAsia"/>
          <w:szCs w:val="24"/>
        </w:rPr>
        <w:t>银川市地表水资源量</w:t>
      </w:r>
      <w:r>
        <w:rPr>
          <w:rFonts w:ascii="Times New Roman" w:hAnsi="Times New Roman" w:hint="eastAsia"/>
          <w:szCs w:val="24"/>
        </w:rPr>
        <w:t>0.87</w:t>
      </w:r>
      <w:r>
        <w:rPr>
          <w:rFonts w:ascii="Times New Roman" w:hAnsi="Times New Roman" w:hint="eastAsia"/>
          <w:szCs w:val="24"/>
        </w:rPr>
        <w:t>亿</w:t>
      </w:r>
      <w:r>
        <w:rPr>
          <w:rFonts w:ascii="Times New Roman" w:hAnsi="Times New Roman"/>
        </w:rPr>
        <w:t>m</w:t>
      </w:r>
      <w:r>
        <w:rPr>
          <w:rFonts w:ascii="Times New Roman" w:hAnsi="Times New Roman"/>
          <w:vertAlign w:val="superscript"/>
        </w:rPr>
        <w:t>3</w:t>
      </w:r>
      <w:r>
        <w:rPr>
          <w:rFonts w:ascii="Times New Roman" w:hAnsi="Times New Roman" w:hint="eastAsia"/>
        </w:rPr>
        <w:t>。</w:t>
      </w:r>
    </w:p>
    <w:p w14:paraId="55E7617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w:t>
      </w:r>
      <w:r>
        <w:rPr>
          <w:rFonts w:ascii="Times New Roman"/>
        </w:rPr>
        <w:t>宁东能源化工基地核心区中小型建设项目水资源论证报告书</w:t>
      </w:r>
      <w:r>
        <w:rPr>
          <w:rFonts w:ascii="Times New Roman" w:hint="eastAsia"/>
        </w:rPr>
        <w:t>》（</w:t>
      </w:r>
      <w:r>
        <w:rPr>
          <w:rFonts w:ascii="Times New Roman"/>
        </w:rPr>
        <w:t>报批稿</w:t>
      </w:r>
      <w:r>
        <w:rPr>
          <w:rFonts w:ascii="Times New Roman" w:hint="eastAsia"/>
        </w:rPr>
        <w:t>）</w:t>
      </w:r>
      <w:r>
        <w:rPr>
          <w:rFonts w:ascii="Times New Roman"/>
        </w:rPr>
        <w:t>，宁东基地多年平均年径流深不足</w:t>
      </w:r>
      <w:r>
        <w:rPr>
          <w:rFonts w:ascii="Times New Roman"/>
        </w:rPr>
        <w:t>3mm</w:t>
      </w:r>
      <w:r>
        <w:rPr>
          <w:rFonts w:ascii="Times New Roman"/>
        </w:rPr>
        <w:t>。河流仅有水洞沟、大河子沟及苦水河部分流域。其中水洞沟、大河子沟均为常流水沟道。径流空间分布大致与年降水量相应，具有总量少，年内分配不均，年际变化大的特点。</w:t>
      </w:r>
      <w:r>
        <w:rPr>
          <w:rFonts w:ascii="Times New Roman"/>
        </w:rPr>
        <w:t>70%~80%</w:t>
      </w:r>
      <w:r>
        <w:rPr>
          <w:rFonts w:ascii="Times New Roman"/>
        </w:rPr>
        <w:t>的径流集中在汛期，年径流变差系数</w:t>
      </w:r>
      <w:r>
        <w:rPr>
          <w:rFonts w:ascii="Times New Roman"/>
        </w:rPr>
        <w:t>Cv</w:t>
      </w:r>
      <w:r>
        <w:rPr>
          <w:rFonts w:ascii="Times New Roman"/>
        </w:rPr>
        <w:t>为</w:t>
      </w:r>
      <w:r>
        <w:rPr>
          <w:rFonts w:ascii="Times New Roman"/>
        </w:rPr>
        <w:t>0.7</w:t>
      </w:r>
      <w:r>
        <w:rPr>
          <w:rFonts w:ascii="Times New Roman"/>
        </w:rPr>
        <w:t>左右。当地地表水资源量</w:t>
      </w:r>
      <w:r>
        <w:rPr>
          <w:rFonts w:ascii="Times New Roman"/>
        </w:rPr>
        <w:t>0.075</w:t>
      </w:r>
      <w:r>
        <w:rPr>
          <w:rFonts w:ascii="Times New Roman"/>
        </w:rPr>
        <w:t>亿</w:t>
      </w:r>
      <w:r>
        <w:rPr>
          <w:rFonts w:ascii="Times New Roman"/>
        </w:rPr>
        <w:t>m</w:t>
      </w:r>
      <w:r>
        <w:rPr>
          <w:rFonts w:ascii="Times New Roman"/>
          <w:vertAlign w:val="superscript"/>
        </w:rPr>
        <w:t>3</w:t>
      </w:r>
      <w:r>
        <w:rPr>
          <w:rFonts w:ascii="Times New Roman"/>
        </w:rPr>
        <w:t>，平均产水模数</w:t>
      </w:r>
      <w:r>
        <w:rPr>
          <w:rFonts w:ascii="Times New Roman"/>
        </w:rPr>
        <w:t>0.2</w:t>
      </w:r>
      <w:r>
        <w:rPr>
          <w:rFonts w:ascii="Times New Roman"/>
        </w:rPr>
        <w:t>万</w:t>
      </w:r>
      <w:r>
        <w:rPr>
          <w:rFonts w:ascii="Times New Roman"/>
        </w:rPr>
        <w:t>m</w:t>
      </w:r>
      <w:r>
        <w:rPr>
          <w:rFonts w:ascii="Times New Roman"/>
          <w:vertAlign w:val="superscript"/>
        </w:rPr>
        <w:t>3</w:t>
      </w:r>
      <w:r>
        <w:rPr>
          <w:rFonts w:ascii="Times New Roman"/>
        </w:rPr>
        <w:t>/km</w:t>
      </w:r>
      <w:r>
        <w:rPr>
          <w:rFonts w:ascii="Times New Roman"/>
          <w:vertAlign w:val="superscript"/>
        </w:rPr>
        <w:t>2</w:t>
      </w:r>
      <w:r>
        <w:rPr>
          <w:rFonts w:ascii="Times New Roman"/>
        </w:rPr>
        <w:t>，地表水资源多以汛期洪水形式流走，难以拦蓄利用</w:t>
      </w:r>
      <w:r>
        <w:rPr>
          <w:rFonts w:ascii="Times New Roman" w:hint="eastAsia"/>
        </w:rPr>
        <w:t>。</w:t>
      </w:r>
    </w:p>
    <w:p w14:paraId="28927263"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2</w:t>
      </w:r>
      <w:r>
        <w:rPr>
          <w:rFonts w:ascii="Times New Roman" w:hint="eastAsia"/>
        </w:rPr>
        <w:t>）</w:t>
      </w:r>
      <w:r>
        <w:rPr>
          <w:rFonts w:ascii="Times New Roman"/>
        </w:rPr>
        <w:t>地下水资源量</w:t>
      </w:r>
    </w:p>
    <w:p w14:paraId="153B123D" w14:textId="77777777" w:rsidR="009C353B" w:rsidRDefault="00000000">
      <w:pPr>
        <w:adjustRightInd w:val="0"/>
        <w:snapToGrid w:val="0"/>
        <w:spacing w:line="440" w:lineRule="exact"/>
        <w:ind w:firstLineChars="200" w:firstLine="480"/>
        <w:rPr>
          <w:rFonts w:ascii="Times New Roman" w:hint="eastAsia"/>
        </w:rPr>
      </w:pPr>
      <w:r>
        <w:rPr>
          <w:rFonts w:ascii="Times New Roman"/>
        </w:rPr>
        <w:t>根据《宁夏回族自治区水资源配置保障规划</w:t>
      </w:r>
      <w:r>
        <w:rPr>
          <w:rFonts w:ascii="Times New Roman"/>
        </w:rPr>
        <w:t>(2016-2020</w:t>
      </w:r>
      <w:r>
        <w:rPr>
          <w:rFonts w:ascii="Times New Roman"/>
        </w:rPr>
        <w:t>年</w:t>
      </w:r>
      <w:r>
        <w:rPr>
          <w:rFonts w:ascii="Times New Roman"/>
        </w:rPr>
        <w:t>)</w:t>
      </w:r>
      <w:r>
        <w:rPr>
          <w:rFonts w:ascii="Times New Roman"/>
        </w:rPr>
        <w:t>》，当地地下水资源包括浅层和深层地下水资源。浅层地下水一般埋深在</w:t>
      </w:r>
      <w:r>
        <w:rPr>
          <w:rFonts w:ascii="Times New Roman"/>
        </w:rPr>
        <w:t>80m</w:t>
      </w:r>
      <w:r>
        <w:rPr>
          <w:rFonts w:ascii="Times New Roman"/>
        </w:rPr>
        <w:t>以内，降水和灌溉可以直接补给。全区多年平均浅层地下水资源量</w:t>
      </w:r>
      <w:r>
        <w:rPr>
          <w:rFonts w:ascii="Times New Roman"/>
        </w:rPr>
        <w:t>23.52</w:t>
      </w:r>
      <w:r>
        <w:rPr>
          <w:rFonts w:ascii="Times New Roman"/>
        </w:rPr>
        <w:t>亿</w:t>
      </w:r>
      <w:r>
        <w:rPr>
          <w:rFonts w:ascii="Times New Roman"/>
        </w:rPr>
        <w:t>m</w:t>
      </w:r>
      <w:r>
        <w:rPr>
          <w:rFonts w:ascii="Times New Roman"/>
          <w:vertAlign w:val="superscript"/>
        </w:rPr>
        <w:t>3</w:t>
      </w:r>
      <w:r>
        <w:rPr>
          <w:rFonts w:ascii="Times New Roman"/>
        </w:rPr>
        <w:t>，可开采量</w:t>
      </w:r>
      <w:r>
        <w:rPr>
          <w:rFonts w:ascii="Times New Roman"/>
        </w:rPr>
        <w:t xml:space="preserve">11.23 </w:t>
      </w:r>
      <w:r>
        <w:rPr>
          <w:rFonts w:ascii="Times New Roman"/>
        </w:rPr>
        <w:t>亿</w:t>
      </w:r>
      <w:r>
        <w:rPr>
          <w:rFonts w:ascii="Times New Roman"/>
        </w:rPr>
        <w:t>m</w:t>
      </w:r>
      <w:r>
        <w:rPr>
          <w:rFonts w:ascii="Times New Roman"/>
          <w:vertAlign w:val="superscript"/>
        </w:rPr>
        <w:t>3</w:t>
      </w:r>
      <w:r>
        <w:rPr>
          <w:rFonts w:ascii="Times New Roman"/>
        </w:rPr>
        <w:t>，其中当地地下水资源量</w:t>
      </w:r>
      <w:r>
        <w:rPr>
          <w:rFonts w:ascii="Times New Roman"/>
        </w:rPr>
        <w:t>2.14</w:t>
      </w:r>
      <w:r>
        <w:rPr>
          <w:rFonts w:ascii="Times New Roman"/>
        </w:rPr>
        <w:t>亿</w:t>
      </w:r>
      <w:r>
        <w:rPr>
          <w:rFonts w:ascii="Times New Roman"/>
        </w:rPr>
        <w:t>m</w:t>
      </w:r>
      <w:r>
        <w:rPr>
          <w:rFonts w:ascii="Times New Roman"/>
          <w:vertAlign w:val="superscript"/>
        </w:rPr>
        <w:t>3</w:t>
      </w:r>
      <w:r>
        <w:rPr>
          <w:rFonts w:ascii="Times New Roman"/>
        </w:rPr>
        <w:t>，主要分布在引黄灌区、贺兰山东麓地区，可开采量</w:t>
      </w:r>
      <w:r>
        <w:rPr>
          <w:rFonts w:ascii="Times New Roman"/>
        </w:rPr>
        <w:t>1.5</w:t>
      </w:r>
      <w:r>
        <w:rPr>
          <w:rFonts w:ascii="Times New Roman"/>
        </w:rPr>
        <w:t>亿</w:t>
      </w:r>
      <w:r>
        <w:rPr>
          <w:rFonts w:ascii="Times New Roman"/>
        </w:rPr>
        <w:t>m</w:t>
      </w:r>
      <w:r>
        <w:rPr>
          <w:rFonts w:ascii="Times New Roman"/>
          <w:vertAlign w:val="superscript"/>
        </w:rPr>
        <w:t>3</w:t>
      </w:r>
      <w:r>
        <w:rPr>
          <w:rFonts w:ascii="Times New Roman"/>
        </w:rPr>
        <w:t>；引黄河水灌溉和当地地表水补给浅层地下水资源量</w:t>
      </w:r>
      <w:r>
        <w:rPr>
          <w:rFonts w:ascii="Times New Roman"/>
        </w:rPr>
        <w:t xml:space="preserve">21.38 </w:t>
      </w:r>
      <w:r>
        <w:rPr>
          <w:rFonts w:ascii="Times New Roman"/>
        </w:rPr>
        <w:t>亿</w:t>
      </w:r>
      <w:r>
        <w:rPr>
          <w:rFonts w:ascii="Times New Roman"/>
        </w:rPr>
        <w:t>m</w:t>
      </w:r>
      <w:r>
        <w:rPr>
          <w:rFonts w:ascii="Times New Roman"/>
          <w:vertAlign w:val="superscript"/>
        </w:rPr>
        <w:t>3</w:t>
      </w:r>
      <w:r>
        <w:rPr>
          <w:rFonts w:ascii="Times New Roman"/>
        </w:rPr>
        <w:t>，可开采量</w:t>
      </w:r>
      <w:r>
        <w:rPr>
          <w:rFonts w:ascii="Times New Roman"/>
        </w:rPr>
        <w:t>9.7</w:t>
      </w:r>
      <w:r>
        <w:rPr>
          <w:rFonts w:ascii="Times New Roman"/>
        </w:rPr>
        <w:t>亿</w:t>
      </w:r>
      <w:r>
        <w:rPr>
          <w:rFonts w:ascii="Times New Roman"/>
        </w:rPr>
        <w:t>m</w:t>
      </w:r>
      <w:r>
        <w:rPr>
          <w:rFonts w:ascii="Times New Roman"/>
          <w:vertAlign w:val="superscript"/>
        </w:rPr>
        <w:t>3</w:t>
      </w:r>
      <w:r>
        <w:rPr>
          <w:rFonts w:ascii="Times New Roman"/>
        </w:rPr>
        <w:t>。这部分水量为黄河地表水和当地地表水的重复量。</w:t>
      </w:r>
      <w:r>
        <w:rPr>
          <w:rFonts w:ascii="Times New Roman" w:hAnsi="Times New Roman" w:hint="eastAsia"/>
          <w:szCs w:val="24"/>
        </w:rPr>
        <w:t>银川市</w:t>
      </w:r>
      <w:r>
        <w:rPr>
          <w:rFonts w:ascii="Times New Roman" w:hAnsi="Times New Roman" w:hint="eastAsia"/>
        </w:rPr>
        <w:t>地下水资源量</w:t>
      </w:r>
      <w:r>
        <w:rPr>
          <w:rFonts w:ascii="Times New Roman" w:hAnsi="Times New Roman" w:hint="eastAsia"/>
        </w:rPr>
        <w:t>7.92</w:t>
      </w:r>
      <w:r>
        <w:rPr>
          <w:rFonts w:ascii="Times New Roman" w:hAnsi="Times New Roman" w:hint="eastAsia"/>
          <w:szCs w:val="24"/>
        </w:rPr>
        <w:t>亿</w:t>
      </w:r>
      <w:r>
        <w:rPr>
          <w:rFonts w:ascii="Times New Roman" w:hAnsi="Times New Roman"/>
        </w:rPr>
        <w:t>m</w:t>
      </w:r>
      <w:r>
        <w:rPr>
          <w:rFonts w:ascii="Times New Roman" w:hAnsi="Times New Roman"/>
          <w:vertAlign w:val="superscript"/>
        </w:rPr>
        <w:t>3</w:t>
      </w:r>
      <w:r>
        <w:rPr>
          <w:rFonts w:ascii="Times New Roman" w:hAnsi="Times New Roman" w:hint="eastAsia"/>
        </w:rPr>
        <w:t>。</w:t>
      </w:r>
    </w:p>
    <w:p w14:paraId="16377293"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深层承压地下水埋深大多在</w:t>
      </w:r>
      <w:r>
        <w:rPr>
          <w:rFonts w:ascii="Times New Roman"/>
        </w:rPr>
        <w:t>80m</w:t>
      </w:r>
      <w:r>
        <w:rPr>
          <w:rFonts w:ascii="Times New Roman"/>
        </w:rPr>
        <w:t>以下，含水层顶层有隔水层，降水和灌溉地表水难以直接补给。全区</w:t>
      </w:r>
      <w:r>
        <w:rPr>
          <w:rFonts w:ascii="Times New Roman"/>
        </w:rPr>
        <w:t>80m~300m</w:t>
      </w:r>
      <w:r>
        <w:rPr>
          <w:rFonts w:ascii="Times New Roman"/>
        </w:rPr>
        <w:t>深层承压地下水储量为</w:t>
      </w:r>
      <w:r>
        <w:rPr>
          <w:rFonts w:ascii="Times New Roman"/>
        </w:rPr>
        <w:t>120</w:t>
      </w:r>
      <w:r>
        <w:rPr>
          <w:rFonts w:ascii="Times New Roman"/>
        </w:rPr>
        <w:t>亿</w:t>
      </w:r>
      <w:r>
        <w:rPr>
          <w:rFonts w:ascii="Times New Roman"/>
        </w:rPr>
        <w:t>m</w:t>
      </w:r>
      <w:r>
        <w:rPr>
          <w:rFonts w:ascii="Times New Roman"/>
          <w:vertAlign w:val="superscript"/>
        </w:rPr>
        <w:t>3</w:t>
      </w:r>
      <w:r>
        <w:rPr>
          <w:rFonts w:ascii="Times New Roman"/>
        </w:rPr>
        <w:t>，天然年补给资源量</w:t>
      </w:r>
      <w:r>
        <w:rPr>
          <w:rFonts w:ascii="Times New Roman"/>
        </w:rPr>
        <w:t>70</w:t>
      </w:r>
      <w:r>
        <w:rPr>
          <w:rFonts w:ascii="Times New Roman"/>
        </w:rPr>
        <w:t>亿</w:t>
      </w:r>
      <w:r>
        <w:rPr>
          <w:rFonts w:ascii="Times New Roman"/>
        </w:rPr>
        <w:t>m</w:t>
      </w:r>
      <w:r>
        <w:rPr>
          <w:rFonts w:ascii="Times New Roman"/>
          <w:vertAlign w:val="superscript"/>
        </w:rPr>
        <w:t>3</w:t>
      </w:r>
      <w:r>
        <w:rPr>
          <w:rFonts w:ascii="Times New Roman"/>
        </w:rPr>
        <w:t>，由于深层地下水补给量</w:t>
      </w:r>
      <w:r>
        <w:rPr>
          <w:rFonts w:ascii="Times New Roman" w:hint="eastAsia"/>
        </w:rPr>
        <w:t>少、水质好，主要作为城市生活用水水源。根据《</w:t>
      </w:r>
      <w:r>
        <w:rPr>
          <w:rFonts w:ascii="Times New Roman"/>
        </w:rPr>
        <w:t>宁东能源化工基地核心区中小型建设项目水资源论证报告书</w:t>
      </w:r>
      <w:r>
        <w:rPr>
          <w:rFonts w:ascii="Times New Roman" w:hint="eastAsia"/>
        </w:rPr>
        <w:t>》（</w:t>
      </w:r>
      <w:r>
        <w:rPr>
          <w:rFonts w:ascii="Times New Roman"/>
        </w:rPr>
        <w:t>报批稿</w:t>
      </w:r>
      <w:r>
        <w:rPr>
          <w:rFonts w:ascii="Times New Roman" w:hint="eastAsia"/>
        </w:rPr>
        <w:t>）</w:t>
      </w:r>
      <w:r>
        <w:rPr>
          <w:rFonts w:ascii="Times New Roman"/>
        </w:rPr>
        <w:t>，宁东基地地下水补给主要为大气降水补给，资源量为</w:t>
      </w:r>
      <w:r>
        <w:rPr>
          <w:rFonts w:ascii="Times New Roman"/>
        </w:rPr>
        <w:t>0062</w:t>
      </w:r>
      <w:r>
        <w:rPr>
          <w:rFonts w:ascii="Times New Roman"/>
        </w:rPr>
        <w:t>亿</w:t>
      </w:r>
      <w:r>
        <w:rPr>
          <w:rFonts w:ascii="Times New Roman"/>
        </w:rPr>
        <w:t>m</w:t>
      </w:r>
      <w:r>
        <w:rPr>
          <w:rFonts w:ascii="Times New Roman"/>
          <w:vertAlign w:val="superscript"/>
        </w:rPr>
        <w:t>3</w:t>
      </w:r>
      <w:r>
        <w:rPr>
          <w:rFonts w:ascii="Times New Roman"/>
        </w:rPr>
        <w:t>，与地表水资源量间重复计算量</w:t>
      </w:r>
      <w:r>
        <w:rPr>
          <w:rFonts w:ascii="Times New Roman"/>
        </w:rPr>
        <w:t>0.062</w:t>
      </w:r>
      <w:r>
        <w:rPr>
          <w:rFonts w:ascii="Times New Roman"/>
        </w:rPr>
        <w:t>亿</w:t>
      </w:r>
      <w:r>
        <w:rPr>
          <w:rFonts w:ascii="Times New Roman"/>
        </w:rPr>
        <w:t>m</w:t>
      </w:r>
      <w:r>
        <w:rPr>
          <w:rFonts w:ascii="Times New Roman"/>
          <w:vertAlign w:val="superscript"/>
        </w:rPr>
        <w:t>3</w:t>
      </w:r>
      <w:r>
        <w:rPr>
          <w:rFonts w:ascii="Times New Roman"/>
        </w:rPr>
        <w:t>，地下水矿化度变化较大，在</w:t>
      </w:r>
      <w:r>
        <w:rPr>
          <w:rFonts w:ascii="Times New Roman"/>
        </w:rPr>
        <w:t xml:space="preserve">0.3g1L~12.5gL </w:t>
      </w:r>
      <w:r>
        <w:rPr>
          <w:rFonts w:ascii="Times New Roman"/>
        </w:rPr>
        <w:t>之间。大泉水源地</w:t>
      </w:r>
      <w:r>
        <w:rPr>
          <w:rFonts w:ascii="Times New Roman" w:hint="eastAsia"/>
        </w:rPr>
        <w:t>（</w:t>
      </w:r>
      <w:r>
        <w:rPr>
          <w:rFonts w:ascii="Times New Roman"/>
        </w:rPr>
        <w:t>原名金银滩水源地</w:t>
      </w:r>
      <w:r>
        <w:rPr>
          <w:rFonts w:ascii="Times New Roman" w:hint="eastAsia"/>
        </w:rPr>
        <w:t>）</w:t>
      </w:r>
      <w:r>
        <w:rPr>
          <w:rFonts w:ascii="Times New Roman"/>
        </w:rPr>
        <w:t>位于灵武市大泉乡上滩村，东距灵武矿区约</w:t>
      </w:r>
      <w:r>
        <w:rPr>
          <w:rFonts w:ascii="Times New Roman"/>
        </w:rPr>
        <w:t>25m</w:t>
      </w:r>
      <w:r>
        <w:rPr>
          <w:rFonts w:ascii="Times New Roman"/>
        </w:rPr>
        <w:t>，水源地东西宽约</w:t>
      </w:r>
      <w:r>
        <w:rPr>
          <w:rFonts w:ascii="Times New Roman" w:hint="eastAsia"/>
        </w:rPr>
        <w:t>8</w:t>
      </w:r>
      <w:r>
        <w:rPr>
          <w:rFonts w:ascii="Times New Roman"/>
        </w:rPr>
        <w:t>km</w:t>
      </w:r>
      <w:r>
        <w:rPr>
          <w:rFonts w:ascii="Times New Roman"/>
        </w:rPr>
        <w:t>，南北长约</w:t>
      </w:r>
      <w:r>
        <w:rPr>
          <w:rFonts w:ascii="Times New Roman"/>
        </w:rPr>
        <w:t>11km</w:t>
      </w:r>
      <w:r>
        <w:rPr>
          <w:rFonts w:ascii="Times New Roman"/>
        </w:rPr>
        <w:t>，面积约</w:t>
      </w:r>
      <w:r>
        <w:rPr>
          <w:rFonts w:ascii="Times New Roman"/>
        </w:rPr>
        <w:t>88km</w:t>
      </w:r>
      <w:r>
        <w:rPr>
          <w:rFonts w:ascii="Times New Roman"/>
          <w:vertAlign w:val="superscript"/>
        </w:rPr>
        <w:t>2</w:t>
      </w:r>
      <w:r>
        <w:rPr>
          <w:rFonts w:ascii="Times New Roman"/>
        </w:rPr>
        <w:t>。该水源地主要为宁东镇中心区及灵武矿区供给生活及生产用水，共设水源井</w:t>
      </w:r>
      <w:r>
        <w:rPr>
          <w:rFonts w:ascii="Times New Roman"/>
        </w:rPr>
        <w:t>13</w:t>
      </w:r>
      <w:r>
        <w:rPr>
          <w:rFonts w:ascii="Times New Roman"/>
        </w:rPr>
        <w:t>眼，地下水</w:t>
      </w:r>
      <w:r>
        <w:rPr>
          <w:rFonts w:ascii="Times New Roman" w:hint="eastAsia"/>
        </w:rPr>
        <w:t>可采资源量为</w:t>
      </w:r>
      <w:r>
        <w:rPr>
          <w:rFonts w:ascii="Times New Roman"/>
        </w:rPr>
        <w:t>3</w:t>
      </w:r>
      <w:r>
        <w:rPr>
          <w:rFonts w:ascii="Times New Roman"/>
        </w:rPr>
        <w:t>万</w:t>
      </w:r>
      <w:r>
        <w:rPr>
          <w:rFonts w:ascii="Times New Roman"/>
        </w:rPr>
        <w:t>m</w:t>
      </w:r>
      <w:r>
        <w:rPr>
          <w:rFonts w:ascii="Times New Roman"/>
          <w:vertAlign w:val="superscript"/>
        </w:rPr>
        <w:t>3</w:t>
      </w:r>
      <w:r>
        <w:rPr>
          <w:rFonts w:ascii="Times New Roman"/>
        </w:rPr>
        <w:t>/d</w:t>
      </w:r>
      <w:r>
        <w:rPr>
          <w:rFonts w:ascii="Times New Roman" w:hint="eastAsia"/>
        </w:rPr>
        <w:t>，</w:t>
      </w:r>
      <w:r>
        <w:rPr>
          <w:rFonts w:ascii="Times New Roman"/>
        </w:rPr>
        <w:t>2013-2015</w:t>
      </w:r>
      <w:r>
        <w:rPr>
          <w:rFonts w:ascii="Times New Roman"/>
        </w:rPr>
        <w:t>年供水量分别为</w:t>
      </w:r>
      <w:r>
        <w:rPr>
          <w:rFonts w:ascii="Times New Roman"/>
        </w:rPr>
        <w:t>503.6</w:t>
      </w:r>
      <w:r>
        <w:rPr>
          <w:rFonts w:ascii="Times New Roman"/>
        </w:rPr>
        <w:t>万</w:t>
      </w:r>
      <w:r>
        <w:rPr>
          <w:rFonts w:ascii="Times New Roman"/>
        </w:rPr>
        <w:t>m</w:t>
      </w:r>
      <w:r>
        <w:rPr>
          <w:rFonts w:ascii="Times New Roman"/>
          <w:vertAlign w:val="superscript"/>
        </w:rPr>
        <w:t>3</w:t>
      </w:r>
      <w:r>
        <w:rPr>
          <w:rFonts w:ascii="Times New Roman"/>
        </w:rPr>
        <w:t>、</w:t>
      </w:r>
      <w:r>
        <w:rPr>
          <w:rFonts w:ascii="Times New Roman"/>
        </w:rPr>
        <w:t>528.5</w:t>
      </w:r>
      <w:r>
        <w:rPr>
          <w:rFonts w:ascii="Times New Roman"/>
        </w:rPr>
        <w:t>万</w:t>
      </w:r>
      <w:r>
        <w:rPr>
          <w:rFonts w:ascii="Times New Roman"/>
        </w:rPr>
        <w:t>m</w:t>
      </w:r>
      <w:r>
        <w:rPr>
          <w:rFonts w:ascii="Times New Roman"/>
          <w:vertAlign w:val="superscript"/>
        </w:rPr>
        <w:t>3</w:t>
      </w:r>
      <w:r>
        <w:rPr>
          <w:rFonts w:ascii="Times New Roman"/>
        </w:rPr>
        <w:t>和</w:t>
      </w:r>
      <w:r>
        <w:rPr>
          <w:rFonts w:ascii="Times New Roman"/>
        </w:rPr>
        <w:t>484.2</w:t>
      </w:r>
      <w:r>
        <w:rPr>
          <w:rFonts w:ascii="Times New Roman"/>
        </w:rPr>
        <w:t>万</w:t>
      </w:r>
      <w:r>
        <w:rPr>
          <w:rFonts w:ascii="Times New Roman"/>
        </w:rPr>
        <w:t>m</w:t>
      </w:r>
      <w:r>
        <w:rPr>
          <w:rFonts w:ascii="Times New Roman"/>
          <w:vertAlign w:val="superscript"/>
        </w:rPr>
        <w:t>3</w:t>
      </w:r>
      <w:r>
        <w:rPr>
          <w:rFonts w:ascii="Times New Roman"/>
        </w:rPr>
        <w:t>。水源地地下水主要受灌溉及降水入渗补给，水质良好。</w:t>
      </w:r>
    </w:p>
    <w:p w14:paraId="68331EA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3</w:t>
      </w:r>
      <w:r>
        <w:rPr>
          <w:rFonts w:ascii="Times New Roman" w:hint="eastAsia"/>
        </w:rPr>
        <w:t>）地区用水红线指标</w:t>
      </w:r>
    </w:p>
    <w:p w14:paraId="0C2C082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根据“自治区人民政府办公厅关于印发实行最严格水资源管理制度考核办法的通知”（宁政办发〔</w:t>
      </w:r>
      <w:r>
        <w:rPr>
          <w:rFonts w:ascii="Times New Roman"/>
        </w:rPr>
        <w:t>2013</w:t>
      </w:r>
      <w:r>
        <w:rPr>
          <w:rFonts w:ascii="Times New Roman"/>
        </w:rPr>
        <w:t>〕</w:t>
      </w:r>
      <w:r>
        <w:rPr>
          <w:rFonts w:ascii="Times New Roman" w:hint="eastAsia"/>
        </w:rPr>
        <w:t>61</w:t>
      </w:r>
      <w:r>
        <w:rPr>
          <w:rFonts w:ascii="Times New Roman" w:hint="eastAsia"/>
        </w:rPr>
        <w:t>号）、“自治区人民政府办公厅关于印发‘十三五’实行水资源消耗总量和强度双控行动加快推进节水型社会建设实施方案的通知”（宁政办发〔</w:t>
      </w:r>
      <w:r>
        <w:rPr>
          <w:rFonts w:ascii="Times New Roman"/>
        </w:rPr>
        <w:t>2017</w:t>
      </w:r>
      <w:r>
        <w:rPr>
          <w:rFonts w:ascii="Times New Roman"/>
        </w:rPr>
        <w:t>〕</w:t>
      </w:r>
      <w:r>
        <w:rPr>
          <w:rFonts w:ascii="Times New Roman"/>
        </w:rPr>
        <w:t>47</w:t>
      </w:r>
      <w:r>
        <w:rPr>
          <w:rFonts w:ascii="Times New Roman" w:hint="eastAsia"/>
        </w:rPr>
        <w:t>号），</w:t>
      </w:r>
      <w:r>
        <w:rPr>
          <w:rFonts w:ascii="Times New Roman" w:hint="eastAsia"/>
        </w:rPr>
        <w:t>2015</w:t>
      </w:r>
      <w:r>
        <w:rPr>
          <w:rFonts w:ascii="Times New Roman" w:hint="eastAsia"/>
        </w:rPr>
        <w:t>年宁夏全区及横城矿区所在的宁东基地用水总量红线控制指标分别为</w:t>
      </w:r>
      <w:r>
        <w:rPr>
          <w:rFonts w:ascii="Times New Roman" w:hint="eastAsia"/>
        </w:rPr>
        <w:t>73.00</w:t>
      </w:r>
      <w:r>
        <w:rPr>
          <w:rFonts w:ascii="Times New Roman" w:hint="eastAsia"/>
        </w:rPr>
        <w:t>亿</w:t>
      </w:r>
      <w:r>
        <w:rPr>
          <w:rFonts w:ascii="Times New Roman" w:hint="eastAsia"/>
        </w:rPr>
        <w:t>m</w:t>
      </w:r>
      <w:r>
        <w:rPr>
          <w:rFonts w:ascii="Times New Roman" w:hint="eastAsia"/>
          <w:vertAlign w:val="superscript"/>
        </w:rPr>
        <w:t>3</w:t>
      </w:r>
      <w:r>
        <w:rPr>
          <w:rFonts w:ascii="Times New Roman" w:hint="eastAsia"/>
        </w:rPr>
        <w:t>和</w:t>
      </w:r>
      <w:r>
        <w:rPr>
          <w:rFonts w:ascii="Times New Roman" w:hint="eastAsia"/>
        </w:rPr>
        <w:t>1.84</w:t>
      </w:r>
      <w:r>
        <w:rPr>
          <w:rFonts w:ascii="Times New Roman" w:hint="eastAsia"/>
        </w:rPr>
        <w:t>亿</w:t>
      </w:r>
      <w:r>
        <w:rPr>
          <w:rFonts w:ascii="Times New Roman" w:hint="eastAsia"/>
        </w:rPr>
        <w:t>m</w:t>
      </w:r>
      <w:r>
        <w:rPr>
          <w:rFonts w:ascii="Times New Roman" w:hint="eastAsia"/>
          <w:vertAlign w:val="superscript"/>
        </w:rPr>
        <w:t>3</w:t>
      </w:r>
      <w:r>
        <w:rPr>
          <w:rFonts w:ascii="Times New Roman" w:hint="eastAsia"/>
        </w:rPr>
        <w:t>，</w:t>
      </w:r>
      <w:r>
        <w:rPr>
          <w:rFonts w:ascii="Times New Roman" w:hint="eastAsia"/>
        </w:rPr>
        <w:t>2020</w:t>
      </w:r>
      <w:r>
        <w:rPr>
          <w:rFonts w:ascii="Times New Roman" w:hint="eastAsia"/>
        </w:rPr>
        <w:t>年宁夏全区及宁东基地用水总量红线控制指标分别为</w:t>
      </w:r>
      <w:r>
        <w:rPr>
          <w:rFonts w:ascii="Times New Roman" w:hint="eastAsia"/>
        </w:rPr>
        <w:t>73.27</w:t>
      </w:r>
      <w:r>
        <w:rPr>
          <w:rFonts w:ascii="Times New Roman" w:hint="eastAsia"/>
        </w:rPr>
        <w:t>亿</w:t>
      </w:r>
      <w:r>
        <w:rPr>
          <w:rFonts w:ascii="Times New Roman" w:hint="eastAsia"/>
        </w:rPr>
        <w:t>m</w:t>
      </w:r>
      <w:r>
        <w:rPr>
          <w:rFonts w:ascii="Times New Roman" w:hint="eastAsia"/>
          <w:vertAlign w:val="superscript"/>
        </w:rPr>
        <w:t>3</w:t>
      </w:r>
      <w:r>
        <w:rPr>
          <w:rFonts w:ascii="Times New Roman" w:hint="eastAsia"/>
        </w:rPr>
        <w:t>和</w:t>
      </w:r>
      <w:r>
        <w:rPr>
          <w:rFonts w:ascii="Times New Roman" w:hint="eastAsia"/>
        </w:rPr>
        <w:t>2.00</w:t>
      </w:r>
      <w:r>
        <w:rPr>
          <w:rFonts w:ascii="Times New Roman" w:hint="eastAsia"/>
        </w:rPr>
        <w:t>亿</w:t>
      </w:r>
      <w:r>
        <w:rPr>
          <w:rFonts w:ascii="Times New Roman" w:hint="eastAsia"/>
        </w:rPr>
        <w:t>m</w:t>
      </w:r>
      <w:r>
        <w:rPr>
          <w:rFonts w:ascii="Times New Roman" w:hint="eastAsia"/>
          <w:vertAlign w:val="superscript"/>
        </w:rPr>
        <w:t>3</w:t>
      </w:r>
      <w:r>
        <w:rPr>
          <w:rFonts w:ascii="Times New Roman" w:hint="eastAsia"/>
        </w:rPr>
        <w:t>。</w:t>
      </w:r>
    </w:p>
    <w:p w14:paraId="1041499D"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根据《宁夏回族自治区水资源公报》统计，</w:t>
      </w:r>
      <w:r>
        <w:rPr>
          <w:rFonts w:ascii="Times New Roman" w:hint="eastAsia"/>
        </w:rPr>
        <w:t>2017</w:t>
      </w:r>
      <w:r>
        <w:rPr>
          <w:rFonts w:ascii="Times New Roman" w:hint="eastAsia"/>
        </w:rPr>
        <w:t>年宁夏全区用水量为</w:t>
      </w:r>
      <w:r>
        <w:rPr>
          <w:rFonts w:ascii="Times New Roman" w:hint="eastAsia"/>
        </w:rPr>
        <w:t>66.06</w:t>
      </w:r>
      <w:r>
        <w:rPr>
          <w:rFonts w:ascii="Times New Roman" w:hint="eastAsia"/>
        </w:rPr>
        <w:t>亿</w:t>
      </w:r>
      <w:r>
        <w:rPr>
          <w:rFonts w:ascii="Times New Roman" w:hint="eastAsia"/>
        </w:rPr>
        <w:t>m</w:t>
      </w:r>
      <w:r>
        <w:rPr>
          <w:rFonts w:ascii="Times New Roman" w:hint="eastAsia"/>
          <w:vertAlign w:val="superscript"/>
        </w:rPr>
        <w:t>3</w:t>
      </w:r>
      <w:r>
        <w:rPr>
          <w:rFonts w:ascii="Times New Roman" w:hint="eastAsia"/>
        </w:rPr>
        <w:t>，宁东基地用水量为</w:t>
      </w:r>
      <w:r>
        <w:rPr>
          <w:rFonts w:ascii="Times New Roman" w:hint="eastAsia"/>
        </w:rPr>
        <w:t>1.98</w:t>
      </w:r>
      <w:r>
        <w:rPr>
          <w:rFonts w:ascii="Times New Roman" w:hint="eastAsia"/>
        </w:rPr>
        <w:t>亿</w:t>
      </w:r>
      <w:r>
        <w:rPr>
          <w:rFonts w:ascii="Times New Roman" w:hint="eastAsia"/>
        </w:rPr>
        <w:t>m</w:t>
      </w:r>
      <w:r>
        <w:rPr>
          <w:rFonts w:ascii="Times New Roman" w:hint="eastAsia"/>
          <w:vertAlign w:val="superscript"/>
        </w:rPr>
        <w:t>3</w:t>
      </w:r>
      <w:r>
        <w:rPr>
          <w:rFonts w:ascii="Times New Roman" w:hint="eastAsia"/>
        </w:rPr>
        <w:t>。宁夏全区用水量在</w:t>
      </w:r>
      <w:r>
        <w:rPr>
          <w:rFonts w:ascii="Times New Roman" w:hint="eastAsia"/>
        </w:rPr>
        <w:t>2015</w:t>
      </w:r>
      <w:r>
        <w:rPr>
          <w:rFonts w:ascii="Times New Roman" w:hint="eastAsia"/>
        </w:rPr>
        <w:t>年和</w:t>
      </w:r>
      <w:r>
        <w:rPr>
          <w:rFonts w:ascii="Times New Roman" w:hint="eastAsia"/>
        </w:rPr>
        <w:t>2020</w:t>
      </w:r>
      <w:r>
        <w:rPr>
          <w:rFonts w:ascii="Times New Roman" w:hint="eastAsia"/>
        </w:rPr>
        <w:t>年用水总量红线控制指标以内，用水不超指标；宁东基地用水量已经超过</w:t>
      </w:r>
      <w:r>
        <w:rPr>
          <w:rFonts w:ascii="Times New Roman" w:hint="eastAsia"/>
        </w:rPr>
        <w:t>2015</w:t>
      </w:r>
      <w:r>
        <w:rPr>
          <w:rFonts w:ascii="Times New Roman" w:hint="eastAsia"/>
        </w:rPr>
        <w:t>年用水总量红线控制指标，接近</w:t>
      </w:r>
      <w:r>
        <w:rPr>
          <w:rFonts w:ascii="Times New Roman" w:hint="eastAsia"/>
        </w:rPr>
        <w:t>2020</w:t>
      </w:r>
      <w:r>
        <w:rPr>
          <w:rFonts w:ascii="Times New Roman" w:hint="eastAsia"/>
        </w:rPr>
        <w:t>年用水总量红线控制指标。</w:t>
      </w:r>
    </w:p>
    <w:p w14:paraId="33B1BB2B" w14:textId="77777777" w:rsidR="009C353B" w:rsidRDefault="00000000">
      <w:pPr>
        <w:pStyle w:val="40"/>
        <w:adjustRightInd w:val="0"/>
        <w:snapToGrid w:val="0"/>
        <w:spacing w:before="240" w:after="120" w:line="440" w:lineRule="exact"/>
        <w:rPr>
          <w:rFonts w:ascii="Times New Roman" w:eastAsia="宋体" w:hAnsi="Times New Roman"/>
          <w:sz w:val="24"/>
        </w:rPr>
      </w:pPr>
      <w:r>
        <w:rPr>
          <w:rFonts w:ascii="Times New Roman" w:eastAsia="宋体" w:hAnsi="Times New Roman"/>
          <w:sz w:val="24"/>
        </w:rPr>
        <w:t>7.1.2</w:t>
      </w:r>
      <w:r>
        <w:rPr>
          <w:rFonts w:ascii="Times New Roman" w:eastAsia="宋体" w:hAnsi="Times New Roman" w:hint="eastAsia"/>
          <w:sz w:val="24"/>
        </w:rPr>
        <w:t xml:space="preserve"> </w:t>
      </w:r>
      <w:r>
        <w:rPr>
          <w:rFonts w:ascii="Times New Roman" w:eastAsia="宋体" w:hAnsi="Times New Roman" w:hint="eastAsia"/>
          <w:sz w:val="24"/>
        </w:rPr>
        <w:t>矿区水源选择及可供水量</w:t>
      </w:r>
    </w:p>
    <w:p w14:paraId="44661DC3"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w:t>
      </w:r>
      <w:r>
        <w:rPr>
          <w:rFonts w:ascii="Times New Roman"/>
        </w:rPr>
        <w:t>生活水源</w:t>
      </w:r>
    </w:p>
    <w:p w14:paraId="1C90A413"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生活水源自鸭子荡水库净水站供水，用于各矿生活用水。</w:t>
      </w:r>
    </w:p>
    <w:p w14:paraId="73F32565"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鸭子荡水库为宁东能源重化工基地及宁东镇生态移民供水工程（简称宁东供水工程）的一部分，是一座经由人工筑坝抽取黄河水而形成的引水型水库，且为生活饮用水水源地。是宁东地区工业及生活供水水源，水库补给源为黄河水和大气降雨。该工程一期净配水厂日供水量</w:t>
      </w:r>
      <w:r>
        <w:rPr>
          <w:rFonts w:ascii="Times New Roman" w:hint="eastAsia"/>
        </w:rPr>
        <w:t>4</w:t>
      </w:r>
      <w:r>
        <w:rPr>
          <w:rFonts w:ascii="Times New Roman"/>
        </w:rPr>
        <w:t>0</w:t>
      </w:r>
      <w:r>
        <w:rPr>
          <w:rFonts w:ascii="Times New Roman" w:hint="eastAsia"/>
        </w:rPr>
        <w:t>万</w:t>
      </w:r>
      <w:r>
        <w:rPr>
          <w:rFonts w:ascii="Times New Roman" w:hint="eastAsia"/>
        </w:rPr>
        <w:t>m</w:t>
      </w:r>
      <w:r>
        <w:rPr>
          <w:rFonts w:ascii="Times New Roman" w:hint="eastAsia"/>
          <w:vertAlign w:val="superscript"/>
        </w:rPr>
        <w:t>3</w:t>
      </w:r>
      <w:r>
        <w:rPr>
          <w:rFonts w:ascii="Times New Roman" w:hint="eastAsia"/>
        </w:rPr>
        <w:t>，二期净配水厂日供水量</w:t>
      </w:r>
      <w:r>
        <w:rPr>
          <w:rFonts w:ascii="Times New Roman"/>
        </w:rPr>
        <w:t>80</w:t>
      </w:r>
      <w:r>
        <w:rPr>
          <w:rFonts w:ascii="Times New Roman" w:hint="eastAsia"/>
        </w:rPr>
        <w:t>万</w:t>
      </w:r>
      <w:r>
        <w:rPr>
          <w:rFonts w:ascii="Times New Roman" w:hint="eastAsia"/>
        </w:rPr>
        <w:t>m</w:t>
      </w:r>
      <w:r>
        <w:rPr>
          <w:rFonts w:ascii="Times New Roman"/>
          <w:vertAlign w:val="superscript"/>
        </w:rPr>
        <w:t>3</w:t>
      </w:r>
      <w:r>
        <w:rPr>
          <w:rFonts w:ascii="Times New Roman" w:hint="eastAsia"/>
        </w:rPr>
        <w:t>，二期工程已</w:t>
      </w:r>
      <w:r>
        <w:rPr>
          <w:rFonts w:ascii="Times New Roman"/>
        </w:rPr>
        <w:t>于</w:t>
      </w:r>
      <w:r>
        <w:rPr>
          <w:rFonts w:ascii="Times New Roman" w:hint="eastAsia"/>
        </w:rPr>
        <w:t>2</w:t>
      </w:r>
      <w:r>
        <w:rPr>
          <w:rFonts w:ascii="Times New Roman"/>
        </w:rPr>
        <w:t>015</w:t>
      </w:r>
      <w:r>
        <w:rPr>
          <w:rFonts w:ascii="Times New Roman" w:hint="eastAsia"/>
        </w:rPr>
        <w:t>年底建成投运。</w:t>
      </w:r>
    </w:p>
    <w:p w14:paraId="51EE923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2</w:t>
      </w:r>
      <w:r>
        <w:rPr>
          <w:rFonts w:ascii="Times New Roman" w:hint="eastAsia"/>
        </w:rPr>
        <w:t>）生产</w:t>
      </w:r>
      <w:r>
        <w:rPr>
          <w:rFonts w:ascii="Times New Roman"/>
        </w:rPr>
        <w:t>水源</w:t>
      </w:r>
    </w:p>
    <w:p w14:paraId="486D4CC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矿区生产用水供水水源优先选择经处理后的生产、生活污废水及井下排水，不足</w:t>
      </w:r>
      <w:r>
        <w:rPr>
          <w:rFonts w:ascii="Times New Roman"/>
        </w:rPr>
        <w:t>部分采用</w:t>
      </w:r>
      <w:r>
        <w:rPr>
          <w:rFonts w:ascii="Times New Roman" w:hint="eastAsia"/>
        </w:rPr>
        <w:t>鸭子荡水库供水</w:t>
      </w:r>
      <w:r>
        <w:rPr>
          <w:rFonts w:ascii="Times New Roman"/>
        </w:rPr>
        <w:t>，</w:t>
      </w:r>
      <w:r>
        <w:rPr>
          <w:rFonts w:ascii="Times New Roman" w:hint="eastAsia"/>
        </w:rPr>
        <w:t>余量送至电厂或产业园作为其生产用水。</w:t>
      </w:r>
      <w:r>
        <w:rPr>
          <w:rFonts w:ascii="Times New Roman"/>
        </w:rPr>
        <w:t xml:space="preserve"> </w:t>
      </w:r>
    </w:p>
    <w:p w14:paraId="242782F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根据宁夏煤炭勘察工程有限公司</w:t>
      </w:r>
      <w:r>
        <w:rPr>
          <w:rFonts w:ascii="Times New Roman" w:hint="eastAsia"/>
        </w:rPr>
        <w:t>2020</w:t>
      </w:r>
      <w:r>
        <w:rPr>
          <w:rFonts w:ascii="Times New Roman" w:hint="eastAsia"/>
        </w:rPr>
        <w:t>年</w:t>
      </w:r>
      <w:r>
        <w:rPr>
          <w:rFonts w:ascii="Times New Roman" w:hint="eastAsia"/>
        </w:rPr>
        <w:t>2</w:t>
      </w:r>
      <w:r>
        <w:rPr>
          <w:rFonts w:ascii="Times New Roman" w:hint="eastAsia"/>
        </w:rPr>
        <w:t>月编制的《宁夏回族自治区灵武市横城矿区煤炭地质资料汇编》马莲台矿井正常涌水量</w:t>
      </w:r>
      <w:r>
        <w:rPr>
          <w:rFonts w:ascii="Times New Roman" w:hint="eastAsia"/>
        </w:rPr>
        <w:t>322m</w:t>
      </w:r>
      <w:r>
        <w:rPr>
          <w:rFonts w:ascii="Times New Roman" w:hint="eastAsia"/>
          <w:vertAlign w:val="superscript"/>
        </w:rPr>
        <w:t>3</w:t>
      </w:r>
      <w:r>
        <w:rPr>
          <w:rFonts w:ascii="Times New Roman" w:hint="eastAsia"/>
        </w:rPr>
        <w:t>/h</w:t>
      </w:r>
      <w:r>
        <w:rPr>
          <w:rFonts w:ascii="Times New Roman" w:hint="eastAsia"/>
        </w:rPr>
        <w:t>，最大涌水量</w:t>
      </w:r>
      <w:r>
        <w:rPr>
          <w:rFonts w:ascii="Times New Roman" w:hint="eastAsia"/>
        </w:rPr>
        <w:t>656m</w:t>
      </w:r>
      <w:r>
        <w:rPr>
          <w:rFonts w:ascii="Times New Roman" w:hint="eastAsia"/>
          <w:vertAlign w:val="superscript"/>
        </w:rPr>
        <w:t>3</w:t>
      </w:r>
      <w:r>
        <w:rPr>
          <w:rFonts w:ascii="Times New Roman" w:hint="eastAsia"/>
        </w:rPr>
        <w:t>/h</w:t>
      </w:r>
      <w:r>
        <w:rPr>
          <w:rFonts w:ascii="Times New Roman" w:hint="eastAsia"/>
        </w:rPr>
        <w:t>；任家庄矿井正常涌水量</w:t>
      </w:r>
      <w:r>
        <w:rPr>
          <w:rFonts w:ascii="Times New Roman" w:hint="eastAsia"/>
        </w:rPr>
        <w:t>446m</w:t>
      </w:r>
      <w:r>
        <w:rPr>
          <w:rFonts w:ascii="Times New Roman" w:hint="eastAsia"/>
          <w:vertAlign w:val="superscript"/>
        </w:rPr>
        <w:t>3</w:t>
      </w:r>
      <w:r>
        <w:rPr>
          <w:rFonts w:ascii="Times New Roman" w:hint="eastAsia"/>
        </w:rPr>
        <w:t>/h</w:t>
      </w:r>
      <w:r>
        <w:rPr>
          <w:rFonts w:ascii="Times New Roman" w:hint="eastAsia"/>
        </w:rPr>
        <w:t>，最大涌水量</w:t>
      </w:r>
      <w:r>
        <w:rPr>
          <w:rFonts w:ascii="Times New Roman" w:hint="eastAsia"/>
        </w:rPr>
        <w:t>688m</w:t>
      </w:r>
      <w:r>
        <w:rPr>
          <w:rFonts w:ascii="Times New Roman" w:hint="eastAsia"/>
          <w:vertAlign w:val="superscript"/>
        </w:rPr>
        <w:t>3</w:t>
      </w:r>
      <w:r>
        <w:rPr>
          <w:rFonts w:ascii="Times New Roman" w:hint="eastAsia"/>
        </w:rPr>
        <w:t>/h</w:t>
      </w:r>
      <w:r>
        <w:rPr>
          <w:rFonts w:ascii="Times New Roman" w:hint="eastAsia"/>
        </w:rPr>
        <w:t>；红石湾矿井正常涌水量</w:t>
      </w:r>
      <w:r>
        <w:rPr>
          <w:rFonts w:ascii="Times New Roman" w:hint="eastAsia"/>
        </w:rPr>
        <w:t>255m</w:t>
      </w:r>
      <w:r>
        <w:rPr>
          <w:rFonts w:ascii="Times New Roman" w:hint="eastAsia"/>
          <w:vertAlign w:val="superscript"/>
        </w:rPr>
        <w:t>3</w:t>
      </w:r>
      <w:r>
        <w:rPr>
          <w:rFonts w:ascii="Times New Roman" w:hint="eastAsia"/>
        </w:rPr>
        <w:t>/h</w:t>
      </w:r>
      <w:r>
        <w:rPr>
          <w:rFonts w:ascii="Times New Roman" w:hint="eastAsia"/>
        </w:rPr>
        <w:t>，最大涌水量</w:t>
      </w:r>
      <w:r>
        <w:rPr>
          <w:rFonts w:ascii="Times New Roman" w:hint="eastAsia"/>
        </w:rPr>
        <w:t>306m</w:t>
      </w:r>
      <w:r>
        <w:rPr>
          <w:rFonts w:ascii="Times New Roman" w:hint="eastAsia"/>
          <w:vertAlign w:val="superscript"/>
        </w:rPr>
        <w:t>3</w:t>
      </w:r>
      <w:r>
        <w:rPr>
          <w:rFonts w:ascii="Times New Roman" w:hint="eastAsia"/>
        </w:rPr>
        <w:t>/h</w:t>
      </w:r>
      <w:r>
        <w:rPr>
          <w:rFonts w:ascii="Times New Roman" w:hint="eastAsia"/>
        </w:rPr>
        <w:t>；丁家梁矿井正常涌水量</w:t>
      </w:r>
      <w:r>
        <w:rPr>
          <w:rFonts w:ascii="Times New Roman" w:hint="eastAsia"/>
        </w:rPr>
        <w:t>271m</w:t>
      </w:r>
      <w:r>
        <w:rPr>
          <w:rFonts w:ascii="Times New Roman" w:hint="eastAsia"/>
          <w:vertAlign w:val="superscript"/>
        </w:rPr>
        <w:t>3</w:t>
      </w:r>
      <w:r>
        <w:rPr>
          <w:rFonts w:ascii="Times New Roman" w:hint="eastAsia"/>
        </w:rPr>
        <w:t>/h</w:t>
      </w:r>
      <w:r>
        <w:rPr>
          <w:rFonts w:ascii="Times New Roman" w:hint="eastAsia"/>
        </w:rPr>
        <w:t>，最大涌水量</w:t>
      </w:r>
      <w:r>
        <w:rPr>
          <w:rFonts w:ascii="Times New Roman" w:hint="eastAsia"/>
        </w:rPr>
        <w:t>325m</w:t>
      </w:r>
      <w:r>
        <w:rPr>
          <w:rFonts w:ascii="Times New Roman" w:hint="eastAsia"/>
          <w:vertAlign w:val="superscript"/>
        </w:rPr>
        <w:t>3</w:t>
      </w:r>
      <w:r>
        <w:rPr>
          <w:rFonts w:ascii="Times New Roman" w:hint="eastAsia"/>
        </w:rPr>
        <w:t>/h</w:t>
      </w:r>
      <w:r>
        <w:rPr>
          <w:rFonts w:ascii="Times New Roman" w:hint="eastAsia"/>
        </w:rPr>
        <w:t>。</w:t>
      </w:r>
      <w:r>
        <w:rPr>
          <w:rFonts w:ascii="Times New Roman"/>
        </w:rPr>
        <w:t>各矿井下排水经处理后可作为生产用水水源，</w:t>
      </w:r>
      <w:r>
        <w:rPr>
          <w:rFonts w:ascii="Times New Roman" w:hint="eastAsia"/>
        </w:rPr>
        <w:t>各矿生产、生活污废水经处理后可作为生产水源，</w:t>
      </w:r>
      <w:r>
        <w:rPr>
          <w:rFonts w:ascii="Times New Roman"/>
        </w:rPr>
        <w:t>详见表</w:t>
      </w:r>
      <w:r>
        <w:rPr>
          <w:rFonts w:ascii="Times New Roman"/>
        </w:rPr>
        <w:t>7</w:t>
      </w:r>
      <w:r>
        <w:rPr>
          <w:rFonts w:ascii="Times New Roman" w:hint="eastAsia"/>
        </w:rPr>
        <w:t>.1-</w:t>
      </w:r>
      <w:r>
        <w:rPr>
          <w:rFonts w:ascii="Times New Roman"/>
        </w:rPr>
        <w:t>1</w:t>
      </w:r>
      <w:r>
        <w:rPr>
          <w:rFonts w:ascii="Times New Roman"/>
        </w:rPr>
        <w:t>。</w:t>
      </w:r>
    </w:p>
    <w:p w14:paraId="1AD78C8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）规划生产水源分析</w:t>
      </w:r>
    </w:p>
    <w:p w14:paraId="5A35FDBD" w14:textId="77777777" w:rsidR="009C353B" w:rsidRDefault="00000000">
      <w:pPr>
        <w:adjustRightInd w:val="0"/>
        <w:snapToGrid w:val="0"/>
        <w:spacing w:line="440" w:lineRule="exact"/>
        <w:ind w:firstLineChars="200" w:firstLine="480"/>
        <w:rPr>
          <w:rFonts w:ascii="Times New Roman" w:hint="eastAsia"/>
        </w:rPr>
      </w:pPr>
      <w:r>
        <w:rPr>
          <w:rFonts w:ascii="Times New Roman"/>
        </w:rPr>
        <w:t>矿区矿井水总量为</w:t>
      </w:r>
      <w:r>
        <w:rPr>
          <w:rFonts w:ascii="Times New Roman"/>
        </w:rPr>
        <w:t>31056</w:t>
      </w:r>
      <w:r>
        <w:rPr>
          <w:rFonts w:ascii="Times New Roman" w:hint="eastAsia"/>
        </w:rPr>
        <w:t xml:space="preserve"> m</w:t>
      </w:r>
      <w:r>
        <w:rPr>
          <w:rFonts w:ascii="Times New Roman" w:hint="eastAsia"/>
          <w:vertAlign w:val="superscript"/>
        </w:rPr>
        <w:t>3</w:t>
      </w:r>
      <w:r>
        <w:rPr>
          <w:rFonts w:ascii="Times New Roman" w:hint="eastAsia"/>
        </w:rPr>
        <w:t>/d</w:t>
      </w:r>
      <w:r>
        <w:rPr>
          <w:rFonts w:ascii="Times New Roman" w:hint="eastAsia"/>
        </w:rPr>
        <w:t>，按</w:t>
      </w:r>
      <w:r>
        <w:rPr>
          <w:rFonts w:ascii="Times New Roman" w:hint="eastAsia"/>
        </w:rPr>
        <w:t>0.</w:t>
      </w:r>
      <w:r>
        <w:rPr>
          <w:rFonts w:ascii="Times New Roman"/>
        </w:rPr>
        <w:t>5</w:t>
      </w:r>
      <w:r>
        <w:rPr>
          <w:rFonts w:ascii="Times New Roman" w:hint="eastAsia"/>
        </w:rPr>
        <w:t>折算</w:t>
      </w:r>
      <w:r>
        <w:rPr>
          <w:rFonts w:ascii="Times New Roman"/>
        </w:rPr>
        <w:t>，可供水量为</w:t>
      </w:r>
      <w:r>
        <w:rPr>
          <w:rFonts w:ascii="Times New Roman"/>
        </w:rPr>
        <w:t>15528</w:t>
      </w:r>
      <w:r>
        <w:rPr>
          <w:rFonts w:ascii="Times New Roman" w:hint="eastAsia"/>
        </w:rPr>
        <w:t>m</w:t>
      </w:r>
      <w:r>
        <w:rPr>
          <w:rFonts w:ascii="Times New Roman" w:hint="eastAsia"/>
          <w:vertAlign w:val="superscript"/>
        </w:rPr>
        <w:t>3</w:t>
      </w:r>
      <w:r>
        <w:rPr>
          <w:rFonts w:ascii="Times New Roman" w:hint="eastAsia"/>
        </w:rPr>
        <w:t>/d</w:t>
      </w:r>
      <w:r>
        <w:rPr>
          <w:rFonts w:ascii="Times New Roman" w:hint="eastAsia"/>
        </w:rPr>
        <w:t>，生活</w:t>
      </w:r>
      <w:r>
        <w:rPr>
          <w:rFonts w:ascii="Times New Roman"/>
        </w:rPr>
        <w:t>污水产生总量为</w:t>
      </w:r>
      <w:r>
        <w:rPr>
          <w:rFonts w:ascii="Times New Roman" w:hint="eastAsia"/>
        </w:rPr>
        <w:t>376.2m</w:t>
      </w:r>
      <w:r>
        <w:rPr>
          <w:rFonts w:ascii="Times New Roman" w:hint="eastAsia"/>
          <w:vertAlign w:val="superscript"/>
        </w:rPr>
        <w:t>3</w:t>
      </w:r>
      <w:r>
        <w:rPr>
          <w:rFonts w:ascii="Times New Roman" w:hint="eastAsia"/>
        </w:rPr>
        <w:t>/d</w:t>
      </w:r>
      <w:r>
        <w:rPr>
          <w:rFonts w:ascii="Times New Roman" w:hint="eastAsia"/>
        </w:rPr>
        <w:t>，按</w:t>
      </w:r>
      <w:r>
        <w:rPr>
          <w:rFonts w:ascii="Times New Roman" w:hint="eastAsia"/>
        </w:rPr>
        <w:t>0.</w:t>
      </w:r>
      <w:r>
        <w:rPr>
          <w:rFonts w:ascii="Times New Roman"/>
        </w:rPr>
        <w:t>8</w:t>
      </w:r>
      <w:r>
        <w:rPr>
          <w:rFonts w:ascii="Times New Roman" w:hint="eastAsia"/>
        </w:rPr>
        <w:t>折算</w:t>
      </w:r>
      <w:r>
        <w:rPr>
          <w:rFonts w:ascii="Times New Roman"/>
        </w:rPr>
        <w:t>，可供水量</w:t>
      </w:r>
      <w:r>
        <w:rPr>
          <w:rFonts w:ascii="Times New Roman" w:hint="eastAsia"/>
        </w:rPr>
        <w:t>300.96 m</w:t>
      </w:r>
      <w:r>
        <w:rPr>
          <w:rFonts w:ascii="Times New Roman" w:hint="eastAsia"/>
          <w:vertAlign w:val="superscript"/>
        </w:rPr>
        <w:t>3</w:t>
      </w:r>
      <w:r>
        <w:rPr>
          <w:rFonts w:ascii="Times New Roman" w:hint="eastAsia"/>
        </w:rPr>
        <w:t>/d</w:t>
      </w:r>
      <w:r>
        <w:rPr>
          <w:rFonts w:ascii="Times New Roman" w:hint="eastAsia"/>
        </w:rPr>
        <w:t>。（按照《煤炭工业给水排水设计规范》（</w:t>
      </w:r>
      <w:r>
        <w:rPr>
          <w:rFonts w:ascii="Times New Roman" w:hint="eastAsia"/>
        </w:rPr>
        <w:t>GB50810-2012</w:t>
      </w:r>
      <w:r>
        <w:rPr>
          <w:rFonts w:ascii="Times New Roman" w:hint="eastAsia"/>
        </w:rPr>
        <w:t>）“</w:t>
      </w:r>
      <w:r>
        <w:rPr>
          <w:rFonts w:ascii="Times New Roman" w:hint="eastAsia"/>
        </w:rPr>
        <w:t xml:space="preserve">2.1.2 </w:t>
      </w:r>
      <w:r>
        <w:rPr>
          <w:rFonts w:ascii="Times New Roman" w:hint="eastAsia"/>
        </w:rPr>
        <w:t>永久供水水源工程设计，应有相应的水文和水文地质资料，并应符合下列规定：…</w:t>
      </w:r>
      <w:r>
        <w:rPr>
          <w:rFonts w:ascii="Times New Roman" w:hint="eastAsia"/>
        </w:rPr>
        <w:t>4.</w:t>
      </w:r>
      <w:r>
        <w:rPr>
          <w:rFonts w:ascii="Times New Roman" w:hint="eastAsia"/>
        </w:rPr>
        <w:t>当采用井下水、疏干水、矿坑排水作为供水水源时，其可靠利用量应按正常涌水量的</w:t>
      </w:r>
      <w:r>
        <w:rPr>
          <w:rFonts w:ascii="Times New Roman" w:hint="eastAsia"/>
        </w:rPr>
        <w:t>50%</w:t>
      </w:r>
      <w:r>
        <w:rPr>
          <w:rFonts w:ascii="Times New Roman" w:hint="eastAsia"/>
        </w:rPr>
        <w:t>～</w:t>
      </w:r>
      <w:r>
        <w:rPr>
          <w:rFonts w:ascii="Times New Roman" w:hint="eastAsia"/>
        </w:rPr>
        <w:t>70%</w:t>
      </w:r>
      <w:r>
        <w:rPr>
          <w:rFonts w:ascii="Times New Roman" w:hint="eastAsia"/>
        </w:rPr>
        <w:t>确定”。因此，本次评价结合水文地质条件，考虑到矿井水的水量不稳定性，取</w:t>
      </w:r>
      <w:r>
        <w:rPr>
          <w:rFonts w:ascii="Times New Roman" w:hint="eastAsia"/>
        </w:rPr>
        <w:t>50%</w:t>
      </w:r>
      <w:r>
        <w:rPr>
          <w:rFonts w:ascii="Times New Roman" w:hint="eastAsia"/>
        </w:rPr>
        <w:t>保证率作为水资源承载力计算依据。）处理</w:t>
      </w:r>
      <w:r>
        <w:rPr>
          <w:rFonts w:ascii="Times New Roman"/>
        </w:rPr>
        <w:t>后</w:t>
      </w:r>
      <w:r>
        <w:rPr>
          <w:rFonts w:ascii="Times New Roman" w:hint="eastAsia"/>
        </w:rPr>
        <w:t>生产生活污、废水可</w:t>
      </w:r>
      <w:r>
        <w:rPr>
          <w:rFonts w:ascii="Times New Roman"/>
        </w:rPr>
        <w:t>供总量为</w:t>
      </w:r>
      <w:r>
        <w:rPr>
          <w:rFonts w:ascii="Times New Roman"/>
        </w:rPr>
        <w:t>15</w:t>
      </w:r>
      <w:r>
        <w:rPr>
          <w:rFonts w:ascii="Times New Roman" w:hint="eastAsia"/>
        </w:rPr>
        <w:t>828.96m</w:t>
      </w:r>
      <w:r>
        <w:rPr>
          <w:rFonts w:ascii="Times New Roman" w:hint="eastAsia"/>
          <w:vertAlign w:val="superscript"/>
        </w:rPr>
        <w:t>3</w:t>
      </w:r>
      <w:r>
        <w:rPr>
          <w:rFonts w:ascii="Times New Roman" w:hint="eastAsia"/>
        </w:rPr>
        <w:t>/d</w:t>
      </w:r>
      <w:r>
        <w:rPr>
          <w:rFonts w:ascii="Times New Roman" w:hint="eastAsia"/>
        </w:rPr>
        <w:t>，供给</w:t>
      </w:r>
      <w:r>
        <w:rPr>
          <w:rFonts w:ascii="Times New Roman"/>
        </w:rPr>
        <w:t>矿区</w:t>
      </w:r>
      <w:r>
        <w:rPr>
          <w:rFonts w:ascii="Times New Roman" w:hint="eastAsia"/>
        </w:rPr>
        <w:t>煤炭</w:t>
      </w:r>
      <w:r>
        <w:rPr>
          <w:rFonts w:ascii="Times New Roman"/>
        </w:rPr>
        <w:t>企业生产</w:t>
      </w:r>
      <w:r>
        <w:rPr>
          <w:rFonts w:ascii="Times New Roman" w:hint="eastAsia"/>
        </w:rPr>
        <w:t>需水量</w:t>
      </w:r>
      <w:r>
        <w:rPr>
          <w:rFonts w:ascii="Times New Roman"/>
        </w:rPr>
        <w:t>1</w:t>
      </w:r>
      <w:r>
        <w:rPr>
          <w:rFonts w:ascii="Times New Roman" w:hint="eastAsia"/>
        </w:rPr>
        <w:t>3211m</w:t>
      </w:r>
      <w:r>
        <w:rPr>
          <w:rFonts w:ascii="Times New Roman" w:hint="eastAsia"/>
          <w:vertAlign w:val="superscript"/>
        </w:rPr>
        <w:t>3</w:t>
      </w:r>
      <w:r>
        <w:rPr>
          <w:rFonts w:ascii="Times New Roman" w:hint="eastAsia"/>
        </w:rPr>
        <w:t>/d</w:t>
      </w:r>
      <w:r>
        <w:rPr>
          <w:rFonts w:ascii="Times New Roman" w:hint="eastAsia"/>
        </w:rPr>
        <w:t>后</w:t>
      </w:r>
      <w:r>
        <w:rPr>
          <w:rFonts w:ascii="Times New Roman"/>
        </w:rPr>
        <w:t>还有</w:t>
      </w:r>
      <w:r>
        <w:rPr>
          <w:rFonts w:ascii="Times New Roman" w:hint="eastAsia"/>
        </w:rPr>
        <w:t>2617.96m</w:t>
      </w:r>
      <w:r>
        <w:rPr>
          <w:rFonts w:ascii="Times New Roman" w:hint="eastAsia"/>
          <w:vertAlign w:val="superscript"/>
        </w:rPr>
        <w:t>3</w:t>
      </w:r>
      <w:r>
        <w:rPr>
          <w:rFonts w:ascii="Times New Roman" w:hint="eastAsia"/>
        </w:rPr>
        <w:t>/d</w:t>
      </w:r>
      <w:r>
        <w:rPr>
          <w:rFonts w:ascii="Times New Roman" w:hint="eastAsia"/>
        </w:rPr>
        <w:t>剩余</w:t>
      </w:r>
      <w:r>
        <w:rPr>
          <w:rFonts w:ascii="Times New Roman"/>
        </w:rPr>
        <w:t>，</w:t>
      </w:r>
      <w:r>
        <w:rPr>
          <w:rFonts w:ascii="Times New Roman" w:hint="eastAsia"/>
        </w:rPr>
        <w:t>可</w:t>
      </w:r>
      <w:r>
        <w:rPr>
          <w:rFonts w:ascii="Times New Roman"/>
        </w:rPr>
        <w:t>供给电厂及</w:t>
      </w:r>
      <w:r>
        <w:rPr>
          <w:rFonts w:ascii="Times New Roman" w:hint="eastAsia"/>
        </w:rPr>
        <w:t>煤化工园区</w:t>
      </w:r>
      <w:r>
        <w:rPr>
          <w:rFonts w:ascii="Times New Roman"/>
        </w:rPr>
        <w:t>生产用水</w:t>
      </w:r>
      <w:r>
        <w:rPr>
          <w:rFonts w:ascii="Times New Roman" w:hint="eastAsia"/>
        </w:rPr>
        <w:t>。</w:t>
      </w:r>
    </w:p>
    <w:p w14:paraId="6454236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2</w:t>
      </w:r>
      <w:r>
        <w:rPr>
          <w:rFonts w:ascii="Times New Roman" w:hint="eastAsia"/>
        </w:rPr>
        <w:t>）现状生产水源分析</w:t>
      </w:r>
    </w:p>
    <w:p w14:paraId="0AE0491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现状各矿矿井水产生量为马莲台</w:t>
      </w:r>
      <w:r>
        <w:rPr>
          <w:rFonts w:ascii="Times New Roman" w:hint="eastAsia"/>
        </w:rPr>
        <w:t>2561 m</w:t>
      </w:r>
      <w:r>
        <w:rPr>
          <w:rFonts w:ascii="Times New Roman" w:hint="eastAsia"/>
          <w:vertAlign w:val="superscript"/>
        </w:rPr>
        <w:t>3</w:t>
      </w:r>
      <w:r>
        <w:rPr>
          <w:rFonts w:ascii="Times New Roman" w:hint="eastAsia"/>
        </w:rPr>
        <w:t>/d</w:t>
      </w:r>
      <w:r>
        <w:rPr>
          <w:rFonts w:ascii="Times New Roman" w:hint="eastAsia"/>
        </w:rPr>
        <w:t>、任家庄</w:t>
      </w:r>
      <w:r>
        <w:rPr>
          <w:rFonts w:ascii="Times New Roman" w:hint="eastAsia"/>
        </w:rPr>
        <w:t>1790 m</w:t>
      </w:r>
      <w:r>
        <w:rPr>
          <w:rFonts w:ascii="Times New Roman" w:hint="eastAsia"/>
          <w:vertAlign w:val="superscript"/>
        </w:rPr>
        <w:t>3</w:t>
      </w:r>
      <w:r>
        <w:rPr>
          <w:rFonts w:ascii="Times New Roman" w:hint="eastAsia"/>
        </w:rPr>
        <w:t>/d</w:t>
      </w:r>
      <w:r>
        <w:rPr>
          <w:rFonts w:ascii="Times New Roman" w:hint="eastAsia"/>
        </w:rPr>
        <w:t>、红石湾</w:t>
      </w:r>
      <w:r>
        <w:rPr>
          <w:rFonts w:ascii="Times New Roman" w:hint="eastAsia"/>
        </w:rPr>
        <w:t>2544 m</w:t>
      </w:r>
      <w:r>
        <w:rPr>
          <w:rFonts w:ascii="Times New Roman" w:hint="eastAsia"/>
          <w:vertAlign w:val="superscript"/>
        </w:rPr>
        <w:t>3</w:t>
      </w:r>
      <w:r>
        <w:rPr>
          <w:rFonts w:ascii="Times New Roman" w:hint="eastAsia"/>
        </w:rPr>
        <w:t>/d</w:t>
      </w:r>
      <w:r>
        <w:rPr>
          <w:rFonts w:ascii="Times New Roman" w:hint="eastAsia"/>
        </w:rPr>
        <w:t>，均未达到各矿预测涌水量，原因主要是由于目前开采煤层少，尚未达到全井田开采预测涌水量。现阶段三个煤矿矿井水实际可供水量为</w:t>
      </w:r>
      <w:r>
        <w:rPr>
          <w:rFonts w:ascii="Times New Roman" w:hint="eastAsia"/>
        </w:rPr>
        <w:t>6895m</w:t>
      </w:r>
      <w:r>
        <w:rPr>
          <w:rFonts w:ascii="Times New Roman" w:hint="eastAsia"/>
          <w:vertAlign w:val="superscript"/>
        </w:rPr>
        <w:t>3</w:t>
      </w:r>
      <w:r>
        <w:rPr>
          <w:rFonts w:ascii="Times New Roman" w:hint="eastAsia"/>
        </w:rPr>
        <w:t>/d</w:t>
      </w:r>
      <w:r>
        <w:rPr>
          <w:rFonts w:ascii="Times New Roman" w:hint="eastAsia"/>
        </w:rPr>
        <w:t>，约为预测值的</w:t>
      </w:r>
      <w:r>
        <w:rPr>
          <w:rFonts w:ascii="Times New Roman" w:hint="eastAsia"/>
        </w:rPr>
        <w:t>30%</w:t>
      </w:r>
      <w:r>
        <w:rPr>
          <w:rFonts w:ascii="Times New Roman" w:hint="eastAsia"/>
        </w:rPr>
        <w:t>，若丁家梁也按</w:t>
      </w:r>
      <w:r>
        <w:rPr>
          <w:rFonts w:ascii="Times New Roman" w:hint="eastAsia"/>
        </w:rPr>
        <w:t>30%</w:t>
      </w:r>
      <w:r>
        <w:rPr>
          <w:rFonts w:ascii="Times New Roman" w:hint="eastAsia"/>
        </w:rPr>
        <w:t>考虑，则矿区现阶段实际可供矿井水量为</w:t>
      </w:r>
      <w:r>
        <w:rPr>
          <w:rFonts w:ascii="Times New Roman" w:hint="eastAsia"/>
        </w:rPr>
        <w:t>8847m</w:t>
      </w:r>
      <w:r>
        <w:rPr>
          <w:rFonts w:ascii="Times New Roman" w:hint="eastAsia"/>
          <w:vertAlign w:val="superscript"/>
        </w:rPr>
        <w:t>3</w:t>
      </w:r>
      <w:r>
        <w:rPr>
          <w:rFonts w:ascii="Times New Roman" w:hint="eastAsia"/>
        </w:rPr>
        <w:t>/d</w:t>
      </w:r>
      <w:r>
        <w:rPr>
          <w:rFonts w:ascii="Times New Roman" w:hint="eastAsia"/>
        </w:rPr>
        <w:t>。</w:t>
      </w:r>
      <w:r>
        <w:rPr>
          <w:rFonts w:ascii="Times New Roman"/>
        </w:rPr>
        <w:t>矿区</w:t>
      </w:r>
      <w:r>
        <w:rPr>
          <w:rFonts w:ascii="Times New Roman" w:hint="eastAsia"/>
        </w:rPr>
        <w:t>煤炭</w:t>
      </w:r>
      <w:r>
        <w:rPr>
          <w:rFonts w:ascii="Times New Roman"/>
        </w:rPr>
        <w:t>企业生产</w:t>
      </w:r>
      <w:r>
        <w:rPr>
          <w:rFonts w:ascii="Times New Roman" w:hint="eastAsia"/>
        </w:rPr>
        <w:t>需水量按</w:t>
      </w:r>
      <w:r>
        <w:rPr>
          <w:rFonts w:ascii="Times New Roman"/>
        </w:rPr>
        <w:t>1</w:t>
      </w:r>
      <w:r>
        <w:rPr>
          <w:rFonts w:ascii="Times New Roman" w:hint="eastAsia"/>
        </w:rPr>
        <w:t>3211m</w:t>
      </w:r>
      <w:r>
        <w:rPr>
          <w:rFonts w:ascii="Times New Roman" w:hint="eastAsia"/>
          <w:vertAlign w:val="superscript"/>
        </w:rPr>
        <w:t>3</w:t>
      </w:r>
      <w:r>
        <w:rPr>
          <w:rFonts w:ascii="Times New Roman" w:hint="eastAsia"/>
        </w:rPr>
        <w:t>/d</w:t>
      </w:r>
      <w:r>
        <w:rPr>
          <w:rFonts w:ascii="Times New Roman" w:hint="eastAsia"/>
        </w:rPr>
        <w:t>，现阶段尚需从鸭子荡水库取水</w:t>
      </w:r>
      <w:r>
        <w:rPr>
          <w:rFonts w:ascii="Times New Roman" w:hint="eastAsia"/>
        </w:rPr>
        <w:t>4364m</w:t>
      </w:r>
      <w:r>
        <w:rPr>
          <w:rFonts w:ascii="Times New Roman" w:hint="eastAsia"/>
          <w:vertAlign w:val="superscript"/>
        </w:rPr>
        <w:t>3</w:t>
      </w:r>
      <w:r>
        <w:rPr>
          <w:rFonts w:ascii="Times New Roman" w:hint="eastAsia"/>
        </w:rPr>
        <w:t>/d</w:t>
      </w:r>
      <w:r>
        <w:rPr>
          <w:rFonts w:ascii="Times New Roman" w:hint="eastAsia"/>
        </w:rPr>
        <w:t>。</w:t>
      </w:r>
    </w:p>
    <w:p w14:paraId="5961DE09" w14:textId="77777777" w:rsidR="009C353B" w:rsidRDefault="009C353B">
      <w:pPr>
        <w:adjustRightInd w:val="0"/>
        <w:snapToGrid w:val="0"/>
        <w:spacing w:line="440" w:lineRule="exact"/>
        <w:ind w:firstLineChars="200" w:firstLine="480"/>
        <w:rPr>
          <w:rFonts w:ascii="Times New Roman" w:hint="eastAsia"/>
        </w:rPr>
      </w:pPr>
    </w:p>
    <w:p w14:paraId="1A8FECD1" w14:textId="77777777" w:rsidR="009C353B" w:rsidRDefault="009C353B">
      <w:pPr>
        <w:adjustRightInd w:val="0"/>
        <w:snapToGrid w:val="0"/>
        <w:spacing w:line="440" w:lineRule="exact"/>
        <w:ind w:firstLineChars="200" w:firstLine="480"/>
        <w:rPr>
          <w:rFonts w:ascii="Times New Roman" w:hAnsi="Times New Roman"/>
          <w:szCs w:val="24"/>
        </w:rPr>
      </w:pPr>
    </w:p>
    <w:p w14:paraId="1E7CD6D5" w14:textId="77777777" w:rsidR="009C353B" w:rsidRDefault="009C353B">
      <w:pPr>
        <w:adjustRightInd w:val="0"/>
        <w:snapToGrid w:val="0"/>
        <w:spacing w:line="440" w:lineRule="exact"/>
        <w:ind w:firstLineChars="200" w:firstLine="480"/>
        <w:rPr>
          <w:rFonts w:ascii="Times New Roman" w:hint="eastAsia"/>
          <w:szCs w:val="24"/>
        </w:rPr>
        <w:sectPr w:rsidR="009C353B">
          <w:headerReference w:type="default" r:id="rId460"/>
          <w:pgSz w:w="11907" w:h="16840"/>
          <w:pgMar w:top="1701" w:right="1418" w:bottom="1418" w:left="1418" w:header="1134" w:footer="851" w:gutter="0"/>
          <w:paperSrc w:first="7" w:other="7"/>
          <w:cols w:space="720"/>
          <w:docGrid w:linePitch="312"/>
        </w:sectPr>
      </w:pPr>
    </w:p>
    <w:p w14:paraId="364A791B" w14:textId="77777777" w:rsidR="009C353B" w:rsidRDefault="00000000">
      <w:pPr>
        <w:adjustRightInd w:val="0"/>
        <w:snapToGrid w:val="0"/>
        <w:spacing w:line="440" w:lineRule="exact"/>
        <w:jc w:val="center"/>
        <w:rPr>
          <w:rFonts w:ascii="Times New Roman" w:hint="eastAsia"/>
          <w:b/>
          <w:szCs w:val="24"/>
        </w:rPr>
      </w:pPr>
      <w:r>
        <w:rPr>
          <w:rFonts w:ascii="Times New Roman" w:hAnsi="Times New Roman" w:hint="eastAsia"/>
          <w:b/>
          <w:szCs w:val="24"/>
        </w:rPr>
        <w:t>矿区</w:t>
      </w:r>
      <w:r>
        <w:rPr>
          <w:rFonts w:ascii="Times New Roman" w:hAnsi="Times New Roman"/>
          <w:b/>
          <w:szCs w:val="24"/>
        </w:rPr>
        <w:t>达产时</w:t>
      </w:r>
      <w:r>
        <w:rPr>
          <w:rFonts w:ascii="Times New Roman" w:hAnsi="Times New Roman" w:hint="eastAsia"/>
          <w:b/>
          <w:szCs w:val="24"/>
        </w:rPr>
        <w:t>矿井水及</w:t>
      </w:r>
      <w:r>
        <w:rPr>
          <w:rFonts w:ascii="Times New Roman" w:hAnsi="Times New Roman"/>
          <w:b/>
          <w:szCs w:val="24"/>
        </w:rPr>
        <w:t>生产生活污废水</w:t>
      </w:r>
      <w:r>
        <w:rPr>
          <w:rFonts w:ascii="Times New Roman" w:hAnsi="Times New Roman" w:hint="eastAsia"/>
          <w:b/>
          <w:szCs w:val="24"/>
        </w:rPr>
        <w:t>产生量</w:t>
      </w:r>
      <w:r>
        <w:rPr>
          <w:rFonts w:ascii="Times New Roman" w:hAnsi="Times New Roman"/>
          <w:b/>
          <w:szCs w:val="24"/>
        </w:rPr>
        <w:t>及可回用量</w:t>
      </w:r>
    </w:p>
    <w:p w14:paraId="6214BE79" w14:textId="77777777" w:rsidR="009C353B" w:rsidRDefault="00000000">
      <w:pPr>
        <w:pStyle w:val="affffd"/>
        <w:spacing w:line="440" w:lineRule="exact"/>
        <w:rPr>
          <w:rFonts w:ascii="Times New Roman" w:hint="eastAsia"/>
        </w:rPr>
      </w:pPr>
      <w:r>
        <w:rPr>
          <w:rFonts w:ascii="Times New Roman"/>
        </w:rPr>
        <w:t>表</w:t>
      </w:r>
      <w:r>
        <w:rPr>
          <w:rFonts w:ascii="Times New Roman"/>
        </w:rPr>
        <w:t>7</w:t>
      </w:r>
      <w:r>
        <w:rPr>
          <w:rFonts w:ascii="Times New Roman" w:hint="eastAsia"/>
        </w:rPr>
        <w:t>.1-</w:t>
      </w:r>
      <w:r>
        <w:rPr>
          <w:rFonts w:ascii="Times New Roman"/>
        </w:rPr>
        <w:t>1</w:t>
      </w:r>
    </w:p>
    <w:tbl>
      <w:tblPr>
        <w:tblW w:w="13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2793"/>
        <w:gridCol w:w="1171"/>
        <w:gridCol w:w="1555"/>
        <w:gridCol w:w="1275"/>
        <w:gridCol w:w="1013"/>
        <w:gridCol w:w="1404"/>
        <w:gridCol w:w="1379"/>
        <w:gridCol w:w="1166"/>
        <w:gridCol w:w="1653"/>
      </w:tblGrid>
      <w:tr w:rsidR="009C353B" w14:paraId="4BE4B07C" w14:textId="77777777">
        <w:trPr>
          <w:trHeight w:val="532"/>
          <w:jc w:val="center"/>
        </w:trPr>
        <w:tc>
          <w:tcPr>
            <w:tcW w:w="567" w:type="dxa"/>
            <w:vMerge w:val="restart"/>
            <w:shd w:val="clear" w:color="auto" w:fill="auto"/>
            <w:vAlign w:val="center"/>
          </w:tcPr>
          <w:p w14:paraId="50DC149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序号</w:t>
            </w:r>
          </w:p>
        </w:tc>
        <w:tc>
          <w:tcPr>
            <w:tcW w:w="2793" w:type="dxa"/>
            <w:vMerge w:val="restart"/>
            <w:shd w:val="clear" w:color="auto" w:fill="auto"/>
            <w:vAlign w:val="center"/>
          </w:tcPr>
          <w:p w14:paraId="260F405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名称</w:t>
            </w:r>
          </w:p>
        </w:tc>
        <w:tc>
          <w:tcPr>
            <w:tcW w:w="1171" w:type="dxa"/>
            <w:vMerge w:val="restart"/>
            <w:shd w:val="clear" w:color="auto" w:fill="auto"/>
            <w:vAlign w:val="center"/>
          </w:tcPr>
          <w:p w14:paraId="3223649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规模</w:t>
            </w:r>
          </w:p>
          <w:p w14:paraId="12D7477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Mt</w:t>
            </w:r>
            <w:r>
              <w:rPr>
                <w:rFonts w:ascii="Times New Roman" w:eastAsiaTheme="minorEastAsia" w:hAnsi="Times New Roman"/>
                <w:kern w:val="0"/>
                <w:sz w:val="21"/>
                <w:szCs w:val="21"/>
              </w:rPr>
              <w:t>/a</w:t>
            </w:r>
          </w:p>
        </w:tc>
        <w:tc>
          <w:tcPr>
            <w:tcW w:w="1555" w:type="dxa"/>
            <w:vMerge w:val="restart"/>
            <w:shd w:val="clear" w:color="auto" w:fill="auto"/>
            <w:vAlign w:val="center"/>
          </w:tcPr>
          <w:p w14:paraId="67DE03D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矿井水产生量</w:t>
            </w:r>
            <w:r>
              <w:rPr>
                <w:rFonts w:ascii="Times New Roman" w:eastAsiaTheme="minorEastAsia" w:hAnsi="Times New Roman"/>
                <w:kern w:val="0"/>
                <w:sz w:val="21"/>
                <w:szCs w:val="21"/>
              </w:rPr>
              <w:t>m</w:t>
            </w:r>
            <w:r>
              <w:rPr>
                <w:rFonts w:ascii="Times New Roman" w:eastAsiaTheme="minorEastAsia" w:hAnsi="Times New Roman"/>
                <w:kern w:val="0"/>
                <w:sz w:val="21"/>
                <w:szCs w:val="21"/>
                <w:vertAlign w:val="superscript"/>
              </w:rPr>
              <w:t>3</w:t>
            </w:r>
            <w:r>
              <w:rPr>
                <w:rFonts w:ascii="Times New Roman" w:eastAsiaTheme="minorEastAsia" w:hAnsi="Times New Roman"/>
                <w:kern w:val="0"/>
                <w:sz w:val="21"/>
                <w:szCs w:val="21"/>
              </w:rPr>
              <w:t>/</w:t>
            </w:r>
            <w:r>
              <w:rPr>
                <w:rFonts w:ascii="Times New Roman" w:eastAsiaTheme="minorEastAsia" w:hAnsi="Times New Roman" w:hint="eastAsia"/>
                <w:kern w:val="0"/>
                <w:sz w:val="21"/>
                <w:szCs w:val="21"/>
              </w:rPr>
              <w:t>d</w:t>
            </w:r>
            <w:r>
              <w:rPr>
                <w:rFonts w:ascii="Times New Roman" w:eastAsiaTheme="minorEastAsia" w:hAnsi="Times New Roman"/>
                <w:kern w:val="0"/>
                <w:sz w:val="21"/>
                <w:szCs w:val="21"/>
              </w:rPr>
              <w:t>（</w:t>
            </w:r>
            <w:r>
              <w:rPr>
                <w:rFonts w:ascii="Times New Roman" w:eastAsiaTheme="minorEastAsia" w:hAnsi="Times New Roman"/>
                <w:kern w:val="0"/>
                <w:sz w:val="21"/>
                <w:szCs w:val="21"/>
              </w:rPr>
              <w:t>m</w:t>
            </w:r>
            <w:r>
              <w:rPr>
                <w:rFonts w:ascii="Times New Roman" w:eastAsiaTheme="minorEastAsia" w:hAnsi="Times New Roman"/>
                <w:kern w:val="0"/>
                <w:sz w:val="21"/>
                <w:szCs w:val="21"/>
                <w:vertAlign w:val="superscript"/>
              </w:rPr>
              <w:t>3</w:t>
            </w:r>
            <w:r>
              <w:rPr>
                <w:rFonts w:ascii="Times New Roman" w:eastAsiaTheme="minorEastAsia" w:hAnsi="Times New Roman"/>
                <w:kern w:val="0"/>
                <w:sz w:val="21"/>
                <w:szCs w:val="21"/>
              </w:rPr>
              <w:t>/</w:t>
            </w:r>
            <w:r>
              <w:rPr>
                <w:rFonts w:ascii="Times New Roman" w:eastAsiaTheme="minorEastAsia" w:hAnsi="Times New Roman" w:hint="eastAsia"/>
                <w:kern w:val="0"/>
                <w:sz w:val="21"/>
                <w:szCs w:val="21"/>
              </w:rPr>
              <w:t>h</w:t>
            </w:r>
            <w:r>
              <w:rPr>
                <w:rFonts w:ascii="Times New Roman" w:eastAsiaTheme="minorEastAsia" w:hAnsi="Times New Roman"/>
                <w:kern w:val="0"/>
                <w:sz w:val="21"/>
                <w:szCs w:val="21"/>
              </w:rPr>
              <w:t>）</w:t>
            </w:r>
          </w:p>
        </w:tc>
        <w:tc>
          <w:tcPr>
            <w:tcW w:w="2288" w:type="dxa"/>
            <w:gridSpan w:val="2"/>
            <w:shd w:val="clear" w:color="auto" w:fill="auto"/>
            <w:noWrap/>
            <w:vAlign w:val="center"/>
          </w:tcPr>
          <w:p w14:paraId="4B47086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矿井水可回用量</w:t>
            </w:r>
          </w:p>
        </w:tc>
        <w:tc>
          <w:tcPr>
            <w:tcW w:w="1404" w:type="dxa"/>
            <w:vMerge w:val="restart"/>
            <w:shd w:val="clear" w:color="auto" w:fill="auto"/>
            <w:vAlign w:val="center"/>
          </w:tcPr>
          <w:p w14:paraId="7F195BE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生产生活污废水产生量（</w:t>
            </w:r>
            <w:r>
              <w:rPr>
                <w:rFonts w:ascii="Times New Roman" w:eastAsiaTheme="minorEastAsia" w:hAnsi="Times New Roman"/>
                <w:kern w:val="0"/>
                <w:sz w:val="21"/>
                <w:szCs w:val="21"/>
              </w:rPr>
              <w:t>m</w:t>
            </w:r>
            <w:r>
              <w:rPr>
                <w:rFonts w:ascii="Times New Roman" w:eastAsiaTheme="minorEastAsia" w:hAnsi="Times New Roman"/>
                <w:kern w:val="0"/>
                <w:sz w:val="21"/>
                <w:szCs w:val="21"/>
                <w:vertAlign w:val="superscript"/>
              </w:rPr>
              <w:t>3</w:t>
            </w:r>
            <w:r>
              <w:rPr>
                <w:rFonts w:ascii="Times New Roman" w:eastAsiaTheme="minorEastAsia" w:hAnsi="Times New Roman"/>
                <w:kern w:val="0"/>
                <w:sz w:val="21"/>
                <w:szCs w:val="21"/>
              </w:rPr>
              <w:t>/d</w:t>
            </w:r>
            <w:r>
              <w:rPr>
                <w:rFonts w:ascii="Times New Roman" w:eastAsiaTheme="minorEastAsia" w:hAnsi="Times New Roman"/>
                <w:kern w:val="0"/>
                <w:sz w:val="21"/>
                <w:szCs w:val="21"/>
              </w:rPr>
              <w:t>）</w:t>
            </w:r>
          </w:p>
        </w:tc>
        <w:tc>
          <w:tcPr>
            <w:tcW w:w="2545" w:type="dxa"/>
            <w:gridSpan w:val="2"/>
            <w:shd w:val="clear" w:color="auto" w:fill="auto"/>
            <w:noWrap/>
            <w:vAlign w:val="center"/>
          </w:tcPr>
          <w:p w14:paraId="0AE8D2D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生产生活污废水可回用量</w:t>
            </w:r>
          </w:p>
        </w:tc>
        <w:tc>
          <w:tcPr>
            <w:tcW w:w="1653" w:type="dxa"/>
            <w:vMerge w:val="restart"/>
            <w:shd w:val="clear" w:color="auto" w:fill="auto"/>
            <w:vAlign w:val="center"/>
          </w:tcPr>
          <w:p w14:paraId="20ED550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可回用量合计（万</w:t>
            </w:r>
            <w:r>
              <w:rPr>
                <w:rFonts w:ascii="Times New Roman" w:eastAsiaTheme="minorEastAsia" w:hAnsi="Times New Roman"/>
                <w:kern w:val="0"/>
                <w:sz w:val="21"/>
                <w:szCs w:val="21"/>
              </w:rPr>
              <w:t>m</w:t>
            </w:r>
            <w:r>
              <w:rPr>
                <w:rFonts w:ascii="Times New Roman" w:eastAsiaTheme="minorEastAsia" w:hAnsi="Times New Roman"/>
                <w:kern w:val="0"/>
                <w:sz w:val="21"/>
                <w:szCs w:val="21"/>
                <w:vertAlign w:val="superscript"/>
              </w:rPr>
              <w:t>3</w:t>
            </w:r>
            <w:r>
              <w:rPr>
                <w:rFonts w:ascii="Times New Roman" w:eastAsiaTheme="minorEastAsia" w:hAnsi="Times New Roman"/>
                <w:kern w:val="0"/>
                <w:sz w:val="21"/>
                <w:szCs w:val="21"/>
              </w:rPr>
              <w:t>/a</w:t>
            </w:r>
            <w:r>
              <w:rPr>
                <w:rFonts w:ascii="Times New Roman" w:eastAsiaTheme="minorEastAsia" w:hAnsi="Times New Roman"/>
                <w:kern w:val="0"/>
                <w:sz w:val="21"/>
                <w:szCs w:val="21"/>
              </w:rPr>
              <w:t>）</w:t>
            </w:r>
          </w:p>
        </w:tc>
      </w:tr>
      <w:tr w:rsidR="009C353B" w14:paraId="35FE9052" w14:textId="77777777">
        <w:trPr>
          <w:trHeight w:val="447"/>
          <w:jc w:val="center"/>
        </w:trPr>
        <w:tc>
          <w:tcPr>
            <w:tcW w:w="567" w:type="dxa"/>
            <w:vMerge/>
            <w:vAlign w:val="center"/>
          </w:tcPr>
          <w:p w14:paraId="1F5359F1" w14:textId="77777777" w:rsidR="009C353B" w:rsidRDefault="009C353B">
            <w:pPr>
              <w:widowControl/>
              <w:jc w:val="left"/>
              <w:rPr>
                <w:rFonts w:ascii="Times New Roman" w:eastAsiaTheme="minorEastAsia" w:hAnsi="Times New Roman"/>
                <w:kern w:val="0"/>
                <w:sz w:val="21"/>
                <w:szCs w:val="21"/>
              </w:rPr>
            </w:pPr>
          </w:p>
        </w:tc>
        <w:tc>
          <w:tcPr>
            <w:tcW w:w="2793" w:type="dxa"/>
            <w:vMerge/>
            <w:vAlign w:val="center"/>
          </w:tcPr>
          <w:p w14:paraId="5BAE44AC" w14:textId="77777777" w:rsidR="009C353B" w:rsidRDefault="009C353B">
            <w:pPr>
              <w:widowControl/>
              <w:jc w:val="left"/>
              <w:rPr>
                <w:rFonts w:ascii="Times New Roman" w:eastAsiaTheme="minorEastAsia" w:hAnsi="Times New Roman"/>
                <w:kern w:val="0"/>
                <w:sz w:val="21"/>
                <w:szCs w:val="21"/>
              </w:rPr>
            </w:pPr>
          </w:p>
        </w:tc>
        <w:tc>
          <w:tcPr>
            <w:tcW w:w="1171" w:type="dxa"/>
            <w:vMerge/>
            <w:vAlign w:val="center"/>
          </w:tcPr>
          <w:p w14:paraId="478D5752" w14:textId="77777777" w:rsidR="009C353B" w:rsidRDefault="009C353B">
            <w:pPr>
              <w:widowControl/>
              <w:jc w:val="left"/>
              <w:rPr>
                <w:rFonts w:ascii="Times New Roman" w:eastAsiaTheme="minorEastAsia" w:hAnsi="Times New Roman"/>
                <w:kern w:val="0"/>
                <w:sz w:val="21"/>
                <w:szCs w:val="21"/>
              </w:rPr>
            </w:pPr>
          </w:p>
        </w:tc>
        <w:tc>
          <w:tcPr>
            <w:tcW w:w="1555" w:type="dxa"/>
            <w:vMerge/>
            <w:vAlign w:val="center"/>
          </w:tcPr>
          <w:p w14:paraId="145BC0A7" w14:textId="77777777" w:rsidR="009C353B" w:rsidRDefault="009C353B">
            <w:pPr>
              <w:widowControl/>
              <w:jc w:val="left"/>
              <w:rPr>
                <w:rFonts w:ascii="Times New Roman" w:eastAsiaTheme="minorEastAsia" w:hAnsi="Times New Roman"/>
                <w:kern w:val="0"/>
                <w:sz w:val="21"/>
                <w:szCs w:val="21"/>
              </w:rPr>
            </w:pPr>
          </w:p>
        </w:tc>
        <w:tc>
          <w:tcPr>
            <w:tcW w:w="1275" w:type="dxa"/>
            <w:shd w:val="clear" w:color="auto" w:fill="auto"/>
            <w:noWrap/>
            <w:vAlign w:val="center"/>
          </w:tcPr>
          <w:p w14:paraId="1EFA94A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m</w:t>
            </w:r>
            <w:r>
              <w:rPr>
                <w:rFonts w:ascii="Times New Roman" w:eastAsiaTheme="minorEastAsia" w:hAnsi="Times New Roman"/>
                <w:kern w:val="0"/>
                <w:sz w:val="21"/>
                <w:szCs w:val="21"/>
                <w:vertAlign w:val="superscript"/>
              </w:rPr>
              <w:t>3</w:t>
            </w:r>
            <w:r>
              <w:rPr>
                <w:rFonts w:ascii="Times New Roman" w:eastAsiaTheme="minorEastAsia" w:hAnsi="Times New Roman"/>
                <w:kern w:val="0"/>
                <w:sz w:val="21"/>
                <w:szCs w:val="21"/>
              </w:rPr>
              <w:t>/d</w:t>
            </w:r>
          </w:p>
        </w:tc>
        <w:tc>
          <w:tcPr>
            <w:tcW w:w="1013" w:type="dxa"/>
            <w:shd w:val="clear" w:color="auto" w:fill="auto"/>
            <w:noWrap/>
            <w:vAlign w:val="center"/>
          </w:tcPr>
          <w:p w14:paraId="0E26415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万</w:t>
            </w:r>
            <w:r>
              <w:rPr>
                <w:rFonts w:ascii="Times New Roman" w:eastAsiaTheme="minorEastAsia" w:hAnsi="Times New Roman"/>
                <w:kern w:val="0"/>
                <w:sz w:val="21"/>
                <w:szCs w:val="21"/>
              </w:rPr>
              <w:t>m</w:t>
            </w:r>
            <w:r>
              <w:rPr>
                <w:rFonts w:ascii="Times New Roman" w:eastAsiaTheme="minorEastAsia" w:hAnsi="Times New Roman"/>
                <w:kern w:val="0"/>
                <w:sz w:val="21"/>
                <w:szCs w:val="21"/>
                <w:vertAlign w:val="superscript"/>
              </w:rPr>
              <w:t>3</w:t>
            </w:r>
            <w:r>
              <w:rPr>
                <w:rFonts w:ascii="Times New Roman" w:eastAsiaTheme="minorEastAsia" w:hAnsi="Times New Roman"/>
                <w:kern w:val="0"/>
                <w:sz w:val="21"/>
                <w:szCs w:val="21"/>
              </w:rPr>
              <w:t>/a</w:t>
            </w:r>
          </w:p>
        </w:tc>
        <w:tc>
          <w:tcPr>
            <w:tcW w:w="1404" w:type="dxa"/>
            <w:vMerge/>
            <w:vAlign w:val="center"/>
          </w:tcPr>
          <w:p w14:paraId="6CA53238" w14:textId="77777777" w:rsidR="009C353B" w:rsidRDefault="009C353B">
            <w:pPr>
              <w:widowControl/>
              <w:jc w:val="left"/>
              <w:rPr>
                <w:rFonts w:ascii="Times New Roman" w:eastAsiaTheme="minorEastAsia" w:hAnsi="Times New Roman"/>
                <w:kern w:val="0"/>
                <w:sz w:val="21"/>
                <w:szCs w:val="21"/>
              </w:rPr>
            </w:pPr>
          </w:p>
        </w:tc>
        <w:tc>
          <w:tcPr>
            <w:tcW w:w="1379" w:type="dxa"/>
            <w:shd w:val="clear" w:color="auto" w:fill="auto"/>
            <w:noWrap/>
            <w:vAlign w:val="center"/>
          </w:tcPr>
          <w:p w14:paraId="18846E1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m</w:t>
            </w:r>
            <w:r>
              <w:rPr>
                <w:rFonts w:ascii="Times New Roman" w:eastAsiaTheme="minorEastAsia" w:hAnsi="Times New Roman"/>
                <w:kern w:val="0"/>
                <w:sz w:val="21"/>
                <w:szCs w:val="21"/>
                <w:vertAlign w:val="superscript"/>
              </w:rPr>
              <w:t>3</w:t>
            </w:r>
            <w:r>
              <w:rPr>
                <w:rFonts w:ascii="Times New Roman" w:eastAsiaTheme="minorEastAsia" w:hAnsi="Times New Roman"/>
                <w:kern w:val="0"/>
                <w:sz w:val="21"/>
                <w:szCs w:val="21"/>
              </w:rPr>
              <w:t>/d</w:t>
            </w:r>
          </w:p>
        </w:tc>
        <w:tc>
          <w:tcPr>
            <w:tcW w:w="1166" w:type="dxa"/>
            <w:shd w:val="clear" w:color="auto" w:fill="auto"/>
            <w:noWrap/>
            <w:vAlign w:val="center"/>
          </w:tcPr>
          <w:p w14:paraId="2B80BAA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万</w:t>
            </w:r>
            <w:r>
              <w:rPr>
                <w:rFonts w:ascii="Times New Roman" w:eastAsiaTheme="minorEastAsia" w:hAnsi="Times New Roman"/>
                <w:kern w:val="0"/>
                <w:sz w:val="21"/>
                <w:szCs w:val="21"/>
              </w:rPr>
              <w:t>m</w:t>
            </w:r>
            <w:r>
              <w:rPr>
                <w:rFonts w:ascii="Times New Roman" w:eastAsiaTheme="minorEastAsia" w:hAnsi="Times New Roman"/>
                <w:kern w:val="0"/>
                <w:sz w:val="21"/>
                <w:szCs w:val="21"/>
                <w:vertAlign w:val="superscript"/>
              </w:rPr>
              <w:t>3</w:t>
            </w:r>
            <w:r>
              <w:rPr>
                <w:rFonts w:ascii="Times New Roman" w:eastAsiaTheme="minorEastAsia" w:hAnsi="Times New Roman"/>
                <w:kern w:val="0"/>
                <w:sz w:val="21"/>
                <w:szCs w:val="21"/>
              </w:rPr>
              <w:t>/a</w:t>
            </w:r>
          </w:p>
        </w:tc>
        <w:tc>
          <w:tcPr>
            <w:tcW w:w="1653" w:type="dxa"/>
            <w:vMerge/>
            <w:vAlign w:val="center"/>
          </w:tcPr>
          <w:p w14:paraId="048679E2" w14:textId="77777777" w:rsidR="009C353B" w:rsidRDefault="009C353B">
            <w:pPr>
              <w:widowControl/>
              <w:jc w:val="left"/>
              <w:rPr>
                <w:rFonts w:ascii="Times New Roman" w:eastAsiaTheme="minorEastAsia" w:hAnsi="Times New Roman"/>
                <w:kern w:val="0"/>
                <w:sz w:val="21"/>
                <w:szCs w:val="21"/>
              </w:rPr>
            </w:pPr>
          </w:p>
        </w:tc>
      </w:tr>
      <w:tr w:rsidR="009C353B" w14:paraId="4B1FDA4D" w14:textId="77777777">
        <w:trPr>
          <w:trHeight w:val="325"/>
          <w:jc w:val="center"/>
        </w:trPr>
        <w:tc>
          <w:tcPr>
            <w:tcW w:w="567" w:type="dxa"/>
            <w:shd w:val="clear" w:color="auto" w:fill="auto"/>
            <w:vAlign w:val="center"/>
          </w:tcPr>
          <w:p w14:paraId="01F35CA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2793" w:type="dxa"/>
            <w:shd w:val="clear" w:color="auto" w:fill="auto"/>
            <w:vAlign w:val="center"/>
          </w:tcPr>
          <w:p w14:paraId="703540D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马莲台矿井及选煤厂</w:t>
            </w:r>
          </w:p>
        </w:tc>
        <w:tc>
          <w:tcPr>
            <w:tcW w:w="1171" w:type="dxa"/>
            <w:shd w:val="clear" w:color="auto" w:fill="auto"/>
            <w:vAlign w:val="center"/>
          </w:tcPr>
          <w:p w14:paraId="460636D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3</w:t>
            </w:r>
            <w:r>
              <w:rPr>
                <w:rFonts w:ascii="Times New Roman" w:eastAsiaTheme="minorEastAsia" w:hAnsi="Times New Roman"/>
                <w:kern w:val="0"/>
                <w:sz w:val="21"/>
                <w:szCs w:val="21"/>
              </w:rPr>
              <w:t>.6</w:t>
            </w:r>
          </w:p>
        </w:tc>
        <w:tc>
          <w:tcPr>
            <w:tcW w:w="1555" w:type="dxa"/>
            <w:shd w:val="clear" w:color="auto" w:fill="auto"/>
            <w:noWrap/>
            <w:vAlign w:val="center"/>
          </w:tcPr>
          <w:p w14:paraId="77732E9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7728</w:t>
            </w:r>
            <w:r>
              <w:rPr>
                <w:rFonts w:ascii="Times New Roman" w:eastAsiaTheme="minorEastAsia" w:hAnsi="Times New Roman" w:hint="eastAsia"/>
                <w:kern w:val="0"/>
                <w:sz w:val="21"/>
                <w:szCs w:val="21"/>
              </w:rPr>
              <w:t>（</w:t>
            </w:r>
            <w:r>
              <w:rPr>
                <w:rFonts w:ascii="Times New Roman" w:eastAsiaTheme="minorEastAsia" w:hAnsi="Times New Roman" w:hint="eastAsia"/>
                <w:kern w:val="0"/>
                <w:sz w:val="21"/>
                <w:szCs w:val="21"/>
              </w:rPr>
              <w:t>322</w:t>
            </w:r>
            <w:r>
              <w:rPr>
                <w:rFonts w:ascii="Times New Roman" w:eastAsiaTheme="minorEastAsia" w:hAnsi="Times New Roman" w:hint="eastAsia"/>
                <w:kern w:val="0"/>
                <w:sz w:val="21"/>
                <w:szCs w:val="21"/>
              </w:rPr>
              <w:t>）</w:t>
            </w:r>
          </w:p>
        </w:tc>
        <w:tc>
          <w:tcPr>
            <w:tcW w:w="1275" w:type="dxa"/>
            <w:shd w:val="clear" w:color="auto" w:fill="auto"/>
            <w:noWrap/>
            <w:vAlign w:val="center"/>
          </w:tcPr>
          <w:p w14:paraId="18CE8E0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3864</w:t>
            </w:r>
          </w:p>
        </w:tc>
        <w:tc>
          <w:tcPr>
            <w:tcW w:w="1013" w:type="dxa"/>
            <w:shd w:val="clear" w:color="auto" w:fill="auto"/>
            <w:noWrap/>
            <w:vAlign w:val="center"/>
          </w:tcPr>
          <w:p w14:paraId="472B671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w:t>
            </w:r>
            <w:r>
              <w:rPr>
                <w:rFonts w:ascii="Times New Roman" w:eastAsiaTheme="minorEastAsia" w:hAnsi="Times New Roman"/>
                <w:kern w:val="0"/>
                <w:sz w:val="21"/>
                <w:szCs w:val="21"/>
              </w:rPr>
              <w:t>27.5</w:t>
            </w:r>
          </w:p>
        </w:tc>
        <w:tc>
          <w:tcPr>
            <w:tcW w:w="1404" w:type="dxa"/>
            <w:shd w:val="clear" w:color="auto" w:fill="auto"/>
            <w:noWrap/>
            <w:vAlign w:val="center"/>
          </w:tcPr>
          <w:p w14:paraId="671F320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96.9</w:t>
            </w:r>
          </w:p>
        </w:tc>
        <w:tc>
          <w:tcPr>
            <w:tcW w:w="1379" w:type="dxa"/>
            <w:shd w:val="clear" w:color="auto" w:fill="auto"/>
            <w:noWrap/>
            <w:vAlign w:val="center"/>
          </w:tcPr>
          <w:p w14:paraId="32CE16D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77.52</w:t>
            </w:r>
          </w:p>
        </w:tc>
        <w:tc>
          <w:tcPr>
            <w:tcW w:w="1166" w:type="dxa"/>
            <w:shd w:val="clear" w:color="auto" w:fill="auto"/>
            <w:noWrap/>
            <w:vAlign w:val="center"/>
          </w:tcPr>
          <w:p w14:paraId="27503FE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2</w:t>
            </w:r>
            <w:r>
              <w:rPr>
                <w:rFonts w:ascii="Times New Roman" w:eastAsiaTheme="minorEastAsia" w:hAnsi="Times New Roman"/>
                <w:kern w:val="0"/>
                <w:sz w:val="21"/>
                <w:szCs w:val="21"/>
              </w:rPr>
              <w:t>.83</w:t>
            </w:r>
          </w:p>
        </w:tc>
        <w:tc>
          <w:tcPr>
            <w:tcW w:w="1653" w:type="dxa"/>
            <w:shd w:val="clear" w:color="auto" w:fill="auto"/>
            <w:noWrap/>
            <w:vAlign w:val="center"/>
          </w:tcPr>
          <w:p w14:paraId="4CB15BE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w:t>
            </w:r>
            <w:r>
              <w:rPr>
                <w:rFonts w:ascii="Times New Roman" w:eastAsiaTheme="minorEastAsia" w:hAnsi="Times New Roman"/>
                <w:kern w:val="0"/>
                <w:sz w:val="21"/>
                <w:szCs w:val="21"/>
              </w:rPr>
              <w:t>30.33</w:t>
            </w:r>
          </w:p>
        </w:tc>
      </w:tr>
      <w:tr w:rsidR="009C353B" w14:paraId="5E5FAD40" w14:textId="77777777">
        <w:trPr>
          <w:trHeight w:val="325"/>
          <w:jc w:val="center"/>
        </w:trPr>
        <w:tc>
          <w:tcPr>
            <w:tcW w:w="567" w:type="dxa"/>
            <w:shd w:val="clear" w:color="auto" w:fill="auto"/>
            <w:vAlign w:val="center"/>
          </w:tcPr>
          <w:p w14:paraId="2006A1F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c>
          <w:tcPr>
            <w:tcW w:w="2793" w:type="dxa"/>
            <w:shd w:val="clear" w:color="auto" w:fill="auto"/>
            <w:vAlign w:val="center"/>
          </w:tcPr>
          <w:p w14:paraId="397FC94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红石湾矿井及选煤厂</w:t>
            </w:r>
          </w:p>
        </w:tc>
        <w:tc>
          <w:tcPr>
            <w:tcW w:w="1171" w:type="dxa"/>
            <w:shd w:val="clear" w:color="auto" w:fill="auto"/>
            <w:vAlign w:val="center"/>
          </w:tcPr>
          <w:p w14:paraId="7659BF7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w:t>
            </w:r>
            <w:r>
              <w:rPr>
                <w:rFonts w:ascii="Times New Roman" w:eastAsiaTheme="minorEastAsia" w:hAnsi="Times New Roman"/>
                <w:kern w:val="0"/>
                <w:sz w:val="21"/>
                <w:szCs w:val="21"/>
              </w:rPr>
              <w:t>.1</w:t>
            </w:r>
          </w:p>
        </w:tc>
        <w:tc>
          <w:tcPr>
            <w:tcW w:w="1555" w:type="dxa"/>
            <w:shd w:val="clear" w:color="auto" w:fill="auto"/>
            <w:noWrap/>
            <w:vAlign w:val="center"/>
          </w:tcPr>
          <w:p w14:paraId="6C13698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10704</w:t>
            </w:r>
            <w:r>
              <w:rPr>
                <w:rFonts w:ascii="Times New Roman" w:eastAsiaTheme="minorEastAsia" w:hAnsi="Times New Roman" w:hint="eastAsia"/>
                <w:kern w:val="0"/>
                <w:sz w:val="21"/>
                <w:szCs w:val="21"/>
              </w:rPr>
              <w:t>（</w:t>
            </w:r>
            <w:r>
              <w:rPr>
                <w:rFonts w:ascii="Times New Roman" w:eastAsiaTheme="minorEastAsia" w:hAnsi="Times New Roman" w:hint="eastAsia"/>
                <w:kern w:val="0"/>
                <w:sz w:val="21"/>
                <w:szCs w:val="21"/>
              </w:rPr>
              <w:t>446</w:t>
            </w:r>
            <w:r>
              <w:rPr>
                <w:rFonts w:ascii="Times New Roman" w:eastAsiaTheme="minorEastAsia" w:hAnsi="Times New Roman" w:hint="eastAsia"/>
                <w:kern w:val="0"/>
                <w:sz w:val="21"/>
                <w:szCs w:val="21"/>
              </w:rPr>
              <w:t>）</w:t>
            </w:r>
          </w:p>
        </w:tc>
        <w:tc>
          <w:tcPr>
            <w:tcW w:w="1275" w:type="dxa"/>
            <w:shd w:val="clear" w:color="auto" w:fill="auto"/>
            <w:noWrap/>
            <w:vAlign w:val="center"/>
          </w:tcPr>
          <w:p w14:paraId="3FC3977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5352</w:t>
            </w:r>
          </w:p>
        </w:tc>
        <w:tc>
          <w:tcPr>
            <w:tcW w:w="1013" w:type="dxa"/>
            <w:shd w:val="clear" w:color="auto" w:fill="auto"/>
            <w:noWrap/>
            <w:vAlign w:val="center"/>
          </w:tcPr>
          <w:p w14:paraId="4D957D3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w:t>
            </w:r>
            <w:r>
              <w:rPr>
                <w:rFonts w:ascii="Times New Roman" w:eastAsiaTheme="minorEastAsia" w:hAnsi="Times New Roman"/>
                <w:kern w:val="0"/>
                <w:sz w:val="21"/>
                <w:szCs w:val="21"/>
              </w:rPr>
              <w:t>76.6</w:t>
            </w:r>
          </w:p>
        </w:tc>
        <w:tc>
          <w:tcPr>
            <w:tcW w:w="1404" w:type="dxa"/>
            <w:shd w:val="clear" w:color="auto" w:fill="auto"/>
            <w:noWrap/>
            <w:vAlign w:val="center"/>
          </w:tcPr>
          <w:p w14:paraId="7AF1F63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75.2</w:t>
            </w:r>
          </w:p>
        </w:tc>
        <w:tc>
          <w:tcPr>
            <w:tcW w:w="1379" w:type="dxa"/>
            <w:shd w:val="clear" w:color="auto" w:fill="auto"/>
            <w:noWrap/>
            <w:vAlign w:val="center"/>
          </w:tcPr>
          <w:p w14:paraId="2F801F4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60.16</w:t>
            </w:r>
          </w:p>
        </w:tc>
        <w:tc>
          <w:tcPr>
            <w:tcW w:w="1166" w:type="dxa"/>
            <w:shd w:val="clear" w:color="auto" w:fill="auto"/>
            <w:noWrap/>
            <w:vAlign w:val="center"/>
          </w:tcPr>
          <w:p w14:paraId="613DE68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2.20</w:t>
            </w:r>
          </w:p>
        </w:tc>
        <w:tc>
          <w:tcPr>
            <w:tcW w:w="1653" w:type="dxa"/>
            <w:shd w:val="clear" w:color="auto" w:fill="auto"/>
            <w:noWrap/>
            <w:vAlign w:val="center"/>
          </w:tcPr>
          <w:p w14:paraId="1EC09D4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178.80</w:t>
            </w:r>
          </w:p>
        </w:tc>
      </w:tr>
      <w:tr w:rsidR="009C353B" w14:paraId="30C6944E" w14:textId="77777777">
        <w:trPr>
          <w:trHeight w:val="325"/>
          <w:jc w:val="center"/>
        </w:trPr>
        <w:tc>
          <w:tcPr>
            <w:tcW w:w="567" w:type="dxa"/>
            <w:shd w:val="clear" w:color="auto" w:fill="auto"/>
            <w:vAlign w:val="center"/>
          </w:tcPr>
          <w:p w14:paraId="17864A04"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2793" w:type="dxa"/>
            <w:shd w:val="clear" w:color="auto" w:fill="auto"/>
            <w:vAlign w:val="center"/>
          </w:tcPr>
          <w:p w14:paraId="15D2462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任家庄矿井及选煤厂</w:t>
            </w:r>
          </w:p>
        </w:tc>
        <w:tc>
          <w:tcPr>
            <w:tcW w:w="1171" w:type="dxa"/>
            <w:shd w:val="clear" w:color="auto" w:fill="auto"/>
            <w:vAlign w:val="center"/>
          </w:tcPr>
          <w:p w14:paraId="3EDA4A0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3</w:t>
            </w:r>
            <w:r>
              <w:rPr>
                <w:rFonts w:ascii="Times New Roman" w:eastAsiaTheme="minorEastAsia" w:hAnsi="Times New Roman"/>
                <w:kern w:val="0"/>
                <w:sz w:val="21"/>
                <w:szCs w:val="21"/>
              </w:rPr>
              <w:t>.6</w:t>
            </w:r>
          </w:p>
        </w:tc>
        <w:tc>
          <w:tcPr>
            <w:tcW w:w="1555" w:type="dxa"/>
            <w:shd w:val="clear" w:color="auto" w:fill="auto"/>
            <w:noWrap/>
            <w:vAlign w:val="center"/>
          </w:tcPr>
          <w:p w14:paraId="575755D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6120</w:t>
            </w:r>
            <w:r>
              <w:rPr>
                <w:rFonts w:ascii="Times New Roman" w:eastAsiaTheme="minorEastAsia" w:hAnsi="Times New Roman" w:hint="eastAsia"/>
                <w:kern w:val="0"/>
                <w:sz w:val="21"/>
                <w:szCs w:val="21"/>
              </w:rPr>
              <w:t>（</w:t>
            </w:r>
            <w:r>
              <w:rPr>
                <w:rFonts w:ascii="Times New Roman" w:eastAsiaTheme="minorEastAsia" w:hAnsi="Times New Roman" w:hint="eastAsia"/>
                <w:kern w:val="0"/>
                <w:sz w:val="21"/>
                <w:szCs w:val="21"/>
              </w:rPr>
              <w:t>255</w:t>
            </w:r>
            <w:r>
              <w:rPr>
                <w:rFonts w:ascii="Times New Roman" w:eastAsiaTheme="minorEastAsia" w:hAnsi="Times New Roman" w:hint="eastAsia"/>
                <w:kern w:val="0"/>
                <w:sz w:val="21"/>
                <w:szCs w:val="21"/>
              </w:rPr>
              <w:t>）</w:t>
            </w:r>
          </w:p>
        </w:tc>
        <w:tc>
          <w:tcPr>
            <w:tcW w:w="1275" w:type="dxa"/>
            <w:shd w:val="clear" w:color="auto" w:fill="auto"/>
            <w:noWrap/>
            <w:vAlign w:val="center"/>
          </w:tcPr>
          <w:p w14:paraId="4C85351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3060</w:t>
            </w:r>
          </w:p>
        </w:tc>
        <w:tc>
          <w:tcPr>
            <w:tcW w:w="1013" w:type="dxa"/>
            <w:shd w:val="clear" w:color="auto" w:fill="auto"/>
            <w:noWrap/>
            <w:vAlign w:val="center"/>
          </w:tcPr>
          <w:p w14:paraId="2D532D6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w:t>
            </w:r>
            <w:r>
              <w:rPr>
                <w:rFonts w:ascii="Times New Roman" w:eastAsiaTheme="minorEastAsia" w:hAnsi="Times New Roman"/>
                <w:kern w:val="0"/>
                <w:sz w:val="21"/>
                <w:szCs w:val="21"/>
              </w:rPr>
              <w:t>01.0</w:t>
            </w:r>
          </w:p>
        </w:tc>
        <w:tc>
          <w:tcPr>
            <w:tcW w:w="1404" w:type="dxa"/>
            <w:shd w:val="clear" w:color="auto" w:fill="auto"/>
            <w:noWrap/>
            <w:vAlign w:val="center"/>
          </w:tcPr>
          <w:p w14:paraId="6B01345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113.2</w:t>
            </w:r>
          </w:p>
        </w:tc>
        <w:tc>
          <w:tcPr>
            <w:tcW w:w="1379" w:type="dxa"/>
            <w:shd w:val="clear" w:color="auto" w:fill="auto"/>
            <w:noWrap/>
            <w:vAlign w:val="center"/>
          </w:tcPr>
          <w:p w14:paraId="2841AD5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90.56</w:t>
            </w:r>
          </w:p>
        </w:tc>
        <w:tc>
          <w:tcPr>
            <w:tcW w:w="1166" w:type="dxa"/>
            <w:shd w:val="clear" w:color="auto" w:fill="auto"/>
            <w:noWrap/>
            <w:vAlign w:val="center"/>
          </w:tcPr>
          <w:p w14:paraId="7AA4DF2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3.31</w:t>
            </w:r>
          </w:p>
        </w:tc>
        <w:tc>
          <w:tcPr>
            <w:tcW w:w="1653" w:type="dxa"/>
            <w:shd w:val="clear" w:color="auto" w:fill="auto"/>
            <w:noWrap/>
            <w:vAlign w:val="center"/>
          </w:tcPr>
          <w:p w14:paraId="22123D4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104.31</w:t>
            </w:r>
          </w:p>
        </w:tc>
      </w:tr>
      <w:tr w:rsidR="009C353B" w14:paraId="7C84A0BB" w14:textId="77777777">
        <w:trPr>
          <w:trHeight w:val="325"/>
          <w:jc w:val="center"/>
        </w:trPr>
        <w:tc>
          <w:tcPr>
            <w:tcW w:w="567" w:type="dxa"/>
            <w:shd w:val="clear" w:color="auto" w:fill="auto"/>
            <w:vAlign w:val="center"/>
          </w:tcPr>
          <w:p w14:paraId="4D344C4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2793" w:type="dxa"/>
            <w:shd w:val="clear" w:color="auto" w:fill="auto"/>
            <w:vAlign w:val="center"/>
          </w:tcPr>
          <w:p w14:paraId="6A60094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丁家梁矿井</w:t>
            </w:r>
          </w:p>
        </w:tc>
        <w:tc>
          <w:tcPr>
            <w:tcW w:w="1171" w:type="dxa"/>
            <w:shd w:val="clear" w:color="auto" w:fill="auto"/>
            <w:vAlign w:val="center"/>
          </w:tcPr>
          <w:p w14:paraId="014FCFF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0.9</w:t>
            </w:r>
          </w:p>
        </w:tc>
        <w:tc>
          <w:tcPr>
            <w:tcW w:w="1555" w:type="dxa"/>
            <w:shd w:val="clear" w:color="auto" w:fill="auto"/>
            <w:noWrap/>
            <w:vAlign w:val="center"/>
          </w:tcPr>
          <w:p w14:paraId="6DE9156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6504</w:t>
            </w:r>
            <w:r>
              <w:rPr>
                <w:rFonts w:ascii="Times New Roman" w:eastAsiaTheme="minorEastAsia" w:hAnsi="Times New Roman" w:hint="eastAsia"/>
                <w:kern w:val="0"/>
                <w:sz w:val="21"/>
                <w:szCs w:val="21"/>
              </w:rPr>
              <w:t>（</w:t>
            </w:r>
            <w:r>
              <w:rPr>
                <w:rFonts w:ascii="Times New Roman" w:eastAsiaTheme="minorEastAsia" w:hAnsi="Times New Roman" w:hint="eastAsia"/>
                <w:kern w:val="0"/>
                <w:sz w:val="21"/>
                <w:szCs w:val="21"/>
              </w:rPr>
              <w:t>271</w:t>
            </w:r>
            <w:r>
              <w:rPr>
                <w:rFonts w:ascii="Times New Roman" w:eastAsiaTheme="minorEastAsia" w:hAnsi="Times New Roman" w:hint="eastAsia"/>
                <w:kern w:val="0"/>
                <w:sz w:val="21"/>
                <w:szCs w:val="21"/>
              </w:rPr>
              <w:t>）</w:t>
            </w:r>
          </w:p>
        </w:tc>
        <w:tc>
          <w:tcPr>
            <w:tcW w:w="1275" w:type="dxa"/>
            <w:shd w:val="clear" w:color="auto" w:fill="auto"/>
            <w:noWrap/>
            <w:vAlign w:val="center"/>
          </w:tcPr>
          <w:p w14:paraId="21E7343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3252</w:t>
            </w:r>
          </w:p>
        </w:tc>
        <w:tc>
          <w:tcPr>
            <w:tcW w:w="1013" w:type="dxa"/>
            <w:shd w:val="clear" w:color="auto" w:fill="auto"/>
            <w:noWrap/>
            <w:vAlign w:val="center"/>
          </w:tcPr>
          <w:p w14:paraId="3DCAE38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w:t>
            </w:r>
            <w:r>
              <w:rPr>
                <w:rFonts w:ascii="Times New Roman" w:eastAsiaTheme="minorEastAsia" w:hAnsi="Times New Roman"/>
                <w:kern w:val="0"/>
                <w:sz w:val="21"/>
                <w:szCs w:val="21"/>
              </w:rPr>
              <w:t>07.3</w:t>
            </w:r>
          </w:p>
        </w:tc>
        <w:tc>
          <w:tcPr>
            <w:tcW w:w="1404" w:type="dxa"/>
            <w:shd w:val="clear" w:color="auto" w:fill="auto"/>
            <w:noWrap/>
            <w:vAlign w:val="center"/>
          </w:tcPr>
          <w:p w14:paraId="2B8822D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45.6</w:t>
            </w:r>
          </w:p>
        </w:tc>
        <w:tc>
          <w:tcPr>
            <w:tcW w:w="1379" w:type="dxa"/>
            <w:shd w:val="clear" w:color="auto" w:fill="auto"/>
            <w:noWrap/>
            <w:vAlign w:val="center"/>
          </w:tcPr>
          <w:p w14:paraId="20AE4A2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36.48</w:t>
            </w:r>
          </w:p>
        </w:tc>
        <w:tc>
          <w:tcPr>
            <w:tcW w:w="1166" w:type="dxa"/>
            <w:shd w:val="clear" w:color="auto" w:fill="auto"/>
            <w:noWrap/>
            <w:vAlign w:val="center"/>
          </w:tcPr>
          <w:p w14:paraId="5960B50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1.33</w:t>
            </w:r>
          </w:p>
        </w:tc>
        <w:tc>
          <w:tcPr>
            <w:tcW w:w="1653" w:type="dxa"/>
            <w:shd w:val="clear" w:color="auto" w:fill="auto"/>
            <w:noWrap/>
            <w:vAlign w:val="center"/>
          </w:tcPr>
          <w:p w14:paraId="6E0CCF9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108.63</w:t>
            </w:r>
          </w:p>
        </w:tc>
      </w:tr>
      <w:tr w:rsidR="009C353B" w14:paraId="254C27BC" w14:textId="77777777">
        <w:trPr>
          <w:trHeight w:val="325"/>
          <w:jc w:val="center"/>
        </w:trPr>
        <w:tc>
          <w:tcPr>
            <w:tcW w:w="3360" w:type="dxa"/>
            <w:gridSpan w:val="2"/>
            <w:shd w:val="clear" w:color="auto" w:fill="auto"/>
            <w:vAlign w:val="center"/>
          </w:tcPr>
          <w:p w14:paraId="07170DD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小计</w:t>
            </w:r>
          </w:p>
        </w:tc>
        <w:tc>
          <w:tcPr>
            <w:tcW w:w="1171" w:type="dxa"/>
            <w:shd w:val="clear" w:color="auto" w:fill="auto"/>
            <w:vAlign w:val="center"/>
          </w:tcPr>
          <w:p w14:paraId="1A7B885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9.2</w:t>
            </w:r>
          </w:p>
        </w:tc>
        <w:tc>
          <w:tcPr>
            <w:tcW w:w="1555" w:type="dxa"/>
            <w:shd w:val="clear" w:color="auto" w:fill="auto"/>
            <w:noWrap/>
            <w:vAlign w:val="center"/>
          </w:tcPr>
          <w:p w14:paraId="102B30A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31056</w:t>
            </w:r>
            <w:r>
              <w:rPr>
                <w:rFonts w:ascii="Times New Roman" w:eastAsiaTheme="minorEastAsia" w:hAnsi="Times New Roman" w:hint="eastAsia"/>
                <w:kern w:val="0"/>
                <w:sz w:val="21"/>
                <w:szCs w:val="21"/>
              </w:rPr>
              <w:t>（</w:t>
            </w:r>
            <w:r>
              <w:rPr>
                <w:rFonts w:ascii="Times New Roman" w:eastAsiaTheme="minorEastAsia" w:hAnsi="Times New Roman" w:hint="eastAsia"/>
                <w:kern w:val="0"/>
                <w:sz w:val="21"/>
                <w:szCs w:val="21"/>
              </w:rPr>
              <w:t>1294</w:t>
            </w:r>
            <w:r>
              <w:rPr>
                <w:rFonts w:ascii="Times New Roman" w:eastAsiaTheme="minorEastAsia" w:hAnsi="Times New Roman" w:hint="eastAsia"/>
                <w:kern w:val="0"/>
                <w:sz w:val="21"/>
                <w:szCs w:val="21"/>
              </w:rPr>
              <w:t>）</w:t>
            </w:r>
          </w:p>
        </w:tc>
        <w:tc>
          <w:tcPr>
            <w:tcW w:w="1275" w:type="dxa"/>
            <w:shd w:val="clear" w:color="auto" w:fill="auto"/>
            <w:noWrap/>
            <w:vAlign w:val="center"/>
          </w:tcPr>
          <w:p w14:paraId="63F63A7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15528</w:t>
            </w:r>
          </w:p>
        </w:tc>
        <w:tc>
          <w:tcPr>
            <w:tcW w:w="1013" w:type="dxa"/>
            <w:shd w:val="clear" w:color="auto" w:fill="auto"/>
            <w:noWrap/>
            <w:vAlign w:val="center"/>
          </w:tcPr>
          <w:p w14:paraId="782E42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5</w:t>
            </w:r>
            <w:r>
              <w:rPr>
                <w:rFonts w:ascii="Times New Roman" w:eastAsiaTheme="minorEastAsia" w:hAnsi="Times New Roman"/>
                <w:kern w:val="0"/>
                <w:sz w:val="21"/>
                <w:szCs w:val="21"/>
              </w:rPr>
              <w:t>12.4</w:t>
            </w:r>
          </w:p>
        </w:tc>
        <w:tc>
          <w:tcPr>
            <w:tcW w:w="1404" w:type="dxa"/>
            <w:shd w:val="clear" w:color="auto" w:fill="auto"/>
            <w:noWrap/>
            <w:vAlign w:val="center"/>
          </w:tcPr>
          <w:p w14:paraId="21CA211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376.2</w:t>
            </w:r>
          </w:p>
        </w:tc>
        <w:tc>
          <w:tcPr>
            <w:tcW w:w="1379" w:type="dxa"/>
            <w:shd w:val="clear" w:color="auto" w:fill="auto"/>
            <w:noWrap/>
            <w:vAlign w:val="center"/>
          </w:tcPr>
          <w:p w14:paraId="6264429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300.96</w:t>
            </w:r>
          </w:p>
        </w:tc>
        <w:tc>
          <w:tcPr>
            <w:tcW w:w="1166" w:type="dxa"/>
            <w:shd w:val="clear" w:color="auto" w:fill="auto"/>
            <w:noWrap/>
            <w:vAlign w:val="center"/>
          </w:tcPr>
          <w:p w14:paraId="3B5BE03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9.67</w:t>
            </w:r>
          </w:p>
        </w:tc>
        <w:tc>
          <w:tcPr>
            <w:tcW w:w="1653" w:type="dxa"/>
            <w:shd w:val="clear" w:color="auto" w:fill="auto"/>
            <w:noWrap/>
            <w:vAlign w:val="center"/>
          </w:tcPr>
          <w:p w14:paraId="4EB588C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522.07</w:t>
            </w:r>
          </w:p>
        </w:tc>
      </w:tr>
    </w:tbl>
    <w:p w14:paraId="759D260B" w14:textId="77777777" w:rsidR="009C353B" w:rsidRDefault="009C353B">
      <w:pPr>
        <w:adjustRightInd w:val="0"/>
        <w:snapToGrid w:val="0"/>
        <w:spacing w:line="440" w:lineRule="exact"/>
        <w:ind w:firstLineChars="200" w:firstLine="480"/>
        <w:rPr>
          <w:rFonts w:ascii="仿宋_GB2312" w:hint="eastAsia"/>
          <w:szCs w:val="28"/>
        </w:rPr>
        <w:sectPr w:rsidR="009C353B">
          <w:headerReference w:type="default" r:id="rId461"/>
          <w:pgSz w:w="16840" w:h="11907" w:orient="landscape"/>
          <w:pgMar w:top="1701" w:right="1418" w:bottom="1418" w:left="1418" w:header="1134" w:footer="851" w:gutter="0"/>
          <w:paperSrc w:first="7" w:other="7"/>
          <w:cols w:space="720"/>
          <w:docGrid w:linePitch="326"/>
        </w:sectPr>
      </w:pPr>
    </w:p>
    <w:p w14:paraId="28C97087" w14:textId="77777777" w:rsidR="009C353B" w:rsidRDefault="00000000">
      <w:pPr>
        <w:pStyle w:val="40"/>
        <w:spacing w:before="0" w:after="0"/>
        <w:rPr>
          <w:rFonts w:ascii="Times New Roman" w:eastAsia="宋体" w:hAnsi="Times New Roman"/>
          <w:sz w:val="24"/>
        </w:rPr>
      </w:pPr>
      <w:r>
        <w:rPr>
          <w:rFonts w:ascii="Times New Roman" w:eastAsia="宋体" w:hAnsi="Times New Roman"/>
          <w:sz w:val="24"/>
        </w:rPr>
        <w:t>7</w:t>
      </w:r>
      <w:r>
        <w:rPr>
          <w:rFonts w:ascii="Times New Roman" w:eastAsia="宋体" w:hAnsi="Times New Roman" w:hint="eastAsia"/>
          <w:sz w:val="24"/>
        </w:rPr>
        <w:t>.1.</w:t>
      </w:r>
      <w:r>
        <w:rPr>
          <w:rFonts w:ascii="Times New Roman" w:eastAsia="宋体" w:hAnsi="Times New Roman"/>
          <w:sz w:val="24"/>
        </w:rPr>
        <w:t>3</w:t>
      </w:r>
      <w:r>
        <w:rPr>
          <w:rFonts w:ascii="Times New Roman" w:eastAsia="宋体" w:hAnsi="Times New Roman" w:hint="eastAsia"/>
          <w:sz w:val="24"/>
        </w:rPr>
        <w:t xml:space="preserve"> </w:t>
      </w:r>
      <w:r>
        <w:rPr>
          <w:rFonts w:ascii="Times New Roman" w:eastAsia="宋体" w:hAnsi="Times New Roman" w:hint="eastAsia"/>
          <w:sz w:val="24"/>
        </w:rPr>
        <w:t>矿区用水量</w:t>
      </w:r>
    </w:p>
    <w:p w14:paraId="52EEC0A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w:t>
      </w:r>
      <w:r>
        <w:rPr>
          <w:rFonts w:ascii="Times New Roman"/>
        </w:rPr>
        <w:t>规划近期时</w:t>
      </w:r>
      <w:r>
        <w:rPr>
          <w:rFonts w:ascii="Times New Roman" w:hint="eastAsia"/>
        </w:rPr>
        <w:t>（</w:t>
      </w:r>
      <w:r>
        <w:rPr>
          <w:rFonts w:ascii="Times New Roman" w:hint="eastAsia"/>
        </w:rPr>
        <w:t>202</w:t>
      </w:r>
      <w:r>
        <w:rPr>
          <w:rFonts w:ascii="Times New Roman"/>
        </w:rPr>
        <w:t>2</w:t>
      </w:r>
      <w:r>
        <w:rPr>
          <w:rFonts w:ascii="Times New Roman" w:hint="eastAsia"/>
        </w:rPr>
        <w:t>年</w:t>
      </w:r>
      <w:r>
        <w:rPr>
          <w:rFonts w:ascii="Times New Roman"/>
        </w:rPr>
        <w:t>）即达到规划产能</w:t>
      </w:r>
      <w:r>
        <w:rPr>
          <w:rFonts w:ascii="Times New Roman" w:hint="eastAsia"/>
        </w:rPr>
        <w:t>（煤炭</w:t>
      </w:r>
      <w:r>
        <w:rPr>
          <w:rFonts w:ascii="Times New Roman"/>
        </w:rPr>
        <w:t>产量</w:t>
      </w:r>
      <w:r>
        <w:rPr>
          <w:rFonts w:ascii="Times New Roman" w:hint="eastAsia"/>
        </w:rPr>
        <w:t>9.2</w:t>
      </w:r>
      <w:r>
        <w:rPr>
          <w:rFonts w:ascii="Times New Roman"/>
        </w:rPr>
        <w:t>0Mt/a</w:t>
      </w:r>
      <w:r>
        <w:rPr>
          <w:rFonts w:ascii="Times New Roman" w:hint="eastAsia"/>
        </w:rPr>
        <w:t>），因此</w:t>
      </w:r>
      <w:r>
        <w:rPr>
          <w:rFonts w:ascii="Times New Roman"/>
        </w:rPr>
        <w:t>，规划近期时</w:t>
      </w:r>
      <w:r>
        <w:rPr>
          <w:rFonts w:ascii="Times New Roman" w:hint="eastAsia"/>
        </w:rPr>
        <w:t>矿区</w:t>
      </w:r>
      <w:r>
        <w:rPr>
          <w:rFonts w:ascii="Times New Roman"/>
        </w:rPr>
        <w:t>用水量即达到</w:t>
      </w:r>
      <w:r>
        <w:rPr>
          <w:rFonts w:ascii="Times New Roman" w:hint="eastAsia"/>
        </w:rPr>
        <w:t>最大</w:t>
      </w:r>
      <w:r>
        <w:rPr>
          <w:rFonts w:ascii="Times New Roman"/>
        </w:rPr>
        <w:t>用水量</w:t>
      </w:r>
      <w:r>
        <w:rPr>
          <w:rFonts w:ascii="Times New Roman" w:hint="eastAsia"/>
        </w:rPr>
        <w:t>，用水量</w:t>
      </w:r>
      <w:r>
        <w:rPr>
          <w:rFonts w:ascii="Times New Roman"/>
        </w:rPr>
        <w:t>分析及水资源承载分析不再分期</w:t>
      </w:r>
      <w:r>
        <w:rPr>
          <w:rFonts w:ascii="Times New Roman" w:hint="eastAsia"/>
        </w:rPr>
        <w:t>分析</w:t>
      </w:r>
      <w:r>
        <w:rPr>
          <w:rFonts w:ascii="Times New Roman"/>
        </w:rPr>
        <w:t>。矿区规划实施后用水量见下表</w:t>
      </w:r>
      <w:r>
        <w:rPr>
          <w:rFonts w:ascii="Times New Roman"/>
        </w:rPr>
        <w:t>7.1-2</w:t>
      </w:r>
      <w:r>
        <w:rPr>
          <w:rFonts w:ascii="Times New Roman"/>
        </w:rPr>
        <w:t>。</w:t>
      </w:r>
    </w:p>
    <w:p w14:paraId="2C62EB04"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hint="eastAsia"/>
          <w:b/>
          <w:szCs w:val="24"/>
        </w:rPr>
        <w:t>矿区规划</w:t>
      </w:r>
      <w:r>
        <w:rPr>
          <w:rFonts w:ascii="Times New Roman" w:hAnsi="Times New Roman"/>
          <w:b/>
          <w:szCs w:val="24"/>
        </w:rPr>
        <w:t>用水量</w:t>
      </w:r>
      <w:r>
        <w:rPr>
          <w:rFonts w:ascii="Times New Roman" w:hAnsi="Times New Roman" w:hint="eastAsia"/>
          <w:b/>
          <w:szCs w:val="24"/>
        </w:rPr>
        <w:t>表</w:t>
      </w:r>
    </w:p>
    <w:p w14:paraId="69DED271" w14:textId="77777777" w:rsidR="009C353B" w:rsidRDefault="00000000">
      <w:pPr>
        <w:pStyle w:val="affffd"/>
        <w:spacing w:line="440" w:lineRule="exact"/>
        <w:rPr>
          <w:rFonts w:ascii="Times New Roman" w:hint="eastAsia"/>
        </w:rPr>
      </w:pPr>
      <w:r>
        <w:rPr>
          <w:rFonts w:ascii="Times New Roman"/>
        </w:rPr>
        <w:t>表</w:t>
      </w:r>
      <w:r>
        <w:rPr>
          <w:rFonts w:ascii="Times New Roman"/>
        </w:rPr>
        <w:t>7.1-2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
        <w:gridCol w:w="3130"/>
        <w:gridCol w:w="1480"/>
        <w:gridCol w:w="2142"/>
        <w:gridCol w:w="1478"/>
      </w:tblGrid>
      <w:tr w:rsidR="009C353B" w14:paraId="66691930" w14:textId="77777777">
        <w:trPr>
          <w:trHeight w:val="340"/>
          <w:jc w:val="center"/>
        </w:trPr>
        <w:tc>
          <w:tcPr>
            <w:tcW w:w="569" w:type="pct"/>
            <w:vAlign w:val="center"/>
          </w:tcPr>
          <w:p w14:paraId="243C18A9"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序号</w:t>
            </w:r>
          </w:p>
        </w:tc>
        <w:tc>
          <w:tcPr>
            <w:tcW w:w="1685" w:type="pct"/>
            <w:vAlign w:val="center"/>
          </w:tcPr>
          <w:p w14:paraId="308ADC8B"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用水项目</w:t>
            </w:r>
          </w:p>
        </w:tc>
        <w:tc>
          <w:tcPr>
            <w:tcW w:w="797" w:type="pct"/>
            <w:vAlign w:val="center"/>
          </w:tcPr>
          <w:p w14:paraId="5A3B8F78"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煤矿</w:t>
            </w:r>
            <w:r>
              <w:rPr>
                <w:rFonts w:ascii="Times New Roman"/>
                <w:sz w:val="21"/>
                <w:szCs w:val="21"/>
              </w:rPr>
              <w:t>规模</w:t>
            </w:r>
          </w:p>
        </w:tc>
        <w:tc>
          <w:tcPr>
            <w:tcW w:w="1153" w:type="pct"/>
            <w:vAlign w:val="center"/>
          </w:tcPr>
          <w:p w14:paraId="39FBD9AB"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用水量</w:t>
            </w:r>
          </w:p>
          <w:p w14:paraId="0DDA3E41"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w:t>
            </w:r>
            <w:r>
              <w:rPr>
                <w:rFonts w:ascii="Times New Roman"/>
                <w:sz w:val="21"/>
                <w:szCs w:val="21"/>
              </w:rPr>
              <w:t>m</w:t>
            </w:r>
            <w:r>
              <w:rPr>
                <w:rFonts w:ascii="Times New Roman"/>
                <w:sz w:val="21"/>
                <w:szCs w:val="21"/>
                <w:vertAlign w:val="superscript"/>
              </w:rPr>
              <w:t>3</w:t>
            </w:r>
            <w:r>
              <w:rPr>
                <w:rFonts w:ascii="Times New Roman"/>
                <w:sz w:val="21"/>
                <w:szCs w:val="21"/>
              </w:rPr>
              <w:t>/d</w:t>
            </w:r>
            <w:r>
              <w:rPr>
                <w:rFonts w:ascii="Times New Roman"/>
                <w:sz w:val="21"/>
                <w:szCs w:val="21"/>
              </w:rPr>
              <w:t>）</w:t>
            </w:r>
          </w:p>
        </w:tc>
        <w:tc>
          <w:tcPr>
            <w:tcW w:w="796" w:type="pct"/>
            <w:vAlign w:val="center"/>
          </w:tcPr>
          <w:p w14:paraId="089301E2"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用水量</w:t>
            </w:r>
          </w:p>
          <w:p w14:paraId="0ABBEC68"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（万</w:t>
            </w:r>
            <w:r>
              <w:rPr>
                <w:rFonts w:ascii="Times New Roman"/>
                <w:sz w:val="21"/>
                <w:szCs w:val="21"/>
              </w:rPr>
              <w:t>m</w:t>
            </w:r>
            <w:r>
              <w:rPr>
                <w:rFonts w:ascii="Times New Roman"/>
                <w:sz w:val="21"/>
                <w:szCs w:val="21"/>
                <w:vertAlign w:val="superscript"/>
              </w:rPr>
              <w:t>3</w:t>
            </w:r>
            <w:r>
              <w:rPr>
                <w:rFonts w:ascii="Times New Roman"/>
                <w:sz w:val="21"/>
                <w:szCs w:val="21"/>
              </w:rPr>
              <w:t>/a</w:t>
            </w:r>
            <w:r>
              <w:rPr>
                <w:rFonts w:ascii="Times New Roman"/>
                <w:sz w:val="21"/>
                <w:szCs w:val="21"/>
              </w:rPr>
              <w:t>）</w:t>
            </w:r>
          </w:p>
        </w:tc>
      </w:tr>
      <w:tr w:rsidR="009C353B" w14:paraId="3733D4C7" w14:textId="77777777">
        <w:trPr>
          <w:trHeight w:val="340"/>
          <w:jc w:val="center"/>
        </w:trPr>
        <w:tc>
          <w:tcPr>
            <w:tcW w:w="569" w:type="pct"/>
            <w:vAlign w:val="center"/>
          </w:tcPr>
          <w:p w14:paraId="68F8243F"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一</w:t>
            </w:r>
          </w:p>
        </w:tc>
        <w:tc>
          <w:tcPr>
            <w:tcW w:w="1685" w:type="pct"/>
            <w:vAlign w:val="center"/>
          </w:tcPr>
          <w:p w14:paraId="12936E9D"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煤炭企业生活用水</w:t>
            </w:r>
          </w:p>
        </w:tc>
        <w:tc>
          <w:tcPr>
            <w:tcW w:w="797" w:type="pct"/>
            <w:vAlign w:val="center"/>
          </w:tcPr>
          <w:p w14:paraId="3D073BD3" w14:textId="77777777" w:rsidR="009C353B" w:rsidRDefault="009C353B">
            <w:pPr>
              <w:adjustRightInd w:val="0"/>
              <w:snapToGrid w:val="0"/>
              <w:spacing w:line="240" w:lineRule="atLeast"/>
              <w:jc w:val="center"/>
              <w:rPr>
                <w:rFonts w:ascii="Times New Roman" w:hint="eastAsia"/>
                <w:sz w:val="21"/>
                <w:szCs w:val="21"/>
              </w:rPr>
            </w:pPr>
          </w:p>
        </w:tc>
        <w:tc>
          <w:tcPr>
            <w:tcW w:w="1153" w:type="pct"/>
            <w:vAlign w:val="center"/>
          </w:tcPr>
          <w:p w14:paraId="598EEFBB" w14:textId="77777777" w:rsidR="009C353B" w:rsidRDefault="009C353B">
            <w:pPr>
              <w:adjustRightInd w:val="0"/>
              <w:snapToGrid w:val="0"/>
              <w:spacing w:line="240" w:lineRule="atLeast"/>
              <w:jc w:val="center"/>
              <w:rPr>
                <w:rFonts w:ascii="Times New Roman" w:hint="eastAsia"/>
                <w:sz w:val="21"/>
                <w:szCs w:val="21"/>
              </w:rPr>
            </w:pPr>
          </w:p>
        </w:tc>
        <w:tc>
          <w:tcPr>
            <w:tcW w:w="796" w:type="pct"/>
            <w:vAlign w:val="center"/>
          </w:tcPr>
          <w:p w14:paraId="5B8FD038" w14:textId="77777777" w:rsidR="009C353B" w:rsidRDefault="009C353B">
            <w:pPr>
              <w:adjustRightInd w:val="0"/>
              <w:snapToGrid w:val="0"/>
              <w:spacing w:line="240" w:lineRule="atLeast"/>
              <w:jc w:val="center"/>
              <w:rPr>
                <w:rFonts w:ascii="Times New Roman" w:hint="eastAsia"/>
                <w:sz w:val="21"/>
                <w:szCs w:val="21"/>
              </w:rPr>
            </w:pPr>
          </w:p>
        </w:tc>
      </w:tr>
      <w:tr w:rsidR="009C353B" w14:paraId="08F5686E" w14:textId="77777777">
        <w:trPr>
          <w:trHeight w:val="340"/>
          <w:jc w:val="center"/>
        </w:trPr>
        <w:tc>
          <w:tcPr>
            <w:tcW w:w="569" w:type="pct"/>
            <w:vAlign w:val="center"/>
          </w:tcPr>
          <w:p w14:paraId="5A76A75D" w14:textId="77777777" w:rsidR="009C353B" w:rsidRDefault="009C353B">
            <w:pPr>
              <w:adjustRightInd w:val="0"/>
              <w:snapToGrid w:val="0"/>
              <w:spacing w:line="240" w:lineRule="atLeast"/>
              <w:jc w:val="center"/>
              <w:rPr>
                <w:rFonts w:ascii="Times New Roman" w:hint="eastAsia"/>
                <w:sz w:val="21"/>
                <w:szCs w:val="21"/>
              </w:rPr>
            </w:pPr>
          </w:p>
        </w:tc>
        <w:tc>
          <w:tcPr>
            <w:tcW w:w="1685" w:type="pct"/>
            <w:vAlign w:val="center"/>
          </w:tcPr>
          <w:p w14:paraId="14FF8928"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sz w:val="21"/>
                <w:szCs w:val="21"/>
              </w:rPr>
              <w:t>马莲台矿井</w:t>
            </w:r>
            <w:r>
              <w:rPr>
                <w:rFonts w:ascii="Times New Roman" w:hAnsi="Times New Roman" w:hint="eastAsia"/>
                <w:sz w:val="21"/>
                <w:szCs w:val="21"/>
              </w:rPr>
              <w:t>及选煤厂</w:t>
            </w:r>
          </w:p>
        </w:tc>
        <w:tc>
          <w:tcPr>
            <w:tcW w:w="797" w:type="pct"/>
            <w:vAlign w:val="center"/>
          </w:tcPr>
          <w:p w14:paraId="2A3D8C5D"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3.6</w:t>
            </w:r>
          </w:p>
        </w:tc>
        <w:tc>
          <w:tcPr>
            <w:tcW w:w="1153" w:type="pct"/>
            <w:vAlign w:val="center"/>
          </w:tcPr>
          <w:p w14:paraId="163E948B"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hint="eastAsia"/>
                <w:sz w:val="21"/>
                <w:szCs w:val="21"/>
              </w:rPr>
              <w:t>118</w:t>
            </w:r>
            <w:r>
              <w:rPr>
                <w:rFonts w:ascii="Times New Roman" w:hAnsi="Times New Roman"/>
                <w:sz w:val="21"/>
                <w:szCs w:val="21"/>
              </w:rPr>
              <w:t>.0</w:t>
            </w:r>
          </w:p>
        </w:tc>
        <w:tc>
          <w:tcPr>
            <w:tcW w:w="796" w:type="pct"/>
            <w:vAlign w:val="center"/>
          </w:tcPr>
          <w:p w14:paraId="79D55A48"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4.31</w:t>
            </w:r>
          </w:p>
        </w:tc>
      </w:tr>
      <w:tr w:rsidR="009C353B" w14:paraId="5179870D" w14:textId="77777777">
        <w:trPr>
          <w:trHeight w:val="340"/>
          <w:jc w:val="center"/>
        </w:trPr>
        <w:tc>
          <w:tcPr>
            <w:tcW w:w="569" w:type="pct"/>
            <w:vAlign w:val="center"/>
          </w:tcPr>
          <w:p w14:paraId="49B40992" w14:textId="77777777" w:rsidR="009C353B" w:rsidRDefault="009C353B">
            <w:pPr>
              <w:adjustRightInd w:val="0"/>
              <w:snapToGrid w:val="0"/>
              <w:spacing w:line="240" w:lineRule="atLeast"/>
              <w:jc w:val="center"/>
              <w:rPr>
                <w:rFonts w:ascii="Times New Roman" w:hint="eastAsia"/>
                <w:sz w:val="21"/>
                <w:szCs w:val="21"/>
              </w:rPr>
            </w:pPr>
          </w:p>
        </w:tc>
        <w:tc>
          <w:tcPr>
            <w:tcW w:w="1685" w:type="pct"/>
            <w:vAlign w:val="center"/>
          </w:tcPr>
          <w:p w14:paraId="1ADFF611"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sz w:val="21"/>
                <w:szCs w:val="21"/>
              </w:rPr>
              <w:t>任家庄矿井</w:t>
            </w:r>
            <w:r>
              <w:rPr>
                <w:rFonts w:ascii="Times New Roman" w:hAnsi="Times New Roman" w:hint="eastAsia"/>
                <w:sz w:val="21"/>
                <w:szCs w:val="21"/>
              </w:rPr>
              <w:t>及选煤厂</w:t>
            </w:r>
          </w:p>
        </w:tc>
        <w:tc>
          <w:tcPr>
            <w:tcW w:w="797" w:type="pct"/>
            <w:vAlign w:val="center"/>
          </w:tcPr>
          <w:p w14:paraId="1CEF9D5B"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3.6</w:t>
            </w:r>
          </w:p>
        </w:tc>
        <w:tc>
          <w:tcPr>
            <w:tcW w:w="1153" w:type="pct"/>
            <w:vAlign w:val="center"/>
          </w:tcPr>
          <w:p w14:paraId="2F7461DC"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hint="eastAsia"/>
                <w:sz w:val="21"/>
                <w:szCs w:val="21"/>
              </w:rPr>
              <w:t>134</w:t>
            </w:r>
            <w:r>
              <w:rPr>
                <w:rFonts w:ascii="Times New Roman" w:hAnsi="Times New Roman"/>
                <w:sz w:val="21"/>
                <w:szCs w:val="21"/>
              </w:rPr>
              <w:t>.0</w:t>
            </w:r>
          </w:p>
        </w:tc>
        <w:tc>
          <w:tcPr>
            <w:tcW w:w="796" w:type="pct"/>
            <w:vAlign w:val="center"/>
          </w:tcPr>
          <w:p w14:paraId="1EDAF86F"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4.89</w:t>
            </w:r>
          </w:p>
        </w:tc>
      </w:tr>
      <w:tr w:rsidR="009C353B" w14:paraId="37B74551" w14:textId="77777777">
        <w:trPr>
          <w:trHeight w:val="340"/>
          <w:jc w:val="center"/>
        </w:trPr>
        <w:tc>
          <w:tcPr>
            <w:tcW w:w="569" w:type="pct"/>
            <w:vAlign w:val="center"/>
          </w:tcPr>
          <w:p w14:paraId="3E3ED790" w14:textId="77777777" w:rsidR="009C353B" w:rsidRDefault="009C353B">
            <w:pPr>
              <w:adjustRightInd w:val="0"/>
              <w:snapToGrid w:val="0"/>
              <w:spacing w:line="240" w:lineRule="atLeast"/>
              <w:jc w:val="center"/>
              <w:rPr>
                <w:rFonts w:ascii="Times New Roman" w:hint="eastAsia"/>
                <w:sz w:val="21"/>
                <w:szCs w:val="21"/>
              </w:rPr>
            </w:pPr>
          </w:p>
        </w:tc>
        <w:tc>
          <w:tcPr>
            <w:tcW w:w="1685" w:type="pct"/>
            <w:vAlign w:val="center"/>
          </w:tcPr>
          <w:p w14:paraId="0BE080FD"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sz w:val="21"/>
                <w:szCs w:val="21"/>
              </w:rPr>
              <w:t>红石湾矿井</w:t>
            </w:r>
            <w:r>
              <w:rPr>
                <w:rFonts w:ascii="Times New Roman" w:hAnsi="Times New Roman" w:hint="eastAsia"/>
                <w:sz w:val="21"/>
                <w:szCs w:val="21"/>
              </w:rPr>
              <w:t>及选煤厂</w:t>
            </w:r>
          </w:p>
        </w:tc>
        <w:tc>
          <w:tcPr>
            <w:tcW w:w="797" w:type="pct"/>
            <w:vAlign w:val="center"/>
          </w:tcPr>
          <w:p w14:paraId="3EC11CF0"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1.1</w:t>
            </w:r>
          </w:p>
        </w:tc>
        <w:tc>
          <w:tcPr>
            <w:tcW w:w="1153" w:type="pct"/>
            <w:vAlign w:val="center"/>
          </w:tcPr>
          <w:p w14:paraId="117FF16A"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hint="eastAsia"/>
                <w:sz w:val="21"/>
                <w:szCs w:val="21"/>
              </w:rPr>
              <w:t>96</w:t>
            </w:r>
            <w:r>
              <w:rPr>
                <w:rFonts w:ascii="Times New Roman" w:hAnsi="Times New Roman"/>
                <w:sz w:val="21"/>
                <w:szCs w:val="21"/>
              </w:rPr>
              <w:t>.0</w:t>
            </w:r>
          </w:p>
        </w:tc>
        <w:tc>
          <w:tcPr>
            <w:tcW w:w="796" w:type="pct"/>
            <w:vAlign w:val="center"/>
          </w:tcPr>
          <w:p w14:paraId="745D3B42"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3.50</w:t>
            </w:r>
          </w:p>
        </w:tc>
      </w:tr>
      <w:tr w:rsidR="009C353B" w14:paraId="0E0330FB" w14:textId="77777777">
        <w:trPr>
          <w:trHeight w:val="340"/>
          <w:jc w:val="center"/>
        </w:trPr>
        <w:tc>
          <w:tcPr>
            <w:tcW w:w="569" w:type="pct"/>
            <w:vAlign w:val="center"/>
          </w:tcPr>
          <w:p w14:paraId="0CEB1576" w14:textId="77777777" w:rsidR="009C353B" w:rsidRDefault="009C353B">
            <w:pPr>
              <w:adjustRightInd w:val="0"/>
              <w:snapToGrid w:val="0"/>
              <w:spacing w:line="240" w:lineRule="atLeast"/>
              <w:jc w:val="center"/>
              <w:rPr>
                <w:rFonts w:ascii="Times New Roman" w:hint="eastAsia"/>
                <w:sz w:val="21"/>
                <w:szCs w:val="21"/>
              </w:rPr>
            </w:pPr>
          </w:p>
        </w:tc>
        <w:tc>
          <w:tcPr>
            <w:tcW w:w="1685" w:type="pct"/>
            <w:vAlign w:val="center"/>
          </w:tcPr>
          <w:p w14:paraId="31A30BF6"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hint="eastAsia"/>
                <w:sz w:val="21"/>
                <w:szCs w:val="21"/>
              </w:rPr>
              <w:t>丁家梁</w:t>
            </w:r>
            <w:r>
              <w:rPr>
                <w:rFonts w:ascii="Times New Roman" w:hAnsi="Times New Roman"/>
                <w:sz w:val="21"/>
                <w:szCs w:val="21"/>
              </w:rPr>
              <w:t>矿井</w:t>
            </w:r>
          </w:p>
        </w:tc>
        <w:tc>
          <w:tcPr>
            <w:tcW w:w="797" w:type="pct"/>
            <w:vAlign w:val="center"/>
          </w:tcPr>
          <w:p w14:paraId="570EA9C4"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0.9</w:t>
            </w:r>
          </w:p>
        </w:tc>
        <w:tc>
          <w:tcPr>
            <w:tcW w:w="1153" w:type="pct"/>
            <w:vAlign w:val="center"/>
          </w:tcPr>
          <w:p w14:paraId="6893B664"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hint="eastAsia"/>
                <w:sz w:val="21"/>
                <w:szCs w:val="21"/>
              </w:rPr>
              <w:t>48</w:t>
            </w:r>
            <w:r>
              <w:rPr>
                <w:rFonts w:ascii="Times New Roman" w:hAnsi="Times New Roman"/>
                <w:sz w:val="21"/>
                <w:szCs w:val="21"/>
              </w:rPr>
              <w:t>.0</w:t>
            </w:r>
          </w:p>
        </w:tc>
        <w:tc>
          <w:tcPr>
            <w:tcW w:w="796" w:type="pct"/>
            <w:vAlign w:val="center"/>
          </w:tcPr>
          <w:p w14:paraId="05C913A4"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1.75</w:t>
            </w:r>
          </w:p>
        </w:tc>
      </w:tr>
      <w:tr w:rsidR="009C353B" w14:paraId="74FD2DB5" w14:textId="77777777">
        <w:trPr>
          <w:trHeight w:val="340"/>
          <w:jc w:val="center"/>
        </w:trPr>
        <w:tc>
          <w:tcPr>
            <w:tcW w:w="569" w:type="pct"/>
            <w:vAlign w:val="center"/>
          </w:tcPr>
          <w:p w14:paraId="2B7ABBB7" w14:textId="77777777" w:rsidR="009C353B" w:rsidRDefault="009C353B">
            <w:pPr>
              <w:adjustRightInd w:val="0"/>
              <w:snapToGrid w:val="0"/>
              <w:spacing w:line="240" w:lineRule="atLeast"/>
              <w:jc w:val="center"/>
              <w:rPr>
                <w:rFonts w:ascii="Times New Roman" w:hint="eastAsia"/>
                <w:sz w:val="21"/>
                <w:szCs w:val="21"/>
              </w:rPr>
            </w:pPr>
          </w:p>
        </w:tc>
        <w:tc>
          <w:tcPr>
            <w:tcW w:w="1685" w:type="pct"/>
            <w:vAlign w:val="center"/>
          </w:tcPr>
          <w:p w14:paraId="1E802D9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小计</w:t>
            </w:r>
          </w:p>
        </w:tc>
        <w:tc>
          <w:tcPr>
            <w:tcW w:w="797" w:type="pct"/>
            <w:vAlign w:val="center"/>
          </w:tcPr>
          <w:p w14:paraId="366249C8"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9.20</w:t>
            </w:r>
            <w:r>
              <w:rPr>
                <w:rFonts w:ascii="Times New Roman"/>
                <w:sz w:val="21"/>
                <w:szCs w:val="21"/>
              </w:rPr>
              <w:t xml:space="preserve"> Mt/a</w:t>
            </w:r>
          </w:p>
        </w:tc>
        <w:tc>
          <w:tcPr>
            <w:tcW w:w="1153" w:type="pct"/>
            <w:vAlign w:val="center"/>
          </w:tcPr>
          <w:p w14:paraId="73B5598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int="eastAsia"/>
                <w:sz w:val="21"/>
                <w:szCs w:val="21"/>
              </w:rPr>
              <w:t>396.0</w:t>
            </w:r>
          </w:p>
        </w:tc>
        <w:tc>
          <w:tcPr>
            <w:tcW w:w="796" w:type="pct"/>
            <w:vAlign w:val="center"/>
          </w:tcPr>
          <w:p w14:paraId="0F381152"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14.45</w:t>
            </w:r>
          </w:p>
        </w:tc>
      </w:tr>
      <w:tr w:rsidR="009C353B" w14:paraId="0DF1EFFF" w14:textId="77777777">
        <w:trPr>
          <w:trHeight w:val="340"/>
          <w:jc w:val="center"/>
        </w:trPr>
        <w:tc>
          <w:tcPr>
            <w:tcW w:w="569" w:type="pct"/>
            <w:vAlign w:val="center"/>
          </w:tcPr>
          <w:p w14:paraId="2FCF7E6D"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二</w:t>
            </w:r>
          </w:p>
        </w:tc>
        <w:tc>
          <w:tcPr>
            <w:tcW w:w="1685" w:type="pct"/>
            <w:vAlign w:val="center"/>
          </w:tcPr>
          <w:p w14:paraId="4631F73C"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煤炭企业生产用水</w:t>
            </w:r>
          </w:p>
        </w:tc>
        <w:tc>
          <w:tcPr>
            <w:tcW w:w="797" w:type="pct"/>
            <w:vAlign w:val="center"/>
          </w:tcPr>
          <w:p w14:paraId="05E69842" w14:textId="77777777" w:rsidR="009C353B" w:rsidRDefault="009C353B">
            <w:pPr>
              <w:adjustRightInd w:val="0"/>
              <w:snapToGrid w:val="0"/>
              <w:spacing w:line="240" w:lineRule="atLeast"/>
              <w:jc w:val="center"/>
              <w:rPr>
                <w:rFonts w:ascii="Times New Roman" w:hint="eastAsia"/>
                <w:sz w:val="21"/>
                <w:szCs w:val="21"/>
              </w:rPr>
            </w:pPr>
          </w:p>
        </w:tc>
        <w:tc>
          <w:tcPr>
            <w:tcW w:w="1153" w:type="pct"/>
            <w:vAlign w:val="center"/>
          </w:tcPr>
          <w:p w14:paraId="7A6BDF2F" w14:textId="77777777" w:rsidR="009C353B" w:rsidRDefault="009C353B">
            <w:pPr>
              <w:adjustRightInd w:val="0"/>
              <w:snapToGrid w:val="0"/>
              <w:spacing w:line="240" w:lineRule="atLeast"/>
              <w:jc w:val="center"/>
              <w:rPr>
                <w:rFonts w:ascii="Times New Roman" w:hint="eastAsia"/>
                <w:sz w:val="21"/>
                <w:szCs w:val="21"/>
              </w:rPr>
            </w:pPr>
          </w:p>
        </w:tc>
        <w:tc>
          <w:tcPr>
            <w:tcW w:w="796" w:type="pct"/>
            <w:vAlign w:val="center"/>
          </w:tcPr>
          <w:p w14:paraId="175E0BA8" w14:textId="77777777" w:rsidR="009C353B" w:rsidRDefault="009C353B">
            <w:pPr>
              <w:adjustRightInd w:val="0"/>
              <w:snapToGrid w:val="0"/>
              <w:spacing w:line="240" w:lineRule="atLeast"/>
              <w:jc w:val="center"/>
              <w:rPr>
                <w:rFonts w:ascii="Times New Roman" w:hint="eastAsia"/>
                <w:sz w:val="21"/>
                <w:szCs w:val="21"/>
              </w:rPr>
            </w:pPr>
          </w:p>
        </w:tc>
      </w:tr>
      <w:tr w:rsidR="009C353B" w14:paraId="0A6A9DED" w14:textId="77777777">
        <w:trPr>
          <w:trHeight w:val="340"/>
          <w:jc w:val="center"/>
        </w:trPr>
        <w:tc>
          <w:tcPr>
            <w:tcW w:w="569" w:type="pct"/>
            <w:vAlign w:val="center"/>
          </w:tcPr>
          <w:p w14:paraId="1590B373" w14:textId="77777777" w:rsidR="009C353B" w:rsidRDefault="009C353B">
            <w:pPr>
              <w:adjustRightInd w:val="0"/>
              <w:snapToGrid w:val="0"/>
              <w:spacing w:line="240" w:lineRule="atLeast"/>
              <w:jc w:val="center"/>
              <w:rPr>
                <w:rFonts w:ascii="Times New Roman" w:hint="eastAsia"/>
                <w:sz w:val="21"/>
                <w:szCs w:val="21"/>
              </w:rPr>
            </w:pPr>
          </w:p>
        </w:tc>
        <w:tc>
          <w:tcPr>
            <w:tcW w:w="1685" w:type="pct"/>
            <w:vAlign w:val="center"/>
          </w:tcPr>
          <w:p w14:paraId="6B4103E3"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sz w:val="21"/>
                <w:szCs w:val="21"/>
              </w:rPr>
              <w:t>马莲台矿井</w:t>
            </w:r>
            <w:r>
              <w:rPr>
                <w:rFonts w:ascii="Times New Roman" w:hAnsi="Times New Roman" w:hint="eastAsia"/>
                <w:sz w:val="21"/>
                <w:szCs w:val="21"/>
              </w:rPr>
              <w:t>及选煤厂</w:t>
            </w:r>
          </w:p>
        </w:tc>
        <w:tc>
          <w:tcPr>
            <w:tcW w:w="797" w:type="pct"/>
            <w:vAlign w:val="center"/>
          </w:tcPr>
          <w:p w14:paraId="383F15C0"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3.6</w:t>
            </w:r>
          </w:p>
        </w:tc>
        <w:tc>
          <w:tcPr>
            <w:tcW w:w="1153" w:type="pct"/>
            <w:vAlign w:val="center"/>
          </w:tcPr>
          <w:p w14:paraId="67322B02"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6302</w:t>
            </w:r>
          </w:p>
        </w:tc>
        <w:tc>
          <w:tcPr>
            <w:tcW w:w="796" w:type="pct"/>
            <w:vAlign w:val="center"/>
          </w:tcPr>
          <w:p w14:paraId="0AA8D7C7"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230.02</w:t>
            </w:r>
          </w:p>
        </w:tc>
      </w:tr>
      <w:tr w:rsidR="009C353B" w14:paraId="1021459E" w14:textId="77777777">
        <w:trPr>
          <w:trHeight w:val="340"/>
          <w:jc w:val="center"/>
        </w:trPr>
        <w:tc>
          <w:tcPr>
            <w:tcW w:w="569" w:type="pct"/>
            <w:vAlign w:val="center"/>
          </w:tcPr>
          <w:p w14:paraId="37393C27" w14:textId="77777777" w:rsidR="009C353B" w:rsidRDefault="009C353B">
            <w:pPr>
              <w:adjustRightInd w:val="0"/>
              <w:snapToGrid w:val="0"/>
              <w:spacing w:line="240" w:lineRule="atLeast"/>
              <w:jc w:val="center"/>
              <w:rPr>
                <w:rFonts w:ascii="Times New Roman" w:hint="eastAsia"/>
                <w:sz w:val="21"/>
                <w:szCs w:val="21"/>
              </w:rPr>
            </w:pPr>
          </w:p>
        </w:tc>
        <w:tc>
          <w:tcPr>
            <w:tcW w:w="1685" w:type="pct"/>
            <w:vAlign w:val="center"/>
          </w:tcPr>
          <w:p w14:paraId="29C580B5"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sz w:val="21"/>
                <w:szCs w:val="21"/>
              </w:rPr>
              <w:t>任家庄矿井</w:t>
            </w:r>
            <w:r>
              <w:rPr>
                <w:rFonts w:ascii="Times New Roman" w:hAnsi="Times New Roman" w:hint="eastAsia"/>
                <w:sz w:val="21"/>
                <w:szCs w:val="21"/>
              </w:rPr>
              <w:t>及选煤厂</w:t>
            </w:r>
          </w:p>
        </w:tc>
        <w:tc>
          <w:tcPr>
            <w:tcW w:w="797" w:type="pct"/>
            <w:vAlign w:val="center"/>
          </w:tcPr>
          <w:p w14:paraId="18E75FBF"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3.6</w:t>
            </w:r>
          </w:p>
        </w:tc>
        <w:tc>
          <w:tcPr>
            <w:tcW w:w="1153" w:type="pct"/>
            <w:vAlign w:val="center"/>
          </w:tcPr>
          <w:p w14:paraId="7F50DA81"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4727</w:t>
            </w:r>
          </w:p>
        </w:tc>
        <w:tc>
          <w:tcPr>
            <w:tcW w:w="796" w:type="pct"/>
            <w:vAlign w:val="center"/>
          </w:tcPr>
          <w:p w14:paraId="5BDB88F0"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172.54</w:t>
            </w:r>
          </w:p>
        </w:tc>
      </w:tr>
      <w:tr w:rsidR="009C353B" w14:paraId="37A863E1" w14:textId="77777777">
        <w:trPr>
          <w:trHeight w:val="340"/>
          <w:jc w:val="center"/>
        </w:trPr>
        <w:tc>
          <w:tcPr>
            <w:tcW w:w="569" w:type="pct"/>
            <w:vAlign w:val="center"/>
          </w:tcPr>
          <w:p w14:paraId="67787D7C" w14:textId="77777777" w:rsidR="009C353B" w:rsidRDefault="009C353B">
            <w:pPr>
              <w:adjustRightInd w:val="0"/>
              <w:snapToGrid w:val="0"/>
              <w:spacing w:line="240" w:lineRule="atLeast"/>
              <w:jc w:val="center"/>
              <w:rPr>
                <w:rFonts w:ascii="Times New Roman" w:hint="eastAsia"/>
                <w:sz w:val="21"/>
                <w:szCs w:val="21"/>
              </w:rPr>
            </w:pPr>
          </w:p>
        </w:tc>
        <w:tc>
          <w:tcPr>
            <w:tcW w:w="1685" w:type="pct"/>
            <w:vAlign w:val="center"/>
          </w:tcPr>
          <w:p w14:paraId="1472FC01"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sz w:val="21"/>
                <w:szCs w:val="21"/>
              </w:rPr>
              <w:t>红石湾矿井</w:t>
            </w:r>
            <w:r>
              <w:rPr>
                <w:rFonts w:ascii="Times New Roman" w:hAnsi="Times New Roman" w:hint="eastAsia"/>
                <w:sz w:val="21"/>
                <w:szCs w:val="21"/>
              </w:rPr>
              <w:t>及选煤厂</w:t>
            </w:r>
          </w:p>
        </w:tc>
        <w:tc>
          <w:tcPr>
            <w:tcW w:w="797" w:type="pct"/>
            <w:vAlign w:val="center"/>
          </w:tcPr>
          <w:p w14:paraId="1A3A72CE"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1.1</w:t>
            </w:r>
          </w:p>
        </w:tc>
        <w:tc>
          <w:tcPr>
            <w:tcW w:w="1153" w:type="pct"/>
            <w:vAlign w:val="center"/>
          </w:tcPr>
          <w:p w14:paraId="4F530467"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1364</w:t>
            </w:r>
          </w:p>
        </w:tc>
        <w:tc>
          <w:tcPr>
            <w:tcW w:w="796" w:type="pct"/>
            <w:vAlign w:val="center"/>
          </w:tcPr>
          <w:p w14:paraId="3EDCCCC4"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49.79</w:t>
            </w:r>
          </w:p>
        </w:tc>
      </w:tr>
      <w:tr w:rsidR="009C353B" w14:paraId="051FE4E8" w14:textId="77777777">
        <w:trPr>
          <w:trHeight w:val="340"/>
          <w:jc w:val="center"/>
        </w:trPr>
        <w:tc>
          <w:tcPr>
            <w:tcW w:w="569" w:type="pct"/>
            <w:vAlign w:val="center"/>
          </w:tcPr>
          <w:p w14:paraId="520C7F10" w14:textId="77777777" w:rsidR="009C353B" w:rsidRDefault="009C353B">
            <w:pPr>
              <w:adjustRightInd w:val="0"/>
              <w:snapToGrid w:val="0"/>
              <w:spacing w:line="240" w:lineRule="atLeast"/>
              <w:jc w:val="center"/>
              <w:rPr>
                <w:rFonts w:ascii="Times New Roman" w:hint="eastAsia"/>
                <w:sz w:val="21"/>
                <w:szCs w:val="21"/>
              </w:rPr>
            </w:pPr>
          </w:p>
        </w:tc>
        <w:tc>
          <w:tcPr>
            <w:tcW w:w="1685" w:type="pct"/>
            <w:vAlign w:val="center"/>
          </w:tcPr>
          <w:p w14:paraId="447357DD" w14:textId="77777777" w:rsidR="009C353B" w:rsidRDefault="00000000">
            <w:pPr>
              <w:adjustRightInd w:val="0"/>
              <w:snapToGrid w:val="0"/>
              <w:spacing w:line="240" w:lineRule="atLeast"/>
              <w:jc w:val="center"/>
              <w:rPr>
                <w:rFonts w:ascii="Times New Roman" w:hint="eastAsia"/>
                <w:sz w:val="21"/>
                <w:szCs w:val="21"/>
              </w:rPr>
            </w:pPr>
            <w:r>
              <w:rPr>
                <w:rFonts w:ascii="Times New Roman" w:hAnsi="Times New Roman" w:hint="eastAsia"/>
                <w:sz w:val="21"/>
                <w:szCs w:val="21"/>
              </w:rPr>
              <w:t>丁家梁</w:t>
            </w:r>
            <w:r>
              <w:rPr>
                <w:rFonts w:ascii="Times New Roman" w:hAnsi="Times New Roman"/>
                <w:sz w:val="21"/>
                <w:szCs w:val="21"/>
              </w:rPr>
              <w:t>矿井</w:t>
            </w:r>
          </w:p>
        </w:tc>
        <w:tc>
          <w:tcPr>
            <w:tcW w:w="797" w:type="pct"/>
            <w:vAlign w:val="center"/>
          </w:tcPr>
          <w:p w14:paraId="17FE84F7"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0.9</w:t>
            </w:r>
          </w:p>
        </w:tc>
        <w:tc>
          <w:tcPr>
            <w:tcW w:w="1153" w:type="pct"/>
            <w:vAlign w:val="center"/>
          </w:tcPr>
          <w:p w14:paraId="1A3FBCBE"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818</w:t>
            </w:r>
          </w:p>
        </w:tc>
        <w:tc>
          <w:tcPr>
            <w:tcW w:w="796" w:type="pct"/>
            <w:vAlign w:val="center"/>
          </w:tcPr>
          <w:p w14:paraId="1A3883AB"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29.86</w:t>
            </w:r>
          </w:p>
        </w:tc>
      </w:tr>
      <w:tr w:rsidR="009C353B" w14:paraId="5DE41551" w14:textId="77777777">
        <w:trPr>
          <w:trHeight w:val="340"/>
          <w:jc w:val="center"/>
        </w:trPr>
        <w:tc>
          <w:tcPr>
            <w:tcW w:w="569" w:type="pct"/>
            <w:vAlign w:val="center"/>
          </w:tcPr>
          <w:p w14:paraId="339D4B15" w14:textId="77777777" w:rsidR="009C353B" w:rsidRDefault="009C353B">
            <w:pPr>
              <w:adjustRightInd w:val="0"/>
              <w:snapToGrid w:val="0"/>
              <w:spacing w:line="240" w:lineRule="atLeast"/>
              <w:jc w:val="center"/>
              <w:rPr>
                <w:rFonts w:ascii="Times New Roman" w:hint="eastAsia"/>
                <w:sz w:val="21"/>
                <w:szCs w:val="21"/>
              </w:rPr>
            </w:pPr>
          </w:p>
        </w:tc>
        <w:tc>
          <w:tcPr>
            <w:tcW w:w="1685" w:type="pct"/>
            <w:vAlign w:val="center"/>
          </w:tcPr>
          <w:p w14:paraId="3456445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小计</w:t>
            </w:r>
          </w:p>
        </w:tc>
        <w:tc>
          <w:tcPr>
            <w:tcW w:w="797" w:type="pct"/>
            <w:vAlign w:val="center"/>
          </w:tcPr>
          <w:p w14:paraId="6C87892D"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9.20</w:t>
            </w:r>
            <w:r>
              <w:rPr>
                <w:rFonts w:ascii="Times New Roman"/>
                <w:sz w:val="21"/>
                <w:szCs w:val="21"/>
              </w:rPr>
              <w:t xml:space="preserve"> Mt/a</w:t>
            </w:r>
          </w:p>
        </w:tc>
        <w:tc>
          <w:tcPr>
            <w:tcW w:w="1153" w:type="pct"/>
            <w:vAlign w:val="center"/>
          </w:tcPr>
          <w:p w14:paraId="26A67491"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13211</w:t>
            </w:r>
          </w:p>
        </w:tc>
        <w:tc>
          <w:tcPr>
            <w:tcW w:w="796" w:type="pct"/>
            <w:vAlign w:val="center"/>
          </w:tcPr>
          <w:p w14:paraId="5AD2A3D5"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482.20</w:t>
            </w:r>
          </w:p>
        </w:tc>
      </w:tr>
      <w:tr w:rsidR="009C353B" w14:paraId="3B8A0759" w14:textId="77777777">
        <w:trPr>
          <w:trHeight w:val="340"/>
          <w:jc w:val="center"/>
        </w:trPr>
        <w:tc>
          <w:tcPr>
            <w:tcW w:w="569" w:type="pct"/>
            <w:vAlign w:val="center"/>
          </w:tcPr>
          <w:p w14:paraId="1212B6B2"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三</w:t>
            </w:r>
          </w:p>
        </w:tc>
        <w:tc>
          <w:tcPr>
            <w:tcW w:w="1685" w:type="pct"/>
            <w:vAlign w:val="center"/>
          </w:tcPr>
          <w:p w14:paraId="72F77E36"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合计</w:t>
            </w:r>
          </w:p>
        </w:tc>
        <w:tc>
          <w:tcPr>
            <w:tcW w:w="797" w:type="pct"/>
            <w:vAlign w:val="center"/>
          </w:tcPr>
          <w:p w14:paraId="1BB1DCA0" w14:textId="77777777" w:rsidR="009C353B" w:rsidRDefault="009C353B">
            <w:pPr>
              <w:adjustRightInd w:val="0"/>
              <w:snapToGrid w:val="0"/>
              <w:spacing w:line="240" w:lineRule="atLeast"/>
              <w:jc w:val="center"/>
              <w:rPr>
                <w:rFonts w:ascii="Times New Roman" w:hint="eastAsia"/>
                <w:sz w:val="21"/>
                <w:szCs w:val="21"/>
              </w:rPr>
            </w:pPr>
          </w:p>
        </w:tc>
        <w:tc>
          <w:tcPr>
            <w:tcW w:w="1153" w:type="pct"/>
            <w:vAlign w:val="center"/>
          </w:tcPr>
          <w:p w14:paraId="1169951C"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13607</w:t>
            </w:r>
          </w:p>
        </w:tc>
        <w:tc>
          <w:tcPr>
            <w:tcW w:w="796" w:type="pct"/>
            <w:vAlign w:val="center"/>
          </w:tcPr>
          <w:p w14:paraId="1A8A0261" w14:textId="77777777" w:rsidR="009C353B" w:rsidRDefault="00000000">
            <w:pPr>
              <w:adjustRightInd w:val="0"/>
              <w:snapToGrid w:val="0"/>
              <w:spacing w:line="240" w:lineRule="atLeast"/>
              <w:jc w:val="center"/>
              <w:rPr>
                <w:rFonts w:ascii="Times New Roman" w:hint="eastAsia"/>
                <w:sz w:val="21"/>
                <w:szCs w:val="21"/>
              </w:rPr>
            </w:pPr>
            <w:r>
              <w:rPr>
                <w:rFonts w:ascii="Times New Roman"/>
                <w:sz w:val="21"/>
                <w:szCs w:val="21"/>
              </w:rPr>
              <w:t>4</w:t>
            </w:r>
            <w:r>
              <w:rPr>
                <w:rFonts w:ascii="Times New Roman" w:hint="eastAsia"/>
                <w:sz w:val="21"/>
                <w:szCs w:val="21"/>
              </w:rPr>
              <w:t>96.65</w:t>
            </w:r>
          </w:p>
        </w:tc>
      </w:tr>
    </w:tbl>
    <w:p w14:paraId="3948BF71" w14:textId="77777777" w:rsidR="009C353B" w:rsidRDefault="00000000">
      <w:pPr>
        <w:adjustRightInd w:val="0"/>
        <w:snapToGrid w:val="0"/>
        <w:spacing w:line="240" w:lineRule="atLeast"/>
        <w:rPr>
          <w:rFonts w:ascii="Times New Roman" w:hAnsi="Times New Roman"/>
          <w:sz w:val="21"/>
        </w:rPr>
      </w:pPr>
      <w:r>
        <w:rPr>
          <w:rFonts w:ascii="Times New Roman" w:hint="eastAsia"/>
          <w:sz w:val="21"/>
        </w:rPr>
        <w:t>注</w:t>
      </w:r>
      <w:r>
        <w:rPr>
          <w:rFonts w:ascii="Times New Roman"/>
          <w:sz w:val="21"/>
        </w:rPr>
        <w:t>：根据矿区总体规划，矿区已建工程用水量根据现场提供的数据，新建工程需水量类比已建成的矿井实际用水量。</w:t>
      </w:r>
    </w:p>
    <w:p w14:paraId="36E53149" w14:textId="77777777" w:rsidR="009C353B" w:rsidRDefault="009C353B">
      <w:pPr>
        <w:adjustRightInd w:val="0"/>
        <w:snapToGrid w:val="0"/>
        <w:spacing w:line="440" w:lineRule="exact"/>
        <w:ind w:firstLineChars="200" w:firstLine="480"/>
        <w:rPr>
          <w:rFonts w:ascii="Times New Roman" w:hAnsi="Times New Roman"/>
        </w:rPr>
      </w:pPr>
    </w:p>
    <w:p w14:paraId="11A09231"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sz w:val="24"/>
        </w:rPr>
        <w:t>7</w:t>
      </w:r>
      <w:r>
        <w:rPr>
          <w:rFonts w:ascii="Times New Roman" w:eastAsia="宋体" w:hAnsi="Times New Roman" w:hint="eastAsia"/>
          <w:sz w:val="24"/>
        </w:rPr>
        <w:t>.1.</w:t>
      </w:r>
      <w:r>
        <w:rPr>
          <w:rFonts w:ascii="Times New Roman" w:eastAsia="宋体" w:hAnsi="Times New Roman"/>
          <w:sz w:val="24"/>
        </w:rPr>
        <w:t xml:space="preserve">4 </w:t>
      </w:r>
      <w:r>
        <w:rPr>
          <w:rFonts w:ascii="Times New Roman" w:eastAsia="宋体" w:hAnsi="Times New Roman"/>
          <w:sz w:val="24"/>
        </w:rPr>
        <w:t>矿区水资源供需平衡分析</w:t>
      </w:r>
    </w:p>
    <w:p w14:paraId="58151F0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1</w:t>
      </w:r>
      <w:r>
        <w:rPr>
          <w:rFonts w:ascii="Times New Roman" w:hint="eastAsia"/>
        </w:rPr>
        <w:t>）规划达产时水资源供需平衡分析</w:t>
      </w:r>
    </w:p>
    <w:p w14:paraId="3D53C5A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矿区规划</w:t>
      </w:r>
      <w:r>
        <w:rPr>
          <w:rFonts w:ascii="Times New Roman" w:hint="eastAsia"/>
        </w:rPr>
        <w:t>2</w:t>
      </w:r>
      <w:r>
        <w:rPr>
          <w:rFonts w:ascii="Times New Roman"/>
        </w:rPr>
        <w:t>022</w:t>
      </w:r>
      <w:r>
        <w:rPr>
          <w:rFonts w:ascii="Times New Roman" w:hint="eastAsia"/>
        </w:rPr>
        <w:t>年</w:t>
      </w:r>
      <w:r>
        <w:rPr>
          <w:rFonts w:ascii="Times New Roman"/>
        </w:rPr>
        <w:t>达产时，</w:t>
      </w:r>
      <w:r>
        <w:rPr>
          <w:rFonts w:ascii="Times New Roman" w:hint="eastAsia"/>
        </w:rPr>
        <w:t>煤矿生活</w:t>
      </w:r>
      <w:r>
        <w:rPr>
          <w:rFonts w:ascii="Times New Roman"/>
        </w:rPr>
        <w:t>用水总需水量为</w:t>
      </w:r>
      <w:r>
        <w:rPr>
          <w:rFonts w:ascii="Times New Roman" w:hint="eastAsia"/>
        </w:rPr>
        <w:t>14.45</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rPr>
        <w:t>，</w:t>
      </w:r>
      <w:r>
        <w:rPr>
          <w:rFonts w:ascii="Times New Roman" w:hAnsi="Times New Roman" w:hint="eastAsia"/>
        </w:rPr>
        <w:t>煤矿</w:t>
      </w:r>
      <w:r>
        <w:rPr>
          <w:rFonts w:ascii="Times New Roman"/>
        </w:rPr>
        <w:t>生产用水总需水量为</w:t>
      </w:r>
      <w:r>
        <w:rPr>
          <w:rFonts w:ascii="Times New Roman"/>
        </w:rPr>
        <w:t>4</w:t>
      </w:r>
      <w:r>
        <w:rPr>
          <w:rFonts w:ascii="Times New Roman" w:hint="eastAsia"/>
        </w:rPr>
        <w:t>82.20</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。矿井水经处理后可回用供水量</w:t>
      </w:r>
      <w:r>
        <w:rPr>
          <w:rFonts w:ascii="Times New Roman" w:hAnsi="Times New Roman" w:hint="eastAsia"/>
        </w:rPr>
        <w:t>512.4</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，生活污水可回用供水量</w:t>
      </w:r>
      <w:r>
        <w:rPr>
          <w:rFonts w:ascii="Times New Roman" w:hAnsi="Times New Roman" w:hint="eastAsia"/>
        </w:rPr>
        <w:t>9.67</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，回用可满足煤矿</w:t>
      </w:r>
      <w:r>
        <w:rPr>
          <w:rFonts w:ascii="Times New Roman"/>
        </w:rPr>
        <w:t>生产</w:t>
      </w:r>
      <w:r>
        <w:rPr>
          <w:rFonts w:ascii="Times New Roman" w:hint="eastAsia"/>
        </w:rPr>
        <w:t>、生活</w:t>
      </w:r>
      <w:r>
        <w:rPr>
          <w:rFonts w:ascii="Times New Roman"/>
        </w:rPr>
        <w:t>用水需</w:t>
      </w:r>
      <w:r>
        <w:rPr>
          <w:rFonts w:ascii="Times New Roman" w:hint="eastAsia"/>
        </w:rPr>
        <w:t>求，剩余部分可作为矿区及园区绿化、道路洒水及作为工业园区生产用水。</w:t>
      </w:r>
    </w:p>
    <w:p w14:paraId="51D27268" w14:textId="77777777" w:rsidR="009C353B" w:rsidRDefault="00000000">
      <w:pPr>
        <w:spacing w:line="440" w:lineRule="exact"/>
        <w:jc w:val="center"/>
        <w:rPr>
          <w:rFonts w:ascii="Times New Roman" w:hAnsi="Times New Roman"/>
          <w:b/>
        </w:rPr>
      </w:pPr>
      <w:r>
        <w:rPr>
          <w:rFonts w:ascii="Times New Roman" w:hAnsi="Times New Roman" w:hint="eastAsia"/>
          <w:b/>
        </w:rPr>
        <w:t>矿区规划</w:t>
      </w:r>
      <w:r>
        <w:rPr>
          <w:rFonts w:ascii="Times New Roman" w:hAnsi="Times New Roman"/>
          <w:b/>
        </w:rPr>
        <w:t>达产时水资源</w:t>
      </w:r>
      <w:r>
        <w:rPr>
          <w:rFonts w:ascii="Times New Roman" w:hAnsi="Times New Roman" w:hint="eastAsia"/>
          <w:b/>
        </w:rPr>
        <w:t>供需</w:t>
      </w:r>
      <w:r>
        <w:rPr>
          <w:rFonts w:ascii="Times New Roman" w:hAnsi="Times New Roman"/>
          <w:b/>
        </w:rPr>
        <w:t>平衡</w:t>
      </w:r>
      <w:r>
        <w:rPr>
          <w:rFonts w:ascii="Times New Roman" w:hAnsi="Times New Roman" w:hint="eastAsia"/>
          <w:b/>
        </w:rPr>
        <w:t>分析</w:t>
      </w:r>
      <w:r>
        <w:rPr>
          <w:rFonts w:ascii="Times New Roman" w:hAnsi="Times New Roman"/>
          <w:b/>
        </w:rPr>
        <w:t>表</w:t>
      </w:r>
    </w:p>
    <w:p w14:paraId="117BD85A" w14:textId="77777777" w:rsidR="009C353B" w:rsidRDefault="00000000">
      <w:pPr>
        <w:pStyle w:val="affffd"/>
        <w:spacing w:line="440" w:lineRule="exact"/>
        <w:rPr>
          <w:rFonts w:ascii="Times New Roman" w:hint="eastAsia"/>
        </w:rPr>
      </w:pPr>
      <w:r>
        <w:rPr>
          <w:rFonts w:ascii="Times New Roman" w:hint="eastAsia"/>
        </w:rPr>
        <w:t>表</w:t>
      </w:r>
      <w:r>
        <w:rPr>
          <w:rFonts w:ascii="Times New Roman"/>
        </w:rPr>
        <w:t>7</w:t>
      </w:r>
      <w:r>
        <w:rPr>
          <w:rFonts w:ascii="Times New Roman" w:hint="eastAsia"/>
        </w:rPr>
        <w:t>.1-3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5"/>
        <w:gridCol w:w="1363"/>
        <w:gridCol w:w="1279"/>
        <w:gridCol w:w="1137"/>
        <w:gridCol w:w="1272"/>
        <w:gridCol w:w="1279"/>
        <w:gridCol w:w="1279"/>
        <w:gridCol w:w="1137"/>
      </w:tblGrid>
      <w:tr w:rsidR="009C353B" w14:paraId="7B1CBFCB" w14:textId="77777777">
        <w:trPr>
          <w:trHeight w:val="299"/>
        </w:trPr>
        <w:tc>
          <w:tcPr>
            <w:tcW w:w="335" w:type="dxa"/>
            <w:vMerge w:val="restart"/>
            <w:shd w:val="clear" w:color="auto" w:fill="auto"/>
            <w:vAlign w:val="center"/>
          </w:tcPr>
          <w:p w14:paraId="57279CA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序号</w:t>
            </w:r>
          </w:p>
        </w:tc>
        <w:tc>
          <w:tcPr>
            <w:tcW w:w="1363" w:type="dxa"/>
            <w:vMerge w:val="restart"/>
            <w:shd w:val="clear" w:color="auto" w:fill="auto"/>
            <w:vAlign w:val="center"/>
          </w:tcPr>
          <w:p w14:paraId="25B0C59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名称</w:t>
            </w:r>
          </w:p>
        </w:tc>
        <w:tc>
          <w:tcPr>
            <w:tcW w:w="3688" w:type="dxa"/>
            <w:gridSpan w:val="3"/>
            <w:shd w:val="clear" w:color="auto" w:fill="auto"/>
            <w:vAlign w:val="center"/>
          </w:tcPr>
          <w:p w14:paraId="0998604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可回用量（万</w:t>
            </w:r>
            <w:r>
              <w:rPr>
                <w:rFonts w:ascii="Times New Roman" w:eastAsiaTheme="minorEastAsia" w:hAnsi="Times New Roman"/>
                <w:kern w:val="0"/>
                <w:sz w:val="21"/>
                <w:szCs w:val="21"/>
              </w:rPr>
              <w:t>m</w:t>
            </w:r>
            <w:r>
              <w:rPr>
                <w:rFonts w:ascii="Times New Roman" w:eastAsiaTheme="minorEastAsia" w:hAnsi="Times New Roman"/>
                <w:kern w:val="0"/>
                <w:sz w:val="21"/>
                <w:szCs w:val="21"/>
                <w:vertAlign w:val="superscript"/>
              </w:rPr>
              <w:t>3</w:t>
            </w:r>
            <w:r>
              <w:rPr>
                <w:rFonts w:ascii="Times New Roman" w:eastAsiaTheme="minorEastAsia" w:hAnsi="Times New Roman"/>
                <w:kern w:val="0"/>
                <w:sz w:val="21"/>
                <w:szCs w:val="21"/>
              </w:rPr>
              <w:t>/a</w:t>
            </w:r>
            <w:r>
              <w:rPr>
                <w:rFonts w:ascii="Times New Roman" w:eastAsiaTheme="minorEastAsia" w:hAnsi="Times New Roman"/>
                <w:kern w:val="0"/>
                <w:sz w:val="21"/>
                <w:szCs w:val="21"/>
              </w:rPr>
              <w:t>）</w:t>
            </w:r>
          </w:p>
        </w:tc>
        <w:tc>
          <w:tcPr>
            <w:tcW w:w="3695" w:type="dxa"/>
            <w:gridSpan w:val="3"/>
            <w:shd w:val="clear" w:color="auto" w:fill="auto"/>
            <w:vAlign w:val="center"/>
          </w:tcPr>
          <w:p w14:paraId="35B1A53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用水量（万</w:t>
            </w:r>
            <w:r>
              <w:rPr>
                <w:rFonts w:ascii="Times New Roman" w:eastAsiaTheme="minorEastAsia" w:hAnsi="Times New Roman"/>
                <w:kern w:val="0"/>
                <w:sz w:val="21"/>
                <w:szCs w:val="21"/>
              </w:rPr>
              <w:t>m</w:t>
            </w:r>
            <w:r>
              <w:rPr>
                <w:rFonts w:ascii="Times New Roman" w:eastAsiaTheme="minorEastAsia" w:hAnsi="Times New Roman"/>
                <w:kern w:val="0"/>
                <w:sz w:val="21"/>
                <w:szCs w:val="21"/>
                <w:vertAlign w:val="superscript"/>
              </w:rPr>
              <w:t>3</w:t>
            </w:r>
            <w:r>
              <w:rPr>
                <w:rFonts w:ascii="Times New Roman" w:eastAsiaTheme="minorEastAsia" w:hAnsi="Times New Roman"/>
                <w:kern w:val="0"/>
                <w:sz w:val="21"/>
                <w:szCs w:val="21"/>
              </w:rPr>
              <w:t>/a</w:t>
            </w:r>
            <w:r>
              <w:rPr>
                <w:rFonts w:ascii="Times New Roman" w:eastAsiaTheme="minorEastAsia" w:hAnsi="Times New Roman"/>
                <w:kern w:val="0"/>
                <w:sz w:val="21"/>
                <w:szCs w:val="21"/>
              </w:rPr>
              <w:t>）</w:t>
            </w:r>
          </w:p>
        </w:tc>
      </w:tr>
      <w:tr w:rsidR="009C353B" w14:paraId="3F4393E9" w14:textId="77777777">
        <w:trPr>
          <w:trHeight w:val="299"/>
        </w:trPr>
        <w:tc>
          <w:tcPr>
            <w:tcW w:w="335" w:type="dxa"/>
            <w:vMerge/>
            <w:vAlign w:val="center"/>
          </w:tcPr>
          <w:p w14:paraId="18F6B626" w14:textId="77777777" w:rsidR="009C353B" w:rsidRDefault="009C353B">
            <w:pPr>
              <w:widowControl/>
              <w:jc w:val="left"/>
              <w:rPr>
                <w:rFonts w:ascii="Times New Roman" w:eastAsiaTheme="minorEastAsia" w:hAnsi="Times New Roman"/>
                <w:kern w:val="0"/>
                <w:sz w:val="21"/>
                <w:szCs w:val="21"/>
              </w:rPr>
            </w:pPr>
          </w:p>
        </w:tc>
        <w:tc>
          <w:tcPr>
            <w:tcW w:w="1363" w:type="dxa"/>
            <w:vMerge/>
            <w:vAlign w:val="center"/>
          </w:tcPr>
          <w:p w14:paraId="4BB69CC1" w14:textId="77777777" w:rsidR="009C353B" w:rsidRDefault="009C353B">
            <w:pPr>
              <w:widowControl/>
              <w:jc w:val="left"/>
              <w:rPr>
                <w:rFonts w:ascii="Times New Roman" w:eastAsiaTheme="minorEastAsia" w:hAnsi="Times New Roman"/>
                <w:kern w:val="0"/>
                <w:sz w:val="21"/>
                <w:szCs w:val="21"/>
              </w:rPr>
            </w:pPr>
          </w:p>
        </w:tc>
        <w:tc>
          <w:tcPr>
            <w:tcW w:w="1279" w:type="dxa"/>
            <w:shd w:val="clear" w:color="auto" w:fill="auto"/>
            <w:noWrap/>
            <w:vAlign w:val="center"/>
          </w:tcPr>
          <w:p w14:paraId="37A886D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矿井水</w:t>
            </w:r>
          </w:p>
        </w:tc>
        <w:tc>
          <w:tcPr>
            <w:tcW w:w="1137" w:type="dxa"/>
            <w:shd w:val="clear" w:color="auto" w:fill="auto"/>
            <w:noWrap/>
            <w:vAlign w:val="center"/>
          </w:tcPr>
          <w:p w14:paraId="574A6B3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生产生活污废水</w:t>
            </w:r>
          </w:p>
        </w:tc>
        <w:tc>
          <w:tcPr>
            <w:tcW w:w="1272" w:type="dxa"/>
            <w:shd w:val="clear" w:color="auto" w:fill="auto"/>
            <w:noWrap/>
            <w:vAlign w:val="center"/>
          </w:tcPr>
          <w:p w14:paraId="5D0090F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合计</w:t>
            </w:r>
          </w:p>
        </w:tc>
        <w:tc>
          <w:tcPr>
            <w:tcW w:w="1279" w:type="dxa"/>
            <w:shd w:val="clear" w:color="auto" w:fill="auto"/>
            <w:noWrap/>
            <w:vAlign w:val="center"/>
          </w:tcPr>
          <w:p w14:paraId="79C57DE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生产用水</w:t>
            </w:r>
          </w:p>
        </w:tc>
        <w:tc>
          <w:tcPr>
            <w:tcW w:w="1279" w:type="dxa"/>
            <w:shd w:val="clear" w:color="auto" w:fill="auto"/>
            <w:noWrap/>
            <w:vAlign w:val="center"/>
          </w:tcPr>
          <w:p w14:paraId="287D3AD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生活用水</w:t>
            </w:r>
          </w:p>
        </w:tc>
        <w:tc>
          <w:tcPr>
            <w:tcW w:w="1137" w:type="dxa"/>
            <w:shd w:val="clear" w:color="auto" w:fill="auto"/>
            <w:noWrap/>
            <w:vAlign w:val="center"/>
          </w:tcPr>
          <w:p w14:paraId="67478EF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合计</w:t>
            </w:r>
          </w:p>
        </w:tc>
      </w:tr>
      <w:tr w:rsidR="009C353B" w14:paraId="43588C11" w14:textId="77777777">
        <w:trPr>
          <w:trHeight w:val="299"/>
        </w:trPr>
        <w:tc>
          <w:tcPr>
            <w:tcW w:w="335" w:type="dxa"/>
            <w:shd w:val="clear" w:color="auto" w:fill="auto"/>
            <w:vAlign w:val="center"/>
          </w:tcPr>
          <w:p w14:paraId="1E8E1BC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w:t>
            </w:r>
          </w:p>
        </w:tc>
        <w:tc>
          <w:tcPr>
            <w:tcW w:w="1363" w:type="dxa"/>
            <w:vAlign w:val="center"/>
          </w:tcPr>
          <w:p w14:paraId="4CCB60E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马莲台矿井及选煤厂</w:t>
            </w:r>
          </w:p>
        </w:tc>
        <w:tc>
          <w:tcPr>
            <w:tcW w:w="1279" w:type="dxa"/>
            <w:shd w:val="clear" w:color="auto" w:fill="auto"/>
            <w:noWrap/>
            <w:vAlign w:val="center"/>
          </w:tcPr>
          <w:p w14:paraId="3150603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127.5</w:t>
            </w:r>
          </w:p>
        </w:tc>
        <w:tc>
          <w:tcPr>
            <w:tcW w:w="1137" w:type="dxa"/>
            <w:shd w:val="clear" w:color="auto" w:fill="auto"/>
            <w:noWrap/>
            <w:vAlign w:val="center"/>
          </w:tcPr>
          <w:p w14:paraId="73872A7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2.83</w:t>
            </w:r>
          </w:p>
        </w:tc>
        <w:tc>
          <w:tcPr>
            <w:tcW w:w="1272" w:type="dxa"/>
            <w:shd w:val="clear" w:color="auto" w:fill="auto"/>
            <w:noWrap/>
            <w:vAlign w:val="center"/>
          </w:tcPr>
          <w:p w14:paraId="2374077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130.33</w:t>
            </w:r>
          </w:p>
        </w:tc>
        <w:tc>
          <w:tcPr>
            <w:tcW w:w="1279" w:type="dxa"/>
            <w:shd w:val="clear" w:color="auto" w:fill="auto"/>
            <w:noWrap/>
            <w:vAlign w:val="center"/>
          </w:tcPr>
          <w:p w14:paraId="354E6486"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230.02</w:t>
            </w:r>
          </w:p>
        </w:tc>
        <w:tc>
          <w:tcPr>
            <w:tcW w:w="1279" w:type="dxa"/>
            <w:shd w:val="clear" w:color="auto" w:fill="auto"/>
            <w:noWrap/>
            <w:vAlign w:val="center"/>
          </w:tcPr>
          <w:p w14:paraId="1B7346C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4.31</w:t>
            </w:r>
          </w:p>
        </w:tc>
        <w:tc>
          <w:tcPr>
            <w:tcW w:w="1137" w:type="dxa"/>
            <w:shd w:val="clear" w:color="auto" w:fill="auto"/>
            <w:noWrap/>
            <w:vAlign w:val="center"/>
          </w:tcPr>
          <w:p w14:paraId="306F929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234.33</w:t>
            </w:r>
          </w:p>
        </w:tc>
      </w:tr>
      <w:tr w:rsidR="009C353B" w14:paraId="79FFA7DB" w14:textId="77777777">
        <w:trPr>
          <w:trHeight w:val="299"/>
        </w:trPr>
        <w:tc>
          <w:tcPr>
            <w:tcW w:w="335" w:type="dxa"/>
            <w:shd w:val="clear" w:color="auto" w:fill="auto"/>
            <w:vAlign w:val="center"/>
          </w:tcPr>
          <w:p w14:paraId="37024BC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2</w:t>
            </w:r>
          </w:p>
        </w:tc>
        <w:tc>
          <w:tcPr>
            <w:tcW w:w="1363" w:type="dxa"/>
            <w:vAlign w:val="center"/>
          </w:tcPr>
          <w:p w14:paraId="6E21144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任家庄矿井及选煤厂</w:t>
            </w:r>
          </w:p>
        </w:tc>
        <w:tc>
          <w:tcPr>
            <w:tcW w:w="1279" w:type="dxa"/>
            <w:shd w:val="clear" w:color="auto" w:fill="auto"/>
            <w:noWrap/>
            <w:vAlign w:val="center"/>
          </w:tcPr>
          <w:p w14:paraId="06151BCE"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176.6</w:t>
            </w:r>
          </w:p>
        </w:tc>
        <w:tc>
          <w:tcPr>
            <w:tcW w:w="1137" w:type="dxa"/>
            <w:shd w:val="clear" w:color="auto" w:fill="auto"/>
            <w:noWrap/>
            <w:vAlign w:val="center"/>
          </w:tcPr>
          <w:p w14:paraId="72D8601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2.20</w:t>
            </w:r>
          </w:p>
        </w:tc>
        <w:tc>
          <w:tcPr>
            <w:tcW w:w="1272" w:type="dxa"/>
            <w:shd w:val="clear" w:color="auto" w:fill="auto"/>
            <w:noWrap/>
            <w:vAlign w:val="center"/>
          </w:tcPr>
          <w:p w14:paraId="71EC0DC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178.80</w:t>
            </w:r>
          </w:p>
        </w:tc>
        <w:tc>
          <w:tcPr>
            <w:tcW w:w="1279" w:type="dxa"/>
            <w:shd w:val="clear" w:color="auto" w:fill="auto"/>
            <w:noWrap/>
            <w:vAlign w:val="center"/>
          </w:tcPr>
          <w:p w14:paraId="07DA669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172.54</w:t>
            </w:r>
          </w:p>
        </w:tc>
        <w:tc>
          <w:tcPr>
            <w:tcW w:w="1279" w:type="dxa"/>
            <w:shd w:val="clear" w:color="auto" w:fill="auto"/>
            <w:noWrap/>
            <w:vAlign w:val="center"/>
          </w:tcPr>
          <w:p w14:paraId="609E5EB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4.89</w:t>
            </w:r>
          </w:p>
        </w:tc>
        <w:tc>
          <w:tcPr>
            <w:tcW w:w="1137" w:type="dxa"/>
            <w:shd w:val="clear" w:color="auto" w:fill="auto"/>
            <w:noWrap/>
            <w:vAlign w:val="center"/>
          </w:tcPr>
          <w:p w14:paraId="36A52EC2"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177.43</w:t>
            </w:r>
          </w:p>
        </w:tc>
      </w:tr>
      <w:tr w:rsidR="009C353B" w14:paraId="2BB5A0C7" w14:textId="77777777">
        <w:trPr>
          <w:trHeight w:val="299"/>
        </w:trPr>
        <w:tc>
          <w:tcPr>
            <w:tcW w:w="335" w:type="dxa"/>
            <w:shd w:val="clear" w:color="auto" w:fill="auto"/>
            <w:vAlign w:val="center"/>
          </w:tcPr>
          <w:p w14:paraId="5FD7858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3</w:t>
            </w:r>
          </w:p>
        </w:tc>
        <w:tc>
          <w:tcPr>
            <w:tcW w:w="1363" w:type="dxa"/>
            <w:vAlign w:val="center"/>
          </w:tcPr>
          <w:p w14:paraId="6A2A676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红石湾矿井及选煤厂</w:t>
            </w:r>
          </w:p>
        </w:tc>
        <w:tc>
          <w:tcPr>
            <w:tcW w:w="1279" w:type="dxa"/>
            <w:shd w:val="clear" w:color="auto" w:fill="auto"/>
            <w:noWrap/>
            <w:vAlign w:val="center"/>
          </w:tcPr>
          <w:p w14:paraId="77CCDE2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101.0</w:t>
            </w:r>
          </w:p>
        </w:tc>
        <w:tc>
          <w:tcPr>
            <w:tcW w:w="1137" w:type="dxa"/>
            <w:shd w:val="clear" w:color="auto" w:fill="auto"/>
            <w:noWrap/>
            <w:vAlign w:val="center"/>
          </w:tcPr>
          <w:p w14:paraId="0974AB2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3.31</w:t>
            </w:r>
          </w:p>
        </w:tc>
        <w:tc>
          <w:tcPr>
            <w:tcW w:w="1272" w:type="dxa"/>
            <w:shd w:val="clear" w:color="auto" w:fill="auto"/>
            <w:noWrap/>
            <w:vAlign w:val="center"/>
          </w:tcPr>
          <w:p w14:paraId="5BD60D2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w:t>
            </w:r>
            <w:r>
              <w:rPr>
                <w:rFonts w:ascii="Times New Roman" w:eastAsiaTheme="minorEastAsia" w:hAnsi="Times New Roman" w:hint="eastAsia"/>
                <w:kern w:val="0"/>
                <w:sz w:val="21"/>
                <w:szCs w:val="21"/>
              </w:rPr>
              <w:t>4.31</w:t>
            </w:r>
          </w:p>
        </w:tc>
        <w:tc>
          <w:tcPr>
            <w:tcW w:w="1279" w:type="dxa"/>
            <w:shd w:val="clear" w:color="auto" w:fill="auto"/>
            <w:noWrap/>
            <w:vAlign w:val="center"/>
          </w:tcPr>
          <w:p w14:paraId="3DC31D75"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49.79</w:t>
            </w:r>
          </w:p>
        </w:tc>
        <w:tc>
          <w:tcPr>
            <w:tcW w:w="1279" w:type="dxa"/>
            <w:shd w:val="clear" w:color="auto" w:fill="auto"/>
            <w:noWrap/>
            <w:vAlign w:val="center"/>
          </w:tcPr>
          <w:p w14:paraId="014DE34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3.50</w:t>
            </w:r>
          </w:p>
        </w:tc>
        <w:tc>
          <w:tcPr>
            <w:tcW w:w="1137" w:type="dxa"/>
            <w:shd w:val="clear" w:color="auto" w:fill="auto"/>
            <w:noWrap/>
            <w:vAlign w:val="center"/>
          </w:tcPr>
          <w:p w14:paraId="2413EE9C"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53.29</w:t>
            </w:r>
          </w:p>
        </w:tc>
      </w:tr>
      <w:tr w:rsidR="009C353B" w14:paraId="73897B01" w14:textId="77777777">
        <w:trPr>
          <w:trHeight w:val="299"/>
        </w:trPr>
        <w:tc>
          <w:tcPr>
            <w:tcW w:w="335" w:type="dxa"/>
            <w:shd w:val="clear" w:color="auto" w:fill="auto"/>
            <w:vAlign w:val="center"/>
          </w:tcPr>
          <w:p w14:paraId="71E5C9E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4</w:t>
            </w:r>
          </w:p>
        </w:tc>
        <w:tc>
          <w:tcPr>
            <w:tcW w:w="1363" w:type="dxa"/>
            <w:vAlign w:val="center"/>
          </w:tcPr>
          <w:p w14:paraId="178039D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丁家梁矿井</w:t>
            </w:r>
          </w:p>
        </w:tc>
        <w:tc>
          <w:tcPr>
            <w:tcW w:w="1279" w:type="dxa"/>
            <w:shd w:val="clear" w:color="auto" w:fill="auto"/>
            <w:noWrap/>
            <w:vAlign w:val="center"/>
          </w:tcPr>
          <w:p w14:paraId="2D37B9E9"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107.3</w:t>
            </w:r>
          </w:p>
        </w:tc>
        <w:tc>
          <w:tcPr>
            <w:tcW w:w="1137" w:type="dxa"/>
            <w:shd w:val="clear" w:color="auto" w:fill="auto"/>
            <w:noWrap/>
            <w:vAlign w:val="center"/>
          </w:tcPr>
          <w:p w14:paraId="4DE3DA17"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1.33</w:t>
            </w:r>
          </w:p>
        </w:tc>
        <w:tc>
          <w:tcPr>
            <w:tcW w:w="1272" w:type="dxa"/>
            <w:shd w:val="clear" w:color="auto" w:fill="auto"/>
            <w:noWrap/>
            <w:vAlign w:val="center"/>
          </w:tcPr>
          <w:p w14:paraId="393271E8"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10</w:t>
            </w:r>
            <w:r>
              <w:rPr>
                <w:rFonts w:ascii="Times New Roman" w:eastAsiaTheme="minorEastAsia" w:hAnsi="Times New Roman" w:hint="eastAsia"/>
                <w:kern w:val="0"/>
                <w:sz w:val="21"/>
                <w:szCs w:val="21"/>
              </w:rPr>
              <w:t>8.63</w:t>
            </w:r>
          </w:p>
        </w:tc>
        <w:tc>
          <w:tcPr>
            <w:tcW w:w="1279" w:type="dxa"/>
            <w:shd w:val="clear" w:color="auto" w:fill="auto"/>
            <w:noWrap/>
            <w:vAlign w:val="center"/>
          </w:tcPr>
          <w:p w14:paraId="5F48AB0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29.86</w:t>
            </w:r>
          </w:p>
        </w:tc>
        <w:tc>
          <w:tcPr>
            <w:tcW w:w="1279" w:type="dxa"/>
            <w:shd w:val="clear" w:color="auto" w:fill="auto"/>
            <w:noWrap/>
            <w:vAlign w:val="center"/>
          </w:tcPr>
          <w:p w14:paraId="01D6B611"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1.75</w:t>
            </w:r>
          </w:p>
        </w:tc>
        <w:tc>
          <w:tcPr>
            <w:tcW w:w="1137" w:type="dxa"/>
            <w:shd w:val="clear" w:color="auto" w:fill="auto"/>
            <w:noWrap/>
            <w:vAlign w:val="center"/>
          </w:tcPr>
          <w:p w14:paraId="2513615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31.61</w:t>
            </w:r>
          </w:p>
        </w:tc>
      </w:tr>
      <w:tr w:rsidR="009C353B" w14:paraId="5EF4BCF7" w14:textId="77777777">
        <w:trPr>
          <w:trHeight w:val="299"/>
        </w:trPr>
        <w:tc>
          <w:tcPr>
            <w:tcW w:w="1698" w:type="dxa"/>
            <w:gridSpan w:val="2"/>
            <w:shd w:val="clear" w:color="auto" w:fill="auto"/>
            <w:vAlign w:val="center"/>
          </w:tcPr>
          <w:p w14:paraId="7C40BBA3"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合</w:t>
            </w:r>
            <w:r>
              <w:rPr>
                <w:rFonts w:ascii="Times New Roman" w:eastAsiaTheme="minorEastAsia" w:hAnsi="Times New Roman"/>
                <w:kern w:val="0"/>
                <w:sz w:val="21"/>
                <w:szCs w:val="21"/>
              </w:rPr>
              <w:t>计</w:t>
            </w:r>
          </w:p>
        </w:tc>
        <w:tc>
          <w:tcPr>
            <w:tcW w:w="1279" w:type="dxa"/>
            <w:shd w:val="clear" w:color="auto" w:fill="auto"/>
            <w:noWrap/>
            <w:vAlign w:val="center"/>
          </w:tcPr>
          <w:p w14:paraId="5A6B5A2B"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kern w:val="0"/>
                <w:sz w:val="21"/>
                <w:szCs w:val="21"/>
              </w:rPr>
              <w:t>512.4</w:t>
            </w:r>
          </w:p>
        </w:tc>
        <w:tc>
          <w:tcPr>
            <w:tcW w:w="1137" w:type="dxa"/>
            <w:shd w:val="clear" w:color="auto" w:fill="auto"/>
            <w:noWrap/>
            <w:vAlign w:val="center"/>
          </w:tcPr>
          <w:p w14:paraId="636F0A7F"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9.67</w:t>
            </w:r>
          </w:p>
        </w:tc>
        <w:tc>
          <w:tcPr>
            <w:tcW w:w="1272" w:type="dxa"/>
            <w:shd w:val="clear" w:color="auto" w:fill="auto"/>
            <w:noWrap/>
            <w:vAlign w:val="center"/>
          </w:tcPr>
          <w:p w14:paraId="35F2930A"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522.07</w:t>
            </w:r>
          </w:p>
        </w:tc>
        <w:tc>
          <w:tcPr>
            <w:tcW w:w="1279" w:type="dxa"/>
            <w:shd w:val="clear" w:color="auto" w:fill="auto"/>
            <w:noWrap/>
            <w:vAlign w:val="center"/>
          </w:tcPr>
          <w:p w14:paraId="35FFA58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482.20</w:t>
            </w:r>
          </w:p>
        </w:tc>
        <w:tc>
          <w:tcPr>
            <w:tcW w:w="1279" w:type="dxa"/>
            <w:shd w:val="clear" w:color="auto" w:fill="auto"/>
            <w:noWrap/>
            <w:vAlign w:val="center"/>
          </w:tcPr>
          <w:p w14:paraId="2B7CE230"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14.45</w:t>
            </w:r>
          </w:p>
        </w:tc>
        <w:tc>
          <w:tcPr>
            <w:tcW w:w="1137" w:type="dxa"/>
            <w:shd w:val="clear" w:color="auto" w:fill="auto"/>
            <w:noWrap/>
            <w:vAlign w:val="center"/>
          </w:tcPr>
          <w:p w14:paraId="70FE183D" w14:textId="77777777" w:rsidR="009C353B" w:rsidRDefault="00000000">
            <w:pPr>
              <w:widowControl/>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496.65</w:t>
            </w:r>
          </w:p>
        </w:tc>
      </w:tr>
    </w:tbl>
    <w:p w14:paraId="6E0243A4"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2</w:t>
      </w:r>
      <w:r>
        <w:rPr>
          <w:rFonts w:ascii="Times New Roman" w:hint="eastAsia"/>
          <w:szCs w:val="24"/>
        </w:rPr>
        <w:t>）现状水资源供需平衡分析</w:t>
      </w:r>
    </w:p>
    <w:p w14:paraId="67E9EAB4"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现状煤矿生活</w:t>
      </w:r>
      <w:r>
        <w:rPr>
          <w:rFonts w:ascii="Times New Roman"/>
          <w:szCs w:val="24"/>
        </w:rPr>
        <w:t>用水总需水量</w:t>
      </w:r>
      <w:r>
        <w:rPr>
          <w:rFonts w:ascii="Times New Roman" w:hint="eastAsia"/>
          <w:szCs w:val="24"/>
        </w:rPr>
        <w:t>仍按四个煤矿共需</w:t>
      </w:r>
      <w:r>
        <w:rPr>
          <w:rFonts w:ascii="Times New Roman" w:hint="eastAsia"/>
          <w:szCs w:val="24"/>
        </w:rPr>
        <w:t>14.45</w:t>
      </w:r>
      <w:r>
        <w:rPr>
          <w:rFonts w:ascii="Times New Roman"/>
          <w:szCs w:val="24"/>
        </w:rPr>
        <w:t>万</w:t>
      </w:r>
      <w:r>
        <w:rPr>
          <w:rFonts w:ascii="Times New Roman"/>
          <w:szCs w:val="24"/>
        </w:rPr>
        <w:t>m</w:t>
      </w:r>
      <w:r>
        <w:rPr>
          <w:rFonts w:ascii="Times New Roman"/>
          <w:szCs w:val="24"/>
          <w:vertAlign w:val="superscript"/>
        </w:rPr>
        <w:t>3</w:t>
      </w:r>
      <w:r>
        <w:rPr>
          <w:rFonts w:ascii="Times New Roman"/>
          <w:szCs w:val="24"/>
        </w:rPr>
        <w:t>/a</w:t>
      </w:r>
      <w:r>
        <w:rPr>
          <w:rFonts w:ascii="Times New Roman" w:hint="eastAsia"/>
          <w:szCs w:val="24"/>
        </w:rPr>
        <w:t>考虑</w:t>
      </w:r>
      <w:r>
        <w:rPr>
          <w:rFonts w:ascii="Times New Roman"/>
          <w:szCs w:val="24"/>
        </w:rPr>
        <w:t>，矿区</w:t>
      </w:r>
      <w:r>
        <w:rPr>
          <w:rFonts w:ascii="Times New Roman" w:hint="eastAsia"/>
          <w:szCs w:val="24"/>
        </w:rPr>
        <w:t>煤炭</w:t>
      </w:r>
      <w:r>
        <w:rPr>
          <w:rFonts w:ascii="Times New Roman"/>
          <w:szCs w:val="24"/>
        </w:rPr>
        <w:t>企业</w:t>
      </w:r>
      <w:r>
        <w:rPr>
          <w:rFonts w:ascii="Times New Roman" w:hint="eastAsia"/>
          <w:szCs w:val="24"/>
        </w:rPr>
        <w:t>实际</w:t>
      </w:r>
      <w:r>
        <w:rPr>
          <w:rFonts w:ascii="Times New Roman"/>
          <w:szCs w:val="24"/>
        </w:rPr>
        <w:t>生产</w:t>
      </w:r>
      <w:r>
        <w:rPr>
          <w:rFonts w:ascii="Times New Roman" w:hint="eastAsia"/>
          <w:szCs w:val="24"/>
        </w:rPr>
        <w:t>需水量仍按</w:t>
      </w:r>
      <w:r>
        <w:rPr>
          <w:rFonts w:ascii="Times New Roman" w:hint="eastAsia"/>
          <w:szCs w:val="24"/>
        </w:rPr>
        <w:t>482.2</w:t>
      </w:r>
      <w:r>
        <w:rPr>
          <w:rFonts w:ascii="Times New Roman"/>
          <w:szCs w:val="24"/>
        </w:rPr>
        <w:t>万</w:t>
      </w:r>
      <w:r>
        <w:rPr>
          <w:rFonts w:ascii="Times New Roman"/>
          <w:szCs w:val="24"/>
        </w:rPr>
        <w:t>m</w:t>
      </w:r>
      <w:r>
        <w:rPr>
          <w:rFonts w:ascii="Times New Roman"/>
          <w:szCs w:val="24"/>
          <w:vertAlign w:val="superscript"/>
        </w:rPr>
        <w:t>3</w:t>
      </w:r>
      <w:r>
        <w:rPr>
          <w:rFonts w:ascii="Times New Roman"/>
          <w:szCs w:val="24"/>
        </w:rPr>
        <w:t>/a</w:t>
      </w:r>
      <w:r>
        <w:rPr>
          <w:rFonts w:ascii="Times New Roman" w:hint="eastAsia"/>
          <w:szCs w:val="24"/>
        </w:rPr>
        <w:t>。现阶段矿井水经处理后实际可供水量为</w:t>
      </w:r>
      <w:r>
        <w:rPr>
          <w:rFonts w:ascii="Times New Roman" w:hint="eastAsia"/>
          <w:szCs w:val="24"/>
        </w:rPr>
        <w:t>322.9</w:t>
      </w:r>
      <w:r>
        <w:rPr>
          <w:rFonts w:ascii="Times New Roman"/>
          <w:szCs w:val="24"/>
        </w:rPr>
        <w:t>万</w:t>
      </w:r>
      <w:r>
        <w:rPr>
          <w:rFonts w:ascii="Times New Roman"/>
          <w:szCs w:val="24"/>
        </w:rPr>
        <w:t>m</w:t>
      </w:r>
      <w:r>
        <w:rPr>
          <w:rFonts w:ascii="Times New Roman"/>
          <w:szCs w:val="24"/>
          <w:vertAlign w:val="superscript"/>
        </w:rPr>
        <w:t>3</w:t>
      </w:r>
      <w:r>
        <w:rPr>
          <w:rFonts w:ascii="Times New Roman"/>
          <w:szCs w:val="24"/>
        </w:rPr>
        <w:t>/a</w:t>
      </w:r>
      <w:r>
        <w:rPr>
          <w:rFonts w:ascii="Times New Roman" w:hint="eastAsia"/>
          <w:szCs w:val="24"/>
        </w:rPr>
        <w:t>（</w:t>
      </w:r>
      <w:r>
        <w:rPr>
          <w:rFonts w:ascii="Times New Roman" w:hint="eastAsia"/>
          <w:szCs w:val="24"/>
        </w:rPr>
        <w:t>8847m</w:t>
      </w:r>
      <w:r>
        <w:rPr>
          <w:rFonts w:ascii="Times New Roman" w:hint="eastAsia"/>
          <w:szCs w:val="24"/>
          <w:vertAlign w:val="superscript"/>
        </w:rPr>
        <w:t>3</w:t>
      </w:r>
      <w:r>
        <w:rPr>
          <w:rFonts w:ascii="Times New Roman" w:hint="eastAsia"/>
          <w:szCs w:val="24"/>
        </w:rPr>
        <w:t>/d</w:t>
      </w:r>
      <w:r>
        <w:rPr>
          <w:rFonts w:ascii="Times New Roman" w:hint="eastAsia"/>
          <w:szCs w:val="24"/>
        </w:rPr>
        <w:t>），现阶段尚需从鸭子荡水库取水</w:t>
      </w:r>
      <w:r>
        <w:rPr>
          <w:rFonts w:ascii="Times New Roman" w:hint="eastAsia"/>
          <w:szCs w:val="24"/>
        </w:rPr>
        <w:t>159.2</w:t>
      </w:r>
      <w:r>
        <w:rPr>
          <w:rFonts w:ascii="Times New Roman"/>
          <w:szCs w:val="24"/>
        </w:rPr>
        <w:t>万</w:t>
      </w:r>
      <w:r>
        <w:rPr>
          <w:rFonts w:ascii="Times New Roman"/>
          <w:szCs w:val="24"/>
        </w:rPr>
        <w:t>m</w:t>
      </w:r>
      <w:r>
        <w:rPr>
          <w:rFonts w:ascii="Times New Roman"/>
          <w:szCs w:val="24"/>
          <w:vertAlign w:val="superscript"/>
        </w:rPr>
        <w:t>3</w:t>
      </w:r>
      <w:r>
        <w:rPr>
          <w:rFonts w:ascii="Times New Roman"/>
          <w:szCs w:val="24"/>
        </w:rPr>
        <w:t>/a</w:t>
      </w:r>
      <w:r>
        <w:rPr>
          <w:rFonts w:ascii="Times New Roman" w:hint="eastAsia"/>
          <w:szCs w:val="24"/>
        </w:rPr>
        <w:t>（</w:t>
      </w:r>
      <w:r>
        <w:rPr>
          <w:rFonts w:ascii="Times New Roman" w:hint="eastAsia"/>
          <w:szCs w:val="24"/>
        </w:rPr>
        <w:t>4364m</w:t>
      </w:r>
      <w:r>
        <w:rPr>
          <w:rFonts w:ascii="Times New Roman" w:hint="eastAsia"/>
          <w:szCs w:val="24"/>
          <w:vertAlign w:val="superscript"/>
        </w:rPr>
        <w:t>3</w:t>
      </w:r>
      <w:r>
        <w:rPr>
          <w:rFonts w:ascii="Times New Roman" w:hint="eastAsia"/>
          <w:szCs w:val="24"/>
        </w:rPr>
        <w:t>/d</w:t>
      </w:r>
      <w:r>
        <w:rPr>
          <w:rFonts w:ascii="Times New Roman" w:hint="eastAsia"/>
          <w:szCs w:val="24"/>
        </w:rPr>
        <w:t>）。目前鸭子荡水库正常供给三矿用水，三矿用水包含于</w:t>
      </w:r>
      <w:r>
        <w:rPr>
          <w:rFonts w:ascii="Times New Roman" w:hint="eastAsia"/>
          <w:szCs w:val="24"/>
        </w:rPr>
        <w:t>2017</w:t>
      </w:r>
      <w:r>
        <w:rPr>
          <w:rFonts w:ascii="Times New Roman" w:hint="eastAsia"/>
          <w:szCs w:val="24"/>
        </w:rPr>
        <w:t>年宁东基地用水总量红线控制指标</w:t>
      </w:r>
      <w:r>
        <w:rPr>
          <w:rFonts w:ascii="Times New Roman" w:hint="eastAsia"/>
          <w:szCs w:val="24"/>
        </w:rPr>
        <w:t>1.98</w:t>
      </w:r>
      <w:r>
        <w:rPr>
          <w:rFonts w:ascii="Times New Roman" w:hint="eastAsia"/>
          <w:szCs w:val="24"/>
        </w:rPr>
        <w:t>亿</w:t>
      </w:r>
      <w:r>
        <w:rPr>
          <w:rFonts w:ascii="Times New Roman" w:hint="eastAsia"/>
          <w:szCs w:val="24"/>
        </w:rPr>
        <w:t>m</w:t>
      </w:r>
      <w:r>
        <w:rPr>
          <w:rFonts w:ascii="Times New Roman" w:hint="eastAsia"/>
          <w:szCs w:val="24"/>
          <w:vertAlign w:val="superscript"/>
        </w:rPr>
        <w:t>3</w:t>
      </w:r>
      <w:r>
        <w:rPr>
          <w:rFonts w:ascii="Times New Roman" w:hint="eastAsia"/>
          <w:szCs w:val="24"/>
        </w:rPr>
        <w:t>之内。经计算丁家梁煤矿生产需水量为</w:t>
      </w:r>
      <w:r>
        <w:rPr>
          <w:rFonts w:ascii="Times New Roman" w:hint="eastAsia"/>
          <w:szCs w:val="24"/>
        </w:rPr>
        <w:t>29.86</w:t>
      </w:r>
      <w:r>
        <w:rPr>
          <w:rFonts w:ascii="Times New Roman" w:hint="eastAsia"/>
          <w:szCs w:val="24"/>
        </w:rPr>
        <w:t>万</w:t>
      </w:r>
      <w:r>
        <w:rPr>
          <w:rFonts w:ascii="Times New Roman" w:hint="eastAsia"/>
          <w:szCs w:val="24"/>
        </w:rPr>
        <w:t>m</w:t>
      </w:r>
      <w:r>
        <w:rPr>
          <w:rFonts w:ascii="Times New Roman" w:hint="eastAsia"/>
          <w:szCs w:val="24"/>
          <w:vertAlign w:val="superscript"/>
        </w:rPr>
        <w:t>3</w:t>
      </w:r>
      <w:r>
        <w:rPr>
          <w:rFonts w:ascii="Times New Roman" w:hint="eastAsia"/>
          <w:szCs w:val="24"/>
        </w:rPr>
        <w:t>/a</w:t>
      </w:r>
      <w:r>
        <w:rPr>
          <w:rFonts w:ascii="Times New Roman" w:hint="eastAsia"/>
          <w:szCs w:val="24"/>
        </w:rPr>
        <w:t>，矿井水可回用量类比他矿按</w:t>
      </w:r>
      <w:r>
        <w:rPr>
          <w:rFonts w:ascii="Times New Roman" w:hint="eastAsia"/>
          <w:szCs w:val="24"/>
        </w:rPr>
        <w:t>30%</w:t>
      </w:r>
      <w:r>
        <w:rPr>
          <w:rFonts w:ascii="Times New Roman" w:hint="eastAsia"/>
          <w:szCs w:val="24"/>
        </w:rPr>
        <w:t>考虑，可供水</w:t>
      </w:r>
      <w:r>
        <w:rPr>
          <w:rFonts w:ascii="Times New Roman" w:hint="eastAsia"/>
          <w:szCs w:val="24"/>
        </w:rPr>
        <w:t>71.2</w:t>
      </w:r>
      <w:r>
        <w:rPr>
          <w:rFonts w:ascii="Times New Roman" w:hint="eastAsia"/>
          <w:szCs w:val="24"/>
        </w:rPr>
        <w:t>万</w:t>
      </w:r>
      <w:r>
        <w:rPr>
          <w:rFonts w:ascii="Times New Roman" w:hint="eastAsia"/>
          <w:szCs w:val="24"/>
        </w:rPr>
        <w:t>m</w:t>
      </w:r>
      <w:r>
        <w:rPr>
          <w:rFonts w:ascii="Times New Roman" w:hint="eastAsia"/>
          <w:szCs w:val="24"/>
          <w:vertAlign w:val="superscript"/>
        </w:rPr>
        <w:t>3</w:t>
      </w:r>
      <w:r>
        <w:rPr>
          <w:rFonts w:ascii="Times New Roman" w:hint="eastAsia"/>
          <w:szCs w:val="24"/>
        </w:rPr>
        <w:t>/a</w:t>
      </w:r>
      <w:r>
        <w:rPr>
          <w:rFonts w:ascii="Times New Roman" w:hint="eastAsia"/>
          <w:szCs w:val="24"/>
        </w:rPr>
        <w:t>，可满足生产用水需求，无需从鸭子荡水库取水，剩余水量可作为工业园区生产用水。</w:t>
      </w:r>
    </w:p>
    <w:p w14:paraId="13DDEC9C" w14:textId="77777777" w:rsidR="009C353B" w:rsidRDefault="00000000">
      <w:pPr>
        <w:pStyle w:val="40"/>
        <w:adjustRightInd w:val="0"/>
        <w:snapToGrid w:val="0"/>
        <w:spacing w:before="0" w:after="0" w:line="440" w:lineRule="exact"/>
      </w:pPr>
      <w:r>
        <w:rPr>
          <w:rFonts w:ascii="Times New Roman" w:eastAsia="宋体" w:hAnsi="Times New Roman"/>
          <w:sz w:val="24"/>
        </w:rPr>
        <w:t>7</w:t>
      </w:r>
      <w:r>
        <w:rPr>
          <w:rFonts w:ascii="Times New Roman" w:eastAsia="宋体" w:hAnsi="Times New Roman" w:hint="eastAsia"/>
          <w:sz w:val="24"/>
        </w:rPr>
        <w:t>.1.</w:t>
      </w:r>
      <w:r>
        <w:rPr>
          <w:rFonts w:ascii="Times New Roman" w:eastAsia="宋体" w:hAnsi="Times New Roman"/>
          <w:sz w:val="24"/>
        </w:rPr>
        <w:t xml:space="preserve">5 </w:t>
      </w:r>
      <w:r>
        <w:rPr>
          <w:rFonts w:ascii="Times New Roman" w:eastAsia="宋体" w:hAnsi="Times New Roman"/>
          <w:sz w:val="24"/>
        </w:rPr>
        <w:t>水资源承载力分析</w:t>
      </w:r>
    </w:p>
    <w:p w14:paraId="43CAE1C1"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矿区</w:t>
      </w:r>
      <w:r>
        <w:rPr>
          <w:rFonts w:ascii="Times New Roman"/>
          <w:szCs w:val="24"/>
        </w:rPr>
        <w:t>内马莲台、任家</w:t>
      </w:r>
      <w:r>
        <w:rPr>
          <w:rFonts w:ascii="Times New Roman" w:hint="eastAsia"/>
          <w:szCs w:val="24"/>
        </w:rPr>
        <w:t>庄</w:t>
      </w:r>
      <w:r>
        <w:rPr>
          <w:rFonts w:ascii="Times New Roman"/>
          <w:szCs w:val="24"/>
        </w:rPr>
        <w:t>、红石湾煤矿均为生产矿井，其生产能力已达到规划规模，矿区内仅新增</w:t>
      </w:r>
      <w:r>
        <w:rPr>
          <w:rFonts w:ascii="Times New Roman" w:hint="eastAsia"/>
          <w:szCs w:val="24"/>
        </w:rPr>
        <w:t>丁</w:t>
      </w:r>
      <w:r>
        <w:rPr>
          <w:rFonts w:ascii="Times New Roman"/>
          <w:szCs w:val="24"/>
        </w:rPr>
        <w:t>家梁矿井，矿区新增用水量较少。</w:t>
      </w:r>
    </w:p>
    <w:p w14:paraId="59439515"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矿区各矿水处理设施处理后水质不能满足饮用水水质标准时，可由鸭子荡水库提供生活用水。根据《宁东供水工程水资源论证报告》（</w:t>
      </w:r>
      <w:r>
        <w:rPr>
          <w:rFonts w:ascii="Times New Roman" w:hint="eastAsia"/>
          <w:szCs w:val="24"/>
        </w:rPr>
        <w:t>2</w:t>
      </w:r>
      <w:r>
        <w:rPr>
          <w:rFonts w:ascii="Times New Roman"/>
          <w:szCs w:val="24"/>
        </w:rPr>
        <w:t>017.11</w:t>
      </w:r>
      <w:r>
        <w:rPr>
          <w:rFonts w:ascii="Times New Roman" w:hint="eastAsia"/>
          <w:szCs w:val="24"/>
        </w:rPr>
        <w:t>），马莲台、红石湾、任家庄都在鸭子荡水库计划供水总量指标内，三矿生活供水总量</w:t>
      </w:r>
      <w:r>
        <w:rPr>
          <w:rFonts w:ascii="Times New Roman" w:hint="eastAsia"/>
          <w:szCs w:val="24"/>
        </w:rPr>
        <w:t>3</w:t>
      </w:r>
      <w:r>
        <w:rPr>
          <w:rFonts w:ascii="Times New Roman"/>
          <w:szCs w:val="24"/>
        </w:rPr>
        <w:t>3</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，矿区规划修编生活总需水量</w:t>
      </w:r>
      <w:r>
        <w:rPr>
          <w:rFonts w:ascii="Times New Roman" w:hAnsi="Times New Roman" w:hint="eastAsia"/>
        </w:rPr>
        <w:t>14.45</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w:t>
      </w:r>
      <w:r>
        <w:rPr>
          <w:rFonts w:ascii="Times New Roman" w:hint="eastAsia"/>
          <w:szCs w:val="24"/>
        </w:rPr>
        <w:t>矿区</w:t>
      </w:r>
      <w:r>
        <w:rPr>
          <w:rFonts w:ascii="Times New Roman"/>
          <w:szCs w:val="24"/>
        </w:rPr>
        <w:t>已有</w:t>
      </w:r>
      <w:r>
        <w:rPr>
          <w:rFonts w:ascii="Times New Roman" w:hint="eastAsia"/>
          <w:szCs w:val="24"/>
        </w:rPr>
        <w:t>的鸭子荡水库的供水总量可以满足</w:t>
      </w:r>
      <w:r>
        <w:rPr>
          <w:rFonts w:ascii="Times New Roman"/>
          <w:szCs w:val="24"/>
        </w:rPr>
        <w:t>矿区开发生活用水需求。</w:t>
      </w:r>
    </w:p>
    <w:p w14:paraId="10BB3D0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矿区规划</w:t>
      </w:r>
      <w:r>
        <w:rPr>
          <w:rFonts w:ascii="Times New Roman"/>
        </w:rPr>
        <w:t>达产时</w:t>
      </w:r>
      <w:r>
        <w:rPr>
          <w:rFonts w:ascii="Times New Roman" w:hint="eastAsia"/>
          <w:szCs w:val="24"/>
        </w:rPr>
        <w:t>矿区可回用</w:t>
      </w:r>
      <w:r>
        <w:rPr>
          <w:rFonts w:ascii="Times New Roman"/>
          <w:szCs w:val="24"/>
        </w:rPr>
        <w:t>水量为</w:t>
      </w:r>
      <w:r>
        <w:rPr>
          <w:rFonts w:ascii="Times New Roman" w:hint="eastAsia"/>
          <w:szCs w:val="24"/>
        </w:rPr>
        <w:t>522.07</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w:t>
      </w:r>
      <w:r>
        <w:rPr>
          <w:rFonts w:ascii="Times New Roman"/>
        </w:rPr>
        <w:t>生产用水总需水量为</w:t>
      </w:r>
      <w:r>
        <w:rPr>
          <w:rFonts w:ascii="Times New Roman" w:hint="eastAsia"/>
        </w:rPr>
        <w:t>482.20</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w:t>
      </w:r>
      <w:r>
        <w:rPr>
          <w:rFonts w:ascii="Times New Roman" w:hAnsi="Times New Roman"/>
        </w:rPr>
        <w:t>有</w:t>
      </w:r>
      <w:r>
        <w:rPr>
          <w:rFonts w:ascii="Times New Roman" w:hAnsi="Times New Roman" w:hint="eastAsia"/>
        </w:rPr>
        <w:t>39.87</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剩余水量</w:t>
      </w:r>
      <w:r>
        <w:rPr>
          <w:rFonts w:ascii="Times New Roman" w:hAnsi="Times New Roman"/>
        </w:rPr>
        <w:t>，</w:t>
      </w:r>
      <w:r>
        <w:rPr>
          <w:rFonts w:ascii="Times New Roman" w:hAnsi="Times New Roman" w:hint="eastAsia"/>
        </w:rPr>
        <w:t>矿区</w:t>
      </w:r>
      <w:r>
        <w:rPr>
          <w:rFonts w:ascii="Times New Roman" w:hAnsi="Times New Roman"/>
        </w:rPr>
        <w:t>内部水资源足以</w:t>
      </w:r>
      <w:r>
        <w:rPr>
          <w:rFonts w:ascii="Times New Roman" w:hAnsi="Times New Roman" w:hint="eastAsia"/>
        </w:rPr>
        <w:t>承载</w:t>
      </w:r>
      <w:r>
        <w:rPr>
          <w:rFonts w:ascii="Times New Roman" w:hAnsi="Times New Roman"/>
        </w:rPr>
        <w:t>规划项目生产需求，</w:t>
      </w:r>
      <w:r>
        <w:rPr>
          <w:rFonts w:ascii="Times New Roman" w:hAnsi="Times New Roman" w:hint="eastAsia"/>
        </w:rPr>
        <w:t>尚有</w:t>
      </w:r>
      <w:r>
        <w:rPr>
          <w:rFonts w:ascii="Times New Roman" w:hAnsi="Times New Roman"/>
        </w:rPr>
        <w:t>部分剩余水量可作为</w:t>
      </w:r>
      <w:r>
        <w:rPr>
          <w:rFonts w:ascii="Times New Roman" w:hint="eastAsia"/>
        </w:rPr>
        <w:t>矿区及园区绿化、道路洒水及作为工业园区生产用水</w:t>
      </w:r>
      <w:r>
        <w:rPr>
          <w:rFonts w:ascii="Times New Roman" w:hAnsi="Times New Roman" w:hint="eastAsia"/>
        </w:rPr>
        <w:t>综合利用。</w:t>
      </w:r>
    </w:p>
    <w:p w14:paraId="7A209BFD"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现阶段矿井水经处理后实际可回用水量为</w:t>
      </w:r>
      <w:r>
        <w:rPr>
          <w:rFonts w:ascii="Times New Roman" w:hAnsi="Times New Roman" w:hint="eastAsia"/>
        </w:rPr>
        <w:t>322.9</w:t>
      </w:r>
      <w:r>
        <w:rPr>
          <w:rFonts w:ascii="Times New Roman" w:hAns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w:t>
      </w:r>
      <w:r>
        <w:rPr>
          <w:rFonts w:ascii="Times New Roman" w:hAnsi="Times New Roman" w:hint="eastAsia"/>
        </w:rPr>
        <w:t>8847m</w:t>
      </w:r>
      <w:r>
        <w:rPr>
          <w:rFonts w:ascii="Times New Roman" w:hAnsi="Times New Roman" w:hint="eastAsia"/>
          <w:vertAlign w:val="superscript"/>
        </w:rPr>
        <w:t>3</w:t>
      </w:r>
      <w:r>
        <w:rPr>
          <w:rFonts w:ascii="Times New Roman" w:hAnsi="Times New Roman" w:hint="eastAsia"/>
        </w:rPr>
        <w:t>/d</w:t>
      </w:r>
      <w:r>
        <w:rPr>
          <w:rFonts w:ascii="Times New Roman" w:hAnsi="Times New Roman" w:hint="eastAsia"/>
        </w:rPr>
        <w:t>），实际</w:t>
      </w:r>
      <w:r>
        <w:rPr>
          <w:rFonts w:ascii="Times New Roman" w:hAnsi="Times New Roman"/>
        </w:rPr>
        <w:t>生产</w:t>
      </w:r>
      <w:r>
        <w:rPr>
          <w:rFonts w:ascii="Times New Roman" w:hAnsi="Times New Roman" w:hint="eastAsia"/>
        </w:rPr>
        <w:t>总需水量仍按</w:t>
      </w:r>
      <w:r>
        <w:rPr>
          <w:rFonts w:ascii="Times New Roman" w:hAnsi="Times New Roman" w:hint="eastAsia"/>
        </w:rPr>
        <w:t>482.20</w:t>
      </w:r>
      <w:r>
        <w:rPr>
          <w:rFonts w:ascii="Times New Roman" w:hAns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，现阶段尚需从鸭子荡水库取水</w:t>
      </w:r>
      <w:r>
        <w:rPr>
          <w:rFonts w:ascii="Times New Roman" w:hAnsi="Times New Roman" w:hint="eastAsia"/>
        </w:rPr>
        <w:t>159.2</w:t>
      </w:r>
      <w:r>
        <w:rPr>
          <w:rFonts w:ascii="Times New Roman" w:hAns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w:t>
      </w:r>
      <w:r>
        <w:rPr>
          <w:rFonts w:ascii="Times New Roman" w:hAnsi="Times New Roman" w:hint="eastAsia"/>
        </w:rPr>
        <w:t>4364m</w:t>
      </w:r>
      <w:r>
        <w:rPr>
          <w:rFonts w:ascii="Times New Roman" w:hAnsi="Times New Roman" w:hint="eastAsia"/>
          <w:vertAlign w:val="superscript"/>
        </w:rPr>
        <w:t>3</w:t>
      </w:r>
      <w:r>
        <w:rPr>
          <w:rFonts w:ascii="Times New Roman" w:hAnsi="Times New Roman" w:hint="eastAsia"/>
        </w:rPr>
        <w:t>/d</w:t>
      </w:r>
      <w:r>
        <w:rPr>
          <w:rFonts w:ascii="Times New Roman" w:hAnsi="Times New Roman" w:hint="eastAsia"/>
        </w:rPr>
        <w:t>）。目前鸭子荡水库正常供给三矿用水，三矿用水包含于</w:t>
      </w:r>
      <w:r>
        <w:rPr>
          <w:rFonts w:ascii="Times New Roman" w:hAnsi="Times New Roman" w:hint="eastAsia"/>
        </w:rPr>
        <w:t>2017</w:t>
      </w:r>
      <w:r>
        <w:rPr>
          <w:rFonts w:ascii="Times New Roman" w:hAnsi="Times New Roman" w:hint="eastAsia"/>
        </w:rPr>
        <w:t>年宁东基地用水总量红线控制指标</w:t>
      </w:r>
      <w:r>
        <w:rPr>
          <w:rFonts w:ascii="Times New Roman" w:hAnsi="Times New Roman" w:hint="eastAsia"/>
        </w:rPr>
        <w:t>1.98</w:t>
      </w:r>
      <w:r>
        <w:rPr>
          <w:rFonts w:ascii="Times New Roman" w:hAnsi="Times New Roman" w:hint="eastAsia"/>
        </w:rPr>
        <w:t>亿</w:t>
      </w:r>
      <w:r>
        <w:rPr>
          <w:rFonts w:ascii="Times New Roman" w:hAnsi="Times New Roman" w:hint="eastAsia"/>
        </w:rPr>
        <w:t>m</w:t>
      </w:r>
      <w:r>
        <w:rPr>
          <w:rFonts w:ascii="Times New Roman" w:hAnsi="Times New Roman" w:hint="eastAsia"/>
          <w:vertAlign w:val="superscript"/>
        </w:rPr>
        <w:t>3</w:t>
      </w:r>
      <w:r>
        <w:rPr>
          <w:rFonts w:ascii="Times New Roman" w:hAnsi="Times New Roman" w:hint="eastAsia"/>
        </w:rPr>
        <w:t>之内。经计算丁家梁煤矿生产需水量为</w:t>
      </w:r>
      <w:r>
        <w:rPr>
          <w:rFonts w:ascii="Times New Roman" w:hAnsi="Times New Roman" w:hint="eastAsia"/>
        </w:rPr>
        <w:t>29.86</w:t>
      </w:r>
      <w:r>
        <w:rPr>
          <w:rFonts w:ascii="Times New Roman" w:hAnsi="Times New Roman" w:hint="eastAsia"/>
        </w:rPr>
        <w:t>万</w:t>
      </w:r>
      <w:r>
        <w:rPr>
          <w:rFonts w:ascii="Times New Roman" w:hAnsi="Times New Roman" w:hint="eastAsia"/>
        </w:rPr>
        <w:t>m</w:t>
      </w:r>
      <w:r>
        <w:rPr>
          <w:rFonts w:ascii="Times New Roman" w:hAnsi="Times New Roman" w:hint="eastAsia"/>
          <w:vertAlign w:val="superscript"/>
        </w:rPr>
        <w:t>3</w:t>
      </w:r>
      <w:r>
        <w:rPr>
          <w:rFonts w:ascii="Times New Roman" w:hAnsi="Times New Roman" w:hint="eastAsia"/>
        </w:rPr>
        <w:t>/a</w:t>
      </w:r>
      <w:r>
        <w:rPr>
          <w:rFonts w:ascii="Times New Roman" w:hAnsi="Times New Roman" w:hint="eastAsia"/>
        </w:rPr>
        <w:t>，矿井水可回用量类比他矿按</w:t>
      </w:r>
      <w:r>
        <w:rPr>
          <w:rFonts w:ascii="Times New Roman" w:hAnsi="Times New Roman" w:hint="eastAsia"/>
        </w:rPr>
        <w:t>30%</w:t>
      </w:r>
      <w:r>
        <w:rPr>
          <w:rFonts w:ascii="Times New Roman" w:hAnsi="Times New Roman" w:hint="eastAsia"/>
        </w:rPr>
        <w:t>考虑，可供水</w:t>
      </w:r>
      <w:r>
        <w:rPr>
          <w:rFonts w:ascii="Times New Roman" w:hAnsi="Times New Roman" w:hint="eastAsia"/>
        </w:rPr>
        <w:t>71.2</w:t>
      </w:r>
      <w:r>
        <w:rPr>
          <w:rFonts w:ascii="Times New Roman" w:hAnsi="Times New Roman" w:hint="eastAsia"/>
        </w:rPr>
        <w:t>万</w:t>
      </w:r>
      <w:r>
        <w:rPr>
          <w:rFonts w:ascii="Times New Roman" w:hAnsi="Times New Roman" w:hint="eastAsia"/>
        </w:rPr>
        <w:t>m</w:t>
      </w:r>
      <w:r>
        <w:rPr>
          <w:rFonts w:ascii="Times New Roman" w:hAnsi="Times New Roman" w:hint="eastAsia"/>
          <w:vertAlign w:val="superscript"/>
        </w:rPr>
        <w:t>3</w:t>
      </w:r>
      <w:r>
        <w:rPr>
          <w:rFonts w:ascii="Times New Roman" w:hAnsi="Times New Roman" w:hint="eastAsia"/>
        </w:rPr>
        <w:t>/a</w:t>
      </w:r>
      <w:r>
        <w:rPr>
          <w:rFonts w:ascii="Times New Roman" w:hAnsi="Times New Roman" w:hint="eastAsia"/>
        </w:rPr>
        <w:t>，可满足生产用水需求，无需从鸭子荡水库取水，剩余水量可作为工业园区生产用水。</w:t>
      </w:r>
    </w:p>
    <w:p w14:paraId="500D3B6F" w14:textId="77777777" w:rsidR="009C353B" w:rsidRDefault="00000000">
      <w:pPr>
        <w:pStyle w:val="dpostcontent"/>
        <w:wordWrap/>
        <w:adjustRightInd w:val="0"/>
        <w:snapToGrid w:val="0"/>
        <w:spacing w:before="0" w:beforeAutospacing="0" w:after="0" w:afterAutospacing="0" w:line="440" w:lineRule="exact"/>
        <w:ind w:firstLineChars="200" w:firstLine="480"/>
        <w:jc w:val="both"/>
        <w:rPr>
          <w:rFonts w:ascii="Times New Roman" w:cs="Times New Roman" w:hint="eastAsia"/>
          <w:kern w:val="2"/>
          <w:sz w:val="24"/>
          <w:szCs w:val="24"/>
        </w:rPr>
      </w:pPr>
      <w:r>
        <w:rPr>
          <w:rFonts w:ascii="Times New Roman" w:hAnsi="Times New Roman" w:cs="Times New Roman" w:hint="eastAsia"/>
          <w:sz w:val="24"/>
          <w:szCs w:val="24"/>
        </w:rPr>
        <w:t>综上所述</w:t>
      </w:r>
      <w:r>
        <w:rPr>
          <w:rFonts w:ascii="Times New Roman" w:hAnsi="Times New Roman" w:cs="Times New Roman"/>
          <w:sz w:val="24"/>
          <w:szCs w:val="24"/>
        </w:rPr>
        <w:t>，</w:t>
      </w:r>
      <w:r>
        <w:rPr>
          <w:rFonts w:ascii="Times New Roman" w:cs="Times New Roman" w:hint="eastAsia"/>
          <w:kern w:val="2"/>
          <w:sz w:val="24"/>
          <w:szCs w:val="24"/>
        </w:rPr>
        <w:t>矿区</w:t>
      </w:r>
      <w:r>
        <w:rPr>
          <w:rFonts w:ascii="Times New Roman" w:cs="Times New Roman"/>
          <w:kern w:val="2"/>
          <w:sz w:val="24"/>
          <w:szCs w:val="24"/>
        </w:rPr>
        <w:t>内部水资源即可承载矿区规划项目实施需要</w:t>
      </w:r>
      <w:r>
        <w:rPr>
          <w:rFonts w:ascii="Times New Roman" w:cs="Times New Roman" w:hint="eastAsia"/>
          <w:kern w:val="2"/>
          <w:sz w:val="24"/>
          <w:szCs w:val="24"/>
        </w:rPr>
        <w:t>，</w:t>
      </w:r>
      <w:r>
        <w:rPr>
          <w:rFonts w:ascii="Times New Roman" w:cs="Times New Roman"/>
          <w:kern w:val="2"/>
          <w:sz w:val="24"/>
          <w:szCs w:val="24"/>
        </w:rPr>
        <w:t>并有富余水量可</w:t>
      </w:r>
      <w:r>
        <w:rPr>
          <w:rFonts w:ascii="Times New Roman" w:cs="Times New Roman" w:hint="eastAsia"/>
          <w:kern w:val="2"/>
          <w:sz w:val="24"/>
          <w:szCs w:val="24"/>
        </w:rPr>
        <w:t>供周边园区综合利用，</w:t>
      </w:r>
      <w:r>
        <w:rPr>
          <w:rFonts w:ascii="Times New Roman" w:cs="Times New Roman"/>
          <w:kern w:val="2"/>
          <w:sz w:val="24"/>
          <w:szCs w:val="24"/>
        </w:rPr>
        <w:t>区域水资源可以承载矿区开发</w:t>
      </w:r>
      <w:r>
        <w:rPr>
          <w:rFonts w:ascii="Times New Roman" w:cs="Times New Roman" w:hint="eastAsia"/>
          <w:kern w:val="2"/>
          <w:sz w:val="24"/>
          <w:szCs w:val="24"/>
        </w:rPr>
        <w:t>用水</w:t>
      </w:r>
      <w:r>
        <w:rPr>
          <w:rFonts w:ascii="Times New Roman" w:cs="Times New Roman"/>
          <w:kern w:val="2"/>
          <w:sz w:val="24"/>
          <w:szCs w:val="24"/>
        </w:rPr>
        <w:t>需求。</w:t>
      </w:r>
    </w:p>
    <w:p w14:paraId="26ADFB5A" w14:textId="77777777" w:rsidR="009C353B" w:rsidRDefault="00000000">
      <w:pPr>
        <w:pStyle w:val="2"/>
        <w:adjustRightInd w:val="0"/>
        <w:snapToGrid w:val="0"/>
        <w:spacing w:before="320" w:after="240" w:line="440" w:lineRule="atLeast"/>
        <w:rPr>
          <w:rFonts w:ascii="Times New Roman" w:eastAsia="宋体" w:hAnsi="Times New Roman"/>
          <w:b/>
          <w:sz w:val="28"/>
        </w:rPr>
      </w:pPr>
      <w:bookmarkStart w:id="285" w:name="_Toc59189858"/>
      <w:bookmarkStart w:id="286" w:name="OLE_LINK16"/>
      <w:bookmarkStart w:id="287" w:name="OLE_LINK17"/>
      <w:r>
        <w:rPr>
          <w:rFonts w:ascii="Times New Roman" w:eastAsia="宋体" w:hAnsi="Times New Roman"/>
          <w:b/>
          <w:sz w:val="28"/>
        </w:rPr>
        <w:t>7</w:t>
      </w:r>
      <w:r>
        <w:rPr>
          <w:rFonts w:ascii="Times New Roman" w:eastAsia="宋体" w:hAnsi="Times New Roman" w:hint="eastAsia"/>
          <w:b/>
          <w:sz w:val="28"/>
        </w:rPr>
        <w:t>.2</w:t>
      </w:r>
      <w:r>
        <w:rPr>
          <w:rFonts w:ascii="Times New Roman" w:eastAsia="宋体" w:hAnsi="Times New Roman"/>
          <w:b/>
          <w:sz w:val="28"/>
        </w:rPr>
        <w:t xml:space="preserve"> </w:t>
      </w:r>
      <w:r>
        <w:rPr>
          <w:rFonts w:ascii="Times New Roman" w:eastAsia="宋体" w:hAnsi="Times New Roman"/>
          <w:b/>
          <w:sz w:val="28"/>
        </w:rPr>
        <w:t>矿区生态承载力分析</w:t>
      </w:r>
      <w:bookmarkEnd w:id="285"/>
    </w:p>
    <w:p w14:paraId="7B905FFE" w14:textId="77777777" w:rsidR="009C353B" w:rsidRDefault="00000000">
      <w:pPr>
        <w:spacing w:line="440" w:lineRule="exact"/>
        <w:ind w:firstLine="482"/>
        <w:rPr>
          <w:rFonts w:ascii="Times New Roman" w:hAnsi="Times New Roman"/>
          <w:szCs w:val="24"/>
        </w:rPr>
      </w:pPr>
      <w:r>
        <w:rPr>
          <w:rFonts w:ascii="Times New Roman" w:hAnsi="Times New Roman" w:hint="eastAsia"/>
          <w:szCs w:val="24"/>
        </w:rPr>
        <w:t>本次评价采用生态环境承载力综合评价法进行矿区生态承载力分析。</w:t>
      </w:r>
      <w:r>
        <w:rPr>
          <w:rFonts w:ascii="Times New Roman" w:hAnsi="Times New Roman"/>
          <w:szCs w:val="24"/>
        </w:rPr>
        <w:t>生态承载支持能力大小取决于三个方面，分别为生态弹性能力，即生态系统的自恢复能力；资源承载能力，即生态系统主要要素的承载能力；承载压力度，即生态系统的负荷水平。因此反应生态承载力大小的生态承载指数也需从这三个方面确定，分别称为生态弹性力指数、资源承载指数和生态压力度指数。各指数评价分级标准见表</w:t>
      </w:r>
      <w:r>
        <w:rPr>
          <w:rFonts w:ascii="Times New Roman" w:hAnsi="Times New Roman"/>
          <w:szCs w:val="24"/>
        </w:rPr>
        <w:t>7.2-1</w:t>
      </w:r>
      <w:r>
        <w:rPr>
          <w:rFonts w:ascii="Times New Roman" w:hAnsi="Times New Roman"/>
          <w:szCs w:val="24"/>
        </w:rPr>
        <w:t>。</w:t>
      </w:r>
    </w:p>
    <w:p w14:paraId="6CBF8B3B" w14:textId="77777777" w:rsidR="009C353B" w:rsidRDefault="009C353B">
      <w:pPr>
        <w:spacing w:line="440" w:lineRule="exact"/>
        <w:ind w:firstLine="482"/>
        <w:rPr>
          <w:rFonts w:ascii="Times New Roman" w:hAnsi="Times New Roman"/>
          <w:szCs w:val="24"/>
        </w:rPr>
      </w:pPr>
    </w:p>
    <w:p w14:paraId="0B4D4F4C" w14:textId="77777777" w:rsidR="009C353B" w:rsidRDefault="00000000">
      <w:pPr>
        <w:spacing w:beforeLines="50" w:before="120" w:line="360" w:lineRule="auto"/>
        <w:jc w:val="center"/>
        <w:rPr>
          <w:rFonts w:ascii="Times New Roman" w:hAnsi="Times New Roman"/>
          <w:b/>
          <w:szCs w:val="24"/>
        </w:rPr>
      </w:pPr>
      <w:r>
        <w:rPr>
          <w:rFonts w:ascii="Times New Roman" w:hAnsi="Times New Roman"/>
          <w:b/>
          <w:szCs w:val="24"/>
        </w:rPr>
        <w:t>各级评价分级表</w:t>
      </w:r>
    </w:p>
    <w:p w14:paraId="2FE7C9A3" w14:textId="77777777" w:rsidR="009C353B" w:rsidRDefault="00000000">
      <w:pPr>
        <w:spacing w:line="240" w:lineRule="exact"/>
        <w:jc w:val="left"/>
        <w:outlineLvl w:val="4"/>
        <w:rPr>
          <w:rFonts w:ascii="Times New Roman" w:hAnsi="Times New Roman"/>
          <w:szCs w:val="24"/>
        </w:rPr>
      </w:pPr>
      <w:r>
        <w:rPr>
          <w:rFonts w:ascii="Times New Roman" w:hAnsi="Times New Roman"/>
          <w:szCs w:val="24"/>
        </w:rPr>
        <w:t>表</w:t>
      </w:r>
      <w:r>
        <w:rPr>
          <w:rFonts w:ascii="Times New Roman" w:hAnsi="Times New Roman"/>
          <w:szCs w:val="24"/>
        </w:rPr>
        <w:t>7.2-1</w:t>
      </w: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2"/>
        <w:gridCol w:w="1434"/>
        <w:gridCol w:w="1547"/>
        <w:gridCol w:w="1547"/>
        <w:gridCol w:w="1549"/>
        <w:gridCol w:w="1547"/>
      </w:tblGrid>
      <w:tr w:rsidR="009C353B" w14:paraId="1DF27DAD" w14:textId="77777777">
        <w:trPr>
          <w:trHeight w:val="397"/>
        </w:trPr>
        <w:tc>
          <w:tcPr>
            <w:tcW w:w="1662" w:type="dxa"/>
            <w:vAlign w:val="center"/>
          </w:tcPr>
          <w:p w14:paraId="6A2F407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分值</w:t>
            </w:r>
          </w:p>
        </w:tc>
        <w:tc>
          <w:tcPr>
            <w:tcW w:w="1434" w:type="dxa"/>
            <w:vAlign w:val="center"/>
          </w:tcPr>
          <w:p w14:paraId="31C7FACE"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&lt;20</w:t>
            </w:r>
          </w:p>
        </w:tc>
        <w:tc>
          <w:tcPr>
            <w:tcW w:w="1547" w:type="dxa"/>
            <w:vAlign w:val="center"/>
          </w:tcPr>
          <w:p w14:paraId="5FED7CD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21-40</w:t>
            </w:r>
          </w:p>
        </w:tc>
        <w:tc>
          <w:tcPr>
            <w:tcW w:w="1547" w:type="dxa"/>
            <w:vAlign w:val="center"/>
          </w:tcPr>
          <w:p w14:paraId="34DA1872"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41-60</w:t>
            </w:r>
          </w:p>
        </w:tc>
        <w:tc>
          <w:tcPr>
            <w:tcW w:w="1549" w:type="dxa"/>
            <w:vAlign w:val="center"/>
          </w:tcPr>
          <w:p w14:paraId="2DE8A1EF"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61-80</w:t>
            </w:r>
          </w:p>
        </w:tc>
        <w:tc>
          <w:tcPr>
            <w:tcW w:w="1547" w:type="dxa"/>
            <w:vAlign w:val="center"/>
          </w:tcPr>
          <w:p w14:paraId="5099237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&gt;80</w:t>
            </w:r>
          </w:p>
        </w:tc>
      </w:tr>
      <w:tr w:rsidR="009C353B" w14:paraId="4BB12AEE" w14:textId="77777777">
        <w:trPr>
          <w:trHeight w:val="397"/>
        </w:trPr>
        <w:tc>
          <w:tcPr>
            <w:tcW w:w="1662" w:type="dxa"/>
            <w:vAlign w:val="center"/>
          </w:tcPr>
          <w:p w14:paraId="7ACC0978"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生态弹性</w:t>
            </w:r>
          </w:p>
        </w:tc>
        <w:tc>
          <w:tcPr>
            <w:tcW w:w="1434" w:type="dxa"/>
            <w:vAlign w:val="center"/>
          </w:tcPr>
          <w:p w14:paraId="00944692"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弱稳定</w:t>
            </w:r>
          </w:p>
        </w:tc>
        <w:tc>
          <w:tcPr>
            <w:tcW w:w="1547" w:type="dxa"/>
            <w:vAlign w:val="center"/>
          </w:tcPr>
          <w:p w14:paraId="5363F9D2"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不稳定</w:t>
            </w:r>
          </w:p>
        </w:tc>
        <w:tc>
          <w:tcPr>
            <w:tcW w:w="1547" w:type="dxa"/>
            <w:vAlign w:val="center"/>
          </w:tcPr>
          <w:p w14:paraId="3D73E2A1"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中等稳定</w:t>
            </w:r>
          </w:p>
        </w:tc>
        <w:tc>
          <w:tcPr>
            <w:tcW w:w="1549" w:type="dxa"/>
            <w:vAlign w:val="center"/>
          </w:tcPr>
          <w:p w14:paraId="21CA0AAA"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较稳定</w:t>
            </w:r>
          </w:p>
        </w:tc>
        <w:tc>
          <w:tcPr>
            <w:tcW w:w="1547" w:type="dxa"/>
            <w:vAlign w:val="center"/>
          </w:tcPr>
          <w:p w14:paraId="5F07DCDE"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很稳定</w:t>
            </w:r>
          </w:p>
        </w:tc>
      </w:tr>
      <w:tr w:rsidR="009C353B" w14:paraId="6AB6185C" w14:textId="77777777">
        <w:trPr>
          <w:trHeight w:val="397"/>
        </w:trPr>
        <w:tc>
          <w:tcPr>
            <w:tcW w:w="1662" w:type="dxa"/>
            <w:vAlign w:val="center"/>
          </w:tcPr>
          <w:p w14:paraId="66C8D715"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资源承载</w:t>
            </w:r>
          </w:p>
        </w:tc>
        <w:tc>
          <w:tcPr>
            <w:tcW w:w="1434" w:type="dxa"/>
            <w:vAlign w:val="center"/>
          </w:tcPr>
          <w:p w14:paraId="41F02CAD"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弱承载</w:t>
            </w:r>
          </w:p>
        </w:tc>
        <w:tc>
          <w:tcPr>
            <w:tcW w:w="1547" w:type="dxa"/>
            <w:vAlign w:val="center"/>
          </w:tcPr>
          <w:p w14:paraId="35EEBFD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低承载</w:t>
            </w:r>
          </w:p>
        </w:tc>
        <w:tc>
          <w:tcPr>
            <w:tcW w:w="1547" w:type="dxa"/>
            <w:vAlign w:val="center"/>
          </w:tcPr>
          <w:p w14:paraId="2342708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中等承载</w:t>
            </w:r>
          </w:p>
        </w:tc>
        <w:tc>
          <w:tcPr>
            <w:tcW w:w="1549" w:type="dxa"/>
            <w:vAlign w:val="center"/>
          </w:tcPr>
          <w:p w14:paraId="46E3A13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较高承载</w:t>
            </w:r>
          </w:p>
        </w:tc>
        <w:tc>
          <w:tcPr>
            <w:tcW w:w="1547" w:type="dxa"/>
            <w:vAlign w:val="center"/>
          </w:tcPr>
          <w:p w14:paraId="25ACA156"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高承载</w:t>
            </w:r>
          </w:p>
        </w:tc>
      </w:tr>
      <w:tr w:rsidR="009C353B" w14:paraId="4CC174BB" w14:textId="77777777">
        <w:trPr>
          <w:trHeight w:val="397"/>
        </w:trPr>
        <w:tc>
          <w:tcPr>
            <w:tcW w:w="1662" w:type="dxa"/>
            <w:vAlign w:val="center"/>
          </w:tcPr>
          <w:p w14:paraId="66D1837F"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承载压力</w:t>
            </w:r>
          </w:p>
        </w:tc>
        <w:tc>
          <w:tcPr>
            <w:tcW w:w="1434" w:type="dxa"/>
            <w:vAlign w:val="center"/>
          </w:tcPr>
          <w:p w14:paraId="0EAE8591"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弱压</w:t>
            </w:r>
          </w:p>
        </w:tc>
        <w:tc>
          <w:tcPr>
            <w:tcW w:w="1547" w:type="dxa"/>
            <w:vAlign w:val="center"/>
          </w:tcPr>
          <w:p w14:paraId="5846CAC4"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低压</w:t>
            </w:r>
          </w:p>
        </w:tc>
        <w:tc>
          <w:tcPr>
            <w:tcW w:w="1547" w:type="dxa"/>
            <w:vAlign w:val="center"/>
          </w:tcPr>
          <w:p w14:paraId="2EDD98CC"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中压</w:t>
            </w:r>
          </w:p>
        </w:tc>
        <w:tc>
          <w:tcPr>
            <w:tcW w:w="1549" w:type="dxa"/>
            <w:vAlign w:val="center"/>
          </w:tcPr>
          <w:p w14:paraId="063B8A8D"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较高压</w:t>
            </w:r>
          </w:p>
        </w:tc>
        <w:tc>
          <w:tcPr>
            <w:tcW w:w="1547" w:type="dxa"/>
            <w:vAlign w:val="center"/>
          </w:tcPr>
          <w:p w14:paraId="353EFECB"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高压</w:t>
            </w:r>
          </w:p>
        </w:tc>
      </w:tr>
    </w:tbl>
    <w:p w14:paraId="34A8129C" w14:textId="77777777" w:rsidR="009C353B" w:rsidRDefault="00000000">
      <w:pPr>
        <w:keepNext/>
        <w:keepLines/>
        <w:spacing w:before="360" w:after="120" w:line="416" w:lineRule="exact"/>
        <w:outlineLvl w:val="2"/>
        <w:rPr>
          <w:rFonts w:ascii="Times New Roman" w:hAnsi="Times New Roman"/>
          <w:b/>
          <w:bCs/>
          <w:szCs w:val="32"/>
        </w:rPr>
      </w:pPr>
      <w:bookmarkStart w:id="288" w:name="_Toc408312751"/>
      <w:r>
        <w:rPr>
          <w:rFonts w:ascii="Times New Roman" w:hAnsi="Times New Roman"/>
          <w:b/>
          <w:bCs/>
          <w:szCs w:val="32"/>
        </w:rPr>
        <w:t>7.2.1</w:t>
      </w:r>
      <w:r>
        <w:rPr>
          <w:rFonts w:ascii="Times New Roman" w:hAnsi="Times New Roman" w:hint="eastAsia"/>
          <w:b/>
          <w:bCs/>
          <w:szCs w:val="32"/>
        </w:rPr>
        <w:t xml:space="preserve"> </w:t>
      </w:r>
      <w:r>
        <w:rPr>
          <w:rFonts w:ascii="Times New Roman" w:hAnsi="Times New Roman"/>
          <w:b/>
          <w:bCs/>
          <w:szCs w:val="32"/>
        </w:rPr>
        <w:t>生态弹性度评价</w:t>
      </w:r>
      <w:bookmarkEnd w:id="288"/>
    </w:p>
    <w:p w14:paraId="2EDEBAFF"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生态系统弹性度衡量区域生态系统的自然承载能力，影响生态系统弹性度的主要因素是地质地貌、气候、土壤、植被和水文，因此选择这五个指标进行评价。具体指标体系、权重及数值见表</w:t>
      </w:r>
      <w:r>
        <w:rPr>
          <w:rFonts w:ascii="Times New Roman" w:hAnsi="Times New Roman"/>
          <w:szCs w:val="24"/>
        </w:rPr>
        <w:t>7.2-2</w:t>
      </w:r>
      <w:r>
        <w:rPr>
          <w:rFonts w:ascii="Times New Roman" w:hAnsi="Times New Roman"/>
          <w:szCs w:val="24"/>
        </w:rPr>
        <w:t>。</w:t>
      </w:r>
    </w:p>
    <w:p w14:paraId="31B897B0" w14:textId="77777777" w:rsidR="009C353B" w:rsidRDefault="00000000">
      <w:pPr>
        <w:spacing w:beforeLines="50" w:before="120" w:line="360" w:lineRule="auto"/>
        <w:jc w:val="center"/>
        <w:rPr>
          <w:rFonts w:ascii="Times New Roman" w:hAnsi="Times New Roman"/>
          <w:b/>
          <w:szCs w:val="24"/>
        </w:rPr>
      </w:pPr>
      <w:r>
        <w:rPr>
          <w:rFonts w:ascii="Times New Roman" w:hAnsi="Times New Roman"/>
          <w:b/>
          <w:szCs w:val="24"/>
        </w:rPr>
        <w:t>生态弹性度指标体系及计算表</w:t>
      </w:r>
    </w:p>
    <w:p w14:paraId="11A0069E" w14:textId="77777777" w:rsidR="009C353B" w:rsidRDefault="00000000">
      <w:pPr>
        <w:spacing w:line="240" w:lineRule="exact"/>
        <w:jc w:val="left"/>
        <w:outlineLvl w:val="4"/>
        <w:rPr>
          <w:rFonts w:ascii="Times New Roman" w:hAnsi="Times New Roman"/>
          <w:szCs w:val="24"/>
        </w:rPr>
      </w:pPr>
      <w:r>
        <w:rPr>
          <w:rFonts w:ascii="Times New Roman" w:hAnsi="Times New Roman"/>
          <w:szCs w:val="24"/>
        </w:rPr>
        <w:t>表</w:t>
      </w:r>
      <w:r>
        <w:rPr>
          <w:rFonts w:ascii="Times New Roman" w:hAnsi="Times New Roman"/>
          <w:szCs w:val="24"/>
        </w:rPr>
        <w:t>7.2-2</w:t>
      </w:r>
    </w:p>
    <w:tbl>
      <w:tblPr>
        <w:tblW w:w="9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2"/>
        <w:gridCol w:w="1461"/>
        <w:gridCol w:w="1762"/>
        <w:gridCol w:w="1530"/>
        <w:gridCol w:w="1557"/>
        <w:gridCol w:w="1345"/>
      </w:tblGrid>
      <w:tr w:rsidR="009C353B" w14:paraId="0A68A044" w14:textId="77777777">
        <w:trPr>
          <w:trHeight w:hRule="exact" w:val="340"/>
        </w:trPr>
        <w:tc>
          <w:tcPr>
            <w:tcW w:w="1462" w:type="dxa"/>
            <w:vAlign w:val="center"/>
          </w:tcPr>
          <w:p w14:paraId="432AA06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目标层</w:t>
            </w:r>
          </w:p>
        </w:tc>
        <w:tc>
          <w:tcPr>
            <w:tcW w:w="1461" w:type="dxa"/>
            <w:vAlign w:val="center"/>
          </w:tcPr>
          <w:p w14:paraId="55589AC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准则层</w:t>
            </w:r>
          </w:p>
        </w:tc>
        <w:tc>
          <w:tcPr>
            <w:tcW w:w="1762" w:type="dxa"/>
            <w:vAlign w:val="center"/>
          </w:tcPr>
          <w:p w14:paraId="4336E52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指标层</w:t>
            </w:r>
          </w:p>
        </w:tc>
        <w:tc>
          <w:tcPr>
            <w:tcW w:w="1530" w:type="dxa"/>
            <w:vAlign w:val="center"/>
          </w:tcPr>
          <w:p w14:paraId="2C02556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权重</w:t>
            </w:r>
          </w:p>
        </w:tc>
        <w:tc>
          <w:tcPr>
            <w:tcW w:w="1557" w:type="dxa"/>
            <w:vAlign w:val="center"/>
          </w:tcPr>
          <w:p w14:paraId="7093EFE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数值</w:t>
            </w:r>
          </w:p>
        </w:tc>
        <w:tc>
          <w:tcPr>
            <w:tcW w:w="1345" w:type="dxa"/>
            <w:vAlign w:val="center"/>
          </w:tcPr>
          <w:p w14:paraId="7667E27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打分</w:t>
            </w:r>
          </w:p>
        </w:tc>
      </w:tr>
      <w:tr w:rsidR="009C353B" w14:paraId="46B2A3ED" w14:textId="77777777">
        <w:trPr>
          <w:trHeight w:hRule="exact" w:val="340"/>
        </w:trPr>
        <w:tc>
          <w:tcPr>
            <w:tcW w:w="1462" w:type="dxa"/>
            <w:vMerge w:val="restart"/>
            <w:vAlign w:val="center"/>
          </w:tcPr>
          <w:p w14:paraId="6AD915D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生态弹性度</w:t>
            </w:r>
          </w:p>
        </w:tc>
        <w:tc>
          <w:tcPr>
            <w:tcW w:w="1461" w:type="dxa"/>
            <w:vMerge w:val="restart"/>
            <w:vAlign w:val="center"/>
          </w:tcPr>
          <w:p w14:paraId="25288BD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气候</w:t>
            </w:r>
          </w:p>
        </w:tc>
        <w:tc>
          <w:tcPr>
            <w:tcW w:w="1762" w:type="dxa"/>
            <w:vAlign w:val="center"/>
          </w:tcPr>
          <w:p w14:paraId="1F8A695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年</w:t>
            </w:r>
            <w:r>
              <w:rPr>
                <w:rFonts w:ascii="Times New Roman" w:hAnsi="Times New Roman"/>
                <w:sz w:val="21"/>
                <w:szCs w:val="21"/>
              </w:rPr>
              <w:t>&gt;10</w:t>
            </w:r>
            <w:r>
              <w:rPr>
                <w:rFonts w:cs="宋体" w:hint="eastAsia"/>
                <w:sz w:val="21"/>
                <w:szCs w:val="21"/>
              </w:rPr>
              <w:t>℃</w:t>
            </w:r>
            <w:r>
              <w:rPr>
                <w:rFonts w:ascii="Times New Roman" w:hAnsi="Times New Roman"/>
                <w:sz w:val="21"/>
                <w:szCs w:val="21"/>
              </w:rPr>
              <w:t>积温</w:t>
            </w:r>
          </w:p>
        </w:tc>
        <w:tc>
          <w:tcPr>
            <w:tcW w:w="1530" w:type="dxa"/>
            <w:vAlign w:val="center"/>
          </w:tcPr>
          <w:p w14:paraId="1BF7F01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0.03850</w:t>
            </w:r>
          </w:p>
        </w:tc>
        <w:tc>
          <w:tcPr>
            <w:tcW w:w="1557" w:type="dxa"/>
            <w:vAlign w:val="center"/>
          </w:tcPr>
          <w:p w14:paraId="11C2991F"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3351.3</w:t>
            </w:r>
            <w:r>
              <w:rPr>
                <w:rFonts w:ascii="Times New Roman" w:hAnsi="Times New Roman" w:hint="eastAsia"/>
                <w:sz w:val="21"/>
                <w:szCs w:val="21"/>
              </w:rPr>
              <w:t>℃</w:t>
            </w:r>
          </w:p>
        </w:tc>
        <w:tc>
          <w:tcPr>
            <w:tcW w:w="1345" w:type="dxa"/>
            <w:vAlign w:val="center"/>
          </w:tcPr>
          <w:p w14:paraId="7178E9EA"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sz w:val="21"/>
                <w:szCs w:val="21"/>
              </w:rPr>
              <w:t>30</w:t>
            </w:r>
          </w:p>
        </w:tc>
      </w:tr>
      <w:tr w:rsidR="009C353B" w14:paraId="7DF7B8C0" w14:textId="77777777">
        <w:trPr>
          <w:trHeight w:hRule="exact" w:val="340"/>
        </w:trPr>
        <w:tc>
          <w:tcPr>
            <w:tcW w:w="1462" w:type="dxa"/>
            <w:vMerge/>
            <w:vAlign w:val="center"/>
          </w:tcPr>
          <w:p w14:paraId="4E47A6EB" w14:textId="77777777" w:rsidR="009C353B" w:rsidRDefault="009C353B">
            <w:pPr>
              <w:adjustRightInd w:val="0"/>
              <w:snapToGrid w:val="0"/>
              <w:ind w:firstLineChars="200" w:firstLine="420"/>
              <w:jc w:val="center"/>
              <w:rPr>
                <w:rFonts w:ascii="Times New Roman" w:hAnsi="Times New Roman"/>
                <w:sz w:val="21"/>
                <w:szCs w:val="21"/>
              </w:rPr>
            </w:pPr>
          </w:p>
        </w:tc>
        <w:tc>
          <w:tcPr>
            <w:tcW w:w="1461" w:type="dxa"/>
            <w:vMerge/>
            <w:vAlign w:val="center"/>
          </w:tcPr>
          <w:p w14:paraId="2DDB6DD3" w14:textId="77777777" w:rsidR="009C353B" w:rsidRDefault="009C353B">
            <w:pPr>
              <w:adjustRightInd w:val="0"/>
              <w:snapToGrid w:val="0"/>
              <w:ind w:firstLineChars="200" w:firstLine="420"/>
              <w:jc w:val="center"/>
              <w:rPr>
                <w:rFonts w:ascii="Times New Roman" w:hAnsi="Times New Roman"/>
                <w:sz w:val="21"/>
                <w:szCs w:val="21"/>
              </w:rPr>
            </w:pPr>
          </w:p>
        </w:tc>
        <w:tc>
          <w:tcPr>
            <w:tcW w:w="1762" w:type="dxa"/>
            <w:vAlign w:val="center"/>
          </w:tcPr>
          <w:p w14:paraId="5610F31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年平均降水量</w:t>
            </w:r>
          </w:p>
        </w:tc>
        <w:tc>
          <w:tcPr>
            <w:tcW w:w="1530" w:type="dxa"/>
            <w:vAlign w:val="center"/>
          </w:tcPr>
          <w:p w14:paraId="6349D4F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0.01284</w:t>
            </w:r>
          </w:p>
        </w:tc>
        <w:tc>
          <w:tcPr>
            <w:tcW w:w="1557" w:type="dxa"/>
            <w:vAlign w:val="center"/>
          </w:tcPr>
          <w:p w14:paraId="227B5F3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200.6mm</w:t>
            </w:r>
          </w:p>
        </w:tc>
        <w:tc>
          <w:tcPr>
            <w:tcW w:w="1345" w:type="dxa"/>
            <w:vAlign w:val="center"/>
          </w:tcPr>
          <w:p w14:paraId="71FFD0BC"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hint="eastAsia"/>
                <w:sz w:val="21"/>
                <w:szCs w:val="21"/>
              </w:rPr>
              <w:t>30</w:t>
            </w:r>
          </w:p>
        </w:tc>
      </w:tr>
      <w:tr w:rsidR="009C353B" w14:paraId="6B1FCADA" w14:textId="77777777">
        <w:trPr>
          <w:trHeight w:hRule="exact" w:val="370"/>
        </w:trPr>
        <w:tc>
          <w:tcPr>
            <w:tcW w:w="1462" w:type="dxa"/>
            <w:vMerge/>
            <w:vAlign w:val="center"/>
          </w:tcPr>
          <w:p w14:paraId="237792B7" w14:textId="77777777" w:rsidR="009C353B" w:rsidRDefault="009C353B">
            <w:pPr>
              <w:adjustRightInd w:val="0"/>
              <w:snapToGrid w:val="0"/>
              <w:ind w:firstLineChars="200" w:firstLine="420"/>
              <w:jc w:val="center"/>
              <w:rPr>
                <w:rFonts w:ascii="Times New Roman" w:hAnsi="Times New Roman"/>
                <w:sz w:val="21"/>
                <w:szCs w:val="21"/>
              </w:rPr>
            </w:pPr>
          </w:p>
        </w:tc>
        <w:tc>
          <w:tcPr>
            <w:tcW w:w="1461" w:type="dxa"/>
            <w:vMerge/>
            <w:vAlign w:val="center"/>
          </w:tcPr>
          <w:p w14:paraId="3D443EC9" w14:textId="77777777" w:rsidR="009C353B" w:rsidRDefault="009C353B">
            <w:pPr>
              <w:adjustRightInd w:val="0"/>
              <w:snapToGrid w:val="0"/>
              <w:ind w:firstLineChars="200" w:firstLine="420"/>
              <w:jc w:val="center"/>
              <w:rPr>
                <w:rFonts w:ascii="Times New Roman" w:hAnsi="Times New Roman"/>
                <w:sz w:val="21"/>
                <w:szCs w:val="21"/>
              </w:rPr>
            </w:pPr>
          </w:p>
        </w:tc>
        <w:tc>
          <w:tcPr>
            <w:tcW w:w="1762" w:type="dxa"/>
            <w:vAlign w:val="center"/>
          </w:tcPr>
          <w:p w14:paraId="7E2989B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年干燥度</w:t>
            </w:r>
          </w:p>
        </w:tc>
        <w:tc>
          <w:tcPr>
            <w:tcW w:w="1530" w:type="dxa"/>
            <w:vAlign w:val="center"/>
          </w:tcPr>
          <w:p w14:paraId="1A955CD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0.03049</w:t>
            </w:r>
          </w:p>
        </w:tc>
        <w:tc>
          <w:tcPr>
            <w:tcW w:w="1557" w:type="dxa"/>
            <w:vAlign w:val="center"/>
          </w:tcPr>
          <w:p w14:paraId="6F178DD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6.68</w:t>
            </w:r>
          </w:p>
        </w:tc>
        <w:tc>
          <w:tcPr>
            <w:tcW w:w="1345" w:type="dxa"/>
            <w:vAlign w:val="center"/>
          </w:tcPr>
          <w:p w14:paraId="75A8E32A"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sz w:val="21"/>
                <w:szCs w:val="21"/>
              </w:rPr>
              <w:t>20</w:t>
            </w:r>
          </w:p>
        </w:tc>
      </w:tr>
      <w:tr w:rsidR="009C353B" w14:paraId="1A2A9F6D" w14:textId="77777777">
        <w:trPr>
          <w:trHeight w:hRule="exact" w:val="340"/>
        </w:trPr>
        <w:tc>
          <w:tcPr>
            <w:tcW w:w="1462" w:type="dxa"/>
            <w:vMerge/>
            <w:vAlign w:val="center"/>
          </w:tcPr>
          <w:p w14:paraId="3DB5EC21" w14:textId="77777777" w:rsidR="009C353B" w:rsidRDefault="009C353B">
            <w:pPr>
              <w:adjustRightInd w:val="0"/>
              <w:snapToGrid w:val="0"/>
              <w:ind w:firstLineChars="200" w:firstLine="420"/>
              <w:jc w:val="center"/>
              <w:rPr>
                <w:rFonts w:ascii="Times New Roman" w:hAnsi="Times New Roman"/>
                <w:sz w:val="21"/>
                <w:szCs w:val="21"/>
              </w:rPr>
            </w:pPr>
          </w:p>
        </w:tc>
        <w:tc>
          <w:tcPr>
            <w:tcW w:w="1461" w:type="dxa"/>
            <w:vMerge/>
            <w:vAlign w:val="center"/>
          </w:tcPr>
          <w:p w14:paraId="07308D3A" w14:textId="77777777" w:rsidR="009C353B" w:rsidRDefault="009C353B">
            <w:pPr>
              <w:adjustRightInd w:val="0"/>
              <w:snapToGrid w:val="0"/>
              <w:ind w:firstLineChars="200" w:firstLine="420"/>
              <w:jc w:val="center"/>
              <w:rPr>
                <w:rFonts w:ascii="Times New Roman" w:hAnsi="Times New Roman"/>
                <w:sz w:val="21"/>
                <w:szCs w:val="21"/>
              </w:rPr>
            </w:pPr>
          </w:p>
        </w:tc>
        <w:tc>
          <w:tcPr>
            <w:tcW w:w="1762" w:type="dxa"/>
            <w:vAlign w:val="center"/>
          </w:tcPr>
          <w:p w14:paraId="6CA6986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无霜期</w:t>
            </w:r>
          </w:p>
        </w:tc>
        <w:tc>
          <w:tcPr>
            <w:tcW w:w="1530" w:type="dxa"/>
            <w:vAlign w:val="center"/>
          </w:tcPr>
          <w:p w14:paraId="4E307E7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0.01177</w:t>
            </w:r>
          </w:p>
        </w:tc>
        <w:tc>
          <w:tcPr>
            <w:tcW w:w="1557" w:type="dxa"/>
            <w:vAlign w:val="center"/>
          </w:tcPr>
          <w:p w14:paraId="3570116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157</w:t>
            </w:r>
            <w:r>
              <w:rPr>
                <w:rFonts w:ascii="Times New Roman" w:hAnsi="Times New Roman" w:hint="eastAsia"/>
                <w:sz w:val="21"/>
                <w:szCs w:val="21"/>
              </w:rPr>
              <w:t>天</w:t>
            </w:r>
          </w:p>
        </w:tc>
        <w:tc>
          <w:tcPr>
            <w:tcW w:w="1345" w:type="dxa"/>
            <w:vAlign w:val="center"/>
          </w:tcPr>
          <w:p w14:paraId="2758F137"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hint="eastAsia"/>
                <w:sz w:val="21"/>
                <w:szCs w:val="21"/>
              </w:rPr>
              <w:t>30</w:t>
            </w:r>
          </w:p>
        </w:tc>
      </w:tr>
      <w:tr w:rsidR="009C353B" w14:paraId="0F1A4F81" w14:textId="77777777">
        <w:trPr>
          <w:trHeight w:hRule="exact" w:val="340"/>
        </w:trPr>
        <w:tc>
          <w:tcPr>
            <w:tcW w:w="1462" w:type="dxa"/>
            <w:vMerge/>
            <w:vAlign w:val="center"/>
          </w:tcPr>
          <w:p w14:paraId="7032E745" w14:textId="77777777" w:rsidR="009C353B" w:rsidRDefault="009C353B">
            <w:pPr>
              <w:adjustRightInd w:val="0"/>
              <w:snapToGrid w:val="0"/>
              <w:ind w:firstLineChars="200" w:firstLine="420"/>
              <w:jc w:val="center"/>
              <w:rPr>
                <w:rFonts w:ascii="Times New Roman" w:hAnsi="Times New Roman"/>
                <w:sz w:val="21"/>
                <w:szCs w:val="21"/>
              </w:rPr>
            </w:pPr>
          </w:p>
        </w:tc>
        <w:tc>
          <w:tcPr>
            <w:tcW w:w="1461" w:type="dxa"/>
            <w:vMerge w:val="restart"/>
            <w:vAlign w:val="center"/>
          </w:tcPr>
          <w:p w14:paraId="6BDF37A0"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植被</w:t>
            </w:r>
          </w:p>
        </w:tc>
        <w:tc>
          <w:tcPr>
            <w:tcW w:w="1762" w:type="dxa"/>
            <w:vAlign w:val="center"/>
          </w:tcPr>
          <w:p w14:paraId="6D65F52D"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植被类型</w:t>
            </w:r>
          </w:p>
        </w:tc>
        <w:tc>
          <w:tcPr>
            <w:tcW w:w="1530" w:type="dxa"/>
            <w:vAlign w:val="center"/>
          </w:tcPr>
          <w:p w14:paraId="7B7BA98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0.07894</w:t>
            </w:r>
          </w:p>
        </w:tc>
        <w:tc>
          <w:tcPr>
            <w:tcW w:w="1557" w:type="dxa"/>
            <w:vAlign w:val="center"/>
          </w:tcPr>
          <w:p w14:paraId="52233BFE"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荒漠草原</w:t>
            </w:r>
          </w:p>
        </w:tc>
        <w:tc>
          <w:tcPr>
            <w:tcW w:w="1345" w:type="dxa"/>
            <w:vAlign w:val="center"/>
          </w:tcPr>
          <w:p w14:paraId="2CC14FAC"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hint="eastAsia"/>
                <w:sz w:val="21"/>
                <w:szCs w:val="21"/>
              </w:rPr>
              <w:t>30</w:t>
            </w:r>
          </w:p>
        </w:tc>
      </w:tr>
      <w:tr w:rsidR="009C353B" w14:paraId="47BE2C14" w14:textId="77777777">
        <w:trPr>
          <w:trHeight w:hRule="exact" w:val="340"/>
        </w:trPr>
        <w:tc>
          <w:tcPr>
            <w:tcW w:w="1462" w:type="dxa"/>
            <w:vMerge/>
            <w:vAlign w:val="center"/>
          </w:tcPr>
          <w:p w14:paraId="7F68CF6B" w14:textId="77777777" w:rsidR="009C353B" w:rsidRDefault="009C353B">
            <w:pPr>
              <w:adjustRightInd w:val="0"/>
              <w:snapToGrid w:val="0"/>
              <w:ind w:firstLineChars="200" w:firstLine="420"/>
              <w:jc w:val="center"/>
              <w:rPr>
                <w:rFonts w:ascii="Times New Roman" w:hAnsi="Times New Roman"/>
                <w:sz w:val="21"/>
                <w:szCs w:val="21"/>
              </w:rPr>
            </w:pPr>
          </w:p>
        </w:tc>
        <w:tc>
          <w:tcPr>
            <w:tcW w:w="1461" w:type="dxa"/>
            <w:vMerge/>
            <w:vAlign w:val="center"/>
          </w:tcPr>
          <w:p w14:paraId="72EA279D" w14:textId="77777777" w:rsidR="009C353B" w:rsidRDefault="009C353B">
            <w:pPr>
              <w:adjustRightInd w:val="0"/>
              <w:snapToGrid w:val="0"/>
              <w:ind w:firstLineChars="200" w:firstLine="420"/>
              <w:jc w:val="center"/>
              <w:rPr>
                <w:rFonts w:ascii="Times New Roman" w:hAnsi="Times New Roman"/>
                <w:sz w:val="21"/>
                <w:szCs w:val="21"/>
              </w:rPr>
            </w:pPr>
          </w:p>
        </w:tc>
        <w:tc>
          <w:tcPr>
            <w:tcW w:w="1762" w:type="dxa"/>
            <w:vAlign w:val="center"/>
          </w:tcPr>
          <w:p w14:paraId="1BFEBA08"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植被覆盖度</w:t>
            </w:r>
          </w:p>
        </w:tc>
        <w:tc>
          <w:tcPr>
            <w:tcW w:w="1530" w:type="dxa"/>
            <w:vAlign w:val="center"/>
          </w:tcPr>
          <w:p w14:paraId="1633927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0.03049</w:t>
            </w:r>
          </w:p>
        </w:tc>
        <w:tc>
          <w:tcPr>
            <w:tcW w:w="1557" w:type="dxa"/>
            <w:vAlign w:val="center"/>
          </w:tcPr>
          <w:p w14:paraId="53866C4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20%</w:t>
            </w:r>
          </w:p>
        </w:tc>
        <w:tc>
          <w:tcPr>
            <w:tcW w:w="1345" w:type="dxa"/>
            <w:vAlign w:val="center"/>
          </w:tcPr>
          <w:p w14:paraId="66F45DC5"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hint="eastAsia"/>
                <w:sz w:val="21"/>
                <w:szCs w:val="21"/>
              </w:rPr>
              <w:t>20</w:t>
            </w:r>
          </w:p>
        </w:tc>
      </w:tr>
      <w:tr w:rsidR="009C353B" w14:paraId="25048F0B" w14:textId="77777777">
        <w:trPr>
          <w:trHeight w:hRule="exact" w:val="395"/>
        </w:trPr>
        <w:tc>
          <w:tcPr>
            <w:tcW w:w="1462" w:type="dxa"/>
            <w:vMerge/>
            <w:vAlign w:val="center"/>
          </w:tcPr>
          <w:p w14:paraId="65ADC91D" w14:textId="77777777" w:rsidR="009C353B" w:rsidRDefault="009C353B">
            <w:pPr>
              <w:adjustRightInd w:val="0"/>
              <w:snapToGrid w:val="0"/>
              <w:ind w:firstLineChars="200" w:firstLine="420"/>
              <w:jc w:val="center"/>
              <w:rPr>
                <w:rFonts w:ascii="Times New Roman" w:hAnsi="Times New Roman"/>
                <w:sz w:val="21"/>
                <w:szCs w:val="21"/>
              </w:rPr>
            </w:pPr>
          </w:p>
        </w:tc>
        <w:tc>
          <w:tcPr>
            <w:tcW w:w="1461" w:type="dxa"/>
            <w:vMerge w:val="restart"/>
            <w:vAlign w:val="center"/>
          </w:tcPr>
          <w:p w14:paraId="5709532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土壤</w:t>
            </w:r>
          </w:p>
        </w:tc>
        <w:tc>
          <w:tcPr>
            <w:tcW w:w="1762" w:type="dxa"/>
            <w:vAlign w:val="center"/>
          </w:tcPr>
          <w:p w14:paraId="1BC89F92"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土壤</w:t>
            </w:r>
            <w:r>
              <w:rPr>
                <w:rFonts w:ascii="Times New Roman" w:hAnsi="Times New Roman"/>
                <w:sz w:val="21"/>
                <w:szCs w:val="21"/>
              </w:rPr>
              <w:t>类型</w:t>
            </w:r>
          </w:p>
        </w:tc>
        <w:tc>
          <w:tcPr>
            <w:tcW w:w="1530" w:type="dxa"/>
            <w:vAlign w:val="center"/>
          </w:tcPr>
          <w:p w14:paraId="7A9E5CAE"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0.05294</w:t>
            </w:r>
          </w:p>
        </w:tc>
        <w:tc>
          <w:tcPr>
            <w:tcW w:w="1557" w:type="dxa"/>
            <w:vAlign w:val="center"/>
          </w:tcPr>
          <w:p w14:paraId="28568BB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灰钙土</w:t>
            </w:r>
          </w:p>
        </w:tc>
        <w:tc>
          <w:tcPr>
            <w:tcW w:w="1345" w:type="dxa"/>
            <w:vAlign w:val="center"/>
          </w:tcPr>
          <w:p w14:paraId="1B3A420C"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hint="eastAsia"/>
                <w:sz w:val="21"/>
                <w:szCs w:val="21"/>
              </w:rPr>
              <w:t>20</w:t>
            </w:r>
          </w:p>
        </w:tc>
      </w:tr>
      <w:tr w:rsidR="009C353B" w14:paraId="703B5F32" w14:textId="77777777">
        <w:trPr>
          <w:trHeight w:hRule="exact" w:val="340"/>
        </w:trPr>
        <w:tc>
          <w:tcPr>
            <w:tcW w:w="1462" w:type="dxa"/>
            <w:vMerge/>
            <w:vAlign w:val="center"/>
          </w:tcPr>
          <w:p w14:paraId="3AF053D1" w14:textId="77777777" w:rsidR="009C353B" w:rsidRDefault="009C353B">
            <w:pPr>
              <w:adjustRightInd w:val="0"/>
              <w:snapToGrid w:val="0"/>
              <w:ind w:firstLineChars="200" w:firstLine="420"/>
              <w:jc w:val="center"/>
              <w:rPr>
                <w:rFonts w:ascii="Times New Roman" w:hAnsi="Times New Roman"/>
                <w:sz w:val="21"/>
                <w:szCs w:val="21"/>
              </w:rPr>
            </w:pPr>
          </w:p>
        </w:tc>
        <w:tc>
          <w:tcPr>
            <w:tcW w:w="1461" w:type="dxa"/>
            <w:vMerge/>
            <w:vAlign w:val="center"/>
          </w:tcPr>
          <w:p w14:paraId="30CC42F5" w14:textId="77777777" w:rsidR="009C353B" w:rsidRDefault="009C353B">
            <w:pPr>
              <w:adjustRightInd w:val="0"/>
              <w:snapToGrid w:val="0"/>
              <w:ind w:firstLineChars="200" w:firstLine="420"/>
              <w:jc w:val="center"/>
              <w:rPr>
                <w:rFonts w:ascii="Times New Roman" w:hAnsi="Times New Roman"/>
                <w:sz w:val="21"/>
                <w:szCs w:val="21"/>
              </w:rPr>
            </w:pPr>
          </w:p>
        </w:tc>
        <w:tc>
          <w:tcPr>
            <w:tcW w:w="1762" w:type="dxa"/>
            <w:vAlign w:val="center"/>
          </w:tcPr>
          <w:p w14:paraId="2731762A"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土壤</w:t>
            </w:r>
            <w:r>
              <w:rPr>
                <w:rFonts w:ascii="Times New Roman" w:hAnsi="Times New Roman"/>
                <w:sz w:val="21"/>
                <w:szCs w:val="21"/>
              </w:rPr>
              <w:t>质量</w:t>
            </w:r>
          </w:p>
        </w:tc>
        <w:tc>
          <w:tcPr>
            <w:tcW w:w="1530" w:type="dxa"/>
            <w:vAlign w:val="center"/>
          </w:tcPr>
          <w:p w14:paraId="2F8EF5D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0.03530</w:t>
            </w:r>
          </w:p>
        </w:tc>
        <w:tc>
          <w:tcPr>
            <w:tcW w:w="1557" w:type="dxa"/>
            <w:vAlign w:val="center"/>
          </w:tcPr>
          <w:p w14:paraId="1A79DEA6"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较差</w:t>
            </w:r>
          </w:p>
        </w:tc>
        <w:tc>
          <w:tcPr>
            <w:tcW w:w="1345" w:type="dxa"/>
            <w:vAlign w:val="center"/>
          </w:tcPr>
          <w:p w14:paraId="505F39DB"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hint="eastAsia"/>
                <w:sz w:val="21"/>
                <w:szCs w:val="21"/>
              </w:rPr>
              <w:t>20</w:t>
            </w:r>
          </w:p>
        </w:tc>
      </w:tr>
      <w:tr w:rsidR="009C353B" w14:paraId="38A6B0B5" w14:textId="77777777">
        <w:trPr>
          <w:trHeight w:hRule="exact" w:val="340"/>
        </w:trPr>
        <w:tc>
          <w:tcPr>
            <w:tcW w:w="1462" w:type="dxa"/>
            <w:vMerge/>
            <w:vAlign w:val="center"/>
          </w:tcPr>
          <w:p w14:paraId="30BFFCCC" w14:textId="77777777" w:rsidR="009C353B" w:rsidRDefault="009C353B">
            <w:pPr>
              <w:adjustRightInd w:val="0"/>
              <w:snapToGrid w:val="0"/>
              <w:ind w:firstLineChars="200" w:firstLine="420"/>
              <w:jc w:val="center"/>
              <w:rPr>
                <w:rFonts w:ascii="Times New Roman" w:hAnsi="Times New Roman"/>
                <w:sz w:val="21"/>
                <w:szCs w:val="21"/>
              </w:rPr>
            </w:pPr>
          </w:p>
        </w:tc>
        <w:tc>
          <w:tcPr>
            <w:tcW w:w="1461" w:type="dxa"/>
            <w:vMerge w:val="restart"/>
            <w:vAlign w:val="center"/>
          </w:tcPr>
          <w:p w14:paraId="5051ECD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地</w:t>
            </w:r>
            <w:r>
              <w:rPr>
                <w:rFonts w:ascii="Times New Roman" w:hAnsi="Times New Roman" w:hint="eastAsia"/>
                <w:sz w:val="21"/>
                <w:szCs w:val="21"/>
              </w:rPr>
              <w:t>质</w:t>
            </w:r>
            <w:r>
              <w:rPr>
                <w:rFonts w:ascii="Times New Roman" w:hAnsi="Times New Roman"/>
                <w:sz w:val="21"/>
                <w:szCs w:val="21"/>
              </w:rPr>
              <w:t>地貌</w:t>
            </w:r>
          </w:p>
        </w:tc>
        <w:tc>
          <w:tcPr>
            <w:tcW w:w="1762" w:type="dxa"/>
            <w:vAlign w:val="center"/>
          </w:tcPr>
          <w:p w14:paraId="71F88A1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海拔高度</w:t>
            </w:r>
          </w:p>
        </w:tc>
        <w:tc>
          <w:tcPr>
            <w:tcW w:w="1530" w:type="dxa"/>
            <w:vAlign w:val="center"/>
          </w:tcPr>
          <w:p w14:paraId="66D669D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0.13035</w:t>
            </w:r>
          </w:p>
        </w:tc>
        <w:tc>
          <w:tcPr>
            <w:tcW w:w="1557" w:type="dxa"/>
            <w:vAlign w:val="center"/>
          </w:tcPr>
          <w:p w14:paraId="4AA78D6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1178-</w:t>
            </w:r>
            <w:r>
              <w:rPr>
                <w:rFonts w:ascii="Times New Roman" w:hAnsi="Times New Roman" w:hint="eastAsia"/>
                <w:sz w:val="21"/>
                <w:szCs w:val="21"/>
              </w:rPr>
              <w:t>1377</w:t>
            </w:r>
            <w:r>
              <w:rPr>
                <w:rFonts w:ascii="Times New Roman" w:hAnsi="Times New Roman"/>
                <w:sz w:val="21"/>
                <w:szCs w:val="21"/>
              </w:rPr>
              <w:t>m</w:t>
            </w:r>
          </w:p>
        </w:tc>
        <w:tc>
          <w:tcPr>
            <w:tcW w:w="1345" w:type="dxa"/>
            <w:vAlign w:val="center"/>
          </w:tcPr>
          <w:p w14:paraId="18E8DE59"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hint="eastAsia"/>
                <w:sz w:val="21"/>
                <w:szCs w:val="21"/>
              </w:rPr>
              <w:t>50</w:t>
            </w:r>
          </w:p>
        </w:tc>
      </w:tr>
      <w:tr w:rsidR="009C353B" w14:paraId="09BA6CD6" w14:textId="77777777">
        <w:trPr>
          <w:trHeight w:hRule="exact" w:val="340"/>
        </w:trPr>
        <w:tc>
          <w:tcPr>
            <w:tcW w:w="1462" w:type="dxa"/>
            <w:vMerge/>
            <w:vAlign w:val="center"/>
          </w:tcPr>
          <w:p w14:paraId="6DD5E851" w14:textId="77777777" w:rsidR="009C353B" w:rsidRDefault="009C353B">
            <w:pPr>
              <w:adjustRightInd w:val="0"/>
              <w:snapToGrid w:val="0"/>
              <w:ind w:firstLineChars="200" w:firstLine="420"/>
              <w:jc w:val="center"/>
              <w:rPr>
                <w:rFonts w:ascii="Times New Roman" w:hAnsi="Times New Roman"/>
                <w:sz w:val="21"/>
                <w:szCs w:val="21"/>
              </w:rPr>
            </w:pPr>
          </w:p>
        </w:tc>
        <w:tc>
          <w:tcPr>
            <w:tcW w:w="1461" w:type="dxa"/>
            <w:vMerge/>
            <w:vAlign w:val="center"/>
          </w:tcPr>
          <w:p w14:paraId="423E6017" w14:textId="77777777" w:rsidR="009C353B" w:rsidRDefault="009C353B">
            <w:pPr>
              <w:adjustRightInd w:val="0"/>
              <w:snapToGrid w:val="0"/>
              <w:ind w:firstLineChars="200" w:firstLine="420"/>
              <w:jc w:val="center"/>
              <w:rPr>
                <w:rFonts w:ascii="Times New Roman" w:hAnsi="Times New Roman"/>
                <w:sz w:val="21"/>
                <w:szCs w:val="21"/>
              </w:rPr>
            </w:pPr>
          </w:p>
        </w:tc>
        <w:tc>
          <w:tcPr>
            <w:tcW w:w="1762" w:type="dxa"/>
            <w:vAlign w:val="center"/>
          </w:tcPr>
          <w:p w14:paraId="6DF92526"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地貌类型</w:t>
            </w:r>
          </w:p>
        </w:tc>
        <w:tc>
          <w:tcPr>
            <w:tcW w:w="1530" w:type="dxa"/>
            <w:vAlign w:val="center"/>
          </w:tcPr>
          <w:p w14:paraId="0A1317F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0.13035</w:t>
            </w:r>
          </w:p>
        </w:tc>
        <w:tc>
          <w:tcPr>
            <w:tcW w:w="1557" w:type="dxa"/>
            <w:vAlign w:val="center"/>
          </w:tcPr>
          <w:p w14:paraId="198C486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风沙丘陵地貌</w:t>
            </w:r>
          </w:p>
        </w:tc>
        <w:tc>
          <w:tcPr>
            <w:tcW w:w="1345" w:type="dxa"/>
            <w:vAlign w:val="center"/>
          </w:tcPr>
          <w:p w14:paraId="35C2B585"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sz w:val="21"/>
                <w:szCs w:val="21"/>
              </w:rPr>
              <w:t>30</w:t>
            </w:r>
          </w:p>
        </w:tc>
      </w:tr>
      <w:tr w:rsidR="009C353B" w14:paraId="64041128" w14:textId="77777777">
        <w:trPr>
          <w:trHeight w:hRule="exact" w:val="340"/>
        </w:trPr>
        <w:tc>
          <w:tcPr>
            <w:tcW w:w="1462" w:type="dxa"/>
            <w:vMerge/>
            <w:vAlign w:val="center"/>
          </w:tcPr>
          <w:p w14:paraId="4FEE0616" w14:textId="77777777" w:rsidR="009C353B" w:rsidRDefault="009C353B">
            <w:pPr>
              <w:adjustRightInd w:val="0"/>
              <w:snapToGrid w:val="0"/>
              <w:ind w:firstLineChars="200" w:firstLine="420"/>
              <w:jc w:val="center"/>
              <w:rPr>
                <w:rFonts w:ascii="Times New Roman" w:hAnsi="Times New Roman"/>
                <w:sz w:val="21"/>
                <w:szCs w:val="21"/>
              </w:rPr>
            </w:pPr>
          </w:p>
        </w:tc>
        <w:tc>
          <w:tcPr>
            <w:tcW w:w="1461" w:type="dxa"/>
            <w:vMerge w:val="restart"/>
            <w:vAlign w:val="center"/>
          </w:tcPr>
          <w:p w14:paraId="796C6A9B"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水文</w:t>
            </w:r>
          </w:p>
        </w:tc>
        <w:tc>
          <w:tcPr>
            <w:tcW w:w="1762" w:type="dxa"/>
            <w:vAlign w:val="center"/>
          </w:tcPr>
          <w:p w14:paraId="4F42BCB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地表</w:t>
            </w:r>
            <w:r>
              <w:rPr>
                <w:rFonts w:ascii="Times New Roman" w:hAnsi="Times New Roman" w:hint="eastAsia"/>
                <w:sz w:val="21"/>
                <w:szCs w:val="21"/>
              </w:rPr>
              <w:t>水</w:t>
            </w:r>
          </w:p>
        </w:tc>
        <w:tc>
          <w:tcPr>
            <w:tcW w:w="1530" w:type="dxa"/>
            <w:vAlign w:val="center"/>
          </w:tcPr>
          <w:p w14:paraId="4E4F5F06"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0.3734</w:t>
            </w:r>
          </w:p>
        </w:tc>
        <w:tc>
          <w:tcPr>
            <w:tcW w:w="1557" w:type="dxa"/>
            <w:vAlign w:val="center"/>
          </w:tcPr>
          <w:p w14:paraId="55FD4424"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有</w:t>
            </w:r>
          </w:p>
        </w:tc>
        <w:tc>
          <w:tcPr>
            <w:tcW w:w="1345" w:type="dxa"/>
            <w:vAlign w:val="center"/>
          </w:tcPr>
          <w:p w14:paraId="702C068C"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hint="eastAsia"/>
                <w:sz w:val="21"/>
                <w:szCs w:val="21"/>
              </w:rPr>
              <w:t>40</w:t>
            </w:r>
          </w:p>
        </w:tc>
      </w:tr>
      <w:tr w:rsidR="009C353B" w14:paraId="69B75173" w14:textId="77777777">
        <w:trPr>
          <w:trHeight w:hRule="exact" w:val="340"/>
        </w:trPr>
        <w:tc>
          <w:tcPr>
            <w:tcW w:w="1462" w:type="dxa"/>
            <w:vMerge/>
            <w:vAlign w:val="center"/>
          </w:tcPr>
          <w:p w14:paraId="0B1325BE" w14:textId="77777777" w:rsidR="009C353B" w:rsidRDefault="009C353B">
            <w:pPr>
              <w:adjustRightInd w:val="0"/>
              <w:snapToGrid w:val="0"/>
              <w:ind w:firstLineChars="200" w:firstLine="420"/>
              <w:jc w:val="center"/>
              <w:rPr>
                <w:rFonts w:ascii="Times New Roman" w:hAnsi="Times New Roman"/>
                <w:sz w:val="21"/>
                <w:szCs w:val="21"/>
              </w:rPr>
            </w:pPr>
          </w:p>
        </w:tc>
        <w:tc>
          <w:tcPr>
            <w:tcW w:w="1461" w:type="dxa"/>
            <w:vMerge/>
            <w:vAlign w:val="center"/>
          </w:tcPr>
          <w:p w14:paraId="789BA750" w14:textId="77777777" w:rsidR="009C353B" w:rsidRDefault="009C353B">
            <w:pPr>
              <w:adjustRightInd w:val="0"/>
              <w:snapToGrid w:val="0"/>
              <w:ind w:firstLineChars="200" w:firstLine="420"/>
              <w:jc w:val="center"/>
              <w:rPr>
                <w:rFonts w:ascii="Times New Roman" w:hAnsi="Times New Roman"/>
                <w:sz w:val="21"/>
                <w:szCs w:val="21"/>
              </w:rPr>
            </w:pPr>
          </w:p>
        </w:tc>
        <w:tc>
          <w:tcPr>
            <w:tcW w:w="1762" w:type="dxa"/>
            <w:vAlign w:val="center"/>
          </w:tcPr>
          <w:p w14:paraId="066E983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地下水</w:t>
            </w:r>
          </w:p>
        </w:tc>
        <w:tc>
          <w:tcPr>
            <w:tcW w:w="1530" w:type="dxa"/>
            <w:vAlign w:val="center"/>
          </w:tcPr>
          <w:p w14:paraId="5BD2E62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0.07469</w:t>
            </w:r>
          </w:p>
        </w:tc>
        <w:tc>
          <w:tcPr>
            <w:tcW w:w="1557" w:type="dxa"/>
            <w:vAlign w:val="center"/>
          </w:tcPr>
          <w:p w14:paraId="44D33989"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有</w:t>
            </w:r>
          </w:p>
        </w:tc>
        <w:tc>
          <w:tcPr>
            <w:tcW w:w="1345" w:type="dxa"/>
            <w:vAlign w:val="center"/>
          </w:tcPr>
          <w:p w14:paraId="7653036D" w14:textId="77777777" w:rsidR="009C353B" w:rsidRDefault="00000000">
            <w:pPr>
              <w:widowControl/>
              <w:ind w:firstLineChars="200" w:firstLine="420"/>
              <w:jc w:val="center"/>
              <w:textAlignment w:val="center"/>
              <w:rPr>
                <w:rFonts w:ascii="Times New Roman" w:hAnsi="Times New Roman"/>
                <w:sz w:val="21"/>
                <w:szCs w:val="21"/>
              </w:rPr>
            </w:pPr>
            <w:r>
              <w:rPr>
                <w:rFonts w:ascii="Times New Roman" w:hAnsi="Times New Roman" w:hint="eastAsia"/>
                <w:sz w:val="21"/>
                <w:szCs w:val="21"/>
              </w:rPr>
              <w:t>40</w:t>
            </w:r>
          </w:p>
        </w:tc>
      </w:tr>
      <w:tr w:rsidR="009C353B" w14:paraId="2577FD61" w14:textId="77777777">
        <w:trPr>
          <w:trHeight w:hRule="exact" w:val="340"/>
        </w:trPr>
        <w:tc>
          <w:tcPr>
            <w:tcW w:w="4685" w:type="dxa"/>
            <w:gridSpan w:val="3"/>
            <w:vAlign w:val="center"/>
          </w:tcPr>
          <w:p w14:paraId="38BC9580" w14:textId="77777777" w:rsidR="009C353B" w:rsidRDefault="00000000">
            <w:pPr>
              <w:adjustRightInd w:val="0"/>
              <w:snapToGrid w:val="0"/>
              <w:ind w:firstLineChars="200" w:firstLine="420"/>
              <w:jc w:val="center"/>
              <w:rPr>
                <w:rFonts w:ascii="Times New Roman" w:hAnsi="Times New Roman"/>
                <w:sz w:val="21"/>
                <w:szCs w:val="21"/>
              </w:rPr>
            </w:pPr>
            <w:r>
              <w:rPr>
                <w:rFonts w:ascii="Times New Roman" w:hAnsi="Times New Roman"/>
                <w:sz w:val="21"/>
                <w:szCs w:val="21"/>
              </w:rPr>
              <w:t>生态弹性力指数</w:t>
            </w:r>
          </w:p>
        </w:tc>
        <w:tc>
          <w:tcPr>
            <w:tcW w:w="4432" w:type="dxa"/>
            <w:gridSpan w:val="3"/>
            <w:vAlign w:val="center"/>
          </w:tcPr>
          <w:p w14:paraId="35C0187B" w14:textId="77777777" w:rsidR="009C353B" w:rsidRDefault="00000000">
            <w:pPr>
              <w:adjustRightInd w:val="0"/>
              <w:snapToGrid w:val="0"/>
              <w:jc w:val="center"/>
              <w:rPr>
                <w:rFonts w:ascii="Times New Roman" w:hAnsi="Times New Roman"/>
                <w:sz w:val="21"/>
                <w:szCs w:val="21"/>
              </w:rPr>
            </w:pPr>
            <w:r>
              <w:rPr>
                <w:rFonts w:ascii="Times New Roman" w:hAnsi="Times New Roman" w:hint="eastAsia"/>
                <w:sz w:val="21"/>
                <w:szCs w:val="21"/>
              </w:rPr>
              <w:t>35.60</w:t>
            </w:r>
          </w:p>
        </w:tc>
      </w:tr>
    </w:tbl>
    <w:p w14:paraId="07402BC9" w14:textId="77777777" w:rsidR="009C353B" w:rsidRDefault="009C353B">
      <w:pPr>
        <w:widowControl/>
        <w:jc w:val="left"/>
        <w:rPr>
          <w:rFonts w:ascii="Times New Roman" w:hAnsi="Times New Roman"/>
          <w:szCs w:val="24"/>
        </w:rPr>
      </w:pPr>
    </w:p>
    <w:p w14:paraId="43DC84AD"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评价区生态弹性力指数计算结果为</w:t>
      </w:r>
      <w:r>
        <w:rPr>
          <w:rFonts w:ascii="Times New Roman" w:hAnsi="Times New Roman" w:hint="eastAsia"/>
          <w:szCs w:val="24"/>
        </w:rPr>
        <w:t>35.60</w:t>
      </w:r>
      <w:r>
        <w:rPr>
          <w:rFonts w:ascii="Times New Roman" w:hAnsi="Times New Roman"/>
          <w:szCs w:val="24"/>
        </w:rPr>
        <w:t>，表明该区域为</w:t>
      </w:r>
      <w:r>
        <w:rPr>
          <w:rFonts w:ascii="Times New Roman" w:hAnsi="Times New Roman" w:hint="eastAsia"/>
          <w:szCs w:val="24"/>
        </w:rPr>
        <w:t>不稳定</w:t>
      </w:r>
      <w:r>
        <w:rPr>
          <w:rFonts w:ascii="Times New Roman" w:hAnsi="Times New Roman"/>
          <w:szCs w:val="24"/>
        </w:rPr>
        <w:t>区域</w:t>
      </w:r>
      <w:r>
        <w:rPr>
          <w:rFonts w:ascii="Times New Roman" w:hAnsi="Times New Roman" w:hint="eastAsia"/>
          <w:szCs w:val="24"/>
        </w:rPr>
        <w:t>。区域植被状稀疏，生态系统自恢复能力差，遭受外界干扰破坏后的生态环境需要人为的强烈干预与能量的持续输入才能得以恢复。</w:t>
      </w:r>
      <w:bookmarkStart w:id="289" w:name="_Toc408312752"/>
    </w:p>
    <w:p w14:paraId="7DDAC5B3" w14:textId="77777777" w:rsidR="009C353B" w:rsidRDefault="00000000">
      <w:pPr>
        <w:keepNext/>
        <w:keepLines/>
        <w:spacing w:before="360" w:after="120" w:line="416" w:lineRule="exact"/>
        <w:outlineLvl w:val="2"/>
        <w:rPr>
          <w:rFonts w:ascii="Times New Roman" w:hAnsi="Times New Roman"/>
          <w:b/>
          <w:bCs/>
          <w:szCs w:val="32"/>
        </w:rPr>
      </w:pPr>
      <w:r>
        <w:rPr>
          <w:rFonts w:ascii="Times New Roman" w:hAnsi="Times New Roman"/>
          <w:b/>
          <w:bCs/>
          <w:szCs w:val="32"/>
        </w:rPr>
        <w:t>7.2.2</w:t>
      </w:r>
      <w:r>
        <w:rPr>
          <w:rFonts w:ascii="Times New Roman" w:hAnsi="Times New Roman" w:hint="eastAsia"/>
          <w:b/>
          <w:bCs/>
          <w:szCs w:val="32"/>
        </w:rPr>
        <w:t xml:space="preserve"> </w:t>
      </w:r>
      <w:r>
        <w:rPr>
          <w:rFonts w:ascii="Times New Roman" w:hAnsi="Times New Roman"/>
          <w:b/>
          <w:bCs/>
          <w:szCs w:val="32"/>
        </w:rPr>
        <w:t>资源承载能力评价</w:t>
      </w:r>
      <w:bookmarkEnd w:id="289"/>
    </w:p>
    <w:p w14:paraId="4CDF5099"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水是制约该区域生态系统的关键因素，由于水资源的时空分布，导致区域土地利用类型的转化，最终决定土地承载力，本次评价通过水资源承载力和土地资源承载力分析，来分析区域资源承载力状况。</w:t>
      </w:r>
    </w:p>
    <w:p w14:paraId="2E23DF11" w14:textId="77777777" w:rsidR="009C353B" w:rsidRDefault="00000000">
      <w:pPr>
        <w:keepNext/>
        <w:keepLines/>
        <w:spacing w:before="280" w:after="120" w:line="416" w:lineRule="exact"/>
        <w:outlineLvl w:val="3"/>
        <w:rPr>
          <w:rFonts w:ascii="Times New Roman" w:hAnsi="Times New Roman"/>
          <w:b/>
          <w:bCs/>
          <w:szCs w:val="28"/>
        </w:rPr>
      </w:pPr>
      <w:r>
        <w:rPr>
          <w:rFonts w:ascii="Times New Roman" w:hAnsi="Times New Roman"/>
          <w:b/>
          <w:bCs/>
          <w:szCs w:val="28"/>
        </w:rPr>
        <w:t>7.2.2.1</w:t>
      </w:r>
      <w:r>
        <w:rPr>
          <w:rFonts w:ascii="Times New Roman" w:hAnsi="Times New Roman" w:hint="eastAsia"/>
          <w:b/>
          <w:bCs/>
          <w:szCs w:val="28"/>
        </w:rPr>
        <w:t xml:space="preserve"> </w:t>
      </w:r>
      <w:r>
        <w:rPr>
          <w:rFonts w:ascii="Times New Roman" w:hAnsi="Times New Roman"/>
          <w:b/>
          <w:bCs/>
          <w:szCs w:val="28"/>
        </w:rPr>
        <w:t>水资源承载力</w:t>
      </w:r>
    </w:p>
    <w:p w14:paraId="31314EB7"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w:t>
      </w:r>
      <w:r>
        <w:rPr>
          <w:rFonts w:ascii="Times New Roman" w:hAnsi="Times New Roman" w:hint="eastAsia"/>
          <w:szCs w:val="24"/>
        </w:rPr>
        <w:t>区域</w:t>
      </w:r>
      <w:r>
        <w:rPr>
          <w:rFonts w:ascii="Times New Roman" w:hAnsi="Times New Roman"/>
          <w:szCs w:val="24"/>
        </w:rPr>
        <w:t>水资源现状</w:t>
      </w:r>
    </w:p>
    <w:p w14:paraId="4BA59D85"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矿区涉及的河流有水洞沟和大河子沟。银川市地表水资源量</w:t>
      </w:r>
      <w:r>
        <w:rPr>
          <w:rFonts w:ascii="Times New Roman" w:hAnsi="Times New Roman" w:hint="eastAsia"/>
          <w:szCs w:val="24"/>
        </w:rPr>
        <w:t>0.87</w:t>
      </w:r>
      <w:r>
        <w:rPr>
          <w:rFonts w:ascii="Times New Roman" w:hAnsi="Times New Roman" w:hint="eastAsia"/>
          <w:szCs w:val="24"/>
        </w:rPr>
        <w:t>亿</w:t>
      </w:r>
      <w:r>
        <w:rPr>
          <w:rFonts w:ascii="Times New Roman" w:hAnsi="Times New Roman"/>
        </w:rPr>
        <w:t>m</w:t>
      </w:r>
      <w:r>
        <w:rPr>
          <w:rFonts w:ascii="Times New Roman" w:hAnsi="Times New Roman"/>
          <w:vertAlign w:val="superscript"/>
        </w:rPr>
        <w:t>3</w:t>
      </w:r>
      <w:r>
        <w:rPr>
          <w:rFonts w:ascii="Times New Roman" w:hAnsi="Times New Roman"/>
        </w:rPr>
        <w:t>，</w:t>
      </w:r>
      <w:r>
        <w:rPr>
          <w:rFonts w:ascii="Times New Roman" w:hAnsi="Times New Roman" w:hint="eastAsia"/>
        </w:rPr>
        <w:t>地下水资源量</w:t>
      </w:r>
      <w:r>
        <w:rPr>
          <w:rFonts w:ascii="Times New Roman" w:hAnsi="Times New Roman" w:hint="eastAsia"/>
        </w:rPr>
        <w:t>7.92</w:t>
      </w:r>
      <w:r>
        <w:rPr>
          <w:rFonts w:ascii="Times New Roman" w:hAnsi="Times New Roman" w:hint="eastAsia"/>
          <w:szCs w:val="24"/>
        </w:rPr>
        <w:t>亿</w:t>
      </w:r>
      <w:r>
        <w:rPr>
          <w:rFonts w:ascii="Times New Roman" w:hAnsi="Times New Roman"/>
        </w:rPr>
        <w:t>m</w:t>
      </w:r>
      <w:r>
        <w:rPr>
          <w:rFonts w:ascii="Times New Roman" w:hAnsi="Times New Roman"/>
          <w:vertAlign w:val="superscript"/>
        </w:rPr>
        <w:t>3</w:t>
      </w:r>
      <w:r>
        <w:rPr>
          <w:rFonts w:ascii="Times New Roman" w:hAnsi="Times New Roman"/>
        </w:rPr>
        <w:t>，</w:t>
      </w:r>
      <w:r>
        <w:rPr>
          <w:rFonts w:ascii="Times New Roman" w:hAnsi="Times New Roman" w:hint="eastAsia"/>
        </w:rPr>
        <w:t>其中重复计算量</w:t>
      </w:r>
      <w:r>
        <w:rPr>
          <w:rFonts w:ascii="Times New Roman" w:hAnsi="Times New Roman" w:hint="eastAsia"/>
        </w:rPr>
        <w:t>7.00</w:t>
      </w:r>
      <w:r>
        <w:rPr>
          <w:rFonts w:ascii="Times New Roman" w:hAnsi="Times New Roman" w:hint="eastAsia"/>
          <w:szCs w:val="24"/>
        </w:rPr>
        <w:t>亿</w:t>
      </w:r>
      <w:r>
        <w:rPr>
          <w:rFonts w:ascii="Times New Roman" w:hAnsi="Times New Roman"/>
        </w:rPr>
        <w:t>m</w:t>
      </w:r>
      <w:r>
        <w:rPr>
          <w:rFonts w:ascii="Times New Roman" w:hAnsi="Times New Roman"/>
          <w:vertAlign w:val="superscript"/>
        </w:rPr>
        <w:t>3</w:t>
      </w:r>
      <w:r>
        <w:rPr>
          <w:rFonts w:ascii="Times New Roman" w:hAnsi="Times New Roman"/>
        </w:rPr>
        <w:t>，</w:t>
      </w:r>
      <w:r>
        <w:rPr>
          <w:rFonts w:ascii="Times New Roman" w:hAnsi="Times New Roman" w:hint="eastAsia"/>
        </w:rPr>
        <w:t>水资源总量</w:t>
      </w:r>
      <w:r>
        <w:rPr>
          <w:rFonts w:ascii="Times New Roman" w:hAnsi="Times New Roman" w:hint="eastAsia"/>
        </w:rPr>
        <w:t>1.79</w:t>
      </w:r>
      <w:r>
        <w:rPr>
          <w:rFonts w:ascii="Times New Roman" w:hAnsi="Times New Roman" w:hint="eastAsia"/>
          <w:szCs w:val="24"/>
        </w:rPr>
        <w:t>亿</w:t>
      </w:r>
      <w:r>
        <w:rPr>
          <w:rFonts w:ascii="Times New Roman" w:hAnsi="Times New Roman"/>
        </w:rPr>
        <w:t>m</w:t>
      </w:r>
      <w:r>
        <w:rPr>
          <w:rFonts w:ascii="Times New Roman" w:hAnsi="Times New Roman"/>
          <w:vertAlign w:val="superscript"/>
        </w:rPr>
        <w:t>3</w:t>
      </w:r>
      <w:r>
        <w:rPr>
          <w:rFonts w:ascii="Times New Roman" w:hAnsi="Times New Roman" w:hint="eastAsia"/>
        </w:rPr>
        <w:t>。</w:t>
      </w:r>
    </w:p>
    <w:p w14:paraId="2B98C565"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）分值确定</w:t>
      </w:r>
    </w:p>
    <w:p w14:paraId="1ED9718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根据《中国自然资源手册（程鸿，</w:t>
      </w:r>
      <w:r>
        <w:rPr>
          <w:rFonts w:ascii="Times New Roman" w:hAnsi="Times New Roman"/>
          <w:szCs w:val="24"/>
        </w:rPr>
        <w:t>1990</w:t>
      </w:r>
      <w:r>
        <w:rPr>
          <w:rFonts w:ascii="Times New Roman" w:hAnsi="Times New Roman"/>
          <w:szCs w:val="24"/>
        </w:rPr>
        <w:t>）》提供资料，我国单位面积年地表径流量在</w:t>
      </w:r>
      <w:r>
        <w:rPr>
          <w:rFonts w:ascii="Times New Roman" w:hAnsi="Times New Roman"/>
          <w:szCs w:val="24"/>
        </w:rPr>
        <w:t>0.0002</w:t>
      </w:r>
      <w:r>
        <w:rPr>
          <w:rFonts w:ascii="Times New Roman" w:hAnsi="Times New Roman"/>
          <w:szCs w:val="24"/>
        </w:rPr>
        <w:t>～</w:t>
      </w:r>
      <w:r>
        <w:rPr>
          <w:rFonts w:ascii="Times New Roman" w:hAnsi="Times New Roman"/>
          <w:szCs w:val="24"/>
        </w:rPr>
        <w:t>0.0107</w:t>
      </w:r>
      <w:r>
        <w:rPr>
          <w:rFonts w:ascii="Times New Roman" w:hAnsi="Times New Roman"/>
          <w:szCs w:val="24"/>
        </w:rPr>
        <w:t>亿</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之间，据此我们将其分成</w:t>
      </w:r>
      <w:r>
        <w:rPr>
          <w:rFonts w:ascii="Times New Roman" w:hAnsi="Times New Roman"/>
          <w:szCs w:val="24"/>
        </w:rPr>
        <w:t>10</w:t>
      </w:r>
      <w:r>
        <w:rPr>
          <w:rFonts w:ascii="Times New Roman" w:hAnsi="Times New Roman"/>
          <w:szCs w:val="24"/>
        </w:rPr>
        <w:t>个段次，然后径流量大小赋予不同的分值，见表</w:t>
      </w:r>
      <w:r>
        <w:rPr>
          <w:rFonts w:ascii="Times New Roman" w:hAnsi="Times New Roman"/>
          <w:szCs w:val="24"/>
        </w:rPr>
        <w:t>7.2-3</w:t>
      </w:r>
      <w:r>
        <w:rPr>
          <w:rFonts w:ascii="Times New Roman" w:hAnsi="Times New Roman"/>
          <w:szCs w:val="24"/>
        </w:rPr>
        <w:t>。</w:t>
      </w:r>
    </w:p>
    <w:p w14:paraId="16E45C73" w14:textId="77777777" w:rsidR="009C353B" w:rsidRDefault="00000000">
      <w:pPr>
        <w:spacing w:line="440" w:lineRule="exact"/>
        <w:jc w:val="center"/>
        <w:rPr>
          <w:rFonts w:ascii="Times New Roman" w:hAnsi="Times New Roman"/>
          <w:b/>
          <w:szCs w:val="24"/>
        </w:rPr>
      </w:pPr>
      <w:r>
        <w:rPr>
          <w:rFonts w:ascii="Times New Roman" w:hAnsi="Times New Roman"/>
          <w:b/>
          <w:szCs w:val="24"/>
        </w:rPr>
        <w:t>地表径流等级划分</w:t>
      </w:r>
    </w:p>
    <w:p w14:paraId="51BB618C" w14:textId="77777777" w:rsidR="009C353B" w:rsidRDefault="00000000">
      <w:pPr>
        <w:spacing w:line="240" w:lineRule="exact"/>
        <w:jc w:val="left"/>
        <w:outlineLvl w:val="4"/>
        <w:rPr>
          <w:rFonts w:ascii="Times New Roman" w:hAnsi="Times New Roman"/>
          <w:szCs w:val="24"/>
        </w:rPr>
      </w:pPr>
      <w:r>
        <w:rPr>
          <w:rFonts w:ascii="Times New Roman" w:hAnsi="Times New Roman"/>
          <w:szCs w:val="24"/>
        </w:rPr>
        <w:t>表</w:t>
      </w:r>
      <w:r>
        <w:rPr>
          <w:rFonts w:ascii="Times New Roman" w:hAnsi="Times New Roman"/>
          <w:szCs w:val="24"/>
        </w:rPr>
        <w:t>7.2-3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7"/>
        <w:gridCol w:w="812"/>
        <w:gridCol w:w="866"/>
        <w:gridCol w:w="866"/>
        <w:gridCol w:w="866"/>
        <w:gridCol w:w="866"/>
        <w:gridCol w:w="866"/>
        <w:gridCol w:w="866"/>
        <w:gridCol w:w="868"/>
        <w:gridCol w:w="863"/>
      </w:tblGrid>
      <w:tr w:rsidR="009C353B" w14:paraId="53868102" w14:textId="77777777">
        <w:trPr>
          <w:trHeight w:val="397"/>
        </w:trPr>
        <w:tc>
          <w:tcPr>
            <w:tcW w:w="1547" w:type="dxa"/>
            <w:vAlign w:val="center"/>
          </w:tcPr>
          <w:p w14:paraId="1C9A136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径流量（</w:t>
            </w:r>
            <w:r>
              <w:rPr>
                <w:rFonts w:ascii="Times New Roman" w:hAnsi="Times New Roman"/>
                <w:sz w:val="21"/>
                <w:szCs w:val="21"/>
              </w:rPr>
              <w:t>10</w:t>
            </w:r>
            <w:r>
              <w:rPr>
                <w:rFonts w:ascii="Times New Roman" w:hAnsi="Times New Roman"/>
                <w:sz w:val="21"/>
                <w:szCs w:val="21"/>
                <w:vertAlign w:val="superscript"/>
              </w:rPr>
              <w:t>4</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sz w:val="21"/>
                <w:szCs w:val="21"/>
              </w:rPr>
              <w:t>）</w:t>
            </w:r>
          </w:p>
        </w:tc>
        <w:tc>
          <w:tcPr>
            <w:tcW w:w="812" w:type="dxa"/>
            <w:vAlign w:val="center"/>
          </w:tcPr>
          <w:p w14:paraId="5DE7EEB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&lt;0.5</w:t>
            </w:r>
          </w:p>
        </w:tc>
        <w:tc>
          <w:tcPr>
            <w:tcW w:w="866" w:type="dxa"/>
            <w:vAlign w:val="center"/>
          </w:tcPr>
          <w:p w14:paraId="25BE1CE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0.5-1.0</w:t>
            </w:r>
          </w:p>
        </w:tc>
        <w:tc>
          <w:tcPr>
            <w:tcW w:w="866" w:type="dxa"/>
            <w:vAlign w:val="center"/>
          </w:tcPr>
          <w:p w14:paraId="0967A0C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1.0-2.0</w:t>
            </w:r>
          </w:p>
        </w:tc>
        <w:tc>
          <w:tcPr>
            <w:tcW w:w="866" w:type="dxa"/>
            <w:vAlign w:val="center"/>
          </w:tcPr>
          <w:p w14:paraId="678F205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2.0-3.0</w:t>
            </w:r>
          </w:p>
        </w:tc>
        <w:tc>
          <w:tcPr>
            <w:tcW w:w="866" w:type="dxa"/>
            <w:vAlign w:val="center"/>
          </w:tcPr>
          <w:p w14:paraId="78D7CE9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3.0-4.0</w:t>
            </w:r>
          </w:p>
        </w:tc>
        <w:tc>
          <w:tcPr>
            <w:tcW w:w="866" w:type="dxa"/>
            <w:vAlign w:val="center"/>
          </w:tcPr>
          <w:p w14:paraId="0A1C7648"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4.0-5.0</w:t>
            </w:r>
          </w:p>
        </w:tc>
        <w:tc>
          <w:tcPr>
            <w:tcW w:w="866" w:type="dxa"/>
            <w:vAlign w:val="center"/>
          </w:tcPr>
          <w:p w14:paraId="00F26753"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5.0-6.0</w:t>
            </w:r>
          </w:p>
        </w:tc>
        <w:tc>
          <w:tcPr>
            <w:tcW w:w="868" w:type="dxa"/>
            <w:vAlign w:val="center"/>
          </w:tcPr>
          <w:p w14:paraId="6E72935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6.0-7.0</w:t>
            </w:r>
          </w:p>
        </w:tc>
        <w:tc>
          <w:tcPr>
            <w:tcW w:w="863" w:type="dxa"/>
            <w:vAlign w:val="center"/>
          </w:tcPr>
          <w:p w14:paraId="3C8BA004"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7.0-8.0</w:t>
            </w:r>
          </w:p>
        </w:tc>
      </w:tr>
      <w:tr w:rsidR="009C353B" w14:paraId="6E9F7CC6" w14:textId="77777777">
        <w:trPr>
          <w:trHeight w:val="397"/>
        </w:trPr>
        <w:tc>
          <w:tcPr>
            <w:tcW w:w="1547" w:type="dxa"/>
            <w:vAlign w:val="center"/>
          </w:tcPr>
          <w:p w14:paraId="6A10157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分值</w:t>
            </w:r>
          </w:p>
        </w:tc>
        <w:tc>
          <w:tcPr>
            <w:tcW w:w="812" w:type="dxa"/>
            <w:vAlign w:val="center"/>
          </w:tcPr>
          <w:p w14:paraId="0614A471"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0-20</w:t>
            </w:r>
          </w:p>
        </w:tc>
        <w:tc>
          <w:tcPr>
            <w:tcW w:w="866" w:type="dxa"/>
            <w:vAlign w:val="center"/>
          </w:tcPr>
          <w:p w14:paraId="60F54297"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20-30</w:t>
            </w:r>
          </w:p>
        </w:tc>
        <w:tc>
          <w:tcPr>
            <w:tcW w:w="866" w:type="dxa"/>
            <w:vAlign w:val="center"/>
          </w:tcPr>
          <w:p w14:paraId="3C0875E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30-40</w:t>
            </w:r>
          </w:p>
        </w:tc>
        <w:tc>
          <w:tcPr>
            <w:tcW w:w="866" w:type="dxa"/>
            <w:vAlign w:val="center"/>
          </w:tcPr>
          <w:p w14:paraId="2B9FA045"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40-50</w:t>
            </w:r>
          </w:p>
        </w:tc>
        <w:tc>
          <w:tcPr>
            <w:tcW w:w="866" w:type="dxa"/>
            <w:vAlign w:val="center"/>
          </w:tcPr>
          <w:p w14:paraId="25D434E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50-60</w:t>
            </w:r>
          </w:p>
        </w:tc>
        <w:tc>
          <w:tcPr>
            <w:tcW w:w="866" w:type="dxa"/>
            <w:vAlign w:val="center"/>
          </w:tcPr>
          <w:p w14:paraId="58FD9652"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60-70</w:t>
            </w:r>
          </w:p>
        </w:tc>
        <w:tc>
          <w:tcPr>
            <w:tcW w:w="866" w:type="dxa"/>
            <w:vAlign w:val="center"/>
          </w:tcPr>
          <w:p w14:paraId="137CA7E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70-80</w:t>
            </w:r>
          </w:p>
        </w:tc>
        <w:tc>
          <w:tcPr>
            <w:tcW w:w="868" w:type="dxa"/>
            <w:vAlign w:val="center"/>
          </w:tcPr>
          <w:p w14:paraId="3042E44C"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80-90</w:t>
            </w:r>
          </w:p>
        </w:tc>
        <w:tc>
          <w:tcPr>
            <w:tcW w:w="863" w:type="dxa"/>
            <w:vAlign w:val="center"/>
          </w:tcPr>
          <w:p w14:paraId="113D101A"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&gt;90</w:t>
            </w:r>
          </w:p>
        </w:tc>
      </w:tr>
    </w:tbl>
    <w:p w14:paraId="7782B52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降水分值的确定依据两个方面：一是我国全年的平均降水量水平，二是植物对水分的需求。根据统计资料表明，我国多年平均降水量高值区为</w:t>
      </w:r>
      <w:r>
        <w:rPr>
          <w:rFonts w:ascii="Times New Roman" w:hAnsi="Times New Roman"/>
          <w:szCs w:val="24"/>
        </w:rPr>
        <w:t>1400</w:t>
      </w:r>
      <w:r>
        <w:rPr>
          <w:rFonts w:ascii="Times New Roman" w:hAnsi="Times New Roman"/>
          <w:szCs w:val="24"/>
        </w:rPr>
        <w:t>～</w:t>
      </w:r>
      <w:r>
        <w:rPr>
          <w:rFonts w:ascii="Times New Roman" w:hAnsi="Times New Roman"/>
          <w:szCs w:val="24"/>
        </w:rPr>
        <w:t>2200mm</w:t>
      </w:r>
      <w:r>
        <w:rPr>
          <w:rFonts w:ascii="Times New Roman" w:hAnsi="Times New Roman"/>
          <w:szCs w:val="24"/>
        </w:rPr>
        <w:t>，低值区为</w:t>
      </w:r>
      <w:r>
        <w:rPr>
          <w:rFonts w:ascii="Times New Roman" w:hAnsi="Times New Roman"/>
          <w:szCs w:val="24"/>
        </w:rPr>
        <w:t>35</w:t>
      </w:r>
      <w:r>
        <w:rPr>
          <w:rFonts w:ascii="Times New Roman" w:hAnsi="Times New Roman"/>
          <w:szCs w:val="24"/>
        </w:rPr>
        <w:t>～</w:t>
      </w:r>
      <w:r>
        <w:rPr>
          <w:rFonts w:ascii="Times New Roman" w:hAnsi="Times New Roman"/>
          <w:szCs w:val="24"/>
        </w:rPr>
        <w:t>100mm</w:t>
      </w:r>
      <w:r>
        <w:rPr>
          <w:rFonts w:ascii="Times New Roman" w:hAnsi="Times New Roman"/>
          <w:szCs w:val="24"/>
        </w:rPr>
        <w:t>。大多数农作物在生长期的需水量在</w:t>
      </w:r>
      <w:r>
        <w:rPr>
          <w:rFonts w:ascii="Times New Roman" w:hAnsi="Times New Roman"/>
          <w:szCs w:val="24"/>
        </w:rPr>
        <w:t>500</w:t>
      </w:r>
      <w:r>
        <w:rPr>
          <w:rFonts w:ascii="Times New Roman" w:hAnsi="Times New Roman"/>
          <w:szCs w:val="24"/>
        </w:rPr>
        <w:t>～</w:t>
      </w:r>
      <w:r>
        <w:rPr>
          <w:rFonts w:ascii="Times New Roman" w:hAnsi="Times New Roman"/>
          <w:szCs w:val="24"/>
        </w:rPr>
        <w:t>800</w:t>
      </w:r>
      <w:r>
        <w:rPr>
          <w:rFonts w:ascii="Times New Roman" w:hAnsi="Times New Roman"/>
          <w:szCs w:val="24"/>
        </w:rPr>
        <w:t>之间。根据这两方面情况，确定不同降水量的分值如表</w:t>
      </w:r>
      <w:r>
        <w:rPr>
          <w:rFonts w:ascii="Times New Roman" w:hAnsi="Times New Roman"/>
          <w:szCs w:val="24"/>
        </w:rPr>
        <w:t>7.2-4</w:t>
      </w:r>
      <w:r>
        <w:rPr>
          <w:rFonts w:ascii="Times New Roman" w:hAnsi="Times New Roman"/>
          <w:szCs w:val="24"/>
        </w:rPr>
        <w:t>。</w:t>
      </w:r>
    </w:p>
    <w:p w14:paraId="6C6BC745" w14:textId="77777777" w:rsidR="009C353B" w:rsidRDefault="00000000">
      <w:pPr>
        <w:spacing w:line="360" w:lineRule="auto"/>
        <w:jc w:val="center"/>
        <w:rPr>
          <w:rFonts w:ascii="Times New Roman" w:hAnsi="Times New Roman"/>
          <w:b/>
          <w:szCs w:val="24"/>
        </w:rPr>
      </w:pPr>
      <w:r>
        <w:rPr>
          <w:rFonts w:ascii="Times New Roman" w:hAnsi="Times New Roman"/>
          <w:b/>
          <w:szCs w:val="24"/>
        </w:rPr>
        <w:t>降水量分级表</w:t>
      </w:r>
    </w:p>
    <w:p w14:paraId="7DC88DE3" w14:textId="77777777" w:rsidR="009C353B" w:rsidRDefault="00000000">
      <w:pPr>
        <w:spacing w:line="240" w:lineRule="exact"/>
        <w:jc w:val="left"/>
        <w:outlineLvl w:val="4"/>
        <w:rPr>
          <w:rFonts w:ascii="Times New Roman" w:hAnsi="Times New Roman"/>
          <w:szCs w:val="24"/>
        </w:rPr>
      </w:pPr>
      <w:r>
        <w:rPr>
          <w:rFonts w:ascii="Times New Roman" w:hAnsi="Times New Roman"/>
          <w:szCs w:val="24"/>
        </w:rPr>
        <w:t>表</w:t>
      </w:r>
      <w:r>
        <w:rPr>
          <w:rFonts w:ascii="Times New Roman" w:hAnsi="Times New Roman"/>
          <w:szCs w:val="24"/>
        </w:rPr>
        <w:t>7.2-4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6"/>
        <w:gridCol w:w="1326"/>
        <w:gridCol w:w="1326"/>
        <w:gridCol w:w="1326"/>
        <w:gridCol w:w="1326"/>
        <w:gridCol w:w="1328"/>
        <w:gridCol w:w="1328"/>
      </w:tblGrid>
      <w:tr w:rsidR="009C353B" w14:paraId="247636F6" w14:textId="77777777">
        <w:tc>
          <w:tcPr>
            <w:tcW w:w="1326" w:type="dxa"/>
            <w:vAlign w:val="center"/>
          </w:tcPr>
          <w:p w14:paraId="11F825FE"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降水量</w:t>
            </w:r>
          </w:p>
          <w:p w14:paraId="77D643BB" w14:textId="77777777" w:rsidR="009C353B" w:rsidRDefault="00000000">
            <w:pPr>
              <w:adjustRightInd w:val="0"/>
              <w:snapToGrid w:val="0"/>
              <w:spacing w:line="240" w:lineRule="exact"/>
              <w:jc w:val="center"/>
              <w:rPr>
                <w:rFonts w:ascii="Times New Roman" w:hAnsi="Times New Roman"/>
                <w:szCs w:val="21"/>
              </w:rPr>
            </w:pPr>
            <w:r>
              <w:rPr>
                <w:rFonts w:ascii="Times New Roman" w:hAnsi="Times New Roman"/>
                <w:sz w:val="21"/>
                <w:szCs w:val="21"/>
              </w:rPr>
              <w:t>（</w:t>
            </w:r>
            <w:r>
              <w:rPr>
                <w:rFonts w:ascii="Times New Roman" w:hAnsi="Times New Roman"/>
                <w:sz w:val="21"/>
                <w:szCs w:val="21"/>
              </w:rPr>
              <w:t>mm</w:t>
            </w:r>
            <w:r>
              <w:rPr>
                <w:rFonts w:ascii="Times New Roman" w:hAnsi="Times New Roman"/>
                <w:sz w:val="21"/>
                <w:szCs w:val="21"/>
              </w:rPr>
              <w:t>）</w:t>
            </w:r>
          </w:p>
        </w:tc>
        <w:tc>
          <w:tcPr>
            <w:tcW w:w="1326" w:type="dxa"/>
            <w:vAlign w:val="center"/>
          </w:tcPr>
          <w:p w14:paraId="71F1618E"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&lt;100</w:t>
            </w:r>
          </w:p>
        </w:tc>
        <w:tc>
          <w:tcPr>
            <w:tcW w:w="1326" w:type="dxa"/>
            <w:vAlign w:val="center"/>
          </w:tcPr>
          <w:p w14:paraId="543871E8"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100-200</w:t>
            </w:r>
          </w:p>
        </w:tc>
        <w:tc>
          <w:tcPr>
            <w:tcW w:w="1326" w:type="dxa"/>
            <w:vAlign w:val="center"/>
          </w:tcPr>
          <w:p w14:paraId="1476ABB9"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200-400</w:t>
            </w:r>
          </w:p>
        </w:tc>
        <w:tc>
          <w:tcPr>
            <w:tcW w:w="1326" w:type="dxa"/>
            <w:vAlign w:val="center"/>
          </w:tcPr>
          <w:p w14:paraId="27A694E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400-600</w:t>
            </w:r>
          </w:p>
        </w:tc>
        <w:tc>
          <w:tcPr>
            <w:tcW w:w="1328" w:type="dxa"/>
            <w:vAlign w:val="center"/>
          </w:tcPr>
          <w:p w14:paraId="3CAB1A57"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600-800</w:t>
            </w:r>
          </w:p>
        </w:tc>
        <w:tc>
          <w:tcPr>
            <w:tcW w:w="1328" w:type="dxa"/>
            <w:vAlign w:val="center"/>
          </w:tcPr>
          <w:p w14:paraId="0B1E4CD5"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&gt;800</w:t>
            </w:r>
          </w:p>
        </w:tc>
      </w:tr>
      <w:tr w:rsidR="009C353B" w14:paraId="02DFB674" w14:textId="77777777">
        <w:trPr>
          <w:trHeight w:val="516"/>
        </w:trPr>
        <w:tc>
          <w:tcPr>
            <w:tcW w:w="1326" w:type="dxa"/>
            <w:vAlign w:val="center"/>
          </w:tcPr>
          <w:p w14:paraId="66273BF4"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分值</w:t>
            </w:r>
          </w:p>
        </w:tc>
        <w:tc>
          <w:tcPr>
            <w:tcW w:w="1326" w:type="dxa"/>
            <w:vAlign w:val="center"/>
          </w:tcPr>
          <w:p w14:paraId="0A33EF83"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0-20</w:t>
            </w:r>
          </w:p>
        </w:tc>
        <w:tc>
          <w:tcPr>
            <w:tcW w:w="1326" w:type="dxa"/>
            <w:vAlign w:val="center"/>
          </w:tcPr>
          <w:p w14:paraId="05782F56"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20-40</w:t>
            </w:r>
          </w:p>
        </w:tc>
        <w:tc>
          <w:tcPr>
            <w:tcW w:w="1326" w:type="dxa"/>
            <w:vAlign w:val="center"/>
          </w:tcPr>
          <w:p w14:paraId="6EBCB94D"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40-60</w:t>
            </w:r>
          </w:p>
        </w:tc>
        <w:tc>
          <w:tcPr>
            <w:tcW w:w="1326" w:type="dxa"/>
            <w:vAlign w:val="center"/>
          </w:tcPr>
          <w:p w14:paraId="591DAE9D"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60-70</w:t>
            </w:r>
          </w:p>
        </w:tc>
        <w:tc>
          <w:tcPr>
            <w:tcW w:w="1328" w:type="dxa"/>
            <w:vAlign w:val="center"/>
          </w:tcPr>
          <w:p w14:paraId="62C0AFC0"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70-80</w:t>
            </w:r>
          </w:p>
        </w:tc>
        <w:tc>
          <w:tcPr>
            <w:tcW w:w="1328" w:type="dxa"/>
            <w:vAlign w:val="center"/>
          </w:tcPr>
          <w:p w14:paraId="1523361D" w14:textId="77777777" w:rsidR="009C353B" w:rsidRDefault="00000000">
            <w:pPr>
              <w:adjustRightInd w:val="0"/>
              <w:snapToGrid w:val="0"/>
              <w:spacing w:line="240" w:lineRule="exact"/>
              <w:jc w:val="center"/>
              <w:rPr>
                <w:rFonts w:ascii="Times New Roman" w:hAnsi="Times New Roman"/>
                <w:sz w:val="21"/>
                <w:szCs w:val="21"/>
              </w:rPr>
            </w:pPr>
            <w:r>
              <w:rPr>
                <w:rFonts w:ascii="Times New Roman" w:hAnsi="Times New Roman"/>
                <w:sz w:val="21"/>
                <w:szCs w:val="21"/>
              </w:rPr>
              <w:t>&gt;80</w:t>
            </w:r>
          </w:p>
        </w:tc>
      </w:tr>
    </w:tbl>
    <w:p w14:paraId="5B67314B"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3</w:t>
      </w:r>
      <w:r>
        <w:rPr>
          <w:rFonts w:ascii="Times New Roman" w:hAnsi="Times New Roman"/>
          <w:szCs w:val="24"/>
        </w:rPr>
        <w:t>）权重确定</w:t>
      </w:r>
    </w:p>
    <w:p w14:paraId="20DAEA15"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水资源承载力的大小不仅决定于水资源的绝对数量，而且还决定于水资源的功效，因此在进行水资源承载指数分析时，必须对不同水资源给予重要性或功效值，即权重，该区域几乎为区外地表径流补充，生态需水全部由降雨过程补充，降雨量的重要性大于地表径流，因为确定地表径流的权重为</w:t>
      </w:r>
      <w:r>
        <w:rPr>
          <w:rFonts w:ascii="Times New Roman" w:hAnsi="Times New Roman"/>
          <w:szCs w:val="24"/>
        </w:rPr>
        <w:t>0.</w:t>
      </w:r>
      <w:r>
        <w:rPr>
          <w:rFonts w:ascii="Times New Roman" w:hAnsi="Times New Roman" w:hint="eastAsia"/>
          <w:szCs w:val="24"/>
        </w:rPr>
        <w:t>4</w:t>
      </w:r>
      <w:r>
        <w:rPr>
          <w:rFonts w:ascii="Times New Roman" w:hAnsi="Times New Roman"/>
          <w:szCs w:val="24"/>
        </w:rPr>
        <w:t>5</w:t>
      </w:r>
      <w:r>
        <w:rPr>
          <w:rFonts w:ascii="Times New Roman" w:hAnsi="Times New Roman"/>
          <w:szCs w:val="24"/>
        </w:rPr>
        <w:t>，降雨量的权重为</w:t>
      </w:r>
      <w:r>
        <w:rPr>
          <w:rFonts w:ascii="Times New Roman" w:hAnsi="Times New Roman"/>
          <w:szCs w:val="24"/>
        </w:rPr>
        <w:t>0.</w:t>
      </w:r>
      <w:r>
        <w:rPr>
          <w:rFonts w:ascii="Times New Roman" w:hAnsi="Times New Roman" w:hint="eastAsia"/>
          <w:szCs w:val="24"/>
        </w:rPr>
        <w:t>5</w:t>
      </w:r>
      <w:r>
        <w:rPr>
          <w:rFonts w:ascii="Times New Roman" w:hAnsi="Times New Roman"/>
          <w:szCs w:val="24"/>
        </w:rPr>
        <w:t>5</w:t>
      </w:r>
      <w:r>
        <w:rPr>
          <w:rFonts w:ascii="Times New Roman" w:hAnsi="Times New Roman"/>
          <w:szCs w:val="24"/>
        </w:rPr>
        <w:t>。</w:t>
      </w:r>
    </w:p>
    <w:p w14:paraId="0952FE53"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4</w:t>
      </w:r>
      <w:r>
        <w:rPr>
          <w:rFonts w:ascii="Times New Roman" w:hAnsi="Times New Roman"/>
          <w:szCs w:val="24"/>
        </w:rPr>
        <w:t>）水资源承载力指数</w:t>
      </w:r>
    </w:p>
    <w:p w14:paraId="4FF36FB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区域平均地表地表径流量为</w:t>
      </w:r>
      <w:r>
        <w:rPr>
          <w:rFonts w:ascii="Times New Roman" w:hAnsi="Times New Roman"/>
          <w:szCs w:val="24"/>
        </w:rPr>
        <w:t>1.98×10</w:t>
      </w:r>
      <w:r>
        <w:rPr>
          <w:rFonts w:ascii="Times New Roman" w:hAnsi="Times New Roman"/>
          <w:szCs w:val="24"/>
          <w:vertAlign w:val="superscript"/>
        </w:rPr>
        <w:t>4</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/km</w:t>
      </w:r>
      <w:r>
        <w:rPr>
          <w:rFonts w:ascii="Times New Roman" w:hAnsi="Times New Roman"/>
          <w:szCs w:val="24"/>
          <w:vertAlign w:val="superscript"/>
        </w:rPr>
        <w:t>2</w:t>
      </w:r>
      <w:r>
        <w:rPr>
          <w:rFonts w:ascii="Times New Roman" w:hAnsi="Times New Roman"/>
          <w:szCs w:val="24"/>
        </w:rPr>
        <w:t>，本次分析为其赋值为</w:t>
      </w:r>
      <w:r>
        <w:rPr>
          <w:rFonts w:ascii="Times New Roman" w:hAnsi="Times New Roman"/>
          <w:szCs w:val="24"/>
        </w:rPr>
        <w:t>39</w:t>
      </w:r>
      <w:r>
        <w:rPr>
          <w:rFonts w:ascii="Times New Roman" w:hAnsi="Times New Roman"/>
          <w:szCs w:val="24"/>
        </w:rPr>
        <w:t>，区域多年平均降雨量为</w:t>
      </w:r>
      <w:r>
        <w:rPr>
          <w:rFonts w:ascii="Times New Roman" w:hAnsi="Times New Roman"/>
          <w:szCs w:val="24"/>
        </w:rPr>
        <w:t>200.6mm</w:t>
      </w:r>
      <w:r>
        <w:rPr>
          <w:rFonts w:ascii="Times New Roman" w:hAnsi="Times New Roman"/>
          <w:szCs w:val="24"/>
        </w:rPr>
        <w:t>，为其赋值为</w:t>
      </w:r>
      <w:r>
        <w:rPr>
          <w:rFonts w:ascii="Times New Roman" w:hAnsi="Times New Roman"/>
          <w:szCs w:val="24"/>
        </w:rPr>
        <w:t>40</w:t>
      </w:r>
      <w:r>
        <w:rPr>
          <w:rFonts w:ascii="Times New Roman" w:hAnsi="Times New Roman"/>
          <w:szCs w:val="24"/>
        </w:rPr>
        <w:t>，加权平均后，该区域水资源承载力指数为</w:t>
      </w:r>
      <w:r>
        <w:rPr>
          <w:rFonts w:ascii="Times New Roman" w:hAnsi="Times New Roman"/>
          <w:szCs w:val="24"/>
        </w:rPr>
        <w:t>39.55</w:t>
      </w:r>
      <w:r>
        <w:rPr>
          <w:rFonts w:ascii="Times New Roman" w:hAnsi="Times New Roman"/>
          <w:szCs w:val="24"/>
        </w:rPr>
        <w:t>因此评价区水资源属于低承载水平。</w:t>
      </w:r>
    </w:p>
    <w:p w14:paraId="4910ECAF" w14:textId="77777777" w:rsidR="009C353B" w:rsidRDefault="00000000">
      <w:pPr>
        <w:keepNext/>
        <w:keepLines/>
        <w:spacing w:before="280" w:after="120" w:line="416" w:lineRule="exact"/>
        <w:outlineLvl w:val="3"/>
        <w:rPr>
          <w:rFonts w:ascii="Times New Roman" w:hAnsi="Times New Roman"/>
          <w:b/>
          <w:bCs/>
          <w:szCs w:val="28"/>
        </w:rPr>
      </w:pPr>
      <w:r>
        <w:rPr>
          <w:rFonts w:ascii="Times New Roman" w:hAnsi="Times New Roman"/>
          <w:b/>
          <w:bCs/>
          <w:szCs w:val="28"/>
        </w:rPr>
        <w:t>7.2.2.2</w:t>
      </w:r>
      <w:r>
        <w:rPr>
          <w:rFonts w:ascii="Times New Roman" w:hAnsi="Times New Roman" w:hint="eastAsia"/>
          <w:b/>
          <w:bCs/>
          <w:szCs w:val="28"/>
        </w:rPr>
        <w:t xml:space="preserve"> </w:t>
      </w:r>
      <w:r>
        <w:rPr>
          <w:rFonts w:ascii="Times New Roman" w:hAnsi="Times New Roman"/>
          <w:b/>
          <w:bCs/>
          <w:szCs w:val="28"/>
        </w:rPr>
        <w:t>土地资源承载力</w:t>
      </w:r>
    </w:p>
    <w:p w14:paraId="2954DA6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土地资源承载力是指土地的生产潜力大小，因此土地质量好，承载能力就高。所以通过衡量土地质量的高低来确定土地承载力大小。将土地按其生产潜力分成不同等级，</w:t>
      </w:r>
      <w:r>
        <w:rPr>
          <w:rFonts w:ascii="Times New Roman" w:hAnsi="Times New Roman" w:hint="eastAsia"/>
          <w:szCs w:val="24"/>
        </w:rPr>
        <w:t>给予相应的分值，</w:t>
      </w:r>
      <w:r>
        <w:rPr>
          <w:rFonts w:ascii="Times New Roman" w:hAnsi="Times New Roman"/>
          <w:szCs w:val="24"/>
        </w:rPr>
        <w:t>具体见表</w:t>
      </w:r>
      <w:r>
        <w:rPr>
          <w:rFonts w:ascii="Times New Roman" w:hAnsi="Times New Roman"/>
          <w:szCs w:val="24"/>
        </w:rPr>
        <w:t>7.2-5</w:t>
      </w:r>
      <w:r>
        <w:rPr>
          <w:rFonts w:ascii="Times New Roman" w:hAnsi="Times New Roman" w:hint="eastAsia"/>
          <w:szCs w:val="24"/>
        </w:rPr>
        <w:t>。评价区土地等级划分以八大类土地利用分类为参照，并结合区域具体情况作适当调整，</w:t>
      </w:r>
      <w:r>
        <w:rPr>
          <w:rFonts w:ascii="Times New Roman" w:hAnsi="Times New Roman"/>
          <w:szCs w:val="24"/>
        </w:rPr>
        <w:t>权重通过该</w:t>
      </w:r>
      <w:r>
        <w:rPr>
          <w:rFonts w:ascii="Times New Roman" w:hAnsi="Times New Roman" w:hint="eastAsia"/>
          <w:szCs w:val="24"/>
        </w:rPr>
        <w:t>等</w:t>
      </w:r>
      <w:r>
        <w:rPr>
          <w:rFonts w:ascii="Times New Roman" w:hAnsi="Times New Roman"/>
          <w:szCs w:val="24"/>
        </w:rPr>
        <w:t>级土地占区域面积</w:t>
      </w:r>
      <w:r>
        <w:rPr>
          <w:rFonts w:ascii="Times New Roman" w:hAnsi="Times New Roman" w:hint="eastAsia"/>
          <w:szCs w:val="24"/>
        </w:rPr>
        <w:t>的</w:t>
      </w:r>
      <w:r>
        <w:rPr>
          <w:rFonts w:ascii="Times New Roman" w:hAnsi="Times New Roman"/>
          <w:szCs w:val="24"/>
        </w:rPr>
        <w:t>比例进行确定</w:t>
      </w:r>
      <w:r>
        <w:rPr>
          <w:rFonts w:ascii="Times New Roman" w:hAnsi="Times New Roman" w:hint="eastAsia"/>
          <w:szCs w:val="24"/>
        </w:rPr>
        <w:t>。矿区所在区域以草地为主，但植被稀疏，生产力水平较低，土地等级划分结果见表</w:t>
      </w:r>
      <w:r>
        <w:rPr>
          <w:rFonts w:ascii="Times New Roman" w:hAnsi="Times New Roman" w:hint="eastAsia"/>
          <w:szCs w:val="24"/>
        </w:rPr>
        <w:t>7.2-</w:t>
      </w:r>
      <w:r>
        <w:rPr>
          <w:rFonts w:ascii="Times New Roman" w:hAnsi="Times New Roman"/>
          <w:szCs w:val="24"/>
        </w:rPr>
        <w:t>6</w:t>
      </w:r>
      <w:r>
        <w:rPr>
          <w:rFonts w:ascii="Times New Roman" w:hAnsi="Times New Roman"/>
          <w:szCs w:val="24"/>
        </w:rPr>
        <w:t>。</w:t>
      </w:r>
    </w:p>
    <w:p w14:paraId="374C742B" w14:textId="77777777" w:rsidR="009C353B" w:rsidRDefault="00000000">
      <w:pPr>
        <w:spacing w:beforeLines="100" w:before="240"/>
        <w:jc w:val="center"/>
        <w:rPr>
          <w:rFonts w:ascii="Times New Roman" w:hAnsi="Times New Roman"/>
          <w:b/>
          <w:szCs w:val="24"/>
        </w:rPr>
      </w:pPr>
      <w:r>
        <w:rPr>
          <w:rFonts w:ascii="Times New Roman" w:hAnsi="Times New Roman"/>
          <w:b/>
          <w:szCs w:val="24"/>
        </w:rPr>
        <w:t>不同等级土地分级表</w:t>
      </w:r>
    </w:p>
    <w:p w14:paraId="0B117708" w14:textId="77777777" w:rsidR="009C353B" w:rsidRDefault="00000000">
      <w:pPr>
        <w:spacing w:line="240" w:lineRule="exact"/>
        <w:jc w:val="left"/>
        <w:outlineLvl w:val="4"/>
        <w:rPr>
          <w:rFonts w:ascii="Times New Roman" w:hAnsi="Times New Roman"/>
          <w:szCs w:val="24"/>
        </w:rPr>
      </w:pPr>
      <w:r>
        <w:rPr>
          <w:rFonts w:ascii="Times New Roman" w:hAnsi="Times New Roman"/>
          <w:szCs w:val="24"/>
        </w:rPr>
        <w:t>表</w:t>
      </w:r>
      <w:r>
        <w:rPr>
          <w:rFonts w:ascii="Times New Roman" w:hAnsi="Times New Roman"/>
          <w:szCs w:val="24"/>
        </w:rPr>
        <w:t>7.2-5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1031"/>
        <w:gridCol w:w="1031"/>
        <w:gridCol w:w="1031"/>
        <w:gridCol w:w="1033"/>
        <w:gridCol w:w="1033"/>
        <w:gridCol w:w="1033"/>
        <w:gridCol w:w="1033"/>
        <w:gridCol w:w="1033"/>
      </w:tblGrid>
      <w:tr w:rsidR="009C353B" w14:paraId="72E921DA" w14:textId="77777777">
        <w:trPr>
          <w:trHeight w:val="397"/>
        </w:trPr>
        <w:tc>
          <w:tcPr>
            <w:tcW w:w="1028" w:type="dxa"/>
            <w:vAlign w:val="center"/>
          </w:tcPr>
          <w:p w14:paraId="3810267A"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等级</w:t>
            </w:r>
          </w:p>
        </w:tc>
        <w:tc>
          <w:tcPr>
            <w:tcW w:w="1031" w:type="dxa"/>
            <w:vAlign w:val="center"/>
          </w:tcPr>
          <w:p w14:paraId="5EA0F57A"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一级</w:t>
            </w:r>
          </w:p>
        </w:tc>
        <w:tc>
          <w:tcPr>
            <w:tcW w:w="1031" w:type="dxa"/>
            <w:vAlign w:val="center"/>
          </w:tcPr>
          <w:p w14:paraId="5FF63D62"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二级</w:t>
            </w:r>
          </w:p>
        </w:tc>
        <w:tc>
          <w:tcPr>
            <w:tcW w:w="1031" w:type="dxa"/>
            <w:vAlign w:val="center"/>
          </w:tcPr>
          <w:p w14:paraId="049DC04E"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三级</w:t>
            </w:r>
          </w:p>
        </w:tc>
        <w:tc>
          <w:tcPr>
            <w:tcW w:w="1033" w:type="dxa"/>
            <w:vAlign w:val="center"/>
          </w:tcPr>
          <w:p w14:paraId="32E732CC"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四级</w:t>
            </w:r>
          </w:p>
        </w:tc>
        <w:tc>
          <w:tcPr>
            <w:tcW w:w="1033" w:type="dxa"/>
            <w:vAlign w:val="center"/>
          </w:tcPr>
          <w:p w14:paraId="6A949A5E"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五级</w:t>
            </w:r>
          </w:p>
        </w:tc>
        <w:tc>
          <w:tcPr>
            <w:tcW w:w="1033" w:type="dxa"/>
            <w:vAlign w:val="center"/>
          </w:tcPr>
          <w:p w14:paraId="61F2F551"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六级</w:t>
            </w:r>
          </w:p>
        </w:tc>
        <w:tc>
          <w:tcPr>
            <w:tcW w:w="1033" w:type="dxa"/>
            <w:vAlign w:val="center"/>
          </w:tcPr>
          <w:p w14:paraId="40BA1737"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七级</w:t>
            </w:r>
          </w:p>
        </w:tc>
        <w:tc>
          <w:tcPr>
            <w:tcW w:w="1033" w:type="dxa"/>
            <w:vAlign w:val="center"/>
          </w:tcPr>
          <w:p w14:paraId="3E197D4F"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八级</w:t>
            </w:r>
          </w:p>
        </w:tc>
      </w:tr>
      <w:tr w:rsidR="009C353B" w14:paraId="574D77DC" w14:textId="77777777">
        <w:trPr>
          <w:trHeight w:val="397"/>
        </w:trPr>
        <w:tc>
          <w:tcPr>
            <w:tcW w:w="1028" w:type="dxa"/>
            <w:vAlign w:val="center"/>
          </w:tcPr>
          <w:p w14:paraId="74C4A672"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分值</w:t>
            </w:r>
          </w:p>
        </w:tc>
        <w:tc>
          <w:tcPr>
            <w:tcW w:w="1031" w:type="dxa"/>
            <w:vAlign w:val="center"/>
          </w:tcPr>
          <w:p w14:paraId="3732662A"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100</w:t>
            </w:r>
          </w:p>
        </w:tc>
        <w:tc>
          <w:tcPr>
            <w:tcW w:w="1031" w:type="dxa"/>
            <w:vAlign w:val="center"/>
          </w:tcPr>
          <w:p w14:paraId="238631C0"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90</w:t>
            </w:r>
          </w:p>
        </w:tc>
        <w:tc>
          <w:tcPr>
            <w:tcW w:w="1031" w:type="dxa"/>
            <w:vAlign w:val="center"/>
          </w:tcPr>
          <w:p w14:paraId="6E2F5A14"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80</w:t>
            </w:r>
          </w:p>
        </w:tc>
        <w:tc>
          <w:tcPr>
            <w:tcW w:w="1033" w:type="dxa"/>
            <w:vAlign w:val="center"/>
          </w:tcPr>
          <w:p w14:paraId="299FAE79"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70</w:t>
            </w:r>
          </w:p>
        </w:tc>
        <w:tc>
          <w:tcPr>
            <w:tcW w:w="1033" w:type="dxa"/>
            <w:vAlign w:val="center"/>
          </w:tcPr>
          <w:p w14:paraId="6DF51F83"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60</w:t>
            </w:r>
          </w:p>
        </w:tc>
        <w:tc>
          <w:tcPr>
            <w:tcW w:w="1033" w:type="dxa"/>
            <w:vAlign w:val="center"/>
          </w:tcPr>
          <w:p w14:paraId="6FC6D056"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50</w:t>
            </w:r>
          </w:p>
        </w:tc>
        <w:tc>
          <w:tcPr>
            <w:tcW w:w="1033" w:type="dxa"/>
            <w:vAlign w:val="center"/>
          </w:tcPr>
          <w:p w14:paraId="393354E0"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40</w:t>
            </w:r>
          </w:p>
        </w:tc>
        <w:tc>
          <w:tcPr>
            <w:tcW w:w="1033" w:type="dxa"/>
            <w:vAlign w:val="center"/>
          </w:tcPr>
          <w:p w14:paraId="014BE2EE" w14:textId="77777777" w:rsidR="009C353B" w:rsidRDefault="00000000">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&lt;30</w:t>
            </w:r>
          </w:p>
        </w:tc>
      </w:tr>
    </w:tbl>
    <w:p w14:paraId="51FC23FD" w14:textId="77777777" w:rsidR="009C353B" w:rsidRDefault="00000000">
      <w:pPr>
        <w:spacing w:beforeLines="100" w:before="240"/>
        <w:jc w:val="center"/>
        <w:rPr>
          <w:rFonts w:ascii="Times New Roman" w:hAnsi="Times New Roman"/>
          <w:b/>
          <w:szCs w:val="24"/>
        </w:rPr>
      </w:pPr>
      <w:r>
        <w:rPr>
          <w:rFonts w:ascii="Times New Roman" w:hAnsi="Times New Roman" w:hint="eastAsia"/>
          <w:b/>
          <w:szCs w:val="24"/>
        </w:rPr>
        <w:t>评价区土地等级划分</w:t>
      </w:r>
      <w:r>
        <w:rPr>
          <w:rFonts w:ascii="Times New Roman" w:hAnsi="Times New Roman"/>
          <w:b/>
          <w:szCs w:val="24"/>
        </w:rPr>
        <w:t>表</w:t>
      </w:r>
    </w:p>
    <w:p w14:paraId="50FD89E2" w14:textId="77777777" w:rsidR="009C353B" w:rsidRDefault="00000000">
      <w:pPr>
        <w:spacing w:line="240" w:lineRule="exact"/>
        <w:jc w:val="left"/>
        <w:outlineLvl w:val="4"/>
        <w:rPr>
          <w:rFonts w:ascii="Times New Roman" w:hAnsi="Times New Roman"/>
          <w:szCs w:val="24"/>
        </w:rPr>
      </w:pPr>
      <w:r>
        <w:rPr>
          <w:rFonts w:ascii="Times New Roman" w:hAnsi="Times New Roman"/>
          <w:szCs w:val="24"/>
        </w:rPr>
        <w:t>表</w:t>
      </w:r>
      <w:r>
        <w:rPr>
          <w:rFonts w:ascii="Times New Roman" w:hAnsi="Times New Roman" w:hint="eastAsia"/>
          <w:szCs w:val="24"/>
        </w:rPr>
        <w:t>7</w:t>
      </w:r>
      <w:r>
        <w:rPr>
          <w:rFonts w:ascii="Times New Roman" w:hAnsi="Times New Roman"/>
          <w:szCs w:val="24"/>
        </w:rPr>
        <w:t>.2-</w:t>
      </w:r>
      <w:r>
        <w:rPr>
          <w:rFonts w:ascii="Times New Roman" w:hAnsi="Times New Roman" w:hint="eastAsia"/>
          <w:szCs w:val="24"/>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7"/>
        <w:gridCol w:w="3096"/>
        <w:gridCol w:w="3094"/>
      </w:tblGrid>
      <w:tr w:rsidR="009C353B" w14:paraId="2E92B5FD" w14:textId="77777777">
        <w:trPr>
          <w:trHeight w:val="285"/>
        </w:trPr>
        <w:tc>
          <w:tcPr>
            <w:tcW w:w="1667" w:type="pct"/>
            <w:shd w:val="clear" w:color="auto" w:fill="auto"/>
            <w:noWrap/>
            <w:vAlign w:val="center"/>
          </w:tcPr>
          <w:p w14:paraId="299F8F4D"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土地等级</w:t>
            </w:r>
          </w:p>
        </w:tc>
        <w:tc>
          <w:tcPr>
            <w:tcW w:w="1667" w:type="pct"/>
            <w:shd w:val="clear" w:color="auto" w:fill="auto"/>
            <w:noWrap/>
            <w:vAlign w:val="center"/>
          </w:tcPr>
          <w:p w14:paraId="69493B89"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分值</w:t>
            </w:r>
          </w:p>
        </w:tc>
        <w:tc>
          <w:tcPr>
            <w:tcW w:w="1667" w:type="pct"/>
            <w:shd w:val="clear" w:color="auto" w:fill="auto"/>
            <w:noWrap/>
            <w:vAlign w:val="center"/>
          </w:tcPr>
          <w:p w14:paraId="397DEA4F"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权重</w:t>
            </w:r>
          </w:p>
        </w:tc>
      </w:tr>
      <w:tr w:rsidR="009C353B" w14:paraId="63144A7C" w14:textId="77777777">
        <w:trPr>
          <w:trHeight w:val="285"/>
        </w:trPr>
        <w:tc>
          <w:tcPr>
            <w:tcW w:w="1667" w:type="pct"/>
            <w:shd w:val="clear" w:color="auto" w:fill="auto"/>
            <w:noWrap/>
            <w:vAlign w:val="center"/>
          </w:tcPr>
          <w:p w14:paraId="4D5C63DB"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一级</w:t>
            </w:r>
          </w:p>
        </w:tc>
        <w:tc>
          <w:tcPr>
            <w:tcW w:w="1667" w:type="pct"/>
            <w:shd w:val="clear" w:color="auto" w:fill="auto"/>
            <w:noWrap/>
            <w:vAlign w:val="center"/>
          </w:tcPr>
          <w:p w14:paraId="6C6FA432"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100</w:t>
            </w:r>
          </w:p>
        </w:tc>
        <w:tc>
          <w:tcPr>
            <w:tcW w:w="1667" w:type="pct"/>
            <w:shd w:val="clear" w:color="auto" w:fill="auto"/>
            <w:noWrap/>
            <w:vAlign w:val="center"/>
          </w:tcPr>
          <w:p w14:paraId="11FAF1A0"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0.00</w:t>
            </w:r>
          </w:p>
        </w:tc>
      </w:tr>
      <w:tr w:rsidR="009C353B" w14:paraId="34DE76A7" w14:textId="77777777">
        <w:trPr>
          <w:trHeight w:val="285"/>
        </w:trPr>
        <w:tc>
          <w:tcPr>
            <w:tcW w:w="1667" w:type="pct"/>
            <w:shd w:val="clear" w:color="auto" w:fill="auto"/>
            <w:noWrap/>
            <w:vAlign w:val="center"/>
          </w:tcPr>
          <w:p w14:paraId="1C7A5C34"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二级</w:t>
            </w:r>
          </w:p>
        </w:tc>
        <w:tc>
          <w:tcPr>
            <w:tcW w:w="1667" w:type="pct"/>
            <w:shd w:val="clear" w:color="auto" w:fill="auto"/>
            <w:noWrap/>
            <w:vAlign w:val="center"/>
          </w:tcPr>
          <w:p w14:paraId="1D2FF29C"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90</w:t>
            </w:r>
          </w:p>
        </w:tc>
        <w:tc>
          <w:tcPr>
            <w:tcW w:w="1667" w:type="pct"/>
            <w:shd w:val="clear" w:color="auto" w:fill="auto"/>
            <w:noWrap/>
            <w:vAlign w:val="center"/>
          </w:tcPr>
          <w:p w14:paraId="537B1B98"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0.00</w:t>
            </w:r>
          </w:p>
        </w:tc>
      </w:tr>
      <w:tr w:rsidR="009C353B" w14:paraId="01ADDC6B" w14:textId="77777777">
        <w:trPr>
          <w:trHeight w:val="285"/>
        </w:trPr>
        <w:tc>
          <w:tcPr>
            <w:tcW w:w="1667" w:type="pct"/>
            <w:shd w:val="clear" w:color="auto" w:fill="auto"/>
            <w:noWrap/>
            <w:vAlign w:val="center"/>
          </w:tcPr>
          <w:p w14:paraId="557AB5BD"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三级</w:t>
            </w:r>
          </w:p>
        </w:tc>
        <w:tc>
          <w:tcPr>
            <w:tcW w:w="1667" w:type="pct"/>
            <w:shd w:val="clear" w:color="auto" w:fill="auto"/>
            <w:noWrap/>
            <w:vAlign w:val="center"/>
          </w:tcPr>
          <w:p w14:paraId="5F9B0207"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80</w:t>
            </w:r>
          </w:p>
        </w:tc>
        <w:tc>
          <w:tcPr>
            <w:tcW w:w="1667" w:type="pct"/>
            <w:shd w:val="clear" w:color="auto" w:fill="auto"/>
            <w:noWrap/>
            <w:vAlign w:val="center"/>
          </w:tcPr>
          <w:p w14:paraId="58A9B5BC"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11.38</w:t>
            </w:r>
          </w:p>
        </w:tc>
      </w:tr>
      <w:tr w:rsidR="009C353B" w14:paraId="06140062" w14:textId="77777777">
        <w:trPr>
          <w:trHeight w:val="285"/>
        </w:trPr>
        <w:tc>
          <w:tcPr>
            <w:tcW w:w="1667" w:type="pct"/>
            <w:shd w:val="clear" w:color="auto" w:fill="auto"/>
            <w:noWrap/>
            <w:vAlign w:val="center"/>
          </w:tcPr>
          <w:p w14:paraId="05EDB6A9"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四级</w:t>
            </w:r>
          </w:p>
        </w:tc>
        <w:tc>
          <w:tcPr>
            <w:tcW w:w="1667" w:type="pct"/>
            <w:shd w:val="clear" w:color="auto" w:fill="auto"/>
            <w:noWrap/>
            <w:vAlign w:val="center"/>
          </w:tcPr>
          <w:p w14:paraId="0B85374F"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70</w:t>
            </w:r>
          </w:p>
        </w:tc>
        <w:tc>
          <w:tcPr>
            <w:tcW w:w="1667" w:type="pct"/>
            <w:shd w:val="clear" w:color="auto" w:fill="auto"/>
            <w:noWrap/>
            <w:vAlign w:val="center"/>
          </w:tcPr>
          <w:p w14:paraId="10A787DE"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0.00</w:t>
            </w:r>
          </w:p>
        </w:tc>
      </w:tr>
      <w:tr w:rsidR="009C353B" w14:paraId="159375F6" w14:textId="77777777">
        <w:trPr>
          <w:trHeight w:val="285"/>
        </w:trPr>
        <w:tc>
          <w:tcPr>
            <w:tcW w:w="1667" w:type="pct"/>
            <w:shd w:val="clear" w:color="auto" w:fill="auto"/>
            <w:noWrap/>
            <w:vAlign w:val="center"/>
          </w:tcPr>
          <w:p w14:paraId="485F6D0B"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五级</w:t>
            </w:r>
          </w:p>
        </w:tc>
        <w:tc>
          <w:tcPr>
            <w:tcW w:w="1667" w:type="pct"/>
            <w:shd w:val="clear" w:color="auto" w:fill="auto"/>
            <w:noWrap/>
            <w:vAlign w:val="center"/>
          </w:tcPr>
          <w:p w14:paraId="0FE716BE"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60</w:t>
            </w:r>
          </w:p>
        </w:tc>
        <w:tc>
          <w:tcPr>
            <w:tcW w:w="1667" w:type="pct"/>
            <w:shd w:val="clear" w:color="auto" w:fill="auto"/>
            <w:noWrap/>
            <w:vAlign w:val="center"/>
          </w:tcPr>
          <w:p w14:paraId="2F601F09"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76.38</w:t>
            </w:r>
          </w:p>
        </w:tc>
      </w:tr>
      <w:tr w:rsidR="009C353B" w14:paraId="767B50F7" w14:textId="77777777">
        <w:trPr>
          <w:trHeight w:val="285"/>
        </w:trPr>
        <w:tc>
          <w:tcPr>
            <w:tcW w:w="1667" w:type="pct"/>
            <w:shd w:val="clear" w:color="auto" w:fill="auto"/>
            <w:noWrap/>
            <w:vAlign w:val="center"/>
          </w:tcPr>
          <w:p w14:paraId="5521221A"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六级</w:t>
            </w:r>
          </w:p>
        </w:tc>
        <w:tc>
          <w:tcPr>
            <w:tcW w:w="1667" w:type="pct"/>
            <w:shd w:val="clear" w:color="auto" w:fill="auto"/>
            <w:noWrap/>
            <w:vAlign w:val="center"/>
          </w:tcPr>
          <w:p w14:paraId="73262113"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50</w:t>
            </w:r>
          </w:p>
        </w:tc>
        <w:tc>
          <w:tcPr>
            <w:tcW w:w="1667" w:type="pct"/>
            <w:shd w:val="clear" w:color="auto" w:fill="auto"/>
            <w:noWrap/>
            <w:vAlign w:val="center"/>
          </w:tcPr>
          <w:p w14:paraId="18CFC9BF"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2.72</w:t>
            </w:r>
          </w:p>
        </w:tc>
      </w:tr>
      <w:tr w:rsidR="009C353B" w14:paraId="184342D5" w14:textId="77777777">
        <w:trPr>
          <w:trHeight w:val="285"/>
        </w:trPr>
        <w:tc>
          <w:tcPr>
            <w:tcW w:w="1667" w:type="pct"/>
            <w:shd w:val="clear" w:color="auto" w:fill="auto"/>
            <w:noWrap/>
            <w:vAlign w:val="center"/>
          </w:tcPr>
          <w:p w14:paraId="73DE16DA"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七级</w:t>
            </w:r>
          </w:p>
        </w:tc>
        <w:tc>
          <w:tcPr>
            <w:tcW w:w="1667" w:type="pct"/>
            <w:shd w:val="clear" w:color="auto" w:fill="auto"/>
            <w:noWrap/>
            <w:vAlign w:val="center"/>
          </w:tcPr>
          <w:p w14:paraId="2A1FA49B"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40</w:t>
            </w:r>
          </w:p>
        </w:tc>
        <w:tc>
          <w:tcPr>
            <w:tcW w:w="1667" w:type="pct"/>
            <w:shd w:val="clear" w:color="auto" w:fill="auto"/>
            <w:noWrap/>
            <w:vAlign w:val="center"/>
          </w:tcPr>
          <w:p w14:paraId="1AFA8815"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2.93</w:t>
            </w:r>
          </w:p>
        </w:tc>
      </w:tr>
      <w:tr w:rsidR="009C353B" w14:paraId="4FC1AC3A" w14:textId="77777777">
        <w:trPr>
          <w:trHeight w:val="285"/>
        </w:trPr>
        <w:tc>
          <w:tcPr>
            <w:tcW w:w="1667" w:type="pct"/>
            <w:shd w:val="clear" w:color="auto" w:fill="auto"/>
            <w:noWrap/>
            <w:vAlign w:val="center"/>
          </w:tcPr>
          <w:p w14:paraId="67679781"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八级</w:t>
            </w:r>
          </w:p>
        </w:tc>
        <w:tc>
          <w:tcPr>
            <w:tcW w:w="1667" w:type="pct"/>
            <w:shd w:val="clear" w:color="auto" w:fill="auto"/>
            <w:noWrap/>
            <w:vAlign w:val="center"/>
          </w:tcPr>
          <w:p w14:paraId="0C2C1D90"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&lt;30</w:t>
            </w:r>
          </w:p>
        </w:tc>
        <w:tc>
          <w:tcPr>
            <w:tcW w:w="1667" w:type="pct"/>
            <w:shd w:val="clear" w:color="auto" w:fill="auto"/>
            <w:noWrap/>
            <w:vAlign w:val="center"/>
          </w:tcPr>
          <w:p w14:paraId="1376CDCB" w14:textId="77777777" w:rsidR="009C353B" w:rsidRDefault="00000000">
            <w:pPr>
              <w:spacing w:line="360" w:lineRule="exact"/>
              <w:jc w:val="center"/>
              <w:rPr>
                <w:rFonts w:ascii="Times New Roman" w:hAnsi="Times New Roman"/>
                <w:sz w:val="21"/>
                <w:szCs w:val="21"/>
              </w:rPr>
            </w:pPr>
            <w:r>
              <w:rPr>
                <w:rFonts w:ascii="Times New Roman" w:hAnsi="Times New Roman"/>
                <w:sz w:val="21"/>
                <w:szCs w:val="21"/>
              </w:rPr>
              <w:t>6.59</w:t>
            </w:r>
          </w:p>
        </w:tc>
      </w:tr>
    </w:tbl>
    <w:p w14:paraId="53F911D9"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经计算评价区的土地资源承载力指数为</w:t>
      </w:r>
      <w:r>
        <w:rPr>
          <w:rFonts w:ascii="Times New Roman" w:hAnsi="Times New Roman" w:hint="eastAsia"/>
          <w:szCs w:val="24"/>
        </w:rPr>
        <w:t>58.12</w:t>
      </w:r>
      <w:r>
        <w:rPr>
          <w:rFonts w:ascii="Times New Roman" w:hAnsi="Times New Roman" w:hint="eastAsia"/>
          <w:szCs w:val="24"/>
        </w:rPr>
        <w:t>，属于中等承载水平。</w:t>
      </w:r>
    </w:p>
    <w:p w14:paraId="152E9770"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该区域属于水资源低承载水平、土地资源中等承载水平，</w:t>
      </w:r>
      <w:r>
        <w:rPr>
          <w:rFonts w:ascii="Times New Roman" w:hAnsi="Times New Roman"/>
          <w:szCs w:val="24"/>
        </w:rPr>
        <w:t>水是制约该区域生态系统的关键因素，</w:t>
      </w:r>
      <w:r>
        <w:rPr>
          <w:rFonts w:ascii="Times New Roman" w:hAnsi="Times New Roman" w:hint="eastAsia"/>
          <w:szCs w:val="24"/>
        </w:rPr>
        <w:t>按照最不利因素考虑，确定该区域总体资源承载能力属于低承载水平。</w:t>
      </w:r>
      <w:r>
        <w:rPr>
          <w:rFonts w:ascii="Times New Roman" w:hAnsi="Times New Roman" w:hint="eastAsia"/>
          <w:szCs w:val="24"/>
        </w:rPr>
        <w:t xml:space="preserve"> </w:t>
      </w:r>
    </w:p>
    <w:p w14:paraId="377462DA" w14:textId="77777777" w:rsidR="009C353B" w:rsidRDefault="00000000">
      <w:pPr>
        <w:keepNext/>
        <w:keepLines/>
        <w:spacing w:before="360" w:after="120" w:line="416" w:lineRule="exact"/>
        <w:outlineLvl w:val="2"/>
        <w:rPr>
          <w:rFonts w:ascii="Times New Roman" w:hAnsi="Times New Roman"/>
          <w:b/>
          <w:bCs/>
          <w:szCs w:val="32"/>
        </w:rPr>
      </w:pPr>
      <w:bookmarkStart w:id="290" w:name="_Toc408312753"/>
      <w:r>
        <w:rPr>
          <w:rFonts w:ascii="Times New Roman" w:hAnsi="Times New Roman"/>
          <w:b/>
          <w:bCs/>
          <w:szCs w:val="32"/>
        </w:rPr>
        <w:t>7.2.3</w:t>
      </w:r>
      <w:r>
        <w:rPr>
          <w:rFonts w:ascii="Times New Roman" w:hAnsi="Times New Roman" w:hint="eastAsia"/>
          <w:b/>
          <w:bCs/>
          <w:szCs w:val="32"/>
        </w:rPr>
        <w:t xml:space="preserve"> </w:t>
      </w:r>
      <w:r>
        <w:rPr>
          <w:rFonts w:ascii="Times New Roman" w:hAnsi="Times New Roman"/>
          <w:b/>
          <w:bCs/>
          <w:szCs w:val="32"/>
        </w:rPr>
        <w:t>承载压力度评价</w:t>
      </w:r>
      <w:bookmarkEnd w:id="290"/>
    </w:p>
    <w:p w14:paraId="070123C2"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承载压力度评价是对生态系统现有承载状况的直接反映。气候变化及人类活动给自然生态系统带来的风险和危害日趋增大，生态系统压力分析和评价是适应和减缓人为干扰的关键和基础。</w:t>
      </w:r>
    </w:p>
    <w:p w14:paraId="51C585CB"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）水资源压力度</w:t>
      </w:r>
    </w:p>
    <w:p w14:paraId="21AA9F0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水资源承载指数客观反映了一个区域的水资源相对丰富程度与承载水平，但并不能反映出该区域的水资源可供给情况，因为一个区域的水资源能否满足需要除取决于水资源的拥有量外，还取决于区域对水资源的需求压力。</w:t>
      </w:r>
    </w:p>
    <w:p w14:paraId="29A49B8D"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宁夏当地地表水资源量</w:t>
      </w:r>
      <w:r>
        <w:rPr>
          <w:rFonts w:ascii="Times New Roman" w:hAnsi="Times New Roman" w:hint="eastAsia"/>
          <w:szCs w:val="24"/>
        </w:rPr>
        <w:t>9.49</w:t>
      </w:r>
      <w:r>
        <w:rPr>
          <w:rFonts w:ascii="Times New Roman" w:hAnsi="Times New Roman" w:hint="eastAsia"/>
          <w:szCs w:val="24"/>
        </w:rPr>
        <w:t>亿</w:t>
      </w:r>
      <w:r>
        <w:rPr>
          <w:rFonts w:ascii="Times New Roman" w:hAnsi="Times New Roman" w:hint="eastAsia"/>
          <w:szCs w:val="24"/>
        </w:rPr>
        <w:t>m</w:t>
      </w:r>
      <w:r>
        <w:rPr>
          <w:rFonts w:ascii="Times New Roman" w:hAnsi="Times New Roman" w:hint="eastAsia"/>
          <w:szCs w:val="24"/>
          <w:vertAlign w:val="superscript"/>
        </w:rPr>
        <w:t>3</w:t>
      </w:r>
      <w:r>
        <w:rPr>
          <w:rFonts w:ascii="Times New Roman" w:hAnsi="Times New Roman" w:hint="eastAsia"/>
          <w:szCs w:val="24"/>
        </w:rPr>
        <w:t>，地下水资源量</w:t>
      </w:r>
      <w:r>
        <w:rPr>
          <w:rFonts w:ascii="Times New Roman" w:hAnsi="Times New Roman" w:hint="eastAsia"/>
          <w:szCs w:val="24"/>
        </w:rPr>
        <w:t>23.52</w:t>
      </w:r>
      <w:r>
        <w:rPr>
          <w:rFonts w:ascii="Times New Roman" w:hAnsi="Times New Roman" w:hint="eastAsia"/>
          <w:szCs w:val="24"/>
        </w:rPr>
        <w:t>亿</w:t>
      </w:r>
      <w:r>
        <w:rPr>
          <w:rFonts w:ascii="Times New Roman" w:hAnsi="Times New Roman" w:hint="eastAsia"/>
          <w:szCs w:val="24"/>
        </w:rPr>
        <w:t>m</w:t>
      </w:r>
      <w:r>
        <w:rPr>
          <w:rFonts w:ascii="Times New Roman" w:hAnsi="Times New Roman" w:hint="eastAsia"/>
          <w:szCs w:val="24"/>
          <w:vertAlign w:val="superscript"/>
        </w:rPr>
        <w:t>3</w:t>
      </w:r>
      <w:r>
        <w:rPr>
          <w:rFonts w:ascii="Times New Roman" w:hAnsi="Times New Roman" w:hint="eastAsia"/>
          <w:szCs w:val="24"/>
        </w:rPr>
        <w:t>，地下水可开采量</w:t>
      </w:r>
      <w:r>
        <w:rPr>
          <w:rFonts w:ascii="Times New Roman" w:hAnsi="Times New Roman" w:hint="eastAsia"/>
          <w:szCs w:val="24"/>
        </w:rPr>
        <w:t>11.23</w:t>
      </w:r>
      <w:r>
        <w:rPr>
          <w:rFonts w:ascii="Times New Roman" w:hAnsi="Times New Roman" w:hint="eastAsia"/>
          <w:szCs w:val="24"/>
        </w:rPr>
        <w:t>亿</w:t>
      </w:r>
      <w:r>
        <w:rPr>
          <w:rFonts w:ascii="Times New Roman" w:hAnsi="Times New Roman" w:hint="eastAsia"/>
          <w:szCs w:val="24"/>
        </w:rPr>
        <w:t>m</w:t>
      </w:r>
      <w:r>
        <w:rPr>
          <w:rFonts w:ascii="Times New Roman" w:hAnsi="Times New Roman" w:hint="eastAsia"/>
          <w:szCs w:val="24"/>
          <w:vertAlign w:val="superscript"/>
        </w:rPr>
        <w:t>3</w:t>
      </w:r>
      <w:r>
        <w:rPr>
          <w:rFonts w:ascii="Times New Roman" w:hAnsi="Times New Roman" w:hint="eastAsia"/>
          <w:szCs w:val="24"/>
        </w:rPr>
        <w:t>。目前开发利用当地地表水资源</w:t>
      </w:r>
      <w:r>
        <w:rPr>
          <w:rFonts w:ascii="Times New Roman" w:hAnsi="Times New Roman" w:hint="eastAsia"/>
          <w:szCs w:val="24"/>
        </w:rPr>
        <w:t>0.99</w:t>
      </w:r>
      <w:r>
        <w:rPr>
          <w:rFonts w:ascii="Times New Roman" w:hAnsi="Times New Roman" w:hint="eastAsia"/>
          <w:szCs w:val="24"/>
        </w:rPr>
        <w:t>亿</w:t>
      </w:r>
      <w:r>
        <w:rPr>
          <w:rFonts w:ascii="Times New Roman" w:hAnsi="Times New Roman" w:hint="eastAsia"/>
          <w:szCs w:val="24"/>
        </w:rPr>
        <w:t>m</w:t>
      </w:r>
      <w:r>
        <w:rPr>
          <w:rFonts w:ascii="Times New Roman" w:hAnsi="Times New Roman" w:hint="eastAsia"/>
          <w:szCs w:val="24"/>
          <w:vertAlign w:val="superscript"/>
        </w:rPr>
        <w:t>3</w:t>
      </w:r>
      <w:r>
        <w:rPr>
          <w:rFonts w:ascii="Times New Roman" w:hAnsi="Times New Roman" w:hint="eastAsia"/>
          <w:szCs w:val="24"/>
        </w:rPr>
        <w:t>，占当地地表水资源量的</w:t>
      </w:r>
      <w:r>
        <w:rPr>
          <w:rFonts w:ascii="Times New Roman" w:hAnsi="Times New Roman" w:hint="eastAsia"/>
          <w:szCs w:val="24"/>
        </w:rPr>
        <w:t>10.4%</w:t>
      </w:r>
      <w:r>
        <w:rPr>
          <w:rFonts w:ascii="Times New Roman" w:hAnsi="Times New Roman" w:hint="eastAsia"/>
          <w:szCs w:val="24"/>
        </w:rPr>
        <w:t>；开发利用地下水资源量</w:t>
      </w:r>
      <w:r>
        <w:rPr>
          <w:rFonts w:ascii="Times New Roman" w:hAnsi="Times New Roman" w:hint="eastAsia"/>
          <w:szCs w:val="24"/>
        </w:rPr>
        <w:t>5.31</w:t>
      </w:r>
      <w:r>
        <w:rPr>
          <w:rFonts w:ascii="Times New Roman" w:hAnsi="Times New Roman" w:hint="eastAsia"/>
          <w:szCs w:val="24"/>
        </w:rPr>
        <w:t>亿</w:t>
      </w:r>
      <w:r>
        <w:rPr>
          <w:rFonts w:ascii="Times New Roman" w:hAnsi="Times New Roman" w:hint="eastAsia"/>
          <w:szCs w:val="24"/>
        </w:rPr>
        <w:t>m</w:t>
      </w:r>
      <w:r>
        <w:rPr>
          <w:rFonts w:ascii="Times New Roman" w:hAnsi="Times New Roman" w:hint="eastAsia"/>
          <w:szCs w:val="24"/>
          <w:vertAlign w:val="superscript"/>
        </w:rPr>
        <w:t>3</w:t>
      </w:r>
      <w:r>
        <w:rPr>
          <w:rFonts w:ascii="Times New Roman" w:hAnsi="Times New Roman" w:hint="eastAsia"/>
          <w:szCs w:val="24"/>
        </w:rPr>
        <w:t>，占地下水可开采量的</w:t>
      </w:r>
      <w:r>
        <w:rPr>
          <w:rFonts w:ascii="Times New Roman" w:hAnsi="Times New Roman" w:hint="eastAsia"/>
          <w:szCs w:val="24"/>
        </w:rPr>
        <w:t>47.0%</w:t>
      </w:r>
      <w:r>
        <w:rPr>
          <w:rFonts w:ascii="Times New Roman" w:hAnsi="Times New Roman" w:hint="eastAsia"/>
          <w:szCs w:val="24"/>
        </w:rPr>
        <w:t>。当地水资源尚有一定的开发潜力。</w:t>
      </w:r>
    </w:p>
    <w:p w14:paraId="2AF0444B"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根据《黄河可供耗水量分配及非汛期水量调度计划》和《黄河水资源公报》统计，</w:t>
      </w:r>
      <w:r>
        <w:rPr>
          <w:rFonts w:ascii="Times New Roman" w:hAnsi="Times New Roman" w:hint="eastAsia"/>
          <w:szCs w:val="24"/>
        </w:rPr>
        <w:t>2011</w:t>
      </w:r>
      <w:r>
        <w:rPr>
          <w:rFonts w:ascii="Times New Roman" w:hAnsi="Times New Roman" w:hint="eastAsia"/>
          <w:szCs w:val="24"/>
        </w:rPr>
        <w:t>年</w:t>
      </w:r>
      <w:r>
        <w:rPr>
          <w:rFonts w:ascii="Times New Roman" w:hAnsi="Times New Roman"/>
          <w:szCs w:val="24"/>
        </w:rPr>
        <w:t>～</w:t>
      </w:r>
      <w:r>
        <w:rPr>
          <w:rFonts w:ascii="Times New Roman" w:hAnsi="Times New Roman" w:hint="eastAsia"/>
          <w:szCs w:val="24"/>
        </w:rPr>
        <w:t>2017</w:t>
      </w:r>
      <w:r>
        <w:rPr>
          <w:rFonts w:ascii="Times New Roman" w:hAnsi="Times New Roman" w:hint="eastAsia"/>
          <w:szCs w:val="24"/>
        </w:rPr>
        <w:t>年宁夏回族自治区平均分配黄河耗水量指标为</w:t>
      </w:r>
      <w:r>
        <w:rPr>
          <w:rFonts w:ascii="Times New Roman" w:hAnsi="Times New Roman" w:hint="eastAsia"/>
          <w:szCs w:val="24"/>
        </w:rPr>
        <w:t>35.41</w:t>
      </w:r>
      <w:r>
        <w:rPr>
          <w:rFonts w:ascii="Times New Roman" w:hAnsi="Times New Roman" w:hint="eastAsia"/>
          <w:szCs w:val="24"/>
        </w:rPr>
        <w:t>亿</w:t>
      </w:r>
      <w:r>
        <w:rPr>
          <w:rFonts w:ascii="Times New Roman" w:hAnsi="Times New Roman" w:hint="eastAsia"/>
          <w:szCs w:val="24"/>
        </w:rPr>
        <w:t>m</w:t>
      </w:r>
      <w:r>
        <w:rPr>
          <w:rFonts w:ascii="Times New Roman" w:hAnsi="Times New Roman" w:hint="eastAsia"/>
          <w:szCs w:val="24"/>
          <w:vertAlign w:val="superscript"/>
        </w:rPr>
        <w:t>3</w:t>
      </w:r>
      <w:r>
        <w:rPr>
          <w:rFonts w:ascii="Times New Roman" w:hAnsi="Times New Roman" w:hint="eastAsia"/>
          <w:szCs w:val="24"/>
        </w:rPr>
        <w:t>，平均黄河地表水实际耗水量为</w:t>
      </w:r>
      <w:r>
        <w:rPr>
          <w:rFonts w:ascii="Times New Roman" w:hAnsi="Times New Roman" w:hint="eastAsia"/>
          <w:szCs w:val="24"/>
        </w:rPr>
        <w:t>37.79</w:t>
      </w:r>
      <w:r>
        <w:rPr>
          <w:rFonts w:ascii="Times New Roman" w:hAnsi="Times New Roman" w:hint="eastAsia"/>
          <w:szCs w:val="24"/>
        </w:rPr>
        <w:t>亿</w:t>
      </w:r>
      <w:r>
        <w:rPr>
          <w:rFonts w:ascii="Times New Roman" w:hAnsi="Times New Roman" w:hint="eastAsia"/>
          <w:szCs w:val="24"/>
        </w:rPr>
        <w:t>m</w:t>
      </w:r>
      <w:r>
        <w:rPr>
          <w:rFonts w:ascii="Times New Roman" w:hAnsi="Times New Roman" w:hint="eastAsia"/>
          <w:szCs w:val="24"/>
          <w:vertAlign w:val="superscript"/>
        </w:rPr>
        <w:t>3</w:t>
      </w:r>
      <w:r>
        <w:rPr>
          <w:rFonts w:ascii="Times New Roman" w:hAnsi="Times New Roman" w:hint="eastAsia"/>
          <w:szCs w:val="24"/>
        </w:rPr>
        <w:t>，除</w:t>
      </w:r>
      <w:r>
        <w:rPr>
          <w:rFonts w:ascii="Times New Roman" w:hAnsi="Times New Roman" w:hint="eastAsia"/>
          <w:szCs w:val="24"/>
        </w:rPr>
        <w:t>2012</w:t>
      </w:r>
      <w:r>
        <w:rPr>
          <w:rFonts w:ascii="Times New Roman" w:hAnsi="Times New Roman" w:hint="eastAsia"/>
          <w:szCs w:val="24"/>
        </w:rPr>
        <w:t>年外的其余年份均超指标用水。</w:t>
      </w:r>
    </w:p>
    <w:p w14:paraId="5E78C371"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宁东基地所在区域属于干旱缺水地区，当地地表水产流形式主要是季节性山洪，时空分布均匀，年内年际变化大，当地多年平均地表水资源量仅为</w:t>
      </w:r>
      <w:r>
        <w:rPr>
          <w:rFonts w:ascii="Times New Roman" w:hAnsi="Times New Roman" w:hint="eastAsia"/>
          <w:szCs w:val="24"/>
        </w:rPr>
        <w:t>0.075</w:t>
      </w:r>
      <w:r>
        <w:rPr>
          <w:rFonts w:ascii="Times New Roman" w:hAnsi="Times New Roman" w:hint="eastAsia"/>
          <w:szCs w:val="24"/>
        </w:rPr>
        <w:t>亿</w:t>
      </w:r>
      <w:r>
        <w:rPr>
          <w:rFonts w:ascii="Times New Roman" w:hAnsi="Times New Roman" w:hint="eastAsia"/>
          <w:szCs w:val="24"/>
        </w:rPr>
        <w:t>m</w:t>
      </w:r>
      <w:r>
        <w:rPr>
          <w:rFonts w:ascii="Times New Roman" w:hAnsi="Times New Roman" w:hint="eastAsia"/>
          <w:szCs w:val="24"/>
          <w:vertAlign w:val="superscript"/>
        </w:rPr>
        <w:t>3</w:t>
      </w:r>
      <w:r>
        <w:rPr>
          <w:rFonts w:ascii="Times New Roman" w:hAnsi="Times New Roman" w:hint="eastAsia"/>
          <w:szCs w:val="24"/>
        </w:rPr>
        <w:t>，多年平均地表水利用量为</w:t>
      </w:r>
      <w:r>
        <w:rPr>
          <w:rFonts w:ascii="Times New Roman" w:hAnsi="Times New Roman" w:hint="eastAsia"/>
          <w:szCs w:val="24"/>
        </w:rPr>
        <w:t>0.055</w:t>
      </w:r>
      <w:r>
        <w:rPr>
          <w:rFonts w:ascii="Times New Roman" w:hAnsi="Times New Roman" w:hint="eastAsia"/>
          <w:szCs w:val="24"/>
        </w:rPr>
        <w:t>亿</w:t>
      </w:r>
      <w:r>
        <w:rPr>
          <w:rFonts w:ascii="Times New Roman" w:hAnsi="Times New Roman" w:hint="eastAsia"/>
          <w:szCs w:val="24"/>
        </w:rPr>
        <w:t>m</w:t>
      </w:r>
      <w:r>
        <w:rPr>
          <w:rFonts w:ascii="Times New Roman" w:hAnsi="Times New Roman" w:hint="eastAsia"/>
          <w:szCs w:val="24"/>
          <w:vertAlign w:val="superscript"/>
        </w:rPr>
        <w:t>3</w:t>
      </w:r>
      <w:r>
        <w:rPr>
          <w:rFonts w:ascii="Times New Roman" w:hAnsi="Times New Roman" w:hint="eastAsia"/>
          <w:szCs w:val="24"/>
        </w:rPr>
        <w:t>，绝大部分水质很差，矿化度</w:t>
      </w:r>
      <w:r>
        <w:rPr>
          <w:rFonts w:ascii="Times New Roman" w:hAnsi="Times New Roman" w:hint="eastAsia"/>
          <w:szCs w:val="24"/>
        </w:rPr>
        <w:t>2</w:t>
      </w:r>
      <w:r>
        <w:rPr>
          <w:rFonts w:ascii="Times New Roman" w:hAnsi="Times New Roman"/>
          <w:szCs w:val="24"/>
        </w:rPr>
        <w:t>～</w:t>
      </w:r>
      <w:r>
        <w:rPr>
          <w:rFonts w:ascii="Times New Roman" w:hAnsi="Times New Roman" w:hint="eastAsia"/>
          <w:szCs w:val="24"/>
        </w:rPr>
        <w:t>5g/L</w:t>
      </w:r>
      <w:r>
        <w:rPr>
          <w:rFonts w:ascii="Times New Roman" w:hAnsi="Times New Roman" w:hint="eastAsia"/>
          <w:szCs w:val="24"/>
        </w:rPr>
        <w:t>，难以利用，属于资源型缺水与水质型缺水并存的地区。宁东能源基地工业及其它用水主要靠黄河水，通过宁夏引黄灌区实行改造，农业节水，将农业节约下来的水通过水权转换的方式转给宁东基地用水。随着宁夏经济社会的快速发展，人口的增加，城市化进程加快，各行业用水持续增加。国家实行最严格的水资源管理制度，宁夏全区取用水总量已达到或超出国家分配的取水总量指标，由于黄河来水减少，用水需求日益增加，今后一个时期宁夏全区及宁东基地的水资源供需矛盾将更加突出。</w:t>
      </w:r>
    </w:p>
    <w:p w14:paraId="59EEA9DB"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综上所述，评价区的水资源压力度属于较高压力水平。</w:t>
      </w:r>
    </w:p>
    <w:p w14:paraId="33F70E4D" w14:textId="77777777" w:rsidR="009C353B" w:rsidRDefault="00000000">
      <w:pPr>
        <w:spacing w:line="440" w:lineRule="exact"/>
        <w:ind w:firstLineChars="200" w:firstLine="480"/>
        <w:rPr>
          <w:rFonts w:ascii="Times New Roman" w:hAnsi="Times New Roman"/>
          <w:szCs w:val="22"/>
        </w:rPr>
      </w:pPr>
      <w:r>
        <w:rPr>
          <w:rFonts w:ascii="Times New Roman" w:hAnsi="Times New Roman" w:hint="eastAsia"/>
          <w:szCs w:val="22"/>
        </w:rPr>
        <w:t>（</w:t>
      </w:r>
      <w:r>
        <w:rPr>
          <w:rFonts w:ascii="Times New Roman" w:hAnsi="Times New Roman" w:hint="eastAsia"/>
          <w:szCs w:val="22"/>
        </w:rPr>
        <w:t>2</w:t>
      </w:r>
      <w:r>
        <w:rPr>
          <w:rFonts w:ascii="Times New Roman" w:hAnsi="Times New Roman" w:hint="eastAsia"/>
          <w:szCs w:val="22"/>
        </w:rPr>
        <w:t>）土地资源压力度</w:t>
      </w:r>
    </w:p>
    <w:p w14:paraId="27EC6E59" w14:textId="77777777" w:rsidR="009C353B" w:rsidRDefault="00000000">
      <w:pPr>
        <w:spacing w:line="440" w:lineRule="exact"/>
        <w:ind w:firstLineChars="200" w:firstLine="480"/>
        <w:rPr>
          <w:rFonts w:ascii="Times New Roman" w:hAnsi="Times New Roman"/>
          <w:szCs w:val="22"/>
        </w:rPr>
      </w:pPr>
      <w:r>
        <w:rPr>
          <w:rFonts w:ascii="Times New Roman" w:hAnsi="Times New Roman" w:hint="eastAsia"/>
          <w:szCs w:val="22"/>
        </w:rPr>
        <w:t>根据《灵武市</w:t>
      </w:r>
      <w:r>
        <w:rPr>
          <w:rFonts w:ascii="Times New Roman" w:hAnsi="Times New Roman" w:hint="eastAsia"/>
          <w:szCs w:val="22"/>
        </w:rPr>
        <w:t>2019</w:t>
      </w:r>
      <w:r>
        <w:rPr>
          <w:rFonts w:ascii="Times New Roman" w:hAnsi="Times New Roman" w:hint="eastAsia"/>
          <w:szCs w:val="22"/>
        </w:rPr>
        <w:t>年国民经济和社会发展统计公报》，灵武市全年粮食总产量</w:t>
      </w:r>
      <w:r>
        <w:rPr>
          <w:rFonts w:ascii="Times New Roman" w:hAnsi="Times New Roman" w:hint="eastAsia"/>
          <w:szCs w:val="22"/>
        </w:rPr>
        <w:t>14.27</w:t>
      </w:r>
      <w:r>
        <w:rPr>
          <w:rFonts w:ascii="Times New Roman" w:hAnsi="Times New Roman" w:hint="eastAsia"/>
          <w:szCs w:val="22"/>
        </w:rPr>
        <w:t>万吨，全县总人口</w:t>
      </w:r>
      <w:r>
        <w:rPr>
          <w:rFonts w:ascii="Times New Roman" w:hAnsi="Times New Roman" w:hint="eastAsia"/>
          <w:szCs w:val="22"/>
        </w:rPr>
        <w:t>29.6</w:t>
      </w:r>
      <w:r>
        <w:rPr>
          <w:rFonts w:ascii="Times New Roman" w:hAnsi="Times New Roman" w:hint="eastAsia"/>
          <w:szCs w:val="22"/>
        </w:rPr>
        <w:t>万人，人均粮食量为</w:t>
      </w:r>
      <w:r>
        <w:rPr>
          <w:rFonts w:ascii="Times New Roman" w:hAnsi="Times New Roman" w:hint="eastAsia"/>
          <w:szCs w:val="22"/>
        </w:rPr>
        <w:t>482</w:t>
      </w:r>
      <w:r>
        <w:rPr>
          <w:rFonts w:ascii="Times New Roman" w:hAnsi="Times New Roman" w:hint="eastAsia"/>
          <w:szCs w:val="22"/>
        </w:rPr>
        <w:t>公斤，略高于人均</w:t>
      </w:r>
      <w:r>
        <w:rPr>
          <w:rFonts w:ascii="Times New Roman" w:hAnsi="Times New Roman" w:hint="eastAsia"/>
          <w:szCs w:val="22"/>
        </w:rPr>
        <w:t>400</w:t>
      </w:r>
      <w:r>
        <w:rPr>
          <w:rFonts w:ascii="Times New Roman" w:hAnsi="Times New Roman" w:hint="eastAsia"/>
          <w:szCs w:val="22"/>
        </w:rPr>
        <w:t>公斤的国际粮食安全的标准线。该区域土地资源压力度也属于中压水平。</w:t>
      </w:r>
    </w:p>
    <w:p w14:paraId="34522606" w14:textId="77777777" w:rsidR="009C353B" w:rsidRDefault="00000000">
      <w:pPr>
        <w:spacing w:line="440" w:lineRule="exact"/>
        <w:ind w:firstLineChars="200" w:firstLine="480"/>
        <w:rPr>
          <w:rFonts w:ascii="Times New Roman" w:hAnsi="Times New Roman"/>
          <w:szCs w:val="22"/>
        </w:rPr>
      </w:pPr>
      <w:r>
        <w:rPr>
          <w:rFonts w:ascii="Times New Roman" w:hAnsi="Times New Roman" w:hint="eastAsia"/>
          <w:szCs w:val="22"/>
        </w:rPr>
        <w:t>该区域属于水资源较高压力水平、土地资源中等压力水平，确定因此该区域总体资源压力度属于较高压力水平。</w:t>
      </w:r>
    </w:p>
    <w:p w14:paraId="4E8977E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szCs w:val="22"/>
        </w:rPr>
        <w:t>综上所述，评价区的生态承载力属于“不稳定低承载较高压力水平”。因该区域生态系统不稳定，对外界干扰的抵抗和恢复能力较低，且目前区域已存在较高的生态压力，因此在矿区开发过程中，应加强土地资源保护，尽量减少永久占用土地，沉陷造成的土地破坏应及时采取措施加以减缓、恢复；开展清洁生产，提高污废水资源化利用率，减少新鲜水消耗，缓解矿区开发对区域水资源的影响；另外要加强矿区开发“三废”治理力度，使“三废”</w:t>
      </w:r>
      <w:r>
        <w:rPr>
          <w:rFonts w:ascii="Times New Roman" w:hAnsi="Times New Roman"/>
          <w:szCs w:val="22"/>
        </w:rPr>
        <w:t>100</w:t>
      </w:r>
      <w:r>
        <w:rPr>
          <w:rFonts w:ascii="Times New Roman" w:hAnsi="Times New Roman" w:hint="eastAsia"/>
          <w:szCs w:val="22"/>
        </w:rPr>
        <w:t>％达标排放，污废水排放必须满足水环境功能区划要求；应尽量减少矿区开发固体废弃物产生量，已产生的应进行综合利用和无害化处理。</w:t>
      </w:r>
    </w:p>
    <w:p w14:paraId="0ACA2DA5" w14:textId="77777777" w:rsidR="009C353B" w:rsidRDefault="00000000">
      <w:pPr>
        <w:pStyle w:val="2"/>
        <w:snapToGrid w:val="0"/>
        <w:spacing w:before="480" w:after="240" w:line="416" w:lineRule="atLeast"/>
        <w:rPr>
          <w:rFonts w:ascii="Times New Roman" w:eastAsia="宋体" w:hAnsi="Times New Roman"/>
          <w:b/>
          <w:sz w:val="28"/>
        </w:rPr>
      </w:pPr>
      <w:bookmarkStart w:id="291" w:name="_Toc59189859"/>
      <w:bookmarkStart w:id="292" w:name="_Toc171214277"/>
      <w:bookmarkEnd w:id="286"/>
      <w:bookmarkEnd w:id="287"/>
      <w:r>
        <w:rPr>
          <w:rFonts w:ascii="Times New Roman" w:eastAsia="宋体" w:hAnsi="Times New Roman"/>
          <w:b/>
          <w:sz w:val="28"/>
        </w:rPr>
        <w:t>7</w:t>
      </w:r>
      <w:r>
        <w:rPr>
          <w:rFonts w:ascii="Times New Roman" w:eastAsia="宋体" w:hAnsi="Times New Roman" w:hint="eastAsia"/>
          <w:b/>
          <w:sz w:val="28"/>
        </w:rPr>
        <w:t>.</w:t>
      </w:r>
      <w:r>
        <w:rPr>
          <w:rFonts w:ascii="Times New Roman" w:eastAsia="宋体" w:hAnsi="Times New Roman"/>
          <w:b/>
          <w:sz w:val="28"/>
        </w:rPr>
        <w:t>3</w:t>
      </w:r>
      <w:r>
        <w:rPr>
          <w:rFonts w:ascii="Times New Roman" w:eastAsia="宋体" w:hAnsi="Times New Roman" w:hint="eastAsia"/>
          <w:b/>
          <w:sz w:val="28"/>
        </w:rPr>
        <w:t xml:space="preserve"> </w:t>
      </w:r>
      <w:r>
        <w:rPr>
          <w:rFonts w:ascii="Times New Roman" w:eastAsia="宋体" w:hAnsi="Times New Roman"/>
          <w:b/>
          <w:sz w:val="28"/>
        </w:rPr>
        <w:t>矿区大气环境容量与承载能力分析</w:t>
      </w:r>
      <w:bookmarkEnd w:id="291"/>
    </w:p>
    <w:p w14:paraId="0945BA0F"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7</w:t>
      </w:r>
      <w:r>
        <w:rPr>
          <w:rFonts w:ascii="Times New Roman" w:hAnsi="Times New Roman" w:hint="eastAsia"/>
          <w:sz w:val="24"/>
        </w:rPr>
        <w:t>.</w:t>
      </w:r>
      <w:r>
        <w:rPr>
          <w:rFonts w:ascii="Times New Roman" w:hAnsi="Times New Roman"/>
          <w:sz w:val="24"/>
        </w:rPr>
        <w:t xml:space="preserve">3.1 </w:t>
      </w:r>
      <w:r>
        <w:rPr>
          <w:rFonts w:ascii="Times New Roman" w:hAnsi="Times New Roman"/>
          <w:sz w:val="24"/>
        </w:rPr>
        <w:t>矿区大气容量计算</w:t>
      </w:r>
    </w:p>
    <w:p w14:paraId="52FF7DE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横城矿区</w:t>
      </w:r>
      <w:r>
        <w:rPr>
          <w:rFonts w:ascii="Times New Roman" w:hAnsi="Times New Roman" w:hint="eastAsia"/>
        </w:rPr>
        <w:t>总体</w:t>
      </w:r>
      <w:r>
        <w:rPr>
          <w:rFonts w:ascii="Times New Roman" w:hAnsi="Times New Roman"/>
        </w:rPr>
        <w:t>规划总面积</w:t>
      </w:r>
      <w:r>
        <w:rPr>
          <w:rFonts w:ascii="Times New Roman" w:hAnsi="Times New Roman"/>
        </w:rPr>
        <w:t>86km</w:t>
      </w:r>
      <w:r>
        <w:rPr>
          <w:rFonts w:ascii="Times New Roman" w:hAnsi="Times New Roman"/>
          <w:vertAlign w:val="superscript"/>
        </w:rPr>
        <w:t>2</w:t>
      </w:r>
      <w:r>
        <w:rPr>
          <w:rFonts w:ascii="Times New Roman" w:hAnsi="Times New Roman"/>
        </w:rPr>
        <w:t>，其形状为不规则多边形。故本次大气环境容量核算以规划范围作为大气环境容量计算空间范围。</w:t>
      </w:r>
      <w:r>
        <w:rPr>
          <w:rFonts w:ascii="Times New Roman" w:hAnsi="Times New Roman" w:hint="eastAsia"/>
        </w:rPr>
        <w:t>宁东基地占地面积</w:t>
      </w:r>
      <w:r>
        <w:rPr>
          <w:rFonts w:ascii="Times New Roman" w:hAnsi="Times New Roman" w:hint="eastAsia"/>
        </w:rPr>
        <w:t>3500</w:t>
      </w:r>
      <w:r>
        <w:rPr>
          <w:rFonts w:ascii="Times New Roman" w:hAnsi="Times New Roman"/>
        </w:rPr>
        <w:t xml:space="preserve"> km</w:t>
      </w:r>
      <w:r>
        <w:rPr>
          <w:rFonts w:ascii="Times New Roman" w:hAnsi="Times New Roman"/>
          <w:vertAlign w:val="superscript"/>
        </w:rPr>
        <w:t>2</w:t>
      </w:r>
      <w:r>
        <w:rPr>
          <w:rFonts w:ascii="Times New Roman" w:hAnsi="Times New Roman" w:hint="eastAsia"/>
        </w:rPr>
        <w:t>。</w:t>
      </w:r>
    </w:p>
    <w:p w14:paraId="2E8D15ED"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）容量计算模型</w:t>
      </w:r>
    </w:p>
    <w:p w14:paraId="758F023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根据《制定地方大气污染物排放标准的技术方法》（</w:t>
      </w:r>
      <w:r>
        <w:rPr>
          <w:rFonts w:ascii="Times New Roman" w:hAnsi="Times New Roman"/>
        </w:rPr>
        <w:t>GB/T13201-91</w:t>
      </w:r>
      <w:r>
        <w:rPr>
          <w:rFonts w:ascii="Times New Roman" w:hAnsi="Times New Roman"/>
        </w:rPr>
        <w:t>），应用</w:t>
      </w:r>
      <w:r>
        <w:rPr>
          <w:rFonts w:ascii="Times New Roman" w:hAnsi="Times New Roman"/>
        </w:rPr>
        <w:t>A</w:t>
      </w:r>
      <w:r>
        <w:rPr>
          <w:rFonts w:ascii="Times New Roman" w:hAnsi="Times New Roman"/>
        </w:rPr>
        <w:t>值法计算评价区的大气环境容量。</w:t>
      </w:r>
    </w:p>
    <w:p w14:paraId="0A55892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评价区大气污染物年允许排放总量为：</w:t>
      </w:r>
    </w:p>
    <w:p w14:paraId="0E7C1AA7" w14:textId="77777777" w:rsidR="009C353B" w:rsidRDefault="00000000">
      <w:pPr>
        <w:adjustRightInd w:val="0"/>
        <w:snapToGrid w:val="0"/>
        <w:ind w:firstLineChars="600" w:firstLine="1440"/>
        <w:rPr>
          <w:rFonts w:ascii="Times New Roman" w:hAnsi="Times New Roman"/>
        </w:rPr>
      </w:pPr>
      <w:r>
        <w:rPr>
          <w:rFonts w:ascii="Times New Roman" w:hAnsi="Times New Roman"/>
        </w:rPr>
        <w:object w:dxaOrig="1366" w:dyaOrig="689" w14:anchorId="7E2B1C3D">
          <v:shape id="_x0000_i1183" type="#_x0000_t75" style="width:68.2pt;height:34.35pt" o:ole="">
            <v:imagedata r:id="rId462" o:title=""/>
          </v:shape>
          <o:OLEObject Type="Embed" ProgID="Equation.3" ShapeID="_x0000_i1183" DrawAspect="Content" ObjectID="_1826209282" r:id="rId463"/>
        </w:object>
      </w:r>
    </w:p>
    <w:p w14:paraId="4A173EF3" w14:textId="77777777" w:rsidR="009C353B" w:rsidRDefault="00000000">
      <w:pPr>
        <w:adjustRightInd w:val="0"/>
        <w:snapToGrid w:val="0"/>
        <w:ind w:firstLineChars="600" w:firstLine="1440"/>
        <w:rPr>
          <w:rFonts w:ascii="Times New Roman" w:hAnsi="Times New Roman"/>
        </w:rPr>
      </w:pPr>
      <w:r>
        <w:rPr>
          <w:rFonts w:ascii="Times New Roman" w:hAnsi="Times New Roman"/>
        </w:rPr>
        <w:object w:dxaOrig="2314" w:dyaOrig="689" w14:anchorId="56E75C0D">
          <v:shape id="_x0000_i1184" type="#_x0000_t75" style="width:115.65pt;height:34.35pt" o:ole="">
            <v:imagedata r:id="rId464" o:title=""/>
          </v:shape>
          <o:OLEObject Type="Embed" ProgID="Equation.3" ShapeID="_x0000_i1184" DrawAspect="Content" ObjectID="_1826209283" r:id="rId465"/>
        </w:object>
      </w:r>
    </w:p>
    <w:p w14:paraId="78D6D8A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式中：</w:t>
      </w:r>
      <w:r>
        <w:rPr>
          <w:rFonts w:ascii="Times New Roman" w:hAnsi="Times New Roman"/>
        </w:rPr>
        <w:t>Q</w:t>
      </w:r>
      <w:r>
        <w:rPr>
          <w:rFonts w:ascii="Times New Roman" w:hAnsi="Times New Roman"/>
          <w:vertAlign w:val="subscript"/>
        </w:rPr>
        <w:t>ai</w:t>
      </w:r>
      <w:r>
        <w:rPr>
          <w:rFonts w:ascii="Times New Roman" w:hAnsi="Times New Roman"/>
        </w:rPr>
        <w:t>——</w:t>
      </w:r>
      <w:r>
        <w:rPr>
          <w:rFonts w:ascii="Times New Roman" w:hAnsi="Times New Roman"/>
        </w:rPr>
        <w:t>第</w:t>
      </w:r>
      <w:r>
        <w:rPr>
          <w:rFonts w:ascii="Times New Roman" w:hAnsi="Times New Roman"/>
        </w:rPr>
        <w:t>i</w:t>
      </w:r>
      <w:r>
        <w:rPr>
          <w:rFonts w:ascii="Times New Roman" w:hAnsi="Times New Roman"/>
        </w:rPr>
        <w:t>功能区大气污染物年允许排放总量；</w:t>
      </w:r>
    </w:p>
    <w:p w14:paraId="6542597B" w14:textId="77777777" w:rsidR="009C353B" w:rsidRDefault="00000000">
      <w:pPr>
        <w:adjustRightInd w:val="0"/>
        <w:snapToGrid w:val="0"/>
        <w:spacing w:line="440" w:lineRule="exact"/>
        <w:ind w:firstLineChars="525" w:firstLine="1260"/>
        <w:rPr>
          <w:rFonts w:ascii="Times New Roman" w:hAnsi="Times New Roman"/>
        </w:rPr>
      </w:pPr>
      <w:r>
        <w:rPr>
          <w:rFonts w:ascii="Times New Roman" w:hAnsi="Times New Roman"/>
        </w:rPr>
        <w:t>n——</w:t>
      </w:r>
      <w:r>
        <w:rPr>
          <w:rFonts w:ascii="Times New Roman" w:hAnsi="Times New Roman"/>
        </w:rPr>
        <w:t>功能区总数；</w:t>
      </w:r>
    </w:p>
    <w:p w14:paraId="3D6FA338" w14:textId="77777777" w:rsidR="009C353B" w:rsidRDefault="00000000">
      <w:pPr>
        <w:adjustRightInd w:val="0"/>
        <w:snapToGrid w:val="0"/>
        <w:spacing w:line="440" w:lineRule="exact"/>
        <w:ind w:firstLineChars="525" w:firstLine="1260"/>
        <w:rPr>
          <w:rFonts w:ascii="Times New Roman" w:hAnsi="Times New Roman"/>
        </w:rPr>
      </w:pPr>
      <w:r>
        <w:rPr>
          <w:rFonts w:ascii="Times New Roman" w:hAnsi="Times New Roman"/>
        </w:rPr>
        <w:t>Q</w:t>
      </w:r>
      <w:r>
        <w:rPr>
          <w:rFonts w:ascii="Times New Roman" w:hAnsi="Times New Roman"/>
          <w:vertAlign w:val="subscript"/>
        </w:rPr>
        <w:t>ai</w:t>
      </w:r>
      <w:r>
        <w:rPr>
          <w:rFonts w:ascii="Times New Roman" w:hAnsi="Times New Roman"/>
        </w:rPr>
        <w:t>——</w:t>
      </w:r>
      <w:r>
        <w:rPr>
          <w:rFonts w:ascii="Times New Roman" w:hAnsi="Times New Roman"/>
        </w:rPr>
        <w:t>某区污染物年允许排放总量，</w:t>
      </w:r>
      <w:r>
        <w:rPr>
          <w:rFonts w:ascii="Times New Roman" w:hAnsi="Times New Roman"/>
        </w:rPr>
        <w:t>10</w:t>
      </w:r>
      <w:r>
        <w:rPr>
          <w:rFonts w:ascii="Times New Roman" w:hAnsi="Times New Roman"/>
          <w:vertAlign w:val="superscript"/>
        </w:rPr>
        <w:t>4</w:t>
      </w:r>
      <w:r>
        <w:rPr>
          <w:rFonts w:ascii="Times New Roman" w:hAnsi="Times New Roman"/>
        </w:rPr>
        <w:t>t/a</w:t>
      </w:r>
      <w:r>
        <w:rPr>
          <w:rFonts w:ascii="Times New Roman" w:hAnsi="Times New Roman"/>
        </w:rPr>
        <w:t>；</w:t>
      </w:r>
      <w:r>
        <w:rPr>
          <w:rFonts w:ascii="Times New Roman" w:hAnsi="Times New Roman"/>
        </w:rPr>
        <w:t xml:space="preserve"> </w:t>
      </w:r>
    </w:p>
    <w:p w14:paraId="7ED56585" w14:textId="77777777" w:rsidR="009C353B" w:rsidRDefault="00000000">
      <w:pPr>
        <w:adjustRightInd w:val="0"/>
        <w:snapToGrid w:val="0"/>
        <w:spacing w:line="440" w:lineRule="exact"/>
        <w:ind w:firstLineChars="525" w:firstLine="1260"/>
        <w:rPr>
          <w:rFonts w:ascii="Times New Roman" w:hAnsi="Times New Roman"/>
        </w:rPr>
      </w:pPr>
      <w:r>
        <w:rPr>
          <w:rFonts w:ascii="Times New Roman" w:hAnsi="Times New Roman"/>
        </w:rPr>
        <w:t>A——</w:t>
      </w:r>
      <w:r>
        <w:rPr>
          <w:rFonts w:ascii="Times New Roman" w:hAnsi="Times New Roman"/>
        </w:rPr>
        <w:t>地理区域性总量控制系数，</w:t>
      </w:r>
      <w:r>
        <w:rPr>
          <w:rFonts w:ascii="Times New Roman" w:hAnsi="Times New Roman"/>
        </w:rPr>
        <w:t>10</w:t>
      </w:r>
      <w:r>
        <w:rPr>
          <w:rFonts w:ascii="Times New Roman" w:hAnsi="Times New Roman"/>
          <w:vertAlign w:val="superscript"/>
        </w:rPr>
        <w:t>4</w:t>
      </w:r>
      <w:r>
        <w:rPr>
          <w:rFonts w:ascii="Times New Roman" w:hAnsi="Times New Roman"/>
        </w:rPr>
        <w:t>km</w:t>
      </w:r>
      <w:r>
        <w:rPr>
          <w:rFonts w:ascii="Times New Roman" w:hAnsi="Times New Roman"/>
          <w:vertAlign w:val="superscript"/>
        </w:rPr>
        <w:t>2</w:t>
      </w:r>
      <w:r>
        <w:rPr>
          <w:rFonts w:ascii="Times New Roman" w:hAnsi="Times New Roman"/>
        </w:rPr>
        <w:t>/a</w:t>
      </w:r>
      <w:r>
        <w:rPr>
          <w:rFonts w:ascii="Times New Roman" w:hAnsi="Times New Roman"/>
        </w:rPr>
        <w:t>；</w:t>
      </w:r>
    </w:p>
    <w:p w14:paraId="5BA498C6" w14:textId="77777777" w:rsidR="009C353B" w:rsidRDefault="00000000">
      <w:pPr>
        <w:adjustRightInd w:val="0"/>
        <w:snapToGrid w:val="0"/>
        <w:spacing w:line="440" w:lineRule="exact"/>
        <w:ind w:firstLineChars="525" w:firstLine="1260"/>
        <w:rPr>
          <w:rFonts w:ascii="Times New Roman" w:hAnsi="Times New Roman"/>
        </w:rPr>
      </w:pPr>
      <w:r>
        <w:rPr>
          <w:rFonts w:ascii="Times New Roman" w:hAnsi="Times New Roman"/>
        </w:rPr>
        <w:t>S——</w:t>
      </w:r>
      <w:r>
        <w:rPr>
          <w:rFonts w:ascii="Times New Roman" w:hAnsi="Times New Roman"/>
        </w:rPr>
        <w:t>城区控制区域总面积，</w:t>
      </w:r>
      <w:r>
        <w:rPr>
          <w:rFonts w:ascii="Times New Roman" w:hAnsi="Times New Roman"/>
        </w:rPr>
        <w:t>km</w:t>
      </w:r>
      <w:r>
        <w:rPr>
          <w:rFonts w:ascii="Times New Roman" w:hAnsi="Times New Roman"/>
          <w:vertAlign w:val="superscript"/>
        </w:rPr>
        <w:t>2</w:t>
      </w:r>
      <w:r>
        <w:rPr>
          <w:rFonts w:ascii="Times New Roman" w:hAnsi="Times New Roman"/>
        </w:rPr>
        <w:t>；</w:t>
      </w:r>
    </w:p>
    <w:p w14:paraId="5485CEB4" w14:textId="77777777" w:rsidR="009C353B" w:rsidRDefault="00000000">
      <w:pPr>
        <w:adjustRightInd w:val="0"/>
        <w:snapToGrid w:val="0"/>
        <w:spacing w:line="440" w:lineRule="exact"/>
        <w:ind w:firstLineChars="525" w:firstLine="1260"/>
        <w:rPr>
          <w:rFonts w:ascii="Times New Roman" w:hAnsi="Times New Roman"/>
        </w:rPr>
      </w:pPr>
      <w:r>
        <w:rPr>
          <w:rFonts w:ascii="Times New Roman" w:hAnsi="Times New Roman"/>
        </w:rPr>
        <w:t>S</w:t>
      </w:r>
      <w:r>
        <w:rPr>
          <w:rFonts w:ascii="Times New Roman" w:hAnsi="Times New Roman"/>
          <w:vertAlign w:val="subscript"/>
        </w:rPr>
        <w:t>i</w:t>
      </w:r>
      <w:r>
        <w:rPr>
          <w:rFonts w:ascii="Times New Roman" w:hAnsi="Times New Roman"/>
        </w:rPr>
        <w:t>——</w:t>
      </w:r>
      <w:r>
        <w:rPr>
          <w:rFonts w:ascii="Times New Roman" w:hAnsi="Times New Roman"/>
        </w:rPr>
        <w:t>城区第</w:t>
      </w:r>
      <w:r>
        <w:rPr>
          <w:rFonts w:ascii="Times New Roman" w:hAnsi="Times New Roman"/>
        </w:rPr>
        <w:t>i</w:t>
      </w:r>
      <w:r>
        <w:rPr>
          <w:rFonts w:ascii="Times New Roman" w:hAnsi="Times New Roman"/>
        </w:rPr>
        <w:t>个分区面积，</w:t>
      </w:r>
      <w:r>
        <w:rPr>
          <w:rFonts w:ascii="Times New Roman" w:hAnsi="Times New Roman"/>
        </w:rPr>
        <w:t>km</w:t>
      </w:r>
      <w:r>
        <w:rPr>
          <w:rFonts w:ascii="Times New Roman" w:hAnsi="Times New Roman"/>
          <w:vertAlign w:val="superscript"/>
        </w:rPr>
        <w:t>2</w:t>
      </w:r>
      <w:r>
        <w:rPr>
          <w:rFonts w:ascii="Times New Roman" w:hAnsi="Times New Roman"/>
        </w:rPr>
        <w:t>；</w:t>
      </w:r>
    </w:p>
    <w:p w14:paraId="2C57A303" w14:textId="77777777" w:rsidR="009C353B" w:rsidRDefault="00000000">
      <w:pPr>
        <w:adjustRightInd w:val="0"/>
        <w:snapToGrid w:val="0"/>
        <w:spacing w:line="440" w:lineRule="exact"/>
        <w:ind w:firstLineChars="525" w:firstLine="1260"/>
        <w:rPr>
          <w:rFonts w:ascii="Times New Roman" w:hAnsi="Times New Roman"/>
        </w:rPr>
      </w:pPr>
      <w:r>
        <w:rPr>
          <w:rFonts w:ascii="Times New Roman" w:hAnsi="Times New Roman"/>
        </w:rPr>
        <w:t>C</w:t>
      </w:r>
      <w:r>
        <w:rPr>
          <w:rFonts w:ascii="Times New Roman" w:hAnsi="Times New Roman"/>
          <w:vertAlign w:val="subscript"/>
        </w:rPr>
        <w:t>si</w:t>
      </w:r>
      <w:r>
        <w:rPr>
          <w:rFonts w:ascii="Times New Roman" w:hAnsi="Times New Roman"/>
        </w:rPr>
        <w:t>——</w:t>
      </w:r>
      <w:r>
        <w:rPr>
          <w:rFonts w:ascii="Times New Roman" w:hAnsi="Times New Roman"/>
        </w:rPr>
        <w:t>第</w:t>
      </w:r>
      <w:r>
        <w:rPr>
          <w:rFonts w:ascii="Times New Roman" w:hAnsi="Times New Roman"/>
        </w:rPr>
        <w:t>i</w:t>
      </w:r>
      <w:r>
        <w:rPr>
          <w:rFonts w:ascii="Times New Roman" w:hAnsi="Times New Roman"/>
        </w:rPr>
        <w:t>个区域某种污染物的年平均浓度限值，</w:t>
      </w:r>
      <w:r>
        <w:rPr>
          <w:rFonts w:ascii="Times New Roman" w:hAnsi="Times New Roman"/>
        </w:rPr>
        <w:t>mg/m</w:t>
      </w:r>
      <w:r>
        <w:rPr>
          <w:rFonts w:ascii="Times New Roman" w:hAnsi="Times New Roman"/>
          <w:vertAlign w:val="superscript"/>
        </w:rPr>
        <w:t>3</w:t>
      </w:r>
      <w:r>
        <w:rPr>
          <w:rFonts w:ascii="Times New Roman" w:hAnsi="Times New Roman"/>
        </w:rPr>
        <w:t>；</w:t>
      </w:r>
    </w:p>
    <w:p w14:paraId="391578D7" w14:textId="77777777" w:rsidR="009C353B" w:rsidRDefault="00000000">
      <w:pPr>
        <w:adjustRightInd w:val="0"/>
        <w:snapToGrid w:val="0"/>
        <w:spacing w:line="440" w:lineRule="exact"/>
        <w:ind w:firstLineChars="525" w:firstLine="1260"/>
        <w:rPr>
          <w:rFonts w:ascii="Times New Roman" w:hAnsi="Times New Roman"/>
        </w:rPr>
      </w:pPr>
      <w:r>
        <w:rPr>
          <w:rFonts w:ascii="Times New Roman" w:hAnsi="Times New Roman"/>
        </w:rPr>
        <w:t>C</w:t>
      </w:r>
      <w:r>
        <w:rPr>
          <w:rFonts w:ascii="Times New Roman" w:hAnsi="Times New Roman"/>
          <w:vertAlign w:val="subscript"/>
        </w:rPr>
        <w:t>b</w:t>
      </w:r>
      <w:r>
        <w:rPr>
          <w:rFonts w:ascii="Times New Roman" w:hAnsi="Times New Roman"/>
        </w:rPr>
        <w:t>——</w:t>
      </w:r>
      <w:r>
        <w:rPr>
          <w:rFonts w:ascii="Times New Roman" w:hAnsi="Times New Roman"/>
        </w:rPr>
        <w:t>城区控制区的本底浓度，</w:t>
      </w:r>
      <w:r>
        <w:rPr>
          <w:rFonts w:ascii="Times New Roman" w:hAnsi="Times New Roman"/>
        </w:rPr>
        <w:t>mg/m</w:t>
      </w:r>
      <w:r>
        <w:rPr>
          <w:rFonts w:ascii="Times New Roman" w:hAnsi="Times New Roman"/>
          <w:vertAlign w:val="superscript"/>
        </w:rPr>
        <w:t>3</w:t>
      </w:r>
      <w:r>
        <w:rPr>
          <w:rFonts w:ascii="Times New Roman" w:hAnsi="Times New Roman"/>
        </w:rPr>
        <w:t>。</w:t>
      </w:r>
    </w:p>
    <w:p w14:paraId="07C9A647"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）控制因子</w:t>
      </w:r>
    </w:p>
    <w:p w14:paraId="5DFCA0E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考虑到本矿区处于</w:t>
      </w:r>
      <w:r>
        <w:rPr>
          <w:rFonts w:ascii="Times New Roman" w:hAnsi="Times New Roman" w:hint="eastAsia"/>
        </w:rPr>
        <w:t>荒漠</w:t>
      </w:r>
      <w:r>
        <w:rPr>
          <w:rFonts w:ascii="Times New Roman" w:hAnsi="Times New Roman"/>
        </w:rPr>
        <w:t>草原区的特点及国家关于加强</w:t>
      </w:r>
      <w:r>
        <w:rPr>
          <w:rFonts w:ascii="Times New Roman" w:hAnsi="Times New Roman" w:hint="eastAsia"/>
        </w:rPr>
        <w:t>氮氧化物</w:t>
      </w:r>
      <w:r>
        <w:rPr>
          <w:rFonts w:ascii="Times New Roman" w:hAnsi="Times New Roman"/>
        </w:rPr>
        <w:t>减排和总量控制的要求，本次大气环境容量核算取</w:t>
      </w:r>
      <w:r>
        <w:rPr>
          <w:rFonts w:ascii="Times New Roman" w:hAnsi="Times New Roman" w:hint="eastAsia"/>
        </w:rPr>
        <w:t>NOx</w:t>
      </w:r>
      <w:r>
        <w:rPr>
          <w:rFonts w:ascii="Times New Roman" w:hAnsi="Times New Roman"/>
        </w:rPr>
        <w:t>作为容量计算因子。</w:t>
      </w:r>
    </w:p>
    <w:p w14:paraId="3FB6613D"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3</w:t>
      </w:r>
      <w:r>
        <w:rPr>
          <w:rFonts w:ascii="Times New Roman" w:hAnsi="Times New Roman"/>
          <w:b/>
        </w:rPr>
        <w:t>）参数确定</w:t>
      </w:r>
    </w:p>
    <w:p w14:paraId="52BD4364" w14:textId="77777777" w:rsidR="009C353B" w:rsidRDefault="00000000">
      <w:pPr>
        <w:pStyle w:val="zzm"/>
        <w:spacing w:line="440" w:lineRule="exact"/>
        <w:ind w:firstLine="480"/>
      </w:pPr>
      <w:r>
        <w:t>根据《制订地方大气污染物排放标准的技术方法》</w:t>
      </w:r>
      <w:r>
        <w:t>( GB/T 3840- 91)</w:t>
      </w:r>
      <w:r>
        <w:t>中表</w:t>
      </w:r>
      <w:r>
        <w:t>1</w:t>
      </w:r>
      <w:r>
        <w:t>规定，本矿区地理区域性总量控制系数</w:t>
      </w:r>
      <w:r>
        <w:t>A</w:t>
      </w:r>
      <w:r>
        <w:t>取值为</w:t>
      </w:r>
      <w:r>
        <w:t>3.5-4.9</w:t>
      </w:r>
      <w:r>
        <w:t>（</w:t>
      </w:r>
      <w:r>
        <w:rPr>
          <w:rFonts w:hint="eastAsia"/>
        </w:rPr>
        <w:t>矿区位于宁夏</w:t>
      </w:r>
      <w:r>
        <w:t>），参照《城市大气环境容量核定技术报告编制大纲》</w:t>
      </w:r>
      <w:r>
        <w:t xml:space="preserve"> </w:t>
      </w:r>
      <w:r>
        <w:t>的补充说明所规定的</w:t>
      </w:r>
      <w:r>
        <w:rPr>
          <w:kern w:val="0"/>
          <w:position w:val="-12"/>
        </w:rPr>
        <w:object w:dxaOrig="2880" w:dyaOrig="369" w14:anchorId="04C33D5C">
          <v:shape id="_x0000_i1185" type="#_x0000_t75" style="width:2in;height:18.55pt" o:ole="">
            <v:imagedata r:id="rId466" o:title=""/>
          </v:shape>
          <o:OLEObject Type="Embed" ProgID="Equation.3" ShapeID="_x0000_i1185" DrawAspect="Content" ObjectID="_1826209284" r:id="rId467"/>
        </w:object>
      </w:r>
      <w:r>
        <w:t xml:space="preserve"> </w:t>
      </w:r>
      <w:r>
        <w:t>确定，矿区地理区域性总量控制系数</w:t>
      </w:r>
      <w:r>
        <w:rPr>
          <w:kern w:val="0"/>
          <w:position w:val="-4"/>
        </w:rPr>
        <w:object w:dxaOrig="234" w:dyaOrig="234" w14:anchorId="5115B5B5">
          <v:shape id="_x0000_i1186" type="#_x0000_t75" style="width:11.45pt;height:11.45pt" o:ole="">
            <v:imagedata r:id="rId468" o:title=""/>
          </v:shape>
          <o:OLEObject Type="Embed" ProgID="Equation.3" ShapeID="_x0000_i1186" DrawAspect="Content" ObjectID="_1826209285" r:id="rId469"/>
        </w:object>
      </w:r>
      <w:r>
        <w:t>值为</w:t>
      </w:r>
      <w:r>
        <w:t>3.64</w:t>
      </w:r>
      <w:r>
        <w:t>。</w:t>
      </w:r>
    </w:p>
    <w:p w14:paraId="41CF3230" w14:textId="77777777" w:rsidR="009C353B" w:rsidRDefault="00000000">
      <w:pPr>
        <w:autoSpaceDE w:val="0"/>
        <w:autoSpaceDN w:val="0"/>
        <w:spacing w:line="440" w:lineRule="exact"/>
        <w:ind w:firstLineChars="200" w:firstLine="480"/>
        <w:textAlignment w:val="baseline"/>
        <w:rPr>
          <w:rFonts w:ascii="Times New Roman" w:hAnsi="Times New Roman"/>
        </w:rPr>
      </w:pPr>
      <w:r>
        <w:rPr>
          <w:rFonts w:ascii="Times New Roman" w:hAnsi="Times New Roman" w:hint="eastAsia"/>
        </w:rPr>
        <w:t>1</w:t>
      </w:r>
      <w:r>
        <w:rPr>
          <w:rFonts w:ascii="Times New Roman" w:hAnsi="Times New Roman" w:hint="eastAsia"/>
        </w:rPr>
        <w:t>）</w:t>
      </w:r>
      <w:r>
        <w:rPr>
          <w:rFonts w:ascii="Times New Roman" w:hAnsi="Times New Roman"/>
        </w:rPr>
        <w:t>依据</w:t>
      </w:r>
      <w:r>
        <w:rPr>
          <w:rFonts w:ascii="Times New Roman" w:hAnsi="Times New Roman"/>
        </w:rPr>
        <w:t>“</w:t>
      </w:r>
      <w:r>
        <w:rPr>
          <w:rFonts w:ascii="Times New Roman" w:hAnsi="Times New Roman"/>
        </w:rPr>
        <w:t>全国环境保护重点城市大气环境容量核定工作方案</w:t>
      </w:r>
      <w:r>
        <w:rPr>
          <w:rFonts w:ascii="Times New Roman" w:hAnsi="Times New Roman"/>
        </w:rPr>
        <w:t>”</w:t>
      </w:r>
      <w:r>
        <w:rPr>
          <w:rFonts w:ascii="Times New Roman" w:hAnsi="Times New Roman"/>
        </w:rPr>
        <w:t>、《城市大气环境容量核定技术报告编制大纲》（环办〔</w:t>
      </w:r>
      <w:r>
        <w:rPr>
          <w:rFonts w:ascii="Times New Roman" w:hAnsi="Times New Roman"/>
        </w:rPr>
        <w:t>2004</w:t>
      </w:r>
      <w:r>
        <w:rPr>
          <w:rFonts w:ascii="Times New Roman" w:hAnsi="Times New Roman"/>
        </w:rPr>
        <w:t>〕</w:t>
      </w:r>
      <w:r>
        <w:rPr>
          <w:rFonts w:ascii="Times New Roman" w:hAnsi="Times New Roman"/>
        </w:rPr>
        <w:t>48</w:t>
      </w:r>
      <w:r>
        <w:rPr>
          <w:rFonts w:ascii="Times New Roman" w:hAnsi="Times New Roman"/>
        </w:rPr>
        <w:t>号），和《</w:t>
      </w:r>
      <w:r>
        <w:rPr>
          <w:rFonts w:ascii="Times New Roman" w:hAnsi="Times New Roman"/>
          <w:kern w:val="0"/>
        </w:rPr>
        <w:t>环境空气</w:t>
      </w:r>
      <w:r>
        <w:rPr>
          <w:rFonts w:ascii="Times New Roman" w:hAnsi="Times New Roman"/>
        </w:rPr>
        <w:t>质量标准》中功能区的划分，整个矿区按工业相对集中区执行二类区二级标准，取年均二级标准为控制目标，即：</w:t>
      </w:r>
      <w:r>
        <w:rPr>
          <w:rFonts w:ascii="Times New Roman" w:hAnsi="Times New Roman" w:hint="eastAsia"/>
        </w:rPr>
        <w:t xml:space="preserve"> N</w:t>
      </w:r>
      <w:r>
        <w:rPr>
          <w:rFonts w:ascii="Times New Roman" w:hAnsi="Times New Roman"/>
        </w:rPr>
        <w:t>O</w:t>
      </w:r>
      <w:r>
        <w:rPr>
          <w:rFonts w:ascii="Times New Roman" w:hAnsi="Times New Roman" w:hint="eastAsia"/>
          <w:vertAlign w:val="subscript"/>
        </w:rPr>
        <w:t>X</w:t>
      </w:r>
      <w:r>
        <w:rPr>
          <w:rFonts w:ascii="Times New Roman" w:hAnsi="Times New Roman"/>
        </w:rPr>
        <w:t>：</w:t>
      </w:r>
      <w:r>
        <w:rPr>
          <w:rFonts w:ascii="Times New Roman" w:hAnsi="Times New Roman"/>
        </w:rPr>
        <w:t>0.0</w:t>
      </w:r>
      <w:r>
        <w:rPr>
          <w:rFonts w:ascii="Times New Roman" w:hAnsi="Times New Roman" w:hint="eastAsia"/>
        </w:rPr>
        <w:t>5</w:t>
      </w:r>
      <w:r>
        <w:rPr>
          <w:rFonts w:ascii="Times New Roman" w:hAnsi="Times New Roman"/>
        </w:rPr>
        <w:t>mg/m</w:t>
      </w:r>
      <w:r>
        <w:rPr>
          <w:rFonts w:ascii="Times New Roman" w:hAnsi="Times New Roman"/>
          <w:vertAlign w:val="superscript"/>
        </w:rPr>
        <w:t>3</w:t>
      </w:r>
      <w:r>
        <w:rPr>
          <w:rFonts w:ascii="Times New Roman" w:hAnsi="Times New Roman"/>
        </w:rPr>
        <w:t>。</w:t>
      </w:r>
    </w:p>
    <w:p w14:paraId="44C533A1" w14:textId="77777777" w:rsidR="009C353B" w:rsidRDefault="00000000">
      <w:pPr>
        <w:autoSpaceDE w:val="0"/>
        <w:autoSpaceDN w:val="0"/>
        <w:spacing w:line="440" w:lineRule="exact"/>
        <w:ind w:firstLineChars="200" w:firstLine="480"/>
        <w:rPr>
          <w:rFonts w:ascii="Times New Roman" w:hAnsi="Times New Roman"/>
          <w:kern w:val="0"/>
        </w:rPr>
      </w:pPr>
      <w:r>
        <w:rPr>
          <w:rFonts w:ascii="Times New Roman" w:hAnsi="Times New Roman"/>
          <w:kern w:val="0"/>
        </w:rPr>
        <w:t>根据《城市大气环境容量核定技术报告编制大纲》，现有监测点位都不能代表区域清洁水平时，本底浓度按如下选取：</w:t>
      </w:r>
    </w:p>
    <w:p w14:paraId="5C5A794F" w14:textId="77777777" w:rsidR="009C353B" w:rsidRDefault="00000000">
      <w:pPr>
        <w:autoSpaceDE w:val="0"/>
        <w:autoSpaceDN w:val="0"/>
        <w:spacing w:line="440" w:lineRule="exact"/>
        <w:ind w:firstLineChars="200" w:firstLine="480"/>
        <w:rPr>
          <w:rFonts w:ascii="Times New Roman" w:hAnsi="Times New Roman"/>
          <w:kern w:val="0"/>
        </w:rPr>
      </w:pPr>
      <w:r>
        <w:rPr>
          <w:rFonts w:cs="宋体" w:hint="eastAsia"/>
          <w:kern w:val="0"/>
        </w:rPr>
        <w:t>①</w:t>
      </w:r>
      <w:r>
        <w:rPr>
          <w:rFonts w:ascii="Times New Roman" w:hAnsi="Times New Roman"/>
          <w:b/>
          <w:kern w:val="0"/>
        </w:rPr>
        <w:t>城区控制区：</w:t>
      </w:r>
      <w:r>
        <w:rPr>
          <w:rFonts w:ascii="Times New Roman" w:hAnsi="Times New Roman"/>
          <w:kern w:val="0"/>
        </w:rPr>
        <w:t>SO</w:t>
      </w:r>
      <w:r>
        <w:rPr>
          <w:rFonts w:ascii="Times New Roman" w:hAnsi="Times New Roman"/>
          <w:kern w:val="0"/>
          <w:vertAlign w:val="subscript"/>
        </w:rPr>
        <w:t>2</w:t>
      </w:r>
      <w:r>
        <w:rPr>
          <w:rFonts w:ascii="Times New Roman" w:hAnsi="Times New Roman"/>
          <w:kern w:val="0"/>
        </w:rPr>
        <w:t>取《环境空气质量标准》（</w:t>
      </w:r>
      <w:r>
        <w:rPr>
          <w:rFonts w:ascii="Times New Roman" w:hAnsi="Times New Roman"/>
          <w:kern w:val="0"/>
        </w:rPr>
        <w:t>GB3095—</w:t>
      </w:r>
      <w:r>
        <w:rPr>
          <w:rFonts w:ascii="Times New Roman" w:hAnsi="Times New Roman" w:hint="eastAsia"/>
          <w:kern w:val="0"/>
        </w:rPr>
        <w:t>2012</w:t>
      </w:r>
      <w:r>
        <w:rPr>
          <w:rFonts w:ascii="Times New Roman" w:hAnsi="Times New Roman"/>
          <w:kern w:val="0"/>
        </w:rPr>
        <w:t>）中一级标准的</w:t>
      </w:r>
      <w:r>
        <w:rPr>
          <w:rFonts w:ascii="Times New Roman" w:hAnsi="Times New Roman"/>
          <w:kern w:val="0"/>
        </w:rPr>
        <w:t>70%</w:t>
      </w:r>
      <w:r>
        <w:rPr>
          <w:rFonts w:ascii="Times New Roman" w:hAnsi="Times New Roman"/>
          <w:kern w:val="0"/>
        </w:rPr>
        <w:t>作为清洁对照点参考数值。</w:t>
      </w:r>
    </w:p>
    <w:p w14:paraId="15ECB307" w14:textId="77777777" w:rsidR="009C353B" w:rsidRDefault="00000000">
      <w:pPr>
        <w:autoSpaceDE w:val="0"/>
        <w:autoSpaceDN w:val="0"/>
        <w:spacing w:line="440" w:lineRule="exact"/>
        <w:ind w:firstLineChars="200" w:firstLine="480"/>
        <w:textAlignment w:val="baseline"/>
        <w:rPr>
          <w:rFonts w:ascii="Times New Roman" w:hAnsi="Times New Roman"/>
        </w:rPr>
      </w:pPr>
      <w:r>
        <w:rPr>
          <w:rFonts w:cs="宋体" w:hint="eastAsia"/>
          <w:kern w:val="0"/>
        </w:rPr>
        <w:t>②</w:t>
      </w:r>
      <w:r>
        <w:rPr>
          <w:rFonts w:ascii="Times New Roman" w:hAnsi="Times New Roman"/>
          <w:b/>
          <w:kern w:val="0"/>
        </w:rPr>
        <w:t>农村地区和风景区、文物区等敏感区：</w:t>
      </w:r>
      <w:r>
        <w:rPr>
          <w:rFonts w:ascii="Times New Roman" w:hAnsi="Times New Roman"/>
          <w:kern w:val="0"/>
        </w:rPr>
        <w:t>SO</w:t>
      </w:r>
      <w:r>
        <w:rPr>
          <w:rFonts w:ascii="Times New Roman" w:hAnsi="Times New Roman"/>
          <w:kern w:val="0"/>
          <w:vertAlign w:val="subscript"/>
        </w:rPr>
        <w:t>2</w:t>
      </w:r>
      <w:r>
        <w:rPr>
          <w:rFonts w:ascii="Times New Roman" w:hAnsi="Times New Roman"/>
          <w:kern w:val="0"/>
        </w:rPr>
        <w:t>取《环境空气质量标准》（</w:t>
      </w:r>
      <w:r>
        <w:rPr>
          <w:rFonts w:ascii="Times New Roman" w:hAnsi="Times New Roman"/>
          <w:kern w:val="0"/>
        </w:rPr>
        <w:t>GB3095—</w:t>
      </w:r>
      <w:r>
        <w:rPr>
          <w:rFonts w:ascii="Times New Roman" w:hAnsi="Times New Roman" w:hint="eastAsia"/>
          <w:kern w:val="0"/>
        </w:rPr>
        <w:t>2012</w:t>
      </w:r>
      <w:r>
        <w:rPr>
          <w:rFonts w:ascii="Times New Roman" w:hAnsi="Times New Roman"/>
          <w:kern w:val="0"/>
        </w:rPr>
        <w:t>）中一级标准的</w:t>
      </w:r>
      <w:r>
        <w:rPr>
          <w:rFonts w:ascii="Times New Roman" w:hAnsi="Times New Roman"/>
          <w:kern w:val="0"/>
        </w:rPr>
        <w:t>50%</w:t>
      </w:r>
      <w:r>
        <w:rPr>
          <w:rFonts w:ascii="Times New Roman" w:hAnsi="Times New Roman"/>
          <w:kern w:val="0"/>
        </w:rPr>
        <w:t>作为清洁对照点参考数值。</w:t>
      </w:r>
    </w:p>
    <w:p w14:paraId="349CD98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w:t>
      </w:r>
      <w:r>
        <w:rPr>
          <w:rFonts w:ascii="Times New Roman" w:hAnsi="Times New Roman"/>
        </w:rPr>
        <w:t>为城区控制区，因此本底浓度</w:t>
      </w:r>
      <w:r>
        <w:rPr>
          <w:rFonts w:ascii="Times New Roman" w:hAnsi="Times New Roman" w:hint="eastAsia"/>
        </w:rPr>
        <w:t>N</w:t>
      </w:r>
      <w:r>
        <w:rPr>
          <w:rFonts w:ascii="Times New Roman" w:hAnsi="Times New Roman"/>
        </w:rPr>
        <w:t>O</w:t>
      </w:r>
      <w:r>
        <w:rPr>
          <w:rFonts w:ascii="Times New Roman" w:hAnsi="Times New Roman" w:hint="eastAsia"/>
          <w:vertAlign w:val="subscript"/>
        </w:rPr>
        <w:t>X</w:t>
      </w:r>
      <w:r>
        <w:rPr>
          <w:rFonts w:ascii="Times New Roman" w:hAnsi="Times New Roman"/>
        </w:rPr>
        <w:t>取值为</w:t>
      </w:r>
      <w:r>
        <w:rPr>
          <w:rFonts w:ascii="Times New Roman" w:hAnsi="Times New Roman"/>
        </w:rPr>
        <w:t>0.03</w:t>
      </w:r>
      <w:r>
        <w:rPr>
          <w:rFonts w:ascii="Times New Roman" w:hAnsi="Times New Roman" w:hint="eastAsia"/>
        </w:rPr>
        <w:t>5</w:t>
      </w:r>
      <w:r>
        <w:rPr>
          <w:rFonts w:ascii="Times New Roman" w:hAnsi="Times New Roman"/>
        </w:rPr>
        <w:t>mg/m</w:t>
      </w:r>
      <w:r>
        <w:rPr>
          <w:rFonts w:ascii="Times New Roman" w:hAnsi="Times New Roman"/>
          <w:vertAlign w:val="superscript"/>
        </w:rPr>
        <w:t>3</w:t>
      </w:r>
      <w:r>
        <w:rPr>
          <w:rFonts w:ascii="Times New Roman" w:hAnsi="Times New Roman"/>
        </w:rPr>
        <w:t>。</w:t>
      </w:r>
    </w:p>
    <w:p w14:paraId="0051DC8D"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由此计算可知，横城矿区</w:t>
      </w:r>
      <w:r>
        <w:rPr>
          <w:rFonts w:ascii="Times New Roman" w:hAnsi="Times New Roman"/>
        </w:rPr>
        <w:t>NO</w:t>
      </w:r>
      <w:r>
        <w:rPr>
          <w:rFonts w:ascii="Times New Roman" w:hAnsi="Times New Roman"/>
          <w:vertAlign w:val="subscript"/>
        </w:rPr>
        <w:t>X</w:t>
      </w:r>
      <w:r>
        <w:rPr>
          <w:rFonts w:ascii="Times New Roman" w:hAnsi="Times New Roman" w:hint="eastAsia"/>
        </w:rPr>
        <w:t>理论</w:t>
      </w:r>
      <w:r>
        <w:rPr>
          <w:rFonts w:ascii="Times New Roman" w:hAnsi="Times New Roman"/>
        </w:rPr>
        <w:t>剩余容量为</w:t>
      </w:r>
      <w:r>
        <w:rPr>
          <w:rFonts w:ascii="Times New Roman" w:hAnsi="Times New Roman"/>
        </w:rPr>
        <w:t>793.71t/a</w:t>
      </w:r>
      <w:r>
        <w:rPr>
          <w:rFonts w:ascii="Times New Roman" w:hAnsi="Times New Roman"/>
        </w:rPr>
        <w:t>。</w:t>
      </w:r>
    </w:p>
    <w:p w14:paraId="5F86ABC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2</w:t>
      </w:r>
      <w:r>
        <w:rPr>
          <w:rFonts w:ascii="Times New Roman" w:hAnsi="Times New Roman" w:hint="eastAsia"/>
        </w:rPr>
        <w:t>）</w:t>
      </w:r>
      <w:r>
        <w:rPr>
          <w:rFonts w:ascii="Times New Roman" w:hAnsi="Times New Roman"/>
        </w:rPr>
        <w:t>依据</w:t>
      </w:r>
      <w:r>
        <w:rPr>
          <w:rFonts w:ascii="Times New Roman" w:hAnsi="Times New Roman"/>
        </w:rPr>
        <w:t>“</w:t>
      </w:r>
      <w:r>
        <w:rPr>
          <w:rFonts w:ascii="Times New Roman" w:hAnsi="Times New Roman"/>
        </w:rPr>
        <w:t>全国环境保护重点城市大气环境容量核定工作方案</w:t>
      </w:r>
      <w:r>
        <w:rPr>
          <w:rFonts w:ascii="Times New Roman" w:hAnsi="Times New Roman"/>
        </w:rPr>
        <w:t>”</w:t>
      </w:r>
      <w:r>
        <w:rPr>
          <w:rFonts w:ascii="Times New Roman" w:hAnsi="Times New Roman"/>
        </w:rPr>
        <w:t>、《城市大气环境容量核定技术报告编制大纲》（环办〔</w:t>
      </w:r>
      <w:r>
        <w:rPr>
          <w:rFonts w:ascii="Times New Roman" w:hAnsi="Times New Roman"/>
        </w:rPr>
        <w:t>2004</w:t>
      </w:r>
      <w:r>
        <w:rPr>
          <w:rFonts w:ascii="Times New Roman" w:hAnsi="Times New Roman"/>
        </w:rPr>
        <w:t>〕</w:t>
      </w:r>
      <w:r>
        <w:rPr>
          <w:rFonts w:ascii="Times New Roman" w:hAnsi="Times New Roman"/>
        </w:rPr>
        <w:t>48</w:t>
      </w:r>
      <w:r>
        <w:rPr>
          <w:rFonts w:ascii="Times New Roman" w:hAnsi="Times New Roman"/>
        </w:rPr>
        <w:t>号），</w:t>
      </w:r>
      <w:r>
        <w:rPr>
          <w:rFonts w:ascii="Times New Roman" w:hAnsi="Times New Roman" w:hint="eastAsia"/>
        </w:rPr>
        <w:t>和《宁夏回族自治区</w:t>
      </w:r>
      <w:r>
        <w:rPr>
          <w:rFonts w:ascii="Times New Roman" w:hAnsi="Times New Roman" w:hint="eastAsia"/>
        </w:rPr>
        <w:t>2019</w:t>
      </w:r>
      <w:r>
        <w:rPr>
          <w:rFonts w:ascii="Times New Roman" w:hAnsi="Times New Roman" w:hint="eastAsia"/>
        </w:rPr>
        <w:t>年生态环境状况公报》，</w:t>
      </w:r>
      <w:r>
        <w:rPr>
          <w:rFonts w:ascii="Times New Roman" w:hAnsi="Times New Roman" w:hint="eastAsia"/>
        </w:rPr>
        <w:t>2019</w:t>
      </w:r>
      <w:r>
        <w:rPr>
          <w:rFonts w:ascii="Times New Roman" w:hAnsi="Times New Roman" w:hint="eastAsia"/>
        </w:rPr>
        <w:t>年宁东</w:t>
      </w:r>
      <w:r>
        <w:rPr>
          <w:rFonts w:ascii="Times New Roman" w:hAnsi="Times New Roman" w:hint="eastAsia"/>
        </w:rPr>
        <w:t>NO</w:t>
      </w:r>
      <w:r>
        <w:rPr>
          <w:rFonts w:ascii="Times New Roman" w:hAnsi="Times New Roman" w:hint="eastAsia"/>
          <w:vertAlign w:val="subscript"/>
        </w:rPr>
        <w:t>2</w:t>
      </w:r>
      <w:r>
        <w:rPr>
          <w:rFonts w:ascii="Times New Roman" w:hAnsi="Times New Roman" w:hint="eastAsia"/>
        </w:rPr>
        <w:t>年均浓度为</w:t>
      </w:r>
      <w:r>
        <w:rPr>
          <w:rFonts w:ascii="Times New Roman" w:hAnsi="Times New Roman" w:hint="eastAsia"/>
        </w:rPr>
        <w:t>0.027</w:t>
      </w:r>
      <w:r>
        <w:rPr>
          <w:rFonts w:ascii="Times New Roman" w:hAnsi="Times New Roman"/>
        </w:rPr>
        <w:t xml:space="preserve"> mg/m</w:t>
      </w:r>
      <w:r>
        <w:rPr>
          <w:rFonts w:ascii="Times New Roman" w:hAnsi="Times New Roman"/>
          <w:vertAlign w:val="superscript"/>
        </w:rPr>
        <w:t>3</w:t>
      </w:r>
      <w:r>
        <w:rPr>
          <w:rFonts w:ascii="Times New Roman" w:hAnsi="Times New Roman"/>
        </w:rPr>
        <w:t>。取</w:t>
      </w:r>
      <w:r>
        <w:rPr>
          <w:rFonts w:ascii="Times New Roman" w:hAnsi="Times New Roman" w:hint="eastAsia"/>
        </w:rPr>
        <w:t>2019</w:t>
      </w:r>
      <w:r>
        <w:rPr>
          <w:rFonts w:ascii="Times New Roman" w:hAnsi="Times New Roman"/>
        </w:rPr>
        <w:t>年均</w:t>
      </w:r>
      <w:r>
        <w:rPr>
          <w:rFonts w:ascii="Times New Roman" w:hAnsi="Times New Roman" w:hint="eastAsia"/>
        </w:rPr>
        <w:t>浓度</w:t>
      </w:r>
      <w:r>
        <w:rPr>
          <w:rFonts w:ascii="Times New Roman" w:hAnsi="Times New Roman"/>
        </w:rPr>
        <w:t>为控制目标，即：</w:t>
      </w:r>
      <w:r>
        <w:rPr>
          <w:rFonts w:ascii="Times New Roman" w:hAnsi="Times New Roman" w:hint="eastAsia"/>
        </w:rPr>
        <w:t>N</w:t>
      </w:r>
      <w:r>
        <w:rPr>
          <w:rFonts w:ascii="Times New Roman" w:hAnsi="Times New Roman"/>
        </w:rPr>
        <w:t>O</w:t>
      </w:r>
      <w:r>
        <w:rPr>
          <w:rFonts w:ascii="Times New Roman" w:hAnsi="Times New Roman" w:hint="eastAsia"/>
          <w:vertAlign w:val="subscript"/>
        </w:rPr>
        <w:t>2</w:t>
      </w:r>
      <w:r>
        <w:rPr>
          <w:rFonts w:ascii="Times New Roman" w:hAnsi="Times New Roman"/>
        </w:rPr>
        <w:t>：</w:t>
      </w:r>
      <w:r>
        <w:rPr>
          <w:rFonts w:ascii="Times New Roman" w:hAnsi="Times New Roman"/>
        </w:rPr>
        <w:t>0.0</w:t>
      </w:r>
      <w:r>
        <w:rPr>
          <w:rFonts w:ascii="Times New Roman" w:hAnsi="Times New Roman" w:hint="eastAsia"/>
        </w:rPr>
        <w:t>27</w:t>
      </w:r>
      <w:r>
        <w:rPr>
          <w:rFonts w:ascii="Times New Roman" w:hAnsi="Times New Roman"/>
        </w:rPr>
        <w:t>mg/m</w:t>
      </w:r>
      <w:r>
        <w:rPr>
          <w:rFonts w:ascii="Times New Roman" w:hAnsi="Times New Roman"/>
          <w:vertAlign w:val="superscript"/>
        </w:rPr>
        <w:t>3</w:t>
      </w:r>
      <w:r>
        <w:rPr>
          <w:rFonts w:ascii="Times New Roman" w:hAnsi="Times New Roman"/>
        </w:rPr>
        <w:t>。</w:t>
      </w:r>
    </w:p>
    <w:p w14:paraId="4C7968C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w:t>
      </w:r>
      <w:r>
        <w:rPr>
          <w:rFonts w:ascii="Times New Roman" w:hAnsi="Times New Roman"/>
        </w:rPr>
        <w:t>为城区控制区，因此本底浓度</w:t>
      </w:r>
      <w:r>
        <w:rPr>
          <w:rFonts w:ascii="Times New Roman" w:hAnsi="Times New Roman" w:hint="eastAsia"/>
        </w:rPr>
        <w:t>N</w:t>
      </w:r>
      <w:r>
        <w:rPr>
          <w:rFonts w:ascii="Times New Roman" w:hAnsi="Times New Roman"/>
        </w:rPr>
        <w:t>O</w:t>
      </w:r>
      <w:r>
        <w:rPr>
          <w:rFonts w:ascii="Times New Roman" w:hAnsi="Times New Roman" w:hint="eastAsia"/>
          <w:vertAlign w:val="subscript"/>
        </w:rPr>
        <w:t>2</w:t>
      </w:r>
      <w:r>
        <w:rPr>
          <w:rFonts w:ascii="Times New Roman" w:hAnsi="Times New Roman"/>
        </w:rPr>
        <w:t>取值为</w:t>
      </w:r>
      <w:r>
        <w:rPr>
          <w:rFonts w:ascii="Times New Roman" w:hAnsi="Times New Roman"/>
        </w:rPr>
        <w:t>0.0</w:t>
      </w:r>
      <w:r>
        <w:rPr>
          <w:rFonts w:ascii="Times New Roman" w:hAnsi="Times New Roman" w:hint="eastAsia"/>
        </w:rPr>
        <w:t>189</w:t>
      </w:r>
      <w:r>
        <w:rPr>
          <w:rFonts w:ascii="Times New Roman" w:hAnsi="Times New Roman"/>
        </w:rPr>
        <w:t>mg/m</w:t>
      </w:r>
      <w:r>
        <w:rPr>
          <w:rFonts w:ascii="Times New Roman" w:hAnsi="Times New Roman"/>
          <w:vertAlign w:val="superscript"/>
        </w:rPr>
        <w:t>3</w:t>
      </w:r>
      <w:r>
        <w:rPr>
          <w:rFonts w:ascii="Times New Roman" w:hAnsi="Times New Roman"/>
        </w:rPr>
        <w:t>。</w:t>
      </w:r>
    </w:p>
    <w:p w14:paraId="68B5A74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由此计算可知，横城矿区</w:t>
      </w:r>
      <w:r>
        <w:rPr>
          <w:rFonts w:ascii="Times New Roman" w:hAnsi="Times New Roman"/>
        </w:rPr>
        <w:t>NO</w:t>
      </w:r>
      <w:r>
        <w:rPr>
          <w:rFonts w:ascii="Times New Roman" w:hAnsi="Times New Roman"/>
          <w:vertAlign w:val="subscript"/>
        </w:rPr>
        <w:t>X</w:t>
      </w:r>
      <w:r>
        <w:rPr>
          <w:rFonts w:ascii="Times New Roman" w:hAnsi="Times New Roman" w:hint="eastAsia"/>
        </w:rPr>
        <w:t>理论</w:t>
      </w:r>
      <w:r>
        <w:rPr>
          <w:rFonts w:ascii="Times New Roman" w:hAnsi="Times New Roman"/>
        </w:rPr>
        <w:t>剩余容量为</w:t>
      </w:r>
      <w:r>
        <w:rPr>
          <w:rFonts w:ascii="Times New Roman" w:hAnsi="Times New Roman" w:hint="eastAsia"/>
        </w:rPr>
        <w:t>428.6</w:t>
      </w:r>
      <w:r>
        <w:rPr>
          <w:rFonts w:ascii="Times New Roman" w:hAnsi="Times New Roman"/>
        </w:rPr>
        <w:t>1t/a</w:t>
      </w:r>
      <w:r>
        <w:rPr>
          <w:rFonts w:ascii="Times New Roman" w:hAnsi="Times New Roman"/>
        </w:rPr>
        <w:t>。</w:t>
      </w:r>
    </w:p>
    <w:p w14:paraId="1BE055B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3</w:t>
      </w:r>
      <w:r>
        <w:rPr>
          <w:rFonts w:ascii="Times New Roman" w:hAnsi="Times New Roman" w:hint="eastAsia"/>
        </w:rPr>
        <w:t>）按最不利考虑，取</w:t>
      </w:r>
      <w:r>
        <w:rPr>
          <w:rFonts w:ascii="Times New Roman" w:hAnsi="Times New Roman"/>
        </w:rPr>
        <w:t>横城矿区</w:t>
      </w:r>
      <w:r>
        <w:rPr>
          <w:rFonts w:ascii="Times New Roman" w:hAnsi="Times New Roman"/>
        </w:rPr>
        <w:t>NO</w:t>
      </w:r>
      <w:r>
        <w:rPr>
          <w:rFonts w:ascii="Times New Roman" w:hAnsi="Times New Roman"/>
          <w:vertAlign w:val="subscript"/>
        </w:rPr>
        <w:t>X</w:t>
      </w:r>
      <w:r>
        <w:rPr>
          <w:rFonts w:ascii="Times New Roman" w:hAnsi="Times New Roman" w:hint="eastAsia"/>
        </w:rPr>
        <w:t>理论</w:t>
      </w:r>
      <w:r>
        <w:rPr>
          <w:rFonts w:ascii="Times New Roman" w:hAnsi="Times New Roman"/>
        </w:rPr>
        <w:t>剩余容量为</w:t>
      </w:r>
      <w:r>
        <w:rPr>
          <w:rFonts w:ascii="Times New Roman" w:hAnsi="Times New Roman" w:hint="eastAsia"/>
        </w:rPr>
        <w:t>428.6</w:t>
      </w:r>
      <w:r>
        <w:rPr>
          <w:rFonts w:ascii="Times New Roman" w:hAnsi="Times New Roman"/>
        </w:rPr>
        <w:t>1t/a</w:t>
      </w:r>
      <w:r>
        <w:rPr>
          <w:rFonts w:ascii="Times New Roman" w:hAnsi="Times New Roman"/>
        </w:rPr>
        <w:t>。</w:t>
      </w:r>
    </w:p>
    <w:p w14:paraId="084458E5"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7</w:t>
      </w:r>
      <w:r>
        <w:rPr>
          <w:rFonts w:ascii="Times New Roman" w:hAnsi="Times New Roman" w:hint="eastAsia"/>
          <w:sz w:val="24"/>
        </w:rPr>
        <w:t>.</w:t>
      </w:r>
      <w:r>
        <w:rPr>
          <w:rFonts w:ascii="Times New Roman" w:hAnsi="Times New Roman"/>
          <w:sz w:val="24"/>
        </w:rPr>
        <w:t xml:space="preserve">3.2 </w:t>
      </w:r>
      <w:r>
        <w:rPr>
          <w:rFonts w:ascii="Times New Roman" w:hAnsi="Times New Roman"/>
          <w:sz w:val="24"/>
        </w:rPr>
        <w:t>矿区大气环境容量承载分析</w:t>
      </w:r>
    </w:p>
    <w:p w14:paraId="41130AC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）大气环境容量承载力分析</w:t>
      </w:r>
    </w:p>
    <w:p w14:paraId="1290657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按照本次环评提出的矿区规划项目设置方案和建设时序，</w:t>
      </w:r>
      <w:r>
        <w:rPr>
          <w:rFonts w:ascii="Times New Roman" w:hAnsi="Times New Roman" w:hint="eastAsia"/>
        </w:rPr>
        <w:t>现状和</w:t>
      </w:r>
      <w:r>
        <w:rPr>
          <w:rFonts w:ascii="Times New Roman" w:hAnsi="Times New Roman"/>
        </w:rPr>
        <w:t>矿区</w:t>
      </w:r>
      <w:r>
        <w:rPr>
          <w:rFonts w:ascii="Times New Roman" w:hAnsi="Times New Roman" w:hint="eastAsia"/>
        </w:rPr>
        <w:t>达产时</w:t>
      </w:r>
      <w:r>
        <w:rPr>
          <w:rFonts w:ascii="Times New Roman" w:hAnsi="Times New Roman"/>
        </w:rPr>
        <w:t>NO</w:t>
      </w:r>
      <w:r>
        <w:rPr>
          <w:rFonts w:ascii="Times New Roman" w:hAnsi="Times New Roman"/>
          <w:vertAlign w:val="subscript"/>
        </w:rPr>
        <w:t>X</w:t>
      </w:r>
      <w:r>
        <w:rPr>
          <w:rFonts w:ascii="Times New Roman" w:hAnsi="Times New Roman"/>
        </w:rPr>
        <w:t>排放量</w:t>
      </w:r>
      <w:r>
        <w:rPr>
          <w:rFonts w:ascii="Times New Roman" w:hAnsi="Times New Roman" w:hint="eastAsia"/>
        </w:rPr>
        <w:t>一致，</w:t>
      </w:r>
      <w:r>
        <w:rPr>
          <w:rFonts w:ascii="Times New Roman" w:hAnsi="Times New Roman"/>
        </w:rPr>
        <w:t>估算结果见下表</w:t>
      </w:r>
      <w:r>
        <w:rPr>
          <w:rFonts w:ascii="Times New Roman" w:hAnsi="Times New Roman"/>
        </w:rPr>
        <w:t>7</w:t>
      </w:r>
      <w:r>
        <w:rPr>
          <w:rFonts w:ascii="Times New Roman" w:hAnsi="Times New Roman" w:hint="eastAsia"/>
        </w:rPr>
        <w:t>.</w:t>
      </w:r>
      <w:r>
        <w:rPr>
          <w:rFonts w:ascii="Times New Roman" w:hAnsi="Times New Roman"/>
        </w:rPr>
        <w:t>3-1</w:t>
      </w:r>
      <w:r>
        <w:rPr>
          <w:rFonts w:ascii="Times New Roman" w:hAnsi="Times New Roman"/>
        </w:rPr>
        <w:t>。</w:t>
      </w:r>
    </w:p>
    <w:p w14:paraId="4891F194" w14:textId="77777777" w:rsidR="009C353B" w:rsidRDefault="00000000">
      <w:pPr>
        <w:pStyle w:val="affffff0"/>
        <w:adjustRightInd w:val="0"/>
        <w:spacing w:line="440" w:lineRule="exact"/>
        <w:jc w:val="center"/>
        <w:rPr>
          <w:rFonts w:ascii="Times New Roman" w:hAnsi="Times New Roman"/>
        </w:rPr>
      </w:pPr>
      <w:r>
        <w:rPr>
          <w:rFonts w:ascii="Times New Roman" w:hAnsi="Times New Roman"/>
        </w:rPr>
        <w:t>矿区</w:t>
      </w:r>
      <w:r>
        <w:rPr>
          <w:rFonts w:ascii="Times New Roman" w:hAnsi="Times New Roman"/>
        </w:rPr>
        <w:t>NO</w:t>
      </w:r>
      <w:r>
        <w:rPr>
          <w:rFonts w:ascii="Times New Roman" w:hAnsi="Times New Roman"/>
          <w:vertAlign w:val="subscript"/>
        </w:rPr>
        <w:t>X</w:t>
      </w:r>
      <w:r>
        <w:rPr>
          <w:rFonts w:ascii="Times New Roman" w:hAnsi="Times New Roman"/>
        </w:rPr>
        <w:t>排放量估算统计表</w:t>
      </w:r>
    </w:p>
    <w:p w14:paraId="21EDA910" w14:textId="77777777" w:rsidR="009C353B" w:rsidRDefault="00000000">
      <w:pPr>
        <w:pStyle w:val="affffd"/>
        <w:spacing w:line="440" w:lineRule="exact"/>
        <w:rPr>
          <w:rFonts w:ascii="Times New Roman" w:hAnsi="Times New Roman"/>
        </w:rPr>
      </w:pPr>
      <w:r>
        <w:rPr>
          <w:rFonts w:ascii="Times New Roman" w:hAnsi="Times New Roman"/>
        </w:rPr>
        <w:t>表</w:t>
      </w:r>
      <w:r>
        <w:rPr>
          <w:rFonts w:ascii="Times New Roman" w:hAnsi="Times New Roman"/>
        </w:rPr>
        <w:t>7</w:t>
      </w:r>
      <w:r>
        <w:rPr>
          <w:rFonts w:ascii="Times New Roman" w:hAnsi="Times New Roman" w:hint="eastAsia"/>
        </w:rPr>
        <w:t>.</w:t>
      </w:r>
      <w:r>
        <w:rPr>
          <w:rFonts w:ascii="Times New Roman" w:hAnsi="Times New Roman"/>
        </w:rPr>
        <w:t>3-1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9"/>
        <w:gridCol w:w="3197"/>
        <w:gridCol w:w="3771"/>
      </w:tblGrid>
      <w:tr w:rsidR="009C353B" w14:paraId="647AA9FA" w14:textId="77777777">
        <w:trPr>
          <w:cantSplit/>
          <w:trHeight w:val="284"/>
          <w:jc w:val="center"/>
        </w:trPr>
        <w:tc>
          <w:tcPr>
            <w:tcW w:w="2263" w:type="dxa"/>
            <w:vAlign w:val="center"/>
          </w:tcPr>
          <w:p w14:paraId="357B8CAD" w14:textId="77777777" w:rsidR="009C353B" w:rsidRDefault="00000000">
            <w:pPr>
              <w:spacing w:line="300" w:lineRule="exact"/>
              <w:ind w:rightChars="-25" w:right="-60"/>
              <w:jc w:val="center"/>
              <w:rPr>
                <w:rFonts w:ascii="Times New Roman" w:hAnsi="Times New Roman"/>
                <w:sz w:val="21"/>
                <w:szCs w:val="21"/>
              </w:rPr>
            </w:pPr>
            <w:r>
              <w:rPr>
                <w:rFonts w:ascii="Times New Roman" w:hAnsi="Times New Roman"/>
                <w:sz w:val="21"/>
                <w:szCs w:val="21"/>
              </w:rPr>
              <w:t>阶段划分</w:t>
            </w:r>
          </w:p>
        </w:tc>
        <w:tc>
          <w:tcPr>
            <w:tcW w:w="3119" w:type="dxa"/>
            <w:vAlign w:val="center"/>
          </w:tcPr>
          <w:p w14:paraId="5FD095B9"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项目</w:t>
            </w:r>
          </w:p>
        </w:tc>
        <w:tc>
          <w:tcPr>
            <w:tcW w:w="3679" w:type="dxa"/>
            <w:vAlign w:val="center"/>
          </w:tcPr>
          <w:p w14:paraId="600CC1FB"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NO</w:t>
            </w:r>
            <w:r>
              <w:rPr>
                <w:rFonts w:ascii="Times New Roman" w:hAnsi="Times New Roman"/>
                <w:sz w:val="21"/>
                <w:szCs w:val="21"/>
                <w:vertAlign w:val="subscript"/>
              </w:rPr>
              <w:t>X</w:t>
            </w:r>
            <w:r>
              <w:rPr>
                <w:rFonts w:ascii="Times New Roman" w:hAnsi="Times New Roman"/>
                <w:sz w:val="21"/>
                <w:szCs w:val="21"/>
              </w:rPr>
              <w:t>排放量（</w:t>
            </w:r>
            <w:r>
              <w:rPr>
                <w:rFonts w:ascii="Times New Roman" w:hAnsi="Times New Roman"/>
                <w:sz w:val="21"/>
                <w:szCs w:val="21"/>
              </w:rPr>
              <w:t>t/a</w:t>
            </w:r>
            <w:r>
              <w:rPr>
                <w:rFonts w:ascii="Times New Roman" w:hAnsi="Times New Roman"/>
                <w:sz w:val="21"/>
                <w:szCs w:val="21"/>
              </w:rPr>
              <w:t>）</w:t>
            </w:r>
          </w:p>
        </w:tc>
      </w:tr>
      <w:tr w:rsidR="009C353B" w14:paraId="23CC10CA" w14:textId="77777777">
        <w:trPr>
          <w:cantSplit/>
          <w:trHeight w:val="284"/>
          <w:jc w:val="center"/>
        </w:trPr>
        <w:tc>
          <w:tcPr>
            <w:tcW w:w="2263" w:type="dxa"/>
            <w:vMerge w:val="restart"/>
            <w:vAlign w:val="center"/>
          </w:tcPr>
          <w:p w14:paraId="50D7B5F5" w14:textId="77777777" w:rsidR="009C353B" w:rsidRDefault="00000000">
            <w:pPr>
              <w:spacing w:line="300" w:lineRule="exact"/>
              <w:ind w:leftChars="-50" w:left="-120" w:rightChars="-50" w:right="-120"/>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020</w:t>
            </w:r>
            <w:r>
              <w:rPr>
                <w:rFonts w:ascii="Times New Roman" w:hAnsi="Times New Roman" w:hint="eastAsia"/>
                <w:sz w:val="21"/>
                <w:szCs w:val="21"/>
              </w:rPr>
              <w:t>-</w:t>
            </w:r>
            <w:r>
              <w:rPr>
                <w:rFonts w:ascii="Times New Roman" w:hAnsi="Times New Roman"/>
                <w:sz w:val="21"/>
                <w:szCs w:val="21"/>
              </w:rPr>
              <w:t>2022</w:t>
            </w:r>
            <w:r>
              <w:rPr>
                <w:rFonts w:ascii="Times New Roman" w:hAnsi="Times New Roman" w:hint="eastAsia"/>
                <w:sz w:val="21"/>
                <w:szCs w:val="21"/>
              </w:rPr>
              <w:t>矿区达产</w:t>
            </w:r>
          </w:p>
        </w:tc>
        <w:tc>
          <w:tcPr>
            <w:tcW w:w="3119" w:type="dxa"/>
            <w:vAlign w:val="center"/>
          </w:tcPr>
          <w:p w14:paraId="7E6C658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int="eastAsia"/>
                <w:sz w:val="21"/>
                <w:szCs w:val="21"/>
              </w:rPr>
              <w:t>任家庄煤矿（生产矿井）</w:t>
            </w:r>
          </w:p>
        </w:tc>
        <w:tc>
          <w:tcPr>
            <w:tcW w:w="3679" w:type="dxa"/>
            <w:vAlign w:val="center"/>
          </w:tcPr>
          <w:p w14:paraId="1F809B2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2"/>
                <w:szCs w:val="22"/>
              </w:rPr>
              <w:t>1</w:t>
            </w:r>
            <w:r>
              <w:rPr>
                <w:rFonts w:ascii="Times New Roman" w:hAnsi="Times New Roman" w:hint="eastAsia"/>
                <w:sz w:val="22"/>
                <w:szCs w:val="22"/>
              </w:rPr>
              <w:t>6</w:t>
            </w:r>
            <w:r>
              <w:rPr>
                <w:rFonts w:ascii="Times New Roman" w:hAnsi="Times New Roman"/>
                <w:sz w:val="22"/>
                <w:szCs w:val="22"/>
              </w:rPr>
              <w:t>.</w:t>
            </w:r>
            <w:r>
              <w:rPr>
                <w:rFonts w:ascii="Times New Roman" w:hAnsi="Times New Roman" w:hint="eastAsia"/>
                <w:sz w:val="22"/>
                <w:szCs w:val="22"/>
              </w:rPr>
              <w:t>2</w:t>
            </w:r>
            <w:r>
              <w:rPr>
                <w:rFonts w:ascii="Times New Roman" w:hAnsi="Times New Roman"/>
                <w:sz w:val="22"/>
                <w:szCs w:val="22"/>
              </w:rPr>
              <w:t>5</w:t>
            </w:r>
          </w:p>
        </w:tc>
      </w:tr>
      <w:tr w:rsidR="009C353B" w14:paraId="2510C655" w14:textId="77777777">
        <w:trPr>
          <w:cantSplit/>
          <w:trHeight w:val="284"/>
          <w:jc w:val="center"/>
        </w:trPr>
        <w:tc>
          <w:tcPr>
            <w:tcW w:w="2263" w:type="dxa"/>
            <w:vMerge/>
            <w:vAlign w:val="center"/>
          </w:tcPr>
          <w:p w14:paraId="66ACDA04" w14:textId="77777777" w:rsidR="009C353B" w:rsidRDefault="009C353B">
            <w:pPr>
              <w:spacing w:line="300" w:lineRule="exact"/>
              <w:ind w:leftChars="-50" w:left="-120" w:rightChars="-50" w:right="-120"/>
              <w:jc w:val="center"/>
              <w:rPr>
                <w:rFonts w:ascii="Times New Roman" w:hAnsi="Times New Roman"/>
                <w:sz w:val="21"/>
                <w:szCs w:val="21"/>
              </w:rPr>
            </w:pPr>
          </w:p>
        </w:tc>
        <w:tc>
          <w:tcPr>
            <w:tcW w:w="3119" w:type="dxa"/>
            <w:vAlign w:val="center"/>
          </w:tcPr>
          <w:p w14:paraId="1034B3FB" w14:textId="77777777" w:rsidR="009C353B" w:rsidRDefault="00000000">
            <w:pPr>
              <w:adjustRightInd w:val="0"/>
              <w:snapToGrid w:val="0"/>
              <w:spacing w:line="240" w:lineRule="atLeast"/>
              <w:jc w:val="center"/>
              <w:rPr>
                <w:rFonts w:ascii="Times New Roman" w:hint="eastAsia"/>
                <w:sz w:val="21"/>
                <w:szCs w:val="21"/>
              </w:rPr>
            </w:pPr>
            <w:r>
              <w:rPr>
                <w:rFonts w:ascii="Times New Roman" w:hint="eastAsia"/>
                <w:sz w:val="21"/>
                <w:szCs w:val="21"/>
              </w:rPr>
              <w:t>丁家梁煤矿（规划在建矿井）</w:t>
            </w:r>
          </w:p>
        </w:tc>
        <w:tc>
          <w:tcPr>
            <w:tcW w:w="3679" w:type="dxa"/>
            <w:vAlign w:val="center"/>
          </w:tcPr>
          <w:p w14:paraId="50E96692" w14:textId="77777777" w:rsidR="009C353B" w:rsidRDefault="00000000">
            <w:pPr>
              <w:adjustRightInd w:val="0"/>
              <w:snapToGrid w:val="0"/>
              <w:spacing w:line="240" w:lineRule="atLeast"/>
              <w:jc w:val="center"/>
              <w:rPr>
                <w:rFonts w:ascii="Times New Roman" w:hAnsi="Times New Roman"/>
                <w:sz w:val="22"/>
                <w:szCs w:val="22"/>
              </w:rPr>
            </w:pPr>
            <w:r>
              <w:rPr>
                <w:rFonts w:ascii="Times New Roman" w:hAnsi="Times New Roman" w:hint="eastAsia"/>
                <w:sz w:val="22"/>
                <w:szCs w:val="22"/>
              </w:rPr>
              <w:t>5.29</w:t>
            </w:r>
          </w:p>
        </w:tc>
      </w:tr>
      <w:tr w:rsidR="009C353B" w14:paraId="671E3AFE" w14:textId="77777777">
        <w:trPr>
          <w:cantSplit/>
          <w:trHeight w:val="284"/>
          <w:jc w:val="center"/>
        </w:trPr>
        <w:tc>
          <w:tcPr>
            <w:tcW w:w="2263" w:type="dxa"/>
            <w:vMerge/>
            <w:tcBorders>
              <w:bottom w:val="single" w:sz="4" w:space="0" w:color="auto"/>
            </w:tcBorders>
            <w:vAlign w:val="center"/>
          </w:tcPr>
          <w:p w14:paraId="0F9575CF" w14:textId="77777777" w:rsidR="009C353B" w:rsidRDefault="009C353B">
            <w:pPr>
              <w:spacing w:line="300" w:lineRule="exact"/>
              <w:jc w:val="center"/>
              <w:rPr>
                <w:rFonts w:ascii="Times New Roman" w:hAnsi="Times New Roman"/>
                <w:sz w:val="21"/>
                <w:szCs w:val="21"/>
              </w:rPr>
            </w:pPr>
          </w:p>
        </w:tc>
        <w:tc>
          <w:tcPr>
            <w:tcW w:w="3119" w:type="dxa"/>
            <w:tcBorders>
              <w:bottom w:val="single" w:sz="4" w:space="0" w:color="auto"/>
            </w:tcBorders>
            <w:vAlign w:val="center"/>
          </w:tcPr>
          <w:p w14:paraId="73D55240" w14:textId="77777777" w:rsidR="009C353B" w:rsidRDefault="00000000">
            <w:pPr>
              <w:jc w:val="center"/>
              <w:rPr>
                <w:rFonts w:ascii="Times New Roman" w:hAnsi="Times New Roman"/>
                <w:b/>
                <w:sz w:val="21"/>
                <w:szCs w:val="21"/>
              </w:rPr>
            </w:pPr>
            <w:r>
              <w:rPr>
                <w:rFonts w:ascii="Times New Roman" w:hAnsi="Times New Roman"/>
                <w:b/>
                <w:sz w:val="21"/>
                <w:szCs w:val="21"/>
              </w:rPr>
              <w:t>合</w:t>
            </w:r>
            <w:r>
              <w:rPr>
                <w:rFonts w:ascii="Times New Roman" w:hAnsi="Times New Roman"/>
                <w:b/>
                <w:sz w:val="21"/>
                <w:szCs w:val="21"/>
              </w:rPr>
              <w:t xml:space="preserve">  </w:t>
            </w:r>
            <w:r>
              <w:rPr>
                <w:rFonts w:ascii="Times New Roman" w:hAnsi="Times New Roman"/>
                <w:b/>
                <w:sz w:val="21"/>
                <w:szCs w:val="21"/>
              </w:rPr>
              <w:t>计</w:t>
            </w:r>
          </w:p>
        </w:tc>
        <w:tc>
          <w:tcPr>
            <w:tcW w:w="3679" w:type="dxa"/>
            <w:tcBorders>
              <w:bottom w:val="single" w:sz="4" w:space="0" w:color="auto"/>
            </w:tcBorders>
            <w:vAlign w:val="center"/>
          </w:tcPr>
          <w:p w14:paraId="59C1491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kern w:val="0"/>
                <w:sz w:val="21"/>
                <w:szCs w:val="21"/>
              </w:rPr>
              <w:t>21.54</w:t>
            </w:r>
          </w:p>
        </w:tc>
      </w:tr>
      <w:tr w:rsidR="009C353B" w14:paraId="1A51BFE3" w14:textId="77777777">
        <w:trPr>
          <w:cantSplit/>
          <w:trHeight w:val="284"/>
          <w:jc w:val="center"/>
        </w:trPr>
        <w:tc>
          <w:tcPr>
            <w:tcW w:w="2263" w:type="dxa"/>
            <w:tcBorders>
              <w:bottom w:val="single" w:sz="4" w:space="0" w:color="auto"/>
            </w:tcBorders>
            <w:vAlign w:val="center"/>
          </w:tcPr>
          <w:p w14:paraId="0DCA063B"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备注</w:t>
            </w:r>
          </w:p>
        </w:tc>
        <w:tc>
          <w:tcPr>
            <w:tcW w:w="6798" w:type="dxa"/>
            <w:gridSpan w:val="2"/>
            <w:tcBorders>
              <w:bottom w:val="single" w:sz="4" w:space="0" w:color="auto"/>
            </w:tcBorders>
            <w:vAlign w:val="center"/>
          </w:tcPr>
          <w:p w14:paraId="1A5DC4C0" w14:textId="77777777" w:rsidR="009C353B" w:rsidRDefault="00000000">
            <w:pPr>
              <w:adjustRightInd w:val="0"/>
              <w:snapToGrid w:val="0"/>
              <w:spacing w:line="240" w:lineRule="atLeast"/>
              <w:jc w:val="left"/>
              <w:rPr>
                <w:rFonts w:ascii="Times New Roman" w:hAnsi="Times New Roman"/>
                <w:kern w:val="0"/>
                <w:sz w:val="21"/>
                <w:szCs w:val="21"/>
              </w:rPr>
            </w:pPr>
            <w:r>
              <w:rPr>
                <w:rFonts w:ascii="Times New Roman" w:hAnsi="Times New Roman" w:hint="eastAsia"/>
                <w:sz w:val="21"/>
                <w:szCs w:val="21"/>
              </w:rPr>
              <w:t>项目</w:t>
            </w:r>
            <w:r>
              <w:rPr>
                <w:rFonts w:ascii="Times New Roman" w:hAnsi="Times New Roman"/>
                <w:sz w:val="21"/>
                <w:szCs w:val="21"/>
              </w:rPr>
              <w:t>NO</w:t>
            </w:r>
            <w:r>
              <w:rPr>
                <w:rFonts w:ascii="Times New Roman" w:hAnsi="Times New Roman"/>
                <w:sz w:val="21"/>
                <w:szCs w:val="21"/>
                <w:vertAlign w:val="subscript"/>
              </w:rPr>
              <w:t>X</w:t>
            </w:r>
            <w:r>
              <w:rPr>
                <w:rFonts w:ascii="Times New Roman" w:hAnsi="Times New Roman"/>
                <w:sz w:val="21"/>
                <w:szCs w:val="21"/>
              </w:rPr>
              <w:t>排放量，</w:t>
            </w:r>
            <w:r>
              <w:rPr>
                <w:rFonts w:ascii="Times New Roman" w:hAnsi="Times New Roman" w:hint="eastAsia"/>
                <w:sz w:val="21"/>
                <w:szCs w:val="21"/>
              </w:rPr>
              <w:t>任家庄</w:t>
            </w:r>
            <w:r>
              <w:rPr>
                <w:rFonts w:ascii="Times New Roman" w:hAnsi="Times New Roman"/>
                <w:sz w:val="21"/>
                <w:szCs w:val="21"/>
              </w:rPr>
              <w:t>参照</w:t>
            </w:r>
            <w:r>
              <w:rPr>
                <w:rFonts w:ascii="Times New Roman" w:hAnsi="Times New Roman" w:hint="eastAsia"/>
                <w:sz w:val="21"/>
                <w:szCs w:val="21"/>
              </w:rPr>
              <w:t>项目</w:t>
            </w:r>
            <w:r>
              <w:rPr>
                <w:rFonts w:ascii="Times New Roman" w:hAnsi="Times New Roman"/>
                <w:sz w:val="21"/>
                <w:szCs w:val="21"/>
              </w:rPr>
              <w:t>实测数据</w:t>
            </w:r>
          </w:p>
        </w:tc>
      </w:tr>
    </w:tbl>
    <w:p w14:paraId="4D3B1B8A" w14:textId="77777777" w:rsidR="009C353B" w:rsidRDefault="00000000">
      <w:pPr>
        <w:spacing w:line="440" w:lineRule="exact"/>
        <w:ind w:firstLineChars="200" w:firstLine="480"/>
        <w:rPr>
          <w:rFonts w:ascii="Times New Roman" w:hAnsi="Times New Roman"/>
        </w:rPr>
      </w:pPr>
      <w:r>
        <w:rPr>
          <w:rFonts w:ascii="Times New Roman" w:hAnsi="Times New Roman"/>
        </w:rPr>
        <w:t>结合前面矿区大气环境容量计算结果，矿区主要</w:t>
      </w:r>
      <w:r>
        <w:rPr>
          <w:rFonts w:ascii="Times New Roman" w:hAnsi="Times New Roman" w:hint="eastAsia"/>
        </w:rPr>
        <w:t>大气</w:t>
      </w:r>
      <w:r>
        <w:rPr>
          <w:rFonts w:ascii="Times New Roman" w:hAnsi="Times New Roman"/>
        </w:rPr>
        <w:t>污染物</w:t>
      </w:r>
      <w:r>
        <w:rPr>
          <w:rFonts w:ascii="Times New Roman" w:hAnsi="Times New Roman"/>
        </w:rPr>
        <w:t>NO</w:t>
      </w:r>
      <w:r>
        <w:rPr>
          <w:rFonts w:ascii="Times New Roman" w:hAnsi="Times New Roman"/>
          <w:vertAlign w:val="subscript"/>
        </w:rPr>
        <w:t>X</w:t>
      </w:r>
      <w:r>
        <w:rPr>
          <w:rFonts w:ascii="Times New Roman" w:hAnsi="Times New Roman"/>
        </w:rPr>
        <w:t>排放量与矿区</w:t>
      </w:r>
      <w:r>
        <w:rPr>
          <w:rFonts w:ascii="Times New Roman" w:hAnsi="Times New Roman"/>
        </w:rPr>
        <w:t>NO</w:t>
      </w:r>
      <w:r>
        <w:rPr>
          <w:rFonts w:ascii="Times New Roman" w:hAnsi="Times New Roman"/>
          <w:vertAlign w:val="subscript"/>
        </w:rPr>
        <w:t>X</w:t>
      </w:r>
      <w:r>
        <w:rPr>
          <w:rFonts w:ascii="Times New Roman" w:hAnsi="Times New Roman"/>
        </w:rPr>
        <w:t>现状剩余容量对比情况见下表</w:t>
      </w:r>
      <w:r>
        <w:rPr>
          <w:rFonts w:ascii="Times New Roman" w:hAnsi="Times New Roman"/>
        </w:rPr>
        <w:t>7</w:t>
      </w:r>
      <w:r>
        <w:rPr>
          <w:rFonts w:ascii="Times New Roman" w:hAnsi="Times New Roman" w:hint="eastAsia"/>
        </w:rPr>
        <w:t>.</w:t>
      </w:r>
      <w:r>
        <w:rPr>
          <w:rFonts w:ascii="Times New Roman" w:hAnsi="Times New Roman"/>
        </w:rPr>
        <w:t>3-2</w:t>
      </w:r>
      <w:r>
        <w:rPr>
          <w:rFonts w:ascii="Times New Roman" w:hAnsi="Times New Roman"/>
        </w:rPr>
        <w:t>。</w:t>
      </w:r>
    </w:p>
    <w:p w14:paraId="6F9C602F" w14:textId="77777777" w:rsidR="009C353B" w:rsidRDefault="009C353B">
      <w:pPr>
        <w:spacing w:line="440" w:lineRule="exact"/>
        <w:ind w:firstLineChars="200" w:firstLine="480"/>
        <w:rPr>
          <w:rFonts w:ascii="Times New Roman" w:hAnsi="Times New Roman"/>
        </w:rPr>
      </w:pPr>
    </w:p>
    <w:p w14:paraId="5D22F038" w14:textId="77777777" w:rsidR="009C353B" w:rsidRDefault="00000000">
      <w:pPr>
        <w:pStyle w:val="affffff0"/>
        <w:spacing w:line="440" w:lineRule="exact"/>
        <w:jc w:val="center"/>
        <w:rPr>
          <w:rFonts w:ascii="Times New Roman" w:hAnsi="Times New Roman"/>
        </w:rPr>
      </w:pPr>
      <w:r>
        <w:rPr>
          <w:rFonts w:ascii="Times New Roman" w:hAnsi="Times New Roman"/>
        </w:rPr>
        <w:t>矿区</w:t>
      </w:r>
      <w:r>
        <w:rPr>
          <w:rFonts w:ascii="Times New Roman" w:hAnsi="Times New Roman"/>
        </w:rPr>
        <w:t>NO</w:t>
      </w:r>
      <w:r>
        <w:rPr>
          <w:rFonts w:ascii="Times New Roman" w:hAnsi="Times New Roman"/>
          <w:vertAlign w:val="subscript"/>
        </w:rPr>
        <w:t>X</w:t>
      </w:r>
      <w:r>
        <w:rPr>
          <w:rFonts w:ascii="Times New Roman" w:hAnsi="Times New Roman"/>
        </w:rPr>
        <w:t>排放量与矿区</w:t>
      </w:r>
      <w:r>
        <w:rPr>
          <w:rFonts w:ascii="Times New Roman" w:hAnsi="Times New Roman"/>
        </w:rPr>
        <w:t>NO</w:t>
      </w:r>
      <w:r>
        <w:rPr>
          <w:rFonts w:ascii="Times New Roman" w:hAnsi="Times New Roman"/>
          <w:vertAlign w:val="subscript"/>
        </w:rPr>
        <w:t>X</w:t>
      </w:r>
      <w:r>
        <w:rPr>
          <w:rFonts w:ascii="Times New Roman" w:hAnsi="Times New Roman"/>
        </w:rPr>
        <w:t>现状剩余容量对比情况一览表</w:t>
      </w:r>
    </w:p>
    <w:p w14:paraId="20668C02" w14:textId="77777777" w:rsidR="009C353B" w:rsidRDefault="00000000">
      <w:pPr>
        <w:pStyle w:val="affffd"/>
        <w:spacing w:line="440" w:lineRule="exact"/>
        <w:rPr>
          <w:rFonts w:ascii="Times New Roman" w:hAnsi="Times New Roman"/>
        </w:rPr>
      </w:pPr>
      <w:r>
        <w:rPr>
          <w:rFonts w:ascii="Times New Roman" w:hAnsi="Times New Roman"/>
        </w:rPr>
        <w:t>表</w:t>
      </w:r>
      <w:r>
        <w:rPr>
          <w:rFonts w:ascii="Times New Roman" w:hAnsi="Times New Roman"/>
        </w:rPr>
        <w:t>7</w:t>
      </w:r>
      <w:r>
        <w:rPr>
          <w:rFonts w:ascii="Times New Roman" w:hAnsi="Times New Roman" w:hint="eastAsia"/>
        </w:rPr>
        <w:t>.</w:t>
      </w:r>
      <w:r>
        <w:rPr>
          <w:rFonts w:ascii="Times New Roman" w:hAnsi="Times New Roman"/>
        </w:rPr>
        <w:t>3-2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1"/>
        <w:gridCol w:w="4798"/>
        <w:gridCol w:w="2828"/>
      </w:tblGrid>
      <w:tr w:rsidR="009C353B" w14:paraId="5DB80114" w14:textId="77777777">
        <w:trPr>
          <w:cantSplit/>
          <w:trHeight w:val="340"/>
          <w:jc w:val="center"/>
        </w:trPr>
        <w:tc>
          <w:tcPr>
            <w:tcW w:w="1249" w:type="dxa"/>
            <w:vAlign w:val="center"/>
          </w:tcPr>
          <w:p w14:paraId="1915DF47" w14:textId="77777777" w:rsidR="009C353B" w:rsidRDefault="00000000">
            <w:pPr>
              <w:spacing w:line="300" w:lineRule="exact"/>
              <w:ind w:leftChars="-25" w:left="-60"/>
              <w:jc w:val="center"/>
              <w:rPr>
                <w:rFonts w:ascii="Times New Roman" w:hAnsi="Times New Roman"/>
                <w:sz w:val="21"/>
                <w:szCs w:val="21"/>
              </w:rPr>
            </w:pPr>
            <w:r>
              <w:rPr>
                <w:rFonts w:ascii="Times New Roman" w:hAnsi="Times New Roman" w:hint="eastAsia"/>
                <w:sz w:val="21"/>
                <w:szCs w:val="21"/>
              </w:rPr>
              <w:t>阶段划分</w:t>
            </w:r>
          </w:p>
        </w:tc>
        <w:tc>
          <w:tcPr>
            <w:tcW w:w="3607" w:type="dxa"/>
            <w:vAlign w:val="center"/>
          </w:tcPr>
          <w:p w14:paraId="77236342"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对比项目</w:t>
            </w:r>
          </w:p>
        </w:tc>
        <w:tc>
          <w:tcPr>
            <w:tcW w:w="2126" w:type="dxa"/>
            <w:vAlign w:val="center"/>
          </w:tcPr>
          <w:p w14:paraId="23A3CB39" w14:textId="77777777" w:rsidR="009C353B" w:rsidRDefault="00000000">
            <w:pPr>
              <w:spacing w:line="300" w:lineRule="exact"/>
              <w:jc w:val="center"/>
              <w:rPr>
                <w:rFonts w:ascii="Times New Roman" w:hAnsi="Times New Roman"/>
                <w:sz w:val="21"/>
                <w:szCs w:val="21"/>
              </w:rPr>
            </w:pPr>
            <w:r>
              <w:rPr>
                <w:rFonts w:ascii="Times New Roman" w:hAnsi="Times New Roman"/>
                <w:sz w:val="21"/>
                <w:szCs w:val="21"/>
              </w:rPr>
              <w:t>NO</w:t>
            </w:r>
            <w:r>
              <w:rPr>
                <w:rFonts w:ascii="Times New Roman" w:hAnsi="Times New Roman"/>
                <w:sz w:val="21"/>
                <w:szCs w:val="21"/>
                <w:vertAlign w:val="subscript"/>
              </w:rPr>
              <w:t>X</w:t>
            </w:r>
            <w:r>
              <w:rPr>
                <w:rFonts w:ascii="Times New Roman" w:hAnsi="Times New Roman"/>
                <w:sz w:val="21"/>
                <w:szCs w:val="21"/>
              </w:rPr>
              <w:t>对比项目指标值</w:t>
            </w:r>
          </w:p>
        </w:tc>
      </w:tr>
      <w:tr w:rsidR="009C353B" w14:paraId="28768A34" w14:textId="77777777">
        <w:trPr>
          <w:cantSplit/>
          <w:trHeight w:val="340"/>
          <w:jc w:val="center"/>
        </w:trPr>
        <w:tc>
          <w:tcPr>
            <w:tcW w:w="1249" w:type="dxa"/>
            <w:vMerge w:val="restart"/>
            <w:vAlign w:val="center"/>
          </w:tcPr>
          <w:p w14:paraId="770E3F05" w14:textId="77777777" w:rsidR="009C353B" w:rsidRDefault="00000000">
            <w:pPr>
              <w:spacing w:line="300" w:lineRule="exact"/>
              <w:ind w:leftChars="-50" w:left="-120" w:rightChars="-50" w:right="-120"/>
              <w:jc w:val="center"/>
              <w:rPr>
                <w:rFonts w:ascii="Times New Roman" w:hAnsi="Times New Roman"/>
                <w:sz w:val="21"/>
                <w:szCs w:val="21"/>
              </w:rPr>
            </w:pPr>
            <w:r>
              <w:rPr>
                <w:rFonts w:ascii="Times New Roman" w:hAnsi="Times New Roman" w:hint="eastAsia"/>
                <w:sz w:val="21"/>
                <w:szCs w:val="21"/>
              </w:rPr>
              <w:t>矿区达产</w:t>
            </w:r>
          </w:p>
        </w:tc>
        <w:tc>
          <w:tcPr>
            <w:tcW w:w="3607" w:type="dxa"/>
            <w:vAlign w:val="center"/>
          </w:tcPr>
          <w:p w14:paraId="78948C16" w14:textId="77777777" w:rsidR="009C353B" w:rsidRDefault="00000000">
            <w:pPr>
              <w:pStyle w:val="afffff7"/>
              <w:spacing w:line="300" w:lineRule="exact"/>
              <w:jc w:val="left"/>
              <w:rPr>
                <w:rFonts w:ascii="Times New Roman" w:hAnsi="Times New Roman"/>
                <w:szCs w:val="21"/>
              </w:rPr>
            </w:pPr>
            <w:r>
              <w:rPr>
                <w:rFonts w:ascii="Times New Roman" w:hAnsi="Times New Roman"/>
                <w:szCs w:val="21"/>
              </w:rPr>
              <w:t>矿区</w:t>
            </w:r>
            <w:r>
              <w:rPr>
                <w:rFonts w:ascii="Times New Roman" w:hAnsi="Times New Roman"/>
                <w:szCs w:val="21"/>
              </w:rPr>
              <w:t>NO</w:t>
            </w:r>
            <w:r>
              <w:rPr>
                <w:rFonts w:ascii="Times New Roman" w:hAnsi="Times New Roman"/>
                <w:szCs w:val="21"/>
                <w:vertAlign w:val="subscript"/>
              </w:rPr>
              <w:t>X</w:t>
            </w:r>
            <w:r>
              <w:rPr>
                <w:rFonts w:ascii="Times New Roman" w:hAnsi="Times New Roman"/>
                <w:szCs w:val="21"/>
              </w:rPr>
              <w:t>排放量（</w:t>
            </w:r>
            <w:r>
              <w:rPr>
                <w:rFonts w:ascii="Times New Roman" w:hAnsi="Times New Roman"/>
                <w:szCs w:val="21"/>
              </w:rPr>
              <w:t>t/a</w:t>
            </w:r>
            <w:r>
              <w:rPr>
                <w:rFonts w:ascii="Times New Roman" w:hAnsi="Times New Roman"/>
                <w:szCs w:val="21"/>
              </w:rPr>
              <w:t>）</w:t>
            </w:r>
          </w:p>
        </w:tc>
        <w:tc>
          <w:tcPr>
            <w:tcW w:w="2126" w:type="dxa"/>
            <w:vAlign w:val="center"/>
          </w:tcPr>
          <w:p w14:paraId="75CF3022" w14:textId="77777777" w:rsidR="009C353B" w:rsidRDefault="00000000">
            <w:pPr>
              <w:jc w:val="center"/>
              <w:rPr>
                <w:rFonts w:ascii="Times New Roman" w:hAnsi="Times New Roman"/>
                <w:sz w:val="21"/>
                <w:szCs w:val="21"/>
              </w:rPr>
            </w:pPr>
            <w:r>
              <w:rPr>
                <w:rFonts w:ascii="Times New Roman" w:hAnsi="Times New Roman"/>
                <w:kern w:val="0"/>
                <w:sz w:val="21"/>
                <w:szCs w:val="21"/>
              </w:rPr>
              <w:t>21.54</w:t>
            </w:r>
          </w:p>
        </w:tc>
      </w:tr>
      <w:tr w:rsidR="009C353B" w14:paraId="17E9BEF3" w14:textId="77777777">
        <w:trPr>
          <w:cantSplit/>
          <w:trHeight w:val="340"/>
          <w:jc w:val="center"/>
        </w:trPr>
        <w:tc>
          <w:tcPr>
            <w:tcW w:w="1249" w:type="dxa"/>
            <w:vMerge/>
            <w:vAlign w:val="center"/>
          </w:tcPr>
          <w:p w14:paraId="66A0BE7C" w14:textId="77777777" w:rsidR="009C353B" w:rsidRDefault="009C353B">
            <w:pPr>
              <w:spacing w:line="300" w:lineRule="exact"/>
              <w:jc w:val="center"/>
              <w:rPr>
                <w:rFonts w:ascii="Times New Roman" w:hAnsi="Times New Roman"/>
                <w:sz w:val="21"/>
                <w:szCs w:val="21"/>
              </w:rPr>
            </w:pPr>
          </w:p>
        </w:tc>
        <w:tc>
          <w:tcPr>
            <w:tcW w:w="3607" w:type="dxa"/>
            <w:vAlign w:val="center"/>
          </w:tcPr>
          <w:p w14:paraId="3FB893D5" w14:textId="77777777" w:rsidR="009C353B" w:rsidRDefault="00000000">
            <w:pPr>
              <w:pStyle w:val="afffff7"/>
              <w:spacing w:line="300" w:lineRule="exact"/>
              <w:jc w:val="left"/>
              <w:rPr>
                <w:rFonts w:ascii="Times New Roman" w:hAnsi="Times New Roman"/>
                <w:szCs w:val="21"/>
              </w:rPr>
            </w:pPr>
            <w:r>
              <w:rPr>
                <w:rFonts w:ascii="Times New Roman" w:hAnsi="Times New Roman"/>
                <w:szCs w:val="21"/>
              </w:rPr>
              <w:t>矿区</w:t>
            </w:r>
            <w:r>
              <w:rPr>
                <w:rFonts w:ascii="Times New Roman" w:hAnsi="Times New Roman"/>
                <w:szCs w:val="21"/>
              </w:rPr>
              <w:t>NO</w:t>
            </w:r>
            <w:r>
              <w:rPr>
                <w:rFonts w:ascii="Times New Roman" w:hAnsi="Times New Roman"/>
                <w:szCs w:val="21"/>
                <w:vertAlign w:val="subscript"/>
              </w:rPr>
              <w:t>X</w:t>
            </w:r>
            <w:r>
              <w:rPr>
                <w:rFonts w:ascii="Times New Roman" w:hAnsi="Times New Roman"/>
                <w:szCs w:val="21"/>
              </w:rPr>
              <w:t>现状剩余容量（</w:t>
            </w:r>
            <w:r>
              <w:rPr>
                <w:rFonts w:ascii="Times New Roman" w:hAnsi="Times New Roman"/>
                <w:szCs w:val="21"/>
              </w:rPr>
              <w:t>t/a</w:t>
            </w:r>
            <w:r>
              <w:rPr>
                <w:rFonts w:ascii="Times New Roman" w:hAnsi="Times New Roman"/>
                <w:szCs w:val="21"/>
              </w:rPr>
              <w:t>）</w:t>
            </w:r>
          </w:p>
        </w:tc>
        <w:tc>
          <w:tcPr>
            <w:tcW w:w="2126" w:type="dxa"/>
            <w:vAlign w:val="center"/>
          </w:tcPr>
          <w:p w14:paraId="270C24BA" w14:textId="77777777" w:rsidR="009C353B" w:rsidRDefault="00000000">
            <w:pPr>
              <w:pStyle w:val="afffff7"/>
              <w:spacing w:line="300" w:lineRule="exact"/>
              <w:jc w:val="center"/>
              <w:rPr>
                <w:rFonts w:ascii="Times New Roman" w:hAnsi="Times New Roman"/>
                <w:szCs w:val="21"/>
              </w:rPr>
            </w:pPr>
            <w:r>
              <w:rPr>
                <w:rFonts w:ascii="Times New Roman" w:hAnsi="Times New Roman" w:hint="eastAsia"/>
              </w:rPr>
              <w:t>428.61</w:t>
            </w:r>
          </w:p>
        </w:tc>
      </w:tr>
      <w:tr w:rsidR="009C353B" w14:paraId="7237E234" w14:textId="77777777">
        <w:trPr>
          <w:cantSplit/>
          <w:trHeight w:val="340"/>
          <w:jc w:val="center"/>
        </w:trPr>
        <w:tc>
          <w:tcPr>
            <w:tcW w:w="1249" w:type="dxa"/>
            <w:vMerge/>
            <w:vAlign w:val="center"/>
          </w:tcPr>
          <w:p w14:paraId="7D4F3FC6" w14:textId="77777777" w:rsidR="009C353B" w:rsidRDefault="009C353B">
            <w:pPr>
              <w:spacing w:line="300" w:lineRule="exact"/>
              <w:jc w:val="center"/>
              <w:rPr>
                <w:rFonts w:ascii="Times New Roman" w:hAnsi="Times New Roman"/>
                <w:sz w:val="21"/>
                <w:szCs w:val="21"/>
              </w:rPr>
            </w:pPr>
          </w:p>
        </w:tc>
        <w:tc>
          <w:tcPr>
            <w:tcW w:w="3607" w:type="dxa"/>
            <w:vAlign w:val="center"/>
          </w:tcPr>
          <w:p w14:paraId="644E846A" w14:textId="77777777" w:rsidR="009C353B" w:rsidRDefault="00000000">
            <w:pPr>
              <w:pStyle w:val="afffff7"/>
              <w:spacing w:line="300" w:lineRule="exact"/>
              <w:jc w:val="left"/>
              <w:rPr>
                <w:rFonts w:ascii="Times New Roman" w:hAnsi="Times New Roman"/>
                <w:szCs w:val="21"/>
              </w:rPr>
            </w:pPr>
            <w:r>
              <w:rPr>
                <w:rFonts w:ascii="Times New Roman" w:hAnsi="Times New Roman"/>
                <w:szCs w:val="21"/>
              </w:rPr>
              <w:t>矿区</w:t>
            </w:r>
            <w:r>
              <w:rPr>
                <w:rFonts w:ascii="Times New Roman" w:hAnsi="Times New Roman"/>
                <w:szCs w:val="21"/>
              </w:rPr>
              <w:t>NO</w:t>
            </w:r>
            <w:r>
              <w:rPr>
                <w:rFonts w:ascii="Times New Roman" w:hAnsi="Times New Roman"/>
                <w:szCs w:val="21"/>
                <w:vertAlign w:val="subscript"/>
              </w:rPr>
              <w:t>X</w:t>
            </w:r>
            <w:r>
              <w:rPr>
                <w:rFonts w:ascii="Times New Roman" w:hAnsi="Times New Roman"/>
                <w:szCs w:val="21"/>
              </w:rPr>
              <w:t>排放量占现状剩余容量</w:t>
            </w:r>
            <w:r>
              <w:rPr>
                <w:rFonts w:ascii="Times New Roman" w:hAnsi="Times New Roman" w:hint="eastAsia"/>
                <w:szCs w:val="21"/>
              </w:rPr>
              <w:t>(%)</w:t>
            </w:r>
          </w:p>
        </w:tc>
        <w:tc>
          <w:tcPr>
            <w:tcW w:w="2126" w:type="dxa"/>
            <w:vAlign w:val="center"/>
          </w:tcPr>
          <w:p w14:paraId="333ACF85" w14:textId="77777777" w:rsidR="009C353B" w:rsidRDefault="00000000">
            <w:pPr>
              <w:jc w:val="center"/>
              <w:rPr>
                <w:rFonts w:ascii="Times New Roman" w:hAnsi="Times New Roman"/>
                <w:sz w:val="21"/>
                <w:szCs w:val="21"/>
              </w:rPr>
            </w:pPr>
            <w:r>
              <w:rPr>
                <w:rFonts w:ascii="Times New Roman" w:hAnsi="Times New Roman"/>
                <w:sz w:val="21"/>
                <w:szCs w:val="21"/>
              </w:rPr>
              <w:t>5.0</w:t>
            </w:r>
          </w:p>
        </w:tc>
      </w:tr>
    </w:tbl>
    <w:p w14:paraId="64EDCA4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矿区达产</w:t>
      </w:r>
      <w:r>
        <w:rPr>
          <w:rFonts w:ascii="Times New Roman" w:hAnsi="Times New Roman"/>
        </w:rPr>
        <w:t>（</w:t>
      </w:r>
      <w:r>
        <w:rPr>
          <w:rFonts w:ascii="Times New Roman" w:hAnsi="Times New Roman"/>
        </w:rPr>
        <w:t>2022</w:t>
      </w:r>
      <w:r>
        <w:rPr>
          <w:rFonts w:ascii="Times New Roman" w:hAnsi="Times New Roman"/>
        </w:rPr>
        <w:t>年后）</w:t>
      </w:r>
      <w:r>
        <w:rPr>
          <w:rFonts w:ascii="Times New Roman" w:hAnsi="Times New Roman"/>
          <w:szCs w:val="21"/>
        </w:rPr>
        <w:t>矿区</w:t>
      </w:r>
      <w:r>
        <w:rPr>
          <w:rFonts w:ascii="Times New Roman" w:hAnsi="Times New Roman" w:hint="eastAsia"/>
          <w:szCs w:val="21"/>
        </w:rPr>
        <w:t>N</w:t>
      </w:r>
      <w:r>
        <w:rPr>
          <w:rFonts w:ascii="Times New Roman" w:hAnsi="Times New Roman"/>
          <w:szCs w:val="21"/>
        </w:rPr>
        <w:t>O</w:t>
      </w:r>
      <w:r>
        <w:rPr>
          <w:rFonts w:ascii="Times New Roman" w:hAnsi="Times New Roman"/>
          <w:szCs w:val="21"/>
          <w:vertAlign w:val="subscript"/>
        </w:rPr>
        <w:t>X</w:t>
      </w:r>
      <w:r>
        <w:rPr>
          <w:rFonts w:ascii="Times New Roman" w:hAnsi="Times New Roman"/>
          <w:szCs w:val="21"/>
        </w:rPr>
        <w:t>排放量占现状剩余</w:t>
      </w:r>
      <w:r>
        <w:rPr>
          <w:rFonts w:ascii="Times New Roman" w:hAnsi="Times New Roman" w:hint="eastAsia"/>
          <w:szCs w:val="21"/>
        </w:rPr>
        <w:t>大气</w:t>
      </w:r>
      <w:r>
        <w:rPr>
          <w:rFonts w:ascii="Times New Roman" w:hAnsi="Times New Roman"/>
          <w:szCs w:val="21"/>
        </w:rPr>
        <w:t>容量</w:t>
      </w:r>
      <w:r>
        <w:rPr>
          <w:rFonts w:ascii="Times New Roman" w:hAnsi="Times New Roman" w:hint="eastAsia"/>
          <w:szCs w:val="21"/>
        </w:rPr>
        <w:t>的</w:t>
      </w:r>
      <w:r>
        <w:rPr>
          <w:rFonts w:ascii="Times New Roman" w:hAnsi="Times New Roman"/>
          <w:szCs w:val="21"/>
        </w:rPr>
        <w:t>5.0</w:t>
      </w:r>
      <w:r>
        <w:rPr>
          <w:rFonts w:hint="eastAsia"/>
          <w:szCs w:val="21"/>
        </w:rPr>
        <w:t>%</w:t>
      </w:r>
      <w:r>
        <w:rPr>
          <w:rFonts w:ascii="Times New Roman" w:hAnsi="Times New Roman" w:hint="eastAsia"/>
        </w:rPr>
        <w:t>，</w:t>
      </w:r>
      <w:r>
        <w:rPr>
          <w:rFonts w:ascii="Times New Roman" w:hAnsi="Times New Roman"/>
        </w:rPr>
        <w:t>因此，矿区现状</w:t>
      </w:r>
      <w:r>
        <w:rPr>
          <w:rFonts w:ascii="Times New Roman" w:hAnsi="Times New Roman"/>
          <w:szCs w:val="21"/>
        </w:rPr>
        <w:t>NO</w:t>
      </w:r>
      <w:r>
        <w:rPr>
          <w:rFonts w:ascii="Times New Roman" w:hAnsi="Times New Roman"/>
          <w:szCs w:val="21"/>
          <w:vertAlign w:val="subscript"/>
        </w:rPr>
        <w:t>X</w:t>
      </w:r>
      <w:r>
        <w:rPr>
          <w:rFonts w:ascii="Times New Roman" w:hAnsi="Times New Roman"/>
        </w:rPr>
        <w:t>剩余容量能够承载矿区规划项目</w:t>
      </w:r>
      <w:r>
        <w:rPr>
          <w:rFonts w:ascii="Times New Roman" w:hAnsi="Times New Roman"/>
          <w:szCs w:val="21"/>
        </w:rPr>
        <w:t>NO</w:t>
      </w:r>
      <w:r>
        <w:rPr>
          <w:rFonts w:ascii="Times New Roman" w:hAnsi="Times New Roman"/>
          <w:szCs w:val="21"/>
          <w:vertAlign w:val="subscript"/>
        </w:rPr>
        <w:t>X</w:t>
      </w:r>
      <w:r>
        <w:rPr>
          <w:rFonts w:ascii="Times New Roman" w:hAnsi="Times New Roman"/>
        </w:rPr>
        <w:t>排放需要。</w:t>
      </w:r>
    </w:p>
    <w:p w14:paraId="117589C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）总量承载及控制分析</w:t>
      </w:r>
    </w:p>
    <w:p w14:paraId="6532EFBB" w14:textId="77777777" w:rsidR="009C353B" w:rsidRDefault="00000000">
      <w:pPr>
        <w:adjustRightInd w:val="0"/>
        <w:snapToGrid w:val="0"/>
        <w:spacing w:line="440" w:lineRule="exact"/>
        <w:ind w:firstLineChars="200" w:firstLine="482"/>
        <w:rPr>
          <w:rFonts w:ascii="Times New Roman" w:hAnsi="Times New Roman"/>
          <w:b/>
          <w:bCs/>
          <w:szCs w:val="21"/>
        </w:rPr>
      </w:pPr>
      <w:r>
        <w:rPr>
          <w:rFonts w:ascii="Times New Roman" w:hAnsi="Times New Roman"/>
          <w:b/>
          <w:bCs/>
          <w:szCs w:val="21"/>
        </w:rPr>
        <w:t>1</w:t>
      </w:r>
      <w:r>
        <w:rPr>
          <w:rFonts w:ascii="Times New Roman" w:hAnsi="Times New Roman"/>
          <w:b/>
          <w:bCs/>
          <w:szCs w:val="21"/>
        </w:rPr>
        <w:t>）</w:t>
      </w:r>
      <w:r>
        <w:rPr>
          <w:rFonts w:ascii="Times New Roman" w:hAnsi="Times New Roman" w:hint="eastAsia"/>
          <w:b/>
          <w:bCs/>
          <w:szCs w:val="21"/>
        </w:rPr>
        <w:t>宁东基地</w:t>
      </w:r>
      <w:r>
        <w:rPr>
          <w:rFonts w:ascii="Times New Roman" w:hAnsi="Times New Roman" w:hint="eastAsia"/>
          <w:b/>
          <w:bCs/>
          <w:szCs w:val="21"/>
        </w:rPr>
        <w:t>2</w:t>
      </w:r>
      <w:r>
        <w:rPr>
          <w:rFonts w:ascii="Times New Roman" w:hAnsi="Times New Roman"/>
          <w:b/>
          <w:bCs/>
          <w:szCs w:val="21"/>
        </w:rPr>
        <w:t>018</w:t>
      </w:r>
      <w:r>
        <w:rPr>
          <w:rFonts w:ascii="Times New Roman" w:hAnsi="Times New Roman" w:hint="eastAsia"/>
          <w:b/>
          <w:bCs/>
          <w:szCs w:val="21"/>
        </w:rPr>
        <w:t>年主要污染物</w:t>
      </w:r>
      <w:r>
        <w:rPr>
          <w:rFonts w:ascii="Times New Roman" w:hAnsi="Times New Roman"/>
          <w:b/>
          <w:bCs/>
          <w:szCs w:val="21"/>
        </w:rPr>
        <w:t>总量控制</w:t>
      </w:r>
    </w:p>
    <w:p w14:paraId="6E23B65E" w14:textId="77777777" w:rsidR="009C353B" w:rsidRDefault="00000000">
      <w:pPr>
        <w:adjustRightInd w:val="0"/>
        <w:snapToGrid w:val="0"/>
        <w:spacing w:line="440" w:lineRule="exact"/>
        <w:ind w:firstLineChars="200" w:firstLine="480"/>
        <w:rPr>
          <w:rFonts w:ascii="Times New Roman" w:hAnsi="Times New Roman"/>
          <w:szCs w:val="21"/>
        </w:rPr>
      </w:pPr>
      <w:r>
        <w:rPr>
          <w:rFonts w:ascii="Times New Roman" w:hAnsi="Times New Roman"/>
          <w:szCs w:val="21"/>
        </w:rPr>
        <w:t>根据</w:t>
      </w:r>
      <w:r>
        <w:rPr>
          <w:rFonts w:ascii="Times New Roman" w:hAnsi="Times New Roman" w:hint="eastAsia"/>
          <w:szCs w:val="21"/>
        </w:rPr>
        <w:t>《宁东基地</w:t>
      </w:r>
      <w:r>
        <w:rPr>
          <w:rFonts w:ascii="Times New Roman" w:hAnsi="Times New Roman" w:hint="eastAsia"/>
          <w:szCs w:val="21"/>
        </w:rPr>
        <w:t>2</w:t>
      </w:r>
      <w:r>
        <w:rPr>
          <w:rFonts w:ascii="Times New Roman" w:hAnsi="Times New Roman"/>
          <w:szCs w:val="21"/>
        </w:rPr>
        <w:t>018</w:t>
      </w:r>
      <w:r>
        <w:rPr>
          <w:rFonts w:ascii="Times New Roman" w:hAnsi="Times New Roman" w:hint="eastAsia"/>
          <w:szCs w:val="21"/>
        </w:rPr>
        <w:t>年主要污染物</w:t>
      </w:r>
      <w:r>
        <w:rPr>
          <w:rFonts w:ascii="Times New Roman" w:hAnsi="Times New Roman"/>
          <w:szCs w:val="21"/>
        </w:rPr>
        <w:t>总量</w:t>
      </w:r>
      <w:r>
        <w:rPr>
          <w:rFonts w:ascii="Times New Roman" w:hAnsi="Times New Roman" w:hint="eastAsia"/>
          <w:szCs w:val="21"/>
        </w:rPr>
        <w:t>减排计划》</w:t>
      </w:r>
      <w:r>
        <w:rPr>
          <w:rFonts w:ascii="Times New Roman" w:hAnsi="Times New Roman"/>
          <w:szCs w:val="21"/>
        </w:rPr>
        <w:t>，</w:t>
      </w:r>
      <w:r>
        <w:rPr>
          <w:rFonts w:ascii="Times New Roman" w:hAnsi="Times New Roman" w:hint="eastAsia"/>
          <w:szCs w:val="21"/>
        </w:rPr>
        <w:t>2</w:t>
      </w:r>
      <w:r>
        <w:rPr>
          <w:rFonts w:ascii="Times New Roman" w:hAnsi="Times New Roman"/>
          <w:szCs w:val="21"/>
        </w:rPr>
        <w:t>018</w:t>
      </w:r>
      <w:r>
        <w:rPr>
          <w:rFonts w:ascii="Times New Roman" w:hAnsi="Times New Roman" w:hint="eastAsia"/>
          <w:szCs w:val="21"/>
        </w:rPr>
        <w:t>年氮氧化物排放总量较</w:t>
      </w:r>
      <w:r>
        <w:rPr>
          <w:rFonts w:ascii="Times New Roman" w:hAnsi="Times New Roman" w:hint="eastAsia"/>
          <w:szCs w:val="21"/>
        </w:rPr>
        <w:t>2</w:t>
      </w:r>
      <w:r>
        <w:rPr>
          <w:rFonts w:ascii="Times New Roman" w:hAnsi="Times New Roman"/>
          <w:szCs w:val="21"/>
        </w:rPr>
        <w:t>015</w:t>
      </w:r>
      <w:r>
        <w:rPr>
          <w:rFonts w:ascii="Times New Roman" w:hAnsi="Times New Roman" w:hint="eastAsia"/>
          <w:szCs w:val="21"/>
        </w:rPr>
        <w:t>年下降</w:t>
      </w:r>
      <w:r>
        <w:rPr>
          <w:rFonts w:ascii="Times New Roman" w:hAnsi="Times New Roman" w:hint="eastAsia"/>
          <w:szCs w:val="21"/>
        </w:rPr>
        <w:t>6</w:t>
      </w:r>
      <w:r>
        <w:rPr>
          <w:rFonts w:ascii="Times New Roman" w:hAnsi="Times New Roman"/>
          <w:szCs w:val="21"/>
        </w:rPr>
        <w:t>.53</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2</w:t>
      </w:r>
      <w:r>
        <w:rPr>
          <w:rFonts w:ascii="Times New Roman" w:hAnsi="Times New Roman"/>
          <w:szCs w:val="21"/>
        </w:rPr>
        <w:t>018</w:t>
      </w:r>
      <w:r>
        <w:rPr>
          <w:rFonts w:ascii="Times New Roman" w:hAnsi="Times New Roman" w:hint="eastAsia"/>
          <w:szCs w:val="21"/>
        </w:rPr>
        <w:t>年重点工程减排量</w:t>
      </w:r>
      <w:r>
        <w:rPr>
          <w:rFonts w:ascii="Times New Roman" w:hAnsi="Times New Roman" w:hint="eastAsia"/>
          <w:szCs w:val="21"/>
        </w:rPr>
        <w:t>4</w:t>
      </w:r>
      <w:r>
        <w:rPr>
          <w:rFonts w:ascii="Times New Roman" w:hAnsi="Times New Roman"/>
          <w:szCs w:val="21"/>
        </w:rPr>
        <w:t>45</w:t>
      </w:r>
      <w:r>
        <w:rPr>
          <w:rFonts w:ascii="Times New Roman" w:hAnsi="Times New Roman" w:hint="eastAsia"/>
          <w:szCs w:val="21"/>
        </w:rPr>
        <w:t>吨。根据《关于印发宁东能源化工基地</w:t>
      </w:r>
      <w:r>
        <w:rPr>
          <w:rFonts w:ascii="Times New Roman" w:hAnsi="Times New Roman"/>
          <w:szCs w:val="21"/>
        </w:rPr>
        <w:t xml:space="preserve">2015 </w:t>
      </w:r>
      <w:r>
        <w:rPr>
          <w:rFonts w:ascii="Times New Roman" w:hAnsi="Times New Roman" w:hint="eastAsia"/>
          <w:szCs w:val="21"/>
        </w:rPr>
        <w:t>年度主要污染物总量减排计划的通知》，</w:t>
      </w:r>
      <w:r>
        <w:rPr>
          <w:rFonts w:ascii="Times New Roman" w:hAnsi="Times New Roman" w:hint="eastAsia"/>
          <w:szCs w:val="21"/>
        </w:rPr>
        <w:t>2</w:t>
      </w:r>
      <w:r>
        <w:rPr>
          <w:rFonts w:ascii="Times New Roman" w:hAnsi="Times New Roman"/>
          <w:szCs w:val="21"/>
        </w:rPr>
        <w:t>015</w:t>
      </w:r>
      <w:r>
        <w:rPr>
          <w:rFonts w:ascii="Times New Roman" w:hAnsi="Times New Roman" w:hint="eastAsia"/>
          <w:szCs w:val="21"/>
        </w:rPr>
        <w:t>年氮氧化物排放总量控制在</w:t>
      </w:r>
      <w:r>
        <w:rPr>
          <w:rFonts w:ascii="Times New Roman" w:hAnsi="Times New Roman" w:hint="eastAsia"/>
          <w:szCs w:val="21"/>
        </w:rPr>
        <w:t>6</w:t>
      </w:r>
      <w:r>
        <w:rPr>
          <w:rFonts w:ascii="Times New Roman" w:hAnsi="Times New Roman"/>
          <w:szCs w:val="21"/>
        </w:rPr>
        <w:t>.7271</w:t>
      </w:r>
      <w:r>
        <w:rPr>
          <w:rFonts w:ascii="Times New Roman" w:hAnsi="Times New Roman" w:hint="eastAsia"/>
          <w:szCs w:val="21"/>
        </w:rPr>
        <w:t>万吨）。即</w:t>
      </w:r>
      <w:r>
        <w:rPr>
          <w:rFonts w:ascii="Times New Roman" w:hAnsi="Times New Roman" w:hint="eastAsia"/>
          <w:szCs w:val="21"/>
        </w:rPr>
        <w:t>2</w:t>
      </w:r>
      <w:r>
        <w:rPr>
          <w:rFonts w:ascii="Times New Roman" w:hAnsi="Times New Roman"/>
          <w:szCs w:val="21"/>
        </w:rPr>
        <w:t>018</w:t>
      </w:r>
      <w:r>
        <w:rPr>
          <w:rFonts w:ascii="Times New Roman" w:hAnsi="Times New Roman" w:hint="eastAsia"/>
          <w:szCs w:val="21"/>
        </w:rPr>
        <w:t>年氮氧化物排放总量控制在</w:t>
      </w:r>
      <w:r>
        <w:rPr>
          <w:rFonts w:ascii="Times New Roman" w:hAnsi="Times New Roman"/>
          <w:szCs w:val="21"/>
        </w:rPr>
        <w:t>6.2878</w:t>
      </w:r>
      <w:r>
        <w:rPr>
          <w:rFonts w:ascii="Times New Roman" w:hAnsi="Times New Roman" w:hint="eastAsia"/>
          <w:szCs w:val="21"/>
        </w:rPr>
        <w:t>万吨。</w:t>
      </w:r>
    </w:p>
    <w:p w14:paraId="6B182164" w14:textId="77777777" w:rsidR="009C353B" w:rsidRDefault="00000000">
      <w:pPr>
        <w:autoSpaceDE w:val="0"/>
        <w:autoSpaceDN w:val="0"/>
        <w:adjustRightInd w:val="0"/>
        <w:snapToGrid w:val="0"/>
        <w:spacing w:line="440" w:lineRule="exact"/>
        <w:ind w:firstLineChars="200" w:firstLine="482"/>
        <w:textAlignment w:val="baseline"/>
        <w:rPr>
          <w:rFonts w:ascii="Times New Roman" w:hint="eastAsia"/>
          <w:b/>
          <w:szCs w:val="24"/>
        </w:rPr>
      </w:pPr>
      <w:r>
        <w:rPr>
          <w:rFonts w:ascii="Times New Roman" w:hAnsi="Times New Roman"/>
          <w:b/>
          <w:szCs w:val="24"/>
        </w:rPr>
        <w:t>2</w:t>
      </w:r>
      <w:r>
        <w:rPr>
          <w:rFonts w:ascii="Times New Roman"/>
          <w:b/>
          <w:szCs w:val="24"/>
        </w:rPr>
        <w:t>）总量</w:t>
      </w:r>
      <w:r>
        <w:rPr>
          <w:rFonts w:ascii="Times New Roman" w:hint="eastAsia"/>
          <w:b/>
          <w:szCs w:val="24"/>
        </w:rPr>
        <w:t>控制</w:t>
      </w:r>
      <w:r>
        <w:rPr>
          <w:rFonts w:ascii="Times New Roman"/>
          <w:b/>
          <w:szCs w:val="24"/>
        </w:rPr>
        <w:t>分析</w:t>
      </w:r>
    </w:p>
    <w:p w14:paraId="17C5F33D" w14:textId="77777777" w:rsidR="009C353B" w:rsidRDefault="00000000">
      <w:pPr>
        <w:adjustRightInd w:val="0"/>
        <w:snapToGrid w:val="0"/>
        <w:spacing w:line="440" w:lineRule="exact"/>
        <w:ind w:firstLineChars="200" w:firstLine="482"/>
        <w:rPr>
          <w:rFonts w:hint="eastAsia"/>
          <w:b/>
        </w:rPr>
      </w:pPr>
      <w:r>
        <w:rPr>
          <w:rFonts w:hint="eastAsia"/>
          <w:b/>
        </w:rPr>
        <w:t>①</w:t>
      </w:r>
      <w:r>
        <w:rPr>
          <w:b/>
        </w:rPr>
        <w:t>矿区二氧化硫总量批复情况</w:t>
      </w:r>
    </w:p>
    <w:p w14:paraId="20113305" w14:textId="77777777" w:rsidR="009C353B" w:rsidRDefault="00000000">
      <w:pPr>
        <w:autoSpaceDE w:val="0"/>
        <w:autoSpaceDN w:val="0"/>
        <w:adjustRightInd w:val="0"/>
        <w:snapToGrid w:val="0"/>
        <w:spacing w:line="440" w:lineRule="exact"/>
        <w:ind w:firstLineChars="200" w:firstLine="480"/>
        <w:textAlignment w:val="baseline"/>
        <w:rPr>
          <w:rFonts w:ascii="Times New Roman" w:hAnsi="Times New Roman"/>
          <w:szCs w:val="21"/>
        </w:rPr>
      </w:pPr>
      <w:r>
        <w:rPr>
          <w:rFonts w:ascii="Times New Roman" w:hAnsi="Times New Roman" w:hint="eastAsia"/>
          <w:szCs w:val="21"/>
        </w:rPr>
        <w:t>目前，矿区红石湾煤矿供暖采用银川中科环保电力有限公司生活垃圾焚烧发电厂余热、马莲台煤矿供暖采用临河</w:t>
      </w:r>
      <w:r>
        <w:rPr>
          <w:rFonts w:ascii="Times New Roman" w:hAnsi="Times New Roman"/>
          <w:szCs w:val="21"/>
        </w:rPr>
        <w:t>工业园区</w:t>
      </w:r>
      <w:r>
        <w:rPr>
          <w:rFonts w:ascii="Times New Roman" w:hAnsi="Times New Roman" w:hint="eastAsia"/>
          <w:szCs w:val="21"/>
        </w:rPr>
        <w:t>甲醇厂</w:t>
      </w:r>
      <w:r>
        <w:rPr>
          <w:rFonts w:ascii="Times New Roman" w:hAnsi="Times New Roman" w:hint="eastAsia"/>
          <w:szCs w:val="21"/>
        </w:rPr>
        <w:t>5</w:t>
      </w:r>
      <w:r>
        <w:rPr>
          <w:rFonts w:ascii="Times New Roman" w:hAnsi="Times New Roman" w:hint="eastAsia"/>
          <w:szCs w:val="21"/>
        </w:rPr>
        <w:t>×</w:t>
      </w:r>
      <w:r>
        <w:rPr>
          <w:rFonts w:ascii="Times New Roman" w:hAnsi="Times New Roman" w:hint="eastAsia"/>
          <w:szCs w:val="21"/>
        </w:rPr>
        <w:t>25MW</w:t>
      </w:r>
      <w:r>
        <w:rPr>
          <w:rFonts w:ascii="Times New Roman" w:hAnsi="Times New Roman" w:hint="eastAsia"/>
          <w:szCs w:val="21"/>
        </w:rPr>
        <w:t>自备热电站</w:t>
      </w:r>
      <w:r>
        <w:rPr>
          <w:rFonts w:ascii="Times New Roman" w:hAnsi="Times New Roman"/>
          <w:szCs w:val="21"/>
        </w:rPr>
        <w:t>供热</w:t>
      </w:r>
      <w:r>
        <w:rPr>
          <w:rFonts w:ascii="Times New Roman" w:hAnsi="Times New Roman" w:hint="eastAsia"/>
          <w:szCs w:val="21"/>
        </w:rPr>
        <w:t>，均不设锅炉房。</w:t>
      </w:r>
    </w:p>
    <w:p w14:paraId="4EDF01B6" w14:textId="77777777" w:rsidR="009C353B" w:rsidRDefault="00000000">
      <w:pPr>
        <w:autoSpaceDE w:val="0"/>
        <w:autoSpaceDN w:val="0"/>
        <w:adjustRightInd w:val="0"/>
        <w:snapToGrid w:val="0"/>
        <w:spacing w:line="440" w:lineRule="exact"/>
        <w:ind w:firstLineChars="200" w:firstLine="480"/>
        <w:textAlignment w:val="baseline"/>
        <w:rPr>
          <w:rFonts w:ascii="Times New Roman" w:hAnsi="Times New Roman"/>
          <w:szCs w:val="21"/>
        </w:rPr>
      </w:pPr>
      <w:r>
        <w:rPr>
          <w:rFonts w:ascii="Times New Roman" w:hAnsi="Times New Roman" w:hint="eastAsia"/>
          <w:szCs w:val="21"/>
        </w:rPr>
        <w:t>2</w:t>
      </w:r>
      <w:r>
        <w:rPr>
          <w:rFonts w:ascii="Times New Roman" w:hAnsi="Times New Roman"/>
          <w:szCs w:val="21"/>
        </w:rPr>
        <w:t>018</w:t>
      </w:r>
      <w:r>
        <w:rPr>
          <w:rFonts w:ascii="Times New Roman" w:hAnsi="Times New Roman" w:hint="eastAsia"/>
          <w:szCs w:val="21"/>
        </w:rPr>
        <w:t>年任家庄煤矿燃煤锅炉改为燃气锅炉，</w:t>
      </w:r>
      <w:r>
        <w:rPr>
          <w:rFonts w:ascii="Times New Roman" w:hAnsi="Times New Roman"/>
          <w:szCs w:val="21"/>
        </w:rPr>
        <w:t>2019</w:t>
      </w:r>
      <w:r>
        <w:rPr>
          <w:rFonts w:ascii="Times New Roman" w:hAnsi="Times New Roman" w:hint="eastAsia"/>
          <w:szCs w:val="21"/>
        </w:rPr>
        <w:t>年任家庄煤矿申报更新办理的银川市排放污染物许可证（证号</w:t>
      </w:r>
      <w:r>
        <w:rPr>
          <w:rFonts w:ascii="Times New Roman" w:hAnsi="Times New Roman" w:hint="eastAsia"/>
          <w:szCs w:val="21"/>
        </w:rPr>
        <w:t>91640000MA75WJ8D86001V</w:t>
      </w:r>
      <w:r>
        <w:rPr>
          <w:rFonts w:ascii="Times New Roman" w:hAnsi="Times New Roman" w:hint="eastAsia"/>
          <w:szCs w:val="21"/>
        </w:rPr>
        <w:t>，有效期</w:t>
      </w:r>
      <w:r>
        <w:rPr>
          <w:rFonts w:ascii="Times New Roman" w:hAnsi="Times New Roman"/>
          <w:szCs w:val="21"/>
        </w:rPr>
        <w:t xml:space="preserve">2019 </w:t>
      </w:r>
      <w:r>
        <w:rPr>
          <w:rFonts w:ascii="Times New Roman" w:hAnsi="Times New Roman" w:hint="eastAsia"/>
          <w:szCs w:val="21"/>
        </w:rPr>
        <w:t>年</w:t>
      </w:r>
      <w:r>
        <w:rPr>
          <w:rFonts w:ascii="Times New Roman" w:hAnsi="Times New Roman"/>
          <w:szCs w:val="21"/>
        </w:rPr>
        <w:t xml:space="preserve">12 </w:t>
      </w:r>
      <w:r>
        <w:rPr>
          <w:rFonts w:ascii="Times New Roman" w:hAnsi="Times New Roman" w:hint="eastAsia"/>
          <w:szCs w:val="21"/>
        </w:rPr>
        <w:t>月</w:t>
      </w:r>
      <w:r>
        <w:rPr>
          <w:rFonts w:ascii="Times New Roman" w:hAnsi="Times New Roman"/>
          <w:szCs w:val="21"/>
        </w:rPr>
        <w:t>19</w:t>
      </w:r>
      <w:r>
        <w:rPr>
          <w:rFonts w:ascii="Times New Roman" w:hAnsi="Times New Roman" w:hint="eastAsia"/>
          <w:szCs w:val="21"/>
        </w:rPr>
        <w:t>日至</w:t>
      </w:r>
      <w:r>
        <w:rPr>
          <w:rFonts w:ascii="Times New Roman" w:hAnsi="Times New Roman"/>
          <w:szCs w:val="21"/>
        </w:rPr>
        <w:t>2022</w:t>
      </w:r>
      <w:r>
        <w:rPr>
          <w:rFonts w:ascii="Times New Roman" w:hAnsi="Times New Roman" w:hint="eastAsia"/>
          <w:szCs w:val="21"/>
        </w:rPr>
        <w:t>年</w:t>
      </w:r>
      <w:r>
        <w:rPr>
          <w:rFonts w:ascii="Times New Roman" w:hAnsi="Times New Roman" w:hint="eastAsia"/>
          <w:szCs w:val="21"/>
        </w:rPr>
        <w:t>1</w:t>
      </w:r>
      <w:r>
        <w:rPr>
          <w:rFonts w:ascii="Times New Roman" w:hAnsi="Times New Roman"/>
          <w:szCs w:val="21"/>
        </w:rPr>
        <w:t>2</w:t>
      </w:r>
      <w:r>
        <w:rPr>
          <w:rFonts w:ascii="Times New Roman" w:hAnsi="Times New Roman" w:hint="eastAsia"/>
          <w:szCs w:val="21"/>
        </w:rPr>
        <w:t>月</w:t>
      </w:r>
      <w:r>
        <w:rPr>
          <w:rFonts w:ascii="Times New Roman" w:hAnsi="Times New Roman"/>
          <w:szCs w:val="21"/>
        </w:rPr>
        <w:t>18</w:t>
      </w:r>
      <w:r>
        <w:rPr>
          <w:rFonts w:ascii="Times New Roman" w:hAnsi="Times New Roman" w:hint="eastAsia"/>
          <w:szCs w:val="21"/>
        </w:rPr>
        <w:t>日），其中明确的污染物排放量为：氮氧化物</w:t>
      </w:r>
      <w:r>
        <w:rPr>
          <w:rFonts w:ascii="Times New Roman" w:hAnsi="Times New Roman"/>
          <w:szCs w:val="21"/>
        </w:rPr>
        <w:t>16.25t/a</w:t>
      </w:r>
      <w:r>
        <w:rPr>
          <w:rFonts w:ascii="Times New Roman" w:hAnsi="Times New Roman" w:hint="eastAsia"/>
          <w:szCs w:val="21"/>
        </w:rPr>
        <w:t>。</w:t>
      </w:r>
    </w:p>
    <w:p w14:paraId="5C51741D" w14:textId="77777777" w:rsidR="009C353B" w:rsidRDefault="00000000">
      <w:pPr>
        <w:autoSpaceDE w:val="0"/>
        <w:autoSpaceDN w:val="0"/>
        <w:adjustRightInd w:val="0"/>
        <w:snapToGrid w:val="0"/>
        <w:spacing w:line="440" w:lineRule="exact"/>
        <w:ind w:firstLineChars="200" w:firstLine="480"/>
        <w:textAlignment w:val="baseline"/>
        <w:rPr>
          <w:rFonts w:ascii="Times New Roman" w:hint="eastAsia"/>
          <w:szCs w:val="24"/>
        </w:rPr>
      </w:pPr>
      <w:r>
        <w:rPr>
          <w:rFonts w:ascii="Times New Roman" w:hAnsi="Times New Roman" w:hint="eastAsia"/>
          <w:szCs w:val="21"/>
        </w:rPr>
        <w:t>丁家梁原设计采用燃煤锅炉，</w:t>
      </w:r>
      <w:r>
        <w:rPr>
          <w:rFonts w:ascii="Times New Roman" w:hAnsi="Times New Roman" w:hint="eastAsia"/>
          <w:szCs w:val="21"/>
        </w:rPr>
        <w:t>2011</w:t>
      </w:r>
      <w:r>
        <w:rPr>
          <w:rFonts w:ascii="Times New Roman" w:hAnsi="Times New Roman" w:hint="eastAsia"/>
          <w:szCs w:val="21"/>
        </w:rPr>
        <w:t>年宁东能源化工基地管理委员会环境保护局以《关于宁夏宝丰能源集团有限公司丁家梁矿井项目开工建设及核拨污染物排放总量的函》宁东管（环）发〔</w:t>
      </w:r>
      <w:r>
        <w:rPr>
          <w:rFonts w:ascii="Times New Roman" w:hAnsi="Times New Roman" w:hint="eastAsia"/>
          <w:szCs w:val="21"/>
        </w:rPr>
        <w:t>2011</w:t>
      </w:r>
      <w:r>
        <w:rPr>
          <w:rFonts w:ascii="Times New Roman" w:hAnsi="Times New Roman" w:hint="eastAsia"/>
          <w:szCs w:val="21"/>
        </w:rPr>
        <w:t>〕</w:t>
      </w:r>
      <w:r>
        <w:rPr>
          <w:rFonts w:ascii="Times New Roman" w:hAnsi="Times New Roman" w:hint="eastAsia"/>
          <w:szCs w:val="21"/>
        </w:rPr>
        <w:t>9</w:t>
      </w:r>
      <w:r>
        <w:rPr>
          <w:rFonts w:ascii="Times New Roman" w:hAnsi="Times New Roman" w:hint="eastAsia"/>
          <w:szCs w:val="21"/>
        </w:rPr>
        <w:t>号文，批复丁家梁煤矿项目二氧化硫总量为</w:t>
      </w:r>
      <w:r>
        <w:rPr>
          <w:rFonts w:ascii="Times New Roman" w:hAnsi="Times New Roman" w:hint="eastAsia"/>
          <w:szCs w:val="21"/>
        </w:rPr>
        <w:t>27.43t/a</w:t>
      </w:r>
      <w:r>
        <w:rPr>
          <w:rFonts w:ascii="Times New Roman" w:hAnsi="Times New Roman" w:hint="eastAsia"/>
          <w:szCs w:val="21"/>
        </w:rPr>
        <w:t>。目前矿井在建（停工），已改燃煤锅炉为燃气锅炉，尚未申请氮氧化物总量。</w:t>
      </w:r>
    </w:p>
    <w:p w14:paraId="3BE063F0" w14:textId="77777777" w:rsidR="009C353B" w:rsidRDefault="00000000">
      <w:pPr>
        <w:adjustRightInd w:val="0"/>
        <w:snapToGrid w:val="0"/>
        <w:spacing w:line="440" w:lineRule="exact"/>
        <w:ind w:firstLineChars="200" w:firstLine="482"/>
        <w:rPr>
          <w:rFonts w:hint="eastAsia"/>
          <w:b/>
        </w:rPr>
      </w:pPr>
      <w:r>
        <w:rPr>
          <w:rFonts w:hint="eastAsia"/>
          <w:b/>
        </w:rPr>
        <w:t>②</w:t>
      </w:r>
      <w:r>
        <w:rPr>
          <w:b/>
        </w:rPr>
        <w:t>总量控制计划</w:t>
      </w:r>
    </w:p>
    <w:p w14:paraId="2A66BB24"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Ansi="Times New Roman" w:hint="eastAsia"/>
          <w:szCs w:val="21"/>
        </w:rPr>
        <w:t>根据锅炉烟气监测结果估算，任家庄煤矿</w:t>
      </w:r>
      <w:r>
        <w:rPr>
          <w:rFonts w:ascii="Times New Roman" w:hAnsi="Times New Roman"/>
          <w:szCs w:val="21"/>
        </w:rPr>
        <w:t>NO</w:t>
      </w:r>
      <w:r>
        <w:rPr>
          <w:rFonts w:ascii="Times New Roman" w:hAnsi="Times New Roman"/>
          <w:szCs w:val="21"/>
          <w:vertAlign w:val="subscript"/>
        </w:rPr>
        <w:t>X</w:t>
      </w:r>
      <w:r>
        <w:rPr>
          <w:rFonts w:ascii="Times New Roman" w:hAnsi="Times New Roman" w:hint="eastAsia"/>
        </w:rPr>
        <w:t>现状</w:t>
      </w:r>
      <w:r>
        <w:rPr>
          <w:rFonts w:ascii="Times New Roman" w:hAnsi="Times New Roman"/>
        </w:rPr>
        <w:t>排放</w:t>
      </w:r>
      <w:r>
        <w:rPr>
          <w:rFonts w:ascii="Times New Roman" w:hAnsi="Times New Roman" w:hint="eastAsia"/>
        </w:rPr>
        <w:t>量为</w:t>
      </w:r>
      <w:r>
        <w:rPr>
          <w:rFonts w:ascii="Times New Roman" w:hAnsi="Times New Roman" w:hint="eastAsia"/>
        </w:rPr>
        <w:t>6</w:t>
      </w:r>
      <w:r>
        <w:rPr>
          <w:rFonts w:ascii="Times New Roman" w:hAnsi="Times New Roman"/>
        </w:rPr>
        <w:t>.48</w:t>
      </w:r>
      <w:r>
        <w:rPr>
          <w:rFonts w:ascii="Times New Roman" w:hAnsi="Times New Roman"/>
          <w:szCs w:val="21"/>
        </w:rPr>
        <w:t xml:space="preserve"> t/a</w:t>
      </w:r>
      <w:r>
        <w:rPr>
          <w:rFonts w:ascii="Times New Roman" w:hAnsi="Times New Roman" w:hint="eastAsia"/>
          <w:szCs w:val="21"/>
        </w:rPr>
        <w:t>，</w:t>
      </w:r>
      <w:r>
        <w:rPr>
          <w:rFonts w:ascii="Times New Roman" w:hAnsi="Times New Roman"/>
          <w:szCs w:val="21"/>
        </w:rPr>
        <w:t>满足</w:t>
      </w:r>
      <w:r>
        <w:rPr>
          <w:rFonts w:ascii="Times New Roman" w:hAnsi="Times New Roman" w:hint="eastAsia"/>
          <w:szCs w:val="21"/>
        </w:rPr>
        <w:t>排污许可要求。</w:t>
      </w:r>
      <w:r>
        <w:t>已批复总量</w:t>
      </w:r>
      <w:r>
        <w:rPr>
          <w:rFonts w:hint="eastAsia"/>
        </w:rPr>
        <w:t>与排放量</w:t>
      </w:r>
      <w:r>
        <w:t>对比情况见下表</w:t>
      </w:r>
      <w:r>
        <w:rPr>
          <w:rFonts w:ascii="Times New Roman"/>
          <w:szCs w:val="24"/>
        </w:rPr>
        <w:t>7.3-3</w:t>
      </w:r>
      <w:r>
        <w:rPr>
          <w:rFonts w:ascii="Times New Roman"/>
          <w:szCs w:val="24"/>
        </w:rPr>
        <w:t>。</w:t>
      </w:r>
    </w:p>
    <w:p w14:paraId="42261C76" w14:textId="77777777" w:rsidR="009C353B" w:rsidRDefault="00000000">
      <w:pPr>
        <w:pStyle w:val="affffff0"/>
        <w:adjustRightInd w:val="0"/>
        <w:spacing w:line="440" w:lineRule="exact"/>
        <w:jc w:val="center"/>
        <w:rPr>
          <w:rFonts w:ascii="Times New Roman" w:hAnsi="Times New Roman"/>
          <w:kern w:val="0"/>
        </w:rPr>
      </w:pPr>
      <w:r>
        <w:rPr>
          <w:rFonts w:ascii="Times New Roman" w:hAnsi="Times New Roman" w:hint="eastAsia"/>
          <w:kern w:val="0"/>
        </w:rPr>
        <w:t>矿区</w:t>
      </w:r>
      <w:r>
        <w:rPr>
          <w:rFonts w:ascii="Times New Roman" w:hAnsi="Times New Roman" w:hint="eastAsia"/>
          <w:kern w:val="0"/>
        </w:rPr>
        <w:t>NO</w:t>
      </w:r>
      <w:r>
        <w:rPr>
          <w:rFonts w:ascii="Times New Roman" w:hAnsi="Times New Roman" w:hint="eastAsia"/>
          <w:kern w:val="0"/>
          <w:vertAlign w:val="subscript"/>
        </w:rPr>
        <w:t>x</w:t>
      </w:r>
      <w:r>
        <w:rPr>
          <w:rFonts w:ascii="Times New Roman" w:hAnsi="Times New Roman" w:hint="eastAsia"/>
          <w:kern w:val="0"/>
        </w:rPr>
        <w:t>排放量与批复总量对比情况一览表</w:t>
      </w:r>
    </w:p>
    <w:p w14:paraId="4B1EA02D" w14:textId="77777777" w:rsidR="009C353B" w:rsidRDefault="00000000">
      <w:pPr>
        <w:pStyle w:val="affffd"/>
        <w:spacing w:line="440" w:lineRule="exact"/>
        <w:rPr>
          <w:rFonts w:ascii="Times New Roman" w:hAnsi="Times New Roman"/>
        </w:rPr>
      </w:pPr>
      <w:r>
        <w:rPr>
          <w:rFonts w:ascii="Times New Roman" w:hAnsi="Times New Roman"/>
        </w:rPr>
        <w:t>表</w:t>
      </w:r>
      <w:r>
        <w:rPr>
          <w:rFonts w:ascii="Times New Roman" w:hAnsi="Times New Roman"/>
        </w:rPr>
        <w:t>7</w:t>
      </w:r>
      <w:r>
        <w:rPr>
          <w:rFonts w:ascii="Times New Roman" w:hAnsi="Times New Roman" w:hint="eastAsia"/>
        </w:rPr>
        <w:t xml:space="preserve">.3-3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2"/>
        <w:gridCol w:w="2645"/>
        <w:gridCol w:w="3000"/>
      </w:tblGrid>
      <w:tr w:rsidR="009C353B" w14:paraId="2017063C" w14:textId="77777777">
        <w:trPr>
          <w:trHeight w:val="340"/>
          <w:jc w:val="center"/>
        </w:trPr>
        <w:tc>
          <w:tcPr>
            <w:tcW w:w="3553" w:type="dxa"/>
            <w:vAlign w:val="center"/>
          </w:tcPr>
          <w:p w14:paraId="70F3B8DC" w14:textId="77777777" w:rsidR="009C353B" w:rsidRDefault="00000000">
            <w:pPr>
              <w:jc w:val="center"/>
              <w:rPr>
                <w:rFonts w:ascii="Times New Roman" w:hAnsi="Times New Roman"/>
                <w:sz w:val="21"/>
                <w:szCs w:val="21"/>
              </w:rPr>
            </w:pPr>
            <w:r>
              <w:rPr>
                <w:rFonts w:ascii="Times New Roman" w:hint="eastAsia"/>
                <w:sz w:val="21"/>
                <w:szCs w:val="21"/>
              </w:rPr>
              <w:t>项目</w:t>
            </w:r>
          </w:p>
        </w:tc>
        <w:tc>
          <w:tcPr>
            <w:tcW w:w="2581" w:type="dxa"/>
            <w:vAlign w:val="center"/>
          </w:tcPr>
          <w:p w14:paraId="5107B9F2" w14:textId="77777777" w:rsidR="009C353B" w:rsidRDefault="00000000">
            <w:pPr>
              <w:jc w:val="center"/>
              <w:rPr>
                <w:rFonts w:ascii="Times New Roman" w:hAnsi="Times New Roman"/>
                <w:sz w:val="21"/>
                <w:szCs w:val="21"/>
              </w:rPr>
            </w:pPr>
            <w:r>
              <w:rPr>
                <w:rFonts w:ascii="Times New Roman" w:hAnsi="Times New Roman"/>
                <w:sz w:val="21"/>
                <w:szCs w:val="21"/>
              </w:rPr>
              <w:t>NO</w:t>
            </w:r>
            <w:r>
              <w:rPr>
                <w:rFonts w:ascii="Times New Roman" w:hAnsi="Times New Roman"/>
                <w:sz w:val="21"/>
                <w:szCs w:val="21"/>
                <w:vertAlign w:val="subscript"/>
              </w:rPr>
              <w:t>X</w:t>
            </w:r>
            <w:r>
              <w:rPr>
                <w:rFonts w:ascii="Times New Roman"/>
                <w:sz w:val="21"/>
                <w:szCs w:val="21"/>
              </w:rPr>
              <w:t>排放量</w:t>
            </w:r>
            <w:r>
              <w:rPr>
                <w:rFonts w:ascii="Times New Roman" w:hint="eastAsia"/>
                <w:sz w:val="21"/>
                <w:szCs w:val="21"/>
              </w:rPr>
              <w:t>（</w:t>
            </w:r>
            <w:r>
              <w:rPr>
                <w:rFonts w:ascii="Times New Roman" w:hAnsi="Times New Roman" w:hint="eastAsia"/>
              </w:rPr>
              <w:t>t/a</w:t>
            </w:r>
            <w:r>
              <w:rPr>
                <w:rFonts w:ascii="Times New Roman" w:hint="eastAsia"/>
                <w:sz w:val="21"/>
                <w:szCs w:val="21"/>
              </w:rPr>
              <w:t>）</w:t>
            </w:r>
          </w:p>
        </w:tc>
        <w:tc>
          <w:tcPr>
            <w:tcW w:w="2927" w:type="dxa"/>
            <w:vAlign w:val="center"/>
          </w:tcPr>
          <w:p w14:paraId="307553A7" w14:textId="77777777" w:rsidR="009C353B" w:rsidRDefault="00000000">
            <w:pPr>
              <w:jc w:val="center"/>
              <w:rPr>
                <w:rFonts w:ascii="Times New Roman" w:hAnsi="Times New Roman"/>
                <w:sz w:val="21"/>
                <w:szCs w:val="21"/>
              </w:rPr>
            </w:pPr>
            <w:r>
              <w:rPr>
                <w:rFonts w:ascii="Times New Roman"/>
                <w:sz w:val="21"/>
                <w:szCs w:val="21"/>
              </w:rPr>
              <w:t>已批复</w:t>
            </w:r>
            <w:r>
              <w:rPr>
                <w:rFonts w:ascii="Times New Roman" w:hAnsi="Times New Roman"/>
                <w:sz w:val="21"/>
                <w:szCs w:val="21"/>
              </w:rPr>
              <w:t>NO</w:t>
            </w:r>
            <w:r>
              <w:rPr>
                <w:rFonts w:ascii="Times New Roman" w:hAnsi="Times New Roman"/>
                <w:sz w:val="21"/>
                <w:szCs w:val="21"/>
                <w:vertAlign w:val="subscript"/>
              </w:rPr>
              <w:t>X</w:t>
            </w:r>
            <w:r>
              <w:rPr>
                <w:rFonts w:ascii="Times New Roman" w:hint="eastAsia"/>
                <w:sz w:val="21"/>
                <w:szCs w:val="21"/>
              </w:rPr>
              <w:t>总</w:t>
            </w:r>
            <w:r>
              <w:rPr>
                <w:rFonts w:ascii="Times New Roman"/>
                <w:sz w:val="21"/>
                <w:szCs w:val="21"/>
              </w:rPr>
              <w:t>量</w:t>
            </w:r>
            <w:r>
              <w:rPr>
                <w:rFonts w:ascii="Times New Roman" w:hint="eastAsia"/>
                <w:sz w:val="21"/>
                <w:szCs w:val="21"/>
              </w:rPr>
              <w:t>（</w:t>
            </w:r>
            <w:r>
              <w:rPr>
                <w:rFonts w:ascii="Times New Roman" w:hint="eastAsia"/>
                <w:sz w:val="21"/>
                <w:szCs w:val="21"/>
              </w:rPr>
              <w:t>t/a</w:t>
            </w:r>
            <w:r>
              <w:rPr>
                <w:rFonts w:ascii="Times New Roman" w:hint="eastAsia"/>
                <w:sz w:val="21"/>
                <w:szCs w:val="21"/>
              </w:rPr>
              <w:t>）</w:t>
            </w:r>
          </w:p>
        </w:tc>
      </w:tr>
      <w:tr w:rsidR="009C353B" w14:paraId="07B87090" w14:textId="77777777">
        <w:trPr>
          <w:trHeight w:val="340"/>
          <w:jc w:val="center"/>
        </w:trPr>
        <w:tc>
          <w:tcPr>
            <w:tcW w:w="3553" w:type="dxa"/>
            <w:vAlign w:val="center"/>
          </w:tcPr>
          <w:p w14:paraId="2E56FA19" w14:textId="77777777" w:rsidR="009C353B" w:rsidRDefault="00000000">
            <w:pPr>
              <w:jc w:val="center"/>
              <w:rPr>
                <w:rFonts w:ascii="Times New Roman" w:hAnsi="Times New Roman"/>
                <w:sz w:val="21"/>
                <w:szCs w:val="21"/>
              </w:rPr>
            </w:pPr>
            <w:r>
              <w:rPr>
                <w:rFonts w:ascii="Times New Roman" w:hint="eastAsia"/>
                <w:sz w:val="21"/>
                <w:szCs w:val="21"/>
              </w:rPr>
              <w:t>任家庄煤矿</w:t>
            </w:r>
          </w:p>
        </w:tc>
        <w:tc>
          <w:tcPr>
            <w:tcW w:w="2581" w:type="dxa"/>
            <w:vAlign w:val="center"/>
          </w:tcPr>
          <w:p w14:paraId="59C563CD" w14:textId="77777777" w:rsidR="009C353B" w:rsidRDefault="00000000">
            <w:pPr>
              <w:jc w:val="center"/>
              <w:rPr>
                <w:rFonts w:ascii="Times New Roman" w:hAnsi="Times New Roman"/>
                <w:sz w:val="21"/>
                <w:szCs w:val="21"/>
              </w:rPr>
            </w:pPr>
            <w:r>
              <w:rPr>
                <w:rFonts w:ascii="Times New Roman" w:hAnsi="Times New Roman"/>
                <w:sz w:val="22"/>
                <w:szCs w:val="22"/>
              </w:rPr>
              <w:t>6.48</w:t>
            </w:r>
          </w:p>
        </w:tc>
        <w:tc>
          <w:tcPr>
            <w:tcW w:w="2927" w:type="dxa"/>
            <w:vAlign w:val="center"/>
          </w:tcPr>
          <w:p w14:paraId="04929DB2" w14:textId="77777777" w:rsidR="009C353B" w:rsidRDefault="00000000">
            <w:pPr>
              <w:jc w:val="center"/>
              <w:rPr>
                <w:rFonts w:ascii="Times New Roman" w:hAnsi="Times New Roman"/>
                <w:sz w:val="21"/>
                <w:szCs w:val="21"/>
              </w:rPr>
            </w:pPr>
            <w:r>
              <w:rPr>
                <w:rFonts w:ascii="Times New Roman" w:hAnsi="Times New Roman"/>
                <w:sz w:val="21"/>
                <w:szCs w:val="21"/>
              </w:rPr>
              <w:t>16.25</w:t>
            </w:r>
          </w:p>
        </w:tc>
      </w:tr>
      <w:tr w:rsidR="009C353B" w14:paraId="46E2EA9E" w14:textId="77777777">
        <w:trPr>
          <w:trHeight w:val="340"/>
          <w:jc w:val="center"/>
        </w:trPr>
        <w:tc>
          <w:tcPr>
            <w:tcW w:w="3553" w:type="dxa"/>
            <w:vAlign w:val="center"/>
          </w:tcPr>
          <w:p w14:paraId="49C2EEF2" w14:textId="77777777" w:rsidR="009C353B" w:rsidRDefault="00000000">
            <w:pPr>
              <w:jc w:val="center"/>
              <w:rPr>
                <w:rFonts w:ascii="Times New Roman" w:hint="eastAsia"/>
                <w:sz w:val="21"/>
                <w:szCs w:val="21"/>
              </w:rPr>
            </w:pPr>
            <w:r>
              <w:rPr>
                <w:rFonts w:ascii="Times New Roman" w:hint="eastAsia"/>
                <w:sz w:val="21"/>
                <w:szCs w:val="21"/>
              </w:rPr>
              <w:t>丁家梁煤矿</w:t>
            </w:r>
          </w:p>
        </w:tc>
        <w:tc>
          <w:tcPr>
            <w:tcW w:w="2581" w:type="dxa"/>
            <w:vAlign w:val="center"/>
          </w:tcPr>
          <w:p w14:paraId="5655A150" w14:textId="77777777" w:rsidR="009C353B" w:rsidRDefault="00000000">
            <w:pPr>
              <w:jc w:val="center"/>
              <w:rPr>
                <w:rFonts w:ascii="Times New Roman" w:hAnsi="Times New Roman"/>
                <w:sz w:val="22"/>
                <w:szCs w:val="22"/>
              </w:rPr>
            </w:pPr>
            <w:r>
              <w:rPr>
                <w:rFonts w:ascii="Times New Roman" w:hAnsi="Times New Roman" w:hint="eastAsia"/>
                <w:sz w:val="22"/>
                <w:szCs w:val="22"/>
              </w:rPr>
              <w:t>5.29</w:t>
            </w:r>
          </w:p>
        </w:tc>
        <w:tc>
          <w:tcPr>
            <w:tcW w:w="2927" w:type="dxa"/>
            <w:vAlign w:val="center"/>
          </w:tcPr>
          <w:p w14:paraId="2E1A6D61" w14:textId="77777777" w:rsidR="009C353B" w:rsidRDefault="00000000">
            <w:pPr>
              <w:jc w:val="center"/>
              <w:rPr>
                <w:rFonts w:ascii="Times New Roman" w:hAnsi="Times New Roman"/>
                <w:sz w:val="21"/>
                <w:szCs w:val="21"/>
              </w:rPr>
            </w:pPr>
            <w:r>
              <w:rPr>
                <w:rFonts w:ascii="Times New Roman" w:hAnsi="Times New Roman" w:hint="eastAsia"/>
                <w:sz w:val="21"/>
                <w:szCs w:val="21"/>
              </w:rPr>
              <w:t>/</w:t>
            </w:r>
          </w:p>
        </w:tc>
      </w:tr>
      <w:tr w:rsidR="009C353B" w14:paraId="372C220D" w14:textId="77777777">
        <w:trPr>
          <w:trHeight w:val="340"/>
          <w:jc w:val="center"/>
        </w:trPr>
        <w:tc>
          <w:tcPr>
            <w:tcW w:w="3553" w:type="dxa"/>
            <w:vAlign w:val="center"/>
          </w:tcPr>
          <w:p w14:paraId="0A4F9B13" w14:textId="77777777" w:rsidR="009C353B" w:rsidRDefault="00000000">
            <w:pPr>
              <w:jc w:val="center"/>
              <w:rPr>
                <w:rFonts w:ascii="Times New Roman" w:hint="eastAsia"/>
                <w:sz w:val="21"/>
                <w:szCs w:val="21"/>
              </w:rPr>
            </w:pPr>
            <w:r>
              <w:rPr>
                <w:rFonts w:ascii="Times New Roman" w:hint="eastAsia"/>
                <w:sz w:val="21"/>
                <w:szCs w:val="21"/>
              </w:rPr>
              <w:t>合计</w:t>
            </w:r>
          </w:p>
        </w:tc>
        <w:tc>
          <w:tcPr>
            <w:tcW w:w="2581" w:type="dxa"/>
            <w:vAlign w:val="center"/>
          </w:tcPr>
          <w:p w14:paraId="2AFCDC0E" w14:textId="77777777" w:rsidR="009C353B" w:rsidRDefault="00000000">
            <w:pPr>
              <w:jc w:val="center"/>
              <w:rPr>
                <w:rFonts w:ascii="Times New Roman" w:hAnsi="Times New Roman"/>
                <w:sz w:val="22"/>
                <w:szCs w:val="22"/>
              </w:rPr>
            </w:pPr>
            <w:r>
              <w:rPr>
                <w:rFonts w:ascii="Times New Roman" w:hAnsi="Times New Roman" w:hint="eastAsia"/>
                <w:sz w:val="22"/>
                <w:szCs w:val="22"/>
              </w:rPr>
              <w:t>11.77</w:t>
            </w:r>
          </w:p>
        </w:tc>
        <w:tc>
          <w:tcPr>
            <w:tcW w:w="2927" w:type="dxa"/>
            <w:vAlign w:val="center"/>
          </w:tcPr>
          <w:p w14:paraId="4192C8BF" w14:textId="77777777" w:rsidR="009C353B" w:rsidRDefault="00000000">
            <w:pPr>
              <w:jc w:val="center"/>
              <w:rPr>
                <w:rFonts w:ascii="Times New Roman" w:hAnsi="Times New Roman"/>
                <w:sz w:val="21"/>
                <w:szCs w:val="21"/>
              </w:rPr>
            </w:pPr>
            <w:r>
              <w:rPr>
                <w:rFonts w:ascii="Times New Roman" w:hAnsi="Times New Roman" w:hint="eastAsia"/>
                <w:sz w:val="21"/>
                <w:szCs w:val="21"/>
              </w:rPr>
              <w:t>16.25</w:t>
            </w:r>
          </w:p>
        </w:tc>
      </w:tr>
    </w:tbl>
    <w:p w14:paraId="33231E52" w14:textId="77777777" w:rsidR="009C353B" w:rsidRDefault="00000000">
      <w:pPr>
        <w:autoSpaceDE w:val="0"/>
        <w:autoSpaceDN w:val="0"/>
        <w:adjustRightInd w:val="0"/>
        <w:snapToGrid w:val="0"/>
        <w:spacing w:line="440" w:lineRule="exact"/>
        <w:ind w:firstLineChars="200" w:firstLine="480"/>
        <w:textAlignment w:val="baseline"/>
        <w:rPr>
          <w:rFonts w:ascii="Times New Roman" w:hAnsi="Times New Roman"/>
        </w:rPr>
      </w:pPr>
      <w:r>
        <w:rPr>
          <w:rFonts w:hint="eastAsia"/>
        </w:rPr>
        <w:t>从整体看，横城矿区氮氧化物排放总量可以满足总量要求，但根据环境保护管理规定，丁家梁煤矿仍需申请氮氧化物排放总量指标。</w:t>
      </w:r>
    </w:p>
    <w:p w14:paraId="654F0235" w14:textId="77777777" w:rsidR="009C353B" w:rsidRDefault="00000000">
      <w:pPr>
        <w:pStyle w:val="2"/>
        <w:adjustRightInd w:val="0"/>
        <w:snapToGrid w:val="0"/>
        <w:spacing w:before="0" w:after="0" w:line="440" w:lineRule="exact"/>
        <w:rPr>
          <w:rFonts w:ascii="Times New Roman" w:eastAsia="宋体" w:hAnsi="Times New Roman"/>
          <w:b/>
          <w:sz w:val="28"/>
        </w:rPr>
      </w:pPr>
      <w:bookmarkStart w:id="293" w:name="_Toc59189860"/>
      <w:bookmarkEnd w:id="292"/>
      <w:r>
        <w:rPr>
          <w:rFonts w:ascii="Times New Roman" w:eastAsia="宋体" w:hAnsi="Times New Roman"/>
          <w:b/>
          <w:sz w:val="28"/>
        </w:rPr>
        <w:t>7</w:t>
      </w:r>
      <w:r>
        <w:rPr>
          <w:rFonts w:ascii="Times New Roman" w:eastAsia="宋体" w:hAnsi="Times New Roman" w:hint="eastAsia"/>
          <w:b/>
          <w:sz w:val="28"/>
        </w:rPr>
        <w:t>.</w:t>
      </w:r>
      <w:r>
        <w:rPr>
          <w:rFonts w:ascii="Times New Roman" w:eastAsia="宋体" w:hAnsi="Times New Roman"/>
          <w:b/>
          <w:sz w:val="28"/>
        </w:rPr>
        <w:t>4</w:t>
      </w:r>
      <w:r>
        <w:rPr>
          <w:rFonts w:ascii="Times New Roman" w:eastAsia="宋体" w:hAnsi="Times New Roman" w:hint="eastAsia"/>
          <w:b/>
          <w:sz w:val="28"/>
        </w:rPr>
        <w:t xml:space="preserve"> </w:t>
      </w:r>
      <w:r>
        <w:rPr>
          <w:rFonts w:ascii="Times New Roman" w:eastAsia="宋体" w:hAnsi="Times New Roman"/>
          <w:b/>
          <w:sz w:val="28"/>
        </w:rPr>
        <w:t>地表水环境容量与承载能力分析</w:t>
      </w:r>
      <w:bookmarkEnd w:id="293"/>
    </w:p>
    <w:p w14:paraId="2314A3F7"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7</w:t>
      </w:r>
      <w:r>
        <w:rPr>
          <w:rFonts w:ascii="Times New Roman" w:hAnsi="Times New Roman" w:hint="eastAsia"/>
          <w:sz w:val="24"/>
        </w:rPr>
        <w:t xml:space="preserve">.4.1 </w:t>
      </w:r>
      <w:r>
        <w:rPr>
          <w:rFonts w:ascii="Times New Roman" w:hAnsi="Times New Roman"/>
          <w:sz w:val="24"/>
        </w:rPr>
        <w:t>矿区水环境容量</w:t>
      </w:r>
    </w:p>
    <w:p w14:paraId="69E3061B"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1</w:t>
      </w:r>
      <w:r>
        <w:rPr>
          <w:rFonts w:ascii="Times New Roman"/>
          <w:b/>
        </w:rPr>
        <w:t>）水环境功能区划与总量控制因子</w:t>
      </w:r>
    </w:p>
    <w:p w14:paraId="456E2FAC" w14:textId="77777777" w:rsidR="009C353B" w:rsidRDefault="00000000">
      <w:pPr>
        <w:adjustRightInd w:val="0"/>
        <w:snapToGrid w:val="0"/>
        <w:spacing w:line="440" w:lineRule="exact"/>
        <w:ind w:firstLineChars="200" w:firstLine="480"/>
        <w:rPr>
          <w:rFonts w:ascii="Times New Roman" w:hint="eastAsia"/>
        </w:rPr>
      </w:pPr>
      <w:r>
        <w:rPr>
          <w:rFonts w:ascii="Times New Roman"/>
        </w:rPr>
        <w:t>矿区涉及主要地表水系为</w:t>
      </w:r>
      <w:r>
        <w:rPr>
          <w:rFonts w:ascii="Times New Roman" w:hint="eastAsia"/>
        </w:rPr>
        <w:t>水洞沟和大河子沟</w:t>
      </w:r>
      <w:r>
        <w:rPr>
          <w:rFonts w:ascii="Times New Roman"/>
        </w:rPr>
        <w:t>，根据《</w:t>
      </w:r>
      <w:r>
        <w:rPr>
          <w:rFonts w:ascii="Times New Roman" w:hint="eastAsia"/>
        </w:rPr>
        <w:t>宁夏</w:t>
      </w:r>
      <w:r>
        <w:rPr>
          <w:rFonts w:ascii="Times New Roman"/>
        </w:rPr>
        <w:t>水功能区划》，矿区涉及的地表水区段环境功能和水质目标见</w:t>
      </w:r>
      <w:r>
        <w:rPr>
          <w:rFonts w:ascii="Times New Roman" w:hAnsi="Times New Roman"/>
        </w:rPr>
        <w:t>1.6</w:t>
      </w:r>
      <w:r>
        <w:rPr>
          <w:rFonts w:ascii="Times New Roman" w:hAnsi="Times New Roman" w:hint="eastAsia"/>
        </w:rPr>
        <w:t>节</w:t>
      </w:r>
      <w:r>
        <w:rPr>
          <w:rFonts w:ascii="Times New Roman"/>
        </w:rPr>
        <w:t>。</w:t>
      </w:r>
      <w:r>
        <w:rPr>
          <w:rFonts w:ascii="Times New Roman" w:hAnsi="Times New Roman"/>
          <w:szCs w:val="24"/>
        </w:rPr>
        <w:t>矿区所在区域地</w:t>
      </w:r>
      <w:r>
        <w:rPr>
          <w:rFonts w:ascii="Times New Roman" w:hAnsi="Times New Roman" w:hint="eastAsia"/>
          <w:szCs w:val="24"/>
        </w:rPr>
        <w:t>表</w:t>
      </w:r>
      <w:r>
        <w:rPr>
          <w:rFonts w:ascii="Times New Roman" w:hAnsi="Times New Roman"/>
          <w:szCs w:val="24"/>
        </w:rPr>
        <w:t>水</w:t>
      </w:r>
      <w:r>
        <w:rPr>
          <w:rFonts w:ascii="Times New Roman" w:hAnsi="Times New Roman" w:hint="eastAsia"/>
          <w:szCs w:val="24"/>
        </w:rPr>
        <w:t>水质目标为</w:t>
      </w:r>
      <w:r>
        <w:t>Ⅳ</w:t>
      </w:r>
      <w:r>
        <w:rPr>
          <w:rFonts w:ascii="Times New Roman" w:hAnsi="Times New Roman"/>
          <w:szCs w:val="24"/>
        </w:rPr>
        <w:t>类</w:t>
      </w:r>
      <w:r>
        <w:rPr>
          <w:rFonts w:ascii="Times New Roman" w:hAnsi="Times New Roman" w:hint="eastAsia"/>
          <w:szCs w:val="24"/>
        </w:rPr>
        <w:t>。</w:t>
      </w:r>
    </w:p>
    <w:p w14:paraId="2F27A89C"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根据国家关于总量控制的要求，本次选取</w:t>
      </w:r>
      <w:r>
        <w:rPr>
          <w:rFonts w:ascii="Times New Roman" w:hAnsi="Times New Roman"/>
        </w:rPr>
        <w:t>COD</w:t>
      </w:r>
      <w:r>
        <w:rPr>
          <w:rFonts w:ascii="Times New Roman" w:hAnsi="Times New Roman" w:hint="eastAsia"/>
        </w:rPr>
        <w:t>和氨氮</w:t>
      </w:r>
      <w:r>
        <w:rPr>
          <w:rFonts w:ascii="Times New Roman"/>
        </w:rPr>
        <w:t>为水环境总量控制因子。</w:t>
      </w:r>
    </w:p>
    <w:p w14:paraId="1F7C3B52"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2</w:t>
      </w:r>
      <w:r>
        <w:rPr>
          <w:rFonts w:ascii="Times New Roman"/>
          <w:b/>
        </w:rPr>
        <w:t>）水环境容量</w:t>
      </w:r>
    </w:p>
    <w:p w14:paraId="7BFC79AC" w14:textId="77777777" w:rsidR="009C353B" w:rsidRDefault="00000000">
      <w:pPr>
        <w:adjustRightInd w:val="0"/>
        <w:snapToGrid w:val="0"/>
        <w:spacing w:line="440" w:lineRule="exact"/>
        <w:ind w:firstLineChars="200" w:firstLine="480"/>
        <w:rPr>
          <w:rFonts w:ascii="Times New Roman" w:hint="eastAsia"/>
        </w:rPr>
      </w:pPr>
      <w:r>
        <w:rPr>
          <w:rFonts w:ascii="Times New Roman"/>
        </w:rPr>
        <w:t>根据《</w:t>
      </w:r>
      <w:r>
        <w:rPr>
          <w:rFonts w:ascii="Times New Roman" w:hint="eastAsia"/>
        </w:rPr>
        <w:t>宁夏</w:t>
      </w:r>
      <w:r>
        <w:rPr>
          <w:rFonts w:ascii="Times New Roman"/>
        </w:rPr>
        <w:t>水功能区划》，收集矿区涉及河流的水文数据，利用本次环评对地表水的现状监测数据，对矿区涉及的各河段计算水环境容量，计算结果见表</w:t>
      </w:r>
      <w:r>
        <w:rPr>
          <w:rFonts w:ascii="Times New Roman" w:hAnsi="Times New Roman"/>
        </w:rPr>
        <w:t>7</w:t>
      </w:r>
      <w:r>
        <w:rPr>
          <w:rFonts w:ascii="Times New Roman" w:hAnsi="Times New Roman" w:hint="eastAsia"/>
        </w:rPr>
        <w:t>.4</w:t>
      </w:r>
      <w:r>
        <w:rPr>
          <w:rFonts w:ascii="Times New Roman" w:hAnsi="Times New Roman"/>
        </w:rPr>
        <w:t>-</w:t>
      </w:r>
      <w:r>
        <w:rPr>
          <w:rFonts w:ascii="Times New Roman" w:hAnsi="Times New Roman" w:hint="eastAsia"/>
        </w:rPr>
        <w:t>1</w:t>
      </w:r>
      <w:r>
        <w:rPr>
          <w:rFonts w:ascii="Times New Roman"/>
        </w:rPr>
        <w:t>。</w:t>
      </w:r>
    </w:p>
    <w:p w14:paraId="1FD4C73A" w14:textId="77777777" w:rsidR="009C353B" w:rsidRDefault="00000000">
      <w:pPr>
        <w:adjustRightInd w:val="0"/>
        <w:snapToGrid w:val="0"/>
        <w:spacing w:line="440" w:lineRule="exact"/>
        <w:jc w:val="center"/>
        <w:rPr>
          <w:rFonts w:ascii="Times New Roman" w:hAnsi="Times New Roman"/>
          <w:b/>
        </w:rPr>
      </w:pPr>
      <w:r>
        <w:rPr>
          <w:rFonts w:ascii="Times New Roman"/>
          <w:b/>
        </w:rPr>
        <w:t>水环境容量计算结果</w:t>
      </w:r>
    </w:p>
    <w:p w14:paraId="40EBCCC5" w14:textId="77777777" w:rsidR="009C353B" w:rsidRDefault="00000000">
      <w:pPr>
        <w:adjustRightInd w:val="0"/>
        <w:snapToGrid w:val="0"/>
        <w:spacing w:line="440" w:lineRule="exact"/>
        <w:outlineLvl w:val="4"/>
        <w:rPr>
          <w:rFonts w:ascii="Times New Roman" w:hAnsi="Times New Roman"/>
        </w:rPr>
      </w:pPr>
      <w:r>
        <w:rPr>
          <w:rFonts w:ascii="Times New Roman"/>
        </w:rPr>
        <w:t>表</w:t>
      </w:r>
      <w:r>
        <w:rPr>
          <w:rFonts w:ascii="Times New Roman" w:hAnsi="Times New Roman"/>
        </w:rPr>
        <w:t>7</w:t>
      </w:r>
      <w:r>
        <w:rPr>
          <w:rFonts w:ascii="Times New Roman" w:hAnsi="Times New Roman" w:hint="eastAsia"/>
        </w:rPr>
        <w:t>.4</w:t>
      </w:r>
      <w:r>
        <w:rPr>
          <w:rFonts w:ascii="Times New Roman" w:hAnsi="Times New Roman"/>
        </w:rPr>
        <w:t>-</w:t>
      </w:r>
      <w:r>
        <w:rPr>
          <w:rFonts w:ascii="Times New Roman" w:hAnsi="Times New Roman" w:hint="eastAsia"/>
        </w:rPr>
        <w:t>1</w:t>
      </w:r>
    </w:p>
    <w:tbl>
      <w:tblPr>
        <w:tblStyle w:val="afffb"/>
        <w:tblW w:w="5000" w:type="pct"/>
        <w:jc w:val="center"/>
        <w:tblLook w:val="04A0" w:firstRow="1" w:lastRow="0" w:firstColumn="1" w:lastColumn="0" w:noHBand="0" w:noVBand="1"/>
      </w:tblPr>
      <w:tblGrid>
        <w:gridCol w:w="920"/>
        <w:gridCol w:w="1110"/>
        <w:gridCol w:w="727"/>
        <w:gridCol w:w="1199"/>
        <w:gridCol w:w="1118"/>
        <w:gridCol w:w="1000"/>
        <w:gridCol w:w="1118"/>
        <w:gridCol w:w="1118"/>
        <w:gridCol w:w="977"/>
      </w:tblGrid>
      <w:tr w:rsidR="009C353B" w14:paraId="48225478" w14:textId="77777777">
        <w:trPr>
          <w:jc w:val="center"/>
        </w:trPr>
        <w:tc>
          <w:tcPr>
            <w:tcW w:w="897" w:type="dxa"/>
            <w:vAlign w:val="center"/>
          </w:tcPr>
          <w:p w14:paraId="311B6D18" w14:textId="77777777" w:rsidR="009C353B" w:rsidRDefault="00000000">
            <w:pPr>
              <w:jc w:val="center"/>
              <w:rPr>
                <w:rFonts w:ascii="Times New Roman" w:hAnsi="Times New Roman"/>
                <w:sz w:val="21"/>
                <w:szCs w:val="21"/>
              </w:rPr>
            </w:pPr>
            <w:r>
              <w:rPr>
                <w:rFonts w:ascii="Times New Roman" w:hAnsi="Times New Roman" w:hint="eastAsia"/>
                <w:sz w:val="21"/>
                <w:szCs w:val="21"/>
              </w:rPr>
              <w:t>河流</w:t>
            </w:r>
          </w:p>
        </w:tc>
        <w:tc>
          <w:tcPr>
            <w:tcW w:w="1083" w:type="dxa"/>
            <w:vAlign w:val="center"/>
          </w:tcPr>
          <w:p w14:paraId="04350F29" w14:textId="77777777" w:rsidR="009C353B" w:rsidRDefault="00000000">
            <w:pPr>
              <w:jc w:val="center"/>
              <w:rPr>
                <w:rFonts w:ascii="Times New Roman" w:hAnsi="Times New Roman"/>
                <w:sz w:val="21"/>
                <w:szCs w:val="21"/>
              </w:rPr>
            </w:pPr>
            <w:r>
              <w:rPr>
                <w:rFonts w:ascii="Times New Roman" w:hAnsi="Times New Roman" w:hint="eastAsia"/>
                <w:sz w:val="21"/>
                <w:szCs w:val="21"/>
              </w:rPr>
              <w:t>平均流量</w:t>
            </w:r>
          </w:p>
          <w:p w14:paraId="0293386B" w14:textId="77777777" w:rsidR="009C353B" w:rsidRDefault="00000000">
            <w:pPr>
              <w:rPr>
                <w:rFonts w:ascii="Times New Roman" w:hAnsi="Times New Roman"/>
                <w:sz w:val="21"/>
                <w:szCs w:val="21"/>
              </w:rPr>
            </w:pPr>
            <w:r>
              <w:rPr>
                <w:rFonts w:ascii="Times New Roman" w:hAnsi="Times New Roman"/>
                <w:sz w:val="21"/>
                <w:szCs w:val="21"/>
              </w:rPr>
              <w:t>万</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/a</w:t>
            </w:r>
          </w:p>
        </w:tc>
        <w:tc>
          <w:tcPr>
            <w:tcW w:w="709" w:type="dxa"/>
            <w:vAlign w:val="center"/>
          </w:tcPr>
          <w:p w14:paraId="64E80DE7" w14:textId="77777777" w:rsidR="009C353B" w:rsidRDefault="00000000">
            <w:pPr>
              <w:jc w:val="center"/>
              <w:rPr>
                <w:rFonts w:ascii="Times New Roman" w:hAnsi="Times New Roman"/>
                <w:sz w:val="21"/>
                <w:szCs w:val="21"/>
              </w:rPr>
            </w:pPr>
            <w:r>
              <w:rPr>
                <w:rFonts w:ascii="Times New Roman" w:hAnsi="Times New Roman" w:hint="eastAsia"/>
                <w:sz w:val="21"/>
                <w:szCs w:val="21"/>
              </w:rPr>
              <w:t>类别</w:t>
            </w:r>
          </w:p>
        </w:tc>
        <w:tc>
          <w:tcPr>
            <w:tcW w:w="1170" w:type="dxa"/>
            <w:vAlign w:val="center"/>
          </w:tcPr>
          <w:p w14:paraId="356A3721" w14:textId="77777777" w:rsidR="009C353B" w:rsidRDefault="00000000">
            <w:pPr>
              <w:jc w:val="center"/>
              <w:rPr>
                <w:rFonts w:ascii="Times New Roman" w:hAnsi="Times New Roman"/>
                <w:sz w:val="21"/>
                <w:szCs w:val="21"/>
              </w:rPr>
            </w:pPr>
            <w:r>
              <w:rPr>
                <w:rFonts w:ascii="Times New Roman" w:hAnsi="Times New Roman"/>
                <w:sz w:val="21"/>
                <w:szCs w:val="21"/>
              </w:rPr>
              <w:t>COD</w:t>
            </w:r>
            <w:r>
              <w:rPr>
                <w:rFonts w:ascii="Times New Roman" w:hAnsi="Times New Roman"/>
                <w:sz w:val="21"/>
                <w:szCs w:val="21"/>
              </w:rPr>
              <w:t>水质监测平均值</w:t>
            </w:r>
            <w:r>
              <w:rPr>
                <w:rFonts w:ascii="Times New Roman" w:hAnsi="Times New Roman"/>
                <w:sz w:val="21"/>
                <w:szCs w:val="21"/>
              </w:rPr>
              <w:t>mg/L</w:t>
            </w:r>
          </w:p>
        </w:tc>
        <w:tc>
          <w:tcPr>
            <w:tcW w:w="1091" w:type="dxa"/>
            <w:vAlign w:val="center"/>
          </w:tcPr>
          <w:p w14:paraId="46D1C029" w14:textId="77777777" w:rsidR="009C353B" w:rsidRDefault="00000000">
            <w:pPr>
              <w:jc w:val="center"/>
              <w:rPr>
                <w:rFonts w:ascii="Times New Roman" w:hAnsi="Times New Roman"/>
                <w:sz w:val="21"/>
                <w:szCs w:val="21"/>
              </w:rPr>
            </w:pPr>
            <w:r>
              <w:rPr>
                <w:rFonts w:ascii="Times New Roman" w:hAnsi="Times New Roman"/>
                <w:sz w:val="21"/>
                <w:szCs w:val="21"/>
              </w:rPr>
              <w:t>COD</w:t>
            </w:r>
            <w:r>
              <w:rPr>
                <w:rFonts w:ascii="Times New Roman" w:hAnsi="Times New Roman"/>
                <w:sz w:val="21"/>
                <w:szCs w:val="21"/>
              </w:rPr>
              <w:t>执行标准限值</w:t>
            </w:r>
            <w:r>
              <w:rPr>
                <w:rFonts w:ascii="Times New Roman" w:hAnsi="Times New Roman"/>
                <w:sz w:val="21"/>
                <w:szCs w:val="21"/>
              </w:rPr>
              <w:t>mg/L</w:t>
            </w:r>
          </w:p>
        </w:tc>
        <w:tc>
          <w:tcPr>
            <w:tcW w:w="976" w:type="dxa"/>
            <w:vAlign w:val="center"/>
          </w:tcPr>
          <w:p w14:paraId="77C5B032" w14:textId="77777777" w:rsidR="009C353B" w:rsidRDefault="00000000">
            <w:pPr>
              <w:jc w:val="center"/>
              <w:rPr>
                <w:rFonts w:ascii="Times New Roman" w:hAnsi="Times New Roman"/>
                <w:sz w:val="21"/>
                <w:szCs w:val="21"/>
              </w:rPr>
            </w:pPr>
            <w:r>
              <w:rPr>
                <w:rFonts w:ascii="Times New Roman" w:hAnsi="Times New Roman" w:hint="eastAsia"/>
                <w:sz w:val="21"/>
                <w:szCs w:val="21"/>
              </w:rPr>
              <w:t>COD</w:t>
            </w:r>
            <w:r>
              <w:rPr>
                <w:rFonts w:ascii="Times New Roman" w:hAnsi="Times New Roman"/>
                <w:sz w:val="21"/>
                <w:szCs w:val="21"/>
              </w:rPr>
              <w:t>环境容量</w:t>
            </w:r>
            <w:r>
              <w:rPr>
                <w:rFonts w:ascii="Times New Roman" w:hAnsi="Times New Roman"/>
                <w:sz w:val="21"/>
                <w:szCs w:val="21"/>
              </w:rPr>
              <w:t>t/a</w:t>
            </w:r>
          </w:p>
        </w:tc>
        <w:tc>
          <w:tcPr>
            <w:tcW w:w="1091" w:type="dxa"/>
            <w:vAlign w:val="center"/>
          </w:tcPr>
          <w:p w14:paraId="76055D0E" w14:textId="77777777" w:rsidR="009C353B" w:rsidRDefault="00000000">
            <w:pPr>
              <w:jc w:val="center"/>
              <w:rPr>
                <w:rFonts w:ascii="Times New Roman" w:hAnsi="Times New Roman"/>
                <w:sz w:val="21"/>
                <w:szCs w:val="21"/>
              </w:rPr>
            </w:pPr>
            <w:r>
              <w:rPr>
                <w:rFonts w:ascii="Times New Roman" w:hAnsi="Times New Roman" w:hint="eastAsia"/>
                <w:sz w:val="21"/>
                <w:szCs w:val="21"/>
              </w:rPr>
              <w:t>氨氮</w:t>
            </w:r>
            <w:r>
              <w:rPr>
                <w:rFonts w:ascii="Times New Roman" w:hAnsi="Times New Roman"/>
                <w:sz w:val="21"/>
                <w:szCs w:val="21"/>
              </w:rPr>
              <w:t>水质监测平均值</w:t>
            </w:r>
            <w:r>
              <w:rPr>
                <w:rFonts w:ascii="Times New Roman" w:hAnsi="Times New Roman"/>
                <w:sz w:val="21"/>
                <w:szCs w:val="21"/>
              </w:rPr>
              <w:t>mg/L</w:t>
            </w:r>
          </w:p>
        </w:tc>
        <w:tc>
          <w:tcPr>
            <w:tcW w:w="1091" w:type="dxa"/>
            <w:vAlign w:val="center"/>
          </w:tcPr>
          <w:p w14:paraId="46CFDBB2" w14:textId="77777777" w:rsidR="009C353B" w:rsidRDefault="00000000">
            <w:pPr>
              <w:jc w:val="center"/>
              <w:rPr>
                <w:rFonts w:ascii="Times New Roman" w:hAnsi="Times New Roman"/>
                <w:sz w:val="21"/>
                <w:szCs w:val="21"/>
              </w:rPr>
            </w:pPr>
            <w:r>
              <w:rPr>
                <w:rFonts w:ascii="Times New Roman" w:hAnsi="Times New Roman" w:hint="eastAsia"/>
                <w:sz w:val="21"/>
                <w:szCs w:val="21"/>
              </w:rPr>
              <w:t>氨氮</w:t>
            </w:r>
            <w:r>
              <w:rPr>
                <w:rFonts w:ascii="Times New Roman" w:hAnsi="Times New Roman"/>
                <w:sz w:val="21"/>
                <w:szCs w:val="21"/>
              </w:rPr>
              <w:t>执行标准限值</w:t>
            </w:r>
            <w:r>
              <w:rPr>
                <w:rFonts w:ascii="Times New Roman" w:hAnsi="Times New Roman"/>
                <w:sz w:val="21"/>
                <w:szCs w:val="21"/>
              </w:rPr>
              <w:t>mg/L</w:t>
            </w:r>
          </w:p>
        </w:tc>
        <w:tc>
          <w:tcPr>
            <w:tcW w:w="953" w:type="dxa"/>
            <w:vAlign w:val="center"/>
          </w:tcPr>
          <w:p w14:paraId="2F2C0E03" w14:textId="77777777" w:rsidR="009C353B" w:rsidRDefault="00000000">
            <w:pPr>
              <w:jc w:val="center"/>
              <w:rPr>
                <w:rFonts w:ascii="Times New Roman" w:hAnsi="Times New Roman"/>
                <w:sz w:val="21"/>
                <w:szCs w:val="21"/>
              </w:rPr>
            </w:pPr>
            <w:r>
              <w:rPr>
                <w:rFonts w:ascii="Times New Roman" w:hAnsi="Times New Roman" w:hint="eastAsia"/>
                <w:sz w:val="21"/>
                <w:szCs w:val="21"/>
              </w:rPr>
              <w:t>氨氮</w:t>
            </w:r>
            <w:r>
              <w:rPr>
                <w:rFonts w:ascii="Times New Roman" w:hAnsi="Times New Roman"/>
                <w:sz w:val="21"/>
                <w:szCs w:val="21"/>
              </w:rPr>
              <w:t>环境容量</w:t>
            </w:r>
            <w:r>
              <w:rPr>
                <w:rFonts w:ascii="Times New Roman" w:hAnsi="Times New Roman"/>
                <w:sz w:val="21"/>
                <w:szCs w:val="21"/>
              </w:rPr>
              <w:t>t/a</w:t>
            </w:r>
          </w:p>
        </w:tc>
      </w:tr>
      <w:tr w:rsidR="009C353B" w14:paraId="722CD5D6" w14:textId="77777777">
        <w:trPr>
          <w:jc w:val="center"/>
        </w:trPr>
        <w:tc>
          <w:tcPr>
            <w:tcW w:w="897" w:type="dxa"/>
            <w:vAlign w:val="center"/>
          </w:tcPr>
          <w:p w14:paraId="680F4F17" w14:textId="77777777" w:rsidR="009C353B" w:rsidRDefault="00000000">
            <w:pPr>
              <w:jc w:val="center"/>
              <w:rPr>
                <w:rFonts w:ascii="Times New Roman" w:hAnsi="Times New Roman"/>
                <w:sz w:val="21"/>
                <w:szCs w:val="21"/>
              </w:rPr>
            </w:pPr>
            <w:r>
              <w:rPr>
                <w:rFonts w:ascii="Times New Roman" w:hAnsi="Times New Roman" w:hint="eastAsia"/>
                <w:sz w:val="21"/>
                <w:szCs w:val="21"/>
              </w:rPr>
              <w:t>水洞沟</w:t>
            </w:r>
          </w:p>
        </w:tc>
        <w:tc>
          <w:tcPr>
            <w:tcW w:w="1083" w:type="dxa"/>
            <w:vAlign w:val="center"/>
          </w:tcPr>
          <w:p w14:paraId="2E5A1AD8" w14:textId="77777777" w:rsidR="009C353B" w:rsidRDefault="00000000">
            <w:pPr>
              <w:jc w:val="center"/>
              <w:rPr>
                <w:rFonts w:ascii="Times New Roman" w:hAnsi="Times New Roman"/>
                <w:sz w:val="21"/>
                <w:szCs w:val="21"/>
              </w:rPr>
            </w:pPr>
            <w:r>
              <w:rPr>
                <w:rFonts w:ascii="Times New Roman" w:hAnsi="Times New Roman"/>
                <w:sz w:val="21"/>
                <w:szCs w:val="21"/>
              </w:rPr>
              <w:t>68370</w:t>
            </w:r>
          </w:p>
        </w:tc>
        <w:tc>
          <w:tcPr>
            <w:tcW w:w="709" w:type="dxa"/>
            <w:vAlign w:val="center"/>
          </w:tcPr>
          <w:p w14:paraId="51C4A31D" w14:textId="77777777" w:rsidR="009C353B" w:rsidRDefault="00000000">
            <w:pPr>
              <w:jc w:val="center"/>
              <w:rPr>
                <w:rFonts w:ascii="Times New Roman" w:hAnsi="Times New Roman"/>
                <w:sz w:val="21"/>
                <w:szCs w:val="21"/>
              </w:rPr>
            </w:pPr>
            <w:r>
              <w:rPr>
                <w:rFonts w:ascii="Times New Roman" w:hAnsi="Times New Roman" w:hint="eastAsia"/>
                <w:sz w:val="21"/>
                <w:szCs w:val="21"/>
              </w:rPr>
              <w:t>Ⅳ</w:t>
            </w:r>
          </w:p>
        </w:tc>
        <w:tc>
          <w:tcPr>
            <w:tcW w:w="1170" w:type="dxa"/>
            <w:vAlign w:val="center"/>
          </w:tcPr>
          <w:p w14:paraId="7FB276C8" w14:textId="77777777" w:rsidR="009C353B" w:rsidRDefault="00000000">
            <w:pPr>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5.4</w:t>
            </w:r>
          </w:p>
        </w:tc>
        <w:tc>
          <w:tcPr>
            <w:tcW w:w="1091" w:type="dxa"/>
            <w:vAlign w:val="center"/>
          </w:tcPr>
          <w:p w14:paraId="7C83E265" w14:textId="77777777" w:rsidR="009C353B" w:rsidRDefault="00000000">
            <w:pPr>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0</w:t>
            </w:r>
          </w:p>
        </w:tc>
        <w:tc>
          <w:tcPr>
            <w:tcW w:w="976" w:type="dxa"/>
            <w:vAlign w:val="center"/>
          </w:tcPr>
          <w:p w14:paraId="6A9133C0" w14:textId="77777777" w:rsidR="009C353B" w:rsidRDefault="00000000">
            <w:pPr>
              <w:jc w:val="center"/>
              <w:rPr>
                <w:rFonts w:ascii="Times New Roman" w:hAnsi="Times New Roman"/>
                <w:sz w:val="21"/>
                <w:szCs w:val="21"/>
              </w:rPr>
            </w:pPr>
            <w:r>
              <w:rPr>
                <w:rFonts w:ascii="Times New Roman" w:hAnsi="Times New Roman"/>
                <w:sz w:val="21"/>
                <w:szCs w:val="21"/>
              </w:rPr>
              <w:t>0</w:t>
            </w:r>
          </w:p>
        </w:tc>
        <w:tc>
          <w:tcPr>
            <w:tcW w:w="1091" w:type="dxa"/>
            <w:vAlign w:val="center"/>
          </w:tcPr>
          <w:p w14:paraId="5F7B3EB7" w14:textId="77777777" w:rsidR="009C353B" w:rsidRDefault="00000000">
            <w:pPr>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.30</w:t>
            </w:r>
          </w:p>
        </w:tc>
        <w:tc>
          <w:tcPr>
            <w:tcW w:w="1091" w:type="dxa"/>
            <w:vAlign w:val="center"/>
          </w:tcPr>
          <w:p w14:paraId="1621D6E3" w14:textId="77777777" w:rsidR="009C353B" w:rsidRDefault="00000000">
            <w:pPr>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w:t>
            </w:r>
          </w:p>
        </w:tc>
        <w:tc>
          <w:tcPr>
            <w:tcW w:w="953" w:type="dxa"/>
            <w:vAlign w:val="center"/>
          </w:tcPr>
          <w:p w14:paraId="2B3D853A" w14:textId="77777777" w:rsidR="009C353B" w:rsidRDefault="00000000">
            <w:pPr>
              <w:jc w:val="center"/>
              <w:rPr>
                <w:rFonts w:ascii="Times New Roman" w:hAnsi="Times New Roman"/>
                <w:sz w:val="21"/>
                <w:szCs w:val="21"/>
              </w:rPr>
            </w:pPr>
            <w:r>
              <w:rPr>
                <w:rFonts w:ascii="Times New Roman" w:hAnsi="Times New Roman"/>
                <w:sz w:val="21"/>
                <w:szCs w:val="21"/>
              </w:rPr>
              <w:t>820.4</w:t>
            </w:r>
          </w:p>
        </w:tc>
      </w:tr>
      <w:tr w:rsidR="009C353B" w14:paraId="0CC192F5" w14:textId="77777777">
        <w:trPr>
          <w:jc w:val="center"/>
        </w:trPr>
        <w:tc>
          <w:tcPr>
            <w:tcW w:w="897" w:type="dxa"/>
            <w:vAlign w:val="center"/>
          </w:tcPr>
          <w:p w14:paraId="3D1475CB" w14:textId="77777777" w:rsidR="009C353B" w:rsidRDefault="00000000">
            <w:pPr>
              <w:jc w:val="center"/>
              <w:rPr>
                <w:rFonts w:ascii="Times New Roman" w:hAnsi="Times New Roman"/>
                <w:sz w:val="21"/>
                <w:szCs w:val="21"/>
              </w:rPr>
            </w:pPr>
            <w:r>
              <w:rPr>
                <w:rFonts w:ascii="Times New Roman" w:hAnsi="Times New Roman" w:hint="eastAsia"/>
                <w:sz w:val="21"/>
                <w:szCs w:val="21"/>
              </w:rPr>
              <w:t>大河子沟</w:t>
            </w:r>
          </w:p>
        </w:tc>
        <w:tc>
          <w:tcPr>
            <w:tcW w:w="1083" w:type="dxa"/>
            <w:vAlign w:val="center"/>
          </w:tcPr>
          <w:p w14:paraId="54F7BABF" w14:textId="77777777" w:rsidR="009C353B" w:rsidRDefault="00000000">
            <w:pPr>
              <w:jc w:val="center"/>
              <w:rPr>
                <w:rFonts w:ascii="Times New Roman" w:hAnsi="Times New Roman"/>
                <w:sz w:val="21"/>
                <w:szCs w:val="21"/>
              </w:rPr>
            </w:pPr>
            <w:r>
              <w:rPr>
                <w:rFonts w:ascii="Times New Roman" w:hAnsi="Times New Roman"/>
                <w:sz w:val="21"/>
                <w:szCs w:val="21"/>
              </w:rPr>
              <w:t>1198.4</w:t>
            </w:r>
          </w:p>
        </w:tc>
        <w:tc>
          <w:tcPr>
            <w:tcW w:w="709" w:type="dxa"/>
            <w:vAlign w:val="center"/>
          </w:tcPr>
          <w:p w14:paraId="3EC40E99" w14:textId="77777777" w:rsidR="009C353B" w:rsidRDefault="00000000">
            <w:pPr>
              <w:jc w:val="center"/>
              <w:rPr>
                <w:rFonts w:ascii="Times New Roman" w:hAnsi="Times New Roman"/>
                <w:sz w:val="21"/>
                <w:szCs w:val="21"/>
              </w:rPr>
            </w:pPr>
            <w:r>
              <w:rPr>
                <w:rFonts w:ascii="Times New Roman" w:hAnsi="Times New Roman" w:hint="eastAsia"/>
                <w:sz w:val="21"/>
                <w:szCs w:val="21"/>
              </w:rPr>
              <w:t>Ⅳ</w:t>
            </w:r>
          </w:p>
        </w:tc>
        <w:tc>
          <w:tcPr>
            <w:tcW w:w="1170" w:type="dxa"/>
            <w:vAlign w:val="center"/>
          </w:tcPr>
          <w:p w14:paraId="0270DBED" w14:textId="77777777" w:rsidR="009C353B" w:rsidRDefault="00000000">
            <w:pPr>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9.2</w:t>
            </w:r>
          </w:p>
        </w:tc>
        <w:tc>
          <w:tcPr>
            <w:tcW w:w="1091" w:type="dxa"/>
            <w:vAlign w:val="center"/>
          </w:tcPr>
          <w:p w14:paraId="3EB1CC7E" w14:textId="77777777" w:rsidR="009C353B" w:rsidRDefault="00000000">
            <w:pPr>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0</w:t>
            </w:r>
          </w:p>
        </w:tc>
        <w:tc>
          <w:tcPr>
            <w:tcW w:w="976" w:type="dxa"/>
            <w:vAlign w:val="center"/>
          </w:tcPr>
          <w:p w14:paraId="45FEDCDC" w14:textId="77777777" w:rsidR="009C353B" w:rsidRDefault="00000000">
            <w:pPr>
              <w:jc w:val="center"/>
              <w:rPr>
                <w:rFonts w:ascii="Times New Roman" w:hAnsi="Times New Roman"/>
                <w:sz w:val="21"/>
                <w:szCs w:val="21"/>
              </w:rPr>
            </w:pPr>
            <w:r>
              <w:rPr>
                <w:rFonts w:ascii="Times New Roman" w:hAnsi="Times New Roman"/>
                <w:sz w:val="21"/>
                <w:szCs w:val="21"/>
              </w:rPr>
              <w:t>9.59</w:t>
            </w:r>
          </w:p>
        </w:tc>
        <w:tc>
          <w:tcPr>
            <w:tcW w:w="1091" w:type="dxa"/>
            <w:vAlign w:val="center"/>
          </w:tcPr>
          <w:p w14:paraId="5D6BC1A8" w14:textId="77777777" w:rsidR="009C353B" w:rsidRDefault="00000000">
            <w:pPr>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.31</w:t>
            </w:r>
          </w:p>
        </w:tc>
        <w:tc>
          <w:tcPr>
            <w:tcW w:w="1091" w:type="dxa"/>
            <w:vAlign w:val="center"/>
          </w:tcPr>
          <w:p w14:paraId="09F12CCA" w14:textId="77777777" w:rsidR="009C353B" w:rsidRDefault="00000000">
            <w:pPr>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.5</w:t>
            </w:r>
          </w:p>
        </w:tc>
        <w:tc>
          <w:tcPr>
            <w:tcW w:w="953" w:type="dxa"/>
            <w:vAlign w:val="center"/>
          </w:tcPr>
          <w:p w14:paraId="0450044C" w14:textId="77777777" w:rsidR="009C353B" w:rsidRDefault="00000000">
            <w:pPr>
              <w:jc w:val="center"/>
              <w:rPr>
                <w:rFonts w:ascii="Times New Roman" w:hAnsi="Times New Roman"/>
                <w:sz w:val="21"/>
                <w:szCs w:val="21"/>
              </w:rPr>
            </w:pPr>
            <w:r>
              <w:rPr>
                <w:rFonts w:ascii="Times New Roman" w:hAnsi="Times New Roman"/>
                <w:sz w:val="21"/>
                <w:szCs w:val="21"/>
              </w:rPr>
              <w:t>14.3</w:t>
            </w:r>
          </w:p>
        </w:tc>
      </w:tr>
    </w:tbl>
    <w:p w14:paraId="792F6F15"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7</w:t>
      </w:r>
      <w:r>
        <w:rPr>
          <w:rFonts w:ascii="Times New Roman" w:hAnsi="Times New Roman" w:hint="eastAsia"/>
          <w:sz w:val="24"/>
        </w:rPr>
        <w:t xml:space="preserve">.4.2 </w:t>
      </w:r>
      <w:r>
        <w:rPr>
          <w:rFonts w:ascii="Times New Roman" w:hAnsi="Times New Roman"/>
          <w:sz w:val="24"/>
        </w:rPr>
        <w:t>水环境容量承载分析</w:t>
      </w:r>
    </w:p>
    <w:p w14:paraId="2BC56DAB" w14:textId="77777777" w:rsidR="009C353B" w:rsidRDefault="00000000">
      <w:pPr>
        <w:pStyle w:val="afd"/>
        <w:adjustRightInd w:val="0"/>
        <w:snapToGrid w:val="0"/>
        <w:spacing w:line="440" w:lineRule="exact"/>
        <w:ind w:firstLine="480"/>
        <w:rPr>
          <w:rFonts w:ascii="Times New Roman"/>
          <w:szCs w:val="24"/>
        </w:rPr>
        <w:sectPr w:rsidR="009C353B">
          <w:headerReference w:type="default" r:id="rId470"/>
          <w:pgSz w:w="11907" w:h="16840"/>
          <w:pgMar w:top="1701" w:right="1418" w:bottom="1418" w:left="1418" w:header="1134" w:footer="851" w:gutter="0"/>
          <w:paperSrc w:first="7" w:other="7"/>
          <w:cols w:space="720"/>
          <w:docGrid w:linePitch="312"/>
        </w:sectPr>
      </w:pPr>
      <w:r>
        <w:rPr>
          <w:rFonts w:ascii="Times New Roman" w:eastAsia="宋体" w:hAnsi="宋体" w:hint="eastAsia"/>
          <w:szCs w:val="24"/>
        </w:rPr>
        <w:t>横城矿区</w:t>
      </w:r>
      <w:r>
        <w:rPr>
          <w:rFonts w:ascii="Times New Roman" w:eastAsia="宋体" w:hAnsi="宋体"/>
          <w:szCs w:val="24"/>
        </w:rPr>
        <w:t>生产废水主要为矿井水</w:t>
      </w:r>
      <w:r>
        <w:rPr>
          <w:rFonts w:ascii="Times New Roman" w:eastAsia="宋体" w:hAnsi="宋体" w:hint="eastAsia"/>
          <w:szCs w:val="24"/>
        </w:rPr>
        <w:t>、</w:t>
      </w:r>
      <w:r>
        <w:rPr>
          <w:rFonts w:ascii="Times New Roman" w:eastAsia="宋体" w:hAnsi="宋体"/>
          <w:szCs w:val="24"/>
        </w:rPr>
        <w:t>生活污水处理后全部回用，多余部分供给</w:t>
      </w:r>
      <w:r>
        <w:rPr>
          <w:rFonts w:ascii="Times New Roman" w:eastAsia="宋体" w:hAnsi="宋体" w:hint="eastAsia"/>
          <w:szCs w:val="24"/>
        </w:rPr>
        <w:t>电厂和工业园区作为生产用水等全部综合利用</w:t>
      </w:r>
      <w:r>
        <w:rPr>
          <w:rFonts w:ascii="Times New Roman" w:eastAsia="宋体" w:hAnsi="宋体"/>
          <w:szCs w:val="24"/>
        </w:rPr>
        <w:t>，无废水排放，</w:t>
      </w:r>
      <w:r>
        <w:rPr>
          <w:rFonts w:ascii="Times New Roman" w:eastAsia="宋体" w:hAnsi="Times New Roman"/>
          <w:szCs w:val="24"/>
        </w:rPr>
        <w:t>COD</w:t>
      </w:r>
      <w:r>
        <w:rPr>
          <w:rFonts w:ascii="Times New Roman" w:eastAsia="宋体" w:hAnsi="Times New Roman" w:hint="eastAsia"/>
          <w:szCs w:val="24"/>
        </w:rPr>
        <w:t>和氨氮</w:t>
      </w:r>
      <w:r>
        <w:rPr>
          <w:rFonts w:ascii="Times New Roman" w:eastAsia="宋体" w:hAnsi="宋体"/>
          <w:szCs w:val="24"/>
        </w:rPr>
        <w:t>排放量为</w:t>
      </w:r>
      <w:r>
        <w:rPr>
          <w:rFonts w:ascii="Times New Roman" w:eastAsia="宋体" w:hAnsi="Times New Roman"/>
          <w:szCs w:val="24"/>
        </w:rPr>
        <w:t>0t/a</w:t>
      </w:r>
      <w:r>
        <w:rPr>
          <w:rFonts w:ascii="Times New Roman" w:eastAsia="宋体" w:hAnsi="宋体"/>
          <w:szCs w:val="24"/>
        </w:rPr>
        <w:t>，可见水环境容量能够承载矿区开发要求。</w:t>
      </w:r>
    </w:p>
    <w:p w14:paraId="500D0878" w14:textId="77777777" w:rsidR="009C353B" w:rsidRDefault="00000000">
      <w:pPr>
        <w:pStyle w:val="1"/>
        <w:spacing w:before="100" w:beforeAutospacing="1" w:after="100" w:afterAutospacing="1" w:line="578" w:lineRule="exact"/>
        <w:jc w:val="center"/>
        <w:rPr>
          <w:rFonts w:ascii="Times New Roman" w:hAnsi="Times New Roman"/>
          <w:sz w:val="36"/>
        </w:rPr>
      </w:pPr>
      <w:bookmarkStart w:id="294" w:name="_Toc247104479"/>
      <w:bookmarkStart w:id="295" w:name="_Toc255477134"/>
      <w:bookmarkStart w:id="296" w:name="_Toc59189861"/>
      <w:bookmarkStart w:id="297" w:name="_Toc163441044"/>
      <w:r>
        <w:rPr>
          <w:rFonts w:ascii="Times New Roman" w:hAnsi="Times New Roman"/>
          <w:sz w:val="36"/>
        </w:rPr>
        <w:t xml:space="preserve">8 </w:t>
      </w:r>
      <w:r>
        <w:rPr>
          <w:rFonts w:ascii="Times New Roman" w:hAnsi="Times New Roman"/>
          <w:sz w:val="36"/>
        </w:rPr>
        <w:t>规划</w:t>
      </w:r>
      <w:r>
        <w:rPr>
          <w:rFonts w:ascii="Times New Roman" w:hAnsi="Times New Roman" w:hint="eastAsia"/>
          <w:sz w:val="36"/>
        </w:rPr>
        <w:t>方案</w:t>
      </w:r>
      <w:r>
        <w:rPr>
          <w:rFonts w:ascii="Times New Roman" w:hAnsi="Times New Roman"/>
          <w:sz w:val="36"/>
        </w:rPr>
        <w:t>综合论证</w:t>
      </w:r>
      <w:bookmarkEnd w:id="294"/>
      <w:bookmarkEnd w:id="295"/>
      <w:r>
        <w:rPr>
          <w:rFonts w:ascii="Times New Roman" w:hAnsi="Times New Roman" w:hint="eastAsia"/>
          <w:sz w:val="36"/>
        </w:rPr>
        <w:t>及优化调整建议</w:t>
      </w:r>
      <w:bookmarkEnd w:id="296"/>
    </w:p>
    <w:p w14:paraId="1F0ACB26" w14:textId="77777777" w:rsidR="009C353B" w:rsidRDefault="00000000">
      <w:pPr>
        <w:pStyle w:val="2"/>
        <w:adjustRightInd w:val="0"/>
        <w:snapToGrid w:val="0"/>
        <w:spacing w:before="480" w:line="440" w:lineRule="exact"/>
        <w:jc w:val="left"/>
        <w:rPr>
          <w:rFonts w:ascii="Times New Roman" w:eastAsia="宋体" w:hAnsi="Times New Roman"/>
          <w:b/>
          <w:sz w:val="28"/>
        </w:rPr>
      </w:pPr>
      <w:bookmarkStart w:id="298" w:name="_Toc225781418"/>
      <w:bookmarkStart w:id="299" w:name="_Toc195512730"/>
      <w:bookmarkStart w:id="300" w:name="_Toc59189862"/>
      <w:r>
        <w:rPr>
          <w:rFonts w:ascii="Times New Roman" w:eastAsia="宋体" w:hAnsi="Times New Roman"/>
          <w:b/>
          <w:sz w:val="28"/>
        </w:rPr>
        <w:t xml:space="preserve">8.1 </w:t>
      </w:r>
      <w:bookmarkStart w:id="301" w:name="_Toc195412177"/>
      <w:bookmarkStart w:id="302" w:name="_Toc207506740"/>
      <w:bookmarkStart w:id="303" w:name="_Toc185671594"/>
      <w:bookmarkStart w:id="304" w:name="_Toc185330464"/>
      <w:bookmarkStart w:id="305" w:name="_Toc195349599"/>
      <w:bookmarkStart w:id="306" w:name="_Toc209688633"/>
      <w:bookmarkStart w:id="307" w:name="_Toc195408590"/>
      <w:bookmarkStart w:id="308" w:name="_Toc195412272"/>
      <w:bookmarkStart w:id="309" w:name="_Toc185330426"/>
      <w:bookmarkStart w:id="310" w:name="_Toc194130265"/>
      <w:bookmarkStart w:id="311" w:name="_Toc332639873"/>
      <w:bookmarkStart w:id="312" w:name="_Toc334540602"/>
      <w:bookmarkStart w:id="313" w:name="_Toc339710592"/>
      <w:bookmarkStart w:id="314" w:name="_Toc388530638"/>
      <w:bookmarkEnd w:id="298"/>
      <w:bookmarkEnd w:id="299"/>
      <w:r>
        <w:rPr>
          <w:rFonts w:ascii="Times New Roman" w:eastAsia="宋体" w:hAnsi="Times New Roman"/>
          <w:b/>
          <w:sz w:val="28"/>
        </w:rPr>
        <w:t>矿区</w:t>
      </w:r>
      <w:bookmarkEnd w:id="301"/>
      <w:bookmarkEnd w:id="302"/>
      <w:bookmarkEnd w:id="303"/>
      <w:bookmarkEnd w:id="304"/>
      <w:bookmarkEnd w:id="305"/>
      <w:bookmarkEnd w:id="306"/>
      <w:bookmarkEnd w:id="307"/>
      <w:bookmarkEnd w:id="308"/>
      <w:bookmarkEnd w:id="309"/>
      <w:bookmarkEnd w:id="310"/>
      <w:r>
        <w:rPr>
          <w:rFonts w:ascii="Times New Roman" w:eastAsia="宋体" w:hAnsi="Times New Roman" w:hint="eastAsia"/>
          <w:b/>
          <w:sz w:val="28"/>
        </w:rPr>
        <w:t>产业布局</w:t>
      </w:r>
      <w:r>
        <w:rPr>
          <w:rFonts w:ascii="Times New Roman" w:eastAsia="宋体" w:hAnsi="Times New Roman"/>
          <w:b/>
          <w:sz w:val="28"/>
        </w:rPr>
        <w:t>和</w:t>
      </w:r>
      <w:r>
        <w:rPr>
          <w:rFonts w:ascii="Times New Roman" w:eastAsia="宋体" w:hAnsi="Times New Roman" w:hint="eastAsia"/>
          <w:b/>
          <w:sz w:val="28"/>
        </w:rPr>
        <w:t>发展方向合理性分析</w:t>
      </w:r>
      <w:bookmarkEnd w:id="300"/>
      <w:bookmarkEnd w:id="311"/>
      <w:bookmarkEnd w:id="312"/>
      <w:bookmarkEnd w:id="313"/>
      <w:bookmarkEnd w:id="314"/>
    </w:p>
    <w:p w14:paraId="7C202553" w14:textId="77777777" w:rsidR="009C353B" w:rsidRDefault="00000000">
      <w:pPr>
        <w:adjustRightInd w:val="0"/>
        <w:snapToGrid w:val="0"/>
        <w:spacing w:line="440" w:lineRule="exact"/>
        <w:ind w:firstLineChars="200" w:firstLine="480"/>
        <w:rPr>
          <w:rFonts w:hint="eastAsia"/>
        </w:rPr>
      </w:pPr>
      <w:r>
        <w:rPr>
          <w:rFonts w:ascii="Times New Roman"/>
          <w:snapToGrid w:val="0"/>
          <w:kern w:val="0"/>
        </w:rPr>
        <w:t>横城矿区</w:t>
      </w:r>
      <w:r>
        <w:rPr>
          <w:rFonts w:ascii="Times New Roman"/>
        </w:rPr>
        <w:t>属于我国大型煤炭基地</w:t>
      </w:r>
      <w:r>
        <w:rPr>
          <w:rFonts w:ascii="Times New Roman" w:hint="eastAsia"/>
        </w:rPr>
        <w:t>宁东</w:t>
      </w:r>
      <w:r>
        <w:rPr>
          <w:rFonts w:ascii="Times New Roman"/>
        </w:rPr>
        <w:t>基地，是我国</w:t>
      </w:r>
      <w:r>
        <w:rPr>
          <w:rFonts w:ascii="Times New Roman" w:hint="eastAsia"/>
        </w:rPr>
        <w:t>西</w:t>
      </w:r>
      <w:r>
        <w:rPr>
          <w:rFonts w:ascii="Times New Roman"/>
        </w:rPr>
        <w:t>北地区能源发展总体战略的重要组成部分。</w:t>
      </w:r>
      <w:r>
        <w:rPr>
          <w:rFonts w:ascii="Times New Roman"/>
          <w:snapToGrid w:val="0"/>
          <w:kern w:val="0"/>
        </w:rPr>
        <w:t>矿区煤炭资源丰富，煤质优良，勘查程度高，具备大规模集约化开发的条件。</w:t>
      </w:r>
      <w:r>
        <w:rPr>
          <w:rFonts w:hint="eastAsia"/>
        </w:rPr>
        <w:t>横城矿区地处宁东能源化工基地核心区域且周边临河工业园区和煤化工园区均为用煤大户，下游产业集中，适宜集中建设大型煤炭基地。矿区总体规划符合国家能源</w:t>
      </w:r>
      <w:r>
        <w:t>发展战略布局</w:t>
      </w:r>
      <w:r>
        <w:rPr>
          <w:rFonts w:hint="eastAsia"/>
        </w:rPr>
        <w:t>，</w:t>
      </w:r>
      <w:r>
        <w:t>符合</w:t>
      </w:r>
      <w:r>
        <w:rPr>
          <w:rFonts w:hint="eastAsia"/>
        </w:rPr>
        <w:t>国家煤炭产业政策的要求及煤炭产业空间布局，横城矿区的</w:t>
      </w:r>
      <w:r>
        <w:t>建设对维护国家能源安全、满足经济社会发展需要、调整和优化煤炭生产结构、促进资源地区经济社会发展，具有十分重要的意义。</w:t>
      </w:r>
      <w:r>
        <w:rPr>
          <w:rFonts w:hint="eastAsia"/>
        </w:rPr>
        <w:t>从产业空间布局和</w:t>
      </w:r>
      <w:r>
        <w:t>发展方向</w:t>
      </w:r>
      <w:r>
        <w:rPr>
          <w:rFonts w:hint="eastAsia"/>
        </w:rPr>
        <w:t>分析，矿区</w:t>
      </w:r>
      <w:r>
        <w:t>规划</w:t>
      </w:r>
      <w:r>
        <w:rPr>
          <w:rFonts w:hint="eastAsia"/>
        </w:rPr>
        <w:t>产业布局及</w:t>
      </w:r>
      <w:r>
        <w:t>发展方向</w:t>
      </w:r>
      <w:r>
        <w:rPr>
          <w:rFonts w:hint="eastAsia"/>
        </w:rPr>
        <w:t>是合理的。</w:t>
      </w:r>
    </w:p>
    <w:p w14:paraId="7844EE04" w14:textId="77777777" w:rsidR="009C353B" w:rsidRDefault="00000000">
      <w:pPr>
        <w:pStyle w:val="2"/>
        <w:adjustRightInd w:val="0"/>
        <w:snapToGrid w:val="0"/>
        <w:spacing w:line="440" w:lineRule="exact"/>
        <w:jc w:val="left"/>
        <w:rPr>
          <w:rFonts w:ascii="Times New Roman" w:eastAsia="宋体" w:hAnsi="Times New Roman"/>
          <w:b/>
          <w:sz w:val="28"/>
        </w:rPr>
      </w:pPr>
      <w:bookmarkStart w:id="315" w:name="_Toc59189863"/>
      <w:r>
        <w:rPr>
          <w:rFonts w:ascii="Times New Roman" w:eastAsia="宋体" w:hAnsi="Times New Roman"/>
          <w:b/>
          <w:sz w:val="28"/>
        </w:rPr>
        <w:t>8.</w:t>
      </w:r>
      <w:r>
        <w:rPr>
          <w:rFonts w:ascii="Times New Roman" w:eastAsia="宋体" w:hAnsi="Times New Roman" w:hint="eastAsia"/>
          <w:b/>
          <w:sz w:val="28"/>
        </w:rPr>
        <w:t>2</w:t>
      </w:r>
      <w:r>
        <w:rPr>
          <w:rFonts w:ascii="Times New Roman" w:eastAsia="宋体" w:hAnsi="Times New Roman"/>
          <w:b/>
          <w:sz w:val="28"/>
        </w:rPr>
        <w:t xml:space="preserve"> </w:t>
      </w:r>
      <w:r>
        <w:rPr>
          <w:rFonts w:ascii="Times New Roman" w:eastAsia="宋体" w:hAnsi="Times New Roman"/>
          <w:b/>
          <w:sz w:val="28"/>
        </w:rPr>
        <w:t>矿区</w:t>
      </w:r>
      <w:r>
        <w:rPr>
          <w:rFonts w:ascii="Times New Roman" w:eastAsia="宋体" w:hAnsi="Times New Roman" w:hint="eastAsia"/>
          <w:b/>
          <w:sz w:val="28"/>
        </w:rPr>
        <w:t>空间</w:t>
      </w:r>
      <w:r>
        <w:rPr>
          <w:rFonts w:ascii="Times New Roman" w:eastAsia="宋体" w:hAnsi="Times New Roman"/>
          <w:b/>
          <w:sz w:val="28"/>
        </w:rPr>
        <w:t>布局合理性分析</w:t>
      </w:r>
      <w:bookmarkEnd w:id="315"/>
    </w:p>
    <w:p w14:paraId="076BFBE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矿区总体规划在</w:t>
      </w:r>
      <w:r>
        <w:rPr>
          <w:rFonts w:ascii="Times New Roman" w:hAnsi="Times New Roman" w:hint="eastAsia"/>
        </w:rPr>
        <w:t>2</w:t>
      </w:r>
      <w:r>
        <w:rPr>
          <w:rFonts w:ascii="Times New Roman" w:hAnsi="Times New Roman"/>
        </w:rPr>
        <w:t>004</w:t>
      </w:r>
      <w:r>
        <w:rPr>
          <w:rFonts w:ascii="Times New Roman" w:hAnsi="Times New Roman"/>
        </w:rPr>
        <w:t>年批复后</w:t>
      </w:r>
      <w:r>
        <w:rPr>
          <w:rFonts w:ascii="Times New Roman" w:hAnsi="Times New Roman" w:hint="eastAsia"/>
        </w:rPr>
        <w:t>至今，</w:t>
      </w:r>
      <w:r>
        <w:rPr>
          <w:rFonts w:ascii="Times New Roman" w:hAnsi="Times New Roman" w:hint="eastAsia"/>
        </w:rPr>
        <w:t>3</w:t>
      </w:r>
      <w:r>
        <w:rPr>
          <w:rFonts w:ascii="Times New Roman" w:hAnsi="Times New Roman" w:hint="eastAsia"/>
        </w:rPr>
        <w:t>个规划矿井</w:t>
      </w:r>
      <w:r>
        <w:rPr>
          <w:rFonts w:ascii="Times New Roman" w:hAnsi="Times New Roman" w:hint="eastAsia"/>
          <w:bCs/>
          <w:kern w:val="0"/>
        </w:rPr>
        <w:t>分别于</w:t>
      </w:r>
      <w:r>
        <w:rPr>
          <w:rFonts w:ascii="Times New Roman" w:hAnsi="Times New Roman" w:hint="eastAsia"/>
          <w:bCs/>
          <w:kern w:val="0"/>
        </w:rPr>
        <w:t>2</w:t>
      </w:r>
      <w:r>
        <w:rPr>
          <w:rFonts w:ascii="Times New Roman" w:hAnsi="Times New Roman"/>
          <w:bCs/>
          <w:kern w:val="0"/>
        </w:rPr>
        <w:t>008</w:t>
      </w:r>
      <w:r>
        <w:rPr>
          <w:rFonts w:ascii="Times New Roman" w:hAnsi="Times New Roman" w:hint="eastAsia"/>
          <w:bCs/>
          <w:kern w:val="0"/>
        </w:rPr>
        <w:t>年、</w:t>
      </w:r>
      <w:r>
        <w:rPr>
          <w:rFonts w:ascii="Times New Roman" w:hAnsi="Times New Roman" w:hint="eastAsia"/>
          <w:bCs/>
          <w:kern w:val="0"/>
        </w:rPr>
        <w:t>2</w:t>
      </w:r>
      <w:r>
        <w:rPr>
          <w:rFonts w:ascii="Times New Roman" w:hAnsi="Times New Roman"/>
          <w:bCs/>
          <w:kern w:val="0"/>
        </w:rPr>
        <w:t>010</w:t>
      </w:r>
      <w:r>
        <w:rPr>
          <w:rFonts w:ascii="Times New Roman" w:hAnsi="Times New Roman" w:hint="eastAsia"/>
          <w:bCs/>
          <w:kern w:val="0"/>
        </w:rPr>
        <w:t>年、</w:t>
      </w:r>
      <w:r>
        <w:rPr>
          <w:rFonts w:ascii="Times New Roman" w:hAnsi="Times New Roman" w:hint="eastAsia"/>
          <w:bCs/>
          <w:kern w:val="0"/>
        </w:rPr>
        <w:t>2</w:t>
      </w:r>
      <w:r>
        <w:rPr>
          <w:rFonts w:ascii="Times New Roman" w:hAnsi="Times New Roman"/>
          <w:bCs/>
          <w:kern w:val="0"/>
        </w:rPr>
        <w:t>012</w:t>
      </w:r>
      <w:r>
        <w:rPr>
          <w:rFonts w:ascii="Times New Roman" w:hAnsi="Times New Roman" w:hint="eastAsia"/>
          <w:bCs/>
          <w:kern w:val="0"/>
        </w:rPr>
        <w:t>年正式投产，规划的丁家梁煤矿处于在建状态，其地面设施基本建成，目前停工。</w:t>
      </w:r>
    </w:p>
    <w:p w14:paraId="54AA93E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矿区西侧</w:t>
      </w:r>
      <w:r>
        <w:rPr>
          <w:rFonts w:ascii="Times New Roman" w:hAnsi="Times New Roman" w:hint="eastAsia"/>
        </w:rPr>
        <w:t>边界</w:t>
      </w:r>
      <w:r>
        <w:rPr>
          <w:rFonts w:ascii="Times New Roman" w:hAnsi="Times New Roman"/>
        </w:rPr>
        <w:t>外分布的重要保护目标</w:t>
      </w:r>
      <w:r>
        <w:rPr>
          <w:rFonts w:ascii="Times New Roman" w:hAnsi="Times New Roman" w:hint="eastAsia"/>
        </w:rPr>
        <w:t>有</w:t>
      </w:r>
      <w:r>
        <w:rPr>
          <w:rFonts w:ascii="Times New Roman" w:hAnsi="Times New Roman"/>
        </w:rPr>
        <w:t>白芨滩</w:t>
      </w:r>
      <w:r>
        <w:rPr>
          <w:rFonts w:ascii="Times New Roman" w:hAnsi="Times New Roman" w:hint="eastAsia"/>
        </w:rPr>
        <w:t>国家级</w:t>
      </w:r>
      <w:r>
        <w:rPr>
          <w:rFonts w:ascii="Times New Roman" w:hAnsi="Times New Roman"/>
        </w:rPr>
        <w:t>自然保护区</w:t>
      </w:r>
      <w:r>
        <w:rPr>
          <w:rFonts w:ascii="Times New Roman" w:hAnsi="Times New Roman" w:hint="eastAsia"/>
        </w:rPr>
        <w:t>；矿区</w:t>
      </w:r>
      <w:r>
        <w:rPr>
          <w:rFonts w:ascii="Times New Roman" w:hAnsi="Times New Roman"/>
        </w:rPr>
        <w:t>东</w:t>
      </w:r>
      <w:r>
        <w:rPr>
          <w:rFonts w:ascii="Times New Roman" w:hAnsi="Times New Roman" w:hint="eastAsia"/>
        </w:rPr>
        <w:t>南</w:t>
      </w:r>
      <w:r>
        <w:rPr>
          <w:rFonts w:ascii="Times New Roman" w:hAnsi="Times New Roman"/>
        </w:rPr>
        <w:t>侧</w:t>
      </w:r>
      <w:r>
        <w:rPr>
          <w:rFonts w:ascii="Times New Roman" w:hAnsi="Times New Roman" w:hint="eastAsia"/>
        </w:rPr>
        <w:t>边界外</w:t>
      </w:r>
      <w:r>
        <w:rPr>
          <w:rFonts w:ascii="Times New Roman" w:hAnsi="Times New Roman"/>
        </w:rPr>
        <w:t>分布的重要保护目标有</w:t>
      </w:r>
      <w:r>
        <w:rPr>
          <w:rFonts w:ascii="Times New Roman" w:hAnsi="Times New Roman" w:hint="eastAsia"/>
        </w:rPr>
        <w:t>鸭子荡水库、宁东</w:t>
      </w:r>
      <w:r>
        <w:rPr>
          <w:rFonts w:ascii="Times New Roman" w:hAnsi="Times New Roman"/>
        </w:rPr>
        <w:t>镇</w:t>
      </w:r>
      <w:r>
        <w:rPr>
          <w:rFonts w:ascii="Times New Roman" w:hAnsi="Times New Roman" w:hint="eastAsia"/>
        </w:rPr>
        <w:t>；北侧边界外</w:t>
      </w:r>
      <w:r>
        <w:rPr>
          <w:rFonts w:ascii="Times New Roman" w:hAnsi="Times New Roman"/>
        </w:rPr>
        <w:t>分布的重要保护目标有</w:t>
      </w:r>
      <w:r>
        <w:rPr>
          <w:rFonts w:ascii="Times New Roman" w:hAnsi="Times New Roman" w:hint="eastAsia"/>
        </w:rPr>
        <w:t>明长城、水洞沟遗址和红山堡文物；南侧</w:t>
      </w:r>
      <w:r>
        <w:rPr>
          <w:rFonts w:ascii="Times New Roman" w:hAnsi="Times New Roman"/>
        </w:rPr>
        <w:t>分布的重要保护目标有</w:t>
      </w:r>
      <w:r>
        <w:rPr>
          <w:rFonts w:ascii="Times New Roman" w:hAnsi="Times New Roman" w:hint="eastAsia"/>
        </w:rPr>
        <w:t>铁路、公路、输气管线、高压输电线路等。</w:t>
      </w:r>
      <w:r>
        <w:rPr>
          <w:rFonts w:ascii="Times New Roman" w:hAnsi="Times New Roman" w:hint="eastAsia"/>
        </w:rPr>
        <w:t xml:space="preserve"> </w:t>
      </w:r>
    </w:p>
    <w:p w14:paraId="2EF98C84"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bCs/>
          <w:kern w:val="0"/>
        </w:rPr>
        <w:t>本次规划修编后，对任家庄井田西部具备与</w:t>
      </w:r>
      <w:r>
        <w:rPr>
          <w:rFonts w:ascii="Times New Roman" w:hAnsi="Times New Roman"/>
          <w:bCs/>
          <w:kern w:val="0"/>
        </w:rPr>
        <w:t>白芨滩自然保护区重叠部分调出</w:t>
      </w:r>
      <w:r>
        <w:rPr>
          <w:rFonts w:ascii="Times New Roman" w:hAnsi="Times New Roman" w:hint="eastAsia"/>
          <w:bCs/>
          <w:kern w:val="0"/>
        </w:rPr>
        <w:t>，</w:t>
      </w:r>
      <w:r>
        <w:rPr>
          <w:rFonts w:ascii="Times New Roman" w:hAnsi="Times New Roman"/>
          <w:bCs/>
          <w:kern w:val="0"/>
        </w:rPr>
        <w:t>将丁家梁勘查区与甜水河勘查区进行了重新规划</w:t>
      </w:r>
      <w:r>
        <w:rPr>
          <w:rFonts w:ascii="Times New Roman" w:hAnsi="Times New Roman" w:hint="eastAsia"/>
          <w:bCs/>
          <w:kern w:val="0"/>
        </w:rPr>
        <w:t>，</w:t>
      </w:r>
      <w:r>
        <w:rPr>
          <w:rFonts w:ascii="Times New Roman" w:hAnsi="Times New Roman"/>
          <w:bCs/>
          <w:kern w:val="0"/>
        </w:rPr>
        <w:t>将原丁家梁井田与鸭子荡水库重叠区调出</w:t>
      </w:r>
      <w:r>
        <w:rPr>
          <w:rFonts w:ascii="Times New Roman" w:hAnsi="Times New Roman" w:hint="eastAsia"/>
          <w:bCs/>
          <w:kern w:val="0"/>
        </w:rPr>
        <w:t>，</w:t>
      </w:r>
      <w:r>
        <w:rPr>
          <w:rFonts w:ascii="Times New Roman" w:hAnsi="Times New Roman"/>
          <w:bCs/>
          <w:kern w:val="0"/>
        </w:rPr>
        <w:t>将原甜水河井田西部与白芨滩自然保护区重叠部分调出</w:t>
      </w:r>
      <w:r>
        <w:rPr>
          <w:rFonts w:ascii="Times New Roman" w:hAnsi="Times New Roman" w:hint="eastAsia"/>
          <w:bCs/>
          <w:kern w:val="0"/>
        </w:rPr>
        <w:t>。本次修编后矿区与</w:t>
      </w:r>
      <w:r>
        <w:rPr>
          <w:rFonts w:ascii="Times New Roman" w:hAnsi="Times New Roman"/>
          <w:bCs/>
          <w:kern w:val="0"/>
        </w:rPr>
        <w:t>白芨滩自然保护区</w:t>
      </w:r>
      <w:r>
        <w:rPr>
          <w:rFonts w:ascii="Times New Roman" w:hAnsi="Times New Roman" w:hint="eastAsia"/>
          <w:bCs/>
          <w:kern w:val="0"/>
        </w:rPr>
        <w:t>保护范围、鸭子荡水库保护范围、宁东镇城镇规划范围、明长城、</w:t>
      </w:r>
      <w:r>
        <w:rPr>
          <w:rFonts w:ascii="Times New Roman" w:hAnsi="Times New Roman" w:hint="eastAsia"/>
        </w:rPr>
        <w:t>水洞沟遗址和红山堡</w:t>
      </w:r>
      <w:r>
        <w:rPr>
          <w:rFonts w:ascii="Times New Roman" w:hAnsi="Times New Roman" w:hint="eastAsia"/>
          <w:bCs/>
          <w:kern w:val="0"/>
        </w:rPr>
        <w:t>等保护范围均无重叠。矿区与</w:t>
      </w:r>
      <w:r>
        <w:rPr>
          <w:rFonts w:ascii="Times New Roman" w:hAnsi="Times New Roman"/>
          <w:bCs/>
          <w:kern w:val="0"/>
        </w:rPr>
        <w:t>白芨滩自然保护区无重叠</w:t>
      </w:r>
      <w:r>
        <w:rPr>
          <w:rFonts w:ascii="Times New Roman" w:hAnsi="Times New Roman" w:hint="eastAsia"/>
          <w:bCs/>
          <w:kern w:val="0"/>
        </w:rPr>
        <w:t>，</w:t>
      </w:r>
      <w:r>
        <w:rPr>
          <w:rFonts w:ascii="Times New Roman" w:hAnsi="Times New Roman"/>
          <w:bCs/>
          <w:kern w:val="0"/>
        </w:rPr>
        <w:t>但矿区西部边界</w:t>
      </w:r>
      <w:r>
        <w:rPr>
          <w:rFonts w:ascii="Times New Roman" w:hAnsi="Times New Roman" w:hint="eastAsia"/>
          <w:bCs/>
          <w:kern w:val="0"/>
        </w:rPr>
        <w:t>、</w:t>
      </w:r>
      <w:r>
        <w:rPr>
          <w:rFonts w:ascii="Times New Roman" w:hAnsi="Times New Roman"/>
          <w:bCs/>
          <w:kern w:val="0"/>
        </w:rPr>
        <w:t>南部边界已临近自然保护区</w:t>
      </w:r>
      <w:r>
        <w:rPr>
          <w:rFonts w:ascii="Times New Roman" w:hAnsi="Times New Roman" w:hint="eastAsia"/>
          <w:bCs/>
          <w:kern w:val="0"/>
        </w:rPr>
        <w:t>，局部会受到开采沉陷影响</w:t>
      </w:r>
      <w:r>
        <w:rPr>
          <w:rFonts w:ascii="Times New Roman" w:hint="eastAsia"/>
        </w:rPr>
        <w:t>。</w:t>
      </w:r>
    </w:p>
    <w:p w14:paraId="36907E3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任家庄井田边界与自然保护区实验区最近距离约为</w:t>
      </w:r>
      <w:r>
        <w:rPr>
          <w:rFonts w:ascii="Times New Roman" w:hint="eastAsia"/>
        </w:rPr>
        <w:t>92m</w:t>
      </w:r>
      <w:r>
        <w:rPr>
          <w:rFonts w:ascii="Times New Roman" w:hint="eastAsia"/>
        </w:rPr>
        <w:t>；任家庄井田开采沉陷影响半径约为</w:t>
      </w:r>
      <w:r>
        <w:rPr>
          <w:rFonts w:ascii="Times New Roman" w:hint="eastAsia"/>
        </w:rPr>
        <w:t>280m</w:t>
      </w:r>
      <w:r>
        <w:rPr>
          <w:rFonts w:ascii="Times New Roman" w:hint="eastAsia"/>
        </w:rPr>
        <w:t>，因此，</w:t>
      </w:r>
      <w:r>
        <w:rPr>
          <w:rFonts w:ascii="Times New Roman"/>
        </w:rPr>
        <w:t>任家庄井田西侧距离自然保护区实验区较近的区域在沉陷影响范围内</w:t>
      </w:r>
      <w:r>
        <w:rPr>
          <w:rFonts w:ascii="Times New Roman" w:hint="eastAsia"/>
        </w:rPr>
        <w:t>，</w:t>
      </w:r>
      <w:r>
        <w:rPr>
          <w:rFonts w:ascii="Times New Roman"/>
        </w:rPr>
        <w:t>可能受到开采沉陷影响</w:t>
      </w:r>
      <w:r>
        <w:rPr>
          <w:rFonts w:ascii="Times New Roman" w:hint="eastAsia"/>
        </w:rPr>
        <w:t>。</w:t>
      </w:r>
    </w:p>
    <w:p w14:paraId="6047E5A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bCs/>
          <w:kern w:val="0"/>
        </w:rPr>
        <w:t>本次规划修编新增</w:t>
      </w:r>
      <w:r>
        <w:rPr>
          <w:rFonts w:ascii="Times New Roman" w:hAnsi="Times New Roman" w:hint="eastAsia"/>
          <w:bCs/>
          <w:kern w:val="0"/>
        </w:rPr>
        <w:t>3</w:t>
      </w:r>
      <w:r>
        <w:rPr>
          <w:rFonts w:ascii="Times New Roman" w:hAnsi="Times New Roman" w:hint="eastAsia"/>
          <w:bCs/>
          <w:kern w:val="0"/>
        </w:rPr>
        <w:t>个后备区，分别为马莲台后备区、红石湾后备区、任家庄后备区。</w:t>
      </w:r>
      <w:r>
        <w:rPr>
          <w:rFonts w:ascii="Times New Roman" w:hAnsi="Times New Roman" w:hint="eastAsia"/>
          <w:bCs/>
          <w:kern w:val="0"/>
        </w:rPr>
        <w:t>3</w:t>
      </w:r>
      <w:r>
        <w:rPr>
          <w:rFonts w:ascii="Times New Roman" w:hAnsi="Times New Roman" w:hint="eastAsia"/>
          <w:bCs/>
          <w:kern w:val="0"/>
        </w:rPr>
        <w:t>个后备区范围与临河工业园区和宁东煤化工园区有部分重叠</w:t>
      </w:r>
      <w:r>
        <w:rPr>
          <w:rFonts w:ascii="Times New Roman" w:hAnsi="Times New Roman" w:hint="eastAsia"/>
        </w:rPr>
        <w:t>。另外，马莲台井田局部与煤化工园区重叠。因此</w:t>
      </w:r>
      <w:r>
        <w:rPr>
          <w:rFonts w:ascii="Times New Roman" w:hAnsi="Times New Roman"/>
        </w:rPr>
        <w:t>，从空间布局看，</w:t>
      </w:r>
      <w:r>
        <w:rPr>
          <w:rFonts w:ascii="Times New Roman" w:hAnsi="Times New Roman" w:hint="eastAsia"/>
        </w:rPr>
        <w:t>矿区</w:t>
      </w:r>
      <w:r>
        <w:rPr>
          <w:rFonts w:ascii="Times New Roman" w:hAnsi="Times New Roman"/>
        </w:rPr>
        <w:t>布局存在一定的</w:t>
      </w:r>
      <w:r>
        <w:rPr>
          <w:rFonts w:ascii="Times New Roman" w:hAnsi="Times New Roman" w:hint="eastAsia"/>
        </w:rPr>
        <w:t>不合理性</w:t>
      </w:r>
      <w:r>
        <w:rPr>
          <w:rFonts w:ascii="Times New Roman" w:hAnsi="Times New Roman"/>
        </w:rPr>
        <w:t>。</w:t>
      </w:r>
    </w:p>
    <w:p w14:paraId="4141AB9B" w14:textId="77777777" w:rsidR="009C353B" w:rsidRDefault="00000000">
      <w:pPr>
        <w:pStyle w:val="2"/>
        <w:adjustRightInd w:val="0"/>
        <w:snapToGrid w:val="0"/>
        <w:spacing w:line="440" w:lineRule="exact"/>
        <w:jc w:val="left"/>
        <w:rPr>
          <w:rFonts w:ascii="Times New Roman" w:eastAsia="宋体" w:hAnsi="Times New Roman"/>
          <w:b/>
          <w:sz w:val="28"/>
        </w:rPr>
      </w:pPr>
      <w:bookmarkStart w:id="316" w:name="_Toc59189864"/>
      <w:bookmarkStart w:id="317" w:name="_Toc400733228"/>
      <w:bookmarkStart w:id="318" w:name="_Toc404871929"/>
      <w:r>
        <w:rPr>
          <w:rFonts w:ascii="Times New Roman" w:eastAsia="宋体" w:hAnsi="Times New Roman"/>
          <w:b/>
          <w:sz w:val="28"/>
        </w:rPr>
        <w:t xml:space="preserve">8.3 </w:t>
      </w:r>
      <w:r>
        <w:rPr>
          <w:rFonts w:ascii="Times New Roman" w:eastAsia="宋体" w:hAnsi="Times New Roman"/>
          <w:b/>
          <w:sz w:val="28"/>
        </w:rPr>
        <w:t>矿区产业结构合理性分析</w:t>
      </w:r>
      <w:bookmarkEnd w:id="316"/>
      <w:bookmarkEnd w:id="317"/>
      <w:bookmarkEnd w:id="318"/>
    </w:p>
    <w:p w14:paraId="0F6129C9" w14:textId="77777777" w:rsidR="009C353B" w:rsidRDefault="00000000">
      <w:pPr>
        <w:spacing w:line="440" w:lineRule="exact"/>
        <w:ind w:firstLineChars="200" w:firstLine="480"/>
        <w:rPr>
          <w:rFonts w:hint="eastAsia"/>
        </w:rPr>
      </w:pPr>
      <w:r>
        <w:rPr>
          <w:rFonts w:hint="eastAsia"/>
        </w:rPr>
        <w:t>横城矿区煤炭资源丰富，适宜集中建设大型煤矿。矿区规划产业为煤炭资源开采和洗选，其产品作为宁东能源化工基地燃料和原料，是宁东基地的重要基础，也是宁东能源化工基地中循环经济的重要组成部分。</w:t>
      </w:r>
      <w:r>
        <w:t>矿区</w:t>
      </w:r>
      <w:r>
        <w:rPr>
          <w:rFonts w:hint="eastAsia"/>
        </w:rPr>
        <w:t>与宁东基地现代煤化工产业示范区的临河工业园区、宁东煤化工园区相邻，煤炭运输洗选便利，同时周边还分布有灵州矸石电厂、拟建低热值煤电厂</w:t>
      </w:r>
      <w:r>
        <w:t>等循环经济产业</w:t>
      </w:r>
      <w:r>
        <w:rPr>
          <w:rFonts w:hint="eastAsia"/>
        </w:rPr>
        <w:t>项目，能够</w:t>
      </w:r>
      <w:r>
        <w:t>对煤炭开采与加工过程中产生的矿井水</w:t>
      </w:r>
      <w:r>
        <w:rPr>
          <w:rFonts w:hint="eastAsia"/>
        </w:rPr>
        <w:t>、</w:t>
      </w:r>
      <w:r>
        <w:t>生活污水</w:t>
      </w:r>
      <w:r>
        <w:rPr>
          <w:rFonts w:hint="eastAsia"/>
        </w:rPr>
        <w:t>、</w:t>
      </w:r>
      <w:r>
        <w:t>煤矸石</w:t>
      </w:r>
      <w:r>
        <w:rPr>
          <w:rFonts w:hint="eastAsia"/>
        </w:rPr>
        <w:t>等</w:t>
      </w:r>
      <w:r>
        <w:t>进行</w:t>
      </w:r>
      <w:r>
        <w:rPr>
          <w:rFonts w:hint="eastAsia"/>
        </w:rPr>
        <w:t>有效的</w:t>
      </w:r>
      <w:r>
        <w:t>综合利用</w:t>
      </w:r>
      <w:r>
        <w:rPr>
          <w:rFonts w:hint="eastAsia"/>
        </w:rPr>
        <w:t>，煤矿和以上项目以各自优势相结合，可满足</w:t>
      </w:r>
      <w:r>
        <w:t>“减量化、再利用、再循环”的循环经济发展思路</w:t>
      </w:r>
      <w:r>
        <w:rPr>
          <w:rFonts w:hint="eastAsia"/>
        </w:rPr>
        <w:t>。</w:t>
      </w:r>
      <w:r>
        <w:rPr>
          <w:rFonts w:ascii="Times New Roman" w:hAnsi="Times New Roman"/>
        </w:rPr>
        <w:t>因此</w:t>
      </w:r>
      <w:r>
        <w:rPr>
          <w:rFonts w:ascii="Times New Roman" w:hAnsi="Times New Roman" w:hint="eastAsia"/>
        </w:rPr>
        <w:t>，</w:t>
      </w:r>
      <w:r>
        <w:rPr>
          <w:rFonts w:ascii="Times New Roman" w:hAnsi="Times New Roman"/>
        </w:rPr>
        <w:t>矿区产业结构</w:t>
      </w:r>
      <w:r>
        <w:rPr>
          <w:rFonts w:ascii="Times New Roman" w:hAnsi="Times New Roman" w:hint="eastAsia"/>
        </w:rPr>
        <w:t>是合理</w:t>
      </w:r>
      <w:r>
        <w:rPr>
          <w:rFonts w:ascii="Times New Roman" w:hAnsi="Times New Roman"/>
        </w:rPr>
        <w:t>的。</w:t>
      </w:r>
    </w:p>
    <w:p w14:paraId="1D8CBAA5" w14:textId="77777777" w:rsidR="009C353B" w:rsidRDefault="00000000">
      <w:pPr>
        <w:keepNext/>
        <w:keepLines/>
        <w:snapToGrid w:val="0"/>
        <w:spacing w:before="260" w:after="260" w:line="440" w:lineRule="exact"/>
        <w:outlineLvl w:val="1"/>
        <w:rPr>
          <w:rFonts w:ascii="Times New Roman" w:hAnsi="Times New Roman"/>
          <w:b/>
          <w:sz w:val="28"/>
        </w:rPr>
      </w:pPr>
      <w:bookmarkStart w:id="319" w:name="_Toc59189865"/>
      <w:bookmarkStart w:id="320" w:name="_Toc404871930"/>
      <w:bookmarkStart w:id="321" w:name="_Toc400733229"/>
      <w:r>
        <w:rPr>
          <w:rFonts w:ascii="Times New Roman" w:hAnsi="Times New Roman"/>
          <w:b/>
          <w:sz w:val="28"/>
        </w:rPr>
        <w:t xml:space="preserve">8.4 </w:t>
      </w:r>
      <w:r>
        <w:rPr>
          <w:rFonts w:ascii="Times New Roman" w:hAnsi="Times New Roman"/>
          <w:b/>
          <w:sz w:val="28"/>
        </w:rPr>
        <w:t>矿区建设规模合理性分析</w:t>
      </w:r>
      <w:bookmarkEnd w:id="319"/>
      <w:bookmarkEnd w:id="320"/>
      <w:bookmarkEnd w:id="321"/>
    </w:p>
    <w:p w14:paraId="3AE10F61"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hint="eastAsia"/>
        </w:rPr>
        <w:t>矿区共规划</w:t>
      </w:r>
      <w:r>
        <w:rPr>
          <w:rFonts w:ascii="Times New Roman" w:hAnsi="Times New Roman" w:hint="eastAsia"/>
        </w:rPr>
        <w:t>4</w:t>
      </w:r>
      <w:r>
        <w:rPr>
          <w:rFonts w:ascii="Times New Roman" w:hAnsi="Times New Roman" w:hint="eastAsia"/>
        </w:rPr>
        <w:t>对矿井及选煤厂，</w:t>
      </w:r>
      <w:r>
        <w:rPr>
          <w:rFonts w:ascii="Times New Roman" w:hAnsi="Times New Roman"/>
        </w:rPr>
        <w:t>根据矿区规划项目和区域资源环境条件分析，制约矿区开发的主要资源环境因素为水资源和生态环境。</w:t>
      </w:r>
    </w:p>
    <w:p w14:paraId="6717C1FF"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rPr>
        <w:t>根据承载力分析结果，矿区资源环境可以承载</w:t>
      </w:r>
      <w:r>
        <w:rPr>
          <w:rFonts w:ascii="Times New Roman" w:hAnsi="Times New Roman" w:hint="eastAsia"/>
        </w:rPr>
        <w:t>矿区</w:t>
      </w:r>
      <w:r>
        <w:rPr>
          <w:rFonts w:ascii="Times New Roman" w:hAnsi="Times New Roman"/>
        </w:rPr>
        <w:t>煤炭开发</w:t>
      </w:r>
      <w:r>
        <w:rPr>
          <w:rFonts w:ascii="Times New Roman" w:hAnsi="Times New Roman" w:hint="eastAsia"/>
        </w:rPr>
        <w:t>9.2</w:t>
      </w:r>
      <w:r>
        <w:rPr>
          <w:rFonts w:ascii="Times New Roman" w:hAnsi="Times New Roman"/>
        </w:rPr>
        <w:t>0Mt/a</w:t>
      </w:r>
      <w:r>
        <w:rPr>
          <w:rFonts w:ascii="Times New Roman" w:hAnsi="Times New Roman"/>
        </w:rPr>
        <w:t>的规模。</w:t>
      </w:r>
    </w:p>
    <w:p w14:paraId="157A319A"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rPr>
        <w:t>《宁东能源化工基地</w:t>
      </w:r>
      <w:r>
        <w:rPr>
          <w:rFonts w:ascii="Times New Roman" w:hAnsi="Times New Roman"/>
        </w:rPr>
        <w:t>“</w:t>
      </w:r>
      <w:r>
        <w:rPr>
          <w:rFonts w:ascii="Times New Roman" w:hAnsi="Times New Roman"/>
        </w:rPr>
        <w:t>十三五</w:t>
      </w:r>
      <w:r>
        <w:rPr>
          <w:rFonts w:ascii="Times New Roman" w:hAnsi="Times New Roman"/>
        </w:rPr>
        <w:t>”</w:t>
      </w:r>
      <w:r>
        <w:rPr>
          <w:rFonts w:ascii="Times New Roman" w:hAnsi="Times New Roman"/>
        </w:rPr>
        <w:t>开发总体规划》</w:t>
      </w:r>
      <w:r>
        <w:rPr>
          <w:rFonts w:ascii="Times New Roman" w:hAnsi="Times New Roman" w:hint="eastAsia"/>
        </w:rPr>
        <w:t>提出：“建成国家重要的煤炭生产基地。科学规划煤炭开发利用规模，根据市场需求合理安排矿井建设进度，到</w:t>
      </w:r>
      <w:r>
        <w:rPr>
          <w:rFonts w:ascii="Times New Roman" w:hAnsi="Times New Roman"/>
        </w:rPr>
        <w:t xml:space="preserve"> 2020 </w:t>
      </w:r>
      <w:r>
        <w:rPr>
          <w:rFonts w:ascii="Times New Roman" w:hAnsi="Times New Roman"/>
        </w:rPr>
        <w:t>年煤炭产能达到</w:t>
      </w:r>
      <w:r>
        <w:rPr>
          <w:rFonts w:ascii="Times New Roman" w:hAnsi="Times New Roman"/>
        </w:rPr>
        <w:t xml:space="preserve"> 1 </w:t>
      </w:r>
      <w:r>
        <w:rPr>
          <w:rFonts w:ascii="Times New Roman" w:hAnsi="Times New Roman"/>
        </w:rPr>
        <w:t>亿吨以上。</w:t>
      </w:r>
      <w:r>
        <w:rPr>
          <w:rFonts w:ascii="Times New Roman" w:hAnsi="Times New Roman"/>
        </w:rPr>
        <w:t>”</w:t>
      </w:r>
      <w:r>
        <w:rPr>
          <w:rFonts w:ascii="Times New Roman" w:hAnsi="Times New Roman"/>
        </w:rPr>
        <w:t>其中关于</w:t>
      </w:r>
      <w:r>
        <w:rPr>
          <w:rFonts w:ascii="Times New Roman" w:hAnsi="Times New Roman" w:hint="eastAsia"/>
        </w:rPr>
        <w:t>煤炭资源供需保障提出：“到</w:t>
      </w:r>
      <w:r>
        <w:rPr>
          <w:rFonts w:ascii="Times New Roman" w:hAnsi="Times New Roman"/>
        </w:rPr>
        <w:t xml:space="preserve"> 2020 </w:t>
      </w:r>
      <w:r>
        <w:rPr>
          <w:rFonts w:ascii="Times New Roman" w:hAnsi="Times New Roman" w:hint="eastAsia"/>
        </w:rPr>
        <w:t>年，宁东基地电力、煤化工等项目原料煤和燃料煤需求总量约</w:t>
      </w:r>
      <w:r>
        <w:rPr>
          <w:rFonts w:ascii="Times New Roman" w:hAnsi="Times New Roman"/>
        </w:rPr>
        <w:t xml:space="preserve"> 1.47 </w:t>
      </w:r>
      <w:r>
        <w:rPr>
          <w:rFonts w:ascii="Times New Roman" w:hAnsi="Times New Roman" w:hint="eastAsia"/>
        </w:rPr>
        <w:t>亿吨，煤炭生产能力规划目标达到</w:t>
      </w:r>
      <w:r>
        <w:rPr>
          <w:rFonts w:ascii="Times New Roman" w:hAnsi="Times New Roman"/>
        </w:rPr>
        <w:t xml:space="preserve"> 1 </w:t>
      </w:r>
      <w:r>
        <w:rPr>
          <w:rFonts w:ascii="Times New Roman" w:hAnsi="Times New Roman" w:hint="eastAsia"/>
        </w:rPr>
        <w:t>亿吨以上，但现有已批复的矿区总体规划矿井全部建成后预计达到</w:t>
      </w:r>
      <w:r>
        <w:rPr>
          <w:rFonts w:ascii="Times New Roman" w:hAnsi="Times New Roman"/>
        </w:rPr>
        <w:t xml:space="preserve"> 1.46 </w:t>
      </w:r>
      <w:r>
        <w:rPr>
          <w:rFonts w:ascii="Times New Roman" w:hAnsi="Times New Roman" w:hint="eastAsia"/>
        </w:rPr>
        <w:t>亿吨，基本能够满足项目用煤需求，需要根据电力</w:t>
      </w:r>
      <w:r>
        <w:rPr>
          <w:rFonts w:ascii="Times New Roman" w:hAnsi="Times New Roman"/>
        </w:rPr>
        <w:t xml:space="preserve"> </w:t>
      </w:r>
      <w:r>
        <w:rPr>
          <w:rFonts w:ascii="Times New Roman" w:hAnsi="Times New Roman" w:hint="eastAsia"/>
        </w:rPr>
        <w:t>和煤化工等项目用煤量，合理确定矿井开发进度。”</w:t>
      </w:r>
      <w:r>
        <w:rPr>
          <w:rFonts w:ascii="Times New Roman" w:hAnsi="Times New Roman"/>
        </w:rPr>
        <w:t>《宁东能源化工基地</w:t>
      </w:r>
      <w:r>
        <w:rPr>
          <w:rFonts w:ascii="Times New Roman" w:hAnsi="Times New Roman"/>
        </w:rPr>
        <w:t>“</w:t>
      </w:r>
      <w:r>
        <w:rPr>
          <w:rFonts w:ascii="Times New Roman" w:hAnsi="Times New Roman"/>
        </w:rPr>
        <w:t>十三五</w:t>
      </w:r>
      <w:r>
        <w:rPr>
          <w:rFonts w:ascii="Times New Roman" w:hAnsi="Times New Roman"/>
        </w:rPr>
        <w:t>”</w:t>
      </w:r>
      <w:r>
        <w:rPr>
          <w:rFonts w:ascii="Times New Roman" w:hAnsi="Times New Roman"/>
        </w:rPr>
        <w:t>开发总体规划环境影响报告书》基于环境承载力的发展情景提出煤炭规划规模为</w:t>
      </w:r>
      <w:r>
        <w:rPr>
          <w:rFonts w:ascii="Times New Roman" w:hAnsi="Times New Roman"/>
        </w:rPr>
        <w:t>1</w:t>
      </w:r>
      <w:r>
        <w:rPr>
          <w:rFonts w:ascii="Times New Roman" w:hAnsi="Times New Roman"/>
        </w:rPr>
        <w:t>亿吨。</w:t>
      </w:r>
    </w:p>
    <w:p w14:paraId="0BCD8BE2"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hint="eastAsia"/>
        </w:rPr>
        <w:t>《自治区生态环境厅关</w:t>
      </w:r>
      <w:r>
        <w:rPr>
          <w:rFonts w:ascii="Times New Roman" w:hAnsi="Times New Roman" w:hint="eastAsia"/>
        </w:rPr>
        <w:t>&lt;</w:t>
      </w:r>
      <w:r>
        <w:rPr>
          <w:rFonts w:ascii="Times New Roman" w:hAnsi="Times New Roman"/>
        </w:rPr>
        <w:t>宁东基地</w:t>
      </w:r>
      <w:r>
        <w:rPr>
          <w:rFonts w:ascii="Times New Roman" w:hAnsi="Times New Roman" w:hint="eastAsia"/>
        </w:rPr>
        <w:t>“十三五”开发总体规划环境影响报告书</w:t>
      </w:r>
      <w:r>
        <w:rPr>
          <w:rFonts w:ascii="Times New Roman" w:hAnsi="Times New Roman" w:hint="eastAsia"/>
        </w:rPr>
        <w:t>&gt;</w:t>
      </w:r>
      <w:r>
        <w:rPr>
          <w:rFonts w:ascii="Times New Roman" w:hAnsi="Times New Roman" w:hint="eastAsia"/>
        </w:rPr>
        <w:t>审查意见的函》（宁环函</w:t>
      </w:r>
      <w:r>
        <w:rPr>
          <w:rFonts w:ascii="Times New Roman" w:hAnsi="Times New Roman" w:hint="eastAsia"/>
        </w:rPr>
        <w:t>[</w:t>
      </w:r>
      <w:r>
        <w:rPr>
          <w:rFonts w:ascii="Times New Roman" w:hAnsi="Times New Roman"/>
        </w:rPr>
        <w:t>2019]602</w:t>
      </w:r>
      <w:r>
        <w:rPr>
          <w:rFonts w:ascii="Times New Roman" w:hAnsi="Times New Roman"/>
        </w:rPr>
        <w:t>号</w:t>
      </w:r>
      <w:r>
        <w:rPr>
          <w:rFonts w:ascii="Times New Roman" w:hAnsi="Times New Roman" w:hint="eastAsia"/>
        </w:rPr>
        <w:t>）提出：“严格控制产业发展规模，不再新增煤炭产能”。另外，《国务院关于煤炭行业化解过剩产能实现脱困发展的意见》（国发〔</w:t>
      </w:r>
      <w:r>
        <w:rPr>
          <w:rFonts w:ascii="Times New Roman" w:hAnsi="Times New Roman" w:hint="eastAsia"/>
        </w:rPr>
        <w:t>2016</w:t>
      </w:r>
      <w:r>
        <w:rPr>
          <w:rFonts w:ascii="Times New Roman" w:hAnsi="Times New Roman" w:hint="eastAsia"/>
        </w:rPr>
        <w:t>〕</w:t>
      </w:r>
      <w:r>
        <w:rPr>
          <w:rFonts w:ascii="Times New Roman" w:hAnsi="Times New Roman" w:hint="eastAsia"/>
        </w:rPr>
        <w:t>7</w:t>
      </w:r>
      <w:r>
        <w:rPr>
          <w:rFonts w:ascii="Times New Roman" w:hAnsi="Times New Roman" w:hint="eastAsia"/>
        </w:rPr>
        <w:t>号）提出：“严格控制新增产能。从</w:t>
      </w:r>
      <w:r>
        <w:rPr>
          <w:rFonts w:ascii="Times New Roman" w:hAnsi="Times New Roman" w:hint="eastAsia"/>
        </w:rPr>
        <w:t>2016</w:t>
      </w:r>
      <w:r>
        <w:rPr>
          <w:rFonts w:ascii="Times New Roman" w:hAnsi="Times New Roman" w:hint="eastAsia"/>
        </w:rPr>
        <w:t>年起，</w:t>
      </w:r>
      <w:r>
        <w:rPr>
          <w:rFonts w:ascii="Times New Roman" w:hAnsi="Times New Roman" w:hint="eastAsia"/>
        </w:rPr>
        <w:t>3</w:t>
      </w:r>
      <w:r>
        <w:rPr>
          <w:rFonts w:ascii="Times New Roman" w:hAnsi="Times New Roman" w:hint="eastAsia"/>
        </w:rPr>
        <w:t>年内原则上停止审批新建煤矿项目、新增产能的技术改造项目和产能核增项目；确需新建煤矿的，一律实行减量置换。在建煤矿项目应按一定比例与淘汰落后产能和化解过剩产能挂钩，已完成淘汰落后产能和化解过剩产能任务的在建煤矿项目应由省级人民政府有关部门予以公告。”</w:t>
      </w:r>
    </w:p>
    <w:p w14:paraId="677C13A6"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rPr>
        <w:t>宁东能源化工基地中各矿区</w:t>
      </w:r>
      <w:r>
        <w:rPr>
          <w:rFonts w:ascii="Times New Roman" w:hAnsi="Times New Roman" w:hint="eastAsia"/>
        </w:rPr>
        <w:t>目前</w:t>
      </w:r>
      <w:r>
        <w:rPr>
          <w:rFonts w:ascii="Times New Roman" w:hAnsi="Times New Roman"/>
        </w:rPr>
        <w:t>煤炭实际产能为</w:t>
      </w:r>
      <w:r>
        <w:rPr>
          <w:rFonts w:ascii="Times New Roman" w:hAnsi="Times New Roman" w:hint="eastAsia"/>
        </w:rPr>
        <w:t>9755</w:t>
      </w:r>
      <w:r>
        <w:rPr>
          <w:rFonts w:ascii="Times New Roman" w:hAnsi="Times New Roman"/>
        </w:rPr>
        <w:t>万</w:t>
      </w:r>
      <w:r>
        <w:rPr>
          <w:rFonts w:ascii="Times New Roman" w:hAnsi="Times New Roman"/>
        </w:rPr>
        <w:t>t/a</w:t>
      </w:r>
      <w:r>
        <w:rPr>
          <w:rFonts w:ascii="Times New Roman" w:hAnsi="Times New Roman" w:hint="eastAsia"/>
        </w:rPr>
        <w:t>，</w:t>
      </w:r>
      <w:r>
        <w:rPr>
          <w:rFonts w:ascii="Times New Roman" w:hAnsi="Times New Roman"/>
        </w:rPr>
        <w:t>加上规划的丁家梁煤矿</w:t>
      </w:r>
      <w:r>
        <w:rPr>
          <w:rFonts w:ascii="Times New Roman" w:hAnsi="Times New Roman" w:hint="eastAsia"/>
        </w:rPr>
        <w:t>9</w:t>
      </w:r>
      <w:r>
        <w:rPr>
          <w:rFonts w:ascii="Times New Roman" w:hAnsi="Times New Roman"/>
        </w:rPr>
        <w:t>0</w:t>
      </w:r>
      <w:r>
        <w:rPr>
          <w:rFonts w:ascii="Times New Roman" w:hAnsi="Times New Roman"/>
        </w:rPr>
        <w:t>万吨</w:t>
      </w:r>
      <w:r>
        <w:rPr>
          <w:rFonts w:ascii="Times New Roman" w:hAnsi="Times New Roman" w:hint="eastAsia"/>
        </w:rPr>
        <w:t>，也未超过</w:t>
      </w:r>
      <w:r>
        <w:rPr>
          <w:rFonts w:ascii="Times New Roman" w:hAnsi="Times New Roman"/>
        </w:rPr>
        <w:t>1</w:t>
      </w:r>
      <w:r>
        <w:rPr>
          <w:rFonts w:ascii="Times New Roman" w:hAnsi="Times New Roman"/>
        </w:rPr>
        <w:t>亿</w:t>
      </w:r>
      <w:r>
        <w:rPr>
          <w:rFonts w:ascii="Times New Roman" w:hAnsi="Times New Roman"/>
        </w:rPr>
        <w:t>t/a</w:t>
      </w:r>
      <w:r>
        <w:rPr>
          <w:rFonts w:ascii="Times New Roman" w:hAnsi="Times New Roman"/>
        </w:rPr>
        <w:t>规模。根据</w:t>
      </w:r>
      <w:r>
        <w:rPr>
          <w:rFonts w:ascii="Times New Roman" w:hAnsi="Times New Roman" w:hint="eastAsia"/>
        </w:rPr>
        <w:t>国发〔</w:t>
      </w:r>
      <w:r>
        <w:rPr>
          <w:rFonts w:ascii="Times New Roman" w:hAnsi="Times New Roman" w:hint="eastAsia"/>
        </w:rPr>
        <w:t>2016</w:t>
      </w:r>
      <w:r>
        <w:rPr>
          <w:rFonts w:ascii="Times New Roman" w:hAnsi="Times New Roman" w:hint="eastAsia"/>
        </w:rPr>
        <w:t>〕</w:t>
      </w:r>
      <w:r>
        <w:rPr>
          <w:rFonts w:ascii="Times New Roman" w:hAnsi="Times New Roman" w:hint="eastAsia"/>
        </w:rPr>
        <w:t>7</w:t>
      </w:r>
      <w:r>
        <w:rPr>
          <w:rFonts w:ascii="Times New Roman" w:hAnsi="Times New Roman" w:hint="eastAsia"/>
        </w:rPr>
        <w:t>号文件，</w:t>
      </w:r>
      <w:r>
        <w:rPr>
          <w:rFonts w:ascii="Times New Roman" w:hAnsi="Times New Roman"/>
        </w:rPr>
        <w:t>丁家梁煤矿产能</w:t>
      </w:r>
      <w:r>
        <w:rPr>
          <w:rFonts w:ascii="Times New Roman" w:hAnsi="Times New Roman" w:hint="eastAsia"/>
        </w:rPr>
        <w:t>须</w:t>
      </w:r>
      <w:r>
        <w:rPr>
          <w:rFonts w:ascii="Times New Roman" w:hAnsi="Times New Roman"/>
        </w:rPr>
        <w:t>进行产能置换</w:t>
      </w:r>
      <w:r>
        <w:rPr>
          <w:rFonts w:ascii="Times New Roman" w:hAnsi="Times New Roman" w:hint="eastAsia"/>
        </w:rPr>
        <w:t>，</w:t>
      </w:r>
      <w:r>
        <w:rPr>
          <w:rFonts w:ascii="Times New Roman" w:hAnsi="Times New Roman"/>
        </w:rPr>
        <w:t>产能置换在后续项目阶段办理</w:t>
      </w:r>
      <w:r>
        <w:rPr>
          <w:rFonts w:ascii="Times New Roman" w:hAnsi="Times New Roman" w:hint="eastAsia"/>
        </w:rPr>
        <w:t>。</w:t>
      </w:r>
    </w:p>
    <w:p w14:paraId="1E0AAA23" w14:textId="77777777" w:rsidR="009C353B" w:rsidRDefault="00000000">
      <w:pPr>
        <w:adjustRightInd w:val="0"/>
        <w:snapToGrid w:val="0"/>
        <w:spacing w:line="440" w:lineRule="exact"/>
        <w:ind w:firstLineChars="200" w:firstLine="480"/>
        <w:jc w:val="left"/>
        <w:rPr>
          <w:rFonts w:ascii="Times New Roman" w:hAnsi="Times New Roman"/>
          <w:szCs w:val="28"/>
        </w:rPr>
      </w:pPr>
      <w:r>
        <w:rPr>
          <w:rFonts w:ascii="Times New Roman" w:hAnsi="Times New Roman" w:hint="eastAsia"/>
          <w:szCs w:val="28"/>
        </w:rPr>
        <w:t>宁东基地核心区附近有三个矿区，分别为灵武矿区、横城矿区和鸳鸯湖矿区，现有生产矿井</w:t>
      </w:r>
      <w:r>
        <w:rPr>
          <w:rFonts w:ascii="Times New Roman" w:hAnsi="Times New Roman" w:hint="eastAsia"/>
          <w:szCs w:val="28"/>
        </w:rPr>
        <w:t>11</w:t>
      </w:r>
      <w:r>
        <w:rPr>
          <w:rFonts w:ascii="Times New Roman" w:hAnsi="Times New Roman" w:hint="eastAsia"/>
          <w:szCs w:val="28"/>
        </w:rPr>
        <w:t>对，</w:t>
      </w:r>
      <w:r>
        <w:rPr>
          <w:rFonts w:ascii="Times New Roman" w:hAnsi="Times New Roman" w:hint="eastAsia"/>
          <w:szCs w:val="28"/>
        </w:rPr>
        <w:t>2019</w:t>
      </w:r>
      <w:r>
        <w:rPr>
          <w:rFonts w:ascii="Times New Roman" w:hAnsi="Times New Roman" w:hint="eastAsia"/>
          <w:szCs w:val="28"/>
        </w:rPr>
        <w:t>年实际生产能力不足</w:t>
      </w:r>
      <w:r>
        <w:rPr>
          <w:rFonts w:ascii="Times New Roman" w:hAnsi="Times New Roman" w:hint="eastAsia"/>
          <w:szCs w:val="28"/>
        </w:rPr>
        <w:t>7350</w:t>
      </w:r>
      <w:r>
        <w:rPr>
          <w:rFonts w:ascii="Times New Roman" w:hAnsi="Times New Roman" w:hint="eastAsia"/>
          <w:szCs w:val="28"/>
        </w:rPr>
        <w:t>万</w:t>
      </w:r>
      <w:r>
        <w:rPr>
          <w:rFonts w:ascii="Times New Roman" w:hAnsi="Times New Roman"/>
          <w:szCs w:val="28"/>
        </w:rPr>
        <w:t>t</w:t>
      </w:r>
      <w:r>
        <w:rPr>
          <w:rFonts w:ascii="Times New Roman" w:hAnsi="Times New Roman" w:hint="eastAsia"/>
          <w:szCs w:val="28"/>
        </w:rPr>
        <w:t>（其中灵武矿区生产</w:t>
      </w:r>
      <w:r>
        <w:rPr>
          <w:rFonts w:ascii="Times New Roman" w:hAnsi="Times New Roman" w:hint="eastAsia"/>
          <w:szCs w:val="28"/>
        </w:rPr>
        <w:t>2620</w:t>
      </w:r>
      <w:r>
        <w:rPr>
          <w:rFonts w:ascii="Times New Roman" w:hAnsi="Times New Roman" w:hint="eastAsia"/>
          <w:szCs w:val="28"/>
        </w:rPr>
        <w:t>万</w:t>
      </w:r>
      <w:r>
        <w:rPr>
          <w:rFonts w:ascii="Times New Roman" w:hAnsi="Times New Roman"/>
          <w:szCs w:val="28"/>
        </w:rPr>
        <w:t>t</w:t>
      </w:r>
      <w:r>
        <w:rPr>
          <w:rFonts w:ascii="Times New Roman" w:hAnsi="Times New Roman" w:hint="eastAsia"/>
          <w:szCs w:val="28"/>
        </w:rPr>
        <w:t>，横城矿区生产</w:t>
      </w:r>
      <w:r>
        <w:rPr>
          <w:rFonts w:ascii="Times New Roman" w:hAnsi="Times New Roman" w:hint="eastAsia"/>
          <w:szCs w:val="28"/>
        </w:rPr>
        <w:t>8</w:t>
      </w:r>
      <w:r>
        <w:rPr>
          <w:rFonts w:ascii="Times New Roman" w:hAnsi="Times New Roman"/>
          <w:szCs w:val="28"/>
        </w:rPr>
        <w:t>3</w:t>
      </w:r>
      <w:r>
        <w:rPr>
          <w:rFonts w:ascii="Times New Roman" w:hAnsi="Times New Roman" w:hint="eastAsia"/>
          <w:szCs w:val="28"/>
        </w:rPr>
        <w:t>0</w:t>
      </w:r>
      <w:r>
        <w:rPr>
          <w:rFonts w:ascii="Times New Roman" w:hAnsi="Times New Roman" w:hint="eastAsia"/>
          <w:szCs w:val="28"/>
        </w:rPr>
        <w:t>万</w:t>
      </w:r>
      <w:r>
        <w:rPr>
          <w:rFonts w:ascii="Times New Roman" w:hAnsi="Times New Roman"/>
          <w:szCs w:val="28"/>
        </w:rPr>
        <w:t>t</w:t>
      </w:r>
      <w:r>
        <w:rPr>
          <w:rFonts w:ascii="Times New Roman" w:hAnsi="Times New Roman"/>
          <w:szCs w:val="28"/>
        </w:rPr>
        <w:t>，</w:t>
      </w:r>
      <w:r>
        <w:rPr>
          <w:rFonts w:ascii="Times New Roman" w:hAnsi="Times New Roman" w:hint="eastAsia"/>
          <w:szCs w:val="28"/>
        </w:rPr>
        <w:t>鸳鸯湖矿区生产</w:t>
      </w:r>
      <w:r>
        <w:rPr>
          <w:rFonts w:ascii="Times New Roman" w:hAnsi="Times New Roman" w:hint="eastAsia"/>
          <w:szCs w:val="28"/>
        </w:rPr>
        <w:t>3900</w:t>
      </w:r>
      <w:r>
        <w:rPr>
          <w:rFonts w:ascii="Times New Roman" w:hAnsi="Times New Roman" w:hint="eastAsia"/>
          <w:szCs w:val="28"/>
        </w:rPr>
        <w:t>万</w:t>
      </w:r>
      <w:r>
        <w:rPr>
          <w:rFonts w:ascii="Times New Roman" w:hAnsi="Times New Roman"/>
          <w:szCs w:val="28"/>
        </w:rPr>
        <w:t>t</w:t>
      </w:r>
      <w:r>
        <w:rPr>
          <w:rFonts w:ascii="Times New Roman" w:hAnsi="Times New Roman" w:hint="eastAsia"/>
          <w:szCs w:val="28"/>
        </w:rPr>
        <w:t>），远不能满足宁东基地煤炭的需求。横城矿区作为宁东基地核心区的三个矿区之一，现有规模符合宁东煤炭基地十三五规划，规划建设规模可以更好地满足宁东基地用户需求，是合理的。</w:t>
      </w:r>
    </w:p>
    <w:p w14:paraId="1A2DCA99"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hint="eastAsia"/>
        </w:rPr>
        <w:t>结合</w:t>
      </w:r>
      <w:r>
        <w:rPr>
          <w:rFonts w:ascii="Times New Roman" w:hAnsi="Times New Roman"/>
        </w:rPr>
        <w:t>《宁东能源化工基地</w:t>
      </w:r>
      <w:r>
        <w:rPr>
          <w:rFonts w:ascii="Times New Roman" w:hAnsi="Times New Roman"/>
        </w:rPr>
        <w:t>“</w:t>
      </w:r>
      <w:r>
        <w:rPr>
          <w:rFonts w:ascii="Times New Roman" w:hAnsi="Times New Roman"/>
        </w:rPr>
        <w:t>十三五</w:t>
      </w:r>
      <w:r>
        <w:rPr>
          <w:rFonts w:ascii="Times New Roman" w:hAnsi="Times New Roman"/>
        </w:rPr>
        <w:t>”</w:t>
      </w:r>
      <w:r>
        <w:rPr>
          <w:rFonts w:ascii="Times New Roman" w:hAnsi="Times New Roman"/>
        </w:rPr>
        <w:t>开发总体规划环境影响报告书》及其审查意见</w:t>
      </w:r>
      <w:r>
        <w:rPr>
          <w:rFonts w:ascii="Times New Roman" w:hAnsi="Times New Roman" w:hint="eastAsia"/>
        </w:rPr>
        <w:t>，宁东基地资源环境条件，考虑到横城矿区煤炭资源条件限制，矿区煤炭开发规模不具备大幅增长的条件，后续矿区开发规模以维持本次规划规模满足基地需求为宜。</w:t>
      </w:r>
    </w:p>
    <w:p w14:paraId="69C206CD" w14:textId="77777777" w:rsidR="009C353B" w:rsidRDefault="00000000">
      <w:pPr>
        <w:keepNext/>
        <w:keepLines/>
        <w:snapToGrid w:val="0"/>
        <w:spacing w:before="260" w:after="260" w:line="440" w:lineRule="exact"/>
        <w:outlineLvl w:val="1"/>
        <w:rPr>
          <w:rFonts w:ascii="Times New Roman" w:hAnsi="Times New Roman"/>
          <w:b/>
          <w:sz w:val="28"/>
        </w:rPr>
      </w:pPr>
      <w:bookmarkStart w:id="322" w:name="_Toc404871931"/>
      <w:bookmarkStart w:id="323" w:name="_Toc59189866"/>
      <w:bookmarkStart w:id="324" w:name="_Toc400733230"/>
      <w:r>
        <w:rPr>
          <w:rFonts w:ascii="Times New Roman" w:hAnsi="Times New Roman"/>
          <w:b/>
          <w:sz w:val="28"/>
        </w:rPr>
        <w:t>8</w:t>
      </w:r>
      <w:r>
        <w:rPr>
          <w:rFonts w:ascii="Times New Roman" w:hAnsi="Times New Roman" w:hint="eastAsia"/>
          <w:b/>
          <w:sz w:val="28"/>
        </w:rPr>
        <w:t>.</w:t>
      </w:r>
      <w:r>
        <w:rPr>
          <w:rFonts w:ascii="Times New Roman" w:hAnsi="Times New Roman"/>
          <w:b/>
          <w:sz w:val="28"/>
        </w:rPr>
        <w:t xml:space="preserve">5 </w:t>
      </w:r>
      <w:r>
        <w:rPr>
          <w:rFonts w:ascii="Times New Roman" w:hAnsi="Times New Roman" w:hint="eastAsia"/>
          <w:b/>
          <w:sz w:val="28"/>
        </w:rPr>
        <w:t>矿区规划项目建设时序合理性分析</w:t>
      </w:r>
      <w:bookmarkEnd w:id="322"/>
      <w:bookmarkEnd w:id="323"/>
      <w:bookmarkEnd w:id="324"/>
    </w:p>
    <w:p w14:paraId="538BE1A7" w14:textId="77777777" w:rsidR="009C353B" w:rsidRDefault="00000000">
      <w:pPr>
        <w:adjustRightInd w:val="0"/>
        <w:snapToGrid w:val="0"/>
        <w:spacing w:line="440" w:lineRule="exact"/>
        <w:ind w:firstLineChars="200" w:firstLine="480"/>
        <w:jc w:val="left"/>
        <w:rPr>
          <w:rFonts w:ascii="Times New Roman" w:hAnsi="Times New Roman"/>
          <w:szCs w:val="24"/>
        </w:rPr>
      </w:pPr>
      <w:r>
        <w:rPr>
          <w:rFonts w:ascii="Times New Roman" w:hAnsi="Times New Roman" w:hint="eastAsia"/>
          <w:szCs w:val="24"/>
        </w:rPr>
        <w:t>矿区</w:t>
      </w:r>
      <w:r>
        <w:rPr>
          <w:rFonts w:ascii="Times New Roman" w:hAnsi="Times New Roman" w:hint="eastAsia"/>
        </w:rPr>
        <w:t>共规划</w:t>
      </w:r>
      <w:r>
        <w:rPr>
          <w:rFonts w:ascii="Times New Roman" w:hAnsi="Times New Roman" w:hint="eastAsia"/>
        </w:rPr>
        <w:t>4</w:t>
      </w:r>
      <w:r>
        <w:rPr>
          <w:rFonts w:ascii="Times New Roman" w:hAnsi="Times New Roman" w:hint="eastAsia"/>
        </w:rPr>
        <w:t>对矿井及选煤厂，其中</w:t>
      </w:r>
      <w:r>
        <w:rPr>
          <w:rFonts w:ascii="Times New Roman" w:hAnsi="Times New Roman" w:hint="eastAsia"/>
        </w:rPr>
        <w:t>3</w:t>
      </w:r>
      <w:r>
        <w:rPr>
          <w:rFonts w:ascii="Times New Roman" w:hAnsi="Times New Roman" w:hint="eastAsia"/>
        </w:rPr>
        <w:t>个已建成且规模与规划一致。</w:t>
      </w:r>
      <w:r>
        <w:rPr>
          <w:rFonts w:ascii="Times New Roman" w:hAnsi="Times New Roman" w:hint="eastAsia"/>
          <w:szCs w:val="24"/>
        </w:rPr>
        <w:t>丁家梁煤矿</w:t>
      </w:r>
      <w:r>
        <w:rPr>
          <w:rFonts w:ascii="Times New Roman" w:hAnsi="Times New Roman" w:hint="eastAsia"/>
        </w:rPr>
        <w:t>（</w:t>
      </w:r>
      <w:r>
        <w:rPr>
          <w:rFonts w:ascii="Times New Roman" w:hAnsi="Times New Roman" w:hint="eastAsia"/>
          <w:szCs w:val="24"/>
        </w:rPr>
        <w:t>0</w:t>
      </w:r>
      <w:r>
        <w:rPr>
          <w:rFonts w:ascii="Times New Roman" w:hAnsi="Times New Roman"/>
          <w:szCs w:val="24"/>
        </w:rPr>
        <w:t>.</w:t>
      </w:r>
      <w:r>
        <w:rPr>
          <w:rFonts w:ascii="Times New Roman" w:hAnsi="Times New Roman" w:hint="eastAsia"/>
          <w:szCs w:val="24"/>
        </w:rPr>
        <w:t>9</w:t>
      </w:r>
      <w:r>
        <w:rPr>
          <w:rFonts w:ascii="Times New Roman" w:hAnsi="Times New Roman"/>
        </w:rPr>
        <w:t>Mt/a</w:t>
      </w:r>
      <w:r>
        <w:rPr>
          <w:rFonts w:ascii="Times New Roman" w:hAnsi="Times New Roman" w:hint="eastAsia"/>
        </w:rPr>
        <w:t>）在建，工业场地已基本完工。</w:t>
      </w:r>
      <w:r>
        <w:rPr>
          <w:rFonts w:ascii="Times New Roman" w:hAnsi="Times New Roman" w:hint="eastAsia"/>
          <w:szCs w:val="24"/>
        </w:rPr>
        <w:t>矿区规划</w:t>
      </w:r>
      <w:r>
        <w:rPr>
          <w:rFonts w:ascii="Times New Roman" w:hAnsi="Times New Roman"/>
          <w:szCs w:val="24"/>
        </w:rPr>
        <w:t>2022</w:t>
      </w:r>
      <w:r>
        <w:rPr>
          <w:rFonts w:ascii="Times New Roman" w:hAnsi="Times New Roman" w:hint="eastAsia"/>
          <w:szCs w:val="24"/>
        </w:rPr>
        <w:t>达到</w:t>
      </w:r>
      <w:r>
        <w:rPr>
          <w:rFonts w:ascii="Times New Roman" w:hAnsi="Times New Roman" w:hint="eastAsia"/>
        </w:rPr>
        <w:t>9.2</w:t>
      </w:r>
      <w:r>
        <w:rPr>
          <w:rFonts w:ascii="Times New Roman" w:hAnsi="Times New Roman"/>
        </w:rPr>
        <w:t>0Mt/a</w:t>
      </w:r>
      <w:r>
        <w:rPr>
          <w:rFonts w:ascii="Times New Roman" w:hAnsi="Times New Roman"/>
        </w:rPr>
        <w:t>的规模</w:t>
      </w:r>
      <w:r>
        <w:rPr>
          <w:rFonts w:ascii="Times New Roman" w:hAnsi="Times New Roman"/>
          <w:szCs w:val="24"/>
        </w:rPr>
        <w:t>，</w:t>
      </w:r>
      <w:r>
        <w:rPr>
          <w:rFonts w:ascii="Times New Roman" w:hAnsi="Times New Roman" w:hint="eastAsia"/>
          <w:szCs w:val="24"/>
        </w:rPr>
        <w:t>环评认为矿区建设时序是合理的。</w:t>
      </w:r>
    </w:p>
    <w:p w14:paraId="385CB52F" w14:textId="77777777" w:rsidR="009C353B" w:rsidRDefault="00000000">
      <w:pPr>
        <w:keepNext/>
        <w:keepLines/>
        <w:snapToGrid w:val="0"/>
        <w:spacing w:before="260" w:after="260" w:line="440" w:lineRule="exact"/>
        <w:outlineLvl w:val="1"/>
        <w:rPr>
          <w:rFonts w:ascii="Times New Roman" w:hAnsi="Times New Roman"/>
          <w:b/>
          <w:sz w:val="28"/>
        </w:rPr>
      </w:pPr>
      <w:bookmarkStart w:id="325" w:name="_Toc59189867"/>
      <w:bookmarkStart w:id="326" w:name="_Toc411499240"/>
      <w:bookmarkStart w:id="327" w:name="_Toc404871934"/>
      <w:r>
        <w:rPr>
          <w:rFonts w:ascii="Times New Roman" w:hAnsi="Times New Roman"/>
          <w:b/>
          <w:sz w:val="28"/>
        </w:rPr>
        <w:t>8.6</w:t>
      </w:r>
      <w:r>
        <w:rPr>
          <w:rFonts w:ascii="Times New Roman" w:hAnsi="Times New Roman" w:hint="eastAsia"/>
          <w:b/>
          <w:sz w:val="28"/>
        </w:rPr>
        <w:t xml:space="preserve"> </w:t>
      </w:r>
      <w:r>
        <w:rPr>
          <w:rFonts w:ascii="Times New Roman" w:hAnsi="Times New Roman"/>
          <w:b/>
          <w:sz w:val="28"/>
        </w:rPr>
        <w:t>矿区</w:t>
      </w:r>
      <w:r>
        <w:rPr>
          <w:rFonts w:ascii="Times New Roman" w:hAnsi="Times New Roman" w:hint="eastAsia"/>
          <w:b/>
          <w:sz w:val="28"/>
        </w:rPr>
        <w:t>资源、环境承载力分析</w:t>
      </w:r>
      <w:bookmarkEnd w:id="325"/>
      <w:bookmarkEnd w:id="326"/>
    </w:p>
    <w:p w14:paraId="579FAD08" w14:textId="77777777" w:rsidR="009C353B" w:rsidRDefault="00000000">
      <w:pPr>
        <w:spacing w:line="440" w:lineRule="exact"/>
        <w:ind w:firstLineChars="200" w:firstLine="482"/>
        <w:rPr>
          <w:rFonts w:ascii="Times New Roman" w:hAnsi="Times New Roman"/>
          <w:b/>
          <w:szCs w:val="24"/>
        </w:rPr>
      </w:pPr>
      <w:r>
        <w:rPr>
          <w:rFonts w:ascii="Times New Roman" w:hAnsi="Times New Roman"/>
          <w:b/>
          <w:szCs w:val="24"/>
        </w:rPr>
        <w:t>（</w:t>
      </w:r>
      <w:r>
        <w:rPr>
          <w:rFonts w:ascii="Times New Roman" w:hAnsi="Times New Roman"/>
          <w:b/>
          <w:szCs w:val="24"/>
        </w:rPr>
        <w:t>1</w:t>
      </w:r>
      <w:r>
        <w:rPr>
          <w:rFonts w:ascii="Times New Roman" w:hAnsi="Times New Roman"/>
          <w:b/>
          <w:szCs w:val="24"/>
        </w:rPr>
        <w:t>）水资源</w:t>
      </w:r>
      <w:r>
        <w:rPr>
          <w:rFonts w:ascii="Times New Roman" w:hAnsi="Times New Roman" w:hint="eastAsia"/>
          <w:b/>
          <w:szCs w:val="24"/>
        </w:rPr>
        <w:t>承载力</w:t>
      </w:r>
      <w:r>
        <w:rPr>
          <w:rFonts w:ascii="Times New Roman" w:hAnsi="Times New Roman"/>
          <w:b/>
          <w:szCs w:val="24"/>
        </w:rPr>
        <w:t>可以</w:t>
      </w:r>
      <w:r>
        <w:rPr>
          <w:rFonts w:ascii="Times New Roman" w:hAnsi="Times New Roman" w:hint="eastAsia"/>
          <w:b/>
          <w:szCs w:val="24"/>
        </w:rPr>
        <w:t>承载</w:t>
      </w:r>
      <w:r>
        <w:rPr>
          <w:rFonts w:ascii="Times New Roman" w:hAnsi="Times New Roman"/>
          <w:b/>
          <w:szCs w:val="24"/>
        </w:rPr>
        <w:t>矿区规划</w:t>
      </w:r>
      <w:r>
        <w:rPr>
          <w:rFonts w:ascii="Times New Roman" w:hAnsi="Times New Roman" w:hint="eastAsia"/>
          <w:b/>
          <w:szCs w:val="24"/>
        </w:rPr>
        <w:t>实施</w:t>
      </w:r>
    </w:p>
    <w:p w14:paraId="23BDE76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int="eastAsia"/>
        </w:rPr>
        <w:t>矿区规划</w:t>
      </w:r>
      <w:r>
        <w:rPr>
          <w:rFonts w:ascii="Times New Roman"/>
        </w:rPr>
        <w:t>达产时</w:t>
      </w:r>
      <w:r>
        <w:rPr>
          <w:rFonts w:ascii="Times New Roman" w:hint="eastAsia"/>
          <w:szCs w:val="24"/>
        </w:rPr>
        <w:t>矿区可回用</w:t>
      </w:r>
      <w:r>
        <w:rPr>
          <w:rFonts w:ascii="Times New Roman"/>
          <w:szCs w:val="24"/>
        </w:rPr>
        <w:t>水量为</w:t>
      </w:r>
      <w:r>
        <w:rPr>
          <w:rFonts w:ascii="Times New Roman"/>
          <w:szCs w:val="24"/>
        </w:rPr>
        <w:t>522.07</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w:t>
      </w:r>
      <w:r>
        <w:rPr>
          <w:rFonts w:ascii="Times New Roman"/>
        </w:rPr>
        <w:t>生产用水总需水量为</w:t>
      </w:r>
      <w:r>
        <w:rPr>
          <w:rFonts w:ascii="Times New Roman"/>
        </w:rPr>
        <w:t>482.20</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，有</w:t>
      </w:r>
      <w:r>
        <w:rPr>
          <w:rFonts w:ascii="Times New Roman" w:hAnsi="Times New Roman"/>
        </w:rPr>
        <w:t>39.87</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剩余水量，矿区</w:t>
      </w:r>
      <w:r>
        <w:rPr>
          <w:rFonts w:ascii="Times New Roman" w:hAnsi="Times New Roman"/>
        </w:rPr>
        <w:t>内部水资源足以</w:t>
      </w:r>
      <w:r>
        <w:rPr>
          <w:rFonts w:ascii="Times New Roman" w:hAnsi="Times New Roman" w:hint="eastAsia"/>
        </w:rPr>
        <w:t>承载</w:t>
      </w:r>
      <w:r>
        <w:rPr>
          <w:rFonts w:ascii="Times New Roman" w:hAnsi="Times New Roman"/>
        </w:rPr>
        <w:t>规划项目生产</w:t>
      </w:r>
      <w:r>
        <w:rPr>
          <w:rFonts w:ascii="Times New Roman" w:hAnsi="Times New Roman" w:hint="eastAsia"/>
        </w:rPr>
        <w:t>、生活</w:t>
      </w:r>
      <w:r>
        <w:rPr>
          <w:rFonts w:ascii="Times New Roman" w:hAnsi="Times New Roman"/>
        </w:rPr>
        <w:t>需求，</w:t>
      </w:r>
      <w:r>
        <w:rPr>
          <w:rFonts w:ascii="Times New Roman" w:hAnsi="Times New Roman" w:hint="eastAsia"/>
        </w:rPr>
        <w:t>尚有</w:t>
      </w:r>
      <w:r>
        <w:rPr>
          <w:rFonts w:ascii="Times New Roman" w:hAnsi="Times New Roman"/>
        </w:rPr>
        <w:t>部分剩余水量可输送到煤</w:t>
      </w:r>
      <w:r>
        <w:rPr>
          <w:rFonts w:ascii="Times New Roman" w:hAnsi="Times New Roman" w:hint="eastAsia"/>
        </w:rPr>
        <w:t>化工园区综合利用。</w:t>
      </w:r>
    </w:p>
    <w:p w14:paraId="4762DF37"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根据《宁东供水工程水资源论证报告》（</w:t>
      </w:r>
      <w:r>
        <w:rPr>
          <w:rFonts w:ascii="Times New Roman" w:hint="eastAsia"/>
          <w:szCs w:val="24"/>
        </w:rPr>
        <w:t>2</w:t>
      </w:r>
      <w:r>
        <w:rPr>
          <w:rFonts w:ascii="Times New Roman"/>
          <w:szCs w:val="24"/>
        </w:rPr>
        <w:t>017.11</w:t>
      </w:r>
      <w:r>
        <w:rPr>
          <w:rFonts w:ascii="Times New Roman" w:hint="eastAsia"/>
          <w:szCs w:val="24"/>
        </w:rPr>
        <w:t>），马莲台、红石湾、任家庄都在鸭子荡水库计划供水总量指标内，三矿生活供水总量</w:t>
      </w:r>
      <w:r>
        <w:rPr>
          <w:rFonts w:ascii="Times New Roman"/>
          <w:szCs w:val="24"/>
        </w:rPr>
        <w:t>33</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，矿区规划修编生活总需水量</w:t>
      </w:r>
      <w:r>
        <w:rPr>
          <w:rFonts w:ascii="Times New Roman" w:hAnsi="Times New Roman"/>
        </w:rPr>
        <w:t>14.45</w:t>
      </w:r>
      <w:r>
        <w:rPr>
          <w:rFonts w:ascii="Times New Roman"/>
        </w:rPr>
        <w:t>万</w:t>
      </w:r>
      <w:r>
        <w:rPr>
          <w:rFonts w:ascii="Times New Roman" w:hAnsi="Times New Roman"/>
        </w:rPr>
        <w:t>m</w:t>
      </w:r>
      <w:r>
        <w:rPr>
          <w:rFonts w:ascii="Times New Roman" w:hAnsi="Times New Roman"/>
          <w:vertAlign w:val="superscript"/>
        </w:rPr>
        <w:t>3</w:t>
      </w:r>
      <w:r>
        <w:rPr>
          <w:rFonts w:ascii="Times New Roman" w:hAnsi="Times New Roman"/>
        </w:rPr>
        <w:t>/a</w:t>
      </w:r>
      <w:r>
        <w:rPr>
          <w:rFonts w:ascii="Times New Roman" w:hAnsi="Times New Roman" w:hint="eastAsia"/>
        </w:rPr>
        <w:t>，</w:t>
      </w:r>
      <w:r>
        <w:rPr>
          <w:rFonts w:ascii="Times New Roman"/>
          <w:szCs w:val="24"/>
        </w:rPr>
        <w:t>足以满足</w:t>
      </w:r>
      <w:r>
        <w:rPr>
          <w:rFonts w:ascii="Times New Roman" w:hint="eastAsia"/>
          <w:szCs w:val="24"/>
        </w:rPr>
        <w:t>矿区生活用水需求。</w:t>
      </w:r>
    </w:p>
    <w:p w14:paraId="371A0C6F" w14:textId="77777777" w:rsidR="009C353B" w:rsidRDefault="00000000">
      <w:pPr>
        <w:spacing w:line="440" w:lineRule="exact"/>
        <w:ind w:firstLineChars="200" w:firstLine="482"/>
        <w:rPr>
          <w:rFonts w:ascii="Times New Roman" w:hAnsi="Times New Roman"/>
          <w:b/>
          <w:szCs w:val="24"/>
        </w:rPr>
      </w:pPr>
      <w:r>
        <w:rPr>
          <w:rFonts w:ascii="Times New Roman" w:hAnsi="Times New Roman"/>
          <w:b/>
          <w:szCs w:val="24"/>
        </w:rPr>
        <w:t>（</w:t>
      </w:r>
      <w:r>
        <w:rPr>
          <w:rFonts w:ascii="Times New Roman" w:hAnsi="Times New Roman"/>
          <w:b/>
          <w:szCs w:val="24"/>
        </w:rPr>
        <w:t>2</w:t>
      </w:r>
      <w:r>
        <w:rPr>
          <w:rFonts w:ascii="Times New Roman" w:hAnsi="Times New Roman"/>
          <w:b/>
          <w:szCs w:val="24"/>
        </w:rPr>
        <w:t>）生态承载力可以</w:t>
      </w:r>
      <w:r>
        <w:rPr>
          <w:rFonts w:ascii="Times New Roman" w:hAnsi="Times New Roman" w:hint="eastAsia"/>
          <w:b/>
          <w:szCs w:val="24"/>
        </w:rPr>
        <w:t>承载</w:t>
      </w:r>
      <w:r>
        <w:rPr>
          <w:rFonts w:ascii="Times New Roman" w:hAnsi="Times New Roman"/>
          <w:b/>
          <w:szCs w:val="24"/>
        </w:rPr>
        <w:t>矿区规划</w:t>
      </w:r>
      <w:r>
        <w:rPr>
          <w:rFonts w:ascii="Times New Roman" w:hAnsi="Times New Roman" w:hint="eastAsia"/>
          <w:b/>
          <w:szCs w:val="24"/>
        </w:rPr>
        <w:t>实施</w:t>
      </w:r>
    </w:p>
    <w:p w14:paraId="7D5BD4CA"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横城矿区所在区域属于水资源较高压力水平、土地资源中等压力水平，确定因此该区域总体资源压力度属于较高压力水平。该区的生态承载力属于“不稳定低承载较高压力水平”。因该区域生态系统不稳定，对外界干扰的抵抗和恢复能力较低，且目前区域已存在较高的生态压力，因此在矿区开发过程中，应加强土地资源保护，尽量减少永久占用土地，沉陷造成的土地破坏应及时采取措施加以减缓、恢复；开展清洁生产，提高污废水资源化利用率，减少新鲜水消耗，缓解矿区开发对区域水资源的影响；另外要加强矿区开发“三废”治理力度，使“三废”</w:t>
      </w:r>
      <w:r>
        <w:rPr>
          <w:rFonts w:ascii="Times New Roman" w:hAnsi="Times New Roman"/>
          <w:szCs w:val="24"/>
        </w:rPr>
        <w:t>100</w:t>
      </w:r>
      <w:r>
        <w:rPr>
          <w:rFonts w:ascii="Times New Roman" w:hAnsi="Times New Roman" w:hint="eastAsia"/>
          <w:szCs w:val="24"/>
        </w:rPr>
        <w:t>％达标排放，污废水排放必须满足水环境功能区划要求；应尽量减少矿区开发固体废弃物产生量，已产生的应进行综合利用和无害化处理。</w:t>
      </w:r>
      <w:r>
        <w:rPr>
          <w:rFonts w:ascii="Times New Roman" w:hAnsi="Times New Roman"/>
          <w:szCs w:val="24"/>
        </w:rPr>
        <w:t>在切实做好</w:t>
      </w:r>
      <w:r>
        <w:rPr>
          <w:rFonts w:ascii="Times New Roman" w:hAnsi="Times New Roman" w:hint="eastAsia"/>
          <w:szCs w:val="24"/>
        </w:rPr>
        <w:t>矿区</w:t>
      </w:r>
      <w:r>
        <w:rPr>
          <w:rFonts w:ascii="Times New Roman" w:hAnsi="Times New Roman"/>
          <w:szCs w:val="24"/>
        </w:rPr>
        <w:t>土地复垦和</w:t>
      </w:r>
      <w:r>
        <w:rPr>
          <w:rFonts w:ascii="Times New Roman" w:hAnsi="Times New Roman" w:hint="eastAsia"/>
          <w:szCs w:val="24"/>
        </w:rPr>
        <w:t>生态</w:t>
      </w:r>
      <w:r>
        <w:rPr>
          <w:rFonts w:ascii="Times New Roman" w:hAnsi="Times New Roman"/>
          <w:szCs w:val="24"/>
        </w:rPr>
        <w:t>恢复等工作</w:t>
      </w:r>
      <w:r>
        <w:rPr>
          <w:rFonts w:ascii="Times New Roman" w:hAnsi="Times New Roman" w:hint="eastAsia"/>
          <w:szCs w:val="24"/>
        </w:rPr>
        <w:t>后</w:t>
      </w:r>
      <w:r>
        <w:rPr>
          <w:rFonts w:ascii="Times New Roman" w:hAnsi="Times New Roman"/>
          <w:szCs w:val="24"/>
        </w:rPr>
        <w:t>，可使</w:t>
      </w:r>
      <w:r>
        <w:rPr>
          <w:rFonts w:ascii="Times New Roman" w:hAnsi="Times New Roman" w:hint="eastAsia"/>
          <w:szCs w:val="24"/>
        </w:rPr>
        <w:t>矿区生态</w:t>
      </w:r>
      <w:r>
        <w:rPr>
          <w:rFonts w:ascii="Times New Roman" w:hAnsi="Times New Roman"/>
          <w:szCs w:val="24"/>
        </w:rPr>
        <w:t>承载力恢复现状。</w:t>
      </w:r>
    </w:p>
    <w:p w14:paraId="46FF3AC0" w14:textId="77777777" w:rsidR="009C353B" w:rsidRDefault="00000000">
      <w:pPr>
        <w:spacing w:line="440" w:lineRule="exact"/>
        <w:ind w:firstLineChars="200" w:firstLine="482"/>
        <w:rPr>
          <w:rFonts w:ascii="Times New Roman" w:hAnsi="Times New Roman"/>
          <w:b/>
          <w:szCs w:val="24"/>
        </w:rPr>
      </w:pPr>
      <w:bookmarkStart w:id="328" w:name="_Toc194130275"/>
      <w:r>
        <w:rPr>
          <w:rFonts w:ascii="Times New Roman" w:hAnsi="Times New Roman"/>
          <w:b/>
          <w:szCs w:val="24"/>
        </w:rPr>
        <w:t>（</w:t>
      </w:r>
      <w:r>
        <w:rPr>
          <w:rFonts w:ascii="Times New Roman" w:hAnsi="Times New Roman"/>
          <w:b/>
          <w:szCs w:val="24"/>
        </w:rPr>
        <w:t>3</w:t>
      </w:r>
      <w:r>
        <w:rPr>
          <w:rFonts w:ascii="Times New Roman" w:hAnsi="Times New Roman"/>
          <w:b/>
          <w:szCs w:val="24"/>
        </w:rPr>
        <w:t>）大气环境理论环境容量可以满足矿区开发的需求</w:t>
      </w:r>
    </w:p>
    <w:p w14:paraId="487DAAD8"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矿区规划实施后</w:t>
      </w:r>
      <w:r>
        <w:rPr>
          <w:rFonts w:ascii="Times New Roman" w:hAnsi="Times New Roman"/>
          <w:szCs w:val="24"/>
        </w:rPr>
        <w:t>NOx</w:t>
      </w:r>
      <w:r>
        <w:rPr>
          <w:rFonts w:ascii="Times New Roman" w:hAnsi="Times New Roman" w:hint="eastAsia"/>
          <w:szCs w:val="24"/>
        </w:rPr>
        <w:t>排放量为</w:t>
      </w:r>
      <w:r>
        <w:rPr>
          <w:rFonts w:ascii="Times New Roman" w:hAnsi="Times New Roman"/>
          <w:szCs w:val="24"/>
        </w:rPr>
        <w:t>21.54t/a</w:t>
      </w:r>
      <w:r>
        <w:rPr>
          <w:rFonts w:ascii="Times New Roman" w:hAnsi="Times New Roman" w:hint="eastAsia"/>
          <w:szCs w:val="24"/>
        </w:rPr>
        <w:t>，占矿区理论环境容量的</w:t>
      </w:r>
      <w:r>
        <w:rPr>
          <w:rFonts w:ascii="Times New Roman" w:hAnsi="Times New Roman"/>
          <w:szCs w:val="24"/>
        </w:rPr>
        <w:t>5%</w:t>
      </w:r>
      <w:r>
        <w:rPr>
          <w:rFonts w:ascii="Times New Roman" w:hAnsi="Times New Roman" w:hint="eastAsia"/>
          <w:szCs w:val="24"/>
        </w:rPr>
        <w:t>，矿区</w:t>
      </w:r>
      <w:r>
        <w:rPr>
          <w:rFonts w:ascii="Times New Roman" w:hAnsi="Times New Roman"/>
          <w:szCs w:val="24"/>
        </w:rPr>
        <w:t>NOx</w:t>
      </w:r>
      <w:r>
        <w:rPr>
          <w:rFonts w:ascii="Times New Roman" w:hAnsi="Times New Roman" w:hint="eastAsia"/>
          <w:szCs w:val="24"/>
        </w:rPr>
        <w:t>容量能够承载矿区规划项目</w:t>
      </w:r>
      <w:r>
        <w:rPr>
          <w:rFonts w:ascii="Times New Roman" w:hAnsi="Times New Roman"/>
          <w:szCs w:val="24"/>
        </w:rPr>
        <w:t>NOx</w:t>
      </w:r>
      <w:r>
        <w:rPr>
          <w:rFonts w:ascii="Times New Roman" w:hAnsi="Times New Roman" w:hint="eastAsia"/>
          <w:szCs w:val="24"/>
        </w:rPr>
        <w:t>排放需要。</w:t>
      </w:r>
    </w:p>
    <w:p w14:paraId="18100B2B" w14:textId="77777777" w:rsidR="009C353B" w:rsidRDefault="00000000">
      <w:pPr>
        <w:spacing w:line="440" w:lineRule="exact"/>
        <w:ind w:firstLineChars="200" w:firstLine="482"/>
        <w:rPr>
          <w:rFonts w:ascii="Times New Roman" w:hAnsi="Times New Roman"/>
          <w:b/>
          <w:szCs w:val="24"/>
        </w:rPr>
      </w:pPr>
      <w:r>
        <w:rPr>
          <w:rFonts w:ascii="Times New Roman" w:hAnsi="Times New Roman"/>
          <w:b/>
          <w:szCs w:val="24"/>
        </w:rPr>
        <w:t>（</w:t>
      </w:r>
      <w:r>
        <w:rPr>
          <w:rFonts w:ascii="Times New Roman" w:hAnsi="Times New Roman"/>
          <w:b/>
          <w:szCs w:val="24"/>
        </w:rPr>
        <w:t>4</w:t>
      </w:r>
      <w:r>
        <w:rPr>
          <w:rFonts w:ascii="Times New Roman" w:hAnsi="Times New Roman"/>
          <w:b/>
          <w:szCs w:val="24"/>
        </w:rPr>
        <w:t>）水环境容量</w:t>
      </w:r>
      <w:r>
        <w:rPr>
          <w:rFonts w:ascii="Times New Roman" w:hAnsi="Times New Roman" w:hint="eastAsia"/>
          <w:b/>
          <w:szCs w:val="24"/>
        </w:rPr>
        <w:t>可以满足矿区开发的需求</w:t>
      </w:r>
    </w:p>
    <w:p w14:paraId="3A893D46"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矿区生产废水主要为矿井水、生活污水</w:t>
      </w:r>
      <w:r>
        <w:rPr>
          <w:rFonts w:ascii="Times New Roman" w:hAnsi="Times New Roman" w:hint="eastAsia"/>
          <w:szCs w:val="24"/>
        </w:rPr>
        <w:t>，经</w:t>
      </w:r>
      <w:r>
        <w:rPr>
          <w:rFonts w:ascii="Times New Roman" w:hAnsi="Times New Roman"/>
          <w:szCs w:val="24"/>
        </w:rPr>
        <w:t>处理后全部回用，</w:t>
      </w:r>
      <w:r>
        <w:rPr>
          <w:rFonts w:ascii="Times New Roman" w:hAnsi="Times New Roman"/>
          <w:szCs w:val="24"/>
        </w:rPr>
        <w:t>COD</w:t>
      </w:r>
      <w:r>
        <w:rPr>
          <w:rFonts w:ascii="Times New Roman" w:hAnsi="Times New Roman"/>
          <w:szCs w:val="24"/>
        </w:rPr>
        <w:t>和氨氮排放量为</w:t>
      </w:r>
      <w:r>
        <w:rPr>
          <w:rFonts w:ascii="Times New Roman" w:hAnsi="Times New Roman"/>
          <w:szCs w:val="24"/>
        </w:rPr>
        <w:t>0</w:t>
      </w:r>
      <w:r>
        <w:rPr>
          <w:rFonts w:ascii="Times New Roman" w:hAnsi="Times New Roman"/>
          <w:szCs w:val="24"/>
        </w:rPr>
        <w:t>。矿区水环境容量可以支撑矿区开发。</w:t>
      </w:r>
    </w:p>
    <w:p w14:paraId="3E00794D" w14:textId="77777777" w:rsidR="009C353B" w:rsidRDefault="00000000">
      <w:pPr>
        <w:keepNext/>
        <w:keepLines/>
        <w:snapToGrid w:val="0"/>
        <w:spacing w:before="260" w:after="260" w:line="440" w:lineRule="exact"/>
        <w:outlineLvl w:val="1"/>
        <w:rPr>
          <w:rFonts w:ascii="Times New Roman" w:hAnsi="Times New Roman"/>
          <w:b/>
          <w:sz w:val="28"/>
        </w:rPr>
      </w:pPr>
      <w:bookmarkStart w:id="329" w:name="_Toc59189868"/>
      <w:bookmarkEnd w:id="328"/>
      <w:r>
        <w:rPr>
          <w:rFonts w:ascii="Times New Roman" w:hAnsi="Times New Roman"/>
          <w:b/>
          <w:sz w:val="28"/>
        </w:rPr>
        <w:t xml:space="preserve">8.7 </w:t>
      </w:r>
      <w:r>
        <w:rPr>
          <w:rFonts w:ascii="Times New Roman" w:hAnsi="Times New Roman"/>
          <w:b/>
          <w:sz w:val="28"/>
        </w:rPr>
        <w:t>矿区总体规划方案的优化调整建议</w:t>
      </w:r>
      <w:bookmarkEnd w:id="327"/>
      <w:bookmarkEnd w:id="329"/>
    </w:p>
    <w:p w14:paraId="333A54C4" w14:textId="77777777" w:rsidR="009C353B" w:rsidRDefault="00000000">
      <w:pPr>
        <w:keepNext/>
        <w:keepLines/>
        <w:spacing w:before="120" w:after="120" w:line="440" w:lineRule="exact"/>
        <w:outlineLvl w:val="2"/>
        <w:rPr>
          <w:rFonts w:ascii="Times New Roman" w:hAnsi="Times New Roman"/>
          <w:b/>
          <w:bCs/>
          <w:szCs w:val="32"/>
        </w:rPr>
      </w:pPr>
      <w:r>
        <w:rPr>
          <w:rFonts w:ascii="Times New Roman" w:hAnsi="Times New Roman"/>
          <w:b/>
          <w:bCs/>
          <w:szCs w:val="32"/>
        </w:rPr>
        <w:t>8</w:t>
      </w:r>
      <w:r>
        <w:rPr>
          <w:rFonts w:ascii="Times New Roman" w:hAnsi="Times New Roman" w:hint="eastAsia"/>
          <w:b/>
          <w:bCs/>
          <w:szCs w:val="32"/>
        </w:rPr>
        <w:t>.7</w:t>
      </w:r>
      <w:r>
        <w:rPr>
          <w:rFonts w:ascii="Times New Roman" w:hAnsi="Times New Roman"/>
          <w:b/>
          <w:bCs/>
          <w:szCs w:val="32"/>
        </w:rPr>
        <w:t>.1</w:t>
      </w:r>
      <w:r>
        <w:rPr>
          <w:rFonts w:ascii="Times New Roman" w:hAnsi="Times New Roman" w:hint="eastAsia"/>
          <w:b/>
          <w:bCs/>
          <w:szCs w:val="32"/>
        </w:rPr>
        <w:t xml:space="preserve"> </w:t>
      </w:r>
      <w:r>
        <w:rPr>
          <w:rFonts w:ascii="Times New Roman" w:hAnsi="Times New Roman" w:hint="eastAsia"/>
          <w:b/>
          <w:bCs/>
          <w:szCs w:val="32"/>
        </w:rPr>
        <w:t>空间</w:t>
      </w:r>
      <w:r>
        <w:rPr>
          <w:rFonts w:ascii="Times New Roman" w:hAnsi="Times New Roman"/>
          <w:b/>
          <w:bCs/>
          <w:szCs w:val="32"/>
        </w:rPr>
        <w:t>布局</w:t>
      </w:r>
      <w:r>
        <w:rPr>
          <w:rFonts w:ascii="Times New Roman" w:hAnsi="Times New Roman" w:hint="eastAsia"/>
          <w:b/>
          <w:bCs/>
          <w:szCs w:val="32"/>
        </w:rPr>
        <w:t>优化</w:t>
      </w:r>
      <w:r>
        <w:rPr>
          <w:rFonts w:ascii="Times New Roman" w:hAnsi="Times New Roman"/>
          <w:b/>
          <w:bCs/>
          <w:szCs w:val="32"/>
        </w:rPr>
        <w:t>调整建议</w:t>
      </w:r>
    </w:p>
    <w:p w14:paraId="5FD2BC37" w14:textId="77777777" w:rsidR="009C353B" w:rsidRDefault="00000000">
      <w:pPr>
        <w:adjustRightInd w:val="0"/>
        <w:snapToGrid w:val="0"/>
        <w:spacing w:line="440" w:lineRule="exact"/>
        <w:ind w:firstLineChars="200" w:firstLine="482"/>
        <w:rPr>
          <w:rFonts w:ascii="Times New Roman" w:hAnsi="Times New Roman"/>
          <w:b/>
          <w:bCs/>
          <w:kern w:val="0"/>
        </w:rPr>
      </w:pPr>
      <w:r>
        <w:rPr>
          <w:rFonts w:ascii="Times New Roman" w:hAnsi="Times New Roman" w:hint="eastAsia"/>
          <w:b/>
          <w:bCs/>
          <w:kern w:val="0"/>
        </w:rPr>
        <w:t>（</w:t>
      </w:r>
      <w:r>
        <w:rPr>
          <w:rFonts w:ascii="Times New Roman" w:hAnsi="Times New Roman" w:hint="eastAsia"/>
          <w:b/>
          <w:bCs/>
          <w:kern w:val="0"/>
        </w:rPr>
        <w:t>1</w:t>
      </w:r>
      <w:r>
        <w:rPr>
          <w:rFonts w:ascii="Times New Roman" w:hAnsi="Times New Roman" w:hint="eastAsia"/>
          <w:b/>
          <w:bCs/>
          <w:kern w:val="0"/>
        </w:rPr>
        <w:t>）优化临近白芨滩国家级自然保护区的任家庄井田区域开采布局，留设足够保护煤柱，确保不影响白芨滩国家级自然保护区。控制白芨滩国家级自然保护区周边设施建设。</w:t>
      </w:r>
    </w:p>
    <w:p w14:paraId="328B821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任家庄井田边界与自然保护区实验区最近距离约为</w:t>
      </w:r>
      <w:r>
        <w:rPr>
          <w:rFonts w:ascii="Times New Roman" w:hint="eastAsia"/>
        </w:rPr>
        <w:t>92m</w:t>
      </w:r>
      <w:r>
        <w:rPr>
          <w:rFonts w:ascii="Times New Roman" w:hint="eastAsia"/>
        </w:rPr>
        <w:t>；任家庄井田开采沉陷影响半径约为</w:t>
      </w:r>
      <w:r>
        <w:rPr>
          <w:rFonts w:ascii="Times New Roman" w:hint="eastAsia"/>
        </w:rPr>
        <w:t>280m</w:t>
      </w:r>
      <w:r>
        <w:rPr>
          <w:rFonts w:ascii="Times New Roman" w:hint="eastAsia"/>
        </w:rPr>
        <w:t>，因此，</w:t>
      </w:r>
      <w:r>
        <w:rPr>
          <w:rFonts w:ascii="Times New Roman"/>
        </w:rPr>
        <w:t>任家庄井田西侧距离自然保护区实验区较近的区域在沉陷影响范围内</w:t>
      </w:r>
      <w:r>
        <w:rPr>
          <w:rFonts w:ascii="Times New Roman" w:hint="eastAsia"/>
        </w:rPr>
        <w:t>，</w:t>
      </w:r>
      <w:r>
        <w:rPr>
          <w:rFonts w:ascii="Times New Roman"/>
        </w:rPr>
        <w:t>可能受到开采沉陷影响</w:t>
      </w:r>
      <w:r>
        <w:rPr>
          <w:rFonts w:ascii="Times New Roman" w:hint="eastAsia"/>
        </w:rPr>
        <w:t>。为避免</w:t>
      </w:r>
      <w:r>
        <w:rPr>
          <w:rFonts w:ascii="Times New Roman"/>
        </w:rPr>
        <w:t>任家庄井田后续开采沉陷影响到自然保护区</w:t>
      </w:r>
      <w:r>
        <w:rPr>
          <w:rFonts w:ascii="Times New Roman" w:hint="eastAsia"/>
        </w:rPr>
        <w:t>，</w:t>
      </w:r>
      <w:r>
        <w:rPr>
          <w:rFonts w:ascii="Times New Roman"/>
        </w:rPr>
        <w:t>本次评价提出</w:t>
      </w:r>
      <w:r>
        <w:rPr>
          <w:rFonts w:ascii="Times New Roman" w:hint="eastAsia"/>
        </w:rPr>
        <w:t>，任家庄井田后续开采过程中，可参考本次评价计算的沉陷影响半径</w:t>
      </w:r>
      <w:r>
        <w:rPr>
          <w:rFonts w:ascii="Times New Roman"/>
        </w:rPr>
        <w:t>280m</w:t>
      </w:r>
      <w:r>
        <w:rPr>
          <w:rFonts w:ascii="Times New Roman"/>
        </w:rPr>
        <w:t>对自然保护区留设保护煤柱，在后续开采过程中，在临近自然保护区的区域，保护煤柱的宽度应根据井田开采沉陷观测实际参数、开采区煤层埋深等，适时调整保护煤柱宽度，确保不影响自然保护区。</w:t>
      </w:r>
    </w:p>
    <w:p w14:paraId="2D0A8CB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宁夏回族自治区自然保护区管理办法》第十三条：“自然保护区边界外围２公里内的地带为外围保护地带。经批准在自然保护区外围保护地带建设的项目或者设施，不得损害自然保护区的环境质量和生态功能”。</w:t>
      </w:r>
      <w:r>
        <w:rPr>
          <w:rFonts w:ascii="Times New Roman"/>
        </w:rPr>
        <w:t>根据</w:t>
      </w:r>
      <w:r>
        <w:rPr>
          <w:rFonts w:ascii="Times New Roman" w:hint="eastAsia"/>
        </w:rPr>
        <w:t>“办法”本次评价提出，后续丁家梁煤矿在建设开发过程中须遵守以上文件要求，涉及在自然保护区外围保护地带建设的项目或者设施，需经相关部门批准，项目不得损害自然保护区的环境质量和生态功能。</w:t>
      </w:r>
    </w:p>
    <w:p w14:paraId="08C51297" w14:textId="77777777" w:rsidR="009C353B" w:rsidRDefault="00000000">
      <w:pPr>
        <w:adjustRightInd w:val="0"/>
        <w:snapToGrid w:val="0"/>
        <w:spacing w:line="440" w:lineRule="exact"/>
        <w:ind w:firstLineChars="200" w:firstLine="482"/>
        <w:rPr>
          <w:rFonts w:ascii="Times New Roman" w:hAnsi="Times New Roman"/>
          <w:b/>
          <w:bCs/>
          <w:kern w:val="0"/>
        </w:rPr>
      </w:pPr>
      <w:r>
        <w:rPr>
          <w:rFonts w:ascii="Times New Roman" w:hAnsi="Times New Roman" w:hint="eastAsia"/>
          <w:b/>
          <w:bCs/>
          <w:kern w:val="0"/>
        </w:rPr>
        <w:t>（</w:t>
      </w:r>
      <w:r>
        <w:rPr>
          <w:rFonts w:ascii="Times New Roman" w:hAnsi="Times New Roman" w:hint="eastAsia"/>
          <w:b/>
          <w:bCs/>
          <w:kern w:val="0"/>
        </w:rPr>
        <w:t>2</w:t>
      </w:r>
      <w:r>
        <w:rPr>
          <w:rFonts w:ascii="Times New Roman" w:hAnsi="Times New Roman" w:hint="eastAsia"/>
          <w:b/>
          <w:bCs/>
          <w:kern w:val="0"/>
        </w:rPr>
        <w:t>）优化临近明长城等文物的红石湾、马莲台井田区域开采布局，留设足够保护煤柱，确保不影响明长城等文物。</w:t>
      </w:r>
    </w:p>
    <w:p w14:paraId="0B66D09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明</w:t>
      </w:r>
      <w:r>
        <w:rPr>
          <w:rFonts w:ascii="Times New Roman"/>
        </w:rPr>
        <w:t>长城紧邻</w:t>
      </w:r>
      <w:r>
        <w:rPr>
          <w:rFonts w:ascii="Times New Roman" w:hint="eastAsia"/>
        </w:rPr>
        <w:t>马莲台井田</w:t>
      </w:r>
      <w:r>
        <w:rPr>
          <w:rFonts w:ascii="Times New Roman"/>
        </w:rPr>
        <w:t>北部边界</w:t>
      </w:r>
      <w:r>
        <w:rPr>
          <w:rFonts w:ascii="Times New Roman" w:hint="eastAsia"/>
        </w:rPr>
        <w:t>和红石湾井田东北边界，且局部地段明长城已受到开采沉陷影响。为保护明长城，后续开采过程中，马莲台和红石湾井田应优化边界煤柱设置，根据实际开采沉陷观测参数，按照灵武市文化旅游广电局关于《自治区发展改革委员会关于征求</w:t>
      </w:r>
      <w:r>
        <w:rPr>
          <w:rFonts w:ascii="Times New Roman"/>
        </w:rPr>
        <w:t>&lt;</w:t>
      </w:r>
      <w:r>
        <w:rPr>
          <w:rFonts w:ascii="Times New Roman"/>
        </w:rPr>
        <w:t>横城矿区总体规划（修编）环境影响评价公众参与调查表</w:t>
      </w:r>
      <w:r>
        <w:rPr>
          <w:rFonts w:ascii="Times New Roman"/>
        </w:rPr>
        <w:t>&gt;</w:t>
      </w:r>
      <w:r>
        <w:rPr>
          <w:rFonts w:ascii="Times New Roman"/>
        </w:rPr>
        <w:t>》修改意见的函的要求</w:t>
      </w:r>
      <w:r>
        <w:rPr>
          <w:rFonts w:ascii="Times New Roman" w:hint="eastAsia"/>
        </w:rPr>
        <w:t>，对</w:t>
      </w:r>
      <w:r>
        <w:rPr>
          <w:rFonts w:ascii="Times New Roman"/>
        </w:rPr>
        <w:t>水洞沟遗址、明长城及红山堡城址四周各外延</w:t>
      </w:r>
      <w:r>
        <w:rPr>
          <w:rFonts w:ascii="Times New Roman"/>
        </w:rPr>
        <w:t>100m</w:t>
      </w:r>
      <w:r>
        <w:rPr>
          <w:rFonts w:ascii="Times New Roman"/>
        </w:rPr>
        <w:t>作为保护范围</w:t>
      </w:r>
      <w:r>
        <w:rPr>
          <w:rFonts w:ascii="Times New Roman" w:hint="eastAsia"/>
        </w:rPr>
        <w:t>，留设足够保护煤柱，确保不影响文物。</w:t>
      </w:r>
    </w:p>
    <w:p w14:paraId="025E2C39" w14:textId="77777777" w:rsidR="009C353B" w:rsidRDefault="00000000">
      <w:pPr>
        <w:adjustRightInd w:val="0"/>
        <w:snapToGrid w:val="0"/>
        <w:spacing w:line="440" w:lineRule="exact"/>
        <w:ind w:firstLineChars="200" w:firstLine="482"/>
        <w:rPr>
          <w:rFonts w:ascii="Times New Roman" w:hAnsi="Times New Roman"/>
          <w:b/>
          <w:bCs/>
          <w:kern w:val="0"/>
        </w:rPr>
      </w:pPr>
      <w:r>
        <w:rPr>
          <w:rFonts w:ascii="Times New Roman" w:hAnsi="Times New Roman" w:hint="eastAsia"/>
          <w:b/>
          <w:bCs/>
          <w:kern w:val="0"/>
        </w:rPr>
        <w:t>（</w:t>
      </w:r>
      <w:r>
        <w:rPr>
          <w:rFonts w:ascii="Times New Roman" w:hAnsi="Times New Roman" w:hint="eastAsia"/>
          <w:b/>
          <w:bCs/>
          <w:kern w:val="0"/>
        </w:rPr>
        <w:t>3</w:t>
      </w:r>
      <w:r>
        <w:rPr>
          <w:rFonts w:ascii="Times New Roman" w:hAnsi="Times New Roman" w:hint="eastAsia"/>
          <w:b/>
          <w:bCs/>
          <w:kern w:val="0"/>
        </w:rPr>
        <w:t>）优化丁家梁井田保护煤柱设置，确保鸭子荡水库等保护目标不受开采沉陷影响。</w:t>
      </w:r>
    </w:p>
    <w:p w14:paraId="71D32C9E" w14:textId="77777777" w:rsidR="009C353B" w:rsidRDefault="00000000">
      <w:pPr>
        <w:adjustRightInd w:val="0"/>
        <w:snapToGrid w:val="0"/>
        <w:spacing w:line="440" w:lineRule="exact"/>
        <w:ind w:firstLineChars="200" w:firstLine="480"/>
        <w:rPr>
          <w:rFonts w:ascii="Times New Roman" w:hAnsi="Times New Roman"/>
          <w:bCs/>
          <w:kern w:val="0"/>
        </w:rPr>
      </w:pPr>
      <w:r>
        <w:rPr>
          <w:rFonts w:ascii="Times New Roman" w:hAnsi="Times New Roman" w:hint="eastAsia"/>
          <w:bCs/>
          <w:kern w:val="0"/>
        </w:rPr>
        <w:t>丁家梁井田涉及鸭子荡水库、高压输电线路、太中银铁路、天然气管线、宁东</w:t>
      </w:r>
      <w:r>
        <w:rPr>
          <w:rFonts w:ascii="Times New Roman" w:hAnsi="Times New Roman" w:hint="eastAsia"/>
          <w:bCs/>
          <w:kern w:val="0"/>
        </w:rPr>
        <w:t>2</w:t>
      </w:r>
      <w:r>
        <w:rPr>
          <w:rFonts w:ascii="Times New Roman" w:hAnsi="Times New Roman" w:hint="eastAsia"/>
          <w:bCs/>
          <w:kern w:val="0"/>
        </w:rPr>
        <w:t>号渣场等保护目标，这些保护目标压覆了大量煤炭资源。宁夏回族自治区宁东能源化工基地管理委员会《关于丁家梁煤矿有关事宜的复函》（宁东管函〔</w:t>
      </w:r>
      <w:r>
        <w:rPr>
          <w:rFonts w:ascii="Times New Roman" w:hAnsi="Times New Roman"/>
          <w:bCs/>
          <w:kern w:val="0"/>
        </w:rPr>
        <w:t>2016</w:t>
      </w:r>
      <w:r>
        <w:rPr>
          <w:rFonts w:ascii="Times New Roman" w:hAnsi="Times New Roman"/>
          <w:bCs/>
          <w:kern w:val="0"/>
        </w:rPr>
        <w:t>〕</w:t>
      </w:r>
      <w:r>
        <w:rPr>
          <w:rFonts w:ascii="Times New Roman" w:hAnsi="Times New Roman"/>
          <w:bCs/>
          <w:kern w:val="0"/>
        </w:rPr>
        <w:t>134</w:t>
      </w:r>
      <w:r>
        <w:rPr>
          <w:rFonts w:ascii="Times New Roman" w:hAnsi="Times New Roman"/>
          <w:bCs/>
          <w:kern w:val="0"/>
        </w:rPr>
        <w:t>号）要求鸭子荡水库自坝轴线向下游</w:t>
      </w:r>
      <w:r>
        <w:rPr>
          <w:rFonts w:ascii="Times New Roman" w:hAnsi="Times New Roman"/>
          <w:bCs/>
          <w:kern w:val="0"/>
        </w:rPr>
        <w:t>1.8km</w:t>
      </w:r>
      <w:r>
        <w:rPr>
          <w:rFonts w:ascii="Times New Roman" w:hAnsi="Times New Roman"/>
          <w:bCs/>
          <w:kern w:val="0"/>
        </w:rPr>
        <w:t>为临时禁采区</w:t>
      </w:r>
      <w:r>
        <w:rPr>
          <w:rFonts w:ascii="Times New Roman" w:hAnsi="Times New Roman" w:hint="eastAsia"/>
          <w:bCs/>
          <w:kern w:val="0"/>
        </w:rPr>
        <w:t>。</w:t>
      </w:r>
      <w:r>
        <w:rPr>
          <w:rFonts w:ascii="Times New Roman" w:hAnsi="Times New Roman"/>
          <w:bCs/>
          <w:kern w:val="0"/>
        </w:rPr>
        <w:t>为保护这些保护目标不受开采沉陷影响</w:t>
      </w:r>
      <w:r>
        <w:rPr>
          <w:rFonts w:ascii="Times New Roman" w:hAnsi="Times New Roman" w:hint="eastAsia"/>
          <w:bCs/>
          <w:kern w:val="0"/>
        </w:rPr>
        <w:t>，</w:t>
      </w:r>
      <w:r>
        <w:rPr>
          <w:rFonts w:ascii="Times New Roman" w:hAnsi="Times New Roman"/>
          <w:bCs/>
          <w:kern w:val="0"/>
        </w:rPr>
        <w:t>本次评价提出</w:t>
      </w:r>
      <w:r>
        <w:rPr>
          <w:rFonts w:ascii="Times New Roman" w:hAnsi="Times New Roman" w:hint="eastAsia"/>
          <w:bCs/>
          <w:kern w:val="0"/>
        </w:rPr>
        <w:t>，</w:t>
      </w:r>
      <w:r>
        <w:rPr>
          <w:rFonts w:ascii="Times New Roman" w:hAnsi="Times New Roman"/>
          <w:bCs/>
          <w:kern w:val="0"/>
        </w:rPr>
        <w:t>丁家梁井田在后续开采设计和开发过程中</w:t>
      </w:r>
      <w:r>
        <w:rPr>
          <w:rFonts w:ascii="Times New Roman" w:hAnsi="Times New Roman" w:hint="eastAsia"/>
          <w:bCs/>
          <w:kern w:val="0"/>
        </w:rPr>
        <w:t>，</w:t>
      </w:r>
      <w:r>
        <w:rPr>
          <w:rFonts w:ascii="Times New Roman" w:hAnsi="Times New Roman"/>
          <w:bCs/>
          <w:kern w:val="0"/>
        </w:rPr>
        <w:t>应根据实际沉陷观测参数</w:t>
      </w:r>
      <w:r>
        <w:rPr>
          <w:rFonts w:ascii="Times New Roman" w:hAnsi="Times New Roman" w:hint="eastAsia"/>
          <w:bCs/>
          <w:kern w:val="0"/>
        </w:rPr>
        <w:t>，</w:t>
      </w:r>
      <w:r>
        <w:rPr>
          <w:rFonts w:ascii="Times New Roman" w:hAnsi="Times New Roman"/>
          <w:bCs/>
          <w:kern w:val="0"/>
        </w:rPr>
        <w:t>对保护目标留设足够保护煤柱</w:t>
      </w:r>
      <w:r>
        <w:rPr>
          <w:rFonts w:ascii="Times New Roman" w:hAnsi="Times New Roman" w:hint="eastAsia"/>
          <w:bCs/>
          <w:kern w:val="0"/>
        </w:rPr>
        <w:t>，</w:t>
      </w:r>
      <w:r>
        <w:rPr>
          <w:rFonts w:ascii="Times New Roman" w:hAnsi="Times New Roman"/>
          <w:bCs/>
          <w:kern w:val="0"/>
        </w:rPr>
        <w:t>确保不受开采沉陷影响</w:t>
      </w:r>
      <w:r>
        <w:rPr>
          <w:rFonts w:ascii="Times New Roman" w:hAnsi="Times New Roman" w:hint="eastAsia"/>
          <w:bCs/>
          <w:kern w:val="0"/>
        </w:rPr>
        <w:t>。</w:t>
      </w:r>
    </w:p>
    <w:p w14:paraId="4D63A628" w14:textId="77777777" w:rsidR="009C353B" w:rsidRDefault="00000000">
      <w:pPr>
        <w:adjustRightInd w:val="0"/>
        <w:snapToGrid w:val="0"/>
        <w:spacing w:line="440" w:lineRule="exact"/>
        <w:ind w:firstLineChars="200" w:firstLine="482"/>
        <w:rPr>
          <w:rFonts w:ascii="Times New Roman" w:hAnsi="Times New Roman"/>
          <w:b/>
          <w:bCs/>
          <w:kern w:val="0"/>
        </w:rPr>
      </w:pPr>
      <w:r>
        <w:rPr>
          <w:rFonts w:ascii="Times New Roman" w:hAnsi="Times New Roman" w:hint="eastAsia"/>
          <w:b/>
          <w:bCs/>
          <w:kern w:val="0"/>
        </w:rPr>
        <w:t>（</w:t>
      </w:r>
      <w:r>
        <w:rPr>
          <w:rFonts w:ascii="Times New Roman" w:hAnsi="Times New Roman" w:hint="eastAsia"/>
          <w:b/>
          <w:bCs/>
          <w:kern w:val="0"/>
        </w:rPr>
        <w:t>4</w:t>
      </w:r>
      <w:r>
        <w:rPr>
          <w:rFonts w:ascii="Times New Roman" w:hAnsi="Times New Roman" w:hint="eastAsia"/>
          <w:b/>
          <w:bCs/>
          <w:kern w:val="0"/>
        </w:rPr>
        <w:t>）优化后备区设置或后备区开采方式，确保不影响工业园区安全</w:t>
      </w:r>
    </w:p>
    <w:p w14:paraId="02EA279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bCs/>
          <w:kern w:val="0"/>
        </w:rPr>
        <w:t>本次规划修编新增的马莲台后备区、红石湾后备区、任家庄后备区范围与临河工业园区和宁东煤化工园区有部分重叠</w:t>
      </w:r>
      <w:r>
        <w:rPr>
          <w:rFonts w:ascii="Times New Roman" w:hAnsi="Times New Roman" w:hint="eastAsia"/>
        </w:rPr>
        <w:t>。另外，马莲台井田局部与煤化工园区重叠。为避免工业园区受到开采沉陷影响，本次评价建议进一步优化后备区范围，优化后备区开采方式，采取充填开采等保护性开采方式，在论证确保不影响工业园区设施设备安全的情况下再考虑重叠区压覆煤炭资源的开采。</w:t>
      </w:r>
    </w:p>
    <w:p w14:paraId="6BFCDA1D" w14:textId="77777777" w:rsidR="009C353B" w:rsidRDefault="00000000">
      <w:pPr>
        <w:keepNext/>
        <w:keepLines/>
        <w:spacing w:before="120" w:after="120" w:line="440" w:lineRule="exact"/>
        <w:outlineLvl w:val="2"/>
        <w:rPr>
          <w:rFonts w:ascii="Times New Roman" w:hAnsi="Times New Roman"/>
          <w:b/>
          <w:bCs/>
          <w:szCs w:val="32"/>
        </w:rPr>
      </w:pPr>
      <w:r>
        <w:rPr>
          <w:rFonts w:ascii="Times New Roman" w:hAnsi="Times New Roman"/>
          <w:b/>
          <w:bCs/>
          <w:szCs w:val="32"/>
        </w:rPr>
        <w:t>8</w:t>
      </w:r>
      <w:r>
        <w:rPr>
          <w:rFonts w:ascii="Times New Roman" w:hAnsi="Times New Roman" w:hint="eastAsia"/>
          <w:b/>
          <w:bCs/>
          <w:szCs w:val="32"/>
        </w:rPr>
        <w:t>.7</w:t>
      </w:r>
      <w:r>
        <w:rPr>
          <w:rFonts w:ascii="Times New Roman" w:hAnsi="Times New Roman"/>
          <w:b/>
          <w:bCs/>
          <w:szCs w:val="32"/>
        </w:rPr>
        <w:t>.</w:t>
      </w:r>
      <w:r>
        <w:rPr>
          <w:rFonts w:ascii="Times New Roman" w:hAnsi="Times New Roman" w:hint="eastAsia"/>
          <w:b/>
          <w:bCs/>
          <w:szCs w:val="32"/>
        </w:rPr>
        <w:t xml:space="preserve">2 </w:t>
      </w:r>
      <w:r>
        <w:rPr>
          <w:rFonts w:ascii="Times New Roman" w:hAnsi="Times New Roman" w:hint="eastAsia"/>
          <w:b/>
          <w:bCs/>
          <w:szCs w:val="32"/>
        </w:rPr>
        <w:t>节约资源与</w:t>
      </w:r>
      <w:r>
        <w:rPr>
          <w:rFonts w:ascii="Times New Roman" w:hAnsi="Times New Roman"/>
          <w:b/>
          <w:bCs/>
          <w:szCs w:val="32"/>
        </w:rPr>
        <w:t>环境保护规划优化调整建议</w:t>
      </w:r>
    </w:p>
    <w:p w14:paraId="5E486EB7"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w:t>
      </w:r>
      <w:r>
        <w:rPr>
          <w:rFonts w:ascii="Times New Roman" w:hint="eastAsia"/>
          <w:szCs w:val="24"/>
        </w:rPr>
        <w:t>1</w:t>
      </w:r>
      <w:r>
        <w:rPr>
          <w:rFonts w:ascii="Times New Roman" w:hint="eastAsia"/>
          <w:szCs w:val="24"/>
        </w:rPr>
        <w:t>）优化矿区矿井水处理及使用方式，减少黄河水资源取水量</w:t>
      </w:r>
    </w:p>
    <w:p w14:paraId="1BCC4DB5"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szCs w:val="24"/>
        </w:rPr>
        <w:t>宁东基地水资源较为缺乏</w:t>
      </w:r>
      <w:r>
        <w:rPr>
          <w:rFonts w:ascii="Times New Roman" w:hint="eastAsia"/>
          <w:szCs w:val="24"/>
        </w:rPr>
        <w:t>，</w:t>
      </w:r>
      <w:r>
        <w:rPr>
          <w:rFonts w:ascii="Times New Roman"/>
          <w:szCs w:val="24"/>
        </w:rPr>
        <w:t>生产用水主要来源于黄河水</w:t>
      </w:r>
      <w:r>
        <w:rPr>
          <w:rFonts w:ascii="Times New Roman" w:hint="eastAsia"/>
          <w:szCs w:val="24"/>
        </w:rPr>
        <w:t>，</w:t>
      </w:r>
      <w:r>
        <w:rPr>
          <w:rFonts w:ascii="Times New Roman"/>
          <w:szCs w:val="24"/>
        </w:rPr>
        <w:t>为尽可能减少黄河水取水量</w:t>
      </w:r>
      <w:r>
        <w:rPr>
          <w:rFonts w:ascii="Times New Roman" w:hint="eastAsia"/>
          <w:szCs w:val="24"/>
        </w:rPr>
        <w:t>，</w:t>
      </w:r>
      <w:r>
        <w:rPr>
          <w:rFonts w:ascii="Times New Roman"/>
          <w:szCs w:val="24"/>
        </w:rPr>
        <w:t>本次评价建议矿区矿井水处理后</w:t>
      </w:r>
      <w:r>
        <w:rPr>
          <w:rFonts w:ascii="Times New Roman" w:hint="eastAsia"/>
          <w:szCs w:val="24"/>
        </w:rPr>
        <w:t>，</w:t>
      </w:r>
      <w:r>
        <w:rPr>
          <w:rFonts w:ascii="Times New Roman"/>
          <w:szCs w:val="24"/>
        </w:rPr>
        <w:t>部分回用于煤矿自身作为生产用水</w:t>
      </w:r>
      <w:r>
        <w:rPr>
          <w:rFonts w:ascii="Times New Roman" w:hint="eastAsia"/>
          <w:szCs w:val="24"/>
        </w:rPr>
        <w:t>，</w:t>
      </w:r>
      <w:r>
        <w:rPr>
          <w:rFonts w:ascii="Times New Roman"/>
          <w:szCs w:val="24"/>
        </w:rPr>
        <w:t>其余剩余部分可送工业园区作为生产用水综合利用</w:t>
      </w:r>
      <w:r>
        <w:rPr>
          <w:rFonts w:ascii="Times New Roman" w:hint="eastAsia"/>
          <w:szCs w:val="24"/>
        </w:rPr>
        <w:t>，</w:t>
      </w:r>
      <w:r>
        <w:rPr>
          <w:rFonts w:ascii="Times New Roman"/>
          <w:szCs w:val="24"/>
        </w:rPr>
        <w:t>矿井水全部综合利用</w:t>
      </w:r>
      <w:r>
        <w:rPr>
          <w:rFonts w:ascii="Times New Roman" w:hint="eastAsia"/>
          <w:szCs w:val="24"/>
        </w:rPr>
        <w:t>。</w:t>
      </w:r>
    </w:p>
    <w:p w14:paraId="07CDC976"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w:t>
      </w:r>
      <w:r>
        <w:rPr>
          <w:rFonts w:ascii="Times New Roman" w:hint="eastAsia"/>
          <w:szCs w:val="24"/>
        </w:rPr>
        <w:t>2</w:t>
      </w:r>
      <w:r>
        <w:rPr>
          <w:rFonts w:ascii="Times New Roman" w:hint="eastAsia"/>
          <w:szCs w:val="24"/>
        </w:rPr>
        <w:t>）结合矸石处置回收压覆煤炭资源，提高资源回收率</w:t>
      </w:r>
    </w:p>
    <w:p w14:paraId="7CB669E3"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szCs w:val="24"/>
        </w:rPr>
        <w:t>随着宁东基地的开发建设</w:t>
      </w:r>
      <w:r>
        <w:rPr>
          <w:rFonts w:ascii="Times New Roman" w:hint="eastAsia"/>
          <w:szCs w:val="24"/>
        </w:rPr>
        <w:t>，</w:t>
      </w:r>
      <w:r>
        <w:rPr>
          <w:rFonts w:ascii="Times New Roman"/>
          <w:szCs w:val="24"/>
        </w:rPr>
        <w:t>横城矿区及周边逐渐新建了大量设施</w:t>
      </w:r>
      <w:r>
        <w:rPr>
          <w:rFonts w:ascii="Times New Roman" w:hint="eastAsia"/>
          <w:szCs w:val="24"/>
        </w:rPr>
        <w:t>，</w:t>
      </w:r>
      <w:r>
        <w:rPr>
          <w:rFonts w:ascii="Times New Roman"/>
          <w:szCs w:val="24"/>
        </w:rPr>
        <w:t>部分设施压覆了横城矿区大量煤炭资源</w:t>
      </w:r>
      <w:r>
        <w:rPr>
          <w:rFonts w:ascii="Times New Roman" w:hint="eastAsia"/>
          <w:szCs w:val="24"/>
        </w:rPr>
        <w:t>。横城矿区煤炭资源以气煤为主，是良好的气化用煤、煤化工用煤及动力煤。为提高压覆煤炭资源回收率，结合本区地势较平坦，矸石综合利用量有限，矸石处置困难的情况，本次评价建议，矿区在后续开发过程中，可研究探索实施充填开采等方式，对压覆区煤炭资源进行回收，一方面提高了煤炭资源回收率，另一方面也可处置大量矸石、粉煤灰等矿区产生大量工业固体废物。</w:t>
      </w:r>
    </w:p>
    <w:p w14:paraId="7D09283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int="eastAsia"/>
          <w:szCs w:val="24"/>
        </w:rPr>
        <w:t>具体见表</w:t>
      </w:r>
      <w:r>
        <w:rPr>
          <w:rFonts w:ascii="Times New Roman"/>
          <w:szCs w:val="24"/>
        </w:rPr>
        <w:t>8.7</w:t>
      </w:r>
      <w:r>
        <w:rPr>
          <w:rFonts w:ascii="Times New Roman" w:hint="eastAsia"/>
          <w:szCs w:val="24"/>
        </w:rPr>
        <w:t>-</w:t>
      </w:r>
      <w:r>
        <w:rPr>
          <w:rFonts w:ascii="Times New Roman"/>
          <w:szCs w:val="24"/>
        </w:rPr>
        <w:t>1</w:t>
      </w:r>
      <w:r>
        <w:rPr>
          <w:rFonts w:ascii="Times New Roman" w:hint="eastAsia"/>
          <w:szCs w:val="24"/>
        </w:rPr>
        <w:t>。</w:t>
      </w:r>
      <w:r>
        <w:rPr>
          <w:rFonts w:ascii="Times New Roman" w:hAnsi="Times New Roman" w:hint="eastAsia"/>
          <w:szCs w:val="24"/>
        </w:rPr>
        <w:t>矿区</w:t>
      </w:r>
      <w:r>
        <w:rPr>
          <w:rFonts w:ascii="Times New Roman" w:hAnsi="Times New Roman"/>
          <w:szCs w:val="24"/>
        </w:rPr>
        <w:t>开发过程中应</w:t>
      </w:r>
      <w:r>
        <w:rPr>
          <w:rFonts w:ascii="Times New Roman" w:hAnsi="Times New Roman" w:hint="eastAsia"/>
          <w:szCs w:val="24"/>
        </w:rPr>
        <w:t>加强矿区环境管理，</w:t>
      </w:r>
      <w:r>
        <w:rPr>
          <w:rFonts w:ascii="Times New Roman" w:hAnsi="Times New Roman"/>
          <w:szCs w:val="24"/>
        </w:rPr>
        <w:t>建立生态恢复规划和</w:t>
      </w:r>
      <w:r>
        <w:rPr>
          <w:rFonts w:ascii="Times New Roman" w:hAnsi="Times New Roman" w:hint="eastAsia"/>
          <w:szCs w:val="24"/>
        </w:rPr>
        <w:t>年度</w:t>
      </w:r>
      <w:r>
        <w:rPr>
          <w:rFonts w:ascii="Times New Roman" w:hAnsi="Times New Roman"/>
          <w:szCs w:val="24"/>
        </w:rPr>
        <w:t>实施计划</w:t>
      </w:r>
      <w:r>
        <w:rPr>
          <w:rFonts w:ascii="Times New Roman" w:hAnsi="Times New Roman" w:hint="eastAsia"/>
          <w:szCs w:val="24"/>
        </w:rPr>
        <w:t>。矿区应建立长期的地表岩移、地下水观测和生态监测机制，并根据影响情况及时提出相关对策措施。</w:t>
      </w:r>
    </w:p>
    <w:p w14:paraId="6359B940"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矿区</w:t>
      </w:r>
      <w:r>
        <w:rPr>
          <w:rFonts w:ascii="Times New Roman"/>
          <w:szCs w:val="24"/>
        </w:rPr>
        <w:t>总体规划</w:t>
      </w:r>
      <w:r>
        <w:rPr>
          <w:rFonts w:ascii="Times New Roman" w:hint="eastAsia"/>
          <w:szCs w:val="24"/>
        </w:rPr>
        <w:t>优化</w:t>
      </w:r>
      <w:r>
        <w:rPr>
          <w:rFonts w:ascii="Times New Roman"/>
          <w:szCs w:val="24"/>
        </w:rPr>
        <w:t>调整建议汇总</w:t>
      </w:r>
      <w:r>
        <w:rPr>
          <w:rFonts w:ascii="Times New Roman" w:hint="eastAsia"/>
          <w:szCs w:val="24"/>
        </w:rPr>
        <w:t>见</w:t>
      </w:r>
      <w:r>
        <w:rPr>
          <w:rFonts w:ascii="Times New Roman"/>
          <w:szCs w:val="24"/>
        </w:rPr>
        <w:t>表</w:t>
      </w:r>
      <w:r>
        <w:rPr>
          <w:rFonts w:ascii="Times New Roman"/>
          <w:szCs w:val="24"/>
        </w:rPr>
        <w:t>8</w:t>
      </w:r>
      <w:r>
        <w:rPr>
          <w:rFonts w:ascii="Times New Roman" w:hint="eastAsia"/>
          <w:szCs w:val="24"/>
        </w:rPr>
        <w:t>.7-1</w:t>
      </w:r>
      <w:r>
        <w:rPr>
          <w:rFonts w:ascii="Times New Roman" w:hint="eastAsia"/>
          <w:szCs w:val="24"/>
        </w:rPr>
        <w:t>。</w:t>
      </w:r>
    </w:p>
    <w:p w14:paraId="0424A74B" w14:textId="77777777" w:rsidR="009C353B" w:rsidRDefault="009C353B">
      <w:pPr>
        <w:adjustRightInd w:val="0"/>
        <w:snapToGrid w:val="0"/>
        <w:spacing w:line="440" w:lineRule="exact"/>
        <w:ind w:firstLineChars="200" w:firstLine="480"/>
        <w:rPr>
          <w:rFonts w:ascii="Times New Roman" w:hint="eastAsia"/>
          <w:szCs w:val="24"/>
        </w:rPr>
      </w:pPr>
    </w:p>
    <w:p w14:paraId="0D328FF6" w14:textId="77777777" w:rsidR="009C353B" w:rsidRDefault="009C353B">
      <w:pPr>
        <w:adjustRightInd w:val="0"/>
        <w:snapToGrid w:val="0"/>
        <w:spacing w:line="440" w:lineRule="exact"/>
        <w:ind w:firstLineChars="200" w:firstLine="480"/>
        <w:rPr>
          <w:rFonts w:ascii="Times New Roman" w:hint="eastAsia"/>
          <w:szCs w:val="24"/>
        </w:rPr>
      </w:pPr>
    </w:p>
    <w:p w14:paraId="67C98E2E" w14:textId="77777777" w:rsidR="009C353B" w:rsidRDefault="009C353B">
      <w:pPr>
        <w:adjustRightInd w:val="0"/>
        <w:snapToGrid w:val="0"/>
        <w:spacing w:line="440" w:lineRule="exact"/>
        <w:ind w:firstLineChars="200" w:firstLine="480"/>
        <w:rPr>
          <w:rFonts w:ascii="Times New Roman" w:hint="eastAsia"/>
          <w:szCs w:val="24"/>
        </w:rPr>
      </w:pPr>
    </w:p>
    <w:p w14:paraId="3A60754B" w14:textId="77777777" w:rsidR="009C353B" w:rsidRDefault="009C353B">
      <w:pPr>
        <w:adjustRightInd w:val="0"/>
        <w:snapToGrid w:val="0"/>
        <w:spacing w:line="440" w:lineRule="exact"/>
        <w:ind w:firstLineChars="200" w:firstLine="480"/>
        <w:rPr>
          <w:rFonts w:ascii="Times New Roman" w:hint="eastAsia"/>
          <w:szCs w:val="24"/>
        </w:rPr>
      </w:pPr>
    </w:p>
    <w:p w14:paraId="21809E62" w14:textId="77777777" w:rsidR="009C353B" w:rsidRDefault="009C353B">
      <w:pPr>
        <w:adjustRightInd w:val="0"/>
        <w:snapToGrid w:val="0"/>
        <w:spacing w:line="440" w:lineRule="exact"/>
        <w:ind w:firstLineChars="200" w:firstLine="480"/>
        <w:rPr>
          <w:rFonts w:ascii="Times New Roman" w:hint="eastAsia"/>
          <w:szCs w:val="24"/>
        </w:rPr>
      </w:pPr>
    </w:p>
    <w:p w14:paraId="5E48CACD" w14:textId="77777777" w:rsidR="009C353B" w:rsidRDefault="009C353B">
      <w:pPr>
        <w:adjustRightInd w:val="0"/>
        <w:snapToGrid w:val="0"/>
        <w:spacing w:line="440" w:lineRule="exact"/>
        <w:ind w:firstLineChars="200" w:firstLine="480"/>
        <w:rPr>
          <w:rFonts w:ascii="Times New Roman" w:hint="eastAsia"/>
          <w:szCs w:val="24"/>
        </w:rPr>
        <w:sectPr w:rsidR="009C353B">
          <w:headerReference w:type="default" r:id="rId471"/>
          <w:pgSz w:w="11906" w:h="16838"/>
          <w:pgMar w:top="1701" w:right="1418" w:bottom="1418" w:left="1418" w:header="1134" w:footer="1021" w:gutter="0"/>
          <w:paperSrc w:first="7" w:other="7"/>
          <w:cols w:space="720"/>
          <w:docGrid w:linePitch="312"/>
        </w:sectPr>
      </w:pPr>
    </w:p>
    <w:p w14:paraId="2998F2F7" w14:textId="77777777" w:rsidR="009C353B" w:rsidRDefault="00000000">
      <w:pPr>
        <w:pStyle w:val="affffff0"/>
        <w:adjustRightInd w:val="0"/>
        <w:spacing w:line="240" w:lineRule="atLeast"/>
        <w:jc w:val="center"/>
        <w:rPr>
          <w:rFonts w:ascii="Times New Roman" w:hAnsi="Times New Roman"/>
        </w:rPr>
      </w:pPr>
      <w:r>
        <w:rPr>
          <w:rFonts w:ascii="Times New Roman" w:hAnsi="Times New Roman" w:hint="eastAsia"/>
        </w:rPr>
        <w:t>横城矿区（修编）</w:t>
      </w:r>
      <w:r>
        <w:rPr>
          <w:rFonts w:ascii="Times New Roman" w:hAnsi="Times New Roman"/>
        </w:rPr>
        <w:t>总体规划</w:t>
      </w:r>
      <w:r>
        <w:rPr>
          <w:rFonts w:ascii="Times New Roman" w:hAnsi="Times New Roman" w:hint="eastAsia"/>
        </w:rPr>
        <w:t>优化</w:t>
      </w:r>
      <w:r>
        <w:rPr>
          <w:rFonts w:ascii="Times New Roman" w:hAnsi="Times New Roman"/>
        </w:rPr>
        <w:t>建议汇总表</w:t>
      </w:r>
    </w:p>
    <w:p w14:paraId="6BADB50F" w14:textId="77777777" w:rsidR="009C353B" w:rsidRDefault="00000000">
      <w:pPr>
        <w:pStyle w:val="affffd"/>
        <w:rPr>
          <w:rFonts w:ascii="Times New Roman" w:hAnsi="Times New Roman"/>
        </w:rPr>
      </w:pPr>
      <w:r>
        <w:rPr>
          <w:rFonts w:ascii="Times New Roman" w:hAnsi="Times New Roman"/>
        </w:rPr>
        <w:t>表</w:t>
      </w:r>
      <w:r>
        <w:rPr>
          <w:rFonts w:ascii="Times New Roman" w:hAnsi="Times New Roman"/>
        </w:rPr>
        <w:t>8</w:t>
      </w:r>
      <w:r>
        <w:rPr>
          <w:rFonts w:ascii="Times New Roman" w:hAnsi="Times New Roman" w:hint="eastAsia"/>
        </w:rPr>
        <w:t>.</w:t>
      </w:r>
      <w:r>
        <w:rPr>
          <w:rFonts w:ascii="Times New Roman" w:hAnsi="Times New Roman"/>
        </w:rPr>
        <w:t>7-1</w:t>
      </w:r>
    </w:p>
    <w:tbl>
      <w:tblPr>
        <w:tblW w:w="141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675"/>
        <w:gridCol w:w="709"/>
        <w:gridCol w:w="4281"/>
        <w:gridCol w:w="5670"/>
        <w:gridCol w:w="2849"/>
      </w:tblGrid>
      <w:tr w:rsidR="009C353B" w14:paraId="5F0EB1F7" w14:textId="77777777">
        <w:trPr>
          <w:trHeight w:val="340"/>
          <w:jc w:val="center"/>
        </w:trPr>
        <w:tc>
          <w:tcPr>
            <w:tcW w:w="675" w:type="dxa"/>
            <w:vAlign w:val="center"/>
          </w:tcPr>
          <w:p w14:paraId="0207FDA9" w14:textId="77777777" w:rsidR="009C353B" w:rsidRDefault="00000000">
            <w:pPr>
              <w:adjustRightInd w:val="0"/>
              <w:snapToGrid w:val="0"/>
              <w:spacing w:line="240" w:lineRule="atLeast"/>
              <w:jc w:val="center"/>
              <w:textAlignment w:val="baseline"/>
              <w:rPr>
                <w:rFonts w:ascii="Times New Roman" w:hAnsi="Times New Roman"/>
                <w:sz w:val="21"/>
                <w:szCs w:val="21"/>
              </w:rPr>
            </w:pPr>
            <w:r>
              <w:rPr>
                <w:rFonts w:ascii="Times New Roman"/>
                <w:sz w:val="21"/>
                <w:szCs w:val="21"/>
              </w:rPr>
              <w:t>序号</w:t>
            </w:r>
          </w:p>
        </w:tc>
        <w:tc>
          <w:tcPr>
            <w:tcW w:w="709" w:type="dxa"/>
            <w:vAlign w:val="center"/>
          </w:tcPr>
          <w:p w14:paraId="079ADD97" w14:textId="77777777" w:rsidR="009C353B" w:rsidRDefault="00000000">
            <w:pPr>
              <w:adjustRightInd w:val="0"/>
              <w:snapToGrid w:val="0"/>
              <w:spacing w:line="240" w:lineRule="atLeast"/>
              <w:jc w:val="center"/>
              <w:textAlignment w:val="baseline"/>
              <w:rPr>
                <w:rFonts w:ascii="Times New Roman" w:hAnsi="Times New Roman"/>
                <w:sz w:val="21"/>
                <w:szCs w:val="21"/>
              </w:rPr>
            </w:pPr>
            <w:r>
              <w:rPr>
                <w:rFonts w:ascii="Times New Roman"/>
                <w:sz w:val="21"/>
                <w:szCs w:val="21"/>
              </w:rPr>
              <w:t>类别</w:t>
            </w:r>
          </w:p>
        </w:tc>
        <w:tc>
          <w:tcPr>
            <w:tcW w:w="4281" w:type="dxa"/>
            <w:vAlign w:val="center"/>
          </w:tcPr>
          <w:p w14:paraId="5B33AF3D" w14:textId="77777777" w:rsidR="009C353B" w:rsidRDefault="00000000">
            <w:pPr>
              <w:adjustRightInd w:val="0"/>
              <w:snapToGrid w:val="0"/>
              <w:spacing w:line="240" w:lineRule="atLeast"/>
              <w:jc w:val="center"/>
              <w:textAlignment w:val="baseline"/>
              <w:rPr>
                <w:rFonts w:ascii="Times New Roman" w:hAnsi="Times New Roman"/>
                <w:sz w:val="21"/>
                <w:szCs w:val="21"/>
              </w:rPr>
            </w:pPr>
            <w:r>
              <w:rPr>
                <w:rFonts w:ascii="Times New Roman"/>
                <w:sz w:val="21"/>
                <w:szCs w:val="21"/>
              </w:rPr>
              <w:t>原规划方案内容</w:t>
            </w:r>
          </w:p>
        </w:tc>
        <w:tc>
          <w:tcPr>
            <w:tcW w:w="5670" w:type="dxa"/>
            <w:vAlign w:val="center"/>
          </w:tcPr>
          <w:p w14:paraId="68D6AFA2" w14:textId="77777777" w:rsidR="009C353B" w:rsidRDefault="00000000">
            <w:pPr>
              <w:adjustRightInd w:val="0"/>
              <w:snapToGrid w:val="0"/>
              <w:spacing w:line="240" w:lineRule="atLeast"/>
              <w:jc w:val="center"/>
              <w:textAlignment w:val="baseline"/>
              <w:rPr>
                <w:rFonts w:ascii="Times New Roman" w:hAnsi="Times New Roman"/>
                <w:sz w:val="21"/>
                <w:szCs w:val="21"/>
              </w:rPr>
            </w:pPr>
            <w:r>
              <w:rPr>
                <w:rFonts w:ascii="Times New Roman" w:hint="eastAsia"/>
                <w:sz w:val="21"/>
                <w:szCs w:val="21"/>
              </w:rPr>
              <w:t>优化</w:t>
            </w:r>
            <w:r>
              <w:rPr>
                <w:rFonts w:ascii="Times New Roman"/>
                <w:sz w:val="21"/>
                <w:szCs w:val="21"/>
              </w:rPr>
              <w:t>建议</w:t>
            </w:r>
          </w:p>
        </w:tc>
        <w:tc>
          <w:tcPr>
            <w:tcW w:w="2849" w:type="dxa"/>
            <w:vAlign w:val="center"/>
          </w:tcPr>
          <w:p w14:paraId="0F1CCDC5" w14:textId="77777777" w:rsidR="009C353B" w:rsidRDefault="00000000">
            <w:pPr>
              <w:adjustRightInd w:val="0"/>
              <w:snapToGrid w:val="0"/>
              <w:spacing w:line="240" w:lineRule="atLeast"/>
              <w:jc w:val="center"/>
              <w:textAlignment w:val="baseline"/>
              <w:rPr>
                <w:rFonts w:ascii="Times New Roman" w:hAnsi="Times New Roman"/>
                <w:sz w:val="21"/>
                <w:szCs w:val="21"/>
              </w:rPr>
            </w:pPr>
            <w:r>
              <w:rPr>
                <w:rFonts w:ascii="Times New Roman"/>
                <w:sz w:val="21"/>
                <w:szCs w:val="21"/>
              </w:rPr>
              <w:t>调整与修改依据</w:t>
            </w:r>
          </w:p>
        </w:tc>
      </w:tr>
      <w:tr w:rsidR="009C353B" w14:paraId="4620CA39" w14:textId="77777777">
        <w:trPr>
          <w:trHeight w:val="791"/>
          <w:jc w:val="center"/>
        </w:trPr>
        <w:tc>
          <w:tcPr>
            <w:tcW w:w="675" w:type="dxa"/>
            <w:vAlign w:val="center"/>
          </w:tcPr>
          <w:p w14:paraId="51CE41CC" w14:textId="77777777" w:rsidR="009C353B" w:rsidRDefault="00000000">
            <w:pPr>
              <w:adjustRightInd w:val="0"/>
              <w:snapToGrid w:val="0"/>
              <w:spacing w:line="240" w:lineRule="atLeast"/>
              <w:jc w:val="center"/>
              <w:textAlignment w:val="baseline"/>
              <w:rPr>
                <w:rFonts w:ascii="Times New Roman" w:hint="eastAsia"/>
                <w:sz w:val="21"/>
                <w:szCs w:val="21"/>
              </w:rPr>
            </w:pPr>
            <w:r>
              <w:rPr>
                <w:rFonts w:ascii="Times New Roman" w:hAnsi="Times New Roman" w:hint="eastAsia"/>
                <w:sz w:val="21"/>
                <w:szCs w:val="21"/>
              </w:rPr>
              <w:t>1</w:t>
            </w:r>
          </w:p>
        </w:tc>
        <w:tc>
          <w:tcPr>
            <w:tcW w:w="709" w:type="dxa"/>
            <w:vAlign w:val="center"/>
          </w:tcPr>
          <w:p w14:paraId="70BF0C9E" w14:textId="77777777" w:rsidR="009C353B" w:rsidRDefault="00000000">
            <w:pPr>
              <w:adjustRightInd w:val="0"/>
              <w:snapToGrid w:val="0"/>
              <w:spacing w:line="240" w:lineRule="atLeast"/>
              <w:jc w:val="center"/>
              <w:textAlignment w:val="baseline"/>
              <w:rPr>
                <w:rFonts w:ascii="Times New Roman" w:hint="eastAsia"/>
                <w:sz w:val="21"/>
                <w:szCs w:val="21"/>
              </w:rPr>
            </w:pPr>
            <w:r>
              <w:rPr>
                <w:rFonts w:ascii="Times New Roman"/>
                <w:sz w:val="21"/>
                <w:szCs w:val="21"/>
              </w:rPr>
              <w:t>矿区空间布局</w:t>
            </w:r>
          </w:p>
        </w:tc>
        <w:tc>
          <w:tcPr>
            <w:tcW w:w="4281" w:type="dxa"/>
            <w:vAlign w:val="center"/>
          </w:tcPr>
          <w:p w14:paraId="6C53FD9C" w14:textId="77777777" w:rsidR="009C353B" w:rsidRDefault="00000000">
            <w:pPr>
              <w:adjustRightInd w:val="0"/>
              <w:snapToGrid w:val="0"/>
              <w:spacing w:line="240" w:lineRule="atLeast"/>
              <w:rPr>
                <w:rFonts w:ascii="Times New Roman" w:hint="eastAsia"/>
                <w:bCs/>
                <w:sz w:val="21"/>
                <w:szCs w:val="21"/>
              </w:rPr>
            </w:pPr>
            <w:r>
              <w:rPr>
                <w:rFonts w:ascii="Times New Roman" w:hint="eastAsia"/>
                <w:bCs/>
                <w:sz w:val="21"/>
                <w:szCs w:val="21"/>
              </w:rPr>
              <w:t>（</w:t>
            </w:r>
            <w:r>
              <w:rPr>
                <w:rFonts w:ascii="Times New Roman" w:hint="eastAsia"/>
                <w:bCs/>
                <w:sz w:val="21"/>
                <w:szCs w:val="21"/>
              </w:rPr>
              <w:t>1</w:t>
            </w:r>
            <w:r>
              <w:rPr>
                <w:rFonts w:ascii="Times New Roman" w:hint="eastAsia"/>
                <w:bCs/>
                <w:sz w:val="21"/>
                <w:szCs w:val="21"/>
              </w:rPr>
              <w:t>）任家庄井田边界与自然保护区实验区较近，部分</w:t>
            </w:r>
            <w:r>
              <w:rPr>
                <w:rFonts w:ascii="Times New Roman"/>
                <w:bCs/>
                <w:sz w:val="21"/>
                <w:szCs w:val="21"/>
              </w:rPr>
              <w:t>区域可能受到开采沉陷影响。</w:t>
            </w:r>
          </w:p>
          <w:p w14:paraId="6D353F62"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2</w:t>
            </w:r>
            <w:r>
              <w:rPr>
                <w:rFonts w:ascii="Times New Roman" w:hAnsi="Times New Roman" w:hint="eastAsia"/>
                <w:sz w:val="21"/>
                <w:szCs w:val="21"/>
              </w:rPr>
              <w:t>）明长城紧邻马莲台井田北部边界和红石湾井田东北边界，且局部地段明长城已受到开采沉陷影响。</w:t>
            </w:r>
          </w:p>
          <w:p w14:paraId="2ECD7A3B"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3</w:t>
            </w:r>
            <w:r>
              <w:rPr>
                <w:rFonts w:ascii="Times New Roman" w:hAnsi="Times New Roman" w:hint="eastAsia"/>
                <w:sz w:val="21"/>
                <w:szCs w:val="21"/>
              </w:rPr>
              <w:t>）鸭子荡水库临时禁采区、高压输电线路、太中银铁路、天然气管线、宁东</w:t>
            </w:r>
            <w:r>
              <w:rPr>
                <w:rFonts w:ascii="Times New Roman" w:hAnsi="Times New Roman"/>
                <w:sz w:val="21"/>
                <w:szCs w:val="21"/>
              </w:rPr>
              <w:t>2</w:t>
            </w:r>
            <w:r>
              <w:rPr>
                <w:rFonts w:ascii="Times New Roman" w:hAnsi="Times New Roman"/>
                <w:sz w:val="21"/>
                <w:szCs w:val="21"/>
              </w:rPr>
              <w:t>号渣场等保护目标与</w:t>
            </w:r>
            <w:r>
              <w:rPr>
                <w:rFonts w:ascii="Times New Roman" w:hAnsi="Times New Roman" w:hint="eastAsia"/>
                <w:sz w:val="21"/>
                <w:szCs w:val="21"/>
              </w:rPr>
              <w:t>丁家梁井田</w:t>
            </w:r>
            <w:r>
              <w:rPr>
                <w:rFonts w:ascii="Times New Roman" w:hAnsi="Times New Roman"/>
                <w:sz w:val="21"/>
                <w:szCs w:val="21"/>
              </w:rPr>
              <w:t>大量</w:t>
            </w:r>
            <w:r>
              <w:rPr>
                <w:rFonts w:ascii="Times New Roman" w:hAnsi="Times New Roman" w:hint="eastAsia"/>
                <w:sz w:val="21"/>
                <w:szCs w:val="21"/>
              </w:rPr>
              <w:t>重叠</w:t>
            </w:r>
            <w:r>
              <w:rPr>
                <w:rFonts w:ascii="Times New Roman" w:hAnsi="Times New Roman"/>
                <w:sz w:val="21"/>
                <w:szCs w:val="21"/>
              </w:rPr>
              <w:t>。</w:t>
            </w:r>
          </w:p>
          <w:p w14:paraId="1BD6E501"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4</w:t>
            </w:r>
            <w:r>
              <w:rPr>
                <w:rFonts w:ascii="Times New Roman" w:hAnsi="Times New Roman" w:hint="eastAsia"/>
                <w:sz w:val="21"/>
                <w:szCs w:val="21"/>
              </w:rPr>
              <w:t>）本次规划修编新增的马莲台后备区、红石湾后备区、任家庄后备区范围与临河工业园区和宁东煤化工园区有部分重叠。另外，马莲台井田局部与煤化工园区重叠。</w:t>
            </w:r>
          </w:p>
        </w:tc>
        <w:tc>
          <w:tcPr>
            <w:tcW w:w="5670" w:type="dxa"/>
            <w:vAlign w:val="center"/>
          </w:tcPr>
          <w:p w14:paraId="1E1C1A5A" w14:textId="77777777" w:rsidR="009C353B" w:rsidRDefault="00000000">
            <w:pPr>
              <w:adjustRightInd w:val="0"/>
              <w:snapToGrid w:val="0"/>
              <w:spacing w:line="240" w:lineRule="atLeast"/>
              <w:rPr>
                <w:rFonts w:ascii="Times New Roman" w:hint="eastAsia"/>
                <w:sz w:val="21"/>
                <w:szCs w:val="21"/>
              </w:rPr>
            </w:pPr>
            <w:r>
              <w:rPr>
                <w:rFonts w:ascii="Times New Roman" w:hint="eastAsia"/>
                <w:sz w:val="21"/>
                <w:szCs w:val="21"/>
              </w:rPr>
              <w:t>（</w:t>
            </w:r>
            <w:r>
              <w:rPr>
                <w:rFonts w:ascii="Times New Roman" w:hint="eastAsia"/>
                <w:sz w:val="21"/>
                <w:szCs w:val="21"/>
              </w:rPr>
              <w:t>1</w:t>
            </w:r>
            <w:r>
              <w:rPr>
                <w:rFonts w:ascii="Times New Roman" w:hint="eastAsia"/>
                <w:sz w:val="21"/>
                <w:szCs w:val="21"/>
              </w:rPr>
              <w:t>）优化临近白芨滩国家级自然保护区的任家庄井田区域开采布局，留设足够保护煤柱，确保不影响白芨滩国家级自然保护区。根据《宁夏回族自治区自然保护区管理办法》第十三条：“自然保护区边界外围２公里内的地带为外围保护地带。经批准在自然保护区外围保护地带建设的项目或者设施，不得损害自然保护区的环境质量和生态功能”。</w:t>
            </w:r>
            <w:r>
              <w:rPr>
                <w:rFonts w:ascii="Times New Roman"/>
                <w:sz w:val="21"/>
                <w:szCs w:val="21"/>
              </w:rPr>
              <w:t>根据</w:t>
            </w:r>
            <w:r>
              <w:rPr>
                <w:rFonts w:ascii="Times New Roman" w:hint="eastAsia"/>
                <w:sz w:val="21"/>
                <w:szCs w:val="21"/>
              </w:rPr>
              <w:t>“办法”本次评价提出，后续丁家梁煤矿在建设开发过程中须遵守以上文件要求，涉及在自然保护区外围保护地带建设的项目或者设施，需经相关部门批准，项目不得损害自然保护区的环境质量和生态功能。</w:t>
            </w:r>
          </w:p>
          <w:p w14:paraId="372BB102" w14:textId="77777777" w:rsidR="009C353B" w:rsidRDefault="00000000">
            <w:pPr>
              <w:adjustRightInd w:val="0"/>
              <w:snapToGrid w:val="0"/>
              <w:spacing w:line="240" w:lineRule="atLeast"/>
              <w:rPr>
                <w:rFonts w:ascii="Times New Roman" w:hint="eastAsia"/>
                <w:sz w:val="21"/>
                <w:szCs w:val="21"/>
              </w:rPr>
            </w:pPr>
            <w:r>
              <w:rPr>
                <w:rFonts w:ascii="Times New Roman" w:hint="eastAsia"/>
                <w:sz w:val="21"/>
                <w:szCs w:val="21"/>
              </w:rPr>
              <w:t>（</w:t>
            </w:r>
            <w:r>
              <w:rPr>
                <w:rFonts w:ascii="Times New Roman" w:hint="eastAsia"/>
                <w:sz w:val="21"/>
                <w:szCs w:val="21"/>
              </w:rPr>
              <w:t>2</w:t>
            </w:r>
            <w:r>
              <w:rPr>
                <w:rFonts w:ascii="Times New Roman" w:hint="eastAsia"/>
                <w:sz w:val="21"/>
                <w:szCs w:val="21"/>
              </w:rPr>
              <w:t>）优化临近明长城等文物的红石湾、马莲台井田区域开采布局，根据实际开采沉陷观测参数，</w:t>
            </w:r>
            <w:r>
              <w:rPr>
                <w:rFonts w:ascii="Times New Roman"/>
                <w:sz w:val="21"/>
                <w:szCs w:val="21"/>
              </w:rPr>
              <w:t>对水洞沟遗址、明长城及红山堡城址四周各外延</w:t>
            </w:r>
            <w:r>
              <w:rPr>
                <w:rFonts w:ascii="Times New Roman"/>
                <w:sz w:val="21"/>
                <w:szCs w:val="21"/>
              </w:rPr>
              <w:t>100m</w:t>
            </w:r>
            <w:r>
              <w:rPr>
                <w:rFonts w:ascii="Times New Roman"/>
                <w:sz w:val="21"/>
                <w:szCs w:val="21"/>
              </w:rPr>
              <w:t>作为保护范围，留设足够保护煤柱，确保不影响文物。</w:t>
            </w:r>
          </w:p>
          <w:p w14:paraId="22326A0D" w14:textId="77777777" w:rsidR="009C353B" w:rsidRDefault="00000000">
            <w:pPr>
              <w:adjustRightInd w:val="0"/>
              <w:snapToGrid w:val="0"/>
              <w:spacing w:line="240" w:lineRule="atLeast"/>
              <w:rPr>
                <w:rFonts w:ascii="Times New Roman" w:hint="eastAsia"/>
                <w:sz w:val="21"/>
                <w:szCs w:val="21"/>
              </w:rPr>
            </w:pPr>
            <w:r>
              <w:rPr>
                <w:rFonts w:ascii="Times New Roman" w:hint="eastAsia"/>
                <w:sz w:val="21"/>
                <w:szCs w:val="21"/>
              </w:rPr>
              <w:t>（</w:t>
            </w:r>
            <w:r>
              <w:rPr>
                <w:rFonts w:ascii="Times New Roman" w:hint="eastAsia"/>
                <w:sz w:val="21"/>
                <w:szCs w:val="21"/>
              </w:rPr>
              <w:t>3</w:t>
            </w:r>
            <w:r>
              <w:rPr>
                <w:rFonts w:ascii="Times New Roman" w:hint="eastAsia"/>
                <w:sz w:val="21"/>
                <w:szCs w:val="21"/>
              </w:rPr>
              <w:t>）</w:t>
            </w:r>
            <w:r>
              <w:rPr>
                <w:rFonts w:ascii="Times New Roman" w:hAnsi="Times New Roman"/>
                <w:sz w:val="21"/>
                <w:szCs w:val="21"/>
              </w:rPr>
              <w:t>丁家梁井田在后续开采设计和开发过程中，应根据实际沉陷观测参数，对保护目标留设足够保护煤柱，确保不受开采沉陷影响。</w:t>
            </w:r>
          </w:p>
          <w:p w14:paraId="031B43C7" w14:textId="77777777" w:rsidR="009C353B" w:rsidRDefault="00000000">
            <w:pPr>
              <w:adjustRightInd w:val="0"/>
              <w:snapToGrid w:val="0"/>
              <w:spacing w:line="240" w:lineRule="atLeast"/>
              <w:rPr>
                <w:rFonts w:ascii="Times New Roman" w:hAnsi="Times New Roman"/>
                <w:sz w:val="21"/>
                <w:szCs w:val="21"/>
              </w:rPr>
            </w:pPr>
            <w:r>
              <w:rPr>
                <w:rFonts w:ascii="Times New Roman" w:hint="eastAsia"/>
                <w:sz w:val="21"/>
                <w:szCs w:val="21"/>
              </w:rPr>
              <w:t>（</w:t>
            </w:r>
            <w:r>
              <w:rPr>
                <w:rFonts w:ascii="Times New Roman" w:hint="eastAsia"/>
                <w:sz w:val="21"/>
                <w:szCs w:val="21"/>
              </w:rPr>
              <w:t>4</w:t>
            </w:r>
            <w:r>
              <w:rPr>
                <w:rFonts w:ascii="Times New Roman" w:hint="eastAsia"/>
                <w:sz w:val="21"/>
                <w:szCs w:val="21"/>
              </w:rPr>
              <w:t>）</w:t>
            </w:r>
            <w:r>
              <w:rPr>
                <w:rFonts w:ascii="Times New Roman" w:hAnsi="Times New Roman" w:hint="eastAsia"/>
                <w:sz w:val="21"/>
                <w:szCs w:val="21"/>
              </w:rPr>
              <w:t>为避免工业园区受到开采沉陷影响，本次评价建议进一步优化后备区范围，优化后备区开采方式，采取充填开采等保护性开采方式，在论证确保不影响工业园区设施设备安全的情况下再考虑重叠区压覆煤炭资源的开采。</w:t>
            </w:r>
          </w:p>
        </w:tc>
        <w:tc>
          <w:tcPr>
            <w:tcW w:w="2849" w:type="dxa"/>
            <w:vAlign w:val="center"/>
          </w:tcPr>
          <w:p w14:paraId="4803CE9B" w14:textId="77777777" w:rsidR="009C353B" w:rsidRDefault="00000000">
            <w:pPr>
              <w:topLinePunct/>
              <w:adjustRightInd w:val="0"/>
              <w:snapToGrid w:val="0"/>
              <w:spacing w:line="240" w:lineRule="atLeast"/>
              <w:textAlignment w:val="baseline"/>
              <w:rPr>
                <w:rFonts w:ascii="Times New Roman" w:hint="eastAsia"/>
                <w:sz w:val="21"/>
                <w:szCs w:val="21"/>
              </w:rPr>
            </w:pPr>
            <w:r>
              <w:rPr>
                <w:rFonts w:ascii="Times New Roman" w:hint="eastAsia"/>
                <w:sz w:val="21"/>
                <w:szCs w:val="21"/>
              </w:rPr>
              <w:t>《中华人民共和国自然保护区条例（</w:t>
            </w:r>
            <w:r>
              <w:rPr>
                <w:rFonts w:ascii="Times New Roman"/>
                <w:sz w:val="21"/>
                <w:szCs w:val="21"/>
              </w:rPr>
              <w:t>2017</w:t>
            </w:r>
            <w:r>
              <w:rPr>
                <w:rFonts w:ascii="Times New Roman"/>
                <w:sz w:val="21"/>
                <w:szCs w:val="21"/>
              </w:rPr>
              <w:t>年修订）</w:t>
            </w:r>
            <w:r>
              <w:rPr>
                <w:rFonts w:ascii="Times New Roman" w:hint="eastAsia"/>
                <w:sz w:val="21"/>
                <w:szCs w:val="21"/>
              </w:rPr>
              <w:t>》</w:t>
            </w:r>
          </w:p>
          <w:p w14:paraId="5519FBAF" w14:textId="77777777" w:rsidR="009C353B" w:rsidRDefault="00000000">
            <w:pPr>
              <w:topLinePunct/>
              <w:adjustRightInd w:val="0"/>
              <w:snapToGrid w:val="0"/>
              <w:spacing w:line="240" w:lineRule="atLeast"/>
              <w:textAlignment w:val="baseline"/>
              <w:rPr>
                <w:rFonts w:ascii="Times New Roman" w:hint="eastAsia"/>
                <w:sz w:val="21"/>
                <w:szCs w:val="21"/>
              </w:rPr>
            </w:pPr>
            <w:r>
              <w:rPr>
                <w:rFonts w:ascii="Times New Roman" w:hint="eastAsia"/>
                <w:sz w:val="21"/>
                <w:szCs w:val="21"/>
              </w:rPr>
              <w:t>《宁夏回族自治区自然保护区管理办法》、</w:t>
            </w:r>
          </w:p>
          <w:p w14:paraId="60D93E37" w14:textId="77777777" w:rsidR="009C353B" w:rsidRDefault="00000000">
            <w:pPr>
              <w:topLinePunct/>
              <w:adjustRightInd w:val="0"/>
              <w:snapToGrid w:val="0"/>
              <w:spacing w:line="240" w:lineRule="atLeast"/>
              <w:textAlignment w:val="baseline"/>
              <w:rPr>
                <w:rFonts w:ascii="Times New Roman" w:hint="eastAsia"/>
                <w:sz w:val="21"/>
                <w:szCs w:val="21"/>
              </w:rPr>
            </w:pPr>
            <w:r>
              <w:rPr>
                <w:rFonts w:ascii="Times New Roman" w:hint="eastAsia"/>
                <w:sz w:val="21"/>
                <w:szCs w:val="21"/>
              </w:rPr>
              <w:t>《中华人民共和国文物保护法》、</w:t>
            </w:r>
          </w:p>
          <w:p w14:paraId="0934B56D" w14:textId="77777777" w:rsidR="009C353B" w:rsidRDefault="00000000">
            <w:pPr>
              <w:topLinePunct/>
              <w:adjustRightInd w:val="0"/>
              <w:snapToGrid w:val="0"/>
              <w:spacing w:line="240" w:lineRule="atLeast"/>
              <w:textAlignment w:val="baseline"/>
              <w:rPr>
                <w:rFonts w:ascii="Times New Roman" w:hint="eastAsia"/>
                <w:sz w:val="21"/>
                <w:szCs w:val="21"/>
              </w:rPr>
            </w:pPr>
            <w:r>
              <w:rPr>
                <w:rFonts w:ascii="Times New Roman" w:hint="eastAsia"/>
                <w:sz w:val="21"/>
                <w:szCs w:val="21"/>
              </w:rPr>
              <w:t>灵武市文化旅游广电局关于《自治区发展改革委员会关于征求</w:t>
            </w:r>
            <w:r>
              <w:rPr>
                <w:rFonts w:ascii="Times New Roman"/>
                <w:sz w:val="21"/>
                <w:szCs w:val="21"/>
              </w:rPr>
              <w:t>&lt;</w:t>
            </w:r>
            <w:r>
              <w:rPr>
                <w:rFonts w:ascii="Times New Roman"/>
                <w:sz w:val="21"/>
                <w:szCs w:val="21"/>
              </w:rPr>
              <w:t>横城矿区总体规划（修编）环境影响评价公众参与调查表</w:t>
            </w:r>
            <w:r>
              <w:rPr>
                <w:rFonts w:ascii="Times New Roman"/>
                <w:sz w:val="21"/>
                <w:szCs w:val="21"/>
              </w:rPr>
              <w:t>&gt;</w:t>
            </w:r>
            <w:r>
              <w:rPr>
                <w:rFonts w:ascii="Times New Roman"/>
                <w:sz w:val="21"/>
                <w:szCs w:val="21"/>
              </w:rPr>
              <w:t>》修改意见的函</w:t>
            </w:r>
            <w:r>
              <w:rPr>
                <w:rFonts w:ascii="Times New Roman" w:hint="eastAsia"/>
                <w:sz w:val="21"/>
                <w:szCs w:val="21"/>
              </w:rPr>
              <w:t>、</w:t>
            </w:r>
            <w:r>
              <w:rPr>
                <w:rFonts w:ascii="Times New Roman" w:hAnsi="Times New Roman"/>
                <w:sz w:val="21"/>
                <w:szCs w:val="21"/>
              </w:rPr>
              <w:t>《关于丁家梁煤矿有关事宜的复函》（宁东管函〔</w:t>
            </w:r>
            <w:r>
              <w:rPr>
                <w:rFonts w:ascii="Times New Roman" w:hAnsi="Times New Roman"/>
                <w:sz w:val="21"/>
                <w:szCs w:val="21"/>
              </w:rPr>
              <w:t>2016</w:t>
            </w:r>
            <w:r>
              <w:rPr>
                <w:rFonts w:ascii="Times New Roman" w:hAnsi="Times New Roman"/>
                <w:sz w:val="21"/>
                <w:szCs w:val="21"/>
              </w:rPr>
              <w:t>〕</w:t>
            </w:r>
            <w:r>
              <w:rPr>
                <w:rFonts w:ascii="Times New Roman" w:hAnsi="Times New Roman"/>
                <w:sz w:val="21"/>
                <w:szCs w:val="21"/>
              </w:rPr>
              <w:t>134</w:t>
            </w:r>
            <w:r>
              <w:rPr>
                <w:rFonts w:ascii="Times New Roman" w:hAnsi="Times New Roman"/>
                <w:sz w:val="21"/>
                <w:szCs w:val="21"/>
              </w:rPr>
              <w:t>号）</w:t>
            </w:r>
            <w:r>
              <w:rPr>
                <w:rFonts w:ascii="Times New Roman" w:hAnsi="Times New Roman" w:hint="eastAsia"/>
                <w:sz w:val="21"/>
                <w:szCs w:val="21"/>
              </w:rPr>
              <w:t>、</w:t>
            </w:r>
          </w:p>
        </w:tc>
      </w:tr>
      <w:tr w:rsidR="009C353B" w14:paraId="428B049D" w14:textId="77777777">
        <w:trPr>
          <w:trHeight w:val="340"/>
          <w:jc w:val="center"/>
        </w:trPr>
        <w:tc>
          <w:tcPr>
            <w:tcW w:w="675" w:type="dxa"/>
            <w:vMerge w:val="restart"/>
            <w:vAlign w:val="center"/>
          </w:tcPr>
          <w:p w14:paraId="72FACC50" w14:textId="77777777" w:rsidR="009C353B" w:rsidRDefault="00000000">
            <w:pPr>
              <w:adjustRightInd w:val="0"/>
              <w:snapToGrid w:val="0"/>
              <w:spacing w:line="240" w:lineRule="atLeast"/>
              <w:ind w:leftChars="-50" w:left="-120" w:rightChars="-50" w:right="-120"/>
              <w:jc w:val="center"/>
              <w:textAlignment w:val="baseline"/>
              <w:rPr>
                <w:rFonts w:ascii="Times New Roman" w:hAnsi="Times New Roman"/>
                <w:sz w:val="21"/>
                <w:szCs w:val="21"/>
              </w:rPr>
            </w:pPr>
            <w:r>
              <w:rPr>
                <w:rFonts w:ascii="Times New Roman" w:hAnsi="Times New Roman" w:hint="eastAsia"/>
                <w:sz w:val="21"/>
                <w:szCs w:val="21"/>
              </w:rPr>
              <w:t>2</w:t>
            </w:r>
          </w:p>
        </w:tc>
        <w:tc>
          <w:tcPr>
            <w:tcW w:w="709" w:type="dxa"/>
            <w:vMerge w:val="restart"/>
            <w:vAlign w:val="center"/>
          </w:tcPr>
          <w:p w14:paraId="1A7D109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sz w:val="21"/>
                <w:szCs w:val="21"/>
              </w:rPr>
              <w:t>矿区环境保护规划</w:t>
            </w:r>
          </w:p>
        </w:tc>
        <w:tc>
          <w:tcPr>
            <w:tcW w:w="4281" w:type="dxa"/>
            <w:vAlign w:val="center"/>
          </w:tcPr>
          <w:p w14:paraId="4AF1A674" w14:textId="77777777" w:rsidR="009C353B" w:rsidRDefault="00000000">
            <w:pPr>
              <w:topLinePunct/>
              <w:adjustRightInd w:val="0"/>
              <w:snapToGrid w:val="0"/>
              <w:spacing w:line="240" w:lineRule="atLeast"/>
              <w:jc w:val="left"/>
              <w:textAlignment w:val="baseline"/>
              <w:rPr>
                <w:rFonts w:ascii="Times New Roman" w:hAnsi="Times New Roman"/>
                <w:sz w:val="21"/>
                <w:szCs w:val="21"/>
              </w:rPr>
            </w:pPr>
            <w:r>
              <w:rPr>
                <w:rFonts w:ascii="Times New Roman"/>
                <w:b/>
                <w:sz w:val="21"/>
                <w:szCs w:val="21"/>
              </w:rPr>
              <w:t>大气环境保护措施：</w:t>
            </w:r>
            <w:r>
              <w:rPr>
                <w:rFonts w:ascii="Times New Roman"/>
                <w:sz w:val="21"/>
                <w:szCs w:val="21"/>
              </w:rPr>
              <w:t>总体规划对矿区</w:t>
            </w:r>
            <w:r>
              <w:rPr>
                <w:rFonts w:ascii="Times New Roman" w:hint="eastAsia"/>
                <w:sz w:val="21"/>
                <w:szCs w:val="21"/>
              </w:rPr>
              <w:t>马莲台、红石湾采用电厂余热、任家庄煤矿采用现有燃气锅炉房</w:t>
            </w:r>
            <w:r>
              <w:rPr>
                <w:rFonts w:ascii="Times New Roman"/>
                <w:sz w:val="21"/>
                <w:szCs w:val="21"/>
              </w:rPr>
              <w:t>供热</w:t>
            </w:r>
            <w:r>
              <w:rPr>
                <w:rFonts w:ascii="Times New Roman" w:hint="eastAsia"/>
                <w:sz w:val="21"/>
                <w:szCs w:val="21"/>
              </w:rPr>
              <w:t>。丁家梁煤矿</w:t>
            </w:r>
            <w:r>
              <w:rPr>
                <w:rFonts w:ascii="Times New Roman"/>
                <w:sz w:val="21"/>
                <w:szCs w:val="21"/>
              </w:rPr>
              <w:t>供热</w:t>
            </w:r>
            <w:r>
              <w:rPr>
                <w:rFonts w:ascii="Times New Roman" w:hint="eastAsia"/>
                <w:sz w:val="21"/>
                <w:szCs w:val="21"/>
              </w:rPr>
              <w:t>采用燃气锅炉房。</w:t>
            </w:r>
            <w:r>
              <w:rPr>
                <w:rFonts w:ascii="Times New Roman"/>
                <w:sz w:val="21"/>
                <w:szCs w:val="21"/>
              </w:rPr>
              <w:t>大气污染源主要是</w:t>
            </w:r>
            <w:r>
              <w:rPr>
                <w:rFonts w:ascii="Times New Roman" w:hint="eastAsia"/>
                <w:sz w:val="21"/>
                <w:szCs w:val="21"/>
              </w:rPr>
              <w:t>任家庄</w:t>
            </w:r>
            <w:r>
              <w:rPr>
                <w:rFonts w:ascii="Times New Roman"/>
                <w:sz w:val="21"/>
                <w:szCs w:val="21"/>
              </w:rPr>
              <w:t>煤矿</w:t>
            </w:r>
            <w:r>
              <w:rPr>
                <w:rFonts w:ascii="Times New Roman" w:hint="eastAsia"/>
                <w:sz w:val="21"/>
                <w:szCs w:val="21"/>
              </w:rPr>
              <w:t>、丁家梁煤矿</w:t>
            </w:r>
            <w:r>
              <w:rPr>
                <w:rFonts w:ascii="Times New Roman"/>
                <w:sz w:val="21"/>
                <w:szCs w:val="21"/>
              </w:rPr>
              <w:t>工业场地</w:t>
            </w:r>
            <w:r>
              <w:rPr>
                <w:rFonts w:ascii="Times New Roman" w:hint="eastAsia"/>
                <w:sz w:val="21"/>
                <w:szCs w:val="21"/>
              </w:rPr>
              <w:t>燃气</w:t>
            </w:r>
            <w:r>
              <w:rPr>
                <w:rFonts w:ascii="Times New Roman"/>
                <w:sz w:val="21"/>
                <w:szCs w:val="21"/>
              </w:rPr>
              <w:t>锅炉房，主要污染物为</w:t>
            </w:r>
            <w:r>
              <w:rPr>
                <w:rFonts w:ascii="Times New Roman" w:hAnsi="Times New Roman"/>
                <w:sz w:val="21"/>
                <w:szCs w:val="21"/>
              </w:rPr>
              <w:t>NOx</w:t>
            </w:r>
            <w:r>
              <w:rPr>
                <w:rFonts w:ascii="Times New Roman"/>
                <w:sz w:val="21"/>
                <w:szCs w:val="21"/>
              </w:rPr>
              <w:t>。在产生粉尘的生产环节应采取洒水降尘或封闭收尘措施，如含水率小于</w:t>
            </w:r>
            <w:r>
              <w:rPr>
                <w:rFonts w:ascii="Times New Roman"/>
                <w:sz w:val="21"/>
                <w:szCs w:val="21"/>
              </w:rPr>
              <w:t>7%</w:t>
            </w:r>
            <w:r>
              <w:rPr>
                <w:rFonts w:ascii="Times New Roman"/>
                <w:sz w:val="21"/>
                <w:szCs w:val="21"/>
              </w:rPr>
              <w:t>的煤炭进行筛选、破碎、转载时设置除尘设备；煤炭产品不露天、不落地，密闭贮运，设置煤仓或封闭式储煤场；临时矸石场应及时推平、碾压、覆土复垦恢复植被，在倾倒、碾压、覆土过程中应注意洒水降尘。</w:t>
            </w:r>
          </w:p>
        </w:tc>
        <w:tc>
          <w:tcPr>
            <w:tcW w:w="5670" w:type="dxa"/>
            <w:vAlign w:val="center"/>
          </w:tcPr>
          <w:p w14:paraId="338B7BD2" w14:textId="77777777" w:rsidR="009C353B" w:rsidRDefault="00000000">
            <w:pPr>
              <w:adjustRightInd w:val="0"/>
              <w:snapToGrid w:val="0"/>
              <w:spacing w:line="240" w:lineRule="atLeast"/>
              <w:jc w:val="left"/>
              <w:rPr>
                <w:rFonts w:ascii="Times New Roman" w:hint="eastAsia"/>
                <w:sz w:val="21"/>
                <w:szCs w:val="21"/>
              </w:rPr>
            </w:pPr>
            <w:r>
              <w:rPr>
                <w:rFonts w:ascii="Times New Roman" w:hint="eastAsia"/>
                <w:sz w:val="21"/>
                <w:szCs w:val="21"/>
              </w:rPr>
              <w:t>根据《大气污染防治行动计划》</w:t>
            </w:r>
            <w:r>
              <w:rPr>
                <w:rFonts w:ascii="Times New Roman" w:hAnsi="Times New Roman"/>
                <w:sz w:val="21"/>
                <w:szCs w:val="21"/>
              </w:rPr>
              <w:t>矿井工业场地供热锅炉房不得新建每小时</w:t>
            </w:r>
            <w:r>
              <w:rPr>
                <w:rFonts w:ascii="Times New Roman" w:hAnsi="Times New Roman"/>
                <w:sz w:val="21"/>
                <w:szCs w:val="21"/>
              </w:rPr>
              <w:t>10</w:t>
            </w:r>
            <w:r>
              <w:rPr>
                <w:rFonts w:ascii="Times New Roman" w:hAnsi="Times New Roman"/>
                <w:sz w:val="21"/>
                <w:szCs w:val="21"/>
              </w:rPr>
              <w:t>蒸吨以下的燃煤锅炉</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w:t>
            </w:r>
            <w:r>
              <w:rPr>
                <w:rFonts w:ascii="Times New Roman" w:hint="eastAsia"/>
                <w:sz w:val="21"/>
                <w:szCs w:val="21"/>
              </w:rPr>
              <w:t>并</w:t>
            </w:r>
            <w:r>
              <w:rPr>
                <w:rFonts w:ascii="Times New Roman"/>
                <w:sz w:val="21"/>
                <w:szCs w:val="21"/>
              </w:rPr>
              <w:t>采用低氮燃烧技术，</w:t>
            </w:r>
            <w:r>
              <w:rPr>
                <w:rFonts w:ascii="Times New Roman" w:hint="eastAsia"/>
                <w:sz w:val="21"/>
                <w:szCs w:val="21"/>
              </w:rPr>
              <w:t>确保锅炉烟气处理后满足《锅炉大气污染物排放标准》（</w:t>
            </w:r>
            <w:r>
              <w:rPr>
                <w:rFonts w:ascii="Times New Roman" w:hint="eastAsia"/>
                <w:sz w:val="21"/>
                <w:szCs w:val="21"/>
              </w:rPr>
              <w:t>GB13271-2014</w:t>
            </w:r>
            <w:r>
              <w:rPr>
                <w:rFonts w:ascii="Times New Roman" w:hint="eastAsia"/>
                <w:sz w:val="21"/>
                <w:szCs w:val="21"/>
              </w:rPr>
              <w:t>）要求。</w:t>
            </w:r>
            <w:bookmarkStart w:id="330" w:name="_Hlk62121241"/>
            <w:r>
              <w:rPr>
                <w:rFonts w:ascii="Times New Roman"/>
                <w:sz w:val="21"/>
                <w:szCs w:val="21"/>
              </w:rPr>
              <w:t>原煤产品密闭贮运，各产尘点</w:t>
            </w:r>
            <w:r>
              <w:rPr>
                <w:rFonts w:ascii="Times New Roman" w:hint="eastAsia"/>
                <w:sz w:val="21"/>
                <w:szCs w:val="21"/>
              </w:rPr>
              <w:t>设</w:t>
            </w:r>
            <w:r>
              <w:rPr>
                <w:rFonts w:ascii="Times New Roman"/>
                <w:sz w:val="21"/>
                <w:szCs w:val="21"/>
              </w:rPr>
              <w:t>除尘设施或降尘措施</w:t>
            </w:r>
            <w:r>
              <w:rPr>
                <w:rFonts w:ascii="Times New Roman" w:hint="eastAsia"/>
                <w:sz w:val="21"/>
                <w:szCs w:val="21"/>
              </w:rPr>
              <w:t>，同时</w:t>
            </w:r>
            <w:r>
              <w:rPr>
                <w:rFonts w:ascii="Times New Roman"/>
                <w:sz w:val="21"/>
                <w:szCs w:val="21"/>
              </w:rPr>
              <w:t>加强原煤储存</w:t>
            </w:r>
            <w:r>
              <w:rPr>
                <w:rFonts w:ascii="Times New Roman" w:hint="eastAsia"/>
                <w:sz w:val="21"/>
                <w:szCs w:val="21"/>
              </w:rPr>
              <w:t>运输和生产过程中抑尘措施</w:t>
            </w:r>
            <w:bookmarkEnd w:id="330"/>
            <w:r>
              <w:rPr>
                <w:rFonts w:ascii="Times New Roman" w:hint="eastAsia"/>
                <w:sz w:val="21"/>
                <w:szCs w:val="21"/>
              </w:rPr>
              <w:t>，</w:t>
            </w:r>
          </w:p>
        </w:tc>
        <w:tc>
          <w:tcPr>
            <w:tcW w:w="2849" w:type="dxa"/>
            <w:vAlign w:val="center"/>
          </w:tcPr>
          <w:p w14:paraId="0919EC4D" w14:textId="77777777" w:rsidR="009C353B" w:rsidRDefault="00000000">
            <w:pPr>
              <w:topLinePunct/>
              <w:adjustRightInd w:val="0"/>
              <w:snapToGrid w:val="0"/>
              <w:spacing w:line="240" w:lineRule="atLeast"/>
              <w:textAlignment w:val="baseline"/>
              <w:rPr>
                <w:rFonts w:ascii="Times New Roman" w:hAnsi="Times New Roman"/>
                <w:sz w:val="21"/>
                <w:szCs w:val="21"/>
              </w:rPr>
            </w:pPr>
            <w:r>
              <w:rPr>
                <w:rFonts w:ascii="Times New Roman" w:hAnsi="Times New Roman"/>
                <w:sz w:val="21"/>
                <w:szCs w:val="24"/>
              </w:rPr>
              <w:t>《大气污染防治行动计划》</w:t>
            </w:r>
          </w:p>
        </w:tc>
      </w:tr>
      <w:tr w:rsidR="009C353B" w14:paraId="06813E68" w14:textId="77777777">
        <w:trPr>
          <w:trHeight w:val="340"/>
          <w:jc w:val="center"/>
        </w:trPr>
        <w:tc>
          <w:tcPr>
            <w:tcW w:w="675" w:type="dxa"/>
            <w:vMerge/>
            <w:vAlign w:val="center"/>
          </w:tcPr>
          <w:p w14:paraId="6A3CCF2D" w14:textId="77777777" w:rsidR="009C353B" w:rsidRDefault="009C353B">
            <w:pPr>
              <w:adjustRightInd w:val="0"/>
              <w:snapToGrid w:val="0"/>
              <w:spacing w:line="240" w:lineRule="atLeast"/>
              <w:ind w:leftChars="-50" w:left="-120" w:rightChars="-50" w:right="-120"/>
              <w:jc w:val="center"/>
              <w:textAlignment w:val="baseline"/>
              <w:rPr>
                <w:rFonts w:ascii="Times New Roman" w:hAnsi="Times New Roman"/>
                <w:sz w:val="21"/>
                <w:szCs w:val="21"/>
              </w:rPr>
            </w:pPr>
          </w:p>
        </w:tc>
        <w:tc>
          <w:tcPr>
            <w:tcW w:w="709" w:type="dxa"/>
            <w:vMerge/>
            <w:vAlign w:val="center"/>
          </w:tcPr>
          <w:p w14:paraId="39E4F0E0" w14:textId="77777777" w:rsidR="009C353B" w:rsidRDefault="009C353B">
            <w:pPr>
              <w:adjustRightInd w:val="0"/>
              <w:snapToGrid w:val="0"/>
              <w:spacing w:line="240" w:lineRule="atLeast"/>
              <w:jc w:val="center"/>
              <w:rPr>
                <w:rFonts w:ascii="Times New Roman" w:hAnsi="Times New Roman"/>
                <w:sz w:val="21"/>
                <w:szCs w:val="21"/>
              </w:rPr>
            </w:pPr>
          </w:p>
        </w:tc>
        <w:tc>
          <w:tcPr>
            <w:tcW w:w="4281" w:type="dxa"/>
            <w:vAlign w:val="center"/>
          </w:tcPr>
          <w:p w14:paraId="1EF9A110"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b/>
                <w:bCs/>
                <w:sz w:val="21"/>
                <w:szCs w:val="21"/>
              </w:rPr>
              <w:t>水环境保护措施：</w:t>
            </w:r>
            <w:r>
              <w:rPr>
                <w:rFonts w:ascii="Times New Roman" w:hint="eastAsia"/>
                <w:sz w:val="21"/>
                <w:szCs w:val="21"/>
              </w:rPr>
              <w:t>送至临河综合工业园区和宁东煤化工园区工业废水处理厂进行处理后回用宁东煤化工基地企业生产，矿井水利用率不低于</w:t>
            </w:r>
            <w:r>
              <w:rPr>
                <w:rFonts w:ascii="Times New Roman" w:hint="eastAsia"/>
                <w:sz w:val="21"/>
                <w:szCs w:val="21"/>
              </w:rPr>
              <w:t>85%</w:t>
            </w:r>
            <w:r>
              <w:rPr>
                <w:rFonts w:ascii="Times New Roman" w:hint="eastAsia"/>
                <w:sz w:val="21"/>
                <w:szCs w:val="21"/>
              </w:rPr>
              <w:t>。</w:t>
            </w:r>
          </w:p>
          <w:p w14:paraId="69A49490"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b/>
                <w:bCs/>
                <w:sz w:val="21"/>
                <w:szCs w:val="21"/>
              </w:rPr>
              <w:t>固废综合利用措施：</w:t>
            </w:r>
            <w:r>
              <w:rPr>
                <w:rFonts w:ascii="Times New Roman"/>
                <w:sz w:val="21"/>
                <w:szCs w:val="21"/>
              </w:rPr>
              <w:t>固体废物优先考虑综合利用，</w:t>
            </w:r>
            <w:r>
              <w:rPr>
                <w:rFonts w:ascii="Times New Roman" w:hint="eastAsia"/>
                <w:sz w:val="21"/>
                <w:szCs w:val="21"/>
              </w:rPr>
              <w:t>矸石充填井下，利用不畅时</w:t>
            </w:r>
            <w:r>
              <w:rPr>
                <w:rFonts w:ascii="Times New Roman"/>
                <w:sz w:val="21"/>
                <w:szCs w:val="21"/>
              </w:rPr>
              <w:t>可排至地面临时排矸场，用于矿区塌陷区治理。规划区规划选煤厂矸石</w:t>
            </w:r>
            <w:r>
              <w:rPr>
                <w:rFonts w:ascii="Times New Roman" w:hint="eastAsia"/>
                <w:sz w:val="21"/>
                <w:szCs w:val="21"/>
              </w:rPr>
              <w:t>495</w:t>
            </w:r>
            <w:r>
              <w:rPr>
                <w:rFonts w:ascii="Times New Roman"/>
                <w:sz w:val="21"/>
                <w:szCs w:val="21"/>
              </w:rPr>
              <w:t>万</w:t>
            </w:r>
            <w:r>
              <w:rPr>
                <w:rFonts w:ascii="Times New Roman"/>
                <w:sz w:val="21"/>
                <w:szCs w:val="21"/>
              </w:rPr>
              <w:t>t/a</w:t>
            </w:r>
            <w:r>
              <w:rPr>
                <w:rFonts w:ascii="Times New Roman"/>
                <w:sz w:val="21"/>
                <w:szCs w:val="21"/>
              </w:rPr>
              <w:t>，可送至</w:t>
            </w:r>
            <w:r>
              <w:rPr>
                <w:rFonts w:ascii="Times New Roman" w:hint="eastAsia"/>
                <w:sz w:val="21"/>
                <w:szCs w:val="21"/>
              </w:rPr>
              <w:t>灵州</w:t>
            </w:r>
            <w:r>
              <w:rPr>
                <w:rFonts w:ascii="Times New Roman"/>
                <w:sz w:val="21"/>
                <w:szCs w:val="21"/>
              </w:rPr>
              <w:t>矸石</w:t>
            </w:r>
            <w:r>
              <w:rPr>
                <w:rFonts w:ascii="Times New Roman" w:hint="eastAsia"/>
                <w:sz w:val="21"/>
                <w:szCs w:val="21"/>
              </w:rPr>
              <w:t>电</w:t>
            </w:r>
            <w:r>
              <w:rPr>
                <w:rFonts w:ascii="Times New Roman"/>
                <w:sz w:val="21"/>
                <w:szCs w:val="21"/>
              </w:rPr>
              <w:t>厂</w:t>
            </w:r>
            <w:r>
              <w:rPr>
                <w:rFonts w:ascii="Times New Roman" w:hint="eastAsia"/>
                <w:sz w:val="21"/>
                <w:szCs w:val="21"/>
              </w:rPr>
              <w:t>、</w:t>
            </w:r>
            <w:r>
              <w:rPr>
                <w:rFonts w:ascii="Times New Roman"/>
                <w:sz w:val="21"/>
                <w:szCs w:val="21"/>
              </w:rPr>
              <w:t>宝丰低热值煤综合利用电厂综合利用。</w:t>
            </w:r>
          </w:p>
          <w:p w14:paraId="69E44987"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b/>
                <w:bCs/>
                <w:sz w:val="21"/>
                <w:szCs w:val="21"/>
              </w:rPr>
              <w:t>生态保护措施：</w:t>
            </w:r>
            <w:r>
              <w:rPr>
                <w:rFonts w:ascii="Times New Roman"/>
                <w:sz w:val="21"/>
                <w:szCs w:val="21"/>
              </w:rPr>
              <w:t>地表沉陷治理</w:t>
            </w:r>
            <w:r>
              <w:rPr>
                <w:rFonts w:ascii="Times New Roman" w:hint="eastAsia"/>
                <w:sz w:val="21"/>
                <w:szCs w:val="21"/>
              </w:rPr>
              <w:t>与</w:t>
            </w:r>
            <w:r>
              <w:rPr>
                <w:rFonts w:ascii="Times New Roman"/>
                <w:sz w:val="21"/>
                <w:szCs w:val="21"/>
              </w:rPr>
              <w:t>土地复垦、水保措施、绿化措施</w:t>
            </w:r>
          </w:p>
        </w:tc>
        <w:tc>
          <w:tcPr>
            <w:tcW w:w="5670" w:type="dxa"/>
          </w:tcPr>
          <w:p w14:paraId="75E5AB7D" w14:textId="77777777" w:rsidR="009C353B" w:rsidRDefault="00000000">
            <w:pPr>
              <w:adjustRightInd w:val="0"/>
              <w:snapToGrid w:val="0"/>
              <w:spacing w:line="240" w:lineRule="atLeast"/>
              <w:jc w:val="left"/>
              <w:rPr>
                <w:rFonts w:ascii="Times New Roman" w:hint="eastAsia"/>
                <w:sz w:val="21"/>
                <w:szCs w:val="21"/>
              </w:rPr>
            </w:pPr>
            <w:r>
              <w:rPr>
                <w:rFonts w:ascii="Times New Roman" w:hint="eastAsia"/>
                <w:b/>
                <w:bCs/>
                <w:sz w:val="21"/>
                <w:szCs w:val="21"/>
              </w:rPr>
              <w:t>水环境保护措施：</w:t>
            </w:r>
            <w:r>
              <w:rPr>
                <w:rFonts w:ascii="Times New Roman" w:hint="eastAsia"/>
                <w:sz w:val="21"/>
                <w:szCs w:val="21"/>
              </w:rPr>
              <w:t>评价</w:t>
            </w:r>
            <w:r>
              <w:rPr>
                <w:rFonts w:ascii="Times New Roman"/>
                <w:sz w:val="21"/>
                <w:szCs w:val="21"/>
              </w:rPr>
              <w:t>建议矿区优先利用处理后的矿井水、生产生活污水等水源，矿区矿井水处理后，部分回用于煤矿自身作为生产用水，其余剩余部分可送工业园区作为生产用水综合利用，</w:t>
            </w:r>
            <w:r>
              <w:rPr>
                <w:rFonts w:ascii="Times New Roman" w:hint="eastAsia"/>
                <w:sz w:val="21"/>
                <w:szCs w:val="21"/>
              </w:rPr>
              <w:t>矿井水、生产生活污水全部回用。</w:t>
            </w:r>
            <w:r>
              <w:rPr>
                <w:rFonts w:ascii="Times New Roman"/>
                <w:sz w:val="21"/>
                <w:szCs w:val="21"/>
              </w:rPr>
              <w:t>不足部分再利用</w:t>
            </w:r>
            <w:r>
              <w:rPr>
                <w:rFonts w:ascii="Times New Roman" w:hint="eastAsia"/>
                <w:sz w:val="21"/>
                <w:szCs w:val="21"/>
              </w:rPr>
              <w:t>鸭子荡水库</w:t>
            </w:r>
            <w:r>
              <w:rPr>
                <w:rFonts w:ascii="Times New Roman"/>
                <w:sz w:val="21"/>
                <w:szCs w:val="21"/>
              </w:rPr>
              <w:t>地表水源。</w:t>
            </w:r>
          </w:p>
          <w:p w14:paraId="06F0C663" w14:textId="77777777" w:rsidR="009C353B" w:rsidRDefault="00000000">
            <w:pPr>
              <w:adjustRightInd w:val="0"/>
              <w:snapToGrid w:val="0"/>
              <w:spacing w:line="240" w:lineRule="atLeast"/>
              <w:jc w:val="left"/>
              <w:rPr>
                <w:rFonts w:ascii="Times New Roman" w:hint="eastAsia"/>
                <w:sz w:val="21"/>
                <w:szCs w:val="21"/>
              </w:rPr>
            </w:pPr>
            <w:r>
              <w:rPr>
                <w:rFonts w:ascii="Times New Roman" w:hint="eastAsia"/>
                <w:sz w:val="21"/>
                <w:szCs w:val="21"/>
              </w:rPr>
              <w:t>评价建议煤矿</w:t>
            </w:r>
            <w:r>
              <w:rPr>
                <w:rFonts w:ascii="Times New Roman"/>
                <w:sz w:val="21"/>
                <w:szCs w:val="21"/>
              </w:rPr>
              <w:t>生产用水定额</w:t>
            </w:r>
            <w:r>
              <w:rPr>
                <w:rFonts w:ascii="Times New Roman" w:hint="eastAsia"/>
                <w:sz w:val="21"/>
                <w:szCs w:val="21"/>
              </w:rPr>
              <w:t>严格按照</w:t>
            </w:r>
            <w:r>
              <w:rPr>
                <w:rFonts w:ascii="Times New Roman"/>
                <w:sz w:val="21"/>
                <w:szCs w:val="21"/>
              </w:rPr>
              <w:t>《</w:t>
            </w:r>
            <w:r>
              <w:rPr>
                <w:rFonts w:ascii="Times New Roman" w:hint="eastAsia"/>
                <w:sz w:val="21"/>
                <w:szCs w:val="21"/>
              </w:rPr>
              <w:t>煤炭采选业清洁生产评价指标体系</w:t>
            </w:r>
            <w:r>
              <w:rPr>
                <w:rFonts w:ascii="Times New Roman"/>
                <w:sz w:val="21"/>
                <w:szCs w:val="21"/>
              </w:rPr>
              <w:t>》清洁生产水平达到</w:t>
            </w:r>
            <w:r>
              <w:rPr>
                <w:rFonts w:ascii="Times New Roman" w:hint="eastAsia"/>
                <w:sz w:val="21"/>
                <w:szCs w:val="21"/>
              </w:rPr>
              <w:t>Ⅰ级</w:t>
            </w:r>
            <w:r>
              <w:rPr>
                <w:rFonts w:ascii="Times New Roman"/>
                <w:sz w:val="21"/>
                <w:szCs w:val="21"/>
              </w:rPr>
              <w:t>水平指标执行</w:t>
            </w:r>
            <w:r>
              <w:rPr>
                <w:rFonts w:ascii="Times New Roman" w:hint="eastAsia"/>
                <w:sz w:val="21"/>
                <w:szCs w:val="21"/>
              </w:rPr>
              <w:t>。</w:t>
            </w:r>
          </w:p>
          <w:p w14:paraId="5DF76DB3" w14:textId="77777777" w:rsidR="009C353B" w:rsidRDefault="00000000">
            <w:pPr>
              <w:adjustRightInd w:val="0"/>
              <w:snapToGrid w:val="0"/>
              <w:spacing w:line="240" w:lineRule="atLeast"/>
              <w:jc w:val="left"/>
              <w:rPr>
                <w:rFonts w:ascii="Times New Roman" w:hint="eastAsia"/>
                <w:sz w:val="21"/>
                <w:szCs w:val="21"/>
              </w:rPr>
            </w:pPr>
            <w:r>
              <w:rPr>
                <w:rFonts w:ascii="Times New Roman"/>
                <w:sz w:val="21"/>
                <w:szCs w:val="21"/>
              </w:rPr>
              <w:t>矿区矿井水和生产生活污水处理处理后全部回用</w:t>
            </w:r>
            <w:r>
              <w:rPr>
                <w:rFonts w:ascii="Times New Roman" w:hint="eastAsia"/>
                <w:sz w:val="21"/>
                <w:szCs w:val="21"/>
              </w:rPr>
              <w:t>于</w:t>
            </w:r>
            <w:r>
              <w:rPr>
                <w:rFonts w:ascii="Times New Roman"/>
                <w:sz w:val="21"/>
                <w:szCs w:val="21"/>
              </w:rPr>
              <w:t>矿区煤矿生产补充用水，</w:t>
            </w:r>
            <w:r>
              <w:rPr>
                <w:rFonts w:ascii="Times New Roman" w:hint="eastAsia"/>
                <w:sz w:val="21"/>
                <w:szCs w:val="21"/>
              </w:rPr>
              <w:t>若有剩余，则</w:t>
            </w:r>
            <w:r>
              <w:rPr>
                <w:rFonts w:ascii="Times New Roman"/>
                <w:sz w:val="21"/>
                <w:szCs w:val="21"/>
              </w:rPr>
              <w:t>送煤化</w:t>
            </w:r>
            <w:r>
              <w:rPr>
                <w:rFonts w:ascii="Times New Roman" w:hint="eastAsia"/>
                <w:sz w:val="21"/>
                <w:szCs w:val="21"/>
              </w:rPr>
              <w:t>工</w:t>
            </w:r>
            <w:r>
              <w:rPr>
                <w:rFonts w:ascii="Times New Roman"/>
                <w:sz w:val="21"/>
                <w:szCs w:val="21"/>
              </w:rPr>
              <w:t>园</w:t>
            </w:r>
            <w:r>
              <w:rPr>
                <w:rFonts w:ascii="Times New Roman" w:hint="eastAsia"/>
                <w:sz w:val="21"/>
                <w:szCs w:val="21"/>
              </w:rPr>
              <w:t>区</w:t>
            </w:r>
            <w:r>
              <w:rPr>
                <w:rFonts w:ascii="Times New Roman"/>
                <w:sz w:val="21"/>
                <w:szCs w:val="21"/>
              </w:rPr>
              <w:t>作为生产水源</w:t>
            </w:r>
            <w:r>
              <w:rPr>
                <w:rFonts w:ascii="Times New Roman" w:hint="eastAsia"/>
                <w:sz w:val="21"/>
                <w:szCs w:val="21"/>
              </w:rPr>
              <w:t>，矿井水利用率达到</w:t>
            </w:r>
            <w:r>
              <w:rPr>
                <w:rFonts w:ascii="Times New Roman" w:hint="eastAsia"/>
                <w:sz w:val="21"/>
                <w:szCs w:val="21"/>
              </w:rPr>
              <w:t>1</w:t>
            </w:r>
            <w:r>
              <w:rPr>
                <w:rFonts w:ascii="Times New Roman"/>
                <w:sz w:val="21"/>
                <w:szCs w:val="21"/>
              </w:rPr>
              <w:t>00</w:t>
            </w:r>
            <w:r>
              <w:rPr>
                <w:rFonts w:ascii="Times New Roman" w:hint="eastAsia"/>
                <w:sz w:val="21"/>
                <w:szCs w:val="21"/>
              </w:rPr>
              <w:t>%</w:t>
            </w:r>
            <w:r>
              <w:rPr>
                <w:rFonts w:ascii="Times New Roman" w:hint="eastAsia"/>
                <w:sz w:val="21"/>
                <w:szCs w:val="21"/>
              </w:rPr>
              <w:t>。</w:t>
            </w:r>
          </w:p>
          <w:p w14:paraId="78384C88" w14:textId="77777777" w:rsidR="009C353B" w:rsidRDefault="00000000">
            <w:pPr>
              <w:adjustRightInd w:val="0"/>
              <w:snapToGrid w:val="0"/>
              <w:spacing w:line="240" w:lineRule="atLeast"/>
              <w:jc w:val="left"/>
              <w:rPr>
                <w:rFonts w:ascii="Times New Roman" w:hint="eastAsia"/>
                <w:b/>
                <w:bCs/>
                <w:sz w:val="21"/>
                <w:szCs w:val="21"/>
              </w:rPr>
            </w:pPr>
            <w:r>
              <w:rPr>
                <w:rFonts w:ascii="Times New Roman"/>
                <w:b/>
                <w:bCs/>
                <w:sz w:val="21"/>
                <w:szCs w:val="21"/>
              </w:rPr>
              <w:t>固废综合利用措施：</w:t>
            </w:r>
          </w:p>
          <w:p w14:paraId="22DCFBD0" w14:textId="77777777" w:rsidR="009C353B" w:rsidRDefault="00000000">
            <w:pPr>
              <w:adjustRightInd w:val="0"/>
              <w:snapToGrid w:val="0"/>
              <w:spacing w:line="240" w:lineRule="atLeast"/>
              <w:jc w:val="left"/>
              <w:rPr>
                <w:rFonts w:ascii="Times New Roman" w:hint="eastAsia"/>
                <w:b/>
                <w:bCs/>
                <w:sz w:val="21"/>
                <w:szCs w:val="21"/>
              </w:rPr>
            </w:pPr>
            <w:r>
              <w:rPr>
                <w:rFonts w:ascii="Times New Roman" w:hint="eastAsia"/>
                <w:sz w:val="21"/>
                <w:szCs w:val="21"/>
              </w:rPr>
              <w:t>矿区在后续开发过程中，可研究探索实施充填开采等方式，对压覆区煤炭资源进行回收，一方面提高了煤炭资源回收率，另一方面也可处置大量矸石、粉煤灰等矿区产生大量工业固体废物。</w:t>
            </w:r>
          </w:p>
          <w:p w14:paraId="12B51E87" w14:textId="77777777" w:rsidR="009C353B" w:rsidRDefault="00000000">
            <w:pPr>
              <w:adjustRightInd w:val="0"/>
              <w:snapToGrid w:val="0"/>
              <w:spacing w:line="240" w:lineRule="atLeast"/>
              <w:jc w:val="left"/>
              <w:rPr>
                <w:rFonts w:ascii="Times New Roman" w:hint="eastAsia"/>
                <w:sz w:val="21"/>
                <w:szCs w:val="21"/>
              </w:rPr>
            </w:pPr>
            <w:r>
              <w:rPr>
                <w:rFonts w:ascii="Times New Roman" w:hint="eastAsia"/>
                <w:sz w:val="21"/>
                <w:szCs w:val="21"/>
              </w:rPr>
              <w:t>评价</w:t>
            </w:r>
            <w:r>
              <w:rPr>
                <w:rFonts w:ascii="Times New Roman"/>
                <w:sz w:val="21"/>
                <w:szCs w:val="21"/>
              </w:rPr>
              <w:t>建议矿区</w:t>
            </w:r>
            <w:r>
              <w:rPr>
                <w:rFonts w:ascii="Times New Roman" w:hint="eastAsia"/>
                <w:sz w:val="21"/>
                <w:szCs w:val="21"/>
              </w:rPr>
              <w:t>加强对危险废物的管理与处置，各矿应按标准建设危废暂存库并将危废交由资质的公司进行处置。</w:t>
            </w:r>
          </w:p>
          <w:p w14:paraId="4960CADA" w14:textId="77777777" w:rsidR="009C353B" w:rsidRDefault="00000000">
            <w:pPr>
              <w:adjustRightInd w:val="0"/>
              <w:snapToGrid w:val="0"/>
              <w:spacing w:line="240" w:lineRule="atLeast"/>
              <w:jc w:val="left"/>
              <w:rPr>
                <w:rFonts w:ascii="Times New Roman" w:hint="eastAsia"/>
                <w:sz w:val="21"/>
                <w:szCs w:val="21"/>
              </w:rPr>
            </w:pPr>
            <w:r>
              <w:rPr>
                <w:rFonts w:ascii="Times New Roman"/>
                <w:b/>
                <w:bCs/>
                <w:sz w:val="21"/>
                <w:szCs w:val="21"/>
              </w:rPr>
              <w:t>生态保护措施：</w:t>
            </w:r>
            <w:r>
              <w:rPr>
                <w:rFonts w:ascii="Times New Roman" w:hint="eastAsia"/>
                <w:sz w:val="21"/>
                <w:szCs w:val="21"/>
              </w:rPr>
              <w:t>评价</w:t>
            </w:r>
            <w:r>
              <w:rPr>
                <w:rFonts w:ascii="Times New Roman"/>
                <w:sz w:val="21"/>
                <w:szCs w:val="21"/>
              </w:rPr>
              <w:t>建议按照本报告要求进行生态恢复，并</w:t>
            </w:r>
            <w:r>
              <w:rPr>
                <w:rFonts w:ascii="Times New Roman" w:hint="eastAsia"/>
                <w:sz w:val="21"/>
                <w:szCs w:val="21"/>
              </w:rPr>
              <w:t>保证恢复效果</w:t>
            </w:r>
          </w:p>
        </w:tc>
        <w:tc>
          <w:tcPr>
            <w:tcW w:w="2849" w:type="dxa"/>
            <w:vMerge w:val="restart"/>
            <w:vAlign w:val="center"/>
          </w:tcPr>
          <w:p w14:paraId="2152F4AC" w14:textId="77777777" w:rsidR="009C353B" w:rsidRDefault="00000000">
            <w:pPr>
              <w:topLinePunct/>
              <w:adjustRightInd w:val="0"/>
              <w:snapToGrid w:val="0"/>
              <w:spacing w:line="240" w:lineRule="atLeast"/>
              <w:textAlignment w:val="baseline"/>
              <w:rPr>
                <w:rFonts w:ascii="Times New Roman" w:hAnsi="Times New Roman"/>
                <w:sz w:val="21"/>
                <w:szCs w:val="21"/>
              </w:rPr>
            </w:pPr>
            <w:r>
              <w:rPr>
                <w:rFonts w:ascii="Times New Roman"/>
                <w:sz w:val="21"/>
                <w:szCs w:val="21"/>
              </w:rPr>
              <w:t>矿区环境保护规划较为简单，缺乏针对性和全局性，未能从生态系统、区域水资源、大气环境总量的角度去规划设计，未能从循环经济的角度，对矿区环境保护进行规划。</w:t>
            </w:r>
          </w:p>
        </w:tc>
      </w:tr>
      <w:tr w:rsidR="009C353B" w14:paraId="6BF4420A" w14:textId="77777777">
        <w:trPr>
          <w:trHeight w:val="340"/>
          <w:jc w:val="center"/>
        </w:trPr>
        <w:tc>
          <w:tcPr>
            <w:tcW w:w="675" w:type="dxa"/>
            <w:vMerge/>
            <w:vAlign w:val="center"/>
          </w:tcPr>
          <w:p w14:paraId="2743E00B" w14:textId="77777777" w:rsidR="009C353B" w:rsidRDefault="009C353B">
            <w:pPr>
              <w:adjustRightInd w:val="0"/>
              <w:snapToGrid w:val="0"/>
              <w:spacing w:line="240" w:lineRule="atLeast"/>
              <w:ind w:leftChars="-50" w:left="-120" w:rightChars="-50" w:right="-120"/>
              <w:jc w:val="center"/>
              <w:textAlignment w:val="baseline"/>
              <w:rPr>
                <w:rFonts w:ascii="Times New Roman" w:hAnsi="Times New Roman"/>
                <w:sz w:val="21"/>
                <w:szCs w:val="21"/>
              </w:rPr>
            </w:pPr>
          </w:p>
        </w:tc>
        <w:tc>
          <w:tcPr>
            <w:tcW w:w="709" w:type="dxa"/>
            <w:vMerge/>
            <w:vAlign w:val="center"/>
          </w:tcPr>
          <w:p w14:paraId="71F6CBAD" w14:textId="77777777" w:rsidR="009C353B" w:rsidRDefault="009C353B">
            <w:pPr>
              <w:adjustRightInd w:val="0"/>
              <w:snapToGrid w:val="0"/>
              <w:spacing w:line="240" w:lineRule="atLeast"/>
              <w:jc w:val="center"/>
              <w:rPr>
                <w:rFonts w:ascii="Times New Roman" w:hAnsi="Times New Roman"/>
                <w:sz w:val="21"/>
                <w:szCs w:val="21"/>
              </w:rPr>
            </w:pPr>
          </w:p>
        </w:tc>
        <w:tc>
          <w:tcPr>
            <w:tcW w:w="4281" w:type="dxa"/>
            <w:vAlign w:val="center"/>
          </w:tcPr>
          <w:p w14:paraId="23F0A934" w14:textId="77777777" w:rsidR="009C353B" w:rsidRDefault="00000000">
            <w:pPr>
              <w:topLinePunct/>
              <w:adjustRightInd w:val="0"/>
              <w:snapToGrid w:val="0"/>
              <w:spacing w:line="240" w:lineRule="atLeast"/>
              <w:jc w:val="left"/>
              <w:textAlignment w:val="baseline"/>
              <w:rPr>
                <w:rFonts w:ascii="Times New Roman" w:hint="eastAsia"/>
                <w:sz w:val="21"/>
                <w:szCs w:val="21"/>
              </w:rPr>
            </w:pPr>
            <w:r>
              <w:rPr>
                <w:rFonts w:ascii="Times New Roman" w:hint="eastAsia"/>
                <w:b/>
                <w:bCs/>
                <w:sz w:val="21"/>
                <w:szCs w:val="21"/>
              </w:rPr>
              <w:t>环境管理措施：</w:t>
            </w:r>
            <w:r>
              <w:rPr>
                <w:rFonts w:ascii="Times New Roman" w:hint="eastAsia"/>
                <w:sz w:val="21"/>
                <w:szCs w:val="21"/>
              </w:rPr>
              <w:t>贯彻执行有关环境保护法规，正确处理环境开发与环境保护的关系，实现工程项目的社会效益、经济效益和环境效益的统一，掌握污染控制措施效果，为基地的环境管理和环境规划提供依据，为此，横城矿区内的各煤矿需设立环境保护管理机构。负责建设项目施工期和运行期的环境管理和环境监控工作。推广、引进先进环境保护技术和经验。矿区设环境监测专职机构和人员，建立环境监测中心站，配必要的监测手段。</w:t>
            </w:r>
          </w:p>
        </w:tc>
        <w:tc>
          <w:tcPr>
            <w:tcW w:w="5670" w:type="dxa"/>
          </w:tcPr>
          <w:p w14:paraId="62980562" w14:textId="77777777" w:rsidR="009C353B" w:rsidRDefault="00000000">
            <w:pPr>
              <w:adjustRightInd w:val="0"/>
              <w:snapToGrid w:val="0"/>
              <w:spacing w:line="240" w:lineRule="atLeast"/>
              <w:jc w:val="left"/>
              <w:rPr>
                <w:rFonts w:hint="eastAsia"/>
              </w:rPr>
            </w:pPr>
            <w:r>
              <w:rPr>
                <w:rFonts w:ascii="Times New Roman" w:hint="eastAsia"/>
                <w:b/>
                <w:bCs/>
                <w:sz w:val="21"/>
                <w:szCs w:val="21"/>
              </w:rPr>
              <w:t>环境管理措施：</w:t>
            </w:r>
            <w:r>
              <w:rPr>
                <w:rFonts w:ascii="Times New Roman" w:hint="eastAsia"/>
                <w:sz w:val="21"/>
                <w:szCs w:val="21"/>
              </w:rPr>
              <w:t>评价</w:t>
            </w:r>
            <w:r>
              <w:rPr>
                <w:rFonts w:ascii="Times New Roman"/>
                <w:sz w:val="21"/>
                <w:szCs w:val="21"/>
              </w:rPr>
              <w:t>建议</w:t>
            </w:r>
            <w:r>
              <w:rPr>
                <w:rFonts w:ascii="Times New Roman" w:hint="eastAsia"/>
                <w:sz w:val="21"/>
                <w:szCs w:val="21"/>
              </w:rPr>
              <w:t>矿区</w:t>
            </w:r>
            <w:r>
              <w:rPr>
                <w:rFonts w:ascii="Times New Roman"/>
                <w:sz w:val="21"/>
                <w:szCs w:val="21"/>
              </w:rPr>
              <w:t>开发过程中应</w:t>
            </w:r>
            <w:r>
              <w:rPr>
                <w:rFonts w:ascii="Times New Roman" w:hint="eastAsia"/>
                <w:sz w:val="21"/>
                <w:szCs w:val="21"/>
              </w:rPr>
              <w:t>加强矿区环境管理，</w:t>
            </w:r>
            <w:r>
              <w:rPr>
                <w:rFonts w:ascii="Times New Roman"/>
                <w:sz w:val="21"/>
                <w:szCs w:val="21"/>
              </w:rPr>
              <w:t>建立生态恢复规划和</w:t>
            </w:r>
            <w:r>
              <w:rPr>
                <w:rFonts w:ascii="Times New Roman" w:hint="eastAsia"/>
                <w:sz w:val="21"/>
                <w:szCs w:val="21"/>
              </w:rPr>
              <w:t>年度</w:t>
            </w:r>
            <w:r>
              <w:rPr>
                <w:rFonts w:ascii="Times New Roman"/>
                <w:sz w:val="21"/>
                <w:szCs w:val="21"/>
              </w:rPr>
              <w:t>实施计划</w:t>
            </w:r>
            <w:r>
              <w:rPr>
                <w:rFonts w:ascii="Times New Roman" w:hint="eastAsia"/>
                <w:sz w:val="21"/>
                <w:szCs w:val="21"/>
              </w:rPr>
              <w:t>。矿区应建立长期的地表岩移、地下水观测和生态监测机制，</w:t>
            </w:r>
            <w:r>
              <w:rPr>
                <w:rFonts w:ascii="Times New Roman"/>
                <w:sz w:val="21"/>
                <w:szCs w:val="21"/>
              </w:rPr>
              <w:t>尤其</w:t>
            </w:r>
            <w:r>
              <w:rPr>
                <w:rFonts w:ascii="Times New Roman" w:hint="eastAsia"/>
                <w:sz w:val="21"/>
                <w:szCs w:val="21"/>
              </w:rPr>
              <w:t>应</w:t>
            </w:r>
            <w:r>
              <w:rPr>
                <w:rFonts w:ascii="Times New Roman"/>
                <w:sz w:val="21"/>
                <w:szCs w:val="21"/>
              </w:rPr>
              <w:t>加强对自然保护区的生态和沉陷观测</w:t>
            </w:r>
            <w:r>
              <w:rPr>
                <w:rFonts w:ascii="Times New Roman" w:hint="eastAsia"/>
                <w:sz w:val="21"/>
                <w:szCs w:val="21"/>
              </w:rPr>
              <w:t>，并根据影响情况及时提出相关对策措施。</w:t>
            </w:r>
          </w:p>
        </w:tc>
        <w:tc>
          <w:tcPr>
            <w:tcW w:w="2849" w:type="dxa"/>
            <w:vMerge/>
            <w:vAlign w:val="center"/>
          </w:tcPr>
          <w:p w14:paraId="7D13641A" w14:textId="77777777" w:rsidR="009C353B" w:rsidRDefault="009C353B">
            <w:pPr>
              <w:topLinePunct/>
              <w:adjustRightInd w:val="0"/>
              <w:snapToGrid w:val="0"/>
              <w:spacing w:line="240" w:lineRule="atLeast"/>
              <w:textAlignment w:val="baseline"/>
              <w:rPr>
                <w:rFonts w:ascii="Times New Roman" w:hint="eastAsia"/>
                <w:sz w:val="21"/>
                <w:szCs w:val="21"/>
              </w:rPr>
            </w:pPr>
          </w:p>
        </w:tc>
      </w:tr>
    </w:tbl>
    <w:p w14:paraId="14965892" w14:textId="77777777" w:rsidR="009C353B" w:rsidRDefault="009C353B">
      <w:pPr>
        <w:adjustRightInd w:val="0"/>
        <w:snapToGrid w:val="0"/>
        <w:spacing w:line="440" w:lineRule="exact"/>
        <w:ind w:firstLineChars="200" w:firstLine="480"/>
        <w:rPr>
          <w:rFonts w:ascii="Times New Roman" w:hint="eastAsia"/>
          <w:szCs w:val="24"/>
        </w:rPr>
        <w:sectPr w:rsidR="009C353B">
          <w:headerReference w:type="default" r:id="rId472"/>
          <w:pgSz w:w="16838" w:h="11906" w:orient="landscape"/>
          <w:pgMar w:top="1701" w:right="1418" w:bottom="1418" w:left="1418" w:header="1134" w:footer="1021" w:gutter="0"/>
          <w:paperSrc w:first="7" w:other="7"/>
          <w:cols w:space="720"/>
          <w:docGrid w:linePitch="326"/>
        </w:sectPr>
      </w:pPr>
    </w:p>
    <w:p w14:paraId="66D091E8" w14:textId="77777777" w:rsidR="009C353B" w:rsidRDefault="00000000">
      <w:pPr>
        <w:keepNext/>
        <w:keepLines/>
        <w:snapToGrid w:val="0"/>
        <w:spacing w:before="260" w:after="260" w:line="440" w:lineRule="exact"/>
        <w:outlineLvl w:val="1"/>
        <w:rPr>
          <w:rFonts w:ascii="Times New Roman" w:hAnsi="Times New Roman"/>
          <w:b/>
          <w:bCs/>
          <w:sz w:val="28"/>
          <w:szCs w:val="32"/>
        </w:rPr>
      </w:pPr>
      <w:bookmarkStart w:id="331" w:name="_Toc404871935"/>
      <w:bookmarkStart w:id="332" w:name="_Toc59189869"/>
      <w:bookmarkStart w:id="333" w:name="_Toc400875121"/>
      <w:r>
        <w:rPr>
          <w:rFonts w:ascii="Times New Roman" w:hAnsi="Times New Roman"/>
          <w:b/>
          <w:bCs/>
          <w:sz w:val="28"/>
          <w:szCs w:val="32"/>
        </w:rPr>
        <w:t>8</w:t>
      </w:r>
      <w:r>
        <w:rPr>
          <w:rFonts w:ascii="Times New Roman" w:hAnsi="Times New Roman" w:hint="eastAsia"/>
          <w:b/>
          <w:bCs/>
          <w:sz w:val="28"/>
          <w:szCs w:val="32"/>
        </w:rPr>
        <w:t>.</w:t>
      </w:r>
      <w:r>
        <w:rPr>
          <w:rFonts w:ascii="Times New Roman" w:hAnsi="Times New Roman"/>
          <w:b/>
          <w:bCs/>
          <w:sz w:val="28"/>
          <w:szCs w:val="32"/>
        </w:rPr>
        <w:t>8</w:t>
      </w:r>
      <w:r>
        <w:rPr>
          <w:rFonts w:ascii="Times New Roman" w:hAnsi="Times New Roman" w:hint="eastAsia"/>
          <w:b/>
          <w:bCs/>
          <w:sz w:val="28"/>
          <w:szCs w:val="32"/>
        </w:rPr>
        <w:t xml:space="preserve"> </w:t>
      </w:r>
      <w:r>
        <w:rPr>
          <w:rFonts w:ascii="Times New Roman" w:hAnsi="Times New Roman" w:hint="eastAsia"/>
          <w:b/>
          <w:bCs/>
          <w:sz w:val="28"/>
          <w:szCs w:val="32"/>
        </w:rPr>
        <w:t>矿区规划项目环境准入条件</w:t>
      </w:r>
      <w:bookmarkEnd w:id="331"/>
      <w:bookmarkEnd w:id="332"/>
      <w:bookmarkEnd w:id="333"/>
    </w:p>
    <w:p w14:paraId="6A7A6C50" w14:textId="77777777" w:rsidR="009C353B" w:rsidRDefault="00000000">
      <w:pPr>
        <w:spacing w:line="440" w:lineRule="exact"/>
        <w:ind w:firstLine="482"/>
        <w:rPr>
          <w:rFonts w:ascii="Times New Roman" w:hAnsi="Times New Roman"/>
          <w:szCs w:val="24"/>
        </w:rPr>
      </w:pPr>
      <w:r>
        <w:rPr>
          <w:rFonts w:ascii="Times New Roman" w:hAnsi="Times New Roman"/>
          <w:szCs w:val="24"/>
        </w:rPr>
        <w:t>综合前文分析，下阶段建设项目环境准入还应满足如下要求：</w:t>
      </w:r>
    </w:p>
    <w:p w14:paraId="759A1CA4" w14:textId="77777777" w:rsidR="009C353B" w:rsidRDefault="00000000">
      <w:pPr>
        <w:spacing w:line="440" w:lineRule="exact"/>
        <w:ind w:firstLine="482"/>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）清洁生产水平</w:t>
      </w:r>
    </w:p>
    <w:p w14:paraId="3449A8C7" w14:textId="77777777" w:rsidR="009C353B" w:rsidRDefault="00000000">
      <w:pPr>
        <w:spacing w:line="440" w:lineRule="exact"/>
        <w:ind w:firstLine="482"/>
        <w:rPr>
          <w:rFonts w:ascii="Times New Roman" w:hAnsi="Times New Roman"/>
          <w:szCs w:val="24"/>
        </w:rPr>
      </w:pPr>
      <w:r>
        <w:rPr>
          <w:rFonts w:ascii="Times New Roman" w:hAnsi="Times New Roman" w:hint="eastAsia"/>
          <w:szCs w:val="24"/>
        </w:rPr>
        <w:t>矿区规划的矿井均应按照行业清洁生产标准中的Ⅰ级</w:t>
      </w:r>
      <w:r>
        <w:rPr>
          <w:rFonts w:ascii="Times New Roman" w:hAnsi="Times New Roman"/>
        </w:rPr>
        <w:t>水平</w:t>
      </w:r>
      <w:r>
        <w:rPr>
          <w:rFonts w:ascii="Times New Roman" w:hAnsi="Times New Roman"/>
          <w:szCs w:val="24"/>
        </w:rPr>
        <w:t>要求</w:t>
      </w:r>
      <w:r>
        <w:rPr>
          <w:rFonts w:ascii="Times New Roman" w:hAnsi="Times New Roman" w:hint="eastAsia"/>
          <w:szCs w:val="24"/>
        </w:rPr>
        <w:t>进行设计、建设和运营。</w:t>
      </w:r>
    </w:p>
    <w:p w14:paraId="08DCB509" w14:textId="77777777" w:rsidR="009C353B" w:rsidRDefault="00000000">
      <w:pPr>
        <w:spacing w:line="440" w:lineRule="exact"/>
        <w:ind w:firstLine="482"/>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）节能减排</w:t>
      </w:r>
    </w:p>
    <w:p w14:paraId="1619CC79" w14:textId="77777777" w:rsidR="009C353B" w:rsidRDefault="00000000">
      <w:pPr>
        <w:spacing w:line="440" w:lineRule="exact"/>
        <w:ind w:firstLine="482"/>
        <w:rPr>
          <w:rFonts w:ascii="Times New Roman" w:hAnsi="Times New Roman"/>
          <w:szCs w:val="24"/>
        </w:rPr>
      </w:pPr>
      <w:r>
        <w:rPr>
          <w:rFonts w:ascii="Times New Roman" w:hAnsi="Times New Roman"/>
          <w:szCs w:val="24"/>
        </w:rPr>
        <w:t>1</w:t>
      </w:r>
      <w:r>
        <w:rPr>
          <w:rFonts w:ascii="Times New Roman" w:hAnsi="Times New Roman" w:hint="eastAsia"/>
          <w:szCs w:val="24"/>
        </w:rPr>
        <w:t>）矿区各项目应本着循环经济“</w:t>
      </w:r>
      <w:r>
        <w:rPr>
          <w:rFonts w:ascii="Times New Roman" w:hAnsi="Times New Roman" w:hint="eastAsia"/>
          <w:szCs w:val="24"/>
        </w:rPr>
        <w:t>3R</w:t>
      </w:r>
      <w:r>
        <w:rPr>
          <w:rFonts w:ascii="Times New Roman" w:hAnsi="Times New Roman" w:hint="eastAsia"/>
          <w:szCs w:val="24"/>
        </w:rPr>
        <w:t>”原则实施，矿区生活污水应处理后全部回用，禁止外排；矿井水处理后应回用作为矿区生产用水水源，剩余部分可用于</w:t>
      </w:r>
      <w:r>
        <w:rPr>
          <w:rFonts w:ascii="Times New Roman" w:hAnsi="Times New Roman"/>
          <w:szCs w:val="24"/>
        </w:rPr>
        <w:t>化产业园</w:t>
      </w:r>
      <w:r>
        <w:rPr>
          <w:rFonts w:ascii="Times New Roman" w:hAnsi="Times New Roman" w:hint="eastAsia"/>
          <w:szCs w:val="24"/>
        </w:rPr>
        <w:t>项目作为生产用水，禁止排放。</w:t>
      </w:r>
    </w:p>
    <w:p w14:paraId="76C60C41" w14:textId="77777777" w:rsidR="009C353B" w:rsidRDefault="00000000">
      <w:pPr>
        <w:spacing w:line="440" w:lineRule="exact"/>
        <w:ind w:firstLine="482"/>
        <w:rPr>
          <w:rFonts w:ascii="Times New Roman" w:hAnsi="Times New Roman"/>
          <w:szCs w:val="24"/>
        </w:rPr>
      </w:pPr>
      <w:r>
        <w:rPr>
          <w:rFonts w:ascii="Times New Roman" w:hAnsi="Times New Roman"/>
          <w:szCs w:val="24"/>
        </w:rPr>
        <w:t>2</w:t>
      </w:r>
      <w:r>
        <w:rPr>
          <w:rFonts w:ascii="Times New Roman" w:hAnsi="Times New Roman" w:hint="eastAsia"/>
          <w:szCs w:val="24"/>
        </w:rPr>
        <w:t>）</w:t>
      </w:r>
      <w:r>
        <w:rPr>
          <w:rFonts w:ascii="Times New Roman" w:hAnsi="Times New Roman"/>
          <w:szCs w:val="24"/>
        </w:rPr>
        <w:t>煤矿</w:t>
      </w:r>
      <w:r>
        <w:rPr>
          <w:rFonts w:ascii="Times New Roman" w:hAnsi="Times New Roman" w:hint="eastAsia"/>
          <w:szCs w:val="24"/>
        </w:rPr>
        <w:t>供热燃气</w:t>
      </w:r>
      <w:r>
        <w:rPr>
          <w:rFonts w:ascii="Times New Roman" w:hAnsi="Times New Roman"/>
          <w:szCs w:val="24"/>
        </w:rPr>
        <w:t>锅炉的脱</w:t>
      </w:r>
      <w:r>
        <w:rPr>
          <w:rFonts w:ascii="Times New Roman" w:hAnsi="Times New Roman" w:hint="eastAsia"/>
          <w:szCs w:val="24"/>
        </w:rPr>
        <w:t>硝</w:t>
      </w:r>
      <w:r>
        <w:rPr>
          <w:rFonts w:ascii="Times New Roman" w:hAnsi="Times New Roman"/>
          <w:szCs w:val="24"/>
        </w:rPr>
        <w:t>效率</w:t>
      </w:r>
      <w:r>
        <w:rPr>
          <w:rFonts w:ascii="Times New Roman" w:hAnsi="Times New Roman" w:hint="eastAsia"/>
          <w:szCs w:val="24"/>
        </w:rPr>
        <w:t>应满足达标排放要求</w:t>
      </w:r>
      <w:r>
        <w:rPr>
          <w:rFonts w:ascii="Times New Roman" w:hAnsi="Times New Roman"/>
          <w:szCs w:val="24"/>
        </w:rPr>
        <w:t>。</w:t>
      </w:r>
    </w:p>
    <w:p w14:paraId="26D112B3" w14:textId="77777777" w:rsidR="009C353B" w:rsidRDefault="00000000">
      <w:pPr>
        <w:spacing w:line="440" w:lineRule="exact"/>
        <w:ind w:firstLine="482"/>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）总量控制</w:t>
      </w:r>
    </w:p>
    <w:p w14:paraId="3DC724E2" w14:textId="77777777" w:rsidR="009C353B" w:rsidRDefault="00000000">
      <w:pPr>
        <w:adjustRightInd w:val="0"/>
        <w:snapToGrid w:val="0"/>
        <w:spacing w:line="440" w:lineRule="exact"/>
        <w:ind w:firstLineChars="200" w:firstLine="480"/>
        <w:rPr>
          <w:rFonts w:hint="eastAsia"/>
        </w:rPr>
      </w:pPr>
      <w:r>
        <w:rPr>
          <w:rFonts w:hint="eastAsia"/>
        </w:rPr>
        <w:t>矿区规划建设项目实施前必须先取得各项污染物排放总量控制指标，没有取得污染物排放总量指标的，一律禁止建设。并应</w:t>
      </w:r>
      <w:r>
        <w:t>按要求办理</w:t>
      </w:r>
      <w:r>
        <w:rPr>
          <w:rFonts w:hint="eastAsia"/>
        </w:rPr>
        <w:t>排污许可证。</w:t>
      </w:r>
    </w:p>
    <w:p w14:paraId="1BDED35C" w14:textId="77777777" w:rsidR="009C353B" w:rsidRDefault="00000000">
      <w:pPr>
        <w:pStyle w:val="2"/>
        <w:adjustRightInd w:val="0"/>
        <w:snapToGrid w:val="0"/>
        <w:spacing w:line="440" w:lineRule="exact"/>
        <w:jc w:val="left"/>
        <w:rPr>
          <w:rFonts w:ascii="Times New Roman" w:eastAsia="宋体" w:hAnsi="Times New Roman"/>
          <w:b/>
          <w:sz w:val="28"/>
        </w:rPr>
      </w:pPr>
      <w:bookmarkStart w:id="334" w:name="_Toc247104484"/>
      <w:bookmarkStart w:id="335" w:name="_Toc255477139"/>
      <w:bookmarkStart w:id="336" w:name="_Toc59189870"/>
      <w:r>
        <w:rPr>
          <w:rFonts w:ascii="Times New Roman" w:eastAsia="宋体" w:hAnsi="Times New Roman"/>
          <w:b/>
          <w:sz w:val="28"/>
        </w:rPr>
        <w:t xml:space="preserve">8.9 </w:t>
      </w:r>
      <w:r>
        <w:rPr>
          <w:rFonts w:ascii="Times New Roman" w:eastAsia="宋体" w:hAnsi="Times New Roman"/>
          <w:b/>
          <w:sz w:val="28"/>
        </w:rPr>
        <w:t>矿区规划实施环境目标可达性分析</w:t>
      </w:r>
      <w:bookmarkEnd w:id="334"/>
      <w:bookmarkEnd w:id="335"/>
      <w:bookmarkEnd w:id="336"/>
    </w:p>
    <w:p w14:paraId="4E5F416B"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报告利用第五章构建的矿区规划环境影响评价指标体系，分析矿区提出规划指标在环境目标上的可达性，</w:t>
      </w:r>
      <w:r>
        <w:rPr>
          <w:rFonts w:ascii="Times New Roman"/>
          <w:szCs w:val="24"/>
        </w:rPr>
        <w:t>并提出达到这些指标值需要采取的措施。</w:t>
      </w:r>
      <w:r>
        <w:rPr>
          <w:rFonts w:ascii="Times New Roman" w:hAnsi="Times New Roman"/>
          <w:szCs w:val="24"/>
        </w:rPr>
        <w:t>矿区环境目标可达性分析见下表</w:t>
      </w:r>
      <w:r>
        <w:rPr>
          <w:rFonts w:ascii="Times New Roman" w:hAnsi="Times New Roman"/>
          <w:szCs w:val="24"/>
        </w:rPr>
        <w:t>8.9-1</w:t>
      </w:r>
      <w:r>
        <w:rPr>
          <w:rFonts w:ascii="Times New Roman" w:hAnsi="Times New Roman"/>
          <w:szCs w:val="24"/>
        </w:rPr>
        <w:t>。</w:t>
      </w:r>
    </w:p>
    <w:p w14:paraId="375D8D46" w14:textId="77777777" w:rsidR="009C353B" w:rsidRDefault="00000000">
      <w:pPr>
        <w:adjustRightInd w:val="0"/>
        <w:snapToGrid w:val="0"/>
        <w:spacing w:line="440" w:lineRule="exact"/>
        <w:ind w:firstLineChars="200" w:firstLine="480"/>
        <w:rPr>
          <w:rFonts w:hint="eastAsia"/>
        </w:rPr>
      </w:pPr>
      <w:r>
        <w:rPr>
          <w:rFonts w:ascii="Times New Roman"/>
          <w:szCs w:val="24"/>
        </w:rPr>
        <w:t>由表</w:t>
      </w:r>
      <w:r>
        <w:rPr>
          <w:rFonts w:ascii="Times New Roman" w:hAnsi="Times New Roman"/>
          <w:szCs w:val="24"/>
        </w:rPr>
        <w:t>8.9-1</w:t>
      </w:r>
      <w:r>
        <w:rPr>
          <w:rFonts w:ascii="Times New Roman"/>
          <w:szCs w:val="24"/>
        </w:rPr>
        <w:t>可知，若矿区能够严格按照总体规划及本环评报告中提出的环境保护要求安排生产，矿区规划的环境影响评价指标是可达的，矿区开发将符合国家国民经</w:t>
      </w:r>
      <w:r>
        <w:rPr>
          <w:rFonts w:ascii="Times New Roman" w:hAnsi="Times New Roman" w:hint="eastAsia"/>
          <w:szCs w:val="24"/>
        </w:rPr>
        <w:t>济和社会发展“十三五”规划要求，符合国家产业和环保政策要求，能够提高煤炭资源利用率、节约资源和能源、避免和减缓矿区开发产生的污染影响和生态影响，能够促进国家和地方经济可持续发展，矿区总体发展水平将符合煤炭行业清洁生产要求，达到国际先进水平。</w:t>
      </w:r>
    </w:p>
    <w:p w14:paraId="1B018362" w14:textId="77777777" w:rsidR="009C353B" w:rsidRDefault="009C353B">
      <w:pPr>
        <w:rPr>
          <w:rFonts w:hint="eastAsia"/>
        </w:rPr>
        <w:sectPr w:rsidR="009C353B">
          <w:headerReference w:type="default" r:id="rId473"/>
          <w:pgSz w:w="11906" w:h="16838"/>
          <w:pgMar w:top="1701" w:right="1418" w:bottom="1418" w:left="1418" w:header="1134" w:footer="1021" w:gutter="0"/>
          <w:paperSrc w:first="7" w:other="7"/>
          <w:cols w:space="720"/>
          <w:docGrid w:linePitch="312"/>
        </w:sectPr>
      </w:pPr>
    </w:p>
    <w:p w14:paraId="241A0EFC" w14:textId="77777777" w:rsidR="009C353B" w:rsidRDefault="00000000">
      <w:pPr>
        <w:spacing w:line="240" w:lineRule="atLeast"/>
        <w:jc w:val="center"/>
        <w:rPr>
          <w:rFonts w:hint="eastAsia"/>
          <w:b/>
        </w:rPr>
      </w:pPr>
      <w:r>
        <w:rPr>
          <w:b/>
        </w:rPr>
        <w:t>矿区环境目标可达性分析表</w:t>
      </w:r>
    </w:p>
    <w:p w14:paraId="16BD9EDC" w14:textId="77777777" w:rsidR="009C353B" w:rsidRDefault="00000000">
      <w:pPr>
        <w:spacing w:line="240" w:lineRule="atLeast"/>
        <w:outlineLvl w:val="4"/>
        <w:rPr>
          <w:rFonts w:ascii="Times New Roman" w:hAnsi="Times New Roman"/>
        </w:rPr>
      </w:pPr>
      <w:r>
        <w:rPr>
          <w:rFonts w:ascii="Times New Roman"/>
        </w:rPr>
        <w:t>表</w:t>
      </w:r>
      <w:r>
        <w:rPr>
          <w:rFonts w:ascii="Times New Roman" w:hAnsi="Times New Roman"/>
        </w:rPr>
        <w:t>8.9-1</w:t>
      </w:r>
    </w:p>
    <w:tbl>
      <w:tblP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610"/>
        <w:gridCol w:w="697"/>
        <w:gridCol w:w="562"/>
        <w:gridCol w:w="2237"/>
        <w:gridCol w:w="992"/>
        <w:gridCol w:w="6237"/>
        <w:gridCol w:w="1458"/>
        <w:gridCol w:w="1094"/>
      </w:tblGrid>
      <w:tr w:rsidR="009C353B" w14:paraId="6BEF36EF" w14:textId="77777777">
        <w:trPr>
          <w:cantSplit/>
          <w:trHeight w:val="397"/>
          <w:tblHeader/>
          <w:jc w:val="center"/>
        </w:trPr>
        <w:tc>
          <w:tcPr>
            <w:tcW w:w="610" w:type="dxa"/>
            <w:shd w:val="clear" w:color="auto" w:fill="FFFFFF"/>
            <w:tcMar>
              <w:left w:w="57" w:type="dxa"/>
              <w:right w:w="57" w:type="dxa"/>
            </w:tcMar>
            <w:vAlign w:val="center"/>
          </w:tcPr>
          <w:p w14:paraId="03841213" w14:textId="77777777" w:rsidR="009C353B" w:rsidRDefault="00000000">
            <w:pPr>
              <w:adjustRightInd w:val="0"/>
              <w:snapToGrid w:val="0"/>
              <w:spacing w:line="240" w:lineRule="atLeast"/>
              <w:jc w:val="center"/>
              <w:rPr>
                <w:rFonts w:ascii="Times New Roman" w:hAnsi="Times New Roman"/>
                <w:sz w:val="20"/>
              </w:rPr>
            </w:pPr>
            <w:bookmarkStart w:id="337" w:name="_Hlk48136217"/>
            <w:bookmarkStart w:id="338" w:name="_Hlk48136246"/>
            <w:r>
              <w:rPr>
                <w:rFonts w:ascii="Times New Roman" w:hAnsi="Times New Roman"/>
                <w:sz w:val="20"/>
              </w:rPr>
              <w:t>环境</w:t>
            </w:r>
          </w:p>
          <w:p w14:paraId="7CB6268F"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目标</w:t>
            </w:r>
          </w:p>
        </w:tc>
        <w:tc>
          <w:tcPr>
            <w:tcW w:w="3496" w:type="dxa"/>
            <w:gridSpan w:val="3"/>
            <w:shd w:val="clear" w:color="auto" w:fill="FFFFFF"/>
            <w:tcMar>
              <w:left w:w="28" w:type="dxa"/>
              <w:right w:w="28" w:type="dxa"/>
            </w:tcMar>
            <w:vAlign w:val="center"/>
          </w:tcPr>
          <w:p w14:paraId="72F23CF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评价指标</w:t>
            </w:r>
          </w:p>
        </w:tc>
        <w:tc>
          <w:tcPr>
            <w:tcW w:w="992" w:type="dxa"/>
            <w:shd w:val="clear" w:color="auto" w:fill="FFFFFF"/>
            <w:tcMar>
              <w:left w:w="57" w:type="dxa"/>
              <w:right w:w="57" w:type="dxa"/>
            </w:tcMar>
            <w:vAlign w:val="center"/>
          </w:tcPr>
          <w:p w14:paraId="521A1491"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规划水平</w:t>
            </w:r>
          </w:p>
          <w:p w14:paraId="4D93DF1C"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目标值</w:t>
            </w:r>
          </w:p>
        </w:tc>
        <w:tc>
          <w:tcPr>
            <w:tcW w:w="6237" w:type="dxa"/>
            <w:shd w:val="clear" w:color="auto" w:fill="FFFFFF"/>
            <w:tcMar>
              <w:left w:w="57" w:type="dxa"/>
              <w:right w:w="57" w:type="dxa"/>
            </w:tcMar>
            <w:vAlign w:val="center"/>
          </w:tcPr>
          <w:p w14:paraId="3CE3063F"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规划实施具体指标值分析</w:t>
            </w:r>
          </w:p>
        </w:tc>
        <w:tc>
          <w:tcPr>
            <w:tcW w:w="1458" w:type="dxa"/>
            <w:shd w:val="clear" w:color="auto" w:fill="FFFFFF"/>
            <w:tcMar>
              <w:left w:w="57" w:type="dxa"/>
              <w:right w:w="57" w:type="dxa"/>
            </w:tcMar>
            <w:vAlign w:val="center"/>
          </w:tcPr>
          <w:p w14:paraId="6C7366E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环评推荐</w:t>
            </w:r>
          </w:p>
        </w:tc>
        <w:tc>
          <w:tcPr>
            <w:tcW w:w="1094" w:type="dxa"/>
            <w:shd w:val="clear" w:color="auto" w:fill="FFFFFF"/>
            <w:vAlign w:val="center"/>
          </w:tcPr>
          <w:p w14:paraId="223F2806"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可达性</w:t>
            </w:r>
          </w:p>
        </w:tc>
      </w:tr>
      <w:bookmarkEnd w:id="337"/>
      <w:tr w:rsidR="009C353B" w14:paraId="1C751E20" w14:textId="77777777">
        <w:trPr>
          <w:cantSplit/>
          <w:trHeight w:val="397"/>
          <w:jc w:val="center"/>
        </w:trPr>
        <w:tc>
          <w:tcPr>
            <w:tcW w:w="610" w:type="dxa"/>
            <w:vMerge w:val="restart"/>
            <w:shd w:val="clear" w:color="auto" w:fill="FFFFFF"/>
            <w:tcMar>
              <w:left w:w="57" w:type="dxa"/>
              <w:right w:w="57" w:type="dxa"/>
            </w:tcMar>
            <w:vAlign w:val="center"/>
          </w:tcPr>
          <w:p w14:paraId="531B56F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资源开发利用</w:t>
            </w:r>
          </w:p>
        </w:tc>
        <w:tc>
          <w:tcPr>
            <w:tcW w:w="1259" w:type="dxa"/>
            <w:gridSpan w:val="2"/>
            <w:vMerge w:val="restart"/>
            <w:shd w:val="clear" w:color="auto" w:fill="FFFFFF"/>
            <w:tcMar>
              <w:left w:w="28" w:type="dxa"/>
              <w:right w:w="28" w:type="dxa"/>
            </w:tcMar>
            <w:vAlign w:val="center"/>
          </w:tcPr>
          <w:p w14:paraId="5AE47AE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hint="eastAsia"/>
                <w:sz w:val="20"/>
              </w:rPr>
              <w:t>生产工艺及装备指标</w:t>
            </w:r>
          </w:p>
        </w:tc>
        <w:tc>
          <w:tcPr>
            <w:tcW w:w="2237" w:type="dxa"/>
            <w:shd w:val="clear" w:color="auto" w:fill="FFFFFF"/>
            <w:vAlign w:val="center"/>
          </w:tcPr>
          <w:p w14:paraId="0A4ADD36"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hint="eastAsia"/>
                <w:sz w:val="20"/>
              </w:rPr>
              <w:t>煤矿机械化采煤比例</w:t>
            </w:r>
            <w:r>
              <w:rPr>
                <w:rFonts w:ascii="Times New Roman" w:hAnsi="Times New Roman"/>
                <w:sz w:val="20"/>
              </w:rPr>
              <w:t>（％）</w:t>
            </w:r>
          </w:p>
        </w:tc>
        <w:tc>
          <w:tcPr>
            <w:tcW w:w="992" w:type="dxa"/>
            <w:shd w:val="clear" w:color="auto" w:fill="FFFFFF"/>
            <w:tcMar>
              <w:left w:w="57" w:type="dxa"/>
              <w:right w:w="57" w:type="dxa"/>
            </w:tcMar>
            <w:vAlign w:val="center"/>
          </w:tcPr>
          <w:p w14:paraId="7515216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46B0575F"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符合《</w:t>
            </w:r>
            <w:r>
              <w:rPr>
                <w:rFonts w:ascii="Times New Roman" w:hAnsi="Times New Roman" w:hint="eastAsia"/>
                <w:sz w:val="20"/>
              </w:rPr>
              <w:t>煤炭采选业清洁生产评价指标体系</w:t>
            </w:r>
            <w:r>
              <w:rPr>
                <w:rFonts w:ascii="Times New Roman" w:hAnsi="Times New Roman"/>
                <w:sz w:val="20"/>
              </w:rPr>
              <w:t>》一级技术指标</w:t>
            </w:r>
          </w:p>
        </w:tc>
        <w:tc>
          <w:tcPr>
            <w:tcW w:w="1458" w:type="dxa"/>
            <w:shd w:val="clear" w:color="auto" w:fill="FFFFFF"/>
            <w:tcMar>
              <w:left w:w="57" w:type="dxa"/>
              <w:right w:w="57" w:type="dxa"/>
            </w:tcMar>
            <w:vAlign w:val="center"/>
          </w:tcPr>
          <w:p w14:paraId="7614AC41"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≥95%</w:t>
            </w:r>
          </w:p>
        </w:tc>
        <w:tc>
          <w:tcPr>
            <w:tcW w:w="1094" w:type="dxa"/>
            <w:shd w:val="clear" w:color="auto" w:fill="FFFFFF"/>
            <w:vAlign w:val="center"/>
          </w:tcPr>
          <w:p w14:paraId="1221242A"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59FE9DED" w14:textId="77777777">
        <w:trPr>
          <w:cantSplit/>
          <w:trHeight w:val="397"/>
          <w:jc w:val="center"/>
        </w:trPr>
        <w:tc>
          <w:tcPr>
            <w:tcW w:w="610" w:type="dxa"/>
            <w:vMerge/>
            <w:shd w:val="clear" w:color="auto" w:fill="FFFFFF"/>
            <w:tcMar>
              <w:left w:w="57" w:type="dxa"/>
              <w:right w:w="57" w:type="dxa"/>
            </w:tcMar>
            <w:vAlign w:val="center"/>
          </w:tcPr>
          <w:p w14:paraId="5411744F" w14:textId="77777777" w:rsidR="009C353B" w:rsidRDefault="009C353B">
            <w:pPr>
              <w:adjustRightInd w:val="0"/>
              <w:snapToGrid w:val="0"/>
              <w:spacing w:line="240" w:lineRule="atLeast"/>
              <w:jc w:val="center"/>
              <w:rPr>
                <w:rFonts w:ascii="Times New Roman" w:hAnsi="Times New Roman"/>
                <w:sz w:val="20"/>
              </w:rPr>
            </w:pPr>
          </w:p>
        </w:tc>
        <w:tc>
          <w:tcPr>
            <w:tcW w:w="1259" w:type="dxa"/>
            <w:gridSpan w:val="2"/>
            <w:vMerge/>
            <w:shd w:val="clear" w:color="auto" w:fill="FFFFFF"/>
            <w:tcMar>
              <w:left w:w="28" w:type="dxa"/>
              <w:right w:w="28" w:type="dxa"/>
            </w:tcMar>
            <w:vAlign w:val="center"/>
          </w:tcPr>
          <w:p w14:paraId="3CA7EDDD" w14:textId="77777777" w:rsidR="009C353B" w:rsidRDefault="009C353B">
            <w:pPr>
              <w:adjustRightInd w:val="0"/>
              <w:snapToGrid w:val="0"/>
              <w:spacing w:line="240" w:lineRule="atLeast"/>
              <w:jc w:val="center"/>
              <w:rPr>
                <w:rFonts w:ascii="Times New Roman" w:hAnsi="Times New Roman"/>
                <w:sz w:val="20"/>
              </w:rPr>
            </w:pPr>
          </w:p>
        </w:tc>
        <w:tc>
          <w:tcPr>
            <w:tcW w:w="2237" w:type="dxa"/>
            <w:shd w:val="clear" w:color="auto" w:fill="FFFFFF"/>
            <w:vAlign w:val="center"/>
          </w:tcPr>
          <w:p w14:paraId="115D1818"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原煤入选率（％）</w:t>
            </w:r>
          </w:p>
        </w:tc>
        <w:tc>
          <w:tcPr>
            <w:tcW w:w="992" w:type="dxa"/>
            <w:shd w:val="clear" w:color="auto" w:fill="FFFFFF"/>
            <w:tcMar>
              <w:left w:w="57" w:type="dxa"/>
              <w:right w:w="57" w:type="dxa"/>
            </w:tcMar>
            <w:vAlign w:val="center"/>
          </w:tcPr>
          <w:p w14:paraId="3B721E4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hint="eastAsia"/>
                <w:sz w:val="20"/>
              </w:rPr>
              <w:t>1</w:t>
            </w:r>
            <w:r>
              <w:rPr>
                <w:rFonts w:ascii="Times New Roman" w:hAnsi="Times New Roman"/>
                <w:sz w:val="20"/>
              </w:rPr>
              <w:t>00</w:t>
            </w:r>
          </w:p>
        </w:tc>
        <w:tc>
          <w:tcPr>
            <w:tcW w:w="6237" w:type="dxa"/>
            <w:shd w:val="clear" w:color="auto" w:fill="FFFFFF"/>
            <w:tcMar>
              <w:left w:w="57" w:type="dxa"/>
              <w:right w:w="57" w:type="dxa"/>
            </w:tcMar>
            <w:vAlign w:val="center"/>
          </w:tcPr>
          <w:p w14:paraId="240016D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符合《</w:t>
            </w:r>
            <w:r>
              <w:rPr>
                <w:rFonts w:ascii="Times New Roman" w:hAnsi="Times New Roman" w:hint="eastAsia"/>
                <w:sz w:val="20"/>
              </w:rPr>
              <w:t>煤炭采选业清洁生产评价指标体系</w:t>
            </w:r>
            <w:r>
              <w:rPr>
                <w:rFonts w:ascii="Times New Roman" w:hAnsi="Times New Roman"/>
                <w:sz w:val="20"/>
              </w:rPr>
              <w:t>》一级技术指标</w:t>
            </w:r>
          </w:p>
        </w:tc>
        <w:tc>
          <w:tcPr>
            <w:tcW w:w="1458" w:type="dxa"/>
            <w:shd w:val="clear" w:color="auto" w:fill="FFFFFF"/>
            <w:tcMar>
              <w:left w:w="57" w:type="dxa"/>
              <w:right w:w="57" w:type="dxa"/>
            </w:tcMar>
            <w:vAlign w:val="center"/>
          </w:tcPr>
          <w:p w14:paraId="3278B41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5BA16723"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7B54085B" w14:textId="77777777">
        <w:trPr>
          <w:cantSplit/>
          <w:trHeight w:val="397"/>
          <w:jc w:val="center"/>
        </w:trPr>
        <w:tc>
          <w:tcPr>
            <w:tcW w:w="610" w:type="dxa"/>
            <w:vMerge/>
            <w:shd w:val="clear" w:color="auto" w:fill="FFFFFF"/>
            <w:tcMar>
              <w:left w:w="57" w:type="dxa"/>
              <w:right w:w="57" w:type="dxa"/>
            </w:tcMar>
            <w:vAlign w:val="center"/>
          </w:tcPr>
          <w:p w14:paraId="17FD82BD" w14:textId="77777777" w:rsidR="009C353B" w:rsidRDefault="009C353B">
            <w:pPr>
              <w:adjustRightInd w:val="0"/>
              <w:snapToGrid w:val="0"/>
              <w:spacing w:line="240" w:lineRule="atLeast"/>
              <w:jc w:val="center"/>
              <w:rPr>
                <w:rFonts w:ascii="Times New Roman" w:hAnsi="Times New Roman"/>
                <w:sz w:val="20"/>
              </w:rPr>
            </w:pPr>
          </w:p>
        </w:tc>
        <w:tc>
          <w:tcPr>
            <w:tcW w:w="697" w:type="dxa"/>
            <w:vMerge w:val="restart"/>
            <w:shd w:val="clear" w:color="auto" w:fill="FFFFFF"/>
            <w:tcMar>
              <w:left w:w="28" w:type="dxa"/>
              <w:right w:w="28" w:type="dxa"/>
            </w:tcMar>
            <w:vAlign w:val="center"/>
          </w:tcPr>
          <w:p w14:paraId="738D46E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资源能源消耗指标</w:t>
            </w:r>
          </w:p>
        </w:tc>
        <w:tc>
          <w:tcPr>
            <w:tcW w:w="562" w:type="dxa"/>
            <w:vMerge w:val="restart"/>
            <w:shd w:val="clear" w:color="auto" w:fill="FFFFFF"/>
            <w:tcMar>
              <w:left w:w="57" w:type="dxa"/>
              <w:right w:w="57" w:type="dxa"/>
            </w:tcMar>
            <w:vAlign w:val="center"/>
          </w:tcPr>
          <w:p w14:paraId="0DE504C0"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采区回采率</w:t>
            </w:r>
          </w:p>
        </w:tc>
        <w:tc>
          <w:tcPr>
            <w:tcW w:w="2237" w:type="dxa"/>
            <w:shd w:val="clear" w:color="auto" w:fill="FFFFFF"/>
            <w:tcMar>
              <w:left w:w="57" w:type="dxa"/>
              <w:right w:w="57" w:type="dxa"/>
            </w:tcMar>
            <w:vAlign w:val="center"/>
          </w:tcPr>
          <w:p w14:paraId="25F3F984"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薄煤层</w:t>
            </w:r>
          </w:p>
        </w:tc>
        <w:tc>
          <w:tcPr>
            <w:tcW w:w="992" w:type="dxa"/>
            <w:shd w:val="clear" w:color="auto" w:fill="FFFFFF"/>
            <w:tcMar>
              <w:left w:w="57" w:type="dxa"/>
              <w:right w:w="57" w:type="dxa"/>
            </w:tcMar>
            <w:vAlign w:val="center"/>
          </w:tcPr>
          <w:p w14:paraId="1BB8068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val="restart"/>
            <w:shd w:val="clear" w:color="auto" w:fill="FFFFFF"/>
            <w:tcMar>
              <w:left w:w="57" w:type="dxa"/>
              <w:right w:w="57" w:type="dxa"/>
            </w:tcMar>
            <w:vAlign w:val="center"/>
          </w:tcPr>
          <w:p w14:paraId="7DDF777A"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根据目前的技术形势，环评要求煤矿按照《</w:t>
            </w:r>
            <w:r>
              <w:rPr>
                <w:rFonts w:ascii="Times New Roman" w:hAnsi="Times New Roman" w:hint="eastAsia"/>
                <w:sz w:val="20"/>
              </w:rPr>
              <w:t>煤炭采选业清洁生产评价指标体系</w:t>
            </w:r>
            <w:r>
              <w:rPr>
                <w:rFonts w:ascii="Times New Roman" w:hAnsi="Times New Roman"/>
                <w:sz w:val="20"/>
              </w:rPr>
              <w:t>》一级技术指标进行设计</w:t>
            </w:r>
            <w:r>
              <w:rPr>
                <w:rFonts w:ascii="Times New Roman" w:hAnsi="Times New Roman" w:hint="eastAsia"/>
                <w:sz w:val="20"/>
              </w:rPr>
              <w:t>、</w:t>
            </w:r>
            <w:r>
              <w:rPr>
                <w:rFonts w:ascii="Times New Roman" w:hAnsi="Times New Roman"/>
                <w:sz w:val="20"/>
              </w:rPr>
              <w:t>生产</w:t>
            </w:r>
          </w:p>
        </w:tc>
        <w:tc>
          <w:tcPr>
            <w:tcW w:w="1458" w:type="dxa"/>
            <w:shd w:val="clear" w:color="auto" w:fill="FFFFFF"/>
            <w:tcMar>
              <w:left w:w="57" w:type="dxa"/>
              <w:right w:w="57" w:type="dxa"/>
            </w:tcMar>
            <w:vAlign w:val="center"/>
          </w:tcPr>
          <w:p w14:paraId="00F78EFE"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≥85%</w:t>
            </w:r>
          </w:p>
        </w:tc>
        <w:tc>
          <w:tcPr>
            <w:tcW w:w="1094" w:type="dxa"/>
            <w:shd w:val="clear" w:color="auto" w:fill="FFFFFF"/>
            <w:vAlign w:val="center"/>
          </w:tcPr>
          <w:p w14:paraId="34354991"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2DAE8E9D" w14:textId="77777777">
        <w:trPr>
          <w:cantSplit/>
          <w:trHeight w:val="397"/>
          <w:jc w:val="center"/>
        </w:trPr>
        <w:tc>
          <w:tcPr>
            <w:tcW w:w="610" w:type="dxa"/>
            <w:vMerge/>
            <w:shd w:val="clear" w:color="auto" w:fill="FFFFFF"/>
            <w:tcMar>
              <w:left w:w="57" w:type="dxa"/>
              <w:right w:w="57" w:type="dxa"/>
            </w:tcMar>
            <w:vAlign w:val="center"/>
          </w:tcPr>
          <w:p w14:paraId="61D177BE"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3BEB8CD0" w14:textId="77777777" w:rsidR="009C353B" w:rsidRDefault="009C353B">
            <w:pPr>
              <w:adjustRightInd w:val="0"/>
              <w:snapToGrid w:val="0"/>
              <w:spacing w:line="240" w:lineRule="atLeast"/>
              <w:jc w:val="center"/>
              <w:rPr>
                <w:rFonts w:ascii="Times New Roman" w:hAnsi="Times New Roman"/>
                <w:sz w:val="20"/>
              </w:rPr>
            </w:pPr>
          </w:p>
        </w:tc>
        <w:tc>
          <w:tcPr>
            <w:tcW w:w="562" w:type="dxa"/>
            <w:vMerge/>
            <w:shd w:val="clear" w:color="auto" w:fill="FFFFFF"/>
            <w:tcMar>
              <w:left w:w="57" w:type="dxa"/>
              <w:right w:w="57" w:type="dxa"/>
            </w:tcMar>
            <w:vAlign w:val="center"/>
          </w:tcPr>
          <w:p w14:paraId="5685EAC4" w14:textId="77777777" w:rsidR="009C353B" w:rsidRDefault="009C353B">
            <w:pPr>
              <w:adjustRightInd w:val="0"/>
              <w:snapToGrid w:val="0"/>
              <w:spacing w:line="240" w:lineRule="atLeast"/>
              <w:jc w:val="left"/>
              <w:rPr>
                <w:rFonts w:ascii="Times New Roman" w:hAnsi="Times New Roman"/>
                <w:sz w:val="20"/>
              </w:rPr>
            </w:pPr>
          </w:p>
        </w:tc>
        <w:tc>
          <w:tcPr>
            <w:tcW w:w="2237" w:type="dxa"/>
            <w:shd w:val="clear" w:color="auto" w:fill="FFFFFF"/>
            <w:tcMar>
              <w:left w:w="57" w:type="dxa"/>
              <w:right w:w="57" w:type="dxa"/>
            </w:tcMar>
            <w:vAlign w:val="center"/>
          </w:tcPr>
          <w:p w14:paraId="6A8C4DEC"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中厚煤层</w:t>
            </w:r>
          </w:p>
        </w:tc>
        <w:tc>
          <w:tcPr>
            <w:tcW w:w="992" w:type="dxa"/>
            <w:shd w:val="clear" w:color="auto" w:fill="FFFFFF"/>
            <w:tcMar>
              <w:left w:w="57" w:type="dxa"/>
              <w:right w:w="57" w:type="dxa"/>
            </w:tcMar>
            <w:vAlign w:val="center"/>
          </w:tcPr>
          <w:p w14:paraId="2396461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shd w:val="clear" w:color="auto" w:fill="FFFFFF"/>
            <w:tcMar>
              <w:left w:w="57" w:type="dxa"/>
              <w:right w:w="57" w:type="dxa"/>
            </w:tcMar>
            <w:vAlign w:val="center"/>
          </w:tcPr>
          <w:p w14:paraId="570B43F5" w14:textId="77777777" w:rsidR="009C353B" w:rsidRDefault="009C353B">
            <w:pPr>
              <w:adjustRightInd w:val="0"/>
              <w:snapToGrid w:val="0"/>
              <w:spacing w:line="240" w:lineRule="atLeast"/>
              <w:jc w:val="center"/>
              <w:rPr>
                <w:rFonts w:ascii="Times New Roman" w:hAnsi="Times New Roman"/>
                <w:kern w:val="21"/>
                <w:sz w:val="20"/>
              </w:rPr>
            </w:pPr>
          </w:p>
        </w:tc>
        <w:tc>
          <w:tcPr>
            <w:tcW w:w="1458" w:type="dxa"/>
            <w:shd w:val="clear" w:color="auto" w:fill="FFFFFF"/>
            <w:tcMar>
              <w:left w:w="57" w:type="dxa"/>
              <w:right w:w="57" w:type="dxa"/>
            </w:tcMar>
            <w:vAlign w:val="center"/>
          </w:tcPr>
          <w:p w14:paraId="663AEDE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≥80%</w:t>
            </w:r>
          </w:p>
        </w:tc>
        <w:tc>
          <w:tcPr>
            <w:tcW w:w="1094" w:type="dxa"/>
            <w:shd w:val="clear" w:color="auto" w:fill="FFFFFF"/>
            <w:vAlign w:val="center"/>
          </w:tcPr>
          <w:p w14:paraId="7DC5F0A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4DBD83BC" w14:textId="77777777">
        <w:trPr>
          <w:cantSplit/>
          <w:trHeight w:val="397"/>
          <w:jc w:val="center"/>
        </w:trPr>
        <w:tc>
          <w:tcPr>
            <w:tcW w:w="610" w:type="dxa"/>
            <w:vMerge/>
            <w:shd w:val="clear" w:color="auto" w:fill="FFFFFF"/>
            <w:tcMar>
              <w:left w:w="57" w:type="dxa"/>
              <w:right w:w="57" w:type="dxa"/>
            </w:tcMar>
            <w:vAlign w:val="center"/>
          </w:tcPr>
          <w:p w14:paraId="1CA1E365"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099D62AD" w14:textId="77777777" w:rsidR="009C353B" w:rsidRDefault="009C353B">
            <w:pPr>
              <w:adjustRightInd w:val="0"/>
              <w:snapToGrid w:val="0"/>
              <w:spacing w:line="240" w:lineRule="atLeast"/>
              <w:jc w:val="center"/>
              <w:rPr>
                <w:rFonts w:ascii="Times New Roman" w:hAnsi="Times New Roman"/>
                <w:sz w:val="20"/>
              </w:rPr>
            </w:pPr>
          </w:p>
        </w:tc>
        <w:tc>
          <w:tcPr>
            <w:tcW w:w="562" w:type="dxa"/>
            <w:vMerge/>
            <w:shd w:val="clear" w:color="auto" w:fill="FFFFFF"/>
            <w:tcMar>
              <w:left w:w="57" w:type="dxa"/>
              <w:right w:w="57" w:type="dxa"/>
            </w:tcMar>
            <w:vAlign w:val="center"/>
          </w:tcPr>
          <w:p w14:paraId="75DF372C" w14:textId="77777777" w:rsidR="009C353B" w:rsidRDefault="009C353B">
            <w:pPr>
              <w:adjustRightInd w:val="0"/>
              <w:snapToGrid w:val="0"/>
              <w:spacing w:line="240" w:lineRule="atLeast"/>
              <w:jc w:val="left"/>
              <w:rPr>
                <w:rFonts w:ascii="Times New Roman" w:hAnsi="Times New Roman"/>
                <w:sz w:val="20"/>
              </w:rPr>
            </w:pPr>
          </w:p>
        </w:tc>
        <w:tc>
          <w:tcPr>
            <w:tcW w:w="2237" w:type="dxa"/>
            <w:shd w:val="clear" w:color="auto" w:fill="FFFFFF"/>
            <w:tcMar>
              <w:left w:w="57" w:type="dxa"/>
              <w:right w:w="57" w:type="dxa"/>
            </w:tcMar>
            <w:vAlign w:val="center"/>
          </w:tcPr>
          <w:p w14:paraId="0F549942"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厚煤层</w:t>
            </w:r>
          </w:p>
        </w:tc>
        <w:tc>
          <w:tcPr>
            <w:tcW w:w="992" w:type="dxa"/>
            <w:shd w:val="clear" w:color="auto" w:fill="FFFFFF"/>
            <w:tcMar>
              <w:left w:w="57" w:type="dxa"/>
              <w:right w:w="57" w:type="dxa"/>
            </w:tcMar>
            <w:vAlign w:val="center"/>
          </w:tcPr>
          <w:p w14:paraId="3B883FA2"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shd w:val="clear" w:color="auto" w:fill="FFFFFF"/>
            <w:tcMar>
              <w:left w:w="57" w:type="dxa"/>
              <w:right w:w="57" w:type="dxa"/>
            </w:tcMar>
            <w:vAlign w:val="center"/>
          </w:tcPr>
          <w:p w14:paraId="74FE0EB4" w14:textId="77777777" w:rsidR="009C353B" w:rsidRDefault="009C353B">
            <w:pPr>
              <w:adjustRightInd w:val="0"/>
              <w:snapToGrid w:val="0"/>
              <w:spacing w:line="240" w:lineRule="atLeast"/>
              <w:jc w:val="center"/>
              <w:rPr>
                <w:rFonts w:ascii="Times New Roman" w:hAnsi="Times New Roman"/>
                <w:kern w:val="21"/>
                <w:sz w:val="20"/>
              </w:rPr>
            </w:pPr>
          </w:p>
        </w:tc>
        <w:tc>
          <w:tcPr>
            <w:tcW w:w="1458" w:type="dxa"/>
            <w:shd w:val="clear" w:color="auto" w:fill="FFFFFF"/>
            <w:tcMar>
              <w:left w:w="57" w:type="dxa"/>
              <w:right w:w="57" w:type="dxa"/>
            </w:tcMar>
            <w:vAlign w:val="center"/>
          </w:tcPr>
          <w:p w14:paraId="5186FBF6"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≥75%</w:t>
            </w:r>
          </w:p>
        </w:tc>
        <w:tc>
          <w:tcPr>
            <w:tcW w:w="1094" w:type="dxa"/>
            <w:shd w:val="clear" w:color="auto" w:fill="FFFFFF"/>
            <w:vAlign w:val="center"/>
          </w:tcPr>
          <w:p w14:paraId="427CEDD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5778FC82" w14:textId="77777777">
        <w:trPr>
          <w:cantSplit/>
          <w:trHeight w:val="397"/>
          <w:jc w:val="center"/>
        </w:trPr>
        <w:tc>
          <w:tcPr>
            <w:tcW w:w="610" w:type="dxa"/>
            <w:vMerge/>
            <w:shd w:val="clear" w:color="auto" w:fill="FFFFFF"/>
            <w:tcMar>
              <w:left w:w="57" w:type="dxa"/>
              <w:right w:w="57" w:type="dxa"/>
            </w:tcMar>
            <w:vAlign w:val="center"/>
          </w:tcPr>
          <w:p w14:paraId="7A739E55"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408E1751" w14:textId="77777777" w:rsidR="009C353B" w:rsidRDefault="009C353B">
            <w:pPr>
              <w:adjustRightInd w:val="0"/>
              <w:snapToGrid w:val="0"/>
              <w:spacing w:line="240" w:lineRule="atLeast"/>
              <w:jc w:val="center"/>
              <w:rPr>
                <w:rFonts w:ascii="Times New Roman" w:hAnsi="Times New Roman"/>
                <w:sz w:val="20"/>
              </w:rPr>
            </w:pPr>
          </w:p>
        </w:tc>
        <w:tc>
          <w:tcPr>
            <w:tcW w:w="562" w:type="dxa"/>
            <w:vMerge/>
            <w:shd w:val="clear" w:color="auto" w:fill="FFFFFF"/>
            <w:tcMar>
              <w:left w:w="57" w:type="dxa"/>
              <w:right w:w="57" w:type="dxa"/>
            </w:tcMar>
            <w:vAlign w:val="center"/>
          </w:tcPr>
          <w:p w14:paraId="262162C2" w14:textId="77777777" w:rsidR="009C353B" w:rsidRDefault="009C353B">
            <w:pPr>
              <w:adjustRightInd w:val="0"/>
              <w:snapToGrid w:val="0"/>
              <w:spacing w:line="240" w:lineRule="atLeast"/>
              <w:jc w:val="left"/>
              <w:rPr>
                <w:rFonts w:ascii="Times New Roman" w:hAnsi="Times New Roman"/>
                <w:sz w:val="20"/>
              </w:rPr>
            </w:pPr>
          </w:p>
        </w:tc>
        <w:tc>
          <w:tcPr>
            <w:tcW w:w="2237" w:type="dxa"/>
            <w:shd w:val="clear" w:color="auto" w:fill="FFFFFF"/>
            <w:tcMar>
              <w:left w:w="57" w:type="dxa"/>
              <w:right w:w="57" w:type="dxa"/>
            </w:tcMar>
            <w:vAlign w:val="center"/>
          </w:tcPr>
          <w:p w14:paraId="69D66844"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矿区资源回采率</w:t>
            </w:r>
          </w:p>
        </w:tc>
        <w:tc>
          <w:tcPr>
            <w:tcW w:w="992" w:type="dxa"/>
            <w:shd w:val="clear" w:color="auto" w:fill="FFFFFF"/>
            <w:tcMar>
              <w:left w:w="57" w:type="dxa"/>
              <w:right w:w="57" w:type="dxa"/>
            </w:tcMar>
            <w:vAlign w:val="center"/>
          </w:tcPr>
          <w:p w14:paraId="616AF6F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shd w:val="clear" w:color="auto" w:fill="FFFFFF"/>
            <w:tcMar>
              <w:left w:w="57" w:type="dxa"/>
              <w:right w:w="57" w:type="dxa"/>
            </w:tcMar>
            <w:vAlign w:val="center"/>
          </w:tcPr>
          <w:p w14:paraId="5F90F150" w14:textId="77777777" w:rsidR="009C353B" w:rsidRDefault="009C353B">
            <w:pPr>
              <w:adjustRightInd w:val="0"/>
              <w:snapToGrid w:val="0"/>
              <w:spacing w:line="240" w:lineRule="atLeast"/>
              <w:jc w:val="center"/>
              <w:rPr>
                <w:rFonts w:ascii="Times New Roman" w:hAnsi="Times New Roman"/>
                <w:kern w:val="21"/>
                <w:sz w:val="20"/>
              </w:rPr>
            </w:pPr>
          </w:p>
        </w:tc>
        <w:tc>
          <w:tcPr>
            <w:tcW w:w="1458" w:type="dxa"/>
            <w:shd w:val="clear" w:color="auto" w:fill="FFFFFF"/>
            <w:tcMar>
              <w:left w:w="57" w:type="dxa"/>
              <w:right w:w="57" w:type="dxa"/>
            </w:tcMar>
            <w:vAlign w:val="center"/>
          </w:tcPr>
          <w:p w14:paraId="568681DF"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≥75%</w:t>
            </w:r>
          </w:p>
        </w:tc>
        <w:tc>
          <w:tcPr>
            <w:tcW w:w="1094" w:type="dxa"/>
            <w:shd w:val="clear" w:color="auto" w:fill="FFFFFF"/>
            <w:vAlign w:val="center"/>
          </w:tcPr>
          <w:p w14:paraId="013132D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2C6073BF" w14:textId="77777777">
        <w:trPr>
          <w:cantSplit/>
          <w:trHeight w:val="397"/>
          <w:jc w:val="center"/>
        </w:trPr>
        <w:tc>
          <w:tcPr>
            <w:tcW w:w="610" w:type="dxa"/>
            <w:vMerge/>
            <w:shd w:val="clear" w:color="auto" w:fill="FFFFFF"/>
            <w:tcMar>
              <w:left w:w="57" w:type="dxa"/>
              <w:right w:w="57" w:type="dxa"/>
            </w:tcMar>
            <w:vAlign w:val="center"/>
          </w:tcPr>
          <w:p w14:paraId="577BF838"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49EE5E5A"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58A66CA6"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hint="eastAsia"/>
                <w:sz w:val="20"/>
              </w:rPr>
              <w:t>原煤生产</w:t>
            </w:r>
            <w:r>
              <w:rPr>
                <w:rFonts w:ascii="Times New Roman" w:hAnsi="Times New Roman"/>
                <w:sz w:val="20"/>
              </w:rPr>
              <w:t>电耗（</w:t>
            </w:r>
            <w:r>
              <w:rPr>
                <w:rFonts w:ascii="Times New Roman" w:hAnsi="Times New Roman"/>
                <w:sz w:val="20"/>
              </w:rPr>
              <w:t>kWh/ t</w:t>
            </w:r>
            <w:r>
              <w:rPr>
                <w:rFonts w:ascii="Times New Roman" w:hAnsi="Times New Roman"/>
                <w:sz w:val="20"/>
              </w:rPr>
              <w:t>煤）</w:t>
            </w:r>
          </w:p>
        </w:tc>
        <w:tc>
          <w:tcPr>
            <w:tcW w:w="992" w:type="dxa"/>
            <w:shd w:val="clear" w:color="auto" w:fill="FFFFFF"/>
            <w:tcMar>
              <w:left w:w="57" w:type="dxa"/>
              <w:right w:w="57" w:type="dxa"/>
            </w:tcMar>
            <w:vAlign w:val="center"/>
          </w:tcPr>
          <w:p w14:paraId="03A300D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26.5</w:t>
            </w:r>
          </w:p>
        </w:tc>
        <w:tc>
          <w:tcPr>
            <w:tcW w:w="6237" w:type="dxa"/>
            <w:vMerge/>
            <w:shd w:val="clear" w:color="auto" w:fill="FFFFFF"/>
            <w:tcMar>
              <w:left w:w="57" w:type="dxa"/>
              <w:right w:w="57" w:type="dxa"/>
            </w:tcMar>
            <w:vAlign w:val="center"/>
          </w:tcPr>
          <w:p w14:paraId="1F64C89F" w14:textId="77777777" w:rsidR="009C353B" w:rsidRDefault="009C353B">
            <w:pPr>
              <w:adjustRightInd w:val="0"/>
              <w:snapToGrid w:val="0"/>
              <w:spacing w:line="240" w:lineRule="atLeast"/>
              <w:jc w:val="center"/>
              <w:rPr>
                <w:rFonts w:ascii="Times New Roman" w:hAnsi="Times New Roman"/>
                <w:sz w:val="20"/>
              </w:rPr>
            </w:pPr>
          </w:p>
        </w:tc>
        <w:tc>
          <w:tcPr>
            <w:tcW w:w="1458" w:type="dxa"/>
            <w:shd w:val="clear" w:color="auto" w:fill="FFFFFF"/>
            <w:tcMar>
              <w:left w:w="57" w:type="dxa"/>
              <w:right w:w="57" w:type="dxa"/>
            </w:tcMar>
            <w:vAlign w:val="center"/>
          </w:tcPr>
          <w:p w14:paraId="7871474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≤18</w:t>
            </w:r>
          </w:p>
        </w:tc>
        <w:tc>
          <w:tcPr>
            <w:tcW w:w="1094" w:type="dxa"/>
            <w:shd w:val="clear" w:color="auto" w:fill="FFFFFF"/>
            <w:vAlign w:val="center"/>
          </w:tcPr>
          <w:p w14:paraId="2CC8BF52"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19E0F280" w14:textId="77777777">
        <w:trPr>
          <w:cantSplit/>
          <w:trHeight w:val="397"/>
          <w:jc w:val="center"/>
        </w:trPr>
        <w:tc>
          <w:tcPr>
            <w:tcW w:w="610" w:type="dxa"/>
            <w:vMerge/>
            <w:shd w:val="clear" w:color="auto" w:fill="FFFFFF"/>
            <w:tcMar>
              <w:left w:w="57" w:type="dxa"/>
              <w:right w:w="57" w:type="dxa"/>
            </w:tcMar>
            <w:vAlign w:val="center"/>
          </w:tcPr>
          <w:p w14:paraId="0B4540C1"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7AD1E1D5"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60D1B1A5"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bCs/>
                <w:sz w:val="20"/>
              </w:rPr>
              <w:t>原煤生产水耗（不含选煤厂）</w:t>
            </w:r>
          </w:p>
        </w:tc>
        <w:tc>
          <w:tcPr>
            <w:tcW w:w="992" w:type="dxa"/>
            <w:shd w:val="clear" w:color="auto" w:fill="FFFFFF"/>
            <w:tcMar>
              <w:left w:w="57" w:type="dxa"/>
              <w:right w:w="57" w:type="dxa"/>
            </w:tcMar>
            <w:vAlign w:val="center"/>
          </w:tcPr>
          <w:p w14:paraId="6798FE26"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0.3</w:t>
            </w:r>
          </w:p>
        </w:tc>
        <w:tc>
          <w:tcPr>
            <w:tcW w:w="6237" w:type="dxa"/>
            <w:vMerge/>
            <w:shd w:val="clear" w:color="auto" w:fill="FFFFFF"/>
            <w:tcMar>
              <w:left w:w="57" w:type="dxa"/>
              <w:right w:w="57" w:type="dxa"/>
            </w:tcMar>
            <w:vAlign w:val="center"/>
          </w:tcPr>
          <w:p w14:paraId="735AF7A1" w14:textId="77777777" w:rsidR="009C353B" w:rsidRDefault="009C353B">
            <w:pPr>
              <w:adjustRightInd w:val="0"/>
              <w:snapToGrid w:val="0"/>
              <w:spacing w:line="240" w:lineRule="atLeast"/>
              <w:jc w:val="center"/>
              <w:rPr>
                <w:rFonts w:ascii="Times New Roman" w:hAnsi="Times New Roman"/>
                <w:sz w:val="20"/>
              </w:rPr>
            </w:pPr>
          </w:p>
        </w:tc>
        <w:tc>
          <w:tcPr>
            <w:tcW w:w="1458" w:type="dxa"/>
            <w:shd w:val="clear" w:color="auto" w:fill="FFFFFF"/>
            <w:tcMar>
              <w:left w:w="57" w:type="dxa"/>
              <w:right w:w="57" w:type="dxa"/>
            </w:tcMar>
            <w:vAlign w:val="center"/>
          </w:tcPr>
          <w:p w14:paraId="03DAD70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0.1 m</w:t>
            </w:r>
            <w:r>
              <w:rPr>
                <w:rFonts w:ascii="Times New Roman" w:hAnsi="Times New Roman"/>
                <w:sz w:val="20"/>
                <w:vertAlign w:val="superscript"/>
              </w:rPr>
              <w:t>3</w:t>
            </w:r>
            <w:r>
              <w:rPr>
                <w:rFonts w:ascii="Times New Roman" w:hAnsi="Times New Roman"/>
                <w:sz w:val="20"/>
              </w:rPr>
              <w:t>/t</w:t>
            </w:r>
            <w:r>
              <w:rPr>
                <w:rFonts w:ascii="Times New Roman" w:hAnsi="Times New Roman"/>
                <w:sz w:val="20"/>
              </w:rPr>
              <w:t>煤</w:t>
            </w:r>
          </w:p>
        </w:tc>
        <w:tc>
          <w:tcPr>
            <w:tcW w:w="1094" w:type="dxa"/>
            <w:shd w:val="clear" w:color="auto" w:fill="FFFFFF"/>
            <w:vAlign w:val="center"/>
          </w:tcPr>
          <w:p w14:paraId="7D78AF1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4D74A787" w14:textId="77777777">
        <w:trPr>
          <w:cantSplit/>
          <w:trHeight w:val="596"/>
          <w:jc w:val="center"/>
        </w:trPr>
        <w:tc>
          <w:tcPr>
            <w:tcW w:w="610" w:type="dxa"/>
            <w:vMerge/>
            <w:shd w:val="clear" w:color="auto" w:fill="FFFFFF"/>
            <w:tcMar>
              <w:left w:w="57" w:type="dxa"/>
              <w:right w:w="57" w:type="dxa"/>
            </w:tcMar>
            <w:vAlign w:val="center"/>
          </w:tcPr>
          <w:p w14:paraId="65C3CB60"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235E0887"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6979F709" w14:textId="77777777" w:rsidR="009C353B" w:rsidRDefault="00000000">
            <w:pPr>
              <w:adjustRightInd w:val="0"/>
              <w:snapToGrid w:val="0"/>
              <w:spacing w:line="240" w:lineRule="atLeast"/>
              <w:jc w:val="left"/>
              <w:rPr>
                <w:rFonts w:ascii="Times New Roman" w:hAnsi="Times New Roman"/>
                <w:bCs/>
                <w:sz w:val="20"/>
              </w:rPr>
            </w:pPr>
            <w:r>
              <w:rPr>
                <w:rFonts w:ascii="Times New Roman" w:hAnsi="Times New Roman" w:hint="eastAsia"/>
                <w:sz w:val="20"/>
              </w:rPr>
              <w:t>单位入选原煤取水量</w:t>
            </w:r>
            <w:r>
              <w:rPr>
                <w:rFonts w:ascii="Times New Roman" w:hAnsi="Times New Roman"/>
                <w:sz w:val="20"/>
              </w:rPr>
              <w:t>（</w:t>
            </w:r>
            <w:r>
              <w:rPr>
                <w:rFonts w:ascii="Times New Roman" w:hAnsi="Times New Roman"/>
                <w:sz w:val="20"/>
              </w:rPr>
              <w:t>m</w:t>
            </w:r>
            <w:r>
              <w:rPr>
                <w:rFonts w:ascii="Times New Roman" w:hAnsi="Times New Roman"/>
                <w:sz w:val="20"/>
                <w:vertAlign w:val="superscript"/>
              </w:rPr>
              <w:t>3</w:t>
            </w:r>
            <w:r>
              <w:rPr>
                <w:rFonts w:ascii="Times New Roman" w:hAnsi="Times New Roman"/>
                <w:sz w:val="20"/>
              </w:rPr>
              <w:t>/t</w:t>
            </w:r>
            <w:r>
              <w:rPr>
                <w:rFonts w:ascii="Times New Roman" w:hAnsi="Times New Roman"/>
                <w:sz w:val="20"/>
              </w:rPr>
              <w:t>煤）</w:t>
            </w:r>
          </w:p>
        </w:tc>
        <w:tc>
          <w:tcPr>
            <w:tcW w:w="992" w:type="dxa"/>
            <w:shd w:val="clear" w:color="auto" w:fill="FFFFFF"/>
            <w:tcMar>
              <w:left w:w="57" w:type="dxa"/>
              <w:right w:w="57" w:type="dxa"/>
            </w:tcMar>
            <w:vAlign w:val="center"/>
          </w:tcPr>
          <w:p w14:paraId="070705D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hint="eastAsia"/>
                <w:sz w:val="20"/>
              </w:rPr>
              <w:t>0</w:t>
            </w:r>
            <w:r>
              <w:rPr>
                <w:rFonts w:ascii="Times New Roman" w:hAnsi="Times New Roman"/>
                <w:sz w:val="20"/>
              </w:rPr>
              <w:t>.1</w:t>
            </w:r>
          </w:p>
        </w:tc>
        <w:tc>
          <w:tcPr>
            <w:tcW w:w="6237" w:type="dxa"/>
            <w:shd w:val="clear" w:color="auto" w:fill="FFFFFF"/>
            <w:tcMar>
              <w:left w:w="57" w:type="dxa"/>
              <w:right w:w="57" w:type="dxa"/>
            </w:tcMar>
            <w:vAlign w:val="center"/>
          </w:tcPr>
          <w:p w14:paraId="3378B0D9"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符合《</w:t>
            </w:r>
            <w:r>
              <w:rPr>
                <w:rFonts w:ascii="Times New Roman" w:hAnsi="Times New Roman" w:hint="eastAsia"/>
                <w:sz w:val="20"/>
              </w:rPr>
              <w:t>煤炭采选业清洁生产评价指标体系</w:t>
            </w:r>
            <w:r>
              <w:rPr>
                <w:rFonts w:ascii="Times New Roman" w:hAnsi="Times New Roman"/>
                <w:sz w:val="20"/>
              </w:rPr>
              <w:t>》一级技术指标</w:t>
            </w:r>
          </w:p>
        </w:tc>
        <w:tc>
          <w:tcPr>
            <w:tcW w:w="1458" w:type="dxa"/>
            <w:shd w:val="clear" w:color="auto" w:fill="FFFFFF"/>
            <w:tcMar>
              <w:left w:w="57" w:type="dxa"/>
              <w:right w:w="57" w:type="dxa"/>
            </w:tcMar>
            <w:vAlign w:val="center"/>
          </w:tcPr>
          <w:p w14:paraId="38254C33"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≤0.1m</w:t>
            </w:r>
            <w:r>
              <w:rPr>
                <w:rFonts w:ascii="Times New Roman" w:hAnsi="Times New Roman"/>
                <w:sz w:val="20"/>
                <w:vertAlign w:val="superscript"/>
              </w:rPr>
              <w:t>3</w:t>
            </w:r>
            <w:r>
              <w:rPr>
                <w:rFonts w:ascii="Times New Roman" w:hAnsi="Times New Roman"/>
                <w:sz w:val="20"/>
              </w:rPr>
              <w:t>/t</w:t>
            </w:r>
            <w:r>
              <w:rPr>
                <w:rFonts w:ascii="Times New Roman" w:hAnsi="Times New Roman"/>
                <w:sz w:val="20"/>
              </w:rPr>
              <w:t>煤</w:t>
            </w:r>
          </w:p>
        </w:tc>
        <w:tc>
          <w:tcPr>
            <w:tcW w:w="1094" w:type="dxa"/>
            <w:shd w:val="clear" w:color="auto" w:fill="FFFFFF"/>
            <w:vAlign w:val="center"/>
          </w:tcPr>
          <w:p w14:paraId="09E9126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6A1F5A2E" w14:textId="77777777">
        <w:trPr>
          <w:cantSplit/>
          <w:trHeight w:val="397"/>
          <w:jc w:val="center"/>
        </w:trPr>
        <w:tc>
          <w:tcPr>
            <w:tcW w:w="610" w:type="dxa"/>
            <w:vMerge/>
            <w:shd w:val="clear" w:color="auto" w:fill="FFFFFF"/>
            <w:tcMar>
              <w:left w:w="57" w:type="dxa"/>
              <w:right w:w="57" w:type="dxa"/>
            </w:tcMar>
            <w:vAlign w:val="center"/>
          </w:tcPr>
          <w:p w14:paraId="0F4BCE46" w14:textId="77777777" w:rsidR="009C353B" w:rsidRDefault="009C353B">
            <w:pPr>
              <w:adjustRightInd w:val="0"/>
              <w:snapToGrid w:val="0"/>
              <w:spacing w:line="240" w:lineRule="atLeast"/>
              <w:jc w:val="center"/>
              <w:rPr>
                <w:rFonts w:ascii="Times New Roman" w:hAnsi="Times New Roman"/>
                <w:sz w:val="20"/>
              </w:rPr>
            </w:pPr>
          </w:p>
        </w:tc>
        <w:tc>
          <w:tcPr>
            <w:tcW w:w="697" w:type="dxa"/>
            <w:vMerge w:val="restart"/>
            <w:shd w:val="clear" w:color="auto" w:fill="FFFFFF"/>
            <w:tcMar>
              <w:left w:w="28" w:type="dxa"/>
              <w:right w:w="28" w:type="dxa"/>
            </w:tcMar>
            <w:vAlign w:val="center"/>
          </w:tcPr>
          <w:p w14:paraId="6A34F9F1"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资源综合利用指标</w:t>
            </w:r>
          </w:p>
        </w:tc>
        <w:tc>
          <w:tcPr>
            <w:tcW w:w="2799" w:type="dxa"/>
            <w:gridSpan w:val="2"/>
            <w:shd w:val="clear" w:color="auto" w:fill="FFFFFF"/>
            <w:tcMar>
              <w:left w:w="57" w:type="dxa"/>
              <w:right w:w="57" w:type="dxa"/>
            </w:tcMar>
            <w:vAlign w:val="center"/>
          </w:tcPr>
          <w:p w14:paraId="0D657A54"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hint="eastAsia"/>
                <w:sz w:val="20"/>
              </w:rPr>
              <w:t>当年产生煤矸石综合利用</w:t>
            </w:r>
            <w:r>
              <w:rPr>
                <w:rFonts w:ascii="Times New Roman" w:hAnsi="Times New Roman"/>
                <w:sz w:val="20"/>
              </w:rPr>
              <w:t>率（％）</w:t>
            </w:r>
          </w:p>
        </w:tc>
        <w:tc>
          <w:tcPr>
            <w:tcW w:w="992" w:type="dxa"/>
            <w:shd w:val="clear" w:color="auto" w:fill="FFFFFF"/>
            <w:tcMar>
              <w:left w:w="57" w:type="dxa"/>
              <w:right w:w="57" w:type="dxa"/>
            </w:tcMar>
            <w:vAlign w:val="center"/>
          </w:tcPr>
          <w:p w14:paraId="0912B1F3"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6237" w:type="dxa"/>
            <w:shd w:val="clear" w:color="auto" w:fill="FFFFFF"/>
            <w:tcMar>
              <w:left w:w="57" w:type="dxa"/>
              <w:right w:w="57" w:type="dxa"/>
            </w:tcMar>
            <w:vAlign w:val="center"/>
          </w:tcPr>
          <w:p w14:paraId="2D416B0E"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矸石用于充填井下，</w:t>
            </w:r>
            <w:r>
              <w:rPr>
                <w:rStyle w:val="152"/>
                <w:rFonts w:ascii="Arial Narrow" w:hAnsi="Arial Narrow" w:hint="default"/>
                <w:color w:val="auto"/>
              </w:rPr>
              <w:t>矸石充填不畅时可排至地面临时排矸场，用于矿区塌陷区治理，可送至宝丰低热值煤综合利用电厂综合利用。</w:t>
            </w:r>
          </w:p>
        </w:tc>
        <w:tc>
          <w:tcPr>
            <w:tcW w:w="1458" w:type="dxa"/>
            <w:shd w:val="clear" w:color="auto" w:fill="FFFFFF"/>
            <w:tcMar>
              <w:left w:w="57" w:type="dxa"/>
              <w:right w:w="57" w:type="dxa"/>
            </w:tcMar>
            <w:vAlign w:val="center"/>
          </w:tcPr>
          <w:p w14:paraId="41B4BF4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4E1A82F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6BC4F115" w14:textId="77777777">
        <w:trPr>
          <w:cantSplit/>
          <w:trHeight w:val="397"/>
          <w:jc w:val="center"/>
        </w:trPr>
        <w:tc>
          <w:tcPr>
            <w:tcW w:w="610" w:type="dxa"/>
            <w:vMerge/>
            <w:shd w:val="clear" w:color="auto" w:fill="FFFFFF"/>
            <w:tcMar>
              <w:left w:w="57" w:type="dxa"/>
              <w:right w:w="57" w:type="dxa"/>
            </w:tcMar>
            <w:vAlign w:val="center"/>
          </w:tcPr>
          <w:p w14:paraId="4FD37ABD"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7F18914D"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6C8B45B5"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矿井水利用率（％）</w:t>
            </w:r>
            <w:r>
              <w:rPr>
                <w:rFonts w:ascii="Times New Roman" w:hAnsi="Times New Roman" w:hint="eastAsia"/>
                <w:sz w:val="20"/>
              </w:rPr>
              <w:t>（水资源短缺矿区）</w:t>
            </w:r>
          </w:p>
        </w:tc>
        <w:tc>
          <w:tcPr>
            <w:tcW w:w="992" w:type="dxa"/>
            <w:shd w:val="clear" w:color="auto" w:fill="FFFFFF"/>
            <w:tcMar>
              <w:left w:w="57" w:type="dxa"/>
              <w:right w:w="57" w:type="dxa"/>
            </w:tcMar>
            <w:vAlign w:val="center"/>
          </w:tcPr>
          <w:p w14:paraId="35FE3202"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73D136F0"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矿区属水资源</w:t>
            </w:r>
            <w:r>
              <w:rPr>
                <w:rFonts w:ascii="Times New Roman" w:hAnsi="Times New Roman" w:hint="eastAsia"/>
                <w:sz w:val="20"/>
              </w:rPr>
              <w:t>缺乏</w:t>
            </w:r>
            <w:r>
              <w:rPr>
                <w:rFonts w:ascii="Times New Roman" w:hAnsi="Times New Roman"/>
                <w:sz w:val="20"/>
              </w:rPr>
              <w:t>地区，矿井水</w:t>
            </w:r>
            <w:r>
              <w:rPr>
                <w:rFonts w:ascii="Times New Roman" w:hAnsi="Times New Roman"/>
                <w:sz w:val="20"/>
              </w:rPr>
              <w:t>100%</w:t>
            </w:r>
            <w:r>
              <w:rPr>
                <w:rFonts w:ascii="Times New Roman" w:hAnsi="Times New Roman"/>
                <w:sz w:val="20"/>
              </w:rPr>
              <w:t>回用</w:t>
            </w:r>
          </w:p>
        </w:tc>
        <w:tc>
          <w:tcPr>
            <w:tcW w:w="1458" w:type="dxa"/>
            <w:shd w:val="clear" w:color="auto" w:fill="FFFFFF"/>
            <w:tcMar>
              <w:left w:w="57" w:type="dxa"/>
              <w:right w:w="57" w:type="dxa"/>
            </w:tcMar>
            <w:vAlign w:val="center"/>
          </w:tcPr>
          <w:p w14:paraId="3C35889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6CC5651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451965B6" w14:textId="77777777">
        <w:trPr>
          <w:cantSplit/>
          <w:trHeight w:val="614"/>
          <w:jc w:val="center"/>
        </w:trPr>
        <w:tc>
          <w:tcPr>
            <w:tcW w:w="610" w:type="dxa"/>
            <w:vMerge/>
            <w:shd w:val="clear" w:color="auto" w:fill="FFFFFF"/>
            <w:tcMar>
              <w:left w:w="57" w:type="dxa"/>
              <w:right w:w="57" w:type="dxa"/>
            </w:tcMar>
            <w:vAlign w:val="center"/>
          </w:tcPr>
          <w:p w14:paraId="7D61B407"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2844650F"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62E5B54E"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hint="eastAsia"/>
                <w:sz w:val="20"/>
              </w:rPr>
              <w:t>矿区生活污水综合利用</w:t>
            </w:r>
            <w:r>
              <w:rPr>
                <w:rFonts w:ascii="Times New Roman" w:hAnsi="Times New Roman"/>
                <w:sz w:val="20"/>
              </w:rPr>
              <w:t>率（％）</w:t>
            </w:r>
          </w:p>
        </w:tc>
        <w:tc>
          <w:tcPr>
            <w:tcW w:w="992" w:type="dxa"/>
            <w:shd w:val="clear" w:color="auto" w:fill="FFFFFF"/>
            <w:tcMar>
              <w:left w:w="57" w:type="dxa"/>
              <w:right w:w="57" w:type="dxa"/>
            </w:tcMar>
            <w:vAlign w:val="center"/>
          </w:tcPr>
          <w:p w14:paraId="21696EC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6237" w:type="dxa"/>
            <w:shd w:val="clear" w:color="auto" w:fill="FFFFFF"/>
            <w:tcMar>
              <w:left w:w="57" w:type="dxa"/>
              <w:right w:w="57" w:type="dxa"/>
            </w:tcMar>
            <w:vAlign w:val="center"/>
          </w:tcPr>
          <w:p w14:paraId="64CB3196"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矿区属水资源</w:t>
            </w:r>
            <w:r>
              <w:rPr>
                <w:rFonts w:ascii="Times New Roman" w:hAnsi="Times New Roman" w:hint="eastAsia"/>
                <w:sz w:val="20"/>
              </w:rPr>
              <w:t>缺乏</w:t>
            </w:r>
            <w:r>
              <w:rPr>
                <w:rFonts w:ascii="Times New Roman" w:hAnsi="Times New Roman"/>
                <w:sz w:val="20"/>
              </w:rPr>
              <w:t>地区，污水</w:t>
            </w:r>
            <w:r>
              <w:rPr>
                <w:rFonts w:ascii="Times New Roman" w:hAnsi="Times New Roman"/>
                <w:sz w:val="20"/>
              </w:rPr>
              <w:t>100%</w:t>
            </w:r>
            <w:r>
              <w:rPr>
                <w:rFonts w:ascii="Times New Roman" w:hAnsi="Times New Roman"/>
                <w:sz w:val="20"/>
              </w:rPr>
              <w:t>回用</w:t>
            </w:r>
          </w:p>
        </w:tc>
        <w:tc>
          <w:tcPr>
            <w:tcW w:w="1458" w:type="dxa"/>
            <w:shd w:val="clear" w:color="auto" w:fill="FFFFFF"/>
            <w:tcMar>
              <w:left w:w="57" w:type="dxa"/>
              <w:right w:w="57" w:type="dxa"/>
            </w:tcMar>
            <w:vAlign w:val="center"/>
          </w:tcPr>
          <w:p w14:paraId="623A464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70A6ABCA"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0664ED64" w14:textId="77777777">
        <w:trPr>
          <w:cantSplit/>
          <w:trHeight w:val="397"/>
          <w:jc w:val="center"/>
        </w:trPr>
        <w:tc>
          <w:tcPr>
            <w:tcW w:w="610" w:type="dxa"/>
            <w:vMerge/>
            <w:shd w:val="clear" w:color="auto" w:fill="FFFFFF"/>
            <w:tcMar>
              <w:left w:w="57" w:type="dxa"/>
              <w:right w:w="57" w:type="dxa"/>
            </w:tcMar>
            <w:vAlign w:val="center"/>
          </w:tcPr>
          <w:p w14:paraId="7A5FBE5F" w14:textId="77777777" w:rsidR="009C353B" w:rsidRDefault="009C353B">
            <w:pPr>
              <w:adjustRightInd w:val="0"/>
              <w:snapToGrid w:val="0"/>
              <w:spacing w:line="240" w:lineRule="atLeast"/>
              <w:jc w:val="center"/>
              <w:rPr>
                <w:rFonts w:ascii="Times New Roman" w:hAnsi="Times New Roman"/>
                <w:sz w:val="20"/>
              </w:rPr>
            </w:pPr>
          </w:p>
        </w:tc>
        <w:tc>
          <w:tcPr>
            <w:tcW w:w="697" w:type="dxa"/>
            <w:vMerge w:val="restart"/>
            <w:shd w:val="clear" w:color="auto" w:fill="FFFFFF"/>
            <w:tcMar>
              <w:left w:w="28" w:type="dxa"/>
              <w:right w:w="28" w:type="dxa"/>
            </w:tcMar>
            <w:vAlign w:val="center"/>
          </w:tcPr>
          <w:p w14:paraId="461738C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资源承载力指标</w:t>
            </w:r>
          </w:p>
        </w:tc>
        <w:tc>
          <w:tcPr>
            <w:tcW w:w="2799" w:type="dxa"/>
            <w:gridSpan w:val="2"/>
            <w:shd w:val="clear" w:color="auto" w:fill="FFFFFF"/>
            <w:tcMar>
              <w:left w:w="57" w:type="dxa"/>
              <w:right w:w="57" w:type="dxa"/>
            </w:tcMar>
            <w:vAlign w:val="center"/>
          </w:tcPr>
          <w:p w14:paraId="03E8E982"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区域水资源承载力</w:t>
            </w:r>
          </w:p>
        </w:tc>
        <w:tc>
          <w:tcPr>
            <w:tcW w:w="992" w:type="dxa"/>
            <w:shd w:val="clear" w:color="auto" w:fill="FFFFFF"/>
            <w:tcMar>
              <w:left w:w="57" w:type="dxa"/>
              <w:right w:w="57" w:type="dxa"/>
            </w:tcMar>
            <w:vAlign w:val="center"/>
          </w:tcPr>
          <w:p w14:paraId="1952C5D8"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177CA9FE"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区域水资源可以支撑矿区总体规划方案的实施。</w:t>
            </w:r>
          </w:p>
        </w:tc>
        <w:tc>
          <w:tcPr>
            <w:tcW w:w="1458" w:type="dxa"/>
            <w:shd w:val="clear" w:color="auto" w:fill="FFFFFF"/>
            <w:tcMar>
              <w:left w:w="57" w:type="dxa"/>
              <w:right w:w="57" w:type="dxa"/>
            </w:tcMar>
            <w:vAlign w:val="center"/>
          </w:tcPr>
          <w:p w14:paraId="2492236E"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可承载，不对区域</w:t>
            </w:r>
            <w:r>
              <w:rPr>
                <w:rFonts w:ascii="Times New Roman" w:hAnsi="Times New Roman"/>
                <w:sz w:val="20"/>
              </w:rPr>
              <w:t>“</w:t>
            </w:r>
            <w:r>
              <w:rPr>
                <w:rFonts w:ascii="Times New Roman" w:hAnsi="Times New Roman"/>
                <w:sz w:val="20"/>
              </w:rPr>
              <w:t>三生用水</w:t>
            </w:r>
            <w:r>
              <w:rPr>
                <w:rFonts w:ascii="Times New Roman" w:hAnsi="Times New Roman"/>
                <w:sz w:val="20"/>
              </w:rPr>
              <w:t>”</w:t>
            </w:r>
            <w:r>
              <w:rPr>
                <w:rFonts w:ascii="Times New Roman" w:hAnsi="Times New Roman"/>
                <w:sz w:val="20"/>
              </w:rPr>
              <w:t>产生大的影响。</w:t>
            </w:r>
          </w:p>
        </w:tc>
        <w:tc>
          <w:tcPr>
            <w:tcW w:w="1094" w:type="dxa"/>
            <w:shd w:val="clear" w:color="auto" w:fill="FFFFFF"/>
            <w:vAlign w:val="center"/>
          </w:tcPr>
          <w:p w14:paraId="1566089B"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35F3B9B9" w14:textId="77777777">
        <w:trPr>
          <w:cantSplit/>
          <w:trHeight w:val="397"/>
          <w:jc w:val="center"/>
        </w:trPr>
        <w:tc>
          <w:tcPr>
            <w:tcW w:w="610" w:type="dxa"/>
            <w:vMerge/>
            <w:shd w:val="clear" w:color="auto" w:fill="FFFFFF"/>
            <w:tcMar>
              <w:left w:w="57" w:type="dxa"/>
              <w:right w:w="57" w:type="dxa"/>
            </w:tcMar>
            <w:vAlign w:val="center"/>
          </w:tcPr>
          <w:p w14:paraId="68F3C8F4"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6B71183F"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6CBC2065"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区域生态承载力</w:t>
            </w:r>
          </w:p>
        </w:tc>
        <w:tc>
          <w:tcPr>
            <w:tcW w:w="992" w:type="dxa"/>
            <w:shd w:val="clear" w:color="auto" w:fill="FFFFFF"/>
            <w:tcMar>
              <w:left w:w="57" w:type="dxa"/>
              <w:right w:w="57" w:type="dxa"/>
            </w:tcMar>
            <w:vAlign w:val="center"/>
          </w:tcPr>
          <w:p w14:paraId="0833B81C"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432AAF90"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矿区生态承载力较好，在开发过程中以开发和生态环境保护并重，采取的环境影响减缓措施（如废水资源化、增加环保设施投资及生态整治）可减缓矿区开发环境影响。</w:t>
            </w:r>
          </w:p>
        </w:tc>
        <w:tc>
          <w:tcPr>
            <w:tcW w:w="1458" w:type="dxa"/>
            <w:shd w:val="clear" w:color="auto" w:fill="FFFFFF"/>
            <w:tcMar>
              <w:left w:w="57" w:type="dxa"/>
              <w:right w:w="57" w:type="dxa"/>
            </w:tcMar>
            <w:vAlign w:val="center"/>
          </w:tcPr>
          <w:p w14:paraId="579DF34A"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使区域生态环境不受大的影响、维持区域生态系统功能；</w:t>
            </w:r>
            <w:r>
              <w:rPr>
                <w:rFonts w:ascii="Times New Roman" w:hAnsi="Times New Roman"/>
                <w:sz w:val="20"/>
              </w:rPr>
              <w:t xml:space="preserve"> </w:t>
            </w:r>
          </w:p>
        </w:tc>
        <w:tc>
          <w:tcPr>
            <w:tcW w:w="1094" w:type="dxa"/>
            <w:shd w:val="clear" w:color="auto" w:fill="FFFFFF"/>
            <w:vAlign w:val="center"/>
          </w:tcPr>
          <w:p w14:paraId="618B3EC3"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039676B3" w14:textId="77777777">
        <w:trPr>
          <w:cantSplit/>
          <w:trHeight w:val="397"/>
          <w:jc w:val="center"/>
        </w:trPr>
        <w:tc>
          <w:tcPr>
            <w:tcW w:w="610" w:type="dxa"/>
            <w:vMerge/>
            <w:shd w:val="clear" w:color="auto" w:fill="FFFFFF"/>
            <w:tcMar>
              <w:left w:w="57" w:type="dxa"/>
              <w:right w:w="57" w:type="dxa"/>
            </w:tcMar>
            <w:vAlign w:val="center"/>
          </w:tcPr>
          <w:p w14:paraId="6228C3D9"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50EE4D46"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6117506B"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区域土地资源承载力</w:t>
            </w:r>
          </w:p>
        </w:tc>
        <w:tc>
          <w:tcPr>
            <w:tcW w:w="992" w:type="dxa"/>
            <w:shd w:val="clear" w:color="auto" w:fill="FFFFFF"/>
            <w:tcMar>
              <w:left w:w="57" w:type="dxa"/>
              <w:right w:w="57" w:type="dxa"/>
            </w:tcMar>
            <w:vAlign w:val="center"/>
          </w:tcPr>
          <w:p w14:paraId="5674F87B"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606D57D4"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矿区开发不会对区域土地利用现状造成大的改变</w:t>
            </w:r>
          </w:p>
        </w:tc>
        <w:tc>
          <w:tcPr>
            <w:tcW w:w="1458" w:type="dxa"/>
            <w:shd w:val="clear" w:color="auto" w:fill="FFFFFF"/>
            <w:tcMar>
              <w:left w:w="57" w:type="dxa"/>
              <w:right w:w="57" w:type="dxa"/>
            </w:tcMar>
            <w:vAlign w:val="center"/>
          </w:tcPr>
          <w:p w14:paraId="5DCF555A"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可承载，不对区域土地利用结构产生大的影响</w:t>
            </w:r>
          </w:p>
        </w:tc>
        <w:tc>
          <w:tcPr>
            <w:tcW w:w="1094" w:type="dxa"/>
            <w:shd w:val="clear" w:color="auto" w:fill="FFFFFF"/>
            <w:vAlign w:val="center"/>
          </w:tcPr>
          <w:p w14:paraId="760A48C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24317FEB" w14:textId="77777777">
        <w:trPr>
          <w:cantSplit/>
          <w:trHeight w:val="397"/>
          <w:jc w:val="center"/>
        </w:trPr>
        <w:tc>
          <w:tcPr>
            <w:tcW w:w="610" w:type="dxa"/>
            <w:vMerge w:val="restart"/>
            <w:shd w:val="clear" w:color="auto" w:fill="FFFFFF"/>
            <w:tcMar>
              <w:left w:w="57" w:type="dxa"/>
              <w:right w:w="57" w:type="dxa"/>
            </w:tcMar>
            <w:vAlign w:val="center"/>
          </w:tcPr>
          <w:p w14:paraId="3E546F4B"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污染防治</w:t>
            </w:r>
          </w:p>
        </w:tc>
        <w:tc>
          <w:tcPr>
            <w:tcW w:w="697" w:type="dxa"/>
            <w:vMerge w:val="restart"/>
            <w:shd w:val="clear" w:color="auto" w:fill="FFFFFF"/>
            <w:tcMar>
              <w:left w:w="28" w:type="dxa"/>
              <w:right w:w="28" w:type="dxa"/>
            </w:tcMar>
            <w:vAlign w:val="center"/>
          </w:tcPr>
          <w:p w14:paraId="483E67E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大气污染控制指标</w:t>
            </w:r>
          </w:p>
        </w:tc>
        <w:tc>
          <w:tcPr>
            <w:tcW w:w="2799" w:type="dxa"/>
            <w:gridSpan w:val="2"/>
            <w:shd w:val="clear" w:color="auto" w:fill="FFFFFF"/>
            <w:tcMar>
              <w:left w:w="57" w:type="dxa"/>
              <w:right w:w="57" w:type="dxa"/>
            </w:tcMar>
            <w:vAlign w:val="center"/>
          </w:tcPr>
          <w:p w14:paraId="1D25436B"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工业废气处理率</w:t>
            </w:r>
          </w:p>
        </w:tc>
        <w:tc>
          <w:tcPr>
            <w:tcW w:w="992" w:type="dxa"/>
            <w:shd w:val="clear" w:color="auto" w:fill="FFFFFF"/>
            <w:tcMar>
              <w:left w:w="57" w:type="dxa"/>
              <w:right w:w="57" w:type="dxa"/>
            </w:tcMar>
            <w:vAlign w:val="center"/>
          </w:tcPr>
          <w:p w14:paraId="39981752"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val="restart"/>
            <w:shd w:val="clear" w:color="auto" w:fill="FFFFFF"/>
            <w:tcMar>
              <w:left w:w="57" w:type="dxa"/>
              <w:right w:w="57" w:type="dxa"/>
            </w:tcMar>
            <w:vAlign w:val="center"/>
          </w:tcPr>
          <w:p w14:paraId="1AC36827"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按照环境保护及环评一般要求，要求矿区工业废气处理率和大气污染源达标排放率必须达到</w:t>
            </w:r>
            <w:r>
              <w:rPr>
                <w:rFonts w:ascii="Times New Roman" w:hAnsi="Times New Roman"/>
                <w:sz w:val="20"/>
              </w:rPr>
              <w:t>100%</w:t>
            </w:r>
          </w:p>
        </w:tc>
        <w:tc>
          <w:tcPr>
            <w:tcW w:w="1458" w:type="dxa"/>
            <w:shd w:val="clear" w:color="auto" w:fill="FFFFFF"/>
            <w:tcMar>
              <w:left w:w="57" w:type="dxa"/>
              <w:right w:w="57" w:type="dxa"/>
            </w:tcMar>
            <w:vAlign w:val="center"/>
          </w:tcPr>
          <w:p w14:paraId="557F5EF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126ABF17"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09F630BE" w14:textId="77777777">
        <w:trPr>
          <w:cantSplit/>
          <w:trHeight w:val="397"/>
          <w:jc w:val="center"/>
        </w:trPr>
        <w:tc>
          <w:tcPr>
            <w:tcW w:w="610" w:type="dxa"/>
            <w:vMerge/>
            <w:shd w:val="clear" w:color="auto" w:fill="FFFFFF"/>
            <w:tcMar>
              <w:left w:w="57" w:type="dxa"/>
              <w:right w:w="57" w:type="dxa"/>
            </w:tcMar>
            <w:vAlign w:val="center"/>
          </w:tcPr>
          <w:p w14:paraId="1A051471"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4FEE041F"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792107A1" w14:textId="77777777" w:rsidR="009C353B" w:rsidRDefault="00000000">
            <w:pPr>
              <w:adjustRightInd w:val="0"/>
              <w:snapToGrid w:val="0"/>
              <w:spacing w:line="240" w:lineRule="atLeast"/>
              <w:jc w:val="left"/>
              <w:rPr>
                <w:rFonts w:ascii="Times New Roman" w:hAnsi="Times New Roman"/>
                <w:spacing w:val="-10"/>
                <w:sz w:val="20"/>
              </w:rPr>
            </w:pPr>
            <w:r>
              <w:rPr>
                <w:rFonts w:ascii="Times New Roman" w:hAnsi="Times New Roman"/>
                <w:spacing w:val="-10"/>
                <w:sz w:val="20"/>
              </w:rPr>
              <w:t>大气污染物达标排放率</w:t>
            </w:r>
          </w:p>
        </w:tc>
        <w:tc>
          <w:tcPr>
            <w:tcW w:w="992" w:type="dxa"/>
            <w:shd w:val="clear" w:color="auto" w:fill="FFFFFF"/>
            <w:tcMar>
              <w:left w:w="57" w:type="dxa"/>
              <w:right w:w="57" w:type="dxa"/>
            </w:tcMar>
            <w:vAlign w:val="center"/>
          </w:tcPr>
          <w:p w14:paraId="032E9AB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shd w:val="clear" w:color="auto" w:fill="FFFFFF"/>
            <w:tcMar>
              <w:left w:w="57" w:type="dxa"/>
              <w:right w:w="57" w:type="dxa"/>
            </w:tcMar>
            <w:vAlign w:val="center"/>
          </w:tcPr>
          <w:p w14:paraId="2DF0F455" w14:textId="77777777" w:rsidR="009C353B" w:rsidRDefault="009C353B">
            <w:pPr>
              <w:adjustRightInd w:val="0"/>
              <w:snapToGrid w:val="0"/>
              <w:spacing w:line="240" w:lineRule="atLeast"/>
              <w:rPr>
                <w:rFonts w:ascii="Times New Roman" w:hAnsi="Times New Roman"/>
                <w:sz w:val="20"/>
              </w:rPr>
            </w:pPr>
          </w:p>
        </w:tc>
        <w:tc>
          <w:tcPr>
            <w:tcW w:w="1458" w:type="dxa"/>
            <w:shd w:val="clear" w:color="auto" w:fill="FFFFFF"/>
            <w:tcMar>
              <w:left w:w="57" w:type="dxa"/>
              <w:right w:w="57" w:type="dxa"/>
            </w:tcMar>
            <w:vAlign w:val="center"/>
          </w:tcPr>
          <w:p w14:paraId="0FDA22AC"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3E70D708"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4155A349" w14:textId="77777777">
        <w:trPr>
          <w:cantSplit/>
          <w:trHeight w:val="397"/>
          <w:jc w:val="center"/>
        </w:trPr>
        <w:tc>
          <w:tcPr>
            <w:tcW w:w="610" w:type="dxa"/>
            <w:vMerge/>
            <w:shd w:val="clear" w:color="auto" w:fill="FFFFFF"/>
            <w:tcMar>
              <w:left w:w="57" w:type="dxa"/>
              <w:right w:w="57" w:type="dxa"/>
            </w:tcMar>
            <w:vAlign w:val="center"/>
          </w:tcPr>
          <w:p w14:paraId="44B88C8A" w14:textId="77777777" w:rsidR="009C353B" w:rsidRDefault="009C353B">
            <w:pPr>
              <w:adjustRightInd w:val="0"/>
              <w:snapToGrid w:val="0"/>
              <w:spacing w:line="240" w:lineRule="atLeast"/>
              <w:jc w:val="center"/>
              <w:rPr>
                <w:rFonts w:ascii="Times New Roman" w:hAnsi="Times New Roman"/>
                <w:sz w:val="20"/>
              </w:rPr>
            </w:pPr>
          </w:p>
        </w:tc>
        <w:tc>
          <w:tcPr>
            <w:tcW w:w="697" w:type="dxa"/>
            <w:vMerge w:val="restart"/>
            <w:shd w:val="clear" w:color="auto" w:fill="FFFFFF"/>
            <w:tcMar>
              <w:left w:w="28" w:type="dxa"/>
              <w:right w:w="28" w:type="dxa"/>
            </w:tcMar>
            <w:vAlign w:val="center"/>
          </w:tcPr>
          <w:p w14:paraId="76F467B7"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水污染控制指标</w:t>
            </w:r>
          </w:p>
        </w:tc>
        <w:tc>
          <w:tcPr>
            <w:tcW w:w="2799" w:type="dxa"/>
            <w:gridSpan w:val="2"/>
            <w:shd w:val="clear" w:color="auto" w:fill="FFFFFF"/>
            <w:tcMar>
              <w:left w:w="57" w:type="dxa"/>
              <w:right w:w="57" w:type="dxa"/>
            </w:tcMar>
            <w:vAlign w:val="center"/>
          </w:tcPr>
          <w:p w14:paraId="193BD2AA"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工业废水及生活污水处理率</w:t>
            </w:r>
          </w:p>
        </w:tc>
        <w:tc>
          <w:tcPr>
            <w:tcW w:w="992" w:type="dxa"/>
            <w:shd w:val="clear" w:color="auto" w:fill="FFFFFF"/>
            <w:tcMar>
              <w:left w:w="57" w:type="dxa"/>
              <w:right w:w="57" w:type="dxa"/>
            </w:tcMar>
            <w:vAlign w:val="center"/>
          </w:tcPr>
          <w:p w14:paraId="270D8EEA"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4E30619A"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要求矿区工业废水和生活污水处理率必须达到</w:t>
            </w:r>
            <w:r>
              <w:rPr>
                <w:rFonts w:ascii="Times New Roman" w:hAnsi="Times New Roman"/>
                <w:sz w:val="20"/>
              </w:rPr>
              <w:t>100%</w:t>
            </w:r>
          </w:p>
        </w:tc>
        <w:tc>
          <w:tcPr>
            <w:tcW w:w="1458" w:type="dxa"/>
            <w:shd w:val="clear" w:color="auto" w:fill="FFFFFF"/>
            <w:tcMar>
              <w:left w:w="57" w:type="dxa"/>
              <w:right w:w="57" w:type="dxa"/>
            </w:tcMar>
            <w:vAlign w:val="center"/>
          </w:tcPr>
          <w:p w14:paraId="311D2C6F"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473E6FD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25F8486A" w14:textId="77777777">
        <w:trPr>
          <w:cantSplit/>
          <w:trHeight w:val="397"/>
          <w:jc w:val="center"/>
        </w:trPr>
        <w:tc>
          <w:tcPr>
            <w:tcW w:w="610" w:type="dxa"/>
            <w:vMerge/>
            <w:shd w:val="clear" w:color="auto" w:fill="FFFFFF"/>
            <w:tcMar>
              <w:left w:w="57" w:type="dxa"/>
              <w:right w:w="57" w:type="dxa"/>
            </w:tcMar>
            <w:vAlign w:val="center"/>
          </w:tcPr>
          <w:p w14:paraId="0D65FDFD"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1CCD9DEA"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172FED08"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水污染达标排放率</w:t>
            </w:r>
          </w:p>
        </w:tc>
        <w:tc>
          <w:tcPr>
            <w:tcW w:w="992" w:type="dxa"/>
            <w:shd w:val="clear" w:color="auto" w:fill="FFFFFF"/>
            <w:tcMar>
              <w:left w:w="57" w:type="dxa"/>
              <w:right w:w="57" w:type="dxa"/>
            </w:tcMar>
            <w:vAlign w:val="center"/>
          </w:tcPr>
          <w:p w14:paraId="24A50946"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6A619333"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无污水外排</w:t>
            </w:r>
          </w:p>
        </w:tc>
        <w:tc>
          <w:tcPr>
            <w:tcW w:w="1458" w:type="dxa"/>
            <w:shd w:val="clear" w:color="auto" w:fill="FFFFFF"/>
            <w:tcMar>
              <w:left w:w="57" w:type="dxa"/>
              <w:right w:w="57" w:type="dxa"/>
            </w:tcMar>
            <w:vAlign w:val="center"/>
          </w:tcPr>
          <w:p w14:paraId="3C590463"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1094" w:type="dxa"/>
            <w:shd w:val="clear" w:color="auto" w:fill="FFFFFF"/>
            <w:vAlign w:val="center"/>
          </w:tcPr>
          <w:p w14:paraId="3E0A2348"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45AB88EF" w14:textId="77777777">
        <w:trPr>
          <w:cantSplit/>
          <w:trHeight w:val="397"/>
          <w:jc w:val="center"/>
        </w:trPr>
        <w:tc>
          <w:tcPr>
            <w:tcW w:w="610" w:type="dxa"/>
            <w:vMerge/>
            <w:shd w:val="clear" w:color="auto" w:fill="FFFFFF"/>
            <w:tcMar>
              <w:left w:w="57" w:type="dxa"/>
              <w:right w:w="57" w:type="dxa"/>
            </w:tcMar>
            <w:vAlign w:val="center"/>
          </w:tcPr>
          <w:p w14:paraId="40FEDA62" w14:textId="77777777" w:rsidR="009C353B" w:rsidRDefault="009C353B">
            <w:pPr>
              <w:adjustRightInd w:val="0"/>
              <w:snapToGrid w:val="0"/>
              <w:spacing w:line="240" w:lineRule="atLeast"/>
              <w:jc w:val="center"/>
              <w:rPr>
                <w:rFonts w:ascii="Times New Roman" w:hAnsi="Times New Roman"/>
                <w:sz w:val="20"/>
              </w:rPr>
            </w:pPr>
          </w:p>
        </w:tc>
        <w:tc>
          <w:tcPr>
            <w:tcW w:w="697" w:type="dxa"/>
            <w:vMerge w:val="restart"/>
            <w:shd w:val="clear" w:color="auto" w:fill="FFFFFF"/>
            <w:tcMar>
              <w:left w:w="28" w:type="dxa"/>
              <w:right w:w="28" w:type="dxa"/>
            </w:tcMar>
            <w:vAlign w:val="center"/>
          </w:tcPr>
          <w:p w14:paraId="0C0CAD3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固体废物处置指标</w:t>
            </w:r>
          </w:p>
        </w:tc>
        <w:tc>
          <w:tcPr>
            <w:tcW w:w="2799" w:type="dxa"/>
            <w:gridSpan w:val="2"/>
            <w:shd w:val="clear" w:color="auto" w:fill="FFFFFF"/>
            <w:tcMar>
              <w:left w:w="57" w:type="dxa"/>
              <w:right w:w="57" w:type="dxa"/>
            </w:tcMar>
            <w:vAlign w:val="center"/>
          </w:tcPr>
          <w:p w14:paraId="5D5D884B"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煤矸石、煤泥处置率</w:t>
            </w:r>
          </w:p>
        </w:tc>
        <w:tc>
          <w:tcPr>
            <w:tcW w:w="992" w:type="dxa"/>
            <w:shd w:val="clear" w:color="auto" w:fill="FFFFFF"/>
            <w:tcMar>
              <w:left w:w="57" w:type="dxa"/>
              <w:right w:w="57" w:type="dxa"/>
            </w:tcMar>
            <w:vAlign w:val="center"/>
          </w:tcPr>
          <w:p w14:paraId="68428E5E"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6237" w:type="dxa"/>
            <w:vMerge w:val="restart"/>
            <w:shd w:val="clear" w:color="auto" w:fill="FFFFFF"/>
            <w:tcMar>
              <w:left w:w="57" w:type="dxa"/>
              <w:right w:w="57" w:type="dxa"/>
            </w:tcMar>
            <w:vAlign w:val="center"/>
          </w:tcPr>
          <w:p w14:paraId="5C5CA648"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煤矸石、生活垃圾、污水处理站污泥处置率要达到</w:t>
            </w:r>
            <w:r>
              <w:rPr>
                <w:rFonts w:ascii="Times New Roman" w:hAnsi="Times New Roman"/>
                <w:sz w:val="20"/>
              </w:rPr>
              <w:t>100%</w:t>
            </w:r>
            <w:r>
              <w:rPr>
                <w:rFonts w:ascii="Times New Roman" w:hAnsi="Times New Roman"/>
                <w:sz w:val="20"/>
              </w:rPr>
              <w:t>处</w:t>
            </w:r>
          </w:p>
        </w:tc>
        <w:tc>
          <w:tcPr>
            <w:tcW w:w="1458" w:type="dxa"/>
            <w:shd w:val="clear" w:color="auto" w:fill="FFFFFF"/>
            <w:tcMar>
              <w:left w:w="57" w:type="dxa"/>
              <w:right w:w="57" w:type="dxa"/>
            </w:tcMar>
            <w:vAlign w:val="center"/>
          </w:tcPr>
          <w:p w14:paraId="6963F4D7"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3AB4D06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3F5DCFA9" w14:textId="77777777">
        <w:trPr>
          <w:cantSplit/>
          <w:trHeight w:val="397"/>
          <w:jc w:val="center"/>
        </w:trPr>
        <w:tc>
          <w:tcPr>
            <w:tcW w:w="610" w:type="dxa"/>
            <w:vMerge/>
            <w:shd w:val="clear" w:color="auto" w:fill="FFFFFF"/>
            <w:tcMar>
              <w:left w:w="57" w:type="dxa"/>
              <w:right w:w="57" w:type="dxa"/>
            </w:tcMar>
            <w:vAlign w:val="center"/>
          </w:tcPr>
          <w:p w14:paraId="60B11549"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048A70E8"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4E1A3086"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pacing w:val="-10"/>
                <w:sz w:val="20"/>
              </w:rPr>
              <w:t>生活垃圾无害化处置率</w:t>
            </w:r>
          </w:p>
        </w:tc>
        <w:tc>
          <w:tcPr>
            <w:tcW w:w="992" w:type="dxa"/>
            <w:shd w:val="clear" w:color="auto" w:fill="FFFFFF"/>
            <w:tcMar>
              <w:left w:w="57" w:type="dxa"/>
              <w:right w:w="57" w:type="dxa"/>
            </w:tcMar>
            <w:vAlign w:val="center"/>
          </w:tcPr>
          <w:p w14:paraId="5DC4600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6237" w:type="dxa"/>
            <w:vMerge/>
            <w:shd w:val="clear" w:color="auto" w:fill="FFFFFF"/>
            <w:tcMar>
              <w:left w:w="57" w:type="dxa"/>
              <w:right w:w="57" w:type="dxa"/>
            </w:tcMar>
            <w:vAlign w:val="center"/>
          </w:tcPr>
          <w:p w14:paraId="51A46367" w14:textId="77777777" w:rsidR="009C353B" w:rsidRDefault="009C353B">
            <w:pPr>
              <w:adjustRightInd w:val="0"/>
              <w:snapToGrid w:val="0"/>
              <w:spacing w:line="240" w:lineRule="atLeast"/>
              <w:rPr>
                <w:rFonts w:ascii="Times New Roman" w:hAnsi="Times New Roman"/>
                <w:sz w:val="20"/>
              </w:rPr>
            </w:pPr>
          </w:p>
        </w:tc>
        <w:tc>
          <w:tcPr>
            <w:tcW w:w="1458" w:type="dxa"/>
            <w:shd w:val="clear" w:color="auto" w:fill="FFFFFF"/>
            <w:tcMar>
              <w:left w:w="57" w:type="dxa"/>
              <w:right w:w="57" w:type="dxa"/>
            </w:tcMar>
            <w:vAlign w:val="center"/>
          </w:tcPr>
          <w:p w14:paraId="2A863A1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7A70404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3CC8C017" w14:textId="77777777">
        <w:trPr>
          <w:cantSplit/>
          <w:trHeight w:val="397"/>
          <w:jc w:val="center"/>
        </w:trPr>
        <w:tc>
          <w:tcPr>
            <w:tcW w:w="610" w:type="dxa"/>
            <w:vMerge/>
            <w:shd w:val="clear" w:color="auto" w:fill="FFFFFF"/>
            <w:tcMar>
              <w:left w:w="57" w:type="dxa"/>
              <w:right w:w="57" w:type="dxa"/>
            </w:tcMar>
            <w:vAlign w:val="center"/>
          </w:tcPr>
          <w:p w14:paraId="0CF45C57"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15873632"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7F36E5AA"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pacing w:val="-10"/>
                <w:sz w:val="20"/>
              </w:rPr>
              <w:t>污泥处置率</w:t>
            </w:r>
          </w:p>
        </w:tc>
        <w:tc>
          <w:tcPr>
            <w:tcW w:w="992" w:type="dxa"/>
            <w:shd w:val="clear" w:color="auto" w:fill="FFFFFF"/>
            <w:tcMar>
              <w:left w:w="57" w:type="dxa"/>
              <w:right w:w="57" w:type="dxa"/>
            </w:tcMar>
            <w:vAlign w:val="center"/>
          </w:tcPr>
          <w:p w14:paraId="7815B23A"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6237" w:type="dxa"/>
            <w:vMerge/>
            <w:shd w:val="clear" w:color="auto" w:fill="FFFFFF"/>
            <w:tcMar>
              <w:left w:w="57" w:type="dxa"/>
              <w:right w:w="57" w:type="dxa"/>
            </w:tcMar>
            <w:vAlign w:val="center"/>
          </w:tcPr>
          <w:p w14:paraId="7363447E" w14:textId="77777777" w:rsidR="009C353B" w:rsidRDefault="009C353B">
            <w:pPr>
              <w:adjustRightInd w:val="0"/>
              <w:snapToGrid w:val="0"/>
              <w:spacing w:line="240" w:lineRule="atLeast"/>
              <w:rPr>
                <w:rFonts w:ascii="Times New Roman" w:hAnsi="Times New Roman"/>
                <w:sz w:val="20"/>
              </w:rPr>
            </w:pPr>
          </w:p>
        </w:tc>
        <w:tc>
          <w:tcPr>
            <w:tcW w:w="1458" w:type="dxa"/>
            <w:shd w:val="clear" w:color="auto" w:fill="FFFFFF"/>
            <w:tcMar>
              <w:left w:w="57" w:type="dxa"/>
              <w:right w:w="57" w:type="dxa"/>
            </w:tcMar>
            <w:vAlign w:val="center"/>
          </w:tcPr>
          <w:p w14:paraId="4247857E"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4CD9060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23CDD564" w14:textId="77777777">
        <w:trPr>
          <w:cantSplit/>
          <w:trHeight w:val="397"/>
          <w:jc w:val="center"/>
        </w:trPr>
        <w:tc>
          <w:tcPr>
            <w:tcW w:w="610" w:type="dxa"/>
            <w:vMerge/>
            <w:shd w:val="clear" w:color="auto" w:fill="FFFFFF"/>
            <w:tcMar>
              <w:left w:w="57" w:type="dxa"/>
              <w:right w:w="57" w:type="dxa"/>
            </w:tcMar>
            <w:vAlign w:val="center"/>
          </w:tcPr>
          <w:p w14:paraId="7C7DF6C3" w14:textId="77777777" w:rsidR="009C353B" w:rsidRDefault="009C353B">
            <w:pPr>
              <w:adjustRightInd w:val="0"/>
              <w:snapToGrid w:val="0"/>
              <w:spacing w:line="240" w:lineRule="atLeast"/>
              <w:jc w:val="center"/>
              <w:rPr>
                <w:rFonts w:ascii="Times New Roman" w:hAnsi="Times New Roman"/>
                <w:sz w:val="20"/>
              </w:rPr>
            </w:pPr>
          </w:p>
        </w:tc>
        <w:tc>
          <w:tcPr>
            <w:tcW w:w="697" w:type="dxa"/>
            <w:shd w:val="clear" w:color="auto" w:fill="FFFFFF"/>
            <w:tcMar>
              <w:left w:w="28" w:type="dxa"/>
              <w:right w:w="28" w:type="dxa"/>
            </w:tcMar>
            <w:vAlign w:val="center"/>
          </w:tcPr>
          <w:p w14:paraId="077090D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噪声环境影响指标</w:t>
            </w:r>
          </w:p>
        </w:tc>
        <w:tc>
          <w:tcPr>
            <w:tcW w:w="2799" w:type="dxa"/>
            <w:gridSpan w:val="2"/>
            <w:shd w:val="clear" w:color="auto" w:fill="FFFFFF"/>
            <w:tcMar>
              <w:left w:w="57" w:type="dxa"/>
              <w:right w:w="57" w:type="dxa"/>
            </w:tcMar>
            <w:vAlign w:val="center"/>
          </w:tcPr>
          <w:p w14:paraId="0470BD68" w14:textId="77777777" w:rsidR="009C353B" w:rsidRDefault="00000000">
            <w:pPr>
              <w:adjustRightInd w:val="0"/>
              <w:snapToGrid w:val="0"/>
              <w:spacing w:line="240" w:lineRule="atLeast"/>
              <w:jc w:val="left"/>
              <w:rPr>
                <w:rFonts w:ascii="Times New Roman" w:hAnsi="Times New Roman"/>
                <w:spacing w:val="-10"/>
                <w:sz w:val="20"/>
              </w:rPr>
            </w:pPr>
            <w:r>
              <w:rPr>
                <w:rFonts w:ascii="Times New Roman" w:hAnsi="Times New Roman"/>
                <w:sz w:val="20"/>
              </w:rPr>
              <w:t>声环境功能区达标率</w:t>
            </w:r>
          </w:p>
        </w:tc>
        <w:tc>
          <w:tcPr>
            <w:tcW w:w="992" w:type="dxa"/>
            <w:shd w:val="clear" w:color="auto" w:fill="FFFFFF"/>
            <w:tcMar>
              <w:left w:w="57" w:type="dxa"/>
              <w:right w:w="57" w:type="dxa"/>
            </w:tcMar>
            <w:vAlign w:val="center"/>
          </w:tcPr>
          <w:p w14:paraId="741EEE9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6237" w:type="dxa"/>
            <w:vMerge/>
            <w:shd w:val="clear" w:color="auto" w:fill="FFFFFF"/>
            <w:tcMar>
              <w:left w:w="57" w:type="dxa"/>
              <w:right w:w="57" w:type="dxa"/>
            </w:tcMar>
            <w:vAlign w:val="center"/>
          </w:tcPr>
          <w:p w14:paraId="61B3C5FC" w14:textId="77777777" w:rsidR="009C353B" w:rsidRDefault="009C353B">
            <w:pPr>
              <w:adjustRightInd w:val="0"/>
              <w:snapToGrid w:val="0"/>
              <w:spacing w:line="240" w:lineRule="atLeast"/>
              <w:rPr>
                <w:rFonts w:ascii="Times New Roman" w:hAnsi="Times New Roman"/>
                <w:sz w:val="20"/>
              </w:rPr>
            </w:pPr>
          </w:p>
        </w:tc>
        <w:tc>
          <w:tcPr>
            <w:tcW w:w="1458" w:type="dxa"/>
            <w:shd w:val="clear" w:color="auto" w:fill="FFFFFF"/>
            <w:tcMar>
              <w:left w:w="57" w:type="dxa"/>
              <w:right w:w="57" w:type="dxa"/>
            </w:tcMar>
            <w:vAlign w:val="center"/>
          </w:tcPr>
          <w:p w14:paraId="48BF382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6AD90CD2"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37D0DA00" w14:textId="77777777">
        <w:trPr>
          <w:cantSplit/>
          <w:trHeight w:val="397"/>
          <w:jc w:val="center"/>
        </w:trPr>
        <w:tc>
          <w:tcPr>
            <w:tcW w:w="610" w:type="dxa"/>
            <w:vMerge w:val="restart"/>
            <w:shd w:val="clear" w:color="auto" w:fill="FFFFFF"/>
            <w:tcMar>
              <w:left w:w="57" w:type="dxa"/>
              <w:right w:w="57" w:type="dxa"/>
            </w:tcMar>
            <w:vAlign w:val="center"/>
          </w:tcPr>
          <w:p w14:paraId="2A8035F8"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环境质量改善</w:t>
            </w:r>
          </w:p>
        </w:tc>
        <w:tc>
          <w:tcPr>
            <w:tcW w:w="697" w:type="dxa"/>
            <w:shd w:val="clear" w:color="auto" w:fill="FFFFFF"/>
            <w:tcMar>
              <w:left w:w="28" w:type="dxa"/>
              <w:right w:w="28" w:type="dxa"/>
            </w:tcMar>
            <w:vAlign w:val="center"/>
          </w:tcPr>
          <w:p w14:paraId="13A3405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环境</w:t>
            </w:r>
          </w:p>
          <w:p w14:paraId="78E8FE62"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空气</w:t>
            </w:r>
          </w:p>
        </w:tc>
        <w:tc>
          <w:tcPr>
            <w:tcW w:w="2799" w:type="dxa"/>
            <w:gridSpan w:val="2"/>
            <w:shd w:val="clear" w:color="auto" w:fill="FFFFFF"/>
            <w:tcMar>
              <w:left w:w="57" w:type="dxa"/>
              <w:right w:w="57" w:type="dxa"/>
            </w:tcMar>
            <w:vAlign w:val="center"/>
          </w:tcPr>
          <w:p w14:paraId="1D73E433"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环境空气质量</w:t>
            </w:r>
            <w:r>
              <w:rPr>
                <w:rFonts w:ascii="Times New Roman" w:hAnsi="Times New Roman" w:hint="eastAsia"/>
                <w:sz w:val="20"/>
              </w:rPr>
              <w:t>2</w:t>
            </w:r>
            <w:r>
              <w:rPr>
                <w:rFonts w:ascii="Times New Roman" w:hAnsi="Times New Roman" w:hint="eastAsia"/>
                <w:sz w:val="20"/>
              </w:rPr>
              <w:t>类区达标率</w:t>
            </w:r>
          </w:p>
        </w:tc>
        <w:tc>
          <w:tcPr>
            <w:tcW w:w="992" w:type="dxa"/>
            <w:shd w:val="clear" w:color="auto" w:fill="FFFFFF"/>
            <w:tcMar>
              <w:left w:w="57" w:type="dxa"/>
              <w:right w:w="57" w:type="dxa"/>
            </w:tcMar>
            <w:vAlign w:val="center"/>
          </w:tcPr>
          <w:p w14:paraId="02062FE7"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42686D4F"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矿区环境空气质量</w:t>
            </w:r>
            <w:r>
              <w:rPr>
                <w:rFonts w:ascii="Times New Roman" w:hAnsi="Times New Roman" w:hint="eastAsia"/>
                <w:sz w:val="20"/>
              </w:rPr>
              <w:t>保持</w:t>
            </w:r>
            <w:r>
              <w:rPr>
                <w:rFonts w:ascii="Times New Roman" w:hAnsi="Times New Roman" w:hint="eastAsia"/>
                <w:sz w:val="20"/>
              </w:rPr>
              <w:t>2</w:t>
            </w:r>
            <w:r>
              <w:rPr>
                <w:rFonts w:ascii="Times New Roman" w:hAnsi="Times New Roman" w:hint="eastAsia"/>
                <w:sz w:val="20"/>
              </w:rPr>
              <w:t>类区</w:t>
            </w:r>
          </w:p>
        </w:tc>
        <w:tc>
          <w:tcPr>
            <w:tcW w:w="1458" w:type="dxa"/>
            <w:shd w:val="clear" w:color="auto" w:fill="FFFFFF"/>
            <w:tcMar>
              <w:left w:w="57" w:type="dxa"/>
              <w:right w:w="57" w:type="dxa"/>
            </w:tcMar>
            <w:vAlign w:val="center"/>
          </w:tcPr>
          <w:p w14:paraId="3B3658FA"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2F00412B"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102E1F07" w14:textId="77777777">
        <w:trPr>
          <w:cantSplit/>
          <w:trHeight w:val="397"/>
          <w:jc w:val="center"/>
        </w:trPr>
        <w:tc>
          <w:tcPr>
            <w:tcW w:w="610" w:type="dxa"/>
            <w:vMerge/>
            <w:shd w:val="clear" w:color="auto" w:fill="FFFFFF"/>
            <w:tcMar>
              <w:left w:w="57" w:type="dxa"/>
              <w:right w:w="57" w:type="dxa"/>
            </w:tcMar>
            <w:vAlign w:val="center"/>
          </w:tcPr>
          <w:p w14:paraId="6248017F" w14:textId="77777777" w:rsidR="009C353B" w:rsidRDefault="009C353B">
            <w:pPr>
              <w:adjustRightInd w:val="0"/>
              <w:snapToGrid w:val="0"/>
              <w:spacing w:line="240" w:lineRule="atLeast"/>
              <w:jc w:val="center"/>
              <w:rPr>
                <w:rFonts w:ascii="Times New Roman" w:hAnsi="Times New Roman"/>
                <w:sz w:val="20"/>
              </w:rPr>
            </w:pPr>
          </w:p>
        </w:tc>
        <w:tc>
          <w:tcPr>
            <w:tcW w:w="697" w:type="dxa"/>
            <w:shd w:val="clear" w:color="auto" w:fill="FFFFFF"/>
            <w:tcMar>
              <w:left w:w="28" w:type="dxa"/>
              <w:right w:w="28" w:type="dxa"/>
            </w:tcMar>
            <w:vAlign w:val="center"/>
          </w:tcPr>
          <w:p w14:paraId="7F6E5A9F"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地表水</w:t>
            </w:r>
          </w:p>
        </w:tc>
        <w:tc>
          <w:tcPr>
            <w:tcW w:w="2799" w:type="dxa"/>
            <w:gridSpan w:val="2"/>
            <w:shd w:val="clear" w:color="auto" w:fill="FFFFFF"/>
            <w:tcMar>
              <w:left w:w="57" w:type="dxa"/>
              <w:right w:w="57" w:type="dxa"/>
            </w:tcMar>
            <w:vAlign w:val="center"/>
          </w:tcPr>
          <w:p w14:paraId="47977EC5"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地表水</w:t>
            </w:r>
            <w:r>
              <w:rPr>
                <w:rFonts w:hint="eastAsia"/>
                <w:sz w:val="20"/>
              </w:rPr>
              <w:t>Ⅳ</w:t>
            </w:r>
            <w:r>
              <w:rPr>
                <w:rFonts w:ascii="Times New Roman" w:hAnsi="Times New Roman"/>
                <w:sz w:val="20"/>
              </w:rPr>
              <w:t>类水体</w:t>
            </w:r>
            <w:r>
              <w:rPr>
                <w:rFonts w:ascii="Times New Roman" w:hAnsi="Times New Roman" w:hint="eastAsia"/>
                <w:sz w:val="20"/>
              </w:rPr>
              <w:t>达标率</w:t>
            </w:r>
          </w:p>
        </w:tc>
        <w:tc>
          <w:tcPr>
            <w:tcW w:w="992" w:type="dxa"/>
            <w:shd w:val="clear" w:color="auto" w:fill="FFFFFF"/>
            <w:tcMar>
              <w:left w:w="57" w:type="dxa"/>
              <w:right w:w="57" w:type="dxa"/>
            </w:tcMar>
            <w:vAlign w:val="center"/>
          </w:tcPr>
          <w:p w14:paraId="19E732E5"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5598412C"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矿区地表水保持</w:t>
            </w:r>
            <w:r>
              <w:rPr>
                <w:rFonts w:hint="eastAsia"/>
                <w:sz w:val="20"/>
              </w:rPr>
              <w:t>目前</w:t>
            </w:r>
            <w:r>
              <w:rPr>
                <w:rFonts w:ascii="Times New Roman" w:hAnsi="Times New Roman"/>
                <w:sz w:val="20"/>
              </w:rPr>
              <w:t>水体功能</w:t>
            </w:r>
          </w:p>
        </w:tc>
        <w:tc>
          <w:tcPr>
            <w:tcW w:w="1458" w:type="dxa"/>
            <w:shd w:val="clear" w:color="auto" w:fill="FFFFFF"/>
            <w:tcMar>
              <w:left w:w="57" w:type="dxa"/>
              <w:right w:w="57" w:type="dxa"/>
            </w:tcMar>
            <w:vAlign w:val="center"/>
          </w:tcPr>
          <w:p w14:paraId="4D0927D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734A9B2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0F08DF3F" w14:textId="77777777">
        <w:trPr>
          <w:cantSplit/>
          <w:trHeight w:val="397"/>
          <w:jc w:val="center"/>
        </w:trPr>
        <w:tc>
          <w:tcPr>
            <w:tcW w:w="610" w:type="dxa"/>
            <w:vMerge/>
            <w:shd w:val="clear" w:color="auto" w:fill="FFFFFF"/>
            <w:tcMar>
              <w:left w:w="57" w:type="dxa"/>
              <w:right w:w="57" w:type="dxa"/>
            </w:tcMar>
            <w:vAlign w:val="center"/>
          </w:tcPr>
          <w:p w14:paraId="54690185" w14:textId="77777777" w:rsidR="009C353B" w:rsidRDefault="009C353B">
            <w:pPr>
              <w:adjustRightInd w:val="0"/>
              <w:snapToGrid w:val="0"/>
              <w:spacing w:line="240" w:lineRule="atLeast"/>
              <w:jc w:val="center"/>
              <w:rPr>
                <w:rFonts w:ascii="Times New Roman" w:hAnsi="Times New Roman"/>
                <w:sz w:val="20"/>
              </w:rPr>
            </w:pPr>
          </w:p>
        </w:tc>
        <w:tc>
          <w:tcPr>
            <w:tcW w:w="697" w:type="dxa"/>
            <w:shd w:val="clear" w:color="auto" w:fill="FFFFFF"/>
            <w:tcMar>
              <w:left w:w="28" w:type="dxa"/>
              <w:right w:w="28" w:type="dxa"/>
            </w:tcMar>
            <w:vAlign w:val="center"/>
          </w:tcPr>
          <w:p w14:paraId="5B6C2B13"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地下水</w:t>
            </w:r>
          </w:p>
        </w:tc>
        <w:tc>
          <w:tcPr>
            <w:tcW w:w="2799" w:type="dxa"/>
            <w:gridSpan w:val="2"/>
            <w:shd w:val="clear" w:color="auto" w:fill="FFFFFF"/>
            <w:tcMar>
              <w:left w:w="57" w:type="dxa"/>
              <w:right w:w="57" w:type="dxa"/>
            </w:tcMar>
            <w:vAlign w:val="center"/>
          </w:tcPr>
          <w:p w14:paraId="5FBD56FC"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地</w:t>
            </w:r>
            <w:r>
              <w:rPr>
                <w:rFonts w:ascii="Times New Roman" w:hAnsi="Times New Roman" w:hint="eastAsia"/>
                <w:sz w:val="20"/>
              </w:rPr>
              <w:t>下</w:t>
            </w:r>
            <w:r>
              <w:rPr>
                <w:rFonts w:ascii="Times New Roman" w:hAnsi="Times New Roman"/>
                <w:sz w:val="20"/>
              </w:rPr>
              <w:t>水</w:t>
            </w:r>
            <w:r>
              <w:rPr>
                <w:rFonts w:ascii="Times New Roman" w:hAnsi="Times New Roman" w:hint="eastAsia"/>
                <w:sz w:val="20"/>
              </w:rPr>
              <w:t>I</w:t>
            </w:r>
            <w:r>
              <w:rPr>
                <w:rFonts w:ascii="Times New Roman" w:hAnsi="Times New Roman"/>
                <w:sz w:val="20"/>
              </w:rPr>
              <w:t>II</w:t>
            </w:r>
            <w:r>
              <w:rPr>
                <w:rFonts w:ascii="Times New Roman" w:hAnsi="Times New Roman"/>
                <w:sz w:val="20"/>
              </w:rPr>
              <w:t>类水</w:t>
            </w:r>
            <w:r>
              <w:rPr>
                <w:rFonts w:ascii="Times New Roman" w:hAnsi="Times New Roman" w:hint="eastAsia"/>
                <w:sz w:val="20"/>
              </w:rPr>
              <w:t>达标率</w:t>
            </w:r>
          </w:p>
        </w:tc>
        <w:tc>
          <w:tcPr>
            <w:tcW w:w="992" w:type="dxa"/>
            <w:shd w:val="clear" w:color="auto" w:fill="FFFFFF"/>
            <w:tcMar>
              <w:left w:w="57" w:type="dxa"/>
              <w:right w:w="57" w:type="dxa"/>
            </w:tcMar>
            <w:vAlign w:val="center"/>
          </w:tcPr>
          <w:p w14:paraId="7DBEEEA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20D5F567"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矿区地</w:t>
            </w:r>
            <w:r>
              <w:rPr>
                <w:rFonts w:ascii="Times New Roman" w:hAnsi="Times New Roman" w:hint="eastAsia"/>
                <w:sz w:val="20"/>
              </w:rPr>
              <w:t>下</w:t>
            </w:r>
            <w:r>
              <w:rPr>
                <w:rFonts w:ascii="Times New Roman" w:hAnsi="Times New Roman"/>
                <w:sz w:val="20"/>
              </w:rPr>
              <w:t>水保持</w:t>
            </w:r>
            <w:r>
              <w:rPr>
                <w:rFonts w:ascii="Times New Roman" w:hAnsi="Times New Roman" w:hint="eastAsia"/>
                <w:sz w:val="20"/>
              </w:rPr>
              <w:t>I</w:t>
            </w:r>
            <w:r>
              <w:rPr>
                <w:rFonts w:ascii="Times New Roman" w:hAnsi="Times New Roman"/>
                <w:sz w:val="20"/>
              </w:rPr>
              <w:t>II</w:t>
            </w:r>
            <w:r>
              <w:rPr>
                <w:rFonts w:ascii="Times New Roman" w:hAnsi="Times New Roman"/>
                <w:sz w:val="20"/>
              </w:rPr>
              <w:t>类水体功能</w:t>
            </w:r>
          </w:p>
        </w:tc>
        <w:tc>
          <w:tcPr>
            <w:tcW w:w="1458" w:type="dxa"/>
            <w:shd w:val="clear" w:color="auto" w:fill="FFFFFF"/>
            <w:tcMar>
              <w:left w:w="57" w:type="dxa"/>
              <w:right w:w="57" w:type="dxa"/>
            </w:tcMar>
            <w:vAlign w:val="center"/>
          </w:tcPr>
          <w:p w14:paraId="4B34329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2C85408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46A236B4" w14:textId="77777777">
        <w:trPr>
          <w:cantSplit/>
          <w:trHeight w:val="397"/>
          <w:jc w:val="center"/>
        </w:trPr>
        <w:tc>
          <w:tcPr>
            <w:tcW w:w="610" w:type="dxa"/>
            <w:vMerge/>
            <w:shd w:val="clear" w:color="auto" w:fill="FFFFFF"/>
            <w:tcMar>
              <w:left w:w="57" w:type="dxa"/>
              <w:right w:w="57" w:type="dxa"/>
            </w:tcMar>
            <w:vAlign w:val="center"/>
          </w:tcPr>
          <w:p w14:paraId="62693ED0" w14:textId="77777777" w:rsidR="009C353B" w:rsidRDefault="009C353B">
            <w:pPr>
              <w:adjustRightInd w:val="0"/>
              <w:snapToGrid w:val="0"/>
              <w:spacing w:line="240" w:lineRule="atLeast"/>
              <w:jc w:val="center"/>
              <w:rPr>
                <w:rFonts w:ascii="Times New Roman" w:hAnsi="Times New Roman"/>
                <w:sz w:val="20"/>
              </w:rPr>
            </w:pPr>
          </w:p>
        </w:tc>
        <w:tc>
          <w:tcPr>
            <w:tcW w:w="697" w:type="dxa"/>
            <w:shd w:val="clear" w:color="auto" w:fill="FFFFFF"/>
            <w:tcMar>
              <w:left w:w="28" w:type="dxa"/>
              <w:right w:w="28" w:type="dxa"/>
            </w:tcMar>
            <w:vAlign w:val="center"/>
          </w:tcPr>
          <w:p w14:paraId="7A9BA3FA"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声环境</w:t>
            </w:r>
          </w:p>
        </w:tc>
        <w:tc>
          <w:tcPr>
            <w:tcW w:w="2799" w:type="dxa"/>
            <w:gridSpan w:val="2"/>
            <w:shd w:val="clear" w:color="auto" w:fill="FFFFFF"/>
            <w:tcMar>
              <w:left w:w="57" w:type="dxa"/>
              <w:right w:w="57" w:type="dxa"/>
            </w:tcMar>
            <w:vAlign w:val="center"/>
          </w:tcPr>
          <w:p w14:paraId="3FEE95AC"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声环境</w:t>
            </w:r>
            <w:r>
              <w:rPr>
                <w:rFonts w:ascii="Times New Roman" w:hAnsi="Times New Roman"/>
                <w:sz w:val="20"/>
              </w:rPr>
              <w:t>3</w:t>
            </w:r>
            <w:r>
              <w:rPr>
                <w:rFonts w:ascii="Times New Roman" w:hAnsi="Times New Roman" w:hint="eastAsia"/>
                <w:sz w:val="20"/>
              </w:rPr>
              <w:t>类区达标率</w:t>
            </w:r>
          </w:p>
        </w:tc>
        <w:tc>
          <w:tcPr>
            <w:tcW w:w="992" w:type="dxa"/>
            <w:shd w:val="clear" w:color="auto" w:fill="FFFFFF"/>
            <w:tcMar>
              <w:left w:w="57" w:type="dxa"/>
              <w:right w:w="57" w:type="dxa"/>
            </w:tcMar>
            <w:vAlign w:val="center"/>
          </w:tcPr>
          <w:p w14:paraId="3EF0B808"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33D0EEDD"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矿区声环境保持</w:t>
            </w:r>
            <w:r>
              <w:rPr>
                <w:rFonts w:ascii="Times New Roman" w:hAnsi="Times New Roman"/>
                <w:sz w:val="20"/>
              </w:rPr>
              <w:t>3</w:t>
            </w:r>
            <w:r>
              <w:rPr>
                <w:rFonts w:ascii="Times New Roman" w:hAnsi="Times New Roman" w:hint="eastAsia"/>
                <w:sz w:val="20"/>
              </w:rPr>
              <w:t>类区</w:t>
            </w:r>
          </w:p>
        </w:tc>
        <w:tc>
          <w:tcPr>
            <w:tcW w:w="1458" w:type="dxa"/>
            <w:shd w:val="clear" w:color="auto" w:fill="FFFFFF"/>
            <w:tcMar>
              <w:left w:w="57" w:type="dxa"/>
              <w:right w:w="57" w:type="dxa"/>
            </w:tcMar>
            <w:vAlign w:val="center"/>
          </w:tcPr>
          <w:p w14:paraId="7168539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4A5C011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04BA2BBE" w14:textId="77777777">
        <w:trPr>
          <w:cantSplit/>
          <w:trHeight w:val="397"/>
          <w:jc w:val="center"/>
        </w:trPr>
        <w:tc>
          <w:tcPr>
            <w:tcW w:w="610" w:type="dxa"/>
            <w:vMerge/>
            <w:shd w:val="clear" w:color="auto" w:fill="FFFFFF"/>
            <w:tcMar>
              <w:left w:w="57" w:type="dxa"/>
              <w:right w:w="57" w:type="dxa"/>
            </w:tcMar>
            <w:vAlign w:val="center"/>
          </w:tcPr>
          <w:p w14:paraId="58197A72" w14:textId="77777777" w:rsidR="009C353B" w:rsidRDefault="009C353B">
            <w:pPr>
              <w:adjustRightInd w:val="0"/>
              <w:snapToGrid w:val="0"/>
              <w:spacing w:line="240" w:lineRule="atLeast"/>
              <w:jc w:val="center"/>
              <w:rPr>
                <w:rFonts w:ascii="Times New Roman" w:hAnsi="Times New Roman"/>
                <w:sz w:val="20"/>
              </w:rPr>
            </w:pPr>
          </w:p>
        </w:tc>
        <w:tc>
          <w:tcPr>
            <w:tcW w:w="697" w:type="dxa"/>
            <w:shd w:val="clear" w:color="auto" w:fill="FFFFFF"/>
            <w:tcMar>
              <w:left w:w="28" w:type="dxa"/>
              <w:right w:w="28" w:type="dxa"/>
            </w:tcMar>
            <w:vAlign w:val="center"/>
          </w:tcPr>
          <w:p w14:paraId="647B4632"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土壤</w:t>
            </w:r>
          </w:p>
          <w:p w14:paraId="6840E3BF"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环境</w:t>
            </w:r>
          </w:p>
        </w:tc>
        <w:tc>
          <w:tcPr>
            <w:tcW w:w="2799" w:type="dxa"/>
            <w:gridSpan w:val="2"/>
            <w:shd w:val="clear" w:color="auto" w:fill="FFFFFF"/>
            <w:tcMar>
              <w:left w:w="57" w:type="dxa"/>
              <w:right w:w="57" w:type="dxa"/>
            </w:tcMar>
            <w:vAlign w:val="center"/>
          </w:tcPr>
          <w:p w14:paraId="1C6E12B2"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农用地土壤污染风险管制值</w:t>
            </w:r>
            <w:r>
              <w:rPr>
                <w:rFonts w:ascii="Times New Roman" w:hAnsi="Times New Roman" w:hint="eastAsia"/>
                <w:sz w:val="20"/>
              </w:rPr>
              <w:t>达标率</w:t>
            </w:r>
          </w:p>
        </w:tc>
        <w:tc>
          <w:tcPr>
            <w:tcW w:w="992" w:type="dxa"/>
            <w:shd w:val="clear" w:color="auto" w:fill="FFFFFF"/>
            <w:tcMar>
              <w:left w:w="57" w:type="dxa"/>
              <w:right w:w="57" w:type="dxa"/>
            </w:tcMar>
            <w:vAlign w:val="center"/>
          </w:tcPr>
          <w:p w14:paraId="45CFF741"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564D421E"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矿区土壤环境质量不超过农用地土壤污染风险管制值</w:t>
            </w:r>
          </w:p>
        </w:tc>
        <w:tc>
          <w:tcPr>
            <w:tcW w:w="1458" w:type="dxa"/>
            <w:shd w:val="clear" w:color="auto" w:fill="FFFFFF"/>
            <w:tcMar>
              <w:left w:w="57" w:type="dxa"/>
              <w:right w:w="57" w:type="dxa"/>
            </w:tcMar>
            <w:vAlign w:val="center"/>
          </w:tcPr>
          <w:p w14:paraId="6CEE5A01"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0EFFC1CA"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2D339C13" w14:textId="77777777">
        <w:trPr>
          <w:cantSplit/>
          <w:trHeight w:val="397"/>
          <w:jc w:val="center"/>
        </w:trPr>
        <w:tc>
          <w:tcPr>
            <w:tcW w:w="610" w:type="dxa"/>
            <w:vMerge w:val="restart"/>
            <w:shd w:val="clear" w:color="auto" w:fill="FFFFFF"/>
            <w:tcMar>
              <w:left w:w="57" w:type="dxa"/>
              <w:right w:w="57" w:type="dxa"/>
            </w:tcMar>
            <w:vAlign w:val="center"/>
          </w:tcPr>
          <w:p w14:paraId="752CC4D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生态功能保护</w:t>
            </w:r>
          </w:p>
        </w:tc>
        <w:tc>
          <w:tcPr>
            <w:tcW w:w="697" w:type="dxa"/>
            <w:vMerge w:val="restart"/>
            <w:shd w:val="clear" w:color="auto" w:fill="FFFFFF"/>
            <w:tcMar>
              <w:left w:w="28" w:type="dxa"/>
              <w:right w:w="28" w:type="dxa"/>
            </w:tcMar>
            <w:vAlign w:val="center"/>
          </w:tcPr>
          <w:p w14:paraId="5187EAAE"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生态保护与恢复指标</w:t>
            </w:r>
          </w:p>
        </w:tc>
        <w:tc>
          <w:tcPr>
            <w:tcW w:w="2799" w:type="dxa"/>
            <w:gridSpan w:val="2"/>
            <w:shd w:val="clear" w:color="auto" w:fill="FFFFFF"/>
            <w:tcMar>
              <w:left w:w="57" w:type="dxa"/>
              <w:right w:w="57" w:type="dxa"/>
            </w:tcMar>
            <w:vAlign w:val="center"/>
          </w:tcPr>
          <w:p w14:paraId="6643042D"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扰动土地治理率</w:t>
            </w:r>
          </w:p>
        </w:tc>
        <w:tc>
          <w:tcPr>
            <w:tcW w:w="992" w:type="dxa"/>
            <w:shd w:val="clear" w:color="auto" w:fill="FFFFFF"/>
            <w:tcMar>
              <w:left w:w="57" w:type="dxa"/>
              <w:right w:w="57" w:type="dxa"/>
            </w:tcMar>
            <w:vAlign w:val="center"/>
          </w:tcPr>
          <w:p w14:paraId="340432E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val="restart"/>
            <w:shd w:val="clear" w:color="auto" w:fill="FFFFFF"/>
            <w:tcMar>
              <w:left w:w="57" w:type="dxa"/>
              <w:right w:w="57" w:type="dxa"/>
            </w:tcMar>
            <w:vAlign w:val="center"/>
          </w:tcPr>
          <w:p w14:paraId="20227C40" w14:textId="77777777" w:rsidR="009C353B" w:rsidRDefault="00000000">
            <w:pPr>
              <w:pStyle w:val="afffff7"/>
              <w:snapToGrid w:val="0"/>
              <w:spacing w:line="240" w:lineRule="atLeast"/>
              <w:ind w:leftChars="-4" w:left="-10" w:rightChars="50" w:right="120"/>
              <w:rPr>
                <w:rFonts w:ascii="Times New Roman" w:hAnsi="Times New Roman"/>
                <w:sz w:val="20"/>
              </w:rPr>
            </w:pPr>
            <w:r>
              <w:rPr>
                <w:rFonts w:ascii="Times New Roman" w:hAnsi="Times New Roman"/>
                <w:sz w:val="20"/>
              </w:rPr>
              <w:t>评价区属</w:t>
            </w:r>
            <w:r>
              <w:rPr>
                <w:rFonts w:ascii="Times New Roman" w:hAnsi="Times New Roman" w:hint="eastAsia"/>
                <w:sz w:val="20"/>
              </w:rPr>
              <w:t>工</w:t>
            </w:r>
            <w:r>
              <w:rPr>
                <w:rFonts w:ascii="Times New Roman" w:hAnsi="Times New Roman"/>
                <w:sz w:val="20"/>
              </w:rPr>
              <w:t>业区，主要为人工植被</w:t>
            </w:r>
            <w:r>
              <w:rPr>
                <w:rFonts w:ascii="Times New Roman" w:hAnsi="Times New Roman" w:hint="eastAsia"/>
                <w:sz w:val="20"/>
              </w:rPr>
              <w:t>，区内多为荒漠草原，有少量的人工灌木林</w:t>
            </w:r>
            <w:r>
              <w:rPr>
                <w:rFonts w:ascii="Times New Roman" w:hAnsi="Times New Roman"/>
                <w:sz w:val="20"/>
              </w:rPr>
              <w:t>，水土流失主要类型为</w:t>
            </w:r>
            <w:r>
              <w:rPr>
                <w:rFonts w:ascii="Times New Roman" w:hAnsi="Times New Roman" w:hint="eastAsia"/>
                <w:sz w:val="20"/>
              </w:rPr>
              <w:t>风力</w:t>
            </w:r>
            <w:r>
              <w:rPr>
                <w:rFonts w:ascii="Times New Roman" w:hAnsi="Times New Roman"/>
                <w:sz w:val="20"/>
              </w:rPr>
              <w:t>侵蚀，原始地貌土壤侵蚀以中度侵蚀为主，故按照水土流失治理一级标准，确定生态保护与恢复指标。</w:t>
            </w:r>
          </w:p>
          <w:p w14:paraId="66056808" w14:textId="77777777" w:rsidR="009C353B" w:rsidRDefault="00000000">
            <w:pPr>
              <w:pStyle w:val="afffff7"/>
              <w:snapToGrid w:val="0"/>
              <w:spacing w:line="240" w:lineRule="atLeast"/>
              <w:ind w:leftChars="-3" w:left="-7" w:rightChars="50" w:right="120"/>
              <w:rPr>
                <w:rFonts w:ascii="Times New Roman" w:hAnsi="Times New Roman"/>
                <w:sz w:val="20"/>
              </w:rPr>
            </w:pPr>
            <w:r>
              <w:rPr>
                <w:rFonts w:ascii="Times New Roman" w:hAnsi="Times New Roman"/>
                <w:sz w:val="20"/>
              </w:rPr>
              <w:t>若按照本报告提出的优化调整建议及沉陷治理、水土流失治理等措施，规划开发不会造成区域生态系统功能发生不可逆的变化</w:t>
            </w:r>
          </w:p>
        </w:tc>
        <w:tc>
          <w:tcPr>
            <w:tcW w:w="1458" w:type="dxa"/>
            <w:shd w:val="clear" w:color="auto" w:fill="FFFFFF"/>
            <w:tcMar>
              <w:left w:w="57" w:type="dxa"/>
              <w:right w:w="57" w:type="dxa"/>
            </w:tcMar>
            <w:vAlign w:val="center"/>
          </w:tcPr>
          <w:p w14:paraId="7874F15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90%</w:t>
            </w:r>
          </w:p>
        </w:tc>
        <w:tc>
          <w:tcPr>
            <w:tcW w:w="1094" w:type="dxa"/>
            <w:shd w:val="clear" w:color="auto" w:fill="FFFFFF"/>
            <w:vAlign w:val="center"/>
          </w:tcPr>
          <w:p w14:paraId="395C83A8"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0386AA87" w14:textId="77777777">
        <w:trPr>
          <w:cantSplit/>
          <w:trHeight w:val="397"/>
          <w:jc w:val="center"/>
        </w:trPr>
        <w:tc>
          <w:tcPr>
            <w:tcW w:w="610" w:type="dxa"/>
            <w:vMerge/>
            <w:shd w:val="clear" w:color="auto" w:fill="FFFFFF"/>
            <w:tcMar>
              <w:left w:w="57" w:type="dxa"/>
              <w:right w:w="57" w:type="dxa"/>
            </w:tcMar>
            <w:vAlign w:val="center"/>
          </w:tcPr>
          <w:p w14:paraId="2FF748CA"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3CB03697"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4F2B0417"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水土流失总治理度</w:t>
            </w:r>
          </w:p>
        </w:tc>
        <w:tc>
          <w:tcPr>
            <w:tcW w:w="992" w:type="dxa"/>
            <w:shd w:val="clear" w:color="auto" w:fill="FFFFFF"/>
            <w:tcMar>
              <w:left w:w="57" w:type="dxa"/>
              <w:right w:w="57" w:type="dxa"/>
            </w:tcMar>
            <w:vAlign w:val="center"/>
          </w:tcPr>
          <w:p w14:paraId="4048B9E7"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shd w:val="clear" w:color="auto" w:fill="FFFFFF"/>
            <w:tcMar>
              <w:left w:w="57" w:type="dxa"/>
              <w:right w:w="57" w:type="dxa"/>
            </w:tcMar>
            <w:vAlign w:val="center"/>
          </w:tcPr>
          <w:p w14:paraId="41109AB3" w14:textId="77777777" w:rsidR="009C353B" w:rsidRDefault="009C353B">
            <w:pPr>
              <w:adjustRightInd w:val="0"/>
              <w:snapToGrid w:val="0"/>
              <w:spacing w:line="240" w:lineRule="atLeast"/>
              <w:jc w:val="center"/>
              <w:rPr>
                <w:rFonts w:ascii="Times New Roman" w:hAnsi="Times New Roman"/>
                <w:sz w:val="20"/>
              </w:rPr>
            </w:pPr>
          </w:p>
        </w:tc>
        <w:tc>
          <w:tcPr>
            <w:tcW w:w="1458" w:type="dxa"/>
            <w:shd w:val="clear" w:color="auto" w:fill="FFFFFF"/>
            <w:tcMar>
              <w:left w:w="57" w:type="dxa"/>
              <w:right w:w="57" w:type="dxa"/>
            </w:tcMar>
            <w:vAlign w:val="center"/>
          </w:tcPr>
          <w:p w14:paraId="350B9F51"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85%</w:t>
            </w:r>
          </w:p>
        </w:tc>
        <w:tc>
          <w:tcPr>
            <w:tcW w:w="1094" w:type="dxa"/>
            <w:shd w:val="clear" w:color="auto" w:fill="FFFFFF"/>
            <w:vAlign w:val="center"/>
          </w:tcPr>
          <w:p w14:paraId="19EBBB8C"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173843EE" w14:textId="77777777">
        <w:trPr>
          <w:cantSplit/>
          <w:trHeight w:val="397"/>
          <w:jc w:val="center"/>
        </w:trPr>
        <w:tc>
          <w:tcPr>
            <w:tcW w:w="610" w:type="dxa"/>
            <w:vMerge/>
            <w:shd w:val="clear" w:color="auto" w:fill="FFFFFF"/>
            <w:tcMar>
              <w:left w:w="57" w:type="dxa"/>
              <w:right w:w="57" w:type="dxa"/>
            </w:tcMar>
            <w:vAlign w:val="center"/>
          </w:tcPr>
          <w:p w14:paraId="6048A727"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5E416027"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0D12A1F8"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土壤流失控制比</w:t>
            </w:r>
          </w:p>
        </w:tc>
        <w:tc>
          <w:tcPr>
            <w:tcW w:w="992" w:type="dxa"/>
            <w:shd w:val="clear" w:color="auto" w:fill="FFFFFF"/>
            <w:tcMar>
              <w:left w:w="57" w:type="dxa"/>
              <w:right w:w="57" w:type="dxa"/>
            </w:tcMar>
            <w:vAlign w:val="center"/>
          </w:tcPr>
          <w:p w14:paraId="1EDC6CDB"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shd w:val="clear" w:color="auto" w:fill="FFFFFF"/>
            <w:tcMar>
              <w:left w:w="57" w:type="dxa"/>
              <w:right w:w="57" w:type="dxa"/>
            </w:tcMar>
            <w:vAlign w:val="center"/>
          </w:tcPr>
          <w:p w14:paraId="0948C529" w14:textId="77777777" w:rsidR="009C353B" w:rsidRDefault="009C353B">
            <w:pPr>
              <w:adjustRightInd w:val="0"/>
              <w:snapToGrid w:val="0"/>
              <w:spacing w:line="240" w:lineRule="atLeast"/>
              <w:jc w:val="center"/>
              <w:rPr>
                <w:rFonts w:ascii="Times New Roman" w:hAnsi="Times New Roman"/>
                <w:sz w:val="20"/>
              </w:rPr>
            </w:pPr>
          </w:p>
        </w:tc>
        <w:tc>
          <w:tcPr>
            <w:tcW w:w="1458" w:type="dxa"/>
            <w:shd w:val="clear" w:color="auto" w:fill="FFFFFF"/>
            <w:tcMar>
              <w:left w:w="57" w:type="dxa"/>
              <w:right w:w="57" w:type="dxa"/>
            </w:tcMar>
            <w:vAlign w:val="center"/>
          </w:tcPr>
          <w:p w14:paraId="47C060D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70%</w:t>
            </w:r>
          </w:p>
        </w:tc>
        <w:tc>
          <w:tcPr>
            <w:tcW w:w="1094" w:type="dxa"/>
            <w:shd w:val="clear" w:color="auto" w:fill="FFFFFF"/>
            <w:vAlign w:val="center"/>
          </w:tcPr>
          <w:p w14:paraId="3A4F81E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731E0D19" w14:textId="77777777">
        <w:trPr>
          <w:cantSplit/>
          <w:trHeight w:val="397"/>
          <w:jc w:val="center"/>
        </w:trPr>
        <w:tc>
          <w:tcPr>
            <w:tcW w:w="610" w:type="dxa"/>
            <w:vMerge/>
            <w:shd w:val="clear" w:color="auto" w:fill="FFFFFF"/>
            <w:tcMar>
              <w:left w:w="57" w:type="dxa"/>
              <w:right w:w="57" w:type="dxa"/>
            </w:tcMar>
            <w:vAlign w:val="center"/>
          </w:tcPr>
          <w:p w14:paraId="6492CB57"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6E8FA630"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17E77A9F"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危害性滑坡、裂缝等沉陷灾害的治理率</w:t>
            </w:r>
          </w:p>
        </w:tc>
        <w:tc>
          <w:tcPr>
            <w:tcW w:w="992" w:type="dxa"/>
            <w:shd w:val="clear" w:color="auto" w:fill="FFFFFF"/>
            <w:tcMar>
              <w:left w:w="57" w:type="dxa"/>
              <w:right w:w="57" w:type="dxa"/>
            </w:tcMar>
            <w:vAlign w:val="center"/>
          </w:tcPr>
          <w:p w14:paraId="2657F0EB"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shd w:val="clear" w:color="auto" w:fill="FFFFFF"/>
            <w:tcMar>
              <w:left w:w="57" w:type="dxa"/>
              <w:right w:w="57" w:type="dxa"/>
            </w:tcMar>
            <w:vAlign w:val="center"/>
          </w:tcPr>
          <w:p w14:paraId="16C221F8" w14:textId="77777777" w:rsidR="009C353B" w:rsidRDefault="009C353B">
            <w:pPr>
              <w:adjustRightInd w:val="0"/>
              <w:snapToGrid w:val="0"/>
              <w:spacing w:line="240" w:lineRule="atLeast"/>
              <w:jc w:val="center"/>
              <w:rPr>
                <w:rFonts w:ascii="Times New Roman" w:hAnsi="Times New Roman"/>
                <w:sz w:val="20"/>
              </w:rPr>
            </w:pPr>
          </w:p>
        </w:tc>
        <w:tc>
          <w:tcPr>
            <w:tcW w:w="1458" w:type="dxa"/>
            <w:shd w:val="clear" w:color="auto" w:fill="FFFFFF"/>
            <w:tcMar>
              <w:left w:w="57" w:type="dxa"/>
              <w:right w:w="57" w:type="dxa"/>
            </w:tcMar>
            <w:vAlign w:val="center"/>
          </w:tcPr>
          <w:p w14:paraId="309DDC38"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100%</w:t>
            </w:r>
          </w:p>
        </w:tc>
        <w:tc>
          <w:tcPr>
            <w:tcW w:w="1094" w:type="dxa"/>
            <w:shd w:val="clear" w:color="auto" w:fill="FFFFFF"/>
            <w:vAlign w:val="center"/>
          </w:tcPr>
          <w:p w14:paraId="331621DE"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20902577" w14:textId="77777777">
        <w:trPr>
          <w:cantSplit/>
          <w:trHeight w:val="397"/>
          <w:jc w:val="center"/>
        </w:trPr>
        <w:tc>
          <w:tcPr>
            <w:tcW w:w="610" w:type="dxa"/>
            <w:vMerge/>
            <w:shd w:val="clear" w:color="auto" w:fill="FFFFFF"/>
            <w:tcMar>
              <w:left w:w="57" w:type="dxa"/>
              <w:right w:w="57" w:type="dxa"/>
            </w:tcMar>
            <w:vAlign w:val="center"/>
          </w:tcPr>
          <w:p w14:paraId="62E974E9"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3137002A"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260E05DB"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hint="eastAsia"/>
                <w:sz w:val="20"/>
              </w:rPr>
              <w:t>扰动区林草植被恢复率</w:t>
            </w:r>
          </w:p>
        </w:tc>
        <w:tc>
          <w:tcPr>
            <w:tcW w:w="992" w:type="dxa"/>
            <w:shd w:val="clear" w:color="auto" w:fill="FFFFFF"/>
            <w:tcMar>
              <w:left w:w="57" w:type="dxa"/>
              <w:right w:w="57" w:type="dxa"/>
            </w:tcMar>
            <w:vAlign w:val="center"/>
          </w:tcPr>
          <w:p w14:paraId="030357B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shd w:val="clear" w:color="auto" w:fill="FFFFFF"/>
            <w:tcMar>
              <w:left w:w="57" w:type="dxa"/>
              <w:right w:w="57" w:type="dxa"/>
            </w:tcMar>
            <w:vAlign w:val="center"/>
          </w:tcPr>
          <w:p w14:paraId="3247A619" w14:textId="77777777" w:rsidR="009C353B" w:rsidRDefault="009C353B">
            <w:pPr>
              <w:adjustRightInd w:val="0"/>
              <w:snapToGrid w:val="0"/>
              <w:spacing w:line="240" w:lineRule="atLeast"/>
              <w:jc w:val="center"/>
              <w:rPr>
                <w:rFonts w:ascii="Times New Roman" w:hAnsi="Times New Roman"/>
                <w:sz w:val="20"/>
              </w:rPr>
            </w:pPr>
          </w:p>
        </w:tc>
        <w:tc>
          <w:tcPr>
            <w:tcW w:w="1458" w:type="dxa"/>
            <w:shd w:val="clear" w:color="auto" w:fill="FFFFFF"/>
            <w:tcMar>
              <w:left w:w="57" w:type="dxa"/>
              <w:right w:w="57" w:type="dxa"/>
            </w:tcMar>
            <w:vAlign w:val="center"/>
          </w:tcPr>
          <w:p w14:paraId="01BBD88B"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95%</w:t>
            </w:r>
          </w:p>
        </w:tc>
        <w:tc>
          <w:tcPr>
            <w:tcW w:w="1094" w:type="dxa"/>
            <w:shd w:val="clear" w:color="auto" w:fill="FFFFFF"/>
            <w:vAlign w:val="center"/>
          </w:tcPr>
          <w:p w14:paraId="1E6EED3E"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6059522B" w14:textId="77777777">
        <w:trPr>
          <w:cantSplit/>
          <w:trHeight w:val="397"/>
          <w:jc w:val="center"/>
        </w:trPr>
        <w:tc>
          <w:tcPr>
            <w:tcW w:w="610" w:type="dxa"/>
            <w:vMerge/>
            <w:shd w:val="clear" w:color="auto" w:fill="FFFFFF"/>
            <w:tcMar>
              <w:left w:w="57" w:type="dxa"/>
              <w:right w:w="57" w:type="dxa"/>
            </w:tcMar>
            <w:vAlign w:val="center"/>
          </w:tcPr>
          <w:p w14:paraId="54FA0AB7"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1779E912"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3AEF222B"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生态系统整体性和生态功能变化趋势</w:t>
            </w:r>
          </w:p>
        </w:tc>
        <w:tc>
          <w:tcPr>
            <w:tcW w:w="992" w:type="dxa"/>
            <w:shd w:val="clear" w:color="auto" w:fill="FFFFFF"/>
            <w:tcMar>
              <w:left w:w="57" w:type="dxa"/>
              <w:right w:w="57" w:type="dxa"/>
            </w:tcMar>
            <w:vAlign w:val="center"/>
          </w:tcPr>
          <w:p w14:paraId="02FEA22B"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shd w:val="clear" w:color="auto" w:fill="FFFFFF"/>
            <w:tcMar>
              <w:left w:w="57" w:type="dxa"/>
              <w:right w:w="57" w:type="dxa"/>
            </w:tcMar>
            <w:vAlign w:val="center"/>
          </w:tcPr>
          <w:p w14:paraId="7D9FF73A" w14:textId="77777777" w:rsidR="009C353B" w:rsidRDefault="009C353B">
            <w:pPr>
              <w:adjustRightInd w:val="0"/>
              <w:snapToGrid w:val="0"/>
              <w:spacing w:line="240" w:lineRule="atLeast"/>
              <w:jc w:val="center"/>
              <w:rPr>
                <w:rFonts w:ascii="Times New Roman" w:hAnsi="Times New Roman"/>
                <w:sz w:val="20"/>
              </w:rPr>
            </w:pPr>
          </w:p>
        </w:tc>
        <w:tc>
          <w:tcPr>
            <w:tcW w:w="1458" w:type="dxa"/>
            <w:shd w:val="clear" w:color="auto" w:fill="FFFFFF"/>
            <w:tcMar>
              <w:left w:w="57" w:type="dxa"/>
              <w:right w:w="57" w:type="dxa"/>
            </w:tcMar>
            <w:vAlign w:val="center"/>
          </w:tcPr>
          <w:p w14:paraId="7CDC6155"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保持生态系统完整，促成生态系统功能向好的方向发展</w:t>
            </w:r>
          </w:p>
        </w:tc>
        <w:tc>
          <w:tcPr>
            <w:tcW w:w="1094" w:type="dxa"/>
            <w:shd w:val="clear" w:color="auto" w:fill="FFFFFF"/>
            <w:vAlign w:val="center"/>
          </w:tcPr>
          <w:p w14:paraId="2D8EF4F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5F0C7E66" w14:textId="77777777">
        <w:trPr>
          <w:cantSplit/>
          <w:trHeight w:val="397"/>
          <w:jc w:val="center"/>
        </w:trPr>
        <w:tc>
          <w:tcPr>
            <w:tcW w:w="610" w:type="dxa"/>
            <w:vMerge w:val="restart"/>
            <w:shd w:val="clear" w:color="auto" w:fill="FFFFFF"/>
            <w:tcMar>
              <w:left w:w="57" w:type="dxa"/>
              <w:right w:w="57" w:type="dxa"/>
            </w:tcMar>
            <w:vAlign w:val="center"/>
          </w:tcPr>
          <w:p w14:paraId="5DB227AB"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促进区域社会经济发展</w:t>
            </w:r>
          </w:p>
        </w:tc>
        <w:tc>
          <w:tcPr>
            <w:tcW w:w="697" w:type="dxa"/>
            <w:vMerge w:val="restart"/>
            <w:shd w:val="clear" w:color="auto" w:fill="FFFFFF"/>
            <w:tcMar>
              <w:left w:w="28" w:type="dxa"/>
              <w:right w:w="28" w:type="dxa"/>
            </w:tcMar>
            <w:vAlign w:val="center"/>
          </w:tcPr>
          <w:p w14:paraId="16A8A21E"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社会发展指标</w:t>
            </w:r>
          </w:p>
        </w:tc>
        <w:tc>
          <w:tcPr>
            <w:tcW w:w="2799" w:type="dxa"/>
            <w:gridSpan w:val="2"/>
            <w:shd w:val="clear" w:color="auto" w:fill="FFFFFF"/>
            <w:tcMar>
              <w:left w:w="57" w:type="dxa"/>
              <w:right w:w="57" w:type="dxa"/>
            </w:tcMar>
            <w:vAlign w:val="center"/>
          </w:tcPr>
          <w:p w14:paraId="5E6007F4"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hint="eastAsia"/>
                <w:sz w:val="20"/>
              </w:rPr>
              <w:t>单位生产总值能耗降低（</w:t>
            </w:r>
            <w:r>
              <w:rPr>
                <w:rFonts w:ascii="Times New Roman" w:hAnsi="Times New Roman"/>
                <w:sz w:val="20"/>
              </w:rPr>
              <w:t>%</w:t>
            </w:r>
            <w:r>
              <w:rPr>
                <w:rFonts w:ascii="Times New Roman" w:hAnsi="Times New Roman"/>
                <w:sz w:val="20"/>
              </w:rPr>
              <w:t>）</w:t>
            </w:r>
          </w:p>
        </w:tc>
        <w:tc>
          <w:tcPr>
            <w:tcW w:w="992" w:type="dxa"/>
            <w:shd w:val="clear" w:color="auto" w:fill="FFFFFF"/>
            <w:tcMar>
              <w:left w:w="57" w:type="dxa"/>
              <w:right w:w="57" w:type="dxa"/>
            </w:tcMar>
            <w:vAlign w:val="center"/>
          </w:tcPr>
          <w:p w14:paraId="251DF82E"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09C6BCB4" w14:textId="77777777" w:rsidR="009C353B" w:rsidRDefault="00000000">
            <w:pPr>
              <w:adjustRightInd w:val="0"/>
              <w:snapToGrid w:val="0"/>
              <w:spacing w:line="240" w:lineRule="atLeast"/>
              <w:rPr>
                <w:rFonts w:ascii="Times New Roman" w:hAnsi="Times New Roman"/>
                <w:kern w:val="21"/>
                <w:sz w:val="20"/>
              </w:rPr>
            </w:pPr>
            <w:r>
              <w:rPr>
                <w:rFonts w:ascii="Times New Roman" w:hAnsi="Times New Roman"/>
                <w:sz w:val="20"/>
              </w:rPr>
              <w:t>根据《</w:t>
            </w:r>
            <w:r>
              <w:rPr>
                <w:rFonts w:ascii="Times New Roman" w:hAnsi="Times New Roman" w:hint="eastAsia"/>
                <w:sz w:val="20"/>
              </w:rPr>
              <w:t>宁夏回族自治区</w:t>
            </w:r>
            <w:r>
              <w:rPr>
                <w:rFonts w:ascii="Times New Roman" w:hAnsi="Times New Roman"/>
                <w:sz w:val="20"/>
              </w:rPr>
              <w:t>国民经济和社会发展第十三个五年规划纲要》</w:t>
            </w:r>
            <w:r>
              <w:rPr>
                <w:rFonts w:ascii="Times New Roman" w:hAnsi="Times New Roman" w:hint="eastAsia"/>
                <w:sz w:val="20"/>
              </w:rPr>
              <w:t>，</w:t>
            </w:r>
            <w:r>
              <w:rPr>
                <w:rFonts w:ascii="Times New Roman" w:hAnsi="Times New Roman"/>
                <w:sz w:val="20"/>
              </w:rPr>
              <w:t>到</w:t>
            </w:r>
            <w:r>
              <w:rPr>
                <w:rFonts w:ascii="Times New Roman" w:hAnsi="Times New Roman" w:hint="eastAsia"/>
                <w:sz w:val="20"/>
              </w:rPr>
              <w:t>2</w:t>
            </w:r>
            <w:r>
              <w:rPr>
                <w:rFonts w:ascii="Times New Roman" w:hAnsi="Times New Roman"/>
                <w:sz w:val="20"/>
              </w:rPr>
              <w:t>020</w:t>
            </w:r>
            <w:r>
              <w:rPr>
                <w:rFonts w:ascii="Times New Roman" w:hAnsi="Times New Roman"/>
                <w:sz w:val="20"/>
              </w:rPr>
              <w:t>年</w:t>
            </w:r>
            <w:r>
              <w:rPr>
                <w:rFonts w:ascii="Times New Roman" w:hAnsi="Times New Roman" w:hint="eastAsia"/>
                <w:sz w:val="20"/>
              </w:rPr>
              <w:t>单位生产总值能耗控制在国家下达的指标内：到</w:t>
            </w:r>
            <w:r>
              <w:rPr>
                <w:rFonts w:ascii="Times New Roman" w:hAnsi="Times New Roman" w:hint="eastAsia"/>
                <w:sz w:val="20"/>
              </w:rPr>
              <w:t>2020</w:t>
            </w:r>
            <w:r>
              <w:rPr>
                <w:rFonts w:ascii="Times New Roman" w:hAnsi="Times New Roman" w:hint="eastAsia"/>
                <w:sz w:val="20"/>
              </w:rPr>
              <w:t>年，全国万元国内生产总值能耗比</w:t>
            </w:r>
            <w:r>
              <w:rPr>
                <w:rFonts w:ascii="Times New Roman" w:hAnsi="Times New Roman" w:hint="eastAsia"/>
                <w:sz w:val="20"/>
              </w:rPr>
              <w:t>2015</w:t>
            </w:r>
            <w:r>
              <w:rPr>
                <w:rFonts w:ascii="Times New Roman" w:hAnsi="Times New Roman" w:hint="eastAsia"/>
                <w:sz w:val="20"/>
              </w:rPr>
              <w:t>年下降</w:t>
            </w:r>
            <w:r>
              <w:rPr>
                <w:rFonts w:ascii="Times New Roman" w:hAnsi="Times New Roman" w:hint="eastAsia"/>
                <w:sz w:val="20"/>
              </w:rPr>
              <w:t>15%</w:t>
            </w:r>
          </w:p>
        </w:tc>
        <w:tc>
          <w:tcPr>
            <w:tcW w:w="1458" w:type="dxa"/>
            <w:shd w:val="clear" w:color="auto" w:fill="FFFFFF"/>
            <w:tcMar>
              <w:left w:w="57" w:type="dxa"/>
              <w:right w:w="57" w:type="dxa"/>
            </w:tcMar>
            <w:vAlign w:val="center"/>
          </w:tcPr>
          <w:p w14:paraId="2841FD8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hint="eastAsia"/>
                <w:sz w:val="20"/>
              </w:rPr>
              <w:t>降低</w:t>
            </w:r>
            <w:r>
              <w:rPr>
                <w:rFonts w:ascii="Times New Roman" w:hAnsi="Times New Roman" w:hint="eastAsia"/>
                <w:sz w:val="20"/>
              </w:rPr>
              <w:t>1</w:t>
            </w:r>
            <w:r>
              <w:rPr>
                <w:rFonts w:ascii="Times New Roman" w:hAnsi="Times New Roman"/>
                <w:sz w:val="20"/>
              </w:rPr>
              <w:t>5</w:t>
            </w:r>
            <w:r>
              <w:rPr>
                <w:rFonts w:ascii="Times New Roman" w:hAnsi="Times New Roman" w:hint="eastAsia"/>
                <w:sz w:val="20"/>
              </w:rPr>
              <w:t>%</w:t>
            </w:r>
          </w:p>
        </w:tc>
        <w:tc>
          <w:tcPr>
            <w:tcW w:w="1094" w:type="dxa"/>
            <w:shd w:val="clear" w:color="auto" w:fill="FFFFFF"/>
            <w:vAlign w:val="center"/>
          </w:tcPr>
          <w:p w14:paraId="06A7664E" w14:textId="77777777" w:rsidR="009C353B" w:rsidRDefault="00000000">
            <w:pPr>
              <w:adjustRightInd w:val="0"/>
              <w:snapToGrid w:val="0"/>
              <w:spacing w:line="240" w:lineRule="atLeast"/>
              <w:jc w:val="center"/>
              <w:rPr>
                <w:rFonts w:ascii="Times New Roman" w:hAnsi="Times New Roman"/>
                <w:kern w:val="21"/>
                <w:sz w:val="20"/>
              </w:rPr>
            </w:pPr>
            <w:r>
              <w:rPr>
                <w:rFonts w:ascii="Times New Roman" w:hAnsi="Times New Roman"/>
                <w:sz w:val="20"/>
              </w:rPr>
              <w:t>可达</w:t>
            </w:r>
          </w:p>
        </w:tc>
      </w:tr>
      <w:tr w:rsidR="009C353B" w14:paraId="4233C08C" w14:textId="77777777">
        <w:trPr>
          <w:cantSplit/>
          <w:trHeight w:val="397"/>
          <w:jc w:val="center"/>
        </w:trPr>
        <w:tc>
          <w:tcPr>
            <w:tcW w:w="610" w:type="dxa"/>
            <w:vMerge/>
            <w:shd w:val="clear" w:color="auto" w:fill="FFFFFF"/>
            <w:tcMar>
              <w:left w:w="57" w:type="dxa"/>
              <w:right w:w="57" w:type="dxa"/>
            </w:tcMar>
            <w:vAlign w:val="center"/>
          </w:tcPr>
          <w:p w14:paraId="7D59F481"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7F05F6D0"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22DA96CE"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hint="eastAsia"/>
                <w:sz w:val="20"/>
              </w:rPr>
              <w:t>单位生产总值用水量降低（</w:t>
            </w:r>
            <w:r>
              <w:rPr>
                <w:rFonts w:ascii="Times New Roman" w:hAnsi="Times New Roman"/>
                <w:sz w:val="20"/>
              </w:rPr>
              <w:t>%</w:t>
            </w:r>
            <w:r>
              <w:rPr>
                <w:rFonts w:ascii="Times New Roman" w:hAnsi="Times New Roman"/>
                <w:sz w:val="20"/>
              </w:rPr>
              <w:t>）</w:t>
            </w:r>
          </w:p>
        </w:tc>
        <w:tc>
          <w:tcPr>
            <w:tcW w:w="992" w:type="dxa"/>
            <w:shd w:val="clear" w:color="auto" w:fill="FFFFFF"/>
            <w:tcMar>
              <w:left w:w="57" w:type="dxa"/>
              <w:right w:w="57" w:type="dxa"/>
            </w:tcMar>
            <w:vAlign w:val="center"/>
          </w:tcPr>
          <w:p w14:paraId="36D81F73"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shd w:val="clear" w:color="auto" w:fill="FFFFFF"/>
            <w:tcMar>
              <w:left w:w="57" w:type="dxa"/>
              <w:right w:w="57" w:type="dxa"/>
            </w:tcMar>
            <w:vAlign w:val="center"/>
          </w:tcPr>
          <w:p w14:paraId="1C3B449D" w14:textId="77777777" w:rsidR="009C353B" w:rsidRDefault="00000000">
            <w:pPr>
              <w:adjustRightInd w:val="0"/>
              <w:snapToGrid w:val="0"/>
              <w:spacing w:line="240" w:lineRule="atLeast"/>
              <w:rPr>
                <w:rFonts w:ascii="Times New Roman" w:hAnsi="Times New Roman"/>
                <w:sz w:val="20"/>
              </w:rPr>
            </w:pPr>
            <w:r>
              <w:rPr>
                <w:rFonts w:ascii="Times New Roman" w:hAnsi="Times New Roman"/>
                <w:sz w:val="20"/>
              </w:rPr>
              <w:t>根据《</w:t>
            </w:r>
            <w:r>
              <w:rPr>
                <w:rFonts w:ascii="Times New Roman" w:hAnsi="Times New Roman" w:hint="eastAsia"/>
                <w:sz w:val="20"/>
              </w:rPr>
              <w:t>宁夏回族自治区</w:t>
            </w:r>
            <w:r>
              <w:rPr>
                <w:rFonts w:ascii="Times New Roman" w:hAnsi="Times New Roman"/>
                <w:sz w:val="20"/>
              </w:rPr>
              <w:t>国民经济和社会发展第十三个五年规划纲要》</w:t>
            </w:r>
            <w:r>
              <w:rPr>
                <w:rFonts w:ascii="Times New Roman" w:hAnsi="Times New Roman" w:hint="eastAsia"/>
                <w:sz w:val="20"/>
              </w:rPr>
              <w:t>，</w:t>
            </w:r>
            <w:r>
              <w:rPr>
                <w:rFonts w:ascii="Times New Roman" w:hAnsi="Times New Roman"/>
                <w:sz w:val="20"/>
              </w:rPr>
              <w:t>到</w:t>
            </w:r>
            <w:r>
              <w:rPr>
                <w:rFonts w:ascii="Times New Roman" w:hAnsi="Times New Roman" w:hint="eastAsia"/>
                <w:sz w:val="20"/>
              </w:rPr>
              <w:t>2</w:t>
            </w:r>
            <w:r>
              <w:rPr>
                <w:rFonts w:ascii="Times New Roman" w:hAnsi="Times New Roman"/>
                <w:sz w:val="20"/>
              </w:rPr>
              <w:t>020</w:t>
            </w:r>
            <w:r>
              <w:rPr>
                <w:rFonts w:ascii="Times New Roman" w:hAnsi="Times New Roman"/>
                <w:sz w:val="20"/>
              </w:rPr>
              <w:t>年</w:t>
            </w:r>
            <w:r>
              <w:rPr>
                <w:rFonts w:ascii="Times New Roman" w:hAnsi="Times New Roman" w:hint="eastAsia"/>
                <w:sz w:val="20"/>
              </w:rPr>
              <w:t>5</w:t>
            </w:r>
            <w:r>
              <w:rPr>
                <w:rFonts w:ascii="Times New Roman" w:hAnsi="Times New Roman" w:hint="eastAsia"/>
                <w:sz w:val="20"/>
              </w:rPr>
              <w:t>年万元生产总值用水量累计降低</w:t>
            </w:r>
            <w:r>
              <w:rPr>
                <w:rFonts w:ascii="Times New Roman" w:hAnsi="Times New Roman" w:hint="eastAsia"/>
                <w:sz w:val="20"/>
              </w:rPr>
              <w:t>25%</w:t>
            </w:r>
            <w:r>
              <w:rPr>
                <w:rFonts w:ascii="Times New Roman" w:hAnsi="Times New Roman" w:hint="eastAsia"/>
                <w:sz w:val="20"/>
              </w:rPr>
              <w:t>，平均每年</w:t>
            </w:r>
            <w:r>
              <w:rPr>
                <w:rFonts w:ascii="Times New Roman" w:hAnsi="Times New Roman" w:hint="eastAsia"/>
                <w:sz w:val="20"/>
              </w:rPr>
              <w:t>5%</w:t>
            </w:r>
          </w:p>
        </w:tc>
        <w:tc>
          <w:tcPr>
            <w:tcW w:w="1458" w:type="dxa"/>
            <w:shd w:val="clear" w:color="auto" w:fill="FFFFFF"/>
            <w:tcMar>
              <w:left w:w="57" w:type="dxa"/>
              <w:right w:w="57" w:type="dxa"/>
            </w:tcMar>
            <w:vAlign w:val="center"/>
          </w:tcPr>
          <w:p w14:paraId="28C3F99A"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hint="eastAsia"/>
                <w:sz w:val="20"/>
              </w:rPr>
              <w:t>降低</w:t>
            </w:r>
            <w:r>
              <w:rPr>
                <w:rFonts w:ascii="Times New Roman" w:hAnsi="Times New Roman" w:hint="eastAsia"/>
                <w:sz w:val="20"/>
              </w:rPr>
              <w:t>1</w:t>
            </w:r>
            <w:r>
              <w:rPr>
                <w:rFonts w:ascii="Times New Roman" w:hAnsi="Times New Roman"/>
                <w:sz w:val="20"/>
              </w:rPr>
              <w:t>0</w:t>
            </w:r>
            <w:r>
              <w:rPr>
                <w:rFonts w:ascii="Times New Roman" w:hAnsi="Times New Roman" w:hint="eastAsia"/>
                <w:sz w:val="20"/>
              </w:rPr>
              <w:t>%</w:t>
            </w:r>
          </w:p>
        </w:tc>
        <w:tc>
          <w:tcPr>
            <w:tcW w:w="1094" w:type="dxa"/>
            <w:shd w:val="clear" w:color="auto" w:fill="FFFFFF"/>
            <w:vAlign w:val="center"/>
          </w:tcPr>
          <w:p w14:paraId="014B562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12E59B7B" w14:textId="77777777">
        <w:trPr>
          <w:cantSplit/>
          <w:trHeight w:val="397"/>
          <w:jc w:val="center"/>
        </w:trPr>
        <w:tc>
          <w:tcPr>
            <w:tcW w:w="610" w:type="dxa"/>
            <w:vMerge/>
            <w:shd w:val="clear" w:color="auto" w:fill="FFFFFF"/>
            <w:tcMar>
              <w:left w:w="57" w:type="dxa"/>
              <w:right w:w="57" w:type="dxa"/>
            </w:tcMar>
            <w:vAlign w:val="center"/>
          </w:tcPr>
          <w:p w14:paraId="566E9A2B" w14:textId="77777777" w:rsidR="009C353B" w:rsidRDefault="009C353B">
            <w:pPr>
              <w:adjustRightInd w:val="0"/>
              <w:snapToGrid w:val="0"/>
              <w:spacing w:line="240" w:lineRule="atLeast"/>
              <w:jc w:val="center"/>
              <w:rPr>
                <w:rFonts w:ascii="Times New Roman" w:hAnsi="Times New Roman"/>
                <w:sz w:val="20"/>
              </w:rPr>
            </w:pPr>
          </w:p>
        </w:tc>
        <w:tc>
          <w:tcPr>
            <w:tcW w:w="697" w:type="dxa"/>
            <w:vMerge w:val="restart"/>
            <w:shd w:val="clear" w:color="auto" w:fill="FFFFFF"/>
            <w:tcMar>
              <w:left w:w="28" w:type="dxa"/>
              <w:right w:w="28" w:type="dxa"/>
            </w:tcMar>
            <w:vAlign w:val="center"/>
          </w:tcPr>
          <w:p w14:paraId="6C1D4AB8"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经济发展指标</w:t>
            </w:r>
          </w:p>
        </w:tc>
        <w:tc>
          <w:tcPr>
            <w:tcW w:w="2799" w:type="dxa"/>
            <w:gridSpan w:val="2"/>
            <w:shd w:val="clear" w:color="auto" w:fill="FFFFFF"/>
            <w:tcMar>
              <w:left w:w="57" w:type="dxa"/>
              <w:right w:w="57" w:type="dxa"/>
            </w:tcMar>
            <w:vAlign w:val="center"/>
          </w:tcPr>
          <w:p w14:paraId="3AC872A6"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工业总产值增加值（万元）</w:t>
            </w:r>
          </w:p>
        </w:tc>
        <w:tc>
          <w:tcPr>
            <w:tcW w:w="992" w:type="dxa"/>
            <w:shd w:val="clear" w:color="auto" w:fill="FFFFFF"/>
            <w:tcMar>
              <w:left w:w="57" w:type="dxa"/>
              <w:right w:w="57" w:type="dxa"/>
            </w:tcMar>
            <w:vAlign w:val="center"/>
          </w:tcPr>
          <w:p w14:paraId="36E3233F"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val="restart"/>
            <w:shd w:val="clear" w:color="auto" w:fill="FFFFFF"/>
            <w:tcMar>
              <w:left w:w="57" w:type="dxa"/>
              <w:right w:w="57" w:type="dxa"/>
            </w:tcMar>
            <w:vAlign w:val="center"/>
          </w:tcPr>
          <w:p w14:paraId="42CBF2AA" w14:textId="77777777" w:rsidR="009C353B" w:rsidRDefault="00000000">
            <w:pPr>
              <w:adjustRightInd w:val="0"/>
              <w:snapToGrid w:val="0"/>
              <w:spacing w:line="240" w:lineRule="atLeast"/>
              <w:rPr>
                <w:rFonts w:ascii="Times New Roman" w:hAnsi="Times New Roman"/>
                <w:sz w:val="20"/>
              </w:rPr>
            </w:pPr>
            <w:r>
              <w:rPr>
                <w:rFonts w:ascii="Times New Roman" w:hAnsi="Times New Roman"/>
                <w:kern w:val="21"/>
                <w:sz w:val="20"/>
              </w:rPr>
              <w:t>矿区开发将带来地方税金和财政收入的大大提高，促进基地所在地区经济的进一步发展，并将导致所在的旬邑县产业结构进一步优化</w:t>
            </w:r>
            <w:r>
              <w:rPr>
                <w:rFonts w:ascii="Times New Roman" w:hAnsi="Times New Roman" w:hint="eastAsia"/>
                <w:kern w:val="21"/>
                <w:sz w:val="20"/>
              </w:rPr>
              <w:t>，</w:t>
            </w:r>
            <w:r>
              <w:rPr>
                <w:rFonts w:ascii="Times New Roman" w:hAnsi="Times New Roman"/>
                <w:kern w:val="21"/>
                <w:sz w:val="20"/>
              </w:rPr>
              <w:t>第二产业比重得到提高，而第三产业也随之上升，第一产业比重则随之下降；并带动地区其他产业的发展，从而提供大量就业机会，最终规划实施将提高当地居民生活水平和质量。</w:t>
            </w:r>
          </w:p>
        </w:tc>
        <w:tc>
          <w:tcPr>
            <w:tcW w:w="1458" w:type="dxa"/>
            <w:shd w:val="clear" w:color="auto" w:fill="FFFFFF"/>
            <w:tcMar>
              <w:left w:w="57" w:type="dxa"/>
              <w:right w:w="57" w:type="dxa"/>
            </w:tcMar>
            <w:vAlign w:val="center"/>
          </w:tcPr>
          <w:p w14:paraId="2529483D"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提高</w:t>
            </w:r>
          </w:p>
        </w:tc>
        <w:tc>
          <w:tcPr>
            <w:tcW w:w="1094" w:type="dxa"/>
            <w:shd w:val="clear" w:color="auto" w:fill="FFFFFF"/>
            <w:vAlign w:val="center"/>
          </w:tcPr>
          <w:p w14:paraId="3BC515E4"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tr w:rsidR="009C353B" w14:paraId="755EB4D0" w14:textId="77777777">
        <w:trPr>
          <w:cantSplit/>
          <w:trHeight w:val="397"/>
          <w:jc w:val="center"/>
        </w:trPr>
        <w:tc>
          <w:tcPr>
            <w:tcW w:w="610" w:type="dxa"/>
            <w:vMerge/>
            <w:shd w:val="clear" w:color="auto" w:fill="FFFFFF"/>
            <w:tcMar>
              <w:left w:w="57" w:type="dxa"/>
              <w:right w:w="57" w:type="dxa"/>
            </w:tcMar>
            <w:vAlign w:val="center"/>
          </w:tcPr>
          <w:p w14:paraId="0D8A7462" w14:textId="77777777" w:rsidR="009C353B" w:rsidRDefault="009C353B">
            <w:pPr>
              <w:adjustRightInd w:val="0"/>
              <w:snapToGrid w:val="0"/>
              <w:spacing w:line="240" w:lineRule="atLeast"/>
              <w:jc w:val="center"/>
              <w:rPr>
                <w:rFonts w:ascii="Times New Roman" w:hAnsi="Times New Roman"/>
                <w:sz w:val="20"/>
              </w:rPr>
            </w:pPr>
          </w:p>
        </w:tc>
        <w:tc>
          <w:tcPr>
            <w:tcW w:w="697" w:type="dxa"/>
            <w:vMerge/>
            <w:shd w:val="clear" w:color="auto" w:fill="FFFFFF"/>
            <w:tcMar>
              <w:left w:w="28" w:type="dxa"/>
              <w:right w:w="28" w:type="dxa"/>
            </w:tcMar>
            <w:vAlign w:val="center"/>
          </w:tcPr>
          <w:p w14:paraId="139F9E02" w14:textId="77777777" w:rsidR="009C353B" w:rsidRDefault="009C353B">
            <w:pPr>
              <w:adjustRightInd w:val="0"/>
              <w:snapToGrid w:val="0"/>
              <w:spacing w:line="240" w:lineRule="atLeast"/>
              <w:jc w:val="center"/>
              <w:rPr>
                <w:rFonts w:ascii="Times New Roman" w:hAnsi="Times New Roman"/>
                <w:sz w:val="20"/>
              </w:rPr>
            </w:pPr>
          </w:p>
        </w:tc>
        <w:tc>
          <w:tcPr>
            <w:tcW w:w="2799" w:type="dxa"/>
            <w:gridSpan w:val="2"/>
            <w:shd w:val="clear" w:color="auto" w:fill="FFFFFF"/>
            <w:tcMar>
              <w:left w:w="57" w:type="dxa"/>
              <w:right w:w="57" w:type="dxa"/>
            </w:tcMar>
            <w:vAlign w:val="center"/>
          </w:tcPr>
          <w:p w14:paraId="6D7D745C" w14:textId="77777777" w:rsidR="009C353B" w:rsidRDefault="00000000">
            <w:pPr>
              <w:adjustRightInd w:val="0"/>
              <w:snapToGrid w:val="0"/>
              <w:spacing w:line="240" w:lineRule="atLeast"/>
              <w:jc w:val="left"/>
              <w:rPr>
                <w:rFonts w:ascii="Times New Roman" w:hAnsi="Times New Roman"/>
                <w:sz w:val="20"/>
              </w:rPr>
            </w:pPr>
            <w:r>
              <w:rPr>
                <w:rFonts w:ascii="Times New Roman" w:hAnsi="Times New Roman"/>
                <w:sz w:val="20"/>
              </w:rPr>
              <w:t>税收（万元）</w:t>
            </w:r>
          </w:p>
        </w:tc>
        <w:tc>
          <w:tcPr>
            <w:tcW w:w="992" w:type="dxa"/>
            <w:shd w:val="clear" w:color="auto" w:fill="FFFFFF"/>
            <w:tcMar>
              <w:left w:w="57" w:type="dxa"/>
              <w:right w:w="57" w:type="dxa"/>
            </w:tcMar>
            <w:vAlign w:val="center"/>
          </w:tcPr>
          <w:p w14:paraId="00E5F22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w:t>
            </w:r>
          </w:p>
        </w:tc>
        <w:tc>
          <w:tcPr>
            <w:tcW w:w="6237" w:type="dxa"/>
            <w:vMerge/>
            <w:shd w:val="clear" w:color="auto" w:fill="FFFFFF"/>
            <w:tcMar>
              <w:left w:w="57" w:type="dxa"/>
              <w:right w:w="57" w:type="dxa"/>
            </w:tcMar>
            <w:vAlign w:val="center"/>
          </w:tcPr>
          <w:p w14:paraId="10865D1E" w14:textId="77777777" w:rsidR="009C353B" w:rsidRDefault="009C353B">
            <w:pPr>
              <w:adjustRightInd w:val="0"/>
              <w:snapToGrid w:val="0"/>
              <w:spacing w:line="240" w:lineRule="atLeast"/>
              <w:rPr>
                <w:rFonts w:ascii="Times New Roman" w:hAnsi="Times New Roman"/>
                <w:sz w:val="20"/>
              </w:rPr>
            </w:pPr>
          </w:p>
        </w:tc>
        <w:tc>
          <w:tcPr>
            <w:tcW w:w="1458" w:type="dxa"/>
            <w:shd w:val="clear" w:color="auto" w:fill="FFFFFF"/>
            <w:tcMar>
              <w:left w:w="57" w:type="dxa"/>
              <w:right w:w="57" w:type="dxa"/>
            </w:tcMar>
            <w:vAlign w:val="center"/>
          </w:tcPr>
          <w:p w14:paraId="0DAEF0D0"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增加</w:t>
            </w:r>
          </w:p>
        </w:tc>
        <w:tc>
          <w:tcPr>
            <w:tcW w:w="1094" w:type="dxa"/>
            <w:shd w:val="clear" w:color="auto" w:fill="FFFFFF"/>
            <w:vAlign w:val="center"/>
          </w:tcPr>
          <w:p w14:paraId="0B592149" w14:textId="77777777" w:rsidR="009C353B" w:rsidRDefault="00000000">
            <w:pPr>
              <w:adjustRightInd w:val="0"/>
              <w:snapToGrid w:val="0"/>
              <w:spacing w:line="240" w:lineRule="atLeast"/>
              <w:jc w:val="center"/>
              <w:rPr>
                <w:rFonts w:ascii="Times New Roman" w:hAnsi="Times New Roman"/>
                <w:sz w:val="20"/>
              </w:rPr>
            </w:pPr>
            <w:r>
              <w:rPr>
                <w:rFonts w:ascii="Times New Roman" w:hAnsi="Times New Roman"/>
                <w:sz w:val="20"/>
              </w:rPr>
              <w:t>可达</w:t>
            </w:r>
          </w:p>
        </w:tc>
      </w:tr>
      <w:bookmarkEnd w:id="338"/>
    </w:tbl>
    <w:p w14:paraId="4D4B761A" w14:textId="77777777" w:rsidR="009C353B" w:rsidRDefault="009C353B">
      <w:pPr>
        <w:rPr>
          <w:rFonts w:hint="eastAsia"/>
        </w:rPr>
        <w:sectPr w:rsidR="009C353B">
          <w:headerReference w:type="default" r:id="rId474"/>
          <w:pgSz w:w="16838" w:h="11906" w:orient="landscape"/>
          <w:pgMar w:top="1701" w:right="1418" w:bottom="1418" w:left="1418" w:header="1134" w:footer="1021" w:gutter="0"/>
          <w:paperSrc w:first="7" w:other="7"/>
          <w:cols w:space="720"/>
          <w:docGrid w:linePitch="312"/>
        </w:sectPr>
      </w:pPr>
    </w:p>
    <w:p w14:paraId="62FEA048" w14:textId="77777777" w:rsidR="009C353B" w:rsidRDefault="00000000">
      <w:pPr>
        <w:pStyle w:val="1"/>
        <w:spacing w:before="100" w:beforeAutospacing="1" w:after="100" w:afterAutospacing="1" w:line="578" w:lineRule="exact"/>
        <w:jc w:val="center"/>
        <w:rPr>
          <w:rFonts w:ascii="Times New Roman" w:hAnsi="Times New Roman"/>
          <w:sz w:val="36"/>
        </w:rPr>
      </w:pPr>
      <w:bookmarkStart w:id="339" w:name="_Toc163441029"/>
      <w:bookmarkStart w:id="340" w:name="_Toc59189871"/>
      <w:bookmarkStart w:id="341" w:name="_Toc163441058"/>
      <w:bookmarkEnd w:id="297"/>
      <w:r>
        <w:rPr>
          <w:rFonts w:ascii="Times New Roman" w:hAnsi="Times New Roman"/>
          <w:sz w:val="36"/>
        </w:rPr>
        <w:t xml:space="preserve">9 </w:t>
      </w:r>
      <w:r>
        <w:rPr>
          <w:rFonts w:ascii="Times New Roman" w:hAnsi="Times New Roman"/>
          <w:sz w:val="36"/>
        </w:rPr>
        <w:t>规划实施环境影响减缓措施</w:t>
      </w:r>
      <w:bookmarkEnd w:id="339"/>
      <w:bookmarkEnd w:id="340"/>
    </w:p>
    <w:p w14:paraId="5D57C604" w14:textId="77777777" w:rsidR="009C353B" w:rsidRDefault="00000000">
      <w:pPr>
        <w:pStyle w:val="2"/>
        <w:snapToGrid w:val="0"/>
        <w:spacing w:before="720" w:after="480" w:line="416" w:lineRule="atLeast"/>
        <w:rPr>
          <w:rFonts w:ascii="Times New Roman" w:eastAsia="宋体" w:hAnsi="Times New Roman"/>
          <w:b/>
          <w:sz w:val="28"/>
        </w:rPr>
      </w:pPr>
      <w:bookmarkStart w:id="342" w:name="_Toc163441030"/>
      <w:bookmarkStart w:id="343" w:name="_Toc59189872"/>
      <w:r>
        <w:rPr>
          <w:rFonts w:ascii="Times New Roman" w:eastAsia="宋体" w:hAnsi="Times New Roman" w:hint="eastAsia"/>
          <w:b/>
          <w:sz w:val="28"/>
        </w:rPr>
        <w:t>9.</w:t>
      </w:r>
      <w:r>
        <w:rPr>
          <w:rFonts w:ascii="Times New Roman" w:eastAsia="宋体" w:hAnsi="Times New Roman"/>
          <w:b/>
          <w:sz w:val="28"/>
        </w:rPr>
        <w:t xml:space="preserve">1 </w:t>
      </w:r>
      <w:r>
        <w:rPr>
          <w:rFonts w:ascii="Times New Roman" w:eastAsia="宋体" w:hAnsi="Times New Roman"/>
          <w:b/>
          <w:sz w:val="28"/>
        </w:rPr>
        <w:t>矿区生态环境综合整治措施</w:t>
      </w:r>
      <w:bookmarkEnd w:id="342"/>
      <w:bookmarkEnd w:id="343"/>
    </w:p>
    <w:p w14:paraId="0B547BD2" w14:textId="77777777" w:rsidR="009C353B" w:rsidRDefault="00000000">
      <w:pPr>
        <w:pStyle w:val="third"/>
        <w:adjustRightInd w:val="0"/>
        <w:snapToGrid w:val="0"/>
        <w:spacing w:before="0" w:after="0" w:line="440" w:lineRule="exact"/>
        <w:rPr>
          <w:rFonts w:ascii="Times New Roman" w:hAnsi="Times New Roman"/>
        </w:rPr>
      </w:pPr>
      <w:bookmarkStart w:id="344" w:name="_Toc279840215"/>
      <w:bookmarkStart w:id="345" w:name="_Toc279840397"/>
      <w:bookmarkStart w:id="346" w:name="_Toc279866382"/>
      <w:bookmarkStart w:id="347" w:name="_Toc302080648"/>
      <w:bookmarkStart w:id="348" w:name="_Toc303443138"/>
      <w:r>
        <w:rPr>
          <w:rFonts w:ascii="Times New Roman" w:hAnsi="Times New Roman"/>
        </w:rPr>
        <w:t xml:space="preserve">9.1.1 </w:t>
      </w:r>
      <w:r>
        <w:rPr>
          <w:rFonts w:ascii="Times New Roman" w:hAnsi="Times New Roman"/>
        </w:rPr>
        <w:t>综合整治区划原则与方法</w:t>
      </w:r>
      <w:bookmarkEnd w:id="344"/>
      <w:bookmarkEnd w:id="345"/>
      <w:bookmarkEnd w:id="346"/>
      <w:bookmarkEnd w:id="347"/>
      <w:bookmarkEnd w:id="348"/>
    </w:p>
    <w:p w14:paraId="431EDE2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综合整治分区是依据区域生态环境敏感性、生态服务功能重要性以及生态环境特征的相似性和差异性而进行的地理空间分区。生态系统服务功能反映的是生态系统对人类社会发展所提供的效用，区划不仅要反映生态系统结构与过程的区域分异规律，还要综合考虑其对区域社会经济发展的支撑作用。</w:t>
      </w:r>
    </w:p>
    <w:p w14:paraId="123CBD0F"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）综合整治区划应遵循以下原则：</w:t>
      </w:r>
    </w:p>
    <w:p w14:paraId="3F2DA1D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发生学原则：生态系统服务功能是生态系统结构与过程与人类社会经济发展要求的综合结果。只有在充分调查分析生态系统结构与过程，与社会经济发展对生态环境要求，以及人类活动和生态服务功能的影响，及可能产生的生态环境问题后果的差异才能够提出科学的综合整治区划。</w:t>
      </w:r>
    </w:p>
    <w:p w14:paraId="54A6BA8D"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结构的相似性与差异性原则：自然地理环境是生态系统形成和分异的物质基础。但由于自然因素的差别和人类活动的影响，使得区域内生态系统的结构、过程和服务功能存在某些相似性和差异性，而识别这些自然单元加以概括，才是综合整治区划的本质。</w:t>
      </w:r>
    </w:p>
    <w:p w14:paraId="1B4FA05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综合分析原则：区域生态服务功能是自然环境因素与人类活动因素综合作用的体现，只有采用综合分析的方法，才能揭示区域生态服务功能形成机制及其区域差异，及其与人类活动的关系。</w:t>
      </w:r>
    </w:p>
    <w:p w14:paraId="58C62F3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fldChar w:fldCharType="begin"/>
      </w:r>
      <w:r>
        <w:rPr>
          <w:rFonts w:ascii="Times New Roman" w:hAnsi="Times New Roman"/>
        </w:rPr>
        <w:instrText xml:space="preserve"> = 4 \* GB3 </w:instrText>
      </w:r>
      <w:r>
        <w:rPr>
          <w:rFonts w:ascii="Times New Roman" w:hAnsi="Times New Roman"/>
        </w:rPr>
        <w:fldChar w:fldCharType="end"/>
      </w:r>
      <w:r>
        <w:rPr>
          <w:rFonts w:ascii="Times New Roman" w:hAnsi="Times New Roman"/>
        </w:rPr>
        <w:t>相互关联原则：任一生态服务功能形成都与该区域甚至更大范围的自然与社会经济因素有关。在生态服务功能的形成机制上，生态服务功能与生态系统的结构、过程、格局密切相关，相互关联性分析有利于确定区划主导因子。</w:t>
      </w:r>
    </w:p>
    <w:p w14:paraId="460F6C5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可持续发展原则：生态服务功能评价与区划目的是促进土地合理利用与开发，避免盲目的资源开发和生态环境破坏，增强区域社会经济发展的生态环境支撑能力，推进区域的可持续发展。</w:t>
      </w:r>
    </w:p>
    <w:p w14:paraId="58BC0106"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）综合整治区划方法</w:t>
      </w:r>
    </w:p>
    <w:p w14:paraId="3F801E9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综合整治区划的方法是在生态环境现状调研分析基础上，结合区域社会经济状况分析，综合运用遥感（</w:t>
      </w:r>
      <w:r>
        <w:rPr>
          <w:rFonts w:ascii="Times New Roman" w:hAnsi="Times New Roman"/>
        </w:rPr>
        <w:t>RS</w:t>
      </w:r>
      <w:r>
        <w:rPr>
          <w:rFonts w:ascii="Times New Roman" w:hAnsi="Times New Roman"/>
        </w:rPr>
        <w:t>）和地理信息系统（</w:t>
      </w:r>
      <w:r>
        <w:rPr>
          <w:rFonts w:ascii="Times New Roman" w:hAnsi="Times New Roman"/>
        </w:rPr>
        <w:t>GIS</w:t>
      </w:r>
      <w:r>
        <w:rPr>
          <w:rFonts w:ascii="Times New Roman" w:hAnsi="Times New Roman"/>
        </w:rPr>
        <w:t>）技术，进行各相关资料数据的处理，结合生态环境现状评价、生态敏感性分析和生态服务功能评价进行分区划界。</w:t>
      </w:r>
    </w:p>
    <w:p w14:paraId="312277C6"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rPr>
        <w:t xml:space="preserve">9.1.2 </w:t>
      </w:r>
      <w:r>
        <w:rPr>
          <w:rFonts w:ascii="Times New Roman" w:hAnsi="Times New Roman"/>
        </w:rPr>
        <w:t>生态环境综合整治区划目标及限制要求</w:t>
      </w:r>
    </w:p>
    <w:p w14:paraId="1259B68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矿区生态综合整治的主要目标就是结合矿区原生态系统特征，根据人工扰动范围、程度，并结合井工矿的开采沉陷影响特点，采取有效措施维持区域生态系统服务功能，保证生态系统的可持续发展。</w:t>
      </w:r>
    </w:p>
    <w:p w14:paraId="16BB48F5"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）生态环境综合整治目标</w:t>
      </w:r>
    </w:p>
    <w:p w14:paraId="29EAAD88" w14:textId="77777777" w:rsidR="009C353B" w:rsidRDefault="00000000">
      <w:pPr>
        <w:adjustRightInd w:val="0"/>
        <w:snapToGrid w:val="0"/>
        <w:spacing w:line="440" w:lineRule="exact"/>
        <w:ind w:firstLineChars="200" w:firstLine="480"/>
        <w:rPr>
          <w:rFonts w:ascii="Times New Roman" w:hAnsi="Times New Roman"/>
        </w:rPr>
      </w:pPr>
      <w:bookmarkStart w:id="349" w:name="_Hlk48477560"/>
      <w:r>
        <w:rPr>
          <w:rFonts w:ascii="Times New Roman" w:hAnsi="Times New Roman"/>
        </w:rPr>
        <w:t>1</w:t>
      </w:r>
      <w:r>
        <w:rPr>
          <w:rFonts w:ascii="Times New Roman" w:hAnsi="Times New Roman"/>
        </w:rPr>
        <w:t>）工业场地绿化率达到</w:t>
      </w:r>
      <w:r>
        <w:rPr>
          <w:rFonts w:ascii="Times New Roman" w:hAnsi="Times New Roman"/>
        </w:rPr>
        <w:t>30%</w:t>
      </w:r>
      <w:r>
        <w:rPr>
          <w:rFonts w:ascii="Times New Roman" w:hAnsi="Times New Roman"/>
        </w:rPr>
        <w:t>；</w:t>
      </w:r>
    </w:p>
    <w:p w14:paraId="2B0FFBA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2</w:t>
      </w:r>
      <w:r>
        <w:rPr>
          <w:rFonts w:ascii="Times New Roman" w:hAnsi="Times New Roman"/>
        </w:rPr>
        <w:t>）沉陷土地治理率达到</w:t>
      </w:r>
      <w:r>
        <w:rPr>
          <w:rFonts w:ascii="Times New Roman" w:hAnsi="Times New Roman"/>
        </w:rPr>
        <w:t>95%</w:t>
      </w:r>
      <w:r>
        <w:rPr>
          <w:rFonts w:ascii="Times New Roman" w:hAnsi="Times New Roman"/>
        </w:rPr>
        <w:t>；</w:t>
      </w:r>
    </w:p>
    <w:p w14:paraId="1F36B0F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3</w:t>
      </w:r>
      <w:r>
        <w:rPr>
          <w:rFonts w:ascii="Times New Roman" w:hAnsi="Times New Roman"/>
        </w:rPr>
        <w:t>）沉陷区植被恢复系数达到</w:t>
      </w:r>
      <w:r>
        <w:rPr>
          <w:rFonts w:ascii="Times New Roman" w:hAnsi="Times New Roman"/>
        </w:rPr>
        <w:t>95%</w:t>
      </w:r>
      <w:r>
        <w:rPr>
          <w:rFonts w:ascii="Times New Roman" w:hAnsi="Times New Roman"/>
        </w:rPr>
        <w:t>；</w:t>
      </w:r>
    </w:p>
    <w:p w14:paraId="1030493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4</w:t>
      </w:r>
      <w:r>
        <w:rPr>
          <w:rFonts w:ascii="Times New Roman" w:hAnsi="Times New Roman"/>
        </w:rPr>
        <w:t>）</w:t>
      </w:r>
      <w:r>
        <w:rPr>
          <w:rFonts w:ascii="Times New Roman" w:hAnsi="Times New Roman" w:hint="eastAsia"/>
        </w:rPr>
        <w:t>林草植被</w:t>
      </w:r>
      <w:r>
        <w:rPr>
          <w:rFonts w:ascii="Times New Roman" w:hAnsi="Times New Roman"/>
        </w:rPr>
        <w:t>覆盖</w:t>
      </w:r>
      <w:r>
        <w:rPr>
          <w:rFonts w:ascii="Times New Roman" w:hAnsi="Times New Roman" w:hint="eastAsia"/>
        </w:rPr>
        <w:t>度</w:t>
      </w:r>
      <w:r>
        <w:rPr>
          <w:rFonts w:ascii="Times New Roman" w:hAnsi="Times New Roman"/>
        </w:rPr>
        <w:t>达到</w:t>
      </w:r>
      <w:r>
        <w:rPr>
          <w:rFonts w:ascii="Times New Roman" w:hAnsi="Times New Roman"/>
        </w:rPr>
        <w:t>20%</w:t>
      </w:r>
      <w:r>
        <w:rPr>
          <w:rFonts w:ascii="Times New Roman" w:hAnsi="Times New Roman"/>
        </w:rPr>
        <w:t>以上；</w:t>
      </w:r>
    </w:p>
    <w:p w14:paraId="2775165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5</w:t>
      </w:r>
      <w:r>
        <w:rPr>
          <w:rFonts w:ascii="Times New Roman" w:hAnsi="Times New Roman"/>
        </w:rPr>
        <w:t>）水土流总治理度达到</w:t>
      </w:r>
      <w:r>
        <w:rPr>
          <w:rFonts w:ascii="Times New Roman" w:hAnsi="Times New Roman"/>
        </w:rPr>
        <w:t>85%</w:t>
      </w:r>
      <w:r>
        <w:rPr>
          <w:rFonts w:ascii="Times New Roman" w:hAnsi="Times New Roman"/>
        </w:rPr>
        <w:t>；</w:t>
      </w:r>
    </w:p>
    <w:p w14:paraId="51E63E1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6</w:t>
      </w:r>
      <w:r>
        <w:rPr>
          <w:rFonts w:ascii="Times New Roman" w:hAnsi="Times New Roman"/>
        </w:rPr>
        <w:t>）土壤流失控制比达到</w:t>
      </w:r>
      <w:r>
        <w:rPr>
          <w:rFonts w:ascii="Times New Roman" w:hAnsi="Times New Roman"/>
        </w:rPr>
        <w:t>0.7</w:t>
      </w:r>
      <w:r>
        <w:rPr>
          <w:rFonts w:ascii="Times New Roman" w:hAnsi="Times New Roman"/>
        </w:rPr>
        <w:t>；</w:t>
      </w:r>
    </w:p>
    <w:p w14:paraId="08E93E0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7</w:t>
      </w:r>
      <w:r>
        <w:rPr>
          <w:rFonts w:ascii="Times New Roman" w:hAnsi="Times New Roman"/>
        </w:rPr>
        <w:t>）塌陷、裂缝等沉陷灾害的治理率达到</w:t>
      </w:r>
      <w:r>
        <w:rPr>
          <w:rFonts w:ascii="Times New Roman" w:hAnsi="Times New Roman"/>
        </w:rPr>
        <w:t>100%</w:t>
      </w:r>
      <w:r>
        <w:rPr>
          <w:rFonts w:ascii="Times New Roman" w:hAnsi="Times New Roman"/>
        </w:rPr>
        <w:t>。</w:t>
      </w:r>
    </w:p>
    <w:bookmarkEnd w:id="349"/>
    <w:p w14:paraId="76FCFFBC"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）矿区发展限制要求</w:t>
      </w:r>
    </w:p>
    <w:p w14:paraId="62EBB8C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1</w:t>
      </w:r>
      <w:r>
        <w:rPr>
          <w:rFonts w:ascii="Times New Roman" w:hAnsi="Times New Roman"/>
        </w:rPr>
        <w:t>）矿区开发不得影响居民聚居区；</w:t>
      </w:r>
    </w:p>
    <w:p w14:paraId="081D3A5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2</w:t>
      </w:r>
      <w:r>
        <w:rPr>
          <w:rFonts w:ascii="Times New Roman" w:hAnsi="Times New Roman"/>
        </w:rPr>
        <w:t>）矿区开发不</w:t>
      </w:r>
      <w:r>
        <w:rPr>
          <w:rFonts w:ascii="Times New Roman" w:hAnsi="Times New Roman" w:hint="eastAsia"/>
        </w:rPr>
        <w:t>得</w:t>
      </w:r>
      <w:r>
        <w:rPr>
          <w:rFonts w:ascii="Times New Roman" w:hAnsi="Times New Roman"/>
        </w:rPr>
        <w:t>引起区域生态系统退化，不得影响区域防风固沙的生态功能；</w:t>
      </w:r>
    </w:p>
    <w:p w14:paraId="6454A38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3</w:t>
      </w:r>
      <w:r>
        <w:rPr>
          <w:rFonts w:ascii="Times New Roman" w:hAnsi="Times New Roman"/>
        </w:rPr>
        <w:t>）矿区开发不得影响白芨滩国家级自然保护区。</w:t>
      </w:r>
    </w:p>
    <w:p w14:paraId="1E115BAA" w14:textId="77777777" w:rsidR="009C353B" w:rsidRDefault="00000000">
      <w:pPr>
        <w:pStyle w:val="third"/>
        <w:adjustRightInd w:val="0"/>
        <w:snapToGrid w:val="0"/>
        <w:spacing w:before="0" w:after="0" w:line="440" w:lineRule="exact"/>
        <w:rPr>
          <w:rFonts w:ascii="Times New Roman" w:hAnsi="Times New Roman"/>
        </w:rPr>
      </w:pPr>
      <w:bookmarkStart w:id="350" w:name="_Toc279866384"/>
      <w:bookmarkStart w:id="351" w:name="_Toc339875226"/>
      <w:bookmarkStart w:id="352" w:name="_Toc339816283"/>
      <w:bookmarkStart w:id="353" w:name="_Toc279840217"/>
      <w:bookmarkStart w:id="354" w:name="_Toc279840399"/>
      <w:r>
        <w:rPr>
          <w:rFonts w:ascii="Times New Roman" w:hAnsi="Times New Roman" w:hint="eastAsia"/>
        </w:rPr>
        <w:t>9.</w:t>
      </w:r>
      <w:r>
        <w:rPr>
          <w:rFonts w:ascii="Times New Roman" w:hAnsi="Times New Roman"/>
        </w:rPr>
        <w:t xml:space="preserve">1.3 </w:t>
      </w:r>
      <w:r>
        <w:rPr>
          <w:rFonts w:ascii="Times New Roman" w:hAnsi="Times New Roman" w:hint="eastAsia"/>
        </w:rPr>
        <w:t>生态环境综合整治区划</w:t>
      </w:r>
      <w:bookmarkEnd w:id="350"/>
      <w:bookmarkEnd w:id="351"/>
      <w:bookmarkEnd w:id="352"/>
      <w:bookmarkEnd w:id="353"/>
      <w:bookmarkEnd w:id="354"/>
    </w:p>
    <w:p w14:paraId="1AF64D6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根据《全国生态功能区划》，横城矿区</w:t>
      </w:r>
      <w:r>
        <w:rPr>
          <w:rFonts w:ascii="Times New Roman" w:hAnsi="Times New Roman"/>
        </w:rPr>
        <w:t>位于该区划</w:t>
      </w:r>
      <w:r>
        <w:rPr>
          <w:rFonts w:ascii="Times New Roman" w:hAnsi="Times New Roman"/>
        </w:rPr>
        <w:t>“I-04</w:t>
      </w:r>
      <w:r>
        <w:rPr>
          <w:rFonts w:ascii="Times New Roman" w:hAnsi="Times New Roman" w:hint="eastAsia"/>
        </w:rPr>
        <w:t>防风固沙</w:t>
      </w:r>
      <w:r>
        <w:rPr>
          <w:rFonts w:ascii="Times New Roman" w:hAnsi="Times New Roman"/>
        </w:rPr>
        <w:t>功能区</w:t>
      </w:r>
      <w:r>
        <w:rPr>
          <w:rFonts w:ascii="Times New Roman" w:hAnsi="Times New Roman"/>
        </w:rPr>
        <w:t>”</w:t>
      </w:r>
      <w:r>
        <w:rPr>
          <w:rFonts w:ascii="Times New Roman" w:hAnsi="Times New Roman"/>
        </w:rPr>
        <w:t>内的</w:t>
      </w:r>
      <w:r>
        <w:rPr>
          <w:rFonts w:ascii="Times New Roman" w:hAnsi="Times New Roman"/>
        </w:rPr>
        <w:t>“I-04-10</w:t>
      </w:r>
      <w:r>
        <w:rPr>
          <w:rFonts w:ascii="Times New Roman" w:hAnsi="Times New Roman" w:hint="eastAsia"/>
        </w:rPr>
        <w:t>鄂尔多斯高原西南部防风固沙功能区</w:t>
      </w:r>
      <w:r>
        <w:rPr>
          <w:rFonts w:ascii="Times New Roman" w:hAnsi="Times New Roman"/>
        </w:rPr>
        <w:t>”</w:t>
      </w:r>
      <w:r>
        <w:rPr>
          <w:rFonts w:ascii="Times New Roman" w:hAnsi="Times New Roman"/>
        </w:rPr>
        <w:t>。</w:t>
      </w:r>
      <w:r>
        <w:rPr>
          <w:rFonts w:ascii="Times New Roman" w:hAnsi="Times New Roman" w:hint="eastAsia"/>
        </w:rPr>
        <w:t>根据《宁夏回族自治区生态功能区划》，横城矿区中马莲台属于</w:t>
      </w:r>
      <w:r>
        <w:rPr>
          <w:rFonts w:ascii="Times New Roman" w:hAnsi="Times New Roman" w:hint="eastAsia"/>
        </w:rPr>
        <w:t>I</w:t>
      </w:r>
      <w:r>
        <w:rPr>
          <w:rFonts w:ascii="Times New Roman" w:hAnsi="Times New Roman"/>
        </w:rPr>
        <w:t>I1-2</w:t>
      </w:r>
      <w:r>
        <w:rPr>
          <w:rFonts w:ascii="Times New Roman" w:hAnsi="Times New Roman"/>
        </w:rPr>
        <w:t>灵盐中北部防沙治沙生态功能区</w:t>
      </w:r>
      <w:r>
        <w:rPr>
          <w:rFonts w:ascii="Times New Roman" w:hAnsi="Times New Roman" w:hint="eastAsia"/>
        </w:rPr>
        <w:t>，其他矿井属于</w:t>
      </w:r>
      <w:r>
        <w:rPr>
          <w:rFonts w:ascii="Times New Roman" w:hAnsi="Times New Roman"/>
        </w:rPr>
        <w:t>II1</w:t>
      </w:r>
      <w:r>
        <w:rPr>
          <w:rFonts w:ascii="Times New Roman" w:hAnsi="Times New Roman" w:hint="eastAsia"/>
        </w:rPr>
        <w:t>-</w:t>
      </w:r>
      <w:r>
        <w:rPr>
          <w:rFonts w:ascii="Times New Roman" w:hAnsi="Times New Roman"/>
        </w:rPr>
        <w:t>3</w:t>
      </w:r>
      <w:r>
        <w:rPr>
          <w:rFonts w:ascii="Times New Roman" w:hAnsi="Times New Roman"/>
        </w:rPr>
        <w:t>白芨滩柠条及沙生植被自然保护生态功能区</w:t>
      </w:r>
      <w:r>
        <w:rPr>
          <w:rFonts w:ascii="Times New Roman" w:hAnsi="Times New Roman" w:hint="eastAsia"/>
        </w:rPr>
        <w:t>。</w:t>
      </w:r>
    </w:p>
    <w:p w14:paraId="7603DDDA" w14:textId="77777777" w:rsidR="009C353B" w:rsidRDefault="00000000">
      <w:pPr>
        <w:adjustRightInd w:val="0"/>
        <w:snapToGrid w:val="0"/>
        <w:spacing w:line="440" w:lineRule="exact"/>
        <w:ind w:firstLineChars="200" w:firstLine="480"/>
        <w:rPr>
          <w:rFonts w:ascii="Times New Roman" w:hAnsi="Times New Roman"/>
        </w:rPr>
        <w:sectPr w:rsidR="009C353B">
          <w:headerReference w:type="default" r:id="rId475"/>
          <w:pgSz w:w="11907" w:h="16840"/>
          <w:pgMar w:top="1701" w:right="1418" w:bottom="1418" w:left="1418" w:header="1134" w:footer="851" w:gutter="0"/>
          <w:paperSrc w:first="7" w:other="7"/>
          <w:cols w:space="720"/>
          <w:docGrid w:linePitch="326"/>
        </w:sectPr>
      </w:pPr>
      <w:r>
        <w:rPr>
          <w:rFonts w:ascii="Times New Roman" w:hAnsi="Times New Roman"/>
        </w:rPr>
        <w:t>根据矿区生态环境保护区划方案以及矿区地面总布局制定的矿区生态综合治理功能分区，根据矿区规划实施对矿区生态环境的影响不同，</w:t>
      </w:r>
      <w:r>
        <w:rPr>
          <w:rFonts w:ascii="Times New Roman" w:hAnsi="Times New Roman" w:hint="eastAsia"/>
        </w:rPr>
        <w:t>以及矿区开发多年连接道路等线性工程均已恢复完毕，</w:t>
      </w:r>
      <w:r>
        <w:rPr>
          <w:rFonts w:ascii="Times New Roman" w:hAnsi="Times New Roman"/>
        </w:rPr>
        <w:t>横城矿区生态环境综合整治划分为</w:t>
      </w:r>
      <w:r>
        <w:rPr>
          <w:rFonts w:ascii="Times New Roman" w:hAnsi="Times New Roman" w:hint="eastAsia"/>
        </w:rPr>
        <w:t>三</w:t>
      </w:r>
      <w:r>
        <w:rPr>
          <w:rFonts w:ascii="Times New Roman" w:hAnsi="Times New Roman"/>
        </w:rPr>
        <w:t>个分区，分别是：工业场地恢复重建区、地表沉陷治理区、排矸场恢复重建区。横城矿区生态环境综合整治分区特征见表</w:t>
      </w:r>
      <w:r>
        <w:rPr>
          <w:rFonts w:ascii="Times New Roman" w:hAnsi="Times New Roman"/>
        </w:rPr>
        <w:t>9.1-1</w:t>
      </w:r>
      <w:r>
        <w:rPr>
          <w:rFonts w:ascii="Times New Roman" w:hAnsi="Times New Roman"/>
        </w:rPr>
        <w:t>。</w:t>
      </w:r>
    </w:p>
    <w:p w14:paraId="0D62DCF3" w14:textId="77777777" w:rsidR="009C353B" w:rsidRDefault="00000000">
      <w:pPr>
        <w:pStyle w:val="afffffffffffe"/>
        <w:adjustRightInd w:val="0"/>
        <w:snapToGrid w:val="0"/>
        <w:spacing w:line="440" w:lineRule="exact"/>
        <w:ind w:firstLine="480"/>
        <w:jc w:val="center"/>
        <w:rPr>
          <w:rFonts w:ascii="Times New Roman" w:eastAsia="宋体" w:hAnsi="Times New Roman"/>
          <w:kern w:val="0"/>
        </w:rPr>
      </w:pPr>
      <w:r>
        <w:rPr>
          <w:rFonts w:ascii="Times New Roman" w:eastAsia="宋体" w:hAnsi="Times New Roman" w:hint="eastAsia"/>
          <w:kern w:val="0"/>
        </w:rPr>
        <w:t>横城矿区生态环境综合整治分区特征表</w:t>
      </w:r>
    </w:p>
    <w:p w14:paraId="24C3075B" w14:textId="77777777" w:rsidR="009C353B" w:rsidRDefault="00000000">
      <w:pPr>
        <w:pStyle w:val="affffd"/>
        <w:spacing w:line="440" w:lineRule="exact"/>
        <w:ind w:firstLineChars="200" w:firstLine="480"/>
        <w:rPr>
          <w:rFonts w:ascii="Times New Roman" w:hAnsi="Times New Roman"/>
        </w:rPr>
      </w:pPr>
      <w:r>
        <w:rPr>
          <w:rFonts w:ascii="Times New Roman" w:hAnsi="Times New Roman" w:hint="eastAsia"/>
        </w:rPr>
        <w:t>表</w:t>
      </w:r>
      <w:r>
        <w:rPr>
          <w:rFonts w:ascii="Times New Roman" w:hAnsi="Times New Roman"/>
        </w:rPr>
        <w:t>9.1-1</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2294"/>
        <w:gridCol w:w="6005"/>
        <w:gridCol w:w="3995"/>
      </w:tblGrid>
      <w:tr w:rsidR="009C353B" w14:paraId="367B5BAD" w14:textId="77777777">
        <w:trPr>
          <w:trHeight w:val="623"/>
        </w:trPr>
        <w:tc>
          <w:tcPr>
            <w:tcW w:w="584" w:type="pct"/>
            <w:tcBorders>
              <w:top w:val="single" w:sz="4" w:space="0" w:color="auto"/>
              <w:left w:val="single" w:sz="4" w:space="0" w:color="auto"/>
              <w:bottom w:val="single" w:sz="4" w:space="0" w:color="auto"/>
              <w:right w:val="single" w:sz="4" w:space="0" w:color="auto"/>
            </w:tcBorders>
            <w:vAlign w:val="center"/>
          </w:tcPr>
          <w:p w14:paraId="68FE06EC" w14:textId="77777777" w:rsidR="009C353B" w:rsidRDefault="00000000">
            <w:pPr>
              <w:jc w:val="center"/>
              <w:rPr>
                <w:rFonts w:ascii="Times New Roman" w:hAnsi="Times New Roman"/>
                <w:sz w:val="21"/>
                <w:szCs w:val="21"/>
              </w:rPr>
            </w:pPr>
            <w:r>
              <w:rPr>
                <w:rFonts w:ascii="Times New Roman" w:hAnsi="Times New Roman"/>
                <w:sz w:val="21"/>
                <w:szCs w:val="21"/>
              </w:rPr>
              <w:t>生态整治分区</w:t>
            </w:r>
          </w:p>
        </w:tc>
        <w:tc>
          <w:tcPr>
            <w:tcW w:w="824" w:type="pct"/>
            <w:tcBorders>
              <w:top w:val="single" w:sz="4" w:space="0" w:color="auto"/>
              <w:left w:val="single" w:sz="4" w:space="0" w:color="auto"/>
              <w:bottom w:val="single" w:sz="4" w:space="0" w:color="auto"/>
              <w:right w:val="single" w:sz="4" w:space="0" w:color="auto"/>
            </w:tcBorders>
            <w:vAlign w:val="center"/>
          </w:tcPr>
          <w:p w14:paraId="745C75E8" w14:textId="77777777" w:rsidR="009C353B" w:rsidRDefault="00000000">
            <w:pPr>
              <w:jc w:val="center"/>
              <w:rPr>
                <w:rFonts w:ascii="Times New Roman" w:hAnsi="Times New Roman"/>
                <w:sz w:val="21"/>
                <w:szCs w:val="21"/>
              </w:rPr>
            </w:pPr>
            <w:r>
              <w:rPr>
                <w:rFonts w:ascii="Times New Roman" w:hAnsi="Times New Roman"/>
                <w:sz w:val="21"/>
                <w:szCs w:val="21"/>
              </w:rPr>
              <w:t>分区特征</w:t>
            </w:r>
          </w:p>
        </w:tc>
        <w:tc>
          <w:tcPr>
            <w:tcW w:w="2157" w:type="pct"/>
            <w:tcBorders>
              <w:top w:val="single" w:sz="4" w:space="0" w:color="auto"/>
              <w:left w:val="single" w:sz="4" w:space="0" w:color="auto"/>
              <w:bottom w:val="single" w:sz="4" w:space="0" w:color="auto"/>
              <w:right w:val="single" w:sz="4" w:space="0" w:color="auto"/>
            </w:tcBorders>
            <w:vAlign w:val="center"/>
          </w:tcPr>
          <w:p w14:paraId="1A242DE2" w14:textId="77777777" w:rsidR="009C353B" w:rsidRDefault="00000000">
            <w:pPr>
              <w:jc w:val="center"/>
              <w:rPr>
                <w:rFonts w:ascii="Times New Roman" w:hAnsi="Times New Roman"/>
                <w:sz w:val="21"/>
                <w:szCs w:val="21"/>
              </w:rPr>
            </w:pPr>
            <w:r>
              <w:rPr>
                <w:rFonts w:ascii="Times New Roman" w:hAnsi="Times New Roman"/>
                <w:sz w:val="21"/>
                <w:szCs w:val="21"/>
              </w:rPr>
              <w:t>整治措施</w:t>
            </w:r>
          </w:p>
        </w:tc>
        <w:tc>
          <w:tcPr>
            <w:tcW w:w="1435" w:type="pct"/>
            <w:tcBorders>
              <w:top w:val="single" w:sz="4" w:space="0" w:color="auto"/>
              <w:left w:val="single" w:sz="4" w:space="0" w:color="auto"/>
              <w:bottom w:val="single" w:sz="4" w:space="0" w:color="auto"/>
              <w:right w:val="single" w:sz="4" w:space="0" w:color="auto"/>
            </w:tcBorders>
            <w:vAlign w:val="center"/>
          </w:tcPr>
          <w:p w14:paraId="79010074" w14:textId="77777777" w:rsidR="009C353B" w:rsidRDefault="00000000">
            <w:pPr>
              <w:jc w:val="center"/>
              <w:rPr>
                <w:rFonts w:ascii="Times New Roman" w:hAnsi="Times New Roman"/>
                <w:sz w:val="21"/>
                <w:szCs w:val="21"/>
              </w:rPr>
            </w:pPr>
            <w:r>
              <w:rPr>
                <w:rFonts w:ascii="Times New Roman" w:hAnsi="Times New Roman"/>
                <w:sz w:val="21"/>
                <w:szCs w:val="21"/>
              </w:rPr>
              <w:t>整治目标</w:t>
            </w:r>
          </w:p>
        </w:tc>
      </w:tr>
      <w:tr w:rsidR="009C353B" w14:paraId="2A5B44CC" w14:textId="77777777">
        <w:trPr>
          <w:trHeight w:val="623"/>
        </w:trPr>
        <w:tc>
          <w:tcPr>
            <w:tcW w:w="584" w:type="pct"/>
            <w:tcBorders>
              <w:top w:val="single" w:sz="4" w:space="0" w:color="auto"/>
              <w:left w:val="single" w:sz="4" w:space="0" w:color="auto"/>
              <w:bottom w:val="single" w:sz="4" w:space="0" w:color="auto"/>
              <w:right w:val="single" w:sz="4" w:space="0" w:color="auto"/>
            </w:tcBorders>
            <w:vAlign w:val="center"/>
          </w:tcPr>
          <w:p w14:paraId="3578C74D"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工业场地</w:t>
            </w:r>
          </w:p>
          <w:p w14:paraId="7582AB70"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恢复重建区</w:t>
            </w:r>
          </w:p>
        </w:tc>
        <w:tc>
          <w:tcPr>
            <w:tcW w:w="824" w:type="pct"/>
            <w:tcBorders>
              <w:top w:val="single" w:sz="4" w:space="0" w:color="auto"/>
              <w:left w:val="single" w:sz="4" w:space="0" w:color="auto"/>
              <w:bottom w:val="single" w:sz="4" w:space="0" w:color="auto"/>
              <w:right w:val="single" w:sz="4" w:space="0" w:color="auto"/>
            </w:tcBorders>
            <w:vAlign w:val="center"/>
          </w:tcPr>
          <w:p w14:paraId="30F7D90E" w14:textId="77777777" w:rsidR="009C353B" w:rsidRDefault="00000000">
            <w:pPr>
              <w:adjustRightInd w:val="0"/>
              <w:snapToGrid w:val="0"/>
              <w:rPr>
                <w:rFonts w:ascii="Times New Roman" w:hAnsi="Times New Roman"/>
                <w:sz w:val="21"/>
                <w:szCs w:val="21"/>
              </w:rPr>
            </w:pPr>
            <w:r>
              <w:rPr>
                <w:rFonts w:ascii="Times New Roman" w:hAnsi="Times New Roman"/>
                <w:sz w:val="21"/>
                <w:szCs w:val="21"/>
              </w:rPr>
              <w:t>工业场地以及工业场地外</w:t>
            </w:r>
            <w:r>
              <w:rPr>
                <w:rFonts w:ascii="Times New Roman" w:hAnsi="Times New Roman" w:hint="eastAsia"/>
                <w:sz w:val="21"/>
                <w:szCs w:val="21"/>
              </w:rPr>
              <w:t>临时占地区</w:t>
            </w:r>
            <w:r>
              <w:rPr>
                <w:rFonts w:ascii="Times New Roman" w:hAnsi="Times New Roman"/>
                <w:sz w:val="21"/>
                <w:szCs w:val="21"/>
              </w:rPr>
              <w:t>。</w:t>
            </w:r>
          </w:p>
        </w:tc>
        <w:tc>
          <w:tcPr>
            <w:tcW w:w="2157" w:type="pct"/>
            <w:tcBorders>
              <w:top w:val="single" w:sz="4" w:space="0" w:color="auto"/>
              <w:left w:val="single" w:sz="4" w:space="0" w:color="auto"/>
              <w:bottom w:val="single" w:sz="4" w:space="0" w:color="auto"/>
              <w:right w:val="single" w:sz="4" w:space="0" w:color="auto"/>
            </w:tcBorders>
            <w:vAlign w:val="center"/>
          </w:tcPr>
          <w:p w14:paraId="2F4EC12F" w14:textId="77777777" w:rsidR="009C353B" w:rsidRDefault="00000000">
            <w:pPr>
              <w:adjustRightInd w:val="0"/>
              <w:snapToGrid w:val="0"/>
              <w:rPr>
                <w:rFonts w:ascii="Times New Roman" w:hAnsi="Times New Roman"/>
                <w:sz w:val="21"/>
                <w:szCs w:val="21"/>
              </w:rPr>
            </w:pPr>
            <w:r>
              <w:rPr>
                <w:rFonts w:ascii="Times New Roman" w:hAnsi="Times New Roman"/>
                <w:sz w:val="21"/>
                <w:szCs w:val="21"/>
              </w:rPr>
              <w:t>布设截水沟、挡土墙等工程防护措施；采用乔灌草立体配置模式进行园区绿化；工业场地周边布设</w:t>
            </w:r>
            <w:r>
              <w:rPr>
                <w:rFonts w:ascii="Times New Roman" w:hAnsi="Times New Roman"/>
                <w:sz w:val="21"/>
                <w:szCs w:val="21"/>
              </w:rPr>
              <w:t>20m</w:t>
            </w:r>
            <w:r>
              <w:rPr>
                <w:rFonts w:ascii="Times New Roman" w:hAnsi="Times New Roman"/>
                <w:sz w:val="21"/>
                <w:szCs w:val="21"/>
              </w:rPr>
              <w:t>的防护林带；修建灌溉系统，加强后期的植被管护。</w:t>
            </w:r>
          </w:p>
        </w:tc>
        <w:tc>
          <w:tcPr>
            <w:tcW w:w="1435" w:type="pct"/>
            <w:tcBorders>
              <w:top w:val="single" w:sz="4" w:space="0" w:color="auto"/>
              <w:left w:val="single" w:sz="4" w:space="0" w:color="auto"/>
              <w:bottom w:val="single" w:sz="4" w:space="0" w:color="auto"/>
              <w:right w:val="single" w:sz="4" w:space="0" w:color="auto"/>
            </w:tcBorders>
            <w:vAlign w:val="center"/>
          </w:tcPr>
          <w:p w14:paraId="7B55EC68" w14:textId="77777777" w:rsidR="009C353B" w:rsidRDefault="00000000">
            <w:pPr>
              <w:adjustRightInd w:val="0"/>
              <w:snapToGrid w:val="0"/>
              <w:rPr>
                <w:rFonts w:ascii="Times New Roman" w:hAnsi="Times New Roman"/>
                <w:sz w:val="21"/>
                <w:szCs w:val="21"/>
              </w:rPr>
            </w:pPr>
            <w:r>
              <w:rPr>
                <w:rFonts w:ascii="Times New Roman" w:hAnsi="Times New Roman"/>
                <w:sz w:val="21"/>
                <w:szCs w:val="21"/>
              </w:rPr>
              <w:t>建设期，场地周边受干扰草地生产力得到恢复，工业场地绿化系数达到</w:t>
            </w:r>
            <w:r>
              <w:rPr>
                <w:rFonts w:ascii="Times New Roman" w:hAnsi="Times New Roman"/>
                <w:sz w:val="21"/>
                <w:szCs w:val="21"/>
              </w:rPr>
              <w:t>30%</w:t>
            </w:r>
          </w:p>
        </w:tc>
      </w:tr>
      <w:tr w:rsidR="009C353B" w14:paraId="1368F194" w14:textId="77777777">
        <w:trPr>
          <w:trHeight w:val="623"/>
        </w:trPr>
        <w:tc>
          <w:tcPr>
            <w:tcW w:w="584" w:type="pct"/>
            <w:tcBorders>
              <w:top w:val="single" w:sz="4" w:space="0" w:color="auto"/>
              <w:left w:val="single" w:sz="4" w:space="0" w:color="auto"/>
              <w:bottom w:val="single" w:sz="4" w:space="0" w:color="auto"/>
              <w:right w:val="single" w:sz="4" w:space="0" w:color="auto"/>
            </w:tcBorders>
            <w:vAlign w:val="center"/>
          </w:tcPr>
          <w:p w14:paraId="0A6B190F"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地表沉陷</w:t>
            </w:r>
          </w:p>
          <w:p w14:paraId="49AD0AD9" w14:textId="77777777" w:rsidR="009C353B" w:rsidRDefault="00000000">
            <w:pPr>
              <w:adjustRightInd w:val="0"/>
              <w:snapToGrid w:val="0"/>
              <w:jc w:val="center"/>
              <w:rPr>
                <w:rFonts w:ascii="Times New Roman" w:hAnsi="Times New Roman"/>
                <w:sz w:val="21"/>
                <w:szCs w:val="21"/>
              </w:rPr>
            </w:pPr>
            <w:r>
              <w:rPr>
                <w:rFonts w:ascii="Times New Roman" w:hAnsi="Times New Roman"/>
                <w:sz w:val="21"/>
                <w:szCs w:val="21"/>
              </w:rPr>
              <w:t>治理区</w:t>
            </w:r>
          </w:p>
        </w:tc>
        <w:tc>
          <w:tcPr>
            <w:tcW w:w="824" w:type="pct"/>
            <w:tcBorders>
              <w:top w:val="single" w:sz="4" w:space="0" w:color="auto"/>
              <w:left w:val="single" w:sz="4" w:space="0" w:color="auto"/>
              <w:bottom w:val="single" w:sz="4" w:space="0" w:color="auto"/>
              <w:right w:val="single" w:sz="4" w:space="0" w:color="auto"/>
            </w:tcBorders>
            <w:vAlign w:val="center"/>
          </w:tcPr>
          <w:p w14:paraId="0E85FBBB" w14:textId="77777777" w:rsidR="009C353B" w:rsidRDefault="00000000">
            <w:pPr>
              <w:rPr>
                <w:rFonts w:ascii="Times New Roman" w:hAnsi="Times New Roman"/>
                <w:sz w:val="21"/>
                <w:szCs w:val="21"/>
              </w:rPr>
            </w:pPr>
            <w:r>
              <w:rPr>
                <w:rFonts w:ascii="Times New Roman" w:hAnsi="Times New Roman"/>
                <w:sz w:val="21"/>
                <w:szCs w:val="21"/>
              </w:rPr>
              <w:t>地表沉陷区内由于塌陷、裂缝给区域生态环境造成破坏，水土流失较为严重，植被覆盖率降低，土地生产力下降。</w:t>
            </w:r>
          </w:p>
        </w:tc>
        <w:tc>
          <w:tcPr>
            <w:tcW w:w="2157" w:type="pct"/>
            <w:tcBorders>
              <w:top w:val="single" w:sz="4" w:space="0" w:color="auto"/>
              <w:left w:val="single" w:sz="4" w:space="0" w:color="auto"/>
              <w:bottom w:val="single" w:sz="4" w:space="0" w:color="auto"/>
              <w:right w:val="single" w:sz="4" w:space="0" w:color="auto"/>
            </w:tcBorders>
            <w:vAlign w:val="center"/>
          </w:tcPr>
          <w:p w14:paraId="4516E0B1" w14:textId="77777777" w:rsidR="009C353B" w:rsidRDefault="00000000">
            <w:pPr>
              <w:rPr>
                <w:rFonts w:ascii="Times New Roman" w:hAnsi="Times New Roman"/>
                <w:sz w:val="21"/>
                <w:szCs w:val="21"/>
              </w:rPr>
            </w:pPr>
            <w:r>
              <w:rPr>
                <w:rFonts w:ascii="Times New Roman" w:hAnsi="Times New Roman"/>
                <w:sz w:val="21"/>
                <w:szCs w:val="21"/>
              </w:rPr>
              <w:t>首先对裂缝进行充填，</w:t>
            </w:r>
            <w:r>
              <w:rPr>
                <w:rFonts w:ascii="Times New Roman" w:hAnsi="Times New Roman" w:hint="eastAsia"/>
                <w:sz w:val="21"/>
                <w:szCs w:val="21"/>
              </w:rPr>
              <w:t>对塌陷进行削坡放坡，局部区域进行</w:t>
            </w:r>
            <w:r>
              <w:rPr>
                <w:rFonts w:ascii="Times New Roman" w:hAnsi="Times New Roman"/>
                <w:sz w:val="21"/>
                <w:szCs w:val="21"/>
              </w:rPr>
              <w:t>土地平整处理；然后</w:t>
            </w:r>
            <w:r>
              <w:rPr>
                <w:rFonts w:ascii="Times New Roman" w:hAnsi="Times New Roman" w:hint="eastAsia"/>
                <w:sz w:val="21"/>
                <w:szCs w:val="21"/>
              </w:rPr>
              <w:t>对沉陷破坏较为严重的区域进行</w:t>
            </w:r>
            <w:r>
              <w:rPr>
                <w:rFonts w:ascii="Times New Roman" w:hAnsi="Times New Roman"/>
                <w:sz w:val="21"/>
                <w:szCs w:val="21"/>
              </w:rPr>
              <w:t>补植、补播，自然恢复植被；沉陷区内草场进行封育，尽快恢复植被覆盖度，防止草地退化和沙化。</w:t>
            </w:r>
          </w:p>
        </w:tc>
        <w:tc>
          <w:tcPr>
            <w:tcW w:w="1435" w:type="pct"/>
            <w:tcBorders>
              <w:top w:val="single" w:sz="4" w:space="0" w:color="auto"/>
              <w:left w:val="single" w:sz="4" w:space="0" w:color="auto"/>
              <w:bottom w:val="single" w:sz="4" w:space="0" w:color="auto"/>
              <w:right w:val="single" w:sz="4" w:space="0" w:color="auto"/>
            </w:tcBorders>
            <w:vAlign w:val="center"/>
          </w:tcPr>
          <w:p w14:paraId="19B6C324" w14:textId="77777777" w:rsidR="009C353B" w:rsidRDefault="00000000">
            <w:pPr>
              <w:rPr>
                <w:rFonts w:ascii="Times New Roman" w:hAnsi="Times New Roman"/>
                <w:sz w:val="21"/>
                <w:szCs w:val="21"/>
              </w:rPr>
            </w:pPr>
            <w:r>
              <w:rPr>
                <w:rFonts w:ascii="Times New Roman" w:hAnsi="Times New Roman"/>
                <w:sz w:val="21"/>
                <w:szCs w:val="21"/>
              </w:rPr>
              <w:t>沉陷土地治理率达到</w:t>
            </w:r>
            <w:r>
              <w:rPr>
                <w:rFonts w:ascii="Times New Roman" w:hAnsi="Times New Roman"/>
                <w:sz w:val="21"/>
                <w:szCs w:val="21"/>
              </w:rPr>
              <w:t>95%</w:t>
            </w:r>
            <w:r>
              <w:rPr>
                <w:rFonts w:ascii="Times New Roman" w:hAnsi="Times New Roman"/>
                <w:sz w:val="21"/>
                <w:szCs w:val="21"/>
              </w:rPr>
              <w:t>，稳定土地生产力，防止草地退化、土地沙化，植被恢复率达到</w:t>
            </w:r>
            <w:r>
              <w:rPr>
                <w:rFonts w:ascii="Times New Roman" w:hAnsi="Times New Roman"/>
                <w:sz w:val="21"/>
                <w:szCs w:val="21"/>
              </w:rPr>
              <w:t>95%</w:t>
            </w:r>
            <w:r>
              <w:rPr>
                <w:rFonts w:ascii="Times New Roman" w:hAnsi="Times New Roman"/>
                <w:sz w:val="21"/>
                <w:szCs w:val="21"/>
              </w:rPr>
              <w:t>，草地覆盖率达到</w:t>
            </w:r>
            <w:r>
              <w:rPr>
                <w:rFonts w:ascii="Times New Roman" w:hAnsi="Times New Roman"/>
                <w:sz w:val="21"/>
                <w:szCs w:val="21"/>
              </w:rPr>
              <w:t>20%</w:t>
            </w:r>
            <w:r>
              <w:rPr>
                <w:rFonts w:ascii="Times New Roman" w:hAnsi="Times New Roman"/>
                <w:sz w:val="21"/>
                <w:szCs w:val="21"/>
              </w:rPr>
              <w:t>以上。</w:t>
            </w:r>
          </w:p>
        </w:tc>
      </w:tr>
      <w:tr w:rsidR="009C353B" w14:paraId="6BAC115B" w14:textId="77777777">
        <w:trPr>
          <w:trHeight w:val="296"/>
        </w:trPr>
        <w:tc>
          <w:tcPr>
            <w:tcW w:w="584" w:type="pct"/>
            <w:tcBorders>
              <w:top w:val="single" w:sz="4" w:space="0" w:color="auto"/>
              <w:left w:val="single" w:sz="4" w:space="0" w:color="auto"/>
              <w:bottom w:val="single" w:sz="4" w:space="0" w:color="auto"/>
              <w:right w:val="single" w:sz="4" w:space="0" w:color="auto"/>
            </w:tcBorders>
            <w:vAlign w:val="center"/>
          </w:tcPr>
          <w:p w14:paraId="3C0888C4" w14:textId="77777777" w:rsidR="009C353B" w:rsidRDefault="00000000">
            <w:pPr>
              <w:jc w:val="center"/>
              <w:rPr>
                <w:rFonts w:ascii="Times New Roman" w:hAnsi="Times New Roman"/>
                <w:sz w:val="21"/>
                <w:szCs w:val="21"/>
              </w:rPr>
            </w:pPr>
            <w:r>
              <w:rPr>
                <w:rFonts w:ascii="Times New Roman" w:hAnsi="Times New Roman"/>
                <w:sz w:val="21"/>
                <w:szCs w:val="21"/>
              </w:rPr>
              <w:t>排矸场</w:t>
            </w:r>
          </w:p>
          <w:p w14:paraId="2E73A46A" w14:textId="77777777" w:rsidR="009C353B" w:rsidRDefault="00000000">
            <w:pPr>
              <w:jc w:val="center"/>
              <w:rPr>
                <w:rFonts w:ascii="Times New Roman" w:hAnsi="Times New Roman"/>
                <w:sz w:val="21"/>
                <w:szCs w:val="21"/>
              </w:rPr>
            </w:pPr>
            <w:r>
              <w:rPr>
                <w:rFonts w:ascii="Times New Roman" w:hAnsi="Times New Roman"/>
                <w:sz w:val="21"/>
                <w:szCs w:val="21"/>
              </w:rPr>
              <w:t>恢复重建区</w:t>
            </w:r>
          </w:p>
        </w:tc>
        <w:tc>
          <w:tcPr>
            <w:tcW w:w="824" w:type="pct"/>
            <w:tcBorders>
              <w:top w:val="single" w:sz="4" w:space="0" w:color="auto"/>
              <w:left w:val="single" w:sz="4" w:space="0" w:color="auto"/>
              <w:bottom w:val="single" w:sz="4" w:space="0" w:color="auto"/>
              <w:right w:val="single" w:sz="4" w:space="0" w:color="auto"/>
            </w:tcBorders>
            <w:vAlign w:val="center"/>
          </w:tcPr>
          <w:p w14:paraId="25774EDA" w14:textId="77777777" w:rsidR="009C353B" w:rsidRDefault="00000000">
            <w:pPr>
              <w:adjustRightInd w:val="0"/>
              <w:snapToGrid w:val="0"/>
              <w:rPr>
                <w:rFonts w:ascii="Times New Roman" w:hAnsi="Times New Roman"/>
                <w:sz w:val="21"/>
                <w:szCs w:val="21"/>
              </w:rPr>
            </w:pPr>
            <w:r>
              <w:rPr>
                <w:rFonts w:ascii="Times New Roman" w:hAnsi="Times New Roman"/>
                <w:sz w:val="21"/>
                <w:szCs w:val="21"/>
              </w:rPr>
              <w:t>排矸场压占土地，降低了草地和林地面积，增加了土壤侵蚀强度。</w:t>
            </w:r>
          </w:p>
        </w:tc>
        <w:tc>
          <w:tcPr>
            <w:tcW w:w="2157" w:type="pct"/>
            <w:tcBorders>
              <w:top w:val="single" w:sz="4" w:space="0" w:color="auto"/>
              <w:left w:val="single" w:sz="4" w:space="0" w:color="auto"/>
              <w:bottom w:val="single" w:sz="4" w:space="0" w:color="auto"/>
              <w:right w:val="single" w:sz="4" w:space="0" w:color="auto"/>
            </w:tcBorders>
            <w:vAlign w:val="center"/>
          </w:tcPr>
          <w:p w14:paraId="6D18BA97" w14:textId="77777777" w:rsidR="009C353B" w:rsidRDefault="00000000">
            <w:pPr>
              <w:adjustRightInd w:val="0"/>
              <w:snapToGrid w:val="0"/>
              <w:rPr>
                <w:rFonts w:ascii="Times New Roman" w:hAnsi="Times New Roman"/>
                <w:sz w:val="21"/>
                <w:szCs w:val="21"/>
              </w:rPr>
            </w:pPr>
            <w:r>
              <w:rPr>
                <w:rFonts w:ascii="Times New Roman" w:hAnsi="Times New Roman" w:hint="eastAsia"/>
                <w:kern w:val="0"/>
                <w:sz w:val="21"/>
                <w:szCs w:val="21"/>
              </w:rPr>
              <w:t>排矸前</w:t>
            </w:r>
            <w:r>
              <w:rPr>
                <w:rFonts w:ascii="Times New Roman" w:hAnsi="Times New Roman"/>
                <w:kern w:val="0"/>
                <w:sz w:val="21"/>
                <w:szCs w:val="21"/>
              </w:rPr>
              <w:t>先剥离保存表层土，以用于排矸场复垦恢复植被；遵循</w:t>
            </w:r>
            <w:r>
              <w:rPr>
                <w:rFonts w:ascii="Times New Roman" w:hAnsi="Times New Roman"/>
                <w:kern w:val="0"/>
                <w:sz w:val="21"/>
                <w:szCs w:val="21"/>
              </w:rPr>
              <w:t>“</w:t>
            </w:r>
            <w:r>
              <w:rPr>
                <w:rFonts w:ascii="Times New Roman" w:hAnsi="Times New Roman"/>
                <w:kern w:val="0"/>
                <w:sz w:val="21"/>
                <w:szCs w:val="21"/>
              </w:rPr>
              <w:t>先挡后弃</w:t>
            </w:r>
            <w:r>
              <w:rPr>
                <w:rFonts w:ascii="Times New Roman" w:hAnsi="Times New Roman"/>
                <w:kern w:val="0"/>
                <w:sz w:val="21"/>
                <w:szCs w:val="21"/>
              </w:rPr>
              <w:t>”</w:t>
            </w:r>
            <w:r>
              <w:rPr>
                <w:rFonts w:ascii="Times New Roman" w:hAnsi="Times New Roman"/>
                <w:kern w:val="0"/>
                <w:sz w:val="21"/>
                <w:szCs w:val="21"/>
              </w:rPr>
              <w:t>的原则，首先布设拦矸坝，分层排矸，分层覆土，采用适生种进行植被重建，恢复排矸场植被覆盖率。</w:t>
            </w:r>
          </w:p>
        </w:tc>
        <w:tc>
          <w:tcPr>
            <w:tcW w:w="1435" w:type="pct"/>
            <w:tcBorders>
              <w:top w:val="single" w:sz="4" w:space="0" w:color="auto"/>
              <w:left w:val="single" w:sz="4" w:space="0" w:color="auto"/>
              <w:bottom w:val="single" w:sz="4" w:space="0" w:color="auto"/>
              <w:right w:val="single" w:sz="4" w:space="0" w:color="auto"/>
            </w:tcBorders>
            <w:vAlign w:val="center"/>
          </w:tcPr>
          <w:p w14:paraId="68BB11F0" w14:textId="77777777" w:rsidR="009C353B" w:rsidRDefault="00000000">
            <w:pPr>
              <w:rPr>
                <w:rFonts w:ascii="Times New Roman" w:hAnsi="Times New Roman"/>
                <w:sz w:val="21"/>
                <w:szCs w:val="21"/>
              </w:rPr>
            </w:pPr>
            <w:r>
              <w:rPr>
                <w:rFonts w:ascii="Times New Roman" w:hAnsi="Times New Roman"/>
                <w:kern w:val="0"/>
                <w:sz w:val="21"/>
                <w:szCs w:val="21"/>
              </w:rPr>
              <w:t>土地治理率达到</w:t>
            </w:r>
            <w:r>
              <w:rPr>
                <w:rFonts w:ascii="Times New Roman" w:hAnsi="Times New Roman"/>
                <w:kern w:val="0"/>
                <w:sz w:val="21"/>
                <w:szCs w:val="21"/>
              </w:rPr>
              <w:t>95%</w:t>
            </w:r>
            <w:r>
              <w:rPr>
                <w:rFonts w:ascii="Times New Roman" w:hAnsi="Times New Roman"/>
                <w:kern w:val="0"/>
                <w:sz w:val="21"/>
                <w:szCs w:val="21"/>
              </w:rPr>
              <w:t>，植被恢复系数达到</w:t>
            </w:r>
            <w:r>
              <w:rPr>
                <w:rFonts w:ascii="Times New Roman" w:hAnsi="Times New Roman"/>
                <w:kern w:val="0"/>
                <w:sz w:val="21"/>
                <w:szCs w:val="21"/>
              </w:rPr>
              <w:t>95%</w:t>
            </w:r>
            <w:r>
              <w:rPr>
                <w:rFonts w:ascii="Times New Roman" w:hAnsi="Times New Roman"/>
                <w:kern w:val="0"/>
                <w:sz w:val="21"/>
                <w:szCs w:val="21"/>
              </w:rPr>
              <w:t>，植被覆盖率达到</w:t>
            </w:r>
            <w:r>
              <w:rPr>
                <w:rFonts w:ascii="Times New Roman" w:hAnsi="Times New Roman"/>
                <w:kern w:val="0"/>
                <w:sz w:val="21"/>
                <w:szCs w:val="21"/>
              </w:rPr>
              <w:t>20%</w:t>
            </w:r>
            <w:r>
              <w:rPr>
                <w:rFonts w:ascii="Times New Roman" w:hAnsi="Times New Roman"/>
                <w:kern w:val="0"/>
                <w:sz w:val="21"/>
                <w:szCs w:val="21"/>
              </w:rPr>
              <w:t>以上。</w:t>
            </w:r>
          </w:p>
        </w:tc>
      </w:tr>
    </w:tbl>
    <w:p w14:paraId="4322C2D9" w14:textId="77777777" w:rsidR="009C353B" w:rsidRDefault="009C353B">
      <w:pPr>
        <w:pStyle w:val="affffd"/>
        <w:spacing w:line="440" w:lineRule="exact"/>
        <w:ind w:firstLineChars="200" w:firstLine="480"/>
        <w:rPr>
          <w:rFonts w:ascii="Times New Roman" w:hAnsi="Times New Roman"/>
        </w:rPr>
      </w:pPr>
    </w:p>
    <w:p w14:paraId="2799E32A" w14:textId="77777777" w:rsidR="009C353B" w:rsidRDefault="009C353B">
      <w:pPr>
        <w:widowControl/>
        <w:jc w:val="left"/>
        <w:rPr>
          <w:rFonts w:ascii="Times New Roman" w:hAnsi="Times New Roman"/>
        </w:rPr>
        <w:sectPr w:rsidR="009C353B">
          <w:headerReference w:type="default" r:id="rId476"/>
          <w:pgSz w:w="16840" w:h="11907" w:orient="landscape"/>
          <w:pgMar w:top="1701" w:right="1418" w:bottom="1418" w:left="1418" w:header="1134" w:footer="851" w:gutter="0"/>
          <w:paperSrc w:first="7" w:other="7"/>
          <w:cols w:space="720"/>
        </w:sectPr>
      </w:pPr>
    </w:p>
    <w:p w14:paraId="55AC7E0D"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hint="eastAsia"/>
        </w:rPr>
        <w:t xml:space="preserve">9.1.4 </w:t>
      </w:r>
      <w:r>
        <w:rPr>
          <w:rFonts w:ascii="Times New Roman" w:hAnsi="Times New Roman" w:hint="eastAsia"/>
        </w:rPr>
        <w:t>矿区生态环境综合整治措施</w:t>
      </w:r>
    </w:p>
    <w:p w14:paraId="556C909D" w14:textId="77777777" w:rsidR="009C353B" w:rsidRDefault="00000000">
      <w:pPr>
        <w:spacing w:line="440" w:lineRule="exact"/>
        <w:ind w:firstLineChars="200" w:firstLine="480"/>
        <w:rPr>
          <w:rFonts w:ascii="Times New Roman" w:hAnsi="Times New Roman"/>
        </w:rPr>
      </w:pPr>
      <w:r>
        <w:rPr>
          <w:rFonts w:ascii="Times New Roman" w:hAnsi="Times New Roman"/>
        </w:rPr>
        <w:t>横城矿区共有四个井工矿，陆续从</w:t>
      </w:r>
      <w:r>
        <w:rPr>
          <w:rFonts w:ascii="Times New Roman" w:hAnsi="Times New Roman"/>
        </w:rPr>
        <w:t>2008</w:t>
      </w:r>
      <w:r>
        <w:rPr>
          <w:rFonts w:ascii="Times New Roman" w:hAnsi="Times New Roman"/>
        </w:rPr>
        <w:t>年开始已经</w:t>
      </w:r>
      <w:r>
        <w:rPr>
          <w:rFonts w:ascii="Times New Roman" w:hAnsi="Times New Roman" w:hint="eastAsia"/>
        </w:rPr>
        <w:t>建成</w:t>
      </w:r>
      <w:r>
        <w:rPr>
          <w:rFonts w:ascii="Times New Roman" w:hAnsi="Times New Roman"/>
        </w:rPr>
        <w:t>投产三个矿井，目前丁家梁井田也已完成基建。矿区在土地复垦和生态恢复工作方面已初见成效，经过这十几年的实践和探索，在矿区生态整治和恢复工作方面已积累了一套适合本矿区的成功经验，这些经验都是矿区后续开发过程中进行生态恢复与重建工作的有益借鉴，同时也发现了一些问题和未落实的地方。通过总结经验与问题，可以找到一套适合矿区各个井工矿的生态整治措施，具体如下：</w:t>
      </w:r>
    </w:p>
    <w:p w14:paraId="40F4B359" w14:textId="77777777" w:rsidR="009C353B" w:rsidRDefault="00000000">
      <w:pPr>
        <w:pStyle w:val="40"/>
        <w:adjustRightInd w:val="0"/>
        <w:snapToGrid w:val="0"/>
        <w:spacing w:before="0" w:after="0" w:line="440" w:lineRule="exact"/>
        <w:rPr>
          <w:rFonts w:ascii="Times New Roman" w:eastAsia="宋体" w:hAnsi="Times New Roman"/>
          <w:sz w:val="24"/>
          <w:szCs w:val="24"/>
        </w:rPr>
      </w:pPr>
      <w:r>
        <w:rPr>
          <w:rFonts w:ascii="Times New Roman" w:eastAsia="宋体" w:hAnsi="Times New Roman"/>
          <w:sz w:val="24"/>
          <w:szCs w:val="24"/>
        </w:rPr>
        <w:t xml:space="preserve">9.1.4.1 </w:t>
      </w:r>
      <w:r>
        <w:rPr>
          <w:rFonts w:ascii="Times New Roman" w:eastAsia="宋体" w:hAnsi="Times New Roman"/>
          <w:sz w:val="24"/>
          <w:szCs w:val="24"/>
        </w:rPr>
        <w:t>工业场地恢复重建区</w:t>
      </w:r>
    </w:p>
    <w:p w14:paraId="06912EC8"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hint="eastAsia"/>
          <w:szCs w:val="24"/>
        </w:rPr>
        <w:t>目前矿区工业场地基本建成，今后应做好工业场地绿化工作。</w:t>
      </w:r>
      <w:r>
        <w:rPr>
          <w:rFonts w:ascii="Times New Roman" w:hAnsi="Times New Roman"/>
          <w:szCs w:val="24"/>
        </w:rPr>
        <w:t>工业场地占地属于永久占地，建设完毕后会彻底改变矿区原有的土地利用类型，区域植被面积减少，工矿用地增加。因此矿区工业场地恢复重建区的整治目标是工业场地绿化系数达到</w:t>
      </w:r>
      <w:r>
        <w:rPr>
          <w:rFonts w:ascii="Times New Roman" w:hAnsi="Times New Roman"/>
          <w:szCs w:val="24"/>
        </w:rPr>
        <w:t>30%</w:t>
      </w:r>
      <w:r>
        <w:rPr>
          <w:rFonts w:ascii="Times New Roman" w:hAnsi="Times New Roman"/>
          <w:szCs w:val="24"/>
        </w:rPr>
        <w:t>，尽量增加工业场地的植被面积，并通过地面硬化防止水土流失产生。同时还要严格控制工业场地施工期的活动范围，减少对工业场地周边草地生态系统的干扰。</w:t>
      </w:r>
    </w:p>
    <w:p w14:paraId="0ABC7325"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szCs w:val="24"/>
        </w:rPr>
        <w:t>工业场地恢复重建区具体生态整治措施如下：</w:t>
      </w:r>
    </w:p>
    <w:p w14:paraId="7A9A06AA"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hint="eastAsia"/>
          <w:szCs w:val="24"/>
        </w:rPr>
        <w:t>1</w:t>
      </w:r>
      <w:r>
        <w:rPr>
          <w:rFonts w:ascii="Times New Roman" w:hAnsi="Times New Roman"/>
          <w:szCs w:val="24"/>
        </w:rPr>
        <w:t>）工业场地周围区域内破坏的植被进行人工补植、撒播草籽等措施进行自然恢复，维持草地生产力。在工业场地四周设</w:t>
      </w:r>
      <w:r>
        <w:rPr>
          <w:rFonts w:ascii="Times New Roman" w:hAnsi="Times New Roman"/>
          <w:szCs w:val="24"/>
        </w:rPr>
        <w:t>20m</w:t>
      </w:r>
      <w:r>
        <w:rPr>
          <w:rFonts w:ascii="Times New Roman" w:hAnsi="Times New Roman"/>
          <w:szCs w:val="24"/>
        </w:rPr>
        <w:t>宽水保防护林带，林带结构为半疏密型。工业场地周边绿化带采用乔灌相结合，选择</w:t>
      </w:r>
      <w:r>
        <w:rPr>
          <w:rFonts w:ascii="Times New Roman" w:hAnsi="Times New Roman" w:hint="eastAsia"/>
          <w:szCs w:val="24"/>
        </w:rPr>
        <w:t>刺槐、榆树、河北杨</w:t>
      </w:r>
      <w:r>
        <w:rPr>
          <w:rFonts w:ascii="Times New Roman" w:hAnsi="Times New Roman"/>
          <w:szCs w:val="24"/>
        </w:rPr>
        <w:t>、</w:t>
      </w:r>
      <w:r>
        <w:rPr>
          <w:rFonts w:ascii="Times New Roman" w:hAnsi="Times New Roman" w:hint="eastAsia"/>
          <w:szCs w:val="24"/>
        </w:rPr>
        <w:t>樟子松、</w:t>
      </w:r>
      <w:r>
        <w:rPr>
          <w:rFonts w:ascii="Times New Roman" w:hAnsi="Times New Roman"/>
          <w:szCs w:val="24"/>
        </w:rPr>
        <w:t>沙枣、</w:t>
      </w:r>
      <w:r>
        <w:rPr>
          <w:rFonts w:ascii="Times New Roman" w:hAnsi="Times New Roman" w:hint="eastAsia"/>
          <w:szCs w:val="24"/>
        </w:rPr>
        <w:t>柠条</w:t>
      </w:r>
      <w:r>
        <w:rPr>
          <w:rFonts w:ascii="Times New Roman" w:hAnsi="Times New Roman"/>
          <w:szCs w:val="24"/>
        </w:rPr>
        <w:t>组成乔灌混交林带，林带沿等高线布设。造林时间以春季为宜。</w:t>
      </w:r>
    </w:p>
    <w:p w14:paraId="01FE98C1"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hint="eastAsia"/>
          <w:szCs w:val="24"/>
        </w:rPr>
        <w:t>2</w:t>
      </w:r>
      <w:r>
        <w:rPr>
          <w:rFonts w:ascii="Times New Roman" w:hAnsi="Times New Roman" w:hint="eastAsia"/>
          <w:szCs w:val="24"/>
        </w:rPr>
        <w:t>）</w:t>
      </w:r>
      <w:r>
        <w:rPr>
          <w:rFonts w:ascii="Times New Roman" w:hAnsi="Times New Roman"/>
          <w:szCs w:val="24"/>
        </w:rPr>
        <w:t>工业场地内采用乔灌草立体植被配置模式，按照适地适树、适地适草的原则，首先考虑防护作用，兼顾绿化、美化和香化，保证园区绿化系数达到</w:t>
      </w:r>
      <w:r>
        <w:rPr>
          <w:rFonts w:ascii="Times New Roman" w:hAnsi="Times New Roman"/>
          <w:szCs w:val="24"/>
        </w:rPr>
        <w:t>30%</w:t>
      </w:r>
      <w:r>
        <w:rPr>
          <w:rFonts w:ascii="Times New Roman" w:hAnsi="Times New Roman"/>
          <w:szCs w:val="24"/>
        </w:rPr>
        <w:t>以上；工业场地的植被恢复与重建应充分考虑在工业场地道路两侧布置行道树，场地空地部分布置</w:t>
      </w:r>
      <w:r>
        <w:rPr>
          <w:rFonts w:ascii="Times New Roman" w:hAnsi="Times New Roman" w:hint="eastAsia"/>
          <w:szCs w:val="24"/>
        </w:rPr>
        <w:t>乔灌草绿化</w:t>
      </w:r>
      <w:r>
        <w:rPr>
          <w:rFonts w:ascii="Times New Roman" w:hAnsi="Times New Roman"/>
          <w:szCs w:val="24"/>
        </w:rPr>
        <w:t>。</w:t>
      </w:r>
    </w:p>
    <w:p w14:paraId="1F36D44B" w14:textId="77777777" w:rsidR="009C353B" w:rsidRDefault="00000000">
      <w:pPr>
        <w:autoSpaceDE w:val="0"/>
        <w:autoSpaceDN w:val="0"/>
        <w:spacing w:line="440" w:lineRule="exact"/>
        <w:ind w:firstLineChars="200" w:firstLine="480"/>
        <w:rPr>
          <w:rFonts w:ascii="Times New Roman" w:hAnsi="Times New Roman"/>
          <w:szCs w:val="24"/>
        </w:rPr>
      </w:pPr>
      <w:r>
        <w:rPr>
          <w:rFonts w:cs="宋体" w:hint="eastAsia"/>
          <w:szCs w:val="24"/>
        </w:rPr>
        <w:t>①</w:t>
      </w:r>
      <w:r>
        <w:rPr>
          <w:rFonts w:ascii="Times New Roman" w:hAnsi="Times New Roman"/>
          <w:szCs w:val="24"/>
        </w:rPr>
        <w:t>建筑小区间空闲地绿化设计及要求</w:t>
      </w:r>
    </w:p>
    <w:p w14:paraId="157B1339"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szCs w:val="24"/>
        </w:rPr>
        <w:t>绿篱栽植的地块采用水平沟整地，其他树坑均采用穴状整地。树种选择上采用常绿树种与落叶树种混交。常绿树种可选用油松、樟子松，落叶树种可选用</w:t>
      </w:r>
      <w:r>
        <w:rPr>
          <w:rFonts w:ascii="Times New Roman" w:hAnsi="Times New Roman" w:hint="eastAsia"/>
          <w:szCs w:val="24"/>
        </w:rPr>
        <w:t>刺槐、榆树和河北杨</w:t>
      </w:r>
      <w:r>
        <w:rPr>
          <w:rFonts w:ascii="Times New Roman" w:hAnsi="Times New Roman"/>
          <w:szCs w:val="24"/>
        </w:rPr>
        <w:t>，灌木选用</w:t>
      </w:r>
      <w:r>
        <w:rPr>
          <w:rFonts w:ascii="Times New Roman" w:hAnsi="Times New Roman" w:hint="eastAsia"/>
          <w:szCs w:val="24"/>
        </w:rPr>
        <w:t>柠条和沙冬青</w:t>
      </w:r>
      <w:r>
        <w:rPr>
          <w:rFonts w:ascii="Times New Roman" w:hAnsi="Times New Roman"/>
          <w:szCs w:val="24"/>
        </w:rPr>
        <w:t>，草籽选用</w:t>
      </w:r>
      <w:r>
        <w:rPr>
          <w:rFonts w:ascii="Times New Roman" w:hAnsi="Times New Roman" w:hint="eastAsia"/>
          <w:szCs w:val="24"/>
        </w:rPr>
        <w:t>沙生针茅</w:t>
      </w:r>
      <w:r>
        <w:rPr>
          <w:rFonts w:ascii="Times New Roman" w:hAnsi="Times New Roman"/>
          <w:szCs w:val="24"/>
        </w:rPr>
        <w:t>等。造林时间以春季为宜。</w:t>
      </w:r>
    </w:p>
    <w:p w14:paraId="2D9D313F" w14:textId="77777777" w:rsidR="009C353B" w:rsidRDefault="00000000">
      <w:pPr>
        <w:autoSpaceDE w:val="0"/>
        <w:autoSpaceDN w:val="0"/>
        <w:spacing w:line="440" w:lineRule="exact"/>
        <w:ind w:firstLineChars="200" w:firstLine="480"/>
        <w:rPr>
          <w:rFonts w:ascii="Times New Roman" w:hAnsi="Times New Roman"/>
          <w:szCs w:val="24"/>
        </w:rPr>
      </w:pPr>
      <w:r>
        <w:rPr>
          <w:rFonts w:cs="宋体" w:hint="eastAsia"/>
          <w:szCs w:val="24"/>
        </w:rPr>
        <w:t>②</w:t>
      </w:r>
      <w:r>
        <w:rPr>
          <w:rFonts w:ascii="Times New Roman" w:hAnsi="Times New Roman"/>
          <w:szCs w:val="24"/>
        </w:rPr>
        <w:t>场内路旁绿化带设计及要求</w:t>
      </w:r>
    </w:p>
    <w:p w14:paraId="027718EE"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szCs w:val="24"/>
        </w:rPr>
        <w:t>场内道路绿化带采用乔、灌结合。乔木树种可选择</w:t>
      </w:r>
      <w:r>
        <w:rPr>
          <w:rFonts w:ascii="Times New Roman" w:hAnsi="Times New Roman" w:hint="eastAsia"/>
          <w:szCs w:val="24"/>
        </w:rPr>
        <w:t>河北杨、樟子松</w:t>
      </w:r>
      <w:r>
        <w:rPr>
          <w:rFonts w:ascii="Times New Roman" w:hAnsi="Times New Roman"/>
          <w:szCs w:val="24"/>
        </w:rPr>
        <w:t>，灌木树种选用</w:t>
      </w:r>
      <w:r>
        <w:rPr>
          <w:rFonts w:ascii="Times New Roman" w:hAnsi="Times New Roman" w:hint="eastAsia"/>
          <w:szCs w:val="24"/>
        </w:rPr>
        <w:t>柠条、沙冬青</w:t>
      </w:r>
      <w:r>
        <w:rPr>
          <w:rFonts w:ascii="Times New Roman" w:hAnsi="Times New Roman"/>
          <w:szCs w:val="24"/>
        </w:rPr>
        <w:t>等。乔、灌结合，高低错落，以达到最佳的绿化美化效果。造林时间以春季为宜。</w:t>
      </w:r>
    </w:p>
    <w:p w14:paraId="2E040A2D"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hint="eastAsia"/>
          <w:szCs w:val="24"/>
        </w:rPr>
        <w:t>3</w:t>
      </w:r>
      <w:r>
        <w:rPr>
          <w:rFonts w:ascii="Times New Roman" w:hAnsi="Times New Roman"/>
          <w:szCs w:val="24"/>
        </w:rPr>
        <w:t>）修建灌溉系统</w:t>
      </w:r>
    </w:p>
    <w:p w14:paraId="6C071E2A"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szCs w:val="24"/>
        </w:rPr>
        <w:t>可利用处理后矿井排水做为灌溉用水，矿井水复用系统中应有绿化灌溉系统，配合主体工程给排水设计，可在厂前区绿化小区设置喷灌系统。</w:t>
      </w:r>
    </w:p>
    <w:p w14:paraId="681D1C7A"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hint="eastAsia"/>
          <w:szCs w:val="24"/>
        </w:rPr>
        <w:t>4</w:t>
      </w:r>
      <w:r>
        <w:rPr>
          <w:rFonts w:ascii="Times New Roman" w:hAnsi="Times New Roman"/>
          <w:szCs w:val="24"/>
        </w:rPr>
        <w:t>）栽后管护工作</w:t>
      </w:r>
    </w:p>
    <w:p w14:paraId="3FDA71D3"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szCs w:val="24"/>
        </w:rPr>
        <w:t>按园林化设计要求和水保设计要求完成工业场地绿化后，重要的工作就是管理和护育，要教育职工爱护林草，不能随意攀折、践踏，重视补栽工作，提高林草成活率。</w:t>
      </w:r>
    </w:p>
    <w:p w14:paraId="3A4D8F02"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hint="eastAsia"/>
          <w:szCs w:val="24"/>
        </w:rPr>
        <w:t>5</w:t>
      </w:r>
      <w:r>
        <w:rPr>
          <w:rFonts w:ascii="Times New Roman" w:hAnsi="Times New Roman"/>
          <w:szCs w:val="24"/>
        </w:rPr>
        <w:t>）经费</w:t>
      </w:r>
    </w:p>
    <w:p w14:paraId="4C741405" w14:textId="77777777" w:rsidR="009C353B" w:rsidRDefault="00000000">
      <w:pPr>
        <w:autoSpaceDE w:val="0"/>
        <w:autoSpaceDN w:val="0"/>
        <w:spacing w:line="440" w:lineRule="exact"/>
        <w:ind w:firstLineChars="200" w:firstLine="480"/>
        <w:rPr>
          <w:rFonts w:ascii="Times New Roman" w:hAnsi="Times New Roman"/>
          <w:szCs w:val="24"/>
        </w:rPr>
      </w:pPr>
      <w:r>
        <w:rPr>
          <w:rFonts w:ascii="Times New Roman" w:hAnsi="Times New Roman"/>
          <w:szCs w:val="24"/>
        </w:rPr>
        <w:t>年度经济计划中应有绿化和生态保护费用，从经济上保证绿化措施落实。</w:t>
      </w:r>
    </w:p>
    <w:p w14:paraId="1C30EAEC" w14:textId="77777777" w:rsidR="009C353B" w:rsidRDefault="00000000">
      <w:pPr>
        <w:pStyle w:val="40"/>
        <w:adjustRightInd w:val="0"/>
        <w:snapToGrid w:val="0"/>
        <w:spacing w:before="0" w:after="0" w:line="440" w:lineRule="exact"/>
        <w:rPr>
          <w:rFonts w:ascii="Times New Roman" w:eastAsia="宋体" w:hAnsi="Times New Roman"/>
          <w:sz w:val="24"/>
          <w:szCs w:val="24"/>
        </w:rPr>
      </w:pPr>
      <w:r>
        <w:rPr>
          <w:rFonts w:ascii="Times New Roman" w:eastAsia="宋体" w:hAnsi="Times New Roman"/>
          <w:sz w:val="24"/>
          <w:szCs w:val="24"/>
        </w:rPr>
        <w:t>9.1.4.</w:t>
      </w:r>
      <w:r>
        <w:rPr>
          <w:rFonts w:ascii="Times New Roman" w:eastAsia="宋体" w:hAnsi="Times New Roman" w:hint="eastAsia"/>
          <w:sz w:val="24"/>
          <w:szCs w:val="24"/>
        </w:rPr>
        <w:t>2</w:t>
      </w:r>
      <w:r>
        <w:rPr>
          <w:rFonts w:ascii="Times New Roman" w:eastAsia="宋体" w:hAnsi="Times New Roman"/>
          <w:sz w:val="24"/>
          <w:szCs w:val="24"/>
        </w:rPr>
        <w:t xml:space="preserve"> </w:t>
      </w:r>
      <w:r>
        <w:rPr>
          <w:rFonts w:ascii="Times New Roman" w:eastAsia="宋体" w:hAnsi="Times New Roman"/>
          <w:sz w:val="24"/>
          <w:szCs w:val="24"/>
        </w:rPr>
        <w:t>地表沉陷治理区</w:t>
      </w:r>
    </w:p>
    <w:p w14:paraId="1BB110D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横城矿区由于井下开采会造成地表沉陷，且开采各个煤层造成的沉陷区域及深度不同。由于塌陷、裂缝给区域生态环境造成破坏，水土流失较为严重，植被覆盖率降低，土地生产力下降。因此地表沉陷区的生态整治目标是沉陷土地治理率达到</w:t>
      </w:r>
      <w:r>
        <w:rPr>
          <w:rFonts w:ascii="Times New Roman" w:hAnsi="Times New Roman"/>
          <w:szCs w:val="24"/>
        </w:rPr>
        <w:t>95%</w:t>
      </w:r>
      <w:r>
        <w:rPr>
          <w:rFonts w:ascii="Times New Roman" w:hAnsi="Times New Roman"/>
          <w:szCs w:val="24"/>
        </w:rPr>
        <w:t>，林草植被恢复率达到</w:t>
      </w:r>
      <w:r>
        <w:rPr>
          <w:rFonts w:ascii="Times New Roman" w:hAnsi="Times New Roman"/>
          <w:szCs w:val="24"/>
        </w:rPr>
        <w:t>95%</w:t>
      </w:r>
      <w:r>
        <w:rPr>
          <w:rFonts w:ascii="Times New Roman" w:hAnsi="Times New Roman"/>
          <w:szCs w:val="24"/>
        </w:rPr>
        <w:t>，林草植被覆盖率达到</w:t>
      </w:r>
      <w:r>
        <w:rPr>
          <w:rFonts w:ascii="Times New Roman" w:hAnsi="Times New Roman"/>
          <w:szCs w:val="24"/>
        </w:rPr>
        <w:t>20%</w:t>
      </w:r>
      <w:r>
        <w:rPr>
          <w:rFonts w:ascii="Times New Roman" w:hAnsi="Times New Roman"/>
          <w:szCs w:val="24"/>
        </w:rPr>
        <w:t>以上。</w:t>
      </w:r>
    </w:p>
    <w:p w14:paraId="72DED46D"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szCs w:val="24"/>
        </w:rPr>
        <w:t>地表沉陷区生态整治措施主要是针对不同破坏程度的植被进行复垦：首先应对矿区内出现的裂缝进行充填，对塌陷区进行削坡放坡，土地进行平整处理后，采用人工补植、补播的方式，对矿区内破坏植被进行自然恢复；另外对沉陷区草场进行封育，尽快恢复植被覆盖度，防止草地退化和沙化。具体措施如下：</w:t>
      </w:r>
    </w:p>
    <w:p w14:paraId="698843C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）沉陷裂缝整治</w:t>
      </w:r>
    </w:p>
    <w:p w14:paraId="2B9CC53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裂缝治理工程可采用人工治理和机械治理两种方式进行。人工治理是指以人工作业为主的简易工程治理技术，土地类型及土壤理化性质基本不变；另一种是机械治理，机械治理一般使用推土机和铲运机械，适于裂缝较大较严重的区域治理。无论采用哪种方式，都必须保证不低于原土地生产力的情况下进行。由于矿区分阶段进行开采，地面可能多次扰动，因此对于非稳定的塌陷土地使用阶段性治理工艺，即人工治理，待塌陷稳定后再采用大规模塌陷地机械治理工艺进行土地统一整治。</w:t>
      </w:r>
    </w:p>
    <w:p w14:paraId="3847ABD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1</w:t>
      </w:r>
      <w:r>
        <w:rPr>
          <w:rFonts w:ascii="Times New Roman" w:hAnsi="Times New Roman"/>
        </w:rPr>
        <w:t>）人工治理</w:t>
      </w:r>
    </w:p>
    <w:p w14:paraId="309872E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人工治理指的是以人工作业为主的简易工程治理技术，采用人工就近挖取土方直接充填塌陷裂缝，或使用部分挖掘和运输机械。人工治理土方工程量小，土的迁移距离短，土壤类型和土壤的理化性质基本不变。</w:t>
      </w:r>
    </w:p>
    <w:p w14:paraId="637C13C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2</w:t>
      </w:r>
      <w:r>
        <w:rPr>
          <w:rFonts w:ascii="Times New Roman" w:hAnsi="Times New Roman"/>
        </w:rPr>
        <w:t>）机械治理</w:t>
      </w:r>
    </w:p>
    <w:p w14:paraId="2A0FA4AB" w14:textId="77777777" w:rsidR="009C353B" w:rsidRDefault="00000000">
      <w:pPr>
        <w:spacing w:line="440" w:lineRule="exact"/>
        <w:ind w:firstLineChars="200" w:firstLine="480"/>
        <w:rPr>
          <w:rFonts w:ascii="Times New Roman" w:hAnsi="Times New Roman"/>
        </w:rPr>
      </w:pPr>
      <w:r>
        <w:rPr>
          <w:rFonts w:ascii="Times New Roman" w:hAnsi="Times New Roman"/>
        </w:rPr>
        <w:t>充填过程应该将全部裂缝、裂深分段开挖，裂缝两侧各</w:t>
      </w:r>
      <w:r>
        <w:rPr>
          <w:rFonts w:ascii="Times New Roman" w:hAnsi="Times New Roman"/>
        </w:rPr>
        <w:t>0.5m</w:t>
      </w:r>
      <w:r>
        <w:rPr>
          <w:rFonts w:ascii="Times New Roman" w:hAnsi="Times New Roman"/>
        </w:rPr>
        <w:t>宽，</w:t>
      </w:r>
      <w:r>
        <w:rPr>
          <w:rFonts w:ascii="Times New Roman" w:hAnsi="Times New Roman"/>
        </w:rPr>
        <w:t>0.5m</w:t>
      </w:r>
      <w:r>
        <w:rPr>
          <w:rFonts w:ascii="Times New Roman" w:hAnsi="Times New Roman"/>
        </w:rPr>
        <w:t>深的表土剥离，堆放在开挖的裂缝两侧，矸石充填后，另取土源进行回填夯实，表土层以下裂缝回填要求夯实到干容重</w:t>
      </w:r>
      <w:r>
        <w:rPr>
          <w:rFonts w:ascii="Times New Roman" w:hAnsi="Times New Roman"/>
        </w:rPr>
        <w:t>1.40t/m</w:t>
      </w:r>
      <w:r>
        <w:rPr>
          <w:rFonts w:ascii="Times New Roman" w:hAnsi="Times New Roman"/>
          <w:vertAlign w:val="superscript"/>
        </w:rPr>
        <w:t>3</w:t>
      </w:r>
      <w:r>
        <w:rPr>
          <w:rFonts w:ascii="Times New Roman" w:hAnsi="Times New Roman"/>
        </w:rPr>
        <w:t>，最后回填表土。机械治理具体见</w:t>
      </w:r>
      <w:r>
        <w:rPr>
          <w:rFonts w:ascii="Times New Roman" w:hAnsi="Times New Roman" w:hint="eastAsia"/>
        </w:rPr>
        <w:t>下</w:t>
      </w:r>
      <w:r>
        <w:rPr>
          <w:rFonts w:ascii="Times New Roman" w:hAnsi="Times New Roman"/>
        </w:rPr>
        <w:t>图。采用机械治理措施及工艺，一般使用推土机和铲运机械，其特点是工序复杂，土方工程量较大。</w:t>
      </w:r>
    </w:p>
    <w:p w14:paraId="352CF2C3" w14:textId="77777777" w:rsidR="009C353B" w:rsidRDefault="00000000">
      <w:pPr>
        <w:adjustRightInd w:val="0"/>
        <w:snapToGrid w:val="0"/>
        <w:jc w:val="center"/>
        <w:rPr>
          <w:rFonts w:ascii="Times New Roman" w:hAnsi="Times New Roman"/>
        </w:rPr>
      </w:pPr>
      <w:r>
        <w:rPr>
          <w:rFonts w:ascii="Times New Roman" w:hAnsi="Times New Roman"/>
          <w:noProof/>
        </w:rPr>
        <w:drawing>
          <wp:inline distT="0" distB="0" distL="0" distR="0" wp14:anchorId="48E8BEF0" wp14:editId="23F1E364">
            <wp:extent cx="4370705" cy="4283710"/>
            <wp:effectExtent l="0" t="0" r="0" b="2540"/>
            <wp:docPr id="477" name="图片 477" descr="裂缝充填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477" descr="裂缝充填示意图"/>
                    <pic:cNvPicPr>
                      <a:picLocks noChangeAspect="1" noChangeArrowheads="1"/>
                    </pic:cNvPicPr>
                  </pic:nvPicPr>
                  <pic:blipFill>
                    <a:blip r:embed="rId477" cstate="print">
                      <a:extLst>
                        <a:ext uri="{28A0092B-C50C-407E-A947-70E740481C1C}">
                          <a14:useLocalDpi xmlns:a14="http://schemas.microsoft.com/office/drawing/2010/main" val="0"/>
                        </a:ext>
                      </a:extLst>
                    </a:blip>
                    <a:srcRect/>
                    <a:stretch>
                      <a:fillRect/>
                    </a:stretch>
                  </pic:blipFill>
                  <pic:spPr>
                    <a:xfrm>
                      <a:off x="0" y="0"/>
                      <a:ext cx="4370705" cy="4283710"/>
                    </a:xfrm>
                    <a:prstGeom prst="rect">
                      <a:avLst/>
                    </a:prstGeom>
                    <a:noFill/>
                    <a:ln>
                      <a:noFill/>
                    </a:ln>
                  </pic:spPr>
                </pic:pic>
              </a:graphicData>
            </a:graphic>
          </wp:inline>
        </w:drawing>
      </w:r>
    </w:p>
    <w:p w14:paraId="1869F6FD" w14:textId="77777777" w:rsidR="009C353B" w:rsidRDefault="00000000">
      <w:pPr>
        <w:adjustRightInd w:val="0"/>
        <w:snapToGrid w:val="0"/>
        <w:jc w:val="center"/>
        <w:rPr>
          <w:rFonts w:ascii="Times New Roman" w:hAnsi="Times New Roman"/>
          <w:b/>
          <w:bCs/>
        </w:rPr>
      </w:pPr>
      <w:r>
        <w:rPr>
          <w:rFonts w:ascii="Times New Roman" w:hAnsi="Times New Roman"/>
          <w:b/>
          <w:bCs/>
        </w:rPr>
        <w:t>裂缝充填图</w:t>
      </w:r>
    </w:p>
    <w:p w14:paraId="3434FAB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）削坡放坡</w:t>
      </w:r>
    </w:p>
    <w:p w14:paraId="6F82F7C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对于地面塌陷形成的地形陡变区，主要工程措施为削高填低，土方工程采用推土机配合挖掘机施工。以剥土和推运土方为主，直接推运到预定地点，多台机械同时作业时，前后距离应大于</w:t>
      </w:r>
      <w:r>
        <w:rPr>
          <w:rFonts w:ascii="Times New Roman" w:hAnsi="Times New Roman"/>
        </w:rPr>
        <w:t>8m</w:t>
      </w:r>
      <w:r>
        <w:rPr>
          <w:rFonts w:ascii="Times New Roman" w:hAnsi="Times New Roman"/>
        </w:rPr>
        <w:t>。土方工程实施完成后，要求地貌与周边地形完全协调，不能出现陡坎、陡坡、土堆、凹陷等。土方削坡放坡示意图见</w:t>
      </w:r>
      <w:r>
        <w:rPr>
          <w:rFonts w:ascii="Times New Roman" w:hAnsi="Times New Roman" w:hint="eastAsia"/>
        </w:rPr>
        <w:t>下</w:t>
      </w:r>
      <w:r>
        <w:rPr>
          <w:rFonts w:ascii="Times New Roman" w:hAnsi="Times New Roman"/>
        </w:rPr>
        <w:t>图。</w:t>
      </w:r>
    </w:p>
    <w:p w14:paraId="0E694B97" w14:textId="77777777" w:rsidR="009C353B" w:rsidRDefault="00000000">
      <w:pPr>
        <w:adjustRightInd w:val="0"/>
        <w:snapToGrid w:val="0"/>
        <w:jc w:val="center"/>
        <w:rPr>
          <w:rFonts w:ascii="Times New Roman" w:hAnsi="Times New Roman"/>
        </w:rPr>
      </w:pPr>
      <w:r>
        <w:rPr>
          <w:rFonts w:ascii="Times New Roman" w:hAnsi="Times New Roman"/>
          <w:noProof/>
        </w:rPr>
        <w:drawing>
          <wp:inline distT="0" distB="0" distL="0" distR="0" wp14:anchorId="11AD43E1" wp14:editId="3F11CC54">
            <wp:extent cx="5393055" cy="1628775"/>
            <wp:effectExtent l="0" t="0" r="0" b="9525"/>
            <wp:docPr id="476"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476"/>
                    <pic:cNvPicPr>
                      <a:picLocks noChangeAspect="1" noChangeArrowheads="1"/>
                    </pic:cNvPicPr>
                  </pic:nvPicPr>
                  <pic:blipFill>
                    <a:blip r:embed="rId478">
                      <a:extLst>
                        <a:ext uri="{28A0092B-C50C-407E-A947-70E740481C1C}">
                          <a14:useLocalDpi xmlns:a14="http://schemas.microsoft.com/office/drawing/2010/main" val="0"/>
                        </a:ext>
                      </a:extLst>
                    </a:blip>
                    <a:srcRect t="6692" b="5285"/>
                    <a:stretch>
                      <a:fillRect/>
                    </a:stretch>
                  </pic:blipFill>
                  <pic:spPr>
                    <a:xfrm>
                      <a:off x="0" y="0"/>
                      <a:ext cx="5393055" cy="1628775"/>
                    </a:xfrm>
                    <a:prstGeom prst="rect">
                      <a:avLst/>
                    </a:prstGeom>
                    <a:noFill/>
                    <a:ln>
                      <a:noFill/>
                    </a:ln>
                  </pic:spPr>
                </pic:pic>
              </a:graphicData>
            </a:graphic>
          </wp:inline>
        </w:drawing>
      </w:r>
    </w:p>
    <w:p w14:paraId="7885AAB5" w14:textId="77777777" w:rsidR="009C353B" w:rsidRDefault="00000000">
      <w:pPr>
        <w:adjustRightInd w:val="0"/>
        <w:snapToGrid w:val="0"/>
        <w:spacing w:line="440" w:lineRule="exact"/>
        <w:jc w:val="center"/>
        <w:rPr>
          <w:rFonts w:ascii="Times New Roman" w:hAnsi="Times New Roman"/>
          <w:b/>
          <w:bCs/>
        </w:rPr>
      </w:pPr>
      <w:r>
        <w:rPr>
          <w:rFonts w:ascii="Times New Roman" w:hAnsi="Times New Roman"/>
          <w:b/>
          <w:bCs/>
        </w:rPr>
        <w:t>削坡放坡示意图</w:t>
      </w:r>
    </w:p>
    <w:p w14:paraId="3AF2CD3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）沉陷区植被的恢复</w:t>
      </w:r>
    </w:p>
    <w:p w14:paraId="0FB709A7" w14:textId="77777777" w:rsidR="009C353B" w:rsidRDefault="00000000">
      <w:pPr>
        <w:adjustRightInd w:val="0"/>
        <w:snapToGrid w:val="0"/>
        <w:spacing w:line="440" w:lineRule="exact"/>
        <w:ind w:firstLineChars="200" w:firstLine="480"/>
        <w:rPr>
          <w:rFonts w:ascii="Times New Roman" w:hAnsi="Times New Roman"/>
          <w:kern w:val="0"/>
          <w:szCs w:val="24"/>
          <w:lang w:bidi="ar"/>
        </w:rPr>
      </w:pPr>
      <w:r>
        <w:rPr>
          <w:rFonts w:ascii="Times New Roman" w:hAnsi="Times New Roman"/>
        </w:rPr>
        <w:t>对因</w:t>
      </w:r>
      <w:r>
        <w:rPr>
          <w:rFonts w:ascii="Times New Roman" w:hAnsi="Times New Roman" w:hint="eastAsia"/>
        </w:rPr>
        <w:t>地表沉陷</w:t>
      </w:r>
      <w:r>
        <w:rPr>
          <w:rFonts w:ascii="Times New Roman" w:hAnsi="Times New Roman"/>
        </w:rPr>
        <w:t>影响而倾倒或死亡的树木进行扶正或补植，补植的树种主要选择</w:t>
      </w:r>
      <w:r>
        <w:rPr>
          <w:rFonts w:ascii="Times New Roman" w:hAnsi="Times New Roman" w:hint="eastAsia"/>
        </w:rPr>
        <w:t>沙冬青、</w:t>
      </w:r>
      <w:r>
        <w:rPr>
          <w:rFonts w:ascii="Times New Roman" w:hAnsi="Times New Roman"/>
        </w:rPr>
        <w:t>柠条</w:t>
      </w:r>
      <w:r>
        <w:rPr>
          <w:rFonts w:ascii="Times New Roman" w:hAnsi="Times New Roman" w:hint="eastAsia"/>
        </w:rPr>
        <w:t>、花棒、杨柴等</w:t>
      </w:r>
      <w:r>
        <w:rPr>
          <w:rFonts w:ascii="Times New Roman" w:hAnsi="Times New Roman"/>
        </w:rPr>
        <w:t>。对因</w:t>
      </w:r>
      <w:r>
        <w:rPr>
          <w:rFonts w:ascii="Times New Roman" w:hAnsi="Times New Roman" w:hint="eastAsia"/>
        </w:rPr>
        <w:t>地表沉陷</w:t>
      </w:r>
      <w:r>
        <w:rPr>
          <w:rFonts w:ascii="Times New Roman" w:hAnsi="Times New Roman"/>
        </w:rPr>
        <w:t>而死亡的草地进行补播，草籽选择沙蒿、沙打旺</w:t>
      </w:r>
      <w:r>
        <w:rPr>
          <w:rFonts w:ascii="Times New Roman" w:hAnsi="Times New Roman" w:hint="eastAsia"/>
        </w:rPr>
        <w:t>和沙生针茅，</w:t>
      </w:r>
      <w:r>
        <w:rPr>
          <w:rFonts w:ascii="Times New Roman" w:hAnsi="Times New Roman"/>
        </w:rPr>
        <w:t>同时对人工牧草地采用土壤培肥工程。</w:t>
      </w:r>
      <w:r>
        <w:rPr>
          <w:rFonts w:ascii="Times New Roman" w:hAnsi="Times New Roman" w:hint="eastAsia"/>
        </w:rPr>
        <w:t>对因地表沉陷影响形成的流动沙地</w:t>
      </w:r>
      <w:r>
        <w:rPr>
          <w:rFonts w:ascii="Times New Roman" w:hAnsi="Times New Roman" w:hint="eastAsia"/>
          <w:szCs w:val="24"/>
        </w:rPr>
        <w:t>设置</w:t>
      </w:r>
      <w:r>
        <w:rPr>
          <w:rFonts w:ascii="Times New Roman" w:hAnsi="Times New Roman"/>
          <w:szCs w:val="24"/>
        </w:rPr>
        <w:t>草方格</w:t>
      </w:r>
      <w:r>
        <w:rPr>
          <w:rFonts w:ascii="Times New Roman" w:hAnsi="Times New Roman" w:hint="eastAsia"/>
          <w:szCs w:val="24"/>
        </w:rPr>
        <w:t>或沙柳沙障</w:t>
      </w:r>
      <w:r>
        <w:rPr>
          <w:rFonts w:ascii="Times New Roman" w:hAnsi="Times New Roman"/>
          <w:szCs w:val="24"/>
        </w:rPr>
        <w:t>，</w:t>
      </w:r>
      <w:r>
        <w:rPr>
          <w:rFonts w:ascii="Times New Roman" w:hAnsi="Times New Roman" w:hint="eastAsia"/>
          <w:szCs w:val="24"/>
        </w:rPr>
        <w:t>在草方格或沙障内</w:t>
      </w:r>
      <w:r>
        <w:rPr>
          <w:rFonts w:ascii="Times New Roman" w:hAnsi="Times New Roman"/>
          <w:szCs w:val="24"/>
        </w:rPr>
        <w:t>种植灌</w:t>
      </w:r>
      <w:r>
        <w:rPr>
          <w:rFonts w:ascii="Times New Roman" w:hAnsi="Times New Roman" w:hint="eastAsia"/>
          <w:szCs w:val="24"/>
        </w:rPr>
        <w:t>草，灌木选用柠条、花棒、杨柴等，草籽选用沙蒿和针茅类。</w:t>
      </w:r>
    </w:p>
    <w:p w14:paraId="7BFA0343" w14:textId="77777777" w:rsidR="009C353B" w:rsidRDefault="00000000">
      <w:pPr>
        <w:adjustRightInd w:val="0"/>
        <w:snapToGrid w:val="0"/>
        <w:spacing w:line="440" w:lineRule="exact"/>
        <w:ind w:leftChars="182" w:left="437"/>
        <w:rPr>
          <w:rFonts w:ascii="Times New Roman" w:hAnsi="Times New Roman"/>
          <w:kern w:val="0"/>
          <w:szCs w:val="24"/>
          <w:lang w:bidi="ar"/>
        </w:rPr>
      </w:pPr>
      <w:r>
        <w:rPr>
          <w:rFonts w:ascii="Times New Roman" w:hAnsi="Times New Roman"/>
          <w:kern w:val="0"/>
          <w:szCs w:val="24"/>
          <w:lang w:bidi="ar"/>
        </w:rPr>
        <w:t>（</w:t>
      </w:r>
      <w:r>
        <w:rPr>
          <w:rFonts w:ascii="Times New Roman" w:hAnsi="Times New Roman"/>
          <w:kern w:val="0"/>
          <w:szCs w:val="24"/>
          <w:lang w:bidi="ar"/>
        </w:rPr>
        <w:t>4</w:t>
      </w:r>
      <w:r>
        <w:rPr>
          <w:rFonts w:ascii="Times New Roman" w:hAnsi="Times New Roman"/>
          <w:kern w:val="0"/>
          <w:szCs w:val="24"/>
          <w:lang w:bidi="ar"/>
        </w:rPr>
        <w:t>）植被管护</w:t>
      </w:r>
    </w:p>
    <w:p w14:paraId="415C1900" w14:textId="77777777" w:rsidR="009C353B" w:rsidRDefault="00000000">
      <w:pPr>
        <w:adjustRightInd w:val="0"/>
        <w:snapToGrid w:val="0"/>
        <w:spacing w:line="440" w:lineRule="exact"/>
        <w:ind w:firstLineChars="200" w:firstLine="480"/>
        <w:rPr>
          <w:rFonts w:ascii="Times New Roman" w:hAnsi="Times New Roman"/>
          <w:kern w:val="0"/>
          <w:szCs w:val="24"/>
          <w:lang w:bidi="ar"/>
        </w:rPr>
      </w:pPr>
      <w:r>
        <w:rPr>
          <w:rFonts w:ascii="Times New Roman" w:hAnsi="Times New Roman"/>
          <w:kern w:val="0"/>
          <w:szCs w:val="24"/>
          <w:lang w:bidi="ar"/>
        </w:rPr>
        <w:t>由于矿区所处位置属于生态脆弱区，栽植树木和撒播草籽以自然恢复方式的成活率很难得到保障。因此，需对矿区补植补播的区域采取管护措施，管护期为</w:t>
      </w:r>
      <w:r>
        <w:rPr>
          <w:rFonts w:ascii="Times New Roman" w:hAnsi="Times New Roman"/>
          <w:kern w:val="0"/>
          <w:szCs w:val="24"/>
          <w:lang w:bidi="ar"/>
        </w:rPr>
        <w:t>6</w:t>
      </w:r>
      <w:r>
        <w:rPr>
          <w:rFonts w:ascii="Times New Roman" w:hAnsi="Times New Roman" w:hint="eastAsia"/>
          <w:kern w:val="0"/>
          <w:szCs w:val="24"/>
          <w:lang w:bidi="ar"/>
        </w:rPr>
        <w:t>年</w:t>
      </w:r>
      <w:r>
        <w:rPr>
          <w:rFonts w:ascii="Times New Roman" w:hAnsi="Times New Roman"/>
          <w:kern w:val="0"/>
          <w:szCs w:val="24"/>
          <w:lang w:bidi="ar"/>
        </w:rPr>
        <w:t>，管护方式为采用专人进行管护的方式。</w:t>
      </w:r>
    </w:p>
    <w:p w14:paraId="0537F1FD" w14:textId="77777777" w:rsidR="009C353B" w:rsidRDefault="00000000">
      <w:pPr>
        <w:adjustRightInd w:val="0"/>
        <w:snapToGrid w:val="0"/>
        <w:spacing w:line="440" w:lineRule="exact"/>
        <w:ind w:firstLineChars="200" w:firstLine="480"/>
        <w:rPr>
          <w:rFonts w:ascii="Times New Roman" w:hAnsi="Times New Roman"/>
          <w:kern w:val="0"/>
          <w:szCs w:val="24"/>
          <w:lang w:bidi="ar"/>
        </w:rPr>
      </w:pPr>
      <w:r>
        <w:rPr>
          <w:rFonts w:ascii="Times New Roman" w:hAnsi="Times New Roman"/>
          <w:kern w:val="0"/>
          <w:szCs w:val="24"/>
          <w:lang w:bidi="ar"/>
        </w:rPr>
        <w:t>播种出种前，土壤表层时常形成板结层，妨碍种子顶土出苗，可采用短齿钉齿耙轻度耙地，破除板结；出苗后松土除草，病虫害严重时要进行防治；在苗期或严重干旱时用洒水车浇水。播种翌年，对缺苗断垄处进行补播、补植。其次，在适合季节种植，争取在入冬之前培育为壮苗，针对部分抗冻能力较弱的草本，在冬前最后一次刈割留茬宜高，至少在</w:t>
      </w:r>
      <w:r>
        <w:rPr>
          <w:rFonts w:ascii="Times New Roman" w:hAnsi="Times New Roman"/>
          <w:kern w:val="0"/>
          <w:szCs w:val="24"/>
          <w:lang w:bidi="ar"/>
        </w:rPr>
        <w:t>5cm</w:t>
      </w:r>
      <w:r>
        <w:rPr>
          <w:rFonts w:ascii="Times New Roman" w:hAnsi="Times New Roman"/>
          <w:kern w:val="0"/>
          <w:szCs w:val="24"/>
          <w:lang w:bidi="ar"/>
        </w:rPr>
        <w:t>以上，使其安全越冬。针对小灌木类，对苗木进行轻度修剪；清除杂草，浅翻土地，给苗木根基部培土或培土墩，浇透防冻水。根据情况也可在外面加一层塑料，灌木复垦在</w:t>
      </w:r>
      <w:r>
        <w:rPr>
          <w:rFonts w:ascii="Times New Roman" w:hAnsi="Times New Roman"/>
          <w:kern w:val="0"/>
          <w:szCs w:val="24"/>
          <w:lang w:bidi="ar"/>
        </w:rPr>
        <w:t>3-5</w:t>
      </w:r>
      <w:r>
        <w:rPr>
          <w:rFonts w:ascii="Times New Roman" w:hAnsi="Times New Roman"/>
          <w:kern w:val="0"/>
          <w:szCs w:val="24"/>
          <w:lang w:bidi="ar"/>
        </w:rPr>
        <w:t>年后要采取平茬或间伐。林地栽植时要确保树苗直立，填土缓填，尽量不要伤根。栽植后及时浇水，水要浇透，有助于根系与土壤密接，才能确保成活，专人看管，防止人畜损毁。发现病虫害及时防止，勿使蔓延，做好林地防火工作，尤其气候干燥时要加强对林区用火的监管。</w:t>
      </w:r>
    </w:p>
    <w:p w14:paraId="4E4B3A58" w14:textId="77777777" w:rsidR="009C353B" w:rsidRDefault="00000000">
      <w:pPr>
        <w:pStyle w:val="40"/>
        <w:adjustRightInd w:val="0"/>
        <w:snapToGrid w:val="0"/>
        <w:spacing w:before="0" w:after="0" w:line="440" w:lineRule="exact"/>
        <w:rPr>
          <w:rFonts w:ascii="Times New Roman" w:eastAsia="宋体" w:hAnsi="Times New Roman"/>
          <w:sz w:val="24"/>
          <w:szCs w:val="24"/>
        </w:rPr>
      </w:pPr>
      <w:r>
        <w:rPr>
          <w:rFonts w:ascii="Times New Roman" w:eastAsia="宋体" w:hAnsi="Times New Roman"/>
          <w:sz w:val="24"/>
          <w:szCs w:val="24"/>
        </w:rPr>
        <w:t>9.1.4.</w:t>
      </w:r>
      <w:r>
        <w:rPr>
          <w:rFonts w:ascii="Times New Roman" w:eastAsia="宋体" w:hAnsi="Times New Roman" w:hint="eastAsia"/>
          <w:sz w:val="24"/>
          <w:szCs w:val="24"/>
        </w:rPr>
        <w:t>3</w:t>
      </w:r>
      <w:r>
        <w:rPr>
          <w:rFonts w:ascii="Times New Roman" w:eastAsia="宋体" w:hAnsi="Times New Roman"/>
          <w:sz w:val="24"/>
          <w:szCs w:val="24"/>
        </w:rPr>
        <w:t xml:space="preserve"> </w:t>
      </w:r>
      <w:r>
        <w:rPr>
          <w:rFonts w:ascii="Times New Roman" w:eastAsia="宋体" w:hAnsi="Times New Roman"/>
          <w:sz w:val="24"/>
          <w:szCs w:val="24"/>
        </w:rPr>
        <w:t>排矸场恢复重建区</w:t>
      </w:r>
    </w:p>
    <w:p w14:paraId="370A2E1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矸石场防治措施整体上采用</w:t>
      </w:r>
      <w:r>
        <w:rPr>
          <w:rFonts w:ascii="Times New Roman" w:hAnsi="Times New Roman" w:hint="eastAsia"/>
        </w:rPr>
        <w:t>“</w:t>
      </w:r>
      <w:r>
        <w:rPr>
          <w:rFonts w:ascii="Times New Roman" w:hAnsi="Times New Roman"/>
        </w:rPr>
        <w:t>先挡后弃，覆土整治，复垦绿化</w:t>
      </w:r>
      <w:r>
        <w:rPr>
          <w:rFonts w:ascii="Times New Roman" w:hAnsi="Times New Roman" w:hint="eastAsia"/>
        </w:rPr>
        <w:t>”</w:t>
      </w:r>
      <w:r>
        <w:rPr>
          <w:rFonts w:ascii="Times New Roman" w:hAnsi="Times New Roman"/>
        </w:rPr>
        <w:t>的顺序：</w:t>
      </w:r>
    </w:p>
    <w:p w14:paraId="1C97065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）先挡后弃</w:t>
      </w:r>
    </w:p>
    <w:p w14:paraId="68DA22B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建设期先在排矸场下坡段利用剩余掘进矸石垒筑一定长度的拦矸坝，控制弃渣流失；渣面覆土整治后，撒播草籽以恢复植被。排矸方式为排弃的矸石由推土机推平碾压，最终覆土种草恢复植被。排矸时需分层覆土，以防矸石自燃。排矸场进行分区排放。当堆满该区后，对该区进行覆土整地工程，覆土厚度为</w:t>
      </w:r>
      <w:r>
        <w:rPr>
          <w:rFonts w:ascii="Times New Roman" w:hAnsi="Times New Roman"/>
        </w:rPr>
        <w:t>0.3m</w:t>
      </w:r>
      <w:r>
        <w:rPr>
          <w:rFonts w:ascii="Times New Roman" w:hAnsi="Times New Roman"/>
        </w:rPr>
        <w:t>。</w:t>
      </w:r>
    </w:p>
    <w:p w14:paraId="1372F01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）表层土保护措施</w:t>
      </w:r>
    </w:p>
    <w:p w14:paraId="3B7291B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保护好矿区表层土是确保区域生态系统稳定，实施生态复垦和区域生态重建的关键之一，表层土保护措施如下：</w:t>
      </w:r>
    </w:p>
    <w:p w14:paraId="354D7CD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1</w:t>
      </w:r>
      <w:r>
        <w:rPr>
          <w:rFonts w:ascii="Times New Roman" w:hAnsi="Times New Roman" w:hint="eastAsia"/>
        </w:rPr>
        <w:t>）</w:t>
      </w:r>
      <w:r>
        <w:rPr>
          <w:rFonts w:ascii="Times New Roman" w:hAnsi="Times New Roman"/>
        </w:rPr>
        <w:t>在排矸前，首先对区域内第四系表土层进行单独剥离、单独堆存；</w:t>
      </w:r>
    </w:p>
    <w:p w14:paraId="78BA152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2</w:t>
      </w:r>
      <w:r>
        <w:rPr>
          <w:rFonts w:ascii="Times New Roman" w:hAnsi="Times New Roman" w:hint="eastAsia"/>
        </w:rPr>
        <w:t>）</w:t>
      </w:r>
      <w:r>
        <w:rPr>
          <w:rFonts w:ascii="Times New Roman" w:hAnsi="Times New Roman"/>
        </w:rPr>
        <w:t>表层土堆放处周围边界布置排水沟或防护堤，采用密目网覆盖堆体，并在堆体周边用填土草袋围挡作临时挡护；</w:t>
      </w:r>
    </w:p>
    <w:p w14:paraId="15CA27A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3</w:t>
      </w:r>
      <w:r>
        <w:rPr>
          <w:rFonts w:ascii="Times New Roman" w:hAnsi="Times New Roman" w:hint="eastAsia"/>
        </w:rPr>
        <w:t>）</w:t>
      </w:r>
      <w:r>
        <w:rPr>
          <w:rFonts w:ascii="Times New Roman" w:hAnsi="Times New Roman"/>
        </w:rPr>
        <w:t>待表层土完成堆存任务后，随煤矿开发排</w:t>
      </w:r>
      <w:r>
        <w:rPr>
          <w:rFonts w:ascii="Times New Roman" w:hAnsi="Times New Roman" w:hint="eastAsia"/>
        </w:rPr>
        <w:t>矸</w:t>
      </w:r>
      <w:r>
        <w:rPr>
          <w:rFonts w:ascii="Times New Roman" w:hAnsi="Times New Roman"/>
        </w:rPr>
        <w:t>场平台达到设计标高并稳定时，即可用堆放的表土进行生态恢复</w:t>
      </w:r>
      <w:r>
        <w:rPr>
          <w:rFonts w:ascii="Times New Roman" w:hAnsi="Times New Roman" w:hint="eastAsia"/>
        </w:rPr>
        <w:t>。</w:t>
      </w:r>
      <w:r>
        <w:rPr>
          <w:rFonts w:ascii="Times New Roman" w:hAnsi="Times New Roman"/>
        </w:rPr>
        <w:t>表层土</w:t>
      </w:r>
      <w:r>
        <w:rPr>
          <w:rFonts w:ascii="Times New Roman" w:hAnsi="Times New Roman" w:hint="eastAsia"/>
        </w:rPr>
        <w:t>回覆</w:t>
      </w:r>
      <w:r>
        <w:rPr>
          <w:rFonts w:ascii="Times New Roman" w:hAnsi="Times New Roman"/>
        </w:rPr>
        <w:t>后，首先进行水平犁沟整地，将土层翻松，然后进行草地的恢复工作；；</w:t>
      </w:r>
    </w:p>
    <w:p w14:paraId="075EF04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4</w:t>
      </w:r>
      <w:r>
        <w:rPr>
          <w:rFonts w:ascii="Times New Roman" w:hAnsi="Times New Roman" w:hint="eastAsia"/>
        </w:rPr>
        <w:t>）</w:t>
      </w:r>
      <w:r>
        <w:rPr>
          <w:rFonts w:ascii="Times New Roman" w:hAnsi="Times New Roman"/>
        </w:rPr>
        <w:t>建设单位根据施工计划编制表层土保护方案，提出详细表层土的剥离方法、堆积布置、堆积方法、回填方法和步骤、实施计划的具体安排等内容，在施工时，应派专人进行监督指挥。</w:t>
      </w:r>
    </w:p>
    <w:p w14:paraId="6034B4C0" w14:textId="77777777" w:rsidR="009C353B" w:rsidRDefault="00000000">
      <w:pPr>
        <w:adjustRightInd w:val="0"/>
        <w:snapToGrid w:val="0"/>
        <w:spacing w:line="440" w:lineRule="exact"/>
        <w:ind w:firstLineChars="200" w:firstLine="480"/>
        <w:rPr>
          <w:rFonts w:ascii="Times New Roman" w:hAnsi="Times New Roman"/>
          <w:szCs w:val="22"/>
        </w:rPr>
      </w:pPr>
      <w:r>
        <w:rPr>
          <w:rFonts w:ascii="Times New Roman" w:hAnsi="Times New Roman"/>
          <w:szCs w:val="22"/>
        </w:rPr>
        <w:t>（</w:t>
      </w:r>
      <w:r>
        <w:rPr>
          <w:rFonts w:ascii="Times New Roman" w:hAnsi="Times New Roman"/>
          <w:szCs w:val="22"/>
        </w:rPr>
        <w:t>3</w:t>
      </w:r>
      <w:r>
        <w:rPr>
          <w:rFonts w:ascii="Times New Roman" w:hAnsi="Times New Roman"/>
          <w:szCs w:val="22"/>
        </w:rPr>
        <w:t>）复垦绿化</w:t>
      </w:r>
    </w:p>
    <w:p w14:paraId="6107053C" w14:textId="77777777" w:rsidR="009C353B" w:rsidRDefault="00000000">
      <w:pPr>
        <w:adjustRightInd w:val="0"/>
        <w:snapToGrid w:val="0"/>
        <w:spacing w:line="440" w:lineRule="exact"/>
        <w:ind w:firstLineChars="200" w:firstLine="480"/>
        <w:rPr>
          <w:rFonts w:ascii="Times New Roman" w:hAnsi="Times New Roman"/>
          <w:szCs w:val="22"/>
        </w:rPr>
      </w:pPr>
      <w:r>
        <w:rPr>
          <w:rFonts w:ascii="Times New Roman" w:hAnsi="Times New Roman"/>
          <w:szCs w:val="22"/>
        </w:rPr>
        <w:t>排矸场恢复植被的前期以植草和灌木相间的方式为主。推荐灌木</w:t>
      </w:r>
      <w:r>
        <w:rPr>
          <w:rFonts w:ascii="Times New Roman" w:hAnsi="Times New Roman" w:hint="eastAsia"/>
          <w:szCs w:val="22"/>
        </w:rPr>
        <w:t>为</w:t>
      </w:r>
      <w:r>
        <w:rPr>
          <w:rFonts w:ascii="Times New Roman" w:hAnsi="Times New Roman"/>
          <w:szCs w:val="22"/>
        </w:rPr>
        <w:t>柠条</w:t>
      </w:r>
      <w:r>
        <w:rPr>
          <w:rFonts w:ascii="Times New Roman" w:hAnsi="Times New Roman" w:hint="eastAsia"/>
          <w:szCs w:val="22"/>
        </w:rPr>
        <w:t>，</w:t>
      </w:r>
      <w:r>
        <w:rPr>
          <w:rFonts w:ascii="Times New Roman" w:hAnsi="Times New Roman"/>
          <w:szCs w:val="22"/>
        </w:rPr>
        <w:t>草</w:t>
      </w:r>
      <w:r>
        <w:rPr>
          <w:rFonts w:ascii="Times New Roman" w:hAnsi="Times New Roman" w:hint="eastAsia"/>
          <w:szCs w:val="22"/>
        </w:rPr>
        <w:t>籽为</w:t>
      </w:r>
      <w:r>
        <w:rPr>
          <w:rFonts w:ascii="Times New Roman" w:hAnsi="Times New Roman"/>
          <w:szCs w:val="22"/>
        </w:rPr>
        <w:t>沙蒿</w:t>
      </w:r>
      <w:r>
        <w:rPr>
          <w:rFonts w:ascii="Times New Roman" w:hAnsi="Times New Roman" w:hint="eastAsia"/>
          <w:szCs w:val="22"/>
        </w:rPr>
        <w:t>和沙生针茅</w:t>
      </w:r>
      <w:r>
        <w:rPr>
          <w:rFonts w:ascii="Times New Roman" w:hAnsi="Times New Roman"/>
          <w:szCs w:val="22"/>
        </w:rPr>
        <w:t>。在排矸场分区内以</w:t>
      </w:r>
      <w:r>
        <w:rPr>
          <w:rFonts w:ascii="Times New Roman" w:hAnsi="Times New Roman"/>
          <w:szCs w:val="22"/>
        </w:rPr>
        <w:t>1.0m</w:t>
      </w:r>
      <w:r>
        <w:rPr>
          <w:rFonts w:ascii="Times New Roman" w:hAnsi="Times New Roman"/>
          <w:szCs w:val="22"/>
        </w:rPr>
        <w:t>的株距营造柠条矮灌木林带，之间撒播沙蒿草籽。</w:t>
      </w:r>
    </w:p>
    <w:p w14:paraId="6560C6AE" w14:textId="77777777" w:rsidR="009C353B" w:rsidRDefault="00000000">
      <w:pPr>
        <w:adjustRightInd w:val="0"/>
        <w:snapToGrid w:val="0"/>
        <w:spacing w:line="440" w:lineRule="exact"/>
        <w:ind w:firstLineChars="200" w:firstLine="480"/>
        <w:rPr>
          <w:rFonts w:ascii="Times New Roman" w:hAnsi="Times New Roman"/>
          <w:szCs w:val="22"/>
        </w:rPr>
      </w:pPr>
      <w:r>
        <w:rPr>
          <w:rFonts w:ascii="Times New Roman" w:hAnsi="Times New Roman"/>
          <w:szCs w:val="22"/>
        </w:rPr>
        <w:t>柠条选用一年生实生苗，苗高</w:t>
      </w:r>
      <w:r>
        <w:rPr>
          <w:rFonts w:ascii="Times New Roman" w:hAnsi="Times New Roman"/>
          <w:szCs w:val="22"/>
        </w:rPr>
        <w:t>0.4m</w:t>
      </w:r>
      <w:r>
        <w:rPr>
          <w:rFonts w:ascii="Times New Roman" w:hAnsi="Times New Roman"/>
          <w:szCs w:val="22"/>
        </w:rPr>
        <w:t>，挖穴</w:t>
      </w:r>
      <w:r>
        <w:rPr>
          <w:rFonts w:ascii="Times New Roman" w:hAnsi="Times New Roman"/>
          <w:szCs w:val="22"/>
        </w:rPr>
        <w:t>0.4m×0.4m×0.4m</w:t>
      </w:r>
      <w:r>
        <w:rPr>
          <w:rFonts w:ascii="Times New Roman" w:hAnsi="Times New Roman"/>
          <w:szCs w:val="22"/>
        </w:rPr>
        <w:t>，每穴栽植</w:t>
      </w:r>
      <w:r>
        <w:rPr>
          <w:rFonts w:ascii="Times New Roman" w:hAnsi="Times New Roman"/>
          <w:szCs w:val="22"/>
        </w:rPr>
        <w:t>2</w:t>
      </w:r>
      <w:r>
        <w:rPr>
          <w:rFonts w:ascii="Times New Roman" w:hAnsi="Times New Roman"/>
          <w:szCs w:val="22"/>
        </w:rPr>
        <w:t>～</w:t>
      </w:r>
      <w:r>
        <w:rPr>
          <w:rFonts w:ascii="Times New Roman" w:hAnsi="Times New Roman"/>
          <w:szCs w:val="22"/>
        </w:rPr>
        <w:t>3</w:t>
      </w:r>
      <w:r>
        <w:rPr>
          <w:rFonts w:ascii="Times New Roman" w:hAnsi="Times New Roman"/>
          <w:szCs w:val="22"/>
        </w:rPr>
        <w:t>株。为保证其成活率，可带土栽植。最好选用优质的容器苗，每公顷造林</w:t>
      </w:r>
      <w:r>
        <w:rPr>
          <w:rFonts w:ascii="Times New Roman" w:hAnsi="Times New Roman"/>
          <w:szCs w:val="22"/>
        </w:rPr>
        <w:t>5000</w:t>
      </w:r>
      <w:r>
        <w:rPr>
          <w:rFonts w:ascii="Times New Roman" w:hAnsi="Times New Roman"/>
          <w:szCs w:val="22"/>
        </w:rPr>
        <w:t>株。沙蒿因种子较小，撒播后需覆土</w:t>
      </w:r>
      <w:r>
        <w:rPr>
          <w:rFonts w:ascii="Times New Roman" w:hAnsi="Times New Roman"/>
          <w:szCs w:val="22"/>
        </w:rPr>
        <w:t>1</w:t>
      </w:r>
      <w:r>
        <w:rPr>
          <w:rFonts w:ascii="Times New Roman" w:hAnsi="Times New Roman"/>
          <w:szCs w:val="22"/>
        </w:rPr>
        <w:t>～</w:t>
      </w:r>
      <w:r>
        <w:rPr>
          <w:rFonts w:ascii="Times New Roman" w:hAnsi="Times New Roman"/>
          <w:szCs w:val="22"/>
        </w:rPr>
        <w:t>2cm</w:t>
      </w:r>
      <w:r>
        <w:rPr>
          <w:rFonts w:ascii="Times New Roman" w:hAnsi="Times New Roman"/>
          <w:szCs w:val="22"/>
        </w:rPr>
        <w:t>。其播籽量为</w:t>
      </w:r>
      <w:r>
        <w:rPr>
          <w:rFonts w:ascii="Times New Roman" w:hAnsi="Times New Roman"/>
          <w:szCs w:val="22"/>
        </w:rPr>
        <w:t>20kg/hm</w:t>
      </w:r>
      <w:r>
        <w:rPr>
          <w:rFonts w:ascii="Times New Roman" w:hAnsi="Times New Roman"/>
          <w:szCs w:val="22"/>
          <w:vertAlign w:val="superscript"/>
        </w:rPr>
        <w:t>2</w:t>
      </w:r>
      <w:r>
        <w:rPr>
          <w:rFonts w:ascii="Times New Roman" w:hAnsi="Times New Roman"/>
          <w:szCs w:val="22"/>
        </w:rPr>
        <w:t>。播种最宜时节为雨季前撒播。播种前应在覆土面混入农家土肥以利于植物生长。种植时序上应在撒播沙蒿草籽且生长一年后栽植柠条苗，使裸露地迅速形成植被保护层，促进灌木的正常生长。</w:t>
      </w:r>
    </w:p>
    <w:p w14:paraId="4CB2F307" w14:textId="77777777" w:rsidR="009C353B" w:rsidRDefault="00000000">
      <w:pPr>
        <w:spacing w:line="440" w:lineRule="exact"/>
        <w:ind w:firstLine="482"/>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）植被后期养护</w:t>
      </w:r>
    </w:p>
    <w:p w14:paraId="08222A04" w14:textId="77777777" w:rsidR="009C353B" w:rsidRDefault="00000000">
      <w:pPr>
        <w:spacing w:line="440" w:lineRule="exact"/>
        <w:ind w:firstLine="482"/>
        <w:rPr>
          <w:rFonts w:ascii="Times New Roman" w:hAnsi="Times New Roman"/>
        </w:rPr>
      </w:pPr>
      <w:r>
        <w:rPr>
          <w:rFonts w:ascii="Times New Roman" w:hAnsi="Times New Roman"/>
        </w:rPr>
        <w:t>1</w:t>
      </w:r>
      <w:r>
        <w:rPr>
          <w:rFonts w:ascii="Times New Roman" w:hAnsi="Times New Roman"/>
        </w:rPr>
        <w:t>）植被在重建的初期相对脆弱，需要人工对其进行管护，以保证植被的健康成长。对于复垦前几年的植被要采用围栏，严禁牲畜的践踏、啃食。灌木复垦在</w:t>
      </w:r>
      <w:r>
        <w:rPr>
          <w:rFonts w:ascii="Times New Roman" w:hAnsi="Times New Roman"/>
        </w:rPr>
        <w:t>3-5</w:t>
      </w:r>
      <w:r>
        <w:rPr>
          <w:rFonts w:ascii="Times New Roman" w:hAnsi="Times New Roman"/>
        </w:rPr>
        <w:t>年后要采取平茬或间伐。根据区域自然环境特点，植被管护要达到六年。</w:t>
      </w:r>
    </w:p>
    <w:p w14:paraId="21B28018" w14:textId="77777777" w:rsidR="009C353B" w:rsidRDefault="00000000">
      <w:pPr>
        <w:pStyle w:val="affffffa"/>
        <w:spacing w:line="440" w:lineRule="exact"/>
        <w:ind w:firstLineChars="0" w:firstLine="482"/>
        <w:rPr>
          <w:rFonts w:ascii="Times New Roman" w:hAnsi="Times New Roman"/>
        </w:rPr>
      </w:pPr>
      <w:r>
        <w:rPr>
          <w:rFonts w:ascii="Times New Roman" w:hAnsi="Times New Roman"/>
        </w:rPr>
        <w:t>2</w:t>
      </w:r>
      <w:r>
        <w:rPr>
          <w:rFonts w:ascii="Times New Roman" w:hAnsi="Times New Roman"/>
        </w:rPr>
        <w:t>）通过分析项目区的气象灾害因子等影响生态重建的因素，排矸场重建植被的抚育重点是苗木防冻，其防治措施主要是在适合季节种植，争取在入冬之前培育为壮苗。针对部分抗冻能力较弱的苗木通过采取以下方式，使其安全越冬：针对小灌木类，对苗木进行轻度修剪；清除杂草，浅翻土地，给苗木根基部培土或培土墩，浇透防冻水。</w:t>
      </w:r>
    </w:p>
    <w:p w14:paraId="57E8EBBD" w14:textId="77777777" w:rsidR="009C353B" w:rsidRDefault="00000000">
      <w:pPr>
        <w:pStyle w:val="affffffa"/>
        <w:spacing w:line="440" w:lineRule="exact"/>
        <w:ind w:firstLineChars="0" w:firstLine="482"/>
        <w:rPr>
          <w:rFonts w:ascii="Times New Roman" w:hAnsi="Times New Roman"/>
        </w:rPr>
      </w:pPr>
      <w:r>
        <w:rPr>
          <w:rFonts w:ascii="Times New Roman" w:hAnsi="Times New Roman"/>
        </w:rPr>
        <w:t>3</w:t>
      </w:r>
      <w:r>
        <w:rPr>
          <w:rFonts w:ascii="Times New Roman" w:hAnsi="Times New Roman"/>
        </w:rPr>
        <w:t>）水是决定林草生长状况和质量的重要因素，考虑到土地复垦过程中的灌溉需要，可增加流动洒水车，以便在灌溉更全面，从而提高牧草的成活率。灌溉在早上进行，中</w:t>
      </w:r>
    </w:p>
    <w:p w14:paraId="1DA89564" w14:textId="77777777" w:rsidR="009C353B" w:rsidRDefault="00000000">
      <w:pPr>
        <w:pStyle w:val="affffffa"/>
        <w:spacing w:line="440" w:lineRule="exact"/>
        <w:ind w:firstLineChars="0" w:firstLine="482"/>
        <w:rPr>
          <w:rFonts w:ascii="Times New Roman" w:hAnsi="Times New Roman"/>
        </w:rPr>
      </w:pPr>
      <w:r>
        <w:rPr>
          <w:rFonts w:ascii="Times New Roman" w:hAnsi="Times New Roman"/>
        </w:rPr>
        <w:t>4</w:t>
      </w:r>
      <w:r>
        <w:rPr>
          <w:rFonts w:ascii="Times New Roman" w:hAnsi="Times New Roman"/>
        </w:rPr>
        <w:t>）病虫害防治是林草管理中的一项重要的工作，在林草生长季节尤为重要。主要采取药物防治，根据不同的草种在不同的生长期，根据病虫害种类的生长发育期选用不同的药物，使用不同的浓度和不同的使用方法。</w:t>
      </w:r>
    </w:p>
    <w:p w14:paraId="6777EE19" w14:textId="77777777" w:rsidR="009C353B" w:rsidRDefault="00000000">
      <w:pPr>
        <w:pStyle w:val="affffffa"/>
        <w:spacing w:line="440" w:lineRule="exact"/>
        <w:ind w:firstLineChars="0" w:firstLine="482"/>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）截排水设施</w:t>
      </w:r>
    </w:p>
    <w:p w14:paraId="7EF62DF0" w14:textId="77777777" w:rsidR="009C353B" w:rsidRDefault="00000000">
      <w:pPr>
        <w:pStyle w:val="affffffa"/>
        <w:spacing w:line="440" w:lineRule="exact"/>
        <w:ind w:firstLineChars="0" w:firstLine="482"/>
        <w:rPr>
          <w:rFonts w:ascii="Times New Roman" w:hAnsi="Times New Roman"/>
        </w:rPr>
      </w:pPr>
      <w:r>
        <w:rPr>
          <w:rFonts w:ascii="Times New Roman" w:hAnsi="Times New Roman" w:hint="eastAsia"/>
        </w:rPr>
        <w:t>为防止排矸场上游地表水对矸石的冲蚀，应在排矸场及周边修建截水、排水沟，以此来疏导排矸场周边的地表水体。截排水沟采用混凝土浇筑。</w:t>
      </w:r>
      <w:r>
        <w:rPr>
          <w:rFonts w:ascii="Times New Roman" w:hAnsi="Times New Roman" w:hint="eastAsia"/>
        </w:rPr>
        <w:t xml:space="preserve"> </w:t>
      </w:r>
    </w:p>
    <w:p w14:paraId="454D4FDE"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rPr>
        <w:t xml:space="preserve">9.1.5 </w:t>
      </w:r>
      <w:r>
        <w:rPr>
          <w:rFonts w:ascii="Times New Roman" w:hAnsi="Times New Roman"/>
        </w:rPr>
        <w:t>生态恢复的补偿机制和保障措施</w:t>
      </w:r>
    </w:p>
    <w:p w14:paraId="41FDBEE8" w14:textId="77777777" w:rsidR="009C353B" w:rsidRDefault="00000000">
      <w:pPr>
        <w:spacing w:line="440" w:lineRule="exact"/>
        <w:ind w:firstLine="482"/>
        <w:rPr>
          <w:rFonts w:ascii="Times New Roman" w:hAnsi="Times New Roman"/>
        </w:rPr>
      </w:pPr>
      <w:r>
        <w:rPr>
          <w:rFonts w:ascii="Times New Roman" w:hAnsi="Times New Roman" w:hint="eastAsia"/>
        </w:rPr>
        <w:t>（</w:t>
      </w:r>
      <w:r>
        <w:rPr>
          <w:rFonts w:ascii="Times New Roman" w:hAnsi="Times New Roman"/>
        </w:rPr>
        <w:t>1</w:t>
      </w:r>
      <w:r>
        <w:rPr>
          <w:rFonts w:ascii="Times New Roman" w:hAnsi="Times New Roman"/>
        </w:rPr>
        <w:t>）</w:t>
      </w:r>
      <w:r>
        <w:rPr>
          <w:rFonts w:ascii="Times New Roman" w:hAnsi="Times New Roman"/>
        </w:rPr>
        <w:t xml:space="preserve"> </w:t>
      </w:r>
      <w:r>
        <w:rPr>
          <w:rFonts w:ascii="Times New Roman" w:hAnsi="Times New Roman"/>
        </w:rPr>
        <w:t>矿区开发者（采矿企业）首先应按照《关于做好矿山地质环境保护与土地复垦方案编报有关工作的通知》（国土资规〔</w:t>
      </w:r>
      <w:r>
        <w:rPr>
          <w:rFonts w:ascii="Times New Roman" w:hAnsi="Times New Roman"/>
        </w:rPr>
        <w:t>2016</w:t>
      </w:r>
      <w:r>
        <w:rPr>
          <w:rFonts w:ascii="Times New Roman" w:hAnsi="Times New Roman"/>
        </w:rPr>
        <w:t>〕</w:t>
      </w:r>
      <w:r>
        <w:rPr>
          <w:rFonts w:ascii="Times New Roman" w:hAnsi="Times New Roman"/>
        </w:rPr>
        <w:t>21</w:t>
      </w:r>
      <w:r>
        <w:rPr>
          <w:rFonts w:ascii="Times New Roman" w:hAnsi="Times New Roman"/>
        </w:rPr>
        <w:t>号）要求编制矿山地质环境保护与土地复垦方案，以确保生态恢复工作的顺利进行。</w:t>
      </w:r>
    </w:p>
    <w:p w14:paraId="3E919A28" w14:textId="77777777" w:rsidR="009C353B" w:rsidRDefault="00000000">
      <w:pPr>
        <w:spacing w:line="440" w:lineRule="exact"/>
        <w:ind w:firstLine="482"/>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rPr>
        <w:t>）</w:t>
      </w:r>
      <w:r>
        <w:rPr>
          <w:rFonts w:ascii="Times New Roman" w:hAnsi="Times New Roman" w:hint="eastAsia"/>
        </w:rPr>
        <w:t>根据</w:t>
      </w:r>
      <w:r>
        <w:rPr>
          <w:rFonts w:ascii="Times New Roman" w:hAnsi="Times New Roman"/>
        </w:rPr>
        <w:t>《宁夏回族自治区矿山环境治理和生态恢复保证金管理办法》</w:t>
      </w:r>
      <w:r>
        <w:rPr>
          <w:rFonts w:ascii="Times New Roman" w:hAnsi="Times New Roman" w:hint="eastAsia"/>
        </w:rPr>
        <w:t>，矿山生态修复基金是矿业权人根据经自然资源行政主管部门批复的《矿山地质环境保护与土地复垦方案》预先计提并存于企业在银行设立的专项资金账户中，专项用于矿山生态修复所需的资金。矿山生态修复基金的</w:t>
      </w:r>
      <w:r>
        <w:rPr>
          <w:rFonts w:ascii="Times New Roman" w:hAnsi="Times New Roman"/>
        </w:rPr>
        <w:t>提取和使用管理遵循</w:t>
      </w:r>
      <w:r>
        <w:rPr>
          <w:rFonts w:ascii="Times New Roman" w:hAnsi="Times New Roman" w:hint="eastAsia"/>
        </w:rPr>
        <w:t>“</w:t>
      </w:r>
      <w:r>
        <w:rPr>
          <w:rFonts w:ascii="Times New Roman" w:hAnsi="Times New Roman"/>
        </w:rPr>
        <w:t>企业所有、</w:t>
      </w:r>
      <w:r>
        <w:rPr>
          <w:rFonts w:ascii="Times New Roman" w:hAnsi="Times New Roman" w:hint="eastAsia"/>
        </w:rPr>
        <w:t>政府监管</w:t>
      </w:r>
      <w:r>
        <w:rPr>
          <w:rFonts w:ascii="Times New Roman" w:hAnsi="Times New Roman"/>
        </w:rPr>
        <w:t>、</w:t>
      </w:r>
      <w:r>
        <w:rPr>
          <w:rFonts w:ascii="Times New Roman" w:hAnsi="Times New Roman" w:hint="eastAsia"/>
        </w:rPr>
        <w:t>确保需求、规范使用”</w:t>
      </w:r>
      <w:r>
        <w:rPr>
          <w:rFonts w:ascii="Times New Roman" w:hAnsi="Times New Roman"/>
        </w:rPr>
        <w:t>的原则</w:t>
      </w:r>
      <w:r>
        <w:rPr>
          <w:rFonts w:ascii="Times New Roman" w:hAnsi="Times New Roman" w:hint="eastAsia"/>
        </w:rPr>
        <w:t>，由矿业权人自主合理使用。矿山生态修复基金</w:t>
      </w:r>
      <w:r>
        <w:rPr>
          <w:rFonts w:ascii="Times New Roman" w:hAnsi="Times New Roman"/>
        </w:rPr>
        <w:t>煤炭开采企业生产成本，</w:t>
      </w:r>
      <w:r>
        <w:rPr>
          <w:rFonts w:ascii="Times New Roman" w:hAnsi="Times New Roman" w:hint="eastAsia"/>
        </w:rPr>
        <w:t>用于矿山建设和开采引发、加剧的地面塌陷、地裂缝等地质灾害的预防及治理；矿山建设和开采活动引发的植被、土壤、地形地貌景观破坏等生态保护和修复支出；矿山生态地质环境保护修复监测与管护工程支出；矿山生态修复宣传教育培训、科学技术研究与应用等软工程支出。矿业权人按要求完成矿山生态修复工程，经自检合格后向当地县级自然资源行政主管部门申请工程验收，同时核算基金使用情况。县级以上地方人民政府自然资源主管部门会同有关部门负责本行政区域内矿山生态修复基金的监督和验收工作。</w:t>
      </w:r>
    </w:p>
    <w:p w14:paraId="72D3BC22" w14:textId="77777777" w:rsidR="009C353B" w:rsidRDefault="00000000">
      <w:pPr>
        <w:spacing w:line="440" w:lineRule="exact"/>
        <w:ind w:firstLine="482"/>
        <w:rPr>
          <w:rFonts w:ascii="Times New Roman" w:hAnsi="Times New Roman"/>
        </w:rPr>
      </w:pPr>
      <w:r>
        <w:rPr>
          <w:rFonts w:ascii="Times New Roman" w:hAnsi="Times New Roman"/>
        </w:rPr>
        <w:t>（</w:t>
      </w:r>
      <w:r>
        <w:rPr>
          <w:rFonts w:ascii="Times New Roman" w:hAnsi="Times New Roman" w:hint="eastAsia"/>
        </w:rPr>
        <w:t>3</w:t>
      </w:r>
      <w:r>
        <w:rPr>
          <w:rFonts w:ascii="Times New Roman" w:hAnsi="Times New Roman"/>
        </w:rPr>
        <w:t>）完善征地（</w:t>
      </w:r>
      <w:r>
        <w:rPr>
          <w:rFonts w:ascii="Times New Roman" w:hAnsi="Times New Roman" w:hint="eastAsia"/>
        </w:rPr>
        <w:t>荒漠草原</w:t>
      </w:r>
      <w:r>
        <w:rPr>
          <w:rFonts w:ascii="Times New Roman" w:hAnsi="Times New Roman"/>
        </w:rPr>
        <w:t>）补偿办法</w:t>
      </w:r>
    </w:p>
    <w:p w14:paraId="3FE548C1" w14:textId="77777777" w:rsidR="009C353B" w:rsidRDefault="00000000">
      <w:pPr>
        <w:spacing w:line="440" w:lineRule="exact"/>
        <w:ind w:firstLine="482"/>
        <w:rPr>
          <w:rFonts w:ascii="Times New Roman" w:hAnsi="Times New Roman"/>
        </w:rPr>
      </w:pPr>
      <w:r>
        <w:rPr>
          <w:rFonts w:ascii="Times New Roman" w:hAnsi="Times New Roman"/>
        </w:rPr>
        <w:t>《关于设立草原植被恢复费的复函》</w:t>
      </w:r>
      <w:r>
        <w:rPr>
          <w:rFonts w:ascii="Times New Roman" w:hAnsi="Times New Roman" w:hint="eastAsia"/>
        </w:rPr>
        <w:t>（</w:t>
      </w:r>
      <w:r>
        <w:rPr>
          <w:rFonts w:ascii="Times New Roman" w:hAnsi="Times New Roman"/>
        </w:rPr>
        <w:t>宁财（综）发〔</w:t>
      </w:r>
      <w:r>
        <w:rPr>
          <w:rFonts w:ascii="Times New Roman" w:hAnsi="Times New Roman"/>
        </w:rPr>
        <w:t>2011</w:t>
      </w:r>
      <w:r>
        <w:rPr>
          <w:rFonts w:ascii="Times New Roman" w:hAnsi="Times New Roman"/>
        </w:rPr>
        <w:t>〕</w:t>
      </w:r>
      <w:r>
        <w:rPr>
          <w:rFonts w:ascii="Times New Roman" w:hAnsi="Times New Roman"/>
        </w:rPr>
        <w:t>12</w:t>
      </w:r>
      <w:r>
        <w:rPr>
          <w:rFonts w:ascii="Times New Roman" w:hAnsi="Times New Roman"/>
        </w:rPr>
        <w:t>号</w:t>
      </w:r>
      <w:r>
        <w:rPr>
          <w:rFonts w:ascii="Times New Roman" w:hAnsi="Times New Roman" w:hint="eastAsia"/>
        </w:rPr>
        <w:t>）</w:t>
      </w:r>
      <w:r>
        <w:rPr>
          <w:rFonts w:ascii="Times New Roman" w:hAnsi="Times New Roman"/>
        </w:rPr>
        <w:t>中提出了草原植被恢复费征收标准，其中征用</w:t>
      </w:r>
      <w:r>
        <w:rPr>
          <w:rFonts w:ascii="Times New Roman" w:hAnsi="Times New Roman" w:hint="eastAsia"/>
        </w:rPr>
        <w:t>荒漠</w:t>
      </w:r>
      <w:r>
        <w:rPr>
          <w:rFonts w:ascii="Times New Roman" w:hAnsi="Times New Roman"/>
        </w:rPr>
        <w:t>草原的恢复费为</w:t>
      </w:r>
      <w:r>
        <w:rPr>
          <w:rFonts w:ascii="Times New Roman" w:hAnsi="Times New Roman" w:hint="eastAsia"/>
        </w:rPr>
        <w:t>18</w:t>
      </w:r>
      <w:r>
        <w:rPr>
          <w:rFonts w:ascii="Times New Roman" w:hAnsi="Times New Roman"/>
        </w:rPr>
        <w:t>00</w:t>
      </w:r>
      <w:r>
        <w:rPr>
          <w:rFonts w:ascii="Times New Roman" w:hAnsi="Times New Roman"/>
        </w:rPr>
        <w:t>元</w:t>
      </w:r>
      <w:r>
        <w:rPr>
          <w:rFonts w:ascii="Times New Roman" w:hAnsi="Times New Roman"/>
        </w:rPr>
        <w:t>/</w:t>
      </w:r>
      <w:r>
        <w:rPr>
          <w:rFonts w:ascii="Times New Roman" w:hAnsi="Times New Roman"/>
        </w:rPr>
        <w:t>亩。草原植被恢复费的使用应按照</w:t>
      </w:r>
      <w:r>
        <w:rPr>
          <w:rFonts w:ascii="Times New Roman" w:hAnsi="Times New Roman" w:hint="eastAsia"/>
        </w:rPr>
        <w:t>“</w:t>
      </w:r>
      <w:r>
        <w:rPr>
          <w:rFonts w:ascii="Times New Roman" w:hAnsi="Times New Roman"/>
        </w:rPr>
        <w:t>取之于草、用之于草、统筹使用</w:t>
      </w:r>
      <w:r>
        <w:rPr>
          <w:rFonts w:ascii="Times New Roman" w:hAnsi="Times New Roman" w:hint="eastAsia"/>
        </w:rPr>
        <w:t>”</w:t>
      </w:r>
      <w:r>
        <w:rPr>
          <w:rFonts w:ascii="Times New Roman" w:hAnsi="Times New Roman"/>
        </w:rPr>
        <w:t>的原则，</w:t>
      </w:r>
      <w:r>
        <w:rPr>
          <w:rFonts w:ascii="Times New Roman" w:hAnsi="Times New Roman" w:hint="eastAsia"/>
        </w:rPr>
        <w:t>由该部门按比例</w:t>
      </w:r>
      <w:r>
        <w:rPr>
          <w:rFonts w:ascii="Times New Roman" w:hAnsi="Times New Roman"/>
        </w:rPr>
        <w:t>用于草原保护和植被恢复</w:t>
      </w:r>
      <w:r>
        <w:rPr>
          <w:rFonts w:ascii="Times New Roman" w:hAnsi="Times New Roman" w:hint="eastAsia"/>
        </w:rPr>
        <w:t>。</w:t>
      </w:r>
    </w:p>
    <w:p w14:paraId="5A24FD3D" w14:textId="77777777" w:rsidR="009C353B" w:rsidRDefault="00000000">
      <w:pPr>
        <w:pStyle w:val="third"/>
        <w:adjustRightInd w:val="0"/>
        <w:snapToGrid w:val="0"/>
        <w:spacing w:before="0" w:after="0" w:line="440" w:lineRule="exact"/>
        <w:rPr>
          <w:rFonts w:ascii="Times New Roman" w:hAnsi="Times New Roman"/>
        </w:rPr>
      </w:pPr>
      <w:r>
        <w:rPr>
          <w:rFonts w:ascii="Times New Roman" w:hAnsi="Times New Roman" w:hint="eastAsia"/>
        </w:rPr>
        <w:t>9</w:t>
      </w:r>
      <w:r>
        <w:rPr>
          <w:rFonts w:ascii="Times New Roman" w:hAnsi="Times New Roman"/>
        </w:rPr>
        <w:t xml:space="preserve">.1.6 </w:t>
      </w:r>
      <w:r>
        <w:rPr>
          <w:rFonts w:ascii="Times New Roman" w:hAnsi="Times New Roman"/>
        </w:rPr>
        <w:t>生态环境管理和监控计划</w:t>
      </w:r>
    </w:p>
    <w:p w14:paraId="5813E0E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生态环境管理和监控是政府环境保护机构依据国家和地方制订的有关自然资源和生态保护的法律、法规、条例、技术规范、标准等所进行的行政工作，应成为本项目日常工作的一个重要组成部分。因此矿区相关部门应加强对采煤沉陷的观测和调查，为采取保护措施提供基础数据。</w:t>
      </w:r>
    </w:p>
    <w:p w14:paraId="0DA8E727"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w:t>
      </w:r>
      <w:r>
        <w:rPr>
          <w:rFonts w:ascii="Times New Roman" w:hAnsi="Times New Roman"/>
          <w:szCs w:val="24"/>
        </w:rPr>
        <w:t>矿区须</w:t>
      </w:r>
      <w:r>
        <w:rPr>
          <w:rFonts w:ascii="Times New Roman" w:hAnsi="Times New Roman" w:hint="eastAsia"/>
        </w:rPr>
        <w:t>结合各矿情况，</w:t>
      </w:r>
      <w:r>
        <w:rPr>
          <w:rFonts w:ascii="Times New Roman" w:hAnsi="Times New Roman"/>
          <w:szCs w:val="24"/>
        </w:rPr>
        <w:t>在典型区域设置岩移观测站，长期动态观测采煤后地表沉陷相关参数，为将来能够准确预测沉陷的影响和采取预防治理措施提供基础数据。</w:t>
      </w:r>
    </w:p>
    <w:p w14:paraId="23B86ABB"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w:t>
      </w:r>
      <w:r>
        <w:rPr>
          <w:rFonts w:ascii="Times New Roman" w:hAnsi="Times New Roman"/>
          <w:szCs w:val="24"/>
        </w:rPr>
        <w:t>矿区应对采煤沉陷后的影响进行定期的调查，并建立采煤沉陷影响调查档案。</w:t>
      </w:r>
    </w:p>
    <w:p w14:paraId="74E35E2C" w14:textId="77777777" w:rsidR="009C353B" w:rsidRDefault="00000000">
      <w:pPr>
        <w:spacing w:line="440" w:lineRule="exact"/>
        <w:ind w:firstLineChars="200" w:firstLine="480"/>
        <w:rPr>
          <w:rFonts w:ascii="Times New Roman" w:hAnsi="Times New Roman"/>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w:t>
      </w:r>
      <w:r>
        <w:rPr>
          <w:rFonts w:ascii="Times New Roman" w:hAnsi="Times New Roman"/>
          <w:szCs w:val="24"/>
        </w:rPr>
        <w:t>地方环保部门应加强矿区采煤沉陷治理工作的监督管理。</w:t>
      </w:r>
    </w:p>
    <w:p w14:paraId="51A0C0CF" w14:textId="77777777" w:rsidR="009C353B" w:rsidRDefault="00000000">
      <w:pPr>
        <w:pStyle w:val="2"/>
        <w:snapToGrid w:val="0"/>
        <w:spacing w:before="320" w:after="240" w:line="440" w:lineRule="atLeast"/>
        <w:rPr>
          <w:rFonts w:ascii="Times New Roman" w:eastAsia="宋体" w:hAnsi="Times New Roman"/>
          <w:b/>
          <w:sz w:val="28"/>
        </w:rPr>
      </w:pPr>
      <w:bookmarkStart w:id="355" w:name="_Toc163441031"/>
      <w:bookmarkStart w:id="356" w:name="_Toc59189873"/>
      <w:r>
        <w:rPr>
          <w:rFonts w:ascii="Times New Roman" w:eastAsia="宋体" w:hAnsi="Times New Roman" w:hint="eastAsia"/>
          <w:b/>
          <w:sz w:val="28"/>
        </w:rPr>
        <w:t>9.</w:t>
      </w:r>
      <w:r>
        <w:rPr>
          <w:rFonts w:ascii="Times New Roman" w:eastAsia="宋体" w:hAnsi="Times New Roman"/>
          <w:b/>
          <w:sz w:val="28"/>
        </w:rPr>
        <w:t xml:space="preserve">2 </w:t>
      </w:r>
      <w:r>
        <w:rPr>
          <w:rFonts w:ascii="Times New Roman" w:eastAsia="宋体" w:hAnsi="Times New Roman"/>
          <w:b/>
          <w:sz w:val="28"/>
        </w:rPr>
        <w:t>矿区大气污染控制措施</w:t>
      </w:r>
      <w:bookmarkEnd w:id="355"/>
      <w:bookmarkEnd w:id="356"/>
    </w:p>
    <w:p w14:paraId="1F11A4BC" w14:textId="77777777" w:rsidR="009C353B" w:rsidRDefault="00000000">
      <w:pPr>
        <w:pStyle w:val="third"/>
        <w:adjustRightInd w:val="0"/>
        <w:snapToGrid w:val="0"/>
        <w:spacing w:before="0" w:after="0" w:line="440" w:lineRule="exact"/>
        <w:rPr>
          <w:rFonts w:ascii="Times New Roman" w:hAnsi="Times New Roman"/>
        </w:rPr>
      </w:pPr>
      <w:bookmarkStart w:id="357" w:name="_Toc128277952"/>
      <w:bookmarkStart w:id="358" w:name="_Toc156189135"/>
      <w:bookmarkStart w:id="359" w:name="_Toc125192865"/>
      <w:r>
        <w:rPr>
          <w:rFonts w:ascii="Times New Roman" w:hAnsi="Times New Roman" w:hint="eastAsia"/>
        </w:rPr>
        <w:t>9.</w:t>
      </w:r>
      <w:r>
        <w:rPr>
          <w:rFonts w:ascii="Times New Roman" w:hAnsi="Times New Roman"/>
        </w:rPr>
        <w:t>2.</w:t>
      </w:r>
      <w:r>
        <w:rPr>
          <w:rFonts w:ascii="Times New Roman" w:hAnsi="Times New Roman" w:hint="eastAsia"/>
        </w:rPr>
        <w:t>1</w:t>
      </w:r>
      <w:r>
        <w:rPr>
          <w:rFonts w:ascii="Times New Roman" w:hAnsi="Times New Roman"/>
        </w:rPr>
        <w:t xml:space="preserve"> </w:t>
      </w:r>
      <w:r>
        <w:rPr>
          <w:rFonts w:ascii="Times New Roman"/>
        </w:rPr>
        <w:t>集中供热</w:t>
      </w:r>
      <w:bookmarkEnd w:id="357"/>
      <w:bookmarkEnd w:id="358"/>
      <w:bookmarkEnd w:id="359"/>
      <w:r>
        <w:rPr>
          <w:rFonts w:ascii="Times New Roman" w:hint="eastAsia"/>
        </w:rPr>
        <w:t>措施</w:t>
      </w:r>
    </w:p>
    <w:p w14:paraId="02E98A7B" w14:textId="77777777" w:rsidR="009C353B" w:rsidRDefault="00000000">
      <w:pPr>
        <w:adjustRightInd w:val="0"/>
        <w:snapToGrid w:val="0"/>
        <w:spacing w:line="440" w:lineRule="exact"/>
        <w:ind w:firstLineChars="200" w:firstLine="480"/>
        <w:rPr>
          <w:rFonts w:ascii="Times New Roman" w:hint="eastAsia"/>
        </w:rPr>
      </w:pPr>
      <w:r>
        <w:rPr>
          <w:rFonts w:ascii="Times New Roman"/>
        </w:rPr>
        <w:t>横城矿区内</w:t>
      </w:r>
      <w:r>
        <w:rPr>
          <w:rFonts w:ascii="Times New Roman" w:hint="eastAsia"/>
        </w:rPr>
        <w:t>马莲台煤矿、红石湾煤矿、任家庄煤矿为已建成运行煤矿，其中马莲台煤矿采用临河</w:t>
      </w:r>
      <w:r>
        <w:rPr>
          <w:rFonts w:ascii="Times New Roman"/>
        </w:rPr>
        <w:t>工业园区</w:t>
      </w:r>
      <w:r>
        <w:rPr>
          <w:rFonts w:ascii="Times New Roman" w:hint="eastAsia"/>
        </w:rPr>
        <w:t>甲醇厂</w:t>
      </w:r>
      <w:r>
        <w:rPr>
          <w:rFonts w:ascii="Times New Roman" w:hint="eastAsia"/>
        </w:rPr>
        <w:t>5</w:t>
      </w:r>
      <w:r>
        <w:rPr>
          <w:rFonts w:ascii="Times New Roman" w:hint="eastAsia"/>
        </w:rPr>
        <w:t>×</w:t>
      </w:r>
      <w:r>
        <w:rPr>
          <w:rFonts w:ascii="Times New Roman" w:hint="eastAsia"/>
        </w:rPr>
        <w:t>25MW</w:t>
      </w:r>
      <w:r>
        <w:rPr>
          <w:rFonts w:ascii="Times New Roman" w:hint="eastAsia"/>
        </w:rPr>
        <w:t>自备热电站</w:t>
      </w:r>
      <w:r>
        <w:rPr>
          <w:rFonts w:ascii="Times New Roman"/>
        </w:rPr>
        <w:t>供热</w:t>
      </w:r>
      <w:r>
        <w:rPr>
          <w:rFonts w:ascii="Times New Roman" w:hint="eastAsia"/>
        </w:rPr>
        <w:t>，红石湾煤矿采用银川中科环保电力有限公司生活垃圾焚烧发电厂余热供热，任家庄煤矿设置独立燃气锅炉房作为矿井供热热源，拟建丁家梁煤矿设置独立燃气锅炉房作为矿井供热热源。</w:t>
      </w:r>
    </w:p>
    <w:p w14:paraId="54723D6A" w14:textId="77777777" w:rsidR="009C353B" w:rsidRDefault="00000000">
      <w:pPr>
        <w:pStyle w:val="third"/>
        <w:adjustRightInd w:val="0"/>
        <w:snapToGrid w:val="0"/>
        <w:spacing w:before="0" w:after="0" w:line="440" w:lineRule="exact"/>
        <w:rPr>
          <w:rFonts w:ascii="Times New Roman" w:hAnsi="Times New Roman"/>
        </w:rPr>
      </w:pPr>
      <w:bookmarkStart w:id="360" w:name="_Toc156189136"/>
      <w:bookmarkStart w:id="361" w:name="_Toc128277953"/>
      <w:bookmarkStart w:id="362" w:name="_Toc125192863"/>
      <w:r>
        <w:rPr>
          <w:rFonts w:ascii="Times New Roman" w:hAnsi="Times New Roman" w:hint="eastAsia"/>
        </w:rPr>
        <w:t>9.</w:t>
      </w:r>
      <w:r>
        <w:rPr>
          <w:rFonts w:ascii="Times New Roman" w:hAnsi="Times New Roman"/>
        </w:rPr>
        <w:t>2.2</w:t>
      </w:r>
      <w:r>
        <w:rPr>
          <w:rFonts w:ascii="Times New Roman" w:hint="eastAsia"/>
        </w:rPr>
        <w:t xml:space="preserve"> </w:t>
      </w:r>
      <w:r>
        <w:rPr>
          <w:rFonts w:ascii="Times New Roman" w:hint="eastAsia"/>
        </w:rPr>
        <w:t>煤矿环境空气污染控制措施</w:t>
      </w:r>
      <w:bookmarkEnd w:id="360"/>
      <w:bookmarkEnd w:id="361"/>
      <w:bookmarkEnd w:id="362"/>
    </w:p>
    <w:p w14:paraId="3DAAF63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szCs w:val="24"/>
        </w:rPr>
        <w:t>矿区煤矿</w:t>
      </w:r>
      <w:r>
        <w:rPr>
          <w:rFonts w:ascii="Times New Roman"/>
        </w:rPr>
        <w:t>大气污染</w:t>
      </w:r>
      <w:r>
        <w:rPr>
          <w:rFonts w:ascii="Times New Roman" w:hint="eastAsia"/>
        </w:rPr>
        <w:t>污染物</w:t>
      </w:r>
      <w:r>
        <w:rPr>
          <w:rFonts w:ascii="Times New Roman"/>
        </w:rPr>
        <w:t>为粉尘，</w:t>
      </w:r>
      <w:r>
        <w:rPr>
          <w:rFonts w:ascii="Times New Roman" w:hAnsi="Times New Roman"/>
          <w:szCs w:val="24"/>
        </w:rPr>
        <w:t>主要</w:t>
      </w:r>
      <w:r>
        <w:rPr>
          <w:rFonts w:ascii="Times New Roman"/>
        </w:rPr>
        <w:t>来源于煤炭储存、场内输送以及选煤厂筛分破碎车间和洗选车间等，</w:t>
      </w:r>
      <w:r>
        <w:rPr>
          <w:rFonts w:ascii="Times New Roman" w:hAnsi="Times New Roman"/>
          <w:szCs w:val="24"/>
        </w:rPr>
        <w:t>另外场地锅炉烟气排放也会对大气环境造成一定的影响。</w:t>
      </w:r>
    </w:p>
    <w:p w14:paraId="62B432E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SO</w:t>
      </w:r>
      <w:r>
        <w:rPr>
          <w:rFonts w:ascii="Times New Roman" w:hAnsi="Times New Roman"/>
          <w:vertAlign w:val="subscript"/>
        </w:rPr>
        <w:t>2</w:t>
      </w:r>
      <w:r>
        <w:rPr>
          <w:rFonts w:ascii="Times New Roman" w:hAnsi="Times New Roman"/>
        </w:rPr>
        <w:t>防治措施</w:t>
      </w:r>
    </w:p>
    <w:p w14:paraId="3611DE7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szCs w:val="24"/>
        </w:rPr>
        <w:t>本矿区任家庄煤矿工业场地锅炉房采用燃气锅炉</w:t>
      </w:r>
      <w:r>
        <w:rPr>
          <w:rFonts w:ascii="Times New Roman" w:hAnsi="Times New Roman" w:hint="eastAsia"/>
          <w:szCs w:val="24"/>
        </w:rPr>
        <w:t>，烟气中</w:t>
      </w:r>
      <w:r>
        <w:rPr>
          <w:rFonts w:ascii="Times New Roman" w:hAnsi="Times New Roman"/>
          <w:szCs w:val="24"/>
        </w:rPr>
        <w:t>SO</w:t>
      </w:r>
      <w:r>
        <w:rPr>
          <w:rFonts w:ascii="Times New Roman" w:hAnsi="Times New Roman"/>
          <w:szCs w:val="24"/>
          <w:vertAlign w:val="subscript"/>
        </w:rPr>
        <w:t>2</w:t>
      </w:r>
      <w:r>
        <w:rPr>
          <w:rFonts w:ascii="Times New Roman" w:hAnsi="Times New Roman"/>
          <w:szCs w:val="24"/>
        </w:rPr>
        <w:t>产生量很少</w:t>
      </w:r>
      <w:r>
        <w:rPr>
          <w:rFonts w:ascii="Times New Roman" w:hAnsi="Times New Roman" w:hint="eastAsia"/>
          <w:szCs w:val="24"/>
        </w:rPr>
        <w:t>，因此锅炉</w:t>
      </w:r>
      <w:r>
        <w:rPr>
          <w:rFonts w:ascii="Times New Roman" w:hAnsi="Times New Roman" w:hint="eastAsia"/>
          <w:szCs w:val="24"/>
        </w:rPr>
        <w:t>SO</w:t>
      </w:r>
      <w:r>
        <w:rPr>
          <w:rFonts w:ascii="Times New Roman" w:hAnsi="Times New Roman" w:hint="eastAsia"/>
          <w:szCs w:val="24"/>
          <w:vertAlign w:val="subscript"/>
        </w:rPr>
        <w:t>2</w:t>
      </w:r>
      <w:r>
        <w:rPr>
          <w:rFonts w:ascii="Times New Roman" w:hAnsi="Times New Roman" w:hint="eastAsia"/>
          <w:szCs w:val="24"/>
        </w:rPr>
        <w:t>不会对周边大气环境造成较大影响</w:t>
      </w:r>
      <w:r>
        <w:rPr>
          <w:rFonts w:ascii="Times New Roman" w:hAnsi="Times New Roman"/>
          <w:szCs w:val="24"/>
        </w:rPr>
        <w:t>。</w:t>
      </w:r>
    </w:p>
    <w:p w14:paraId="668FB864"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hint="eastAsia"/>
        </w:rPr>
        <w:t>颗粒物</w:t>
      </w:r>
      <w:r>
        <w:rPr>
          <w:rFonts w:ascii="Times New Roman" w:hAnsi="Times New Roman"/>
        </w:rPr>
        <w:t>防治措施</w:t>
      </w:r>
    </w:p>
    <w:p w14:paraId="32A1D3A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煤矿排放</w:t>
      </w:r>
      <w:r>
        <w:rPr>
          <w:rFonts w:ascii="Times New Roman" w:hAnsi="Times New Roman" w:hint="eastAsia"/>
          <w:szCs w:val="24"/>
        </w:rPr>
        <w:t>颗粒物</w:t>
      </w:r>
      <w:r>
        <w:rPr>
          <w:rFonts w:ascii="Times New Roman" w:hAnsi="Times New Roman"/>
          <w:szCs w:val="24"/>
        </w:rPr>
        <w:t>来自锅炉烟气排放、物料输送、煤炭洗选筛分、排</w:t>
      </w:r>
      <w:r>
        <w:rPr>
          <w:rFonts w:ascii="Times New Roman" w:hAnsi="Times New Roman" w:hint="eastAsia"/>
          <w:szCs w:val="24"/>
        </w:rPr>
        <w:t>矸</w:t>
      </w:r>
      <w:r>
        <w:rPr>
          <w:rFonts w:ascii="Times New Roman" w:hAnsi="Times New Roman"/>
          <w:szCs w:val="24"/>
        </w:rPr>
        <w:t>场和储煤场</w:t>
      </w:r>
      <w:r>
        <w:rPr>
          <w:rFonts w:ascii="Times New Roman" w:hAnsi="Times New Roman" w:hint="eastAsia"/>
          <w:szCs w:val="24"/>
        </w:rPr>
        <w:t>，</w:t>
      </w:r>
      <w:r>
        <w:rPr>
          <w:rFonts w:ascii="Times New Roman" w:hAnsi="Times New Roman"/>
          <w:szCs w:val="24"/>
        </w:rPr>
        <w:t>矿区任家庄煤矿和丁家梁煤矿工业场地采用燃</w:t>
      </w:r>
      <w:r>
        <w:rPr>
          <w:rFonts w:ascii="Times New Roman" w:hAnsi="Times New Roman" w:hint="eastAsia"/>
          <w:szCs w:val="24"/>
        </w:rPr>
        <w:t>气</w:t>
      </w:r>
      <w:r>
        <w:rPr>
          <w:rFonts w:ascii="Times New Roman" w:hAnsi="Times New Roman"/>
          <w:szCs w:val="24"/>
        </w:rPr>
        <w:t>锅炉供热</w:t>
      </w:r>
      <w:r>
        <w:rPr>
          <w:rFonts w:ascii="Times New Roman" w:hAnsi="Times New Roman" w:hint="eastAsia"/>
          <w:szCs w:val="24"/>
        </w:rPr>
        <w:t>，烟气中颗粒物产生量很少，因此本矿区颗粒物</w:t>
      </w:r>
      <w:r>
        <w:rPr>
          <w:rFonts w:ascii="Times New Roman" w:hAnsi="Times New Roman"/>
          <w:szCs w:val="24"/>
        </w:rPr>
        <w:t>主要来自物料输送、煤炭洗选筛分、排</w:t>
      </w:r>
      <w:r>
        <w:rPr>
          <w:rFonts w:ascii="Times New Roman" w:hAnsi="Times New Roman" w:hint="eastAsia"/>
          <w:szCs w:val="24"/>
        </w:rPr>
        <w:t>矸</w:t>
      </w:r>
      <w:r>
        <w:rPr>
          <w:rFonts w:ascii="Times New Roman" w:hAnsi="Times New Roman"/>
          <w:szCs w:val="24"/>
        </w:rPr>
        <w:t>场和储煤场</w:t>
      </w:r>
      <w:r>
        <w:rPr>
          <w:rFonts w:ascii="Times New Roman" w:hAnsi="Times New Roman" w:hint="eastAsia"/>
          <w:szCs w:val="24"/>
        </w:rPr>
        <w:t>。</w:t>
      </w:r>
    </w:p>
    <w:p w14:paraId="0540B8A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szCs w:val="24"/>
        </w:rPr>
        <w:t>根据</w:t>
      </w:r>
      <w:r>
        <w:rPr>
          <w:rFonts w:ascii="Times New Roman" w:hAnsi="Times New Roman" w:hint="eastAsia"/>
          <w:szCs w:val="24"/>
        </w:rPr>
        <w:t>4.2.1</w:t>
      </w:r>
      <w:r>
        <w:rPr>
          <w:rFonts w:ascii="Times New Roman" w:hAnsi="Times New Roman" w:hint="eastAsia"/>
          <w:szCs w:val="24"/>
        </w:rPr>
        <w:t>小节对矿区已生产煤矿大气无组织排放源控制措施的描述，以及对工业场地、排矸场厂界无组织大气污染物排放的监测可知，已生产煤矿的粉尘防治措施有效。类比分析，本次评价对拟建丁家梁煤矿的无组织污染物控制提出：</w:t>
      </w:r>
      <w:r>
        <w:rPr>
          <w:rFonts w:ascii="Times New Roman" w:hAnsi="Times New Roman"/>
          <w:szCs w:val="24"/>
        </w:rPr>
        <w:t>煤矿内煤炭输送及转载点均应在封闭建筑内，运输车辆加密封罩，运输道路采用洒水措施抑尘</w:t>
      </w:r>
      <w:r>
        <w:rPr>
          <w:rFonts w:ascii="Times New Roman" w:hAnsi="Times New Roman" w:hint="eastAsia"/>
          <w:szCs w:val="24"/>
        </w:rPr>
        <w:t>，</w:t>
      </w:r>
      <w:r>
        <w:rPr>
          <w:rFonts w:ascii="Times New Roman" w:hAnsi="Times New Roman"/>
          <w:szCs w:val="24"/>
        </w:rPr>
        <w:t>在产生大量煤尘的筛分破碎车间设集气罩和除尘系统除尘</w:t>
      </w:r>
      <w:r>
        <w:rPr>
          <w:rFonts w:ascii="Times New Roman" w:hAnsi="Times New Roman" w:hint="eastAsia"/>
          <w:szCs w:val="24"/>
        </w:rPr>
        <w:t>，</w:t>
      </w:r>
      <w:r>
        <w:rPr>
          <w:rFonts w:ascii="Times New Roman" w:hAnsi="Times New Roman"/>
          <w:szCs w:val="24"/>
        </w:rPr>
        <w:t>各煤矿原煤、产品煤等均设置密闭式筒仓等储存设施储存，做到不露天、不落地、密闭贮运，</w:t>
      </w:r>
      <w:bookmarkStart w:id="363" w:name="_Hlk62121376"/>
      <w:r>
        <w:rPr>
          <w:rFonts w:ascii="Times New Roman" w:hAnsi="Times New Roman"/>
          <w:szCs w:val="24"/>
        </w:rPr>
        <w:t>禁止建设露天储煤场，并控制储煤设施周边粉尘浓度在</w:t>
      </w:r>
      <w:r>
        <w:rPr>
          <w:rFonts w:ascii="Times New Roman" w:hAnsi="Times New Roman"/>
          <w:szCs w:val="24"/>
        </w:rPr>
        <w:t>1mg/m</w:t>
      </w:r>
      <w:r>
        <w:rPr>
          <w:rFonts w:ascii="Times New Roman" w:hAnsi="Times New Roman"/>
          <w:szCs w:val="24"/>
          <w:vertAlign w:val="superscript"/>
        </w:rPr>
        <w:t>3</w:t>
      </w:r>
      <w:r>
        <w:rPr>
          <w:rFonts w:ascii="Times New Roman" w:hAnsi="Times New Roman"/>
          <w:szCs w:val="24"/>
        </w:rPr>
        <w:t>之内</w:t>
      </w:r>
      <w:r>
        <w:rPr>
          <w:rFonts w:ascii="Times New Roman" w:hAnsi="Times New Roman" w:hint="eastAsia"/>
          <w:szCs w:val="24"/>
        </w:rPr>
        <w:t>，</w:t>
      </w:r>
      <w:r>
        <w:rPr>
          <w:rFonts w:ascii="Times New Roman" w:hAnsi="Times New Roman"/>
          <w:szCs w:val="24"/>
        </w:rPr>
        <w:t>对排矸场加强洒水降尘措施。</w:t>
      </w:r>
      <w:bookmarkEnd w:id="363"/>
    </w:p>
    <w:p w14:paraId="1EF7DCF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w:t>
      </w:r>
      <w:r>
        <w:rPr>
          <w:rFonts w:ascii="Times New Roman" w:hAnsi="Times New Roman" w:hint="eastAsia"/>
          <w:szCs w:val="24"/>
        </w:rPr>
        <w:t>NOx</w:t>
      </w:r>
      <w:r>
        <w:rPr>
          <w:rFonts w:ascii="Times New Roman" w:hAnsi="Times New Roman" w:hint="eastAsia"/>
          <w:szCs w:val="24"/>
        </w:rPr>
        <w:t>防治措施</w:t>
      </w:r>
    </w:p>
    <w:p w14:paraId="25E4DFD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szCs w:val="24"/>
        </w:rPr>
        <w:t>煤矿排放</w:t>
      </w:r>
      <w:r>
        <w:rPr>
          <w:rFonts w:ascii="Times New Roman" w:hAnsi="Times New Roman" w:hint="eastAsia"/>
          <w:szCs w:val="24"/>
        </w:rPr>
        <w:t>NOx</w:t>
      </w:r>
      <w:r>
        <w:rPr>
          <w:rFonts w:ascii="Times New Roman" w:hAnsi="Times New Roman"/>
          <w:szCs w:val="24"/>
        </w:rPr>
        <w:t>主要来自已运行任家庄锅炉和拟建丁家梁锅炉的烟气排放</w:t>
      </w:r>
      <w:r>
        <w:rPr>
          <w:rFonts w:ascii="Times New Roman" w:hAnsi="Times New Roman" w:hint="eastAsia"/>
          <w:szCs w:val="24"/>
        </w:rPr>
        <w:t>，任家庄</w:t>
      </w:r>
      <w:r>
        <w:rPr>
          <w:rFonts w:ascii="Times New Roman" w:hAnsi="Times New Roman"/>
          <w:szCs w:val="24"/>
        </w:rPr>
        <w:t>煤矿工业场地燃</w:t>
      </w:r>
      <w:r>
        <w:rPr>
          <w:rFonts w:ascii="Times New Roman" w:hAnsi="Times New Roman" w:hint="eastAsia"/>
          <w:szCs w:val="24"/>
        </w:rPr>
        <w:t>气</w:t>
      </w:r>
      <w:r>
        <w:rPr>
          <w:rFonts w:ascii="Times New Roman" w:hAnsi="Times New Roman"/>
          <w:szCs w:val="24"/>
        </w:rPr>
        <w:t>锅炉</w:t>
      </w:r>
      <w:r>
        <w:rPr>
          <w:rFonts w:ascii="Times New Roman" w:hAnsi="Times New Roman" w:hint="eastAsia"/>
          <w:szCs w:val="24"/>
        </w:rPr>
        <w:t>采用</w:t>
      </w:r>
      <w:r>
        <w:rPr>
          <w:rFonts w:ascii="Times New Roman" w:hAnsi="Times New Roman"/>
          <w:szCs w:val="24"/>
        </w:rPr>
        <w:t>低氮燃烧</w:t>
      </w:r>
      <w:r>
        <w:rPr>
          <w:rFonts w:ascii="Times New Roman" w:hAnsi="Times New Roman" w:hint="eastAsia"/>
          <w:szCs w:val="24"/>
        </w:rPr>
        <w:t>措施，根据锅炉烟气监测结果，任家庄</w:t>
      </w:r>
      <w:r>
        <w:rPr>
          <w:rFonts w:ascii="Times New Roman" w:hAnsi="Times New Roman"/>
          <w:szCs w:val="24"/>
        </w:rPr>
        <w:t>煤矿锅炉烟气中的</w:t>
      </w:r>
      <w:r>
        <w:rPr>
          <w:rFonts w:ascii="Times New Roman" w:hAnsi="Times New Roman" w:hint="eastAsia"/>
          <w:szCs w:val="24"/>
        </w:rPr>
        <w:t>NOx</w:t>
      </w:r>
      <w:r>
        <w:rPr>
          <w:rFonts w:ascii="Times New Roman" w:hAnsi="Times New Roman"/>
          <w:szCs w:val="24"/>
        </w:rPr>
        <w:t>可实现达标排放</w:t>
      </w:r>
      <w:r>
        <w:rPr>
          <w:rFonts w:ascii="Times New Roman" w:hAnsi="Times New Roman" w:hint="eastAsia"/>
          <w:szCs w:val="24"/>
        </w:rPr>
        <w:t>，类比分析拟建丁家梁煤矿工业场地锅炉烟气在采取低氮燃烧措施的情况下其烟气中的</w:t>
      </w:r>
      <w:r>
        <w:rPr>
          <w:rFonts w:ascii="Times New Roman" w:hAnsi="Times New Roman" w:hint="eastAsia"/>
          <w:szCs w:val="24"/>
        </w:rPr>
        <w:t>NOx</w:t>
      </w:r>
      <w:r>
        <w:rPr>
          <w:rFonts w:ascii="Times New Roman" w:hAnsi="Times New Roman" w:hint="eastAsia"/>
          <w:szCs w:val="24"/>
        </w:rPr>
        <w:t>也</w:t>
      </w:r>
      <w:r>
        <w:rPr>
          <w:rFonts w:ascii="Times New Roman" w:hAnsi="Times New Roman"/>
          <w:szCs w:val="24"/>
        </w:rPr>
        <w:t>可实现达标排放</w:t>
      </w:r>
      <w:r>
        <w:rPr>
          <w:rFonts w:ascii="Times New Roman" w:hAnsi="Times New Roman" w:hint="eastAsia"/>
          <w:szCs w:val="24"/>
        </w:rPr>
        <w:t>。</w:t>
      </w:r>
    </w:p>
    <w:p w14:paraId="586B714D" w14:textId="77777777" w:rsidR="009C353B" w:rsidRDefault="00000000">
      <w:pPr>
        <w:pStyle w:val="2"/>
        <w:snapToGrid w:val="0"/>
        <w:spacing w:before="320" w:after="240" w:line="440" w:lineRule="atLeast"/>
        <w:rPr>
          <w:rFonts w:ascii="Times New Roman" w:eastAsia="宋体" w:hAnsi="Times New Roman"/>
          <w:b/>
          <w:sz w:val="28"/>
        </w:rPr>
      </w:pPr>
      <w:bookmarkStart w:id="364" w:name="_Toc163441032"/>
      <w:bookmarkStart w:id="365" w:name="_Toc59189874"/>
      <w:bookmarkStart w:id="366" w:name="_Toc69849939"/>
      <w:bookmarkStart w:id="367" w:name="_Toc62292065"/>
      <w:bookmarkStart w:id="368" w:name="_Toc69850429"/>
      <w:r>
        <w:rPr>
          <w:rFonts w:ascii="Times New Roman" w:eastAsia="宋体" w:hAnsi="Times New Roman" w:hint="eastAsia"/>
          <w:b/>
          <w:sz w:val="28"/>
        </w:rPr>
        <w:t>9.</w:t>
      </w:r>
      <w:r>
        <w:rPr>
          <w:rFonts w:ascii="Times New Roman" w:eastAsia="宋体" w:hAnsi="Times New Roman"/>
          <w:b/>
          <w:sz w:val="28"/>
        </w:rPr>
        <w:t xml:space="preserve">3 </w:t>
      </w:r>
      <w:r>
        <w:rPr>
          <w:rFonts w:ascii="Times New Roman" w:eastAsia="宋体" w:hAnsi="Times New Roman"/>
          <w:b/>
          <w:sz w:val="28"/>
        </w:rPr>
        <w:t>矿区水</w:t>
      </w:r>
      <w:bookmarkEnd w:id="364"/>
      <w:r>
        <w:rPr>
          <w:rFonts w:ascii="Times New Roman" w:eastAsia="宋体" w:hAnsi="Times New Roman"/>
          <w:b/>
          <w:sz w:val="28"/>
        </w:rPr>
        <w:t>环境影响控制措施</w:t>
      </w:r>
      <w:bookmarkEnd w:id="365"/>
    </w:p>
    <w:p w14:paraId="2CE67409"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9.</w:t>
      </w:r>
      <w:r>
        <w:rPr>
          <w:rFonts w:ascii="Times New Roman" w:hAnsi="Times New Roman"/>
          <w:sz w:val="24"/>
        </w:rPr>
        <w:t>3</w:t>
      </w:r>
      <w:r>
        <w:rPr>
          <w:rFonts w:ascii="Times New Roman" w:hAnsi="Times New Roman" w:hint="eastAsia"/>
          <w:sz w:val="24"/>
        </w:rPr>
        <w:t>.1</w:t>
      </w:r>
      <w:r>
        <w:rPr>
          <w:rFonts w:ascii="Times New Roman" w:hAnsi="Times New Roman"/>
          <w:sz w:val="24"/>
        </w:rPr>
        <w:t xml:space="preserve"> </w:t>
      </w:r>
      <w:r>
        <w:rPr>
          <w:rFonts w:ascii="Times New Roman" w:hAnsi="Times New Roman"/>
          <w:sz w:val="24"/>
        </w:rPr>
        <w:t>地表水环境保护措施</w:t>
      </w:r>
    </w:p>
    <w:p w14:paraId="1FFE47AD"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 xml:space="preserve">9.3.1.1 </w:t>
      </w:r>
      <w:r>
        <w:rPr>
          <w:rFonts w:ascii="Times New Roman" w:eastAsia="宋体" w:hAnsi="Times New Roman" w:hint="eastAsia"/>
          <w:sz w:val="24"/>
        </w:rPr>
        <w:t>水污染控制措施</w:t>
      </w:r>
    </w:p>
    <w:p w14:paraId="7910797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w:t>
      </w:r>
      <w:r>
        <w:rPr>
          <w:rFonts w:ascii="Times New Roman" w:hAnsi="Times New Roman"/>
          <w:szCs w:val="24"/>
        </w:rPr>
        <w:t>生活污水</w:t>
      </w:r>
    </w:p>
    <w:p w14:paraId="0811686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任家庄、马莲台、红石湾矿井为已生产矿井，任家庄、红石湾矿井均已建成生活污水处理设施，马莲台矿井生活污水处理依托宁夏宝丰能源集团股份有限公司污水处理站。规划在丁家梁工业场地建生活污水处理站</w:t>
      </w:r>
      <w:r>
        <w:rPr>
          <w:rFonts w:ascii="Times New Roman" w:hAnsi="Times New Roman"/>
          <w:szCs w:val="24"/>
        </w:rPr>
        <w:t>1</w:t>
      </w:r>
      <w:r>
        <w:rPr>
          <w:rFonts w:ascii="Times New Roman" w:hAnsi="Times New Roman" w:hint="eastAsia"/>
          <w:szCs w:val="24"/>
        </w:rPr>
        <w:t>座，采用二级处理和深度处理回用。各矿生活污水处理设施情况见表</w:t>
      </w:r>
      <w:r>
        <w:rPr>
          <w:rFonts w:ascii="Times New Roman" w:hAnsi="Times New Roman"/>
          <w:szCs w:val="24"/>
        </w:rPr>
        <w:t>9.3-1</w:t>
      </w:r>
      <w:r>
        <w:rPr>
          <w:rFonts w:ascii="Times New Roman" w:hAnsi="Times New Roman" w:hint="eastAsia"/>
          <w:szCs w:val="24"/>
        </w:rPr>
        <w:t>。</w:t>
      </w:r>
    </w:p>
    <w:p w14:paraId="1EDE457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矿区各矿井生活污水均全部综合利用，不外排。</w:t>
      </w:r>
    </w:p>
    <w:p w14:paraId="501B426A"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hint="eastAsia"/>
          <w:b/>
          <w:szCs w:val="24"/>
        </w:rPr>
        <w:t>各矿井生活污水处理设施情况及排放去向</w:t>
      </w:r>
    </w:p>
    <w:p w14:paraId="40CFBD17" w14:textId="77777777" w:rsidR="009C353B" w:rsidRDefault="00000000">
      <w:pPr>
        <w:pStyle w:val="affffd"/>
        <w:spacing w:line="440" w:lineRule="exact"/>
        <w:rPr>
          <w:rFonts w:ascii="Times New Roman" w:hint="eastAsia"/>
        </w:rPr>
      </w:pPr>
      <w:r>
        <w:rPr>
          <w:rFonts w:ascii="Times New Roman"/>
        </w:rPr>
        <w:t>表</w:t>
      </w:r>
      <w:r>
        <w:rPr>
          <w:rFonts w:ascii="Times New Roman" w:hint="eastAsia"/>
        </w:rPr>
        <w:t>9.3-1</w:t>
      </w:r>
    </w:p>
    <w:tbl>
      <w:tblPr>
        <w:tblStyle w:val="afffffffffffffffffffffff6"/>
        <w:tblW w:w="5000" w:type="pct"/>
        <w:tblLook w:val="04A0" w:firstRow="1" w:lastRow="0" w:firstColumn="1" w:lastColumn="0" w:noHBand="0" w:noVBand="1"/>
      </w:tblPr>
      <w:tblGrid>
        <w:gridCol w:w="643"/>
        <w:gridCol w:w="1191"/>
        <w:gridCol w:w="3523"/>
        <w:gridCol w:w="3497"/>
        <w:gridCol w:w="433"/>
      </w:tblGrid>
      <w:tr w:rsidR="009C353B" w14:paraId="35191082" w14:textId="77777777">
        <w:trPr>
          <w:trHeight w:val="340"/>
        </w:trPr>
        <w:tc>
          <w:tcPr>
            <w:tcW w:w="346" w:type="pct"/>
          </w:tcPr>
          <w:p w14:paraId="7C95FA5C" w14:textId="77777777" w:rsidR="009C353B" w:rsidRDefault="00000000">
            <w:pPr>
              <w:jc w:val="center"/>
              <w:rPr>
                <w:rFonts w:ascii="Times New Roman" w:hAnsi="Times New Roman"/>
                <w:sz w:val="21"/>
                <w:szCs w:val="21"/>
              </w:rPr>
            </w:pPr>
            <w:r>
              <w:rPr>
                <w:rFonts w:ascii="Times New Roman" w:hAnsi="Times New Roman"/>
                <w:sz w:val="21"/>
                <w:szCs w:val="21"/>
              </w:rPr>
              <w:t>名称</w:t>
            </w:r>
          </w:p>
        </w:tc>
        <w:tc>
          <w:tcPr>
            <w:tcW w:w="641" w:type="pct"/>
          </w:tcPr>
          <w:p w14:paraId="20B2A7EA" w14:textId="77777777" w:rsidR="009C353B" w:rsidRDefault="00000000">
            <w:pPr>
              <w:jc w:val="center"/>
              <w:rPr>
                <w:rFonts w:ascii="Times New Roman" w:hAnsi="Times New Roman"/>
                <w:sz w:val="21"/>
                <w:szCs w:val="21"/>
              </w:rPr>
            </w:pPr>
            <w:r>
              <w:rPr>
                <w:rFonts w:ascii="Times New Roman" w:hAnsi="Times New Roman"/>
                <w:sz w:val="21"/>
                <w:szCs w:val="21"/>
              </w:rPr>
              <w:t>产生量</w:t>
            </w:r>
          </w:p>
        </w:tc>
        <w:tc>
          <w:tcPr>
            <w:tcW w:w="1897" w:type="pct"/>
          </w:tcPr>
          <w:p w14:paraId="00E085AB" w14:textId="77777777" w:rsidR="009C353B" w:rsidRDefault="00000000">
            <w:pPr>
              <w:rPr>
                <w:rFonts w:ascii="Times New Roman" w:hAnsi="Times New Roman"/>
                <w:sz w:val="21"/>
                <w:szCs w:val="21"/>
              </w:rPr>
            </w:pPr>
            <w:r>
              <w:rPr>
                <w:rFonts w:ascii="Times New Roman" w:hAnsi="Times New Roman"/>
                <w:sz w:val="21"/>
                <w:szCs w:val="21"/>
              </w:rPr>
              <w:t>处理设施规模及处理工艺</w:t>
            </w:r>
          </w:p>
        </w:tc>
        <w:tc>
          <w:tcPr>
            <w:tcW w:w="1883" w:type="pct"/>
          </w:tcPr>
          <w:p w14:paraId="40749370" w14:textId="77777777" w:rsidR="009C353B" w:rsidRDefault="00000000">
            <w:pPr>
              <w:jc w:val="center"/>
              <w:rPr>
                <w:rFonts w:ascii="Times New Roman" w:hAnsi="Times New Roman"/>
                <w:sz w:val="21"/>
                <w:szCs w:val="21"/>
              </w:rPr>
            </w:pPr>
            <w:r>
              <w:rPr>
                <w:rFonts w:ascii="Times New Roman" w:hAnsi="Times New Roman"/>
                <w:sz w:val="21"/>
                <w:szCs w:val="21"/>
              </w:rPr>
              <w:t>去向</w:t>
            </w:r>
          </w:p>
        </w:tc>
        <w:tc>
          <w:tcPr>
            <w:tcW w:w="233" w:type="pct"/>
          </w:tcPr>
          <w:p w14:paraId="534910DF" w14:textId="77777777" w:rsidR="009C353B" w:rsidRDefault="00000000">
            <w:pPr>
              <w:rPr>
                <w:rFonts w:ascii="Times New Roman" w:hAnsi="Times New Roman"/>
                <w:sz w:val="21"/>
                <w:szCs w:val="21"/>
              </w:rPr>
            </w:pPr>
            <w:r>
              <w:rPr>
                <w:rFonts w:ascii="Times New Roman" w:hAnsi="Times New Roman"/>
                <w:sz w:val="21"/>
                <w:szCs w:val="21"/>
              </w:rPr>
              <w:t>备注</w:t>
            </w:r>
          </w:p>
        </w:tc>
      </w:tr>
      <w:tr w:rsidR="009C353B" w14:paraId="66C5A893" w14:textId="77777777">
        <w:trPr>
          <w:trHeight w:val="340"/>
        </w:trPr>
        <w:tc>
          <w:tcPr>
            <w:tcW w:w="346" w:type="pct"/>
          </w:tcPr>
          <w:p w14:paraId="1D9B085F" w14:textId="77777777" w:rsidR="009C353B" w:rsidRDefault="00000000">
            <w:pPr>
              <w:jc w:val="center"/>
              <w:rPr>
                <w:rFonts w:ascii="Times New Roman" w:hAnsi="Times New Roman"/>
                <w:sz w:val="21"/>
                <w:szCs w:val="21"/>
              </w:rPr>
            </w:pPr>
            <w:r>
              <w:rPr>
                <w:rFonts w:ascii="Times New Roman" w:hAnsi="Times New Roman"/>
                <w:sz w:val="21"/>
                <w:szCs w:val="21"/>
              </w:rPr>
              <w:t>任家庄井田</w:t>
            </w:r>
          </w:p>
        </w:tc>
        <w:tc>
          <w:tcPr>
            <w:tcW w:w="641" w:type="pct"/>
          </w:tcPr>
          <w:p w14:paraId="5F9CE061" w14:textId="77777777" w:rsidR="009C353B" w:rsidRDefault="00000000">
            <w:pPr>
              <w:jc w:val="center"/>
              <w:rPr>
                <w:rFonts w:ascii="Times New Roman" w:hAnsi="Times New Roman"/>
                <w:sz w:val="21"/>
                <w:szCs w:val="21"/>
              </w:rPr>
            </w:pPr>
            <w:r>
              <w:rPr>
                <w:rFonts w:ascii="Times New Roman" w:hAnsi="Times New Roman" w:hint="eastAsia"/>
                <w:sz w:val="21"/>
                <w:szCs w:val="21"/>
              </w:rPr>
              <w:t>177.58</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1897" w:type="pct"/>
          </w:tcPr>
          <w:p w14:paraId="2058C81A" w14:textId="77777777" w:rsidR="009C353B" w:rsidRDefault="00000000">
            <w:pPr>
              <w:rPr>
                <w:rFonts w:ascii="Times New Roman" w:hAnsi="Times New Roman"/>
                <w:sz w:val="21"/>
                <w:szCs w:val="21"/>
              </w:rPr>
            </w:pPr>
            <w:r>
              <w:rPr>
                <w:rFonts w:ascii="Times New Roman" w:hAnsi="Times New Roman"/>
                <w:sz w:val="21"/>
                <w:szCs w:val="21"/>
              </w:rPr>
              <w:t>地埋式一体化生活污水处理设备，处理能力</w:t>
            </w:r>
            <w:r>
              <w:rPr>
                <w:rFonts w:ascii="Times New Roman" w:hAnsi="Times New Roman"/>
                <w:sz w:val="21"/>
                <w:szCs w:val="21"/>
              </w:rPr>
              <w:t xml:space="preserve"> 40m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hint="eastAsia"/>
                <w:sz w:val="21"/>
                <w:szCs w:val="21"/>
              </w:rPr>
              <w:t>（</w:t>
            </w:r>
            <w:r>
              <w:rPr>
                <w:rFonts w:ascii="Times New Roman" w:hAnsi="Times New Roman" w:hint="eastAsia"/>
                <w:sz w:val="21"/>
                <w:szCs w:val="21"/>
              </w:rPr>
              <w:t>80</w:t>
            </w:r>
            <w:r>
              <w:rPr>
                <w:rFonts w:ascii="Times New Roman" w:hAnsi="Times New Roman"/>
                <w:sz w:val="21"/>
                <w:szCs w:val="21"/>
              </w:rPr>
              <w:t>0m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hint="eastAsia"/>
                <w:sz w:val="21"/>
                <w:szCs w:val="21"/>
              </w:rPr>
              <w:t>）</w:t>
            </w:r>
            <w:r>
              <w:rPr>
                <w:rFonts w:ascii="Times New Roman" w:hAnsi="Times New Roman"/>
                <w:sz w:val="21"/>
                <w:szCs w:val="21"/>
              </w:rPr>
              <w:t>，工艺为</w:t>
            </w:r>
            <w:r>
              <w:rPr>
                <w:rFonts w:ascii="Times New Roman" w:hAnsi="Times New Roman"/>
                <w:sz w:val="21"/>
                <w:szCs w:val="21"/>
              </w:rPr>
              <w:t>“</w:t>
            </w:r>
            <w:r>
              <w:rPr>
                <w:rFonts w:ascii="Times New Roman" w:hAnsi="Times New Roman"/>
                <w:sz w:val="21"/>
                <w:szCs w:val="21"/>
              </w:rPr>
              <w:t>格栅</w:t>
            </w:r>
            <w:r>
              <w:rPr>
                <w:rFonts w:ascii="Times New Roman" w:hAnsi="Times New Roman"/>
                <w:sz w:val="21"/>
                <w:szCs w:val="21"/>
              </w:rPr>
              <w:t xml:space="preserve">+A/O </w:t>
            </w:r>
            <w:r>
              <w:rPr>
                <w:rFonts w:ascii="Times New Roman" w:hAnsi="Times New Roman"/>
                <w:sz w:val="21"/>
                <w:szCs w:val="21"/>
              </w:rPr>
              <w:t>生化</w:t>
            </w:r>
            <w:r>
              <w:rPr>
                <w:rFonts w:ascii="Times New Roman" w:hAnsi="Times New Roman"/>
                <w:sz w:val="21"/>
                <w:szCs w:val="21"/>
              </w:rPr>
              <w:t>+</w:t>
            </w:r>
            <w:r>
              <w:rPr>
                <w:rFonts w:ascii="Times New Roman" w:hAnsi="Times New Roman"/>
                <w:sz w:val="21"/>
                <w:szCs w:val="21"/>
              </w:rPr>
              <w:t>沉淀</w:t>
            </w:r>
            <w:r>
              <w:rPr>
                <w:rFonts w:ascii="Times New Roman" w:hAnsi="Times New Roman"/>
                <w:sz w:val="21"/>
                <w:szCs w:val="21"/>
              </w:rPr>
              <w:t>+</w:t>
            </w:r>
            <w:r>
              <w:rPr>
                <w:rFonts w:ascii="Times New Roman" w:hAnsi="Times New Roman"/>
                <w:sz w:val="21"/>
                <w:szCs w:val="21"/>
              </w:rPr>
              <w:t>消毒</w:t>
            </w:r>
            <w:r>
              <w:rPr>
                <w:rFonts w:ascii="Times New Roman" w:hAnsi="Times New Roman"/>
                <w:sz w:val="21"/>
                <w:szCs w:val="21"/>
              </w:rPr>
              <w:t>”</w:t>
            </w:r>
            <w:r>
              <w:rPr>
                <w:rFonts w:ascii="Times New Roman" w:hAnsi="Times New Roman" w:hint="eastAsia"/>
                <w:sz w:val="21"/>
                <w:szCs w:val="21"/>
              </w:rPr>
              <w:t>；矸石场西侧</w:t>
            </w:r>
            <w:r>
              <w:rPr>
                <w:rFonts w:ascii="Times New Roman" w:hAnsi="Times New Roman"/>
                <w:sz w:val="21"/>
                <w:szCs w:val="21"/>
              </w:rPr>
              <w:t>5</w:t>
            </w:r>
            <w:r>
              <w:rPr>
                <w:rFonts w:ascii="Times New Roman" w:hAnsi="Times New Roman"/>
                <w:sz w:val="21"/>
                <w:szCs w:val="21"/>
              </w:rPr>
              <w:t>万</w:t>
            </w:r>
            <w:r>
              <w:rPr>
                <w:rFonts w:ascii="Times New Roman" w:hAnsi="Times New Roman"/>
                <w:sz w:val="21"/>
                <w:szCs w:val="21"/>
              </w:rPr>
              <w:t>m</w:t>
            </w:r>
            <w:r>
              <w:rPr>
                <w:rFonts w:ascii="Times New Roman" w:hAnsi="Times New Roman"/>
                <w:sz w:val="21"/>
                <w:szCs w:val="21"/>
                <w:vertAlign w:val="superscript"/>
              </w:rPr>
              <w:t xml:space="preserve">3 </w:t>
            </w:r>
            <w:r>
              <w:rPr>
                <w:rFonts w:ascii="Times New Roman" w:hAnsi="Times New Roman"/>
                <w:sz w:val="21"/>
                <w:szCs w:val="21"/>
              </w:rPr>
              <w:t>蓄水池</w:t>
            </w:r>
            <w:r>
              <w:rPr>
                <w:rFonts w:ascii="Times New Roman" w:hAnsi="Times New Roman"/>
                <w:sz w:val="21"/>
                <w:szCs w:val="21"/>
              </w:rPr>
              <w:t xml:space="preserve"> 1 </w:t>
            </w:r>
            <w:r>
              <w:rPr>
                <w:rFonts w:ascii="Times New Roman" w:hAnsi="Times New Roman"/>
                <w:sz w:val="21"/>
                <w:szCs w:val="21"/>
              </w:rPr>
              <w:t>座</w:t>
            </w:r>
          </w:p>
        </w:tc>
        <w:tc>
          <w:tcPr>
            <w:tcW w:w="1883" w:type="pct"/>
          </w:tcPr>
          <w:p w14:paraId="09013F47" w14:textId="77777777" w:rsidR="009C353B" w:rsidRDefault="00000000">
            <w:pPr>
              <w:rPr>
                <w:rFonts w:ascii="Times New Roman" w:hAnsi="Times New Roman"/>
                <w:sz w:val="21"/>
                <w:szCs w:val="21"/>
              </w:rPr>
            </w:pPr>
            <w:r>
              <w:rPr>
                <w:rFonts w:ascii="Times New Roman" w:hAnsi="Times New Roman" w:cstheme="minorBidi" w:hint="eastAsia"/>
                <w:sz w:val="21"/>
                <w:szCs w:val="21"/>
              </w:rPr>
              <w:t>夏季用于工业场地绿化，冬季暂存于生活污水蓄水池。</w:t>
            </w:r>
            <w:r>
              <w:rPr>
                <w:rFonts w:ascii="Times New Roman" w:hAnsi="Times New Roman" w:cstheme="minorBidi"/>
                <w:sz w:val="21"/>
                <w:szCs w:val="21"/>
              </w:rPr>
              <w:t>(</w:t>
            </w:r>
            <w:r>
              <w:rPr>
                <w:rFonts w:ascii="Times New Roman" w:hAnsi="Times New Roman" w:cstheme="minorBidi"/>
                <w:sz w:val="21"/>
                <w:szCs w:val="21"/>
              </w:rPr>
              <w:t>利用现有矸石场西侧的一处天然注地建设生活污水蓄水池，实现经达标处理后的活水储存夏季复用</w:t>
            </w:r>
            <w:r>
              <w:rPr>
                <w:rFonts w:ascii="Times New Roman" w:hAnsi="Times New Roman" w:cstheme="minorBidi"/>
                <w:sz w:val="21"/>
                <w:szCs w:val="21"/>
              </w:rPr>
              <w:t>)</w:t>
            </w:r>
          </w:p>
        </w:tc>
        <w:tc>
          <w:tcPr>
            <w:tcW w:w="233" w:type="pct"/>
          </w:tcPr>
          <w:p w14:paraId="0FE53241" w14:textId="77777777" w:rsidR="009C353B" w:rsidRDefault="00000000">
            <w:pPr>
              <w:rPr>
                <w:rFonts w:ascii="Times New Roman" w:hAnsi="Times New Roman"/>
                <w:sz w:val="21"/>
                <w:szCs w:val="21"/>
              </w:rPr>
            </w:pPr>
            <w:r>
              <w:rPr>
                <w:rFonts w:ascii="Times New Roman" w:hAnsi="Times New Roman"/>
                <w:sz w:val="21"/>
                <w:szCs w:val="21"/>
              </w:rPr>
              <w:t>已建</w:t>
            </w:r>
          </w:p>
        </w:tc>
      </w:tr>
      <w:tr w:rsidR="009C353B" w14:paraId="34AED92A" w14:textId="77777777">
        <w:trPr>
          <w:trHeight w:val="340"/>
        </w:trPr>
        <w:tc>
          <w:tcPr>
            <w:tcW w:w="346" w:type="pct"/>
          </w:tcPr>
          <w:p w14:paraId="47E0FBC0" w14:textId="77777777" w:rsidR="009C353B" w:rsidRDefault="00000000">
            <w:pPr>
              <w:jc w:val="center"/>
              <w:rPr>
                <w:rFonts w:ascii="Times New Roman" w:hAnsi="Times New Roman"/>
                <w:sz w:val="21"/>
                <w:szCs w:val="21"/>
              </w:rPr>
            </w:pPr>
            <w:r>
              <w:rPr>
                <w:rFonts w:ascii="Times New Roman" w:hAnsi="Times New Roman"/>
                <w:sz w:val="21"/>
                <w:szCs w:val="21"/>
              </w:rPr>
              <w:t>马莲台井田</w:t>
            </w:r>
          </w:p>
        </w:tc>
        <w:tc>
          <w:tcPr>
            <w:tcW w:w="641" w:type="pct"/>
          </w:tcPr>
          <w:p w14:paraId="1D26C141" w14:textId="77777777" w:rsidR="009C353B" w:rsidRDefault="00000000">
            <w:pPr>
              <w:jc w:val="center"/>
              <w:rPr>
                <w:rFonts w:ascii="Times New Roman" w:hAnsi="Times New Roman"/>
                <w:sz w:val="21"/>
                <w:szCs w:val="21"/>
              </w:rPr>
            </w:pPr>
            <w:r>
              <w:rPr>
                <w:rFonts w:ascii="Times New Roman" w:hAnsi="Times New Roman" w:hint="eastAsia"/>
                <w:sz w:val="21"/>
                <w:szCs w:val="21"/>
              </w:rPr>
              <w:t>340.9</w:t>
            </w:r>
            <w:r>
              <w:rPr>
                <w:rFonts w:ascii="Times New Roman" w:hAnsi="Times New Roman"/>
                <w:sz w:val="21"/>
                <w:szCs w:val="21"/>
              </w:rPr>
              <w:t>m</w:t>
            </w:r>
            <w:r>
              <w:rPr>
                <w:rFonts w:ascii="Times New Roman" w:hAnsi="Times New Roman"/>
                <w:snapToGrid w:val="0"/>
                <w:sz w:val="21"/>
                <w:szCs w:val="21"/>
                <w:vertAlign w:val="superscript"/>
              </w:rPr>
              <w:t>3</w:t>
            </w:r>
            <w:r>
              <w:rPr>
                <w:rFonts w:ascii="Times New Roman" w:hAnsi="Times New Roman"/>
                <w:snapToGrid w:val="0"/>
                <w:sz w:val="21"/>
                <w:szCs w:val="21"/>
              </w:rPr>
              <w:t>/d</w:t>
            </w:r>
          </w:p>
        </w:tc>
        <w:tc>
          <w:tcPr>
            <w:tcW w:w="1897" w:type="pct"/>
          </w:tcPr>
          <w:p w14:paraId="72D09F8B" w14:textId="77777777" w:rsidR="009C353B" w:rsidRDefault="00000000">
            <w:pPr>
              <w:jc w:val="center"/>
              <w:rPr>
                <w:rFonts w:ascii="Times New Roman" w:hAnsi="Times New Roman"/>
                <w:sz w:val="21"/>
                <w:szCs w:val="21"/>
              </w:rPr>
            </w:pPr>
            <w:r>
              <w:rPr>
                <w:rFonts w:ascii="Times New Roman" w:hAnsi="Times New Roman"/>
                <w:sz w:val="21"/>
                <w:szCs w:val="21"/>
              </w:rPr>
              <w:t>依托宁夏宝丰能源集团股份有限公司污水处理站，处理工艺为</w:t>
            </w:r>
            <w:r>
              <w:rPr>
                <w:rFonts w:ascii="Times New Roman" w:hAnsi="Times New Roman"/>
                <w:sz w:val="21"/>
                <w:szCs w:val="21"/>
              </w:rPr>
              <w:t>“</w:t>
            </w:r>
            <w:r>
              <w:rPr>
                <w:rFonts w:ascii="Times New Roman" w:hAnsi="Times New Roman"/>
                <w:sz w:val="21"/>
                <w:szCs w:val="21"/>
              </w:rPr>
              <w:t>预处理＋强化生物脱氮</w:t>
            </w:r>
            <w:r>
              <w:rPr>
                <w:rFonts w:ascii="Times New Roman" w:hAnsi="Times New Roman"/>
                <w:sz w:val="21"/>
                <w:szCs w:val="21"/>
              </w:rPr>
              <w:t>QWSTN+</w:t>
            </w:r>
            <w:r>
              <w:rPr>
                <w:rFonts w:ascii="Times New Roman" w:hAnsi="Times New Roman"/>
                <w:sz w:val="21"/>
                <w:szCs w:val="21"/>
              </w:rPr>
              <w:t>深度处理工艺</w:t>
            </w:r>
            <w:r>
              <w:rPr>
                <w:rFonts w:ascii="Times New Roman" w:hAnsi="Times New Roman"/>
                <w:sz w:val="21"/>
                <w:szCs w:val="21"/>
              </w:rPr>
              <w:t>”</w:t>
            </w:r>
          </w:p>
        </w:tc>
        <w:tc>
          <w:tcPr>
            <w:tcW w:w="1883" w:type="pct"/>
          </w:tcPr>
          <w:p w14:paraId="48859BE5" w14:textId="77777777" w:rsidR="009C353B" w:rsidRDefault="00000000">
            <w:pPr>
              <w:rPr>
                <w:rFonts w:ascii="Times New Roman" w:hAnsi="Times New Roman"/>
                <w:sz w:val="21"/>
                <w:szCs w:val="21"/>
              </w:rPr>
            </w:pPr>
            <w:r>
              <w:rPr>
                <w:rFonts w:ascii="Times New Roman" w:hAnsi="Times New Roman" w:cstheme="minorBidi" w:hint="eastAsia"/>
                <w:sz w:val="21"/>
                <w:szCs w:val="21"/>
              </w:rPr>
              <w:t>经污水处理站</w:t>
            </w:r>
            <w:r>
              <w:rPr>
                <w:rFonts w:ascii="Times New Roman" w:hAnsi="Times New Roman" w:cstheme="minorBidi" w:hint="eastAsia"/>
                <w:snapToGrid w:val="0"/>
                <w:sz w:val="21"/>
                <w:szCs w:val="21"/>
              </w:rPr>
              <w:t>处理后</w:t>
            </w:r>
            <w:r>
              <w:rPr>
                <w:rFonts w:ascii="Times New Roman" w:hAnsi="Times New Roman" w:cstheme="minorBidi" w:hint="eastAsia"/>
                <w:sz w:val="21"/>
                <w:szCs w:val="21"/>
              </w:rPr>
              <w:t>部分用于场地绿化、道路洒水，其余用于宁夏宝丰能源集团股份有限公司焦化厂熄焦</w:t>
            </w:r>
          </w:p>
        </w:tc>
        <w:tc>
          <w:tcPr>
            <w:tcW w:w="233" w:type="pct"/>
          </w:tcPr>
          <w:p w14:paraId="48BA7888" w14:textId="77777777" w:rsidR="009C353B" w:rsidRDefault="00000000">
            <w:pPr>
              <w:rPr>
                <w:rFonts w:ascii="Times New Roman" w:hAnsi="Times New Roman"/>
                <w:sz w:val="21"/>
                <w:szCs w:val="21"/>
              </w:rPr>
            </w:pPr>
            <w:r>
              <w:rPr>
                <w:rFonts w:ascii="Times New Roman" w:hAnsi="Times New Roman"/>
                <w:sz w:val="21"/>
                <w:szCs w:val="21"/>
              </w:rPr>
              <w:t>已建</w:t>
            </w:r>
          </w:p>
        </w:tc>
      </w:tr>
      <w:tr w:rsidR="009C353B" w14:paraId="4BAB25AD" w14:textId="77777777">
        <w:trPr>
          <w:trHeight w:val="340"/>
        </w:trPr>
        <w:tc>
          <w:tcPr>
            <w:tcW w:w="346" w:type="pct"/>
          </w:tcPr>
          <w:p w14:paraId="32CDFF58" w14:textId="77777777" w:rsidR="009C353B" w:rsidRDefault="00000000">
            <w:pPr>
              <w:jc w:val="center"/>
              <w:rPr>
                <w:rFonts w:ascii="Times New Roman" w:hAnsi="Times New Roman"/>
                <w:sz w:val="21"/>
                <w:szCs w:val="21"/>
              </w:rPr>
            </w:pPr>
            <w:r>
              <w:rPr>
                <w:rFonts w:ascii="Times New Roman" w:hAnsi="Times New Roman"/>
                <w:sz w:val="21"/>
                <w:szCs w:val="21"/>
              </w:rPr>
              <w:t>红石湾井田</w:t>
            </w:r>
          </w:p>
        </w:tc>
        <w:tc>
          <w:tcPr>
            <w:tcW w:w="641" w:type="pct"/>
          </w:tcPr>
          <w:p w14:paraId="23C999B4" w14:textId="77777777" w:rsidR="009C353B" w:rsidRDefault="00000000">
            <w:pPr>
              <w:jc w:val="center"/>
              <w:rPr>
                <w:rFonts w:ascii="Times New Roman" w:hAnsi="Times New Roman"/>
                <w:sz w:val="21"/>
                <w:szCs w:val="21"/>
              </w:rPr>
            </w:pPr>
            <w:r>
              <w:rPr>
                <w:rFonts w:ascii="Times New Roman" w:hAnsi="Times New Roman"/>
                <w:sz w:val="21"/>
                <w:szCs w:val="21"/>
              </w:rPr>
              <w:t>130 m</w:t>
            </w:r>
            <w:r>
              <w:rPr>
                <w:rFonts w:ascii="Times New Roman" w:hAnsi="Times New Roman"/>
                <w:sz w:val="21"/>
                <w:szCs w:val="21"/>
                <w:vertAlign w:val="superscript"/>
              </w:rPr>
              <w:t>3</w:t>
            </w:r>
            <w:r>
              <w:rPr>
                <w:rFonts w:ascii="Times New Roman" w:hAnsi="Times New Roman"/>
                <w:sz w:val="21"/>
                <w:szCs w:val="21"/>
              </w:rPr>
              <w:t>/d</w:t>
            </w:r>
          </w:p>
        </w:tc>
        <w:tc>
          <w:tcPr>
            <w:tcW w:w="1897" w:type="pct"/>
          </w:tcPr>
          <w:p w14:paraId="081A53DA" w14:textId="77777777" w:rsidR="009C353B" w:rsidRDefault="00000000">
            <w:pPr>
              <w:rPr>
                <w:rFonts w:ascii="Times New Roman" w:hAnsi="Times New Roman"/>
                <w:sz w:val="21"/>
                <w:szCs w:val="21"/>
              </w:rPr>
            </w:pPr>
            <w:r>
              <w:rPr>
                <w:rFonts w:ascii="Times New Roman" w:hAnsi="Times New Roman"/>
                <w:sz w:val="21"/>
                <w:szCs w:val="21"/>
              </w:rPr>
              <w:t>生活污水处理设施</w:t>
            </w:r>
            <w:r>
              <w:rPr>
                <w:rFonts w:ascii="Times New Roman" w:hAnsi="Times New Roman"/>
                <w:sz w:val="21"/>
                <w:szCs w:val="21"/>
              </w:rPr>
              <w:t>1</w:t>
            </w:r>
            <w:r>
              <w:rPr>
                <w:rFonts w:ascii="Times New Roman" w:hAnsi="Times New Roman"/>
                <w:sz w:val="21"/>
                <w:szCs w:val="21"/>
              </w:rPr>
              <w:t>座，处理规模</w:t>
            </w:r>
            <w:r>
              <w:rPr>
                <w:rFonts w:ascii="Times New Roman" w:hAnsi="Times New Roman"/>
                <w:sz w:val="21"/>
                <w:szCs w:val="21"/>
              </w:rPr>
              <w:t>480m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，采用</w:t>
            </w:r>
            <w:r>
              <w:rPr>
                <w:rFonts w:ascii="Times New Roman" w:hAnsi="Times New Roman"/>
                <w:sz w:val="21"/>
                <w:szCs w:val="21"/>
              </w:rPr>
              <w:t>A</w:t>
            </w:r>
            <w:r>
              <w:rPr>
                <w:rFonts w:ascii="Times New Roman" w:hAnsi="Times New Roman"/>
                <w:sz w:val="21"/>
                <w:szCs w:val="21"/>
                <w:vertAlign w:val="superscript"/>
              </w:rPr>
              <w:t>2</w:t>
            </w:r>
            <w:r>
              <w:rPr>
                <w:rFonts w:ascii="Times New Roman" w:hAnsi="Times New Roman"/>
                <w:sz w:val="21"/>
                <w:szCs w:val="21"/>
              </w:rPr>
              <w:t>/O</w:t>
            </w:r>
            <w:r>
              <w:rPr>
                <w:rFonts w:ascii="Times New Roman" w:hAnsi="Times New Roman"/>
                <w:sz w:val="21"/>
                <w:szCs w:val="21"/>
              </w:rPr>
              <w:t>处理工艺，并矿井工业场地西侧建设</w:t>
            </w:r>
            <w:r>
              <w:rPr>
                <w:rFonts w:ascii="Times New Roman" w:hAnsi="Times New Roman"/>
                <w:sz w:val="21"/>
                <w:szCs w:val="21"/>
              </w:rPr>
              <w:t>2</w:t>
            </w:r>
            <w:r>
              <w:rPr>
                <w:rFonts w:ascii="Times New Roman" w:hAnsi="Times New Roman"/>
                <w:sz w:val="21"/>
                <w:szCs w:val="21"/>
              </w:rPr>
              <w:t>座蓄水池</w:t>
            </w:r>
          </w:p>
        </w:tc>
        <w:tc>
          <w:tcPr>
            <w:tcW w:w="1883" w:type="pct"/>
          </w:tcPr>
          <w:p w14:paraId="750F9447" w14:textId="77777777" w:rsidR="009C353B" w:rsidRDefault="00000000">
            <w:pPr>
              <w:rPr>
                <w:rFonts w:ascii="Times New Roman" w:hAnsi="Times New Roman"/>
                <w:sz w:val="21"/>
                <w:szCs w:val="21"/>
              </w:rPr>
            </w:pPr>
            <w:r>
              <w:rPr>
                <w:rFonts w:ascii="Times New Roman" w:hAnsi="Times New Roman" w:hint="eastAsia"/>
                <w:sz w:val="21"/>
                <w:szCs w:val="21"/>
              </w:rPr>
              <w:t>提标改造后</w:t>
            </w:r>
            <w:r>
              <w:rPr>
                <w:rFonts w:ascii="Times New Roman" w:hAnsi="Times New Roman"/>
                <w:sz w:val="21"/>
                <w:szCs w:val="21"/>
              </w:rPr>
              <w:t>用于工业场地的夏季绿化，冬季不能综合利用的生活污水全部送生活污水蓄水池暂存，用于夏季绿化，</w:t>
            </w:r>
            <w:r>
              <w:rPr>
                <w:rFonts w:ascii="Times New Roman" w:hAnsi="Times New Roman" w:hint="eastAsia"/>
                <w:sz w:val="21"/>
                <w:szCs w:val="21"/>
              </w:rPr>
              <w:t>不</w:t>
            </w:r>
            <w:r>
              <w:rPr>
                <w:rFonts w:ascii="Times New Roman" w:hAnsi="Times New Roman"/>
                <w:sz w:val="21"/>
                <w:szCs w:val="21"/>
              </w:rPr>
              <w:t>外排</w:t>
            </w:r>
          </w:p>
        </w:tc>
        <w:tc>
          <w:tcPr>
            <w:tcW w:w="233" w:type="pct"/>
          </w:tcPr>
          <w:p w14:paraId="71B86FEF" w14:textId="77777777" w:rsidR="009C353B" w:rsidRDefault="00000000">
            <w:pPr>
              <w:rPr>
                <w:rFonts w:ascii="Times New Roman" w:hAnsi="Times New Roman"/>
                <w:sz w:val="21"/>
                <w:szCs w:val="21"/>
              </w:rPr>
            </w:pPr>
            <w:r>
              <w:rPr>
                <w:rFonts w:ascii="Times New Roman" w:hAnsi="Times New Roman"/>
                <w:sz w:val="21"/>
                <w:szCs w:val="21"/>
              </w:rPr>
              <w:t>已建</w:t>
            </w:r>
          </w:p>
        </w:tc>
      </w:tr>
      <w:tr w:rsidR="009C353B" w14:paraId="44A1033C" w14:textId="77777777">
        <w:trPr>
          <w:trHeight w:val="340"/>
        </w:trPr>
        <w:tc>
          <w:tcPr>
            <w:tcW w:w="346" w:type="pct"/>
          </w:tcPr>
          <w:p w14:paraId="7FD12F71" w14:textId="77777777" w:rsidR="009C353B" w:rsidRDefault="00000000">
            <w:pPr>
              <w:jc w:val="center"/>
              <w:rPr>
                <w:rFonts w:ascii="Times New Roman" w:hAnsi="Times New Roman"/>
                <w:sz w:val="21"/>
                <w:szCs w:val="21"/>
              </w:rPr>
            </w:pPr>
            <w:r>
              <w:rPr>
                <w:rFonts w:ascii="Times New Roman" w:hAnsi="Times New Roman"/>
                <w:sz w:val="21"/>
                <w:szCs w:val="21"/>
              </w:rPr>
              <w:t>丁家梁井田</w:t>
            </w:r>
          </w:p>
        </w:tc>
        <w:tc>
          <w:tcPr>
            <w:tcW w:w="641" w:type="pct"/>
          </w:tcPr>
          <w:p w14:paraId="1715FAD7" w14:textId="77777777" w:rsidR="009C353B" w:rsidRDefault="00000000">
            <w:pPr>
              <w:jc w:val="center"/>
              <w:rPr>
                <w:rFonts w:ascii="Times New Roman" w:hAnsi="Times New Roman"/>
                <w:sz w:val="21"/>
                <w:szCs w:val="21"/>
              </w:rPr>
            </w:pPr>
            <w:r>
              <w:rPr>
                <w:rFonts w:ascii="Times New Roman" w:hAnsi="Times New Roman"/>
                <w:sz w:val="21"/>
                <w:szCs w:val="21"/>
              </w:rPr>
              <w:t>59.3m</w:t>
            </w:r>
            <w:r>
              <w:rPr>
                <w:rFonts w:ascii="Times New Roman" w:hAnsi="Times New Roman"/>
                <w:sz w:val="21"/>
                <w:szCs w:val="21"/>
                <w:vertAlign w:val="superscript"/>
              </w:rPr>
              <w:t>3</w:t>
            </w:r>
            <w:r>
              <w:rPr>
                <w:rFonts w:ascii="Times New Roman" w:hAnsi="Times New Roman"/>
                <w:sz w:val="21"/>
                <w:szCs w:val="21"/>
              </w:rPr>
              <w:t>/d</w:t>
            </w:r>
          </w:p>
        </w:tc>
        <w:tc>
          <w:tcPr>
            <w:tcW w:w="1897" w:type="pct"/>
          </w:tcPr>
          <w:p w14:paraId="4144B617" w14:textId="77777777" w:rsidR="009C353B" w:rsidRDefault="00000000">
            <w:pPr>
              <w:rPr>
                <w:rFonts w:ascii="Times New Roman" w:hAnsi="Times New Roman"/>
                <w:sz w:val="21"/>
                <w:szCs w:val="21"/>
              </w:rPr>
            </w:pPr>
            <w:r>
              <w:rPr>
                <w:rFonts w:ascii="Times New Roman" w:hAnsi="Times New Roman" w:hint="eastAsia"/>
                <w:sz w:val="21"/>
                <w:szCs w:val="21"/>
              </w:rPr>
              <w:t>规划</w:t>
            </w:r>
            <w:r>
              <w:rPr>
                <w:rFonts w:ascii="Times New Roman" w:hAnsi="Times New Roman"/>
                <w:sz w:val="21"/>
                <w:szCs w:val="21"/>
              </w:rPr>
              <w:t>建生活污水处理站</w:t>
            </w:r>
            <w:r>
              <w:rPr>
                <w:rFonts w:ascii="Times New Roman" w:hAnsi="Times New Roman"/>
                <w:sz w:val="21"/>
                <w:szCs w:val="21"/>
              </w:rPr>
              <w:t>1</w:t>
            </w:r>
            <w:r>
              <w:rPr>
                <w:rFonts w:ascii="Times New Roman" w:hAnsi="Times New Roman"/>
                <w:sz w:val="21"/>
                <w:szCs w:val="21"/>
              </w:rPr>
              <w:t>座，处理规模</w:t>
            </w:r>
            <w:r>
              <w:rPr>
                <w:rFonts w:ascii="Times New Roman" w:hAnsi="Times New Roman"/>
                <w:sz w:val="21"/>
                <w:szCs w:val="21"/>
              </w:rPr>
              <w:t>100m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，采用二级处理和深度处理</w:t>
            </w:r>
          </w:p>
        </w:tc>
        <w:tc>
          <w:tcPr>
            <w:tcW w:w="1883" w:type="pct"/>
          </w:tcPr>
          <w:p w14:paraId="040A5BBD" w14:textId="77777777" w:rsidR="009C353B" w:rsidRDefault="00000000">
            <w:pPr>
              <w:rPr>
                <w:rFonts w:ascii="Times New Roman" w:hAnsi="Times New Roman"/>
                <w:sz w:val="21"/>
                <w:szCs w:val="21"/>
              </w:rPr>
            </w:pPr>
            <w:r>
              <w:rPr>
                <w:rFonts w:ascii="Times New Roman" w:hAnsi="Times New Roman"/>
                <w:sz w:val="21"/>
                <w:szCs w:val="21"/>
              </w:rPr>
              <w:t>用于工业场地绿化和道路洒扫</w:t>
            </w:r>
          </w:p>
        </w:tc>
        <w:tc>
          <w:tcPr>
            <w:tcW w:w="233" w:type="pct"/>
          </w:tcPr>
          <w:p w14:paraId="1C6E0ACC" w14:textId="77777777" w:rsidR="009C353B" w:rsidRDefault="00000000">
            <w:pPr>
              <w:rPr>
                <w:rFonts w:ascii="Times New Roman" w:hAnsi="Times New Roman"/>
                <w:sz w:val="21"/>
                <w:szCs w:val="21"/>
              </w:rPr>
            </w:pPr>
            <w:r>
              <w:rPr>
                <w:rFonts w:ascii="Times New Roman" w:hAnsi="Times New Roman"/>
                <w:sz w:val="21"/>
                <w:szCs w:val="21"/>
              </w:rPr>
              <w:t>拟建</w:t>
            </w:r>
          </w:p>
        </w:tc>
      </w:tr>
    </w:tbl>
    <w:p w14:paraId="7005E771" w14:textId="77777777" w:rsidR="009C353B" w:rsidRDefault="00000000">
      <w:pPr>
        <w:adjustRightInd w:val="0"/>
        <w:snapToGrid w:val="0"/>
        <w:spacing w:line="440" w:lineRule="exact"/>
        <w:ind w:left="48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w:t>
      </w:r>
      <w:r>
        <w:rPr>
          <w:rFonts w:ascii="Times New Roman" w:hAnsi="Times New Roman"/>
          <w:szCs w:val="24"/>
        </w:rPr>
        <w:t>矿井水</w:t>
      </w:r>
    </w:p>
    <w:p w14:paraId="2D8CC14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矿区任家庄、红石湾煤矿矿井水处理设施已建成，其中红石湾煤矿矿井水处理设施提标改造中，马莲台矿井水处理设施依托宁夏宝丰能源集团股份有限公司选煤厂沉淀池进行处理。规划</w:t>
      </w:r>
      <w:r>
        <w:rPr>
          <w:rFonts w:ascii="Times New Roman" w:hAnsi="Times New Roman"/>
          <w:szCs w:val="24"/>
        </w:rPr>
        <w:t>丁家梁设矿井水处理站</w:t>
      </w:r>
      <w:r>
        <w:rPr>
          <w:rFonts w:ascii="Times New Roman" w:hAnsi="Times New Roman"/>
          <w:szCs w:val="24"/>
        </w:rPr>
        <w:t>1</w:t>
      </w:r>
      <w:r>
        <w:rPr>
          <w:rFonts w:ascii="Times New Roman" w:hAnsi="Times New Roman"/>
          <w:szCs w:val="24"/>
        </w:rPr>
        <w:t>座，处理规模</w:t>
      </w:r>
      <w:r>
        <w:rPr>
          <w:rFonts w:ascii="Times New Roman" w:hAnsi="Times New Roman"/>
          <w:szCs w:val="24"/>
        </w:rPr>
        <w:t>8000m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，采用混凝、沉淀、过滤、脱盐、消毒等处理工艺处理后回用，多余水</w:t>
      </w:r>
      <w:r>
        <w:rPr>
          <w:rFonts w:ascii="Times New Roman" w:hAnsi="Times New Roman" w:hint="eastAsia"/>
          <w:szCs w:val="24"/>
        </w:rPr>
        <w:t>处理达标后</w:t>
      </w:r>
      <w:r>
        <w:rPr>
          <w:rFonts w:ascii="Times New Roman" w:hAnsi="Times New Roman"/>
          <w:szCs w:val="24"/>
        </w:rPr>
        <w:t>就近送至临河综合工业园区和宁东煤化工园区工业废水处理厂进行处理后回用宁东煤化工基地企业生产。</w:t>
      </w:r>
      <w:r>
        <w:rPr>
          <w:rFonts w:ascii="Times New Roman" w:hAnsi="Times New Roman" w:hint="eastAsia"/>
          <w:szCs w:val="24"/>
        </w:rPr>
        <w:t>各矿矿井水处理设施情况见表</w:t>
      </w:r>
      <w:r>
        <w:rPr>
          <w:rFonts w:ascii="Times New Roman" w:hAnsi="Times New Roman" w:hint="eastAsia"/>
          <w:szCs w:val="24"/>
        </w:rPr>
        <w:t>9</w:t>
      </w:r>
      <w:r>
        <w:rPr>
          <w:rFonts w:ascii="Times New Roman" w:hAnsi="Times New Roman"/>
          <w:szCs w:val="24"/>
        </w:rPr>
        <w:t>.3</w:t>
      </w:r>
      <w:r>
        <w:rPr>
          <w:rFonts w:ascii="Times New Roman" w:hAnsi="Times New Roman" w:hint="eastAsia"/>
          <w:szCs w:val="24"/>
        </w:rPr>
        <w:t>-</w:t>
      </w:r>
      <w:r>
        <w:rPr>
          <w:rFonts w:ascii="Times New Roman" w:hAnsi="Times New Roman"/>
          <w:szCs w:val="24"/>
        </w:rPr>
        <w:t>2</w:t>
      </w:r>
      <w:r>
        <w:rPr>
          <w:rFonts w:ascii="Times New Roman" w:hAnsi="Times New Roman" w:hint="eastAsia"/>
          <w:szCs w:val="24"/>
        </w:rPr>
        <w:t>。</w:t>
      </w:r>
    </w:p>
    <w:p w14:paraId="0BE08C8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矿区各矿井矿井水全部综合利用不外排。</w:t>
      </w:r>
    </w:p>
    <w:p w14:paraId="407AE90F"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hint="eastAsia"/>
          <w:b/>
          <w:szCs w:val="24"/>
        </w:rPr>
        <w:t>各矿井矿井水处理设施情况及排放去向</w:t>
      </w:r>
    </w:p>
    <w:p w14:paraId="464BC721" w14:textId="77777777" w:rsidR="009C353B" w:rsidRDefault="00000000">
      <w:pPr>
        <w:pStyle w:val="affffd"/>
        <w:spacing w:line="440" w:lineRule="exact"/>
        <w:rPr>
          <w:rFonts w:ascii="Times New Roman" w:hint="eastAsia"/>
        </w:rPr>
      </w:pPr>
      <w:r>
        <w:rPr>
          <w:rFonts w:ascii="Times New Roman"/>
        </w:rPr>
        <w:t>表</w:t>
      </w:r>
      <w:r>
        <w:rPr>
          <w:rFonts w:ascii="Times New Roman" w:hint="eastAsia"/>
        </w:rPr>
        <w:t>9.3-2</w:t>
      </w:r>
    </w:p>
    <w:tbl>
      <w:tblPr>
        <w:tblStyle w:val="afffffffffffffffffffffff6"/>
        <w:tblW w:w="5000" w:type="pct"/>
        <w:tblCellMar>
          <w:left w:w="0" w:type="dxa"/>
          <w:right w:w="0" w:type="dxa"/>
        </w:tblCellMar>
        <w:tblLook w:val="04A0" w:firstRow="1" w:lastRow="0" w:firstColumn="1" w:lastColumn="0" w:noHBand="0" w:noVBand="1"/>
      </w:tblPr>
      <w:tblGrid>
        <w:gridCol w:w="680"/>
        <w:gridCol w:w="1010"/>
        <w:gridCol w:w="3560"/>
        <w:gridCol w:w="3373"/>
        <w:gridCol w:w="458"/>
      </w:tblGrid>
      <w:tr w:rsidR="009C353B" w14:paraId="23D74FB3" w14:textId="77777777">
        <w:trPr>
          <w:trHeight w:val="529"/>
        </w:trPr>
        <w:tc>
          <w:tcPr>
            <w:tcW w:w="374" w:type="pct"/>
          </w:tcPr>
          <w:p w14:paraId="64231F4B"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名称</w:t>
            </w:r>
          </w:p>
        </w:tc>
        <w:tc>
          <w:tcPr>
            <w:tcW w:w="556" w:type="pct"/>
          </w:tcPr>
          <w:p w14:paraId="32746613"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产生量</w:t>
            </w:r>
          </w:p>
        </w:tc>
        <w:tc>
          <w:tcPr>
            <w:tcW w:w="1960" w:type="pct"/>
          </w:tcPr>
          <w:p w14:paraId="367CBAF9"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处理设施规模及处理工艺</w:t>
            </w:r>
          </w:p>
        </w:tc>
        <w:tc>
          <w:tcPr>
            <w:tcW w:w="1857" w:type="pct"/>
          </w:tcPr>
          <w:p w14:paraId="6A1DB4A7"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去向</w:t>
            </w:r>
          </w:p>
        </w:tc>
        <w:tc>
          <w:tcPr>
            <w:tcW w:w="252" w:type="pct"/>
          </w:tcPr>
          <w:p w14:paraId="10A84E7A"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备注</w:t>
            </w:r>
          </w:p>
        </w:tc>
      </w:tr>
      <w:tr w:rsidR="009C353B" w14:paraId="3706C0D8" w14:textId="77777777">
        <w:trPr>
          <w:trHeight w:val="340"/>
        </w:trPr>
        <w:tc>
          <w:tcPr>
            <w:tcW w:w="374" w:type="pct"/>
          </w:tcPr>
          <w:p w14:paraId="16195468"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任家庄井田</w:t>
            </w:r>
          </w:p>
        </w:tc>
        <w:tc>
          <w:tcPr>
            <w:tcW w:w="556" w:type="pct"/>
          </w:tcPr>
          <w:p w14:paraId="64C7CD1B" w14:textId="77777777" w:rsidR="009C353B" w:rsidRDefault="00000000">
            <w:pPr>
              <w:spacing w:line="240" w:lineRule="atLeast"/>
              <w:jc w:val="center"/>
              <w:rPr>
                <w:rFonts w:ascii="Times New Roman" w:hAnsi="Times New Roman"/>
                <w:sz w:val="21"/>
                <w:szCs w:val="21"/>
              </w:rPr>
            </w:pPr>
            <w:r>
              <w:rPr>
                <w:rFonts w:ascii="Times New Roman" w:hAnsi="Times New Roman" w:cstheme="minorBidi"/>
                <w:sz w:val="21"/>
                <w:szCs w:val="21"/>
              </w:rPr>
              <w:t>1790</w:t>
            </w:r>
            <w:r>
              <w:rPr>
                <w:rFonts w:ascii="Times New Roman" w:hAnsi="Times New Roman" w:cstheme="minorBidi" w:hint="eastAsia"/>
                <w:sz w:val="21"/>
                <w:szCs w:val="21"/>
              </w:rPr>
              <w:t>m</w:t>
            </w:r>
            <w:r>
              <w:rPr>
                <w:rFonts w:ascii="Times New Roman" w:hAnsi="Times New Roman" w:cstheme="minorBidi"/>
                <w:snapToGrid w:val="0"/>
                <w:sz w:val="21"/>
                <w:szCs w:val="21"/>
                <w:vertAlign w:val="superscript"/>
              </w:rPr>
              <w:t>3</w:t>
            </w:r>
            <w:r>
              <w:rPr>
                <w:rFonts w:ascii="Times New Roman" w:hAnsi="Times New Roman" w:cstheme="minorBidi"/>
                <w:snapToGrid w:val="0"/>
                <w:sz w:val="21"/>
                <w:szCs w:val="21"/>
              </w:rPr>
              <w:t>/d</w:t>
            </w:r>
          </w:p>
        </w:tc>
        <w:tc>
          <w:tcPr>
            <w:tcW w:w="1960" w:type="pct"/>
          </w:tcPr>
          <w:p w14:paraId="60146EE8" w14:textId="77777777" w:rsidR="009C353B" w:rsidRDefault="00000000">
            <w:pPr>
              <w:spacing w:line="240" w:lineRule="atLeast"/>
              <w:rPr>
                <w:rFonts w:ascii="Times New Roman" w:hAnsi="Times New Roman"/>
                <w:sz w:val="21"/>
                <w:szCs w:val="21"/>
              </w:rPr>
            </w:pPr>
            <w:r>
              <w:rPr>
                <w:rFonts w:ascii="Times New Roman" w:hAnsi="Times New Roman"/>
                <w:sz w:val="21"/>
                <w:szCs w:val="21"/>
              </w:rPr>
              <w:t>矿井水处理站一座：</w:t>
            </w:r>
            <w:r>
              <w:rPr>
                <w:rFonts w:ascii="Times New Roman" w:hAnsi="Times New Roman"/>
                <w:sz w:val="21"/>
                <w:szCs w:val="21"/>
              </w:rPr>
              <w:t>“</w:t>
            </w:r>
            <w:r>
              <w:rPr>
                <w:rFonts w:ascii="Times New Roman" w:hAnsi="Times New Roman"/>
                <w:sz w:val="21"/>
                <w:szCs w:val="21"/>
              </w:rPr>
              <w:t>混凝沉淀（高密度迷宫斜板净水器）（</w:t>
            </w:r>
            <w:r>
              <w:rPr>
                <w:rFonts w:ascii="Times New Roman" w:hAnsi="Times New Roman"/>
                <w:sz w:val="21"/>
                <w:szCs w:val="21"/>
              </w:rPr>
              <w:t>4×100m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过滤（重力式无阀过滤器）（</w:t>
            </w:r>
            <w:r>
              <w:rPr>
                <w:rFonts w:ascii="Times New Roman" w:hAnsi="Times New Roman"/>
                <w:sz w:val="21"/>
                <w:szCs w:val="21"/>
              </w:rPr>
              <w:t>4×125m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，处理能力</w:t>
            </w:r>
            <w:r>
              <w:rPr>
                <w:rFonts w:ascii="Times New Roman" w:hAnsi="Times New Roman"/>
                <w:sz w:val="21"/>
                <w:szCs w:val="21"/>
              </w:rPr>
              <w:t xml:space="preserve"> 400m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过滤（多介质过滤器</w:t>
            </w:r>
            <w:r>
              <w:rPr>
                <w:rFonts w:ascii="Times New Roman" w:hAnsi="Times New Roman"/>
                <w:sz w:val="21"/>
                <w:szCs w:val="21"/>
              </w:rPr>
              <w:t xml:space="preserve"> 5×46.8m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活性炭过滤器</w:t>
            </w:r>
            <w:r>
              <w:rPr>
                <w:rFonts w:ascii="Times New Roman" w:hAnsi="Times New Roman"/>
                <w:sz w:val="21"/>
                <w:szCs w:val="21"/>
              </w:rPr>
              <w:t>3×74m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反渗透（</w:t>
            </w:r>
            <w:r>
              <w:rPr>
                <w:rFonts w:ascii="Times New Roman" w:hAnsi="Times New Roman"/>
                <w:sz w:val="21"/>
                <w:szCs w:val="21"/>
              </w:rPr>
              <w:t>2×70m</w:t>
            </w:r>
            <w:r>
              <w:rPr>
                <w:rFonts w:ascii="Times New Roman" w:hAnsi="Times New Roman"/>
                <w:sz w:val="21"/>
                <w:szCs w:val="21"/>
                <w:vertAlign w:val="superscript"/>
              </w:rPr>
              <w:t>3</w:t>
            </w:r>
            <w:r>
              <w:rPr>
                <w:rFonts w:ascii="Times New Roman" w:hAnsi="Times New Roman"/>
                <w:sz w:val="21"/>
                <w:szCs w:val="21"/>
              </w:rPr>
              <w:t>/h</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处理工艺，处理能力</w:t>
            </w:r>
            <w:r>
              <w:rPr>
                <w:rFonts w:ascii="Times New Roman" w:hAnsi="Times New Roman"/>
                <w:sz w:val="21"/>
                <w:szCs w:val="21"/>
              </w:rPr>
              <w:t>140m</w:t>
            </w:r>
            <w:r>
              <w:rPr>
                <w:rFonts w:ascii="Times New Roman" w:hAnsi="Times New Roman"/>
                <w:sz w:val="21"/>
                <w:szCs w:val="21"/>
                <w:vertAlign w:val="superscript"/>
              </w:rPr>
              <w:t>3</w:t>
            </w:r>
            <w:r>
              <w:rPr>
                <w:rFonts w:ascii="Times New Roman" w:hAnsi="Times New Roman"/>
                <w:sz w:val="21"/>
                <w:szCs w:val="21"/>
              </w:rPr>
              <w:t>/h</w:t>
            </w:r>
          </w:p>
        </w:tc>
        <w:tc>
          <w:tcPr>
            <w:tcW w:w="1857" w:type="pct"/>
          </w:tcPr>
          <w:p w14:paraId="0AEF9BEB" w14:textId="77777777" w:rsidR="009C353B" w:rsidRDefault="00000000">
            <w:pPr>
              <w:spacing w:line="240" w:lineRule="atLeast"/>
              <w:rPr>
                <w:rFonts w:ascii="Times New Roman" w:hAnsi="Times New Roman"/>
                <w:sz w:val="21"/>
                <w:szCs w:val="21"/>
              </w:rPr>
            </w:pPr>
            <w:r>
              <w:rPr>
                <w:rFonts w:ascii="Times New Roman" w:hAnsi="Times New Roman" w:cstheme="minorBidi" w:hint="eastAsia"/>
                <w:sz w:val="21"/>
                <w:szCs w:val="21"/>
              </w:rPr>
              <w:t>矿井涌水经混凝沉淀处理后，部分回用于井下巷道降尘，储煤场及矸石场降尘、洗煤厂补充水，剩余部分经反渗透处理达标</w:t>
            </w:r>
            <w:r>
              <w:rPr>
                <w:rFonts w:ascii="Times New Roman" w:hAnsi="Times New Roman" w:cstheme="minorBidi"/>
                <w:sz w:val="21"/>
                <w:szCs w:val="21"/>
              </w:rPr>
              <w:t>后作为井下工作面采煤设备冷却水、生产、地面绿化等。</w:t>
            </w:r>
          </w:p>
        </w:tc>
        <w:tc>
          <w:tcPr>
            <w:tcW w:w="252" w:type="pct"/>
          </w:tcPr>
          <w:p w14:paraId="253D2D7C"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已建</w:t>
            </w:r>
          </w:p>
        </w:tc>
      </w:tr>
      <w:tr w:rsidR="009C353B" w14:paraId="19356EE6" w14:textId="77777777">
        <w:trPr>
          <w:trHeight w:val="340"/>
        </w:trPr>
        <w:tc>
          <w:tcPr>
            <w:tcW w:w="374" w:type="pct"/>
          </w:tcPr>
          <w:p w14:paraId="1920ED4C"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马莲台井田</w:t>
            </w:r>
          </w:p>
        </w:tc>
        <w:tc>
          <w:tcPr>
            <w:tcW w:w="556" w:type="pct"/>
          </w:tcPr>
          <w:p w14:paraId="1F3C3362" w14:textId="77777777" w:rsidR="009C353B" w:rsidRDefault="00000000">
            <w:pPr>
              <w:spacing w:line="240" w:lineRule="atLeast"/>
              <w:jc w:val="center"/>
              <w:rPr>
                <w:rFonts w:ascii="Times New Roman" w:hAnsi="Times New Roman"/>
                <w:sz w:val="21"/>
                <w:szCs w:val="21"/>
              </w:rPr>
            </w:pPr>
            <w:r>
              <w:rPr>
                <w:rFonts w:ascii="Times New Roman" w:hAnsi="Times New Roman" w:cstheme="minorBidi" w:hint="eastAsia"/>
                <w:sz w:val="21"/>
                <w:szCs w:val="21"/>
              </w:rPr>
              <w:t>2561m</w:t>
            </w:r>
            <w:r>
              <w:rPr>
                <w:rFonts w:ascii="Times New Roman" w:hAnsi="Times New Roman" w:cstheme="minorBidi"/>
                <w:snapToGrid w:val="0"/>
                <w:sz w:val="21"/>
                <w:szCs w:val="21"/>
                <w:vertAlign w:val="superscript"/>
              </w:rPr>
              <w:t>3</w:t>
            </w:r>
            <w:r>
              <w:rPr>
                <w:rFonts w:ascii="Times New Roman" w:hAnsi="Times New Roman" w:cstheme="minorBidi"/>
                <w:snapToGrid w:val="0"/>
                <w:sz w:val="21"/>
                <w:szCs w:val="21"/>
              </w:rPr>
              <w:t>/d</w:t>
            </w:r>
          </w:p>
        </w:tc>
        <w:tc>
          <w:tcPr>
            <w:tcW w:w="1960" w:type="pct"/>
          </w:tcPr>
          <w:p w14:paraId="638C07F9" w14:textId="77777777" w:rsidR="009C353B" w:rsidRDefault="00000000">
            <w:pPr>
              <w:spacing w:line="240" w:lineRule="atLeast"/>
              <w:rPr>
                <w:rFonts w:ascii="Times New Roman" w:hAnsi="Times New Roman"/>
                <w:sz w:val="21"/>
                <w:szCs w:val="21"/>
              </w:rPr>
            </w:pPr>
            <w:r>
              <w:rPr>
                <w:rFonts w:ascii="Times New Roman" w:hAnsi="Times New Roman"/>
                <w:sz w:val="21"/>
                <w:szCs w:val="21"/>
              </w:rPr>
              <w:t>矿井水经宁夏宝丰能源集团股份有限公司选煤厂沉淀池处理后用于选煤厂洗煤</w:t>
            </w:r>
            <w:r>
              <w:rPr>
                <w:rFonts w:ascii="Times New Roman" w:hAnsi="Times New Roman" w:hint="eastAsia"/>
                <w:sz w:val="21"/>
                <w:szCs w:val="21"/>
              </w:rPr>
              <w:t>，处理工艺：浓缩池沉淀</w:t>
            </w:r>
          </w:p>
        </w:tc>
        <w:tc>
          <w:tcPr>
            <w:tcW w:w="1857" w:type="pct"/>
          </w:tcPr>
          <w:p w14:paraId="0E1ABF57" w14:textId="77777777" w:rsidR="009C353B" w:rsidRDefault="00000000">
            <w:pPr>
              <w:spacing w:line="240" w:lineRule="atLeast"/>
              <w:rPr>
                <w:rFonts w:ascii="Times New Roman" w:hAnsi="Times New Roman"/>
                <w:sz w:val="21"/>
                <w:szCs w:val="21"/>
              </w:rPr>
            </w:pPr>
            <w:r>
              <w:rPr>
                <w:rFonts w:ascii="Times New Roman" w:hAnsi="Times New Roman" w:cstheme="minorBidi" w:hint="eastAsia"/>
                <w:sz w:val="21"/>
                <w:szCs w:val="21"/>
              </w:rPr>
              <w:t>经选煤厂沉淀池处理后后用于选煤厂洗煤</w:t>
            </w:r>
          </w:p>
        </w:tc>
        <w:tc>
          <w:tcPr>
            <w:tcW w:w="252" w:type="pct"/>
          </w:tcPr>
          <w:p w14:paraId="332B24F4"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已建</w:t>
            </w:r>
          </w:p>
        </w:tc>
      </w:tr>
      <w:tr w:rsidR="009C353B" w14:paraId="51DE1213" w14:textId="77777777">
        <w:trPr>
          <w:trHeight w:val="340"/>
        </w:trPr>
        <w:tc>
          <w:tcPr>
            <w:tcW w:w="374" w:type="pct"/>
          </w:tcPr>
          <w:p w14:paraId="31EC2142"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红石湾井田</w:t>
            </w:r>
          </w:p>
        </w:tc>
        <w:tc>
          <w:tcPr>
            <w:tcW w:w="556" w:type="pct"/>
          </w:tcPr>
          <w:p w14:paraId="4AC4A131"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2160 m</w:t>
            </w:r>
            <w:r>
              <w:rPr>
                <w:rFonts w:ascii="Times New Roman" w:hAnsi="Times New Roman"/>
                <w:sz w:val="21"/>
                <w:szCs w:val="21"/>
                <w:vertAlign w:val="superscript"/>
              </w:rPr>
              <w:t>3</w:t>
            </w:r>
            <w:r>
              <w:rPr>
                <w:rFonts w:ascii="Times New Roman" w:hAnsi="Times New Roman"/>
                <w:sz w:val="21"/>
                <w:szCs w:val="21"/>
              </w:rPr>
              <w:t>/d</w:t>
            </w:r>
          </w:p>
        </w:tc>
        <w:tc>
          <w:tcPr>
            <w:tcW w:w="1960" w:type="pct"/>
          </w:tcPr>
          <w:p w14:paraId="7468A1D3" w14:textId="77777777" w:rsidR="009C353B" w:rsidRDefault="00000000">
            <w:pPr>
              <w:spacing w:line="240" w:lineRule="atLeast"/>
              <w:rPr>
                <w:rFonts w:ascii="Times New Roman" w:hAnsi="Times New Roman"/>
                <w:sz w:val="21"/>
                <w:szCs w:val="21"/>
              </w:rPr>
            </w:pPr>
            <w:r>
              <w:rPr>
                <w:rFonts w:ascii="Times New Roman" w:hAnsi="Times New Roman" w:cstheme="minorBidi" w:hint="eastAsia"/>
                <w:sz w:val="21"/>
                <w:szCs w:val="21"/>
              </w:rPr>
              <w:t>矿井水处理设施</w:t>
            </w:r>
            <w:r>
              <w:rPr>
                <w:rFonts w:ascii="Times New Roman" w:hAnsi="Times New Roman" w:cstheme="minorBidi"/>
                <w:sz w:val="21"/>
                <w:szCs w:val="21"/>
              </w:rPr>
              <w:t>2</w:t>
            </w:r>
            <w:r>
              <w:rPr>
                <w:rFonts w:ascii="Times New Roman" w:hAnsi="Times New Roman" w:cstheme="minorBidi" w:hint="eastAsia"/>
                <w:sz w:val="21"/>
                <w:szCs w:val="21"/>
              </w:rPr>
              <w:t>套，处理规模均</w:t>
            </w:r>
            <w:r>
              <w:rPr>
                <w:rFonts w:ascii="Times New Roman" w:hAnsi="Times New Roman" w:cstheme="minorBidi"/>
                <w:sz w:val="21"/>
                <w:szCs w:val="21"/>
              </w:rPr>
              <w:t>3500m</w:t>
            </w:r>
            <w:r>
              <w:rPr>
                <w:rFonts w:ascii="Times New Roman" w:hAnsi="Times New Roman" w:cstheme="minorBidi"/>
                <w:sz w:val="21"/>
                <w:szCs w:val="21"/>
                <w:vertAlign w:val="superscript"/>
              </w:rPr>
              <w:t>3</w:t>
            </w:r>
            <w:r>
              <w:rPr>
                <w:rFonts w:ascii="Times New Roman" w:hAnsi="Times New Roman" w:cstheme="minorBidi"/>
                <w:sz w:val="21"/>
                <w:szCs w:val="21"/>
              </w:rPr>
              <w:t>/d</w:t>
            </w:r>
            <w:r>
              <w:rPr>
                <w:rFonts w:ascii="Times New Roman" w:hAnsi="Times New Roman" w:cstheme="minorBidi" w:hint="eastAsia"/>
                <w:sz w:val="21"/>
                <w:szCs w:val="21"/>
              </w:rPr>
              <w:t>，采用混凝</w:t>
            </w:r>
            <w:r>
              <w:rPr>
                <w:rFonts w:ascii="Times New Roman" w:hAnsi="Times New Roman" w:cstheme="minorBidi"/>
                <w:sz w:val="21"/>
                <w:szCs w:val="21"/>
              </w:rPr>
              <w:t>+</w:t>
            </w:r>
            <w:r>
              <w:rPr>
                <w:rFonts w:ascii="Times New Roman" w:hAnsi="Times New Roman" w:cstheme="minorBidi" w:hint="eastAsia"/>
                <w:sz w:val="21"/>
                <w:szCs w:val="21"/>
              </w:rPr>
              <w:t>沉淀</w:t>
            </w:r>
            <w:r>
              <w:rPr>
                <w:rFonts w:ascii="Times New Roman" w:hAnsi="Times New Roman" w:cstheme="minorBidi"/>
                <w:sz w:val="21"/>
                <w:szCs w:val="21"/>
              </w:rPr>
              <w:t>”</w:t>
            </w:r>
            <w:r>
              <w:rPr>
                <w:rFonts w:ascii="Times New Roman" w:hAnsi="Times New Roman" w:cstheme="minorBidi" w:hint="eastAsia"/>
                <w:sz w:val="21"/>
                <w:szCs w:val="21"/>
              </w:rPr>
              <w:t>处理工艺进行处理</w:t>
            </w:r>
          </w:p>
        </w:tc>
        <w:tc>
          <w:tcPr>
            <w:tcW w:w="1857" w:type="pct"/>
          </w:tcPr>
          <w:p w14:paraId="6D15115D" w14:textId="77777777" w:rsidR="009C353B" w:rsidRDefault="00000000">
            <w:pPr>
              <w:spacing w:line="240" w:lineRule="atLeast"/>
              <w:rPr>
                <w:rFonts w:ascii="Times New Roman" w:hAnsi="Times New Roman"/>
                <w:sz w:val="21"/>
                <w:szCs w:val="21"/>
              </w:rPr>
            </w:pPr>
            <w:r>
              <w:rPr>
                <w:rFonts w:ascii="Times New Roman" w:hAnsi="Times New Roman" w:cstheme="minorBidi" w:hint="eastAsia"/>
                <w:sz w:val="21"/>
                <w:szCs w:val="21"/>
              </w:rPr>
              <w:t>矿井水处理达标后，用于地面及井下生产、洒水抑尘、黄泥灌浆用水等，不外排</w:t>
            </w:r>
          </w:p>
        </w:tc>
        <w:tc>
          <w:tcPr>
            <w:tcW w:w="252" w:type="pct"/>
          </w:tcPr>
          <w:p w14:paraId="5C480469"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已建</w:t>
            </w:r>
          </w:p>
        </w:tc>
      </w:tr>
      <w:tr w:rsidR="009C353B" w14:paraId="7F4BD2AF" w14:textId="77777777">
        <w:trPr>
          <w:trHeight w:val="340"/>
        </w:trPr>
        <w:tc>
          <w:tcPr>
            <w:tcW w:w="374" w:type="pct"/>
          </w:tcPr>
          <w:p w14:paraId="4F684C40"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丁家梁井田</w:t>
            </w:r>
          </w:p>
        </w:tc>
        <w:tc>
          <w:tcPr>
            <w:tcW w:w="556" w:type="pct"/>
          </w:tcPr>
          <w:p w14:paraId="6F421BEC"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6504m</w:t>
            </w:r>
            <w:r>
              <w:rPr>
                <w:rFonts w:ascii="Times New Roman" w:hAnsi="Times New Roman"/>
                <w:sz w:val="21"/>
                <w:szCs w:val="21"/>
                <w:vertAlign w:val="superscript"/>
              </w:rPr>
              <w:t>3</w:t>
            </w:r>
            <w:r>
              <w:rPr>
                <w:rFonts w:ascii="Times New Roman" w:hAnsi="Times New Roman"/>
                <w:sz w:val="21"/>
                <w:szCs w:val="21"/>
              </w:rPr>
              <w:t>/d</w:t>
            </w:r>
          </w:p>
        </w:tc>
        <w:tc>
          <w:tcPr>
            <w:tcW w:w="1960" w:type="pct"/>
          </w:tcPr>
          <w:p w14:paraId="5636236B" w14:textId="77777777" w:rsidR="009C353B" w:rsidRDefault="00000000">
            <w:pPr>
              <w:spacing w:line="240" w:lineRule="atLeast"/>
              <w:rPr>
                <w:rFonts w:ascii="Times New Roman" w:hAnsi="Times New Roman"/>
                <w:sz w:val="21"/>
                <w:szCs w:val="21"/>
              </w:rPr>
            </w:pPr>
            <w:r>
              <w:rPr>
                <w:rFonts w:ascii="Times New Roman" w:hAnsi="Times New Roman" w:hint="eastAsia"/>
                <w:sz w:val="21"/>
                <w:szCs w:val="21"/>
              </w:rPr>
              <w:t>规划</w:t>
            </w:r>
            <w:r>
              <w:rPr>
                <w:rFonts w:ascii="Times New Roman" w:hAnsi="Times New Roman"/>
                <w:sz w:val="21"/>
                <w:szCs w:val="21"/>
              </w:rPr>
              <w:t>建矿井水处理站</w:t>
            </w:r>
            <w:r>
              <w:rPr>
                <w:rFonts w:ascii="Times New Roman" w:hAnsi="Times New Roman"/>
                <w:sz w:val="21"/>
                <w:szCs w:val="21"/>
              </w:rPr>
              <w:t>1</w:t>
            </w:r>
            <w:r>
              <w:rPr>
                <w:rFonts w:ascii="Times New Roman" w:hAnsi="Times New Roman"/>
                <w:sz w:val="21"/>
                <w:szCs w:val="21"/>
              </w:rPr>
              <w:t>座，处理规模</w:t>
            </w:r>
            <w:r>
              <w:rPr>
                <w:rFonts w:ascii="Times New Roman" w:hAnsi="Times New Roman"/>
                <w:sz w:val="21"/>
                <w:szCs w:val="21"/>
              </w:rPr>
              <w:t>8000m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sz w:val="21"/>
                <w:szCs w:val="21"/>
              </w:rPr>
              <w:t>，采用混凝、沉淀、过滤、脱盐、消毒等处理工艺，</w:t>
            </w:r>
          </w:p>
        </w:tc>
        <w:tc>
          <w:tcPr>
            <w:tcW w:w="1857" w:type="pct"/>
          </w:tcPr>
          <w:p w14:paraId="75F9B548" w14:textId="77777777" w:rsidR="009C353B" w:rsidRDefault="00000000">
            <w:pPr>
              <w:spacing w:line="240" w:lineRule="atLeast"/>
              <w:rPr>
                <w:rFonts w:ascii="Times New Roman" w:hAnsi="Times New Roman"/>
                <w:sz w:val="21"/>
                <w:szCs w:val="21"/>
              </w:rPr>
            </w:pPr>
            <w:r>
              <w:rPr>
                <w:rFonts w:ascii="Times New Roman" w:hAnsi="Times New Roman" w:hint="eastAsia"/>
                <w:sz w:val="21"/>
                <w:szCs w:val="21"/>
              </w:rPr>
              <w:t>经处理后作为作为制胶用水、井下消防洒水、选煤厂的生产补充用水和煤化工基地用水，不外排</w:t>
            </w:r>
          </w:p>
        </w:tc>
        <w:tc>
          <w:tcPr>
            <w:tcW w:w="252" w:type="pct"/>
          </w:tcPr>
          <w:p w14:paraId="07AC7D33" w14:textId="77777777" w:rsidR="009C353B" w:rsidRDefault="00000000">
            <w:pPr>
              <w:spacing w:line="240" w:lineRule="atLeast"/>
              <w:jc w:val="center"/>
              <w:rPr>
                <w:rFonts w:ascii="Times New Roman" w:hAnsi="Times New Roman"/>
                <w:sz w:val="21"/>
                <w:szCs w:val="21"/>
              </w:rPr>
            </w:pPr>
            <w:r>
              <w:rPr>
                <w:rFonts w:ascii="Times New Roman" w:hAnsi="Times New Roman"/>
                <w:sz w:val="21"/>
                <w:szCs w:val="21"/>
              </w:rPr>
              <w:t>拟建</w:t>
            </w:r>
          </w:p>
        </w:tc>
      </w:tr>
    </w:tbl>
    <w:p w14:paraId="1ADE7684"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hint="eastAsia"/>
          <w:bCs/>
          <w:szCs w:val="24"/>
        </w:rPr>
        <w:t>（</w:t>
      </w:r>
      <w:r>
        <w:rPr>
          <w:rFonts w:ascii="Times New Roman" w:hAnsi="Times New Roman" w:hint="eastAsia"/>
          <w:bCs/>
          <w:szCs w:val="24"/>
        </w:rPr>
        <w:t>3</w:t>
      </w:r>
      <w:r>
        <w:rPr>
          <w:rFonts w:ascii="Times New Roman" w:hAnsi="Times New Roman" w:hint="eastAsia"/>
          <w:bCs/>
          <w:szCs w:val="24"/>
        </w:rPr>
        <w:t>）</w:t>
      </w:r>
      <w:r>
        <w:rPr>
          <w:rFonts w:ascii="Times New Roman" w:hAnsi="Times New Roman"/>
          <w:bCs/>
          <w:szCs w:val="24"/>
        </w:rPr>
        <w:t>煤泥水</w:t>
      </w:r>
    </w:p>
    <w:p w14:paraId="63757201" w14:textId="77777777" w:rsidR="009C353B" w:rsidRDefault="00000000">
      <w:pPr>
        <w:adjustRightInd w:val="0"/>
        <w:snapToGrid w:val="0"/>
        <w:spacing w:line="440" w:lineRule="exact"/>
        <w:ind w:firstLine="482"/>
        <w:rPr>
          <w:rFonts w:ascii="Times New Roman" w:hAnsi="Times New Roman"/>
          <w:bCs/>
          <w:szCs w:val="24"/>
        </w:rPr>
      </w:pPr>
      <w:r>
        <w:rPr>
          <w:rFonts w:ascii="Times New Roman" w:hAnsi="Times New Roman"/>
          <w:bCs/>
          <w:szCs w:val="24"/>
        </w:rPr>
        <w:t>选煤厂煤泥水水质差，悬浮物和</w:t>
      </w:r>
      <w:r>
        <w:rPr>
          <w:rFonts w:ascii="Times New Roman" w:hAnsi="Times New Roman"/>
          <w:bCs/>
          <w:szCs w:val="24"/>
        </w:rPr>
        <w:t>COD</w:t>
      </w:r>
      <w:r>
        <w:rPr>
          <w:rFonts w:ascii="Times New Roman" w:hAnsi="Times New Roman"/>
          <w:bCs/>
          <w:szCs w:val="24"/>
        </w:rPr>
        <w:t>含量高，</w:t>
      </w:r>
      <w:r>
        <w:rPr>
          <w:rFonts w:ascii="Times New Roman" w:hAnsi="Times New Roman" w:hint="eastAsia"/>
          <w:bCs/>
          <w:szCs w:val="24"/>
        </w:rPr>
        <w:t>目前三个已投产选煤厂均</w:t>
      </w:r>
      <w:r>
        <w:rPr>
          <w:rFonts w:ascii="Times New Roman" w:hAnsi="Times New Roman"/>
          <w:bCs/>
          <w:szCs w:val="24"/>
        </w:rPr>
        <w:t>实现了</w:t>
      </w:r>
      <w:r>
        <w:rPr>
          <w:rFonts w:ascii="Times New Roman" w:hAnsi="Times New Roman" w:hint="eastAsia"/>
          <w:bCs/>
          <w:szCs w:val="24"/>
        </w:rPr>
        <w:t>一级</w:t>
      </w:r>
      <w:r>
        <w:rPr>
          <w:rFonts w:ascii="Times New Roman" w:hAnsi="Times New Roman"/>
          <w:bCs/>
          <w:szCs w:val="24"/>
        </w:rPr>
        <w:t>闭路循环，不外排。</w:t>
      </w:r>
    </w:p>
    <w:p w14:paraId="2BA37837" w14:textId="77777777" w:rsidR="009C353B" w:rsidRDefault="00000000">
      <w:pPr>
        <w:adjustRightInd w:val="0"/>
        <w:snapToGrid w:val="0"/>
        <w:spacing w:line="440" w:lineRule="exact"/>
        <w:ind w:firstLine="482"/>
        <w:rPr>
          <w:rFonts w:ascii="Times New Roman" w:hAnsi="Times New Roman"/>
          <w:bCs/>
          <w:szCs w:val="24"/>
        </w:rPr>
      </w:pPr>
      <w:r>
        <w:rPr>
          <w:rFonts w:ascii="Times New Roman" w:hAnsi="Times New Roman"/>
          <w:bCs/>
          <w:szCs w:val="24"/>
        </w:rPr>
        <w:t>为防止事故状态下外排，各选煤厂</w:t>
      </w:r>
      <w:r>
        <w:rPr>
          <w:rFonts w:ascii="Times New Roman" w:hAnsi="Times New Roman" w:hint="eastAsia"/>
          <w:bCs/>
          <w:szCs w:val="24"/>
        </w:rPr>
        <w:t>均</w:t>
      </w:r>
      <w:r>
        <w:rPr>
          <w:rFonts w:ascii="Times New Roman" w:hAnsi="Times New Roman"/>
          <w:bCs/>
          <w:szCs w:val="24"/>
        </w:rPr>
        <w:t>设立事故浓缩池</w:t>
      </w:r>
      <w:r>
        <w:rPr>
          <w:rFonts w:ascii="Times New Roman" w:hAnsi="Times New Roman" w:hint="eastAsia"/>
          <w:bCs/>
          <w:szCs w:val="24"/>
        </w:rPr>
        <w:t>。</w:t>
      </w:r>
    </w:p>
    <w:p w14:paraId="3947A661" w14:textId="77777777" w:rsidR="009C353B" w:rsidRDefault="00000000">
      <w:pPr>
        <w:adjustRightInd w:val="0"/>
        <w:snapToGrid w:val="0"/>
        <w:spacing w:line="440" w:lineRule="exact"/>
        <w:ind w:firstLine="482"/>
        <w:rPr>
          <w:rFonts w:ascii="Times New Roman" w:hAnsi="Times New Roman"/>
          <w:bCs/>
          <w:szCs w:val="24"/>
        </w:rPr>
      </w:pPr>
      <w:r>
        <w:t>矿区内规划四座煤矿</w:t>
      </w:r>
      <w:r>
        <w:rPr>
          <w:rFonts w:hint="eastAsia"/>
        </w:rPr>
        <w:t>，</w:t>
      </w:r>
      <w:r>
        <w:t>矿井水和生活污水经过处理均能全部综合利用</w:t>
      </w:r>
      <w:r>
        <w:rPr>
          <w:rFonts w:hint="eastAsia"/>
        </w:rPr>
        <w:t>，</w:t>
      </w:r>
      <w:r>
        <w:t>综合利用途径可靠</w:t>
      </w:r>
      <w:r>
        <w:rPr>
          <w:rFonts w:hint="eastAsia"/>
        </w:rPr>
        <w:t>，</w:t>
      </w:r>
      <w:r>
        <w:t>确保了废污水外排不会进入地表水体</w:t>
      </w:r>
      <w:r>
        <w:rPr>
          <w:rFonts w:hint="eastAsia"/>
        </w:rPr>
        <w:t>，</w:t>
      </w:r>
      <w:r>
        <w:t>对矿区内地表水体水质无影响</w:t>
      </w:r>
    </w:p>
    <w:p w14:paraId="0CC6AD42"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9</w:t>
      </w:r>
      <w:r>
        <w:rPr>
          <w:rFonts w:ascii="Times New Roman" w:eastAsia="宋体" w:hAnsi="Times New Roman"/>
          <w:sz w:val="24"/>
        </w:rPr>
        <w:t xml:space="preserve">.3.1.2 </w:t>
      </w:r>
      <w:r>
        <w:rPr>
          <w:rFonts w:ascii="Times New Roman" w:eastAsia="宋体" w:hAnsi="Times New Roman" w:hint="eastAsia"/>
          <w:sz w:val="24"/>
        </w:rPr>
        <w:t>对大河子沟及鸭子荡水库的保护措施</w:t>
      </w:r>
    </w:p>
    <w:p w14:paraId="3CF1848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由于煤矿开采对</w:t>
      </w:r>
      <w:r>
        <w:rPr>
          <w:rFonts w:ascii="Times New Roman" w:hAnsi="Times New Roman" w:hint="eastAsia"/>
          <w:szCs w:val="24"/>
        </w:rPr>
        <w:t>大河子沟</w:t>
      </w:r>
      <w:r>
        <w:rPr>
          <w:rFonts w:ascii="Times New Roman" w:hAnsi="Times New Roman"/>
          <w:szCs w:val="24"/>
        </w:rPr>
        <w:t>、鸭子荡水库的影响较小，其保护措施主要以预防为主：</w:t>
      </w:r>
    </w:p>
    <w:p w14:paraId="1876412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w:t>
      </w:r>
      <w:r>
        <w:rPr>
          <w:rFonts w:ascii="Times New Roman" w:hAnsi="Times New Roman"/>
          <w:szCs w:val="24"/>
        </w:rPr>
        <w:t>建立地表移动监测系统，定期对地表变形、地面沉降进行监测，并建立合理的应对机制；</w:t>
      </w:r>
    </w:p>
    <w:p w14:paraId="0BAE56A7"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w:t>
      </w:r>
      <w:r>
        <w:rPr>
          <w:rFonts w:ascii="Times New Roman" w:hAnsi="Times New Roman"/>
          <w:szCs w:val="24"/>
        </w:rPr>
        <w:t>开采期间，加强煤层顶板涌水的水量和水质观测，建立长期水量和水质观测台账，定期对数据进行整理和分析，分析矿井水来源，以免造成鸭子荡水库水向井田的大量渗流，影响水库的功能及井田的安全；</w:t>
      </w:r>
    </w:p>
    <w:p w14:paraId="3A3F0435"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w:t>
      </w:r>
      <w:r>
        <w:rPr>
          <w:rFonts w:ascii="Times New Roman" w:hAnsi="Times New Roman"/>
          <w:szCs w:val="24"/>
        </w:rPr>
        <w:t>开采期间，同步对</w:t>
      </w:r>
      <w:r>
        <w:rPr>
          <w:rFonts w:ascii="Times New Roman" w:hAnsi="Times New Roman" w:hint="eastAsia"/>
          <w:szCs w:val="24"/>
        </w:rPr>
        <w:t>F</w:t>
      </w:r>
      <w:r>
        <w:rPr>
          <w:rFonts w:ascii="Times New Roman" w:hAnsi="Times New Roman"/>
          <w:szCs w:val="24"/>
        </w:rPr>
        <w:t>1</w:t>
      </w:r>
      <w:r>
        <w:rPr>
          <w:rFonts w:ascii="Times New Roman" w:hAnsi="Times New Roman" w:hint="eastAsia"/>
          <w:szCs w:val="24"/>
        </w:rPr>
        <w:t>断层、</w:t>
      </w:r>
      <w:r>
        <w:rPr>
          <w:rFonts w:ascii="Times New Roman" w:hAnsi="Times New Roman"/>
          <w:szCs w:val="24"/>
        </w:rPr>
        <w:t>鸭子荡水库堤坝加强观测。</w:t>
      </w:r>
    </w:p>
    <w:p w14:paraId="1E91404B" w14:textId="77777777" w:rsidR="009C353B" w:rsidRDefault="00000000">
      <w:pPr>
        <w:pStyle w:val="40"/>
        <w:adjustRightInd w:val="0"/>
        <w:snapToGrid w:val="0"/>
        <w:spacing w:before="0" w:after="0" w:line="440" w:lineRule="exact"/>
        <w:rPr>
          <w:rFonts w:ascii="Times New Roman" w:eastAsia="宋体" w:hAnsi="Times New Roman"/>
          <w:sz w:val="24"/>
        </w:rPr>
      </w:pPr>
      <w:r>
        <w:rPr>
          <w:rFonts w:ascii="Times New Roman" w:eastAsia="宋体" w:hAnsi="Times New Roman" w:hint="eastAsia"/>
          <w:sz w:val="24"/>
        </w:rPr>
        <w:t>9</w:t>
      </w:r>
      <w:r>
        <w:rPr>
          <w:rFonts w:ascii="Times New Roman" w:eastAsia="宋体" w:hAnsi="Times New Roman"/>
          <w:sz w:val="24"/>
        </w:rPr>
        <w:t xml:space="preserve">.3.1.3 </w:t>
      </w:r>
      <w:r>
        <w:rPr>
          <w:rFonts w:ascii="Times New Roman" w:eastAsia="宋体" w:hAnsi="Times New Roman" w:hint="eastAsia"/>
          <w:sz w:val="24"/>
        </w:rPr>
        <w:t>对水洞沟的保护措施</w:t>
      </w:r>
    </w:p>
    <w:p w14:paraId="455C4B52" w14:textId="77777777" w:rsidR="009C353B" w:rsidRDefault="00000000">
      <w:pPr>
        <w:spacing w:line="440" w:lineRule="exact"/>
        <w:ind w:firstLineChars="200" w:firstLine="480"/>
        <w:rPr>
          <w:rFonts w:ascii="Times New Roman" w:hAnsi="Times New Roman"/>
          <w:szCs w:val="24"/>
        </w:rPr>
      </w:pPr>
      <w:r>
        <w:rPr>
          <w:rFonts w:hint="eastAsia"/>
        </w:rPr>
        <w:t>开采产生的导水裂缝带发育高度不会导入地表，对水洞沟产生影响。但顶板垮落产生的地表变形、地裂缝会增大储水空间，并部分增加边沟地表水、</w:t>
      </w:r>
      <w:r>
        <w:rPr>
          <w:rFonts w:ascii="Times New Roman" w:hAnsi="Times New Roman"/>
        </w:rPr>
        <w:t>第</w:t>
      </w:r>
      <w:r>
        <w:rPr>
          <w:rFonts w:ascii="Times New Roman" w:hAnsi="Times New Roman"/>
        </w:rPr>
        <w:t>Ⅰ</w:t>
      </w:r>
      <w:r>
        <w:rPr>
          <w:rFonts w:ascii="Times New Roman" w:hAnsi="Times New Roman"/>
        </w:rPr>
        <w:t>含水层组、第</w:t>
      </w:r>
      <w:r>
        <w:rPr>
          <w:rFonts w:ascii="Times New Roman" w:hAnsi="Times New Roman"/>
        </w:rPr>
        <w:t>Ⅱ</w:t>
      </w:r>
      <w:r>
        <w:rPr>
          <w:rFonts w:ascii="Times New Roman" w:hAnsi="Times New Roman"/>
        </w:rPr>
        <w:t>含水层组的水力</w:t>
      </w:r>
      <w:r>
        <w:rPr>
          <w:rFonts w:hint="eastAsia"/>
        </w:rPr>
        <w:t>联系。应对</w:t>
      </w:r>
      <w:r>
        <w:t>马莲台</w:t>
      </w:r>
      <w:r>
        <w:rPr>
          <w:rFonts w:hint="eastAsia"/>
        </w:rPr>
        <w:t>、任家庄</w:t>
      </w:r>
      <w:r>
        <w:t>煤矿安排专人不定期的对长城边沟检查，发现裂隙立即做填堵、压实处理。</w:t>
      </w:r>
      <w:r>
        <w:rPr>
          <w:rFonts w:hint="eastAsia"/>
        </w:rPr>
        <w:t>由于受地表沉陷影响，</w:t>
      </w:r>
      <w:r>
        <w:rPr>
          <w:rFonts w:ascii="Times New Roman" w:hAnsi="Times New Roman" w:hint="eastAsia"/>
          <w:szCs w:val="24"/>
        </w:rPr>
        <w:t>红石湾受开采沉陷影响的河段下沉深度在</w:t>
      </w:r>
      <w:r>
        <w:rPr>
          <w:rFonts w:ascii="Times New Roman" w:hAnsi="Times New Roman" w:hint="eastAsia"/>
          <w:szCs w:val="24"/>
        </w:rPr>
        <w:t>0.01-5m</w:t>
      </w:r>
      <w:r>
        <w:rPr>
          <w:rFonts w:ascii="Times New Roman" w:hAnsi="Times New Roman" w:hint="eastAsia"/>
          <w:szCs w:val="24"/>
        </w:rPr>
        <w:t>之间，在局部区域可能因沉陷引起的高差变化造成水流变缓、河面扩大的情况，届时应加强观测，必要时采取疏通河道或抽水等措施，保证汇水通畅。</w:t>
      </w:r>
    </w:p>
    <w:p w14:paraId="00C26CF9"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9.3.2</w:t>
      </w:r>
      <w:r>
        <w:rPr>
          <w:rFonts w:ascii="Times New Roman" w:hAnsi="Times New Roman"/>
          <w:sz w:val="24"/>
        </w:rPr>
        <w:t xml:space="preserve"> </w:t>
      </w:r>
      <w:r>
        <w:rPr>
          <w:rFonts w:ascii="Times New Roman" w:hAnsi="Times New Roman" w:hint="eastAsia"/>
          <w:sz w:val="24"/>
        </w:rPr>
        <w:t>地下</w:t>
      </w:r>
      <w:r>
        <w:rPr>
          <w:rFonts w:ascii="Times New Roman" w:hAnsi="Times New Roman"/>
          <w:sz w:val="24"/>
        </w:rPr>
        <w:t>水环境保护措施</w:t>
      </w:r>
    </w:p>
    <w:p w14:paraId="3DDB3A50" w14:textId="77777777" w:rsidR="009C353B" w:rsidRDefault="00000000">
      <w:pPr>
        <w:spacing w:line="440" w:lineRule="exact"/>
        <w:ind w:firstLineChars="200" w:firstLine="480"/>
        <w:rPr>
          <w:rFonts w:hint="eastAsia"/>
        </w:rPr>
      </w:pPr>
      <w:bookmarkStart w:id="369" w:name="_Toc163441034"/>
      <w:bookmarkStart w:id="370" w:name="_Toc59189875"/>
      <w:bookmarkEnd w:id="366"/>
      <w:bookmarkEnd w:id="367"/>
      <w:bookmarkEnd w:id="368"/>
      <w:r>
        <w:t>按照“源头控制、分区防治、跟踪监测、应急响应”相结合的原则，从污染物的产生、入渗、扩散、应急响应等方面制定地下水环境保护措施。</w:t>
      </w:r>
    </w:p>
    <w:p w14:paraId="1E58EF33" w14:textId="77777777" w:rsidR="009C353B" w:rsidRDefault="00000000">
      <w:pPr>
        <w:spacing w:line="440" w:lineRule="exact"/>
        <w:outlineLvl w:val="3"/>
        <w:rPr>
          <w:rFonts w:ascii="Times New Roman" w:hAnsi="Times New Roman"/>
          <w:b/>
          <w:bCs/>
        </w:rPr>
      </w:pPr>
      <w:r>
        <w:rPr>
          <w:rFonts w:ascii="Times New Roman" w:hAnsi="Times New Roman"/>
          <w:b/>
          <w:bCs/>
        </w:rPr>
        <w:t xml:space="preserve">9.3.2.1 </w:t>
      </w:r>
      <w:r>
        <w:rPr>
          <w:rFonts w:ascii="Times New Roman" w:hAnsi="Times New Roman"/>
          <w:b/>
          <w:bCs/>
        </w:rPr>
        <w:t>源头控制</w:t>
      </w:r>
    </w:p>
    <w:p w14:paraId="54DD3831" w14:textId="77777777" w:rsidR="009C353B" w:rsidRDefault="00000000">
      <w:pPr>
        <w:spacing w:line="440" w:lineRule="exact"/>
        <w:ind w:firstLineChars="200" w:firstLine="480"/>
        <w:rPr>
          <w:rFonts w:hint="eastAsia"/>
        </w:rPr>
      </w:pPr>
      <w:r>
        <w:rPr>
          <w:rFonts w:hint="eastAsia"/>
        </w:rPr>
        <w:t>（1）</w:t>
      </w:r>
      <w:r>
        <w:t>对产生的废污水进行综合利用，尽可能从源头上减少废污水的产生；</w:t>
      </w:r>
    </w:p>
    <w:p w14:paraId="45C18046" w14:textId="77777777" w:rsidR="009C353B" w:rsidRDefault="00000000">
      <w:pPr>
        <w:spacing w:line="440" w:lineRule="exact"/>
        <w:ind w:firstLineChars="200" w:firstLine="480"/>
        <w:rPr>
          <w:rFonts w:hint="eastAsia"/>
        </w:rPr>
      </w:pPr>
      <w:r>
        <w:rPr>
          <w:rFonts w:hint="eastAsia"/>
        </w:rPr>
        <w:t>（2）</w:t>
      </w:r>
      <w:r>
        <w:t>污水储存及处理的设施、建构筑物采取防渗漏措施，避免或减少污水的跑、冒、滴、漏，将废水泄漏的环境风险事故降低到最低程度；</w:t>
      </w:r>
    </w:p>
    <w:p w14:paraId="2B62DA6B" w14:textId="77777777" w:rsidR="009C353B" w:rsidRDefault="00000000">
      <w:pPr>
        <w:spacing w:line="440" w:lineRule="exact"/>
        <w:ind w:firstLineChars="200" w:firstLine="480"/>
        <w:rPr>
          <w:rFonts w:hint="eastAsia"/>
        </w:rPr>
      </w:pPr>
      <w:r>
        <w:rPr>
          <w:rFonts w:hint="eastAsia"/>
        </w:rPr>
        <w:t>（3）</w:t>
      </w:r>
      <w:r>
        <w:t>废污水管线尽量地面铺设，做到废水泄漏早发现、早处理；</w:t>
      </w:r>
    </w:p>
    <w:p w14:paraId="0A61FE4F" w14:textId="77777777" w:rsidR="009C353B" w:rsidRDefault="00000000">
      <w:pPr>
        <w:spacing w:line="440" w:lineRule="exact"/>
        <w:ind w:firstLineChars="200" w:firstLine="480"/>
        <w:rPr>
          <w:rFonts w:hint="eastAsia"/>
        </w:rPr>
      </w:pPr>
      <w:r>
        <w:rPr>
          <w:rFonts w:hint="eastAsia"/>
        </w:rPr>
        <w:t>（4）</w:t>
      </w:r>
      <w:r>
        <w:t>进行质量体系认证，实现“质量、安全、环境”三位一体的全面质量管理目标；</w:t>
      </w:r>
    </w:p>
    <w:p w14:paraId="6C65E274" w14:textId="77777777" w:rsidR="009C353B" w:rsidRDefault="00000000">
      <w:pPr>
        <w:spacing w:line="440" w:lineRule="exact"/>
        <w:ind w:firstLineChars="200" w:firstLine="480"/>
        <w:rPr>
          <w:rFonts w:hint="eastAsia"/>
        </w:rPr>
      </w:pPr>
      <w:r>
        <w:rPr>
          <w:rFonts w:hint="eastAsia"/>
        </w:rPr>
        <w:t>（5）</w:t>
      </w:r>
      <w:r>
        <w:t>建立有关规章制度和岗位责任制，制定风险预警方案，设立应急设施减轻环境污染影响。</w:t>
      </w:r>
    </w:p>
    <w:p w14:paraId="1BAD8077" w14:textId="77777777" w:rsidR="009C353B" w:rsidRDefault="00000000">
      <w:pPr>
        <w:spacing w:line="440" w:lineRule="exact"/>
        <w:outlineLvl w:val="3"/>
        <w:rPr>
          <w:rFonts w:ascii="Times New Roman" w:hAnsi="Times New Roman"/>
          <w:b/>
          <w:bCs/>
        </w:rPr>
      </w:pPr>
      <w:r>
        <w:rPr>
          <w:rFonts w:ascii="Times New Roman" w:hAnsi="Times New Roman" w:hint="eastAsia"/>
          <w:b/>
          <w:bCs/>
        </w:rPr>
        <w:t>9.3.2.2</w:t>
      </w:r>
      <w:r>
        <w:rPr>
          <w:rFonts w:ascii="Times New Roman" w:hAnsi="Times New Roman"/>
          <w:b/>
          <w:bCs/>
        </w:rPr>
        <w:t xml:space="preserve"> </w:t>
      </w:r>
      <w:r>
        <w:rPr>
          <w:rFonts w:ascii="Times New Roman" w:hAnsi="Times New Roman"/>
          <w:b/>
          <w:bCs/>
        </w:rPr>
        <w:t>分区防治</w:t>
      </w:r>
    </w:p>
    <w:p w14:paraId="6A2626AD" w14:textId="77777777" w:rsidR="009C353B" w:rsidRDefault="00000000">
      <w:pPr>
        <w:spacing w:line="440" w:lineRule="exact"/>
        <w:ind w:firstLineChars="200" w:firstLine="480"/>
        <w:rPr>
          <w:rFonts w:hint="eastAsia"/>
        </w:rPr>
      </w:pPr>
      <w:r>
        <w:t>本次评价要求针对</w:t>
      </w:r>
      <w:r>
        <w:rPr>
          <w:rFonts w:hint="eastAsia"/>
        </w:rPr>
        <w:t>各矿井</w:t>
      </w:r>
      <w:r>
        <w:t>工业场地和矸石场存在的环境问题，采取改进措施，保护地下水环境。</w:t>
      </w:r>
    </w:p>
    <w:p w14:paraId="54A6A5B2" w14:textId="77777777" w:rsidR="009C353B" w:rsidRDefault="00000000">
      <w:pPr>
        <w:spacing w:line="440" w:lineRule="exact"/>
        <w:ind w:firstLineChars="200" w:firstLine="480"/>
        <w:rPr>
          <w:rFonts w:hint="eastAsia"/>
        </w:rPr>
      </w:pPr>
      <w:r>
        <w:rPr>
          <w:rFonts w:hint="eastAsia"/>
        </w:rPr>
        <w:t>（1）</w:t>
      </w:r>
      <w:r>
        <w:t>采区</w:t>
      </w:r>
    </w:p>
    <w:p w14:paraId="182F7841" w14:textId="77777777" w:rsidR="009C353B" w:rsidRDefault="00000000">
      <w:pPr>
        <w:spacing w:line="440" w:lineRule="exact"/>
        <w:ind w:firstLineChars="200" w:firstLine="480"/>
        <w:rPr>
          <w:rFonts w:hint="eastAsia"/>
        </w:rPr>
      </w:pPr>
      <w:r>
        <w:rPr>
          <w:rFonts w:hint="eastAsia"/>
        </w:rPr>
        <w:t>1）</w:t>
      </w:r>
      <w:r>
        <w:t>坚持预测预报、有疑必探、先探后掘、先治后采的原则，采取防、堵、疏、排、截的综合治理措施；</w:t>
      </w:r>
    </w:p>
    <w:p w14:paraId="7025203D" w14:textId="77777777" w:rsidR="009C353B" w:rsidRDefault="00000000">
      <w:pPr>
        <w:spacing w:line="440" w:lineRule="exact"/>
        <w:ind w:firstLineChars="200" w:firstLine="480"/>
        <w:rPr>
          <w:rFonts w:hint="eastAsia"/>
        </w:rPr>
      </w:pPr>
      <w:r>
        <w:rPr>
          <w:rFonts w:hint="eastAsia"/>
        </w:rPr>
        <w:t>2）</w:t>
      </w:r>
      <w:r>
        <w:t>采空区积水区采取留设防（隔）水煤柱或相应探放水措施；</w:t>
      </w:r>
    </w:p>
    <w:p w14:paraId="5B52C110" w14:textId="77777777" w:rsidR="009C353B" w:rsidRDefault="00000000">
      <w:pPr>
        <w:spacing w:line="440" w:lineRule="exact"/>
        <w:ind w:firstLineChars="200" w:firstLine="480"/>
        <w:rPr>
          <w:rFonts w:hint="eastAsia"/>
        </w:rPr>
      </w:pPr>
      <w:r>
        <w:rPr>
          <w:rFonts w:hint="eastAsia"/>
        </w:rPr>
        <w:t>3）</w:t>
      </w:r>
      <w:r>
        <w:t>设置有效的导排水系统，通过排水系统可以将流入井下的水直接排放到地表，保证煤矿的正常生产；</w:t>
      </w:r>
    </w:p>
    <w:p w14:paraId="10C57B3A" w14:textId="77777777" w:rsidR="009C353B" w:rsidRDefault="00000000">
      <w:pPr>
        <w:spacing w:line="440" w:lineRule="exact"/>
        <w:ind w:firstLineChars="200" w:firstLine="480"/>
        <w:rPr>
          <w:rFonts w:hint="eastAsia"/>
        </w:rPr>
      </w:pPr>
      <w:r>
        <w:rPr>
          <w:rFonts w:hint="eastAsia"/>
        </w:rPr>
        <w:t>4）</w:t>
      </w:r>
      <w:r>
        <w:t>制定井下突水、透水事故的应急预案。</w:t>
      </w:r>
    </w:p>
    <w:p w14:paraId="03150F94" w14:textId="77777777" w:rsidR="009C353B" w:rsidRDefault="00000000">
      <w:pPr>
        <w:spacing w:line="440" w:lineRule="exact"/>
        <w:ind w:firstLineChars="200" w:firstLine="480"/>
        <w:rPr>
          <w:rFonts w:hint="eastAsia"/>
        </w:rPr>
      </w:pPr>
      <w:r>
        <w:rPr>
          <w:rFonts w:hint="eastAsia"/>
        </w:rPr>
        <w:t>（2）</w:t>
      </w:r>
      <w:r>
        <w:t>工业场地</w:t>
      </w:r>
    </w:p>
    <w:p w14:paraId="5A035A62" w14:textId="77777777" w:rsidR="009C353B" w:rsidRDefault="00000000">
      <w:pPr>
        <w:spacing w:line="440" w:lineRule="exact"/>
        <w:ind w:firstLineChars="200" w:firstLine="480"/>
        <w:rPr>
          <w:rFonts w:hint="eastAsia"/>
        </w:rPr>
      </w:pPr>
      <w:r>
        <w:rPr>
          <w:rFonts w:hint="eastAsia"/>
        </w:rPr>
        <w:t>1）</w:t>
      </w:r>
      <w:r>
        <w:t>工业场地矿井水处理站各水池、生活污水处理站各水池、以及机修车间采取有效的防渗措施；</w:t>
      </w:r>
    </w:p>
    <w:p w14:paraId="4DAF5598" w14:textId="77777777" w:rsidR="009C353B" w:rsidRDefault="00000000">
      <w:pPr>
        <w:spacing w:line="440" w:lineRule="exact"/>
        <w:ind w:firstLineChars="200" w:firstLine="480"/>
        <w:rPr>
          <w:rFonts w:hint="eastAsia"/>
        </w:rPr>
      </w:pPr>
      <w:r>
        <w:rPr>
          <w:rFonts w:hint="eastAsia"/>
        </w:rPr>
        <w:t>2）</w:t>
      </w:r>
      <w:r>
        <w:t>对车间地面出现的裂缝及时充填，并在表面涂抹水泥基渗透结晶涂料和环氧胶料面层。</w:t>
      </w:r>
    </w:p>
    <w:p w14:paraId="5A737997" w14:textId="77777777" w:rsidR="009C353B" w:rsidRDefault="00000000">
      <w:pPr>
        <w:spacing w:line="440" w:lineRule="exact"/>
        <w:ind w:firstLineChars="200" w:firstLine="480"/>
        <w:rPr>
          <w:rFonts w:hint="eastAsia"/>
        </w:rPr>
      </w:pPr>
      <w:r>
        <w:rPr>
          <w:rFonts w:hint="eastAsia"/>
        </w:rPr>
        <w:t>（3）</w:t>
      </w:r>
      <w:r>
        <w:t>矸石场</w:t>
      </w:r>
    </w:p>
    <w:p w14:paraId="1B0C79BD" w14:textId="77777777" w:rsidR="009C353B" w:rsidRDefault="00000000">
      <w:pPr>
        <w:spacing w:line="440" w:lineRule="exact"/>
        <w:ind w:firstLineChars="200" w:firstLine="480"/>
        <w:rPr>
          <w:rFonts w:hint="eastAsia"/>
        </w:rPr>
      </w:pPr>
      <w:r>
        <w:rPr>
          <w:rFonts w:hint="eastAsia"/>
        </w:rPr>
        <w:t>1）</w:t>
      </w:r>
      <w:r>
        <w:t>矸石场周围设置截排水沟，减少汇入矸石场的大气降水形成的地表径流；</w:t>
      </w:r>
    </w:p>
    <w:p w14:paraId="48A70002" w14:textId="77777777" w:rsidR="009C353B" w:rsidRDefault="00000000">
      <w:pPr>
        <w:spacing w:line="440" w:lineRule="exact"/>
        <w:ind w:firstLineChars="200" w:firstLine="480"/>
        <w:rPr>
          <w:rFonts w:hint="eastAsia"/>
        </w:rPr>
      </w:pPr>
      <w:r>
        <w:rPr>
          <w:rFonts w:hint="eastAsia"/>
        </w:rPr>
        <w:t>2）</w:t>
      </w:r>
      <w:r>
        <w:t>矸石场下游设置拦石坝或挡土墙。</w:t>
      </w:r>
    </w:p>
    <w:p w14:paraId="49B816FB" w14:textId="77777777" w:rsidR="009C353B" w:rsidRDefault="00000000">
      <w:pPr>
        <w:spacing w:line="440" w:lineRule="exact"/>
        <w:outlineLvl w:val="3"/>
        <w:rPr>
          <w:rFonts w:ascii="Times New Roman" w:hAnsi="Times New Roman"/>
          <w:b/>
          <w:bCs/>
        </w:rPr>
      </w:pPr>
      <w:r>
        <w:rPr>
          <w:rFonts w:ascii="Times New Roman" w:hAnsi="Times New Roman" w:hint="eastAsia"/>
          <w:b/>
          <w:bCs/>
        </w:rPr>
        <w:t>9.3.2.3</w:t>
      </w:r>
      <w:r>
        <w:rPr>
          <w:rFonts w:ascii="Times New Roman" w:hAnsi="Times New Roman"/>
          <w:b/>
          <w:bCs/>
        </w:rPr>
        <w:t xml:space="preserve"> </w:t>
      </w:r>
      <w:r>
        <w:rPr>
          <w:rFonts w:ascii="Times New Roman" w:hAnsi="Times New Roman"/>
          <w:b/>
          <w:bCs/>
        </w:rPr>
        <w:t>跟踪监测</w:t>
      </w:r>
    </w:p>
    <w:p w14:paraId="36567540" w14:textId="77777777" w:rsidR="009C353B" w:rsidRDefault="00000000">
      <w:pPr>
        <w:spacing w:line="440" w:lineRule="exact"/>
        <w:ind w:firstLineChars="200" w:firstLine="480"/>
        <w:rPr>
          <w:rFonts w:hint="eastAsia"/>
        </w:rPr>
      </w:pPr>
      <w:r>
        <w:rPr>
          <w:rFonts w:hint="eastAsia"/>
        </w:rPr>
        <w:t>矿区第四系</w:t>
      </w:r>
      <w:r>
        <w:t>含水层，一般厚0.7～5.5m，</w:t>
      </w:r>
      <w:r>
        <w:rPr>
          <w:rFonts w:hint="eastAsia"/>
        </w:rPr>
        <w:t>大多透水不含水，</w:t>
      </w:r>
      <w:r>
        <w:t>透水性好，富水性弱，仅在低洼处方含水。</w:t>
      </w:r>
      <w:r>
        <w:rPr>
          <w:rFonts w:hint="eastAsia"/>
        </w:rPr>
        <w:t>据现场踏勘，通过本次布设的</w:t>
      </w:r>
      <w:r>
        <w:t>10个监测点，以及对监测点周围现场调查（现场图片见图3.3-2），有的水井已经消失，有的水井无水，主要是</w:t>
      </w:r>
      <w:r>
        <w:rPr>
          <w:rFonts w:hint="eastAsia"/>
        </w:rPr>
        <w:t>第四系</w:t>
      </w:r>
      <w:r>
        <w:t>含水层大多透水不含水，无稳定潜水含水层。故</w:t>
      </w:r>
      <w:r>
        <w:rPr>
          <w:rFonts w:hint="eastAsia"/>
        </w:rPr>
        <w:t>为了掌</w:t>
      </w:r>
      <w:r>
        <w:t>握项目区地下水环境质量状况和地下水水质的变化情况，在</w:t>
      </w:r>
      <w:r>
        <w:rPr>
          <w:rFonts w:hint="eastAsia"/>
        </w:rPr>
        <w:t>任家庄、红石湾、马莲台、丁家梁</w:t>
      </w:r>
      <w:r>
        <w:t>煤矿主工业场地、矸石场</w:t>
      </w:r>
      <w:r>
        <w:rPr>
          <w:rFonts w:hint="eastAsia"/>
        </w:rPr>
        <w:t>各</w:t>
      </w:r>
      <w:r>
        <w:t xml:space="preserve">设置 </w:t>
      </w:r>
      <w:r>
        <w:rPr>
          <w:rFonts w:hint="eastAsia"/>
        </w:rPr>
        <w:t>1</w:t>
      </w:r>
      <w:r>
        <w:t xml:space="preserve"> 眼地下水监测井</w:t>
      </w:r>
      <w:r>
        <w:rPr>
          <w:rFonts w:hint="eastAsia"/>
        </w:rPr>
        <w:t>，对古近系清水营组孔隙裂隙承压水含水层地</w:t>
      </w:r>
      <w:r>
        <w:t>下水水质</w:t>
      </w:r>
      <w:r>
        <w:rPr>
          <w:rFonts w:hint="eastAsia"/>
        </w:rPr>
        <w:t>、水位进行长期监测</w:t>
      </w:r>
      <w:r>
        <w:t>。</w:t>
      </w:r>
    </w:p>
    <w:p w14:paraId="2DDCD877" w14:textId="77777777" w:rsidR="009C353B" w:rsidRDefault="00000000">
      <w:pPr>
        <w:spacing w:line="440" w:lineRule="exact"/>
        <w:ind w:left="480"/>
        <w:rPr>
          <w:rFonts w:hint="eastAsia"/>
        </w:rPr>
      </w:pPr>
      <w:r>
        <w:rPr>
          <w:rFonts w:hint="eastAsia"/>
        </w:rPr>
        <w:t>（1）监测点位</w:t>
      </w:r>
    </w:p>
    <w:p w14:paraId="0C691A43" w14:textId="77777777" w:rsidR="009C353B" w:rsidRDefault="00000000">
      <w:pPr>
        <w:spacing w:line="440" w:lineRule="exact"/>
        <w:ind w:left="480"/>
        <w:rPr>
          <w:rFonts w:ascii="Times New Roman" w:hAnsi="Times New Roman"/>
        </w:rPr>
      </w:pPr>
      <w:r>
        <w:t>地下水</w:t>
      </w:r>
      <w:r>
        <w:rPr>
          <w:rFonts w:ascii="Times New Roman" w:hAnsi="Times New Roman"/>
        </w:rPr>
        <w:t>监测井概况见表</w:t>
      </w:r>
      <w:r>
        <w:rPr>
          <w:rFonts w:ascii="Times New Roman" w:hAnsi="Times New Roman"/>
        </w:rPr>
        <w:t xml:space="preserve"> 9.3-3</w:t>
      </w:r>
      <w:r>
        <w:rPr>
          <w:rFonts w:ascii="Times New Roman" w:hAnsi="Times New Roman"/>
        </w:rPr>
        <w:t>。</w:t>
      </w:r>
    </w:p>
    <w:p w14:paraId="37212554" w14:textId="77777777" w:rsidR="009C353B" w:rsidRDefault="00000000">
      <w:pPr>
        <w:adjustRightInd w:val="0"/>
        <w:snapToGrid w:val="0"/>
        <w:spacing w:line="440" w:lineRule="exact"/>
        <w:jc w:val="center"/>
        <w:rPr>
          <w:rFonts w:ascii="Times New Roman" w:hAnsi="Times New Roman"/>
          <w:b/>
          <w:szCs w:val="24"/>
        </w:rPr>
      </w:pPr>
      <w:r>
        <w:rPr>
          <w:rFonts w:ascii="Times New Roman" w:hAnsi="Times New Roman"/>
          <w:b/>
          <w:szCs w:val="24"/>
        </w:rPr>
        <w:t>地下水跟踪监测井概况</w:t>
      </w:r>
    </w:p>
    <w:p w14:paraId="0DA1C8B5" w14:textId="77777777" w:rsidR="009C353B" w:rsidRDefault="00000000">
      <w:pPr>
        <w:pStyle w:val="affffd"/>
        <w:spacing w:line="440" w:lineRule="exact"/>
        <w:rPr>
          <w:rFonts w:ascii="Times New Roman" w:hint="eastAsia"/>
        </w:rPr>
      </w:pPr>
      <w:r>
        <w:rPr>
          <w:rFonts w:ascii="Times New Roman"/>
        </w:rPr>
        <w:t>表</w:t>
      </w:r>
      <w:r>
        <w:rPr>
          <w:rFonts w:ascii="Times New Roman"/>
        </w:rPr>
        <w:t xml:space="preserve"> 9.3-3</w:t>
      </w:r>
    </w:p>
    <w:tbl>
      <w:tblPr>
        <w:tblStyle w:val="TableNormal"/>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4"/>
        <w:gridCol w:w="2107"/>
        <w:gridCol w:w="1782"/>
        <w:gridCol w:w="1780"/>
        <w:gridCol w:w="1778"/>
      </w:tblGrid>
      <w:tr w:rsidR="009C353B" w14:paraId="72580750" w14:textId="77777777">
        <w:trPr>
          <w:trHeight w:hRule="exact" w:val="648"/>
          <w:jc w:val="center"/>
        </w:trPr>
        <w:tc>
          <w:tcPr>
            <w:tcW w:w="900" w:type="pct"/>
            <w:vAlign w:val="center"/>
          </w:tcPr>
          <w:p w14:paraId="129D7C48" w14:textId="77777777" w:rsidR="009C353B" w:rsidRDefault="00000000">
            <w:pPr>
              <w:pStyle w:val="TableParagraph"/>
              <w:spacing w:before="146"/>
              <w:ind w:left="232" w:right="134"/>
              <w:rPr>
                <w:rFonts w:ascii="Times New Roman" w:eastAsiaTheme="minorEastAsia" w:hAnsi="Times New Roman"/>
                <w:bCs/>
                <w:sz w:val="21"/>
                <w:lang w:eastAsia="en-US"/>
              </w:rPr>
            </w:pPr>
            <w:r>
              <w:rPr>
                <w:rFonts w:ascii="Times New Roman" w:eastAsiaTheme="minorEastAsia" w:hAnsi="Times New Roman"/>
                <w:bCs/>
                <w:sz w:val="21"/>
              </w:rPr>
              <w:t>煤矿</w:t>
            </w:r>
          </w:p>
        </w:tc>
        <w:tc>
          <w:tcPr>
            <w:tcW w:w="1160" w:type="pct"/>
            <w:vAlign w:val="center"/>
          </w:tcPr>
          <w:p w14:paraId="3EB5964C" w14:textId="77777777" w:rsidR="009C353B" w:rsidRDefault="00000000">
            <w:pPr>
              <w:pStyle w:val="TableParagraph"/>
              <w:spacing w:before="146"/>
              <w:rPr>
                <w:rFonts w:ascii="Times New Roman" w:eastAsiaTheme="minorEastAsia" w:hAnsi="Times New Roman"/>
                <w:bCs/>
                <w:sz w:val="21"/>
                <w:lang w:eastAsia="en-US"/>
              </w:rPr>
            </w:pPr>
            <w:r>
              <w:rPr>
                <w:rFonts w:ascii="Times New Roman" w:eastAsiaTheme="minorEastAsia" w:hAnsi="Times New Roman"/>
                <w:bCs/>
                <w:sz w:val="21"/>
                <w:lang w:eastAsia="en-US"/>
              </w:rPr>
              <w:t>位置</w:t>
            </w:r>
          </w:p>
        </w:tc>
        <w:tc>
          <w:tcPr>
            <w:tcW w:w="981" w:type="pct"/>
            <w:vAlign w:val="center"/>
          </w:tcPr>
          <w:p w14:paraId="5753A7AB" w14:textId="77777777" w:rsidR="009C353B" w:rsidRDefault="00000000">
            <w:pPr>
              <w:pStyle w:val="TableParagraph"/>
              <w:spacing w:before="146"/>
              <w:ind w:left="227"/>
              <w:rPr>
                <w:rFonts w:ascii="Times New Roman" w:eastAsiaTheme="minorEastAsia" w:hAnsi="Times New Roman"/>
                <w:bCs/>
                <w:sz w:val="21"/>
                <w:lang w:eastAsia="en-US"/>
              </w:rPr>
            </w:pPr>
            <w:r>
              <w:rPr>
                <w:rFonts w:ascii="Times New Roman" w:eastAsiaTheme="minorEastAsia" w:hAnsi="Times New Roman"/>
                <w:bCs/>
                <w:sz w:val="21"/>
                <w:lang w:eastAsia="en-US"/>
              </w:rPr>
              <w:t>层位</w:t>
            </w:r>
          </w:p>
        </w:tc>
        <w:tc>
          <w:tcPr>
            <w:tcW w:w="980" w:type="pct"/>
            <w:vAlign w:val="center"/>
          </w:tcPr>
          <w:p w14:paraId="3F541E97" w14:textId="77777777" w:rsidR="009C353B" w:rsidRDefault="00000000">
            <w:pPr>
              <w:pStyle w:val="TableParagraph"/>
              <w:spacing w:before="146"/>
              <w:ind w:left="110"/>
              <w:rPr>
                <w:rFonts w:ascii="Times New Roman" w:eastAsiaTheme="minorEastAsia" w:hAnsi="Times New Roman"/>
                <w:bCs/>
                <w:sz w:val="21"/>
                <w:lang w:eastAsia="en-US"/>
              </w:rPr>
            </w:pPr>
            <w:r>
              <w:rPr>
                <w:rFonts w:ascii="Times New Roman" w:eastAsiaTheme="minorEastAsia" w:hAnsi="Times New Roman"/>
                <w:bCs/>
                <w:sz w:val="21"/>
                <w:lang w:eastAsia="en-US"/>
              </w:rPr>
              <w:t>监测频次</w:t>
            </w:r>
          </w:p>
        </w:tc>
        <w:tc>
          <w:tcPr>
            <w:tcW w:w="979" w:type="pct"/>
            <w:vAlign w:val="center"/>
          </w:tcPr>
          <w:p w14:paraId="19266E09" w14:textId="77777777" w:rsidR="009C353B" w:rsidRDefault="00000000">
            <w:pPr>
              <w:pStyle w:val="TableParagraph"/>
              <w:spacing w:before="146"/>
              <w:rPr>
                <w:rFonts w:ascii="Times New Roman" w:eastAsiaTheme="minorEastAsia" w:hAnsi="Times New Roman"/>
                <w:bCs/>
                <w:sz w:val="21"/>
                <w:lang w:eastAsia="en-US"/>
              </w:rPr>
            </w:pPr>
            <w:r>
              <w:rPr>
                <w:rFonts w:ascii="Times New Roman" w:eastAsiaTheme="minorEastAsia" w:hAnsi="Times New Roman"/>
                <w:bCs/>
                <w:sz w:val="21"/>
                <w:lang w:eastAsia="en-US"/>
              </w:rPr>
              <w:t>监测</w:t>
            </w:r>
            <w:r>
              <w:rPr>
                <w:rFonts w:ascii="Times New Roman" w:eastAsiaTheme="minorEastAsia" w:hAnsi="Times New Roman" w:hint="eastAsia"/>
                <w:bCs/>
                <w:sz w:val="21"/>
              </w:rPr>
              <w:t>项目</w:t>
            </w:r>
          </w:p>
        </w:tc>
      </w:tr>
      <w:tr w:rsidR="009C353B" w14:paraId="3DE3E3C0" w14:textId="77777777">
        <w:trPr>
          <w:trHeight w:hRule="exact" w:val="803"/>
          <w:jc w:val="center"/>
        </w:trPr>
        <w:tc>
          <w:tcPr>
            <w:tcW w:w="900" w:type="pct"/>
            <w:vMerge w:val="restart"/>
            <w:vAlign w:val="center"/>
          </w:tcPr>
          <w:p w14:paraId="361D832C" w14:textId="77777777" w:rsidR="009C353B" w:rsidRDefault="00000000">
            <w:pPr>
              <w:pStyle w:val="TableParagraph"/>
              <w:ind w:left="232" w:right="134"/>
              <w:rPr>
                <w:rFonts w:ascii="Times New Roman" w:eastAsiaTheme="minorEastAsia" w:hAnsi="Times New Roman"/>
                <w:bCs/>
                <w:sz w:val="21"/>
              </w:rPr>
            </w:pPr>
            <w:r>
              <w:rPr>
                <w:rFonts w:ascii="Times New Roman" w:eastAsiaTheme="minorEastAsia" w:hAnsi="Times New Roman"/>
                <w:bCs/>
                <w:sz w:val="21"/>
              </w:rPr>
              <w:t>任家庄</w:t>
            </w:r>
          </w:p>
          <w:p w14:paraId="253DF33F" w14:textId="77777777" w:rsidR="009C353B" w:rsidRDefault="00000000">
            <w:pPr>
              <w:pStyle w:val="TableParagraph"/>
              <w:ind w:left="232" w:right="134"/>
              <w:rPr>
                <w:rFonts w:ascii="Times New Roman" w:eastAsiaTheme="minorEastAsia" w:hAnsi="Times New Roman"/>
                <w:bCs/>
                <w:sz w:val="21"/>
              </w:rPr>
            </w:pPr>
            <w:r>
              <w:rPr>
                <w:rFonts w:ascii="Times New Roman" w:eastAsiaTheme="minorEastAsia" w:hAnsi="Times New Roman" w:hint="eastAsia"/>
                <w:bCs/>
                <w:sz w:val="21"/>
              </w:rPr>
              <w:t>红石湾</w:t>
            </w:r>
          </w:p>
          <w:p w14:paraId="54A97D92" w14:textId="77777777" w:rsidR="009C353B" w:rsidRDefault="00000000">
            <w:pPr>
              <w:pStyle w:val="TableParagraph"/>
              <w:ind w:left="232" w:right="134"/>
              <w:rPr>
                <w:rFonts w:ascii="Times New Roman" w:eastAsiaTheme="minorEastAsia" w:hAnsi="Times New Roman"/>
                <w:bCs/>
                <w:sz w:val="21"/>
              </w:rPr>
            </w:pPr>
            <w:r>
              <w:rPr>
                <w:rFonts w:ascii="Times New Roman" w:eastAsiaTheme="minorEastAsia" w:hAnsi="Times New Roman"/>
                <w:bCs/>
                <w:sz w:val="21"/>
              </w:rPr>
              <w:t>马莲台</w:t>
            </w:r>
          </w:p>
          <w:p w14:paraId="05432109" w14:textId="77777777" w:rsidR="009C353B" w:rsidRDefault="00000000">
            <w:pPr>
              <w:pStyle w:val="TableParagraph"/>
              <w:ind w:left="232" w:right="134"/>
              <w:rPr>
                <w:rFonts w:ascii="Times New Roman" w:eastAsiaTheme="minorEastAsia" w:hAnsi="Times New Roman"/>
                <w:bCs/>
                <w:sz w:val="21"/>
              </w:rPr>
            </w:pPr>
            <w:r>
              <w:rPr>
                <w:rFonts w:ascii="Times New Roman" w:eastAsiaTheme="minorEastAsia" w:hAnsi="Times New Roman" w:hint="eastAsia"/>
                <w:bCs/>
                <w:sz w:val="21"/>
              </w:rPr>
              <w:t>丁家梁</w:t>
            </w:r>
          </w:p>
        </w:tc>
        <w:tc>
          <w:tcPr>
            <w:tcW w:w="1160" w:type="pct"/>
            <w:vAlign w:val="center"/>
          </w:tcPr>
          <w:p w14:paraId="7B570552" w14:textId="77777777" w:rsidR="009C353B" w:rsidRDefault="00000000">
            <w:pPr>
              <w:pStyle w:val="TableParagraph"/>
              <w:spacing w:line="273" w:lineRule="auto"/>
              <w:ind w:right="26"/>
              <w:rPr>
                <w:rFonts w:ascii="Times New Roman" w:eastAsiaTheme="minorEastAsia" w:hAnsi="Times New Roman"/>
                <w:bCs/>
                <w:sz w:val="21"/>
                <w:lang w:eastAsia="en-US"/>
              </w:rPr>
            </w:pPr>
            <w:r>
              <w:rPr>
                <w:rFonts w:ascii="Times New Roman" w:eastAsiaTheme="minorEastAsia" w:hAnsi="Times New Roman"/>
                <w:bCs/>
                <w:sz w:val="21"/>
                <w:lang w:eastAsia="en-US"/>
              </w:rPr>
              <w:t>工业场地下</w:t>
            </w:r>
            <w:r>
              <w:rPr>
                <w:rFonts w:ascii="Times New Roman" w:eastAsiaTheme="minorEastAsia" w:hAnsi="Times New Roman"/>
                <w:bCs/>
                <w:spacing w:val="-3"/>
                <w:sz w:val="21"/>
                <w:lang w:eastAsia="en-US"/>
              </w:rPr>
              <w:t>游</w:t>
            </w:r>
          </w:p>
        </w:tc>
        <w:tc>
          <w:tcPr>
            <w:tcW w:w="981" w:type="pct"/>
            <w:vMerge w:val="restart"/>
            <w:vAlign w:val="center"/>
          </w:tcPr>
          <w:p w14:paraId="54741DB0" w14:textId="77777777" w:rsidR="009C353B" w:rsidRDefault="00000000">
            <w:pPr>
              <w:pStyle w:val="TableParagraph"/>
              <w:spacing w:before="143" w:line="273" w:lineRule="auto"/>
              <w:ind w:left="122" w:right="120"/>
              <w:rPr>
                <w:rFonts w:ascii="Times New Roman" w:eastAsiaTheme="minorEastAsia" w:hAnsi="Times New Roman"/>
                <w:bCs/>
                <w:sz w:val="21"/>
              </w:rPr>
            </w:pPr>
            <w:r>
              <w:rPr>
                <w:rFonts w:ascii="Times New Roman" w:eastAsiaTheme="minorEastAsia" w:hAnsi="Times New Roman" w:hint="eastAsia"/>
                <w:bCs/>
                <w:sz w:val="21"/>
              </w:rPr>
              <w:t>古近系清水营组孔隙裂隙承压水含水层</w:t>
            </w:r>
          </w:p>
        </w:tc>
        <w:tc>
          <w:tcPr>
            <w:tcW w:w="980" w:type="pct"/>
            <w:vMerge w:val="restart"/>
            <w:vAlign w:val="center"/>
          </w:tcPr>
          <w:p w14:paraId="05A3CF5E" w14:textId="77777777" w:rsidR="009C353B" w:rsidRDefault="00000000">
            <w:pPr>
              <w:pStyle w:val="TableParagraph"/>
              <w:spacing w:before="138" w:line="273" w:lineRule="auto"/>
              <w:ind w:left="112" w:right="108"/>
              <w:jc w:val="both"/>
              <w:rPr>
                <w:rFonts w:ascii="Times New Roman" w:eastAsiaTheme="minorEastAsia" w:hAnsi="Times New Roman"/>
                <w:bCs/>
                <w:sz w:val="21"/>
              </w:rPr>
            </w:pPr>
            <w:bookmarkStart w:id="371" w:name="_Hlk61423075"/>
            <w:r>
              <w:rPr>
                <w:rFonts w:ascii="Times New Roman" w:eastAsiaTheme="minorEastAsia" w:hAnsi="Times New Roman" w:hint="eastAsia"/>
                <w:bCs/>
                <w:sz w:val="21"/>
              </w:rPr>
              <w:t>2</w:t>
            </w:r>
            <w:r>
              <w:rPr>
                <w:rFonts w:ascii="Times New Roman" w:eastAsiaTheme="minorEastAsia" w:hAnsi="Times New Roman"/>
                <w:bCs/>
                <w:sz w:val="21"/>
              </w:rPr>
              <w:t>次</w:t>
            </w:r>
            <w:r>
              <w:rPr>
                <w:rFonts w:ascii="Times New Roman" w:eastAsiaTheme="minorEastAsia" w:hAnsi="Times New Roman"/>
                <w:bCs/>
                <w:sz w:val="21"/>
              </w:rPr>
              <w:t>/</w:t>
            </w:r>
            <w:r>
              <w:rPr>
                <w:rFonts w:ascii="Times New Roman" w:eastAsiaTheme="minorEastAsia" w:hAnsi="Times New Roman"/>
                <w:bCs/>
                <w:sz w:val="21"/>
              </w:rPr>
              <w:t>年</w:t>
            </w:r>
            <w:r>
              <w:rPr>
                <w:rFonts w:ascii="Times New Roman" w:eastAsiaTheme="minorEastAsia" w:hAnsi="Times New Roman" w:hint="eastAsia"/>
                <w:bCs/>
                <w:sz w:val="21"/>
              </w:rPr>
              <w:t>，</w:t>
            </w:r>
            <w:r>
              <w:rPr>
                <w:rFonts w:ascii="Times New Roman" w:eastAsiaTheme="minorEastAsia" w:hAnsi="Times New Roman"/>
                <w:bCs/>
                <w:sz w:val="21"/>
              </w:rPr>
              <w:t>丰枯各</w:t>
            </w:r>
            <w:r>
              <w:rPr>
                <w:rFonts w:ascii="Times New Roman" w:eastAsiaTheme="minorEastAsia" w:hAnsi="Times New Roman"/>
                <w:bCs/>
                <w:sz w:val="21"/>
              </w:rPr>
              <w:t>1</w:t>
            </w:r>
            <w:r>
              <w:rPr>
                <w:rFonts w:ascii="Times New Roman" w:eastAsiaTheme="minorEastAsia" w:hAnsi="Times New Roman"/>
                <w:bCs/>
                <w:sz w:val="21"/>
              </w:rPr>
              <w:t>次</w:t>
            </w:r>
            <w:bookmarkEnd w:id="371"/>
          </w:p>
        </w:tc>
        <w:tc>
          <w:tcPr>
            <w:tcW w:w="979" w:type="pct"/>
            <w:vMerge w:val="restart"/>
            <w:vAlign w:val="center"/>
          </w:tcPr>
          <w:p w14:paraId="7857083C" w14:textId="77777777" w:rsidR="009C353B" w:rsidRDefault="00000000">
            <w:pPr>
              <w:pStyle w:val="TableParagraph"/>
              <w:spacing w:line="273" w:lineRule="auto"/>
              <w:ind w:left="100" w:right="89"/>
              <w:rPr>
                <w:rFonts w:ascii="Times New Roman" w:eastAsiaTheme="minorEastAsia" w:hAnsi="Times New Roman"/>
                <w:bCs/>
                <w:sz w:val="21"/>
              </w:rPr>
            </w:pPr>
            <w:r>
              <w:rPr>
                <w:rFonts w:ascii="Times New Roman" w:eastAsiaTheme="minorEastAsia" w:hAnsi="Times New Roman" w:hint="eastAsia"/>
                <w:bCs/>
                <w:sz w:val="21"/>
              </w:rPr>
              <w:t>水质、</w:t>
            </w:r>
            <w:r>
              <w:rPr>
                <w:rFonts w:ascii="Times New Roman" w:eastAsiaTheme="minorEastAsia" w:hAnsi="Times New Roman"/>
                <w:bCs/>
                <w:sz w:val="21"/>
              </w:rPr>
              <w:t>水位</w:t>
            </w:r>
          </w:p>
        </w:tc>
      </w:tr>
      <w:tr w:rsidR="009C353B" w14:paraId="3BEC3C85" w14:textId="77777777">
        <w:trPr>
          <w:trHeight w:hRule="exact" w:val="843"/>
          <w:jc w:val="center"/>
        </w:trPr>
        <w:tc>
          <w:tcPr>
            <w:tcW w:w="900" w:type="pct"/>
            <w:vMerge/>
            <w:vAlign w:val="center"/>
          </w:tcPr>
          <w:p w14:paraId="6AA523A0" w14:textId="77777777" w:rsidR="009C353B" w:rsidRDefault="009C353B">
            <w:pPr>
              <w:pStyle w:val="TableParagraph"/>
              <w:ind w:left="232" w:right="134" w:firstLine="422"/>
              <w:rPr>
                <w:rFonts w:ascii="Times New Roman" w:eastAsiaTheme="minorEastAsia" w:hAnsi="Times New Roman"/>
                <w:bCs/>
                <w:sz w:val="21"/>
              </w:rPr>
            </w:pPr>
          </w:p>
        </w:tc>
        <w:tc>
          <w:tcPr>
            <w:tcW w:w="1160" w:type="pct"/>
            <w:vAlign w:val="center"/>
          </w:tcPr>
          <w:p w14:paraId="5C549A06" w14:textId="77777777" w:rsidR="009C353B" w:rsidRDefault="00000000">
            <w:pPr>
              <w:pStyle w:val="TableParagraph"/>
              <w:spacing w:line="273" w:lineRule="auto"/>
              <w:ind w:right="131"/>
              <w:rPr>
                <w:rFonts w:ascii="Times New Roman" w:eastAsiaTheme="minorEastAsia" w:hAnsi="Times New Roman"/>
                <w:bCs/>
                <w:sz w:val="21"/>
                <w:lang w:eastAsia="en-US"/>
              </w:rPr>
            </w:pPr>
            <w:r>
              <w:rPr>
                <w:rFonts w:ascii="Times New Roman" w:eastAsiaTheme="minorEastAsia" w:hAnsi="Times New Roman"/>
                <w:bCs/>
                <w:sz w:val="21"/>
                <w:lang w:eastAsia="en-US"/>
              </w:rPr>
              <w:t>矸石场下</w:t>
            </w:r>
            <w:r>
              <w:rPr>
                <w:rFonts w:ascii="Times New Roman" w:eastAsiaTheme="minorEastAsia" w:hAnsi="Times New Roman"/>
                <w:bCs/>
                <w:spacing w:val="-3"/>
                <w:sz w:val="21"/>
                <w:lang w:eastAsia="en-US"/>
              </w:rPr>
              <w:t>游</w:t>
            </w:r>
          </w:p>
        </w:tc>
        <w:tc>
          <w:tcPr>
            <w:tcW w:w="981" w:type="pct"/>
            <w:vMerge/>
            <w:vAlign w:val="center"/>
          </w:tcPr>
          <w:p w14:paraId="34A5BD69" w14:textId="77777777" w:rsidR="009C353B" w:rsidRDefault="009C353B">
            <w:pPr>
              <w:pStyle w:val="TableParagraph"/>
              <w:spacing w:before="136" w:line="273" w:lineRule="auto"/>
              <w:ind w:left="122" w:right="120"/>
              <w:rPr>
                <w:rFonts w:ascii="Times New Roman" w:eastAsiaTheme="minorEastAsia" w:hAnsi="Times New Roman"/>
                <w:bCs/>
                <w:sz w:val="21"/>
              </w:rPr>
            </w:pPr>
          </w:p>
        </w:tc>
        <w:tc>
          <w:tcPr>
            <w:tcW w:w="980" w:type="pct"/>
            <w:vMerge/>
            <w:vAlign w:val="center"/>
          </w:tcPr>
          <w:p w14:paraId="556027D4" w14:textId="77777777" w:rsidR="009C353B" w:rsidRDefault="009C353B">
            <w:pPr>
              <w:jc w:val="center"/>
              <w:rPr>
                <w:rFonts w:ascii="Times New Roman" w:eastAsiaTheme="minorEastAsia" w:hAnsi="Times New Roman"/>
                <w:bCs/>
              </w:rPr>
            </w:pPr>
          </w:p>
        </w:tc>
        <w:tc>
          <w:tcPr>
            <w:tcW w:w="979" w:type="pct"/>
            <w:vMerge/>
            <w:vAlign w:val="center"/>
          </w:tcPr>
          <w:p w14:paraId="64E4E32E" w14:textId="77777777" w:rsidR="009C353B" w:rsidRDefault="009C353B">
            <w:pPr>
              <w:jc w:val="center"/>
              <w:rPr>
                <w:rFonts w:ascii="Times New Roman" w:eastAsiaTheme="minorEastAsia" w:hAnsi="Times New Roman"/>
                <w:bCs/>
              </w:rPr>
            </w:pPr>
          </w:p>
        </w:tc>
      </w:tr>
    </w:tbl>
    <w:p w14:paraId="70DA87DD" w14:textId="77777777" w:rsidR="009C353B" w:rsidRDefault="00000000">
      <w:pPr>
        <w:spacing w:line="440" w:lineRule="exact"/>
        <w:ind w:left="480"/>
        <w:rPr>
          <w:rFonts w:hint="eastAsia"/>
        </w:rPr>
      </w:pPr>
      <w:r>
        <w:rPr>
          <w:rFonts w:hint="eastAsia"/>
        </w:rPr>
        <w:t>（2）监测项目</w:t>
      </w:r>
    </w:p>
    <w:p w14:paraId="0A9B296B" w14:textId="77777777" w:rsidR="009C353B" w:rsidRDefault="00000000">
      <w:pPr>
        <w:autoSpaceDE w:val="0"/>
        <w:autoSpaceDN w:val="0"/>
        <w:spacing w:line="440" w:lineRule="exact"/>
        <w:ind w:firstLineChars="200" w:firstLine="480"/>
        <w:rPr>
          <w:rFonts w:ascii="Times New Roman" w:hAnsi="Times New Roman"/>
          <w:kern w:val="0"/>
        </w:rPr>
      </w:pPr>
      <w:r>
        <w:rPr>
          <w:rFonts w:ascii="Times New Roman" w:hAnsi="Times New Roman" w:hint="eastAsia"/>
          <w:kern w:val="0"/>
        </w:rPr>
        <w:t>1</w:t>
      </w:r>
      <w:r>
        <w:rPr>
          <w:rFonts w:ascii="Times New Roman" w:hAnsi="Times New Roman" w:hint="eastAsia"/>
          <w:kern w:val="0"/>
        </w:rPr>
        <w:t>）水井井深、水位、取水层位以及日用水量，同时还应测定气温并简要描述当时的天气情况。</w:t>
      </w:r>
    </w:p>
    <w:p w14:paraId="7D90925C" w14:textId="77777777" w:rsidR="009C353B" w:rsidRDefault="00000000">
      <w:pPr>
        <w:autoSpaceDE w:val="0"/>
        <w:autoSpaceDN w:val="0"/>
        <w:spacing w:line="440" w:lineRule="exact"/>
        <w:ind w:firstLineChars="200" w:firstLine="480"/>
        <w:rPr>
          <w:rFonts w:ascii="Times New Roman" w:hAnsi="Times New Roman"/>
          <w:kern w:val="0"/>
        </w:rPr>
      </w:pPr>
      <w:r>
        <w:rPr>
          <w:rFonts w:ascii="Times New Roman" w:hAnsi="Times New Roman"/>
          <w:kern w:val="0"/>
        </w:rPr>
        <w:t>2</w:t>
      </w:r>
      <w:r>
        <w:rPr>
          <w:rFonts w:ascii="Times New Roman" w:hAnsi="Times New Roman"/>
          <w:kern w:val="0"/>
        </w:rPr>
        <w:t>）水质监测项目</w:t>
      </w:r>
    </w:p>
    <w:p w14:paraId="2E4BBEDF" w14:textId="77777777" w:rsidR="009C353B" w:rsidRDefault="00000000">
      <w:pPr>
        <w:autoSpaceDE w:val="0"/>
        <w:autoSpaceDN w:val="0"/>
        <w:spacing w:line="440" w:lineRule="exact"/>
        <w:ind w:firstLineChars="200" w:firstLine="480"/>
        <w:rPr>
          <w:rFonts w:ascii="Times New Roman" w:hAnsi="Times New Roman"/>
          <w:kern w:val="0"/>
        </w:rPr>
      </w:pPr>
      <w:r>
        <w:rPr>
          <w:rFonts w:ascii="Times New Roman" w:hAnsi="Times New Roman"/>
          <w:kern w:val="0"/>
        </w:rPr>
        <w:t>pH</w:t>
      </w:r>
      <w:r>
        <w:rPr>
          <w:rFonts w:ascii="Times New Roman" w:hAnsi="Times New Roman"/>
          <w:kern w:val="0"/>
        </w:rPr>
        <w:t>、总硬度、高锰酸盐指数、溶解性总固体、硫酸盐、挥发性酚类、氰化物、硝酸盐、亚硝酸盐、氨氮、氟化物、氯化物、砷、汞、镉、铅、六价铬、铜、铁、锰、总大肠菌群、细菌总数共</w:t>
      </w:r>
      <w:r>
        <w:rPr>
          <w:rFonts w:ascii="Times New Roman" w:hAnsi="Times New Roman"/>
          <w:kern w:val="0"/>
        </w:rPr>
        <w:t xml:space="preserve"> 22 </w:t>
      </w:r>
      <w:r>
        <w:rPr>
          <w:rFonts w:ascii="Times New Roman" w:hAnsi="Times New Roman"/>
          <w:kern w:val="0"/>
        </w:rPr>
        <w:t>项</w:t>
      </w:r>
    </w:p>
    <w:p w14:paraId="2AE636C6" w14:textId="77777777" w:rsidR="009C353B" w:rsidRDefault="00000000">
      <w:pPr>
        <w:autoSpaceDE w:val="0"/>
        <w:autoSpaceDN w:val="0"/>
        <w:spacing w:line="440" w:lineRule="exact"/>
        <w:ind w:firstLineChars="200" w:firstLine="480"/>
        <w:rPr>
          <w:rFonts w:ascii="Times New Roman" w:hAnsi="Times New Roman"/>
          <w:kern w:val="0"/>
        </w:rPr>
      </w:pPr>
      <w:r>
        <w:rPr>
          <w:rFonts w:ascii="Times New Roman" w:hAnsi="Times New Roman" w:hint="eastAsia"/>
          <w:kern w:val="0"/>
        </w:rPr>
        <w:t>（</w:t>
      </w:r>
      <w:r>
        <w:rPr>
          <w:rFonts w:ascii="Times New Roman" w:hAnsi="Times New Roman"/>
          <w:kern w:val="0"/>
        </w:rPr>
        <w:t>3</w:t>
      </w:r>
      <w:r>
        <w:rPr>
          <w:rFonts w:ascii="Times New Roman" w:hAnsi="Times New Roman"/>
          <w:kern w:val="0"/>
        </w:rPr>
        <w:t>）监测频率</w:t>
      </w:r>
    </w:p>
    <w:p w14:paraId="5CD00186" w14:textId="77777777" w:rsidR="009C353B" w:rsidRDefault="00000000">
      <w:pPr>
        <w:autoSpaceDE w:val="0"/>
        <w:autoSpaceDN w:val="0"/>
        <w:spacing w:line="440" w:lineRule="exact"/>
        <w:ind w:firstLineChars="200" w:firstLine="480"/>
        <w:rPr>
          <w:rFonts w:ascii="Times New Roman" w:hAnsi="Times New Roman"/>
          <w:kern w:val="0"/>
        </w:rPr>
      </w:pPr>
      <w:r>
        <w:rPr>
          <w:rFonts w:ascii="Times New Roman" w:hAnsi="Times New Roman" w:hint="eastAsia"/>
          <w:kern w:val="0"/>
        </w:rPr>
        <w:t>2</w:t>
      </w:r>
      <w:r>
        <w:rPr>
          <w:rFonts w:ascii="Times New Roman" w:hAnsi="Times New Roman"/>
          <w:kern w:val="0"/>
        </w:rPr>
        <w:t>次</w:t>
      </w:r>
      <w:r>
        <w:rPr>
          <w:rFonts w:ascii="Times New Roman" w:hAnsi="Times New Roman"/>
          <w:kern w:val="0"/>
        </w:rPr>
        <w:t>/</w:t>
      </w:r>
      <w:r>
        <w:rPr>
          <w:rFonts w:ascii="Times New Roman" w:hAnsi="Times New Roman"/>
          <w:kern w:val="0"/>
        </w:rPr>
        <w:t>年，丰枯</w:t>
      </w:r>
      <w:r>
        <w:rPr>
          <w:rFonts w:ascii="Times New Roman" w:hAnsi="Times New Roman" w:hint="eastAsia"/>
          <w:kern w:val="0"/>
        </w:rPr>
        <w:t>水期</w:t>
      </w:r>
      <w:r>
        <w:rPr>
          <w:rFonts w:ascii="Times New Roman" w:hAnsi="Times New Roman"/>
          <w:kern w:val="0"/>
        </w:rPr>
        <w:t>各</w:t>
      </w:r>
      <w:r>
        <w:rPr>
          <w:rFonts w:ascii="Times New Roman" w:hAnsi="Times New Roman"/>
          <w:kern w:val="0"/>
        </w:rPr>
        <w:t>1</w:t>
      </w:r>
      <w:r>
        <w:rPr>
          <w:rFonts w:ascii="Times New Roman" w:hAnsi="Times New Roman"/>
          <w:kern w:val="0"/>
        </w:rPr>
        <w:t>次</w:t>
      </w:r>
      <w:r>
        <w:rPr>
          <w:rFonts w:ascii="Times New Roman" w:hAnsi="Times New Roman" w:hint="eastAsia"/>
          <w:kern w:val="0"/>
        </w:rPr>
        <w:t>。</w:t>
      </w:r>
    </w:p>
    <w:p w14:paraId="32D76957" w14:textId="77777777" w:rsidR="009C353B" w:rsidRDefault="00000000">
      <w:pPr>
        <w:autoSpaceDE w:val="0"/>
        <w:autoSpaceDN w:val="0"/>
        <w:spacing w:line="440" w:lineRule="exact"/>
        <w:ind w:firstLineChars="200" w:firstLine="480"/>
        <w:rPr>
          <w:rFonts w:ascii="Times New Roman" w:hAnsi="Times New Roman"/>
          <w:kern w:val="0"/>
        </w:rPr>
      </w:pPr>
      <w:r>
        <w:rPr>
          <w:rFonts w:ascii="Times New Roman" w:hAnsi="Times New Roman" w:hint="eastAsia"/>
          <w:kern w:val="0"/>
        </w:rPr>
        <w:t>（</w:t>
      </w:r>
      <w:r>
        <w:rPr>
          <w:rFonts w:ascii="Times New Roman" w:hAnsi="Times New Roman"/>
          <w:kern w:val="0"/>
        </w:rPr>
        <w:t>4</w:t>
      </w:r>
      <w:r>
        <w:rPr>
          <w:rFonts w:ascii="Times New Roman" w:hAnsi="Times New Roman"/>
          <w:kern w:val="0"/>
        </w:rPr>
        <w:t>）监测方式</w:t>
      </w:r>
    </w:p>
    <w:p w14:paraId="0CF10B85" w14:textId="77777777" w:rsidR="009C353B" w:rsidRDefault="00000000">
      <w:pPr>
        <w:autoSpaceDE w:val="0"/>
        <w:autoSpaceDN w:val="0"/>
        <w:spacing w:line="440" w:lineRule="exact"/>
        <w:ind w:firstLineChars="200" w:firstLine="480"/>
        <w:rPr>
          <w:rFonts w:ascii="Times New Roman" w:hAnsi="Times New Roman"/>
          <w:kern w:val="0"/>
        </w:rPr>
      </w:pPr>
      <w:r>
        <w:rPr>
          <w:rFonts w:ascii="Times New Roman" w:hAnsi="Times New Roman" w:hint="eastAsia"/>
          <w:kern w:val="0"/>
        </w:rPr>
        <w:t>对于水质监测，评价建议矿方委托有资质的监测单位，签订长期协议，对水质进行监测。</w:t>
      </w:r>
    </w:p>
    <w:p w14:paraId="1653A9C9" w14:textId="77777777" w:rsidR="009C353B" w:rsidRDefault="00000000">
      <w:pPr>
        <w:autoSpaceDE w:val="0"/>
        <w:autoSpaceDN w:val="0"/>
        <w:spacing w:line="440" w:lineRule="exact"/>
        <w:ind w:firstLineChars="200" w:firstLine="480"/>
        <w:rPr>
          <w:rFonts w:ascii="Times New Roman" w:hAnsi="Times New Roman"/>
          <w:kern w:val="0"/>
        </w:rPr>
      </w:pPr>
      <w:r>
        <w:rPr>
          <w:rFonts w:ascii="Times New Roman" w:hAnsi="Times New Roman" w:hint="eastAsia"/>
          <w:kern w:val="0"/>
        </w:rPr>
        <w:t>（</w:t>
      </w:r>
      <w:r>
        <w:rPr>
          <w:rFonts w:ascii="Times New Roman" w:hAnsi="Times New Roman"/>
          <w:kern w:val="0"/>
        </w:rPr>
        <w:t>5</w:t>
      </w:r>
      <w:r>
        <w:rPr>
          <w:rFonts w:ascii="Times New Roman" w:hAnsi="Times New Roman"/>
          <w:kern w:val="0"/>
        </w:rPr>
        <w:t>）监测数据管理</w:t>
      </w:r>
    </w:p>
    <w:p w14:paraId="22A54DE7" w14:textId="77777777" w:rsidR="009C353B" w:rsidRDefault="00000000">
      <w:pPr>
        <w:autoSpaceDE w:val="0"/>
        <w:autoSpaceDN w:val="0"/>
        <w:spacing w:line="440" w:lineRule="exact"/>
        <w:ind w:firstLineChars="200" w:firstLine="480"/>
        <w:rPr>
          <w:rFonts w:ascii="Times New Roman" w:hAnsi="Times New Roman"/>
          <w:kern w:val="0"/>
        </w:rPr>
      </w:pPr>
      <w:r>
        <w:rPr>
          <w:rFonts w:ascii="Times New Roman" w:hAnsi="Times New Roman" w:hint="eastAsia"/>
          <w:kern w:val="0"/>
        </w:rPr>
        <w:t>监测结果应及时建立档案，并定期向厂安全环保部门汇报，对于常规监测数据应该进行公开，特别是跟周边居民用水安全相关的数据要定期张贴公示，如发现异常或者发生事故时应加密监测频次，并分析污染原因，及时采取应对措施。</w:t>
      </w:r>
    </w:p>
    <w:p w14:paraId="3AAA4E24" w14:textId="77777777" w:rsidR="009C353B" w:rsidRDefault="00000000">
      <w:pPr>
        <w:spacing w:line="440" w:lineRule="exact"/>
        <w:outlineLvl w:val="3"/>
        <w:rPr>
          <w:rFonts w:ascii="Times New Roman" w:hAnsi="Times New Roman"/>
          <w:b/>
          <w:bCs/>
        </w:rPr>
      </w:pPr>
      <w:r>
        <w:rPr>
          <w:rFonts w:ascii="Times New Roman" w:hAnsi="Times New Roman" w:hint="eastAsia"/>
          <w:b/>
          <w:bCs/>
        </w:rPr>
        <w:t>3.2.4</w:t>
      </w:r>
      <w:r>
        <w:rPr>
          <w:rFonts w:ascii="Times New Roman" w:hAnsi="Times New Roman"/>
          <w:b/>
          <w:bCs/>
        </w:rPr>
        <w:t xml:space="preserve"> </w:t>
      </w:r>
      <w:r>
        <w:rPr>
          <w:rFonts w:ascii="Times New Roman" w:hAnsi="Times New Roman"/>
          <w:b/>
          <w:bCs/>
        </w:rPr>
        <w:t>应急响应</w:t>
      </w:r>
    </w:p>
    <w:p w14:paraId="32848FE6" w14:textId="77777777" w:rsidR="009C353B" w:rsidRDefault="00000000">
      <w:pPr>
        <w:spacing w:line="440" w:lineRule="exact"/>
        <w:ind w:firstLineChars="200" w:firstLine="480"/>
        <w:rPr>
          <w:rFonts w:hint="eastAsia"/>
        </w:rPr>
      </w:pPr>
      <w:r>
        <w:t>制定风险事故应急预案，在发生地下水污染事故的情况下，及时采取有效措施，降低事故对区域地下水环境的影响，保护地下水环境。</w:t>
      </w:r>
    </w:p>
    <w:p w14:paraId="229135B6" w14:textId="77777777" w:rsidR="009C353B" w:rsidRDefault="00000000">
      <w:pPr>
        <w:spacing w:line="440" w:lineRule="exact"/>
        <w:ind w:firstLineChars="200" w:firstLine="480"/>
        <w:rPr>
          <w:rFonts w:hint="eastAsia"/>
        </w:rPr>
      </w:pPr>
      <w:r>
        <w:t>在发生地下水污染事故的情况下，应采取如下措施：</w:t>
      </w:r>
    </w:p>
    <w:p w14:paraId="37C641B6" w14:textId="77777777" w:rsidR="009C353B" w:rsidRDefault="00000000">
      <w:pPr>
        <w:spacing w:line="440" w:lineRule="exact"/>
        <w:ind w:firstLineChars="200" w:firstLine="480"/>
        <w:rPr>
          <w:rFonts w:hint="eastAsia"/>
        </w:rPr>
      </w:pPr>
      <w:r>
        <w:rPr>
          <w:rFonts w:hint="eastAsia"/>
        </w:rPr>
        <w:t>（1）</w:t>
      </w:r>
      <w:r>
        <w:t>一旦发生地下水污染事故，应立即启动应急预案；</w:t>
      </w:r>
    </w:p>
    <w:p w14:paraId="4BD3BE9B" w14:textId="77777777" w:rsidR="009C353B" w:rsidRDefault="00000000">
      <w:pPr>
        <w:spacing w:line="440" w:lineRule="exact"/>
        <w:ind w:firstLineChars="200" w:firstLine="480"/>
        <w:rPr>
          <w:rFonts w:hint="eastAsia"/>
        </w:rPr>
      </w:pPr>
      <w:r>
        <w:rPr>
          <w:rFonts w:hint="eastAsia"/>
        </w:rPr>
        <w:t>（</w:t>
      </w:r>
      <w:r>
        <w:t>2</w:t>
      </w:r>
      <w:r>
        <w:rPr>
          <w:rFonts w:hint="eastAsia"/>
        </w:rPr>
        <w:t>）</w:t>
      </w:r>
      <w:r>
        <w:t>查找并切断污染源；</w:t>
      </w:r>
    </w:p>
    <w:p w14:paraId="154411D5" w14:textId="77777777" w:rsidR="009C353B" w:rsidRDefault="00000000">
      <w:pPr>
        <w:spacing w:line="440" w:lineRule="exact"/>
        <w:ind w:firstLineChars="200" w:firstLine="480"/>
        <w:rPr>
          <w:rFonts w:hint="eastAsia"/>
        </w:rPr>
      </w:pPr>
      <w:r>
        <w:rPr>
          <w:rFonts w:hint="eastAsia"/>
        </w:rPr>
        <w:t>（</w:t>
      </w:r>
      <w:r>
        <w:t>3</w:t>
      </w:r>
      <w:r>
        <w:rPr>
          <w:rFonts w:hint="eastAsia"/>
        </w:rPr>
        <w:t>）</w:t>
      </w:r>
      <w:r>
        <w:t>查明地下水污染深度、范围和污染程度；</w:t>
      </w:r>
    </w:p>
    <w:p w14:paraId="6F6CE3D4" w14:textId="77777777" w:rsidR="009C353B" w:rsidRDefault="00000000">
      <w:pPr>
        <w:spacing w:line="440" w:lineRule="exact"/>
        <w:ind w:firstLineChars="200" w:firstLine="480"/>
        <w:rPr>
          <w:rFonts w:hint="eastAsia"/>
        </w:rPr>
      </w:pPr>
      <w:r>
        <w:rPr>
          <w:rFonts w:hint="eastAsia"/>
        </w:rPr>
        <w:t>（</w:t>
      </w:r>
      <w:r>
        <w:t>4</w:t>
      </w:r>
      <w:r>
        <w:rPr>
          <w:rFonts w:hint="eastAsia"/>
        </w:rPr>
        <w:t>）</w:t>
      </w:r>
      <w:r>
        <w:t>依据地下水污染情况，合理布置截渗井，制定抽水方案；</w:t>
      </w:r>
    </w:p>
    <w:p w14:paraId="3F6D38D9" w14:textId="77777777" w:rsidR="009C353B" w:rsidRDefault="00000000">
      <w:pPr>
        <w:spacing w:line="440" w:lineRule="exact"/>
        <w:ind w:firstLineChars="200" w:firstLine="480"/>
        <w:rPr>
          <w:rFonts w:hint="eastAsia"/>
        </w:rPr>
      </w:pPr>
      <w:r>
        <w:rPr>
          <w:rFonts w:hint="eastAsia"/>
        </w:rPr>
        <w:t>（</w:t>
      </w:r>
      <w:r>
        <w:t>5</w:t>
      </w:r>
      <w:r>
        <w:rPr>
          <w:rFonts w:hint="eastAsia"/>
        </w:rPr>
        <w:t>）</w:t>
      </w:r>
      <w:r>
        <w:t>依据抽水设计方案进行施工，抽取被污染的地下水体，并依据各井孔出水情况进行调整；</w:t>
      </w:r>
    </w:p>
    <w:p w14:paraId="5C2AA7FC" w14:textId="77777777" w:rsidR="009C353B" w:rsidRDefault="00000000">
      <w:pPr>
        <w:spacing w:line="440" w:lineRule="exact"/>
        <w:ind w:firstLineChars="200" w:firstLine="480"/>
        <w:rPr>
          <w:rFonts w:hint="eastAsia"/>
        </w:rPr>
      </w:pPr>
      <w:r>
        <w:rPr>
          <w:rFonts w:hint="eastAsia"/>
        </w:rPr>
        <w:t>（</w:t>
      </w:r>
      <w:r>
        <w:t>6</w:t>
      </w:r>
      <w:r>
        <w:rPr>
          <w:rFonts w:hint="eastAsia"/>
        </w:rPr>
        <w:t>）</w:t>
      </w:r>
      <w:r>
        <w:t>将抽取的地下水进行集中收集处理，防止二次污染事故；</w:t>
      </w:r>
    </w:p>
    <w:p w14:paraId="6B7B4F80" w14:textId="77777777" w:rsidR="009C353B" w:rsidRDefault="00000000">
      <w:pPr>
        <w:spacing w:line="440" w:lineRule="exact"/>
        <w:ind w:left="480"/>
        <w:rPr>
          <w:rFonts w:hint="eastAsia"/>
        </w:rPr>
      </w:pPr>
      <w:r>
        <w:rPr>
          <w:rFonts w:hint="eastAsia"/>
        </w:rPr>
        <w:t>（</w:t>
      </w:r>
      <w:r>
        <w:t>7</w:t>
      </w:r>
      <w:r>
        <w:rPr>
          <w:rFonts w:hint="eastAsia"/>
        </w:rPr>
        <w:t>）</w:t>
      </w:r>
      <w:r>
        <w:t>当地下水中的特征污染物浓度符合地下水功能区划的标准后，逐步停止抽水，并进行土壤修复治理工作。</w:t>
      </w:r>
    </w:p>
    <w:p w14:paraId="74A5E359" w14:textId="77777777" w:rsidR="009C353B" w:rsidRDefault="00000000">
      <w:pPr>
        <w:pStyle w:val="2"/>
        <w:snapToGrid w:val="0"/>
        <w:spacing w:before="320" w:after="240" w:line="440" w:lineRule="atLeast"/>
        <w:rPr>
          <w:rFonts w:ascii="Times New Roman" w:eastAsia="宋体" w:hAnsi="Times New Roman"/>
          <w:b/>
          <w:sz w:val="28"/>
        </w:rPr>
      </w:pPr>
      <w:r>
        <w:rPr>
          <w:rFonts w:ascii="Times New Roman" w:eastAsia="宋体" w:hAnsi="Times New Roman" w:hint="eastAsia"/>
          <w:b/>
          <w:sz w:val="28"/>
        </w:rPr>
        <w:t>9.</w:t>
      </w:r>
      <w:r>
        <w:rPr>
          <w:rFonts w:ascii="Times New Roman" w:eastAsia="宋体" w:hAnsi="Times New Roman"/>
          <w:b/>
          <w:sz w:val="28"/>
        </w:rPr>
        <w:t xml:space="preserve">4 </w:t>
      </w:r>
      <w:r>
        <w:rPr>
          <w:rFonts w:ascii="Times New Roman" w:eastAsia="宋体" w:hAnsi="Times New Roman"/>
          <w:b/>
          <w:sz w:val="28"/>
        </w:rPr>
        <w:t>矿区噪声污染控制措施</w:t>
      </w:r>
      <w:bookmarkEnd w:id="369"/>
      <w:bookmarkEnd w:id="370"/>
      <w:r>
        <w:rPr>
          <w:rFonts w:ascii="Times New Roman" w:eastAsia="宋体" w:hAnsi="Times New Roman" w:hint="eastAsia"/>
          <w:b/>
          <w:sz w:val="28"/>
        </w:rPr>
        <w:t xml:space="preserve"> </w:t>
      </w:r>
    </w:p>
    <w:p w14:paraId="1B0FC54B" w14:textId="77777777" w:rsidR="009C353B" w:rsidRDefault="00000000">
      <w:pPr>
        <w:pStyle w:val="3"/>
        <w:adjustRightInd w:val="0"/>
        <w:snapToGrid w:val="0"/>
        <w:spacing w:before="0" w:after="0" w:line="440" w:lineRule="exact"/>
        <w:rPr>
          <w:rFonts w:ascii="Times New Roman" w:hAnsi="Times New Roman"/>
          <w:sz w:val="24"/>
          <w:szCs w:val="24"/>
        </w:rPr>
      </w:pPr>
      <w:r>
        <w:rPr>
          <w:rFonts w:ascii="Times New Roman" w:hAnsi="Times New Roman" w:hint="eastAsia"/>
          <w:sz w:val="24"/>
          <w:szCs w:val="24"/>
        </w:rPr>
        <w:t>9.</w:t>
      </w:r>
      <w:r>
        <w:rPr>
          <w:rFonts w:ascii="Times New Roman" w:hAnsi="Times New Roman"/>
          <w:sz w:val="24"/>
          <w:szCs w:val="24"/>
        </w:rPr>
        <w:t xml:space="preserve">4.1 </w:t>
      </w:r>
      <w:r>
        <w:rPr>
          <w:rFonts w:ascii="Times New Roman"/>
          <w:sz w:val="24"/>
          <w:szCs w:val="24"/>
        </w:rPr>
        <w:t>区域空间布局控制措施</w:t>
      </w:r>
    </w:p>
    <w:p w14:paraId="4710A0BE"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1</w:t>
      </w:r>
      <w:r>
        <w:rPr>
          <w:rFonts w:ascii="Times New Roman"/>
          <w:b/>
        </w:rPr>
        <w:t>）合理的规划布局</w:t>
      </w:r>
    </w:p>
    <w:p w14:paraId="63F37256"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噪声污染是一种局部区域的污染，因此区域的总体布局十分重要，应遵循</w:t>
      </w:r>
      <w:r>
        <w:rPr>
          <w:rFonts w:ascii="Times New Roman" w:hAnsi="Times New Roman"/>
        </w:rPr>
        <w:t>“</w:t>
      </w:r>
      <w:r>
        <w:rPr>
          <w:rFonts w:ascii="Times New Roman"/>
        </w:rPr>
        <w:t>闹静分开</w:t>
      </w:r>
      <w:r>
        <w:rPr>
          <w:rFonts w:ascii="Times New Roman" w:hAnsi="Times New Roman"/>
        </w:rPr>
        <w:t>”</w:t>
      </w:r>
      <w:r>
        <w:rPr>
          <w:rFonts w:ascii="Times New Roman"/>
        </w:rPr>
        <w:t>的原则。</w:t>
      </w:r>
      <w:r>
        <w:rPr>
          <w:rFonts w:ascii="Times New Roman" w:hint="eastAsia"/>
        </w:rPr>
        <w:t>横城矿区已开发多年，各生产矿井设计已进行了合理布局，并做到</w:t>
      </w:r>
      <w:r>
        <w:rPr>
          <w:rFonts w:ascii="Times New Roman"/>
        </w:rPr>
        <w:t>将工业用地、公共设施用地等较嘈杂的用地与办公用地等需要安静的用地分隔开来</w:t>
      </w:r>
      <w:r>
        <w:rPr>
          <w:rFonts w:ascii="Times New Roman" w:hint="eastAsia"/>
        </w:rPr>
        <w:t>，</w:t>
      </w:r>
      <w:r>
        <w:rPr>
          <w:rFonts w:ascii="Times New Roman"/>
        </w:rPr>
        <w:t>将产生高强噪声级的厂房车间相对集中布置或者设在无人区一侧。将那些运行噪声高的设备远离厂界和噪声敏感点，利用距离衰减来降低噪声。</w:t>
      </w:r>
      <w:r>
        <w:rPr>
          <w:rFonts w:ascii="Times New Roman" w:hint="eastAsia"/>
        </w:rPr>
        <w:t>同时</w:t>
      </w:r>
      <w:r>
        <w:rPr>
          <w:rFonts w:ascii="Times New Roman"/>
        </w:rPr>
        <w:t>采取相应的</w:t>
      </w:r>
      <w:r>
        <w:rPr>
          <w:rFonts w:ascii="Times New Roman" w:hint="eastAsia"/>
        </w:rPr>
        <w:t>隔声、减振、降噪等</w:t>
      </w:r>
      <w:r>
        <w:rPr>
          <w:rFonts w:ascii="Times New Roman"/>
        </w:rPr>
        <w:t>噪声治理措施。</w:t>
      </w:r>
    </w:p>
    <w:p w14:paraId="0D763ADE"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2</w:t>
      </w:r>
      <w:r>
        <w:rPr>
          <w:rFonts w:ascii="Times New Roman"/>
          <w:b/>
        </w:rPr>
        <w:t>）植树绿化，防治噪声</w:t>
      </w:r>
    </w:p>
    <w:p w14:paraId="0BBD002A"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加强矿区绿化措施在锅炉房、通风机房、洗选车间等噪声源周围空地以草、灌、乔搭配的形式植树绿化，隔挡噪声的扩散传播。厂区围墙外面种植防护林。矿区各种道路按国标和有关规范进行布置，车辆安装低噪声喇叭，敏感区段道路在两侧布设防护隔声林带。</w:t>
      </w:r>
    </w:p>
    <w:p w14:paraId="6CBBF07F" w14:textId="77777777" w:rsidR="009C353B" w:rsidRDefault="00000000">
      <w:pPr>
        <w:pStyle w:val="3"/>
        <w:adjustRightInd w:val="0"/>
        <w:snapToGrid w:val="0"/>
        <w:spacing w:before="0" w:after="0" w:line="440" w:lineRule="exact"/>
        <w:rPr>
          <w:rFonts w:ascii="Times New Roman" w:hAnsi="Times New Roman"/>
          <w:sz w:val="24"/>
          <w:szCs w:val="24"/>
        </w:rPr>
      </w:pPr>
      <w:r>
        <w:rPr>
          <w:rFonts w:ascii="Times New Roman" w:hAnsi="Times New Roman" w:hint="eastAsia"/>
          <w:sz w:val="24"/>
          <w:szCs w:val="24"/>
        </w:rPr>
        <w:t>9.</w:t>
      </w:r>
      <w:r>
        <w:rPr>
          <w:rFonts w:ascii="Times New Roman" w:hAnsi="Times New Roman"/>
          <w:sz w:val="24"/>
          <w:szCs w:val="24"/>
        </w:rPr>
        <w:t xml:space="preserve">4.2 </w:t>
      </w:r>
      <w:r>
        <w:rPr>
          <w:rFonts w:ascii="Times New Roman"/>
          <w:sz w:val="24"/>
          <w:szCs w:val="24"/>
        </w:rPr>
        <w:t>井工矿噪声防治</w:t>
      </w:r>
    </w:p>
    <w:p w14:paraId="01061C8B"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本矿区井工矿噪声主要来自矿井主、副井提升机、风井通风机、水泵等，以及五牧场拟建选煤厂筛分破碎机、跳汰机等。对于井工矿噪声防治，在工程设计时，就应将产生高强噪声级的厂房车间相对集中布置或者设在无人区一侧，同时应充分利用地形地物对噪声传播其遮挡作用。同时加强场地绿化工作。</w:t>
      </w:r>
    </w:p>
    <w:p w14:paraId="6281C341" w14:textId="77777777" w:rsidR="009C353B" w:rsidRDefault="00000000">
      <w:pPr>
        <w:pStyle w:val="2"/>
        <w:snapToGrid w:val="0"/>
        <w:spacing w:before="320" w:after="240" w:line="440" w:lineRule="atLeast"/>
        <w:rPr>
          <w:rFonts w:ascii="Times New Roman" w:eastAsia="宋体" w:hAnsi="Times New Roman"/>
          <w:b/>
          <w:sz w:val="28"/>
        </w:rPr>
      </w:pPr>
      <w:bookmarkStart w:id="372" w:name="_Toc163441035"/>
      <w:bookmarkStart w:id="373" w:name="_Toc59189876"/>
      <w:r>
        <w:rPr>
          <w:rFonts w:ascii="Times New Roman" w:eastAsia="宋体" w:hAnsi="Times New Roman" w:hint="eastAsia"/>
          <w:b/>
          <w:sz w:val="28"/>
        </w:rPr>
        <w:t>9.</w:t>
      </w:r>
      <w:r>
        <w:rPr>
          <w:rFonts w:ascii="Times New Roman" w:eastAsia="宋体" w:hAnsi="Times New Roman"/>
          <w:b/>
          <w:sz w:val="28"/>
        </w:rPr>
        <w:t xml:space="preserve">5 </w:t>
      </w:r>
      <w:r>
        <w:rPr>
          <w:rFonts w:ascii="Times New Roman" w:eastAsia="宋体" w:hAnsi="Times New Roman"/>
          <w:b/>
          <w:sz w:val="28"/>
        </w:rPr>
        <w:t>固体废物处置与综合利用</w:t>
      </w:r>
      <w:bookmarkEnd w:id="372"/>
      <w:bookmarkEnd w:id="373"/>
    </w:p>
    <w:p w14:paraId="272C8EC0" w14:textId="77777777" w:rsidR="009C353B" w:rsidRDefault="00000000">
      <w:pPr>
        <w:adjustRightInd w:val="0"/>
        <w:snapToGrid w:val="0"/>
        <w:spacing w:line="440" w:lineRule="exact"/>
        <w:ind w:firstLineChars="200" w:firstLine="480"/>
        <w:rPr>
          <w:rFonts w:ascii="Times New Roman" w:hAnsi="Times New Roman"/>
        </w:rPr>
      </w:pPr>
      <w:bookmarkStart w:id="374" w:name="_Toc170435869"/>
      <w:r>
        <w:rPr>
          <w:rFonts w:ascii="Times New Roman" w:hAnsi="Times New Roman"/>
        </w:rPr>
        <w:t>矿区固体废物处置已在报告书第</w:t>
      </w:r>
      <w:r>
        <w:rPr>
          <w:rFonts w:ascii="Times New Roman" w:hAnsi="Times New Roman"/>
        </w:rPr>
        <w:t>6</w:t>
      </w:r>
      <w:r>
        <w:rPr>
          <w:rFonts w:ascii="Times New Roman" w:hAnsi="Times New Roman"/>
        </w:rPr>
        <w:t>章固体废物环境影响评价中进行过充分论述，这里不再赘述。</w:t>
      </w:r>
      <w:r>
        <w:rPr>
          <w:rFonts w:ascii="Times New Roman" w:hAnsi="Times New Roman" w:hint="eastAsia"/>
        </w:rPr>
        <w:t>矿区所排放的煤矸石以及生活垃圾均得到妥善处置，对矿区周边环境影响不大。这里仅对固体废物资源综合利用方面提出资源化综合利用措施。</w:t>
      </w:r>
    </w:p>
    <w:p w14:paraId="736D1D89" w14:textId="77777777" w:rsidR="009C353B" w:rsidRDefault="00000000">
      <w:pPr>
        <w:pStyle w:val="3"/>
        <w:adjustRightInd w:val="0"/>
        <w:snapToGrid w:val="0"/>
        <w:spacing w:before="0" w:after="0" w:line="440" w:lineRule="exact"/>
        <w:rPr>
          <w:rFonts w:ascii="Times New Roman" w:hint="eastAsia"/>
          <w:sz w:val="24"/>
          <w:szCs w:val="24"/>
        </w:rPr>
      </w:pPr>
      <w:r>
        <w:rPr>
          <w:rFonts w:ascii="Times New Roman"/>
          <w:sz w:val="24"/>
          <w:szCs w:val="24"/>
        </w:rPr>
        <w:t xml:space="preserve">9.5.1 </w:t>
      </w:r>
      <w:r>
        <w:rPr>
          <w:rFonts w:ascii="Times New Roman" w:hint="eastAsia"/>
          <w:sz w:val="24"/>
          <w:szCs w:val="24"/>
        </w:rPr>
        <w:t>井下掘进矸石处置措施</w:t>
      </w:r>
    </w:p>
    <w:p w14:paraId="3C12FD0B" w14:textId="77777777" w:rsidR="009C353B" w:rsidRDefault="00000000">
      <w:pPr>
        <w:adjustRightInd w:val="0"/>
        <w:snapToGrid w:val="0"/>
        <w:spacing w:line="440" w:lineRule="exact"/>
        <w:ind w:firstLineChars="200" w:firstLine="480"/>
        <w:rPr>
          <w:rFonts w:ascii="Times New Roman" w:hint="eastAsia"/>
        </w:rPr>
      </w:pPr>
      <w:r>
        <w:rPr>
          <w:rFonts w:ascii="Times New Roman"/>
        </w:rPr>
        <w:t>马莲台矿井、任家庄矿井和红石湾矿井生产期间</w:t>
      </w:r>
      <w:r>
        <w:rPr>
          <w:rFonts w:ascii="Times New Roman" w:hint="eastAsia"/>
        </w:rPr>
        <w:t>掘进矸石原则上不升井，填</w:t>
      </w:r>
      <w:r>
        <w:rPr>
          <w:rFonts w:ascii="Times New Roman"/>
        </w:rPr>
        <w:t>充井下废弃巷道；丁家梁矿井建井期间矸石运至临时排矸场，生产期掘进矸石原则上不升井，填充井下废弃巷道。矸石充填不畅时可排至地面临时排矸场，或用于矿区塌陷区治理。</w:t>
      </w:r>
    </w:p>
    <w:p w14:paraId="3F82549B" w14:textId="77777777" w:rsidR="009C353B" w:rsidRDefault="00000000">
      <w:pPr>
        <w:pStyle w:val="3"/>
        <w:adjustRightInd w:val="0"/>
        <w:snapToGrid w:val="0"/>
        <w:spacing w:before="0" w:after="0" w:line="440" w:lineRule="exact"/>
        <w:rPr>
          <w:rFonts w:ascii="Times New Roman" w:hint="eastAsia"/>
          <w:sz w:val="24"/>
          <w:szCs w:val="24"/>
        </w:rPr>
      </w:pPr>
      <w:r>
        <w:rPr>
          <w:rFonts w:ascii="Times New Roman"/>
          <w:sz w:val="24"/>
          <w:szCs w:val="24"/>
        </w:rPr>
        <w:t xml:space="preserve">9.5.2 </w:t>
      </w:r>
      <w:r>
        <w:rPr>
          <w:rFonts w:ascii="Times New Roman" w:hint="eastAsia"/>
          <w:sz w:val="24"/>
          <w:szCs w:val="24"/>
        </w:rPr>
        <w:t>洗选矸石处置措施</w:t>
      </w:r>
    </w:p>
    <w:p w14:paraId="05F48E56" w14:textId="77777777" w:rsidR="009C353B" w:rsidRDefault="00000000">
      <w:pPr>
        <w:adjustRightInd w:val="0"/>
        <w:snapToGrid w:val="0"/>
        <w:spacing w:line="440" w:lineRule="exact"/>
        <w:ind w:firstLineChars="200" w:firstLine="480"/>
        <w:rPr>
          <w:rFonts w:ascii="Times New Roman" w:hint="eastAsia"/>
        </w:rPr>
      </w:pPr>
      <w:r>
        <w:rPr>
          <w:rFonts w:ascii="Times New Roman"/>
        </w:rPr>
        <w:t>矿区煤炭生产能力达到规划规模</w:t>
      </w:r>
      <w:r>
        <w:rPr>
          <w:rFonts w:ascii="Times New Roman" w:hint="eastAsia"/>
        </w:rPr>
        <w:t>9.20</w:t>
      </w:r>
      <w:r>
        <w:rPr>
          <w:rFonts w:ascii="Times New Roman"/>
        </w:rPr>
        <w:t>Mt/a</w:t>
      </w:r>
      <w:r>
        <w:rPr>
          <w:rFonts w:ascii="Times New Roman"/>
        </w:rPr>
        <w:t>，</w:t>
      </w:r>
      <w:r>
        <w:rPr>
          <w:rFonts w:ascii="Times New Roman" w:hint="eastAsia"/>
        </w:rPr>
        <w:t>其中选煤厂洗选矸石产量约</w:t>
      </w:r>
      <w:r>
        <w:rPr>
          <w:rFonts w:ascii="Times New Roman" w:hint="eastAsia"/>
        </w:rPr>
        <w:t>4.95</w:t>
      </w:r>
      <w:r>
        <w:rPr>
          <w:rFonts w:ascii="Times New Roman"/>
        </w:rPr>
        <w:t>Mt/a</w:t>
      </w:r>
      <w:r>
        <w:rPr>
          <w:rFonts w:ascii="Times New Roman" w:hint="eastAsia"/>
        </w:rPr>
        <w:t>，</w:t>
      </w:r>
      <w:r>
        <w:rPr>
          <w:rFonts w:ascii="Times New Roman"/>
        </w:rPr>
        <w:t>洗选矸石灰分</w:t>
      </w:r>
      <w:r>
        <w:rPr>
          <w:rFonts w:ascii="Times New Roman" w:hint="eastAsia"/>
        </w:rPr>
        <w:t>74</w:t>
      </w:r>
      <w:r>
        <w:rPr>
          <w:rFonts w:ascii="Times New Roman"/>
        </w:rPr>
        <w:t>%</w:t>
      </w:r>
      <w:r>
        <w:rPr>
          <w:rFonts w:ascii="Times New Roman" w:hint="eastAsia"/>
        </w:rPr>
        <w:t>左右</w:t>
      </w:r>
      <w:r>
        <w:rPr>
          <w:rFonts w:ascii="Times New Roman"/>
        </w:rPr>
        <w:t>，</w:t>
      </w:r>
      <w:r>
        <w:rPr>
          <w:rFonts w:ascii="Times New Roman" w:hint="eastAsia"/>
        </w:rPr>
        <w:t>发热量</w:t>
      </w:r>
      <w:r>
        <w:rPr>
          <w:rFonts w:ascii="Times New Roman" w:hint="eastAsia"/>
        </w:rPr>
        <w:t>6.7</w:t>
      </w:r>
      <w:r>
        <w:rPr>
          <w:rFonts w:ascii="Times New Roman"/>
        </w:rPr>
        <w:t>5MJ/kg</w:t>
      </w:r>
      <w:r>
        <w:rPr>
          <w:rFonts w:ascii="Times New Roman" w:hint="eastAsia"/>
        </w:rPr>
        <w:t>（</w:t>
      </w:r>
      <w:r>
        <w:rPr>
          <w:rFonts w:ascii="Times New Roman" w:hint="eastAsia"/>
        </w:rPr>
        <w:t>15</w:t>
      </w:r>
      <w:r>
        <w:rPr>
          <w:rFonts w:ascii="Times New Roman"/>
        </w:rPr>
        <w:t>00kcal/kg</w:t>
      </w:r>
      <w:r>
        <w:rPr>
          <w:rFonts w:ascii="Times New Roman" w:hint="eastAsia"/>
        </w:rPr>
        <w:t>）。</w:t>
      </w:r>
      <w:r>
        <w:rPr>
          <w:rFonts w:ascii="Times New Roman"/>
        </w:rPr>
        <w:t>按发改办能源〔</w:t>
      </w:r>
      <w:r>
        <w:rPr>
          <w:rFonts w:ascii="Times New Roman"/>
        </w:rPr>
        <w:t>2004</w:t>
      </w:r>
      <w:r>
        <w:rPr>
          <w:rFonts w:ascii="Times New Roman"/>
        </w:rPr>
        <w:t>〕</w:t>
      </w:r>
      <w:r>
        <w:rPr>
          <w:rFonts w:ascii="Times New Roman"/>
        </w:rPr>
        <w:t>864</w:t>
      </w:r>
      <w:r>
        <w:rPr>
          <w:rFonts w:ascii="Times New Roman"/>
        </w:rPr>
        <w:t>号文规定：用于发电的煤矸石的热值应达到</w:t>
      </w:r>
      <w:r>
        <w:rPr>
          <w:rFonts w:ascii="Times New Roman"/>
        </w:rPr>
        <w:t>5MJ/kg</w:t>
      </w:r>
      <w:r>
        <w:rPr>
          <w:rFonts w:ascii="Times New Roman"/>
        </w:rPr>
        <w:t>（</w:t>
      </w:r>
      <w:r>
        <w:rPr>
          <w:rFonts w:ascii="Times New Roman"/>
        </w:rPr>
        <w:t>1200kcal/kg</w:t>
      </w:r>
      <w:r>
        <w:rPr>
          <w:rFonts w:ascii="Times New Roman"/>
        </w:rPr>
        <w:t>）以上，煤矸石发电必须以煤矸石（包括煤泥）为主要燃料，煤矸石（包括煤泥）在入炉燃料中的重量比不低于</w:t>
      </w:r>
      <w:r>
        <w:rPr>
          <w:rFonts w:ascii="Times New Roman"/>
        </w:rPr>
        <w:t>60%</w:t>
      </w:r>
      <w:r>
        <w:rPr>
          <w:rFonts w:ascii="Times New Roman"/>
        </w:rPr>
        <w:t>，入炉燃料的热值不大于</w:t>
      </w:r>
      <w:r>
        <w:rPr>
          <w:rFonts w:ascii="Times New Roman"/>
        </w:rPr>
        <w:t>12550 kJ/kg</w:t>
      </w:r>
      <w:r>
        <w:rPr>
          <w:rFonts w:ascii="Times New Roman"/>
        </w:rPr>
        <w:t>（</w:t>
      </w:r>
      <w:r>
        <w:rPr>
          <w:rFonts w:ascii="Times New Roman"/>
        </w:rPr>
        <w:t>3000kcal/kg</w:t>
      </w:r>
      <w:r>
        <w:rPr>
          <w:rFonts w:ascii="Times New Roman"/>
        </w:rPr>
        <w:t>）。</w:t>
      </w:r>
      <w:r>
        <w:rPr>
          <w:rFonts w:ascii="Times New Roman" w:hint="eastAsia"/>
        </w:rPr>
        <w:t>矿区洗选矸石发热量可满足发电要求。</w:t>
      </w:r>
    </w:p>
    <w:p w14:paraId="12052C6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对洗选矸石可采取多种综合利用：</w:t>
      </w:r>
    </w:p>
    <w:p w14:paraId="6B85E108"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szCs w:val="24"/>
        </w:rPr>
        <w:t>（</w:t>
      </w:r>
      <w:r>
        <w:rPr>
          <w:rFonts w:ascii="Times New Roman" w:hint="eastAsia"/>
        </w:rPr>
        <w:t>1</w:t>
      </w:r>
      <w:r>
        <w:rPr>
          <w:rFonts w:ascii="Times New Roman" w:hint="eastAsia"/>
        </w:rPr>
        <w:t>）宁东镇</w:t>
      </w:r>
      <w:r>
        <w:rPr>
          <w:rFonts w:ascii="Times New Roman"/>
        </w:rPr>
        <w:t>内</w:t>
      </w:r>
      <w:r>
        <w:rPr>
          <w:rFonts w:ascii="Times New Roman" w:hint="eastAsia"/>
        </w:rPr>
        <w:t>现</w:t>
      </w:r>
      <w:r>
        <w:rPr>
          <w:rFonts w:ascii="Times New Roman"/>
        </w:rPr>
        <w:t>建有</w:t>
      </w:r>
      <w:r>
        <w:rPr>
          <w:rFonts w:ascii="Times New Roman" w:hint="eastAsia"/>
        </w:rPr>
        <w:t>灵州矸石电厂（</w:t>
      </w:r>
      <w:r>
        <w:rPr>
          <w:rFonts w:ascii="Times New Roman"/>
        </w:rPr>
        <w:t>2</w:t>
      </w:r>
      <w:r>
        <w:rPr>
          <w:rFonts w:ascii="Times New Roman"/>
        </w:rPr>
        <w:t>×</w:t>
      </w:r>
      <w:r>
        <w:rPr>
          <w:rFonts w:ascii="Times New Roman" w:hint="eastAsia"/>
        </w:rPr>
        <w:t>135</w:t>
      </w:r>
      <w:r>
        <w:rPr>
          <w:rFonts w:ascii="Times New Roman"/>
        </w:rPr>
        <w:t>MW</w:t>
      </w:r>
      <w:r>
        <w:rPr>
          <w:rFonts w:ascii="Times New Roman" w:hint="eastAsia"/>
        </w:rPr>
        <w:t>）</w:t>
      </w:r>
      <w:r>
        <w:rPr>
          <w:rFonts w:ascii="Times New Roman"/>
        </w:rPr>
        <w:t>项目，距</w:t>
      </w:r>
      <w:r>
        <w:rPr>
          <w:rFonts w:ascii="Times New Roman" w:hint="eastAsia"/>
        </w:rPr>
        <w:t>红石湾、马莲台和任家庄</w:t>
      </w:r>
      <w:r>
        <w:rPr>
          <w:rFonts w:ascii="Times New Roman"/>
        </w:rPr>
        <w:t>煤矿工业场地</w:t>
      </w:r>
      <w:r>
        <w:rPr>
          <w:rFonts w:ascii="Times New Roman" w:hint="eastAsia"/>
        </w:rPr>
        <w:t>不大于</w:t>
      </w:r>
      <w:r>
        <w:rPr>
          <w:rFonts w:ascii="Times New Roman" w:hint="eastAsia"/>
        </w:rPr>
        <w:t>10</w:t>
      </w:r>
      <w:r>
        <w:rPr>
          <w:rFonts w:ascii="Times New Roman"/>
        </w:rPr>
        <w:t>km</w:t>
      </w:r>
      <w:r>
        <w:rPr>
          <w:rFonts w:ascii="Times New Roman" w:hint="eastAsia"/>
        </w:rPr>
        <w:t>，年需煤矸石约</w:t>
      </w:r>
      <w:r>
        <w:rPr>
          <w:rFonts w:ascii="Times New Roman" w:hint="eastAsia"/>
        </w:rPr>
        <w:t>80</w:t>
      </w:r>
      <w:r>
        <w:rPr>
          <w:rFonts w:ascii="Times New Roman" w:hint="eastAsia"/>
        </w:rPr>
        <w:t>万吨，可运至灵州矸石电厂进行综合利用</w:t>
      </w:r>
      <w:r>
        <w:rPr>
          <w:rFonts w:ascii="Times New Roman"/>
        </w:rPr>
        <w:t>。</w:t>
      </w:r>
    </w:p>
    <w:p w14:paraId="0A16D9C9"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szCs w:val="24"/>
        </w:rPr>
        <w:t>（</w:t>
      </w:r>
      <w:r>
        <w:rPr>
          <w:rFonts w:ascii="Times New Roman" w:hint="eastAsia"/>
        </w:rPr>
        <w:t>2</w:t>
      </w:r>
      <w:r>
        <w:rPr>
          <w:rFonts w:ascii="Times New Roman" w:hint="eastAsia"/>
        </w:rPr>
        <w:t>）规划建设有宝丰低热值煤综合利用电厂（</w:t>
      </w:r>
      <w:r>
        <w:rPr>
          <w:rFonts w:ascii="Times New Roman"/>
        </w:rPr>
        <w:t>2</w:t>
      </w:r>
      <w:r>
        <w:rPr>
          <w:rFonts w:ascii="Times New Roman"/>
        </w:rPr>
        <w:t>×</w:t>
      </w:r>
      <w:r>
        <w:rPr>
          <w:rFonts w:ascii="Times New Roman" w:hint="eastAsia"/>
        </w:rPr>
        <w:t>350</w:t>
      </w:r>
      <w:r>
        <w:rPr>
          <w:rFonts w:ascii="Times New Roman"/>
        </w:rPr>
        <w:t>MW</w:t>
      </w:r>
      <w:r>
        <w:rPr>
          <w:rFonts w:ascii="Times New Roman" w:hint="eastAsia"/>
        </w:rPr>
        <w:t>），建成后年需煤矸石约</w:t>
      </w:r>
      <w:r>
        <w:rPr>
          <w:rFonts w:ascii="Times New Roman" w:hint="eastAsia"/>
        </w:rPr>
        <w:t>300</w:t>
      </w:r>
      <w:r>
        <w:rPr>
          <w:rFonts w:ascii="Times New Roman" w:hint="eastAsia"/>
        </w:rPr>
        <w:t>万吨，位于马莲台和红石湾煤矿之间，建成后可大量效消耗洗选矸石。</w:t>
      </w:r>
    </w:p>
    <w:p w14:paraId="29AD9A76"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szCs w:val="24"/>
        </w:rPr>
        <w:t>（</w:t>
      </w:r>
      <w:r>
        <w:rPr>
          <w:rFonts w:ascii="Times New Roman" w:hint="eastAsia"/>
        </w:rPr>
        <w:t>3</w:t>
      </w:r>
      <w:r>
        <w:rPr>
          <w:rFonts w:ascii="Times New Roman" w:hint="eastAsia"/>
        </w:rPr>
        <w:t>）剩余</w:t>
      </w:r>
      <w:r>
        <w:rPr>
          <w:rFonts w:ascii="Times New Roman" w:hint="eastAsia"/>
        </w:rPr>
        <w:t>115</w:t>
      </w:r>
      <w:r>
        <w:rPr>
          <w:rFonts w:ascii="Times New Roman" w:hint="eastAsia"/>
        </w:rPr>
        <w:t>万</w:t>
      </w:r>
      <w:r>
        <w:rPr>
          <w:rFonts w:ascii="Times New Roman" w:hint="eastAsia"/>
        </w:rPr>
        <w:t>t/a</w:t>
      </w:r>
      <w:r>
        <w:rPr>
          <w:rFonts w:ascii="Times New Roman" w:hint="eastAsia"/>
        </w:rPr>
        <w:t>洗选矸石，可</w:t>
      </w:r>
      <w:r>
        <w:rPr>
          <w:rFonts w:ascii="Times New Roman"/>
        </w:rPr>
        <w:t>用于充填沉陷裂缝</w:t>
      </w:r>
      <w:r>
        <w:rPr>
          <w:rFonts w:ascii="Times New Roman" w:hint="eastAsia"/>
        </w:rPr>
        <w:t>，</w:t>
      </w:r>
      <w:r>
        <w:rPr>
          <w:rFonts w:ascii="Times New Roman"/>
        </w:rPr>
        <w:t>或用于沉陷区治理</w:t>
      </w:r>
      <w:r>
        <w:rPr>
          <w:rFonts w:ascii="Times New Roman" w:hint="eastAsia"/>
        </w:rPr>
        <w:t>、</w:t>
      </w:r>
      <w:r>
        <w:rPr>
          <w:rFonts w:ascii="Times New Roman"/>
        </w:rPr>
        <w:t>宁东城镇市政</w:t>
      </w:r>
      <w:r>
        <w:rPr>
          <w:rFonts w:ascii="Times New Roman" w:hint="eastAsia"/>
        </w:rPr>
        <w:t>、</w:t>
      </w:r>
      <w:r>
        <w:rPr>
          <w:rFonts w:ascii="Times New Roman"/>
        </w:rPr>
        <w:t>道路建设作为填垫材料</w:t>
      </w:r>
      <w:r>
        <w:rPr>
          <w:rFonts w:ascii="Times New Roman" w:hint="eastAsia"/>
        </w:rPr>
        <w:t>。后续可将矸石用于充填煤柱区，回收煤柱区煤炭资源。</w:t>
      </w:r>
    </w:p>
    <w:p w14:paraId="040B5B5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矸石充填裂缝及沉陷区用于矿区生态治理在国内煤矿均有实施，在开展人工生态恢复治理后，治理区生态恢复较好，甚至比原有植被要好。这也在本矿区任家庄等煤矿沉陷区排矸场生态恢复实际情况得到了验证。根据预测横城</w:t>
      </w:r>
      <w:r>
        <w:rPr>
          <w:rFonts w:ascii="Times New Roman"/>
        </w:rPr>
        <w:t>矿区开采后沉陷面积累计</w:t>
      </w:r>
      <w:r>
        <w:rPr>
          <w:rFonts w:ascii="Times New Roman" w:hint="eastAsia"/>
        </w:rPr>
        <w:t>5</w:t>
      </w:r>
      <w:r>
        <w:rPr>
          <w:rFonts w:ascii="Times New Roman"/>
        </w:rPr>
        <w:t>8.02km</w:t>
      </w:r>
      <w:r>
        <w:rPr>
          <w:rFonts w:ascii="Times New Roman"/>
          <w:vertAlign w:val="superscript"/>
        </w:rPr>
        <w:t>2</w:t>
      </w:r>
      <w:r>
        <w:rPr>
          <w:rFonts w:ascii="Times New Roman"/>
        </w:rPr>
        <w:t>，地表下沉值最大</w:t>
      </w:r>
      <w:r>
        <w:rPr>
          <w:rFonts w:ascii="Times New Roman" w:hint="eastAsia"/>
        </w:rPr>
        <w:t>可</w:t>
      </w:r>
      <w:r>
        <w:rPr>
          <w:rFonts w:ascii="Times New Roman"/>
        </w:rPr>
        <w:t>达到</w:t>
      </w:r>
      <w:r>
        <w:rPr>
          <w:rFonts w:ascii="Times New Roman"/>
        </w:rPr>
        <w:t>21.52m</w:t>
      </w:r>
      <w:r>
        <w:rPr>
          <w:rFonts w:ascii="Times New Roman" w:hint="eastAsia"/>
        </w:rPr>
        <w:t>（任家庄），最小</w:t>
      </w:r>
      <w:r>
        <w:rPr>
          <w:rFonts w:ascii="Times New Roman"/>
        </w:rPr>
        <w:t>地表下沉值</w:t>
      </w:r>
      <w:r>
        <w:rPr>
          <w:rFonts w:ascii="Times New Roman" w:hint="eastAsia"/>
        </w:rPr>
        <w:t>也可</w:t>
      </w:r>
      <w:r>
        <w:rPr>
          <w:rFonts w:ascii="Times New Roman"/>
        </w:rPr>
        <w:t>达到</w:t>
      </w:r>
      <w:r>
        <w:rPr>
          <w:rFonts w:ascii="Times New Roman"/>
        </w:rPr>
        <w:t>10.82m</w:t>
      </w:r>
      <w:r>
        <w:rPr>
          <w:rFonts w:ascii="Times New Roman" w:hint="eastAsia"/>
        </w:rPr>
        <w:t>（丁家梁）</w:t>
      </w:r>
      <w:r>
        <w:rPr>
          <w:rFonts w:ascii="Times New Roman"/>
        </w:rPr>
        <w:t>。</w:t>
      </w:r>
      <w:r>
        <w:rPr>
          <w:rFonts w:ascii="Times New Roman" w:hint="eastAsia"/>
        </w:rPr>
        <w:t>根据估算，按沉陷区充填高度为</w:t>
      </w:r>
      <w:r>
        <w:rPr>
          <w:rFonts w:ascii="Times New Roman" w:hint="eastAsia"/>
        </w:rPr>
        <w:t>10m</w:t>
      </w:r>
      <w:r>
        <w:rPr>
          <w:rFonts w:ascii="Times New Roman" w:hint="eastAsia"/>
        </w:rPr>
        <w:t>，面积</w:t>
      </w:r>
      <w:r>
        <w:rPr>
          <w:rFonts w:ascii="Times New Roman" w:hint="eastAsia"/>
        </w:rPr>
        <w:t>58km</w:t>
      </w:r>
      <w:r>
        <w:rPr>
          <w:rFonts w:ascii="Times New Roman" w:hint="eastAsia"/>
          <w:vertAlign w:val="superscript"/>
        </w:rPr>
        <w:t>2</w:t>
      </w:r>
      <w:r>
        <w:rPr>
          <w:rFonts w:ascii="Times New Roman" w:hint="eastAsia"/>
        </w:rPr>
        <w:t>估算，可消耗煤矸石</w:t>
      </w:r>
      <w:r>
        <w:rPr>
          <w:rFonts w:ascii="Times New Roman" w:hint="eastAsia"/>
        </w:rPr>
        <w:t>58000</w:t>
      </w:r>
      <w:r>
        <w:rPr>
          <w:rFonts w:ascii="Times New Roman" w:hint="eastAsia"/>
        </w:rPr>
        <w:t>万</w:t>
      </w:r>
      <w:r>
        <w:rPr>
          <w:rFonts w:ascii="Times New Roman"/>
        </w:rPr>
        <w:t>m</w:t>
      </w:r>
      <w:r>
        <w:rPr>
          <w:rFonts w:ascii="Times New Roman" w:hint="eastAsia"/>
          <w:vertAlign w:val="superscript"/>
        </w:rPr>
        <w:t>3</w:t>
      </w:r>
      <w:r>
        <w:rPr>
          <w:rFonts w:ascii="Times New Roman"/>
        </w:rPr>
        <w:t>，</w:t>
      </w:r>
      <w:r>
        <w:rPr>
          <w:rFonts w:ascii="Times New Roman" w:hint="eastAsia"/>
        </w:rPr>
        <w:t>约</w:t>
      </w:r>
      <w:r>
        <w:rPr>
          <w:rFonts w:ascii="Times New Roman" w:hint="eastAsia"/>
        </w:rPr>
        <w:t>98600</w:t>
      </w:r>
      <w:r>
        <w:rPr>
          <w:rFonts w:ascii="Times New Roman" w:hint="eastAsia"/>
        </w:rPr>
        <w:t>万吨。</w:t>
      </w:r>
    </w:p>
    <w:p w14:paraId="42BAD99D" w14:textId="77777777" w:rsidR="009C353B" w:rsidRDefault="00000000">
      <w:pPr>
        <w:adjustRightInd w:val="0"/>
        <w:snapToGrid w:val="0"/>
        <w:spacing w:line="440" w:lineRule="exact"/>
        <w:ind w:firstLineChars="200" w:firstLine="480"/>
        <w:rPr>
          <w:rFonts w:ascii="Times New Roman" w:hint="eastAsia"/>
        </w:rPr>
      </w:pPr>
      <w:r>
        <w:rPr>
          <w:rFonts w:ascii="Times New Roman"/>
        </w:rPr>
        <w:t>另外</w:t>
      </w:r>
      <w:r>
        <w:rPr>
          <w:rFonts w:ascii="Times New Roman" w:hint="eastAsia"/>
        </w:rPr>
        <w:t>，</w:t>
      </w:r>
      <w:r>
        <w:rPr>
          <w:rFonts w:ascii="Times New Roman"/>
        </w:rPr>
        <w:t>目前</w:t>
      </w:r>
      <w:r>
        <w:rPr>
          <w:rFonts w:ascii="Times New Roman" w:hint="eastAsia"/>
        </w:rPr>
        <w:t>全国多个矿区均有采用矸石充填回收置换煤柱区煤炭资源的实施经验，如</w:t>
      </w:r>
      <w:r>
        <w:rPr>
          <w:rFonts w:ascii="Times New Roman"/>
        </w:rPr>
        <w:t>山东新汶矿区</w:t>
      </w:r>
      <w:r>
        <w:rPr>
          <w:rFonts w:ascii="Times New Roman" w:hint="eastAsia"/>
        </w:rPr>
        <w:t>、</w:t>
      </w:r>
      <w:r>
        <w:rPr>
          <w:rFonts w:ascii="Times New Roman"/>
        </w:rPr>
        <w:t>河北峰峰矿区等</w:t>
      </w:r>
      <w:r>
        <w:rPr>
          <w:rFonts w:ascii="Times New Roman" w:hint="eastAsia"/>
        </w:rPr>
        <w:t>，井下充填置换煤柱资源既满足资源回收，也能有效的处置矸石，并能满足地面保护要求，是可行的。而且矿区高压输电线、工业园区、高速公路等也留设大范围煤柱，对以上地区采用矸石充填回收置换煤柱可回收大量煤炭资源。根据矿区煤炭资源情况可知区内平均煤厚约</w:t>
      </w:r>
      <w:r>
        <w:rPr>
          <w:rFonts w:ascii="Times New Roman" w:hint="eastAsia"/>
        </w:rPr>
        <w:t>1</w:t>
      </w:r>
      <w:r>
        <w:rPr>
          <w:rFonts w:ascii="Times New Roman"/>
        </w:rPr>
        <w:t>2</w:t>
      </w:r>
      <w:r>
        <w:rPr>
          <w:rFonts w:ascii="Times New Roman" w:hint="eastAsia"/>
        </w:rPr>
        <w:t>m</w:t>
      </w:r>
      <w:r>
        <w:rPr>
          <w:rFonts w:ascii="Times New Roman" w:hint="eastAsia"/>
        </w:rPr>
        <w:t>，预留煤柱区面积粗略估算约</w:t>
      </w:r>
      <w:r>
        <w:rPr>
          <w:rFonts w:ascii="Times New Roman" w:hint="eastAsia"/>
        </w:rPr>
        <w:t>24km</w:t>
      </w:r>
      <w:r>
        <w:rPr>
          <w:rFonts w:ascii="Times New Roman"/>
          <w:vertAlign w:val="superscript"/>
        </w:rPr>
        <w:t>2</w:t>
      </w:r>
      <w:r>
        <w:rPr>
          <w:rFonts w:ascii="Times New Roman" w:hint="eastAsia"/>
        </w:rPr>
        <w:t>，可回收资源量约</w:t>
      </w:r>
      <w:r>
        <w:rPr>
          <w:rFonts w:ascii="Times New Roman" w:hint="eastAsia"/>
        </w:rPr>
        <w:t>28800</w:t>
      </w:r>
      <w:r>
        <w:rPr>
          <w:rFonts w:ascii="Times New Roman" w:hint="eastAsia"/>
        </w:rPr>
        <w:t>万</w:t>
      </w:r>
      <w:r>
        <w:rPr>
          <w:rFonts w:ascii="Times New Roman" w:hint="eastAsia"/>
        </w:rPr>
        <w:t>m</w:t>
      </w:r>
      <w:r>
        <w:rPr>
          <w:rFonts w:ascii="Times New Roman"/>
          <w:vertAlign w:val="superscript"/>
        </w:rPr>
        <w:t>3</w:t>
      </w:r>
      <w:r>
        <w:rPr>
          <w:rFonts w:ascii="Times New Roman" w:hint="eastAsia"/>
        </w:rPr>
        <w:t>。以充填开采的方式置换煤柱，按完全置换且煤矸石占充填料的</w:t>
      </w:r>
      <w:r>
        <w:rPr>
          <w:rFonts w:ascii="Times New Roman" w:hint="eastAsia"/>
        </w:rPr>
        <w:t>7</w:t>
      </w:r>
      <w:r>
        <w:rPr>
          <w:rFonts w:ascii="Times New Roman"/>
        </w:rPr>
        <w:t>0</w:t>
      </w:r>
      <w:r>
        <w:rPr>
          <w:rFonts w:ascii="Times New Roman" w:hint="eastAsia"/>
        </w:rPr>
        <w:t>%</w:t>
      </w:r>
      <w:r>
        <w:rPr>
          <w:rFonts w:ascii="Times New Roman" w:hint="eastAsia"/>
        </w:rPr>
        <w:t>计算，可消耗矸石量约</w:t>
      </w:r>
      <w:r>
        <w:rPr>
          <w:rFonts w:ascii="Times New Roman" w:hint="eastAsia"/>
        </w:rPr>
        <w:t>20160</w:t>
      </w:r>
      <w:r>
        <w:rPr>
          <w:rFonts w:ascii="Times New Roman" w:hint="eastAsia"/>
        </w:rPr>
        <w:t>万</w:t>
      </w:r>
      <w:r>
        <w:rPr>
          <w:rFonts w:ascii="Times New Roman" w:hint="eastAsia"/>
        </w:rPr>
        <w:t>t</w:t>
      </w:r>
      <w:r>
        <w:rPr>
          <w:rFonts w:ascii="Times New Roman" w:hint="eastAsia"/>
        </w:rPr>
        <w:t>。</w:t>
      </w:r>
    </w:p>
    <w:p w14:paraId="153B35CD" w14:textId="77777777" w:rsidR="009C353B" w:rsidRDefault="00000000">
      <w:pPr>
        <w:pStyle w:val="3"/>
        <w:adjustRightInd w:val="0"/>
        <w:snapToGrid w:val="0"/>
        <w:spacing w:before="0" w:after="0" w:line="440" w:lineRule="exact"/>
        <w:rPr>
          <w:rFonts w:ascii="Times New Roman" w:hint="eastAsia"/>
          <w:sz w:val="24"/>
          <w:szCs w:val="24"/>
        </w:rPr>
      </w:pPr>
      <w:r>
        <w:rPr>
          <w:rFonts w:ascii="Times New Roman"/>
          <w:sz w:val="24"/>
          <w:szCs w:val="24"/>
        </w:rPr>
        <w:t>9.5.</w:t>
      </w:r>
      <w:r>
        <w:rPr>
          <w:rFonts w:ascii="Times New Roman" w:hint="eastAsia"/>
          <w:sz w:val="24"/>
          <w:szCs w:val="24"/>
        </w:rPr>
        <w:t>3</w:t>
      </w:r>
      <w:r>
        <w:rPr>
          <w:rFonts w:ascii="Times New Roman"/>
          <w:sz w:val="24"/>
          <w:szCs w:val="24"/>
        </w:rPr>
        <w:t xml:space="preserve"> </w:t>
      </w:r>
      <w:r>
        <w:rPr>
          <w:rFonts w:ascii="Times New Roman" w:hint="eastAsia"/>
          <w:sz w:val="24"/>
          <w:szCs w:val="24"/>
        </w:rPr>
        <w:t>生活垃圾和水处理站有机污泥处置措施</w:t>
      </w:r>
    </w:p>
    <w:p w14:paraId="1B8BC42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生活垃圾成分复杂，处置难度较大，建议矿区可将生活污水处理站有机污泥与生活垃圾一起送交宁东环卫部门统一处置，确保不对环境造成不利影响。</w:t>
      </w:r>
    </w:p>
    <w:p w14:paraId="5BF1CFDB" w14:textId="77777777" w:rsidR="009C353B" w:rsidRDefault="00000000">
      <w:pPr>
        <w:pStyle w:val="3"/>
        <w:adjustRightInd w:val="0"/>
        <w:snapToGrid w:val="0"/>
        <w:spacing w:before="0" w:after="0" w:line="440" w:lineRule="exact"/>
        <w:rPr>
          <w:rFonts w:ascii="Times New Roman" w:hint="eastAsia"/>
          <w:sz w:val="24"/>
          <w:szCs w:val="24"/>
        </w:rPr>
      </w:pPr>
      <w:r>
        <w:rPr>
          <w:rFonts w:ascii="Times New Roman"/>
          <w:sz w:val="24"/>
          <w:szCs w:val="24"/>
        </w:rPr>
        <w:t>9.5.</w:t>
      </w:r>
      <w:r>
        <w:rPr>
          <w:rFonts w:ascii="Times New Roman" w:hint="eastAsia"/>
          <w:sz w:val="24"/>
          <w:szCs w:val="24"/>
        </w:rPr>
        <w:t>4</w:t>
      </w:r>
      <w:r>
        <w:rPr>
          <w:rFonts w:ascii="Times New Roman"/>
          <w:sz w:val="24"/>
          <w:szCs w:val="24"/>
        </w:rPr>
        <w:t xml:space="preserve"> </w:t>
      </w:r>
      <w:r>
        <w:rPr>
          <w:rFonts w:ascii="Times New Roman" w:hint="eastAsia"/>
          <w:sz w:val="24"/>
          <w:szCs w:val="24"/>
        </w:rPr>
        <w:t>危险废物处置措施</w:t>
      </w:r>
    </w:p>
    <w:p w14:paraId="66BFF8C5" w14:textId="77777777" w:rsidR="009C353B" w:rsidRDefault="00000000">
      <w:pPr>
        <w:adjustRightInd w:val="0"/>
        <w:snapToGrid w:val="0"/>
        <w:spacing w:line="440" w:lineRule="exact"/>
        <w:ind w:firstLineChars="200" w:firstLine="480"/>
        <w:rPr>
          <w:rFonts w:ascii="Times New Roman" w:hAnsi="Times New Roman"/>
          <w:kern w:val="0"/>
          <w:szCs w:val="24"/>
        </w:rPr>
      </w:pPr>
      <w:r>
        <w:rPr>
          <w:rFonts w:ascii="Times New Roman" w:hint="eastAsia"/>
        </w:rPr>
        <w:t>各矿按要求设置危废暂存库，短期存储产生的废矿物油和废油桶等危险废物。定期将收集到的危险废物交由有资质的危废处置公司进行处置。严禁乱堆乱放，随意排弃。</w:t>
      </w:r>
    </w:p>
    <w:p w14:paraId="6DB79334" w14:textId="77777777" w:rsidR="009C353B" w:rsidRDefault="009C353B">
      <w:pPr>
        <w:autoSpaceDE w:val="0"/>
        <w:autoSpaceDN w:val="0"/>
        <w:spacing w:line="440" w:lineRule="exact"/>
        <w:ind w:firstLineChars="200" w:firstLine="480"/>
        <w:jc w:val="left"/>
        <w:rPr>
          <w:rFonts w:ascii="Times New Roman" w:hAnsi="Times New Roman"/>
          <w:kern w:val="0"/>
          <w:szCs w:val="24"/>
        </w:rPr>
      </w:pPr>
    </w:p>
    <w:bookmarkEnd w:id="374"/>
    <w:p w14:paraId="36971279" w14:textId="77777777" w:rsidR="009C353B" w:rsidRDefault="009C353B">
      <w:pPr>
        <w:pStyle w:val="affffff0"/>
        <w:spacing w:beforeLines="50" w:before="120"/>
        <w:jc w:val="center"/>
        <w:rPr>
          <w:rFonts w:ascii="Times New Roman" w:hAnsi="Times New Roman"/>
        </w:rPr>
      </w:pPr>
    </w:p>
    <w:p w14:paraId="5CAC8B0A" w14:textId="77777777" w:rsidR="009C353B" w:rsidRDefault="009C353B">
      <w:pPr>
        <w:pStyle w:val="1"/>
        <w:spacing w:before="100" w:beforeAutospacing="1" w:after="100" w:afterAutospacing="1" w:line="578" w:lineRule="exact"/>
        <w:jc w:val="center"/>
        <w:rPr>
          <w:rFonts w:ascii="Times New Roman" w:hAnsi="Times New Roman"/>
          <w:sz w:val="36"/>
        </w:rPr>
        <w:sectPr w:rsidR="009C353B">
          <w:headerReference w:type="default" r:id="rId479"/>
          <w:pgSz w:w="11907" w:h="16840"/>
          <w:pgMar w:top="1701" w:right="1418" w:bottom="1247" w:left="1418" w:header="1134" w:footer="851" w:gutter="0"/>
          <w:paperSrc w:first="7" w:other="7"/>
          <w:cols w:space="720"/>
          <w:docGrid w:linePitch="326"/>
        </w:sectPr>
      </w:pPr>
      <w:bookmarkStart w:id="375" w:name="_Toc125193024"/>
      <w:bookmarkStart w:id="376" w:name="_Toc163441049"/>
    </w:p>
    <w:p w14:paraId="625EEBBA" w14:textId="77777777" w:rsidR="009C353B" w:rsidRDefault="00000000">
      <w:pPr>
        <w:pStyle w:val="1"/>
        <w:spacing w:before="100" w:beforeAutospacing="1" w:after="100" w:afterAutospacing="1" w:line="578" w:lineRule="exact"/>
        <w:jc w:val="center"/>
        <w:rPr>
          <w:rFonts w:ascii="Times New Roman" w:hAnsi="Times New Roman"/>
          <w:sz w:val="36"/>
        </w:rPr>
      </w:pPr>
      <w:bookmarkStart w:id="377" w:name="_Toc59189877"/>
      <w:r>
        <w:rPr>
          <w:rFonts w:ascii="Times New Roman" w:hAnsi="Times New Roman" w:hint="eastAsia"/>
          <w:sz w:val="36"/>
        </w:rPr>
        <w:t>1</w:t>
      </w:r>
      <w:r>
        <w:rPr>
          <w:rFonts w:ascii="Times New Roman" w:hAnsi="Times New Roman"/>
          <w:sz w:val="36"/>
        </w:rPr>
        <w:t xml:space="preserve">0 </w:t>
      </w:r>
      <w:r>
        <w:rPr>
          <w:rFonts w:ascii="Times New Roman" w:hAnsi="Times New Roman"/>
          <w:sz w:val="36"/>
        </w:rPr>
        <w:t>环境管理、监测计划与跟踪评价</w:t>
      </w:r>
      <w:bookmarkEnd w:id="375"/>
      <w:bookmarkEnd w:id="376"/>
      <w:bookmarkEnd w:id="377"/>
    </w:p>
    <w:p w14:paraId="6E862A64" w14:textId="77777777" w:rsidR="009C353B" w:rsidRDefault="00000000">
      <w:pPr>
        <w:pStyle w:val="2"/>
        <w:adjustRightInd w:val="0"/>
        <w:snapToGrid w:val="0"/>
        <w:spacing w:before="480" w:line="440" w:lineRule="exact"/>
        <w:jc w:val="left"/>
        <w:rPr>
          <w:rFonts w:ascii="Times New Roman" w:eastAsia="宋体" w:hAnsi="Times New Roman"/>
          <w:b/>
          <w:sz w:val="28"/>
        </w:rPr>
      </w:pPr>
      <w:bookmarkStart w:id="378" w:name="_Toc125193025"/>
      <w:bookmarkStart w:id="379" w:name="_Toc163441050"/>
      <w:bookmarkStart w:id="380" w:name="_Toc59189878"/>
      <w:r>
        <w:rPr>
          <w:rFonts w:ascii="Times New Roman" w:eastAsia="宋体" w:hAnsi="Times New Roman"/>
          <w:b/>
          <w:sz w:val="28"/>
        </w:rPr>
        <w:t xml:space="preserve">10.1 </w:t>
      </w:r>
      <w:r>
        <w:rPr>
          <w:rFonts w:ascii="Times New Roman" w:eastAsia="宋体" w:hAnsi="Times New Roman"/>
          <w:b/>
          <w:sz w:val="28"/>
        </w:rPr>
        <w:t>环境管理</w:t>
      </w:r>
      <w:bookmarkEnd w:id="378"/>
      <w:r>
        <w:rPr>
          <w:rFonts w:ascii="Times New Roman" w:eastAsia="宋体" w:hAnsi="Times New Roman"/>
          <w:b/>
          <w:sz w:val="28"/>
        </w:rPr>
        <w:t>计划</w:t>
      </w:r>
      <w:bookmarkEnd w:id="379"/>
      <w:bookmarkEnd w:id="380"/>
    </w:p>
    <w:p w14:paraId="2C1526C8" w14:textId="77777777" w:rsidR="009C353B" w:rsidRDefault="00000000">
      <w:pPr>
        <w:pStyle w:val="3"/>
        <w:adjustRightInd w:val="0"/>
        <w:snapToGrid w:val="0"/>
        <w:spacing w:before="0" w:after="0" w:line="440" w:lineRule="exact"/>
        <w:rPr>
          <w:rFonts w:ascii="Times New Roman" w:hAnsi="Times New Roman"/>
          <w:sz w:val="24"/>
        </w:rPr>
      </w:pPr>
      <w:bookmarkStart w:id="381" w:name="_Toc125193026"/>
      <w:r>
        <w:rPr>
          <w:rFonts w:ascii="Times New Roman" w:hAnsi="Times New Roman"/>
          <w:sz w:val="24"/>
        </w:rPr>
        <w:t xml:space="preserve">10.1.1 </w:t>
      </w:r>
      <w:bookmarkEnd w:id="381"/>
      <w:r>
        <w:rPr>
          <w:rFonts w:ascii="Times New Roman"/>
          <w:sz w:val="24"/>
        </w:rPr>
        <w:t>环境管理基本原则</w:t>
      </w:r>
    </w:p>
    <w:p w14:paraId="427D8239"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横城矿区开展环境管理工作应在遵守国家相关环境保护法规的前提下，从实际出发遵循以下原则：</w:t>
      </w:r>
    </w:p>
    <w:p w14:paraId="63F9AE0E"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1</w:t>
      </w:r>
      <w:r>
        <w:rPr>
          <w:rFonts w:ascii="Times New Roman"/>
        </w:rPr>
        <w:t>）按</w:t>
      </w:r>
      <w:r>
        <w:rPr>
          <w:rFonts w:ascii="Times New Roman" w:hAnsi="Times New Roman"/>
        </w:rPr>
        <w:t>“</w:t>
      </w:r>
      <w:r>
        <w:rPr>
          <w:rFonts w:ascii="Times New Roman"/>
        </w:rPr>
        <w:t>可持续发展</w:t>
      </w:r>
      <w:r>
        <w:rPr>
          <w:rFonts w:ascii="Times New Roman" w:hAnsi="Times New Roman"/>
        </w:rPr>
        <w:t>”</w:t>
      </w:r>
      <w:r>
        <w:rPr>
          <w:rFonts w:ascii="Times New Roman"/>
        </w:rPr>
        <w:t>的思想，正确处理矿区发展和环境保护之间的关系，把经济效益和环境效益统一起来，促进环境保护、环境建设与国民经济持续、稳定、协调发展；</w:t>
      </w:r>
    </w:p>
    <w:p w14:paraId="7C9737C2"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2</w:t>
      </w:r>
      <w:r>
        <w:rPr>
          <w:rFonts w:ascii="Times New Roman"/>
        </w:rPr>
        <w:t>）把环境管理作为矿区日常管理的重要组成部分之一，贯穿于管理全过程，将环保指标纳入矿区运行计划指标中，并进行定期考核和检查；</w:t>
      </w:r>
    </w:p>
    <w:p w14:paraId="5043042A"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3</w:t>
      </w:r>
      <w:r>
        <w:rPr>
          <w:rFonts w:ascii="Times New Roman"/>
        </w:rPr>
        <w:t>）加强全区职工环境保护意识，做到专业管理与群众管理相结合。</w:t>
      </w:r>
    </w:p>
    <w:p w14:paraId="36038E4F"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10.1.2 </w:t>
      </w:r>
      <w:r>
        <w:rPr>
          <w:rFonts w:ascii="Times New Roman"/>
          <w:sz w:val="24"/>
        </w:rPr>
        <w:t>环境管理目标</w:t>
      </w:r>
    </w:p>
    <w:p w14:paraId="41773861"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1</w:t>
      </w:r>
      <w:r>
        <w:rPr>
          <w:rFonts w:ascii="Times New Roman"/>
        </w:rPr>
        <w:t>）确保矿区环境质量按功能分区达标；</w:t>
      </w:r>
    </w:p>
    <w:p w14:paraId="15BAA640"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2</w:t>
      </w:r>
      <w:r>
        <w:rPr>
          <w:rFonts w:ascii="Times New Roman"/>
        </w:rPr>
        <w:t>）建立公众参与机制，确保公众利益不受损害；</w:t>
      </w:r>
    </w:p>
    <w:p w14:paraId="3488A3E4"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3</w:t>
      </w:r>
      <w:r>
        <w:rPr>
          <w:rFonts w:ascii="Times New Roman"/>
        </w:rPr>
        <w:t>）继续推进污染物排放总量控制，确保污染物排放总量按国家和当地环保部门要求执行</w:t>
      </w:r>
      <w:r>
        <w:rPr>
          <w:rFonts w:ascii="Times New Roman" w:hint="eastAsia"/>
        </w:rPr>
        <w:t>，同时按要求及时办理排污许可证；</w:t>
      </w:r>
    </w:p>
    <w:p w14:paraId="790435F8"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4</w:t>
      </w:r>
      <w:r>
        <w:rPr>
          <w:rFonts w:ascii="Times New Roman"/>
        </w:rPr>
        <w:t>）强化矿区节水节能措施，确保达到国家及相关部门</w:t>
      </w:r>
      <w:r>
        <w:rPr>
          <w:rFonts w:ascii="Times New Roman" w:hAnsi="Times New Roman"/>
        </w:rPr>
        <w:t>“</w:t>
      </w:r>
      <w:r>
        <w:rPr>
          <w:rFonts w:ascii="Times New Roman"/>
        </w:rPr>
        <w:t>十</w:t>
      </w:r>
      <w:r>
        <w:rPr>
          <w:rFonts w:ascii="Times New Roman" w:hint="eastAsia"/>
        </w:rPr>
        <w:t>三</w:t>
      </w:r>
      <w:r>
        <w:rPr>
          <w:rFonts w:ascii="Times New Roman"/>
        </w:rPr>
        <w:t>五</w:t>
      </w:r>
      <w:r>
        <w:rPr>
          <w:rFonts w:ascii="Times New Roman" w:hAnsi="Times New Roman"/>
        </w:rPr>
        <w:t>”</w:t>
      </w:r>
      <w:r>
        <w:rPr>
          <w:rFonts w:ascii="Times New Roman"/>
        </w:rPr>
        <w:t>节能目标；</w:t>
      </w:r>
    </w:p>
    <w:p w14:paraId="31976A9F"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5</w:t>
      </w:r>
      <w:r>
        <w:rPr>
          <w:rFonts w:ascii="Times New Roman"/>
        </w:rPr>
        <w:t>）继续大力推进矿区煤矿、选煤厂</w:t>
      </w:r>
      <w:r>
        <w:rPr>
          <w:rFonts w:ascii="Times New Roman" w:hint="eastAsia"/>
        </w:rPr>
        <w:t>的</w:t>
      </w:r>
      <w:r>
        <w:rPr>
          <w:rFonts w:ascii="Times New Roman"/>
        </w:rPr>
        <w:t>清洁生产建设，确保矿区清洁生产达先进水平；</w:t>
      </w:r>
    </w:p>
    <w:p w14:paraId="18E23599"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6</w:t>
      </w:r>
      <w:r>
        <w:rPr>
          <w:rFonts w:ascii="Times New Roman"/>
        </w:rPr>
        <w:t>）坚持生态保护与污染防治并重，生态建设与生态保护并举；</w:t>
      </w:r>
    </w:p>
    <w:p w14:paraId="392EEE46"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7</w:t>
      </w:r>
      <w:r>
        <w:rPr>
          <w:rFonts w:ascii="Times New Roman"/>
        </w:rPr>
        <w:t>）加强环境管理能力建设，提高环境管理现代化水平，环境影响评价和</w:t>
      </w:r>
      <w:r>
        <w:rPr>
          <w:rFonts w:ascii="Times New Roman" w:hAnsi="Times New Roman"/>
        </w:rPr>
        <w:t>“</w:t>
      </w:r>
      <w:r>
        <w:rPr>
          <w:rFonts w:ascii="Times New Roman"/>
        </w:rPr>
        <w:t>三同时</w:t>
      </w:r>
      <w:r>
        <w:rPr>
          <w:rFonts w:ascii="Times New Roman" w:hAnsi="Times New Roman"/>
        </w:rPr>
        <w:t>”</w:t>
      </w:r>
      <w:r>
        <w:rPr>
          <w:rFonts w:ascii="Times New Roman"/>
        </w:rPr>
        <w:t>制度执行率达到</w:t>
      </w:r>
      <w:r>
        <w:rPr>
          <w:rFonts w:ascii="Times New Roman" w:hAnsi="Times New Roman"/>
        </w:rPr>
        <w:t>100%</w:t>
      </w:r>
      <w:r>
        <w:rPr>
          <w:rFonts w:ascii="Times New Roman"/>
        </w:rPr>
        <w:t>，矿区内各工业企业环境管理体系应该遵循</w:t>
      </w:r>
      <w:r>
        <w:rPr>
          <w:rFonts w:ascii="Times New Roman" w:hAnsi="Times New Roman"/>
        </w:rPr>
        <w:t>ISO14001</w:t>
      </w:r>
      <w:r>
        <w:rPr>
          <w:rFonts w:ascii="Times New Roman"/>
        </w:rPr>
        <w:t>环境管理体系标准来建立，尽早实施并寻求认证；</w:t>
      </w:r>
    </w:p>
    <w:p w14:paraId="5877B60A"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w:t>
      </w:r>
      <w:r>
        <w:rPr>
          <w:rFonts w:ascii="Times New Roman" w:hAnsi="Times New Roman"/>
        </w:rPr>
        <w:t>8</w:t>
      </w:r>
      <w:r>
        <w:rPr>
          <w:rFonts w:ascii="Times New Roman"/>
        </w:rPr>
        <w:t>）实施环境保护重点工程，确保减缓不利影响的措施和可持续发展对策得以顺利实施和执行。</w:t>
      </w:r>
    </w:p>
    <w:p w14:paraId="038F89D5"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10.1.3 </w:t>
      </w:r>
      <w:r>
        <w:rPr>
          <w:rFonts w:ascii="Times New Roman"/>
          <w:sz w:val="24"/>
        </w:rPr>
        <w:t>环境管理机构及职责</w:t>
      </w:r>
    </w:p>
    <w:p w14:paraId="34A76EF2"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）环境管理机构设置</w:t>
      </w:r>
    </w:p>
    <w:p w14:paraId="16580718" w14:textId="77777777" w:rsidR="009C353B" w:rsidRDefault="00000000">
      <w:pPr>
        <w:adjustRightInd w:val="0"/>
        <w:snapToGrid w:val="0"/>
        <w:spacing w:line="440" w:lineRule="exact"/>
        <w:ind w:firstLineChars="200" w:firstLine="480"/>
        <w:rPr>
          <w:rFonts w:ascii="Times New Roman" w:hint="eastAsia"/>
        </w:rPr>
      </w:pPr>
      <w:r>
        <w:rPr>
          <w:rFonts w:ascii="Times New Roman"/>
        </w:rPr>
        <w:t>目前横城矿区主要由</w:t>
      </w:r>
      <w:r>
        <w:rPr>
          <w:rFonts w:ascii="Times New Roman" w:hint="eastAsia"/>
        </w:rPr>
        <w:t>宁夏宝丰能源集团有限公司</w:t>
      </w:r>
      <w:r>
        <w:rPr>
          <w:rFonts w:ascii="Times New Roman"/>
        </w:rPr>
        <w:t>和</w:t>
      </w:r>
      <w:r>
        <w:rPr>
          <w:rFonts w:ascii="Times New Roman" w:hint="eastAsia"/>
        </w:rPr>
        <w:t>神华宁夏煤业集团有限责任公司</w:t>
      </w:r>
      <w:r>
        <w:rPr>
          <w:rFonts w:ascii="Times New Roman"/>
        </w:rPr>
        <w:t>开发。目前两个开发主体均有环境管理机构（环保科），负责项目自身环保工作。建议各</w:t>
      </w:r>
      <w:r>
        <w:rPr>
          <w:rFonts w:ascii="Times New Roman" w:hint="eastAsia"/>
        </w:rPr>
        <w:t>主体</w:t>
      </w:r>
      <w:r>
        <w:rPr>
          <w:rFonts w:ascii="Times New Roman"/>
        </w:rPr>
        <w:t>设置统一的环境管理机构，负责</w:t>
      </w:r>
      <w:r>
        <w:rPr>
          <w:rFonts w:ascii="Times New Roman" w:hint="eastAsia"/>
        </w:rPr>
        <w:t>沟通</w:t>
      </w:r>
      <w:r>
        <w:rPr>
          <w:rFonts w:ascii="Times New Roman"/>
        </w:rPr>
        <w:t>管理</w:t>
      </w:r>
      <w:r>
        <w:rPr>
          <w:rFonts w:ascii="Times New Roman" w:hint="eastAsia"/>
        </w:rPr>
        <w:t>各</w:t>
      </w:r>
      <w:r>
        <w:rPr>
          <w:rFonts w:ascii="Times New Roman"/>
        </w:rPr>
        <w:t>矿环境管理和日常环境监测工作，由矿区内各企业设立的企业环保机构负责本项目环境管理工作。</w:t>
      </w:r>
    </w:p>
    <w:p w14:paraId="4A14DAA4"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b/>
        </w:rPr>
        <w:t>（</w:t>
      </w:r>
      <w:r>
        <w:rPr>
          <w:rFonts w:ascii="Times New Roman" w:hAnsi="Times New Roman"/>
          <w:b/>
        </w:rPr>
        <w:t>2</w:t>
      </w:r>
      <w:r>
        <w:rPr>
          <w:rFonts w:ascii="Times New Roman"/>
          <w:b/>
        </w:rPr>
        <w:t>）管理人员及设备配置</w:t>
      </w:r>
    </w:p>
    <w:p w14:paraId="1D14A4E4"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根据横城矿区经济发展的实际情况和</w:t>
      </w:r>
      <w:r>
        <w:rPr>
          <w:rFonts w:ascii="Times New Roman" w:hint="eastAsia"/>
        </w:rPr>
        <w:t>环境保护部</w:t>
      </w:r>
      <w:r>
        <w:rPr>
          <w:rFonts w:ascii="Times New Roman"/>
        </w:rPr>
        <w:t>文件规定的标准，配置一定数量的环境管理专业人员。矿区环境管理机构运行体系见图</w:t>
      </w:r>
      <w:r>
        <w:rPr>
          <w:rFonts w:ascii="Times New Roman" w:hAnsi="Times New Roman"/>
        </w:rPr>
        <w:t>10.1-1</w:t>
      </w:r>
      <w:r>
        <w:rPr>
          <w:rFonts w:ascii="Times New Roman"/>
        </w:rPr>
        <w:t>。</w:t>
      </w:r>
    </w:p>
    <w:p w14:paraId="3C06741A" w14:textId="77777777" w:rsidR="009C353B" w:rsidRDefault="00000000">
      <w:pPr>
        <w:spacing w:line="529" w:lineRule="exact"/>
        <w:ind w:firstLineChars="200" w:firstLine="480"/>
        <w:rPr>
          <w:rFonts w:ascii="Times New Roman" w:hAnsi="Times New Roman"/>
        </w:rPr>
      </w:pPr>
      <w:r>
        <w:rPr>
          <w:noProof/>
        </w:rPr>
        <mc:AlternateContent>
          <mc:Choice Requires="wpg">
            <w:drawing>
              <wp:anchor distT="0" distB="0" distL="114300" distR="114300" simplePos="0" relativeHeight="251660288" behindDoc="0" locked="0" layoutInCell="1" allowOverlap="1" wp14:anchorId="28D89832" wp14:editId="18537C4D">
                <wp:simplePos x="0" y="0"/>
                <wp:positionH relativeFrom="column">
                  <wp:posOffset>657225</wp:posOffset>
                </wp:positionH>
                <wp:positionV relativeFrom="paragraph">
                  <wp:posOffset>73025</wp:posOffset>
                </wp:positionV>
                <wp:extent cx="4022090" cy="2573020"/>
                <wp:effectExtent l="0" t="0" r="0" b="0"/>
                <wp:wrapNone/>
                <wp:docPr id="2" name="Group 328"/>
                <wp:cNvGraphicFramePr/>
                <a:graphic xmlns:a="http://schemas.openxmlformats.org/drawingml/2006/main">
                  <a:graphicData uri="http://schemas.microsoft.com/office/word/2010/wordprocessingGroup">
                    <wpg:wgp>
                      <wpg:cNvGrpSpPr/>
                      <wpg:grpSpPr>
                        <a:xfrm>
                          <a:off x="0" y="0"/>
                          <a:ext cx="4022090" cy="2573020"/>
                          <a:chOff x="0" y="0"/>
                          <a:chExt cx="6334" cy="4052"/>
                        </a:xfrm>
                      </wpg:grpSpPr>
                      <wps:wsp>
                        <wps:cNvPr id="26" name="AutoShape 329"/>
                        <wps:cNvSpPr>
                          <a:spLocks noChangeAspect="1" noChangeArrowheads="1" noTextEdit="1"/>
                        </wps:cNvSpPr>
                        <wps:spPr bwMode="auto">
                          <a:xfrm>
                            <a:off x="0" y="0"/>
                            <a:ext cx="6334" cy="4052"/>
                          </a:xfrm>
                          <a:prstGeom prst="rect">
                            <a:avLst/>
                          </a:prstGeom>
                          <a:noFill/>
                          <a:ln>
                            <a:noFill/>
                          </a:ln>
                        </wps:spPr>
                        <wps:bodyPr rot="0" vert="horz" wrap="square" lIns="91440" tIns="45720" rIns="91440" bIns="45720" anchor="t" anchorCtr="0" upright="1">
                          <a:noAutofit/>
                        </wps:bodyPr>
                      </wps:wsp>
                      <wps:wsp>
                        <wps:cNvPr id="27" name="Rectangle 330"/>
                        <wps:cNvSpPr>
                          <a:spLocks noChangeArrowheads="1"/>
                        </wps:cNvSpPr>
                        <wps:spPr bwMode="auto">
                          <a:xfrm>
                            <a:off x="186" y="25"/>
                            <a:ext cx="1123" cy="359"/>
                          </a:xfrm>
                          <a:prstGeom prst="rect">
                            <a:avLst/>
                          </a:prstGeom>
                          <a:solidFill>
                            <a:srgbClr val="FFFFFF"/>
                          </a:solidFill>
                          <a:ln>
                            <a:noFill/>
                          </a:ln>
                        </wps:spPr>
                        <wps:bodyPr rot="0" vert="horz" wrap="square" lIns="91440" tIns="45720" rIns="91440" bIns="45720" anchor="t" anchorCtr="0" upright="1">
                          <a:noAutofit/>
                        </wps:bodyPr>
                      </wps:wsp>
                      <wps:wsp>
                        <wps:cNvPr id="28" name="Rectangle 331"/>
                        <wps:cNvSpPr>
                          <a:spLocks noChangeArrowheads="1"/>
                        </wps:cNvSpPr>
                        <wps:spPr bwMode="auto">
                          <a:xfrm>
                            <a:off x="396" y="109"/>
                            <a:ext cx="721" cy="233"/>
                          </a:xfrm>
                          <a:prstGeom prst="rect">
                            <a:avLst/>
                          </a:prstGeom>
                          <a:noFill/>
                          <a:ln>
                            <a:noFill/>
                          </a:ln>
                        </wps:spPr>
                        <wps:txbx>
                          <w:txbxContent>
                            <w:p w14:paraId="12438D77" w14:textId="77777777" w:rsidR="009C353B" w:rsidRDefault="00000000">
                              <w:pPr>
                                <w:rPr>
                                  <w:rFonts w:hint="eastAsia"/>
                                </w:rPr>
                              </w:pPr>
                              <w:r>
                                <w:rPr>
                                  <w:rFonts w:cs="宋体" w:hint="eastAsia"/>
                                  <w:color w:val="000000"/>
                                  <w:kern w:val="0"/>
                                  <w:sz w:val="18"/>
                                  <w:szCs w:val="18"/>
                                </w:rPr>
                                <w:t>监督管理</w:t>
                              </w:r>
                            </w:p>
                          </w:txbxContent>
                        </wps:txbx>
                        <wps:bodyPr rot="0" vert="horz" wrap="none" lIns="0" tIns="0" rIns="0" bIns="0" anchor="t" anchorCtr="0" upright="1">
                          <a:spAutoFit/>
                        </wps:bodyPr>
                      </wps:wsp>
                      <wps:wsp>
                        <wps:cNvPr id="29" name="Rectangle 332"/>
                        <wps:cNvSpPr>
                          <a:spLocks noChangeArrowheads="1"/>
                        </wps:cNvSpPr>
                        <wps:spPr bwMode="auto">
                          <a:xfrm>
                            <a:off x="2631" y="25"/>
                            <a:ext cx="1123" cy="359"/>
                          </a:xfrm>
                          <a:prstGeom prst="rect">
                            <a:avLst/>
                          </a:prstGeom>
                          <a:solidFill>
                            <a:srgbClr val="FFFFFF"/>
                          </a:solidFill>
                          <a:ln>
                            <a:noFill/>
                          </a:ln>
                        </wps:spPr>
                        <wps:bodyPr rot="0" vert="horz" wrap="square" lIns="91440" tIns="45720" rIns="91440" bIns="45720" anchor="t" anchorCtr="0" upright="1">
                          <a:noAutofit/>
                        </wps:bodyPr>
                      </wps:wsp>
                      <wps:wsp>
                        <wps:cNvPr id="30" name="Rectangle 333"/>
                        <wps:cNvSpPr>
                          <a:spLocks noChangeArrowheads="1"/>
                        </wps:cNvSpPr>
                        <wps:spPr bwMode="auto">
                          <a:xfrm>
                            <a:off x="2838" y="109"/>
                            <a:ext cx="721" cy="233"/>
                          </a:xfrm>
                          <a:prstGeom prst="rect">
                            <a:avLst/>
                          </a:prstGeom>
                          <a:noFill/>
                          <a:ln>
                            <a:noFill/>
                          </a:ln>
                        </wps:spPr>
                        <wps:txbx>
                          <w:txbxContent>
                            <w:p w14:paraId="69EAA7E2" w14:textId="77777777" w:rsidR="009C353B" w:rsidRDefault="00000000">
                              <w:pPr>
                                <w:rPr>
                                  <w:rFonts w:hint="eastAsia"/>
                                </w:rPr>
                              </w:pPr>
                              <w:r>
                                <w:rPr>
                                  <w:rFonts w:cs="宋体" w:hint="eastAsia"/>
                                  <w:color w:val="000000"/>
                                  <w:kern w:val="0"/>
                                  <w:sz w:val="18"/>
                                  <w:szCs w:val="18"/>
                                </w:rPr>
                                <w:t>执行机构</w:t>
                              </w:r>
                            </w:p>
                          </w:txbxContent>
                        </wps:txbx>
                        <wps:bodyPr rot="0" vert="horz" wrap="none" lIns="0" tIns="0" rIns="0" bIns="0" anchor="t" anchorCtr="0" upright="1">
                          <a:spAutoFit/>
                        </wps:bodyPr>
                      </wps:wsp>
                      <wps:wsp>
                        <wps:cNvPr id="31" name="Rectangle 334"/>
                        <wps:cNvSpPr>
                          <a:spLocks noChangeArrowheads="1"/>
                        </wps:cNvSpPr>
                        <wps:spPr bwMode="auto">
                          <a:xfrm>
                            <a:off x="5001" y="25"/>
                            <a:ext cx="1122" cy="359"/>
                          </a:xfrm>
                          <a:prstGeom prst="rect">
                            <a:avLst/>
                          </a:prstGeom>
                          <a:solidFill>
                            <a:srgbClr val="FFFFFF"/>
                          </a:solidFill>
                          <a:ln>
                            <a:noFill/>
                          </a:ln>
                        </wps:spPr>
                        <wps:bodyPr rot="0" vert="horz" wrap="square" lIns="91440" tIns="45720" rIns="91440" bIns="45720" anchor="t" anchorCtr="0" upright="1">
                          <a:noAutofit/>
                        </wps:bodyPr>
                      </wps:wsp>
                      <wps:wsp>
                        <wps:cNvPr id="32" name="Rectangle 335"/>
                        <wps:cNvSpPr>
                          <a:spLocks noChangeArrowheads="1"/>
                        </wps:cNvSpPr>
                        <wps:spPr bwMode="auto">
                          <a:xfrm>
                            <a:off x="5214" y="109"/>
                            <a:ext cx="721" cy="233"/>
                          </a:xfrm>
                          <a:prstGeom prst="rect">
                            <a:avLst/>
                          </a:prstGeom>
                          <a:noFill/>
                          <a:ln>
                            <a:noFill/>
                          </a:ln>
                        </wps:spPr>
                        <wps:txbx>
                          <w:txbxContent>
                            <w:p w14:paraId="6F78C88F" w14:textId="77777777" w:rsidR="009C353B" w:rsidRDefault="00000000">
                              <w:pPr>
                                <w:rPr>
                                  <w:rFonts w:hint="eastAsia"/>
                                </w:rPr>
                              </w:pPr>
                              <w:r>
                                <w:rPr>
                                  <w:rFonts w:cs="宋体" w:hint="eastAsia"/>
                                  <w:color w:val="000000"/>
                                  <w:kern w:val="0"/>
                                  <w:sz w:val="18"/>
                                  <w:szCs w:val="18"/>
                                </w:rPr>
                                <w:t>咨询机构</w:t>
                              </w:r>
                            </w:p>
                          </w:txbxContent>
                        </wps:txbx>
                        <wps:bodyPr rot="0" vert="horz" wrap="none" lIns="0" tIns="0" rIns="0" bIns="0" anchor="t" anchorCtr="0" upright="1">
                          <a:spAutoFit/>
                        </wps:bodyPr>
                      </wps:wsp>
                      <wps:wsp>
                        <wps:cNvPr id="33" name="Rectangle 336"/>
                        <wps:cNvSpPr>
                          <a:spLocks noChangeArrowheads="1"/>
                        </wps:cNvSpPr>
                        <wps:spPr bwMode="auto">
                          <a:xfrm>
                            <a:off x="25" y="384"/>
                            <a:ext cx="1596" cy="514"/>
                          </a:xfrm>
                          <a:prstGeom prst="rect">
                            <a:avLst/>
                          </a:prstGeom>
                          <a:solidFill>
                            <a:srgbClr val="FFFFFF"/>
                          </a:solidFill>
                          <a:ln>
                            <a:noFill/>
                          </a:ln>
                        </wps:spPr>
                        <wps:bodyPr rot="0" vert="horz" wrap="square" lIns="91440" tIns="45720" rIns="91440" bIns="45720" anchor="t" anchorCtr="0" upright="1">
                          <a:noAutofit/>
                        </wps:bodyPr>
                      </wps:wsp>
                      <wps:wsp>
                        <wps:cNvPr id="34" name="Rectangle 337"/>
                        <wps:cNvSpPr>
                          <a:spLocks noChangeArrowheads="1"/>
                        </wps:cNvSpPr>
                        <wps:spPr bwMode="auto">
                          <a:xfrm>
                            <a:off x="25" y="384"/>
                            <a:ext cx="1596" cy="514"/>
                          </a:xfrm>
                          <a:prstGeom prst="rect">
                            <a:avLst/>
                          </a:prstGeom>
                          <a:noFill/>
                          <a:ln w="4" cap="rnd">
                            <a:solidFill>
                              <a:srgbClr val="000000"/>
                            </a:solidFill>
                            <a:miter lim="800000"/>
                          </a:ln>
                        </wps:spPr>
                        <wps:bodyPr rot="0" vert="horz" wrap="square" lIns="91440" tIns="45720" rIns="91440" bIns="45720" anchor="t" anchorCtr="0" upright="1">
                          <a:noAutofit/>
                        </wps:bodyPr>
                      </wps:wsp>
                      <wps:wsp>
                        <wps:cNvPr id="35" name="Rectangle 338"/>
                        <wps:cNvSpPr>
                          <a:spLocks noChangeArrowheads="1"/>
                        </wps:cNvSpPr>
                        <wps:spPr bwMode="auto">
                          <a:xfrm>
                            <a:off x="290" y="557"/>
                            <a:ext cx="901" cy="233"/>
                          </a:xfrm>
                          <a:prstGeom prst="rect">
                            <a:avLst/>
                          </a:prstGeom>
                          <a:noFill/>
                          <a:ln>
                            <a:noFill/>
                          </a:ln>
                        </wps:spPr>
                        <wps:txbx>
                          <w:txbxContent>
                            <w:p w14:paraId="783E17C3" w14:textId="77777777" w:rsidR="009C353B" w:rsidRDefault="00000000">
                              <w:pPr>
                                <w:rPr>
                                  <w:rFonts w:hint="eastAsia"/>
                                </w:rPr>
                              </w:pPr>
                              <w:r>
                                <w:rPr>
                                  <w:rFonts w:cs="宋体" w:hint="eastAsia"/>
                                  <w:color w:val="000000"/>
                                  <w:kern w:val="0"/>
                                  <w:sz w:val="18"/>
                                  <w:szCs w:val="18"/>
                                </w:rPr>
                                <w:t>宁东环保局</w:t>
                              </w:r>
                            </w:p>
                          </w:txbxContent>
                        </wps:txbx>
                        <wps:bodyPr rot="0" vert="horz" wrap="none" lIns="0" tIns="0" rIns="0" bIns="0" anchor="t" anchorCtr="0" upright="1">
                          <a:spAutoFit/>
                        </wps:bodyPr>
                      </wps:wsp>
                      <wps:wsp>
                        <wps:cNvPr id="36" name="Rectangle 339"/>
                        <wps:cNvSpPr>
                          <a:spLocks noChangeArrowheads="1"/>
                        </wps:cNvSpPr>
                        <wps:spPr bwMode="auto">
                          <a:xfrm>
                            <a:off x="2619" y="384"/>
                            <a:ext cx="1122" cy="514"/>
                          </a:xfrm>
                          <a:prstGeom prst="rect">
                            <a:avLst/>
                          </a:prstGeom>
                          <a:solidFill>
                            <a:srgbClr val="FFFFFF"/>
                          </a:solidFill>
                          <a:ln>
                            <a:noFill/>
                          </a:ln>
                        </wps:spPr>
                        <wps:bodyPr rot="0" vert="horz" wrap="square" lIns="91440" tIns="45720" rIns="91440" bIns="45720" anchor="t" anchorCtr="0" upright="1">
                          <a:noAutofit/>
                        </wps:bodyPr>
                      </wps:wsp>
                      <wps:wsp>
                        <wps:cNvPr id="37" name="Rectangle 340"/>
                        <wps:cNvSpPr>
                          <a:spLocks noChangeArrowheads="1"/>
                        </wps:cNvSpPr>
                        <wps:spPr bwMode="auto">
                          <a:xfrm>
                            <a:off x="2619" y="384"/>
                            <a:ext cx="1122" cy="514"/>
                          </a:xfrm>
                          <a:prstGeom prst="rect">
                            <a:avLst/>
                          </a:prstGeom>
                          <a:noFill/>
                          <a:ln w="4" cap="rnd">
                            <a:solidFill>
                              <a:srgbClr val="000000"/>
                            </a:solidFill>
                            <a:miter lim="800000"/>
                          </a:ln>
                        </wps:spPr>
                        <wps:bodyPr rot="0" vert="horz" wrap="square" lIns="91440" tIns="45720" rIns="91440" bIns="45720" anchor="t" anchorCtr="0" upright="1">
                          <a:noAutofit/>
                        </wps:bodyPr>
                      </wps:wsp>
                      <wps:wsp>
                        <wps:cNvPr id="38" name="Rectangle 341"/>
                        <wps:cNvSpPr>
                          <a:spLocks noChangeArrowheads="1"/>
                        </wps:cNvSpPr>
                        <wps:spPr bwMode="auto">
                          <a:xfrm>
                            <a:off x="2746" y="421"/>
                            <a:ext cx="901" cy="233"/>
                          </a:xfrm>
                          <a:prstGeom prst="rect">
                            <a:avLst/>
                          </a:prstGeom>
                          <a:noFill/>
                          <a:ln>
                            <a:noFill/>
                          </a:ln>
                        </wps:spPr>
                        <wps:txbx>
                          <w:txbxContent>
                            <w:p w14:paraId="261AA13B" w14:textId="77777777" w:rsidR="009C353B" w:rsidRDefault="00000000">
                              <w:pPr>
                                <w:rPr>
                                  <w:rFonts w:hint="eastAsia"/>
                                </w:rPr>
                              </w:pPr>
                              <w:r>
                                <w:rPr>
                                  <w:rFonts w:cs="宋体" w:hint="eastAsia"/>
                                  <w:color w:val="000000"/>
                                  <w:kern w:val="0"/>
                                  <w:sz w:val="18"/>
                                  <w:szCs w:val="18"/>
                                </w:rPr>
                                <w:t>矿区环境管</w:t>
                              </w:r>
                            </w:p>
                          </w:txbxContent>
                        </wps:txbx>
                        <wps:bodyPr rot="0" vert="horz" wrap="none" lIns="0" tIns="0" rIns="0" bIns="0" anchor="t" anchorCtr="0" upright="1">
                          <a:spAutoFit/>
                        </wps:bodyPr>
                      </wps:wsp>
                      <wps:wsp>
                        <wps:cNvPr id="40" name="Rectangle 342"/>
                        <wps:cNvSpPr>
                          <a:spLocks noChangeArrowheads="1"/>
                        </wps:cNvSpPr>
                        <wps:spPr bwMode="auto">
                          <a:xfrm>
                            <a:off x="2917" y="666"/>
                            <a:ext cx="541" cy="233"/>
                          </a:xfrm>
                          <a:prstGeom prst="rect">
                            <a:avLst/>
                          </a:prstGeom>
                          <a:noFill/>
                          <a:ln>
                            <a:noFill/>
                          </a:ln>
                        </wps:spPr>
                        <wps:txbx>
                          <w:txbxContent>
                            <w:p w14:paraId="5AC24A99" w14:textId="77777777" w:rsidR="009C353B" w:rsidRDefault="00000000">
                              <w:pPr>
                                <w:rPr>
                                  <w:rFonts w:hint="eastAsia"/>
                                </w:rPr>
                              </w:pPr>
                              <w:r>
                                <w:rPr>
                                  <w:rFonts w:cs="宋体" w:hint="eastAsia"/>
                                  <w:color w:val="000000"/>
                                  <w:kern w:val="0"/>
                                  <w:sz w:val="18"/>
                                  <w:szCs w:val="18"/>
                                </w:rPr>
                                <w:t>理机构</w:t>
                              </w:r>
                            </w:p>
                          </w:txbxContent>
                        </wps:txbx>
                        <wps:bodyPr rot="0" vert="horz" wrap="none" lIns="0" tIns="0" rIns="0" bIns="0" anchor="t" anchorCtr="0" upright="1">
                          <a:spAutoFit/>
                        </wps:bodyPr>
                      </wps:wsp>
                      <wps:wsp>
                        <wps:cNvPr id="42" name="Rectangle 343"/>
                        <wps:cNvSpPr>
                          <a:spLocks noChangeArrowheads="1"/>
                        </wps:cNvSpPr>
                        <wps:spPr bwMode="auto">
                          <a:xfrm>
                            <a:off x="4814" y="384"/>
                            <a:ext cx="1496" cy="514"/>
                          </a:xfrm>
                          <a:prstGeom prst="rect">
                            <a:avLst/>
                          </a:prstGeom>
                          <a:solidFill>
                            <a:srgbClr val="FFFFFF"/>
                          </a:solidFill>
                          <a:ln>
                            <a:noFill/>
                          </a:ln>
                        </wps:spPr>
                        <wps:bodyPr rot="0" vert="horz" wrap="square" lIns="91440" tIns="45720" rIns="91440" bIns="45720" anchor="t" anchorCtr="0" upright="1">
                          <a:noAutofit/>
                        </wps:bodyPr>
                      </wps:wsp>
                      <wps:wsp>
                        <wps:cNvPr id="44" name="Rectangle 344"/>
                        <wps:cNvSpPr>
                          <a:spLocks noChangeArrowheads="1"/>
                        </wps:cNvSpPr>
                        <wps:spPr bwMode="auto">
                          <a:xfrm>
                            <a:off x="4814" y="384"/>
                            <a:ext cx="1496" cy="514"/>
                          </a:xfrm>
                          <a:prstGeom prst="rect">
                            <a:avLst/>
                          </a:prstGeom>
                          <a:noFill/>
                          <a:ln w="4" cap="rnd">
                            <a:solidFill>
                              <a:srgbClr val="000000"/>
                            </a:solidFill>
                            <a:miter lim="800000"/>
                          </a:ln>
                        </wps:spPr>
                        <wps:bodyPr rot="0" vert="horz" wrap="square" lIns="91440" tIns="45720" rIns="91440" bIns="45720" anchor="t" anchorCtr="0" upright="1">
                          <a:noAutofit/>
                        </wps:bodyPr>
                      </wps:wsp>
                      <wps:wsp>
                        <wps:cNvPr id="45" name="Rectangle 345"/>
                        <wps:cNvSpPr>
                          <a:spLocks noChangeArrowheads="1"/>
                        </wps:cNvSpPr>
                        <wps:spPr bwMode="auto">
                          <a:xfrm>
                            <a:off x="4950" y="557"/>
                            <a:ext cx="1261" cy="233"/>
                          </a:xfrm>
                          <a:prstGeom prst="rect">
                            <a:avLst/>
                          </a:prstGeom>
                          <a:noFill/>
                          <a:ln>
                            <a:noFill/>
                          </a:ln>
                        </wps:spPr>
                        <wps:txbx>
                          <w:txbxContent>
                            <w:p w14:paraId="2F9DC85D" w14:textId="77777777" w:rsidR="009C353B" w:rsidRDefault="00000000">
                              <w:pPr>
                                <w:rPr>
                                  <w:rFonts w:hint="eastAsia"/>
                                </w:rPr>
                              </w:pPr>
                              <w:r>
                                <w:rPr>
                                  <w:rFonts w:cs="宋体" w:hint="eastAsia"/>
                                  <w:color w:val="000000"/>
                                  <w:kern w:val="0"/>
                                  <w:sz w:val="18"/>
                                  <w:szCs w:val="18"/>
                                </w:rPr>
                                <w:t>环保专家咨询组</w:t>
                              </w:r>
                            </w:p>
                          </w:txbxContent>
                        </wps:txbx>
                        <wps:bodyPr rot="0" vert="horz" wrap="none" lIns="0" tIns="0" rIns="0" bIns="0" anchor="t" anchorCtr="0" upright="1">
                          <a:spAutoFit/>
                        </wps:bodyPr>
                      </wps:wsp>
                      <wps:wsp>
                        <wps:cNvPr id="46" name="Line 346"/>
                        <wps:cNvCnPr/>
                        <wps:spPr bwMode="auto">
                          <a:xfrm>
                            <a:off x="1621" y="641"/>
                            <a:ext cx="913" cy="1"/>
                          </a:xfrm>
                          <a:prstGeom prst="line">
                            <a:avLst/>
                          </a:prstGeom>
                          <a:noFill/>
                          <a:ln w="4" cap="rnd">
                            <a:solidFill>
                              <a:srgbClr val="4677BF"/>
                            </a:solidFill>
                            <a:round/>
                          </a:ln>
                        </wps:spPr>
                        <wps:bodyPr/>
                      </wps:wsp>
                      <wps:wsp>
                        <wps:cNvPr id="47" name="未知"/>
                        <wps:cNvSpPr/>
                        <wps:spPr bwMode="auto">
                          <a:xfrm>
                            <a:off x="2521" y="591"/>
                            <a:ext cx="98" cy="100"/>
                          </a:xfrm>
                          <a:custGeom>
                            <a:avLst/>
                            <a:gdLst>
                              <a:gd name="T0" fmla="*/ 0 w 98"/>
                              <a:gd name="T1" fmla="*/ 0 h 100"/>
                              <a:gd name="T2" fmla="*/ 98 w 98"/>
                              <a:gd name="T3" fmla="*/ 50 h 100"/>
                              <a:gd name="T4" fmla="*/ 0 w 98"/>
                              <a:gd name="T5" fmla="*/ 100 h 100"/>
                              <a:gd name="T6" fmla="*/ 0 w 98"/>
                              <a:gd name="T7" fmla="*/ 0 h 100"/>
                            </a:gdLst>
                            <a:ahLst/>
                            <a:cxnLst>
                              <a:cxn ang="0">
                                <a:pos x="T0" y="T1"/>
                              </a:cxn>
                              <a:cxn ang="0">
                                <a:pos x="T2" y="T3"/>
                              </a:cxn>
                              <a:cxn ang="0">
                                <a:pos x="T4" y="T5"/>
                              </a:cxn>
                              <a:cxn ang="0">
                                <a:pos x="T6" y="T7"/>
                              </a:cxn>
                            </a:cxnLst>
                            <a:rect l="0" t="0" r="r" b="b"/>
                            <a:pathLst>
                              <a:path w="98" h="100">
                                <a:moveTo>
                                  <a:pt x="0" y="0"/>
                                </a:moveTo>
                                <a:lnTo>
                                  <a:pt x="98" y="50"/>
                                </a:lnTo>
                                <a:lnTo>
                                  <a:pt x="0" y="100"/>
                                </a:lnTo>
                                <a:lnTo>
                                  <a:pt x="0" y="0"/>
                                </a:lnTo>
                                <a:close/>
                              </a:path>
                            </a:pathLst>
                          </a:custGeom>
                          <a:solidFill>
                            <a:srgbClr val="4677BF"/>
                          </a:solidFill>
                          <a:ln>
                            <a:noFill/>
                          </a:ln>
                        </wps:spPr>
                        <wps:bodyPr rot="0" vert="horz" wrap="square" lIns="91440" tIns="45720" rIns="91440" bIns="45720" anchor="t" anchorCtr="0" upright="1">
                          <a:noAutofit/>
                        </wps:bodyPr>
                      </wps:wsp>
                      <wps:wsp>
                        <wps:cNvPr id="48" name="Line 348"/>
                        <wps:cNvCnPr/>
                        <wps:spPr bwMode="auto">
                          <a:xfrm flipH="1">
                            <a:off x="3826" y="641"/>
                            <a:ext cx="988" cy="1"/>
                          </a:xfrm>
                          <a:prstGeom prst="line">
                            <a:avLst/>
                          </a:prstGeom>
                          <a:noFill/>
                          <a:ln w="4" cap="rnd">
                            <a:solidFill>
                              <a:srgbClr val="4677BF"/>
                            </a:solidFill>
                            <a:round/>
                          </a:ln>
                        </wps:spPr>
                        <wps:bodyPr/>
                      </wps:wsp>
                      <wps:wsp>
                        <wps:cNvPr id="49" name="未知"/>
                        <wps:cNvSpPr/>
                        <wps:spPr bwMode="auto">
                          <a:xfrm>
                            <a:off x="3741" y="591"/>
                            <a:ext cx="98" cy="100"/>
                          </a:xfrm>
                          <a:custGeom>
                            <a:avLst/>
                            <a:gdLst>
                              <a:gd name="T0" fmla="*/ 98 w 98"/>
                              <a:gd name="T1" fmla="*/ 100 h 100"/>
                              <a:gd name="T2" fmla="*/ 0 w 98"/>
                              <a:gd name="T3" fmla="*/ 50 h 100"/>
                              <a:gd name="T4" fmla="*/ 98 w 98"/>
                              <a:gd name="T5" fmla="*/ 0 h 100"/>
                              <a:gd name="T6" fmla="*/ 98 w 98"/>
                              <a:gd name="T7" fmla="*/ 100 h 100"/>
                            </a:gdLst>
                            <a:ahLst/>
                            <a:cxnLst>
                              <a:cxn ang="0">
                                <a:pos x="T0" y="T1"/>
                              </a:cxn>
                              <a:cxn ang="0">
                                <a:pos x="T2" y="T3"/>
                              </a:cxn>
                              <a:cxn ang="0">
                                <a:pos x="T4" y="T5"/>
                              </a:cxn>
                              <a:cxn ang="0">
                                <a:pos x="T6" y="T7"/>
                              </a:cxn>
                            </a:cxnLst>
                            <a:rect l="0" t="0" r="r" b="b"/>
                            <a:pathLst>
                              <a:path w="98" h="100">
                                <a:moveTo>
                                  <a:pt x="98" y="100"/>
                                </a:moveTo>
                                <a:lnTo>
                                  <a:pt x="0" y="50"/>
                                </a:lnTo>
                                <a:lnTo>
                                  <a:pt x="98" y="0"/>
                                </a:lnTo>
                                <a:lnTo>
                                  <a:pt x="98" y="100"/>
                                </a:lnTo>
                                <a:close/>
                              </a:path>
                            </a:pathLst>
                          </a:custGeom>
                          <a:solidFill>
                            <a:srgbClr val="4677BF"/>
                          </a:solidFill>
                          <a:ln>
                            <a:noFill/>
                          </a:ln>
                        </wps:spPr>
                        <wps:bodyPr rot="0" vert="horz" wrap="square" lIns="91440" tIns="45720" rIns="91440" bIns="45720" anchor="t" anchorCtr="0" upright="1">
                          <a:noAutofit/>
                        </wps:bodyPr>
                      </wps:wsp>
                      <wps:wsp>
                        <wps:cNvPr id="50" name="Rectangle 350"/>
                        <wps:cNvSpPr>
                          <a:spLocks noChangeArrowheads="1"/>
                        </wps:cNvSpPr>
                        <wps:spPr bwMode="auto">
                          <a:xfrm>
                            <a:off x="2506" y="1565"/>
                            <a:ext cx="1348" cy="512"/>
                          </a:xfrm>
                          <a:prstGeom prst="rect">
                            <a:avLst/>
                          </a:prstGeom>
                          <a:solidFill>
                            <a:srgbClr val="FFFFFF"/>
                          </a:solidFill>
                          <a:ln>
                            <a:noFill/>
                          </a:ln>
                        </wps:spPr>
                        <wps:bodyPr rot="0" vert="horz" wrap="square" lIns="91440" tIns="45720" rIns="91440" bIns="45720" anchor="t" anchorCtr="0" upright="1">
                          <a:noAutofit/>
                        </wps:bodyPr>
                      </wps:wsp>
                      <wps:wsp>
                        <wps:cNvPr id="51" name="Rectangle 351"/>
                        <wps:cNvSpPr>
                          <a:spLocks noChangeArrowheads="1"/>
                        </wps:cNvSpPr>
                        <wps:spPr bwMode="auto">
                          <a:xfrm>
                            <a:off x="2506" y="1565"/>
                            <a:ext cx="1348" cy="512"/>
                          </a:xfrm>
                          <a:prstGeom prst="rect">
                            <a:avLst/>
                          </a:prstGeom>
                          <a:noFill/>
                          <a:ln w="4" cap="rnd">
                            <a:solidFill>
                              <a:srgbClr val="000000"/>
                            </a:solidFill>
                            <a:miter lim="800000"/>
                          </a:ln>
                        </wps:spPr>
                        <wps:bodyPr rot="0" vert="horz" wrap="square" lIns="91440" tIns="45720" rIns="91440" bIns="45720" anchor="t" anchorCtr="0" upright="1">
                          <a:noAutofit/>
                        </wps:bodyPr>
                      </wps:wsp>
                      <wps:wsp>
                        <wps:cNvPr id="52" name="Rectangle 352"/>
                        <wps:cNvSpPr>
                          <a:spLocks noChangeArrowheads="1"/>
                        </wps:cNvSpPr>
                        <wps:spPr bwMode="auto">
                          <a:xfrm>
                            <a:off x="2653" y="1725"/>
                            <a:ext cx="1081" cy="233"/>
                          </a:xfrm>
                          <a:prstGeom prst="rect">
                            <a:avLst/>
                          </a:prstGeom>
                          <a:noFill/>
                          <a:ln>
                            <a:noFill/>
                          </a:ln>
                        </wps:spPr>
                        <wps:txbx>
                          <w:txbxContent>
                            <w:p w14:paraId="056AF6DC" w14:textId="77777777" w:rsidR="009C353B" w:rsidRDefault="00000000">
                              <w:pPr>
                                <w:rPr>
                                  <w:rFonts w:hint="eastAsia"/>
                                </w:rPr>
                              </w:pPr>
                              <w:r>
                                <w:rPr>
                                  <w:rFonts w:cs="宋体" w:hint="eastAsia"/>
                                  <w:color w:val="000000"/>
                                  <w:kern w:val="0"/>
                                  <w:sz w:val="18"/>
                                  <w:szCs w:val="18"/>
                                </w:rPr>
                                <w:t>企业环保部门</w:t>
                              </w:r>
                            </w:p>
                          </w:txbxContent>
                        </wps:txbx>
                        <wps:bodyPr rot="0" vert="horz" wrap="none" lIns="0" tIns="0" rIns="0" bIns="0" anchor="t" anchorCtr="0" upright="1">
                          <a:spAutoFit/>
                        </wps:bodyPr>
                      </wps:wsp>
                      <wps:wsp>
                        <wps:cNvPr id="53" name="Rectangle 353"/>
                        <wps:cNvSpPr>
                          <a:spLocks noChangeArrowheads="1"/>
                        </wps:cNvSpPr>
                        <wps:spPr bwMode="auto">
                          <a:xfrm>
                            <a:off x="2506" y="2540"/>
                            <a:ext cx="1348" cy="512"/>
                          </a:xfrm>
                          <a:prstGeom prst="rect">
                            <a:avLst/>
                          </a:prstGeom>
                          <a:solidFill>
                            <a:srgbClr val="FFFFFF"/>
                          </a:solidFill>
                          <a:ln>
                            <a:noFill/>
                          </a:ln>
                        </wps:spPr>
                        <wps:bodyPr rot="0" vert="horz" wrap="square" lIns="91440" tIns="45720" rIns="91440" bIns="45720" anchor="t" anchorCtr="0" upright="1">
                          <a:noAutofit/>
                        </wps:bodyPr>
                      </wps:wsp>
                      <wps:wsp>
                        <wps:cNvPr id="54" name="Rectangle 354"/>
                        <wps:cNvSpPr>
                          <a:spLocks noChangeArrowheads="1"/>
                        </wps:cNvSpPr>
                        <wps:spPr bwMode="auto">
                          <a:xfrm>
                            <a:off x="2506" y="2540"/>
                            <a:ext cx="1348" cy="512"/>
                          </a:xfrm>
                          <a:prstGeom prst="rect">
                            <a:avLst/>
                          </a:prstGeom>
                          <a:noFill/>
                          <a:ln w="4" cap="rnd">
                            <a:solidFill>
                              <a:srgbClr val="000000"/>
                            </a:solidFill>
                            <a:miter lim="800000"/>
                          </a:ln>
                        </wps:spPr>
                        <wps:bodyPr rot="0" vert="horz" wrap="square" lIns="91440" tIns="45720" rIns="91440" bIns="45720" anchor="t" anchorCtr="0" upright="1">
                          <a:noAutofit/>
                        </wps:bodyPr>
                      </wps:wsp>
                      <wps:wsp>
                        <wps:cNvPr id="74" name="Rectangle 355"/>
                        <wps:cNvSpPr>
                          <a:spLocks noChangeArrowheads="1"/>
                        </wps:cNvSpPr>
                        <wps:spPr bwMode="auto">
                          <a:xfrm>
                            <a:off x="2653" y="2702"/>
                            <a:ext cx="1081" cy="233"/>
                          </a:xfrm>
                          <a:prstGeom prst="rect">
                            <a:avLst/>
                          </a:prstGeom>
                          <a:noFill/>
                          <a:ln>
                            <a:noFill/>
                          </a:ln>
                        </wps:spPr>
                        <wps:txbx>
                          <w:txbxContent>
                            <w:p w14:paraId="06D926C5" w14:textId="77777777" w:rsidR="009C353B" w:rsidRDefault="00000000">
                              <w:pPr>
                                <w:rPr>
                                  <w:rFonts w:hint="eastAsia"/>
                                </w:rPr>
                              </w:pPr>
                              <w:r>
                                <w:rPr>
                                  <w:rFonts w:cs="宋体" w:hint="eastAsia"/>
                                  <w:color w:val="000000"/>
                                  <w:kern w:val="0"/>
                                  <w:sz w:val="18"/>
                                  <w:szCs w:val="18"/>
                                </w:rPr>
                                <w:t>实施者负责人</w:t>
                              </w:r>
                            </w:p>
                          </w:txbxContent>
                        </wps:txbx>
                        <wps:bodyPr rot="0" vert="horz" wrap="none" lIns="0" tIns="0" rIns="0" bIns="0" anchor="t" anchorCtr="0" upright="1">
                          <a:spAutoFit/>
                        </wps:bodyPr>
                      </wps:wsp>
                      <wps:wsp>
                        <wps:cNvPr id="75" name="Rectangle 356"/>
                        <wps:cNvSpPr>
                          <a:spLocks noChangeArrowheads="1"/>
                        </wps:cNvSpPr>
                        <wps:spPr bwMode="auto">
                          <a:xfrm>
                            <a:off x="2506" y="3515"/>
                            <a:ext cx="1348" cy="513"/>
                          </a:xfrm>
                          <a:prstGeom prst="rect">
                            <a:avLst/>
                          </a:prstGeom>
                          <a:solidFill>
                            <a:srgbClr val="FFFFFF"/>
                          </a:solidFill>
                          <a:ln>
                            <a:noFill/>
                          </a:ln>
                        </wps:spPr>
                        <wps:bodyPr rot="0" vert="horz" wrap="square" lIns="91440" tIns="45720" rIns="91440" bIns="45720" anchor="t" anchorCtr="0" upright="1">
                          <a:noAutofit/>
                        </wps:bodyPr>
                      </wps:wsp>
                      <wps:wsp>
                        <wps:cNvPr id="76" name="Rectangle 357"/>
                        <wps:cNvSpPr>
                          <a:spLocks noChangeArrowheads="1"/>
                        </wps:cNvSpPr>
                        <wps:spPr bwMode="auto">
                          <a:xfrm>
                            <a:off x="2506" y="3515"/>
                            <a:ext cx="1348" cy="513"/>
                          </a:xfrm>
                          <a:prstGeom prst="rect">
                            <a:avLst/>
                          </a:prstGeom>
                          <a:noFill/>
                          <a:ln w="4" cap="rnd">
                            <a:solidFill>
                              <a:srgbClr val="000000"/>
                            </a:solidFill>
                            <a:miter lim="800000"/>
                          </a:ln>
                        </wps:spPr>
                        <wps:bodyPr rot="0" vert="horz" wrap="square" lIns="91440" tIns="45720" rIns="91440" bIns="45720" anchor="t" anchorCtr="0" upright="1">
                          <a:noAutofit/>
                        </wps:bodyPr>
                      </wps:wsp>
                      <wps:wsp>
                        <wps:cNvPr id="77" name="Rectangle 358"/>
                        <wps:cNvSpPr>
                          <a:spLocks noChangeArrowheads="1"/>
                        </wps:cNvSpPr>
                        <wps:spPr bwMode="auto">
                          <a:xfrm>
                            <a:off x="2825" y="3680"/>
                            <a:ext cx="721" cy="233"/>
                          </a:xfrm>
                          <a:prstGeom prst="rect">
                            <a:avLst/>
                          </a:prstGeom>
                          <a:noFill/>
                          <a:ln>
                            <a:noFill/>
                          </a:ln>
                        </wps:spPr>
                        <wps:txbx>
                          <w:txbxContent>
                            <w:p w14:paraId="4AE37199" w14:textId="77777777" w:rsidR="009C353B" w:rsidRDefault="00000000">
                              <w:pPr>
                                <w:rPr>
                                  <w:rFonts w:hint="eastAsia"/>
                                </w:rPr>
                              </w:pPr>
                              <w:r>
                                <w:rPr>
                                  <w:rFonts w:cs="宋体" w:hint="eastAsia"/>
                                  <w:color w:val="000000"/>
                                  <w:kern w:val="0"/>
                                  <w:sz w:val="18"/>
                                  <w:szCs w:val="18"/>
                                </w:rPr>
                                <w:t>工程项目</w:t>
                              </w:r>
                            </w:p>
                          </w:txbxContent>
                        </wps:txbx>
                        <wps:bodyPr rot="0" vert="horz" wrap="none" lIns="0" tIns="0" rIns="0" bIns="0" anchor="t" anchorCtr="0" upright="1">
                          <a:spAutoFit/>
                        </wps:bodyPr>
                      </wps:wsp>
                      <wps:wsp>
                        <wps:cNvPr id="78" name="未知"/>
                        <wps:cNvSpPr/>
                        <wps:spPr bwMode="auto">
                          <a:xfrm>
                            <a:off x="823" y="898"/>
                            <a:ext cx="1598" cy="923"/>
                          </a:xfrm>
                          <a:custGeom>
                            <a:avLst/>
                            <a:gdLst>
                              <a:gd name="T0" fmla="*/ 0 w 1598"/>
                              <a:gd name="T1" fmla="*/ 0 h 923"/>
                              <a:gd name="T2" fmla="*/ 0 w 1598"/>
                              <a:gd name="T3" fmla="*/ 923 h 923"/>
                              <a:gd name="T4" fmla="*/ 1598 w 1598"/>
                              <a:gd name="T5" fmla="*/ 923 h 923"/>
                            </a:gdLst>
                            <a:ahLst/>
                            <a:cxnLst>
                              <a:cxn ang="0">
                                <a:pos x="T0" y="T1"/>
                              </a:cxn>
                              <a:cxn ang="0">
                                <a:pos x="T2" y="T3"/>
                              </a:cxn>
                              <a:cxn ang="0">
                                <a:pos x="T4" y="T5"/>
                              </a:cxn>
                            </a:cxnLst>
                            <a:rect l="0" t="0" r="r" b="b"/>
                            <a:pathLst>
                              <a:path w="1598" h="923">
                                <a:moveTo>
                                  <a:pt x="0" y="0"/>
                                </a:moveTo>
                                <a:lnTo>
                                  <a:pt x="0" y="923"/>
                                </a:lnTo>
                                <a:lnTo>
                                  <a:pt x="1598" y="923"/>
                                </a:lnTo>
                              </a:path>
                            </a:pathLst>
                          </a:custGeom>
                          <a:noFill/>
                          <a:ln w="4" cap="rnd" cmpd="sng">
                            <a:solidFill>
                              <a:srgbClr val="4677BF"/>
                            </a:solidFill>
                            <a:round/>
                          </a:ln>
                        </wps:spPr>
                        <wps:bodyPr rot="0" vert="horz" wrap="square" lIns="91440" tIns="45720" rIns="91440" bIns="45720" anchor="t" anchorCtr="0" upright="1">
                          <a:noAutofit/>
                        </wps:bodyPr>
                      </wps:wsp>
                      <wps:wsp>
                        <wps:cNvPr id="79" name="未知"/>
                        <wps:cNvSpPr/>
                        <wps:spPr bwMode="auto">
                          <a:xfrm>
                            <a:off x="2409" y="1771"/>
                            <a:ext cx="97" cy="100"/>
                          </a:xfrm>
                          <a:custGeom>
                            <a:avLst/>
                            <a:gdLst>
                              <a:gd name="T0" fmla="*/ 0 w 97"/>
                              <a:gd name="T1" fmla="*/ 0 h 100"/>
                              <a:gd name="T2" fmla="*/ 97 w 97"/>
                              <a:gd name="T3" fmla="*/ 50 h 100"/>
                              <a:gd name="T4" fmla="*/ 0 w 97"/>
                              <a:gd name="T5" fmla="*/ 100 h 100"/>
                              <a:gd name="T6" fmla="*/ 0 w 97"/>
                              <a:gd name="T7" fmla="*/ 0 h 100"/>
                            </a:gdLst>
                            <a:ahLst/>
                            <a:cxnLst>
                              <a:cxn ang="0">
                                <a:pos x="T0" y="T1"/>
                              </a:cxn>
                              <a:cxn ang="0">
                                <a:pos x="T2" y="T3"/>
                              </a:cxn>
                              <a:cxn ang="0">
                                <a:pos x="T4" y="T5"/>
                              </a:cxn>
                              <a:cxn ang="0">
                                <a:pos x="T6" y="T7"/>
                              </a:cxn>
                            </a:cxnLst>
                            <a:rect l="0" t="0" r="r" b="b"/>
                            <a:pathLst>
                              <a:path w="97" h="100">
                                <a:moveTo>
                                  <a:pt x="0" y="0"/>
                                </a:moveTo>
                                <a:lnTo>
                                  <a:pt x="97" y="50"/>
                                </a:lnTo>
                                <a:lnTo>
                                  <a:pt x="0" y="100"/>
                                </a:lnTo>
                                <a:lnTo>
                                  <a:pt x="0" y="0"/>
                                </a:lnTo>
                                <a:close/>
                              </a:path>
                            </a:pathLst>
                          </a:custGeom>
                          <a:solidFill>
                            <a:srgbClr val="4677BF"/>
                          </a:solidFill>
                          <a:ln>
                            <a:noFill/>
                          </a:ln>
                        </wps:spPr>
                        <wps:bodyPr rot="0" vert="horz" wrap="square" lIns="91440" tIns="45720" rIns="91440" bIns="45720" anchor="t" anchorCtr="0" upright="1">
                          <a:noAutofit/>
                        </wps:bodyPr>
                      </wps:wsp>
                      <wps:wsp>
                        <wps:cNvPr id="80" name="未知"/>
                        <wps:cNvSpPr/>
                        <wps:spPr bwMode="auto">
                          <a:xfrm>
                            <a:off x="823" y="898"/>
                            <a:ext cx="1598" cy="1898"/>
                          </a:xfrm>
                          <a:custGeom>
                            <a:avLst/>
                            <a:gdLst>
                              <a:gd name="T0" fmla="*/ 0 w 1598"/>
                              <a:gd name="T1" fmla="*/ 0 h 1898"/>
                              <a:gd name="T2" fmla="*/ 0 w 1598"/>
                              <a:gd name="T3" fmla="*/ 1898 h 1898"/>
                              <a:gd name="T4" fmla="*/ 1598 w 1598"/>
                              <a:gd name="T5" fmla="*/ 1898 h 1898"/>
                            </a:gdLst>
                            <a:ahLst/>
                            <a:cxnLst>
                              <a:cxn ang="0">
                                <a:pos x="T0" y="T1"/>
                              </a:cxn>
                              <a:cxn ang="0">
                                <a:pos x="T2" y="T3"/>
                              </a:cxn>
                              <a:cxn ang="0">
                                <a:pos x="T4" y="T5"/>
                              </a:cxn>
                            </a:cxnLst>
                            <a:rect l="0" t="0" r="r" b="b"/>
                            <a:pathLst>
                              <a:path w="1598" h="1898">
                                <a:moveTo>
                                  <a:pt x="0" y="0"/>
                                </a:moveTo>
                                <a:lnTo>
                                  <a:pt x="0" y="1898"/>
                                </a:lnTo>
                                <a:lnTo>
                                  <a:pt x="1598" y="1898"/>
                                </a:lnTo>
                              </a:path>
                            </a:pathLst>
                          </a:custGeom>
                          <a:noFill/>
                          <a:ln w="4" cap="rnd" cmpd="sng">
                            <a:solidFill>
                              <a:srgbClr val="4677BF"/>
                            </a:solidFill>
                            <a:round/>
                          </a:ln>
                        </wps:spPr>
                        <wps:bodyPr rot="0" vert="horz" wrap="square" lIns="91440" tIns="45720" rIns="91440" bIns="45720" anchor="t" anchorCtr="0" upright="1">
                          <a:noAutofit/>
                        </wps:bodyPr>
                      </wps:wsp>
                      <wps:wsp>
                        <wps:cNvPr id="81" name="未知"/>
                        <wps:cNvSpPr/>
                        <wps:spPr bwMode="auto">
                          <a:xfrm>
                            <a:off x="2409" y="2746"/>
                            <a:ext cx="97" cy="100"/>
                          </a:xfrm>
                          <a:custGeom>
                            <a:avLst/>
                            <a:gdLst>
                              <a:gd name="T0" fmla="*/ 0 w 97"/>
                              <a:gd name="T1" fmla="*/ 0 h 100"/>
                              <a:gd name="T2" fmla="*/ 97 w 97"/>
                              <a:gd name="T3" fmla="*/ 50 h 100"/>
                              <a:gd name="T4" fmla="*/ 0 w 97"/>
                              <a:gd name="T5" fmla="*/ 100 h 100"/>
                              <a:gd name="T6" fmla="*/ 0 w 97"/>
                              <a:gd name="T7" fmla="*/ 0 h 100"/>
                            </a:gdLst>
                            <a:ahLst/>
                            <a:cxnLst>
                              <a:cxn ang="0">
                                <a:pos x="T0" y="T1"/>
                              </a:cxn>
                              <a:cxn ang="0">
                                <a:pos x="T2" y="T3"/>
                              </a:cxn>
                              <a:cxn ang="0">
                                <a:pos x="T4" y="T5"/>
                              </a:cxn>
                              <a:cxn ang="0">
                                <a:pos x="T6" y="T7"/>
                              </a:cxn>
                            </a:cxnLst>
                            <a:rect l="0" t="0" r="r" b="b"/>
                            <a:pathLst>
                              <a:path w="97" h="100">
                                <a:moveTo>
                                  <a:pt x="0" y="0"/>
                                </a:moveTo>
                                <a:lnTo>
                                  <a:pt x="97" y="50"/>
                                </a:lnTo>
                                <a:lnTo>
                                  <a:pt x="0" y="100"/>
                                </a:lnTo>
                                <a:lnTo>
                                  <a:pt x="0" y="0"/>
                                </a:lnTo>
                                <a:close/>
                              </a:path>
                            </a:pathLst>
                          </a:custGeom>
                          <a:solidFill>
                            <a:srgbClr val="4677BF"/>
                          </a:solidFill>
                          <a:ln>
                            <a:noFill/>
                          </a:ln>
                        </wps:spPr>
                        <wps:bodyPr rot="0" vert="horz" wrap="square" lIns="91440" tIns="45720" rIns="91440" bIns="45720" anchor="t" anchorCtr="0" upright="1">
                          <a:noAutofit/>
                        </wps:bodyPr>
                      </wps:wsp>
                      <wps:wsp>
                        <wps:cNvPr id="82" name="Line 363"/>
                        <wps:cNvCnPr/>
                        <wps:spPr bwMode="auto">
                          <a:xfrm>
                            <a:off x="3180" y="898"/>
                            <a:ext cx="1" cy="579"/>
                          </a:xfrm>
                          <a:prstGeom prst="line">
                            <a:avLst/>
                          </a:prstGeom>
                          <a:noFill/>
                          <a:ln w="4" cap="rnd">
                            <a:solidFill>
                              <a:srgbClr val="4677BF"/>
                            </a:solidFill>
                            <a:round/>
                          </a:ln>
                        </wps:spPr>
                        <wps:bodyPr/>
                      </wps:wsp>
                      <wps:wsp>
                        <wps:cNvPr id="83" name="未知"/>
                        <wps:cNvSpPr/>
                        <wps:spPr bwMode="auto">
                          <a:xfrm>
                            <a:off x="3132" y="1465"/>
                            <a:ext cx="96" cy="100"/>
                          </a:xfrm>
                          <a:custGeom>
                            <a:avLst/>
                            <a:gdLst>
                              <a:gd name="T0" fmla="*/ 96 w 96"/>
                              <a:gd name="T1" fmla="*/ 0 h 100"/>
                              <a:gd name="T2" fmla="*/ 48 w 96"/>
                              <a:gd name="T3" fmla="*/ 100 h 100"/>
                              <a:gd name="T4" fmla="*/ 0 w 96"/>
                              <a:gd name="T5" fmla="*/ 0 h 100"/>
                              <a:gd name="T6" fmla="*/ 96 w 96"/>
                              <a:gd name="T7" fmla="*/ 0 h 100"/>
                            </a:gdLst>
                            <a:ahLst/>
                            <a:cxnLst>
                              <a:cxn ang="0">
                                <a:pos x="T0" y="T1"/>
                              </a:cxn>
                              <a:cxn ang="0">
                                <a:pos x="T2" y="T3"/>
                              </a:cxn>
                              <a:cxn ang="0">
                                <a:pos x="T4" y="T5"/>
                              </a:cxn>
                              <a:cxn ang="0">
                                <a:pos x="T6" y="T7"/>
                              </a:cxn>
                            </a:cxnLst>
                            <a:rect l="0" t="0" r="r" b="b"/>
                            <a:pathLst>
                              <a:path w="96" h="100">
                                <a:moveTo>
                                  <a:pt x="96" y="0"/>
                                </a:moveTo>
                                <a:lnTo>
                                  <a:pt x="48" y="100"/>
                                </a:lnTo>
                                <a:lnTo>
                                  <a:pt x="0" y="0"/>
                                </a:lnTo>
                                <a:lnTo>
                                  <a:pt x="96" y="0"/>
                                </a:lnTo>
                                <a:close/>
                              </a:path>
                            </a:pathLst>
                          </a:custGeom>
                          <a:solidFill>
                            <a:srgbClr val="4677BF"/>
                          </a:solidFill>
                          <a:ln>
                            <a:noFill/>
                          </a:ln>
                        </wps:spPr>
                        <wps:bodyPr rot="0" vert="horz" wrap="square" lIns="91440" tIns="45720" rIns="91440" bIns="45720" anchor="t" anchorCtr="0" upright="1">
                          <a:noAutofit/>
                        </wps:bodyPr>
                      </wps:wsp>
                      <wps:wsp>
                        <wps:cNvPr id="84" name="Line 365"/>
                        <wps:cNvCnPr/>
                        <wps:spPr bwMode="auto">
                          <a:xfrm>
                            <a:off x="3180" y="2077"/>
                            <a:ext cx="1" cy="375"/>
                          </a:xfrm>
                          <a:prstGeom prst="line">
                            <a:avLst/>
                          </a:prstGeom>
                          <a:noFill/>
                          <a:ln w="4" cap="rnd">
                            <a:solidFill>
                              <a:srgbClr val="4677BF"/>
                            </a:solidFill>
                            <a:round/>
                          </a:ln>
                        </wps:spPr>
                        <wps:bodyPr/>
                      </wps:wsp>
                      <wps:wsp>
                        <wps:cNvPr id="85" name="未知"/>
                        <wps:cNvSpPr/>
                        <wps:spPr bwMode="auto">
                          <a:xfrm>
                            <a:off x="3132" y="2440"/>
                            <a:ext cx="96" cy="100"/>
                          </a:xfrm>
                          <a:custGeom>
                            <a:avLst/>
                            <a:gdLst>
                              <a:gd name="T0" fmla="*/ 96 w 96"/>
                              <a:gd name="T1" fmla="*/ 0 h 100"/>
                              <a:gd name="T2" fmla="*/ 48 w 96"/>
                              <a:gd name="T3" fmla="*/ 100 h 100"/>
                              <a:gd name="T4" fmla="*/ 0 w 96"/>
                              <a:gd name="T5" fmla="*/ 0 h 100"/>
                              <a:gd name="T6" fmla="*/ 96 w 96"/>
                              <a:gd name="T7" fmla="*/ 0 h 100"/>
                            </a:gdLst>
                            <a:ahLst/>
                            <a:cxnLst>
                              <a:cxn ang="0">
                                <a:pos x="T0" y="T1"/>
                              </a:cxn>
                              <a:cxn ang="0">
                                <a:pos x="T2" y="T3"/>
                              </a:cxn>
                              <a:cxn ang="0">
                                <a:pos x="T4" y="T5"/>
                              </a:cxn>
                              <a:cxn ang="0">
                                <a:pos x="T6" y="T7"/>
                              </a:cxn>
                            </a:cxnLst>
                            <a:rect l="0" t="0" r="r" b="b"/>
                            <a:pathLst>
                              <a:path w="96" h="100">
                                <a:moveTo>
                                  <a:pt x="96" y="0"/>
                                </a:moveTo>
                                <a:lnTo>
                                  <a:pt x="48" y="100"/>
                                </a:lnTo>
                                <a:lnTo>
                                  <a:pt x="0" y="0"/>
                                </a:lnTo>
                                <a:lnTo>
                                  <a:pt x="96" y="0"/>
                                </a:lnTo>
                                <a:close/>
                              </a:path>
                            </a:pathLst>
                          </a:custGeom>
                          <a:solidFill>
                            <a:srgbClr val="4677BF"/>
                          </a:solidFill>
                          <a:ln>
                            <a:noFill/>
                          </a:ln>
                        </wps:spPr>
                        <wps:bodyPr rot="0" vert="horz" wrap="square" lIns="91440" tIns="45720" rIns="91440" bIns="45720" anchor="t" anchorCtr="0" upright="1">
                          <a:noAutofit/>
                        </wps:bodyPr>
                      </wps:wsp>
                      <wps:wsp>
                        <wps:cNvPr id="86" name="Line 367"/>
                        <wps:cNvCnPr/>
                        <wps:spPr bwMode="auto">
                          <a:xfrm>
                            <a:off x="3180" y="3052"/>
                            <a:ext cx="1" cy="376"/>
                          </a:xfrm>
                          <a:prstGeom prst="line">
                            <a:avLst/>
                          </a:prstGeom>
                          <a:noFill/>
                          <a:ln w="4" cap="rnd">
                            <a:solidFill>
                              <a:srgbClr val="4677BF"/>
                            </a:solidFill>
                            <a:round/>
                          </a:ln>
                        </wps:spPr>
                        <wps:bodyPr/>
                      </wps:wsp>
                      <wps:wsp>
                        <wps:cNvPr id="87" name="未知"/>
                        <wps:cNvSpPr/>
                        <wps:spPr bwMode="auto">
                          <a:xfrm>
                            <a:off x="3132" y="3415"/>
                            <a:ext cx="96" cy="100"/>
                          </a:xfrm>
                          <a:custGeom>
                            <a:avLst/>
                            <a:gdLst>
                              <a:gd name="T0" fmla="*/ 96 w 96"/>
                              <a:gd name="T1" fmla="*/ 0 h 100"/>
                              <a:gd name="T2" fmla="*/ 48 w 96"/>
                              <a:gd name="T3" fmla="*/ 100 h 100"/>
                              <a:gd name="T4" fmla="*/ 0 w 96"/>
                              <a:gd name="T5" fmla="*/ 0 h 100"/>
                              <a:gd name="T6" fmla="*/ 96 w 96"/>
                              <a:gd name="T7" fmla="*/ 0 h 100"/>
                            </a:gdLst>
                            <a:ahLst/>
                            <a:cxnLst>
                              <a:cxn ang="0">
                                <a:pos x="T0" y="T1"/>
                              </a:cxn>
                              <a:cxn ang="0">
                                <a:pos x="T2" y="T3"/>
                              </a:cxn>
                              <a:cxn ang="0">
                                <a:pos x="T4" y="T5"/>
                              </a:cxn>
                              <a:cxn ang="0">
                                <a:pos x="T6" y="T7"/>
                              </a:cxn>
                            </a:cxnLst>
                            <a:rect l="0" t="0" r="r" b="b"/>
                            <a:pathLst>
                              <a:path w="96" h="100">
                                <a:moveTo>
                                  <a:pt x="96" y="0"/>
                                </a:moveTo>
                                <a:lnTo>
                                  <a:pt x="48" y="100"/>
                                </a:lnTo>
                                <a:lnTo>
                                  <a:pt x="0" y="0"/>
                                </a:lnTo>
                                <a:lnTo>
                                  <a:pt x="96" y="0"/>
                                </a:lnTo>
                                <a:close/>
                              </a:path>
                            </a:pathLst>
                          </a:custGeom>
                          <a:solidFill>
                            <a:srgbClr val="4677BF"/>
                          </a:solidFill>
                          <a:ln>
                            <a:noFill/>
                          </a:ln>
                        </wps:spPr>
                        <wps:bodyPr rot="0" vert="horz" wrap="square" lIns="91440" tIns="45720" rIns="91440" bIns="45720" anchor="t" anchorCtr="0" upright="1">
                          <a:noAutofit/>
                        </wps:bodyPr>
                      </wps:wsp>
                      <wps:wsp>
                        <wps:cNvPr id="88" name="未知"/>
                        <wps:cNvSpPr/>
                        <wps:spPr bwMode="auto">
                          <a:xfrm>
                            <a:off x="3987" y="1035"/>
                            <a:ext cx="1575" cy="2736"/>
                          </a:xfrm>
                          <a:custGeom>
                            <a:avLst/>
                            <a:gdLst>
                              <a:gd name="T0" fmla="*/ 0 w 1575"/>
                              <a:gd name="T1" fmla="*/ 2736 h 2736"/>
                              <a:gd name="T2" fmla="*/ 1575 w 1575"/>
                              <a:gd name="T3" fmla="*/ 2736 h 2736"/>
                              <a:gd name="T4" fmla="*/ 1575 w 1575"/>
                              <a:gd name="T5" fmla="*/ 0 h 2736"/>
                            </a:gdLst>
                            <a:ahLst/>
                            <a:cxnLst>
                              <a:cxn ang="0">
                                <a:pos x="T0" y="T1"/>
                              </a:cxn>
                              <a:cxn ang="0">
                                <a:pos x="T2" y="T3"/>
                              </a:cxn>
                              <a:cxn ang="0">
                                <a:pos x="T4" y="T5"/>
                              </a:cxn>
                            </a:cxnLst>
                            <a:rect l="0" t="0" r="r" b="b"/>
                            <a:pathLst>
                              <a:path w="1575" h="2736">
                                <a:moveTo>
                                  <a:pt x="0" y="2736"/>
                                </a:moveTo>
                                <a:lnTo>
                                  <a:pt x="1575" y="2736"/>
                                </a:lnTo>
                                <a:lnTo>
                                  <a:pt x="1575" y="0"/>
                                </a:lnTo>
                              </a:path>
                            </a:pathLst>
                          </a:custGeom>
                          <a:noFill/>
                          <a:ln w="4" cap="rnd" cmpd="sng">
                            <a:solidFill>
                              <a:srgbClr val="4677BF"/>
                            </a:solidFill>
                            <a:round/>
                          </a:ln>
                        </wps:spPr>
                        <wps:bodyPr rot="0" vert="horz" wrap="square" lIns="91440" tIns="45720" rIns="91440" bIns="45720" anchor="t" anchorCtr="0" upright="1">
                          <a:noAutofit/>
                        </wps:bodyPr>
                      </wps:wsp>
                      <wps:wsp>
                        <wps:cNvPr id="89" name="未知"/>
                        <wps:cNvSpPr/>
                        <wps:spPr bwMode="auto">
                          <a:xfrm>
                            <a:off x="3854" y="3721"/>
                            <a:ext cx="145" cy="100"/>
                          </a:xfrm>
                          <a:custGeom>
                            <a:avLst/>
                            <a:gdLst>
                              <a:gd name="T0" fmla="*/ 145 w 145"/>
                              <a:gd name="T1" fmla="*/ 100 h 100"/>
                              <a:gd name="T2" fmla="*/ 0 w 145"/>
                              <a:gd name="T3" fmla="*/ 50 h 100"/>
                              <a:gd name="T4" fmla="*/ 145 w 145"/>
                              <a:gd name="T5" fmla="*/ 0 h 100"/>
                              <a:gd name="T6" fmla="*/ 145 w 145"/>
                              <a:gd name="T7" fmla="*/ 100 h 100"/>
                            </a:gdLst>
                            <a:ahLst/>
                            <a:cxnLst>
                              <a:cxn ang="0">
                                <a:pos x="T0" y="T1"/>
                              </a:cxn>
                              <a:cxn ang="0">
                                <a:pos x="T2" y="T3"/>
                              </a:cxn>
                              <a:cxn ang="0">
                                <a:pos x="T4" y="T5"/>
                              </a:cxn>
                              <a:cxn ang="0">
                                <a:pos x="T6" y="T7"/>
                              </a:cxn>
                            </a:cxnLst>
                            <a:rect l="0" t="0" r="r" b="b"/>
                            <a:pathLst>
                              <a:path w="145" h="100">
                                <a:moveTo>
                                  <a:pt x="145" y="100"/>
                                </a:moveTo>
                                <a:lnTo>
                                  <a:pt x="0" y="50"/>
                                </a:lnTo>
                                <a:lnTo>
                                  <a:pt x="145" y="0"/>
                                </a:lnTo>
                                <a:lnTo>
                                  <a:pt x="145" y="100"/>
                                </a:lnTo>
                                <a:close/>
                              </a:path>
                            </a:pathLst>
                          </a:custGeom>
                          <a:solidFill>
                            <a:srgbClr val="4677BF"/>
                          </a:solidFill>
                          <a:ln>
                            <a:noFill/>
                          </a:ln>
                        </wps:spPr>
                        <wps:bodyPr rot="0" vert="horz" wrap="square" lIns="91440" tIns="45720" rIns="91440" bIns="45720" anchor="t" anchorCtr="0" upright="1">
                          <a:noAutofit/>
                        </wps:bodyPr>
                      </wps:wsp>
                      <wps:wsp>
                        <wps:cNvPr id="90" name="未知"/>
                        <wps:cNvSpPr/>
                        <wps:spPr bwMode="auto">
                          <a:xfrm>
                            <a:off x="5513" y="898"/>
                            <a:ext cx="98" cy="149"/>
                          </a:xfrm>
                          <a:custGeom>
                            <a:avLst/>
                            <a:gdLst>
                              <a:gd name="T0" fmla="*/ 0 w 98"/>
                              <a:gd name="T1" fmla="*/ 149 h 149"/>
                              <a:gd name="T2" fmla="*/ 49 w 98"/>
                              <a:gd name="T3" fmla="*/ 0 h 149"/>
                              <a:gd name="T4" fmla="*/ 98 w 98"/>
                              <a:gd name="T5" fmla="*/ 149 h 149"/>
                              <a:gd name="T6" fmla="*/ 0 w 98"/>
                              <a:gd name="T7" fmla="*/ 149 h 149"/>
                            </a:gdLst>
                            <a:ahLst/>
                            <a:cxnLst>
                              <a:cxn ang="0">
                                <a:pos x="T0" y="T1"/>
                              </a:cxn>
                              <a:cxn ang="0">
                                <a:pos x="T2" y="T3"/>
                              </a:cxn>
                              <a:cxn ang="0">
                                <a:pos x="T4" y="T5"/>
                              </a:cxn>
                              <a:cxn ang="0">
                                <a:pos x="T6" y="T7"/>
                              </a:cxn>
                            </a:cxnLst>
                            <a:rect l="0" t="0" r="r" b="b"/>
                            <a:pathLst>
                              <a:path w="98" h="149">
                                <a:moveTo>
                                  <a:pt x="0" y="149"/>
                                </a:moveTo>
                                <a:lnTo>
                                  <a:pt x="49" y="0"/>
                                </a:lnTo>
                                <a:lnTo>
                                  <a:pt x="98" y="149"/>
                                </a:lnTo>
                                <a:lnTo>
                                  <a:pt x="0" y="149"/>
                                </a:lnTo>
                                <a:close/>
                              </a:path>
                            </a:pathLst>
                          </a:custGeom>
                          <a:solidFill>
                            <a:srgbClr val="4677BF"/>
                          </a:solidFill>
                          <a:ln>
                            <a:noFill/>
                          </a:ln>
                        </wps:spPr>
                        <wps:bodyPr rot="0" vert="horz" wrap="square" lIns="91440" tIns="45720" rIns="91440" bIns="45720" anchor="t" anchorCtr="0" upright="1">
                          <a:noAutofit/>
                        </wps:bodyPr>
                      </wps:wsp>
                    </wpg:wgp>
                  </a:graphicData>
                </a:graphic>
              </wp:anchor>
            </w:drawing>
          </mc:Choice>
          <mc:Fallback>
            <w:pict>
              <v:group w14:anchorId="28D89832" id="Group 328" o:spid="_x0000_s1026" style="position:absolute;left:0;text-align:left;margin-left:51.75pt;margin-top:5.75pt;width:316.7pt;height:202.6pt;z-index:251660288" coordsize="6334,4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">
                <v:rect id="AutoShape 329" o:spid="_x0000_s1027" style="position:absolute;width:6334;height:4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o:lock v:ext="edit" aspectratio="t" text="t"/>
                </v:rect>
                <v:rect id="Rectangle 330" o:spid="_x0000_s1028" style="position:absolute;left:186;top:25;width:1123;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" stroked="f"/>
                <v:rect id="Rectangle 331" o:spid="_x0000_s1029" style="position:absolute;left:396;top:109;width:721;height: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14:paraId="12438D77" w14:textId="77777777" w:rsidR="009C353B" w:rsidRDefault="00000000">
                        <w:pPr>
                          <w:rPr>
                            <w:rFonts w:hint="eastAsia"/>
                          </w:rPr>
                        </w:pPr>
                        <w:r>
                          <w:rPr>
                            <w:rFonts w:cs="宋体" w:hint="eastAsia"/>
                            <w:color w:val="000000"/>
                            <w:kern w:val="0"/>
                            <w:sz w:val="18"/>
                            <w:szCs w:val="18"/>
                          </w:rPr>
                          <w:t>监督管理</w:t>
                        </w:r>
                      </w:p>
                    </w:txbxContent>
                  </v:textbox>
                </v:rect>
                <v:rect id="Rectangle 332" o:spid="_x0000_s1030" style="position:absolute;left:2631;top:25;width:1123;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" stroked="f"/>
                <v:rect id="Rectangle 333" o:spid="_x0000_s1031" style="position:absolute;left:2838;top:109;width:721;height: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14:paraId="69EAA7E2" w14:textId="77777777" w:rsidR="009C353B" w:rsidRDefault="00000000">
                        <w:pPr>
                          <w:rPr>
                            <w:rFonts w:hint="eastAsia"/>
                          </w:rPr>
                        </w:pPr>
                        <w:r>
                          <w:rPr>
                            <w:rFonts w:cs="宋体" w:hint="eastAsia"/>
                            <w:color w:val="000000"/>
                            <w:kern w:val="0"/>
                            <w:sz w:val="18"/>
                            <w:szCs w:val="18"/>
                          </w:rPr>
                          <w:t>执行机构</w:t>
                        </w:r>
                      </w:p>
                    </w:txbxContent>
                  </v:textbox>
                </v:rect>
                <v:rect id="Rectangle 334" o:spid="_x0000_s1032" style="position:absolute;left:5001;top:25;width:112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" stroked="f"/>
                <v:rect id="Rectangle 335" o:spid="_x0000_s1033" style="position:absolute;left:5214;top:109;width:721;height: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14:paraId="6F78C88F" w14:textId="77777777" w:rsidR="009C353B" w:rsidRDefault="00000000">
                        <w:pPr>
                          <w:rPr>
                            <w:rFonts w:hint="eastAsia"/>
                          </w:rPr>
                        </w:pPr>
                        <w:r>
                          <w:rPr>
                            <w:rFonts w:cs="宋体" w:hint="eastAsia"/>
                            <w:color w:val="000000"/>
                            <w:kern w:val="0"/>
                            <w:sz w:val="18"/>
                            <w:szCs w:val="18"/>
                          </w:rPr>
                          <w:t>咨询机构</w:t>
                        </w:r>
                      </w:p>
                    </w:txbxContent>
                  </v:textbox>
                </v:rect>
                <v:rect id="Rectangle 336" o:spid="_x0000_s1034" style="position:absolute;left:25;top:384;width:1596;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" stroked="f"/>
                <v:rect id="Rectangle 337" o:spid="_x0000_s1035" style="position:absolute;left:25;top:384;width:1596;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" filled="f" strokeweight="1e-4mm">
                  <v:stroke endcap="round"/>
                </v:rect>
                <v:rect id="Rectangle 338" o:spid="_x0000_s1036" style="position:absolute;left:290;top:557;width:901;height: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l6wQAAANsAAAAPAAAAZHJzL2Rvd25yZXYueG1sRI/NigIx&#10;EITvgu8QWvCmGZ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A/06XrBAAAA2wAAAA8AAAAA&#10;AAAAAAAAAAAABwIAAGRycy9kb3ducmV2LnhtbFBLBQYAAAAAAwADALcAAAD1AgAAAAA=&#10;" filled="f" stroked="f">
                  <v:textbox style="mso-fit-shape-to-text:t" inset="0,0,0,0">
                    <w:txbxContent>
                      <w:p w14:paraId="783E17C3" w14:textId="77777777" w:rsidR="009C353B" w:rsidRDefault="00000000">
                        <w:pPr>
                          <w:rPr>
                            <w:rFonts w:hint="eastAsia"/>
                          </w:rPr>
                        </w:pPr>
                        <w:r>
                          <w:rPr>
                            <w:rFonts w:cs="宋体" w:hint="eastAsia"/>
                            <w:color w:val="000000"/>
                            <w:kern w:val="0"/>
                            <w:sz w:val="18"/>
                            <w:szCs w:val="18"/>
                          </w:rPr>
                          <w:t>宁东环保局</w:t>
                        </w:r>
                      </w:p>
                    </w:txbxContent>
                  </v:textbox>
                </v:rect>
                <v:rect id="Rectangle 339" o:spid="_x0000_s1037" style="position:absolute;left:2619;top:384;width:112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" stroked="f"/>
                <v:rect id="Rectangle 340" o:spid="_x0000_s1038" style="position:absolute;left:2619;top:384;width:112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" filled="f" strokeweight="1e-4mm">
                  <v:stroke endcap="round"/>
                </v:rect>
                <v:rect id="Rectangle 341" o:spid="_x0000_s1039" style="position:absolute;left:2746;top:421;width:901;height: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UbkvwAAANsAAAAPAAAAZHJzL2Rvd25yZXYueG1sRE9LasMw&#10;EN0XcgcxhexquQ6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Dh9UbkvwAAANsAAAAPAAAAAAAA&#10;AAAAAAAAAAcCAABkcnMvZG93bnJldi54bWxQSwUGAAAAAAMAAwC3AAAA8wIAAAAA&#10;" filled="f" stroked="f">
                  <v:textbox style="mso-fit-shape-to-text:t" inset="0,0,0,0">
                    <w:txbxContent>
                      <w:p w14:paraId="261AA13B" w14:textId="77777777" w:rsidR="009C353B" w:rsidRDefault="00000000">
                        <w:pPr>
                          <w:rPr>
                            <w:rFonts w:hint="eastAsia"/>
                          </w:rPr>
                        </w:pPr>
                        <w:r>
                          <w:rPr>
                            <w:rFonts w:cs="宋体" w:hint="eastAsia"/>
                            <w:color w:val="000000"/>
                            <w:kern w:val="0"/>
                            <w:sz w:val="18"/>
                            <w:szCs w:val="18"/>
                          </w:rPr>
                          <w:t>矿区环境管</w:t>
                        </w:r>
                      </w:p>
                    </w:txbxContent>
                  </v:textbox>
                </v:rect>
                <v:rect id="Rectangle 342" o:spid="_x0000_s1040" style="position:absolute;left:2917;top:666;width:541;height: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vwAAANsAAAAPAAAAZHJzL2Rvd25yZXYueG1sRE9LasMw&#10;EN0XcgcxhexquS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BHhTmfvwAAANsAAAAPAAAAAAAA&#10;AAAAAAAAAAcCAABkcnMvZG93bnJldi54bWxQSwUGAAAAAAMAAwC3AAAA8wIAAAAA&#10;" filled="f" stroked="f">
                  <v:textbox style="mso-fit-shape-to-text:t" inset="0,0,0,0">
                    <w:txbxContent>
                      <w:p w14:paraId="5AC24A99" w14:textId="77777777" w:rsidR="009C353B" w:rsidRDefault="00000000">
                        <w:pPr>
                          <w:rPr>
                            <w:rFonts w:hint="eastAsia"/>
                          </w:rPr>
                        </w:pPr>
                        <w:r>
                          <w:rPr>
                            <w:rFonts w:cs="宋体" w:hint="eastAsia"/>
                            <w:color w:val="000000"/>
                            <w:kern w:val="0"/>
                            <w:sz w:val="18"/>
                            <w:szCs w:val="18"/>
                          </w:rPr>
                          <w:t>理机构</w:t>
                        </w:r>
                      </w:p>
                    </w:txbxContent>
                  </v:textbox>
                </v:rect>
                <v:rect id="Rectangle 343" o:spid="_x0000_s1041" style="position:absolute;left:4814;top:384;width:1496;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" stroked="f"/>
                <v:rect id="Rectangle 344" o:spid="_x0000_s1042" style="position:absolute;left:4814;top:384;width:1496;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" filled="f" strokeweight="1e-4mm">
                  <v:stroke endcap="round"/>
                </v:rect>
                <v:rect id="Rectangle 345" o:spid="_x0000_s1043" style="position:absolute;left:4950;top:557;width:1261;height: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poHwQAAANsAAAAPAAAAZHJzL2Rvd25yZXYueG1sRI/NigIx&#10;EITvgu8QWvCmGc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FfymgfBAAAA2wAAAA8AAAAA&#10;AAAAAAAAAAAABwIAAGRycy9kb3ducmV2LnhtbFBLBQYAAAAAAwADALcAAAD1AgAAAAA=&#10;" filled="f" stroked="f">
                  <v:textbox style="mso-fit-shape-to-text:t" inset="0,0,0,0">
                    <w:txbxContent>
                      <w:p w14:paraId="2F9DC85D" w14:textId="77777777" w:rsidR="009C353B" w:rsidRDefault="00000000">
                        <w:pPr>
                          <w:rPr>
                            <w:rFonts w:hint="eastAsia"/>
                          </w:rPr>
                        </w:pPr>
                        <w:r>
                          <w:rPr>
                            <w:rFonts w:cs="宋体" w:hint="eastAsia"/>
                            <w:color w:val="000000"/>
                            <w:kern w:val="0"/>
                            <w:sz w:val="18"/>
                            <w:szCs w:val="18"/>
                          </w:rPr>
                          <w:t>环保专家咨询组</w:t>
                        </w:r>
                      </w:p>
                    </w:txbxContent>
                  </v:textbox>
                </v:rect>
                <v:line id="Line 346" o:spid="_x0000_s1044" style="position:absolute;visibility:visible;mso-wrap-style:square" from="1621,641" to="2534,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" strokecolor="#4677bf" strokeweight="1e-4mm">
                  <v:stroke endcap="round"/>
                </v:line>
                <v:shape id="未知" o:spid="_x0000_s1045" style="position:absolute;left:2521;top:591;width:98;height:100;visibility:visible;mso-wrap-style:square;v-text-anchor:top" coordsize="9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" path="m,l98,50,,100,,xe" fillcolor="#4677bf" stroked="f">
                  <v:path arrowok="t" o:connecttype="custom" o:connectlocs="0,0;98,50;0,100;0,0" o:connectangles="0,0,0,0"/>
                </v:shape>
                <v:line id="Line 348" o:spid="_x0000_s1046" style="position:absolute;flip:x;visibility:visible;mso-wrap-style:square" from="3826,641" to="4814,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" strokecolor="#4677bf" strokeweight="1e-4mm">
                  <v:stroke endcap="round"/>
                </v:line>
                <v:shape id="未知" o:spid="_x0000_s1047" style="position:absolute;left:3741;top:591;width:98;height:100;visibility:visible;mso-wrap-style:square;v-text-anchor:top" coordsize="9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" path="m98,100l,50,98,r,100xe" fillcolor="#4677bf" stroked="f">
                  <v:path arrowok="t" o:connecttype="custom" o:connectlocs="98,100;0,50;98,0;98,100" o:connectangles="0,0,0,0"/>
                </v:shape>
                <v:rect id="Rectangle 350" o:spid="_x0000_s1048" style="position:absolute;left:2506;top:1565;width:1348;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" stroked="f"/>
                <v:rect id="Rectangle 351" o:spid="_x0000_s1049" style="position:absolute;left:2506;top:1565;width:1348;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" filled="f" strokeweight="1e-4mm">
                  <v:stroke endcap="round"/>
                </v:rect>
                <v:rect id="Rectangle 352" o:spid="_x0000_s1050" style="position:absolute;left:2653;top:1725;width:1081;height: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056AF6DC" w14:textId="77777777" w:rsidR="009C353B" w:rsidRDefault="00000000">
                        <w:pPr>
                          <w:rPr>
                            <w:rFonts w:hint="eastAsia"/>
                          </w:rPr>
                        </w:pPr>
                        <w:r>
                          <w:rPr>
                            <w:rFonts w:cs="宋体" w:hint="eastAsia"/>
                            <w:color w:val="000000"/>
                            <w:kern w:val="0"/>
                            <w:sz w:val="18"/>
                            <w:szCs w:val="18"/>
                          </w:rPr>
                          <w:t>企业环保部门</w:t>
                        </w:r>
                      </w:p>
                    </w:txbxContent>
                  </v:textbox>
                </v:rect>
                <v:rect id="Rectangle 353" o:spid="_x0000_s1051" style="position:absolute;left:2506;top:2540;width:1348;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" stroked="f"/>
                <v:rect id="Rectangle 354" o:spid="_x0000_s1052" style="position:absolute;left:2506;top:2540;width:1348;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" filled="f" strokeweight="1e-4mm">
                  <v:stroke endcap="round"/>
                </v:rect>
                <v:rect id="Rectangle 355" o:spid="_x0000_s1053" style="position:absolute;left:2653;top:2702;width:1081;height: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vUhwQAAANsAAAAPAAAAZHJzL2Rvd25yZXYueG1sRI/NigIx&#10;EITvgu8QWvCmGUV2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PbS9SHBAAAA2wAAAA8AAAAA&#10;AAAAAAAAAAAABwIAAGRycy9kb3ducmV2LnhtbFBLBQYAAAAAAwADALcAAAD1AgAAAAA=&#10;" filled="f" stroked="f">
                  <v:textbox style="mso-fit-shape-to-text:t" inset="0,0,0,0">
                    <w:txbxContent>
                      <w:p w14:paraId="06D926C5" w14:textId="77777777" w:rsidR="009C353B" w:rsidRDefault="00000000">
                        <w:pPr>
                          <w:rPr>
                            <w:rFonts w:hint="eastAsia"/>
                          </w:rPr>
                        </w:pPr>
                        <w:r>
                          <w:rPr>
                            <w:rFonts w:cs="宋体" w:hint="eastAsia"/>
                            <w:color w:val="000000"/>
                            <w:kern w:val="0"/>
                            <w:sz w:val="18"/>
                            <w:szCs w:val="18"/>
                          </w:rPr>
                          <w:t>实施者负责人</w:t>
                        </w:r>
                      </w:p>
                    </w:txbxContent>
                  </v:textbox>
                </v:rect>
                <v:rect id="Rectangle 356" o:spid="_x0000_s1054" style="position:absolute;left:2506;top:3515;width:1348;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" stroked="f"/>
                <v:rect id="Rectangle 357" o:spid="_x0000_s1055" style="position:absolute;left:2506;top:3515;width:1348;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" filled="f" strokeweight="1e-4mm">
                  <v:stroke endcap="round"/>
                </v:rect>
                <v:rect id="Rectangle 358" o:spid="_x0000_s1056" style="position:absolute;left:2825;top:3680;width:721;height: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" filled="f" stroked="f">
                  <v:textbox style="mso-fit-shape-to-text:t" inset="0,0,0,0">
                    <w:txbxContent>
                      <w:p w14:paraId="4AE37199" w14:textId="77777777" w:rsidR="009C353B" w:rsidRDefault="00000000">
                        <w:pPr>
                          <w:rPr>
                            <w:rFonts w:hint="eastAsia"/>
                          </w:rPr>
                        </w:pPr>
                        <w:r>
                          <w:rPr>
                            <w:rFonts w:cs="宋体" w:hint="eastAsia"/>
                            <w:color w:val="000000"/>
                            <w:kern w:val="0"/>
                            <w:sz w:val="18"/>
                            <w:szCs w:val="18"/>
                          </w:rPr>
                          <w:t>工程项目</w:t>
                        </w:r>
                      </w:p>
                    </w:txbxContent>
                  </v:textbox>
                </v:rect>
                <v:shape id="未知" o:spid="_x0000_s1057" style="position:absolute;left:823;top:898;width:1598;height:923;visibility:visible;mso-wrap-style:square;v-text-anchor:top" coordsize="1598,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" path="m,l,923r1598,e" filled="f" strokecolor="#4677bf" strokeweight="1e-4mm">
                  <v:stroke endcap="round"/>
                  <v:path arrowok="t" o:connecttype="custom" o:connectlocs="0,0;0,923;1598,923" o:connectangles="0,0,0"/>
                </v:shape>
                <v:shape id="未知" o:spid="_x0000_s1058" style="position:absolute;left:2409;top:1771;width:97;height:100;visibility:visible;mso-wrap-style:square;v-text-anchor:top" coordsize="9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" path="m,l97,50,,100,,xe" fillcolor="#4677bf" stroked="f">
                  <v:path arrowok="t" o:connecttype="custom" o:connectlocs="0,0;97,50;0,100;0,0" o:connectangles="0,0,0,0"/>
                </v:shape>
                <v:shape id="未知" o:spid="_x0000_s1059" style="position:absolute;left:823;top:898;width:1598;height:1898;visibility:visible;mso-wrap-style:square;v-text-anchor:top" coordsize="1598,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" path="m,l,1898r1598,e" filled="f" strokecolor="#4677bf" strokeweight="1e-4mm">
                  <v:stroke endcap="round"/>
                  <v:path arrowok="t" o:connecttype="custom" o:connectlocs="0,0;0,1898;1598,1898" o:connectangles="0,0,0"/>
                </v:shape>
                <v:shape id="未知" o:spid="_x0000_s1060" style="position:absolute;left:2409;top:2746;width:97;height:100;visibility:visible;mso-wrap-style:square;v-text-anchor:top" coordsize="9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" path="m,l97,50,,100,,xe" fillcolor="#4677bf" stroked="f">
                  <v:path arrowok="t" o:connecttype="custom" o:connectlocs="0,0;97,50;0,100;0,0" o:connectangles="0,0,0,0"/>
                </v:shape>
                <v:line id="Line 363" o:spid="_x0000_s1061" style="position:absolute;visibility:visible;mso-wrap-style:square" from="3180,898" to="3181,1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" strokecolor="#4677bf" strokeweight="1e-4mm">
                  <v:stroke endcap="round"/>
                </v:line>
                <v:shape id="未知" o:spid="_x0000_s1062" style="position:absolute;left:3132;top:1465;width:96;height:10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" path="m96,l48,100,,,96,xe" fillcolor="#4677bf" stroked="f">
                  <v:path arrowok="t" o:connecttype="custom" o:connectlocs="96,0;48,100;0,0;96,0" o:connectangles="0,0,0,0"/>
                </v:shape>
                <v:line id="Line 365" o:spid="_x0000_s1063" style="position:absolute;visibility:visible;mso-wrap-style:square" from="3180,2077" to="3181,2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" strokecolor="#4677bf" strokeweight="1e-4mm">
                  <v:stroke endcap="round"/>
                </v:line>
                <v:shape id="未知" o:spid="_x0000_s1064" style="position:absolute;left:3132;top:2440;width:96;height:10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" path="m96,l48,100,,,96,xe" fillcolor="#4677bf" stroked="f">
                  <v:path arrowok="t" o:connecttype="custom" o:connectlocs="96,0;48,100;0,0;96,0" o:connectangles="0,0,0,0"/>
                </v:shape>
                <v:line id="Line 367" o:spid="_x0000_s1065" style="position:absolute;visibility:visible;mso-wrap-style:square" from="3180,3052" to="3181,3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" strokecolor="#4677bf" strokeweight="1e-4mm">
                  <v:stroke endcap="round"/>
                </v:line>
                <v:shape id="未知" o:spid="_x0000_s1066" style="position:absolute;left:3132;top:3415;width:96;height:10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" path="m96,l48,100,,,96,xe" fillcolor="#4677bf" stroked="f">
                  <v:path arrowok="t" o:connecttype="custom" o:connectlocs="96,0;48,100;0,0;96,0" o:connectangles="0,0,0,0"/>
                </v:shape>
                <v:shape id="未知" o:spid="_x0000_s1067" style="position:absolute;left:3987;top:1035;width:1575;height:2736;visibility:visible;mso-wrap-style:square;v-text-anchor:top" coordsize="1575,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" path="m,2736r1575,l1575,e" filled="f" strokecolor="#4677bf" strokeweight="1e-4mm">
                  <v:stroke endcap="round"/>
                  <v:path arrowok="t" o:connecttype="custom" o:connectlocs="0,2736;1575,2736;1575,0" o:connectangles="0,0,0"/>
                </v:shape>
                <v:shape id="未知" o:spid="_x0000_s1068" style="position:absolute;left:3854;top:3721;width:145;height:100;visibility:visible;mso-wrap-style:square;v-text-anchor:top" coordsize="14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" path="m145,100l,50,145,r,100xe" fillcolor="#4677bf" stroked="f">
                  <v:path arrowok="t" o:connecttype="custom" o:connectlocs="145,100;0,50;145,0;145,100" o:connectangles="0,0,0,0"/>
                </v:shape>
                <v:shape id="未知" o:spid="_x0000_s1069" style="position:absolute;left:5513;top:898;width:98;height:149;visibility:visible;mso-wrap-style:square;v-text-anchor:top" coordsize="98,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" path="m,149l49,,98,149,,149xe" fillcolor="#4677bf" stroked="f">
                  <v:path arrowok="t" o:connecttype="custom" o:connectlocs="0,149;49,0;98,149;0,149" o:connectangles="0,0,0,0"/>
                </v:shape>
              </v:group>
            </w:pict>
          </mc:Fallback>
        </mc:AlternateContent>
      </w:r>
    </w:p>
    <w:p w14:paraId="5EA0E8E7" w14:textId="77777777" w:rsidR="009C353B" w:rsidRDefault="009C353B">
      <w:pPr>
        <w:spacing w:line="529" w:lineRule="exact"/>
        <w:ind w:firstLineChars="200" w:firstLine="480"/>
        <w:rPr>
          <w:rFonts w:ascii="Times New Roman" w:hAnsi="Times New Roman"/>
        </w:rPr>
      </w:pPr>
    </w:p>
    <w:p w14:paraId="5E13CF7E" w14:textId="77777777" w:rsidR="009C353B" w:rsidRDefault="009C353B">
      <w:pPr>
        <w:spacing w:line="529" w:lineRule="exact"/>
        <w:ind w:firstLineChars="200" w:firstLine="480"/>
        <w:rPr>
          <w:rFonts w:ascii="Times New Roman" w:hAnsi="Times New Roman"/>
        </w:rPr>
      </w:pPr>
    </w:p>
    <w:p w14:paraId="390BEBFE" w14:textId="77777777" w:rsidR="009C353B" w:rsidRDefault="009C353B">
      <w:pPr>
        <w:spacing w:line="529" w:lineRule="exact"/>
        <w:ind w:firstLineChars="200" w:firstLine="480"/>
        <w:rPr>
          <w:rFonts w:ascii="Times New Roman" w:hAnsi="Times New Roman"/>
        </w:rPr>
      </w:pPr>
    </w:p>
    <w:p w14:paraId="1969333C" w14:textId="77777777" w:rsidR="009C353B" w:rsidRDefault="009C353B">
      <w:pPr>
        <w:spacing w:line="529" w:lineRule="exact"/>
        <w:ind w:firstLineChars="200" w:firstLine="480"/>
        <w:rPr>
          <w:rFonts w:ascii="Times New Roman" w:hAnsi="Times New Roman"/>
        </w:rPr>
      </w:pPr>
    </w:p>
    <w:p w14:paraId="73DF54F8" w14:textId="77777777" w:rsidR="009C353B" w:rsidRDefault="009C353B">
      <w:pPr>
        <w:spacing w:line="529" w:lineRule="exact"/>
        <w:ind w:firstLineChars="200" w:firstLine="480"/>
        <w:rPr>
          <w:rFonts w:ascii="Times New Roman" w:hAnsi="Times New Roman"/>
        </w:rPr>
      </w:pPr>
    </w:p>
    <w:p w14:paraId="59CB9592" w14:textId="77777777" w:rsidR="009C353B" w:rsidRDefault="009C353B">
      <w:pPr>
        <w:spacing w:line="529" w:lineRule="exact"/>
        <w:ind w:firstLineChars="200" w:firstLine="480"/>
        <w:rPr>
          <w:rFonts w:ascii="Times New Roman" w:hAnsi="Times New Roman"/>
        </w:rPr>
      </w:pPr>
    </w:p>
    <w:p w14:paraId="7235D608" w14:textId="77777777" w:rsidR="009C353B" w:rsidRDefault="009C353B">
      <w:pPr>
        <w:spacing w:line="529" w:lineRule="exact"/>
        <w:ind w:firstLineChars="200" w:firstLine="480"/>
        <w:rPr>
          <w:rFonts w:ascii="Times New Roman" w:hAnsi="Times New Roman"/>
        </w:rPr>
      </w:pPr>
    </w:p>
    <w:p w14:paraId="1660E280" w14:textId="77777777" w:rsidR="009C353B" w:rsidRDefault="00000000">
      <w:pPr>
        <w:spacing w:before="100" w:beforeAutospacing="1" w:after="100" w:afterAutospacing="1" w:line="420" w:lineRule="exact"/>
        <w:jc w:val="center"/>
        <w:rPr>
          <w:rFonts w:ascii="Times New Roman" w:hAnsi="Times New Roman"/>
          <w:b/>
        </w:rPr>
      </w:pPr>
      <w:r>
        <w:rPr>
          <w:rFonts w:ascii="Times New Roman" w:hAnsi="Times New Roman"/>
          <w:b/>
        </w:rPr>
        <w:t>图</w:t>
      </w:r>
      <w:r>
        <w:rPr>
          <w:rFonts w:ascii="Times New Roman" w:hAnsi="Times New Roman"/>
          <w:b/>
        </w:rPr>
        <w:t xml:space="preserve">10.1-1 </w:t>
      </w:r>
      <w:r>
        <w:rPr>
          <w:rFonts w:ascii="Times New Roman" w:hAnsi="Times New Roman"/>
          <w:b/>
        </w:rPr>
        <w:t>矿区环境管理机构运行体系图</w:t>
      </w:r>
    </w:p>
    <w:p w14:paraId="1DDE0A11" w14:textId="77777777" w:rsidR="009C353B" w:rsidRDefault="00000000">
      <w:pPr>
        <w:adjustRightInd w:val="0"/>
        <w:snapToGrid w:val="0"/>
        <w:spacing w:line="440" w:lineRule="exact"/>
        <w:ind w:firstLineChars="200" w:firstLine="482"/>
        <w:rPr>
          <w:rFonts w:ascii="Times New Roman" w:hAnsi="Times New Roman"/>
          <w:b/>
        </w:rPr>
      </w:pPr>
      <w:bookmarkStart w:id="382" w:name="_Toc125193028"/>
      <w:r>
        <w:rPr>
          <w:rFonts w:ascii="Times New Roman" w:hAnsi="Times New Roman"/>
          <w:b/>
        </w:rPr>
        <w:t>（</w:t>
      </w:r>
      <w:r>
        <w:rPr>
          <w:rFonts w:ascii="Times New Roman" w:hAnsi="Times New Roman"/>
          <w:b/>
        </w:rPr>
        <w:t>3</w:t>
      </w:r>
      <w:r>
        <w:rPr>
          <w:rFonts w:ascii="Times New Roman" w:hAnsi="Times New Roman"/>
          <w:b/>
        </w:rPr>
        <w:t>）环境管理机构职责</w:t>
      </w:r>
    </w:p>
    <w:p w14:paraId="6A34DF2D"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矿区环境管理部门主要职责是：</w:t>
      </w:r>
    </w:p>
    <w:p w14:paraId="0962B99C" w14:textId="77777777" w:rsidR="009C353B" w:rsidRDefault="00000000">
      <w:pPr>
        <w:tabs>
          <w:tab w:val="left" w:pos="900"/>
        </w:tabs>
        <w:adjustRightInd w:val="0"/>
        <w:snapToGrid w:val="0"/>
        <w:spacing w:line="440" w:lineRule="exact"/>
        <w:ind w:firstLineChars="200" w:firstLine="480"/>
        <w:rPr>
          <w:rFonts w:ascii="Times New Roman" w:hAnsi="Times New Roman"/>
        </w:rPr>
      </w:pPr>
      <w:r>
        <w:rPr>
          <w:rFonts w:ascii="Times New Roman" w:hAnsi="Times New Roman"/>
        </w:rPr>
        <w:t>1</w:t>
      </w:r>
      <w:r>
        <w:rPr>
          <w:rFonts w:ascii="Times New Roman" w:hAnsi="Times New Roman"/>
        </w:rPr>
        <w:t>）认真贯彻执行国家和地方政府、环保行政管理部门颁布的有关环境保护法律、法规和标准。协助矿区最高管理者协调矿区开发活动与环境保护活动；</w:t>
      </w:r>
    </w:p>
    <w:p w14:paraId="2B775D9B" w14:textId="77777777" w:rsidR="009C353B" w:rsidRDefault="00000000">
      <w:pPr>
        <w:tabs>
          <w:tab w:val="left" w:pos="900"/>
        </w:tabs>
        <w:adjustRightInd w:val="0"/>
        <w:snapToGrid w:val="0"/>
        <w:spacing w:line="440" w:lineRule="exact"/>
        <w:ind w:firstLineChars="200" w:firstLine="480"/>
        <w:rPr>
          <w:rFonts w:ascii="Times New Roman" w:hAnsi="Times New Roman"/>
        </w:rPr>
      </w:pPr>
      <w:r>
        <w:rPr>
          <w:rFonts w:ascii="Times New Roman" w:hAnsi="Times New Roman"/>
        </w:rPr>
        <w:t>2</w:t>
      </w:r>
      <w:r>
        <w:rPr>
          <w:rFonts w:ascii="Times New Roman" w:hAnsi="Times New Roman"/>
        </w:rPr>
        <w:t>）协助矿区最高管理者制定矿区环境</w:t>
      </w:r>
      <w:r>
        <w:rPr>
          <w:rFonts w:ascii="Times New Roman" w:hAnsi="Times New Roman" w:hint="eastAsia"/>
        </w:rPr>
        <w:t>管理</w:t>
      </w:r>
      <w:r>
        <w:rPr>
          <w:rFonts w:ascii="Times New Roman" w:hAnsi="Times New Roman"/>
        </w:rPr>
        <w:t>方针，环境管理目标、指标和环境管理方案，包括监控计划等；</w:t>
      </w:r>
    </w:p>
    <w:p w14:paraId="1D4EC52C" w14:textId="77777777" w:rsidR="009C353B" w:rsidRDefault="00000000">
      <w:pPr>
        <w:tabs>
          <w:tab w:val="left" w:pos="900"/>
        </w:tabs>
        <w:adjustRightInd w:val="0"/>
        <w:snapToGrid w:val="0"/>
        <w:spacing w:line="440" w:lineRule="exact"/>
        <w:ind w:firstLineChars="200" w:firstLine="480"/>
        <w:rPr>
          <w:rFonts w:ascii="Times New Roman" w:hAnsi="Times New Roman"/>
        </w:rPr>
      </w:pPr>
      <w:r>
        <w:rPr>
          <w:rFonts w:ascii="Times New Roman" w:hAnsi="Times New Roman"/>
        </w:rPr>
        <w:t>3</w:t>
      </w:r>
      <w:r>
        <w:rPr>
          <w:rFonts w:ascii="Times New Roman" w:hAnsi="Times New Roman"/>
        </w:rPr>
        <w:t>）负责监督和实施矿区环境管理方案；负责制定和建立矿区内有关环保制度与政策；负责矿区的环境统计工作、污染源建档，并编制环境监测报告；</w:t>
      </w:r>
    </w:p>
    <w:p w14:paraId="71EEF5DC" w14:textId="77777777" w:rsidR="009C353B" w:rsidRDefault="00000000">
      <w:pPr>
        <w:tabs>
          <w:tab w:val="left" w:pos="900"/>
        </w:tabs>
        <w:adjustRightInd w:val="0"/>
        <w:snapToGrid w:val="0"/>
        <w:spacing w:line="440" w:lineRule="exact"/>
        <w:ind w:firstLineChars="200" w:firstLine="480"/>
        <w:rPr>
          <w:rFonts w:ascii="Times New Roman" w:hAnsi="Times New Roman"/>
        </w:rPr>
      </w:pPr>
      <w:r>
        <w:rPr>
          <w:rFonts w:ascii="Times New Roman" w:hAnsi="Times New Roman"/>
        </w:rPr>
        <w:t>4</w:t>
      </w:r>
      <w:r>
        <w:rPr>
          <w:rFonts w:ascii="Times New Roman" w:hAnsi="Times New Roman"/>
        </w:rPr>
        <w:t>）负责监督矿区环保公用设施的运行、维修，以确保其正常稳定运行；</w:t>
      </w:r>
    </w:p>
    <w:p w14:paraId="775AE0B2" w14:textId="77777777" w:rsidR="009C353B" w:rsidRDefault="00000000">
      <w:pPr>
        <w:tabs>
          <w:tab w:val="left" w:pos="900"/>
        </w:tabs>
        <w:adjustRightInd w:val="0"/>
        <w:snapToGrid w:val="0"/>
        <w:spacing w:line="440" w:lineRule="exact"/>
        <w:ind w:firstLineChars="200" w:firstLine="480"/>
        <w:rPr>
          <w:rFonts w:ascii="Times New Roman" w:hAnsi="Times New Roman"/>
        </w:rPr>
      </w:pPr>
      <w:r>
        <w:rPr>
          <w:rFonts w:ascii="Times New Roman" w:hAnsi="Times New Roman"/>
        </w:rPr>
        <w:t>5</w:t>
      </w:r>
      <w:r>
        <w:rPr>
          <w:rFonts w:ascii="Times New Roman" w:hAnsi="Times New Roman"/>
        </w:rPr>
        <w:t>）负责对规划开发活动者进行环境教育与培训；</w:t>
      </w:r>
    </w:p>
    <w:p w14:paraId="746AFC87" w14:textId="77777777" w:rsidR="009C353B" w:rsidRDefault="00000000">
      <w:pPr>
        <w:tabs>
          <w:tab w:val="left" w:pos="900"/>
        </w:tabs>
        <w:adjustRightInd w:val="0"/>
        <w:snapToGrid w:val="0"/>
        <w:spacing w:line="440" w:lineRule="exact"/>
        <w:ind w:firstLineChars="200" w:firstLine="480"/>
        <w:rPr>
          <w:rFonts w:ascii="Times New Roman" w:hAnsi="Times New Roman"/>
        </w:rPr>
      </w:pPr>
      <w:r>
        <w:rPr>
          <w:rFonts w:ascii="Times New Roman" w:hAnsi="Times New Roman"/>
        </w:rPr>
        <w:t>6</w:t>
      </w:r>
      <w:r>
        <w:rPr>
          <w:rFonts w:ascii="Times New Roman" w:hAnsi="Times New Roman"/>
        </w:rPr>
        <w:t>）负责有关环境事务方面的对外联络，如及时了解政府有关部门的相关环境政策和法规的颁布与修改并及时贯彻和执行，负责对公众的联络、解释、答复和协调有关矿区涉及公共利益的活动及相应措施；</w:t>
      </w:r>
    </w:p>
    <w:p w14:paraId="4766CE97" w14:textId="77777777" w:rsidR="009C353B" w:rsidRDefault="00000000">
      <w:pPr>
        <w:tabs>
          <w:tab w:val="left" w:pos="900"/>
        </w:tabs>
        <w:adjustRightInd w:val="0"/>
        <w:snapToGrid w:val="0"/>
        <w:spacing w:line="440" w:lineRule="exact"/>
        <w:ind w:firstLineChars="200" w:firstLine="480"/>
        <w:rPr>
          <w:rFonts w:ascii="Times New Roman" w:hAnsi="Times New Roman"/>
        </w:rPr>
      </w:pPr>
      <w:r>
        <w:rPr>
          <w:rFonts w:ascii="Times New Roman" w:hAnsi="Times New Roman"/>
        </w:rPr>
        <w:t>7</w:t>
      </w:r>
      <w:r>
        <w:rPr>
          <w:rFonts w:ascii="Times New Roman" w:hAnsi="Times New Roman"/>
        </w:rPr>
        <w:t>）建立矿区内各企业危险废物的贮存、申报、经营许可、转移、排放制度；</w:t>
      </w:r>
    </w:p>
    <w:p w14:paraId="4E1040F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8</w:t>
      </w:r>
      <w:r>
        <w:rPr>
          <w:rFonts w:ascii="Times New Roman" w:hAnsi="Times New Roman"/>
        </w:rPr>
        <w:t>）努力促进矿区按照</w:t>
      </w:r>
      <w:r>
        <w:rPr>
          <w:rFonts w:ascii="Times New Roman" w:hAnsi="Times New Roman"/>
        </w:rPr>
        <w:t>ISO14000</w:t>
      </w:r>
      <w:r>
        <w:rPr>
          <w:rFonts w:ascii="Times New Roman" w:hAnsi="Times New Roman"/>
        </w:rPr>
        <w:t>标准建立环境管理体系。</w:t>
      </w:r>
    </w:p>
    <w:p w14:paraId="6098E97E"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10.1.4 </w:t>
      </w:r>
      <w:r>
        <w:rPr>
          <w:rFonts w:ascii="Times New Roman" w:hAnsi="Times New Roman"/>
          <w:sz w:val="24"/>
        </w:rPr>
        <w:t>环境管理时段</w:t>
      </w:r>
    </w:p>
    <w:bookmarkEnd w:id="382"/>
    <w:p w14:paraId="65427597"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矿区环境管理时段</w:t>
      </w:r>
      <w:r>
        <w:rPr>
          <w:rFonts w:ascii="Times New Roman" w:hAnsi="Times New Roman" w:hint="eastAsia"/>
        </w:rPr>
        <w:t>：自</w:t>
      </w:r>
      <w:r>
        <w:rPr>
          <w:rFonts w:ascii="Times New Roman" w:hAnsi="Times New Roman"/>
        </w:rPr>
        <w:t>矿区勘测开始至矿区工程项目全面竣工验收、矿区工程项目投产运行及矿区闭矿期后的全过程，包括规划阶段、设计阶段、施工阶段、试生产阶段、规模生产阶段、信息反馈和群众监督、以及闭矿生态恢复期等</w:t>
      </w:r>
      <w:r>
        <w:rPr>
          <w:rFonts w:ascii="Times New Roman" w:hAnsi="Times New Roman"/>
        </w:rPr>
        <w:t>7</w:t>
      </w:r>
      <w:r>
        <w:rPr>
          <w:rFonts w:ascii="Times New Roman" w:hAnsi="Times New Roman"/>
        </w:rPr>
        <w:t>个阶段。并且根据该矿区开发的阶段性特点，特别强调环境管理工作的连续性、全面性。同时，应及时总结在上一个阶段环境管理中所发现的问题，以此为下一阶段工程建设和运行提出环境管理和污染控制的建议，避免类似问题的再次发生。</w:t>
      </w:r>
    </w:p>
    <w:p w14:paraId="41A6147F" w14:textId="77777777" w:rsidR="009C353B" w:rsidRDefault="00000000">
      <w:pPr>
        <w:pStyle w:val="3"/>
        <w:adjustRightInd w:val="0"/>
        <w:snapToGrid w:val="0"/>
        <w:spacing w:before="0" w:after="0" w:line="440" w:lineRule="exact"/>
        <w:rPr>
          <w:rFonts w:ascii="Times New Roman" w:hAnsi="Times New Roman"/>
          <w:sz w:val="24"/>
        </w:rPr>
      </w:pPr>
      <w:bookmarkStart w:id="383" w:name="_Toc125193029"/>
      <w:r>
        <w:rPr>
          <w:rFonts w:ascii="Times New Roman" w:hAnsi="Times New Roman"/>
          <w:sz w:val="24"/>
        </w:rPr>
        <w:t xml:space="preserve">10.1.5 </w:t>
      </w:r>
      <w:bookmarkEnd w:id="383"/>
      <w:r>
        <w:rPr>
          <w:rFonts w:ascii="Times New Roman" w:hAnsi="Times New Roman"/>
          <w:sz w:val="24"/>
        </w:rPr>
        <w:t>环境管理内容</w:t>
      </w:r>
    </w:p>
    <w:p w14:paraId="1B6D2288"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根据矿区环境管理的</w:t>
      </w:r>
      <w:r>
        <w:rPr>
          <w:rFonts w:ascii="Times New Roman" w:hAnsi="Times New Roman"/>
        </w:rPr>
        <w:t>7</w:t>
      </w:r>
      <w:r>
        <w:rPr>
          <w:rFonts w:ascii="Times New Roman" w:hAnsi="Times New Roman"/>
        </w:rPr>
        <w:t>个时段，各阶段具体内容见表</w:t>
      </w:r>
      <w:r>
        <w:rPr>
          <w:rFonts w:ascii="Times New Roman" w:hAnsi="Times New Roman"/>
        </w:rPr>
        <w:t>10.1-1</w:t>
      </w:r>
      <w:r>
        <w:rPr>
          <w:rFonts w:ascii="Times New Roman" w:hAnsi="Times New Roman"/>
        </w:rPr>
        <w:t>。</w:t>
      </w:r>
    </w:p>
    <w:p w14:paraId="44D27F71" w14:textId="77777777" w:rsidR="009C353B" w:rsidRDefault="00000000">
      <w:pPr>
        <w:pStyle w:val="affffff0"/>
        <w:adjustRightInd w:val="0"/>
        <w:spacing w:line="440" w:lineRule="exact"/>
        <w:jc w:val="center"/>
        <w:rPr>
          <w:rFonts w:ascii="Times New Roman" w:hAnsi="Times New Roman"/>
        </w:rPr>
      </w:pPr>
      <w:r>
        <w:rPr>
          <w:rFonts w:ascii="Times New Roman" w:hAnsi="Times New Roman"/>
        </w:rPr>
        <w:t>新建项目环境管理内容</w:t>
      </w:r>
    </w:p>
    <w:p w14:paraId="5A6FE931" w14:textId="77777777" w:rsidR="009C353B" w:rsidRDefault="00000000">
      <w:pPr>
        <w:pStyle w:val="affffd"/>
        <w:spacing w:line="440" w:lineRule="exact"/>
        <w:ind w:firstLineChars="50" w:firstLine="120"/>
        <w:rPr>
          <w:rFonts w:ascii="Times New Roman" w:hAnsi="Times New Roman"/>
        </w:rPr>
      </w:pPr>
      <w:r>
        <w:rPr>
          <w:rFonts w:ascii="Times New Roman" w:hAnsi="Times New Roman"/>
        </w:rPr>
        <w:t>表</w:t>
      </w:r>
      <w:r>
        <w:rPr>
          <w:rFonts w:ascii="Times New Roman" w:hAnsi="Times New Roman"/>
        </w:rPr>
        <w:t>10.1-1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8"/>
        <w:gridCol w:w="7271"/>
      </w:tblGrid>
      <w:tr w:rsidR="009C353B" w14:paraId="30D7AFC1" w14:textId="77777777">
        <w:trPr>
          <w:cantSplit/>
          <w:trHeight w:val="397"/>
          <w:jc w:val="center"/>
        </w:trPr>
        <w:tc>
          <w:tcPr>
            <w:tcW w:w="1708" w:type="dxa"/>
            <w:tcBorders>
              <w:bottom w:val="single" w:sz="4" w:space="0" w:color="auto"/>
            </w:tcBorders>
            <w:vAlign w:val="center"/>
          </w:tcPr>
          <w:p w14:paraId="1251E029" w14:textId="77777777" w:rsidR="009C353B" w:rsidRDefault="00000000">
            <w:pPr>
              <w:pStyle w:val="afffff7"/>
              <w:snapToGrid w:val="0"/>
              <w:spacing w:line="240" w:lineRule="atLeast"/>
              <w:jc w:val="center"/>
              <w:rPr>
                <w:rFonts w:ascii="Times New Roman" w:hAnsi="Times New Roman"/>
                <w:lang w:val="zh-CN"/>
              </w:rPr>
            </w:pPr>
            <w:r>
              <w:rPr>
                <w:rFonts w:ascii="Times New Roman" w:hAnsi="Times New Roman"/>
                <w:lang w:val="zh-CN"/>
              </w:rPr>
              <w:t>阶段</w:t>
            </w:r>
          </w:p>
        </w:tc>
        <w:tc>
          <w:tcPr>
            <w:tcW w:w="7271" w:type="dxa"/>
            <w:tcBorders>
              <w:bottom w:val="single" w:sz="4" w:space="0" w:color="auto"/>
            </w:tcBorders>
            <w:vAlign w:val="center"/>
          </w:tcPr>
          <w:p w14:paraId="6A1132D3" w14:textId="77777777" w:rsidR="009C353B" w:rsidRDefault="00000000">
            <w:pPr>
              <w:pStyle w:val="afffff7"/>
              <w:snapToGrid w:val="0"/>
              <w:spacing w:line="240" w:lineRule="atLeast"/>
              <w:jc w:val="center"/>
              <w:rPr>
                <w:rFonts w:ascii="Times New Roman" w:hAnsi="Times New Roman"/>
                <w:lang w:val="zh-CN"/>
              </w:rPr>
            </w:pPr>
            <w:r>
              <w:rPr>
                <w:rFonts w:ascii="Times New Roman" w:hAnsi="Times New Roman"/>
                <w:lang w:val="zh-CN"/>
              </w:rPr>
              <w:t>环境管理内容</w:t>
            </w:r>
          </w:p>
        </w:tc>
      </w:tr>
      <w:tr w:rsidR="009C353B" w14:paraId="5EF34BF3" w14:textId="77777777">
        <w:trPr>
          <w:cantSplit/>
          <w:trHeight w:val="397"/>
          <w:jc w:val="center"/>
        </w:trPr>
        <w:tc>
          <w:tcPr>
            <w:tcW w:w="1708" w:type="dxa"/>
            <w:tcBorders>
              <w:bottom w:val="single" w:sz="4" w:space="0" w:color="auto"/>
            </w:tcBorders>
            <w:vAlign w:val="center"/>
          </w:tcPr>
          <w:p w14:paraId="5D7E568E" w14:textId="77777777" w:rsidR="009C353B" w:rsidRDefault="00000000">
            <w:pPr>
              <w:pStyle w:val="afffff7"/>
              <w:snapToGrid w:val="0"/>
              <w:spacing w:line="240" w:lineRule="atLeast"/>
              <w:jc w:val="center"/>
              <w:rPr>
                <w:rFonts w:ascii="Times New Roman" w:hAnsi="Times New Roman"/>
                <w:lang w:val="zh-CN"/>
              </w:rPr>
            </w:pPr>
            <w:r>
              <w:rPr>
                <w:rFonts w:ascii="Times New Roman" w:hAnsi="Times New Roman"/>
                <w:lang w:val="zh-CN"/>
              </w:rPr>
              <w:t>建议书阶段</w:t>
            </w:r>
          </w:p>
        </w:tc>
        <w:tc>
          <w:tcPr>
            <w:tcW w:w="7271" w:type="dxa"/>
            <w:tcBorders>
              <w:bottom w:val="single" w:sz="4" w:space="0" w:color="auto"/>
            </w:tcBorders>
            <w:vAlign w:val="center"/>
          </w:tcPr>
          <w:p w14:paraId="52CB5E73"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根据拟建项目的性质、规模、厂址、环境现状等有关资料，对项目建成后可能造成的环境影响进行简要说明</w:t>
            </w:r>
          </w:p>
        </w:tc>
      </w:tr>
      <w:tr w:rsidR="009C353B" w14:paraId="11B721E4" w14:textId="77777777">
        <w:trPr>
          <w:cantSplit/>
          <w:trHeight w:val="397"/>
          <w:jc w:val="center"/>
        </w:trPr>
        <w:tc>
          <w:tcPr>
            <w:tcW w:w="1708" w:type="dxa"/>
            <w:vMerge w:val="restart"/>
            <w:vAlign w:val="center"/>
          </w:tcPr>
          <w:p w14:paraId="36B591E1" w14:textId="77777777" w:rsidR="009C353B" w:rsidRDefault="00000000">
            <w:pPr>
              <w:pStyle w:val="afffff7"/>
              <w:snapToGrid w:val="0"/>
              <w:spacing w:line="240" w:lineRule="atLeast"/>
              <w:jc w:val="center"/>
              <w:rPr>
                <w:rFonts w:ascii="Times New Roman" w:hAnsi="Times New Roman"/>
                <w:lang w:val="zh-CN"/>
              </w:rPr>
            </w:pPr>
            <w:r>
              <w:rPr>
                <w:rFonts w:ascii="Times New Roman" w:hAnsi="Times New Roman"/>
                <w:lang w:val="zh-CN"/>
              </w:rPr>
              <w:t>可研阶段</w:t>
            </w:r>
          </w:p>
        </w:tc>
        <w:tc>
          <w:tcPr>
            <w:tcW w:w="7271" w:type="dxa"/>
            <w:vAlign w:val="center"/>
          </w:tcPr>
          <w:p w14:paraId="6EAA2E17"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委托评价单位进行环境影响评价工作</w:t>
            </w:r>
          </w:p>
        </w:tc>
      </w:tr>
      <w:tr w:rsidR="009C353B" w14:paraId="1F52B021" w14:textId="77777777">
        <w:trPr>
          <w:cantSplit/>
          <w:trHeight w:val="397"/>
          <w:jc w:val="center"/>
        </w:trPr>
        <w:tc>
          <w:tcPr>
            <w:tcW w:w="1708" w:type="dxa"/>
            <w:vMerge/>
            <w:vAlign w:val="center"/>
          </w:tcPr>
          <w:p w14:paraId="399BF348" w14:textId="77777777" w:rsidR="009C353B" w:rsidRDefault="009C353B">
            <w:pPr>
              <w:pStyle w:val="afffff7"/>
              <w:snapToGrid w:val="0"/>
              <w:spacing w:line="240" w:lineRule="atLeast"/>
              <w:jc w:val="center"/>
              <w:rPr>
                <w:rFonts w:ascii="Times New Roman" w:hAnsi="Times New Roman"/>
                <w:lang w:val="zh-CN"/>
              </w:rPr>
            </w:pPr>
          </w:p>
        </w:tc>
        <w:tc>
          <w:tcPr>
            <w:tcW w:w="7271" w:type="dxa"/>
            <w:vAlign w:val="center"/>
          </w:tcPr>
          <w:p w14:paraId="2ED0E7A0"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进行环境现状监测</w:t>
            </w:r>
          </w:p>
        </w:tc>
      </w:tr>
      <w:tr w:rsidR="009C353B" w14:paraId="048AE648" w14:textId="77777777">
        <w:trPr>
          <w:cantSplit/>
          <w:trHeight w:val="397"/>
          <w:jc w:val="center"/>
        </w:trPr>
        <w:tc>
          <w:tcPr>
            <w:tcW w:w="1708" w:type="dxa"/>
            <w:vMerge w:val="restart"/>
            <w:vAlign w:val="center"/>
          </w:tcPr>
          <w:p w14:paraId="423BB502" w14:textId="77777777" w:rsidR="009C353B" w:rsidRDefault="00000000">
            <w:pPr>
              <w:pStyle w:val="afffff7"/>
              <w:snapToGrid w:val="0"/>
              <w:spacing w:line="240" w:lineRule="atLeast"/>
              <w:jc w:val="center"/>
              <w:rPr>
                <w:rFonts w:ascii="Times New Roman" w:hAnsi="Times New Roman"/>
                <w:lang w:val="zh-CN"/>
              </w:rPr>
            </w:pPr>
            <w:r>
              <w:rPr>
                <w:rFonts w:ascii="Times New Roman" w:hAnsi="Times New Roman"/>
                <w:lang w:val="zh-CN"/>
              </w:rPr>
              <w:t>施工阶段</w:t>
            </w:r>
          </w:p>
        </w:tc>
        <w:tc>
          <w:tcPr>
            <w:tcW w:w="7271" w:type="dxa"/>
            <w:vAlign w:val="center"/>
          </w:tcPr>
          <w:p w14:paraId="079BF176"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依法执行环保设施与主体工程</w:t>
            </w:r>
            <w:r>
              <w:rPr>
                <w:rFonts w:ascii="Times New Roman" w:hAnsi="Times New Roman"/>
                <w:lang w:val="zh-CN"/>
              </w:rPr>
              <w:t>“</w:t>
            </w:r>
            <w:r>
              <w:rPr>
                <w:rFonts w:ascii="Times New Roman" w:hAnsi="Times New Roman"/>
                <w:lang w:val="zh-CN"/>
              </w:rPr>
              <w:t>三同时</w:t>
            </w:r>
            <w:r>
              <w:rPr>
                <w:rFonts w:ascii="Times New Roman" w:hAnsi="Times New Roman"/>
                <w:lang w:val="zh-CN"/>
              </w:rPr>
              <w:t>”</w:t>
            </w:r>
            <w:r>
              <w:rPr>
                <w:rFonts w:ascii="Times New Roman" w:hAnsi="Times New Roman"/>
                <w:lang w:val="zh-CN"/>
              </w:rPr>
              <w:t>制度</w:t>
            </w:r>
          </w:p>
        </w:tc>
      </w:tr>
      <w:tr w:rsidR="009C353B" w14:paraId="4E56BFC9" w14:textId="77777777">
        <w:trPr>
          <w:cantSplit/>
          <w:trHeight w:val="397"/>
          <w:jc w:val="center"/>
        </w:trPr>
        <w:tc>
          <w:tcPr>
            <w:tcW w:w="1708" w:type="dxa"/>
            <w:vMerge/>
            <w:vAlign w:val="center"/>
          </w:tcPr>
          <w:p w14:paraId="5FB1044A" w14:textId="77777777" w:rsidR="009C353B" w:rsidRDefault="009C353B">
            <w:pPr>
              <w:pStyle w:val="afffff7"/>
              <w:snapToGrid w:val="0"/>
              <w:spacing w:line="240" w:lineRule="atLeast"/>
              <w:jc w:val="center"/>
              <w:rPr>
                <w:rFonts w:ascii="Times New Roman" w:hAnsi="Times New Roman"/>
                <w:lang w:val="zh-CN"/>
              </w:rPr>
            </w:pPr>
          </w:p>
        </w:tc>
        <w:tc>
          <w:tcPr>
            <w:tcW w:w="7271" w:type="dxa"/>
            <w:vAlign w:val="center"/>
          </w:tcPr>
          <w:p w14:paraId="24FE6433"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开展施工期环境监理，保护施工现场周围的环境，防止对自然环境造成不应有的破坏，防止和减轻粉尘、噪声、震动等对居民区的污染和危害，项目竣工后，施工单位应该修整和复原在建设过程中受到破坏的环境，此阶段应进行施工环境监测。</w:t>
            </w:r>
          </w:p>
        </w:tc>
      </w:tr>
      <w:tr w:rsidR="009C353B" w14:paraId="4BC51539" w14:textId="77777777">
        <w:trPr>
          <w:cantSplit/>
          <w:trHeight w:val="397"/>
          <w:jc w:val="center"/>
        </w:trPr>
        <w:tc>
          <w:tcPr>
            <w:tcW w:w="1708" w:type="dxa"/>
            <w:vMerge w:val="restart"/>
            <w:vAlign w:val="center"/>
          </w:tcPr>
          <w:p w14:paraId="710851E4" w14:textId="77777777" w:rsidR="009C353B" w:rsidRDefault="00000000">
            <w:pPr>
              <w:pStyle w:val="afffff7"/>
              <w:snapToGrid w:val="0"/>
              <w:spacing w:line="240" w:lineRule="atLeast"/>
              <w:jc w:val="center"/>
              <w:rPr>
                <w:rFonts w:ascii="Times New Roman" w:hAnsi="Times New Roman"/>
                <w:lang w:val="zh-CN"/>
              </w:rPr>
            </w:pPr>
            <w:r>
              <w:rPr>
                <w:rFonts w:ascii="Times New Roman" w:hAnsi="Times New Roman"/>
                <w:lang w:val="zh-CN"/>
              </w:rPr>
              <w:t>试生产阶段</w:t>
            </w:r>
          </w:p>
        </w:tc>
        <w:tc>
          <w:tcPr>
            <w:tcW w:w="7271" w:type="dxa"/>
            <w:vAlign w:val="center"/>
          </w:tcPr>
          <w:p w14:paraId="673A89CB"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完善准备、最大限度减少事故发生</w:t>
            </w:r>
          </w:p>
        </w:tc>
      </w:tr>
      <w:tr w:rsidR="009C353B" w14:paraId="57421D52" w14:textId="77777777">
        <w:trPr>
          <w:cantSplit/>
          <w:trHeight w:val="397"/>
          <w:jc w:val="center"/>
        </w:trPr>
        <w:tc>
          <w:tcPr>
            <w:tcW w:w="1708" w:type="dxa"/>
            <w:vMerge/>
            <w:vAlign w:val="center"/>
          </w:tcPr>
          <w:p w14:paraId="62CC1BCC" w14:textId="77777777" w:rsidR="009C353B" w:rsidRDefault="009C353B">
            <w:pPr>
              <w:pStyle w:val="afffff7"/>
              <w:snapToGrid w:val="0"/>
              <w:spacing w:line="240" w:lineRule="atLeast"/>
              <w:jc w:val="center"/>
              <w:rPr>
                <w:rFonts w:ascii="Times New Roman" w:hAnsi="Times New Roman"/>
                <w:lang w:val="zh-CN"/>
              </w:rPr>
            </w:pPr>
          </w:p>
        </w:tc>
        <w:tc>
          <w:tcPr>
            <w:tcW w:w="7271" w:type="dxa"/>
            <w:vAlign w:val="center"/>
          </w:tcPr>
          <w:p w14:paraId="4B53571F"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进行多方技术论证，完善工艺方案；严格施工设计监理，保证工程质量；建立生产工序管理和生产运转卡；向环保部门提交竣工验收报告。</w:t>
            </w:r>
          </w:p>
        </w:tc>
      </w:tr>
      <w:tr w:rsidR="009C353B" w14:paraId="781B86D3" w14:textId="77777777">
        <w:trPr>
          <w:cantSplit/>
          <w:trHeight w:val="397"/>
          <w:jc w:val="center"/>
        </w:trPr>
        <w:tc>
          <w:tcPr>
            <w:tcW w:w="1708" w:type="dxa"/>
            <w:vMerge w:val="restart"/>
            <w:vAlign w:val="center"/>
          </w:tcPr>
          <w:p w14:paraId="1E6BC38F" w14:textId="77777777" w:rsidR="009C353B" w:rsidRDefault="00000000">
            <w:pPr>
              <w:pStyle w:val="afffff7"/>
              <w:snapToGrid w:val="0"/>
              <w:spacing w:line="240" w:lineRule="atLeast"/>
              <w:jc w:val="center"/>
              <w:rPr>
                <w:rFonts w:ascii="Times New Roman" w:hAnsi="Times New Roman"/>
                <w:lang w:val="zh-CN"/>
              </w:rPr>
            </w:pPr>
            <w:r>
              <w:rPr>
                <w:rFonts w:ascii="Times New Roman" w:hAnsi="Times New Roman"/>
                <w:lang w:val="zh-CN"/>
              </w:rPr>
              <w:t>规模生产阶段</w:t>
            </w:r>
          </w:p>
        </w:tc>
        <w:tc>
          <w:tcPr>
            <w:tcW w:w="7271" w:type="dxa"/>
            <w:vAlign w:val="center"/>
          </w:tcPr>
          <w:p w14:paraId="273A0697"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加强环保设备运行检查，力求达产达标，严禁超标排污。</w:t>
            </w:r>
          </w:p>
        </w:tc>
      </w:tr>
      <w:tr w:rsidR="009C353B" w14:paraId="6BE0587C" w14:textId="77777777">
        <w:trPr>
          <w:cantSplit/>
          <w:trHeight w:val="397"/>
          <w:jc w:val="center"/>
        </w:trPr>
        <w:tc>
          <w:tcPr>
            <w:tcW w:w="1708" w:type="dxa"/>
            <w:vMerge/>
            <w:vAlign w:val="center"/>
          </w:tcPr>
          <w:p w14:paraId="531040CA" w14:textId="77777777" w:rsidR="009C353B" w:rsidRDefault="009C353B">
            <w:pPr>
              <w:pStyle w:val="afffff7"/>
              <w:snapToGrid w:val="0"/>
              <w:spacing w:line="240" w:lineRule="atLeast"/>
              <w:jc w:val="center"/>
              <w:rPr>
                <w:rFonts w:ascii="Times New Roman" w:hAnsi="Times New Roman"/>
                <w:lang w:val="zh-CN"/>
              </w:rPr>
            </w:pPr>
          </w:p>
        </w:tc>
        <w:tc>
          <w:tcPr>
            <w:tcW w:w="7271" w:type="dxa"/>
            <w:vAlign w:val="center"/>
          </w:tcPr>
          <w:p w14:paraId="31927434"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监督检查环保措施的执行</w:t>
            </w:r>
          </w:p>
          <w:p w14:paraId="5A80BB2B"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监督检查环保设施的运行情况</w:t>
            </w:r>
          </w:p>
          <w:p w14:paraId="17993704"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监督检查污染物的监测工作</w:t>
            </w:r>
          </w:p>
        </w:tc>
      </w:tr>
      <w:tr w:rsidR="009C353B" w14:paraId="73CEAFEE" w14:textId="77777777">
        <w:trPr>
          <w:cantSplit/>
          <w:trHeight w:val="397"/>
          <w:jc w:val="center"/>
        </w:trPr>
        <w:tc>
          <w:tcPr>
            <w:tcW w:w="1708" w:type="dxa"/>
            <w:vMerge w:val="restart"/>
            <w:vAlign w:val="center"/>
          </w:tcPr>
          <w:p w14:paraId="18AF8A8E" w14:textId="77777777" w:rsidR="009C353B" w:rsidRDefault="00000000">
            <w:pPr>
              <w:pStyle w:val="afffff7"/>
              <w:snapToGrid w:val="0"/>
              <w:spacing w:line="240" w:lineRule="atLeast"/>
              <w:jc w:val="center"/>
              <w:rPr>
                <w:rFonts w:ascii="Times New Roman" w:hAnsi="Times New Roman"/>
                <w:lang w:val="zh-CN"/>
              </w:rPr>
            </w:pPr>
            <w:r>
              <w:rPr>
                <w:rFonts w:ascii="Times New Roman" w:hAnsi="Times New Roman"/>
                <w:lang w:val="zh-CN"/>
              </w:rPr>
              <w:t>信息反馈和群众监督</w:t>
            </w:r>
          </w:p>
        </w:tc>
        <w:tc>
          <w:tcPr>
            <w:tcW w:w="7271" w:type="dxa"/>
            <w:vAlign w:val="center"/>
          </w:tcPr>
          <w:p w14:paraId="216326A8"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反馈监督数据，加强群众监督，改进污染治理工作</w:t>
            </w:r>
          </w:p>
        </w:tc>
      </w:tr>
      <w:tr w:rsidR="009C353B" w14:paraId="3D5F07DD" w14:textId="77777777">
        <w:trPr>
          <w:cantSplit/>
          <w:trHeight w:val="397"/>
          <w:jc w:val="center"/>
        </w:trPr>
        <w:tc>
          <w:tcPr>
            <w:tcW w:w="1708" w:type="dxa"/>
            <w:vMerge/>
            <w:vAlign w:val="center"/>
          </w:tcPr>
          <w:p w14:paraId="5B402071" w14:textId="77777777" w:rsidR="009C353B" w:rsidRDefault="009C353B">
            <w:pPr>
              <w:pStyle w:val="afffff7"/>
              <w:snapToGrid w:val="0"/>
              <w:spacing w:line="240" w:lineRule="atLeast"/>
              <w:jc w:val="center"/>
              <w:rPr>
                <w:rFonts w:ascii="Times New Roman" w:hAnsi="Times New Roman"/>
                <w:lang w:val="zh-CN"/>
              </w:rPr>
            </w:pPr>
          </w:p>
        </w:tc>
        <w:tc>
          <w:tcPr>
            <w:tcW w:w="7271" w:type="dxa"/>
            <w:vAlign w:val="center"/>
          </w:tcPr>
          <w:p w14:paraId="462966F1"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建立奖惩制度确保环保设施正常运转；整理监测数据，技术人员据此研究并改进工艺的先进性；收集附近村民意见并选代表作为监督员</w:t>
            </w:r>
          </w:p>
        </w:tc>
      </w:tr>
      <w:tr w:rsidR="009C353B" w14:paraId="5380CD3F" w14:textId="77777777">
        <w:trPr>
          <w:cantSplit/>
          <w:trHeight w:val="397"/>
          <w:jc w:val="center"/>
        </w:trPr>
        <w:tc>
          <w:tcPr>
            <w:tcW w:w="1708" w:type="dxa"/>
            <w:vAlign w:val="center"/>
          </w:tcPr>
          <w:p w14:paraId="01BD7ABD" w14:textId="77777777" w:rsidR="009C353B" w:rsidRDefault="00000000">
            <w:pPr>
              <w:pStyle w:val="afffff7"/>
              <w:snapToGrid w:val="0"/>
              <w:spacing w:line="240" w:lineRule="atLeast"/>
              <w:jc w:val="center"/>
              <w:rPr>
                <w:rFonts w:ascii="Times New Roman" w:hAnsi="Times New Roman"/>
                <w:lang w:val="zh-CN"/>
              </w:rPr>
            </w:pPr>
            <w:r>
              <w:rPr>
                <w:rFonts w:ascii="Times New Roman" w:hAnsi="Times New Roman"/>
                <w:lang w:val="zh-CN"/>
              </w:rPr>
              <w:t>闭矿生态恢复期</w:t>
            </w:r>
          </w:p>
        </w:tc>
        <w:tc>
          <w:tcPr>
            <w:tcW w:w="7271" w:type="dxa"/>
            <w:vAlign w:val="center"/>
          </w:tcPr>
          <w:p w14:paraId="5D1A42C8" w14:textId="77777777" w:rsidR="009C353B" w:rsidRDefault="00000000">
            <w:pPr>
              <w:pStyle w:val="afffff7"/>
              <w:snapToGrid w:val="0"/>
              <w:spacing w:line="240" w:lineRule="atLeast"/>
              <w:rPr>
                <w:rFonts w:ascii="Times New Roman" w:hAnsi="Times New Roman"/>
                <w:lang w:val="zh-CN"/>
              </w:rPr>
            </w:pPr>
            <w:r>
              <w:rPr>
                <w:rFonts w:ascii="Times New Roman" w:hAnsi="Times New Roman"/>
                <w:lang w:val="zh-CN"/>
              </w:rPr>
              <w:t>监督检查闭矿期沉陷区、固体废弃物堆场生态恢复等环保措施的执行</w:t>
            </w:r>
          </w:p>
        </w:tc>
      </w:tr>
    </w:tbl>
    <w:p w14:paraId="0F4ECB86" w14:textId="77777777" w:rsidR="009C353B" w:rsidRDefault="00000000">
      <w:pPr>
        <w:pStyle w:val="2"/>
        <w:adjustRightInd w:val="0"/>
        <w:snapToGrid w:val="0"/>
        <w:spacing w:line="440" w:lineRule="exact"/>
        <w:jc w:val="left"/>
        <w:rPr>
          <w:rFonts w:ascii="Times New Roman" w:eastAsia="宋体" w:hAnsi="Times New Roman"/>
          <w:b/>
          <w:sz w:val="28"/>
        </w:rPr>
      </w:pPr>
      <w:bookmarkStart w:id="384" w:name="_Toc125193031"/>
      <w:bookmarkStart w:id="385" w:name="_Toc163441051"/>
      <w:bookmarkStart w:id="386" w:name="_Toc59189879"/>
      <w:r>
        <w:rPr>
          <w:rFonts w:ascii="Times New Roman" w:eastAsia="宋体" w:hAnsi="Times New Roman"/>
          <w:b/>
          <w:sz w:val="28"/>
        </w:rPr>
        <w:t xml:space="preserve">10.2 </w:t>
      </w:r>
      <w:r>
        <w:rPr>
          <w:rFonts w:ascii="Times New Roman" w:eastAsia="宋体" w:hAnsi="Times New Roman"/>
          <w:b/>
          <w:sz w:val="28"/>
        </w:rPr>
        <w:t>环境监测</w:t>
      </w:r>
      <w:bookmarkEnd w:id="384"/>
      <w:r>
        <w:rPr>
          <w:rFonts w:ascii="Times New Roman" w:eastAsia="宋体" w:hAnsi="Times New Roman"/>
          <w:b/>
          <w:sz w:val="28"/>
        </w:rPr>
        <w:t>计划</w:t>
      </w:r>
      <w:bookmarkEnd w:id="385"/>
      <w:bookmarkEnd w:id="386"/>
    </w:p>
    <w:p w14:paraId="5CE27ACA" w14:textId="77777777" w:rsidR="009C353B" w:rsidRDefault="00000000">
      <w:pPr>
        <w:pStyle w:val="3"/>
        <w:adjustRightInd w:val="0"/>
        <w:spacing w:before="0" w:after="0" w:line="440" w:lineRule="exact"/>
        <w:rPr>
          <w:rFonts w:ascii="Times New Roman" w:hAnsi="Times New Roman"/>
          <w:sz w:val="24"/>
        </w:rPr>
      </w:pPr>
      <w:bookmarkStart w:id="387" w:name="_Toc125193032"/>
      <w:r>
        <w:rPr>
          <w:rFonts w:ascii="Times New Roman" w:hAnsi="Times New Roman"/>
          <w:sz w:val="24"/>
        </w:rPr>
        <w:t xml:space="preserve">10.2.1 </w:t>
      </w:r>
      <w:r>
        <w:rPr>
          <w:rFonts w:ascii="Times New Roman" w:hAnsi="Times New Roman"/>
          <w:sz w:val="24"/>
        </w:rPr>
        <w:t>监测</w:t>
      </w:r>
      <w:bookmarkEnd w:id="387"/>
      <w:r>
        <w:rPr>
          <w:rFonts w:ascii="Times New Roman" w:hAnsi="Times New Roman"/>
          <w:sz w:val="24"/>
        </w:rPr>
        <w:t>目的</w:t>
      </w:r>
    </w:p>
    <w:p w14:paraId="778D908A" w14:textId="77777777" w:rsidR="009C353B" w:rsidRDefault="00000000">
      <w:pPr>
        <w:adjustRightInd w:val="0"/>
        <w:spacing w:line="440" w:lineRule="exact"/>
        <w:ind w:firstLineChars="200" w:firstLine="480"/>
        <w:rPr>
          <w:rFonts w:ascii="Times New Roman" w:hAnsi="Times New Roman"/>
        </w:rPr>
      </w:pPr>
      <w:r>
        <w:rPr>
          <w:rFonts w:ascii="Times New Roman" w:hAnsi="Times New Roman"/>
        </w:rPr>
        <w:t>环境监测是环境管理的依据，通过环境监测，可以了解矿区</w:t>
      </w:r>
      <w:r>
        <w:rPr>
          <w:rFonts w:ascii="Times New Roman" w:hAnsi="Times New Roman" w:hint="eastAsia"/>
        </w:rPr>
        <w:t>各</w:t>
      </w:r>
      <w:r>
        <w:rPr>
          <w:rFonts w:ascii="Times New Roman" w:hAnsi="Times New Roman"/>
        </w:rPr>
        <w:t>矿井的环境现状，监控区域环境质量的变化，保证矿区及周围地区经济、环境建设目标的实现和环境保护工作的顺利进行，为矿区的环境管理决策提供科学依据。</w:t>
      </w:r>
    </w:p>
    <w:p w14:paraId="0CEEF353" w14:textId="77777777" w:rsidR="009C353B" w:rsidRDefault="00000000">
      <w:pPr>
        <w:pStyle w:val="3"/>
        <w:adjustRightInd w:val="0"/>
        <w:spacing w:before="0" w:after="0" w:line="440" w:lineRule="exact"/>
        <w:rPr>
          <w:rFonts w:ascii="Times New Roman" w:hAnsi="Times New Roman"/>
          <w:sz w:val="24"/>
        </w:rPr>
      </w:pPr>
      <w:bookmarkStart w:id="388" w:name="_Toc125193033"/>
      <w:r>
        <w:rPr>
          <w:rFonts w:ascii="Times New Roman" w:hAnsi="Times New Roman"/>
          <w:sz w:val="24"/>
        </w:rPr>
        <w:t xml:space="preserve">10.2.2 </w:t>
      </w:r>
      <w:r>
        <w:rPr>
          <w:rFonts w:ascii="Times New Roman" w:hAnsi="Times New Roman"/>
          <w:sz w:val="24"/>
        </w:rPr>
        <w:t>监测</w:t>
      </w:r>
      <w:bookmarkEnd w:id="388"/>
      <w:r>
        <w:rPr>
          <w:rFonts w:ascii="Times New Roman" w:hAnsi="Times New Roman"/>
          <w:sz w:val="24"/>
        </w:rPr>
        <w:t>机构</w:t>
      </w:r>
    </w:p>
    <w:p w14:paraId="45F96DED" w14:textId="77777777" w:rsidR="009C353B" w:rsidRDefault="00000000">
      <w:pPr>
        <w:adjustRightInd w:val="0"/>
        <w:spacing w:line="440" w:lineRule="exact"/>
        <w:ind w:firstLine="482"/>
        <w:rPr>
          <w:rFonts w:ascii="Times New Roman" w:hAnsi="Times New Roman"/>
        </w:rPr>
      </w:pPr>
      <w:r>
        <w:rPr>
          <w:rFonts w:ascii="Times New Roman" w:hAnsi="Times New Roman" w:hint="eastAsia"/>
        </w:rPr>
        <w:t>建议矿区建立完善、健全的环境监测机构和监测设备，加强环境监测能力建设，确保环境监测工作的顺利进行。也可委托当地环境监测站代为监测。</w:t>
      </w:r>
    </w:p>
    <w:p w14:paraId="0CFAEE79" w14:textId="77777777" w:rsidR="009C353B" w:rsidRDefault="00000000">
      <w:pPr>
        <w:pStyle w:val="3"/>
        <w:adjustRightInd w:val="0"/>
        <w:spacing w:before="0" w:after="0" w:line="440" w:lineRule="exact"/>
        <w:rPr>
          <w:rFonts w:ascii="Times New Roman" w:hAnsi="Times New Roman"/>
          <w:sz w:val="24"/>
        </w:rPr>
      </w:pPr>
      <w:bookmarkStart w:id="389" w:name="_Toc125193034"/>
      <w:r>
        <w:rPr>
          <w:rFonts w:ascii="Times New Roman" w:hAnsi="Times New Roman"/>
          <w:sz w:val="24"/>
        </w:rPr>
        <w:t xml:space="preserve">10.2.3 </w:t>
      </w:r>
      <w:r>
        <w:rPr>
          <w:rFonts w:ascii="Times New Roman" w:hAnsi="Times New Roman"/>
          <w:sz w:val="24"/>
        </w:rPr>
        <w:t>监测内容</w:t>
      </w:r>
      <w:bookmarkEnd w:id="389"/>
    </w:p>
    <w:p w14:paraId="119B557A" w14:textId="77777777" w:rsidR="009C353B" w:rsidRDefault="00000000">
      <w:pPr>
        <w:adjustRightInd w:val="0"/>
        <w:spacing w:line="440" w:lineRule="exact"/>
        <w:ind w:firstLine="482"/>
        <w:rPr>
          <w:rFonts w:ascii="Times New Roman" w:hAnsi="Times New Roman"/>
        </w:rPr>
      </w:pPr>
      <w:r>
        <w:rPr>
          <w:rFonts w:ascii="Times New Roman" w:hAnsi="Times New Roman"/>
        </w:rPr>
        <w:t>监测的主要内容和对象包括矿区内项目所涉及的环境问题，即环境空气、水、噪声、土壤、植被等。监测项目、监测时间频率</w:t>
      </w:r>
      <w:r>
        <w:rPr>
          <w:rFonts w:ascii="Times New Roman" w:hAnsi="Times New Roman" w:hint="eastAsia"/>
        </w:rPr>
        <w:t>及监测点位</w:t>
      </w:r>
      <w:r>
        <w:rPr>
          <w:rFonts w:ascii="Times New Roman" w:hAnsi="Times New Roman"/>
        </w:rPr>
        <w:t>设置见表</w:t>
      </w:r>
      <w:r>
        <w:rPr>
          <w:rFonts w:ascii="Times New Roman" w:hAnsi="Times New Roman"/>
        </w:rPr>
        <w:t>10.2-1</w:t>
      </w:r>
      <w:r>
        <w:rPr>
          <w:rFonts w:ascii="Times New Roman" w:hAnsi="Times New Roman"/>
        </w:rPr>
        <w:t>。</w:t>
      </w:r>
    </w:p>
    <w:p w14:paraId="0F2AE1AB" w14:textId="77777777" w:rsidR="009C353B" w:rsidRDefault="00000000">
      <w:pPr>
        <w:adjustRightInd w:val="0"/>
        <w:spacing w:line="440" w:lineRule="exact"/>
        <w:jc w:val="center"/>
        <w:rPr>
          <w:rFonts w:ascii="Times New Roman" w:hAnsi="Times New Roman"/>
          <w:b/>
        </w:rPr>
      </w:pPr>
      <w:r>
        <w:rPr>
          <w:rFonts w:ascii="Times New Roman" w:hAnsi="Times New Roman"/>
          <w:b/>
        </w:rPr>
        <w:t>监测</w:t>
      </w:r>
      <w:r>
        <w:rPr>
          <w:rFonts w:ascii="Times New Roman" w:hAnsi="Times New Roman" w:hint="eastAsia"/>
          <w:b/>
        </w:rPr>
        <w:t>点位及监测</w:t>
      </w:r>
      <w:r>
        <w:rPr>
          <w:rFonts w:ascii="Times New Roman" w:hAnsi="Times New Roman"/>
          <w:b/>
        </w:rPr>
        <w:t>内容一览表</w:t>
      </w:r>
    </w:p>
    <w:p w14:paraId="7B20275F" w14:textId="77777777" w:rsidR="009C353B" w:rsidRDefault="00000000">
      <w:pPr>
        <w:pStyle w:val="affffd"/>
        <w:snapToGrid/>
        <w:spacing w:line="440" w:lineRule="exact"/>
        <w:rPr>
          <w:rFonts w:ascii="Times New Roman" w:hAnsi="Times New Roman"/>
        </w:rPr>
      </w:pPr>
      <w:r>
        <w:rPr>
          <w:rFonts w:ascii="Times New Roman" w:hAnsi="Times New Roman"/>
        </w:rPr>
        <w:t>表</w:t>
      </w:r>
      <w:r>
        <w:rPr>
          <w:rFonts w:ascii="Times New Roman" w:hAnsi="Times New Roman"/>
        </w:rPr>
        <w:t>10.2-1</w:t>
      </w:r>
    </w:p>
    <w:tbl>
      <w:tblPr>
        <w:tblW w:w="91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5"/>
        <w:gridCol w:w="573"/>
        <w:gridCol w:w="2835"/>
        <w:gridCol w:w="1155"/>
        <w:gridCol w:w="2310"/>
        <w:gridCol w:w="1660"/>
      </w:tblGrid>
      <w:tr w:rsidR="009C353B" w14:paraId="028D1112" w14:textId="77777777">
        <w:trPr>
          <w:trHeight w:val="613"/>
          <w:jc w:val="center"/>
        </w:trPr>
        <w:tc>
          <w:tcPr>
            <w:tcW w:w="1158" w:type="dxa"/>
            <w:gridSpan w:val="2"/>
            <w:vAlign w:val="center"/>
          </w:tcPr>
          <w:p w14:paraId="1B9367F1" w14:textId="77777777" w:rsidR="009C353B" w:rsidRDefault="00000000">
            <w:pPr>
              <w:snapToGrid w:val="0"/>
              <w:spacing w:line="240" w:lineRule="atLeast"/>
              <w:jc w:val="center"/>
              <w:rPr>
                <w:rFonts w:ascii="Times New Roman" w:hAnsi="Times New Roman"/>
                <w:sz w:val="21"/>
                <w:szCs w:val="21"/>
              </w:rPr>
            </w:pPr>
            <w:r>
              <w:rPr>
                <w:rFonts w:ascii="Times New Roman" w:hAnsi="Times New Roman"/>
                <w:sz w:val="21"/>
                <w:szCs w:val="21"/>
              </w:rPr>
              <w:t>监测要素</w:t>
            </w:r>
          </w:p>
        </w:tc>
        <w:tc>
          <w:tcPr>
            <w:tcW w:w="2835" w:type="dxa"/>
            <w:vAlign w:val="center"/>
          </w:tcPr>
          <w:p w14:paraId="010748EB" w14:textId="77777777" w:rsidR="009C353B" w:rsidRDefault="00000000">
            <w:pPr>
              <w:snapToGrid w:val="0"/>
              <w:spacing w:line="240" w:lineRule="atLeast"/>
              <w:jc w:val="center"/>
              <w:rPr>
                <w:rFonts w:ascii="Times New Roman" w:hAnsi="Times New Roman"/>
                <w:sz w:val="21"/>
                <w:szCs w:val="21"/>
              </w:rPr>
            </w:pPr>
            <w:r>
              <w:rPr>
                <w:rFonts w:ascii="Times New Roman" w:hAnsi="Times New Roman"/>
                <w:sz w:val="21"/>
                <w:szCs w:val="21"/>
              </w:rPr>
              <w:t>监测项目</w:t>
            </w:r>
          </w:p>
        </w:tc>
        <w:tc>
          <w:tcPr>
            <w:tcW w:w="1155" w:type="dxa"/>
            <w:vAlign w:val="center"/>
          </w:tcPr>
          <w:p w14:paraId="0F8513F9" w14:textId="77777777" w:rsidR="009C353B" w:rsidRDefault="00000000">
            <w:pPr>
              <w:snapToGrid w:val="0"/>
              <w:spacing w:line="240" w:lineRule="atLeast"/>
              <w:jc w:val="center"/>
              <w:rPr>
                <w:rFonts w:ascii="Times New Roman" w:hAnsi="Times New Roman"/>
                <w:sz w:val="21"/>
                <w:szCs w:val="21"/>
              </w:rPr>
            </w:pPr>
            <w:r>
              <w:rPr>
                <w:rFonts w:ascii="Times New Roman" w:hAnsi="Times New Roman"/>
                <w:sz w:val="21"/>
                <w:szCs w:val="21"/>
              </w:rPr>
              <w:t>监测时间</w:t>
            </w:r>
            <w:r>
              <w:rPr>
                <w:rFonts w:ascii="Times New Roman" w:hAnsi="Times New Roman"/>
                <w:sz w:val="21"/>
                <w:szCs w:val="21"/>
              </w:rPr>
              <w:t>/</w:t>
            </w:r>
            <w:r>
              <w:rPr>
                <w:rFonts w:ascii="Times New Roman" w:hAnsi="Times New Roman"/>
                <w:sz w:val="21"/>
                <w:szCs w:val="21"/>
              </w:rPr>
              <w:t>频率</w:t>
            </w:r>
          </w:p>
        </w:tc>
        <w:tc>
          <w:tcPr>
            <w:tcW w:w="2310" w:type="dxa"/>
            <w:vAlign w:val="center"/>
          </w:tcPr>
          <w:p w14:paraId="7F5BFE90" w14:textId="77777777" w:rsidR="009C353B" w:rsidRDefault="00000000">
            <w:pPr>
              <w:snapToGrid w:val="0"/>
              <w:spacing w:line="240" w:lineRule="atLeast"/>
              <w:jc w:val="center"/>
              <w:rPr>
                <w:rFonts w:ascii="Times New Roman" w:hAnsi="Times New Roman"/>
                <w:sz w:val="21"/>
                <w:szCs w:val="21"/>
              </w:rPr>
            </w:pPr>
            <w:r>
              <w:rPr>
                <w:rFonts w:ascii="Times New Roman" w:hAnsi="Times New Roman" w:hint="eastAsia"/>
                <w:sz w:val="21"/>
                <w:szCs w:val="21"/>
              </w:rPr>
              <w:t>监测布点</w:t>
            </w:r>
          </w:p>
        </w:tc>
        <w:tc>
          <w:tcPr>
            <w:tcW w:w="1660" w:type="dxa"/>
            <w:vAlign w:val="center"/>
          </w:tcPr>
          <w:p w14:paraId="0741CE1E" w14:textId="77777777" w:rsidR="009C353B" w:rsidRDefault="00000000">
            <w:pPr>
              <w:snapToGrid w:val="0"/>
              <w:spacing w:line="240" w:lineRule="atLeast"/>
              <w:jc w:val="center"/>
              <w:rPr>
                <w:rFonts w:ascii="Times New Roman" w:hAnsi="Times New Roman"/>
                <w:sz w:val="21"/>
                <w:szCs w:val="21"/>
              </w:rPr>
            </w:pPr>
            <w:r>
              <w:rPr>
                <w:rFonts w:ascii="Times New Roman" w:hAnsi="Times New Roman"/>
                <w:sz w:val="21"/>
                <w:szCs w:val="21"/>
              </w:rPr>
              <w:t>监测方法</w:t>
            </w:r>
          </w:p>
        </w:tc>
      </w:tr>
      <w:tr w:rsidR="009C353B" w14:paraId="1637D988" w14:textId="77777777">
        <w:trPr>
          <w:trHeight w:val="764"/>
          <w:jc w:val="center"/>
        </w:trPr>
        <w:tc>
          <w:tcPr>
            <w:tcW w:w="1158" w:type="dxa"/>
            <w:gridSpan w:val="2"/>
            <w:vAlign w:val="center"/>
          </w:tcPr>
          <w:p w14:paraId="78D48D8B" w14:textId="77777777" w:rsidR="009C353B" w:rsidRDefault="00000000">
            <w:pPr>
              <w:snapToGrid w:val="0"/>
              <w:spacing w:line="240" w:lineRule="atLeast"/>
              <w:jc w:val="center"/>
              <w:rPr>
                <w:rFonts w:ascii="Times New Roman" w:hAnsi="Times New Roman"/>
                <w:sz w:val="21"/>
                <w:szCs w:val="21"/>
              </w:rPr>
            </w:pPr>
            <w:r>
              <w:rPr>
                <w:rFonts w:ascii="Times New Roman" w:hAnsi="Times New Roman"/>
                <w:sz w:val="21"/>
                <w:szCs w:val="21"/>
              </w:rPr>
              <w:t>空气</w:t>
            </w:r>
          </w:p>
        </w:tc>
        <w:tc>
          <w:tcPr>
            <w:tcW w:w="2835" w:type="dxa"/>
            <w:vAlign w:val="center"/>
          </w:tcPr>
          <w:p w14:paraId="0D46FB92" w14:textId="77777777" w:rsidR="009C353B" w:rsidRDefault="00000000">
            <w:pPr>
              <w:snapToGrid w:val="0"/>
              <w:spacing w:line="240" w:lineRule="atLeast"/>
              <w:rPr>
                <w:rFonts w:ascii="Times New Roman" w:hAnsi="Times New Roman"/>
                <w:sz w:val="21"/>
                <w:szCs w:val="21"/>
              </w:rPr>
            </w:pPr>
            <w:r>
              <w:rPr>
                <w:rFonts w:ascii="Times New Roman" w:hAnsi="Times New Roman"/>
                <w:sz w:val="21"/>
                <w:szCs w:val="21"/>
              </w:rPr>
              <w:t>TSP</w:t>
            </w:r>
            <w:r>
              <w:rPr>
                <w:rFonts w:ascii="Times New Roman" w:hAnsi="Times New Roman"/>
                <w:sz w:val="21"/>
                <w:szCs w:val="21"/>
              </w:rPr>
              <w:t>、</w:t>
            </w:r>
            <w:r>
              <w:rPr>
                <w:rFonts w:ascii="Times New Roman" w:hAnsi="Times New Roman"/>
                <w:sz w:val="21"/>
                <w:szCs w:val="21"/>
              </w:rPr>
              <w:t>PM</w:t>
            </w:r>
            <w:r>
              <w:rPr>
                <w:rFonts w:ascii="Times New Roman" w:hAnsi="Times New Roman"/>
                <w:sz w:val="21"/>
                <w:szCs w:val="21"/>
                <w:vertAlign w:val="subscript"/>
              </w:rPr>
              <w:t>10</w:t>
            </w:r>
            <w:r>
              <w:rPr>
                <w:rFonts w:ascii="Times New Roman" w:hAnsi="Times New Roman"/>
                <w:sz w:val="21"/>
                <w:szCs w:val="21"/>
              </w:rPr>
              <w:t>、</w:t>
            </w:r>
            <w:r>
              <w:rPr>
                <w:rFonts w:ascii="Times New Roman" w:hAnsi="Times New Roman"/>
                <w:sz w:val="21"/>
                <w:szCs w:val="21"/>
              </w:rPr>
              <w:t>SO</w:t>
            </w:r>
            <w:r>
              <w:rPr>
                <w:rFonts w:ascii="Times New Roman" w:hAnsi="Times New Roman"/>
                <w:sz w:val="21"/>
                <w:szCs w:val="21"/>
                <w:vertAlign w:val="subscript"/>
              </w:rPr>
              <w:t>2</w:t>
            </w:r>
            <w:r>
              <w:rPr>
                <w:rFonts w:ascii="Times New Roman" w:hAnsi="Times New Roman"/>
                <w:sz w:val="21"/>
                <w:szCs w:val="21"/>
              </w:rPr>
              <w:t>、</w:t>
            </w:r>
            <w:r>
              <w:rPr>
                <w:rFonts w:ascii="Times New Roman" w:hAnsi="Times New Roman"/>
                <w:sz w:val="21"/>
                <w:szCs w:val="21"/>
              </w:rPr>
              <w:t>NO</w:t>
            </w:r>
            <w:r>
              <w:rPr>
                <w:rFonts w:ascii="Times New Roman" w:hAnsi="Times New Roman"/>
                <w:sz w:val="21"/>
                <w:szCs w:val="21"/>
                <w:vertAlign w:val="subscript"/>
              </w:rPr>
              <w:t>2</w:t>
            </w:r>
          </w:p>
        </w:tc>
        <w:tc>
          <w:tcPr>
            <w:tcW w:w="1155" w:type="dxa"/>
            <w:vAlign w:val="center"/>
          </w:tcPr>
          <w:p w14:paraId="772DD3FF" w14:textId="77777777" w:rsidR="009C353B" w:rsidRDefault="00000000">
            <w:pPr>
              <w:snapToGrid w:val="0"/>
              <w:spacing w:line="240" w:lineRule="atLeast"/>
              <w:jc w:val="center"/>
              <w:rPr>
                <w:rFonts w:ascii="Times New Roman" w:hAnsi="Times New Roman"/>
                <w:sz w:val="21"/>
                <w:szCs w:val="21"/>
              </w:rPr>
            </w:pPr>
            <w:r>
              <w:rPr>
                <w:rFonts w:ascii="Times New Roman" w:hAnsi="Times New Roman"/>
                <w:sz w:val="21"/>
                <w:szCs w:val="21"/>
              </w:rPr>
              <w:t>4</w:t>
            </w:r>
            <w:r>
              <w:rPr>
                <w:rFonts w:ascii="Times New Roman" w:hAnsi="Times New Roman"/>
                <w:sz w:val="21"/>
                <w:szCs w:val="21"/>
              </w:rPr>
              <w:t>次</w:t>
            </w:r>
            <w:r>
              <w:rPr>
                <w:rFonts w:ascii="Times New Roman" w:hAnsi="Times New Roman"/>
                <w:sz w:val="21"/>
                <w:szCs w:val="21"/>
              </w:rPr>
              <w:t>/</w:t>
            </w:r>
            <w:r>
              <w:rPr>
                <w:rFonts w:ascii="Times New Roman" w:hAnsi="Times New Roman"/>
                <w:sz w:val="21"/>
                <w:szCs w:val="21"/>
              </w:rPr>
              <w:t>年</w:t>
            </w:r>
          </w:p>
        </w:tc>
        <w:tc>
          <w:tcPr>
            <w:tcW w:w="2310" w:type="dxa"/>
            <w:vAlign w:val="center"/>
          </w:tcPr>
          <w:p w14:paraId="342AD42D" w14:textId="77777777" w:rsidR="009C353B" w:rsidRDefault="00000000">
            <w:pPr>
              <w:snapToGrid w:val="0"/>
              <w:spacing w:line="240" w:lineRule="atLeast"/>
              <w:rPr>
                <w:rFonts w:ascii="Times New Roman" w:hAnsi="Times New Roman"/>
                <w:sz w:val="21"/>
                <w:szCs w:val="21"/>
              </w:rPr>
            </w:pPr>
            <w:r>
              <w:rPr>
                <w:rFonts w:ascii="Times New Roman" w:hAnsi="Times New Roman" w:hint="eastAsia"/>
                <w:sz w:val="21"/>
                <w:szCs w:val="21"/>
              </w:rPr>
              <w:t>矿区各煤矿排矸场、各煤矿工业场地厂界处</w:t>
            </w:r>
          </w:p>
        </w:tc>
        <w:tc>
          <w:tcPr>
            <w:tcW w:w="1660" w:type="dxa"/>
            <w:vAlign w:val="center"/>
          </w:tcPr>
          <w:p w14:paraId="6A1A839C" w14:textId="77777777" w:rsidR="009C353B" w:rsidRDefault="00000000">
            <w:pPr>
              <w:snapToGrid w:val="0"/>
              <w:spacing w:line="240" w:lineRule="atLeast"/>
              <w:rPr>
                <w:rFonts w:ascii="Times New Roman" w:hAnsi="Times New Roman"/>
                <w:sz w:val="21"/>
                <w:szCs w:val="21"/>
              </w:rPr>
            </w:pPr>
            <w:r>
              <w:rPr>
                <w:rFonts w:ascii="Times New Roman" w:hAnsi="Times New Roman"/>
                <w:sz w:val="21"/>
                <w:szCs w:val="21"/>
              </w:rPr>
              <w:t>按《环境空气质量标准》进行</w:t>
            </w:r>
          </w:p>
        </w:tc>
      </w:tr>
      <w:tr w:rsidR="009C353B" w14:paraId="05856121" w14:textId="77777777">
        <w:trPr>
          <w:trHeight w:val="786"/>
          <w:jc w:val="center"/>
        </w:trPr>
        <w:tc>
          <w:tcPr>
            <w:tcW w:w="585" w:type="dxa"/>
            <w:vMerge w:val="restart"/>
            <w:vAlign w:val="center"/>
          </w:tcPr>
          <w:p w14:paraId="77A0F26C" w14:textId="77777777" w:rsidR="009C353B" w:rsidRDefault="00000000">
            <w:pPr>
              <w:snapToGrid w:val="0"/>
              <w:spacing w:line="240" w:lineRule="atLeast"/>
              <w:jc w:val="center"/>
              <w:rPr>
                <w:rFonts w:ascii="Times New Roman" w:hAnsi="Times New Roman"/>
                <w:sz w:val="21"/>
                <w:szCs w:val="21"/>
              </w:rPr>
            </w:pPr>
            <w:r>
              <w:rPr>
                <w:rFonts w:ascii="Times New Roman" w:hAnsi="Times New Roman"/>
                <w:sz w:val="21"/>
                <w:szCs w:val="21"/>
              </w:rPr>
              <w:t>水</w:t>
            </w:r>
          </w:p>
        </w:tc>
        <w:tc>
          <w:tcPr>
            <w:tcW w:w="573" w:type="dxa"/>
            <w:vAlign w:val="center"/>
          </w:tcPr>
          <w:p w14:paraId="74810607" w14:textId="77777777" w:rsidR="009C353B" w:rsidRDefault="00000000">
            <w:pPr>
              <w:snapToGrid w:val="0"/>
              <w:spacing w:line="240" w:lineRule="exact"/>
              <w:jc w:val="center"/>
              <w:rPr>
                <w:rFonts w:ascii="Times New Roman" w:hAnsi="Times New Roman"/>
                <w:sz w:val="21"/>
                <w:szCs w:val="21"/>
              </w:rPr>
            </w:pPr>
            <w:r>
              <w:rPr>
                <w:rFonts w:ascii="Times New Roman" w:hAnsi="Times New Roman"/>
                <w:sz w:val="21"/>
                <w:szCs w:val="21"/>
              </w:rPr>
              <w:t>地表水</w:t>
            </w:r>
          </w:p>
        </w:tc>
        <w:tc>
          <w:tcPr>
            <w:tcW w:w="2835" w:type="dxa"/>
            <w:vAlign w:val="center"/>
          </w:tcPr>
          <w:p w14:paraId="14D130DC" w14:textId="77777777" w:rsidR="009C353B" w:rsidRDefault="00000000">
            <w:pPr>
              <w:pStyle w:val="afffff7"/>
              <w:snapToGrid w:val="0"/>
              <w:rPr>
                <w:rFonts w:ascii="Times New Roman" w:hAnsi="Times New Roman"/>
                <w:szCs w:val="21"/>
              </w:rPr>
            </w:pPr>
            <w:r>
              <w:rPr>
                <w:rFonts w:ascii="Times New Roman" w:hAnsi="Times New Roman"/>
                <w:szCs w:val="21"/>
              </w:rPr>
              <w:t>pH</w:t>
            </w:r>
            <w:r>
              <w:rPr>
                <w:rFonts w:ascii="Times New Roman" w:hAnsi="Times New Roman"/>
                <w:szCs w:val="21"/>
              </w:rPr>
              <w:t>、</w:t>
            </w:r>
            <w:r>
              <w:rPr>
                <w:rFonts w:ascii="Times New Roman" w:hAnsi="Times New Roman"/>
                <w:szCs w:val="21"/>
              </w:rPr>
              <w:t>SS</w:t>
            </w:r>
            <w:r>
              <w:rPr>
                <w:rFonts w:ascii="Times New Roman" w:hAnsi="Times New Roman"/>
                <w:szCs w:val="21"/>
              </w:rPr>
              <w:t>、溶解氧、高锰酸盐指数、</w:t>
            </w:r>
            <w:r>
              <w:rPr>
                <w:rFonts w:ascii="Times New Roman" w:hAnsi="Times New Roman"/>
                <w:szCs w:val="21"/>
              </w:rPr>
              <w:t>BOD</w:t>
            </w:r>
            <w:r>
              <w:rPr>
                <w:rFonts w:ascii="Times New Roman" w:hAnsi="Times New Roman"/>
                <w:szCs w:val="21"/>
                <w:vertAlign w:val="subscript"/>
              </w:rPr>
              <w:t>5</w:t>
            </w:r>
            <w:r>
              <w:rPr>
                <w:rFonts w:ascii="Times New Roman" w:hAnsi="Times New Roman"/>
                <w:szCs w:val="21"/>
              </w:rPr>
              <w:t>、氨氮、总氮、总磷、铜、锌、氟化物、硒、总砷、总汞、镉、六价铬、铅、氰化物、挥发酚、石油类、阴离子表面活性剂、硫化物和粪大肠菌群</w:t>
            </w:r>
            <w:r>
              <w:rPr>
                <w:rFonts w:ascii="Times New Roman" w:hAnsi="Times New Roman"/>
                <w:szCs w:val="21"/>
              </w:rPr>
              <w:t>23</w:t>
            </w:r>
            <w:r>
              <w:rPr>
                <w:rFonts w:ascii="Times New Roman" w:hAnsi="Times New Roman"/>
                <w:szCs w:val="21"/>
              </w:rPr>
              <w:t>项，同时进行水文监测</w:t>
            </w:r>
          </w:p>
        </w:tc>
        <w:tc>
          <w:tcPr>
            <w:tcW w:w="1155" w:type="dxa"/>
            <w:vMerge w:val="restart"/>
            <w:vAlign w:val="center"/>
          </w:tcPr>
          <w:p w14:paraId="384C1435" w14:textId="77777777" w:rsidR="009C353B" w:rsidRDefault="00000000">
            <w:pPr>
              <w:snapToGrid w:val="0"/>
              <w:spacing w:line="240" w:lineRule="exact"/>
              <w:jc w:val="center"/>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次</w:t>
            </w:r>
            <w:r>
              <w:rPr>
                <w:rFonts w:ascii="Times New Roman" w:hAnsi="Times New Roman"/>
                <w:sz w:val="21"/>
                <w:szCs w:val="21"/>
              </w:rPr>
              <w:t>/</w:t>
            </w:r>
            <w:r>
              <w:rPr>
                <w:rFonts w:ascii="Times New Roman" w:hAnsi="Times New Roman"/>
                <w:sz w:val="21"/>
                <w:szCs w:val="21"/>
              </w:rPr>
              <w:t>年</w:t>
            </w:r>
            <w:r>
              <w:rPr>
                <w:rFonts w:ascii="Times New Roman" w:hAnsi="Times New Roman" w:hint="eastAsia"/>
                <w:sz w:val="21"/>
                <w:szCs w:val="21"/>
              </w:rPr>
              <w:t>，</w:t>
            </w:r>
            <w:r>
              <w:rPr>
                <w:rFonts w:ascii="Times New Roman" w:hAnsi="Times New Roman"/>
                <w:sz w:val="21"/>
                <w:szCs w:val="21"/>
              </w:rPr>
              <w:t>丰平枯各</w:t>
            </w:r>
            <w:r>
              <w:rPr>
                <w:rFonts w:ascii="Times New Roman" w:hAnsi="Times New Roman" w:hint="eastAsia"/>
                <w:sz w:val="21"/>
                <w:szCs w:val="21"/>
              </w:rPr>
              <w:t>1</w:t>
            </w:r>
            <w:r>
              <w:rPr>
                <w:rFonts w:ascii="Times New Roman" w:hAnsi="Times New Roman" w:hint="eastAsia"/>
                <w:sz w:val="21"/>
                <w:szCs w:val="21"/>
              </w:rPr>
              <w:t>次</w:t>
            </w:r>
          </w:p>
        </w:tc>
        <w:tc>
          <w:tcPr>
            <w:tcW w:w="2310" w:type="dxa"/>
            <w:vAlign w:val="center"/>
          </w:tcPr>
          <w:p w14:paraId="59AFF624" w14:textId="77777777" w:rsidR="009C353B" w:rsidRDefault="00000000">
            <w:pPr>
              <w:snapToGrid w:val="0"/>
              <w:spacing w:line="240" w:lineRule="exact"/>
              <w:jc w:val="center"/>
              <w:rPr>
                <w:rFonts w:ascii="Times New Roman" w:hAnsi="Times New Roman"/>
                <w:sz w:val="21"/>
                <w:szCs w:val="21"/>
              </w:rPr>
            </w:pPr>
            <w:r>
              <w:rPr>
                <w:rFonts w:ascii="Times New Roman" w:hAnsi="Times New Roman" w:hint="eastAsia"/>
                <w:sz w:val="21"/>
                <w:szCs w:val="21"/>
              </w:rPr>
              <w:t>水洞沟、大河子沟进入矿区前上游</w:t>
            </w:r>
            <w:r>
              <w:rPr>
                <w:rFonts w:ascii="Times New Roman" w:hAnsi="Times New Roman" w:hint="eastAsia"/>
                <w:sz w:val="21"/>
                <w:szCs w:val="21"/>
              </w:rPr>
              <w:t>500m</w:t>
            </w:r>
            <w:r>
              <w:rPr>
                <w:rFonts w:ascii="Times New Roman" w:hAnsi="Times New Roman" w:hint="eastAsia"/>
                <w:sz w:val="21"/>
                <w:szCs w:val="21"/>
              </w:rPr>
              <w:t>、出矿区后</w:t>
            </w:r>
            <w:r>
              <w:rPr>
                <w:rFonts w:ascii="Times New Roman" w:hAnsi="Times New Roman"/>
                <w:sz w:val="21"/>
                <w:szCs w:val="21"/>
              </w:rPr>
              <w:t>下游</w:t>
            </w:r>
            <w:r>
              <w:rPr>
                <w:rFonts w:ascii="Times New Roman" w:hAnsi="Times New Roman" w:hint="eastAsia"/>
                <w:sz w:val="21"/>
                <w:szCs w:val="21"/>
              </w:rPr>
              <w:t>500m</w:t>
            </w:r>
            <w:r>
              <w:rPr>
                <w:rFonts w:ascii="Times New Roman" w:hAnsi="Times New Roman" w:hint="eastAsia"/>
                <w:sz w:val="21"/>
                <w:szCs w:val="21"/>
              </w:rPr>
              <w:t>断面</w:t>
            </w:r>
          </w:p>
        </w:tc>
        <w:tc>
          <w:tcPr>
            <w:tcW w:w="1660" w:type="dxa"/>
            <w:vAlign w:val="center"/>
          </w:tcPr>
          <w:p w14:paraId="4E82A875" w14:textId="77777777" w:rsidR="009C353B" w:rsidRDefault="00000000">
            <w:pPr>
              <w:snapToGrid w:val="0"/>
              <w:spacing w:line="240" w:lineRule="exact"/>
              <w:rPr>
                <w:rFonts w:ascii="Times New Roman" w:hAnsi="Times New Roman"/>
                <w:sz w:val="21"/>
                <w:szCs w:val="21"/>
              </w:rPr>
            </w:pPr>
            <w:r>
              <w:rPr>
                <w:rFonts w:ascii="Times New Roman" w:hAnsi="Times New Roman"/>
                <w:sz w:val="21"/>
                <w:szCs w:val="21"/>
              </w:rPr>
              <w:t>按《地表水和污水监测技术规范进行</w:t>
            </w:r>
          </w:p>
        </w:tc>
      </w:tr>
      <w:tr w:rsidR="009C353B" w14:paraId="2D2AF916" w14:textId="77777777">
        <w:trPr>
          <w:trHeight w:val="1168"/>
          <w:jc w:val="center"/>
        </w:trPr>
        <w:tc>
          <w:tcPr>
            <w:tcW w:w="585" w:type="dxa"/>
            <w:vMerge/>
            <w:vAlign w:val="center"/>
          </w:tcPr>
          <w:p w14:paraId="68EBF38C" w14:textId="77777777" w:rsidR="009C353B" w:rsidRDefault="009C353B">
            <w:pPr>
              <w:snapToGrid w:val="0"/>
              <w:spacing w:line="240" w:lineRule="atLeast"/>
              <w:jc w:val="center"/>
              <w:rPr>
                <w:rFonts w:ascii="Times New Roman" w:hAnsi="Times New Roman"/>
                <w:sz w:val="21"/>
                <w:szCs w:val="21"/>
              </w:rPr>
            </w:pPr>
          </w:p>
        </w:tc>
        <w:tc>
          <w:tcPr>
            <w:tcW w:w="573" w:type="dxa"/>
            <w:vAlign w:val="center"/>
          </w:tcPr>
          <w:p w14:paraId="3EEB236B" w14:textId="77777777" w:rsidR="009C353B" w:rsidRDefault="00000000">
            <w:pPr>
              <w:snapToGrid w:val="0"/>
              <w:spacing w:line="240" w:lineRule="exact"/>
              <w:jc w:val="center"/>
              <w:rPr>
                <w:rFonts w:ascii="Times New Roman" w:hAnsi="Times New Roman"/>
                <w:sz w:val="21"/>
                <w:szCs w:val="21"/>
              </w:rPr>
            </w:pPr>
            <w:r>
              <w:rPr>
                <w:rFonts w:ascii="Times New Roman" w:hAnsi="Times New Roman"/>
                <w:sz w:val="21"/>
                <w:szCs w:val="21"/>
              </w:rPr>
              <w:t>地下水</w:t>
            </w:r>
          </w:p>
        </w:tc>
        <w:tc>
          <w:tcPr>
            <w:tcW w:w="2835" w:type="dxa"/>
            <w:vAlign w:val="center"/>
          </w:tcPr>
          <w:p w14:paraId="5DBA8661" w14:textId="77777777" w:rsidR="009C353B" w:rsidRDefault="00000000">
            <w:pPr>
              <w:pStyle w:val="afffff7"/>
              <w:snapToGrid w:val="0"/>
              <w:rPr>
                <w:rFonts w:ascii="Times New Roman" w:hAnsi="Times New Roman"/>
                <w:szCs w:val="21"/>
              </w:rPr>
            </w:pPr>
            <w:r>
              <w:rPr>
                <w:rFonts w:ascii="Times New Roman" w:hAnsi="Times New Roman"/>
                <w:szCs w:val="21"/>
              </w:rPr>
              <w:t>pH</w:t>
            </w:r>
            <w:r>
              <w:rPr>
                <w:rFonts w:ascii="Times New Roman" w:hAnsi="Times New Roman"/>
                <w:szCs w:val="21"/>
              </w:rPr>
              <w:t>值、总硬度、溶解性总固体、氨氮、硝酸盐氮、亚硝酸盐氮、挥发性酚、总氰化物、高锰酸盐指数、氟化物、砷、汞、镉、六价格、铁、锰、细菌总数和总大肠菌群、井深、水位、水温</w:t>
            </w:r>
            <w:r>
              <w:rPr>
                <w:rFonts w:ascii="Times New Roman" w:hAnsi="Times New Roman"/>
                <w:szCs w:val="21"/>
              </w:rPr>
              <w:t>21</w:t>
            </w:r>
            <w:r>
              <w:rPr>
                <w:rFonts w:ascii="Times New Roman" w:hAnsi="Times New Roman"/>
                <w:szCs w:val="21"/>
              </w:rPr>
              <w:t>项</w:t>
            </w:r>
          </w:p>
        </w:tc>
        <w:tc>
          <w:tcPr>
            <w:tcW w:w="1155" w:type="dxa"/>
            <w:vMerge/>
            <w:vAlign w:val="center"/>
          </w:tcPr>
          <w:p w14:paraId="57C20E27" w14:textId="77777777" w:rsidR="009C353B" w:rsidRDefault="009C353B">
            <w:pPr>
              <w:snapToGrid w:val="0"/>
              <w:spacing w:line="240" w:lineRule="exact"/>
              <w:jc w:val="center"/>
              <w:rPr>
                <w:rFonts w:ascii="Times New Roman" w:hAnsi="Times New Roman"/>
                <w:sz w:val="21"/>
                <w:szCs w:val="21"/>
              </w:rPr>
            </w:pPr>
          </w:p>
        </w:tc>
        <w:tc>
          <w:tcPr>
            <w:tcW w:w="2310" w:type="dxa"/>
            <w:vAlign w:val="center"/>
          </w:tcPr>
          <w:p w14:paraId="4AA5E2FB" w14:textId="77777777" w:rsidR="009C353B" w:rsidRDefault="00000000">
            <w:pPr>
              <w:snapToGrid w:val="0"/>
              <w:spacing w:line="240" w:lineRule="exact"/>
              <w:rPr>
                <w:rFonts w:ascii="Times New Roman" w:hAnsi="Times New Roman"/>
                <w:sz w:val="21"/>
                <w:szCs w:val="21"/>
              </w:rPr>
            </w:pPr>
            <w:r>
              <w:rPr>
                <w:rFonts w:ascii="Times New Roman" w:hAnsi="Times New Roman" w:hint="eastAsia"/>
                <w:sz w:val="21"/>
                <w:szCs w:val="21"/>
              </w:rPr>
              <w:t>井田内及周边现存水井，煤矿工业场地、排矸场地下水上下游及两侧</w:t>
            </w:r>
          </w:p>
        </w:tc>
        <w:tc>
          <w:tcPr>
            <w:tcW w:w="1660" w:type="dxa"/>
            <w:vAlign w:val="center"/>
          </w:tcPr>
          <w:p w14:paraId="590197D7" w14:textId="77777777" w:rsidR="009C353B" w:rsidRDefault="00000000">
            <w:pPr>
              <w:snapToGrid w:val="0"/>
              <w:spacing w:line="240" w:lineRule="exact"/>
              <w:rPr>
                <w:rFonts w:ascii="Times New Roman" w:hAnsi="Times New Roman"/>
                <w:sz w:val="21"/>
                <w:szCs w:val="21"/>
              </w:rPr>
            </w:pPr>
            <w:r>
              <w:rPr>
                <w:rFonts w:ascii="Times New Roman" w:hAnsi="Times New Roman"/>
                <w:sz w:val="21"/>
                <w:szCs w:val="21"/>
              </w:rPr>
              <w:t>按</w:t>
            </w:r>
            <w:r>
              <w:rPr>
                <w:rFonts w:ascii="Times New Roman" w:hAnsi="Times New Roman"/>
                <w:kern w:val="20"/>
                <w:sz w:val="21"/>
                <w:szCs w:val="21"/>
              </w:rPr>
              <w:t>《地下水环境监测技术规范》进行</w:t>
            </w:r>
          </w:p>
        </w:tc>
      </w:tr>
      <w:tr w:rsidR="009C353B" w14:paraId="76C622B1" w14:textId="77777777">
        <w:trPr>
          <w:trHeight w:val="1084"/>
          <w:jc w:val="center"/>
        </w:trPr>
        <w:tc>
          <w:tcPr>
            <w:tcW w:w="1158" w:type="dxa"/>
            <w:gridSpan w:val="2"/>
            <w:vAlign w:val="center"/>
          </w:tcPr>
          <w:p w14:paraId="64A27CA2" w14:textId="77777777" w:rsidR="009C353B" w:rsidRDefault="00000000">
            <w:pPr>
              <w:snapToGrid w:val="0"/>
              <w:spacing w:line="240" w:lineRule="exact"/>
              <w:jc w:val="center"/>
              <w:rPr>
                <w:rFonts w:ascii="Times New Roman" w:hAnsi="Times New Roman"/>
                <w:sz w:val="21"/>
                <w:szCs w:val="21"/>
              </w:rPr>
            </w:pPr>
            <w:r>
              <w:rPr>
                <w:rFonts w:ascii="Times New Roman" w:hAnsi="Times New Roman"/>
                <w:sz w:val="21"/>
                <w:szCs w:val="21"/>
              </w:rPr>
              <w:t>噪声</w:t>
            </w:r>
          </w:p>
        </w:tc>
        <w:tc>
          <w:tcPr>
            <w:tcW w:w="2835" w:type="dxa"/>
            <w:vAlign w:val="center"/>
          </w:tcPr>
          <w:p w14:paraId="4894432B" w14:textId="77777777" w:rsidR="009C353B" w:rsidRDefault="00000000">
            <w:pPr>
              <w:snapToGrid w:val="0"/>
              <w:spacing w:line="240" w:lineRule="exact"/>
              <w:rPr>
                <w:rFonts w:ascii="Times New Roman" w:hAnsi="Times New Roman"/>
                <w:sz w:val="21"/>
                <w:szCs w:val="21"/>
              </w:rPr>
            </w:pPr>
            <w:r>
              <w:rPr>
                <w:rFonts w:ascii="Times New Roman" w:hAnsi="Times New Roman"/>
                <w:sz w:val="21"/>
                <w:szCs w:val="21"/>
              </w:rPr>
              <w:t>项目工业场地环境噪声，运输道路、铁路专用线两侧环境噪声</w:t>
            </w:r>
          </w:p>
        </w:tc>
        <w:tc>
          <w:tcPr>
            <w:tcW w:w="1155" w:type="dxa"/>
            <w:vAlign w:val="center"/>
          </w:tcPr>
          <w:p w14:paraId="7AE1AD2C" w14:textId="77777777" w:rsidR="009C353B" w:rsidRDefault="00000000">
            <w:pPr>
              <w:snapToGrid w:val="0"/>
              <w:spacing w:line="240" w:lineRule="exact"/>
              <w:rPr>
                <w:rFonts w:ascii="Times New Roman" w:hAnsi="Times New Roman"/>
                <w:sz w:val="21"/>
                <w:szCs w:val="21"/>
              </w:rPr>
            </w:pPr>
            <w:r>
              <w:rPr>
                <w:rFonts w:ascii="Times New Roman" w:hAnsi="Times New Roman"/>
                <w:sz w:val="21"/>
                <w:szCs w:val="21"/>
              </w:rPr>
              <w:t>2</w:t>
            </w:r>
            <w:r>
              <w:rPr>
                <w:rFonts w:ascii="Times New Roman" w:hAnsi="Times New Roman"/>
                <w:sz w:val="21"/>
                <w:szCs w:val="21"/>
              </w:rPr>
              <w:t>次</w:t>
            </w:r>
            <w:r>
              <w:rPr>
                <w:rFonts w:ascii="Times New Roman" w:hAnsi="Times New Roman"/>
                <w:sz w:val="21"/>
                <w:szCs w:val="21"/>
              </w:rPr>
              <w:t>/</w:t>
            </w:r>
            <w:r>
              <w:rPr>
                <w:rFonts w:ascii="Times New Roman" w:hAnsi="Times New Roman"/>
                <w:sz w:val="21"/>
                <w:szCs w:val="21"/>
              </w:rPr>
              <w:t>年</w:t>
            </w:r>
          </w:p>
          <w:p w14:paraId="3EBD680C" w14:textId="77777777" w:rsidR="009C353B" w:rsidRDefault="00000000">
            <w:pPr>
              <w:snapToGrid w:val="0"/>
              <w:spacing w:line="240" w:lineRule="exact"/>
              <w:rPr>
                <w:rFonts w:ascii="Times New Roman" w:hAnsi="Times New Roman"/>
                <w:sz w:val="21"/>
                <w:szCs w:val="21"/>
              </w:rPr>
            </w:pPr>
            <w:r>
              <w:rPr>
                <w:rFonts w:ascii="Times New Roman" w:hAnsi="Times New Roman"/>
                <w:sz w:val="21"/>
                <w:szCs w:val="21"/>
              </w:rPr>
              <w:t>昼间</w:t>
            </w:r>
            <w:r>
              <w:rPr>
                <w:rFonts w:ascii="Times New Roman" w:hAnsi="Times New Roman"/>
                <w:sz w:val="21"/>
                <w:szCs w:val="21"/>
              </w:rPr>
              <w:t>9:00-11:00</w:t>
            </w:r>
            <w:r>
              <w:rPr>
                <w:rFonts w:ascii="Times New Roman" w:hAnsi="Times New Roman" w:hint="eastAsia"/>
                <w:sz w:val="21"/>
                <w:szCs w:val="21"/>
              </w:rPr>
              <w:t>、</w:t>
            </w:r>
            <w:r>
              <w:rPr>
                <w:rFonts w:ascii="Times New Roman" w:hAnsi="Times New Roman"/>
                <w:sz w:val="21"/>
                <w:szCs w:val="21"/>
              </w:rPr>
              <w:t>夜间</w:t>
            </w:r>
            <w:r>
              <w:rPr>
                <w:rFonts w:ascii="Times New Roman" w:hAnsi="Times New Roman"/>
                <w:sz w:val="21"/>
                <w:szCs w:val="21"/>
              </w:rPr>
              <w:t>22:0-22:40</w:t>
            </w:r>
          </w:p>
        </w:tc>
        <w:tc>
          <w:tcPr>
            <w:tcW w:w="2310" w:type="dxa"/>
            <w:vAlign w:val="center"/>
          </w:tcPr>
          <w:p w14:paraId="034D5FF7" w14:textId="77777777" w:rsidR="009C353B" w:rsidRDefault="00000000">
            <w:pPr>
              <w:snapToGrid w:val="0"/>
              <w:spacing w:line="240" w:lineRule="exact"/>
              <w:jc w:val="center"/>
              <w:rPr>
                <w:rFonts w:ascii="Times New Roman" w:hAnsi="Times New Roman"/>
                <w:sz w:val="21"/>
                <w:szCs w:val="21"/>
              </w:rPr>
            </w:pPr>
            <w:r>
              <w:rPr>
                <w:rFonts w:ascii="Times New Roman" w:hAnsi="Times New Roman" w:hint="eastAsia"/>
                <w:sz w:val="21"/>
                <w:szCs w:val="21"/>
              </w:rPr>
              <w:t>矿区各煤矿工业场地厂界，矿区运煤道路两侧、</w:t>
            </w:r>
            <w:r>
              <w:rPr>
                <w:rFonts w:ascii="Times New Roman" w:hAnsi="Times New Roman"/>
                <w:sz w:val="21"/>
                <w:szCs w:val="21"/>
              </w:rPr>
              <w:t>铁路专用线两侧</w:t>
            </w:r>
            <w:r>
              <w:rPr>
                <w:rFonts w:ascii="Times New Roman" w:hAnsi="Times New Roman" w:hint="eastAsia"/>
                <w:sz w:val="21"/>
                <w:szCs w:val="21"/>
              </w:rPr>
              <w:t>2</w:t>
            </w:r>
            <w:r>
              <w:rPr>
                <w:rFonts w:ascii="Times New Roman" w:hAnsi="Times New Roman"/>
                <w:sz w:val="21"/>
                <w:szCs w:val="21"/>
              </w:rPr>
              <w:t>00</w:t>
            </w:r>
            <w:r>
              <w:rPr>
                <w:rFonts w:ascii="Times New Roman" w:hAnsi="Times New Roman" w:hint="eastAsia"/>
                <w:sz w:val="21"/>
                <w:szCs w:val="21"/>
              </w:rPr>
              <w:t>m</w:t>
            </w:r>
          </w:p>
        </w:tc>
        <w:tc>
          <w:tcPr>
            <w:tcW w:w="1660" w:type="dxa"/>
            <w:vAlign w:val="center"/>
          </w:tcPr>
          <w:p w14:paraId="4A6744C5" w14:textId="77777777" w:rsidR="009C353B" w:rsidRDefault="00000000">
            <w:pPr>
              <w:snapToGrid w:val="0"/>
              <w:spacing w:line="240" w:lineRule="exact"/>
              <w:rPr>
                <w:rFonts w:ascii="Times New Roman" w:hAnsi="Times New Roman"/>
                <w:sz w:val="21"/>
                <w:szCs w:val="21"/>
              </w:rPr>
            </w:pPr>
            <w:r>
              <w:rPr>
                <w:rFonts w:ascii="Times New Roman" w:hAnsi="Times New Roman"/>
                <w:spacing w:val="-10"/>
                <w:sz w:val="21"/>
                <w:szCs w:val="21"/>
              </w:rPr>
              <w:t>按《城市区域环境噪声测量方法》、《铁路边界噪声限值及其测量方法》、《声学环境噪声测量方法》进行</w:t>
            </w:r>
          </w:p>
        </w:tc>
      </w:tr>
      <w:tr w:rsidR="009C353B" w14:paraId="17C3A08F" w14:textId="77777777">
        <w:trPr>
          <w:trHeight w:val="887"/>
          <w:jc w:val="center"/>
        </w:trPr>
        <w:tc>
          <w:tcPr>
            <w:tcW w:w="1158" w:type="dxa"/>
            <w:gridSpan w:val="2"/>
            <w:vAlign w:val="center"/>
          </w:tcPr>
          <w:p w14:paraId="2A2DCB13" w14:textId="77777777" w:rsidR="009C353B" w:rsidRDefault="00000000">
            <w:pPr>
              <w:snapToGrid w:val="0"/>
              <w:spacing w:line="240" w:lineRule="exact"/>
              <w:jc w:val="center"/>
              <w:rPr>
                <w:rFonts w:ascii="Times New Roman" w:hAnsi="Times New Roman"/>
                <w:sz w:val="21"/>
                <w:szCs w:val="21"/>
              </w:rPr>
            </w:pPr>
            <w:r>
              <w:rPr>
                <w:rFonts w:ascii="Times New Roman" w:hAnsi="Times New Roman"/>
                <w:sz w:val="21"/>
                <w:szCs w:val="21"/>
              </w:rPr>
              <w:t>土壤</w:t>
            </w:r>
          </w:p>
        </w:tc>
        <w:tc>
          <w:tcPr>
            <w:tcW w:w="2835" w:type="dxa"/>
            <w:vAlign w:val="center"/>
          </w:tcPr>
          <w:p w14:paraId="39D46B99" w14:textId="77777777" w:rsidR="009C353B" w:rsidRDefault="00000000">
            <w:pPr>
              <w:snapToGrid w:val="0"/>
              <w:spacing w:line="240" w:lineRule="exact"/>
              <w:rPr>
                <w:rFonts w:ascii="Times New Roman" w:hAnsi="Times New Roman"/>
                <w:sz w:val="21"/>
                <w:szCs w:val="21"/>
              </w:rPr>
            </w:pPr>
            <w:r>
              <w:rPr>
                <w:rFonts w:ascii="Times New Roman" w:hAnsi="Times New Roman"/>
                <w:sz w:val="21"/>
                <w:szCs w:val="21"/>
              </w:rPr>
              <w:t>pH</w:t>
            </w:r>
            <w:r>
              <w:rPr>
                <w:rFonts w:ascii="Times New Roman" w:hAnsi="Times New Roman"/>
                <w:sz w:val="21"/>
                <w:szCs w:val="21"/>
              </w:rPr>
              <w:t>、</w:t>
            </w:r>
            <w:r>
              <w:rPr>
                <w:rFonts w:ascii="Times New Roman"/>
                <w:kern w:val="0"/>
                <w:sz w:val="21"/>
                <w:szCs w:val="21"/>
              </w:rPr>
              <w:t>铜、锌、镉、汞、砷、铅、总铬、镍、六价铬；土壤含盐量</w:t>
            </w:r>
            <w:r>
              <w:rPr>
                <w:rFonts w:ascii="Times New Roman" w:hAnsi="Times New Roman"/>
                <w:kern w:val="0"/>
                <w:sz w:val="21"/>
                <w:szCs w:val="21"/>
              </w:rPr>
              <w:t>SSC</w:t>
            </w:r>
            <w:r>
              <w:rPr>
                <w:rFonts w:ascii="Times New Roman" w:hAnsi="Times New Roman" w:hint="eastAsia"/>
                <w:kern w:val="0"/>
                <w:sz w:val="21"/>
                <w:szCs w:val="21"/>
              </w:rPr>
              <w:t>、有</w:t>
            </w:r>
            <w:r>
              <w:rPr>
                <w:rFonts w:ascii="Times New Roman" w:hAnsi="Times New Roman"/>
                <w:sz w:val="21"/>
                <w:szCs w:val="21"/>
              </w:rPr>
              <w:t>机质、全</w:t>
            </w:r>
            <w:r>
              <w:rPr>
                <w:rFonts w:ascii="Times New Roman" w:hAnsi="Times New Roman"/>
                <w:sz w:val="21"/>
                <w:szCs w:val="21"/>
              </w:rPr>
              <w:t>N</w:t>
            </w:r>
            <w:r>
              <w:rPr>
                <w:rFonts w:ascii="Times New Roman" w:hAnsi="Times New Roman"/>
                <w:sz w:val="21"/>
                <w:szCs w:val="21"/>
              </w:rPr>
              <w:t>、有效</w:t>
            </w:r>
            <w:r>
              <w:rPr>
                <w:rFonts w:ascii="Times New Roman" w:hAnsi="Times New Roman"/>
                <w:sz w:val="21"/>
                <w:szCs w:val="21"/>
              </w:rPr>
              <w:t>P</w:t>
            </w:r>
            <w:r>
              <w:rPr>
                <w:rFonts w:ascii="Times New Roman" w:hAnsi="Times New Roman"/>
                <w:sz w:val="21"/>
                <w:szCs w:val="21"/>
              </w:rPr>
              <w:t>、</w:t>
            </w:r>
            <w:r>
              <w:rPr>
                <w:rFonts w:ascii="Times New Roman" w:hAnsi="Times New Roman"/>
                <w:sz w:val="21"/>
                <w:szCs w:val="21"/>
              </w:rPr>
              <w:t>K</w:t>
            </w:r>
            <w:r>
              <w:rPr>
                <w:rFonts w:ascii="Times New Roman" w:hAnsi="Times New Roman"/>
                <w:sz w:val="21"/>
                <w:szCs w:val="21"/>
              </w:rPr>
              <w:t>，土壤侵蚀类型、程度、侵蚀模数</w:t>
            </w:r>
          </w:p>
        </w:tc>
        <w:tc>
          <w:tcPr>
            <w:tcW w:w="1155" w:type="dxa"/>
            <w:vAlign w:val="center"/>
          </w:tcPr>
          <w:p w14:paraId="2530A24D" w14:textId="77777777" w:rsidR="009C353B" w:rsidRDefault="00000000">
            <w:pPr>
              <w:snapToGrid w:val="0"/>
              <w:spacing w:line="240" w:lineRule="exact"/>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次</w:t>
            </w:r>
            <w:r>
              <w:rPr>
                <w:rFonts w:ascii="Times New Roman" w:hAnsi="Times New Roman"/>
                <w:sz w:val="21"/>
                <w:szCs w:val="21"/>
              </w:rPr>
              <w:t>/3</w:t>
            </w:r>
            <w:r>
              <w:rPr>
                <w:rFonts w:ascii="Times New Roman" w:hAnsi="Times New Roman"/>
                <w:sz w:val="21"/>
                <w:szCs w:val="21"/>
              </w:rPr>
              <w:t>年</w:t>
            </w:r>
          </w:p>
        </w:tc>
        <w:tc>
          <w:tcPr>
            <w:tcW w:w="2310" w:type="dxa"/>
            <w:vAlign w:val="center"/>
          </w:tcPr>
          <w:p w14:paraId="55CF3605" w14:textId="77777777" w:rsidR="009C353B" w:rsidRDefault="00000000">
            <w:pPr>
              <w:snapToGrid w:val="0"/>
              <w:spacing w:line="240" w:lineRule="exact"/>
              <w:jc w:val="center"/>
              <w:rPr>
                <w:rFonts w:ascii="Times New Roman" w:hAnsi="Times New Roman"/>
                <w:sz w:val="21"/>
                <w:szCs w:val="21"/>
              </w:rPr>
            </w:pPr>
            <w:r>
              <w:rPr>
                <w:rFonts w:ascii="Times New Roman" w:hAnsi="Times New Roman"/>
                <w:sz w:val="21"/>
                <w:szCs w:val="21"/>
              </w:rPr>
              <w:t>排矸场外侧</w:t>
            </w:r>
            <w:r>
              <w:rPr>
                <w:rFonts w:ascii="Times New Roman" w:hAnsi="Times New Roman"/>
                <w:sz w:val="21"/>
                <w:szCs w:val="21"/>
              </w:rPr>
              <w:t>500m</w:t>
            </w:r>
            <w:r>
              <w:rPr>
                <w:rFonts w:ascii="Times New Roman" w:hAnsi="Times New Roman"/>
                <w:sz w:val="21"/>
                <w:szCs w:val="21"/>
              </w:rPr>
              <w:t>范围，采煤沉陷区域</w:t>
            </w:r>
          </w:p>
        </w:tc>
        <w:tc>
          <w:tcPr>
            <w:tcW w:w="1660" w:type="dxa"/>
            <w:vAlign w:val="center"/>
          </w:tcPr>
          <w:p w14:paraId="095833B0" w14:textId="77777777" w:rsidR="009C353B" w:rsidRDefault="00000000">
            <w:pPr>
              <w:snapToGrid w:val="0"/>
              <w:spacing w:line="240" w:lineRule="exact"/>
              <w:rPr>
                <w:rFonts w:ascii="Times New Roman" w:hAnsi="Times New Roman"/>
                <w:sz w:val="21"/>
                <w:szCs w:val="21"/>
              </w:rPr>
            </w:pPr>
            <w:r>
              <w:rPr>
                <w:rFonts w:ascii="Times New Roman" w:hAnsi="Times New Roman"/>
                <w:sz w:val="21"/>
                <w:szCs w:val="21"/>
              </w:rPr>
              <w:t>按《土壤监测技术规范》进行</w:t>
            </w:r>
          </w:p>
        </w:tc>
      </w:tr>
      <w:tr w:rsidR="009C353B" w14:paraId="0AD2957B" w14:textId="77777777">
        <w:trPr>
          <w:trHeight w:val="330"/>
          <w:jc w:val="center"/>
        </w:trPr>
        <w:tc>
          <w:tcPr>
            <w:tcW w:w="1158" w:type="dxa"/>
            <w:gridSpan w:val="2"/>
            <w:vAlign w:val="center"/>
          </w:tcPr>
          <w:p w14:paraId="46F35B93" w14:textId="77777777" w:rsidR="009C353B" w:rsidRDefault="00000000">
            <w:pPr>
              <w:snapToGrid w:val="0"/>
              <w:spacing w:line="240" w:lineRule="exact"/>
              <w:jc w:val="center"/>
              <w:rPr>
                <w:rFonts w:ascii="Times New Roman" w:hAnsi="Times New Roman"/>
                <w:sz w:val="21"/>
                <w:szCs w:val="21"/>
              </w:rPr>
            </w:pPr>
            <w:r>
              <w:rPr>
                <w:rFonts w:ascii="Times New Roman" w:hAnsi="Times New Roman"/>
                <w:sz w:val="21"/>
                <w:szCs w:val="21"/>
              </w:rPr>
              <w:t>植被</w:t>
            </w:r>
          </w:p>
        </w:tc>
        <w:tc>
          <w:tcPr>
            <w:tcW w:w="2835" w:type="dxa"/>
            <w:vAlign w:val="center"/>
          </w:tcPr>
          <w:p w14:paraId="010CF724" w14:textId="77777777" w:rsidR="009C353B" w:rsidRDefault="00000000">
            <w:pPr>
              <w:snapToGrid w:val="0"/>
              <w:spacing w:line="240" w:lineRule="exact"/>
              <w:rPr>
                <w:rFonts w:ascii="Times New Roman" w:hAnsi="Times New Roman"/>
                <w:sz w:val="21"/>
                <w:szCs w:val="21"/>
              </w:rPr>
            </w:pPr>
            <w:r>
              <w:rPr>
                <w:rFonts w:ascii="Times New Roman" w:hAnsi="Times New Roman"/>
                <w:sz w:val="21"/>
                <w:szCs w:val="21"/>
              </w:rPr>
              <w:t>植被类型、植物的种类、组成、高度、盖度</w:t>
            </w:r>
          </w:p>
        </w:tc>
        <w:tc>
          <w:tcPr>
            <w:tcW w:w="1155" w:type="dxa"/>
            <w:vAlign w:val="center"/>
          </w:tcPr>
          <w:p w14:paraId="6971C04C" w14:textId="77777777" w:rsidR="009C353B" w:rsidRDefault="00000000">
            <w:pPr>
              <w:snapToGrid w:val="0"/>
              <w:spacing w:line="240" w:lineRule="exact"/>
              <w:jc w:val="center"/>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次</w:t>
            </w:r>
            <w:r>
              <w:rPr>
                <w:rFonts w:ascii="Times New Roman" w:hAnsi="Times New Roman"/>
                <w:sz w:val="21"/>
                <w:szCs w:val="21"/>
              </w:rPr>
              <w:t>/</w:t>
            </w:r>
            <w:r>
              <w:rPr>
                <w:rFonts w:ascii="Times New Roman" w:hAnsi="Times New Roman"/>
                <w:sz w:val="21"/>
                <w:szCs w:val="21"/>
              </w:rPr>
              <w:t>年</w:t>
            </w:r>
          </w:p>
        </w:tc>
        <w:tc>
          <w:tcPr>
            <w:tcW w:w="2310" w:type="dxa"/>
            <w:vAlign w:val="center"/>
          </w:tcPr>
          <w:p w14:paraId="4BEB017F" w14:textId="77777777" w:rsidR="009C353B" w:rsidRDefault="00000000">
            <w:pPr>
              <w:snapToGrid w:val="0"/>
              <w:spacing w:line="240" w:lineRule="exact"/>
              <w:jc w:val="center"/>
              <w:rPr>
                <w:rFonts w:ascii="Times New Roman" w:hAnsi="Times New Roman"/>
                <w:sz w:val="21"/>
                <w:szCs w:val="21"/>
              </w:rPr>
            </w:pPr>
            <w:r>
              <w:rPr>
                <w:rFonts w:ascii="Times New Roman" w:hAnsi="Times New Roman"/>
                <w:sz w:val="21"/>
                <w:szCs w:val="21"/>
              </w:rPr>
              <w:t>排矸场外侧</w:t>
            </w:r>
            <w:r>
              <w:rPr>
                <w:rFonts w:ascii="Times New Roman" w:hAnsi="Times New Roman"/>
                <w:sz w:val="21"/>
                <w:szCs w:val="21"/>
              </w:rPr>
              <w:t>500m</w:t>
            </w:r>
            <w:r>
              <w:rPr>
                <w:rFonts w:ascii="Times New Roman" w:hAnsi="Times New Roman"/>
                <w:sz w:val="21"/>
                <w:szCs w:val="21"/>
              </w:rPr>
              <w:t>范围，采煤沉陷区域</w:t>
            </w:r>
          </w:p>
        </w:tc>
        <w:tc>
          <w:tcPr>
            <w:tcW w:w="1660" w:type="dxa"/>
            <w:vAlign w:val="center"/>
          </w:tcPr>
          <w:p w14:paraId="11A53AEF" w14:textId="77777777" w:rsidR="009C353B" w:rsidRDefault="00000000">
            <w:pPr>
              <w:tabs>
                <w:tab w:val="left" w:pos="923"/>
              </w:tabs>
              <w:snapToGrid w:val="0"/>
              <w:spacing w:line="240" w:lineRule="exact"/>
              <w:rPr>
                <w:rFonts w:ascii="Times New Roman" w:hAnsi="Times New Roman"/>
                <w:sz w:val="21"/>
                <w:szCs w:val="21"/>
              </w:rPr>
            </w:pPr>
            <w:r>
              <w:rPr>
                <w:rFonts w:ascii="Times New Roman" w:hAnsi="Times New Roman"/>
                <w:sz w:val="21"/>
                <w:szCs w:val="21"/>
              </w:rPr>
              <w:t>实地调查、资料收集、遥感影像分析相结合</w:t>
            </w:r>
          </w:p>
        </w:tc>
      </w:tr>
      <w:tr w:rsidR="009C353B" w14:paraId="7C9F0410" w14:textId="77777777">
        <w:trPr>
          <w:trHeight w:val="330"/>
          <w:jc w:val="center"/>
        </w:trPr>
        <w:tc>
          <w:tcPr>
            <w:tcW w:w="1158" w:type="dxa"/>
            <w:gridSpan w:val="2"/>
            <w:vAlign w:val="center"/>
          </w:tcPr>
          <w:p w14:paraId="4BBD3B11" w14:textId="77777777" w:rsidR="009C353B" w:rsidRDefault="00000000">
            <w:pPr>
              <w:snapToGrid w:val="0"/>
              <w:spacing w:line="240" w:lineRule="atLeast"/>
              <w:jc w:val="center"/>
              <w:rPr>
                <w:rFonts w:ascii="Times New Roman" w:hAnsi="Times New Roman"/>
                <w:sz w:val="21"/>
                <w:szCs w:val="21"/>
              </w:rPr>
            </w:pPr>
            <w:r>
              <w:rPr>
                <w:rFonts w:ascii="Times New Roman" w:hAnsi="Times New Roman" w:hint="eastAsia"/>
                <w:sz w:val="21"/>
                <w:szCs w:val="21"/>
              </w:rPr>
              <w:t>地表变形</w:t>
            </w:r>
          </w:p>
        </w:tc>
        <w:tc>
          <w:tcPr>
            <w:tcW w:w="2835" w:type="dxa"/>
            <w:vAlign w:val="center"/>
          </w:tcPr>
          <w:p w14:paraId="358FDB89" w14:textId="77777777" w:rsidR="009C353B" w:rsidRDefault="00000000">
            <w:pPr>
              <w:snapToGrid w:val="0"/>
              <w:spacing w:line="240" w:lineRule="exact"/>
              <w:rPr>
                <w:rFonts w:ascii="Times New Roman" w:hAnsi="Times New Roman"/>
                <w:sz w:val="21"/>
                <w:szCs w:val="21"/>
              </w:rPr>
            </w:pPr>
            <w:r>
              <w:rPr>
                <w:rFonts w:ascii="Times New Roman" w:hAnsi="Times New Roman" w:hint="eastAsia"/>
                <w:sz w:val="21"/>
                <w:szCs w:val="21"/>
              </w:rPr>
              <w:t>地表下沉、水平移动、水平变形、曲率变形、倾斜变形</w:t>
            </w:r>
          </w:p>
        </w:tc>
        <w:tc>
          <w:tcPr>
            <w:tcW w:w="1155" w:type="dxa"/>
            <w:vAlign w:val="center"/>
          </w:tcPr>
          <w:p w14:paraId="6AE5E0DF" w14:textId="77777777" w:rsidR="009C353B" w:rsidRDefault="00000000">
            <w:pPr>
              <w:snapToGrid w:val="0"/>
              <w:spacing w:line="240" w:lineRule="exact"/>
              <w:rPr>
                <w:rFonts w:ascii="Times New Roman" w:hAnsi="Times New Roman"/>
                <w:sz w:val="21"/>
                <w:szCs w:val="21"/>
              </w:rPr>
            </w:pPr>
            <w:r>
              <w:rPr>
                <w:rFonts w:ascii="Times New Roman" w:hAnsi="Times New Roman" w:hint="eastAsia"/>
                <w:sz w:val="21"/>
                <w:szCs w:val="21"/>
              </w:rPr>
              <w:t>随工作区推进实时监测</w:t>
            </w:r>
          </w:p>
        </w:tc>
        <w:tc>
          <w:tcPr>
            <w:tcW w:w="2310" w:type="dxa"/>
            <w:vAlign w:val="center"/>
          </w:tcPr>
          <w:p w14:paraId="0FF0BD81" w14:textId="77777777" w:rsidR="009C353B" w:rsidRDefault="00000000">
            <w:pPr>
              <w:snapToGrid w:val="0"/>
              <w:spacing w:line="240" w:lineRule="exact"/>
              <w:jc w:val="center"/>
              <w:rPr>
                <w:rFonts w:ascii="Times New Roman" w:hAnsi="Times New Roman"/>
                <w:sz w:val="21"/>
                <w:szCs w:val="21"/>
              </w:rPr>
            </w:pPr>
            <w:r>
              <w:rPr>
                <w:rFonts w:ascii="Times New Roman" w:hAnsi="Times New Roman"/>
                <w:sz w:val="21"/>
                <w:szCs w:val="21"/>
              </w:rPr>
              <w:t>矿井开采沉陷区</w:t>
            </w:r>
          </w:p>
        </w:tc>
        <w:tc>
          <w:tcPr>
            <w:tcW w:w="1660" w:type="dxa"/>
            <w:vAlign w:val="center"/>
          </w:tcPr>
          <w:p w14:paraId="21A2C652" w14:textId="77777777" w:rsidR="009C353B" w:rsidRDefault="00000000">
            <w:pPr>
              <w:tabs>
                <w:tab w:val="left" w:pos="923"/>
              </w:tabs>
              <w:snapToGrid w:val="0"/>
              <w:spacing w:line="240" w:lineRule="exact"/>
              <w:rPr>
                <w:rFonts w:ascii="Times New Roman" w:hAnsi="Times New Roman"/>
                <w:sz w:val="21"/>
                <w:szCs w:val="21"/>
              </w:rPr>
            </w:pPr>
            <w:r>
              <w:rPr>
                <w:rFonts w:ascii="Times New Roman" w:hAnsi="Times New Roman" w:hint="eastAsia"/>
                <w:sz w:val="21"/>
                <w:szCs w:val="21"/>
              </w:rPr>
              <w:t>由各煤矿地测科负责，建立岩移观测站</w:t>
            </w:r>
          </w:p>
        </w:tc>
      </w:tr>
    </w:tbl>
    <w:p w14:paraId="7B6BD691" w14:textId="77777777" w:rsidR="009C353B" w:rsidRDefault="009C353B">
      <w:pPr>
        <w:rPr>
          <w:rFonts w:ascii="Times New Roman" w:hAnsi="Times New Roman"/>
          <w:sz w:val="21"/>
          <w:szCs w:val="21"/>
        </w:rPr>
      </w:pPr>
      <w:bookmarkStart w:id="390" w:name="_Toc125193035"/>
    </w:p>
    <w:bookmarkEnd w:id="390"/>
    <w:p w14:paraId="73136325" w14:textId="77777777" w:rsidR="009C353B" w:rsidRDefault="00000000">
      <w:pPr>
        <w:pStyle w:val="3"/>
        <w:adjustRightInd w:val="0"/>
        <w:spacing w:before="0" w:after="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0</w:t>
      </w:r>
      <w:r>
        <w:rPr>
          <w:rFonts w:ascii="Times New Roman" w:hAnsi="Times New Roman" w:hint="eastAsia"/>
          <w:sz w:val="24"/>
        </w:rPr>
        <w:t>.2.4</w:t>
      </w:r>
      <w:r>
        <w:rPr>
          <w:rFonts w:ascii="Times New Roman" w:hAnsi="Times New Roman"/>
          <w:sz w:val="24"/>
        </w:rPr>
        <w:t xml:space="preserve"> </w:t>
      </w:r>
      <w:r>
        <w:rPr>
          <w:rFonts w:ascii="Times New Roman" w:hAnsi="Times New Roman" w:hint="eastAsia"/>
          <w:sz w:val="24"/>
        </w:rPr>
        <w:t>污染事故的应急</w:t>
      </w:r>
      <w:r>
        <w:rPr>
          <w:rFonts w:ascii="Times New Roman" w:hAnsi="Times New Roman"/>
          <w:sz w:val="24"/>
        </w:rPr>
        <w:t>监测</w:t>
      </w:r>
    </w:p>
    <w:p w14:paraId="49CF86FD" w14:textId="77777777" w:rsidR="009C353B" w:rsidRDefault="00000000">
      <w:pPr>
        <w:adjustRightInd w:val="0"/>
        <w:spacing w:line="440" w:lineRule="exact"/>
        <w:ind w:firstLine="482"/>
        <w:rPr>
          <w:rFonts w:ascii="Times New Roman" w:hAnsi="Times New Roman"/>
        </w:rPr>
      </w:pPr>
      <w:r>
        <w:rPr>
          <w:rFonts w:ascii="Times New Roman" w:hAnsi="Times New Roman"/>
        </w:rPr>
        <w:t>由于环境污染事故一般具有突发性、不确定性、变动性、危险性，因此必须建立应急监测机构和完善的应急监测流程，配置具有先进水平的流动监测装置，确定主要污染物应急监测及处置方法，对突发的污染事故进行应急监测。</w:t>
      </w:r>
    </w:p>
    <w:p w14:paraId="397A7E30" w14:textId="77777777" w:rsidR="009C353B" w:rsidRDefault="00000000">
      <w:pPr>
        <w:adjustRightInd w:val="0"/>
        <w:spacing w:line="440" w:lineRule="exact"/>
        <w:ind w:firstLine="482"/>
        <w:rPr>
          <w:rFonts w:ascii="Times New Roman" w:hAnsi="Times New Roman"/>
        </w:rPr>
      </w:pPr>
      <w:r>
        <w:rPr>
          <w:rFonts w:ascii="Times New Roman" w:hAnsi="Times New Roman"/>
        </w:rPr>
        <w:t>对此，建议</w:t>
      </w:r>
      <w:r>
        <w:rPr>
          <w:rFonts w:ascii="Times New Roman" w:hAnsi="Times New Roman" w:hint="eastAsia"/>
        </w:rPr>
        <w:t>在矿区环境管理机构的基础上，结合矿区生产安全监督部门</w:t>
      </w:r>
      <w:r>
        <w:rPr>
          <w:rFonts w:ascii="Times New Roman" w:hAnsi="Times New Roman"/>
        </w:rPr>
        <w:t>共同组建矿区环境事故应急领导和监测小组，同时建立环境污染事故应急专家咨询系统，广泛聘请科研、消防、工矿部门专家参加；环境事故监测小组应配备各种应急监测仪器及设备，应当组织力量对区内可能发生的污染事故调查取证程序和内容、不明污染物分析、监测方案、质量控制等环节予以研究。</w:t>
      </w:r>
    </w:p>
    <w:p w14:paraId="2B47CEF5" w14:textId="77777777" w:rsidR="009C353B" w:rsidRDefault="00000000">
      <w:pPr>
        <w:pStyle w:val="2"/>
        <w:adjustRightInd w:val="0"/>
        <w:snapToGrid w:val="0"/>
        <w:spacing w:line="440" w:lineRule="exact"/>
        <w:jc w:val="left"/>
        <w:rPr>
          <w:rFonts w:ascii="Times New Roman" w:eastAsia="宋体" w:hAnsi="Times New Roman"/>
          <w:b/>
          <w:sz w:val="28"/>
        </w:rPr>
      </w:pPr>
      <w:bookmarkStart w:id="391" w:name="_Toc163441052"/>
      <w:bookmarkStart w:id="392" w:name="_Toc125193036"/>
      <w:bookmarkStart w:id="393" w:name="_Toc59189880"/>
      <w:r>
        <w:rPr>
          <w:rFonts w:ascii="Times New Roman" w:eastAsia="宋体" w:hAnsi="Times New Roman"/>
          <w:b/>
          <w:sz w:val="28"/>
        </w:rPr>
        <w:t xml:space="preserve">10.3 </w:t>
      </w:r>
      <w:r>
        <w:rPr>
          <w:rFonts w:ascii="Times New Roman" w:eastAsia="宋体" w:hAnsi="Times New Roman"/>
          <w:b/>
          <w:sz w:val="28"/>
        </w:rPr>
        <w:t>跟踪</w:t>
      </w:r>
      <w:bookmarkEnd w:id="391"/>
      <w:bookmarkEnd w:id="392"/>
      <w:r>
        <w:rPr>
          <w:rFonts w:ascii="Times New Roman" w:eastAsia="宋体" w:hAnsi="Times New Roman"/>
          <w:b/>
          <w:sz w:val="28"/>
        </w:rPr>
        <w:t>评价</w:t>
      </w:r>
      <w:bookmarkEnd w:id="393"/>
    </w:p>
    <w:p w14:paraId="7CDB4678" w14:textId="77777777" w:rsidR="009C353B" w:rsidRDefault="00000000">
      <w:pPr>
        <w:spacing w:line="440" w:lineRule="exact"/>
        <w:ind w:firstLineChars="200" w:firstLine="480"/>
        <w:rPr>
          <w:rFonts w:ascii="Times New Roman" w:hAnsi="Times New Roman"/>
        </w:rPr>
      </w:pPr>
      <w:r>
        <w:rPr>
          <w:rFonts w:ascii="Times New Roman" w:hAnsi="Times New Roman"/>
        </w:rPr>
        <w:t>跟踪评价是指对规划实施所产生的环境影响进行监测、分析、评价，用以验证规划环境影响评价的准确性和判定减缓措施的有效性，并提出改进措施的过程。</w:t>
      </w:r>
    </w:p>
    <w:p w14:paraId="032B7603" w14:textId="77777777" w:rsidR="009C353B" w:rsidRDefault="00000000">
      <w:pPr>
        <w:pStyle w:val="3"/>
        <w:adjustRightInd w:val="0"/>
        <w:snapToGrid w:val="0"/>
        <w:spacing w:before="0" w:after="0" w:line="440" w:lineRule="exact"/>
        <w:rPr>
          <w:rFonts w:ascii="Times New Roman" w:hAnsi="Times New Roman"/>
          <w:sz w:val="24"/>
        </w:rPr>
      </w:pPr>
      <w:bookmarkStart w:id="394" w:name="_Toc125193038"/>
      <w:r>
        <w:rPr>
          <w:rFonts w:ascii="Times New Roman" w:hAnsi="Times New Roman"/>
          <w:sz w:val="24"/>
        </w:rPr>
        <w:t xml:space="preserve">10.3.1 </w:t>
      </w:r>
      <w:r>
        <w:rPr>
          <w:rFonts w:ascii="Times New Roman" w:hAnsi="Times New Roman"/>
          <w:sz w:val="24"/>
        </w:rPr>
        <w:t>跟踪</w:t>
      </w:r>
      <w:bookmarkEnd w:id="394"/>
      <w:r>
        <w:rPr>
          <w:rFonts w:ascii="Times New Roman" w:hAnsi="Times New Roman"/>
          <w:sz w:val="24"/>
        </w:rPr>
        <w:t>评价的意义</w:t>
      </w:r>
    </w:p>
    <w:p w14:paraId="355B13D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跟踪评价是规划环境影响评价的重要补充，是确保规划实施对环境产生的影响在可控制范围内的重要保障。通过对规划环境影响的跟踪评价，具体有如下几个意义：</w:t>
      </w:r>
    </w:p>
    <w:p w14:paraId="021565F9"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）促进环境保护</w:t>
      </w:r>
    </w:p>
    <w:p w14:paraId="09F5A86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从环境保护角度，通过对环境影响事前评价的各种环境要素进行针对性的监测、检查与统计，以确定其实际变化量；并与环境影响报告书中经环保设施处理后的预测变化量进行比较分析；同时从整体上，对评价客体对环境所造成的实际影响与预测中的影响进行比较，并对结果进行分析评价；进一步分析其原因，最后通过对环境影响评价效果的评价，进一步修整和完善所采取的替代方案与对策。</w:t>
      </w:r>
    </w:p>
    <w:p w14:paraId="304AFC19"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）检验宏观经济决策</w:t>
      </w:r>
    </w:p>
    <w:p w14:paraId="47B612C7"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从经济发展角度，首先，在微观层面对投入使用的环保设施的实际投入和产出进行经济效益分析，以确定其是否达到了预想的最佳效果；其次，在宏观层面上对经济与环境之间的相互影响进行损益分析，对矿区发展规划实际造成的环境污染和环境破坏及其所带来的实际经济效益进行比较分析，以判断宏观决策正确与否。</w:t>
      </w:r>
    </w:p>
    <w:p w14:paraId="2EFB46BB"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3</w:t>
      </w:r>
      <w:r>
        <w:rPr>
          <w:rFonts w:ascii="Times New Roman" w:hAnsi="Times New Roman"/>
          <w:b/>
        </w:rPr>
        <w:t>）有利于可持续发展</w:t>
      </w:r>
    </w:p>
    <w:p w14:paraId="78D53B6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从实现可持续发展的角度和维持生态环境良性发展角度，通过跟踪评价，结合矿区生态环境所具有的整体性、区域性和不可逆性的特点，系统分析和评价规划实施导致规划区生态环境的改变，分析规划实施后，环境承载力是否被突破，经济、社会及环境的发展是否协调，检验矿区发展规划区的可持续发展能力是否减弱。最后，总结规划实施过程中所获取的经验教训，从而指导日后的发展。</w:t>
      </w:r>
    </w:p>
    <w:p w14:paraId="2755364A" w14:textId="77777777" w:rsidR="009C353B" w:rsidRDefault="00000000">
      <w:pPr>
        <w:pStyle w:val="3"/>
        <w:adjustRightInd w:val="0"/>
        <w:snapToGrid w:val="0"/>
        <w:spacing w:before="0" w:after="0" w:line="440" w:lineRule="exact"/>
        <w:rPr>
          <w:rFonts w:ascii="Times New Roman" w:hAnsi="Times New Roman"/>
          <w:sz w:val="24"/>
        </w:rPr>
      </w:pPr>
      <w:bookmarkStart w:id="395" w:name="_Toc125193037"/>
      <w:r>
        <w:rPr>
          <w:rFonts w:ascii="Times New Roman" w:hAnsi="Times New Roman"/>
          <w:sz w:val="24"/>
        </w:rPr>
        <w:t xml:space="preserve">10.3.2 </w:t>
      </w:r>
      <w:r>
        <w:rPr>
          <w:rFonts w:ascii="Times New Roman" w:hAnsi="Times New Roman"/>
          <w:sz w:val="24"/>
        </w:rPr>
        <w:t>跟踪</w:t>
      </w:r>
      <w:bookmarkEnd w:id="395"/>
      <w:r>
        <w:rPr>
          <w:rFonts w:ascii="Times New Roman" w:hAnsi="Times New Roman"/>
          <w:sz w:val="24"/>
        </w:rPr>
        <w:t>评价时段</w:t>
      </w:r>
    </w:p>
    <w:p w14:paraId="0B10743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跟踪评价时段应当和矿区规划时段相一致。</w:t>
      </w:r>
    </w:p>
    <w:p w14:paraId="11468EAA"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10.3.3 </w:t>
      </w:r>
      <w:r>
        <w:rPr>
          <w:rFonts w:ascii="Times New Roman" w:hAnsi="Times New Roman"/>
          <w:sz w:val="24"/>
        </w:rPr>
        <w:t>跟踪评价内容</w:t>
      </w:r>
    </w:p>
    <w:p w14:paraId="5ADBC3D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规划的编制机关应当在对环境有重大不良影响的规划实施过程中，会同环境保护行政主管部门对规划的实施情况进行环境影响跟踪评价，并将评价结果报告审批机关。主要跟踪评价内容如下：</w:t>
      </w:r>
    </w:p>
    <w:p w14:paraId="3BF4A56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）根据环境影响报告书在规划区污染防治对策与减缓措施中提出的各项防治措施是否在规划实施过程中得到是全面落实；</w:t>
      </w:r>
    </w:p>
    <w:p w14:paraId="337B721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）在规划实施过程中对环境造成的实际影响与环境影响报告书分析、预测和评估结论是否一致；</w:t>
      </w:r>
    </w:p>
    <w:p w14:paraId="21D56D6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）对规划实施过程中产生的新的不良环境影响作出分析，并提出改进措施；</w:t>
      </w:r>
    </w:p>
    <w:p w14:paraId="13D291A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）对正在实施的规划提出修改意见。</w:t>
      </w:r>
    </w:p>
    <w:p w14:paraId="1029DACE" w14:textId="77777777" w:rsidR="009C353B" w:rsidRDefault="00000000">
      <w:pPr>
        <w:pStyle w:val="3"/>
        <w:adjustRightInd w:val="0"/>
        <w:snapToGrid w:val="0"/>
        <w:spacing w:before="0" w:after="0" w:line="440" w:lineRule="exact"/>
        <w:rPr>
          <w:rFonts w:ascii="Times New Roman" w:hAnsi="Times New Roman"/>
          <w:sz w:val="24"/>
        </w:rPr>
      </w:pPr>
      <w:bookmarkStart w:id="396" w:name="_Toc125193041"/>
      <w:r>
        <w:rPr>
          <w:rFonts w:ascii="Times New Roman" w:hAnsi="Times New Roman"/>
          <w:sz w:val="24"/>
        </w:rPr>
        <w:t xml:space="preserve">10.3.4 </w:t>
      </w:r>
      <w:r>
        <w:rPr>
          <w:rFonts w:ascii="Times New Roman" w:hAnsi="Times New Roman"/>
          <w:sz w:val="24"/>
        </w:rPr>
        <w:t>跟踪评价</w:t>
      </w:r>
      <w:bookmarkEnd w:id="396"/>
      <w:r>
        <w:rPr>
          <w:rFonts w:ascii="Times New Roman" w:hAnsi="Times New Roman"/>
          <w:sz w:val="24"/>
        </w:rPr>
        <w:t>计划</w:t>
      </w:r>
    </w:p>
    <w:p w14:paraId="30BBDA58" w14:textId="77777777" w:rsidR="009C353B" w:rsidRDefault="00000000">
      <w:pPr>
        <w:spacing w:line="420" w:lineRule="exact"/>
        <w:ind w:firstLineChars="200" w:firstLine="480"/>
        <w:rPr>
          <w:rFonts w:ascii="Times New Roman" w:hAnsi="Times New Roman"/>
        </w:rPr>
      </w:pPr>
      <w:r>
        <w:rPr>
          <w:rFonts w:ascii="Times New Roman" w:hAnsi="Times New Roman"/>
        </w:rPr>
        <w:t>根据环发〔</w:t>
      </w:r>
      <w:r>
        <w:rPr>
          <w:rFonts w:ascii="Times New Roman" w:hAnsi="Times New Roman"/>
        </w:rPr>
        <w:t>2015</w:t>
      </w:r>
      <w:r>
        <w:rPr>
          <w:rFonts w:ascii="Times New Roman" w:hAnsi="Times New Roman"/>
        </w:rPr>
        <w:t>〕</w:t>
      </w:r>
      <w:r>
        <w:rPr>
          <w:rFonts w:ascii="Times New Roman" w:hAnsi="Times New Roman"/>
        </w:rPr>
        <w:t>178</w:t>
      </w:r>
      <w:r>
        <w:rPr>
          <w:rFonts w:ascii="Times New Roman" w:hAnsi="Times New Roman"/>
        </w:rPr>
        <w:t>号《</w:t>
      </w:r>
      <w:r>
        <w:rPr>
          <w:rFonts w:ascii="Times New Roman" w:hAnsi="Times New Roman"/>
          <w:bCs/>
          <w:kern w:val="0"/>
        </w:rPr>
        <w:t>关于加强规划环境影响评价与建设项目环境影响评价联动工作的意见</w:t>
      </w:r>
      <w:r>
        <w:rPr>
          <w:rFonts w:ascii="Times New Roman" w:hAnsi="Times New Roman"/>
        </w:rPr>
        <w:t>》有关要求，矿区应做好以下跟踪评价：</w:t>
      </w:r>
    </w:p>
    <w:p w14:paraId="31B41CB7" w14:textId="77777777" w:rsidR="009C353B" w:rsidRDefault="00000000">
      <w:pPr>
        <w:spacing w:line="420" w:lineRule="exact"/>
        <w:ind w:firstLineChars="200" w:firstLine="480"/>
        <w:rPr>
          <w:rFonts w:ascii="Times New Roman" w:hAnsi="Times New Roman"/>
          <w:kern w:val="0"/>
        </w:rPr>
      </w:pPr>
      <w:r>
        <w:rPr>
          <w:rFonts w:ascii="Times New Roman" w:hAnsi="Times New Roman"/>
        </w:rPr>
        <w:t>（</w:t>
      </w:r>
      <w:r>
        <w:rPr>
          <w:rFonts w:ascii="Times New Roman" w:hAnsi="Times New Roman"/>
        </w:rPr>
        <w:t>1</w:t>
      </w:r>
      <w:r>
        <w:rPr>
          <w:rFonts w:ascii="Times New Roman" w:hAnsi="Times New Roman"/>
        </w:rPr>
        <w:t>）应跟踪评价本次环评提出的</w:t>
      </w:r>
      <w:r>
        <w:rPr>
          <w:rFonts w:ascii="Times New Roman" w:hAnsi="Times New Roman"/>
          <w:kern w:val="0"/>
        </w:rPr>
        <w:t>优化矿产资源开发的布局、规模、开发方式、建设时序等建议，是否得到落实；</w:t>
      </w:r>
    </w:p>
    <w:p w14:paraId="65BE5B8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）应跟踪评价矿井开发后实际的环境影响到底是什么程度，尤其生态恢复措施、地表沉陷表现形式，对敏感保护目标的影响，各项环境影响减缓措施的有效性，总结经验。跟踪评价计划见表</w:t>
      </w:r>
      <w:r>
        <w:rPr>
          <w:rFonts w:ascii="Times New Roman" w:hAnsi="Times New Roman"/>
        </w:rPr>
        <w:t>10.3-1</w:t>
      </w:r>
      <w:r>
        <w:rPr>
          <w:rFonts w:ascii="Times New Roman" w:hAnsi="Times New Roman"/>
        </w:rPr>
        <w:t>。</w:t>
      </w:r>
    </w:p>
    <w:p w14:paraId="52CAACC6" w14:textId="77777777" w:rsidR="009C353B" w:rsidRDefault="00000000">
      <w:pPr>
        <w:adjustRightInd w:val="0"/>
        <w:snapToGrid w:val="0"/>
        <w:spacing w:line="440" w:lineRule="exact"/>
        <w:jc w:val="center"/>
        <w:rPr>
          <w:rFonts w:ascii="Times New Roman" w:hAnsi="Times New Roman"/>
          <w:b/>
        </w:rPr>
      </w:pPr>
      <w:r>
        <w:rPr>
          <w:rFonts w:ascii="Times New Roman" w:hAnsi="Times New Roman"/>
          <w:b/>
        </w:rPr>
        <w:t>跟踪评价计划</w:t>
      </w:r>
    </w:p>
    <w:p w14:paraId="44531A7F" w14:textId="77777777" w:rsidR="009C353B" w:rsidRDefault="00000000">
      <w:pPr>
        <w:pStyle w:val="affffd"/>
        <w:spacing w:line="440" w:lineRule="exact"/>
        <w:rPr>
          <w:rFonts w:ascii="Times New Roman" w:hAnsi="Times New Roman"/>
        </w:rPr>
      </w:pPr>
      <w:r>
        <w:rPr>
          <w:rFonts w:ascii="Times New Roman" w:hAnsi="Times New Roman"/>
        </w:rPr>
        <w:t>表</w:t>
      </w:r>
      <w:r>
        <w:rPr>
          <w:rFonts w:ascii="Times New Roman" w:hAnsi="Times New Roman"/>
        </w:rPr>
        <w:t>10.3-1</w:t>
      </w:r>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bottom w:w="28" w:type="dxa"/>
          <w:right w:w="0" w:type="dxa"/>
        </w:tblCellMar>
        <w:tblLook w:val="04A0" w:firstRow="1" w:lastRow="0" w:firstColumn="1" w:lastColumn="0" w:noHBand="0" w:noVBand="1"/>
      </w:tblPr>
      <w:tblGrid>
        <w:gridCol w:w="1050"/>
        <w:gridCol w:w="1639"/>
        <w:gridCol w:w="3827"/>
        <w:gridCol w:w="2394"/>
      </w:tblGrid>
      <w:tr w:rsidR="009C353B" w14:paraId="20398396" w14:textId="77777777">
        <w:trPr>
          <w:trHeight w:val="474"/>
          <w:jc w:val="center"/>
        </w:trPr>
        <w:tc>
          <w:tcPr>
            <w:tcW w:w="1050" w:type="dxa"/>
            <w:vAlign w:val="center"/>
          </w:tcPr>
          <w:p w14:paraId="432C4990" w14:textId="77777777" w:rsidR="009C353B" w:rsidRDefault="00000000">
            <w:pPr>
              <w:adjustRightInd w:val="0"/>
              <w:snapToGrid w:val="0"/>
              <w:spacing w:line="240" w:lineRule="atLeast"/>
              <w:jc w:val="center"/>
              <w:rPr>
                <w:rFonts w:ascii="Times New Roman" w:hAnsi="Times New Roman"/>
                <w:sz w:val="21"/>
                <w:szCs w:val="21"/>
              </w:rPr>
            </w:pPr>
            <w:bookmarkStart w:id="397" w:name="_Toc478109801"/>
            <w:bookmarkStart w:id="398" w:name="_Toc483995139"/>
            <w:bookmarkStart w:id="399" w:name="_Toc479736186"/>
            <w:bookmarkStart w:id="400" w:name="_Toc486994369"/>
            <w:bookmarkStart w:id="401" w:name="_Toc506693958"/>
            <w:bookmarkStart w:id="402" w:name="_Toc504553744"/>
            <w:r>
              <w:rPr>
                <w:rFonts w:ascii="Times New Roman"/>
                <w:sz w:val="21"/>
                <w:szCs w:val="21"/>
              </w:rPr>
              <w:t>项目</w:t>
            </w:r>
            <w:bookmarkEnd w:id="397"/>
            <w:bookmarkEnd w:id="398"/>
            <w:bookmarkEnd w:id="399"/>
            <w:bookmarkEnd w:id="400"/>
            <w:bookmarkEnd w:id="401"/>
            <w:bookmarkEnd w:id="402"/>
          </w:p>
        </w:tc>
        <w:tc>
          <w:tcPr>
            <w:tcW w:w="1639" w:type="dxa"/>
            <w:vAlign w:val="center"/>
          </w:tcPr>
          <w:p w14:paraId="150EE179" w14:textId="77777777" w:rsidR="009C353B" w:rsidRDefault="00000000">
            <w:pPr>
              <w:adjustRightInd w:val="0"/>
              <w:snapToGrid w:val="0"/>
              <w:spacing w:line="240" w:lineRule="atLeast"/>
              <w:jc w:val="center"/>
              <w:rPr>
                <w:rFonts w:ascii="Times New Roman" w:hAnsi="Times New Roman"/>
                <w:sz w:val="21"/>
                <w:szCs w:val="21"/>
              </w:rPr>
            </w:pPr>
            <w:bookmarkStart w:id="403" w:name="_Toc478109802"/>
            <w:bookmarkStart w:id="404" w:name="_Toc479736187"/>
            <w:bookmarkStart w:id="405" w:name="_Toc506693959"/>
            <w:bookmarkStart w:id="406" w:name="_Toc483995140"/>
            <w:bookmarkStart w:id="407" w:name="_Toc486994370"/>
            <w:bookmarkStart w:id="408" w:name="_Toc504553745"/>
            <w:r>
              <w:rPr>
                <w:rFonts w:ascii="Times New Roman"/>
                <w:sz w:val="21"/>
                <w:szCs w:val="21"/>
              </w:rPr>
              <w:t>跟踪评价对象</w:t>
            </w:r>
            <w:bookmarkEnd w:id="403"/>
            <w:bookmarkEnd w:id="404"/>
            <w:bookmarkEnd w:id="405"/>
            <w:bookmarkEnd w:id="406"/>
            <w:bookmarkEnd w:id="407"/>
            <w:bookmarkEnd w:id="408"/>
          </w:p>
        </w:tc>
        <w:tc>
          <w:tcPr>
            <w:tcW w:w="3827" w:type="dxa"/>
            <w:vAlign w:val="center"/>
          </w:tcPr>
          <w:p w14:paraId="76EC8F5C" w14:textId="77777777" w:rsidR="009C353B" w:rsidRDefault="00000000">
            <w:pPr>
              <w:adjustRightInd w:val="0"/>
              <w:snapToGrid w:val="0"/>
              <w:spacing w:line="240" w:lineRule="atLeast"/>
              <w:jc w:val="center"/>
              <w:rPr>
                <w:rFonts w:ascii="Times New Roman" w:hAnsi="Times New Roman"/>
                <w:sz w:val="21"/>
                <w:szCs w:val="21"/>
              </w:rPr>
            </w:pPr>
            <w:bookmarkStart w:id="409" w:name="_Toc478109803"/>
            <w:bookmarkStart w:id="410" w:name="_Toc486994371"/>
            <w:bookmarkStart w:id="411" w:name="_Toc504553746"/>
            <w:bookmarkStart w:id="412" w:name="_Toc479736188"/>
            <w:bookmarkStart w:id="413" w:name="_Toc483995141"/>
            <w:bookmarkStart w:id="414" w:name="_Toc506693960"/>
            <w:r>
              <w:rPr>
                <w:rFonts w:ascii="Times New Roman"/>
                <w:sz w:val="21"/>
                <w:szCs w:val="21"/>
              </w:rPr>
              <w:t>评价重点内容</w:t>
            </w:r>
            <w:bookmarkEnd w:id="409"/>
            <w:bookmarkEnd w:id="410"/>
            <w:bookmarkEnd w:id="411"/>
            <w:bookmarkEnd w:id="412"/>
            <w:bookmarkEnd w:id="413"/>
            <w:bookmarkEnd w:id="414"/>
          </w:p>
        </w:tc>
        <w:tc>
          <w:tcPr>
            <w:tcW w:w="2394" w:type="dxa"/>
            <w:vAlign w:val="center"/>
          </w:tcPr>
          <w:p w14:paraId="6C44A34C" w14:textId="77777777" w:rsidR="009C353B" w:rsidRDefault="00000000">
            <w:pPr>
              <w:adjustRightInd w:val="0"/>
              <w:snapToGrid w:val="0"/>
              <w:spacing w:line="240" w:lineRule="atLeast"/>
              <w:jc w:val="center"/>
              <w:rPr>
                <w:rFonts w:ascii="Times New Roman" w:hAnsi="Times New Roman"/>
                <w:sz w:val="21"/>
                <w:szCs w:val="21"/>
              </w:rPr>
            </w:pPr>
            <w:bookmarkStart w:id="415" w:name="_Toc479736189"/>
            <w:bookmarkStart w:id="416" w:name="_Toc504553747"/>
            <w:bookmarkStart w:id="417" w:name="_Toc506693961"/>
            <w:bookmarkStart w:id="418" w:name="_Toc483995142"/>
            <w:bookmarkStart w:id="419" w:name="_Toc478109804"/>
            <w:bookmarkStart w:id="420" w:name="_Toc486994372"/>
            <w:r>
              <w:rPr>
                <w:rFonts w:ascii="Times New Roman"/>
                <w:sz w:val="21"/>
                <w:szCs w:val="21"/>
              </w:rPr>
              <w:t>主要目的和意义</w:t>
            </w:r>
            <w:bookmarkEnd w:id="415"/>
            <w:bookmarkEnd w:id="416"/>
            <w:bookmarkEnd w:id="417"/>
            <w:bookmarkEnd w:id="418"/>
            <w:bookmarkEnd w:id="419"/>
            <w:bookmarkEnd w:id="420"/>
          </w:p>
        </w:tc>
      </w:tr>
      <w:tr w:rsidR="009C353B" w14:paraId="19C608D6" w14:textId="77777777">
        <w:trPr>
          <w:jc w:val="center"/>
        </w:trPr>
        <w:tc>
          <w:tcPr>
            <w:tcW w:w="2689" w:type="dxa"/>
            <w:gridSpan w:val="2"/>
            <w:vAlign w:val="center"/>
          </w:tcPr>
          <w:p w14:paraId="5979D766" w14:textId="77777777" w:rsidR="009C353B" w:rsidRDefault="00000000">
            <w:pPr>
              <w:adjustRightInd w:val="0"/>
              <w:snapToGrid w:val="0"/>
              <w:spacing w:line="240" w:lineRule="atLeast"/>
              <w:rPr>
                <w:rFonts w:ascii="Times New Roman" w:hAnsi="Times New Roman"/>
                <w:sz w:val="21"/>
                <w:szCs w:val="21"/>
              </w:rPr>
            </w:pPr>
            <w:r>
              <w:rPr>
                <w:rFonts w:ascii="Times New Roman"/>
                <w:sz w:val="21"/>
                <w:szCs w:val="21"/>
              </w:rPr>
              <w:t>煤矿：</w:t>
            </w:r>
          </w:p>
          <w:p w14:paraId="32494FF4"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马莲台煤矿（</w:t>
            </w:r>
            <w:r>
              <w:rPr>
                <w:rFonts w:ascii="Times New Roman" w:hAnsi="Times New Roman" w:hint="eastAsia"/>
                <w:sz w:val="21"/>
                <w:szCs w:val="21"/>
              </w:rPr>
              <w:t>3.</w:t>
            </w:r>
            <w:r>
              <w:rPr>
                <w:rFonts w:ascii="Times New Roman" w:hAnsi="Times New Roman"/>
                <w:sz w:val="21"/>
                <w:szCs w:val="21"/>
              </w:rPr>
              <w:t>6Mt/a</w:t>
            </w:r>
            <w:r>
              <w:rPr>
                <w:rFonts w:ascii="Times New Roman" w:hAnsi="Times New Roman" w:hint="eastAsia"/>
                <w:sz w:val="21"/>
                <w:szCs w:val="21"/>
              </w:rPr>
              <w:t>）</w:t>
            </w:r>
          </w:p>
          <w:p w14:paraId="418D0CB2"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红石湾煤矿（</w:t>
            </w:r>
            <w:r>
              <w:rPr>
                <w:rFonts w:ascii="Times New Roman" w:hAnsi="Times New Roman"/>
                <w:sz w:val="21"/>
                <w:szCs w:val="21"/>
              </w:rPr>
              <w:t>1.1Mt/a</w:t>
            </w:r>
            <w:r>
              <w:rPr>
                <w:rFonts w:ascii="Times New Roman" w:hAnsi="Times New Roman" w:hint="eastAsia"/>
                <w:sz w:val="21"/>
                <w:szCs w:val="21"/>
              </w:rPr>
              <w:t>）</w:t>
            </w:r>
          </w:p>
          <w:p w14:paraId="5B2CE653"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任家庄煤矿（</w:t>
            </w:r>
            <w:r>
              <w:rPr>
                <w:rFonts w:ascii="Times New Roman" w:hAnsi="Times New Roman" w:hint="eastAsia"/>
                <w:sz w:val="21"/>
                <w:szCs w:val="21"/>
              </w:rPr>
              <w:t>3.</w:t>
            </w:r>
            <w:r>
              <w:rPr>
                <w:rFonts w:ascii="Times New Roman" w:hAnsi="Times New Roman"/>
                <w:sz w:val="21"/>
                <w:szCs w:val="21"/>
              </w:rPr>
              <w:t>6Mt/a</w:t>
            </w:r>
            <w:r>
              <w:rPr>
                <w:rFonts w:ascii="Times New Roman" w:hAnsi="Times New Roman" w:hint="eastAsia"/>
                <w:sz w:val="21"/>
                <w:szCs w:val="21"/>
              </w:rPr>
              <w:t>）</w:t>
            </w:r>
          </w:p>
          <w:p w14:paraId="648CD9F0"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丁家梁煤矿（</w:t>
            </w:r>
            <w:r>
              <w:rPr>
                <w:rFonts w:ascii="Times New Roman" w:hAnsi="Times New Roman"/>
                <w:sz w:val="21"/>
                <w:szCs w:val="21"/>
              </w:rPr>
              <w:t>1.8Mt/a</w:t>
            </w:r>
            <w:r>
              <w:rPr>
                <w:rFonts w:ascii="Times New Roman" w:hAnsi="Times New Roman" w:hint="eastAsia"/>
                <w:sz w:val="21"/>
                <w:szCs w:val="21"/>
              </w:rPr>
              <w:t>）</w:t>
            </w:r>
          </w:p>
        </w:tc>
        <w:tc>
          <w:tcPr>
            <w:tcW w:w="3827" w:type="dxa"/>
            <w:vAlign w:val="center"/>
          </w:tcPr>
          <w:p w14:paraId="0A91B996" w14:textId="77777777" w:rsidR="009C353B" w:rsidRDefault="00000000">
            <w:pPr>
              <w:adjustRightInd w:val="0"/>
              <w:snapToGrid w:val="0"/>
              <w:spacing w:line="240" w:lineRule="atLeast"/>
              <w:rPr>
                <w:rFonts w:ascii="Times New Roman" w:hint="eastAsia"/>
                <w:sz w:val="21"/>
                <w:szCs w:val="21"/>
              </w:rPr>
            </w:pPr>
            <w:r>
              <w:rPr>
                <w:rFonts w:ascii="Times New Roman" w:hAnsi="Times New Roman"/>
                <w:sz w:val="21"/>
                <w:szCs w:val="21"/>
              </w:rPr>
              <w:t>生态整治与恢复情况；</w:t>
            </w:r>
            <w:r>
              <w:rPr>
                <w:rFonts w:ascii="Times New Roman" w:hAnsi="Times New Roman"/>
                <w:sz w:val="21"/>
                <w:szCs w:val="21"/>
              </w:rPr>
              <w:t>“</w:t>
            </w:r>
            <w:r>
              <w:rPr>
                <w:rFonts w:ascii="Times New Roman" w:hAnsi="Times New Roman"/>
                <w:sz w:val="21"/>
                <w:szCs w:val="21"/>
              </w:rPr>
              <w:t>三废</w:t>
            </w:r>
            <w:r>
              <w:rPr>
                <w:rFonts w:ascii="Times New Roman" w:hAnsi="Times New Roman"/>
                <w:sz w:val="21"/>
                <w:szCs w:val="21"/>
              </w:rPr>
              <w:t>”</w:t>
            </w:r>
            <w:r>
              <w:rPr>
                <w:rFonts w:ascii="Times New Roman" w:hAnsi="Times New Roman"/>
                <w:sz w:val="21"/>
                <w:szCs w:val="21"/>
              </w:rPr>
              <w:t>治理情况及相配套的污染防治措施和生态保护措施落实运行情况。</w:t>
            </w:r>
          </w:p>
        </w:tc>
        <w:tc>
          <w:tcPr>
            <w:tcW w:w="2394" w:type="dxa"/>
          </w:tcPr>
          <w:p w14:paraId="13896A77" w14:textId="77777777" w:rsidR="009C353B" w:rsidRDefault="00000000">
            <w:pPr>
              <w:adjustRightInd w:val="0"/>
              <w:snapToGrid w:val="0"/>
              <w:spacing w:line="240" w:lineRule="atLeast"/>
              <w:rPr>
                <w:rFonts w:ascii="Times New Roman" w:hint="eastAsia"/>
                <w:sz w:val="21"/>
                <w:szCs w:val="21"/>
              </w:rPr>
            </w:pPr>
            <w:r>
              <w:rPr>
                <w:rFonts w:ascii="Times New Roman" w:hAnsi="Times New Roman"/>
                <w:sz w:val="21"/>
                <w:szCs w:val="21"/>
              </w:rPr>
              <w:t>煤矿：掌握矿井开采对比沉陷影响及污染物排放对各环境要素及生态影响情况；掌握环保措施的有效性和实施情况，资源综合利用情况和清洁生产水平现状。</w:t>
            </w:r>
          </w:p>
        </w:tc>
      </w:tr>
    </w:tbl>
    <w:p w14:paraId="5D4DB6A8" w14:textId="77777777" w:rsidR="009C353B" w:rsidRDefault="009C353B">
      <w:pPr>
        <w:rPr>
          <w:rFonts w:ascii="Times New Roman" w:hAnsi="Times New Roman"/>
        </w:rPr>
      </w:pPr>
    </w:p>
    <w:p w14:paraId="09653EB9" w14:textId="77777777" w:rsidR="009C353B" w:rsidRDefault="00000000">
      <w:pPr>
        <w:pStyle w:val="2"/>
        <w:adjustRightInd w:val="0"/>
        <w:snapToGrid w:val="0"/>
        <w:spacing w:line="440" w:lineRule="exact"/>
        <w:jc w:val="left"/>
        <w:rPr>
          <w:rFonts w:ascii="Times New Roman" w:eastAsia="宋体" w:hAnsi="Times New Roman"/>
          <w:b/>
          <w:sz w:val="28"/>
        </w:rPr>
      </w:pPr>
      <w:bookmarkStart w:id="421" w:name="_Toc125193042"/>
      <w:bookmarkStart w:id="422" w:name="_Toc59189881"/>
      <w:r>
        <w:rPr>
          <w:rFonts w:ascii="Times New Roman" w:eastAsia="宋体" w:hAnsi="Times New Roman"/>
          <w:b/>
          <w:sz w:val="28"/>
        </w:rPr>
        <w:t xml:space="preserve">10.4 </w:t>
      </w:r>
      <w:bookmarkEnd w:id="421"/>
      <w:r>
        <w:rPr>
          <w:rFonts w:ascii="Times New Roman" w:eastAsia="宋体" w:hAnsi="Times New Roman"/>
          <w:b/>
          <w:sz w:val="28"/>
        </w:rPr>
        <w:t>下阶段项目环评工作重点及简化建议</w:t>
      </w:r>
      <w:bookmarkEnd w:id="422"/>
    </w:p>
    <w:p w14:paraId="0C240412"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 xml:space="preserve">10.4.1 </w:t>
      </w:r>
      <w:r>
        <w:rPr>
          <w:rFonts w:ascii="Times New Roman" w:hAnsi="Times New Roman"/>
          <w:sz w:val="24"/>
        </w:rPr>
        <w:t>下阶段项目环评重点</w:t>
      </w:r>
    </w:p>
    <w:p w14:paraId="5CBCD73E"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矿区在下阶段项目环评工作中，要高度重视环境保护工作，从源头上控制污染，大力推行清洁生产，发展循环经济。严格按照国家有关环保的法律法规和标准，产业政策，科学评审矿区规划项目，引导企业采用国际国内先进的环保工艺和技术，严格控制工业污染。</w:t>
      </w:r>
      <w:r>
        <w:rPr>
          <w:rFonts w:ascii="Times New Roman" w:hAnsi="Times New Roman" w:hint="eastAsia"/>
        </w:rPr>
        <w:t>矿区三个生产矿井环评手续完备，矿区</w:t>
      </w:r>
      <w:r>
        <w:rPr>
          <w:rFonts w:ascii="Times New Roman" w:hAnsi="Times New Roman"/>
        </w:rPr>
        <w:t>下阶段项目环评</w:t>
      </w:r>
      <w:r>
        <w:rPr>
          <w:rFonts w:ascii="Times New Roman" w:hAnsi="Times New Roman" w:hint="eastAsia"/>
        </w:rPr>
        <w:t>主要是丁家梁矿井变更环评工作，</w:t>
      </w:r>
      <w:r>
        <w:rPr>
          <w:rFonts w:ascii="Times New Roman" w:hAnsi="Times New Roman"/>
        </w:rPr>
        <w:t>工作重点为：</w:t>
      </w:r>
    </w:p>
    <w:p w14:paraId="539A41E9"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rPr>
        <w:t>严格执行环境影响评价制度及</w:t>
      </w:r>
      <w:r>
        <w:rPr>
          <w:rFonts w:ascii="Times New Roman" w:hAnsi="Times New Roman"/>
        </w:rPr>
        <w:t>“</w:t>
      </w:r>
      <w:r>
        <w:rPr>
          <w:rFonts w:ascii="Times New Roman" w:hAnsi="Times New Roman"/>
        </w:rPr>
        <w:t>三同时</w:t>
      </w:r>
      <w:r>
        <w:rPr>
          <w:rFonts w:ascii="Times New Roman" w:hAnsi="Times New Roman"/>
        </w:rPr>
        <w:t>”</w:t>
      </w:r>
      <w:r>
        <w:rPr>
          <w:rFonts w:ascii="Times New Roman" w:hAnsi="Times New Roman"/>
        </w:rPr>
        <w:t>制度</w:t>
      </w:r>
    </w:p>
    <w:p w14:paraId="5FDF600F"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建设项目应严格执行环境影响评价和</w:t>
      </w:r>
      <w:r>
        <w:rPr>
          <w:rFonts w:ascii="Times New Roman" w:hAnsi="Times New Roman"/>
        </w:rPr>
        <w:t>“</w:t>
      </w:r>
      <w:r>
        <w:rPr>
          <w:rFonts w:ascii="Times New Roman" w:hAnsi="Times New Roman"/>
        </w:rPr>
        <w:t>三同时</w:t>
      </w:r>
      <w:r>
        <w:rPr>
          <w:rFonts w:ascii="Times New Roman" w:hAnsi="Times New Roman"/>
        </w:rPr>
        <w:t>”</w:t>
      </w:r>
      <w:r>
        <w:rPr>
          <w:rFonts w:ascii="Times New Roman" w:hAnsi="Times New Roman"/>
        </w:rPr>
        <w:t>制度，尽早开展</w:t>
      </w:r>
      <w:r>
        <w:rPr>
          <w:rFonts w:ascii="Times New Roman" w:hAnsi="Times New Roman" w:hint="eastAsia"/>
        </w:rPr>
        <w:t>项目变更</w:t>
      </w:r>
      <w:r>
        <w:rPr>
          <w:rFonts w:ascii="Times New Roman" w:hAnsi="Times New Roman"/>
        </w:rPr>
        <w:t>环境影响评价工作。各项污染防治措施应按照环评及批复要求，同时设计、同时建设及同时投产。下阶段开展项目环评时，应以本规划环评报告书提出的资源承载力、环境目标，减缓与控制污染的对策、循环经济与清洁生产等内容为基础，根据专家评审意见、生态环境部门批复意见，结合环境状况与项目设计情况，重点开展如下工作：</w:t>
      </w:r>
    </w:p>
    <w:p w14:paraId="1775062E"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hint="eastAsia"/>
        </w:rPr>
        <w:t>1</w:t>
      </w:r>
      <w:r>
        <w:rPr>
          <w:rFonts w:ascii="Times New Roman" w:hAnsi="Times New Roman"/>
        </w:rPr>
        <w:t>）矿区规划矿井项目环评时应重点预测项目开发地表沉陷影响，</w:t>
      </w:r>
      <w:r>
        <w:t>对各重点保护目标的保护措施落实情况及效果</w:t>
      </w:r>
      <w:r>
        <w:rPr>
          <w:rFonts w:hint="eastAsia"/>
        </w:rPr>
        <w:t>，</w:t>
      </w:r>
      <w:r>
        <w:rPr>
          <w:rFonts w:ascii="Times New Roman" w:hAnsi="Times New Roman"/>
        </w:rPr>
        <w:t>并提出对生态保护红线区</w:t>
      </w:r>
      <w:r>
        <w:rPr>
          <w:rFonts w:ascii="Times New Roman" w:hAnsi="Times New Roman" w:hint="eastAsia"/>
        </w:rPr>
        <w:t>、鸭子荡水库、</w:t>
      </w:r>
      <w:r>
        <w:rPr>
          <w:rFonts w:ascii="Times New Roman" w:hAnsi="Times New Roman"/>
        </w:rPr>
        <w:t>高速公路</w:t>
      </w:r>
      <w:r>
        <w:rPr>
          <w:rFonts w:ascii="Times New Roman" w:hAnsi="Times New Roman" w:hint="eastAsia"/>
        </w:rPr>
        <w:t>、铁路</w:t>
      </w:r>
      <w:r>
        <w:rPr>
          <w:rFonts w:ascii="Times New Roman" w:hAnsi="Times New Roman"/>
        </w:rPr>
        <w:t>等敏感目标的具体防治措施；</w:t>
      </w:r>
    </w:p>
    <w:p w14:paraId="7F7AC74F"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2</w:t>
      </w:r>
      <w:r>
        <w:rPr>
          <w:rFonts w:ascii="Times New Roman" w:hAnsi="Times New Roman"/>
        </w:rPr>
        <w:t>）</w:t>
      </w:r>
      <w:r>
        <w:rPr>
          <w:rFonts w:ascii="Times New Roman" w:hAnsi="Times New Roman" w:hint="eastAsia"/>
        </w:rPr>
        <w:t>根据现有生产矿井生态恢复治理经验及</w:t>
      </w:r>
      <w:r>
        <w:rPr>
          <w:rFonts w:ascii="Times New Roman" w:hAnsi="Times New Roman"/>
        </w:rPr>
        <w:t>生态整治恢复措施及效果</w:t>
      </w:r>
      <w:r>
        <w:rPr>
          <w:rFonts w:ascii="Times New Roman" w:hAnsi="Times New Roman" w:hint="eastAsia"/>
        </w:rPr>
        <w:t>，提出合理有效的生态治理措施</w:t>
      </w:r>
      <w:r>
        <w:rPr>
          <w:rFonts w:ascii="Times New Roman" w:hAnsi="Times New Roman"/>
        </w:rPr>
        <w:t>。</w:t>
      </w:r>
    </w:p>
    <w:p w14:paraId="243D0F2C"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建设项目建设期、竣工后，应及时委托开展施工环境监理和竣工环境保护验收监测工作。通过环境监理，确保环保工程施工质量的同时，将环境保护理念贯穿整个施工期，实现施工过程达标。</w:t>
      </w:r>
    </w:p>
    <w:p w14:paraId="557BCCFF"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通过验收调查和监测，逐项核实环评及批复文件中提出污染防治要求的落实情况。根据环保执行情况的调查，分析其有效性及存在的问题，针对该工程已产生的实际环境问题及可能存在的潜在环境影响，提出切实可行的补救措施和对应急措施提出改进意见。在满足</w:t>
      </w:r>
      <w:r>
        <w:rPr>
          <w:rFonts w:ascii="Times New Roman" w:hAnsi="Times New Roman"/>
        </w:rPr>
        <w:t>“</w:t>
      </w:r>
      <w:r>
        <w:rPr>
          <w:rFonts w:ascii="Times New Roman" w:hAnsi="Times New Roman"/>
        </w:rPr>
        <w:t>三同时</w:t>
      </w:r>
      <w:r>
        <w:rPr>
          <w:rFonts w:ascii="Times New Roman" w:hAnsi="Times New Roman"/>
        </w:rPr>
        <w:t>”</w:t>
      </w:r>
      <w:r>
        <w:rPr>
          <w:rFonts w:ascii="Times New Roman" w:hAnsi="Times New Roman"/>
        </w:rPr>
        <w:t>前提下，建设项目方可进入正式生产。</w:t>
      </w:r>
    </w:p>
    <w:p w14:paraId="09742D74"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）大力推行清洁生产</w:t>
      </w:r>
    </w:p>
    <w:p w14:paraId="49007450"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各建设项目应大力推行清洁生产，持续节能减排。煤矿项目应达到《</w:t>
      </w:r>
      <w:r>
        <w:rPr>
          <w:rFonts w:ascii="Times New Roman" w:hAnsi="Times New Roman" w:hint="eastAsia"/>
        </w:rPr>
        <w:t>煤炭采选业清洁生产评价指标体系</w:t>
      </w:r>
      <w:r>
        <w:rPr>
          <w:rFonts w:ascii="Times New Roman" w:hAnsi="Times New Roman"/>
        </w:rPr>
        <w:t>》</w:t>
      </w:r>
      <w:r>
        <w:rPr>
          <w:rFonts w:ascii="Times New Roman" w:hAnsi="Times New Roman" w:hint="eastAsia"/>
          <w:szCs w:val="24"/>
        </w:rPr>
        <w:t>Ⅰ级即</w:t>
      </w:r>
      <w:r>
        <w:rPr>
          <w:rFonts w:ascii="Times New Roman" w:hAnsi="Times New Roman"/>
        </w:rPr>
        <w:t>国际清洁生产</w:t>
      </w:r>
      <w:r>
        <w:rPr>
          <w:rFonts w:ascii="Times New Roman" w:hAnsi="Times New Roman" w:hint="eastAsia"/>
        </w:rPr>
        <w:t>领先</w:t>
      </w:r>
      <w:r>
        <w:rPr>
          <w:rFonts w:ascii="Times New Roman" w:hAnsi="Times New Roman"/>
        </w:rPr>
        <w:t>水平要求。</w:t>
      </w:r>
    </w:p>
    <w:p w14:paraId="317AEB3E"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）加大措施，提高节水效率</w:t>
      </w:r>
    </w:p>
    <w:p w14:paraId="539F7C9E"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矿区水资源一般，企业应不断强化节水意识。</w:t>
      </w:r>
    </w:p>
    <w:p w14:paraId="287CA419"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建设项目应加强矿井水、生产废水、生活废水的处理回用</w:t>
      </w:r>
      <w:r>
        <w:rPr>
          <w:rFonts w:ascii="Times New Roman" w:hAnsi="Times New Roman" w:hint="eastAsia"/>
        </w:rPr>
        <w:t>管理</w:t>
      </w:r>
      <w:r>
        <w:rPr>
          <w:rFonts w:ascii="Times New Roman" w:hAnsi="Times New Roman"/>
        </w:rPr>
        <w:t>，节约水资源</w:t>
      </w:r>
      <w:r>
        <w:rPr>
          <w:rFonts w:ascii="Times New Roman" w:hAnsi="Times New Roman" w:hint="eastAsia"/>
        </w:rPr>
        <w:t>。</w:t>
      </w:r>
    </w:p>
    <w:p w14:paraId="50B01FBC"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）加强生态保护和水土保持</w:t>
      </w:r>
    </w:p>
    <w:p w14:paraId="0FBE422C"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矿区属于</w:t>
      </w:r>
      <w:r>
        <w:rPr>
          <w:rFonts w:ascii="Times New Roman" w:hAnsi="Times New Roman" w:hint="eastAsia"/>
        </w:rPr>
        <w:t>荒漠草原</w:t>
      </w:r>
      <w:r>
        <w:rPr>
          <w:rFonts w:ascii="Times New Roman" w:hAnsi="Times New Roman"/>
        </w:rPr>
        <w:t>区</w:t>
      </w:r>
      <w:r>
        <w:rPr>
          <w:rFonts w:ascii="Times New Roman" w:hAnsi="Times New Roman" w:hint="eastAsia"/>
        </w:rPr>
        <w:t>，</w:t>
      </w:r>
      <w:r>
        <w:rPr>
          <w:rFonts w:ascii="Times New Roman" w:hAnsi="Times New Roman"/>
        </w:rPr>
        <w:t>水土流失较为严重。项目在建设过程中应加强环境管理和监理，严格控制施工作业范围，并对施工区及时进行场地平整和压实处理等，最大限度地减少地表扰动</w:t>
      </w:r>
      <w:r>
        <w:rPr>
          <w:rFonts w:ascii="Times New Roman" w:hAnsi="Times New Roman" w:hint="eastAsia"/>
        </w:rPr>
        <w:t>，</w:t>
      </w:r>
      <w:r>
        <w:rPr>
          <w:rFonts w:ascii="Times New Roman" w:hAnsi="Times New Roman"/>
        </w:rPr>
        <w:t>减少水土流失。选择合适物种，对工业场地等区域实施绿化。</w:t>
      </w:r>
    </w:p>
    <w:p w14:paraId="10FD416B"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 xml:space="preserve">10.4.2 </w:t>
      </w:r>
      <w:r>
        <w:rPr>
          <w:rFonts w:ascii="Times New Roman" w:hAnsi="Times New Roman"/>
          <w:sz w:val="24"/>
        </w:rPr>
        <w:t>下阶段项目环评简化建议</w:t>
      </w:r>
    </w:p>
    <w:p w14:paraId="5EC35885"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rPr>
        <w:t>在本规划环境影响报告书审查后，规划实施过程中，列入规划环评中的重点项目，如果在</w:t>
      </w:r>
      <w:r>
        <w:rPr>
          <w:rFonts w:ascii="Times New Roman" w:hAnsi="Times New Roman"/>
        </w:rPr>
        <w:t>2021</w:t>
      </w:r>
      <w:r>
        <w:rPr>
          <w:rFonts w:ascii="Times New Roman" w:hAnsi="Times New Roman"/>
        </w:rPr>
        <w:t>年前开展环境影响评价工作，在具体环评工作中可简化的内容主要包括如下几点：</w:t>
      </w:r>
    </w:p>
    <w:p w14:paraId="0727DE6E"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rPr>
        <w:t>区域环境现状调查与分析；</w:t>
      </w:r>
    </w:p>
    <w:p w14:paraId="1F8CDBF5"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区域污染源现状调查与分析；</w:t>
      </w:r>
    </w:p>
    <w:p w14:paraId="79DF101B"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rPr>
        <w:t>区域社会经济发展现状调查与分析；</w:t>
      </w:r>
    </w:p>
    <w:p w14:paraId="7D79CE4C"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hAnsi="Times New Roman"/>
        </w:rPr>
        <w:t>资源承载力分析；</w:t>
      </w:r>
    </w:p>
    <w:p w14:paraId="44EC286E" w14:textId="77777777" w:rsidR="009C353B" w:rsidRDefault="00000000">
      <w:pPr>
        <w:autoSpaceDE w:val="0"/>
        <w:autoSpaceDN w:val="0"/>
        <w:adjustRightInd w:val="0"/>
        <w:snapToGrid w:val="0"/>
        <w:spacing w:line="440" w:lineRule="exact"/>
        <w:ind w:firstLine="480"/>
        <w:rPr>
          <w:rFonts w:ascii="Times New Roman" w:hint="eastAsia"/>
        </w:rPr>
      </w:pPr>
      <w:r>
        <w:rPr>
          <w:rFonts w:ascii="Times New Roman" w:hint="eastAsia"/>
        </w:rPr>
        <w:t>（</w:t>
      </w:r>
      <w:r>
        <w:rPr>
          <w:rFonts w:ascii="Times New Roman" w:hint="eastAsia"/>
        </w:rPr>
        <w:t>5</w:t>
      </w:r>
      <w:r>
        <w:rPr>
          <w:rFonts w:ascii="Times New Roman" w:hint="eastAsia"/>
        </w:rPr>
        <w:t>）</w:t>
      </w:r>
      <w:r>
        <w:rPr>
          <w:rFonts w:ascii="Times New Roman"/>
        </w:rPr>
        <w:t>大气环境容量和水环境容量承载力分析。</w:t>
      </w:r>
    </w:p>
    <w:p w14:paraId="32D7D050" w14:textId="77777777" w:rsidR="009C353B" w:rsidRDefault="009C353B">
      <w:pPr>
        <w:autoSpaceDE w:val="0"/>
        <w:autoSpaceDN w:val="0"/>
        <w:adjustRightInd w:val="0"/>
        <w:snapToGrid w:val="0"/>
        <w:spacing w:line="440" w:lineRule="exact"/>
        <w:ind w:firstLine="480"/>
        <w:rPr>
          <w:rFonts w:ascii="Times New Roman" w:hint="eastAsia"/>
        </w:rPr>
      </w:pPr>
    </w:p>
    <w:p w14:paraId="1C5F6A6D" w14:textId="77777777" w:rsidR="009C353B" w:rsidRDefault="009C353B">
      <w:pPr>
        <w:autoSpaceDE w:val="0"/>
        <w:autoSpaceDN w:val="0"/>
        <w:adjustRightInd w:val="0"/>
        <w:snapToGrid w:val="0"/>
        <w:spacing w:line="440" w:lineRule="exact"/>
        <w:ind w:firstLine="480"/>
        <w:rPr>
          <w:rFonts w:ascii="Times New Roman" w:hint="eastAsia"/>
        </w:rPr>
      </w:pPr>
    </w:p>
    <w:p w14:paraId="13829784" w14:textId="77777777" w:rsidR="009C353B" w:rsidRDefault="009C353B">
      <w:pPr>
        <w:autoSpaceDE w:val="0"/>
        <w:autoSpaceDN w:val="0"/>
        <w:adjustRightInd w:val="0"/>
        <w:snapToGrid w:val="0"/>
        <w:spacing w:line="440" w:lineRule="exact"/>
        <w:ind w:firstLine="480"/>
        <w:rPr>
          <w:rFonts w:ascii="Times New Roman" w:hint="eastAsia"/>
        </w:rPr>
      </w:pPr>
    </w:p>
    <w:p w14:paraId="13FB541C" w14:textId="77777777" w:rsidR="009C353B" w:rsidRDefault="009C353B">
      <w:pPr>
        <w:autoSpaceDE w:val="0"/>
        <w:autoSpaceDN w:val="0"/>
        <w:adjustRightInd w:val="0"/>
        <w:snapToGrid w:val="0"/>
        <w:spacing w:line="440" w:lineRule="exact"/>
        <w:ind w:firstLine="480"/>
        <w:rPr>
          <w:rFonts w:ascii="Times New Roman" w:hint="eastAsia"/>
        </w:rPr>
      </w:pPr>
    </w:p>
    <w:p w14:paraId="2BD66FA5" w14:textId="77777777" w:rsidR="009C353B" w:rsidRDefault="009C353B">
      <w:pPr>
        <w:autoSpaceDE w:val="0"/>
        <w:autoSpaceDN w:val="0"/>
        <w:adjustRightInd w:val="0"/>
        <w:snapToGrid w:val="0"/>
        <w:spacing w:line="440" w:lineRule="exact"/>
        <w:ind w:firstLine="480"/>
        <w:rPr>
          <w:rFonts w:ascii="Times New Roman" w:hint="eastAsia"/>
        </w:rPr>
      </w:pPr>
    </w:p>
    <w:p w14:paraId="5C85CCA1" w14:textId="77777777" w:rsidR="009C353B" w:rsidRDefault="009C353B">
      <w:pPr>
        <w:autoSpaceDE w:val="0"/>
        <w:autoSpaceDN w:val="0"/>
        <w:adjustRightInd w:val="0"/>
        <w:snapToGrid w:val="0"/>
        <w:spacing w:line="440" w:lineRule="exact"/>
        <w:ind w:firstLine="480"/>
        <w:rPr>
          <w:rFonts w:ascii="Times New Roman" w:hint="eastAsia"/>
        </w:rPr>
      </w:pPr>
    </w:p>
    <w:p w14:paraId="14082577" w14:textId="77777777" w:rsidR="009C353B" w:rsidRDefault="009C353B">
      <w:pPr>
        <w:pStyle w:val="1"/>
        <w:spacing w:before="100" w:beforeAutospacing="1" w:after="100" w:afterAutospacing="1" w:line="578" w:lineRule="exact"/>
        <w:jc w:val="center"/>
        <w:rPr>
          <w:rFonts w:ascii="Times New Roman" w:hAnsi="Times New Roman"/>
          <w:sz w:val="36"/>
        </w:rPr>
        <w:sectPr w:rsidR="009C353B">
          <w:headerReference w:type="default" r:id="rId480"/>
          <w:pgSz w:w="11907" w:h="16840"/>
          <w:pgMar w:top="1701" w:right="1418" w:bottom="1247" w:left="1418" w:header="1134" w:footer="851" w:gutter="0"/>
          <w:paperSrc w:first="7" w:other="7"/>
          <w:cols w:space="720"/>
          <w:docGrid w:linePitch="326"/>
        </w:sectPr>
      </w:pPr>
      <w:bookmarkStart w:id="423" w:name="_Toc163441037"/>
    </w:p>
    <w:p w14:paraId="17920C11" w14:textId="77777777" w:rsidR="009C353B" w:rsidRDefault="00000000">
      <w:pPr>
        <w:pStyle w:val="1"/>
        <w:spacing w:beforeLines="250" w:before="600" w:after="100" w:afterAutospacing="1" w:line="578" w:lineRule="exact"/>
        <w:jc w:val="center"/>
        <w:rPr>
          <w:rFonts w:ascii="Times New Roman" w:hAnsi="Times New Roman"/>
          <w:sz w:val="36"/>
        </w:rPr>
      </w:pPr>
      <w:bookmarkStart w:id="424" w:name="_Toc59189882"/>
      <w:r>
        <w:rPr>
          <w:rFonts w:ascii="Times New Roman" w:hAnsi="Times New Roman"/>
          <w:sz w:val="36"/>
        </w:rPr>
        <w:t xml:space="preserve">11 </w:t>
      </w:r>
      <w:r>
        <w:rPr>
          <w:rFonts w:ascii="Times New Roman" w:hAnsi="Times New Roman"/>
          <w:sz w:val="36"/>
        </w:rPr>
        <w:t>矿区清洁生产与循环经济分析</w:t>
      </w:r>
      <w:bookmarkEnd w:id="423"/>
      <w:bookmarkEnd w:id="424"/>
    </w:p>
    <w:p w14:paraId="58E5A6BD" w14:textId="77777777" w:rsidR="009C353B" w:rsidRDefault="009C353B">
      <w:pPr>
        <w:adjustRightInd w:val="0"/>
        <w:snapToGrid w:val="0"/>
        <w:spacing w:line="440" w:lineRule="exact"/>
        <w:ind w:firstLineChars="200" w:firstLine="562"/>
        <w:rPr>
          <w:rFonts w:ascii="Times New Roman" w:hAnsi="Times New Roman"/>
          <w:b/>
          <w:sz w:val="28"/>
        </w:rPr>
      </w:pPr>
      <w:bookmarkStart w:id="425" w:name="_Toc163441038"/>
    </w:p>
    <w:p w14:paraId="7D3A9432" w14:textId="77777777" w:rsidR="009C353B" w:rsidRDefault="00000000">
      <w:pPr>
        <w:pStyle w:val="2"/>
        <w:adjustRightInd w:val="0"/>
        <w:snapToGrid w:val="0"/>
        <w:spacing w:line="440" w:lineRule="exact"/>
        <w:jc w:val="left"/>
        <w:rPr>
          <w:rFonts w:ascii="Times New Roman" w:eastAsia="宋体" w:hAnsi="Times New Roman"/>
          <w:b/>
          <w:sz w:val="28"/>
        </w:rPr>
      </w:pPr>
      <w:bookmarkStart w:id="426" w:name="_Toc59189883"/>
      <w:r>
        <w:rPr>
          <w:rFonts w:ascii="Times New Roman" w:eastAsia="宋体" w:hAnsi="Times New Roman" w:hint="eastAsia"/>
          <w:b/>
          <w:sz w:val="28"/>
        </w:rPr>
        <w:t>1</w:t>
      </w:r>
      <w:r>
        <w:rPr>
          <w:rFonts w:ascii="Times New Roman" w:eastAsia="宋体" w:hAnsi="Times New Roman"/>
          <w:b/>
          <w:sz w:val="28"/>
        </w:rPr>
        <w:t>1</w:t>
      </w:r>
      <w:r>
        <w:rPr>
          <w:rFonts w:ascii="Times New Roman" w:eastAsia="宋体" w:hAnsi="Times New Roman" w:hint="eastAsia"/>
          <w:b/>
          <w:sz w:val="28"/>
        </w:rPr>
        <w:t>.</w:t>
      </w:r>
      <w:r>
        <w:rPr>
          <w:rFonts w:ascii="Times New Roman" w:eastAsia="宋体" w:hAnsi="Times New Roman"/>
          <w:b/>
          <w:sz w:val="28"/>
        </w:rPr>
        <w:t xml:space="preserve">1 </w:t>
      </w:r>
      <w:r>
        <w:rPr>
          <w:rFonts w:ascii="Times New Roman" w:eastAsia="宋体" w:hAnsi="Times New Roman"/>
          <w:b/>
          <w:sz w:val="28"/>
        </w:rPr>
        <w:t>清洁生产分析</w:t>
      </w:r>
      <w:bookmarkEnd w:id="425"/>
      <w:bookmarkEnd w:id="426"/>
    </w:p>
    <w:p w14:paraId="4B5445D0"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清洁生产是环境保护由末端治理转向生产全过程控制的全新污染预防策略，其实质是一种物料和能源消耗最少化的人类生产活动的规划和管理，将废物减量化、资源化和无害化，或消灭于生产过程中。以科学管理、技术进步为手段，通过节能、降耗、减污，提高污染防治效果，降低污染防治费用，消除和减少工业生产对人体健康和环境的影响。</w:t>
      </w:r>
    </w:p>
    <w:p w14:paraId="7B071BF1" w14:textId="77777777" w:rsidR="009C353B" w:rsidRDefault="00000000">
      <w:pPr>
        <w:pStyle w:val="3"/>
        <w:adjustRightInd w:val="0"/>
        <w:snapToGrid w:val="0"/>
        <w:spacing w:before="0" w:after="0" w:line="440" w:lineRule="exact"/>
        <w:rPr>
          <w:rFonts w:ascii="Times New Roman" w:hint="eastAsia"/>
          <w:sz w:val="24"/>
        </w:rPr>
      </w:pPr>
      <w:r>
        <w:rPr>
          <w:rFonts w:ascii="Times New Roman" w:hAnsi="Times New Roman"/>
          <w:sz w:val="24"/>
        </w:rPr>
        <w:t>11.1.</w:t>
      </w:r>
      <w:r>
        <w:rPr>
          <w:rFonts w:ascii="Times New Roman" w:hAnsi="Times New Roman" w:hint="eastAsia"/>
          <w:sz w:val="24"/>
        </w:rPr>
        <w:t>1</w:t>
      </w:r>
      <w:r>
        <w:rPr>
          <w:rFonts w:ascii="Times New Roman" w:hAnsi="Times New Roman"/>
          <w:sz w:val="24"/>
        </w:rPr>
        <w:t xml:space="preserve"> </w:t>
      </w:r>
      <w:r>
        <w:rPr>
          <w:rFonts w:ascii="Times New Roman"/>
          <w:sz w:val="24"/>
        </w:rPr>
        <w:t>矿区清洁生产水平</w:t>
      </w:r>
      <w:r>
        <w:rPr>
          <w:rFonts w:ascii="Times New Roman" w:hint="eastAsia"/>
          <w:sz w:val="24"/>
        </w:rPr>
        <w:t>评价</w:t>
      </w:r>
      <w:r>
        <w:rPr>
          <w:rFonts w:ascii="Times New Roman"/>
          <w:sz w:val="24"/>
        </w:rPr>
        <w:t>指标</w:t>
      </w:r>
    </w:p>
    <w:p w14:paraId="5AC7F585"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rPr>
        <w:t>根据《</w:t>
      </w:r>
      <w:r>
        <w:rPr>
          <w:rFonts w:ascii="Times New Roman" w:hAnsi="Times New Roman" w:hint="eastAsia"/>
        </w:rPr>
        <w:t>煤炭采选业清洁生产评价指标体系</w:t>
      </w:r>
      <w:r>
        <w:rPr>
          <w:rFonts w:ascii="Times New Roman" w:hAnsi="Times New Roman"/>
        </w:rPr>
        <w:t>》，着重从</w:t>
      </w:r>
      <w:r>
        <w:rPr>
          <w:rFonts w:ascii="Times New Roman" w:hAnsi="Times New Roman" w:hint="eastAsia"/>
        </w:rPr>
        <w:t>资源能源消耗指标</w:t>
      </w:r>
      <w:r>
        <w:rPr>
          <w:rFonts w:ascii="Times New Roman" w:hAnsi="Times New Roman"/>
        </w:rPr>
        <w:t>、</w:t>
      </w:r>
      <w:r>
        <w:rPr>
          <w:rFonts w:ascii="Times New Roman" w:hAnsi="Times New Roman" w:hint="eastAsia"/>
        </w:rPr>
        <w:t>资源综合利用指标、污染防治</w:t>
      </w:r>
      <w:r>
        <w:rPr>
          <w:rFonts w:ascii="Times New Roman" w:hAnsi="Times New Roman"/>
        </w:rPr>
        <w:t>指标、</w:t>
      </w:r>
      <w:r>
        <w:rPr>
          <w:rFonts w:ascii="Times New Roman" w:hAnsi="Times New Roman" w:hint="eastAsia"/>
        </w:rPr>
        <w:t>环境质量改善、生态功能保护</w:t>
      </w:r>
      <w:r>
        <w:rPr>
          <w:rFonts w:ascii="Times New Roman" w:hAnsi="Times New Roman"/>
        </w:rPr>
        <w:t>五大一级评价指标入手，提出矿区各煤矿及选煤厂的清洁生产水平定量和定性控制指标。</w:t>
      </w:r>
      <w:r>
        <w:rPr>
          <w:rFonts w:ascii="Times New Roman"/>
        </w:rPr>
        <w:t>具体指标见表</w:t>
      </w:r>
      <w:r>
        <w:rPr>
          <w:rFonts w:ascii="Times New Roman"/>
        </w:rPr>
        <w:t>11.1-1</w:t>
      </w:r>
      <w:r>
        <w:rPr>
          <w:rFonts w:ascii="Times New Roman"/>
        </w:rPr>
        <w:t>。</w:t>
      </w:r>
    </w:p>
    <w:p w14:paraId="4422CAA7" w14:textId="77777777" w:rsidR="009C353B" w:rsidRDefault="00000000">
      <w:pPr>
        <w:adjustRightInd w:val="0"/>
        <w:snapToGrid w:val="0"/>
        <w:spacing w:beforeLines="50" w:before="120" w:line="440" w:lineRule="exact"/>
        <w:ind w:firstLineChars="200" w:firstLine="482"/>
        <w:jc w:val="center"/>
        <w:rPr>
          <w:rFonts w:ascii="Times New Roman" w:hAnsi="Times New Roman"/>
          <w:b/>
        </w:rPr>
      </w:pPr>
      <w:r>
        <w:rPr>
          <w:rFonts w:ascii="Times New Roman" w:hint="eastAsia"/>
          <w:b/>
        </w:rPr>
        <w:t>横城矿区矿井</w:t>
      </w:r>
      <w:r>
        <w:rPr>
          <w:rFonts w:ascii="Times New Roman"/>
          <w:b/>
        </w:rPr>
        <w:t>及选煤厂清洁生产指标建议值</w:t>
      </w:r>
    </w:p>
    <w:p w14:paraId="05C5529F" w14:textId="77777777" w:rsidR="009C353B" w:rsidRDefault="00000000">
      <w:pPr>
        <w:pStyle w:val="affffd"/>
        <w:spacing w:line="440" w:lineRule="exact"/>
        <w:rPr>
          <w:rFonts w:ascii="Times New Roman" w:hAnsi="Times New Roman"/>
        </w:rPr>
      </w:pPr>
      <w:r>
        <w:rPr>
          <w:rFonts w:ascii="Times New Roman" w:hAnsi="Times New Roman"/>
        </w:rPr>
        <w:t>表</w:t>
      </w:r>
      <w:r>
        <w:rPr>
          <w:rFonts w:ascii="Times New Roman" w:hAnsi="Times New Roman"/>
        </w:rPr>
        <w:t>11.1-1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19"/>
        <w:gridCol w:w="1571"/>
        <w:gridCol w:w="1225"/>
        <w:gridCol w:w="2969"/>
        <w:gridCol w:w="2097"/>
      </w:tblGrid>
      <w:tr w:rsidR="009C353B" w14:paraId="0676C92B" w14:textId="77777777">
        <w:trPr>
          <w:trHeight w:val="669"/>
          <w:tblHeader/>
          <w:jc w:val="center"/>
        </w:trPr>
        <w:tc>
          <w:tcPr>
            <w:tcW w:w="1144" w:type="dxa"/>
            <w:vAlign w:val="center"/>
          </w:tcPr>
          <w:p w14:paraId="7DFF4B1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环境目标</w:t>
            </w:r>
          </w:p>
        </w:tc>
        <w:tc>
          <w:tcPr>
            <w:tcW w:w="5416" w:type="dxa"/>
            <w:gridSpan w:val="3"/>
            <w:vAlign w:val="center"/>
          </w:tcPr>
          <w:p w14:paraId="45F0AD7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评价指标</w:t>
            </w:r>
          </w:p>
        </w:tc>
        <w:tc>
          <w:tcPr>
            <w:tcW w:w="1970" w:type="dxa"/>
            <w:vAlign w:val="center"/>
          </w:tcPr>
          <w:p w14:paraId="3D3A73B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规划</w:t>
            </w:r>
            <w:r>
              <w:rPr>
                <w:rFonts w:ascii="Times New Roman" w:hAnsi="Times New Roman"/>
                <w:sz w:val="21"/>
                <w:szCs w:val="21"/>
              </w:rPr>
              <w:t>建议</w:t>
            </w:r>
          </w:p>
        </w:tc>
      </w:tr>
      <w:tr w:rsidR="009C353B" w14:paraId="4FFCB87A" w14:textId="77777777">
        <w:trPr>
          <w:trHeight w:val="414"/>
          <w:jc w:val="center"/>
        </w:trPr>
        <w:tc>
          <w:tcPr>
            <w:tcW w:w="1144" w:type="dxa"/>
            <w:vMerge w:val="restart"/>
            <w:vAlign w:val="center"/>
          </w:tcPr>
          <w:p w14:paraId="1610303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资源开发利用</w:t>
            </w:r>
          </w:p>
        </w:tc>
        <w:tc>
          <w:tcPr>
            <w:tcW w:w="1476" w:type="dxa"/>
            <w:vMerge w:val="restart"/>
            <w:vAlign w:val="center"/>
          </w:tcPr>
          <w:p w14:paraId="0617882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资源能源消耗指标</w:t>
            </w:r>
          </w:p>
        </w:tc>
        <w:tc>
          <w:tcPr>
            <w:tcW w:w="1151" w:type="dxa"/>
            <w:vMerge w:val="restart"/>
            <w:vAlign w:val="center"/>
          </w:tcPr>
          <w:p w14:paraId="4FCEFA89"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采区回采率（％）</w:t>
            </w:r>
          </w:p>
        </w:tc>
        <w:tc>
          <w:tcPr>
            <w:tcW w:w="2789" w:type="dxa"/>
            <w:vAlign w:val="center"/>
          </w:tcPr>
          <w:p w14:paraId="526E46B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薄煤层资源回采率</w:t>
            </w:r>
          </w:p>
        </w:tc>
        <w:tc>
          <w:tcPr>
            <w:tcW w:w="1970" w:type="dxa"/>
            <w:vAlign w:val="center"/>
          </w:tcPr>
          <w:p w14:paraId="6B9BB85D"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≥85</w:t>
            </w:r>
          </w:p>
        </w:tc>
      </w:tr>
      <w:tr w:rsidR="009C353B" w14:paraId="5AA9C00E" w14:textId="77777777">
        <w:trPr>
          <w:trHeight w:val="394"/>
          <w:jc w:val="center"/>
        </w:trPr>
        <w:tc>
          <w:tcPr>
            <w:tcW w:w="1144" w:type="dxa"/>
            <w:vMerge/>
            <w:vAlign w:val="center"/>
          </w:tcPr>
          <w:p w14:paraId="2D3E015B"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3EC6BC27" w14:textId="77777777" w:rsidR="009C353B" w:rsidRDefault="009C353B">
            <w:pPr>
              <w:adjustRightInd w:val="0"/>
              <w:snapToGrid w:val="0"/>
              <w:spacing w:line="240" w:lineRule="atLeast"/>
              <w:rPr>
                <w:rFonts w:ascii="Times New Roman" w:hAnsi="Times New Roman"/>
                <w:sz w:val="21"/>
                <w:szCs w:val="21"/>
              </w:rPr>
            </w:pPr>
          </w:p>
        </w:tc>
        <w:tc>
          <w:tcPr>
            <w:tcW w:w="1151" w:type="dxa"/>
            <w:vMerge/>
            <w:vAlign w:val="center"/>
          </w:tcPr>
          <w:p w14:paraId="692CF191" w14:textId="77777777" w:rsidR="009C353B" w:rsidRDefault="009C353B">
            <w:pPr>
              <w:adjustRightInd w:val="0"/>
              <w:snapToGrid w:val="0"/>
              <w:spacing w:line="240" w:lineRule="atLeast"/>
              <w:rPr>
                <w:rFonts w:ascii="Times New Roman" w:hAnsi="Times New Roman"/>
                <w:sz w:val="21"/>
                <w:szCs w:val="21"/>
              </w:rPr>
            </w:pPr>
          </w:p>
        </w:tc>
        <w:tc>
          <w:tcPr>
            <w:tcW w:w="2789" w:type="dxa"/>
            <w:vAlign w:val="center"/>
          </w:tcPr>
          <w:p w14:paraId="7C3C39DD"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中厚煤层资源回采率</w:t>
            </w:r>
          </w:p>
        </w:tc>
        <w:tc>
          <w:tcPr>
            <w:tcW w:w="1970" w:type="dxa"/>
            <w:vAlign w:val="center"/>
          </w:tcPr>
          <w:p w14:paraId="2D84CC9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≥80</w:t>
            </w:r>
          </w:p>
        </w:tc>
      </w:tr>
      <w:tr w:rsidR="009C353B" w14:paraId="580BB4E3" w14:textId="77777777">
        <w:trPr>
          <w:trHeight w:val="394"/>
          <w:jc w:val="center"/>
        </w:trPr>
        <w:tc>
          <w:tcPr>
            <w:tcW w:w="1144" w:type="dxa"/>
            <w:vMerge/>
            <w:vAlign w:val="center"/>
          </w:tcPr>
          <w:p w14:paraId="3D39B4F3"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69DF9C47" w14:textId="77777777" w:rsidR="009C353B" w:rsidRDefault="009C353B">
            <w:pPr>
              <w:adjustRightInd w:val="0"/>
              <w:snapToGrid w:val="0"/>
              <w:spacing w:line="240" w:lineRule="atLeast"/>
              <w:rPr>
                <w:rFonts w:ascii="Times New Roman" w:hAnsi="Times New Roman"/>
                <w:sz w:val="21"/>
                <w:szCs w:val="21"/>
              </w:rPr>
            </w:pPr>
          </w:p>
        </w:tc>
        <w:tc>
          <w:tcPr>
            <w:tcW w:w="1151" w:type="dxa"/>
            <w:vMerge/>
            <w:vAlign w:val="center"/>
          </w:tcPr>
          <w:p w14:paraId="427B2D01" w14:textId="77777777" w:rsidR="009C353B" w:rsidRDefault="009C353B">
            <w:pPr>
              <w:adjustRightInd w:val="0"/>
              <w:snapToGrid w:val="0"/>
              <w:spacing w:line="240" w:lineRule="atLeast"/>
              <w:rPr>
                <w:rFonts w:ascii="Times New Roman" w:hAnsi="Times New Roman"/>
                <w:sz w:val="21"/>
                <w:szCs w:val="21"/>
              </w:rPr>
            </w:pPr>
          </w:p>
        </w:tc>
        <w:tc>
          <w:tcPr>
            <w:tcW w:w="2789" w:type="dxa"/>
            <w:vAlign w:val="center"/>
          </w:tcPr>
          <w:p w14:paraId="0A7A57B5"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厚煤层资源回采率</w:t>
            </w:r>
          </w:p>
        </w:tc>
        <w:tc>
          <w:tcPr>
            <w:tcW w:w="1970" w:type="dxa"/>
            <w:vAlign w:val="center"/>
          </w:tcPr>
          <w:p w14:paraId="1283742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≥75</w:t>
            </w:r>
          </w:p>
        </w:tc>
      </w:tr>
      <w:tr w:rsidR="009C353B" w14:paraId="2812CA2C" w14:textId="77777777">
        <w:trPr>
          <w:trHeight w:val="394"/>
          <w:jc w:val="center"/>
        </w:trPr>
        <w:tc>
          <w:tcPr>
            <w:tcW w:w="1144" w:type="dxa"/>
            <w:vMerge/>
            <w:vAlign w:val="center"/>
          </w:tcPr>
          <w:p w14:paraId="5427558F"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040A3AC6" w14:textId="77777777" w:rsidR="009C353B" w:rsidRDefault="009C353B">
            <w:pPr>
              <w:adjustRightInd w:val="0"/>
              <w:snapToGrid w:val="0"/>
              <w:spacing w:line="240" w:lineRule="atLeast"/>
              <w:rPr>
                <w:rFonts w:ascii="Times New Roman" w:hAnsi="Times New Roman"/>
                <w:sz w:val="21"/>
                <w:szCs w:val="21"/>
              </w:rPr>
            </w:pPr>
          </w:p>
        </w:tc>
        <w:tc>
          <w:tcPr>
            <w:tcW w:w="1151" w:type="dxa"/>
            <w:vMerge/>
            <w:vAlign w:val="center"/>
          </w:tcPr>
          <w:p w14:paraId="177D8005" w14:textId="77777777" w:rsidR="009C353B" w:rsidRDefault="009C353B">
            <w:pPr>
              <w:adjustRightInd w:val="0"/>
              <w:snapToGrid w:val="0"/>
              <w:spacing w:line="240" w:lineRule="atLeast"/>
              <w:rPr>
                <w:rFonts w:ascii="Times New Roman" w:hAnsi="Times New Roman"/>
                <w:sz w:val="21"/>
                <w:szCs w:val="21"/>
              </w:rPr>
            </w:pPr>
          </w:p>
        </w:tc>
        <w:tc>
          <w:tcPr>
            <w:tcW w:w="2789" w:type="dxa"/>
            <w:vAlign w:val="center"/>
          </w:tcPr>
          <w:p w14:paraId="44A4FB3C"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矿区资源回采率</w:t>
            </w:r>
          </w:p>
        </w:tc>
        <w:tc>
          <w:tcPr>
            <w:tcW w:w="1970" w:type="dxa"/>
            <w:vAlign w:val="center"/>
          </w:tcPr>
          <w:p w14:paraId="0847083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≥75</w:t>
            </w:r>
          </w:p>
        </w:tc>
      </w:tr>
      <w:tr w:rsidR="009C353B" w14:paraId="0DD04B4D" w14:textId="77777777">
        <w:trPr>
          <w:trHeight w:val="394"/>
          <w:jc w:val="center"/>
        </w:trPr>
        <w:tc>
          <w:tcPr>
            <w:tcW w:w="1144" w:type="dxa"/>
            <w:vMerge/>
            <w:vAlign w:val="center"/>
          </w:tcPr>
          <w:p w14:paraId="73E2C98E"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5E5B490A" w14:textId="77777777" w:rsidR="009C353B" w:rsidRDefault="009C353B">
            <w:pPr>
              <w:adjustRightInd w:val="0"/>
              <w:snapToGrid w:val="0"/>
              <w:spacing w:line="240" w:lineRule="atLeast"/>
              <w:rPr>
                <w:rFonts w:ascii="Times New Roman" w:hAnsi="Times New Roman"/>
                <w:sz w:val="21"/>
                <w:szCs w:val="21"/>
              </w:rPr>
            </w:pPr>
          </w:p>
        </w:tc>
        <w:tc>
          <w:tcPr>
            <w:tcW w:w="3940" w:type="dxa"/>
            <w:gridSpan w:val="2"/>
            <w:vAlign w:val="center"/>
          </w:tcPr>
          <w:p w14:paraId="6F0DF998"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原煤生产</w:t>
            </w:r>
            <w:r>
              <w:rPr>
                <w:rFonts w:ascii="Times New Roman" w:hAnsi="Times New Roman"/>
                <w:sz w:val="21"/>
                <w:szCs w:val="21"/>
              </w:rPr>
              <w:t>电耗（</w:t>
            </w:r>
            <w:r>
              <w:rPr>
                <w:rFonts w:ascii="Times New Roman" w:hAnsi="Times New Roman"/>
                <w:sz w:val="21"/>
                <w:szCs w:val="21"/>
              </w:rPr>
              <w:t>kWh/ t</w:t>
            </w:r>
            <w:r>
              <w:rPr>
                <w:rFonts w:ascii="Times New Roman" w:hAnsi="Times New Roman"/>
                <w:sz w:val="21"/>
                <w:szCs w:val="21"/>
              </w:rPr>
              <w:t>煤）</w:t>
            </w:r>
          </w:p>
        </w:tc>
        <w:tc>
          <w:tcPr>
            <w:tcW w:w="1970" w:type="dxa"/>
            <w:vAlign w:val="center"/>
          </w:tcPr>
          <w:p w14:paraId="062D2AD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≤18</w:t>
            </w:r>
          </w:p>
        </w:tc>
      </w:tr>
      <w:tr w:rsidR="009C353B" w14:paraId="7F654A7E" w14:textId="77777777">
        <w:trPr>
          <w:trHeight w:val="394"/>
          <w:jc w:val="center"/>
        </w:trPr>
        <w:tc>
          <w:tcPr>
            <w:tcW w:w="1144" w:type="dxa"/>
            <w:vMerge/>
            <w:vAlign w:val="center"/>
          </w:tcPr>
          <w:p w14:paraId="0AE5855E" w14:textId="77777777" w:rsidR="009C353B" w:rsidRDefault="009C353B">
            <w:pPr>
              <w:pStyle w:val="affffd"/>
              <w:jc w:val="center"/>
              <w:outlineLvl w:val="9"/>
              <w:rPr>
                <w:rFonts w:ascii="Times New Roman" w:hAnsi="Times New Roman"/>
                <w:sz w:val="21"/>
                <w:szCs w:val="21"/>
              </w:rPr>
            </w:pPr>
          </w:p>
        </w:tc>
        <w:tc>
          <w:tcPr>
            <w:tcW w:w="1476" w:type="dxa"/>
            <w:vMerge/>
            <w:vAlign w:val="center"/>
          </w:tcPr>
          <w:p w14:paraId="223A2A10" w14:textId="77777777" w:rsidR="009C353B" w:rsidRDefault="009C353B">
            <w:pPr>
              <w:pStyle w:val="affffd"/>
              <w:outlineLvl w:val="9"/>
              <w:rPr>
                <w:rFonts w:ascii="Times New Roman" w:hAnsi="Times New Roman"/>
                <w:sz w:val="21"/>
                <w:szCs w:val="21"/>
              </w:rPr>
            </w:pPr>
          </w:p>
        </w:tc>
        <w:tc>
          <w:tcPr>
            <w:tcW w:w="3940" w:type="dxa"/>
            <w:gridSpan w:val="2"/>
            <w:vAlign w:val="center"/>
          </w:tcPr>
          <w:p w14:paraId="2C6C6328"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bCs/>
                <w:sz w:val="21"/>
                <w:szCs w:val="21"/>
              </w:rPr>
              <w:t>原煤生产水耗（不含选煤厂）</w:t>
            </w:r>
          </w:p>
        </w:tc>
        <w:tc>
          <w:tcPr>
            <w:tcW w:w="1970" w:type="dxa"/>
            <w:vAlign w:val="center"/>
          </w:tcPr>
          <w:p w14:paraId="5524C9F9" w14:textId="77777777" w:rsidR="009C353B" w:rsidRDefault="00000000">
            <w:pPr>
              <w:pStyle w:val="affffd"/>
              <w:jc w:val="center"/>
              <w:outlineLvl w:val="9"/>
              <w:rPr>
                <w:rFonts w:ascii="Times New Roman" w:hAnsi="Times New Roman"/>
                <w:sz w:val="21"/>
                <w:szCs w:val="21"/>
              </w:rPr>
            </w:pPr>
            <w:r>
              <w:rPr>
                <w:rFonts w:ascii="Times New Roman" w:hAnsi="Times New Roman"/>
                <w:sz w:val="21"/>
                <w:szCs w:val="21"/>
              </w:rPr>
              <w:t>≤0.1</w:t>
            </w:r>
          </w:p>
        </w:tc>
      </w:tr>
      <w:tr w:rsidR="009C353B" w14:paraId="2900277F" w14:textId="77777777">
        <w:trPr>
          <w:trHeight w:val="404"/>
          <w:jc w:val="center"/>
        </w:trPr>
        <w:tc>
          <w:tcPr>
            <w:tcW w:w="1144" w:type="dxa"/>
            <w:vMerge/>
            <w:vAlign w:val="center"/>
          </w:tcPr>
          <w:p w14:paraId="6BE7B955"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33BDF1EF" w14:textId="77777777" w:rsidR="009C353B" w:rsidRDefault="009C353B">
            <w:pPr>
              <w:adjustRightInd w:val="0"/>
              <w:snapToGrid w:val="0"/>
              <w:spacing w:line="240" w:lineRule="atLeast"/>
              <w:rPr>
                <w:rFonts w:ascii="Times New Roman" w:hAnsi="Times New Roman"/>
                <w:sz w:val="21"/>
                <w:szCs w:val="21"/>
              </w:rPr>
            </w:pPr>
          </w:p>
        </w:tc>
        <w:tc>
          <w:tcPr>
            <w:tcW w:w="3940" w:type="dxa"/>
            <w:gridSpan w:val="2"/>
            <w:vAlign w:val="center"/>
          </w:tcPr>
          <w:p w14:paraId="18F721A3"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单位入选原煤取水量</w:t>
            </w:r>
            <w:r>
              <w:rPr>
                <w:rFonts w:ascii="Times New Roman" w:hAnsi="Times New Roman"/>
                <w:sz w:val="21"/>
                <w:szCs w:val="21"/>
              </w:rPr>
              <w:t>（</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/t</w:t>
            </w:r>
            <w:r>
              <w:rPr>
                <w:rFonts w:ascii="Times New Roman" w:hAnsi="Times New Roman"/>
                <w:sz w:val="21"/>
                <w:szCs w:val="21"/>
              </w:rPr>
              <w:t>煤）</w:t>
            </w:r>
          </w:p>
        </w:tc>
        <w:tc>
          <w:tcPr>
            <w:tcW w:w="1970" w:type="dxa"/>
            <w:vAlign w:val="center"/>
          </w:tcPr>
          <w:p w14:paraId="5BD22C7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≤0.125</w:t>
            </w:r>
          </w:p>
        </w:tc>
      </w:tr>
      <w:tr w:rsidR="009C353B" w14:paraId="0B649CF6" w14:textId="77777777">
        <w:trPr>
          <w:trHeight w:val="394"/>
          <w:jc w:val="center"/>
        </w:trPr>
        <w:tc>
          <w:tcPr>
            <w:tcW w:w="1144" w:type="dxa"/>
            <w:vMerge/>
            <w:vAlign w:val="center"/>
          </w:tcPr>
          <w:p w14:paraId="05F80650"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restart"/>
            <w:vAlign w:val="center"/>
          </w:tcPr>
          <w:p w14:paraId="1716D00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资源综合利用指标</w:t>
            </w:r>
          </w:p>
        </w:tc>
        <w:tc>
          <w:tcPr>
            <w:tcW w:w="3940" w:type="dxa"/>
            <w:gridSpan w:val="2"/>
            <w:vAlign w:val="center"/>
          </w:tcPr>
          <w:p w14:paraId="61367EE4"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当年产生煤矸石综合利用</w:t>
            </w:r>
            <w:r>
              <w:rPr>
                <w:rFonts w:ascii="Times New Roman" w:hAnsi="Times New Roman"/>
                <w:sz w:val="21"/>
                <w:szCs w:val="21"/>
              </w:rPr>
              <w:t>率（％）</w:t>
            </w:r>
          </w:p>
        </w:tc>
        <w:tc>
          <w:tcPr>
            <w:tcW w:w="1970" w:type="dxa"/>
            <w:vAlign w:val="center"/>
          </w:tcPr>
          <w:p w14:paraId="02AEEA71"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≥85</w:t>
            </w:r>
          </w:p>
        </w:tc>
      </w:tr>
      <w:tr w:rsidR="009C353B" w14:paraId="0EACC5B4" w14:textId="77777777">
        <w:trPr>
          <w:trHeight w:val="394"/>
          <w:jc w:val="center"/>
        </w:trPr>
        <w:tc>
          <w:tcPr>
            <w:tcW w:w="1144" w:type="dxa"/>
            <w:vMerge/>
            <w:vAlign w:val="center"/>
          </w:tcPr>
          <w:p w14:paraId="2DE64DC8"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7742B5E7" w14:textId="77777777" w:rsidR="009C353B" w:rsidRDefault="009C353B">
            <w:pPr>
              <w:adjustRightInd w:val="0"/>
              <w:snapToGrid w:val="0"/>
              <w:spacing w:line="240" w:lineRule="atLeast"/>
              <w:jc w:val="center"/>
              <w:rPr>
                <w:rFonts w:ascii="Times New Roman" w:hAnsi="Times New Roman"/>
                <w:sz w:val="21"/>
                <w:szCs w:val="21"/>
              </w:rPr>
            </w:pPr>
          </w:p>
        </w:tc>
        <w:tc>
          <w:tcPr>
            <w:tcW w:w="3940" w:type="dxa"/>
            <w:gridSpan w:val="2"/>
            <w:vAlign w:val="center"/>
          </w:tcPr>
          <w:p w14:paraId="55496214"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矿井水利用率（％）</w:t>
            </w:r>
            <w:r>
              <w:rPr>
                <w:rFonts w:ascii="Times New Roman" w:hAnsi="Times New Roman" w:hint="eastAsia"/>
                <w:sz w:val="21"/>
                <w:szCs w:val="21"/>
              </w:rPr>
              <w:t>（水资源缺乏矿区）</w:t>
            </w:r>
          </w:p>
        </w:tc>
        <w:tc>
          <w:tcPr>
            <w:tcW w:w="1970" w:type="dxa"/>
            <w:vAlign w:val="center"/>
          </w:tcPr>
          <w:p w14:paraId="7B4484E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≥85</w:t>
            </w:r>
          </w:p>
        </w:tc>
      </w:tr>
      <w:tr w:rsidR="009C353B" w14:paraId="115CBA98" w14:textId="77777777">
        <w:trPr>
          <w:trHeight w:val="451"/>
          <w:jc w:val="center"/>
        </w:trPr>
        <w:tc>
          <w:tcPr>
            <w:tcW w:w="1144" w:type="dxa"/>
            <w:vMerge/>
            <w:vAlign w:val="center"/>
          </w:tcPr>
          <w:p w14:paraId="15294E0E"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6CA42362" w14:textId="77777777" w:rsidR="009C353B" w:rsidRDefault="009C353B">
            <w:pPr>
              <w:adjustRightInd w:val="0"/>
              <w:snapToGrid w:val="0"/>
              <w:spacing w:line="240" w:lineRule="atLeast"/>
              <w:jc w:val="center"/>
              <w:rPr>
                <w:rFonts w:ascii="Times New Roman" w:hAnsi="Times New Roman"/>
                <w:sz w:val="21"/>
                <w:szCs w:val="21"/>
              </w:rPr>
            </w:pPr>
          </w:p>
        </w:tc>
        <w:tc>
          <w:tcPr>
            <w:tcW w:w="3940" w:type="dxa"/>
            <w:gridSpan w:val="2"/>
            <w:vAlign w:val="center"/>
          </w:tcPr>
          <w:p w14:paraId="6FEE5E8F"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hint="eastAsia"/>
                <w:sz w:val="21"/>
                <w:szCs w:val="21"/>
              </w:rPr>
              <w:t>矿区生活污水综合利用</w:t>
            </w:r>
            <w:r>
              <w:rPr>
                <w:rFonts w:ascii="Times New Roman" w:hAnsi="Times New Roman"/>
                <w:sz w:val="21"/>
                <w:szCs w:val="21"/>
              </w:rPr>
              <w:t>率（％）</w:t>
            </w:r>
          </w:p>
        </w:tc>
        <w:tc>
          <w:tcPr>
            <w:tcW w:w="1970" w:type="dxa"/>
            <w:vAlign w:val="center"/>
          </w:tcPr>
          <w:p w14:paraId="26AE8CC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01F6E3D4" w14:textId="77777777">
        <w:trPr>
          <w:trHeight w:val="394"/>
          <w:jc w:val="center"/>
        </w:trPr>
        <w:tc>
          <w:tcPr>
            <w:tcW w:w="1144" w:type="dxa"/>
            <w:vMerge w:val="restart"/>
            <w:vAlign w:val="center"/>
          </w:tcPr>
          <w:p w14:paraId="2D6F0115"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污染</w:t>
            </w:r>
            <w:r>
              <w:rPr>
                <w:rFonts w:ascii="Times New Roman" w:hAnsi="Times New Roman"/>
                <w:sz w:val="21"/>
                <w:szCs w:val="21"/>
              </w:rPr>
              <w:t>防治</w:t>
            </w:r>
          </w:p>
        </w:tc>
        <w:tc>
          <w:tcPr>
            <w:tcW w:w="1476" w:type="dxa"/>
            <w:vMerge w:val="restart"/>
            <w:vAlign w:val="center"/>
          </w:tcPr>
          <w:p w14:paraId="16894E62"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大气污染控制指标</w:t>
            </w:r>
          </w:p>
        </w:tc>
        <w:tc>
          <w:tcPr>
            <w:tcW w:w="3940" w:type="dxa"/>
            <w:gridSpan w:val="2"/>
            <w:vAlign w:val="center"/>
          </w:tcPr>
          <w:p w14:paraId="2C90D195"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工业废气处理率（％）</w:t>
            </w:r>
          </w:p>
        </w:tc>
        <w:tc>
          <w:tcPr>
            <w:tcW w:w="1970" w:type="dxa"/>
            <w:vAlign w:val="center"/>
          </w:tcPr>
          <w:p w14:paraId="4AC4FBA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76A9D039" w14:textId="77777777">
        <w:trPr>
          <w:trHeight w:val="394"/>
          <w:jc w:val="center"/>
        </w:trPr>
        <w:tc>
          <w:tcPr>
            <w:tcW w:w="1144" w:type="dxa"/>
            <w:vMerge/>
            <w:vAlign w:val="center"/>
          </w:tcPr>
          <w:p w14:paraId="778EEB4B"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40E58DB1" w14:textId="77777777" w:rsidR="009C353B" w:rsidRDefault="009C353B">
            <w:pPr>
              <w:adjustRightInd w:val="0"/>
              <w:snapToGrid w:val="0"/>
              <w:spacing w:line="240" w:lineRule="atLeast"/>
              <w:jc w:val="center"/>
              <w:rPr>
                <w:rFonts w:ascii="Times New Roman" w:hAnsi="Times New Roman"/>
                <w:sz w:val="21"/>
                <w:szCs w:val="21"/>
              </w:rPr>
            </w:pPr>
          </w:p>
        </w:tc>
        <w:tc>
          <w:tcPr>
            <w:tcW w:w="3940" w:type="dxa"/>
            <w:gridSpan w:val="2"/>
            <w:vAlign w:val="center"/>
          </w:tcPr>
          <w:p w14:paraId="41798A01"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大气污染物达标排放率（％）</w:t>
            </w:r>
          </w:p>
        </w:tc>
        <w:tc>
          <w:tcPr>
            <w:tcW w:w="1970" w:type="dxa"/>
            <w:vAlign w:val="center"/>
          </w:tcPr>
          <w:p w14:paraId="6EB025D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5300F85B" w14:textId="77777777">
        <w:trPr>
          <w:trHeight w:val="394"/>
          <w:jc w:val="center"/>
        </w:trPr>
        <w:tc>
          <w:tcPr>
            <w:tcW w:w="1144" w:type="dxa"/>
            <w:vMerge/>
            <w:vAlign w:val="center"/>
          </w:tcPr>
          <w:p w14:paraId="6BA6106B"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restart"/>
            <w:vAlign w:val="center"/>
          </w:tcPr>
          <w:p w14:paraId="5CD0C07F"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水污染控制指标</w:t>
            </w:r>
          </w:p>
        </w:tc>
        <w:tc>
          <w:tcPr>
            <w:tcW w:w="3940" w:type="dxa"/>
            <w:gridSpan w:val="2"/>
            <w:vAlign w:val="center"/>
          </w:tcPr>
          <w:p w14:paraId="4F75AA11"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工业废水及生活污水处理率（％）</w:t>
            </w:r>
          </w:p>
        </w:tc>
        <w:tc>
          <w:tcPr>
            <w:tcW w:w="1970" w:type="dxa"/>
            <w:vAlign w:val="center"/>
          </w:tcPr>
          <w:p w14:paraId="700A378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63D067FA" w14:textId="77777777">
        <w:trPr>
          <w:trHeight w:val="394"/>
          <w:jc w:val="center"/>
        </w:trPr>
        <w:tc>
          <w:tcPr>
            <w:tcW w:w="1144" w:type="dxa"/>
            <w:vMerge/>
            <w:vAlign w:val="center"/>
          </w:tcPr>
          <w:p w14:paraId="67448B74"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4BA6DD85" w14:textId="77777777" w:rsidR="009C353B" w:rsidRDefault="009C353B">
            <w:pPr>
              <w:adjustRightInd w:val="0"/>
              <w:snapToGrid w:val="0"/>
              <w:spacing w:line="240" w:lineRule="atLeast"/>
              <w:jc w:val="center"/>
              <w:rPr>
                <w:rFonts w:ascii="Times New Roman" w:hAnsi="Times New Roman"/>
                <w:sz w:val="21"/>
                <w:szCs w:val="21"/>
              </w:rPr>
            </w:pPr>
          </w:p>
        </w:tc>
        <w:tc>
          <w:tcPr>
            <w:tcW w:w="3940" w:type="dxa"/>
            <w:gridSpan w:val="2"/>
            <w:vAlign w:val="center"/>
          </w:tcPr>
          <w:p w14:paraId="5B8D253C"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水污染物达标排放率（％）</w:t>
            </w:r>
          </w:p>
        </w:tc>
        <w:tc>
          <w:tcPr>
            <w:tcW w:w="1970" w:type="dxa"/>
            <w:vAlign w:val="center"/>
          </w:tcPr>
          <w:p w14:paraId="50DA5A8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5864E066" w14:textId="77777777">
        <w:trPr>
          <w:trHeight w:val="394"/>
          <w:jc w:val="center"/>
        </w:trPr>
        <w:tc>
          <w:tcPr>
            <w:tcW w:w="1144" w:type="dxa"/>
            <w:vMerge/>
            <w:vAlign w:val="center"/>
          </w:tcPr>
          <w:p w14:paraId="4D31C7B9"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restart"/>
            <w:vAlign w:val="center"/>
          </w:tcPr>
          <w:p w14:paraId="09C7DF4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固体废物处置</w:t>
            </w:r>
          </w:p>
          <w:p w14:paraId="53CC41F6"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指标</w:t>
            </w:r>
          </w:p>
        </w:tc>
        <w:tc>
          <w:tcPr>
            <w:tcW w:w="3940" w:type="dxa"/>
            <w:gridSpan w:val="2"/>
            <w:vAlign w:val="center"/>
          </w:tcPr>
          <w:p w14:paraId="5E0B5E8B"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煤矸石及煤泥处置率（％）</w:t>
            </w:r>
          </w:p>
        </w:tc>
        <w:tc>
          <w:tcPr>
            <w:tcW w:w="1970" w:type="dxa"/>
            <w:vAlign w:val="center"/>
          </w:tcPr>
          <w:p w14:paraId="7536F513" w14:textId="77777777" w:rsidR="009C353B" w:rsidRDefault="00000000">
            <w:pPr>
              <w:pStyle w:val="affffd"/>
              <w:jc w:val="center"/>
              <w:outlineLvl w:val="9"/>
              <w:rPr>
                <w:rFonts w:ascii="Times New Roman" w:hAnsi="Times New Roman"/>
                <w:sz w:val="21"/>
                <w:szCs w:val="21"/>
              </w:rPr>
            </w:pPr>
            <w:r>
              <w:rPr>
                <w:rFonts w:ascii="Times New Roman" w:hAnsi="Times New Roman"/>
                <w:sz w:val="21"/>
                <w:szCs w:val="21"/>
              </w:rPr>
              <w:t>100</w:t>
            </w:r>
          </w:p>
        </w:tc>
      </w:tr>
      <w:tr w:rsidR="009C353B" w14:paraId="246E7F83" w14:textId="77777777">
        <w:trPr>
          <w:trHeight w:val="394"/>
          <w:jc w:val="center"/>
        </w:trPr>
        <w:tc>
          <w:tcPr>
            <w:tcW w:w="1144" w:type="dxa"/>
            <w:vMerge/>
            <w:vAlign w:val="center"/>
          </w:tcPr>
          <w:p w14:paraId="310184B1" w14:textId="77777777" w:rsidR="009C353B" w:rsidRDefault="009C353B">
            <w:pPr>
              <w:pStyle w:val="affffd"/>
              <w:jc w:val="center"/>
              <w:outlineLvl w:val="9"/>
              <w:rPr>
                <w:rFonts w:ascii="Times New Roman" w:hAnsi="Times New Roman"/>
                <w:sz w:val="21"/>
                <w:szCs w:val="21"/>
              </w:rPr>
            </w:pPr>
          </w:p>
        </w:tc>
        <w:tc>
          <w:tcPr>
            <w:tcW w:w="1476" w:type="dxa"/>
            <w:vMerge/>
            <w:vAlign w:val="center"/>
          </w:tcPr>
          <w:p w14:paraId="224C59C3" w14:textId="77777777" w:rsidR="009C353B" w:rsidRDefault="009C353B">
            <w:pPr>
              <w:pStyle w:val="affffd"/>
              <w:jc w:val="center"/>
              <w:outlineLvl w:val="9"/>
              <w:rPr>
                <w:rFonts w:ascii="Times New Roman" w:hAnsi="Times New Roman"/>
                <w:sz w:val="21"/>
                <w:szCs w:val="21"/>
              </w:rPr>
            </w:pPr>
          </w:p>
        </w:tc>
        <w:tc>
          <w:tcPr>
            <w:tcW w:w="3940" w:type="dxa"/>
            <w:gridSpan w:val="2"/>
            <w:vAlign w:val="center"/>
          </w:tcPr>
          <w:p w14:paraId="661C510C"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生活垃圾无害化处理率（％）</w:t>
            </w:r>
          </w:p>
        </w:tc>
        <w:tc>
          <w:tcPr>
            <w:tcW w:w="1970" w:type="dxa"/>
            <w:vAlign w:val="center"/>
          </w:tcPr>
          <w:p w14:paraId="675E36F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26C561FB" w14:textId="77777777">
        <w:trPr>
          <w:trHeight w:val="390"/>
          <w:jc w:val="center"/>
        </w:trPr>
        <w:tc>
          <w:tcPr>
            <w:tcW w:w="1144" w:type="dxa"/>
            <w:vMerge/>
            <w:vAlign w:val="center"/>
          </w:tcPr>
          <w:p w14:paraId="3E1E94C3"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363DE451" w14:textId="77777777" w:rsidR="009C353B" w:rsidRDefault="009C353B">
            <w:pPr>
              <w:adjustRightInd w:val="0"/>
              <w:snapToGrid w:val="0"/>
              <w:spacing w:line="240" w:lineRule="atLeast"/>
              <w:jc w:val="center"/>
              <w:rPr>
                <w:rFonts w:ascii="Times New Roman" w:hAnsi="Times New Roman"/>
                <w:sz w:val="21"/>
                <w:szCs w:val="21"/>
              </w:rPr>
            </w:pPr>
          </w:p>
        </w:tc>
        <w:tc>
          <w:tcPr>
            <w:tcW w:w="3940" w:type="dxa"/>
            <w:gridSpan w:val="2"/>
            <w:vAlign w:val="center"/>
          </w:tcPr>
          <w:p w14:paraId="7F6CCB58"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污泥处置率（％）</w:t>
            </w:r>
          </w:p>
        </w:tc>
        <w:tc>
          <w:tcPr>
            <w:tcW w:w="1970" w:type="dxa"/>
            <w:vAlign w:val="center"/>
          </w:tcPr>
          <w:p w14:paraId="0BC1D99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46AC5069" w14:textId="77777777">
        <w:trPr>
          <w:trHeight w:val="394"/>
          <w:jc w:val="center"/>
        </w:trPr>
        <w:tc>
          <w:tcPr>
            <w:tcW w:w="1144" w:type="dxa"/>
            <w:vMerge/>
            <w:vAlign w:val="center"/>
          </w:tcPr>
          <w:p w14:paraId="7D4C91C7"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Align w:val="center"/>
          </w:tcPr>
          <w:p w14:paraId="7D8176F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噪声环境影响</w:t>
            </w:r>
          </w:p>
          <w:p w14:paraId="6ABD4BA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指标</w:t>
            </w:r>
          </w:p>
        </w:tc>
        <w:tc>
          <w:tcPr>
            <w:tcW w:w="3940" w:type="dxa"/>
            <w:gridSpan w:val="2"/>
            <w:vAlign w:val="center"/>
          </w:tcPr>
          <w:p w14:paraId="7B0B22FF"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声环境功能区达标率（％）</w:t>
            </w:r>
          </w:p>
        </w:tc>
        <w:tc>
          <w:tcPr>
            <w:tcW w:w="1970" w:type="dxa"/>
            <w:vAlign w:val="center"/>
          </w:tcPr>
          <w:p w14:paraId="754A83B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2CEE5995" w14:textId="77777777">
        <w:trPr>
          <w:trHeight w:val="394"/>
          <w:jc w:val="center"/>
        </w:trPr>
        <w:tc>
          <w:tcPr>
            <w:tcW w:w="1144" w:type="dxa"/>
            <w:vMerge w:val="restart"/>
            <w:vAlign w:val="center"/>
          </w:tcPr>
          <w:p w14:paraId="5B959DE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环境质量改善</w:t>
            </w:r>
          </w:p>
        </w:tc>
        <w:tc>
          <w:tcPr>
            <w:tcW w:w="1476" w:type="dxa"/>
            <w:vAlign w:val="center"/>
          </w:tcPr>
          <w:p w14:paraId="15D7143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环境空气</w:t>
            </w:r>
          </w:p>
        </w:tc>
        <w:tc>
          <w:tcPr>
            <w:tcW w:w="3940" w:type="dxa"/>
            <w:gridSpan w:val="2"/>
            <w:vAlign w:val="center"/>
          </w:tcPr>
          <w:p w14:paraId="772E3F8A"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环境空气质量</w:t>
            </w:r>
            <w:r>
              <w:rPr>
                <w:rFonts w:ascii="Times New Roman" w:hAnsi="Times New Roman" w:hint="eastAsia"/>
                <w:sz w:val="21"/>
                <w:szCs w:val="21"/>
              </w:rPr>
              <w:t>2</w:t>
            </w:r>
            <w:r>
              <w:rPr>
                <w:rFonts w:ascii="Times New Roman" w:hAnsi="Times New Roman" w:hint="eastAsia"/>
                <w:sz w:val="21"/>
                <w:szCs w:val="21"/>
              </w:rPr>
              <w:t>类区达标率</w:t>
            </w:r>
            <w:r>
              <w:rPr>
                <w:rFonts w:ascii="Times New Roman" w:hAnsi="Times New Roman"/>
                <w:sz w:val="21"/>
                <w:szCs w:val="21"/>
              </w:rPr>
              <w:t>（％）</w:t>
            </w:r>
          </w:p>
        </w:tc>
        <w:tc>
          <w:tcPr>
            <w:tcW w:w="1970" w:type="dxa"/>
            <w:vAlign w:val="center"/>
          </w:tcPr>
          <w:p w14:paraId="444883A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5AD7BD61" w14:textId="77777777">
        <w:trPr>
          <w:trHeight w:val="394"/>
          <w:jc w:val="center"/>
        </w:trPr>
        <w:tc>
          <w:tcPr>
            <w:tcW w:w="1144" w:type="dxa"/>
            <w:vMerge/>
            <w:vAlign w:val="center"/>
          </w:tcPr>
          <w:p w14:paraId="4EEF7568"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Align w:val="center"/>
          </w:tcPr>
          <w:p w14:paraId="5377ED2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地表水</w:t>
            </w:r>
          </w:p>
        </w:tc>
        <w:tc>
          <w:tcPr>
            <w:tcW w:w="3940" w:type="dxa"/>
            <w:gridSpan w:val="2"/>
            <w:vAlign w:val="center"/>
          </w:tcPr>
          <w:p w14:paraId="3AD29B62"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地表水</w:t>
            </w:r>
            <w:r>
              <w:rPr>
                <w:rFonts w:hint="eastAsia"/>
                <w:sz w:val="21"/>
                <w:szCs w:val="21"/>
              </w:rPr>
              <w:t>Ⅳ</w:t>
            </w:r>
            <w:r>
              <w:rPr>
                <w:rFonts w:ascii="Times New Roman" w:hAnsi="Times New Roman"/>
                <w:sz w:val="21"/>
                <w:szCs w:val="21"/>
              </w:rPr>
              <w:t>类水体</w:t>
            </w:r>
            <w:r>
              <w:rPr>
                <w:rFonts w:ascii="Times New Roman" w:hAnsi="Times New Roman" w:hint="eastAsia"/>
                <w:sz w:val="21"/>
                <w:szCs w:val="21"/>
              </w:rPr>
              <w:t>达标率</w:t>
            </w:r>
            <w:r>
              <w:rPr>
                <w:rFonts w:ascii="Times New Roman" w:hAnsi="Times New Roman"/>
                <w:sz w:val="21"/>
                <w:szCs w:val="21"/>
              </w:rPr>
              <w:t>（％）</w:t>
            </w:r>
          </w:p>
        </w:tc>
        <w:tc>
          <w:tcPr>
            <w:tcW w:w="1970" w:type="dxa"/>
            <w:vAlign w:val="center"/>
          </w:tcPr>
          <w:p w14:paraId="3C9FD5B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2714F5B9" w14:textId="77777777">
        <w:trPr>
          <w:trHeight w:val="394"/>
          <w:jc w:val="center"/>
        </w:trPr>
        <w:tc>
          <w:tcPr>
            <w:tcW w:w="1144" w:type="dxa"/>
            <w:vMerge/>
            <w:vAlign w:val="center"/>
          </w:tcPr>
          <w:p w14:paraId="21890689"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Align w:val="center"/>
          </w:tcPr>
          <w:p w14:paraId="20CC768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地下水</w:t>
            </w:r>
          </w:p>
        </w:tc>
        <w:tc>
          <w:tcPr>
            <w:tcW w:w="3940" w:type="dxa"/>
            <w:gridSpan w:val="2"/>
            <w:vAlign w:val="center"/>
          </w:tcPr>
          <w:p w14:paraId="5EEB30AB"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地</w:t>
            </w:r>
            <w:r>
              <w:rPr>
                <w:rFonts w:ascii="Times New Roman" w:hAnsi="Times New Roman" w:hint="eastAsia"/>
                <w:sz w:val="21"/>
                <w:szCs w:val="21"/>
              </w:rPr>
              <w:t>下</w:t>
            </w:r>
            <w:r>
              <w:rPr>
                <w:rFonts w:ascii="Times New Roman" w:hAnsi="Times New Roman"/>
                <w:sz w:val="21"/>
                <w:szCs w:val="21"/>
              </w:rPr>
              <w:t>水</w:t>
            </w:r>
            <w:r>
              <w:rPr>
                <w:rFonts w:ascii="Times New Roman" w:hAnsi="Times New Roman" w:hint="eastAsia"/>
                <w:sz w:val="21"/>
                <w:szCs w:val="21"/>
              </w:rPr>
              <w:t>I</w:t>
            </w:r>
            <w:r>
              <w:rPr>
                <w:rFonts w:ascii="Times New Roman" w:hAnsi="Times New Roman"/>
                <w:sz w:val="21"/>
                <w:szCs w:val="21"/>
              </w:rPr>
              <w:t>II</w:t>
            </w:r>
            <w:r>
              <w:rPr>
                <w:rFonts w:ascii="Times New Roman" w:hAnsi="Times New Roman"/>
                <w:sz w:val="21"/>
                <w:szCs w:val="21"/>
              </w:rPr>
              <w:t>类水</w:t>
            </w:r>
            <w:r>
              <w:rPr>
                <w:rFonts w:ascii="Times New Roman" w:hAnsi="Times New Roman" w:hint="eastAsia"/>
                <w:sz w:val="21"/>
                <w:szCs w:val="21"/>
              </w:rPr>
              <w:t>达标率</w:t>
            </w:r>
            <w:r>
              <w:rPr>
                <w:rFonts w:ascii="Times New Roman" w:hAnsi="Times New Roman"/>
                <w:sz w:val="21"/>
                <w:szCs w:val="21"/>
              </w:rPr>
              <w:t>（％）</w:t>
            </w:r>
          </w:p>
        </w:tc>
        <w:tc>
          <w:tcPr>
            <w:tcW w:w="1970" w:type="dxa"/>
            <w:vAlign w:val="center"/>
          </w:tcPr>
          <w:p w14:paraId="7FB6E8FC"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1E2BB681" w14:textId="77777777">
        <w:trPr>
          <w:trHeight w:val="394"/>
          <w:jc w:val="center"/>
        </w:trPr>
        <w:tc>
          <w:tcPr>
            <w:tcW w:w="1144" w:type="dxa"/>
            <w:vMerge/>
            <w:vAlign w:val="center"/>
          </w:tcPr>
          <w:p w14:paraId="6A237C84"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Align w:val="center"/>
          </w:tcPr>
          <w:p w14:paraId="6E6CCAA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声环境</w:t>
            </w:r>
          </w:p>
        </w:tc>
        <w:tc>
          <w:tcPr>
            <w:tcW w:w="3940" w:type="dxa"/>
            <w:gridSpan w:val="2"/>
            <w:vAlign w:val="center"/>
          </w:tcPr>
          <w:p w14:paraId="5EA6C4A0"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声环境</w:t>
            </w:r>
            <w:r>
              <w:rPr>
                <w:rFonts w:ascii="Times New Roman" w:hAnsi="Times New Roman"/>
                <w:sz w:val="21"/>
                <w:szCs w:val="21"/>
              </w:rPr>
              <w:t>3</w:t>
            </w:r>
            <w:r>
              <w:rPr>
                <w:rFonts w:ascii="Times New Roman" w:hAnsi="Times New Roman" w:hint="eastAsia"/>
                <w:sz w:val="21"/>
                <w:szCs w:val="21"/>
              </w:rPr>
              <w:t>类区达标率</w:t>
            </w:r>
            <w:r>
              <w:rPr>
                <w:rFonts w:ascii="Times New Roman" w:hAnsi="Times New Roman"/>
                <w:sz w:val="21"/>
                <w:szCs w:val="21"/>
              </w:rPr>
              <w:t>（％）</w:t>
            </w:r>
          </w:p>
        </w:tc>
        <w:tc>
          <w:tcPr>
            <w:tcW w:w="1970" w:type="dxa"/>
            <w:vAlign w:val="center"/>
          </w:tcPr>
          <w:p w14:paraId="3ED2203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3267915C" w14:textId="77777777">
        <w:trPr>
          <w:trHeight w:val="394"/>
          <w:jc w:val="center"/>
        </w:trPr>
        <w:tc>
          <w:tcPr>
            <w:tcW w:w="1144" w:type="dxa"/>
            <w:vMerge/>
            <w:vAlign w:val="center"/>
          </w:tcPr>
          <w:p w14:paraId="0E052D63"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Align w:val="center"/>
          </w:tcPr>
          <w:p w14:paraId="77AADD1E"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土壤环境</w:t>
            </w:r>
          </w:p>
        </w:tc>
        <w:tc>
          <w:tcPr>
            <w:tcW w:w="3940" w:type="dxa"/>
            <w:gridSpan w:val="2"/>
            <w:vAlign w:val="center"/>
          </w:tcPr>
          <w:p w14:paraId="70F1C3E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农用地土壤污染风险管制值</w:t>
            </w:r>
            <w:r>
              <w:rPr>
                <w:rFonts w:ascii="Times New Roman" w:hAnsi="Times New Roman" w:hint="eastAsia"/>
                <w:sz w:val="21"/>
                <w:szCs w:val="21"/>
              </w:rPr>
              <w:t>达标率</w:t>
            </w:r>
            <w:r>
              <w:rPr>
                <w:rFonts w:ascii="Times New Roman" w:hAnsi="Times New Roman"/>
                <w:sz w:val="21"/>
                <w:szCs w:val="21"/>
              </w:rPr>
              <w:t>（％）</w:t>
            </w:r>
          </w:p>
        </w:tc>
        <w:tc>
          <w:tcPr>
            <w:tcW w:w="1970" w:type="dxa"/>
            <w:vAlign w:val="center"/>
          </w:tcPr>
          <w:p w14:paraId="05F56670"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4992CCE8" w14:textId="77777777">
        <w:trPr>
          <w:trHeight w:val="394"/>
          <w:jc w:val="center"/>
        </w:trPr>
        <w:tc>
          <w:tcPr>
            <w:tcW w:w="1144" w:type="dxa"/>
            <w:vMerge w:val="restart"/>
            <w:vAlign w:val="center"/>
          </w:tcPr>
          <w:p w14:paraId="4A403284"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hint="eastAsia"/>
                <w:sz w:val="21"/>
                <w:szCs w:val="21"/>
              </w:rPr>
              <w:t>生态</w:t>
            </w:r>
            <w:r>
              <w:rPr>
                <w:rFonts w:ascii="Times New Roman" w:hAnsi="Times New Roman"/>
                <w:sz w:val="21"/>
                <w:szCs w:val="21"/>
              </w:rPr>
              <w:t>功能保护</w:t>
            </w:r>
          </w:p>
        </w:tc>
        <w:tc>
          <w:tcPr>
            <w:tcW w:w="1476" w:type="dxa"/>
            <w:vMerge w:val="restart"/>
            <w:vAlign w:val="center"/>
          </w:tcPr>
          <w:p w14:paraId="1BDEBF5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生态保护与恢复指标</w:t>
            </w:r>
          </w:p>
        </w:tc>
        <w:tc>
          <w:tcPr>
            <w:tcW w:w="3940" w:type="dxa"/>
            <w:gridSpan w:val="2"/>
            <w:vAlign w:val="center"/>
          </w:tcPr>
          <w:p w14:paraId="4B5FD1E3"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扰动土地治理率（％）</w:t>
            </w:r>
          </w:p>
        </w:tc>
        <w:tc>
          <w:tcPr>
            <w:tcW w:w="1970" w:type="dxa"/>
            <w:vAlign w:val="center"/>
          </w:tcPr>
          <w:p w14:paraId="3603C469"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90</w:t>
            </w:r>
          </w:p>
        </w:tc>
      </w:tr>
      <w:tr w:rsidR="009C353B" w14:paraId="137234A8" w14:textId="77777777">
        <w:trPr>
          <w:trHeight w:val="394"/>
          <w:jc w:val="center"/>
        </w:trPr>
        <w:tc>
          <w:tcPr>
            <w:tcW w:w="1144" w:type="dxa"/>
            <w:vMerge/>
            <w:vAlign w:val="center"/>
          </w:tcPr>
          <w:p w14:paraId="1FCBB52D"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64F25178" w14:textId="77777777" w:rsidR="009C353B" w:rsidRDefault="009C353B">
            <w:pPr>
              <w:adjustRightInd w:val="0"/>
              <w:snapToGrid w:val="0"/>
              <w:spacing w:line="240" w:lineRule="atLeast"/>
              <w:jc w:val="center"/>
              <w:rPr>
                <w:rFonts w:ascii="Times New Roman" w:hAnsi="Times New Roman"/>
                <w:sz w:val="21"/>
                <w:szCs w:val="21"/>
              </w:rPr>
            </w:pPr>
          </w:p>
        </w:tc>
        <w:tc>
          <w:tcPr>
            <w:tcW w:w="3940" w:type="dxa"/>
            <w:gridSpan w:val="2"/>
            <w:vAlign w:val="center"/>
          </w:tcPr>
          <w:p w14:paraId="3F2C456E"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水土流失总治理度（％）</w:t>
            </w:r>
          </w:p>
        </w:tc>
        <w:tc>
          <w:tcPr>
            <w:tcW w:w="1970" w:type="dxa"/>
            <w:vAlign w:val="center"/>
          </w:tcPr>
          <w:p w14:paraId="207068D3"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85</w:t>
            </w:r>
          </w:p>
        </w:tc>
      </w:tr>
      <w:tr w:rsidR="009C353B" w14:paraId="6A0AA62D" w14:textId="77777777">
        <w:trPr>
          <w:trHeight w:val="394"/>
          <w:jc w:val="center"/>
        </w:trPr>
        <w:tc>
          <w:tcPr>
            <w:tcW w:w="1144" w:type="dxa"/>
            <w:vMerge/>
            <w:vAlign w:val="center"/>
          </w:tcPr>
          <w:p w14:paraId="1F5AC7E2"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78B2DB13" w14:textId="77777777" w:rsidR="009C353B" w:rsidRDefault="009C353B">
            <w:pPr>
              <w:adjustRightInd w:val="0"/>
              <w:snapToGrid w:val="0"/>
              <w:spacing w:line="240" w:lineRule="atLeast"/>
              <w:jc w:val="center"/>
              <w:rPr>
                <w:rFonts w:ascii="Times New Roman" w:hAnsi="Times New Roman"/>
                <w:sz w:val="21"/>
                <w:szCs w:val="21"/>
              </w:rPr>
            </w:pPr>
          </w:p>
        </w:tc>
        <w:tc>
          <w:tcPr>
            <w:tcW w:w="3940" w:type="dxa"/>
            <w:gridSpan w:val="2"/>
            <w:vAlign w:val="center"/>
          </w:tcPr>
          <w:p w14:paraId="008B6E0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土壤流失控制比（％）</w:t>
            </w:r>
          </w:p>
        </w:tc>
        <w:tc>
          <w:tcPr>
            <w:tcW w:w="1970" w:type="dxa"/>
            <w:vAlign w:val="center"/>
          </w:tcPr>
          <w:p w14:paraId="0008BB6B"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70</w:t>
            </w:r>
          </w:p>
        </w:tc>
      </w:tr>
      <w:tr w:rsidR="009C353B" w14:paraId="0DEBCC87" w14:textId="77777777">
        <w:trPr>
          <w:trHeight w:val="394"/>
          <w:jc w:val="center"/>
        </w:trPr>
        <w:tc>
          <w:tcPr>
            <w:tcW w:w="1144" w:type="dxa"/>
            <w:vMerge/>
            <w:vAlign w:val="center"/>
          </w:tcPr>
          <w:p w14:paraId="3595FB6D"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55DB6794" w14:textId="77777777" w:rsidR="009C353B" w:rsidRDefault="009C353B">
            <w:pPr>
              <w:adjustRightInd w:val="0"/>
              <w:snapToGrid w:val="0"/>
              <w:spacing w:line="240" w:lineRule="atLeast"/>
              <w:jc w:val="center"/>
              <w:rPr>
                <w:rFonts w:ascii="Times New Roman" w:hAnsi="Times New Roman"/>
                <w:sz w:val="21"/>
                <w:szCs w:val="21"/>
              </w:rPr>
            </w:pPr>
          </w:p>
        </w:tc>
        <w:tc>
          <w:tcPr>
            <w:tcW w:w="3940" w:type="dxa"/>
            <w:gridSpan w:val="2"/>
            <w:vAlign w:val="center"/>
          </w:tcPr>
          <w:p w14:paraId="5D217095"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危害性滑坡、裂缝等沉陷灾害的治理率（％）</w:t>
            </w:r>
          </w:p>
        </w:tc>
        <w:tc>
          <w:tcPr>
            <w:tcW w:w="1970" w:type="dxa"/>
            <w:vAlign w:val="center"/>
          </w:tcPr>
          <w:p w14:paraId="66E8D978"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r>
      <w:tr w:rsidR="009C353B" w14:paraId="05E52C33" w14:textId="77777777">
        <w:trPr>
          <w:trHeight w:val="394"/>
          <w:jc w:val="center"/>
        </w:trPr>
        <w:tc>
          <w:tcPr>
            <w:tcW w:w="1144" w:type="dxa"/>
            <w:vMerge/>
            <w:vAlign w:val="center"/>
          </w:tcPr>
          <w:p w14:paraId="2A121B28" w14:textId="77777777" w:rsidR="009C353B" w:rsidRDefault="009C353B">
            <w:pPr>
              <w:adjustRightInd w:val="0"/>
              <w:snapToGrid w:val="0"/>
              <w:spacing w:line="240" w:lineRule="atLeast"/>
              <w:jc w:val="center"/>
              <w:rPr>
                <w:rFonts w:ascii="Times New Roman" w:hAnsi="Times New Roman"/>
                <w:sz w:val="21"/>
                <w:szCs w:val="21"/>
              </w:rPr>
            </w:pPr>
          </w:p>
        </w:tc>
        <w:tc>
          <w:tcPr>
            <w:tcW w:w="1476" w:type="dxa"/>
            <w:vMerge/>
            <w:vAlign w:val="center"/>
          </w:tcPr>
          <w:p w14:paraId="13A88548" w14:textId="77777777" w:rsidR="009C353B" w:rsidRDefault="009C353B">
            <w:pPr>
              <w:adjustRightInd w:val="0"/>
              <w:snapToGrid w:val="0"/>
              <w:spacing w:line="240" w:lineRule="atLeast"/>
              <w:jc w:val="center"/>
              <w:rPr>
                <w:rFonts w:ascii="Times New Roman" w:hAnsi="Times New Roman"/>
                <w:sz w:val="21"/>
                <w:szCs w:val="21"/>
              </w:rPr>
            </w:pPr>
          </w:p>
        </w:tc>
        <w:tc>
          <w:tcPr>
            <w:tcW w:w="3940" w:type="dxa"/>
            <w:gridSpan w:val="2"/>
            <w:vAlign w:val="center"/>
          </w:tcPr>
          <w:p w14:paraId="430DD407"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工业场地林草覆盖率（％）</w:t>
            </w:r>
          </w:p>
        </w:tc>
        <w:tc>
          <w:tcPr>
            <w:tcW w:w="1970" w:type="dxa"/>
            <w:vAlign w:val="center"/>
          </w:tcPr>
          <w:p w14:paraId="048BE537" w14:textId="77777777" w:rsidR="009C353B" w:rsidRDefault="00000000">
            <w:pPr>
              <w:adjustRightInd w:val="0"/>
              <w:snapToGrid w:val="0"/>
              <w:spacing w:line="240" w:lineRule="atLeast"/>
              <w:jc w:val="center"/>
              <w:rPr>
                <w:rFonts w:ascii="Times New Roman" w:hAnsi="Times New Roman"/>
                <w:sz w:val="21"/>
                <w:szCs w:val="21"/>
              </w:rPr>
            </w:pPr>
            <w:r>
              <w:rPr>
                <w:rFonts w:ascii="Times New Roman" w:hAnsi="Times New Roman"/>
                <w:sz w:val="21"/>
                <w:szCs w:val="21"/>
              </w:rPr>
              <w:t>≥30</w:t>
            </w:r>
          </w:p>
        </w:tc>
      </w:tr>
    </w:tbl>
    <w:p w14:paraId="43DD635D"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rPr>
        <w:t>此外，煤炭采掘和洗选在生产工艺和设备选型上应符合国家产业政策，煤炭采掘采用国内外较为先进的煤炭采掘、煤矿安全、煤炭贮运生产工艺和技术设备。并采用降低开采沉陷及矿山生态恢复措施和提高煤炭回采率的措施。确保煤矿综合机械化采煤比例</w:t>
      </w:r>
      <w:r>
        <w:rPr>
          <w:rFonts w:ascii="Times New Roman" w:hAnsi="Times New Roman"/>
        </w:rPr>
        <w:t>≥95%</w:t>
      </w:r>
      <w:r>
        <w:rPr>
          <w:rFonts w:ascii="Times New Roman" w:hAnsi="Times New Roman"/>
        </w:rPr>
        <w:t>、原煤入选率</w:t>
      </w:r>
      <w:r>
        <w:rPr>
          <w:rFonts w:ascii="Times New Roman" w:hAnsi="Times New Roman"/>
        </w:rPr>
        <w:t>100%</w:t>
      </w:r>
      <w:r>
        <w:rPr>
          <w:rFonts w:ascii="Times New Roman" w:hAnsi="Times New Roman"/>
        </w:rPr>
        <w:t>。煤炭洗选采用国内外先进的煤炭洗选、选煤水闭路循环、煤炭贮运生产工艺和技术设备。生产工艺和装备水平各指标达到《</w:t>
      </w:r>
      <w:r>
        <w:rPr>
          <w:rFonts w:ascii="Times New Roman" w:hAnsi="Times New Roman" w:hint="eastAsia"/>
        </w:rPr>
        <w:t>煤炭采选业清洁生产评价指标体系</w:t>
      </w:r>
      <w:r>
        <w:rPr>
          <w:rFonts w:ascii="Times New Roman" w:hAnsi="Times New Roman"/>
        </w:rPr>
        <w:t>》</w:t>
      </w:r>
      <w:r>
        <w:rPr>
          <w:rFonts w:ascii="Times New Roman" w:hAnsi="Times New Roman"/>
          <w:szCs w:val="24"/>
        </w:rPr>
        <w:t>清洁生产水平</w:t>
      </w:r>
      <w:r>
        <w:rPr>
          <w:rFonts w:ascii="Times New Roman" w:hAnsi="Times New Roman" w:hint="eastAsia"/>
          <w:szCs w:val="24"/>
        </w:rPr>
        <w:t>Ⅰ级</w:t>
      </w:r>
      <w:r>
        <w:rPr>
          <w:rFonts w:ascii="Times New Roman" w:hAnsi="Times New Roman"/>
        </w:rPr>
        <w:t>水平。</w:t>
      </w:r>
    </w:p>
    <w:p w14:paraId="1F39C187" w14:textId="77777777" w:rsidR="009C353B" w:rsidRDefault="00000000">
      <w:pPr>
        <w:pStyle w:val="2"/>
        <w:adjustRightInd w:val="0"/>
        <w:snapToGrid w:val="0"/>
        <w:spacing w:line="440" w:lineRule="exact"/>
        <w:jc w:val="left"/>
        <w:rPr>
          <w:rFonts w:ascii="Times New Roman" w:eastAsia="宋体" w:hAnsi="Times New Roman"/>
          <w:b/>
          <w:sz w:val="28"/>
        </w:rPr>
      </w:pPr>
      <w:bookmarkStart w:id="427" w:name="_Toc163441039"/>
      <w:bookmarkStart w:id="428" w:name="_Toc59189884"/>
      <w:r>
        <w:rPr>
          <w:rFonts w:ascii="Times New Roman" w:eastAsia="宋体" w:hAnsi="Times New Roman" w:hint="eastAsia"/>
          <w:b/>
          <w:sz w:val="28"/>
        </w:rPr>
        <w:t>1</w:t>
      </w:r>
      <w:r>
        <w:rPr>
          <w:rFonts w:ascii="Times New Roman" w:eastAsia="宋体" w:hAnsi="Times New Roman"/>
          <w:b/>
          <w:sz w:val="28"/>
        </w:rPr>
        <w:t>1</w:t>
      </w:r>
      <w:r>
        <w:rPr>
          <w:rFonts w:ascii="Times New Roman" w:eastAsia="宋体" w:hAnsi="Times New Roman" w:hint="eastAsia"/>
          <w:b/>
          <w:sz w:val="28"/>
        </w:rPr>
        <w:t>.</w:t>
      </w:r>
      <w:r>
        <w:rPr>
          <w:rFonts w:ascii="Times New Roman" w:eastAsia="宋体" w:hAnsi="Times New Roman"/>
          <w:b/>
          <w:sz w:val="28"/>
        </w:rPr>
        <w:t xml:space="preserve">2 </w:t>
      </w:r>
      <w:r>
        <w:rPr>
          <w:rFonts w:ascii="Times New Roman" w:eastAsia="宋体" w:hAnsi="Times New Roman"/>
          <w:b/>
          <w:sz w:val="28"/>
        </w:rPr>
        <w:t>矿区循环经济分析</w:t>
      </w:r>
      <w:bookmarkEnd w:id="427"/>
      <w:bookmarkEnd w:id="428"/>
    </w:p>
    <w:p w14:paraId="05C20A4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循环经济是以资源的高效利用和循环利用为核心，以</w:t>
      </w:r>
      <w:r>
        <w:rPr>
          <w:rFonts w:ascii="Times New Roman" w:hAnsi="Times New Roman"/>
        </w:rPr>
        <w:t>“</w:t>
      </w:r>
      <w:r>
        <w:rPr>
          <w:rFonts w:ascii="Times New Roman" w:hAnsi="Times New Roman"/>
        </w:rPr>
        <w:t>减量化（</w:t>
      </w:r>
      <w:r>
        <w:rPr>
          <w:rFonts w:ascii="Times New Roman" w:hAnsi="Times New Roman"/>
        </w:rPr>
        <w:t>Reduce</w:t>
      </w:r>
      <w:r>
        <w:rPr>
          <w:rFonts w:ascii="Times New Roman" w:hAnsi="Times New Roman"/>
        </w:rPr>
        <w:t>）、再利用（</w:t>
      </w:r>
      <w:r>
        <w:rPr>
          <w:rFonts w:ascii="Times New Roman" w:hAnsi="Times New Roman"/>
        </w:rPr>
        <w:t>Reuse</w:t>
      </w:r>
      <w:r>
        <w:rPr>
          <w:rFonts w:ascii="Times New Roman" w:hAnsi="Times New Roman"/>
        </w:rPr>
        <w:t>）、资源化（</w:t>
      </w:r>
      <w:r>
        <w:rPr>
          <w:rFonts w:ascii="Times New Roman" w:hAnsi="Times New Roman"/>
        </w:rPr>
        <w:t>Resources</w:t>
      </w:r>
      <w:r>
        <w:rPr>
          <w:rFonts w:ascii="Times New Roman" w:hAnsi="Times New Roman"/>
        </w:rPr>
        <w:t>）</w:t>
      </w:r>
      <w:r>
        <w:rPr>
          <w:rFonts w:ascii="Times New Roman" w:hAnsi="Times New Roman"/>
        </w:rPr>
        <w:t>”</w:t>
      </w:r>
      <w:r>
        <w:rPr>
          <w:rFonts w:ascii="Times New Roman" w:hAnsi="Times New Roman"/>
        </w:rPr>
        <w:t>为原则（</w:t>
      </w:r>
      <w:r>
        <w:rPr>
          <w:rFonts w:ascii="Times New Roman" w:hAnsi="Times New Roman"/>
        </w:rPr>
        <w:t>3R</w:t>
      </w:r>
      <w:r>
        <w:rPr>
          <w:rFonts w:ascii="Times New Roman" w:hAnsi="Times New Roman"/>
        </w:rPr>
        <w:t>原则），以低消耗、低排放、高效率为基本特征的可持续的经济增长模式，是对</w:t>
      </w:r>
      <w:r>
        <w:rPr>
          <w:rFonts w:ascii="Times New Roman" w:hAnsi="Times New Roman"/>
        </w:rPr>
        <w:t>“</w:t>
      </w:r>
      <w:r>
        <w:rPr>
          <w:rFonts w:ascii="Times New Roman" w:hAnsi="Times New Roman"/>
        </w:rPr>
        <w:t>大量生产、大量消费、大量废弃</w:t>
      </w:r>
      <w:r>
        <w:rPr>
          <w:rFonts w:ascii="Times New Roman" w:hAnsi="Times New Roman"/>
        </w:rPr>
        <w:t>”</w:t>
      </w:r>
      <w:r>
        <w:rPr>
          <w:rFonts w:ascii="Times New Roman" w:hAnsi="Times New Roman"/>
        </w:rPr>
        <w:t>的传统增长模式的根本变革。</w:t>
      </w:r>
    </w:p>
    <w:p w14:paraId="000FE131"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1</w:t>
      </w:r>
      <w:r>
        <w:rPr>
          <w:rFonts w:ascii="Times New Roman" w:hAnsi="Times New Roman" w:hint="eastAsia"/>
          <w:sz w:val="24"/>
        </w:rPr>
        <w:t>.</w:t>
      </w:r>
      <w:r>
        <w:rPr>
          <w:rFonts w:ascii="Times New Roman" w:hAnsi="Times New Roman"/>
          <w:sz w:val="24"/>
        </w:rPr>
        <w:t xml:space="preserve">2.1 </w:t>
      </w:r>
      <w:r>
        <w:rPr>
          <w:rFonts w:ascii="Times New Roman" w:hAnsi="Times New Roman"/>
          <w:sz w:val="24"/>
        </w:rPr>
        <w:t>矿区循环经济发展潜力</w:t>
      </w:r>
      <w:r>
        <w:rPr>
          <w:rFonts w:ascii="Times New Roman" w:hAnsi="Times New Roman" w:hint="eastAsia"/>
          <w:sz w:val="24"/>
        </w:rPr>
        <w:t>分析</w:t>
      </w:r>
    </w:p>
    <w:p w14:paraId="7C3EC12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矿区具有丰富的煤炭资源及煤炭生产过程中的副产品，为矿区发展循环经济、延伸产业链条提供了充足的空间，具有循环经济发展的潜力。具体来说，矿区循环经济发展潜力主要表现在以下几个方面：</w:t>
      </w:r>
    </w:p>
    <w:p w14:paraId="0E8509C1"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）煤炭资源</w:t>
      </w:r>
    </w:p>
    <w:p w14:paraId="20D3F9B9" w14:textId="77777777" w:rsidR="009C353B" w:rsidRDefault="00000000">
      <w:pPr>
        <w:pStyle w:val="affffb"/>
        <w:adjustRightInd w:val="0"/>
        <w:snapToGrid w:val="0"/>
        <w:spacing w:line="440" w:lineRule="exact"/>
        <w:rPr>
          <w:rFonts w:ascii="Times New Roman" w:hAnsi="Times New Roman" w:cs="Times New Roman"/>
        </w:rPr>
      </w:pPr>
      <w:r>
        <w:rPr>
          <w:rFonts w:ascii="Times New Roman" w:hAnsi="Times New Roman" w:cs="Times New Roman"/>
        </w:rPr>
        <w:t>根据矿区总体规划，横城矿区共有地质储量</w:t>
      </w:r>
      <w:r>
        <w:rPr>
          <w:rFonts w:ascii="Times New Roman" w:hAnsi="Times New Roman" w:cs="Times New Roman"/>
          <w:szCs w:val="28"/>
        </w:rPr>
        <w:t>1020.17Mt</w:t>
      </w:r>
      <w:r>
        <w:rPr>
          <w:rFonts w:ascii="Times New Roman" w:hAnsi="Times New Roman" w:cs="Times New Roman"/>
        </w:rPr>
        <w:t>，按矿区建设计划，矿区煤炭资源均衡服务年限为</w:t>
      </w:r>
      <w:r>
        <w:rPr>
          <w:rFonts w:ascii="Times New Roman" w:hAnsi="Times New Roman" w:cs="Times New Roman" w:hint="eastAsia"/>
        </w:rPr>
        <w:t>28</w:t>
      </w:r>
      <w:r>
        <w:rPr>
          <w:rFonts w:ascii="Times New Roman" w:hAnsi="Times New Roman" w:cs="Times New Roman"/>
        </w:rPr>
        <w:t>年；</w:t>
      </w:r>
      <w:r>
        <w:rPr>
          <w:rFonts w:ascii="Times New Roman" w:hAnsi="Times New Roman" w:hint="eastAsia"/>
        </w:rPr>
        <w:t>横城矿区煤为中等变质程度，煤类从</w:t>
      </w:r>
      <w:r>
        <w:rPr>
          <w:rFonts w:ascii="Times New Roman" w:hAnsi="Times New Roman"/>
        </w:rPr>
        <w:t>气煤</w:t>
      </w:r>
      <w:r>
        <w:rPr>
          <w:rFonts w:ascii="Times New Roman" w:hAnsi="Times New Roman" w:hint="eastAsia"/>
        </w:rPr>
        <w:t>～</w:t>
      </w:r>
      <w:r>
        <w:rPr>
          <w:rFonts w:ascii="Times New Roman" w:hAnsi="Times New Roman"/>
        </w:rPr>
        <w:t>1/3</w:t>
      </w:r>
      <w:r>
        <w:rPr>
          <w:rFonts w:ascii="Times New Roman" w:hAnsi="Times New Roman" w:hint="eastAsia"/>
        </w:rPr>
        <w:t>焦煤都有分布，具有水分低、粘结性较强、中高挥发分，中高发热量～高发热量，煤灰熔点较高，是良好的炼焦用煤和炼焦配煤，也可以作为动力用煤、气化用煤和化工用煤等，还可用作气化和低温干馏等工业的原料。</w:t>
      </w:r>
      <w:r>
        <w:rPr>
          <w:rFonts w:ascii="Times New Roman" w:hAnsi="Times New Roman" w:cs="Times New Roman"/>
        </w:rPr>
        <w:t>丰富优质的煤炭资源为矿区发展循环经济奠定了坚实的基础。</w:t>
      </w:r>
    </w:p>
    <w:p w14:paraId="7F1FE20E"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）煤炭副产品</w:t>
      </w:r>
    </w:p>
    <w:p w14:paraId="0530279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1</w:t>
      </w:r>
      <w:r>
        <w:rPr>
          <w:rFonts w:ascii="Times New Roman" w:hAnsi="Times New Roman"/>
        </w:rPr>
        <w:t>）矿井水</w:t>
      </w:r>
    </w:p>
    <w:p w14:paraId="236C03C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w:t>
      </w:r>
      <w:r>
        <w:rPr>
          <w:rFonts w:ascii="Times New Roman" w:hAnsi="Times New Roman" w:hint="eastAsia"/>
        </w:rPr>
        <w:t>规划</w:t>
      </w:r>
      <w:r>
        <w:rPr>
          <w:rFonts w:ascii="Times New Roman" w:hAnsi="Times New Roman" w:hint="eastAsia"/>
        </w:rPr>
        <w:t>4</w:t>
      </w:r>
      <w:r>
        <w:rPr>
          <w:rFonts w:ascii="Times New Roman" w:hAnsi="Times New Roman" w:hint="eastAsia"/>
        </w:rPr>
        <w:t>个井工</w:t>
      </w:r>
      <w:r>
        <w:rPr>
          <w:rFonts w:ascii="Times New Roman" w:hAnsi="Times New Roman"/>
        </w:rPr>
        <w:t>煤矿</w:t>
      </w:r>
      <w:r>
        <w:rPr>
          <w:rFonts w:ascii="Times New Roman" w:hAnsi="Times New Roman" w:hint="eastAsia"/>
        </w:rPr>
        <w:t>，煤矿</w:t>
      </w:r>
      <w:r>
        <w:rPr>
          <w:rFonts w:ascii="Times New Roman" w:hAnsi="Times New Roman"/>
        </w:rPr>
        <w:t>开采将产生大量的矿井水。根据矿区地质勘探报告，矿区达产</w:t>
      </w:r>
      <w:r>
        <w:rPr>
          <w:rFonts w:ascii="Times New Roman" w:hAnsi="Times New Roman" w:hint="eastAsia"/>
        </w:rPr>
        <w:t>9.20</w:t>
      </w:r>
      <w:r>
        <w:rPr>
          <w:rFonts w:ascii="Times New Roman" w:hAnsi="Times New Roman"/>
        </w:rPr>
        <w:t>Mt/a</w:t>
      </w:r>
      <w:r>
        <w:rPr>
          <w:rFonts w:ascii="Times New Roman" w:hAnsi="Times New Roman"/>
        </w:rPr>
        <w:t>时，矿区</w:t>
      </w:r>
      <w:r>
        <w:rPr>
          <w:rFonts w:ascii="Times New Roman" w:hAnsi="Times New Roman" w:hint="eastAsia"/>
        </w:rPr>
        <w:t>煤矿</w:t>
      </w:r>
      <w:r>
        <w:rPr>
          <w:rFonts w:ascii="Times New Roman" w:hAnsi="Times New Roman"/>
        </w:rPr>
        <w:t>排水量达到</w:t>
      </w:r>
      <w:r>
        <w:rPr>
          <w:rFonts w:ascii="Times New Roman" w:hAnsi="Times New Roman"/>
        </w:rPr>
        <w:t>31056m</w:t>
      </w:r>
      <w:r>
        <w:rPr>
          <w:rFonts w:ascii="Times New Roman" w:hAnsi="Times New Roman"/>
          <w:vertAlign w:val="superscript"/>
        </w:rPr>
        <w:t>3</w:t>
      </w:r>
      <w:r>
        <w:rPr>
          <w:rFonts w:ascii="Times New Roman" w:hAnsi="Times New Roman"/>
        </w:rPr>
        <w:t>/</w:t>
      </w:r>
      <w:r>
        <w:rPr>
          <w:rFonts w:ascii="Times New Roman" w:hAnsi="Times New Roman" w:hint="eastAsia"/>
        </w:rPr>
        <w:t>d</w:t>
      </w:r>
      <w:r>
        <w:rPr>
          <w:rFonts w:ascii="Times New Roman" w:hAnsi="Times New Roman"/>
        </w:rPr>
        <w:t>，矿区排水量十分丰富。而横城矿区</w:t>
      </w:r>
      <w:r>
        <w:rPr>
          <w:rFonts w:ascii="Times New Roman" w:hAnsi="Times New Roman" w:hint="eastAsia"/>
        </w:rPr>
        <w:t>总体规划有煤化工园区企业等用水大户</w:t>
      </w:r>
      <w:r>
        <w:rPr>
          <w:rFonts w:ascii="Times New Roman" w:hAnsi="Times New Roman"/>
        </w:rPr>
        <w:t>，矿井水的综合利用对于解决矿区用水十分重要。</w:t>
      </w:r>
    </w:p>
    <w:p w14:paraId="01DACCE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2</w:t>
      </w:r>
      <w:r>
        <w:rPr>
          <w:rFonts w:ascii="Times New Roman" w:hAnsi="Times New Roman"/>
        </w:rPr>
        <w:t>）矸石</w:t>
      </w:r>
    </w:p>
    <w:p w14:paraId="41F3964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根据前面污染源分析，矿区</w:t>
      </w:r>
      <w:r>
        <w:rPr>
          <w:rFonts w:ascii="Times New Roman" w:hAnsi="Times New Roman" w:hint="eastAsia"/>
        </w:rPr>
        <w:t>达产时掘进矸石不出井，洗选煤矸石</w:t>
      </w:r>
      <w:r>
        <w:rPr>
          <w:rFonts w:ascii="Times New Roman" w:hAnsi="Times New Roman"/>
        </w:rPr>
        <w:t>产生量达到</w:t>
      </w:r>
      <w:r>
        <w:rPr>
          <w:rFonts w:ascii="Times New Roman" w:hAnsi="Times New Roman" w:hint="eastAsia"/>
        </w:rPr>
        <w:t>4.95Mt</w:t>
      </w:r>
      <w:r>
        <w:rPr>
          <w:rFonts w:ascii="Times New Roman" w:hAnsi="Times New Roman"/>
        </w:rPr>
        <w:t>/a</w:t>
      </w:r>
      <w:r>
        <w:rPr>
          <w:rFonts w:ascii="Times New Roman" w:hAnsi="Times New Roman"/>
        </w:rPr>
        <w:t>，矿区</w:t>
      </w:r>
      <w:r>
        <w:rPr>
          <w:rFonts w:ascii="Times New Roman" w:hAnsi="Times New Roman" w:hint="eastAsia"/>
        </w:rPr>
        <w:t>煤矸石</w:t>
      </w:r>
      <w:r>
        <w:rPr>
          <w:rFonts w:ascii="Times New Roman" w:hAnsi="Times New Roman"/>
        </w:rPr>
        <w:t>资源丰富，对于发展循环经济、延伸矿区产业链具有十分重要的意义。</w:t>
      </w:r>
      <w:r>
        <w:rPr>
          <w:rFonts w:ascii="Times New Roman" w:hAnsi="Times New Roman"/>
          <w:szCs w:val="24"/>
        </w:rPr>
        <w:t>矿区规划方案提出</w:t>
      </w:r>
      <w:r>
        <w:rPr>
          <w:rFonts w:ascii="Times New Roman" w:hAnsi="Times New Roman" w:hint="eastAsia"/>
          <w:szCs w:val="24"/>
        </w:rPr>
        <w:t>矸石</w:t>
      </w:r>
      <w:r>
        <w:rPr>
          <w:rFonts w:ascii="Times New Roman" w:hAnsi="Times New Roman"/>
          <w:szCs w:val="24"/>
        </w:rPr>
        <w:t>回填井下，</w:t>
      </w:r>
      <w:r>
        <w:rPr>
          <w:rFonts w:ascii="Times New Roman" w:hAnsi="Times New Roman" w:hint="eastAsia"/>
          <w:szCs w:val="24"/>
        </w:rPr>
        <w:t>剩余送至灵州矸石电厂、宝丰低热值煤电厂。</w:t>
      </w:r>
      <w:r>
        <w:rPr>
          <w:rFonts w:ascii="Times New Roman"/>
        </w:rPr>
        <w:t>矸石</w:t>
      </w:r>
      <w:r>
        <w:rPr>
          <w:rFonts w:ascii="Times New Roman" w:hint="eastAsia"/>
        </w:rPr>
        <w:t>综合利用</w:t>
      </w:r>
      <w:r>
        <w:rPr>
          <w:rFonts w:ascii="Times New Roman"/>
        </w:rPr>
        <w:t>不畅时可排至地面临时排矸场，</w:t>
      </w:r>
      <w:r>
        <w:rPr>
          <w:rFonts w:ascii="Times New Roman" w:hint="eastAsia"/>
        </w:rPr>
        <w:t>或充填沉陷区</w:t>
      </w:r>
      <w:r>
        <w:rPr>
          <w:rFonts w:ascii="Times New Roman"/>
        </w:rPr>
        <w:t>用于矿区</w:t>
      </w:r>
      <w:r>
        <w:rPr>
          <w:rFonts w:ascii="Times New Roman" w:hint="eastAsia"/>
        </w:rPr>
        <w:t>生态</w:t>
      </w:r>
      <w:r>
        <w:rPr>
          <w:rFonts w:ascii="Times New Roman"/>
        </w:rPr>
        <w:t>治理。</w:t>
      </w:r>
      <w:r>
        <w:rPr>
          <w:rFonts w:ascii="Times New Roman" w:hAnsi="Times New Roman"/>
          <w:szCs w:val="24"/>
        </w:rPr>
        <w:t>综合利用率</w:t>
      </w:r>
      <w:r>
        <w:rPr>
          <w:rFonts w:ascii="Times New Roman" w:hAnsi="Times New Roman"/>
          <w:szCs w:val="24"/>
        </w:rPr>
        <w:t>100%</w:t>
      </w:r>
      <w:r>
        <w:rPr>
          <w:rFonts w:ascii="Times New Roman" w:hAnsi="Times New Roman"/>
          <w:szCs w:val="24"/>
        </w:rPr>
        <w:t>。</w:t>
      </w:r>
    </w:p>
    <w:p w14:paraId="38DA06C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3</w:t>
      </w:r>
      <w:r>
        <w:rPr>
          <w:rFonts w:ascii="Times New Roman" w:hAnsi="Times New Roman"/>
        </w:rPr>
        <w:t>）煤泥水和煤泥</w:t>
      </w:r>
    </w:p>
    <w:p w14:paraId="1F41F17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煤炭洗选过程中将产生大量的煤泥水和煤泥，按照国家煤炭行业清洁生产要求，选煤厂煤泥水应实现闭路循环</w:t>
      </w:r>
      <w:r>
        <w:rPr>
          <w:rFonts w:ascii="Times New Roman" w:hAnsi="Times New Roman" w:hint="eastAsia"/>
        </w:rPr>
        <w:t>。</w:t>
      </w:r>
      <w:r>
        <w:rPr>
          <w:rFonts w:ascii="Times New Roman" w:hAnsi="Times New Roman"/>
        </w:rPr>
        <w:t>煤泥具有一定的热值，掺入末煤中可作燃料。</w:t>
      </w:r>
    </w:p>
    <w:p w14:paraId="3FD9CD9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4</w:t>
      </w:r>
      <w:r>
        <w:rPr>
          <w:rFonts w:ascii="Times New Roman" w:hAnsi="Times New Roman"/>
        </w:rPr>
        <w:t>）生产废水、生活污水和清净下水</w:t>
      </w:r>
    </w:p>
    <w:p w14:paraId="21B0951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生产废水、生活污水及生产过程中产生的清净下水，经处理后可用于矿区煤矿、选煤厂生产用水。根据矿区规划，生产废水、生活污水及生产过程中产生的清净下水，也将成为矿区发展用水的水源之一。</w:t>
      </w:r>
    </w:p>
    <w:p w14:paraId="0E5348AE"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1</w:t>
      </w:r>
      <w:r>
        <w:rPr>
          <w:rFonts w:ascii="Times New Roman" w:hAnsi="Times New Roman" w:hint="eastAsia"/>
          <w:sz w:val="24"/>
        </w:rPr>
        <w:t>.</w:t>
      </w:r>
      <w:r>
        <w:rPr>
          <w:rFonts w:ascii="Times New Roman" w:hAnsi="Times New Roman"/>
          <w:sz w:val="24"/>
        </w:rPr>
        <w:t xml:space="preserve">2.2 </w:t>
      </w:r>
      <w:r>
        <w:rPr>
          <w:rFonts w:ascii="Times New Roman" w:hAnsi="Times New Roman"/>
          <w:sz w:val="24"/>
        </w:rPr>
        <w:t>矿区循环经济发展分析</w:t>
      </w:r>
    </w:p>
    <w:p w14:paraId="2C17E1B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产业链的本质是用于描述一个具有某种内在联系的产业群。具体到煤炭产业，凡属于下列三种情况之一的产业群就可以称作产业链：围绕满足煤炭企业生产过程，即勘探、测量、开采、运输、提升、通风、排水、产品加工类、电力供应等一系列活动</w:t>
      </w:r>
      <w:r>
        <w:rPr>
          <w:rFonts w:ascii="Times New Roman" w:hAnsi="Times New Roman"/>
        </w:rPr>
        <w:t>)</w:t>
      </w:r>
      <w:r>
        <w:rPr>
          <w:rFonts w:ascii="Times New Roman" w:hAnsi="Times New Roman"/>
        </w:rPr>
        <w:t>的最终需求所涉及到的一系列具有上下游关系的企业集合；满足煤炭生产过程的某一产品或服务从元器件到整机这一生产过程中所涉及到的企业集合；围绕着某一产品或服务的研发设计、生产、销售及售后服务所涉及到的企业集合。</w:t>
      </w:r>
    </w:p>
    <w:p w14:paraId="2B3B5DF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产业链的基本特征是存在大量的上下游关系。在一条产业链上，上游环节和下游环节之间存在交换关系，上游环节向下游环节输送产品（可以是有形的物质产品，也可以是技术和服务等特殊商品），下游环节向上游环节反馈价值。</w:t>
      </w:r>
    </w:p>
    <w:p w14:paraId="1F9155F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目前以煤炭资源为基础的价值纵向延伸方式有以下几种：煤炭</w:t>
      </w:r>
      <w:r>
        <w:rPr>
          <w:rFonts w:ascii="Times New Roman" w:hAnsi="Times New Roman"/>
        </w:rPr>
        <w:t>-</w:t>
      </w:r>
      <w:r>
        <w:rPr>
          <w:rFonts w:ascii="Times New Roman" w:hAnsi="Times New Roman"/>
        </w:rPr>
        <w:t>电力</w:t>
      </w:r>
      <w:r>
        <w:rPr>
          <w:rFonts w:ascii="Times New Roman" w:hAnsi="Times New Roman"/>
        </w:rPr>
        <w:t>-</w:t>
      </w:r>
      <w:r>
        <w:rPr>
          <w:rFonts w:ascii="Times New Roman" w:hAnsi="Times New Roman"/>
        </w:rPr>
        <w:t>市场、煤炭</w:t>
      </w:r>
      <w:r>
        <w:rPr>
          <w:rFonts w:ascii="Times New Roman" w:hAnsi="Times New Roman"/>
        </w:rPr>
        <w:t>-</w:t>
      </w:r>
      <w:r>
        <w:rPr>
          <w:rFonts w:ascii="Times New Roman" w:hAnsi="Times New Roman"/>
        </w:rPr>
        <w:t>电力</w:t>
      </w:r>
      <w:r>
        <w:rPr>
          <w:rFonts w:ascii="Times New Roman" w:hAnsi="Times New Roman"/>
        </w:rPr>
        <w:t>-</w:t>
      </w:r>
      <w:r>
        <w:rPr>
          <w:rFonts w:ascii="Times New Roman" w:hAnsi="Times New Roman"/>
        </w:rPr>
        <w:t>电解铝</w:t>
      </w:r>
      <w:r>
        <w:rPr>
          <w:rFonts w:ascii="Times New Roman" w:hAnsi="Times New Roman"/>
        </w:rPr>
        <w:t>-</w:t>
      </w:r>
      <w:r>
        <w:rPr>
          <w:rFonts w:ascii="Times New Roman" w:hAnsi="Times New Roman"/>
        </w:rPr>
        <w:t>市场、煤炭</w:t>
      </w:r>
      <w:r>
        <w:rPr>
          <w:rFonts w:ascii="Times New Roman" w:hAnsi="Times New Roman"/>
        </w:rPr>
        <w:t>-</w:t>
      </w:r>
      <w:r>
        <w:rPr>
          <w:rFonts w:ascii="Times New Roman" w:hAnsi="Times New Roman"/>
        </w:rPr>
        <w:t>气化</w:t>
      </w:r>
      <w:r>
        <w:rPr>
          <w:rFonts w:ascii="Times New Roman" w:hAnsi="Times New Roman"/>
        </w:rPr>
        <w:t>-</w:t>
      </w:r>
      <w:r>
        <w:rPr>
          <w:rFonts w:ascii="Times New Roman" w:hAnsi="Times New Roman"/>
        </w:rPr>
        <w:t>市场、煤炭</w:t>
      </w:r>
      <w:r>
        <w:rPr>
          <w:rFonts w:ascii="Times New Roman" w:hAnsi="Times New Roman"/>
        </w:rPr>
        <w:t>-</w:t>
      </w:r>
      <w:r>
        <w:rPr>
          <w:rFonts w:ascii="Times New Roman" w:hAnsi="Times New Roman"/>
        </w:rPr>
        <w:t>气化</w:t>
      </w:r>
      <w:r>
        <w:rPr>
          <w:rFonts w:ascii="Times New Roman" w:hAnsi="Times New Roman"/>
        </w:rPr>
        <w:t>-</w:t>
      </w:r>
      <w:r>
        <w:rPr>
          <w:rFonts w:ascii="Times New Roman" w:hAnsi="Times New Roman"/>
        </w:rPr>
        <w:t>化工</w:t>
      </w:r>
      <w:r>
        <w:rPr>
          <w:rFonts w:ascii="Times New Roman" w:hAnsi="Times New Roman"/>
        </w:rPr>
        <w:t>-</w:t>
      </w:r>
      <w:r>
        <w:rPr>
          <w:rFonts w:ascii="Times New Roman" w:hAnsi="Times New Roman"/>
        </w:rPr>
        <w:t>市场、煤炭</w:t>
      </w:r>
      <w:r>
        <w:rPr>
          <w:rFonts w:ascii="Times New Roman" w:hAnsi="Times New Roman"/>
        </w:rPr>
        <w:t>-</w:t>
      </w:r>
      <w:r>
        <w:rPr>
          <w:rFonts w:ascii="Times New Roman" w:hAnsi="Times New Roman"/>
        </w:rPr>
        <w:t>焦化</w:t>
      </w:r>
      <w:r>
        <w:rPr>
          <w:rFonts w:ascii="Times New Roman" w:hAnsi="Times New Roman"/>
        </w:rPr>
        <w:t>-</w:t>
      </w:r>
      <w:r>
        <w:rPr>
          <w:rFonts w:ascii="Times New Roman" w:hAnsi="Times New Roman"/>
        </w:rPr>
        <w:t>市场、煤炭</w:t>
      </w:r>
      <w:r>
        <w:rPr>
          <w:rFonts w:ascii="Times New Roman" w:hAnsi="Times New Roman"/>
        </w:rPr>
        <w:t>-</w:t>
      </w:r>
      <w:r>
        <w:rPr>
          <w:rFonts w:ascii="Times New Roman" w:hAnsi="Times New Roman"/>
        </w:rPr>
        <w:t>建材</w:t>
      </w:r>
      <w:r>
        <w:rPr>
          <w:rFonts w:ascii="Times New Roman" w:hAnsi="Times New Roman"/>
        </w:rPr>
        <w:t>-</w:t>
      </w:r>
      <w:r>
        <w:rPr>
          <w:rFonts w:ascii="Times New Roman" w:hAnsi="Times New Roman"/>
        </w:rPr>
        <w:t>市场、煤炭</w:t>
      </w:r>
      <w:r>
        <w:rPr>
          <w:rFonts w:ascii="Times New Roman" w:hAnsi="Times New Roman"/>
        </w:rPr>
        <w:t>-</w:t>
      </w:r>
      <w:r>
        <w:rPr>
          <w:rFonts w:ascii="Times New Roman" w:hAnsi="Times New Roman"/>
        </w:rPr>
        <w:t>液化</w:t>
      </w:r>
      <w:r>
        <w:rPr>
          <w:rFonts w:ascii="Times New Roman" w:hAnsi="Times New Roman"/>
        </w:rPr>
        <w:t>-</w:t>
      </w:r>
      <w:r>
        <w:rPr>
          <w:rFonts w:ascii="Times New Roman" w:hAnsi="Times New Roman"/>
        </w:rPr>
        <w:t>煤变油</w:t>
      </w:r>
      <w:r>
        <w:rPr>
          <w:rFonts w:ascii="Times New Roman" w:hAnsi="Times New Roman"/>
        </w:rPr>
        <w:t>-</w:t>
      </w:r>
      <w:r>
        <w:rPr>
          <w:rFonts w:ascii="Times New Roman" w:hAnsi="Times New Roman"/>
        </w:rPr>
        <w:t>化工</w:t>
      </w:r>
      <w:r>
        <w:rPr>
          <w:rFonts w:ascii="Times New Roman" w:hAnsi="Times New Roman"/>
        </w:rPr>
        <w:t>-</w:t>
      </w:r>
      <w:r>
        <w:rPr>
          <w:rFonts w:ascii="Times New Roman" w:hAnsi="Times New Roman"/>
        </w:rPr>
        <w:t>市场等。</w:t>
      </w:r>
    </w:p>
    <w:p w14:paraId="259C31F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鉴于</w:t>
      </w:r>
      <w:r>
        <w:rPr>
          <w:rFonts w:ascii="Times New Roman" w:hAnsi="Times New Roman" w:hint="eastAsia"/>
        </w:rPr>
        <w:t>横城矿区水资源相对丰富，且矿区矿井水排水量较大</w:t>
      </w:r>
      <w:r>
        <w:rPr>
          <w:rFonts w:ascii="Times New Roman" w:hAnsi="Times New Roman"/>
        </w:rPr>
        <w:t>，</w:t>
      </w:r>
      <w:r>
        <w:t>评价建议矿区产业链设计可走</w:t>
      </w:r>
      <w:r>
        <w:rPr>
          <w:rFonts w:ascii="Times New Roman" w:hAnsi="Times New Roman" w:hint="eastAsia"/>
        </w:rPr>
        <w:t>“</w:t>
      </w:r>
      <w:r>
        <w:rPr>
          <w:rFonts w:ascii="Times New Roman" w:hAnsi="Times New Roman"/>
        </w:rPr>
        <w:t>煤炭</w:t>
      </w:r>
      <w:r>
        <w:rPr>
          <w:rFonts w:ascii="Times New Roman" w:hAnsi="Times New Roman"/>
        </w:rPr>
        <w:t>-</w:t>
      </w:r>
      <w:r>
        <w:rPr>
          <w:rFonts w:ascii="Times New Roman" w:hAnsi="Times New Roman"/>
        </w:rPr>
        <w:t>电力</w:t>
      </w:r>
      <w:r>
        <w:rPr>
          <w:rFonts w:ascii="Times New Roman" w:hAnsi="Times New Roman"/>
        </w:rPr>
        <w:t>-</w:t>
      </w:r>
      <w:r>
        <w:rPr>
          <w:rFonts w:ascii="Times New Roman" w:hAnsi="Times New Roman"/>
        </w:rPr>
        <w:t>市场、煤炭</w:t>
      </w:r>
      <w:r>
        <w:rPr>
          <w:rFonts w:ascii="Times New Roman" w:hAnsi="Times New Roman"/>
        </w:rPr>
        <w:t>-</w:t>
      </w:r>
      <w:r>
        <w:rPr>
          <w:rFonts w:ascii="Times New Roman" w:hAnsi="Times New Roman"/>
        </w:rPr>
        <w:t>电力</w:t>
      </w:r>
      <w:r>
        <w:rPr>
          <w:rFonts w:ascii="Times New Roman" w:hAnsi="Times New Roman"/>
        </w:rPr>
        <w:t>-</w:t>
      </w:r>
      <w:r>
        <w:rPr>
          <w:rFonts w:ascii="Times New Roman" w:hAnsi="Times New Roman" w:hint="eastAsia"/>
        </w:rPr>
        <w:t>煤化工</w:t>
      </w:r>
      <w:r>
        <w:rPr>
          <w:rFonts w:ascii="Times New Roman" w:hAnsi="Times New Roman"/>
        </w:rPr>
        <w:t>-</w:t>
      </w:r>
      <w:r>
        <w:rPr>
          <w:rFonts w:ascii="Times New Roman" w:hAnsi="Times New Roman"/>
        </w:rPr>
        <w:t>市场</w:t>
      </w:r>
      <w:r>
        <w:rPr>
          <w:rFonts w:ascii="Times New Roman" w:hAnsi="Times New Roman" w:hint="eastAsia"/>
        </w:rPr>
        <w:t>”</w:t>
      </w:r>
      <w:r>
        <w:rPr>
          <w:rFonts w:ascii="Times New Roman" w:hAnsi="Times New Roman"/>
        </w:rPr>
        <w:t>等发展模式。</w:t>
      </w:r>
    </w:p>
    <w:p w14:paraId="7435718C" w14:textId="77777777" w:rsidR="009C353B" w:rsidRDefault="009C353B">
      <w:pPr>
        <w:adjustRightInd w:val="0"/>
        <w:snapToGrid w:val="0"/>
        <w:spacing w:line="440" w:lineRule="exact"/>
        <w:ind w:firstLineChars="200" w:firstLine="480"/>
        <w:rPr>
          <w:rFonts w:ascii="Times New Roman" w:hAnsi="Times New Roman"/>
        </w:rPr>
      </w:pPr>
    </w:p>
    <w:p w14:paraId="4151F721" w14:textId="77777777" w:rsidR="009C353B" w:rsidRDefault="00000000">
      <w:pPr>
        <w:adjustRightInd w:val="0"/>
        <w:snapToGrid w:val="0"/>
        <w:spacing w:line="360" w:lineRule="auto"/>
        <w:ind w:firstLineChars="200" w:firstLine="480"/>
        <w:rPr>
          <w:rFonts w:ascii="Times New Roman" w:hAnsi="Times New Roman"/>
        </w:rPr>
      </w:pPr>
      <w:r>
        <w:rPr>
          <w:noProof/>
        </w:rPr>
        <w:drawing>
          <wp:inline distT="0" distB="0" distL="0" distR="0" wp14:anchorId="55D44A0C" wp14:editId="4C29916A">
            <wp:extent cx="4737100" cy="3122295"/>
            <wp:effectExtent l="0" t="0" r="635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a:xfrm>
                      <a:off x="0" y="0"/>
                      <a:ext cx="4747805" cy="3129727"/>
                    </a:xfrm>
                    <a:prstGeom prst="rect">
                      <a:avLst/>
                    </a:prstGeom>
                    <a:noFill/>
                    <a:ln>
                      <a:noFill/>
                    </a:ln>
                  </pic:spPr>
                </pic:pic>
              </a:graphicData>
            </a:graphic>
          </wp:inline>
        </w:drawing>
      </w:r>
    </w:p>
    <w:p w14:paraId="00827CCB" w14:textId="77777777" w:rsidR="009C353B" w:rsidRDefault="00000000">
      <w:pPr>
        <w:spacing w:line="400" w:lineRule="exact"/>
        <w:jc w:val="center"/>
        <w:rPr>
          <w:rFonts w:ascii="Times New Roman" w:hAnsi="Times New Roman"/>
        </w:rPr>
      </w:pPr>
      <w:r>
        <w:rPr>
          <w:rFonts w:ascii="Times New Roman" w:hAnsi="Times New Roman"/>
          <w:b/>
        </w:rPr>
        <w:t>图</w:t>
      </w:r>
      <w:r>
        <w:rPr>
          <w:rFonts w:ascii="Times New Roman" w:hAnsi="Times New Roman"/>
          <w:b/>
        </w:rPr>
        <w:t xml:space="preserve">11.2-1 </w:t>
      </w:r>
      <w:r>
        <w:rPr>
          <w:rFonts w:ascii="Times New Roman" w:hAnsi="Times New Roman" w:hint="eastAsia"/>
          <w:b/>
        </w:rPr>
        <w:t>横城</w:t>
      </w:r>
      <w:r>
        <w:rPr>
          <w:rFonts w:ascii="Times New Roman" w:hAnsi="Times New Roman"/>
          <w:b/>
        </w:rPr>
        <w:t>矿区循环经济发展模式图</w:t>
      </w:r>
    </w:p>
    <w:p w14:paraId="28FA1605" w14:textId="77777777" w:rsidR="009C353B" w:rsidRDefault="009C353B">
      <w:pPr>
        <w:spacing w:line="520" w:lineRule="exact"/>
        <w:rPr>
          <w:rFonts w:ascii="Times New Roman" w:hAnsi="Times New Roman"/>
        </w:rPr>
        <w:sectPr w:rsidR="009C353B">
          <w:headerReference w:type="default" r:id="rId482"/>
          <w:pgSz w:w="11907" w:h="16840"/>
          <w:pgMar w:top="1701" w:right="1418" w:bottom="1247" w:left="1418" w:header="1134" w:footer="851" w:gutter="0"/>
          <w:paperSrc w:first="7" w:other="7"/>
          <w:cols w:space="720"/>
          <w:docGrid w:linePitch="326"/>
        </w:sectPr>
      </w:pPr>
    </w:p>
    <w:p w14:paraId="1D2B7FFB" w14:textId="77777777" w:rsidR="009C353B" w:rsidRDefault="00000000">
      <w:pPr>
        <w:pStyle w:val="1"/>
        <w:spacing w:before="100" w:beforeAutospacing="1" w:after="100" w:afterAutospacing="1" w:line="578" w:lineRule="exact"/>
        <w:jc w:val="center"/>
        <w:rPr>
          <w:rFonts w:ascii="Times New Roman" w:hAnsi="Times New Roman"/>
          <w:sz w:val="24"/>
        </w:rPr>
      </w:pPr>
      <w:bookmarkStart w:id="429" w:name="_Toc59189885"/>
      <w:bookmarkStart w:id="430" w:name="_Toc163441040"/>
      <w:r>
        <w:rPr>
          <w:rFonts w:ascii="Times New Roman" w:hAnsi="Times New Roman" w:hint="eastAsia"/>
          <w:sz w:val="36"/>
        </w:rPr>
        <w:t>1</w:t>
      </w:r>
      <w:r>
        <w:rPr>
          <w:rFonts w:ascii="Times New Roman" w:hAnsi="Times New Roman"/>
          <w:sz w:val="36"/>
        </w:rPr>
        <w:t xml:space="preserve">2 </w:t>
      </w:r>
      <w:r>
        <w:rPr>
          <w:rFonts w:ascii="Times New Roman" w:hAnsi="Times New Roman"/>
          <w:sz w:val="36"/>
        </w:rPr>
        <w:t>公众参与</w:t>
      </w:r>
      <w:bookmarkEnd w:id="429"/>
      <w:bookmarkEnd w:id="430"/>
    </w:p>
    <w:p w14:paraId="28D98E13" w14:textId="77777777" w:rsidR="009C353B" w:rsidRDefault="00000000">
      <w:pPr>
        <w:pStyle w:val="2"/>
        <w:adjustRightInd w:val="0"/>
        <w:snapToGrid w:val="0"/>
        <w:spacing w:before="480" w:line="440" w:lineRule="exact"/>
        <w:jc w:val="left"/>
        <w:rPr>
          <w:rFonts w:ascii="Times New Roman" w:eastAsia="宋体" w:hAnsi="Times New Roman"/>
          <w:b/>
          <w:sz w:val="28"/>
        </w:rPr>
      </w:pPr>
      <w:bookmarkStart w:id="431" w:name="_Toc59189886"/>
      <w:r>
        <w:rPr>
          <w:rFonts w:ascii="Times New Roman" w:eastAsia="宋体" w:hAnsi="Times New Roman" w:hint="eastAsia"/>
          <w:b/>
          <w:sz w:val="28"/>
        </w:rPr>
        <w:t>1</w:t>
      </w:r>
      <w:r>
        <w:rPr>
          <w:rFonts w:ascii="Times New Roman" w:eastAsia="宋体" w:hAnsi="Times New Roman"/>
          <w:b/>
          <w:sz w:val="28"/>
        </w:rPr>
        <w:t>2</w:t>
      </w:r>
      <w:r>
        <w:rPr>
          <w:rFonts w:ascii="Times New Roman" w:eastAsia="宋体" w:hAnsi="Times New Roman" w:hint="eastAsia"/>
          <w:b/>
          <w:sz w:val="28"/>
        </w:rPr>
        <w:t>.</w:t>
      </w:r>
      <w:r>
        <w:rPr>
          <w:rFonts w:ascii="Times New Roman" w:eastAsia="宋体" w:hAnsi="Times New Roman"/>
          <w:b/>
          <w:sz w:val="28"/>
        </w:rPr>
        <w:t xml:space="preserve">1 </w:t>
      </w:r>
      <w:r>
        <w:rPr>
          <w:rFonts w:ascii="Times New Roman" w:eastAsia="宋体" w:hAnsi="Times New Roman"/>
          <w:b/>
          <w:sz w:val="28"/>
        </w:rPr>
        <w:t>公众参与目的</w:t>
      </w:r>
      <w:bookmarkEnd w:id="431"/>
    </w:p>
    <w:p w14:paraId="3D2C2E7B" w14:textId="77777777" w:rsidR="009C353B" w:rsidRDefault="00000000">
      <w:pPr>
        <w:adjustRightInd w:val="0"/>
        <w:snapToGrid w:val="0"/>
        <w:spacing w:line="440" w:lineRule="exact"/>
        <w:ind w:firstLineChars="200" w:firstLine="480"/>
        <w:rPr>
          <w:rFonts w:hint="eastAsia"/>
        </w:rPr>
      </w:pPr>
      <w:r>
        <w:t>设立公众参与专题的目的是让本项目的环境影响评价工作更民主化和公众化，让公众特别是受本项目直接影响的人群充分了解该建设项目的意义，对区域发展的作用和可能给当地社会经济特别是环境方面带来的正面和负面影响，让公众充分发表自己的意见并表明对建设项目的态度，使评价工作更为完善，更好的反映公众的具体要求并反馈到工程设计和环境管理中，为工程建设和环境保护主管部门决策提供参考意见。</w:t>
      </w:r>
    </w:p>
    <w:p w14:paraId="62FFF006" w14:textId="77777777" w:rsidR="009C353B" w:rsidRDefault="00000000">
      <w:pPr>
        <w:pStyle w:val="3f4"/>
        <w:adjustRightInd w:val="0"/>
        <w:snapToGrid w:val="0"/>
        <w:spacing w:line="440" w:lineRule="exact"/>
        <w:ind w:firstLine="480"/>
        <w:rPr>
          <w:rFonts w:ascii="Times New Roman" w:hAnsi="Times New Roman"/>
          <w:szCs w:val="24"/>
        </w:rPr>
      </w:pPr>
      <w:r>
        <w:rPr>
          <w:rFonts w:ascii="Times New Roman"/>
          <w:szCs w:val="24"/>
        </w:rPr>
        <w:t>本评价一共进行了二次公众参与。第一次是在接受委托后在当地进行了开展环境影响评价的公告；</w:t>
      </w:r>
      <w:r>
        <w:rPr>
          <w:rFonts w:ascii="Times New Roman" w:hAnsi="Times New Roman"/>
          <w:szCs w:val="24"/>
        </w:rPr>
        <w:t>第二次是在环境影响评价报告书基本编制完成及报送环境保护行政主管部门审批前进行，</w:t>
      </w:r>
      <w:r>
        <w:rPr>
          <w:rFonts w:ascii="Times New Roman" w:hAnsi="Times New Roman" w:hint="eastAsia"/>
          <w:szCs w:val="24"/>
        </w:rPr>
        <w:t>以</w:t>
      </w:r>
      <w:r>
        <w:rPr>
          <w:rFonts w:ascii="Times New Roman" w:hAnsi="Times New Roman"/>
          <w:szCs w:val="24"/>
        </w:rPr>
        <w:t>在当地新闻媒体</w:t>
      </w:r>
      <w:r>
        <w:rPr>
          <w:rFonts w:ascii="Times New Roman" w:hAnsi="Times New Roman" w:hint="eastAsia"/>
          <w:szCs w:val="24"/>
        </w:rPr>
        <w:t>、</w:t>
      </w:r>
      <w:r>
        <w:rPr>
          <w:rFonts w:ascii="Times New Roman" w:hAnsi="Times New Roman"/>
          <w:szCs w:val="24"/>
        </w:rPr>
        <w:t>互联网上发布信息</w:t>
      </w:r>
      <w:r>
        <w:rPr>
          <w:rFonts w:ascii="Times New Roman" w:hAnsi="Times New Roman" w:hint="eastAsia"/>
          <w:szCs w:val="24"/>
        </w:rPr>
        <w:t>、政府张贴公告，</w:t>
      </w:r>
      <w:r>
        <w:rPr>
          <w:rFonts w:ascii="Times New Roman" w:hAnsi="Times New Roman"/>
          <w:szCs w:val="24"/>
        </w:rPr>
        <w:t>同时发放问卷调查表</w:t>
      </w:r>
      <w:r>
        <w:rPr>
          <w:rFonts w:ascii="Times New Roman" w:hAnsi="Times New Roman" w:hint="eastAsia"/>
          <w:szCs w:val="24"/>
        </w:rPr>
        <w:t>四种</w:t>
      </w:r>
      <w:r>
        <w:rPr>
          <w:rFonts w:ascii="Times New Roman" w:hAnsi="Times New Roman"/>
          <w:szCs w:val="24"/>
        </w:rPr>
        <w:t>形式进行公众参与</w:t>
      </w:r>
      <w:r>
        <w:rPr>
          <w:rFonts w:ascii="Times New Roman" w:hAnsi="Times New Roman" w:hint="eastAsia"/>
          <w:szCs w:val="24"/>
        </w:rPr>
        <w:t>意见收集及调查</w:t>
      </w:r>
      <w:r>
        <w:rPr>
          <w:rFonts w:ascii="Times New Roman" w:hAnsi="Times New Roman"/>
          <w:szCs w:val="24"/>
        </w:rPr>
        <w:t>。</w:t>
      </w:r>
    </w:p>
    <w:p w14:paraId="0FA7F558" w14:textId="77777777" w:rsidR="009C353B" w:rsidRDefault="00000000">
      <w:pPr>
        <w:pStyle w:val="2"/>
        <w:adjustRightInd w:val="0"/>
        <w:snapToGrid w:val="0"/>
        <w:spacing w:line="440" w:lineRule="exact"/>
        <w:jc w:val="left"/>
        <w:rPr>
          <w:rFonts w:ascii="Times New Roman" w:eastAsia="宋体" w:hAnsi="Times New Roman"/>
          <w:b/>
          <w:sz w:val="28"/>
        </w:rPr>
      </w:pPr>
      <w:bookmarkStart w:id="432" w:name="_Toc59189887"/>
      <w:bookmarkStart w:id="433" w:name="_Toc292702647"/>
      <w:bookmarkStart w:id="434" w:name="_Toc224098087"/>
      <w:bookmarkStart w:id="435" w:name="_Toc259623260"/>
      <w:bookmarkStart w:id="436" w:name="_Toc206750214"/>
      <w:bookmarkStart w:id="437" w:name="_Toc68337092"/>
      <w:bookmarkStart w:id="438" w:name="_Toc81152799"/>
      <w:bookmarkStart w:id="439" w:name="_Toc67019058"/>
      <w:bookmarkStart w:id="440" w:name="_Toc67190307"/>
      <w:bookmarkStart w:id="441" w:name="_Toc68336483"/>
      <w:r>
        <w:rPr>
          <w:rFonts w:ascii="Times New Roman" w:eastAsia="宋体" w:hAnsi="Times New Roman" w:hint="eastAsia"/>
          <w:b/>
          <w:sz w:val="28"/>
        </w:rPr>
        <w:t>1</w:t>
      </w:r>
      <w:r>
        <w:rPr>
          <w:rFonts w:ascii="Times New Roman" w:eastAsia="宋体" w:hAnsi="Times New Roman"/>
          <w:b/>
          <w:sz w:val="28"/>
        </w:rPr>
        <w:t>2</w:t>
      </w:r>
      <w:r>
        <w:rPr>
          <w:rFonts w:ascii="Times New Roman" w:eastAsia="宋体" w:hAnsi="Times New Roman" w:hint="eastAsia"/>
          <w:b/>
          <w:sz w:val="28"/>
        </w:rPr>
        <w:t>.</w:t>
      </w:r>
      <w:r>
        <w:rPr>
          <w:rFonts w:ascii="Times New Roman" w:eastAsia="宋体" w:hAnsi="Times New Roman"/>
          <w:b/>
          <w:sz w:val="28"/>
        </w:rPr>
        <w:t xml:space="preserve">2 </w:t>
      </w:r>
      <w:r>
        <w:rPr>
          <w:rFonts w:ascii="Times New Roman" w:eastAsia="宋体" w:hAnsi="Times New Roman"/>
          <w:b/>
          <w:sz w:val="28"/>
        </w:rPr>
        <w:t>第一次</w:t>
      </w:r>
      <w:r>
        <w:rPr>
          <w:rFonts w:ascii="Times New Roman" w:eastAsia="宋体" w:hAnsi="Times New Roman" w:hint="eastAsia"/>
          <w:b/>
          <w:sz w:val="28"/>
        </w:rPr>
        <w:t>公众参与</w:t>
      </w:r>
      <w:bookmarkEnd w:id="432"/>
      <w:bookmarkEnd w:id="433"/>
    </w:p>
    <w:bookmarkEnd w:id="434"/>
    <w:bookmarkEnd w:id="435"/>
    <w:bookmarkEnd w:id="436"/>
    <w:p w14:paraId="397BD84F"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2</w:t>
      </w:r>
      <w:r>
        <w:rPr>
          <w:rFonts w:ascii="Times New Roman" w:hAnsi="Times New Roman" w:hint="eastAsia"/>
          <w:sz w:val="24"/>
        </w:rPr>
        <w:t xml:space="preserve">.2.1 </w:t>
      </w:r>
      <w:r>
        <w:rPr>
          <w:rFonts w:ascii="Times New Roman" w:hAnsi="Times New Roman" w:hint="eastAsia"/>
          <w:sz w:val="24"/>
        </w:rPr>
        <w:t>公众参与形式及时间</w:t>
      </w:r>
    </w:p>
    <w:p w14:paraId="5F261009"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本次评价接受委托后于</w:t>
      </w:r>
      <w:r>
        <w:rPr>
          <w:rFonts w:ascii="Times New Roman"/>
        </w:rPr>
        <w:t>2020</w:t>
      </w:r>
      <w:r>
        <w:rPr>
          <w:rFonts w:ascii="Times New Roman"/>
        </w:rPr>
        <w:t>年</w:t>
      </w:r>
      <w:r>
        <w:rPr>
          <w:rFonts w:ascii="Times New Roman"/>
        </w:rPr>
        <w:t>8</w:t>
      </w:r>
      <w:r>
        <w:rPr>
          <w:rFonts w:ascii="Times New Roman"/>
        </w:rPr>
        <w:t>月</w:t>
      </w:r>
      <w:r>
        <w:rPr>
          <w:rFonts w:ascii="Times New Roman"/>
        </w:rPr>
        <w:t>18</w:t>
      </w:r>
      <w:r>
        <w:rPr>
          <w:rFonts w:ascii="Times New Roman"/>
        </w:rPr>
        <w:t>日进行了第一次公众参与工作。采用</w:t>
      </w:r>
      <w:r>
        <w:rPr>
          <w:rFonts w:ascii="Times New Roman" w:hint="eastAsia"/>
        </w:rPr>
        <w:t>网站公示</w:t>
      </w:r>
      <w:r>
        <w:rPr>
          <w:rFonts w:ascii="Times New Roman"/>
        </w:rPr>
        <w:t>的形式，</w:t>
      </w:r>
      <w:r>
        <w:rPr>
          <w:rFonts w:ascii="Times New Roman" w:hint="eastAsia"/>
        </w:rPr>
        <w:t>在宁夏回族自治区发展和改革委员会网站予以公示，网址：</w:t>
      </w:r>
      <w:hyperlink r:id="rId483" w:history="1">
        <w:r>
          <w:rPr>
            <w:rStyle w:val="affff6"/>
            <w:rFonts w:ascii="Times New Roman"/>
            <w:color w:val="auto"/>
          </w:rPr>
          <w:t>http://fzggw.nx.gov.cn/tzgg/202008/t20200819_2191078.html</w:t>
        </w:r>
      </w:hyperlink>
      <w:r>
        <w:rPr>
          <w:rFonts w:ascii="Times New Roman" w:hint="eastAsia"/>
        </w:rPr>
        <w:t>，公示截图</w:t>
      </w:r>
      <w:r>
        <w:rPr>
          <w:rFonts w:ascii="Times New Roman"/>
        </w:rPr>
        <w:t>见图</w:t>
      </w:r>
      <w:r>
        <w:rPr>
          <w:rFonts w:ascii="Times New Roman" w:hint="eastAsia"/>
        </w:rPr>
        <w:t>1</w:t>
      </w:r>
      <w:r>
        <w:rPr>
          <w:rFonts w:ascii="Times New Roman"/>
        </w:rPr>
        <w:t>2</w:t>
      </w:r>
      <w:r>
        <w:rPr>
          <w:rFonts w:ascii="Times New Roman" w:hint="eastAsia"/>
        </w:rPr>
        <w:t>.</w:t>
      </w:r>
      <w:r>
        <w:rPr>
          <w:rFonts w:ascii="Times New Roman"/>
        </w:rPr>
        <w:t>2-1</w:t>
      </w:r>
      <w:r>
        <w:rPr>
          <w:rFonts w:ascii="Times New Roman"/>
        </w:rPr>
        <w:t>。</w:t>
      </w:r>
    </w:p>
    <w:p w14:paraId="52421218" w14:textId="77777777" w:rsidR="009C353B" w:rsidRDefault="00000000">
      <w:pPr>
        <w:ind w:firstLineChars="200" w:firstLine="480"/>
        <w:jc w:val="center"/>
        <w:rPr>
          <w:rFonts w:hint="eastAsia"/>
          <w:b/>
        </w:rPr>
      </w:pPr>
      <w:r>
        <w:rPr>
          <w:noProof/>
        </w:rPr>
        <w:drawing>
          <wp:inline distT="0" distB="0" distL="0" distR="0" wp14:anchorId="71BC6E4A" wp14:editId="5F355F13">
            <wp:extent cx="3990340" cy="689356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484" cstate="print">
                      <a:extLst>
                        <a:ext uri="{28A0092B-C50C-407E-A947-70E740481C1C}">
                          <a14:useLocalDpi xmlns:a14="http://schemas.microsoft.com/office/drawing/2010/main" val="0"/>
                        </a:ext>
                      </a:extLst>
                    </a:blip>
                    <a:srcRect l="-2" t="6623" r="-5" b="3631"/>
                    <a:stretch>
                      <a:fillRect/>
                    </a:stretch>
                  </pic:blipFill>
                  <pic:spPr>
                    <a:xfrm>
                      <a:off x="0" y="0"/>
                      <a:ext cx="4002822" cy="6914512"/>
                    </a:xfrm>
                    <a:prstGeom prst="rect">
                      <a:avLst/>
                    </a:prstGeom>
                    <a:noFill/>
                    <a:ln>
                      <a:noFill/>
                    </a:ln>
                  </pic:spPr>
                </pic:pic>
              </a:graphicData>
            </a:graphic>
          </wp:inline>
        </w:drawing>
      </w:r>
    </w:p>
    <w:p w14:paraId="4BBD00FA" w14:textId="77777777" w:rsidR="009C353B" w:rsidRDefault="00000000">
      <w:pPr>
        <w:adjustRightInd w:val="0"/>
        <w:snapToGrid w:val="0"/>
        <w:spacing w:line="440" w:lineRule="exact"/>
        <w:ind w:firstLineChars="200" w:firstLine="482"/>
        <w:jc w:val="center"/>
        <w:rPr>
          <w:rFonts w:ascii="Times New Roman" w:hAnsi="Times New Roman"/>
          <w:b/>
        </w:rPr>
      </w:pPr>
      <w:r>
        <w:rPr>
          <w:rFonts w:ascii="Times New Roman"/>
          <w:b/>
        </w:rPr>
        <w:t>图</w:t>
      </w:r>
      <w:r>
        <w:rPr>
          <w:rFonts w:ascii="Times New Roman" w:hAnsi="Times New Roman"/>
          <w:b/>
        </w:rPr>
        <w:t xml:space="preserve">12.2-1 </w:t>
      </w:r>
      <w:r>
        <w:rPr>
          <w:rFonts w:ascii="Times New Roman"/>
          <w:b/>
        </w:rPr>
        <w:t>第一次公众参与公告</w:t>
      </w:r>
    </w:p>
    <w:p w14:paraId="2CDB63FE"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12.2.2 </w:t>
      </w:r>
      <w:r>
        <w:rPr>
          <w:rFonts w:ascii="Times New Roman"/>
          <w:sz w:val="24"/>
        </w:rPr>
        <w:t>公众参与目的及对象</w:t>
      </w:r>
    </w:p>
    <w:p w14:paraId="7797D3B2" w14:textId="77777777" w:rsidR="009C353B" w:rsidRDefault="00000000">
      <w:pPr>
        <w:adjustRightInd w:val="0"/>
        <w:snapToGrid w:val="0"/>
        <w:spacing w:line="440" w:lineRule="exact"/>
        <w:ind w:firstLineChars="200" w:firstLine="480"/>
        <w:rPr>
          <w:rFonts w:ascii="Times New Roman" w:hint="eastAsia"/>
        </w:rPr>
      </w:pPr>
      <w:r>
        <w:rPr>
          <w:rFonts w:ascii="Times New Roman"/>
        </w:rPr>
        <w:t>本次公众参与目的主要是向公众公告下列信息：建设项目的名称及概要、建设项目的建设单位的名称和联系方式、承担评价工作的环境影响评价机构的名称和联系方式、环境影响评价的工作程序和主要工作内容、征求公众意见的主要事项、公众提出意见的主要方式。</w:t>
      </w:r>
    </w:p>
    <w:p w14:paraId="16A15E5C"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公众参与公告对象为受项目开发可能影响的村庄、政府机关、企事业单位和人员，以及其他关心本项目建设的群众提出宝贵的意见和建议。</w:t>
      </w:r>
    </w:p>
    <w:p w14:paraId="47ADAB4A"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2</w:t>
      </w:r>
      <w:r>
        <w:rPr>
          <w:rFonts w:ascii="Times New Roman" w:hAnsi="Times New Roman" w:hint="eastAsia"/>
          <w:sz w:val="24"/>
        </w:rPr>
        <w:t xml:space="preserve">.2.3 </w:t>
      </w:r>
      <w:r>
        <w:rPr>
          <w:rFonts w:ascii="Times New Roman" w:hAnsi="Times New Roman" w:hint="eastAsia"/>
          <w:sz w:val="24"/>
        </w:rPr>
        <w:t>公众参与调查意见与处理</w:t>
      </w:r>
    </w:p>
    <w:p w14:paraId="6C9114BD" w14:textId="77777777" w:rsidR="009C353B" w:rsidRDefault="00000000">
      <w:pPr>
        <w:adjustRightInd w:val="0"/>
        <w:snapToGrid w:val="0"/>
        <w:spacing w:line="440" w:lineRule="exact"/>
        <w:ind w:firstLineChars="200" w:firstLine="480"/>
        <w:rPr>
          <w:rFonts w:hint="eastAsia"/>
        </w:rPr>
      </w:pPr>
      <w:r>
        <w:rPr>
          <w:rFonts w:hint="eastAsia"/>
        </w:rPr>
        <w:t>在第一次公告参与期间，未接受到相关公众参与反馈意见。</w:t>
      </w:r>
    </w:p>
    <w:p w14:paraId="14D59538" w14:textId="77777777" w:rsidR="009C353B" w:rsidRDefault="00000000">
      <w:pPr>
        <w:pStyle w:val="2"/>
        <w:adjustRightInd w:val="0"/>
        <w:snapToGrid w:val="0"/>
        <w:spacing w:line="440" w:lineRule="exact"/>
        <w:jc w:val="left"/>
        <w:rPr>
          <w:rFonts w:ascii="Times New Roman" w:eastAsia="宋体" w:hAnsi="Times New Roman"/>
          <w:b/>
          <w:sz w:val="28"/>
        </w:rPr>
      </w:pPr>
      <w:bookmarkStart w:id="442" w:name="_Toc292702648"/>
      <w:bookmarkStart w:id="443" w:name="_Toc59189888"/>
      <w:r>
        <w:rPr>
          <w:rFonts w:ascii="Times New Roman" w:eastAsia="宋体" w:hAnsi="Times New Roman" w:hint="eastAsia"/>
          <w:b/>
          <w:sz w:val="28"/>
        </w:rPr>
        <w:t>1</w:t>
      </w:r>
      <w:r>
        <w:rPr>
          <w:rFonts w:ascii="Times New Roman" w:eastAsia="宋体" w:hAnsi="Times New Roman"/>
          <w:b/>
          <w:sz w:val="28"/>
        </w:rPr>
        <w:t>2</w:t>
      </w:r>
      <w:r>
        <w:rPr>
          <w:rFonts w:ascii="Times New Roman" w:eastAsia="宋体" w:hAnsi="Times New Roman" w:hint="eastAsia"/>
          <w:b/>
          <w:sz w:val="28"/>
        </w:rPr>
        <w:t>.3</w:t>
      </w:r>
      <w:r>
        <w:rPr>
          <w:rFonts w:ascii="Times New Roman" w:eastAsia="宋体" w:hAnsi="Times New Roman"/>
          <w:b/>
          <w:sz w:val="28"/>
        </w:rPr>
        <w:t xml:space="preserve"> </w:t>
      </w:r>
      <w:r>
        <w:rPr>
          <w:rFonts w:ascii="Times New Roman" w:eastAsia="宋体" w:hAnsi="Times New Roman" w:hint="eastAsia"/>
          <w:b/>
          <w:sz w:val="28"/>
        </w:rPr>
        <w:t>第二次</w:t>
      </w:r>
      <w:r>
        <w:rPr>
          <w:rFonts w:ascii="Times New Roman" w:eastAsia="宋体" w:hAnsi="Times New Roman"/>
          <w:b/>
          <w:sz w:val="28"/>
        </w:rPr>
        <w:t>公众参与</w:t>
      </w:r>
      <w:bookmarkEnd w:id="437"/>
      <w:bookmarkEnd w:id="438"/>
      <w:bookmarkEnd w:id="439"/>
      <w:bookmarkEnd w:id="440"/>
      <w:bookmarkEnd w:id="441"/>
      <w:bookmarkEnd w:id="442"/>
      <w:bookmarkEnd w:id="443"/>
    </w:p>
    <w:p w14:paraId="60CA30E0"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2</w:t>
      </w:r>
      <w:r>
        <w:rPr>
          <w:rFonts w:ascii="Times New Roman" w:hAnsi="Times New Roman" w:hint="eastAsia"/>
          <w:sz w:val="24"/>
        </w:rPr>
        <w:t xml:space="preserve">.3.1 </w:t>
      </w:r>
      <w:r>
        <w:rPr>
          <w:rFonts w:ascii="Times New Roman" w:hAnsi="Times New Roman" w:hint="eastAsia"/>
          <w:sz w:val="24"/>
        </w:rPr>
        <w:t>公众参与形式及时间</w:t>
      </w:r>
    </w:p>
    <w:p w14:paraId="47C1EFAB"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本次公众参与是在报告书基本完成后，采用在</w:t>
      </w:r>
      <w:r>
        <w:rPr>
          <w:rFonts w:ascii="Times New Roman" w:hAnsi="Times New Roman" w:hint="eastAsia"/>
        </w:rPr>
        <w:t>宁夏华兴时</w:t>
      </w:r>
      <w:r>
        <w:rPr>
          <w:rFonts w:ascii="Times New Roman" w:hAnsi="Times New Roman"/>
        </w:rPr>
        <w:t>报</w:t>
      </w:r>
      <w:r>
        <w:rPr>
          <w:rFonts w:ascii="Times New Roman" w:hAnsi="Times New Roman" w:hint="eastAsia"/>
        </w:rPr>
        <w:t>、宁夏回族自治区发展和改革委员会官方网站</w:t>
      </w:r>
      <w:r>
        <w:rPr>
          <w:rFonts w:ascii="Times New Roman" w:hAnsi="Times New Roman"/>
        </w:rPr>
        <w:t>上对规划有关情况进行公告</w:t>
      </w:r>
      <w:r>
        <w:rPr>
          <w:rFonts w:ascii="Times New Roman" w:hAnsi="Times New Roman" w:hint="eastAsia"/>
        </w:rPr>
        <w:t>、在宁东管委会张贴公告进行公示、同时向自治区、灵武市及宁东管委会等政府部门</w:t>
      </w:r>
      <w:r>
        <w:rPr>
          <w:rFonts w:ascii="Times New Roman" w:hAnsi="Times New Roman"/>
        </w:rPr>
        <w:t>发放调查表收集处理意见</w:t>
      </w:r>
      <w:r>
        <w:rPr>
          <w:rFonts w:ascii="Times New Roman" w:hAnsi="Times New Roman" w:hint="eastAsia"/>
        </w:rPr>
        <w:t>等</w:t>
      </w:r>
      <w:r>
        <w:rPr>
          <w:rFonts w:ascii="Times New Roman" w:hAnsi="Times New Roman"/>
        </w:rPr>
        <w:t>方式进行。</w:t>
      </w:r>
    </w:p>
    <w:p w14:paraId="76145B5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公告和收集意见的时间自</w:t>
      </w:r>
      <w:r>
        <w:rPr>
          <w:rFonts w:ascii="Times New Roman" w:hAnsi="Times New Roman"/>
        </w:rPr>
        <w:t>2020</w:t>
      </w:r>
      <w:r>
        <w:rPr>
          <w:rFonts w:ascii="Times New Roman" w:hAnsi="Times New Roman"/>
        </w:rPr>
        <w:t>年</w:t>
      </w:r>
      <w:r>
        <w:rPr>
          <w:rFonts w:ascii="Times New Roman" w:hAnsi="Times New Roman"/>
        </w:rPr>
        <w:t>9</w:t>
      </w:r>
      <w:r>
        <w:rPr>
          <w:rFonts w:ascii="Times New Roman" w:hAnsi="Times New Roman"/>
        </w:rPr>
        <w:t>月</w:t>
      </w:r>
      <w:r>
        <w:rPr>
          <w:rFonts w:ascii="Times New Roman" w:hAnsi="Times New Roman"/>
        </w:rPr>
        <w:t>8</w:t>
      </w:r>
      <w:r>
        <w:rPr>
          <w:rFonts w:ascii="Times New Roman" w:hAnsi="Times New Roman"/>
        </w:rPr>
        <w:t>日</w:t>
      </w:r>
      <w:r>
        <w:rPr>
          <w:rFonts w:ascii="Times New Roman" w:hAnsi="Times New Roman"/>
        </w:rPr>
        <w:t>8</w:t>
      </w:r>
      <w:r>
        <w:rPr>
          <w:rFonts w:ascii="Times New Roman" w:hAnsi="Times New Roman"/>
        </w:rPr>
        <w:t>时至</w:t>
      </w:r>
      <w:r>
        <w:rPr>
          <w:rFonts w:ascii="Times New Roman" w:hAnsi="Times New Roman"/>
        </w:rPr>
        <w:t>2020</w:t>
      </w:r>
      <w:r>
        <w:rPr>
          <w:rFonts w:ascii="Times New Roman" w:hAnsi="Times New Roman"/>
        </w:rPr>
        <w:t>年</w:t>
      </w:r>
      <w:r>
        <w:rPr>
          <w:rFonts w:ascii="Times New Roman" w:hAnsi="Times New Roman"/>
        </w:rPr>
        <w:t>9</w:t>
      </w:r>
      <w:r>
        <w:rPr>
          <w:rFonts w:ascii="Times New Roman" w:hAnsi="Times New Roman"/>
        </w:rPr>
        <w:t>月</w:t>
      </w:r>
      <w:r>
        <w:rPr>
          <w:rFonts w:ascii="Times New Roman" w:hAnsi="Times New Roman"/>
        </w:rPr>
        <w:t>21</w:t>
      </w:r>
      <w:r>
        <w:rPr>
          <w:rFonts w:ascii="Times New Roman" w:hAnsi="Times New Roman"/>
        </w:rPr>
        <w:t>日</w:t>
      </w:r>
      <w:r>
        <w:rPr>
          <w:rFonts w:ascii="Times New Roman" w:hAnsi="Times New Roman"/>
        </w:rPr>
        <w:t>20</w:t>
      </w:r>
      <w:r>
        <w:rPr>
          <w:rFonts w:ascii="Times New Roman" w:hAnsi="Times New Roman"/>
        </w:rPr>
        <w:t>时，共</w:t>
      </w:r>
      <w:r>
        <w:rPr>
          <w:rFonts w:ascii="Times New Roman" w:hAnsi="Times New Roman"/>
        </w:rPr>
        <w:t>10</w:t>
      </w:r>
      <w:r>
        <w:rPr>
          <w:rFonts w:ascii="Times New Roman" w:hAnsi="Times New Roman"/>
        </w:rPr>
        <w:t>天有效工作日。</w:t>
      </w:r>
    </w:p>
    <w:p w14:paraId="06013236"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rPr>
        <w:t>公告介绍规划的基本情况和查阅环境影响报告书简本的方式和期限、征求意见的范围和主要事项以及征求公众意见的具体形式等有关内容</w:t>
      </w:r>
      <w:r>
        <w:rPr>
          <w:rFonts w:ascii="Times New Roman" w:hAnsi="Times New Roman" w:hint="eastAsia"/>
        </w:rPr>
        <w:t>，</w:t>
      </w:r>
      <w:r>
        <w:rPr>
          <w:rFonts w:ascii="Times New Roman" w:hAnsi="Times New Roman"/>
        </w:rPr>
        <w:t>并提供了报告书简本和公众参与调查表的下载地址</w:t>
      </w:r>
      <w:r>
        <w:rPr>
          <w:rFonts w:ascii="Times New Roman" w:hAnsi="Times New Roman" w:hint="eastAsia"/>
        </w:rPr>
        <w:t>：（</w:t>
      </w:r>
      <w:hyperlink r:id="rId485" w:history="1">
        <w:r>
          <w:rPr>
            <w:rStyle w:val="affff6"/>
            <w:rFonts w:ascii="Times New Roman"/>
            <w:color w:val="auto"/>
            <w:szCs w:val="22"/>
          </w:rPr>
          <w:t>http://www.mee.gov.cn/xxgk2018/xxgk/xxgk01/201810/t20181024_665329.html</w:t>
        </w:r>
      </w:hyperlink>
      <w:r>
        <w:rPr>
          <w:rFonts w:ascii="Times New Roman" w:hAnsi="Times New Roman" w:hint="eastAsia"/>
        </w:rPr>
        <w:t>）。</w:t>
      </w:r>
    </w:p>
    <w:p w14:paraId="76F0032D"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2</w:t>
      </w:r>
      <w:r>
        <w:rPr>
          <w:rFonts w:ascii="Times New Roman" w:hAnsi="Times New Roman" w:hint="eastAsia"/>
          <w:sz w:val="24"/>
        </w:rPr>
        <w:t>.3</w:t>
      </w:r>
      <w:r>
        <w:rPr>
          <w:rFonts w:ascii="Times New Roman" w:hAnsi="Times New Roman"/>
          <w:sz w:val="24"/>
        </w:rPr>
        <w:t xml:space="preserve">.2 </w:t>
      </w:r>
      <w:r>
        <w:rPr>
          <w:rFonts w:ascii="Times New Roman" w:hAnsi="Times New Roman"/>
          <w:sz w:val="24"/>
        </w:rPr>
        <w:t>工作过程与方法</w:t>
      </w:r>
    </w:p>
    <w:p w14:paraId="70B6D31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首先是我们编制了</w:t>
      </w:r>
      <w:r>
        <w:rPr>
          <w:rFonts w:ascii="Times New Roman" w:hAnsi="Times New Roman" w:hint="eastAsia"/>
        </w:rPr>
        <w:t>宁夏回族</w:t>
      </w:r>
      <w:r>
        <w:rPr>
          <w:rFonts w:ascii="Times New Roman" w:hAnsi="Times New Roman"/>
        </w:rPr>
        <w:t>自治区横城矿区总体规划</w:t>
      </w:r>
      <w:r>
        <w:rPr>
          <w:rFonts w:ascii="Times New Roman" w:hAnsi="Times New Roman" w:hint="eastAsia"/>
        </w:rPr>
        <w:t>（修编）</w:t>
      </w:r>
      <w:r>
        <w:rPr>
          <w:rFonts w:ascii="Times New Roman" w:hAnsi="Times New Roman"/>
        </w:rPr>
        <w:t>环境影响报告书，并根据《环境影响评价公众参与暂行办法》的要求编制了横城矿区总体规划</w:t>
      </w:r>
      <w:r>
        <w:rPr>
          <w:rFonts w:ascii="Times New Roman" w:hAnsi="Times New Roman" w:hint="eastAsia"/>
        </w:rPr>
        <w:t>（修编）</w:t>
      </w:r>
      <w:r>
        <w:rPr>
          <w:rFonts w:ascii="Times New Roman" w:hAnsi="Times New Roman"/>
        </w:rPr>
        <w:t>环境影响评价公众参与公告书、横城矿区总体规划</w:t>
      </w:r>
      <w:r>
        <w:rPr>
          <w:rFonts w:ascii="Times New Roman" w:hAnsi="Times New Roman" w:hint="eastAsia"/>
        </w:rPr>
        <w:t>（修编）</w:t>
      </w:r>
      <w:r>
        <w:rPr>
          <w:rFonts w:ascii="Times New Roman" w:hAnsi="Times New Roman"/>
        </w:rPr>
        <w:t>环境影响评价公众参与调查表。</w:t>
      </w:r>
    </w:p>
    <w:p w14:paraId="30CC7850"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hint="eastAsia"/>
        </w:rPr>
        <w:t>网上公示</w:t>
      </w:r>
    </w:p>
    <w:p w14:paraId="2F306B02"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2020</w:t>
      </w:r>
      <w:r>
        <w:rPr>
          <w:rFonts w:ascii="Times New Roman" w:hAnsi="Times New Roman"/>
        </w:rPr>
        <w:t>年</w:t>
      </w:r>
      <w:r>
        <w:rPr>
          <w:rFonts w:ascii="Times New Roman" w:hAnsi="Times New Roman"/>
        </w:rPr>
        <w:t>9</w:t>
      </w:r>
      <w:r>
        <w:rPr>
          <w:rFonts w:ascii="Times New Roman" w:hAnsi="Times New Roman"/>
        </w:rPr>
        <w:t>月</w:t>
      </w:r>
      <w:r>
        <w:rPr>
          <w:rFonts w:ascii="Times New Roman" w:hAnsi="Times New Roman"/>
        </w:rPr>
        <w:t>8</w:t>
      </w:r>
      <w:r>
        <w:rPr>
          <w:rFonts w:ascii="Times New Roman" w:hAnsi="Times New Roman"/>
        </w:rPr>
        <w:t>日～</w:t>
      </w:r>
      <w:r>
        <w:rPr>
          <w:rFonts w:ascii="Times New Roman" w:hAnsi="Times New Roman"/>
        </w:rPr>
        <w:t>21</w:t>
      </w:r>
      <w:r>
        <w:rPr>
          <w:rFonts w:ascii="Times New Roman" w:hAnsi="Times New Roman"/>
        </w:rPr>
        <w:t>日在</w:t>
      </w:r>
      <w:r>
        <w:rPr>
          <w:rFonts w:ascii="Times New Roman" w:hAnsi="Times New Roman" w:hint="eastAsia"/>
        </w:rPr>
        <w:t>宁夏回族自治区发展和改革委员会官方</w:t>
      </w:r>
      <w:r>
        <w:rPr>
          <w:rFonts w:ascii="Times New Roman" w:hAnsi="Times New Roman"/>
        </w:rPr>
        <w:t>网站</w:t>
      </w:r>
      <w:r>
        <w:rPr>
          <w:rFonts w:ascii="Times New Roman" w:hAnsi="Times New Roman" w:hint="eastAsia"/>
        </w:rPr>
        <w:t>（</w:t>
      </w:r>
      <w:r>
        <w:rPr>
          <w:rFonts w:ascii="Times New Roman" w:hAnsi="Times New Roman"/>
        </w:rPr>
        <w:t>http://fzggw.nx.gov.cn/tzgg/202009/t20200908_2227366.html</w:t>
      </w:r>
      <w:r>
        <w:rPr>
          <w:rFonts w:ascii="Times New Roman" w:hAnsi="Times New Roman" w:hint="eastAsia"/>
        </w:rPr>
        <w:t>）</w:t>
      </w:r>
      <w:r>
        <w:rPr>
          <w:rFonts w:ascii="Times New Roman" w:hAnsi="Times New Roman"/>
        </w:rPr>
        <w:t>发布了横城矿区总体规划</w:t>
      </w:r>
      <w:r>
        <w:rPr>
          <w:rFonts w:ascii="Times New Roman" w:hAnsi="Times New Roman" w:hint="eastAsia"/>
        </w:rPr>
        <w:t>（修编）</w:t>
      </w:r>
      <w:r>
        <w:rPr>
          <w:rFonts w:ascii="Times New Roman" w:hAnsi="Times New Roman"/>
        </w:rPr>
        <w:t>环评公众参与公告</w:t>
      </w:r>
      <w:r>
        <w:rPr>
          <w:rFonts w:ascii="Times New Roman" w:hAnsi="Times New Roman" w:hint="eastAsia"/>
        </w:rPr>
        <w:t>。网页截图见图</w:t>
      </w:r>
      <w:r>
        <w:rPr>
          <w:rFonts w:ascii="Times New Roman" w:hAnsi="Times New Roman" w:hint="eastAsia"/>
        </w:rPr>
        <w:t>1</w:t>
      </w:r>
      <w:r>
        <w:rPr>
          <w:rFonts w:ascii="Times New Roman" w:hAnsi="Times New Roman"/>
        </w:rPr>
        <w:t>2.3</w:t>
      </w:r>
      <w:r>
        <w:rPr>
          <w:rFonts w:ascii="Times New Roman" w:hAnsi="Times New Roman" w:hint="eastAsia"/>
        </w:rPr>
        <w:t>-</w:t>
      </w:r>
      <w:r>
        <w:rPr>
          <w:rFonts w:ascii="Times New Roman" w:hAnsi="Times New Roman"/>
        </w:rPr>
        <w:t>1</w:t>
      </w:r>
      <w:r>
        <w:rPr>
          <w:rFonts w:ascii="Times New Roman" w:hAnsi="Times New Roman" w:hint="eastAsia"/>
        </w:rPr>
        <w:t>。</w:t>
      </w:r>
    </w:p>
    <w:p w14:paraId="6F85EC50" w14:textId="77777777" w:rsidR="009C353B" w:rsidRDefault="00000000">
      <w:pPr>
        <w:jc w:val="center"/>
        <w:rPr>
          <w:rFonts w:hint="eastAsia"/>
        </w:rPr>
      </w:pPr>
      <w:r>
        <w:rPr>
          <w:noProof/>
        </w:rPr>
        <w:drawing>
          <wp:inline distT="0" distB="0" distL="0" distR="0" wp14:anchorId="0118458A" wp14:editId="1B307FB9">
            <wp:extent cx="5295265" cy="8393430"/>
            <wp:effectExtent l="0" t="0" r="635"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486">
                      <a:extLst>
                        <a:ext uri="{28A0092B-C50C-407E-A947-70E740481C1C}">
                          <a14:useLocalDpi xmlns:a14="http://schemas.microsoft.com/office/drawing/2010/main" val="0"/>
                        </a:ext>
                      </a:extLst>
                    </a:blip>
                    <a:srcRect l="4016" t="3479" r="3450" b="4770"/>
                    <a:stretch>
                      <a:fillRect/>
                    </a:stretch>
                  </pic:blipFill>
                  <pic:spPr>
                    <a:xfrm>
                      <a:off x="0" y="0"/>
                      <a:ext cx="5295265" cy="8393430"/>
                    </a:xfrm>
                    <a:prstGeom prst="rect">
                      <a:avLst/>
                    </a:prstGeom>
                    <a:noFill/>
                    <a:ln>
                      <a:noFill/>
                    </a:ln>
                  </pic:spPr>
                </pic:pic>
              </a:graphicData>
            </a:graphic>
          </wp:inline>
        </w:drawing>
      </w:r>
    </w:p>
    <w:p w14:paraId="7FC7A8ED" w14:textId="77777777" w:rsidR="009C353B" w:rsidRDefault="00000000">
      <w:pPr>
        <w:jc w:val="center"/>
        <w:rPr>
          <w:rFonts w:ascii="Times New Roman" w:hAnsi="Times New Roman"/>
          <w:b/>
          <w:bCs/>
          <w:szCs w:val="24"/>
        </w:rPr>
      </w:pPr>
      <w:r>
        <w:rPr>
          <w:rFonts w:ascii="Times New Roman" w:hAnsi="Times New Roman"/>
          <w:b/>
          <w:bCs/>
          <w:szCs w:val="24"/>
        </w:rPr>
        <w:t>图</w:t>
      </w:r>
      <w:r>
        <w:rPr>
          <w:rFonts w:ascii="Times New Roman" w:hAnsi="Times New Roman"/>
          <w:b/>
          <w:bCs/>
          <w:szCs w:val="24"/>
        </w:rPr>
        <w:t xml:space="preserve">12.3-1 </w:t>
      </w:r>
      <w:r>
        <w:rPr>
          <w:rFonts w:ascii="Times New Roman" w:hAnsi="Times New Roman"/>
          <w:b/>
          <w:bCs/>
          <w:szCs w:val="24"/>
        </w:rPr>
        <w:t>第二次公众参与公示（网站</w:t>
      </w:r>
      <w:r>
        <w:rPr>
          <w:rFonts w:ascii="Times New Roman" w:hAnsi="Times New Roman" w:hint="eastAsia"/>
          <w:b/>
          <w:bCs/>
          <w:szCs w:val="24"/>
        </w:rPr>
        <w:t>——自治区发改委官网</w:t>
      </w:r>
      <w:r>
        <w:rPr>
          <w:rFonts w:ascii="Times New Roman" w:hAnsi="Times New Roman"/>
          <w:b/>
          <w:bCs/>
          <w:szCs w:val="24"/>
        </w:rPr>
        <w:t>）</w:t>
      </w:r>
    </w:p>
    <w:p w14:paraId="29A893A5"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）报纸公示</w:t>
      </w:r>
    </w:p>
    <w:p w14:paraId="4334EB0C"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2020</w:t>
      </w:r>
      <w:r>
        <w:rPr>
          <w:rFonts w:ascii="Times New Roman" w:hAnsi="Times New Roman"/>
        </w:rPr>
        <w:t>年</w:t>
      </w:r>
      <w:r>
        <w:rPr>
          <w:rFonts w:ascii="Times New Roman" w:hAnsi="Times New Roman"/>
        </w:rPr>
        <w:t>9</w:t>
      </w:r>
      <w:r>
        <w:rPr>
          <w:rFonts w:ascii="Times New Roman" w:hAnsi="Times New Roman"/>
        </w:rPr>
        <w:t>月</w:t>
      </w:r>
      <w:r>
        <w:rPr>
          <w:rFonts w:ascii="Times New Roman" w:hAnsi="Times New Roman"/>
        </w:rPr>
        <w:t>10</w:t>
      </w:r>
      <w:r>
        <w:rPr>
          <w:rFonts w:ascii="Times New Roman" w:hAnsi="Times New Roman"/>
        </w:rPr>
        <w:t>日</w:t>
      </w:r>
      <w:r>
        <w:rPr>
          <w:rFonts w:ascii="Times New Roman" w:hAnsi="Times New Roman" w:hint="eastAsia"/>
        </w:rPr>
        <w:t>、</w:t>
      </w:r>
      <w:r>
        <w:rPr>
          <w:rFonts w:ascii="Times New Roman" w:hAnsi="Times New Roman"/>
        </w:rPr>
        <w:t>15</w:t>
      </w:r>
      <w:r>
        <w:rPr>
          <w:rFonts w:ascii="Times New Roman" w:hAnsi="Times New Roman"/>
        </w:rPr>
        <w:t>日在</w:t>
      </w:r>
      <w:r>
        <w:rPr>
          <w:rFonts w:ascii="Times New Roman" w:hAnsi="Times New Roman" w:hint="eastAsia"/>
        </w:rPr>
        <w:t>宁夏</w:t>
      </w:r>
      <w:r>
        <w:rPr>
          <w:rFonts w:ascii="Times New Roman" w:hAnsi="Times New Roman"/>
        </w:rPr>
        <w:t>《</w:t>
      </w:r>
      <w:r>
        <w:rPr>
          <w:rFonts w:ascii="Times New Roman" w:hAnsi="Times New Roman" w:hint="eastAsia"/>
        </w:rPr>
        <w:t>华兴时报</w:t>
      </w:r>
      <w:r>
        <w:rPr>
          <w:rFonts w:ascii="Times New Roman" w:hAnsi="Times New Roman"/>
        </w:rPr>
        <w:t>》上</w:t>
      </w:r>
      <w:r>
        <w:rPr>
          <w:rFonts w:ascii="Times New Roman" w:hAnsi="Times New Roman" w:hint="eastAsia"/>
        </w:rPr>
        <w:t>分两次</w:t>
      </w:r>
      <w:r>
        <w:rPr>
          <w:rFonts w:ascii="Times New Roman" w:hAnsi="Times New Roman"/>
        </w:rPr>
        <w:t>发布了横城矿区总体规划</w:t>
      </w:r>
      <w:r>
        <w:rPr>
          <w:rFonts w:ascii="Times New Roman" w:hAnsi="Times New Roman" w:hint="eastAsia"/>
        </w:rPr>
        <w:t>（修编）</w:t>
      </w:r>
      <w:r>
        <w:rPr>
          <w:rFonts w:ascii="Times New Roman" w:hAnsi="Times New Roman"/>
        </w:rPr>
        <w:t>环评公众参与公告</w:t>
      </w:r>
      <w:r>
        <w:rPr>
          <w:rFonts w:ascii="Times New Roman" w:hAnsi="Times New Roman" w:hint="eastAsia"/>
        </w:rPr>
        <w:t>。报纸公示见图</w:t>
      </w:r>
      <w:r>
        <w:rPr>
          <w:rFonts w:ascii="Times New Roman" w:hAnsi="Times New Roman" w:hint="eastAsia"/>
        </w:rPr>
        <w:t>1</w:t>
      </w:r>
      <w:r>
        <w:rPr>
          <w:rFonts w:ascii="Times New Roman" w:hAnsi="Times New Roman"/>
        </w:rPr>
        <w:t>2.3</w:t>
      </w:r>
      <w:r>
        <w:rPr>
          <w:rFonts w:ascii="Times New Roman" w:hAnsi="Times New Roman" w:hint="eastAsia"/>
        </w:rPr>
        <w:t>-</w:t>
      </w:r>
      <w:r>
        <w:rPr>
          <w:rFonts w:ascii="Times New Roman" w:hAnsi="Times New Roman"/>
        </w:rPr>
        <w:t>2</w:t>
      </w:r>
      <w:r>
        <w:rPr>
          <w:rFonts w:ascii="Times New Roman" w:hAnsi="Times New Roman" w:hint="eastAsia"/>
        </w:rPr>
        <w:t>。</w:t>
      </w:r>
    </w:p>
    <w:p w14:paraId="6029F77C" w14:textId="77777777" w:rsidR="009C353B" w:rsidRDefault="009C353B">
      <w:pPr>
        <w:adjustRightInd w:val="0"/>
        <w:snapToGrid w:val="0"/>
        <w:spacing w:line="440" w:lineRule="exact"/>
        <w:ind w:firstLine="482"/>
        <w:rPr>
          <w:rFonts w:ascii="Times New Roman" w:hAnsi="Times New Roman"/>
        </w:rPr>
      </w:pPr>
    </w:p>
    <w:p w14:paraId="45083EDE" w14:textId="77777777" w:rsidR="009C353B" w:rsidRDefault="009C353B">
      <w:pPr>
        <w:adjustRightInd w:val="0"/>
        <w:snapToGrid w:val="0"/>
        <w:spacing w:line="440" w:lineRule="exact"/>
        <w:ind w:firstLine="482"/>
        <w:rPr>
          <w:rFonts w:ascii="Times New Roman" w:hAnsi="Times New Roman"/>
        </w:rPr>
      </w:pPr>
    </w:p>
    <w:p w14:paraId="686096EC" w14:textId="77777777" w:rsidR="009C353B" w:rsidRDefault="009C353B">
      <w:pPr>
        <w:adjustRightInd w:val="0"/>
        <w:snapToGrid w:val="0"/>
        <w:spacing w:line="440" w:lineRule="exact"/>
        <w:ind w:firstLine="482"/>
        <w:rPr>
          <w:rFonts w:ascii="Times New Roman" w:hAnsi="Times New Roman"/>
        </w:rPr>
      </w:pPr>
    </w:p>
    <w:p w14:paraId="5C8AD87D" w14:textId="77777777" w:rsidR="009C353B" w:rsidRDefault="009C353B">
      <w:pPr>
        <w:adjustRightInd w:val="0"/>
        <w:snapToGrid w:val="0"/>
        <w:spacing w:line="440" w:lineRule="exact"/>
        <w:ind w:firstLine="482"/>
        <w:rPr>
          <w:rFonts w:ascii="Times New Roman" w:hAnsi="Times New Roman"/>
        </w:rPr>
      </w:pPr>
    </w:p>
    <w:p w14:paraId="55A01DCF" w14:textId="77777777" w:rsidR="009C353B" w:rsidRDefault="009C353B">
      <w:pPr>
        <w:adjustRightInd w:val="0"/>
        <w:snapToGrid w:val="0"/>
        <w:spacing w:line="440" w:lineRule="exact"/>
        <w:ind w:firstLine="482"/>
        <w:rPr>
          <w:rFonts w:ascii="Times New Roman" w:hAnsi="Times New Roman"/>
        </w:rPr>
      </w:pPr>
    </w:p>
    <w:p w14:paraId="7AA46556" w14:textId="77777777" w:rsidR="009C353B" w:rsidRDefault="009C353B">
      <w:pPr>
        <w:adjustRightInd w:val="0"/>
        <w:snapToGrid w:val="0"/>
        <w:spacing w:line="440" w:lineRule="exact"/>
        <w:ind w:firstLine="482"/>
        <w:rPr>
          <w:rFonts w:ascii="Times New Roman" w:hAnsi="Times New Roman"/>
        </w:rPr>
      </w:pPr>
    </w:p>
    <w:p w14:paraId="0FD09DF7" w14:textId="77777777" w:rsidR="009C353B" w:rsidRDefault="009C353B">
      <w:pPr>
        <w:adjustRightInd w:val="0"/>
        <w:snapToGrid w:val="0"/>
        <w:spacing w:line="440" w:lineRule="exact"/>
        <w:ind w:firstLine="482"/>
        <w:rPr>
          <w:rFonts w:ascii="Times New Roman" w:hAnsi="Times New Roman"/>
        </w:rPr>
      </w:pPr>
    </w:p>
    <w:p w14:paraId="5148BAD0" w14:textId="77777777" w:rsidR="009C353B" w:rsidRDefault="009C353B">
      <w:pPr>
        <w:adjustRightInd w:val="0"/>
        <w:snapToGrid w:val="0"/>
        <w:spacing w:line="440" w:lineRule="exact"/>
        <w:ind w:firstLine="482"/>
        <w:rPr>
          <w:rFonts w:ascii="Times New Roman" w:hAnsi="Times New Roman"/>
        </w:rPr>
      </w:pPr>
    </w:p>
    <w:p w14:paraId="6E338C3C" w14:textId="77777777" w:rsidR="009C353B" w:rsidRDefault="009C353B">
      <w:pPr>
        <w:adjustRightInd w:val="0"/>
        <w:snapToGrid w:val="0"/>
        <w:spacing w:line="440" w:lineRule="exact"/>
        <w:ind w:firstLine="482"/>
        <w:rPr>
          <w:rFonts w:ascii="Times New Roman" w:hAnsi="Times New Roman"/>
        </w:rPr>
      </w:pPr>
    </w:p>
    <w:p w14:paraId="4A97CF5C" w14:textId="77777777" w:rsidR="009C353B" w:rsidRDefault="009C353B">
      <w:pPr>
        <w:adjustRightInd w:val="0"/>
        <w:snapToGrid w:val="0"/>
        <w:spacing w:line="440" w:lineRule="exact"/>
        <w:ind w:firstLine="482"/>
        <w:rPr>
          <w:rFonts w:ascii="Times New Roman" w:hAnsi="Times New Roman"/>
        </w:rPr>
      </w:pPr>
    </w:p>
    <w:p w14:paraId="3CFAD61D" w14:textId="77777777" w:rsidR="009C353B" w:rsidRDefault="009C353B">
      <w:pPr>
        <w:adjustRightInd w:val="0"/>
        <w:snapToGrid w:val="0"/>
        <w:spacing w:line="440" w:lineRule="exact"/>
        <w:ind w:firstLine="482"/>
        <w:rPr>
          <w:rFonts w:ascii="Times New Roman" w:hAnsi="Times New Roman"/>
        </w:rPr>
      </w:pPr>
    </w:p>
    <w:p w14:paraId="7DF4DA44" w14:textId="77777777" w:rsidR="009C353B" w:rsidRDefault="00000000">
      <w:pPr>
        <w:jc w:val="center"/>
        <w:rPr>
          <w:rFonts w:ascii="Times New Roman" w:hAnsi="Times New Roman"/>
          <w:b/>
          <w:bCs/>
          <w:szCs w:val="24"/>
        </w:rPr>
      </w:pPr>
      <w:r>
        <w:rPr>
          <w:noProof/>
        </w:rPr>
        <mc:AlternateContent>
          <mc:Choice Requires="wps">
            <w:drawing>
              <wp:anchor distT="0" distB="0" distL="114300" distR="114300" simplePos="0" relativeHeight="251666432" behindDoc="0" locked="0" layoutInCell="1" allowOverlap="1" wp14:anchorId="2EA0A5B7" wp14:editId="640223B9">
                <wp:simplePos x="0" y="0"/>
                <wp:positionH relativeFrom="column">
                  <wp:posOffset>3591560</wp:posOffset>
                </wp:positionH>
                <wp:positionV relativeFrom="paragraph">
                  <wp:posOffset>4583430</wp:posOffset>
                </wp:positionV>
                <wp:extent cx="1962150" cy="1101090"/>
                <wp:effectExtent l="0" t="0" r="19685" b="23495"/>
                <wp:wrapNone/>
                <wp:docPr id="470" name="椭圆 470"/>
                <wp:cNvGraphicFramePr/>
                <a:graphic xmlns:a="http://schemas.openxmlformats.org/drawingml/2006/main">
                  <a:graphicData uri="http://schemas.microsoft.com/office/word/2010/wordprocessingShape">
                    <wps:wsp>
                      <wps:cNvSpPr/>
                      <wps:spPr>
                        <a:xfrm>
                          <a:off x="0" y="0"/>
                          <a:ext cx="1961965" cy="1100831"/>
                        </a:xfrm>
                        <a:prstGeom prst="ellipse">
                          <a:avLst/>
                        </a:prstGeom>
                        <a:solidFill>
                          <a:schemeClr val="accent1">
                            <a:alpha val="4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36170DB" id="椭圆 470" o:spid="_x0000_s1026" style="position:absolute;margin-left:282.8pt;margin-top:360.9pt;width:154.5pt;height:86.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" fillcolor="#5b9bd5 [3204]" strokecolor="#1f4d78 [1604]" strokeweight="1pt">
                <v:fill opacity="30840f"/>
                <v:stroke joinstyle="miter"/>
              </v:oval>
            </w:pict>
          </mc:Fallback>
        </mc:AlternateContent>
      </w:r>
      <w:r>
        <w:rPr>
          <w:noProof/>
        </w:rPr>
        <w:drawing>
          <wp:inline distT="0" distB="0" distL="0" distR="0" wp14:anchorId="41216848" wp14:editId="39AA5BE3">
            <wp:extent cx="5077460" cy="5574665"/>
            <wp:effectExtent l="0" t="0" r="8890" b="6985"/>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a:xfrm>
                      <a:off x="0" y="0"/>
                      <a:ext cx="5097898" cy="5597617"/>
                    </a:xfrm>
                    <a:prstGeom prst="rect">
                      <a:avLst/>
                    </a:prstGeom>
                    <a:noFill/>
                    <a:ln>
                      <a:noFill/>
                    </a:ln>
                  </pic:spPr>
                </pic:pic>
              </a:graphicData>
            </a:graphic>
          </wp:inline>
        </w:drawing>
      </w:r>
      <w:r>
        <w:rPr>
          <w:noProof/>
        </w:rPr>
        <w:drawing>
          <wp:inline distT="0" distB="0" distL="0" distR="0" wp14:anchorId="5793E31D" wp14:editId="5F7CAC98">
            <wp:extent cx="5539105" cy="2536825"/>
            <wp:effectExtent l="0" t="0" r="4445" b="0"/>
            <wp:docPr id="463"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pic:cNvPicPr>
                      <a:picLocks noChangeAspect="1" noChangeArrowheads="1"/>
                    </pic:cNvPicPr>
                  </pic:nvPicPr>
                  <pic:blipFill>
                    <a:blip r:embed="rId488">
                      <a:extLst>
                        <a:ext uri="{28A0092B-C50C-407E-A947-70E740481C1C}">
                          <a14:useLocalDpi xmlns:a14="http://schemas.microsoft.com/office/drawing/2010/main" val="0"/>
                        </a:ext>
                      </a:extLst>
                    </a:blip>
                    <a:srcRect/>
                    <a:stretch>
                      <a:fillRect/>
                    </a:stretch>
                  </pic:blipFill>
                  <pic:spPr>
                    <a:xfrm>
                      <a:off x="0" y="0"/>
                      <a:ext cx="5610881" cy="2570069"/>
                    </a:xfrm>
                    <a:prstGeom prst="rect">
                      <a:avLst/>
                    </a:prstGeom>
                    <a:noFill/>
                    <a:ln>
                      <a:noFill/>
                    </a:ln>
                  </pic:spPr>
                </pic:pic>
              </a:graphicData>
            </a:graphic>
          </wp:inline>
        </w:drawing>
      </w:r>
    </w:p>
    <w:p w14:paraId="35666AB3" w14:textId="77777777" w:rsidR="009C353B" w:rsidRDefault="00000000">
      <w:pPr>
        <w:jc w:val="center"/>
        <w:rPr>
          <w:rFonts w:ascii="Times New Roman" w:hAnsi="Times New Roman"/>
          <w:b/>
          <w:bCs/>
          <w:szCs w:val="24"/>
        </w:rPr>
      </w:pPr>
      <w:r>
        <w:rPr>
          <w:rFonts w:ascii="Times New Roman" w:hAnsi="Times New Roman" w:hint="eastAsia"/>
          <w:b/>
          <w:bCs/>
          <w:szCs w:val="24"/>
        </w:rPr>
        <w:t>2</w:t>
      </w:r>
      <w:r>
        <w:rPr>
          <w:rFonts w:ascii="Times New Roman" w:hAnsi="Times New Roman"/>
          <w:b/>
          <w:bCs/>
          <w:szCs w:val="24"/>
        </w:rPr>
        <w:t>020</w:t>
      </w:r>
      <w:r>
        <w:rPr>
          <w:rFonts w:ascii="Times New Roman" w:hAnsi="Times New Roman" w:hint="eastAsia"/>
          <w:b/>
          <w:bCs/>
          <w:szCs w:val="24"/>
        </w:rPr>
        <w:t>年</w:t>
      </w:r>
      <w:r>
        <w:rPr>
          <w:rFonts w:ascii="Times New Roman" w:hAnsi="Times New Roman" w:hint="eastAsia"/>
          <w:b/>
          <w:bCs/>
          <w:szCs w:val="24"/>
        </w:rPr>
        <w:t>9</w:t>
      </w:r>
      <w:r>
        <w:rPr>
          <w:rFonts w:ascii="Times New Roman" w:hAnsi="Times New Roman" w:hint="eastAsia"/>
          <w:b/>
          <w:bCs/>
          <w:szCs w:val="24"/>
        </w:rPr>
        <w:t>月</w:t>
      </w:r>
      <w:r>
        <w:rPr>
          <w:rFonts w:ascii="Times New Roman" w:hAnsi="Times New Roman" w:hint="eastAsia"/>
          <w:b/>
          <w:bCs/>
          <w:szCs w:val="24"/>
        </w:rPr>
        <w:t>1</w:t>
      </w:r>
      <w:r>
        <w:rPr>
          <w:rFonts w:ascii="Times New Roman" w:hAnsi="Times New Roman"/>
          <w:b/>
          <w:bCs/>
          <w:szCs w:val="24"/>
        </w:rPr>
        <w:t>0</w:t>
      </w:r>
      <w:r>
        <w:rPr>
          <w:rFonts w:ascii="Times New Roman" w:hAnsi="Times New Roman" w:hint="eastAsia"/>
          <w:b/>
          <w:bCs/>
          <w:szCs w:val="24"/>
        </w:rPr>
        <w:t>日报纸公示</w:t>
      </w:r>
    </w:p>
    <w:p w14:paraId="35182294" w14:textId="77777777" w:rsidR="009C353B" w:rsidRDefault="00000000">
      <w:pPr>
        <w:jc w:val="center"/>
        <w:rPr>
          <w:rFonts w:ascii="Times New Roman" w:hAnsi="Times New Roman"/>
          <w:b/>
          <w:bCs/>
          <w:szCs w:val="24"/>
        </w:rPr>
      </w:pPr>
      <w:r>
        <w:rPr>
          <w:noProof/>
        </w:rPr>
        <mc:AlternateContent>
          <mc:Choice Requires="wps">
            <w:drawing>
              <wp:anchor distT="0" distB="0" distL="114300" distR="114300" simplePos="0" relativeHeight="251667456" behindDoc="0" locked="0" layoutInCell="1" allowOverlap="1" wp14:anchorId="4CF633FC" wp14:editId="1C35328D">
                <wp:simplePos x="0" y="0"/>
                <wp:positionH relativeFrom="column">
                  <wp:posOffset>1264920</wp:posOffset>
                </wp:positionH>
                <wp:positionV relativeFrom="paragraph">
                  <wp:posOffset>5923915</wp:posOffset>
                </wp:positionV>
                <wp:extent cx="3746500" cy="586105"/>
                <wp:effectExtent l="0" t="0" r="26035" b="24130"/>
                <wp:wrapNone/>
                <wp:docPr id="59" name="椭圆 59"/>
                <wp:cNvGraphicFramePr/>
                <a:graphic xmlns:a="http://schemas.openxmlformats.org/drawingml/2006/main">
                  <a:graphicData uri="http://schemas.microsoft.com/office/word/2010/wordprocessingShape">
                    <wps:wsp>
                      <wps:cNvSpPr/>
                      <wps:spPr>
                        <a:xfrm>
                          <a:off x="0" y="0"/>
                          <a:ext cx="3746377" cy="585926"/>
                        </a:xfrm>
                        <a:prstGeom prst="ellipse">
                          <a:avLst/>
                        </a:prstGeom>
                        <a:solidFill>
                          <a:schemeClr val="accent1">
                            <a:alpha val="44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339B2AD" id="椭圆 59" o:spid="_x0000_s1026" style="position:absolute;margin-left:99.6pt;margin-top:466.45pt;width:295pt;height:46.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" fillcolor="#5b9bd5 [3204]" strokecolor="#1f4d78 [1604]" strokeweight="1pt">
                <v:fill opacity="28784f"/>
                <v:stroke joinstyle="miter"/>
              </v:oval>
            </w:pict>
          </mc:Fallback>
        </mc:AlternateContent>
      </w:r>
      <w:r>
        <w:rPr>
          <w:noProof/>
        </w:rPr>
        <w:drawing>
          <wp:inline distT="0" distB="0" distL="0" distR="0" wp14:anchorId="3FE10332" wp14:editId="364462F1">
            <wp:extent cx="4584065" cy="6443345"/>
            <wp:effectExtent l="0" t="0" r="6985" b="0"/>
            <wp:docPr id="464"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464"/>
                    <pic:cNvPicPr>
                      <a:picLocks noChangeAspect="1" noChangeArrowheads="1"/>
                    </pic:cNvPicPr>
                  </pic:nvPicPr>
                  <pic:blipFill>
                    <a:blip r:embed="rId489">
                      <a:extLst>
                        <a:ext uri="{28A0092B-C50C-407E-A947-70E740481C1C}">
                          <a14:useLocalDpi xmlns:a14="http://schemas.microsoft.com/office/drawing/2010/main" val="0"/>
                        </a:ext>
                      </a:extLst>
                    </a:blip>
                    <a:srcRect/>
                    <a:stretch>
                      <a:fillRect/>
                    </a:stretch>
                  </pic:blipFill>
                  <pic:spPr>
                    <a:xfrm>
                      <a:off x="0" y="0"/>
                      <a:ext cx="4592808" cy="6455249"/>
                    </a:xfrm>
                    <a:prstGeom prst="rect">
                      <a:avLst/>
                    </a:prstGeom>
                    <a:noFill/>
                    <a:ln>
                      <a:noFill/>
                    </a:ln>
                  </pic:spPr>
                </pic:pic>
              </a:graphicData>
            </a:graphic>
          </wp:inline>
        </w:drawing>
      </w:r>
    </w:p>
    <w:p w14:paraId="79F36187" w14:textId="77777777" w:rsidR="009C353B" w:rsidRDefault="00000000">
      <w:pPr>
        <w:jc w:val="center"/>
        <w:rPr>
          <w:rFonts w:ascii="Times New Roman" w:hAnsi="Times New Roman"/>
          <w:b/>
          <w:bCs/>
          <w:szCs w:val="24"/>
        </w:rPr>
      </w:pPr>
      <w:r>
        <w:rPr>
          <w:noProof/>
        </w:rPr>
        <w:drawing>
          <wp:inline distT="0" distB="0" distL="0" distR="0" wp14:anchorId="78947FDA" wp14:editId="73F9D942">
            <wp:extent cx="5759450" cy="1642110"/>
            <wp:effectExtent l="0" t="0" r="0" b="0"/>
            <wp:docPr id="469"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469"/>
                    <pic:cNvPicPr>
                      <a:picLocks noChangeAspect="1" noChangeArrowheads="1"/>
                    </pic:cNvPicPr>
                  </pic:nvPicPr>
                  <pic:blipFill>
                    <a:blip r:embed="rId490">
                      <a:extLst>
                        <a:ext uri="{28A0092B-C50C-407E-A947-70E740481C1C}">
                          <a14:useLocalDpi xmlns:a14="http://schemas.microsoft.com/office/drawing/2010/main" val="0"/>
                        </a:ext>
                      </a:extLst>
                    </a:blip>
                    <a:srcRect/>
                    <a:stretch>
                      <a:fillRect/>
                    </a:stretch>
                  </pic:blipFill>
                  <pic:spPr>
                    <a:xfrm>
                      <a:off x="0" y="0"/>
                      <a:ext cx="5800816" cy="1654165"/>
                    </a:xfrm>
                    <a:prstGeom prst="rect">
                      <a:avLst/>
                    </a:prstGeom>
                    <a:noFill/>
                    <a:ln>
                      <a:noFill/>
                    </a:ln>
                  </pic:spPr>
                </pic:pic>
              </a:graphicData>
            </a:graphic>
          </wp:inline>
        </w:drawing>
      </w:r>
    </w:p>
    <w:p w14:paraId="08F1691D" w14:textId="77777777" w:rsidR="009C353B" w:rsidRDefault="00000000">
      <w:pPr>
        <w:jc w:val="center"/>
        <w:rPr>
          <w:rFonts w:ascii="Times New Roman" w:hAnsi="Times New Roman"/>
          <w:b/>
          <w:bCs/>
          <w:szCs w:val="24"/>
        </w:rPr>
      </w:pPr>
      <w:r>
        <w:rPr>
          <w:rFonts w:ascii="Times New Roman" w:hAnsi="Times New Roman" w:hint="eastAsia"/>
          <w:b/>
          <w:bCs/>
          <w:szCs w:val="24"/>
        </w:rPr>
        <w:t>2</w:t>
      </w:r>
      <w:r>
        <w:rPr>
          <w:rFonts w:ascii="Times New Roman" w:hAnsi="Times New Roman"/>
          <w:b/>
          <w:bCs/>
          <w:szCs w:val="24"/>
        </w:rPr>
        <w:t>020</w:t>
      </w:r>
      <w:r>
        <w:rPr>
          <w:rFonts w:ascii="Times New Roman" w:hAnsi="Times New Roman" w:hint="eastAsia"/>
          <w:b/>
          <w:bCs/>
          <w:szCs w:val="24"/>
        </w:rPr>
        <w:t>年</w:t>
      </w:r>
      <w:r>
        <w:rPr>
          <w:rFonts w:ascii="Times New Roman" w:hAnsi="Times New Roman" w:hint="eastAsia"/>
          <w:b/>
          <w:bCs/>
          <w:szCs w:val="24"/>
        </w:rPr>
        <w:t>9</w:t>
      </w:r>
      <w:r>
        <w:rPr>
          <w:rFonts w:ascii="Times New Roman" w:hAnsi="Times New Roman" w:hint="eastAsia"/>
          <w:b/>
          <w:bCs/>
          <w:szCs w:val="24"/>
        </w:rPr>
        <w:t>月</w:t>
      </w:r>
      <w:r>
        <w:rPr>
          <w:rFonts w:ascii="Times New Roman" w:hAnsi="Times New Roman" w:hint="eastAsia"/>
          <w:b/>
          <w:bCs/>
          <w:szCs w:val="24"/>
        </w:rPr>
        <w:t>1</w:t>
      </w:r>
      <w:r>
        <w:rPr>
          <w:rFonts w:ascii="Times New Roman" w:hAnsi="Times New Roman"/>
          <w:b/>
          <w:bCs/>
          <w:szCs w:val="24"/>
        </w:rPr>
        <w:t>5</w:t>
      </w:r>
      <w:r>
        <w:rPr>
          <w:rFonts w:ascii="Times New Roman" w:hAnsi="Times New Roman" w:hint="eastAsia"/>
          <w:b/>
          <w:bCs/>
          <w:szCs w:val="24"/>
        </w:rPr>
        <w:t>日报纸公示</w:t>
      </w:r>
    </w:p>
    <w:p w14:paraId="305A34C2" w14:textId="77777777" w:rsidR="009C353B" w:rsidRDefault="00000000">
      <w:pPr>
        <w:jc w:val="center"/>
        <w:rPr>
          <w:rFonts w:ascii="Times New Roman" w:hAnsi="Times New Roman"/>
          <w:b/>
          <w:bCs/>
          <w:szCs w:val="24"/>
        </w:rPr>
      </w:pPr>
      <w:r>
        <w:rPr>
          <w:rFonts w:ascii="Times New Roman" w:hAnsi="Times New Roman"/>
          <w:b/>
          <w:bCs/>
          <w:szCs w:val="24"/>
        </w:rPr>
        <w:t>图</w:t>
      </w:r>
      <w:r>
        <w:rPr>
          <w:rFonts w:ascii="Times New Roman" w:hAnsi="Times New Roman"/>
          <w:b/>
          <w:bCs/>
          <w:szCs w:val="24"/>
        </w:rPr>
        <w:t xml:space="preserve">12.3-2 </w:t>
      </w:r>
      <w:r>
        <w:rPr>
          <w:rFonts w:ascii="Times New Roman" w:hAnsi="Times New Roman"/>
          <w:b/>
          <w:bCs/>
          <w:szCs w:val="24"/>
        </w:rPr>
        <w:t>第二次公众参与公示（</w:t>
      </w:r>
      <w:r>
        <w:rPr>
          <w:rFonts w:ascii="Times New Roman" w:hAnsi="Times New Roman" w:hint="eastAsia"/>
          <w:b/>
          <w:bCs/>
          <w:szCs w:val="24"/>
        </w:rPr>
        <w:t>报纸，共两次——华兴时报</w:t>
      </w:r>
      <w:r>
        <w:rPr>
          <w:rFonts w:ascii="Times New Roman" w:hAnsi="Times New Roman"/>
          <w:b/>
          <w:bCs/>
          <w:szCs w:val="24"/>
        </w:rPr>
        <w:t>）</w:t>
      </w:r>
    </w:p>
    <w:p w14:paraId="0FA6CB4C"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hint="eastAsia"/>
        </w:rPr>
        <w:t>（</w:t>
      </w:r>
      <w:r>
        <w:rPr>
          <w:rFonts w:ascii="Times New Roman" w:hAnsi="Times New Roman"/>
        </w:rPr>
        <w:t>3</w:t>
      </w:r>
      <w:r>
        <w:rPr>
          <w:rFonts w:ascii="Times New Roman" w:hAnsi="Times New Roman" w:hint="eastAsia"/>
        </w:rPr>
        <w:t>）张贴公告</w:t>
      </w:r>
    </w:p>
    <w:p w14:paraId="0CD1EDC4"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2020</w:t>
      </w:r>
      <w:r>
        <w:rPr>
          <w:rFonts w:ascii="Times New Roman" w:hAnsi="Times New Roman"/>
        </w:rPr>
        <w:t>年</w:t>
      </w:r>
      <w:r>
        <w:rPr>
          <w:rFonts w:ascii="Times New Roman" w:hAnsi="Times New Roman"/>
        </w:rPr>
        <w:t>9</w:t>
      </w:r>
      <w:r>
        <w:rPr>
          <w:rFonts w:ascii="Times New Roman" w:hAnsi="Times New Roman"/>
        </w:rPr>
        <w:t>月</w:t>
      </w:r>
      <w:r>
        <w:rPr>
          <w:rFonts w:ascii="Times New Roman" w:hAnsi="Times New Roman"/>
        </w:rPr>
        <w:t>8</w:t>
      </w:r>
      <w:r>
        <w:rPr>
          <w:rFonts w:ascii="Times New Roman" w:hAnsi="Times New Roman"/>
        </w:rPr>
        <w:t>日</w:t>
      </w:r>
      <w:r>
        <w:rPr>
          <w:rFonts w:ascii="Times New Roman" w:hAnsi="Times New Roman" w:hint="eastAsia"/>
        </w:rPr>
        <w:t>宁东管委会服务中心外张贴了</w:t>
      </w:r>
      <w:r>
        <w:rPr>
          <w:rFonts w:ascii="Times New Roman" w:hAnsi="Times New Roman"/>
        </w:rPr>
        <w:t>横城矿区总体规划</w:t>
      </w:r>
      <w:r>
        <w:rPr>
          <w:rFonts w:ascii="Times New Roman" w:hAnsi="Times New Roman" w:hint="eastAsia"/>
        </w:rPr>
        <w:t>（修编）</w:t>
      </w:r>
      <w:r>
        <w:rPr>
          <w:rFonts w:ascii="Times New Roman" w:hAnsi="Times New Roman"/>
        </w:rPr>
        <w:t>环评公众参与公告</w:t>
      </w:r>
      <w:r>
        <w:rPr>
          <w:rFonts w:ascii="Times New Roman" w:hAnsi="Times New Roman" w:hint="eastAsia"/>
        </w:rPr>
        <w:t>。张贴公告情况见图</w:t>
      </w:r>
      <w:r>
        <w:rPr>
          <w:rFonts w:ascii="Times New Roman" w:hAnsi="Times New Roman" w:hint="eastAsia"/>
        </w:rPr>
        <w:t>1</w:t>
      </w:r>
      <w:r>
        <w:rPr>
          <w:rFonts w:ascii="Times New Roman" w:hAnsi="Times New Roman"/>
        </w:rPr>
        <w:t>2.3</w:t>
      </w:r>
      <w:r>
        <w:rPr>
          <w:rFonts w:ascii="Times New Roman" w:hAnsi="Times New Roman" w:hint="eastAsia"/>
        </w:rPr>
        <w:t>-</w:t>
      </w:r>
      <w:r>
        <w:rPr>
          <w:rFonts w:ascii="Times New Roman" w:hAnsi="Times New Roman"/>
        </w:rPr>
        <w:t>3</w:t>
      </w:r>
      <w:r>
        <w:rPr>
          <w:rFonts w:ascii="Times New Roman" w:hAnsi="Times New Roman" w:hint="eastAsia"/>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8"/>
        <w:gridCol w:w="4658"/>
      </w:tblGrid>
      <w:tr w:rsidR="009C353B" w14:paraId="13DC9A2F" w14:textId="77777777">
        <w:trPr>
          <w:trHeight w:val="3030"/>
          <w:jc w:val="center"/>
        </w:trPr>
        <w:tc>
          <w:tcPr>
            <w:tcW w:w="4335" w:type="dxa"/>
            <w:vMerge w:val="restart"/>
            <w:shd w:val="clear" w:color="auto" w:fill="auto"/>
          </w:tcPr>
          <w:p w14:paraId="6C9B32CB" w14:textId="77777777" w:rsidR="009C353B" w:rsidRDefault="00000000">
            <w:pPr>
              <w:jc w:val="center"/>
              <w:rPr>
                <w:rFonts w:ascii="Times New Roman" w:hAnsi="Times New Roman"/>
                <w:b/>
                <w:bCs/>
                <w:szCs w:val="24"/>
              </w:rPr>
            </w:pPr>
            <w:r>
              <w:rPr>
                <w:noProof/>
              </w:rPr>
              <w:drawing>
                <wp:inline distT="0" distB="0" distL="0" distR="0" wp14:anchorId="5310BDF9" wp14:editId="4454E32E">
                  <wp:extent cx="2593340" cy="387604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a:xfrm>
                            <a:off x="0" y="0"/>
                            <a:ext cx="2593340" cy="3876040"/>
                          </a:xfrm>
                          <a:prstGeom prst="rect">
                            <a:avLst/>
                          </a:prstGeom>
                          <a:noFill/>
                          <a:ln>
                            <a:noFill/>
                          </a:ln>
                        </pic:spPr>
                      </pic:pic>
                    </a:graphicData>
                  </a:graphic>
                </wp:inline>
              </w:drawing>
            </w:r>
          </w:p>
        </w:tc>
        <w:tc>
          <w:tcPr>
            <w:tcW w:w="4266" w:type="dxa"/>
            <w:shd w:val="clear" w:color="auto" w:fill="auto"/>
          </w:tcPr>
          <w:p w14:paraId="18F89799" w14:textId="77777777" w:rsidR="009C353B" w:rsidRDefault="00000000">
            <w:pPr>
              <w:jc w:val="center"/>
              <w:rPr>
                <w:rFonts w:ascii="Times New Roman" w:hAnsi="Times New Roman"/>
                <w:b/>
                <w:bCs/>
                <w:szCs w:val="24"/>
              </w:rPr>
            </w:pPr>
            <w:r>
              <w:rPr>
                <w:noProof/>
              </w:rPr>
              <w:drawing>
                <wp:inline distT="0" distB="0" distL="0" distR="0" wp14:anchorId="079C40DE" wp14:editId="1071405F">
                  <wp:extent cx="2626995" cy="1924050"/>
                  <wp:effectExtent l="0" t="0" r="190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a:xfrm>
                            <a:off x="0" y="0"/>
                            <a:ext cx="2626995" cy="1924050"/>
                          </a:xfrm>
                          <a:prstGeom prst="rect">
                            <a:avLst/>
                          </a:prstGeom>
                          <a:noFill/>
                          <a:ln>
                            <a:noFill/>
                          </a:ln>
                        </pic:spPr>
                      </pic:pic>
                    </a:graphicData>
                  </a:graphic>
                </wp:inline>
              </w:drawing>
            </w:r>
          </w:p>
        </w:tc>
      </w:tr>
      <w:tr w:rsidR="009C353B" w14:paraId="1C9A5168" w14:textId="77777777">
        <w:trPr>
          <w:trHeight w:val="3029"/>
          <w:jc w:val="center"/>
        </w:trPr>
        <w:tc>
          <w:tcPr>
            <w:tcW w:w="4335" w:type="dxa"/>
            <w:vMerge/>
            <w:shd w:val="clear" w:color="auto" w:fill="auto"/>
          </w:tcPr>
          <w:p w14:paraId="1113A923" w14:textId="77777777" w:rsidR="009C353B" w:rsidRDefault="009C353B">
            <w:pPr>
              <w:jc w:val="center"/>
              <w:rPr>
                <w:rFonts w:ascii="Times New Roman" w:hAnsi="Times New Roman"/>
                <w:b/>
                <w:bCs/>
                <w:szCs w:val="24"/>
              </w:rPr>
            </w:pPr>
          </w:p>
        </w:tc>
        <w:tc>
          <w:tcPr>
            <w:tcW w:w="4266" w:type="dxa"/>
            <w:shd w:val="clear" w:color="auto" w:fill="auto"/>
          </w:tcPr>
          <w:p w14:paraId="3A4C4FB3" w14:textId="77777777" w:rsidR="009C353B" w:rsidRDefault="00000000">
            <w:pPr>
              <w:jc w:val="center"/>
              <w:rPr>
                <w:rFonts w:ascii="Times New Roman" w:hAnsi="Times New Roman"/>
                <w:b/>
                <w:bCs/>
                <w:szCs w:val="24"/>
              </w:rPr>
            </w:pPr>
            <w:r>
              <w:rPr>
                <w:noProof/>
              </w:rPr>
              <w:drawing>
                <wp:inline distT="0" distB="0" distL="0" distR="0" wp14:anchorId="63BF2712" wp14:editId="374ABDF9">
                  <wp:extent cx="2633980" cy="191071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93" cstate="print">
                            <a:extLst>
                              <a:ext uri="{28A0092B-C50C-407E-A947-70E740481C1C}">
                                <a14:useLocalDpi xmlns:a14="http://schemas.microsoft.com/office/drawing/2010/main" val="0"/>
                              </a:ext>
                            </a:extLst>
                          </a:blip>
                          <a:srcRect/>
                          <a:stretch>
                            <a:fillRect/>
                          </a:stretch>
                        </pic:blipFill>
                        <pic:spPr>
                          <a:xfrm>
                            <a:off x="0" y="0"/>
                            <a:ext cx="2633980" cy="1910715"/>
                          </a:xfrm>
                          <a:prstGeom prst="rect">
                            <a:avLst/>
                          </a:prstGeom>
                          <a:noFill/>
                          <a:ln>
                            <a:noFill/>
                          </a:ln>
                        </pic:spPr>
                      </pic:pic>
                    </a:graphicData>
                  </a:graphic>
                </wp:inline>
              </w:drawing>
            </w:r>
          </w:p>
        </w:tc>
      </w:tr>
    </w:tbl>
    <w:p w14:paraId="6731D247" w14:textId="77777777" w:rsidR="009C353B" w:rsidRDefault="00000000">
      <w:pPr>
        <w:jc w:val="center"/>
        <w:rPr>
          <w:rFonts w:ascii="Times New Roman" w:hAnsi="Times New Roman"/>
          <w:b/>
          <w:bCs/>
          <w:szCs w:val="24"/>
        </w:rPr>
      </w:pPr>
      <w:r>
        <w:rPr>
          <w:rFonts w:ascii="Times New Roman" w:hAnsi="Times New Roman"/>
          <w:b/>
          <w:bCs/>
          <w:szCs w:val="24"/>
        </w:rPr>
        <w:t>图</w:t>
      </w:r>
      <w:r>
        <w:rPr>
          <w:rFonts w:ascii="Times New Roman" w:hAnsi="Times New Roman"/>
          <w:b/>
          <w:bCs/>
          <w:szCs w:val="24"/>
        </w:rPr>
        <w:t xml:space="preserve">12.3-3 </w:t>
      </w:r>
      <w:r>
        <w:rPr>
          <w:rFonts w:ascii="Times New Roman" w:hAnsi="Times New Roman"/>
          <w:b/>
          <w:bCs/>
          <w:szCs w:val="24"/>
        </w:rPr>
        <w:t>第二次公众参与公示（</w:t>
      </w:r>
      <w:r>
        <w:rPr>
          <w:rFonts w:ascii="Times New Roman" w:hAnsi="Times New Roman" w:hint="eastAsia"/>
          <w:b/>
          <w:bCs/>
          <w:szCs w:val="24"/>
        </w:rPr>
        <w:t>张贴公告——宁东管委会</w:t>
      </w:r>
      <w:r>
        <w:rPr>
          <w:rFonts w:ascii="Times New Roman" w:hAnsi="Times New Roman"/>
          <w:b/>
          <w:bCs/>
          <w:szCs w:val="24"/>
        </w:rPr>
        <w:t>）</w:t>
      </w:r>
    </w:p>
    <w:p w14:paraId="7D5CE347" w14:textId="77777777" w:rsidR="009C353B" w:rsidRDefault="009C353B">
      <w:pPr>
        <w:adjustRightInd w:val="0"/>
        <w:snapToGrid w:val="0"/>
        <w:spacing w:line="440" w:lineRule="exact"/>
        <w:ind w:firstLine="482"/>
        <w:rPr>
          <w:rFonts w:ascii="Times New Roman" w:hAnsi="Times New Roman"/>
        </w:rPr>
      </w:pPr>
    </w:p>
    <w:p w14:paraId="6F8813CD"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w:t>
      </w:r>
      <w:r>
        <w:rPr>
          <w:rFonts w:ascii="Times New Roman" w:hAnsi="Times New Roman" w:hint="eastAsia"/>
        </w:rPr>
        <w:t>发放调查表</w:t>
      </w:r>
    </w:p>
    <w:p w14:paraId="526C86CC"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hint="eastAsia"/>
        </w:rPr>
        <w:t>横城矿区内无居民点及村庄，故对</w:t>
      </w:r>
      <w:r>
        <w:rPr>
          <w:rFonts w:ascii="Times New Roman" w:hAnsi="Times New Roman"/>
        </w:rPr>
        <w:t>关心本规划进展的</w:t>
      </w:r>
      <w:r>
        <w:rPr>
          <w:rFonts w:ascii="Times New Roman" w:hAnsi="Times New Roman" w:hint="eastAsia"/>
        </w:rPr>
        <w:t>各级政府部门</w:t>
      </w:r>
      <w:r>
        <w:rPr>
          <w:rFonts w:ascii="Times New Roman" w:hAnsi="Times New Roman"/>
        </w:rPr>
        <w:t>发放</w:t>
      </w:r>
      <w:r>
        <w:rPr>
          <w:rFonts w:ascii="Times New Roman" w:hAnsi="Times New Roman" w:hint="eastAsia"/>
        </w:rPr>
        <w:t>了</w:t>
      </w:r>
      <w:r>
        <w:rPr>
          <w:rFonts w:ascii="Times New Roman" w:hAnsi="Times New Roman"/>
        </w:rPr>
        <w:t>社会团体公众参与调查表。</w:t>
      </w:r>
    </w:p>
    <w:p w14:paraId="287C2C88"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2</w:t>
      </w:r>
      <w:r>
        <w:rPr>
          <w:rFonts w:ascii="Times New Roman" w:hAnsi="Times New Roman" w:hint="eastAsia"/>
          <w:sz w:val="24"/>
        </w:rPr>
        <w:t>.3</w:t>
      </w:r>
      <w:r>
        <w:rPr>
          <w:rFonts w:ascii="Times New Roman" w:hAnsi="Times New Roman"/>
          <w:sz w:val="24"/>
        </w:rPr>
        <w:t>.</w:t>
      </w:r>
      <w:r>
        <w:rPr>
          <w:rFonts w:ascii="Times New Roman" w:hAnsi="Times New Roman" w:hint="eastAsia"/>
          <w:sz w:val="24"/>
        </w:rPr>
        <w:t>3</w:t>
      </w:r>
      <w:r>
        <w:rPr>
          <w:rFonts w:ascii="Times New Roman" w:hAnsi="Times New Roman"/>
          <w:sz w:val="24"/>
        </w:rPr>
        <w:t xml:space="preserve"> </w:t>
      </w:r>
      <w:r>
        <w:rPr>
          <w:rFonts w:ascii="Times New Roman" w:hAnsi="Times New Roman" w:hint="eastAsia"/>
          <w:sz w:val="24"/>
        </w:rPr>
        <w:t>网站、报纸及张贴公告</w:t>
      </w:r>
      <w:r>
        <w:rPr>
          <w:rFonts w:ascii="Times New Roman" w:hAnsi="Times New Roman"/>
          <w:sz w:val="24"/>
        </w:rPr>
        <w:t>调查结果及处理意见</w:t>
      </w:r>
    </w:p>
    <w:p w14:paraId="3EC530E0"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）网上公示</w:t>
      </w:r>
    </w:p>
    <w:p w14:paraId="2DF0E88D"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截至</w:t>
      </w:r>
      <w:r>
        <w:rPr>
          <w:rFonts w:ascii="Times New Roman" w:hAnsi="Times New Roman"/>
          <w:szCs w:val="24"/>
        </w:rPr>
        <w:t>2020</w:t>
      </w:r>
      <w:r>
        <w:rPr>
          <w:rFonts w:ascii="Times New Roman" w:hAnsi="Times New Roman"/>
          <w:szCs w:val="24"/>
        </w:rPr>
        <w:t>年</w:t>
      </w:r>
      <w:r>
        <w:rPr>
          <w:rFonts w:ascii="Times New Roman" w:hAnsi="Times New Roman"/>
          <w:szCs w:val="24"/>
        </w:rPr>
        <w:t>9</w:t>
      </w:r>
      <w:r>
        <w:rPr>
          <w:rFonts w:ascii="Times New Roman" w:hAnsi="Times New Roman"/>
          <w:szCs w:val="24"/>
        </w:rPr>
        <w:t>月</w:t>
      </w:r>
      <w:r>
        <w:rPr>
          <w:rFonts w:ascii="Times New Roman" w:hAnsi="Times New Roman"/>
          <w:szCs w:val="24"/>
        </w:rPr>
        <w:t>21</w:t>
      </w:r>
      <w:r>
        <w:rPr>
          <w:rFonts w:ascii="Times New Roman" w:hAnsi="Times New Roman"/>
          <w:szCs w:val="24"/>
        </w:rPr>
        <w:t>日，公示满</w:t>
      </w:r>
      <w:r>
        <w:rPr>
          <w:rFonts w:ascii="Times New Roman" w:hAnsi="Times New Roman"/>
          <w:szCs w:val="24"/>
        </w:rPr>
        <w:t>10</w:t>
      </w:r>
      <w:r>
        <w:rPr>
          <w:rFonts w:ascii="Times New Roman" w:hAnsi="Times New Roman"/>
          <w:szCs w:val="24"/>
        </w:rPr>
        <w:t>个工作日，未收到群众意见。</w:t>
      </w:r>
    </w:p>
    <w:p w14:paraId="0E1647A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）报纸公示</w:t>
      </w:r>
    </w:p>
    <w:p w14:paraId="07C6E699"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截至</w:t>
      </w:r>
      <w:r>
        <w:rPr>
          <w:rFonts w:ascii="Times New Roman" w:hAnsi="Times New Roman"/>
          <w:szCs w:val="24"/>
        </w:rPr>
        <w:t>2020</w:t>
      </w:r>
      <w:r>
        <w:rPr>
          <w:rFonts w:ascii="Times New Roman" w:hAnsi="Times New Roman"/>
          <w:szCs w:val="24"/>
        </w:rPr>
        <w:t>年</w:t>
      </w:r>
      <w:r>
        <w:rPr>
          <w:rFonts w:ascii="Times New Roman" w:hAnsi="Times New Roman"/>
          <w:szCs w:val="24"/>
        </w:rPr>
        <w:t>9</w:t>
      </w:r>
      <w:r>
        <w:rPr>
          <w:rFonts w:ascii="Times New Roman" w:hAnsi="Times New Roman"/>
          <w:szCs w:val="24"/>
        </w:rPr>
        <w:t>月</w:t>
      </w:r>
      <w:r>
        <w:rPr>
          <w:rFonts w:ascii="Times New Roman" w:hAnsi="Times New Roman"/>
          <w:szCs w:val="24"/>
        </w:rPr>
        <w:t>21</w:t>
      </w:r>
      <w:r>
        <w:rPr>
          <w:rFonts w:ascii="Times New Roman" w:hAnsi="Times New Roman"/>
          <w:szCs w:val="24"/>
        </w:rPr>
        <w:t>日，公示满</w:t>
      </w:r>
      <w:r>
        <w:rPr>
          <w:rFonts w:ascii="Times New Roman" w:hAnsi="Times New Roman"/>
          <w:szCs w:val="24"/>
        </w:rPr>
        <w:t>10</w:t>
      </w:r>
      <w:r>
        <w:rPr>
          <w:rFonts w:ascii="Times New Roman" w:hAnsi="Times New Roman"/>
          <w:szCs w:val="24"/>
        </w:rPr>
        <w:t>个工作日，未收到群众意见。</w:t>
      </w:r>
    </w:p>
    <w:p w14:paraId="74893FC4"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）张贴公告</w:t>
      </w:r>
    </w:p>
    <w:p w14:paraId="50602748" w14:textId="77777777" w:rsidR="009C353B" w:rsidRDefault="00000000">
      <w:pPr>
        <w:adjustRightInd w:val="0"/>
        <w:snapToGrid w:val="0"/>
        <w:spacing w:line="440" w:lineRule="exact"/>
        <w:ind w:firstLineChars="200" w:firstLine="480"/>
        <w:rPr>
          <w:rFonts w:ascii="Times New Roman" w:hAnsi="Times New Roman"/>
          <w:szCs w:val="21"/>
        </w:rPr>
      </w:pPr>
      <w:r>
        <w:rPr>
          <w:rFonts w:ascii="Times New Roman" w:hAnsi="Times New Roman"/>
          <w:szCs w:val="24"/>
        </w:rPr>
        <w:t>截至</w:t>
      </w:r>
      <w:r>
        <w:rPr>
          <w:rFonts w:ascii="Times New Roman" w:hAnsi="Times New Roman"/>
          <w:szCs w:val="24"/>
        </w:rPr>
        <w:t>2020</w:t>
      </w:r>
      <w:r>
        <w:rPr>
          <w:rFonts w:ascii="Times New Roman" w:hAnsi="Times New Roman"/>
          <w:szCs w:val="24"/>
        </w:rPr>
        <w:t>年</w:t>
      </w:r>
      <w:r>
        <w:rPr>
          <w:rFonts w:ascii="Times New Roman" w:hAnsi="Times New Roman"/>
          <w:szCs w:val="24"/>
        </w:rPr>
        <w:t>9</w:t>
      </w:r>
      <w:r>
        <w:rPr>
          <w:rFonts w:ascii="Times New Roman" w:hAnsi="Times New Roman"/>
          <w:szCs w:val="24"/>
        </w:rPr>
        <w:t>月</w:t>
      </w:r>
      <w:r>
        <w:rPr>
          <w:rFonts w:ascii="Times New Roman" w:hAnsi="Times New Roman"/>
          <w:szCs w:val="24"/>
        </w:rPr>
        <w:t>21</w:t>
      </w:r>
      <w:r>
        <w:rPr>
          <w:rFonts w:ascii="Times New Roman" w:hAnsi="Times New Roman"/>
          <w:szCs w:val="24"/>
        </w:rPr>
        <w:t>日，公示满</w:t>
      </w:r>
      <w:r>
        <w:rPr>
          <w:rFonts w:ascii="Times New Roman" w:hAnsi="Times New Roman"/>
          <w:szCs w:val="24"/>
        </w:rPr>
        <w:t>10</w:t>
      </w:r>
      <w:r>
        <w:rPr>
          <w:rFonts w:ascii="Times New Roman" w:hAnsi="Times New Roman"/>
          <w:szCs w:val="24"/>
        </w:rPr>
        <w:t>个工作日，未收到群众意见。</w:t>
      </w:r>
    </w:p>
    <w:p w14:paraId="13CFD059"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2</w:t>
      </w:r>
      <w:r>
        <w:rPr>
          <w:rFonts w:ascii="Times New Roman" w:hAnsi="Times New Roman" w:hint="eastAsia"/>
          <w:sz w:val="24"/>
        </w:rPr>
        <w:t xml:space="preserve">.3.4 </w:t>
      </w:r>
      <w:r>
        <w:rPr>
          <w:rFonts w:ascii="Times New Roman" w:hAnsi="Times New Roman" w:hint="eastAsia"/>
          <w:sz w:val="24"/>
        </w:rPr>
        <w:t>问卷调查结果及处理意见</w:t>
      </w:r>
    </w:p>
    <w:p w14:paraId="26789BFC" w14:textId="77777777" w:rsidR="009C353B" w:rsidRDefault="00000000">
      <w:pPr>
        <w:pStyle w:val="4e"/>
        <w:adjustRightInd w:val="0"/>
        <w:snapToGrid w:val="0"/>
        <w:spacing w:before="0" w:after="0" w:line="440" w:lineRule="exact"/>
      </w:pPr>
      <w:r>
        <w:rPr>
          <w:rFonts w:hint="eastAsia"/>
        </w:rPr>
        <w:t>1</w:t>
      </w:r>
      <w:r>
        <w:t>2</w:t>
      </w:r>
      <w:r>
        <w:rPr>
          <w:rFonts w:hint="eastAsia"/>
        </w:rPr>
        <w:t>.3.4.1</w:t>
      </w:r>
      <w:r>
        <w:rPr>
          <w:rFonts w:hint="eastAsia"/>
        </w:rPr>
        <w:t>问卷调查范围及内容</w:t>
      </w:r>
    </w:p>
    <w:p w14:paraId="7C04C81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本次公众参与主要以规划</w:t>
      </w:r>
      <w:r>
        <w:rPr>
          <w:rFonts w:ascii="Times New Roman" w:hAnsi="Times New Roman" w:hint="eastAsia"/>
        </w:rPr>
        <w:t>所在地的政府相关部门为调查对象</w:t>
      </w:r>
      <w:r>
        <w:rPr>
          <w:rFonts w:ascii="Times New Roman" w:hAnsi="Times New Roman"/>
        </w:rPr>
        <w:t>。调查内容：首先向被寻访人员较详细介绍项目的基本情况，选择与公共关系最密切的问题为主要调查内容。公众参与调查表内容见表</w:t>
      </w:r>
      <w:r>
        <w:rPr>
          <w:rFonts w:ascii="Times New Roman" w:hAnsi="Times New Roman"/>
        </w:rPr>
        <w:t>12.3-1</w:t>
      </w:r>
      <w:r>
        <w:rPr>
          <w:rFonts w:ascii="Times New Roman" w:hAnsi="Times New Roman" w:hint="eastAsia"/>
        </w:rPr>
        <w:t>。</w:t>
      </w:r>
    </w:p>
    <w:p w14:paraId="5E7E223B"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hint="eastAsia"/>
          <w:szCs w:val="24"/>
        </w:rPr>
        <w:t>截止</w:t>
      </w:r>
      <w:r>
        <w:rPr>
          <w:rFonts w:ascii="Times New Roman" w:hAnsi="Times New Roman" w:hint="eastAsia"/>
          <w:szCs w:val="24"/>
        </w:rPr>
        <w:t>2</w:t>
      </w:r>
      <w:r>
        <w:rPr>
          <w:rFonts w:ascii="Times New Roman" w:hAnsi="Times New Roman"/>
          <w:szCs w:val="24"/>
        </w:rPr>
        <w:t>020</w:t>
      </w:r>
      <w:r>
        <w:rPr>
          <w:rFonts w:ascii="Times New Roman" w:hAnsi="Times New Roman" w:hint="eastAsia"/>
          <w:szCs w:val="24"/>
        </w:rPr>
        <w:t>年</w:t>
      </w:r>
      <w:r>
        <w:rPr>
          <w:rFonts w:ascii="Times New Roman" w:hAnsi="Times New Roman"/>
          <w:szCs w:val="24"/>
        </w:rPr>
        <w:t>9</w:t>
      </w:r>
      <w:r>
        <w:rPr>
          <w:rFonts w:ascii="Times New Roman" w:hAnsi="Times New Roman" w:hint="eastAsia"/>
          <w:szCs w:val="24"/>
        </w:rPr>
        <w:t>月</w:t>
      </w:r>
      <w:r>
        <w:rPr>
          <w:rFonts w:ascii="Times New Roman" w:hAnsi="Times New Roman"/>
          <w:szCs w:val="24"/>
        </w:rPr>
        <w:t>21</w:t>
      </w:r>
      <w:r>
        <w:rPr>
          <w:rFonts w:ascii="Times New Roman" w:hAnsi="Times New Roman" w:hint="eastAsia"/>
          <w:szCs w:val="24"/>
        </w:rPr>
        <w:t>日，公示满</w:t>
      </w:r>
      <w:r>
        <w:rPr>
          <w:rFonts w:ascii="Times New Roman" w:hAnsi="Times New Roman" w:hint="eastAsia"/>
          <w:szCs w:val="24"/>
        </w:rPr>
        <w:t>1</w:t>
      </w:r>
      <w:r>
        <w:rPr>
          <w:rFonts w:ascii="Times New Roman" w:hAnsi="Times New Roman"/>
          <w:szCs w:val="24"/>
        </w:rPr>
        <w:t>0</w:t>
      </w:r>
      <w:r>
        <w:rPr>
          <w:rFonts w:ascii="Times New Roman" w:hAnsi="Times New Roman" w:hint="eastAsia"/>
          <w:szCs w:val="24"/>
        </w:rPr>
        <w:t>个工作日，共发放和收回公众参与调查表</w:t>
      </w:r>
      <w:r>
        <w:rPr>
          <w:rFonts w:ascii="Times New Roman" w:hAnsi="Times New Roman" w:hint="eastAsia"/>
          <w:szCs w:val="24"/>
        </w:rPr>
        <w:t>1</w:t>
      </w:r>
      <w:r>
        <w:rPr>
          <w:rFonts w:ascii="Times New Roman" w:hAnsi="Times New Roman"/>
          <w:szCs w:val="24"/>
        </w:rPr>
        <w:t>5</w:t>
      </w:r>
      <w:r>
        <w:rPr>
          <w:rFonts w:ascii="Times New Roman" w:hAnsi="Times New Roman" w:hint="eastAsia"/>
          <w:szCs w:val="24"/>
        </w:rPr>
        <w:t>份，分别是：宁夏回族自治区生态环境厅、水利厅、自然资源厅、林业和草原局；灵武市发展和改革局、银川市生态环境局灵武分局、灵武市自然资源局、灵武市水利局（水政水资源站、河湖保护中心、水土保持站）、灵武市农业农村局、灵武市文化旅游广电局；宁夏回族自治区宁东能源化工基地管理委员会、宁夏回族自治区宁东能源化工基地管理委员会环境保护局；宁夏灵武白芨滩国家级自然保护区管理局。</w:t>
      </w:r>
    </w:p>
    <w:p w14:paraId="27F40AAD" w14:textId="77777777" w:rsidR="009C353B" w:rsidRDefault="009C353B">
      <w:pPr>
        <w:adjustRightInd w:val="0"/>
        <w:snapToGrid w:val="0"/>
        <w:spacing w:line="440" w:lineRule="exact"/>
        <w:ind w:firstLine="482"/>
        <w:rPr>
          <w:rFonts w:ascii="Times New Roman" w:hAnsi="Times New Roman"/>
        </w:rPr>
      </w:pPr>
    </w:p>
    <w:p w14:paraId="584A4F23" w14:textId="77777777" w:rsidR="009C353B" w:rsidRDefault="009C353B">
      <w:pPr>
        <w:adjustRightInd w:val="0"/>
        <w:snapToGrid w:val="0"/>
        <w:spacing w:line="440" w:lineRule="exact"/>
        <w:ind w:firstLine="482"/>
        <w:rPr>
          <w:rFonts w:ascii="Times New Roman" w:hAnsi="Times New Roman"/>
        </w:rPr>
      </w:pPr>
    </w:p>
    <w:p w14:paraId="35CAC5B6" w14:textId="77777777" w:rsidR="009C353B" w:rsidRDefault="009C353B">
      <w:pPr>
        <w:adjustRightInd w:val="0"/>
        <w:snapToGrid w:val="0"/>
        <w:spacing w:line="440" w:lineRule="exact"/>
        <w:ind w:firstLine="482"/>
        <w:rPr>
          <w:rFonts w:ascii="Times New Roman" w:hAnsi="Times New Roman"/>
        </w:rPr>
      </w:pPr>
    </w:p>
    <w:p w14:paraId="3F0FA258" w14:textId="77777777" w:rsidR="009C353B" w:rsidRDefault="009C353B">
      <w:pPr>
        <w:adjustRightInd w:val="0"/>
        <w:snapToGrid w:val="0"/>
        <w:spacing w:line="440" w:lineRule="exact"/>
        <w:ind w:firstLine="482"/>
        <w:rPr>
          <w:rFonts w:ascii="Times New Roman" w:hAnsi="Times New Roman"/>
        </w:rPr>
      </w:pPr>
    </w:p>
    <w:p w14:paraId="55D3F1E5" w14:textId="77777777" w:rsidR="009C353B" w:rsidRDefault="009C353B">
      <w:pPr>
        <w:adjustRightInd w:val="0"/>
        <w:snapToGrid w:val="0"/>
        <w:spacing w:line="440" w:lineRule="exact"/>
        <w:ind w:firstLine="482"/>
        <w:rPr>
          <w:rFonts w:ascii="Times New Roman" w:hAnsi="Times New Roman"/>
        </w:rPr>
      </w:pPr>
    </w:p>
    <w:p w14:paraId="3EF3B58F" w14:textId="77777777" w:rsidR="009C353B" w:rsidRDefault="009C353B">
      <w:pPr>
        <w:adjustRightInd w:val="0"/>
        <w:snapToGrid w:val="0"/>
        <w:spacing w:line="440" w:lineRule="exact"/>
        <w:ind w:firstLine="482"/>
        <w:rPr>
          <w:rFonts w:ascii="Times New Roman" w:hAnsi="Times New Roman"/>
        </w:rPr>
      </w:pPr>
    </w:p>
    <w:p w14:paraId="268900D9" w14:textId="77777777" w:rsidR="009C353B" w:rsidRDefault="009C353B">
      <w:pPr>
        <w:adjustRightInd w:val="0"/>
        <w:snapToGrid w:val="0"/>
        <w:spacing w:line="440" w:lineRule="exact"/>
        <w:ind w:firstLine="482"/>
        <w:rPr>
          <w:rFonts w:ascii="Times New Roman" w:hAnsi="Times New Roman"/>
        </w:rPr>
      </w:pPr>
    </w:p>
    <w:p w14:paraId="70F24CC3" w14:textId="77777777" w:rsidR="009C353B" w:rsidRDefault="009C353B">
      <w:pPr>
        <w:adjustRightInd w:val="0"/>
        <w:snapToGrid w:val="0"/>
        <w:spacing w:line="440" w:lineRule="exact"/>
        <w:ind w:firstLine="482"/>
        <w:rPr>
          <w:rFonts w:ascii="Times New Roman" w:hAnsi="Times New Roman"/>
        </w:rPr>
      </w:pPr>
    </w:p>
    <w:p w14:paraId="1A77BD11" w14:textId="77777777" w:rsidR="009C353B" w:rsidRDefault="009C353B">
      <w:pPr>
        <w:adjustRightInd w:val="0"/>
        <w:snapToGrid w:val="0"/>
        <w:spacing w:line="440" w:lineRule="exact"/>
        <w:ind w:firstLine="482"/>
        <w:rPr>
          <w:rFonts w:ascii="Times New Roman" w:hAnsi="Times New Roman"/>
        </w:rPr>
      </w:pPr>
    </w:p>
    <w:p w14:paraId="7E9D0220" w14:textId="77777777" w:rsidR="009C353B" w:rsidRDefault="009C353B">
      <w:pPr>
        <w:adjustRightInd w:val="0"/>
        <w:snapToGrid w:val="0"/>
        <w:spacing w:line="440" w:lineRule="exact"/>
        <w:ind w:firstLine="482"/>
        <w:rPr>
          <w:rFonts w:ascii="Times New Roman" w:hAnsi="Times New Roman"/>
        </w:rPr>
      </w:pPr>
    </w:p>
    <w:p w14:paraId="6867745E" w14:textId="77777777" w:rsidR="009C353B" w:rsidRDefault="009C353B">
      <w:pPr>
        <w:adjustRightInd w:val="0"/>
        <w:snapToGrid w:val="0"/>
        <w:spacing w:line="440" w:lineRule="exact"/>
        <w:ind w:firstLine="482"/>
        <w:rPr>
          <w:rFonts w:ascii="Times New Roman" w:hAnsi="Times New Roman"/>
        </w:rPr>
      </w:pPr>
    </w:p>
    <w:p w14:paraId="63E825F8" w14:textId="77777777" w:rsidR="009C353B" w:rsidRDefault="009C353B">
      <w:pPr>
        <w:adjustRightInd w:val="0"/>
        <w:snapToGrid w:val="0"/>
        <w:spacing w:line="440" w:lineRule="exact"/>
        <w:ind w:firstLine="482"/>
        <w:rPr>
          <w:rFonts w:ascii="Times New Roman" w:hAnsi="Times New Roman"/>
        </w:rPr>
      </w:pPr>
    </w:p>
    <w:p w14:paraId="5C05838B" w14:textId="77777777" w:rsidR="009C353B" w:rsidRDefault="009C353B">
      <w:pPr>
        <w:adjustRightInd w:val="0"/>
        <w:snapToGrid w:val="0"/>
        <w:spacing w:line="440" w:lineRule="exact"/>
        <w:ind w:firstLine="482"/>
        <w:rPr>
          <w:rFonts w:ascii="Times New Roman" w:hAnsi="Times New Roman"/>
        </w:rPr>
      </w:pPr>
    </w:p>
    <w:p w14:paraId="5A944D47" w14:textId="77777777" w:rsidR="009C353B" w:rsidRDefault="009C353B">
      <w:pPr>
        <w:adjustRightInd w:val="0"/>
        <w:snapToGrid w:val="0"/>
        <w:spacing w:line="440" w:lineRule="exact"/>
        <w:ind w:firstLine="482"/>
        <w:rPr>
          <w:rFonts w:ascii="Times New Roman" w:hAnsi="Times New Roman"/>
        </w:rPr>
      </w:pPr>
    </w:p>
    <w:p w14:paraId="06657836" w14:textId="77777777" w:rsidR="009C353B" w:rsidRDefault="009C353B">
      <w:pPr>
        <w:adjustRightInd w:val="0"/>
        <w:snapToGrid w:val="0"/>
        <w:spacing w:line="440" w:lineRule="exact"/>
        <w:ind w:firstLine="482"/>
        <w:rPr>
          <w:rFonts w:ascii="Times New Roman" w:hAnsi="Times New Roman"/>
        </w:rPr>
      </w:pPr>
    </w:p>
    <w:p w14:paraId="7DC153CE" w14:textId="77777777" w:rsidR="009C353B" w:rsidRDefault="009C353B">
      <w:pPr>
        <w:adjustRightInd w:val="0"/>
        <w:snapToGrid w:val="0"/>
        <w:spacing w:line="440" w:lineRule="exact"/>
        <w:ind w:firstLine="482"/>
        <w:rPr>
          <w:rFonts w:ascii="Times New Roman" w:hAnsi="Times New Roman"/>
        </w:rPr>
      </w:pPr>
    </w:p>
    <w:p w14:paraId="7CB8FBC5" w14:textId="77777777" w:rsidR="009C353B" w:rsidRDefault="009C353B">
      <w:pPr>
        <w:adjustRightInd w:val="0"/>
        <w:snapToGrid w:val="0"/>
        <w:spacing w:line="440" w:lineRule="exact"/>
        <w:ind w:firstLine="482"/>
        <w:rPr>
          <w:rFonts w:ascii="Times New Roman" w:hAnsi="Times New Roman"/>
        </w:rPr>
      </w:pPr>
    </w:p>
    <w:p w14:paraId="5F9FB12C" w14:textId="77777777" w:rsidR="009C353B" w:rsidRDefault="009C353B">
      <w:pPr>
        <w:adjustRightInd w:val="0"/>
        <w:snapToGrid w:val="0"/>
        <w:spacing w:line="440" w:lineRule="exact"/>
        <w:ind w:firstLine="482"/>
        <w:rPr>
          <w:rFonts w:ascii="Times New Roman" w:hAnsi="Times New Roman"/>
        </w:rPr>
      </w:pPr>
    </w:p>
    <w:p w14:paraId="0C5CC186" w14:textId="77777777" w:rsidR="009C353B" w:rsidRDefault="009C353B">
      <w:pPr>
        <w:adjustRightInd w:val="0"/>
        <w:snapToGrid w:val="0"/>
        <w:spacing w:line="440" w:lineRule="exact"/>
        <w:ind w:firstLine="482"/>
        <w:rPr>
          <w:rFonts w:ascii="Times New Roman" w:hAnsi="Times New Roman"/>
        </w:rPr>
      </w:pPr>
    </w:p>
    <w:p w14:paraId="5D78F1AB" w14:textId="77777777" w:rsidR="009C353B" w:rsidRDefault="009C353B">
      <w:pPr>
        <w:adjustRightInd w:val="0"/>
        <w:snapToGrid w:val="0"/>
        <w:spacing w:line="440" w:lineRule="exact"/>
        <w:ind w:firstLine="482"/>
        <w:rPr>
          <w:rFonts w:ascii="Times New Roman" w:hAnsi="Times New Roman"/>
        </w:rPr>
      </w:pPr>
    </w:p>
    <w:p w14:paraId="03DC0B9C" w14:textId="77777777" w:rsidR="009C353B" w:rsidRDefault="009C353B">
      <w:pPr>
        <w:adjustRightInd w:val="0"/>
        <w:snapToGrid w:val="0"/>
        <w:spacing w:line="440" w:lineRule="exact"/>
        <w:ind w:firstLine="482"/>
        <w:rPr>
          <w:rFonts w:ascii="Times New Roman" w:hAnsi="Times New Roman"/>
        </w:rPr>
      </w:pPr>
    </w:p>
    <w:p w14:paraId="2BB61506" w14:textId="77777777" w:rsidR="009C353B" w:rsidRDefault="009C353B">
      <w:pPr>
        <w:adjustRightInd w:val="0"/>
        <w:snapToGrid w:val="0"/>
        <w:spacing w:line="440" w:lineRule="exact"/>
        <w:ind w:firstLine="482"/>
        <w:rPr>
          <w:rFonts w:ascii="Times New Roman" w:hAnsi="Times New Roman"/>
        </w:rPr>
      </w:pPr>
    </w:p>
    <w:p w14:paraId="0351473F" w14:textId="77777777" w:rsidR="009C353B" w:rsidRDefault="00000000">
      <w:pPr>
        <w:adjustRightInd w:val="0"/>
        <w:snapToGrid w:val="0"/>
        <w:jc w:val="center"/>
        <w:rPr>
          <w:rFonts w:hint="eastAsia"/>
          <w:b/>
          <w:bCs/>
          <w:szCs w:val="24"/>
        </w:rPr>
      </w:pPr>
      <w:r>
        <w:rPr>
          <w:rFonts w:hint="eastAsia"/>
          <w:b/>
          <w:bCs/>
          <w:szCs w:val="24"/>
        </w:rPr>
        <w:t>横城矿区</w:t>
      </w:r>
      <w:r>
        <w:rPr>
          <w:b/>
          <w:bCs/>
          <w:szCs w:val="24"/>
        </w:rPr>
        <w:t>总体规划</w:t>
      </w:r>
      <w:r>
        <w:rPr>
          <w:rFonts w:hint="eastAsia"/>
          <w:b/>
          <w:bCs/>
          <w:szCs w:val="24"/>
        </w:rPr>
        <w:t>（修编）</w:t>
      </w:r>
      <w:r>
        <w:rPr>
          <w:b/>
          <w:bCs/>
          <w:szCs w:val="24"/>
        </w:rPr>
        <w:t>环境影响评价公众参与调查表</w:t>
      </w:r>
    </w:p>
    <w:p w14:paraId="6026FAFA" w14:textId="77777777" w:rsidR="009C353B" w:rsidRDefault="00000000">
      <w:pPr>
        <w:adjustRightInd w:val="0"/>
        <w:snapToGrid w:val="0"/>
        <w:rPr>
          <w:rFonts w:ascii="Times New Roman" w:hAnsi="Times New Roman"/>
          <w:b/>
          <w:bCs/>
          <w:szCs w:val="24"/>
        </w:rPr>
      </w:pPr>
      <w:r>
        <w:rPr>
          <w:rFonts w:ascii="Times New Roman" w:hAnsi="Times New Roman"/>
          <w:b/>
          <w:bCs/>
          <w:szCs w:val="24"/>
        </w:rPr>
        <w:t>表</w:t>
      </w:r>
      <w:r>
        <w:rPr>
          <w:rFonts w:ascii="Times New Roman" w:hAnsi="Times New Roman"/>
          <w:b/>
          <w:bCs/>
          <w:szCs w:val="24"/>
        </w:rPr>
        <w:t>12.3-1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4283"/>
        <w:gridCol w:w="3741"/>
        <w:gridCol w:w="8"/>
      </w:tblGrid>
      <w:tr w:rsidR="009C353B" w14:paraId="4A3E9824" w14:textId="77777777">
        <w:trPr>
          <w:gridAfter w:val="1"/>
          <w:wAfter w:w="8" w:type="dxa"/>
          <w:trHeight w:val="617"/>
          <w:jc w:val="center"/>
        </w:trPr>
        <w:tc>
          <w:tcPr>
            <w:tcW w:w="5245" w:type="dxa"/>
            <w:gridSpan w:val="2"/>
            <w:vAlign w:val="center"/>
          </w:tcPr>
          <w:p w14:paraId="5277206A" w14:textId="77777777" w:rsidR="009C353B" w:rsidRDefault="00000000">
            <w:pPr>
              <w:pStyle w:val="1f0"/>
              <w:spacing w:after="120" w:line="240" w:lineRule="atLeast"/>
              <w:ind w:firstLine="0"/>
              <w:rPr>
                <w:rFonts w:ascii="Times New Roman" w:eastAsia="宋体" w:hAnsi="Times New Roman"/>
                <w:sz w:val="21"/>
                <w:szCs w:val="21"/>
              </w:rPr>
            </w:pPr>
            <w:r>
              <w:rPr>
                <w:rFonts w:ascii="Times New Roman" w:eastAsia="宋体" w:hAnsi="Times New Roman"/>
                <w:sz w:val="21"/>
                <w:szCs w:val="21"/>
              </w:rPr>
              <w:t>单位名称：</w:t>
            </w:r>
          </w:p>
        </w:tc>
        <w:tc>
          <w:tcPr>
            <w:tcW w:w="3544" w:type="dxa"/>
            <w:vAlign w:val="center"/>
          </w:tcPr>
          <w:p w14:paraId="3F2359F3" w14:textId="77777777" w:rsidR="009C353B" w:rsidRDefault="00000000">
            <w:pPr>
              <w:pStyle w:val="1f0"/>
              <w:spacing w:after="120" w:line="240" w:lineRule="atLeast"/>
              <w:ind w:firstLine="0"/>
              <w:rPr>
                <w:rFonts w:ascii="Times New Roman" w:eastAsia="宋体" w:hAnsi="Times New Roman"/>
                <w:sz w:val="21"/>
                <w:szCs w:val="21"/>
              </w:rPr>
            </w:pPr>
            <w:r>
              <w:rPr>
                <w:rFonts w:ascii="Times New Roman" w:eastAsia="宋体" w:hAnsi="Times New Roman"/>
                <w:sz w:val="21"/>
                <w:szCs w:val="21"/>
              </w:rPr>
              <w:t>联系人姓名：</w:t>
            </w:r>
          </w:p>
        </w:tc>
      </w:tr>
      <w:tr w:rsidR="009C353B" w14:paraId="21DF968D" w14:textId="77777777">
        <w:trPr>
          <w:gridAfter w:val="1"/>
          <w:wAfter w:w="8" w:type="dxa"/>
          <w:trHeight w:val="687"/>
          <w:jc w:val="center"/>
        </w:trPr>
        <w:tc>
          <w:tcPr>
            <w:tcW w:w="5245" w:type="dxa"/>
            <w:gridSpan w:val="2"/>
            <w:vAlign w:val="center"/>
          </w:tcPr>
          <w:p w14:paraId="5E5F8740" w14:textId="77777777" w:rsidR="009C353B" w:rsidRDefault="00000000">
            <w:pPr>
              <w:pStyle w:val="1f0"/>
              <w:spacing w:after="120" w:line="240" w:lineRule="atLeast"/>
              <w:ind w:firstLine="0"/>
              <w:rPr>
                <w:rFonts w:ascii="Times New Roman" w:eastAsia="宋体" w:hAnsi="Times New Roman"/>
                <w:sz w:val="21"/>
                <w:szCs w:val="21"/>
              </w:rPr>
            </w:pPr>
            <w:r>
              <w:rPr>
                <w:rFonts w:ascii="Times New Roman" w:eastAsia="宋体" w:hAnsi="Times New Roman"/>
                <w:sz w:val="21"/>
                <w:szCs w:val="21"/>
              </w:rPr>
              <w:t>单位地址：</w:t>
            </w:r>
          </w:p>
        </w:tc>
        <w:tc>
          <w:tcPr>
            <w:tcW w:w="3544" w:type="dxa"/>
            <w:vAlign w:val="center"/>
          </w:tcPr>
          <w:p w14:paraId="11D48ADA" w14:textId="77777777" w:rsidR="009C353B" w:rsidRDefault="00000000">
            <w:pPr>
              <w:pStyle w:val="1f0"/>
              <w:spacing w:after="120" w:line="240" w:lineRule="atLeast"/>
              <w:ind w:firstLine="0"/>
              <w:rPr>
                <w:rFonts w:ascii="Times New Roman" w:eastAsia="宋体" w:hAnsi="Times New Roman"/>
                <w:sz w:val="21"/>
                <w:szCs w:val="21"/>
              </w:rPr>
            </w:pPr>
            <w:r>
              <w:rPr>
                <w:rFonts w:ascii="Times New Roman" w:eastAsia="宋体" w:hAnsi="Times New Roman"/>
                <w:sz w:val="21"/>
                <w:szCs w:val="21"/>
              </w:rPr>
              <w:t>联系电话：</w:t>
            </w:r>
          </w:p>
        </w:tc>
      </w:tr>
      <w:tr w:rsidR="009C353B" w14:paraId="4F8736DE" w14:textId="77777777">
        <w:trPr>
          <w:gridAfter w:val="1"/>
          <w:wAfter w:w="8" w:type="dxa"/>
          <w:trHeight w:val="2020"/>
          <w:jc w:val="center"/>
        </w:trPr>
        <w:tc>
          <w:tcPr>
            <w:tcW w:w="1188" w:type="dxa"/>
            <w:vAlign w:val="center"/>
          </w:tcPr>
          <w:p w14:paraId="199F7265" w14:textId="77777777" w:rsidR="009C353B" w:rsidRDefault="00000000">
            <w:pPr>
              <w:spacing w:line="240" w:lineRule="atLeast"/>
              <w:jc w:val="center"/>
              <w:textAlignment w:val="baseline"/>
              <w:rPr>
                <w:rFonts w:ascii="Times New Roman" w:hAnsi="Times New Roman"/>
                <w:kern w:val="0"/>
                <w:sz w:val="21"/>
                <w:szCs w:val="21"/>
              </w:rPr>
            </w:pPr>
            <w:r>
              <w:rPr>
                <w:rFonts w:ascii="Times New Roman" w:hAnsi="Times New Roman"/>
                <w:kern w:val="0"/>
                <w:sz w:val="21"/>
                <w:szCs w:val="21"/>
              </w:rPr>
              <w:t>矿区</w:t>
            </w:r>
          </w:p>
          <w:p w14:paraId="14F457FF" w14:textId="77777777" w:rsidR="009C353B" w:rsidRDefault="00000000">
            <w:pPr>
              <w:spacing w:line="240" w:lineRule="atLeast"/>
              <w:jc w:val="center"/>
              <w:textAlignment w:val="baseline"/>
              <w:rPr>
                <w:rFonts w:ascii="Times New Roman" w:hAnsi="Times New Roman"/>
                <w:kern w:val="0"/>
                <w:sz w:val="21"/>
                <w:szCs w:val="21"/>
              </w:rPr>
            </w:pPr>
            <w:r>
              <w:rPr>
                <w:rFonts w:ascii="Times New Roman" w:hAnsi="Times New Roman"/>
                <w:kern w:val="0"/>
                <w:sz w:val="21"/>
                <w:szCs w:val="21"/>
              </w:rPr>
              <w:t>概况</w:t>
            </w:r>
          </w:p>
        </w:tc>
        <w:tc>
          <w:tcPr>
            <w:tcW w:w="7601" w:type="dxa"/>
            <w:gridSpan w:val="2"/>
            <w:vAlign w:val="center"/>
          </w:tcPr>
          <w:p w14:paraId="7CE09A2A" w14:textId="77777777" w:rsidR="009C353B" w:rsidRDefault="00000000">
            <w:pPr>
              <w:spacing w:line="240" w:lineRule="atLeast"/>
              <w:textAlignment w:val="baseline"/>
              <w:rPr>
                <w:rFonts w:ascii="Times New Roman" w:hAnsi="Times New Roman"/>
                <w:sz w:val="21"/>
                <w:szCs w:val="21"/>
              </w:rPr>
            </w:pPr>
            <w:r>
              <w:rPr>
                <w:rFonts w:ascii="Times New Roman" w:hAnsi="Times New Roman"/>
                <w:kern w:val="0"/>
                <w:sz w:val="21"/>
                <w:szCs w:val="21"/>
              </w:rPr>
              <w:t>本次规划横城矿区的范围为：由马莲台、红石湾</w:t>
            </w:r>
            <w:r>
              <w:rPr>
                <w:rFonts w:ascii="Times New Roman" w:hAnsi="Times New Roman"/>
                <w:kern w:val="0"/>
                <w:sz w:val="21"/>
                <w:szCs w:val="21"/>
              </w:rPr>
              <w:t>-</w:t>
            </w:r>
            <w:r>
              <w:rPr>
                <w:rFonts w:ascii="Times New Roman" w:hAnsi="Times New Roman"/>
                <w:kern w:val="0"/>
                <w:sz w:val="21"/>
                <w:szCs w:val="21"/>
              </w:rPr>
              <w:t>任家庄</w:t>
            </w:r>
            <w:r>
              <w:rPr>
                <w:rFonts w:ascii="Times New Roman" w:hAnsi="Times New Roman"/>
                <w:kern w:val="0"/>
                <w:sz w:val="21"/>
                <w:szCs w:val="21"/>
              </w:rPr>
              <w:t>-</w:t>
            </w:r>
            <w:r>
              <w:rPr>
                <w:rFonts w:ascii="Times New Roman" w:hAnsi="Times New Roman"/>
                <w:kern w:val="0"/>
                <w:sz w:val="21"/>
                <w:szCs w:val="21"/>
              </w:rPr>
              <w:t>丁家梁（含甜水河勘查区）两个独立勘探块段组成，北以古长城为界，东以煤层底板标高</w:t>
            </w:r>
            <w:r>
              <w:rPr>
                <w:rFonts w:ascii="Times New Roman" w:hAnsi="Times New Roman"/>
                <w:kern w:val="0"/>
                <w:sz w:val="21"/>
                <w:szCs w:val="21"/>
              </w:rPr>
              <w:t>±0m</w:t>
            </w:r>
            <w:r>
              <w:rPr>
                <w:rFonts w:ascii="Times New Roman" w:hAnsi="Times New Roman"/>
                <w:kern w:val="0"/>
                <w:sz w:val="21"/>
                <w:szCs w:val="21"/>
              </w:rPr>
              <w:t>为界，南以宁夏灵武白芨滩国家级自然保护区为界，西以煤层隐伏露头和宁夏灵武白芨滩国家级自然保护区为界。修编后横城矿区东西宽</w:t>
            </w:r>
            <w:r>
              <w:rPr>
                <w:rFonts w:ascii="Times New Roman" w:hAnsi="Times New Roman"/>
                <w:kern w:val="0"/>
                <w:sz w:val="21"/>
                <w:szCs w:val="21"/>
              </w:rPr>
              <w:t>1.8</w:t>
            </w:r>
            <w:r>
              <w:rPr>
                <w:rFonts w:ascii="Times New Roman" w:hAnsi="Times New Roman"/>
                <w:kern w:val="0"/>
                <w:sz w:val="21"/>
                <w:szCs w:val="21"/>
              </w:rPr>
              <w:t>～</w:t>
            </w:r>
            <w:r>
              <w:rPr>
                <w:rFonts w:ascii="Times New Roman" w:hAnsi="Times New Roman"/>
                <w:kern w:val="0"/>
                <w:sz w:val="21"/>
                <w:szCs w:val="21"/>
              </w:rPr>
              <w:t>13.0km</w:t>
            </w:r>
            <w:r>
              <w:rPr>
                <w:rFonts w:ascii="Times New Roman" w:hAnsi="Times New Roman"/>
                <w:kern w:val="0"/>
                <w:sz w:val="21"/>
                <w:szCs w:val="21"/>
              </w:rPr>
              <w:t>，南北长</w:t>
            </w:r>
            <w:r>
              <w:rPr>
                <w:rFonts w:ascii="Times New Roman" w:hAnsi="Times New Roman"/>
                <w:kern w:val="0"/>
                <w:sz w:val="21"/>
                <w:szCs w:val="21"/>
              </w:rPr>
              <w:t>3.9</w:t>
            </w:r>
            <w:r>
              <w:rPr>
                <w:rFonts w:ascii="Times New Roman" w:hAnsi="Times New Roman"/>
                <w:kern w:val="0"/>
                <w:sz w:val="21"/>
                <w:szCs w:val="21"/>
              </w:rPr>
              <w:t>～</w:t>
            </w:r>
            <w:r>
              <w:rPr>
                <w:rFonts w:ascii="Times New Roman" w:hAnsi="Times New Roman"/>
                <w:kern w:val="0"/>
                <w:sz w:val="21"/>
                <w:szCs w:val="21"/>
              </w:rPr>
              <w:t>17.5km</w:t>
            </w:r>
            <w:r>
              <w:rPr>
                <w:rFonts w:ascii="Times New Roman" w:hAnsi="Times New Roman"/>
                <w:kern w:val="0"/>
                <w:sz w:val="21"/>
                <w:szCs w:val="21"/>
              </w:rPr>
              <w:t>，总面积约</w:t>
            </w:r>
            <w:r>
              <w:rPr>
                <w:rFonts w:ascii="Times New Roman" w:hAnsi="Times New Roman"/>
                <w:kern w:val="0"/>
                <w:sz w:val="21"/>
                <w:szCs w:val="21"/>
              </w:rPr>
              <w:t>86km</w:t>
            </w:r>
            <w:r>
              <w:rPr>
                <w:rFonts w:ascii="Times New Roman" w:hAnsi="Times New Roman"/>
                <w:kern w:val="0"/>
                <w:sz w:val="21"/>
                <w:szCs w:val="21"/>
                <w:vertAlign w:val="superscript"/>
              </w:rPr>
              <w:t>2</w:t>
            </w:r>
            <w:r>
              <w:rPr>
                <w:rFonts w:ascii="Times New Roman" w:hAnsi="Times New Roman"/>
                <w:kern w:val="0"/>
                <w:sz w:val="21"/>
                <w:szCs w:val="21"/>
              </w:rPr>
              <w:t>。矿区划分为</w:t>
            </w:r>
            <w:r>
              <w:rPr>
                <w:rFonts w:ascii="Times New Roman" w:hAnsi="Times New Roman"/>
                <w:kern w:val="0"/>
                <w:sz w:val="21"/>
                <w:szCs w:val="21"/>
              </w:rPr>
              <w:t>4</w:t>
            </w:r>
            <w:r>
              <w:rPr>
                <w:rFonts w:ascii="Times New Roman" w:hAnsi="Times New Roman"/>
                <w:kern w:val="0"/>
                <w:sz w:val="21"/>
                <w:szCs w:val="21"/>
              </w:rPr>
              <w:t>个井田，总规模</w:t>
            </w:r>
            <w:r>
              <w:rPr>
                <w:rFonts w:ascii="Times New Roman" w:hAnsi="Times New Roman"/>
                <w:kern w:val="0"/>
                <w:sz w:val="21"/>
                <w:szCs w:val="21"/>
              </w:rPr>
              <w:t>9.20Mt/a</w:t>
            </w:r>
            <w:r>
              <w:rPr>
                <w:rFonts w:ascii="Times New Roman" w:hAnsi="Times New Roman"/>
                <w:kern w:val="0"/>
                <w:sz w:val="21"/>
                <w:szCs w:val="21"/>
              </w:rPr>
              <w:t>，分别为马莲台</w:t>
            </w:r>
            <w:r>
              <w:rPr>
                <w:rFonts w:ascii="Times New Roman" w:hAnsi="Times New Roman"/>
                <w:kern w:val="0"/>
                <w:sz w:val="21"/>
                <w:szCs w:val="21"/>
              </w:rPr>
              <w:t>3.6Mt/a</w:t>
            </w:r>
            <w:r>
              <w:rPr>
                <w:rFonts w:ascii="Times New Roman" w:hAnsi="Times New Roman"/>
                <w:kern w:val="0"/>
                <w:sz w:val="21"/>
                <w:szCs w:val="21"/>
              </w:rPr>
              <w:t>、任家庄</w:t>
            </w:r>
            <w:r>
              <w:rPr>
                <w:rFonts w:ascii="Times New Roman" w:hAnsi="Times New Roman"/>
                <w:kern w:val="0"/>
                <w:sz w:val="21"/>
                <w:szCs w:val="21"/>
              </w:rPr>
              <w:t>3.6Mt/a</w:t>
            </w:r>
            <w:r>
              <w:rPr>
                <w:rFonts w:ascii="Times New Roman" w:hAnsi="Times New Roman"/>
                <w:kern w:val="0"/>
                <w:sz w:val="21"/>
                <w:szCs w:val="21"/>
              </w:rPr>
              <w:t>、红石湾</w:t>
            </w:r>
            <w:r>
              <w:rPr>
                <w:rFonts w:ascii="Times New Roman" w:hAnsi="Times New Roman"/>
                <w:kern w:val="0"/>
                <w:sz w:val="21"/>
                <w:szCs w:val="21"/>
              </w:rPr>
              <w:t>1.1Mt/a</w:t>
            </w:r>
            <w:r>
              <w:rPr>
                <w:rFonts w:ascii="Times New Roman" w:hAnsi="Times New Roman"/>
                <w:kern w:val="0"/>
                <w:sz w:val="21"/>
                <w:szCs w:val="21"/>
              </w:rPr>
              <w:t>、丁家梁</w:t>
            </w:r>
            <w:r>
              <w:rPr>
                <w:rFonts w:ascii="Times New Roman" w:hAnsi="Times New Roman"/>
                <w:kern w:val="0"/>
                <w:sz w:val="21"/>
                <w:szCs w:val="21"/>
              </w:rPr>
              <w:t>0.9Mt/a</w:t>
            </w:r>
            <w:r>
              <w:rPr>
                <w:rFonts w:ascii="Times New Roman" w:hAnsi="Times New Roman"/>
                <w:kern w:val="0"/>
                <w:sz w:val="21"/>
                <w:szCs w:val="21"/>
              </w:rPr>
              <w:t>。矿区生产的煤炭基本就地转化，主要向本区宁东能源化工基地提供原料煤及燃料煤。</w:t>
            </w:r>
          </w:p>
        </w:tc>
      </w:tr>
      <w:tr w:rsidR="009C353B" w14:paraId="082276F5" w14:textId="77777777">
        <w:trPr>
          <w:gridAfter w:val="1"/>
          <w:wAfter w:w="8" w:type="dxa"/>
          <w:trHeight w:val="831"/>
          <w:jc w:val="center"/>
        </w:trPr>
        <w:tc>
          <w:tcPr>
            <w:tcW w:w="1188" w:type="dxa"/>
            <w:vMerge w:val="restart"/>
            <w:vAlign w:val="center"/>
          </w:tcPr>
          <w:p w14:paraId="1150B4FF" w14:textId="77777777" w:rsidR="009C353B" w:rsidRDefault="00000000">
            <w:pPr>
              <w:spacing w:line="240" w:lineRule="atLeast"/>
              <w:jc w:val="center"/>
              <w:textAlignment w:val="baseline"/>
              <w:rPr>
                <w:rFonts w:ascii="Times New Roman" w:hAnsi="Times New Roman"/>
                <w:kern w:val="0"/>
                <w:sz w:val="21"/>
                <w:szCs w:val="21"/>
              </w:rPr>
            </w:pPr>
            <w:r>
              <w:rPr>
                <w:rFonts w:ascii="Times New Roman" w:hAnsi="Times New Roman"/>
                <w:kern w:val="0"/>
                <w:sz w:val="21"/>
                <w:szCs w:val="21"/>
              </w:rPr>
              <w:t>可能带来的生态环境影响</w:t>
            </w:r>
          </w:p>
        </w:tc>
        <w:tc>
          <w:tcPr>
            <w:tcW w:w="7601" w:type="dxa"/>
            <w:gridSpan w:val="2"/>
            <w:vAlign w:val="center"/>
          </w:tcPr>
          <w:p w14:paraId="603C6603" w14:textId="77777777" w:rsidR="009C353B" w:rsidRDefault="00000000">
            <w:pPr>
              <w:spacing w:line="240" w:lineRule="atLeast"/>
              <w:textAlignment w:val="baseline"/>
              <w:rPr>
                <w:rFonts w:ascii="Times New Roman" w:hAnsi="Times New Roman"/>
                <w:kern w:val="0"/>
                <w:sz w:val="21"/>
                <w:szCs w:val="21"/>
              </w:rPr>
            </w:pPr>
            <w:r>
              <w:rPr>
                <w:rFonts w:ascii="Times New Roman" w:hAnsi="Times New Roman"/>
                <w:kern w:val="0"/>
                <w:sz w:val="21"/>
                <w:szCs w:val="21"/>
              </w:rPr>
              <w:t>矿区规划实施后，虽然采取了完善的污染防治措施，但仍不可避免会排放废气、噪声和固废等污染物，会造成采掘扰动地表、排矸场占地、地表下沉、裂缝等，对周围生态环境造成一定影响。</w:t>
            </w:r>
          </w:p>
        </w:tc>
      </w:tr>
      <w:tr w:rsidR="009C353B" w14:paraId="418A1E15" w14:textId="77777777">
        <w:trPr>
          <w:gridAfter w:val="1"/>
          <w:wAfter w:w="8" w:type="dxa"/>
          <w:trHeight w:val="701"/>
          <w:jc w:val="center"/>
        </w:trPr>
        <w:tc>
          <w:tcPr>
            <w:tcW w:w="1188" w:type="dxa"/>
            <w:vMerge/>
            <w:vAlign w:val="center"/>
          </w:tcPr>
          <w:p w14:paraId="2D3A3DC4" w14:textId="77777777" w:rsidR="009C353B" w:rsidRDefault="009C353B">
            <w:pPr>
              <w:spacing w:line="240" w:lineRule="atLeast"/>
              <w:jc w:val="center"/>
              <w:textAlignment w:val="baseline"/>
              <w:rPr>
                <w:rFonts w:ascii="Times New Roman" w:hAnsi="Times New Roman"/>
                <w:kern w:val="0"/>
                <w:sz w:val="21"/>
                <w:szCs w:val="21"/>
              </w:rPr>
            </w:pPr>
          </w:p>
        </w:tc>
        <w:tc>
          <w:tcPr>
            <w:tcW w:w="7601" w:type="dxa"/>
            <w:gridSpan w:val="2"/>
            <w:vAlign w:val="center"/>
          </w:tcPr>
          <w:p w14:paraId="2E605ADA" w14:textId="77777777" w:rsidR="009C353B" w:rsidRDefault="00000000">
            <w:pPr>
              <w:spacing w:line="240" w:lineRule="atLeast"/>
              <w:textAlignment w:val="baseline"/>
              <w:rPr>
                <w:rFonts w:ascii="Times New Roman" w:hAnsi="Times New Roman"/>
                <w:sz w:val="21"/>
                <w:szCs w:val="21"/>
              </w:rPr>
            </w:pPr>
            <w:r>
              <w:rPr>
                <w:rFonts w:ascii="Times New Roman" w:hAnsi="Times New Roman"/>
                <w:sz w:val="21"/>
                <w:szCs w:val="21"/>
              </w:rPr>
              <w:t>生态敏感目标：林地、草地、宁夏灵武白芨滩自然保护区、鸭子荡水库、以及水洞沟遗址、明长城、红山堡城址等文物保护单位等。</w:t>
            </w:r>
          </w:p>
        </w:tc>
      </w:tr>
      <w:tr w:rsidR="009C353B" w14:paraId="335E88C0" w14:textId="77777777">
        <w:trPr>
          <w:gridAfter w:val="1"/>
          <w:wAfter w:w="8" w:type="dxa"/>
          <w:trHeight w:val="2397"/>
          <w:jc w:val="center"/>
        </w:trPr>
        <w:tc>
          <w:tcPr>
            <w:tcW w:w="1188" w:type="dxa"/>
            <w:vAlign w:val="center"/>
          </w:tcPr>
          <w:p w14:paraId="6AB0F101" w14:textId="77777777" w:rsidR="009C353B" w:rsidRDefault="00000000">
            <w:pPr>
              <w:spacing w:line="240" w:lineRule="atLeast"/>
              <w:jc w:val="center"/>
              <w:textAlignment w:val="baseline"/>
              <w:rPr>
                <w:rFonts w:ascii="Times New Roman" w:hAnsi="Times New Roman"/>
                <w:kern w:val="0"/>
                <w:sz w:val="21"/>
                <w:szCs w:val="21"/>
              </w:rPr>
            </w:pPr>
            <w:r>
              <w:rPr>
                <w:rFonts w:ascii="Times New Roman" w:hAnsi="Times New Roman"/>
                <w:kern w:val="0"/>
                <w:sz w:val="21"/>
                <w:szCs w:val="21"/>
              </w:rPr>
              <w:t>采取的主要环保措施</w:t>
            </w:r>
          </w:p>
        </w:tc>
        <w:tc>
          <w:tcPr>
            <w:tcW w:w="7601" w:type="dxa"/>
            <w:gridSpan w:val="2"/>
            <w:vAlign w:val="center"/>
          </w:tcPr>
          <w:p w14:paraId="211AAA5A" w14:textId="77777777" w:rsidR="009C353B" w:rsidRDefault="00000000">
            <w:pPr>
              <w:numPr>
                <w:ilvl w:val="0"/>
                <w:numId w:val="5"/>
              </w:numPr>
              <w:spacing w:line="240" w:lineRule="atLeast"/>
              <w:textAlignment w:val="baseline"/>
              <w:rPr>
                <w:rFonts w:ascii="Times New Roman" w:hAnsi="Times New Roman"/>
                <w:kern w:val="0"/>
                <w:sz w:val="21"/>
                <w:szCs w:val="21"/>
              </w:rPr>
            </w:pPr>
            <w:r>
              <w:rPr>
                <w:rFonts w:ascii="Times New Roman" w:hAnsi="Times New Roman"/>
                <w:kern w:val="0"/>
                <w:sz w:val="21"/>
                <w:szCs w:val="21"/>
              </w:rPr>
              <w:t>生态环境措施：进行工业场地绿化、土地整治、生态环境综合整治。</w:t>
            </w:r>
          </w:p>
          <w:p w14:paraId="17060342" w14:textId="77777777" w:rsidR="009C353B" w:rsidRDefault="00000000">
            <w:pPr>
              <w:spacing w:line="240" w:lineRule="atLeast"/>
              <w:textAlignment w:val="baseline"/>
              <w:rPr>
                <w:rFonts w:ascii="Times New Roman" w:hAnsi="Times New Roman"/>
                <w:kern w:val="0"/>
                <w:sz w:val="21"/>
                <w:szCs w:val="21"/>
              </w:rPr>
            </w:pPr>
            <w:r>
              <w:rPr>
                <w:rFonts w:ascii="Times New Roman" w:hAnsi="Times New Roman"/>
                <w:kern w:val="0"/>
                <w:sz w:val="21"/>
                <w:szCs w:val="21"/>
              </w:rPr>
              <w:t>采取避让措施，生态红线保护区禁采</w:t>
            </w:r>
          </w:p>
          <w:p w14:paraId="5CB7B62B" w14:textId="77777777" w:rsidR="009C353B" w:rsidRDefault="00000000">
            <w:pPr>
              <w:numPr>
                <w:ilvl w:val="0"/>
                <w:numId w:val="5"/>
              </w:numPr>
              <w:spacing w:line="240" w:lineRule="atLeast"/>
              <w:textAlignment w:val="baseline"/>
              <w:rPr>
                <w:rFonts w:ascii="Times New Roman" w:hAnsi="Times New Roman"/>
                <w:kern w:val="0"/>
                <w:sz w:val="21"/>
                <w:szCs w:val="21"/>
              </w:rPr>
            </w:pPr>
            <w:r>
              <w:rPr>
                <w:rFonts w:ascii="Times New Roman" w:hAnsi="Times New Roman"/>
                <w:kern w:val="0"/>
                <w:sz w:val="21"/>
                <w:szCs w:val="21"/>
              </w:rPr>
              <w:t>水污染防治</w:t>
            </w:r>
            <w:r>
              <w:rPr>
                <w:rFonts w:ascii="Times New Roman" w:hAnsi="Times New Roman"/>
                <w:sz w:val="21"/>
                <w:szCs w:val="21"/>
              </w:rPr>
              <w:t>措施</w:t>
            </w:r>
            <w:r>
              <w:rPr>
                <w:rFonts w:ascii="Times New Roman" w:hAnsi="Times New Roman"/>
                <w:kern w:val="0"/>
                <w:sz w:val="21"/>
                <w:szCs w:val="21"/>
              </w:rPr>
              <w:t>：矿井水、生活生产污水经过处理后全部回用于矿井及选煤厂生产用水等，做到矿区污水零排放。</w:t>
            </w:r>
          </w:p>
          <w:p w14:paraId="0ED47C7F" w14:textId="77777777" w:rsidR="009C353B" w:rsidRDefault="00000000">
            <w:pPr>
              <w:spacing w:line="240" w:lineRule="atLeast"/>
              <w:textAlignment w:val="baseline"/>
              <w:rPr>
                <w:rFonts w:ascii="Times New Roman" w:hAnsi="Times New Roman"/>
                <w:kern w:val="0"/>
                <w:sz w:val="21"/>
                <w:szCs w:val="21"/>
              </w:rPr>
            </w:pPr>
            <w:r>
              <w:rPr>
                <w:rFonts w:ascii="Times New Roman" w:hAnsi="Times New Roman"/>
                <w:kern w:val="0"/>
                <w:sz w:val="21"/>
                <w:szCs w:val="21"/>
              </w:rPr>
              <w:t>3</w:t>
            </w:r>
            <w:r>
              <w:rPr>
                <w:rFonts w:ascii="Times New Roman" w:hAnsi="Times New Roman"/>
                <w:kern w:val="0"/>
                <w:sz w:val="21"/>
                <w:szCs w:val="21"/>
              </w:rPr>
              <w:t>、大气污染防治措施：</w:t>
            </w:r>
            <w:r>
              <w:rPr>
                <w:rFonts w:cs="宋体" w:hint="eastAsia"/>
                <w:kern w:val="0"/>
                <w:sz w:val="21"/>
                <w:szCs w:val="21"/>
              </w:rPr>
              <w:t>①</w:t>
            </w:r>
            <w:r>
              <w:rPr>
                <w:rFonts w:ascii="Times New Roman" w:hAnsi="Times New Roman"/>
                <w:kern w:val="0"/>
                <w:sz w:val="21"/>
                <w:szCs w:val="21"/>
              </w:rPr>
              <w:t>工业场地锅炉烟气处理率达到</w:t>
            </w:r>
            <w:r>
              <w:rPr>
                <w:rFonts w:ascii="Times New Roman" w:hAnsi="Times New Roman"/>
                <w:kern w:val="0"/>
                <w:sz w:val="21"/>
                <w:szCs w:val="21"/>
              </w:rPr>
              <w:t>100</w:t>
            </w:r>
            <w:r>
              <w:rPr>
                <w:rFonts w:ascii="Times New Roman" w:hAnsi="Times New Roman"/>
                <w:kern w:val="0"/>
                <w:sz w:val="21"/>
                <w:szCs w:val="21"/>
              </w:rPr>
              <w:t>％，达标排放；</w:t>
            </w:r>
            <w:r>
              <w:rPr>
                <w:rFonts w:cs="宋体" w:hint="eastAsia"/>
                <w:kern w:val="0"/>
                <w:sz w:val="21"/>
                <w:szCs w:val="21"/>
              </w:rPr>
              <w:t>②</w:t>
            </w:r>
            <w:r>
              <w:rPr>
                <w:rFonts w:ascii="Times New Roman" w:hAnsi="Times New Roman"/>
                <w:kern w:val="0"/>
                <w:sz w:val="21"/>
                <w:szCs w:val="21"/>
              </w:rPr>
              <w:t>原煤生产、转运环节均设有除尘和洒水设施。</w:t>
            </w:r>
            <w:r>
              <w:rPr>
                <w:rFonts w:cs="宋体" w:hint="eastAsia"/>
                <w:kern w:val="0"/>
                <w:sz w:val="21"/>
                <w:szCs w:val="21"/>
              </w:rPr>
              <w:t>③</w:t>
            </w:r>
            <w:r>
              <w:rPr>
                <w:rFonts w:ascii="Times New Roman" w:hAnsi="Times New Roman"/>
                <w:kern w:val="0"/>
                <w:sz w:val="21"/>
                <w:szCs w:val="21"/>
              </w:rPr>
              <w:t>煤炭储运采用全封闭输煤栈桥，运输车辆进行覆盖封闭运输，定期沿路洒水。</w:t>
            </w:r>
          </w:p>
          <w:p w14:paraId="08B8C4B2" w14:textId="77777777" w:rsidR="009C353B" w:rsidRDefault="00000000">
            <w:pPr>
              <w:spacing w:line="240" w:lineRule="atLeast"/>
              <w:textAlignment w:val="baseline"/>
              <w:rPr>
                <w:rFonts w:ascii="Times New Roman" w:hAnsi="Times New Roman"/>
                <w:kern w:val="0"/>
                <w:sz w:val="21"/>
                <w:szCs w:val="21"/>
              </w:rPr>
            </w:pPr>
            <w:r>
              <w:rPr>
                <w:rFonts w:ascii="Times New Roman" w:hAnsi="Times New Roman"/>
                <w:kern w:val="0"/>
                <w:sz w:val="21"/>
                <w:szCs w:val="21"/>
              </w:rPr>
              <w:t>4</w:t>
            </w:r>
            <w:r>
              <w:rPr>
                <w:rFonts w:ascii="Times New Roman" w:hAnsi="Times New Roman"/>
                <w:kern w:val="0"/>
                <w:sz w:val="21"/>
                <w:szCs w:val="21"/>
              </w:rPr>
              <w:t>、固废：矸石进行井下处理及综合利用；生活垃圾集中收集后进行处置。</w:t>
            </w:r>
          </w:p>
        </w:tc>
      </w:tr>
      <w:tr w:rsidR="009C353B" w14:paraId="0F1EA17C" w14:textId="77777777">
        <w:trPr>
          <w:gridAfter w:val="1"/>
          <w:wAfter w:w="8" w:type="dxa"/>
          <w:trHeight w:val="1979"/>
          <w:jc w:val="center"/>
        </w:trPr>
        <w:tc>
          <w:tcPr>
            <w:tcW w:w="1188" w:type="dxa"/>
            <w:vAlign w:val="center"/>
          </w:tcPr>
          <w:p w14:paraId="4CB10E68" w14:textId="77777777" w:rsidR="009C353B" w:rsidRDefault="00000000">
            <w:pPr>
              <w:spacing w:line="240" w:lineRule="atLeast"/>
              <w:jc w:val="center"/>
              <w:textAlignment w:val="baseline"/>
              <w:rPr>
                <w:rFonts w:ascii="Times New Roman" w:hAnsi="Times New Roman"/>
                <w:kern w:val="0"/>
                <w:sz w:val="21"/>
                <w:szCs w:val="21"/>
              </w:rPr>
            </w:pPr>
            <w:r>
              <w:rPr>
                <w:rFonts w:ascii="Times New Roman" w:hAnsi="Times New Roman"/>
                <w:kern w:val="0"/>
                <w:sz w:val="21"/>
                <w:szCs w:val="21"/>
              </w:rPr>
              <w:t>结论</w:t>
            </w:r>
          </w:p>
        </w:tc>
        <w:tc>
          <w:tcPr>
            <w:tcW w:w="7601" w:type="dxa"/>
            <w:gridSpan w:val="2"/>
            <w:vAlign w:val="center"/>
          </w:tcPr>
          <w:p w14:paraId="3F8291C2" w14:textId="77777777" w:rsidR="009C353B" w:rsidRDefault="00000000">
            <w:pPr>
              <w:spacing w:line="240" w:lineRule="atLeast"/>
              <w:textAlignment w:val="baseline"/>
              <w:rPr>
                <w:rFonts w:ascii="Times New Roman" w:hAnsi="Times New Roman"/>
                <w:kern w:val="0"/>
                <w:sz w:val="21"/>
                <w:szCs w:val="21"/>
              </w:rPr>
            </w:pPr>
            <w:r>
              <w:rPr>
                <w:rFonts w:ascii="Times New Roman" w:hAnsi="Times New Roman"/>
                <w:kern w:val="0"/>
                <w:sz w:val="21"/>
                <w:szCs w:val="21"/>
              </w:rPr>
              <w:t>规划项目实施对矿区环境影响较小，煤炭资源、水资源、大气和地表水环境容量和总量指标等对矿区规划的实施没有形成明显的制约，当地资源环境能够承载矿区规划建设规模和建设时序要求；但矿区在其开发过程中不可避免地会对环境，特别是对生态环境、地下水环境产生一定的影响，在矿区规划方案采取行之有效的污染防治措施、生态综合整治与环境保护措施，采纳环评提出的优化调整建议后，从环境保护的角度分析，横城矿区总体规划（修编）方案环境可行。</w:t>
            </w:r>
          </w:p>
        </w:tc>
      </w:tr>
      <w:tr w:rsidR="009C353B" w14:paraId="6283723E" w14:textId="77777777">
        <w:trPr>
          <w:trHeight w:val="340"/>
          <w:jc w:val="center"/>
        </w:trPr>
        <w:tc>
          <w:tcPr>
            <w:tcW w:w="8797" w:type="dxa"/>
            <w:gridSpan w:val="4"/>
          </w:tcPr>
          <w:p w14:paraId="2525DC01" w14:textId="77777777" w:rsidR="009C353B" w:rsidRDefault="00000000">
            <w:pPr>
              <w:adjustRightInd w:val="0"/>
              <w:snapToGrid w:val="0"/>
              <w:spacing w:line="240" w:lineRule="atLeast"/>
              <w:rPr>
                <w:rFonts w:ascii="Times New Roman" w:hAnsi="Times New Roman"/>
                <w:b/>
                <w:sz w:val="21"/>
                <w:szCs w:val="21"/>
              </w:rPr>
            </w:pPr>
            <w:r>
              <w:rPr>
                <w:rFonts w:ascii="Times New Roman" w:hAnsi="Times New Roman"/>
                <w:sz w:val="21"/>
                <w:szCs w:val="21"/>
              </w:rPr>
              <w:t>1</w:t>
            </w:r>
            <w:r>
              <w:rPr>
                <w:rFonts w:ascii="Times New Roman" w:hAnsi="Times New Roman"/>
                <w:sz w:val="21"/>
                <w:szCs w:val="21"/>
              </w:rPr>
              <w:t>、您是否了解该矿区总体规划？</w:t>
            </w:r>
            <w:r>
              <w:rPr>
                <w:rFonts w:ascii="Times New Roman" w:hAnsi="Times New Roman"/>
                <w:sz w:val="21"/>
                <w:szCs w:val="21"/>
              </w:rPr>
              <w:t xml:space="preserve"> </w:t>
            </w:r>
            <w:r>
              <w:rPr>
                <w:rFonts w:ascii="Times New Roman" w:hAnsi="Times New Roman"/>
                <w:sz w:val="21"/>
                <w:szCs w:val="21"/>
              </w:rPr>
              <w:t>了解</w:t>
            </w:r>
            <w:r>
              <w:rPr>
                <w:rFonts w:ascii="Times New Roman" w:hAnsi="Times New Roman"/>
                <w:sz w:val="21"/>
                <w:szCs w:val="21"/>
              </w:rPr>
              <w:t xml:space="preserve">□  </w:t>
            </w:r>
            <w:r>
              <w:rPr>
                <w:rFonts w:ascii="Times New Roman" w:hAnsi="Times New Roman"/>
                <w:sz w:val="21"/>
                <w:szCs w:val="21"/>
              </w:rPr>
              <w:t>了解一点</w:t>
            </w:r>
            <w:r>
              <w:rPr>
                <w:rFonts w:ascii="Times New Roman" w:hAnsi="Times New Roman"/>
                <w:sz w:val="21"/>
                <w:szCs w:val="21"/>
              </w:rPr>
              <w:t xml:space="preserve">□  </w:t>
            </w:r>
            <w:r>
              <w:rPr>
                <w:rFonts w:ascii="Times New Roman" w:hAnsi="Times New Roman"/>
                <w:sz w:val="21"/>
                <w:szCs w:val="21"/>
              </w:rPr>
              <w:t>不了解</w:t>
            </w:r>
            <w:r>
              <w:rPr>
                <w:rFonts w:ascii="Times New Roman" w:hAnsi="Times New Roman"/>
                <w:sz w:val="21"/>
                <w:szCs w:val="21"/>
              </w:rPr>
              <w:t xml:space="preserve">□ </w:t>
            </w:r>
          </w:p>
          <w:p w14:paraId="3875D08E"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2</w:t>
            </w:r>
            <w:r>
              <w:rPr>
                <w:rFonts w:ascii="Times New Roman" w:hAnsi="Times New Roman"/>
                <w:sz w:val="21"/>
                <w:szCs w:val="21"/>
              </w:rPr>
              <w:t>、您认为矿区目前环境状况怎样？</w:t>
            </w:r>
            <w:r>
              <w:rPr>
                <w:rFonts w:ascii="Times New Roman" w:hAnsi="Times New Roman"/>
                <w:sz w:val="21"/>
                <w:szCs w:val="21"/>
              </w:rPr>
              <w:t xml:space="preserve"> </w:t>
            </w:r>
          </w:p>
          <w:p w14:paraId="1ACEA849" w14:textId="77777777" w:rsidR="009C353B" w:rsidRDefault="00000000">
            <w:pPr>
              <w:adjustRightInd w:val="0"/>
              <w:snapToGrid w:val="0"/>
              <w:spacing w:line="240" w:lineRule="atLeast"/>
              <w:ind w:left="360"/>
              <w:rPr>
                <w:rFonts w:ascii="Times New Roman" w:hAnsi="Times New Roman"/>
                <w:sz w:val="21"/>
                <w:szCs w:val="21"/>
              </w:rPr>
            </w:pPr>
            <w:r>
              <w:rPr>
                <w:rFonts w:ascii="Times New Roman" w:hAnsi="Times New Roman"/>
                <w:sz w:val="21"/>
                <w:szCs w:val="21"/>
              </w:rPr>
              <w:t>很好</w:t>
            </w:r>
            <w:r>
              <w:rPr>
                <w:rFonts w:ascii="Times New Roman" w:hAnsi="Times New Roman"/>
                <w:sz w:val="21"/>
                <w:szCs w:val="21"/>
              </w:rPr>
              <w:t xml:space="preserve">□   </w:t>
            </w:r>
            <w:r>
              <w:rPr>
                <w:rFonts w:ascii="Times New Roman" w:hAnsi="Times New Roman"/>
                <w:sz w:val="21"/>
                <w:szCs w:val="21"/>
              </w:rPr>
              <w:t>较好</w:t>
            </w:r>
            <w:r>
              <w:rPr>
                <w:rFonts w:ascii="Times New Roman" w:hAnsi="Times New Roman"/>
                <w:sz w:val="21"/>
                <w:szCs w:val="21"/>
              </w:rPr>
              <w:t xml:space="preserve">□   </w:t>
            </w:r>
            <w:r>
              <w:rPr>
                <w:rFonts w:ascii="Times New Roman" w:hAnsi="Times New Roman"/>
                <w:sz w:val="21"/>
                <w:szCs w:val="21"/>
              </w:rPr>
              <w:t>一般</w:t>
            </w:r>
            <w:r>
              <w:rPr>
                <w:rFonts w:ascii="Times New Roman" w:hAnsi="Times New Roman"/>
                <w:sz w:val="21"/>
                <w:szCs w:val="21"/>
              </w:rPr>
              <w:t xml:space="preserve">□   </w:t>
            </w:r>
            <w:r>
              <w:rPr>
                <w:rFonts w:ascii="Times New Roman" w:hAnsi="Times New Roman"/>
                <w:sz w:val="21"/>
                <w:szCs w:val="21"/>
              </w:rPr>
              <w:t>较差</w:t>
            </w:r>
            <w:r>
              <w:rPr>
                <w:rFonts w:ascii="Times New Roman" w:hAnsi="Times New Roman"/>
                <w:sz w:val="21"/>
                <w:szCs w:val="21"/>
              </w:rPr>
              <w:t xml:space="preserve">□   </w:t>
            </w:r>
            <w:r>
              <w:rPr>
                <w:rFonts w:ascii="Times New Roman" w:hAnsi="Times New Roman"/>
                <w:sz w:val="21"/>
                <w:szCs w:val="21"/>
              </w:rPr>
              <w:t>不知道</w:t>
            </w:r>
            <w:r>
              <w:rPr>
                <w:rFonts w:ascii="Times New Roman" w:hAnsi="Times New Roman"/>
                <w:sz w:val="21"/>
                <w:szCs w:val="21"/>
              </w:rPr>
              <w:t>□</w:t>
            </w:r>
          </w:p>
          <w:p w14:paraId="051AC40D" w14:textId="77777777" w:rsidR="009C353B" w:rsidRDefault="00000000">
            <w:pPr>
              <w:adjustRightInd w:val="0"/>
              <w:snapToGrid w:val="0"/>
              <w:spacing w:line="240" w:lineRule="atLeast"/>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、您认为当地目前主要环境问题是？（可多选）</w:t>
            </w:r>
            <w:r>
              <w:rPr>
                <w:rFonts w:ascii="Times New Roman" w:hAnsi="Times New Roman"/>
                <w:sz w:val="21"/>
                <w:szCs w:val="21"/>
              </w:rPr>
              <w:t xml:space="preserve"> </w:t>
            </w:r>
          </w:p>
          <w:p w14:paraId="6EDFDDCB" w14:textId="77777777" w:rsidR="009C353B" w:rsidRDefault="00000000">
            <w:pPr>
              <w:adjustRightInd w:val="0"/>
              <w:snapToGrid w:val="0"/>
              <w:spacing w:line="240" w:lineRule="atLeast"/>
              <w:ind w:left="360"/>
              <w:rPr>
                <w:rFonts w:ascii="Times New Roman" w:hAnsi="Times New Roman"/>
                <w:sz w:val="21"/>
                <w:szCs w:val="21"/>
              </w:rPr>
            </w:pPr>
            <w:r>
              <w:rPr>
                <w:rFonts w:ascii="Times New Roman" w:hAnsi="Times New Roman"/>
                <w:sz w:val="21"/>
                <w:szCs w:val="21"/>
              </w:rPr>
              <w:t>环境空气污染</w:t>
            </w:r>
            <w:r>
              <w:rPr>
                <w:rFonts w:ascii="Times New Roman" w:hAnsi="Times New Roman"/>
                <w:sz w:val="21"/>
                <w:szCs w:val="21"/>
              </w:rPr>
              <w:t xml:space="preserve">□   </w:t>
            </w:r>
            <w:r>
              <w:rPr>
                <w:rFonts w:ascii="Times New Roman" w:hAnsi="Times New Roman"/>
                <w:sz w:val="21"/>
                <w:szCs w:val="21"/>
              </w:rPr>
              <w:t>地表水污染</w:t>
            </w:r>
            <w:r>
              <w:rPr>
                <w:rFonts w:ascii="Times New Roman" w:hAnsi="Times New Roman"/>
                <w:sz w:val="21"/>
                <w:szCs w:val="21"/>
              </w:rPr>
              <w:t xml:space="preserve">□   </w:t>
            </w:r>
            <w:r>
              <w:rPr>
                <w:rFonts w:ascii="Times New Roman" w:hAnsi="Times New Roman"/>
                <w:sz w:val="21"/>
                <w:szCs w:val="21"/>
              </w:rPr>
              <w:t>地下水污染</w:t>
            </w:r>
            <w:r>
              <w:rPr>
                <w:rFonts w:ascii="Times New Roman" w:hAnsi="Times New Roman"/>
                <w:sz w:val="21"/>
                <w:szCs w:val="21"/>
              </w:rPr>
              <w:t xml:space="preserve">□   </w:t>
            </w:r>
            <w:r>
              <w:rPr>
                <w:rFonts w:ascii="Times New Roman" w:hAnsi="Times New Roman"/>
                <w:sz w:val="21"/>
                <w:szCs w:val="21"/>
              </w:rPr>
              <w:t>噪声污染</w:t>
            </w:r>
            <w:r>
              <w:rPr>
                <w:rFonts w:ascii="Times New Roman" w:hAnsi="Times New Roman"/>
                <w:sz w:val="21"/>
                <w:szCs w:val="21"/>
              </w:rPr>
              <w:t xml:space="preserve">□   </w:t>
            </w:r>
            <w:r>
              <w:rPr>
                <w:rFonts w:ascii="Times New Roman" w:hAnsi="Times New Roman"/>
                <w:sz w:val="21"/>
                <w:szCs w:val="21"/>
              </w:rPr>
              <w:t>固体废弃物堆置</w:t>
            </w:r>
            <w:r>
              <w:rPr>
                <w:rFonts w:ascii="Times New Roman" w:hAnsi="Times New Roman"/>
                <w:sz w:val="21"/>
                <w:szCs w:val="21"/>
              </w:rPr>
              <w:t xml:space="preserve">□  </w:t>
            </w:r>
            <w:r>
              <w:rPr>
                <w:rFonts w:ascii="Times New Roman" w:hAnsi="Times New Roman"/>
                <w:sz w:val="21"/>
                <w:szCs w:val="21"/>
              </w:rPr>
              <w:t>生态环境较差</w:t>
            </w:r>
            <w:r>
              <w:rPr>
                <w:rFonts w:ascii="Times New Roman" w:hAnsi="Times New Roman"/>
                <w:sz w:val="21"/>
                <w:szCs w:val="21"/>
              </w:rPr>
              <w:t xml:space="preserve">□  </w:t>
            </w:r>
            <w:r>
              <w:rPr>
                <w:rFonts w:ascii="Times New Roman" w:hAnsi="Times New Roman"/>
                <w:sz w:val="21"/>
                <w:szCs w:val="21"/>
              </w:rPr>
              <w:t>水土流失</w:t>
            </w:r>
            <w:r>
              <w:rPr>
                <w:rFonts w:ascii="Times New Roman" w:hAnsi="Times New Roman"/>
                <w:sz w:val="21"/>
                <w:szCs w:val="21"/>
              </w:rPr>
              <w:t xml:space="preserve">□  </w:t>
            </w:r>
            <w:r>
              <w:rPr>
                <w:rFonts w:ascii="Times New Roman" w:hAnsi="Times New Roman"/>
                <w:sz w:val="21"/>
                <w:szCs w:val="21"/>
              </w:rPr>
              <w:t>其它</w:t>
            </w:r>
            <w:r>
              <w:rPr>
                <w:rFonts w:ascii="Times New Roman" w:hAnsi="Times New Roman"/>
                <w:sz w:val="21"/>
                <w:szCs w:val="21"/>
              </w:rPr>
              <w:t>□______</w:t>
            </w:r>
          </w:p>
          <w:p w14:paraId="1D4CA1FE" w14:textId="77777777" w:rsidR="009C353B" w:rsidRDefault="00000000">
            <w:pPr>
              <w:adjustRightInd w:val="0"/>
              <w:snapToGrid w:val="0"/>
              <w:spacing w:line="240" w:lineRule="atLeast"/>
              <w:ind w:left="210" w:hangingChars="100" w:hanging="210"/>
              <w:rPr>
                <w:rFonts w:ascii="Times New Roman" w:hAnsi="Times New Roman"/>
                <w:sz w:val="21"/>
                <w:szCs w:val="21"/>
              </w:rPr>
            </w:pPr>
            <w:r>
              <w:rPr>
                <w:rFonts w:ascii="Times New Roman" w:hAnsi="Times New Roman"/>
                <w:sz w:val="21"/>
                <w:szCs w:val="21"/>
              </w:rPr>
              <w:t>4</w:t>
            </w:r>
            <w:r>
              <w:rPr>
                <w:rFonts w:ascii="Times New Roman" w:hAnsi="Times New Roman"/>
                <w:sz w:val="21"/>
                <w:szCs w:val="21"/>
              </w:rPr>
              <w:t>、您认为矿区总体规划实施会给当地环境哪些方面带来不利影响？（可多选）</w:t>
            </w:r>
          </w:p>
          <w:p w14:paraId="1FEF60D2" w14:textId="77777777" w:rsidR="009C353B" w:rsidRDefault="00000000">
            <w:pPr>
              <w:adjustRightInd w:val="0"/>
              <w:snapToGrid w:val="0"/>
              <w:spacing w:line="240" w:lineRule="atLeast"/>
              <w:ind w:leftChars="100" w:left="240" w:firstLineChars="50" w:firstLine="105"/>
              <w:rPr>
                <w:rFonts w:ascii="Times New Roman" w:hAnsi="Times New Roman"/>
                <w:sz w:val="21"/>
                <w:szCs w:val="21"/>
              </w:rPr>
            </w:pPr>
            <w:r>
              <w:rPr>
                <w:rFonts w:ascii="Times New Roman" w:hAnsi="Times New Roman"/>
                <w:sz w:val="21"/>
                <w:szCs w:val="21"/>
              </w:rPr>
              <w:t>空气</w:t>
            </w:r>
            <w:r>
              <w:rPr>
                <w:rFonts w:ascii="Times New Roman" w:hAnsi="Times New Roman"/>
                <w:sz w:val="21"/>
                <w:szCs w:val="21"/>
              </w:rPr>
              <w:t xml:space="preserve">□  </w:t>
            </w:r>
            <w:r>
              <w:rPr>
                <w:rFonts w:ascii="Times New Roman" w:hAnsi="Times New Roman"/>
                <w:sz w:val="21"/>
                <w:szCs w:val="21"/>
              </w:rPr>
              <w:t>地表水</w:t>
            </w:r>
            <w:r>
              <w:rPr>
                <w:rFonts w:ascii="Times New Roman" w:hAnsi="Times New Roman"/>
                <w:sz w:val="21"/>
                <w:szCs w:val="21"/>
              </w:rPr>
              <w:t xml:space="preserve">□  </w:t>
            </w:r>
            <w:r>
              <w:rPr>
                <w:rFonts w:ascii="Times New Roman" w:hAnsi="Times New Roman"/>
                <w:sz w:val="21"/>
                <w:szCs w:val="21"/>
              </w:rPr>
              <w:t>地下水</w:t>
            </w:r>
            <w:r>
              <w:rPr>
                <w:rFonts w:ascii="Times New Roman" w:hAnsi="Times New Roman"/>
                <w:sz w:val="21"/>
                <w:szCs w:val="21"/>
              </w:rPr>
              <w:t xml:space="preserve">□  </w:t>
            </w:r>
            <w:r>
              <w:rPr>
                <w:rFonts w:ascii="Times New Roman" w:hAnsi="Times New Roman"/>
                <w:sz w:val="21"/>
                <w:szCs w:val="21"/>
              </w:rPr>
              <w:t>噪声</w:t>
            </w:r>
            <w:r>
              <w:rPr>
                <w:rFonts w:ascii="Times New Roman" w:hAnsi="Times New Roman"/>
                <w:sz w:val="21"/>
                <w:szCs w:val="21"/>
              </w:rPr>
              <w:t xml:space="preserve">□  </w:t>
            </w:r>
            <w:r>
              <w:rPr>
                <w:rFonts w:ascii="Times New Roman" w:hAnsi="Times New Roman"/>
                <w:sz w:val="21"/>
                <w:szCs w:val="21"/>
              </w:rPr>
              <w:t>生态系统</w:t>
            </w:r>
            <w:r>
              <w:rPr>
                <w:rFonts w:ascii="Times New Roman" w:hAnsi="Times New Roman"/>
                <w:sz w:val="21"/>
                <w:szCs w:val="21"/>
              </w:rPr>
              <w:t xml:space="preserve">□  </w:t>
            </w:r>
            <w:r>
              <w:rPr>
                <w:rFonts w:ascii="Times New Roman" w:hAnsi="Times New Roman"/>
                <w:sz w:val="21"/>
                <w:szCs w:val="21"/>
              </w:rPr>
              <w:t>其它</w:t>
            </w:r>
            <w:r>
              <w:rPr>
                <w:rFonts w:ascii="Times New Roman" w:hAnsi="Times New Roman"/>
                <w:sz w:val="21"/>
                <w:szCs w:val="21"/>
              </w:rPr>
              <w:t xml:space="preserve">□  </w:t>
            </w:r>
            <w:r>
              <w:rPr>
                <w:rFonts w:ascii="Times New Roman" w:hAnsi="Times New Roman"/>
                <w:sz w:val="21"/>
                <w:szCs w:val="21"/>
              </w:rPr>
              <w:t>不知道</w:t>
            </w:r>
            <w:r>
              <w:rPr>
                <w:rFonts w:ascii="Times New Roman" w:hAnsi="Times New Roman"/>
                <w:sz w:val="21"/>
                <w:szCs w:val="21"/>
              </w:rPr>
              <w:t>□</w:t>
            </w:r>
          </w:p>
          <w:p w14:paraId="3D622012" w14:textId="77777777" w:rsidR="009C353B" w:rsidRDefault="00000000">
            <w:pPr>
              <w:adjustRightInd w:val="0"/>
              <w:snapToGrid w:val="0"/>
              <w:spacing w:line="240" w:lineRule="atLeast"/>
              <w:ind w:left="210" w:hangingChars="100" w:hanging="210"/>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、您认为矿区规划实施是否有利于当地经济发展，提升人民生活质量？</w:t>
            </w:r>
          </w:p>
          <w:p w14:paraId="78752CD3" w14:textId="77777777" w:rsidR="009C353B" w:rsidRDefault="00000000">
            <w:pPr>
              <w:adjustRightInd w:val="0"/>
              <w:snapToGrid w:val="0"/>
              <w:spacing w:line="240" w:lineRule="atLeast"/>
              <w:ind w:left="210" w:hangingChars="100" w:hanging="210"/>
              <w:rPr>
                <w:rFonts w:ascii="Times New Roman" w:hAnsi="Times New Roman"/>
                <w:sz w:val="21"/>
                <w:szCs w:val="21"/>
              </w:rPr>
            </w:pPr>
            <w:r>
              <w:rPr>
                <w:rFonts w:ascii="Times New Roman" w:hAnsi="Times New Roman"/>
                <w:sz w:val="21"/>
                <w:szCs w:val="21"/>
              </w:rPr>
              <w:t xml:space="preserve">   </w:t>
            </w:r>
            <w:r>
              <w:rPr>
                <w:rFonts w:ascii="Times New Roman" w:hAnsi="Times New Roman"/>
                <w:sz w:val="21"/>
                <w:szCs w:val="21"/>
              </w:rPr>
              <w:t>有利</w:t>
            </w:r>
            <w:r>
              <w:rPr>
                <w:rFonts w:ascii="Times New Roman" w:hAnsi="Times New Roman"/>
                <w:sz w:val="21"/>
                <w:szCs w:val="21"/>
              </w:rPr>
              <w:t xml:space="preserve">□   </w:t>
            </w:r>
            <w:r>
              <w:rPr>
                <w:rFonts w:ascii="Times New Roman" w:hAnsi="Times New Roman"/>
                <w:sz w:val="21"/>
                <w:szCs w:val="21"/>
              </w:rPr>
              <w:t>不利</w:t>
            </w:r>
            <w:r>
              <w:rPr>
                <w:rFonts w:ascii="Times New Roman" w:hAnsi="Times New Roman"/>
                <w:sz w:val="21"/>
                <w:szCs w:val="21"/>
              </w:rPr>
              <w:t xml:space="preserve">□   </w:t>
            </w:r>
            <w:r>
              <w:rPr>
                <w:rFonts w:ascii="Times New Roman" w:hAnsi="Times New Roman"/>
                <w:sz w:val="21"/>
                <w:szCs w:val="21"/>
              </w:rPr>
              <w:t>无影响</w:t>
            </w:r>
            <w:r>
              <w:rPr>
                <w:rFonts w:ascii="Times New Roman" w:hAnsi="Times New Roman"/>
                <w:sz w:val="21"/>
                <w:szCs w:val="21"/>
              </w:rPr>
              <w:t>□</w:t>
            </w:r>
          </w:p>
          <w:p w14:paraId="42459622" w14:textId="77777777" w:rsidR="009C353B" w:rsidRDefault="00000000">
            <w:pPr>
              <w:adjustRightInd w:val="0"/>
              <w:snapToGrid w:val="0"/>
              <w:spacing w:line="240" w:lineRule="atLeast"/>
              <w:ind w:left="210" w:hangingChars="100" w:hanging="210"/>
              <w:jc w:val="left"/>
              <w:rPr>
                <w:rFonts w:ascii="Times New Roman" w:hAnsi="Times New Roman"/>
                <w:sz w:val="21"/>
                <w:szCs w:val="21"/>
              </w:rPr>
            </w:pPr>
            <w:r>
              <w:rPr>
                <w:rFonts w:ascii="Times New Roman" w:hAnsi="Times New Roman"/>
                <w:sz w:val="21"/>
                <w:szCs w:val="21"/>
              </w:rPr>
              <w:t>6</w:t>
            </w:r>
            <w:r>
              <w:rPr>
                <w:rFonts w:ascii="Times New Roman" w:hAnsi="Times New Roman"/>
                <w:sz w:val="21"/>
                <w:szCs w:val="21"/>
              </w:rPr>
              <w:t>、您对规划实施的总体态度是？</w:t>
            </w:r>
            <w:r>
              <w:rPr>
                <w:rFonts w:ascii="Times New Roman" w:hAnsi="Times New Roman"/>
                <w:sz w:val="21"/>
                <w:szCs w:val="21"/>
              </w:rPr>
              <w:t xml:space="preserve"> </w:t>
            </w:r>
            <w:r>
              <w:rPr>
                <w:rFonts w:ascii="Times New Roman" w:hAnsi="Times New Roman"/>
                <w:sz w:val="21"/>
                <w:szCs w:val="21"/>
              </w:rPr>
              <w:t>赞成</w:t>
            </w:r>
            <w:r>
              <w:rPr>
                <w:rFonts w:ascii="Times New Roman" w:hAnsi="Times New Roman"/>
                <w:sz w:val="21"/>
                <w:szCs w:val="21"/>
              </w:rPr>
              <w:t xml:space="preserve">□   </w:t>
            </w:r>
            <w:r>
              <w:rPr>
                <w:rFonts w:ascii="Times New Roman" w:hAnsi="Times New Roman"/>
                <w:sz w:val="21"/>
                <w:szCs w:val="21"/>
              </w:rPr>
              <w:t>基本赞成</w:t>
            </w:r>
            <w:r>
              <w:rPr>
                <w:rFonts w:ascii="Times New Roman" w:hAnsi="Times New Roman"/>
                <w:sz w:val="21"/>
                <w:szCs w:val="21"/>
              </w:rPr>
              <w:t xml:space="preserve">□   </w:t>
            </w:r>
            <w:r>
              <w:rPr>
                <w:rFonts w:ascii="Times New Roman" w:hAnsi="Times New Roman"/>
                <w:sz w:val="21"/>
                <w:szCs w:val="21"/>
              </w:rPr>
              <w:t>反对</w:t>
            </w:r>
            <w:r>
              <w:rPr>
                <w:rFonts w:ascii="Times New Roman" w:hAnsi="Times New Roman"/>
                <w:sz w:val="21"/>
                <w:szCs w:val="21"/>
              </w:rPr>
              <w:t>□</w:t>
            </w:r>
            <w:r>
              <w:rPr>
                <w:rFonts w:ascii="Times New Roman" w:hAnsi="Times New Roman"/>
                <w:sz w:val="21"/>
                <w:szCs w:val="21"/>
              </w:rPr>
              <w:t>（请说明原因）</w:t>
            </w:r>
            <w:r>
              <w:rPr>
                <w:rFonts w:ascii="Times New Roman" w:hAnsi="Times New Roman"/>
                <w:sz w:val="21"/>
                <w:szCs w:val="21"/>
                <w:u w:val="single"/>
              </w:rPr>
              <w:t xml:space="preserve">                                                </w:t>
            </w:r>
            <w:r>
              <w:rPr>
                <w:rFonts w:ascii="Times New Roman" w:hAnsi="Times New Roman"/>
                <w:sz w:val="21"/>
                <w:szCs w:val="21"/>
              </w:rPr>
              <w:t>。</w:t>
            </w:r>
          </w:p>
          <w:p w14:paraId="029D7D62" w14:textId="77777777" w:rsidR="009C353B" w:rsidRDefault="009C353B">
            <w:pPr>
              <w:adjustRightInd w:val="0"/>
              <w:snapToGrid w:val="0"/>
              <w:spacing w:line="240" w:lineRule="atLeast"/>
              <w:ind w:left="211" w:hangingChars="100" w:hanging="211"/>
              <w:jc w:val="left"/>
              <w:rPr>
                <w:rFonts w:ascii="Times New Roman" w:hAnsi="Times New Roman"/>
                <w:b/>
                <w:sz w:val="21"/>
                <w:szCs w:val="21"/>
              </w:rPr>
            </w:pPr>
          </w:p>
          <w:p w14:paraId="6EDFC2B5" w14:textId="77777777" w:rsidR="009C353B" w:rsidRDefault="009C353B">
            <w:pPr>
              <w:adjustRightInd w:val="0"/>
              <w:snapToGrid w:val="0"/>
              <w:spacing w:line="240" w:lineRule="atLeast"/>
              <w:ind w:left="211" w:hangingChars="100" w:hanging="211"/>
              <w:jc w:val="left"/>
              <w:rPr>
                <w:rFonts w:ascii="Times New Roman" w:hAnsi="Times New Roman"/>
                <w:b/>
                <w:sz w:val="21"/>
                <w:szCs w:val="21"/>
              </w:rPr>
            </w:pPr>
          </w:p>
          <w:p w14:paraId="193D9D1C" w14:textId="77777777" w:rsidR="009C353B" w:rsidRDefault="009C353B">
            <w:pPr>
              <w:adjustRightInd w:val="0"/>
              <w:snapToGrid w:val="0"/>
              <w:spacing w:line="240" w:lineRule="atLeast"/>
              <w:ind w:left="211" w:hangingChars="100" w:hanging="211"/>
              <w:jc w:val="left"/>
              <w:rPr>
                <w:rFonts w:ascii="Times New Roman" w:hAnsi="Times New Roman"/>
                <w:b/>
                <w:sz w:val="21"/>
                <w:szCs w:val="21"/>
              </w:rPr>
            </w:pPr>
          </w:p>
          <w:p w14:paraId="6BC0EF3F" w14:textId="77777777" w:rsidR="009C353B" w:rsidRDefault="009C353B">
            <w:pPr>
              <w:adjustRightInd w:val="0"/>
              <w:snapToGrid w:val="0"/>
              <w:spacing w:line="240" w:lineRule="atLeast"/>
              <w:ind w:left="211" w:hangingChars="100" w:hanging="211"/>
              <w:jc w:val="left"/>
              <w:rPr>
                <w:rFonts w:ascii="Times New Roman" w:hAnsi="Times New Roman"/>
                <w:b/>
                <w:sz w:val="21"/>
                <w:szCs w:val="21"/>
              </w:rPr>
            </w:pPr>
          </w:p>
          <w:p w14:paraId="63A726F1" w14:textId="77777777" w:rsidR="009C353B" w:rsidRDefault="00000000">
            <w:pPr>
              <w:pStyle w:val="afffff7"/>
              <w:snapToGrid w:val="0"/>
              <w:spacing w:line="240" w:lineRule="atLeast"/>
              <w:jc w:val="left"/>
              <w:rPr>
                <w:rFonts w:ascii="Times New Roman" w:hAnsi="Times New Roman"/>
                <w:szCs w:val="21"/>
              </w:rPr>
            </w:pPr>
            <w:r>
              <w:rPr>
                <w:rFonts w:ascii="Times New Roman" w:hAnsi="Times New Roman"/>
                <w:szCs w:val="21"/>
              </w:rPr>
              <w:t>7</w:t>
            </w:r>
            <w:r>
              <w:rPr>
                <w:rFonts w:ascii="Times New Roman" w:hAnsi="Times New Roman"/>
                <w:szCs w:val="21"/>
              </w:rPr>
              <w:t>、你认为现在环境最应保护的对象是什么？</w:t>
            </w:r>
          </w:p>
          <w:p w14:paraId="1E8DCA7D" w14:textId="77777777" w:rsidR="009C353B" w:rsidRDefault="009C353B">
            <w:pPr>
              <w:pStyle w:val="afffff7"/>
              <w:snapToGrid w:val="0"/>
              <w:spacing w:line="240" w:lineRule="atLeast"/>
              <w:jc w:val="left"/>
              <w:rPr>
                <w:rFonts w:ascii="Times New Roman" w:hAnsi="Times New Roman"/>
                <w:szCs w:val="21"/>
              </w:rPr>
            </w:pPr>
          </w:p>
          <w:p w14:paraId="409DD635" w14:textId="77777777" w:rsidR="009C353B" w:rsidRDefault="009C353B">
            <w:pPr>
              <w:pStyle w:val="afffff7"/>
              <w:snapToGrid w:val="0"/>
              <w:spacing w:line="240" w:lineRule="atLeast"/>
              <w:jc w:val="left"/>
              <w:rPr>
                <w:rFonts w:ascii="Times New Roman" w:hAnsi="Times New Roman"/>
                <w:szCs w:val="21"/>
              </w:rPr>
            </w:pPr>
          </w:p>
          <w:p w14:paraId="022F7CF5" w14:textId="77777777" w:rsidR="009C353B" w:rsidRDefault="009C353B">
            <w:pPr>
              <w:pStyle w:val="afffff7"/>
              <w:snapToGrid w:val="0"/>
              <w:spacing w:line="240" w:lineRule="atLeast"/>
              <w:jc w:val="left"/>
              <w:rPr>
                <w:rFonts w:ascii="Times New Roman" w:hAnsi="Times New Roman"/>
                <w:szCs w:val="21"/>
              </w:rPr>
            </w:pPr>
          </w:p>
          <w:p w14:paraId="72D98457" w14:textId="77777777" w:rsidR="009C353B" w:rsidRDefault="009C353B">
            <w:pPr>
              <w:pStyle w:val="afffff7"/>
              <w:snapToGrid w:val="0"/>
              <w:spacing w:line="240" w:lineRule="atLeast"/>
              <w:jc w:val="left"/>
              <w:rPr>
                <w:rFonts w:ascii="Times New Roman" w:hAnsi="Times New Roman"/>
                <w:szCs w:val="21"/>
              </w:rPr>
            </w:pPr>
          </w:p>
          <w:p w14:paraId="1DB6E66F" w14:textId="77777777" w:rsidR="009C353B" w:rsidRDefault="00000000">
            <w:pPr>
              <w:spacing w:line="240" w:lineRule="atLeast"/>
              <w:ind w:left="420" w:hangingChars="200" w:hanging="420"/>
              <w:rPr>
                <w:rFonts w:ascii="Times New Roman" w:hAnsi="Times New Roman"/>
                <w:sz w:val="21"/>
                <w:szCs w:val="21"/>
              </w:rPr>
            </w:pPr>
            <w:r>
              <w:rPr>
                <w:rFonts w:ascii="Times New Roman" w:hAnsi="Times New Roman"/>
                <w:sz w:val="21"/>
                <w:szCs w:val="21"/>
              </w:rPr>
              <w:t>8</w:t>
            </w:r>
            <w:r>
              <w:rPr>
                <w:rFonts w:ascii="Times New Roman" w:hAnsi="Times New Roman"/>
                <w:sz w:val="21"/>
                <w:szCs w:val="21"/>
              </w:rPr>
              <w:t>、您对矿区规划的实施在环境保护方面有什么要求和建议？</w:t>
            </w:r>
          </w:p>
          <w:p w14:paraId="0CB2FF3A" w14:textId="77777777" w:rsidR="009C353B" w:rsidRDefault="009C353B">
            <w:pPr>
              <w:spacing w:line="240" w:lineRule="atLeast"/>
              <w:ind w:left="420" w:hangingChars="200" w:hanging="420"/>
              <w:rPr>
                <w:rFonts w:ascii="Times New Roman" w:hAnsi="Times New Roman"/>
                <w:sz w:val="21"/>
                <w:szCs w:val="21"/>
              </w:rPr>
            </w:pPr>
          </w:p>
          <w:p w14:paraId="49F611D0" w14:textId="77777777" w:rsidR="009C353B" w:rsidRDefault="009C353B">
            <w:pPr>
              <w:spacing w:line="240" w:lineRule="atLeast"/>
              <w:ind w:firstLine="480"/>
              <w:rPr>
                <w:rFonts w:ascii="Times New Roman" w:hAnsi="Times New Roman"/>
                <w:sz w:val="21"/>
                <w:szCs w:val="21"/>
              </w:rPr>
            </w:pPr>
          </w:p>
          <w:p w14:paraId="001625D1" w14:textId="77777777" w:rsidR="009C353B" w:rsidRDefault="009C353B">
            <w:pPr>
              <w:spacing w:line="240" w:lineRule="atLeast"/>
              <w:ind w:firstLine="480"/>
              <w:rPr>
                <w:rFonts w:ascii="Times New Roman" w:hAnsi="Times New Roman"/>
                <w:sz w:val="21"/>
                <w:szCs w:val="21"/>
              </w:rPr>
            </w:pPr>
          </w:p>
          <w:p w14:paraId="6CB580D0" w14:textId="77777777" w:rsidR="009C353B" w:rsidRDefault="009C353B">
            <w:pPr>
              <w:spacing w:line="240" w:lineRule="atLeast"/>
              <w:ind w:firstLine="480"/>
              <w:rPr>
                <w:rFonts w:ascii="Times New Roman" w:hAnsi="Times New Roman"/>
                <w:sz w:val="21"/>
                <w:szCs w:val="21"/>
              </w:rPr>
            </w:pPr>
          </w:p>
          <w:p w14:paraId="0A1BAD1E" w14:textId="77777777" w:rsidR="009C353B" w:rsidRDefault="009C353B">
            <w:pPr>
              <w:spacing w:line="240" w:lineRule="atLeast"/>
              <w:ind w:firstLine="480"/>
              <w:rPr>
                <w:rFonts w:ascii="Times New Roman" w:hAnsi="Times New Roman"/>
                <w:sz w:val="21"/>
                <w:szCs w:val="21"/>
              </w:rPr>
            </w:pPr>
          </w:p>
          <w:p w14:paraId="62CD1B42" w14:textId="77777777" w:rsidR="009C353B" w:rsidRDefault="009C353B">
            <w:pPr>
              <w:spacing w:line="240" w:lineRule="atLeast"/>
              <w:ind w:firstLine="480"/>
              <w:rPr>
                <w:rFonts w:ascii="Times New Roman" w:hAnsi="Times New Roman"/>
                <w:sz w:val="21"/>
                <w:szCs w:val="21"/>
              </w:rPr>
            </w:pPr>
          </w:p>
          <w:p w14:paraId="719B9821" w14:textId="77777777" w:rsidR="009C353B" w:rsidRDefault="009C353B">
            <w:pPr>
              <w:spacing w:line="240" w:lineRule="atLeast"/>
              <w:ind w:firstLine="480"/>
              <w:rPr>
                <w:rFonts w:ascii="Times New Roman" w:hAnsi="Times New Roman"/>
                <w:sz w:val="21"/>
                <w:szCs w:val="21"/>
              </w:rPr>
            </w:pPr>
          </w:p>
          <w:p w14:paraId="79280C11" w14:textId="77777777" w:rsidR="009C353B" w:rsidRDefault="00000000">
            <w:pPr>
              <w:spacing w:line="240" w:lineRule="atLeast"/>
              <w:ind w:firstLineChars="1400" w:firstLine="2940"/>
              <w:rPr>
                <w:rFonts w:ascii="Times New Roman" w:hAnsi="Times New Roman"/>
                <w:sz w:val="21"/>
                <w:szCs w:val="21"/>
                <w:u w:val="single"/>
              </w:rPr>
            </w:pPr>
            <w:r>
              <w:rPr>
                <w:rFonts w:ascii="Times New Roman" w:hAnsi="Times New Roman"/>
                <w:sz w:val="21"/>
                <w:szCs w:val="21"/>
              </w:rPr>
              <w:t>单位名称：</w:t>
            </w:r>
            <w:r>
              <w:rPr>
                <w:rFonts w:ascii="Times New Roman" w:hAnsi="Times New Roman"/>
                <w:sz w:val="21"/>
                <w:szCs w:val="21"/>
                <w:u w:val="single"/>
              </w:rPr>
              <w:t xml:space="preserve">                               </w:t>
            </w:r>
          </w:p>
          <w:p w14:paraId="1063DF8A" w14:textId="77777777" w:rsidR="009C353B" w:rsidRDefault="00000000">
            <w:pPr>
              <w:spacing w:line="240" w:lineRule="atLeast"/>
              <w:jc w:val="center"/>
              <w:rPr>
                <w:rFonts w:ascii="Times New Roman" w:hAnsi="Times New Roman"/>
                <w:b/>
                <w:sz w:val="21"/>
                <w:szCs w:val="21"/>
              </w:rPr>
            </w:pPr>
            <w:r>
              <w:rPr>
                <w:rFonts w:ascii="Times New Roman" w:hAnsi="Times New Roman"/>
                <w:sz w:val="21"/>
                <w:szCs w:val="21"/>
              </w:rPr>
              <w:t xml:space="preserve">                                </w:t>
            </w:r>
            <w:r>
              <w:rPr>
                <w:rFonts w:ascii="Times New Roman" w:hAnsi="Times New Roman"/>
                <w:sz w:val="21"/>
                <w:szCs w:val="21"/>
              </w:rPr>
              <w:t>（公章）</w:t>
            </w:r>
          </w:p>
        </w:tc>
      </w:tr>
    </w:tbl>
    <w:p w14:paraId="67C2AECE" w14:textId="77777777" w:rsidR="009C353B" w:rsidRDefault="00000000">
      <w:pPr>
        <w:pStyle w:val="4e"/>
        <w:adjustRightInd w:val="0"/>
        <w:snapToGrid w:val="0"/>
        <w:spacing w:before="0" w:after="0" w:line="440" w:lineRule="exact"/>
      </w:pPr>
      <w:r>
        <w:t>12.3.4.2</w:t>
      </w:r>
      <w:r>
        <w:t>调查问卷发放方法</w:t>
      </w:r>
    </w:p>
    <w:p w14:paraId="32B8FF76"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hint="eastAsia"/>
        </w:rPr>
        <w:t>宁夏</w:t>
      </w:r>
      <w:r>
        <w:rPr>
          <w:rFonts w:ascii="Times New Roman" w:hAnsi="Times New Roman" w:hint="eastAsia"/>
          <w:szCs w:val="24"/>
        </w:rPr>
        <w:t>回族自治区发展和改革委员会通过《自治区发展改革委关于征求</w:t>
      </w:r>
      <w:r>
        <w:rPr>
          <w:rFonts w:ascii="Times New Roman" w:hAnsi="Times New Roman"/>
          <w:szCs w:val="24"/>
        </w:rPr>
        <w:t>&lt;</w:t>
      </w:r>
      <w:r>
        <w:rPr>
          <w:rFonts w:ascii="Times New Roman" w:hAnsi="Times New Roman" w:hint="eastAsia"/>
          <w:szCs w:val="24"/>
        </w:rPr>
        <w:t>横城矿区总体规划（修编）环境影响评价公众参与调查表</w:t>
      </w:r>
      <w:r>
        <w:rPr>
          <w:rFonts w:ascii="Times New Roman" w:hAnsi="Times New Roman" w:hint="eastAsia"/>
          <w:szCs w:val="24"/>
        </w:rPr>
        <w:t>&gt;</w:t>
      </w:r>
      <w:r>
        <w:rPr>
          <w:rFonts w:ascii="Times New Roman" w:hAnsi="Times New Roman" w:hint="eastAsia"/>
          <w:szCs w:val="24"/>
        </w:rPr>
        <w:t>意见的函》发放到</w:t>
      </w:r>
      <w:r>
        <w:rPr>
          <w:rFonts w:ascii="Times New Roman" w:hAnsi="Times New Roman" w:hint="eastAsia"/>
        </w:rPr>
        <w:t>各政府相关部门</w:t>
      </w:r>
      <w:r>
        <w:rPr>
          <w:rFonts w:ascii="Times New Roman" w:hAnsi="Times New Roman"/>
        </w:rPr>
        <w:t>手中。</w:t>
      </w:r>
    </w:p>
    <w:p w14:paraId="7E2D178C" w14:textId="77777777" w:rsidR="009C353B" w:rsidRDefault="00000000">
      <w:pPr>
        <w:pStyle w:val="4e"/>
        <w:adjustRightInd w:val="0"/>
        <w:snapToGrid w:val="0"/>
        <w:spacing w:before="0" w:after="0" w:line="440" w:lineRule="exact"/>
      </w:pPr>
      <w:bookmarkStart w:id="444" w:name="_Toc206750215"/>
      <w:bookmarkStart w:id="445" w:name="_Toc224098088"/>
      <w:bookmarkStart w:id="446" w:name="_Toc259623261"/>
      <w:r>
        <w:t xml:space="preserve">12.3.4.3 </w:t>
      </w:r>
      <w:r>
        <w:t>调查结果及统计分析</w:t>
      </w:r>
      <w:bookmarkEnd w:id="444"/>
      <w:bookmarkEnd w:id="445"/>
      <w:bookmarkEnd w:id="446"/>
    </w:p>
    <w:p w14:paraId="22ED5337" w14:textId="77777777" w:rsidR="009C353B" w:rsidRDefault="00000000">
      <w:pPr>
        <w:adjustRightInd w:val="0"/>
        <w:snapToGrid w:val="0"/>
        <w:spacing w:line="440" w:lineRule="exact"/>
        <w:ind w:firstLineChars="20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w:t>
      </w:r>
      <w:r>
        <w:rPr>
          <w:rFonts w:ascii="Times New Roman" w:hAnsi="Times New Roman"/>
          <w:b/>
        </w:rPr>
        <w:t xml:space="preserve"> </w:t>
      </w:r>
      <w:r>
        <w:rPr>
          <w:rFonts w:ascii="Times New Roman" w:hAnsi="Times New Roman"/>
          <w:b/>
        </w:rPr>
        <w:t>调查结果</w:t>
      </w:r>
    </w:p>
    <w:p w14:paraId="059E3A7A"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调查统计结果见表</w:t>
      </w:r>
      <w:r>
        <w:rPr>
          <w:rFonts w:ascii="Times New Roman" w:hAnsi="Times New Roman"/>
        </w:rPr>
        <w:t>12.3-2</w:t>
      </w:r>
      <w:r>
        <w:rPr>
          <w:rFonts w:ascii="Times New Roman" w:hAnsi="Times New Roman"/>
        </w:rPr>
        <w:t>及</w:t>
      </w:r>
      <w:r>
        <w:rPr>
          <w:rFonts w:ascii="Times New Roman" w:hAnsi="Times New Roman"/>
        </w:rPr>
        <w:t>12.3-3</w:t>
      </w:r>
      <w:r>
        <w:rPr>
          <w:rFonts w:ascii="Times New Roman" w:hAnsi="Times New Roman"/>
        </w:rPr>
        <w:t>。</w:t>
      </w:r>
    </w:p>
    <w:p w14:paraId="22361777" w14:textId="77777777" w:rsidR="009C353B" w:rsidRDefault="00000000">
      <w:pPr>
        <w:pStyle w:val="affffff0"/>
        <w:ind w:left="482"/>
        <w:jc w:val="center"/>
        <w:rPr>
          <w:rFonts w:ascii="Times New Roman" w:hint="eastAsia"/>
        </w:rPr>
      </w:pPr>
      <w:r>
        <w:rPr>
          <w:rFonts w:ascii="Times New Roman" w:hint="eastAsia"/>
        </w:rPr>
        <w:t>横城</w:t>
      </w:r>
      <w:r>
        <w:rPr>
          <w:rFonts w:ascii="Times New Roman"/>
        </w:rPr>
        <w:t>矿区总体规划</w:t>
      </w:r>
      <w:r>
        <w:rPr>
          <w:rFonts w:ascii="Times New Roman" w:hint="eastAsia"/>
        </w:rPr>
        <w:t>（修编）</w:t>
      </w:r>
      <w:r>
        <w:rPr>
          <w:rFonts w:ascii="Times New Roman"/>
        </w:rPr>
        <w:t>环境影响评价公众参与调查信息表</w:t>
      </w:r>
    </w:p>
    <w:p w14:paraId="102EEC1A" w14:textId="77777777" w:rsidR="009C353B" w:rsidRDefault="00000000">
      <w:pPr>
        <w:pStyle w:val="affffd"/>
        <w:spacing w:line="440" w:lineRule="exact"/>
        <w:rPr>
          <w:rFonts w:ascii="Times New Roman" w:hAnsi="Times New Roman"/>
        </w:rPr>
      </w:pPr>
      <w:r>
        <w:rPr>
          <w:rFonts w:ascii="Times New Roman" w:hAnsi="Times New Roman"/>
        </w:rPr>
        <w:t>表</w:t>
      </w:r>
      <w:r>
        <w:rPr>
          <w:rFonts w:ascii="Times New Roman" w:hAnsi="Times New Roman"/>
        </w:rPr>
        <w:t>12.3-2</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434"/>
        <w:gridCol w:w="3260"/>
        <w:gridCol w:w="850"/>
        <w:gridCol w:w="2977"/>
        <w:gridCol w:w="1565"/>
      </w:tblGrid>
      <w:tr w:rsidR="009C353B" w14:paraId="3ED3B66C" w14:textId="77777777">
        <w:trPr>
          <w:trHeight w:val="284"/>
          <w:jc w:val="center"/>
        </w:trPr>
        <w:tc>
          <w:tcPr>
            <w:tcW w:w="239" w:type="pct"/>
            <w:vAlign w:val="center"/>
          </w:tcPr>
          <w:p w14:paraId="732459F0"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序号</w:t>
            </w:r>
          </w:p>
        </w:tc>
        <w:tc>
          <w:tcPr>
            <w:tcW w:w="1794" w:type="pct"/>
            <w:vAlign w:val="center"/>
          </w:tcPr>
          <w:p w14:paraId="549B4ABE"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工作单位</w:t>
            </w:r>
          </w:p>
        </w:tc>
        <w:tc>
          <w:tcPr>
            <w:tcW w:w="468" w:type="pct"/>
            <w:vAlign w:val="center"/>
          </w:tcPr>
          <w:p w14:paraId="648F2CEB"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姓名</w:t>
            </w:r>
          </w:p>
        </w:tc>
        <w:tc>
          <w:tcPr>
            <w:tcW w:w="1638" w:type="pct"/>
            <w:vAlign w:val="center"/>
          </w:tcPr>
          <w:p w14:paraId="63BB21AA"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单位地址</w:t>
            </w:r>
          </w:p>
        </w:tc>
        <w:tc>
          <w:tcPr>
            <w:tcW w:w="861" w:type="pct"/>
            <w:vAlign w:val="center"/>
          </w:tcPr>
          <w:p w14:paraId="1D075EFC"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联系电话</w:t>
            </w:r>
          </w:p>
        </w:tc>
      </w:tr>
      <w:tr w:rsidR="009C353B" w14:paraId="16B071F0" w14:textId="77777777">
        <w:trPr>
          <w:trHeight w:val="284"/>
          <w:jc w:val="center"/>
        </w:trPr>
        <w:tc>
          <w:tcPr>
            <w:tcW w:w="239" w:type="pct"/>
            <w:vAlign w:val="center"/>
          </w:tcPr>
          <w:p w14:paraId="5B0A3502"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1</w:t>
            </w:r>
          </w:p>
        </w:tc>
        <w:tc>
          <w:tcPr>
            <w:tcW w:w="1794" w:type="pct"/>
            <w:vAlign w:val="center"/>
          </w:tcPr>
          <w:p w14:paraId="31A07D85"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宁夏回族自治区生态环境厅</w:t>
            </w:r>
          </w:p>
        </w:tc>
        <w:tc>
          <w:tcPr>
            <w:tcW w:w="468" w:type="pct"/>
            <w:vAlign w:val="center"/>
          </w:tcPr>
          <w:p w14:paraId="74FC3174"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w:t>
            </w:r>
          </w:p>
        </w:tc>
        <w:tc>
          <w:tcPr>
            <w:tcW w:w="1638" w:type="pct"/>
            <w:vAlign w:val="center"/>
          </w:tcPr>
          <w:p w14:paraId="0A021CB0"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银川市金凤区上海西路</w:t>
            </w:r>
            <w:r>
              <w:rPr>
                <w:rFonts w:ascii="Times New Roman" w:hAnsi="Times New Roman" w:hint="eastAsia"/>
                <w:sz w:val="21"/>
                <w:szCs w:val="21"/>
              </w:rPr>
              <w:t>9</w:t>
            </w:r>
            <w:r>
              <w:rPr>
                <w:rFonts w:ascii="Times New Roman" w:hAnsi="Times New Roman"/>
                <w:sz w:val="21"/>
                <w:szCs w:val="21"/>
              </w:rPr>
              <w:t>9</w:t>
            </w:r>
            <w:r>
              <w:rPr>
                <w:rFonts w:ascii="Times New Roman" w:hAnsi="Times New Roman" w:hint="eastAsia"/>
                <w:sz w:val="21"/>
                <w:szCs w:val="21"/>
              </w:rPr>
              <w:t>-</w:t>
            </w:r>
            <w:r>
              <w:rPr>
                <w:rFonts w:ascii="Times New Roman" w:hAnsi="Times New Roman"/>
                <w:sz w:val="21"/>
                <w:szCs w:val="21"/>
              </w:rPr>
              <w:t>9</w:t>
            </w:r>
            <w:r>
              <w:rPr>
                <w:rFonts w:ascii="Times New Roman" w:hAnsi="Times New Roman" w:hint="eastAsia"/>
                <w:sz w:val="21"/>
                <w:szCs w:val="21"/>
              </w:rPr>
              <w:t>号</w:t>
            </w:r>
          </w:p>
        </w:tc>
        <w:tc>
          <w:tcPr>
            <w:tcW w:w="861" w:type="pct"/>
            <w:vAlign w:val="center"/>
          </w:tcPr>
          <w:p w14:paraId="0E1354FF"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951</w:t>
            </w:r>
            <w:r>
              <w:rPr>
                <w:rFonts w:ascii="Times New Roman" w:hAnsi="Times New Roman" w:hint="eastAsia"/>
                <w:sz w:val="21"/>
                <w:szCs w:val="21"/>
              </w:rPr>
              <w:t>-</w:t>
            </w:r>
            <w:r>
              <w:rPr>
                <w:rFonts w:ascii="Times New Roman" w:hAnsi="Times New Roman"/>
                <w:sz w:val="21"/>
                <w:szCs w:val="21"/>
              </w:rPr>
              <w:t>5160967</w:t>
            </w:r>
          </w:p>
        </w:tc>
      </w:tr>
      <w:tr w:rsidR="009C353B" w14:paraId="12B8A108" w14:textId="77777777">
        <w:trPr>
          <w:trHeight w:val="284"/>
          <w:jc w:val="center"/>
        </w:trPr>
        <w:tc>
          <w:tcPr>
            <w:tcW w:w="239" w:type="pct"/>
            <w:vAlign w:val="center"/>
          </w:tcPr>
          <w:p w14:paraId="0A0FB99D"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2</w:t>
            </w:r>
          </w:p>
        </w:tc>
        <w:tc>
          <w:tcPr>
            <w:tcW w:w="1794" w:type="pct"/>
            <w:vAlign w:val="center"/>
          </w:tcPr>
          <w:p w14:paraId="18508312"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宁夏回族自治区水利厅</w:t>
            </w:r>
          </w:p>
        </w:tc>
        <w:tc>
          <w:tcPr>
            <w:tcW w:w="468" w:type="pct"/>
            <w:vAlign w:val="center"/>
          </w:tcPr>
          <w:p w14:paraId="63C1048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王立明</w:t>
            </w:r>
          </w:p>
        </w:tc>
        <w:tc>
          <w:tcPr>
            <w:tcW w:w="1638" w:type="pct"/>
            <w:vAlign w:val="center"/>
          </w:tcPr>
          <w:p w14:paraId="7ED6C730"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银川市金凤区枕水巷</w:t>
            </w:r>
            <w:r>
              <w:rPr>
                <w:rFonts w:ascii="Times New Roman" w:hAnsi="Times New Roman" w:hint="eastAsia"/>
                <w:sz w:val="21"/>
                <w:szCs w:val="21"/>
              </w:rPr>
              <w:t>1</w:t>
            </w:r>
            <w:r>
              <w:rPr>
                <w:rFonts w:ascii="Times New Roman" w:hAnsi="Times New Roman"/>
                <w:sz w:val="21"/>
                <w:szCs w:val="21"/>
              </w:rPr>
              <w:t>59</w:t>
            </w:r>
            <w:r>
              <w:rPr>
                <w:rFonts w:ascii="Times New Roman" w:hAnsi="Times New Roman" w:hint="eastAsia"/>
                <w:sz w:val="21"/>
                <w:szCs w:val="21"/>
              </w:rPr>
              <w:t>号</w:t>
            </w:r>
          </w:p>
        </w:tc>
        <w:tc>
          <w:tcPr>
            <w:tcW w:w="861" w:type="pct"/>
            <w:vAlign w:val="center"/>
          </w:tcPr>
          <w:p w14:paraId="10A48616"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951</w:t>
            </w:r>
            <w:r>
              <w:rPr>
                <w:rFonts w:ascii="Times New Roman" w:hAnsi="Times New Roman" w:hint="eastAsia"/>
                <w:sz w:val="21"/>
                <w:szCs w:val="21"/>
              </w:rPr>
              <w:t>-</w:t>
            </w:r>
            <w:r>
              <w:rPr>
                <w:rFonts w:ascii="Times New Roman" w:hAnsi="Times New Roman"/>
                <w:sz w:val="21"/>
                <w:szCs w:val="21"/>
              </w:rPr>
              <w:t>5552339</w:t>
            </w:r>
          </w:p>
        </w:tc>
      </w:tr>
      <w:tr w:rsidR="009C353B" w14:paraId="7CB3BF31" w14:textId="77777777">
        <w:trPr>
          <w:trHeight w:val="284"/>
          <w:jc w:val="center"/>
        </w:trPr>
        <w:tc>
          <w:tcPr>
            <w:tcW w:w="239" w:type="pct"/>
            <w:vAlign w:val="center"/>
          </w:tcPr>
          <w:p w14:paraId="50067BBC"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3</w:t>
            </w:r>
          </w:p>
        </w:tc>
        <w:tc>
          <w:tcPr>
            <w:tcW w:w="1794" w:type="pct"/>
            <w:vAlign w:val="center"/>
          </w:tcPr>
          <w:p w14:paraId="23C5AE3F"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宁夏回族自治区自然资源厅</w:t>
            </w:r>
          </w:p>
        </w:tc>
        <w:tc>
          <w:tcPr>
            <w:tcW w:w="468" w:type="pct"/>
            <w:vAlign w:val="center"/>
          </w:tcPr>
          <w:p w14:paraId="71BA5D48"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w:t>
            </w:r>
          </w:p>
        </w:tc>
        <w:tc>
          <w:tcPr>
            <w:tcW w:w="1638" w:type="pct"/>
            <w:vAlign w:val="center"/>
          </w:tcPr>
          <w:p w14:paraId="15998E6B"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银川市金凤区</w:t>
            </w:r>
            <w:r>
              <w:rPr>
                <w:rFonts w:ascii="Times New Roman" w:hAnsi="Times New Roman"/>
                <w:sz w:val="21"/>
                <w:szCs w:val="21"/>
              </w:rPr>
              <w:t>尹家渠北街</w:t>
            </w:r>
            <w:r>
              <w:rPr>
                <w:rFonts w:ascii="Times New Roman" w:hAnsi="Times New Roman"/>
                <w:sz w:val="21"/>
                <w:szCs w:val="21"/>
              </w:rPr>
              <w:t>25</w:t>
            </w:r>
            <w:r>
              <w:rPr>
                <w:rFonts w:ascii="Times New Roman" w:hAnsi="Times New Roman"/>
                <w:sz w:val="21"/>
                <w:szCs w:val="21"/>
              </w:rPr>
              <w:t>号</w:t>
            </w:r>
          </w:p>
        </w:tc>
        <w:tc>
          <w:tcPr>
            <w:tcW w:w="861" w:type="pct"/>
            <w:vAlign w:val="center"/>
          </w:tcPr>
          <w:p w14:paraId="3EF94AB4"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951</w:t>
            </w:r>
            <w:r>
              <w:rPr>
                <w:rFonts w:ascii="Times New Roman" w:hAnsi="Times New Roman" w:hint="eastAsia"/>
                <w:sz w:val="21"/>
                <w:szCs w:val="21"/>
              </w:rPr>
              <w:t>-</w:t>
            </w:r>
            <w:r>
              <w:rPr>
                <w:rFonts w:ascii="Times New Roman" w:hAnsi="Times New Roman"/>
                <w:sz w:val="21"/>
                <w:szCs w:val="21"/>
              </w:rPr>
              <w:t>5962118</w:t>
            </w:r>
          </w:p>
        </w:tc>
      </w:tr>
      <w:tr w:rsidR="009C353B" w14:paraId="00AF56EC" w14:textId="77777777">
        <w:trPr>
          <w:trHeight w:val="284"/>
          <w:jc w:val="center"/>
        </w:trPr>
        <w:tc>
          <w:tcPr>
            <w:tcW w:w="239" w:type="pct"/>
            <w:vAlign w:val="center"/>
          </w:tcPr>
          <w:p w14:paraId="16BAB8E8"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4</w:t>
            </w:r>
          </w:p>
        </w:tc>
        <w:tc>
          <w:tcPr>
            <w:tcW w:w="1794" w:type="pct"/>
            <w:vAlign w:val="center"/>
          </w:tcPr>
          <w:p w14:paraId="14546ABC"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宁夏回族自治区林业和草原局</w:t>
            </w:r>
          </w:p>
        </w:tc>
        <w:tc>
          <w:tcPr>
            <w:tcW w:w="468" w:type="pct"/>
            <w:vAlign w:val="center"/>
          </w:tcPr>
          <w:p w14:paraId="058F6898"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丁</w:t>
            </w:r>
            <w:r>
              <w:rPr>
                <w:rFonts w:ascii="Times New Roman" w:hAnsi="Times New Roman" w:hint="eastAsia"/>
                <w:sz w:val="21"/>
                <w:szCs w:val="21"/>
              </w:rPr>
              <w:t xml:space="preserve"> </w:t>
            </w:r>
            <w:r>
              <w:rPr>
                <w:rFonts w:ascii="Times New Roman" w:hAnsi="Times New Roman"/>
                <w:sz w:val="21"/>
                <w:szCs w:val="21"/>
              </w:rPr>
              <w:t xml:space="preserve"> </w:t>
            </w:r>
            <w:r>
              <w:rPr>
                <w:rFonts w:ascii="Times New Roman" w:hAnsi="Times New Roman" w:hint="eastAsia"/>
                <w:sz w:val="21"/>
                <w:szCs w:val="21"/>
              </w:rPr>
              <w:t>一</w:t>
            </w:r>
          </w:p>
        </w:tc>
        <w:tc>
          <w:tcPr>
            <w:tcW w:w="1638" w:type="pct"/>
            <w:vAlign w:val="center"/>
          </w:tcPr>
          <w:p w14:paraId="69AC4ED5"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银川市金凤区南熏路西街</w:t>
            </w:r>
          </w:p>
        </w:tc>
        <w:tc>
          <w:tcPr>
            <w:tcW w:w="861" w:type="pct"/>
            <w:vAlign w:val="center"/>
          </w:tcPr>
          <w:p w14:paraId="12592363"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7795027259</w:t>
            </w:r>
          </w:p>
        </w:tc>
      </w:tr>
      <w:tr w:rsidR="009C353B" w14:paraId="5CEE40A4" w14:textId="77777777">
        <w:trPr>
          <w:trHeight w:val="284"/>
          <w:jc w:val="center"/>
        </w:trPr>
        <w:tc>
          <w:tcPr>
            <w:tcW w:w="239" w:type="pct"/>
            <w:vAlign w:val="center"/>
          </w:tcPr>
          <w:p w14:paraId="61A659EC"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5</w:t>
            </w:r>
          </w:p>
        </w:tc>
        <w:tc>
          <w:tcPr>
            <w:tcW w:w="1794" w:type="pct"/>
            <w:vAlign w:val="center"/>
          </w:tcPr>
          <w:p w14:paraId="45D4A9CC"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灵武市发展和改革局</w:t>
            </w:r>
          </w:p>
        </w:tc>
        <w:tc>
          <w:tcPr>
            <w:tcW w:w="468" w:type="pct"/>
            <w:vAlign w:val="center"/>
          </w:tcPr>
          <w:p w14:paraId="0A82CE1B"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马</w:t>
            </w:r>
            <w:r>
              <w:rPr>
                <w:rFonts w:ascii="Times New Roman" w:hAnsi="Times New Roman" w:hint="eastAsia"/>
                <w:sz w:val="21"/>
                <w:szCs w:val="21"/>
              </w:rPr>
              <w:t xml:space="preserve"> </w:t>
            </w:r>
            <w:r>
              <w:rPr>
                <w:rFonts w:ascii="Times New Roman" w:hAnsi="Times New Roman"/>
                <w:sz w:val="21"/>
                <w:szCs w:val="21"/>
              </w:rPr>
              <w:t xml:space="preserve"> </w:t>
            </w:r>
            <w:r>
              <w:rPr>
                <w:rFonts w:ascii="Times New Roman" w:hAnsi="Times New Roman" w:hint="eastAsia"/>
                <w:sz w:val="21"/>
                <w:szCs w:val="21"/>
              </w:rPr>
              <w:t>勇</w:t>
            </w:r>
          </w:p>
        </w:tc>
        <w:tc>
          <w:tcPr>
            <w:tcW w:w="1638" w:type="pct"/>
            <w:vAlign w:val="center"/>
          </w:tcPr>
          <w:p w14:paraId="572990DD"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灵武市党政办公大楼八楼</w:t>
            </w:r>
          </w:p>
        </w:tc>
        <w:tc>
          <w:tcPr>
            <w:tcW w:w="861" w:type="pct"/>
            <w:vAlign w:val="center"/>
          </w:tcPr>
          <w:p w14:paraId="70A74AD2"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3995491696</w:t>
            </w:r>
          </w:p>
        </w:tc>
      </w:tr>
      <w:tr w:rsidR="009C353B" w14:paraId="05EBCF14" w14:textId="77777777">
        <w:trPr>
          <w:trHeight w:val="284"/>
          <w:jc w:val="center"/>
        </w:trPr>
        <w:tc>
          <w:tcPr>
            <w:tcW w:w="239" w:type="pct"/>
            <w:vAlign w:val="center"/>
          </w:tcPr>
          <w:p w14:paraId="3B32B237"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6</w:t>
            </w:r>
          </w:p>
        </w:tc>
        <w:tc>
          <w:tcPr>
            <w:tcW w:w="1794" w:type="pct"/>
            <w:vAlign w:val="center"/>
          </w:tcPr>
          <w:p w14:paraId="22EBAB45"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sz w:val="21"/>
                <w:szCs w:val="21"/>
              </w:rPr>
              <w:t>银川市生态环境局灵武分局</w:t>
            </w:r>
          </w:p>
        </w:tc>
        <w:tc>
          <w:tcPr>
            <w:tcW w:w="468" w:type="pct"/>
            <w:vAlign w:val="center"/>
          </w:tcPr>
          <w:p w14:paraId="46162DE3"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杨吉东</w:t>
            </w:r>
          </w:p>
        </w:tc>
        <w:tc>
          <w:tcPr>
            <w:tcW w:w="1638" w:type="pct"/>
            <w:vAlign w:val="center"/>
          </w:tcPr>
          <w:p w14:paraId="5BEB43AA"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灵武市灵州大道</w:t>
            </w:r>
            <w:r>
              <w:rPr>
                <w:rFonts w:ascii="Times New Roman" w:hAnsi="Times New Roman" w:hint="eastAsia"/>
                <w:sz w:val="21"/>
                <w:szCs w:val="21"/>
              </w:rPr>
              <w:t>8</w:t>
            </w:r>
            <w:r>
              <w:rPr>
                <w:rFonts w:ascii="Times New Roman" w:hAnsi="Times New Roman"/>
                <w:sz w:val="21"/>
                <w:szCs w:val="21"/>
              </w:rPr>
              <w:t>0</w:t>
            </w:r>
            <w:r>
              <w:rPr>
                <w:rFonts w:ascii="Times New Roman" w:hAnsi="Times New Roman" w:hint="eastAsia"/>
                <w:sz w:val="21"/>
                <w:szCs w:val="21"/>
              </w:rPr>
              <w:t>号</w:t>
            </w:r>
          </w:p>
        </w:tc>
        <w:tc>
          <w:tcPr>
            <w:tcW w:w="861" w:type="pct"/>
            <w:vAlign w:val="center"/>
          </w:tcPr>
          <w:p w14:paraId="6B8FC7AB"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0</w:t>
            </w:r>
            <w:r>
              <w:rPr>
                <w:rFonts w:ascii="Times New Roman" w:hAnsi="Times New Roman"/>
                <w:kern w:val="0"/>
                <w:sz w:val="21"/>
                <w:szCs w:val="21"/>
              </w:rPr>
              <w:t>951</w:t>
            </w:r>
            <w:r>
              <w:rPr>
                <w:rFonts w:ascii="Times New Roman" w:hAnsi="Times New Roman" w:hint="eastAsia"/>
                <w:kern w:val="0"/>
                <w:sz w:val="21"/>
                <w:szCs w:val="21"/>
              </w:rPr>
              <w:t>-</w:t>
            </w:r>
            <w:r>
              <w:rPr>
                <w:rFonts w:ascii="Times New Roman" w:hAnsi="Times New Roman"/>
                <w:kern w:val="0"/>
                <w:sz w:val="21"/>
                <w:szCs w:val="21"/>
              </w:rPr>
              <w:t>4020765</w:t>
            </w:r>
          </w:p>
        </w:tc>
      </w:tr>
      <w:tr w:rsidR="009C353B" w14:paraId="12B368D4" w14:textId="77777777">
        <w:trPr>
          <w:trHeight w:val="284"/>
          <w:jc w:val="center"/>
        </w:trPr>
        <w:tc>
          <w:tcPr>
            <w:tcW w:w="239" w:type="pct"/>
            <w:vAlign w:val="center"/>
          </w:tcPr>
          <w:p w14:paraId="4273F1BB"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7</w:t>
            </w:r>
          </w:p>
        </w:tc>
        <w:tc>
          <w:tcPr>
            <w:tcW w:w="1794" w:type="pct"/>
            <w:vAlign w:val="center"/>
          </w:tcPr>
          <w:p w14:paraId="750D6700"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sz w:val="21"/>
                <w:szCs w:val="21"/>
              </w:rPr>
              <w:t>灵武市自然资源局</w:t>
            </w:r>
          </w:p>
        </w:tc>
        <w:tc>
          <w:tcPr>
            <w:tcW w:w="468" w:type="pct"/>
            <w:vAlign w:val="center"/>
          </w:tcPr>
          <w:p w14:paraId="1E356390"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关蓉江</w:t>
            </w:r>
          </w:p>
        </w:tc>
        <w:tc>
          <w:tcPr>
            <w:tcW w:w="1638" w:type="pct"/>
            <w:vAlign w:val="center"/>
          </w:tcPr>
          <w:p w14:paraId="013948D5"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灵武市灵州大道北侧</w:t>
            </w:r>
          </w:p>
        </w:tc>
        <w:tc>
          <w:tcPr>
            <w:tcW w:w="861" w:type="pct"/>
            <w:vAlign w:val="center"/>
          </w:tcPr>
          <w:p w14:paraId="0DABCBBA"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3895690827</w:t>
            </w:r>
          </w:p>
        </w:tc>
      </w:tr>
      <w:tr w:rsidR="009C353B" w14:paraId="3D0DE391" w14:textId="77777777">
        <w:trPr>
          <w:trHeight w:val="284"/>
          <w:jc w:val="center"/>
        </w:trPr>
        <w:tc>
          <w:tcPr>
            <w:tcW w:w="239" w:type="pct"/>
            <w:vAlign w:val="center"/>
          </w:tcPr>
          <w:p w14:paraId="07C94C39"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8</w:t>
            </w:r>
          </w:p>
        </w:tc>
        <w:tc>
          <w:tcPr>
            <w:tcW w:w="1794" w:type="pct"/>
            <w:vAlign w:val="center"/>
          </w:tcPr>
          <w:p w14:paraId="507DCF35"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sz w:val="21"/>
                <w:szCs w:val="21"/>
              </w:rPr>
              <w:t>灵武市水利局（水政水资源站）</w:t>
            </w:r>
          </w:p>
        </w:tc>
        <w:tc>
          <w:tcPr>
            <w:tcW w:w="468" w:type="pct"/>
            <w:vAlign w:val="center"/>
          </w:tcPr>
          <w:p w14:paraId="0582F1B2"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徐</w:t>
            </w:r>
            <w:r>
              <w:rPr>
                <w:rFonts w:ascii="Times New Roman" w:hAnsi="Times New Roman" w:hint="eastAsia"/>
                <w:kern w:val="0"/>
                <w:sz w:val="21"/>
                <w:szCs w:val="21"/>
              </w:rPr>
              <w:t xml:space="preserve"> </w:t>
            </w:r>
            <w:r>
              <w:rPr>
                <w:rFonts w:ascii="Times New Roman" w:hAnsi="Times New Roman"/>
                <w:kern w:val="0"/>
                <w:sz w:val="21"/>
                <w:szCs w:val="21"/>
              </w:rPr>
              <w:t xml:space="preserve"> </w:t>
            </w:r>
            <w:r>
              <w:rPr>
                <w:rFonts w:ascii="Times New Roman" w:hAnsi="Times New Roman" w:hint="eastAsia"/>
                <w:kern w:val="0"/>
                <w:sz w:val="21"/>
                <w:szCs w:val="21"/>
              </w:rPr>
              <w:t>珍</w:t>
            </w:r>
          </w:p>
        </w:tc>
        <w:tc>
          <w:tcPr>
            <w:tcW w:w="1638" w:type="pct"/>
            <w:vAlign w:val="center"/>
          </w:tcPr>
          <w:p w14:paraId="0B7EF5C3"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灵武市西平街</w:t>
            </w:r>
            <w:r>
              <w:rPr>
                <w:rFonts w:ascii="Times New Roman" w:hAnsi="Times New Roman" w:hint="eastAsia"/>
                <w:sz w:val="21"/>
                <w:szCs w:val="21"/>
              </w:rPr>
              <w:t>1</w:t>
            </w:r>
            <w:r>
              <w:rPr>
                <w:rFonts w:ascii="Times New Roman" w:hAnsi="Times New Roman"/>
                <w:sz w:val="21"/>
                <w:szCs w:val="21"/>
              </w:rPr>
              <w:t>42</w:t>
            </w:r>
            <w:r>
              <w:rPr>
                <w:rFonts w:ascii="Times New Roman" w:hAnsi="Times New Roman" w:hint="eastAsia"/>
                <w:sz w:val="21"/>
                <w:szCs w:val="21"/>
              </w:rPr>
              <w:t>号</w:t>
            </w:r>
          </w:p>
        </w:tc>
        <w:tc>
          <w:tcPr>
            <w:tcW w:w="861" w:type="pct"/>
            <w:vAlign w:val="center"/>
          </w:tcPr>
          <w:p w14:paraId="20A6E0E1"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w:t>
            </w:r>
          </w:p>
        </w:tc>
      </w:tr>
      <w:tr w:rsidR="009C353B" w14:paraId="003382D2" w14:textId="77777777">
        <w:trPr>
          <w:trHeight w:val="284"/>
          <w:jc w:val="center"/>
        </w:trPr>
        <w:tc>
          <w:tcPr>
            <w:tcW w:w="239" w:type="pct"/>
            <w:vAlign w:val="center"/>
          </w:tcPr>
          <w:p w14:paraId="58E0049F"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kern w:val="0"/>
                <w:sz w:val="21"/>
                <w:szCs w:val="21"/>
              </w:rPr>
              <w:t>9</w:t>
            </w:r>
          </w:p>
        </w:tc>
        <w:tc>
          <w:tcPr>
            <w:tcW w:w="1794" w:type="pct"/>
            <w:vAlign w:val="center"/>
          </w:tcPr>
          <w:p w14:paraId="251E2486"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sz w:val="21"/>
                <w:szCs w:val="21"/>
              </w:rPr>
              <w:t>灵武市水利局（河湖保护中心）</w:t>
            </w:r>
          </w:p>
        </w:tc>
        <w:tc>
          <w:tcPr>
            <w:tcW w:w="468" w:type="pct"/>
            <w:vAlign w:val="center"/>
          </w:tcPr>
          <w:p w14:paraId="106BFD94"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马自海</w:t>
            </w:r>
          </w:p>
        </w:tc>
        <w:tc>
          <w:tcPr>
            <w:tcW w:w="1638" w:type="pct"/>
            <w:vAlign w:val="center"/>
          </w:tcPr>
          <w:p w14:paraId="19EBC287"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灵武市水务局</w:t>
            </w:r>
          </w:p>
        </w:tc>
        <w:tc>
          <w:tcPr>
            <w:tcW w:w="861" w:type="pct"/>
            <w:vAlign w:val="center"/>
          </w:tcPr>
          <w:p w14:paraId="04926B85"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0</w:t>
            </w:r>
            <w:r>
              <w:rPr>
                <w:rFonts w:ascii="Times New Roman" w:hAnsi="Times New Roman"/>
                <w:kern w:val="0"/>
                <w:sz w:val="21"/>
                <w:szCs w:val="21"/>
              </w:rPr>
              <w:t>951</w:t>
            </w:r>
            <w:r>
              <w:rPr>
                <w:rFonts w:ascii="Times New Roman" w:hAnsi="Times New Roman" w:hint="eastAsia"/>
                <w:kern w:val="0"/>
                <w:sz w:val="21"/>
                <w:szCs w:val="21"/>
              </w:rPr>
              <w:t>-</w:t>
            </w:r>
            <w:r>
              <w:rPr>
                <w:rFonts w:ascii="Times New Roman" w:hAnsi="Times New Roman"/>
                <w:kern w:val="0"/>
                <w:sz w:val="21"/>
                <w:szCs w:val="21"/>
              </w:rPr>
              <w:t>4020678</w:t>
            </w:r>
          </w:p>
        </w:tc>
      </w:tr>
      <w:tr w:rsidR="009C353B" w14:paraId="2B62F72C" w14:textId="77777777">
        <w:trPr>
          <w:trHeight w:val="284"/>
          <w:jc w:val="center"/>
        </w:trPr>
        <w:tc>
          <w:tcPr>
            <w:tcW w:w="239" w:type="pct"/>
            <w:vAlign w:val="center"/>
          </w:tcPr>
          <w:p w14:paraId="532E59ED"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0</w:t>
            </w:r>
          </w:p>
        </w:tc>
        <w:tc>
          <w:tcPr>
            <w:tcW w:w="1794" w:type="pct"/>
            <w:vAlign w:val="center"/>
          </w:tcPr>
          <w:p w14:paraId="343CB650"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sz w:val="21"/>
                <w:szCs w:val="21"/>
              </w:rPr>
              <w:t>灵武市水利局（水土保持站）</w:t>
            </w:r>
          </w:p>
        </w:tc>
        <w:tc>
          <w:tcPr>
            <w:tcW w:w="468" w:type="pct"/>
            <w:vAlign w:val="center"/>
          </w:tcPr>
          <w:p w14:paraId="182ADB6E"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闫立宏</w:t>
            </w:r>
          </w:p>
        </w:tc>
        <w:tc>
          <w:tcPr>
            <w:tcW w:w="1638" w:type="pct"/>
            <w:vAlign w:val="center"/>
          </w:tcPr>
          <w:p w14:paraId="3F30BF90"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灵武市西平街</w:t>
            </w:r>
            <w:r>
              <w:rPr>
                <w:rFonts w:ascii="Times New Roman" w:hAnsi="Times New Roman" w:hint="eastAsia"/>
                <w:sz w:val="21"/>
                <w:szCs w:val="21"/>
              </w:rPr>
              <w:t>1</w:t>
            </w:r>
            <w:r>
              <w:rPr>
                <w:rFonts w:ascii="Times New Roman" w:hAnsi="Times New Roman"/>
                <w:sz w:val="21"/>
                <w:szCs w:val="21"/>
              </w:rPr>
              <w:t>42</w:t>
            </w:r>
            <w:r>
              <w:rPr>
                <w:rFonts w:ascii="Times New Roman" w:hAnsi="Times New Roman" w:hint="eastAsia"/>
                <w:sz w:val="21"/>
                <w:szCs w:val="21"/>
              </w:rPr>
              <w:t>号</w:t>
            </w:r>
          </w:p>
        </w:tc>
        <w:tc>
          <w:tcPr>
            <w:tcW w:w="861" w:type="pct"/>
            <w:vAlign w:val="center"/>
          </w:tcPr>
          <w:p w14:paraId="4C31BE6B"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39953962986</w:t>
            </w:r>
          </w:p>
        </w:tc>
      </w:tr>
      <w:tr w:rsidR="009C353B" w14:paraId="7EC27FD3" w14:textId="77777777">
        <w:trPr>
          <w:trHeight w:val="284"/>
          <w:jc w:val="center"/>
        </w:trPr>
        <w:tc>
          <w:tcPr>
            <w:tcW w:w="239" w:type="pct"/>
            <w:vAlign w:val="center"/>
          </w:tcPr>
          <w:p w14:paraId="0EB126D5"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1</w:t>
            </w:r>
          </w:p>
        </w:tc>
        <w:tc>
          <w:tcPr>
            <w:tcW w:w="1794" w:type="pct"/>
            <w:vAlign w:val="center"/>
          </w:tcPr>
          <w:p w14:paraId="3D2B76AC"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sz w:val="21"/>
                <w:szCs w:val="21"/>
              </w:rPr>
              <w:t>灵武市农业农村局</w:t>
            </w:r>
          </w:p>
        </w:tc>
        <w:tc>
          <w:tcPr>
            <w:tcW w:w="468" w:type="pct"/>
            <w:vAlign w:val="center"/>
          </w:tcPr>
          <w:p w14:paraId="47746E4A"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杜学金</w:t>
            </w:r>
          </w:p>
        </w:tc>
        <w:tc>
          <w:tcPr>
            <w:tcW w:w="1638" w:type="pct"/>
            <w:vAlign w:val="center"/>
          </w:tcPr>
          <w:p w14:paraId="58B7E380"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灵武市灵州大道西段南侧</w:t>
            </w:r>
          </w:p>
        </w:tc>
        <w:tc>
          <w:tcPr>
            <w:tcW w:w="861" w:type="pct"/>
            <w:vAlign w:val="center"/>
          </w:tcPr>
          <w:p w14:paraId="219F7E71"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0</w:t>
            </w:r>
            <w:r>
              <w:rPr>
                <w:rFonts w:ascii="Times New Roman" w:hAnsi="Times New Roman"/>
                <w:kern w:val="0"/>
                <w:sz w:val="21"/>
                <w:szCs w:val="21"/>
              </w:rPr>
              <w:t>951</w:t>
            </w:r>
            <w:r>
              <w:rPr>
                <w:rFonts w:ascii="Times New Roman" w:hAnsi="Times New Roman" w:hint="eastAsia"/>
                <w:kern w:val="0"/>
                <w:sz w:val="21"/>
                <w:szCs w:val="21"/>
              </w:rPr>
              <w:t>-</w:t>
            </w:r>
            <w:r>
              <w:rPr>
                <w:rFonts w:ascii="Times New Roman" w:hAnsi="Times New Roman"/>
                <w:kern w:val="0"/>
                <w:sz w:val="21"/>
                <w:szCs w:val="21"/>
              </w:rPr>
              <w:t>4759655</w:t>
            </w:r>
          </w:p>
        </w:tc>
      </w:tr>
      <w:tr w:rsidR="009C353B" w14:paraId="70B634D5" w14:textId="77777777">
        <w:trPr>
          <w:trHeight w:val="284"/>
          <w:jc w:val="center"/>
        </w:trPr>
        <w:tc>
          <w:tcPr>
            <w:tcW w:w="239" w:type="pct"/>
            <w:vAlign w:val="center"/>
          </w:tcPr>
          <w:p w14:paraId="06AECC80"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2</w:t>
            </w:r>
          </w:p>
        </w:tc>
        <w:tc>
          <w:tcPr>
            <w:tcW w:w="1794" w:type="pct"/>
            <w:vAlign w:val="center"/>
          </w:tcPr>
          <w:p w14:paraId="7AE7EDF0"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灵武市文化旅游广电局</w:t>
            </w:r>
          </w:p>
        </w:tc>
        <w:tc>
          <w:tcPr>
            <w:tcW w:w="468" w:type="pct"/>
            <w:vAlign w:val="center"/>
          </w:tcPr>
          <w:p w14:paraId="2EA00D2B"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杨自林</w:t>
            </w:r>
          </w:p>
        </w:tc>
        <w:tc>
          <w:tcPr>
            <w:tcW w:w="1638" w:type="pct"/>
            <w:vAlign w:val="center"/>
          </w:tcPr>
          <w:p w14:paraId="4D26038F"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灵武市灵州大道</w:t>
            </w:r>
          </w:p>
        </w:tc>
        <w:tc>
          <w:tcPr>
            <w:tcW w:w="861" w:type="pct"/>
            <w:vAlign w:val="center"/>
          </w:tcPr>
          <w:p w14:paraId="46637617"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3995399118</w:t>
            </w:r>
          </w:p>
        </w:tc>
      </w:tr>
      <w:tr w:rsidR="009C353B" w14:paraId="15EF30D8" w14:textId="77777777">
        <w:trPr>
          <w:trHeight w:val="284"/>
          <w:jc w:val="center"/>
        </w:trPr>
        <w:tc>
          <w:tcPr>
            <w:tcW w:w="239" w:type="pct"/>
            <w:vAlign w:val="center"/>
          </w:tcPr>
          <w:p w14:paraId="1915BF79"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3</w:t>
            </w:r>
          </w:p>
        </w:tc>
        <w:tc>
          <w:tcPr>
            <w:tcW w:w="1794" w:type="pct"/>
            <w:vAlign w:val="center"/>
          </w:tcPr>
          <w:p w14:paraId="725F549A"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宁夏回族自治区宁东能源化工基地管理委员会</w:t>
            </w:r>
          </w:p>
        </w:tc>
        <w:tc>
          <w:tcPr>
            <w:tcW w:w="468" w:type="pct"/>
            <w:vAlign w:val="center"/>
          </w:tcPr>
          <w:p w14:paraId="4E3D9B5E"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朱效慧</w:t>
            </w:r>
          </w:p>
        </w:tc>
        <w:tc>
          <w:tcPr>
            <w:tcW w:w="1638" w:type="pct"/>
            <w:vAlign w:val="center"/>
          </w:tcPr>
          <w:p w14:paraId="2C7E561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宁东镇长城路</w:t>
            </w:r>
            <w:r>
              <w:rPr>
                <w:rFonts w:ascii="Times New Roman" w:hAnsi="Times New Roman" w:hint="eastAsia"/>
                <w:sz w:val="21"/>
                <w:szCs w:val="21"/>
              </w:rPr>
              <w:t>7</w:t>
            </w:r>
            <w:r>
              <w:rPr>
                <w:rFonts w:ascii="Times New Roman" w:hAnsi="Times New Roman" w:hint="eastAsia"/>
                <w:sz w:val="21"/>
                <w:szCs w:val="21"/>
              </w:rPr>
              <w:t>号企业总部大楼</w:t>
            </w:r>
          </w:p>
        </w:tc>
        <w:tc>
          <w:tcPr>
            <w:tcW w:w="861" w:type="pct"/>
            <w:vAlign w:val="center"/>
          </w:tcPr>
          <w:p w14:paraId="05B899C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951</w:t>
            </w:r>
            <w:r>
              <w:rPr>
                <w:rFonts w:ascii="Times New Roman" w:hAnsi="Times New Roman" w:hint="eastAsia"/>
                <w:sz w:val="21"/>
                <w:szCs w:val="21"/>
              </w:rPr>
              <w:t>-</w:t>
            </w:r>
            <w:r>
              <w:rPr>
                <w:rFonts w:ascii="Times New Roman" w:hAnsi="Times New Roman"/>
                <w:sz w:val="21"/>
                <w:szCs w:val="21"/>
              </w:rPr>
              <w:t>5918378</w:t>
            </w:r>
          </w:p>
        </w:tc>
      </w:tr>
      <w:tr w:rsidR="009C353B" w14:paraId="47523324" w14:textId="77777777">
        <w:trPr>
          <w:trHeight w:val="284"/>
          <w:jc w:val="center"/>
        </w:trPr>
        <w:tc>
          <w:tcPr>
            <w:tcW w:w="239" w:type="pct"/>
            <w:vAlign w:val="center"/>
          </w:tcPr>
          <w:p w14:paraId="14319CFF"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4</w:t>
            </w:r>
          </w:p>
        </w:tc>
        <w:tc>
          <w:tcPr>
            <w:tcW w:w="1794" w:type="pct"/>
            <w:vAlign w:val="center"/>
          </w:tcPr>
          <w:p w14:paraId="4E60A3E6"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宁夏回族自治区宁东能源化工基地管理委员会环境保护局</w:t>
            </w:r>
          </w:p>
        </w:tc>
        <w:tc>
          <w:tcPr>
            <w:tcW w:w="468" w:type="pct"/>
            <w:vAlign w:val="center"/>
          </w:tcPr>
          <w:p w14:paraId="6C7C9069"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王</w:t>
            </w:r>
            <w:r>
              <w:rPr>
                <w:rFonts w:ascii="Times New Roman" w:hAnsi="Times New Roman" w:hint="eastAsia"/>
                <w:sz w:val="21"/>
                <w:szCs w:val="21"/>
              </w:rPr>
              <w:t xml:space="preserve"> </w:t>
            </w:r>
            <w:r>
              <w:rPr>
                <w:rFonts w:ascii="Times New Roman" w:hAnsi="Times New Roman"/>
                <w:sz w:val="21"/>
                <w:szCs w:val="21"/>
              </w:rPr>
              <w:t xml:space="preserve"> </w:t>
            </w:r>
            <w:r>
              <w:rPr>
                <w:rFonts w:ascii="Times New Roman" w:hAnsi="Times New Roman" w:hint="eastAsia"/>
                <w:sz w:val="21"/>
                <w:szCs w:val="21"/>
              </w:rPr>
              <w:t>蓉</w:t>
            </w:r>
          </w:p>
        </w:tc>
        <w:tc>
          <w:tcPr>
            <w:tcW w:w="1638" w:type="pct"/>
            <w:vAlign w:val="center"/>
          </w:tcPr>
          <w:p w14:paraId="01BCEE88"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宁东镇长城路</w:t>
            </w:r>
            <w:r>
              <w:rPr>
                <w:rFonts w:ascii="Times New Roman" w:hAnsi="Times New Roman" w:hint="eastAsia"/>
                <w:sz w:val="21"/>
                <w:szCs w:val="21"/>
              </w:rPr>
              <w:t>7</w:t>
            </w:r>
            <w:r>
              <w:rPr>
                <w:rFonts w:ascii="Times New Roman" w:hAnsi="Times New Roman" w:hint="eastAsia"/>
                <w:sz w:val="21"/>
                <w:szCs w:val="21"/>
              </w:rPr>
              <w:t>号企业总部大楼</w:t>
            </w:r>
            <w:r>
              <w:rPr>
                <w:rFonts w:ascii="Times New Roman" w:hAnsi="Times New Roman" w:hint="eastAsia"/>
                <w:sz w:val="21"/>
                <w:szCs w:val="21"/>
              </w:rPr>
              <w:t>1</w:t>
            </w:r>
            <w:r>
              <w:rPr>
                <w:rFonts w:ascii="Times New Roman" w:hAnsi="Times New Roman"/>
                <w:sz w:val="21"/>
                <w:szCs w:val="21"/>
              </w:rPr>
              <w:t>0</w:t>
            </w:r>
            <w:r>
              <w:rPr>
                <w:rFonts w:ascii="Times New Roman" w:hAnsi="Times New Roman" w:hint="eastAsia"/>
                <w:sz w:val="21"/>
                <w:szCs w:val="21"/>
              </w:rPr>
              <w:t>层</w:t>
            </w:r>
          </w:p>
        </w:tc>
        <w:tc>
          <w:tcPr>
            <w:tcW w:w="861" w:type="pct"/>
            <w:vAlign w:val="center"/>
          </w:tcPr>
          <w:p w14:paraId="4817778D"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sz w:val="21"/>
                <w:szCs w:val="21"/>
              </w:rPr>
              <w:t>951</w:t>
            </w:r>
            <w:r>
              <w:rPr>
                <w:rFonts w:ascii="Times New Roman" w:hAnsi="Times New Roman" w:hint="eastAsia"/>
                <w:sz w:val="21"/>
                <w:szCs w:val="21"/>
              </w:rPr>
              <w:t>-</w:t>
            </w:r>
            <w:r>
              <w:rPr>
                <w:rFonts w:ascii="Times New Roman" w:hAnsi="Times New Roman"/>
                <w:sz w:val="21"/>
                <w:szCs w:val="21"/>
              </w:rPr>
              <w:t>5918338</w:t>
            </w:r>
          </w:p>
        </w:tc>
      </w:tr>
      <w:tr w:rsidR="009C353B" w14:paraId="57905D10" w14:textId="77777777">
        <w:trPr>
          <w:trHeight w:val="284"/>
          <w:jc w:val="center"/>
        </w:trPr>
        <w:tc>
          <w:tcPr>
            <w:tcW w:w="239" w:type="pct"/>
            <w:vAlign w:val="center"/>
          </w:tcPr>
          <w:p w14:paraId="3780D188" w14:textId="77777777" w:rsidR="009C353B" w:rsidRDefault="00000000">
            <w:pPr>
              <w:widowControl/>
              <w:adjustRightInd w:val="0"/>
              <w:snapToGrid w:val="0"/>
              <w:spacing w:line="240" w:lineRule="exact"/>
              <w:jc w:val="center"/>
              <w:rPr>
                <w:rFonts w:ascii="Times New Roman" w:hAnsi="Times New Roman"/>
                <w:kern w:val="0"/>
                <w:sz w:val="21"/>
                <w:szCs w:val="21"/>
              </w:rPr>
            </w:pPr>
            <w:r>
              <w:rPr>
                <w:rFonts w:ascii="Times New Roman" w:hAnsi="Times New Roman" w:hint="eastAsia"/>
                <w:kern w:val="0"/>
                <w:sz w:val="21"/>
                <w:szCs w:val="21"/>
              </w:rPr>
              <w:t>1</w:t>
            </w:r>
            <w:r>
              <w:rPr>
                <w:rFonts w:ascii="Times New Roman" w:hAnsi="Times New Roman"/>
                <w:kern w:val="0"/>
                <w:sz w:val="21"/>
                <w:szCs w:val="21"/>
              </w:rPr>
              <w:t>5</w:t>
            </w:r>
          </w:p>
        </w:tc>
        <w:tc>
          <w:tcPr>
            <w:tcW w:w="1794" w:type="pct"/>
            <w:vAlign w:val="center"/>
          </w:tcPr>
          <w:p w14:paraId="63F325FF"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宁夏灵武白芨滩国家级自然保护区管理局</w:t>
            </w:r>
          </w:p>
        </w:tc>
        <w:tc>
          <w:tcPr>
            <w:tcW w:w="468" w:type="pct"/>
            <w:vAlign w:val="center"/>
          </w:tcPr>
          <w:p w14:paraId="02058E7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李海燕</w:t>
            </w:r>
          </w:p>
        </w:tc>
        <w:tc>
          <w:tcPr>
            <w:tcW w:w="1638" w:type="pct"/>
            <w:vAlign w:val="center"/>
          </w:tcPr>
          <w:p w14:paraId="2A36409F"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灵武市灵州大道福临新村</w:t>
            </w:r>
          </w:p>
        </w:tc>
        <w:tc>
          <w:tcPr>
            <w:tcW w:w="861" w:type="pct"/>
            <w:vAlign w:val="center"/>
          </w:tcPr>
          <w:p w14:paraId="7E59D6BF"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3895385721</w:t>
            </w:r>
          </w:p>
        </w:tc>
      </w:tr>
    </w:tbl>
    <w:p w14:paraId="584F1C6E" w14:textId="77777777" w:rsidR="009C353B" w:rsidRDefault="00000000">
      <w:pPr>
        <w:pStyle w:val="affffff0"/>
        <w:ind w:left="482"/>
        <w:jc w:val="center"/>
        <w:rPr>
          <w:rFonts w:ascii="Times New Roman" w:hAnsi="Times New Roman"/>
        </w:rPr>
      </w:pPr>
      <w:r>
        <w:rPr>
          <w:rFonts w:ascii="Times New Roman" w:hint="eastAsia"/>
        </w:rPr>
        <w:t>横城</w:t>
      </w:r>
      <w:r>
        <w:rPr>
          <w:rFonts w:ascii="Times New Roman"/>
        </w:rPr>
        <w:t>矿区总体规划</w:t>
      </w:r>
      <w:r>
        <w:rPr>
          <w:rFonts w:ascii="Times New Roman" w:hint="eastAsia"/>
        </w:rPr>
        <w:t>（修编）</w:t>
      </w:r>
      <w:r>
        <w:rPr>
          <w:rFonts w:ascii="Times New Roman"/>
        </w:rPr>
        <w:t>环境影响评价公众参与调查统计结果</w:t>
      </w:r>
    </w:p>
    <w:p w14:paraId="6E029E32" w14:textId="77777777" w:rsidR="009C353B" w:rsidRDefault="00000000">
      <w:pPr>
        <w:pStyle w:val="affffd"/>
        <w:rPr>
          <w:rFonts w:ascii="Times New Roman" w:hAnsi="Times New Roman"/>
        </w:rPr>
      </w:pPr>
      <w:r>
        <w:rPr>
          <w:rFonts w:ascii="Times New Roman"/>
        </w:rPr>
        <w:t>表</w:t>
      </w:r>
      <w:r>
        <w:rPr>
          <w:rFonts w:ascii="Times New Roman" w:hAnsi="Times New Roman"/>
        </w:rPr>
        <w:t>12.3</w:t>
      </w:r>
      <w:r>
        <w:rPr>
          <w:rFonts w:ascii="Times New Roman" w:hAnsi="Times New Roman" w:hint="eastAsia"/>
        </w:rPr>
        <w:t>-</w:t>
      </w:r>
      <w:r>
        <w:rPr>
          <w:rFonts w:ascii="Times New Roman" w:hAnsi="Times New Roman"/>
        </w:rPr>
        <w:t>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648"/>
        <w:gridCol w:w="4059"/>
        <w:gridCol w:w="1714"/>
        <w:gridCol w:w="1285"/>
        <w:gridCol w:w="1420"/>
      </w:tblGrid>
      <w:tr w:rsidR="009C353B" w14:paraId="744E736C" w14:textId="77777777">
        <w:trPr>
          <w:trHeight w:val="284"/>
          <w:tblHeader/>
          <w:jc w:val="center"/>
        </w:trPr>
        <w:tc>
          <w:tcPr>
            <w:tcW w:w="355" w:type="pct"/>
            <w:vAlign w:val="center"/>
          </w:tcPr>
          <w:p w14:paraId="757BD621"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序号</w:t>
            </w:r>
          </w:p>
        </w:tc>
        <w:tc>
          <w:tcPr>
            <w:tcW w:w="3163" w:type="pct"/>
            <w:gridSpan w:val="2"/>
            <w:vAlign w:val="center"/>
          </w:tcPr>
          <w:p w14:paraId="2AD29478"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内容</w:t>
            </w:r>
          </w:p>
        </w:tc>
        <w:tc>
          <w:tcPr>
            <w:tcW w:w="704" w:type="pct"/>
            <w:vAlign w:val="center"/>
          </w:tcPr>
          <w:p w14:paraId="6B968965"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数量</w:t>
            </w:r>
          </w:p>
        </w:tc>
        <w:tc>
          <w:tcPr>
            <w:tcW w:w="778" w:type="pct"/>
            <w:vAlign w:val="center"/>
          </w:tcPr>
          <w:p w14:paraId="0921E4AD"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比例</w:t>
            </w:r>
            <w:r>
              <w:rPr>
                <w:rFonts w:ascii="Times New Roman" w:hAnsi="Times New Roman"/>
                <w:szCs w:val="21"/>
              </w:rPr>
              <w:t>%</w:t>
            </w:r>
          </w:p>
        </w:tc>
      </w:tr>
      <w:tr w:rsidR="009C353B" w14:paraId="097CCA83" w14:textId="77777777">
        <w:trPr>
          <w:trHeight w:val="284"/>
          <w:jc w:val="center"/>
        </w:trPr>
        <w:tc>
          <w:tcPr>
            <w:tcW w:w="355" w:type="pct"/>
            <w:vMerge w:val="restart"/>
            <w:vAlign w:val="center"/>
          </w:tcPr>
          <w:p w14:paraId="00AEE761"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1</w:t>
            </w:r>
          </w:p>
        </w:tc>
        <w:tc>
          <w:tcPr>
            <w:tcW w:w="2224" w:type="pct"/>
            <w:vMerge w:val="restart"/>
            <w:vAlign w:val="center"/>
          </w:tcPr>
          <w:p w14:paraId="50EF3281" w14:textId="77777777" w:rsidR="009C353B" w:rsidRDefault="00000000">
            <w:pPr>
              <w:pStyle w:val="afffffffffff9"/>
              <w:snapToGrid w:val="0"/>
              <w:rPr>
                <w:rFonts w:ascii="Times New Roman" w:hAnsi="Times New Roman"/>
                <w:szCs w:val="21"/>
              </w:rPr>
            </w:pPr>
            <w:r>
              <w:rPr>
                <w:rFonts w:ascii="Times New Roman" w:hAnsi="Times New Roman"/>
                <w:szCs w:val="21"/>
              </w:rPr>
              <w:t>您是否了解该矿区总体规划</w:t>
            </w:r>
          </w:p>
        </w:tc>
        <w:tc>
          <w:tcPr>
            <w:tcW w:w="939" w:type="pct"/>
            <w:vAlign w:val="center"/>
          </w:tcPr>
          <w:p w14:paraId="03715689"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了解</w:t>
            </w:r>
          </w:p>
        </w:tc>
        <w:tc>
          <w:tcPr>
            <w:tcW w:w="704" w:type="pct"/>
            <w:vAlign w:val="center"/>
          </w:tcPr>
          <w:p w14:paraId="2E117247"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5</w:t>
            </w:r>
          </w:p>
        </w:tc>
        <w:tc>
          <w:tcPr>
            <w:tcW w:w="778" w:type="pct"/>
            <w:vAlign w:val="center"/>
          </w:tcPr>
          <w:p w14:paraId="6E59E395"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3.3</w:t>
            </w:r>
          </w:p>
        </w:tc>
      </w:tr>
      <w:tr w:rsidR="009C353B" w14:paraId="137CB1DA" w14:textId="77777777">
        <w:trPr>
          <w:trHeight w:val="284"/>
          <w:jc w:val="center"/>
        </w:trPr>
        <w:tc>
          <w:tcPr>
            <w:tcW w:w="355" w:type="pct"/>
            <w:vMerge/>
            <w:vAlign w:val="center"/>
          </w:tcPr>
          <w:p w14:paraId="1371AEFA"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0B5266D1" w14:textId="77777777" w:rsidR="009C353B" w:rsidRDefault="009C353B">
            <w:pPr>
              <w:pStyle w:val="afffffffffff9"/>
              <w:snapToGrid w:val="0"/>
              <w:jc w:val="center"/>
              <w:rPr>
                <w:rFonts w:ascii="Times New Roman" w:hAnsi="Times New Roman"/>
                <w:szCs w:val="21"/>
              </w:rPr>
            </w:pPr>
          </w:p>
        </w:tc>
        <w:tc>
          <w:tcPr>
            <w:tcW w:w="939" w:type="pct"/>
            <w:vAlign w:val="center"/>
          </w:tcPr>
          <w:p w14:paraId="733F2A07"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了解一点</w:t>
            </w:r>
          </w:p>
        </w:tc>
        <w:tc>
          <w:tcPr>
            <w:tcW w:w="704" w:type="pct"/>
            <w:vAlign w:val="center"/>
          </w:tcPr>
          <w:p w14:paraId="593C4108"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6</w:t>
            </w:r>
          </w:p>
        </w:tc>
        <w:tc>
          <w:tcPr>
            <w:tcW w:w="778" w:type="pct"/>
            <w:vAlign w:val="center"/>
          </w:tcPr>
          <w:p w14:paraId="7797BEB9"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0.0</w:t>
            </w:r>
          </w:p>
        </w:tc>
      </w:tr>
      <w:tr w:rsidR="009C353B" w14:paraId="1734B35C" w14:textId="77777777">
        <w:trPr>
          <w:trHeight w:val="284"/>
          <w:jc w:val="center"/>
        </w:trPr>
        <w:tc>
          <w:tcPr>
            <w:tcW w:w="355" w:type="pct"/>
            <w:vMerge/>
            <w:vAlign w:val="center"/>
          </w:tcPr>
          <w:p w14:paraId="31BFA860"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20AB3CD9" w14:textId="77777777" w:rsidR="009C353B" w:rsidRDefault="009C353B">
            <w:pPr>
              <w:pStyle w:val="afffffffffff9"/>
              <w:snapToGrid w:val="0"/>
              <w:jc w:val="center"/>
              <w:rPr>
                <w:rFonts w:ascii="Times New Roman" w:hAnsi="Times New Roman"/>
                <w:szCs w:val="21"/>
              </w:rPr>
            </w:pPr>
          </w:p>
        </w:tc>
        <w:tc>
          <w:tcPr>
            <w:tcW w:w="939" w:type="pct"/>
            <w:vAlign w:val="center"/>
          </w:tcPr>
          <w:p w14:paraId="644A1FBB"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不知道</w:t>
            </w:r>
          </w:p>
        </w:tc>
        <w:tc>
          <w:tcPr>
            <w:tcW w:w="704" w:type="pct"/>
            <w:vAlign w:val="center"/>
          </w:tcPr>
          <w:p w14:paraId="0AB02D0B"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4</w:t>
            </w:r>
          </w:p>
        </w:tc>
        <w:tc>
          <w:tcPr>
            <w:tcW w:w="778" w:type="pct"/>
            <w:vAlign w:val="center"/>
          </w:tcPr>
          <w:p w14:paraId="23BCA5E3"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6.7</w:t>
            </w:r>
          </w:p>
        </w:tc>
      </w:tr>
      <w:tr w:rsidR="009C353B" w14:paraId="5EB4AD40" w14:textId="77777777">
        <w:trPr>
          <w:trHeight w:val="284"/>
          <w:jc w:val="center"/>
        </w:trPr>
        <w:tc>
          <w:tcPr>
            <w:tcW w:w="355" w:type="pct"/>
            <w:vMerge w:val="restart"/>
            <w:vAlign w:val="center"/>
          </w:tcPr>
          <w:p w14:paraId="5BD1853F"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2</w:t>
            </w:r>
          </w:p>
        </w:tc>
        <w:tc>
          <w:tcPr>
            <w:tcW w:w="2224" w:type="pct"/>
            <w:vMerge w:val="restart"/>
            <w:vAlign w:val="center"/>
          </w:tcPr>
          <w:p w14:paraId="0FF19DE7" w14:textId="77777777" w:rsidR="009C353B" w:rsidRDefault="00000000">
            <w:pPr>
              <w:pStyle w:val="afffffffffff9"/>
              <w:snapToGrid w:val="0"/>
              <w:rPr>
                <w:rFonts w:ascii="Times New Roman" w:hAnsi="Times New Roman"/>
                <w:szCs w:val="21"/>
              </w:rPr>
            </w:pPr>
            <w:r>
              <w:rPr>
                <w:rFonts w:ascii="Times New Roman" w:hAnsi="Times New Roman"/>
                <w:szCs w:val="21"/>
              </w:rPr>
              <w:t>您认为矿区目前环境状况怎样</w:t>
            </w:r>
          </w:p>
        </w:tc>
        <w:tc>
          <w:tcPr>
            <w:tcW w:w="939" w:type="pct"/>
            <w:vAlign w:val="center"/>
          </w:tcPr>
          <w:p w14:paraId="43435C7E"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很好</w:t>
            </w:r>
          </w:p>
        </w:tc>
        <w:tc>
          <w:tcPr>
            <w:tcW w:w="704" w:type="pct"/>
            <w:vAlign w:val="center"/>
          </w:tcPr>
          <w:p w14:paraId="0A4022BF"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2</w:t>
            </w:r>
          </w:p>
        </w:tc>
        <w:tc>
          <w:tcPr>
            <w:tcW w:w="778" w:type="pct"/>
            <w:vAlign w:val="center"/>
          </w:tcPr>
          <w:p w14:paraId="5981AC1D"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3.4</w:t>
            </w:r>
          </w:p>
        </w:tc>
      </w:tr>
      <w:tr w:rsidR="009C353B" w14:paraId="1ACECD4E" w14:textId="77777777">
        <w:trPr>
          <w:trHeight w:val="284"/>
          <w:jc w:val="center"/>
        </w:trPr>
        <w:tc>
          <w:tcPr>
            <w:tcW w:w="355" w:type="pct"/>
            <w:vMerge/>
            <w:vAlign w:val="center"/>
          </w:tcPr>
          <w:p w14:paraId="54674C7C"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19EE21E4" w14:textId="77777777" w:rsidR="009C353B" w:rsidRDefault="009C353B">
            <w:pPr>
              <w:pStyle w:val="afffffffffff9"/>
              <w:snapToGrid w:val="0"/>
              <w:ind w:firstLine="480"/>
              <w:rPr>
                <w:rFonts w:ascii="Times New Roman" w:hAnsi="Times New Roman"/>
                <w:szCs w:val="21"/>
              </w:rPr>
            </w:pPr>
          </w:p>
        </w:tc>
        <w:tc>
          <w:tcPr>
            <w:tcW w:w="939" w:type="pct"/>
            <w:vAlign w:val="center"/>
          </w:tcPr>
          <w:p w14:paraId="5F96F06F"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较好</w:t>
            </w:r>
          </w:p>
        </w:tc>
        <w:tc>
          <w:tcPr>
            <w:tcW w:w="704" w:type="pct"/>
            <w:vAlign w:val="center"/>
          </w:tcPr>
          <w:p w14:paraId="3C92AC8A"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5</w:t>
            </w:r>
          </w:p>
        </w:tc>
        <w:tc>
          <w:tcPr>
            <w:tcW w:w="778" w:type="pct"/>
            <w:vAlign w:val="center"/>
          </w:tcPr>
          <w:p w14:paraId="61F1F848"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3.3</w:t>
            </w:r>
          </w:p>
        </w:tc>
      </w:tr>
      <w:tr w:rsidR="009C353B" w14:paraId="31F6F7D4" w14:textId="77777777">
        <w:trPr>
          <w:trHeight w:val="284"/>
          <w:jc w:val="center"/>
        </w:trPr>
        <w:tc>
          <w:tcPr>
            <w:tcW w:w="355" w:type="pct"/>
            <w:vMerge/>
            <w:vAlign w:val="center"/>
          </w:tcPr>
          <w:p w14:paraId="0AA6F970"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42BBF7D5" w14:textId="77777777" w:rsidR="009C353B" w:rsidRDefault="009C353B">
            <w:pPr>
              <w:pStyle w:val="afffffffffff9"/>
              <w:snapToGrid w:val="0"/>
              <w:ind w:firstLine="480"/>
              <w:rPr>
                <w:rFonts w:ascii="Times New Roman" w:hAnsi="Times New Roman"/>
                <w:szCs w:val="21"/>
              </w:rPr>
            </w:pPr>
          </w:p>
        </w:tc>
        <w:tc>
          <w:tcPr>
            <w:tcW w:w="939" w:type="pct"/>
            <w:vAlign w:val="center"/>
          </w:tcPr>
          <w:p w14:paraId="401F7E6C"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一般</w:t>
            </w:r>
          </w:p>
        </w:tc>
        <w:tc>
          <w:tcPr>
            <w:tcW w:w="704" w:type="pct"/>
            <w:vAlign w:val="center"/>
          </w:tcPr>
          <w:p w14:paraId="1341B91F"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3</w:t>
            </w:r>
          </w:p>
        </w:tc>
        <w:tc>
          <w:tcPr>
            <w:tcW w:w="778" w:type="pct"/>
            <w:vAlign w:val="center"/>
          </w:tcPr>
          <w:p w14:paraId="5B67A377"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0.0</w:t>
            </w:r>
          </w:p>
        </w:tc>
      </w:tr>
      <w:tr w:rsidR="009C353B" w14:paraId="67B46E80" w14:textId="77777777">
        <w:trPr>
          <w:trHeight w:val="284"/>
          <w:jc w:val="center"/>
        </w:trPr>
        <w:tc>
          <w:tcPr>
            <w:tcW w:w="355" w:type="pct"/>
            <w:vMerge/>
            <w:vAlign w:val="center"/>
          </w:tcPr>
          <w:p w14:paraId="6A8E538F"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71288317" w14:textId="77777777" w:rsidR="009C353B" w:rsidRDefault="009C353B">
            <w:pPr>
              <w:pStyle w:val="afffffffffff9"/>
              <w:snapToGrid w:val="0"/>
              <w:ind w:firstLine="480"/>
              <w:rPr>
                <w:rFonts w:ascii="Times New Roman" w:hAnsi="Times New Roman"/>
                <w:szCs w:val="21"/>
              </w:rPr>
            </w:pPr>
          </w:p>
        </w:tc>
        <w:tc>
          <w:tcPr>
            <w:tcW w:w="939" w:type="pct"/>
            <w:vAlign w:val="center"/>
          </w:tcPr>
          <w:p w14:paraId="3A3A0A02"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较差</w:t>
            </w:r>
          </w:p>
        </w:tc>
        <w:tc>
          <w:tcPr>
            <w:tcW w:w="704" w:type="pct"/>
            <w:vAlign w:val="center"/>
          </w:tcPr>
          <w:p w14:paraId="5F9EC3EB"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5</w:t>
            </w:r>
          </w:p>
        </w:tc>
        <w:tc>
          <w:tcPr>
            <w:tcW w:w="778" w:type="pct"/>
            <w:vAlign w:val="center"/>
          </w:tcPr>
          <w:p w14:paraId="68CEFC5D"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3.3</w:t>
            </w:r>
          </w:p>
        </w:tc>
      </w:tr>
      <w:tr w:rsidR="009C353B" w14:paraId="6D0A984C" w14:textId="77777777">
        <w:trPr>
          <w:trHeight w:val="284"/>
          <w:jc w:val="center"/>
        </w:trPr>
        <w:tc>
          <w:tcPr>
            <w:tcW w:w="355" w:type="pct"/>
            <w:vMerge/>
            <w:vAlign w:val="center"/>
          </w:tcPr>
          <w:p w14:paraId="100001DD"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6B543B32" w14:textId="77777777" w:rsidR="009C353B" w:rsidRDefault="009C353B">
            <w:pPr>
              <w:pStyle w:val="afffffffffff9"/>
              <w:snapToGrid w:val="0"/>
              <w:ind w:firstLine="480"/>
              <w:rPr>
                <w:rFonts w:ascii="Times New Roman" w:hAnsi="Times New Roman"/>
                <w:szCs w:val="21"/>
              </w:rPr>
            </w:pPr>
          </w:p>
        </w:tc>
        <w:tc>
          <w:tcPr>
            <w:tcW w:w="939" w:type="pct"/>
            <w:vAlign w:val="center"/>
          </w:tcPr>
          <w:p w14:paraId="196FEB0C"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不知道</w:t>
            </w:r>
          </w:p>
        </w:tc>
        <w:tc>
          <w:tcPr>
            <w:tcW w:w="704" w:type="pct"/>
            <w:vAlign w:val="center"/>
          </w:tcPr>
          <w:p w14:paraId="7598E4D4"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0</w:t>
            </w:r>
          </w:p>
        </w:tc>
        <w:tc>
          <w:tcPr>
            <w:tcW w:w="778" w:type="pct"/>
            <w:vAlign w:val="center"/>
          </w:tcPr>
          <w:p w14:paraId="058F7F12"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p>
        </w:tc>
      </w:tr>
      <w:tr w:rsidR="009C353B" w14:paraId="620F57C1" w14:textId="77777777">
        <w:trPr>
          <w:trHeight w:val="284"/>
          <w:jc w:val="center"/>
        </w:trPr>
        <w:tc>
          <w:tcPr>
            <w:tcW w:w="355" w:type="pct"/>
            <w:vMerge w:val="restart"/>
            <w:vAlign w:val="center"/>
          </w:tcPr>
          <w:p w14:paraId="4A8195BE"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3</w:t>
            </w:r>
          </w:p>
        </w:tc>
        <w:tc>
          <w:tcPr>
            <w:tcW w:w="2224" w:type="pct"/>
            <w:vMerge w:val="restart"/>
            <w:vAlign w:val="center"/>
          </w:tcPr>
          <w:p w14:paraId="685A76DC" w14:textId="77777777" w:rsidR="009C353B" w:rsidRDefault="00000000">
            <w:pPr>
              <w:pStyle w:val="afffffffffff9"/>
              <w:snapToGrid w:val="0"/>
              <w:rPr>
                <w:rFonts w:ascii="Times New Roman" w:hAnsi="Times New Roman"/>
                <w:szCs w:val="21"/>
              </w:rPr>
            </w:pPr>
            <w:r>
              <w:rPr>
                <w:rFonts w:ascii="Times New Roman" w:hAnsi="Times New Roman"/>
                <w:szCs w:val="21"/>
              </w:rPr>
              <w:t>您认为当地目前主要环境问题是什么</w:t>
            </w:r>
            <w:r>
              <w:rPr>
                <w:rFonts w:ascii="Times New Roman" w:hAnsi="Times New Roman" w:hint="eastAsia"/>
                <w:szCs w:val="21"/>
              </w:rPr>
              <w:t>（可多选）</w:t>
            </w:r>
          </w:p>
        </w:tc>
        <w:tc>
          <w:tcPr>
            <w:tcW w:w="939" w:type="pct"/>
            <w:vAlign w:val="center"/>
          </w:tcPr>
          <w:p w14:paraId="718EB1C8"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环境空气污染</w:t>
            </w:r>
          </w:p>
        </w:tc>
        <w:tc>
          <w:tcPr>
            <w:tcW w:w="704" w:type="pct"/>
            <w:vAlign w:val="center"/>
          </w:tcPr>
          <w:p w14:paraId="0A473A06"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5</w:t>
            </w:r>
          </w:p>
        </w:tc>
        <w:tc>
          <w:tcPr>
            <w:tcW w:w="778" w:type="pct"/>
            <w:vAlign w:val="center"/>
          </w:tcPr>
          <w:p w14:paraId="6989AF1A"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3.3</w:t>
            </w:r>
          </w:p>
        </w:tc>
      </w:tr>
      <w:tr w:rsidR="009C353B" w14:paraId="1F1A75ED" w14:textId="77777777">
        <w:trPr>
          <w:trHeight w:val="284"/>
          <w:jc w:val="center"/>
        </w:trPr>
        <w:tc>
          <w:tcPr>
            <w:tcW w:w="355" w:type="pct"/>
            <w:vMerge/>
            <w:vAlign w:val="center"/>
          </w:tcPr>
          <w:p w14:paraId="01A662C1"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67273F35" w14:textId="77777777" w:rsidR="009C353B" w:rsidRDefault="009C353B">
            <w:pPr>
              <w:pStyle w:val="afffffffffff9"/>
              <w:snapToGrid w:val="0"/>
              <w:ind w:firstLine="480"/>
              <w:rPr>
                <w:rFonts w:ascii="Times New Roman" w:hAnsi="Times New Roman"/>
                <w:szCs w:val="21"/>
              </w:rPr>
            </w:pPr>
          </w:p>
        </w:tc>
        <w:tc>
          <w:tcPr>
            <w:tcW w:w="939" w:type="pct"/>
            <w:vAlign w:val="center"/>
          </w:tcPr>
          <w:p w14:paraId="67B0BDD4"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地表水污染</w:t>
            </w:r>
          </w:p>
        </w:tc>
        <w:tc>
          <w:tcPr>
            <w:tcW w:w="704" w:type="pct"/>
            <w:vAlign w:val="center"/>
          </w:tcPr>
          <w:p w14:paraId="026F50B3"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6</w:t>
            </w:r>
          </w:p>
        </w:tc>
        <w:tc>
          <w:tcPr>
            <w:tcW w:w="778" w:type="pct"/>
            <w:vAlign w:val="center"/>
          </w:tcPr>
          <w:p w14:paraId="03779EF9"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0.0</w:t>
            </w:r>
          </w:p>
        </w:tc>
      </w:tr>
      <w:tr w:rsidR="009C353B" w14:paraId="61AC603C" w14:textId="77777777">
        <w:trPr>
          <w:trHeight w:val="284"/>
          <w:jc w:val="center"/>
        </w:trPr>
        <w:tc>
          <w:tcPr>
            <w:tcW w:w="355" w:type="pct"/>
            <w:vMerge/>
            <w:vAlign w:val="center"/>
          </w:tcPr>
          <w:p w14:paraId="552AC9CC"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658C775A" w14:textId="77777777" w:rsidR="009C353B" w:rsidRDefault="009C353B">
            <w:pPr>
              <w:pStyle w:val="afffffffffff9"/>
              <w:snapToGrid w:val="0"/>
              <w:ind w:firstLine="480"/>
              <w:rPr>
                <w:rFonts w:ascii="Times New Roman" w:hAnsi="Times New Roman"/>
                <w:szCs w:val="21"/>
              </w:rPr>
            </w:pPr>
          </w:p>
        </w:tc>
        <w:tc>
          <w:tcPr>
            <w:tcW w:w="939" w:type="pct"/>
            <w:vAlign w:val="center"/>
          </w:tcPr>
          <w:p w14:paraId="58CBB0EE"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地下水污染</w:t>
            </w:r>
          </w:p>
        </w:tc>
        <w:tc>
          <w:tcPr>
            <w:tcW w:w="704" w:type="pct"/>
            <w:vAlign w:val="center"/>
          </w:tcPr>
          <w:p w14:paraId="194F7042"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3</w:t>
            </w:r>
          </w:p>
        </w:tc>
        <w:tc>
          <w:tcPr>
            <w:tcW w:w="778" w:type="pct"/>
            <w:vAlign w:val="center"/>
          </w:tcPr>
          <w:p w14:paraId="179246A2"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0.0</w:t>
            </w:r>
          </w:p>
        </w:tc>
      </w:tr>
      <w:tr w:rsidR="009C353B" w14:paraId="015347A4" w14:textId="77777777">
        <w:trPr>
          <w:trHeight w:val="284"/>
          <w:jc w:val="center"/>
        </w:trPr>
        <w:tc>
          <w:tcPr>
            <w:tcW w:w="355" w:type="pct"/>
            <w:vMerge/>
            <w:vAlign w:val="center"/>
          </w:tcPr>
          <w:p w14:paraId="2CF4BE28"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442FCEA3" w14:textId="77777777" w:rsidR="009C353B" w:rsidRDefault="009C353B">
            <w:pPr>
              <w:pStyle w:val="afffffffffff9"/>
              <w:snapToGrid w:val="0"/>
              <w:ind w:firstLine="480"/>
              <w:rPr>
                <w:rFonts w:ascii="Times New Roman" w:hAnsi="Times New Roman"/>
                <w:szCs w:val="21"/>
              </w:rPr>
            </w:pPr>
          </w:p>
        </w:tc>
        <w:tc>
          <w:tcPr>
            <w:tcW w:w="939" w:type="pct"/>
            <w:vAlign w:val="center"/>
          </w:tcPr>
          <w:p w14:paraId="79170F57"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噪声污染</w:t>
            </w:r>
          </w:p>
        </w:tc>
        <w:tc>
          <w:tcPr>
            <w:tcW w:w="704" w:type="pct"/>
            <w:vAlign w:val="center"/>
          </w:tcPr>
          <w:p w14:paraId="04B46B6E"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2</w:t>
            </w:r>
          </w:p>
        </w:tc>
        <w:tc>
          <w:tcPr>
            <w:tcW w:w="778" w:type="pct"/>
            <w:vAlign w:val="center"/>
          </w:tcPr>
          <w:p w14:paraId="188A00F4"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3.3</w:t>
            </w:r>
          </w:p>
        </w:tc>
      </w:tr>
      <w:tr w:rsidR="009C353B" w14:paraId="5653D1D8" w14:textId="77777777">
        <w:trPr>
          <w:trHeight w:val="284"/>
          <w:jc w:val="center"/>
        </w:trPr>
        <w:tc>
          <w:tcPr>
            <w:tcW w:w="355" w:type="pct"/>
            <w:vMerge/>
            <w:vAlign w:val="center"/>
          </w:tcPr>
          <w:p w14:paraId="72F01E7D"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00CE9F4C" w14:textId="77777777" w:rsidR="009C353B" w:rsidRDefault="009C353B">
            <w:pPr>
              <w:pStyle w:val="afffffffffff9"/>
              <w:snapToGrid w:val="0"/>
              <w:ind w:firstLine="480"/>
              <w:rPr>
                <w:rFonts w:ascii="Times New Roman" w:hAnsi="Times New Roman"/>
                <w:szCs w:val="21"/>
              </w:rPr>
            </w:pPr>
          </w:p>
        </w:tc>
        <w:tc>
          <w:tcPr>
            <w:tcW w:w="939" w:type="pct"/>
            <w:vAlign w:val="center"/>
          </w:tcPr>
          <w:p w14:paraId="11C1C542"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固体废弃物堆置</w:t>
            </w:r>
          </w:p>
        </w:tc>
        <w:tc>
          <w:tcPr>
            <w:tcW w:w="704" w:type="pct"/>
            <w:vAlign w:val="center"/>
          </w:tcPr>
          <w:p w14:paraId="51B9339E"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1</w:t>
            </w:r>
            <w:r>
              <w:rPr>
                <w:rFonts w:ascii="Times New Roman" w:hAnsi="Times New Roman"/>
                <w:szCs w:val="21"/>
              </w:rPr>
              <w:t>1</w:t>
            </w:r>
          </w:p>
        </w:tc>
        <w:tc>
          <w:tcPr>
            <w:tcW w:w="778" w:type="pct"/>
            <w:vAlign w:val="center"/>
          </w:tcPr>
          <w:p w14:paraId="48FE140B"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7</w:t>
            </w:r>
            <w:r>
              <w:rPr>
                <w:rFonts w:ascii="Times New Roman" w:hAnsi="Times New Roman"/>
                <w:sz w:val="21"/>
                <w:szCs w:val="21"/>
              </w:rPr>
              <w:t>3.3</w:t>
            </w:r>
          </w:p>
        </w:tc>
      </w:tr>
      <w:tr w:rsidR="009C353B" w14:paraId="57756507" w14:textId="77777777">
        <w:trPr>
          <w:trHeight w:val="284"/>
          <w:jc w:val="center"/>
        </w:trPr>
        <w:tc>
          <w:tcPr>
            <w:tcW w:w="355" w:type="pct"/>
            <w:vMerge/>
            <w:vAlign w:val="center"/>
          </w:tcPr>
          <w:p w14:paraId="68A6423A"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4D47A773" w14:textId="77777777" w:rsidR="009C353B" w:rsidRDefault="009C353B">
            <w:pPr>
              <w:pStyle w:val="afffffffffff9"/>
              <w:snapToGrid w:val="0"/>
              <w:ind w:firstLine="480"/>
              <w:rPr>
                <w:rFonts w:ascii="Times New Roman" w:hAnsi="Times New Roman"/>
                <w:szCs w:val="21"/>
              </w:rPr>
            </w:pPr>
          </w:p>
        </w:tc>
        <w:tc>
          <w:tcPr>
            <w:tcW w:w="939" w:type="pct"/>
            <w:vAlign w:val="center"/>
          </w:tcPr>
          <w:p w14:paraId="50EFD4B2"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生态环境较差</w:t>
            </w:r>
          </w:p>
        </w:tc>
        <w:tc>
          <w:tcPr>
            <w:tcW w:w="704" w:type="pct"/>
            <w:vAlign w:val="center"/>
          </w:tcPr>
          <w:p w14:paraId="1BBF9C6A"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5</w:t>
            </w:r>
          </w:p>
        </w:tc>
        <w:tc>
          <w:tcPr>
            <w:tcW w:w="778" w:type="pct"/>
            <w:vAlign w:val="center"/>
          </w:tcPr>
          <w:p w14:paraId="20E049A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3.3</w:t>
            </w:r>
          </w:p>
        </w:tc>
      </w:tr>
      <w:tr w:rsidR="009C353B" w14:paraId="02F1413D" w14:textId="77777777">
        <w:trPr>
          <w:trHeight w:val="284"/>
          <w:jc w:val="center"/>
        </w:trPr>
        <w:tc>
          <w:tcPr>
            <w:tcW w:w="355" w:type="pct"/>
            <w:vMerge/>
            <w:vAlign w:val="center"/>
          </w:tcPr>
          <w:p w14:paraId="4DB19895"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31375A35" w14:textId="77777777" w:rsidR="009C353B" w:rsidRDefault="009C353B">
            <w:pPr>
              <w:pStyle w:val="afffffffffff9"/>
              <w:snapToGrid w:val="0"/>
              <w:ind w:firstLine="480"/>
              <w:rPr>
                <w:rFonts w:ascii="Times New Roman" w:hAnsi="Times New Roman"/>
                <w:szCs w:val="21"/>
              </w:rPr>
            </w:pPr>
          </w:p>
        </w:tc>
        <w:tc>
          <w:tcPr>
            <w:tcW w:w="939" w:type="pct"/>
            <w:vAlign w:val="center"/>
          </w:tcPr>
          <w:p w14:paraId="338C6112"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水土流失</w:t>
            </w:r>
          </w:p>
        </w:tc>
        <w:tc>
          <w:tcPr>
            <w:tcW w:w="704" w:type="pct"/>
            <w:vAlign w:val="center"/>
          </w:tcPr>
          <w:p w14:paraId="2B74C3C3"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5</w:t>
            </w:r>
          </w:p>
        </w:tc>
        <w:tc>
          <w:tcPr>
            <w:tcW w:w="778" w:type="pct"/>
            <w:vAlign w:val="center"/>
          </w:tcPr>
          <w:p w14:paraId="3986C99C"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3.3</w:t>
            </w:r>
          </w:p>
        </w:tc>
      </w:tr>
      <w:tr w:rsidR="009C353B" w14:paraId="62B96E0B" w14:textId="77777777">
        <w:trPr>
          <w:trHeight w:val="284"/>
          <w:jc w:val="center"/>
        </w:trPr>
        <w:tc>
          <w:tcPr>
            <w:tcW w:w="355" w:type="pct"/>
            <w:vMerge/>
            <w:vAlign w:val="center"/>
          </w:tcPr>
          <w:p w14:paraId="7C607349"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1B33A538" w14:textId="77777777" w:rsidR="009C353B" w:rsidRDefault="009C353B">
            <w:pPr>
              <w:pStyle w:val="afffffffffff9"/>
              <w:snapToGrid w:val="0"/>
              <w:ind w:firstLine="480"/>
              <w:rPr>
                <w:rFonts w:ascii="Times New Roman" w:hAnsi="Times New Roman"/>
                <w:szCs w:val="21"/>
              </w:rPr>
            </w:pPr>
          </w:p>
        </w:tc>
        <w:tc>
          <w:tcPr>
            <w:tcW w:w="939" w:type="pct"/>
            <w:vAlign w:val="center"/>
          </w:tcPr>
          <w:p w14:paraId="27561CE7"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其他</w:t>
            </w:r>
          </w:p>
        </w:tc>
        <w:tc>
          <w:tcPr>
            <w:tcW w:w="704" w:type="pct"/>
            <w:vAlign w:val="center"/>
          </w:tcPr>
          <w:p w14:paraId="2D9F8F4E"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0</w:t>
            </w:r>
          </w:p>
        </w:tc>
        <w:tc>
          <w:tcPr>
            <w:tcW w:w="778" w:type="pct"/>
            <w:vAlign w:val="center"/>
          </w:tcPr>
          <w:p w14:paraId="5D495E74"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p>
        </w:tc>
      </w:tr>
      <w:tr w:rsidR="009C353B" w14:paraId="49960308" w14:textId="77777777">
        <w:trPr>
          <w:trHeight w:val="284"/>
          <w:jc w:val="center"/>
        </w:trPr>
        <w:tc>
          <w:tcPr>
            <w:tcW w:w="355" w:type="pct"/>
            <w:vMerge w:val="restart"/>
            <w:vAlign w:val="center"/>
          </w:tcPr>
          <w:p w14:paraId="7EBF7708"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4</w:t>
            </w:r>
          </w:p>
        </w:tc>
        <w:tc>
          <w:tcPr>
            <w:tcW w:w="2224" w:type="pct"/>
            <w:vMerge w:val="restart"/>
            <w:vAlign w:val="center"/>
          </w:tcPr>
          <w:p w14:paraId="12466259" w14:textId="77777777" w:rsidR="009C353B" w:rsidRDefault="00000000">
            <w:pPr>
              <w:pStyle w:val="afffffffffff9"/>
              <w:snapToGrid w:val="0"/>
              <w:rPr>
                <w:rFonts w:ascii="Times New Roman" w:hAnsi="Times New Roman"/>
                <w:szCs w:val="21"/>
              </w:rPr>
            </w:pPr>
            <w:r>
              <w:rPr>
                <w:rFonts w:ascii="Times New Roman" w:hAnsi="Times New Roman"/>
                <w:szCs w:val="21"/>
              </w:rPr>
              <w:t>您认为矿区总体规划实施会给当地环境哪些方面带来不利影响</w:t>
            </w:r>
            <w:r>
              <w:rPr>
                <w:rFonts w:ascii="Times New Roman" w:hAnsi="Times New Roman" w:hint="eastAsia"/>
                <w:szCs w:val="21"/>
              </w:rPr>
              <w:t>（可多选）</w:t>
            </w:r>
          </w:p>
        </w:tc>
        <w:tc>
          <w:tcPr>
            <w:tcW w:w="939" w:type="pct"/>
            <w:vAlign w:val="center"/>
          </w:tcPr>
          <w:p w14:paraId="3137AE4D"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空气</w:t>
            </w:r>
          </w:p>
        </w:tc>
        <w:tc>
          <w:tcPr>
            <w:tcW w:w="704" w:type="pct"/>
            <w:vAlign w:val="center"/>
          </w:tcPr>
          <w:p w14:paraId="40267BC4"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4</w:t>
            </w:r>
          </w:p>
        </w:tc>
        <w:tc>
          <w:tcPr>
            <w:tcW w:w="778" w:type="pct"/>
            <w:vAlign w:val="center"/>
          </w:tcPr>
          <w:p w14:paraId="1F66E619"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6.7</w:t>
            </w:r>
          </w:p>
        </w:tc>
      </w:tr>
      <w:tr w:rsidR="009C353B" w14:paraId="57E50B4E" w14:textId="77777777">
        <w:trPr>
          <w:trHeight w:val="284"/>
          <w:jc w:val="center"/>
        </w:trPr>
        <w:tc>
          <w:tcPr>
            <w:tcW w:w="355" w:type="pct"/>
            <w:vMerge/>
            <w:vAlign w:val="center"/>
          </w:tcPr>
          <w:p w14:paraId="1AFF1B5B"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47C9368B" w14:textId="77777777" w:rsidR="009C353B" w:rsidRDefault="009C353B">
            <w:pPr>
              <w:pStyle w:val="afffffffffff9"/>
              <w:snapToGrid w:val="0"/>
              <w:ind w:firstLine="480"/>
              <w:rPr>
                <w:rFonts w:ascii="Times New Roman" w:hAnsi="Times New Roman"/>
                <w:szCs w:val="21"/>
              </w:rPr>
            </w:pPr>
          </w:p>
        </w:tc>
        <w:tc>
          <w:tcPr>
            <w:tcW w:w="939" w:type="pct"/>
            <w:vAlign w:val="center"/>
          </w:tcPr>
          <w:p w14:paraId="0D3E4D16"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地表水</w:t>
            </w:r>
          </w:p>
        </w:tc>
        <w:tc>
          <w:tcPr>
            <w:tcW w:w="704" w:type="pct"/>
            <w:vAlign w:val="center"/>
          </w:tcPr>
          <w:p w14:paraId="2A200F9F"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6</w:t>
            </w:r>
          </w:p>
        </w:tc>
        <w:tc>
          <w:tcPr>
            <w:tcW w:w="778" w:type="pct"/>
            <w:vAlign w:val="center"/>
          </w:tcPr>
          <w:p w14:paraId="2B041D4E"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0.0</w:t>
            </w:r>
          </w:p>
        </w:tc>
      </w:tr>
      <w:tr w:rsidR="009C353B" w14:paraId="25EB1151" w14:textId="77777777">
        <w:trPr>
          <w:trHeight w:val="284"/>
          <w:jc w:val="center"/>
        </w:trPr>
        <w:tc>
          <w:tcPr>
            <w:tcW w:w="355" w:type="pct"/>
            <w:vMerge/>
            <w:vAlign w:val="center"/>
          </w:tcPr>
          <w:p w14:paraId="08EFA49A"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6C8A65AF" w14:textId="77777777" w:rsidR="009C353B" w:rsidRDefault="009C353B">
            <w:pPr>
              <w:pStyle w:val="afffffffffff9"/>
              <w:snapToGrid w:val="0"/>
              <w:ind w:firstLine="480"/>
              <w:rPr>
                <w:rFonts w:ascii="Times New Roman" w:hAnsi="Times New Roman"/>
                <w:szCs w:val="21"/>
              </w:rPr>
            </w:pPr>
          </w:p>
        </w:tc>
        <w:tc>
          <w:tcPr>
            <w:tcW w:w="939" w:type="pct"/>
            <w:vAlign w:val="center"/>
          </w:tcPr>
          <w:p w14:paraId="146BDE31"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地下水</w:t>
            </w:r>
          </w:p>
        </w:tc>
        <w:tc>
          <w:tcPr>
            <w:tcW w:w="704" w:type="pct"/>
            <w:vAlign w:val="center"/>
          </w:tcPr>
          <w:p w14:paraId="0937BBC5"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8</w:t>
            </w:r>
          </w:p>
        </w:tc>
        <w:tc>
          <w:tcPr>
            <w:tcW w:w="778" w:type="pct"/>
            <w:vAlign w:val="center"/>
          </w:tcPr>
          <w:p w14:paraId="3A2B305C"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3.3</w:t>
            </w:r>
          </w:p>
        </w:tc>
      </w:tr>
      <w:tr w:rsidR="009C353B" w14:paraId="4521D5C6" w14:textId="77777777">
        <w:trPr>
          <w:trHeight w:val="284"/>
          <w:jc w:val="center"/>
        </w:trPr>
        <w:tc>
          <w:tcPr>
            <w:tcW w:w="355" w:type="pct"/>
            <w:vMerge/>
            <w:vAlign w:val="center"/>
          </w:tcPr>
          <w:p w14:paraId="46040660"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23756253" w14:textId="77777777" w:rsidR="009C353B" w:rsidRDefault="009C353B">
            <w:pPr>
              <w:pStyle w:val="afffffffffff9"/>
              <w:snapToGrid w:val="0"/>
              <w:ind w:firstLine="480"/>
              <w:rPr>
                <w:rFonts w:ascii="Times New Roman" w:hAnsi="Times New Roman"/>
                <w:szCs w:val="21"/>
              </w:rPr>
            </w:pPr>
          </w:p>
        </w:tc>
        <w:tc>
          <w:tcPr>
            <w:tcW w:w="939" w:type="pct"/>
            <w:vAlign w:val="center"/>
          </w:tcPr>
          <w:p w14:paraId="6949CEA2"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噪声</w:t>
            </w:r>
          </w:p>
        </w:tc>
        <w:tc>
          <w:tcPr>
            <w:tcW w:w="704" w:type="pct"/>
            <w:vAlign w:val="center"/>
          </w:tcPr>
          <w:p w14:paraId="4F891DCD"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2</w:t>
            </w:r>
          </w:p>
        </w:tc>
        <w:tc>
          <w:tcPr>
            <w:tcW w:w="778" w:type="pct"/>
            <w:vAlign w:val="center"/>
          </w:tcPr>
          <w:p w14:paraId="5A493277"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3.3</w:t>
            </w:r>
          </w:p>
        </w:tc>
      </w:tr>
      <w:tr w:rsidR="009C353B" w14:paraId="6348D435" w14:textId="77777777">
        <w:trPr>
          <w:trHeight w:val="284"/>
          <w:jc w:val="center"/>
        </w:trPr>
        <w:tc>
          <w:tcPr>
            <w:tcW w:w="355" w:type="pct"/>
            <w:vMerge/>
            <w:vAlign w:val="center"/>
          </w:tcPr>
          <w:p w14:paraId="3E12DEE7"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74FE12D1" w14:textId="77777777" w:rsidR="009C353B" w:rsidRDefault="009C353B">
            <w:pPr>
              <w:pStyle w:val="afffffffffff9"/>
              <w:snapToGrid w:val="0"/>
              <w:ind w:firstLine="480"/>
              <w:rPr>
                <w:rFonts w:ascii="Times New Roman" w:hAnsi="Times New Roman"/>
                <w:szCs w:val="21"/>
              </w:rPr>
            </w:pPr>
          </w:p>
        </w:tc>
        <w:tc>
          <w:tcPr>
            <w:tcW w:w="939" w:type="pct"/>
            <w:vAlign w:val="center"/>
          </w:tcPr>
          <w:p w14:paraId="5224C007"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生态系统</w:t>
            </w:r>
          </w:p>
        </w:tc>
        <w:tc>
          <w:tcPr>
            <w:tcW w:w="704" w:type="pct"/>
            <w:vAlign w:val="center"/>
          </w:tcPr>
          <w:p w14:paraId="66E7C028"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1</w:t>
            </w:r>
            <w:r>
              <w:rPr>
                <w:rFonts w:ascii="Times New Roman" w:hAnsi="Times New Roman"/>
                <w:szCs w:val="21"/>
              </w:rPr>
              <w:t>2</w:t>
            </w:r>
          </w:p>
        </w:tc>
        <w:tc>
          <w:tcPr>
            <w:tcW w:w="778" w:type="pct"/>
            <w:vAlign w:val="center"/>
          </w:tcPr>
          <w:p w14:paraId="63C3A2C9"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0.0</w:t>
            </w:r>
          </w:p>
        </w:tc>
      </w:tr>
      <w:tr w:rsidR="009C353B" w14:paraId="7E96B39A" w14:textId="77777777">
        <w:trPr>
          <w:trHeight w:val="284"/>
          <w:jc w:val="center"/>
        </w:trPr>
        <w:tc>
          <w:tcPr>
            <w:tcW w:w="355" w:type="pct"/>
            <w:vMerge/>
            <w:vAlign w:val="center"/>
          </w:tcPr>
          <w:p w14:paraId="7C01D143"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6CC5F9A3" w14:textId="77777777" w:rsidR="009C353B" w:rsidRDefault="009C353B">
            <w:pPr>
              <w:pStyle w:val="afffffffffff9"/>
              <w:snapToGrid w:val="0"/>
              <w:ind w:firstLine="480"/>
              <w:rPr>
                <w:rFonts w:ascii="Times New Roman" w:hAnsi="Times New Roman"/>
                <w:szCs w:val="21"/>
              </w:rPr>
            </w:pPr>
          </w:p>
        </w:tc>
        <w:tc>
          <w:tcPr>
            <w:tcW w:w="939" w:type="pct"/>
            <w:vAlign w:val="center"/>
          </w:tcPr>
          <w:p w14:paraId="0206DDA0"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其它</w:t>
            </w:r>
          </w:p>
        </w:tc>
        <w:tc>
          <w:tcPr>
            <w:tcW w:w="704" w:type="pct"/>
            <w:vAlign w:val="center"/>
          </w:tcPr>
          <w:p w14:paraId="5C70FCE5"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0</w:t>
            </w:r>
          </w:p>
        </w:tc>
        <w:tc>
          <w:tcPr>
            <w:tcW w:w="778" w:type="pct"/>
            <w:vAlign w:val="center"/>
          </w:tcPr>
          <w:p w14:paraId="75A2B8C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p>
        </w:tc>
      </w:tr>
      <w:tr w:rsidR="009C353B" w14:paraId="64FCC948" w14:textId="77777777">
        <w:trPr>
          <w:trHeight w:val="284"/>
          <w:jc w:val="center"/>
        </w:trPr>
        <w:tc>
          <w:tcPr>
            <w:tcW w:w="355" w:type="pct"/>
            <w:vMerge/>
            <w:vAlign w:val="center"/>
          </w:tcPr>
          <w:p w14:paraId="767525EF"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073D3FEF" w14:textId="77777777" w:rsidR="009C353B" w:rsidRDefault="009C353B">
            <w:pPr>
              <w:pStyle w:val="afffffffffff9"/>
              <w:snapToGrid w:val="0"/>
              <w:ind w:firstLine="480"/>
              <w:rPr>
                <w:rFonts w:ascii="Times New Roman" w:hAnsi="Times New Roman"/>
                <w:szCs w:val="21"/>
              </w:rPr>
            </w:pPr>
          </w:p>
        </w:tc>
        <w:tc>
          <w:tcPr>
            <w:tcW w:w="939" w:type="pct"/>
            <w:vAlign w:val="center"/>
          </w:tcPr>
          <w:p w14:paraId="53CA5BE9"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不知道</w:t>
            </w:r>
          </w:p>
        </w:tc>
        <w:tc>
          <w:tcPr>
            <w:tcW w:w="704" w:type="pct"/>
            <w:vAlign w:val="center"/>
          </w:tcPr>
          <w:p w14:paraId="1534DA4E"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0</w:t>
            </w:r>
          </w:p>
        </w:tc>
        <w:tc>
          <w:tcPr>
            <w:tcW w:w="778" w:type="pct"/>
            <w:vAlign w:val="center"/>
          </w:tcPr>
          <w:p w14:paraId="27A7A1F4"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p>
        </w:tc>
      </w:tr>
      <w:tr w:rsidR="009C353B" w14:paraId="09D61504" w14:textId="77777777">
        <w:trPr>
          <w:trHeight w:val="284"/>
          <w:jc w:val="center"/>
        </w:trPr>
        <w:tc>
          <w:tcPr>
            <w:tcW w:w="355" w:type="pct"/>
            <w:vMerge w:val="restart"/>
            <w:vAlign w:val="center"/>
          </w:tcPr>
          <w:p w14:paraId="50C2BF79"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5</w:t>
            </w:r>
          </w:p>
        </w:tc>
        <w:tc>
          <w:tcPr>
            <w:tcW w:w="2224" w:type="pct"/>
            <w:vMerge w:val="restart"/>
            <w:vAlign w:val="center"/>
          </w:tcPr>
          <w:p w14:paraId="5A386982" w14:textId="77777777" w:rsidR="009C353B" w:rsidRDefault="00000000">
            <w:pPr>
              <w:pStyle w:val="afffffffffff9"/>
              <w:snapToGrid w:val="0"/>
              <w:rPr>
                <w:rFonts w:ascii="Times New Roman" w:hAnsi="Times New Roman"/>
                <w:szCs w:val="21"/>
              </w:rPr>
            </w:pPr>
            <w:r>
              <w:rPr>
                <w:rFonts w:ascii="Times New Roman" w:hAnsi="Times New Roman"/>
                <w:szCs w:val="21"/>
              </w:rPr>
              <w:t>您认为矿区规划实施是否有利于当地经济发展，提升人民生活质量</w:t>
            </w:r>
          </w:p>
        </w:tc>
        <w:tc>
          <w:tcPr>
            <w:tcW w:w="939" w:type="pct"/>
            <w:vAlign w:val="center"/>
          </w:tcPr>
          <w:p w14:paraId="4134974A"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有利</w:t>
            </w:r>
          </w:p>
        </w:tc>
        <w:tc>
          <w:tcPr>
            <w:tcW w:w="704" w:type="pct"/>
            <w:vAlign w:val="center"/>
          </w:tcPr>
          <w:p w14:paraId="199CBD6A"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1</w:t>
            </w:r>
            <w:r>
              <w:rPr>
                <w:rFonts w:ascii="Times New Roman" w:hAnsi="Times New Roman"/>
                <w:szCs w:val="21"/>
              </w:rPr>
              <w:t>4</w:t>
            </w:r>
          </w:p>
        </w:tc>
        <w:tc>
          <w:tcPr>
            <w:tcW w:w="778" w:type="pct"/>
            <w:vAlign w:val="center"/>
          </w:tcPr>
          <w:p w14:paraId="2D1B4295"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3.3</w:t>
            </w:r>
          </w:p>
        </w:tc>
      </w:tr>
      <w:tr w:rsidR="009C353B" w14:paraId="628C8863" w14:textId="77777777">
        <w:trPr>
          <w:trHeight w:val="284"/>
          <w:jc w:val="center"/>
        </w:trPr>
        <w:tc>
          <w:tcPr>
            <w:tcW w:w="355" w:type="pct"/>
            <w:vMerge/>
            <w:vAlign w:val="center"/>
          </w:tcPr>
          <w:p w14:paraId="74F0E77B"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58ED6041" w14:textId="77777777" w:rsidR="009C353B" w:rsidRDefault="009C353B">
            <w:pPr>
              <w:pStyle w:val="afffffffffff9"/>
              <w:snapToGrid w:val="0"/>
              <w:ind w:firstLine="480"/>
              <w:rPr>
                <w:rFonts w:ascii="Times New Roman" w:hAnsi="Times New Roman"/>
                <w:szCs w:val="21"/>
              </w:rPr>
            </w:pPr>
          </w:p>
        </w:tc>
        <w:tc>
          <w:tcPr>
            <w:tcW w:w="939" w:type="pct"/>
            <w:vAlign w:val="center"/>
          </w:tcPr>
          <w:p w14:paraId="25928025"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不利</w:t>
            </w:r>
          </w:p>
        </w:tc>
        <w:tc>
          <w:tcPr>
            <w:tcW w:w="704" w:type="pct"/>
            <w:vAlign w:val="center"/>
          </w:tcPr>
          <w:p w14:paraId="004ADFD1"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0</w:t>
            </w:r>
          </w:p>
        </w:tc>
        <w:tc>
          <w:tcPr>
            <w:tcW w:w="778" w:type="pct"/>
            <w:vAlign w:val="center"/>
          </w:tcPr>
          <w:p w14:paraId="5378F645"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p>
        </w:tc>
      </w:tr>
      <w:tr w:rsidR="009C353B" w14:paraId="16D65D94" w14:textId="77777777">
        <w:trPr>
          <w:trHeight w:val="284"/>
          <w:jc w:val="center"/>
        </w:trPr>
        <w:tc>
          <w:tcPr>
            <w:tcW w:w="355" w:type="pct"/>
            <w:vMerge/>
            <w:vAlign w:val="center"/>
          </w:tcPr>
          <w:p w14:paraId="44592597"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2B03F3B7" w14:textId="77777777" w:rsidR="009C353B" w:rsidRDefault="009C353B">
            <w:pPr>
              <w:pStyle w:val="afffffffffff9"/>
              <w:snapToGrid w:val="0"/>
              <w:ind w:firstLine="480"/>
              <w:rPr>
                <w:rFonts w:ascii="Times New Roman" w:hAnsi="Times New Roman"/>
                <w:szCs w:val="21"/>
              </w:rPr>
            </w:pPr>
          </w:p>
        </w:tc>
        <w:tc>
          <w:tcPr>
            <w:tcW w:w="939" w:type="pct"/>
            <w:vAlign w:val="center"/>
          </w:tcPr>
          <w:p w14:paraId="51A96F7F"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无影响</w:t>
            </w:r>
          </w:p>
        </w:tc>
        <w:tc>
          <w:tcPr>
            <w:tcW w:w="704" w:type="pct"/>
            <w:vAlign w:val="center"/>
          </w:tcPr>
          <w:p w14:paraId="6C2747EE"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0</w:t>
            </w:r>
          </w:p>
        </w:tc>
        <w:tc>
          <w:tcPr>
            <w:tcW w:w="778" w:type="pct"/>
            <w:vAlign w:val="center"/>
          </w:tcPr>
          <w:p w14:paraId="39FF6BC6"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p>
        </w:tc>
      </w:tr>
      <w:tr w:rsidR="009C353B" w14:paraId="4733E0CE" w14:textId="77777777">
        <w:trPr>
          <w:trHeight w:val="284"/>
          <w:jc w:val="center"/>
        </w:trPr>
        <w:tc>
          <w:tcPr>
            <w:tcW w:w="355" w:type="pct"/>
            <w:vMerge/>
            <w:vAlign w:val="center"/>
          </w:tcPr>
          <w:p w14:paraId="38D0B7A7"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3A22670C" w14:textId="77777777" w:rsidR="009C353B" w:rsidRDefault="009C353B">
            <w:pPr>
              <w:pStyle w:val="afffffffffff9"/>
              <w:snapToGrid w:val="0"/>
              <w:ind w:firstLine="480"/>
              <w:rPr>
                <w:rFonts w:ascii="Times New Roman" w:hAnsi="Times New Roman"/>
                <w:szCs w:val="21"/>
              </w:rPr>
            </w:pPr>
          </w:p>
        </w:tc>
        <w:tc>
          <w:tcPr>
            <w:tcW w:w="939" w:type="pct"/>
            <w:vAlign w:val="center"/>
          </w:tcPr>
          <w:p w14:paraId="54D807FB"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未发表意见</w:t>
            </w:r>
          </w:p>
        </w:tc>
        <w:tc>
          <w:tcPr>
            <w:tcW w:w="704" w:type="pct"/>
            <w:vAlign w:val="center"/>
          </w:tcPr>
          <w:p w14:paraId="7EB7131A"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1</w:t>
            </w:r>
          </w:p>
        </w:tc>
        <w:tc>
          <w:tcPr>
            <w:tcW w:w="778" w:type="pct"/>
            <w:vAlign w:val="center"/>
          </w:tcPr>
          <w:p w14:paraId="5064D45D"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.7</w:t>
            </w:r>
          </w:p>
        </w:tc>
      </w:tr>
      <w:tr w:rsidR="009C353B" w14:paraId="1FD72449" w14:textId="77777777">
        <w:trPr>
          <w:trHeight w:val="284"/>
          <w:jc w:val="center"/>
        </w:trPr>
        <w:tc>
          <w:tcPr>
            <w:tcW w:w="355" w:type="pct"/>
            <w:vMerge w:val="restart"/>
            <w:vAlign w:val="center"/>
          </w:tcPr>
          <w:p w14:paraId="2C4423B1" w14:textId="77777777" w:rsidR="009C353B" w:rsidRDefault="00000000">
            <w:pPr>
              <w:pStyle w:val="afffffffffff9"/>
              <w:snapToGrid w:val="0"/>
              <w:jc w:val="center"/>
              <w:rPr>
                <w:rFonts w:ascii="Times New Roman" w:hAnsi="Times New Roman"/>
                <w:szCs w:val="21"/>
              </w:rPr>
            </w:pPr>
            <w:r>
              <w:rPr>
                <w:rFonts w:ascii="Times New Roman" w:hAnsi="Times New Roman"/>
                <w:szCs w:val="21"/>
              </w:rPr>
              <w:t>6</w:t>
            </w:r>
          </w:p>
        </w:tc>
        <w:tc>
          <w:tcPr>
            <w:tcW w:w="2224" w:type="pct"/>
            <w:vMerge w:val="restart"/>
            <w:vAlign w:val="center"/>
          </w:tcPr>
          <w:p w14:paraId="4D1A0382" w14:textId="77777777" w:rsidR="009C353B" w:rsidRDefault="00000000">
            <w:pPr>
              <w:pStyle w:val="afffffffffff9"/>
              <w:snapToGrid w:val="0"/>
              <w:rPr>
                <w:rFonts w:ascii="Times New Roman" w:hAnsi="Times New Roman"/>
                <w:szCs w:val="21"/>
              </w:rPr>
            </w:pPr>
            <w:r>
              <w:rPr>
                <w:rFonts w:ascii="Times New Roman" w:hAnsi="Times New Roman"/>
                <w:szCs w:val="21"/>
              </w:rPr>
              <w:t>您对规划实施的总体态度是</w:t>
            </w:r>
          </w:p>
        </w:tc>
        <w:tc>
          <w:tcPr>
            <w:tcW w:w="939" w:type="pct"/>
            <w:vAlign w:val="center"/>
          </w:tcPr>
          <w:p w14:paraId="7A0573A1"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赞成</w:t>
            </w:r>
          </w:p>
        </w:tc>
        <w:tc>
          <w:tcPr>
            <w:tcW w:w="704" w:type="pct"/>
            <w:vAlign w:val="center"/>
          </w:tcPr>
          <w:p w14:paraId="3E31ECC9"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1</w:t>
            </w:r>
            <w:r>
              <w:rPr>
                <w:rFonts w:ascii="Times New Roman" w:hAnsi="Times New Roman"/>
                <w:szCs w:val="21"/>
              </w:rPr>
              <w:t>1</w:t>
            </w:r>
          </w:p>
        </w:tc>
        <w:tc>
          <w:tcPr>
            <w:tcW w:w="778" w:type="pct"/>
            <w:vAlign w:val="center"/>
          </w:tcPr>
          <w:p w14:paraId="1C55BA42"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7</w:t>
            </w:r>
            <w:r>
              <w:rPr>
                <w:rFonts w:ascii="Times New Roman" w:hAnsi="Times New Roman"/>
                <w:sz w:val="21"/>
                <w:szCs w:val="21"/>
              </w:rPr>
              <w:t>3.3</w:t>
            </w:r>
          </w:p>
        </w:tc>
      </w:tr>
      <w:tr w:rsidR="009C353B" w14:paraId="663089EA" w14:textId="77777777">
        <w:trPr>
          <w:trHeight w:val="284"/>
          <w:jc w:val="center"/>
        </w:trPr>
        <w:tc>
          <w:tcPr>
            <w:tcW w:w="355" w:type="pct"/>
            <w:vMerge/>
            <w:vAlign w:val="center"/>
          </w:tcPr>
          <w:p w14:paraId="1B97C1BD"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27F0327F" w14:textId="77777777" w:rsidR="009C353B" w:rsidRDefault="009C353B">
            <w:pPr>
              <w:pStyle w:val="afffffffffff9"/>
              <w:snapToGrid w:val="0"/>
              <w:ind w:firstLine="480"/>
              <w:rPr>
                <w:rFonts w:ascii="Times New Roman" w:hAnsi="Times New Roman"/>
                <w:szCs w:val="21"/>
              </w:rPr>
            </w:pPr>
          </w:p>
        </w:tc>
        <w:tc>
          <w:tcPr>
            <w:tcW w:w="939" w:type="pct"/>
            <w:vAlign w:val="center"/>
          </w:tcPr>
          <w:p w14:paraId="44CE0CE0"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基本赞成</w:t>
            </w:r>
          </w:p>
        </w:tc>
        <w:tc>
          <w:tcPr>
            <w:tcW w:w="704" w:type="pct"/>
            <w:vAlign w:val="center"/>
          </w:tcPr>
          <w:p w14:paraId="2FD0C5F1"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3</w:t>
            </w:r>
          </w:p>
        </w:tc>
        <w:tc>
          <w:tcPr>
            <w:tcW w:w="778" w:type="pct"/>
            <w:vAlign w:val="center"/>
          </w:tcPr>
          <w:p w14:paraId="77467CD9"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0.0</w:t>
            </w:r>
          </w:p>
        </w:tc>
      </w:tr>
      <w:tr w:rsidR="009C353B" w14:paraId="7BFAD3DA" w14:textId="77777777">
        <w:trPr>
          <w:trHeight w:val="284"/>
          <w:jc w:val="center"/>
        </w:trPr>
        <w:tc>
          <w:tcPr>
            <w:tcW w:w="355" w:type="pct"/>
            <w:vMerge/>
            <w:vAlign w:val="center"/>
          </w:tcPr>
          <w:p w14:paraId="6F27C43A"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639FC653" w14:textId="77777777" w:rsidR="009C353B" w:rsidRDefault="009C353B">
            <w:pPr>
              <w:pStyle w:val="afffffffffff9"/>
              <w:snapToGrid w:val="0"/>
              <w:ind w:firstLine="480"/>
              <w:rPr>
                <w:rFonts w:ascii="Times New Roman" w:hAnsi="Times New Roman"/>
                <w:szCs w:val="21"/>
              </w:rPr>
            </w:pPr>
          </w:p>
        </w:tc>
        <w:tc>
          <w:tcPr>
            <w:tcW w:w="939" w:type="pct"/>
            <w:vAlign w:val="center"/>
          </w:tcPr>
          <w:p w14:paraId="038855AB"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反对</w:t>
            </w:r>
          </w:p>
        </w:tc>
        <w:tc>
          <w:tcPr>
            <w:tcW w:w="704" w:type="pct"/>
            <w:vAlign w:val="center"/>
          </w:tcPr>
          <w:p w14:paraId="204B29BC"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0</w:t>
            </w:r>
          </w:p>
        </w:tc>
        <w:tc>
          <w:tcPr>
            <w:tcW w:w="778" w:type="pct"/>
            <w:vAlign w:val="center"/>
          </w:tcPr>
          <w:p w14:paraId="7E8CD601"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0</w:t>
            </w:r>
          </w:p>
        </w:tc>
      </w:tr>
      <w:tr w:rsidR="009C353B" w14:paraId="3BEB9F55" w14:textId="77777777">
        <w:trPr>
          <w:trHeight w:val="284"/>
          <w:jc w:val="center"/>
        </w:trPr>
        <w:tc>
          <w:tcPr>
            <w:tcW w:w="355" w:type="pct"/>
            <w:vMerge/>
            <w:vAlign w:val="center"/>
          </w:tcPr>
          <w:p w14:paraId="609E5D30" w14:textId="77777777" w:rsidR="009C353B" w:rsidRDefault="009C353B">
            <w:pPr>
              <w:pStyle w:val="afffffffffff9"/>
              <w:snapToGrid w:val="0"/>
              <w:ind w:firstLine="480"/>
              <w:jc w:val="center"/>
              <w:rPr>
                <w:rFonts w:ascii="Times New Roman" w:hAnsi="Times New Roman"/>
                <w:szCs w:val="21"/>
              </w:rPr>
            </w:pPr>
          </w:p>
        </w:tc>
        <w:tc>
          <w:tcPr>
            <w:tcW w:w="2224" w:type="pct"/>
            <w:vMerge/>
            <w:vAlign w:val="center"/>
          </w:tcPr>
          <w:p w14:paraId="3669D22E" w14:textId="77777777" w:rsidR="009C353B" w:rsidRDefault="009C353B">
            <w:pPr>
              <w:pStyle w:val="afffffffffff9"/>
              <w:snapToGrid w:val="0"/>
              <w:ind w:firstLine="480"/>
              <w:rPr>
                <w:rFonts w:ascii="Times New Roman" w:hAnsi="Times New Roman"/>
                <w:szCs w:val="21"/>
              </w:rPr>
            </w:pPr>
          </w:p>
        </w:tc>
        <w:tc>
          <w:tcPr>
            <w:tcW w:w="939" w:type="pct"/>
            <w:vAlign w:val="center"/>
          </w:tcPr>
          <w:p w14:paraId="14B0FD17"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未发表意见</w:t>
            </w:r>
          </w:p>
        </w:tc>
        <w:tc>
          <w:tcPr>
            <w:tcW w:w="704" w:type="pct"/>
            <w:vAlign w:val="center"/>
          </w:tcPr>
          <w:p w14:paraId="64EA0EAE" w14:textId="77777777" w:rsidR="009C353B" w:rsidRDefault="00000000">
            <w:pPr>
              <w:pStyle w:val="afffffffffff9"/>
              <w:snapToGrid w:val="0"/>
              <w:jc w:val="center"/>
              <w:rPr>
                <w:rFonts w:ascii="Times New Roman" w:hAnsi="Times New Roman"/>
                <w:szCs w:val="21"/>
              </w:rPr>
            </w:pPr>
            <w:r>
              <w:rPr>
                <w:rFonts w:ascii="Times New Roman" w:hAnsi="Times New Roman" w:hint="eastAsia"/>
                <w:szCs w:val="21"/>
              </w:rPr>
              <w:t>1</w:t>
            </w:r>
          </w:p>
        </w:tc>
        <w:tc>
          <w:tcPr>
            <w:tcW w:w="778" w:type="pct"/>
            <w:vAlign w:val="center"/>
          </w:tcPr>
          <w:p w14:paraId="02421350" w14:textId="77777777" w:rsidR="009C353B" w:rsidRDefault="00000000">
            <w:pPr>
              <w:spacing w:line="240" w:lineRule="exact"/>
              <w:jc w:val="center"/>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.7</w:t>
            </w:r>
          </w:p>
        </w:tc>
      </w:tr>
    </w:tbl>
    <w:p w14:paraId="594C4D5B"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 xml:space="preserve"> </w:t>
      </w:r>
      <w:r>
        <w:rPr>
          <w:rFonts w:ascii="Times New Roman" w:hAnsi="Times New Roman"/>
        </w:rPr>
        <w:t>统计结果分析</w:t>
      </w:r>
    </w:p>
    <w:p w14:paraId="5F4085DB"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由表</w:t>
      </w:r>
      <w:r>
        <w:rPr>
          <w:rFonts w:ascii="Times New Roman" w:hAnsi="Times New Roman"/>
        </w:rPr>
        <w:t>12.3</w:t>
      </w:r>
      <w:r>
        <w:rPr>
          <w:rFonts w:ascii="Times New Roman" w:hAnsi="Times New Roman" w:hint="eastAsia"/>
        </w:rPr>
        <w:t>-</w:t>
      </w:r>
      <w:r>
        <w:rPr>
          <w:rFonts w:ascii="Times New Roman" w:hAnsi="Times New Roman"/>
        </w:rPr>
        <w:t>3</w:t>
      </w:r>
      <w:r>
        <w:rPr>
          <w:rFonts w:ascii="Times New Roman" w:hAnsi="Times New Roman"/>
        </w:rPr>
        <w:t>可知，</w:t>
      </w:r>
      <w:r>
        <w:rPr>
          <w:rFonts w:ascii="Times New Roman" w:hAnsi="Times New Roman" w:hint="eastAsia"/>
        </w:rPr>
        <w:t>可以从收回的</w:t>
      </w:r>
      <w:r>
        <w:rPr>
          <w:rFonts w:ascii="Times New Roman" w:hAnsi="Times New Roman" w:hint="eastAsia"/>
        </w:rPr>
        <w:t>9</w:t>
      </w:r>
      <w:r>
        <w:rPr>
          <w:rFonts w:ascii="Times New Roman" w:hAnsi="Times New Roman" w:hint="eastAsia"/>
        </w:rPr>
        <w:t>份</w:t>
      </w:r>
      <w:r>
        <w:rPr>
          <w:rFonts w:ascii="Times New Roman" w:hAnsi="Times New Roman"/>
        </w:rPr>
        <w:t>调查</w:t>
      </w:r>
      <w:r>
        <w:rPr>
          <w:rFonts w:ascii="Times New Roman" w:hAnsi="Times New Roman" w:hint="eastAsia"/>
        </w:rPr>
        <w:t>问卷中总结出以下六方面。</w:t>
      </w:r>
    </w:p>
    <w:p w14:paraId="495C0EAE"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 1 \* GB3</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hint="eastAsia"/>
        </w:rPr>
        <w:t>①</w:t>
      </w:r>
      <w:r>
        <w:rPr>
          <w:rFonts w:ascii="Times New Roman" w:hAnsi="Times New Roman"/>
        </w:rPr>
        <w:fldChar w:fldCharType="end"/>
      </w:r>
      <w:r>
        <w:rPr>
          <w:rFonts w:ascii="Times New Roman" w:hAnsi="Times New Roman" w:hint="eastAsia"/>
        </w:rPr>
        <w:t>对矿区规划情况的了解：了解占</w:t>
      </w:r>
      <w:r>
        <w:rPr>
          <w:rFonts w:ascii="Times New Roman" w:hAnsi="Times New Roman"/>
        </w:rPr>
        <w:t>73.3</w:t>
      </w:r>
      <w:r>
        <w:rPr>
          <w:rFonts w:ascii="Times New Roman" w:hAnsi="Times New Roman" w:hint="eastAsia"/>
        </w:rPr>
        <w:t>%</w:t>
      </w:r>
      <w:r>
        <w:rPr>
          <w:rFonts w:ascii="Times New Roman" w:hAnsi="Times New Roman" w:hint="eastAsia"/>
        </w:rPr>
        <w:t>，不了解占</w:t>
      </w:r>
      <w:r>
        <w:rPr>
          <w:rFonts w:ascii="Times New Roman" w:hAnsi="Times New Roman"/>
        </w:rPr>
        <w:t>26.7</w:t>
      </w:r>
      <w:r>
        <w:rPr>
          <w:rFonts w:ascii="Times New Roman" w:hAnsi="Times New Roman" w:hint="eastAsia"/>
        </w:rPr>
        <w:t>%</w:t>
      </w:r>
      <w:r>
        <w:rPr>
          <w:rFonts w:ascii="Times New Roman" w:hAnsi="Times New Roman" w:hint="eastAsia"/>
        </w:rPr>
        <w:t>。</w:t>
      </w:r>
    </w:p>
    <w:p w14:paraId="6BAC072B"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 2 \* GB3</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hint="eastAsia"/>
        </w:rPr>
        <w:t>②</w:t>
      </w:r>
      <w:r>
        <w:rPr>
          <w:rFonts w:ascii="Times New Roman" w:hAnsi="Times New Roman"/>
        </w:rPr>
        <w:fldChar w:fldCharType="end"/>
      </w:r>
      <w:r>
        <w:rPr>
          <w:rFonts w:ascii="Times New Roman" w:hAnsi="Times New Roman"/>
        </w:rPr>
        <w:t xml:space="preserve"> </w:t>
      </w:r>
      <w:r>
        <w:rPr>
          <w:rFonts w:ascii="Times New Roman" w:hAnsi="Times New Roman" w:hint="eastAsia"/>
        </w:rPr>
        <w:t>当地的环境状况：</w:t>
      </w:r>
      <w:r>
        <w:rPr>
          <w:rFonts w:ascii="Times New Roman" w:hAnsi="Times New Roman"/>
        </w:rPr>
        <w:t>13.4</w:t>
      </w:r>
      <w:r>
        <w:rPr>
          <w:rFonts w:ascii="Times New Roman" w:hAnsi="Times New Roman" w:hint="eastAsia"/>
        </w:rPr>
        <w:t>%</w:t>
      </w:r>
      <w:r>
        <w:rPr>
          <w:rFonts w:ascii="Times New Roman" w:hAnsi="Times New Roman" w:hint="eastAsia"/>
        </w:rPr>
        <w:t>认为环境很好，</w:t>
      </w:r>
      <w:r>
        <w:rPr>
          <w:rFonts w:ascii="Times New Roman" w:hAnsi="Times New Roman"/>
        </w:rPr>
        <w:t>33.3</w:t>
      </w:r>
      <w:r>
        <w:rPr>
          <w:rFonts w:ascii="Times New Roman" w:hAnsi="Times New Roman" w:hint="eastAsia"/>
        </w:rPr>
        <w:t>%</w:t>
      </w:r>
      <w:r>
        <w:rPr>
          <w:rFonts w:ascii="Times New Roman" w:hAnsi="Times New Roman" w:hint="eastAsia"/>
        </w:rPr>
        <w:t>认为环境较好，</w:t>
      </w:r>
      <w:r>
        <w:rPr>
          <w:rFonts w:ascii="Times New Roman" w:hAnsi="Times New Roman"/>
        </w:rPr>
        <w:t>20.0</w:t>
      </w:r>
      <w:r>
        <w:rPr>
          <w:rFonts w:ascii="Times New Roman" w:hAnsi="Times New Roman" w:hint="eastAsia"/>
        </w:rPr>
        <w:t>%</w:t>
      </w:r>
      <w:r>
        <w:rPr>
          <w:rFonts w:ascii="Times New Roman" w:hAnsi="Times New Roman" w:hint="eastAsia"/>
        </w:rPr>
        <w:t>认为环境一般。</w:t>
      </w:r>
    </w:p>
    <w:p w14:paraId="419BF448"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 3 \* GB3</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hint="eastAsia"/>
        </w:rPr>
        <w:t>③</w:t>
      </w:r>
      <w:r>
        <w:rPr>
          <w:rFonts w:ascii="Times New Roman" w:hAnsi="Times New Roman"/>
        </w:rPr>
        <w:fldChar w:fldCharType="end"/>
      </w:r>
      <w:r>
        <w:rPr>
          <w:rFonts w:ascii="Times New Roman" w:hAnsi="Times New Roman"/>
        </w:rPr>
        <w:t xml:space="preserve"> </w:t>
      </w:r>
      <w:r>
        <w:rPr>
          <w:rFonts w:ascii="Times New Roman" w:hAnsi="Times New Roman" w:hint="eastAsia"/>
        </w:rPr>
        <w:t>目前当地的环境问题：当地主要环境问题主要为固体废弃物堆置、地表水、空气、生态环境较差、水土流失、地下水、噪声，所占比例分别为</w:t>
      </w:r>
      <w:r>
        <w:rPr>
          <w:rFonts w:ascii="Times New Roman" w:hAnsi="Times New Roman"/>
        </w:rPr>
        <w:t>73.3</w:t>
      </w:r>
      <w:r>
        <w:rPr>
          <w:rFonts w:ascii="Times New Roman" w:hAnsi="Times New Roman" w:hint="eastAsia"/>
        </w:rPr>
        <w:t>%</w:t>
      </w:r>
      <w:r>
        <w:rPr>
          <w:rFonts w:ascii="Times New Roman" w:hAnsi="Times New Roman" w:hint="eastAsia"/>
        </w:rPr>
        <w:t>、</w:t>
      </w:r>
      <w:r>
        <w:rPr>
          <w:rFonts w:ascii="Times New Roman" w:hAnsi="Times New Roman"/>
        </w:rPr>
        <w:t>40.0</w:t>
      </w:r>
      <w:r>
        <w:rPr>
          <w:rFonts w:ascii="Times New Roman" w:hAnsi="Times New Roman" w:hint="eastAsia"/>
        </w:rPr>
        <w:t>%</w:t>
      </w:r>
      <w:r>
        <w:rPr>
          <w:rFonts w:ascii="Times New Roman" w:hAnsi="Times New Roman" w:hint="eastAsia"/>
        </w:rPr>
        <w:t>、</w:t>
      </w:r>
      <w:r>
        <w:rPr>
          <w:rFonts w:ascii="Times New Roman" w:hAnsi="Times New Roman"/>
        </w:rPr>
        <w:t>33.3</w:t>
      </w:r>
      <w:r>
        <w:rPr>
          <w:rFonts w:ascii="Times New Roman" w:hAnsi="Times New Roman" w:hint="eastAsia"/>
        </w:rPr>
        <w:t>%</w:t>
      </w:r>
      <w:r>
        <w:rPr>
          <w:rFonts w:ascii="Times New Roman" w:hAnsi="Times New Roman" w:hint="eastAsia"/>
        </w:rPr>
        <w:t>、</w:t>
      </w:r>
      <w:r>
        <w:rPr>
          <w:rFonts w:ascii="Times New Roman" w:hAnsi="Times New Roman"/>
        </w:rPr>
        <w:t>33.3</w:t>
      </w:r>
      <w:r>
        <w:rPr>
          <w:rFonts w:ascii="Times New Roman" w:hAnsi="Times New Roman" w:hint="eastAsia"/>
        </w:rPr>
        <w:t>%</w:t>
      </w:r>
      <w:r>
        <w:rPr>
          <w:rFonts w:ascii="Times New Roman" w:hAnsi="Times New Roman" w:hint="eastAsia"/>
        </w:rPr>
        <w:t>、</w:t>
      </w:r>
      <w:r>
        <w:rPr>
          <w:rFonts w:ascii="Times New Roman" w:hAnsi="Times New Roman"/>
        </w:rPr>
        <w:t>33.3</w:t>
      </w:r>
      <w:r>
        <w:rPr>
          <w:rFonts w:ascii="Times New Roman" w:hAnsi="Times New Roman" w:hint="eastAsia"/>
        </w:rPr>
        <w:t>%</w:t>
      </w:r>
      <w:r>
        <w:rPr>
          <w:rFonts w:ascii="Times New Roman" w:hAnsi="Times New Roman" w:hint="eastAsia"/>
        </w:rPr>
        <w:t>、</w:t>
      </w:r>
      <w:r>
        <w:rPr>
          <w:rFonts w:ascii="Times New Roman" w:hAnsi="Times New Roman"/>
        </w:rPr>
        <w:t>20</w:t>
      </w:r>
      <w:r>
        <w:rPr>
          <w:rFonts w:ascii="Times New Roman" w:hAnsi="Times New Roman" w:hint="eastAsia"/>
        </w:rPr>
        <w:t>%</w:t>
      </w:r>
      <w:r>
        <w:rPr>
          <w:rFonts w:ascii="Times New Roman" w:hAnsi="Times New Roman" w:hint="eastAsia"/>
        </w:rPr>
        <w:t>、</w:t>
      </w:r>
      <w:r>
        <w:rPr>
          <w:rFonts w:ascii="Times New Roman" w:hAnsi="Times New Roman"/>
        </w:rPr>
        <w:t>13.3</w:t>
      </w:r>
      <w:r>
        <w:rPr>
          <w:rFonts w:ascii="Times New Roman" w:hAnsi="Times New Roman" w:hint="eastAsia"/>
        </w:rPr>
        <w:t>%</w:t>
      </w:r>
      <w:r>
        <w:rPr>
          <w:rFonts w:ascii="Times New Roman" w:hAnsi="Times New Roman" w:hint="eastAsia"/>
        </w:rPr>
        <w:t>。</w:t>
      </w:r>
    </w:p>
    <w:p w14:paraId="16F74B25"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 4 \* GB3</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hint="eastAsia"/>
        </w:rPr>
        <w:t>④</w:t>
      </w:r>
      <w:r>
        <w:rPr>
          <w:rFonts w:ascii="Times New Roman" w:hAnsi="Times New Roman"/>
        </w:rPr>
        <w:fldChar w:fldCharType="end"/>
      </w:r>
      <w:r>
        <w:rPr>
          <w:rFonts w:ascii="Times New Roman" w:hAnsi="Times New Roman"/>
        </w:rPr>
        <w:t xml:space="preserve"> </w:t>
      </w:r>
      <w:r>
        <w:rPr>
          <w:rFonts w:ascii="Times New Roman" w:hAnsi="Times New Roman" w:hint="eastAsia"/>
        </w:rPr>
        <w:t>矿区规划实施后会对当地环境带来的不利影响：认为不利影响主要表现在生态系统的占</w:t>
      </w:r>
      <w:r>
        <w:rPr>
          <w:rFonts w:ascii="Times New Roman" w:hAnsi="Times New Roman"/>
        </w:rPr>
        <w:t>80</w:t>
      </w:r>
      <w:r>
        <w:rPr>
          <w:rFonts w:ascii="Times New Roman" w:hAnsi="Times New Roman" w:hint="eastAsia"/>
        </w:rPr>
        <w:t>%</w:t>
      </w:r>
      <w:r>
        <w:rPr>
          <w:rFonts w:ascii="Times New Roman" w:hAnsi="Times New Roman" w:hint="eastAsia"/>
        </w:rPr>
        <w:t>、地下水占</w:t>
      </w:r>
      <w:r>
        <w:rPr>
          <w:rFonts w:ascii="Times New Roman" w:hAnsi="Times New Roman"/>
        </w:rPr>
        <w:t>53.3</w:t>
      </w:r>
      <w:r>
        <w:rPr>
          <w:rFonts w:ascii="Times New Roman" w:hAnsi="Times New Roman" w:hint="eastAsia"/>
        </w:rPr>
        <w:t>%</w:t>
      </w:r>
      <w:r>
        <w:rPr>
          <w:rFonts w:ascii="Times New Roman" w:hAnsi="Times New Roman" w:hint="eastAsia"/>
        </w:rPr>
        <w:t>、地表水占</w:t>
      </w:r>
      <w:r>
        <w:rPr>
          <w:rFonts w:ascii="Times New Roman" w:hAnsi="Times New Roman"/>
        </w:rPr>
        <w:t>40.0</w:t>
      </w:r>
      <w:r>
        <w:rPr>
          <w:rFonts w:ascii="Times New Roman" w:hAnsi="Times New Roman" w:hint="eastAsia"/>
        </w:rPr>
        <w:t>%</w:t>
      </w:r>
      <w:r>
        <w:rPr>
          <w:rFonts w:ascii="Times New Roman" w:hAnsi="Times New Roman" w:hint="eastAsia"/>
        </w:rPr>
        <w:t>、空气占</w:t>
      </w:r>
      <w:r>
        <w:rPr>
          <w:rFonts w:ascii="Times New Roman" w:hAnsi="Times New Roman"/>
        </w:rPr>
        <w:t>26.7</w:t>
      </w:r>
      <w:r>
        <w:rPr>
          <w:rFonts w:ascii="Times New Roman" w:hAnsi="Times New Roman" w:hint="eastAsia"/>
        </w:rPr>
        <w:t>%</w:t>
      </w:r>
      <w:r>
        <w:rPr>
          <w:rFonts w:ascii="Times New Roman" w:hAnsi="Times New Roman" w:hint="eastAsia"/>
        </w:rPr>
        <w:t>、噪声占</w:t>
      </w:r>
      <w:r>
        <w:rPr>
          <w:rFonts w:ascii="Times New Roman" w:hAnsi="Times New Roman"/>
        </w:rPr>
        <w:t>13.3</w:t>
      </w:r>
      <w:r>
        <w:rPr>
          <w:rFonts w:ascii="Times New Roman" w:hAnsi="Times New Roman" w:hint="eastAsia"/>
        </w:rPr>
        <w:t>%</w:t>
      </w:r>
      <w:r>
        <w:rPr>
          <w:rFonts w:ascii="Times New Roman" w:hAnsi="Times New Roman" w:hint="eastAsia"/>
        </w:rPr>
        <w:t>。</w:t>
      </w:r>
    </w:p>
    <w:p w14:paraId="280A8DE1"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 5 \* GB3</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hint="eastAsia"/>
        </w:rPr>
        <w:t>⑤</w:t>
      </w:r>
      <w:r>
        <w:rPr>
          <w:rFonts w:ascii="Times New Roman" w:hAnsi="Times New Roman"/>
        </w:rPr>
        <w:fldChar w:fldCharType="end"/>
      </w:r>
      <w:r>
        <w:rPr>
          <w:rFonts w:ascii="Times New Roman" w:hAnsi="Times New Roman" w:hint="eastAsia"/>
        </w:rPr>
        <w:t>矿区规划实施后</w:t>
      </w:r>
      <w:r>
        <w:rPr>
          <w:rFonts w:ascii="Times New Roman" w:hAnsi="Times New Roman"/>
        </w:rPr>
        <w:t>是否有利于当地经济发展，提升人民生活质量</w:t>
      </w:r>
      <w:r>
        <w:rPr>
          <w:rFonts w:ascii="Times New Roman" w:hAnsi="Times New Roman" w:hint="eastAsia"/>
        </w:rPr>
        <w:t>：被调查人员（除一人未发表意见外）均认为有利于地区经济发展，提高生活质量。</w:t>
      </w:r>
    </w:p>
    <w:p w14:paraId="37F1B67F"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 6 \* GB3</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hint="eastAsia"/>
        </w:rPr>
        <w:t>⑥</w:t>
      </w:r>
      <w:r>
        <w:rPr>
          <w:rFonts w:ascii="Times New Roman" w:hAnsi="Times New Roman"/>
        </w:rPr>
        <w:fldChar w:fldCharType="end"/>
      </w:r>
      <w:r>
        <w:rPr>
          <w:rFonts w:ascii="Times New Roman" w:hAnsi="Times New Roman" w:hint="eastAsia"/>
        </w:rPr>
        <w:t>对项目实施的态度：赞成的占</w:t>
      </w:r>
      <w:r>
        <w:rPr>
          <w:rFonts w:ascii="Times New Roman" w:hAnsi="Times New Roman"/>
        </w:rPr>
        <w:t>73.3</w:t>
      </w:r>
      <w:r>
        <w:rPr>
          <w:rFonts w:ascii="Times New Roman" w:hAnsi="Times New Roman" w:hint="eastAsia"/>
        </w:rPr>
        <w:t>%</w:t>
      </w:r>
      <w:r>
        <w:rPr>
          <w:rFonts w:ascii="Times New Roman" w:hAnsi="Times New Roman" w:hint="eastAsia"/>
        </w:rPr>
        <w:t>，基本赞成的占</w:t>
      </w:r>
      <w:r>
        <w:rPr>
          <w:rFonts w:ascii="Times New Roman" w:hAnsi="Times New Roman"/>
        </w:rPr>
        <w:t>20.0</w:t>
      </w:r>
      <w:r>
        <w:rPr>
          <w:rFonts w:ascii="Times New Roman" w:hAnsi="Times New Roman" w:hint="eastAsia"/>
        </w:rPr>
        <w:t>%</w:t>
      </w:r>
      <w:r>
        <w:rPr>
          <w:rFonts w:ascii="Times New Roman" w:hAnsi="Times New Roman" w:hint="eastAsia"/>
        </w:rPr>
        <w:t>，没有反对意见。</w:t>
      </w:r>
    </w:p>
    <w:p w14:paraId="4EF30419"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hint="eastAsia"/>
        </w:rPr>
        <w:t>总结以上六方面，被调查者普遍认为项目建设会对当地的生态系统、水资源、空气、固废等方面造成较大影响，但是如果能够通过有效的环境保护措施平衡生态环境和社会经济之间的关系，当地政府部门对项目的实施还是持赞成态度的。</w:t>
      </w:r>
    </w:p>
    <w:p w14:paraId="5BF10461"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）公众建议汇总及处理意见</w:t>
      </w:r>
    </w:p>
    <w:p w14:paraId="4841DA26"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在公众参与问卷调查中，</w:t>
      </w:r>
      <w:r>
        <w:rPr>
          <w:rFonts w:ascii="Times New Roman" w:hAnsi="Times New Roman" w:hint="eastAsia"/>
        </w:rPr>
        <w:t>被调查者</w:t>
      </w:r>
      <w:r>
        <w:rPr>
          <w:rFonts w:ascii="Times New Roman" w:hAnsi="Times New Roman"/>
        </w:rPr>
        <w:t>对项目建设提出了自己的建议和要求，主要内容概括整理如下：</w:t>
      </w:r>
    </w:p>
    <w:p w14:paraId="215AC6A3"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1</w:t>
      </w:r>
      <w:r>
        <w:rPr>
          <w:rFonts w:ascii="Times New Roman" w:hAnsi="Times New Roman"/>
        </w:rPr>
        <w:t>）</w:t>
      </w:r>
      <w:r>
        <w:rPr>
          <w:rFonts w:ascii="Times New Roman" w:hAnsi="Times New Roman" w:hint="eastAsia"/>
        </w:rPr>
        <w:t>认为现状环境最应该保护的对象：自然保护区、明长城等文物遗址、水洞沟、大河子沟等地表水体、地表植被等，以及环境空气、地表水、地下水、生态系统、水土资源。</w:t>
      </w:r>
    </w:p>
    <w:p w14:paraId="32832518"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2</w:t>
      </w:r>
      <w:r>
        <w:rPr>
          <w:rFonts w:ascii="Times New Roman" w:hAnsi="Times New Roman"/>
        </w:rPr>
        <w:t>）</w:t>
      </w:r>
      <w:r>
        <w:rPr>
          <w:rFonts w:ascii="Times New Roman" w:hAnsi="Times New Roman" w:hint="eastAsia"/>
        </w:rPr>
        <w:t>对环境保护的建议：</w:t>
      </w:r>
    </w:p>
    <w:p w14:paraId="6C32E74D"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 1 \* GB3</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hint="eastAsia"/>
        </w:rPr>
        <w:t>①</w:t>
      </w:r>
      <w:r>
        <w:rPr>
          <w:rFonts w:ascii="Times New Roman" w:hAnsi="Times New Roman"/>
        </w:rPr>
        <w:fldChar w:fldCharType="end"/>
      </w:r>
      <w:r>
        <w:rPr>
          <w:rFonts w:ascii="Times New Roman" w:hAnsi="Times New Roman"/>
        </w:rPr>
        <w:t xml:space="preserve"> </w:t>
      </w:r>
      <w:r>
        <w:rPr>
          <w:rFonts w:ascii="Times New Roman" w:hAnsi="Times New Roman" w:hint="eastAsia"/>
        </w:rPr>
        <w:t>提升规划编制标准，将保护、修复与开发、利用相结合，做好产能高原规划，保证质量。要明确矿区生态环境修复治理内容，合理规划，分步实施。在开发利用的同时，保护好生态环境，保护好文物遗址。</w:t>
      </w:r>
    </w:p>
    <w:p w14:paraId="77E07027"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 2 \* GB3</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hint="eastAsia"/>
        </w:rPr>
        <w:t>②</w:t>
      </w:r>
      <w:r>
        <w:rPr>
          <w:rFonts w:ascii="Times New Roman" w:hAnsi="Times New Roman"/>
        </w:rPr>
        <w:fldChar w:fldCharType="end"/>
      </w:r>
      <w:r>
        <w:rPr>
          <w:rFonts w:ascii="Times New Roman" w:hAnsi="Times New Roman"/>
        </w:rPr>
        <w:t xml:space="preserve"> </w:t>
      </w:r>
      <w:r>
        <w:rPr>
          <w:rFonts w:ascii="Times New Roman" w:hAnsi="Times New Roman" w:hint="eastAsia"/>
        </w:rPr>
        <w:t>加强水土流失预防和水土资源保护。</w:t>
      </w:r>
    </w:p>
    <w:p w14:paraId="783B79AE"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 3 \* GB3</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hint="eastAsia"/>
        </w:rPr>
        <w:t>③</w:t>
      </w:r>
      <w:r>
        <w:rPr>
          <w:rFonts w:ascii="Times New Roman" w:hAnsi="Times New Roman"/>
        </w:rPr>
        <w:fldChar w:fldCharType="end"/>
      </w:r>
      <w:r>
        <w:rPr>
          <w:rFonts w:ascii="Times New Roman" w:hAnsi="Times New Roman"/>
        </w:rPr>
        <w:t xml:space="preserve"> </w:t>
      </w:r>
      <w:r>
        <w:rPr>
          <w:rFonts w:ascii="Times New Roman" w:hAnsi="Times New Roman" w:hint="eastAsia"/>
        </w:rPr>
        <w:t>要求矿区必须采取有效的污染防治措施、生态综合治理措施和环境保护措施，达到保护生态环境、大气和地下水的目的。矿区排放矸石等固废的堆放处理不得影响周边环境。矿区的地面设施必须尽可能远离水洞沟、大河子沟、鸭子荡水库保护范围。必须避让自然保护区，保证资源开发不对自然保护区的环境质量和生态功能造成损害。</w:t>
      </w:r>
    </w:p>
    <w:p w14:paraId="1CB80F9C" w14:textId="77777777" w:rsidR="009C353B" w:rsidRDefault="00000000">
      <w:pPr>
        <w:adjustRightInd w:val="0"/>
        <w:snapToGrid w:val="0"/>
        <w:spacing w:line="440" w:lineRule="exact"/>
        <w:ind w:firstLine="482"/>
        <w:rPr>
          <w:rFonts w:ascii="Times New Roman" w:hAnsi="Times New Roman"/>
        </w:rPr>
      </w:pPr>
      <w:r>
        <w:rPr>
          <w:rFonts w:hint="eastAsia"/>
        </w:rPr>
        <w:t>④</w:t>
      </w:r>
      <w:r>
        <w:rPr>
          <w:rFonts w:ascii="Times New Roman" w:hAnsi="Times New Roman" w:hint="eastAsia"/>
        </w:rPr>
        <w:t>重点关注矿井水的处理和利用、煤矸石的综合利用。矿井水综合利用去向须明确，保证零排放。固废综合利用明确具体措施、目标。应采取有效措施减少粉尘污染。</w:t>
      </w:r>
    </w:p>
    <w:p w14:paraId="5C3B8FD7" w14:textId="77777777" w:rsidR="009C353B" w:rsidRDefault="00000000">
      <w:pPr>
        <w:adjustRightInd w:val="0"/>
        <w:snapToGrid w:val="0"/>
        <w:spacing w:line="440" w:lineRule="exact"/>
        <w:ind w:firstLine="482"/>
        <w:rPr>
          <w:rFonts w:ascii="Times New Roman" w:hAnsi="Times New Roman"/>
        </w:rPr>
      </w:pPr>
      <w:r>
        <w:rPr>
          <w:rFonts w:hint="eastAsia"/>
        </w:rPr>
        <w:t>⑤</w:t>
      </w:r>
      <w:r>
        <w:rPr>
          <w:rFonts w:ascii="Times New Roman" w:hAnsi="Times New Roman" w:hint="eastAsia"/>
        </w:rPr>
        <w:t>灵武市文化旅游广电局：矿区涉及全国重点文物保护单位水洞沟遗址、明长城遗址及自治区文物保护单位红山堡遗址。文物遗址划定保护范围及建设控制地带，分别为文物遗址四周各外延</w:t>
      </w:r>
      <w:r>
        <w:rPr>
          <w:rFonts w:ascii="Times New Roman" w:hAnsi="Times New Roman" w:hint="eastAsia"/>
        </w:rPr>
        <w:t>1</w:t>
      </w:r>
      <w:r>
        <w:rPr>
          <w:rFonts w:ascii="Times New Roman" w:hAnsi="Times New Roman"/>
        </w:rPr>
        <w:t>00</w:t>
      </w:r>
      <w:r>
        <w:rPr>
          <w:rFonts w:ascii="Times New Roman" w:hAnsi="Times New Roman" w:hint="eastAsia"/>
        </w:rPr>
        <w:t>米。建议矿区用地面积范围，避让出文物保护范围和建设控制地带范围</w:t>
      </w:r>
    </w:p>
    <w:p w14:paraId="7409FF79"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对</w:t>
      </w:r>
      <w:r>
        <w:rPr>
          <w:rFonts w:ascii="Times New Roman" w:hAnsi="Times New Roman" w:hint="eastAsia"/>
        </w:rPr>
        <w:t>以上</w:t>
      </w:r>
      <w:r>
        <w:rPr>
          <w:rFonts w:ascii="Times New Roman" w:hAnsi="Times New Roman"/>
        </w:rPr>
        <w:t>建议，本环评都予以采纳，并在第</w:t>
      </w:r>
      <w:r>
        <w:rPr>
          <w:rFonts w:ascii="Times New Roman" w:hAnsi="Times New Roman"/>
        </w:rPr>
        <w:t>8</w:t>
      </w:r>
      <w:r>
        <w:rPr>
          <w:rFonts w:ascii="Times New Roman" w:hAnsi="Times New Roman"/>
        </w:rPr>
        <w:t>章矿区规划方案综合论证</w:t>
      </w:r>
      <w:r>
        <w:rPr>
          <w:rFonts w:ascii="Times New Roman" w:hAnsi="Times New Roman" w:hint="eastAsia"/>
        </w:rPr>
        <w:t>与优化调整建议</w:t>
      </w:r>
      <w:r>
        <w:rPr>
          <w:rFonts w:ascii="Times New Roman" w:hAnsi="Times New Roman"/>
        </w:rPr>
        <w:t>和第</w:t>
      </w:r>
      <w:r>
        <w:rPr>
          <w:rFonts w:ascii="Times New Roman" w:hAnsi="Times New Roman"/>
        </w:rPr>
        <w:t>9</w:t>
      </w:r>
      <w:r>
        <w:rPr>
          <w:rFonts w:ascii="Times New Roman" w:hAnsi="Times New Roman"/>
        </w:rPr>
        <w:t>章</w:t>
      </w:r>
      <w:r>
        <w:rPr>
          <w:rFonts w:ascii="Times New Roman" w:hAnsi="Times New Roman" w:hint="eastAsia"/>
        </w:rPr>
        <w:t>规划实施</w:t>
      </w:r>
      <w:r>
        <w:rPr>
          <w:rFonts w:ascii="Times New Roman" w:hAnsi="Times New Roman"/>
        </w:rPr>
        <w:t>环境影响减缓措施这两章中对</w:t>
      </w:r>
      <w:r>
        <w:rPr>
          <w:rFonts w:ascii="Times New Roman" w:hAnsi="Times New Roman" w:hint="eastAsia"/>
        </w:rPr>
        <w:t>以上</w:t>
      </w:r>
      <w:r>
        <w:rPr>
          <w:rFonts w:ascii="Times New Roman" w:hAnsi="Times New Roman"/>
        </w:rPr>
        <w:t>意见进行了充分回应。</w:t>
      </w:r>
    </w:p>
    <w:p w14:paraId="3E9AB307" w14:textId="77777777" w:rsidR="009C353B" w:rsidRDefault="00000000">
      <w:pPr>
        <w:pStyle w:val="2"/>
        <w:adjustRightInd w:val="0"/>
        <w:snapToGrid w:val="0"/>
        <w:spacing w:line="440" w:lineRule="exact"/>
        <w:jc w:val="left"/>
        <w:rPr>
          <w:rFonts w:ascii="Times New Roman" w:eastAsia="宋体" w:hAnsi="Times New Roman"/>
          <w:b/>
          <w:sz w:val="28"/>
        </w:rPr>
      </w:pPr>
      <w:bookmarkStart w:id="447" w:name="_Toc48502136"/>
      <w:bookmarkStart w:id="448" w:name="_Toc59189889"/>
      <w:r>
        <w:rPr>
          <w:rFonts w:ascii="Times New Roman" w:eastAsia="宋体" w:hAnsi="Times New Roman"/>
          <w:b/>
          <w:sz w:val="28"/>
        </w:rPr>
        <w:t xml:space="preserve">12.4 </w:t>
      </w:r>
      <w:r>
        <w:rPr>
          <w:rFonts w:ascii="Times New Roman" w:eastAsia="宋体" w:hAnsi="Times New Roman"/>
          <w:b/>
          <w:sz w:val="28"/>
        </w:rPr>
        <w:t>调查结论</w:t>
      </w:r>
      <w:bookmarkEnd w:id="447"/>
      <w:bookmarkEnd w:id="448"/>
    </w:p>
    <w:p w14:paraId="4FD2E6F0"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本项目的公众参与调查显示公众对矿区总体规划还是比较关注的，其主要调查结论如下：</w:t>
      </w:r>
    </w:p>
    <w:p w14:paraId="68F26565"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）调查人员</w:t>
      </w:r>
      <w:r>
        <w:rPr>
          <w:rFonts w:ascii="Times New Roman" w:hAnsi="Times New Roman" w:hint="eastAsia"/>
        </w:rPr>
        <w:t>均</w:t>
      </w:r>
      <w:r>
        <w:rPr>
          <w:rFonts w:ascii="Times New Roman" w:hAnsi="Times New Roman"/>
        </w:rPr>
        <w:t>支持本规划。</w:t>
      </w:r>
    </w:p>
    <w:p w14:paraId="3628B639"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）公众从不同角度对规划的环境影响表示了关注，并提出了自己的建议和要求，体现了公众环保意识的提高。</w:t>
      </w:r>
    </w:p>
    <w:p w14:paraId="52E37D13" w14:textId="77777777" w:rsidR="009C353B" w:rsidRDefault="00000000">
      <w:pPr>
        <w:adjustRightInd w:val="0"/>
        <w:snapToGrid w:val="0"/>
        <w:spacing w:line="440" w:lineRule="exact"/>
        <w:ind w:firstLine="482"/>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）在下一步工作中，需要进一步开展公众参与活动，保证规划能顺利实施并实现规划的经济效益、社会效益和环境效益的统一，发展经济的同时注意环境保护，最终达到提高人民生活质量的目的。</w:t>
      </w:r>
    </w:p>
    <w:p w14:paraId="7C422FF8" w14:textId="77777777" w:rsidR="009C353B" w:rsidRDefault="009C353B">
      <w:pPr>
        <w:pStyle w:val="1"/>
        <w:spacing w:before="100" w:beforeAutospacing="1" w:after="100" w:afterAutospacing="1" w:line="578" w:lineRule="exact"/>
        <w:jc w:val="center"/>
        <w:rPr>
          <w:rFonts w:ascii="Times New Roman" w:hAnsi="Times New Roman"/>
          <w:sz w:val="36"/>
        </w:rPr>
        <w:sectPr w:rsidR="009C353B">
          <w:headerReference w:type="default" r:id="rId494"/>
          <w:pgSz w:w="11906" w:h="16838"/>
          <w:pgMar w:top="1701" w:right="1418" w:bottom="1418" w:left="1418" w:header="1134" w:footer="851" w:gutter="0"/>
          <w:paperSrc w:first="7" w:other="7"/>
          <w:cols w:space="720"/>
          <w:docGrid w:linePitch="312"/>
        </w:sectPr>
      </w:pPr>
    </w:p>
    <w:p w14:paraId="123736C8" w14:textId="77777777" w:rsidR="009C353B" w:rsidRDefault="00000000">
      <w:pPr>
        <w:pStyle w:val="1"/>
        <w:spacing w:beforeLines="200" w:before="480" w:after="100" w:afterAutospacing="1" w:line="578" w:lineRule="exact"/>
        <w:jc w:val="center"/>
        <w:rPr>
          <w:rFonts w:ascii="Times New Roman" w:hAnsi="Times New Roman"/>
          <w:sz w:val="36"/>
        </w:rPr>
      </w:pPr>
      <w:bookmarkStart w:id="449" w:name="_Toc59189890"/>
      <w:r>
        <w:rPr>
          <w:rFonts w:ascii="Times New Roman" w:hAnsi="Times New Roman"/>
          <w:sz w:val="36"/>
        </w:rPr>
        <w:t xml:space="preserve">13 </w:t>
      </w:r>
      <w:r>
        <w:rPr>
          <w:rFonts w:ascii="Times New Roman" w:hAnsi="Times New Roman"/>
          <w:sz w:val="36"/>
        </w:rPr>
        <w:t>结论与建议</w:t>
      </w:r>
      <w:bookmarkEnd w:id="341"/>
      <w:bookmarkEnd w:id="449"/>
    </w:p>
    <w:p w14:paraId="6B3D4988" w14:textId="77777777" w:rsidR="009C353B" w:rsidRDefault="00000000">
      <w:pPr>
        <w:pStyle w:val="2"/>
        <w:adjustRightInd w:val="0"/>
        <w:snapToGrid w:val="0"/>
        <w:spacing w:before="600" w:line="440" w:lineRule="exact"/>
        <w:jc w:val="left"/>
        <w:rPr>
          <w:rFonts w:ascii="Times New Roman" w:eastAsia="宋体" w:hAnsi="Times New Roman"/>
          <w:b/>
          <w:sz w:val="28"/>
        </w:rPr>
      </w:pPr>
      <w:bookmarkStart w:id="450" w:name="_Toc59189891"/>
      <w:bookmarkStart w:id="451" w:name="_Toc411499245"/>
      <w:r>
        <w:rPr>
          <w:rFonts w:ascii="Times New Roman" w:eastAsia="宋体" w:hAnsi="Times New Roman"/>
          <w:b/>
          <w:sz w:val="28"/>
        </w:rPr>
        <w:t xml:space="preserve">13.1 </w:t>
      </w:r>
      <w:r>
        <w:rPr>
          <w:rFonts w:ascii="Times New Roman" w:eastAsia="宋体" w:hAnsi="Times New Roman" w:hint="eastAsia"/>
          <w:b/>
          <w:sz w:val="28"/>
        </w:rPr>
        <w:t>规划概况</w:t>
      </w:r>
      <w:bookmarkEnd w:id="450"/>
      <w:bookmarkEnd w:id="451"/>
    </w:p>
    <w:p w14:paraId="293ACD0F"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rPr>
        <w:t>横城矿区属于我国大型煤炭基地</w:t>
      </w:r>
      <w:r>
        <w:rPr>
          <w:rFonts w:ascii="Times New Roman" w:hAnsi="Times New Roman" w:hint="eastAsia"/>
        </w:rPr>
        <w:t>宁</w:t>
      </w:r>
      <w:r>
        <w:rPr>
          <w:rFonts w:ascii="Times New Roman" w:hAnsi="Times New Roman"/>
        </w:rPr>
        <w:t>东基地之</w:t>
      </w:r>
      <w:r>
        <w:rPr>
          <w:rFonts w:ascii="Times New Roman" w:hAnsi="Times New Roman" w:hint="eastAsia"/>
        </w:rPr>
        <w:t>一</w:t>
      </w:r>
      <w:r>
        <w:rPr>
          <w:rFonts w:ascii="Times New Roman" w:hAnsi="Times New Roman"/>
        </w:rPr>
        <w:t>，是我国能源发展总体战略的重要组成部分。</w:t>
      </w:r>
      <w:r>
        <w:rPr>
          <w:rFonts w:ascii="Times New Roman" w:hAnsi="Times New Roman" w:hint="eastAsia"/>
        </w:rPr>
        <w:t>矿区位于鄂尔多斯台地西缘，</w:t>
      </w:r>
      <w:r>
        <w:rPr>
          <w:rFonts w:ascii="Times New Roman" w:hAnsi="Times New Roman"/>
        </w:rPr>
        <w:t>行政区划属</w:t>
      </w:r>
      <w:r>
        <w:rPr>
          <w:rFonts w:ascii="Times New Roman" w:hAnsi="Times New Roman" w:hint="eastAsia"/>
        </w:rPr>
        <w:t>宁夏回族自治区灵武市管辖。</w:t>
      </w:r>
      <w:r>
        <w:rPr>
          <w:rFonts w:ascii="Times New Roman" w:hint="eastAsia"/>
        </w:rPr>
        <w:t>2</w:t>
      </w:r>
      <w:r>
        <w:rPr>
          <w:rFonts w:ascii="Times New Roman"/>
        </w:rPr>
        <w:t>004</w:t>
      </w:r>
      <w:r>
        <w:rPr>
          <w:rFonts w:ascii="Times New Roman" w:hint="eastAsia"/>
        </w:rPr>
        <w:t>年</w:t>
      </w:r>
      <w:r>
        <w:rPr>
          <w:rFonts w:ascii="Times New Roman"/>
        </w:rPr>
        <w:t>国家发展和改革委员会</w:t>
      </w:r>
      <w:r>
        <w:rPr>
          <w:rFonts w:ascii="Times New Roman" w:hint="eastAsia"/>
        </w:rPr>
        <w:t>以《国家发展改革委关于宁夏横城矿区总体规划的批复》（发改能源</w:t>
      </w:r>
      <w:r>
        <w:rPr>
          <w:rFonts w:hint="eastAsia"/>
        </w:rPr>
        <w:t>〔</w:t>
      </w:r>
      <w:r>
        <w:rPr>
          <w:rFonts w:ascii="Times New Roman" w:hint="eastAsia"/>
        </w:rPr>
        <w:t>20</w:t>
      </w:r>
      <w:r>
        <w:rPr>
          <w:rFonts w:ascii="Times New Roman"/>
        </w:rPr>
        <w:t>0</w:t>
      </w:r>
      <w:r>
        <w:rPr>
          <w:rFonts w:ascii="Times New Roman" w:hint="eastAsia"/>
        </w:rPr>
        <w:t>4</w:t>
      </w:r>
      <w:r>
        <w:rPr>
          <w:rFonts w:hint="eastAsia"/>
        </w:rPr>
        <w:t>〕</w:t>
      </w:r>
      <w:r>
        <w:rPr>
          <w:rFonts w:ascii="Times New Roman" w:hint="eastAsia"/>
        </w:rPr>
        <w:t>2166</w:t>
      </w:r>
      <w:r>
        <w:rPr>
          <w:rFonts w:ascii="Times New Roman" w:hint="eastAsia"/>
        </w:rPr>
        <w:t>号）对总体规划进行批复。矿区划分为</w:t>
      </w:r>
      <w:r>
        <w:rPr>
          <w:rFonts w:ascii="Times New Roman"/>
        </w:rPr>
        <w:t>4</w:t>
      </w:r>
      <w:r>
        <w:rPr>
          <w:rFonts w:ascii="Times New Roman" w:hint="eastAsia"/>
        </w:rPr>
        <w:t>个井田开发，规划范围</w:t>
      </w:r>
      <w:r>
        <w:rPr>
          <w:rFonts w:ascii="Times New Roman"/>
        </w:rPr>
        <w:t>58</w:t>
      </w:r>
      <w:r>
        <w:rPr>
          <w:rFonts w:ascii="Times New Roman" w:hint="eastAsia"/>
        </w:rPr>
        <w:t>km</w:t>
      </w:r>
      <w:r>
        <w:rPr>
          <w:rFonts w:ascii="Times New Roman" w:hint="eastAsia"/>
          <w:vertAlign w:val="superscript"/>
        </w:rPr>
        <w:t>2</w:t>
      </w:r>
      <w:r>
        <w:rPr>
          <w:rFonts w:ascii="Times New Roman" w:hint="eastAsia"/>
        </w:rPr>
        <w:t>，总规模</w:t>
      </w:r>
      <w:r>
        <w:rPr>
          <w:rFonts w:ascii="Times New Roman"/>
        </w:rPr>
        <w:t>6.0</w:t>
      </w:r>
      <w:r>
        <w:rPr>
          <w:rFonts w:ascii="Times New Roman" w:hint="eastAsia"/>
        </w:rPr>
        <w:t>Mt/a</w:t>
      </w:r>
      <w:r>
        <w:rPr>
          <w:rFonts w:ascii="Times New Roman" w:hint="eastAsia"/>
        </w:rPr>
        <w:t>，分别为马莲台</w:t>
      </w:r>
      <w:r>
        <w:rPr>
          <w:rFonts w:ascii="Times New Roman" w:hint="eastAsia"/>
        </w:rPr>
        <w:t>2</w:t>
      </w:r>
      <w:r>
        <w:rPr>
          <w:rFonts w:ascii="Times New Roman"/>
        </w:rPr>
        <w:t>.4</w:t>
      </w:r>
      <w:r>
        <w:rPr>
          <w:rFonts w:ascii="Times New Roman" w:hint="eastAsia"/>
        </w:rPr>
        <w:t>Mt/a</w:t>
      </w:r>
      <w:r>
        <w:rPr>
          <w:rFonts w:ascii="Times New Roman" w:hint="eastAsia"/>
        </w:rPr>
        <w:t>、任家庄</w:t>
      </w:r>
      <w:r>
        <w:rPr>
          <w:rFonts w:ascii="Times New Roman" w:hint="eastAsia"/>
        </w:rPr>
        <w:t>2</w:t>
      </w:r>
      <w:r>
        <w:rPr>
          <w:rFonts w:ascii="Times New Roman"/>
        </w:rPr>
        <w:t>.4</w:t>
      </w:r>
      <w:r>
        <w:rPr>
          <w:rFonts w:ascii="Times New Roman" w:hint="eastAsia"/>
        </w:rPr>
        <w:t>Mt/a</w:t>
      </w:r>
      <w:r>
        <w:rPr>
          <w:rFonts w:ascii="Times New Roman" w:hint="eastAsia"/>
        </w:rPr>
        <w:t>、红石湾</w:t>
      </w:r>
      <w:r>
        <w:rPr>
          <w:rFonts w:ascii="Times New Roman"/>
        </w:rPr>
        <w:t>0.6</w:t>
      </w:r>
      <w:r>
        <w:rPr>
          <w:rFonts w:ascii="Times New Roman" w:hint="eastAsia"/>
        </w:rPr>
        <w:t>Mt/a</w:t>
      </w:r>
      <w:r>
        <w:rPr>
          <w:rFonts w:ascii="Times New Roman" w:hint="eastAsia"/>
        </w:rPr>
        <w:t>、丁家梁</w:t>
      </w:r>
      <w:r>
        <w:rPr>
          <w:rFonts w:ascii="Times New Roman"/>
        </w:rPr>
        <w:t>0.6</w:t>
      </w:r>
      <w:r>
        <w:rPr>
          <w:rFonts w:ascii="Times New Roman" w:hint="eastAsia"/>
        </w:rPr>
        <w:t>Mt/a</w:t>
      </w:r>
      <w:r>
        <w:rPr>
          <w:rFonts w:ascii="Times New Roman" w:hint="eastAsia"/>
        </w:rPr>
        <w:t>。</w:t>
      </w:r>
    </w:p>
    <w:p w14:paraId="4FD98C98" w14:textId="77777777" w:rsidR="009C353B" w:rsidRDefault="00000000">
      <w:pPr>
        <w:adjustRightInd w:val="0"/>
        <w:snapToGrid w:val="0"/>
        <w:spacing w:line="440" w:lineRule="exact"/>
        <w:ind w:firstLineChars="200" w:firstLine="480"/>
        <w:rPr>
          <w:rFonts w:ascii="Times New Roman" w:hint="eastAsia"/>
        </w:rPr>
      </w:pPr>
      <w:r>
        <w:rPr>
          <w:rFonts w:ascii="Times New Roman"/>
        </w:rPr>
        <w:t>随着宁东基地的开发建设</w:t>
      </w:r>
      <w:r>
        <w:rPr>
          <w:rFonts w:ascii="Times New Roman" w:hint="eastAsia"/>
        </w:rPr>
        <w:t>，目前</w:t>
      </w:r>
      <w:r>
        <w:rPr>
          <w:rFonts w:ascii="Times New Roman"/>
        </w:rPr>
        <w:t>横城矿区的内外部条件均发生了较大变化</w:t>
      </w:r>
      <w:r>
        <w:rPr>
          <w:rFonts w:ascii="Times New Roman" w:hint="eastAsia"/>
        </w:rPr>
        <w:t>。横城矿区是宁东基地中最接近工业园区、煤化工园区等用煤用户的矿区，其煤炭供给园区的电厂、煤化工等项目。规划</w:t>
      </w:r>
      <w:r>
        <w:rPr>
          <w:rFonts w:ascii="Times New Roman"/>
        </w:rPr>
        <w:t>实施</w:t>
      </w:r>
      <w:r>
        <w:rPr>
          <w:rFonts w:ascii="Times New Roman" w:hint="eastAsia"/>
        </w:rPr>
        <w:t>至今，马莲台、任家庄和红石湾</w:t>
      </w:r>
      <w:r>
        <w:rPr>
          <w:rFonts w:ascii="Times New Roman" w:hint="eastAsia"/>
        </w:rPr>
        <w:t>3</w:t>
      </w:r>
      <w:r>
        <w:rPr>
          <w:rFonts w:ascii="Times New Roman" w:hint="eastAsia"/>
        </w:rPr>
        <w:t>个生产矿井规模与原规划规模相比均有变化，目前矿区煤炭开发总规模已达到</w:t>
      </w:r>
      <w:r>
        <w:rPr>
          <w:rFonts w:ascii="Times New Roman"/>
        </w:rPr>
        <w:t>8.3</w:t>
      </w:r>
      <w:r>
        <w:rPr>
          <w:rFonts w:ascii="Times New Roman" w:hint="eastAsia"/>
        </w:rPr>
        <w:t>Mt/a</w:t>
      </w:r>
      <w:r>
        <w:rPr>
          <w:rFonts w:ascii="Times New Roman" w:hint="eastAsia"/>
        </w:rPr>
        <w:t>，其中马莲台矿井</w:t>
      </w:r>
      <w:r>
        <w:rPr>
          <w:rFonts w:ascii="Times New Roman"/>
        </w:rPr>
        <w:t>3.6</w:t>
      </w:r>
      <w:r>
        <w:rPr>
          <w:rFonts w:ascii="Times New Roman" w:hint="eastAsia"/>
        </w:rPr>
        <w:t>Mt/a</w:t>
      </w:r>
      <w:r>
        <w:rPr>
          <w:rFonts w:ascii="Times New Roman" w:hint="eastAsia"/>
        </w:rPr>
        <w:t>、任家庄矿井</w:t>
      </w:r>
      <w:r>
        <w:rPr>
          <w:rFonts w:ascii="Times New Roman"/>
        </w:rPr>
        <w:t>3.6</w:t>
      </w:r>
      <w:r>
        <w:rPr>
          <w:rFonts w:ascii="Times New Roman" w:hint="eastAsia"/>
        </w:rPr>
        <w:t>Mt/a</w:t>
      </w:r>
      <w:r>
        <w:rPr>
          <w:rFonts w:ascii="Times New Roman" w:hint="eastAsia"/>
        </w:rPr>
        <w:t>、红石湾矿井</w:t>
      </w:r>
      <w:r>
        <w:rPr>
          <w:rFonts w:ascii="Times New Roman"/>
        </w:rPr>
        <w:t>1.1</w:t>
      </w:r>
      <w:r>
        <w:rPr>
          <w:rFonts w:ascii="Times New Roman" w:hint="eastAsia"/>
        </w:rPr>
        <w:t>Mt/a</w:t>
      </w:r>
      <w:r>
        <w:rPr>
          <w:rFonts w:ascii="Times New Roman" w:hint="eastAsia"/>
        </w:rPr>
        <w:t>。规划的丁家梁矿井（</w:t>
      </w:r>
      <w:r>
        <w:rPr>
          <w:rFonts w:ascii="Times New Roman"/>
        </w:rPr>
        <w:t>0.6</w:t>
      </w:r>
      <w:r>
        <w:rPr>
          <w:rFonts w:ascii="Times New Roman" w:hint="eastAsia"/>
        </w:rPr>
        <w:t>Mt/a</w:t>
      </w:r>
      <w:r>
        <w:rPr>
          <w:rFonts w:ascii="Times New Roman" w:hint="eastAsia"/>
        </w:rPr>
        <w:t>）在建，目前停建。随着矿区勘查程度提高和外部条件的变化，甜水河勘查区完成了勘探工作，但原规划中并未包含甜水河勘查区，而原规划的丁家梁井田资源被鸭子荡水库大量压覆难以独立开发。因此，为推进横城矿区煤炭资源的合理开发利用，宁夏回族自治区发展和改革委员会组织对横城矿区总体规划进行了修编。</w:t>
      </w:r>
      <w:r>
        <w:rPr>
          <w:rFonts w:ascii="Times New Roman" w:hint="eastAsia"/>
        </w:rPr>
        <w:t>2</w:t>
      </w:r>
      <w:r>
        <w:rPr>
          <w:rFonts w:ascii="Times New Roman"/>
        </w:rPr>
        <w:t>020</w:t>
      </w:r>
      <w:r>
        <w:rPr>
          <w:rFonts w:ascii="Times New Roman"/>
        </w:rPr>
        <w:t>年</w:t>
      </w:r>
      <w:r>
        <w:rPr>
          <w:rFonts w:ascii="Times New Roman"/>
        </w:rPr>
        <w:t>6</w:t>
      </w:r>
      <w:r>
        <w:rPr>
          <w:rFonts w:ascii="Times New Roman" w:hint="eastAsia"/>
        </w:rPr>
        <w:t>月，</w:t>
      </w:r>
      <w:r>
        <w:rPr>
          <w:rFonts w:ascii="Times New Roman" w:hAnsi="Times New Roman"/>
        </w:rPr>
        <w:t>中煤</w:t>
      </w:r>
      <w:r>
        <w:rPr>
          <w:rFonts w:ascii="Times New Roman" w:hAnsi="Times New Roman" w:hint="eastAsia"/>
        </w:rPr>
        <w:t>科工</w:t>
      </w:r>
      <w:r>
        <w:rPr>
          <w:rFonts w:ascii="Times New Roman" w:hAnsi="Times New Roman"/>
        </w:rPr>
        <w:t>集团</w:t>
      </w:r>
      <w:r>
        <w:rPr>
          <w:rFonts w:ascii="Times New Roman" w:hAnsi="Times New Roman" w:hint="eastAsia"/>
        </w:rPr>
        <w:t>北京华宇工程有限公司完成了</w:t>
      </w:r>
      <w:r>
        <w:rPr>
          <w:rFonts w:ascii="Times New Roman" w:hAnsi="Times New Roman"/>
        </w:rPr>
        <w:t>《</w:t>
      </w:r>
      <w:r>
        <w:rPr>
          <w:rFonts w:ascii="Times New Roman" w:hAnsi="Times New Roman" w:hint="eastAsia"/>
        </w:rPr>
        <w:t>宁夏回族</w:t>
      </w:r>
      <w:r>
        <w:rPr>
          <w:rFonts w:ascii="Times New Roman" w:hAnsi="Times New Roman"/>
        </w:rPr>
        <w:t>自治区</w:t>
      </w:r>
      <w:r>
        <w:rPr>
          <w:rFonts w:ascii="Times New Roman" w:hAnsi="Times New Roman" w:hint="eastAsia"/>
        </w:rPr>
        <w:t>横城矿区</w:t>
      </w:r>
      <w:r>
        <w:rPr>
          <w:rFonts w:ascii="Times New Roman" w:hAnsi="Times New Roman"/>
        </w:rPr>
        <w:t>总体规划</w:t>
      </w:r>
      <w:r>
        <w:rPr>
          <w:rFonts w:ascii="Times New Roman" w:hAnsi="Times New Roman" w:hint="eastAsia"/>
        </w:rPr>
        <w:t>（修编）</w:t>
      </w:r>
      <w:r>
        <w:rPr>
          <w:rFonts w:ascii="Times New Roman" w:hAnsi="Times New Roman"/>
        </w:rPr>
        <w:t>》</w:t>
      </w:r>
      <w:r>
        <w:rPr>
          <w:rFonts w:ascii="Times New Roman" w:hAnsi="Times New Roman" w:hint="eastAsia"/>
        </w:rPr>
        <w:t>。</w:t>
      </w:r>
    </w:p>
    <w:p w14:paraId="67F37C6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矿区</w:t>
      </w:r>
      <w:r>
        <w:rPr>
          <w:rFonts w:ascii="Times New Roman" w:hAnsi="Times New Roman" w:hint="eastAsia"/>
        </w:rPr>
        <w:t>本次修编后规划</w:t>
      </w:r>
      <w:r>
        <w:rPr>
          <w:rFonts w:ascii="Times New Roman" w:hAnsi="Times New Roman"/>
        </w:rPr>
        <w:t>总面积</w:t>
      </w:r>
      <w:r>
        <w:rPr>
          <w:rFonts w:ascii="Times New Roman" w:hAnsi="Times New Roman"/>
        </w:rPr>
        <w:t>86km</w:t>
      </w:r>
      <w:r>
        <w:rPr>
          <w:rFonts w:ascii="Times New Roman" w:hAnsi="Times New Roman"/>
          <w:vertAlign w:val="superscript"/>
        </w:rPr>
        <w:t>2</w:t>
      </w:r>
      <w:r>
        <w:rPr>
          <w:rFonts w:ascii="Times New Roman" w:hAnsi="Times New Roman"/>
        </w:rPr>
        <w:t>，</w:t>
      </w:r>
      <w:r>
        <w:rPr>
          <w:rFonts w:ascii="Times New Roman" w:hAnsi="Times New Roman" w:hint="eastAsia"/>
        </w:rPr>
        <w:t>资源总量</w:t>
      </w:r>
      <w:r>
        <w:rPr>
          <w:rFonts w:ascii="Times New Roman" w:hAnsi="Times New Roman"/>
        </w:rPr>
        <w:t>1020.17Mt</w:t>
      </w:r>
      <w:r>
        <w:rPr>
          <w:rFonts w:ascii="Times New Roman" w:hAnsi="Times New Roman"/>
        </w:rPr>
        <w:t>。</w:t>
      </w:r>
      <w:r>
        <w:rPr>
          <w:rFonts w:ascii="Times New Roman" w:hAnsi="Times New Roman" w:hint="eastAsia"/>
        </w:rPr>
        <w:t>矿区规划煤炭开发总规模</w:t>
      </w:r>
      <w:r>
        <w:rPr>
          <w:rFonts w:ascii="Times New Roman" w:hAnsi="Times New Roman" w:hint="eastAsia"/>
        </w:rPr>
        <w:t>9.20Mt/a</w:t>
      </w:r>
      <w:r>
        <w:rPr>
          <w:rFonts w:ascii="Times New Roman" w:hAnsi="Times New Roman" w:hint="eastAsia"/>
        </w:rPr>
        <w:t>，矿区</w:t>
      </w:r>
      <w:r>
        <w:rPr>
          <w:rFonts w:ascii="Times New Roman" w:hAnsi="Times New Roman"/>
        </w:rPr>
        <w:t>划分为</w:t>
      </w:r>
      <w:r>
        <w:rPr>
          <w:rFonts w:ascii="Times New Roman" w:hAnsi="Times New Roman"/>
        </w:rPr>
        <w:t>4</w:t>
      </w:r>
      <w:r>
        <w:rPr>
          <w:rFonts w:ascii="Times New Roman" w:hAnsi="Times New Roman" w:hint="eastAsia"/>
        </w:rPr>
        <w:t>个煤矿（均为井工矿）</w:t>
      </w:r>
      <w:r>
        <w:rPr>
          <w:rFonts w:ascii="Times New Roman" w:hAnsi="Times New Roman"/>
        </w:rPr>
        <w:t>，</w:t>
      </w:r>
      <w:r>
        <w:rPr>
          <w:rFonts w:ascii="Times New Roman" w:hAnsi="Times New Roman" w:hint="eastAsia"/>
        </w:rPr>
        <w:t>3</w:t>
      </w:r>
      <w:r>
        <w:rPr>
          <w:rFonts w:ascii="Times New Roman" w:hAnsi="Times New Roman"/>
        </w:rPr>
        <w:t>个</w:t>
      </w:r>
      <w:r>
        <w:rPr>
          <w:rFonts w:ascii="Times New Roman" w:hAnsi="Times New Roman" w:hint="eastAsia"/>
        </w:rPr>
        <w:t>后备</w:t>
      </w:r>
      <w:r>
        <w:rPr>
          <w:rFonts w:ascii="Times New Roman" w:hAnsi="Times New Roman"/>
        </w:rPr>
        <w:t>区</w:t>
      </w:r>
      <w:r>
        <w:rPr>
          <w:rFonts w:ascii="Times New Roman" w:hAnsi="Times New Roman" w:hint="eastAsia"/>
        </w:rPr>
        <w:t>。</w:t>
      </w:r>
      <w:r>
        <w:rPr>
          <w:rFonts w:ascii="Times New Roman" w:hint="eastAsia"/>
        </w:rPr>
        <w:t>其中马莲台矿井</w:t>
      </w:r>
      <w:r>
        <w:rPr>
          <w:rFonts w:ascii="Times New Roman"/>
        </w:rPr>
        <w:t>3.6</w:t>
      </w:r>
      <w:r>
        <w:rPr>
          <w:rFonts w:ascii="Times New Roman" w:hint="eastAsia"/>
        </w:rPr>
        <w:t>Mt/a</w:t>
      </w:r>
      <w:r>
        <w:rPr>
          <w:rFonts w:ascii="Times New Roman" w:hint="eastAsia"/>
        </w:rPr>
        <w:t>、任家庄矿井</w:t>
      </w:r>
      <w:r>
        <w:rPr>
          <w:rFonts w:ascii="Times New Roman"/>
        </w:rPr>
        <w:t>3.6</w:t>
      </w:r>
      <w:r>
        <w:rPr>
          <w:rFonts w:ascii="Times New Roman" w:hint="eastAsia"/>
        </w:rPr>
        <w:t>Mt/a</w:t>
      </w:r>
      <w:r>
        <w:rPr>
          <w:rFonts w:ascii="Times New Roman" w:hint="eastAsia"/>
        </w:rPr>
        <w:t>、红石湾矿井</w:t>
      </w:r>
      <w:r>
        <w:rPr>
          <w:rFonts w:ascii="Times New Roman"/>
        </w:rPr>
        <w:t>1.1</w:t>
      </w:r>
      <w:r>
        <w:rPr>
          <w:rFonts w:ascii="Times New Roman" w:hint="eastAsia"/>
        </w:rPr>
        <w:t>Mt/a</w:t>
      </w:r>
      <w:r>
        <w:rPr>
          <w:rFonts w:ascii="Times New Roman" w:hint="eastAsia"/>
        </w:rPr>
        <w:t>，丁家梁</w:t>
      </w:r>
      <w:r>
        <w:rPr>
          <w:rFonts w:ascii="Times New Roman"/>
        </w:rPr>
        <w:t>0.9</w:t>
      </w:r>
      <w:r>
        <w:rPr>
          <w:rFonts w:ascii="Times New Roman" w:hint="eastAsia"/>
        </w:rPr>
        <w:t>Mt/a</w:t>
      </w:r>
      <w:r>
        <w:rPr>
          <w:rFonts w:ascii="Times New Roman" w:hint="eastAsia"/>
        </w:rPr>
        <w:t>。除丁家梁处于停建状态外，其余</w:t>
      </w:r>
      <w:r>
        <w:rPr>
          <w:rFonts w:ascii="Times New Roman" w:hint="eastAsia"/>
        </w:rPr>
        <w:t>3</w:t>
      </w:r>
      <w:r>
        <w:rPr>
          <w:rFonts w:ascii="Times New Roman" w:hint="eastAsia"/>
        </w:rPr>
        <w:t>个矿井均为生产矿井且已达到规划规模。</w:t>
      </w:r>
      <w:r>
        <w:rPr>
          <w:rFonts w:ascii="Times New Roman" w:hAnsi="Times New Roman" w:hint="eastAsia"/>
        </w:rPr>
        <w:t>矿区</w:t>
      </w:r>
      <w:r>
        <w:rPr>
          <w:rFonts w:ascii="Times New Roman" w:hAnsi="Times New Roman"/>
        </w:rPr>
        <w:t>主要包括采煤、选煤产业</w:t>
      </w:r>
      <w:r>
        <w:rPr>
          <w:rFonts w:ascii="Times New Roman" w:hAnsi="Times New Roman" w:hint="eastAsia"/>
        </w:rPr>
        <w:t>。</w:t>
      </w:r>
      <w:r>
        <w:rPr>
          <w:rFonts w:ascii="Times New Roman" w:hAnsi="Times New Roman"/>
        </w:rPr>
        <w:t>矿区内</w:t>
      </w:r>
      <w:r>
        <w:rPr>
          <w:rFonts w:ascii="Times New Roman" w:hAnsi="Times New Roman" w:hint="eastAsia"/>
        </w:rPr>
        <w:t>马莲台煤矿已建群矿型选煤厂（</w:t>
      </w:r>
      <w:r>
        <w:rPr>
          <w:rFonts w:ascii="Times New Roman" w:hAnsi="Times New Roman" w:hint="eastAsia"/>
        </w:rPr>
        <w:t>10.0</w:t>
      </w:r>
      <w:r>
        <w:rPr>
          <w:rFonts w:ascii="Times New Roman" w:hAnsi="Times New Roman"/>
        </w:rPr>
        <w:t>Mt/a</w:t>
      </w:r>
      <w:r>
        <w:rPr>
          <w:rFonts w:ascii="Times New Roman" w:hAnsi="Times New Roman" w:hint="eastAsia"/>
        </w:rPr>
        <w:t>），红石湾</w:t>
      </w:r>
      <w:r>
        <w:rPr>
          <w:rFonts w:ascii="Times New Roman" w:hAnsi="Times New Roman"/>
        </w:rPr>
        <w:t>矿井已建配套的矿井型选煤厂（</w:t>
      </w:r>
      <w:r>
        <w:rPr>
          <w:rFonts w:ascii="Times New Roman" w:hAnsi="Times New Roman"/>
        </w:rPr>
        <w:t>1.</w:t>
      </w:r>
      <w:r>
        <w:rPr>
          <w:rFonts w:ascii="Times New Roman" w:hAnsi="Times New Roman" w:hint="eastAsia"/>
        </w:rPr>
        <w:t>2</w:t>
      </w:r>
      <w:r>
        <w:rPr>
          <w:rFonts w:ascii="Times New Roman" w:hAnsi="Times New Roman"/>
        </w:rPr>
        <w:t>Mt/a</w:t>
      </w:r>
      <w:r>
        <w:rPr>
          <w:rFonts w:ascii="Times New Roman" w:hAnsi="Times New Roman"/>
        </w:rPr>
        <w:t>）</w:t>
      </w:r>
      <w:r>
        <w:rPr>
          <w:rFonts w:ascii="Times New Roman" w:hAnsi="Times New Roman" w:hint="eastAsia"/>
        </w:rPr>
        <w:t>、任家庄</w:t>
      </w:r>
      <w:r>
        <w:rPr>
          <w:rFonts w:ascii="Times New Roman" w:hAnsi="Times New Roman"/>
        </w:rPr>
        <w:t>矿井已建配套的矿井型选煤厂（</w:t>
      </w:r>
      <w:r>
        <w:rPr>
          <w:rFonts w:ascii="Times New Roman" w:hAnsi="Times New Roman" w:hint="eastAsia"/>
        </w:rPr>
        <w:t>4.8</w:t>
      </w:r>
      <w:r>
        <w:rPr>
          <w:rFonts w:ascii="Times New Roman" w:hAnsi="Times New Roman"/>
        </w:rPr>
        <w:t>Mt/a</w:t>
      </w:r>
      <w:r>
        <w:rPr>
          <w:rFonts w:ascii="Times New Roman" w:hAnsi="Times New Roman"/>
        </w:rPr>
        <w:t>）</w:t>
      </w:r>
      <w:r>
        <w:rPr>
          <w:rFonts w:ascii="Times New Roman" w:hAnsi="Times New Roman" w:hint="eastAsia"/>
        </w:rPr>
        <w:t>，规划的丁家梁煤矿原煤送马莲台选煤厂洗选，矿区选煤厂洗选能力已满足矿区原煤洗选规模要求，不再规划新</w:t>
      </w:r>
      <w:r>
        <w:rPr>
          <w:rFonts w:ascii="Times New Roman" w:hAnsi="Times New Roman"/>
        </w:rPr>
        <w:t>建选煤厂</w:t>
      </w:r>
      <w:r>
        <w:rPr>
          <w:rFonts w:ascii="Times New Roman" w:hAnsi="Times New Roman" w:hint="eastAsia"/>
        </w:rPr>
        <w:t>。</w:t>
      </w:r>
      <w:r>
        <w:rPr>
          <w:rFonts w:ascii="Times New Roman" w:hAnsi="Times New Roman"/>
        </w:rPr>
        <w:t>矿区生产的煤</w:t>
      </w:r>
      <w:r>
        <w:rPr>
          <w:rFonts w:ascii="Times New Roman" w:hAnsi="Times New Roman" w:hint="eastAsia"/>
        </w:rPr>
        <w:t>基本</w:t>
      </w:r>
      <w:r>
        <w:rPr>
          <w:rFonts w:ascii="Times New Roman" w:hAnsi="Times New Roman"/>
        </w:rPr>
        <w:t>就地转化，主要向本区</w:t>
      </w:r>
      <w:r>
        <w:rPr>
          <w:rFonts w:ascii="Times New Roman" w:hAnsi="Times New Roman" w:hint="eastAsia"/>
        </w:rPr>
        <w:t>域内电厂及煤化工园区</w:t>
      </w:r>
      <w:r>
        <w:rPr>
          <w:rFonts w:ascii="Times New Roman" w:hAnsi="Times New Roman"/>
        </w:rPr>
        <w:t>提供原料煤及燃料煤。</w:t>
      </w:r>
    </w:p>
    <w:p w14:paraId="02F79B4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横城矿区所产原煤为中等变质程度，煤类从</w:t>
      </w:r>
      <w:r>
        <w:rPr>
          <w:rFonts w:ascii="Times New Roman" w:hAnsi="Times New Roman"/>
        </w:rPr>
        <w:t>气煤</w:t>
      </w:r>
      <w:r>
        <w:rPr>
          <w:rFonts w:ascii="Times New Roman" w:hAnsi="Times New Roman" w:hint="eastAsia"/>
        </w:rPr>
        <w:t>～</w:t>
      </w:r>
      <w:r>
        <w:rPr>
          <w:rFonts w:ascii="Times New Roman" w:hAnsi="Times New Roman"/>
        </w:rPr>
        <w:t>1/3</w:t>
      </w:r>
      <w:r>
        <w:rPr>
          <w:rFonts w:ascii="Times New Roman" w:hAnsi="Times New Roman" w:hint="eastAsia"/>
        </w:rPr>
        <w:t>焦煤都有分布，具有水分低、粘结性较强、中高挥发分，中高发热量～高发热量，煤灰熔点较高，是良好的炼焦用煤和炼焦配煤，也可以作为动力用煤、气化用煤和化工用煤等，还可用作气化和低温干馏等工业的原料。</w:t>
      </w:r>
    </w:p>
    <w:p w14:paraId="700D17A2" w14:textId="77777777" w:rsidR="009C353B" w:rsidRDefault="00000000">
      <w:pPr>
        <w:pStyle w:val="2"/>
        <w:adjustRightInd w:val="0"/>
        <w:snapToGrid w:val="0"/>
        <w:spacing w:line="440" w:lineRule="exact"/>
        <w:jc w:val="left"/>
        <w:rPr>
          <w:rFonts w:ascii="Times New Roman" w:eastAsia="宋体" w:hAnsi="Times New Roman"/>
          <w:b/>
          <w:sz w:val="28"/>
        </w:rPr>
      </w:pPr>
      <w:bookmarkStart w:id="452" w:name="_Toc163441059"/>
      <w:bookmarkStart w:id="453" w:name="_Toc59189892"/>
      <w:r>
        <w:rPr>
          <w:rFonts w:ascii="Times New Roman" w:eastAsia="宋体" w:hAnsi="Times New Roman"/>
          <w:b/>
          <w:sz w:val="28"/>
        </w:rPr>
        <w:t xml:space="preserve">13.2 </w:t>
      </w:r>
      <w:r>
        <w:rPr>
          <w:rFonts w:ascii="Times New Roman" w:eastAsia="宋体" w:hAnsi="Times New Roman"/>
          <w:b/>
          <w:sz w:val="28"/>
        </w:rPr>
        <w:t>规划协调性分析结论</w:t>
      </w:r>
      <w:bookmarkEnd w:id="452"/>
      <w:bookmarkEnd w:id="453"/>
    </w:p>
    <w:p w14:paraId="41509312" w14:textId="77777777" w:rsidR="009C353B" w:rsidRDefault="00000000">
      <w:pPr>
        <w:pStyle w:val="3"/>
        <w:adjustRightInd w:val="0"/>
        <w:snapToGrid w:val="0"/>
        <w:spacing w:before="0" w:after="0" w:line="440" w:lineRule="exact"/>
        <w:rPr>
          <w:rFonts w:ascii="Times New Roman" w:hAnsi="Times New Roman"/>
          <w:sz w:val="24"/>
        </w:rPr>
      </w:pPr>
      <w:bookmarkStart w:id="454" w:name="_Toc163441060"/>
      <w:r>
        <w:rPr>
          <w:rFonts w:ascii="Times New Roman" w:hAnsi="Times New Roman"/>
          <w:sz w:val="24"/>
        </w:rPr>
        <w:t xml:space="preserve">13.2.1 </w:t>
      </w:r>
      <w:r>
        <w:rPr>
          <w:rFonts w:ascii="Times New Roman" w:hAnsi="Times New Roman"/>
          <w:sz w:val="24"/>
        </w:rPr>
        <w:t>规划方案</w:t>
      </w:r>
      <w:r>
        <w:rPr>
          <w:rFonts w:ascii="Times New Roman" w:hAnsi="Times New Roman" w:hint="eastAsia"/>
          <w:sz w:val="24"/>
        </w:rPr>
        <w:t>内部</w:t>
      </w:r>
      <w:r>
        <w:rPr>
          <w:rFonts w:ascii="Times New Roman" w:hAnsi="Times New Roman"/>
          <w:sz w:val="24"/>
        </w:rPr>
        <w:t>协调性</w:t>
      </w:r>
      <w:r>
        <w:rPr>
          <w:rFonts w:ascii="Times New Roman" w:hAnsi="Times New Roman" w:hint="eastAsia"/>
          <w:sz w:val="24"/>
        </w:rPr>
        <w:t>分析</w:t>
      </w:r>
      <w:r>
        <w:rPr>
          <w:rFonts w:ascii="Times New Roman" w:hAnsi="Times New Roman"/>
          <w:sz w:val="24"/>
        </w:rPr>
        <w:t>结论</w:t>
      </w:r>
    </w:p>
    <w:p w14:paraId="4B26F5A0"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从内部协调性来看，矿区</w:t>
      </w:r>
      <w:r>
        <w:rPr>
          <w:rFonts w:ascii="Times New Roman" w:hAnsi="Times New Roman" w:hint="eastAsia"/>
        </w:rPr>
        <w:t>各方面</w:t>
      </w:r>
      <w:r>
        <w:rPr>
          <w:rFonts w:ascii="Times New Roman" w:hAnsi="Times New Roman"/>
        </w:rPr>
        <w:t>基本协调。</w:t>
      </w:r>
    </w:p>
    <w:p w14:paraId="30A9DE08"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13.2.2 </w:t>
      </w:r>
      <w:r>
        <w:rPr>
          <w:sz w:val="24"/>
        </w:rPr>
        <w:t>规划方案外部协调性</w:t>
      </w:r>
      <w:r>
        <w:rPr>
          <w:rFonts w:hint="eastAsia"/>
          <w:sz w:val="24"/>
        </w:rPr>
        <w:t>分析</w:t>
      </w:r>
      <w:r>
        <w:rPr>
          <w:sz w:val="24"/>
        </w:rPr>
        <w:t>结论</w:t>
      </w:r>
    </w:p>
    <w:p w14:paraId="7FB7A9C0"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矿区</w:t>
      </w:r>
      <w:r>
        <w:rPr>
          <w:rFonts w:ascii="Times New Roman"/>
        </w:rPr>
        <w:t>总体规划基本符合国家和地方的相关政策、法规与规划，规划方案</w:t>
      </w:r>
      <w:r>
        <w:rPr>
          <w:rFonts w:ascii="Times New Roman" w:hint="eastAsia"/>
        </w:rPr>
        <w:t>总体</w:t>
      </w:r>
      <w:r>
        <w:rPr>
          <w:rFonts w:ascii="Times New Roman"/>
        </w:rPr>
        <w:t>上与相关政策、规划基本是协调的，但也存在</w:t>
      </w:r>
      <w:r>
        <w:rPr>
          <w:rFonts w:ascii="Times New Roman" w:hint="eastAsia"/>
        </w:rPr>
        <w:t>一些</w:t>
      </w:r>
      <w:r>
        <w:rPr>
          <w:rFonts w:ascii="Times New Roman"/>
        </w:rPr>
        <w:t>问题和</w:t>
      </w:r>
      <w:r>
        <w:rPr>
          <w:rFonts w:ascii="Times New Roman" w:hint="eastAsia"/>
        </w:rPr>
        <w:t>不足，</w:t>
      </w:r>
      <w:r>
        <w:rPr>
          <w:rFonts w:ascii="Times New Roman"/>
        </w:rPr>
        <w:t>主要表现在：</w:t>
      </w:r>
    </w:p>
    <w:p w14:paraId="43F82A94"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hint="eastAsia"/>
        </w:rPr>
        <w:t>1</w:t>
      </w:r>
      <w:r>
        <w:rPr>
          <w:rFonts w:ascii="Times New Roman" w:hint="eastAsia"/>
        </w:rPr>
        <w:t>）规划</w:t>
      </w:r>
      <w:r>
        <w:rPr>
          <w:rFonts w:ascii="Times New Roman"/>
        </w:rPr>
        <w:t>布局上</w:t>
      </w:r>
      <w:r>
        <w:rPr>
          <w:rFonts w:ascii="Times New Roman" w:hint="eastAsia"/>
        </w:rPr>
        <w:t>，矿区</w:t>
      </w:r>
      <w:r>
        <w:rPr>
          <w:rFonts w:ascii="Times New Roman"/>
        </w:rPr>
        <w:t>西侧</w:t>
      </w:r>
      <w:r>
        <w:rPr>
          <w:rFonts w:ascii="Times New Roman" w:hint="eastAsia"/>
        </w:rPr>
        <w:t>任家庄、红石湾、丁家梁煤矿井田</w:t>
      </w:r>
      <w:r>
        <w:rPr>
          <w:rFonts w:ascii="Times New Roman"/>
        </w:rPr>
        <w:t>边界距离</w:t>
      </w:r>
      <w:r>
        <w:rPr>
          <w:rFonts w:ascii="Times New Roman" w:hint="eastAsia"/>
        </w:rPr>
        <w:t>白芨滩</w:t>
      </w:r>
      <w:r>
        <w:rPr>
          <w:rFonts w:ascii="Times New Roman"/>
        </w:rPr>
        <w:t>国家级自然保护区距离较近（</w:t>
      </w:r>
      <w:r>
        <w:rPr>
          <w:rFonts w:ascii="Times New Roman" w:hint="eastAsia"/>
        </w:rPr>
        <w:t>最近处</w:t>
      </w:r>
      <w:r>
        <w:rPr>
          <w:rFonts w:ascii="Times New Roman" w:hint="eastAsia"/>
        </w:rPr>
        <w:t>92m</w:t>
      </w:r>
      <w:r>
        <w:rPr>
          <w:rFonts w:ascii="Times New Roman"/>
        </w:rPr>
        <w:t>）</w:t>
      </w:r>
      <w:r>
        <w:rPr>
          <w:rFonts w:ascii="Times New Roman" w:hint="eastAsia"/>
        </w:rPr>
        <w:t>、</w:t>
      </w:r>
      <w:r>
        <w:rPr>
          <w:rFonts w:ascii="Times New Roman"/>
        </w:rPr>
        <w:t>规划后备区与工业园区重叠等</w:t>
      </w:r>
      <w:r>
        <w:rPr>
          <w:rFonts w:ascii="Times New Roman" w:hint="eastAsia"/>
        </w:rPr>
        <w:t>。</w:t>
      </w:r>
    </w:p>
    <w:p w14:paraId="2286451C"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w:t>
      </w:r>
      <w:r>
        <w:rPr>
          <w:rFonts w:ascii="Times New Roman"/>
        </w:rPr>
        <w:t>2</w:t>
      </w:r>
      <w:r>
        <w:rPr>
          <w:rFonts w:ascii="Times New Roman" w:hint="eastAsia"/>
        </w:rPr>
        <w:t>）</w:t>
      </w:r>
      <w:r>
        <w:rPr>
          <w:rFonts w:ascii="Times New Roman"/>
        </w:rPr>
        <w:t>在水资源承载力、污染防治及</w:t>
      </w:r>
      <w:r>
        <w:rPr>
          <w:rFonts w:ascii="Times New Roman" w:hint="eastAsia"/>
        </w:rPr>
        <w:t>资源</w:t>
      </w:r>
      <w:r>
        <w:rPr>
          <w:rFonts w:ascii="Times New Roman"/>
        </w:rPr>
        <w:t>综合利用方面</w:t>
      </w:r>
      <w:r>
        <w:rPr>
          <w:rFonts w:ascii="Times New Roman" w:hint="eastAsia"/>
        </w:rPr>
        <w:t>均</w:t>
      </w:r>
      <w:r>
        <w:rPr>
          <w:rFonts w:ascii="Times New Roman"/>
        </w:rPr>
        <w:t>存在一定的环境缺陷问题</w:t>
      </w:r>
      <w:r>
        <w:rPr>
          <w:rFonts w:ascii="Times New Roman" w:hint="eastAsia"/>
        </w:rPr>
        <w:t>，具体缺陷及环评建议见表</w:t>
      </w:r>
      <w:r>
        <w:rPr>
          <w:rFonts w:ascii="Times New Roman" w:hint="eastAsia"/>
        </w:rPr>
        <w:t>2</w:t>
      </w:r>
      <w:r>
        <w:rPr>
          <w:rFonts w:ascii="Times New Roman"/>
        </w:rPr>
        <w:t>.4</w:t>
      </w:r>
      <w:r>
        <w:rPr>
          <w:rFonts w:ascii="Times New Roman" w:hint="eastAsia"/>
        </w:rPr>
        <w:t>-</w:t>
      </w:r>
      <w:r>
        <w:rPr>
          <w:rFonts w:ascii="Times New Roman"/>
        </w:rPr>
        <w:t>6</w:t>
      </w:r>
      <w:r>
        <w:rPr>
          <w:rFonts w:ascii="Times New Roman" w:hint="eastAsia"/>
        </w:rPr>
        <w:t>。</w:t>
      </w:r>
    </w:p>
    <w:p w14:paraId="141618BE" w14:textId="77777777" w:rsidR="009C353B" w:rsidRDefault="00000000">
      <w:pPr>
        <w:pStyle w:val="2"/>
        <w:adjustRightInd w:val="0"/>
        <w:snapToGrid w:val="0"/>
        <w:spacing w:line="440" w:lineRule="exact"/>
        <w:jc w:val="left"/>
        <w:rPr>
          <w:rFonts w:ascii="Times New Roman" w:eastAsia="宋体" w:hAnsi="Times New Roman"/>
          <w:b/>
          <w:sz w:val="28"/>
        </w:rPr>
      </w:pPr>
      <w:bookmarkStart w:id="455" w:name="_Toc59189893"/>
      <w:r>
        <w:rPr>
          <w:rFonts w:ascii="Times New Roman" w:eastAsia="宋体" w:hAnsi="Times New Roman"/>
          <w:b/>
          <w:sz w:val="28"/>
        </w:rPr>
        <w:t xml:space="preserve">13.3 </w:t>
      </w:r>
      <w:r>
        <w:rPr>
          <w:rFonts w:ascii="Times New Roman" w:eastAsia="宋体" w:hAnsi="Times New Roman"/>
          <w:b/>
          <w:sz w:val="28"/>
        </w:rPr>
        <w:t>矿区环境质量现状评价结论</w:t>
      </w:r>
      <w:bookmarkEnd w:id="454"/>
      <w:bookmarkEnd w:id="455"/>
    </w:p>
    <w:p w14:paraId="2EBFF522"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13.3.1 </w:t>
      </w:r>
      <w:r>
        <w:rPr>
          <w:rFonts w:ascii="Times New Roman" w:hAnsi="Times New Roman"/>
          <w:sz w:val="24"/>
        </w:rPr>
        <w:t>矿区环境空气质量现状</w:t>
      </w:r>
    </w:p>
    <w:p w14:paraId="152BF777" w14:textId="77777777" w:rsidR="009C353B" w:rsidRDefault="00000000">
      <w:pPr>
        <w:adjustRightInd w:val="0"/>
        <w:snapToGrid w:val="0"/>
        <w:spacing w:line="440" w:lineRule="exact"/>
        <w:ind w:firstLineChars="200" w:firstLine="480"/>
        <w:rPr>
          <w:rFonts w:ascii="Times New Roman" w:hint="eastAsia"/>
        </w:rPr>
      </w:pPr>
      <w:r>
        <w:rPr>
          <w:rFonts w:ascii="Times New Roman"/>
        </w:rPr>
        <w:t>本矿区所在银川市</w:t>
      </w:r>
      <w:r>
        <w:rPr>
          <w:rFonts w:ascii="Times New Roman"/>
        </w:rPr>
        <w:t>2019</w:t>
      </w:r>
      <w:r>
        <w:rPr>
          <w:rFonts w:ascii="Times New Roman"/>
        </w:rPr>
        <w:t>年</w:t>
      </w:r>
      <w:r>
        <w:rPr>
          <w:rFonts w:ascii="Times New Roman"/>
        </w:rPr>
        <w:t>SO</w:t>
      </w:r>
      <w:r>
        <w:rPr>
          <w:rFonts w:ascii="Times New Roman"/>
          <w:vertAlign w:val="subscript"/>
        </w:rPr>
        <w:t>2</w:t>
      </w:r>
      <w:r>
        <w:rPr>
          <w:rFonts w:ascii="Times New Roman"/>
        </w:rPr>
        <w:t>、</w:t>
      </w:r>
      <w:r>
        <w:rPr>
          <w:rFonts w:ascii="Times New Roman"/>
        </w:rPr>
        <w:t>NO</w:t>
      </w:r>
      <w:r>
        <w:rPr>
          <w:rFonts w:ascii="Times New Roman"/>
          <w:vertAlign w:val="subscript"/>
        </w:rPr>
        <w:t>2</w:t>
      </w:r>
      <w:r>
        <w:rPr>
          <w:rFonts w:ascii="Times New Roman"/>
        </w:rPr>
        <w:t>、</w:t>
      </w:r>
      <w:r>
        <w:rPr>
          <w:rFonts w:ascii="Times New Roman"/>
        </w:rPr>
        <w:t>PM</w:t>
      </w:r>
      <w:r>
        <w:rPr>
          <w:rFonts w:ascii="Times New Roman"/>
          <w:vertAlign w:val="subscript"/>
        </w:rPr>
        <w:t>10</w:t>
      </w:r>
      <w:r>
        <w:rPr>
          <w:rFonts w:ascii="Times New Roman"/>
        </w:rPr>
        <w:t>、</w:t>
      </w:r>
      <w:r>
        <w:rPr>
          <w:rFonts w:ascii="Times New Roman"/>
        </w:rPr>
        <w:t>PM</w:t>
      </w:r>
      <w:r>
        <w:rPr>
          <w:rFonts w:ascii="Times New Roman"/>
          <w:vertAlign w:val="subscript"/>
        </w:rPr>
        <w:t>2.5</w:t>
      </w:r>
      <w:r>
        <w:rPr>
          <w:rFonts w:ascii="Times New Roman"/>
        </w:rPr>
        <w:t>年均浓度分别为</w:t>
      </w:r>
      <w:r>
        <w:rPr>
          <w:rFonts w:ascii="Times New Roman"/>
        </w:rPr>
        <w:t>15ug/m</w:t>
      </w:r>
      <w:r>
        <w:rPr>
          <w:rFonts w:ascii="Times New Roman"/>
          <w:vertAlign w:val="superscript"/>
        </w:rPr>
        <w:t>3</w:t>
      </w:r>
      <w:r>
        <w:rPr>
          <w:rFonts w:ascii="Times New Roman"/>
        </w:rPr>
        <w:t>、</w:t>
      </w:r>
      <w:r>
        <w:rPr>
          <w:rFonts w:ascii="Times New Roman"/>
        </w:rPr>
        <w:t>37ug/m</w:t>
      </w:r>
      <w:r>
        <w:rPr>
          <w:rFonts w:ascii="Times New Roman"/>
          <w:vertAlign w:val="superscript"/>
        </w:rPr>
        <w:t>3</w:t>
      </w:r>
      <w:r>
        <w:rPr>
          <w:rFonts w:ascii="Times New Roman"/>
        </w:rPr>
        <w:t>、</w:t>
      </w:r>
      <w:r>
        <w:rPr>
          <w:rFonts w:ascii="Times New Roman"/>
        </w:rPr>
        <w:t>68ug/m</w:t>
      </w:r>
      <w:r>
        <w:rPr>
          <w:rFonts w:ascii="Times New Roman"/>
          <w:vertAlign w:val="superscript"/>
        </w:rPr>
        <w:t>3</w:t>
      </w:r>
      <w:r>
        <w:rPr>
          <w:rFonts w:ascii="Times New Roman"/>
        </w:rPr>
        <w:t>、</w:t>
      </w:r>
      <w:r>
        <w:rPr>
          <w:rFonts w:ascii="Times New Roman"/>
        </w:rPr>
        <w:t>31ug/m</w:t>
      </w:r>
      <w:r>
        <w:rPr>
          <w:rFonts w:ascii="Times New Roman"/>
          <w:vertAlign w:val="superscript"/>
        </w:rPr>
        <w:t>3</w:t>
      </w:r>
      <w:r>
        <w:rPr>
          <w:rFonts w:ascii="Times New Roman" w:hint="eastAsia"/>
        </w:rPr>
        <w:t>，</w:t>
      </w:r>
      <w:r>
        <w:rPr>
          <w:rFonts w:ascii="Times New Roman"/>
        </w:rPr>
        <w:t>CO24</w:t>
      </w:r>
      <w:r>
        <w:rPr>
          <w:rFonts w:ascii="Times New Roman"/>
        </w:rPr>
        <w:t>小时平均第</w:t>
      </w:r>
      <w:r>
        <w:rPr>
          <w:rFonts w:ascii="Times New Roman"/>
        </w:rPr>
        <w:t>95</w:t>
      </w:r>
      <w:r>
        <w:rPr>
          <w:rFonts w:ascii="Times New Roman"/>
        </w:rPr>
        <w:t>百分位数为</w:t>
      </w:r>
      <w:r>
        <w:rPr>
          <w:rFonts w:ascii="Times New Roman"/>
        </w:rPr>
        <w:t>2mg/m</w:t>
      </w:r>
      <w:r>
        <w:rPr>
          <w:rFonts w:ascii="Times New Roman"/>
          <w:vertAlign w:val="superscript"/>
        </w:rPr>
        <w:t>3</w:t>
      </w:r>
      <w:r>
        <w:rPr>
          <w:rFonts w:ascii="Times New Roman"/>
        </w:rPr>
        <w:t>，</w:t>
      </w:r>
      <w:r>
        <w:rPr>
          <w:rFonts w:ascii="Times New Roman"/>
        </w:rPr>
        <w:t>O</w:t>
      </w:r>
      <w:r>
        <w:rPr>
          <w:rFonts w:ascii="Times New Roman"/>
          <w:vertAlign w:val="subscript"/>
        </w:rPr>
        <w:t>3</w:t>
      </w:r>
      <w:r>
        <w:rPr>
          <w:rFonts w:ascii="Times New Roman"/>
        </w:rPr>
        <w:t>日最大</w:t>
      </w:r>
      <w:r>
        <w:rPr>
          <w:rFonts w:ascii="Times New Roman"/>
        </w:rPr>
        <w:t>8</w:t>
      </w:r>
      <w:r>
        <w:rPr>
          <w:rFonts w:ascii="Times New Roman"/>
        </w:rPr>
        <w:t>小时平均第</w:t>
      </w:r>
      <w:r>
        <w:rPr>
          <w:rFonts w:ascii="Times New Roman"/>
        </w:rPr>
        <w:t>90</w:t>
      </w:r>
      <w:r>
        <w:rPr>
          <w:rFonts w:ascii="Times New Roman"/>
        </w:rPr>
        <w:t>百分位数为</w:t>
      </w:r>
      <w:r>
        <w:rPr>
          <w:rFonts w:ascii="Times New Roman"/>
        </w:rPr>
        <w:t>147ug/m</w:t>
      </w:r>
      <w:r>
        <w:rPr>
          <w:rFonts w:ascii="Times New Roman"/>
          <w:vertAlign w:val="superscript"/>
        </w:rPr>
        <w:t>3</w:t>
      </w:r>
      <w:r>
        <w:rPr>
          <w:rFonts w:ascii="Times New Roman" w:hint="eastAsia"/>
        </w:rPr>
        <w:t>，</w:t>
      </w:r>
      <w:r>
        <w:rPr>
          <w:rFonts w:ascii="Times New Roman"/>
        </w:rPr>
        <w:t>各污染物平均浓度均优于《环境空气质量标准》（</w:t>
      </w:r>
      <w:r>
        <w:rPr>
          <w:rFonts w:ascii="Times New Roman"/>
        </w:rPr>
        <w:t>GB3095-2012</w:t>
      </w:r>
      <w:r>
        <w:rPr>
          <w:rFonts w:ascii="Times New Roman"/>
        </w:rPr>
        <w:t>）中二级标准限值</w:t>
      </w:r>
      <w:r>
        <w:rPr>
          <w:rFonts w:ascii="Times New Roman" w:hint="eastAsia"/>
        </w:rPr>
        <w:t>，</w:t>
      </w:r>
      <w:r>
        <w:rPr>
          <w:rFonts w:ascii="Times New Roman"/>
        </w:rPr>
        <w:t>为达标区</w:t>
      </w:r>
      <w:r>
        <w:rPr>
          <w:rFonts w:ascii="Times New Roman" w:hint="eastAsia"/>
        </w:rPr>
        <w:t>。</w:t>
      </w:r>
    </w:p>
    <w:p w14:paraId="52C1491A"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hint="eastAsia"/>
          <w:sz w:val="24"/>
        </w:rPr>
        <w:t>1</w:t>
      </w:r>
      <w:r>
        <w:rPr>
          <w:rFonts w:ascii="Times New Roman" w:hAnsi="Times New Roman"/>
          <w:sz w:val="24"/>
        </w:rPr>
        <w:t>3</w:t>
      </w:r>
      <w:r>
        <w:rPr>
          <w:rFonts w:ascii="Times New Roman" w:hAnsi="Times New Roman" w:hint="eastAsia"/>
          <w:sz w:val="24"/>
        </w:rPr>
        <w:t>.3.</w:t>
      </w:r>
      <w:r>
        <w:rPr>
          <w:rFonts w:ascii="Times New Roman" w:hAnsi="Times New Roman"/>
          <w:sz w:val="24"/>
        </w:rPr>
        <w:t>2</w:t>
      </w:r>
      <w:r>
        <w:rPr>
          <w:rFonts w:ascii="Times New Roman" w:hAnsi="Times New Roman" w:hint="eastAsia"/>
          <w:sz w:val="24"/>
        </w:rPr>
        <w:t xml:space="preserve"> </w:t>
      </w:r>
      <w:r>
        <w:rPr>
          <w:rFonts w:ascii="Times New Roman" w:hAnsi="Times New Roman" w:hint="eastAsia"/>
          <w:sz w:val="24"/>
        </w:rPr>
        <w:t>矿区地表水环境质量现状</w:t>
      </w:r>
    </w:p>
    <w:p w14:paraId="5C1E3F1D"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水洞沟水质各项指标中化学需氧量、五日生化需氧量、总氮及氟化物出现超标，不满足</w:t>
      </w:r>
      <w:r>
        <w:rPr>
          <w:rFonts w:ascii="Times New Roman" w:hAnsi="Times New Roman"/>
        </w:rPr>
        <w:t>《</w:t>
      </w:r>
      <w:r>
        <w:rPr>
          <w:rFonts w:ascii="Times New Roman" w:hAnsi="Times New Roman" w:hint="eastAsia"/>
        </w:rPr>
        <w:t>地表水环境质量标准</w:t>
      </w:r>
      <w:r>
        <w:rPr>
          <w:rFonts w:ascii="Times New Roman" w:hAnsi="Times New Roman"/>
        </w:rPr>
        <w:t>》</w:t>
      </w:r>
      <w:r>
        <w:rPr>
          <w:rFonts w:ascii="Times New Roman" w:hAnsi="Times New Roman" w:hint="eastAsia"/>
        </w:rPr>
        <w:t>（</w:t>
      </w:r>
      <w:r>
        <w:rPr>
          <w:rFonts w:ascii="Times New Roman" w:hAnsi="Times New Roman"/>
        </w:rPr>
        <w:t>GB3838-2002</w:t>
      </w:r>
      <w:r>
        <w:rPr>
          <w:rFonts w:ascii="Times New Roman" w:hAnsi="Times New Roman" w:hint="eastAsia"/>
        </w:rPr>
        <w:t>）</w:t>
      </w:r>
      <w:r>
        <w:rPr>
          <w:rFonts w:ascii="Times New Roman" w:hAnsi="Times New Roman" w:hint="eastAsia"/>
        </w:rPr>
        <w:t>IV</w:t>
      </w:r>
      <w:r>
        <w:rPr>
          <w:rFonts w:ascii="Times New Roman" w:hAnsi="Times New Roman" w:hint="eastAsia"/>
        </w:rPr>
        <w:t>类标准；大河子沟水质各项指标中化学需氧量、五日生化需氧量与氟化物超标，不满足</w:t>
      </w:r>
      <w:r>
        <w:rPr>
          <w:rFonts w:ascii="Times New Roman" w:hAnsi="Times New Roman"/>
        </w:rPr>
        <w:t>《</w:t>
      </w:r>
      <w:r>
        <w:rPr>
          <w:rFonts w:ascii="Times New Roman" w:hAnsi="Times New Roman" w:hint="eastAsia"/>
        </w:rPr>
        <w:t>地表水环境质量标准</w:t>
      </w:r>
      <w:r>
        <w:rPr>
          <w:rFonts w:ascii="Times New Roman" w:hAnsi="Times New Roman"/>
        </w:rPr>
        <w:t>》</w:t>
      </w:r>
      <w:r>
        <w:rPr>
          <w:rFonts w:ascii="Times New Roman" w:hAnsi="Times New Roman" w:hint="eastAsia"/>
        </w:rPr>
        <w:t>（</w:t>
      </w:r>
      <w:r>
        <w:rPr>
          <w:rFonts w:ascii="Times New Roman" w:hAnsi="Times New Roman"/>
        </w:rPr>
        <w:t>GB3838-2002</w:t>
      </w:r>
      <w:r>
        <w:rPr>
          <w:rFonts w:ascii="Times New Roman" w:hAnsi="Times New Roman" w:hint="eastAsia"/>
        </w:rPr>
        <w:t>）</w:t>
      </w:r>
      <w:r>
        <w:rPr>
          <w:rFonts w:ascii="Times New Roman" w:hAnsi="Times New Roman" w:hint="eastAsia"/>
        </w:rPr>
        <w:t>IV</w:t>
      </w:r>
      <w:r>
        <w:rPr>
          <w:rFonts w:ascii="Times New Roman" w:hAnsi="Times New Roman" w:hint="eastAsia"/>
        </w:rPr>
        <w:t>类标准。水洞沟、大河子沟化学需氧量、五日生化需氧量及总氮超标主要是周边农村生活污水排入及周边农田退水影响，而且当地水资源缺乏、降水不足，导致河流自净能力差；氟化物超标主要是区域地质所致河床岩土中含氟化物、盐类较多，水体溶解河床岩土中的氟化物和盐类，加之区域内蒸发强烈，河流补水较少，导致氟化物本底值较高，出现超标现象。</w:t>
      </w:r>
    </w:p>
    <w:p w14:paraId="0F681F1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鸭子荡水库除水库水质富营养化，总氮超标外，</w:t>
      </w:r>
      <w:r>
        <w:rPr>
          <w:rFonts w:ascii="Times New Roman" w:hAnsi="Times New Roman" w:hint="eastAsia"/>
        </w:rPr>
        <w:t>2</w:t>
      </w:r>
      <w:r>
        <w:rPr>
          <w:rFonts w:ascii="Times New Roman" w:hAnsi="Times New Roman"/>
        </w:rPr>
        <w:t>020</w:t>
      </w:r>
      <w:r>
        <w:rPr>
          <w:rFonts w:ascii="Times New Roman" w:hAnsi="Times New Roman" w:hint="eastAsia"/>
        </w:rPr>
        <w:t>年</w:t>
      </w:r>
      <w:r>
        <w:rPr>
          <w:rFonts w:ascii="Times New Roman" w:hAnsi="Times New Roman" w:hint="eastAsia"/>
        </w:rPr>
        <w:t>1~4</w:t>
      </w:r>
      <w:r>
        <w:rPr>
          <w:rFonts w:ascii="Times New Roman" w:hAnsi="Times New Roman" w:hint="eastAsia"/>
        </w:rPr>
        <w:t>月其余指标为</w:t>
      </w:r>
      <w:r>
        <w:rPr>
          <w:rFonts w:ascii="Times New Roman" w:hAnsi="Times New Roman"/>
        </w:rPr>
        <w:t>Ⅱ</w:t>
      </w:r>
      <w:r>
        <w:rPr>
          <w:rFonts w:ascii="Times New Roman" w:hAnsi="Times New Roman"/>
        </w:rPr>
        <w:t>类</w:t>
      </w:r>
      <w:r>
        <w:rPr>
          <w:rFonts w:ascii="Times New Roman" w:hAnsi="Times New Roman" w:hint="eastAsia"/>
        </w:rPr>
        <w:t>或优于</w:t>
      </w:r>
      <w:r>
        <w:rPr>
          <w:rFonts w:ascii="Times New Roman" w:hAnsi="Times New Roman"/>
        </w:rPr>
        <w:t>Ⅱ</w:t>
      </w:r>
      <w:r>
        <w:rPr>
          <w:rFonts w:ascii="Times New Roman" w:hAnsi="Times New Roman"/>
        </w:rPr>
        <w:t>类</w:t>
      </w:r>
      <w:r>
        <w:rPr>
          <w:rFonts w:ascii="Times New Roman" w:hAnsi="Times New Roman" w:hint="eastAsia"/>
        </w:rPr>
        <w:t>。</w:t>
      </w:r>
    </w:p>
    <w:p w14:paraId="287E84BC"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13.3.3 </w:t>
      </w:r>
      <w:r>
        <w:rPr>
          <w:rFonts w:ascii="Times New Roman" w:hAnsi="Times New Roman"/>
          <w:sz w:val="24"/>
        </w:rPr>
        <w:t>矿区</w:t>
      </w:r>
      <w:r>
        <w:rPr>
          <w:rFonts w:ascii="Times New Roman" w:hAnsi="Times New Roman" w:hint="eastAsia"/>
          <w:sz w:val="24"/>
        </w:rPr>
        <w:t>地下水</w:t>
      </w:r>
      <w:r>
        <w:rPr>
          <w:rFonts w:ascii="Times New Roman" w:hAnsi="Times New Roman"/>
          <w:sz w:val="24"/>
        </w:rPr>
        <w:t>环境质量现状</w:t>
      </w:r>
    </w:p>
    <w:p w14:paraId="18B6FB0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各项水质现状监测指标中，</w:t>
      </w:r>
      <w:r>
        <w:rPr>
          <w:rFonts w:ascii="Times New Roman" w:hAnsi="Times New Roman" w:hint="eastAsia"/>
        </w:rPr>
        <w:t>1#</w:t>
      </w:r>
      <w:r>
        <w:rPr>
          <w:rFonts w:ascii="Times New Roman" w:hAnsi="Times New Roman" w:hint="eastAsia"/>
        </w:rPr>
        <w:t>、</w:t>
      </w:r>
      <w:r>
        <w:rPr>
          <w:rFonts w:ascii="Times New Roman" w:hAnsi="Times New Roman" w:hint="eastAsia"/>
        </w:rPr>
        <w:t>2#</w:t>
      </w:r>
      <w:r>
        <w:rPr>
          <w:rFonts w:ascii="Times New Roman" w:hAnsi="Times New Roman" w:hint="eastAsia"/>
        </w:rPr>
        <w:t>及</w:t>
      </w:r>
      <w:r>
        <w:rPr>
          <w:rFonts w:ascii="Times New Roman" w:hAnsi="Times New Roman" w:hint="eastAsia"/>
        </w:rPr>
        <w:t>10#</w:t>
      </w:r>
      <w:r>
        <w:rPr>
          <w:rFonts w:ascii="Times New Roman" w:hAnsi="Times New Roman" w:hint="eastAsia"/>
        </w:rPr>
        <w:t>监测点氟化物、细菌总数出现超标，其余指标均符合《地下水质量标准》（</w:t>
      </w:r>
      <w:r>
        <w:rPr>
          <w:rFonts w:ascii="Times New Roman" w:hAnsi="Times New Roman" w:hint="eastAsia"/>
        </w:rPr>
        <w:t>GB/T14848-2017</w:t>
      </w:r>
      <w:r>
        <w:rPr>
          <w:rFonts w:ascii="Times New Roman" w:hAnsi="Times New Roman" w:hint="eastAsia"/>
        </w:rPr>
        <w:t>）Ⅲ类标准，</w:t>
      </w:r>
      <w:r>
        <w:rPr>
          <w:rFonts w:ascii="Times New Roman" w:hAnsi="Times New Roman" w:hint="eastAsia"/>
        </w:rPr>
        <w:t>9#</w:t>
      </w:r>
      <w:r>
        <w:rPr>
          <w:rFonts w:ascii="Times New Roman" w:hAnsi="Times New Roman" w:hint="eastAsia"/>
        </w:rPr>
        <w:t>总硬度、溶解性总固体、氟化物、氯化物、硫酸盐、细菌总数、大肠杆菌及钠均出现超标。细菌总数及大肠杆菌超标原因与当地卫生条件、人为污染有关；氟化物超标与该地区氟化物背景值高有关；</w:t>
      </w:r>
      <w:r>
        <w:rPr>
          <w:rFonts w:ascii="Times New Roman" w:hAnsi="Times New Roman" w:hint="eastAsia"/>
        </w:rPr>
        <w:t>9#</w:t>
      </w:r>
      <w:r>
        <w:rPr>
          <w:rFonts w:ascii="Times New Roman" w:hAnsi="Times New Roman" w:hint="eastAsia"/>
        </w:rPr>
        <w:t>其余指标超标原因应与该处地下水为苦咸水有关。矿区地下水水质总体较差。</w:t>
      </w:r>
    </w:p>
    <w:p w14:paraId="3EC960D6"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13.3.4 </w:t>
      </w:r>
      <w:r>
        <w:rPr>
          <w:rFonts w:ascii="Times New Roman" w:hAnsi="Times New Roman"/>
          <w:sz w:val="24"/>
        </w:rPr>
        <w:t>矿区声环境质量现状</w:t>
      </w:r>
    </w:p>
    <w:p w14:paraId="4E94C00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矿区内声环境质量</w:t>
      </w:r>
      <w:r>
        <w:rPr>
          <w:rFonts w:ascii="Times New Roman" w:hAnsi="Times New Roman" w:hint="eastAsia"/>
          <w:szCs w:val="24"/>
        </w:rPr>
        <w:t>总体</w:t>
      </w:r>
      <w:r>
        <w:rPr>
          <w:rFonts w:ascii="Times New Roman" w:hAnsi="Times New Roman"/>
          <w:szCs w:val="24"/>
        </w:rPr>
        <w:t>较好，环境噪声基本上能达到《声环境质量标准》（</w:t>
      </w:r>
      <w:r>
        <w:rPr>
          <w:rFonts w:ascii="Times New Roman" w:hAnsi="Times New Roman"/>
          <w:szCs w:val="24"/>
        </w:rPr>
        <w:t>GB3096-2008</w:t>
      </w:r>
      <w:r>
        <w:rPr>
          <w:rFonts w:ascii="Times New Roman" w:hAnsi="Times New Roman"/>
          <w:szCs w:val="24"/>
        </w:rPr>
        <w:t>）</w:t>
      </w:r>
      <w:r>
        <w:rPr>
          <w:rFonts w:ascii="Times New Roman" w:hAnsi="Times New Roman" w:hint="eastAsia"/>
          <w:szCs w:val="24"/>
        </w:rPr>
        <w:t>3</w:t>
      </w:r>
      <w:r>
        <w:rPr>
          <w:rFonts w:ascii="Times New Roman" w:hAnsi="Times New Roman" w:hint="eastAsia"/>
          <w:szCs w:val="24"/>
        </w:rPr>
        <w:t>类标准</w:t>
      </w:r>
      <w:r>
        <w:rPr>
          <w:rFonts w:ascii="Times New Roman" w:hAnsi="Times New Roman"/>
          <w:szCs w:val="24"/>
        </w:rPr>
        <w:t>的要求；但</w:t>
      </w:r>
      <w:r>
        <w:rPr>
          <w:rFonts w:ascii="Times New Roman" w:hAnsi="Times New Roman" w:hint="eastAsia"/>
          <w:szCs w:val="24"/>
        </w:rPr>
        <w:t>任家庄进场道路夜间</w:t>
      </w:r>
      <w:r>
        <w:rPr>
          <w:rFonts w:ascii="Times New Roman" w:hAnsi="Times New Roman"/>
          <w:szCs w:val="24"/>
        </w:rPr>
        <w:t>噪声</w:t>
      </w:r>
      <w:r>
        <w:rPr>
          <w:rFonts w:ascii="Times New Roman" w:hAnsi="Times New Roman" w:hint="eastAsia"/>
          <w:szCs w:val="24"/>
        </w:rPr>
        <w:t>超过</w:t>
      </w:r>
      <w:r>
        <w:rPr>
          <w:rFonts w:ascii="Times New Roman" w:hAnsi="Times New Roman"/>
          <w:szCs w:val="24"/>
        </w:rPr>
        <w:t>《声环境质量标准》</w:t>
      </w:r>
      <w:r>
        <w:rPr>
          <w:rFonts w:ascii="Times New Roman" w:hAnsi="Times New Roman" w:hint="eastAsia"/>
          <w:szCs w:val="24"/>
        </w:rPr>
        <w:t>中</w:t>
      </w:r>
      <w:r>
        <w:rPr>
          <w:rFonts w:ascii="Times New Roman" w:hAnsi="Times New Roman"/>
          <w:szCs w:val="24"/>
        </w:rPr>
        <w:t>4a</w:t>
      </w:r>
      <w:r>
        <w:rPr>
          <w:rFonts w:ascii="Times New Roman" w:hAnsi="Times New Roman"/>
          <w:szCs w:val="24"/>
        </w:rPr>
        <w:t>类声环境功能区的标准限值</w:t>
      </w:r>
      <w:r>
        <w:rPr>
          <w:rFonts w:ascii="Times New Roman" w:hAnsi="Times New Roman" w:hint="eastAsia"/>
          <w:szCs w:val="24"/>
        </w:rPr>
        <w:t>，</w:t>
      </w:r>
      <w:r>
        <w:rPr>
          <w:rFonts w:ascii="Times New Roman" w:hAnsi="Times New Roman"/>
          <w:szCs w:val="24"/>
        </w:rPr>
        <w:t>超标</w:t>
      </w:r>
      <w:r>
        <w:rPr>
          <w:rFonts w:ascii="Times New Roman" w:hAnsi="Times New Roman"/>
          <w:szCs w:val="24"/>
        </w:rPr>
        <w:t>0.5~1.1dB(A)</w:t>
      </w:r>
      <w:r>
        <w:rPr>
          <w:rFonts w:ascii="Times New Roman" w:hAnsi="Times New Roman" w:hint="eastAsia"/>
          <w:szCs w:val="24"/>
        </w:rPr>
        <w:t>，</w:t>
      </w:r>
      <w:r>
        <w:rPr>
          <w:rFonts w:ascii="Times New Roman" w:hAnsi="Times New Roman"/>
          <w:szCs w:val="24"/>
        </w:rPr>
        <w:t>但道路两侧无声环境敏感点</w:t>
      </w:r>
      <w:r>
        <w:rPr>
          <w:rFonts w:ascii="Times New Roman" w:hAnsi="Times New Roman" w:hint="eastAsia"/>
          <w:szCs w:val="24"/>
        </w:rPr>
        <w:t>。</w:t>
      </w:r>
    </w:p>
    <w:p w14:paraId="3B9838B8"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13.3.</w:t>
      </w:r>
      <w:r>
        <w:rPr>
          <w:rFonts w:ascii="Times New Roman" w:hAnsi="Times New Roman" w:hint="eastAsia"/>
          <w:sz w:val="24"/>
        </w:rPr>
        <w:t>5</w:t>
      </w:r>
      <w:r>
        <w:rPr>
          <w:rFonts w:ascii="Times New Roman" w:hAnsi="Times New Roman"/>
          <w:sz w:val="24"/>
        </w:rPr>
        <w:t xml:space="preserve"> </w:t>
      </w:r>
      <w:r>
        <w:rPr>
          <w:rFonts w:ascii="Times New Roman" w:hAnsi="Times New Roman"/>
          <w:sz w:val="24"/>
        </w:rPr>
        <w:t>矿区</w:t>
      </w:r>
      <w:r>
        <w:rPr>
          <w:rFonts w:ascii="Times New Roman" w:hAnsi="Times New Roman" w:hint="eastAsia"/>
          <w:sz w:val="24"/>
        </w:rPr>
        <w:t>土壤</w:t>
      </w:r>
      <w:r>
        <w:rPr>
          <w:rFonts w:ascii="Times New Roman" w:hAnsi="Times New Roman"/>
          <w:sz w:val="24"/>
        </w:rPr>
        <w:t>环境质量现状</w:t>
      </w:r>
    </w:p>
    <w:p w14:paraId="59C4B2B3" w14:textId="77777777" w:rsidR="009C353B" w:rsidRDefault="00000000">
      <w:pPr>
        <w:adjustRightInd w:val="0"/>
        <w:snapToGrid w:val="0"/>
        <w:spacing w:line="440" w:lineRule="exact"/>
        <w:ind w:firstLineChars="200" w:firstLine="480"/>
        <w:rPr>
          <w:rFonts w:ascii="Times New Roman" w:hAnsi="Times New Roman"/>
        </w:rPr>
      </w:pPr>
      <w:r>
        <w:rPr>
          <w:rFonts w:ascii="Times New Roman"/>
        </w:rPr>
        <w:t>矿区整体土壤环境质量良好，</w:t>
      </w:r>
      <w:r>
        <w:rPr>
          <w:rFonts w:ascii="Times New Roman"/>
          <w:szCs w:val="24"/>
        </w:rPr>
        <w:t>各监测点各项指标均能达到《土壤环境质量</w:t>
      </w:r>
      <w:r>
        <w:rPr>
          <w:rFonts w:ascii="Times New Roman"/>
          <w:szCs w:val="24"/>
        </w:rPr>
        <w:t xml:space="preserve"> </w:t>
      </w:r>
      <w:r>
        <w:rPr>
          <w:rFonts w:ascii="Times New Roman"/>
          <w:szCs w:val="24"/>
        </w:rPr>
        <w:t>建设用地土壤污染风险管控标准（试行）》（</w:t>
      </w:r>
      <w:r>
        <w:rPr>
          <w:rFonts w:ascii="Times New Roman"/>
          <w:szCs w:val="24"/>
        </w:rPr>
        <w:t>GB/36600-2018</w:t>
      </w:r>
      <w:r>
        <w:rPr>
          <w:rFonts w:ascii="Times New Roman"/>
          <w:szCs w:val="24"/>
        </w:rPr>
        <w:t>）</w:t>
      </w:r>
      <w:r>
        <w:rPr>
          <w:rFonts w:ascii="Times New Roman" w:hint="eastAsia"/>
          <w:szCs w:val="24"/>
        </w:rPr>
        <w:t>以及</w:t>
      </w:r>
      <w:r>
        <w:rPr>
          <w:rFonts w:ascii="Times New Roman"/>
          <w:szCs w:val="24"/>
        </w:rPr>
        <w:t>《土壤环境质量</w:t>
      </w:r>
      <w:r>
        <w:rPr>
          <w:rFonts w:ascii="Times New Roman"/>
          <w:szCs w:val="24"/>
        </w:rPr>
        <w:t xml:space="preserve">  </w:t>
      </w:r>
      <w:r>
        <w:rPr>
          <w:rFonts w:ascii="Times New Roman"/>
          <w:szCs w:val="24"/>
        </w:rPr>
        <w:t>农用地土壤污染风险管控标准（试行）》（</w:t>
      </w:r>
      <w:r>
        <w:rPr>
          <w:rFonts w:ascii="Times New Roman"/>
          <w:szCs w:val="24"/>
        </w:rPr>
        <w:t>GB/15618-2018</w:t>
      </w:r>
      <w:r>
        <w:rPr>
          <w:rFonts w:ascii="Times New Roman"/>
          <w:szCs w:val="24"/>
        </w:rPr>
        <w:t>）中风险筛选值标准</w:t>
      </w:r>
      <w:r>
        <w:rPr>
          <w:rFonts w:ascii="Times New Roman" w:hint="eastAsia"/>
          <w:szCs w:val="24"/>
        </w:rPr>
        <w:t>。</w:t>
      </w:r>
    </w:p>
    <w:p w14:paraId="6A085E48"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13.3.</w:t>
      </w:r>
      <w:r>
        <w:rPr>
          <w:rFonts w:ascii="Times New Roman" w:hAnsi="Times New Roman" w:hint="eastAsia"/>
          <w:sz w:val="24"/>
        </w:rPr>
        <w:t>6</w:t>
      </w:r>
      <w:r>
        <w:rPr>
          <w:rFonts w:ascii="Times New Roman" w:hAnsi="Times New Roman"/>
          <w:sz w:val="24"/>
        </w:rPr>
        <w:t xml:space="preserve"> </w:t>
      </w:r>
      <w:r>
        <w:rPr>
          <w:rFonts w:ascii="Times New Roman" w:hAnsi="Times New Roman"/>
          <w:sz w:val="24"/>
        </w:rPr>
        <w:t>矿区生态环境现状</w:t>
      </w:r>
    </w:p>
    <w:p w14:paraId="5E15E784" w14:textId="77777777" w:rsidR="009C353B" w:rsidRDefault="00000000">
      <w:pPr>
        <w:adjustRightInd w:val="0"/>
        <w:snapToGrid w:val="0"/>
        <w:spacing w:line="440" w:lineRule="exact"/>
        <w:ind w:firstLineChars="200" w:firstLine="480"/>
        <w:rPr>
          <w:rFonts w:ascii="Times New Roman" w:hint="eastAsia"/>
          <w:szCs w:val="24"/>
        </w:rPr>
      </w:pPr>
      <w:bookmarkStart w:id="456" w:name="_Hlk48497720"/>
      <w:bookmarkStart w:id="457" w:name="_Toc163441061"/>
      <w:r>
        <w:rPr>
          <w:rFonts w:ascii="Times New Roman"/>
          <w:szCs w:val="24"/>
        </w:rPr>
        <w:t>评价区主要土地利用类型</w:t>
      </w:r>
      <w:r>
        <w:rPr>
          <w:rFonts w:ascii="Times New Roman" w:hint="eastAsia"/>
          <w:szCs w:val="24"/>
        </w:rPr>
        <w:t>以草地为主，植被</w:t>
      </w:r>
      <w:r>
        <w:rPr>
          <w:rFonts w:ascii="Times New Roman"/>
          <w:szCs w:val="24"/>
        </w:rPr>
        <w:t>区划属于黄土高原西部矮禾草、矮灌草荒漠草原区，</w:t>
      </w:r>
      <w:r>
        <w:rPr>
          <w:rFonts w:ascii="Times New Roman" w:hint="eastAsia"/>
          <w:szCs w:val="24"/>
        </w:rPr>
        <w:t>评价</w:t>
      </w:r>
      <w:r>
        <w:rPr>
          <w:rFonts w:ascii="Times New Roman"/>
          <w:szCs w:val="24"/>
        </w:rPr>
        <w:t>区西部丘陵山区为</w:t>
      </w:r>
      <w:r>
        <w:rPr>
          <w:rFonts w:ascii="Times New Roman" w:hint="eastAsia"/>
          <w:szCs w:val="24"/>
        </w:rPr>
        <w:t>猫头刺</w:t>
      </w:r>
      <w:r>
        <w:rPr>
          <w:rFonts w:ascii="Times New Roman"/>
          <w:szCs w:val="24"/>
        </w:rPr>
        <w:t>荒漠，主要</w:t>
      </w:r>
      <w:r>
        <w:rPr>
          <w:rFonts w:ascii="Times New Roman" w:hint="eastAsia"/>
          <w:szCs w:val="24"/>
        </w:rPr>
        <w:t>优势种</w:t>
      </w:r>
      <w:r>
        <w:rPr>
          <w:rFonts w:ascii="Times New Roman"/>
          <w:szCs w:val="24"/>
        </w:rPr>
        <w:t>为</w:t>
      </w:r>
      <w:r>
        <w:rPr>
          <w:rFonts w:ascii="Times New Roman" w:hint="eastAsia"/>
          <w:szCs w:val="24"/>
        </w:rPr>
        <w:t>猫头刺</w:t>
      </w:r>
      <w:r>
        <w:rPr>
          <w:rFonts w:ascii="Times New Roman"/>
          <w:szCs w:val="24"/>
        </w:rPr>
        <w:t>，亚优势种或主要伴生种有珍珠猪毛菜、驼绒藜等半灌木或灌木，草本植物主要有沙生针茅、</w:t>
      </w:r>
      <w:r>
        <w:rPr>
          <w:rFonts w:ascii="Times New Roman" w:hint="eastAsia"/>
          <w:szCs w:val="24"/>
        </w:rPr>
        <w:t>短花</w:t>
      </w:r>
      <w:r>
        <w:rPr>
          <w:rFonts w:ascii="Times New Roman"/>
          <w:szCs w:val="24"/>
        </w:rPr>
        <w:t>针茅和</w:t>
      </w:r>
      <w:r>
        <w:rPr>
          <w:rFonts w:ascii="Times New Roman" w:hint="eastAsia"/>
          <w:szCs w:val="24"/>
        </w:rPr>
        <w:t>碱蓬</w:t>
      </w:r>
      <w:r>
        <w:rPr>
          <w:rFonts w:ascii="Times New Roman"/>
          <w:szCs w:val="24"/>
        </w:rPr>
        <w:t>等。</w:t>
      </w:r>
      <w:r>
        <w:rPr>
          <w:rFonts w:ascii="Times New Roman" w:hint="eastAsia"/>
          <w:szCs w:val="24"/>
        </w:rPr>
        <w:t>东北</w:t>
      </w:r>
      <w:r>
        <w:rPr>
          <w:rFonts w:ascii="Times New Roman"/>
          <w:szCs w:val="24"/>
        </w:rPr>
        <w:t>部</w:t>
      </w:r>
      <w:r>
        <w:rPr>
          <w:rFonts w:ascii="Times New Roman" w:hint="eastAsia"/>
          <w:szCs w:val="24"/>
        </w:rPr>
        <w:t>及南部的半固定和少量</w:t>
      </w:r>
      <w:r>
        <w:rPr>
          <w:rFonts w:ascii="Times New Roman"/>
          <w:szCs w:val="24"/>
        </w:rPr>
        <w:t>流动沙丘主要分布沙蓬、雾冰黎和虫实沙地先锋植物</w:t>
      </w:r>
      <w:r>
        <w:rPr>
          <w:rFonts w:ascii="Times New Roman"/>
          <w:szCs w:val="24"/>
        </w:rPr>
        <w:t xml:space="preserve"> </w:t>
      </w:r>
      <w:r>
        <w:rPr>
          <w:rFonts w:ascii="Times New Roman"/>
          <w:szCs w:val="24"/>
        </w:rPr>
        <w:t>。</w:t>
      </w:r>
      <w:r>
        <w:rPr>
          <w:rFonts w:ascii="Times New Roman" w:hint="eastAsia"/>
          <w:szCs w:val="24"/>
        </w:rPr>
        <w:t>评价区内及周边近年来工业开发</w:t>
      </w:r>
      <w:r>
        <w:rPr>
          <w:rFonts w:ascii="Times New Roman"/>
          <w:szCs w:val="24"/>
        </w:rPr>
        <w:t>程度</w:t>
      </w:r>
      <w:r>
        <w:rPr>
          <w:rFonts w:ascii="Times New Roman" w:hint="eastAsia"/>
          <w:szCs w:val="24"/>
        </w:rPr>
        <w:t>较</w:t>
      </w:r>
      <w:r>
        <w:rPr>
          <w:rFonts w:ascii="Times New Roman"/>
          <w:szCs w:val="24"/>
        </w:rPr>
        <w:t>高，</w:t>
      </w:r>
      <w:r>
        <w:rPr>
          <w:rFonts w:ascii="Times New Roman" w:hint="eastAsia"/>
          <w:szCs w:val="24"/>
        </w:rPr>
        <w:t>人类活动频繁，且动物生境被矿区内四通八达的公路、铁路，以及十几条高压输电线路等切割，生境破碎化严重，</w:t>
      </w:r>
      <w:r>
        <w:rPr>
          <w:rFonts w:ascii="Times New Roman"/>
          <w:szCs w:val="24"/>
        </w:rPr>
        <w:t>适宜野生动物栖息环境有限</w:t>
      </w:r>
      <w:r>
        <w:rPr>
          <w:rFonts w:ascii="Times New Roman" w:hint="eastAsia"/>
          <w:szCs w:val="24"/>
        </w:rPr>
        <w:t>，</w:t>
      </w:r>
      <w:r>
        <w:rPr>
          <w:rFonts w:ascii="Times New Roman"/>
          <w:szCs w:val="24"/>
        </w:rPr>
        <w:t>只有小型哺乳动物、爬行类动物和鸟类出没</w:t>
      </w:r>
      <w:r>
        <w:rPr>
          <w:rFonts w:ascii="Times New Roman" w:hint="eastAsia"/>
          <w:szCs w:val="24"/>
        </w:rPr>
        <w:t>，</w:t>
      </w:r>
      <w:r>
        <w:rPr>
          <w:rFonts w:ascii="Times New Roman"/>
          <w:szCs w:val="24"/>
        </w:rPr>
        <w:t>为广布种</w:t>
      </w:r>
      <w:r>
        <w:rPr>
          <w:rFonts w:ascii="Times New Roman" w:hint="eastAsia"/>
          <w:szCs w:val="24"/>
        </w:rPr>
        <w:t>，</w:t>
      </w:r>
      <w:r>
        <w:rPr>
          <w:rFonts w:ascii="Times New Roman"/>
          <w:szCs w:val="24"/>
        </w:rPr>
        <w:t>未发现《国家重点保护野生动物名录》中的保护动物。评价区土壤</w:t>
      </w:r>
      <w:r>
        <w:rPr>
          <w:rFonts w:ascii="Times New Roman" w:hint="eastAsia"/>
          <w:szCs w:val="24"/>
        </w:rPr>
        <w:t>类型主要</w:t>
      </w:r>
      <w:r>
        <w:rPr>
          <w:rFonts w:ascii="Times New Roman"/>
          <w:szCs w:val="24"/>
        </w:rPr>
        <w:t>为</w:t>
      </w:r>
      <w:r>
        <w:rPr>
          <w:rFonts w:ascii="Times New Roman" w:hint="eastAsia"/>
          <w:szCs w:val="24"/>
        </w:rPr>
        <w:t>灰</w:t>
      </w:r>
      <w:r>
        <w:rPr>
          <w:rFonts w:ascii="Times New Roman"/>
          <w:szCs w:val="24"/>
        </w:rPr>
        <w:t>钙土</w:t>
      </w:r>
      <w:r>
        <w:rPr>
          <w:rFonts w:ascii="Times New Roman" w:hint="eastAsia"/>
          <w:szCs w:val="24"/>
        </w:rPr>
        <w:t>，</w:t>
      </w:r>
      <w:r>
        <w:rPr>
          <w:rFonts w:ascii="Times New Roman"/>
          <w:szCs w:val="24"/>
        </w:rPr>
        <w:t>其次还分布有</w:t>
      </w:r>
      <w:r>
        <w:rPr>
          <w:rFonts w:ascii="Times New Roman" w:hint="eastAsia"/>
          <w:szCs w:val="24"/>
        </w:rPr>
        <w:t>风沙土</w:t>
      </w:r>
      <w:r>
        <w:rPr>
          <w:rFonts w:ascii="Times New Roman"/>
          <w:szCs w:val="24"/>
        </w:rPr>
        <w:t>和</w:t>
      </w:r>
      <w:r>
        <w:rPr>
          <w:rFonts w:ascii="Times New Roman" w:hint="eastAsia"/>
          <w:szCs w:val="24"/>
        </w:rPr>
        <w:t>小面积的潮土</w:t>
      </w:r>
      <w:r>
        <w:rPr>
          <w:rFonts w:ascii="Times New Roman"/>
          <w:szCs w:val="24"/>
        </w:rPr>
        <w:t>。</w:t>
      </w:r>
      <w:r>
        <w:rPr>
          <w:rFonts w:ascii="Times New Roman" w:hint="eastAsia"/>
          <w:szCs w:val="24"/>
        </w:rPr>
        <w:t>评价区气候干燥，植被稀疏，</w:t>
      </w:r>
      <w:r>
        <w:rPr>
          <w:rFonts w:ascii="Times New Roman"/>
          <w:szCs w:val="24"/>
        </w:rPr>
        <w:t>土壤侵蚀以风力侵蚀为主，兼有水力侵蚀</w:t>
      </w:r>
      <w:r>
        <w:rPr>
          <w:rFonts w:ascii="Times New Roman" w:hint="eastAsia"/>
          <w:szCs w:val="24"/>
        </w:rPr>
        <w:t>，原始地貌土壤侵蚀强度以中度侵蚀为主</w:t>
      </w:r>
      <w:r>
        <w:rPr>
          <w:rFonts w:ascii="Times New Roman"/>
          <w:szCs w:val="24"/>
        </w:rPr>
        <w:t>。评价区</w:t>
      </w:r>
      <w:r>
        <w:rPr>
          <w:rFonts w:ascii="Times New Roman" w:hint="eastAsia"/>
          <w:szCs w:val="24"/>
        </w:rPr>
        <w:t>人为干扰程度较强，区域生态系统生产力较低，生态系统恢复稳定性和阻抗稳定性较差，</w:t>
      </w:r>
      <w:r>
        <w:rPr>
          <w:rFonts w:ascii="Times New Roman"/>
          <w:szCs w:val="24"/>
        </w:rPr>
        <w:t>生态完整性处于</w:t>
      </w:r>
      <w:r>
        <w:rPr>
          <w:rFonts w:ascii="Times New Roman" w:hint="eastAsia"/>
          <w:szCs w:val="24"/>
        </w:rPr>
        <w:t>一般</w:t>
      </w:r>
      <w:r>
        <w:rPr>
          <w:rFonts w:ascii="Times New Roman"/>
          <w:szCs w:val="24"/>
        </w:rPr>
        <w:t>水平。</w:t>
      </w:r>
      <w:bookmarkEnd w:id="456"/>
    </w:p>
    <w:p w14:paraId="095F9A5C" w14:textId="77777777" w:rsidR="009C353B" w:rsidRDefault="00000000">
      <w:pPr>
        <w:pStyle w:val="2"/>
        <w:adjustRightInd w:val="0"/>
        <w:snapToGrid w:val="0"/>
        <w:spacing w:line="440" w:lineRule="exact"/>
        <w:jc w:val="left"/>
        <w:rPr>
          <w:rFonts w:ascii="Times New Roman" w:eastAsia="宋体" w:hAnsi="Times New Roman"/>
          <w:b/>
          <w:sz w:val="28"/>
        </w:rPr>
      </w:pPr>
      <w:bookmarkStart w:id="458" w:name="_Toc59189894"/>
      <w:r>
        <w:rPr>
          <w:rFonts w:ascii="Times New Roman" w:eastAsia="宋体" w:hAnsi="Times New Roman"/>
          <w:b/>
          <w:sz w:val="28"/>
        </w:rPr>
        <w:t xml:space="preserve">13.4 </w:t>
      </w:r>
      <w:r>
        <w:rPr>
          <w:rFonts w:ascii="Times New Roman" w:eastAsia="宋体" w:hAnsi="Times New Roman"/>
          <w:b/>
          <w:sz w:val="28"/>
        </w:rPr>
        <w:t>矿区规划实施环境影响评价结论</w:t>
      </w:r>
      <w:bookmarkEnd w:id="457"/>
      <w:bookmarkEnd w:id="458"/>
    </w:p>
    <w:p w14:paraId="33B16203"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13.4.1 </w:t>
      </w:r>
      <w:r>
        <w:rPr>
          <w:rFonts w:ascii="Times New Roman" w:hAnsi="Times New Roman"/>
          <w:sz w:val="24"/>
        </w:rPr>
        <w:t>生态影响</w:t>
      </w:r>
    </w:p>
    <w:p w14:paraId="3709D57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）对地形地貌的影响</w:t>
      </w:r>
    </w:p>
    <w:p w14:paraId="0F4F4845"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w:t>
      </w:r>
      <w:r>
        <w:rPr>
          <w:rFonts w:ascii="Times New Roman" w:hAnsi="Times New Roman"/>
        </w:rPr>
        <w:t>为</w:t>
      </w:r>
      <w:r>
        <w:rPr>
          <w:rFonts w:ascii="Times New Roman" w:hAnsi="Times New Roman" w:hint="eastAsia"/>
        </w:rPr>
        <w:t>井工开采</w:t>
      </w:r>
      <w:r>
        <w:rPr>
          <w:rFonts w:ascii="Times New Roman" w:hAnsi="Times New Roman"/>
        </w:rPr>
        <w:t>，</w:t>
      </w:r>
      <w:r>
        <w:rPr>
          <w:rFonts w:ascii="Times New Roman" w:hAnsi="Times New Roman" w:hint="eastAsia"/>
        </w:rPr>
        <w:t>由于区内整体</w:t>
      </w:r>
      <w:r>
        <w:rPr>
          <w:rFonts w:ascii="Times New Roman" w:hAnsi="Times New Roman"/>
        </w:rPr>
        <w:t>地表较平坦，矿区开发后造成地表下沉值较大，可能形成明显的沉陷盆地，造成区域地形地貌变化较大。</w:t>
      </w:r>
    </w:p>
    <w:p w14:paraId="6F943337" w14:textId="77777777" w:rsidR="009C353B" w:rsidRDefault="00000000">
      <w:pPr>
        <w:spacing w:line="440" w:lineRule="exact"/>
        <w:ind w:firstLineChars="200"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）对土地利用</w:t>
      </w:r>
      <w:r>
        <w:rPr>
          <w:rFonts w:ascii="Times New Roman" w:hAnsi="Times New Roman" w:hint="eastAsia"/>
        </w:rPr>
        <w:t>及植被</w:t>
      </w:r>
      <w:r>
        <w:rPr>
          <w:rFonts w:ascii="Times New Roman" w:hAnsi="Times New Roman"/>
        </w:rPr>
        <w:t>的影响</w:t>
      </w:r>
    </w:p>
    <w:p w14:paraId="237DAF02"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1</w:t>
      </w:r>
      <w:r>
        <w:rPr>
          <w:rFonts w:ascii="Times New Roman" w:hAnsi="Times New Roman" w:hint="eastAsia"/>
        </w:rPr>
        <w:t>）建设期的影响</w:t>
      </w:r>
    </w:p>
    <w:p w14:paraId="27AF941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rPr>
        <w:t>矿区开发之后，永久占地将原有土地利用类型改变为工矿用地。由于永久占地类型相对于矿区面积来说较小，因此对矿区土地利用分布格局影响很小。其中排矸场在排矸结束之后会恢复为原土地利用类型，即草地类型，不会对矿区土地利用造成影响。临时占地在建设期完毕后也会恢复为原有土地利用类型（主要为草地），因此也不会对矿区土地利用造成影响。</w:t>
      </w:r>
    </w:p>
    <w:p w14:paraId="15D1820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szCs w:val="24"/>
        </w:rPr>
        <w:t>项目占地</w:t>
      </w:r>
      <w:r>
        <w:rPr>
          <w:rFonts w:ascii="Times New Roman" w:hAnsi="Times New Roman"/>
          <w:szCs w:val="24"/>
        </w:rPr>
        <w:t>对于评价区植物产生的影响，主要体现在</w:t>
      </w:r>
      <w:r>
        <w:rPr>
          <w:rFonts w:ascii="Times New Roman" w:hAnsi="Times New Roman" w:hint="eastAsia"/>
          <w:szCs w:val="24"/>
        </w:rPr>
        <w:t>永久占地</w:t>
      </w:r>
      <w:r>
        <w:rPr>
          <w:rFonts w:ascii="Times New Roman" w:hAnsi="Times New Roman"/>
          <w:szCs w:val="24"/>
        </w:rPr>
        <w:t>对植被的占用及破坏。</w:t>
      </w:r>
      <w:r>
        <w:rPr>
          <w:rFonts w:ascii="Times New Roman" w:hAnsi="Times New Roman" w:hint="eastAsia"/>
          <w:szCs w:val="24"/>
        </w:rPr>
        <w:t>工程占地</w:t>
      </w:r>
      <w:r>
        <w:rPr>
          <w:rFonts w:ascii="Times New Roman" w:hAnsi="Times New Roman"/>
          <w:szCs w:val="24"/>
        </w:rPr>
        <w:t>占用草地面积为</w:t>
      </w:r>
      <w:r>
        <w:rPr>
          <w:rFonts w:ascii="Times New Roman" w:hAnsi="Times New Roman" w:hint="eastAsia"/>
          <w:szCs w:val="24"/>
        </w:rPr>
        <w:t>127.47</w:t>
      </w:r>
      <w:r>
        <w:rPr>
          <w:rFonts w:ascii="Times New Roman" w:hAnsi="Times New Roman"/>
          <w:szCs w:val="24"/>
        </w:rPr>
        <w:t>hm</w:t>
      </w:r>
      <w:r>
        <w:rPr>
          <w:rFonts w:ascii="Times New Roman" w:hAnsi="Times New Roman"/>
          <w:szCs w:val="24"/>
          <w:vertAlign w:val="superscript"/>
        </w:rPr>
        <w:t>2</w:t>
      </w:r>
      <w:r>
        <w:rPr>
          <w:rFonts w:ascii="Times New Roman" w:hAnsi="Times New Roman" w:hint="eastAsia"/>
          <w:szCs w:val="24"/>
        </w:rPr>
        <w:t>，占</w:t>
      </w:r>
      <w:r>
        <w:rPr>
          <w:rFonts w:ascii="Times New Roman" w:hAnsi="Times New Roman"/>
          <w:szCs w:val="24"/>
        </w:rPr>
        <w:t>评价区</w:t>
      </w:r>
      <w:r>
        <w:rPr>
          <w:rFonts w:ascii="Times New Roman" w:hAnsi="Times New Roman" w:hint="eastAsia"/>
          <w:szCs w:val="24"/>
        </w:rPr>
        <w:t>草地</w:t>
      </w:r>
      <w:r>
        <w:rPr>
          <w:rFonts w:ascii="Times New Roman" w:hAnsi="Times New Roman"/>
          <w:szCs w:val="24"/>
        </w:rPr>
        <w:t>面积的</w:t>
      </w:r>
      <w:r>
        <w:rPr>
          <w:rFonts w:ascii="Times New Roman" w:hAnsi="Times New Roman" w:hint="eastAsia"/>
          <w:szCs w:val="24"/>
        </w:rPr>
        <w:t>0.62</w:t>
      </w:r>
      <w:r>
        <w:rPr>
          <w:rFonts w:ascii="Times New Roman" w:hAnsi="Times New Roman"/>
          <w:szCs w:val="24"/>
        </w:rPr>
        <w:t>%</w:t>
      </w:r>
      <w:r>
        <w:rPr>
          <w:rFonts w:ascii="Times New Roman" w:hAnsi="Times New Roman"/>
          <w:szCs w:val="24"/>
        </w:rPr>
        <w:t>。</w:t>
      </w:r>
      <w:r>
        <w:rPr>
          <w:rFonts w:ascii="Times New Roman" w:hAnsi="Times New Roman" w:hint="eastAsia"/>
          <w:szCs w:val="24"/>
        </w:rPr>
        <w:t>临时占地上的施工扰动也会破坏原有植被，</w:t>
      </w:r>
      <w:r>
        <w:rPr>
          <w:rFonts w:ascii="Times New Roman" w:hAnsi="Times New Roman"/>
          <w:szCs w:val="24"/>
        </w:rPr>
        <w:t>但影响较为短暂，经过一段时间可以恢复。因此，为尽可能降低对评价区内植物生长产生的不利影响，</w:t>
      </w:r>
      <w:r>
        <w:rPr>
          <w:rFonts w:ascii="Times New Roman" w:hAnsi="Times New Roman" w:hint="eastAsia"/>
          <w:szCs w:val="24"/>
        </w:rPr>
        <w:t>应</w:t>
      </w:r>
      <w:r>
        <w:rPr>
          <w:rFonts w:ascii="Times New Roman" w:hAnsi="Times New Roman"/>
          <w:szCs w:val="24"/>
        </w:rPr>
        <w:t>严格限制临时占地的面积</w:t>
      </w:r>
      <w:r>
        <w:rPr>
          <w:rFonts w:ascii="Times New Roman" w:hAnsi="Times New Roman" w:hint="eastAsia"/>
          <w:szCs w:val="24"/>
        </w:rPr>
        <w:t>，</w:t>
      </w:r>
      <w:r>
        <w:rPr>
          <w:rFonts w:ascii="Times New Roman" w:hAnsi="Times New Roman"/>
          <w:szCs w:val="24"/>
        </w:rPr>
        <w:t>减少对</w:t>
      </w:r>
      <w:r>
        <w:rPr>
          <w:rFonts w:ascii="Times New Roman" w:hAnsi="Times New Roman" w:hint="eastAsia"/>
          <w:szCs w:val="24"/>
        </w:rPr>
        <w:t>地表</w:t>
      </w:r>
      <w:r>
        <w:rPr>
          <w:rFonts w:ascii="Times New Roman" w:hAnsi="Times New Roman"/>
          <w:szCs w:val="24"/>
        </w:rPr>
        <w:t>扰动</w:t>
      </w:r>
      <w:r>
        <w:rPr>
          <w:rFonts w:ascii="Times New Roman" w:hAnsi="Times New Roman" w:hint="eastAsia"/>
          <w:szCs w:val="24"/>
        </w:rPr>
        <w:t>和</w:t>
      </w:r>
      <w:r>
        <w:rPr>
          <w:rFonts w:ascii="Times New Roman" w:hAnsi="Times New Roman"/>
          <w:szCs w:val="24"/>
        </w:rPr>
        <w:t>植被的破坏</w:t>
      </w:r>
      <w:r>
        <w:rPr>
          <w:rFonts w:ascii="Times New Roman" w:hAnsi="Times New Roman" w:hint="eastAsia"/>
          <w:szCs w:val="24"/>
        </w:rPr>
        <w:t>。</w:t>
      </w:r>
    </w:p>
    <w:p w14:paraId="21757B64"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2</w:t>
      </w:r>
      <w:r>
        <w:rPr>
          <w:rFonts w:ascii="Times New Roman" w:hAnsi="Times New Roman" w:hint="eastAsia"/>
        </w:rPr>
        <w:t>）开采沉陷的</w:t>
      </w:r>
      <w:r>
        <w:rPr>
          <w:rFonts w:ascii="Times New Roman" w:hAnsi="Times New Roman"/>
        </w:rPr>
        <w:t>影响</w:t>
      </w:r>
    </w:p>
    <w:p w14:paraId="330B7E0D" w14:textId="77777777" w:rsidR="009C353B" w:rsidRDefault="00000000">
      <w:pPr>
        <w:spacing w:line="440" w:lineRule="exact"/>
        <w:ind w:firstLineChars="200" w:firstLine="480"/>
        <w:rPr>
          <w:rFonts w:ascii="Times New Roman" w:hAnsi="Times New Roman"/>
        </w:rPr>
      </w:pPr>
      <w:r>
        <w:rPr>
          <w:rFonts w:ascii="Times New Roman" w:hAnsi="Times New Roman" w:hint="eastAsia"/>
        </w:rPr>
        <w:t>矿区煤层全部开采后，受沉陷影响的土地利用类型以草地为主，面积为</w:t>
      </w:r>
      <w:r>
        <w:rPr>
          <w:rFonts w:ascii="Times New Roman" w:hAnsi="Times New Roman" w:hint="eastAsia"/>
        </w:rPr>
        <w:t>39.90km</w:t>
      </w:r>
      <w:r>
        <w:rPr>
          <w:rFonts w:ascii="Times New Roman" w:hAnsi="Times New Roman" w:hint="eastAsia"/>
          <w:vertAlign w:val="superscript"/>
        </w:rPr>
        <w:t>2</w:t>
      </w:r>
      <w:r>
        <w:rPr>
          <w:rFonts w:ascii="Times New Roman" w:hAnsi="Times New Roman" w:hint="eastAsia"/>
        </w:rPr>
        <w:t>，占沉陷面积的</w:t>
      </w:r>
      <w:r>
        <w:rPr>
          <w:rFonts w:ascii="Times New Roman" w:hAnsi="Times New Roman" w:hint="eastAsia"/>
        </w:rPr>
        <w:t>68.78%</w:t>
      </w:r>
      <w:r>
        <w:rPr>
          <w:rFonts w:ascii="Times New Roman" w:hAnsi="Times New Roman" w:hint="eastAsia"/>
        </w:rPr>
        <w:t>，其次为林地，面积为</w:t>
      </w:r>
      <w:r>
        <w:rPr>
          <w:rFonts w:ascii="Times New Roman" w:hAnsi="Times New Roman" w:hint="eastAsia"/>
        </w:rPr>
        <w:t>12.18km</w:t>
      </w:r>
      <w:r>
        <w:rPr>
          <w:rFonts w:ascii="Times New Roman" w:hAnsi="Times New Roman" w:hint="eastAsia"/>
          <w:vertAlign w:val="superscript"/>
        </w:rPr>
        <w:t>2</w:t>
      </w:r>
      <w:r>
        <w:rPr>
          <w:rFonts w:ascii="Times New Roman" w:hAnsi="Times New Roman" w:hint="eastAsia"/>
        </w:rPr>
        <w:t>，占沉陷面积的</w:t>
      </w:r>
      <w:r>
        <w:rPr>
          <w:rFonts w:ascii="Times New Roman" w:hAnsi="Times New Roman" w:hint="eastAsia"/>
        </w:rPr>
        <w:t>20.99%</w:t>
      </w:r>
      <w:r>
        <w:rPr>
          <w:rFonts w:ascii="Times New Roman" w:hAnsi="Times New Roman" w:hint="eastAsia"/>
        </w:rPr>
        <w:t>。地表沉陷后不会形成积水区，受沉陷影响的土地经生态恢复治理，原土地利用类型绝大部分得到恢复。规划实施不会导致矿区土地利用类型发生显著变化。</w:t>
      </w:r>
    </w:p>
    <w:p w14:paraId="5AEF8094" w14:textId="77777777" w:rsidR="009C353B" w:rsidRDefault="00000000">
      <w:pPr>
        <w:spacing w:line="440" w:lineRule="exact"/>
        <w:ind w:firstLine="482"/>
        <w:rPr>
          <w:rFonts w:ascii="Times New Roman" w:hAnsi="Times New Roman"/>
          <w:szCs w:val="24"/>
        </w:rPr>
      </w:pPr>
      <w:r>
        <w:rPr>
          <w:rFonts w:ascii="Times New Roman" w:hAnsi="Times New Roman" w:hint="eastAsia"/>
        </w:rPr>
        <w:t>矿井开采后，</w:t>
      </w:r>
      <w:r>
        <w:rPr>
          <w:rFonts w:ascii="Times New Roman" w:hint="eastAsia"/>
        </w:rPr>
        <w:t>根据</w:t>
      </w:r>
      <w:r>
        <w:rPr>
          <w:rFonts w:ascii="Times New Roman" w:hAnsi="Times New Roman" w:hint="eastAsia"/>
        </w:rPr>
        <w:t>地表塌陷形式的不</w:t>
      </w:r>
      <w:r>
        <w:rPr>
          <w:rFonts w:ascii="Times New Roman" w:hAnsi="Times New Roman" w:hint="eastAsia"/>
          <w:szCs w:val="24"/>
        </w:rPr>
        <w:t>同，区域植被可能受到两种程度的干扰：一种是在地表裂缝、沉降台阶及沉陷坑出现的区域，因地表变形植物根系可能拉伸受损致使植物不能正常生长，出现倒伏枯死的情况。但这种变化只是小范围局部的，不足以影响整个地区植被生长和植被类型发生变化；另一种形式是整体缓慢下沉，地表下沉改变了区域的水分结构，但区域内地下水埋深较大，且区域多年平均降水量为</w:t>
      </w:r>
      <w:r>
        <w:rPr>
          <w:rFonts w:ascii="Times New Roman" w:hAnsi="Times New Roman" w:hint="eastAsia"/>
          <w:szCs w:val="24"/>
        </w:rPr>
        <w:t>200.6mm</w:t>
      </w:r>
      <w:r>
        <w:rPr>
          <w:rFonts w:ascii="Times New Roman" w:hAnsi="Times New Roman" w:hint="eastAsia"/>
          <w:szCs w:val="24"/>
        </w:rPr>
        <w:t>，不会形成局部季节性积水区或常年积水区。区域植被生长主要是依靠天然降水，区域降水量小，即使地表变形改变汇水条件也不会改变区域以旱生化植被为主的特征，不会使区域植被类型会发生较大变化。</w:t>
      </w:r>
      <w:r>
        <w:t>根据回顾评价结论</w:t>
      </w:r>
      <w:r>
        <w:rPr>
          <w:rFonts w:hint="eastAsia"/>
        </w:rPr>
        <w:t>，</w:t>
      </w:r>
      <w:r>
        <w:t>矿区在开展生态建设后</w:t>
      </w:r>
      <w:r>
        <w:rPr>
          <w:rFonts w:hint="eastAsia"/>
        </w:rPr>
        <w:t>，</w:t>
      </w:r>
      <w:r>
        <w:t>矿区生态明显好转</w:t>
      </w:r>
      <w:r>
        <w:rPr>
          <w:rFonts w:hint="eastAsia"/>
        </w:rPr>
        <w:t>。</w:t>
      </w:r>
    </w:p>
    <w:p w14:paraId="31248F06" w14:textId="77777777" w:rsidR="009C353B" w:rsidRDefault="00000000">
      <w:pPr>
        <w:tabs>
          <w:tab w:val="left" w:pos="6480"/>
        </w:tabs>
        <w:autoSpaceDE w:val="0"/>
        <w:autoSpaceDN w:val="0"/>
        <w:adjustRightInd w:val="0"/>
        <w:snapToGrid w:val="0"/>
        <w:spacing w:line="440" w:lineRule="exact"/>
        <w:ind w:firstLineChars="200" w:firstLine="480"/>
        <w:rPr>
          <w:rFonts w:hint="eastAsia"/>
        </w:rPr>
      </w:pPr>
      <w:r>
        <w:rPr>
          <w:rFonts w:hint="eastAsia"/>
        </w:rPr>
        <w:t>总体</w:t>
      </w:r>
      <w:r>
        <w:t>而言，矿区井工矿开采沉陷影响</w:t>
      </w:r>
      <w:r>
        <w:rPr>
          <w:rFonts w:ascii="Times New Roman"/>
        </w:rPr>
        <w:t>主要是形成地表裂缝</w:t>
      </w:r>
      <w:r>
        <w:rPr>
          <w:rFonts w:ascii="Times New Roman" w:hint="eastAsia"/>
        </w:rPr>
        <w:t>、沉降台阶及沉陷坑，</w:t>
      </w:r>
      <w:r>
        <w:t>在按照评价提出措施</w:t>
      </w:r>
      <w:r>
        <w:rPr>
          <w:rFonts w:hint="eastAsia"/>
        </w:rPr>
        <w:t>进行生</w:t>
      </w:r>
      <w:r>
        <w:t>态整治后，</w:t>
      </w:r>
      <w:r>
        <w:rPr>
          <w:rFonts w:hint="eastAsia"/>
        </w:rPr>
        <w:t>开采</w:t>
      </w:r>
      <w:r>
        <w:t>沉陷</w:t>
      </w:r>
      <w:r>
        <w:rPr>
          <w:rFonts w:hint="eastAsia"/>
        </w:rPr>
        <w:t>对生态影响较小</w:t>
      </w:r>
      <w:r>
        <w:t>。</w:t>
      </w:r>
    </w:p>
    <w:p w14:paraId="628FAA2D"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13.4.2 </w:t>
      </w:r>
      <w:r>
        <w:rPr>
          <w:rFonts w:ascii="Times New Roman" w:hAnsi="Times New Roman"/>
          <w:sz w:val="24"/>
        </w:rPr>
        <w:t>地下水环境影响</w:t>
      </w:r>
    </w:p>
    <w:p w14:paraId="3C8067C0" w14:textId="77777777" w:rsidR="009C353B" w:rsidRDefault="00000000">
      <w:pPr>
        <w:spacing w:line="440" w:lineRule="exact"/>
        <w:ind w:firstLineChars="200" w:firstLine="480"/>
        <w:rPr>
          <w:rFonts w:ascii="Times New Roman" w:hAnsi="Times New Roman"/>
          <w:bCs/>
          <w:szCs w:val="24"/>
        </w:rPr>
      </w:pPr>
      <w:r>
        <w:rPr>
          <w:rFonts w:ascii="Times New Roman" w:hAnsi="Times New Roman"/>
          <w:bCs/>
          <w:szCs w:val="24"/>
        </w:rPr>
        <w:t>（</w:t>
      </w:r>
      <w:r>
        <w:rPr>
          <w:rFonts w:ascii="Times New Roman" w:hAnsi="Times New Roman" w:hint="eastAsia"/>
          <w:bCs/>
          <w:szCs w:val="24"/>
        </w:rPr>
        <w:t>1</w:t>
      </w:r>
      <w:r>
        <w:rPr>
          <w:rFonts w:ascii="Times New Roman" w:hAnsi="Times New Roman"/>
          <w:bCs/>
          <w:szCs w:val="24"/>
        </w:rPr>
        <w:t>）煤</w:t>
      </w:r>
      <w:r>
        <w:rPr>
          <w:rFonts w:ascii="Times New Roman" w:hAnsi="Times New Roman" w:hint="eastAsia"/>
          <w:bCs/>
          <w:szCs w:val="24"/>
        </w:rPr>
        <w:t>矿</w:t>
      </w:r>
      <w:r>
        <w:rPr>
          <w:rFonts w:ascii="Times New Roman" w:hAnsi="Times New Roman"/>
          <w:bCs/>
          <w:szCs w:val="24"/>
        </w:rPr>
        <w:t>开采对各含水层影响分析</w:t>
      </w:r>
    </w:p>
    <w:p w14:paraId="2518FDB4"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1</w:t>
      </w:r>
      <w:r>
        <w:rPr>
          <w:rFonts w:ascii="Times New Roman" w:hAnsi="Times New Roman"/>
          <w:szCs w:val="24"/>
        </w:rPr>
        <w:t>）煤</w:t>
      </w:r>
      <w:r>
        <w:rPr>
          <w:rFonts w:ascii="Times New Roman" w:hAnsi="Times New Roman" w:hint="eastAsia"/>
          <w:szCs w:val="24"/>
        </w:rPr>
        <w:t>矿</w:t>
      </w:r>
      <w:r>
        <w:rPr>
          <w:rFonts w:ascii="Times New Roman" w:hAnsi="Times New Roman"/>
          <w:szCs w:val="24"/>
        </w:rPr>
        <w:t>开采对</w:t>
      </w:r>
      <w:r>
        <w:rPr>
          <w:rFonts w:ascii="Times New Roman" w:hAnsi="Times New Roman" w:hint="eastAsia"/>
          <w:szCs w:val="24"/>
        </w:rPr>
        <w:t>第四系</w:t>
      </w:r>
      <w:r>
        <w:rPr>
          <w:rFonts w:ascii="Times New Roman" w:hAnsi="Times New Roman"/>
          <w:szCs w:val="24"/>
        </w:rPr>
        <w:t>松散孔隙潜水含水</w:t>
      </w:r>
      <w:r>
        <w:rPr>
          <w:rFonts w:ascii="Times New Roman" w:hAnsi="Times New Roman" w:hint="eastAsia"/>
          <w:szCs w:val="24"/>
        </w:rPr>
        <w:t>岩组</w:t>
      </w:r>
      <w:r>
        <w:rPr>
          <w:rFonts w:ascii="Times New Roman" w:hAnsi="Times New Roman"/>
          <w:szCs w:val="24"/>
        </w:rPr>
        <w:t>（</w:t>
      </w:r>
      <w:r>
        <w:rPr>
          <w:rFonts w:ascii="Times New Roman" w:hAnsi="Times New Roman"/>
          <w:szCs w:val="24"/>
        </w:rPr>
        <w:t>I</w:t>
      </w:r>
      <w:r>
        <w:rPr>
          <w:rFonts w:ascii="Times New Roman" w:hAnsi="Times New Roman"/>
          <w:szCs w:val="24"/>
        </w:rPr>
        <w:t>）的影响</w:t>
      </w:r>
    </w:p>
    <w:p w14:paraId="4AC9AAC5"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在煤系地层与第四系浅部含水层之间存在古近系清水营组粘土隔水层</w:t>
      </w:r>
      <w:r>
        <w:rPr>
          <w:rFonts w:ascii="Times New Roman" w:hAnsi="Times New Roman" w:hint="eastAsia"/>
          <w:szCs w:val="24"/>
        </w:rPr>
        <w:t>，导水裂缝带大多仅进入二叠系石盒子组，距第四系</w:t>
      </w:r>
      <w:r>
        <w:rPr>
          <w:rFonts w:ascii="Times New Roman" w:hAnsi="Times New Roman" w:hint="eastAsia"/>
          <w:szCs w:val="24"/>
        </w:rPr>
        <w:t>208.31~1128.01m</w:t>
      </w:r>
      <w:r>
        <w:rPr>
          <w:rFonts w:ascii="Times New Roman" w:hAnsi="Times New Roman" w:hint="eastAsia"/>
          <w:szCs w:val="24"/>
        </w:rPr>
        <w:t>，矿区内开采煤层导裂带不会导入浅部第四系孔隙潜水含水层。</w:t>
      </w:r>
      <w:r>
        <w:rPr>
          <w:rFonts w:ascii="Times New Roman" w:hAnsi="Times New Roman"/>
          <w:szCs w:val="24"/>
        </w:rPr>
        <w:t>因此，</w:t>
      </w:r>
      <w:r>
        <w:rPr>
          <w:rFonts w:ascii="Times New Roman" w:hAnsi="Times New Roman" w:hint="eastAsia"/>
          <w:szCs w:val="24"/>
        </w:rPr>
        <w:t>评价认为</w:t>
      </w:r>
      <w:r>
        <w:rPr>
          <w:rFonts w:ascii="Times New Roman" w:hAnsi="Times New Roman"/>
          <w:szCs w:val="24"/>
        </w:rPr>
        <w:t>对第四系松散孔隙潜水含水层影响</w:t>
      </w:r>
      <w:r>
        <w:rPr>
          <w:rFonts w:ascii="Times New Roman" w:hAnsi="Times New Roman" w:hint="eastAsia"/>
          <w:szCs w:val="24"/>
        </w:rPr>
        <w:t>较小</w:t>
      </w:r>
      <w:r>
        <w:rPr>
          <w:rFonts w:ascii="Times New Roman" w:hAnsi="Times New Roman"/>
          <w:szCs w:val="24"/>
        </w:rPr>
        <w:t>。</w:t>
      </w:r>
    </w:p>
    <w:p w14:paraId="35A9333D"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2</w:t>
      </w:r>
      <w:r>
        <w:rPr>
          <w:rFonts w:ascii="Times New Roman" w:hAnsi="Times New Roman"/>
          <w:szCs w:val="24"/>
        </w:rPr>
        <w:t>）煤</w:t>
      </w:r>
      <w:r>
        <w:rPr>
          <w:rFonts w:ascii="Times New Roman" w:hAnsi="Times New Roman" w:hint="eastAsia"/>
          <w:szCs w:val="24"/>
        </w:rPr>
        <w:t>矿</w:t>
      </w:r>
      <w:r>
        <w:rPr>
          <w:rFonts w:ascii="Times New Roman" w:hAnsi="Times New Roman"/>
          <w:szCs w:val="24"/>
        </w:rPr>
        <w:t>开采对</w:t>
      </w:r>
      <w:r>
        <w:rPr>
          <w:rFonts w:ascii="Times New Roman" w:hAnsi="Times New Roman" w:hint="eastAsia"/>
          <w:szCs w:val="24"/>
        </w:rPr>
        <w:t>煤系上覆含水岩组</w:t>
      </w:r>
      <w:r>
        <w:rPr>
          <w:rFonts w:ascii="Times New Roman" w:hAnsi="Times New Roman"/>
          <w:szCs w:val="24"/>
        </w:rPr>
        <w:t>的影响</w:t>
      </w:r>
    </w:p>
    <w:p w14:paraId="371F85AD"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古近系清水营组孔隙裂隙承压水含水岩组</w:t>
      </w:r>
      <w:r>
        <w:rPr>
          <w:rFonts w:ascii="Times New Roman" w:hAnsi="Times New Roman" w:hint="eastAsia"/>
          <w:szCs w:val="24"/>
        </w:rPr>
        <w:t>：丁家梁煤矿导水裂缝带距古近系</w:t>
      </w:r>
      <w:r>
        <w:rPr>
          <w:rFonts w:ascii="Times New Roman" w:hAnsi="Times New Roman"/>
          <w:szCs w:val="24"/>
        </w:rPr>
        <w:t>133.29~1097.51m</w:t>
      </w:r>
      <w:r>
        <w:rPr>
          <w:rFonts w:ascii="Times New Roman" w:hAnsi="Times New Roman"/>
          <w:szCs w:val="24"/>
        </w:rPr>
        <w:t>，仅导入二叠系石盒子组</w:t>
      </w:r>
      <w:r>
        <w:rPr>
          <w:rFonts w:ascii="Times New Roman" w:hAnsi="Times New Roman" w:hint="eastAsia"/>
          <w:szCs w:val="24"/>
        </w:rPr>
        <w:t>，影响不到古近系含水层。要注意在矿区煤层隐伏露头、煤层埋深较浅处附近局部地带</w:t>
      </w:r>
      <w:r>
        <w:rPr>
          <w:rFonts w:ascii="Times New Roman" w:hAnsi="Times New Roman"/>
          <w:szCs w:val="24"/>
        </w:rPr>
        <w:t>，导水裂隙可沟通古近系底部地下水与煤系地下水，古近系含水层成为矿井直接充水含水层，故应加强对该组含水层的观测，并在煤层隐伏露头、煤层埋深较浅处附近，建议合理设置保护煤柱。</w:t>
      </w:r>
    </w:p>
    <w:p w14:paraId="4F580182"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白垩系保安群砾岩层</w:t>
      </w:r>
      <w:r>
        <w:rPr>
          <w:rFonts w:ascii="Times New Roman" w:hAnsi="Times New Roman" w:hint="eastAsia"/>
          <w:szCs w:val="24"/>
        </w:rPr>
        <w:t>：</w:t>
      </w:r>
      <w:r>
        <w:rPr>
          <w:rFonts w:ascii="Times New Roman" w:hAnsi="Times New Roman"/>
          <w:szCs w:val="24"/>
        </w:rPr>
        <w:t>见于丁家梁煤矿西部</w:t>
      </w:r>
      <w:r>
        <w:rPr>
          <w:rFonts w:ascii="Times New Roman" w:hAnsi="Times New Roman" w:hint="eastAsia"/>
          <w:szCs w:val="24"/>
        </w:rPr>
        <w:t>（原甜水河井田）</w:t>
      </w:r>
      <w:r>
        <w:rPr>
          <w:rFonts w:ascii="Times New Roman" w:hAnsi="Times New Roman"/>
          <w:szCs w:val="24"/>
        </w:rPr>
        <w:t>东梁以西</w:t>
      </w:r>
      <w:r>
        <w:rPr>
          <w:rFonts w:ascii="Times New Roman" w:hAnsi="Times New Roman" w:hint="eastAsia"/>
          <w:szCs w:val="24"/>
        </w:rPr>
        <w:t>，大部分地段不在本次规划范围内，仅井田西边界局部地段发育该组；任家庄煤矿仅出露于西部马鞍山东麓，矿区其余地段因剥蚀缺失。导水裂缝带发育高度除隐伏露头及埋藏较浅局部地段外，仅导入二叠系石盒子组，评价认为煤矿开采对白垩系保安群砾岩孔隙裂隙承压含水岩组（</w:t>
      </w:r>
      <w:r>
        <w:rPr>
          <w:rFonts w:ascii="Times New Roman" w:hAnsi="Times New Roman"/>
          <w:szCs w:val="24"/>
        </w:rPr>
        <w:t>III</w:t>
      </w:r>
      <w:r>
        <w:rPr>
          <w:rFonts w:ascii="Times New Roman" w:hAnsi="Times New Roman"/>
          <w:szCs w:val="24"/>
        </w:rPr>
        <w:t>）影响可以接受。虽该组在矿区内分布有限，但由于白垩系砾岩含水层厚度大，富水性较好，且与下伏地层的水力联系较为密切，矿山建设后期应对白垩系砾岩含水层予以足够的重视。</w:t>
      </w:r>
    </w:p>
    <w:p w14:paraId="7E3EB2E3"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二叠系石千峰群、石盒子组砂岩层间裂隙承压水含水岩组</w:t>
      </w:r>
      <w:r>
        <w:rPr>
          <w:rFonts w:ascii="Times New Roman" w:hAnsi="Times New Roman" w:hint="eastAsia"/>
          <w:szCs w:val="24"/>
        </w:rPr>
        <w:t>：含水岩组整体</w:t>
      </w:r>
      <w:r>
        <w:rPr>
          <w:rFonts w:ascii="Times New Roman" w:hAnsi="Times New Roman"/>
          <w:szCs w:val="24"/>
        </w:rPr>
        <w:t>富水性弱</w:t>
      </w:r>
      <w:r>
        <w:rPr>
          <w:rFonts w:ascii="Times New Roman" w:hAnsi="Times New Roman" w:hint="eastAsia"/>
          <w:szCs w:val="24"/>
        </w:rPr>
        <w:t>，</w:t>
      </w:r>
      <w:r>
        <w:rPr>
          <w:rFonts w:ascii="Times New Roman" w:hAnsi="Times New Roman"/>
          <w:szCs w:val="24"/>
        </w:rPr>
        <w:t>与上覆</w:t>
      </w:r>
      <w:r>
        <w:rPr>
          <w:rFonts w:ascii="Times New Roman" w:hAnsi="Times New Roman" w:hint="eastAsia"/>
          <w:szCs w:val="24"/>
        </w:rPr>
        <w:t>含水层存在一定</w:t>
      </w:r>
      <w:r>
        <w:rPr>
          <w:rFonts w:ascii="Times New Roman" w:hAnsi="Times New Roman"/>
          <w:szCs w:val="24"/>
        </w:rPr>
        <w:t>水力联系</w:t>
      </w:r>
      <w:r>
        <w:rPr>
          <w:rFonts w:ascii="Times New Roman" w:hAnsi="Times New Roman" w:hint="eastAsia"/>
          <w:szCs w:val="24"/>
        </w:rPr>
        <w:t>。</w:t>
      </w:r>
      <w:r>
        <w:rPr>
          <w:rFonts w:ascii="Times New Roman" w:hAnsi="Times New Roman"/>
          <w:szCs w:val="24"/>
        </w:rPr>
        <w:t>开采一煤、三煤层所形成的导水裂缝带导入二叠系石盒子组，导入高度最大为</w:t>
      </w:r>
      <w:r>
        <w:rPr>
          <w:rFonts w:ascii="Times New Roman" w:hAnsi="Times New Roman"/>
          <w:szCs w:val="24"/>
        </w:rPr>
        <w:t>67.33m</w:t>
      </w:r>
      <w:r>
        <w:rPr>
          <w:rFonts w:ascii="Times New Roman" w:hAnsi="Times New Roman"/>
          <w:szCs w:val="24"/>
        </w:rPr>
        <w:t>。上覆二叠系石千峰群、石盒子组砂岩层间裂隙承压水含水岩组（</w:t>
      </w:r>
      <w:r>
        <w:rPr>
          <w:rFonts w:ascii="Times New Roman" w:hAnsi="Times New Roman"/>
          <w:szCs w:val="24"/>
        </w:rPr>
        <w:t>IV</w:t>
      </w:r>
      <w:r>
        <w:rPr>
          <w:rFonts w:ascii="Times New Roman" w:hAnsi="Times New Roman"/>
          <w:szCs w:val="24"/>
        </w:rPr>
        <w:t>）将随着煤矿的开采逐渐被疏干，局部地段造成含水层破坏，</w:t>
      </w:r>
      <w:r>
        <w:rPr>
          <w:rFonts w:ascii="Times New Roman" w:hAnsi="Times New Roman" w:hint="eastAsia"/>
          <w:szCs w:val="24"/>
        </w:rPr>
        <w:t>且可能影响古近系含水层。因此，</w:t>
      </w:r>
      <w:r>
        <w:rPr>
          <w:rFonts w:ascii="Times New Roman" w:hAnsi="Times New Roman"/>
          <w:szCs w:val="24"/>
        </w:rPr>
        <w:t>评价认为煤矿开采</w:t>
      </w:r>
      <w:r>
        <w:rPr>
          <w:rFonts w:ascii="Times New Roman" w:hAnsi="Times New Roman" w:hint="eastAsia"/>
          <w:szCs w:val="24"/>
        </w:rPr>
        <w:t>对</w:t>
      </w:r>
      <w:r>
        <w:rPr>
          <w:rFonts w:ascii="Times New Roman" w:hAnsi="Times New Roman"/>
          <w:szCs w:val="24"/>
        </w:rPr>
        <w:t>二叠系石千峰群、石盒子组砂岩层间裂隙承压水含水岩组（</w:t>
      </w:r>
      <w:r>
        <w:rPr>
          <w:rFonts w:ascii="Times New Roman" w:hAnsi="Times New Roman"/>
          <w:szCs w:val="24"/>
        </w:rPr>
        <w:t>IV</w:t>
      </w:r>
      <w:r>
        <w:rPr>
          <w:rFonts w:ascii="Times New Roman" w:hAnsi="Times New Roman"/>
          <w:szCs w:val="24"/>
        </w:rPr>
        <w:t>）影响</w:t>
      </w:r>
      <w:r>
        <w:rPr>
          <w:rFonts w:ascii="Times New Roman" w:hAnsi="Times New Roman" w:hint="eastAsia"/>
          <w:szCs w:val="24"/>
        </w:rPr>
        <w:t>较大</w:t>
      </w:r>
      <w:r>
        <w:rPr>
          <w:rFonts w:ascii="Times New Roman" w:hAnsi="Times New Roman"/>
          <w:szCs w:val="24"/>
        </w:rPr>
        <w:t>。</w:t>
      </w:r>
    </w:p>
    <w:p w14:paraId="4661A66D"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szCs w:val="24"/>
        </w:rPr>
        <w:t>3</w:t>
      </w:r>
      <w:r>
        <w:rPr>
          <w:rFonts w:ascii="Times New Roman" w:hAnsi="Times New Roman" w:hint="eastAsia"/>
          <w:szCs w:val="24"/>
        </w:rPr>
        <w:t>）</w:t>
      </w:r>
      <w:r>
        <w:rPr>
          <w:rFonts w:ascii="Times New Roman" w:hAnsi="Times New Roman"/>
          <w:szCs w:val="24"/>
        </w:rPr>
        <w:t xml:space="preserve"> </w:t>
      </w:r>
      <w:r>
        <w:rPr>
          <w:rFonts w:ascii="Times New Roman" w:hAnsi="Times New Roman" w:hint="eastAsia"/>
          <w:szCs w:val="24"/>
        </w:rPr>
        <w:t>煤炭开采对煤系含水层影响</w:t>
      </w:r>
    </w:p>
    <w:p w14:paraId="2B3A7618" w14:textId="77777777" w:rsidR="009C353B" w:rsidRDefault="00000000">
      <w:pPr>
        <w:adjustRightInd w:val="0"/>
        <w:spacing w:line="440" w:lineRule="exact"/>
        <w:ind w:firstLineChars="200" w:firstLine="480"/>
        <w:rPr>
          <w:rFonts w:ascii="Times New Roman" w:hAnsi="Times New Roman"/>
          <w:szCs w:val="24"/>
        </w:rPr>
      </w:pPr>
      <w:r>
        <w:rPr>
          <w:rFonts w:ascii="Times New Roman" w:hAnsi="Times New Roman" w:hint="eastAsia"/>
          <w:szCs w:val="24"/>
        </w:rPr>
        <w:t>煤系含水层为二叠系下统山西组砂岩裂隙孔隙含水层组（</w:t>
      </w:r>
      <w:r>
        <w:rPr>
          <w:rFonts w:ascii="Times New Roman" w:hAnsi="Times New Roman"/>
          <w:szCs w:val="24"/>
        </w:rPr>
        <w:t>V</w:t>
      </w:r>
      <w:r>
        <w:rPr>
          <w:rFonts w:ascii="Times New Roman" w:hAnsi="Times New Roman" w:hint="eastAsia"/>
          <w:szCs w:val="24"/>
        </w:rPr>
        <w:t>）、石炭系上统―二叠系下统太原组砂岩裂隙孔隙含水层组（</w:t>
      </w:r>
      <w:r>
        <w:rPr>
          <w:rFonts w:ascii="Times New Roman" w:hAnsi="Times New Roman"/>
          <w:szCs w:val="24"/>
        </w:rPr>
        <w:t>VI</w:t>
      </w:r>
      <w:r>
        <w:rPr>
          <w:rFonts w:ascii="Times New Roman" w:hAnsi="Times New Roman" w:hint="eastAsia"/>
          <w:szCs w:val="24"/>
        </w:rPr>
        <w:t>），是矿井直接充水含水层，煤系含水层整体富水性弱。通过分析开采各煤层导水裂缝带发育结果可知，当开采一煤、三煤及五煤，将直接破坏含水层。随着煤矿开采，承压水将沿导水裂缝带进入井内，排泄方式将由原天然排泄方式变为以人工开采排泄为主，含水层内地下水基本被疏干。煤矿开采对煤系含水层影响较大。</w:t>
      </w:r>
    </w:p>
    <w:p w14:paraId="7CD15008"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4</w:t>
      </w:r>
      <w:r>
        <w:rPr>
          <w:rFonts w:ascii="Times New Roman" w:hAnsi="Times New Roman" w:hint="eastAsia"/>
          <w:szCs w:val="24"/>
        </w:rPr>
        <w:t>）对煤系下伏含水层的影响</w:t>
      </w:r>
    </w:p>
    <w:p w14:paraId="04F83088"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煤系下伏含水层有</w:t>
      </w:r>
      <w:r>
        <w:rPr>
          <w:rFonts w:ascii="Times New Roman" w:hAnsi="Times New Roman"/>
          <w:szCs w:val="24"/>
        </w:rPr>
        <w:t>石炭系上统土坡组砂岩层间裂隙承压水</w:t>
      </w:r>
      <w:r>
        <w:rPr>
          <w:rFonts w:ascii="Times New Roman" w:hAnsi="Times New Roman" w:hint="eastAsia"/>
          <w:szCs w:val="24"/>
        </w:rPr>
        <w:t>、</w:t>
      </w:r>
      <w:r>
        <w:rPr>
          <w:rFonts w:ascii="Times New Roman" w:hAnsi="Times New Roman"/>
          <w:szCs w:val="24"/>
        </w:rPr>
        <w:t>奥陶系下统马家沟组灰岩承压含水层</w:t>
      </w:r>
      <w:r>
        <w:rPr>
          <w:rFonts w:ascii="Times New Roman" w:hAnsi="Times New Roman" w:hint="eastAsia"/>
          <w:szCs w:val="24"/>
        </w:rPr>
        <w:t>。奥</w:t>
      </w:r>
      <w:r>
        <w:rPr>
          <w:rFonts w:ascii="Times New Roman" w:hAnsi="Times New Roman"/>
          <w:szCs w:val="24"/>
        </w:rPr>
        <w:t>陶系下统马家沟组仅出露于马鞍山北部东侧，面积不足</w:t>
      </w:r>
      <w:r>
        <w:rPr>
          <w:rFonts w:ascii="Times New Roman" w:hAnsi="Times New Roman"/>
          <w:szCs w:val="24"/>
        </w:rPr>
        <w:t>1km</w:t>
      </w:r>
      <w:r>
        <w:rPr>
          <w:rFonts w:ascii="Times New Roman" w:hAnsi="Times New Roman"/>
          <w:szCs w:val="24"/>
          <w:vertAlign w:val="superscript"/>
        </w:rPr>
        <w:t>2</w:t>
      </w:r>
      <w:r>
        <w:rPr>
          <w:rFonts w:ascii="Times New Roman" w:hAnsi="Times New Roman"/>
          <w:szCs w:val="24"/>
        </w:rPr>
        <w:t>。</w:t>
      </w:r>
      <w:r>
        <w:rPr>
          <w:rFonts w:ascii="Times New Roman" w:hAnsi="Times New Roman" w:hint="eastAsia"/>
          <w:szCs w:val="24"/>
        </w:rPr>
        <w:t>奥陶系含水层上段石炭系上统土坡组以泥岩类地层为主，为巨厚的隔水岩层。因此，评价认为煤炭开采对下伏含水层影响较小。</w:t>
      </w:r>
    </w:p>
    <w:p w14:paraId="406A7AFE"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szCs w:val="24"/>
        </w:rPr>
        <w:t>2</w:t>
      </w:r>
      <w:r>
        <w:rPr>
          <w:rFonts w:ascii="Times New Roman" w:hAnsi="Times New Roman"/>
          <w:szCs w:val="24"/>
        </w:rPr>
        <w:t>）</w:t>
      </w:r>
      <w:r>
        <w:rPr>
          <w:rFonts w:ascii="Times New Roman" w:hAnsi="Times New Roman"/>
          <w:szCs w:val="24"/>
        </w:rPr>
        <w:t xml:space="preserve"> </w:t>
      </w:r>
      <w:r>
        <w:rPr>
          <w:rFonts w:ascii="Times New Roman" w:hAnsi="Times New Roman" w:hint="eastAsia"/>
          <w:szCs w:val="24"/>
        </w:rPr>
        <w:t>煤矿</w:t>
      </w:r>
      <w:r>
        <w:rPr>
          <w:rFonts w:ascii="Times New Roman" w:hAnsi="Times New Roman"/>
          <w:szCs w:val="24"/>
        </w:rPr>
        <w:t>开采对地下水水位、地下水流场的影响分析</w:t>
      </w:r>
    </w:p>
    <w:p w14:paraId="4FFD34D8"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煤层开采形成的导水裂缝带发育最大高度导入二叠系石盒子组，</w:t>
      </w:r>
      <w:r>
        <w:rPr>
          <w:rFonts w:ascii="Times New Roman" w:hAnsi="Times New Roman"/>
          <w:szCs w:val="24"/>
        </w:rPr>
        <w:t>第四系潜水含水层下部存在</w:t>
      </w:r>
      <w:r>
        <w:rPr>
          <w:rFonts w:ascii="Times New Roman" w:hAnsi="Times New Roman" w:hint="eastAsia"/>
          <w:szCs w:val="24"/>
        </w:rPr>
        <w:t>厚层</w:t>
      </w:r>
      <w:r>
        <w:rPr>
          <w:rFonts w:ascii="Times New Roman" w:hAnsi="Times New Roman"/>
          <w:szCs w:val="24"/>
        </w:rPr>
        <w:t>古近系清水营组粘土隔水层，</w:t>
      </w:r>
      <w:r>
        <w:rPr>
          <w:rFonts w:ascii="Times New Roman" w:hAnsi="Times New Roman" w:hint="eastAsia"/>
          <w:szCs w:val="24"/>
        </w:rPr>
        <w:t>阻隔了第四系含水层与深层含水层的水力联系，同时考虑到矿区内第四系多为透水不含水层，含水区域主要在沟谷中分布，评价认为</w:t>
      </w:r>
      <w:r>
        <w:rPr>
          <w:rFonts w:ascii="Times New Roman" w:hAnsi="Times New Roman"/>
          <w:szCs w:val="24"/>
        </w:rPr>
        <w:t>煤炭开采范围内对浅部第四系含水层水位、地下水流场影响较小。</w:t>
      </w:r>
      <w:r>
        <w:rPr>
          <w:rFonts w:ascii="Times New Roman" w:hAnsi="Times New Roman" w:hint="eastAsia"/>
          <w:szCs w:val="24"/>
        </w:rPr>
        <w:t>导裂带虽基本不会导入古近系，但古近系清水营组孔隙裂隙承压水含水层与下部岩组存在一定的弱渗透补给，由于矿区基岩含水层总体富水性弱，渗透能力差，故对古近系清水营组孔隙裂隙承压水含水层</w:t>
      </w:r>
      <w:r>
        <w:rPr>
          <w:rFonts w:ascii="Times New Roman" w:hAnsi="Times New Roman"/>
          <w:szCs w:val="24"/>
        </w:rPr>
        <w:t>总体影响较小。</w:t>
      </w:r>
      <w:r>
        <w:rPr>
          <w:rFonts w:ascii="Times New Roman" w:hAnsi="Times New Roman" w:hint="eastAsia"/>
          <w:szCs w:val="24"/>
        </w:rPr>
        <w:t>煤系上覆二叠系石盒子组含水层、二叠系山西组</w:t>
      </w:r>
      <w:r>
        <w:rPr>
          <w:rFonts w:ascii="Times New Roman" w:hAnsi="Times New Roman"/>
          <w:szCs w:val="24"/>
        </w:rPr>
        <w:t>~</w:t>
      </w:r>
      <w:r>
        <w:rPr>
          <w:rFonts w:ascii="Times New Roman" w:hAnsi="Times New Roman"/>
          <w:szCs w:val="24"/>
        </w:rPr>
        <w:t>石炭系太原组煤系含水层</w:t>
      </w:r>
      <w:r>
        <w:rPr>
          <w:rFonts w:ascii="Times New Roman" w:hAnsi="Times New Roman" w:hint="eastAsia"/>
          <w:szCs w:val="24"/>
        </w:rPr>
        <w:t>中的</w:t>
      </w:r>
      <w:r>
        <w:rPr>
          <w:rFonts w:ascii="Times New Roman" w:hAnsi="Times New Roman"/>
          <w:szCs w:val="24"/>
        </w:rPr>
        <w:t>地下水流场由原先自然流场状态，在矿区煤矿开采区内转为向煤矿井下排泄，地下水位逐年下降，所形成的地下水降落漏斗的范围及深度也会越来越大</w:t>
      </w:r>
      <w:r>
        <w:rPr>
          <w:rFonts w:ascii="Times New Roman" w:hAnsi="Times New Roman" w:hint="eastAsia"/>
          <w:szCs w:val="24"/>
        </w:rPr>
        <w:t>，煤炭开采对二叠系石盒子组、山西组</w:t>
      </w:r>
      <w:r>
        <w:rPr>
          <w:rFonts w:ascii="Times New Roman" w:hAnsi="Times New Roman" w:hint="eastAsia"/>
          <w:szCs w:val="24"/>
        </w:rPr>
        <w:t>~</w:t>
      </w:r>
      <w:r>
        <w:rPr>
          <w:rFonts w:ascii="Times New Roman" w:hAnsi="Times New Roman" w:hint="eastAsia"/>
          <w:szCs w:val="24"/>
        </w:rPr>
        <w:t>太原组含水层</w:t>
      </w:r>
      <w:r>
        <w:rPr>
          <w:rFonts w:ascii="Times New Roman" w:hAnsi="Times New Roman"/>
          <w:szCs w:val="24"/>
        </w:rPr>
        <w:t>地下水水位、地下水流场影响较大。</w:t>
      </w:r>
    </w:p>
    <w:p w14:paraId="3FE122C0"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szCs w:val="24"/>
        </w:rPr>
        <w:t>）</w:t>
      </w:r>
      <w:r>
        <w:rPr>
          <w:rFonts w:ascii="Times New Roman" w:hAnsi="Times New Roman"/>
          <w:szCs w:val="24"/>
        </w:rPr>
        <w:t xml:space="preserve"> </w:t>
      </w:r>
      <w:r>
        <w:rPr>
          <w:rFonts w:ascii="Times New Roman" w:hAnsi="Times New Roman" w:hint="eastAsia"/>
          <w:szCs w:val="24"/>
        </w:rPr>
        <w:t>煤矿</w:t>
      </w:r>
      <w:r>
        <w:rPr>
          <w:rFonts w:ascii="Times New Roman" w:hAnsi="Times New Roman"/>
          <w:szCs w:val="24"/>
        </w:rPr>
        <w:t>开采对地下水资源量的影响分析</w:t>
      </w:r>
    </w:p>
    <w:p w14:paraId="3AFF0940"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煤矿开采对地下水资源的影响主要表现为随着煤层开采后形成的采空区顶板岩石（层）的冒落，致使采空区上覆含水层遭到破坏，原来赋存于含水层中的地下水在短时间内疏干而造成地下水资源的损失。本项目正常情况下将对煤系上覆含水岩组（二叠系石千峰群、石盒子组砂岩层间裂隙承压水含水岩组）及煤系含水岩组（二叠系山西组、石炭系上统太原组裂隙承压水含水层组）的水资源造成破坏。根据各矿地质、水文地质资料，矿区内煤系上覆含水层、煤系含水层总体矿化度高，均不具供水意义。且横城矿区各矿井下疏排水均进行了综合利用，不会造成大量地下水资源的浪费和损失。</w:t>
      </w:r>
    </w:p>
    <w:p w14:paraId="6512AC7F"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4</w:t>
      </w:r>
      <w:r>
        <w:rPr>
          <w:rFonts w:ascii="Times New Roman" w:hAnsi="Times New Roman"/>
          <w:szCs w:val="24"/>
        </w:rPr>
        <w:t>）</w:t>
      </w:r>
      <w:r>
        <w:rPr>
          <w:rFonts w:ascii="Times New Roman" w:hAnsi="Times New Roman"/>
          <w:szCs w:val="24"/>
        </w:rPr>
        <w:t xml:space="preserve"> </w:t>
      </w:r>
      <w:r>
        <w:rPr>
          <w:rFonts w:ascii="Times New Roman" w:hAnsi="Times New Roman" w:hint="eastAsia"/>
          <w:szCs w:val="24"/>
        </w:rPr>
        <w:t>煤矿</w:t>
      </w:r>
      <w:r>
        <w:rPr>
          <w:rFonts w:ascii="Times New Roman" w:hAnsi="Times New Roman"/>
          <w:szCs w:val="24"/>
        </w:rPr>
        <w:t>开采对地下水水质的影响分析</w:t>
      </w:r>
    </w:p>
    <w:p w14:paraId="18707295"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根据矿区汇编资料及各矿地质、水文地质资料，矿区地下水水质总体较差。</w:t>
      </w:r>
    </w:p>
    <w:p w14:paraId="2CE88DEE" w14:textId="77777777" w:rsidR="009C353B" w:rsidRDefault="00000000">
      <w:pPr>
        <w:spacing w:line="440" w:lineRule="exact"/>
        <w:ind w:firstLine="464"/>
        <w:rPr>
          <w:rFonts w:ascii="Times New Roman" w:hAnsi="Times New Roman"/>
          <w:szCs w:val="24"/>
        </w:rPr>
      </w:pPr>
      <w:r>
        <w:rPr>
          <w:rFonts w:ascii="Times New Roman" w:hAnsi="Times New Roman" w:hint="eastAsia"/>
          <w:szCs w:val="24"/>
        </w:rPr>
        <w:t>煤系上覆含水岩组及煤系含水岩组（中的地下水通过导水裂隙带、掘进巷道流入开采区而被疏排，以矿井水的形式排出。因含水层总体富水性弱，透水性与导水性能差，地下水的补给条件与径流条件均较差，疏排水量有限，排出的矿井水经处理站处理后均全部回用。在煤层隐伏露头及煤层埋深较浅处，可能会影响到上覆白垩系含水层、古近系含水层，但白垩系在矿区分布有限，且与可能受到影响的古近系含水层中地下水只可能是向下流入煤层中，随矿井涌水排出，经处理站处理，不影响上覆含水层水质。评价认为煤矿开采对地下水水质影响较小。</w:t>
      </w:r>
    </w:p>
    <w:p w14:paraId="7099A818"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5</w:t>
      </w:r>
      <w:r>
        <w:rPr>
          <w:rFonts w:ascii="Times New Roman" w:hAnsi="Times New Roman" w:hint="eastAsia"/>
          <w:szCs w:val="24"/>
        </w:rPr>
        <w:t>）</w:t>
      </w:r>
      <w:r>
        <w:rPr>
          <w:rFonts w:ascii="Times New Roman" w:hAnsi="Times New Roman"/>
          <w:szCs w:val="24"/>
        </w:rPr>
        <w:t>煤炭开采对大河子沟的影响分析</w:t>
      </w:r>
      <w:r>
        <w:rPr>
          <w:rFonts w:ascii="Times New Roman" w:hAnsi="Times New Roman"/>
          <w:szCs w:val="24"/>
        </w:rPr>
        <w:t xml:space="preserve"> </w:t>
      </w:r>
    </w:p>
    <w:p w14:paraId="51D2893E" w14:textId="77777777" w:rsidR="009C353B" w:rsidRDefault="00000000">
      <w:pPr>
        <w:spacing w:line="440" w:lineRule="exact"/>
        <w:ind w:firstLine="480"/>
        <w:rPr>
          <w:rFonts w:ascii="Times New Roman" w:hAnsi="Times New Roman"/>
          <w:b/>
          <w:szCs w:val="24"/>
        </w:rPr>
      </w:pPr>
      <w:r>
        <w:rPr>
          <w:rFonts w:ascii="Times New Roman" w:hAnsi="Times New Roman"/>
          <w:szCs w:val="24"/>
        </w:rPr>
        <w:t>开采区距离</w:t>
      </w:r>
      <w:r>
        <w:rPr>
          <w:rFonts w:ascii="Times New Roman" w:hAnsi="Times New Roman" w:hint="eastAsia"/>
          <w:szCs w:val="24"/>
        </w:rPr>
        <w:t>大河子沟</w:t>
      </w:r>
      <w:r>
        <w:rPr>
          <w:rFonts w:ascii="Times New Roman" w:hAnsi="Times New Roman"/>
          <w:szCs w:val="24"/>
        </w:rPr>
        <w:t>沟谷距离较远</w:t>
      </w:r>
      <w:r>
        <w:rPr>
          <w:rFonts w:ascii="Times New Roman" w:hAnsi="Times New Roman" w:hint="eastAsia"/>
          <w:szCs w:val="24"/>
        </w:rPr>
        <w:t>，</w:t>
      </w:r>
      <w:r>
        <w:rPr>
          <w:rFonts w:ascii="Times New Roman" w:hAnsi="Times New Roman"/>
          <w:szCs w:val="24"/>
        </w:rPr>
        <w:t>根据</w:t>
      </w:r>
      <w:r>
        <w:rPr>
          <w:rFonts w:ascii="Times New Roman" w:hAnsi="Times New Roman" w:hint="eastAsia"/>
          <w:szCs w:val="24"/>
        </w:rPr>
        <w:t>前面</w:t>
      </w:r>
      <w:r>
        <w:rPr>
          <w:rFonts w:ascii="Times New Roman" w:hAnsi="Times New Roman"/>
          <w:szCs w:val="24"/>
        </w:rPr>
        <w:t>煤层开采导水裂缝带发育高度预测结果可知，井田内导水裂缝带不会导</w:t>
      </w:r>
      <w:r>
        <w:rPr>
          <w:rFonts w:ascii="Times New Roman" w:hAnsi="Times New Roman" w:hint="eastAsia"/>
          <w:szCs w:val="24"/>
        </w:rPr>
        <w:t>入</w:t>
      </w:r>
      <w:r>
        <w:rPr>
          <w:rFonts w:ascii="Times New Roman" w:hAnsi="Times New Roman"/>
          <w:szCs w:val="24"/>
        </w:rPr>
        <w:t>第四系含水层。根据沉陷预测结果，开采造成的塌陷影响</w:t>
      </w:r>
      <w:r>
        <w:rPr>
          <w:rFonts w:ascii="Times New Roman" w:hAnsi="Times New Roman" w:hint="eastAsia"/>
          <w:szCs w:val="24"/>
        </w:rPr>
        <w:t>半径</w:t>
      </w:r>
      <w:r>
        <w:rPr>
          <w:rFonts w:ascii="Times New Roman" w:hAnsi="Times New Roman"/>
          <w:szCs w:val="24"/>
        </w:rPr>
        <w:t>约</w:t>
      </w:r>
      <w:r>
        <w:rPr>
          <w:rFonts w:ascii="Times New Roman" w:hAnsi="Times New Roman" w:hint="eastAsia"/>
          <w:szCs w:val="24"/>
        </w:rPr>
        <w:t>460</w:t>
      </w:r>
      <w:r>
        <w:rPr>
          <w:rFonts w:ascii="Times New Roman" w:hAnsi="Times New Roman"/>
          <w:szCs w:val="24"/>
        </w:rPr>
        <w:t>m</w:t>
      </w:r>
      <w:r>
        <w:rPr>
          <w:rFonts w:ascii="Times New Roman" w:hAnsi="Times New Roman"/>
          <w:szCs w:val="24"/>
        </w:rPr>
        <w:t>，</w:t>
      </w:r>
      <w:r>
        <w:rPr>
          <w:rFonts w:ascii="Times New Roman" w:hAnsi="Times New Roman" w:hint="eastAsia"/>
          <w:szCs w:val="24"/>
        </w:rPr>
        <w:t>开采边界与大河子沟</w:t>
      </w:r>
      <w:r>
        <w:rPr>
          <w:rFonts w:ascii="Times New Roman" w:hAnsi="Times New Roman"/>
          <w:szCs w:val="24"/>
        </w:rPr>
        <w:t>最近距离约</w:t>
      </w:r>
      <w:r>
        <w:rPr>
          <w:rFonts w:ascii="Times New Roman" w:hAnsi="Times New Roman" w:hint="eastAsia"/>
          <w:szCs w:val="24"/>
        </w:rPr>
        <w:t>1388</w:t>
      </w:r>
      <w:r>
        <w:rPr>
          <w:rFonts w:ascii="Times New Roman" w:hAnsi="Times New Roman"/>
          <w:szCs w:val="24"/>
        </w:rPr>
        <w:t>m</w:t>
      </w:r>
      <w:r>
        <w:rPr>
          <w:rFonts w:ascii="Times New Roman" w:hAnsi="Times New Roman"/>
          <w:szCs w:val="24"/>
        </w:rPr>
        <w:t>，不会受煤炭开采沉陷的直接影响。因此</w:t>
      </w:r>
      <w:r>
        <w:rPr>
          <w:rFonts w:ascii="Times New Roman" w:hAnsi="Times New Roman" w:hint="eastAsia"/>
          <w:szCs w:val="24"/>
        </w:rPr>
        <w:t>，认为</w:t>
      </w:r>
      <w:r>
        <w:rPr>
          <w:rFonts w:ascii="Times New Roman" w:hAnsi="Times New Roman"/>
          <w:szCs w:val="24"/>
        </w:rPr>
        <w:t>煤炭开采对</w:t>
      </w:r>
      <w:r>
        <w:rPr>
          <w:rFonts w:ascii="Times New Roman" w:hAnsi="Times New Roman" w:hint="eastAsia"/>
          <w:szCs w:val="24"/>
        </w:rPr>
        <w:t>大河子沟</w:t>
      </w:r>
      <w:r>
        <w:rPr>
          <w:rFonts w:ascii="Times New Roman" w:hAnsi="Times New Roman"/>
          <w:szCs w:val="24"/>
        </w:rPr>
        <w:t>及其赋存的第四系潜水影响较小。</w:t>
      </w:r>
    </w:p>
    <w:p w14:paraId="14E7F85A"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6</w:t>
      </w:r>
      <w:r>
        <w:rPr>
          <w:rFonts w:ascii="Times New Roman" w:hAnsi="Times New Roman" w:hint="eastAsia"/>
          <w:szCs w:val="24"/>
        </w:rPr>
        <w:t>）煤矿</w:t>
      </w:r>
      <w:r>
        <w:rPr>
          <w:rFonts w:ascii="Times New Roman" w:hAnsi="Times New Roman"/>
          <w:szCs w:val="24"/>
        </w:rPr>
        <w:t>开采对鸭子荡水库的影响分析</w:t>
      </w:r>
    </w:p>
    <w:p w14:paraId="222F4C98" w14:textId="77777777" w:rsidR="009C353B" w:rsidRDefault="00000000">
      <w:pPr>
        <w:spacing w:line="440" w:lineRule="exact"/>
        <w:ind w:firstLine="464"/>
        <w:rPr>
          <w:rFonts w:ascii="Times New Roman" w:hAnsi="Times New Roman"/>
          <w:szCs w:val="24"/>
        </w:rPr>
      </w:pPr>
      <w:r>
        <w:rPr>
          <w:rFonts w:ascii="Times New Roman" w:hAnsi="Times New Roman" w:hint="eastAsia"/>
          <w:bCs/>
          <w:spacing w:val="-4"/>
          <w:szCs w:val="24"/>
        </w:rPr>
        <w:t>丁家梁煤矿导水裂缝带发育高度最大发育</w:t>
      </w:r>
      <w:r>
        <w:rPr>
          <w:rFonts w:ascii="Times New Roman" w:hAnsi="Times New Roman"/>
          <w:bCs/>
          <w:spacing w:val="-4"/>
          <w:szCs w:val="24"/>
        </w:rPr>
        <w:t>高度</w:t>
      </w:r>
      <w:r>
        <w:rPr>
          <w:rFonts w:ascii="Times New Roman" w:hAnsi="Times New Roman" w:hint="eastAsia"/>
          <w:bCs/>
          <w:spacing w:val="-4"/>
          <w:szCs w:val="24"/>
        </w:rPr>
        <w:t>距古近系</w:t>
      </w:r>
      <w:r>
        <w:rPr>
          <w:rFonts w:ascii="Times New Roman" w:hAnsi="Times New Roman" w:hint="eastAsia"/>
          <w:bCs/>
          <w:spacing w:val="-4"/>
          <w:szCs w:val="24"/>
        </w:rPr>
        <w:t>133.29~1097.51m</w:t>
      </w:r>
      <w:r>
        <w:rPr>
          <w:rFonts w:ascii="Times New Roman" w:hAnsi="Times New Roman" w:hint="eastAsia"/>
          <w:bCs/>
          <w:spacing w:val="-4"/>
          <w:szCs w:val="24"/>
        </w:rPr>
        <w:t>，影响不到鸭子荡水库。</w:t>
      </w:r>
      <w:r>
        <w:rPr>
          <w:rFonts w:ascii="Times New Roman" w:hAnsi="Times New Roman" w:hint="eastAsia"/>
          <w:szCs w:val="24"/>
        </w:rPr>
        <w:t>且</w:t>
      </w:r>
      <w:r>
        <w:rPr>
          <w:rFonts w:ascii="Times New Roman" w:hAnsi="Times New Roman"/>
          <w:szCs w:val="24"/>
        </w:rPr>
        <w:t>据沉陷预测结果，开采造成的塌陷影响</w:t>
      </w:r>
      <w:r>
        <w:rPr>
          <w:rFonts w:ascii="Times New Roman" w:hAnsi="Times New Roman" w:hint="eastAsia"/>
          <w:szCs w:val="24"/>
        </w:rPr>
        <w:t>半径</w:t>
      </w:r>
      <w:r>
        <w:rPr>
          <w:rFonts w:ascii="Times New Roman" w:hAnsi="Times New Roman"/>
          <w:szCs w:val="24"/>
        </w:rPr>
        <w:t>约</w:t>
      </w:r>
      <w:r>
        <w:rPr>
          <w:rFonts w:ascii="Times New Roman" w:hAnsi="Times New Roman" w:hint="eastAsia"/>
          <w:szCs w:val="24"/>
        </w:rPr>
        <w:t>685</w:t>
      </w:r>
      <w:r>
        <w:rPr>
          <w:rFonts w:ascii="Times New Roman" w:hAnsi="Times New Roman"/>
          <w:szCs w:val="24"/>
        </w:rPr>
        <w:t>m</w:t>
      </w:r>
      <w:r>
        <w:rPr>
          <w:rFonts w:ascii="Times New Roman" w:hAnsi="Times New Roman"/>
          <w:szCs w:val="24"/>
        </w:rPr>
        <w:t>，</w:t>
      </w:r>
      <w:r>
        <w:rPr>
          <w:rFonts w:ascii="Times New Roman" w:hAnsi="Times New Roman" w:hint="eastAsia"/>
          <w:szCs w:val="24"/>
        </w:rPr>
        <w:t>丁家梁井田东部开采边界距鸭子荡水库</w:t>
      </w:r>
      <w:r>
        <w:rPr>
          <w:rFonts w:ascii="Times New Roman" w:hAnsi="Times New Roman"/>
          <w:szCs w:val="24"/>
        </w:rPr>
        <w:t>最近距离约</w:t>
      </w:r>
      <w:r>
        <w:rPr>
          <w:rFonts w:ascii="Times New Roman" w:hAnsi="Times New Roman" w:hint="eastAsia"/>
          <w:szCs w:val="24"/>
        </w:rPr>
        <w:t>1k</w:t>
      </w:r>
      <w:r>
        <w:rPr>
          <w:rFonts w:ascii="Times New Roman" w:hAnsi="Times New Roman"/>
          <w:szCs w:val="24"/>
        </w:rPr>
        <w:t>m</w:t>
      </w:r>
      <w:r>
        <w:rPr>
          <w:rFonts w:ascii="Times New Roman" w:hAnsi="Times New Roman"/>
          <w:szCs w:val="24"/>
        </w:rPr>
        <w:t>，</w:t>
      </w:r>
      <w:r>
        <w:rPr>
          <w:rFonts w:ascii="Times New Roman" w:hAnsi="Times New Roman" w:hint="eastAsia"/>
          <w:szCs w:val="24"/>
        </w:rPr>
        <w:t>故水库</w:t>
      </w:r>
      <w:r>
        <w:rPr>
          <w:rFonts w:ascii="Times New Roman" w:hAnsi="Times New Roman"/>
          <w:szCs w:val="24"/>
        </w:rPr>
        <w:t>不会受煤炭开采沉陷的直接影响。</w:t>
      </w:r>
      <w:r>
        <w:rPr>
          <w:rFonts w:ascii="Times New Roman" w:hAnsi="Times New Roman" w:hint="eastAsia"/>
          <w:szCs w:val="24"/>
        </w:rPr>
        <w:t>因此，评价认为煤炭开采对鸭子荡水库影响较小。但应加强对</w:t>
      </w:r>
      <w:r>
        <w:rPr>
          <w:rFonts w:ascii="Times New Roman" w:hAnsi="Times New Roman"/>
          <w:szCs w:val="24"/>
        </w:rPr>
        <w:t>F1</w:t>
      </w:r>
      <w:r>
        <w:rPr>
          <w:rFonts w:ascii="Times New Roman" w:hAnsi="Times New Roman"/>
          <w:szCs w:val="24"/>
        </w:rPr>
        <w:t>断层、鸭子荡水库堤坝观测</w:t>
      </w:r>
      <w:r>
        <w:rPr>
          <w:rFonts w:ascii="Times New Roman" w:hAnsi="Times New Roman" w:hint="eastAsia"/>
          <w:szCs w:val="24"/>
        </w:rPr>
        <w:t>。</w:t>
      </w:r>
    </w:p>
    <w:p w14:paraId="0B9A2A08"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7</w:t>
      </w:r>
      <w:r>
        <w:rPr>
          <w:rFonts w:ascii="Times New Roman" w:hAnsi="Times New Roman" w:hint="eastAsia"/>
          <w:szCs w:val="24"/>
        </w:rPr>
        <w:t>）</w:t>
      </w:r>
      <w:r>
        <w:rPr>
          <w:rFonts w:ascii="Times New Roman" w:hAnsi="Times New Roman"/>
          <w:szCs w:val="24"/>
        </w:rPr>
        <w:t>煤矿开采对</w:t>
      </w:r>
      <w:r>
        <w:rPr>
          <w:rFonts w:ascii="Times New Roman" w:hAnsi="Times New Roman" w:hint="eastAsia"/>
          <w:szCs w:val="24"/>
        </w:rPr>
        <w:t>水洞沟</w:t>
      </w:r>
      <w:r>
        <w:rPr>
          <w:rFonts w:ascii="Times New Roman" w:hAnsi="Times New Roman"/>
          <w:szCs w:val="24"/>
        </w:rPr>
        <w:t>的影响分析</w:t>
      </w:r>
    </w:p>
    <w:p w14:paraId="344B1AF9"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煤矿开采产生的导水裂缝带影响不到水洞沟，顶板垮落产生的地表变形、地裂缝会增大储水空间，并部分增加边沟地表水、第Ⅰ含水层组、第Ⅱ含水层组的水力联系。应对马莲台、任家庄煤矿安排专人不定期的对长城边沟检查，发现裂隙立即做填堵、压实处理。据地表沉陷预测结果，红石湾受开采沉陷影响的河段下沉深度在</w:t>
      </w:r>
      <w:r>
        <w:rPr>
          <w:rFonts w:ascii="Times New Roman" w:hAnsi="Times New Roman" w:hint="eastAsia"/>
          <w:szCs w:val="24"/>
        </w:rPr>
        <w:t>0.01-5m</w:t>
      </w:r>
      <w:r>
        <w:rPr>
          <w:rFonts w:ascii="Times New Roman" w:hAnsi="Times New Roman" w:hint="eastAsia"/>
          <w:szCs w:val="24"/>
        </w:rPr>
        <w:t>之间，在局部区域可能因沉陷引起的高差变化造成水流变缓、河面扩大的情况，届时应加强观测，必要时采取疏通河道或抽水等措施，保证汇水通畅。</w:t>
      </w:r>
    </w:p>
    <w:p w14:paraId="4056806C"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8</w:t>
      </w:r>
      <w:r>
        <w:rPr>
          <w:rFonts w:ascii="Times New Roman" w:hAnsi="Times New Roman" w:hint="eastAsia"/>
          <w:szCs w:val="24"/>
        </w:rPr>
        <w:t>）煤炭开采对白芨滩自然保护区的影响分析</w:t>
      </w:r>
    </w:p>
    <w:p w14:paraId="51899164"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首先</w:t>
      </w:r>
      <w:r>
        <w:rPr>
          <w:rFonts w:ascii="Times New Roman" w:hAnsi="Times New Roman"/>
          <w:szCs w:val="24"/>
        </w:rPr>
        <w:t>白芨滩自然保护区属于荒漠生态系统，保护区内的植被主要为荒漠植被和沙生植被，主要依赖大气降水和凝结水生长，对地下水的依赖性不大；</w:t>
      </w:r>
      <w:r>
        <w:rPr>
          <w:rFonts w:ascii="Times New Roman" w:hAnsi="Times New Roman" w:hint="eastAsia"/>
          <w:szCs w:val="24"/>
        </w:rPr>
        <w:t>其次</w:t>
      </w:r>
      <w:r>
        <w:rPr>
          <w:rFonts w:ascii="Times New Roman" w:hAnsi="Times New Roman"/>
          <w:szCs w:val="24"/>
        </w:rPr>
        <w:t>矿区及保护区第四系地下水均局部发育</w:t>
      </w:r>
      <w:r>
        <w:rPr>
          <w:rFonts w:ascii="Times New Roman" w:hAnsi="Times New Roman" w:hint="eastAsia"/>
          <w:szCs w:val="24"/>
        </w:rPr>
        <w:t>，</w:t>
      </w:r>
      <w:r>
        <w:rPr>
          <w:rFonts w:ascii="Times New Roman" w:hAnsi="Times New Roman"/>
          <w:szCs w:val="24"/>
        </w:rPr>
        <w:t>根据导水裂缝带发育高度，导裂带距第四系大于</w:t>
      </w:r>
      <w:r>
        <w:rPr>
          <w:rFonts w:ascii="Times New Roman" w:hAnsi="Times New Roman"/>
          <w:szCs w:val="24"/>
        </w:rPr>
        <w:t>100m</w:t>
      </w:r>
      <w:r>
        <w:rPr>
          <w:rFonts w:ascii="Times New Roman" w:hAnsi="Times New Roman"/>
          <w:szCs w:val="24"/>
        </w:rPr>
        <w:t>，影响不到第四系含水层</w:t>
      </w:r>
      <w:r>
        <w:rPr>
          <w:rFonts w:ascii="Times New Roman" w:hAnsi="Times New Roman" w:hint="eastAsia"/>
          <w:szCs w:val="24"/>
        </w:rPr>
        <w:t>，再加上</w:t>
      </w:r>
      <w:r>
        <w:rPr>
          <w:rFonts w:ascii="Times New Roman" w:hAnsi="Times New Roman"/>
          <w:szCs w:val="24"/>
        </w:rPr>
        <w:t>第四系潜水含水层与下部基岩裂隙孔隙含水层存在厚层古近系清水营组粘土隔水层</w:t>
      </w:r>
      <w:r>
        <w:rPr>
          <w:rFonts w:ascii="Times New Roman" w:hAnsi="Times New Roman" w:hint="eastAsia"/>
          <w:szCs w:val="24"/>
        </w:rPr>
        <w:t>，潜水含水层与下部基岩裂隙孔隙含水层</w:t>
      </w:r>
      <w:r>
        <w:rPr>
          <w:rFonts w:ascii="Times New Roman" w:hAnsi="Times New Roman"/>
          <w:szCs w:val="24"/>
        </w:rPr>
        <w:t>水力联系微弱</w:t>
      </w:r>
      <w:r>
        <w:rPr>
          <w:rFonts w:ascii="Times New Roman" w:hAnsi="Times New Roman" w:hint="eastAsia"/>
          <w:szCs w:val="24"/>
        </w:rPr>
        <w:t>，</w:t>
      </w:r>
      <w:r>
        <w:rPr>
          <w:rFonts w:ascii="Times New Roman" w:hAnsi="Times New Roman"/>
          <w:szCs w:val="24"/>
        </w:rPr>
        <w:t>矿区地下开采疏排下部基岩裂隙孔隙含水层时，对第四系含水层不会产生直接影响，其间接影响也较轻微。</w:t>
      </w:r>
      <w:r>
        <w:rPr>
          <w:rFonts w:ascii="Times New Roman" w:hAnsi="Times New Roman" w:hint="eastAsia"/>
          <w:szCs w:val="24"/>
        </w:rPr>
        <w:t>保护区内的第四系含水层地下水水位、水质基本不受煤矿开采影响，基本不对白芨滩自然保护区植被产生影响。</w:t>
      </w:r>
    </w:p>
    <w:p w14:paraId="259B8139" w14:textId="77777777" w:rsidR="009C353B" w:rsidRDefault="00000000">
      <w:pPr>
        <w:keepNext/>
        <w:keepLines/>
        <w:spacing w:before="120" w:after="120" w:line="440" w:lineRule="exact"/>
        <w:outlineLvl w:val="2"/>
        <w:rPr>
          <w:rFonts w:ascii="Times New Roman" w:hAnsi="Times New Roman"/>
          <w:b/>
        </w:rPr>
      </w:pPr>
      <w:r>
        <w:rPr>
          <w:rFonts w:ascii="Times New Roman" w:hAnsi="Times New Roman"/>
          <w:b/>
        </w:rPr>
        <w:t xml:space="preserve">13.4.3 </w:t>
      </w:r>
      <w:r>
        <w:rPr>
          <w:rFonts w:ascii="Times New Roman" w:hAnsi="Times New Roman"/>
          <w:b/>
        </w:rPr>
        <w:t>地表水环境影响</w:t>
      </w:r>
    </w:p>
    <w:p w14:paraId="59B91DA7" w14:textId="77777777" w:rsidR="009C353B" w:rsidRDefault="00000000">
      <w:pPr>
        <w:adjustRightInd w:val="0"/>
        <w:snapToGrid w:val="0"/>
        <w:spacing w:line="440" w:lineRule="exact"/>
        <w:ind w:firstLine="482"/>
        <w:rPr>
          <w:rFonts w:ascii="Times New Roman" w:hAnsi="Times New Roman"/>
        </w:rPr>
      </w:pPr>
      <w:r>
        <w:rPr>
          <w:rFonts w:ascii="Times New Roman" w:hint="eastAsia"/>
          <w:szCs w:val="28"/>
        </w:rPr>
        <w:t>矿区</w:t>
      </w:r>
      <w:r>
        <w:rPr>
          <w:rFonts w:ascii="Times New Roman"/>
          <w:szCs w:val="28"/>
        </w:rPr>
        <w:t>附近主要</w:t>
      </w:r>
      <w:r>
        <w:rPr>
          <w:rFonts w:ascii="Times New Roman" w:hint="eastAsia"/>
          <w:szCs w:val="28"/>
        </w:rPr>
        <w:t>地表</w:t>
      </w:r>
      <w:r>
        <w:rPr>
          <w:rFonts w:ascii="Times New Roman"/>
          <w:szCs w:val="28"/>
        </w:rPr>
        <w:t>水体为</w:t>
      </w:r>
      <w:r>
        <w:rPr>
          <w:rFonts w:ascii="Times New Roman" w:hint="eastAsia"/>
          <w:szCs w:val="28"/>
        </w:rPr>
        <w:t>水洞沟（位于矿区北侧）、大河子沟（于矿区南侧）及鸭子荡水库</w:t>
      </w:r>
      <w:r>
        <w:rPr>
          <w:rFonts w:ascii="Times New Roman"/>
          <w:szCs w:val="28"/>
        </w:rPr>
        <w:t>。</w:t>
      </w:r>
    </w:p>
    <w:p w14:paraId="2DB3877B" w14:textId="77777777" w:rsidR="009C353B" w:rsidRDefault="00000000">
      <w:pPr>
        <w:adjustRightInd w:val="0"/>
        <w:snapToGrid w:val="0"/>
        <w:spacing w:line="440" w:lineRule="exact"/>
        <w:ind w:firstLine="482"/>
        <w:rPr>
          <w:rFonts w:ascii="Times New Roman" w:hint="eastAsia"/>
          <w:szCs w:val="28"/>
        </w:rPr>
      </w:pPr>
      <w:r>
        <w:rPr>
          <w:rFonts w:ascii="Times New Roman" w:hint="eastAsia"/>
          <w:szCs w:val="28"/>
        </w:rPr>
        <w:t>（</w:t>
      </w:r>
      <w:r>
        <w:rPr>
          <w:rFonts w:ascii="Times New Roman" w:hint="eastAsia"/>
          <w:szCs w:val="28"/>
        </w:rPr>
        <w:t>1</w:t>
      </w:r>
      <w:r>
        <w:rPr>
          <w:rFonts w:ascii="Times New Roman" w:hint="eastAsia"/>
          <w:szCs w:val="28"/>
        </w:rPr>
        <w:t>）</w:t>
      </w:r>
      <w:r>
        <w:rPr>
          <w:rFonts w:ascii="Times New Roman"/>
          <w:szCs w:val="28"/>
        </w:rPr>
        <w:t>建设期水环境影响分析</w:t>
      </w:r>
    </w:p>
    <w:p w14:paraId="5B613E2B"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建设矿井为丁家梁矿井，矿井建设</w:t>
      </w:r>
      <w:r>
        <w:rPr>
          <w:rFonts w:ascii="Times New Roman"/>
        </w:rPr>
        <w:t>施工过程中产生的水污染源主要是施工人员的生活污水及施工现场的废水。</w:t>
      </w:r>
    </w:p>
    <w:p w14:paraId="3C9AD236" w14:textId="77777777" w:rsidR="009C353B" w:rsidRDefault="00000000">
      <w:pPr>
        <w:adjustRightInd w:val="0"/>
        <w:snapToGrid w:val="0"/>
        <w:spacing w:line="440" w:lineRule="exact"/>
        <w:ind w:firstLineChars="200" w:firstLine="480"/>
        <w:rPr>
          <w:rFonts w:ascii="Times New Roman" w:hint="eastAsia"/>
        </w:rPr>
      </w:pPr>
      <w:r>
        <w:rPr>
          <w:rFonts w:ascii="Times New Roman"/>
        </w:rPr>
        <w:t>评价提出</w:t>
      </w:r>
      <w:r>
        <w:rPr>
          <w:rFonts w:ascii="Times New Roman" w:hint="eastAsia"/>
        </w:rPr>
        <w:t>了相应措施，避免水污染物</w:t>
      </w:r>
      <w:r>
        <w:rPr>
          <w:rFonts w:ascii="Times New Roman"/>
        </w:rPr>
        <w:t>对地表水及河道两侧的土壤产生影响</w:t>
      </w:r>
      <w:r>
        <w:rPr>
          <w:rFonts w:ascii="Times New Roman" w:hint="eastAsia"/>
        </w:rPr>
        <w:t>，采用环评提出的治理措施后，矿区建设期对地表水的影响轻微。</w:t>
      </w:r>
    </w:p>
    <w:p w14:paraId="1A7F2C40" w14:textId="77777777" w:rsidR="009C353B" w:rsidRDefault="00000000">
      <w:pPr>
        <w:adjustRightInd w:val="0"/>
        <w:snapToGrid w:val="0"/>
        <w:spacing w:line="440" w:lineRule="exact"/>
        <w:ind w:firstLine="482"/>
        <w:rPr>
          <w:rFonts w:ascii="Times New Roman" w:hint="eastAsia"/>
          <w:szCs w:val="28"/>
        </w:rPr>
      </w:pPr>
      <w:r>
        <w:rPr>
          <w:rFonts w:ascii="Times New Roman" w:hint="eastAsia"/>
          <w:szCs w:val="28"/>
        </w:rPr>
        <w:t>（</w:t>
      </w:r>
      <w:r>
        <w:rPr>
          <w:rFonts w:ascii="Times New Roman" w:hint="eastAsia"/>
          <w:szCs w:val="28"/>
        </w:rPr>
        <w:t>2</w:t>
      </w:r>
      <w:r>
        <w:rPr>
          <w:rFonts w:ascii="Times New Roman" w:hint="eastAsia"/>
          <w:szCs w:val="28"/>
        </w:rPr>
        <w:t>）</w:t>
      </w:r>
      <w:r>
        <w:rPr>
          <w:rFonts w:ascii="Times New Roman"/>
          <w:szCs w:val="28"/>
        </w:rPr>
        <w:t>运营期地表水环境影响分析</w:t>
      </w:r>
    </w:p>
    <w:p w14:paraId="1BD1436E"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hint="eastAsia"/>
          <w:bCs/>
          <w:szCs w:val="24"/>
        </w:rPr>
        <w:t>1</w:t>
      </w:r>
      <w:r>
        <w:rPr>
          <w:rFonts w:ascii="Times New Roman" w:hAnsi="Times New Roman" w:hint="eastAsia"/>
          <w:bCs/>
          <w:szCs w:val="24"/>
        </w:rPr>
        <w:t>）</w:t>
      </w:r>
      <w:r>
        <w:rPr>
          <w:rFonts w:ascii="Times New Roman" w:hAnsi="Times New Roman" w:hint="eastAsia"/>
          <w:szCs w:val="24"/>
        </w:rPr>
        <w:t>生活污水</w:t>
      </w:r>
    </w:p>
    <w:p w14:paraId="4614A4E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任家庄</w:t>
      </w:r>
      <w:r>
        <w:rPr>
          <w:rFonts w:ascii="Times New Roman" w:hAnsi="Times New Roman" w:hint="eastAsia"/>
          <w:szCs w:val="24"/>
        </w:rPr>
        <w:t>、红石湾均已建成生活污水处理站，生活污水经处理后全部回用</w:t>
      </w:r>
      <w:r>
        <w:rPr>
          <w:rFonts w:ascii="Times New Roman" w:hAnsi="Times New Roman"/>
          <w:szCs w:val="24"/>
        </w:rPr>
        <w:t>不外排。马莲台</w:t>
      </w:r>
      <w:r>
        <w:rPr>
          <w:rFonts w:ascii="Times New Roman" w:hAnsi="Times New Roman" w:hint="eastAsia"/>
          <w:szCs w:val="24"/>
        </w:rPr>
        <w:t>生活污水</w:t>
      </w:r>
      <w:r>
        <w:rPr>
          <w:rFonts w:ascii="Times New Roman" w:hAnsi="Times New Roman"/>
          <w:szCs w:val="24"/>
        </w:rPr>
        <w:t>依托宁夏宝丰能源集团股份有限公司污水处理站处理</w:t>
      </w:r>
      <w:r>
        <w:rPr>
          <w:rFonts w:ascii="Times New Roman" w:hAnsi="Times New Roman" w:hint="eastAsia"/>
          <w:szCs w:val="24"/>
        </w:rPr>
        <w:t>后</w:t>
      </w:r>
      <w:r>
        <w:rPr>
          <w:rFonts w:ascii="Times New Roman" w:hAnsi="Times New Roman"/>
          <w:szCs w:val="24"/>
        </w:rPr>
        <w:t>，全部综合利用不外排。</w:t>
      </w:r>
      <w:r>
        <w:rPr>
          <w:rFonts w:ascii="Times New Roman" w:hAnsi="Times New Roman" w:hint="eastAsia"/>
          <w:szCs w:val="24"/>
        </w:rPr>
        <w:t>规划</w:t>
      </w:r>
      <w:r>
        <w:rPr>
          <w:rFonts w:ascii="Times New Roman" w:hAnsi="Times New Roman"/>
          <w:szCs w:val="24"/>
        </w:rPr>
        <w:t>丁家梁在工业场地建生活污水处理站</w:t>
      </w:r>
      <w:r>
        <w:rPr>
          <w:rFonts w:ascii="Times New Roman" w:hAnsi="Times New Roman"/>
          <w:szCs w:val="24"/>
        </w:rPr>
        <w:t>1</w:t>
      </w:r>
      <w:r>
        <w:rPr>
          <w:rFonts w:ascii="Times New Roman" w:hAnsi="Times New Roman"/>
          <w:szCs w:val="24"/>
        </w:rPr>
        <w:t>座，处理规模</w:t>
      </w:r>
      <w:r>
        <w:rPr>
          <w:rFonts w:ascii="Times New Roman" w:hAnsi="Times New Roman"/>
          <w:szCs w:val="24"/>
        </w:rPr>
        <w:t>100m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，应采用二级处理和深度处理回用，回用水质应达到《城市污水再生利用</w:t>
      </w:r>
      <w:r>
        <w:rPr>
          <w:rFonts w:ascii="Times New Roman" w:hAnsi="Times New Roman"/>
          <w:szCs w:val="24"/>
        </w:rPr>
        <w:t xml:space="preserve"> </w:t>
      </w:r>
      <w:r>
        <w:rPr>
          <w:rFonts w:ascii="Times New Roman" w:hAnsi="Times New Roman"/>
          <w:szCs w:val="24"/>
        </w:rPr>
        <w:t>城市杂用水水质》（</w:t>
      </w:r>
      <w:r>
        <w:rPr>
          <w:rFonts w:ascii="Times New Roman" w:hAnsi="Times New Roman"/>
          <w:szCs w:val="24"/>
        </w:rPr>
        <w:t>GB/T 18920</w:t>
      </w:r>
      <w:r>
        <w:rPr>
          <w:rFonts w:ascii="Times New Roman" w:hAnsi="Times New Roman"/>
          <w:szCs w:val="24"/>
        </w:rPr>
        <w:t>），用于工业场地绿化和道路洒扫。</w:t>
      </w:r>
    </w:p>
    <w:p w14:paraId="210833B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2</w:t>
      </w:r>
      <w:r>
        <w:rPr>
          <w:rFonts w:ascii="Times New Roman" w:hAnsi="Times New Roman" w:hint="eastAsia"/>
          <w:szCs w:val="24"/>
        </w:rPr>
        <w:t>）</w:t>
      </w:r>
      <w:r>
        <w:rPr>
          <w:rFonts w:ascii="Times New Roman" w:hAnsi="Times New Roman"/>
          <w:szCs w:val="24"/>
        </w:rPr>
        <w:t>矿井水</w:t>
      </w:r>
    </w:p>
    <w:p w14:paraId="52B5244F"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任家庄</w:t>
      </w:r>
      <w:r>
        <w:rPr>
          <w:rFonts w:ascii="Times New Roman" w:hAnsi="Times New Roman" w:hint="eastAsia"/>
          <w:szCs w:val="24"/>
        </w:rPr>
        <w:t>、红石湾矿井水经过现有的矿井水处理设施</w:t>
      </w:r>
      <w:r>
        <w:rPr>
          <w:rFonts w:ascii="Times New Roman" w:hAnsi="Times New Roman"/>
          <w:szCs w:val="24"/>
        </w:rPr>
        <w:t>处理后</w:t>
      </w:r>
      <w:r>
        <w:rPr>
          <w:rFonts w:ascii="Times New Roman" w:hAnsi="Times New Roman" w:hint="eastAsia"/>
          <w:szCs w:val="24"/>
        </w:rPr>
        <w:t>，</w:t>
      </w:r>
      <w:r>
        <w:rPr>
          <w:rFonts w:ascii="Times New Roman" w:hAnsi="Times New Roman"/>
          <w:szCs w:val="24"/>
        </w:rPr>
        <w:t>全部回用不外排。</w:t>
      </w:r>
      <w:r>
        <w:rPr>
          <w:rFonts w:ascii="Times New Roman" w:hAnsi="Times New Roman" w:hint="eastAsia"/>
          <w:szCs w:val="24"/>
        </w:rPr>
        <w:t>马莲台煤矿矿井水经宁夏宝丰能源集团股份有限公司选煤厂沉淀池处理后，全部回用于选煤厂洗煤</w:t>
      </w:r>
      <w:r>
        <w:rPr>
          <w:rFonts w:ascii="Times New Roman" w:hAnsi="Times New Roman"/>
          <w:szCs w:val="24"/>
        </w:rPr>
        <w:t>。</w:t>
      </w:r>
      <w:r>
        <w:rPr>
          <w:rFonts w:ascii="Times New Roman" w:hAnsi="Times New Roman" w:hint="eastAsia"/>
          <w:szCs w:val="24"/>
        </w:rPr>
        <w:t>规划</w:t>
      </w:r>
      <w:r>
        <w:rPr>
          <w:rFonts w:ascii="Times New Roman" w:hAnsi="Times New Roman"/>
          <w:szCs w:val="24"/>
        </w:rPr>
        <w:t>丁家梁</w:t>
      </w:r>
      <w:r>
        <w:rPr>
          <w:rFonts w:ascii="Times New Roman" w:hAnsi="Times New Roman" w:hint="eastAsia"/>
          <w:szCs w:val="24"/>
        </w:rPr>
        <w:t>建</w:t>
      </w:r>
      <w:r>
        <w:rPr>
          <w:rFonts w:ascii="Times New Roman" w:hAnsi="Times New Roman"/>
          <w:szCs w:val="24"/>
        </w:rPr>
        <w:t>矿井水处理站</w:t>
      </w:r>
      <w:r>
        <w:rPr>
          <w:rFonts w:ascii="Times New Roman" w:hAnsi="Times New Roman"/>
          <w:szCs w:val="24"/>
        </w:rPr>
        <w:t>1</w:t>
      </w:r>
      <w:r>
        <w:rPr>
          <w:rFonts w:ascii="Times New Roman" w:hAnsi="Times New Roman"/>
          <w:szCs w:val="24"/>
        </w:rPr>
        <w:t>座，处理规模</w:t>
      </w:r>
      <w:r>
        <w:rPr>
          <w:rFonts w:ascii="Times New Roman" w:hAnsi="Times New Roman"/>
          <w:szCs w:val="24"/>
        </w:rPr>
        <w:t>8000m</w:t>
      </w:r>
      <w:r>
        <w:rPr>
          <w:rFonts w:ascii="Times New Roman" w:hAnsi="Times New Roman"/>
          <w:szCs w:val="24"/>
          <w:vertAlign w:val="superscript"/>
        </w:rPr>
        <w:t>3</w:t>
      </w:r>
      <w:r>
        <w:rPr>
          <w:rFonts w:ascii="Times New Roman" w:hAnsi="Times New Roman"/>
          <w:szCs w:val="24"/>
        </w:rPr>
        <w:t>/d</w:t>
      </w:r>
      <w:r>
        <w:rPr>
          <w:rFonts w:ascii="Times New Roman" w:hAnsi="Times New Roman"/>
          <w:szCs w:val="24"/>
        </w:rPr>
        <w:t>，采用混凝、沉淀、过滤、脱盐、消毒等处理工艺处理后回用于矿井井下消防洒水，浓盐水回用于黄泥灌浆，多余水就近送至临河综合工业园区和宁东煤化工园区工业废水处理厂进行处理后回用宁东煤化工基地企业生产。</w:t>
      </w:r>
    </w:p>
    <w:p w14:paraId="0A3EDE51" w14:textId="77777777" w:rsidR="009C353B" w:rsidRDefault="00000000">
      <w:pPr>
        <w:adjustRightInd w:val="0"/>
        <w:snapToGrid w:val="0"/>
        <w:spacing w:line="440" w:lineRule="exact"/>
        <w:ind w:firstLineChars="200" w:firstLine="480"/>
        <w:rPr>
          <w:rFonts w:ascii="Times New Roman" w:hAnsi="Times New Roman"/>
          <w:bCs/>
          <w:szCs w:val="24"/>
        </w:rPr>
      </w:pPr>
      <w:r>
        <w:rPr>
          <w:rFonts w:ascii="Times New Roman" w:hAnsi="Times New Roman" w:hint="eastAsia"/>
          <w:bCs/>
          <w:szCs w:val="24"/>
        </w:rPr>
        <w:t>3</w:t>
      </w:r>
      <w:r>
        <w:rPr>
          <w:rFonts w:ascii="Times New Roman" w:hAnsi="Times New Roman" w:hint="eastAsia"/>
          <w:bCs/>
          <w:szCs w:val="24"/>
        </w:rPr>
        <w:t>）</w:t>
      </w:r>
      <w:r>
        <w:rPr>
          <w:rFonts w:ascii="Times New Roman" w:hAnsi="Times New Roman"/>
          <w:bCs/>
          <w:szCs w:val="24"/>
        </w:rPr>
        <w:t>煤泥水</w:t>
      </w:r>
    </w:p>
    <w:p w14:paraId="28E38751" w14:textId="77777777" w:rsidR="009C353B" w:rsidRDefault="00000000">
      <w:pPr>
        <w:adjustRightInd w:val="0"/>
        <w:snapToGrid w:val="0"/>
        <w:spacing w:line="440" w:lineRule="exact"/>
        <w:ind w:firstLine="482"/>
        <w:rPr>
          <w:rFonts w:ascii="Times New Roman" w:hAnsi="Times New Roman"/>
          <w:bCs/>
          <w:szCs w:val="24"/>
        </w:rPr>
      </w:pPr>
      <w:r>
        <w:rPr>
          <w:rFonts w:ascii="Times New Roman" w:hAnsi="Times New Roman"/>
          <w:bCs/>
          <w:szCs w:val="24"/>
        </w:rPr>
        <w:t>选煤厂煤泥水</w:t>
      </w:r>
      <w:r>
        <w:rPr>
          <w:rFonts w:ascii="Times New Roman" w:hAnsi="Times New Roman" w:hint="eastAsia"/>
          <w:bCs/>
          <w:szCs w:val="24"/>
        </w:rPr>
        <w:t>一级</w:t>
      </w:r>
      <w:r>
        <w:rPr>
          <w:rFonts w:ascii="Times New Roman" w:hAnsi="Times New Roman"/>
          <w:bCs/>
          <w:szCs w:val="24"/>
        </w:rPr>
        <w:t>闭路循环</w:t>
      </w:r>
      <w:r>
        <w:rPr>
          <w:rFonts w:ascii="Times New Roman" w:hAnsi="Times New Roman" w:hint="eastAsia"/>
          <w:bCs/>
          <w:szCs w:val="24"/>
        </w:rPr>
        <w:t>，不外排</w:t>
      </w:r>
      <w:r>
        <w:rPr>
          <w:rFonts w:ascii="Times New Roman" w:hAnsi="Times New Roman"/>
          <w:bCs/>
          <w:szCs w:val="24"/>
        </w:rPr>
        <w:t>。</w:t>
      </w:r>
    </w:p>
    <w:p w14:paraId="3BCB099D" w14:textId="77777777" w:rsidR="009C353B" w:rsidRDefault="00000000">
      <w:pPr>
        <w:adjustRightInd w:val="0"/>
        <w:snapToGrid w:val="0"/>
        <w:spacing w:line="440" w:lineRule="exact"/>
        <w:ind w:firstLine="480"/>
        <w:rPr>
          <w:rFonts w:ascii="Times New Roman" w:hAnsi="Times New Roman"/>
        </w:rPr>
      </w:pPr>
      <w:r>
        <w:rPr>
          <w:rFonts w:ascii="Times New Roman" w:hAnsi="Times New Roman"/>
          <w:szCs w:val="24"/>
        </w:rPr>
        <w:t>矿区会产生一定量的生产生活污废水</w:t>
      </w:r>
      <w:r>
        <w:rPr>
          <w:rFonts w:ascii="Times New Roman" w:hAnsi="Times New Roman" w:hint="eastAsia"/>
          <w:szCs w:val="24"/>
        </w:rPr>
        <w:t>，</w:t>
      </w:r>
      <w:r>
        <w:rPr>
          <w:rFonts w:ascii="Times New Roman" w:hAnsi="Times New Roman"/>
          <w:szCs w:val="24"/>
        </w:rPr>
        <w:t>由于矿区临近工业园区</w:t>
      </w:r>
      <w:r>
        <w:rPr>
          <w:rFonts w:ascii="Times New Roman" w:hAnsi="Times New Roman" w:hint="eastAsia"/>
          <w:szCs w:val="24"/>
        </w:rPr>
        <w:t>，在各矿对生产生活污废水进行综合利用后，若有剩余，全部就近送至园区作为生产用水等全部综合利用，不外排。因此，</w:t>
      </w:r>
      <w:r>
        <w:rPr>
          <w:rFonts w:ascii="Times New Roman" w:hAnsi="Times New Roman"/>
          <w:szCs w:val="24"/>
        </w:rPr>
        <w:t>矿区生产生活污废水可做到全部综合利用</w:t>
      </w:r>
      <w:r>
        <w:rPr>
          <w:rFonts w:ascii="Times New Roman" w:hAnsi="Times New Roman" w:hint="eastAsia"/>
          <w:szCs w:val="24"/>
        </w:rPr>
        <w:t>不外排</w:t>
      </w:r>
      <w:r>
        <w:rPr>
          <w:rFonts w:ascii="Times New Roman" w:hAnsi="Times New Roman"/>
          <w:szCs w:val="24"/>
        </w:rPr>
        <w:t>，不会对地表水产生不利影响。</w:t>
      </w:r>
    </w:p>
    <w:p w14:paraId="773CA80B"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13.4.4 </w:t>
      </w:r>
      <w:r>
        <w:rPr>
          <w:rFonts w:ascii="Times New Roman" w:hAnsi="Times New Roman"/>
          <w:sz w:val="24"/>
        </w:rPr>
        <w:t>大气环境影响预测与评价</w:t>
      </w:r>
    </w:p>
    <w:p w14:paraId="6D07B04B" w14:textId="77777777" w:rsidR="009C353B" w:rsidRDefault="00000000">
      <w:pPr>
        <w:adjustRightInd w:val="0"/>
        <w:snapToGrid w:val="0"/>
        <w:spacing w:line="440" w:lineRule="exact"/>
        <w:ind w:firstLineChars="200" w:firstLine="480"/>
        <w:rPr>
          <w:rFonts w:ascii="Times New Roman" w:hint="eastAsia"/>
        </w:rPr>
      </w:pPr>
      <w:r>
        <w:rPr>
          <w:rFonts w:ascii="Times New Roman"/>
        </w:rPr>
        <w:t>矿区开发对大气环境的影响主要来自</w:t>
      </w:r>
      <w:r>
        <w:rPr>
          <w:rFonts w:ascii="Times New Roman" w:hint="eastAsia"/>
        </w:rPr>
        <w:t>矿区煤矿锅炉废气排放，矿区煤炭</w:t>
      </w:r>
      <w:r>
        <w:rPr>
          <w:rFonts w:ascii="Times New Roman"/>
        </w:rPr>
        <w:t>开采、运输及</w:t>
      </w:r>
      <w:r>
        <w:rPr>
          <w:rFonts w:ascii="Times New Roman" w:hint="eastAsia"/>
        </w:rPr>
        <w:t>运矸道路扬尘，储煤场等无组织粉尘排放，以及煤炭洗选加工过程无组织粉尘排放等，</w:t>
      </w:r>
      <w:r>
        <w:rPr>
          <w:rFonts w:ascii="Times New Roman"/>
        </w:rPr>
        <w:t>主要污染物为</w:t>
      </w:r>
      <w:r>
        <w:rPr>
          <w:rFonts w:ascii="Times New Roman"/>
        </w:rPr>
        <w:t>SO</w:t>
      </w:r>
      <w:r>
        <w:rPr>
          <w:rFonts w:ascii="Times New Roman"/>
          <w:vertAlign w:val="subscript"/>
        </w:rPr>
        <w:t>2</w:t>
      </w:r>
      <w:r>
        <w:rPr>
          <w:rFonts w:ascii="Times New Roman"/>
        </w:rPr>
        <w:t>、</w:t>
      </w:r>
      <w:r>
        <w:rPr>
          <w:rFonts w:ascii="Times New Roman"/>
        </w:rPr>
        <w:t>TSP</w:t>
      </w:r>
      <w:r>
        <w:rPr>
          <w:rFonts w:ascii="Times New Roman"/>
        </w:rPr>
        <w:t>、</w:t>
      </w:r>
      <w:r>
        <w:rPr>
          <w:rFonts w:ascii="Times New Roman"/>
        </w:rPr>
        <w:t>NO</w:t>
      </w:r>
      <w:r>
        <w:rPr>
          <w:rFonts w:ascii="Times New Roman"/>
          <w:vertAlign w:val="subscript"/>
        </w:rPr>
        <w:t>2</w:t>
      </w:r>
      <w:r>
        <w:rPr>
          <w:rFonts w:ascii="Times New Roman" w:hint="eastAsia"/>
        </w:rPr>
        <w:t>，</w:t>
      </w:r>
      <w:r>
        <w:rPr>
          <w:rFonts w:ascii="Times New Roman"/>
        </w:rPr>
        <w:t>其中锅炉烟气排放对大气环境影响</w:t>
      </w:r>
      <w:r>
        <w:rPr>
          <w:rFonts w:ascii="Times New Roman" w:hint="eastAsia"/>
        </w:rPr>
        <w:t>较大</w:t>
      </w:r>
      <w:r>
        <w:rPr>
          <w:rFonts w:ascii="Times New Roman"/>
        </w:rPr>
        <w:t>。</w:t>
      </w:r>
    </w:p>
    <w:p w14:paraId="5B0328A7"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本矿区现有供热系统除任家庄煤矿采用燃气锅炉房供热外，其余马莲台煤矿和红石湾煤矿均采用余热供热，其现状监测结果可代表现有锅炉烟气排放对周边环境空气的影响。拟建</w:t>
      </w:r>
      <w:r>
        <w:rPr>
          <w:rFonts w:ascii="Times New Roman"/>
        </w:rPr>
        <w:t>丁家梁煤矿采用</w:t>
      </w:r>
      <w:r>
        <w:rPr>
          <w:rFonts w:ascii="Times New Roman" w:hint="eastAsia"/>
        </w:rPr>
        <w:t>燃气锅炉房供热，</w:t>
      </w:r>
      <w:r>
        <w:rPr>
          <w:rFonts w:ascii="Times New Roman"/>
        </w:rPr>
        <w:t>经预测</w:t>
      </w:r>
      <w:r>
        <w:rPr>
          <w:rFonts w:ascii="Times New Roman" w:hint="eastAsia"/>
        </w:rPr>
        <w:t>，</w:t>
      </w:r>
      <w:r>
        <w:rPr>
          <w:rFonts w:ascii="Times New Roman"/>
        </w:rPr>
        <w:t>丁家梁煤矿锅炉房排放烟气中颗粒物、</w:t>
      </w:r>
      <w:r>
        <w:rPr>
          <w:rFonts w:ascii="Times New Roman"/>
        </w:rPr>
        <w:t>SO</w:t>
      </w:r>
      <w:r>
        <w:rPr>
          <w:rFonts w:ascii="Times New Roman"/>
          <w:vertAlign w:val="subscript"/>
        </w:rPr>
        <w:t>2</w:t>
      </w:r>
      <w:r>
        <w:rPr>
          <w:rFonts w:ascii="Times New Roman"/>
        </w:rPr>
        <w:t>、</w:t>
      </w:r>
      <w:r>
        <w:rPr>
          <w:rFonts w:ascii="Times New Roman"/>
        </w:rPr>
        <w:t>NOx</w:t>
      </w:r>
      <w:r>
        <w:rPr>
          <w:rFonts w:ascii="Times New Roman"/>
        </w:rPr>
        <w:t>的最大落地浓度分别为</w:t>
      </w:r>
      <w:r>
        <w:rPr>
          <w:rFonts w:ascii="Times New Roman" w:hint="eastAsia"/>
        </w:rPr>
        <w:t>10.6300</w:t>
      </w:r>
      <w:r>
        <w:rPr>
          <w:rFonts w:ascii="Times New Roman"/>
        </w:rPr>
        <w:t>ug/m</w:t>
      </w:r>
      <w:r>
        <w:rPr>
          <w:rFonts w:ascii="Times New Roman"/>
          <w:vertAlign w:val="superscript"/>
        </w:rPr>
        <w:t>3</w:t>
      </w:r>
      <w:r>
        <w:rPr>
          <w:rFonts w:ascii="Times New Roman"/>
        </w:rPr>
        <w:t>、</w:t>
      </w:r>
      <w:r>
        <w:rPr>
          <w:rFonts w:ascii="Times New Roman" w:hint="eastAsia"/>
        </w:rPr>
        <w:t>17.6836</w:t>
      </w:r>
      <w:r>
        <w:rPr>
          <w:rFonts w:ascii="Times New Roman"/>
        </w:rPr>
        <w:t>ug/m</w:t>
      </w:r>
      <w:r>
        <w:rPr>
          <w:rFonts w:ascii="Times New Roman"/>
          <w:vertAlign w:val="superscript"/>
        </w:rPr>
        <w:t>3</w:t>
      </w:r>
      <w:r>
        <w:rPr>
          <w:rFonts w:ascii="Times New Roman"/>
        </w:rPr>
        <w:t>、</w:t>
      </w:r>
      <w:r>
        <w:rPr>
          <w:rFonts w:ascii="Times New Roman" w:hint="eastAsia"/>
        </w:rPr>
        <w:t>24.8364</w:t>
      </w:r>
      <w:r>
        <w:rPr>
          <w:rFonts w:ascii="Times New Roman"/>
        </w:rPr>
        <w:t>ug/m</w:t>
      </w:r>
      <w:r>
        <w:rPr>
          <w:rFonts w:ascii="Times New Roman"/>
          <w:vertAlign w:val="superscript"/>
        </w:rPr>
        <w:t>3</w:t>
      </w:r>
      <w:r>
        <w:rPr>
          <w:rFonts w:ascii="Times New Roman"/>
        </w:rPr>
        <w:t>，占标率分别为</w:t>
      </w:r>
      <w:r>
        <w:rPr>
          <w:rFonts w:ascii="Times New Roman" w:hint="eastAsia"/>
        </w:rPr>
        <w:t>2.36</w:t>
      </w:r>
      <w:r>
        <w:rPr>
          <w:rFonts w:ascii="Times New Roman"/>
        </w:rPr>
        <w:t>%</w:t>
      </w:r>
      <w:r>
        <w:rPr>
          <w:rFonts w:ascii="Times New Roman"/>
        </w:rPr>
        <w:t>、</w:t>
      </w:r>
      <w:r>
        <w:rPr>
          <w:rFonts w:ascii="Times New Roman" w:hint="eastAsia"/>
        </w:rPr>
        <w:t>3.53</w:t>
      </w:r>
      <w:r>
        <w:rPr>
          <w:rFonts w:ascii="Times New Roman"/>
        </w:rPr>
        <w:t>%</w:t>
      </w:r>
      <w:r>
        <w:rPr>
          <w:rFonts w:ascii="Times New Roman"/>
        </w:rPr>
        <w:t>、</w:t>
      </w:r>
      <w:r>
        <w:rPr>
          <w:rFonts w:ascii="Times New Roman" w:hint="eastAsia"/>
        </w:rPr>
        <w:t>9.93</w:t>
      </w:r>
      <w:r>
        <w:rPr>
          <w:rFonts w:ascii="Times New Roman"/>
        </w:rPr>
        <w:t>%</w:t>
      </w:r>
      <w:r>
        <w:rPr>
          <w:rFonts w:ascii="Times New Roman"/>
        </w:rPr>
        <w:t>，最大浓度落地点为</w:t>
      </w:r>
      <w:r>
        <w:rPr>
          <w:rFonts w:ascii="Times New Roman" w:hint="eastAsia"/>
        </w:rPr>
        <w:t>90</w:t>
      </w:r>
      <w:r>
        <w:rPr>
          <w:rFonts w:ascii="Times New Roman"/>
        </w:rPr>
        <w:t>m</w:t>
      </w:r>
      <w:r>
        <w:rPr>
          <w:rFonts w:ascii="Times New Roman"/>
        </w:rPr>
        <w:t>，贡献值很小，并且在最大浓度落地点范围内无敏感保护目标，因此</w:t>
      </w:r>
      <w:r>
        <w:rPr>
          <w:rFonts w:ascii="Times New Roman" w:hint="eastAsia"/>
        </w:rPr>
        <w:t>规划矿区实施后</w:t>
      </w:r>
      <w:r>
        <w:rPr>
          <w:rFonts w:ascii="Times New Roman"/>
        </w:rPr>
        <w:t>锅炉烟气排放对周边环境空气影响较小。</w:t>
      </w:r>
      <w:r>
        <w:rPr>
          <w:rFonts w:ascii="Times New Roman" w:hint="eastAsia"/>
        </w:rPr>
        <w:t>因此矿区后续开发建设过程中，不会对周边环境空气造成更大的不良影响。对于煤炭的加工、储存和运输，矿区各煤矿采取结构封闭、苫盖、洒水等措施，</w:t>
      </w:r>
      <w:r>
        <w:rPr>
          <w:rFonts w:ascii="Times New Roman"/>
        </w:rPr>
        <w:t>采取</w:t>
      </w:r>
      <w:r>
        <w:rPr>
          <w:rFonts w:ascii="Times New Roman" w:hint="eastAsia"/>
        </w:rPr>
        <w:t>以上</w:t>
      </w:r>
      <w:r>
        <w:rPr>
          <w:rFonts w:ascii="Times New Roman"/>
        </w:rPr>
        <w:t>控制措施</w:t>
      </w:r>
      <w:r>
        <w:rPr>
          <w:rFonts w:ascii="Times New Roman" w:hint="eastAsia"/>
        </w:rPr>
        <w:t>后</w:t>
      </w:r>
      <w:r>
        <w:rPr>
          <w:rFonts w:ascii="Times New Roman"/>
        </w:rPr>
        <w:t>矿区开发所产生的扬尘能够被有效控制，扬尘对环境的影响甚微。</w:t>
      </w:r>
    </w:p>
    <w:p w14:paraId="233B6ECE"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13.4.5 </w:t>
      </w:r>
      <w:r>
        <w:rPr>
          <w:rFonts w:ascii="Times New Roman" w:hAnsi="Times New Roman"/>
          <w:sz w:val="24"/>
        </w:rPr>
        <w:t>固体废物环境影响预测与评价</w:t>
      </w:r>
    </w:p>
    <w:p w14:paraId="3A168A09"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矿区开发所产生的固废主要为煤矸石、生活垃圾、污泥、危险废物，只要按照本报告提出的固废综合利用和处置措施，矿区固废不会对环境造成较大影响。</w:t>
      </w:r>
    </w:p>
    <w:p w14:paraId="0DBA53C3"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13.4.6 </w:t>
      </w:r>
      <w:r>
        <w:rPr>
          <w:rFonts w:ascii="Times New Roman" w:hAnsi="Times New Roman"/>
          <w:sz w:val="24"/>
        </w:rPr>
        <w:t>声环境影响预测与评价</w:t>
      </w:r>
    </w:p>
    <w:p w14:paraId="402C272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按照本报告提出的噪声污染控制措施，矿区开发不会对声环境造成较大影响。</w:t>
      </w:r>
    </w:p>
    <w:p w14:paraId="78E799D3" w14:textId="77777777" w:rsidR="009C353B" w:rsidRDefault="00000000">
      <w:pPr>
        <w:keepNext/>
        <w:keepLines/>
        <w:adjustRightInd w:val="0"/>
        <w:snapToGrid w:val="0"/>
        <w:spacing w:line="440" w:lineRule="exact"/>
        <w:outlineLvl w:val="2"/>
        <w:rPr>
          <w:rFonts w:ascii="Times New Roman" w:hAnsi="Times New Roman"/>
          <w:b/>
        </w:rPr>
      </w:pPr>
      <w:r>
        <w:rPr>
          <w:rFonts w:ascii="Times New Roman" w:hAnsi="Times New Roman"/>
          <w:b/>
        </w:rPr>
        <w:t xml:space="preserve">13.4.7 </w:t>
      </w:r>
      <w:r>
        <w:rPr>
          <w:rFonts w:ascii="Times New Roman" w:hAnsi="Times New Roman" w:hint="eastAsia"/>
          <w:b/>
        </w:rPr>
        <w:t>对白芨滩国家级</w:t>
      </w:r>
      <w:r>
        <w:rPr>
          <w:rFonts w:ascii="Times New Roman" w:hAnsi="Times New Roman"/>
          <w:b/>
        </w:rPr>
        <w:t>自然保护区的影响</w:t>
      </w:r>
    </w:p>
    <w:p w14:paraId="6805217F"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szCs w:val="24"/>
        </w:rPr>
        <w:t>矿区和白芨滩自然保护区无重叠，</w:t>
      </w:r>
      <w:r>
        <w:rPr>
          <w:rFonts w:ascii="Times New Roman" w:hint="eastAsia"/>
        </w:rPr>
        <w:t>任家庄井田边界与自然保护区实验区最近距离约为</w:t>
      </w:r>
      <w:r>
        <w:rPr>
          <w:rFonts w:ascii="Times New Roman" w:hint="eastAsia"/>
        </w:rPr>
        <w:t>92m</w:t>
      </w:r>
      <w:r>
        <w:rPr>
          <w:rFonts w:ascii="Times New Roman" w:hint="eastAsia"/>
        </w:rPr>
        <w:t>；任家庄井田开采沉陷影响半径约为</w:t>
      </w:r>
      <w:r>
        <w:rPr>
          <w:rFonts w:ascii="Times New Roman" w:hint="eastAsia"/>
        </w:rPr>
        <w:t>280m</w:t>
      </w:r>
      <w:r>
        <w:rPr>
          <w:rFonts w:ascii="Times New Roman" w:hint="eastAsia"/>
        </w:rPr>
        <w:t>，因此，</w:t>
      </w:r>
      <w:r>
        <w:rPr>
          <w:rFonts w:ascii="Times New Roman"/>
        </w:rPr>
        <w:t>任家庄井田西侧距离自然保护区实验区较近的区域在沉陷影响范围内</w:t>
      </w:r>
      <w:r>
        <w:rPr>
          <w:rFonts w:ascii="Times New Roman" w:hint="eastAsia"/>
        </w:rPr>
        <w:t>，</w:t>
      </w:r>
      <w:r>
        <w:rPr>
          <w:rFonts w:ascii="Times New Roman"/>
        </w:rPr>
        <w:t>可能受到开采沉陷影响</w:t>
      </w:r>
      <w:r>
        <w:rPr>
          <w:rFonts w:ascii="Times New Roman" w:hint="eastAsia"/>
        </w:rPr>
        <w:t>。为避免</w:t>
      </w:r>
      <w:r>
        <w:rPr>
          <w:rFonts w:ascii="Times New Roman"/>
        </w:rPr>
        <w:t>任家庄井田后续开采沉陷影响到自然保护区</w:t>
      </w:r>
      <w:r>
        <w:rPr>
          <w:rFonts w:ascii="Times New Roman" w:hint="eastAsia"/>
        </w:rPr>
        <w:t>，任家庄井田后续开采过程中，可参考本次评价计算的沉陷影响半径</w:t>
      </w:r>
      <w:r>
        <w:rPr>
          <w:rFonts w:ascii="Times New Roman"/>
        </w:rPr>
        <w:t>280m</w:t>
      </w:r>
      <w:r>
        <w:rPr>
          <w:rFonts w:ascii="Times New Roman"/>
        </w:rPr>
        <w:t>对自然保护区留设保护煤柱，在后续开采过程中，在临近自然保护区的区域，保护煤柱的宽度应根据井田开采沉陷观测实际参数、开采区煤层埋深等，适时调整保护煤柱宽度，确保不影响自然保护区。</w:t>
      </w:r>
    </w:p>
    <w:p w14:paraId="27E2EA11"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宁夏回族自治区自然保护区管理办法》第十三条：“自然保护区边界外围２公里内的地带为外围保护地带。经批准在自然保护区外围保护地带建设的项目或者设施，不得损害自然保护区的环境质量和生态功能”。</w:t>
      </w:r>
      <w:r>
        <w:rPr>
          <w:rFonts w:ascii="Times New Roman"/>
        </w:rPr>
        <w:t>根据</w:t>
      </w:r>
      <w:r>
        <w:rPr>
          <w:rFonts w:ascii="Times New Roman" w:hint="eastAsia"/>
        </w:rPr>
        <w:t>“办法”本次评价提出，后续丁家梁煤矿在建设开发过程中须遵守以上文件要求，涉及在自然保护区外围保护地带建设的项目或者设施，需经相关部门批准，项目不得损害自然保护区的环境质量和生态功能。</w:t>
      </w:r>
    </w:p>
    <w:p w14:paraId="473A5B5A"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在按照本次评价提出优化调整建议和环保措施实施后，矿区规划实施</w:t>
      </w:r>
      <w:r>
        <w:rPr>
          <w:rFonts w:ascii="Times New Roman" w:hAnsi="Times New Roman"/>
          <w:szCs w:val="24"/>
        </w:rPr>
        <w:t>对</w:t>
      </w:r>
      <w:r>
        <w:rPr>
          <w:rFonts w:ascii="Times New Roman" w:hAnsi="Times New Roman" w:hint="eastAsia"/>
          <w:szCs w:val="24"/>
        </w:rPr>
        <w:t>白芨滩国家级自然保护区的</w:t>
      </w:r>
      <w:r>
        <w:rPr>
          <w:rFonts w:ascii="Times New Roman" w:hAnsi="Times New Roman"/>
          <w:szCs w:val="24"/>
        </w:rPr>
        <w:t>影响很小</w:t>
      </w:r>
      <w:r>
        <w:rPr>
          <w:rFonts w:ascii="Times New Roman" w:hAnsi="Times New Roman" w:hint="eastAsia"/>
          <w:szCs w:val="24"/>
        </w:rPr>
        <w:t>。</w:t>
      </w:r>
    </w:p>
    <w:p w14:paraId="24CF68FC"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13.4.8 </w:t>
      </w:r>
      <w:r>
        <w:rPr>
          <w:rFonts w:ascii="Times New Roman" w:hAnsi="Times New Roman"/>
          <w:sz w:val="24"/>
        </w:rPr>
        <w:t>对明长城等文物的影响</w:t>
      </w:r>
    </w:p>
    <w:p w14:paraId="43FB447E"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明</w:t>
      </w:r>
      <w:r>
        <w:rPr>
          <w:rFonts w:ascii="Times New Roman"/>
        </w:rPr>
        <w:t>长城紧邻</w:t>
      </w:r>
      <w:r>
        <w:rPr>
          <w:rFonts w:ascii="Times New Roman" w:hint="eastAsia"/>
        </w:rPr>
        <w:t>马莲台井田</w:t>
      </w:r>
      <w:r>
        <w:rPr>
          <w:rFonts w:ascii="Times New Roman"/>
        </w:rPr>
        <w:t>北部边界</w:t>
      </w:r>
      <w:r>
        <w:rPr>
          <w:rFonts w:ascii="Times New Roman" w:hint="eastAsia"/>
        </w:rPr>
        <w:t>和红石湾井田东北边界，且局部地段明长城已受到开采沉陷影响。为保护明长城，后续开采过程中，马莲台和红石湾井田应优化边界煤柱设置，根据实际开采沉陷观测参数，按照灵武市文化旅游广电局关于《自治区发展改革委员会关于征求</w:t>
      </w:r>
      <w:r>
        <w:rPr>
          <w:rFonts w:ascii="Times New Roman"/>
        </w:rPr>
        <w:t>&lt;</w:t>
      </w:r>
      <w:r>
        <w:rPr>
          <w:rFonts w:ascii="Times New Roman"/>
        </w:rPr>
        <w:t>横城矿区总体规划（修编）环境影响评价公众参与调查表</w:t>
      </w:r>
      <w:r>
        <w:rPr>
          <w:rFonts w:ascii="Times New Roman"/>
        </w:rPr>
        <w:t>&gt;</w:t>
      </w:r>
      <w:r>
        <w:rPr>
          <w:rFonts w:ascii="Times New Roman"/>
        </w:rPr>
        <w:t>》修改意见的函的要求</w:t>
      </w:r>
      <w:r>
        <w:rPr>
          <w:rFonts w:ascii="Times New Roman" w:hint="eastAsia"/>
        </w:rPr>
        <w:t>，对</w:t>
      </w:r>
      <w:r>
        <w:rPr>
          <w:rFonts w:ascii="Times New Roman"/>
        </w:rPr>
        <w:t>水洞沟遗址、明长城及红山堡城址四周各外延</w:t>
      </w:r>
      <w:r>
        <w:rPr>
          <w:rFonts w:ascii="Times New Roman"/>
        </w:rPr>
        <w:t>100m</w:t>
      </w:r>
      <w:r>
        <w:rPr>
          <w:rFonts w:ascii="Times New Roman"/>
        </w:rPr>
        <w:t>作为保护范围</w:t>
      </w:r>
      <w:r>
        <w:rPr>
          <w:rFonts w:ascii="Times New Roman" w:hint="eastAsia"/>
        </w:rPr>
        <w:t>，留设足够保护煤柱。</w:t>
      </w:r>
      <w:r>
        <w:rPr>
          <w:rFonts w:ascii="Times New Roman"/>
        </w:rPr>
        <w:t>在按照本次评价提出优化调整建议和措施实施后</w:t>
      </w:r>
      <w:r>
        <w:rPr>
          <w:rFonts w:ascii="Times New Roman" w:hint="eastAsia"/>
        </w:rPr>
        <w:t>，</w:t>
      </w:r>
      <w:r>
        <w:rPr>
          <w:rFonts w:ascii="Times New Roman"/>
        </w:rPr>
        <w:t>矿区开发对水洞沟遗址、明长城及红山堡城址等文物影响很小</w:t>
      </w:r>
      <w:r>
        <w:rPr>
          <w:rFonts w:ascii="Times New Roman" w:hint="eastAsia"/>
        </w:rPr>
        <w:t>。</w:t>
      </w:r>
    </w:p>
    <w:p w14:paraId="197F716A"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13.4.9 </w:t>
      </w:r>
      <w:r>
        <w:rPr>
          <w:rFonts w:ascii="Times New Roman" w:hAnsi="Times New Roman"/>
          <w:sz w:val="24"/>
        </w:rPr>
        <w:t>对</w:t>
      </w:r>
      <w:r>
        <w:rPr>
          <w:rFonts w:ascii="Times New Roman" w:hAnsi="Times New Roman" w:hint="eastAsia"/>
          <w:sz w:val="24"/>
        </w:rPr>
        <w:t>太中银铁路、高速公路等地面保护目标的影响</w:t>
      </w:r>
    </w:p>
    <w:p w14:paraId="492EA89A" w14:textId="77777777" w:rsidR="009C353B" w:rsidRDefault="00000000">
      <w:pPr>
        <w:adjustRightInd w:val="0"/>
        <w:snapToGrid w:val="0"/>
        <w:spacing w:line="440" w:lineRule="exact"/>
        <w:ind w:firstLineChars="200" w:firstLine="480"/>
        <w:rPr>
          <w:rFonts w:ascii="Times New Roman" w:hAnsi="Times New Roman"/>
          <w:bCs/>
          <w:kern w:val="0"/>
        </w:rPr>
      </w:pPr>
      <w:r>
        <w:rPr>
          <w:rFonts w:ascii="Times New Roman"/>
          <w:szCs w:val="24"/>
        </w:rPr>
        <w:t>随着宁东基地的开发建设</w:t>
      </w:r>
      <w:r>
        <w:rPr>
          <w:rFonts w:ascii="Times New Roman" w:hint="eastAsia"/>
          <w:szCs w:val="24"/>
        </w:rPr>
        <w:t>，</w:t>
      </w:r>
      <w:r>
        <w:rPr>
          <w:rFonts w:ascii="Times New Roman"/>
          <w:szCs w:val="24"/>
        </w:rPr>
        <w:t>横城矿区及周边逐渐新建了大量设施</w:t>
      </w:r>
      <w:r>
        <w:rPr>
          <w:rFonts w:ascii="Times New Roman" w:hint="eastAsia"/>
          <w:szCs w:val="24"/>
        </w:rPr>
        <w:t>，</w:t>
      </w:r>
      <w:r>
        <w:rPr>
          <w:rFonts w:ascii="Times New Roman"/>
          <w:szCs w:val="24"/>
        </w:rPr>
        <w:t>部分设施压覆了横城矿区大量煤炭资源</w:t>
      </w:r>
      <w:r>
        <w:rPr>
          <w:rFonts w:ascii="Times New Roman" w:hint="eastAsia"/>
          <w:szCs w:val="24"/>
        </w:rPr>
        <w:t>。横城矿区煤炭资源以气煤为主，是良好的气化用煤、煤化工用煤及动力煤。</w:t>
      </w:r>
      <w:r>
        <w:rPr>
          <w:rFonts w:ascii="Times New Roman" w:hAnsi="Times New Roman" w:hint="eastAsia"/>
          <w:bCs/>
          <w:kern w:val="0"/>
        </w:rPr>
        <w:t>矿区涉及鸭子荡水库、高压输电线路、太中银铁路、天然气管线、宁东</w:t>
      </w:r>
      <w:r>
        <w:rPr>
          <w:rFonts w:ascii="Times New Roman" w:hAnsi="Times New Roman" w:hint="eastAsia"/>
          <w:bCs/>
          <w:kern w:val="0"/>
        </w:rPr>
        <w:t>2</w:t>
      </w:r>
      <w:r>
        <w:rPr>
          <w:rFonts w:ascii="Times New Roman" w:hAnsi="Times New Roman" w:hint="eastAsia"/>
          <w:bCs/>
          <w:kern w:val="0"/>
        </w:rPr>
        <w:t>号渣场、高速公路等保护目标，这些保护目标压覆了大量煤炭资源。宁夏回族自治区宁东能源化工基地管理委员会《关于丁家梁煤矿有关事宜的复函》（宁东管函〔</w:t>
      </w:r>
      <w:r>
        <w:rPr>
          <w:rFonts w:ascii="Times New Roman" w:hAnsi="Times New Roman"/>
          <w:bCs/>
          <w:kern w:val="0"/>
        </w:rPr>
        <w:t>2016</w:t>
      </w:r>
      <w:r>
        <w:rPr>
          <w:rFonts w:ascii="Times New Roman" w:hAnsi="Times New Roman"/>
          <w:bCs/>
          <w:kern w:val="0"/>
        </w:rPr>
        <w:t>〕</w:t>
      </w:r>
      <w:r>
        <w:rPr>
          <w:rFonts w:ascii="Times New Roman" w:hAnsi="Times New Roman"/>
          <w:bCs/>
          <w:kern w:val="0"/>
        </w:rPr>
        <w:t>134</w:t>
      </w:r>
      <w:r>
        <w:rPr>
          <w:rFonts w:ascii="Times New Roman" w:hAnsi="Times New Roman"/>
          <w:bCs/>
          <w:kern w:val="0"/>
        </w:rPr>
        <w:t>号）要求鸭子荡水库自坝轴线向下游</w:t>
      </w:r>
      <w:r>
        <w:rPr>
          <w:rFonts w:ascii="Times New Roman" w:hAnsi="Times New Roman"/>
          <w:bCs/>
          <w:kern w:val="0"/>
        </w:rPr>
        <w:t>1.8km</w:t>
      </w:r>
      <w:r>
        <w:rPr>
          <w:rFonts w:ascii="Times New Roman" w:hAnsi="Times New Roman"/>
          <w:bCs/>
          <w:kern w:val="0"/>
        </w:rPr>
        <w:t>为临时禁采区</w:t>
      </w:r>
      <w:r>
        <w:rPr>
          <w:rFonts w:ascii="Times New Roman" w:hAnsi="Times New Roman" w:hint="eastAsia"/>
          <w:bCs/>
          <w:kern w:val="0"/>
        </w:rPr>
        <w:t>。</w:t>
      </w:r>
      <w:r>
        <w:rPr>
          <w:rFonts w:ascii="Times New Roman" w:hAnsi="Times New Roman"/>
          <w:bCs/>
          <w:kern w:val="0"/>
        </w:rPr>
        <w:t>为保护这些保护目标不受开采沉陷影响</w:t>
      </w:r>
      <w:r>
        <w:rPr>
          <w:rFonts w:ascii="Times New Roman" w:hAnsi="Times New Roman" w:hint="eastAsia"/>
          <w:bCs/>
          <w:kern w:val="0"/>
        </w:rPr>
        <w:t>，</w:t>
      </w:r>
      <w:r>
        <w:rPr>
          <w:rFonts w:ascii="Times New Roman" w:hAnsi="Times New Roman"/>
          <w:bCs/>
          <w:kern w:val="0"/>
        </w:rPr>
        <w:t>本次评价提出</w:t>
      </w:r>
      <w:r>
        <w:rPr>
          <w:rFonts w:ascii="Times New Roman" w:hAnsi="Times New Roman" w:hint="eastAsia"/>
          <w:bCs/>
          <w:kern w:val="0"/>
        </w:rPr>
        <w:t>，矿区规划井田</w:t>
      </w:r>
      <w:r>
        <w:rPr>
          <w:rFonts w:ascii="Times New Roman" w:hAnsi="Times New Roman"/>
          <w:bCs/>
          <w:kern w:val="0"/>
        </w:rPr>
        <w:t>在后续开采设计和开发过程中</w:t>
      </w:r>
      <w:r>
        <w:rPr>
          <w:rFonts w:ascii="Times New Roman" w:hAnsi="Times New Roman" w:hint="eastAsia"/>
          <w:bCs/>
          <w:kern w:val="0"/>
        </w:rPr>
        <w:t>，</w:t>
      </w:r>
      <w:r>
        <w:rPr>
          <w:rFonts w:ascii="Times New Roman" w:hAnsi="Times New Roman"/>
          <w:bCs/>
          <w:kern w:val="0"/>
        </w:rPr>
        <w:t>应根据实际沉陷观测参数</w:t>
      </w:r>
      <w:r>
        <w:rPr>
          <w:rFonts w:ascii="Times New Roman" w:hAnsi="Times New Roman" w:hint="eastAsia"/>
          <w:bCs/>
          <w:kern w:val="0"/>
        </w:rPr>
        <w:t>，</w:t>
      </w:r>
      <w:r>
        <w:rPr>
          <w:rFonts w:ascii="Times New Roman" w:hAnsi="Times New Roman"/>
          <w:bCs/>
          <w:kern w:val="0"/>
        </w:rPr>
        <w:t>对保护目标留设足够保护煤柱</w:t>
      </w:r>
      <w:r>
        <w:rPr>
          <w:rFonts w:ascii="Times New Roman" w:hAnsi="Times New Roman" w:hint="eastAsia"/>
          <w:bCs/>
          <w:kern w:val="0"/>
        </w:rPr>
        <w:t>，</w:t>
      </w:r>
      <w:r>
        <w:rPr>
          <w:rFonts w:ascii="Times New Roman" w:hAnsi="Times New Roman"/>
          <w:bCs/>
          <w:kern w:val="0"/>
        </w:rPr>
        <w:t>确保不受开采沉陷影响</w:t>
      </w:r>
      <w:r>
        <w:rPr>
          <w:rFonts w:ascii="Times New Roman" w:hAnsi="Times New Roman" w:hint="eastAsia"/>
          <w:bCs/>
          <w:kern w:val="0"/>
        </w:rPr>
        <w:t>。</w:t>
      </w:r>
    </w:p>
    <w:p w14:paraId="1E07058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bCs/>
          <w:kern w:val="0"/>
        </w:rPr>
        <w:t>马莲台后备区、红石湾后备区、任家庄后备区范围与临河工业园区和宁东煤化工园区有部分重叠</w:t>
      </w:r>
      <w:r>
        <w:rPr>
          <w:rFonts w:ascii="Times New Roman" w:hAnsi="Times New Roman" w:hint="eastAsia"/>
        </w:rPr>
        <w:t>。另外，马莲台井田局部与煤化工园区重叠。为避免工业园区受到开采沉陷影响，本次评价建议进一步优化后备区范围，优化后备区开采方式，采取充填开采等保护性开采方式，在论证确保不影响工业园区设施设备安全的情况下再考虑重叠区压覆煤炭资源的开采。</w:t>
      </w:r>
      <w:r>
        <w:rPr>
          <w:rFonts w:ascii="Times New Roman" w:hint="eastAsia"/>
          <w:szCs w:val="24"/>
        </w:rPr>
        <w:t>为提高压覆煤炭资源回收率，结合本区地势较平坦，矸石综合利用量有限，矸石处置困难的情况，本次评价建议，矿区在后续开发过程中，可研究探索实施充填开采等方式，对压覆区煤炭资源进行回收，一方面提高了煤炭资源回收率，另一方面也可处置大量矸石、粉煤灰等矿区产生大量工业固体废物。</w:t>
      </w:r>
    </w:p>
    <w:p w14:paraId="0E6B9689"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rPr>
        <w:t>在采取本次评价提出的优化调整建议和措施后</w:t>
      </w:r>
      <w:r>
        <w:rPr>
          <w:rFonts w:ascii="Times New Roman" w:hAnsi="Times New Roman" w:hint="eastAsia"/>
        </w:rPr>
        <w:t>，</w:t>
      </w:r>
      <w:r>
        <w:rPr>
          <w:rFonts w:ascii="Times New Roman" w:hAnsi="Times New Roman"/>
        </w:rPr>
        <w:t>矿区规划实施对</w:t>
      </w:r>
      <w:r>
        <w:rPr>
          <w:rFonts w:ascii="Times New Roman" w:hAnsi="Times New Roman" w:hint="eastAsia"/>
        </w:rPr>
        <w:t>太中银铁路、高速公路等地面保护目标的影响很小。</w:t>
      </w:r>
    </w:p>
    <w:p w14:paraId="507AC9BB"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13.4.10 </w:t>
      </w:r>
      <w:r>
        <w:rPr>
          <w:rFonts w:ascii="Times New Roman" w:hAnsi="Times New Roman"/>
          <w:sz w:val="24"/>
        </w:rPr>
        <w:t>社会经济影响分析</w:t>
      </w:r>
    </w:p>
    <w:p w14:paraId="1199DB1C"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矿区规划方案实施对当地社会经济的影响利弊并存。有利影响主要表现在促进当地经济发展，</w:t>
      </w:r>
      <w:r>
        <w:rPr>
          <w:rFonts w:ascii="Times New Roman" w:hAnsi="Times New Roman" w:hint="eastAsia"/>
          <w:szCs w:val="24"/>
        </w:rPr>
        <w:t>改善区域基础设施，增加区域经济收入，增加当地群众就业机会，促进国家矿产资源有序开发和</w:t>
      </w:r>
      <w:r>
        <w:rPr>
          <w:rFonts w:ascii="Times New Roman" w:hAnsi="Times New Roman"/>
          <w:szCs w:val="24"/>
        </w:rPr>
        <w:t>国家能源发展战略实施</w:t>
      </w:r>
      <w:r>
        <w:rPr>
          <w:rFonts w:ascii="Times New Roman" w:hAnsi="Times New Roman" w:hint="eastAsia"/>
          <w:szCs w:val="24"/>
        </w:rPr>
        <w:t>等；由于矿区属荒漠草原区，区内无人居住</w:t>
      </w:r>
      <w:r>
        <w:rPr>
          <w:rFonts w:ascii="Times New Roman" w:hAnsi="Times New Roman"/>
          <w:szCs w:val="24"/>
        </w:rPr>
        <w:t>，</w:t>
      </w:r>
      <w:r>
        <w:rPr>
          <w:rFonts w:ascii="Times New Roman" w:hAnsi="Times New Roman" w:hint="eastAsia"/>
          <w:szCs w:val="24"/>
        </w:rPr>
        <w:t>其</w:t>
      </w:r>
      <w:r>
        <w:rPr>
          <w:rFonts w:ascii="Times New Roman" w:hAnsi="Times New Roman"/>
          <w:szCs w:val="24"/>
        </w:rPr>
        <w:t>不利影响</w:t>
      </w:r>
      <w:r>
        <w:rPr>
          <w:rFonts w:ascii="Times New Roman" w:hAnsi="Times New Roman" w:hint="eastAsia"/>
          <w:szCs w:val="24"/>
        </w:rPr>
        <w:t>较小，</w:t>
      </w:r>
      <w:r>
        <w:rPr>
          <w:rFonts w:ascii="Times New Roman" w:hAnsi="Times New Roman"/>
          <w:szCs w:val="24"/>
        </w:rPr>
        <w:t>主要表现在</w:t>
      </w:r>
      <w:r>
        <w:rPr>
          <w:rFonts w:ascii="Times New Roman" w:hAnsi="Times New Roman" w:hint="eastAsia"/>
          <w:szCs w:val="24"/>
        </w:rPr>
        <w:t>矿区</w:t>
      </w:r>
      <w:r>
        <w:rPr>
          <w:rFonts w:ascii="Times New Roman" w:hAnsi="Times New Roman"/>
          <w:szCs w:val="24"/>
        </w:rPr>
        <w:t>采煤沉陷</w:t>
      </w:r>
      <w:r>
        <w:rPr>
          <w:rFonts w:ascii="Times New Roman" w:hAnsi="Times New Roman" w:hint="eastAsia"/>
          <w:szCs w:val="24"/>
        </w:rPr>
        <w:t>对地形地貌、地面设施影响较大造成的不良影响，在</w:t>
      </w:r>
      <w:r>
        <w:rPr>
          <w:rFonts w:ascii="Times New Roman" w:hAnsi="Times New Roman"/>
          <w:szCs w:val="24"/>
        </w:rPr>
        <w:t>按照评价提出的生态恢复措施</w:t>
      </w:r>
      <w:r>
        <w:rPr>
          <w:rFonts w:ascii="Times New Roman" w:hAnsi="Times New Roman" w:hint="eastAsia"/>
          <w:szCs w:val="24"/>
        </w:rPr>
        <w:t>和</w:t>
      </w:r>
      <w:r>
        <w:rPr>
          <w:rFonts w:ascii="Times New Roman" w:hAnsi="Times New Roman"/>
          <w:szCs w:val="24"/>
        </w:rPr>
        <w:t>规划优化调整建议实施后，矿区开发带来的</w:t>
      </w:r>
      <w:r>
        <w:rPr>
          <w:rFonts w:ascii="Times New Roman" w:hAnsi="Times New Roman" w:hint="eastAsia"/>
          <w:szCs w:val="24"/>
        </w:rPr>
        <w:t>社会</w:t>
      </w:r>
      <w:r>
        <w:rPr>
          <w:rFonts w:ascii="Times New Roman" w:hAnsi="Times New Roman"/>
          <w:szCs w:val="24"/>
        </w:rPr>
        <w:t>经济负面</w:t>
      </w:r>
      <w:r>
        <w:rPr>
          <w:rFonts w:ascii="Times New Roman" w:hAnsi="Times New Roman" w:hint="eastAsia"/>
          <w:szCs w:val="24"/>
        </w:rPr>
        <w:t>影响</w:t>
      </w:r>
      <w:r>
        <w:rPr>
          <w:rFonts w:ascii="Times New Roman" w:hAnsi="Times New Roman"/>
          <w:szCs w:val="24"/>
        </w:rPr>
        <w:t>较小</w:t>
      </w:r>
      <w:r>
        <w:rPr>
          <w:rFonts w:ascii="Times New Roman" w:hAnsi="Times New Roman" w:hint="eastAsia"/>
          <w:szCs w:val="24"/>
        </w:rPr>
        <w:t>。</w:t>
      </w:r>
    </w:p>
    <w:p w14:paraId="56778249" w14:textId="77777777" w:rsidR="009C353B" w:rsidRDefault="00000000">
      <w:pPr>
        <w:pStyle w:val="2"/>
        <w:adjustRightInd w:val="0"/>
        <w:snapToGrid w:val="0"/>
        <w:spacing w:line="440" w:lineRule="exact"/>
        <w:jc w:val="left"/>
        <w:rPr>
          <w:rFonts w:ascii="Times New Roman" w:eastAsia="宋体" w:hAnsi="Times New Roman"/>
          <w:b/>
          <w:sz w:val="28"/>
        </w:rPr>
      </w:pPr>
      <w:bookmarkStart w:id="459" w:name="_Toc59189895"/>
      <w:bookmarkStart w:id="460" w:name="_Toc163441062"/>
      <w:r>
        <w:rPr>
          <w:rFonts w:ascii="Times New Roman" w:eastAsia="宋体" w:hAnsi="Times New Roman"/>
          <w:b/>
          <w:sz w:val="28"/>
        </w:rPr>
        <w:t xml:space="preserve">13.5 </w:t>
      </w:r>
      <w:r>
        <w:rPr>
          <w:rFonts w:ascii="Times New Roman" w:eastAsia="宋体" w:hAnsi="Times New Roman"/>
          <w:b/>
          <w:sz w:val="28"/>
        </w:rPr>
        <w:t>矿区资源、环境承载力分析结论</w:t>
      </w:r>
      <w:bookmarkEnd w:id="459"/>
      <w:bookmarkEnd w:id="460"/>
    </w:p>
    <w:p w14:paraId="41CDFE70"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13.5.1 </w:t>
      </w:r>
      <w:r>
        <w:rPr>
          <w:rFonts w:ascii="Times New Roman" w:hAnsi="Times New Roman"/>
          <w:sz w:val="24"/>
        </w:rPr>
        <w:t>矿区水资源承载力分析</w:t>
      </w:r>
    </w:p>
    <w:p w14:paraId="16A6F950" w14:textId="77777777" w:rsidR="009C353B" w:rsidRDefault="00000000">
      <w:pPr>
        <w:adjustRightInd w:val="0"/>
        <w:snapToGrid w:val="0"/>
        <w:spacing w:line="440" w:lineRule="exact"/>
        <w:ind w:firstLineChars="200" w:firstLine="480"/>
        <w:rPr>
          <w:rFonts w:ascii="Times New Roman" w:hint="eastAsia"/>
          <w:szCs w:val="24"/>
        </w:rPr>
      </w:pPr>
      <w:r>
        <w:rPr>
          <w:rFonts w:ascii="Times New Roman" w:hint="eastAsia"/>
          <w:szCs w:val="24"/>
        </w:rPr>
        <w:t>矿区</w:t>
      </w:r>
      <w:r>
        <w:rPr>
          <w:rFonts w:ascii="Times New Roman"/>
          <w:szCs w:val="24"/>
        </w:rPr>
        <w:t>内马莲台、任家</w:t>
      </w:r>
      <w:r>
        <w:rPr>
          <w:rFonts w:ascii="Times New Roman" w:hint="eastAsia"/>
          <w:szCs w:val="24"/>
        </w:rPr>
        <w:t>庄</w:t>
      </w:r>
      <w:r>
        <w:rPr>
          <w:rFonts w:ascii="Times New Roman"/>
          <w:szCs w:val="24"/>
        </w:rPr>
        <w:t>、红石湾煤矿均为生产矿井，其生产能力已达到规划规模，矿区内仅新增</w:t>
      </w:r>
      <w:r>
        <w:rPr>
          <w:rFonts w:ascii="Times New Roman" w:hint="eastAsia"/>
          <w:szCs w:val="24"/>
        </w:rPr>
        <w:t>丁</w:t>
      </w:r>
      <w:r>
        <w:rPr>
          <w:rFonts w:ascii="Times New Roman"/>
          <w:szCs w:val="24"/>
        </w:rPr>
        <w:t>家梁矿井，矿区新增用水量较少。</w:t>
      </w:r>
    </w:p>
    <w:p w14:paraId="1EB737C0" w14:textId="77777777" w:rsidR="009C353B" w:rsidRDefault="00000000">
      <w:pPr>
        <w:adjustRightInd w:val="0"/>
        <w:snapToGrid w:val="0"/>
        <w:spacing w:line="440" w:lineRule="exact"/>
        <w:ind w:firstLineChars="200" w:firstLine="480"/>
        <w:rPr>
          <w:rFonts w:hint="eastAsia"/>
        </w:rPr>
      </w:pPr>
      <w:r>
        <w:rPr>
          <w:rFonts w:hint="eastAsia"/>
        </w:rPr>
        <w:t>分析</w:t>
      </w:r>
      <w:r>
        <w:t>表明，</w:t>
      </w:r>
      <w:r>
        <w:rPr>
          <w:rFonts w:hint="eastAsia"/>
        </w:rPr>
        <w:t>矿区</w:t>
      </w:r>
      <w:r>
        <w:t>内部水资源即可承载矿区规划项目实施需要</w:t>
      </w:r>
      <w:r>
        <w:rPr>
          <w:rFonts w:hint="eastAsia"/>
        </w:rPr>
        <w:t>，</w:t>
      </w:r>
      <w:r>
        <w:t>并有富余水量可</w:t>
      </w:r>
      <w:r>
        <w:rPr>
          <w:rFonts w:hint="eastAsia"/>
        </w:rPr>
        <w:t>供电厂或煤化工园区综合利用，</w:t>
      </w:r>
      <w:r>
        <w:t>区域水资源可以承载矿区开发</w:t>
      </w:r>
      <w:r>
        <w:rPr>
          <w:rFonts w:hint="eastAsia"/>
        </w:rPr>
        <w:t>用水</w:t>
      </w:r>
      <w:r>
        <w:t>需求。</w:t>
      </w:r>
    </w:p>
    <w:p w14:paraId="75E27160" w14:textId="77777777" w:rsidR="009C353B" w:rsidRDefault="00000000">
      <w:pPr>
        <w:pStyle w:val="3"/>
        <w:adjustRightInd w:val="0"/>
        <w:snapToGrid w:val="0"/>
        <w:spacing w:before="0" w:after="0" w:line="440" w:lineRule="exact"/>
        <w:rPr>
          <w:rFonts w:ascii="Times New Roman" w:hAnsi="Times New Roman"/>
          <w:sz w:val="24"/>
        </w:rPr>
      </w:pPr>
      <w:r>
        <w:rPr>
          <w:rFonts w:ascii="Times New Roman" w:hAnsi="Times New Roman"/>
          <w:sz w:val="24"/>
        </w:rPr>
        <w:t xml:space="preserve">13.5.2 </w:t>
      </w:r>
      <w:r>
        <w:rPr>
          <w:rFonts w:ascii="Times New Roman" w:hAnsi="Times New Roman"/>
          <w:sz w:val="24"/>
        </w:rPr>
        <w:t>矿区环境承载力分析</w:t>
      </w:r>
    </w:p>
    <w:p w14:paraId="0B246BA9" w14:textId="77777777" w:rsidR="009C353B" w:rsidRDefault="00000000">
      <w:pPr>
        <w:adjustRightInd w:val="0"/>
        <w:snapToGrid w:val="0"/>
        <w:spacing w:line="440" w:lineRule="exact"/>
        <w:ind w:firstLineChars="200" w:firstLine="480"/>
        <w:rPr>
          <w:rFonts w:ascii="Times New Roman" w:hAnsi="Times New Roman"/>
          <w:szCs w:val="24"/>
        </w:rPr>
      </w:pPr>
      <w:bookmarkStart w:id="461" w:name="_Toc163441064"/>
      <w:r>
        <w:rPr>
          <w:rFonts w:ascii="Times New Roman" w:hAnsi="Times New Roman"/>
          <w:szCs w:val="24"/>
        </w:rPr>
        <w:t>（</w:t>
      </w:r>
      <w:r>
        <w:rPr>
          <w:rFonts w:ascii="Times New Roman" w:hAnsi="Times New Roman"/>
          <w:szCs w:val="24"/>
        </w:rPr>
        <w:t>1</w:t>
      </w:r>
      <w:r>
        <w:rPr>
          <w:rFonts w:ascii="Times New Roman" w:hAnsi="Times New Roman"/>
          <w:szCs w:val="24"/>
        </w:rPr>
        <w:t>）生态承载力可以</w:t>
      </w:r>
      <w:r>
        <w:rPr>
          <w:rFonts w:ascii="Times New Roman" w:hAnsi="Times New Roman" w:hint="eastAsia"/>
          <w:szCs w:val="24"/>
        </w:rPr>
        <w:t>承载</w:t>
      </w:r>
      <w:r>
        <w:rPr>
          <w:rFonts w:ascii="Times New Roman" w:hAnsi="Times New Roman"/>
          <w:szCs w:val="24"/>
        </w:rPr>
        <w:t>矿区规划</w:t>
      </w:r>
      <w:r>
        <w:rPr>
          <w:rFonts w:ascii="Times New Roman" w:hAnsi="Times New Roman" w:hint="eastAsia"/>
          <w:szCs w:val="24"/>
        </w:rPr>
        <w:t>实施</w:t>
      </w:r>
    </w:p>
    <w:p w14:paraId="0F42E892"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评价区的生态承载力属于“不稳定低承载较高压力水平”。因该区域生态系统不稳定，对外界干扰的抵抗和恢复能力较低，且目前区域已存在较高的生态压力，因此在矿区开发过程中，应加强土地资源保护，尽量减少永久占用土地，沉陷造成的土地破坏应及时采取措施加以减缓、恢复；开展清洁生产，提高污废水资源化利用率，减少新鲜水消耗，缓解矿区开发对区域水资源的影响；另外要加强矿区开发“三废”治理力度，使“三废”</w:t>
      </w:r>
      <w:r>
        <w:rPr>
          <w:rFonts w:ascii="Times New Roman" w:hAnsi="Times New Roman"/>
          <w:szCs w:val="24"/>
        </w:rPr>
        <w:t>100</w:t>
      </w:r>
      <w:r>
        <w:rPr>
          <w:rFonts w:ascii="Times New Roman" w:hAnsi="Times New Roman" w:hint="eastAsia"/>
          <w:szCs w:val="24"/>
        </w:rPr>
        <w:t>％达标排放，污废水排放必须满足水环境功能区划要求；应尽量减少矿区开发固体废弃物产生量，已产生的应进行综合利用和无害化处理。</w:t>
      </w:r>
    </w:p>
    <w:p w14:paraId="14E0E90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）大气环境理论环境容量可以满足矿区开发的需求</w:t>
      </w:r>
    </w:p>
    <w:p w14:paraId="13589008"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横城矿区</w:t>
      </w:r>
      <w:r>
        <w:rPr>
          <w:rFonts w:ascii="Times New Roman" w:hAnsi="Times New Roman" w:hint="eastAsia"/>
          <w:szCs w:val="24"/>
        </w:rPr>
        <w:t>（修编）</w:t>
      </w:r>
      <w:r>
        <w:rPr>
          <w:rFonts w:ascii="Times New Roman" w:hAnsi="Times New Roman"/>
          <w:szCs w:val="24"/>
        </w:rPr>
        <w:t>规划</w:t>
      </w:r>
      <w:r>
        <w:rPr>
          <w:rFonts w:ascii="Times New Roman" w:hAnsi="Times New Roman" w:hint="eastAsia"/>
          <w:szCs w:val="24"/>
        </w:rPr>
        <w:t>实施后，</w:t>
      </w:r>
      <w:r>
        <w:rPr>
          <w:rFonts w:ascii="Times New Roman" w:hAnsi="Times New Roman"/>
          <w:szCs w:val="24"/>
        </w:rPr>
        <w:t>NO</w:t>
      </w:r>
      <w:r>
        <w:rPr>
          <w:rFonts w:ascii="Times New Roman" w:hAnsi="Times New Roman"/>
          <w:szCs w:val="24"/>
          <w:vertAlign w:val="subscript"/>
        </w:rPr>
        <w:t>X</w:t>
      </w:r>
      <w:r>
        <w:rPr>
          <w:rFonts w:ascii="Times New Roman" w:hAnsi="Times New Roman" w:hint="eastAsia"/>
          <w:szCs w:val="24"/>
        </w:rPr>
        <w:t>理论</w:t>
      </w:r>
      <w:r>
        <w:rPr>
          <w:rFonts w:ascii="Times New Roman" w:hAnsi="Times New Roman"/>
          <w:szCs w:val="24"/>
        </w:rPr>
        <w:t>剩余容量为</w:t>
      </w:r>
      <w:r>
        <w:rPr>
          <w:rFonts w:ascii="Times New Roman" w:hAnsi="Times New Roman" w:hint="eastAsia"/>
          <w:szCs w:val="24"/>
        </w:rPr>
        <w:t>428.6</w:t>
      </w:r>
      <w:r>
        <w:rPr>
          <w:rFonts w:ascii="Times New Roman" w:hAnsi="Times New Roman"/>
          <w:szCs w:val="24"/>
        </w:rPr>
        <w:t>1t/a</w:t>
      </w:r>
      <w:r>
        <w:rPr>
          <w:rFonts w:ascii="Times New Roman" w:hAnsi="Times New Roman"/>
          <w:szCs w:val="24"/>
        </w:rPr>
        <w:t>。</w:t>
      </w:r>
      <w:r>
        <w:rPr>
          <w:rFonts w:ascii="Times New Roman" w:hAnsi="Times New Roman" w:hint="eastAsia"/>
          <w:szCs w:val="24"/>
        </w:rPr>
        <w:t>矿区达产</w:t>
      </w:r>
      <w:r>
        <w:rPr>
          <w:rFonts w:ascii="Times New Roman" w:hAnsi="Times New Roman"/>
          <w:szCs w:val="24"/>
        </w:rPr>
        <w:t>（</w:t>
      </w:r>
      <w:r>
        <w:rPr>
          <w:rFonts w:ascii="Times New Roman" w:hAnsi="Times New Roman"/>
          <w:szCs w:val="24"/>
        </w:rPr>
        <w:t>2022</w:t>
      </w:r>
      <w:r>
        <w:rPr>
          <w:rFonts w:ascii="Times New Roman" w:hAnsi="Times New Roman"/>
          <w:szCs w:val="24"/>
        </w:rPr>
        <w:t>年后）矿区</w:t>
      </w:r>
      <w:r>
        <w:rPr>
          <w:rFonts w:ascii="Times New Roman" w:hAnsi="Times New Roman" w:hint="eastAsia"/>
          <w:szCs w:val="24"/>
        </w:rPr>
        <w:t>N</w:t>
      </w:r>
      <w:r>
        <w:rPr>
          <w:rFonts w:ascii="Times New Roman" w:hAnsi="Times New Roman"/>
          <w:szCs w:val="24"/>
        </w:rPr>
        <w:t>O</w:t>
      </w:r>
      <w:r>
        <w:rPr>
          <w:rFonts w:ascii="Times New Roman" w:hAnsi="Times New Roman"/>
          <w:szCs w:val="24"/>
          <w:vertAlign w:val="subscript"/>
        </w:rPr>
        <w:t>X</w:t>
      </w:r>
      <w:r>
        <w:rPr>
          <w:rFonts w:ascii="Times New Roman" w:hAnsi="Times New Roman"/>
          <w:szCs w:val="24"/>
        </w:rPr>
        <w:t>排放量占现状剩余</w:t>
      </w:r>
      <w:r>
        <w:rPr>
          <w:rFonts w:ascii="Times New Roman" w:hAnsi="Times New Roman" w:hint="eastAsia"/>
          <w:szCs w:val="24"/>
        </w:rPr>
        <w:t>大气</w:t>
      </w:r>
      <w:r>
        <w:rPr>
          <w:rFonts w:ascii="Times New Roman" w:hAnsi="Times New Roman"/>
          <w:szCs w:val="24"/>
        </w:rPr>
        <w:t>容量</w:t>
      </w:r>
      <w:r>
        <w:rPr>
          <w:rFonts w:ascii="Times New Roman" w:hAnsi="Times New Roman" w:hint="eastAsia"/>
          <w:szCs w:val="24"/>
        </w:rPr>
        <w:t>的</w:t>
      </w:r>
      <w:r>
        <w:rPr>
          <w:rFonts w:ascii="Times New Roman" w:hAnsi="Times New Roman" w:hint="eastAsia"/>
          <w:szCs w:val="24"/>
        </w:rPr>
        <w:t>2.75%</w:t>
      </w:r>
      <w:r>
        <w:rPr>
          <w:rFonts w:ascii="Times New Roman" w:hAnsi="Times New Roman" w:hint="eastAsia"/>
          <w:szCs w:val="24"/>
        </w:rPr>
        <w:t>，</w:t>
      </w:r>
      <w:r>
        <w:rPr>
          <w:rFonts w:ascii="Times New Roman" w:hAnsi="Times New Roman"/>
          <w:szCs w:val="24"/>
        </w:rPr>
        <w:t>因此，矿区现状</w:t>
      </w:r>
      <w:r>
        <w:rPr>
          <w:rFonts w:ascii="Times New Roman" w:hAnsi="Times New Roman"/>
          <w:szCs w:val="24"/>
        </w:rPr>
        <w:t>NO</w:t>
      </w:r>
      <w:r>
        <w:rPr>
          <w:rFonts w:ascii="Times New Roman" w:hAnsi="Times New Roman"/>
          <w:szCs w:val="24"/>
          <w:vertAlign w:val="subscript"/>
        </w:rPr>
        <w:t>X</w:t>
      </w:r>
      <w:r>
        <w:rPr>
          <w:rFonts w:ascii="Times New Roman" w:hAnsi="Times New Roman"/>
          <w:szCs w:val="24"/>
        </w:rPr>
        <w:t>剩余容量能够承载矿区规划项目</w:t>
      </w:r>
      <w:r>
        <w:rPr>
          <w:rFonts w:ascii="Times New Roman" w:hAnsi="Times New Roman"/>
          <w:szCs w:val="24"/>
        </w:rPr>
        <w:t>NO</w:t>
      </w:r>
      <w:r>
        <w:rPr>
          <w:rFonts w:ascii="Times New Roman" w:hAnsi="Times New Roman"/>
          <w:szCs w:val="24"/>
          <w:vertAlign w:val="subscript"/>
        </w:rPr>
        <w:t>X</w:t>
      </w:r>
      <w:r>
        <w:rPr>
          <w:rFonts w:ascii="Times New Roman" w:hAnsi="Times New Roman"/>
          <w:szCs w:val="24"/>
        </w:rPr>
        <w:t>排放需要。</w:t>
      </w:r>
      <w:r>
        <w:rPr>
          <w:rFonts w:ascii="Times New Roman" w:hAnsi="Times New Roman" w:hint="eastAsia"/>
          <w:szCs w:val="24"/>
        </w:rPr>
        <w:t>横城矿区</w:t>
      </w:r>
      <w:r>
        <w:rPr>
          <w:rFonts w:ascii="Times New Roman" w:hAnsi="Times New Roman"/>
          <w:szCs w:val="24"/>
        </w:rPr>
        <w:t>规划</w:t>
      </w:r>
      <w:r>
        <w:rPr>
          <w:rFonts w:ascii="Times New Roman" w:hAnsi="Times New Roman" w:hint="eastAsia"/>
          <w:szCs w:val="24"/>
        </w:rPr>
        <w:t>（修编）氮氧化物排放总量可以满足现有总量指标要求，不需新申请</w:t>
      </w:r>
      <w:r>
        <w:rPr>
          <w:rFonts w:ascii="Times New Roman" w:hAnsi="Times New Roman"/>
          <w:szCs w:val="24"/>
        </w:rPr>
        <w:t>总量</w:t>
      </w:r>
      <w:r>
        <w:rPr>
          <w:rFonts w:ascii="Times New Roman" w:hAnsi="Times New Roman" w:hint="eastAsia"/>
          <w:szCs w:val="24"/>
        </w:rPr>
        <w:t>指标。</w:t>
      </w:r>
    </w:p>
    <w:p w14:paraId="479A384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3</w:t>
      </w:r>
      <w:r>
        <w:rPr>
          <w:rFonts w:ascii="Times New Roman" w:hAnsi="Times New Roman"/>
          <w:szCs w:val="24"/>
        </w:rPr>
        <w:t>）水环境容量</w:t>
      </w:r>
      <w:r>
        <w:rPr>
          <w:rFonts w:ascii="Times New Roman" w:hAnsi="Times New Roman" w:hint="eastAsia"/>
          <w:szCs w:val="24"/>
        </w:rPr>
        <w:t>可以满足矿区开发的需求</w:t>
      </w:r>
    </w:p>
    <w:p w14:paraId="026CFC0B"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横城矿区</w:t>
      </w:r>
      <w:r>
        <w:rPr>
          <w:rFonts w:ascii="Times New Roman" w:hAnsi="Times New Roman"/>
          <w:szCs w:val="24"/>
        </w:rPr>
        <w:t>生产废水主要为矿井水</w:t>
      </w:r>
      <w:r>
        <w:rPr>
          <w:rFonts w:ascii="Times New Roman" w:hAnsi="Times New Roman" w:hint="eastAsia"/>
          <w:szCs w:val="24"/>
        </w:rPr>
        <w:t>、</w:t>
      </w:r>
      <w:r>
        <w:rPr>
          <w:rFonts w:ascii="Times New Roman" w:hAnsi="Times New Roman"/>
          <w:szCs w:val="24"/>
        </w:rPr>
        <w:t>生活污水处理后全部回用，多余部分供给</w:t>
      </w:r>
      <w:r>
        <w:rPr>
          <w:rFonts w:ascii="Times New Roman" w:hAnsi="Times New Roman" w:hint="eastAsia"/>
          <w:szCs w:val="24"/>
        </w:rPr>
        <w:t>电厂和煤化工园区</w:t>
      </w:r>
      <w:r>
        <w:rPr>
          <w:rFonts w:ascii="Times New Roman" w:hAnsi="Times New Roman"/>
          <w:szCs w:val="24"/>
        </w:rPr>
        <w:t>，无废水排放，</w:t>
      </w:r>
      <w:r>
        <w:rPr>
          <w:rFonts w:ascii="Times New Roman" w:hAnsi="Times New Roman"/>
          <w:szCs w:val="24"/>
        </w:rPr>
        <w:t>COD</w:t>
      </w:r>
      <w:r>
        <w:rPr>
          <w:rFonts w:ascii="Times New Roman" w:hAnsi="Times New Roman" w:hint="eastAsia"/>
          <w:szCs w:val="24"/>
        </w:rPr>
        <w:t>和氨氮</w:t>
      </w:r>
      <w:r>
        <w:rPr>
          <w:rFonts w:ascii="Times New Roman" w:hAnsi="Times New Roman"/>
          <w:szCs w:val="24"/>
        </w:rPr>
        <w:t>排放量为</w:t>
      </w:r>
      <w:r>
        <w:rPr>
          <w:rFonts w:ascii="Times New Roman" w:hAnsi="Times New Roman"/>
          <w:szCs w:val="24"/>
        </w:rPr>
        <w:t>0t/a</w:t>
      </w:r>
      <w:r>
        <w:rPr>
          <w:rFonts w:ascii="Times New Roman" w:hAnsi="Times New Roman"/>
          <w:szCs w:val="24"/>
        </w:rPr>
        <w:t>，可见水环境容量能够承载矿区开发要求。</w:t>
      </w:r>
    </w:p>
    <w:p w14:paraId="2A0DF11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hint="eastAsia"/>
          <w:szCs w:val="24"/>
        </w:rPr>
        <w:t>综上所述，</w:t>
      </w:r>
      <w:r>
        <w:rPr>
          <w:rFonts w:ascii="Times New Roman" w:hAnsi="Times New Roman"/>
          <w:szCs w:val="24"/>
        </w:rPr>
        <w:t>从资源和环境承载力角度来看，矿区</w:t>
      </w:r>
      <w:r>
        <w:rPr>
          <w:rFonts w:ascii="Times New Roman" w:hAnsi="Times New Roman" w:hint="eastAsia"/>
          <w:szCs w:val="24"/>
        </w:rPr>
        <w:t>资源</w:t>
      </w:r>
      <w:r>
        <w:rPr>
          <w:rFonts w:ascii="Times New Roman" w:hAnsi="Times New Roman"/>
          <w:szCs w:val="24"/>
        </w:rPr>
        <w:t>环境可以支撑矿区</w:t>
      </w:r>
      <w:r>
        <w:rPr>
          <w:rFonts w:ascii="Times New Roman" w:hAnsi="Times New Roman" w:hint="eastAsia"/>
          <w:szCs w:val="24"/>
        </w:rPr>
        <w:t>规划</w:t>
      </w:r>
      <w:r>
        <w:rPr>
          <w:rFonts w:ascii="Times New Roman" w:hAnsi="Times New Roman"/>
          <w:szCs w:val="24"/>
        </w:rPr>
        <w:t>实施。</w:t>
      </w:r>
    </w:p>
    <w:p w14:paraId="73E6B095" w14:textId="77777777" w:rsidR="009C353B" w:rsidRDefault="00000000">
      <w:pPr>
        <w:pStyle w:val="2"/>
        <w:adjustRightInd w:val="0"/>
        <w:snapToGrid w:val="0"/>
        <w:spacing w:line="440" w:lineRule="exact"/>
        <w:jc w:val="left"/>
        <w:rPr>
          <w:rFonts w:ascii="Times New Roman" w:eastAsia="宋体" w:hAnsi="Times New Roman"/>
          <w:b/>
          <w:sz w:val="28"/>
        </w:rPr>
      </w:pPr>
      <w:bookmarkStart w:id="462" w:name="_Toc59189896"/>
      <w:r>
        <w:rPr>
          <w:rFonts w:ascii="Times New Roman" w:eastAsia="宋体" w:hAnsi="Times New Roman"/>
          <w:b/>
          <w:sz w:val="28"/>
        </w:rPr>
        <w:t xml:space="preserve">13.6 </w:t>
      </w:r>
      <w:r>
        <w:rPr>
          <w:rFonts w:ascii="Times New Roman" w:eastAsia="宋体" w:hAnsi="Times New Roman"/>
          <w:b/>
          <w:sz w:val="28"/>
        </w:rPr>
        <w:t>清洁生产与矿区循环经济分析结论</w:t>
      </w:r>
      <w:bookmarkEnd w:id="461"/>
      <w:bookmarkEnd w:id="462"/>
    </w:p>
    <w:p w14:paraId="741141EE" w14:textId="77777777" w:rsidR="009C353B" w:rsidRDefault="00000000">
      <w:pPr>
        <w:adjustRightInd w:val="0"/>
        <w:snapToGrid w:val="0"/>
        <w:spacing w:line="440" w:lineRule="exact"/>
        <w:ind w:firstLineChars="200" w:firstLine="480"/>
        <w:rPr>
          <w:rFonts w:ascii="Times New Roman" w:hAnsi="Times New Roman"/>
          <w:szCs w:val="24"/>
        </w:rPr>
      </w:pPr>
      <w:bookmarkStart w:id="463" w:name="_Toc163441065"/>
      <w:r>
        <w:rPr>
          <w:rFonts w:ascii="Times New Roman" w:hAnsi="Times New Roman"/>
          <w:szCs w:val="24"/>
        </w:rPr>
        <w:t>建议矿区煤矿清洁生产控制指标达到《</w:t>
      </w:r>
      <w:r>
        <w:rPr>
          <w:rFonts w:ascii="Times New Roman" w:hAnsi="Times New Roman" w:hint="eastAsia"/>
          <w:szCs w:val="24"/>
        </w:rPr>
        <w:t>煤炭采选业清洁生产评价指标体系</w:t>
      </w:r>
      <w:r>
        <w:rPr>
          <w:rFonts w:ascii="Times New Roman" w:hAnsi="Times New Roman"/>
          <w:szCs w:val="24"/>
        </w:rPr>
        <w:t>》清洁生产水平</w:t>
      </w:r>
      <w:r>
        <w:rPr>
          <w:rFonts w:ascii="Times New Roman" w:hAnsi="Times New Roman" w:hint="eastAsia"/>
          <w:szCs w:val="24"/>
        </w:rPr>
        <w:t>Ⅰ级</w:t>
      </w:r>
      <w:r>
        <w:rPr>
          <w:rFonts w:ascii="Times New Roman" w:hAnsi="Times New Roman"/>
          <w:szCs w:val="24"/>
        </w:rPr>
        <w:t>水平。</w:t>
      </w:r>
    </w:p>
    <w:p w14:paraId="551B46C3"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矿区具有丰富的煤炭资源及煤炭生产过程中的副产品，为矿区发展循环经济、延伸产业链条提供了充足的条件，具有循环经济发展的潜力。矿区应遵循</w:t>
      </w:r>
      <w:r>
        <w:rPr>
          <w:rFonts w:ascii="Times New Roman" w:hAnsi="Times New Roman"/>
          <w:szCs w:val="24"/>
        </w:rPr>
        <w:t>“3R”</w:t>
      </w:r>
      <w:r>
        <w:rPr>
          <w:rFonts w:ascii="Times New Roman" w:hAnsi="Times New Roman"/>
          <w:szCs w:val="24"/>
        </w:rPr>
        <w:t>和全过程设计的原则，从资源利用输入端减量化、生产过程的资源再利用和末端资源综合利用、输出端废物减量排放和生态环境保护三方面构建矿区循环经济发展模式，建议矿区产业链设计可走</w:t>
      </w:r>
      <w:r>
        <w:rPr>
          <w:rFonts w:ascii="Times New Roman" w:hAnsi="Times New Roman" w:hint="eastAsia"/>
          <w:szCs w:val="24"/>
        </w:rPr>
        <w:t>“</w:t>
      </w:r>
      <w:r>
        <w:rPr>
          <w:rFonts w:ascii="Times New Roman" w:hAnsi="Times New Roman"/>
          <w:szCs w:val="24"/>
        </w:rPr>
        <w:t>煤炭</w:t>
      </w:r>
      <w:r>
        <w:rPr>
          <w:rFonts w:ascii="Times New Roman" w:hAnsi="Times New Roman"/>
          <w:szCs w:val="24"/>
        </w:rPr>
        <w:t>-</w:t>
      </w:r>
      <w:r>
        <w:rPr>
          <w:rFonts w:ascii="Times New Roman" w:hAnsi="Times New Roman"/>
          <w:szCs w:val="24"/>
        </w:rPr>
        <w:t>电力</w:t>
      </w:r>
      <w:r>
        <w:rPr>
          <w:rFonts w:ascii="Times New Roman" w:hAnsi="Times New Roman"/>
          <w:szCs w:val="24"/>
        </w:rPr>
        <w:t>-</w:t>
      </w:r>
      <w:r>
        <w:rPr>
          <w:rFonts w:ascii="Times New Roman" w:hAnsi="Times New Roman"/>
          <w:szCs w:val="24"/>
        </w:rPr>
        <w:t>市场、煤炭</w:t>
      </w:r>
      <w:r>
        <w:rPr>
          <w:rFonts w:ascii="Times New Roman" w:hAnsi="Times New Roman"/>
          <w:szCs w:val="24"/>
        </w:rPr>
        <w:t>-</w:t>
      </w:r>
      <w:r>
        <w:rPr>
          <w:rFonts w:ascii="Times New Roman" w:hAnsi="Times New Roman"/>
          <w:szCs w:val="24"/>
        </w:rPr>
        <w:t>电力</w:t>
      </w:r>
      <w:r>
        <w:rPr>
          <w:rFonts w:ascii="Times New Roman" w:hAnsi="Times New Roman"/>
          <w:szCs w:val="24"/>
        </w:rPr>
        <w:t>-</w:t>
      </w:r>
      <w:r>
        <w:rPr>
          <w:rFonts w:ascii="Times New Roman" w:hAnsi="Times New Roman" w:hint="eastAsia"/>
          <w:szCs w:val="24"/>
        </w:rPr>
        <w:t>煤化工</w:t>
      </w:r>
      <w:r>
        <w:rPr>
          <w:rFonts w:ascii="Times New Roman" w:hAnsi="Times New Roman"/>
          <w:szCs w:val="24"/>
        </w:rPr>
        <w:t>-</w:t>
      </w:r>
      <w:r>
        <w:rPr>
          <w:rFonts w:ascii="Times New Roman" w:hAnsi="Times New Roman"/>
          <w:szCs w:val="24"/>
        </w:rPr>
        <w:t>市场</w:t>
      </w:r>
      <w:r>
        <w:rPr>
          <w:rFonts w:ascii="Times New Roman" w:hAnsi="Times New Roman" w:hint="eastAsia"/>
          <w:szCs w:val="24"/>
        </w:rPr>
        <w:t>”</w:t>
      </w:r>
      <w:r>
        <w:rPr>
          <w:rFonts w:ascii="Times New Roman" w:hAnsi="Times New Roman"/>
          <w:szCs w:val="24"/>
        </w:rPr>
        <w:t>等发展模式。</w:t>
      </w:r>
    </w:p>
    <w:p w14:paraId="1276980F" w14:textId="77777777" w:rsidR="009C353B" w:rsidRDefault="00000000">
      <w:pPr>
        <w:pStyle w:val="2"/>
        <w:adjustRightInd w:val="0"/>
        <w:snapToGrid w:val="0"/>
        <w:spacing w:line="440" w:lineRule="exact"/>
        <w:jc w:val="left"/>
        <w:rPr>
          <w:rFonts w:ascii="Times New Roman" w:eastAsia="宋体" w:hAnsi="Times New Roman"/>
          <w:b/>
          <w:sz w:val="28"/>
        </w:rPr>
      </w:pPr>
      <w:bookmarkStart w:id="464" w:name="_Toc59189897"/>
      <w:r>
        <w:rPr>
          <w:rFonts w:ascii="Times New Roman" w:eastAsia="宋体" w:hAnsi="Times New Roman"/>
          <w:b/>
          <w:sz w:val="28"/>
        </w:rPr>
        <w:t xml:space="preserve">13.7 </w:t>
      </w:r>
      <w:r>
        <w:rPr>
          <w:rFonts w:ascii="Times New Roman" w:eastAsia="宋体" w:hAnsi="Times New Roman"/>
          <w:b/>
          <w:sz w:val="28"/>
        </w:rPr>
        <w:t>公众参与结论</w:t>
      </w:r>
      <w:bookmarkEnd w:id="463"/>
      <w:bookmarkEnd w:id="464"/>
    </w:p>
    <w:p w14:paraId="6AB43C88" w14:textId="77777777" w:rsidR="009C353B" w:rsidRDefault="00000000">
      <w:pPr>
        <w:adjustRightInd w:val="0"/>
        <w:snapToGrid w:val="0"/>
        <w:spacing w:line="440" w:lineRule="exact"/>
        <w:ind w:firstLineChars="200" w:firstLine="480"/>
        <w:rPr>
          <w:rFonts w:ascii="Times New Roman" w:hAnsi="Times New Roman"/>
          <w:kern w:val="0"/>
        </w:rPr>
      </w:pPr>
      <w:r>
        <w:rPr>
          <w:rFonts w:ascii="Times New Roman" w:hAnsi="Times New Roman"/>
        </w:rPr>
        <w:t>本次公众参与形式严格按照《环境影响评价公众参与暂行办法》中的规定开展，</w:t>
      </w:r>
      <w:r>
        <w:rPr>
          <w:rFonts w:ascii="Times New Roman" w:hAnsi="Times New Roman" w:hint="eastAsia"/>
        </w:rPr>
        <w:t>公众参与信息公示分二次进行</w:t>
      </w:r>
      <w:r>
        <w:rPr>
          <w:rFonts w:ascii="Times New Roman" w:hAnsi="Times New Roman"/>
        </w:rPr>
        <w:t>：</w:t>
      </w:r>
      <w:r>
        <w:rPr>
          <w:rFonts w:ascii="Times New Roman" w:hAnsi="Times New Roman" w:hint="eastAsia"/>
          <w:kern w:val="0"/>
        </w:rPr>
        <w:t>第一次是在接到规划环评报告书编制委托书后进行，采取在自治区发改委政府网站公示的形式；第二次是在环境影响评价报告书基本编制完成及报送环境保护行政主管部门审批前进行，采用在当地新闻媒体、互联网上、及张贴公告的形式发布信息公告及报告书，同时发放问卷调查表的形式。</w:t>
      </w:r>
    </w:p>
    <w:p w14:paraId="1F831961"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公众参与调查结果显示：矿区</w:t>
      </w:r>
      <w:r>
        <w:rPr>
          <w:rFonts w:ascii="Times New Roman" w:hAnsi="Times New Roman" w:hint="eastAsia"/>
        </w:rPr>
        <w:t>所在区域政府部门</w:t>
      </w:r>
      <w:r>
        <w:rPr>
          <w:rFonts w:ascii="Times New Roman" w:hAnsi="Times New Roman"/>
        </w:rPr>
        <w:t>是</w:t>
      </w:r>
      <w:r>
        <w:rPr>
          <w:rFonts w:ascii="Times New Roman" w:hAnsi="Times New Roman" w:hint="eastAsia"/>
        </w:rPr>
        <w:t>了解并</w:t>
      </w:r>
      <w:r>
        <w:rPr>
          <w:rFonts w:ascii="Times New Roman" w:hAnsi="Times New Roman"/>
        </w:rPr>
        <w:t>支持本矿区规划实施的，但也担心一些问题，诸如</w:t>
      </w:r>
      <w:r>
        <w:rPr>
          <w:rFonts w:ascii="Times New Roman" w:hAnsi="Times New Roman" w:hint="eastAsia"/>
        </w:rPr>
        <w:t>矿区生态环境影响、水土流失、矿井水及煤矸石的综合利用以及文物和宁夏灵武白芨滩国家级保护区的保护等问题</w:t>
      </w:r>
      <w:r>
        <w:rPr>
          <w:rFonts w:ascii="Times New Roman" w:hAnsi="Times New Roman"/>
        </w:rPr>
        <w:t>。本报告对此一一作出解答，矿区周边群众和团体反映的问题均能得到妥善解决。</w:t>
      </w:r>
    </w:p>
    <w:p w14:paraId="03716E44" w14:textId="77777777" w:rsidR="009C353B" w:rsidRDefault="00000000">
      <w:pPr>
        <w:keepNext/>
        <w:keepLines/>
        <w:snapToGrid w:val="0"/>
        <w:spacing w:before="260" w:after="260" w:line="440" w:lineRule="exact"/>
        <w:outlineLvl w:val="1"/>
        <w:rPr>
          <w:rFonts w:ascii="Times New Roman" w:hAnsi="Times New Roman"/>
          <w:b/>
          <w:sz w:val="28"/>
        </w:rPr>
      </w:pPr>
      <w:bookmarkStart w:id="465" w:name="_Toc411499252"/>
      <w:bookmarkStart w:id="466" w:name="_Toc307823692"/>
      <w:bookmarkStart w:id="467" w:name="_Toc288469935"/>
      <w:bookmarkStart w:id="468" w:name="_Toc328056888"/>
      <w:bookmarkStart w:id="469" w:name="_Toc285788135"/>
      <w:bookmarkStart w:id="470" w:name="_Toc277235577"/>
      <w:bookmarkStart w:id="471" w:name="_Toc277236022"/>
      <w:bookmarkStart w:id="472" w:name="_Toc293674529"/>
      <w:bookmarkStart w:id="473" w:name="_Toc329696028"/>
      <w:bookmarkStart w:id="474" w:name="_Toc59189898"/>
      <w:bookmarkStart w:id="475" w:name="_Toc306374343"/>
      <w:r>
        <w:rPr>
          <w:rFonts w:ascii="Times New Roman" w:hAnsi="Times New Roman"/>
          <w:b/>
          <w:sz w:val="28"/>
        </w:rPr>
        <w:t>13.</w:t>
      </w:r>
      <w:r>
        <w:rPr>
          <w:rFonts w:ascii="Times New Roman" w:hAnsi="Times New Roman" w:hint="eastAsia"/>
          <w:b/>
          <w:sz w:val="28"/>
        </w:rPr>
        <w:t>8</w:t>
      </w:r>
      <w:r>
        <w:rPr>
          <w:rFonts w:ascii="Times New Roman" w:hAnsi="Times New Roman"/>
          <w:b/>
          <w:sz w:val="28"/>
        </w:rPr>
        <w:t xml:space="preserve"> </w:t>
      </w:r>
      <w:r>
        <w:rPr>
          <w:rFonts w:ascii="Times New Roman" w:hAnsi="Times New Roman"/>
          <w:b/>
          <w:sz w:val="28"/>
        </w:rPr>
        <w:t>矿区规划综合论证结论</w:t>
      </w:r>
      <w:bookmarkEnd w:id="465"/>
      <w:bookmarkEnd w:id="466"/>
      <w:bookmarkEnd w:id="467"/>
      <w:bookmarkEnd w:id="468"/>
      <w:bookmarkEnd w:id="469"/>
      <w:bookmarkEnd w:id="470"/>
      <w:bookmarkEnd w:id="471"/>
      <w:bookmarkEnd w:id="472"/>
      <w:bookmarkEnd w:id="473"/>
      <w:bookmarkEnd w:id="474"/>
      <w:bookmarkEnd w:id="475"/>
    </w:p>
    <w:p w14:paraId="319FD9E1"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1</w:t>
      </w:r>
      <w:r>
        <w:rPr>
          <w:rFonts w:ascii="Times New Roman" w:hAnsi="Times New Roman"/>
          <w:szCs w:val="24"/>
        </w:rPr>
        <w:t>）矿区</w:t>
      </w:r>
      <w:r>
        <w:rPr>
          <w:rFonts w:ascii="Times New Roman" w:hAnsi="Times New Roman" w:hint="eastAsia"/>
          <w:szCs w:val="24"/>
        </w:rPr>
        <w:t>产业布局和发展方向</w:t>
      </w:r>
    </w:p>
    <w:p w14:paraId="5C7668E6"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横城矿区属于我国大型煤炭基地</w:t>
      </w:r>
      <w:r>
        <w:rPr>
          <w:rFonts w:ascii="Times New Roman" w:hAnsi="Times New Roman" w:hint="eastAsia"/>
          <w:szCs w:val="24"/>
        </w:rPr>
        <w:t>宁东</w:t>
      </w:r>
      <w:r>
        <w:rPr>
          <w:rFonts w:ascii="Times New Roman" w:hAnsi="Times New Roman"/>
          <w:szCs w:val="24"/>
        </w:rPr>
        <w:t>基地，是我国</w:t>
      </w:r>
      <w:r>
        <w:rPr>
          <w:rFonts w:ascii="Times New Roman" w:hAnsi="Times New Roman" w:hint="eastAsia"/>
          <w:szCs w:val="24"/>
        </w:rPr>
        <w:t>西</w:t>
      </w:r>
      <w:r>
        <w:rPr>
          <w:rFonts w:ascii="Times New Roman" w:hAnsi="Times New Roman"/>
          <w:szCs w:val="24"/>
        </w:rPr>
        <w:t>北地区能源发展总体战略的重要组成部分。矿区煤炭资源丰富，煤质优良，勘查程度高，具备大规模集约化开发的条件。</w:t>
      </w:r>
      <w:r>
        <w:rPr>
          <w:rFonts w:ascii="Times New Roman" w:hAnsi="Times New Roman" w:hint="eastAsia"/>
          <w:szCs w:val="24"/>
        </w:rPr>
        <w:t>横城矿区煤炭资源丰富，下游产业集中，适宜集中建设大型煤炭基地，矿区总体规划符合国家能源</w:t>
      </w:r>
      <w:r>
        <w:rPr>
          <w:rFonts w:ascii="Times New Roman" w:hAnsi="Times New Roman"/>
          <w:szCs w:val="24"/>
        </w:rPr>
        <w:t>发展战略布局</w:t>
      </w:r>
      <w:r>
        <w:rPr>
          <w:rFonts w:ascii="Times New Roman" w:hAnsi="Times New Roman" w:hint="eastAsia"/>
          <w:szCs w:val="24"/>
        </w:rPr>
        <w:t>，</w:t>
      </w:r>
      <w:r>
        <w:rPr>
          <w:rFonts w:ascii="Times New Roman" w:hAnsi="Times New Roman"/>
          <w:szCs w:val="24"/>
        </w:rPr>
        <w:t>符合</w:t>
      </w:r>
      <w:r>
        <w:rPr>
          <w:rFonts w:ascii="Times New Roman" w:hAnsi="Times New Roman" w:hint="eastAsia"/>
          <w:szCs w:val="24"/>
        </w:rPr>
        <w:t>国家煤炭产业政策的要求及煤炭产业空间布局，矿区</w:t>
      </w:r>
      <w:r>
        <w:rPr>
          <w:rFonts w:ascii="Times New Roman" w:hAnsi="Times New Roman"/>
          <w:szCs w:val="24"/>
        </w:rPr>
        <w:t>规划</w:t>
      </w:r>
      <w:r>
        <w:rPr>
          <w:rFonts w:ascii="Times New Roman" w:hAnsi="Times New Roman" w:hint="eastAsia"/>
          <w:szCs w:val="24"/>
        </w:rPr>
        <w:t>产业布局及产业定位是合理的。</w:t>
      </w:r>
    </w:p>
    <w:p w14:paraId="45A3296E" w14:textId="77777777" w:rsidR="009C353B" w:rsidRDefault="00000000">
      <w:pPr>
        <w:adjustRightInd w:val="0"/>
        <w:snapToGrid w:val="0"/>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2</w:t>
      </w:r>
      <w:r>
        <w:rPr>
          <w:rFonts w:ascii="Times New Roman" w:hAnsi="Times New Roman"/>
          <w:szCs w:val="24"/>
        </w:rPr>
        <w:t>）矿区</w:t>
      </w:r>
      <w:r>
        <w:rPr>
          <w:rFonts w:ascii="Times New Roman" w:hAnsi="Times New Roman" w:hint="eastAsia"/>
          <w:szCs w:val="24"/>
        </w:rPr>
        <w:t>空间布局</w:t>
      </w:r>
    </w:p>
    <w:p w14:paraId="1F792DB1"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bCs/>
          <w:kern w:val="0"/>
        </w:rPr>
        <w:t>本次修编后矿区与</w:t>
      </w:r>
      <w:r>
        <w:rPr>
          <w:rFonts w:ascii="Times New Roman" w:hAnsi="Times New Roman"/>
          <w:bCs/>
          <w:kern w:val="0"/>
        </w:rPr>
        <w:t>白芨滩自然保护区</w:t>
      </w:r>
      <w:r>
        <w:rPr>
          <w:rFonts w:ascii="Times New Roman" w:hAnsi="Times New Roman" w:hint="eastAsia"/>
          <w:bCs/>
          <w:kern w:val="0"/>
        </w:rPr>
        <w:t>保护范围、鸭子荡水库保护范围、宁东镇城镇规划范围、明长城、</w:t>
      </w:r>
      <w:r>
        <w:rPr>
          <w:rFonts w:ascii="Times New Roman" w:hAnsi="Times New Roman" w:hint="eastAsia"/>
        </w:rPr>
        <w:t>水洞沟遗址和红山堡</w:t>
      </w:r>
      <w:r>
        <w:rPr>
          <w:rFonts w:ascii="Times New Roman" w:hAnsi="Times New Roman" w:hint="eastAsia"/>
          <w:bCs/>
          <w:kern w:val="0"/>
        </w:rPr>
        <w:t>等保护范围均无重叠。矿区与</w:t>
      </w:r>
      <w:r>
        <w:rPr>
          <w:rFonts w:ascii="Times New Roman" w:hAnsi="Times New Roman"/>
          <w:bCs/>
          <w:kern w:val="0"/>
        </w:rPr>
        <w:t>白芨滩自然保护区无重叠</w:t>
      </w:r>
      <w:r>
        <w:rPr>
          <w:rFonts w:ascii="Times New Roman" w:hAnsi="Times New Roman" w:hint="eastAsia"/>
          <w:bCs/>
          <w:kern w:val="0"/>
        </w:rPr>
        <w:t>，</w:t>
      </w:r>
      <w:r>
        <w:rPr>
          <w:rFonts w:ascii="Times New Roman" w:hAnsi="Times New Roman"/>
          <w:bCs/>
          <w:kern w:val="0"/>
        </w:rPr>
        <w:t>但矿区西部边界</w:t>
      </w:r>
      <w:r>
        <w:rPr>
          <w:rFonts w:ascii="Times New Roman" w:hAnsi="Times New Roman" w:hint="eastAsia"/>
          <w:bCs/>
          <w:kern w:val="0"/>
        </w:rPr>
        <w:t>、</w:t>
      </w:r>
      <w:r>
        <w:rPr>
          <w:rFonts w:ascii="Times New Roman" w:hAnsi="Times New Roman"/>
          <w:bCs/>
          <w:kern w:val="0"/>
        </w:rPr>
        <w:t>南部边界已临近自然保护区</w:t>
      </w:r>
      <w:r>
        <w:rPr>
          <w:rFonts w:ascii="Times New Roman" w:hAnsi="Times New Roman" w:hint="eastAsia"/>
          <w:bCs/>
          <w:kern w:val="0"/>
        </w:rPr>
        <w:t>，局部会受到开采沉陷影响</w:t>
      </w:r>
      <w:r>
        <w:rPr>
          <w:rFonts w:ascii="Times New Roman" w:hint="eastAsia"/>
        </w:rPr>
        <w:t>。</w:t>
      </w:r>
    </w:p>
    <w:p w14:paraId="06DA92C8"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任家庄井田边界与自然保护区实验区最近距离约为</w:t>
      </w:r>
      <w:r>
        <w:rPr>
          <w:rFonts w:ascii="Times New Roman" w:hint="eastAsia"/>
        </w:rPr>
        <w:t>92m</w:t>
      </w:r>
      <w:r>
        <w:rPr>
          <w:rFonts w:ascii="Times New Roman" w:hint="eastAsia"/>
        </w:rPr>
        <w:t>；任家庄井田开采沉陷影响半径约为</w:t>
      </w:r>
      <w:r>
        <w:rPr>
          <w:rFonts w:ascii="Times New Roman" w:hint="eastAsia"/>
        </w:rPr>
        <w:t>280m</w:t>
      </w:r>
      <w:r>
        <w:rPr>
          <w:rFonts w:ascii="Times New Roman" w:hint="eastAsia"/>
        </w:rPr>
        <w:t>，因此，</w:t>
      </w:r>
      <w:r>
        <w:rPr>
          <w:rFonts w:ascii="Times New Roman"/>
        </w:rPr>
        <w:t>任家庄井田西侧距离自然保护区实验区较近的区域在沉陷影响范围内</w:t>
      </w:r>
      <w:r>
        <w:rPr>
          <w:rFonts w:ascii="Times New Roman" w:hint="eastAsia"/>
        </w:rPr>
        <w:t>，</w:t>
      </w:r>
      <w:r>
        <w:rPr>
          <w:rFonts w:ascii="Times New Roman"/>
        </w:rPr>
        <w:t>可能受到开采沉陷影响</w:t>
      </w:r>
      <w:r>
        <w:rPr>
          <w:rFonts w:ascii="Times New Roman" w:hint="eastAsia"/>
        </w:rPr>
        <w:t>。</w:t>
      </w:r>
    </w:p>
    <w:p w14:paraId="0A3DADF8"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bCs/>
          <w:kern w:val="0"/>
        </w:rPr>
        <w:t>本次规划修编新增</w:t>
      </w:r>
      <w:r>
        <w:rPr>
          <w:rFonts w:ascii="Times New Roman" w:hAnsi="Times New Roman" w:hint="eastAsia"/>
          <w:bCs/>
          <w:kern w:val="0"/>
        </w:rPr>
        <w:t>3</w:t>
      </w:r>
      <w:r>
        <w:rPr>
          <w:rFonts w:ascii="Times New Roman" w:hAnsi="Times New Roman" w:hint="eastAsia"/>
          <w:bCs/>
          <w:kern w:val="0"/>
        </w:rPr>
        <w:t>个后备区，分别为马莲台后备区、红石湾后备区、任家庄后备区。</w:t>
      </w:r>
      <w:r>
        <w:rPr>
          <w:rFonts w:ascii="Times New Roman" w:hAnsi="Times New Roman" w:hint="eastAsia"/>
          <w:bCs/>
          <w:kern w:val="0"/>
        </w:rPr>
        <w:t>3</w:t>
      </w:r>
      <w:r>
        <w:rPr>
          <w:rFonts w:ascii="Times New Roman" w:hAnsi="Times New Roman" w:hint="eastAsia"/>
          <w:bCs/>
          <w:kern w:val="0"/>
        </w:rPr>
        <w:t>个后备区范围与临河工业园区和宁东煤化工园区有部分重叠</w:t>
      </w:r>
      <w:r>
        <w:rPr>
          <w:rFonts w:ascii="Times New Roman" w:hAnsi="Times New Roman" w:hint="eastAsia"/>
        </w:rPr>
        <w:t>。另外，马莲台井田局部与煤化工园区重叠。因此</w:t>
      </w:r>
      <w:r>
        <w:rPr>
          <w:rFonts w:ascii="Times New Roman" w:hAnsi="Times New Roman"/>
        </w:rPr>
        <w:t>，从空间布局看，</w:t>
      </w:r>
      <w:r>
        <w:rPr>
          <w:rFonts w:ascii="Times New Roman" w:hAnsi="Times New Roman" w:hint="eastAsia"/>
        </w:rPr>
        <w:t>矿区</w:t>
      </w:r>
      <w:r>
        <w:rPr>
          <w:rFonts w:ascii="Times New Roman" w:hAnsi="Times New Roman"/>
        </w:rPr>
        <w:t>布局存在一定的</w:t>
      </w:r>
      <w:r>
        <w:rPr>
          <w:rFonts w:ascii="Times New Roman" w:hAnsi="Times New Roman" w:hint="eastAsia"/>
        </w:rPr>
        <w:t>不合理性</w:t>
      </w:r>
      <w:r>
        <w:rPr>
          <w:rFonts w:ascii="Times New Roman" w:hAnsi="Times New Roman"/>
        </w:rPr>
        <w:t>。</w:t>
      </w:r>
    </w:p>
    <w:p w14:paraId="7B47B61E" w14:textId="77777777" w:rsidR="009C353B" w:rsidRDefault="00000000">
      <w:pPr>
        <w:spacing w:line="440" w:lineRule="exact"/>
        <w:ind w:firstLineChars="200" w:firstLine="480"/>
        <w:rPr>
          <w:rFonts w:ascii="Times New Roman" w:hAnsi="Times New Roman"/>
          <w:szCs w:val="24"/>
        </w:rPr>
      </w:pPr>
      <w:r>
        <w:rPr>
          <w:rFonts w:ascii="Times New Roman" w:hAnsi="Times New Roman"/>
          <w:szCs w:val="24"/>
        </w:rPr>
        <w:t>（</w:t>
      </w:r>
      <w:r>
        <w:rPr>
          <w:rFonts w:ascii="Times New Roman" w:hAnsi="Times New Roman"/>
          <w:szCs w:val="24"/>
        </w:rPr>
        <w:t>3</w:t>
      </w:r>
      <w:r>
        <w:rPr>
          <w:rFonts w:ascii="Times New Roman" w:hAnsi="Times New Roman"/>
          <w:szCs w:val="24"/>
        </w:rPr>
        <w:t>）矿区产业结构</w:t>
      </w:r>
    </w:p>
    <w:p w14:paraId="0922917E" w14:textId="77777777" w:rsidR="009C353B" w:rsidRDefault="00000000">
      <w:pPr>
        <w:spacing w:line="440" w:lineRule="exact"/>
        <w:ind w:firstLineChars="200" w:firstLine="480"/>
        <w:rPr>
          <w:rFonts w:ascii="Times New Roman" w:hAnsi="Times New Roman"/>
        </w:rPr>
      </w:pPr>
      <w:r>
        <w:rPr>
          <w:rFonts w:ascii="Times New Roman" w:hAnsi="Times New Roman"/>
        </w:rPr>
        <w:t>根据矿区资源环境承载力分析结果，</w:t>
      </w:r>
      <w:r>
        <w:rPr>
          <w:rFonts w:ascii="Times New Roman" w:hAnsi="Times New Roman" w:hint="eastAsia"/>
        </w:rPr>
        <w:t>矿区矿井水水量</w:t>
      </w:r>
      <w:r>
        <w:rPr>
          <w:rFonts w:ascii="Times New Roman" w:hAnsi="Times New Roman"/>
        </w:rPr>
        <w:t>丰富，</w:t>
      </w:r>
      <w:r>
        <w:rPr>
          <w:rFonts w:ascii="Times New Roman" w:hAnsi="Times New Roman" w:hint="eastAsia"/>
        </w:rPr>
        <w:t>加上一般</w:t>
      </w:r>
      <w:r>
        <w:rPr>
          <w:rFonts w:ascii="Times New Roman" w:hAnsi="Times New Roman"/>
        </w:rPr>
        <w:t>生产生活废水处理后资源化利用水量，</w:t>
      </w:r>
      <w:r>
        <w:rPr>
          <w:rFonts w:ascii="Times New Roman" w:hAnsi="Times New Roman" w:hint="eastAsia"/>
        </w:rPr>
        <w:t>完全</w:t>
      </w:r>
      <w:r>
        <w:rPr>
          <w:rFonts w:ascii="Times New Roman" w:hAnsi="Times New Roman"/>
        </w:rPr>
        <w:t>可以满足矿区煤矿</w:t>
      </w:r>
      <w:r>
        <w:rPr>
          <w:rFonts w:ascii="Times New Roman" w:hAnsi="Times New Roman" w:hint="eastAsia"/>
        </w:rPr>
        <w:t>、选煤厂等</w:t>
      </w:r>
      <w:r>
        <w:rPr>
          <w:rFonts w:ascii="Times New Roman" w:hAnsi="Times New Roman"/>
        </w:rPr>
        <w:t>矿区规划项目实施需要。</w:t>
      </w:r>
      <w:r>
        <w:rPr>
          <w:rFonts w:ascii="Times New Roman" w:hAnsi="Times New Roman" w:hint="eastAsia"/>
        </w:rPr>
        <w:t>根据</w:t>
      </w:r>
      <w:r>
        <w:rPr>
          <w:rFonts w:ascii="Times New Roman" w:hAnsi="Times New Roman"/>
        </w:rPr>
        <w:t>矿区资源环境条件分析，矿区产业结构</w:t>
      </w:r>
      <w:r>
        <w:rPr>
          <w:rFonts w:ascii="Times New Roman" w:hAnsi="Times New Roman" w:hint="eastAsia"/>
        </w:rPr>
        <w:t>是合理</w:t>
      </w:r>
      <w:r>
        <w:rPr>
          <w:rFonts w:ascii="Times New Roman" w:hAnsi="Times New Roman"/>
        </w:rPr>
        <w:t>的。</w:t>
      </w:r>
    </w:p>
    <w:p w14:paraId="0E34342B"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rPr>
        <w:t>（</w:t>
      </w:r>
      <w:r>
        <w:rPr>
          <w:rFonts w:ascii="Times New Roman" w:hAnsi="Times New Roman" w:hint="eastAsia"/>
        </w:rPr>
        <w:t>4</w:t>
      </w:r>
      <w:r>
        <w:rPr>
          <w:rFonts w:ascii="Times New Roman" w:hAnsi="Times New Roman"/>
        </w:rPr>
        <w:t>）矿区环境目标可达性</w:t>
      </w:r>
    </w:p>
    <w:p w14:paraId="03C1FB3D" w14:textId="77777777" w:rsidR="009C353B" w:rsidRDefault="00000000">
      <w:pPr>
        <w:adjustRightInd w:val="0"/>
        <w:snapToGrid w:val="0"/>
        <w:spacing w:line="440" w:lineRule="exact"/>
        <w:ind w:firstLineChars="200" w:firstLine="480"/>
        <w:jc w:val="left"/>
        <w:rPr>
          <w:rFonts w:ascii="Times New Roman" w:hAnsi="Times New Roman"/>
        </w:rPr>
      </w:pPr>
      <w:r>
        <w:rPr>
          <w:rFonts w:ascii="Times New Roman" w:hAnsi="Times New Roman"/>
        </w:rPr>
        <w:t>若矿区能够严格按照总体规划及本环评报告中提出的环境保护要求安排生产，矿区规划的环境影响评价指标是可达的，矿区开发将符合国家国民经</w:t>
      </w:r>
      <w:r>
        <w:rPr>
          <w:rFonts w:ascii="Times New Roman" w:hAnsi="Times New Roman" w:hint="eastAsia"/>
        </w:rPr>
        <w:t>济和社会发展“十三五”规划要求，符合国家产业和环保政策要求，能够提高煤炭资源利用率、节约资源和能源、避免和减缓矿区开发产生的污染影响和生态影响，能够促进国家和地方经济可持续发展，矿区总体发展水平将符合煤炭行业清洁生产要求，达到国际先进水平。</w:t>
      </w:r>
    </w:p>
    <w:p w14:paraId="43D00DAE" w14:textId="77777777" w:rsidR="009C353B" w:rsidRDefault="00000000">
      <w:pPr>
        <w:keepNext/>
        <w:keepLines/>
        <w:snapToGrid w:val="0"/>
        <w:spacing w:before="260" w:after="260" w:line="440" w:lineRule="exact"/>
        <w:outlineLvl w:val="1"/>
        <w:rPr>
          <w:rFonts w:ascii="Times New Roman" w:hAnsi="Times New Roman"/>
          <w:b/>
          <w:sz w:val="28"/>
        </w:rPr>
      </w:pPr>
      <w:bookmarkStart w:id="476" w:name="_Toc59189899"/>
      <w:r>
        <w:rPr>
          <w:rFonts w:ascii="Times New Roman" w:hAnsi="Times New Roman"/>
          <w:b/>
          <w:sz w:val="28"/>
        </w:rPr>
        <w:t xml:space="preserve">13.9 </w:t>
      </w:r>
      <w:r>
        <w:rPr>
          <w:rFonts w:ascii="Times New Roman" w:hAnsi="Times New Roman"/>
          <w:b/>
          <w:sz w:val="28"/>
        </w:rPr>
        <w:t>矿区总体规划方案的优化调整建议</w:t>
      </w:r>
      <w:bookmarkEnd w:id="476"/>
    </w:p>
    <w:p w14:paraId="1FA9A0BB" w14:textId="77777777" w:rsidR="009C353B" w:rsidRDefault="00000000">
      <w:pPr>
        <w:adjustRightInd w:val="0"/>
        <w:snapToGrid w:val="0"/>
        <w:spacing w:line="440" w:lineRule="exact"/>
        <w:ind w:firstLineChars="200" w:firstLine="482"/>
        <w:rPr>
          <w:rFonts w:ascii="Times New Roman" w:hAnsi="Times New Roman"/>
          <w:b/>
          <w:bCs/>
          <w:kern w:val="0"/>
        </w:rPr>
      </w:pPr>
      <w:r>
        <w:rPr>
          <w:rFonts w:ascii="Times New Roman" w:hAnsi="Times New Roman" w:hint="eastAsia"/>
          <w:b/>
          <w:bCs/>
          <w:kern w:val="0"/>
        </w:rPr>
        <w:t>（</w:t>
      </w:r>
      <w:r>
        <w:rPr>
          <w:rFonts w:ascii="Times New Roman" w:hAnsi="Times New Roman" w:hint="eastAsia"/>
          <w:b/>
          <w:bCs/>
          <w:kern w:val="0"/>
        </w:rPr>
        <w:t>1</w:t>
      </w:r>
      <w:r>
        <w:rPr>
          <w:rFonts w:ascii="Times New Roman" w:hAnsi="Times New Roman" w:hint="eastAsia"/>
          <w:b/>
          <w:bCs/>
          <w:kern w:val="0"/>
        </w:rPr>
        <w:t>）空间</w:t>
      </w:r>
      <w:r>
        <w:rPr>
          <w:rFonts w:ascii="Times New Roman" w:hAnsi="Times New Roman"/>
          <w:b/>
          <w:bCs/>
          <w:kern w:val="0"/>
        </w:rPr>
        <w:t>布局</w:t>
      </w:r>
      <w:r>
        <w:rPr>
          <w:rFonts w:ascii="Times New Roman" w:hAnsi="Times New Roman" w:hint="eastAsia"/>
          <w:b/>
          <w:bCs/>
          <w:kern w:val="0"/>
        </w:rPr>
        <w:t>优化</w:t>
      </w:r>
      <w:r>
        <w:rPr>
          <w:rFonts w:ascii="Times New Roman" w:hAnsi="Times New Roman"/>
          <w:b/>
          <w:bCs/>
          <w:kern w:val="0"/>
        </w:rPr>
        <w:t>调整建议</w:t>
      </w:r>
    </w:p>
    <w:p w14:paraId="4987FB94" w14:textId="77777777" w:rsidR="009C353B" w:rsidRDefault="00000000">
      <w:pPr>
        <w:adjustRightInd w:val="0"/>
        <w:snapToGrid w:val="0"/>
        <w:spacing w:line="440" w:lineRule="exact"/>
        <w:ind w:firstLineChars="200" w:firstLine="482"/>
        <w:rPr>
          <w:rFonts w:ascii="Times New Roman" w:hAnsi="Times New Roman"/>
          <w:b/>
          <w:bCs/>
          <w:kern w:val="0"/>
        </w:rPr>
      </w:pPr>
      <w:r>
        <w:rPr>
          <w:rFonts w:ascii="Times New Roman" w:hAnsi="Times New Roman" w:hint="eastAsia"/>
          <w:b/>
          <w:bCs/>
          <w:kern w:val="0"/>
        </w:rPr>
        <w:t>1</w:t>
      </w:r>
      <w:r>
        <w:rPr>
          <w:rFonts w:ascii="Times New Roman" w:hAnsi="Times New Roman" w:hint="eastAsia"/>
          <w:b/>
          <w:bCs/>
          <w:kern w:val="0"/>
        </w:rPr>
        <w:t>）优化临近白芨滩国家级自然保护区的任家庄井田区域开采布局，留设足够保护煤柱，确保不影响白芨滩国家级自然保护区。控制白芨滩国家级自然保护区周边设施建设。</w:t>
      </w:r>
    </w:p>
    <w:p w14:paraId="00CB27D9"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任家庄井田边界与自然保护区实验区最近距离约为</w:t>
      </w:r>
      <w:r>
        <w:rPr>
          <w:rFonts w:ascii="Times New Roman" w:hint="eastAsia"/>
        </w:rPr>
        <w:t>92m</w:t>
      </w:r>
      <w:r>
        <w:rPr>
          <w:rFonts w:ascii="Times New Roman" w:hint="eastAsia"/>
        </w:rPr>
        <w:t>；任家庄井田开采沉陷影响半径约为</w:t>
      </w:r>
      <w:r>
        <w:rPr>
          <w:rFonts w:ascii="Times New Roman" w:hint="eastAsia"/>
        </w:rPr>
        <w:t>280m</w:t>
      </w:r>
      <w:r>
        <w:rPr>
          <w:rFonts w:ascii="Times New Roman" w:hint="eastAsia"/>
        </w:rPr>
        <w:t>，因此，</w:t>
      </w:r>
      <w:r>
        <w:rPr>
          <w:rFonts w:ascii="Times New Roman"/>
        </w:rPr>
        <w:t>任家庄井田西侧距离自然保护区实验区较近的区域在沉陷影响范围内</w:t>
      </w:r>
      <w:r>
        <w:rPr>
          <w:rFonts w:ascii="Times New Roman" w:hint="eastAsia"/>
        </w:rPr>
        <w:t>，</w:t>
      </w:r>
      <w:r>
        <w:rPr>
          <w:rFonts w:ascii="Times New Roman"/>
        </w:rPr>
        <w:t>可能受到开采沉陷影响</w:t>
      </w:r>
      <w:r>
        <w:rPr>
          <w:rFonts w:ascii="Times New Roman" w:hint="eastAsia"/>
        </w:rPr>
        <w:t>。为避免</w:t>
      </w:r>
      <w:r>
        <w:rPr>
          <w:rFonts w:ascii="Times New Roman"/>
        </w:rPr>
        <w:t>任家庄井田后续开采沉陷影响到自然保护区</w:t>
      </w:r>
      <w:r>
        <w:rPr>
          <w:rFonts w:ascii="Times New Roman" w:hint="eastAsia"/>
        </w:rPr>
        <w:t>，</w:t>
      </w:r>
      <w:r>
        <w:rPr>
          <w:rFonts w:ascii="Times New Roman"/>
        </w:rPr>
        <w:t>本次评价提出</w:t>
      </w:r>
      <w:r>
        <w:rPr>
          <w:rFonts w:ascii="Times New Roman" w:hint="eastAsia"/>
        </w:rPr>
        <w:t>，任家庄井田后续开采过程中，可参考本次评价计算的沉陷影响半径</w:t>
      </w:r>
      <w:r>
        <w:rPr>
          <w:rFonts w:ascii="Times New Roman"/>
        </w:rPr>
        <w:t>280m</w:t>
      </w:r>
      <w:r>
        <w:rPr>
          <w:rFonts w:ascii="Times New Roman"/>
        </w:rPr>
        <w:t>对自然保护区留设保护煤柱，在后续开采过程中，在临近自然保护区的区域，保护煤柱的宽度应根据井田开采沉陷观测实际参数、开采区煤层埋深等，适时调整保护煤柱宽度，确保不影响自然保护区。</w:t>
      </w:r>
    </w:p>
    <w:p w14:paraId="0CC46376"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根据《宁夏回族自治区自然保护区管理办法》第十三条：“自然保护区边界外围２公里内的地带为外围保护地带。经批准在自然保护区外围保护地带建设的项目或者设施，不得损害自然保护区的环境质量和生态功能”。</w:t>
      </w:r>
      <w:r>
        <w:rPr>
          <w:rFonts w:ascii="Times New Roman"/>
        </w:rPr>
        <w:t>根据</w:t>
      </w:r>
      <w:r>
        <w:rPr>
          <w:rFonts w:ascii="Times New Roman" w:hint="eastAsia"/>
        </w:rPr>
        <w:t>“办法”本次评价提出，后续丁家梁煤矿在建设开发过程中须遵守以上文件要求，涉及在自然保护区外围保护地带建设的项目或者设施，需经相关部门批准，项目不得损害自然保护区的环境质量和生态功能。</w:t>
      </w:r>
    </w:p>
    <w:p w14:paraId="65285F1D" w14:textId="77777777" w:rsidR="009C353B" w:rsidRDefault="00000000">
      <w:pPr>
        <w:adjustRightInd w:val="0"/>
        <w:snapToGrid w:val="0"/>
        <w:spacing w:line="440" w:lineRule="exact"/>
        <w:ind w:firstLineChars="200" w:firstLine="482"/>
        <w:rPr>
          <w:rFonts w:ascii="Times New Roman" w:hAnsi="Times New Roman"/>
          <w:b/>
          <w:bCs/>
          <w:kern w:val="0"/>
        </w:rPr>
      </w:pPr>
      <w:r>
        <w:rPr>
          <w:rFonts w:ascii="Times New Roman" w:hAnsi="Times New Roman" w:hint="eastAsia"/>
          <w:b/>
          <w:bCs/>
          <w:kern w:val="0"/>
        </w:rPr>
        <w:t>2</w:t>
      </w:r>
      <w:r>
        <w:rPr>
          <w:rFonts w:ascii="Times New Roman" w:hAnsi="Times New Roman" w:hint="eastAsia"/>
          <w:b/>
          <w:bCs/>
          <w:kern w:val="0"/>
        </w:rPr>
        <w:t>）优化临近明长城等文物的红石湾、马莲台井田区域开采布局，留设足够保护煤柱，确保不影响明长城等文物。</w:t>
      </w:r>
    </w:p>
    <w:p w14:paraId="58D5B82F" w14:textId="77777777" w:rsidR="009C353B" w:rsidRDefault="00000000">
      <w:pPr>
        <w:adjustRightInd w:val="0"/>
        <w:snapToGrid w:val="0"/>
        <w:spacing w:line="440" w:lineRule="exact"/>
        <w:ind w:firstLineChars="200" w:firstLine="480"/>
        <w:rPr>
          <w:rFonts w:ascii="Times New Roman" w:hint="eastAsia"/>
        </w:rPr>
      </w:pPr>
      <w:r>
        <w:rPr>
          <w:rFonts w:ascii="Times New Roman" w:hint="eastAsia"/>
        </w:rPr>
        <w:t>明</w:t>
      </w:r>
      <w:r>
        <w:rPr>
          <w:rFonts w:ascii="Times New Roman"/>
        </w:rPr>
        <w:t>长城紧邻</w:t>
      </w:r>
      <w:r>
        <w:rPr>
          <w:rFonts w:ascii="Times New Roman" w:hint="eastAsia"/>
        </w:rPr>
        <w:t>马莲台井田</w:t>
      </w:r>
      <w:r>
        <w:rPr>
          <w:rFonts w:ascii="Times New Roman"/>
        </w:rPr>
        <w:t>北部边界</w:t>
      </w:r>
      <w:r>
        <w:rPr>
          <w:rFonts w:ascii="Times New Roman" w:hint="eastAsia"/>
        </w:rPr>
        <w:t>和红石湾井田东北边界，且局部地段明长城已受到开采沉陷影响。为保护明长城，后续开采过程中，马莲台和红石湾井田应优化边界煤柱设置，根据实际开采沉陷观测参数，按照灵武市文化旅游广电局关于《自治区发展改革委员会关于征求</w:t>
      </w:r>
      <w:r>
        <w:rPr>
          <w:rFonts w:ascii="Times New Roman"/>
        </w:rPr>
        <w:t>&lt;</w:t>
      </w:r>
      <w:r>
        <w:rPr>
          <w:rFonts w:ascii="Times New Roman"/>
        </w:rPr>
        <w:t>横城矿区总体规划（修编）环境影响评价公众参与调查表</w:t>
      </w:r>
      <w:r>
        <w:rPr>
          <w:rFonts w:ascii="Times New Roman"/>
        </w:rPr>
        <w:t>&gt;</w:t>
      </w:r>
      <w:r>
        <w:rPr>
          <w:rFonts w:ascii="Times New Roman"/>
        </w:rPr>
        <w:t>》修改意见的函的要求</w:t>
      </w:r>
      <w:r>
        <w:rPr>
          <w:rFonts w:ascii="Times New Roman" w:hint="eastAsia"/>
        </w:rPr>
        <w:t>，对</w:t>
      </w:r>
      <w:r>
        <w:rPr>
          <w:rFonts w:ascii="Times New Roman"/>
        </w:rPr>
        <w:t>水洞沟遗址、明长城及红山堡城址四周各外延</w:t>
      </w:r>
      <w:r>
        <w:rPr>
          <w:rFonts w:ascii="Times New Roman"/>
        </w:rPr>
        <w:t>100m</w:t>
      </w:r>
      <w:r>
        <w:rPr>
          <w:rFonts w:ascii="Times New Roman"/>
        </w:rPr>
        <w:t>作为保护范围</w:t>
      </w:r>
      <w:r>
        <w:rPr>
          <w:rFonts w:ascii="Times New Roman" w:hint="eastAsia"/>
        </w:rPr>
        <w:t>，留设足够保护煤柱，确保不影响文物。</w:t>
      </w:r>
    </w:p>
    <w:p w14:paraId="1A07C0BD" w14:textId="77777777" w:rsidR="009C353B" w:rsidRDefault="00000000">
      <w:pPr>
        <w:adjustRightInd w:val="0"/>
        <w:snapToGrid w:val="0"/>
        <w:spacing w:line="440" w:lineRule="exact"/>
        <w:ind w:firstLineChars="200" w:firstLine="482"/>
        <w:rPr>
          <w:rFonts w:ascii="Times New Roman" w:hAnsi="Times New Roman"/>
          <w:b/>
          <w:bCs/>
          <w:kern w:val="0"/>
        </w:rPr>
      </w:pPr>
      <w:r>
        <w:rPr>
          <w:rFonts w:ascii="Times New Roman" w:hAnsi="Times New Roman" w:hint="eastAsia"/>
          <w:b/>
          <w:bCs/>
          <w:kern w:val="0"/>
        </w:rPr>
        <w:t>3</w:t>
      </w:r>
      <w:r>
        <w:rPr>
          <w:rFonts w:ascii="Times New Roman" w:hAnsi="Times New Roman" w:hint="eastAsia"/>
          <w:b/>
          <w:bCs/>
          <w:kern w:val="0"/>
        </w:rPr>
        <w:t>）优化丁家梁井田保护煤柱设置，确保鸭子荡水库等保护目标不受开采沉陷影响。</w:t>
      </w:r>
    </w:p>
    <w:p w14:paraId="3679C816" w14:textId="77777777" w:rsidR="009C353B" w:rsidRDefault="00000000">
      <w:pPr>
        <w:adjustRightInd w:val="0"/>
        <w:snapToGrid w:val="0"/>
        <w:spacing w:line="440" w:lineRule="exact"/>
        <w:ind w:firstLineChars="200" w:firstLine="480"/>
        <w:rPr>
          <w:rFonts w:ascii="Times New Roman" w:hAnsi="Times New Roman"/>
          <w:bCs/>
          <w:kern w:val="0"/>
        </w:rPr>
      </w:pPr>
      <w:r>
        <w:rPr>
          <w:rFonts w:ascii="Times New Roman" w:hAnsi="Times New Roman" w:hint="eastAsia"/>
          <w:bCs/>
          <w:kern w:val="0"/>
        </w:rPr>
        <w:t>丁家梁井田涉及鸭子荡水库、高压输电线路、太中银铁路、天然气管线、宁东</w:t>
      </w:r>
      <w:r>
        <w:rPr>
          <w:rFonts w:ascii="Times New Roman" w:hAnsi="Times New Roman" w:hint="eastAsia"/>
          <w:bCs/>
          <w:kern w:val="0"/>
        </w:rPr>
        <w:t>2</w:t>
      </w:r>
      <w:r>
        <w:rPr>
          <w:rFonts w:ascii="Times New Roman" w:hAnsi="Times New Roman" w:hint="eastAsia"/>
          <w:bCs/>
          <w:kern w:val="0"/>
        </w:rPr>
        <w:t>号渣场等保护目标，这些保护目标压覆了大量煤炭资源。宁夏回族自治区宁东能源化工基地管理委员会《关于丁家梁煤矿有关事宜的复函》（宁东管函〔</w:t>
      </w:r>
      <w:r>
        <w:rPr>
          <w:rFonts w:ascii="Times New Roman" w:hAnsi="Times New Roman"/>
          <w:bCs/>
          <w:kern w:val="0"/>
        </w:rPr>
        <w:t>2016</w:t>
      </w:r>
      <w:r>
        <w:rPr>
          <w:rFonts w:ascii="Times New Roman" w:hAnsi="Times New Roman"/>
          <w:bCs/>
          <w:kern w:val="0"/>
        </w:rPr>
        <w:t>〕</w:t>
      </w:r>
      <w:r>
        <w:rPr>
          <w:rFonts w:ascii="Times New Roman" w:hAnsi="Times New Roman"/>
          <w:bCs/>
          <w:kern w:val="0"/>
        </w:rPr>
        <w:t>134</w:t>
      </w:r>
      <w:r>
        <w:rPr>
          <w:rFonts w:ascii="Times New Roman" w:hAnsi="Times New Roman"/>
          <w:bCs/>
          <w:kern w:val="0"/>
        </w:rPr>
        <w:t>号）要求鸭子荡水库自坝轴线向下游</w:t>
      </w:r>
      <w:r>
        <w:rPr>
          <w:rFonts w:ascii="Times New Roman" w:hAnsi="Times New Roman"/>
          <w:bCs/>
          <w:kern w:val="0"/>
        </w:rPr>
        <w:t>1.8km</w:t>
      </w:r>
      <w:r>
        <w:rPr>
          <w:rFonts w:ascii="Times New Roman" w:hAnsi="Times New Roman"/>
          <w:bCs/>
          <w:kern w:val="0"/>
        </w:rPr>
        <w:t>为临时禁采区</w:t>
      </w:r>
      <w:r>
        <w:rPr>
          <w:rFonts w:ascii="Times New Roman" w:hAnsi="Times New Roman" w:hint="eastAsia"/>
          <w:bCs/>
          <w:kern w:val="0"/>
        </w:rPr>
        <w:t>。</w:t>
      </w:r>
      <w:r>
        <w:rPr>
          <w:rFonts w:ascii="Times New Roman" w:hAnsi="Times New Roman"/>
          <w:bCs/>
          <w:kern w:val="0"/>
        </w:rPr>
        <w:t>为保护这些保护目标不受开采沉陷影响</w:t>
      </w:r>
      <w:r>
        <w:rPr>
          <w:rFonts w:ascii="Times New Roman" w:hAnsi="Times New Roman" w:hint="eastAsia"/>
          <w:bCs/>
          <w:kern w:val="0"/>
        </w:rPr>
        <w:t>，</w:t>
      </w:r>
      <w:r>
        <w:rPr>
          <w:rFonts w:ascii="Times New Roman" w:hAnsi="Times New Roman"/>
          <w:bCs/>
          <w:kern w:val="0"/>
        </w:rPr>
        <w:t>本次评价提出</w:t>
      </w:r>
      <w:r>
        <w:rPr>
          <w:rFonts w:ascii="Times New Roman" w:hAnsi="Times New Roman" w:hint="eastAsia"/>
          <w:bCs/>
          <w:kern w:val="0"/>
        </w:rPr>
        <w:t>，</w:t>
      </w:r>
      <w:r>
        <w:rPr>
          <w:rFonts w:ascii="Times New Roman" w:hAnsi="Times New Roman"/>
          <w:bCs/>
          <w:kern w:val="0"/>
        </w:rPr>
        <w:t>丁家梁井田在后续开采设计和开发过程中</w:t>
      </w:r>
      <w:r>
        <w:rPr>
          <w:rFonts w:ascii="Times New Roman" w:hAnsi="Times New Roman" w:hint="eastAsia"/>
          <w:bCs/>
          <w:kern w:val="0"/>
        </w:rPr>
        <w:t>，</w:t>
      </w:r>
      <w:r>
        <w:rPr>
          <w:rFonts w:ascii="Times New Roman" w:hAnsi="Times New Roman"/>
          <w:bCs/>
          <w:kern w:val="0"/>
        </w:rPr>
        <w:t>应根据实际沉陷观测参数</w:t>
      </w:r>
      <w:r>
        <w:rPr>
          <w:rFonts w:ascii="Times New Roman" w:hAnsi="Times New Roman" w:hint="eastAsia"/>
          <w:bCs/>
          <w:kern w:val="0"/>
        </w:rPr>
        <w:t>，</w:t>
      </w:r>
      <w:r>
        <w:rPr>
          <w:rFonts w:ascii="Times New Roman" w:hAnsi="Times New Roman"/>
          <w:bCs/>
          <w:kern w:val="0"/>
        </w:rPr>
        <w:t>对保护目标留设足够保护煤柱</w:t>
      </w:r>
      <w:r>
        <w:rPr>
          <w:rFonts w:ascii="Times New Roman" w:hAnsi="Times New Roman" w:hint="eastAsia"/>
          <w:bCs/>
          <w:kern w:val="0"/>
        </w:rPr>
        <w:t>，</w:t>
      </w:r>
      <w:r>
        <w:rPr>
          <w:rFonts w:ascii="Times New Roman" w:hAnsi="Times New Roman"/>
          <w:bCs/>
          <w:kern w:val="0"/>
        </w:rPr>
        <w:t>确保不受开采沉陷影响</w:t>
      </w:r>
      <w:r>
        <w:rPr>
          <w:rFonts w:ascii="Times New Roman" w:hAnsi="Times New Roman" w:hint="eastAsia"/>
          <w:bCs/>
          <w:kern w:val="0"/>
        </w:rPr>
        <w:t>。</w:t>
      </w:r>
    </w:p>
    <w:p w14:paraId="78FDBB05" w14:textId="77777777" w:rsidR="009C353B" w:rsidRDefault="00000000">
      <w:pPr>
        <w:adjustRightInd w:val="0"/>
        <w:snapToGrid w:val="0"/>
        <w:spacing w:line="440" w:lineRule="exact"/>
        <w:ind w:firstLineChars="200" w:firstLine="482"/>
        <w:rPr>
          <w:rFonts w:ascii="Times New Roman" w:hAnsi="Times New Roman"/>
          <w:b/>
          <w:bCs/>
          <w:kern w:val="0"/>
        </w:rPr>
      </w:pPr>
      <w:r>
        <w:rPr>
          <w:rFonts w:ascii="Times New Roman" w:hAnsi="Times New Roman" w:hint="eastAsia"/>
          <w:b/>
          <w:bCs/>
          <w:kern w:val="0"/>
        </w:rPr>
        <w:t>4</w:t>
      </w:r>
      <w:r>
        <w:rPr>
          <w:rFonts w:ascii="Times New Roman" w:hAnsi="Times New Roman" w:hint="eastAsia"/>
          <w:b/>
          <w:bCs/>
          <w:kern w:val="0"/>
        </w:rPr>
        <w:t>）优化后备区设置或后备区开采方式，确保不影响工业园区安全</w:t>
      </w:r>
    </w:p>
    <w:p w14:paraId="38FCB683"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bCs/>
          <w:kern w:val="0"/>
        </w:rPr>
        <w:t>本次规划修编新增的马莲台后备区、红石湾后备区、任家庄后备区范围与临河工业园区和宁东煤化工园区有部分重叠</w:t>
      </w:r>
      <w:r>
        <w:rPr>
          <w:rFonts w:ascii="Times New Roman" w:hAnsi="Times New Roman" w:hint="eastAsia"/>
        </w:rPr>
        <w:t>。另外，马莲台井田局部与煤化工园区重叠。为避免工业园区受到开采沉陷影响，本次评价建议进一步优化后备区范围，优化后备区开采方式，采取充填开采等保护性开采方式，在论证确保不影响工业园区设施设备安全的情况下再考虑重叠区压覆煤炭资源的开采。</w:t>
      </w:r>
    </w:p>
    <w:p w14:paraId="51F297A1" w14:textId="77777777" w:rsidR="009C353B" w:rsidRDefault="00000000">
      <w:pPr>
        <w:adjustRightInd w:val="0"/>
        <w:snapToGrid w:val="0"/>
        <w:spacing w:line="440" w:lineRule="exact"/>
        <w:ind w:firstLineChars="200" w:firstLine="480"/>
        <w:rPr>
          <w:rFonts w:ascii="Times New Roman" w:hAnsi="Times New Roman"/>
          <w:bCs/>
          <w:kern w:val="0"/>
        </w:rPr>
      </w:pPr>
      <w:r>
        <w:rPr>
          <w:rFonts w:ascii="Times New Roman" w:hAnsi="Times New Roman" w:hint="eastAsia"/>
          <w:bCs/>
          <w:kern w:val="0"/>
        </w:rPr>
        <w:t>（</w:t>
      </w:r>
      <w:r>
        <w:rPr>
          <w:rFonts w:ascii="Times New Roman" w:hAnsi="Times New Roman" w:hint="eastAsia"/>
          <w:bCs/>
          <w:kern w:val="0"/>
        </w:rPr>
        <w:t>2</w:t>
      </w:r>
      <w:r>
        <w:rPr>
          <w:rFonts w:ascii="Times New Roman" w:hAnsi="Times New Roman" w:hint="eastAsia"/>
          <w:bCs/>
          <w:kern w:val="0"/>
        </w:rPr>
        <w:t>）节约资源与</w:t>
      </w:r>
      <w:r>
        <w:rPr>
          <w:rFonts w:ascii="Times New Roman" w:hAnsi="Times New Roman"/>
          <w:bCs/>
          <w:kern w:val="0"/>
        </w:rPr>
        <w:t>环境保护规划优化调整建议</w:t>
      </w:r>
    </w:p>
    <w:p w14:paraId="62AFE5BC"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1</w:t>
      </w:r>
      <w:r>
        <w:rPr>
          <w:rFonts w:ascii="Times New Roman" w:hAnsi="Times New Roman" w:hint="eastAsia"/>
        </w:rPr>
        <w:t>）</w:t>
      </w:r>
      <w:r>
        <w:rPr>
          <w:rFonts w:ascii="Times New Roman"/>
          <w:szCs w:val="24"/>
        </w:rPr>
        <w:t>宁东基地水资源较为缺乏</w:t>
      </w:r>
      <w:r>
        <w:rPr>
          <w:rFonts w:ascii="Times New Roman" w:hint="eastAsia"/>
          <w:szCs w:val="24"/>
        </w:rPr>
        <w:t>，</w:t>
      </w:r>
      <w:r>
        <w:rPr>
          <w:rFonts w:ascii="Times New Roman"/>
          <w:szCs w:val="24"/>
        </w:rPr>
        <w:t>生产用水主要来源于黄河水</w:t>
      </w:r>
      <w:r>
        <w:rPr>
          <w:rFonts w:ascii="Times New Roman" w:hint="eastAsia"/>
          <w:szCs w:val="24"/>
        </w:rPr>
        <w:t>，</w:t>
      </w:r>
      <w:r>
        <w:rPr>
          <w:rFonts w:ascii="Times New Roman"/>
          <w:szCs w:val="24"/>
        </w:rPr>
        <w:t>为尽可能减少黄河水取水量</w:t>
      </w:r>
      <w:r>
        <w:rPr>
          <w:rFonts w:ascii="Times New Roman" w:hint="eastAsia"/>
          <w:szCs w:val="24"/>
        </w:rPr>
        <w:t>，</w:t>
      </w:r>
      <w:r>
        <w:rPr>
          <w:rFonts w:ascii="Times New Roman" w:hAnsi="Times New Roman" w:hint="eastAsia"/>
        </w:rPr>
        <w:t>评价</w:t>
      </w:r>
      <w:r>
        <w:rPr>
          <w:rFonts w:ascii="Times New Roman" w:hAnsi="Times New Roman"/>
        </w:rPr>
        <w:t>建议建议矿区优先利用处理后的矿井水、生产生活污水等水源，</w:t>
      </w:r>
      <w:r>
        <w:rPr>
          <w:rFonts w:ascii="Times New Roman"/>
          <w:szCs w:val="24"/>
        </w:rPr>
        <w:t>矿区矿井水处理后</w:t>
      </w:r>
      <w:r>
        <w:rPr>
          <w:rFonts w:ascii="Times New Roman" w:hint="eastAsia"/>
          <w:szCs w:val="24"/>
        </w:rPr>
        <w:t>，</w:t>
      </w:r>
      <w:r>
        <w:rPr>
          <w:rFonts w:ascii="Times New Roman"/>
          <w:szCs w:val="24"/>
        </w:rPr>
        <w:t>部分回用于煤矿自身作为生产用水</w:t>
      </w:r>
      <w:r>
        <w:rPr>
          <w:rFonts w:ascii="Times New Roman" w:hint="eastAsia"/>
          <w:szCs w:val="24"/>
        </w:rPr>
        <w:t>，</w:t>
      </w:r>
      <w:r>
        <w:rPr>
          <w:rFonts w:ascii="Times New Roman"/>
          <w:szCs w:val="24"/>
        </w:rPr>
        <w:t>其余剩余部分可送工业园区作为生产用水综合利用</w:t>
      </w:r>
      <w:r>
        <w:rPr>
          <w:rFonts w:ascii="Times New Roman" w:hint="eastAsia"/>
          <w:szCs w:val="24"/>
        </w:rPr>
        <w:t>，</w:t>
      </w:r>
      <w:r>
        <w:rPr>
          <w:rFonts w:ascii="Times New Roman" w:hAnsi="Times New Roman" w:hint="eastAsia"/>
        </w:rPr>
        <w:t>矿井水、生产生活污水全部回用。</w:t>
      </w:r>
      <w:r>
        <w:rPr>
          <w:rFonts w:ascii="Times New Roman" w:hAnsi="Times New Roman"/>
        </w:rPr>
        <w:t>不足部分再利用</w:t>
      </w:r>
      <w:r>
        <w:rPr>
          <w:rFonts w:ascii="Times New Roman" w:hAnsi="Times New Roman" w:hint="eastAsia"/>
        </w:rPr>
        <w:t>鸭子荡水库</w:t>
      </w:r>
      <w:r>
        <w:rPr>
          <w:rFonts w:ascii="Times New Roman" w:hAnsi="Times New Roman"/>
        </w:rPr>
        <w:t>地表水源。</w:t>
      </w:r>
    </w:p>
    <w:p w14:paraId="110D4CDE"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rPr>
        <w:t>2</w:t>
      </w:r>
      <w:r>
        <w:rPr>
          <w:rFonts w:ascii="Times New Roman" w:hAnsi="Times New Roman" w:hint="eastAsia"/>
        </w:rPr>
        <w:t>）评价建议煤矿</w:t>
      </w:r>
      <w:r>
        <w:rPr>
          <w:rFonts w:ascii="Times New Roman" w:hAnsi="Times New Roman"/>
        </w:rPr>
        <w:t>生产用水定额</w:t>
      </w:r>
      <w:r>
        <w:rPr>
          <w:rFonts w:ascii="Times New Roman" w:hAnsi="Times New Roman" w:hint="eastAsia"/>
        </w:rPr>
        <w:t>严格按照</w:t>
      </w:r>
      <w:r>
        <w:rPr>
          <w:rFonts w:ascii="Times New Roman" w:hAnsi="Times New Roman"/>
        </w:rPr>
        <w:t>《</w:t>
      </w:r>
      <w:r>
        <w:rPr>
          <w:rFonts w:ascii="Times New Roman" w:hAnsi="Times New Roman" w:hint="eastAsia"/>
        </w:rPr>
        <w:t>煤炭采选业清洁生产评价指标体系</w:t>
      </w:r>
      <w:r>
        <w:rPr>
          <w:rFonts w:ascii="Times New Roman" w:hAnsi="Times New Roman"/>
        </w:rPr>
        <w:t>》清洁生产水平达到</w:t>
      </w:r>
      <w:r>
        <w:rPr>
          <w:rFonts w:ascii="Times New Roman" w:hAnsi="Times New Roman" w:hint="eastAsia"/>
        </w:rPr>
        <w:t>Ⅰ级</w:t>
      </w:r>
      <w:r>
        <w:rPr>
          <w:rFonts w:ascii="Times New Roman" w:hAnsi="Times New Roman"/>
        </w:rPr>
        <w:t>水平指标执行</w:t>
      </w:r>
      <w:r>
        <w:rPr>
          <w:rFonts w:ascii="Times New Roman" w:hAnsi="Times New Roman" w:hint="eastAsia"/>
        </w:rPr>
        <w:t>。</w:t>
      </w:r>
    </w:p>
    <w:p w14:paraId="464AA5E2"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3</w:t>
      </w:r>
      <w:r>
        <w:rPr>
          <w:rFonts w:ascii="Times New Roman" w:hAnsi="Times New Roman" w:hint="eastAsia"/>
        </w:rPr>
        <w:t>）</w:t>
      </w:r>
      <w:r>
        <w:rPr>
          <w:rFonts w:ascii="Times New Roman" w:hint="eastAsia"/>
          <w:szCs w:val="24"/>
        </w:rPr>
        <w:t>矿区在后续开发过程中，可研究探索实施充填开采等方式，对压覆区煤炭资源进行回收，一方面提高了煤炭资源回收率，另一方面也可处置大量矸石、粉煤灰等矿区产生大量工业固体废物。</w:t>
      </w:r>
      <w:r>
        <w:rPr>
          <w:rFonts w:ascii="Times New Roman" w:hAnsi="Times New Roman" w:hint="eastAsia"/>
        </w:rPr>
        <w:t>评价</w:t>
      </w:r>
      <w:r>
        <w:rPr>
          <w:rFonts w:ascii="Times New Roman" w:hAnsi="Times New Roman"/>
        </w:rPr>
        <w:t>建议矿区</w:t>
      </w:r>
      <w:r>
        <w:rPr>
          <w:rFonts w:ascii="Times New Roman" w:hAnsi="Times New Roman" w:hint="eastAsia"/>
        </w:rPr>
        <w:t>加强对危险废物的管理与处置，各矿应按标准建设危废暂存库并将危废交由资质的公司进行处置。</w:t>
      </w:r>
    </w:p>
    <w:p w14:paraId="38CAA2A6"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rPr>
        <w:t>4</w:t>
      </w:r>
      <w:r>
        <w:rPr>
          <w:rFonts w:ascii="Times New Roman" w:hAnsi="Times New Roman" w:hint="eastAsia"/>
        </w:rPr>
        <w:t>）评价</w:t>
      </w:r>
      <w:r>
        <w:rPr>
          <w:rFonts w:ascii="Times New Roman" w:hAnsi="Times New Roman"/>
        </w:rPr>
        <w:t>建议按照本报告要求进行生态恢复，并</w:t>
      </w:r>
      <w:r>
        <w:rPr>
          <w:rFonts w:ascii="Times New Roman" w:hAnsi="Times New Roman" w:hint="eastAsia"/>
        </w:rPr>
        <w:t>保证恢复效果。</w:t>
      </w:r>
    </w:p>
    <w:p w14:paraId="50CE8216" w14:textId="77777777" w:rsidR="009C353B" w:rsidRDefault="00000000">
      <w:pPr>
        <w:pStyle w:val="2"/>
        <w:adjustRightInd w:val="0"/>
        <w:snapToGrid w:val="0"/>
        <w:spacing w:line="440" w:lineRule="exact"/>
        <w:jc w:val="left"/>
        <w:rPr>
          <w:rFonts w:ascii="Times New Roman" w:eastAsia="宋体" w:hAnsi="Times New Roman"/>
          <w:b/>
          <w:sz w:val="28"/>
        </w:rPr>
      </w:pPr>
      <w:bookmarkStart w:id="477" w:name="_Toc163441068"/>
      <w:bookmarkStart w:id="478" w:name="_Toc59189900"/>
      <w:r>
        <w:rPr>
          <w:rFonts w:ascii="Times New Roman" w:eastAsia="宋体" w:hAnsi="Times New Roman"/>
          <w:b/>
          <w:sz w:val="28"/>
        </w:rPr>
        <w:t xml:space="preserve">13.10 </w:t>
      </w:r>
      <w:r>
        <w:rPr>
          <w:rFonts w:ascii="Times New Roman" w:eastAsia="宋体" w:hAnsi="Times New Roman"/>
          <w:b/>
          <w:sz w:val="28"/>
        </w:rPr>
        <w:t>综合结论</w:t>
      </w:r>
      <w:bookmarkEnd w:id="477"/>
      <w:bookmarkEnd w:id="478"/>
    </w:p>
    <w:p w14:paraId="1D616049"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w:t>
      </w:r>
      <w:r>
        <w:rPr>
          <w:rFonts w:ascii="Times New Roman" w:hAnsi="Times New Roman"/>
          <w:szCs w:val="24"/>
        </w:rPr>
        <w:t>矿区总体规划目标和产业定位符合国家能源战略规划、</w:t>
      </w:r>
      <w:r>
        <w:rPr>
          <w:rFonts w:ascii="Times New Roman" w:hAnsi="Times New Roman" w:hint="eastAsia"/>
          <w:szCs w:val="24"/>
        </w:rPr>
        <w:t>宁夏回族</w:t>
      </w:r>
      <w:r>
        <w:rPr>
          <w:rFonts w:ascii="Times New Roman" w:hAnsi="Times New Roman"/>
          <w:szCs w:val="24"/>
        </w:rPr>
        <w:t>自治区及区域发展需</w:t>
      </w:r>
      <w:r>
        <w:rPr>
          <w:rFonts w:ascii="Times New Roman" w:hAnsi="Times New Roman" w:hint="eastAsia"/>
          <w:szCs w:val="24"/>
        </w:rPr>
        <w:t>要</w:t>
      </w:r>
      <w:r>
        <w:rPr>
          <w:rFonts w:ascii="Times New Roman" w:hAnsi="Times New Roman"/>
          <w:szCs w:val="24"/>
        </w:rPr>
        <w:t>。规划内容符合国家、地方相关产业政策，矿区规划的产业定位基本合理可行，规划方案与地方国民经济与社会发展规划、工业发展规划、环境保护规划等基本协调一致。规划的实施对优化区域经济结构，促进地方经济发展，将资源优势转化为经济优势具有重要意义，经济效益和社会效益显著。</w:t>
      </w:r>
    </w:p>
    <w:p w14:paraId="3BB77F46"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w:t>
      </w:r>
      <w:r>
        <w:rPr>
          <w:rFonts w:ascii="Times New Roman" w:hAnsi="Times New Roman"/>
          <w:szCs w:val="24"/>
        </w:rPr>
        <w:t>规划实施对矿区大气、地表水环境质量影响较小，煤炭资源、水资源、大气和地表水环境容量和总量指标等对矿区规划矿井、选煤厂的实施没有形成明显的制约</w:t>
      </w:r>
      <w:r>
        <w:rPr>
          <w:rFonts w:ascii="Times New Roman" w:hAnsi="Times New Roman" w:hint="eastAsia"/>
          <w:szCs w:val="24"/>
        </w:rPr>
        <w:t>。</w:t>
      </w:r>
    </w:p>
    <w:p w14:paraId="099A8776" w14:textId="77777777" w:rsidR="009C353B" w:rsidRDefault="00000000">
      <w:pPr>
        <w:spacing w:line="440" w:lineRule="exact"/>
        <w:ind w:firstLineChars="200" w:firstLine="48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）矿区总体规划在开发布局、规模和</w:t>
      </w:r>
      <w:r>
        <w:rPr>
          <w:rFonts w:ascii="Times New Roman" w:hAnsi="Times New Roman" w:hint="eastAsia"/>
          <w:bCs/>
          <w:kern w:val="0"/>
        </w:rPr>
        <w:t>节约资源与</w:t>
      </w:r>
      <w:r>
        <w:rPr>
          <w:rFonts w:ascii="Times New Roman" w:hAnsi="Times New Roman"/>
          <w:bCs/>
          <w:kern w:val="0"/>
        </w:rPr>
        <w:t>环境保护规划优化</w:t>
      </w:r>
      <w:r>
        <w:rPr>
          <w:rFonts w:ascii="Times New Roman" w:hAnsi="Times New Roman" w:hint="eastAsia"/>
          <w:szCs w:val="24"/>
        </w:rPr>
        <w:t>等方面均需进一步优化调整，主要有：</w:t>
      </w:r>
    </w:p>
    <w:p w14:paraId="084B63FB"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bCs/>
          <w:kern w:val="0"/>
        </w:rPr>
        <w:t>1</w:t>
      </w:r>
      <w:r>
        <w:rPr>
          <w:rFonts w:ascii="Times New Roman" w:hAnsi="Times New Roman" w:hint="eastAsia"/>
          <w:bCs/>
          <w:kern w:val="0"/>
        </w:rPr>
        <w:t>）优化临近白芨滩国家级自然保护区的任家庄井田区域开采布局，留设足够保护煤柱，确保不影响白芨滩国家级自然保护区。</w:t>
      </w:r>
      <w:r>
        <w:rPr>
          <w:rFonts w:ascii="Times New Roman" w:hint="eastAsia"/>
        </w:rPr>
        <w:t>根据《宁夏回族自治区自然保护区管理办法》第十三条：“自然保护区边界外围２公里内的地带为外围保护地带。经批准在自然保护区外围保护地带建设的项目或者设施，不得损害自然保护区的环境质量和生态功能”。</w:t>
      </w:r>
      <w:r>
        <w:rPr>
          <w:rFonts w:ascii="Times New Roman"/>
        </w:rPr>
        <w:t>根据</w:t>
      </w:r>
      <w:r>
        <w:rPr>
          <w:rFonts w:ascii="Times New Roman" w:hint="eastAsia"/>
        </w:rPr>
        <w:t>“办法”本次评价提出，后续丁家梁煤矿在建设开发过程中须遵守以上文件要求，涉及在自然保护区外围保护地带建设的项目或者设施，需经相关部门批准，项目不得损害自然保护区的环境质量和生态功能。</w:t>
      </w:r>
    </w:p>
    <w:p w14:paraId="4F474ACE" w14:textId="77777777" w:rsidR="009C353B" w:rsidRDefault="00000000">
      <w:pPr>
        <w:adjustRightInd w:val="0"/>
        <w:snapToGrid w:val="0"/>
        <w:spacing w:line="440" w:lineRule="exact"/>
        <w:ind w:firstLineChars="200" w:firstLine="480"/>
        <w:rPr>
          <w:rFonts w:ascii="Times New Roman" w:hint="eastAsia"/>
        </w:rPr>
      </w:pPr>
      <w:r>
        <w:rPr>
          <w:rFonts w:ascii="Times New Roman" w:hAnsi="Times New Roman" w:hint="eastAsia"/>
          <w:bCs/>
          <w:kern w:val="0"/>
        </w:rPr>
        <w:t>2</w:t>
      </w:r>
      <w:r>
        <w:rPr>
          <w:rFonts w:ascii="Times New Roman" w:hAnsi="Times New Roman" w:hint="eastAsia"/>
          <w:bCs/>
          <w:kern w:val="0"/>
        </w:rPr>
        <w:t>）</w:t>
      </w:r>
      <w:r>
        <w:rPr>
          <w:rFonts w:ascii="Times New Roman" w:hint="eastAsia"/>
        </w:rPr>
        <w:t>后续开采过程中，马莲台和红石湾井田应优化边界煤柱设置，根据实际开采沉陷观测参数，对</w:t>
      </w:r>
      <w:r>
        <w:rPr>
          <w:rFonts w:ascii="Times New Roman"/>
        </w:rPr>
        <w:t>水洞沟遗址、明长城及红山堡城址四周各外延</w:t>
      </w:r>
      <w:r>
        <w:rPr>
          <w:rFonts w:ascii="Times New Roman"/>
        </w:rPr>
        <w:t>100m</w:t>
      </w:r>
      <w:r>
        <w:rPr>
          <w:rFonts w:ascii="Times New Roman"/>
        </w:rPr>
        <w:t>作为保护范围</w:t>
      </w:r>
      <w:r>
        <w:rPr>
          <w:rFonts w:ascii="Times New Roman" w:hint="eastAsia"/>
        </w:rPr>
        <w:t>，留设足够保护煤柱，确保不影响文物。</w:t>
      </w:r>
    </w:p>
    <w:p w14:paraId="7D0DAAA2" w14:textId="77777777" w:rsidR="009C353B" w:rsidRDefault="00000000">
      <w:pPr>
        <w:adjustRightInd w:val="0"/>
        <w:snapToGrid w:val="0"/>
        <w:spacing w:line="440" w:lineRule="exact"/>
        <w:ind w:firstLineChars="200" w:firstLine="480"/>
        <w:rPr>
          <w:rFonts w:ascii="Times New Roman" w:hAnsi="Times New Roman"/>
          <w:bCs/>
          <w:kern w:val="0"/>
        </w:rPr>
      </w:pPr>
      <w:r>
        <w:rPr>
          <w:rFonts w:ascii="Times New Roman" w:hAnsi="Times New Roman" w:hint="eastAsia"/>
          <w:bCs/>
          <w:kern w:val="0"/>
        </w:rPr>
        <w:t>3</w:t>
      </w:r>
      <w:r>
        <w:rPr>
          <w:rFonts w:ascii="Times New Roman" w:hAnsi="Times New Roman" w:hint="eastAsia"/>
          <w:bCs/>
          <w:kern w:val="0"/>
        </w:rPr>
        <w:t>）优化矿区规划井田涉及的鸭子荡水库、高压输电线路、太中银铁路、天然气管线、宁东</w:t>
      </w:r>
      <w:r>
        <w:rPr>
          <w:rFonts w:ascii="Times New Roman" w:hAnsi="Times New Roman" w:hint="eastAsia"/>
          <w:bCs/>
          <w:kern w:val="0"/>
        </w:rPr>
        <w:t>2</w:t>
      </w:r>
      <w:r>
        <w:rPr>
          <w:rFonts w:ascii="Times New Roman" w:hAnsi="Times New Roman" w:hint="eastAsia"/>
          <w:bCs/>
          <w:kern w:val="0"/>
        </w:rPr>
        <w:t>号渣场、高速公路等保护目标的保护煤柱设置，</w:t>
      </w:r>
      <w:r>
        <w:rPr>
          <w:rFonts w:ascii="Times New Roman" w:hAnsi="Times New Roman"/>
          <w:bCs/>
          <w:kern w:val="0"/>
        </w:rPr>
        <w:t>应根据实际沉陷观测参数</w:t>
      </w:r>
      <w:r>
        <w:rPr>
          <w:rFonts w:ascii="Times New Roman" w:hAnsi="Times New Roman" w:hint="eastAsia"/>
          <w:bCs/>
          <w:kern w:val="0"/>
        </w:rPr>
        <w:t>，</w:t>
      </w:r>
      <w:r>
        <w:rPr>
          <w:rFonts w:ascii="Times New Roman" w:hAnsi="Times New Roman"/>
          <w:bCs/>
          <w:kern w:val="0"/>
        </w:rPr>
        <w:t>对保护目标留设足够保护煤柱</w:t>
      </w:r>
      <w:r>
        <w:rPr>
          <w:rFonts w:ascii="Times New Roman" w:hAnsi="Times New Roman" w:hint="eastAsia"/>
          <w:bCs/>
          <w:kern w:val="0"/>
        </w:rPr>
        <w:t>，</w:t>
      </w:r>
      <w:r>
        <w:rPr>
          <w:rFonts w:ascii="Times New Roman" w:hAnsi="Times New Roman"/>
          <w:bCs/>
          <w:kern w:val="0"/>
        </w:rPr>
        <w:t>确保不受开采沉陷影响</w:t>
      </w:r>
      <w:r>
        <w:rPr>
          <w:rFonts w:ascii="Times New Roman" w:hAnsi="Times New Roman" w:hint="eastAsia"/>
          <w:bCs/>
          <w:kern w:val="0"/>
        </w:rPr>
        <w:t>。</w:t>
      </w:r>
    </w:p>
    <w:p w14:paraId="1057F4FA"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bCs/>
          <w:kern w:val="0"/>
        </w:rPr>
        <w:t>4</w:t>
      </w:r>
      <w:r>
        <w:rPr>
          <w:rFonts w:ascii="Times New Roman" w:hAnsi="Times New Roman" w:hint="eastAsia"/>
          <w:bCs/>
          <w:kern w:val="0"/>
        </w:rPr>
        <w:t>）</w:t>
      </w:r>
      <w:r>
        <w:rPr>
          <w:rFonts w:ascii="Times New Roman" w:hAnsi="Times New Roman" w:hint="eastAsia"/>
        </w:rPr>
        <w:t>进一步优化后备区范围，优化后备区开采方式，采取充填开采等保护性开采方式，在论证确保不影响工业园区设施设备安全的情况下再考虑重叠区压覆煤炭资源的开采。</w:t>
      </w:r>
      <w:r>
        <w:rPr>
          <w:rFonts w:ascii="Times New Roman" w:hint="eastAsia"/>
          <w:szCs w:val="24"/>
        </w:rPr>
        <w:t>矿区在后续开发过程中，可研究探索实施充填开采等方式，对压覆区煤炭资源进行回收，一方面提高了煤炭资源回收率，另一方面也可处置大量矸石、粉煤灰等矿区产生大量工业固体废物。</w:t>
      </w:r>
    </w:p>
    <w:p w14:paraId="195DD27F" w14:textId="77777777" w:rsidR="009C353B" w:rsidRDefault="00000000">
      <w:pPr>
        <w:adjustRightInd w:val="0"/>
        <w:snapToGrid w:val="0"/>
        <w:spacing w:line="440" w:lineRule="exact"/>
        <w:ind w:firstLineChars="200" w:firstLine="480"/>
        <w:rPr>
          <w:rFonts w:ascii="Times New Roman" w:hAnsi="Times New Roman"/>
        </w:rPr>
      </w:pPr>
      <w:r>
        <w:rPr>
          <w:rFonts w:ascii="Times New Roman" w:hAnsi="Times New Roman" w:hint="eastAsia"/>
          <w:szCs w:val="24"/>
        </w:rPr>
        <w:t>（</w:t>
      </w:r>
      <w:r>
        <w:rPr>
          <w:rFonts w:ascii="Times New Roman" w:hAnsi="Times New Roman" w:hint="eastAsia"/>
          <w:szCs w:val="24"/>
        </w:rPr>
        <w:t>4</w:t>
      </w:r>
      <w:r>
        <w:rPr>
          <w:rFonts w:ascii="Times New Roman" w:hAnsi="Times New Roman" w:hint="eastAsia"/>
          <w:szCs w:val="24"/>
        </w:rPr>
        <w:t>）</w:t>
      </w:r>
      <w:r>
        <w:rPr>
          <w:rFonts w:ascii="Times New Roman" w:hAnsi="Times New Roman"/>
          <w:szCs w:val="24"/>
        </w:rPr>
        <w:t>矿区在其开发过程中不可避免地会对环境，特别是对生态环境、地下水环境和大气环境产生一定的影响，在矿区切实严格</w:t>
      </w:r>
      <w:r>
        <w:rPr>
          <w:rFonts w:ascii="Times New Roman" w:hAnsi="Times New Roman" w:hint="eastAsia"/>
          <w:szCs w:val="24"/>
        </w:rPr>
        <w:t>落实</w:t>
      </w:r>
      <w:r>
        <w:rPr>
          <w:rFonts w:ascii="Times New Roman" w:hAnsi="Times New Roman"/>
          <w:szCs w:val="24"/>
        </w:rPr>
        <w:t>本报告提出的矿区规划方案</w:t>
      </w:r>
      <w:r>
        <w:rPr>
          <w:rFonts w:ascii="Times New Roman" w:hAnsi="Times New Roman" w:hint="eastAsia"/>
          <w:szCs w:val="24"/>
        </w:rPr>
        <w:t>优化</w:t>
      </w:r>
      <w:r>
        <w:rPr>
          <w:rFonts w:ascii="Times New Roman" w:hAnsi="Times New Roman"/>
          <w:szCs w:val="24"/>
        </w:rPr>
        <w:t>调整建议和环保要求、生态综合整治和环境保护措施，矿区环境目标可达性指标要求的前提下，矿区开发的污染影响和生态影响</w:t>
      </w:r>
      <w:r>
        <w:rPr>
          <w:rFonts w:ascii="Times New Roman" w:hAnsi="Times New Roman" w:hint="eastAsia"/>
          <w:szCs w:val="24"/>
        </w:rPr>
        <w:t>在当地环境可承受范围</w:t>
      </w:r>
      <w:r>
        <w:rPr>
          <w:rFonts w:ascii="Times New Roman" w:hAnsi="Times New Roman"/>
          <w:szCs w:val="24"/>
        </w:rPr>
        <w:t>，矿区开发符合国家产业政策和环保政策要求，</w:t>
      </w:r>
      <w:r>
        <w:rPr>
          <w:rFonts w:ascii="Times New Roman" w:hAnsi="Times New Roman" w:hint="eastAsia"/>
          <w:szCs w:val="24"/>
        </w:rPr>
        <w:t>矿区开发不会改变矿区所属主体功能区划的主体功能，</w:t>
      </w:r>
      <w:r>
        <w:rPr>
          <w:rFonts w:ascii="Times New Roman" w:hAnsi="Times New Roman"/>
          <w:szCs w:val="24"/>
        </w:rPr>
        <w:t>矿区总体发展水平</w:t>
      </w:r>
      <w:r>
        <w:rPr>
          <w:rFonts w:ascii="Times New Roman" w:hAnsi="Times New Roman" w:hint="eastAsia"/>
          <w:szCs w:val="24"/>
        </w:rPr>
        <w:t>达到</w:t>
      </w:r>
      <w:r>
        <w:rPr>
          <w:rFonts w:ascii="Times New Roman" w:hAnsi="Times New Roman"/>
          <w:szCs w:val="24"/>
        </w:rPr>
        <w:t>煤炭行业清洁生产国内先进水平，能够促进地方经济可持续发展，从环境保护的角度，</w:t>
      </w:r>
      <w:r>
        <w:rPr>
          <w:rFonts w:ascii="Times New Roman" w:hAnsi="Times New Roman"/>
        </w:rPr>
        <w:t>横城矿区总体规划</w:t>
      </w:r>
      <w:r>
        <w:rPr>
          <w:rFonts w:ascii="Times New Roman" w:hAnsi="Times New Roman" w:hint="eastAsia"/>
        </w:rPr>
        <w:t>（修编）</w:t>
      </w:r>
      <w:r>
        <w:rPr>
          <w:rFonts w:ascii="Times New Roman" w:hAnsi="Times New Roman"/>
          <w:szCs w:val="24"/>
        </w:rPr>
        <w:t>是</w:t>
      </w:r>
      <w:r>
        <w:rPr>
          <w:rFonts w:ascii="Times New Roman" w:hAnsi="Times New Roman" w:hint="eastAsia"/>
          <w:szCs w:val="24"/>
        </w:rPr>
        <w:t>可行</w:t>
      </w:r>
      <w:r>
        <w:rPr>
          <w:rFonts w:ascii="Times New Roman" w:hAnsi="Times New Roman"/>
          <w:szCs w:val="24"/>
        </w:rPr>
        <w:t>的。</w:t>
      </w:r>
    </w:p>
    <w:p w14:paraId="3F61040A" w14:textId="77777777" w:rsidR="009C353B" w:rsidRDefault="009C353B">
      <w:pPr>
        <w:adjustRightInd w:val="0"/>
        <w:snapToGrid w:val="0"/>
        <w:spacing w:line="440" w:lineRule="exact"/>
        <w:ind w:firstLineChars="200" w:firstLine="480"/>
        <w:rPr>
          <w:rFonts w:ascii="Times New Roman" w:hAnsi="Times New Roman"/>
        </w:rPr>
        <w:sectPr w:rsidR="009C353B">
          <w:headerReference w:type="default" r:id="rId495"/>
          <w:pgSz w:w="11906" w:h="16838"/>
          <w:pgMar w:top="1701" w:right="1418" w:bottom="1418" w:left="1418" w:header="1134" w:footer="851" w:gutter="0"/>
          <w:paperSrc w:first="7" w:other="7"/>
          <w:cols w:space="720"/>
          <w:docGrid w:linePitch="312"/>
        </w:sectPr>
      </w:pPr>
    </w:p>
    <w:p w14:paraId="07E4CC6D" w14:textId="77777777" w:rsidR="009C353B" w:rsidRDefault="00000000">
      <w:pPr>
        <w:pStyle w:val="2"/>
        <w:adjustRightInd w:val="0"/>
        <w:snapToGrid w:val="0"/>
        <w:spacing w:line="440" w:lineRule="exact"/>
        <w:jc w:val="left"/>
        <w:rPr>
          <w:rFonts w:ascii="Times New Roman" w:eastAsia="宋体" w:hAnsi="Times New Roman"/>
          <w:b/>
          <w:sz w:val="28"/>
        </w:rPr>
      </w:pPr>
      <w:bookmarkStart w:id="479" w:name="_Toc59189901"/>
      <w:bookmarkStart w:id="480" w:name="_Toc48483572"/>
      <w:r>
        <w:rPr>
          <w:rFonts w:ascii="Times New Roman" w:eastAsia="宋体" w:hAnsi="Times New Roman" w:hint="eastAsia"/>
          <w:b/>
          <w:sz w:val="28"/>
        </w:rPr>
        <w:t>附件</w:t>
      </w:r>
      <w:r>
        <w:rPr>
          <w:rFonts w:ascii="Times New Roman" w:eastAsia="宋体" w:hAnsi="Times New Roman"/>
          <w:b/>
          <w:sz w:val="28"/>
        </w:rPr>
        <w:t>：</w:t>
      </w:r>
      <w:bookmarkEnd w:id="479"/>
      <w:bookmarkEnd w:id="480"/>
    </w:p>
    <w:p w14:paraId="6F832E70" w14:textId="77777777" w:rsidR="009C353B" w:rsidRDefault="00000000">
      <w:pPr>
        <w:pStyle w:val="2"/>
        <w:adjustRightInd w:val="0"/>
        <w:snapToGrid w:val="0"/>
        <w:spacing w:before="100" w:beforeAutospacing="1" w:after="100" w:afterAutospacing="1" w:line="440" w:lineRule="exact"/>
        <w:jc w:val="left"/>
        <w:rPr>
          <w:rFonts w:ascii="Times New Roman" w:eastAsia="宋体" w:hAnsi="Times New Roman"/>
          <w:szCs w:val="24"/>
        </w:rPr>
      </w:pPr>
      <w:bookmarkStart w:id="481" w:name="_Toc48483573"/>
      <w:bookmarkStart w:id="482" w:name="_Toc59189902"/>
      <w:bookmarkStart w:id="483" w:name="_Toc49767699"/>
      <w:bookmarkStart w:id="484" w:name="_Toc50316948"/>
      <w:bookmarkStart w:id="485" w:name="_Toc51429440"/>
      <w:r>
        <w:rPr>
          <w:rFonts w:ascii="Times New Roman" w:eastAsia="宋体" w:hAnsi="Times New Roman" w:hint="eastAsia"/>
          <w:szCs w:val="24"/>
        </w:rPr>
        <w:t>附件</w:t>
      </w:r>
      <w:r>
        <w:rPr>
          <w:rFonts w:ascii="Times New Roman" w:eastAsia="宋体" w:hAnsi="Times New Roman" w:hint="eastAsia"/>
          <w:szCs w:val="24"/>
        </w:rPr>
        <w:t>1</w:t>
      </w:r>
      <w:r>
        <w:rPr>
          <w:rFonts w:ascii="Times New Roman" w:eastAsia="宋体" w:hAnsi="Times New Roman" w:hint="eastAsia"/>
          <w:szCs w:val="24"/>
        </w:rPr>
        <w:t>：宁夏回族自治区发展和改革委员会《宁夏发展改革委关于委托修编横城矿区总体规划的函》</w:t>
      </w:r>
      <w:bookmarkEnd w:id="481"/>
      <w:r>
        <w:rPr>
          <w:rFonts w:ascii="Times New Roman" w:eastAsia="宋体" w:hAnsi="Times New Roman" w:hint="eastAsia"/>
          <w:szCs w:val="24"/>
        </w:rPr>
        <w:t>；</w:t>
      </w:r>
      <w:bookmarkEnd w:id="482"/>
      <w:bookmarkEnd w:id="483"/>
      <w:bookmarkEnd w:id="484"/>
      <w:bookmarkEnd w:id="485"/>
    </w:p>
    <w:p w14:paraId="16996B69" w14:textId="77777777" w:rsidR="009C353B" w:rsidRDefault="00000000">
      <w:pPr>
        <w:pStyle w:val="2"/>
        <w:adjustRightInd w:val="0"/>
        <w:snapToGrid w:val="0"/>
        <w:spacing w:before="100" w:beforeAutospacing="1" w:after="100" w:afterAutospacing="1" w:line="440" w:lineRule="exact"/>
        <w:jc w:val="left"/>
        <w:rPr>
          <w:rFonts w:ascii="Times New Roman" w:eastAsia="宋体" w:hAnsi="Times New Roman"/>
          <w:szCs w:val="24"/>
        </w:rPr>
      </w:pPr>
      <w:bookmarkStart w:id="486" w:name="_Toc48483574"/>
      <w:bookmarkStart w:id="487" w:name="_Toc51429441"/>
      <w:bookmarkStart w:id="488" w:name="_Toc49767700"/>
      <w:bookmarkStart w:id="489" w:name="_Toc59189903"/>
      <w:bookmarkStart w:id="490" w:name="_Toc50316949"/>
      <w:r>
        <w:rPr>
          <w:rFonts w:ascii="Times New Roman" w:eastAsia="宋体" w:hAnsi="Times New Roman" w:hint="eastAsia"/>
          <w:szCs w:val="24"/>
        </w:rPr>
        <w:t>附件</w:t>
      </w:r>
      <w:r>
        <w:rPr>
          <w:rFonts w:ascii="Times New Roman" w:eastAsia="宋体" w:hAnsi="Times New Roman"/>
          <w:szCs w:val="24"/>
        </w:rPr>
        <w:t>2</w:t>
      </w:r>
      <w:r>
        <w:rPr>
          <w:rFonts w:ascii="Times New Roman" w:eastAsia="宋体" w:hAnsi="Times New Roman" w:hint="eastAsia"/>
          <w:szCs w:val="24"/>
        </w:rPr>
        <w:t>：发</w:t>
      </w:r>
      <w:r>
        <w:rPr>
          <w:rFonts w:ascii="Times New Roman" w:eastAsia="宋体" w:hAnsi="Times New Roman"/>
          <w:szCs w:val="24"/>
        </w:rPr>
        <w:t>改能源</w:t>
      </w:r>
      <w:r>
        <w:rPr>
          <w:rFonts w:ascii="Times New Roman" w:eastAsia="宋体" w:hAnsi="Times New Roman" w:hint="eastAsia"/>
          <w:szCs w:val="24"/>
        </w:rPr>
        <w:t>〔</w:t>
      </w:r>
      <w:r>
        <w:rPr>
          <w:rFonts w:ascii="Times New Roman" w:eastAsia="宋体" w:hAnsi="Times New Roman"/>
          <w:szCs w:val="24"/>
        </w:rPr>
        <w:t>2004</w:t>
      </w:r>
      <w:r>
        <w:rPr>
          <w:rFonts w:ascii="Times New Roman" w:eastAsia="宋体" w:hAnsi="Times New Roman" w:hint="eastAsia"/>
          <w:szCs w:val="24"/>
        </w:rPr>
        <w:t>〕</w:t>
      </w:r>
      <w:r>
        <w:rPr>
          <w:rFonts w:ascii="Times New Roman" w:eastAsia="宋体" w:hAnsi="Times New Roman"/>
          <w:szCs w:val="24"/>
        </w:rPr>
        <w:t>2166</w:t>
      </w:r>
      <w:r>
        <w:rPr>
          <w:rFonts w:ascii="Times New Roman" w:eastAsia="宋体" w:hAnsi="Times New Roman" w:hint="eastAsia"/>
          <w:szCs w:val="24"/>
        </w:rPr>
        <w:t>号国家</w:t>
      </w:r>
      <w:r>
        <w:rPr>
          <w:rFonts w:ascii="Times New Roman" w:eastAsia="宋体" w:hAnsi="Times New Roman"/>
          <w:szCs w:val="24"/>
        </w:rPr>
        <w:t>发展改革委关于</w:t>
      </w:r>
      <w:r>
        <w:rPr>
          <w:rFonts w:ascii="Times New Roman" w:eastAsia="宋体" w:hAnsi="Times New Roman" w:hint="eastAsia"/>
          <w:szCs w:val="24"/>
        </w:rPr>
        <w:t>宁夏</w:t>
      </w:r>
      <w:r>
        <w:rPr>
          <w:rFonts w:ascii="Times New Roman" w:eastAsia="宋体" w:hAnsi="Times New Roman"/>
          <w:szCs w:val="24"/>
        </w:rPr>
        <w:t>横城矿区总体规划的批复</w:t>
      </w:r>
      <w:bookmarkEnd w:id="486"/>
      <w:r>
        <w:rPr>
          <w:rFonts w:ascii="Times New Roman" w:eastAsia="宋体" w:hAnsi="Times New Roman" w:hint="eastAsia"/>
          <w:szCs w:val="24"/>
        </w:rPr>
        <w:t>；</w:t>
      </w:r>
      <w:bookmarkEnd w:id="487"/>
      <w:bookmarkEnd w:id="488"/>
      <w:bookmarkEnd w:id="489"/>
      <w:bookmarkEnd w:id="490"/>
    </w:p>
    <w:p w14:paraId="16BA6434" w14:textId="77777777" w:rsidR="009C353B" w:rsidRDefault="00000000">
      <w:pPr>
        <w:pStyle w:val="2"/>
        <w:adjustRightInd w:val="0"/>
        <w:snapToGrid w:val="0"/>
        <w:spacing w:before="100" w:beforeAutospacing="1" w:after="100" w:afterAutospacing="1" w:line="440" w:lineRule="exact"/>
        <w:jc w:val="left"/>
        <w:rPr>
          <w:rFonts w:ascii="Times New Roman" w:eastAsia="宋体" w:hAnsi="Times New Roman"/>
          <w:szCs w:val="24"/>
        </w:rPr>
      </w:pPr>
      <w:bookmarkStart w:id="491" w:name="_Toc50316950"/>
      <w:bookmarkStart w:id="492" w:name="_Toc59189904"/>
      <w:bookmarkStart w:id="493" w:name="_Toc49767701"/>
      <w:bookmarkStart w:id="494" w:name="_Toc48483575"/>
      <w:bookmarkStart w:id="495" w:name="_Toc51429442"/>
      <w:r>
        <w:rPr>
          <w:rFonts w:ascii="Times New Roman" w:eastAsia="宋体" w:hAnsi="Times New Roman" w:hint="eastAsia"/>
          <w:szCs w:val="24"/>
        </w:rPr>
        <w:t>附件</w:t>
      </w:r>
      <w:r>
        <w:rPr>
          <w:rFonts w:ascii="Times New Roman" w:eastAsia="宋体" w:hAnsi="Times New Roman"/>
          <w:szCs w:val="24"/>
        </w:rPr>
        <w:t>3</w:t>
      </w:r>
      <w:r>
        <w:rPr>
          <w:rFonts w:ascii="Times New Roman" w:eastAsia="宋体" w:hAnsi="Times New Roman" w:hint="eastAsia"/>
          <w:szCs w:val="24"/>
        </w:rPr>
        <w:t>：马莲台、红石湾、任家庄、丁家梁矿井环评批复文件；</w:t>
      </w:r>
      <w:bookmarkEnd w:id="491"/>
      <w:bookmarkEnd w:id="492"/>
      <w:bookmarkEnd w:id="493"/>
      <w:bookmarkEnd w:id="494"/>
      <w:bookmarkEnd w:id="495"/>
      <w:r>
        <w:rPr>
          <w:rFonts w:ascii="Times New Roman" w:eastAsia="宋体" w:hAnsi="Times New Roman"/>
          <w:szCs w:val="24"/>
        </w:rPr>
        <w:t xml:space="preserve"> </w:t>
      </w:r>
    </w:p>
    <w:p w14:paraId="07A2D631" w14:textId="77777777" w:rsidR="009C353B" w:rsidRDefault="00000000">
      <w:pPr>
        <w:pStyle w:val="2"/>
        <w:adjustRightInd w:val="0"/>
        <w:snapToGrid w:val="0"/>
        <w:spacing w:before="100" w:beforeAutospacing="1" w:after="100" w:afterAutospacing="1" w:line="440" w:lineRule="exact"/>
        <w:jc w:val="left"/>
        <w:rPr>
          <w:rFonts w:ascii="Times New Roman" w:eastAsia="宋体" w:hAnsi="Times New Roman"/>
          <w:szCs w:val="24"/>
        </w:rPr>
      </w:pPr>
      <w:bookmarkStart w:id="496" w:name="_Toc59189905"/>
      <w:r>
        <w:rPr>
          <w:rFonts w:ascii="Times New Roman" w:eastAsia="宋体" w:hAnsi="Times New Roman" w:hint="eastAsia"/>
          <w:szCs w:val="24"/>
        </w:rPr>
        <w:t>附件</w:t>
      </w:r>
      <w:r>
        <w:rPr>
          <w:rFonts w:ascii="Times New Roman" w:eastAsia="宋体" w:hAnsi="Times New Roman" w:hint="eastAsia"/>
          <w:szCs w:val="24"/>
        </w:rPr>
        <w:t>4</w:t>
      </w:r>
      <w:r>
        <w:rPr>
          <w:rFonts w:ascii="Times New Roman" w:eastAsia="宋体" w:hAnsi="Times New Roman" w:hint="eastAsia"/>
          <w:szCs w:val="24"/>
        </w:rPr>
        <w:t>：马莲台、红石湾、任家庄矿井竣工环保验收意见；</w:t>
      </w:r>
      <w:bookmarkEnd w:id="496"/>
    </w:p>
    <w:p w14:paraId="0CFFCB3A" w14:textId="77777777" w:rsidR="009C353B" w:rsidRDefault="00000000">
      <w:pPr>
        <w:pStyle w:val="2"/>
        <w:adjustRightInd w:val="0"/>
        <w:snapToGrid w:val="0"/>
        <w:spacing w:before="100" w:beforeAutospacing="1" w:after="100" w:afterAutospacing="1" w:line="440" w:lineRule="exact"/>
        <w:jc w:val="left"/>
        <w:rPr>
          <w:rFonts w:ascii="Times New Roman" w:eastAsia="宋体" w:hAnsi="Times New Roman"/>
          <w:szCs w:val="24"/>
        </w:rPr>
      </w:pPr>
      <w:bookmarkStart w:id="497" w:name="_Toc48483577"/>
      <w:bookmarkStart w:id="498" w:name="_Toc51429443"/>
      <w:bookmarkStart w:id="499" w:name="_Toc59189906"/>
      <w:bookmarkStart w:id="500" w:name="_Toc50316951"/>
      <w:bookmarkStart w:id="501" w:name="_Toc49767702"/>
      <w:r>
        <w:rPr>
          <w:rFonts w:ascii="Times New Roman" w:eastAsia="宋体" w:hAnsi="Times New Roman" w:hint="eastAsia"/>
          <w:szCs w:val="24"/>
        </w:rPr>
        <w:t>附件</w:t>
      </w:r>
      <w:r>
        <w:rPr>
          <w:rFonts w:ascii="Times New Roman" w:eastAsia="宋体" w:hAnsi="Times New Roman"/>
          <w:szCs w:val="24"/>
        </w:rPr>
        <w:t>5</w:t>
      </w:r>
      <w:r>
        <w:rPr>
          <w:rFonts w:ascii="Times New Roman" w:eastAsia="宋体" w:hAnsi="Times New Roman" w:hint="eastAsia"/>
          <w:szCs w:val="24"/>
        </w:rPr>
        <w:t>：</w:t>
      </w:r>
      <w:bookmarkEnd w:id="497"/>
      <w:r>
        <w:rPr>
          <w:rFonts w:ascii="Times New Roman" w:eastAsia="宋体" w:hAnsi="Times New Roman" w:hint="eastAsia"/>
          <w:szCs w:val="24"/>
        </w:rPr>
        <w:t>马莲台、任家庄矿井现状环境评估批复文件；</w:t>
      </w:r>
      <w:bookmarkEnd w:id="498"/>
      <w:bookmarkEnd w:id="499"/>
      <w:bookmarkEnd w:id="500"/>
      <w:bookmarkEnd w:id="501"/>
    </w:p>
    <w:p w14:paraId="4C24371A" w14:textId="77777777" w:rsidR="009C353B" w:rsidRDefault="00000000">
      <w:pPr>
        <w:pStyle w:val="2"/>
        <w:adjustRightInd w:val="0"/>
        <w:snapToGrid w:val="0"/>
        <w:spacing w:before="100" w:beforeAutospacing="1" w:after="100" w:afterAutospacing="1" w:line="440" w:lineRule="exact"/>
        <w:jc w:val="left"/>
        <w:rPr>
          <w:rFonts w:ascii="Times New Roman" w:eastAsia="宋体" w:hAnsi="Times New Roman"/>
          <w:szCs w:val="24"/>
        </w:rPr>
      </w:pPr>
      <w:bookmarkStart w:id="502" w:name="_Toc49767703"/>
      <w:bookmarkStart w:id="503" w:name="_Toc59189907"/>
      <w:bookmarkStart w:id="504" w:name="_Toc51429444"/>
      <w:bookmarkStart w:id="505" w:name="_Toc50316952"/>
      <w:bookmarkStart w:id="506" w:name="_Toc48483579"/>
      <w:r>
        <w:rPr>
          <w:rFonts w:ascii="Times New Roman" w:eastAsia="宋体" w:hAnsi="Times New Roman" w:hint="eastAsia"/>
          <w:szCs w:val="24"/>
        </w:rPr>
        <w:t>附件</w:t>
      </w:r>
      <w:r>
        <w:rPr>
          <w:rFonts w:ascii="Times New Roman" w:eastAsia="宋体" w:hAnsi="Times New Roman"/>
          <w:szCs w:val="24"/>
        </w:rPr>
        <w:t>6</w:t>
      </w:r>
      <w:r>
        <w:rPr>
          <w:rFonts w:ascii="Times New Roman" w:eastAsia="宋体" w:hAnsi="Times New Roman" w:hint="eastAsia"/>
          <w:szCs w:val="24"/>
        </w:rPr>
        <w:t>：马莲台、红石湾、任家庄矿井产能核增批复文件；</w:t>
      </w:r>
      <w:bookmarkEnd w:id="502"/>
      <w:bookmarkEnd w:id="503"/>
      <w:bookmarkEnd w:id="504"/>
      <w:bookmarkEnd w:id="505"/>
    </w:p>
    <w:p w14:paraId="2462C1C7" w14:textId="77777777" w:rsidR="009C353B" w:rsidRDefault="00000000">
      <w:pPr>
        <w:pStyle w:val="2"/>
        <w:adjustRightInd w:val="0"/>
        <w:snapToGrid w:val="0"/>
        <w:spacing w:before="100" w:beforeAutospacing="1" w:after="100" w:afterAutospacing="1" w:line="440" w:lineRule="exact"/>
        <w:jc w:val="left"/>
        <w:rPr>
          <w:rFonts w:ascii="Times New Roman" w:eastAsia="宋体" w:hAnsi="Times New Roman"/>
          <w:szCs w:val="24"/>
        </w:rPr>
      </w:pPr>
      <w:bookmarkStart w:id="507" w:name="_Toc50316953"/>
      <w:bookmarkStart w:id="508" w:name="_Toc49767704"/>
      <w:bookmarkStart w:id="509" w:name="_Toc59189908"/>
      <w:bookmarkStart w:id="510" w:name="_Toc51429445"/>
      <w:r>
        <w:rPr>
          <w:rFonts w:ascii="Times New Roman" w:eastAsia="宋体" w:hAnsi="Times New Roman" w:hint="eastAsia"/>
          <w:szCs w:val="24"/>
        </w:rPr>
        <w:t>附件</w:t>
      </w:r>
      <w:r>
        <w:rPr>
          <w:rFonts w:ascii="Times New Roman" w:eastAsia="宋体" w:hAnsi="Times New Roman"/>
          <w:szCs w:val="24"/>
        </w:rPr>
        <w:t>7</w:t>
      </w:r>
      <w:r>
        <w:rPr>
          <w:rFonts w:ascii="Times New Roman" w:eastAsia="宋体" w:hAnsi="Times New Roman" w:hint="eastAsia"/>
          <w:szCs w:val="24"/>
        </w:rPr>
        <w:t>：</w:t>
      </w:r>
      <w:r>
        <w:rPr>
          <w:rFonts w:ascii="Times New Roman" w:eastAsia="宋体" w:hAnsi="Times New Roman"/>
          <w:szCs w:val="24"/>
        </w:rPr>
        <w:t>水库大坝</w:t>
      </w:r>
      <w:r>
        <w:rPr>
          <w:rFonts w:ascii="Times New Roman" w:eastAsia="宋体" w:hAnsi="Times New Roman" w:hint="eastAsia"/>
          <w:szCs w:val="24"/>
        </w:rPr>
        <w:t>下游</w:t>
      </w:r>
      <w:r>
        <w:rPr>
          <w:rFonts w:ascii="Times New Roman" w:eastAsia="宋体" w:hAnsi="Times New Roman" w:hint="eastAsia"/>
          <w:szCs w:val="24"/>
        </w:rPr>
        <w:t>1</w:t>
      </w:r>
      <w:r>
        <w:rPr>
          <w:rFonts w:ascii="Times New Roman" w:eastAsia="宋体" w:hAnsi="Times New Roman"/>
          <w:szCs w:val="24"/>
        </w:rPr>
        <w:t>.8km</w:t>
      </w:r>
      <w:r>
        <w:rPr>
          <w:rFonts w:ascii="Times New Roman" w:eastAsia="宋体" w:hAnsi="Times New Roman"/>
          <w:szCs w:val="24"/>
        </w:rPr>
        <w:t>临时禁采的文件</w:t>
      </w:r>
      <w:r>
        <w:rPr>
          <w:rFonts w:ascii="Times New Roman" w:eastAsia="宋体" w:hAnsi="Times New Roman" w:hint="eastAsia"/>
          <w:szCs w:val="24"/>
        </w:rPr>
        <w:t>；</w:t>
      </w:r>
      <w:bookmarkStart w:id="511" w:name="_Toc48483580"/>
      <w:bookmarkEnd w:id="506"/>
      <w:bookmarkEnd w:id="507"/>
      <w:bookmarkEnd w:id="508"/>
      <w:bookmarkEnd w:id="509"/>
      <w:bookmarkEnd w:id="510"/>
    </w:p>
    <w:p w14:paraId="7BB0C741" w14:textId="77777777" w:rsidR="009C353B" w:rsidRDefault="00000000">
      <w:pPr>
        <w:pStyle w:val="2"/>
        <w:adjustRightInd w:val="0"/>
        <w:snapToGrid w:val="0"/>
        <w:spacing w:before="100" w:beforeAutospacing="1" w:after="100" w:afterAutospacing="1" w:line="440" w:lineRule="exact"/>
        <w:jc w:val="left"/>
        <w:rPr>
          <w:rFonts w:ascii="Times New Roman" w:eastAsia="宋体" w:hAnsi="Times New Roman"/>
          <w:szCs w:val="24"/>
        </w:rPr>
      </w:pPr>
      <w:bookmarkStart w:id="512" w:name="_Toc59189910"/>
      <w:r>
        <w:rPr>
          <w:rFonts w:ascii="Times New Roman" w:eastAsia="宋体" w:hAnsi="Times New Roman" w:hint="eastAsia"/>
          <w:szCs w:val="24"/>
        </w:rPr>
        <w:t>附件</w:t>
      </w:r>
      <w:r>
        <w:rPr>
          <w:rFonts w:ascii="Times New Roman" w:eastAsia="宋体" w:hAnsi="Times New Roman"/>
          <w:szCs w:val="24"/>
        </w:rPr>
        <w:t>8</w:t>
      </w:r>
      <w:r>
        <w:rPr>
          <w:rFonts w:ascii="Times New Roman" w:eastAsia="宋体" w:hAnsi="Times New Roman" w:hint="eastAsia"/>
          <w:szCs w:val="24"/>
        </w:rPr>
        <w:t>：宁东能源化工基地</w:t>
      </w:r>
      <w:r>
        <w:rPr>
          <w:rFonts w:ascii="Times New Roman" w:eastAsia="宋体" w:hAnsi="Times New Roman" w:hint="eastAsia"/>
          <w:szCs w:val="24"/>
        </w:rPr>
        <w:t>2</w:t>
      </w:r>
      <w:r>
        <w:rPr>
          <w:rFonts w:ascii="Times New Roman" w:eastAsia="宋体" w:hAnsi="Times New Roman" w:hint="eastAsia"/>
          <w:szCs w:val="24"/>
        </w:rPr>
        <w:t>号综合渣场项目环境影响报告书的批复；</w:t>
      </w:r>
      <w:bookmarkEnd w:id="512"/>
    </w:p>
    <w:p w14:paraId="47D91242" w14:textId="77777777" w:rsidR="009C353B" w:rsidRDefault="00000000">
      <w:pPr>
        <w:pStyle w:val="2"/>
        <w:adjustRightInd w:val="0"/>
        <w:snapToGrid w:val="0"/>
        <w:spacing w:before="100" w:beforeAutospacing="1" w:after="100" w:afterAutospacing="1" w:line="440" w:lineRule="exact"/>
        <w:jc w:val="left"/>
        <w:rPr>
          <w:rFonts w:ascii="Times New Roman" w:eastAsia="宋体" w:hAnsi="Times New Roman"/>
          <w:szCs w:val="24"/>
        </w:rPr>
      </w:pPr>
      <w:bookmarkStart w:id="513" w:name="_Toc59189911"/>
      <w:bookmarkStart w:id="514" w:name="_Toc51429446"/>
      <w:bookmarkStart w:id="515" w:name="_Toc49767705"/>
      <w:bookmarkStart w:id="516" w:name="_Toc50316954"/>
      <w:r>
        <w:rPr>
          <w:rFonts w:ascii="Times New Roman" w:eastAsia="宋体" w:hAnsi="Times New Roman" w:hint="eastAsia"/>
          <w:szCs w:val="24"/>
        </w:rPr>
        <w:t>附件</w:t>
      </w:r>
      <w:r>
        <w:rPr>
          <w:rFonts w:ascii="Times New Roman" w:eastAsia="宋体" w:hAnsi="Times New Roman"/>
          <w:szCs w:val="24"/>
        </w:rPr>
        <w:t>9</w:t>
      </w:r>
      <w:r>
        <w:rPr>
          <w:rFonts w:ascii="Times New Roman" w:eastAsia="宋体" w:hAnsi="Times New Roman" w:hint="eastAsia"/>
          <w:szCs w:val="24"/>
        </w:rPr>
        <w:t>：公众</w:t>
      </w:r>
      <w:r>
        <w:rPr>
          <w:rFonts w:ascii="Times New Roman" w:eastAsia="宋体" w:hAnsi="Times New Roman"/>
          <w:szCs w:val="24"/>
        </w:rPr>
        <w:t>参与</w:t>
      </w:r>
      <w:r>
        <w:rPr>
          <w:rFonts w:ascii="Times New Roman" w:eastAsia="宋体" w:hAnsi="Times New Roman" w:hint="eastAsia"/>
          <w:szCs w:val="24"/>
        </w:rPr>
        <w:t>调查表</w:t>
      </w:r>
      <w:bookmarkEnd w:id="511"/>
      <w:r>
        <w:rPr>
          <w:rFonts w:ascii="Times New Roman" w:eastAsia="宋体" w:hAnsi="Times New Roman" w:hint="eastAsia"/>
          <w:szCs w:val="24"/>
        </w:rPr>
        <w:t>。</w:t>
      </w:r>
      <w:bookmarkEnd w:id="513"/>
      <w:bookmarkEnd w:id="514"/>
      <w:bookmarkEnd w:id="515"/>
      <w:bookmarkEnd w:id="516"/>
    </w:p>
    <w:p w14:paraId="6D9E3B60" w14:textId="77777777" w:rsidR="009C353B" w:rsidRDefault="009C353B">
      <w:pPr>
        <w:rPr>
          <w:rFonts w:hint="eastAsia"/>
        </w:rPr>
      </w:pPr>
    </w:p>
    <w:sectPr w:rsidR="009C353B">
      <w:headerReference w:type="default" r:id="rId496"/>
      <w:pgSz w:w="11906" w:h="16838"/>
      <w:pgMar w:top="1701" w:right="1418" w:bottom="1418" w:left="1418" w:header="1134" w:footer="851" w:gutter="0"/>
      <w:paperSrc w:first="7" w:other="7"/>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FDC93" w14:textId="77777777" w:rsidR="00265209" w:rsidRDefault="00265209">
      <w:pPr>
        <w:rPr>
          <w:rFonts w:hint="eastAsia"/>
        </w:rPr>
      </w:pPr>
      <w:r>
        <w:separator/>
      </w:r>
    </w:p>
  </w:endnote>
  <w:endnote w:type="continuationSeparator" w:id="0">
    <w:p w14:paraId="46A9992B" w14:textId="77777777" w:rsidR="00265209" w:rsidRDefault="002652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汉鼎简书宋">
    <w:altName w:val="微软雅黑"/>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2020603050405020304"/>
    <w:charset w:val="00"/>
    <w:family w:val="roman"/>
    <w:pitch w:val="default"/>
    <w:sig w:usb0="00000000" w:usb1="00000000" w:usb2="00000000" w:usb3="00000000" w:csb0="00000093" w:csb1="00000000"/>
  </w:font>
  <w:font w:name="Arial Unicode MS">
    <w:panose1 w:val="020B0604020202020204"/>
    <w:charset w:val="86"/>
    <w:family w:val="swiss"/>
    <w:pitch w:val="default"/>
    <w:sig w:usb0="00000000" w:usb1="00000000" w:usb2="0000003F" w:usb3="00000000" w:csb0="003F01FF" w:csb1="0000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创艺简楷体">
    <w:altName w:val="黑体"/>
    <w:charset w:val="86"/>
    <w:family w:val="auto"/>
    <w:pitch w:val="default"/>
    <w:sig w:usb0="00000000" w:usb1="00000000" w:usb2="00000010" w:usb3="00000000" w:csb0="00040000" w:csb1="00000000"/>
  </w:font>
  <w:font w:name="Roman PS">
    <w:altName w:val="Times New Roman"/>
    <w:charset w:val="00"/>
    <w:family w:val="roman"/>
    <w:pitch w:val="default"/>
    <w:sig w:usb0="00000000" w:usb1="00000000" w:usb2="00000000" w:usb3="00000000" w:csb0="00000001" w:csb1="00000000"/>
  </w:font>
  <w:font w:name="Courier">
    <w:panose1 w:val="02070409020205020404"/>
    <w:charset w:val="00"/>
    <w:family w:val="modern"/>
    <w:pitch w:val="default"/>
    <w:sig w:usb0="00000000" w:usb1="00000000" w:usb2="00000000" w:usb3="00000000" w:csb0="00000001" w:csb1="00000000"/>
  </w:font>
  <w:font w:name="ˎ̥">
    <w:altName w:val="Times New Roman"/>
    <w:charset w:val="00"/>
    <w:family w:val="roman"/>
    <w:pitch w:val="default"/>
  </w:font>
  <w:font w:name="方正小标宋简体">
    <w:charset w:val="86"/>
    <w:family w:val="auto"/>
    <w:pitch w:val="default"/>
    <w:sig w:usb0="A00002BF" w:usb1="184F6CFA" w:usb2="00000012" w:usb3="00000000" w:csb0="00040001" w:csb1="00000000"/>
  </w:font>
  <w:font w:name="幼圆">
    <w:panose1 w:val="02010509060101010101"/>
    <w:charset w:val="86"/>
    <w:family w:val="modern"/>
    <w:pitch w:val="fixed"/>
    <w:sig w:usb0="00000001" w:usb1="080E0000" w:usb2="00000010" w:usb3="00000000" w:csb0="00040000" w:csb1="00000000"/>
  </w:font>
  <w:font w:name="Symusic">
    <w:altName w:val="Segoe Print"/>
    <w:charset w:val="00"/>
    <w:family w:val="auto"/>
    <w:pitch w:val="default"/>
    <w:sig w:usb0="00000000" w:usb1="00000000" w:usb2="00000000" w:usb3="00000000" w:csb0="000001FF" w:csb1="00000000"/>
  </w:font>
  <w:font w:name="p10">
    <w:altName w:val="Times New Roman"/>
    <w:charset w:val="00"/>
    <w:family w:val="roman"/>
    <w:pitch w:val="default"/>
    <w:sig w:usb0="00000000" w:usb1="00000000" w:usb2="00000000" w:usb3="00000000" w:csb0="00000001" w:csb1="00000000"/>
  </w:font>
  <w:font w:name="Plotter">
    <w:altName w:val="Times New Roman"/>
    <w:charset w:val="00"/>
    <w:family w:val="roman"/>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华文宋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方正大黑简体">
    <w:altName w:val="黑体"/>
    <w:charset w:val="86"/>
    <w:family w:val="auto"/>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
    <w:altName w:val="宋体"/>
    <w:charset w:val="86"/>
    <w:family w:val="roman"/>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217BF" w14:textId="77777777" w:rsidR="00265209" w:rsidRDefault="00265209">
      <w:pPr>
        <w:rPr>
          <w:rFonts w:hint="eastAsia"/>
        </w:rPr>
      </w:pPr>
      <w:r>
        <w:separator/>
      </w:r>
    </w:p>
  </w:footnote>
  <w:footnote w:type="continuationSeparator" w:id="0">
    <w:p w14:paraId="71823F3D" w14:textId="77777777" w:rsidR="00265209" w:rsidRDefault="0026520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E594F"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rPr>
      <w:t xml:space="preserve"> </w:t>
    </w:r>
    <w:r>
      <w:rPr>
        <w:rFonts w:ascii="华文新魏" w:eastAsia="华文新魏" w:hint="eastAsia"/>
      </w:rPr>
      <w:t xml:space="preserve"> 总则</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66BA7"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Ansi="华文仿宋" w:hint="eastAsia"/>
      </w:rPr>
      <w:t xml:space="preserve">                          </w:t>
    </w:r>
    <w:r>
      <w:rPr>
        <w:rFonts w:ascii="隶书" w:eastAsia="隶书" w:hAnsi="华文仿宋"/>
      </w:rPr>
      <w:t xml:space="preserve">                  </w:t>
    </w:r>
    <w:r>
      <w:rPr>
        <w:rFonts w:ascii="华文新魏" w:eastAsia="华文新魏" w:hint="eastAsia"/>
      </w:rPr>
      <w:t>规划方案概况及分析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D8235"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Ansi="华文仿宋" w:hint="eastAsia"/>
      </w:rPr>
      <w:t xml:space="preserve">                          </w:t>
    </w:r>
    <w:r>
      <w:rPr>
        <w:rFonts w:ascii="隶书" w:eastAsia="隶书" w:hAnsi="华文仿宋"/>
      </w:rPr>
      <w:t xml:space="preserve">                                                                       </w:t>
    </w:r>
    <w:r>
      <w:rPr>
        <w:rFonts w:ascii="华文新魏" w:eastAsia="华文新魏" w:hint="eastAsia"/>
      </w:rPr>
      <w:t>规划方案概况及分析</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AAA43"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Ansi="华文仿宋" w:hint="eastAsia"/>
      </w:rPr>
      <w:t xml:space="preserve">                           </w:t>
    </w:r>
    <w:r>
      <w:rPr>
        <w:rFonts w:ascii="隶书" w:eastAsia="隶书" w:hAnsi="华文仿宋"/>
      </w:rPr>
      <w:t xml:space="preserve">                </w:t>
    </w:r>
    <w:r>
      <w:rPr>
        <w:rFonts w:ascii="华文新魏" w:eastAsia="华文新魏"/>
      </w:rPr>
      <w:t xml:space="preserve"> </w:t>
    </w:r>
    <w:r>
      <w:rPr>
        <w:rFonts w:ascii="华文新魏" w:eastAsia="华文新魏" w:hint="eastAsia"/>
      </w:rPr>
      <w:t>规划方案概况及分析</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50DC1"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Ansi="华文仿宋" w:hint="eastAsia"/>
      </w:rPr>
      <w:t xml:space="preserve">                          </w:t>
    </w:r>
    <w:r>
      <w:rPr>
        <w:rFonts w:ascii="隶书" w:eastAsia="隶书" w:hAnsi="华文仿宋"/>
      </w:rPr>
      <w:t xml:space="preserve">                                                                      </w:t>
    </w:r>
    <w:r>
      <w:rPr>
        <w:rFonts w:ascii="华文新魏" w:eastAsia="华文新魏"/>
      </w:rPr>
      <w:t xml:space="preserve"> </w:t>
    </w:r>
    <w:r>
      <w:rPr>
        <w:rFonts w:ascii="华文新魏" w:eastAsia="华文新魏" w:hint="eastAsia"/>
      </w:rPr>
      <w:t>规划方案概况及分析</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61DDB"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Ansi="华文仿宋" w:hint="eastAsia"/>
      </w:rPr>
      <w:t xml:space="preserve">                           </w:t>
    </w:r>
    <w:r>
      <w:rPr>
        <w:rFonts w:ascii="隶书" w:eastAsia="隶书" w:hAnsi="华文仿宋"/>
      </w:rPr>
      <w:t xml:space="preserve">              </w:t>
    </w:r>
    <w:r>
      <w:rPr>
        <w:rFonts w:ascii="华文新魏" w:eastAsia="华文新魏" w:hint="eastAsia"/>
      </w:rPr>
      <w:t>规划方案概况及分析</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A26B"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Ansi="华文仿宋" w:hint="eastAsia"/>
      </w:rPr>
      <w:t xml:space="preserve">                           </w:t>
    </w:r>
    <w:r>
      <w:rPr>
        <w:rFonts w:ascii="隶书" w:eastAsia="隶书" w:hAnsi="华文仿宋"/>
      </w:rPr>
      <w:t xml:space="preserve">                                                                    </w:t>
    </w:r>
    <w:r>
      <w:rPr>
        <w:rFonts w:ascii="华文新魏" w:eastAsia="华文新魏" w:hint="eastAsia"/>
      </w:rPr>
      <w:t>规划方案概况及分析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D79A1"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Ansi="华文仿宋" w:hint="eastAsia"/>
      </w:rPr>
      <w:t xml:space="preserve">                              </w:t>
    </w:r>
    <w:r>
      <w:rPr>
        <w:rFonts w:ascii="隶书" w:eastAsia="隶书" w:hAnsi="华文仿宋"/>
      </w:rPr>
      <w:t xml:space="preserve">             </w:t>
    </w:r>
    <w:r>
      <w:rPr>
        <w:rFonts w:ascii="华文新魏" w:eastAsia="华文新魏" w:hint="eastAsia"/>
      </w:rPr>
      <w:t>规划方案概况及分析</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F3D42"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Ansi="华文仿宋" w:hint="eastAsia"/>
      </w:rPr>
      <w:t xml:space="preserve">                              </w:t>
    </w:r>
    <w:r>
      <w:rPr>
        <w:rFonts w:ascii="隶书" w:eastAsia="隶书" w:hAnsi="华文仿宋"/>
      </w:rPr>
      <w:t xml:space="preserve">                                                                  </w:t>
    </w:r>
    <w:r>
      <w:rPr>
        <w:rFonts w:ascii="华文新魏" w:eastAsia="华文新魏"/>
      </w:rPr>
      <w:t xml:space="preserve"> </w:t>
    </w:r>
    <w:r>
      <w:rPr>
        <w:rFonts w:ascii="华文新魏" w:eastAsia="华文新魏" w:hint="eastAsia"/>
      </w:rPr>
      <w:t>规划方案概况及分析</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D907F"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Ansi="华文仿宋" w:hint="eastAsia"/>
      </w:rPr>
      <w:t xml:space="preserve">                               </w:t>
    </w:r>
    <w:r>
      <w:rPr>
        <w:rFonts w:ascii="隶书" w:eastAsia="隶书" w:hAnsi="华文仿宋"/>
      </w:rPr>
      <w:t xml:space="preserve">             </w:t>
    </w:r>
    <w:r>
      <w:rPr>
        <w:rFonts w:ascii="华文新魏" w:eastAsia="华文新魏" w:hint="eastAsia"/>
      </w:rPr>
      <w:t>规划方案概况及分析</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9158C"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区域自然和社会经济概况</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9E792"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区域自然和社会经济概况</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D5F57"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rPr>
      <w:t xml:space="preserve"> </w:t>
    </w:r>
    <w:r>
      <w:rPr>
        <w:rFonts w:ascii="华文新魏" w:eastAsia="华文新魏" w:hint="eastAsia"/>
      </w:rPr>
      <w:t>区域自然和社会经济概况</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144EB"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区域自然和社会经济概况</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C7552"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区域自然和社会经济概况</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103A1"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矿区开发环境影响回顾性评价</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9E0E2"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矿区开发环境影响回顾性评价</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96214"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矿区开发环境影响回顾性评价</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5B814"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矿区开发环境影响回顾性评价</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3722C"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环境影响识别与评价指标体系</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CCB6E"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eastAsia="隶书" w:hint="eastAsia"/>
      </w:rPr>
      <w:t xml:space="preserve"> </w:t>
    </w:r>
    <w:r>
      <w:rPr>
        <w:rFonts w:eastAsia="隶书"/>
      </w:rPr>
      <w:t xml:space="preserve"> </w:t>
    </w:r>
    <w:r>
      <w:rPr>
        <w:rFonts w:ascii="华文新魏" w:eastAsia="华文新魏" w:hint="eastAsia"/>
      </w:rPr>
      <w:t>规划实施环境影响预测与评价</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355CA"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规划实施环境影响预测与评价</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83B45"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rPr>
      <w:t xml:space="preserve"> </w:t>
    </w:r>
    <w:r>
      <w:rPr>
        <w:rFonts w:ascii="华文新魏" w:eastAsia="华文新魏" w:hint="eastAsia"/>
      </w:rPr>
      <w:t>矿区资源、环境承载力分析</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FF89F"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矿区资源、环境承载力分析</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EDD2"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矿区资源、环境承载力分析</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9B566" w14:textId="77777777" w:rsidR="009C353B" w:rsidRDefault="00000000">
    <w:pPr>
      <w:pStyle w:val="aff8"/>
      <w:ind w:left="180" w:hangingChars="100" w:hanging="180"/>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int="eastAsia"/>
      </w:rPr>
      <w:t xml:space="preserve">                        </w:t>
    </w:r>
    <w:r>
      <w:rPr>
        <w:rFonts w:ascii="隶书" w:eastAsia="隶书"/>
      </w:rPr>
      <w:t xml:space="preserve">       </w:t>
    </w:r>
    <w:r>
      <w:rPr>
        <w:rFonts w:ascii="隶书" w:eastAsia="隶书" w:hint="eastAsia"/>
      </w:rPr>
      <w:t xml:space="preserve"> </w:t>
    </w:r>
    <w:r>
      <w:rPr>
        <w:rFonts w:ascii="华文新魏" w:eastAsia="华文新魏" w:hint="eastAsia"/>
      </w:rPr>
      <w:t>规划方案综合论证及优化调整建议</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2C238" w14:textId="77777777" w:rsidR="009C353B" w:rsidRDefault="00000000">
    <w:pPr>
      <w:pStyle w:val="aff8"/>
      <w:ind w:left="180" w:hangingChars="100" w:hanging="180"/>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int="eastAsia"/>
      </w:rPr>
      <w:t xml:space="preserve">                        </w:t>
    </w:r>
    <w:r>
      <w:rPr>
        <w:rFonts w:ascii="隶书" w:eastAsia="隶书"/>
      </w:rPr>
      <w:t xml:space="preserve">                                                             </w:t>
    </w:r>
    <w:r>
      <w:rPr>
        <w:rFonts w:ascii="华文新魏" w:eastAsia="华文新魏" w:hint="eastAsia"/>
      </w:rPr>
      <w:t>规划方案综合论证及优化调整建议</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2E5F9" w14:textId="77777777" w:rsidR="009C353B" w:rsidRDefault="00000000">
    <w:pPr>
      <w:pStyle w:val="aff8"/>
      <w:ind w:left="180" w:hangingChars="100" w:hanging="180"/>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int="eastAsia"/>
      </w:rPr>
      <w:t xml:space="preserve">                        </w:t>
    </w:r>
    <w:r>
      <w:rPr>
        <w:rFonts w:ascii="隶书" w:eastAsia="隶书"/>
      </w:rPr>
      <w:t xml:space="preserve">       </w:t>
    </w:r>
    <w:r>
      <w:rPr>
        <w:rFonts w:ascii="华文新魏" w:eastAsia="华文新魏" w:hint="eastAsia"/>
      </w:rPr>
      <w:t>规划方案综合论证及优化调整建议</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201E6" w14:textId="77777777" w:rsidR="009C353B" w:rsidRDefault="00000000">
    <w:pPr>
      <w:pStyle w:val="aff8"/>
      <w:ind w:left="180" w:hangingChars="100" w:hanging="180"/>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ascii="隶书" w:eastAsia="隶书" w:hint="eastAsia"/>
      </w:rPr>
      <w:t xml:space="preserve">                                                                                 </w:t>
    </w:r>
    <w:r>
      <w:rPr>
        <w:rFonts w:ascii="隶书" w:eastAsia="隶书"/>
      </w:rPr>
      <w:t xml:space="preserve">    </w:t>
    </w:r>
    <w:r>
      <w:rPr>
        <w:rFonts w:ascii="隶书" w:eastAsia="隶书" w:hint="eastAsia"/>
      </w:rPr>
      <w:t xml:space="preserve"> </w:t>
    </w:r>
    <w:r>
      <w:rPr>
        <w:rFonts w:ascii="华文新魏" w:eastAsia="华文新魏" w:hint="eastAsia"/>
      </w:rPr>
      <w:t>规划方案综合论证及优化调整建议</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3A5A7"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rPr>
      <w:t xml:space="preserve">  </w:t>
    </w:r>
    <w:r>
      <w:rPr>
        <w:rFonts w:ascii="华文新魏" w:eastAsia="华文新魏" w:hint="eastAsia"/>
      </w:rPr>
      <w:t>规划实施</w:t>
    </w:r>
    <w:r>
      <w:rPr>
        <w:rFonts w:ascii="华文新魏" w:eastAsia="华文新魏"/>
      </w:rPr>
      <w:t>环境影响减缓措施</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650AA"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rPr>
      <w:t xml:space="preserve"> </w:t>
    </w:r>
    <w:r>
      <w:rPr>
        <w:rFonts w:ascii="华文新魏" w:eastAsia="华文新魏" w:hint="eastAsia"/>
      </w:rPr>
      <w:t>规划实施</w:t>
    </w:r>
    <w:r>
      <w:rPr>
        <w:rFonts w:ascii="华文新魏" w:eastAsia="华文新魏"/>
      </w:rPr>
      <w:t>环境影响减缓措施</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BBF73"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规划实施</w:t>
    </w:r>
    <w:r>
      <w:rPr>
        <w:rFonts w:ascii="华文新魏" w:eastAsia="华文新魏"/>
      </w:rPr>
      <w:t>环境影响减缓措施</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562D2"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eastAsia="隶书" w:hint="eastAsia"/>
      </w:rPr>
      <w:t xml:space="preserve">   </w:t>
    </w:r>
    <w:r>
      <w:rPr>
        <w:rFonts w:ascii="华文新魏" w:eastAsia="华文新魏" w:hint="eastAsia"/>
      </w:rPr>
      <w:t>环境管理、监测计划与跟踪评价</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98AD"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rPr>
      <w:t xml:space="preserve"> </w:t>
    </w:r>
    <w:r>
      <w:rPr>
        <w:rFonts w:ascii="华文新魏" w:eastAsia="华文新魏" w:hint="eastAsia"/>
      </w:rPr>
      <w:t>矿区清洁生产与循环经济分析</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7A75F"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 xml:space="preserve"> 公众参与</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90AC" w14:textId="77777777" w:rsidR="009C353B" w:rsidRDefault="00000000">
    <w:pPr>
      <w:pStyle w:val="aff8"/>
      <w:rPr>
        <w:rFonts w:ascii="华文新魏" w:eastAsia="华文新魏"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hint="eastAsia"/>
      </w:rPr>
      <w:t xml:space="preserve">                                       </w:t>
    </w:r>
    <w:r>
      <w:rPr>
        <w:rFonts w:eastAsia="隶书"/>
      </w:rPr>
      <w:t xml:space="preserve">             </w:t>
    </w:r>
    <w:r>
      <w:rPr>
        <w:rFonts w:ascii="华文新魏" w:eastAsia="华文新魏" w:hint="eastAsia"/>
      </w:rPr>
      <w:t>结论与建议</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07A0B" w14:textId="77777777" w:rsidR="009C353B" w:rsidRDefault="00000000">
    <w:pPr>
      <w:pStyle w:val="aff8"/>
      <w:rPr>
        <w:rFonts w:eastAsia="隶书" w:hint="eastAsia"/>
      </w:rPr>
    </w:pPr>
    <w:r>
      <w:rPr>
        <w:rFonts w:ascii="华文新魏" w:eastAsia="华文新魏" w:hint="eastAsia"/>
      </w:rPr>
      <w:t>横城矿区总体规划</w:t>
    </w:r>
    <w:r>
      <w:rPr>
        <w:rFonts w:asciiTheme="majorEastAsia" w:eastAsiaTheme="majorEastAsia" w:hAnsiTheme="majorEastAsia" w:hint="eastAsia"/>
      </w:rPr>
      <w:t>（</w:t>
    </w:r>
    <w:r>
      <w:rPr>
        <w:rFonts w:ascii="华文新魏" w:eastAsia="华文新魏" w:hint="eastAsia"/>
      </w:rPr>
      <w:t>修编</w:t>
    </w:r>
    <w:r>
      <w:rPr>
        <w:rFonts w:asciiTheme="minorEastAsia" w:eastAsiaTheme="minorEastAsia" w:hAnsiTheme="minorEastAsia" w:hint="eastAsia"/>
      </w:rPr>
      <w:t>）</w:t>
    </w:r>
    <w:r>
      <w:rPr>
        <w:rFonts w:ascii="华文新魏" w:eastAsia="华文新魏" w:hint="eastAsia"/>
      </w:rPr>
      <w:t>环境影响报告书</w:t>
    </w:r>
    <w:r>
      <w:rPr>
        <w:rFonts w:eastAsia="隶书"/>
      </w:rPr>
      <w:t xml:space="preserve">                                                          </w:t>
    </w:r>
    <w:r>
      <w:rPr>
        <w:rFonts w:ascii="华文新魏" w:eastAsia="华文新魏" w:hint="eastAsia"/>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E2D8A"/>
    <w:multiLevelType w:val="multilevel"/>
    <w:tmpl w:val="06DE2D8A"/>
    <w:lvl w:ilvl="0">
      <w:start w:val="1"/>
      <w:numFmt w:val="decimal"/>
      <w:lvlText w:val="%1"/>
      <w:lvlJc w:val="left"/>
      <w:pPr>
        <w:tabs>
          <w:tab w:val="left" w:pos="425"/>
        </w:tabs>
        <w:ind w:left="425" w:hanging="425"/>
      </w:p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pStyle w:val="31"/>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 w15:restartNumberingAfterBreak="0">
    <w:nsid w:val="1B501493"/>
    <w:multiLevelType w:val="multilevel"/>
    <w:tmpl w:val="1B501493"/>
    <w:lvl w:ilvl="0">
      <w:start w:val="2"/>
      <w:numFmt w:val="japaneseCounting"/>
      <w:lvlText w:val="第%1篇"/>
      <w:lvlJc w:val="left"/>
      <w:pPr>
        <w:tabs>
          <w:tab w:val="left" w:pos="1110"/>
        </w:tabs>
        <w:ind w:left="1110" w:hanging="1110"/>
      </w:pPr>
      <w:rPr>
        <w:rFonts w:hint="eastAsia"/>
      </w:rPr>
    </w:lvl>
    <w:lvl w:ilvl="1">
      <w:start w:val="1"/>
      <w:numFmt w:val="lowerLetter"/>
      <w:lvlText w:val="%2)"/>
      <w:lvlJc w:val="left"/>
      <w:pPr>
        <w:tabs>
          <w:tab w:val="left" w:pos="840"/>
        </w:tabs>
        <w:ind w:left="840" w:hanging="420"/>
      </w:pPr>
    </w:lvl>
    <w:lvl w:ilvl="2">
      <w:start w:val="1"/>
      <w:numFmt w:val="lowerRoman"/>
      <w:pStyle w:val="33H3h33rdlevelReHead3WSA0332"/>
      <w:lvlText w:val="%3."/>
      <w:lvlJc w:val="right"/>
      <w:pPr>
        <w:tabs>
          <w:tab w:val="left" w:pos="1260"/>
        </w:tabs>
        <w:ind w:left="1260" w:hanging="420"/>
      </w:pPr>
    </w:lvl>
    <w:lvl w:ilvl="3">
      <w:start w:val="1"/>
      <w:numFmt w:val="decimal"/>
      <w:pStyle w:val="4"/>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CCC3E78"/>
    <w:multiLevelType w:val="multilevel"/>
    <w:tmpl w:val="2CCC3E78"/>
    <w:lvl w:ilvl="0">
      <w:start w:val="1"/>
      <w:numFmt w:val="decimal"/>
      <w:suff w:val="nothing"/>
      <w:lvlText w:val="（%1）"/>
      <w:lvlJc w:val="left"/>
      <w:pPr>
        <w:ind w:left="0" w:firstLine="397"/>
      </w:pPr>
      <w:rPr>
        <w:rFonts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CE51906"/>
    <w:multiLevelType w:val="multilevel"/>
    <w:tmpl w:val="5CE51906"/>
    <w:lvl w:ilvl="0">
      <w:start w:val="1"/>
      <w:numFmt w:val="decimal"/>
      <w:suff w:val="nothing"/>
      <w:lvlText w:val="（%1）"/>
      <w:lvlJc w:val="left"/>
      <w:pPr>
        <w:ind w:left="170" w:firstLine="397"/>
      </w:pPr>
      <w:rPr>
        <w:rFonts w:hint="eastAsia"/>
      </w:rPr>
    </w:lvl>
    <w:lvl w:ilvl="1">
      <w:start w:val="1"/>
      <w:numFmt w:val="lowerLetter"/>
      <w:lvlText w:val="%2)"/>
      <w:lvlJc w:val="left"/>
      <w:pPr>
        <w:ind w:left="1010" w:hanging="420"/>
      </w:pPr>
    </w:lvl>
    <w:lvl w:ilvl="2">
      <w:start w:val="1"/>
      <w:numFmt w:val="lowerRoman"/>
      <w:lvlText w:val="%3."/>
      <w:lvlJc w:val="right"/>
      <w:pPr>
        <w:ind w:left="1430" w:hanging="420"/>
      </w:pPr>
    </w:lvl>
    <w:lvl w:ilvl="3">
      <w:start w:val="1"/>
      <w:numFmt w:val="decimal"/>
      <w:lvlText w:val="%4."/>
      <w:lvlJc w:val="left"/>
      <w:pPr>
        <w:ind w:left="1850" w:hanging="420"/>
      </w:pPr>
    </w:lvl>
    <w:lvl w:ilvl="4">
      <w:start w:val="1"/>
      <w:numFmt w:val="lowerLetter"/>
      <w:lvlText w:val="%5)"/>
      <w:lvlJc w:val="left"/>
      <w:pPr>
        <w:ind w:left="2270" w:hanging="420"/>
      </w:pPr>
    </w:lvl>
    <w:lvl w:ilvl="5">
      <w:start w:val="1"/>
      <w:numFmt w:val="lowerRoman"/>
      <w:lvlText w:val="%6."/>
      <w:lvlJc w:val="right"/>
      <w:pPr>
        <w:ind w:left="2690" w:hanging="420"/>
      </w:pPr>
    </w:lvl>
    <w:lvl w:ilvl="6">
      <w:start w:val="1"/>
      <w:numFmt w:val="decimal"/>
      <w:lvlText w:val="%7."/>
      <w:lvlJc w:val="left"/>
      <w:pPr>
        <w:ind w:left="3110" w:hanging="420"/>
      </w:pPr>
    </w:lvl>
    <w:lvl w:ilvl="7">
      <w:start w:val="1"/>
      <w:numFmt w:val="lowerLetter"/>
      <w:lvlText w:val="%8)"/>
      <w:lvlJc w:val="left"/>
      <w:pPr>
        <w:ind w:left="3530" w:hanging="420"/>
      </w:pPr>
    </w:lvl>
    <w:lvl w:ilvl="8">
      <w:start w:val="1"/>
      <w:numFmt w:val="lowerRoman"/>
      <w:lvlText w:val="%9."/>
      <w:lvlJc w:val="right"/>
      <w:pPr>
        <w:ind w:left="3950" w:hanging="420"/>
      </w:pPr>
    </w:lvl>
  </w:abstractNum>
  <w:abstractNum w:abstractNumId="4" w15:restartNumberingAfterBreak="0">
    <w:nsid w:val="6B377875"/>
    <w:multiLevelType w:val="multilevel"/>
    <w:tmpl w:val="6B377875"/>
    <w:lvl w:ilvl="0">
      <w:start w:val="1"/>
      <w:numFmt w:val="decimal"/>
      <w:lvlText w:val="%1、"/>
      <w:lvlJc w:val="left"/>
      <w:pPr>
        <w:ind w:left="360" w:hanging="360"/>
      </w:pPr>
      <w:rPr>
        <w:rFonts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52180961">
    <w:abstractNumId w:val="1"/>
  </w:num>
  <w:num w:numId="2" w16cid:durableId="2000577474">
    <w:abstractNumId w:val="0"/>
  </w:num>
  <w:num w:numId="3" w16cid:durableId="16274711">
    <w:abstractNumId w:val="3"/>
  </w:num>
  <w:num w:numId="4" w16cid:durableId="31733836">
    <w:abstractNumId w:val="2"/>
  </w:num>
  <w:num w:numId="5" w16cid:durableId="455295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31E"/>
    <w:rsid w:val="00000659"/>
    <w:rsid w:val="00000E1F"/>
    <w:rsid w:val="0000136C"/>
    <w:rsid w:val="00002826"/>
    <w:rsid w:val="00002F0E"/>
    <w:rsid w:val="0000302B"/>
    <w:rsid w:val="00003F1A"/>
    <w:rsid w:val="00004849"/>
    <w:rsid w:val="000048CD"/>
    <w:rsid w:val="00004DCD"/>
    <w:rsid w:val="00005D13"/>
    <w:rsid w:val="00006DFA"/>
    <w:rsid w:val="000109C9"/>
    <w:rsid w:val="000109ED"/>
    <w:rsid w:val="0001191A"/>
    <w:rsid w:val="00011AA6"/>
    <w:rsid w:val="00012046"/>
    <w:rsid w:val="000122C1"/>
    <w:rsid w:val="000122CB"/>
    <w:rsid w:val="000124B2"/>
    <w:rsid w:val="00012DD5"/>
    <w:rsid w:val="000155D7"/>
    <w:rsid w:val="00016FEF"/>
    <w:rsid w:val="0001783D"/>
    <w:rsid w:val="00017D21"/>
    <w:rsid w:val="00020680"/>
    <w:rsid w:val="00021D38"/>
    <w:rsid w:val="0002273F"/>
    <w:rsid w:val="00022849"/>
    <w:rsid w:val="00022B7F"/>
    <w:rsid w:val="000236C8"/>
    <w:rsid w:val="0002379C"/>
    <w:rsid w:val="0002381E"/>
    <w:rsid w:val="000240BB"/>
    <w:rsid w:val="000241AD"/>
    <w:rsid w:val="000245F4"/>
    <w:rsid w:val="000249FD"/>
    <w:rsid w:val="00024E4B"/>
    <w:rsid w:val="00025003"/>
    <w:rsid w:val="00025F72"/>
    <w:rsid w:val="0002660E"/>
    <w:rsid w:val="00027B13"/>
    <w:rsid w:val="00027FF3"/>
    <w:rsid w:val="000306AE"/>
    <w:rsid w:val="0003105F"/>
    <w:rsid w:val="00032963"/>
    <w:rsid w:val="000334F3"/>
    <w:rsid w:val="000335CC"/>
    <w:rsid w:val="00033BBC"/>
    <w:rsid w:val="0003466E"/>
    <w:rsid w:val="00035E18"/>
    <w:rsid w:val="00036040"/>
    <w:rsid w:val="000367D3"/>
    <w:rsid w:val="00036F85"/>
    <w:rsid w:val="00037708"/>
    <w:rsid w:val="00037965"/>
    <w:rsid w:val="00040300"/>
    <w:rsid w:val="000404A0"/>
    <w:rsid w:val="00041742"/>
    <w:rsid w:val="00041A82"/>
    <w:rsid w:val="00042277"/>
    <w:rsid w:val="0004256E"/>
    <w:rsid w:val="00042D6F"/>
    <w:rsid w:val="000432A2"/>
    <w:rsid w:val="00043D67"/>
    <w:rsid w:val="00043ED2"/>
    <w:rsid w:val="00044ABB"/>
    <w:rsid w:val="00044F6B"/>
    <w:rsid w:val="000454C2"/>
    <w:rsid w:val="000459A4"/>
    <w:rsid w:val="00046723"/>
    <w:rsid w:val="00046CEA"/>
    <w:rsid w:val="00050486"/>
    <w:rsid w:val="00051927"/>
    <w:rsid w:val="0005233F"/>
    <w:rsid w:val="00053B3A"/>
    <w:rsid w:val="00054D7F"/>
    <w:rsid w:val="0005536F"/>
    <w:rsid w:val="000570B2"/>
    <w:rsid w:val="000601CA"/>
    <w:rsid w:val="00060BF9"/>
    <w:rsid w:val="000619D0"/>
    <w:rsid w:val="0006248E"/>
    <w:rsid w:val="00062B35"/>
    <w:rsid w:val="00063351"/>
    <w:rsid w:val="00063579"/>
    <w:rsid w:val="00063AC8"/>
    <w:rsid w:val="00063D57"/>
    <w:rsid w:val="000646FF"/>
    <w:rsid w:val="000647C8"/>
    <w:rsid w:val="000659EA"/>
    <w:rsid w:val="00071985"/>
    <w:rsid w:val="0007206E"/>
    <w:rsid w:val="000732FE"/>
    <w:rsid w:val="000741B2"/>
    <w:rsid w:val="000755DA"/>
    <w:rsid w:val="0007582C"/>
    <w:rsid w:val="00075D9E"/>
    <w:rsid w:val="0007620F"/>
    <w:rsid w:val="000775AD"/>
    <w:rsid w:val="00077C4E"/>
    <w:rsid w:val="00080968"/>
    <w:rsid w:val="00080E56"/>
    <w:rsid w:val="0008130C"/>
    <w:rsid w:val="0008213B"/>
    <w:rsid w:val="0008271F"/>
    <w:rsid w:val="00083FCE"/>
    <w:rsid w:val="00085CD8"/>
    <w:rsid w:val="000863BA"/>
    <w:rsid w:val="0008689C"/>
    <w:rsid w:val="00087DC2"/>
    <w:rsid w:val="00090933"/>
    <w:rsid w:val="000912E4"/>
    <w:rsid w:val="000918CC"/>
    <w:rsid w:val="00092488"/>
    <w:rsid w:val="000924EA"/>
    <w:rsid w:val="00092546"/>
    <w:rsid w:val="0009257F"/>
    <w:rsid w:val="000929D6"/>
    <w:rsid w:val="00093A3C"/>
    <w:rsid w:val="00093EAA"/>
    <w:rsid w:val="0009453F"/>
    <w:rsid w:val="000946BB"/>
    <w:rsid w:val="00094CFB"/>
    <w:rsid w:val="00095068"/>
    <w:rsid w:val="00095162"/>
    <w:rsid w:val="000958B3"/>
    <w:rsid w:val="00095E36"/>
    <w:rsid w:val="00096333"/>
    <w:rsid w:val="00096BA8"/>
    <w:rsid w:val="00096E68"/>
    <w:rsid w:val="000A09F1"/>
    <w:rsid w:val="000A0FD5"/>
    <w:rsid w:val="000A13E5"/>
    <w:rsid w:val="000A1EBE"/>
    <w:rsid w:val="000A1FD3"/>
    <w:rsid w:val="000A26F1"/>
    <w:rsid w:val="000A345F"/>
    <w:rsid w:val="000A3553"/>
    <w:rsid w:val="000A4431"/>
    <w:rsid w:val="000A54BC"/>
    <w:rsid w:val="000A59A7"/>
    <w:rsid w:val="000A65E1"/>
    <w:rsid w:val="000A6C0A"/>
    <w:rsid w:val="000A713B"/>
    <w:rsid w:val="000B0641"/>
    <w:rsid w:val="000B0C0F"/>
    <w:rsid w:val="000B17B8"/>
    <w:rsid w:val="000B2129"/>
    <w:rsid w:val="000B38F5"/>
    <w:rsid w:val="000B44AF"/>
    <w:rsid w:val="000B685D"/>
    <w:rsid w:val="000B7056"/>
    <w:rsid w:val="000B7A6D"/>
    <w:rsid w:val="000C0532"/>
    <w:rsid w:val="000C19D9"/>
    <w:rsid w:val="000C3703"/>
    <w:rsid w:val="000C384B"/>
    <w:rsid w:val="000C3D63"/>
    <w:rsid w:val="000C41E2"/>
    <w:rsid w:val="000C54E5"/>
    <w:rsid w:val="000C6D73"/>
    <w:rsid w:val="000C73F1"/>
    <w:rsid w:val="000C7634"/>
    <w:rsid w:val="000C7A78"/>
    <w:rsid w:val="000C7BB0"/>
    <w:rsid w:val="000D03CE"/>
    <w:rsid w:val="000D04C3"/>
    <w:rsid w:val="000D085B"/>
    <w:rsid w:val="000D0DBB"/>
    <w:rsid w:val="000D14D7"/>
    <w:rsid w:val="000D2923"/>
    <w:rsid w:val="000D2ABC"/>
    <w:rsid w:val="000D2CA5"/>
    <w:rsid w:val="000D36B8"/>
    <w:rsid w:val="000D3D0F"/>
    <w:rsid w:val="000D3EA7"/>
    <w:rsid w:val="000D5829"/>
    <w:rsid w:val="000D583D"/>
    <w:rsid w:val="000D5B43"/>
    <w:rsid w:val="000D7210"/>
    <w:rsid w:val="000E03D0"/>
    <w:rsid w:val="000E0E14"/>
    <w:rsid w:val="000E0E95"/>
    <w:rsid w:val="000E0F5C"/>
    <w:rsid w:val="000E2468"/>
    <w:rsid w:val="000E24E8"/>
    <w:rsid w:val="000E2794"/>
    <w:rsid w:val="000E2B21"/>
    <w:rsid w:val="000E348C"/>
    <w:rsid w:val="000E3820"/>
    <w:rsid w:val="000E43D1"/>
    <w:rsid w:val="000E4644"/>
    <w:rsid w:val="000E4FAC"/>
    <w:rsid w:val="000E580A"/>
    <w:rsid w:val="000E5915"/>
    <w:rsid w:val="000E6C2F"/>
    <w:rsid w:val="000E728B"/>
    <w:rsid w:val="000F001D"/>
    <w:rsid w:val="000F0328"/>
    <w:rsid w:val="000F0679"/>
    <w:rsid w:val="000F1169"/>
    <w:rsid w:val="000F27C9"/>
    <w:rsid w:val="000F3262"/>
    <w:rsid w:val="000F3C21"/>
    <w:rsid w:val="000F4725"/>
    <w:rsid w:val="000F5161"/>
    <w:rsid w:val="000F532D"/>
    <w:rsid w:val="000F5A49"/>
    <w:rsid w:val="000F6071"/>
    <w:rsid w:val="000F6C0C"/>
    <w:rsid w:val="000F785F"/>
    <w:rsid w:val="00100622"/>
    <w:rsid w:val="00101453"/>
    <w:rsid w:val="00103F14"/>
    <w:rsid w:val="00103F51"/>
    <w:rsid w:val="00104394"/>
    <w:rsid w:val="001046A4"/>
    <w:rsid w:val="00106D4A"/>
    <w:rsid w:val="00111BE3"/>
    <w:rsid w:val="001121D0"/>
    <w:rsid w:val="0011368E"/>
    <w:rsid w:val="001138E0"/>
    <w:rsid w:val="00114019"/>
    <w:rsid w:val="001146ED"/>
    <w:rsid w:val="00114A90"/>
    <w:rsid w:val="00114FA7"/>
    <w:rsid w:val="001157CB"/>
    <w:rsid w:val="00115944"/>
    <w:rsid w:val="00117B7E"/>
    <w:rsid w:val="00120E30"/>
    <w:rsid w:val="00121831"/>
    <w:rsid w:val="00121E5F"/>
    <w:rsid w:val="001223DA"/>
    <w:rsid w:val="001224B8"/>
    <w:rsid w:val="0012286A"/>
    <w:rsid w:val="00122FD1"/>
    <w:rsid w:val="00123BA7"/>
    <w:rsid w:val="001277A9"/>
    <w:rsid w:val="001301B8"/>
    <w:rsid w:val="0013167B"/>
    <w:rsid w:val="00131BEE"/>
    <w:rsid w:val="00132467"/>
    <w:rsid w:val="00133A6E"/>
    <w:rsid w:val="00133E38"/>
    <w:rsid w:val="00133E5F"/>
    <w:rsid w:val="00134AF0"/>
    <w:rsid w:val="0013532F"/>
    <w:rsid w:val="001367EE"/>
    <w:rsid w:val="00136D27"/>
    <w:rsid w:val="001373D4"/>
    <w:rsid w:val="00140976"/>
    <w:rsid w:val="00141C86"/>
    <w:rsid w:val="00142727"/>
    <w:rsid w:val="0014356B"/>
    <w:rsid w:val="0014481D"/>
    <w:rsid w:val="00144FEE"/>
    <w:rsid w:val="001456A8"/>
    <w:rsid w:val="00145844"/>
    <w:rsid w:val="00145AA9"/>
    <w:rsid w:val="00145B84"/>
    <w:rsid w:val="0014688E"/>
    <w:rsid w:val="00147359"/>
    <w:rsid w:val="001502B4"/>
    <w:rsid w:val="00150F09"/>
    <w:rsid w:val="00152F1C"/>
    <w:rsid w:val="00153C76"/>
    <w:rsid w:val="0015535C"/>
    <w:rsid w:val="00155955"/>
    <w:rsid w:val="00155CE5"/>
    <w:rsid w:val="00156AD6"/>
    <w:rsid w:val="00157AA4"/>
    <w:rsid w:val="00161549"/>
    <w:rsid w:val="0016188E"/>
    <w:rsid w:val="00161DA9"/>
    <w:rsid w:val="00162A68"/>
    <w:rsid w:val="00164051"/>
    <w:rsid w:val="00164D1C"/>
    <w:rsid w:val="00165AA8"/>
    <w:rsid w:val="00165E6B"/>
    <w:rsid w:val="00171173"/>
    <w:rsid w:val="00171459"/>
    <w:rsid w:val="0017166B"/>
    <w:rsid w:val="00171C3C"/>
    <w:rsid w:val="00171D64"/>
    <w:rsid w:val="00172037"/>
    <w:rsid w:val="00172A27"/>
    <w:rsid w:val="0017343A"/>
    <w:rsid w:val="00173F5C"/>
    <w:rsid w:val="00174199"/>
    <w:rsid w:val="001754CB"/>
    <w:rsid w:val="001772B4"/>
    <w:rsid w:val="0017780D"/>
    <w:rsid w:val="00177E98"/>
    <w:rsid w:val="0018028D"/>
    <w:rsid w:val="00180BCC"/>
    <w:rsid w:val="00180D69"/>
    <w:rsid w:val="001827EA"/>
    <w:rsid w:val="00182CDB"/>
    <w:rsid w:val="00183100"/>
    <w:rsid w:val="00183272"/>
    <w:rsid w:val="00183E55"/>
    <w:rsid w:val="00185E91"/>
    <w:rsid w:val="00186A3F"/>
    <w:rsid w:val="00190AF9"/>
    <w:rsid w:val="00190E94"/>
    <w:rsid w:val="0019120C"/>
    <w:rsid w:val="001924B3"/>
    <w:rsid w:val="00194253"/>
    <w:rsid w:val="001946CC"/>
    <w:rsid w:val="00194F35"/>
    <w:rsid w:val="00196074"/>
    <w:rsid w:val="001962B2"/>
    <w:rsid w:val="00197571"/>
    <w:rsid w:val="001A0F22"/>
    <w:rsid w:val="001A1169"/>
    <w:rsid w:val="001A17D4"/>
    <w:rsid w:val="001A219C"/>
    <w:rsid w:val="001A2262"/>
    <w:rsid w:val="001A40A9"/>
    <w:rsid w:val="001A412A"/>
    <w:rsid w:val="001A4717"/>
    <w:rsid w:val="001A471A"/>
    <w:rsid w:val="001A4B08"/>
    <w:rsid w:val="001A5DE4"/>
    <w:rsid w:val="001A64D6"/>
    <w:rsid w:val="001A6655"/>
    <w:rsid w:val="001A6792"/>
    <w:rsid w:val="001A6846"/>
    <w:rsid w:val="001A6F7C"/>
    <w:rsid w:val="001A7816"/>
    <w:rsid w:val="001A78EB"/>
    <w:rsid w:val="001A7BCF"/>
    <w:rsid w:val="001A7CDF"/>
    <w:rsid w:val="001B0BE0"/>
    <w:rsid w:val="001B1593"/>
    <w:rsid w:val="001B1724"/>
    <w:rsid w:val="001B1FC0"/>
    <w:rsid w:val="001B253D"/>
    <w:rsid w:val="001B28ED"/>
    <w:rsid w:val="001B2D0B"/>
    <w:rsid w:val="001B300E"/>
    <w:rsid w:val="001B3596"/>
    <w:rsid w:val="001B4865"/>
    <w:rsid w:val="001B5172"/>
    <w:rsid w:val="001B51F8"/>
    <w:rsid w:val="001B605B"/>
    <w:rsid w:val="001B652E"/>
    <w:rsid w:val="001B6D11"/>
    <w:rsid w:val="001B6EB2"/>
    <w:rsid w:val="001B700C"/>
    <w:rsid w:val="001C0D51"/>
    <w:rsid w:val="001C1D8D"/>
    <w:rsid w:val="001C1EDD"/>
    <w:rsid w:val="001C2566"/>
    <w:rsid w:val="001C2A9B"/>
    <w:rsid w:val="001C4279"/>
    <w:rsid w:val="001C51D2"/>
    <w:rsid w:val="001C57C7"/>
    <w:rsid w:val="001C651F"/>
    <w:rsid w:val="001C7C7E"/>
    <w:rsid w:val="001D0247"/>
    <w:rsid w:val="001D0C54"/>
    <w:rsid w:val="001D0FC2"/>
    <w:rsid w:val="001D0FE1"/>
    <w:rsid w:val="001D1765"/>
    <w:rsid w:val="001D1815"/>
    <w:rsid w:val="001D1E23"/>
    <w:rsid w:val="001D21FF"/>
    <w:rsid w:val="001D2CE5"/>
    <w:rsid w:val="001D3108"/>
    <w:rsid w:val="001D40C3"/>
    <w:rsid w:val="001D53DA"/>
    <w:rsid w:val="001D595B"/>
    <w:rsid w:val="001D5C4C"/>
    <w:rsid w:val="001D6001"/>
    <w:rsid w:val="001D6938"/>
    <w:rsid w:val="001E1C32"/>
    <w:rsid w:val="001E1D4E"/>
    <w:rsid w:val="001E20B8"/>
    <w:rsid w:val="001E4931"/>
    <w:rsid w:val="001E7142"/>
    <w:rsid w:val="001E76F0"/>
    <w:rsid w:val="001E78D1"/>
    <w:rsid w:val="001F0E75"/>
    <w:rsid w:val="001F13D1"/>
    <w:rsid w:val="001F18EE"/>
    <w:rsid w:val="001F2544"/>
    <w:rsid w:val="001F2C5D"/>
    <w:rsid w:val="001F31AA"/>
    <w:rsid w:val="001F3507"/>
    <w:rsid w:val="001F3DC8"/>
    <w:rsid w:val="001F3F40"/>
    <w:rsid w:val="001F41B5"/>
    <w:rsid w:val="001F4B93"/>
    <w:rsid w:val="001F548C"/>
    <w:rsid w:val="001F54F6"/>
    <w:rsid w:val="001F6416"/>
    <w:rsid w:val="001F709F"/>
    <w:rsid w:val="001F7290"/>
    <w:rsid w:val="001F7B42"/>
    <w:rsid w:val="001F7B82"/>
    <w:rsid w:val="0020083E"/>
    <w:rsid w:val="00200AC9"/>
    <w:rsid w:val="00202491"/>
    <w:rsid w:val="00203105"/>
    <w:rsid w:val="0020352C"/>
    <w:rsid w:val="0020362D"/>
    <w:rsid w:val="00204628"/>
    <w:rsid w:val="00204BF0"/>
    <w:rsid w:val="0020540F"/>
    <w:rsid w:val="00205DFC"/>
    <w:rsid w:val="002069DA"/>
    <w:rsid w:val="002073D6"/>
    <w:rsid w:val="00207837"/>
    <w:rsid w:val="00207A13"/>
    <w:rsid w:val="00207A6E"/>
    <w:rsid w:val="002103A5"/>
    <w:rsid w:val="002105D1"/>
    <w:rsid w:val="0021070A"/>
    <w:rsid w:val="002113A5"/>
    <w:rsid w:val="002127D5"/>
    <w:rsid w:val="00212CBB"/>
    <w:rsid w:val="00213D31"/>
    <w:rsid w:val="002149D2"/>
    <w:rsid w:val="00214D0E"/>
    <w:rsid w:val="00215D8D"/>
    <w:rsid w:val="00215F33"/>
    <w:rsid w:val="00216E06"/>
    <w:rsid w:val="00217005"/>
    <w:rsid w:val="00222610"/>
    <w:rsid w:val="00223D3E"/>
    <w:rsid w:val="00223F4E"/>
    <w:rsid w:val="00224B66"/>
    <w:rsid w:val="00224ECB"/>
    <w:rsid w:val="0022592D"/>
    <w:rsid w:val="00225BBF"/>
    <w:rsid w:val="002271BF"/>
    <w:rsid w:val="00230793"/>
    <w:rsid w:val="0023099F"/>
    <w:rsid w:val="00230C73"/>
    <w:rsid w:val="00230E20"/>
    <w:rsid w:val="00231B97"/>
    <w:rsid w:val="00231C88"/>
    <w:rsid w:val="00232098"/>
    <w:rsid w:val="0023214D"/>
    <w:rsid w:val="00232215"/>
    <w:rsid w:val="00232868"/>
    <w:rsid w:val="002328CE"/>
    <w:rsid w:val="00232CD8"/>
    <w:rsid w:val="0023312A"/>
    <w:rsid w:val="002341DA"/>
    <w:rsid w:val="002357CF"/>
    <w:rsid w:val="00235A4C"/>
    <w:rsid w:val="002375F3"/>
    <w:rsid w:val="0023789D"/>
    <w:rsid w:val="00237FED"/>
    <w:rsid w:val="00240301"/>
    <w:rsid w:val="00240400"/>
    <w:rsid w:val="00244AE1"/>
    <w:rsid w:val="00246737"/>
    <w:rsid w:val="00247088"/>
    <w:rsid w:val="002475E4"/>
    <w:rsid w:val="00247611"/>
    <w:rsid w:val="002476DC"/>
    <w:rsid w:val="002500C2"/>
    <w:rsid w:val="00250535"/>
    <w:rsid w:val="0025117B"/>
    <w:rsid w:val="0025264D"/>
    <w:rsid w:val="00252680"/>
    <w:rsid w:val="0025273A"/>
    <w:rsid w:val="00254530"/>
    <w:rsid w:val="0025503F"/>
    <w:rsid w:val="00255E89"/>
    <w:rsid w:val="002560CA"/>
    <w:rsid w:val="00256657"/>
    <w:rsid w:val="00257396"/>
    <w:rsid w:val="002602BE"/>
    <w:rsid w:val="00265209"/>
    <w:rsid w:val="00265986"/>
    <w:rsid w:val="002677A0"/>
    <w:rsid w:val="00267F86"/>
    <w:rsid w:val="00270243"/>
    <w:rsid w:val="002722BB"/>
    <w:rsid w:val="00273B9A"/>
    <w:rsid w:val="00273CD0"/>
    <w:rsid w:val="00274802"/>
    <w:rsid w:val="00276877"/>
    <w:rsid w:val="00276A98"/>
    <w:rsid w:val="00277735"/>
    <w:rsid w:val="0027781B"/>
    <w:rsid w:val="00280038"/>
    <w:rsid w:val="0028061A"/>
    <w:rsid w:val="002811E9"/>
    <w:rsid w:val="0028262E"/>
    <w:rsid w:val="00283120"/>
    <w:rsid w:val="00283E34"/>
    <w:rsid w:val="00283E8D"/>
    <w:rsid w:val="00284030"/>
    <w:rsid w:val="00284971"/>
    <w:rsid w:val="0028566F"/>
    <w:rsid w:val="00285671"/>
    <w:rsid w:val="0028638D"/>
    <w:rsid w:val="002869A8"/>
    <w:rsid w:val="00286E60"/>
    <w:rsid w:val="00287533"/>
    <w:rsid w:val="00287675"/>
    <w:rsid w:val="002879F9"/>
    <w:rsid w:val="00287D2F"/>
    <w:rsid w:val="0029081D"/>
    <w:rsid w:val="00290CFD"/>
    <w:rsid w:val="002913CA"/>
    <w:rsid w:val="00292362"/>
    <w:rsid w:val="00293610"/>
    <w:rsid w:val="002945B0"/>
    <w:rsid w:val="002946FF"/>
    <w:rsid w:val="002951E7"/>
    <w:rsid w:val="002963FF"/>
    <w:rsid w:val="00296BE4"/>
    <w:rsid w:val="00296C25"/>
    <w:rsid w:val="00296F5E"/>
    <w:rsid w:val="0029736B"/>
    <w:rsid w:val="002A0635"/>
    <w:rsid w:val="002A0710"/>
    <w:rsid w:val="002A0E4E"/>
    <w:rsid w:val="002A12FB"/>
    <w:rsid w:val="002A16E7"/>
    <w:rsid w:val="002A1EB9"/>
    <w:rsid w:val="002A2584"/>
    <w:rsid w:val="002A2B93"/>
    <w:rsid w:val="002A2D41"/>
    <w:rsid w:val="002A447D"/>
    <w:rsid w:val="002A48D0"/>
    <w:rsid w:val="002A4CBC"/>
    <w:rsid w:val="002B257F"/>
    <w:rsid w:val="002B2B67"/>
    <w:rsid w:val="002B491E"/>
    <w:rsid w:val="002B5651"/>
    <w:rsid w:val="002B75A2"/>
    <w:rsid w:val="002C058F"/>
    <w:rsid w:val="002C1080"/>
    <w:rsid w:val="002C1572"/>
    <w:rsid w:val="002C18F5"/>
    <w:rsid w:val="002C1C9D"/>
    <w:rsid w:val="002C2225"/>
    <w:rsid w:val="002C2B79"/>
    <w:rsid w:val="002C2C8F"/>
    <w:rsid w:val="002C300B"/>
    <w:rsid w:val="002C4229"/>
    <w:rsid w:val="002C42C7"/>
    <w:rsid w:val="002C47CD"/>
    <w:rsid w:val="002C6833"/>
    <w:rsid w:val="002C7731"/>
    <w:rsid w:val="002D0CA1"/>
    <w:rsid w:val="002D1312"/>
    <w:rsid w:val="002D132B"/>
    <w:rsid w:val="002D1372"/>
    <w:rsid w:val="002D15B4"/>
    <w:rsid w:val="002D1DDF"/>
    <w:rsid w:val="002D22A2"/>
    <w:rsid w:val="002D2AA8"/>
    <w:rsid w:val="002D42DB"/>
    <w:rsid w:val="002D437D"/>
    <w:rsid w:val="002D53A1"/>
    <w:rsid w:val="002D68FB"/>
    <w:rsid w:val="002D6F11"/>
    <w:rsid w:val="002E0FE8"/>
    <w:rsid w:val="002E13FF"/>
    <w:rsid w:val="002E2442"/>
    <w:rsid w:val="002E2824"/>
    <w:rsid w:val="002E2CF4"/>
    <w:rsid w:val="002E2E2D"/>
    <w:rsid w:val="002E2FC9"/>
    <w:rsid w:val="002E53B8"/>
    <w:rsid w:val="002E5C5C"/>
    <w:rsid w:val="002E7644"/>
    <w:rsid w:val="002F0B7B"/>
    <w:rsid w:val="002F1476"/>
    <w:rsid w:val="002F1C58"/>
    <w:rsid w:val="002F2382"/>
    <w:rsid w:val="002F2B3A"/>
    <w:rsid w:val="002F3338"/>
    <w:rsid w:val="002F3877"/>
    <w:rsid w:val="002F4703"/>
    <w:rsid w:val="002F4F07"/>
    <w:rsid w:val="002F5CF8"/>
    <w:rsid w:val="002F5E42"/>
    <w:rsid w:val="002F62EF"/>
    <w:rsid w:val="002F63C7"/>
    <w:rsid w:val="002F64FB"/>
    <w:rsid w:val="002F7203"/>
    <w:rsid w:val="002F7606"/>
    <w:rsid w:val="002F775E"/>
    <w:rsid w:val="0030087B"/>
    <w:rsid w:val="0030176A"/>
    <w:rsid w:val="00301801"/>
    <w:rsid w:val="00303620"/>
    <w:rsid w:val="00303D48"/>
    <w:rsid w:val="00303F48"/>
    <w:rsid w:val="00304B22"/>
    <w:rsid w:val="00306C0D"/>
    <w:rsid w:val="00306E43"/>
    <w:rsid w:val="0030786E"/>
    <w:rsid w:val="00307DCD"/>
    <w:rsid w:val="00311267"/>
    <w:rsid w:val="00311B3C"/>
    <w:rsid w:val="00311B6F"/>
    <w:rsid w:val="0031350F"/>
    <w:rsid w:val="00313835"/>
    <w:rsid w:val="00313E0B"/>
    <w:rsid w:val="0031438F"/>
    <w:rsid w:val="00314FC4"/>
    <w:rsid w:val="003151C2"/>
    <w:rsid w:val="003152A1"/>
    <w:rsid w:val="00316895"/>
    <w:rsid w:val="0031747F"/>
    <w:rsid w:val="003176A2"/>
    <w:rsid w:val="00317A8A"/>
    <w:rsid w:val="00322655"/>
    <w:rsid w:val="00322D30"/>
    <w:rsid w:val="00324373"/>
    <w:rsid w:val="00325586"/>
    <w:rsid w:val="00325925"/>
    <w:rsid w:val="00326E3D"/>
    <w:rsid w:val="00327E7E"/>
    <w:rsid w:val="00330348"/>
    <w:rsid w:val="0033063D"/>
    <w:rsid w:val="00330C35"/>
    <w:rsid w:val="00331D08"/>
    <w:rsid w:val="003324FD"/>
    <w:rsid w:val="00332D43"/>
    <w:rsid w:val="00333558"/>
    <w:rsid w:val="00333CC3"/>
    <w:rsid w:val="00334849"/>
    <w:rsid w:val="003350FF"/>
    <w:rsid w:val="003360E7"/>
    <w:rsid w:val="00336364"/>
    <w:rsid w:val="0034074C"/>
    <w:rsid w:val="00340A68"/>
    <w:rsid w:val="00340C5C"/>
    <w:rsid w:val="00341D71"/>
    <w:rsid w:val="0034287A"/>
    <w:rsid w:val="00342D92"/>
    <w:rsid w:val="00343E46"/>
    <w:rsid w:val="00343F90"/>
    <w:rsid w:val="00344F35"/>
    <w:rsid w:val="0034535A"/>
    <w:rsid w:val="00346F86"/>
    <w:rsid w:val="0034729C"/>
    <w:rsid w:val="0034771E"/>
    <w:rsid w:val="00347C37"/>
    <w:rsid w:val="0035009A"/>
    <w:rsid w:val="00350C37"/>
    <w:rsid w:val="003511B6"/>
    <w:rsid w:val="0035147E"/>
    <w:rsid w:val="0035281A"/>
    <w:rsid w:val="00353BEE"/>
    <w:rsid w:val="00353DF1"/>
    <w:rsid w:val="0035443E"/>
    <w:rsid w:val="00355054"/>
    <w:rsid w:val="00355290"/>
    <w:rsid w:val="003558A9"/>
    <w:rsid w:val="00356B01"/>
    <w:rsid w:val="00356E81"/>
    <w:rsid w:val="00360958"/>
    <w:rsid w:val="00360D19"/>
    <w:rsid w:val="00361669"/>
    <w:rsid w:val="003627F8"/>
    <w:rsid w:val="00364369"/>
    <w:rsid w:val="003647DD"/>
    <w:rsid w:val="003648B7"/>
    <w:rsid w:val="00366106"/>
    <w:rsid w:val="0036621A"/>
    <w:rsid w:val="00366F41"/>
    <w:rsid w:val="003719B5"/>
    <w:rsid w:val="00371C6A"/>
    <w:rsid w:val="0037334D"/>
    <w:rsid w:val="003738B6"/>
    <w:rsid w:val="00374033"/>
    <w:rsid w:val="00374C4E"/>
    <w:rsid w:val="003758DA"/>
    <w:rsid w:val="00375BDD"/>
    <w:rsid w:val="00375F31"/>
    <w:rsid w:val="00376457"/>
    <w:rsid w:val="00376978"/>
    <w:rsid w:val="00376FB6"/>
    <w:rsid w:val="003807ED"/>
    <w:rsid w:val="00380956"/>
    <w:rsid w:val="00380F20"/>
    <w:rsid w:val="00381185"/>
    <w:rsid w:val="00381D68"/>
    <w:rsid w:val="00383349"/>
    <w:rsid w:val="0038356E"/>
    <w:rsid w:val="00383EF1"/>
    <w:rsid w:val="00384C56"/>
    <w:rsid w:val="003850C0"/>
    <w:rsid w:val="003862D0"/>
    <w:rsid w:val="00387787"/>
    <w:rsid w:val="00391636"/>
    <w:rsid w:val="00391AFE"/>
    <w:rsid w:val="00391E1F"/>
    <w:rsid w:val="00392FD3"/>
    <w:rsid w:val="0039468F"/>
    <w:rsid w:val="0039476F"/>
    <w:rsid w:val="00394BFC"/>
    <w:rsid w:val="003969AB"/>
    <w:rsid w:val="003A085F"/>
    <w:rsid w:val="003A149D"/>
    <w:rsid w:val="003A232A"/>
    <w:rsid w:val="003A2662"/>
    <w:rsid w:val="003A3096"/>
    <w:rsid w:val="003A36A0"/>
    <w:rsid w:val="003A5154"/>
    <w:rsid w:val="003A5A7D"/>
    <w:rsid w:val="003A6434"/>
    <w:rsid w:val="003A7303"/>
    <w:rsid w:val="003A7C6A"/>
    <w:rsid w:val="003B3154"/>
    <w:rsid w:val="003B35A9"/>
    <w:rsid w:val="003B376D"/>
    <w:rsid w:val="003B3D2A"/>
    <w:rsid w:val="003B4C63"/>
    <w:rsid w:val="003B6168"/>
    <w:rsid w:val="003B66F1"/>
    <w:rsid w:val="003B6A71"/>
    <w:rsid w:val="003B72A2"/>
    <w:rsid w:val="003B76B6"/>
    <w:rsid w:val="003B7DC2"/>
    <w:rsid w:val="003C088C"/>
    <w:rsid w:val="003C08C0"/>
    <w:rsid w:val="003C170A"/>
    <w:rsid w:val="003C25EE"/>
    <w:rsid w:val="003C298E"/>
    <w:rsid w:val="003C34A3"/>
    <w:rsid w:val="003C5DA3"/>
    <w:rsid w:val="003C6DE7"/>
    <w:rsid w:val="003C71BD"/>
    <w:rsid w:val="003D1126"/>
    <w:rsid w:val="003D37A7"/>
    <w:rsid w:val="003D4055"/>
    <w:rsid w:val="003D478D"/>
    <w:rsid w:val="003D6791"/>
    <w:rsid w:val="003D7693"/>
    <w:rsid w:val="003D7D86"/>
    <w:rsid w:val="003E015B"/>
    <w:rsid w:val="003E0168"/>
    <w:rsid w:val="003E0E7F"/>
    <w:rsid w:val="003E173B"/>
    <w:rsid w:val="003E28DC"/>
    <w:rsid w:val="003E3B1F"/>
    <w:rsid w:val="003E44C0"/>
    <w:rsid w:val="003E4989"/>
    <w:rsid w:val="003E5A17"/>
    <w:rsid w:val="003E602B"/>
    <w:rsid w:val="003E62C0"/>
    <w:rsid w:val="003E67EF"/>
    <w:rsid w:val="003E67F7"/>
    <w:rsid w:val="003E7BE9"/>
    <w:rsid w:val="003E7F24"/>
    <w:rsid w:val="003F0126"/>
    <w:rsid w:val="003F0187"/>
    <w:rsid w:val="003F0515"/>
    <w:rsid w:val="003F099F"/>
    <w:rsid w:val="003F09DB"/>
    <w:rsid w:val="003F426D"/>
    <w:rsid w:val="003F4FB1"/>
    <w:rsid w:val="003F5446"/>
    <w:rsid w:val="003F704E"/>
    <w:rsid w:val="003F71A2"/>
    <w:rsid w:val="004002DB"/>
    <w:rsid w:val="00400FB7"/>
    <w:rsid w:val="00402780"/>
    <w:rsid w:val="00402D45"/>
    <w:rsid w:val="00403DAB"/>
    <w:rsid w:val="0040402C"/>
    <w:rsid w:val="004041BB"/>
    <w:rsid w:val="00404442"/>
    <w:rsid w:val="00407D04"/>
    <w:rsid w:val="004107F4"/>
    <w:rsid w:val="004115D4"/>
    <w:rsid w:val="00411E17"/>
    <w:rsid w:val="0041288B"/>
    <w:rsid w:val="0041362A"/>
    <w:rsid w:val="004136B0"/>
    <w:rsid w:val="00413CF3"/>
    <w:rsid w:val="00414852"/>
    <w:rsid w:val="00414A38"/>
    <w:rsid w:val="00415DBF"/>
    <w:rsid w:val="00415F12"/>
    <w:rsid w:val="00415F1D"/>
    <w:rsid w:val="0041751C"/>
    <w:rsid w:val="00417824"/>
    <w:rsid w:val="0042666D"/>
    <w:rsid w:val="004302AD"/>
    <w:rsid w:val="004305EF"/>
    <w:rsid w:val="00430773"/>
    <w:rsid w:val="004309B2"/>
    <w:rsid w:val="0043128F"/>
    <w:rsid w:val="004316CF"/>
    <w:rsid w:val="00431969"/>
    <w:rsid w:val="00431AB7"/>
    <w:rsid w:val="00432877"/>
    <w:rsid w:val="00434CD2"/>
    <w:rsid w:val="00434D64"/>
    <w:rsid w:val="00434FCA"/>
    <w:rsid w:val="00435C71"/>
    <w:rsid w:val="0043649E"/>
    <w:rsid w:val="00436910"/>
    <w:rsid w:val="00437589"/>
    <w:rsid w:val="00437673"/>
    <w:rsid w:val="004376FD"/>
    <w:rsid w:val="004403C3"/>
    <w:rsid w:val="004406EC"/>
    <w:rsid w:val="00442337"/>
    <w:rsid w:val="00442970"/>
    <w:rsid w:val="00444995"/>
    <w:rsid w:val="00446BA5"/>
    <w:rsid w:val="00447C68"/>
    <w:rsid w:val="0045092B"/>
    <w:rsid w:val="00450ED2"/>
    <w:rsid w:val="0045171B"/>
    <w:rsid w:val="004534D6"/>
    <w:rsid w:val="00454574"/>
    <w:rsid w:val="004547F5"/>
    <w:rsid w:val="00455DAA"/>
    <w:rsid w:val="004569CC"/>
    <w:rsid w:val="004570EA"/>
    <w:rsid w:val="00457A4D"/>
    <w:rsid w:val="0046147C"/>
    <w:rsid w:val="004624DB"/>
    <w:rsid w:val="00462B8A"/>
    <w:rsid w:val="00462BBA"/>
    <w:rsid w:val="0046368C"/>
    <w:rsid w:val="00463939"/>
    <w:rsid w:val="00463F2D"/>
    <w:rsid w:val="0046546A"/>
    <w:rsid w:val="004660AD"/>
    <w:rsid w:val="004701BD"/>
    <w:rsid w:val="0047037C"/>
    <w:rsid w:val="00471BC2"/>
    <w:rsid w:val="00473023"/>
    <w:rsid w:val="004736BD"/>
    <w:rsid w:val="00473823"/>
    <w:rsid w:val="00474673"/>
    <w:rsid w:val="00474FCB"/>
    <w:rsid w:val="00475097"/>
    <w:rsid w:val="004752FB"/>
    <w:rsid w:val="00475385"/>
    <w:rsid w:val="004764A0"/>
    <w:rsid w:val="004769CC"/>
    <w:rsid w:val="004778AA"/>
    <w:rsid w:val="00477BB3"/>
    <w:rsid w:val="00477CF7"/>
    <w:rsid w:val="00481496"/>
    <w:rsid w:val="00481DB5"/>
    <w:rsid w:val="004825BC"/>
    <w:rsid w:val="004826C5"/>
    <w:rsid w:val="00483CA9"/>
    <w:rsid w:val="00483CC2"/>
    <w:rsid w:val="004878BC"/>
    <w:rsid w:val="004902D4"/>
    <w:rsid w:val="00490332"/>
    <w:rsid w:val="004905C4"/>
    <w:rsid w:val="00490A28"/>
    <w:rsid w:val="00490F0F"/>
    <w:rsid w:val="00491854"/>
    <w:rsid w:val="00491B6D"/>
    <w:rsid w:val="00491D6C"/>
    <w:rsid w:val="00492342"/>
    <w:rsid w:val="00492404"/>
    <w:rsid w:val="00492DF7"/>
    <w:rsid w:val="00492FBA"/>
    <w:rsid w:val="0049347E"/>
    <w:rsid w:val="0049466A"/>
    <w:rsid w:val="00494A0D"/>
    <w:rsid w:val="0049532F"/>
    <w:rsid w:val="004953A1"/>
    <w:rsid w:val="00495A02"/>
    <w:rsid w:val="00496119"/>
    <w:rsid w:val="004A0ED1"/>
    <w:rsid w:val="004A1F11"/>
    <w:rsid w:val="004A2478"/>
    <w:rsid w:val="004A4995"/>
    <w:rsid w:val="004A49B3"/>
    <w:rsid w:val="004A4E34"/>
    <w:rsid w:val="004A531C"/>
    <w:rsid w:val="004A5C43"/>
    <w:rsid w:val="004A7CB9"/>
    <w:rsid w:val="004B0138"/>
    <w:rsid w:val="004B02E0"/>
    <w:rsid w:val="004B0392"/>
    <w:rsid w:val="004B10F5"/>
    <w:rsid w:val="004B29DF"/>
    <w:rsid w:val="004B443B"/>
    <w:rsid w:val="004B4F6E"/>
    <w:rsid w:val="004B5048"/>
    <w:rsid w:val="004B5B82"/>
    <w:rsid w:val="004B7A10"/>
    <w:rsid w:val="004C0276"/>
    <w:rsid w:val="004C20D3"/>
    <w:rsid w:val="004C3CFB"/>
    <w:rsid w:val="004C3E9D"/>
    <w:rsid w:val="004C47E9"/>
    <w:rsid w:val="004C4CBE"/>
    <w:rsid w:val="004C5105"/>
    <w:rsid w:val="004C5370"/>
    <w:rsid w:val="004C5432"/>
    <w:rsid w:val="004C5881"/>
    <w:rsid w:val="004C58BE"/>
    <w:rsid w:val="004C5F8B"/>
    <w:rsid w:val="004C6276"/>
    <w:rsid w:val="004C7A0C"/>
    <w:rsid w:val="004D00BF"/>
    <w:rsid w:val="004D0313"/>
    <w:rsid w:val="004D11C0"/>
    <w:rsid w:val="004D3097"/>
    <w:rsid w:val="004D4072"/>
    <w:rsid w:val="004D4FBD"/>
    <w:rsid w:val="004D643F"/>
    <w:rsid w:val="004D7DAA"/>
    <w:rsid w:val="004D7F5A"/>
    <w:rsid w:val="004D7F8A"/>
    <w:rsid w:val="004E03BA"/>
    <w:rsid w:val="004E0C9D"/>
    <w:rsid w:val="004E12F0"/>
    <w:rsid w:val="004E14C8"/>
    <w:rsid w:val="004E1CF1"/>
    <w:rsid w:val="004E2A67"/>
    <w:rsid w:val="004E2AF4"/>
    <w:rsid w:val="004E577F"/>
    <w:rsid w:val="004E660D"/>
    <w:rsid w:val="004E6C74"/>
    <w:rsid w:val="004E6CF2"/>
    <w:rsid w:val="004E7EAD"/>
    <w:rsid w:val="004F0565"/>
    <w:rsid w:val="004F236E"/>
    <w:rsid w:val="004F2A0E"/>
    <w:rsid w:val="004F3A0D"/>
    <w:rsid w:val="004F3C77"/>
    <w:rsid w:val="004F3F88"/>
    <w:rsid w:val="004F43B5"/>
    <w:rsid w:val="004F4AC7"/>
    <w:rsid w:val="004F5736"/>
    <w:rsid w:val="004F5B58"/>
    <w:rsid w:val="004F5BBE"/>
    <w:rsid w:val="004F5D1A"/>
    <w:rsid w:val="004F5ECA"/>
    <w:rsid w:val="004F6B1E"/>
    <w:rsid w:val="004F6D90"/>
    <w:rsid w:val="004F7EB5"/>
    <w:rsid w:val="00500AA8"/>
    <w:rsid w:val="005010AF"/>
    <w:rsid w:val="005019CD"/>
    <w:rsid w:val="0050239A"/>
    <w:rsid w:val="00502ACD"/>
    <w:rsid w:val="00504D42"/>
    <w:rsid w:val="00504D5A"/>
    <w:rsid w:val="005057DD"/>
    <w:rsid w:val="00505AB6"/>
    <w:rsid w:val="00505E37"/>
    <w:rsid w:val="005071BF"/>
    <w:rsid w:val="00507E47"/>
    <w:rsid w:val="00510052"/>
    <w:rsid w:val="005106E5"/>
    <w:rsid w:val="005115A5"/>
    <w:rsid w:val="005129EF"/>
    <w:rsid w:val="00514990"/>
    <w:rsid w:val="00514DB2"/>
    <w:rsid w:val="005155AB"/>
    <w:rsid w:val="0051563C"/>
    <w:rsid w:val="00516379"/>
    <w:rsid w:val="0051660A"/>
    <w:rsid w:val="0051691C"/>
    <w:rsid w:val="00516B25"/>
    <w:rsid w:val="00520353"/>
    <w:rsid w:val="00521376"/>
    <w:rsid w:val="00523EEA"/>
    <w:rsid w:val="00524C81"/>
    <w:rsid w:val="00525139"/>
    <w:rsid w:val="0052597A"/>
    <w:rsid w:val="00525C95"/>
    <w:rsid w:val="00526EA0"/>
    <w:rsid w:val="00526FD6"/>
    <w:rsid w:val="005274F6"/>
    <w:rsid w:val="00527ECF"/>
    <w:rsid w:val="0053000E"/>
    <w:rsid w:val="005304AE"/>
    <w:rsid w:val="0053064B"/>
    <w:rsid w:val="00530AC1"/>
    <w:rsid w:val="00530C6C"/>
    <w:rsid w:val="005323B6"/>
    <w:rsid w:val="00532519"/>
    <w:rsid w:val="00532945"/>
    <w:rsid w:val="00533909"/>
    <w:rsid w:val="00534173"/>
    <w:rsid w:val="00535499"/>
    <w:rsid w:val="00535973"/>
    <w:rsid w:val="00536F5E"/>
    <w:rsid w:val="00537864"/>
    <w:rsid w:val="0054021B"/>
    <w:rsid w:val="0054081B"/>
    <w:rsid w:val="0054236D"/>
    <w:rsid w:val="00542F44"/>
    <w:rsid w:val="00543284"/>
    <w:rsid w:val="0054380D"/>
    <w:rsid w:val="0054490D"/>
    <w:rsid w:val="0054495D"/>
    <w:rsid w:val="005449B2"/>
    <w:rsid w:val="00545747"/>
    <w:rsid w:val="005458A2"/>
    <w:rsid w:val="00545FAD"/>
    <w:rsid w:val="0054791D"/>
    <w:rsid w:val="00547E9E"/>
    <w:rsid w:val="00550399"/>
    <w:rsid w:val="00550B0B"/>
    <w:rsid w:val="00550B9C"/>
    <w:rsid w:val="005515EA"/>
    <w:rsid w:val="005530E4"/>
    <w:rsid w:val="005531F3"/>
    <w:rsid w:val="00553E0D"/>
    <w:rsid w:val="00553FFB"/>
    <w:rsid w:val="005542D0"/>
    <w:rsid w:val="00555F08"/>
    <w:rsid w:val="00556AD5"/>
    <w:rsid w:val="00557B06"/>
    <w:rsid w:val="00560552"/>
    <w:rsid w:val="005618AD"/>
    <w:rsid w:val="00561FEA"/>
    <w:rsid w:val="005621E0"/>
    <w:rsid w:val="005624E8"/>
    <w:rsid w:val="0056360A"/>
    <w:rsid w:val="00564298"/>
    <w:rsid w:val="00565DFE"/>
    <w:rsid w:val="005667EB"/>
    <w:rsid w:val="005717F1"/>
    <w:rsid w:val="0057295F"/>
    <w:rsid w:val="00573E40"/>
    <w:rsid w:val="00574424"/>
    <w:rsid w:val="0057454F"/>
    <w:rsid w:val="005760C6"/>
    <w:rsid w:val="00576441"/>
    <w:rsid w:val="0057735B"/>
    <w:rsid w:val="00580C7F"/>
    <w:rsid w:val="00581179"/>
    <w:rsid w:val="005814AE"/>
    <w:rsid w:val="005825A9"/>
    <w:rsid w:val="00584D50"/>
    <w:rsid w:val="00585464"/>
    <w:rsid w:val="00586D5A"/>
    <w:rsid w:val="00587361"/>
    <w:rsid w:val="005875CD"/>
    <w:rsid w:val="00587A87"/>
    <w:rsid w:val="005900F0"/>
    <w:rsid w:val="00590930"/>
    <w:rsid w:val="00590AE4"/>
    <w:rsid w:val="0059205D"/>
    <w:rsid w:val="00592C97"/>
    <w:rsid w:val="005945FE"/>
    <w:rsid w:val="0059485D"/>
    <w:rsid w:val="00595F10"/>
    <w:rsid w:val="0059707B"/>
    <w:rsid w:val="005978AA"/>
    <w:rsid w:val="005A0CD6"/>
    <w:rsid w:val="005A11FC"/>
    <w:rsid w:val="005A20EE"/>
    <w:rsid w:val="005A24DD"/>
    <w:rsid w:val="005A2651"/>
    <w:rsid w:val="005A4DC8"/>
    <w:rsid w:val="005A5E08"/>
    <w:rsid w:val="005B0759"/>
    <w:rsid w:val="005B084D"/>
    <w:rsid w:val="005B098F"/>
    <w:rsid w:val="005B2FEF"/>
    <w:rsid w:val="005B31B4"/>
    <w:rsid w:val="005B38E0"/>
    <w:rsid w:val="005B422A"/>
    <w:rsid w:val="005B47CF"/>
    <w:rsid w:val="005B625B"/>
    <w:rsid w:val="005B66F4"/>
    <w:rsid w:val="005B741E"/>
    <w:rsid w:val="005B7595"/>
    <w:rsid w:val="005C0EE5"/>
    <w:rsid w:val="005C0F5C"/>
    <w:rsid w:val="005C11FC"/>
    <w:rsid w:val="005C163D"/>
    <w:rsid w:val="005C1AC9"/>
    <w:rsid w:val="005C3333"/>
    <w:rsid w:val="005C3548"/>
    <w:rsid w:val="005C35D0"/>
    <w:rsid w:val="005C4292"/>
    <w:rsid w:val="005C479B"/>
    <w:rsid w:val="005C617E"/>
    <w:rsid w:val="005C78FB"/>
    <w:rsid w:val="005D0DC2"/>
    <w:rsid w:val="005D0EA6"/>
    <w:rsid w:val="005D1658"/>
    <w:rsid w:val="005D170D"/>
    <w:rsid w:val="005D206A"/>
    <w:rsid w:val="005D28EF"/>
    <w:rsid w:val="005D3FD7"/>
    <w:rsid w:val="005D44BF"/>
    <w:rsid w:val="005D47B7"/>
    <w:rsid w:val="005D4FEA"/>
    <w:rsid w:val="005D50A8"/>
    <w:rsid w:val="005D5344"/>
    <w:rsid w:val="005D5348"/>
    <w:rsid w:val="005D67D2"/>
    <w:rsid w:val="005D6A3F"/>
    <w:rsid w:val="005D7FC3"/>
    <w:rsid w:val="005E000D"/>
    <w:rsid w:val="005E0294"/>
    <w:rsid w:val="005E0554"/>
    <w:rsid w:val="005E09A2"/>
    <w:rsid w:val="005E1207"/>
    <w:rsid w:val="005E1606"/>
    <w:rsid w:val="005E22E0"/>
    <w:rsid w:val="005E4206"/>
    <w:rsid w:val="005E4A67"/>
    <w:rsid w:val="005E5762"/>
    <w:rsid w:val="005E5796"/>
    <w:rsid w:val="005E6030"/>
    <w:rsid w:val="005E690E"/>
    <w:rsid w:val="005E6D5D"/>
    <w:rsid w:val="005E7C5B"/>
    <w:rsid w:val="005F36AC"/>
    <w:rsid w:val="005F38D0"/>
    <w:rsid w:val="005F3EB7"/>
    <w:rsid w:val="005F43DC"/>
    <w:rsid w:val="005F4B26"/>
    <w:rsid w:val="005F4CAD"/>
    <w:rsid w:val="005F51D7"/>
    <w:rsid w:val="005F546A"/>
    <w:rsid w:val="005F5A2B"/>
    <w:rsid w:val="005F5AA3"/>
    <w:rsid w:val="005F5CC5"/>
    <w:rsid w:val="005F6687"/>
    <w:rsid w:val="005F774E"/>
    <w:rsid w:val="00600353"/>
    <w:rsid w:val="00600B4E"/>
    <w:rsid w:val="00600D26"/>
    <w:rsid w:val="006012AB"/>
    <w:rsid w:val="00601A4D"/>
    <w:rsid w:val="0060304C"/>
    <w:rsid w:val="00603FCD"/>
    <w:rsid w:val="006044DD"/>
    <w:rsid w:val="00604FCB"/>
    <w:rsid w:val="0060510C"/>
    <w:rsid w:val="00606245"/>
    <w:rsid w:val="0060671B"/>
    <w:rsid w:val="00607DFE"/>
    <w:rsid w:val="006101CF"/>
    <w:rsid w:val="00610F29"/>
    <w:rsid w:val="006112A8"/>
    <w:rsid w:val="00611D8B"/>
    <w:rsid w:val="00611FA7"/>
    <w:rsid w:val="00611FB3"/>
    <w:rsid w:val="00613CC6"/>
    <w:rsid w:val="00613FD7"/>
    <w:rsid w:val="00615707"/>
    <w:rsid w:val="006166CE"/>
    <w:rsid w:val="00616E6B"/>
    <w:rsid w:val="00617241"/>
    <w:rsid w:val="00617339"/>
    <w:rsid w:val="006175D0"/>
    <w:rsid w:val="00620E27"/>
    <w:rsid w:val="006221F1"/>
    <w:rsid w:val="00622203"/>
    <w:rsid w:val="0062234F"/>
    <w:rsid w:val="00622B54"/>
    <w:rsid w:val="006240F7"/>
    <w:rsid w:val="00624418"/>
    <w:rsid w:val="0062489D"/>
    <w:rsid w:val="0062491D"/>
    <w:rsid w:val="00624D0C"/>
    <w:rsid w:val="00625514"/>
    <w:rsid w:val="00627411"/>
    <w:rsid w:val="00627545"/>
    <w:rsid w:val="00627DEF"/>
    <w:rsid w:val="006300E6"/>
    <w:rsid w:val="0063079E"/>
    <w:rsid w:val="00630837"/>
    <w:rsid w:val="00630A7D"/>
    <w:rsid w:val="00631344"/>
    <w:rsid w:val="00631B07"/>
    <w:rsid w:val="00631FEA"/>
    <w:rsid w:val="00632273"/>
    <w:rsid w:val="006324DA"/>
    <w:rsid w:val="00632B1F"/>
    <w:rsid w:val="00633FDF"/>
    <w:rsid w:val="006340E8"/>
    <w:rsid w:val="0063448D"/>
    <w:rsid w:val="00634E37"/>
    <w:rsid w:val="00635138"/>
    <w:rsid w:val="00636820"/>
    <w:rsid w:val="00636855"/>
    <w:rsid w:val="00636B9E"/>
    <w:rsid w:val="00636FE5"/>
    <w:rsid w:val="00637BD2"/>
    <w:rsid w:val="006417D1"/>
    <w:rsid w:val="00641F8D"/>
    <w:rsid w:val="006424AB"/>
    <w:rsid w:val="00642DC8"/>
    <w:rsid w:val="006432EE"/>
    <w:rsid w:val="00644690"/>
    <w:rsid w:val="006449FC"/>
    <w:rsid w:val="00646375"/>
    <w:rsid w:val="006469E3"/>
    <w:rsid w:val="006473C9"/>
    <w:rsid w:val="006479C9"/>
    <w:rsid w:val="006511F1"/>
    <w:rsid w:val="0065167B"/>
    <w:rsid w:val="00651D05"/>
    <w:rsid w:val="006525A3"/>
    <w:rsid w:val="0065301A"/>
    <w:rsid w:val="0065414F"/>
    <w:rsid w:val="006544F7"/>
    <w:rsid w:val="0065522C"/>
    <w:rsid w:val="0065624C"/>
    <w:rsid w:val="0065702E"/>
    <w:rsid w:val="006573A7"/>
    <w:rsid w:val="00657F5C"/>
    <w:rsid w:val="006604C5"/>
    <w:rsid w:val="00661B98"/>
    <w:rsid w:val="00662E51"/>
    <w:rsid w:val="0066376B"/>
    <w:rsid w:val="006637C9"/>
    <w:rsid w:val="00663ECD"/>
    <w:rsid w:val="00664FA9"/>
    <w:rsid w:val="00664FE5"/>
    <w:rsid w:val="0066552A"/>
    <w:rsid w:val="006661FB"/>
    <w:rsid w:val="00666767"/>
    <w:rsid w:val="00667091"/>
    <w:rsid w:val="00667966"/>
    <w:rsid w:val="00667EB1"/>
    <w:rsid w:val="00670C38"/>
    <w:rsid w:val="006711CE"/>
    <w:rsid w:val="00671245"/>
    <w:rsid w:val="00672883"/>
    <w:rsid w:val="006734EC"/>
    <w:rsid w:val="00673D22"/>
    <w:rsid w:val="00673E0E"/>
    <w:rsid w:val="00677E73"/>
    <w:rsid w:val="00680F9F"/>
    <w:rsid w:val="00681109"/>
    <w:rsid w:val="006811AB"/>
    <w:rsid w:val="006812F9"/>
    <w:rsid w:val="00681387"/>
    <w:rsid w:val="006818EF"/>
    <w:rsid w:val="006827C4"/>
    <w:rsid w:val="00683169"/>
    <w:rsid w:val="006839E3"/>
    <w:rsid w:val="006849AA"/>
    <w:rsid w:val="00685306"/>
    <w:rsid w:val="0068532B"/>
    <w:rsid w:val="00685CAD"/>
    <w:rsid w:val="00685F32"/>
    <w:rsid w:val="00686AD5"/>
    <w:rsid w:val="006875D1"/>
    <w:rsid w:val="00687C38"/>
    <w:rsid w:val="00690D7C"/>
    <w:rsid w:val="006913EE"/>
    <w:rsid w:val="00691F08"/>
    <w:rsid w:val="00691FCC"/>
    <w:rsid w:val="006932B2"/>
    <w:rsid w:val="0069385F"/>
    <w:rsid w:val="00693F5B"/>
    <w:rsid w:val="0069490F"/>
    <w:rsid w:val="0069772D"/>
    <w:rsid w:val="0069794C"/>
    <w:rsid w:val="006A0DCF"/>
    <w:rsid w:val="006A18A0"/>
    <w:rsid w:val="006A3FC9"/>
    <w:rsid w:val="006A4950"/>
    <w:rsid w:val="006A5859"/>
    <w:rsid w:val="006A59CA"/>
    <w:rsid w:val="006A5AE2"/>
    <w:rsid w:val="006A608A"/>
    <w:rsid w:val="006A701B"/>
    <w:rsid w:val="006A7768"/>
    <w:rsid w:val="006A7946"/>
    <w:rsid w:val="006A7D9A"/>
    <w:rsid w:val="006B0A0A"/>
    <w:rsid w:val="006B0BE8"/>
    <w:rsid w:val="006B110A"/>
    <w:rsid w:val="006B1FAD"/>
    <w:rsid w:val="006B25C4"/>
    <w:rsid w:val="006B2B3F"/>
    <w:rsid w:val="006B3C98"/>
    <w:rsid w:val="006B41DC"/>
    <w:rsid w:val="006B4798"/>
    <w:rsid w:val="006B4975"/>
    <w:rsid w:val="006B50F8"/>
    <w:rsid w:val="006B5FA1"/>
    <w:rsid w:val="006B61D6"/>
    <w:rsid w:val="006B697E"/>
    <w:rsid w:val="006C0265"/>
    <w:rsid w:val="006C08CC"/>
    <w:rsid w:val="006C0C81"/>
    <w:rsid w:val="006C0F8E"/>
    <w:rsid w:val="006C2DED"/>
    <w:rsid w:val="006C3444"/>
    <w:rsid w:val="006C3B6C"/>
    <w:rsid w:val="006C497C"/>
    <w:rsid w:val="006C5037"/>
    <w:rsid w:val="006C5D85"/>
    <w:rsid w:val="006C731E"/>
    <w:rsid w:val="006C7627"/>
    <w:rsid w:val="006D0104"/>
    <w:rsid w:val="006D06DD"/>
    <w:rsid w:val="006D085A"/>
    <w:rsid w:val="006D15D1"/>
    <w:rsid w:val="006D1E49"/>
    <w:rsid w:val="006D1F38"/>
    <w:rsid w:val="006D23C1"/>
    <w:rsid w:val="006D2687"/>
    <w:rsid w:val="006D309A"/>
    <w:rsid w:val="006D3558"/>
    <w:rsid w:val="006D3728"/>
    <w:rsid w:val="006D3C0D"/>
    <w:rsid w:val="006D4442"/>
    <w:rsid w:val="006D5AF1"/>
    <w:rsid w:val="006D6339"/>
    <w:rsid w:val="006D7501"/>
    <w:rsid w:val="006E0862"/>
    <w:rsid w:val="006E17D8"/>
    <w:rsid w:val="006E20E0"/>
    <w:rsid w:val="006E255A"/>
    <w:rsid w:val="006E27B8"/>
    <w:rsid w:val="006E3C18"/>
    <w:rsid w:val="006E4CE2"/>
    <w:rsid w:val="006E537B"/>
    <w:rsid w:val="006E6942"/>
    <w:rsid w:val="006F003C"/>
    <w:rsid w:val="006F12A6"/>
    <w:rsid w:val="006F201A"/>
    <w:rsid w:val="006F20F2"/>
    <w:rsid w:val="006F25BC"/>
    <w:rsid w:val="006F2A65"/>
    <w:rsid w:val="006F2F98"/>
    <w:rsid w:val="006F3D75"/>
    <w:rsid w:val="006F5363"/>
    <w:rsid w:val="006F62DC"/>
    <w:rsid w:val="006F65F4"/>
    <w:rsid w:val="006F7CF4"/>
    <w:rsid w:val="00700F22"/>
    <w:rsid w:val="00702D26"/>
    <w:rsid w:val="00703CF1"/>
    <w:rsid w:val="00705031"/>
    <w:rsid w:val="0070527F"/>
    <w:rsid w:val="00705418"/>
    <w:rsid w:val="0070671A"/>
    <w:rsid w:val="00706AB8"/>
    <w:rsid w:val="007075F4"/>
    <w:rsid w:val="007127E5"/>
    <w:rsid w:val="0071346E"/>
    <w:rsid w:val="00717ED9"/>
    <w:rsid w:val="00720397"/>
    <w:rsid w:val="00720ACF"/>
    <w:rsid w:val="007211D0"/>
    <w:rsid w:val="00722168"/>
    <w:rsid w:val="00722532"/>
    <w:rsid w:val="00723994"/>
    <w:rsid w:val="00724714"/>
    <w:rsid w:val="00724A4B"/>
    <w:rsid w:val="007260DD"/>
    <w:rsid w:val="007261F2"/>
    <w:rsid w:val="00727632"/>
    <w:rsid w:val="00727D0D"/>
    <w:rsid w:val="00730AF8"/>
    <w:rsid w:val="00730CC7"/>
    <w:rsid w:val="00730FED"/>
    <w:rsid w:val="00731014"/>
    <w:rsid w:val="0073116B"/>
    <w:rsid w:val="007311C1"/>
    <w:rsid w:val="00732353"/>
    <w:rsid w:val="0073245D"/>
    <w:rsid w:val="00732B5E"/>
    <w:rsid w:val="007340BF"/>
    <w:rsid w:val="007348E3"/>
    <w:rsid w:val="0073523A"/>
    <w:rsid w:val="00735FCA"/>
    <w:rsid w:val="007362A6"/>
    <w:rsid w:val="00736596"/>
    <w:rsid w:val="00736612"/>
    <w:rsid w:val="00736C9A"/>
    <w:rsid w:val="00736D4C"/>
    <w:rsid w:val="00741002"/>
    <w:rsid w:val="00741596"/>
    <w:rsid w:val="00742B7C"/>
    <w:rsid w:val="00742B90"/>
    <w:rsid w:val="00742F0D"/>
    <w:rsid w:val="00745587"/>
    <w:rsid w:val="00745EB6"/>
    <w:rsid w:val="007464AC"/>
    <w:rsid w:val="00746F3A"/>
    <w:rsid w:val="00746FC9"/>
    <w:rsid w:val="00747053"/>
    <w:rsid w:val="00750794"/>
    <w:rsid w:val="00751144"/>
    <w:rsid w:val="00751261"/>
    <w:rsid w:val="00751EA4"/>
    <w:rsid w:val="00752A05"/>
    <w:rsid w:val="00752B89"/>
    <w:rsid w:val="00752ED9"/>
    <w:rsid w:val="0075443E"/>
    <w:rsid w:val="00754607"/>
    <w:rsid w:val="00754876"/>
    <w:rsid w:val="007561F1"/>
    <w:rsid w:val="00756C5A"/>
    <w:rsid w:val="00756E77"/>
    <w:rsid w:val="007571D0"/>
    <w:rsid w:val="00760833"/>
    <w:rsid w:val="00760A73"/>
    <w:rsid w:val="00760BF6"/>
    <w:rsid w:val="00760C6D"/>
    <w:rsid w:val="00760CF5"/>
    <w:rsid w:val="00760D0C"/>
    <w:rsid w:val="007615F6"/>
    <w:rsid w:val="00762740"/>
    <w:rsid w:val="0076278F"/>
    <w:rsid w:val="00763123"/>
    <w:rsid w:val="0076471F"/>
    <w:rsid w:val="00765602"/>
    <w:rsid w:val="00766FDA"/>
    <w:rsid w:val="00767062"/>
    <w:rsid w:val="00767180"/>
    <w:rsid w:val="00767590"/>
    <w:rsid w:val="00767947"/>
    <w:rsid w:val="007734F0"/>
    <w:rsid w:val="007756B1"/>
    <w:rsid w:val="007766FD"/>
    <w:rsid w:val="00776A33"/>
    <w:rsid w:val="0077732E"/>
    <w:rsid w:val="0077776E"/>
    <w:rsid w:val="00777ED3"/>
    <w:rsid w:val="00780031"/>
    <w:rsid w:val="00780508"/>
    <w:rsid w:val="00780AA8"/>
    <w:rsid w:val="00782343"/>
    <w:rsid w:val="0078263E"/>
    <w:rsid w:val="007828A0"/>
    <w:rsid w:val="007829BD"/>
    <w:rsid w:val="00782CDF"/>
    <w:rsid w:val="00783E60"/>
    <w:rsid w:val="00784278"/>
    <w:rsid w:val="00784BE8"/>
    <w:rsid w:val="00785185"/>
    <w:rsid w:val="00785AC5"/>
    <w:rsid w:val="00787712"/>
    <w:rsid w:val="00790B93"/>
    <w:rsid w:val="00791005"/>
    <w:rsid w:val="00793E19"/>
    <w:rsid w:val="00794110"/>
    <w:rsid w:val="0079431D"/>
    <w:rsid w:val="007950EE"/>
    <w:rsid w:val="007952CC"/>
    <w:rsid w:val="00795570"/>
    <w:rsid w:val="0079598B"/>
    <w:rsid w:val="00797BF7"/>
    <w:rsid w:val="007A167C"/>
    <w:rsid w:val="007A1777"/>
    <w:rsid w:val="007A21D2"/>
    <w:rsid w:val="007A2810"/>
    <w:rsid w:val="007A6C36"/>
    <w:rsid w:val="007A6EE1"/>
    <w:rsid w:val="007A710B"/>
    <w:rsid w:val="007B0E2F"/>
    <w:rsid w:val="007B121D"/>
    <w:rsid w:val="007B1EED"/>
    <w:rsid w:val="007B1F67"/>
    <w:rsid w:val="007B2781"/>
    <w:rsid w:val="007B3108"/>
    <w:rsid w:val="007B439F"/>
    <w:rsid w:val="007B4C5F"/>
    <w:rsid w:val="007B50C7"/>
    <w:rsid w:val="007B7E6C"/>
    <w:rsid w:val="007B7EAD"/>
    <w:rsid w:val="007C0086"/>
    <w:rsid w:val="007C28E2"/>
    <w:rsid w:val="007C2D09"/>
    <w:rsid w:val="007C2FB5"/>
    <w:rsid w:val="007C3A85"/>
    <w:rsid w:val="007C4494"/>
    <w:rsid w:val="007C4895"/>
    <w:rsid w:val="007C586C"/>
    <w:rsid w:val="007C6131"/>
    <w:rsid w:val="007C6737"/>
    <w:rsid w:val="007C7203"/>
    <w:rsid w:val="007C7EA7"/>
    <w:rsid w:val="007D0162"/>
    <w:rsid w:val="007D14E2"/>
    <w:rsid w:val="007D25A7"/>
    <w:rsid w:val="007D26BF"/>
    <w:rsid w:val="007D382D"/>
    <w:rsid w:val="007D3C6B"/>
    <w:rsid w:val="007D3D7E"/>
    <w:rsid w:val="007D440F"/>
    <w:rsid w:val="007D47B9"/>
    <w:rsid w:val="007D5D83"/>
    <w:rsid w:val="007D660C"/>
    <w:rsid w:val="007D68A8"/>
    <w:rsid w:val="007D6F24"/>
    <w:rsid w:val="007D7043"/>
    <w:rsid w:val="007D72DC"/>
    <w:rsid w:val="007D7676"/>
    <w:rsid w:val="007D77B9"/>
    <w:rsid w:val="007D7F6D"/>
    <w:rsid w:val="007E0691"/>
    <w:rsid w:val="007E0A3C"/>
    <w:rsid w:val="007E0B71"/>
    <w:rsid w:val="007E1955"/>
    <w:rsid w:val="007E2275"/>
    <w:rsid w:val="007E28C3"/>
    <w:rsid w:val="007E2A95"/>
    <w:rsid w:val="007E3B24"/>
    <w:rsid w:val="007E3B53"/>
    <w:rsid w:val="007E4CD4"/>
    <w:rsid w:val="007E56B7"/>
    <w:rsid w:val="007E58F1"/>
    <w:rsid w:val="007E742C"/>
    <w:rsid w:val="007F1656"/>
    <w:rsid w:val="007F2351"/>
    <w:rsid w:val="007F29B7"/>
    <w:rsid w:val="007F2A2A"/>
    <w:rsid w:val="007F2B55"/>
    <w:rsid w:val="007F319F"/>
    <w:rsid w:val="007F33F2"/>
    <w:rsid w:val="007F3C29"/>
    <w:rsid w:val="007F4044"/>
    <w:rsid w:val="007F4539"/>
    <w:rsid w:val="007F45CA"/>
    <w:rsid w:val="007F460E"/>
    <w:rsid w:val="007F7706"/>
    <w:rsid w:val="007F7AC1"/>
    <w:rsid w:val="007F7ECA"/>
    <w:rsid w:val="008000E7"/>
    <w:rsid w:val="008001A0"/>
    <w:rsid w:val="0080235A"/>
    <w:rsid w:val="00802638"/>
    <w:rsid w:val="00802FF7"/>
    <w:rsid w:val="008041A2"/>
    <w:rsid w:val="008048AE"/>
    <w:rsid w:val="00804CE1"/>
    <w:rsid w:val="00805065"/>
    <w:rsid w:val="008054B6"/>
    <w:rsid w:val="00807C92"/>
    <w:rsid w:val="00810BCE"/>
    <w:rsid w:val="008110B4"/>
    <w:rsid w:val="00811793"/>
    <w:rsid w:val="00812AFD"/>
    <w:rsid w:val="00814DD1"/>
    <w:rsid w:val="00816932"/>
    <w:rsid w:val="00817090"/>
    <w:rsid w:val="008170BB"/>
    <w:rsid w:val="00817999"/>
    <w:rsid w:val="0082013B"/>
    <w:rsid w:val="008201B9"/>
    <w:rsid w:val="008209B8"/>
    <w:rsid w:val="00820CDC"/>
    <w:rsid w:val="008214E2"/>
    <w:rsid w:val="00822D05"/>
    <w:rsid w:val="0082538C"/>
    <w:rsid w:val="0082591D"/>
    <w:rsid w:val="008260EC"/>
    <w:rsid w:val="008261E6"/>
    <w:rsid w:val="008266B6"/>
    <w:rsid w:val="008267F0"/>
    <w:rsid w:val="008273FC"/>
    <w:rsid w:val="00827C91"/>
    <w:rsid w:val="00827E3D"/>
    <w:rsid w:val="008304D2"/>
    <w:rsid w:val="00830857"/>
    <w:rsid w:val="00831620"/>
    <w:rsid w:val="0083204E"/>
    <w:rsid w:val="00832A3E"/>
    <w:rsid w:val="00832A59"/>
    <w:rsid w:val="00832BB3"/>
    <w:rsid w:val="00834631"/>
    <w:rsid w:val="00835567"/>
    <w:rsid w:val="00837807"/>
    <w:rsid w:val="0083782B"/>
    <w:rsid w:val="00840F8A"/>
    <w:rsid w:val="008418A0"/>
    <w:rsid w:val="008426B7"/>
    <w:rsid w:val="008427F7"/>
    <w:rsid w:val="008437D2"/>
    <w:rsid w:val="00844078"/>
    <w:rsid w:val="0084425D"/>
    <w:rsid w:val="00845416"/>
    <w:rsid w:val="00845B72"/>
    <w:rsid w:val="008464F5"/>
    <w:rsid w:val="008467FC"/>
    <w:rsid w:val="008477B5"/>
    <w:rsid w:val="008511D1"/>
    <w:rsid w:val="008514FE"/>
    <w:rsid w:val="00851588"/>
    <w:rsid w:val="00851629"/>
    <w:rsid w:val="0085291F"/>
    <w:rsid w:val="00852A0E"/>
    <w:rsid w:val="0085382B"/>
    <w:rsid w:val="008564D7"/>
    <w:rsid w:val="00856639"/>
    <w:rsid w:val="00856ABC"/>
    <w:rsid w:val="008574A6"/>
    <w:rsid w:val="00857A56"/>
    <w:rsid w:val="00857FF1"/>
    <w:rsid w:val="008601E3"/>
    <w:rsid w:val="00860746"/>
    <w:rsid w:val="00860A3C"/>
    <w:rsid w:val="00861471"/>
    <w:rsid w:val="008624F0"/>
    <w:rsid w:val="00863384"/>
    <w:rsid w:val="008643B5"/>
    <w:rsid w:val="008652D2"/>
    <w:rsid w:val="00865AA0"/>
    <w:rsid w:val="008670F2"/>
    <w:rsid w:val="00870B00"/>
    <w:rsid w:val="00871516"/>
    <w:rsid w:val="00872C52"/>
    <w:rsid w:val="0087368B"/>
    <w:rsid w:val="008736A2"/>
    <w:rsid w:val="008742C5"/>
    <w:rsid w:val="008745EC"/>
    <w:rsid w:val="00876410"/>
    <w:rsid w:val="00876EE0"/>
    <w:rsid w:val="00877CD8"/>
    <w:rsid w:val="008809C0"/>
    <w:rsid w:val="00880F2D"/>
    <w:rsid w:val="00881301"/>
    <w:rsid w:val="00881945"/>
    <w:rsid w:val="0088238A"/>
    <w:rsid w:val="00882826"/>
    <w:rsid w:val="008838B4"/>
    <w:rsid w:val="0088407C"/>
    <w:rsid w:val="00884473"/>
    <w:rsid w:val="008848CE"/>
    <w:rsid w:val="00884D0A"/>
    <w:rsid w:val="00885AD4"/>
    <w:rsid w:val="00885B28"/>
    <w:rsid w:val="00885EB1"/>
    <w:rsid w:val="00886049"/>
    <w:rsid w:val="00886626"/>
    <w:rsid w:val="008908B8"/>
    <w:rsid w:val="00890DE2"/>
    <w:rsid w:val="00891273"/>
    <w:rsid w:val="00891D12"/>
    <w:rsid w:val="008927F8"/>
    <w:rsid w:val="008929B6"/>
    <w:rsid w:val="0089352D"/>
    <w:rsid w:val="008939F6"/>
    <w:rsid w:val="0089443E"/>
    <w:rsid w:val="008951AC"/>
    <w:rsid w:val="00895D80"/>
    <w:rsid w:val="0089683E"/>
    <w:rsid w:val="008970CF"/>
    <w:rsid w:val="00897ED7"/>
    <w:rsid w:val="008A00F1"/>
    <w:rsid w:val="008A2583"/>
    <w:rsid w:val="008A2965"/>
    <w:rsid w:val="008A488C"/>
    <w:rsid w:val="008A5A21"/>
    <w:rsid w:val="008A6152"/>
    <w:rsid w:val="008A685F"/>
    <w:rsid w:val="008B063E"/>
    <w:rsid w:val="008B2971"/>
    <w:rsid w:val="008B2FA8"/>
    <w:rsid w:val="008B32CA"/>
    <w:rsid w:val="008B4018"/>
    <w:rsid w:val="008B4BA1"/>
    <w:rsid w:val="008B504A"/>
    <w:rsid w:val="008B5E2C"/>
    <w:rsid w:val="008B6879"/>
    <w:rsid w:val="008B6FBD"/>
    <w:rsid w:val="008B70B3"/>
    <w:rsid w:val="008B749F"/>
    <w:rsid w:val="008B764D"/>
    <w:rsid w:val="008B7A49"/>
    <w:rsid w:val="008C0813"/>
    <w:rsid w:val="008C0CEF"/>
    <w:rsid w:val="008C132A"/>
    <w:rsid w:val="008C1DEF"/>
    <w:rsid w:val="008C1E41"/>
    <w:rsid w:val="008C1EF8"/>
    <w:rsid w:val="008C30FD"/>
    <w:rsid w:val="008C342D"/>
    <w:rsid w:val="008C4346"/>
    <w:rsid w:val="008C52AA"/>
    <w:rsid w:val="008C6295"/>
    <w:rsid w:val="008C6323"/>
    <w:rsid w:val="008C7978"/>
    <w:rsid w:val="008D27E4"/>
    <w:rsid w:val="008D2CA1"/>
    <w:rsid w:val="008D383E"/>
    <w:rsid w:val="008D4475"/>
    <w:rsid w:val="008D5001"/>
    <w:rsid w:val="008D5146"/>
    <w:rsid w:val="008D5874"/>
    <w:rsid w:val="008D6869"/>
    <w:rsid w:val="008D7537"/>
    <w:rsid w:val="008E0236"/>
    <w:rsid w:val="008E14E3"/>
    <w:rsid w:val="008E1514"/>
    <w:rsid w:val="008E39B7"/>
    <w:rsid w:val="008E3A0A"/>
    <w:rsid w:val="008E3F47"/>
    <w:rsid w:val="008E43AF"/>
    <w:rsid w:val="008E59BB"/>
    <w:rsid w:val="008E6924"/>
    <w:rsid w:val="008E7736"/>
    <w:rsid w:val="008E77DA"/>
    <w:rsid w:val="008E7D47"/>
    <w:rsid w:val="008F0AAA"/>
    <w:rsid w:val="008F1AC3"/>
    <w:rsid w:val="008F1F59"/>
    <w:rsid w:val="008F2613"/>
    <w:rsid w:val="008F2C99"/>
    <w:rsid w:val="008F3894"/>
    <w:rsid w:val="008F4415"/>
    <w:rsid w:val="008F468B"/>
    <w:rsid w:val="008F536C"/>
    <w:rsid w:val="008F5482"/>
    <w:rsid w:val="008F6127"/>
    <w:rsid w:val="008F7CA4"/>
    <w:rsid w:val="00900609"/>
    <w:rsid w:val="00901B4B"/>
    <w:rsid w:val="009036B9"/>
    <w:rsid w:val="00903B4B"/>
    <w:rsid w:val="00904479"/>
    <w:rsid w:val="00904686"/>
    <w:rsid w:val="00905790"/>
    <w:rsid w:val="00907C8C"/>
    <w:rsid w:val="00910A55"/>
    <w:rsid w:val="00910B43"/>
    <w:rsid w:val="0091116E"/>
    <w:rsid w:val="009130B2"/>
    <w:rsid w:val="00913E80"/>
    <w:rsid w:val="00914427"/>
    <w:rsid w:val="00914E8A"/>
    <w:rsid w:val="00915005"/>
    <w:rsid w:val="00915699"/>
    <w:rsid w:val="00915F8B"/>
    <w:rsid w:val="00916748"/>
    <w:rsid w:val="009167E0"/>
    <w:rsid w:val="00916B9A"/>
    <w:rsid w:val="0091753A"/>
    <w:rsid w:val="00921365"/>
    <w:rsid w:val="009222C3"/>
    <w:rsid w:val="00922596"/>
    <w:rsid w:val="00922F38"/>
    <w:rsid w:val="009235BD"/>
    <w:rsid w:val="00923675"/>
    <w:rsid w:val="00923E88"/>
    <w:rsid w:val="009250C8"/>
    <w:rsid w:val="00930260"/>
    <w:rsid w:val="00930261"/>
    <w:rsid w:val="00930A20"/>
    <w:rsid w:val="009310D7"/>
    <w:rsid w:val="009315B6"/>
    <w:rsid w:val="00931C81"/>
    <w:rsid w:val="00932ED6"/>
    <w:rsid w:val="009357B3"/>
    <w:rsid w:val="00936161"/>
    <w:rsid w:val="009409F2"/>
    <w:rsid w:val="00940B45"/>
    <w:rsid w:val="009419D9"/>
    <w:rsid w:val="00942E74"/>
    <w:rsid w:val="009447E7"/>
    <w:rsid w:val="0094599D"/>
    <w:rsid w:val="0094652F"/>
    <w:rsid w:val="00946B44"/>
    <w:rsid w:val="00950617"/>
    <w:rsid w:val="0095088C"/>
    <w:rsid w:val="00950BC2"/>
    <w:rsid w:val="009520E6"/>
    <w:rsid w:val="00952B83"/>
    <w:rsid w:val="009533B5"/>
    <w:rsid w:val="009538D1"/>
    <w:rsid w:val="009538DA"/>
    <w:rsid w:val="00953BD2"/>
    <w:rsid w:val="009541B4"/>
    <w:rsid w:val="00954A38"/>
    <w:rsid w:val="00955A4E"/>
    <w:rsid w:val="00955C3C"/>
    <w:rsid w:val="009574E0"/>
    <w:rsid w:val="00957819"/>
    <w:rsid w:val="0096068C"/>
    <w:rsid w:val="00961770"/>
    <w:rsid w:val="00961D55"/>
    <w:rsid w:val="00961ED2"/>
    <w:rsid w:val="00961EFC"/>
    <w:rsid w:val="00961F8A"/>
    <w:rsid w:val="0096203A"/>
    <w:rsid w:val="009621E4"/>
    <w:rsid w:val="00962204"/>
    <w:rsid w:val="009637A5"/>
    <w:rsid w:val="00963ED7"/>
    <w:rsid w:val="009642E0"/>
    <w:rsid w:val="0096450F"/>
    <w:rsid w:val="009647FA"/>
    <w:rsid w:val="00964D90"/>
    <w:rsid w:val="009651D7"/>
    <w:rsid w:val="0097045E"/>
    <w:rsid w:val="0097151D"/>
    <w:rsid w:val="009715CB"/>
    <w:rsid w:val="00971736"/>
    <w:rsid w:val="00973373"/>
    <w:rsid w:val="00973E8B"/>
    <w:rsid w:val="00973F81"/>
    <w:rsid w:val="00974DCA"/>
    <w:rsid w:val="009759F1"/>
    <w:rsid w:val="0097619A"/>
    <w:rsid w:val="00976715"/>
    <w:rsid w:val="009769E1"/>
    <w:rsid w:val="0097733B"/>
    <w:rsid w:val="00977760"/>
    <w:rsid w:val="00977781"/>
    <w:rsid w:val="0097787A"/>
    <w:rsid w:val="00977C99"/>
    <w:rsid w:val="00977D62"/>
    <w:rsid w:val="0098049C"/>
    <w:rsid w:val="0098181B"/>
    <w:rsid w:val="00982513"/>
    <w:rsid w:val="00982674"/>
    <w:rsid w:val="00982947"/>
    <w:rsid w:val="00982BC7"/>
    <w:rsid w:val="00983296"/>
    <w:rsid w:val="009842DE"/>
    <w:rsid w:val="00984D50"/>
    <w:rsid w:val="0098733E"/>
    <w:rsid w:val="0099083B"/>
    <w:rsid w:val="009919A9"/>
    <w:rsid w:val="00994FD0"/>
    <w:rsid w:val="00997ED7"/>
    <w:rsid w:val="009A04C4"/>
    <w:rsid w:val="009A1696"/>
    <w:rsid w:val="009A189F"/>
    <w:rsid w:val="009A1EDB"/>
    <w:rsid w:val="009A1F11"/>
    <w:rsid w:val="009A2B18"/>
    <w:rsid w:val="009A3662"/>
    <w:rsid w:val="009A4BCA"/>
    <w:rsid w:val="009A5B19"/>
    <w:rsid w:val="009A5FFB"/>
    <w:rsid w:val="009A618C"/>
    <w:rsid w:val="009A625D"/>
    <w:rsid w:val="009A7230"/>
    <w:rsid w:val="009B0D8C"/>
    <w:rsid w:val="009B1309"/>
    <w:rsid w:val="009B161F"/>
    <w:rsid w:val="009B2BFD"/>
    <w:rsid w:val="009B3733"/>
    <w:rsid w:val="009B3F85"/>
    <w:rsid w:val="009B5A36"/>
    <w:rsid w:val="009B70E3"/>
    <w:rsid w:val="009B75F0"/>
    <w:rsid w:val="009B76A1"/>
    <w:rsid w:val="009B78CF"/>
    <w:rsid w:val="009C231C"/>
    <w:rsid w:val="009C2385"/>
    <w:rsid w:val="009C2FD8"/>
    <w:rsid w:val="009C353B"/>
    <w:rsid w:val="009C35C0"/>
    <w:rsid w:val="009C43AF"/>
    <w:rsid w:val="009C57A0"/>
    <w:rsid w:val="009C65AD"/>
    <w:rsid w:val="009C6C2A"/>
    <w:rsid w:val="009C6C52"/>
    <w:rsid w:val="009C7D20"/>
    <w:rsid w:val="009D0C1E"/>
    <w:rsid w:val="009D0D79"/>
    <w:rsid w:val="009D2C09"/>
    <w:rsid w:val="009D2E71"/>
    <w:rsid w:val="009D3B52"/>
    <w:rsid w:val="009D5139"/>
    <w:rsid w:val="009D58DC"/>
    <w:rsid w:val="009D6512"/>
    <w:rsid w:val="009D6679"/>
    <w:rsid w:val="009D67EB"/>
    <w:rsid w:val="009D6B01"/>
    <w:rsid w:val="009D7493"/>
    <w:rsid w:val="009D76B4"/>
    <w:rsid w:val="009D7FF5"/>
    <w:rsid w:val="009E002B"/>
    <w:rsid w:val="009E0E86"/>
    <w:rsid w:val="009E19FF"/>
    <w:rsid w:val="009E1DA3"/>
    <w:rsid w:val="009E1DD1"/>
    <w:rsid w:val="009E1DFE"/>
    <w:rsid w:val="009E2A50"/>
    <w:rsid w:val="009E39A3"/>
    <w:rsid w:val="009E3F8D"/>
    <w:rsid w:val="009E424E"/>
    <w:rsid w:val="009E5FC6"/>
    <w:rsid w:val="009E6415"/>
    <w:rsid w:val="009E6A23"/>
    <w:rsid w:val="009E6CFB"/>
    <w:rsid w:val="009E7734"/>
    <w:rsid w:val="009F0AD3"/>
    <w:rsid w:val="009F1002"/>
    <w:rsid w:val="009F10EE"/>
    <w:rsid w:val="009F198D"/>
    <w:rsid w:val="009F2C53"/>
    <w:rsid w:val="009F33D5"/>
    <w:rsid w:val="009F3CD4"/>
    <w:rsid w:val="009F44C1"/>
    <w:rsid w:val="009F4EB9"/>
    <w:rsid w:val="009F577F"/>
    <w:rsid w:val="009F6EC1"/>
    <w:rsid w:val="009F7730"/>
    <w:rsid w:val="009F78ED"/>
    <w:rsid w:val="009F7A42"/>
    <w:rsid w:val="009F7ABA"/>
    <w:rsid w:val="009F7C51"/>
    <w:rsid w:val="00A00428"/>
    <w:rsid w:val="00A016A2"/>
    <w:rsid w:val="00A01DD1"/>
    <w:rsid w:val="00A01F57"/>
    <w:rsid w:val="00A027A2"/>
    <w:rsid w:val="00A033F8"/>
    <w:rsid w:val="00A04F91"/>
    <w:rsid w:val="00A05A15"/>
    <w:rsid w:val="00A063B9"/>
    <w:rsid w:val="00A06E0D"/>
    <w:rsid w:val="00A077B9"/>
    <w:rsid w:val="00A079B8"/>
    <w:rsid w:val="00A07F9B"/>
    <w:rsid w:val="00A10081"/>
    <w:rsid w:val="00A10C1E"/>
    <w:rsid w:val="00A11479"/>
    <w:rsid w:val="00A1186E"/>
    <w:rsid w:val="00A12512"/>
    <w:rsid w:val="00A1375C"/>
    <w:rsid w:val="00A13887"/>
    <w:rsid w:val="00A13EE9"/>
    <w:rsid w:val="00A14C33"/>
    <w:rsid w:val="00A16743"/>
    <w:rsid w:val="00A2000D"/>
    <w:rsid w:val="00A20584"/>
    <w:rsid w:val="00A22745"/>
    <w:rsid w:val="00A22907"/>
    <w:rsid w:val="00A231F7"/>
    <w:rsid w:val="00A23AFE"/>
    <w:rsid w:val="00A241CA"/>
    <w:rsid w:val="00A246A3"/>
    <w:rsid w:val="00A24A9C"/>
    <w:rsid w:val="00A2561E"/>
    <w:rsid w:val="00A258BB"/>
    <w:rsid w:val="00A25AE4"/>
    <w:rsid w:val="00A266AF"/>
    <w:rsid w:val="00A26884"/>
    <w:rsid w:val="00A269F0"/>
    <w:rsid w:val="00A273B2"/>
    <w:rsid w:val="00A27689"/>
    <w:rsid w:val="00A31690"/>
    <w:rsid w:val="00A31AC2"/>
    <w:rsid w:val="00A32221"/>
    <w:rsid w:val="00A329C8"/>
    <w:rsid w:val="00A33608"/>
    <w:rsid w:val="00A336FB"/>
    <w:rsid w:val="00A34490"/>
    <w:rsid w:val="00A35BB8"/>
    <w:rsid w:val="00A3607C"/>
    <w:rsid w:val="00A36465"/>
    <w:rsid w:val="00A365AF"/>
    <w:rsid w:val="00A3665A"/>
    <w:rsid w:val="00A367C8"/>
    <w:rsid w:val="00A3695D"/>
    <w:rsid w:val="00A3750F"/>
    <w:rsid w:val="00A41C14"/>
    <w:rsid w:val="00A42925"/>
    <w:rsid w:val="00A44876"/>
    <w:rsid w:val="00A44CF4"/>
    <w:rsid w:val="00A44FEA"/>
    <w:rsid w:val="00A4535A"/>
    <w:rsid w:val="00A45A44"/>
    <w:rsid w:val="00A45E3F"/>
    <w:rsid w:val="00A45EFA"/>
    <w:rsid w:val="00A461D0"/>
    <w:rsid w:val="00A470CB"/>
    <w:rsid w:val="00A471DD"/>
    <w:rsid w:val="00A47560"/>
    <w:rsid w:val="00A5085B"/>
    <w:rsid w:val="00A50B33"/>
    <w:rsid w:val="00A514B9"/>
    <w:rsid w:val="00A5282D"/>
    <w:rsid w:val="00A528C8"/>
    <w:rsid w:val="00A536D8"/>
    <w:rsid w:val="00A54D5E"/>
    <w:rsid w:val="00A56D6D"/>
    <w:rsid w:val="00A56D92"/>
    <w:rsid w:val="00A578A7"/>
    <w:rsid w:val="00A60800"/>
    <w:rsid w:val="00A61377"/>
    <w:rsid w:val="00A62B05"/>
    <w:rsid w:val="00A64A62"/>
    <w:rsid w:val="00A64EE6"/>
    <w:rsid w:val="00A656CA"/>
    <w:rsid w:val="00A65E26"/>
    <w:rsid w:val="00A661BD"/>
    <w:rsid w:val="00A66C95"/>
    <w:rsid w:val="00A6727A"/>
    <w:rsid w:val="00A702BE"/>
    <w:rsid w:val="00A7169F"/>
    <w:rsid w:val="00A73909"/>
    <w:rsid w:val="00A73975"/>
    <w:rsid w:val="00A74572"/>
    <w:rsid w:val="00A75EAC"/>
    <w:rsid w:val="00A767B9"/>
    <w:rsid w:val="00A77958"/>
    <w:rsid w:val="00A779CC"/>
    <w:rsid w:val="00A80F17"/>
    <w:rsid w:val="00A8157D"/>
    <w:rsid w:val="00A820E5"/>
    <w:rsid w:val="00A822E9"/>
    <w:rsid w:val="00A82572"/>
    <w:rsid w:val="00A82C0B"/>
    <w:rsid w:val="00A86873"/>
    <w:rsid w:val="00A87634"/>
    <w:rsid w:val="00A878B3"/>
    <w:rsid w:val="00A87A15"/>
    <w:rsid w:val="00A90643"/>
    <w:rsid w:val="00A91531"/>
    <w:rsid w:val="00A92886"/>
    <w:rsid w:val="00A93D5B"/>
    <w:rsid w:val="00A9473C"/>
    <w:rsid w:val="00A951AB"/>
    <w:rsid w:val="00A95353"/>
    <w:rsid w:val="00A9623A"/>
    <w:rsid w:val="00A9711A"/>
    <w:rsid w:val="00AA0BBE"/>
    <w:rsid w:val="00AA0FF2"/>
    <w:rsid w:val="00AA1AC1"/>
    <w:rsid w:val="00AA2E81"/>
    <w:rsid w:val="00AA3992"/>
    <w:rsid w:val="00AA49E5"/>
    <w:rsid w:val="00AA4E45"/>
    <w:rsid w:val="00AA549A"/>
    <w:rsid w:val="00AA6D94"/>
    <w:rsid w:val="00AA794E"/>
    <w:rsid w:val="00AA7C18"/>
    <w:rsid w:val="00AB0495"/>
    <w:rsid w:val="00AB43A8"/>
    <w:rsid w:val="00AB5496"/>
    <w:rsid w:val="00AB5587"/>
    <w:rsid w:val="00AB6F48"/>
    <w:rsid w:val="00AB7BF8"/>
    <w:rsid w:val="00AC2108"/>
    <w:rsid w:val="00AC2CF4"/>
    <w:rsid w:val="00AC2DD5"/>
    <w:rsid w:val="00AC2EB9"/>
    <w:rsid w:val="00AC32E9"/>
    <w:rsid w:val="00AC3E3A"/>
    <w:rsid w:val="00AC3EF5"/>
    <w:rsid w:val="00AC419A"/>
    <w:rsid w:val="00AC4518"/>
    <w:rsid w:val="00AC4606"/>
    <w:rsid w:val="00AC4698"/>
    <w:rsid w:val="00AC4F33"/>
    <w:rsid w:val="00AC623B"/>
    <w:rsid w:val="00AC66BB"/>
    <w:rsid w:val="00AC687F"/>
    <w:rsid w:val="00AC6895"/>
    <w:rsid w:val="00AD3484"/>
    <w:rsid w:val="00AD36C3"/>
    <w:rsid w:val="00AD3A03"/>
    <w:rsid w:val="00AD6B64"/>
    <w:rsid w:val="00AD74F3"/>
    <w:rsid w:val="00AD7554"/>
    <w:rsid w:val="00AD7C44"/>
    <w:rsid w:val="00AD7DDF"/>
    <w:rsid w:val="00AE2069"/>
    <w:rsid w:val="00AE2328"/>
    <w:rsid w:val="00AE29CA"/>
    <w:rsid w:val="00AE2C5F"/>
    <w:rsid w:val="00AE2EC4"/>
    <w:rsid w:val="00AE4039"/>
    <w:rsid w:val="00AE4BA4"/>
    <w:rsid w:val="00AE5684"/>
    <w:rsid w:val="00AE5E9E"/>
    <w:rsid w:val="00AE60FA"/>
    <w:rsid w:val="00AE741E"/>
    <w:rsid w:val="00AE7F81"/>
    <w:rsid w:val="00AF20B5"/>
    <w:rsid w:val="00AF2DD1"/>
    <w:rsid w:val="00AF3034"/>
    <w:rsid w:val="00AF34BC"/>
    <w:rsid w:val="00AF421D"/>
    <w:rsid w:val="00AF6B18"/>
    <w:rsid w:val="00AF700B"/>
    <w:rsid w:val="00AF7F45"/>
    <w:rsid w:val="00B001DD"/>
    <w:rsid w:val="00B003E7"/>
    <w:rsid w:val="00B00536"/>
    <w:rsid w:val="00B0227F"/>
    <w:rsid w:val="00B0291A"/>
    <w:rsid w:val="00B02A14"/>
    <w:rsid w:val="00B02AB8"/>
    <w:rsid w:val="00B04844"/>
    <w:rsid w:val="00B05A69"/>
    <w:rsid w:val="00B06478"/>
    <w:rsid w:val="00B0651F"/>
    <w:rsid w:val="00B06C4F"/>
    <w:rsid w:val="00B06EDF"/>
    <w:rsid w:val="00B06FBF"/>
    <w:rsid w:val="00B06FFA"/>
    <w:rsid w:val="00B070FC"/>
    <w:rsid w:val="00B0764C"/>
    <w:rsid w:val="00B102FF"/>
    <w:rsid w:val="00B10DBB"/>
    <w:rsid w:val="00B11010"/>
    <w:rsid w:val="00B115DE"/>
    <w:rsid w:val="00B11EC8"/>
    <w:rsid w:val="00B12123"/>
    <w:rsid w:val="00B128F8"/>
    <w:rsid w:val="00B14C15"/>
    <w:rsid w:val="00B15CEF"/>
    <w:rsid w:val="00B161CE"/>
    <w:rsid w:val="00B16315"/>
    <w:rsid w:val="00B16EB0"/>
    <w:rsid w:val="00B17A34"/>
    <w:rsid w:val="00B20073"/>
    <w:rsid w:val="00B20D36"/>
    <w:rsid w:val="00B21AD6"/>
    <w:rsid w:val="00B2204D"/>
    <w:rsid w:val="00B2339B"/>
    <w:rsid w:val="00B23619"/>
    <w:rsid w:val="00B2457A"/>
    <w:rsid w:val="00B254A1"/>
    <w:rsid w:val="00B270B6"/>
    <w:rsid w:val="00B2797E"/>
    <w:rsid w:val="00B27BBE"/>
    <w:rsid w:val="00B27DB8"/>
    <w:rsid w:val="00B27EBC"/>
    <w:rsid w:val="00B3068B"/>
    <w:rsid w:val="00B30C91"/>
    <w:rsid w:val="00B33833"/>
    <w:rsid w:val="00B339E6"/>
    <w:rsid w:val="00B33C26"/>
    <w:rsid w:val="00B3448A"/>
    <w:rsid w:val="00B34D6F"/>
    <w:rsid w:val="00B35597"/>
    <w:rsid w:val="00B3571A"/>
    <w:rsid w:val="00B35A7C"/>
    <w:rsid w:val="00B35B83"/>
    <w:rsid w:val="00B368B9"/>
    <w:rsid w:val="00B3709A"/>
    <w:rsid w:val="00B37114"/>
    <w:rsid w:val="00B37960"/>
    <w:rsid w:val="00B401D8"/>
    <w:rsid w:val="00B409FB"/>
    <w:rsid w:val="00B40C67"/>
    <w:rsid w:val="00B41AED"/>
    <w:rsid w:val="00B4340F"/>
    <w:rsid w:val="00B441A7"/>
    <w:rsid w:val="00B463E9"/>
    <w:rsid w:val="00B46972"/>
    <w:rsid w:val="00B50B1A"/>
    <w:rsid w:val="00B51304"/>
    <w:rsid w:val="00B51B8F"/>
    <w:rsid w:val="00B534E2"/>
    <w:rsid w:val="00B54C4B"/>
    <w:rsid w:val="00B55A58"/>
    <w:rsid w:val="00B566FE"/>
    <w:rsid w:val="00B600EE"/>
    <w:rsid w:val="00B61179"/>
    <w:rsid w:val="00B63331"/>
    <w:rsid w:val="00B6475B"/>
    <w:rsid w:val="00B64783"/>
    <w:rsid w:val="00B649BB"/>
    <w:rsid w:val="00B65D95"/>
    <w:rsid w:val="00B6641B"/>
    <w:rsid w:val="00B66F05"/>
    <w:rsid w:val="00B67227"/>
    <w:rsid w:val="00B67EFE"/>
    <w:rsid w:val="00B70E90"/>
    <w:rsid w:val="00B71718"/>
    <w:rsid w:val="00B71721"/>
    <w:rsid w:val="00B72627"/>
    <w:rsid w:val="00B7323F"/>
    <w:rsid w:val="00B73528"/>
    <w:rsid w:val="00B73D7F"/>
    <w:rsid w:val="00B747E3"/>
    <w:rsid w:val="00B75212"/>
    <w:rsid w:val="00B75F8F"/>
    <w:rsid w:val="00B7689F"/>
    <w:rsid w:val="00B76F2E"/>
    <w:rsid w:val="00B77E50"/>
    <w:rsid w:val="00B80705"/>
    <w:rsid w:val="00B80E13"/>
    <w:rsid w:val="00B8169D"/>
    <w:rsid w:val="00B817D8"/>
    <w:rsid w:val="00B81A50"/>
    <w:rsid w:val="00B82254"/>
    <w:rsid w:val="00B82BB6"/>
    <w:rsid w:val="00B82FFD"/>
    <w:rsid w:val="00B83CC0"/>
    <w:rsid w:val="00B83ECF"/>
    <w:rsid w:val="00B84428"/>
    <w:rsid w:val="00B85335"/>
    <w:rsid w:val="00B86161"/>
    <w:rsid w:val="00B86BAA"/>
    <w:rsid w:val="00B91C40"/>
    <w:rsid w:val="00B92680"/>
    <w:rsid w:val="00B933E1"/>
    <w:rsid w:val="00B93DFA"/>
    <w:rsid w:val="00B96AB7"/>
    <w:rsid w:val="00B971B3"/>
    <w:rsid w:val="00B97387"/>
    <w:rsid w:val="00B97A82"/>
    <w:rsid w:val="00BA0956"/>
    <w:rsid w:val="00BA0D31"/>
    <w:rsid w:val="00BA1729"/>
    <w:rsid w:val="00BA341B"/>
    <w:rsid w:val="00BA343A"/>
    <w:rsid w:val="00BA5325"/>
    <w:rsid w:val="00BA5B63"/>
    <w:rsid w:val="00BA5D3F"/>
    <w:rsid w:val="00BA67B8"/>
    <w:rsid w:val="00BA6860"/>
    <w:rsid w:val="00BA6B99"/>
    <w:rsid w:val="00BA6FCD"/>
    <w:rsid w:val="00BA73B3"/>
    <w:rsid w:val="00BA74FB"/>
    <w:rsid w:val="00BB1006"/>
    <w:rsid w:val="00BB10A7"/>
    <w:rsid w:val="00BB1B97"/>
    <w:rsid w:val="00BB23B9"/>
    <w:rsid w:val="00BB2509"/>
    <w:rsid w:val="00BB2BEC"/>
    <w:rsid w:val="00BB2D88"/>
    <w:rsid w:val="00BB34A7"/>
    <w:rsid w:val="00BB4538"/>
    <w:rsid w:val="00BB4E5C"/>
    <w:rsid w:val="00BB51DF"/>
    <w:rsid w:val="00BB5D56"/>
    <w:rsid w:val="00BB61EC"/>
    <w:rsid w:val="00BB6264"/>
    <w:rsid w:val="00BB639A"/>
    <w:rsid w:val="00BB6856"/>
    <w:rsid w:val="00BC03E3"/>
    <w:rsid w:val="00BC04E9"/>
    <w:rsid w:val="00BC09CC"/>
    <w:rsid w:val="00BC133E"/>
    <w:rsid w:val="00BC3B62"/>
    <w:rsid w:val="00BC6A2E"/>
    <w:rsid w:val="00BC6A38"/>
    <w:rsid w:val="00BD02E9"/>
    <w:rsid w:val="00BD09F2"/>
    <w:rsid w:val="00BD0A12"/>
    <w:rsid w:val="00BD15B4"/>
    <w:rsid w:val="00BD1EE6"/>
    <w:rsid w:val="00BD1FB4"/>
    <w:rsid w:val="00BD28FE"/>
    <w:rsid w:val="00BD46C8"/>
    <w:rsid w:val="00BD4C22"/>
    <w:rsid w:val="00BD6102"/>
    <w:rsid w:val="00BD63A9"/>
    <w:rsid w:val="00BD6632"/>
    <w:rsid w:val="00BD688C"/>
    <w:rsid w:val="00BD6B57"/>
    <w:rsid w:val="00BD6BDF"/>
    <w:rsid w:val="00BD6FB6"/>
    <w:rsid w:val="00BD761B"/>
    <w:rsid w:val="00BD79EC"/>
    <w:rsid w:val="00BE036B"/>
    <w:rsid w:val="00BE0FB5"/>
    <w:rsid w:val="00BE10BB"/>
    <w:rsid w:val="00BE17F9"/>
    <w:rsid w:val="00BE2F10"/>
    <w:rsid w:val="00BE3068"/>
    <w:rsid w:val="00BE3973"/>
    <w:rsid w:val="00BE3B16"/>
    <w:rsid w:val="00BE3E33"/>
    <w:rsid w:val="00BE3EFF"/>
    <w:rsid w:val="00BE5F53"/>
    <w:rsid w:val="00BE73A3"/>
    <w:rsid w:val="00BE73E5"/>
    <w:rsid w:val="00BF018F"/>
    <w:rsid w:val="00BF0567"/>
    <w:rsid w:val="00BF0C28"/>
    <w:rsid w:val="00BF0CD4"/>
    <w:rsid w:val="00BF1848"/>
    <w:rsid w:val="00BF198F"/>
    <w:rsid w:val="00BF1C5A"/>
    <w:rsid w:val="00BF3814"/>
    <w:rsid w:val="00BF416F"/>
    <w:rsid w:val="00BF43FD"/>
    <w:rsid w:val="00BF4433"/>
    <w:rsid w:val="00BF4940"/>
    <w:rsid w:val="00BF4B15"/>
    <w:rsid w:val="00BF52D5"/>
    <w:rsid w:val="00BF5BD7"/>
    <w:rsid w:val="00C004CD"/>
    <w:rsid w:val="00C005DE"/>
    <w:rsid w:val="00C008CF"/>
    <w:rsid w:val="00C00B50"/>
    <w:rsid w:val="00C012EF"/>
    <w:rsid w:val="00C0185D"/>
    <w:rsid w:val="00C01BB6"/>
    <w:rsid w:val="00C01CB2"/>
    <w:rsid w:val="00C01F07"/>
    <w:rsid w:val="00C02720"/>
    <w:rsid w:val="00C027C7"/>
    <w:rsid w:val="00C02E3B"/>
    <w:rsid w:val="00C03C6A"/>
    <w:rsid w:val="00C0417F"/>
    <w:rsid w:val="00C04474"/>
    <w:rsid w:val="00C06E33"/>
    <w:rsid w:val="00C1061B"/>
    <w:rsid w:val="00C106A8"/>
    <w:rsid w:val="00C107E9"/>
    <w:rsid w:val="00C109B3"/>
    <w:rsid w:val="00C10C5A"/>
    <w:rsid w:val="00C11F98"/>
    <w:rsid w:val="00C12B38"/>
    <w:rsid w:val="00C12E20"/>
    <w:rsid w:val="00C1425A"/>
    <w:rsid w:val="00C143C5"/>
    <w:rsid w:val="00C1447F"/>
    <w:rsid w:val="00C1450D"/>
    <w:rsid w:val="00C14CAD"/>
    <w:rsid w:val="00C14FBB"/>
    <w:rsid w:val="00C154E0"/>
    <w:rsid w:val="00C170EF"/>
    <w:rsid w:val="00C17ED9"/>
    <w:rsid w:val="00C2036F"/>
    <w:rsid w:val="00C205BB"/>
    <w:rsid w:val="00C21A43"/>
    <w:rsid w:val="00C22EE3"/>
    <w:rsid w:val="00C23F5E"/>
    <w:rsid w:val="00C259D7"/>
    <w:rsid w:val="00C25A77"/>
    <w:rsid w:val="00C26DA5"/>
    <w:rsid w:val="00C27057"/>
    <w:rsid w:val="00C30A7A"/>
    <w:rsid w:val="00C30C4A"/>
    <w:rsid w:val="00C311F5"/>
    <w:rsid w:val="00C315F7"/>
    <w:rsid w:val="00C31FAE"/>
    <w:rsid w:val="00C327C5"/>
    <w:rsid w:val="00C33758"/>
    <w:rsid w:val="00C3474E"/>
    <w:rsid w:val="00C3590B"/>
    <w:rsid w:val="00C35D74"/>
    <w:rsid w:val="00C35EAD"/>
    <w:rsid w:val="00C36B2E"/>
    <w:rsid w:val="00C36B51"/>
    <w:rsid w:val="00C37049"/>
    <w:rsid w:val="00C37E93"/>
    <w:rsid w:val="00C40460"/>
    <w:rsid w:val="00C4130E"/>
    <w:rsid w:val="00C418D6"/>
    <w:rsid w:val="00C41FC9"/>
    <w:rsid w:val="00C42A18"/>
    <w:rsid w:val="00C431F6"/>
    <w:rsid w:val="00C4356C"/>
    <w:rsid w:val="00C44D37"/>
    <w:rsid w:val="00C452E6"/>
    <w:rsid w:val="00C45522"/>
    <w:rsid w:val="00C461A2"/>
    <w:rsid w:val="00C47562"/>
    <w:rsid w:val="00C50C98"/>
    <w:rsid w:val="00C52052"/>
    <w:rsid w:val="00C52657"/>
    <w:rsid w:val="00C52693"/>
    <w:rsid w:val="00C54232"/>
    <w:rsid w:val="00C547D4"/>
    <w:rsid w:val="00C54DFB"/>
    <w:rsid w:val="00C55505"/>
    <w:rsid w:val="00C56619"/>
    <w:rsid w:val="00C569CA"/>
    <w:rsid w:val="00C575DB"/>
    <w:rsid w:val="00C6014C"/>
    <w:rsid w:val="00C6037D"/>
    <w:rsid w:val="00C60C28"/>
    <w:rsid w:val="00C60F20"/>
    <w:rsid w:val="00C61250"/>
    <w:rsid w:val="00C6190F"/>
    <w:rsid w:val="00C61F52"/>
    <w:rsid w:val="00C6205F"/>
    <w:rsid w:val="00C6281C"/>
    <w:rsid w:val="00C62AFB"/>
    <w:rsid w:val="00C62E2C"/>
    <w:rsid w:val="00C62F75"/>
    <w:rsid w:val="00C63A12"/>
    <w:rsid w:val="00C63A34"/>
    <w:rsid w:val="00C649A1"/>
    <w:rsid w:val="00C64EFC"/>
    <w:rsid w:val="00C65305"/>
    <w:rsid w:val="00C65996"/>
    <w:rsid w:val="00C661B7"/>
    <w:rsid w:val="00C6741A"/>
    <w:rsid w:val="00C674F2"/>
    <w:rsid w:val="00C70588"/>
    <w:rsid w:val="00C7067F"/>
    <w:rsid w:val="00C70BD2"/>
    <w:rsid w:val="00C70F1D"/>
    <w:rsid w:val="00C7113C"/>
    <w:rsid w:val="00C71403"/>
    <w:rsid w:val="00C71FAC"/>
    <w:rsid w:val="00C7211F"/>
    <w:rsid w:val="00C72F5E"/>
    <w:rsid w:val="00C738A4"/>
    <w:rsid w:val="00C73A76"/>
    <w:rsid w:val="00C73B91"/>
    <w:rsid w:val="00C74CEE"/>
    <w:rsid w:val="00C74EF7"/>
    <w:rsid w:val="00C77B25"/>
    <w:rsid w:val="00C77E49"/>
    <w:rsid w:val="00C80DB3"/>
    <w:rsid w:val="00C80DE4"/>
    <w:rsid w:val="00C81937"/>
    <w:rsid w:val="00C81C24"/>
    <w:rsid w:val="00C830B5"/>
    <w:rsid w:val="00C838E2"/>
    <w:rsid w:val="00C84693"/>
    <w:rsid w:val="00C851AC"/>
    <w:rsid w:val="00C859CE"/>
    <w:rsid w:val="00C864CD"/>
    <w:rsid w:val="00C87EA5"/>
    <w:rsid w:val="00C91EF9"/>
    <w:rsid w:val="00C92E3A"/>
    <w:rsid w:val="00C941D0"/>
    <w:rsid w:val="00C9451C"/>
    <w:rsid w:val="00C94875"/>
    <w:rsid w:val="00C94C91"/>
    <w:rsid w:val="00C951C1"/>
    <w:rsid w:val="00C95826"/>
    <w:rsid w:val="00C95A1F"/>
    <w:rsid w:val="00C96757"/>
    <w:rsid w:val="00C9678A"/>
    <w:rsid w:val="00C96A32"/>
    <w:rsid w:val="00C96DAD"/>
    <w:rsid w:val="00C97090"/>
    <w:rsid w:val="00C97243"/>
    <w:rsid w:val="00C97320"/>
    <w:rsid w:val="00C975E9"/>
    <w:rsid w:val="00C97956"/>
    <w:rsid w:val="00C97998"/>
    <w:rsid w:val="00CA00B6"/>
    <w:rsid w:val="00CA1774"/>
    <w:rsid w:val="00CA1E42"/>
    <w:rsid w:val="00CA1E57"/>
    <w:rsid w:val="00CA249A"/>
    <w:rsid w:val="00CA3622"/>
    <w:rsid w:val="00CA3733"/>
    <w:rsid w:val="00CA4118"/>
    <w:rsid w:val="00CA4DCF"/>
    <w:rsid w:val="00CA5053"/>
    <w:rsid w:val="00CA51A6"/>
    <w:rsid w:val="00CA53E8"/>
    <w:rsid w:val="00CA639B"/>
    <w:rsid w:val="00CA6D79"/>
    <w:rsid w:val="00CB08B5"/>
    <w:rsid w:val="00CB0F55"/>
    <w:rsid w:val="00CB12DF"/>
    <w:rsid w:val="00CB13B8"/>
    <w:rsid w:val="00CB16C6"/>
    <w:rsid w:val="00CB16EF"/>
    <w:rsid w:val="00CB1A1E"/>
    <w:rsid w:val="00CB1CC5"/>
    <w:rsid w:val="00CB205C"/>
    <w:rsid w:val="00CB2555"/>
    <w:rsid w:val="00CB3138"/>
    <w:rsid w:val="00CB4FD0"/>
    <w:rsid w:val="00CB6897"/>
    <w:rsid w:val="00CB705C"/>
    <w:rsid w:val="00CB792F"/>
    <w:rsid w:val="00CC03A6"/>
    <w:rsid w:val="00CC22BE"/>
    <w:rsid w:val="00CC59C3"/>
    <w:rsid w:val="00CC6266"/>
    <w:rsid w:val="00CC6B98"/>
    <w:rsid w:val="00CC6C71"/>
    <w:rsid w:val="00CC6E5B"/>
    <w:rsid w:val="00CD020E"/>
    <w:rsid w:val="00CD0923"/>
    <w:rsid w:val="00CD2F0F"/>
    <w:rsid w:val="00CD2FF2"/>
    <w:rsid w:val="00CD3739"/>
    <w:rsid w:val="00CD444F"/>
    <w:rsid w:val="00CD48D2"/>
    <w:rsid w:val="00CD59C3"/>
    <w:rsid w:val="00CD59DE"/>
    <w:rsid w:val="00CD6AEC"/>
    <w:rsid w:val="00CD75CB"/>
    <w:rsid w:val="00CE03CF"/>
    <w:rsid w:val="00CE0825"/>
    <w:rsid w:val="00CE1F00"/>
    <w:rsid w:val="00CE2E57"/>
    <w:rsid w:val="00CE31AC"/>
    <w:rsid w:val="00CE367A"/>
    <w:rsid w:val="00CE36D0"/>
    <w:rsid w:val="00CE434A"/>
    <w:rsid w:val="00CE59DD"/>
    <w:rsid w:val="00CE670A"/>
    <w:rsid w:val="00CE7453"/>
    <w:rsid w:val="00CE76B5"/>
    <w:rsid w:val="00CE773F"/>
    <w:rsid w:val="00CF06A8"/>
    <w:rsid w:val="00CF0DAE"/>
    <w:rsid w:val="00CF0F8D"/>
    <w:rsid w:val="00CF10DD"/>
    <w:rsid w:val="00CF157A"/>
    <w:rsid w:val="00CF178F"/>
    <w:rsid w:val="00CF1C5B"/>
    <w:rsid w:val="00CF1EBB"/>
    <w:rsid w:val="00CF2468"/>
    <w:rsid w:val="00CF4184"/>
    <w:rsid w:val="00CF4C43"/>
    <w:rsid w:val="00CF53EE"/>
    <w:rsid w:val="00CF5CFA"/>
    <w:rsid w:val="00CF65D0"/>
    <w:rsid w:val="00D00057"/>
    <w:rsid w:val="00D003E3"/>
    <w:rsid w:val="00D01766"/>
    <w:rsid w:val="00D01AC3"/>
    <w:rsid w:val="00D02A74"/>
    <w:rsid w:val="00D02B9E"/>
    <w:rsid w:val="00D03A6D"/>
    <w:rsid w:val="00D03BDE"/>
    <w:rsid w:val="00D04674"/>
    <w:rsid w:val="00D04B47"/>
    <w:rsid w:val="00D0609A"/>
    <w:rsid w:val="00D0695C"/>
    <w:rsid w:val="00D1048C"/>
    <w:rsid w:val="00D109B9"/>
    <w:rsid w:val="00D1297F"/>
    <w:rsid w:val="00D1531F"/>
    <w:rsid w:val="00D15482"/>
    <w:rsid w:val="00D16F96"/>
    <w:rsid w:val="00D1737A"/>
    <w:rsid w:val="00D173A3"/>
    <w:rsid w:val="00D20A3B"/>
    <w:rsid w:val="00D2146D"/>
    <w:rsid w:val="00D2196E"/>
    <w:rsid w:val="00D21F56"/>
    <w:rsid w:val="00D2229E"/>
    <w:rsid w:val="00D222FE"/>
    <w:rsid w:val="00D22362"/>
    <w:rsid w:val="00D22E91"/>
    <w:rsid w:val="00D242BC"/>
    <w:rsid w:val="00D25390"/>
    <w:rsid w:val="00D25E9B"/>
    <w:rsid w:val="00D25F22"/>
    <w:rsid w:val="00D3039F"/>
    <w:rsid w:val="00D304AD"/>
    <w:rsid w:val="00D30733"/>
    <w:rsid w:val="00D30C7E"/>
    <w:rsid w:val="00D32EBE"/>
    <w:rsid w:val="00D361FD"/>
    <w:rsid w:val="00D3689E"/>
    <w:rsid w:val="00D373BD"/>
    <w:rsid w:val="00D375DD"/>
    <w:rsid w:val="00D37E76"/>
    <w:rsid w:val="00D40EAB"/>
    <w:rsid w:val="00D41235"/>
    <w:rsid w:val="00D41917"/>
    <w:rsid w:val="00D42375"/>
    <w:rsid w:val="00D43194"/>
    <w:rsid w:val="00D43765"/>
    <w:rsid w:val="00D43F55"/>
    <w:rsid w:val="00D45CA3"/>
    <w:rsid w:val="00D4608E"/>
    <w:rsid w:val="00D462C7"/>
    <w:rsid w:val="00D46D4C"/>
    <w:rsid w:val="00D46E90"/>
    <w:rsid w:val="00D47278"/>
    <w:rsid w:val="00D47CDF"/>
    <w:rsid w:val="00D505B6"/>
    <w:rsid w:val="00D50E2B"/>
    <w:rsid w:val="00D5156B"/>
    <w:rsid w:val="00D52274"/>
    <w:rsid w:val="00D53189"/>
    <w:rsid w:val="00D5390F"/>
    <w:rsid w:val="00D547D0"/>
    <w:rsid w:val="00D56BDB"/>
    <w:rsid w:val="00D570EB"/>
    <w:rsid w:val="00D57499"/>
    <w:rsid w:val="00D60109"/>
    <w:rsid w:val="00D6030C"/>
    <w:rsid w:val="00D604DD"/>
    <w:rsid w:val="00D6302F"/>
    <w:rsid w:val="00D634A1"/>
    <w:rsid w:val="00D63DCA"/>
    <w:rsid w:val="00D64079"/>
    <w:rsid w:val="00D64647"/>
    <w:rsid w:val="00D65378"/>
    <w:rsid w:val="00D6576E"/>
    <w:rsid w:val="00D65F8E"/>
    <w:rsid w:val="00D6663E"/>
    <w:rsid w:val="00D668B3"/>
    <w:rsid w:val="00D6772A"/>
    <w:rsid w:val="00D70139"/>
    <w:rsid w:val="00D70944"/>
    <w:rsid w:val="00D7131A"/>
    <w:rsid w:val="00D71987"/>
    <w:rsid w:val="00D71F97"/>
    <w:rsid w:val="00D739B8"/>
    <w:rsid w:val="00D74CFE"/>
    <w:rsid w:val="00D7566D"/>
    <w:rsid w:val="00D763E1"/>
    <w:rsid w:val="00D76488"/>
    <w:rsid w:val="00D76E2B"/>
    <w:rsid w:val="00D80F00"/>
    <w:rsid w:val="00D814E4"/>
    <w:rsid w:val="00D81598"/>
    <w:rsid w:val="00D81C19"/>
    <w:rsid w:val="00D826C5"/>
    <w:rsid w:val="00D8281E"/>
    <w:rsid w:val="00D82A6D"/>
    <w:rsid w:val="00D82E55"/>
    <w:rsid w:val="00D83695"/>
    <w:rsid w:val="00D83AEB"/>
    <w:rsid w:val="00D83AF8"/>
    <w:rsid w:val="00D84BEB"/>
    <w:rsid w:val="00D860B5"/>
    <w:rsid w:val="00D860BC"/>
    <w:rsid w:val="00D86E8B"/>
    <w:rsid w:val="00D874A8"/>
    <w:rsid w:val="00D876FC"/>
    <w:rsid w:val="00D87A76"/>
    <w:rsid w:val="00D87B5C"/>
    <w:rsid w:val="00D915B4"/>
    <w:rsid w:val="00D924EB"/>
    <w:rsid w:val="00D92EBB"/>
    <w:rsid w:val="00D9328B"/>
    <w:rsid w:val="00D93DA1"/>
    <w:rsid w:val="00D9409C"/>
    <w:rsid w:val="00D948AF"/>
    <w:rsid w:val="00D95104"/>
    <w:rsid w:val="00D96106"/>
    <w:rsid w:val="00D9688C"/>
    <w:rsid w:val="00D96D3F"/>
    <w:rsid w:val="00DA04BF"/>
    <w:rsid w:val="00DA0CD3"/>
    <w:rsid w:val="00DA0D67"/>
    <w:rsid w:val="00DA1E10"/>
    <w:rsid w:val="00DA2440"/>
    <w:rsid w:val="00DA3F05"/>
    <w:rsid w:val="00DA4E2B"/>
    <w:rsid w:val="00DA5407"/>
    <w:rsid w:val="00DA62ED"/>
    <w:rsid w:val="00DA6386"/>
    <w:rsid w:val="00DA6F7E"/>
    <w:rsid w:val="00DA7E67"/>
    <w:rsid w:val="00DB030F"/>
    <w:rsid w:val="00DB1DF3"/>
    <w:rsid w:val="00DB2D3B"/>
    <w:rsid w:val="00DB3E3B"/>
    <w:rsid w:val="00DB46AD"/>
    <w:rsid w:val="00DB589B"/>
    <w:rsid w:val="00DB5A0E"/>
    <w:rsid w:val="00DB7388"/>
    <w:rsid w:val="00DC09BC"/>
    <w:rsid w:val="00DC1DEB"/>
    <w:rsid w:val="00DC1FE4"/>
    <w:rsid w:val="00DC3649"/>
    <w:rsid w:val="00DC3B56"/>
    <w:rsid w:val="00DC3EBF"/>
    <w:rsid w:val="00DC599B"/>
    <w:rsid w:val="00DC7169"/>
    <w:rsid w:val="00DD0651"/>
    <w:rsid w:val="00DD15A8"/>
    <w:rsid w:val="00DD16F4"/>
    <w:rsid w:val="00DD20B4"/>
    <w:rsid w:val="00DD286C"/>
    <w:rsid w:val="00DD2D7E"/>
    <w:rsid w:val="00DD555C"/>
    <w:rsid w:val="00DD6F51"/>
    <w:rsid w:val="00DE15BF"/>
    <w:rsid w:val="00DE1820"/>
    <w:rsid w:val="00DE265B"/>
    <w:rsid w:val="00DE32EE"/>
    <w:rsid w:val="00DE3D5C"/>
    <w:rsid w:val="00DE4812"/>
    <w:rsid w:val="00DE485E"/>
    <w:rsid w:val="00DE4C1A"/>
    <w:rsid w:val="00DE69E3"/>
    <w:rsid w:val="00DF0196"/>
    <w:rsid w:val="00DF057A"/>
    <w:rsid w:val="00DF0E39"/>
    <w:rsid w:val="00DF206F"/>
    <w:rsid w:val="00DF3E32"/>
    <w:rsid w:val="00DF3E79"/>
    <w:rsid w:val="00DF42D2"/>
    <w:rsid w:val="00DF4777"/>
    <w:rsid w:val="00DF4DBB"/>
    <w:rsid w:val="00DF6074"/>
    <w:rsid w:val="00DF6358"/>
    <w:rsid w:val="00DF75CE"/>
    <w:rsid w:val="00DF7B68"/>
    <w:rsid w:val="00E02442"/>
    <w:rsid w:val="00E04006"/>
    <w:rsid w:val="00E04595"/>
    <w:rsid w:val="00E04A99"/>
    <w:rsid w:val="00E05DBB"/>
    <w:rsid w:val="00E05F94"/>
    <w:rsid w:val="00E064CF"/>
    <w:rsid w:val="00E06A3A"/>
    <w:rsid w:val="00E06E5D"/>
    <w:rsid w:val="00E073F0"/>
    <w:rsid w:val="00E07462"/>
    <w:rsid w:val="00E07EF1"/>
    <w:rsid w:val="00E10907"/>
    <w:rsid w:val="00E1092E"/>
    <w:rsid w:val="00E12479"/>
    <w:rsid w:val="00E12B5B"/>
    <w:rsid w:val="00E12BD4"/>
    <w:rsid w:val="00E12BEB"/>
    <w:rsid w:val="00E12DF4"/>
    <w:rsid w:val="00E13D94"/>
    <w:rsid w:val="00E14B99"/>
    <w:rsid w:val="00E16C84"/>
    <w:rsid w:val="00E17C08"/>
    <w:rsid w:val="00E20356"/>
    <w:rsid w:val="00E214A1"/>
    <w:rsid w:val="00E21D21"/>
    <w:rsid w:val="00E23375"/>
    <w:rsid w:val="00E233D4"/>
    <w:rsid w:val="00E266FC"/>
    <w:rsid w:val="00E2790C"/>
    <w:rsid w:val="00E27D38"/>
    <w:rsid w:val="00E30217"/>
    <w:rsid w:val="00E30326"/>
    <w:rsid w:val="00E30BC3"/>
    <w:rsid w:val="00E31E39"/>
    <w:rsid w:val="00E379FA"/>
    <w:rsid w:val="00E42E9D"/>
    <w:rsid w:val="00E44272"/>
    <w:rsid w:val="00E4528F"/>
    <w:rsid w:val="00E453A2"/>
    <w:rsid w:val="00E4585F"/>
    <w:rsid w:val="00E462AA"/>
    <w:rsid w:val="00E47004"/>
    <w:rsid w:val="00E471D4"/>
    <w:rsid w:val="00E47F33"/>
    <w:rsid w:val="00E506F3"/>
    <w:rsid w:val="00E50CF7"/>
    <w:rsid w:val="00E51107"/>
    <w:rsid w:val="00E51C58"/>
    <w:rsid w:val="00E52959"/>
    <w:rsid w:val="00E52E28"/>
    <w:rsid w:val="00E531F1"/>
    <w:rsid w:val="00E539C7"/>
    <w:rsid w:val="00E53D3D"/>
    <w:rsid w:val="00E54CAA"/>
    <w:rsid w:val="00E55191"/>
    <w:rsid w:val="00E55839"/>
    <w:rsid w:val="00E55C4B"/>
    <w:rsid w:val="00E5645A"/>
    <w:rsid w:val="00E5663F"/>
    <w:rsid w:val="00E56D46"/>
    <w:rsid w:val="00E56F34"/>
    <w:rsid w:val="00E57BAC"/>
    <w:rsid w:val="00E6034B"/>
    <w:rsid w:val="00E615EB"/>
    <w:rsid w:val="00E61AC6"/>
    <w:rsid w:val="00E61DE6"/>
    <w:rsid w:val="00E62C1B"/>
    <w:rsid w:val="00E62D4F"/>
    <w:rsid w:val="00E62E6E"/>
    <w:rsid w:val="00E640ED"/>
    <w:rsid w:val="00E64C40"/>
    <w:rsid w:val="00E64E71"/>
    <w:rsid w:val="00E651C4"/>
    <w:rsid w:val="00E65E61"/>
    <w:rsid w:val="00E66B80"/>
    <w:rsid w:val="00E67260"/>
    <w:rsid w:val="00E67BAF"/>
    <w:rsid w:val="00E67D3C"/>
    <w:rsid w:val="00E70501"/>
    <w:rsid w:val="00E71498"/>
    <w:rsid w:val="00E71712"/>
    <w:rsid w:val="00E733EE"/>
    <w:rsid w:val="00E73A3A"/>
    <w:rsid w:val="00E75689"/>
    <w:rsid w:val="00E75BE3"/>
    <w:rsid w:val="00E77095"/>
    <w:rsid w:val="00E773DD"/>
    <w:rsid w:val="00E800FD"/>
    <w:rsid w:val="00E811DF"/>
    <w:rsid w:val="00E825CB"/>
    <w:rsid w:val="00E82945"/>
    <w:rsid w:val="00E82A0F"/>
    <w:rsid w:val="00E839E2"/>
    <w:rsid w:val="00E83B7B"/>
    <w:rsid w:val="00E846B4"/>
    <w:rsid w:val="00E84A89"/>
    <w:rsid w:val="00E85E1E"/>
    <w:rsid w:val="00E85E5C"/>
    <w:rsid w:val="00E8741D"/>
    <w:rsid w:val="00E87551"/>
    <w:rsid w:val="00E91575"/>
    <w:rsid w:val="00E91779"/>
    <w:rsid w:val="00E928BF"/>
    <w:rsid w:val="00E943A2"/>
    <w:rsid w:val="00E9474C"/>
    <w:rsid w:val="00E94CEA"/>
    <w:rsid w:val="00E94D83"/>
    <w:rsid w:val="00E94F2B"/>
    <w:rsid w:val="00E94F9A"/>
    <w:rsid w:val="00E952B2"/>
    <w:rsid w:val="00E956AB"/>
    <w:rsid w:val="00E95758"/>
    <w:rsid w:val="00E95ECF"/>
    <w:rsid w:val="00E966B6"/>
    <w:rsid w:val="00E973F3"/>
    <w:rsid w:val="00E97E7E"/>
    <w:rsid w:val="00E97F1E"/>
    <w:rsid w:val="00EA0D8E"/>
    <w:rsid w:val="00EA1642"/>
    <w:rsid w:val="00EA180E"/>
    <w:rsid w:val="00EA1A05"/>
    <w:rsid w:val="00EA1C1F"/>
    <w:rsid w:val="00EA2CD0"/>
    <w:rsid w:val="00EA5392"/>
    <w:rsid w:val="00EA5F68"/>
    <w:rsid w:val="00EA69F5"/>
    <w:rsid w:val="00EA70BF"/>
    <w:rsid w:val="00EA76D9"/>
    <w:rsid w:val="00EB0A70"/>
    <w:rsid w:val="00EB34DA"/>
    <w:rsid w:val="00EB3F8E"/>
    <w:rsid w:val="00EB3FB0"/>
    <w:rsid w:val="00EB620C"/>
    <w:rsid w:val="00EB6AD3"/>
    <w:rsid w:val="00EB6D4F"/>
    <w:rsid w:val="00EB7266"/>
    <w:rsid w:val="00EB7EF0"/>
    <w:rsid w:val="00EC030A"/>
    <w:rsid w:val="00EC08BA"/>
    <w:rsid w:val="00EC0DE6"/>
    <w:rsid w:val="00EC1145"/>
    <w:rsid w:val="00EC1ACC"/>
    <w:rsid w:val="00EC1C7B"/>
    <w:rsid w:val="00EC2055"/>
    <w:rsid w:val="00EC2534"/>
    <w:rsid w:val="00EC2F5F"/>
    <w:rsid w:val="00EC3884"/>
    <w:rsid w:val="00EC3D2C"/>
    <w:rsid w:val="00EC3EA5"/>
    <w:rsid w:val="00EC3F1A"/>
    <w:rsid w:val="00EC49E3"/>
    <w:rsid w:val="00EC4F07"/>
    <w:rsid w:val="00EC6654"/>
    <w:rsid w:val="00EC6C05"/>
    <w:rsid w:val="00EC7252"/>
    <w:rsid w:val="00ED0567"/>
    <w:rsid w:val="00ED196C"/>
    <w:rsid w:val="00ED21E3"/>
    <w:rsid w:val="00ED38D4"/>
    <w:rsid w:val="00ED435E"/>
    <w:rsid w:val="00ED5780"/>
    <w:rsid w:val="00ED5928"/>
    <w:rsid w:val="00ED5960"/>
    <w:rsid w:val="00ED69A5"/>
    <w:rsid w:val="00ED6CC9"/>
    <w:rsid w:val="00ED6F86"/>
    <w:rsid w:val="00ED7258"/>
    <w:rsid w:val="00EE0221"/>
    <w:rsid w:val="00EE0F1A"/>
    <w:rsid w:val="00EE1241"/>
    <w:rsid w:val="00EE13B0"/>
    <w:rsid w:val="00EE3C2D"/>
    <w:rsid w:val="00EE3FEE"/>
    <w:rsid w:val="00EE53C7"/>
    <w:rsid w:val="00EE5696"/>
    <w:rsid w:val="00EE5903"/>
    <w:rsid w:val="00EE6BED"/>
    <w:rsid w:val="00EE712F"/>
    <w:rsid w:val="00EE7E3B"/>
    <w:rsid w:val="00EF030B"/>
    <w:rsid w:val="00EF2C40"/>
    <w:rsid w:val="00EF36F7"/>
    <w:rsid w:val="00EF3ACD"/>
    <w:rsid w:val="00EF3FD7"/>
    <w:rsid w:val="00EF45E1"/>
    <w:rsid w:val="00EF49A5"/>
    <w:rsid w:val="00EF49A6"/>
    <w:rsid w:val="00EF4AC3"/>
    <w:rsid w:val="00EF53B1"/>
    <w:rsid w:val="00EF5551"/>
    <w:rsid w:val="00EF5611"/>
    <w:rsid w:val="00EF593D"/>
    <w:rsid w:val="00EF598C"/>
    <w:rsid w:val="00EF5E89"/>
    <w:rsid w:val="00EF67BB"/>
    <w:rsid w:val="00F00B07"/>
    <w:rsid w:val="00F01EC2"/>
    <w:rsid w:val="00F03295"/>
    <w:rsid w:val="00F03EE5"/>
    <w:rsid w:val="00F04644"/>
    <w:rsid w:val="00F049EF"/>
    <w:rsid w:val="00F04C04"/>
    <w:rsid w:val="00F050FE"/>
    <w:rsid w:val="00F05103"/>
    <w:rsid w:val="00F05667"/>
    <w:rsid w:val="00F058ED"/>
    <w:rsid w:val="00F063A8"/>
    <w:rsid w:val="00F0706F"/>
    <w:rsid w:val="00F0715E"/>
    <w:rsid w:val="00F07A60"/>
    <w:rsid w:val="00F1025B"/>
    <w:rsid w:val="00F10626"/>
    <w:rsid w:val="00F10661"/>
    <w:rsid w:val="00F12838"/>
    <w:rsid w:val="00F134EC"/>
    <w:rsid w:val="00F13B0F"/>
    <w:rsid w:val="00F13D35"/>
    <w:rsid w:val="00F15E3B"/>
    <w:rsid w:val="00F1680F"/>
    <w:rsid w:val="00F16FAC"/>
    <w:rsid w:val="00F17526"/>
    <w:rsid w:val="00F1768E"/>
    <w:rsid w:val="00F21230"/>
    <w:rsid w:val="00F226EF"/>
    <w:rsid w:val="00F25188"/>
    <w:rsid w:val="00F2731F"/>
    <w:rsid w:val="00F3019C"/>
    <w:rsid w:val="00F304CA"/>
    <w:rsid w:val="00F30DE6"/>
    <w:rsid w:val="00F310F6"/>
    <w:rsid w:val="00F32597"/>
    <w:rsid w:val="00F330AB"/>
    <w:rsid w:val="00F33760"/>
    <w:rsid w:val="00F348CC"/>
    <w:rsid w:val="00F35420"/>
    <w:rsid w:val="00F35468"/>
    <w:rsid w:val="00F35787"/>
    <w:rsid w:val="00F35B2E"/>
    <w:rsid w:val="00F35F41"/>
    <w:rsid w:val="00F36493"/>
    <w:rsid w:val="00F366E3"/>
    <w:rsid w:val="00F36ED0"/>
    <w:rsid w:val="00F3749B"/>
    <w:rsid w:val="00F40AC2"/>
    <w:rsid w:val="00F40B97"/>
    <w:rsid w:val="00F416C3"/>
    <w:rsid w:val="00F4275F"/>
    <w:rsid w:val="00F429BC"/>
    <w:rsid w:val="00F445A6"/>
    <w:rsid w:val="00F45181"/>
    <w:rsid w:val="00F45C51"/>
    <w:rsid w:val="00F46376"/>
    <w:rsid w:val="00F47043"/>
    <w:rsid w:val="00F473C0"/>
    <w:rsid w:val="00F509B9"/>
    <w:rsid w:val="00F513F9"/>
    <w:rsid w:val="00F518FA"/>
    <w:rsid w:val="00F5242D"/>
    <w:rsid w:val="00F53F55"/>
    <w:rsid w:val="00F54664"/>
    <w:rsid w:val="00F54A48"/>
    <w:rsid w:val="00F550C2"/>
    <w:rsid w:val="00F55809"/>
    <w:rsid w:val="00F55D00"/>
    <w:rsid w:val="00F55EE1"/>
    <w:rsid w:val="00F565FE"/>
    <w:rsid w:val="00F57293"/>
    <w:rsid w:val="00F57AF2"/>
    <w:rsid w:val="00F57C96"/>
    <w:rsid w:val="00F57ED5"/>
    <w:rsid w:val="00F600D7"/>
    <w:rsid w:val="00F602CA"/>
    <w:rsid w:val="00F605D7"/>
    <w:rsid w:val="00F61110"/>
    <w:rsid w:val="00F613CA"/>
    <w:rsid w:val="00F61B54"/>
    <w:rsid w:val="00F6200F"/>
    <w:rsid w:val="00F62425"/>
    <w:rsid w:val="00F641DC"/>
    <w:rsid w:val="00F644AD"/>
    <w:rsid w:val="00F64962"/>
    <w:rsid w:val="00F65025"/>
    <w:rsid w:val="00F65E4B"/>
    <w:rsid w:val="00F66343"/>
    <w:rsid w:val="00F66E7A"/>
    <w:rsid w:val="00F66E8D"/>
    <w:rsid w:val="00F67600"/>
    <w:rsid w:val="00F70582"/>
    <w:rsid w:val="00F708E3"/>
    <w:rsid w:val="00F71330"/>
    <w:rsid w:val="00F71514"/>
    <w:rsid w:val="00F72082"/>
    <w:rsid w:val="00F72520"/>
    <w:rsid w:val="00F72CA6"/>
    <w:rsid w:val="00F72F36"/>
    <w:rsid w:val="00F73898"/>
    <w:rsid w:val="00F745FE"/>
    <w:rsid w:val="00F74A50"/>
    <w:rsid w:val="00F750AA"/>
    <w:rsid w:val="00F75272"/>
    <w:rsid w:val="00F75A79"/>
    <w:rsid w:val="00F800AB"/>
    <w:rsid w:val="00F805BF"/>
    <w:rsid w:val="00F80615"/>
    <w:rsid w:val="00F808BE"/>
    <w:rsid w:val="00F809E1"/>
    <w:rsid w:val="00F81178"/>
    <w:rsid w:val="00F81848"/>
    <w:rsid w:val="00F822F5"/>
    <w:rsid w:val="00F82E86"/>
    <w:rsid w:val="00F8378A"/>
    <w:rsid w:val="00F83FC6"/>
    <w:rsid w:val="00F84511"/>
    <w:rsid w:val="00F84A93"/>
    <w:rsid w:val="00F85674"/>
    <w:rsid w:val="00F86283"/>
    <w:rsid w:val="00F86AC5"/>
    <w:rsid w:val="00F90BC9"/>
    <w:rsid w:val="00F949AD"/>
    <w:rsid w:val="00F958D0"/>
    <w:rsid w:val="00F96F78"/>
    <w:rsid w:val="00F97E04"/>
    <w:rsid w:val="00FA0B85"/>
    <w:rsid w:val="00FA1816"/>
    <w:rsid w:val="00FA1F70"/>
    <w:rsid w:val="00FA4194"/>
    <w:rsid w:val="00FA4408"/>
    <w:rsid w:val="00FA561B"/>
    <w:rsid w:val="00FA61D3"/>
    <w:rsid w:val="00FA69DF"/>
    <w:rsid w:val="00FA6F7C"/>
    <w:rsid w:val="00FA72F5"/>
    <w:rsid w:val="00FA78BF"/>
    <w:rsid w:val="00FA7E5F"/>
    <w:rsid w:val="00FB2380"/>
    <w:rsid w:val="00FB2568"/>
    <w:rsid w:val="00FB2D15"/>
    <w:rsid w:val="00FB4519"/>
    <w:rsid w:val="00FB584F"/>
    <w:rsid w:val="00FC1355"/>
    <w:rsid w:val="00FC18B4"/>
    <w:rsid w:val="00FC1945"/>
    <w:rsid w:val="00FC1DDD"/>
    <w:rsid w:val="00FC2853"/>
    <w:rsid w:val="00FC2B68"/>
    <w:rsid w:val="00FC2E98"/>
    <w:rsid w:val="00FC33F9"/>
    <w:rsid w:val="00FC3BD5"/>
    <w:rsid w:val="00FC3DAC"/>
    <w:rsid w:val="00FC4752"/>
    <w:rsid w:val="00FC4F3B"/>
    <w:rsid w:val="00FC57C7"/>
    <w:rsid w:val="00FC5834"/>
    <w:rsid w:val="00FC6C5F"/>
    <w:rsid w:val="00FC7670"/>
    <w:rsid w:val="00FC7A9F"/>
    <w:rsid w:val="00FD0052"/>
    <w:rsid w:val="00FD0CC2"/>
    <w:rsid w:val="00FD1296"/>
    <w:rsid w:val="00FD1445"/>
    <w:rsid w:val="00FD1D64"/>
    <w:rsid w:val="00FD1F3B"/>
    <w:rsid w:val="00FD2C13"/>
    <w:rsid w:val="00FD384F"/>
    <w:rsid w:val="00FD5349"/>
    <w:rsid w:val="00FD5480"/>
    <w:rsid w:val="00FD609B"/>
    <w:rsid w:val="00FD7558"/>
    <w:rsid w:val="00FD7607"/>
    <w:rsid w:val="00FE20C1"/>
    <w:rsid w:val="00FE2713"/>
    <w:rsid w:val="00FE35E1"/>
    <w:rsid w:val="00FE3FF8"/>
    <w:rsid w:val="00FE65CC"/>
    <w:rsid w:val="00FE748D"/>
    <w:rsid w:val="00FF0191"/>
    <w:rsid w:val="00FF0EEE"/>
    <w:rsid w:val="00FF0F99"/>
    <w:rsid w:val="00FF1E32"/>
    <w:rsid w:val="00FF1F39"/>
    <w:rsid w:val="00FF2AEF"/>
    <w:rsid w:val="00FF30F6"/>
    <w:rsid w:val="00FF3FB7"/>
    <w:rsid w:val="00FF4891"/>
    <w:rsid w:val="00FF4C43"/>
    <w:rsid w:val="00FF4E78"/>
    <w:rsid w:val="00FF4F60"/>
    <w:rsid w:val="00FF5215"/>
    <w:rsid w:val="00FF56FB"/>
    <w:rsid w:val="00FF63C0"/>
    <w:rsid w:val="34793944"/>
    <w:rsid w:val="3EAA2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2DCBBBCD"/>
  <w15:docId w15:val="{4BAB7B6F-DC9A-4BE6-886D-9B7E10BDE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uiPriority="99" w:unhideWhenUsed="1" w:qFormat="1"/>
    <w:lsdException w:name="index 3" w:uiPriority="99" w:unhideWhenUsed="1"/>
    <w:lsdException w:name="index 4" w:uiPriority="99" w:unhideWhenUsed="1"/>
    <w:lsdException w:name="index 5" w:uiPriority="99" w:unhideWhenUsed="1" w:qFormat="1"/>
    <w:lsdException w:name="index 6" w:qFormat="1"/>
    <w:lsdException w:name="index 7" w:uiPriority="99" w:unhideWhenUsed="1"/>
    <w:lsdException w:name="index 8" w:unhideWhenUsed="1" w:qFormat="1"/>
    <w:lsdException w:name="index 9" w:uiPriority="99"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iPriority="99" w:qFormat="1"/>
    <w:lsdException w:name="header" w:uiPriority="99" w:qFormat="1"/>
    <w:lsdException w:name="footer" w:uiPriority="99" w:qFormat="1"/>
    <w:lsdException w:name="index heading" w:qFormat="1"/>
    <w:lsdException w:name="caption" w:qFormat="1"/>
    <w:lsdException w:name="table of figures" w:qFormat="1"/>
    <w:lsdException w:name="envelope address" w:qFormat="1"/>
    <w:lsdException w:name="envelope return" w:qFormat="1"/>
    <w:lsdException w:name="footnote reference" w:qFormat="1"/>
    <w:lsdException w:name="annotation reference" w:uiPriority="99" w:qFormat="1"/>
    <w:lsdException w:name="line number" w:qFormat="1"/>
    <w:lsdException w:name="page number" w:qFormat="1"/>
    <w:lsdException w:name="endnote reference" w:unhideWhenUsed="1" w:qFormat="1"/>
    <w:lsdException w:name="endnote text" w:unhideWhenUsed="1"/>
    <w:lsdException w:name="table of authorities" w:qFormat="1"/>
    <w:lsdException w:name="macro" w:semiHidden="1" w:uiPriority="99" w:unhideWhenUsed="1"/>
    <w:lsdException w:name="toa heading" w:qFormat="1"/>
    <w:lsdException w:name="List" w:qFormat="1"/>
    <w:lsdException w:name="List Bullet" w:qFormat="1"/>
    <w:lsdException w:name="List Number" w:qFormat="1"/>
    <w:lsdException w:name="List 2" w:qFormat="1"/>
    <w:lsdException w:name="List 3" w:qFormat="1"/>
    <w:lsdException w:name="List Bullet 2" w:qFormat="1"/>
    <w:lsdException w:name="List Bullet 3" w:qFormat="1"/>
    <w:lsdException w:name="List Bullet 4" w:qFormat="1"/>
    <w:lsdException w:name="List Bullet 5" w:qFormat="1"/>
    <w:lsdException w:name="List Number 2" w:qFormat="1"/>
    <w:lsdException w:name="Title" w:qFormat="1"/>
    <w:lsdException w:name="Closing" w:qFormat="1"/>
    <w:lsdException w:name="Default Paragraph Font" w:semiHidden="1" w:uiPriority="1" w:unhideWhenUsed="1" w:qFormat="1"/>
    <w:lsdException w:name="Body Text" w:qFormat="1"/>
    <w:lsdException w:name="Body Text Indent" w:qFormat="1"/>
    <w:lsdException w:name="Subtitle" w:qFormat="1"/>
    <w:lsdException w:name="Salutation" w:qFormat="1"/>
    <w:lsdException w:name="Date" w:qFormat="1"/>
    <w:lsdException w:name="Body Text First Indent"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qFormat="1"/>
    <w:lsdException w:name="HTML Cite" w:qFormat="1"/>
    <w:lsdException w:name="HTML Code" w:qFormat="1"/>
    <w:lsdException w:name="HTML Definition" w:qFormat="1"/>
    <w:lsdException w:name="HTML Keyboard" w:qFormat="1"/>
    <w:lsdException w:name="HTML Sample" w:qFormat="1"/>
    <w:lsdException w:name="HTML Typewriter" w:qFormat="1"/>
    <w:lsdException w:name="HTML Variable"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iPriority="99" w:qFormat="1"/>
    <w:lsdException w:name="Table Grid" w:uiPriority="39" w:qFormat="1"/>
    <w:lsdException w:name="Table Theme" w:semiHidden="1" w:unhideWhenUsed="1" w:qFormat="1"/>
    <w:lsdException w:name="Placeholder Text"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qFormat/>
    <w:pPr>
      <w:keepNext/>
      <w:keepLines/>
      <w:spacing w:before="260" w:after="260" w:line="413" w:lineRule="auto"/>
      <w:outlineLvl w:val="1"/>
    </w:pPr>
    <w:rPr>
      <w:rFonts w:eastAsia="黑体"/>
    </w:rPr>
  </w:style>
  <w:style w:type="paragraph" w:styleId="3">
    <w:name w:val="heading 3"/>
    <w:basedOn w:val="a"/>
    <w:next w:val="a"/>
    <w:link w:val="30"/>
    <w:qFormat/>
    <w:pPr>
      <w:keepNext/>
      <w:keepLines/>
      <w:spacing w:before="260" w:after="260" w:line="413" w:lineRule="auto"/>
      <w:outlineLvl w:val="2"/>
    </w:pPr>
    <w:rPr>
      <w:b/>
      <w:sz w:val="32"/>
    </w:rPr>
  </w:style>
  <w:style w:type="paragraph" w:styleId="40">
    <w:name w:val="heading 4"/>
    <w:basedOn w:val="a"/>
    <w:next w:val="a"/>
    <w:link w:val="41"/>
    <w:qFormat/>
    <w:pPr>
      <w:keepNext/>
      <w:keepLines/>
      <w:spacing w:before="280" w:after="290" w:line="372" w:lineRule="auto"/>
      <w:outlineLvl w:val="3"/>
    </w:pPr>
    <w:rPr>
      <w:rFonts w:ascii="Arial" w:eastAsia="黑体" w:hAnsi="Arial"/>
      <w:b/>
      <w:sz w:val="28"/>
    </w:rPr>
  </w:style>
  <w:style w:type="paragraph" w:styleId="5">
    <w:name w:val="heading 5"/>
    <w:basedOn w:val="a"/>
    <w:next w:val="a"/>
    <w:link w:val="50"/>
    <w:qFormat/>
    <w:pPr>
      <w:keepNext/>
      <w:keepLines/>
      <w:tabs>
        <w:tab w:val="left" w:pos="1008"/>
      </w:tabs>
      <w:spacing w:before="280" w:after="290" w:line="372" w:lineRule="auto"/>
      <w:ind w:left="1008" w:hanging="1008"/>
      <w:outlineLvl w:val="4"/>
    </w:pPr>
    <w:rPr>
      <w:b/>
      <w:sz w:val="28"/>
    </w:rPr>
  </w:style>
  <w:style w:type="paragraph" w:styleId="6">
    <w:name w:val="heading 6"/>
    <w:basedOn w:val="a"/>
    <w:next w:val="a"/>
    <w:link w:val="60"/>
    <w:qFormat/>
    <w:pPr>
      <w:keepNext/>
      <w:keepLines/>
      <w:tabs>
        <w:tab w:val="left" w:pos="1152"/>
      </w:tabs>
      <w:spacing w:before="240" w:after="64" w:line="317" w:lineRule="auto"/>
      <w:ind w:left="1152" w:hanging="1152"/>
      <w:outlineLvl w:val="5"/>
    </w:pPr>
    <w:rPr>
      <w:rFonts w:ascii="Arial" w:eastAsia="黑体" w:hAnsi="Arial"/>
      <w:b/>
    </w:rPr>
  </w:style>
  <w:style w:type="paragraph" w:styleId="7">
    <w:name w:val="heading 7"/>
    <w:basedOn w:val="a"/>
    <w:next w:val="a"/>
    <w:link w:val="70"/>
    <w:qFormat/>
    <w:pPr>
      <w:keepNext/>
      <w:keepLines/>
      <w:tabs>
        <w:tab w:val="left" w:pos="1296"/>
      </w:tabs>
      <w:spacing w:before="240" w:after="64" w:line="317" w:lineRule="auto"/>
      <w:ind w:left="1296" w:hanging="1296"/>
      <w:outlineLvl w:val="6"/>
    </w:pPr>
    <w:rPr>
      <w:b/>
    </w:rPr>
  </w:style>
  <w:style w:type="paragraph" w:styleId="8">
    <w:name w:val="heading 8"/>
    <w:basedOn w:val="a"/>
    <w:next w:val="a"/>
    <w:link w:val="80"/>
    <w:qFormat/>
    <w:pPr>
      <w:keepNext/>
      <w:keepLines/>
      <w:tabs>
        <w:tab w:val="left" w:pos="1440"/>
      </w:tabs>
      <w:spacing w:before="240" w:after="64" w:line="317" w:lineRule="auto"/>
      <w:ind w:left="1440" w:hanging="1440"/>
      <w:outlineLvl w:val="7"/>
    </w:pPr>
    <w:rPr>
      <w:rFonts w:ascii="Arial" w:eastAsia="黑体" w:hAnsi="Arial"/>
    </w:rPr>
  </w:style>
  <w:style w:type="paragraph" w:styleId="9">
    <w:name w:val="heading 9"/>
    <w:basedOn w:val="a"/>
    <w:next w:val="a"/>
    <w:link w:val="90"/>
    <w:qFormat/>
    <w:pPr>
      <w:keepNext/>
      <w:keepLines/>
      <w:tabs>
        <w:tab w:val="left" w:pos="1584"/>
      </w:tabs>
      <w:spacing w:before="240" w:after="64" w:line="317" w:lineRule="auto"/>
      <w:ind w:left="1584" w:hanging="1584"/>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2">
    <w:name w:val="List 3"/>
    <w:basedOn w:val="a"/>
    <w:qFormat/>
    <w:pPr>
      <w:spacing w:line="360" w:lineRule="auto"/>
      <w:ind w:rightChars="100" w:right="210" w:firstLineChars="150" w:firstLine="360"/>
    </w:pPr>
  </w:style>
  <w:style w:type="paragraph" w:styleId="TOC7">
    <w:name w:val="toc 7"/>
    <w:basedOn w:val="a"/>
    <w:next w:val="a"/>
    <w:uiPriority w:val="39"/>
    <w:qFormat/>
    <w:pPr>
      <w:ind w:left="1260"/>
    </w:pPr>
    <w:rPr>
      <w:sz w:val="18"/>
    </w:rPr>
  </w:style>
  <w:style w:type="paragraph" w:styleId="21">
    <w:name w:val="List Number 2"/>
    <w:basedOn w:val="a"/>
    <w:qFormat/>
    <w:pPr>
      <w:tabs>
        <w:tab w:val="left" w:pos="780"/>
      </w:tabs>
      <w:spacing w:line="240" w:lineRule="exact"/>
      <w:ind w:leftChars="200" w:left="780" w:hangingChars="200" w:hanging="360"/>
    </w:pPr>
    <w:rPr>
      <w:rFonts w:ascii="Calibri" w:hAnsi="Calibri"/>
      <w:sz w:val="21"/>
      <w:szCs w:val="22"/>
    </w:rPr>
  </w:style>
  <w:style w:type="paragraph" w:styleId="a3">
    <w:name w:val="table of authorities"/>
    <w:basedOn w:val="a"/>
    <w:next w:val="a"/>
    <w:qFormat/>
    <w:pPr>
      <w:spacing w:line="529" w:lineRule="exact"/>
      <w:ind w:leftChars="200" w:left="420"/>
    </w:pPr>
    <w:rPr>
      <w:rFonts w:ascii="Times New Roman" w:hAnsi="Times New Roman"/>
      <w:szCs w:val="24"/>
    </w:rPr>
  </w:style>
  <w:style w:type="paragraph" w:styleId="a4">
    <w:name w:val="Note Heading"/>
    <w:basedOn w:val="a"/>
    <w:next w:val="a"/>
    <w:link w:val="a5"/>
    <w:qFormat/>
    <w:pPr>
      <w:adjustRightInd w:val="0"/>
      <w:spacing w:line="529" w:lineRule="exact"/>
      <w:ind w:firstLine="200"/>
      <w:textAlignment w:val="baseline"/>
    </w:pPr>
    <w:rPr>
      <w:rFonts w:eastAsia="汉鼎简书宋"/>
      <w:kern w:val="0"/>
    </w:rPr>
  </w:style>
  <w:style w:type="paragraph" w:styleId="42">
    <w:name w:val="List Bullet 4"/>
    <w:basedOn w:val="a"/>
    <w:qFormat/>
    <w:pPr>
      <w:tabs>
        <w:tab w:val="left" w:pos="1620"/>
      </w:tabs>
      <w:spacing w:line="240" w:lineRule="exact"/>
      <w:ind w:leftChars="600" w:left="1620" w:hangingChars="200" w:hanging="360"/>
    </w:pPr>
    <w:rPr>
      <w:rFonts w:ascii="Calibri" w:hAnsi="Calibri"/>
      <w:sz w:val="21"/>
      <w:szCs w:val="22"/>
    </w:rPr>
  </w:style>
  <w:style w:type="paragraph" w:styleId="81">
    <w:name w:val="index 8"/>
    <w:basedOn w:val="a"/>
    <w:next w:val="a"/>
    <w:unhideWhenUsed/>
    <w:qFormat/>
    <w:pPr>
      <w:ind w:left="1920" w:hanging="240"/>
      <w:jc w:val="left"/>
    </w:pPr>
    <w:rPr>
      <w:rFonts w:asciiTheme="minorHAnsi" w:hAnsiTheme="minorHAnsi"/>
      <w:sz w:val="20"/>
    </w:rPr>
  </w:style>
  <w:style w:type="paragraph" w:styleId="a6">
    <w:name w:val="E-mail Signature"/>
    <w:basedOn w:val="a"/>
    <w:link w:val="a7"/>
    <w:qFormat/>
    <w:pPr>
      <w:spacing w:line="240" w:lineRule="exact"/>
    </w:pPr>
    <w:rPr>
      <w:rFonts w:ascii="Calibri" w:hAnsi="Calibri"/>
      <w:sz w:val="21"/>
      <w:szCs w:val="22"/>
    </w:rPr>
  </w:style>
  <w:style w:type="paragraph" w:styleId="a8">
    <w:name w:val="List Number"/>
    <w:basedOn w:val="a"/>
    <w:qFormat/>
    <w:pPr>
      <w:tabs>
        <w:tab w:val="left" w:pos="1047"/>
      </w:tabs>
      <w:spacing w:line="529" w:lineRule="exact"/>
      <w:ind w:left="877" w:hanging="113"/>
    </w:pPr>
    <w:rPr>
      <w:rFonts w:eastAsia="汉鼎简书宋"/>
    </w:rPr>
  </w:style>
  <w:style w:type="paragraph" w:styleId="a9">
    <w:name w:val="Normal Indent"/>
    <w:basedOn w:val="a"/>
    <w:link w:val="11"/>
    <w:qFormat/>
    <w:pPr>
      <w:adjustRightInd w:val="0"/>
      <w:snapToGrid w:val="0"/>
      <w:spacing w:line="460" w:lineRule="exact"/>
      <w:ind w:firstLineChars="200" w:firstLine="560"/>
    </w:pPr>
    <w:rPr>
      <w:sz w:val="28"/>
    </w:rPr>
  </w:style>
  <w:style w:type="paragraph" w:styleId="aa">
    <w:name w:val="caption"/>
    <w:basedOn w:val="a"/>
    <w:next w:val="a"/>
    <w:qFormat/>
    <w:rPr>
      <w:rFonts w:ascii="Arial" w:eastAsia="黑体" w:hAnsi="Arial"/>
      <w:sz w:val="20"/>
    </w:rPr>
  </w:style>
  <w:style w:type="paragraph" w:styleId="51">
    <w:name w:val="index 5"/>
    <w:basedOn w:val="a"/>
    <w:next w:val="a"/>
    <w:uiPriority w:val="99"/>
    <w:unhideWhenUsed/>
    <w:qFormat/>
    <w:pPr>
      <w:ind w:left="1200" w:hanging="240"/>
      <w:jc w:val="left"/>
    </w:pPr>
    <w:rPr>
      <w:rFonts w:asciiTheme="minorHAnsi" w:hAnsiTheme="minorHAnsi"/>
      <w:sz w:val="20"/>
    </w:rPr>
  </w:style>
  <w:style w:type="paragraph" w:styleId="ab">
    <w:name w:val="List Bullet"/>
    <w:basedOn w:val="ac"/>
    <w:qFormat/>
    <w:pPr>
      <w:widowControl/>
      <w:spacing w:line="529" w:lineRule="exact"/>
      <w:ind w:left="1800" w:firstLineChars="0" w:hanging="360"/>
    </w:pPr>
    <w:rPr>
      <w:rFonts w:ascii="Verdana" w:eastAsia="汉鼎简书宋" w:hAnsi="Verdana"/>
      <w:kern w:val="0"/>
    </w:rPr>
  </w:style>
  <w:style w:type="paragraph" w:styleId="ac">
    <w:name w:val="List"/>
    <w:basedOn w:val="a"/>
    <w:qFormat/>
    <w:pPr>
      <w:ind w:left="200" w:hangingChars="200" w:hanging="200"/>
    </w:pPr>
  </w:style>
  <w:style w:type="paragraph" w:styleId="ad">
    <w:name w:val="envelope address"/>
    <w:basedOn w:val="a"/>
    <w:qFormat/>
    <w:pPr>
      <w:framePr w:w="7920" w:h="1980" w:hRule="exact" w:hSpace="180" w:wrap="around" w:hAnchor="page" w:xAlign="center" w:yAlign="bottom"/>
      <w:snapToGrid w:val="0"/>
      <w:spacing w:line="240" w:lineRule="exact"/>
      <w:ind w:leftChars="1400" w:left="100"/>
    </w:pPr>
    <w:rPr>
      <w:rFonts w:ascii="Arial" w:hAnsi="Arial" w:cs="Arial"/>
      <w:szCs w:val="24"/>
    </w:rPr>
  </w:style>
  <w:style w:type="paragraph" w:styleId="ae">
    <w:name w:val="Document Map"/>
    <w:basedOn w:val="a"/>
    <w:link w:val="af"/>
    <w:qFormat/>
    <w:pPr>
      <w:shd w:val="clear" w:color="auto" w:fill="000080"/>
    </w:pPr>
    <w:rPr>
      <w:sz w:val="21"/>
    </w:rPr>
  </w:style>
  <w:style w:type="paragraph" w:styleId="af0">
    <w:name w:val="toa heading"/>
    <w:basedOn w:val="a"/>
    <w:next w:val="a"/>
    <w:qFormat/>
    <w:pPr>
      <w:spacing w:before="120"/>
    </w:pPr>
    <w:rPr>
      <w:rFonts w:ascii="Arial" w:hAnsi="Arial"/>
    </w:rPr>
  </w:style>
  <w:style w:type="paragraph" w:styleId="af1">
    <w:name w:val="annotation text"/>
    <w:basedOn w:val="a"/>
    <w:link w:val="af2"/>
    <w:uiPriority w:val="99"/>
    <w:qFormat/>
    <w:pPr>
      <w:spacing w:line="529" w:lineRule="exact"/>
      <w:ind w:firstLineChars="200" w:firstLine="200"/>
    </w:pPr>
  </w:style>
  <w:style w:type="paragraph" w:styleId="61">
    <w:name w:val="index 6"/>
    <w:basedOn w:val="a"/>
    <w:next w:val="a"/>
    <w:qFormat/>
    <w:pPr>
      <w:ind w:left="1440" w:hanging="240"/>
      <w:jc w:val="left"/>
    </w:pPr>
    <w:rPr>
      <w:rFonts w:asciiTheme="minorHAnsi" w:hAnsiTheme="minorHAnsi"/>
      <w:sz w:val="20"/>
    </w:rPr>
  </w:style>
  <w:style w:type="paragraph" w:styleId="af3">
    <w:name w:val="Salutation"/>
    <w:basedOn w:val="a"/>
    <w:next w:val="a"/>
    <w:link w:val="af4"/>
    <w:qFormat/>
    <w:rPr>
      <w:szCs w:val="24"/>
    </w:rPr>
  </w:style>
  <w:style w:type="paragraph" w:styleId="33">
    <w:name w:val="Body Text 3"/>
    <w:basedOn w:val="a"/>
    <w:link w:val="34"/>
    <w:qFormat/>
    <w:pPr>
      <w:spacing w:after="120"/>
    </w:pPr>
    <w:rPr>
      <w:sz w:val="16"/>
    </w:rPr>
  </w:style>
  <w:style w:type="paragraph" w:styleId="af5">
    <w:name w:val="Closing"/>
    <w:basedOn w:val="a"/>
    <w:link w:val="af6"/>
    <w:qFormat/>
    <w:pPr>
      <w:widowControl/>
      <w:ind w:leftChars="2100" w:left="2100"/>
    </w:pPr>
  </w:style>
  <w:style w:type="paragraph" w:styleId="35">
    <w:name w:val="List Bullet 3"/>
    <w:basedOn w:val="a"/>
    <w:qFormat/>
    <w:pPr>
      <w:tabs>
        <w:tab w:val="left" w:pos="1200"/>
      </w:tabs>
      <w:spacing w:line="240" w:lineRule="exact"/>
      <w:ind w:leftChars="400" w:left="1200" w:hangingChars="200" w:hanging="360"/>
    </w:pPr>
    <w:rPr>
      <w:rFonts w:ascii="Calibri" w:hAnsi="Calibri"/>
      <w:sz w:val="21"/>
      <w:szCs w:val="22"/>
    </w:rPr>
  </w:style>
  <w:style w:type="paragraph" w:styleId="af7">
    <w:name w:val="Body Text"/>
    <w:basedOn w:val="a"/>
    <w:link w:val="af8"/>
    <w:qFormat/>
    <w:pPr>
      <w:adjustRightInd w:val="0"/>
      <w:snapToGrid w:val="0"/>
    </w:pPr>
    <w:rPr>
      <w:rFonts w:ascii="仿宋_GB2312" w:eastAsia="仿宋_GB2312"/>
      <w:color w:val="000000"/>
      <w:sz w:val="21"/>
    </w:rPr>
  </w:style>
  <w:style w:type="paragraph" w:styleId="af9">
    <w:name w:val="Body Text Indent"/>
    <w:basedOn w:val="a"/>
    <w:link w:val="afa"/>
    <w:qFormat/>
    <w:pPr>
      <w:spacing w:after="120"/>
      <w:ind w:leftChars="200" w:left="420"/>
    </w:pPr>
    <w:rPr>
      <w:sz w:val="21"/>
    </w:rPr>
  </w:style>
  <w:style w:type="paragraph" w:styleId="36">
    <w:name w:val="List Number 3"/>
    <w:basedOn w:val="a"/>
    <w:pPr>
      <w:tabs>
        <w:tab w:val="left" w:pos="1200"/>
      </w:tabs>
      <w:spacing w:line="240" w:lineRule="exact"/>
      <w:ind w:leftChars="400" w:left="1200" w:hangingChars="200" w:hanging="360"/>
    </w:pPr>
    <w:rPr>
      <w:rFonts w:ascii="Calibri" w:hAnsi="Calibri"/>
      <w:sz w:val="21"/>
      <w:szCs w:val="22"/>
    </w:rPr>
  </w:style>
  <w:style w:type="paragraph" w:styleId="22">
    <w:name w:val="List 2"/>
    <w:basedOn w:val="a"/>
    <w:qFormat/>
    <w:pPr>
      <w:spacing w:line="360" w:lineRule="auto"/>
      <w:ind w:leftChars="200" w:left="100" w:hangingChars="200" w:hanging="200"/>
    </w:pPr>
    <w:rPr>
      <w:rFonts w:ascii="Calibri" w:eastAsia="仿宋_GB2312" w:hAnsi="Calibri"/>
      <w:sz w:val="28"/>
      <w:szCs w:val="22"/>
    </w:rPr>
  </w:style>
  <w:style w:type="paragraph" w:styleId="afb">
    <w:name w:val="List Continue"/>
    <w:basedOn w:val="a"/>
    <w:pPr>
      <w:spacing w:after="120" w:line="240" w:lineRule="exact"/>
      <w:ind w:leftChars="200" w:left="420"/>
    </w:pPr>
    <w:rPr>
      <w:rFonts w:ascii="Calibri" w:hAnsi="Calibri"/>
      <w:sz w:val="21"/>
      <w:szCs w:val="22"/>
    </w:rPr>
  </w:style>
  <w:style w:type="paragraph" w:styleId="afc">
    <w:name w:val="Block Text"/>
    <w:basedOn w:val="a"/>
    <w:qFormat/>
    <w:pPr>
      <w:tabs>
        <w:tab w:val="left" w:pos="210"/>
        <w:tab w:val="left" w:pos="1050"/>
        <w:tab w:val="left" w:pos="1155"/>
        <w:tab w:val="left" w:pos="1365"/>
      </w:tabs>
      <w:ind w:left="210" w:firstLine="525"/>
    </w:pPr>
    <w:rPr>
      <w:sz w:val="32"/>
    </w:rPr>
  </w:style>
  <w:style w:type="paragraph" w:styleId="23">
    <w:name w:val="List Bullet 2"/>
    <w:basedOn w:val="ab"/>
    <w:qFormat/>
    <w:pPr>
      <w:ind w:left="2160"/>
    </w:pPr>
  </w:style>
  <w:style w:type="paragraph" w:styleId="HTML">
    <w:name w:val="HTML Address"/>
    <w:basedOn w:val="a"/>
    <w:link w:val="HTML0"/>
    <w:pPr>
      <w:spacing w:line="240" w:lineRule="exact"/>
    </w:pPr>
    <w:rPr>
      <w:rFonts w:ascii="Calibri" w:hAnsi="Calibri"/>
      <w:i/>
      <w:iCs/>
      <w:sz w:val="21"/>
      <w:szCs w:val="22"/>
    </w:rPr>
  </w:style>
  <w:style w:type="paragraph" w:styleId="43">
    <w:name w:val="index 4"/>
    <w:basedOn w:val="a"/>
    <w:next w:val="a"/>
    <w:uiPriority w:val="99"/>
    <w:unhideWhenUsed/>
    <w:pPr>
      <w:ind w:left="960" w:hanging="240"/>
      <w:jc w:val="left"/>
    </w:pPr>
    <w:rPr>
      <w:rFonts w:asciiTheme="minorHAnsi" w:hAnsiTheme="minorHAnsi"/>
      <w:sz w:val="20"/>
    </w:rPr>
  </w:style>
  <w:style w:type="paragraph" w:styleId="TOC5">
    <w:name w:val="toc 5"/>
    <w:basedOn w:val="a"/>
    <w:next w:val="a"/>
    <w:uiPriority w:val="39"/>
    <w:qFormat/>
    <w:pPr>
      <w:ind w:left="840"/>
    </w:pPr>
    <w:rPr>
      <w:sz w:val="18"/>
    </w:rPr>
  </w:style>
  <w:style w:type="paragraph" w:styleId="TOC3">
    <w:name w:val="toc 3"/>
    <w:basedOn w:val="a"/>
    <w:next w:val="a"/>
    <w:uiPriority w:val="39"/>
    <w:qFormat/>
    <w:pPr>
      <w:ind w:left="420"/>
    </w:pPr>
    <w:rPr>
      <w:i/>
      <w:sz w:val="20"/>
    </w:rPr>
  </w:style>
  <w:style w:type="paragraph" w:styleId="afd">
    <w:name w:val="Plain Text"/>
    <w:basedOn w:val="a"/>
    <w:link w:val="afe"/>
    <w:qFormat/>
    <w:pPr>
      <w:spacing w:line="500" w:lineRule="exact"/>
      <w:ind w:firstLineChars="200" w:firstLine="200"/>
    </w:pPr>
    <w:rPr>
      <w:rFonts w:eastAsia="汉鼎简书宋" w:hAnsi="Courier New"/>
    </w:rPr>
  </w:style>
  <w:style w:type="paragraph" w:styleId="52">
    <w:name w:val="List Bullet 5"/>
    <w:basedOn w:val="a"/>
    <w:qFormat/>
    <w:pPr>
      <w:tabs>
        <w:tab w:val="left" w:pos="2040"/>
      </w:tabs>
      <w:ind w:leftChars="800" w:left="2040" w:hangingChars="200" w:hanging="360"/>
    </w:pPr>
    <w:rPr>
      <w:rFonts w:hint="eastAsia"/>
    </w:rPr>
  </w:style>
  <w:style w:type="paragraph" w:styleId="44">
    <w:name w:val="List Number 4"/>
    <w:basedOn w:val="a"/>
    <w:pPr>
      <w:tabs>
        <w:tab w:val="left" w:pos="1620"/>
      </w:tabs>
      <w:spacing w:line="240" w:lineRule="exact"/>
      <w:ind w:leftChars="600" w:left="1620" w:hangingChars="200" w:hanging="360"/>
    </w:pPr>
    <w:rPr>
      <w:rFonts w:ascii="Calibri" w:hAnsi="Calibri"/>
      <w:sz w:val="21"/>
      <w:szCs w:val="22"/>
    </w:rPr>
  </w:style>
  <w:style w:type="paragraph" w:styleId="TOC8">
    <w:name w:val="toc 8"/>
    <w:basedOn w:val="a"/>
    <w:next w:val="a"/>
    <w:uiPriority w:val="39"/>
    <w:qFormat/>
    <w:pPr>
      <w:ind w:left="1470"/>
    </w:pPr>
    <w:rPr>
      <w:sz w:val="18"/>
    </w:rPr>
  </w:style>
  <w:style w:type="paragraph" w:styleId="37">
    <w:name w:val="index 3"/>
    <w:basedOn w:val="a"/>
    <w:next w:val="a"/>
    <w:uiPriority w:val="99"/>
    <w:unhideWhenUsed/>
    <w:pPr>
      <w:ind w:left="720" w:hanging="240"/>
      <w:jc w:val="left"/>
    </w:pPr>
    <w:rPr>
      <w:rFonts w:asciiTheme="minorHAnsi" w:hAnsiTheme="minorHAnsi"/>
      <w:sz w:val="20"/>
    </w:rPr>
  </w:style>
  <w:style w:type="paragraph" w:styleId="aff">
    <w:name w:val="Date"/>
    <w:basedOn w:val="a"/>
    <w:next w:val="a"/>
    <w:link w:val="aff0"/>
    <w:qFormat/>
    <w:pPr>
      <w:ind w:leftChars="2500" w:left="100"/>
    </w:pPr>
    <w:rPr>
      <w:sz w:val="21"/>
    </w:rPr>
  </w:style>
  <w:style w:type="paragraph" w:styleId="24">
    <w:name w:val="Body Text Indent 2"/>
    <w:basedOn w:val="a"/>
    <w:link w:val="25"/>
    <w:qFormat/>
    <w:pPr>
      <w:spacing w:after="120" w:line="480" w:lineRule="auto"/>
      <w:ind w:leftChars="200" w:left="420"/>
    </w:pPr>
    <w:rPr>
      <w:sz w:val="21"/>
    </w:rPr>
  </w:style>
  <w:style w:type="paragraph" w:styleId="aff1">
    <w:name w:val="endnote text"/>
    <w:basedOn w:val="a"/>
    <w:link w:val="aff2"/>
    <w:unhideWhenUsed/>
    <w:pPr>
      <w:snapToGrid w:val="0"/>
      <w:spacing w:line="240" w:lineRule="exact"/>
      <w:jc w:val="left"/>
    </w:pPr>
    <w:rPr>
      <w:rFonts w:ascii="Calibri" w:hAnsi="Calibri"/>
      <w:sz w:val="21"/>
      <w:szCs w:val="22"/>
    </w:rPr>
  </w:style>
  <w:style w:type="paragraph" w:styleId="53">
    <w:name w:val="List Continue 5"/>
    <w:basedOn w:val="a"/>
    <w:pPr>
      <w:spacing w:after="120" w:line="240" w:lineRule="exact"/>
      <w:ind w:leftChars="1000" w:left="2100"/>
    </w:pPr>
    <w:rPr>
      <w:rFonts w:ascii="Calibri" w:hAnsi="Calibri"/>
      <w:sz w:val="21"/>
      <w:szCs w:val="22"/>
    </w:rPr>
  </w:style>
  <w:style w:type="paragraph" w:styleId="aff3">
    <w:name w:val="Balloon Text"/>
    <w:basedOn w:val="a"/>
    <w:link w:val="aff4"/>
    <w:uiPriority w:val="99"/>
    <w:qFormat/>
    <w:rPr>
      <w:sz w:val="18"/>
    </w:rPr>
  </w:style>
  <w:style w:type="paragraph" w:styleId="aff5">
    <w:name w:val="footer"/>
    <w:basedOn w:val="a"/>
    <w:link w:val="aff6"/>
    <w:uiPriority w:val="99"/>
    <w:qFormat/>
    <w:pPr>
      <w:tabs>
        <w:tab w:val="center" w:pos="4153"/>
        <w:tab w:val="right" w:pos="8306"/>
      </w:tabs>
      <w:snapToGrid w:val="0"/>
    </w:pPr>
    <w:rPr>
      <w:sz w:val="18"/>
    </w:rPr>
  </w:style>
  <w:style w:type="paragraph" w:styleId="aff7">
    <w:name w:val="envelope return"/>
    <w:basedOn w:val="a"/>
    <w:qFormat/>
    <w:pPr>
      <w:snapToGrid w:val="0"/>
      <w:spacing w:line="529" w:lineRule="exact"/>
      <w:ind w:firstLine="482"/>
    </w:pPr>
    <w:rPr>
      <w:rFonts w:ascii="Arial" w:hAnsi="Arial"/>
    </w:rPr>
  </w:style>
  <w:style w:type="paragraph" w:styleId="aff8">
    <w:name w:val="header"/>
    <w:basedOn w:val="a"/>
    <w:link w:val="aff9"/>
    <w:uiPriority w:val="99"/>
    <w:qFormat/>
    <w:pPr>
      <w:pBdr>
        <w:bottom w:val="single" w:sz="6" w:space="1" w:color="auto"/>
      </w:pBdr>
      <w:tabs>
        <w:tab w:val="center" w:pos="4153"/>
        <w:tab w:val="right" w:pos="8306"/>
      </w:tabs>
      <w:snapToGrid w:val="0"/>
    </w:pPr>
    <w:rPr>
      <w:sz w:val="18"/>
    </w:rPr>
  </w:style>
  <w:style w:type="paragraph" w:styleId="affa">
    <w:name w:val="Signature"/>
    <w:basedOn w:val="a"/>
    <w:link w:val="affb"/>
    <w:pPr>
      <w:keepNext/>
      <w:spacing w:line="360" w:lineRule="auto"/>
      <w:ind w:leftChars="2100" w:left="100" w:firstLine="567"/>
    </w:pPr>
    <w:rPr>
      <w:rFonts w:ascii="Times New Roman" w:eastAsia="仿宋_GB2312" w:hAnsi="Times New Roman"/>
      <w:sz w:val="28"/>
    </w:rPr>
  </w:style>
  <w:style w:type="paragraph" w:styleId="TOC1">
    <w:name w:val="toc 1"/>
    <w:basedOn w:val="a"/>
    <w:next w:val="a"/>
    <w:uiPriority w:val="39"/>
    <w:qFormat/>
    <w:pPr>
      <w:tabs>
        <w:tab w:val="right" w:leader="hyphen" w:pos="8892"/>
      </w:tabs>
      <w:spacing w:before="120" w:after="120" w:line="500" w:lineRule="exact"/>
    </w:pPr>
    <w:rPr>
      <w:b/>
      <w:caps/>
      <w:sz w:val="28"/>
    </w:rPr>
  </w:style>
  <w:style w:type="paragraph" w:styleId="45">
    <w:name w:val="List Continue 4"/>
    <w:basedOn w:val="a"/>
    <w:pPr>
      <w:spacing w:after="120" w:line="240" w:lineRule="exact"/>
      <w:ind w:leftChars="800" w:left="1680"/>
    </w:pPr>
    <w:rPr>
      <w:rFonts w:ascii="Calibri" w:hAnsi="Calibri"/>
      <w:sz w:val="21"/>
      <w:szCs w:val="22"/>
    </w:rPr>
  </w:style>
  <w:style w:type="paragraph" w:styleId="TOC4">
    <w:name w:val="toc 4"/>
    <w:basedOn w:val="a"/>
    <w:next w:val="a"/>
    <w:uiPriority w:val="39"/>
    <w:qFormat/>
    <w:pPr>
      <w:ind w:left="630"/>
    </w:pPr>
    <w:rPr>
      <w:sz w:val="18"/>
    </w:rPr>
  </w:style>
  <w:style w:type="paragraph" w:styleId="affc">
    <w:name w:val="index heading"/>
    <w:basedOn w:val="a"/>
    <w:next w:val="12"/>
    <w:qFormat/>
    <w:pPr>
      <w:spacing w:before="120" w:after="120"/>
      <w:jc w:val="left"/>
    </w:pPr>
    <w:rPr>
      <w:rFonts w:asciiTheme="minorHAnsi" w:hAnsiTheme="minorHAnsi"/>
      <w:b/>
      <w:bCs/>
      <w:i/>
      <w:iCs/>
      <w:sz w:val="20"/>
    </w:rPr>
  </w:style>
  <w:style w:type="paragraph" w:styleId="12">
    <w:name w:val="index 1"/>
    <w:basedOn w:val="a"/>
    <w:next w:val="a"/>
    <w:qFormat/>
    <w:pPr>
      <w:ind w:left="240" w:hanging="240"/>
      <w:jc w:val="left"/>
    </w:pPr>
    <w:rPr>
      <w:rFonts w:asciiTheme="minorHAnsi" w:hAnsiTheme="minorHAnsi"/>
      <w:sz w:val="20"/>
    </w:rPr>
  </w:style>
  <w:style w:type="paragraph" w:styleId="affd">
    <w:name w:val="Subtitle"/>
    <w:basedOn w:val="a"/>
    <w:next w:val="a"/>
    <w:link w:val="affe"/>
    <w:qFormat/>
    <w:pPr>
      <w:topLinePunct/>
      <w:spacing w:line="529" w:lineRule="exact"/>
      <w:ind w:firstLineChars="200" w:firstLine="200"/>
    </w:pPr>
    <w:rPr>
      <w:rFonts w:ascii="Arial" w:eastAsia="黑体" w:hAnsi="Arial"/>
      <w:b/>
      <w:sz w:val="28"/>
    </w:rPr>
  </w:style>
  <w:style w:type="paragraph" w:styleId="54">
    <w:name w:val="List Number 5"/>
    <w:basedOn w:val="a"/>
    <w:pPr>
      <w:tabs>
        <w:tab w:val="left" w:pos="2040"/>
      </w:tabs>
      <w:spacing w:line="240" w:lineRule="exact"/>
      <w:ind w:leftChars="800" w:left="2040" w:hangingChars="200" w:hanging="360"/>
    </w:pPr>
    <w:rPr>
      <w:rFonts w:ascii="Calibri" w:hAnsi="Calibri"/>
      <w:sz w:val="21"/>
      <w:szCs w:val="22"/>
    </w:rPr>
  </w:style>
  <w:style w:type="paragraph" w:styleId="afff">
    <w:name w:val="footnote text"/>
    <w:basedOn w:val="a"/>
    <w:link w:val="afff0"/>
    <w:qFormat/>
    <w:pPr>
      <w:snapToGrid w:val="0"/>
    </w:pPr>
    <w:rPr>
      <w:sz w:val="18"/>
    </w:rPr>
  </w:style>
  <w:style w:type="paragraph" w:styleId="TOC6">
    <w:name w:val="toc 6"/>
    <w:basedOn w:val="a"/>
    <w:next w:val="a"/>
    <w:uiPriority w:val="39"/>
    <w:qFormat/>
    <w:pPr>
      <w:ind w:left="1050"/>
    </w:pPr>
    <w:rPr>
      <w:sz w:val="18"/>
    </w:rPr>
  </w:style>
  <w:style w:type="paragraph" w:styleId="55">
    <w:name w:val="List 5"/>
    <w:basedOn w:val="a"/>
    <w:pPr>
      <w:spacing w:line="240" w:lineRule="exact"/>
      <w:ind w:leftChars="800" w:left="100" w:hangingChars="200" w:hanging="200"/>
    </w:pPr>
    <w:rPr>
      <w:rFonts w:ascii="Calibri" w:hAnsi="Calibri"/>
      <w:sz w:val="21"/>
      <w:szCs w:val="22"/>
    </w:rPr>
  </w:style>
  <w:style w:type="paragraph" w:styleId="38">
    <w:name w:val="Body Text Indent 3"/>
    <w:basedOn w:val="a"/>
    <w:link w:val="39"/>
    <w:qFormat/>
    <w:pPr>
      <w:spacing w:after="120"/>
      <w:ind w:leftChars="200" w:left="420"/>
    </w:pPr>
    <w:rPr>
      <w:sz w:val="16"/>
    </w:rPr>
  </w:style>
  <w:style w:type="paragraph" w:styleId="71">
    <w:name w:val="index 7"/>
    <w:basedOn w:val="a"/>
    <w:next w:val="a"/>
    <w:uiPriority w:val="99"/>
    <w:unhideWhenUsed/>
    <w:pPr>
      <w:ind w:left="1680" w:hanging="240"/>
      <w:jc w:val="left"/>
    </w:pPr>
    <w:rPr>
      <w:rFonts w:asciiTheme="minorHAnsi" w:hAnsiTheme="minorHAnsi"/>
      <w:sz w:val="20"/>
    </w:rPr>
  </w:style>
  <w:style w:type="paragraph" w:styleId="91">
    <w:name w:val="index 9"/>
    <w:basedOn w:val="a"/>
    <w:next w:val="a"/>
    <w:uiPriority w:val="99"/>
    <w:unhideWhenUsed/>
    <w:pPr>
      <w:ind w:left="2160" w:hanging="240"/>
      <w:jc w:val="left"/>
    </w:pPr>
    <w:rPr>
      <w:rFonts w:asciiTheme="minorHAnsi" w:hAnsiTheme="minorHAnsi"/>
      <w:sz w:val="20"/>
    </w:rPr>
  </w:style>
  <w:style w:type="paragraph" w:styleId="afff1">
    <w:name w:val="table of figures"/>
    <w:basedOn w:val="a"/>
    <w:next w:val="a"/>
    <w:qFormat/>
    <w:pPr>
      <w:adjustRightInd w:val="0"/>
      <w:spacing w:line="529" w:lineRule="exact"/>
      <w:ind w:leftChars="200" w:left="200" w:hangingChars="200" w:hanging="200"/>
      <w:textAlignment w:val="baseline"/>
    </w:pPr>
    <w:rPr>
      <w:rFonts w:eastAsia="汉鼎简书宋"/>
      <w:kern w:val="0"/>
    </w:rPr>
  </w:style>
  <w:style w:type="paragraph" w:styleId="TOC2">
    <w:name w:val="toc 2"/>
    <w:basedOn w:val="a"/>
    <w:next w:val="a"/>
    <w:uiPriority w:val="39"/>
    <w:qFormat/>
    <w:pPr>
      <w:tabs>
        <w:tab w:val="right" w:leader="hyphen" w:pos="8892"/>
      </w:tabs>
      <w:spacing w:line="500" w:lineRule="exact"/>
      <w:ind w:left="210"/>
    </w:pPr>
    <w:rPr>
      <w:smallCaps/>
    </w:rPr>
  </w:style>
  <w:style w:type="paragraph" w:styleId="TOC9">
    <w:name w:val="toc 9"/>
    <w:basedOn w:val="a"/>
    <w:next w:val="a"/>
    <w:uiPriority w:val="39"/>
    <w:qFormat/>
    <w:pPr>
      <w:ind w:left="1680"/>
    </w:pPr>
    <w:rPr>
      <w:sz w:val="18"/>
    </w:rPr>
  </w:style>
  <w:style w:type="paragraph" w:styleId="26">
    <w:name w:val="Body Text 2"/>
    <w:basedOn w:val="a"/>
    <w:link w:val="27"/>
    <w:qFormat/>
    <w:pPr>
      <w:spacing w:after="120" w:line="480" w:lineRule="auto"/>
    </w:pPr>
  </w:style>
  <w:style w:type="paragraph" w:styleId="46">
    <w:name w:val="List 4"/>
    <w:basedOn w:val="a"/>
    <w:pPr>
      <w:spacing w:line="240" w:lineRule="exact"/>
      <w:ind w:leftChars="600" w:left="100" w:hangingChars="200" w:hanging="200"/>
    </w:pPr>
    <w:rPr>
      <w:rFonts w:ascii="Calibri" w:hAnsi="Calibri"/>
      <w:sz w:val="21"/>
      <w:szCs w:val="22"/>
    </w:rPr>
  </w:style>
  <w:style w:type="paragraph" w:styleId="28">
    <w:name w:val="List Continue 2"/>
    <w:basedOn w:val="a"/>
    <w:pPr>
      <w:spacing w:after="120" w:line="240" w:lineRule="exact"/>
      <w:ind w:leftChars="400" w:left="840"/>
    </w:pPr>
    <w:rPr>
      <w:rFonts w:ascii="Calibri" w:hAnsi="Calibri"/>
      <w:sz w:val="21"/>
      <w:szCs w:val="22"/>
    </w:r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spacing w:line="240" w:lineRule="exact"/>
      <w:ind w:leftChars="500" w:left="1080" w:hangingChars="500" w:hanging="1080"/>
    </w:pPr>
    <w:rPr>
      <w:rFonts w:ascii="Arial" w:hAnsi="Arial" w:cs="Arial"/>
      <w:szCs w:val="24"/>
    </w:rPr>
  </w:style>
  <w:style w:type="paragraph" w:styleId="HTML1">
    <w:name w:val="HTML Preformatted"/>
    <w:basedOn w:val="a"/>
    <w:link w:val="HTML2"/>
    <w:pPr>
      <w:spacing w:line="240" w:lineRule="exact"/>
    </w:pPr>
    <w:rPr>
      <w:rFonts w:ascii="Courier New" w:hAnsi="Courier New" w:cs="Courier New"/>
      <w:sz w:val="20"/>
    </w:rPr>
  </w:style>
  <w:style w:type="paragraph" w:styleId="afff4">
    <w:name w:val="Normal (Web)"/>
    <w:basedOn w:val="a"/>
    <w:uiPriority w:val="99"/>
    <w:qFormat/>
    <w:pPr>
      <w:widowControl/>
      <w:spacing w:before="100" w:beforeAutospacing="1" w:after="100" w:afterAutospacing="1"/>
    </w:pPr>
    <w:rPr>
      <w:color w:val="000000"/>
      <w:kern w:val="0"/>
    </w:rPr>
  </w:style>
  <w:style w:type="paragraph" w:styleId="3a">
    <w:name w:val="List Continue 3"/>
    <w:basedOn w:val="a"/>
    <w:pPr>
      <w:spacing w:after="120" w:line="240" w:lineRule="exact"/>
      <w:ind w:leftChars="600" w:left="1260"/>
    </w:pPr>
    <w:rPr>
      <w:rFonts w:ascii="Calibri" w:hAnsi="Calibri"/>
      <w:sz w:val="21"/>
      <w:szCs w:val="22"/>
    </w:rPr>
  </w:style>
  <w:style w:type="paragraph" w:styleId="29">
    <w:name w:val="index 2"/>
    <w:basedOn w:val="a"/>
    <w:next w:val="a"/>
    <w:uiPriority w:val="99"/>
    <w:unhideWhenUsed/>
    <w:qFormat/>
    <w:pPr>
      <w:ind w:left="480" w:hanging="240"/>
      <w:jc w:val="left"/>
    </w:pPr>
    <w:rPr>
      <w:rFonts w:asciiTheme="minorHAnsi" w:hAnsiTheme="minorHAnsi"/>
      <w:sz w:val="20"/>
    </w:rPr>
  </w:style>
  <w:style w:type="paragraph" w:styleId="afff5">
    <w:name w:val="Title"/>
    <w:basedOn w:val="a"/>
    <w:link w:val="afff6"/>
    <w:qFormat/>
    <w:pPr>
      <w:spacing w:before="240" w:after="60" w:line="500" w:lineRule="exact"/>
      <w:ind w:firstLineChars="200" w:firstLine="200"/>
      <w:outlineLvl w:val="0"/>
    </w:pPr>
    <w:rPr>
      <w:rFonts w:ascii="Arial" w:eastAsia="汉鼎简书宋" w:hAnsi="Arial"/>
      <w:b/>
      <w:sz w:val="32"/>
    </w:rPr>
  </w:style>
  <w:style w:type="paragraph" w:styleId="afff7">
    <w:name w:val="annotation subject"/>
    <w:basedOn w:val="af1"/>
    <w:next w:val="af1"/>
    <w:link w:val="afff8"/>
    <w:uiPriority w:val="99"/>
    <w:qFormat/>
    <w:rPr>
      <w:b/>
    </w:rPr>
  </w:style>
  <w:style w:type="paragraph" w:styleId="afff9">
    <w:name w:val="Body Text First Indent"/>
    <w:basedOn w:val="af7"/>
    <w:link w:val="afffa"/>
    <w:qFormat/>
    <w:pPr>
      <w:adjustRightInd/>
      <w:snapToGrid/>
      <w:spacing w:after="120"/>
      <w:ind w:firstLineChars="100" w:firstLine="420"/>
    </w:pPr>
    <w:rPr>
      <w:rFonts w:ascii="Times New Roman" w:eastAsia="宋体"/>
      <w:color w:val="auto"/>
    </w:rPr>
  </w:style>
  <w:style w:type="paragraph" w:styleId="2a">
    <w:name w:val="Body Text First Indent 2"/>
    <w:basedOn w:val="af9"/>
    <w:link w:val="2b"/>
    <w:pPr>
      <w:spacing w:line="529" w:lineRule="exact"/>
      <w:ind w:firstLineChars="200" w:firstLine="482"/>
    </w:pPr>
    <w:rPr>
      <w:sz w:val="24"/>
    </w:rPr>
  </w:style>
  <w:style w:type="table" w:styleId="afff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c">
    <w:name w:val="Table Theme"/>
    <w:basedOn w:val="a1"/>
    <w:qFormat/>
    <w:pPr>
      <w:widowControl w:val="0"/>
      <w:spacing w:line="529"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d">
    <w:name w:val="Table Elegant"/>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1"/>
    <w:qFormat/>
    <w:pPr>
      <w:widowControl w:val="0"/>
      <w:topLinePunct/>
      <w:spacing w:line="529" w:lineRule="exact"/>
      <w:ind w:firstLineChars="200" w:firstLine="480"/>
      <w:jc w:val="both"/>
    </w:pPr>
    <w:rPr>
      <w:rFonts w:ascii="Calibri" w:hAnsi="Calibri"/>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widowControl w:val="0"/>
      <w:spacing w:line="240" w:lineRule="exact"/>
      <w:jc w:val="both"/>
    </w:pPr>
    <w:rPr>
      <w:rFonts w:ascii="Calibri" w:hAnsi="Calibri"/>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1"/>
    <w:semiHidden/>
    <w:qFormat/>
    <w:pPr>
      <w:widowControl w:val="0"/>
      <w:spacing w:line="240" w:lineRule="exact"/>
      <w:jc w:val="both"/>
    </w:pPr>
    <w:rPr>
      <w:rFonts w:ascii="Calibri" w:hAnsi="Calibri"/>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e">
    <w:name w:val="Table Contemporary"/>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widowControl w:val="0"/>
      <w:spacing w:line="240" w:lineRule="exact"/>
      <w:jc w:val="both"/>
    </w:pPr>
    <w:rPr>
      <w:rFonts w:ascii="Calibri" w:hAnsi="Calibri"/>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1"/>
    <w:semiHidden/>
    <w:qFormat/>
    <w:pPr>
      <w:widowControl w:val="0"/>
      <w:spacing w:line="240" w:lineRule="exact"/>
      <w:jc w:val="both"/>
    </w:pPr>
    <w:rPr>
      <w:rFonts w:ascii="Calibri" w:hAnsi="Calibri"/>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
    <w:name w:val="Table Professional"/>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f0">
    <w:name w:val="Strong"/>
    <w:qFormat/>
    <w:rPr>
      <w:b/>
    </w:rPr>
  </w:style>
  <w:style w:type="character" w:styleId="affff1">
    <w:name w:val="endnote reference"/>
    <w:unhideWhenUsed/>
    <w:qFormat/>
    <w:rPr>
      <w:vertAlign w:val="superscript"/>
    </w:rPr>
  </w:style>
  <w:style w:type="character" w:styleId="affff2">
    <w:name w:val="page number"/>
    <w:basedOn w:val="a0"/>
    <w:qFormat/>
  </w:style>
  <w:style w:type="character" w:styleId="affff3">
    <w:name w:val="FollowedHyperlink"/>
    <w:uiPriority w:val="99"/>
    <w:qFormat/>
    <w:rPr>
      <w:color w:val="800080"/>
      <w:u w:val="single"/>
    </w:rPr>
  </w:style>
  <w:style w:type="character" w:styleId="affff4">
    <w:name w:val="Emphasis"/>
    <w:qFormat/>
    <w:rPr>
      <w:i/>
    </w:rPr>
  </w:style>
  <w:style w:type="character" w:styleId="affff5">
    <w:name w:val="line number"/>
    <w:basedOn w:val="a0"/>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0"/>
    <w:qFormat/>
  </w:style>
  <w:style w:type="character" w:styleId="HTML6">
    <w:name w:val="HTML Variable"/>
    <w:qFormat/>
    <w:rPr>
      <w:i/>
      <w:iCs/>
    </w:rPr>
  </w:style>
  <w:style w:type="character" w:styleId="affff6">
    <w:name w:val="Hyperlink"/>
    <w:uiPriority w:val="99"/>
    <w:qFormat/>
    <w:rPr>
      <w:color w:val="0000FF"/>
      <w:u w:val="single"/>
    </w:rPr>
  </w:style>
  <w:style w:type="character" w:styleId="HTML7">
    <w:name w:val="HTML Code"/>
    <w:qFormat/>
    <w:rPr>
      <w:rFonts w:ascii="Courier New" w:hAnsi="Courier New" w:cs="Courier New"/>
      <w:sz w:val="20"/>
      <w:szCs w:val="20"/>
    </w:rPr>
  </w:style>
  <w:style w:type="character" w:styleId="affff7">
    <w:name w:val="annotation reference"/>
    <w:uiPriority w:val="99"/>
    <w:qFormat/>
    <w:rPr>
      <w:sz w:val="21"/>
    </w:rPr>
  </w:style>
  <w:style w:type="character" w:styleId="HTML8">
    <w:name w:val="HTML Cite"/>
    <w:qFormat/>
    <w:rPr>
      <w:i/>
      <w:iCs/>
    </w:rPr>
  </w:style>
  <w:style w:type="character" w:styleId="affff8">
    <w:name w:val="footnote reference"/>
    <w:qFormat/>
    <w:rPr>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character" w:customStyle="1" w:styleId="10">
    <w:name w:val="标题 1 字符"/>
    <w:link w:val="1"/>
    <w:qFormat/>
    <w:rPr>
      <w:rFonts w:eastAsia="宋体"/>
      <w:b/>
      <w:kern w:val="44"/>
      <w:sz w:val="44"/>
      <w:lang w:val="en-US" w:eastAsia="zh-CN"/>
    </w:rPr>
  </w:style>
  <w:style w:type="character" w:customStyle="1" w:styleId="20">
    <w:name w:val="标题 2 字符"/>
    <w:link w:val="2"/>
    <w:qFormat/>
    <w:rPr>
      <w:rFonts w:ascii="Arial" w:eastAsia="黑体" w:hAnsi="Arial"/>
      <w:b/>
      <w:kern w:val="2"/>
      <w:sz w:val="32"/>
      <w:lang w:val="en-US" w:eastAsia="zh-CN"/>
    </w:rPr>
  </w:style>
  <w:style w:type="character" w:customStyle="1" w:styleId="afff6">
    <w:name w:val="标题 字符"/>
    <w:link w:val="afff5"/>
    <w:qFormat/>
    <w:rPr>
      <w:rFonts w:ascii="Arial" w:eastAsia="汉鼎简书宋" w:hAnsi="Arial"/>
      <w:b/>
      <w:kern w:val="2"/>
      <w:sz w:val="32"/>
      <w:lang w:val="en-US" w:eastAsia="zh-CN"/>
    </w:rPr>
  </w:style>
  <w:style w:type="character" w:customStyle="1" w:styleId="30">
    <w:name w:val="标题 3 字符"/>
    <w:link w:val="3"/>
    <w:qFormat/>
    <w:rPr>
      <w:rFonts w:eastAsia="宋体"/>
      <w:b/>
      <w:kern w:val="2"/>
      <w:sz w:val="32"/>
      <w:lang w:val="en-US" w:eastAsia="zh-CN"/>
    </w:rPr>
  </w:style>
  <w:style w:type="character" w:customStyle="1" w:styleId="41">
    <w:name w:val="标题 4 字符"/>
    <w:link w:val="40"/>
    <w:uiPriority w:val="9"/>
    <w:qFormat/>
    <w:rPr>
      <w:rFonts w:ascii="Arial" w:eastAsia="黑体" w:hAnsi="Arial"/>
      <w:b/>
      <w:kern w:val="2"/>
      <w:sz w:val="28"/>
      <w:lang w:val="en-US" w:eastAsia="zh-CN"/>
    </w:rPr>
  </w:style>
  <w:style w:type="character" w:customStyle="1" w:styleId="50">
    <w:name w:val="标题 5 字符"/>
    <w:link w:val="5"/>
    <w:qFormat/>
    <w:rPr>
      <w:rFonts w:eastAsia="宋体"/>
      <w:b/>
      <w:kern w:val="2"/>
      <w:sz w:val="28"/>
      <w:lang w:val="en-US" w:eastAsia="zh-CN"/>
    </w:rPr>
  </w:style>
  <w:style w:type="character" w:customStyle="1" w:styleId="60">
    <w:name w:val="标题 6 字符"/>
    <w:link w:val="6"/>
    <w:qFormat/>
    <w:rPr>
      <w:rFonts w:ascii="Arial" w:eastAsia="黑体" w:hAnsi="Arial"/>
      <w:b/>
      <w:kern w:val="2"/>
      <w:sz w:val="24"/>
      <w:lang w:val="en-US" w:eastAsia="zh-CN"/>
    </w:rPr>
  </w:style>
  <w:style w:type="character" w:customStyle="1" w:styleId="70">
    <w:name w:val="标题 7 字符"/>
    <w:link w:val="7"/>
    <w:qFormat/>
    <w:rPr>
      <w:rFonts w:eastAsia="宋体"/>
      <w:b/>
      <w:kern w:val="2"/>
      <w:sz w:val="24"/>
      <w:lang w:val="en-US" w:eastAsia="zh-CN"/>
    </w:rPr>
  </w:style>
  <w:style w:type="character" w:customStyle="1" w:styleId="80">
    <w:name w:val="标题 8 字符"/>
    <w:link w:val="8"/>
    <w:qFormat/>
    <w:rPr>
      <w:rFonts w:ascii="Arial" w:eastAsia="黑体" w:hAnsi="Arial"/>
      <w:kern w:val="2"/>
      <w:sz w:val="24"/>
      <w:lang w:val="en-US" w:eastAsia="zh-CN"/>
    </w:rPr>
  </w:style>
  <w:style w:type="character" w:customStyle="1" w:styleId="90">
    <w:name w:val="标题 9 字符"/>
    <w:link w:val="9"/>
    <w:qFormat/>
    <w:rPr>
      <w:rFonts w:ascii="Arial" w:eastAsia="黑体" w:hAnsi="Arial"/>
      <w:kern w:val="2"/>
      <w:sz w:val="21"/>
      <w:lang w:val="en-US" w:eastAsia="zh-CN"/>
    </w:rPr>
  </w:style>
  <w:style w:type="character" w:customStyle="1" w:styleId="CharChar24">
    <w:name w:val="Char Char24"/>
    <w:qFormat/>
    <w:rPr>
      <w:rFonts w:ascii="Arial" w:eastAsia="黑体" w:hAnsi="Arial"/>
      <w:b/>
      <w:sz w:val="24"/>
      <w:lang w:val="en-US" w:eastAsia="zh-CN"/>
    </w:rPr>
  </w:style>
  <w:style w:type="character" w:customStyle="1" w:styleId="CharCharCharCharCharCharCharCharCharCharCharCharCharChar">
    <w:name w:val="普通文字 Char Char Char Char Char Char Char Char Char Char Char Char Char Char"/>
    <w:qFormat/>
    <w:rPr>
      <w:rFonts w:ascii="宋体" w:eastAsia="宋体" w:hAnsi="Courier New"/>
      <w:snapToGrid w:val="0"/>
      <w:spacing w:val="10"/>
      <w:kern w:val="2"/>
      <w:sz w:val="21"/>
      <w:lang w:val="en-US" w:eastAsia="zh-CN"/>
    </w:rPr>
  </w:style>
  <w:style w:type="character" w:customStyle="1" w:styleId="Char">
    <w:name w:val="正文文本缩进 Char"/>
    <w:link w:val="1c"/>
    <w:qFormat/>
    <w:rPr>
      <w:sz w:val="24"/>
    </w:rPr>
  </w:style>
  <w:style w:type="paragraph" w:customStyle="1" w:styleId="1c">
    <w:name w:val="正文文本缩进1"/>
    <w:basedOn w:val="a"/>
    <w:link w:val="Char"/>
    <w:qFormat/>
    <w:pPr>
      <w:spacing w:after="120"/>
      <w:ind w:leftChars="200" w:left="420"/>
    </w:pPr>
  </w:style>
  <w:style w:type="character" w:customStyle="1" w:styleId="CharChar4">
    <w:name w:val="Char Char4"/>
    <w:qFormat/>
    <w:rPr>
      <w:rFonts w:ascii="Arial" w:eastAsia="黑体" w:hAnsi="Arial"/>
      <w:b/>
      <w:bCs/>
      <w:sz w:val="28"/>
      <w:szCs w:val="28"/>
      <w:lang w:val="en-US" w:eastAsia="zh-CN" w:bidi="ar-SA"/>
    </w:rPr>
  </w:style>
  <w:style w:type="character" w:customStyle="1" w:styleId="content1">
    <w:name w:val="content1"/>
    <w:qFormat/>
    <w:rPr>
      <w:sz w:val="21"/>
    </w:rPr>
  </w:style>
  <w:style w:type="character" w:customStyle="1" w:styleId="HBZW">
    <w:name w:val="HBZW"/>
    <w:qFormat/>
    <w:rPr>
      <w:rFonts w:ascii="宋体" w:eastAsia="宋体" w:hAnsi="宋体"/>
      <w:kern w:val="0"/>
      <w:sz w:val="21"/>
      <w:lang w:val="en-US" w:eastAsia="zh-CN"/>
    </w:rPr>
  </w:style>
  <w:style w:type="character" w:customStyle="1" w:styleId="3Char">
    <w:name w:val="样式3（代正文） Char"/>
    <w:link w:val="3f3"/>
    <w:qFormat/>
    <w:rPr>
      <w:sz w:val="24"/>
      <w:szCs w:val="24"/>
      <w:lang w:val="en-US" w:eastAsia="zh-CN" w:bidi="ar-SA"/>
    </w:rPr>
  </w:style>
  <w:style w:type="paragraph" w:customStyle="1" w:styleId="3f3">
    <w:name w:val="样式3（代正文）"/>
    <w:link w:val="3Char"/>
    <w:qFormat/>
    <w:pPr>
      <w:widowControl w:val="0"/>
      <w:adjustRightInd w:val="0"/>
      <w:snapToGrid w:val="0"/>
      <w:spacing w:line="560" w:lineRule="exact"/>
      <w:ind w:firstLineChars="200" w:firstLine="480"/>
      <w:jc w:val="both"/>
    </w:pPr>
    <w:rPr>
      <w:sz w:val="24"/>
      <w:szCs w:val="24"/>
    </w:rPr>
  </w:style>
  <w:style w:type="character" w:customStyle="1" w:styleId="Char0">
    <w:name w:val="表标号 Char"/>
    <w:link w:val="affff9"/>
    <w:qFormat/>
    <w:rPr>
      <w:rFonts w:eastAsia="黑体"/>
      <w:b/>
      <w:snapToGrid w:val="0"/>
      <w:sz w:val="24"/>
      <w:lang w:val="en-US" w:eastAsia="zh-CN" w:bidi="ar-SA"/>
    </w:rPr>
  </w:style>
  <w:style w:type="paragraph" w:customStyle="1" w:styleId="affff9">
    <w:name w:val="表标号"/>
    <w:link w:val="Char0"/>
    <w:qFormat/>
    <w:pPr>
      <w:adjustRightInd w:val="0"/>
      <w:ind w:left="3060"/>
      <w:jc w:val="center"/>
    </w:pPr>
    <w:rPr>
      <w:rFonts w:eastAsia="黑体"/>
      <w:b/>
      <w:snapToGrid w:val="0"/>
      <w:sz w:val="24"/>
    </w:rPr>
  </w:style>
  <w:style w:type="character" w:customStyle="1" w:styleId="MTConvertedEquation">
    <w:name w:val="MTConvertedEquation"/>
    <w:qFormat/>
    <w:rPr>
      <w:position w:val="-46"/>
    </w:rPr>
  </w:style>
  <w:style w:type="character" w:customStyle="1" w:styleId="Char1">
    <w:name w:val="正文(首行缩进) Char1"/>
    <w:link w:val="affffa"/>
    <w:qFormat/>
    <w:rPr>
      <w:rFonts w:eastAsia="宋体"/>
      <w:snapToGrid w:val="0"/>
      <w:color w:val="000000"/>
      <w:sz w:val="24"/>
      <w:lang w:val="en-US" w:eastAsia="zh-CN"/>
    </w:rPr>
  </w:style>
  <w:style w:type="paragraph" w:customStyle="1" w:styleId="affffa">
    <w:name w:val="正文(首行缩进)"/>
    <w:basedOn w:val="a"/>
    <w:link w:val="Char1"/>
    <w:qFormat/>
    <w:pPr>
      <w:spacing w:line="360" w:lineRule="auto"/>
      <w:ind w:firstLineChars="225" w:firstLine="540"/>
    </w:pPr>
    <w:rPr>
      <w:snapToGrid w:val="0"/>
      <w:color w:val="000000"/>
    </w:rPr>
  </w:style>
  <w:style w:type="character" w:customStyle="1" w:styleId="zt11">
    <w:name w:val="zt11"/>
    <w:qFormat/>
    <w:rPr>
      <w:color w:val="333333"/>
      <w:sz w:val="24"/>
      <w:u w:val="none"/>
    </w:rPr>
  </w:style>
  <w:style w:type="character" w:customStyle="1" w:styleId="CharChar25">
    <w:name w:val="Char Char25"/>
    <w:qFormat/>
    <w:rPr>
      <w:rFonts w:ascii="宋体" w:eastAsia="宋体" w:hAnsi="宋体"/>
      <w:b/>
      <w:kern w:val="2"/>
      <w:sz w:val="24"/>
      <w:lang w:val="en-US" w:eastAsia="zh-CN"/>
    </w:rPr>
  </w:style>
  <w:style w:type="character" w:customStyle="1" w:styleId="CharChar15">
    <w:name w:val="Char Char15"/>
    <w:qFormat/>
    <w:rPr>
      <w:rFonts w:eastAsia="隶书"/>
      <w:sz w:val="18"/>
      <w:lang w:val="en-US" w:eastAsia="zh-CN"/>
    </w:rPr>
  </w:style>
  <w:style w:type="character" w:customStyle="1" w:styleId="Char2">
    <w:name w:val="正文文字 Char"/>
    <w:link w:val="affffb"/>
    <w:qFormat/>
    <w:rPr>
      <w:rFonts w:eastAsia="宋体" w:cs="宋体"/>
      <w:kern w:val="2"/>
      <w:sz w:val="24"/>
      <w:szCs w:val="24"/>
      <w:lang w:val="en-US" w:eastAsia="zh-CN" w:bidi="ar-SA"/>
    </w:rPr>
  </w:style>
  <w:style w:type="paragraph" w:customStyle="1" w:styleId="affffb">
    <w:name w:val="正文文字"/>
    <w:basedOn w:val="a"/>
    <w:link w:val="Char2"/>
    <w:qFormat/>
    <w:pPr>
      <w:spacing w:line="360" w:lineRule="auto"/>
      <w:ind w:firstLineChars="200" w:firstLine="480"/>
    </w:pPr>
    <w:rPr>
      <w:rFonts w:cs="宋体"/>
      <w:szCs w:val="24"/>
    </w:rPr>
  </w:style>
  <w:style w:type="character" w:customStyle="1" w:styleId="2CharCharCharChar1">
    <w:name w:val="标题 2 Char Char Char Char1"/>
    <w:qFormat/>
    <w:rPr>
      <w:rFonts w:ascii="Arial" w:eastAsia="宋体" w:hAnsi="Arial"/>
      <w:b/>
      <w:bCs/>
      <w:kern w:val="2"/>
      <w:sz w:val="28"/>
      <w:szCs w:val="32"/>
      <w:lang w:val="en-US" w:eastAsia="zh-CN" w:bidi="ar-SA"/>
    </w:rPr>
  </w:style>
  <w:style w:type="character" w:customStyle="1" w:styleId="hb2Char">
    <w:name w:val="样式 hb2 + 黑体 Char"/>
    <w:link w:val="hb2"/>
    <w:qFormat/>
    <w:rPr>
      <w:rFonts w:ascii="黑体" w:eastAsia="宋体" w:hAnsi="黑体"/>
      <w:b/>
      <w:kern w:val="2"/>
      <w:sz w:val="28"/>
      <w:lang w:val="en-US" w:eastAsia="zh-CN"/>
    </w:rPr>
  </w:style>
  <w:style w:type="paragraph" w:customStyle="1" w:styleId="hb2">
    <w:name w:val="样式 hb2 + 黑体"/>
    <w:basedOn w:val="2"/>
    <w:link w:val="hb2Char"/>
    <w:qFormat/>
    <w:pPr>
      <w:widowControl/>
      <w:adjustRightInd w:val="0"/>
      <w:spacing w:before="360" w:after="480" w:line="416" w:lineRule="atLeast"/>
      <w:textAlignment w:val="baseline"/>
    </w:pPr>
    <w:rPr>
      <w:rFonts w:ascii="黑体" w:hAnsi="黑体"/>
    </w:rPr>
  </w:style>
  <w:style w:type="character" w:customStyle="1" w:styleId="hb2Char0">
    <w:name w:val="hb2 Char"/>
    <w:qFormat/>
    <w:rPr>
      <w:rFonts w:ascii="Arial" w:eastAsia="宋体" w:hAnsi="Arial"/>
      <w:b/>
      <w:kern w:val="2"/>
      <w:sz w:val="28"/>
      <w:lang w:val="en-US" w:eastAsia="zh-CN"/>
    </w:rPr>
  </w:style>
  <w:style w:type="character" w:customStyle="1" w:styleId="2Char">
    <w:name w:val="标题 2 Char"/>
    <w:qFormat/>
    <w:rPr>
      <w:rFonts w:ascii="Arial" w:eastAsia="黑体" w:hAnsi="Arial"/>
      <w:b/>
      <w:kern w:val="2"/>
      <w:sz w:val="32"/>
      <w:lang w:val="en-US" w:eastAsia="zh-CN"/>
    </w:rPr>
  </w:style>
  <w:style w:type="character" w:customStyle="1" w:styleId="aff9">
    <w:name w:val="页眉 字符"/>
    <w:link w:val="aff8"/>
    <w:uiPriority w:val="99"/>
    <w:qFormat/>
    <w:rPr>
      <w:rFonts w:eastAsia="宋体"/>
      <w:kern w:val="2"/>
      <w:sz w:val="18"/>
      <w:lang w:val="en-US" w:eastAsia="zh-CN"/>
    </w:rPr>
  </w:style>
  <w:style w:type="character" w:customStyle="1" w:styleId="111Char">
    <w:name w:val="1.1.1标题 Char"/>
    <w:link w:val="111"/>
    <w:qFormat/>
    <w:rPr>
      <w:rFonts w:eastAsia="黑体"/>
      <w:b/>
      <w:kern w:val="2"/>
      <w:sz w:val="24"/>
      <w:szCs w:val="30"/>
      <w:lang w:val="en-US" w:eastAsia="zh-CN" w:bidi="ar-SA"/>
    </w:rPr>
  </w:style>
  <w:style w:type="paragraph" w:customStyle="1" w:styleId="111">
    <w:name w:val="1.1.1标题"/>
    <w:basedOn w:val="a"/>
    <w:link w:val="111Char"/>
    <w:qFormat/>
    <w:pPr>
      <w:spacing w:beforeLines="50" w:before="156" w:afterLines="50" w:after="156"/>
      <w:outlineLvl w:val="2"/>
    </w:pPr>
    <w:rPr>
      <w:rFonts w:eastAsia="黑体"/>
      <w:b/>
      <w:szCs w:val="30"/>
    </w:rPr>
  </w:style>
  <w:style w:type="character" w:customStyle="1" w:styleId="affe">
    <w:name w:val="副标题 字符"/>
    <w:link w:val="affd"/>
    <w:qFormat/>
    <w:rPr>
      <w:rFonts w:ascii="Arial" w:eastAsia="黑体" w:hAnsi="Arial"/>
      <w:b/>
      <w:sz w:val="28"/>
      <w:lang w:val="en-US" w:eastAsia="zh-CN"/>
    </w:rPr>
  </w:style>
  <w:style w:type="character" w:customStyle="1" w:styleId="CharChar">
    <w:name w:val="正文文字 Char Char"/>
    <w:qFormat/>
    <w:rPr>
      <w:rFonts w:ascii="Times New Roman" w:eastAsia="宋体" w:hAnsi="Times New Roman"/>
      <w:sz w:val="24"/>
    </w:rPr>
  </w:style>
  <w:style w:type="character" w:customStyle="1" w:styleId="tpccontent1">
    <w:name w:val="tpc_content1"/>
    <w:qFormat/>
    <w:rPr>
      <w:sz w:val="20"/>
      <w:szCs w:val="20"/>
    </w:rPr>
  </w:style>
  <w:style w:type="character" w:customStyle="1" w:styleId="CharChar12">
    <w:name w:val="Char Char12"/>
    <w:qFormat/>
    <w:rPr>
      <w:rFonts w:ascii="Cambria" w:eastAsia="宋体" w:hAnsi="Cambria"/>
      <w:b/>
      <w:color w:val="4F81BD"/>
    </w:rPr>
  </w:style>
  <w:style w:type="character" w:customStyle="1" w:styleId="style3">
    <w:name w:val="style3"/>
    <w:qFormat/>
    <w:rPr>
      <w:rFonts w:ascii="宋体" w:eastAsia="宋体" w:hAnsi="宋体"/>
      <w:b/>
      <w:sz w:val="30"/>
      <w:lang w:val="en-US" w:eastAsia="zh-CN"/>
    </w:rPr>
  </w:style>
  <w:style w:type="character" w:customStyle="1" w:styleId="Char3">
    <w:name w:val="正文 Char"/>
    <w:qFormat/>
    <w:rPr>
      <w:rFonts w:ascii="宋体" w:eastAsia="宋体" w:hAnsi="宋体"/>
      <w:lang w:bidi="ar-SA"/>
    </w:rPr>
  </w:style>
  <w:style w:type="character" w:customStyle="1" w:styleId="1d">
    <w:name w:val="不明显参考1"/>
    <w:qFormat/>
    <w:rPr>
      <w:smallCaps/>
      <w:color w:val="C0504D"/>
      <w:u w:val="single"/>
    </w:rPr>
  </w:style>
  <w:style w:type="character" w:customStyle="1" w:styleId="CharChar0">
    <w:name w:val="页眉 Char Char"/>
    <w:qFormat/>
    <w:rPr>
      <w:rFonts w:eastAsia="宋体"/>
      <w:kern w:val="2"/>
      <w:sz w:val="18"/>
      <w:szCs w:val="18"/>
      <w:lang w:val="en-US" w:eastAsia="zh-CN" w:bidi="ar-SA"/>
    </w:rPr>
  </w:style>
  <w:style w:type="character" w:customStyle="1" w:styleId="CharChar10">
    <w:name w:val="Char Char10"/>
    <w:qFormat/>
    <w:rPr>
      <w:rFonts w:eastAsia="宋体"/>
      <w:kern w:val="2"/>
      <w:sz w:val="18"/>
      <w:szCs w:val="18"/>
      <w:lang w:val="en-US" w:eastAsia="zh-CN" w:bidi="ar-SA"/>
    </w:rPr>
  </w:style>
  <w:style w:type="character" w:customStyle="1" w:styleId="CharChar17">
    <w:name w:val="Char Char17"/>
    <w:qFormat/>
    <w:rPr>
      <w:rFonts w:ascii="Arial" w:eastAsia="黑体" w:hAnsi="Arial"/>
      <w:b/>
      <w:bCs/>
      <w:sz w:val="24"/>
      <w:szCs w:val="24"/>
      <w:lang w:val="en-US" w:eastAsia="zh-CN" w:bidi="ar-SA"/>
    </w:rPr>
  </w:style>
  <w:style w:type="character" w:customStyle="1" w:styleId="H4Char">
    <w:name w:val="H4 Char"/>
    <w:qFormat/>
    <w:rPr>
      <w:rFonts w:ascii="Arial" w:eastAsia="黑体" w:hAnsi="Arial"/>
      <w:b/>
      <w:kern w:val="2"/>
      <w:sz w:val="28"/>
      <w:lang w:val="en-US" w:eastAsia="zh-CN"/>
    </w:rPr>
  </w:style>
  <w:style w:type="character" w:customStyle="1" w:styleId="Char4">
    <w:name w:val="排版正文 Char"/>
    <w:link w:val="affffc"/>
    <w:qFormat/>
    <w:rPr>
      <w:rFonts w:eastAsia="宋体"/>
      <w:color w:val="000000"/>
      <w:kern w:val="2"/>
      <w:sz w:val="26"/>
      <w:lang w:val="en-US" w:eastAsia="zh-CN"/>
    </w:rPr>
  </w:style>
  <w:style w:type="paragraph" w:customStyle="1" w:styleId="affffc">
    <w:name w:val="排版正文"/>
    <w:basedOn w:val="a"/>
    <w:link w:val="Char4"/>
    <w:qFormat/>
    <w:pPr>
      <w:adjustRightInd w:val="0"/>
      <w:snapToGrid w:val="0"/>
      <w:spacing w:line="460" w:lineRule="exact"/>
      <w:ind w:firstLineChars="200" w:firstLine="200"/>
    </w:pPr>
    <w:rPr>
      <w:color w:val="000000"/>
      <w:sz w:val="26"/>
    </w:rPr>
  </w:style>
  <w:style w:type="character" w:customStyle="1" w:styleId="apple-converted-space">
    <w:name w:val="apple-converted-space"/>
    <w:qFormat/>
  </w:style>
  <w:style w:type="character" w:customStyle="1" w:styleId="Char5">
    <w:name w:val="表号 Char"/>
    <w:qFormat/>
    <w:rPr>
      <w:rFonts w:eastAsia="宋体"/>
      <w:sz w:val="24"/>
      <w:lang w:val="en-US" w:eastAsia="zh-CN"/>
    </w:rPr>
  </w:style>
  <w:style w:type="paragraph" w:customStyle="1" w:styleId="affffd">
    <w:name w:val="表号"/>
    <w:link w:val="Char20"/>
    <w:qFormat/>
    <w:pPr>
      <w:adjustRightInd w:val="0"/>
      <w:snapToGrid w:val="0"/>
      <w:spacing w:line="240" w:lineRule="atLeast"/>
      <w:jc w:val="both"/>
      <w:outlineLvl w:val="4"/>
    </w:pPr>
    <w:rPr>
      <w:rFonts w:ascii="宋体" w:hAnsi="宋体"/>
      <w:sz w:val="24"/>
    </w:rPr>
  </w:style>
  <w:style w:type="character" w:customStyle="1" w:styleId="Char20">
    <w:name w:val="表号 Char2"/>
    <w:link w:val="affffd"/>
    <w:qFormat/>
    <w:rPr>
      <w:rFonts w:ascii="宋体" w:hAnsi="宋体"/>
      <w:sz w:val="24"/>
      <w:lang w:val="en-US" w:eastAsia="zh-CN" w:bidi="ar-SA"/>
    </w:rPr>
  </w:style>
  <w:style w:type="character" w:customStyle="1" w:styleId="Char6">
    <w:name w:val="表名 Char"/>
    <w:link w:val="affffe"/>
    <w:qFormat/>
    <w:rPr>
      <w:rFonts w:ascii="宋体" w:eastAsia="宋体"/>
      <w:b/>
      <w:sz w:val="24"/>
      <w:lang w:val="en-US" w:eastAsia="zh-CN"/>
    </w:rPr>
  </w:style>
  <w:style w:type="paragraph" w:customStyle="1" w:styleId="affffe">
    <w:name w:val="表名"/>
    <w:basedOn w:val="5"/>
    <w:link w:val="Char6"/>
    <w:qFormat/>
    <w:pPr>
      <w:keepLines w:val="0"/>
      <w:adjustRightInd w:val="0"/>
      <w:spacing w:before="0" w:after="0" w:line="360" w:lineRule="auto"/>
      <w:ind w:left="0" w:firstLineChars="200" w:firstLine="200"/>
    </w:pPr>
    <w:rPr>
      <w:b w:val="0"/>
      <w:sz w:val="24"/>
    </w:rPr>
  </w:style>
  <w:style w:type="character" w:customStyle="1" w:styleId="CharChar20">
    <w:name w:val="Char Char20"/>
    <w:qFormat/>
    <w:rPr>
      <w:rFonts w:eastAsia="宋体"/>
      <w:kern w:val="2"/>
      <w:sz w:val="24"/>
      <w:szCs w:val="24"/>
      <w:lang w:val="en-US" w:eastAsia="zh-CN" w:bidi="ar-SA"/>
    </w:rPr>
  </w:style>
  <w:style w:type="character" w:customStyle="1" w:styleId="af">
    <w:name w:val="文档结构图 字符"/>
    <w:link w:val="ae"/>
    <w:qFormat/>
    <w:rPr>
      <w:rFonts w:eastAsia="宋体"/>
      <w:kern w:val="2"/>
      <w:sz w:val="21"/>
      <w:lang w:val="en-US" w:eastAsia="zh-CN"/>
    </w:rPr>
  </w:style>
  <w:style w:type="character" w:customStyle="1" w:styleId="Char7">
    <w:name w:val="正文一 Char"/>
    <w:link w:val="afffff"/>
    <w:qFormat/>
    <w:rPr>
      <w:snapToGrid w:val="0"/>
      <w:spacing w:val="-8"/>
      <w:sz w:val="24"/>
      <w:szCs w:val="24"/>
    </w:rPr>
  </w:style>
  <w:style w:type="paragraph" w:customStyle="1" w:styleId="afffff">
    <w:name w:val="正文一"/>
    <w:basedOn w:val="a"/>
    <w:link w:val="Char7"/>
    <w:qFormat/>
    <w:pPr>
      <w:adjustRightInd w:val="0"/>
      <w:snapToGrid w:val="0"/>
      <w:spacing w:line="529" w:lineRule="exact"/>
      <w:ind w:firstLineChars="200" w:firstLine="448"/>
    </w:pPr>
    <w:rPr>
      <w:snapToGrid w:val="0"/>
      <w:spacing w:val="-8"/>
      <w:szCs w:val="24"/>
    </w:rPr>
  </w:style>
  <w:style w:type="character" w:customStyle="1" w:styleId="afa">
    <w:name w:val="正文文本缩进 字符"/>
    <w:link w:val="af9"/>
    <w:qFormat/>
    <w:rPr>
      <w:rFonts w:eastAsia="宋体"/>
      <w:kern w:val="2"/>
      <w:sz w:val="21"/>
      <w:lang w:val="en-US" w:eastAsia="zh-CN"/>
    </w:rPr>
  </w:style>
  <w:style w:type="character" w:customStyle="1" w:styleId="Char8">
    <w:name w:val="表内容 Char"/>
    <w:link w:val="afffff0"/>
    <w:qFormat/>
    <w:rPr>
      <w:rFonts w:ascii="宋体" w:eastAsia="宋体" w:hAnsi="宋体"/>
      <w:kern w:val="2"/>
      <w:sz w:val="24"/>
      <w:lang w:val="en-US" w:eastAsia="zh-CN" w:bidi="ar-SA"/>
    </w:rPr>
  </w:style>
  <w:style w:type="paragraph" w:customStyle="1" w:styleId="afffff0">
    <w:name w:val="表内容"/>
    <w:basedOn w:val="a"/>
    <w:link w:val="Char8"/>
    <w:qFormat/>
  </w:style>
  <w:style w:type="character" w:customStyle="1" w:styleId="af2">
    <w:name w:val="批注文字 字符"/>
    <w:link w:val="af1"/>
    <w:uiPriority w:val="99"/>
    <w:qFormat/>
    <w:rPr>
      <w:rFonts w:ascii="宋体" w:hAnsi="宋体"/>
      <w:kern w:val="2"/>
      <w:sz w:val="24"/>
    </w:rPr>
  </w:style>
  <w:style w:type="character" w:customStyle="1" w:styleId="zw1">
    <w:name w:val="zw1"/>
    <w:qFormat/>
    <w:rPr>
      <w:color w:val="302F37"/>
      <w:sz w:val="21"/>
    </w:rPr>
  </w:style>
  <w:style w:type="character" w:customStyle="1" w:styleId="CharChar3">
    <w:name w:val="Char Char3"/>
    <w:qFormat/>
    <w:rPr>
      <w:rFonts w:eastAsia="宋体"/>
      <w:b/>
      <w:bCs/>
      <w:sz w:val="28"/>
      <w:szCs w:val="28"/>
      <w:lang w:val="en-US" w:eastAsia="zh-CN" w:bidi="ar-SA"/>
    </w:rPr>
  </w:style>
  <w:style w:type="character" w:customStyle="1" w:styleId="afffff1">
    <w:name w:val="样式 (中文) 隶书 一号 加粗"/>
    <w:qFormat/>
    <w:rPr>
      <w:rFonts w:eastAsia="隶书"/>
      <w:b/>
      <w:w w:val="73"/>
      <w:kern w:val="0"/>
      <w:sz w:val="44"/>
    </w:rPr>
  </w:style>
  <w:style w:type="character" w:customStyle="1" w:styleId="CharCharChar">
    <w:name w:val="正文（首行缩进两字） Char Char Char"/>
    <w:qFormat/>
    <w:rPr>
      <w:rFonts w:eastAsia="宋体"/>
      <w:kern w:val="2"/>
      <w:sz w:val="21"/>
      <w:lang w:val="en-US" w:eastAsia="zh-CN"/>
    </w:rPr>
  </w:style>
  <w:style w:type="character" w:customStyle="1" w:styleId="CharChar14">
    <w:name w:val="Char Char14"/>
    <w:qFormat/>
    <w:rPr>
      <w:rFonts w:ascii="Cambria" w:eastAsia="宋体" w:hAnsi="Cambria"/>
      <w:b/>
      <w:color w:val="365F91"/>
      <w:sz w:val="28"/>
    </w:rPr>
  </w:style>
  <w:style w:type="character" w:customStyle="1" w:styleId="Char9">
    <w:name w:val="表中文字 Char"/>
    <w:link w:val="afffff2"/>
    <w:qFormat/>
    <w:rPr>
      <w:rFonts w:ascii="宋体" w:eastAsia="宋体" w:hAnsi="宋体"/>
      <w:kern w:val="2"/>
      <w:sz w:val="24"/>
      <w:lang w:val="en-US" w:eastAsia="zh-CN" w:bidi="ar-SA"/>
    </w:rPr>
  </w:style>
  <w:style w:type="paragraph" w:customStyle="1" w:styleId="afffff2">
    <w:name w:val="表中文字"/>
    <w:basedOn w:val="a"/>
    <w:link w:val="Char9"/>
    <w:qFormat/>
    <w:pPr>
      <w:snapToGrid w:val="0"/>
      <w:spacing w:line="320" w:lineRule="exact"/>
    </w:pPr>
  </w:style>
  <w:style w:type="character" w:customStyle="1" w:styleId="25">
    <w:name w:val="正文文本缩进 2 字符"/>
    <w:link w:val="24"/>
    <w:qFormat/>
    <w:rPr>
      <w:rFonts w:eastAsia="宋体"/>
      <w:kern w:val="2"/>
      <w:sz w:val="21"/>
      <w:lang w:val="en-US" w:eastAsia="zh-CN"/>
    </w:rPr>
  </w:style>
  <w:style w:type="character" w:customStyle="1" w:styleId="HP4Char">
    <w:name w:val="HP4 Char"/>
    <w:link w:val="HP4"/>
    <w:qFormat/>
    <w:rPr>
      <w:rFonts w:eastAsia="宋体"/>
      <w:kern w:val="2"/>
      <w:sz w:val="24"/>
      <w:u w:color="000000"/>
      <w:lang w:val="en-US" w:eastAsia="zh-CN"/>
    </w:rPr>
  </w:style>
  <w:style w:type="paragraph" w:customStyle="1" w:styleId="HP4">
    <w:name w:val="HP4"/>
    <w:basedOn w:val="a"/>
    <w:link w:val="HP4Char"/>
    <w:qFormat/>
    <w:pPr>
      <w:keepNext/>
      <w:keepLines/>
      <w:spacing w:before="120" w:after="120" w:line="360" w:lineRule="exact"/>
      <w:textAlignment w:val="baseline"/>
      <w:outlineLvl w:val="3"/>
    </w:pPr>
    <w:rPr>
      <w:u w:color="000000"/>
    </w:rPr>
  </w:style>
  <w:style w:type="character" w:customStyle="1" w:styleId="hangju">
    <w:name w:val="hangju"/>
    <w:basedOn w:val="a0"/>
    <w:qFormat/>
  </w:style>
  <w:style w:type="character" w:customStyle="1" w:styleId="px14">
    <w:name w:val="px14"/>
    <w:basedOn w:val="a0"/>
    <w:qFormat/>
  </w:style>
  <w:style w:type="character" w:customStyle="1" w:styleId="CharChar7">
    <w:name w:val="Char Char7"/>
    <w:qFormat/>
    <w:rPr>
      <w:rFonts w:eastAsia="宋体"/>
      <w:kern w:val="2"/>
      <w:sz w:val="18"/>
      <w:szCs w:val="18"/>
      <w:lang w:val="en-US" w:eastAsia="zh-CN" w:bidi="ar-SA"/>
    </w:rPr>
  </w:style>
  <w:style w:type="character" w:customStyle="1" w:styleId="gCharChar">
    <w:name w:val="g Char Char"/>
    <w:qFormat/>
    <w:rPr>
      <w:rFonts w:eastAsia="宋体"/>
      <w:kern w:val="2"/>
      <w:sz w:val="18"/>
      <w:lang w:val="en-US" w:eastAsia="zh-CN"/>
    </w:rPr>
  </w:style>
  <w:style w:type="character" w:customStyle="1" w:styleId="CharChar151">
    <w:name w:val="Char Char151"/>
    <w:qFormat/>
    <w:rPr>
      <w:rFonts w:eastAsia="宋体"/>
      <w:kern w:val="2"/>
      <w:sz w:val="18"/>
      <w:lang w:val="en-US" w:eastAsia="zh-CN" w:bidi="ar-SA"/>
    </w:rPr>
  </w:style>
  <w:style w:type="character" w:customStyle="1" w:styleId="javascript1">
    <w:name w:val="javascript1"/>
    <w:qFormat/>
    <w:rPr>
      <w:rFonts w:ascii="Tahoma" w:hAnsi="Tahoma" w:hint="default"/>
      <w:sz w:val="18"/>
    </w:rPr>
  </w:style>
  <w:style w:type="character" w:customStyle="1" w:styleId="2Char0">
    <w:name w:val="样式 首行缩进:  2 字符 Char"/>
    <w:link w:val="2f5"/>
    <w:qFormat/>
    <w:rPr>
      <w:rFonts w:eastAsia="宋体"/>
      <w:kern w:val="2"/>
      <w:sz w:val="24"/>
      <w:lang w:val="en-US" w:eastAsia="zh-CN"/>
    </w:rPr>
  </w:style>
  <w:style w:type="paragraph" w:customStyle="1" w:styleId="2f5">
    <w:name w:val="样式 首行缩进:  2 字符"/>
    <w:basedOn w:val="a"/>
    <w:link w:val="2Char0"/>
    <w:qFormat/>
    <w:pPr>
      <w:widowControl/>
      <w:spacing w:line="529" w:lineRule="exact"/>
      <w:ind w:firstLine="482"/>
    </w:pPr>
  </w:style>
  <w:style w:type="character" w:customStyle="1" w:styleId="firstChar">
    <w:name w:val="first Char"/>
    <w:link w:val="first"/>
    <w:qFormat/>
    <w:rPr>
      <w:rFonts w:eastAsia="宋体"/>
      <w:b/>
      <w:kern w:val="44"/>
      <w:sz w:val="36"/>
      <w:lang w:val="en-US" w:eastAsia="zh-CN" w:bidi="ar-SA"/>
    </w:rPr>
  </w:style>
  <w:style w:type="paragraph" w:customStyle="1" w:styleId="first">
    <w:name w:val="first"/>
    <w:basedOn w:val="1"/>
    <w:link w:val="firstChar"/>
    <w:qFormat/>
    <w:pPr>
      <w:spacing w:before="100" w:beforeAutospacing="1" w:after="100" w:afterAutospacing="1" w:line="578" w:lineRule="exact"/>
      <w:jc w:val="center"/>
    </w:pPr>
    <w:rPr>
      <w:sz w:val="36"/>
    </w:rPr>
  </w:style>
  <w:style w:type="character" w:customStyle="1" w:styleId="1Char2">
    <w:name w:val="章标题 1 Char2"/>
    <w:qFormat/>
    <w:rPr>
      <w:rFonts w:eastAsia="宋体"/>
      <w:b/>
      <w:kern w:val="44"/>
      <w:sz w:val="44"/>
      <w:lang w:val="en-US" w:eastAsia="zh-CN" w:bidi="ar-SA"/>
    </w:rPr>
  </w:style>
  <w:style w:type="character" w:customStyle="1" w:styleId="hb3CharChar">
    <w:name w:val="样式 hb3 Char Char + 非加粗"/>
    <w:qFormat/>
    <w:rPr>
      <w:rFonts w:ascii="宋体" w:eastAsia="宋体" w:hAnsi="宋体"/>
      <w:b/>
      <w:sz w:val="24"/>
      <w:lang w:val="en-US" w:eastAsia="zh-CN"/>
    </w:rPr>
  </w:style>
  <w:style w:type="character" w:customStyle="1" w:styleId="Chara">
    <w:name w:val="表格编号 Char"/>
    <w:link w:val="afffff3"/>
    <w:qFormat/>
    <w:rPr>
      <w:rFonts w:eastAsia="宋体"/>
      <w:snapToGrid w:val="0"/>
      <w:spacing w:val="10"/>
      <w:sz w:val="21"/>
      <w:lang w:val="en-US" w:eastAsia="zh-CN"/>
    </w:rPr>
  </w:style>
  <w:style w:type="paragraph" w:customStyle="1" w:styleId="afffff3">
    <w:name w:val="表格编号"/>
    <w:basedOn w:val="a"/>
    <w:next w:val="afffff4"/>
    <w:link w:val="Chara"/>
    <w:qFormat/>
    <w:pPr>
      <w:snapToGrid w:val="0"/>
      <w:spacing w:line="20" w:lineRule="atLeast"/>
    </w:pPr>
    <w:rPr>
      <w:snapToGrid w:val="0"/>
      <w:spacing w:val="10"/>
      <w:sz w:val="21"/>
    </w:rPr>
  </w:style>
  <w:style w:type="paragraph" w:customStyle="1" w:styleId="afffff4">
    <w:name w:val="表格文字"/>
    <w:basedOn w:val="a"/>
    <w:link w:val="Charb"/>
    <w:qFormat/>
    <w:pPr>
      <w:tabs>
        <w:tab w:val="left" w:pos="7380"/>
      </w:tabs>
      <w:snapToGrid w:val="0"/>
    </w:pPr>
  </w:style>
  <w:style w:type="character" w:customStyle="1" w:styleId="Charb">
    <w:name w:val="表格文字 Char"/>
    <w:link w:val="afffff4"/>
    <w:qFormat/>
    <w:rPr>
      <w:rFonts w:eastAsia="宋体"/>
      <w:kern w:val="2"/>
      <w:sz w:val="24"/>
      <w:lang w:val="en-US" w:eastAsia="zh-CN"/>
    </w:rPr>
  </w:style>
  <w:style w:type="character" w:customStyle="1" w:styleId="1e">
    <w:name w:val="明显参考1"/>
    <w:qFormat/>
    <w:rPr>
      <w:b/>
      <w:smallCaps/>
      <w:color w:val="C0504D"/>
      <w:spacing w:val="5"/>
      <w:u w:val="single"/>
    </w:rPr>
  </w:style>
  <w:style w:type="character" w:customStyle="1" w:styleId="Charc">
    <w:name w:val="标题 Char"/>
    <w:qFormat/>
    <w:rPr>
      <w:rFonts w:ascii="Arial" w:eastAsia="汉鼎简书宋" w:hAnsi="Arial" w:cs="Arial"/>
      <w:b/>
      <w:bCs/>
      <w:kern w:val="2"/>
      <w:sz w:val="32"/>
      <w:szCs w:val="32"/>
      <w:lang w:val="en-US" w:eastAsia="zh-CN" w:bidi="ar-SA"/>
    </w:rPr>
  </w:style>
  <w:style w:type="character" w:customStyle="1" w:styleId="Chard">
    <w:name w:val="表格内容 Char"/>
    <w:link w:val="afffff5"/>
    <w:qFormat/>
    <w:rPr>
      <w:kern w:val="2"/>
      <w:sz w:val="21"/>
      <w:lang w:val="en-US" w:eastAsia="zh-CN" w:bidi="ar-SA"/>
    </w:rPr>
  </w:style>
  <w:style w:type="paragraph" w:customStyle="1" w:styleId="afffff5">
    <w:name w:val="表格内容"/>
    <w:link w:val="Chard"/>
    <w:qFormat/>
    <w:pPr>
      <w:jc w:val="center"/>
    </w:pPr>
    <w:rPr>
      <w:kern w:val="2"/>
      <w:sz w:val="21"/>
    </w:rPr>
  </w:style>
  <w:style w:type="character" w:customStyle="1" w:styleId="afffff6">
    <w:name w:val="表头一"/>
    <w:qFormat/>
    <w:rPr>
      <w:rFonts w:ascii="仿宋_GB2312" w:eastAsia="黑体" w:hAnsi="仿宋_GB2312"/>
      <w:b/>
      <w:bCs/>
      <w:color w:val="000000"/>
      <w:sz w:val="24"/>
    </w:rPr>
  </w:style>
  <w:style w:type="character" w:customStyle="1" w:styleId="1f">
    <w:name w:val="不明显强调1"/>
    <w:qFormat/>
    <w:rPr>
      <w:i/>
      <w:color w:val="808080"/>
    </w:rPr>
  </w:style>
  <w:style w:type="character" w:customStyle="1" w:styleId="34">
    <w:name w:val="正文文本 3 字符"/>
    <w:link w:val="33"/>
    <w:qFormat/>
    <w:rPr>
      <w:rFonts w:ascii="宋体" w:hAnsi="宋体"/>
      <w:kern w:val="2"/>
      <w:sz w:val="16"/>
    </w:rPr>
  </w:style>
  <w:style w:type="character" w:customStyle="1" w:styleId="2f6">
    <w:name w:val="标题2"/>
    <w:basedOn w:val="a0"/>
    <w:qFormat/>
  </w:style>
  <w:style w:type="character" w:customStyle="1" w:styleId="CharChar18">
    <w:name w:val="Char Char18"/>
    <w:qFormat/>
    <w:rPr>
      <w:rFonts w:eastAsia="宋体"/>
      <w:kern w:val="2"/>
      <w:sz w:val="21"/>
      <w:szCs w:val="24"/>
      <w:lang w:val="en-US" w:eastAsia="zh-CN" w:bidi="ar-SA"/>
    </w:rPr>
  </w:style>
  <w:style w:type="character" w:customStyle="1" w:styleId="Chare">
    <w:name w:val="表文字 Char"/>
    <w:qFormat/>
    <w:rPr>
      <w:rFonts w:eastAsia="宋体"/>
      <w:sz w:val="21"/>
      <w:lang w:val="en-US" w:eastAsia="zh-CN"/>
    </w:rPr>
  </w:style>
  <w:style w:type="paragraph" w:customStyle="1" w:styleId="afffff7">
    <w:name w:val="表文字"/>
    <w:basedOn w:val="a"/>
    <w:link w:val="Char10"/>
    <w:qFormat/>
    <w:pPr>
      <w:topLinePunct/>
      <w:adjustRightInd w:val="0"/>
      <w:spacing w:line="240" w:lineRule="exact"/>
      <w:textAlignment w:val="baseline"/>
    </w:pPr>
    <w:rPr>
      <w:sz w:val="21"/>
    </w:rPr>
  </w:style>
  <w:style w:type="character" w:customStyle="1" w:styleId="Char10">
    <w:name w:val="表文字 Char1"/>
    <w:link w:val="afffff7"/>
    <w:qFormat/>
    <w:rPr>
      <w:rFonts w:eastAsia="宋体"/>
      <w:kern w:val="2"/>
      <w:sz w:val="21"/>
      <w:lang w:val="en-US" w:eastAsia="zh-CN"/>
    </w:rPr>
  </w:style>
  <w:style w:type="character" w:customStyle="1" w:styleId="CharChar21">
    <w:name w:val="Char Char21"/>
    <w:qFormat/>
    <w:rPr>
      <w:rFonts w:ascii="宋体" w:eastAsia="宋体" w:hAnsi="Arial"/>
      <w:b/>
      <w:kern w:val="2"/>
      <w:sz w:val="28"/>
      <w:lang w:val="en-US" w:eastAsia="zh-CN" w:bidi="ar-SA"/>
    </w:rPr>
  </w:style>
  <w:style w:type="character" w:customStyle="1" w:styleId="1Char">
    <w:name w:val="样式1 Char"/>
    <w:link w:val="1f0"/>
    <w:qFormat/>
    <w:rPr>
      <w:rFonts w:ascii="黑体" w:eastAsia="黑体" w:hAnsi="宋体"/>
      <w:snapToGrid w:val="0"/>
      <w:sz w:val="28"/>
      <w:lang w:val="en-US" w:eastAsia="zh-CN" w:bidi="ar-SA"/>
    </w:rPr>
  </w:style>
  <w:style w:type="paragraph" w:customStyle="1" w:styleId="1f0">
    <w:name w:val="样式1"/>
    <w:basedOn w:val="a"/>
    <w:link w:val="1Char"/>
    <w:qFormat/>
    <w:pPr>
      <w:adjustRightInd w:val="0"/>
      <w:snapToGrid w:val="0"/>
      <w:spacing w:afterLines="50" w:after="156" w:line="558" w:lineRule="exact"/>
      <w:ind w:firstLine="540"/>
    </w:pPr>
    <w:rPr>
      <w:rFonts w:ascii="黑体" w:eastAsia="黑体"/>
      <w:snapToGrid w:val="0"/>
      <w:sz w:val="28"/>
    </w:rPr>
  </w:style>
  <w:style w:type="character" w:customStyle="1" w:styleId="CharChar1">
    <w:name w:val="正文（首行缩进两字） Char Char"/>
    <w:qFormat/>
    <w:rPr>
      <w:rFonts w:eastAsia="宋体"/>
      <w:kern w:val="2"/>
      <w:sz w:val="21"/>
      <w:lang w:val="en-US" w:eastAsia="zh-CN"/>
    </w:rPr>
  </w:style>
  <w:style w:type="character" w:customStyle="1" w:styleId="Char11">
    <w:name w:val="表号 Char1"/>
    <w:qFormat/>
    <w:rPr>
      <w:rFonts w:ascii="宋体" w:eastAsia="宋体" w:hAnsi="宋体"/>
      <w:sz w:val="24"/>
      <w:lang w:val="en-US" w:eastAsia="zh-CN"/>
    </w:rPr>
  </w:style>
  <w:style w:type="character" w:styleId="afffff8">
    <w:name w:val="Placeholder Text"/>
    <w:qFormat/>
    <w:rPr>
      <w:color w:val="808080"/>
    </w:rPr>
  </w:style>
  <w:style w:type="character" w:customStyle="1" w:styleId="hb4Char">
    <w:name w:val="hb4 Char"/>
    <w:link w:val="hb4"/>
    <w:qFormat/>
    <w:rPr>
      <w:rFonts w:ascii="Arial Narrow" w:eastAsia="汉鼎简书宋" w:hAnsi="Arial Narrow"/>
      <w:kern w:val="2"/>
      <w:sz w:val="24"/>
      <w:lang w:val="en-US" w:eastAsia="zh-CN"/>
    </w:rPr>
  </w:style>
  <w:style w:type="paragraph" w:customStyle="1" w:styleId="hb4">
    <w:name w:val="hb4"/>
    <w:basedOn w:val="40"/>
    <w:link w:val="hb4Char"/>
    <w:qFormat/>
    <w:pPr>
      <w:spacing w:before="0" w:after="0" w:line="500" w:lineRule="exact"/>
    </w:pPr>
    <w:rPr>
      <w:rFonts w:ascii="Arial Narrow" w:eastAsia="汉鼎简书宋" w:hAnsi="Arial Narrow"/>
      <w:sz w:val="24"/>
    </w:rPr>
  </w:style>
  <w:style w:type="character" w:customStyle="1" w:styleId="aff4">
    <w:name w:val="批注框文本 字符"/>
    <w:link w:val="aff3"/>
    <w:uiPriority w:val="99"/>
    <w:qFormat/>
    <w:rPr>
      <w:rFonts w:ascii="宋体" w:eastAsia="宋体" w:hAnsi="宋体"/>
      <w:kern w:val="2"/>
      <w:sz w:val="18"/>
      <w:lang w:val="en-US" w:eastAsia="zh-CN" w:bidi="ar-SA"/>
    </w:rPr>
  </w:style>
  <w:style w:type="character" w:customStyle="1" w:styleId="0303Char">
    <w:name w:val="样式 样式 标题四 + 非加粗 + 段前: 0.3 行 段后: 0.3 行 Char"/>
    <w:link w:val="0303"/>
    <w:qFormat/>
    <w:rPr>
      <w:rFonts w:ascii="黑体" w:eastAsia="黑体" w:cs="宋体"/>
      <w:snapToGrid w:val="0"/>
      <w:kern w:val="2"/>
      <w:sz w:val="24"/>
      <w:szCs w:val="24"/>
      <w:lang w:val="en-US" w:eastAsia="zh-CN"/>
    </w:rPr>
  </w:style>
  <w:style w:type="paragraph" w:customStyle="1" w:styleId="0303">
    <w:name w:val="样式 样式 标题四 + 非加粗 + 段前: 0.3 行 段后: 0.3 行"/>
    <w:basedOn w:val="a"/>
    <w:link w:val="0303Char"/>
    <w:qFormat/>
    <w:pPr>
      <w:autoSpaceDE w:val="0"/>
      <w:autoSpaceDN w:val="0"/>
      <w:adjustRightInd w:val="0"/>
      <w:spacing w:line="360" w:lineRule="auto"/>
      <w:ind w:firstLineChars="175" w:firstLine="420"/>
      <w:textAlignment w:val="baseline"/>
    </w:pPr>
    <w:rPr>
      <w:rFonts w:ascii="黑体" w:eastAsia="黑体" w:cs="宋体"/>
      <w:snapToGrid w:val="0"/>
      <w:szCs w:val="24"/>
    </w:rPr>
  </w:style>
  <w:style w:type="character" w:customStyle="1" w:styleId="unnamed31">
    <w:name w:val="unnamed31"/>
    <w:qFormat/>
    <w:rPr>
      <w:sz w:val="18"/>
    </w:rPr>
  </w:style>
  <w:style w:type="character" w:customStyle="1" w:styleId="CharChar9">
    <w:name w:val="Char Char9"/>
    <w:qFormat/>
    <w:rPr>
      <w:rFonts w:eastAsia="宋体"/>
      <w:sz w:val="24"/>
      <w:szCs w:val="24"/>
      <w:lang w:val="en-US" w:eastAsia="zh-CN" w:bidi="ar-SA"/>
    </w:rPr>
  </w:style>
  <w:style w:type="character" w:customStyle="1" w:styleId="afffff9">
    <w:name w:val="引用 字符"/>
    <w:link w:val="afffffa"/>
    <w:qFormat/>
    <w:rPr>
      <w:rFonts w:eastAsia="汉鼎简书宋"/>
      <w:i/>
      <w:color w:val="000000"/>
      <w:kern w:val="2"/>
      <w:sz w:val="24"/>
      <w:lang w:val="en-US" w:eastAsia="zh-CN"/>
    </w:rPr>
  </w:style>
  <w:style w:type="paragraph" w:styleId="afffffa">
    <w:name w:val="Quote"/>
    <w:basedOn w:val="a"/>
    <w:next w:val="a"/>
    <w:link w:val="afffff9"/>
    <w:qFormat/>
    <w:pPr>
      <w:topLinePunct/>
      <w:spacing w:line="529" w:lineRule="exact"/>
      <w:ind w:firstLineChars="200" w:firstLine="200"/>
    </w:pPr>
    <w:rPr>
      <w:rFonts w:eastAsia="汉鼎简书宋"/>
      <w:i/>
      <w:color w:val="000000"/>
    </w:rPr>
  </w:style>
  <w:style w:type="character" w:customStyle="1" w:styleId="secondChar">
    <w:name w:val="second Char"/>
    <w:link w:val="second"/>
    <w:qFormat/>
    <w:rPr>
      <w:rFonts w:ascii="Arial" w:eastAsia="宋体" w:hAnsi="Arial"/>
      <w:b/>
      <w:kern w:val="2"/>
      <w:sz w:val="28"/>
      <w:lang w:val="en-US" w:eastAsia="zh-CN" w:bidi="ar-SA"/>
    </w:rPr>
  </w:style>
  <w:style w:type="paragraph" w:customStyle="1" w:styleId="second">
    <w:name w:val="second"/>
    <w:basedOn w:val="2"/>
    <w:link w:val="secondChar"/>
    <w:qFormat/>
    <w:pPr>
      <w:snapToGrid w:val="0"/>
      <w:spacing w:before="480" w:after="240" w:line="416" w:lineRule="atLeast"/>
    </w:pPr>
    <w:rPr>
      <w:rFonts w:eastAsia="宋体"/>
      <w:b/>
      <w:sz w:val="28"/>
    </w:rPr>
  </w:style>
  <w:style w:type="character" w:customStyle="1" w:styleId="Char12">
    <w:name w:val="节，一 Char1"/>
    <w:qFormat/>
    <w:rPr>
      <w:rFonts w:ascii="Arial" w:eastAsia="黑体" w:hAnsi="Arial"/>
      <w:b/>
      <w:kern w:val="2"/>
      <w:sz w:val="32"/>
      <w:lang w:val="en-US" w:eastAsia="zh-CN" w:bidi="ar-SA"/>
    </w:rPr>
  </w:style>
  <w:style w:type="character" w:customStyle="1" w:styleId="hp2Char">
    <w:name w:val="hp2 Char"/>
    <w:link w:val="hp2"/>
    <w:qFormat/>
    <w:rPr>
      <w:rFonts w:ascii="宋体" w:eastAsia="汉鼎简书宋" w:hAnsi="宋体"/>
      <w:b/>
      <w:kern w:val="2"/>
      <w:sz w:val="32"/>
      <w:lang w:val="en-US" w:eastAsia="zh-CN"/>
    </w:rPr>
  </w:style>
  <w:style w:type="paragraph" w:customStyle="1" w:styleId="hp2">
    <w:name w:val="hp2"/>
    <w:basedOn w:val="2"/>
    <w:link w:val="hp2Char"/>
    <w:qFormat/>
    <w:pPr>
      <w:spacing w:line="500" w:lineRule="exact"/>
    </w:pPr>
    <w:rPr>
      <w:rFonts w:eastAsia="汉鼎简书宋"/>
      <w:b/>
      <w:sz w:val="32"/>
    </w:rPr>
  </w:style>
  <w:style w:type="character" w:customStyle="1" w:styleId="hb3Char1">
    <w:name w:val="hb3 Char1"/>
    <w:qFormat/>
    <w:rPr>
      <w:rFonts w:eastAsia="宋体"/>
      <w:b/>
      <w:sz w:val="24"/>
      <w:lang w:val="en-US" w:eastAsia="zh-CN"/>
    </w:rPr>
  </w:style>
  <w:style w:type="character" w:customStyle="1" w:styleId="Charf">
    <w:name w:val="表标题 Char"/>
    <w:link w:val="afffffb"/>
    <w:qFormat/>
    <w:rPr>
      <w:rFonts w:ascii="宋体" w:eastAsia="汉鼎简书宋" w:hAnsi="宋体"/>
      <w:b/>
      <w:color w:val="4F81BD"/>
      <w:spacing w:val="30"/>
      <w:kern w:val="32"/>
      <w:sz w:val="30"/>
      <w:lang w:val="en-US" w:eastAsia="zh-CN"/>
    </w:rPr>
  </w:style>
  <w:style w:type="paragraph" w:customStyle="1" w:styleId="afffffb">
    <w:name w:val="表标题"/>
    <w:basedOn w:val="afff9"/>
    <w:link w:val="Charf"/>
    <w:qFormat/>
    <w:pPr>
      <w:spacing w:beforeLines="100" w:before="312" w:afterLines="50" w:after="156" w:line="240" w:lineRule="exact"/>
      <w:ind w:firstLineChars="150" w:firstLine="542"/>
    </w:pPr>
    <w:rPr>
      <w:rFonts w:ascii="宋体" w:eastAsia="汉鼎简书宋"/>
      <w:spacing w:val="30"/>
      <w:kern w:val="32"/>
      <w:sz w:val="30"/>
    </w:rPr>
  </w:style>
  <w:style w:type="character" w:customStyle="1" w:styleId="af8">
    <w:name w:val="正文文本 字符"/>
    <w:link w:val="af7"/>
    <w:qFormat/>
    <w:rPr>
      <w:rFonts w:ascii="仿宋_GB2312" w:eastAsia="仿宋_GB2312"/>
      <w:color w:val="000000"/>
      <w:kern w:val="2"/>
      <w:sz w:val="21"/>
      <w:lang w:val="en-US" w:eastAsia="zh-CN"/>
    </w:rPr>
  </w:style>
  <w:style w:type="character" w:customStyle="1" w:styleId="afffa">
    <w:name w:val="正文文本首行缩进 字符"/>
    <w:link w:val="afff9"/>
    <w:qFormat/>
    <w:rPr>
      <w:rFonts w:ascii="宋体" w:eastAsia="宋体" w:hAnsi="宋体" w:cs="Times New Roman"/>
      <w:kern w:val="2"/>
      <w:sz w:val="21"/>
      <w:szCs w:val="20"/>
    </w:rPr>
  </w:style>
  <w:style w:type="character" w:customStyle="1" w:styleId="Char21">
    <w:name w:val="正文文本 Char2"/>
    <w:qFormat/>
    <w:rPr>
      <w:rFonts w:ascii="宋体" w:eastAsia="宋体" w:hAnsi="宋体" w:cs="Times New Roman"/>
      <w:sz w:val="24"/>
      <w:szCs w:val="20"/>
    </w:rPr>
  </w:style>
  <w:style w:type="character" w:customStyle="1" w:styleId="style11">
    <w:name w:val="style11"/>
    <w:qFormat/>
    <w:rPr>
      <w:color w:val="FF0000"/>
    </w:rPr>
  </w:style>
  <w:style w:type="character" w:customStyle="1" w:styleId="txt141">
    <w:name w:val="txt141"/>
    <w:qFormat/>
    <w:rPr>
      <w:color w:val="333333"/>
      <w:sz w:val="21"/>
      <w:u w:val="none"/>
    </w:rPr>
  </w:style>
  <w:style w:type="character" w:customStyle="1" w:styleId="CharChar241">
    <w:name w:val="Char Char241"/>
    <w:qFormat/>
    <w:rPr>
      <w:rFonts w:ascii="Arial" w:eastAsia="黑体" w:hAnsi="Arial"/>
      <w:b/>
      <w:bCs/>
      <w:sz w:val="24"/>
      <w:szCs w:val="24"/>
      <w:lang w:val="en-US" w:eastAsia="zh-CN" w:bidi="ar-SA"/>
    </w:rPr>
  </w:style>
  <w:style w:type="character" w:customStyle="1" w:styleId="CharChar23">
    <w:name w:val="Char Char23"/>
    <w:qFormat/>
    <w:rPr>
      <w:rFonts w:eastAsia="汉鼎简书宋"/>
      <w:kern w:val="32"/>
      <w:sz w:val="24"/>
      <w:lang w:val="en-US" w:eastAsia="zh-CN"/>
    </w:rPr>
  </w:style>
  <w:style w:type="character" w:customStyle="1" w:styleId="CharChar2">
    <w:name w:val="表文字 Char Char"/>
    <w:qFormat/>
    <w:rPr>
      <w:rFonts w:eastAsia="宋体"/>
      <w:sz w:val="21"/>
      <w:lang w:val="en-US" w:eastAsia="zh-CN"/>
    </w:rPr>
  </w:style>
  <w:style w:type="character" w:customStyle="1" w:styleId="Charf0">
    <w:name w:val="图表名称 Char"/>
    <w:link w:val="afffffc"/>
    <w:qFormat/>
    <w:rPr>
      <w:rFonts w:eastAsia="宋体"/>
      <w:b/>
      <w:kern w:val="2"/>
      <w:sz w:val="24"/>
      <w:szCs w:val="24"/>
      <w:lang w:val="en-US" w:eastAsia="zh-CN" w:bidi="ar-SA"/>
    </w:rPr>
  </w:style>
  <w:style w:type="paragraph" w:customStyle="1" w:styleId="afffffc">
    <w:name w:val="图表名称"/>
    <w:basedOn w:val="a"/>
    <w:link w:val="Charf0"/>
    <w:qFormat/>
    <w:pPr>
      <w:spacing w:beforeLines="50" w:before="156" w:line="529" w:lineRule="exact"/>
      <w:jc w:val="center"/>
    </w:pPr>
    <w:rPr>
      <w:b/>
      <w:szCs w:val="24"/>
    </w:rPr>
  </w:style>
  <w:style w:type="character" w:customStyle="1" w:styleId="hb2Char1">
    <w:name w:val="hb2 Char1"/>
    <w:link w:val="hb20"/>
    <w:qFormat/>
    <w:rPr>
      <w:rFonts w:ascii="宋体" w:eastAsia="宋体" w:hAnsi="宋体"/>
      <w:b/>
      <w:sz w:val="28"/>
      <w:lang w:val="en-US" w:eastAsia="zh-CN"/>
    </w:rPr>
  </w:style>
  <w:style w:type="paragraph" w:customStyle="1" w:styleId="hb20">
    <w:name w:val="hb2"/>
    <w:basedOn w:val="2"/>
    <w:link w:val="hb2Char1"/>
    <w:qFormat/>
    <w:pPr>
      <w:adjustRightInd w:val="0"/>
      <w:spacing w:beforeLines="50" w:before="156" w:afterLines="50" w:after="156" w:line="360" w:lineRule="auto"/>
      <w:jc w:val="left"/>
      <w:textAlignment w:val="baseline"/>
    </w:pPr>
    <w:rPr>
      <w:rFonts w:eastAsia="宋体"/>
      <w:b/>
      <w:sz w:val="28"/>
    </w:rPr>
  </w:style>
  <w:style w:type="character" w:customStyle="1" w:styleId="CharCharChar2">
    <w:name w:val="Char Char Char2"/>
    <w:qFormat/>
    <w:rPr>
      <w:rFonts w:eastAsia="宋体"/>
      <w:b/>
      <w:bCs/>
      <w:sz w:val="32"/>
      <w:szCs w:val="32"/>
      <w:lang w:val="en-US" w:eastAsia="zh-CN"/>
    </w:rPr>
  </w:style>
  <w:style w:type="character" w:customStyle="1" w:styleId="hb2CharChar1">
    <w:name w:val="hb2 Char Char1"/>
    <w:qFormat/>
    <w:rPr>
      <w:rFonts w:ascii="Arial" w:eastAsia="宋体" w:hAnsi="Arial"/>
      <w:b/>
      <w:bCs/>
      <w:kern w:val="2"/>
      <w:sz w:val="28"/>
      <w:szCs w:val="32"/>
      <w:lang w:val="en-US" w:eastAsia="zh-CN" w:bidi="ar-SA"/>
    </w:rPr>
  </w:style>
  <w:style w:type="character" w:customStyle="1" w:styleId="39">
    <w:name w:val="正文文本缩进 3 字符"/>
    <w:link w:val="38"/>
    <w:qFormat/>
    <w:rPr>
      <w:rFonts w:eastAsia="宋体"/>
      <w:kern w:val="2"/>
      <w:sz w:val="16"/>
      <w:lang w:val="en-US" w:eastAsia="zh-CN"/>
    </w:rPr>
  </w:style>
  <w:style w:type="character" w:customStyle="1" w:styleId="BodyText2Char1">
    <w:name w:val="Body Text 2 Char1"/>
    <w:qFormat/>
    <w:rPr>
      <w:rFonts w:ascii="宋体" w:eastAsia="宋体" w:hAnsi="宋体"/>
      <w:sz w:val="28"/>
      <w:lang w:val="en-US" w:eastAsia="zh-CN" w:bidi="ar-SA"/>
    </w:rPr>
  </w:style>
  <w:style w:type="character" w:customStyle="1" w:styleId="hb1TimesNewRomanChar">
    <w:name w:val="样式 hb1 + Times New Roman Char"/>
    <w:link w:val="hb1TimesNewRoman"/>
    <w:qFormat/>
    <w:rPr>
      <w:rFonts w:eastAsia="汉鼎简书宋"/>
      <w:b/>
      <w:kern w:val="2"/>
      <w:sz w:val="28"/>
      <w:lang w:val="en-US" w:eastAsia="zh-CN"/>
    </w:rPr>
  </w:style>
  <w:style w:type="paragraph" w:customStyle="1" w:styleId="hb1TimesNewRoman">
    <w:name w:val="样式 hb1 + Times New Roman"/>
    <w:basedOn w:val="1"/>
    <w:link w:val="hb1TimesNewRomanChar"/>
    <w:qFormat/>
    <w:pPr>
      <w:topLinePunct/>
      <w:adjustRightInd w:val="0"/>
      <w:spacing w:before="120" w:after="360" w:line="480" w:lineRule="atLeast"/>
      <w:textAlignment w:val="baseline"/>
    </w:pPr>
    <w:rPr>
      <w:rFonts w:eastAsia="汉鼎简书宋"/>
      <w:kern w:val="2"/>
      <w:sz w:val="28"/>
    </w:rPr>
  </w:style>
  <w:style w:type="character" w:customStyle="1" w:styleId="hb1Char">
    <w:name w:val="hb1 Char"/>
    <w:link w:val="hb1"/>
    <w:uiPriority w:val="9"/>
    <w:qFormat/>
    <w:rPr>
      <w:rFonts w:eastAsia="黑体"/>
      <w:b/>
      <w:kern w:val="44"/>
      <w:sz w:val="36"/>
      <w:lang w:val="en-US" w:eastAsia="zh-CN"/>
    </w:rPr>
  </w:style>
  <w:style w:type="paragraph" w:customStyle="1" w:styleId="hb1">
    <w:name w:val="hb1"/>
    <w:basedOn w:val="1"/>
    <w:link w:val="hb1Char"/>
    <w:qFormat/>
    <w:pPr>
      <w:adjustRightInd w:val="0"/>
      <w:spacing w:line="578" w:lineRule="atLeast"/>
      <w:jc w:val="center"/>
      <w:textAlignment w:val="baseline"/>
    </w:pPr>
    <w:rPr>
      <w:rFonts w:eastAsia="黑体"/>
      <w:b w:val="0"/>
      <w:sz w:val="36"/>
    </w:rPr>
  </w:style>
  <w:style w:type="character" w:customStyle="1" w:styleId="H5Char">
    <w:name w:val="H5 Char"/>
    <w:uiPriority w:val="9"/>
    <w:qFormat/>
    <w:rPr>
      <w:rFonts w:ascii="Times New Roman" w:eastAsia="宋体" w:hAnsi="Times New Roman"/>
      <w:b/>
      <w:kern w:val="0"/>
      <w:sz w:val="28"/>
    </w:rPr>
  </w:style>
  <w:style w:type="character" w:customStyle="1" w:styleId="afffffd">
    <w:name w:val="样式 黑体 三号"/>
    <w:qFormat/>
    <w:rPr>
      <w:rFonts w:ascii="黑体" w:eastAsia="黑体"/>
      <w:b/>
      <w:position w:val="8"/>
      <w:sz w:val="32"/>
    </w:rPr>
  </w:style>
  <w:style w:type="character" w:customStyle="1" w:styleId="CharChar19">
    <w:name w:val="Char Char19"/>
    <w:qFormat/>
    <w:rPr>
      <w:rFonts w:ascii="宋体" w:eastAsia="宋体"/>
      <w:kern w:val="2"/>
      <w:sz w:val="24"/>
      <w:lang w:val="en-US" w:eastAsia="zh-CN" w:bidi="ar-SA"/>
    </w:rPr>
  </w:style>
  <w:style w:type="character" w:customStyle="1" w:styleId="pt101">
    <w:name w:val="pt101"/>
    <w:qFormat/>
    <w:rPr>
      <w:color w:val="000000"/>
      <w:sz w:val="21"/>
    </w:rPr>
  </w:style>
  <w:style w:type="character" w:customStyle="1" w:styleId="2hb2Char">
    <w:name w:val="样式 标题 2hb2 + 小四 Char"/>
    <w:link w:val="2hb2"/>
    <w:qFormat/>
    <w:rPr>
      <w:rFonts w:ascii="宋体" w:eastAsia="宋体" w:hAnsi="宋体"/>
      <w:b/>
      <w:kern w:val="2"/>
      <w:sz w:val="24"/>
      <w:lang w:val="en-US" w:eastAsia="zh-CN"/>
    </w:rPr>
  </w:style>
  <w:style w:type="paragraph" w:customStyle="1" w:styleId="2hb2">
    <w:name w:val="样式 标题 2hb2 + 小四"/>
    <w:basedOn w:val="2"/>
    <w:link w:val="2hb2Char"/>
    <w:qFormat/>
    <w:pPr>
      <w:spacing w:before="480" w:after="480" w:line="240" w:lineRule="auto"/>
    </w:pPr>
    <w:rPr>
      <w:rFonts w:eastAsia="宋体"/>
    </w:rPr>
  </w:style>
  <w:style w:type="character" w:customStyle="1" w:styleId="Charf1">
    <w:name w:val="正文段 Char"/>
    <w:link w:val="afffffe"/>
    <w:qFormat/>
    <w:rPr>
      <w:rFonts w:eastAsia="仿宋_GB2312"/>
      <w:kern w:val="2"/>
      <w:sz w:val="28"/>
      <w:szCs w:val="24"/>
    </w:rPr>
  </w:style>
  <w:style w:type="paragraph" w:customStyle="1" w:styleId="afffffe">
    <w:name w:val="正文段"/>
    <w:basedOn w:val="a"/>
    <w:link w:val="Charf1"/>
    <w:qFormat/>
    <w:pPr>
      <w:spacing w:line="360" w:lineRule="auto"/>
      <w:ind w:firstLineChars="200" w:firstLine="200"/>
    </w:pPr>
    <w:rPr>
      <w:rFonts w:eastAsia="仿宋_GB2312"/>
      <w:sz w:val="28"/>
      <w:szCs w:val="24"/>
    </w:rPr>
  </w:style>
  <w:style w:type="character" w:customStyle="1" w:styleId="4Char">
    <w:name w:val="标题 4 Char"/>
    <w:qFormat/>
    <w:rPr>
      <w:rFonts w:ascii="Cambria" w:eastAsia="宋体" w:hAnsi="Cambria"/>
      <w:b/>
      <w:sz w:val="28"/>
    </w:rPr>
  </w:style>
  <w:style w:type="character" w:customStyle="1" w:styleId="CharCharChar0">
    <w:name w:val="於正文 Char Char Char"/>
    <w:link w:val="CharChar5"/>
    <w:qFormat/>
    <w:rPr>
      <w:rFonts w:ascii="仿宋_GB2312" w:eastAsia="仿宋_GB2312" w:hAnsi="仿宋_GB2312"/>
      <w:color w:val="0000FF"/>
      <w:kern w:val="2"/>
      <w:sz w:val="30"/>
      <w:szCs w:val="24"/>
      <w:lang w:val="en-US" w:eastAsia="zh-CN" w:bidi="ar-SA"/>
    </w:rPr>
  </w:style>
  <w:style w:type="paragraph" w:customStyle="1" w:styleId="CharChar5">
    <w:name w:val="於正文 Char Char"/>
    <w:basedOn w:val="a"/>
    <w:link w:val="CharCharChar0"/>
    <w:qFormat/>
    <w:pPr>
      <w:spacing w:line="360" w:lineRule="auto"/>
      <w:ind w:firstLineChars="200" w:firstLine="200"/>
    </w:pPr>
    <w:rPr>
      <w:rFonts w:ascii="仿宋_GB2312" w:eastAsia="仿宋_GB2312" w:hAnsi="仿宋_GB2312"/>
      <w:color w:val="0000FF"/>
      <w:sz w:val="30"/>
      <w:szCs w:val="24"/>
    </w:rPr>
  </w:style>
  <w:style w:type="character" w:customStyle="1" w:styleId="hb3CharChar0">
    <w:name w:val="hb3 Char Char"/>
    <w:qFormat/>
    <w:rPr>
      <w:rFonts w:ascii="宋体" w:eastAsia="宋体" w:hAnsi="宋体"/>
      <w:b/>
      <w:sz w:val="24"/>
      <w:lang w:val="en-US" w:eastAsia="zh-CN"/>
    </w:rPr>
  </w:style>
  <w:style w:type="character" w:customStyle="1" w:styleId="BChar">
    <w:name w:val="B正文 Char"/>
    <w:link w:val="B"/>
    <w:qFormat/>
    <w:rPr>
      <w:rFonts w:eastAsia="宋体"/>
      <w:kern w:val="2"/>
      <w:sz w:val="24"/>
      <w:szCs w:val="24"/>
      <w:lang w:val="en-US" w:eastAsia="zh-CN" w:bidi="ar-SA"/>
    </w:rPr>
  </w:style>
  <w:style w:type="paragraph" w:customStyle="1" w:styleId="B">
    <w:name w:val="B正文"/>
    <w:basedOn w:val="a"/>
    <w:link w:val="BChar"/>
    <w:qFormat/>
    <w:pPr>
      <w:autoSpaceDE w:val="0"/>
      <w:autoSpaceDN w:val="0"/>
      <w:spacing w:beforeLines="50" w:before="156" w:afterLines="50" w:after="156" w:line="360" w:lineRule="auto"/>
      <w:ind w:firstLineChars="200" w:firstLine="200"/>
    </w:pPr>
    <w:rPr>
      <w:szCs w:val="24"/>
    </w:rPr>
  </w:style>
  <w:style w:type="character" w:customStyle="1" w:styleId="Charf2">
    <w:name w:val="正文 + 宋体 Char"/>
    <w:qFormat/>
    <w:rPr>
      <w:rFonts w:ascii="宋体" w:eastAsia="宋体" w:hAnsi="宋体"/>
      <w:sz w:val="24"/>
      <w:lang w:val="en-US" w:eastAsia="zh-CN"/>
    </w:rPr>
  </w:style>
  <w:style w:type="character" w:customStyle="1" w:styleId="Char22">
    <w:name w:val="表头 Char2"/>
    <w:qFormat/>
    <w:rPr>
      <w:rFonts w:ascii="宋体" w:eastAsia="汉鼎简书宋" w:hAnsi="宋体"/>
      <w:b/>
      <w:kern w:val="32"/>
      <w:sz w:val="24"/>
      <w:lang w:val="en-US" w:eastAsia="zh-CN"/>
    </w:rPr>
  </w:style>
  <w:style w:type="character" w:customStyle="1" w:styleId="e011">
    <w:name w:val="e011"/>
    <w:qFormat/>
    <w:rPr>
      <w:sz w:val="28"/>
      <w:szCs w:val="28"/>
    </w:rPr>
  </w:style>
  <w:style w:type="character" w:customStyle="1" w:styleId="HP3Char">
    <w:name w:val="HP3 Char"/>
    <w:link w:val="HP3"/>
    <w:qFormat/>
    <w:rPr>
      <w:rFonts w:ascii="黑体" w:eastAsia="黑体" w:hAnsi="宋体"/>
      <w:kern w:val="2"/>
      <w:sz w:val="28"/>
      <w:lang w:val="en-US" w:eastAsia="zh-CN"/>
    </w:rPr>
  </w:style>
  <w:style w:type="paragraph" w:customStyle="1" w:styleId="HP3">
    <w:name w:val="HP3"/>
    <w:basedOn w:val="3"/>
    <w:link w:val="HP3Char"/>
    <w:qFormat/>
    <w:pPr>
      <w:spacing w:line="360" w:lineRule="exact"/>
      <w:textAlignment w:val="baseline"/>
    </w:pPr>
    <w:rPr>
      <w:rFonts w:ascii="黑体" w:eastAsia="黑体"/>
      <w:sz w:val="28"/>
    </w:rPr>
  </w:style>
  <w:style w:type="character" w:customStyle="1" w:styleId="7Char">
    <w:name w:val="样式7 Char"/>
    <w:link w:val="74"/>
    <w:qFormat/>
    <w:rPr>
      <w:rFonts w:ascii="宋体" w:eastAsia="汉鼎简书宋"/>
      <w:b/>
      <w:kern w:val="2"/>
      <w:sz w:val="28"/>
      <w:lang w:val="en-US" w:eastAsia="zh-CN"/>
    </w:rPr>
  </w:style>
  <w:style w:type="paragraph" w:customStyle="1" w:styleId="74">
    <w:name w:val="样式7"/>
    <w:basedOn w:val="7"/>
    <w:link w:val="7Char"/>
    <w:qFormat/>
    <w:pPr>
      <w:tabs>
        <w:tab w:val="clear" w:pos="1296"/>
        <w:tab w:val="left" w:pos="1021"/>
        <w:tab w:val="left" w:pos="1247"/>
      </w:tabs>
      <w:spacing w:before="0" w:after="0" w:line="360" w:lineRule="auto"/>
      <w:ind w:left="0" w:firstLine="420"/>
    </w:pPr>
    <w:rPr>
      <w:rFonts w:eastAsia="汉鼎简书宋"/>
      <w:b w:val="0"/>
      <w:sz w:val="28"/>
    </w:rPr>
  </w:style>
  <w:style w:type="character" w:customStyle="1" w:styleId="AAAChar">
    <w:name w:val="AAA新正文 Char"/>
    <w:link w:val="AAA"/>
    <w:qFormat/>
    <w:rPr>
      <w:rFonts w:eastAsia="宋体"/>
      <w:color w:val="000000"/>
      <w:kern w:val="2"/>
      <w:sz w:val="24"/>
      <w:szCs w:val="24"/>
      <w:lang w:val="en-US" w:eastAsia="zh-CN" w:bidi="ar-SA"/>
    </w:rPr>
  </w:style>
  <w:style w:type="paragraph" w:customStyle="1" w:styleId="AAA">
    <w:name w:val="AAA新正文"/>
    <w:basedOn w:val="a"/>
    <w:link w:val="AAAChar"/>
    <w:qFormat/>
    <w:pPr>
      <w:spacing w:line="529" w:lineRule="exact"/>
      <w:ind w:firstLine="482"/>
    </w:pPr>
    <w:rPr>
      <w:color w:val="000000"/>
      <w:szCs w:val="24"/>
    </w:rPr>
  </w:style>
  <w:style w:type="character" w:customStyle="1" w:styleId="H7Char">
    <w:name w:val="H7 Char"/>
    <w:qFormat/>
    <w:rPr>
      <w:rFonts w:ascii="Times New Roman" w:eastAsia="宋体" w:hAnsi="Times New Roman"/>
      <w:b/>
      <w:sz w:val="24"/>
    </w:rPr>
  </w:style>
  <w:style w:type="character" w:customStyle="1" w:styleId="Charf3">
    <w:name w:val="好正文 Char"/>
    <w:link w:val="affffff"/>
    <w:qFormat/>
    <w:rPr>
      <w:rFonts w:eastAsia="宋体"/>
      <w:kern w:val="2"/>
      <w:sz w:val="24"/>
      <w:szCs w:val="24"/>
      <w:lang w:val="en-US" w:eastAsia="zh-CN" w:bidi="ar-SA"/>
    </w:rPr>
  </w:style>
  <w:style w:type="paragraph" w:customStyle="1" w:styleId="affffff">
    <w:name w:val="好正文"/>
    <w:basedOn w:val="a"/>
    <w:link w:val="Charf3"/>
    <w:qFormat/>
    <w:pPr>
      <w:spacing w:line="360" w:lineRule="auto"/>
      <w:ind w:firstLineChars="200" w:firstLine="480"/>
    </w:pPr>
    <w:rPr>
      <w:szCs w:val="24"/>
    </w:rPr>
  </w:style>
  <w:style w:type="character" w:customStyle="1" w:styleId="CharChar251">
    <w:name w:val="Char Char251"/>
    <w:qFormat/>
    <w:rPr>
      <w:rFonts w:eastAsia="宋体"/>
      <w:b/>
      <w:bCs/>
      <w:kern w:val="2"/>
      <w:sz w:val="28"/>
      <w:szCs w:val="28"/>
      <w:lang w:val="en-US" w:eastAsia="zh-CN" w:bidi="ar-SA"/>
    </w:rPr>
  </w:style>
  <w:style w:type="character" w:customStyle="1" w:styleId="CharChar141">
    <w:name w:val="Char Char141"/>
    <w:qFormat/>
    <w:rPr>
      <w:rFonts w:eastAsia="宋体"/>
      <w:kern w:val="2"/>
      <w:sz w:val="18"/>
      <w:lang w:val="en-US" w:eastAsia="zh-CN" w:bidi="ar-SA"/>
    </w:rPr>
  </w:style>
  <w:style w:type="character" w:customStyle="1" w:styleId="Charf4">
    <w:name w:val="表头 Char"/>
    <w:link w:val="affffff0"/>
    <w:qFormat/>
    <w:rPr>
      <w:rFonts w:ascii="宋体" w:eastAsia="宋体" w:hAnsi="宋体"/>
      <w:b/>
      <w:kern w:val="24"/>
      <w:sz w:val="24"/>
      <w:lang w:val="en-US" w:eastAsia="zh-CN"/>
    </w:rPr>
  </w:style>
  <w:style w:type="paragraph" w:customStyle="1" w:styleId="affffff0">
    <w:name w:val="表头"/>
    <w:basedOn w:val="a"/>
    <w:next w:val="a"/>
    <w:link w:val="Charf4"/>
    <w:qFormat/>
    <w:pPr>
      <w:tabs>
        <w:tab w:val="left" w:pos="6840"/>
      </w:tabs>
      <w:topLinePunct/>
      <w:snapToGrid w:val="0"/>
      <w:spacing w:line="529" w:lineRule="exact"/>
    </w:pPr>
    <w:rPr>
      <w:b/>
      <w:kern w:val="24"/>
    </w:rPr>
  </w:style>
  <w:style w:type="character" w:customStyle="1" w:styleId="ourfont2">
    <w:name w:val="ourfont2"/>
    <w:basedOn w:val="a0"/>
    <w:qFormat/>
  </w:style>
  <w:style w:type="character" w:customStyle="1" w:styleId="Charf5">
    <w:name w:val="这是文本 Char"/>
    <w:link w:val="affffff1"/>
    <w:qFormat/>
    <w:rPr>
      <w:rFonts w:eastAsia="宋体"/>
      <w:kern w:val="2"/>
      <w:sz w:val="24"/>
      <w:szCs w:val="24"/>
      <w:lang w:val="en-US" w:eastAsia="zh-CN" w:bidi="ar-SA"/>
    </w:rPr>
  </w:style>
  <w:style w:type="paragraph" w:customStyle="1" w:styleId="affffff1">
    <w:name w:val="这是文本"/>
    <w:basedOn w:val="a"/>
    <w:link w:val="Charf5"/>
    <w:qFormat/>
    <w:pPr>
      <w:spacing w:line="529" w:lineRule="exact"/>
      <w:ind w:firstLine="482"/>
    </w:pPr>
    <w:rPr>
      <w:szCs w:val="24"/>
    </w:rPr>
  </w:style>
  <w:style w:type="character" w:customStyle="1" w:styleId="CharChar6">
    <w:name w:val="表号 Char Char"/>
    <w:qFormat/>
    <w:rPr>
      <w:rFonts w:ascii="宋体" w:eastAsia="宋体" w:hAnsi="宋体"/>
      <w:sz w:val="24"/>
      <w:lang w:val="en-US" w:eastAsia="zh-CN"/>
    </w:rPr>
  </w:style>
  <w:style w:type="character" w:customStyle="1" w:styleId="Charf6">
    <w:name w:val="首行缩进 Char"/>
    <w:link w:val="affffff2"/>
    <w:qFormat/>
    <w:rPr>
      <w:rFonts w:ascii="宋体" w:eastAsia="宋体" w:hAnsi="Times"/>
      <w:kern w:val="44"/>
      <w:sz w:val="24"/>
      <w:lang w:val="en-US" w:eastAsia="zh-CN"/>
    </w:rPr>
  </w:style>
  <w:style w:type="paragraph" w:customStyle="1" w:styleId="affffff2">
    <w:name w:val="首行缩进"/>
    <w:basedOn w:val="a"/>
    <w:link w:val="Charf6"/>
    <w:qFormat/>
    <w:pPr>
      <w:adjustRightInd w:val="0"/>
      <w:spacing w:line="529" w:lineRule="exact"/>
      <w:ind w:firstLineChars="200" w:firstLine="200"/>
      <w:textAlignment w:val="baseline"/>
    </w:pPr>
    <w:rPr>
      <w:rFonts w:hAnsi="Times"/>
      <w:kern w:val="44"/>
    </w:rPr>
  </w:style>
  <w:style w:type="character" w:customStyle="1" w:styleId="af4">
    <w:name w:val="称呼 字符"/>
    <w:link w:val="af3"/>
    <w:qFormat/>
    <w:rPr>
      <w:kern w:val="2"/>
      <w:sz w:val="24"/>
      <w:szCs w:val="24"/>
    </w:rPr>
  </w:style>
  <w:style w:type="character" w:customStyle="1" w:styleId="CharChar11">
    <w:name w:val="Char Char11"/>
    <w:qFormat/>
    <w:rPr>
      <w:rFonts w:ascii="Cambria" w:eastAsia="宋体" w:hAnsi="Cambria"/>
      <w:b/>
      <w:i/>
      <w:color w:val="4F81BD"/>
    </w:rPr>
  </w:style>
  <w:style w:type="character" w:customStyle="1" w:styleId="Char13">
    <w:name w:val="大纲正文 Char1"/>
    <w:link w:val="affffff3"/>
    <w:qFormat/>
    <w:rPr>
      <w:rFonts w:eastAsia="宋体"/>
      <w:kern w:val="2"/>
      <w:sz w:val="24"/>
      <w:lang w:val="en-US" w:eastAsia="zh-CN" w:bidi="ar-SA"/>
    </w:rPr>
  </w:style>
  <w:style w:type="paragraph" w:customStyle="1" w:styleId="affffff3">
    <w:name w:val="大纲正文"/>
    <w:basedOn w:val="a"/>
    <w:link w:val="Char13"/>
    <w:qFormat/>
    <w:pPr>
      <w:widowControl/>
      <w:adjustRightInd w:val="0"/>
      <w:snapToGrid w:val="0"/>
      <w:spacing w:after="156" w:line="300" w:lineRule="auto"/>
      <w:ind w:firstLineChars="200" w:firstLine="480"/>
    </w:pPr>
  </w:style>
  <w:style w:type="character" w:customStyle="1" w:styleId="CharChar13">
    <w:name w:val="Char Char13"/>
    <w:qFormat/>
    <w:rPr>
      <w:rFonts w:ascii="Cambria" w:eastAsia="宋体" w:hAnsi="Cambria"/>
      <w:b/>
      <w:color w:val="4F81BD"/>
      <w:sz w:val="26"/>
    </w:rPr>
  </w:style>
  <w:style w:type="character" w:customStyle="1" w:styleId="2CharChar">
    <w:name w:val="正文文字 2 Char Char"/>
    <w:qFormat/>
    <w:rPr>
      <w:rFonts w:ascii="宋体" w:eastAsia="汉鼎简书宋" w:hAnsi="宋体"/>
      <w:kern w:val="2"/>
      <w:sz w:val="24"/>
      <w:szCs w:val="24"/>
      <w:lang w:val="en-US" w:eastAsia="zh-CN" w:bidi="ar-SA"/>
    </w:rPr>
  </w:style>
  <w:style w:type="character" w:customStyle="1" w:styleId="GB2312GB231215Char">
    <w:name w:val="样式 (报告) 仿宋_GB2312 (中文) 仿宋_GB2312 四号 行距: 1.5 倍行距 Char"/>
    <w:link w:val="GB2312GB231215"/>
    <w:qFormat/>
    <w:rPr>
      <w:rFonts w:ascii="仿宋_GB2312" w:eastAsia="仿宋_GB2312" w:hAnsi="仿宋_GB2312"/>
      <w:snapToGrid w:val="0"/>
      <w:color w:val="000000"/>
      <w:sz w:val="28"/>
      <w:lang w:val="en-US" w:eastAsia="zh-CN"/>
    </w:rPr>
  </w:style>
  <w:style w:type="paragraph" w:customStyle="1" w:styleId="GB2312GB231215">
    <w:name w:val="样式 (报告) 仿宋_GB2312 (中文) 仿宋_GB2312 四号 行距: 1.5 倍行距"/>
    <w:basedOn w:val="a"/>
    <w:link w:val="GB2312GB231215Char"/>
    <w:qFormat/>
    <w:pPr>
      <w:adjustRightInd w:val="0"/>
      <w:snapToGrid w:val="0"/>
      <w:spacing w:line="529" w:lineRule="exact"/>
      <w:ind w:firstLineChars="200" w:firstLine="200"/>
    </w:pPr>
    <w:rPr>
      <w:rFonts w:ascii="仿宋_GB2312" w:eastAsia="仿宋_GB2312" w:hAnsi="仿宋_GB2312"/>
      <w:snapToGrid w:val="0"/>
      <w:color w:val="000000"/>
      <w:sz w:val="28"/>
    </w:rPr>
  </w:style>
  <w:style w:type="character" w:customStyle="1" w:styleId="Charf7">
    <w:name w:val="正文首行缩进 Char"/>
    <w:qFormat/>
    <w:rPr>
      <w:rFonts w:ascii="宋体" w:eastAsia="汉鼎简书宋" w:hAnsi="宋体" w:cs="宋体"/>
      <w:kern w:val="32"/>
      <w:sz w:val="24"/>
      <w:szCs w:val="24"/>
      <w:lang w:val="en-US" w:eastAsia="zh-CN" w:bidi="ar-SA"/>
    </w:rPr>
  </w:style>
  <w:style w:type="character" w:customStyle="1" w:styleId="Charf8">
    <w:name w:val="正文文本 Char"/>
    <w:qFormat/>
    <w:rPr>
      <w:rFonts w:eastAsia="宋体"/>
      <w:kern w:val="2"/>
      <w:sz w:val="24"/>
      <w:lang w:val="en-US" w:eastAsia="zh-CN" w:bidi="ar-SA"/>
    </w:rPr>
  </w:style>
  <w:style w:type="character" w:customStyle="1" w:styleId="Charf9">
    <w:name w:val="正文(首行缩进) Char"/>
    <w:qFormat/>
    <w:rPr>
      <w:rFonts w:eastAsia="宋体"/>
      <w:snapToGrid w:val="0"/>
      <w:color w:val="000000"/>
      <w:sz w:val="24"/>
      <w:lang w:val="en-US" w:eastAsia="zh-CN"/>
    </w:rPr>
  </w:style>
  <w:style w:type="character" w:customStyle="1" w:styleId="aff0">
    <w:name w:val="日期 字符"/>
    <w:link w:val="aff"/>
    <w:qFormat/>
    <w:rPr>
      <w:rFonts w:eastAsia="宋体"/>
      <w:kern w:val="2"/>
      <w:sz w:val="21"/>
      <w:lang w:val="en-US" w:eastAsia="zh-CN"/>
    </w:rPr>
  </w:style>
  <w:style w:type="character" w:customStyle="1" w:styleId="9Char">
    <w:name w:val="样式9 Char"/>
    <w:link w:val="92"/>
    <w:qFormat/>
    <w:rPr>
      <w:rFonts w:eastAsia="宋体"/>
      <w:bCs/>
      <w:kern w:val="24"/>
      <w:sz w:val="24"/>
      <w:szCs w:val="24"/>
      <w:lang w:val="en-US" w:eastAsia="zh-CN" w:bidi="ar-SA"/>
    </w:rPr>
  </w:style>
  <w:style w:type="paragraph" w:customStyle="1" w:styleId="92">
    <w:name w:val="样式9"/>
    <w:basedOn w:val="a"/>
    <w:link w:val="9Char"/>
    <w:qFormat/>
    <w:pPr>
      <w:spacing w:line="360" w:lineRule="auto"/>
      <w:ind w:firstLineChars="200" w:firstLine="200"/>
    </w:pPr>
    <w:rPr>
      <w:bCs/>
      <w:kern w:val="24"/>
      <w:szCs w:val="24"/>
    </w:rPr>
  </w:style>
  <w:style w:type="character" w:customStyle="1" w:styleId="hb2CharChar">
    <w:name w:val="hb2 Char Char"/>
    <w:qFormat/>
    <w:rPr>
      <w:rFonts w:eastAsia="宋体"/>
      <w:b/>
      <w:sz w:val="28"/>
      <w:lang w:val="en-US" w:eastAsia="zh-CN"/>
    </w:rPr>
  </w:style>
  <w:style w:type="character" w:customStyle="1" w:styleId="CharChar121">
    <w:name w:val="Char Char121"/>
    <w:qFormat/>
    <w:rPr>
      <w:rFonts w:eastAsia="宋体"/>
      <w:b/>
      <w:kern w:val="2"/>
      <w:sz w:val="32"/>
      <w:lang w:val="en-US" w:eastAsia="zh-CN" w:bidi="ar-SA"/>
    </w:rPr>
  </w:style>
  <w:style w:type="character" w:customStyle="1" w:styleId="Char14">
    <w:name w:val="报告正文 Char1"/>
    <w:link w:val="affffff4"/>
    <w:qFormat/>
    <w:rPr>
      <w:rFonts w:eastAsia="仿宋_GB2312"/>
      <w:kern w:val="2"/>
      <w:sz w:val="28"/>
    </w:rPr>
  </w:style>
  <w:style w:type="paragraph" w:customStyle="1" w:styleId="affffff4">
    <w:name w:val="报告正文"/>
    <w:basedOn w:val="a"/>
    <w:link w:val="Char14"/>
    <w:qFormat/>
    <w:pPr>
      <w:keepNext/>
      <w:adjustRightInd w:val="0"/>
      <w:snapToGrid w:val="0"/>
      <w:spacing w:line="360" w:lineRule="auto"/>
      <w:ind w:firstLine="567"/>
    </w:pPr>
    <w:rPr>
      <w:rFonts w:eastAsia="仿宋_GB2312"/>
      <w:sz w:val="28"/>
    </w:rPr>
  </w:style>
  <w:style w:type="character" w:customStyle="1" w:styleId="CharChar31">
    <w:name w:val="Char Char31"/>
    <w:qFormat/>
    <w:rPr>
      <w:rFonts w:eastAsia="宋体"/>
      <w:b/>
      <w:sz w:val="28"/>
      <w:lang w:val="en-US" w:eastAsia="zh-CN"/>
    </w:rPr>
  </w:style>
  <w:style w:type="character" w:customStyle="1" w:styleId="3CharChar1">
    <w:name w:val="正文文字缩进 3 Char Char1"/>
    <w:qFormat/>
    <w:rPr>
      <w:rFonts w:eastAsia="宋体"/>
      <w:kern w:val="2"/>
      <w:sz w:val="16"/>
      <w:lang w:val="en-US" w:eastAsia="zh-CN" w:bidi="ar-SA"/>
    </w:rPr>
  </w:style>
  <w:style w:type="character" w:customStyle="1" w:styleId="Charfa">
    <w:name w:val="节，一 Char"/>
    <w:qFormat/>
    <w:rPr>
      <w:rFonts w:ascii="Arial" w:eastAsia="黑体" w:hAnsi="Arial"/>
      <w:b/>
      <w:sz w:val="32"/>
    </w:rPr>
  </w:style>
  <w:style w:type="character" w:customStyle="1" w:styleId="Charfb">
    <w:name w:val="表、图名 Char"/>
    <w:link w:val="affffff5"/>
    <w:qFormat/>
    <w:rPr>
      <w:rFonts w:ascii="黑体" w:eastAsia="黑体" w:hAnsi="宋体"/>
      <w:color w:val="000000"/>
      <w:kern w:val="2"/>
      <w:sz w:val="24"/>
      <w:lang w:val="en-US" w:eastAsia="zh-CN"/>
    </w:rPr>
  </w:style>
  <w:style w:type="paragraph" w:customStyle="1" w:styleId="affffff5">
    <w:name w:val="表、图名"/>
    <w:basedOn w:val="a"/>
    <w:link w:val="Charfb"/>
    <w:qFormat/>
    <w:pPr>
      <w:adjustRightInd w:val="0"/>
      <w:snapToGrid w:val="0"/>
      <w:spacing w:line="529" w:lineRule="exact"/>
      <w:ind w:left="-6" w:firstLineChars="200" w:firstLine="200"/>
    </w:pPr>
    <w:rPr>
      <w:rFonts w:ascii="黑体" w:eastAsia="黑体"/>
      <w:color w:val="000000"/>
    </w:rPr>
  </w:style>
  <w:style w:type="character" w:customStyle="1" w:styleId="CharChar22">
    <w:name w:val="Char Char22"/>
    <w:qFormat/>
    <w:rPr>
      <w:rFonts w:eastAsia="宋体"/>
      <w:kern w:val="2"/>
      <w:sz w:val="18"/>
      <w:lang w:val="en-US" w:eastAsia="zh-CN"/>
    </w:rPr>
  </w:style>
  <w:style w:type="character" w:customStyle="1" w:styleId="hp">
    <w:name w:val="hp"/>
    <w:qFormat/>
    <w:rPr>
      <w:rFonts w:eastAsia="宋体"/>
      <w:b/>
      <w:sz w:val="28"/>
      <w:lang w:val="en-US" w:eastAsia="zh-CN"/>
    </w:rPr>
  </w:style>
  <w:style w:type="character" w:customStyle="1" w:styleId="apple-style-span">
    <w:name w:val="apple-style-span"/>
    <w:qFormat/>
  </w:style>
  <w:style w:type="character" w:customStyle="1" w:styleId="aff6">
    <w:name w:val="页脚 字符"/>
    <w:link w:val="aff5"/>
    <w:uiPriority w:val="99"/>
    <w:qFormat/>
    <w:rPr>
      <w:rFonts w:eastAsia="宋体"/>
      <w:kern w:val="2"/>
      <w:sz w:val="18"/>
      <w:lang w:val="en-US" w:eastAsia="zh-CN"/>
    </w:rPr>
  </w:style>
  <w:style w:type="character" w:customStyle="1" w:styleId="CharCharChar1">
    <w:name w:val="Char Char Char"/>
    <w:qFormat/>
    <w:rPr>
      <w:rFonts w:eastAsia="宋体"/>
      <w:b/>
      <w:sz w:val="32"/>
      <w:lang w:val="en-US" w:eastAsia="zh-CN"/>
    </w:rPr>
  </w:style>
  <w:style w:type="character" w:customStyle="1" w:styleId="BodyText2CharChar">
    <w:name w:val="Body Text 2 Char Char"/>
    <w:qFormat/>
    <w:rPr>
      <w:rFonts w:ascii="宋体" w:hAnsi="宋体"/>
      <w:sz w:val="28"/>
    </w:rPr>
  </w:style>
  <w:style w:type="character" w:customStyle="1" w:styleId="1CharCharChar">
    <w:name w:val="标题 1 Char Char Char"/>
    <w:qFormat/>
    <w:rPr>
      <w:rFonts w:eastAsia="宋体"/>
      <w:b/>
      <w:kern w:val="44"/>
      <w:sz w:val="44"/>
      <w:lang w:val="en-US" w:eastAsia="zh-CN"/>
    </w:rPr>
  </w:style>
  <w:style w:type="character" w:customStyle="1" w:styleId="CharChar16">
    <w:name w:val="Char Char16"/>
    <w:qFormat/>
    <w:rPr>
      <w:rFonts w:eastAsia="汉鼎简书宋"/>
      <w:bCs/>
      <w:kern w:val="32"/>
      <w:sz w:val="24"/>
      <w:szCs w:val="24"/>
      <w:lang w:val="en-US" w:eastAsia="zh-CN" w:bidi="ar-SA"/>
    </w:rPr>
  </w:style>
  <w:style w:type="character" w:customStyle="1" w:styleId="CharChar8">
    <w:name w:val="表头 Char Char"/>
    <w:qFormat/>
    <w:rPr>
      <w:rFonts w:ascii="宋体" w:eastAsia="宋体" w:hAnsi="宋体"/>
      <w:b/>
      <w:kern w:val="32"/>
      <w:sz w:val="24"/>
      <w:lang w:val="en-US" w:eastAsia="zh-CN"/>
    </w:rPr>
  </w:style>
  <w:style w:type="character" w:customStyle="1" w:styleId="CharChar131">
    <w:name w:val="Char Char131"/>
    <w:qFormat/>
    <w:rPr>
      <w:rFonts w:eastAsia="宋体"/>
      <w:kern w:val="2"/>
      <w:sz w:val="21"/>
      <w:lang w:val="en-US" w:eastAsia="zh-CN" w:bidi="ar-SA"/>
    </w:rPr>
  </w:style>
  <w:style w:type="character" w:customStyle="1" w:styleId="H8CharChar">
    <w:name w:val="H8 Char Char"/>
    <w:qFormat/>
    <w:rPr>
      <w:rFonts w:ascii="Arial" w:eastAsia="黑体" w:hAnsi="Arial"/>
      <w:kern w:val="22"/>
      <w:sz w:val="24"/>
    </w:rPr>
  </w:style>
  <w:style w:type="character" w:customStyle="1" w:styleId="headline-content2">
    <w:name w:val="headline-content2"/>
    <w:basedOn w:val="a0"/>
    <w:qFormat/>
  </w:style>
  <w:style w:type="character" w:customStyle="1" w:styleId="h21">
    <w:name w:val="h21"/>
    <w:qFormat/>
    <w:rPr>
      <w:rFonts w:ascii="Tahoma" w:hAnsi="Tahoma" w:hint="default"/>
      <w:b/>
      <w:color w:val="333399"/>
      <w:sz w:val="20"/>
    </w:rPr>
  </w:style>
  <w:style w:type="character" w:customStyle="1" w:styleId="CharChar60">
    <w:name w:val="Char Char6"/>
    <w:qFormat/>
    <w:rPr>
      <w:rFonts w:ascii="Arial" w:eastAsia="汉鼎简书宋" w:hAnsi="Arial"/>
      <w:b/>
      <w:sz w:val="32"/>
    </w:rPr>
  </w:style>
  <w:style w:type="character" w:customStyle="1" w:styleId="110">
    <w:name w:val="已访问的超链接11"/>
    <w:qFormat/>
    <w:rPr>
      <w:color w:val="800080"/>
      <w:u w:val="single"/>
    </w:rPr>
  </w:style>
  <w:style w:type="character" w:customStyle="1" w:styleId="Charfc">
    <w:name w:val="_正文格式 Char"/>
    <w:link w:val="affffff6"/>
    <w:qFormat/>
    <w:rPr>
      <w:rFonts w:eastAsia="仿宋_GB2312"/>
      <w:kern w:val="2"/>
      <w:sz w:val="28"/>
      <w:lang w:val="en-US" w:eastAsia="zh-CN" w:bidi="ar-SA"/>
    </w:rPr>
  </w:style>
  <w:style w:type="paragraph" w:customStyle="1" w:styleId="affffff6">
    <w:name w:val="_正文格式"/>
    <w:basedOn w:val="a"/>
    <w:link w:val="Charfc"/>
    <w:qFormat/>
    <w:pPr>
      <w:spacing w:line="480" w:lineRule="exact"/>
      <w:ind w:firstLineChars="200" w:firstLine="200"/>
    </w:pPr>
    <w:rPr>
      <w:rFonts w:eastAsia="仿宋_GB2312"/>
      <w:sz w:val="28"/>
    </w:rPr>
  </w:style>
  <w:style w:type="character" w:customStyle="1" w:styleId="1f1">
    <w:name w:val="明显强调1"/>
    <w:qFormat/>
    <w:rPr>
      <w:b/>
      <w:i/>
      <w:color w:val="4F81BD"/>
    </w:rPr>
  </w:style>
  <w:style w:type="character" w:customStyle="1" w:styleId="27">
    <w:name w:val="正文文本 2 字符"/>
    <w:link w:val="26"/>
    <w:qFormat/>
    <w:rPr>
      <w:rFonts w:ascii="宋体" w:eastAsia="宋体" w:hAnsi="宋体"/>
      <w:kern w:val="2"/>
      <w:sz w:val="24"/>
      <w:lang w:val="en-US" w:eastAsia="zh-CN" w:bidi="ar-SA"/>
    </w:rPr>
  </w:style>
  <w:style w:type="character" w:customStyle="1" w:styleId="-zhChar">
    <w:name w:val="正文-zh Char"/>
    <w:link w:val="-zh"/>
    <w:qFormat/>
    <w:rPr>
      <w:rFonts w:ascii="仿宋_GB2312" w:eastAsia="仿宋_GB2312" w:hAnsi="宋体"/>
      <w:b/>
      <w:color w:val="0000CC"/>
      <w:kern w:val="2"/>
      <w:sz w:val="28"/>
      <w:szCs w:val="28"/>
    </w:rPr>
  </w:style>
  <w:style w:type="paragraph" w:customStyle="1" w:styleId="-zh">
    <w:name w:val="正文-zh"/>
    <w:basedOn w:val="a"/>
    <w:link w:val="-zhChar"/>
    <w:qFormat/>
    <w:pPr>
      <w:spacing w:line="360" w:lineRule="auto"/>
      <w:ind w:firstLine="582"/>
    </w:pPr>
    <w:rPr>
      <w:rFonts w:ascii="仿宋_GB2312" w:eastAsia="仿宋_GB2312"/>
      <w:b/>
      <w:color w:val="0000CC"/>
      <w:sz w:val="28"/>
      <w:szCs w:val="28"/>
    </w:rPr>
  </w:style>
  <w:style w:type="character" w:customStyle="1" w:styleId="HP3TimesNewRomanChar">
    <w:name w:val="样式 HP3 + (符号) Times New Roman Char"/>
    <w:link w:val="HP3TimesNewRoman"/>
    <w:qFormat/>
    <w:rPr>
      <w:rFonts w:ascii="宋体" w:eastAsia="宋体" w:hAnsi="宋体"/>
      <w:kern w:val="2"/>
      <w:sz w:val="24"/>
      <w:u w:color="000000"/>
      <w:lang w:val="en-US" w:eastAsia="zh-CN"/>
    </w:rPr>
  </w:style>
  <w:style w:type="paragraph" w:customStyle="1" w:styleId="HP3TimesNewRoman">
    <w:name w:val="样式 HP3 + (符号) Times New Roman"/>
    <w:basedOn w:val="HP3"/>
    <w:link w:val="HP3TimesNewRomanChar"/>
    <w:qFormat/>
    <w:rPr>
      <w:rFonts w:ascii="宋体" w:eastAsia="宋体"/>
      <w:sz w:val="24"/>
      <w:u w:color="000000"/>
    </w:rPr>
  </w:style>
  <w:style w:type="character" w:customStyle="1" w:styleId="008Char">
    <w:name w:val="008 Char"/>
    <w:link w:val="008"/>
    <w:qFormat/>
    <w:rPr>
      <w:rFonts w:ascii="宋体" w:eastAsia="宋体" w:hAnsi="宋体"/>
      <w:kern w:val="2"/>
      <w:sz w:val="28"/>
      <w:szCs w:val="28"/>
      <w:lang w:val="en-US" w:eastAsia="zh-CN" w:bidi="ar-SA"/>
    </w:rPr>
  </w:style>
  <w:style w:type="paragraph" w:customStyle="1" w:styleId="008">
    <w:name w:val="008"/>
    <w:basedOn w:val="a"/>
    <w:link w:val="008Char"/>
    <w:qFormat/>
    <w:pPr>
      <w:adjustRightInd w:val="0"/>
      <w:ind w:firstLineChars="200" w:firstLine="200"/>
    </w:pPr>
    <w:rPr>
      <w:sz w:val="28"/>
      <w:szCs w:val="28"/>
    </w:rPr>
  </w:style>
  <w:style w:type="character" w:customStyle="1" w:styleId="CharChar27">
    <w:name w:val="Char Char27"/>
    <w:qFormat/>
    <w:rPr>
      <w:rFonts w:eastAsia="宋体"/>
      <w:b/>
      <w:kern w:val="44"/>
      <w:sz w:val="44"/>
      <w:lang w:val="en-US" w:eastAsia="zh-CN"/>
    </w:rPr>
  </w:style>
  <w:style w:type="character" w:customStyle="1" w:styleId="AChar">
    <w:name w:val="A正文 Char"/>
    <w:link w:val="Affffff7"/>
    <w:qFormat/>
    <w:rPr>
      <w:rFonts w:eastAsia="宋体"/>
      <w:kern w:val="2"/>
      <w:sz w:val="24"/>
      <w:lang w:val="en-US" w:eastAsia="zh-CN" w:bidi="ar-SA"/>
    </w:rPr>
  </w:style>
  <w:style w:type="paragraph" w:customStyle="1" w:styleId="Affffff7">
    <w:name w:val="A正文"/>
    <w:basedOn w:val="a"/>
    <w:link w:val="AChar"/>
    <w:qFormat/>
    <w:pPr>
      <w:spacing w:beforeLines="50" w:before="156" w:afterLines="50" w:after="156" w:line="300" w:lineRule="auto"/>
      <w:ind w:firstLineChars="200" w:firstLine="200"/>
    </w:pPr>
  </w:style>
  <w:style w:type="character" w:customStyle="1" w:styleId="thirdChar">
    <w:name w:val="third Char"/>
    <w:link w:val="third"/>
    <w:qFormat/>
    <w:rPr>
      <w:rFonts w:eastAsia="宋体"/>
      <w:b/>
      <w:kern w:val="2"/>
      <w:sz w:val="24"/>
      <w:lang w:val="en-US" w:eastAsia="zh-CN" w:bidi="ar-SA"/>
    </w:rPr>
  </w:style>
  <w:style w:type="paragraph" w:customStyle="1" w:styleId="third">
    <w:name w:val="third"/>
    <w:basedOn w:val="3"/>
    <w:link w:val="thirdChar"/>
    <w:qFormat/>
    <w:pPr>
      <w:spacing w:before="360" w:after="120" w:line="416" w:lineRule="exact"/>
    </w:pPr>
    <w:rPr>
      <w:sz w:val="24"/>
    </w:rPr>
  </w:style>
  <w:style w:type="character" w:customStyle="1" w:styleId="Charfd">
    <w:name w:val="样式 图号 + 宋体 Char"/>
    <w:link w:val="affffff8"/>
    <w:qFormat/>
    <w:rPr>
      <w:rFonts w:ascii="宋体" w:eastAsia="宋体" w:hAnsi="宋体"/>
      <w:b/>
      <w:kern w:val="32"/>
      <w:sz w:val="24"/>
      <w:lang w:val="en-US" w:eastAsia="zh-CN"/>
    </w:rPr>
  </w:style>
  <w:style w:type="paragraph" w:customStyle="1" w:styleId="affffff8">
    <w:name w:val="样式 图号 + 宋体"/>
    <w:basedOn w:val="affffff9"/>
    <w:link w:val="Charfd"/>
    <w:qFormat/>
    <w:pPr>
      <w:ind w:firstLineChars="200" w:firstLine="200"/>
    </w:pPr>
  </w:style>
  <w:style w:type="paragraph" w:customStyle="1" w:styleId="affffff9">
    <w:name w:val="图号"/>
    <w:basedOn w:val="5"/>
    <w:link w:val="Charfe"/>
    <w:qFormat/>
    <w:pPr>
      <w:adjustRightInd w:val="0"/>
      <w:spacing w:line="240" w:lineRule="auto"/>
      <w:ind w:left="0" w:firstLine="420"/>
      <w:textAlignment w:val="baseline"/>
    </w:pPr>
    <w:rPr>
      <w:b w:val="0"/>
      <w:kern w:val="32"/>
      <w:sz w:val="24"/>
    </w:rPr>
  </w:style>
  <w:style w:type="character" w:customStyle="1" w:styleId="Charfe">
    <w:name w:val="图号 Char"/>
    <w:link w:val="affffff9"/>
    <w:qFormat/>
    <w:rPr>
      <w:rFonts w:eastAsia="宋体"/>
      <w:b/>
      <w:kern w:val="32"/>
      <w:sz w:val="24"/>
      <w:lang w:val="en-US" w:eastAsia="zh-CN"/>
    </w:rPr>
  </w:style>
  <w:style w:type="character" w:customStyle="1" w:styleId="3CharChar">
    <w:name w:val="正文文字缩进 3 Char Char"/>
    <w:qFormat/>
    <w:rPr>
      <w:rFonts w:ascii="Times New Roman" w:eastAsia="宋体" w:hAnsi="Times New Roman"/>
      <w:sz w:val="16"/>
    </w:rPr>
  </w:style>
  <w:style w:type="character" w:customStyle="1" w:styleId="CharChar221">
    <w:name w:val="Char Char221"/>
    <w:qFormat/>
    <w:rPr>
      <w:rFonts w:eastAsia="宋体"/>
      <w:kern w:val="2"/>
      <w:sz w:val="18"/>
      <w:lang w:val="en-US" w:eastAsia="zh-CN" w:bidi="ar-SA"/>
    </w:rPr>
  </w:style>
  <w:style w:type="character" w:customStyle="1" w:styleId="highlight1">
    <w:name w:val="highlight1"/>
    <w:qFormat/>
    <w:rPr>
      <w:sz w:val="21"/>
    </w:rPr>
  </w:style>
  <w:style w:type="character" w:customStyle="1" w:styleId="3Char0">
    <w:name w:val="标题 3 Char"/>
    <w:qFormat/>
    <w:rPr>
      <w:rFonts w:eastAsia="宋体"/>
      <w:b/>
      <w:kern w:val="2"/>
      <w:sz w:val="32"/>
      <w:lang w:val="en-US" w:eastAsia="zh-CN"/>
    </w:rPr>
  </w:style>
  <w:style w:type="character" w:customStyle="1" w:styleId="zhChar">
    <w:name w:val="zh正文 Char"/>
    <w:link w:val="zh"/>
    <w:qFormat/>
    <w:rPr>
      <w:rFonts w:ascii="仿宋_GB2312" w:eastAsia="仿宋_GB2312" w:hAnsi="宋体"/>
      <w:b/>
      <w:color w:val="1D1B11"/>
      <w:kern w:val="2"/>
      <w:sz w:val="28"/>
      <w:szCs w:val="28"/>
    </w:rPr>
  </w:style>
  <w:style w:type="paragraph" w:customStyle="1" w:styleId="zh">
    <w:name w:val="zh正文"/>
    <w:basedOn w:val="a"/>
    <w:link w:val="zhChar"/>
    <w:qFormat/>
    <w:pPr>
      <w:ind w:firstLine="560"/>
    </w:pPr>
    <w:rPr>
      <w:rFonts w:ascii="仿宋_GB2312" w:eastAsia="仿宋_GB2312"/>
      <w:b/>
      <w:color w:val="1D1B11"/>
      <w:sz w:val="28"/>
      <w:szCs w:val="28"/>
    </w:rPr>
  </w:style>
  <w:style w:type="character" w:customStyle="1" w:styleId="CharChar61">
    <w:name w:val="Char Char61"/>
    <w:link w:val="3f4"/>
    <w:qFormat/>
    <w:rPr>
      <w:rFonts w:ascii="宋体" w:eastAsia="宋体" w:hAnsi="宋体"/>
      <w:kern w:val="2"/>
      <w:sz w:val="24"/>
      <w:lang w:val="en-US" w:eastAsia="zh-CN"/>
    </w:rPr>
  </w:style>
  <w:style w:type="paragraph" w:customStyle="1" w:styleId="3f4">
    <w:name w:val="正文3"/>
    <w:basedOn w:val="a"/>
    <w:next w:val="a"/>
    <w:link w:val="CharChar61"/>
    <w:qFormat/>
    <w:pPr>
      <w:spacing w:line="529" w:lineRule="exact"/>
      <w:ind w:firstLineChars="200" w:firstLine="420"/>
    </w:pPr>
  </w:style>
  <w:style w:type="character" w:customStyle="1" w:styleId="CharChara">
    <w:name w:val="孙普文字 Char Char"/>
    <w:qFormat/>
    <w:rPr>
      <w:rFonts w:ascii="宋体" w:eastAsia="宋体" w:hAnsi="Courier New"/>
      <w:kern w:val="2"/>
      <w:sz w:val="21"/>
      <w:lang w:val="en-US" w:eastAsia="zh-CN"/>
    </w:rPr>
  </w:style>
  <w:style w:type="character" w:customStyle="1" w:styleId="ourfont3">
    <w:name w:val="ourfont3"/>
    <w:basedOn w:val="a0"/>
    <w:qFormat/>
  </w:style>
  <w:style w:type="character" w:customStyle="1" w:styleId="2Char1">
    <w:name w:val="样式 样式 首行缩进:  2 字符 + 宋体 Char"/>
    <w:link w:val="2f7"/>
    <w:qFormat/>
    <w:rPr>
      <w:rFonts w:ascii="宋体" w:eastAsia="宋体" w:hAnsi="宋体"/>
      <w:kern w:val="2"/>
      <w:sz w:val="24"/>
      <w:lang w:val="en-US" w:eastAsia="zh-CN"/>
    </w:rPr>
  </w:style>
  <w:style w:type="paragraph" w:customStyle="1" w:styleId="2f7">
    <w:name w:val="样式 样式 首行缩进:  2 字符 + 宋体"/>
    <w:basedOn w:val="2f5"/>
    <w:link w:val="2Char1"/>
    <w:qFormat/>
    <w:pPr>
      <w:widowControl w:val="0"/>
      <w:topLinePunct/>
      <w:spacing w:after="240"/>
      <w:ind w:firstLine="200"/>
    </w:pPr>
  </w:style>
  <w:style w:type="character" w:customStyle="1" w:styleId="A5Char">
    <w:name w:val="A标题5 Char"/>
    <w:link w:val="A50"/>
    <w:qFormat/>
    <w:rPr>
      <w:rFonts w:eastAsia="宋体"/>
      <w:color w:val="000000"/>
      <w:sz w:val="24"/>
      <w:szCs w:val="24"/>
      <w:lang w:val="en-US" w:eastAsia="zh-CN" w:bidi="ar-SA"/>
    </w:rPr>
  </w:style>
  <w:style w:type="paragraph" w:customStyle="1" w:styleId="A50">
    <w:name w:val="A标题5"/>
    <w:basedOn w:val="a"/>
    <w:link w:val="A5Char"/>
    <w:qFormat/>
    <w:pPr>
      <w:widowControl/>
      <w:adjustRightInd w:val="0"/>
      <w:snapToGrid w:val="0"/>
      <w:spacing w:line="240" w:lineRule="atLeast"/>
      <w:outlineLvl w:val="4"/>
    </w:pPr>
    <w:rPr>
      <w:color w:val="000000"/>
      <w:szCs w:val="24"/>
    </w:rPr>
  </w:style>
  <w:style w:type="character" w:customStyle="1" w:styleId="Charff">
    <w:name w:val="正文样式 Char"/>
    <w:link w:val="affffffa"/>
    <w:qFormat/>
    <w:rPr>
      <w:rFonts w:ascii="宋体" w:eastAsia="宋体" w:hAnsi="宋体"/>
      <w:sz w:val="24"/>
      <w:lang w:val="en-US" w:eastAsia="zh-CN"/>
    </w:rPr>
  </w:style>
  <w:style w:type="paragraph" w:customStyle="1" w:styleId="affffffa">
    <w:name w:val="正文样式"/>
    <w:basedOn w:val="a"/>
    <w:link w:val="Charff"/>
    <w:qFormat/>
    <w:pPr>
      <w:adjustRightInd w:val="0"/>
      <w:spacing w:line="360" w:lineRule="auto"/>
      <w:ind w:firstLineChars="200" w:firstLine="480"/>
      <w:textAlignment w:val="baseline"/>
    </w:pPr>
  </w:style>
  <w:style w:type="character" w:customStyle="1" w:styleId="javascript">
    <w:name w:val="javascript"/>
    <w:basedOn w:val="a0"/>
    <w:qFormat/>
  </w:style>
  <w:style w:type="character" w:customStyle="1" w:styleId="CharChar231">
    <w:name w:val="Char Char231"/>
    <w:qFormat/>
    <w:rPr>
      <w:rFonts w:eastAsia="汉鼎简书宋"/>
      <w:bCs/>
      <w:kern w:val="32"/>
      <w:sz w:val="24"/>
      <w:szCs w:val="24"/>
      <w:lang w:val="en-US" w:eastAsia="zh-CN" w:bidi="ar-SA"/>
    </w:rPr>
  </w:style>
  <w:style w:type="character" w:customStyle="1" w:styleId="H6Char">
    <w:name w:val="H6 Char"/>
    <w:qFormat/>
    <w:rPr>
      <w:rFonts w:ascii="Arial" w:eastAsia="黑体" w:hAnsi="Arial"/>
      <w:b/>
      <w:kern w:val="0"/>
      <w:sz w:val="24"/>
    </w:rPr>
  </w:style>
  <w:style w:type="character" w:customStyle="1" w:styleId="affffffb">
    <w:name w:val="明显引用 字符"/>
    <w:link w:val="affffffc"/>
    <w:qFormat/>
    <w:rPr>
      <w:rFonts w:eastAsia="汉鼎简书宋"/>
      <w:b/>
      <w:i/>
      <w:color w:val="4F81BD"/>
      <w:kern w:val="2"/>
      <w:sz w:val="24"/>
      <w:lang w:val="en-US" w:eastAsia="zh-CN"/>
    </w:rPr>
  </w:style>
  <w:style w:type="paragraph" w:styleId="affffffc">
    <w:name w:val="Intense Quote"/>
    <w:basedOn w:val="a"/>
    <w:next w:val="a"/>
    <w:link w:val="affffffb"/>
    <w:qFormat/>
    <w:pPr>
      <w:pBdr>
        <w:bottom w:val="single" w:sz="4" w:space="4" w:color="4F81BD"/>
      </w:pBdr>
      <w:topLinePunct/>
      <w:spacing w:before="200" w:after="280" w:line="529" w:lineRule="exact"/>
      <w:ind w:left="936" w:firstLineChars="200" w:firstLine="200"/>
    </w:pPr>
    <w:rPr>
      <w:rFonts w:eastAsia="汉鼎简书宋"/>
      <w:b/>
      <w:i/>
      <w:color w:val="4F81BD"/>
    </w:rPr>
  </w:style>
  <w:style w:type="character" w:customStyle="1" w:styleId="af6">
    <w:name w:val="结束语 字符"/>
    <w:link w:val="af5"/>
    <w:qFormat/>
    <w:rPr>
      <w:sz w:val="24"/>
    </w:rPr>
  </w:style>
  <w:style w:type="character" w:customStyle="1" w:styleId="Char15">
    <w:name w:val="正文样式 Char1"/>
    <w:qFormat/>
    <w:rPr>
      <w:rFonts w:ascii="宋体" w:eastAsia="宋体" w:hAnsi="宋体"/>
      <w:sz w:val="24"/>
    </w:rPr>
  </w:style>
  <w:style w:type="character" w:customStyle="1" w:styleId="Charff0">
    <w:name w:val="於正文 Char"/>
    <w:link w:val="affffffd"/>
    <w:qFormat/>
    <w:rPr>
      <w:rFonts w:ascii="仿宋_GB2312" w:eastAsia="仿宋_GB2312" w:hAnsi="仿宋_GB2312"/>
      <w:color w:val="0000FF"/>
      <w:kern w:val="2"/>
      <w:sz w:val="30"/>
      <w:szCs w:val="24"/>
      <w:lang w:val="en-US" w:eastAsia="zh-CN" w:bidi="ar-SA"/>
    </w:rPr>
  </w:style>
  <w:style w:type="paragraph" w:customStyle="1" w:styleId="affffffd">
    <w:name w:val="於正文"/>
    <w:basedOn w:val="a"/>
    <w:link w:val="Charff0"/>
    <w:qFormat/>
    <w:pPr>
      <w:spacing w:line="360" w:lineRule="auto"/>
      <w:ind w:firstLineChars="200" w:firstLine="200"/>
    </w:pPr>
    <w:rPr>
      <w:rFonts w:ascii="仿宋_GB2312" w:eastAsia="仿宋_GB2312" w:hAnsi="仿宋_GB2312"/>
      <w:color w:val="0000FF"/>
      <w:sz w:val="30"/>
      <w:szCs w:val="24"/>
    </w:rPr>
  </w:style>
  <w:style w:type="character" w:customStyle="1" w:styleId="2Char2">
    <w:name w:val="报告文字:2 字符 Char"/>
    <w:link w:val="2f8"/>
    <w:qFormat/>
    <w:rPr>
      <w:rFonts w:eastAsia="仿宋_GB2312"/>
      <w:kern w:val="2"/>
      <w:sz w:val="28"/>
      <w:lang w:val="en-US" w:eastAsia="zh-CN"/>
    </w:rPr>
  </w:style>
  <w:style w:type="paragraph" w:customStyle="1" w:styleId="2f8">
    <w:name w:val="报告文字:2 字符"/>
    <w:basedOn w:val="a"/>
    <w:link w:val="2Char2"/>
    <w:qFormat/>
    <w:pPr>
      <w:adjustRightInd w:val="0"/>
      <w:snapToGrid w:val="0"/>
      <w:spacing w:line="529" w:lineRule="exact"/>
      <w:ind w:firstLineChars="200" w:firstLine="200"/>
    </w:pPr>
    <w:rPr>
      <w:rFonts w:eastAsia="仿宋_GB2312"/>
      <w:sz w:val="28"/>
    </w:rPr>
  </w:style>
  <w:style w:type="character" w:customStyle="1" w:styleId="CharChar111">
    <w:name w:val="Char Char111"/>
    <w:qFormat/>
    <w:rPr>
      <w:rFonts w:eastAsia="宋体"/>
      <w:kern w:val="2"/>
      <w:sz w:val="18"/>
      <w:lang w:val="en-US" w:eastAsia="zh-CN" w:bidi="ar-SA"/>
    </w:rPr>
  </w:style>
  <w:style w:type="character" w:customStyle="1" w:styleId="hb1Char1">
    <w:name w:val="hb1 Char1"/>
    <w:qFormat/>
    <w:rPr>
      <w:rFonts w:ascii="黑体" w:eastAsia="黑体" w:hAnsi="Arial Narrow"/>
      <w:b/>
      <w:kern w:val="44"/>
      <w:sz w:val="32"/>
      <w:lang w:val="en-US" w:eastAsia="zh-CN"/>
    </w:rPr>
  </w:style>
  <w:style w:type="character" w:customStyle="1" w:styleId="hb4Char1">
    <w:name w:val="hb4 Char1"/>
    <w:qFormat/>
    <w:rPr>
      <w:rFonts w:ascii="宋体" w:eastAsia="宋体" w:hAnsi="Arial"/>
      <w:b/>
      <w:kern w:val="0"/>
      <w:sz w:val="24"/>
    </w:rPr>
  </w:style>
  <w:style w:type="character" w:customStyle="1" w:styleId="afe">
    <w:name w:val="纯文本 字符"/>
    <w:link w:val="afd"/>
    <w:qFormat/>
    <w:rPr>
      <w:rFonts w:ascii="宋体" w:eastAsia="汉鼎简书宋" w:hAnsi="Courier New"/>
      <w:kern w:val="2"/>
      <w:sz w:val="24"/>
      <w:lang w:val="en-US" w:eastAsia="zh-CN"/>
    </w:rPr>
  </w:style>
  <w:style w:type="character" w:customStyle="1" w:styleId="sb1">
    <w:name w:val="sb1"/>
    <w:qFormat/>
    <w:rPr>
      <w:sz w:val="20"/>
      <w:szCs w:val="20"/>
    </w:rPr>
  </w:style>
  <w:style w:type="character" w:customStyle="1" w:styleId="CharChar271">
    <w:name w:val="Char Char271"/>
    <w:qFormat/>
    <w:rPr>
      <w:rFonts w:eastAsia="黑体"/>
      <w:b/>
      <w:bCs/>
      <w:kern w:val="44"/>
      <w:sz w:val="36"/>
      <w:szCs w:val="44"/>
      <w:lang w:val="en-US" w:eastAsia="zh-CN" w:bidi="ar-SA"/>
    </w:rPr>
  </w:style>
  <w:style w:type="character" w:customStyle="1" w:styleId="Char16">
    <w:name w:val="表头 Char1"/>
    <w:qFormat/>
    <w:rPr>
      <w:rFonts w:ascii="宋体" w:eastAsia="宋体" w:hAnsi="宋体"/>
      <w:b/>
      <w:kern w:val="32"/>
      <w:sz w:val="24"/>
      <w:lang w:val="en-US" w:eastAsia="zh-CN"/>
    </w:rPr>
  </w:style>
  <w:style w:type="character" w:customStyle="1" w:styleId="js">
    <w:name w:val="js"/>
    <w:basedOn w:val="a0"/>
    <w:qFormat/>
  </w:style>
  <w:style w:type="character" w:customStyle="1" w:styleId="1f2">
    <w:name w:val="书籍标题1"/>
    <w:qFormat/>
    <w:rPr>
      <w:b/>
      <w:smallCaps/>
      <w:spacing w:val="5"/>
    </w:rPr>
  </w:style>
  <w:style w:type="character" w:customStyle="1" w:styleId="3Char1">
    <w:name w:val="正文3 Char"/>
    <w:qFormat/>
    <w:rPr>
      <w:rFonts w:ascii="宋体" w:eastAsia="宋体" w:hAnsi="宋体" w:cs="宋体"/>
      <w:kern w:val="2"/>
      <w:sz w:val="24"/>
      <w:szCs w:val="24"/>
      <w:lang w:val="en-US" w:eastAsia="zh-CN" w:bidi="ar-SA"/>
    </w:rPr>
  </w:style>
  <w:style w:type="character" w:customStyle="1" w:styleId="CharCharChar10">
    <w:name w:val="Char Char Char1"/>
    <w:qFormat/>
    <w:rPr>
      <w:rFonts w:ascii="黑体" w:eastAsia="黑体"/>
      <w:kern w:val="2"/>
      <w:sz w:val="32"/>
      <w:lang w:val="en-US" w:eastAsia="zh-CN"/>
    </w:rPr>
  </w:style>
  <w:style w:type="character" w:customStyle="1" w:styleId="contont-over">
    <w:name w:val="contont-over"/>
    <w:basedOn w:val="a0"/>
    <w:qFormat/>
  </w:style>
  <w:style w:type="character" w:customStyle="1" w:styleId="forthChar">
    <w:name w:val="forth Char"/>
    <w:link w:val="forth"/>
    <w:qFormat/>
    <w:rPr>
      <w:rFonts w:ascii="Arial" w:eastAsia="宋体" w:hAnsi="Arial"/>
      <w:b/>
      <w:kern w:val="2"/>
      <w:sz w:val="24"/>
      <w:lang w:val="en-US" w:eastAsia="zh-CN" w:bidi="ar-SA"/>
    </w:rPr>
  </w:style>
  <w:style w:type="paragraph" w:customStyle="1" w:styleId="forth">
    <w:name w:val="forth"/>
    <w:basedOn w:val="40"/>
    <w:link w:val="forthChar"/>
    <w:qFormat/>
    <w:pPr>
      <w:spacing w:after="120" w:line="416" w:lineRule="exact"/>
    </w:pPr>
    <w:rPr>
      <w:rFonts w:eastAsia="宋体"/>
      <w:sz w:val="24"/>
    </w:rPr>
  </w:style>
  <w:style w:type="character" w:customStyle="1" w:styleId="H9CharChar">
    <w:name w:val="H9 Char Char"/>
    <w:qFormat/>
    <w:rPr>
      <w:rFonts w:ascii="Arial" w:eastAsia="黑体" w:hAnsi="Arial"/>
      <w:kern w:val="22"/>
      <w:sz w:val="24"/>
    </w:rPr>
  </w:style>
  <w:style w:type="character" w:customStyle="1" w:styleId="CharChar211">
    <w:name w:val="Char Char211"/>
    <w:qFormat/>
    <w:rPr>
      <w:rFonts w:eastAsia="宋体"/>
      <w:kern w:val="2"/>
      <w:sz w:val="18"/>
      <w:szCs w:val="18"/>
      <w:lang w:val="en-US" w:eastAsia="zh-CN" w:bidi="ar-SA"/>
    </w:rPr>
  </w:style>
  <w:style w:type="character" w:customStyle="1" w:styleId="Charff1">
    <w:name w:val="新正文 Char"/>
    <w:link w:val="affffffe"/>
    <w:qFormat/>
    <w:rPr>
      <w:rFonts w:ascii="宋体" w:eastAsia="宋体"/>
      <w:kern w:val="2"/>
      <w:sz w:val="24"/>
      <w:lang w:val="en-US" w:eastAsia="zh-CN"/>
    </w:rPr>
  </w:style>
  <w:style w:type="paragraph" w:customStyle="1" w:styleId="affffffe">
    <w:name w:val="新正文"/>
    <w:basedOn w:val="a"/>
    <w:link w:val="Charff1"/>
    <w:qFormat/>
    <w:pPr>
      <w:tabs>
        <w:tab w:val="left" w:pos="8295"/>
      </w:tabs>
      <w:spacing w:line="460" w:lineRule="exact"/>
      <w:ind w:firstLineChars="200" w:firstLine="200"/>
    </w:pPr>
  </w:style>
  <w:style w:type="character" w:customStyle="1" w:styleId="CharChar26">
    <w:name w:val="Char Char2"/>
    <w:qFormat/>
    <w:rPr>
      <w:rFonts w:ascii="宋体" w:eastAsia="宋体" w:hAnsi="Arial"/>
      <w:b/>
      <w:kern w:val="2"/>
      <w:sz w:val="28"/>
      <w:lang w:val="en-US" w:eastAsia="zh-CN"/>
    </w:rPr>
  </w:style>
  <w:style w:type="character" w:customStyle="1" w:styleId="1CharCharCharCharCharCharChar">
    <w:name w:val="标题 1 Char Char Char Char Char Char Char"/>
    <w:qFormat/>
    <w:rPr>
      <w:rFonts w:ascii="Times New Roman" w:eastAsia="宋体" w:hAnsi="Times New Roman" w:cs="Times New Roman"/>
      <w:b/>
      <w:bCs/>
      <w:kern w:val="44"/>
      <w:sz w:val="44"/>
      <w:szCs w:val="44"/>
    </w:rPr>
  </w:style>
  <w:style w:type="paragraph" w:customStyle="1" w:styleId="84">
    <w:name w:val="样式8"/>
    <w:basedOn w:val="a"/>
    <w:qFormat/>
    <w:pPr>
      <w:spacing w:line="529" w:lineRule="exact"/>
      <w:ind w:firstLine="499"/>
    </w:pPr>
    <w:rPr>
      <w:rFonts w:eastAsia="汉鼎简书宋"/>
      <w:sz w:val="28"/>
    </w:rPr>
  </w:style>
  <w:style w:type="paragraph" w:customStyle="1" w:styleId="afffffff">
    <w:name w:val="图标号"/>
    <w:basedOn w:val="a"/>
    <w:qFormat/>
    <w:pPr>
      <w:tabs>
        <w:tab w:val="left" w:pos="0"/>
      </w:tabs>
      <w:spacing w:afterLines="50" w:after="156"/>
      <w:ind w:firstLine="288"/>
    </w:pPr>
    <w:rPr>
      <w:rFonts w:eastAsia="仿宋_GB2312"/>
      <w:b/>
    </w:rPr>
  </w:style>
  <w:style w:type="paragraph" w:customStyle="1" w:styleId="1f3">
    <w:name w:val="表格样式1"/>
    <w:basedOn w:val="a"/>
    <w:qFormat/>
    <w:pPr>
      <w:adjustRightInd w:val="0"/>
      <w:spacing w:line="20" w:lineRule="atLeast"/>
      <w:jc w:val="center"/>
      <w:textAlignment w:val="baseline"/>
    </w:pPr>
    <w:rPr>
      <w:rFonts w:hAnsi="Times New Roman"/>
      <w:kern w:val="0"/>
      <w:sz w:val="21"/>
    </w:rPr>
  </w:style>
  <w:style w:type="paragraph" w:customStyle="1" w:styleId="afffffff0">
    <w:name w:val="二级标题"/>
    <w:basedOn w:val="a"/>
    <w:next w:val="a"/>
    <w:qFormat/>
    <w:pPr>
      <w:spacing w:line="360" w:lineRule="auto"/>
      <w:ind w:firstLineChars="200" w:firstLine="200"/>
    </w:pPr>
  </w:style>
  <w:style w:type="paragraph" w:customStyle="1" w:styleId="afffffff1">
    <w:name w:val="表格体"/>
    <w:basedOn w:val="a"/>
    <w:qFormat/>
    <w:pPr>
      <w:adjustRightInd w:val="0"/>
      <w:snapToGrid w:val="0"/>
    </w:pPr>
  </w:style>
  <w:style w:type="paragraph" w:customStyle="1" w:styleId="270">
    <w:name w:val="样式  + 行距: 固定值 27 磅"/>
    <w:basedOn w:val="a"/>
    <w:qFormat/>
    <w:pPr>
      <w:spacing w:line="540" w:lineRule="exact"/>
      <w:ind w:firstLine="425"/>
    </w:pPr>
    <w:rPr>
      <w:rFonts w:ascii="Times New Roman" w:hAnsi="Times New Roman"/>
    </w:rPr>
  </w:style>
  <w:style w:type="paragraph" w:customStyle="1" w:styleId="4-050505">
    <w:name w:val="样式 样式 样式 标题4- + 段前: 0.5 行 + 段前: 0.5 行 + 段前: 0.5 行"/>
    <w:basedOn w:val="4-0505"/>
    <w:qFormat/>
    <w:pPr>
      <w:tabs>
        <w:tab w:val="left" w:pos="908"/>
      </w:tabs>
      <w:spacing w:beforeLines="0" w:before="330"/>
    </w:pPr>
    <w:rPr>
      <w:spacing w:val="0"/>
    </w:rPr>
  </w:style>
  <w:style w:type="paragraph" w:customStyle="1" w:styleId="4-0505">
    <w:name w:val="样式 样式 标题4- + 段前: 0.5 行 + 段前: 0.5 行"/>
    <w:basedOn w:val="a"/>
    <w:qFormat/>
    <w:pPr>
      <w:tabs>
        <w:tab w:val="left" w:pos="1205"/>
      </w:tabs>
      <w:autoSpaceDE w:val="0"/>
      <w:autoSpaceDN w:val="0"/>
      <w:adjustRightInd w:val="0"/>
      <w:snapToGrid w:val="0"/>
      <w:spacing w:beforeLines="50" w:before="156" w:line="360" w:lineRule="auto"/>
      <w:textAlignment w:val="baseline"/>
      <w:outlineLvl w:val="3"/>
    </w:pPr>
    <w:rPr>
      <w:rFonts w:eastAsia="黑体"/>
      <w:snapToGrid w:val="0"/>
      <w:spacing w:val="20"/>
      <w:kern w:val="0"/>
      <w:sz w:val="28"/>
    </w:rPr>
  </w:style>
  <w:style w:type="paragraph" w:customStyle="1" w:styleId="CharCharCharCharCharCharCharCharChar">
    <w:name w:val="Char Char Char Char Char Char Char Char Char"/>
    <w:basedOn w:val="a"/>
    <w:next w:val="a"/>
    <w:qFormat/>
    <w:pPr>
      <w:spacing w:line="360" w:lineRule="auto"/>
      <w:ind w:firstLineChars="200" w:firstLine="200"/>
    </w:pPr>
    <w:rPr>
      <w:rFonts w:ascii="Times New Roman" w:eastAsia="Times New Roman" w:hAnsi="Times New Roman" w:cs="宋体"/>
      <w:szCs w:val="24"/>
    </w:rPr>
  </w:style>
  <w:style w:type="paragraph" w:customStyle="1" w:styleId="Charff2">
    <w:name w:val="内容大标题 Char"/>
    <w:basedOn w:val="a"/>
    <w:qFormat/>
    <w:pPr>
      <w:spacing w:line="360" w:lineRule="auto"/>
      <w:ind w:firstLineChars="200" w:firstLine="562"/>
    </w:pPr>
    <w:rPr>
      <w:rFonts w:ascii="仿宋_GB2312" w:eastAsia="仿宋_GB2312" w:hAnsi="Times New Roman" w:cs="宋体"/>
      <w:b/>
      <w:bCs/>
      <w:sz w:val="28"/>
    </w:rPr>
  </w:style>
  <w:style w:type="paragraph" w:customStyle="1" w:styleId="225">
    <w:name w:val="样式 首行缩进:  2 字符 行距: 固定值 25 磅"/>
    <w:basedOn w:val="a"/>
    <w:next w:val="a"/>
    <w:qFormat/>
    <w:pPr>
      <w:topLinePunct/>
      <w:spacing w:line="529" w:lineRule="exact"/>
      <w:ind w:firstLineChars="200" w:firstLine="200"/>
    </w:pPr>
    <w:rPr>
      <w:rFonts w:eastAsia="汉鼎简书宋"/>
    </w:rPr>
  </w:style>
  <w:style w:type="paragraph" w:customStyle="1" w:styleId="Char150">
    <w:name w:val="Char15"/>
    <w:basedOn w:val="a"/>
    <w:qFormat/>
    <w:pPr>
      <w:spacing w:line="560" w:lineRule="exact"/>
      <w:ind w:firstLineChars="200" w:firstLine="200"/>
    </w:pPr>
    <w:rPr>
      <w:rFonts w:ascii="Times New Roman" w:hAnsi="Times New Roman"/>
      <w:sz w:val="21"/>
    </w:rPr>
  </w:style>
  <w:style w:type="paragraph" w:customStyle="1" w:styleId="afffffff2">
    <w:name w:val="注解"/>
    <w:basedOn w:val="a"/>
    <w:qFormat/>
    <w:pPr>
      <w:topLinePunct/>
      <w:spacing w:after="120" w:line="240" w:lineRule="exact"/>
    </w:pPr>
    <w:rPr>
      <w:rFonts w:ascii="Arial Narrow" w:eastAsia="汉鼎简书宋" w:hAnsi="Arial Narrow"/>
    </w:rPr>
  </w:style>
  <w:style w:type="paragraph" w:customStyle="1" w:styleId="Charff3">
    <w:name w:val="Char"/>
    <w:basedOn w:val="a"/>
    <w:qFormat/>
    <w:pPr>
      <w:spacing w:line="360" w:lineRule="auto"/>
      <w:ind w:firstLineChars="200" w:firstLine="200"/>
    </w:pPr>
    <w:rPr>
      <w:rFonts w:cs="宋体"/>
      <w:szCs w:val="24"/>
    </w:rPr>
  </w:style>
  <w:style w:type="paragraph" w:customStyle="1" w:styleId="p0">
    <w:name w:val="p0"/>
    <w:basedOn w:val="a"/>
    <w:qFormat/>
    <w:pPr>
      <w:widowControl/>
      <w:spacing w:line="634" w:lineRule="atLeast"/>
    </w:pPr>
    <w:rPr>
      <w:color w:val="000000"/>
      <w:kern w:val="0"/>
      <w:sz w:val="31"/>
    </w:rPr>
  </w:style>
  <w:style w:type="paragraph" w:customStyle="1" w:styleId="085">
    <w:name w:val="样式 黑体 三号 居中 左侧:  0.85 厘米"/>
    <w:basedOn w:val="a"/>
    <w:qFormat/>
    <w:pPr>
      <w:topLinePunct/>
      <w:spacing w:line="529" w:lineRule="exact"/>
      <w:ind w:left="482"/>
    </w:pPr>
    <w:rPr>
      <w:rFonts w:ascii="Arial Narrow" w:eastAsia="汉鼎简书宋" w:hAnsi="Arial Narrow"/>
      <w:b/>
      <w:sz w:val="32"/>
    </w:rPr>
  </w:style>
  <w:style w:type="paragraph" w:customStyle="1" w:styleId="CharCharCharChar">
    <w:name w:val="Char Char Char Char"/>
    <w:basedOn w:val="a"/>
    <w:next w:val="a"/>
    <w:qFormat/>
    <w:pPr>
      <w:spacing w:line="360" w:lineRule="auto"/>
      <w:ind w:firstLineChars="200" w:firstLine="200"/>
    </w:pPr>
    <w:rPr>
      <w:rFonts w:cs="宋体"/>
      <w:szCs w:val="24"/>
    </w:rPr>
  </w:style>
  <w:style w:type="paragraph" w:customStyle="1" w:styleId="4b">
    <w:name w:val="样式 左  4 字符"/>
    <w:basedOn w:val="a"/>
    <w:qFormat/>
    <w:pPr>
      <w:spacing w:line="529" w:lineRule="exact"/>
      <w:ind w:firstLine="482"/>
    </w:pPr>
    <w:rPr>
      <w:kern w:val="0"/>
    </w:rPr>
  </w:style>
  <w:style w:type="paragraph" w:styleId="afffffff3">
    <w:name w:val="List Paragraph"/>
    <w:basedOn w:val="a"/>
    <w:uiPriority w:val="34"/>
    <w:qFormat/>
    <w:pPr>
      <w:topLinePunct/>
      <w:spacing w:line="529" w:lineRule="exact"/>
      <w:ind w:left="720" w:firstLineChars="200" w:firstLine="200"/>
    </w:pPr>
    <w:rPr>
      <w:rFonts w:eastAsia="汉鼎简书宋"/>
    </w:rPr>
  </w:style>
  <w:style w:type="paragraph" w:customStyle="1" w:styleId="CharCharChar2CharCharCharChar">
    <w:name w:val="Char Char Char2 Char Char Char Char"/>
    <w:basedOn w:val="a"/>
    <w:qFormat/>
    <w:pPr>
      <w:spacing w:line="360" w:lineRule="auto"/>
      <w:ind w:firstLineChars="200" w:firstLine="200"/>
    </w:pPr>
    <w:rPr>
      <w:rFonts w:cs="宋体"/>
      <w:szCs w:val="24"/>
    </w:rPr>
  </w:style>
  <w:style w:type="paragraph" w:customStyle="1" w:styleId="afffffff4">
    <w:name w:val="大纲"/>
    <w:basedOn w:val="a"/>
    <w:qFormat/>
    <w:pPr>
      <w:spacing w:line="529" w:lineRule="exact"/>
      <w:ind w:firstLineChars="41" w:firstLine="197"/>
    </w:pPr>
    <w:rPr>
      <w:rFonts w:ascii="仿宋_GB2312" w:eastAsia="仿宋_GB2312"/>
      <w:kern w:val="0"/>
      <w:sz w:val="48"/>
    </w:rPr>
  </w:style>
  <w:style w:type="paragraph" w:customStyle="1" w:styleId="1f4">
    <w:name w:val="正文样式1"/>
    <w:basedOn w:val="a"/>
    <w:qFormat/>
    <w:pPr>
      <w:spacing w:line="360" w:lineRule="auto"/>
      <w:ind w:firstLineChars="200" w:firstLine="480"/>
    </w:pPr>
  </w:style>
  <w:style w:type="paragraph" w:customStyle="1" w:styleId="205">
    <w:name w:val="样式 标题 2 + 段前: 0.5 行 行距: 单倍行距"/>
    <w:basedOn w:val="2"/>
    <w:qFormat/>
    <w:pPr>
      <w:keepNext w:val="0"/>
      <w:keepLines w:val="0"/>
      <w:tabs>
        <w:tab w:val="left" w:pos="964"/>
      </w:tabs>
      <w:autoSpaceDE w:val="0"/>
      <w:autoSpaceDN w:val="0"/>
      <w:adjustRightInd w:val="0"/>
      <w:snapToGrid w:val="0"/>
      <w:spacing w:beforeLines="100" w:before="312" w:after="0" w:line="360" w:lineRule="auto"/>
      <w:ind w:left="964" w:firstLineChars="200" w:hanging="737"/>
      <w:textAlignment w:val="baseline"/>
    </w:pPr>
    <w:rPr>
      <w:rFonts w:ascii="Times New Roman" w:hAnsi="Times New Roman"/>
      <w:snapToGrid w:val="0"/>
      <w:kern w:val="44"/>
    </w:rPr>
  </w:style>
  <w:style w:type="paragraph" w:customStyle="1" w:styleId="xl78">
    <w:name w:val="xl78"/>
    <w:basedOn w:val="a"/>
    <w:qFormat/>
    <w:pPr>
      <w:widowControl/>
      <w:pBdr>
        <w:right w:val="single" w:sz="8" w:space="0" w:color="auto"/>
      </w:pBdr>
      <w:spacing w:before="100" w:beforeAutospacing="1" w:after="100" w:afterAutospacing="1"/>
      <w:jc w:val="center"/>
    </w:pPr>
    <w:rPr>
      <w:rFonts w:cs="宋体"/>
      <w:color w:val="0000FF"/>
      <w:kern w:val="0"/>
      <w:szCs w:val="24"/>
      <w:u w:val="single"/>
    </w:rPr>
  </w:style>
  <w:style w:type="paragraph" w:customStyle="1" w:styleId="08526">
    <w:name w:val="样式 首行缩进:  0.85 厘米 行距: 固定值 26 磅"/>
    <w:basedOn w:val="a"/>
    <w:qFormat/>
    <w:pPr>
      <w:widowControl/>
      <w:spacing w:line="530" w:lineRule="exact"/>
      <w:ind w:firstLine="482"/>
    </w:pPr>
    <w:rPr>
      <w:kern w:val="0"/>
    </w:rPr>
  </w:style>
  <w:style w:type="paragraph" w:customStyle="1" w:styleId="xl51">
    <w:name w:val="xl51"/>
    <w:basedOn w:val="a"/>
    <w:qFormat/>
    <w:pPr>
      <w:widowControl/>
      <w:pBdr>
        <w:top w:val="single" w:sz="4" w:space="0" w:color="auto"/>
        <w:left w:val="single" w:sz="4" w:space="0" w:color="auto"/>
        <w:bottom w:val="single" w:sz="8" w:space="0" w:color="auto"/>
        <w:right w:val="single" w:sz="4"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X">
    <w:name w:val="第X节"/>
    <w:basedOn w:val="a"/>
    <w:next w:val="2"/>
    <w:qFormat/>
    <w:pPr>
      <w:tabs>
        <w:tab w:val="left" w:pos="1080"/>
        <w:tab w:val="left" w:pos="1130"/>
      </w:tabs>
      <w:spacing w:line="360" w:lineRule="auto"/>
      <w:ind w:left="1130" w:firstLine="200"/>
      <w:jc w:val="center"/>
    </w:pPr>
    <w:rPr>
      <w:b/>
      <w:sz w:val="28"/>
    </w:rPr>
  </w:style>
  <w:style w:type="paragraph" w:customStyle="1" w:styleId="30515">
    <w:name w:val="样式 标题 3 + 段前: 0.5 行 行距: 1.5 倍行距"/>
    <w:basedOn w:val="3"/>
    <w:qFormat/>
    <w:pPr>
      <w:keepNext w:val="0"/>
      <w:keepLines w:val="0"/>
      <w:tabs>
        <w:tab w:val="left" w:pos="1080"/>
      </w:tabs>
      <w:autoSpaceDE w:val="0"/>
      <w:autoSpaceDN w:val="0"/>
      <w:adjustRightInd w:val="0"/>
      <w:snapToGrid w:val="0"/>
      <w:spacing w:beforeLines="100" w:before="312" w:after="0" w:line="360" w:lineRule="auto"/>
      <w:ind w:left="227" w:firstLineChars="200" w:hanging="227"/>
      <w:textAlignment w:val="baseline"/>
    </w:pPr>
    <w:rPr>
      <w:rFonts w:eastAsia="黑体"/>
      <w:b w:val="0"/>
      <w:snapToGrid w:val="0"/>
      <w:kern w:val="0"/>
      <w:sz w:val="30"/>
    </w:rPr>
  </w:style>
  <w:style w:type="paragraph" w:customStyle="1" w:styleId="font6">
    <w:name w:val="font6"/>
    <w:basedOn w:val="a"/>
    <w:qFormat/>
    <w:pPr>
      <w:widowControl/>
      <w:spacing w:before="100" w:beforeAutospacing="1" w:after="100" w:afterAutospacing="1" w:line="529" w:lineRule="exact"/>
      <w:ind w:firstLineChars="200" w:firstLine="200"/>
    </w:pPr>
    <w:rPr>
      <w:rFonts w:eastAsia="汉鼎简书宋"/>
      <w:kern w:val="0"/>
      <w:sz w:val="20"/>
    </w:rPr>
  </w:style>
  <w:style w:type="paragraph" w:customStyle="1" w:styleId="350">
    <w:name w:val="标题3.5"/>
    <w:basedOn w:val="a"/>
    <w:qFormat/>
    <w:rPr>
      <w:rFonts w:ascii="Times New Roman" w:eastAsia="仿宋_GB2312" w:hAnsi="Times New Roman"/>
      <w:szCs w:val="24"/>
    </w:rPr>
  </w:style>
  <w:style w:type="paragraph" w:customStyle="1" w:styleId="xl80">
    <w:name w:val="xl80"/>
    <w:basedOn w:val="a"/>
    <w:qFormat/>
    <w:pPr>
      <w:widowControl/>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kern w:val="0"/>
      <w:szCs w:val="24"/>
    </w:rPr>
  </w:style>
  <w:style w:type="paragraph" w:customStyle="1" w:styleId="kk50404">
    <w:name w:val="样式 kk5 + 段前: 0.4 行 段后: 0.4 行"/>
    <w:basedOn w:val="a"/>
    <w:qFormat/>
    <w:pPr>
      <w:keepNext/>
      <w:keepLines/>
      <w:spacing w:line="500" w:lineRule="exact"/>
      <w:ind w:firstLineChars="200" w:firstLine="200"/>
      <w:outlineLvl w:val="4"/>
    </w:pPr>
  </w:style>
  <w:style w:type="paragraph" w:customStyle="1" w:styleId="215">
    <w:name w:val="样式 标题 2 + 行距: 1.5 倍行距"/>
    <w:basedOn w:val="2"/>
    <w:qFormat/>
    <w:pPr>
      <w:keepNext w:val="0"/>
      <w:keepLines w:val="0"/>
      <w:tabs>
        <w:tab w:val="left" w:pos="964"/>
      </w:tabs>
      <w:autoSpaceDE w:val="0"/>
      <w:autoSpaceDN w:val="0"/>
      <w:adjustRightInd w:val="0"/>
      <w:snapToGrid w:val="0"/>
      <w:spacing w:beforeLines="100" w:before="312" w:after="0" w:line="360" w:lineRule="auto"/>
      <w:ind w:left="964" w:firstLineChars="200" w:hanging="737"/>
      <w:textAlignment w:val="baseline"/>
    </w:pPr>
    <w:rPr>
      <w:rFonts w:ascii="Times New Roman" w:hAnsi="Times New Roman"/>
      <w:snapToGrid w:val="0"/>
      <w:kern w:val="44"/>
    </w:rPr>
  </w:style>
  <w:style w:type="paragraph" w:customStyle="1" w:styleId="xl59">
    <w:name w:val="xl59"/>
    <w:basedOn w:val="a"/>
    <w:qFormat/>
    <w:pPr>
      <w:widowControl/>
      <w:pBdr>
        <w:top w:val="single" w:sz="4" w:space="0" w:color="auto"/>
        <w:bottom w:val="single" w:sz="4" w:space="0" w:color="auto"/>
        <w:right w:val="single" w:sz="4" w:space="0" w:color="auto"/>
      </w:pBdr>
      <w:shd w:val="clear" w:color="0000FF" w:fill="C0C0C0"/>
      <w:spacing w:before="100" w:beforeAutospacing="1" w:after="100" w:afterAutospacing="1"/>
      <w:jc w:val="left"/>
      <w:textAlignment w:val="center"/>
    </w:pPr>
    <w:rPr>
      <w:rFonts w:ascii="Arial Unicode MS" w:eastAsia="Arial Unicode MS" w:hAnsi="Arial Unicode MS"/>
      <w:color w:val="800080"/>
      <w:kern w:val="0"/>
    </w:rPr>
  </w:style>
  <w:style w:type="paragraph" w:customStyle="1" w:styleId="afffffff5">
    <w:name w:val="区划正文"/>
    <w:basedOn w:val="a"/>
    <w:qFormat/>
    <w:pPr>
      <w:adjustRightInd w:val="0"/>
      <w:snapToGrid w:val="0"/>
      <w:spacing w:line="480" w:lineRule="exact"/>
      <w:ind w:firstLineChars="200" w:firstLine="200"/>
    </w:pPr>
    <w:rPr>
      <w:rFonts w:ascii="Times New Roman" w:hAnsi="Times New Roman"/>
    </w:rPr>
  </w:style>
  <w:style w:type="paragraph" w:customStyle="1" w:styleId="xl35">
    <w:name w:val="xl35"/>
    <w:basedOn w:val="a"/>
    <w:qFormat/>
    <w:pPr>
      <w:widowControl/>
      <w:pBdr>
        <w:top w:val="single" w:sz="4" w:space="0" w:color="auto"/>
        <w:left w:val="single" w:sz="8" w:space="0" w:color="auto"/>
        <w:bottom w:val="single" w:sz="4" w:space="0" w:color="auto"/>
        <w:right w:val="single" w:sz="4"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afffffff6">
    <w:name w:val="样式 正文段落 + 五号"/>
    <w:basedOn w:val="a"/>
    <w:qFormat/>
    <w:pPr>
      <w:topLinePunct/>
      <w:autoSpaceDN w:val="0"/>
      <w:adjustRightInd w:val="0"/>
      <w:spacing w:line="500" w:lineRule="exact"/>
      <w:textAlignment w:val="baseline"/>
    </w:pPr>
    <w:rPr>
      <w:rFonts w:ascii="Arial Narrow" w:eastAsia="汉鼎简书宋" w:hAnsi="Arial Narrow"/>
      <w:kern w:val="0"/>
    </w:rPr>
  </w:style>
  <w:style w:type="paragraph" w:customStyle="1" w:styleId="xl19">
    <w:name w:val="xl1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kern w:val="0"/>
      <w:sz w:val="20"/>
    </w:rPr>
  </w:style>
  <w:style w:type="paragraph" w:customStyle="1" w:styleId="afffffff7">
    <w:name w:val="表头样式"/>
    <w:basedOn w:val="a"/>
    <w:qFormat/>
    <w:pPr>
      <w:spacing w:beforeLines="30" w:before="93" w:afterLines="20" w:after="62"/>
      <w:ind w:firstLineChars="200" w:firstLine="200"/>
    </w:pPr>
    <w:rPr>
      <w:rFonts w:eastAsia="黑体"/>
      <w:sz w:val="28"/>
    </w:rPr>
  </w:style>
  <w:style w:type="paragraph" w:customStyle="1" w:styleId="311">
    <w:name w:val="样式 标题 3 + 段前: 1 行 行距: 单倍行距1"/>
    <w:basedOn w:val="3"/>
    <w:qFormat/>
    <w:pPr>
      <w:keepNext w:val="0"/>
      <w:keepLines w:val="0"/>
      <w:tabs>
        <w:tab w:val="left" w:pos="1080"/>
      </w:tabs>
      <w:autoSpaceDE w:val="0"/>
      <w:autoSpaceDN w:val="0"/>
      <w:adjustRightInd w:val="0"/>
      <w:snapToGrid w:val="0"/>
      <w:spacing w:beforeLines="100" w:before="312" w:after="0" w:line="360" w:lineRule="auto"/>
      <w:ind w:left="227" w:firstLineChars="200" w:hanging="227"/>
      <w:textAlignment w:val="baseline"/>
    </w:pPr>
    <w:rPr>
      <w:rFonts w:eastAsia="黑体"/>
      <w:b w:val="0"/>
      <w:snapToGrid w:val="0"/>
      <w:kern w:val="0"/>
      <w:sz w:val="30"/>
    </w:rPr>
  </w:style>
  <w:style w:type="paragraph" w:customStyle="1" w:styleId="afffffff8">
    <w:name w:val="样式"/>
    <w:basedOn w:val="a"/>
    <w:next w:val="38"/>
    <w:qFormat/>
    <w:pPr>
      <w:tabs>
        <w:tab w:val="left" w:pos="6720"/>
      </w:tabs>
      <w:spacing w:line="360" w:lineRule="auto"/>
      <w:ind w:firstLineChars="200" w:firstLine="480"/>
    </w:pPr>
    <w:rPr>
      <w:rFonts w:ascii="楷体_GB2312" w:eastAsia="楷体_GB2312" w:hAnsi="Times New Roman"/>
      <w:szCs w:val="24"/>
    </w:rPr>
  </w:style>
  <w:style w:type="paragraph" w:customStyle="1" w:styleId="2f9">
    <w:name w:val="正文文字缩进2"/>
    <w:basedOn w:val="24"/>
    <w:qFormat/>
    <w:rPr>
      <w:rFonts w:ascii="Times New Roman" w:hAnsi="Times New Roman"/>
      <w:szCs w:val="24"/>
    </w:rPr>
  </w:style>
  <w:style w:type="paragraph" w:customStyle="1" w:styleId="afffffff9">
    <w:name w:val="ÕýÎÄ"/>
    <w:qFormat/>
    <w:pPr>
      <w:widowControl w:val="0"/>
      <w:overflowPunct w:val="0"/>
      <w:autoSpaceDE w:val="0"/>
      <w:autoSpaceDN w:val="0"/>
      <w:adjustRightInd w:val="0"/>
      <w:spacing w:line="357" w:lineRule="atLeast"/>
      <w:jc w:val="both"/>
      <w:textAlignment w:val="baseline"/>
    </w:pPr>
    <w:rPr>
      <w:color w:val="000000"/>
      <w:sz w:val="21"/>
    </w:rPr>
  </w:style>
  <w:style w:type="paragraph" w:customStyle="1" w:styleId="hb3">
    <w:name w:val="样式 hb3 + 加粗 两端对齐"/>
    <w:basedOn w:val="3"/>
    <w:next w:val="3"/>
    <w:qFormat/>
    <w:pPr>
      <w:adjustRightInd w:val="0"/>
      <w:spacing w:before="360" w:after="360" w:line="240" w:lineRule="auto"/>
      <w:textAlignment w:val="baseline"/>
      <w:outlineLvl w:val="0"/>
    </w:pPr>
    <w:rPr>
      <w:rFonts w:ascii="Arial Narrow" w:eastAsia="汉鼎简书宋" w:hAnsi="Arial Narrow"/>
      <w:b w:val="0"/>
      <w:kern w:val="0"/>
      <w:sz w:val="24"/>
    </w:rPr>
  </w:style>
  <w:style w:type="paragraph" w:customStyle="1" w:styleId="2fa">
    <w:name w:val="纯文本2"/>
    <w:basedOn w:val="a"/>
    <w:qFormat/>
    <w:pPr>
      <w:adjustRightInd w:val="0"/>
    </w:pPr>
    <w:rPr>
      <w:rFonts w:hAnsi="Courier New" w:hint="eastAsia"/>
      <w:sz w:val="21"/>
    </w:rPr>
  </w:style>
  <w:style w:type="paragraph" w:customStyle="1" w:styleId="xl76">
    <w:name w:val="xl76"/>
    <w:basedOn w:val="a"/>
    <w:qFormat/>
    <w:pPr>
      <w:widowControl/>
      <w:pBdr>
        <w:left w:val="single" w:sz="8" w:space="0" w:color="auto"/>
        <w:right w:val="single" w:sz="8" w:space="0" w:color="auto"/>
      </w:pBdr>
      <w:spacing w:before="100" w:beforeAutospacing="1" w:after="100" w:afterAutospacing="1"/>
      <w:jc w:val="center"/>
    </w:pPr>
    <w:rPr>
      <w:rFonts w:cs="宋体"/>
      <w:color w:val="222222"/>
      <w:kern w:val="0"/>
      <w:szCs w:val="24"/>
    </w:rPr>
  </w:style>
  <w:style w:type="paragraph" w:customStyle="1" w:styleId="2fb">
    <w:name w:val="样式2"/>
    <w:basedOn w:val="a"/>
    <w:link w:val="2Char3"/>
    <w:qFormat/>
    <w:rPr>
      <w:rFonts w:eastAsia="仿宋_GB2312"/>
    </w:rPr>
  </w:style>
  <w:style w:type="paragraph" w:customStyle="1" w:styleId="afffffffa">
    <w:name w:val="样式 黑体 三号 居中 行距: 单倍行距"/>
    <w:basedOn w:val="a"/>
    <w:next w:val="a"/>
    <w:qFormat/>
    <w:pPr>
      <w:adjustRightInd w:val="0"/>
      <w:spacing w:line="529" w:lineRule="exact"/>
      <w:ind w:firstLine="420"/>
      <w:textAlignment w:val="baseline"/>
    </w:pPr>
    <w:rPr>
      <w:rFonts w:ascii="黑体" w:eastAsia="黑体"/>
      <w:kern w:val="0"/>
      <w:sz w:val="32"/>
    </w:rPr>
  </w:style>
  <w:style w:type="paragraph" w:customStyle="1" w:styleId="ParaCharCharCharCharCharCharCharCharCharChar">
    <w:name w:val="默认段落字体 Para Char Char Char Char Char Char Char Char Char Char"/>
    <w:basedOn w:val="3"/>
    <w:qFormat/>
    <w:pPr>
      <w:tabs>
        <w:tab w:val="left" w:pos="360"/>
        <w:tab w:val="left" w:pos="900"/>
      </w:tabs>
      <w:snapToGrid w:val="0"/>
      <w:spacing w:before="120" w:after="120" w:line="360" w:lineRule="auto"/>
      <w:ind w:leftChars="-12" w:left="542" w:firstLineChars="200" w:firstLine="200"/>
      <w:jc w:val="left"/>
    </w:pPr>
    <w:rPr>
      <w:rFonts w:hAnsi="Times New Roman"/>
      <w:spacing w:val="5"/>
    </w:rPr>
  </w:style>
  <w:style w:type="paragraph" w:customStyle="1" w:styleId="xl90">
    <w:name w:val="xl90"/>
    <w:basedOn w:val="a"/>
    <w:qFormat/>
    <w:pPr>
      <w:widowControl/>
      <w:pBdr>
        <w:top w:val="single" w:sz="8" w:space="0" w:color="auto"/>
        <w:left w:val="single" w:sz="8" w:space="0" w:color="auto"/>
        <w:right w:val="single" w:sz="8" w:space="0" w:color="auto"/>
      </w:pBdr>
      <w:spacing w:before="100" w:beforeAutospacing="1" w:after="100" w:afterAutospacing="1"/>
      <w:jc w:val="center"/>
    </w:pPr>
    <w:rPr>
      <w:rFonts w:ascii="新宋体" w:eastAsia="新宋体" w:hAnsi="新宋体" w:cs="宋体"/>
      <w:kern w:val="0"/>
      <w:szCs w:val="24"/>
    </w:rPr>
  </w:style>
  <w:style w:type="paragraph" w:customStyle="1" w:styleId="64">
    <w:name w:val="样式6"/>
    <w:basedOn w:val="6"/>
    <w:qFormat/>
    <w:pPr>
      <w:tabs>
        <w:tab w:val="clear" w:pos="1152"/>
        <w:tab w:val="left" w:pos="1247"/>
      </w:tabs>
      <w:spacing w:before="0" w:after="0" w:line="360" w:lineRule="auto"/>
      <w:ind w:left="0" w:firstLine="420"/>
    </w:pPr>
    <w:rPr>
      <w:rFonts w:eastAsia="宋体"/>
      <w:color w:val="000000"/>
      <w:sz w:val="28"/>
    </w:rPr>
  </w:style>
  <w:style w:type="paragraph" w:customStyle="1" w:styleId="xl30">
    <w:name w:val="xl30"/>
    <w:basedOn w:val="a"/>
    <w:qFormat/>
    <w:pPr>
      <w:widowControl/>
      <w:pBdr>
        <w:left w:val="single" w:sz="4" w:space="0" w:color="auto"/>
        <w:right w:val="single" w:sz="4" w:space="0" w:color="auto"/>
      </w:pBdr>
      <w:topLinePunct/>
      <w:spacing w:before="100" w:beforeAutospacing="1" w:after="100" w:afterAutospacing="1" w:line="529" w:lineRule="exact"/>
      <w:ind w:firstLineChars="200" w:firstLine="200"/>
      <w:textAlignment w:val="center"/>
    </w:pPr>
    <w:rPr>
      <w:rFonts w:ascii="Arial Unicode MS" w:eastAsia="Arial Unicode MS" w:hAnsi="Arial Unicode MS"/>
      <w:kern w:val="0"/>
    </w:rPr>
  </w:style>
  <w:style w:type="paragraph" w:customStyle="1" w:styleId="afffffffb">
    <w:name w:val="三级标题"/>
    <w:basedOn w:val="a"/>
    <w:qFormat/>
    <w:rPr>
      <w:rFonts w:ascii="Times New Roman" w:eastAsia="黑体" w:hAnsi="Times New Roman"/>
      <w:bCs/>
      <w:sz w:val="28"/>
      <w:szCs w:val="24"/>
    </w:rPr>
  </w:style>
  <w:style w:type="paragraph" w:customStyle="1" w:styleId="afffffffc">
    <w:name w:val="正文表格"/>
    <w:basedOn w:val="a"/>
    <w:qFormat/>
    <w:pPr>
      <w:jc w:val="center"/>
    </w:pPr>
    <w:rPr>
      <w:rFonts w:ascii="Times New Roman" w:eastAsia="仿宋_GB2312" w:hAnsi="Times New Roman"/>
      <w:sz w:val="21"/>
      <w:szCs w:val="24"/>
    </w:rPr>
  </w:style>
  <w:style w:type="paragraph" w:customStyle="1" w:styleId="20005">
    <w:name w:val="样式 标题 2 + 左侧:  0 厘米 首行缩进:  0 厘米 段前: 0.5 行"/>
    <w:basedOn w:val="2"/>
    <w:qFormat/>
    <w:pPr>
      <w:keepNext w:val="0"/>
      <w:keepLines w:val="0"/>
      <w:tabs>
        <w:tab w:val="left" w:pos="964"/>
      </w:tabs>
      <w:autoSpaceDE w:val="0"/>
      <w:autoSpaceDN w:val="0"/>
      <w:adjustRightInd w:val="0"/>
      <w:snapToGrid w:val="0"/>
      <w:spacing w:beforeLines="100" w:before="312" w:after="0" w:line="360" w:lineRule="auto"/>
      <w:ind w:firstLineChars="200" w:firstLine="480"/>
      <w:textAlignment w:val="baseline"/>
    </w:pPr>
    <w:rPr>
      <w:rFonts w:ascii="Times New Roman" w:hAnsi="Times New Roman"/>
      <w:snapToGrid w:val="0"/>
      <w:kern w:val="44"/>
    </w:rPr>
  </w:style>
  <w:style w:type="paragraph" w:customStyle="1" w:styleId="59">
    <w:name w:val="样式5"/>
    <w:basedOn w:val="5"/>
    <w:link w:val="5Char"/>
    <w:qFormat/>
    <w:pPr>
      <w:tabs>
        <w:tab w:val="clear" w:pos="1008"/>
        <w:tab w:val="left" w:pos="1247"/>
        <w:tab w:val="left" w:pos="1534"/>
      </w:tabs>
      <w:spacing w:before="0" w:after="0" w:line="360" w:lineRule="auto"/>
      <w:ind w:left="284" w:firstLine="170"/>
    </w:pPr>
    <w:rPr>
      <w:rFonts w:eastAsia="汉鼎简书宋"/>
    </w:rPr>
  </w:style>
  <w:style w:type="paragraph" w:customStyle="1" w:styleId="Char23">
    <w:name w:val="Char2"/>
    <w:basedOn w:val="a"/>
    <w:qFormat/>
    <w:rPr>
      <w:rFonts w:ascii="Times New Roman" w:hAnsi="Times New Roman"/>
      <w:sz w:val="21"/>
    </w:rPr>
  </w:style>
  <w:style w:type="paragraph" w:customStyle="1" w:styleId="xl20">
    <w:name w:val="xl2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kern w:val="0"/>
      <w:sz w:val="20"/>
    </w:rPr>
  </w:style>
  <w:style w:type="paragraph" w:customStyle="1" w:styleId="afffffffd">
    <w:name w:val="样式 题注 + 居中"/>
    <w:basedOn w:val="aa"/>
    <w:next w:val="a"/>
    <w:qFormat/>
    <w:pPr>
      <w:spacing w:before="120" w:after="120"/>
    </w:pPr>
    <w:rPr>
      <w:rFonts w:eastAsia="楷体_GB2312"/>
      <w:b/>
      <w:sz w:val="24"/>
    </w:rPr>
  </w:style>
  <w:style w:type="paragraph" w:customStyle="1" w:styleId="xl49">
    <w:name w:val="xl49"/>
    <w:basedOn w:val="a"/>
    <w:qFormat/>
    <w:pPr>
      <w:widowControl/>
      <w:pBdr>
        <w:top w:val="single" w:sz="4" w:space="0" w:color="auto"/>
        <w:left w:val="single" w:sz="8" w:space="0" w:color="auto"/>
        <w:bottom w:val="single" w:sz="8" w:space="0" w:color="auto"/>
        <w:right w:val="single" w:sz="4"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0852">
    <w:name w:val="样式 首行缩进:  0.85 厘米2"/>
    <w:basedOn w:val="a"/>
    <w:qFormat/>
    <w:pPr>
      <w:spacing w:beforeLines="50" w:before="156" w:line="360" w:lineRule="auto"/>
    </w:pPr>
    <w:rPr>
      <w:b/>
      <w:kern w:val="24"/>
    </w:rPr>
  </w:style>
  <w:style w:type="paragraph" w:customStyle="1" w:styleId="afffffffe">
    <w:name w:val="序号"/>
    <w:basedOn w:val="af7"/>
    <w:qFormat/>
    <w:pPr>
      <w:tabs>
        <w:tab w:val="left" w:pos="902"/>
      </w:tabs>
      <w:adjustRightInd/>
      <w:snapToGrid/>
      <w:ind w:firstLine="900"/>
    </w:pPr>
    <w:rPr>
      <w:rFonts w:ascii="宋体" w:eastAsia="宋体"/>
      <w:color w:val="auto"/>
    </w:rPr>
  </w:style>
  <w:style w:type="paragraph" w:customStyle="1" w:styleId="xl57">
    <w:name w:val="xl57"/>
    <w:basedOn w:val="a"/>
    <w:qFormat/>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Arial Unicode MS" w:eastAsia="Arial Unicode MS" w:hAnsi="Arial Unicode MS" w:cs="Arial Unicode MS"/>
      <w:color w:val="FF0000"/>
      <w:kern w:val="0"/>
      <w:sz w:val="16"/>
      <w:szCs w:val="16"/>
    </w:rPr>
  </w:style>
  <w:style w:type="paragraph" w:customStyle="1" w:styleId="250">
    <w:name w:val="样式 宋体 小四 行距: 固定值 25 磅"/>
    <w:basedOn w:val="a"/>
    <w:qFormat/>
    <w:pPr>
      <w:tabs>
        <w:tab w:val="left" w:pos="1875"/>
      </w:tabs>
      <w:spacing w:line="500" w:lineRule="exact"/>
      <w:ind w:firstLineChars="200" w:firstLine="488"/>
    </w:pPr>
    <w:rPr>
      <w:spacing w:val="2"/>
    </w:rPr>
  </w:style>
  <w:style w:type="paragraph" w:customStyle="1" w:styleId="xl33">
    <w:name w:val="xl3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kern w:val="0"/>
      <w:sz w:val="20"/>
    </w:rPr>
  </w:style>
  <w:style w:type="paragraph" w:customStyle="1" w:styleId="affffffff">
    <w:name w:val="公式"/>
    <w:basedOn w:val="aa"/>
    <w:qFormat/>
    <w:pPr>
      <w:tabs>
        <w:tab w:val="right" w:pos="7560"/>
      </w:tabs>
      <w:spacing w:line="360" w:lineRule="auto"/>
      <w:jc w:val="center"/>
    </w:pPr>
    <w:rPr>
      <w:rFonts w:ascii="Times New Roman" w:eastAsia="宋体" w:hAnsi="Times New Roman" w:cs="黑体"/>
      <w:kern w:val="0"/>
      <w:sz w:val="24"/>
      <w:szCs w:val="21"/>
    </w:rPr>
  </w:style>
  <w:style w:type="paragraph" w:customStyle="1" w:styleId="440">
    <w:name w:val="样式 样式 表文字 + 左  4 字符 + 左  4 字符"/>
    <w:basedOn w:val="a"/>
    <w:qFormat/>
    <w:pPr>
      <w:topLinePunct/>
      <w:adjustRightInd w:val="0"/>
      <w:spacing w:line="240" w:lineRule="exact"/>
      <w:textAlignment w:val="baseline"/>
    </w:pPr>
  </w:style>
  <w:style w:type="paragraph" w:customStyle="1" w:styleId="3f5">
    <w:name w:val="3"/>
    <w:basedOn w:val="a"/>
    <w:next w:val="26"/>
    <w:qFormat/>
    <w:pPr>
      <w:adjustRightInd w:val="0"/>
      <w:spacing w:line="529" w:lineRule="exact"/>
      <w:ind w:right="-16" w:firstLineChars="200" w:firstLine="200"/>
      <w:jc w:val="left"/>
      <w:textAlignment w:val="baseline"/>
    </w:pPr>
    <w:rPr>
      <w:rFonts w:ascii="Times New Roman" w:eastAsia="汉鼎简书宋" w:hAnsi="Times New Roman"/>
      <w:kern w:val="0"/>
      <w:szCs w:val="24"/>
    </w:rPr>
  </w:style>
  <w:style w:type="paragraph" w:customStyle="1" w:styleId="affffffff0">
    <w:name w:val="环保节标题"/>
    <w:basedOn w:val="a"/>
    <w:qFormat/>
    <w:pPr>
      <w:keepNext/>
      <w:keepLines/>
      <w:adjustRightInd w:val="0"/>
      <w:spacing w:before="260" w:after="260" w:line="416" w:lineRule="atLeast"/>
      <w:ind w:firstLineChars="200" w:firstLine="200"/>
      <w:textAlignment w:val="baseline"/>
      <w:outlineLvl w:val="2"/>
    </w:pPr>
    <w:rPr>
      <w:rFonts w:eastAsia="汉鼎简书宋"/>
      <w:kern w:val="0"/>
    </w:rPr>
  </w:style>
  <w:style w:type="paragraph" w:customStyle="1" w:styleId="affffffff1">
    <w:name w:val="样式 正文"/>
    <w:basedOn w:val="0144"/>
    <w:qFormat/>
  </w:style>
  <w:style w:type="paragraph" w:customStyle="1" w:styleId="0144">
    <w:name w:val="样式 正文 + 左侧:  0 厘米 悬挂缩进: 14.4 字符"/>
    <w:basedOn w:val="a"/>
    <w:qFormat/>
    <w:pPr>
      <w:widowControl/>
      <w:spacing w:line="529" w:lineRule="exact"/>
      <w:ind w:firstLineChars="200" w:firstLine="200"/>
    </w:pPr>
  </w:style>
  <w:style w:type="paragraph" w:customStyle="1" w:styleId="074">
    <w:name w:val="样式 表文字 + (符号) 宋体 首行缩进:  0.74 厘米"/>
    <w:basedOn w:val="afffff7"/>
    <w:qFormat/>
    <w:pPr>
      <w:spacing w:after="120"/>
    </w:pPr>
    <w:rPr>
      <w:rFonts w:ascii="Times New Roman" w:cs="宋体"/>
    </w:rPr>
  </w:style>
  <w:style w:type="paragraph" w:customStyle="1" w:styleId="xl85">
    <w:name w:val="xl85"/>
    <w:basedOn w:val="a"/>
    <w:qFormat/>
    <w:pPr>
      <w:widowControl/>
      <w:pBdr>
        <w:top w:val="single" w:sz="8" w:space="0" w:color="auto"/>
        <w:left w:val="single" w:sz="8" w:space="0" w:color="auto"/>
        <w:right w:val="single" w:sz="8" w:space="0" w:color="auto"/>
      </w:pBdr>
      <w:spacing w:before="100" w:beforeAutospacing="1" w:after="100" w:afterAutospacing="1"/>
      <w:jc w:val="center"/>
    </w:pPr>
    <w:rPr>
      <w:rFonts w:cs="宋体"/>
      <w:color w:val="0000FF"/>
      <w:kern w:val="0"/>
      <w:szCs w:val="24"/>
      <w:u w:val="single"/>
    </w:rPr>
  </w:style>
  <w:style w:type="paragraph" w:customStyle="1" w:styleId="affffffff2">
    <w:name w:val="表格标题"/>
    <w:basedOn w:val="a"/>
    <w:qFormat/>
    <w:pPr>
      <w:keepNext/>
      <w:tabs>
        <w:tab w:val="center" w:pos="4253"/>
        <w:tab w:val="right" w:pos="8505"/>
      </w:tabs>
      <w:adjustRightInd w:val="0"/>
      <w:spacing w:after="60" w:line="312" w:lineRule="auto"/>
      <w:textAlignment w:val="baseline"/>
    </w:pPr>
    <w:rPr>
      <w:rFonts w:ascii="Arial" w:hAnsi="Arial"/>
      <w:kern w:val="0"/>
      <w:sz w:val="28"/>
    </w:rPr>
  </w:style>
  <w:style w:type="paragraph" w:customStyle="1" w:styleId="5a">
    <w:name w:val="标题5"/>
    <w:basedOn w:val="5"/>
    <w:qFormat/>
    <w:pPr>
      <w:widowControl/>
      <w:spacing w:before="0" w:after="0" w:line="360" w:lineRule="auto"/>
      <w:ind w:left="0" w:firstLine="0"/>
    </w:pPr>
    <w:rPr>
      <w:kern w:val="0"/>
      <w:sz w:val="24"/>
    </w:rPr>
  </w:style>
  <w:style w:type="paragraph" w:customStyle="1" w:styleId="xl58">
    <w:name w:val="xl58"/>
    <w:basedOn w:val="a"/>
    <w:qFormat/>
    <w:pPr>
      <w:pBdr>
        <w:left w:val="single" w:sz="4" w:space="0" w:color="auto"/>
        <w:bottom w:val="single" w:sz="4" w:space="0" w:color="000000"/>
        <w:right w:val="single" w:sz="4" w:space="0" w:color="auto"/>
      </w:pBdr>
      <w:spacing w:before="100" w:beforeAutospacing="1" w:after="100" w:afterAutospacing="1"/>
    </w:pPr>
    <w:rPr>
      <w:rFonts w:ascii="Arial Unicode MS" w:eastAsia="Arial Unicode MS" w:hAnsi="Arial Unicode MS"/>
    </w:rPr>
  </w:style>
  <w:style w:type="paragraph" w:customStyle="1" w:styleId="affffffff3">
    <w:name w:val="正文样式一"/>
    <w:basedOn w:val="a"/>
    <w:qFormat/>
    <w:pPr>
      <w:adjustRightInd w:val="0"/>
      <w:spacing w:line="400" w:lineRule="atLeast"/>
      <w:ind w:firstLine="510"/>
      <w:textAlignment w:val="baseline"/>
    </w:pPr>
    <w:rPr>
      <w:rFonts w:ascii="Times New Roman" w:hAnsi="Times New Roman"/>
      <w:kern w:val="0"/>
    </w:rPr>
  </w:style>
  <w:style w:type="paragraph" w:customStyle="1" w:styleId="affffffff4">
    <w:name w:val="简要报告正文"/>
    <w:basedOn w:val="a"/>
    <w:qFormat/>
    <w:pPr>
      <w:adjustRightInd w:val="0"/>
      <w:snapToGrid w:val="0"/>
      <w:spacing w:line="529" w:lineRule="exact"/>
      <w:ind w:firstLine="465"/>
      <w:jc w:val="center"/>
    </w:pPr>
    <w:rPr>
      <w:rFonts w:ascii="Times New Roman" w:hAnsi="Times New Roman" w:cs="宋体"/>
      <w:kern w:val="0"/>
      <w:szCs w:val="24"/>
    </w:rPr>
  </w:style>
  <w:style w:type="paragraph" w:customStyle="1" w:styleId="hb40">
    <w:name w:val="样式hb4"/>
    <w:basedOn w:val="a"/>
    <w:link w:val="hb4CharChar"/>
    <w:qFormat/>
    <w:pPr>
      <w:keepNext/>
      <w:keepLines/>
      <w:topLinePunct/>
      <w:adjustRightInd w:val="0"/>
      <w:snapToGrid w:val="0"/>
      <w:spacing w:before="156" w:after="156"/>
      <w:outlineLvl w:val="3"/>
    </w:pPr>
    <w:rPr>
      <w:rFonts w:eastAsia="Times New Roman"/>
      <w:snapToGrid w:val="0"/>
      <w:kern w:val="0"/>
    </w:rPr>
  </w:style>
  <w:style w:type="paragraph" w:customStyle="1" w:styleId="1f5">
    <w:name w:val="自正文1"/>
    <w:basedOn w:val="a"/>
    <w:qFormat/>
    <w:pPr>
      <w:tabs>
        <w:tab w:val="left" w:pos="0"/>
      </w:tabs>
      <w:adjustRightInd w:val="0"/>
      <w:snapToGrid w:val="0"/>
      <w:spacing w:line="400" w:lineRule="exact"/>
      <w:ind w:firstLine="480"/>
      <w:jc w:val="left"/>
      <w:textAlignment w:val="baseline"/>
    </w:pPr>
    <w:rPr>
      <w:rFonts w:hAnsi="Times New Roman"/>
      <w:b/>
      <w:kern w:val="24"/>
    </w:rPr>
  </w:style>
  <w:style w:type="paragraph" w:customStyle="1" w:styleId="Arial">
    <w:name w:val="正文 + Arial"/>
    <w:basedOn w:val="a"/>
    <w:qFormat/>
    <w:pPr>
      <w:adjustRightInd w:val="0"/>
      <w:snapToGrid w:val="0"/>
      <w:spacing w:line="360" w:lineRule="auto"/>
      <w:ind w:right="-21" w:firstLine="600"/>
      <w:textAlignment w:val="baseline"/>
    </w:pPr>
    <w:rPr>
      <w:rFonts w:ascii="Arial" w:hAnsi="Arial"/>
      <w:spacing w:val="20"/>
    </w:rPr>
  </w:style>
  <w:style w:type="paragraph" w:customStyle="1" w:styleId="CharCharChar3">
    <w:name w:val="二级标题 Char Char Char"/>
    <w:basedOn w:val="a"/>
    <w:next w:val="a"/>
    <w:qFormat/>
    <w:pPr>
      <w:ind w:firstLineChars="200" w:firstLine="200"/>
    </w:pPr>
  </w:style>
  <w:style w:type="paragraph" w:customStyle="1" w:styleId="0850">
    <w:name w:val="样式 左侧:  0.85 厘米 首行缩进:  0 字符"/>
    <w:basedOn w:val="a"/>
    <w:qFormat/>
    <w:pPr>
      <w:topLinePunct/>
      <w:spacing w:line="529" w:lineRule="exact"/>
      <w:ind w:left="480"/>
    </w:pPr>
    <w:rPr>
      <w:rFonts w:eastAsia="汉鼎简书宋"/>
    </w:rPr>
  </w:style>
  <w:style w:type="paragraph" w:customStyle="1" w:styleId="hb40505">
    <w:name w:val="样式 hb4 + 段前: 0.5 行 段后: 0.5 行"/>
    <w:basedOn w:val="hb4"/>
    <w:next w:val="hb4"/>
    <w:qFormat/>
    <w:pPr>
      <w:topLinePunct/>
      <w:spacing w:line="300" w:lineRule="exact"/>
    </w:pPr>
    <w:rPr>
      <w:snapToGrid w:val="0"/>
      <w:kern w:val="0"/>
    </w:rPr>
  </w:style>
  <w:style w:type="paragraph" w:customStyle="1" w:styleId="1Char0">
    <w:name w:val="正文1 Char"/>
    <w:basedOn w:val="a"/>
    <w:next w:val="a"/>
    <w:link w:val="1CharChar"/>
    <w:qFormat/>
    <w:pPr>
      <w:spacing w:after="60" w:line="400" w:lineRule="exact"/>
      <w:ind w:firstLine="425"/>
    </w:pPr>
    <w:rPr>
      <w:rFonts w:ascii="Times New Roman" w:hAnsi="Times New Roman"/>
      <w:szCs w:val="24"/>
    </w:rPr>
  </w:style>
  <w:style w:type="paragraph" w:customStyle="1" w:styleId="hb405051">
    <w:name w:val="样式 hb4 + 段前: 0.5 行 段后: 0.5 行1"/>
    <w:basedOn w:val="hb4"/>
    <w:next w:val="hb4"/>
    <w:qFormat/>
    <w:pPr>
      <w:topLinePunct/>
      <w:spacing w:line="300" w:lineRule="exact"/>
    </w:pPr>
    <w:rPr>
      <w:snapToGrid w:val="0"/>
      <w:kern w:val="0"/>
    </w:rPr>
  </w:style>
  <w:style w:type="paragraph" w:customStyle="1" w:styleId="xl63">
    <w:name w:val="xl63"/>
    <w:basedOn w:val="a"/>
    <w:qFormat/>
    <w:pPr>
      <w:widowControl/>
      <w:spacing w:before="100" w:after="100"/>
      <w:textAlignment w:val="center"/>
    </w:pPr>
    <w:rPr>
      <w:rFonts w:ascii="黑体" w:eastAsia="黑体" w:hint="eastAsia"/>
      <w:kern w:val="0"/>
    </w:rPr>
  </w:style>
  <w:style w:type="paragraph" w:customStyle="1" w:styleId="03">
    <w:name w:val="03"/>
    <w:basedOn w:val="2"/>
    <w:qFormat/>
    <w:pPr>
      <w:spacing w:beforeLines="50" w:before="156" w:afterLines="50" w:after="156" w:line="360" w:lineRule="auto"/>
      <w:outlineLvl w:val="0"/>
    </w:pPr>
    <w:rPr>
      <w:rFonts w:eastAsia="宋体"/>
      <w:b/>
    </w:rPr>
  </w:style>
  <w:style w:type="paragraph" w:customStyle="1" w:styleId="0851">
    <w:name w:val="样式 首行缩进:  0.85 厘米1"/>
    <w:basedOn w:val="a"/>
    <w:qFormat/>
    <w:pPr>
      <w:spacing w:line="529" w:lineRule="exact"/>
      <w:ind w:firstLine="482"/>
    </w:pPr>
  </w:style>
  <w:style w:type="paragraph" w:customStyle="1" w:styleId="1f6">
    <w:name w:val="日期1"/>
    <w:basedOn w:val="a"/>
    <w:next w:val="a"/>
    <w:qFormat/>
    <w:pPr>
      <w:adjustRightInd w:val="0"/>
      <w:spacing w:line="529" w:lineRule="exact"/>
      <w:ind w:firstLine="420"/>
    </w:pPr>
    <w:rPr>
      <w:rFonts w:eastAsia="汉鼎简书宋"/>
      <w:b/>
      <w:snapToGrid w:val="0"/>
      <w:kern w:val="0"/>
      <w:sz w:val="28"/>
    </w:rPr>
  </w:style>
  <w:style w:type="paragraph" w:customStyle="1" w:styleId="affffffff5">
    <w:name w:val="样式 黑体 三号 居中"/>
    <w:basedOn w:val="a"/>
    <w:next w:val="a"/>
    <w:qFormat/>
    <w:pPr>
      <w:topLinePunct/>
      <w:spacing w:line="529" w:lineRule="exact"/>
      <w:ind w:firstLine="420"/>
    </w:pPr>
    <w:rPr>
      <w:rFonts w:ascii="黑体" w:eastAsia="黑体"/>
      <w:sz w:val="32"/>
    </w:rPr>
  </w:style>
  <w:style w:type="paragraph" w:customStyle="1" w:styleId="affffffff6">
    <w:name w:val="表格文字左"/>
    <w:basedOn w:val="a"/>
    <w:qFormat/>
    <w:pPr>
      <w:adjustRightInd w:val="0"/>
      <w:snapToGrid w:val="0"/>
      <w:textAlignment w:val="baseline"/>
    </w:pPr>
    <w:rPr>
      <w:rFonts w:ascii="Arial" w:hAnsi="Arial"/>
      <w:snapToGrid w:val="0"/>
      <w:spacing w:val="6"/>
      <w:kern w:val="0"/>
      <w:lang w:eastAsia="zh-TW"/>
    </w:rPr>
  </w:style>
  <w:style w:type="paragraph" w:customStyle="1" w:styleId="xl23">
    <w:name w:val="xl2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kern w:val="0"/>
      <w:sz w:val="20"/>
    </w:rPr>
  </w:style>
  <w:style w:type="paragraph" w:customStyle="1" w:styleId="2fc">
    <w:name w:val="样式 首行缩进 + 首行缩进:  2 字符"/>
    <w:basedOn w:val="a"/>
    <w:next w:val="a"/>
    <w:qFormat/>
    <w:pPr>
      <w:spacing w:line="529" w:lineRule="exact"/>
      <w:ind w:firstLineChars="200" w:firstLine="200"/>
      <w:textAlignment w:val="baseline"/>
    </w:pPr>
    <w:rPr>
      <w:rFonts w:hAnsi="Times"/>
      <w:kern w:val="44"/>
    </w:rPr>
  </w:style>
  <w:style w:type="paragraph" w:customStyle="1" w:styleId="201522">
    <w:name w:val="样式 正文格式 + 首行缩进:  2 字符 右侧:  0.15 厘米 行距: 固定值 22 磅"/>
    <w:basedOn w:val="a"/>
    <w:qFormat/>
    <w:pPr>
      <w:spacing w:line="440" w:lineRule="exact"/>
      <w:ind w:firstLineChars="200" w:firstLine="560"/>
    </w:pPr>
  </w:style>
  <w:style w:type="paragraph" w:customStyle="1" w:styleId="Char151">
    <w:name w:val="Char151"/>
    <w:basedOn w:val="a"/>
    <w:qFormat/>
    <w:pPr>
      <w:spacing w:line="560" w:lineRule="exact"/>
      <w:ind w:firstLineChars="200" w:firstLine="200"/>
    </w:pPr>
    <w:rPr>
      <w:rFonts w:cs="宋体"/>
      <w:szCs w:val="24"/>
    </w:rPr>
  </w:style>
  <w:style w:type="paragraph" w:customStyle="1" w:styleId="affffffff7">
    <w:name w:val="a朱吉茂－正文"/>
    <w:basedOn w:val="a"/>
    <w:qFormat/>
    <w:pPr>
      <w:spacing w:line="360" w:lineRule="auto"/>
      <w:ind w:firstLineChars="200" w:firstLine="200"/>
    </w:pPr>
    <w:rPr>
      <w:rFonts w:ascii="Times New Roman" w:eastAsia="仿宋_GB2312" w:hAnsi="Times New Roman" w:cs="宋体"/>
      <w:sz w:val="30"/>
    </w:rPr>
  </w:style>
  <w:style w:type="paragraph" w:customStyle="1" w:styleId="2150">
    <w:name w:val="样式 首行缩进:  2 字符 行距: 固定值 15 磅"/>
    <w:basedOn w:val="a"/>
    <w:qFormat/>
    <w:pPr>
      <w:spacing w:line="400" w:lineRule="exact"/>
      <w:ind w:firstLineChars="200" w:firstLine="560"/>
    </w:pPr>
    <w:rPr>
      <w:rFonts w:eastAsia="汉鼎简书宋"/>
      <w:sz w:val="28"/>
    </w:rPr>
  </w:style>
  <w:style w:type="paragraph" w:customStyle="1" w:styleId="210">
    <w:name w:val="样式 首行缩进:  2 字符1"/>
    <w:basedOn w:val="a"/>
    <w:link w:val="21Char"/>
    <w:qFormat/>
    <w:pPr>
      <w:topLinePunct/>
      <w:spacing w:line="529" w:lineRule="exact"/>
      <w:ind w:firstLineChars="200" w:firstLine="480"/>
    </w:pPr>
    <w:rPr>
      <w:rFonts w:ascii="Times New Roman" w:hAnsi="Times New Roman" w:cs="宋体"/>
      <w:szCs w:val="24"/>
    </w:rPr>
  </w:style>
  <w:style w:type="paragraph" w:customStyle="1" w:styleId="2151">
    <w:name w:val="样式 首行缩进:  2 字符 行距: 1.5 倍行距"/>
    <w:basedOn w:val="a"/>
    <w:qFormat/>
    <w:pPr>
      <w:spacing w:line="360" w:lineRule="auto"/>
      <w:ind w:firstLineChars="200" w:firstLine="520"/>
    </w:pPr>
    <w:rPr>
      <w:snapToGrid w:val="0"/>
      <w:kern w:val="0"/>
    </w:rPr>
  </w:style>
  <w:style w:type="paragraph" w:customStyle="1" w:styleId="CharCharChar1Char1">
    <w:name w:val="Char Char Char1 Char1"/>
    <w:basedOn w:val="a"/>
    <w:next w:val="a"/>
    <w:qFormat/>
    <w:pPr>
      <w:spacing w:line="360" w:lineRule="auto"/>
      <w:ind w:firstLineChars="200" w:firstLine="200"/>
    </w:pPr>
    <w:rPr>
      <w:rFonts w:cs="宋体"/>
      <w:szCs w:val="24"/>
    </w:rPr>
  </w:style>
  <w:style w:type="paragraph" w:customStyle="1" w:styleId="0853">
    <w:name w:val="样式 首行缩进:  0.85 厘米3"/>
    <w:basedOn w:val="a"/>
    <w:qFormat/>
    <w:pPr>
      <w:spacing w:line="530" w:lineRule="exact"/>
      <w:ind w:firstLine="482"/>
    </w:pPr>
  </w:style>
  <w:style w:type="paragraph" w:customStyle="1" w:styleId="biaozhun">
    <w:name w:val="biaozhun"/>
    <w:basedOn w:val="a"/>
    <w:qFormat/>
    <w:pPr>
      <w:widowControl/>
      <w:spacing w:before="100" w:beforeAutospacing="1" w:after="100" w:afterAutospacing="1"/>
      <w:jc w:val="left"/>
    </w:pPr>
    <w:rPr>
      <w:rFonts w:cs="宋体"/>
      <w:kern w:val="0"/>
      <w:szCs w:val="24"/>
    </w:rPr>
  </w:style>
  <w:style w:type="paragraph" w:customStyle="1" w:styleId="Char210">
    <w:name w:val="Char21"/>
    <w:basedOn w:val="a"/>
    <w:qFormat/>
    <w:pPr>
      <w:spacing w:line="360" w:lineRule="auto"/>
      <w:ind w:firstLineChars="200" w:firstLine="200"/>
    </w:pPr>
  </w:style>
  <w:style w:type="paragraph" w:customStyle="1" w:styleId="affffffff8">
    <w:name w:val="自正文"/>
    <w:basedOn w:val="a"/>
    <w:qFormat/>
    <w:pPr>
      <w:spacing w:line="500" w:lineRule="exact"/>
      <w:ind w:firstLineChars="200" w:firstLine="200"/>
    </w:pPr>
    <w:rPr>
      <w:rFonts w:ascii="Times New Roman" w:hAnsi="Times New Roman"/>
      <w:kern w:val="0"/>
    </w:rPr>
  </w:style>
  <w:style w:type="paragraph" w:customStyle="1" w:styleId="affffffff9">
    <w:name w:val="文本框文字"/>
    <w:basedOn w:val="afd"/>
    <w:qFormat/>
    <w:pPr>
      <w:spacing w:line="240" w:lineRule="auto"/>
      <w:ind w:firstLineChars="0" w:firstLine="0"/>
    </w:pPr>
    <w:rPr>
      <w:rFonts w:ascii="Times New Roman" w:eastAsia="宋体" w:hAnsi="Times New Roman"/>
      <w:snapToGrid w:val="0"/>
      <w:spacing w:val="10"/>
      <w:sz w:val="21"/>
    </w:rPr>
  </w:style>
  <w:style w:type="paragraph" w:customStyle="1" w:styleId="CharCharCharCharCharCharCharCharCh">
    <w:name w:val="样式 纯文本普通文字 Char普通文字 Char Char Char普通文字 Char Char Char Char Ch..."/>
    <w:basedOn w:val="afd"/>
    <w:qFormat/>
    <w:pPr>
      <w:snapToGrid w:val="0"/>
      <w:spacing w:line="360" w:lineRule="auto"/>
      <w:ind w:firstLine="480"/>
    </w:pPr>
    <w:rPr>
      <w:rFonts w:ascii="Times New Roman" w:eastAsia="宋体" w:hAnsi="Times New Roman"/>
    </w:rPr>
  </w:style>
  <w:style w:type="paragraph" w:customStyle="1" w:styleId="z-1">
    <w:name w:val="z-窗体顶端1"/>
    <w:basedOn w:val="a"/>
    <w:next w:val="a"/>
    <w:link w:val="z-"/>
    <w:qFormat/>
    <w:pPr>
      <w:pBdr>
        <w:bottom w:val="single" w:sz="6" w:space="1" w:color="auto"/>
      </w:pBdr>
      <w:jc w:val="center"/>
    </w:pPr>
    <w:rPr>
      <w:rFonts w:ascii="Arial" w:hAnsi="Arial" w:cs="Arial"/>
      <w:vanish/>
      <w:sz w:val="16"/>
      <w:szCs w:val="16"/>
    </w:rPr>
  </w:style>
  <w:style w:type="character" w:customStyle="1" w:styleId="z-">
    <w:name w:val="z-窗体顶端 字符"/>
    <w:link w:val="z-1"/>
    <w:qFormat/>
    <w:rPr>
      <w:rFonts w:ascii="Arial" w:hAnsi="Arial" w:cs="Arial"/>
      <w:vanish/>
      <w:kern w:val="2"/>
      <w:sz w:val="16"/>
      <w:szCs w:val="16"/>
    </w:rPr>
  </w:style>
  <w:style w:type="paragraph" w:customStyle="1" w:styleId="hb405052">
    <w:name w:val="样式 hb4 + 段前: 0.5 行 段后: 0.5 行2"/>
    <w:basedOn w:val="hb4"/>
    <w:qFormat/>
    <w:pPr>
      <w:topLinePunct/>
      <w:spacing w:beforeLines="100" w:before="312" w:afterLines="100" w:after="312" w:line="300" w:lineRule="exact"/>
    </w:pPr>
    <w:rPr>
      <w:snapToGrid w:val="0"/>
      <w:kern w:val="0"/>
    </w:rPr>
  </w:style>
  <w:style w:type="paragraph" w:customStyle="1" w:styleId="360">
    <w:name w:val="样式 一号 加粗 居中 行距: 固定值 36 磅"/>
    <w:basedOn w:val="a"/>
    <w:qFormat/>
    <w:pPr>
      <w:spacing w:line="720" w:lineRule="exact"/>
      <w:ind w:firstLine="420"/>
    </w:pPr>
    <w:rPr>
      <w:rFonts w:eastAsia="汉鼎简书宋"/>
      <w:b/>
      <w:kern w:val="0"/>
      <w:sz w:val="48"/>
    </w:rPr>
  </w:style>
  <w:style w:type="paragraph" w:customStyle="1" w:styleId="text">
    <w:name w:val="text"/>
    <w:basedOn w:val="a"/>
    <w:qFormat/>
    <w:pPr>
      <w:widowControl/>
      <w:spacing w:before="100" w:beforeAutospacing="1" w:after="100" w:afterAutospacing="1"/>
      <w:jc w:val="left"/>
    </w:pPr>
    <w:rPr>
      <w:kern w:val="0"/>
      <w:sz w:val="17"/>
      <w:szCs w:val="17"/>
    </w:rPr>
  </w:style>
  <w:style w:type="paragraph" w:customStyle="1" w:styleId="4-0505051">
    <w:name w:val="样式 样式 样式 标题4- + 段前: 0.5 行 + 段前: 0.5 行 + 段前: 0.5 行1"/>
    <w:basedOn w:val="4-0505"/>
    <w:qFormat/>
    <w:pPr>
      <w:ind w:left="170"/>
    </w:pPr>
  </w:style>
  <w:style w:type="paragraph" w:customStyle="1" w:styleId="1CharCharChar0">
    <w:name w:val="正文1 Char Char Char"/>
    <w:basedOn w:val="a"/>
    <w:qFormat/>
    <w:pPr>
      <w:spacing w:line="560" w:lineRule="exact"/>
      <w:ind w:firstLineChars="200" w:firstLine="200"/>
    </w:pPr>
  </w:style>
  <w:style w:type="paragraph" w:customStyle="1" w:styleId="310">
    <w:name w:val="正文文本缩进 31"/>
    <w:basedOn w:val="a"/>
    <w:qFormat/>
    <w:pPr>
      <w:adjustRightInd w:val="0"/>
      <w:ind w:firstLine="560"/>
      <w:textAlignment w:val="baseline"/>
    </w:pPr>
    <w:rPr>
      <w:sz w:val="28"/>
    </w:rPr>
  </w:style>
  <w:style w:type="paragraph" w:customStyle="1" w:styleId="2fd">
    <w:name w:val="正文文字2"/>
    <w:basedOn w:val="a"/>
    <w:link w:val="2Char4"/>
    <w:qFormat/>
    <w:pPr>
      <w:spacing w:line="360" w:lineRule="auto"/>
      <w:ind w:firstLineChars="200" w:firstLine="480"/>
    </w:pPr>
  </w:style>
  <w:style w:type="paragraph" w:customStyle="1" w:styleId="xl65">
    <w:name w:val="xl65"/>
    <w:basedOn w:val="a"/>
    <w:qFormat/>
    <w:pPr>
      <w:widowControl/>
      <w:pBdr>
        <w:left w:val="single" w:sz="4" w:space="0" w:color="auto"/>
      </w:pBdr>
      <w:spacing w:before="100" w:beforeAutospacing="1" w:after="100" w:afterAutospacing="1"/>
    </w:pPr>
    <w:rPr>
      <w:rFonts w:ascii="Arial Unicode MS" w:eastAsia="Arial Unicode MS" w:hAnsi="Arial Unicode MS"/>
      <w:kern w:val="0"/>
    </w:rPr>
  </w:style>
  <w:style w:type="paragraph" w:customStyle="1" w:styleId="20101">
    <w:name w:val="样式 表标号 + 首行缩进:  2 字符 段前: 0.1 行 段后: 0.1 行"/>
    <w:basedOn w:val="affff9"/>
    <w:qFormat/>
    <w:pPr>
      <w:snapToGrid w:val="0"/>
      <w:spacing w:line="529" w:lineRule="exact"/>
      <w:ind w:left="0"/>
    </w:pPr>
    <w:rPr>
      <w:rFonts w:cs="宋体"/>
      <w:b w:val="0"/>
    </w:rPr>
  </w:style>
  <w:style w:type="paragraph" w:customStyle="1" w:styleId="xl24">
    <w:name w:val="xl24"/>
    <w:basedOn w:val="a"/>
    <w:qFormat/>
    <w:pPr>
      <w:widowControl/>
      <w:pBdr>
        <w:left w:val="single" w:sz="4" w:space="0" w:color="auto"/>
        <w:bottom w:val="single" w:sz="4" w:space="0" w:color="auto"/>
        <w:right w:val="single" w:sz="4" w:space="0" w:color="auto"/>
      </w:pBdr>
      <w:spacing w:before="100" w:beforeAutospacing="1" w:after="100" w:afterAutospacing="1" w:line="529" w:lineRule="exact"/>
      <w:ind w:firstLineChars="200" w:firstLine="200"/>
    </w:pPr>
    <w:rPr>
      <w:rFonts w:eastAsia="Arial Unicode MS"/>
      <w:kern w:val="0"/>
    </w:rPr>
  </w:style>
  <w:style w:type="paragraph" w:customStyle="1" w:styleId="xl21">
    <w:name w:val="xl2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kern w:val="0"/>
      <w:sz w:val="20"/>
    </w:rPr>
  </w:style>
  <w:style w:type="paragraph" w:customStyle="1" w:styleId="xl73">
    <w:name w:val="xl73"/>
    <w:basedOn w:val="a"/>
    <w:qFormat/>
    <w:pPr>
      <w:widowControl/>
      <w:pBdr>
        <w:bottom w:val="single" w:sz="8" w:space="0" w:color="auto"/>
      </w:pBdr>
      <w:spacing w:before="100" w:beforeAutospacing="1" w:after="100" w:afterAutospacing="1" w:line="529" w:lineRule="exact"/>
      <w:ind w:firstLine="420"/>
    </w:pPr>
    <w:rPr>
      <w:rFonts w:eastAsia="汉鼎简书宋"/>
      <w:kern w:val="0"/>
    </w:rPr>
  </w:style>
  <w:style w:type="paragraph" w:customStyle="1" w:styleId="font5">
    <w:name w:val="font5"/>
    <w:basedOn w:val="a"/>
    <w:qFormat/>
    <w:pPr>
      <w:widowControl/>
      <w:spacing w:before="100" w:beforeAutospacing="1" w:after="100" w:afterAutospacing="1" w:line="529" w:lineRule="exact"/>
      <w:ind w:firstLine="420"/>
    </w:pPr>
    <w:rPr>
      <w:rFonts w:eastAsia="汉鼎简书宋" w:hint="eastAsia"/>
      <w:kern w:val="0"/>
      <w:sz w:val="18"/>
    </w:rPr>
  </w:style>
  <w:style w:type="paragraph" w:customStyle="1" w:styleId="xl81">
    <w:name w:val="xl81"/>
    <w:basedOn w:val="a"/>
    <w:qFormat/>
    <w:pPr>
      <w:widowControl/>
      <w:pBdr>
        <w:right w:val="single" w:sz="8" w:space="0" w:color="auto"/>
      </w:pBdr>
      <w:spacing w:before="100" w:beforeAutospacing="1" w:after="100" w:afterAutospacing="1"/>
      <w:jc w:val="center"/>
    </w:pPr>
    <w:rPr>
      <w:rFonts w:ascii="Times New Roman" w:hAnsi="Times New Roman"/>
      <w:kern w:val="0"/>
      <w:szCs w:val="24"/>
    </w:rPr>
  </w:style>
  <w:style w:type="paragraph" w:customStyle="1" w:styleId="HP-3">
    <w:name w:val="HP-3"/>
    <w:basedOn w:val="a"/>
    <w:next w:val="2"/>
    <w:qFormat/>
    <w:pPr>
      <w:widowControl/>
      <w:spacing w:before="100" w:beforeAutospacing="1" w:after="100" w:afterAutospacing="1" w:line="530" w:lineRule="exact"/>
      <w:outlineLvl w:val="0"/>
    </w:pPr>
    <w:rPr>
      <w:b/>
      <w:sz w:val="30"/>
    </w:rPr>
  </w:style>
  <w:style w:type="paragraph" w:customStyle="1" w:styleId="2051">
    <w:name w:val="样式 标题 2 + 段前: 0.5 行 行距: 单倍行距1"/>
    <w:basedOn w:val="2"/>
    <w:qFormat/>
    <w:pPr>
      <w:keepNext w:val="0"/>
      <w:keepLines w:val="0"/>
      <w:tabs>
        <w:tab w:val="left" w:pos="964"/>
      </w:tabs>
      <w:autoSpaceDE w:val="0"/>
      <w:autoSpaceDN w:val="0"/>
      <w:adjustRightInd w:val="0"/>
      <w:snapToGrid w:val="0"/>
      <w:spacing w:beforeLines="100" w:before="312" w:afterLines="50" w:after="156" w:line="240" w:lineRule="auto"/>
      <w:ind w:left="964" w:firstLineChars="200" w:hanging="737"/>
      <w:textAlignment w:val="baseline"/>
    </w:pPr>
    <w:rPr>
      <w:rFonts w:ascii="Times New Roman" w:hAnsi="Times New Roman"/>
      <w:snapToGrid w:val="0"/>
      <w:kern w:val="0"/>
    </w:rPr>
  </w:style>
  <w:style w:type="paragraph" w:customStyle="1" w:styleId="115">
    <w:name w:val="样式 标题 1 + 行距: 1.5 倍行距"/>
    <w:basedOn w:val="1"/>
    <w:qFormat/>
    <w:pPr>
      <w:pageBreakBefore/>
      <w:autoSpaceDE w:val="0"/>
      <w:autoSpaceDN w:val="0"/>
      <w:adjustRightInd w:val="0"/>
      <w:spacing w:beforeLines="100" w:before="312" w:after="240" w:line="360" w:lineRule="auto"/>
      <w:textAlignment w:val="baseline"/>
    </w:pPr>
    <w:rPr>
      <w:rFonts w:eastAsia="黑体"/>
      <w:b w:val="0"/>
      <w:snapToGrid w:val="0"/>
      <w:spacing w:val="10"/>
      <w:sz w:val="36"/>
    </w:rPr>
  </w:style>
  <w:style w:type="paragraph" w:customStyle="1" w:styleId="Char1CharCharCharCharCharChar1CharCharChar1">
    <w:name w:val="Char1 Char Char Char Char Char Char1 Char Char Char1"/>
    <w:basedOn w:val="a"/>
    <w:qFormat/>
    <w:rPr>
      <w:rFonts w:ascii="Times New Roman" w:hAnsi="Times New Roman"/>
      <w:sz w:val="21"/>
      <w:szCs w:val="21"/>
    </w:rPr>
  </w:style>
  <w:style w:type="paragraph" w:customStyle="1" w:styleId="hb22">
    <w:name w:val="样式 hb2 + 首行缩进:  2 字符"/>
    <w:basedOn w:val="2"/>
    <w:qFormat/>
    <w:pPr>
      <w:widowControl/>
      <w:adjustRightInd w:val="0"/>
      <w:spacing w:before="360" w:after="480" w:line="416" w:lineRule="atLeast"/>
      <w:textAlignment w:val="baseline"/>
    </w:pPr>
    <w:rPr>
      <w:rFonts w:ascii="Times New Roman" w:eastAsia="宋体" w:hAnsi="Times New Roman"/>
      <w:kern w:val="0"/>
      <w:sz w:val="28"/>
    </w:rPr>
  </w:style>
  <w:style w:type="paragraph" w:customStyle="1" w:styleId="CharCharCharCharCharCharCharCharCharChar">
    <w:name w:val="Char Char Char Char Char Char Char Char Char Char"/>
    <w:basedOn w:val="a"/>
    <w:qFormat/>
  </w:style>
  <w:style w:type="paragraph" w:customStyle="1" w:styleId="252524">
    <w:name w:val="样式 宋体 小四 段前: 2.5 磅 段后: 2.5 磅 行距: 固定值 24 磅"/>
    <w:basedOn w:val="a"/>
    <w:qFormat/>
    <w:pPr>
      <w:ind w:firstLineChars="200" w:firstLine="200"/>
    </w:pPr>
    <w:rPr>
      <w:rFonts w:cs="宋体"/>
      <w:spacing w:val="10"/>
      <w:sz w:val="28"/>
      <w:szCs w:val="28"/>
    </w:rPr>
  </w:style>
  <w:style w:type="paragraph" w:customStyle="1" w:styleId="xl79">
    <w:name w:val="xl79"/>
    <w:basedOn w:val="a"/>
    <w:qFormat/>
    <w:pPr>
      <w:widowControl/>
      <w:pBdr>
        <w:left w:val="single" w:sz="8" w:space="0" w:color="auto"/>
        <w:right w:val="single" w:sz="8" w:space="0" w:color="auto"/>
      </w:pBdr>
      <w:spacing w:before="100" w:beforeAutospacing="1" w:after="100" w:afterAutospacing="1"/>
      <w:jc w:val="center"/>
    </w:pPr>
    <w:rPr>
      <w:rFonts w:ascii="Times New Roman" w:hAnsi="Times New Roman"/>
      <w:kern w:val="0"/>
      <w:szCs w:val="24"/>
    </w:rPr>
  </w:style>
  <w:style w:type="paragraph" w:customStyle="1" w:styleId="xl34">
    <w:name w:val="xl34"/>
    <w:basedOn w:val="a"/>
    <w:qFormat/>
    <w:pPr>
      <w:widowControl/>
      <w:pBdr>
        <w:top w:val="single" w:sz="8" w:space="0" w:color="auto"/>
        <w:left w:val="single" w:sz="4" w:space="0" w:color="auto"/>
        <w:bottom w:val="single" w:sz="4" w:space="0" w:color="auto"/>
        <w:right w:val="single" w:sz="8"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3f6">
    <w:name w:val="正文样式3"/>
    <w:basedOn w:val="a"/>
    <w:qFormat/>
    <w:pPr>
      <w:keepLines/>
      <w:adjustRightInd w:val="0"/>
      <w:spacing w:line="20" w:lineRule="atLeast"/>
      <w:textAlignment w:val="baseline"/>
    </w:pPr>
    <w:rPr>
      <w:kern w:val="0"/>
    </w:rPr>
  </w:style>
  <w:style w:type="paragraph" w:customStyle="1" w:styleId="1f7">
    <w:name w:val="表样式1"/>
    <w:basedOn w:val="a"/>
    <w:link w:val="1Char1"/>
    <w:qFormat/>
    <w:pPr>
      <w:ind w:firstLineChars="700" w:firstLine="1968"/>
    </w:pPr>
    <w:rPr>
      <w:rFonts w:ascii="黑体" w:eastAsia="黑体" w:hAnsi="Times New Roman"/>
      <w:b/>
      <w:bCs/>
      <w:sz w:val="28"/>
      <w:szCs w:val="24"/>
    </w:rPr>
  </w:style>
  <w:style w:type="paragraph" w:customStyle="1" w:styleId="affffffffa">
    <w:name w:val="正文段落"/>
    <w:basedOn w:val="a"/>
    <w:link w:val="Charff4"/>
    <w:qFormat/>
    <w:pPr>
      <w:topLinePunct/>
      <w:autoSpaceDN w:val="0"/>
      <w:adjustRightInd w:val="0"/>
      <w:spacing w:line="500" w:lineRule="exact"/>
      <w:ind w:rightChars="100" w:right="100" w:firstLineChars="200" w:firstLine="480"/>
      <w:textAlignment w:val="baseline"/>
    </w:pPr>
    <w:rPr>
      <w:rFonts w:eastAsia="汉鼎简书宋"/>
      <w:kern w:val="0"/>
    </w:rPr>
  </w:style>
  <w:style w:type="paragraph" w:customStyle="1" w:styleId="xl52">
    <w:name w:val="xl52"/>
    <w:basedOn w:val="a"/>
    <w:qFormat/>
    <w:pPr>
      <w:widowControl/>
      <w:pBdr>
        <w:top w:val="single" w:sz="4" w:space="0" w:color="auto"/>
        <w:left w:val="single" w:sz="4" w:space="0" w:color="auto"/>
        <w:bottom w:val="single" w:sz="8" w:space="0" w:color="auto"/>
        <w:right w:val="single" w:sz="4"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5b">
    <w:name w:val="表5号字"/>
    <w:qFormat/>
    <w:pPr>
      <w:keepNext/>
      <w:widowControl w:val="0"/>
      <w:adjustRightInd w:val="0"/>
      <w:spacing w:before="120" w:line="60" w:lineRule="atLeast"/>
      <w:jc w:val="center"/>
    </w:pPr>
    <w:rPr>
      <w:sz w:val="21"/>
    </w:rPr>
  </w:style>
  <w:style w:type="paragraph" w:customStyle="1" w:styleId="CharCharCharCharCharCharCharCharCharCharCharCharCharCharCharChar">
    <w:name w:val="Char Char Char Char Char Char Char Char Char Char Char Char Char Char Char Char"/>
    <w:basedOn w:val="a"/>
    <w:qFormat/>
    <w:rPr>
      <w:rFonts w:ascii="Times New Roman" w:hAnsi="Times New Roman"/>
      <w:sz w:val="21"/>
      <w:szCs w:val="21"/>
    </w:rPr>
  </w:style>
  <w:style w:type="paragraph" w:customStyle="1" w:styleId="font0">
    <w:name w:val="font0"/>
    <w:basedOn w:val="a"/>
    <w:qFormat/>
    <w:pPr>
      <w:widowControl/>
      <w:spacing w:before="100" w:beforeAutospacing="1" w:after="100" w:afterAutospacing="1" w:line="529" w:lineRule="exact"/>
      <w:ind w:firstLine="482"/>
    </w:pPr>
    <w:rPr>
      <w:rFonts w:hint="eastAsia"/>
      <w:kern w:val="0"/>
    </w:rPr>
  </w:style>
  <w:style w:type="paragraph" w:customStyle="1" w:styleId="kCharCharChar">
    <w:name w:val="正文k Char Char Char"/>
    <w:basedOn w:val="a"/>
    <w:next w:val="a"/>
    <w:qFormat/>
    <w:pPr>
      <w:keepNext/>
      <w:keepLines/>
      <w:widowControl/>
      <w:adjustRightInd w:val="0"/>
      <w:spacing w:line="500" w:lineRule="exact"/>
      <w:ind w:firstLineChars="200" w:firstLine="200"/>
      <w:textAlignment w:val="baseline"/>
    </w:pPr>
    <w:rPr>
      <w:b/>
      <w:kern w:val="0"/>
    </w:rPr>
  </w:style>
  <w:style w:type="paragraph" w:customStyle="1" w:styleId="1f8">
    <w:name w:val="表格1"/>
    <w:basedOn w:val="a"/>
    <w:link w:val="1Char3"/>
    <w:qFormat/>
    <w:pPr>
      <w:spacing w:line="400" w:lineRule="exact"/>
    </w:pPr>
    <w:rPr>
      <w:sz w:val="18"/>
    </w:rPr>
  </w:style>
  <w:style w:type="paragraph" w:customStyle="1" w:styleId="MyText">
    <w:name w:val="My Text"/>
    <w:basedOn w:val="a"/>
    <w:qFormat/>
    <w:pPr>
      <w:spacing w:before="120" w:after="120"/>
      <w:ind w:firstLine="454"/>
    </w:pPr>
    <w:rPr>
      <w:rFonts w:ascii="楷体_GB2312"/>
    </w:rPr>
  </w:style>
  <w:style w:type="paragraph" w:customStyle="1" w:styleId="affffffffb">
    <w:name w:val="框图"/>
    <w:basedOn w:val="a"/>
    <w:qFormat/>
    <w:pPr>
      <w:tabs>
        <w:tab w:val="left" w:pos="1350"/>
      </w:tabs>
      <w:autoSpaceDE w:val="0"/>
      <w:autoSpaceDN w:val="0"/>
      <w:adjustRightInd w:val="0"/>
      <w:snapToGrid w:val="0"/>
      <w:spacing w:line="300" w:lineRule="auto"/>
    </w:pPr>
    <w:rPr>
      <w:rFonts w:ascii="仿宋_GB2312"/>
      <w:sz w:val="18"/>
    </w:rPr>
  </w:style>
  <w:style w:type="paragraph" w:customStyle="1" w:styleId="affffffffc">
    <w:name w:val="表格内文字"/>
    <w:basedOn w:val="a"/>
    <w:qFormat/>
    <w:pPr>
      <w:tabs>
        <w:tab w:val="left" w:pos="3780"/>
      </w:tabs>
      <w:adjustRightInd w:val="0"/>
      <w:spacing w:before="60" w:after="60"/>
      <w:ind w:firstLineChars="200" w:firstLine="200"/>
      <w:textAlignment w:val="baseline"/>
    </w:pPr>
    <w:rPr>
      <w:snapToGrid w:val="0"/>
      <w:color w:val="000000"/>
      <w:spacing w:val="8"/>
    </w:rPr>
  </w:style>
  <w:style w:type="paragraph" w:customStyle="1" w:styleId="xl75">
    <w:name w:val="xl75"/>
    <w:basedOn w:val="a"/>
    <w:qFormat/>
    <w:pPr>
      <w:widowControl/>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kern w:val="0"/>
      <w:szCs w:val="24"/>
    </w:rPr>
  </w:style>
  <w:style w:type="paragraph" w:customStyle="1" w:styleId="312">
    <w:name w:val="样式 标题 3 + 段前: 1 行 行距: 单倍行距"/>
    <w:basedOn w:val="3"/>
    <w:qFormat/>
    <w:pPr>
      <w:keepNext w:val="0"/>
      <w:keepLines w:val="0"/>
      <w:tabs>
        <w:tab w:val="left" w:pos="1080"/>
      </w:tabs>
      <w:autoSpaceDE w:val="0"/>
      <w:autoSpaceDN w:val="0"/>
      <w:adjustRightInd w:val="0"/>
      <w:snapToGrid w:val="0"/>
      <w:spacing w:beforeLines="100" w:before="312" w:after="0" w:line="360" w:lineRule="auto"/>
      <w:ind w:left="227" w:firstLineChars="200" w:hanging="227"/>
      <w:textAlignment w:val="baseline"/>
    </w:pPr>
    <w:rPr>
      <w:rFonts w:eastAsia="黑体"/>
      <w:b w:val="0"/>
      <w:snapToGrid w:val="0"/>
      <w:kern w:val="0"/>
      <w:sz w:val="30"/>
    </w:rPr>
  </w:style>
  <w:style w:type="paragraph" w:customStyle="1" w:styleId="4025">
    <w:name w:val="样式 标题4 + 段前: 0.25 行 行距: 单倍行距"/>
    <w:basedOn w:val="a9"/>
    <w:qFormat/>
    <w:pPr>
      <w:tabs>
        <w:tab w:val="left" w:pos="1157"/>
        <w:tab w:val="left" w:pos="3450"/>
      </w:tabs>
      <w:autoSpaceDE w:val="0"/>
      <w:autoSpaceDN w:val="0"/>
      <w:spacing w:beforeLines="50" w:before="156" w:line="360" w:lineRule="auto"/>
      <w:ind w:left="170" w:firstLineChars="0" w:hanging="1405"/>
      <w:textAlignment w:val="baseline"/>
      <w:outlineLvl w:val="3"/>
    </w:pPr>
    <w:rPr>
      <w:rFonts w:ascii="Times New Roman" w:eastAsia="黑体" w:hAnsi="Times New Roman"/>
      <w:snapToGrid w:val="0"/>
      <w:spacing w:val="10"/>
      <w:kern w:val="0"/>
    </w:rPr>
  </w:style>
  <w:style w:type="paragraph" w:customStyle="1" w:styleId="xl41">
    <w:name w:val="xl4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xl86">
    <w:name w:val="xl86"/>
    <w:basedOn w:val="a"/>
    <w:qFormat/>
    <w:pPr>
      <w:widowControl/>
      <w:pBdr>
        <w:left w:val="single" w:sz="8" w:space="0" w:color="auto"/>
        <w:bottom w:val="single" w:sz="8" w:space="0" w:color="auto"/>
        <w:right w:val="single" w:sz="8" w:space="0" w:color="auto"/>
      </w:pBdr>
      <w:spacing w:before="100" w:beforeAutospacing="1" w:after="100" w:afterAutospacing="1"/>
      <w:jc w:val="center"/>
    </w:pPr>
    <w:rPr>
      <w:rFonts w:cs="宋体"/>
      <w:color w:val="0000FF"/>
      <w:kern w:val="0"/>
      <w:szCs w:val="24"/>
      <w:u w:val="single"/>
    </w:rPr>
  </w:style>
  <w:style w:type="paragraph" w:customStyle="1" w:styleId="hp1">
    <w:name w:val="hp1"/>
    <w:basedOn w:val="1"/>
    <w:qFormat/>
    <w:pPr>
      <w:adjustRightInd w:val="0"/>
      <w:spacing w:line="578" w:lineRule="atLeast"/>
      <w:ind w:firstLineChars="200" w:firstLine="200"/>
      <w:textAlignment w:val="baseline"/>
    </w:pPr>
    <w:rPr>
      <w:rFonts w:ascii="黑体" w:eastAsia="黑体"/>
      <w:sz w:val="32"/>
    </w:rPr>
  </w:style>
  <w:style w:type="paragraph" w:customStyle="1" w:styleId="xl45">
    <w:name w:val="xl4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529" w:lineRule="exact"/>
      <w:ind w:firstLineChars="200" w:firstLine="200"/>
    </w:pPr>
    <w:rPr>
      <w:rFonts w:eastAsia="汉鼎简书宋"/>
      <w:kern w:val="0"/>
      <w:sz w:val="20"/>
    </w:rPr>
  </w:style>
  <w:style w:type="paragraph" w:customStyle="1" w:styleId="affffffffd">
    <w:name w:val="表样式"/>
    <w:basedOn w:val="a"/>
    <w:qFormat/>
    <w:rPr>
      <w:rFonts w:ascii="仿宋_GB2312" w:eastAsia="黑体"/>
    </w:rPr>
  </w:style>
  <w:style w:type="paragraph" w:customStyle="1" w:styleId="affffffffe">
    <w:name w:val="注×："/>
    <w:qFormat/>
    <w:pPr>
      <w:widowControl w:val="0"/>
      <w:tabs>
        <w:tab w:val="left" w:pos="630"/>
      </w:tabs>
      <w:autoSpaceDE w:val="0"/>
      <w:autoSpaceDN w:val="0"/>
      <w:jc w:val="both"/>
    </w:pPr>
    <w:rPr>
      <w:rFonts w:ascii="宋体"/>
      <w:sz w:val="18"/>
    </w:rPr>
  </w:style>
  <w:style w:type="paragraph" w:customStyle="1" w:styleId="afffffffff">
    <w:name w:val="断页段落"/>
    <w:basedOn w:val="a"/>
    <w:qFormat/>
    <w:pPr>
      <w:jc w:val="left"/>
    </w:pPr>
    <w:rPr>
      <w:rFonts w:ascii="Times New Roman" w:eastAsia="仿宋_GB2312" w:hAnsi="Times New Roman"/>
      <w:sz w:val="28"/>
    </w:rPr>
  </w:style>
  <w:style w:type="paragraph" w:customStyle="1" w:styleId="550">
    <w:name w:val="样式 表号 + 居中 段前: 5 磅 段后: 5 磅"/>
    <w:basedOn w:val="5"/>
    <w:qFormat/>
    <w:pPr>
      <w:widowControl/>
      <w:spacing w:before="0" w:after="0" w:line="240" w:lineRule="auto"/>
      <w:ind w:left="0" w:firstLine="0"/>
    </w:pPr>
    <w:rPr>
      <w:b w:val="0"/>
      <w:sz w:val="24"/>
    </w:rPr>
  </w:style>
  <w:style w:type="character" w:customStyle="1" w:styleId="afff8">
    <w:name w:val="批注主题 字符"/>
    <w:link w:val="afff7"/>
    <w:uiPriority w:val="99"/>
    <w:qFormat/>
    <w:rPr>
      <w:rFonts w:ascii="宋体" w:eastAsia="宋体" w:hAnsi="宋体" w:cs="Times New Roman"/>
      <w:b/>
      <w:kern w:val="2"/>
      <w:sz w:val="24"/>
      <w:szCs w:val="20"/>
    </w:rPr>
  </w:style>
  <w:style w:type="character" w:customStyle="1" w:styleId="Char17">
    <w:name w:val="批注文字 Char1"/>
    <w:qFormat/>
    <w:rPr>
      <w:rFonts w:ascii="宋体" w:eastAsia="宋体" w:hAnsi="宋体" w:cs="Times New Roman"/>
      <w:sz w:val="24"/>
      <w:szCs w:val="20"/>
    </w:rPr>
  </w:style>
  <w:style w:type="character" w:customStyle="1" w:styleId="afff0">
    <w:name w:val="脚注文本 字符"/>
    <w:link w:val="afff"/>
    <w:qFormat/>
    <w:rPr>
      <w:rFonts w:ascii="宋体" w:hAnsi="宋体"/>
      <w:kern w:val="2"/>
      <w:sz w:val="18"/>
    </w:rPr>
  </w:style>
  <w:style w:type="paragraph" w:customStyle="1" w:styleId="afffffffff0">
    <w:name w:val="表题"/>
    <w:basedOn w:val="a"/>
    <w:qFormat/>
    <w:pPr>
      <w:autoSpaceDE w:val="0"/>
      <w:autoSpaceDN w:val="0"/>
      <w:adjustRightInd w:val="0"/>
      <w:spacing w:line="480" w:lineRule="atLeast"/>
      <w:ind w:firstLine="420"/>
      <w:textAlignment w:val="baseline"/>
    </w:pPr>
    <w:rPr>
      <w:rFonts w:ascii="黑体" w:eastAsia="黑体"/>
      <w:kern w:val="16"/>
    </w:rPr>
  </w:style>
  <w:style w:type="paragraph" w:customStyle="1" w:styleId="xl27">
    <w:name w:val="xl27"/>
    <w:basedOn w:val="a"/>
    <w:qFormat/>
    <w:pPr>
      <w:widowControl/>
      <w:pBdr>
        <w:bottom w:val="single" w:sz="4" w:space="0" w:color="auto"/>
      </w:pBdr>
      <w:spacing w:before="100" w:beforeAutospacing="1" w:after="100" w:afterAutospacing="1" w:line="529" w:lineRule="exact"/>
      <w:ind w:firstLine="420"/>
    </w:pPr>
    <w:rPr>
      <w:rFonts w:eastAsia="汉鼎简书宋" w:hint="eastAsia"/>
      <w:b/>
      <w:snapToGrid w:val="0"/>
      <w:kern w:val="0"/>
    </w:rPr>
  </w:style>
  <w:style w:type="paragraph" w:customStyle="1" w:styleId="afffffffff1">
    <w:name w:val="文章副标题"/>
    <w:basedOn w:val="a"/>
    <w:next w:val="1"/>
    <w:qFormat/>
    <w:pPr>
      <w:widowControl/>
      <w:spacing w:before="187" w:after="175" w:line="374" w:lineRule="atLeast"/>
      <w:jc w:val="center"/>
      <w:textAlignment w:val="baseline"/>
    </w:pPr>
    <w:rPr>
      <w:color w:val="000000"/>
      <w:kern w:val="0"/>
      <w:sz w:val="36"/>
      <w:u w:color="000000"/>
    </w:rPr>
  </w:style>
  <w:style w:type="paragraph" w:customStyle="1" w:styleId="1f9">
    <w:name w:val="纯文本1"/>
    <w:basedOn w:val="a"/>
    <w:qFormat/>
    <w:pPr>
      <w:adjustRightInd w:val="0"/>
    </w:pPr>
    <w:rPr>
      <w:rFonts w:hint="eastAsia"/>
      <w:kern w:val="0"/>
    </w:rPr>
  </w:style>
  <w:style w:type="paragraph" w:customStyle="1" w:styleId="200">
    <w:name w:val="样式 行距: 最小值 20 磅"/>
    <w:basedOn w:val="a"/>
    <w:next w:val="a"/>
    <w:qFormat/>
    <w:pPr>
      <w:adjustRightInd w:val="0"/>
      <w:spacing w:line="400" w:lineRule="atLeast"/>
      <w:ind w:firstLineChars="200" w:firstLine="200"/>
      <w:textAlignment w:val="baseline"/>
    </w:pPr>
    <w:rPr>
      <w:rFonts w:eastAsia="汉鼎简书宋"/>
      <w:kern w:val="0"/>
    </w:rPr>
  </w:style>
  <w:style w:type="paragraph" w:customStyle="1" w:styleId="1fa">
    <w:name w:val="(1)"/>
    <w:basedOn w:val="a"/>
    <w:qFormat/>
    <w:pPr>
      <w:widowControl/>
      <w:adjustRightInd w:val="0"/>
      <w:snapToGrid w:val="0"/>
      <w:spacing w:line="360" w:lineRule="exact"/>
      <w:textAlignment w:val="baseline"/>
    </w:pPr>
    <w:rPr>
      <w:kern w:val="0"/>
      <w:szCs w:val="24"/>
    </w:rPr>
  </w:style>
  <w:style w:type="paragraph" w:customStyle="1" w:styleId="93">
    <w:name w:val="正文+9"/>
    <w:basedOn w:val="a"/>
    <w:next w:val="a"/>
    <w:qFormat/>
    <w:pPr>
      <w:autoSpaceDE w:val="0"/>
      <w:autoSpaceDN w:val="0"/>
      <w:adjustRightInd w:val="0"/>
      <w:jc w:val="left"/>
    </w:pPr>
    <w:rPr>
      <w:rFonts w:ascii="楷体_GB2312" w:eastAsia="楷体_GB2312" w:hAnsi="Calibri"/>
      <w:kern w:val="0"/>
      <w:szCs w:val="24"/>
    </w:rPr>
  </w:style>
  <w:style w:type="paragraph" w:customStyle="1" w:styleId="150">
    <w:name w:val="样式 宋体 小四 左 行距: 1.5 倍行距"/>
    <w:basedOn w:val="a"/>
    <w:qFormat/>
    <w:pPr>
      <w:widowControl/>
      <w:topLinePunct/>
      <w:spacing w:line="530" w:lineRule="exact"/>
      <w:ind w:firstLineChars="200" w:firstLine="200"/>
    </w:pPr>
    <w:rPr>
      <w:kern w:val="0"/>
    </w:rPr>
  </w:style>
  <w:style w:type="paragraph" w:customStyle="1" w:styleId="afffffffff2">
    <w:name w:val="小节标题"/>
    <w:basedOn w:val="a"/>
    <w:next w:val="a"/>
    <w:qFormat/>
    <w:pPr>
      <w:widowControl/>
      <w:spacing w:before="175" w:after="102" w:line="351" w:lineRule="atLeast"/>
      <w:textAlignment w:val="baseline"/>
    </w:pPr>
    <w:rPr>
      <w:rFonts w:eastAsia="黑体"/>
      <w:color w:val="000000"/>
      <w:kern w:val="0"/>
      <w:u w:color="000000"/>
    </w:rPr>
  </w:style>
  <w:style w:type="paragraph" w:customStyle="1" w:styleId="xl82">
    <w:name w:val="xl82"/>
    <w:basedOn w:val="a"/>
    <w:qFormat/>
    <w:pPr>
      <w:widowControl/>
      <w:pBdr>
        <w:bottom w:val="single" w:sz="8" w:space="0" w:color="auto"/>
        <w:right w:val="single" w:sz="8" w:space="0" w:color="auto"/>
      </w:pBdr>
      <w:spacing w:before="100" w:beforeAutospacing="1" w:after="100" w:afterAutospacing="1"/>
      <w:jc w:val="left"/>
    </w:pPr>
    <w:rPr>
      <w:rFonts w:cs="宋体"/>
      <w:kern w:val="0"/>
      <w:szCs w:val="24"/>
    </w:rPr>
  </w:style>
  <w:style w:type="paragraph" w:customStyle="1" w:styleId="afffffffff3">
    <w:name w:val="表格字"/>
    <w:basedOn w:val="a"/>
    <w:qFormat/>
    <w:pPr>
      <w:spacing w:line="300" w:lineRule="atLeast"/>
    </w:pPr>
  </w:style>
  <w:style w:type="paragraph" w:customStyle="1" w:styleId="215035">
    <w:name w:val="样式 样式 标题 2 + 宋体 小三 非加粗 行距: 1.5 倍行距 + 加粗 左侧:  0.35 厘米"/>
    <w:basedOn w:val="a"/>
    <w:qFormat/>
    <w:pPr>
      <w:keepNext/>
      <w:keepLines/>
      <w:spacing w:before="260" w:after="260" w:line="360" w:lineRule="auto"/>
      <w:ind w:left="200"/>
      <w:outlineLvl w:val="1"/>
    </w:pPr>
    <w:rPr>
      <w:rFonts w:eastAsia="仿宋_GB2312"/>
      <w:b/>
      <w:sz w:val="30"/>
    </w:rPr>
  </w:style>
  <w:style w:type="paragraph" w:customStyle="1" w:styleId="Char1CharCharCharCharCharChar1CharCharChar11">
    <w:name w:val="Char1 Char Char Char Char Char Char1 Char Char Char11"/>
    <w:basedOn w:val="a"/>
    <w:qFormat/>
    <w:rPr>
      <w:rFonts w:ascii="Times New Roman" w:hAnsi="Times New Roman"/>
      <w:sz w:val="21"/>
      <w:szCs w:val="21"/>
    </w:rPr>
  </w:style>
  <w:style w:type="paragraph" w:customStyle="1" w:styleId="3f7">
    <w:name w:val="纯文本3"/>
    <w:basedOn w:val="a"/>
    <w:qFormat/>
    <w:pPr>
      <w:adjustRightInd w:val="0"/>
    </w:pPr>
    <w:rPr>
      <w:rFonts w:hAnsi="Times New Roman" w:hint="eastAsia"/>
      <w:kern w:val="0"/>
      <w:sz w:val="21"/>
    </w:rPr>
  </w:style>
  <w:style w:type="paragraph" w:customStyle="1" w:styleId="305">
    <w:name w:val="样式 标题 3 + 段前: 0.5 行"/>
    <w:basedOn w:val="3"/>
    <w:qFormat/>
    <w:pPr>
      <w:keepNext w:val="0"/>
      <w:keepLines w:val="0"/>
      <w:tabs>
        <w:tab w:val="left" w:pos="1080"/>
      </w:tabs>
      <w:autoSpaceDE w:val="0"/>
      <w:autoSpaceDN w:val="0"/>
      <w:adjustRightInd w:val="0"/>
      <w:snapToGrid w:val="0"/>
      <w:spacing w:beforeLines="100" w:before="312" w:after="0" w:line="360" w:lineRule="auto"/>
      <w:ind w:left="227" w:firstLineChars="200" w:hanging="227"/>
      <w:textAlignment w:val="baseline"/>
    </w:pPr>
    <w:rPr>
      <w:rFonts w:eastAsia="黑体"/>
      <w:b w:val="0"/>
      <w:snapToGrid w:val="0"/>
      <w:kern w:val="0"/>
      <w:sz w:val="30"/>
    </w:rPr>
  </w:style>
  <w:style w:type="paragraph" w:customStyle="1" w:styleId="xl84">
    <w:name w:val="xl84"/>
    <w:basedOn w:val="a"/>
    <w:qFormat/>
    <w:pPr>
      <w:widowControl/>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kern w:val="0"/>
      <w:szCs w:val="24"/>
    </w:rPr>
  </w:style>
  <w:style w:type="paragraph" w:customStyle="1" w:styleId="3f8">
    <w:name w:val="标题3样式"/>
    <w:basedOn w:val="3"/>
    <w:qFormat/>
    <w:pPr>
      <w:spacing w:before="0" w:after="0" w:line="360" w:lineRule="auto"/>
    </w:pPr>
    <w:rPr>
      <w:rFonts w:ascii="黑体" w:eastAsia="黑体"/>
      <w:b w:val="0"/>
      <w:sz w:val="24"/>
    </w:rPr>
  </w:style>
  <w:style w:type="paragraph" w:customStyle="1" w:styleId="Char50">
    <w:name w:val="Char5"/>
    <w:basedOn w:val="a"/>
    <w:next w:val="a"/>
    <w:qFormat/>
    <w:pPr>
      <w:keepNext/>
      <w:keepLines/>
      <w:widowControl/>
      <w:adjustRightInd w:val="0"/>
      <w:spacing w:before="360" w:after="480" w:line="360" w:lineRule="auto"/>
      <w:ind w:firstLineChars="200" w:firstLine="200"/>
      <w:textAlignment w:val="baseline"/>
      <w:outlineLvl w:val="1"/>
    </w:pPr>
    <w:rPr>
      <w:b/>
      <w:kern w:val="0"/>
      <w:sz w:val="30"/>
    </w:rPr>
  </w:style>
  <w:style w:type="paragraph" w:customStyle="1" w:styleId="CharCharCharCharCharCharChar">
    <w:name w:val="Char Char Char Char Char Char Char"/>
    <w:basedOn w:val="a"/>
    <w:qFormat/>
    <w:pPr>
      <w:spacing w:line="500" w:lineRule="exact"/>
    </w:pPr>
    <w:rPr>
      <w:rFonts w:ascii="Arial Narrow" w:eastAsia="汉鼎简书宋" w:hAnsi="Arial Narrow"/>
    </w:rPr>
  </w:style>
  <w:style w:type="paragraph" w:customStyle="1" w:styleId="xl83">
    <w:name w:val="xl83"/>
    <w:basedOn w:val="a"/>
    <w:qFormat/>
    <w:pPr>
      <w:widowControl/>
      <w:pBdr>
        <w:top w:val="single" w:sz="8" w:space="0" w:color="auto"/>
        <w:left w:val="single" w:sz="8" w:space="0" w:color="auto"/>
        <w:right w:val="single" w:sz="8" w:space="0" w:color="auto"/>
      </w:pBdr>
      <w:spacing w:before="100" w:beforeAutospacing="1" w:after="100" w:afterAutospacing="1"/>
      <w:jc w:val="center"/>
    </w:pPr>
    <w:rPr>
      <w:rFonts w:cs="宋体"/>
      <w:kern w:val="0"/>
      <w:szCs w:val="24"/>
    </w:rPr>
  </w:style>
  <w:style w:type="paragraph" w:customStyle="1" w:styleId="4c">
    <w:name w:val="样式4"/>
    <w:basedOn w:val="40"/>
    <w:link w:val="4Char0"/>
    <w:qFormat/>
    <w:pPr>
      <w:tabs>
        <w:tab w:val="left" w:pos="1134"/>
        <w:tab w:val="left" w:pos="1440"/>
      </w:tabs>
      <w:spacing w:before="0" w:after="0" w:line="360" w:lineRule="auto"/>
      <w:ind w:left="1021" w:hanging="1021"/>
    </w:pPr>
    <w:rPr>
      <w:rFonts w:eastAsia="宋体"/>
    </w:rPr>
  </w:style>
  <w:style w:type="paragraph" w:customStyle="1" w:styleId="hb">
    <w:name w:val="正文hb"/>
    <w:basedOn w:val="a"/>
    <w:qFormat/>
    <w:pPr>
      <w:spacing w:line="500" w:lineRule="exact"/>
      <w:ind w:firstLineChars="200" w:firstLine="200"/>
    </w:pPr>
  </w:style>
  <w:style w:type="paragraph" w:customStyle="1" w:styleId="afffffffff4">
    <w:name w:val="表格"/>
    <w:basedOn w:val="a"/>
    <w:qFormat/>
    <w:pPr>
      <w:snapToGrid w:val="0"/>
      <w:spacing w:line="240" w:lineRule="atLeast"/>
    </w:pPr>
  </w:style>
  <w:style w:type="paragraph" w:customStyle="1" w:styleId="2fe">
    <w:name w:val="首行缩进2"/>
    <w:basedOn w:val="a"/>
    <w:qFormat/>
    <w:pPr>
      <w:spacing w:line="360" w:lineRule="auto"/>
      <w:ind w:firstLine="482"/>
    </w:pPr>
    <w:rPr>
      <w:rFonts w:ascii="Times New Roman" w:hAnsi="Times New Roman"/>
      <w:szCs w:val="24"/>
    </w:rPr>
  </w:style>
  <w:style w:type="paragraph" w:customStyle="1" w:styleId="4d">
    <w:name w:val="4"/>
    <w:basedOn w:val="a"/>
    <w:next w:val="a"/>
    <w:qFormat/>
    <w:pPr>
      <w:spacing w:line="529" w:lineRule="exact"/>
      <w:ind w:firstLineChars="200" w:firstLine="420"/>
    </w:pPr>
    <w:rPr>
      <w:rFonts w:eastAsia="汉鼎简书宋"/>
    </w:rPr>
  </w:style>
  <w:style w:type="paragraph" w:customStyle="1" w:styleId="Char31">
    <w:name w:val="Char31"/>
    <w:basedOn w:val="a"/>
    <w:next w:val="a"/>
    <w:qFormat/>
    <w:pPr>
      <w:spacing w:line="360" w:lineRule="auto"/>
      <w:ind w:firstLineChars="200" w:firstLine="200"/>
    </w:pPr>
    <w:rPr>
      <w:rFonts w:ascii="Times New Roman" w:hAnsi="Times New Roman"/>
      <w:sz w:val="21"/>
    </w:rPr>
  </w:style>
  <w:style w:type="paragraph" w:customStyle="1" w:styleId="Char30">
    <w:name w:val="Char3"/>
    <w:basedOn w:val="a"/>
    <w:next w:val="a"/>
    <w:qFormat/>
    <w:pPr>
      <w:spacing w:line="360" w:lineRule="auto"/>
      <w:ind w:firstLineChars="200" w:firstLine="200"/>
    </w:pPr>
  </w:style>
  <w:style w:type="paragraph" w:customStyle="1" w:styleId="dh">
    <w:name w:val="正文dh"/>
    <w:basedOn w:val="a"/>
    <w:qFormat/>
    <w:pPr>
      <w:spacing w:line="520" w:lineRule="exact"/>
      <w:ind w:firstLineChars="200" w:firstLine="482"/>
    </w:pPr>
  </w:style>
  <w:style w:type="paragraph" w:customStyle="1" w:styleId="xl72">
    <w:name w:val="xl72"/>
    <w:basedOn w:val="a"/>
    <w:link w:val="xl72Char"/>
    <w:qFormat/>
    <w:pPr>
      <w:widowControl/>
      <w:spacing w:before="100" w:beforeAutospacing="1" w:after="100" w:afterAutospacing="1"/>
      <w:jc w:val="center"/>
    </w:pPr>
    <w:rPr>
      <w:b/>
      <w:bCs/>
      <w:kern w:val="0"/>
      <w:szCs w:val="24"/>
    </w:rPr>
  </w:style>
  <w:style w:type="paragraph" w:customStyle="1" w:styleId="Char1CharCharChar2">
    <w:name w:val="Char1 Char Char Char2"/>
    <w:basedOn w:val="a"/>
    <w:next w:val="a"/>
    <w:qFormat/>
    <w:pPr>
      <w:spacing w:line="360" w:lineRule="auto"/>
      <w:ind w:firstLineChars="200" w:firstLine="200"/>
    </w:pPr>
  </w:style>
  <w:style w:type="paragraph" w:customStyle="1" w:styleId="Char1CharCharChar1">
    <w:name w:val="Char1 Char Char Char1"/>
    <w:basedOn w:val="a"/>
    <w:next w:val="a"/>
    <w:qFormat/>
    <w:pPr>
      <w:spacing w:line="360" w:lineRule="auto"/>
      <w:ind w:firstLineChars="200" w:firstLine="200"/>
    </w:pPr>
  </w:style>
  <w:style w:type="paragraph" w:customStyle="1" w:styleId="XF">
    <w:name w:val="XF项目建议书表内文字"/>
    <w:basedOn w:val="a"/>
    <w:qFormat/>
    <w:pPr>
      <w:spacing w:line="420" w:lineRule="exact"/>
      <w:ind w:leftChars="-50" w:left="-50" w:rightChars="-50" w:right="-50"/>
      <w:jc w:val="center"/>
    </w:pPr>
    <w:rPr>
      <w:rFonts w:ascii="Times New Roman" w:eastAsia="仿宋_GB2312" w:hAnsi="Times New Roman"/>
      <w:szCs w:val="24"/>
    </w:rPr>
  </w:style>
  <w:style w:type="paragraph" w:customStyle="1" w:styleId="afffffffff5">
    <w:name w:val="表"/>
    <w:basedOn w:val="a"/>
    <w:next w:val="a"/>
    <w:link w:val="Charff5"/>
    <w:qFormat/>
    <w:pPr>
      <w:adjustRightInd w:val="0"/>
      <w:spacing w:before="120"/>
      <w:textAlignment w:val="baseline"/>
    </w:pPr>
    <w:rPr>
      <w:kern w:val="0"/>
    </w:rPr>
  </w:style>
  <w:style w:type="paragraph" w:customStyle="1" w:styleId="afffffffff6">
    <w:name w:val="何仕杰正文样式"/>
    <w:basedOn w:val="a"/>
    <w:qFormat/>
    <w:pPr>
      <w:spacing w:line="520" w:lineRule="exact"/>
      <w:ind w:firstLineChars="200" w:firstLine="200"/>
      <w:jc w:val="left"/>
    </w:pPr>
    <w:rPr>
      <w:rFonts w:ascii="Times New Roman" w:hAnsi="Times New Roman"/>
    </w:rPr>
  </w:style>
  <w:style w:type="paragraph" w:customStyle="1" w:styleId="325">
    <w:name w:val="样式 正文3 + 行距: 固定值 25 磅"/>
    <w:basedOn w:val="3f4"/>
    <w:qFormat/>
    <w:pPr>
      <w:spacing w:line="500" w:lineRule="exact"/>
      <w:ind w:firstLine="480"/>
    </w:pPr>
  </w:style>
  <w:style w:type="paragraph" w:customStyle="1" w:styleId="CharCharChar1Char">
    <w:name w:val="Char Char Char1 Char"/>
    <w:basedOn w:val="a"/>
    <w:next w:val="a"/>
    <w:qFormat/>
    <w:pPr>
      <w:spacing w:line="360" w:lineRule="auto"/>
      <w:ind w:firstLineChars="200" w:firstLine="200"/>
    </w:pPr>
    <w:rPr>
      <w:rFonts w:eastAsia="汉鼎简书宋" w:cs="宋体"/>
      <w:szCs w:val="24"/>
    </w:rPr>
  </w:style>
  <w:style w:type="paragraph" w:customStyle="1" w:styleId="afffffffff7">
    <w:name w:val="表尾"/>
    <w:basedOn w:val="a"/>
    <w:next w:val="a"/>
    <w:link w:val="CharCharb"/>
    <w:qFormat/>
    <w:pPr>
      <w:adjustRightInd w:val="0"/>
      <w:spacing w:line="240" w:lineRule="exact"/>
      <w:jc w:val="center"/>
      <w:textAlignment w:val="baseline"/>
    </w:pPr>
    <w:rPr>
      <w:rFonts w:ascii="Times New Roman" w:hAnsi="Times New Roman"/>
      <w:kern w:val="0"/>
      <w:sz w:val="21"/>
    </w:rPr>
  </w:style>
  <w:style w:type="paragraph" w:customStyle="1" w:styleId="Char1CharCharChar">
    <w:name w:val="Char1 Char Char Char"/>
    <w:basedOn w:val="a"/>
    <w:next w:val="a"/>
    <w:qFormat/>
    <w:pPr>
      <w:spacing w:line="360" w:lineRule="auto"/>
      <w:ind w:firstLineChars="200" w:firstLine="200"/>
    </w:pPr>
  </w:style>
  <w:style w:type="paragraph" w:customStyle="1" w:styleId="4e">
    <w:name w:val="标题4"/>
    <w:basedOn w:val="a"/>
    <w:qFormat/>
    <w:pPr>
      <w:spacing w:before="280" w:after="120" w:line="416" w:lineRule="exact"/>
      <w:outlineLvl w:val="3"/>
    </w:pPr>
    <w:rPr>
      <w:rFonts w:ascii="Times New Roman" w:hAnsi="Times New Roman"/>
      <w:b/>
      <w:szCs w:val="24"/>
    </w:rPr>
  </w:style>
  <w:style w:type="paragraph" w:customStyle="1" w:styleId="afffffffff8">
    <w:name w:val="正文页眉"/>
    <w:basedOn w:val="aff8"/>
    <w:qFormat/>
    <w:pPr>
      <w:pBdr>
        <w:bottom w:val="thinThickSmallGap" w:sz="12" w:space="1" w:color="auto"/>
      </w:pBdr>
    </w:pPr>
    <w:rPr>
      <w:iCs/>
      <w:sz w:val="21"/>
      <w:szCs w:val="21"/>
    </w:rPr>
  </w:style>
  <w:style w:type="paragraph" w:customStyle="1" w:styleId="CharCharCharChar2">
    <w:name w:val="Char Char Char Char2"/>
    <w:basedOn w:val="a"/>
    <w:next w:val="a"/>
    <w:qFormat/>
    <w:pPr>
      <w:spacing w:line="360" w:lineRule="auto"/>
      <w:ind w:firstLineChars="200" w:firstLine="200"/>
    </w:pPr>
  </w:style>
  <w:style w:type="paragraph" w:customStyle="1" w:styleId="08525">
    <w:name w:val="样式 宋体 小四 首行缩进:  0.85 厘米 行距: 固定值 25 磅"/>
    <w:basedOn w:val="a"/>
    <w:qFormat/>
    <w:pPr>
      <w:spacing w:line="530" w:lineRule="exact"/>
      <w:ind w:firstLine="482"/>
    </w:pPr>
  </w:style>
  <w:style w:type="paragraph" w:customStyle="1" w:styleId="afffffffff9">
    <w:name w:val="表内式样"/>
    <w:qFormat/>
    <w:pPr>
      <w:widowControl w:val="0"/>
      <w:jc w:val="center"/>
    </w:pPr>
    <w:rPr>
      <w:rFonts w:ascii="宋体" w:hAnsi="宋体" w:hint="eastAsia"/>
      <w:kern w:val="2"/>
      <w:sz w:val="21"/>
      <w:szCs w:val="24"/>
    </w:rPr>
  </w:style>
  <w:style w:type="paragraph" w:customStyle="1" w:styleId="2152">
    <w:name w:val="样式 样式 报告正文 + 首行缩进:  2 字符 + 两端对齐 行距: 1.5 倍行距"/>
    <w:basedOn w:val="a"/>
    <w:qFormat/>
    <w:pPr>
      <w:spacing w:line="360" w:lineRule="auto"/>
      <w:ind w:firstLineChars="200" w:firstLine="200"/>
    </w:pPr>
    <w:rPr>
      <w:rFonts w:ascii="Times New Roman" w:hAnsi="Times New Roman" w:cs="宋体"/>
      <w:snapToGrid w:val="0"/>
      <w:szCs w:val="24"/>
    </w:rPr>
  </w:style>
  <w:style w:type="paragraph" w:customStyle="1" w:styleId="1fb">
    <w:name w:val="表1"/>
    <w:next w:val="a"/>
    <w:qFormat/>
    <w:pPr>
      <w:adjustRightInd w:val="0"/>
      <w:snapToGrid w:val="0"/>
      <w:jc w:val="center"/>
    </w:pPr>
    <w:rPr>
      <w:rFonts w:ascii="宋体"/>
      <w:sz w:val="21"/>
    </w:rPr>
  </w:style>
  <w:style w:type="paragraph" w:customStyle="1" w:styleId="afffffffffa">
    <w:name w:val="表格内容格式"/>
    <w:basedOn w:val="a"/>
    <w:qFormat/>
    <w:pPr>
      <w:adjustRightInd w:val="0"/>
      <w:ind w:leftChars="-18" w:left="-38" w:rightChars="-18" w:right="-18"/>
      <w:textAlignment w:val="baseline"/>
    </w:pPr>
    <w:rPr>
      <w:snapToGrid w:val="0"/>
      <w:color w:val="000000"/>
      <w:spacing w:val="-4"/>
      <w:kern w:val="0"/>
    </w:rPr>
  </w:style>
  <w:style w:type="paragraph" w:customStyle="1" w:styleId="0854">
    <w:name w:val="样式 (中文) 汉鼎简书宋 首行缩进:  0.85 厘米"/>
    <w:basedOn w:val="a"/>
    <w:qFormat/>
    <w:pPr>
      <w:spacing w:line="529" w:lineRule="exact"/>
      <w:ind w:firstLine="482"/>
    </w:pPr>
  </w:style>
  <w:style w:type="paragraph" w:customStyle="1" w:styleId="0855">
    <w:name w:val="样式 宋体 首行缩进:  0.85 厘米"/>
    <w:basedOn w:val="a"/>
    <w:qFormat/>
    <w:pPr>
      <w:spacing w:line="530" w:lineRule="exact"/>
      <w:ind w:firstLine="482"/>
    </w:pPr>
  </w:style>
  <w:style w:type="paragraph" w:customStyle="1" w:styleId="hb30">
    <w:name w:val="hb3"/>
    <w:basedOn w:val="3"/>
    <w:link w:val="hb3Char2"/>
    <w:qFormat/>
    <w:pPr>
      <w:adjustRightInd w:val="0"/>
      <w:spacing w:before="360" w:after="360" w:line="240" w:lineRule="auto"/>
      <w:jc w:val="left"/>
      <w:textAlignment w:val="baseline"/>
    </w:pPr>
    <w:rPr>
      <w:bCs/>
      <w:kern w:val="0"/>
      <w:sz w:val="24"/>
      <w:szCs w:val="32"/>
    </w:rPr>
  </w:style>
  <w:style w:type="paragraph" w:customStyle="1" w:styleId="Charff6">
    <w:name w:val="表内文字 Char"/>
    <w:qFormat/>
    <w:pPr>
      <w:widowControl w:val="0"/>
      <w:spacing w:line="0" w:lineRule="atLeast"/>
      <w:jc w:val="center"/>
    </w:pPr>
    <w:rPr>
      <w:sz w:val="21"/>
    </w:rPr>
  </w:style>
  <w:style w:type="paragraph" w:customStyle="1" w:styleId="2ff">
    <w:name w:val="日期2"/>
    <w:basedOn w:val="a"/>
    <w:next w:val="a"/>
    <w:qFormat/>
    <w:pPr>
      <w:adjustRightInd w:val="0"/>
      <w:spacing w:line="529" w:lineRule="exact"/>
      <w:ind w:firstLine="420"/>
    </w:pPr>
    <w:rPr>
      <w:rFonts w:eastAsia="汉鼎简书宋" w:hAnsi="Times New Roman"/>
      <w:b/>
      <w:snapToGrid w:val="0"/>
      <w:kern w:val="0"/>
      <w:sz w:val="28"/>
    </w:rPr>
  </w:style>
  <w:style w:type="paragraph" w:customStyle="1" w:styleId="2ff0">
    <w:name w:val="标题样式2"/>
    <w:basedOn w:val="2"/>
    <w:qFormat/>
    <w:pPr>
      <w:adjustRightInd w:val="0"/>
      <w:spacing w:before="0" w:after="0" w:line="360" w:lineRule="auto"/>
      <w:textAlignment w:val="baseline"/>
    </w:pPr>
    <w:rPr>
      <w:rFonts w:ascii="黑体"/>
      <w:kern w:val="0"/>
    </w:rPr>
  </w:style>
  <w:style w:type="paragraph" w:customStyle="1" w:styleId="xl40">
    <w:name w:val="xl40"/>
    <w:basedOn w:val="a"/>
    <w:qFormat/>
    <w:pPr>
      <w:widowControl/>
      <w:spacing w:before="100" w:beforeAutospacing="1" w:after="100" w:afterAutospacing="1"/>
    </w:pPr>
    <w:rPr>
      <w:kern w:val="0"/>
    </w:rPr>
  </w:style>
  <w:style w:type="paragraph" w:customStyle="1" w:styleId="afffffffffb">
    <w:name w:val="表格，五宋"/>
    <w:qFormat/>
    <w:pPr>
      <w:adjustRightInd w:val="0"/>
      <w:spacing w:line="360" w:lineRule="exact"/>
      <w:jc w:val="center"/>
    </w:pPr>
    <w:rPr>
      <w:sz w:val="21"/>
    </w:rPr>
  </w:style>
  <w:style w:type="paragraph" w:customStyle="1" w:styleId="afffffffffc">
    <w:name w:val="正正文"/>
    <w:basedOn w:val="a"/>
    <w:qFormat/>
    <w:pPr>
      <w:spacing w:line="480" w:lineRule="exact"/>
      <w:ind w:firstLineChars="200" w:firstLine="480"/>
    </w:pPr>
  </w:style>
  <w:style w:type="paragraph" w:customStyle="1" w:styleId="afffffffffd">
    <w:name w:val="小标题"/>
    <w:basedOn w:val="a"/>
    <w:qFormat/>
    <w:pPr>
      <w:adjustRightInd w:val="0"/>
      <w:spacing w:before="40" w:after="40" w:line="400" w:lineRule="atLeast"/>
      <w:ind w:firstLine="510"/>
    </w:pPr>
    <w:rPr>
      <w:rFonts w:eastAsia="楷体_GB2312"/>
      <w:b/>
      <w:kern w:val="0"/>
    </w:rPr>
  </w:style>
  <w:style w:type="paragraph" w:customStyle="1" w:styleId="font9">
    <w:name w:val="font9"/>
    <w:basedOn w:val="a"/>
    <w:qFormat/>
    <w:pPr>
      <w:widowControl/>
      <w:spacing w:before="100" w:beforeAutospacing="1" w:after="100" w:afterAutospacing="1"/>
    </w:pPr>
    <w:rPr>
      <w:rFonts w:ascii="华文细黑" w:eastAsia="华文细黑" w:hAnsi="华文细黑" w:hint="eastAsia"/>
      <w:kern w:val="0"/>
      <w:sz w:val="28"/>
    </w:rPr>
  </w:style>
  <w:style w:type="paragraph" w:customStyle="1" w:styleId="afffffffffe">
    <w:name w:val="正文页脚"/>
    <w:basedOn w:val="aff5"/>
    <w:qFormat/>
    <w:pPr>
      <w:pBdr>
        <w:top w:val="single" w:sz="6" w:space="1" w:color="auto"/>
      </w:pBdr>
      <w:jc w:val="left"/>
    </w:pPr>
    <w:rPr>
      <w:rFonts w:ascii="隶书" w:eastAsia="隶书" w:hAnsi="华文中宋"/>
      <w:sz w:val="21"/>
      <w:szCs w:val="21"/>
    </w:rPr>
  </w:style>
  <w:style w:type="paragraph" w:customStyle="1" w:styleId="40505">
    <w:name w:val="样式 样式 样式4 四级 + 加粗 段前: 0.5 行 + 段前: 0.5 行"/>
    <w:basedOn w:val="a"/>
    <w:qFormat/>
    <w:pPr>
      <w:keepNext/>
      <w:keepLines/>
      <w:spacing w:beforeLines="50" w:before="156" w:line="360" w:lineRule="auto"/>
      <w:ind w:firstLineChars="200" w:firstLine="200"/>
      <w:outlineLvl w:val="3"/>
    </w:pPr>
    <w:rPr>
      <w:rFonts w:ascii="Arial" w:hAnsi="Arial"/>
      <w:kern w:val="0"/>
    </w:rPr>
  </w:style>
  <w:style w:type="paragraph" w:customStyle="1" w:styleId="WPSPlain">
    <w:name w:val="WPS Plain"/>
    <w:qFormat/>
    <w:rPr>
      <w:sz w:val="24"/>
      <w:szCs w:val="24"/>
    </w:rPr>
  </w:style>
  <w:style w:type="paragraph" w:customStyle="1" w:styleId="dpostcontent">
    <w:name w:val="d_post_content"/>
    <w:basedOn w:val="a"/>
    <w:qFormat/>
    <w:pPr>
      <w:widowControl/>
      <w:wordWrap w:val="0"/>
      <w:spacing w:before="100" w:beforeAutospacing="1" w:after="100" w:afterAutospacing="1" w:line="360" w:lineRule="atLeast"/>
      <w:jc w:val="left"/>
    </w:pPr>
    <w:rPr>
      <w:rFonts w:cs="宋体"/>
      <w:kern w:val="0"/>
      <w:sz w:val="21"/>
      <w:szCs w:val="21"/>
    </w:rPr>
  </w:style>
  <w:style w:type="paragraph" w:customStyle="1" w:styleId="affffffffff">
    <w:name w:val="表格小四"/>
    <w:basedOn w:val="a"/>
    <w:qFormat/>
    <w:pPr>
      <w:snapToGrid w:val="0"/>
    </w:pPr>
    <w:rPr>
      <w:rFonts w:eastAsia="仿宋_GB2312"/>
      <w:spacing w:val="6"/>
    </w:rPr>
  </w:style>
  <w:style w:type="paragraph" w:customStyle="1" w:styleId="hb405053">
    <w:name w:val="样式 hb4 + 段前: 0.5 行 段后: 0.5 行3"/>
    <w:basedOn w:val="hb4"/>
    <w:qFormat/>
    <w:pPr>
      <w:spacing w:beforeLines="50" w:before="156" w:afterLines="50" w:after="156" w:line="529" w:lineRule="exact"/>
    </w:pPr>
    <w:rPr>
      <w:rFonts w:ascii="宋体" w:eastAsia="宋体" w:hAnsi="Arial"/>
    </w:rPr>
  </w:style>
  <w:style w:type="paragraph" w:customStyle="1" w:styleId="affffffffff0">
    <w:name w:val="节标题"/>
    <w:basedOn w:val="a"/>
    <w:next w:val="afffffffff2"/>
    <w:qFormat/>
    <w:pPr>
      <w:widowControl/>
      <w:spacing w:line="289" w:lineRule="atLeast"/>
      <w:jc w:val="center"/>
      <w:textAlignment w:val="baseline"/>
    </w:pPr>
    <w:rPr>
      <w:rFonts w:ascii="Times New Roman" w:hAnsi="Times New Roman"/>
      <w:color w:val="000000"/>
      <w:kern w:val="0"/>
      <w:sz w:val="28"/>
      <w:u w:color="000000"/>
    </w:rPr>
  </w:style>
  <w:style w:type="paragraph" w:customStyle="1" w:styleId="xl60">
    <w:name w:val="xl6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eastAsia="Arial Unicode MS" w:hAnsi="Arial Unicode MS" w:cs="Arial Unicode MS"/>
      <w:color w:val="FF0000"/>
      <w:kern w:val="0"/>
      <w:sz w:val="16"/>
      <w:szCs w:val="16"/>
    </w:rPr>
  </w:style>
  <w:style w:type="paragraph" w:customStyle="1" w:styleId="affffffffff1">
    <w:name w:val="环保章标题"/>
    <w:basedOn w:val="3"/>
    <w:qFormat/>
    <w:pPr>
      <w:adjustRightInd w:val="0"/>
      <w:spacing w:line="416" w:lineRule="atLeast"/>
      <w:ind w:firstLineChars="200" w:firstLine="200"/>
      <w:textAlignment w:val="baseline"/>
    </w:pPr>
    <w:rPr>
      <w:rFonts w:eastAsia="汉鼎简书宋"/>
      <w:kern w:val="0"/>
      <w:sz w:val="28"/>
    </w:rPr>
  </w:style>
  <w:style w:type="paragraph" w:customStyle="1" w:styleId="hb31">
    <w:name w:val="hb3新"/>
    <w:basedOn w:val="3"/>
    <w:qFormat/>
    <w:pPr>
      <w:topLinePunct/>
      <w:adjustRightInd w:val="0"/>
      <w:spacing w:line="240" w:lineRule="auto"/>
      <w:ind w:firstLineChars="200" w:firstLine="200"/>
      <w:textAlignment w:val="baseline"/>
    </w:pPr>
    <w:rPr>
      <w:kern w:val="0"/>
      <w:sz w:val="24"/>
    </w:rPr>
  </w:style>
  <w:style w:type="paragraph" w:customStyle="1" w:styleId="hb30002645">
    <w:name w:val="样式 hb3 + 左侧:  0 厘米 段前: 0 磅 段后: 0 磅 行距: 固定值 26.45 磅"/>
    <w:basedOn w:val="3"/>
    <w:qFormat/>
    <w:pPr>
      <w:widowControl/>
      <w:adjustRightInd w:val="0"/>
      <w:spacing w:before="0" w:after="0" w:line="529" w:lineRule="exact"/>
      <w:textAlignment w:val="baseline"/>
    </w:pPr>
    <w:rPr>
      <w:kern w:val="0"/>
      <w:sz w:val="24"/>
    </w:rPr>
  </w:style>
  <w:style w:type="paragraph" w:customStyle="1" w:styleId="e">
    <w:name w:val="e"/>
    <w:basedOn w:val="a"/>
    <w:qFormat/>
    <w:rPr>
      <w:rFonts w:ascii="Times New Roman" w:hAnsi="Times New Roman"/>
      <w:sz w:val="21"/>
      <w:szCs w:val="24"/>
    </w:rPr>
  </w:style>
  <w:style w:type="paragraph" w:customStyle="1" w:styleId="xl50">
    <w:name w:val="xl50"/>
    <w:basedOn w:val="a"/>
    <w:qFormat/>
    <w:pPr>
      <w:widowControl/>
      <w:pBdr>
        <w:top w:val="single" w:sz="4" w:space="0" w:color="auto"/>
        <w:left w:val="single" w:sz="4" w:space="0" w:color="auto"/>
        <w:bottom w:val="single" w:sz="8" w:space="0" w:color="auto"/>
        <w:right w:val="single" w:sz="4"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415">
    <w:name w:val="样式 标题4 + 行距: 1.5 倍行距"/>
    <w:basedOn w:val="a9"/>
    <w:qFormat/>
    <w:pPr>
      <w:tabs>
        <w:tab w:val="left" w:pos="3450"/>
      </w:tabs>
      <w:autoSpaceDE w:val="0"/>
      <w:autoSpaceDN w:val="0"/>
      <w:spacing w:beforeLines="50" w:before="156" w:line="360" w:lineRule="auto"/>
      <w:ind w:left="2540" w:firstLineChars="0" w:hanging="1405"/>
      <w:textAlignment w:val="baseline"/>
      <w:outlineLvl w:val="3"/>
    </w:pPr>
    <w:rPr>
      <w:rFonts w:ascii="Times New Roman" w:eastAsia="黑体" w:hAnsi="Times New Roman"/>
      <w:snapToGrid w:val="0"/>
      <w:spacing w:val="10"/>
      <w:kern w:val="0"/>
    </w:rPr>
  </w:style>
  <w:style w:type="paragraph" w:customStyle="1" w:styleId="xl56">
    <w:name w:val="xl56"/>
    <w:basedOn w:val="a"/>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eastAsia="Arial Unicode MS" w:hAnsi="Arial Unicode MS" w:cs="Arial Unicode MS"/>
      <w:color w:val="FF0000"/>
      <w:kern w:val="0"/>
      <w:sz w:val="16"/>
      <w:szCs w:val="16"/>
    </w:rPr>
  </w:style>
  <w:style w:type="paragraph" w:customStyle="1" w:styleId="4050505">
    <w:name w:val="样式 样式 样式 标题4 + 段前: 0.5 行 + 段前: 0.5 行 + 段前: 0.5 行"/>
    <w:basedOn w:val="a"/>
    <w:qFormat/>
    <w:pPr>
      <w:tabs>
        <w:tab w:val="left" w:pos="1080"/>
        <w:tab w:val="left" w:pos="3450"/>
      </w:tabs>
      <w:autoSpaceDE w:val="0"/>
      <w:autoSpaceDN w:val="0"/>
      <w:adjustRightInd w:val="0"/>
      <w:snapToGrid w:val="0"/>
      <w:spacing w:beforeLines="50" w:before="156" w:line="360" w:lineRule="auto"/>
      <w:ind w:left="170" w:hanging="1405"/>
      <w:textAlignment w:val="baseline"/>
      <w:outlineLvl w:val="3"/>
    </w:pPr>
    <w:rPr>
      <w:rFonts w:eastAsia="黑体"/>
      <w:snapToGrid w:val="0"/>
      <w:kern w:val="0"/>
      <w:sz w:val="28"/>
    </w:rPr>
  </w:style>
  <w:style w:type="paragraph" w:customStyle="1" w:styleId="xl54">
    <w:name w:val="xl54"/>
    <w:basedOn w:val="a"/>
    <w:qFormat/>
    <w:pPr>
      <w:widowControl/>
      <w:pBdr>
        <w:bottom w:val="single" w:sz="8" w:space="0" w:color="auto"/>
      </w:pBdr>
      <w:spacing w:before="100" w:beforeAutospacing="1" w:after="100" w:afterAutospacing="1" w:line="529" w:lineRule="exact"/>
      <w:ind w:firstLineChars="200" w:firstLine="200"/>
      <w:textAlignment w:val="center"/>
    </w:pPr>
    <w:rPr>
      <w:rFonts w:eastAsia="汉鼎简书宋"/>
      <w:b/>
      <w:kern w:val="0"/>
      <w:sz w:val="28"/>
    </w:rPr>
  </w:style>
  <w:style w:type="paragraph" w:customStyle="1" w:styleId="xl89">
    <w:name w:val="xl89"/>
    <w:basedOn w:val="a"/>
    <w:qFormat/>
    <w:pPr>
      <w:widowControl/>
      <w:pBdr>
        <w:top w:val="single" w:sz="8" w:space="0" w:color="auto"/>
        <w:left w:val="single" w:sz="8" w:space="0" w:color="auto"/>
        <w:right w:val="single" w:sz="8" w:space="0" w:color="auto"/>
      </w:pBdr>
      <w:spacing w:before="100" w:beforeAutospacing="1" w:after="100" w:afterAutospacing="1"/>
      <w:jc w:val="center"/>
    </w:pPr>
    <w:rPr>
      <w:rFonts w:cs="宋体"/>
      <w:kern w:val="0"/>
      <w:szCs w:val="24"/>
    </w:rPr>
  </w:style>
  <w:style w:type="paragraph" w:customStyle="1" w:styleId="affffffffff2">
    <w:name w:val="简单回函地址"/>
    <w:basedOn w:val="a"/>
    <w:qFormat/>
  </w:style>
  <w:style w:type="paragraph" w:customStyle="1" w:styleId="1CharCharCharCharCharCharCharCharCharCharCharCharChar">
    <w:name w:val="1 Char Char Char Char Char Char Char Char Char Char Char Char Char"/>
    <w:basedOn w:val="a"/>
    <w:qFormat/>
    <w:pPr>
      <w:spacing w:line="360" w:lineRule="auto"/>
    </w:pPr>
  </w:style>
  <w:style w:type="paragraph" w:customStyle="1" w:styleId="xl77">
    <w:name w:val="xl77"/>
    <w:basedOn w:val="a"/>
    <w:qFormat/>
    <w:pPr>
      <w:widowControl/>
      <w:pBdr>
        <w:left w:val="single" w:sz="8" w:space="0" w:color="auto"/>
        <w:bottom w:val="single" w:sz="8" w:space="0" w:color="auto"/>
        <w:right w:val="single" w:sz="8" w:space="0" w:color="auto"/>
      </w:pBdr>
      <w:spacing w:before="100" w:beforeAutospacing="1" w:after="100" w:afterAutospacing="1"/>
      <w:jc w:val="center"/>
    </w:pPr>
    <w:rPr>
      <w:rFonts w:cs="宋体"/>
      <w:color w:val="222222"/>
      <w:kern w:val="0"/>
      <w:szCs w:val="24"/>
    </w:rPr>
  </w:style>
  <w:style w:type="paragraph" w:customStyle="1" w:styleId="xl44">
    <w:name w:val="xl44"/>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4f">
    <w:name w:val="目录4"/>
    <w:basedOn w:val="a"/>
    <w:next w:val="a"/>
    <w:qFormat/>
    <w:pPr>
      <w:widowControl/>
      <w:tabs>
        <w:tab w:val="left" w:leader="dot" w:pos="8503"/>
      </w:tabs>
      <w:spacing w:line="317" w:lineRule="atLeast"/>
      <w:ind w:left="419" w:firstLine="629"/>
      <w:textAlignment w:val="baseline"/>
    </w:pPr>
    <w:rPr>
      <w:color w:val="000000"/>
      <w:kern w:val="0"/>
      <w:sz w:val="21"/>
      <w:u w:color="000000"/>
    </w:rPr>
  </w:style>
  <w:style w:type="paragraph" w:customStyle="1" w:styleId="3120">
    <w:name w:val="样式 标题 3 + 段前: 1 行2"/>
    <w:basedOn w:val="3"/>
    <w:qFormat/>
    <w:pPr>
      <w:keepNext w:val="0"/>
      <w:keepLines w:val="0"/>
      <w:tabs>
        <w:tab w:val="left" w:pos="1080"/>
      </w:tabs>
      <w:autoSpaceDE w:val="0"/>
      <w:autoSpaceDN w:val="0"/>
      <w:adjustRightInd w:val="0"/>
      <w:snapToGrid w:val="0"/>
      <w:spacing w:beforeLines="50" w:before="156" w:after="0" w:line="300" w:lineRule="auto"/>
      <w:ind w:left="227" w:firstLineChars="200" w:hanging="227"/>
      <w:textAlignment w:val="baseline"/>
    </w:pPr>
    <w:rPr>
      <w:rFonts w:eastAsia="黑体"/>
      <w:b w:val="0"/>
      <w:snapToGrid w:val="0"/>
      <w:spacing w:val="10"/>
      <w:kern w:val="0"/>
      <w:sz w:val="30"/>
    </w:rPr>
  </w:style>
  <w:style w:type="paragraph" w:customStyle="1" w:styleId="font7">
    <w:name w:val="font7"/>
    <w:basedOn w:val="a"/>
    <w:qFormat/>
    <w:pPr>
      <w:widowControl/>
      <w:spacing w:before="100" w:beforeAutospacing="1" w:after="100" w:afterAutospacing="1" w:line="529" w:lineRule="exact"/>
      <w:ind w:firstLineChars="200" w:firstLine="200"/>
    </w:pPr>
    <w:rPr>
      <w:rFonts w:eastAsia="汉鼎简书宋"/>
      <w:kern w:val="0"/>
      <w:sz w:val="20"/>
    </w:rPr>
  </w:style>
  <w:style w:type="paragraph" w:customStyle="1" w:styleId="ParaCharCharCharCharCharCharChar">
    <w:name w:val="默认段落字体 Para Char Char Char Char Char Char Char"/>
    <w:basedOn w:val="a"/>
    <w:qFormat/>
    <w:rPr>
      <w:rFonts w:ascii="Arial" w:hAnsi="Arial" w:cs="Arial"/>
      <w:sz w:val="20"/>
    </w:rPr>
  </w:style>
  <w:style w:type="paragraph" w:customStyle="1" w:styleId="Default">
    <w:name w:val="Default"/>
    <w:qFormat/>
    <w:pPr>
      <w:widowControl w:val="0"/>
      <w:autoSpaceDE w:val="0"/>
      <w:autoSpaceDN w:val="0"/>
      <w:adjustRightInd w:val="0"/>
    </w:pPr>
    <w:rPr>
      <w:rFonts w:ascii="仿宋_GB2312" w:eastAsia="仿宋_GB2312"/>
      <w:color w:val="000000"/>
      <w:sz w:val="24"/>
    </w:rPr>
  </w:style>
  <w:style w:type="paragraph" w:customStyle="1" w:styleId="affffffffff3">
    <w:name w:val="图、表头文字"/>
    <w:basedOn w:val="a"/>
    <w:qFormat/>
    <w:pPr>
      <w:autoSpaceDE w:val="0"/>
      <w:autoSpaceDN w:val="0"/>
      <w:adjustRightInd w:val="0"/>
      <w:spacing w:before="80" w:after="80"/>
      <w:ind w:firstLineChars="200" w:firstLine="200"/>
      <w:textAlignment w:val="baseline"/>
    </w:pPr>
    <w:rPr>
      <w:rFonts w:ascii="黑体" w:eastAsia="黑体"/>
      <w:kern w:val="0"/>
    </w:rPr>
  </w:style>
  <w:style w:type="paragraph" w:customStyle="1" w:styleId="130">
    <w:name w:val="1.3行"/>
    <w:basedOn w:val="a"/>
    <w:qFormat/>
    <w:pPr>
      <w:adjustRightInd w:val="0"/>
      <w:snapToGrid w:val="0"/>
      <w:spacing w:line="312" w:lineRule="auto"/>
      <w:ind w:firstLineChars="200" w:firstLine="200"/>
    </w:pPr>
    <w:rPr>
      <w:rFonts w:hAnsi="Times New Roman"/>
      <w:bCs/>
      <w:kern w:val="0"/>
      <w:sz w:val="28"/>
      <w:szCs w:val="28"/>
    </w:rPr>
  </w:style>
  <w:style w:type="paragraph" w:customStyle="1" w:styleId="affffffffff4">
    <w:name w:val="表格内容 小四"/>
    <w:basedOn w:val="a"/>
    <w:qFormat/>
    <w:pPr>
      <w:snapToGrid w:val="0"/>
    </w:pPr>
    <w:rPr>
      <w:kern w:val="0"/>
    </w:rPr>
  </w:style>
  <w:style w:type="paragraph" w:customStyle="1" w:styleId="xl22">
    <w:name w:val="xl22"/>
    <w:basedOn w:val="a"/>
    <w:qFormat/>
    <w:pPr>
      <w:widowControl/>
      <w:pBdr>
        <w:right w:val="single" w:sz="4" w:space="0" w:color="auto"/>
      </w:pBdr>
      <w:spacing w:before="100" w:beforeAutospacing="1" w:after="100" w:afterAutospacing="1" w:line="529" w:lineRule="exact"/>
      <w:ind w:firstLineChars="200" w:firstLine="200"/>
    </w:pPr>
    <w:rPr>
      <w:rFonts w:ascii="Arial Unicode MS" w:eastAsia="Arial Unicode MS" w:hAnsi="Arial Unicode MS"/>
      <w:snapToGrid w:val="0"/>
      <w:kern w:val="0"/>
    </w:rPr>
  </w:style>
  <w:style w:type="paragraph" w:customStyle="1" w:styleId="0">
    <w:name w:val="样式 表文字 + 首行缩进:  0 字符"/>
    <w:basedOn w:val="afffff7"/>
    <w:qFormat/>
    <w:pPr>
      <w:overflowPunct w:val="0"/>
      <w:spacing w:after="120"/>
    </w:pPr>
    <w:rPr>
      <w:rFonts w:ascii="Times New Roman" w:hAnsi="Times New Roman" w:cs="宋体"/>
    </w:rPr>
  </w:style>
  <w:style w:type="paragraph" w:customStyle="1" w:styleId="xl88">
    <w:name w:val="xl88"/>
    <w:basedOn w:val="a"/>
    <w:qFormat/>
    <w:pPr>
      <w:widowControl/>
      <w:pBdr>
        <w:left w:val="single" w:sz="8" w:space="0" w:color="auto"/>
        <w:right w:val="single" w:sz="8" w:space="0" w:color="auto"/>
      </w:pBdr>
      <w:spacing w:before="100" w:beforeAutospacing="1" w:after="100" w:afterAutospacing="1"/>
      <w:jc w:val="center"/>
    </w:pPr>
    <w:rPr>
      <w:rFonts w:cs="宋体"/>
      <w:color w:val="0000FF"/>
      <w:kern w:val="0"/>
      <w:szCs w:val="24"/>
      <w:u w:val="single"/>
    </w:rPr>
  </w:style>
  <w:style w:type="paragraph" w:customStyle="1" w:styleId="xl29">
    <w:name w:val="xl29"/>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line="529" w:lineRule="exact"/>
      <w:ind w:firstLineChars="200" w:firstLine="200"/>
    </w:pPr>
    <w:rPr>
      <w:rFonts w:eastAsia="汉鼎简书宋"/>
      <w:kern w:val="0"/>
      <w:sz w:val="20"/>
    </w:rPr>
  </w:style>
  <w:style w:type="character" w:customStyle="1" w:styleId="a5">
    <w:name w:val="注释标题 字符"/>
    <w:link w:val="a4"/>
    <w:qFormat/>
    <w:rPr>
      <w:rFonts w:ascii="宋体" w:eastAsia="汉鼎简书宋" w:hAnsi="宋体"/>
      <w:sz w:val="24"/>
    </w:rPr>
  </w:style>
  <w:style w:type="paragraph" w:customStyle="1" w:styleId="xl43">
    <w:name w:val="xl4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529" w:lineRule="exact"/>
      <w:ind w:firstLineChars="200" w:firstLine="200"/>
    </w:pPr>
    <w:rPr>
      <w:rFonts w:eastAsia="汉鼎简书宋"/>
      <w:kern w:val="0"/>
      <w:sz w:val="20"/>
    </w:rPr>
  </w:style>
  <w:style w:type="paragraph" w:customStyle="1" w:styleId="xl87">
    <w:name w:val="xl87"/>
    <w:basedOn w:val="a"/>
    <w:qFormat/>
    <w:pPr>
      <w:widowControl/>
      <w:pBdr>
        <w:right w:val="single" w:sz="8" w:space="0" w:color="auto"/>
      </w:pBdr>
      <w:spacing w:before="100" w:beforeAutospacing="1" w:after="100" w:afterAutospacing="1"/>
      <w:jc w:val="center"/>
    </w:pPr>
    <w:rPr>
      <w:rFonts w:cs="宋体"/>
      <w:color w:val="0000FF"/>
      <w:kern w:val="0"/>
      <w:szCs w:val="24"/>
      <w:u w:val="single"/>
    </w:rPr>
  </w:style>
  <w:style w:type="paragraph" w:customStyle="1" w:styleId="099">
    <w:name w:val="样式 表号 + 首行缩进:  0.99 厘米"/>
    <w:basedOn w:val="affffd"/>
    <w:qFormat/>
    <w:pPr>
      <w:widowControl w:val="0"/>
      <w:snapToGrid/>
      <w:ind w:firstLine="480"/>
    </w:pPr>
    <w:rPr>
      <w:rFonts w:ascii="Arial Narrow" w:eastAsia="汉鼎简书宋" w:hAnsi="Arial Narrow"/>
      <w:kern w:val="2"/>
    </w:rPr>
  </w:style>
  <w:style w:type="paragraph" w:customStyle="1" w:styleId="042">
    <w:name w:val="样式 宋体 居中 首行缩进:  0.42 厘米"/>
    <w:basedOn w:val="afffff7"/>
    <w:qFormat/>
    <w:pPr>
      <w:ind w:firstLine="240"/>
    </w:pPr>
    <w:rPr>
      <w:kern w:val="0"/>
    </w:rPr>
  </w:style>
  <w:style w:type="paragraph" w:customStyle="1" w:styleId="Char4CharCharChar">
    <w:name w:val="Char4 Char Char Char"/>
    <w:basedOn w:val="a"/>
    <w:qFormat/>
    <w:pPr>
      <w:adjustRightInd w:val="0"/>
      <w:snapToGrid w:val="0"/>
      <w:spacing w:beforeLines="100" w:before="312" w:afterLines="100" w:after="312" w:line="440" w:lineRule="exact"/>
      <w:ind w:firstLineChars="200" w:firstLine="200"/>
    </w:pPr>
    <w:rPr>
      <w:rFonts w:ascii="Times New Roman" w:hAnsi="Times New Roman"/>
      <w:bCs/>
      <w:color w:val="008000"/>
      <w:sz w:val="21"/>
    </w:rPr>
  </w:style>
  <w:style w:type="paragraph" w:customStyle="1" w:styleId="xl64">
    <w:name w:val="xl64"/>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cs="宋体"/>
      <w:kern w:val="0"/>
      <w:szCs w:val="24"/>
    </w:rPr>
  </w:style>
  <w:style w:type="paragraph" w:customStyle="1" w:styleId="xl28">
    <w:name w:val="xl28"/>
    <w:basedOn w:val="a"/>
    <w:qFormat/>
    <w:pPr>
      <w:widowControl/>
      <w:pBdr>
        <w:left w:val="single" w:sz="4" w:space="0" w:color="auto"/>
        <w:right w:val="single" w:sz="4" w:space="0" w:color="auto"/>
      </w:pBdr>
      <w:spacing w:before="100" w:beforeAutospacing="1" w:after="100" w:afterAutospacing="1"/>
      <w:textAlignment w:val="center"/>
    </w:pPr>
    <w:rPr>
      <w:kern w:val="0"/>
    </w:rPr>
  </w:style>
  <w:style w:type="paragraph" w:customStyle="1" w:styleId="hb4050526">
    <w:name w:val="样式 hb4 + 段前: 0.5 行 段后: 0.5 行 行距: 固定值 26 磅"/>
    <w:basedOn w:val="hb4"/>
    <w:qFormat/>
    <w:pPr>
      <w:spacing w:beforeLines="50" w:before="156" w:afterLines="50" w:after="156" w:line="520" w:lineRule="exact"/>
    </w:pPr>
    <w:rPr>
      <w:rFonts w:ascii="Times New Roman" w:eastAsia="宋体" w:hAnsi="Arial"/>
      <w:kern w:val="24"/>
    </w:rPr>
  </w:style>
  <w:style w:type="paragraph" w:customStyle="1" w:styleId="xl61">
    <w:name w:val="xl61"/>
    <w:basedOn w:val="a"/>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color w:val="FF0000"/>
      <w:kern w:val="0"/>
      <w:sz w:val="16"/>
      <w:szCs w:val="16"/>
    </w:rPr>
  </w:style>
  <w:style w:type="paragraph" w:customStyle="1" w:styleId="affffffffff5">
    <w:name w:val="正文 + 宋体"/>
    <w:basedOn w:val="a"/>
    <w:qFormat/>
    <w:pPr>
      <w:adjustRightInd w:val="0"/>
      <w:spacing w:line="520" w:lineRule="exact"/>
      <w:ind w:firstLineChars="200" w:firstLine="200"/>
      <w:textAlignment w:val="baseline"/>
    </w:pPr>
    <w:rPr>
      <w:rFonts w:eastAsia="汉鼎简书宋"/>
      <w:kern w:val="0"/>
    </w:rPr>
  </w:style>
  <w:style w:type="paragraph" w:customStyle="1" w:styleId="ParaCharCharCharChar">
    <w:name w:val="默认段落字体 Para Char Char Char Char"/>
    <w:basedOn w:val="a"/>
    <w:qFormat/>
    <w:rPr>
      <w:rFonts w:ascii="Times New Roman" w:hAnsi="Times New Roman"/>
      <w:sz w:val="21"/>
    </w:rPr>
  </w:style>
  <w:style w:type="paragraph" w:customStyle="1" w:styleId="1fc">
    <w:name w:val="文档结构图1"/>
    <w:basedOn w:val="a"/>
    <w:qFormat/>
    <w:pPr>
      <w:shd w:val="clear" w:color="auto" w:fill="000080"/>
      <w:tabs>
        <w:tab w:val="left" w:pos="480"/>
        <w:tab w:val="left" w:pos="1680"/>
        <w:tab w:val="left" w:pos="3960"/>
        <w:tab w:val="left" w:pos="5400"/>
        <w:tab w:val="left" w:pos="6840"/>
      </w:tabs>
      <w:adjustRightInd w:val="0"/>
      <w:spacing w:line="240" w:lineRule="atLeast"/>
      <w:ind w:firstLine="482"/>
      <w:jc w:val="left"/>
      <w:textAlignment w:val="baseline"/>
    </w:pPr>
    <w:rPr>
      <w:rFonts w:ascii="Times New Roman" w:eastAsia="创艺简楷体" w:hAnsi="Times New Roman"/>
      <w:kern w:val="0"/>
      <w:sz w:val="28"/>
    </w:rPr>
  </w:style>
  <w:style w:type="paragraph" w:customStyle="1" w:styleId="30352">
    <w:name w:val="样式 标题 3 + 首行缩进:  0.35 厘米2"/>
    <w:basedOn w:val="3"/>
    <w:qFormat/>
    <w:pPr>
      <w:tabs>
        <w:tab w:val="left" w:pos="1080"/>
      </w:tabs>
      <w:snapToGrid w:val="0"/>
      <w:spacing w:before="120" w:after="0" w:line="440" w:lineRule="atLeast"/>
      <w:ind w:firstLineChars="200" w:firstLine="480"/>
    </w:pPr>
    <w:rPr>
      <w:rFonts w:ascii="黑体" w:eastAsia="黑体"/>
      <w:sz w:val="24"/>
    </w:rPr>
  </w:style>
  <w:style w:type="paragraph" w:customStyle="1" w:styleId="xl67">
    <w:name w:val="xl67"/>
    <w:basedOn w:val="a"/>
    <w:qFormat/>
    <w:pPr>
      <w:widowControl/>
      <w:pBdr>
        <w:left w:val="single" w:sz="8" w:space="0" w:color="auto"/>
        <w:right w:val="single" w:sz="8" w:space="0" w:color="auto"/>
      </w:pBdr>
      <w:spacing w:before="100" w:beforeAutospacing="1" w:after="100" w:afterAutospacing="1"/>
      <w:jc w:val="center"/>
    </w:pPr>
    <w:rPr>
      <w:rFonts w:cs="宋体"/>
      <w:kern w:val="0"/>
      <w:szCs w:val="24"/>
    </w:rPr>
  </w:style>
  <w:style w:type="paragraph" w:customStyle="1" w:styleId="0856">
    <w:name w:val="样式 首行缩进:  0.85 厘米"/>
    <w:basedOn w:val="a"/>
    <w:qFormat/>
    <w:pPr>
      <w:ind w:firstLine="454"/>
    </w:pPr>
  </w:style>
  <w:style w:type="paragraph" w:customStyle="1" w:styleId="affffffffff6">
    <w:name w:val="表中"/>
    <w:basedOn w:val="a"/>
    <w:link w:val="Charff7"/>
    <w:qFormat/>
    <w:pPr>
      <w:tabs>
        <w:tab w:val="left" w:pos="1560"/>
      </w:tabs>
      <w:spacing w:line="529" w:lineRule="exact"/>
      <w:ind w:leftChars="-18" w:left="-58"/>
      <w:textAlignment w:val="top"/>
    </w:pPr>
    <w:rPr>
      <w:rFonts w:eastAsia="汉鼎简书宋"/>
      <w:spacing w:val="20"/>
      <w:position w:val="-12"/>
    </w:rPr>
  </w:style>
  <w:style w:type="paragraph" w:customStyle="1" w:styleId="xl25">
    <w:name w:val="xl2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529" w:lineRule="exact"/>
      <w:ind w:firstLine="420"/>
    </w:pPr>
    <w:rPr>
      <w:rFonts w:eastAsia="汉鼎简书宋"/>
      <w:kern w:val="0"/>
    </w:rPr>
  </w:style>
  <w:style w:type="paragraph" w:customStyle="1" w:styleId="xl62">
    <w:name w:val="xl62"/>
    <w:basedOn w:val="a"/>
    <w:qFormat/>
    <w:pPr>
      <w:widowControl/>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color w:val="FF0000"/>
      <w:kern w:val="0"/>
      <w:sz w:val="16"/>
      <w:szCs w:val="16"/>
    </w:rPr>
  </w:style>
  <w:style w:type="paragraph" w:customStyle="1" w:styleId="1fd">
    <w:name w:val="正文1"/>
    <w:basedOn w:val="a"/>
    <w:qFormat/>
    <w:pPr>
      <w:spacing w:line="500" w:lineRule="exact"/>
      <w:ind w:firstLineChars="200" w:firstLine="480"/>
    </w:pPr>
    <w:rPr>
      <w:rFonts w:eastAsia="汉鼎简书宋"/>
    </w:rPr>
  </w:style>
  <w:style w:type="paragraph" w:customStyle="1" w:styleId="CharCharChar1CharCharCharChar">
    <w:name w:val="Char Char Char1 Char Char Char Char"/>
    <w:basedOn w:val="a"/>
    <w:next w:val="a"/>
    <w:qFormat/>
    <w:pPr>
      <w:spacing w:line="336" w:lineRule="auto"/>
      <w:ind w:firstLineChars="200" w:firstLine="200"/>
    </w:pPr>
    <w:rPr>
      <w:rFonts w:eastAsia="汉鼎简书宋" w:cs="宋体"/>
      <w:szCs w:val="24"/>
    </w:rPr>
  </w:style>
  <w:style w:type="paragraph" w:customStyle="1" w:styleId="100">
    <w:name w:val="样式10"/>
    <w:basedOn w:val="afd"/>
    <w:qFormat/>
    <w:pPr>
      <w:topLinePunct/>
      <w:ind w:firstLine="480"/>
    </w:pPr>
    <w:rPr>
      <w:b/>
      <w:sz w:val="28"/>
    </w:rPr>
  </w:style>
  <w:style w:type="paragraph" w:customStyle="1" w:styleId="CharCharCharCharCharCharCharCharChar1">
    <w:name w:val="Char Char Char Char Char Char Char Char Char1"/>
    <w:basedOn w:val="a"/>
    <w:next w:val="a"/>
    <w:qFormat/>
    <w:pPr>
      <w:spacing w:line="360" w:lineRule="auto"/>
      <w:ind w:firstLineChars="200" w:firstLine="200"/>
    </w:pPr>
    <w:rPr>
      <w:rFonts w:ascii="Times New Roman" w:eastAsia="Times New Roman" w:hAnsi="Times New Roman" w:cs="宋体"/>
      <w:szCs w:val="24"/>
    </w:rPr>
  </w:style>
  <w:style w:type="paragraph" w:customStyle="1" w:styleId="CharCharChar1Char2">
    <w:name w:val="Char Char Char1 Char2"/>
    <w:basedOn w:val="a"/>
    <w:next w:val="a"/>
    <w:qFormat/>
    <w:pPr>
      <w:spacing w:line="360" w:lineRule="auto"/>
      <w:ind w:firstLineChars="200" w:firstLine="200"/>
    </w:pPr>
  </w:style>
  <w:style w:type="paragraph" w:customStyle="1" w:styleId="affffffffff7">
    <w:name w:val="正文文"/>
    <w:basedOn w:val="affffffffff5"/>
    <w:qFormat/>
    <w:pPr>
      <w:ind w:firstLine="480"/>
      <w:jc w:val="left"/>
    </w:pPr>
    <w:rPr>
      <w:rFonts w:ascii="Times New Roman" w:eastAsia="宋体" w:hAnsi="Times New Roman"/>
      <w:szCs w:val="24"/>
    </w:rPr>
  </w:style>
  <w:style w:type="paragraph" w:customStyle="1" w:styleId="affffffffff8">
    <w:name w:val="表内文字"/>
    <w:basedOn w:val="a"/>
    <w:qFormat/>
    <w:pPr>
      <w:spacing w:line="300" w:lineRule="auto"/>
      <w:jc w:val="center"/>
    </w:pPr>
    <w:rPr>
      <w:rFonts w:ascii="Times New Roman" w:hAnsi="Times New Roman"/>
      <w:color w:val="000000"/>
      <w:sz w:val="21"/>
    </w:rPr>
  </w:style>
  <w:style w:type="paragraph" w:customStyle="1" w:styleId="hb10">
    <w:name w:val="样式 hb1 + 宋体"/>
    <w:basedOn w:val="1"/>
    <w:qFormat/>
    <w:pPr>
      <w:adjustRightInd w:val="0"/>
      <w:spacing w:line="578" w:lineRule="atLeast"/>
      <w:textAlignment w:val="baseline"/>
    </w:pPr>
    <w:rPr>
      <w:sz w:val="28"/>
    </w:rPr>
  </w:style>
  <w:style w:type="paragraph" w:customStyle="1" w:styleId="CharCharCharChar1">
    <w:name w:val="Char Char Char Char1"/>
    <w:basedOn w:val="a"/>
    <w:next w:val="a"/>
    <w:qFormat/>
    <w:pPr>
      <w:spacing w:line="360" w:lineRule="auto"/>
      <w:ind w:firstLineChars="200" w:firstLine="200"/>
    </w:pPr>
    <w:rPr>
      <w:rFonts w:cs="宋体"/>
      <w:szCs w:val="24"/>
    </w:rPr>
  </w:style>
  <w:style w:type="paragraph" w:customStyle="1" w:styleId="400">
    <w:name w:val="样式 黑体 一号 加粗 居中 行距: 固定值 40 磅"/>
    <w:basedOn w:val="a"/>
    <w:qFormat/>
    <w:pPr>
      <w:spacing w:line="800" w:lineRule="exact"/>
      <w:ind w:firstLine="420"/>
    </w:pPr>
    <w:rPr>
      <w:rFonts w:ascii="黑体" w:eastAsia="黑体"/>
      <w:b/>
      <w:spacing w:val="40"/>
      <w:sz w:val="72"/>
    </w:rPr>
  </w:style>
  <w:style w:type="paragraph" w:customStyle="1" w:styleId="B0">
    <w:name w:val="样式B"/>
    <w:basedOn w:val="a"/>
    <w:qFormat/>
    <w:pPr>
      <w:adjustRightInd w:val="0"/>
      <w:ind w:firstLine="624"/>
    </w:pPr>
    <w:rPr>
      <w:rFonts w:eastAsia="仿宋_GB2312"/>
      <w:sz w:val="32"/>
    </w:rPr>
  </w:style>
  <w:style w:type="paragraph" w:customStyle="1" w:styleId="326">
    <w:name w:val="样式 样式 目录 3 + 首行缩进:  2 字符 + 首行缩进:  6 字符"/>
    <w:basedOn w:val="320"/>
    <w:qFormat/>
    <w:pPr>
      <w:tabs>
        <w:tab w:val="left" w:pos="2169"/>
      </w:tabs>
      <w:ind w:firstLine="1324"/>
    </w:pPr>
  </w:style>
  <w:style w:type="paragraph" w:customStyle="1" w:styleId="320">
    <w:name w:val="样式 目录 3 + 首行缩进:  2 字符"/>
    <w:basedOn w:val="TOC3"/>
    <w:qFormat/>
    <w:pPr>
      <w:tabs>
        <w:tab w:val="left" w:pos="1920"/>
        <w:tab w:val="right" w:leader="dot" w:pos="9062"/>
      </w:tabs>
      <w:spacing w:line="360" w:lineRule="auto"/>
      <w:ind w:left="0" w:firstLineChars="600" w:firstLine="600"/>
    </w:pPr>
    <w:rPr>
      <w:i w:val="0"/>
      <w:snapToGrid w:val="0"/>
      <w:spacing w:val="10"/>
      <w:kern w:val="0"/>
      <w:sz w:val="24"/>
    </w:rPr>
  </w:style>
  <w:style w:type="paragraph" w:customStyle="1" w:styleId="xl38">
    <w:name w:val="xl38"/>
    <w:basedOn w:val="a"/>
    <w:qFormat/>
    <w:pPr>
      <w:widowControl/>
      <w:pBdr>
        <w:bottom w:val="single" w:sz="4" w:space="0" w:color="000000"/>
        <w:right w:val="single" w:sz="4" w:space="0" w:color="auto"/>
      </w:pBdr>
      <w:spacing w:before="100" w:beforeAutospacing="1" w:after="100" w:afterAutospacing="1"/>
    </w:pPr>
    <w:rPr>
      <w:kern w:val="0"/>
    </w:rPr>
  </w:style>
  <w:style w:type="paragraph" w:customStyle="1" w:styleId="Char18">
    <w:name w:val="Char1"/>
    <w:basedOn w:val="a"/>
    <w:next w:val="a"/>
    <w:link w:val="Char1Char"/>
    <w:qFormat/>
    <w:pPr>
      <w:spacing w:line="529" w:lineRule="exact"/>
      <w:ind w:firstLineChars="200" w:firstLine="200"/>
    </w:pPr>
    <w:rPr>
      <w:rFonts w:cs="宋体"/>
      <w:szCs w:val="24"/>
    </w:rPr>
  </w:style>
  <w:style w:type="paragraph" w:customStyle="1" w:styleId="a00">
    <w:name w:val="a0"/>
    <w:basedOn w:val="a"/>
    <w:qFormat/>
    <w:pPr>
      <w:widowControl/>
      <w:spacing w:before="100" w:beforeAutospacing="1" w:after="100" w:afterAutospacing="1"/>
    </w:pPr>
    <w:rPr>
      <w:color w:val="000000"/>
      <w:kern w:val="0"/>
    </w:rPr>
  </w:style>
  <w:style w:type="paragraph" w:customStyle="1" w:styleId="font1">
    <w:name w:val="font1"/>
    <w:basedOn w:val="a"/>
    <w:qFormat/>
    <w:pPr>
      <w:widowControl/>
      <w:spacing w:before="100" w:beforeAutospacing="1" w:after="100" w:afterAutospacing="1"/>
    </w:pPr>
    <w:rPr>
      <w:rFonts w:hint="eastAsia"/>
      <w:kern w:val="0"/>
    </w:rPr>
  </w:style>
  <w:style w:type="paragraph" w:customStyle="1" w:styleId="hb4151">
    <w:name w:val="样式 hb4 + 段前: 1.5 行 段后: 1 行"/>
    <w:basedOn w:val="hb4"/>
    <w:qFormat/>
    <w:pPr>
      <w:topLinePunct/>
      <w:spacing w:beforeLines="100" w:before="312" w:afterLines="100" w:after="312" w:line="240" w:lineRule="atLeast"/>
    </w:pPr>
    <w:rPr>
      <w:rFonts w:ascii="Times New Roman" w:eastAsia="宋体" w:hAnsi="Times New Roman" w:cs="宋体"/>
      <w:b w:val="0"/>
      <w:bCs/>
      <w:color w:val="000000"/>
      <w:kern w:val="0"/>
      <w:szCs w:val="24"/>
    </w:rPr>
  </w:style>
  <w:style w:type="paragraph" w:customStyle="1" w:styleId="affffffffff9">
    <w:name w:val="煤炭资源普查报告格式"/>
    <w:basedOn w:val="a"/>
    <w:qFormat/>
    <w:pPr>
      <w:spacing w:line="500" w:lineRule="exact"/>
      <w:ind w:firstLineChars="200" w:firstLine="200"/>
    </w:pPr>
  </w:style>
  <w:style w:type="paragraph" w:customStyle="1" w:styleId="ParaChar">
    <w:name w:val="默认段落字体 Para Char"/>
    <w:basedOn w:val="a"/>
    <w:next w:val="a"/>
    <w:qFormat/>
    <w:pPr>
      <w:spacing w:line="360" w:lineRule="auto"/>
      <w:ind w:firstLineChars="200" w:firstLine="200"/>
    </w:pPr>
    <w:rPr>
      <w:rFonts w:eastAsia="汉鼎简书宋"/>
    </w:rPr>
  </w:style>
  <w:style w:type="paragraph" w:customStyle="1" w:styleId="affffffffffa">
    <w:name w:val="样式 日期 + 黑体"/>
    <w:basedOn w:val="aff"/>
    <w:qFormat/>
    <w:pPr>
      <w:spacing w:line="500" w:lineRule="exact"/>
      <w:ind w:leftChars="0" w:left="0" w:firstLine="420"/>
    </w:pPr>
    <w:rPr>
      <w:rFonts w:ascii="黑体" w:eastAsia="黑体" w:hAnsi="黑体"/>
      <w:b/>
      <w:spacing w:val="40"/>
      <w:sz w:val="30"/>
    </w:rPr>
  </w:style>
  <w:style w:type="paragraph" w:customStyle="1" w:styleId="4025051">
    <w:name w:val="样式 样式 标题4 + 段前: 0.25 行 行距: 单倍行距 + 段前: 0.5 行1"/>
    <w:basedOn w:val="4025"/>
    <w:qFormat/>
    <w:pPr>
      <w:tabs>
        <w:tab w:val="clear" w:pos="1157"/>
        <w:tab w:val="clear" w:pos="3450"/>
        <w:tab w:val="left" w:pos="2315"/>
      </w:tabs>
      <w:ind w:left="1405"/>
    </w:pPr>
  </w:style>
  <w:style w:type="paragraph" w:customStyle="1" w:styleId="hb355">
    <w:name w:val="样式 hb3 + 段前: 5 磅 段后: 5 磅"/>
    <w:basedOn w:val="3"/>
    <w:qFormat/>
    <w:pPr>
      <w:topLinePunct/>
      <w:spacing w:before="100" w:after="100" w:line="500" w:lineRule="exact"/>
      <w:ind w:firstLineChars="200" w:firstLine="200"/>
    </w:pPr>
    <w:rPr>
      <w:b w:val="0"/>
      <w:sz w:val="30"/>
    </w:rPr>
  </w:style>
  <w:style w:type="paragraph" w:customStyle="1" w:styleId="hb32">
    <w:name w:val="样式 hb3 + 首行缩进:  2 字符"/>
    <w:basedOn w:val="3"/>
    <w:qFormat/>
    <w:pPr>
      <w:adjustRightInd w:val="0"/>
      <w:spacing w:before="360" w:after="360" w:line="240" w:lineRule="auto"/>
      <w:jc w:val="left"/>
      <w:textAlignment w:val="baseline"/>
    </w:pPr>
    <w:rPr>
      <w:rFonts w:cs="宋体"/>
      <w:bCs/>
      <w:kern w:val="0"/>
      <w:sz w:val="24"/>
    </w:rPr>
  </w:style>
  <w:style w:type="paragraph" w:customStyle="1" w:styleId="affffffffffb">
    <w:name w:val="宁扬"/>
    <w:basedOn w:val="a"/>
    <w:link w:val="Charff8"/>
    <w:qFormat/>
    <w:pPr>
      <w:spacing w:line="500" w:lineRule="exact"/>
      <w:ind w:firstLineChars="200" w:firstLine="200"/>
    </w:pPr>
    <w:rPr>
      <w:rFonts w:ascii="仿宋_GB2312" w:eastAsia="仿宋_GB2312"/>
      <w:sz w:val="28"/>
    </w:rPr>
  </w:style>
  <w:style w:type="paragraph" w:customStyle="1" w:styleId="112">
    <w:name w:val="样式11"/>
    <w:basedOn w:val="afd"/>
    <w:qFormat/>
    <w:pPr>
      <w:adjustRightInd w:val="0"/>
      <w:snapToGrid w:val="0"/>
      <w:ind w:firstLine="480"/>
    </w:pPr>
    <w:rPr>
      <w:rFonts w:ascii="黑体" w:eastAsia="黑体"/>
      <w:b/>
      <w:sz w:val="32"/>
    </w:rPr>
  </w:style>
  <w:style w:type="paragraph" w:customStyle="1" w:styleId="font12">
    <w:name w:val="font12"/>
    <w:basedOn w:val="a"/>
    <w:qFormat/>
    <w:pPr>
      <w:widowControl/>
      <w:spacing w:before="100" w:beforeAutospacing="1" w:after="100" w:afterAutospacing="1"/>
      <w:jc w:val="left"/>
    </w:pPr>
    <w:rPr>
      <w:rFonts w:hint="eastAsia"/>
      <w:color w:val="0000FF"/>
      <w:kern w:val="0"/>
      <w:szCs w:val="24"/>
    </w:rPr>
  </w:style>
  <w:style w:type="paragraph" w:customStyle="1" w:styleId="Char40">
    <w:name w:val="Char4"/>
    <w:basedOn w:val="a"/>
    <w:qFormat/>
    <w:pPr>
      <w:spacing w:line="360" w:lineRule="auto"/>
      <w:ind w:firstLineChars="200" w:firstLine="200"/>
    </w:pPr>
  </w:style>
  <w:style w:type="paragraph" w:customStyle="1" w:styleId="affffffffffc">
    <w:name w:val="表格式"/>
    <w:basedOn w:val="ac"/>
    <w:qFormat/>
    <w:pPr>
      <w:spacing w:line="480" w:lineRule="exact"/>
      <w:ind w:left="0" w:firstLineChars="0" w:firstLine="0"/>
      <w:jc w:val="center"/>
      <w:textAlignment w:val="center"/>
    </w:pPr>
    <w:rPr>
      <w:sz w:val="21"/>
    </w:rPr>
  </w:style>
  <w:style w:type="paragraph" w:customStyle="1" w:styleId="402505">
    <w:name w:val="样式 样式 标题4 + 段前: 0.25 行 行距: 单倍行距 + 段前: 0.5 行"/>
    <w:basedOn w:val="4025"/>
    <w:qFormat/>
    <w:pPr>
      <w:tabs>
        <w:tab w:val="clear" w:pos="1157"/>
        <w:tab w:val="clear" w:pos="3450"/>
        <w:tab w:val="left" w:pos="2315"/>
      </w:tabs>
      <w:spacing w:beforeLines="0" w:before="165"/>
      <w:ind w:left="1405"/>
    </w:pPr>
    <w:rPr>
      <w:spacing w:val="0"/>
    </w:rPr>
  </w:style>
  <w:style w:type="paragraph" w:customStyle="1" w:styleId="Char110">
    <w:name w:val="Char11"/>
    <w:basedOn w:val="a"/>
    <w:next w:val="a"/>
    <w:qFormat/>
    <w:pPr>
      <w:spacing w:line="529" w:lineRule="exact"/>
      <w:ind w:firstLineChars="200" w:firstLine="200"/>
    </w:pPr>
    <w:rPr>
      <w:rFonts w:cs="宋体"/>
      <w:szCs w:val="24"/>
    </w:rPr>
  </w:style>
  <w:style w:type="paragraph" w:customStyle="1" w:styleId="xl71">
    <w:name w:val="xl71"/>
    <w:basedOn w:val="a"/>
    <w:qFormat/>
    <w:pPr>
      <w:widowControl/>
      <w:pBdr>
        <w:right w:val="single" w:sz="8" w:space="0" w:color="auto"/>
      </w:pBdr>
      <w:spacing w:before="100" w:beforeAutospacing="1" w:after="100" w:afterAutospacing="1"/>
    </w:pPr>
    <w:rPr>
      <w:rFonts w:cs="宋体"/>
      <w:kern w:val="0"/>
      <w:szCs w:val="24"/>
    </w:rPr>
  </w:style>
  <w:style w:type="paragraph" w:customStyle="1" w:styleId="hb40850505">
    <w:name w:val="样式 hb4 + 首行缩进:  0.85 厘米 段前: 0.5 行 段后: 0.5 行"/>
    <w:basedOn w:val="hb4"/>
    <w:qFormat/>
    <w:pPr>
      <w:topLinePunct/>
      <w:spacing w:beforeLines="100" w:before="312" w:afterLines="100" w:after="312" w:line="300" w:lineRule="exact"/>
    </w:pPr>
    <w:rPr>
      <w:snapToGrid w:val="0"/>
      <w:kern w:val="0"/>
    </w:rPr>
  </w:style>
  <w:style w:type="paragraph" w:customStyle="1" w:styleId="Char2CharCharChar1CharCharChar">
    <w:name w:val="Char2 Char Char Char1 Char Char Char"/>
    <w:basedOn w:val="a"/>
    <w:qFormat/>
    <w:pPr>
      <w:spacing w:line="360" w:lineRule="auto"/>
      <w:ind w:firstLineChars="200" w:firstLine="200"/>
    </w:pPr>
    <w:rPr>
      <w:rFonts w:cs="宋体"/>
      <w:szCs w:val="24"/>
    </w:rPr>
  </w:style>
  <w:style w:type="paragraph" w:customStyle="1" w:styleId="hb400">
    <w:name w:val="样式 hb4 + 首行缩进:  0 厘米"/>
    <w:basedOn w:val="hb4"/>
    <w:qFormat/>
    <w:pPr>
      <w:spacing w:beforeLines="100" w:before="312" w:afterLines="100" w:after="312" w:line="529" w:lineRule="exact"/>
    </w:pPr>
    <w:rPr>
      <w:rFonts w:ascii="Times New Roman" w:hAnsi="Times New Roman"/>
    </w:rPr>
  </w:style>
  <w:style w:type="paragraph" w:customStyle="1" w:styleId="Char1CharCharChar3">
    <w:name w:val="Char1 Char Char Char3"/>
    <w:basedOn w:val="a"/>
    <w:qFormat/>
    <w:rPr>
      <w:rFonts w:ascii="Times New Roman" w:hAnsi="Times New Roman"/>
      <w:sz w:val="21"/>
      <w:szCs w:val="24"/>
    </w:rPr>
  </w:style>
  <w:style w:type="paragraph" w:customStyle="1" w:styleId="affffffffffd">
    <w:name w:val="规划正文"/>
    <w:basedOn w:val="a"/>
    <w:qFormat/>
    <w:pPr>
      <w:spacing w:line="460" w:lineRule="exact"/>
    </w:pPr>
    <w:rPr>
      <w:rFonts w:ascii="Times New Roman" w:hAnsi="Times New Roman"/>
      <w:sz w:val="21"/>
      <w:szCs w:val="24"/>
    </w:rPr>
  </w:style>
  <w:style w:type="paragraph" w:customStyle="1" w:styleId="affffffffffe">
    <w:name w:val="文字"/>
    <w:basedOn w:val="a"/>
    <w:qFormat/>
    <w:pPr>
      <w:autoSpaceDE w:val="0"/>
      <w:autoSpaceDN w:val="0"/>
      <w:spacing w:line="500" w:lineRule="atLeast"/>
      <w:ind w:firstLineChars="200" w:firstLine="560"/>
    </w:pPr>
    <w:rPr>
      <w:sz w:val="28"/>
    </w:rPr>
  </w:style>
  <w:style w:type="paragraph" w:customStyle="1" w:styleId="xl47">
    <w:name w:val="xl4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02">
    <w:name w:val="02"/>
    <w:basedOn w:val="a"/>
    <w:qFormat/>
    <w:pPr>
      <w:keepNext/>
      <w:keepLines/>
      <w:spacing w:before="100" w:line="360" w:lineRule="auto"/>
      <w:outlineLvl w:val="0"/>
    </w:pPr>
    <w:rPr>
      <w:rFonts w:ascii="Times New Roman" w:eastAsia="黑体" w:hAnsi="Times New Roman"/>
      <w:color w:val="333333"/>
    </w:rPr>
  </w:style>
  <w:style w:type="paragraph" w:customStyle="1" w:styleId="113">
    <w:name w:val="文档结构图11"/>
    <w:basedOn w:val="a"/>
    <w:qFormat/>
    <w:pPr>
      <w:shd w:val="clear" w:color="auto" w:fill="000080"/>
      <w:tabs>
        <w:tab w:val="left" w:pos="480"/>
        <w:tab w:val="left" w:pos="1680"/>
        <w:tab w:val="left" w:pos="3960"/>
        <w:tab w:val="left" w:pos="5400"/>
        <w:tab w:val="left" w:pos="6840"/>
      </w:tabs>
      <w:adjustRightInd w:val="0"/>
      <w:spacing w:line="240" w:lineRule="atLeast"/>
      <w:ind w:firstLine="482"/>
      <w:textAlignment w:val="baseline"/>
    </w:pPr>
    <w:rPr>
      <w:rFonts w:eastAsia="创艺简楷体"/>
      <w:kern w:val="0"/>
      <w:sz w:val="28"/>
    </w:rPr>
  </w:style>
  <w:style w:type="paragraph" w:customStyle="1" w:styleId="gchh">
    <w:name w:val="gchh"/>
    <w:qFormat/>
    <w:pPr>
      <w:jc w:val="both"/>
    </w:pPr>
    <w:rPr>
      <w:rFonts w:ascii="宋体" w:hAnsi="宋体"/>
      <w:b/>
      <w:sz w:val="28"/>
    </w:rPr>
  </w:style>
  <w:style w:type="paragraph" w:customStyle="1" w:styleId="tll">
    <w:name w:val="tll"/>
    <w:basedOn w:val="a"/>
    <w:qFormat/>
    <w:pPr>
      <w:autoSpaceDE w:val="0"/>
      <w:autoSpaceDN w:val="0"/>
      <w:adjustRightInd w:val="0"/>
      <w:snapToGrid w:val="0"/>
    </w:pPr>
    <w:rPr>
      <w:rFonts w:ascii="仿宋_GB2312" w:eastAsia="仿宋_GB2312" w:hAnsi="Arial" w:hint="eastAsia"/>
      <w:kern w:val="0"/>
      <w:sz w:val="21"/>
      <w:szCs w:val="21"/>
    </w:rPr>
  </w:style>
  <w:style w:type="paragraph" w:customStyle="1" w:styleId="afffffffffff">
    <w:name w:val="图注及表头"/>
    <w:basedOn w:val="a"/>
    <w:qFormat/>
    <w:pPr>
      <w:jc w:val="center"/>
    </w:pPr>
    <w:rPr>
      <w:rFonts w:ascii="Times New Roman" w:eastAsia="黑体" w:hAnsi="Times New Roman"/>
    </w:rPr>
  </w:style>
  <w:style w:type="paragraph" w:customStyle="1" w:styleId="hb20002645">
    <w:name w:val="样式 hb2 + 左侧:  0 厘米 段前: 0 磅 段后: 0 磅 行距: 固定值 26.45 磅"/>
    <w:basedOn w:val="2"/>
    <w:qFormat/>
    <w:pPr>
      <w:widowControl/>
      <w:adjustRightInd w:val="0"/>
      <w:spacing w:before="0" w:after="0" w:line="529" w:lineRule="exact"/>
      <w:ind w:firstLineChars="200" w:firstLine="200"/>
      <w:textAlignment w:val="baseline"/>
    </w:pPr>
    <w:rPr>
      <w:rFonts w:ascii="Times New Roman" w:eastAsia="宋体" w:hAnsi="Times New Roman"/>
      <w:kern w:val="0"/>
      <w:sz w:val="28"/>
    </w:rPr>
  </w:style>
  <w:style w:type="paragraph" w:customStyle="1" w:styleId="xl39">
    <w:name w:val="xl39"/>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2ff1">
    <w:name w:val="目录2"/>
    <w:basedOn w:val="a"/>
    <w:next w:val="a"/>
    <w:qFormat/>
    <w:pPr>
      <w:widowControl/>
      <w:tabs>
        <w:tab w:val="left" w:leader="dot" w:pos="8503"/>
      </w:tabs>
      <w:spacing w:line="317" w:lineRule="atLeast"/>
      <w:ind w:left="419" w:firstLine="419"/>
      <w:textAlignment w:val="baseline"/>
    </w:pPr>
    <w:rPr>
      <w:color w:val="000000"/>
      <w:kern w:val="0"/>
      <w:sz w:val="21"/>
      <w:u w:color="000000"/>
    </w:rPr>
  </w:style>
  <w:style w:type="paragraph" w:customStyle="1" w:styleId="afffffffffff0">
    <w:name w:val="文本"/>
    <w:basedOn w:val="a"/>
    <w:qFormat/>
    <w:pPr>
      <w:adjustRightInd w:val="0"/>
      <w:snapToGrid w:val="0"/>
      <w:spacing w:line="500" w:lineRule="exact"/>
      <w:ind w:firstLineChars="200" w:firstLine="560"/>
    </w:pPr>
    <w:rPr>
      <w:rFonts w:eastAsia="汉鼎简书宋"/>
      <w:sz w:val="28"/>
    </w:rPr>
  </w:style>
  <w:style w:type="paragraph" w:customStyle="1" w:styleId="xl36">
    <w:name w:val="xl3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xl68">
    <w:name w:val="xl68"/>
    <w:basedOn w:val="a"/>
    <w:qFormat/>
    <w:pPr>
      <w:widowControl/>
      <w:pBdr>
        <w:left w:val="single" w:sz="8" w:space="0" w:color="auto"/>
        <w:bottom w:val="single" w:sz="8" w:space="0" w:color="auto"/>
        <w:right w:val="single" w:sz="8" w:space="0" w:color="auto"/>
      </w:pBdr>
      <w:spacing w:before="100" w:beforeAutospacing="1" w:after="100" w:afterAutospacing="1"/>
      <w:jc w:val="center"/>
    </w:pPr>
    <w:rPr>
      <w:rFonts w:cs="宋体"/>
      <w:kern w:val="0"/>
      <w:szCs w:val="24"/>
    </w:rPr>
  </w:style>
  <w:style w:type="paragraph" w:customStyle="1" w:styleId="140">
    <w:name w:val="样式14"/>
    <w:basedOn w:val="a"/>
    <w:qFormat/>
  </w:style>
  <w:style w:type="paragraph" w:customStyle="1" w:styleId="4TimesNewRoman">
    <w:name w:val="样式 标题 4 + Times New Roman 自动设置"/>
    <w:basedOn w:val="40"/>
    <w:qFormat/>
    <w:pPr>
      <w:keepNext w:val="0"/>
      <w:keepLines w:val="0"/>
      <w:tabs>
        <w:tab w:val="left" w:pos="864"/>
      </w:tabs>
      <w:spacing w:beforeLines="50" w:before="156" w:after="0" w:line="360" w:lineRule="auto"/>
      <w:ind w:left="864" w:hanging="864"/>
    </w:pPr>
    <w:rPr>
      <w:rFonts w:ascii="黑体" w:hAnsi="Times New Roman"/>
      <w:b w:val="0"/>
      <w:bCs/>
      <w:sz w:val="24"/>
      <w:szCs w:val="24"/>
    </w:rPr>
  </w:style>
  <w:style w:type="paragraph" w:customStyle="1" w:styleId="afffffffffff1">
    <w:name w:val="段落"/>
    <w:basedOn w:val="a"/>
    <w:qFormat/>
    <w:pPr>
      <w:ind w:firstLineChars="200" w:firstLine="560"/>
    </w:pPr>
    <w:rPr>
      <w:rFonts w:ascii="Times New Roman" w:hAnsi="Times New Roman"/>
      <w:sz w:val="28"/>
      <w:szCs w:val="24"/>
    </w:rPr>
  </w:style>
  <w:style w:type="paragraph" w:customStyle="1" w:styleId="048">
    <w:name w:val="样式 居中 首行缩进:  0.48 厘米"/>
    <w:basedOn w:val="afffff7"/>
    <w:qFormat/>
    <w:pPr>
      <w:ind w:firstLine="272"/>
    </w:pPr>
  </w:style>
  <w:style w:type="paragraph" w:customStyle="1" w:styleId="afffffffffff2">
    <w:name w:val="正文居中"/>
    <w:basedOn w:val="afff9"/>
    <w:qFormat/>
    <w:pPr>
      <w:adjustRightInd w:val="0"/>
      <w:snapToGrid w:val="0"/>
      <w:spacing w:after="0" w:line="312" w:lineRule="auto"/>
      <w:ind w:firstLineChars="0" w:firstLine="0"/>
      <w:textAlignment w:val="baseline"/>
    </w:pPr>
    <w:rPr>
      <w:rFonts w:ascii="Arial" w:eastAsia="黑体" w:hAnsi="Arial"/>
      <w:spacing w:val="6"/>
      <w:kern w:val="0"/>
      <w:sz w:val="28"/>
      <w:u w:val="double"/>
      <w:lang w:val="zh-CN"/>
    </w:rPr>
  </w:style>
  <w:style w:type="paragraph" w:customStyle="1" w:styleId="afffffffffff3">
    <w:name w:val="图的标题"/>
    <w:basedOn w:val="a"/>
    <w:qFormat/>
    <w:pPr>
      <w:jc w:val="center"/>
    </w:pPr>
    <w:rPr>
      <w:rFonts w:ascii="Times New Roman" w:eastAsia="仿宋_GB2312" w:hAnsi="Times New Roman"/>
      <w:sz w:val="18"/>
      <w:szCs w:val="24"/>
    </w:rPr>
  </w:style>
  <w:style w:type="paragraph" w:customStyle="1" w:styleId="xl91">
    <w:name w:val="xl91"/>
    <w:basedOn w:val="a"/>
    <w:qFormat/>
    <w:pPr>
      <w:widowControl/>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kern w:val="0"/>
      <w:szCs w:val="24"/>
    </w:rPr>
  </w:style>
  <w:style w:type="paragraph" w:customStyle="1" w:styleId="4f0">
    <w:name w:val="样式 表文字 + 左  4 字符"/>
    <w:basedOn w:val="afffff7"/>
    <w:qFormat/>
  </w:style>
  <w:style w:type="paragraph" w:styleId="afffffffffff4">
    <w:name w:val="No Spacing"/>
    <w:link w:val="afffffffffff5"/>
    <w:qFormat/>
    <w:rPr>
      <w:rFonts w:ascii="Calibri" w:hAnsi="Calibri"/>
      <w:sz w:val="22"/>
      <w:lang w:eastAsia="en-US"/>
    </w:rPr>
  </w:style>
  <w:style w:type="paragraph" w:customStyle="1" w:styleId="afffffffffff6">
    <w:name w:val="文章总标题"/>
    <w:basedOn w:val="a"/>
    <w:next w:val="afffffffff1"/>
    <w:qFormat/>
    <w:pPr>
      <w:widowControl/>
      <w:spacing w:before="566" w:after="544" w:line="566" w:lineRule="atLeast"/>
      <w:jc w:val="center"/>
      <w:textAlignment w:val="baseline"/>
    </w:pPr>
    <w:rPr>
      <w:rFonts w:ascii="Arial" w:eastAsia="黑体"/>
      <w:color w:val="000000"/>
      <w:kern w:val="0"/>
      <w:sz w:val="54"/>
      <w:u w:color="000000"/>
    </w:rPr>
  </w:style>
  <w:style w:type="paragraph" w:customStyle="1" w:styleId="1fe">
    <w:name w:val="修订1"/>
    <w:uiPriority w:val="99"/>
    <w:qFormat/>
    <w:rPr>
      <w:rFonts w:ascii="Calibri" w:eastAsia="仿宋_GB2312" w:hAnsi="Calibri"/>
      <w:kern w:val="2"/>
      <w:sz w:val="28"/>
      <w:szCs w:val="22"/>
    </w:rPr>
  </w:style>
  <w:style w:type="paragraph" w:customStyle="1" w:styleId="afffffffffff7">
    <w:name w:val="正文新"/>
    <w:basedOn w:val="a9"/>
    <w:qFormat/>
    <w:pPr>
      <w:topLinePunct/>
      <w:adjustRightInd/>
      <w:snapToGrid/>
      <w:spacing w:line="500" w:lineRule="exact"/>
      <w:ind w:firstLine="420"/>
    </w:pPr>
    <w:rPr>
      <w:rFonts w:eastAsia="汉鼎简书宋"/>
      <w:sz w:val="24"/>
    </w:rPr>
  </w:style>
  <w:style w:type="paragraph" w:customStyle="1" w:styleId="1ff">
    <w:name w:val="目录1"/>
    <w:basedOn w:val="a"/>
    <w:next w:val="a"/>
    <w:qFormat/>
    <w:pPr>
      <w:widowControl/>
      <w:tabs>
        <w:tab w:val="left" w:leader="dot" w:pos="8503"/>
      </w:tabs>
      <w:spacing w:after="102" w:line="215" w:lineRule="atLeast"/>
      <w:ind w:firstLine="419"/>
      <w:jc w:val="left"/>
      <w:textAlignment w:val="baseline"/>
    </w:pPr>
    <w:rPr>
      <w:color w:val="000000"/>
      <w:kern w:val="0"/>
      <w:sz w:val="21"/>
      <w:u w:color="000000"/>
    </w:rPr>
  </w:style>
  <w:style w:type="paragraph" w:customStyle="1" w:styleId="xl32">
    <w:name w:val="xl32"/>
    <w:basedOn w:val="a"/>
    <w:qFormat/>
    <w:pPr>
      <w:widowControl/>
      <w:pBdr>
        <w:top w:val="single" w:sz="8" w:space="0" w:color="auto"/>
        <w:left w:val="single" w:sz="4" w:space="0" w:color="auto"/>
        <w:bottom w:val="single" w:sz="4" w:space="0" w:color="auto"/>
        <w:right w:val="single" w:sz="4" w:space="0" w:color="auto"/>
      </w:pBdr>
      <w:spacing w:before="100" w:beforeAutospacing="1" w:after="100" w:afterAutospacing="1" w:line="529" w:lineRule="exact"/>
      <w:ind w:firstLineChars="200" w:firstLine="200"/>
      <w:textAlignment w:val="center"/>
    </w:pPr>
    <w:rPr>
      <w:rFonts w:eastAsia="汉鼎简书宋"/>
      <w:b/>
      <w:kern w:val="0"/>
      <w:sz w:val="20"/>
    </w:rPr>
  </w:style>
  <w:style w:type="paragraph" w:customStyle="1" w:styleId="TOC10">
    <w:name w:val="TOC 标题1"/>
    <w:basedOn w:val="1"/>
    <w:next w:val="a"/>
    <w:uiPriority w:val="39"/>
    <w:qFormat/>
    <w:pPr>
      <w:topLinePunct/>
      <w:spacing w:before="480" w:after="0" w:line="529" w:lineRule="exact"/>
      <w:ind w:firstLineChars="200" w:firstLine="200"/>
      <w:outlineLvl w:val="9"/>
    </w:pPr>
    <w:rPr>
      <w:rFonts w:ascii="Cambria" w:hAnsi="Cambria"/>
      <w:color w:val="365F91"/>
      <w:kern w:val="2"/>
      <w:sz w:val="28"/>
    </w:rPr>
  </w:style>
  <w:style w:type="paragraph" w:customStyle="1" w:styleId="xl74">
    <w:name w:val="xl74"/>
    <w:basedOn w:val="a"/>
    <w:qFormat/>
    <w:pPr>
      <w:widowControl/>
      <w:pBdr>
        <w:bottom w:val="single" w:sz="8" w:space="0" w:color="auto"/>
        <w:right w:val="single" w:sz="8" w:space="0" w:color="auto"/>
      </w:pBdr>
      <w:spacing w:before="100" w:beforeAutospacing="1" w:after="100" w:afterAutospacing="1"/>
      <w:jc w:val="center"/>
    </w:pPr>
    <w:rPr>
      <w:rFonts w:cs="宋体"/>
      <w:kern w:val="0"/>
      <w:szCs w:val="24"/>
    </w:rPr>
  </w:style>
  <w:style w:type="paragraph" w:customStyle="1" w:styleId="3051">
    <w:name w:val="样式 样式 标题 3 + 段前: 0.5 行 + 段前: 1 行 行距: 单倍行距"/>
    <w:basedOn w:val="305"/>
    <w:qFormat/>
    <w:pPr>
      <w:spacing w:beforeLines="0" w:before="100"/>
    </w:pPr>
  </w:style>
  <w:style w:type="character" w:customStyle="1" w:styleId="2b">
    <w:name w:val="正文文本首行缩进 2 字符"/>
    <w:link w:val="2a"/>
    <w:qFormat/>
    <w:rPr>
      <w:rFonts w:ascii="宋体" w:eastAsia="宋体" w:hAnsi="宋体" w:cs="Times New Roman"/>
      <w:kern w:val="2"/>
      <w:sz w:val="24"/>
      <w:szCs w:val="20"/>
    </w:rPr>
  </w:style>
  <w:style w:type="character" w:customStyle="1" w:styleId="Char24">
    <w:name w:val="正文文本缩进 Char2"/>
    <w:qFormat/>
    <w:rPr>
      <w:rFonts w:ascii="宋体" w:eastAsia="宋体" w:hAnsi="宋体" w:cs="Times New Roman"/>
      <w:sz w:val="24"/>
      <w:szCs w:val="20"/>
    </w:rPr>
  </w:style>
  <w:style w:type="paragraph" w:customStyle="1" w:styleId="3f9">
    <w:name w:val="样式3"/>
    <w:basedOn w:val="2fb"/>
    <w:qFormat/>
  </w:style>
  <w:style w:type="paragraph" w:customStyle="1" w:styleId="afffffffffff8">
    <w:name w:val="样式 表文字 + 宋体"/>
    <w:basedOn w:val="afffff7"/>
    <w:next w:val="afffff7"/>
    <w:qFormat/>
    <w:pPr>
      <w:jc w:val="center"/>
    </w:pPr>
    <w:rPr>
      <w:rFonts w:cs="宋体"/>
      <w:kern w:val="0"/>
    </w:rPr>
  </w:style>
  <w:style w:type="paragraph" w:customStyle="1" w:styleId="xl70">
    <w:name w:val="xl70"/>
    <w:basedOn w:val="a"/>
    <w:qFormat/>
    <w:pPr>
      <w:widowControl/>
      <w:pBdr>
        <w:bottom w:val="single" w:sz="8" w:space="0" w:color="auto"/>
        <w:right w:val="single" w:sz="8" w:space="0" w:color="auto"/>
      </w:pBdr>
      <w:spacing w:before="100" w:beforeAutospacing="1" w:after="100" w:afterAutospacing="1"/>
      <w:jc w:val="center"/>
    </w:pPr>
    <w:rPr>
      <w:rFonts w:ascii="Times New Roman" w:hAnsi="Times New Roman"/>
      <w:kern w:val="0"/>
      <w:szCs w:val="24"/>
    </w:rPr>
  </w:style>
  <w:style w:type="paragraph" w:customStyle="1" w:styleId="afffffffffff9">
    <w:name w:val="样式 表文字 +"/>
    <w:basedOn w:val="afffff7"/>
    <w:next w:val="afffff7"/>
    <w:qFormat/>
  </w:style>
  <w:style w:type="paragraph" w:customStyle="1" w:styleId="xl37">
    <w:name w:val="xl3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151">
    <w:name w:val="样式 居中 行距: 1.5 倍行距"/>
    <w:basedOn w:val="a"/>
    <w:qFormat/>
    <w:pPr>
      <w:spacing w:line="360" w:lineRule="auto"/>
    </w:pPr>
    <w:rPr>
      <w:rFonts w:eastAsia="黑体"/>
    </w:rPr>
  </w:style>
  <w:style w:type="paragraph" w:customStyle="1" w:styleId="xl69">
    <w:name w:val="xl69"/>
    <w:basedOn w:val="a"/>
    <w:qFormat/>
    <w:pPr>
      <w:widowControl/>
      <w:pBdr>
        <w:right w:val="single" w:sz="8" w:space="0" w:color="auto"/>
      </w:pBdr>
      <w:spacing w:before="100" w:beforeAutospacing="1" w:after="100" w:afterAutospacing="1"/>
      <w:jc w:val="center"/>
    </w:pPr>
    <w:rPr>
      <w:rFonts w:cs="宋体"/>
      <w:kern w:val="0"/>
      <w:szCs w:val="24"/>
    </w:rPr>
  </w:style>
  <w:style w:type="paragraph" w:customStyle="1" w:styleId="xl31">
    <w:name w:val="xl31"/>
    <w:basedOn w:val="a"/>
    <w:qFormat/>
    <w:pPr>
      <w:widowControl/>
      <w:pBdr>
        <w:bottom w:val="single" w:sz="4" w:space="0" w:color="auto"/>
        <w:right w:val="single" w:sz="4" w:space="0" w:color="auto"/>
      </w:pBdr>
      <w:spacing w:before="100" w:beforeAutospacing="1" w:after="100" w:afterAutospacing="1" w:line="529" w:lineRule="exact"/>
      <w:ind w:firstLineChars="200" w:firstLine="200"/>
      <w:textAlignment w:val="top"/>
    </w:pPr>
    <w:rPr>
      <w:rFonts w:ascii="Arial Unicode MS" w:eastAsia="Arial Unicode MS" w:hAnsi="Arial Unicode MS"/>
      <w:kern w:val="0"/>
    </w:rPr>
  </w:style>
  <w:style w:type="paragraph" w:customStyle="1" w:styleId="1825">
    <w:name w:val="样式 标题 1 + 段前: 8.25 磅"/>
    <w:basedOn w:val="1"/>
    <w:qFormat/>
    <w:pPr>
      <w:pageBreakBefore/>
      <w:autoSpaceDE w:val="0"/>
      <w:autoSpaceDN w:val="0"/>
      <w:adjustRightInd w:val="0"/>
      <w:spacing w:beforeLines="100" w:before="312" w:after="240" w:line="360" w:lineRule="auto"/>
      <w:ind w:left="567" w:hanging="567"/>
      <w:textAlignment w:val="baseline"/>
    </w:pPr>
    <w:rPr>
      <w:rFonts w:eastAsia="黑体"/>
      <w:b w:val="0"/>
      <w:snapToGrid w:val="0"/>
      <w:spacing w:val="10"/>
      <w:sz w:val="36"/>
    </w:rPr>
  </w:style>
  <w:style w:type="paragraph" w:customStyle="1" w:styleId="afffffffffffa">
    <w:name w:val="正文表标题"/>
    <w:next w:val="a"/>
    <w:qFormat/>
    <w:pPr>
      <w:spacing w:line="440" w:lineRule="exact"/>
      <w:jc w:val="center"/>
    </w:pPr>
    <w:rPr>
      <w:rFonts w:ascii="宋体"/>
      <w:bCs/>
      <w:sz w:val="24"/>
    </w:rPr>
  </w:style>
  <w:style w:type="paragraph" w:customStyle="1" w:styleId="3fa">
    <w:name w:val="目录3"/>
    <w:basedOn w:val="a"/>
    <w:next w:val="a"/>
    <w:qFormat/>
    <w:pPr>
      <w:widowControl/>
      <w:tabs>
        <w:tab w:val="left" w:leader="dot" w:pos="8503"/>
      </w:tabs>
      <w:spacing w:line="317" w:lineRule="atLeast"/>
      <w:ind w:firstLine="419"/>
      <w:textAlignment w:val="baseline"/>
    </w:pPr>
    <w:rPr>
      <w:color w:val="000000"/>
      <w:kern w:val="0"/>
      <w:u w:color="000000"/>
    </w:rPr>
  </w:style>
  <w:style w:type="paragraph" w:customStyle="1" w:styleId="xl42">
    <w:name w:val="xl4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afffffffffffb">
    <w:name w:val="目录标题"/>
    <w:basedOn w:val="a"/>
    <w:next w:val="a"/>
    <w:qFormat/>
    <w:pPr>
      <w:widowControl/>
      <w:spacing w:before="215" w:after="419" w:line="436" w:lineRule="atLeast"/>
      <w:ind w:firstLine="419"/>
      <w:jc w:val="center"/>
      <w:textAlignment w:val="baseline"/>
    </w:pPr>
    <w:rPr>
      <w:rFonts w:ascii="Arial" w:eastAsia="黑体"/>
      <w:color w:val="000000"/>
      <w:spacing w:val="283"/>
      <w:kern w:val="0"/>
      <w:sz w:val="42"/>
      <w:u w:color="000000"/>
    </w:rPr>
  </w:style>
  <w:style w:type="paragraph" w:customStyle="1" w:styleId="211">
    <w:name w:val="正文文本 21"/>
    <w:basedOn w:val="a"/>
    <w:qFormat/>
    <w:pPr>
      <w:adjustRightInd w:val="0"/>
      <w:spacing w:line="480" w:lineRule="exact"/>
      <w:ind w:firstLine="480"/>
      <w:textAlignment w:val="baseline"/>
    </w:pPr>
    <w:rPr>
      <w:rFonts w:ascii="仿宋_GB2312" w:eastAsia="仿宋_GB2312" w:hAnsi="Times New Roman"/>
    </w:rPr>
  </w:style>
  <w:style w:type="paragraph" w:customStyle="1" w:styleId="120">
    <w:name w:val="样式 样式 标题 1 + 首行缩进:  2 字符 + 首行缩进:  0 字符"/>
    <w:basedOn w:val="a"/>
    <w:qFormat/>
    <w:pPr>
      <w:keepNext/>
      <w:keepLines/>
      <w:spacing w:before="340" w:after="330" w:line="576" w:lineRule="auto"/>
      <w:outlineLvl w:val="0"/>
    </w:pPr>
    <w:rPr>
      <w:rFonts w:eastAsia="楷体_GB2312"/>
      <w:b/>
      <w:kern w:val="44"/>
      <w:sz w:val="32"/>
    </w:rPr>
  </w:style>
  <w:style w:type="paragraph" w:customStyle="1" w:styleId="xl48">
    <w:name w:val="xl4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hb1113">
    <w:name w:val="样式 hb1 + 首行缩进:  1.13 厘米"/>
    <w:basedOn w:val="a"/>
    <w:qFormat/>
    <w:pPr>
      <w:keepNext/>
      <w:keepLines/>
      <w:pageBreakBefore/>
      <w:widowControl/>
      <w:adjustRightInd w:val="0"/>
      <w:spacing w:before="240" w:after="600" w:line="578" w:lineRule="atLeast"/>
      <w:textAlignment w:val="baseline"/>
      <w:outlineLvl w:val="0"/>
    </w:pPr>
    <w:rPr>
      <w:b/>
      <w:kern w:val="44"/>
      <w:sz w:val="32"/>
    </w:rPr>
  </w:style>
  <w:style w:type="paragraph" w:customStyle="1" w:styleId="2ff2">
    <w:name w:val="正文文本缩进2"/>
    <w:basedOn w:val="a"/>
    <w:qFormat/>
    <w:pPr>
      <w:spacing w:after="120"/>
      <w:ind w:leftChars="200" w:left="420"/>
    </w:pPr>
    <w:rPr>
      <w:rFonts w:ascii="Times New Roman" w:eastAsia="Times New Roman" w:hAnsi="Times New Roman"/>
      <w:kern w:val="0"/>
      <w:szCs w:val="24"/>
    </w:rPr>
  </w:style>
  <w:style w:type="paragraph" w:customStyle="1" w:styleId="xl53">
    <w:name w:val="xl53"/>
    <w:basedOn w:val="a"/>
    <w:qFormat/>
    <w:pPr>
      <w:widowControl/>
      <w:pBdr>
        <w:top w:val="single" w:sz="4" w:space="0" w:color="auto"/>
        <w:left w:val="single" w:sz="4" w:space="0" w:color="auto"/>
        <w:bottom w:val="single" w:sz="8" w:space="0" w:color="auto"/>
        <w:right w:val="single" w:sz="8" w:space="0" w:color="auto"/>
      </w:pBdr>
      <w:spacing w:before="100" w:beforeAutospacing="1" w:after="100" w:afterAutospacing="1" w:line="529" w:lineRule="exact"/>
      <w:ind w:firstLineChars="200" w:firstLine="200"/>
      <w:textAlignment w:val="center"/>
    </w:pPr>
    <w:rPr>
      <w:rFonts w:eastAsia="汉鼎简书宋"/>
      <w:kern w:val="0"/>
      <w:sz w:val="20"/>
    </w:rPr>
  </w:style>
  <w:style w:type="paragraph" w:customStyle="1" w:styleId="xl46">
    <w:name w:val="xl4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529" w:lineRule="exact"/>
      <w:ind w:firstLineChars="200" w:firstLine="200"/>
    </w:pPr>
    <w:rPr>
      <w:rFonts w:eastAsia="汉鼎简书宋"/>
      <w:kern w:val="0"/>
      <w:sz w:val="20"/>
    </w:rPr>
  </w:style>
  <w:style w:type="paragraph" w:customStyle="1" w:styleId="title4">
    <w:name w:val="title4"/>
    <w:basedOn w:val="a"/>
    <w:qFormat/>
    <w:pPr>
      <w:spacing w:beforeLines="50" w:before="156" w:line="480" w:lineRule="atLeast"/>
    </w:pPr>
    <w:rPr>
      <w:rFonts w:ascii="Times New Roman" w:hAnsi="Times New Roman"/>
      <w:b/>
      <w:sz w:val="28"/>
      <w:szCs w:val="24"/>
    </w:rPr>
  </w:style>
  <w:style w:type="paragraph" w:customStyle="1" w:styleId="114">
    <w:name w:val="表格样式11"/>
    <w:basedOn w:val="a"/>
    <w:qFormat/>
    <w:pPr>
      <w:spacing w:line="360" w:lineRule="exact"/>
    </w:pPr>
  </w:style>
  <w:style w:type="paragraph" w:customStyle="1" w:styleId="afffffffffffc">
    <w:name w:val="表文字（小行距）"/>
    <w:basedOn w:val="a"/>
    <w:qFormat/>
    <w:pPr>
      <w:adjustRightInd w:val="0"/>
      <w:spacing w:line="240" w:lineRule="exact"/>
      <w:textAlignment w:val="baseline"/>
    </w:pPr>
    <w:rPr>
      <w:rFonts w:eastAsia="汉鼎简书宋"/>
      <w:kern w:val="0"/>
    </w:rPr>
  </w:style>
  <w:style w:type="paragraph" w:customStyle="1" w:styleId="Char41">
    <w:name w:val="Char41"/>
    <w:basedOn w:val="a"/>
    <w:qFormat/>
    <w:pPr>
      <w:spacing w:line="360" w:lineRule="auto"/>
      <w:ind w:firstLineChars="200" w:firstLine="200"/>
    </w:pPr>
    <w:rPr>
      <w:rFonts w:cs="宋体"/>
      <w:szCs w:val="24"/>
    </w:rPr>
  </w:style>
  <w:style w:type="paragraph" w:customStyle="1" w:styleId="font8">
    <w:name w:val="font8"/>
    <w:basedOn w:val="a"/>
    <w:qFormat/>
    <w:pPr>
      <w:widowControl/>
      <w:spacing w:before="100" w:beforeAutospacing="1" w:after="100" w:afterAutospacing="1"/>
    </w:pPr>
    <w:rPr>
      <w:rFonts w:eastAsia="Arial Unicode MS"/>
      <w:kern w:val="0"/>
      <w:sz w:val="28"/>
    </w:rPr>
  </w:style>
  <w:style w:type="paragraph" w:customStyle="1" w:styleId="CharCharCharCharCharCharCharChar">
    <w:name w:val="Char Char Char Char Char Char Char Char"/>
    <w:basedOn w:val="a"/>
    <w:qFormat/>
    <w:pPr>
      <w:widowControl/>
      <w:spacing w:after="160" w:line="240" w:lineRule="exact"/>
    </w:pPr>
    <w:rPr>
      <w:rFonts w:ascii="Verdana" w:hAnsi="Verdana"/>
      <w:kern w:val="0"/>
      <w:sz w:val="20"/>
      <w:lang w:eastAsia="en-US"/>
    </w:rPr>
  </w:style>
  <w:style w:type="paragraph" w:customStyle="1" w:styleId="ALTZ">
    <w:name w:val="ALT+Z"/>
    <w:basedOn w:val="a"/>
    <w:qFormat/>
    <w:pPr>
      <w:spacing w:line="500" w:lineRule="exact"/>
      <w:ind w:firstLineChars="200" w:firstLine="200"/>
    </w:pPr>
    <w:rPr>
      <w:rFonts w:ascii="Times New Roman" w:hAnsi="Times New Roman"/>
      <w:szCs w:val="24"/>
    </w:rPr>
  </w:style>
  <w:style w:type="paragraph" w:customStyle="1" w:styleId="2ff3">
    <w:name w:val="样式 表头 + 首行缩进:  2 字符"/>
    <w:basedOn w:val="affffff0"/>
    <w:qFormat/>
    <w:pPr>
      <w:topLinePunct w:val="0"/>
      <w:spacing w:before="240" w:after="240" w:line="400" w:lineRule="exact"/>
    </w:pPr>
    <w:rPr>
      <w:rFonts w:eastAsia="汉鼎简书宋"/>
      <w:kern w:val="32"/>
    </w:rPr>
  </w:style>
  <w:style w:type="paragraph" w:customStyle="1" w:styleId="pic-info">
    <w:name w:val="pic-info"/>
    <w:basedOn w:val="a"/>
    <w:qFormat/>
    <w:pPr>
      <w:widowControl/>
      <w:spacing w:before="100" w:beforeAutospacing="1" w:after="100" w:afterAutospacing="1"/>
      <w:jc w:val="left"/>
    </w:pPr>
    <w:rPr>
      <w:rFonts w:cs="宋体"/>
      <w:kern w:val="0"/>
      <w:szCs w:val="24"/>
    </w:rPr>
  </w:style>
  <w:style w:type="paragraph" w:customStyle="1" w:styleId="20125">
    <w:name w:val="样式 (西文) 宋体 首行缩进:  2 字符 加宽量  0.1 磅 行距: 固定值 25 磅"/>
    <w:basedOn w:val="a"/>
    <w:qFormat/>
    <w:pPr>
      <w:topLinePunct/>
      <w:spacing w:line="529" w:lineRule="exact"/>
      <w:ind w:firstLineChars="200" w:firstLine="488"/>
    </w:pPr>
    <w:rPr>
      <w:rFonts w:eastAsia="汉鼎简书宋"/>
      <w:spacing w:val="2"/>
    </w:rPr>
  </w:style>
  <w:style w:type="paragraph" w:customStyle="1" w:styleId="0420">
    <w:name w:val="样式 表号 + 首行缩进:  0.42 厘米"/>
    <w:basedOn w:val="affffd"/>
    <w:qFormat/>
    <w:pPr>
      <w:widowControl w:val="0"/>
      <w:snapToGrid/>
    </w:pPr>
    <w:rPr>
      <w:rFonts w:eastAsia="汉鼎简书宋"/>
      <w:kern w:val="2"/>
    </w:rPr>
  </w:style>
  <w:style w:type="paragraph" w:customStyle="1" w:styleId="Char120">
    <w:name w:val="Char12"/>
    <w:basedOn w:val="a"/>
    <w:qFormat/>
    <w:pPr>
      <w:spacing w:line="360" w:lineRule="auto"/>
      <w:ind w:firstLineChars="200" w:firstLine="200"/>
    </w:pPr>
  </w:style>
  <w:style w:type="paragraph" w:customStyle="1" w:styleId="5c">
    <w:name w:val="5"/>
    <w:basedOn w:val="a"/>
    <w:qFormat/>
    <w:pPr>
      <w:snapToGrid w:val="0"/>
      <w:spacing w:line="408" w:lineRule="auto"/>
      <w:ind w:left="-113" w:firstLine="510"/>
    </w:pPr>
    <w:rPr>
      <w:rFonts w:eastAsia="汉鼎简书宋"/>
    </w:rPr>
  </w:style>
  <w:style w:type="paragraph" w:customStyle="1" w:styleId="font11">
    <w:name w:val="font11"/>
    <w:basedOn w:val="a"/>
    <w:qFormat/>
    <w:pPr>
      <w:widowControl/>
      <w:spacing w:before="100" w:beforeAutospacing="1" w:after="100" w:afterAutospacing="1"/>
      <w:jc w:val="left"/>
    </w:pPr>
    <w:rPr>
      <w:rFonts w:ascii="Arial Narrow" w:hAnsi="Arial Narrow" w:cs="宋体"/>
      <w:kern w:val="0"/>
      <w:sz w:val="20"/>
    </w:rPr>
  </w:style>
  <w:style w:type="paragraph" w:customStyle="1" w:styleId="xl26">
    <w:name w:val="xl26"/>
    <w:basedOn w:val="a"/>
    <w:qFormat/>
    <w:pPr>
      <w:widowControl/>
      <w:pBdr>
        <w:left w:val="single" w:sz="12" w:space="0" w:color="auto"/>
      </w:pBdr>
      <w:spacing w:before="100" w:beforeAutospacing="1" w:after="100" w:afterAutospacing="1"/>
    </w:pPr>
    <w:rPr>
      <w:rFonts w:ascii="仿宋_GB2312" w:eastAsia="仿宋_GB2312" w:hAnsi="Arial Unicode MS" w:hint="eastAsia"/>
      <w:kern w:val="0"/>
    </w:rPr>
  </w:style>
  <w:style w:type="paragraph" w:customStyle="1" w:styleId="1ff0">
    <w:name w:val="评价样式1"/>
    <w:basedOn w:val="a"/>
    <w:next w:val="af7"/>
    <w:qFormat/>
    <w:pPr>
      <w:spacing w:line="460" w:lineRule="atLeast"/>
      <w:ind w:firstLineChars="200" w:firstLine="200"/>
    </w:pPr>
    <w:rPr>
      <w:rFonts w:ascii="Times" w:hAnsi="Times"/>
    </w:rPr>
  </w:style>
  <w:style w:type="paragraph" w:customStyle="1" w:styleId="afffffffffffd">
    <w:name w:val="标准"/>
    <w:basedOn w:val="a"/>
    <w:qFormat/>
    <w:pPr>
      <w:adjustRightInd w:val="0"/>
      <w:spacing w:line="360" w:lineRule="atLeast"/>
      <w:jc w:val="center"/>
      <w:textAlignment w:val="baseline"/>
    </w:pPr>
    <w:rPr>
      <w:rFonts w:hAnsi="Roman PS"/>
      <w:kern w:val="0"/>
    </w:rPr>
  </w:style>
  <w:style w:type="paragraph" w:customStyle="1" w:styleId="30511">
    <w:name w:val="样式 样式 样式 标题 3 + 段前: 0.5 行 + 段前: 1 行 行距: 单倍行距 + 段前: 1 行"/>
    <w:basedOn w:val="3051"/>
    <w:qFormat/>
    <w:pPr>
      <w:tabs>
        <w:tab w:val="clear" w:pos="1080"/>
        <w:tab w:val="left" w:pos="795"/>
      </w:tabs>
      <w:spacing w:before="330"/>
    </w:pPr>
  </w:style>
  <w:style w:type="paragraph" w:customStyle="1" w:styleId="CharCharc">
    <w:name w:val="正文文本格式 Char Char"/>
    <w:basedOn w:val="a"/>
    <w:qFormat/>
    <w:pPr>
      <w:snapToGrid w:val="0"/>
      <w:spacing w:line="360" w:lineRule="auto"/>
      <w:ind w:firstLineChars="200" w:firstLine="200"/>
    </w:pPr>
    <w:rPr>
      <w:spacing w:val="10"/>
    </w:rPr>
  </w:style>
  <w:style w:type="paragraph" w:customStyle="1" w:styleId="xl55">
    <w:name w:val="xl55"/>
    <w:basedOn w:val="a"/>
    <w:qFormat/>
    <w:pPr>
      <w:widowControl/>
      <w:spacing w:before="100" w:beforeAutospacing="1" w:after="100" w:afterAutospacing="1"/>
      <w:jc w:val="center"/>
    </w:pPr>
    <w:rPr>
      <w:rFonts w:ascii="Arial Unicode MS" w:eastAsia="Arial Unicode MS" w:hAnsi="Arial Unicode MS" w:cs="Arial Unicode MS"/>
      <w:color w:val="FF0000"/>
      <w:kern w:val="0"/>
      <w:szCs w:val="24"/>
    </w:rPr>
  </w:style>
  <w:style w:type="paragraph" w:customStyle="1" w:styleId="Char32">
    <w:name w:val="Char32"/>
    <w:basedOn w:val="a"/>
    <w:next w:val="a"/>
    <w:qFormat/>
    <w:pPr>
      <w:spacing w:line="360" w:lineRule="auto"/>
      <w:ind w:firstLineChars="200" w:firstLine="200"/>
    </w:pPr>
  </w:style>
  <w:style w:type="paragraph" w:customStyle="1" w:styleId="font10">
    <w:name w:val="font10"/>
    <w:basedOn w:val="a"/>
    <w:qFormat/>
    <w:pPr>
      <w:widowControl/>
      <w:spacing w:before="100" w:beforeAutospacing="1" w:after="100" w:afterAutospacing="1"/>
    </w:pPr>
    <w:rPr>
      <w:rFonts w:eastAsia="Arial Unicode MS"/>
      <w:kern w:val="0"/>
      <w:sz w:val="28"/>
    </w:rPr>
  </w:style>
  <w:style w:type="paragraph" w:customStyle="1" w:styleId="xl66">
    <w:name w:val="xl66"/>
    <w:basedOn w:val="a"/>
    <w:qFormat/>
    <w:pPr>
      <w:widowControl/>
      <w:pBdr>
        <w:top w:val="single" w:sz="8" w:space="0" w:color="auto"/>
        <w:bottom w:val="single" w:sz="8" w:space="0" w:color="auto"/>
        <w:right w:val="single" w:sz="8" w:space="0" w:color="auto"/>
      </w:pBdr>
      <w:spacing w:before="100" w:beforeAutospacing="1" w:after="100" w:afterAutospacing="1"/>
    </w:pPr>
    <w:rPr>
      <w:rFonts w:cs="宋体"/>
      <w:kern w:val="0"/>
      <w:szCs w:val="24"/>
    </w:rPr>
  </w:style>
  <w:style w:type="character" w:customStyle="1" w:styleId="CharChar101">
    <w:name w:val="Char Char101"/>
    <w:qFormat/>
    <w:rPr>
      <w:rFonts w:eastAsia="宋体"/>
      <w:kern w:val="2"/>
      <w:sz w:val="18"/>
      <w:szCs w:val="18"/>
      <w:lang w:val="en-US" w:eastAsia="zh-CN" w:bidi="ar-SA"/>
    </w:rPr>
  </w:style>
  <w:style w:type="character" w:customStyle="1" w:styleId="CharChar171">
    <w:name w:val="Char Char171"/>
    <w:qFormat/>
    <w:rPr>
      <w:rFonts w:ascii="Arial" w:eastAsia="黑体" w:hAnsi="Arial"/>
      <w:b/>
      <w:bCs/>
      <w:sz w:val="24"/>
      <w:szCs w:val="24"/>
      <w:lang w:val="en-US" w:eastAsia="zh-CN" w:bidi="ar-SA"/>
    </w:rPr>
  </w:style>
  <w:style w:type="character" w:customStyle="1" w:styleId="CharChar201">
    <w:name w:val="Char Char201"/>
    <w:qFormat/>
    <w:rPr>
      <w:rFonts w:eastAsia="宋体"/>
      <w:kern w:val="2"/>
      <w:sz w:val="24"/>
      <w:szCs w:val="24"/>
      <w:lang w:val="en-US" w:eastAsia="zh-CN" w:bidi="ar-SA"/>
    </w:rPr>
  </w:style>
  <w:style w:type="character" w:customStyle="1" w:styleId="CharChar71">
    <w:name w:val="Char Char71"/>
    <w:qFormat/>
    <w:rPr>
      <w:rFonts w:eastAsia="宋体"/>
      <w:kern w:val="2"/>
      <w:sz w:val="18"/>
      <w:szCs w:val="18"/>
      <w:lang w:val="en-US" w:eastAsia="zh-CN" w:bidi="ar-SA"/>
    </w:rPr>
  </w:style>
  <w:style w:type="character" w:customStyle="1" w:styleId="CharChar181">
    <w:name w:val="Char Char181"/>
    <w:qFormat/>
    <w:rPr>
      <w:rFonts w:eastAsia="宋体"/>
      <w:kern w:val="2"/>
      <w:sz w:val="21"/>
      <w:szCs w:val="24"/>
      <w:lang w:val="en-US" w:eastAsia="zh-CN" w:bidi="ar-SA"/>
    </w:rPr>
  </w:style>
  <w:style w:type="character" w:customStyle="1" w:styleId="CharChar91">
    <w:name w:val="Char Char91"/>
    <w:qFormat/>
    <w:rPr>
      <w:rFonts w:eastAsia="宋体"/>
      <w:sz w:val="24"/>
      <w:szCs w:val="24"/>
      <w:lang w:val="en-US" w:eastAsia="zh-CN" w:bidi="ar-SA"/>
    </w:rPr>
  </w:style>
  <w:style w:type="character" w:customStyle="1" w:styleId="CharChar191">
    <w:name w:val="Char Char191"/>
    <w:qFormat/>
    <w:rPr>
      <w:rFonts w:ascii="宋体" w:eastAsia="宋体"/>
      <w:kern w:val="2"/>
      <w:sz w:val="24"/>
      <w:lang w:val="en-US" w:eastAsia="zh-CN" w:bidi="ar-SA"/>
    </w:rPr>
  </w:style>
  <w:style w:type="character" w:customStyle="1" w:styleId="CharChar161">
    <w:name w:val="Char Char161"/>
    <w:qFormat/>
    <w:rPr>
      <w:rFonts w:eastAsia="汉鼎简书宋"/>
      <w:bCs/>
      <w:kern w:val="32"/>
      <w:sz w:val="24"/>
      <w:szCs w:val="24"/>
      <w:lang w:val="en-US" w:eastAsia="zh-CN" w:bidi="ar-SA"/>
    </w:rPr>
  </w:style>
  <w:style w:type="paragraph" w:customStyle="1" w:styleId="CharCharChar2CharCharCharChar1">
    <w:name w:val="Char Char Char2 Char Char Char Char1"/>
    <w:basedOn w:val="a"/>
    <w:qFormat/>
    <w:pPr>
      <w:spacing w:line="360" w:lineRule="auto"/>
      <w:ind w:firstLineChars="200" w:firstLine="200"/>
    </w:pPr>
    <w:rPr>
      <w:rFonts w:cs="宋体"/>
      <w:szCs w:val="24"/>
    </w:rPr>
  </w:style>
  <w:style w:type="paragraph" w:customStyle="1" w:styleId="3110">
    <w:name w:val="正文文本缩进 311"/>
    <w:basedOn w:val="a"/>
    <w:qFormat/>
    <w:pPr>
      <w:adjustRightInd w:val="0"/>
      <w:ind w:firstLine="560"/>
      <w:textAlignment w:val="baseline"/>
    </w:pPr>
    <w:rPr>
      <w:sz w:val="28"/>
    </w:rPr>
  </w:style>
  <w:style w:type="paragraph" w:customStyle="1" w:styleId="CharCharCharCharCharCharCharCharCharCharCharCharCharCharCharChar1">
    <w:name w:val="Char Char Char Char Char Char Char Char Char Char Char Char Char Char Char Char1"/>
    <w:basedOn w:val="a"/>
    <w:qFormat/>
    <w:rPr>
      <w:rFonts w:ascii="Times New Roman" w:hAnsi="Times New Roman"/>
      <w:sz w:val="21"/>
      <w:szCs w:val="21"/>
    </w:rPr>
  </w:style>
  <w:style w:type="paragraph" w:customStyle="1" w:styleId="313">
    <w:name w:val="纯文本31"/>
    <w:basedOn w:val="a"/>
    <w:qFormat/>
    <w:pPr>
      <w:adjustRightInd w:val="0"/>
    </w:pPr>
    <w:rPr>
      <w:rFonts w:hAnsi="Times New Roman" w:hint="eastAsia"/>
      <w:kern w:val="0"/>
      <w:sz w:val="21"/>
    </w:rPr>
  </w:style>
  <w:style w:type="paragraph" w:customStyle="1" w:styleId="CharCharCharCharCharCharChar1">
    <w:name w:val="Char Char Char Char Char Char Char1"/>
    <w:basedOn w:val="a"/>
    <w:qFormat/>
    <w:pPr>
      <w:spacing w:line="500" w:lineRule="exact"/>
    </w:pPr>
    <w:rPr>
      <w:rFonts w:ascii="Arial Narrow" w:eastAsia="汉鼎简书宋" w:hAnsi="Arial Narrow"/>
    </w:rPr>
  </w:style>
  <w:style w:type="paragraph" w:customStyle="1" w:styleId="212">
    <w:name w:val="日期21"/>
    <w:basedOn w:val="a"/>
    <w:next w:val="a"/>
    <w:qFormat/>
    <w:pPr>
      <w:adjustRightInd w:val="0"/>
      <w:spacing w:line="529" w:lineRule="exact"/>
      <w:ind w:firstLine="420"/>
    </w:pPr>
    <w:rPr>
      <w:rFonts w:eastAsia="汉鼎简书宋" w:hAnsi="Times New Roman"/>
      <w:b/>
      <w:snapToGrid w:val="0"/>
      <w:kern w:val="0"/>
      <w:sz w:val="28"/>
    </w:rPr>
  </w:style>
  <w:style w:type="paragraph" w:customStyle="1" w:styleId="CharCharChar1CharCharCharChar1">
    <w:name w:val="Char Char Char1 Char Char Char Char1"/>
    <w:basedOn w:val="a"/>
    <w:next w:val="a"/>
    <w:qFormat/>
    <w:pPr>
      <w:spacing w:line="336" w:lineRule="auto"/>
      <w:ind w:firstLineChars="200" w:firstLine="200"/>
    </w:pPr>
    <w:rPr>
      <w:rFonts w:eastAsia="汉鼎简书宋" w:cs="宋体"/>
      <w:szCs w:val="24"/>
    </w:rPr>
  </w:style>
  <w:style w:type="character" w:customStyle="1" w:styleId="Char19">
    <w:name w:val="引用 Char1"/>
    <w:qFormat/>
    <w:rPr>
      <w:rFonts w:ascii="宋体" w:eastAsia="宋体" w:hAnsi="宋体" w:cs="Times New Roman"/>
      <w:i/>
      <w:iCs/>
      <w:color w:val="000000"/>
      <w:sz w:val="24"/>
      <w:szCs w:val="20"/>
    </w:rPr>
  </w:style>
  <w:style w:type="character" w:customStyle="1" w:styleId="Char1a">
    <w:name w:val="明显引用 Char1"/>
    <w:qFormat/>
    <w:rPr>
      <w:rFonts w:ascii="宋体" w:eastAsia="宋体" w:hAnsi="宋体" w:cs="Times New Roman"/>
      <w:b/>
      <w:bCs/>
      <w:i/>
      <w:iCs/>
      <w:color w:val="4F81BD"/>
      <w:sz w:val="24"/>
      <w:szCs w:val="20"/>
    </w:rPr>
  </w:style>
  <w:style w:type="character" w:customStyle="1" w:styleId="Char1b">
    <w:name w:val="副标题 Char1"/>
    <w:qFormat/>
    <w:rPr>
      <w:rFonts w:ascii="Cambria" w:eastAsia="宋体" w:hAnsi="Cambria" w:cs="Times New Roman"/>
      <w:b/>
      <w:bCs/>
      <w:kern w:val="28"/>
      <w:sz w:val="32"/>
      <w:szCs w:val="32"/>
    </w:rPr>
  </w:style>
  <w:style w:type="character" w:customStyle="1" w:styleId="Char25">
    <w:name w:val="标题 Char2"/>
    <w:qFormat/>
    <w:rPr>
      <w:rFonts w:ascii="Cambria" w:eastAsia="宋体" w:hAnsi="Cambria" w:cs="Times New Roman"/>
      <w:b/>
      <w:bCs/>
      <w:sz w:val="32"/>
      <w:szCs w:val="32"/>
    </w:rPr>
  </w:style>
  <w:style w:type="paragraph" w:customStyle="1" w:styleId="213">
    <w:name w:val="正文文本缩进21"/>
    <w:basedOn w:val="a"/>
    <w:qFormat/>
    <w:pPr>
      <w:spacing w:after="120"/>
      <w:ind w:leftChars="200" w:left="420"/>
    </w:pPr>
    <w:rPr>
      <w:rFonts w:ascii="Times New Roman" w:eastAsia="Times New Roman" w:hAnsi="Times New Roman"/>
      <w:kern w:val="0"/>
      <w:szCs w:val="24"/>
    </w:rPr>
  </w:style>
  <w:style w:type="paragraph" w:customStyle="1" w:styleId="afffffffffffe">
    <w:name w:val="三塘湖"/>
    <w:basedOn w:val="a"/>
    <w:link w:val="Charff9"/>
    <w:qFormat/>
    <w:pPr>
      <w:spacing w:line="500" w:lineRule="exact"/>
      <w:ind w:firstLineChars="200" w:firstLine="200"/>
      <w:jc w:val="left"/>
    </w:pPr>
    <w:rPr>
      <w:rFonts w:ascii="Arial Narrow" w:eastAsia="汉鼎简书宋" w:hAnsi="Arial Narrow"/>
      <w:bCs/>
      <w:szCs w:val="24"/>
      <w:lang w:val="zh-CN"/>
    </w:rPr>
  </w:style>
  <w:style w:type="character" w:customStyle="1" w:styleId="Charff9">
    <w:name w:val="三塘湖 Char"/>
    <w:link w:val="afffffffffffe"/>
    <w:qFormat/>
    <w:rPr>
      <w:rFonts w:ascii="Arial Narrow" w:eastAsia="汉鼎简书宋" w:hAnsi="Arial Narrow"/>
      <w:bCs/>
      <w:kern w:val="2"/>
      <w:sz w:val="24"/>
      <w:szCs w:val="24"/>
    </w:rPr>
  </w:style>
  <w:style w:type="character" w:customStyle="1" w:styleId="Char1c">
    <w:name w:val="纯文本 Char1"/>
    <w:qFormat/>
    <w:rPr>
      <w:rFonts w:ascii="宋体" w:eastAsia="宋体" w:hAnsi="Courier New"/>
      <w:kern w:val="2"/>
      <w:sz w:val="21"/>
      <w:lang w:val="en-US" w:eastAsia="zh-CN" w:bidi="ar-SA"/>
    </w:rPr>
  </w:style>
  <w:style w:type="character" w:customStyle="1" w:styleId="CharChard">
    <w:name w:val="正文 Char Char"/>
    <w:qFormat/>
    <w:rPr>
      <w:rFonts w:ascii="宋体" w:eastAsia="宋体" w:hAnsi="宋体" w:cs="宋体"/>
      <w:kern w:val="2"/>
      <w:sz w:val="24"/>
      <w:szCs w:val="24"/>
      <w:lang w:val="en-US" w:eastAsia="zh-CN" w:bidi="ar-SA"/>
    </w:rPr>
  </w:style>
  <w:style w:type="character" w:customStyle="1" w:styleId="CharChare">
    <w:name w:val="三塘湖 Char Char"/>
    <w:qFormat/>
    <w:locked/>
    <w:rPr>
      <w:rFonts w:ascii="Arial Narrow" w:eastAsia="汉鼎简书宋" w:hAnsi="Arial Narrow"/>
      <w:bCs/>
      <w:kern w:val="2"/>
      <w:sz w:val="24"/>
      <w:szCs w:val="24"/>
    </w:rPr>
  </w:style>
  <w:style w:type="character" w:customStyle="1" w:styleId="thirdCharChar">
    <w:name w:val="third Char Char"/>
    <w:qFormat/>
    <w:locked/>
    <w:rPr>
      <w:b/>
      <w:kern w:val="2"/>
      <w:sz w:val="24"/>
    </w:rPr>
  </w:style>
  <w:style w:type="character" w:customStyle="1" w:styleId="CharChar38">
    <w:name w:val="Char Char38"/>
    <w:qFormat/>
    <w:rPr>
      <w:rFonts w:ascii="宋体" w:eastAsia="宋体" w:hAnsi="宋体"/>
      <w:kern w:val="2"/>
      <w:sz w:val="24"/>
      <w:lang w:val="en-US" w:eastAsia="zh-CN"/>
    </w:rPr>
  </w:style>
  <w:style w:type="character" w:customStyle="1" w:styleId="forthCharChar">
    <w:name w:val="forth Char Char"/>
    <w:qFormat/>
    <w:rPr>
      <w:rFonts w:ascii="Arial" w:eastAsia="黑体" w:hAnsi="Arial"/>
      <w:b/>
      <w:kern w:val="2"/>
      <w:sz w:val="24"/>
      <w:lang w:val="en-US" w:eastAsia="zh-CN" w:bidi="ar-SA"/>
    </w:rPr>
  </w:style>
  <w:style w:type="paragraph" w:customStyle="1" w:styleId="zzm">
    <w:name w:val="zzm（正文）"/>
    <w:basedOn w:val="a"/>
    <w:qFormat/>
    <w:pPr>
      <w:spacing w:line="529" w:lineRule="exact"/>
      <w:ind w:firstLineChars="200" w:firstLine="200"/>
    </w:pPr>
    <w:rPr>
      <w:rFonts w:ascii="Times New Roman" w:hAnsi="Times New Roman"/>
      <w:szCs w:val="24"/>
    </w:rPr>
  </w:style>
  <w:style w:type="paragraph" w:customStyle="1" w:styleId="65">
    <w:name w:val="6"/>
    <w:basedOn w:val="a"/>
    <w:next w:val="24"/>
    <w:qFormat/>
    <w:pPr>
      <w:spacing w:line="520" w:lineRule="exact"/>
      <w:ind w:firstLine="567"/>
    </w:pPr>
    <w:rPr>
      <w:rFonts w:ascii="Times New Roman" w:eastAsia="仿宋_GB2312" w:hAnsi="Times New Roman"/>
      <w:sz w:val="28"/>
    </w:rPr>
  </w:style>
  <w:style w:type="paragraph" w:customStyle="1" w:styleId="Char33">
    <w:name w:val="Char33"/>
    <w:basedOn w:val="a"/>
    <w:next w:val="a"/>
    <w:qFormat/>
    <w:pPr>
      <w:spacing w:line="360" w:lineRule="auto"/>
      <w:ind w:firstLineChars="200" w:firstLine="200"/>
    </w:pPr>
    <w:rPr>
      <w:rFonts w:eastAsia="汉鼎简书宋" w:cs="宋体"/>
      <w:szCs w:val="24"/>
    </w:rPr>
  </w:style>
  <w:style w:type="paragraph" w:customStyle="1" w:styleId="identicationParagraph2Paragraph3Paragrap">
    <w:name w:val="样式 正文缩进identication图表表正文正文非缩进Paragraph2Paragraph3Paragrap..."/>
    <w:basedOn w:val="a9"/>
    <w:qFormat/>
    <w:pPr>
      <w:spacing w:line="440" w:lineRule="exact"/>
      <w:ind w:firstLine="480"/>
      <w:jc w:val="left"/>
    </w:pPr>
    <w:rPr>
      <w:rFonts w:ascii="Times New Roman" w:hAnsi="Times New Roman"/>
      <w:color w:val="FF0000"/>
      <w:sz w:val="24"/>
      <w:szCs w:val="24"/>
    </w:rPr>
  </w:style>
  <w:style w:type="character" w:customStyle="1" w:styleId="0Char">
    <w:name w:val="0 报告正文 Char"/>
    <w:link w:val="00"/>
    <w:qFormat/>
    <w:rPr>
      <w:rFonts w:ascii="Arial Narrow" w:hAnsi="Arial Narrow"/>
      <w:sz w:val="24"/>
      <w:lang w:val="zh-CN" w:eastAsia="zh-CN"/>
    </w:rPr>
  </w:style>
  <w:style w:type="paragraph" w:customStyle="1" w:styleId="00">
    <w:name w:val="0 报告正文"/>
    <w:basedOn w:val="a"/>
    <w:link w:val="0Char"/>
    <w:qFormat/>
    <w:pPr>
      <w:topLinePunct/>
      <w:spacing w:line="520" w:lineRule="exact"/>
      <w:ind w:firstLineChars="200" w:firstLine="200"/>
    </w:pPr>
    <w:rPr>
      <w:rFonts w:ascii="Arial Narrow" w:hAnsi="Arial Narrow"/>
      <w:kern w:val="0"/>
      <w:lang w:val="zh-CN"/>
    </w:rPr>
  </w:style>
  <w:style w:type="character" w:customStyle="1" w:styleId="152">
    <w:name w:val="15"/>
    <w:qFormat/>
    <w:rPr>
      <w:rFonts w:ascii="宋体" w:eastAsia="宋体" w:hAnsi="宋体" w:hint="eastAsia"/>
      <w:color w:val="000000"/>
      <w:sz w:val="21"/>
      <w:szCs w:val="21"/>
    </w:rPr>
  </w:style>
  <w:style w:type="character" w:customStyle="1" w:styleId="0Char0">
    <w:name w:val="0 表格 Char"/>
    <w:link w:val="01"/>
    <w:qFormat/>
    <w:rPr>
      <w:rFonts w:ascii="Arial Narrow" w:hAnsi="Arial Narrow"/>
      <w:sz w:val="21"/>
      <w:szCs w:val="21"/>
      <w:lang w:val="zh-CN" w:eastAsia="zh-CN"/>
    </w:rPr>
  </w:style>
  <w:style w:type="paragraph" w:customStyle="1" w:styleId="01">
    <w:name w:val="0 表格"/>
    <w:basedOn w:val="a"/>
    <w:next w:val="00"/>
    <w:link w:val="0Char0"/>
    <w:qFormat/>
    <w:pPr>
      <w:jc w:val="center"/>
    </w:pPr>
    <w:rPr>
      <w:rFonts w:ascii="Arial Narrow" w:hAnsi="Arial Narrow"/>
      <w:kern w:val="0"/>
      <w:sz w:val="21"/>
      <w:szCs w:val="21"/>
      <w:lang w:val="zh-CN"/>
    </w:rPr>
  </w:style>
  <w:style w:type="paragraph" w:customStyle="1" w:styleId="04">
    <w:name w:val="0 表头"/>
    <w:basedOn w:val="a"/>
    <w:qFormat/>
    <w:pPr>
      <w:spacing w:line="520" w:lineRule="exact"/>
      <w:ind w:firstLineChars="200" w:firstLine="200"/>
    </w:pPr>
    <w:rPr>
      <w:rFonts w:ascii="Arial Narrow" w:hAnsi="Arial Narrow"/>
      <w:b/>
    </w:rPr>
  </w:style>
  <w:style w:type="character" w:customStyle="1" w:styleId="Charffa">
    <w:name w:val="页眉 Char"/>
    <w:qFormat/>
    <w:rPr>
      <w:sz w:val="18"/>
      <w:szCs w:val="18"/>
    </w:rPr>
  </w:style>
  <w:style w:type="character" w:customStyle="1" w:styleId="0Char1">
    <w:name w:val="0 图名 Char"/>
    <w:link w:val="05"/>
    <w:qFormat/>
    <w:rPr>
      <w:rFonts w:ascii="Arial Narrow" w:hAnsi="Arial Narrow"/>
      <w:b/>
      <w:kern w:val="2"/>
      <w:sz w:val="24"/>
      <w:szCs w:val="24"/>
    </w:rPr>
  </w:style>
  <w:style w:type="paragraph" w:customStyle="1" w:styleId="05">
    <w:name w:val="0 图名"/>
    <w:link w:val="0Char1"/>
    <w:qFormat/>
    <w:pPr>
      <w:widowControl w:val="0"/>
      <w:adjustRightInd w:val="0"/>
      <w:snapToGrid w:val="0"/>
      <w:spacing w:line="520" w:lineRule="exact"/>
      <w:jc w:val="center"/>
    </w:pPr>
    <w:rPr>
      <w:rFonts w:ascii="Arial Narrow" w:hAnsi="Arial Narrow"/>
      <w:b/>
      <w:kern w:val="2"/>
      <w:sz w:val="24"/>
      <w:szCs w:val="24"/>
    </w:rPr>
  </w:style>
  <w:style w:type="character" w:customStyle="1" w:styleId="font21">
    <w:name w:val="font21"/>
    <w:qFormat/>
    <w:rPr>
      <w:rFonts w:ascii="宋体" w:eastAsia="宋体" w:hAnsi="宋体" w:hint="eastAsia"/>
      <w:color w:val="FF0000"/>
      <w:sz w:val="21"/>
      <w:szCs w:val="21"/>
      <w:u w:val="none"/>
    </w:rPr>
  </w:style>
  <w:style w:type="character" w:customStyle="1" w:styleId="doc-header-title">
    <w:name w:val="doc-header-title"/>
    <w:basedOn w:val="a0"/>
    <w:qFormat/>
  </w:style>
  <w:style w:type="paragraph" w:customStyle="1" w:styleId="CharCharChar1CharCharChar1CharCharCharCharCharCharCharCharCharCharCharCharCharCharCharChar">
    <w:name w:val="Char Char Char1 Char Char Char1 Char Char Char Char Char Char Char Char Char Char Char Char Char Char Char Char"/>
    <w:basedOn w:val="a"/>
    <w:next w:val="af7"/>
    <w:semiHidden/>
    <w:qFormat/>
    <w:pPr>
      <w:spacing w:line="360" w:lineRule="auto"/>
      <w:ind w:firstLineChars="200" w:firstLine="200"/>
      <w:jc w:val="center"/>
    </w:pPr>
    <w:rPr>
      <w:rFonts w:cs="宋体"/>
      <w:b/>
      <w:sz w:val="30"/>
      <w:szCs w:val="30"/>
    </w:rPr>
  </w:style>
  <w:style w:type="paragraph" w:customStyle="1" w:styleId="CharCharChar1CharCharChar1CharCharCharCharCharCharCharCharCharCharCharCharCharCharCharChar1">
    <w:name w:val="Char Char Char1 Char Char Char1 Char Char Char Char Char Char Char Char Char Char Char Char Char Char Char Char1"/>
    <w:basedOn w:val="a"/>
    <w:next w:val="af7"/>
    <w:semiHidden/>
    <w:qFormat/>
    <w:pPr>
      <w:spacing w:line="360" w:lineRule="auto"/>
      <w:ind w:firstLineChars="200" w:firstLine="200"/>
      <w:jc w:val="center"/>
    </w:pPr>
    <w:rPr>
      <w:rFonts w:cs="宋体"/>
      <w:b/>
      <w:sz w:val="30"/>
      <w:szCs w:val="30"/>
    </w:rPr>
  </w:style>
  <w:style w:type="paragraph" w:customStyle="1" w:styleId="Char1CharCharCharCharCharChar2CharCharChar1CharCharChar">
    <w:name w:val="Char1 Char Char Char Char Char Char2 Char Char Char1 Char Char Char"/>
    <w:basedOn w:val="a"/>
    <w:qFormat/>
    <w:rPr>
      <w:rFonts w:ascii="Times New Roman" w:hAnsi="Times New Roman"/>
      <w:sz w:val="21"/>
      <w:szCs w:val="24"/>
    </w:rPr>
  </w:style>
  <w:style w:type="character" w:customStyle="1" w:styleId="1ff1">
    <w:name w:val="未处理的提及1"/>
    <w:basedOn w:val="a0"/>
    <w:uiPriority w:val="99"/>
    <w:semiHidden/>
    <w:unhideWhenUsed/>
    <w:qFormat/>
    <w:rPr>
      <w:color w:val="605E5C"/>
      <w:shd w:val="clear" w:color="auto" w:fill="E1DFDD"/>
    </w:rPr>
  </w:style>
  <w:style w:type="character" w:customStyle="1" w:styleId="Charffb">
    <w:name w:val="大强正文段落格式 Char"/>
    <w:link w:val="affffffffffff"/>
    <w:qFormat/>
    <w:rPr>
      <w:rFonts w:ascii="Arial Narrow" w:hAnsi="Arial Narrow" w:cs="宋体"/>
      <w:kern w:val="24"/>
      <w:sz w:val="24"/>
      <w:szCs w:val="24"/>
    </w:rPr>
  </w:style>
  <w:style w:type="paragraph" w:customStyle="1" w:styleId="affffffffffff">
    <w:name w:val="大强正文段落格式"/>
    <w:basedOn w:val="a"/>
    <w:link w:val="Charffb"/>
    <w:qFormat/>
    <w:pPr>
      <w:adjustRightInd w:val="0"/>
      <w:snapToGrid w:val="0"/>
      <w:spacing w:line="440" w:lineRule="exact"/>
      <w:ind w:firstLineChars="200" w:firstLine="200"/>
      <w:jc w:val="left"/>
    </w:pPr>
    <w:rPr>
      <w:rFonts w:ascii="Arial Narrow" w:hAnsi="Arial Narrow" w:cs="宋体"/>
      <w:kern w:val="24"/>
      <w:szCs w:val="24"/>
    </w:rPr>
  </w:style>
  <w:style w:type="paragraph" w:customStyle="1" w:styleId="4ArialNarrow">
    <w:name w:val="样式 标题 4(一)条，(一) + (西文) Arial Narrow (中文) 汉鼎简书宋"/>
    <w:basedOn w:val="40"/>
    <w:qFormat/>
    <w:pPr>
      <w:spacing w:before="120" w:after="120" w:line="440" w:lineRule="exact"/>
    </w:pPr>
    <w:rPr>
      <w:rFonts w:ascii="Arial Narrow" w:eastAsia="宋体" w:hAnsi="Arial Narrow"/>
      <w:b w:val="0"/>
      <w:sz w:val="24"/>
      <w:lang w:val="zh-CN"/>
    </w:rPr>
  </w:style>
  <w:style w:type="paragraph" w:customStyle="1" w:styleId="2ff4">
    <w:name w:val="样式 正文 + 首行缩进:  2 字符"/>
    <w:basedOn w:val="a"/>
    <w:qFormat/>
    <w:pPr>
      <w:widowControl/>
      <w:adjustRightInd w:val="0"/>
      <w:spacing w:line="529" w:lineRule="exact"/>
      <w:ind w:firstLineChars="200" w:firstLine="480"/>
      <w:jc w:val="left"/>
      <w:textAlignment w:val="baseline"/>
    </w:pPr>
    <w:rPr>
      <w:rFonts w:ascii="Times New Roman" w:hAnsi="Times New Roman" w:cs="宋体"/>
      <w:kern w:val="0"/>
    </w:rPr>
  </w:style>
  <w:style w:type="character" w:customStyle="1" w:styleId="a7">
    <w:name w:val="电子邮件签名 字符"/>
    <w:basedOn w:val="a0"/>
    <w:link w:val="a6"/>
    <w:qFormat/>
    <w:rPr>
      <w:rFonts w:ascii="Calibri" w:hAnsi="Calibri"/>
      <w:kern w:val="2"/>
      <w:sz w:val="21"/>
      <w:szCs w:val="22"/>
    </w:rPr>
  </w:style>
  <w:style w:type="character" w:customStyle="1" w:styleId="HTML0">
    <w:name w:val="HTML 地址 字符"/>
    <w:basedOn w:val="a0"/>
    <w:link w:val="HTML"/>
    <w:qFormat/>
    <w:rPr>
      <w:rFonts w:ascii="Calibri" w:hAnsi="Calibri"/>
      <w:i/>
      <w:iCs/>
      <w:kern w:val="2"/>
      <w:sz w:val="21"/>
      <w:szCs w:val="22"/>
    </w:rPr>
  </w:style>
  <w:style w:type="character" w:customStyle="1" w:styleId="aff2">
    <w:name w:val="尾注文本 字符"/>
    <w:basedOn w:val="a0"/>
    <w:link w:val="aff1"/>
    <w:rPr>
      <w:rFonts w:ascii="Calibri" w:hAnsi="Calibri"/>
      <w:kern w:val="2"/>
      <w:sz w:val="21"/>
      <w:szCs w:val="22"/>
    </w:rPr>
  </w:style>
  <w:style w:type="character" w:customStyle="1" w:styleId="affb">
    <w:name w:val="签名 字符"/>
    <w:basedOn w:val="a0"/>
    <w:link w:val="affa"/>
    <w:qFormat/>
    <w:rPr>
      <w:rFonts w:eastAsia="仿宋_GB2312"/>
      <w:kern w:val="2"/>
      <w:sz w:val="28"/>
    </w:rPr>
  </w:style>
  <w:style w:type="character" w:customStyle="1" w:styleId="afff3">
    <w:name w:val="信息标题 字符"/>
    <w:basedOn w:val="a0"/>
    <w:link w:val="afff2"/>
    <w:qFormat/>
    <w:rPr>
      <w:rFonts w:ascii="Arial" w:hAnsi="Arial" w:cs="Arial"/>
      <w:kern w:val="2"/>
      <w:sz w:val="24"/>
      <w:szCs w:val="24"/>
      <w:shd w:val="pct20" w:color="auto" w:fill="auto"/>
    </w:rPr>
  </w:style>
  <w:style w:type="character" w:customStyle="1" w:styleId="HTML2">
    <w:name w:val="HTML 预设格式 字符"/>
    <w:basedOn w:val="a0"/>
    <w:link w:val="HTML1"/>
    <w:rPr>
      <w:rFonts w:ascii="Courier New" w:hAnsi="Courier New" w:cs="Courier New"/>
      <w:kern w:val="2"/>
    </w:rPr>
  </w:style>
  <w:style w:type="character" w:customStyle="1" w:styleId="1ff2">
    <w:name w:val="明显强调1"/>
    <w:qFormat/>
    <w:rPr>
      <w:b/>
      <w:i/>
      <w:color w:val="4F81BD"/>
    </w:rPr>
  </w:style>
  <w:style w:type="character" w:customStyle="1" w:styleId="1ff3">
    <w:name w:val="书籍标题1"/>
    <w:qFormat/>
    <w:rPr>
      <w:b/>
      <w:smallCaps/>
      <w:spacing w:val="5"/>
    </w:rPr>
  </w:style>
  <w:style w:type="character" w:customStyle="1" w:styleId="1ff4">
    <w:name w:val="不明显参考1"/>
    <w:qFormat/>
    <w:rPr>
      <w:smallCaps/>
      <w:color w:val="C0504D"/>
      <w:u w:val="single"/>
    </w:rPr>
  </w:style>
  <w:style w:type="character" w:customStyle="1" w:styleId="3fb">
    <w:name w:val="标题3"/>
    <w:basedOn w:val="a0"/>
    <w:qFormat/>
  </w:style>
  <w:style w:type="character" w:customStyle="1" w:styleId="1ff5">
    <w:name w:val="明显参考1"/>
    <w:qFormat/>
    <w:rPr>
      <w:b/>
      <w:smallCaps/>
      <w:color w:val="C0504D"/>
      <w:spacing w:val="5"/>
      <w:u w:val="single"/>
    </w:rPr>
  </w:style>
  <w:style w:type="character" w:customStyle="1" w:styleId="1ff6">
    <w:name w:val="不明显强调1"/>
    <w:qFormat/>
    <w:rPr>
      <w:i/>
      <w:color w:val="808080"/>
    </w:rPr>
  </w:style>
  <w:style w:type="paragraph" w:customStyle="1" w:styleId="TOC11">
    <w:name w:val="TOC 标题1"/>
    <w:basedOn w:val="1"/>
    <w:next w:val="a"/>
    <w:qFormat/>
    <w:pPr>
      <w:topLinePunct/>
      <w:spacing w:before="480" w:after="0" w:line="529" w:lineRule="exact"/>
      <w:ind w:firstLineChars="200" w:firstLine="200"/>
      <w:outlineLvl w:val="9"/>
    </w:pPr>
    <w:rPr>
      <w:rFonts w:ascii="Cambria" w:hAnsi="Cambria"/>
      <w:color w:val="365F91"/>
      <w:kern w:val="2"/>
      <w:sz w:val="28"/>
    </w:rPr>
  </w:style>
  <w:style w:type="paragraph" w:customStyle="1" w:styleId="Char60">
    <w:name w:val="Char6"/>
    <w:basedOn w:val="a"/>
    <w:qFormat/>
    <w:pPr>
      <w:spacing w:line="360" w:lineRule="auto"/>
      <w:ind w:firstLineChars="200" w:firstLine="200"/>
    </w:pPr>
    <w:rPr>
      <w:rFonts w:cs="宋体"/>
      <w:szCs w:val="24"/>
    </w:rPr>
  </w:style>
  <w:style w:type="character" w:customStyle="1" w:styleId="CharChar122">
    <w:name w:val="Char Char122"/>
    <w:qFormat/>
    <w:rPr>
      <w:rFonts w:eastAsia="宋体"/>
      <w:b/>
      <w:kern w:val="2"/>
      <w:sz w:val="32"/>
      <w:lang w:val="en-US" w:eastAsia="zh-CN" w:bidi="ar-SA"/>
    </w:rPr>
  </w:style>
  <w:style w:type="paragraph" w:customStyle="1" w:styleId="Char1CharCharChar4">
    <w:name w:val="Char1 Char Char Char4"/>
    <w:basedOn w:val="a"/>
    <w:qFormat/>
    <w:rPr>
      <w:rFonts w:ascii="Times New Roman" w:hAnsi="Times New Roman"/>
      <w:sz w:val="21"/>
      <w:szCs w:val="24"/>
    </w:rPr>
  </w:style>
  <w:style w:type="character" w:customStyle="1" w:styleId="CharChar252">
    <w:name w:val="Char Char252"/>
    <w:qFormat/>
    <w:rPr>
      <w:rFonts w:eastAsia="宋体"/>
      <w:b/>
      <w:bCs/>
      <w:kern w:val="2"/>
      <w:sz w:val="28"/>
      <w:szCs w:val="28"/>
      <w:lang w:val="en-US" w:eastAsia="zh-CN" w:bidi="ar-SA"/>
    </w:rPr>
  </w:style>
  <w:style w:type="paragraph" w:customStyle="1" w:styleId="Char230">
    <w:name w:val="Char23"/>
    <w:basedOn w:val="a"/>
    <w:qFormat/>
    <w:rPr>
      <w:rFonts w:ascii="Times New Roman" w:hAnsi="Times New Roman"/>
      <w:sz w:val="21"/>
    </w:rPr>
  </w:style>
  <w:style w:type="paragraph" w:customStyle="1" w:styleId="CharCharChar1Char3">
    <w:name w:val="Char Char Char1 Char3"/>
    <w:basedOn w:val="a"/>
    <w:next w:val="a"/>
    <w:qFormat/>
    <w:pPr>
      <w:spacing w:line="360" w:lineRule="auto"/>
      <w:ind w:firstLineChars="200" w:firstLine="200"/>
    </w:pPr>
    <w:rPr>
      <w:rFonts w:eastAsia="汉鼎简书宋" w:cs="宋体"/>
      <w:szCs w:val="24"/>
    </w:rPr>
  </w:style>
  <w:style w:type="character" w:customStyle="1" w:styleId="CharChar152">
    <w:name w:val="Char Char152"/>
    <w:qFormat/>
    <w:rPr>
      <w:rFonts w:eastAsia="宋体"/>
      <w:kern w:val="2"/>
      <w:sz w:val="18"/>
      <w:lang w:val="en-US" w:eastAsia="zh-CN" w:bidi="ar-SA"/>
    </w:rPr>
  </w:style>
  <w:style w:type="character" w:customStyle="1" w:styleId="CharChar142">
    <w:name w:val="Char Char142"/>
    <w:qFormat/>
    <w:rPr>
      <w:rFonts w:eastAsia="宋体"/>
      <w:kern w:val="2"/>
      <w:sz w:val="18"/>
      <w:lang w:val="en-US" w:eastAsia="zh-CN" w:bidi="ar-SA"/>
    </w:rPr>
  </w:style>
  <w:style w:type="character" w:customStyle="1" w:styleId="CharChar132">
    <w:name w:val="Char Char132"/>
    <w:qFormat/>
    <w:rPr>
      <w:rFonts w:eastAsia="宋体"/>
      <w:kern w:val="2"/>
      <w:sz w:val="21"/>
      <w:lang w:val="en-US" w:eastAsia="zh-CN" w:bidi="ar-SA"/>
    </w:rPr>
  </w:style>
  <w:style w:type="character" w:customStyle="1" w:styleId="CharChar113">
    <w:name w:val="Char Char113"/>
    <w:qFormat/>
    <w:rPr>
      <w:rFonts w:eastAsia="宋体"/>
      <w:kern w:val="2"/>
      <w:sz w:val="18"/>
      <w:lang w:val="en-US" w:eastAsia="zh-CN" w:bidi="ar-SA"/>
    </w:rPr>
  </w:style>
  <w:style w:type="table" w:customStyle="1" w:styleId="1ff7">
    <w:name w:val="网格型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5">
    <w:name w:val="网格型2"/>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2">
    <w:name w:val="Char Char Char Char Char Char Char Char Char2"/>
    <w:basedOn w:val="a"/>
    <w:next w:val="a"/>
    <w:qFormat/>
    <w:pPr>
      <w:spacing w:line="360" w:lineRule="auto"/>
      <w:ind w:firstLineChars="200" w:firstLine="200"/>
    </w:pPr>
    <w:rPr>
      <w:rFonts w:ascii="Times New Roman" w:eastAsia="Times New Roman" w:hAnsi="Times New Roman" w:cs="宋体"/>
      <w:szCs w:val="24"/>
    </w:rPr>
  </w:style>
  <w:style w:type="table" w:customStyle="1" w:styleId="affffffffffff0">
    <w:name w:val="环评表格"/>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paragraph" w:customStyle="1" w:styleId="Char43">
    <w:name w:val="Char43"/>
    <w:basedOn w:val="a"/>
    <w:qFormat/>
    <w:pPr>
      <w:spacing w:line="360" w:lineRule="auto"/>
      <w:ind w:firstLineChars="200" w:firstLine="200"/>
    </w:pPr>
    <w:rPr>
      <w:rFonts w:cs="宋体"/>
      <w:szCs w:val="24"/>
    </w:rPr>
  </w:style>
  <w:style w:type="paragraph" w:customStyle="1" w:styleId="2ff6">
    <w:name w:val="文档结构图2"/>
    <w:basedOn w:val="a"/>
    <w:qFormat/>
    <w:pPr>
      <w:shd w:val="clear" w:color="auto" w:fill="000080"/>
      <w:tabs>
        <w:tab w:val="left" w:pos="480"/>
        <w:tab w:val="left" w:pos="1680"/>
        <w:tab w:val="left" w:pos="3960"/>
        <w:tab w:val="left" w:pos="5400"/>
        <w:tab w:val="left" w:pos="6840"/>
      </w:tabs>
      <w:adjustRightInd w:val="0"/>
      <w:spacing w:line="240" w:lineRule="atLeast"/>
      <w:ind w:firstLine="482"/>
      <w:jc w:val="left"/>
      <w:textAlignment w:val="baseline"/>
    </w:pPr>
    <w:rPr>
      <w:rFonts w:ascii="Times New Roman" w:eastAsia="创艺简楷体" w:hAnsi="Times New Roman"/>
      <w:kern w:val="0"/>
      <w:sz w:val="28"/>
    </w:rPr>
  </w:style>
  <w:style w:type="paragraph" w:customStyle="1" w:styleId="z-10">
    <w:name w:val="z-窗体顶端1"/>
    <w:basedOn w:val="a"/>
    <w:next w:val="a"/>
    <w:qFormat/>
    <w:pPr>
      <w:pBdr>
        <w:bottom w:val="single" w:sz="6" w:space="1" w:color="auto"/>
      </w:pBdr>
      <w:jc w:val="center"/>
    </w:pPr>
    <w:rPr>
      <w:rFonts w:ascii="Arial" w:hAnsi="Arial" w:cs="Arial"/>
      <w:vanish/>
      <w:sz w:val="16"/>
      <w:szCs w:val="16"/>
    </w:rPr>
  </w:style>
  <w:style w:type="character" w:customStyle="1" w:styleId="CharChar222">
    <w:name w:val="Char Char222"/>
    <w:qFormat/>
    <w:rPr>
      <w:rFonts w:eastAsia="宋体"/>
      <w:kern w:val="2"/>
      <w:sz w:val="18"/>
      <w:lang w:val="en-US" w:eastAsia="zh-CN" w:bidi="ar-SA"/>
    </w:rPr>
  </w:style>
  <w:style w:type="character" w:customStyle="1" w:styleId="CharChar212">
    <w:name w:val="Char Char212"/>
    <w:qFormat/>
    <w:rPr>
      <w:rFonts w:eastAsia="宋体"/>
      <w:kern w:val="2"/>
      <w:sz w:val="18"/>
      <w:szCs w:val="18"/>
      <w:lang w:val="en-US" w:eastAsia="zh-CN" w:bidi="ar-SA"/>
    </w:rPr>
  </w:style>
  <w:style w:type="character" w:customStyle="1" w:styleId="CharChar272">
    <w:name w:val="Char Char272"/>
    <w:qFormat/>
    <w:rPr>
      <w:rFonts w:eastAsia="黑体"/>
      <w:b/>
      <w:bCs/>
      <w:kern w:val="44"/>
      <w:sz w:val="36"/>
      <w:szCs w:val="44"/>
      <w:lang w:val="en-US" w:eastAsia="zh-CN" w:bidi="ar-SA"/>
    </w:rPr>
  </w:style>
  <w:style w:type="character" w:customStyle="1" w:styleId="CharChar242">
    <w:name w:val="Char Char242"/>
    <w:qFormat/>
    <w:rPr>
      <w:rFonts w:ascii="Arial" w:eastAsia="黑体" w:hAnsi="Arial"/>
      <w:b/>
      <w:bCs/>
      <w:sz w:val="24"/>
      <w:szCs w:val="24"/>
      <w:lang w:val="en-US" w:eastAsia="zh-CN" w:bidi="ar-SA"/>
    </w:rPr>
  </w:style>
  <w:style w:type="character" w:customStyle="1" w:styleId="CharChar232">
    <w:name w:val="Char Char232"/>
    <w:qFormat/>
    <w:rPr>
      <w:rFonts w:eastAsia="汉鼎简书宋"/>
      <w:bCs/>
      <w:kern w:val="32"/>
      <w:sz w:val="24"/>
      <w:szCs w:val="24"/>
      <w:lang w:val="en-US" w:eastAsia="zh-CN" w:bidi="ar-SA"/>
    </w:rPr>
  </w:style>
  <w:style w:type="paragraph" w:customStyle="1" w:styleId="Char130">
    <w:name w:val="Char13"/>
    <w:basedOn w:val="a"/>
    <w:next w:val="a"/>
    <w:qFormat/>
    <w:pPr>
      <w:spacing w:line="529" w:lineRule="exact"/>
      <w:ind w:firstLineChars="200" w:firstLine="200"/>
    </w:pPr>
    <w:rPr>
      <w:rFonts w:cs="宋体"/>
      <w:szCs w:val="24"/>
    </w:rPr>
  </w:style>
  <w:style w:type="paragraph" w:customStyle="1" w:styleId="Char1CharCharCharCharCharChar1CharCharChar12">
    <w:name w:val="Char1 Char Char Char Char Char Char1 Char Char Char12"/>
    <w:basedOn w:val="a"/>
    <w:qFormat/>
    <w:rPr>
      <w:rFonts w:ascii="Times New Roman" w:hAnsi="Times New Roman"/>
      <w:sz w:val="21"/>
      <w:szCs w:val="21"/>
    </w:rPr>
  </w:style>
  <w:style w:type="paragraph" w:customStyle="1" w:styleId="Char152">
    <w:name w:val="Char152"/>
    <w:basedOn w:val="a"/>
    <w:qFormat/>
    <w:pPr>
      <w:spacing w:line="560" w:lineRule="exact"/>
      <w:ind w:firstLineChars="200" w:firstLine="200"/>
    </w:pPr>
    <w:rPr>
      <w:rFonts w:ascii="Times New Roman" w:hAnsi="Times New Roman"/>
      <w:sz w:val="21"/>
    </w:rPr>
  </w:style>
  <w:style w:type="paragraph" w:customStyle="1" w:styleId="TimesNewRoman">
    <w:name w:val="样式 (西文) Times New Roman (符号) 华文中宋"/>
    <w:basedOn w:val="a"/>
    <w:link w:val="TimesNewRomanChar"/>
    <w:qFormat/>
    <w:pPr>
      <w:spacing w:line="500" w:lineRule="exact"/>
      <w:ind w:firstLineChars="200" w:firstLine="200"/>
    </w:pPr>
    <w:rPr>
      <w:rFonts w:ascii="Calibri" w:eastAsia="华文中宋" w:hAnsi="华文中宋"/>
      <w:szCs w:val="22"/>
    </w:rPr>
  </w:style>
  <w:style w:type="character" w:customStyle="1" w:styleId="TimesNewRomanChar">
    <w:name w:val="样式 (西文) Times New Roman (符号) 华文中宋 Char"/>
    <w:link w:val="TimesNewRoman"/>
    <w:qFormat/>
    <w:rPr>
      <w:rFonts w:ascii="Calibri" w:eastAsia="华文中宋" w:hAnsi="华文中宋"/>
      <w:kern w:val="2"/>
      <w:sz w:val="24"/>
      <w:szCs w:val="22"/>
    </w:rPr>
  </w:style>
  <w:style w:type="character" w:customStyle="1" w:styleId="CharCharf">
    <w:name w:val="表格 Char Char"/>
    <w:qFormat/>
    <w:rPr>
      <w:rFonts w:ascii="Cambria" w:eastAsia="华文中宋" w:hAnsi="Cambria"/>
      <w:bCs/>
      <w:kern w:val="2"/>
      <w:sz w:val="21"/>
      <w:szCs w:val="32"/>
    </w:rPr>
  </w:style>
  <w:style w:type="paragraph" w:customStyle="1" w:styleId="CharCharCharCharCharCharCharCharCharCharCharCharCharCharCharCharCharCharChar">
    <w:name w:val="Char Char Char Char Char Char Char Char Char Char Char Char Char Char Char Char Char Char Char"/>
    <w:basedOn w:val="a"/>
    <w:qFormat/>
    <w:pPr>
      <w:spacing w:beforeLines="100" w:afterLines="100" w:line="720" w:lineRule="auto"/>
    </w:pPr>
    <w:rPr>
      <w:rFonts w:eastAsia="仿宋_GB2312" w:hAnsi="Times New Roman"/>
      <w:b/>
      <w:kern w:val="0"/>
      <w:sz w:val="32"/>
      <w:szCs w:val="32"/>
      <w:u w:val="single"/>
    </w:rPr>
  </w:style>
  <w:style w:type="paragraph" w:customStyle="1" w:styleId="affffffffffff1">
    <w:name w:val="正文表"/>
    <w:basedOn w:val="a"/>
    <w:qFormat/>
    <w:pPr>
      <w:jc w:val="center"/>
    </w:pPr>
    <w:rPr>
      <w:sz w:val="21"/>
      <w:szCs w:val="24"/>
    </w:rPr>
  </w:style>
  <w:style w:type="character" w:customStyle="1" w:styleId="Charff5">
    <w:name w:val="表 Char"/>
    <w:link w:val="afffffffff5"/>
    <w:qFormat/>
    <w:rPr>
      <w:rFonts w:ascii="宋体" w:hAnsi="宋体"/>
      <w:sz w:val="24"/>
    </w:rPr>
  </w:style>
  <w:style w:type="paragraph" w:customStyle="1" w:styleId="affffffffffff2">
    <w:name w:val="设计文字"/>
    <w:basedOn w:val="a9"/>
    <w:link w:val="Charffc"/>
    <w:qFormat/>
    <w:pPr>
      <w:autoSpaceDE w:val="0"/>
      <w:autoSpaceDN w:val="0"/>
      <w:snapToGrid/>
      <w:spacing w:line="240" w:lineRule="auto"/>
      <w:ind w:firstLine="200"/>
    </w:pPr>
    <w:rPr>
      <w:rFonts w:ascii="Times New Roman" w:eastAsia="仿宋_GB2312" w:hAnsi="Times New Roman"/>
      <w:bCs/>
      <w:color w:val="000000"/>
    </w:rPr>
  </w:style>
  <w:style w:type="character" w:customStyle="1" w:styleId="TimesChar">
    <w:name w:val="样式 表头 + (符号) Times Char"/>
    <w:link w:val="Times"/>
    <w:qFormat/>
    <w:rPr>
      <w:rFonts w:ascii="宋体" w:hAnsi="宋体"/>
      <w:b/>
      <w:bCs/>
      <w:color w:val="000000"/>
      <w:spacing w:val="-20"/>
      <w:kern w:val="24"/>
      <w:sz w:val="24"/>
      <w:szCs w:val="24"/>
      <w:lang w:val="it-IT"/>
    </w:rPr>
  </w:style>
  <w:style w:type="paragraph" w:customStyle="1" w:styleId="Times">
    <w:name w:val="样式 表头 + (符号) Times"/>
    <w:basedOn w:val="affffff0"/>
    <w:link w:val="TimesChar"/>
    <w:qFormat/>
    <w:pPr>
      <w:widowControl/>
      <w:tabs>
        <w:tab w:val="clear" w:pos="6840"/>
      </w:tabs>
      <w:topLinePunct w:val="0"/>
      <w:adjustRightInd w:val="0"/>
      <w:spacing w:line="400" w:lineRule="exact"/>
      <w:jc w:val="right"/>
    </w:pPr>
    <w:rPr>
      <w:bCs/>
      <w:color w:val="000000"/>
      <w:spacing w:val="-20"/>
      <w:szCs w:val="24"/>
      <w:lang w:val="it-IT"/>
    </w:rPr>
  </w:style>
  <w:style w:type="paragraph" w:customStyle="1" w:styleId="CharCharCharCharCharCharCharCharCharCharCharCharCharCharCharCharCharCharCharCharChar">
    <w:name w:val="Char Char Char Char Char Char Char Char Char Char Char Char Char Char Char Char Char Char Char Char Char"/>
    <w:basedOn w:val="a"/>
    <w:qFormat/>
    <w:rPr>
      <w:rFonts w:ascii="Times New Roman" w:hAnsi="Times New Roman"/>
      <w:sz w:val="21"/>
      <w:szCs w:val="24"/>
    </w:rPr>
  </w:style>
  <w:style w:type="paragraph" w:customStyle="1" w:styleId="affffffffffff3">
    <w:name w:val="立项正文"/>
    <w:basedOn w:val="a"/>
    <w:qFormat/>
    <w:pPr>
      <w:spacing w:line="360" w:lineRule="auto"/>
      <w:ind w:firstLineChars="200" w:firstLine="420"/>
      <w:jc w:val="center"/>
    </w:pPr>
    <w:rPr>
      <w:color w:val="000000"/>
      <w:sz w:val="21"/>
      <w:szCs w:val="21"/>
    </w:rPr>
  </w:style>
  <w:style w:type="paragraph" w:customStyle="1" w:styleId="TimesNewRoman06411">
    <w:name w:val="样式 表文字 + Times New Roman 小五 左 首行缩进:  0.64 厘米 行距: 固定值 11 磅"/>
    <w:basedOn w:val="a"/>
    <w:qFormat/>
    <w:pPr>
      <w:keepNext/>
      <w:spacing w:line="220" w:lineRule="exact"/>
    </w:pPr>
    <w:rPr>
      <w:rFonts w:ascii="Times New Roman" w:eastAsia="仿宋_GB2312" w:hAnsi="Times New Roman"/>
      <w:sz w:val="18"/>
    </w:rPr>
  </w:style>
  <w:style w:type="paragraph" w:customStyle="1" w:styleId="affffffffffff4">
    <w:name w:val="标题四"/>
    <w:basedOn w:val="a"/>
    <w:next w:val="38"/>
    <w:qFormat/>
    <w:pPr>
      <w:autoSpaceDE w:val="0"/>
      <w:autoSpaceDN w:val="0"/>
      <w:adjustRightInd w:val="0"/>
      <w:spacing w:line="520" w:lineRule="exact"/>
      <w:ind w:firstLine="482"/>
      <w:textAlignment w:val="baseline"/>
    </w:pPr>
    <w:rPr>
      <w:rFonts w:ascii="黑体" w:eastAsia="黑体" w:hAnsi="Times New Roman"/>
      <w:b/>
      <w:bCs/>
      <w:szCs w:val="18"/>
    </w:rPr>
  </w:style>
  <w:style w:type="paragraph" w:customStyle="1" w:styleId="affffffffffff5">
    <w:name w:val="报告章"/>
    <w:basedOn w:val="a9"/>
    <w:next w:val="a"/>
    <w:qFormat/>
    <w:pPr>
      <w:keepNext/>
      <w:pageBreakBefore/>
      <w:adjustRightInd/>
      <w:snapToGrid/>
      <w:spacing w:line="720" w:lineRule="auto"/>
      <w:ind w:firstLineChars="0" w:firstLine="0"/>
      <w:jc w:val="center"/>
      <w:outlineLvl w:val="0"/>
    </w:pPr>
    <w:rPr>
      <w:rFonts w:ascii="仿宋_GB2312" w:eastAsia="仿宋_GB2312" w:hAnsi="Times New Roman"/>
      <w:b/>
      <w:snapToGrid w:val="0"/>
      <w:color w:val="000000"/>
      <w:sz w:val="32"/>
    </w:rPr>
  </w:style>
  <w:style w:type="paragraph" w:customStyle="1" w:styleId="affffffffffff6">
    <w:name w:val="报告一"/>
    <w:basedOn w:val="a"/>
    <w:next w:val="affffff4"/>
    <w:qFormat/>
    <w:pPr>
      <w:keepNext/>
      <w:snapToGrid w:val="0"/>
      <w:spacing w:line="360" w:lineRule="auto"/>
      <w:ind w:firstLineChars="196" w:firstLine="551"/>
    </w:pPr>
    <w:rPr>
      <w:rFonts w:ascii="Times New Roman" w:eastAsia="仿宋_GB2312" w:hAnsi="Times New Roman"/>
      <w:b/>
      <w:sz w:val="28"/>
      <w:szCs w:val="18"/>
    </w:rPr>
  </w:style>
  <w:style w:type="paragraph" w:customStyle="1" w:styleId="affffffffffff7">
    <w:name w:val="设计正文"/>
    <w:basedOn w:val="a9"/>
    <w:qFormat/>
    <w:pPr>
      <w:keepNext/>
      <w:adjustRightInd/>
      <w:snapToGrid/>
      <w:spacing w:line="240" w:lineRule="exact"/>
      <w:ind w:firstLineChars="0" w:firstLine="0"/>
      <w:jc w:val="center"/>
    </w:pPr>
    <w:rPr>
      <w:rFonts w:ascii="Times New Roman" w:eastAsia="仿宋_GB2312" w:hAnsi="Times New Roman"/>
      <w:color w:val="000000"/>
    </w:rPr>
  </w:style>
  <w:style w:type="paragraph" w:customStyle="1" w:styleId="affffffffffff8">
    <w:name w:val="报告正文（首行缩进两字）"/>
    <w:basedOn w:val="a9"/>
    <w:qFormat/>
    <w:pPr>
      <w:tabs>
        <w:tab w:val="left" w:pos="5943"/>
      </w:tabs>
      <w:adjustRightInd/>
      <w:snapToGrid/>
      <w:spacing w:line="240" w:lineRule="auto"/>
      <w:ind w:firstLine="487"/>
    </w:pPr>
    <w:rPr>
      <w:rFonts w:hint="eastAsia"/>
      <w:color w:val="000000"/>
      <w:kern w:val="0"/>
      <w:sz w:val="24"/>
      <w:szCs w:val="18"/>
    </w:rPr>
  </w:style>
  <w:style w:type="paragraph" w:customStyle="1" w:styleId="affffffffffff9">
    <w:name w:val="报告节"/>
    <w:basedOn w:val="a"/>
    <w:next w:val="a"/>
    <w:qFormat/>
    <w:pPr>
      <w:keepNext/>
      <w:spacing w:beforeLines="20" w:afterLines="40" w:line="720" w:lineRule="auto"/>
      <w:jc w:val="center"/>
    </w:pPr>
    <w:rPr>
      <w:rFonts w:ascii="Times New Roman" w:eastAsia="仿宋_GB2312" w:hAnsi="Times New Roman"/>
      <w:b/>
      <w:color w:val="000000"/>
      <w:sz w:val="30"/>
      <w:szCs w:val="18"/>
    </w:rPr>
  </w:style>
  <w:style w:type="paragraph" w:customStyle="1" w:styleId="affffffffffffa">
    <w:name w:val="样节"/>
    <w:basedOn w:val="a"/>
    <w:qFormat/>
    <w:pPr>
      <w:keepNext/>
      <w:spacing w:line="500" w:lineRule="exact"/>
      <w:jc w:val="center"/>
    </w:pPr>
    <w:rPr>
      <w:rFonts w:ascii="Times New Roman" w:eastAsia="仿宋_GB2312" w:hAnsi="Times New Roman"/>
      <w:b/>
      <w:bCs/>
      <w:color w:val="000000"/>
      <w:sz w:val="30"/>
      <w:szCs w:val="30"/>
    </w:rPr>
  </w:style>
  <w:style w:type="character" w:customStyle="1" w:styleId="Charffd">
    <w:name w:val="报告正文 Char"/>
    <w:qFormat/>
    <w:rPr>
      <w:rFonts w:eastAsia="仿宋_GB2312"/>
      <w:kern w:val="2"/>
      <w:sz w:val="28"/>
      <w:lang w:val="en-US" w:eastAsia="zh-CN" w:bidi="ar-SA"/>
    </w:rPr>
  </w:style>
  <w:style w:type="paragraph" w:customStyle="1" w:styleId="affffffffffffb">
    <w:name w:val="设计章"/>
    <w:basedOn w:val="a"/>
    <w:next w:val="affffffffffffc"/>
    <w:qFormat/>
    <w:pPr>
      <w:pageBreakBefore/>
      <w:tabs>
        <w:tab w:val="left" w:pos="1288"/>
      </w:tabs>
      <w:spacing w:line="480" w:lineRule="auto"/>
      <w:ind w:left="1288" w:hanging="645"/>
      <w:jc w:val="center"/>
    </w:pPr>
    <w:rPr>
      <w:rFonts w:ascii="Times New Roman" w:eastAsia="仿宋_GB2312" w:hAnsi="Times New Roman"/>
      <w:b/>
      <w:sz w:val="32"/>
      <w:szCs w:val="24"/>
    </w:rPr>
  </w:style>
  <w:style w:type="paragraph" w:customStyle="1" w:styleId="affffffffffffc">
    <w:name w:val="设计节（一）"/>
    <w:basedOn w:val="a"/>
    <w:next w:val="affffffffffff7"/>
    <w:qFormat/>
    <w:pPr>
      <w:spacing w:line="720" w:lineRule="auto"/>
      <w:jc w:val="center"/>
    </w:pPr>
    <w:rPr>
      <w:rFonts w:ascii="Times New Roman" w:eastAsia="仿宋_GB2312" w:hAnsi="Times New Roman"/>
      <w:b/>
      <w:sz w:val="30"/>
      <w:szCs w:val="24"/>
    </w:rPr>
  </w:style>
  <w:style w:type="paragraph" w:customStyle="1" w:styleId="affffffffffffd">
    <w:name w:val="报告文字"/>
    <w:basedOn w:val="afff9"/>
    <w:link w:val="Char26"/>
    <w:qFormat/>
    <w:pPr>
      <w:shd w:val="clear" w:color="auto" w:fill="FFFFFF"/>
      <w:adjustRightInd w:val="0"/>
      <w:snapToGrid w:val="0"/>
      <w:spacing w:after="0" w:line="529" w:lineRule="exact"/>
      <w:ind w:firstLineChars="200" w:firstLine="480"/>
    </w:pPr>
    <w:rPr>
      <w:kern w:val="0"/>
      <w:sz w:val="24"/>
      <w:szCs w:val="24"/>
    </w:rPr>
  </w:style>
  <w:style w:type="paragraph" w:customStyle="1" w:styleId="affffffffffffe">
    <w:name w:val="报告目录"/>
    <w:basedOn w:val="a"/>
    <w:next w:val="a"/>
    <w:qFormat/>
    <w:pPr>
      <w:jc w:val="center"/>
    </w:pPr>
    <w:rPr>
      <w:rFonts w:ascii="仿宋_GB2312" w:eastAsia="仿宋_GB2312" w:hAnsi="Times New Roman"/>
      <w:b/>
      <w:bCs/>
      <w:sz w:val="28"/>
      <w:szCs w:val="24"/>
    </w:rPr>
  </w:style>
  <w:style w:type="paragraph" w:customStyle="1" w:styleId="afffffffffffff">
    <w:name w:val="立项一"/>
    <w:basedOn w:val="a"/>
    <w:next w:val="a"/>
    <w:qFormat/>
    <w:pPr>
      <w:keepNext/>
      <w:spacing w:line="360" w:lineRule="auto"/>
      <w:jc w:val="center"/>
      <w:outlineLvl w:val="0"/>
    </w:pPr>
    <w:rPr>
      <w:rFonts w:ascii="仿宋_GB2312" w:eastAsia="仿宋_GB2312" w:hAnsi="Times New Roman"/>
      <w:b/>
      <w:sz w:val="21"/>
    </w:rPr>
  </w:style>
  <w:style w:type="paragraph" w:customStyle="1" w:styleId="afffffffffffff0">
    <w:name w:val="附表标题"/>
    <w:basedOn w:val="a"/>
    <w:qFormat/>
    <w:pPr>
      <w:ind w:firstLine="562"/>
      <w:jc w:val="center"/>
    </w:pPr>
    <w:rPr>
      <w:rFonts w:ascii="Times New Roman" w:eastAsia="黑体" w:hAnsi="Times New Roman"/>
      <w:b/>
      <w:bCs/>
      <w:sz w:val="21"/>
    </w:rPr>
  </w:style>
  <w:style w:type="paragraph" w:customStyle="1" w:styleId="afffffffffffff1">
    <w:name w:val="设计封面"/>
    <w:basedOn w:val="affffffffffff9"/>
    <w:qFormat/>
    <w:pPr>
      <w:keepNext w:val="0"/>
      <w:spacing w:beforeLines="0" w:afterLines="0"/>
    </w:pPr>
    <w:rPr>
      <w:sz w:val="36"/>
      <w:szCs w:val="24"/>
    </w:rPr>
  </w:style>
  <w:style w:type="paragraph" w:customStyle="1" w:styleId="afffffffffffff2">
    <w:name w:val="区调章"/>
    <w:basedOn w:val="1"/>
    <w:next w:val="a"/>
    <w:qFormat/>
    <w:pPr>
      <w:keepNext w:val="0"/>
      <w:keepLines w:val="0"/>
      <w:pageBreakBefore/>
      <w:spacing w:before="0" w:after="0" w:line="720" w:lineRule="auto"/>
      <w:jc w:val="center"/>
      <w:outlineLvl w:val="9"/>
    </w:pPr>
    <w:rPr>
      <w:rFonts w:ascii="仿宋_GB2312" w:eastAsia="仿宋_GB2312" w:hAnsi="Times New Roman"/>
      <w:color w:val="000000"/>
      <w:kern w:val="2"/>
      <w:sz w:val="30"/>
      <w:szCs w:val="28"/>
    </w:rPr>
  </w:style>
  <w:style w:type="paragraph" w:customStyle="1" w:styleId="afffffffffffff3">
    <w:name w:val="区调节"/>
    <w:basedOn w:val="2"/>
    <w:next w:val="3"/>
    <w:qFormat/>
    <w:pPr>
      <w:keepNext w:val="0"/>
      <w:keepLines w:val="0"/>
      <w:spacing w:before="0" w:after="0" w:line="720" w:lineRule="auto"/>
      <w:jc w:val="center"/>
      <w:outlineLvl w:val="9"/>
    </w:pPr>
    <w:rPr>
      <w:rFonts w:ascii="仿宋_GB2312" w:eastAsia="仿宋_GB2312" w:hAnsi="Times New Roman"/>
      <w:b/>
      <w:color w:val="000000"/>
      <w:sz w:val="30"/>
      <w:szCs w:val="28"/>
    </w:rPr>
  </w:style>
  <w:style w:type="paragraph" w:customStyle="1" w:styleId="afffffffffffff4">
    <w:name w:val="大调查文字"/>
    <w:basedOn w:val="afff9"/>
    <w:qFormat/>
    <w:pPr>
      <w:spacing w:after="0" w:line="240" w:lineRule="exact"/>
      <w:ind w:firstLineChars="0" w:firstLine="0"/>
      <w:jc w:val="center"/>
    </w:pPr>
    <w:rPr>
      <w:rFonts w:eastAsia="仿宋_GB2312" w:hAnsi="Times New Roman"/>
      <w:b/>
      <w:color w:val="000000"/>
      <w:sz w:val="28"/>
    </w:rPr>
  </w:style>
  <w:style w:type="paragraph" w:customStyle="1" w:styleId="afffffffffffff5">
    <w:name w:val="投标正文"/>
    <w:basedOn w:val="a"/>
    <w:qFormat/>
    <w:pPr>
      <w:spacing w:line="360" w:lineRule="auto"/>
      <w:ind w:firstLineChars="200" w:firstLine="200"/>
    </w:pPr>
    <w:rPr>
      <w:rFonts w:ascii="Times New Roman" w:eastAsia="仿宋_GB2312" w:hAnsi="Times New Roman"/>
      <w:bCs/>
      <w:sz w:val="28"/>
    </w:rPr>
  </w:style>
  <w:style w:type="paragraph" w:customStyle="1" w:styleId="afffffffffffff6">
    <w:name w:val="设计（一）"/>
    <w:basedOn w:val="affffff4"/>
    <w:next w:val="affffffffffff7"/>
    <w:qFormat/>
    <w:pPr>
      <w:keepNext w:val="0"/>
      <w:adjustRightInd/>
      <w:snapToGrid/>
      <w:spacing w:afterLines="20" w:line="480" w:lineRule="auto"/>
      <w:ind w:firstLine="0"/>
      <w:jc w:val="center"/>
    </w:pPr>
    <w:rPr>
      <w:rFonts w:ascii="Times New Roman" w:hAnsi="Times New Roman"/>
      <w:b/>
      <w:bCs/>
      <w:color w:val="000000"/>
    </w:rPr>
  </w:style>
  <w:style w:type="paragraph" w:customStyle="1" w:styleId="kj">
    <w:name w:val="kj_标题黑"/>
    <w:basedOn w:val="a"/>
    <w:qFormat/>
    <w:pPr>
      <w:autoSpaceDE w:val="0"/>
      <w:autoSpaceDN w:val="0"/>
      <w:adjustRightInd w:val="0"/>
      <w:jc w:val="left"/>
      <w:outlineLvl w:val="1"/>
    </w:pPr>
    <w:rPr>
      <w:rFonts w:ascii="Times New Roman" w:hAnsi="Times New Roman"/>
      <w:b/>
      <w:kern w:val="0"/>
      <w:sz w:val="21"/>
      <w:szCs w:val="21"/>
    </w:rPr>
  </w:style>
  <w:style w:type="paragraph" w:customStyle="1" w:styleId="kj0">
    <w:name w:val="kj_正文"/>
    <w:basedOn w:val="a"/>
    <w:qFormat/>
    <w:pPr>
      <w:autoSpaceDE w:val="0"/>
      <w:autoSpaceDN w:val="0"/>
      <w:adjustRightInd w:val="0"/>
      <w:ind w:firstLineChars="200" w:firstLine="200"/>
      <w:jc w:val="left"/>
      <w:outlineLvl w:val="2"/>
    </w:pPr>
    <w:rPr>
      <w:rFonts w:ascii="Times New Roman" w:hAnsi="Times New Roman"/>
      <w:kern w:val="0"/>
      <w:sz w:val="21"/>
      <w:szCs w:val="21"/>
    </w:rPr>
  </w:style>
  <w:style w:type="paragraph" w:customStyle="1" w:styleId="kj1">
    <w:name w:val="kj_标题白"/>
    <w:basedOn w:val="a"/>
    <w:qFormat/>
    <w:pPr>
      <w:autoSpaceDE w:val="0"/>
      <w:autoSpaceDN w:val="0"/>
      <w:adjustRightInd w:val="0"/>
      <w:jc w:val="left"/>
      <w:outlineLvl w:val="2"/>
    </w:pPr>
    <w:rPr>
      <w:rFonts w:ascii="Times New Roman" w:hAnsi="Times New Roman"/>
      <w:kern w:val="0"/>
      <w:sz w:val="21"/>
      <w:szCs w:val="21"/>
    </w:rPr>
  </w:style>
  <w:style w:type="paragraph" w:customStyle="1" w:styleId="kja">
    <w:name w:val="kj_标题a"/>
    <w:basedOn w:val="a"/>
    <w:qFormat/>
    <w:pPr>
      <w:ind w:leftChars="200" w:left="620" w:hanging="420"/>
      <w:jc w:val="left"/>
      <w:outlineLvl w:val="3"/>
    </w:pPr>
    <w:rPr>
      <w:rFonts w:ascii="Times New Roman" w:hAnsi="Times New Roman"/>
      <w:kern w:val="0"/>
      <w:sz w:val="21"/>
      <w:szCs w:val="21"/>
    </w:rPr>
  </w:style>
  <w:style w:type="paragraph" w:customStyle="1" w:styleId="2ff7">
    <w:name w:val="样式 样式 报告正文 + 两端对齐 + 首行缩进:  2 字符"/>
    <w:basedOn w:val="a"/>
    <w:qFormat/>
    <w:pPr>
      <w:tabs>
        <w:tab w:val="left" w:pos="3319"/>
        <w:tab w:val="left" w:pos="3600"/>
      </w:tabs>
      <w:snapToGrid w:val="0"/>
      <w:spacing w:line="360" w:lineRule="auto"/>
      <w:ind w:firstLineChars="200" w:firstLine="560"/>
    </w:pPr>
    <w:rPr>
      <w:rFonts w:ascii="仿宋_GB2312" w:eastAsia="仿宋_GB2312" w:hAnsi="Times New Roman"/>
      <w:sz w:val="28"/>
    </w:rPr>
  </w:style>
  <w:style w:type="character" w:customStyle="1" w:styleId="Charffe">
    <w:name w:val="表格 Char"/>
    <w:qFormat/>
    <w:rPr>
      <w:rFonts w:ascii="仿宋_GB2312" w:eastAsia="仿宋_GB2312"/>
      <w:kern w:val="2"/>
      <w:sz w:val="21"/>
      <w:szCs w:val="21"/>
      <w:lang w:val="en-US" w:eastAsia="zh-CN" w:bidi="ar-SA"/>
    </w:rPr>
  </w:style>
  <w:style w:type="paragraph" w:customStyle="1" w:styleId="afffffffffffff7">
    <w:name w:val="表文"/>
    <w:basedOn w:val="a"/>
    <w:link w:val="Charfff"/>
    <w:qFormat/>
    <w:pPr>
      <w:keepNext/>
      <w:spacing w:line="240" w:lineRule="exact"/>
      <w:jc w:val="right"/>
    </w:pPr>
    <w:rPr>
      <w:rFonts w:ascii="仿宋_GB2312" w:eastAsia="仿宋_GB2312" w:hAnsi="Times New Roman"/>
      <w:color w:val="000000"/>
      <w:sz w:val="21"/>
      <w:szCs w:val="21"/>
    </w:rPr>
  </w:style>
  <w:style w:type="paragraph" w:customStyle="1" w:styleId="afffffffffffff8">
    <w:name w:val="样式 表文 + 居中"/>
    <w:basedOn w:val="afffffffffffff7"/>
    <w:qFormat/>
    <w:rPr>
      <w:rFonts w:cs="宋体"/>
      <w:b/>
      <w:bCs/>
      <w:position w:val="-6"/>
    </w:rPr>
  </w:style>
  <w:style w:type="paragraph" w:customStyle="1" w:styleId="afffffffffffff9">
    <w:name w:val="基本文字"/>
    <w:basedOn w:val="afd"/>
    <w:qFormat/>
    <w:pPr>
      <w:snapToGrid w:val="0"/>
      <w:ind w:firstLine="567"/>
      <w:jc w:val="left"/>
    </w:pPr>
    <w:rPr>
      <w:rFonts w:eastAsia="仿宋_GB2312"/>
      <w:kern w:val="21"/>
      <w:sz w:val="28"/>
    </w:rPr>
  </w:style>
  <w:style w:type="character" w:customStyle="1" w:styleId="Charfff0">
    <w:name w:val="基本文字 Char"/>
    <w:qFormat/>
    <w:rPr>
      <w:rFonts w:ascii="宋体" w:eastAsia="仿宋_GB2312" w:hAnsi="Courier New"/>
      <w:kern w:val="21"/>
      <w:sz w:val="28"/>
      <w:lang w:val="en-US" w:eastAsia="zh-CN" w:bidi="ar-SA"/>
    </w:rPr>
  </w:style>
  <w:style w:type="paragraph" w:customStyle="1" w:styleId="116">
    <w:name w:val="样式 节 + 段前: 1 行 段后: 1 行"/>
    <w:basedOn w:val="a"/>
    <w:qFormat/>
    <w:pPr>
      <w:keepNext/>
      <w:spacing w:line="360" w:lineRule="auto"/>
      <w:jc w:val="center"/>
    </w:pPr>
    <w:rPr>
      <w:rFonts w:ascii="Times New Roman" w:eastAsia="仿宋_GB2312" w:hAnsi="Times New Roman" w:cs="宋体"/>
      <w:sz w:val="28"/>
    </w:rPr>
  </w:style>
  <w:style w:type="paragraph" w:customStyle="1" w:styleId="222">
    <w:name w:val="样式 样式 样式 设计正文 + 首行缩进:  2 字符 + 首行缩进:  2 字符 + 首行缩进:  2 字符"/>
    <w:basedOn w:val="a"/>
    <w:qFormat/>
    <w:pPr>
      <w:keepNext/>
      <w:spacing w:line="360" w:lineRule="auto"/>
      <w:ind w:firstLineChars="200" w:firstLine="560"/>
    </w:pPr>
    <w:rPr>
      <w:rFonts w:ascii="Times New Roman" w:eastAsia="仿宋_GB2312" w:hAnsi="Times New Roman" w:cs="宋体"/>
      <w:b/>
      <w:sz w:val="28"/>
    </w:rPr>
  </w:style>
  <w:style w:type="character" w:customStyle="1" w:styleId="222Char">
    <w:name w:val="样式 样式 样式 设计正文 + 首行缩进:  2 字符 + 首行缩进:  2 字符 + 首行缩进:  2 字符 Char"/>
    <w:qFormat/>
    <w:rPr>
      <w:rFonts w:eastAsia="仿宋_GB2312" w:cs="宋体"/>
      <w:b/>
      <w:kern w:val="2"/>
      <w:sz w:val="28"/>
      <w:lang w:val="en-US" w:eastAsia="zh-CN" w:bidi="ar-SA"/>
    </w:rPr>
  </w:style>
  <w:style w:type="paragraph" w:customStyle="1" w:styleId="afffffffffffffa">
    <w:name w:val="样式 章 + 小三"/>
    <w:basedOn w:val="a"/>
    <w:qFormat/>
    <w:pPr>
      <w:keepNext/>
      <w:keepLines/>
      <w:pageBreakBefore/>
      <w:tabs>
        <w:tab w:val="left" w:pos="3780"/>
        <w:tab w:val="left" w:pos="5739"/>
      </w:tabs>
      <w:spacing w:line="720" w:lineRule="auto"/>
      <w:jc w:val="center"/>
      <w:outlineLvl w:val="0"/>
    </w:pPr>
    <w:rPr>
      <w:rFonts w:ascii="Times New Roman" w:eastAsia="仿宋_GB2312" w:hAnsi="Times New Roman"/>
      <w:kern w:val="44"/>
      <w:sz w:val="32"/>
      <w:szCs w:val="28"/>
    </w:rPr>
  </w:style>
  <w:style w:type="paragraph" w:customStyle="1" w:styleId="2220">
    <w:name w:val="样式 样式 样式 样式 设计正文 + 首行缩进:  2 字符 + 首行缩进:  2 字符 + 首行缩进:  2 字符 + 小三..."/>
    <w:basedOn w:val="222"/>
    <w:qFormat/>
  </w:style>
  <w:style w:type="paragraph" w:customStyle="1" w:styleId="11TimesNewRoman">
    <w:name w:val="样式 样式 样式 节 + 段前: 1 行 段后: 1 行 + 小三 非加粗 + Times New Roman"/>
    <w:basedOn w:val="a"/>
    <w:qFormat/>
    <w:pPr>
      <w:keepNext/>
      <w:spacing w:beforeLines="50" w:line="360" w:lineRule="auto"/>
      <w:jc w:val="center"/>
    </w:pPr>
    <w:rPr>
      <w:rFonts w:ascii="Times New Roman" w:eastAsia="仿宋_GB2312" w:hAnsi="Times New Roman" w:cs="宋体"/>
      <w:bCs/>
      <w:color w:val="000000"/>
      <w:sz w:val="30"/>
    </w:rPr>
  </w:style>
  <w:style w:type="paragraph" w:customStyle="1" w:styleId="2ff8">
    <w:name w:val="样式 表文 + 首行缩进:  2 字符"/>
    <w:basedOn w:val="afffffffffffff7"/>
    <w:qFormat/>
    <w:pPr>
      <w:jc w:val="center"/>
    </w:pPr>
    <w:rPr>
      <w:rFonts w:ascii="Times New Roman" w:cs="宋体"/>
      <w:b/>
      <w:color w:val="auto"/>
      <w:szCs w:val="20"/>
    </w:rPr>
  </w:style>
  <w:style w:type="character" w:customStyle="1" w:styleId="Charfff1">
    <w:name w:val="设计正文 Char"/>
    <w:qFormat/>
    <w:rPr>
      <w:rFonts w:ascii="Times" w:eastAsia="仿宋_GB2312" w:hAnsi="Times"/>
      <w:b/>
      <w:kern w:val="2"/>
      <w:sz w:val="28"/>
      <w:szCs w:val="24"/>
      <w:lang w:val="en-US" w:eastAsia="zh-CN" w:bidi="ar-SA"/>
    </w:rPr>
  </w:style>
  <w:style w:type="paragraph" w:customStyle="1" w:styleId="afffffffffffffb">
    <w:name w:val="一级标题"/>
    <w:basedOn w:val="a"/>
    <w:next w:val="a"/>
    <w:qFormat/>
    <w:pPr>
      <w:keepLines/>
      <w:pageBreakBefore/>
      <w:spacing w:afterLines="60"/>
      <w:ind w:firstLineChars="200" w:firstLine="200"/>
      <w:jc w:val="center"/>
      <w:outlineLvl w:val="0"/>
    </w:pPr>
    <w:rPr>
      <w:rFonts w:ascii="Times" w:hAnsi="Times"/>
      <w:sz w:val="28"/>
      <w:szCs w:val="24"/>
    </w:rPr>
  </w:style>
  <w:style w:type="paragraph" w:customStyle="1" w:styleId="afffffffffffffc">
    <w:name w:val="表名图名"/>
    <w:basedOn w:val="a"/>
    <w:qFormat/>
    <w:pPr>
      <w:keepNext/>
      <w:adjustRightInd w:val="0"/>
      <w:spacing w:line="240" w:lineRule="exact"/>
      <w:jc w:val="center"/>
      <w:textAlignment w:val="baseline"/>
    </w:pPr>
    <w:rPr>
      <w:rFonts w:hAnsi="Times"/>
      <w:b/>
      <w:sz w:val="20"/>
      <w:szCs w:val="21"/>
    </w:rPr>
  </w:style>
  <w:style w:type="paragraph" w:customStyle="1" w:styleId="afffffffffffffd">
    <w:name w:val="表内图注"/>
    <w:basedOn w:val="a"/>
    <w:qFormat/>
    <w:pPr>
      <w:keepNext/>
      <w:adjustRightInd w:val="0"/>
      <w:jc w:val="center"/>
      <w:textAlignment w:val="baseline"/>
    </w:pPr>
    <w:rPr>
      <w:rFonts w:ascii="Times" w:hAnsi="Times"/>
      <w:b/>
      <w:sz w:val="21"/>
      <w:szCs w:val="21"/>
    </w:rPr>
  </w:style>
  <w:style w:type="paragraph" w:customStyle="1" w:styleId="afffffffffffffe">
    <w:name w:val="次级标题"/>
    <w:basedOn w:val="a"/>
    <w:next w:val="a"/>
    <w:qFormat/>
    <w:pPr>
      <w:keepLines/>
      <w:spacing w:beforeLines="30"/>
      <w:ind w:firstLineChars="200" w:firstLine="200"/>
      <w:jc w:val="center"/>
      <w:outlineLvl w:val="1"/>
    </w:pPr>
    <w:rPr>
      <w:rFonts w:ascii="Times" w:hAnsi="Times"/>
      <w:szCs w:val="24"/>
    </w:rPr>
  </w:style>
  <w:style w:type="paragraph" w:customStyle="1" w:styleId="321">
    <w:name w:val="标题32"/>
    <w:basedOn w:val="40"/>
    <w:qFormat/>
    <w:pPr>
      <w:keepLines w:val="0"/>
      <w:widowControl/>
      <w:adjustRightInd w:val="0"/>
      <w:snapToGrid w:val="0"/>
      <w:spacing w:beforeLines="30" w:afterLines="30" w:line="300" w:lineRule="auto"/>
      <w:textAlignment w:val="baseline"/>
    </w:pPr>
    <w:rPr>
      <w:rFonts w:ascii="黑体" w:hAnsi="宋体"/>
      <w:bCs/>
      <w:spacing w:val="4"/>
      <w:szCs w:val="21"/>
    </w:rPr>
  </w:style>
  <w:style w:type="paragraph" w:customStyle="1" w:styleId="affffffffffffff">
    <w:name w:val="部分"/>
    <w:basedOn w:val="a"/>
    <w:qFormat/>
    <w:pPr>
      <w:keepNext/>
      <w:spacing w:line="480" w:lineRule="auto"/>
      <w:jc w:val="center"/>
    </w:pPr>
    <w:rPr>
      <w:rFonts w:ascii="Times" w:hAnsi="Times"/>
      <w:sz w:val="32"/>
      <w:szCs w:val="24"/>
    </w:rPr>
  </w:style>
  <w:style w:type="paragraph" w:customStyle="1" w:styleId="affffffffffffff0">
    <w:name w:val="四号正文"/>
    <w:basedOn w:val="a"/>
    <w:qFormat/>
    <w:pPr>
      <w:ind w:firstLineChars="200" w:firstLine="200"/>
      <w:jc w:val="center"/>
    </w:pPr>
    <w:rPr>
      <w:rFonts w:ascii="Times" w:hAnsi="Times"/>
      <w:b/>
      <w:sz w:val="28"/>
      <w:szCs w:val="24"/>
    </w:rPr>
  </w:style>
  <w:style w:type="paragraph" w:customStyle="1" w:styleId="66">
    <w:name w:val="标题6"/>
    <w:basedOn w:val="a"/>
    <w:qFormat/>
    <w:pPr>
      <w:jc w:val="center"/>
    </w:pPr>
    <w:rPr>
      <w:rFonts w:ascii="Times" w:eastAsia="黑体" w:hAnsi="Times"/>
      <w:b/>
      <w:sz w:val="28"/>
      <w:szCs w:val="24"/>
    </w:rPr>
  </w:style>
  <w:style w:type="paragraph" w:customStyle="1" w:styleId="affffffffffffff1">
    <w:name w:val="报告名称"/>
    <w:basedOn w:val="affffff4"/>
    <w:next w:val="affffffffffff5"/>
    <w:qFormat/>
    <w:pPr>
      <w:keepNext w:val="0"/>
      <w:tabs>
        <w:tab w:val="left" w:pos="3319"/>
      </w:tabs>
      <w:adjustRightInd/>
      <w:snapToGrid/>
      <w:spacing w:before="240" w:after="240" w:line="240" w:lineRule="auto"/>
      <w:ind w:leftChars="100" w:left="281" w:rightChars="100" w:right="281" w:firstLineChars="200" w:firstLine="419"/>
      <w:jc w:val="center"/>
      <w:outlineLvl w:val="0"/>
    </w:pPr>
    <w:rPr>
      <w:rFonts w:ascii="仿宋_GB2312" w:eastAsia="楷体_GB2312" w:hAnsi="Times New Roman"/>
      <w:b/>
      <w:bCs/>
      <w:color w:val="000000"/>
      <w:spacing w:val="-12"/>
      <w:sz w:val="52"/>
      <w:szCs w:val="28"/>
    </w:rPr>
  </w:style>
  <w:style w:type="paragraph" w:customStyle="1" w:styleId="Normal1">
    <w:name w:val="Normal1"/>
    <w:qFormat/>
    <w:pPr>
      <w:widowControl w:val="0"/>
      <w:adjustRightInd w:val="0"/>
      <w:spacing w:line="312" w:lineRule="atLeast"/>
      <w:jc w:val="both"/>
      <w:textAlignment w:val="baseline"/>
    </w:pPr>
    <w:rPr>
      <w:rFonts w:ascii="宋体"/>
      <w:sz w:val="34"/>
    </w:rPr>
  </w:style>
  <w:style w:type="paragraph" w:customStyle="1" w:styleId="3fc">
    <w:name w:val="样式3附图"/>
    <w:basedOn w:val="affffff4"/>
    <w:qFormat/>
    <w:pPr>
      <w:keepNext w:val="0"/>
      <w:tabs>
        <w:tab w:val="left" w:pos="3319"/>
      </w:tabs>
      <w:adjustRightInd/>
      <w:snapToGrid/>
      <w:ind w:leftChars="100" w:left="210" w:rightChars="100" w:right="210" w:firstLine="0"/>
    </w:pPr>
    <w:rPr>
      <w:rFonts w:ascii="仿宋_GB2312" w:hAnsi="Times New Roman"/>
      <w:b/>
      <w:bCs/>
      <w:color w:val="FF6600"/>
      <w:spacing w:val="-12"/>
      <w:szCs w:val="28"/>
    </w:rPr>
  </w:style>
  <w:style w:type="paragraph" w:customStyle="1" w:styleId="affffffffffffff2">
    <w:name w:val="样章"/>
    <w:basedOn w:val="a"/>
    <w:next w:val="affffffffffffa"/>
    <w:qFormat/>
    <w:pPr>
      <w:keepNext/>
      <w:spacing w:line="480" w:lineRule="auto"/>
      <w:jc w:val="center"/>
    </w:pPr>
    <w:rPr>
      <w:rFonts w:ascii="Times" w:eastAsia="仿宋_GB2312" w:hAnsi="Times"/>
      <w:b/>
      <w:bCs/>
      <w:sz w:val="72"/>
      <w:szCs w:val="24"/>
    </w:rPr>
  </w:style>
  <w:style w:type="paragraph" w:customStyle="1" w:styleId="1ff8">
    <w:name w:val="设计正文1"/>
    <w:basedOn w:val="affffffffffff7"/>
    <w:next w:val="affffffffffff7"/>
    <w:qFormat/>
    <w:pPr>
      <w:keepNext w:val="0"/>
      <w:tabs>
        <w:tab w:val="left" w:pos="620"/>
      </w:tabs>
      <w:spacing w:line="240" w:lineRule="auto"/>
      <w:ind w:left="620" w:hanging="332"/>
      <w:jc w:val="left"/>
    </w:pPr>
    <w:rPr>
      <w:rFonts w:eastAsia="宋体"/>
      <w:b/>
      <w:color w:val="auto"/>
    </w:rPr>
  </w:style>
  <w:style w:type="paragraph" w:customStyle="1" w:styleId="affffffffffffff3">
    <w:name w:val="投标一)"/>
    <w:basedOn w:val="a"/>
    <w:qFormat/>
    <w:pPr>
      <w:keepNext/>
      <w:ind w:firstLineChars="200" w:firstLine="200"/>
    </w:pPr>
    <w:rPr>
      <w:rFonts w:ascii="Times New Roman" w:eastAsia="仿宋_GB2312" w:hAnsi="Times New Roman"/>
      <w:sz w:val="28"/>
    </w:rPr>
  </w:style>
  <w:style w:type="paragraph" w:customStyle="1" w:styleId="affffffffffffff4">
    <w:name w:val="大调查章"/>
    <w:basedOn w:val="a"/>
    <w:qFormat/>
    <w:pPr>
      <w:pageBreakBefore/>
      <w:spacing w:line="300" w:lineRule="auto"/>
      <w:jc w:val="center"/>
      <w:outlineLvl w:val="0"/>
    </w:pPr>
    <w:rPr>
      <w:rFonts w:ascii="Times New Roman" w:eastAsia="仿宋_GB2312" w:hAnsi="Times New Roman"/>
      <w:b/>
      <w:sz w:val="32"/>
    </w:rPr>
  </w:style>
  <w:style w:type="paragraph" w:customStyle="1" w:styleId="071">
    <w:name w:val="样式 设计正文 + 首行缩进:  0.71 字符"/>
    <w:basedOn w:val="affffffffffff7"/>
    <w:qFormat/>
    <w:pPr>
      <w:spacing w:line="480" w:lineRule="auto"/>
      <w:ind w:firstLineChars="200" w:firstLine="562"/>
      <w:jc w:val="both"/>
    </w:pPr>
    <w:rPr>
      <w:rFonts w:cs="宋体"/>
    </w:rPr>
  </w:style>
  <w:style w:type="paragraph" w:customStyle="1" w:styleId="affffffffffffff5">
    <w:name w:val="样式 报告一 + 两端对齐"/>
    <w:basedOn w:val="affffffffffff6"/>
    <w:qFormat/>
    <w:pPr>
      <w:widowControl/>
      <w:tabs>
        <w:tab w:val="left" w:pos="3319"/>
        <w:tab w:val="left" w:pos="3600"/>
      </w:tabs>
      <w:ind w:leftChars="100" w:left="281" w:rightChars="100" w:right="281" w:firstLine="560"/>
      <w:jc w:val="left"/>
      <w:outlineLvl w:val="3"/>
    </w:pPr>
    <w:rPr>
      <w:rFonts w:hAnsi="宋体" w:cs="宋体"/>
      <w:szCs w:val="20"/>
    </w:rPr>
  </w:style>
  <w:style w:type="paragraph" w:customStyle="1" w:styleId="2ff9">
    <w:name w:val="样式 样式 报告一 + 两端对齐 + 首行缩进:  2 字符"/>
    <w:basedOn w:val="affffffffffffff5"/>
    <w:qFormat/>
    <w:pPr>
      <w:spacing w:beforeLines="100"/>
    </w:pPr>
    <w:rPr>
      <w:bCs/>
    </w:rPr>
  </w:style>
  <w:style w:type="paragraph" w:customStyle="1" w:styleId="2ffa">
    <w:name w:val="样式 设计正文 + 首行缩进:  2 字符"/>
    <w:basedOn w:val="affffffffffff7"/>
    <w:qFormat/>
    <w:pPr>
      <w:spacing w:line="360" w:lineRule="auto"/>
      <w:ind w:firstLineChars="200" w:firstLine="560"/>
      <w:jc w:val="both"/>
    </w:pPr>
    <w:rPr>
      <w:rFonts w:ascii="Times" w:hAnsi="Times" w:cs="宋体"/>
      <w:b/>
      <w:color w:val="auto"/>
      <w:szCs w:val="24"/>
    </w:rPr>
  </w:style>
  <w:style w:type="character" w:customStyle="1" w:styleId="2Char5">
    <w:name w:val="样式 设计正文 + 首行缩进:  2 字符 Char"/>
    <w:qFormat/>
    <w:rPr>
      <w:rFonts w:ascii="Times" w:eastAsia="仿宋_GB2312" w:hAnsi="Times" w:cs="宋体"/>
      <w:b/>
      <w:kern w:val="2"/>
      <w:sz w:val="28"/>
      <w:szCs w:val="24"/>
      <w:lang w:val="en-US" w:eastAsia="zh-CN" w:bidi="ar-SA"/>
    </w:rPr>
  </w:style>
  <w:style w:type="paragraph" w:customStyle="1" w:styleId="affffffffffffff6">
    <w:name w:val="样式 报告正文 + 两端对齐"/>
    <w:basedOn w:val="affffff4"/>
    <w:qFormat/>
    <w:pPr>
      <w:widowControl/>
      <w:tabs>
        <w:tab w:val="left" w:pos="3319"/>
        <w:tab w:val="left" w:pos="3600"/>
      </w:tabs>
      <w:adjustRightInd/>
      <w:snapToGrid/>
      <w:ind w:leftChars="100" w:left="281" w:rightChars="100" w:right="281" w:firstLineChars="200" w:firstLine="560"/>
      <w:jc w:val="left"/>
    </w:pPr>
    <w:rPr>
      <w:rFonts w:ascii="Times New Roman" w:cs="宋体"/>
      <w:szCs w:val="28"/>
    </w:rPr>
  </w:style>
  <w:style w:type="paragraph" w:customStyle="1" w:styleId="2ffb">
    <w:name w:val="样式 基本文字 + 两端对齐 首行缩进:  2 字符"/>
    <w:basedOn w:val="afffffffffffff9"/>
    <w:qFormat/>
    <w:pPr>
      <w:keepNext/>
      <w:spacing w:line="360" w:lineRule="auto"/>
      <w:ind w:firstLine="200"/>
      <w:jc w:val="both"/>
    </w:pPr>
    <w:rPr>
      <w:rFonts w:cs="宋体"/>
    </w:rPr>
  </w:style>
  <w:style w:type="paragraph" w:customStyle="1" w:styleId="2153">
    <w:name w:val="样式 基本文字 + 两端对齐 首行缩进:  2 字符 行距: 1.5 倍行距"/>
    <w:basedOn w:val="afffffffffffff9"/>
    <w:qFormat/>
    <w:pPr>
      <w:keepNext/>
      <w:spacing w:line="360" w:lineRule="auto"/>
      <w:ind w:firstLine="200"/>
      <w:jc w:val="both"/>
    </w:pPr>
    <w:rPr>
      <w:rFonts w:cs="宋体"/>
    </w:rPr>
  </w:style>
  <w:style w:type="paragraph" w:customStyle="1" w:styleId="affffffffffffff7">
    <w:name w:val="样式 表文 + 非加粗 居中"/>
    <w:basedOn w:val="afffffffffffff7"/>
    <w:qFormat/>
    <w:pPr>
      <w:ind w:firstLineChars="200" w:firstLine="562"/>
      <w:jc w:val="center"/>
    </w:pPr>
    <w:rPr>
      <w:rFonts w:ascii="Times New Roman" w:cs="宋体"/>
      <w:color w:val="auto"/>
      <w:kern w:val="0"/>
      <w:szCs w:val="20"/>
    </w:rPr>
  </w:style>
  <w:style w:type="paragraph" w:customStyle="1" w:styleId="affffffffffffff8">
    <w:name w:val="样式 表 + 小五"/>
    <w:basedOn w:val="afffffffff5"/>
    <w:qFormat/>
    <w:pPr>
      <w:keepNext/>
      <w:adjustRightInd/>
      <w:spacing w:before="0" w:line="200" w:lineRule="exact"/>
      <w:jc w:val="center"/>
      <w:textAlignment w:val="auto"/>
      <w:outlineLvl w:val="2"/>
    </w:pPr>
    <w:rPr>
      <w:rFonts w:ascii="Times New Roman" w:eastAsia="仿宋_GB2312" w:hAnsi="Times New Roman"/>
      <w:b/>
      <w:bCs/>
      <w:sz w:val="18"/>
      <w:szCs w:val="24"/>
    </w:rPr>
  </w:style>
  <w:style w:type="paragraph" w:customStyle="1" w:styleId="220">
    <w:name w:val="样式 样式 设计正文 + 首行缩进:  2 字符 + 首行缩进:  2 字符"/>
    <w:basedOn w:val="2ffa"/>
    <w:qFormat/>
    <w:pPr>
      <w:ind w:firstLine="562"/>
    </w:pPr>
    <w:rPr>
      <w:bCs/>
    </w:rPr>
  </w:style>
  <w:style w:type="character" w:customStyle="1" w:styleId="22Char">
    <w:name w:val="样式 样式 设计正文 + 首行缩进:  2 字符 + 首行缩进:  2 字符 Char"/>
    <w:qFormat/>
    <w:rPr>
      <w:rFonts w:ascii="Times" w:eastAsia="仿宋_GB2312" w:hAnsi="Times" w:cs="宋体"/>
      <w:b/>
      <w:bCs/>
      <w:kern w:val="2"/>
      <w:sz w:val="28"/>
      <w:szCs w:val="24"/>
      <w:lang w:val="en-US" w:eastAsia="zh-CN" w:bidi="ar-SA"/>
    </w:rPr>
  </w:style>
  <w:style w:type="paragraph" w:customStyle="1" w:styleId="21520">
    <w:name w:val="样式 样式 基本文字 + 两端对齐 首行缩进:  2 字符 行距: 1.5 倍行距 + 首行缩进:  2 字符"/>
    <w:basedOn w:val="2153"/>
    <w:qFormat/>
    <w:rPr>
      <w:b/>
      <w:bCs/>
    </w:rPr>
  </w:style>
  <w:style w:type="paragraph" w:customStyle="1" w:styleId="0712">
    <w:name w:val="样式 样式 设计正文 + 首行缩进:  0.71 字符 + 首行缩进:  2 字符"/>
    <w:basedOn w:val="071"/>
    <w:qFormat/>
    <w:pPr>
      <w:spacing w:line="360" w:lineRule="auto"/>
      <w:ind w:firstLine="560"/>
    </w:pPr>
    <w:rPr>
      <w:b/>
      <w:bCs/>
    </w:rPr>
  </w:style>
  <w:style w:type="paragraph" w:customStyle="1" w:styleId="153">
    <w:name w:val="样式 纯文本 + 两端对齐 行距: 1.5 倍行距"/>
    <w:basedOn w:val="afd"/>
    <w:qFormat/>
    <w:pPr>
      <w:keepNext/>
      <w:spacing w:line="360" w:lineRule="auto"/>
      <w:ind w:firstLine="560"/>
    </w:pPr>
    <w:rPr>
      <w:rFonts w:ascii="Times New Roman" w:eastAsia="仿宋_GB2312" w:cs="宋体"/>
      <w:b/>
      <w:bCs/>
      <w:sz w:val="28"/>
    </w:rPr>
  </w:style>
  <w:style w:type="character" w:customStyle="1" w:styleId="CharCharf0">
    <w:name w:val="基本文字 Char Char"/>
    <w:qFormat/>
    <w:rPr>
      <w:rFonts w:ascii="宋体" w:eastAsia="仿宋_GB2312" w:hAnsi="Courier New" w:cs="Courier New"/>
      <w:kern w:val="21"/>
      <w:sz w:val="28"/>
      <w:szCs w:val="21"/>
      <w:lang w:val="en-US" w:eastAsia="zh-CN" w:bidi="ar-SA"/>
    </w:rPr>
  </w:style>
  <w:style w:type="paragraph" w:customStyle="1" w:styleId="affffffffffffff9">
    <w:name w:val="(一)标题"/>
    <w:basedOn w:val="a"/>
    <w:qFormat/>
    <w:pPr>
      <w:snapToGrid w:val="0"/>
      <w:spacing w:line="500" w:lineRule="exact"/>
      <w:ind w:firstLineChars="200" w:firstLine="567"/>
      <w:jc w:val="left"/>
    </w:pPr>
    <w:rPr>
      <w:rFonts w:ascii="Times New Roman" w:eastAsia="黑体" w:hAnsi="Times New Roman"/>
      <w:b/>
      <w:kern w:val="21"/>
      <w:sz w:val="28"/>
    </w:rPr>
  </w:style>
  <w:style w:type="paragraph" w:customStyle="1" w:styleId="117">
    <w:name w:val="样式 样式 节 + 段前: 1 行 段后: 1 行 + 小三 非加粗"/>
    <w:basedOn w:val="116"/>
    <w:qFormat/>
    <w:pPr>
      <w:spacing w:beforeLines="50"/>
    </w:pPr>
    <w:rPr>
      <w:sz w:val="30"/>
    </w:rPr>
  </w:style>
  <w:style w:type="paragraph" w:customStyle="1" w:styleId="221">
    <w:name w:val="样式 样式 样式 报告一 + 两端对齐 + 首行缩进:  2 字符 + 首行缩进:  2 字符"/>
    <w:basedOn w:val="2ff9"/>
    <w:qFormat/>
    <w:pPr>
      <w:ind w:firstLine="562"/>
    </w:pPr>
  </w:style>
  <w:style w:type="paragraph" w:customStyle="1" w:styleId="2221">
    <w:name w:val="样式 样式 样式 样式 设计正文 + 首行缩进:  2 字符 + 首行缩进:  2 字符 + 首行缩进:  2 字符 + 小三"/>
    <w:basedOn w:val="222"/>
    <w:qFormat/>
    <w:pPr>
      <w:widowControl/>
      <w:ind w:firstLine="200"/>
    </w:pPr>
  </w:style>
  <w:style w:type="character" w:customStyle="1" w:styleId="222Char0">
    <w:name w:val="样式 样式 样式 样式 设计正文 + 首行缩进:  2 字符 + 首行缩进:  2 字符 + 首行缩进:  2 字符 + 小三 Char"/>
    <w:basedOn w:val="222Char"/>
    <w:qFormat/>
    <w:rPr>
      <w:rFonts w:eastAsia="仿宋_GB2312" w:cs="宋体"/>
      <w:b/>
      <w:kern w:val="2"/>
      <w:sz w:val="28"/>
      <w:lang w:val="en-US" w:eastAsia="zh-CN" w:bidi="ar-SA"/>
    </w:rPr>
  </w:style>
  <w:style w:type="paragraph" w:customStyle="1" w:styleId="affffffffffffffa">
    <w:name w:val="样式 样式 表文 + 居中 + 华文细黑 非加粗"/>
    <w:basedOn w:val="afffffffffffff8"/>
    <w:qFormat/>
    <w:pPr>
      <w:framePr w:hSpace="180" w:wrap="around" w:vAnchor="text" w:hAnchor="margin" w:y="62"/>
      <w:jc w:val="center"/>
    </w:pPr>
    <w:rPr>
      <w:rFonts w:ascii="Times New Roman" w:hAnsi="华文细黑"/>
      <w:b w:val="0"/>
      <w:bCs w:val="0"/>
      <w:color w:val="auto"/>
      <w:position w:val="0"/>
      <w:szCs w:val="20"/>
    </w:rPr>
  </w:style>
  <w:style w:type="paragraph" w:customStyle="1" w:styleId="TimesNewRoman0">
    <w:name w:val="样式 样式 样式 表文 + 居中 + 华文细黑 非加粗 + Times New Roman"/>
    <w:basedOn w:val="affffffffffffffa"/>
    <w:qFormat/>
    <w:pPr>
      <w:framePr w:wrap="around"/>
    </w:pPr>
    <w:rPr>
      <w:rFonts w:hAnsi="Times New Roman"/>
    </w:rPr>
  </w:style>
  <w:style w:type="paragraph" w:customStyle="1" w:styleId="322">
    <w:name w:val="样式 正文文本缩进 3 + 左侧:  2 字符 首行缩进:  2 字符"/>
    <w:basedOn w:val="38"/>
    <w:qFormat/>
    <w:pPr>
      <w:keepNext/>
      <w:spacing w:after="0" w:line="360" w:lineRule="auto"/>
      <w:ind w:leftChars="0" w:left="0" w:firstLineChars="200" w:firstLine="562"/>
    </w:pPr>
    <w:rPr>
      <w:rFonts w:ascii="Times New Roman" w:eastAsia="仿宋_GB2312" w:hAnsi="Times New Roman" w:cs="宋体"/>
      <w:b/>
      <w:sz w:val="28"/>
    </w:rPr>
  </w:style>
  <w:style w:type="paragraph" w:customStyle="1" w:styleId="121">
    <w:name w:val="样式 表格 + 行距: 固定值 12 磅"/>
    <w:basedOn w:val="afffffffff4"/>
    <w:qFormat/>
    <w:pPr>
      <w:keepNext/>
      <w:snapToGrid/>
      <w:spacing w:line="240" w:lineRule="exact"/>
      <w:ind w:firstLineChars="200" w:firstLine="482"/>
      <w:jc w:val="center"/>
    </w:pPr>
    <w:rPr>
      <w:rFonts w:ascii="Times New Roman" w:eastAsia="仿宋_GB2312" w:hAnsi="Times New Roman" w:cs="宋体"/>
    </w:rPr>
  </w:style>
  <w:style w:type="paragraph" w:customStyle="1" w:styleId="affffffffffffffb">
    <w:name w:val="样式 表正文 + 居中"/>
    <w:basedOn w:val="a9"/>
    <w:qFormat/>
    <w:pPr>
      <w:keepNext/>
      <w:adjustRightInd/>
      <w:snapToGrid/>
      <w:spacing w:line="240" w:lineRule="exact"/>
      <w:ind w:firstLine="0"/>
      <w:jc w:val="center"/>
    </w:pPr>
    <w:rPr>
      <w:rFonts w:ascii="Times New Roman" w:eastAsia="仿宋_GB2312" w:hAnsi="Times New Roman" w:cs="宋体"/>
      <w:b/>
      <w:sz w:val="18"/>
    </w:rPr>
  </w:style>
  <w:style w:type="paragraph" w:customStyle="1" w:styleId="093">
    <w:name w:val="样式 报告正文 + 首行缩进:  0.93 厘米"/>
    <w:basedOn w:val="affffff4"/>
    <w:qFormat/>
    <w:pPr>
      <w:widowControl/>
      <w:adjustRightInd/>
      <w:snapToGrid/>
      <w:ind w:leftChars="100" w:left="281" w:rightChars="100" w:right="281" w:firstLineChars="200" w:firstLine="200"/>
      <w:jc w:val="left"/>
    </w:pPr>
    <w:rPr>
      <w:rFonts w:ascii="仿宋_GB2312" w:hAnsi="Times New Roman" w:cs="宋体"/>
      <w:color w:val="000000"/>
      <w:spacing w:val="-8"/>
    </w:rPr>
  </w:style>
  <w:style w:type="paragraph" w:customStyle="1" w:styleId="079">
    <w:name w:val="样式 表头 + 首行缩进:  0.79 厘米"/>
    <w:basedOn w:val="affffff0"/>
    <w:qFormat/>
    <w:pPr>
      <w:keepNext/>
      <w:widowControl/>
      <w:tabs>
        <w:tab w:val="clear" w:pos="6840"/>
      </w:tabs>
      <w:topLinePunct w:val="0"/>
      <w:snapToGrid/>
      <w:spacing w:line="240" w:lineRule="auto"/>
      <w:ind w:leftChars="100" w:left="281" w:rightChars="100" w:right="281"/>
      <w:jc w:val="right"/>
    </w:pPr>
    <w:rPr>
      <w:rFonts w:ascii="仿宋_GB2312" w:eastAsia="仿宋_GB2312" w:hAnsi="Times New Roman" w:cs="宋体"/>
      <w:bCs/>
      <w:color w:val="000000"/>
      <w:spacing w:val="-8"/>
      <w:kern w:val="2"/>
    </w:rPr>
  </w:style>
  <w:style w:type="paragraph" w:customStyle="1" w:styleId="affffffffffffffc">
    <w:name w:val="表名&amp;图名"/>
    <w:basedOn w:val="a"/>
    <w:qFormat/>
    <w:pPr>
      <w:adjustRightInd w:val="0"/>
      <w:snapToGrid w:val="0"/>
      <w:jc w:val="center"/>
    </w:pPr>
    <w:rPr>
      <w:rFonts w:ascii="Times New Roman" w:eastAsia="黑体" w:hAnsi="Times New Roman"/>
      <w:sz w:val="21"/>
      <w:szCs w:val="21"/>
    </w:rPr>
  </w:style>
  <w:style w:type="character" w:customStyle="1" w:styleId="Charfff2">
    <w:name w:val="表名&amp;图名 Char"/>
    <w:qFormat/>
    <w:rPr>
      <w:rFonts w:eastAsia="黑体"/>
      <w:kern w:val="2"/>
      <w:sz w:val="21"/>
      <w:szCs w:val="21"/>
      <w:lang w:val="en-US" w:eastAsia="zh-CN" w:bidi="ar-SA"/>
    </w:rPr>
  </w:style>
  <w:style w:type="paragraph" w:customStyle="1" w:styleId="2ffc">
    <w:name w:val="样式 报告一 + 首行缩进:  2 字符"/>
    <w:basedOn w:val="affffffffffff6"/>
    <w:qFormat/>
    <w:pPr>
      <w:widowControl/>
      <w:tabs>
        <w:tab w:val="left" w:pos="3319"/>
      </w:tabs>
      <w:ind w:leftChars="100" w:left="281" w:rightChars="100" w:right="281" w:firstLine="544"/>
      <w:jc w:val="left"/>
      <w:outlineLvl w:val="3"/>
    </w:pPr>
    <w:rPr>
      <w:spacing w:val="-4"/>
      <w:szCs w:val="20"/>
    </w:rPr>
  </w:style>
  <w:style w:type="paragraph" w:customStyle="1" w:styleId="06">
    <w:name w:val="样式 报告正文 + 两端对齐 左侧:  0 厘米"/>
    <w:basedOn w:val="a"/>
    <w:qFormat/>
    <w:pPr>
      <w:tabs>
        <w:tab w:val="left" w:pos="1620"/>
        <w:tab w:val="left" w:pos="3600"/>
        <w:tab w:val="left" w:pos="5940"/>
        <w:tab w:val="left" w:pos="7020"/>
        <w:tab w:val="left" w:pos="7740"/>
        <w:tab w:val="left" w:pos="8100"/>
      </w:tabs>
      <w:spacing w:line="360" w:lineRule="auto"/>
      <w:ind w:firstLineChars="264" w:firstLine="718"/>
    </w:pPr>
    <w:rPr>
      <w:rFonts w:ascii="仿宋_GB2312" w:eastAsia="仿宋_GB2312" w:hAnsi="仿宋_GB2312"/>
      <w:color w:val="000000"/>
      <w:spacing w:val="-4"/>
      <w:sz w:val="28"/>
    </w:rPr>
  </w:style>
  <w:style w:type="paragraph" w:customStyle="1" w:styleId="CharGB2312">
    <w:name w:val="样式 报告正文 Char + 仿宋_GB2312"/>
    <w:basedOn w:val="a"/>
    <w:qFormat/>
    <w:pPr>
      <w:keepNext/>
      <w:widowControl/>
      <w:autoSpaceDE w:val="0"/>
      <w:autoSpaceDN w:val="0"/>
      <w:adjustRightInd w:val="0"/>
      <w:snapToGrid w:val="0"/>
      <w:spacing w:line="360" w:lineRule="auto"/>
      <w:ind w:firstLineChars="200" w:firstLine="560"/>
    </w:pPr>
    <w:rPr>
      <w:rFonts w:ascii="仿宋_GB2312" w:eastAsia="仿宋_GB2312" w:hAnsi="仿宋_GB2312"/>
      <w:sz w:val="28"/>
      <w:szCs w:val="28"/>
    </w:rPr>
  </w:style>
  <w:style w:type="paragraph" w:customStyle="1" w:styleId="GB2312">
    <w:name w:val="样式 报告正文 + 仿宋_GB2312 黑色"/>
    <w:basedOn w:val="affffff4"/>
    <w:link w:val="GB2312Char"/>
    <w:qFormat/>
    <w:pPr>
      <w:widowControl/>
      <w:tabs>
        <w:tab w:val="left" w:pos="3319"/>
      </w:tabs>
      <w:adjustRightInd/>
      <w:snapToGrid/>
      <w:ind w:firstLineChars="200" w:firstLine="544"/>
      <w:jc w:val="left"/>
    </w:pPr>
    <w:rPr>
      <w:rFonts w:ascii="Times New Roman" w:hAnsi="Times New Roman"/>
      <w:color w:val="000000"/>
      <w:spacing w:val="-4"/>
      <w:szCs w:val="28"/>
    </w:rPr>
  </w:style>
  <w:style w:type="character" w:customStyle="1" w:styleId="GB2312Char">
    <w:name w:val="样式 报告正文 + 仿宋_GB2312 黑色 Char"/>
    <w:link w:val="GB2312"/>
    <w:qFormat/>
    <w:rPr>
      <w:rFonts w:eastAsia="仿宋_GB2312"/>
      <w:color w:val="000000"/>
      <w:spacing w:val="-4"/>
      <w:kern w:val="2"/>
      <w:sz w:val="28"/>
      <w:szCs w:val="28"/>
    </w:rPr>
  </w:style>
  <w:style w:type="character" w:customStyle="1" w:styleId="Charfff3">
    <w:name w:val="样式 报告正文 + 红色 Char"/>
    <w:link w:val="affffffffffffffd"/>
    <w:qFormat/>
    <w:rPr>
      <w:rFonts w:ascii="Times" w:eastAsia="仿宋_GB2312" w:hAnsi="Times"/>
      <w:bCs/>
      <w:color w:val="FF0000"/>
      <w:spacing w:val="-2"/>
      <w:kern w:val="2"/>
      <w:sz w:val="28"/>
      <w:lang w:val="zh-CN"/>
    </w:rPr>
  </w:style>
  <w:style w:type="paragraph" w:customStyle="1" w:styleId="affffffffffffffd">
    <w:name w:val="样式 报告正文 + 红色"/>
    <w:basedOn w:val="affffff4"/>
    <w:link w:val="Charfff3"/>
    <w:qFormat/>
    <w:pPr>
      <w:keepNext w:val="0"/>
      <w:autoSpaceDE w:val="0"/>
      <w:autoSpaceDN w:val="0"/>
      <w:snapToGrid/>
      <w:ind w:firstLineChars="200" w:firstLine="560"/>
      <w:jc w:val="left"/>
    </w:pPr>
    <w:rPr>
      <w:rFonts w:ascii="Times" w:hAnsi="Times"/>
      <w:bCs/>
      <w:color w:val="FF0000"/>
      <w:spacing w:val="-2"/>
      <w:lang w:val="zh-CN"/>
    </w:rPr>
  </w:style>
  <w:style w:type="paragraph" w:customStyle="1" w:styleId="223">
    <w:name w:val="样式 样式 首行缩进:  2 字符 + 首行缩进:  2 字符"/>
    <w:basedOn w:val="a"/>
    <w:qFormat/>
    <w:pPr>
      <w:ind w:firstLine="600"/>
      <w:jc w:val="center"/>
    </w:pPr>
    <w:rPr>
      <w:rFonts w:cs="宋体"/>
      <w:sz w:val="21"/>
      <w:szCs w:val="21"/>
    </w:rPr>
  </w:style>
  <w:style w:type="paragraph" w:customStyle="1" w:styleId="affffffffffffffe">
    <w:name w:val="报告征文"/>
    <w:basedOn w:val="a"/>
    <w:qFormat/>
    <w:pPr>
      <w:ind w:firstLineChars="200" w:firstLine="200"/>
    </w:pPr>
    <w:rPr>
      <w:rFonts w:ascii="Times New Roman" w:eastAsia="仿宋_GB2312" w:hAnsi="Times New Roman"/>
      <w:sz w:val="28"/>
      <w:szCs w:val="24"/>
    </w:rPr>
  </w:style>
  <w:style w:type="paragraph" w:customStyle="1" w:styleId="afffffffffffffff">
    <w:name w:val="样式 表头 + 黑色"/>
    <w:basedOn w:val="affffff0"/>
    <w:qFormat/>
    <w:pPr>
      <w:tabs>
        <w:tab w:val="clear" w:pos="6840"/>
      </w:tabs>
      <w:topLinePunct w:val="0"/>
      <w:snapToGrid/>
      <w:spacing w:line="240" w:lineRule="auto"/>
      <w:jc w:val="center"/>
    </w:pPr>
    <w:rPr>
      <w:rFonts w:ascii="Times New Roman" w:eastAsia="仿宋_GB2312" w:hAnsi="Times New Roman"/>
      <w:b w:val="0"/>
      <w:color w:val="000000"/>
      <w:kern w:val="2"/>
    </w:rPr>
  </w:style>
  <w:style w:type="character" w:customStyle="1" w:styleId="Char27">
    <w:name w:val="报告正文 Char2"/>
    <w:qFormat/>
    <w:rPr>
      <w:rFonts w:ascii="Times" w:eastAsia="仿宋_GB2312" w:hAnsi="Times"/>
      <w:kern w:val="2"/>
      <w:sz w:val="28"/>
      <w:lang w:val="en-US" w:eastAsia="zh-CN" w:bidi="ar-SA"/>
    </w:rPr>
  </w:style>
  <w:style w:type="character" w:customStyle="1" w:styleId="Charfff4">
    <w:name w:val="样式 报告正文 + 华文细黑 自动设置 Char"/>
    <w:qFormat/>
    <w:rPr>
      <w:rFonts w:ascii="华文细黑" w:eastAsia="仿宋_GB2312" w:hAnsi="华文细黑"/>
      <w:color w:val="000000"/>
      <w:kern w:val="2"/>
      <w:sz w:val="28"/>
      <w:lang w:val="en-US" w:eastAsia="zh-CN" w:bidi="ar-SA"/>
    </w:rPr>
  </w:style>
  <w:style w:type="character" w:customStyle="1" w:styleId="1Char4">
    <w:name w:val="样式 报告正文 + (中文) 宋体 小四 自动设置1 Char"/>
    <w:qFormat/>
    <w:rPr>
      <w:rFonts w:eastAsia="仿宋_GB2312"/>
      <w:color w:val="000000"/>
      <w:kern w:val="2"/>
      <w:sz w:val="28"/>
      <w:lang w:val="en-US" w:eastAsia="zh-CN" w:bidi="ar-SA"/>
    </w:rPr>
  </w:style>
  <w:style w:type="character" w:customStyle="1" w:styleId="02Char">
    <w:name w:val="样式 报告正文 + 紧缩量  0.2 磅 Char"/>
    <w:qFormat/>
    <w:rPr>
      <w:rFonts w:eastAsia="仿宋_GB2312"/>
      <w:color w:val="000000"/>
      <w:spacing w:val="-4"/>
      <w:kern w:val="2"/>
      <w:sz w:val="28"/>
      <w:lang w:val="en-US" w:eastAsia="zh-CN" w:bidi="ar-SA"/>
    </w:rPr>
  </w:style>
  <w:style w:type="paragraph" w:customStyle="1" w:styleId="1ff9">
    <w:name w:val="样式 报告正文 + (中文) 宋体 小四 自动设置1"/>
    <w:basedOn w:val="affffff4"/>
    <w:qFormat/>
    <w:pPr>
      <w:widowControl/>
      <w:ind w:firstLineChars="200" w:firstLine="200"/>
    </w:pPr>
    <w:rPr>
      <w:rFonts w:ascii="Times New Roman" w:hAnsi="Times New Roman"/>
      <w:color w:val="000000"/>
    </w:rPr>
  </w:style>
  <w:style w:type="paragraph" w:customStyle="1" w:styleId="afffffffffffffff0">
    <w:name w:val="样式 报告正文 + (中文) 华文细黑"/>
    <w:basedOn w:val="affffff4"/>
    <w:link w:val="Charfff5"/>
    <w:qFormat/>
    <w:pPr>
      <w:ind w:firstLineChars="200" w:firstLine="200"/>
    </w:pPr>
    <w:rPr>
      <w:rFonts w:ascii="Times New Roman" w:hAnsi="Times New Roman"/>
      <w:color w:val="000000"/>
    </w:rPr>
  </w:style>
  <w:style w:type="paragraph" w:customStyle="1" w:styleId="251">
    <w:name w:val="样式 报告正文 + 首行缩进:  2.5 字符"/>
    <w:basedOn w:val="affffff4"/>
    <w:qFormat/>
    <w:pPr>
      <w:keepNext w:val="0"/>
      <w:tabs>
        <w:tab w:val="left" w:pos="3319"/>
      </w:tabs>
      <w:adjustRightInd/>
      <w:snapToGrid/>
      <w:ind w:firstLineChars="200" w:firstLine="544"/>
      <w:jc w:val="left"/>
    </w:pPr>
    <w:rPr>
      <w:rFonts w:ascii="Times" w:hAnsi="Times"/>
      <w:color w:val="000000"/>
      <w:spacing w:val="-4"/>
    </w:rPr>
  </w:style>
  <w:style w:type="paragraph" w:customStyle="1" w:styleId="2CharCharChar2212">
    <w:name w:val="样式 样式 标题 2设计一Char Char Char标题 2－－－节标题 2（1） + 首行缩进:  2 字符 + 首行缩进:..."/>
    <w:basedOn w:val="2CharCharChar22120"/>
    <w:qFormat/>
    <w:pPr>
      <w:spacing w:line="480" w:lineRule="auto"/>
      <w:ind w:firstLine="555"/>
    </w:pPr>
  </w:style>
  <w:style w:type="paragraph" w:customStyle="1" w:styleId="2CharCharChar22120">
    <w:name w:val="样式 标题 2设计一Char Char Char标题 2－－－节标题 2（1） + 首行缩进:  2 字符"/>
    <w:basedOn w:val="2"/>
    <w:qFormat/>
    <w:pPr>
      <w:keepLines w:val="0"/>
      <w:widowControl/>
      <w:spacing w:line="360" w:lineRule="auto"/>
      <w:ind w:firstLineChars="295" w:firstLine="826"/>
    </w:pPr>
    <w:rPr>
      <w:rFonts w:ascii="Times New Roman" w:eastAsia="仿宋_GB2312" w:hAnsi="Times New Roman"/>
      <w:color w:val="000000"/>
      <w:sz w:val="28"/>
    </w:rPr>
  </w:style>
  <w:style w:type="paragraph" w:customStyle="1" w:styleId="CharCharf1">
    <w:name w:val="批注主题 Char Char"/>
    <w:basedOn w:val="af1"/>
    <w:next w:val="af1"/>
    <w:qFormat/>
    <w:pPr>
      <w:keepNext/>
      <w:adjustRightInd w:val="0"/>
      <w:spacing w:line="240" w:lineRule="auto"/>
      <w:ind w:firstLineChars="400" w:firstLine="840"/>
      <w:textAlignment w:val="baseline"/>
    </w:pPr>
    <w:rPr>
      <w:rFonts w:ascii="华文细黑" w:eastAsia="华文细黑" w:hAnsi="华文细黑"/>
      <w:kern w:val="0"/>
      <w:sz w:val="21"/>
      <w:lang w:val="zh-CN"/>
    </w:rPr>
  </w:style>
  <w:style w:type="paragraph" w:customStyle="1" w:styleId="021">
    <w:name w:val="样式 报告正文 + 紧缩量  0.2 磅1"/>
    <w:basedOn w:val="affffff4"/>
    <w:qFormat/>
    <w:pPr>
      <w:ind w:firstLineChars="200" w:firstLine="544"/>
    </w:pPr>
    <w:rPr>
      <w:rFonts w:ascii="Times New Roman" w:hAnsi="Times New Roman"/>
      <w:color w:val="000000"/>
      <w:spacing w:val="-4"/>
    </w:rPr>
  </w:style>
  <w:style w:type="paragraph" w:customStyle="1" w:styleId="afffffffffffffff1">
    <w:name w:val="样式 报告正文 + 华文细黑 自动设置"/>
    <w:basedOn w:val="affffff4"/>
    <w:qFormat/>
    <w:pPr>
      <w:ind w:firstLineChars="200" w:firstLine="560"/>
    </w:pPr>
    <w:rPr>
      <w:rFonts w:ascii="华文细黑" w:hAnsi="华文细黑"/>
      <w:color w:val="000000"/>
    </w:rPr>
  </w:style>
  <w:style w:type="paragraph" w:customStyle="1" w:styleId="afffffffffffffff2">
    <w:name w:val="样式 报告正文 + 自动设置"/>
    <w:basedOn w:val="a"/>
    <w:qFormat/>
    <w:pPr>
      <w:spacing w:line="360" w:lineRule="auto"/>
      <w:ind w:firstLineChars="200" w:firstLine="560"/>
    </w:pPr>
    <w:rPr>
      <w:rFonts w:ascii="Times New Roman" w:eastAsia="仿宋_GB2312" w:hAnsi="Times New Roman"/>
      <w:sz w:val="28"/>
    </w:rPr>
  </w:style>
  <w:style w:type="paragraph" w:customStyle="1" w:styleId="TimesNewRoman2">
    <w:name w:val="样式 纯文本 + Times New Roman 小四 黑色 首行缩进:  2 字符"/>
    <w:basedOn w:val="afd"/>
    <w:qFormat/>
    <w:pPr>
      <w:spacing w:line="360" w:lineRule="auto"/>
      <w:ind w:firstLine="560"/>
    </w:pPr>
    <w:rPr>
      <w:rFonts w:ascii="Times New Roman" w:eastAsia="仿宋_GB2312" w:hAnsi="Times New Roman" w:cs="宋体"/>
      <w:color w:val="000000"/>
      <w:sz w:val="28"/>
    </w:rPr>
  </w:style>
  <w:style w:type="character" w:customStyle="1" w:styleId="CharCharCharCharCharCharCharChar2">
    <w:name w:val="Char Char Char Char Char Char Char Char2"/>
    <w:qFormat/>
    <w:rPr>
      <w:rFonts w:ascii="Arial" w:eastAsia="仿宋_GB2312" w:hAnsi="Arial"/>
      <w:b/>
      <w:bCs/>
      <w:kern w:val="2"/>
      <w:sz w:val="28"/>
      <w:szCs w:val="32"/>
      <w:lang w:val="en-US" w:eastAsia="zh-CN" w:bidi="ar-SA"/>
    </w:rPr>
  </w:style>
  <w:style w:type="paragraph" w:customStyle="1" w:styleId="CharCharCharChar0">
    <w:name w:val="图、表头文字 Char Char Char Char"/>
    <w:basedOn w:val="a"/>
    <w:link w:val="CharCharCharCharChar"/>
    <w:qFormat/>
    <w:pPr>
      <w:autoSpaceDE w:val="0"/>
      <w:autoSpaceDN w:val="0"/>
      <w:adjustRightInd w:val="0"/>
      <w:spacing w:before="80" w:after="80"/>
      <w:jc w:val="center"/>
      <w:textAlignment w:val="baseline"/>
    </w:pPr>
    <w:rPr>
      <w:rFonts w:ascii="黑体" w:eastAsia="黑体" w:hAnsi="Times New Roman"/>
      <w:kern w:val="0"/>
      <w:sz w:val="21"/>
    </w:rPr>
  </w:style>
  <w:style w:type="character" w:customStyle="1" w:styleId="CharCharCharCharChar">
    <w:name w:val="图、表头文字 Char Char Char Char Char"/>
    <w:link w:val="CharCharCharChar0"/>
    <w:qFormat/>
    <w:rPr>
      <w:rFonts w:ascii="黑体" w:eastAsia="黑体"/>
      <w:sz w:val="21"/>
    </w:rPr>
  </w:style>
  <w:style w:type="paragraph" w:customStyle="1" w:styleId="afffffffffffffff3">
    <w:name w:val="表底正文文字"/>
    <w:basedOn w:val="CharCharCharChar0"/>
    <w:qFormat/>
    <w:pPr>
      <w:spacing w:before="240" w:after="0" w:line="360" w:lineRule="auto"/>
      <w:ind w:firstLine="510"/>
      <w:jc w:val="both"/>
    </w:pPr>
    <w:rPr>
      <w:rFonts w:ascii="宋体" w:eastAsia="宋体"/>
      <w:sz w:val="24"/>
    </w:rPr>
  </w:style>
  <w:style w:type="paragraph" w:customStyle="1" w:styleId="5d">
    <w:name w:val="表格文字5"/>
    <w:basedOn w:val="a"/>
    <w:qFormat/>
    <w:pPr>
      <w:widowControl/>
      <w:suppressLineNumbers/>
      <w:autoSpaceDE w:val="0"/>
      <w:autoSpaceDN w:val="0"/>
      <w:adjustRightInd w:val="0"/>
      <w:spacing w:before="40" w:after="40"/>
      <w:ind w:firstLine="454"/>
      <w:jc w:val="center"/>
      <w:textAlignment w:val="baseline"/>
      <w:outlineLvl w:val="0"/>
    </w:pPr>
    <w:rPr>
      <w:rFonts w:hAnsi="Times New Roman"/>
      <w:snapToGrid w:val="0"/>
      <w:spacing w:val="20"/>
      <w:kern w:val="0"/>
      <w:sz w:val="21"/>
    </w:rPr>
  </w:style>
  <w:style w:type="character" w:customStyle="1" w:styleId="2CharChar0">
    <w:name w:val="正文文字缩进 2 Char Char"/>
    <w:qFormat/>
    <w:rPr>
      <w:rFonts w:ascii="仿宋_GB2312" w:eastAsia="仿宋_GB2312"/>
      <w:kern w:val="2"/>
      <w:sz w:val="28"/>
      <w:szCs w:val="28"/>
      <w:lang w:val="en-US" w:eastAsia="zh-CN" w:bidi="ar-SA"/>
    </w:rPr>
  </w:style>
  <w:style w:type="paragraph" w:customStyle="1" w:styleId="1ffa">
    <w:name w:val="正文首行缩进1"/>
    <w:basedOn w:val="af7"/>
    <w:qFormat/>
    <w:pPr>
      <w:snapToGrid/>
      <w:spacing w:after="120"/>
      <w:ind w:firstLine="420"/>
      <w:textAlignment w:val="baseline"/>
    </w:pPr>
    <w:rPr>
      <w:rFonts w:ascii="Times New Roman" w:eastAsia="宋体" w:hAnsi="Times New Roman"/>
      <w:color w:val="auto"/>
    </w:rPr>
  </w:style>
  <w:style w:type="character" w:customStyle="1" w:styleId="CharCharf2">
    <w:name w:val="正文文字缩进 Char Char"/>
    <w:qFormat/>
    <w:rPr>
      <w:rFonts w:eastAsia="宋体"/>
      <w:color w:val="FF0000"/>
      <w:kern w:val="2"/>
      <w:sz w:val="32"/>
      <w:szCs w:val="24"/>
      <w:lang w:val="en-US" w:eastAsia="zh-CN" w:bidi="ar-SA"/>
    </w:rPr>
  </w:style>
  <w:style w:type="paragraph" w:customStyle="1" w:styleId="afffffffffffffff4">
    <w:name w:val="图名文字"/>
    <w:basedOn w:val="a"/>
    <w:qFormat/>
    <w:pPr>
      <w:autoSpaceDE w:val="0"/>
      <w:autoSpaceDN w:val="0"/>
      <w:jc w:val="center"/>
    </w:pPr>
    <w:rPr>
      <w:rFonts w:ascii="黑体" w:eastAsia="黑体" w:hAnsi="Times New Roman"/>
      <w:b/>
      <w:color w:val="000000"/>
      <w:kern w:val="0"/>
      <w:sz w:val="21"/>
      <w:szCs w:val="24"/>
    </w:rPr>
  </w:style>
  <w:style w:type="paragraph" w:customStyle="1" w:styleId="4f1">
    <w:name w:val="正文4"/>
    <w:qFormat/>
    <w:pPr>
      <w:widowControl w:val="0"/>
      <w:adjustRightInd w:val="0"/>
      <w:spacing w:line="312" w:lineRule="atLeast"/>
      <w:jc w:val="both"/>
      <w:textAlignment w:val="baseline"/>
    </w:pPr>
    <w:rPr>
      <w:rFonts w:ascii="宋体"/>
      <w:sz w:val="34"/>
    </w:rPr>
  </w:style>
  <w:style w:type="paragraph" w:customStyle="1" w:styleId="187">
    <w:name w:val="样式 宋体 三号 居中 行距: 最小值 18.7 磅"/>
    <w:basedOn w:val="5"/>
    <w:qFormat/>
    <w:pPr>
      <w:widowControl/>
      <w:tabs>
        <w:tab w:val="clear" w:pos="1008"/>
      </w:tabs>
      <w:autoSpaceDE w:val="0"/>
      <w:autoSpaceDN w:val="0"/>
      <w:adjustRightInd w:val="0"/>
      <w:spacing w:line="374" w:lineRule="atLeast"/>
      <w:ind w:left="0" w:firstLine="510"/>
      <w:jc w:val="center"/>
      <w:textAlignment w:val="baseline"/>
    </w:pPr>
    <w:rPr>
      <w:rFonts w:cs="宋体"/>
      <w:bCs/>
      <w:color w:val="000000"/>
      <w:kern w:val="0"/>
      <w:sz w:val="32"/>
      <w:szCs w:val="32"/>
      <w:u w:color="000000"/>
    </w:rPr>
  </w:style>
  <w:style w:type="paragraph" w:customStyle="1" w:styleId="1ffb">
    <w:name w:val="样式 标题 1 + 居中"/>
    <w:basedOn w:val="1"/>
    <w:qFormat/>
    <w:pPr>
      <w:autoSpaceDE w:val="0"/>
      <w:autoSpaceDN w:val="0"/>
      <w:adjustRightInd w:val="0"/>
      <w:snapToGrid w:val="0"/>
      <w:spacing w:line="360" w:lineRule="auto"/>
      <w:ind w:firstLineChars="200" w:firstLine="883"/>
      <w:jc w:val="center"/>
      <w:textAlignment w:val="baseline"/>
    </w:pPr>
    <w:rPr>
      <w:rFonts w:hAnsi="Times New Roman" w:cs="宋体"/>
      <w:bCs/>
      <w:snapToGrid w:val="0"/>
      <w:kern w:val="0"/>
    </w:rPr>
  </w:style>
  <w:style w:type="paragraph" w:customStyle="1" w:styleId="afffffffffffffff5">
    <w:name w:val="表格中文字"/>
    <w:basedOn w:val="a"/>
    <w:qFormat/>
    <w:pPr>
      <w:overflowPunct w:val="0"/>
      <w:autoSpaceDE w:val="0"/>
      <w:autoSpaceDN w:val="0"/>
      <w:adjustRightInd w:val="0"/>
      <w:snapToGrid w:val="0"/>
      <w:spacing w:beforeLines="20" w:afterLines="20"/>
      <w:jc w:val="center"/>
    </w:pPr>
    <w:rPr>
      <w:kern w:val="0"/>
      <w:sz w:val="21"/>
    </w:rPr>
  </w:style>
  <w:style w:type="paragraph" w:customStyle="1" w:styleId="z-11">
    <w:name w:val="z-窗体底端1"/>
    <w:basedOn w:val="a"/>
    <w:next w:val="a"/>
    <w:link w:val="z-0"/>
    <w:qFormat/>
    <w:pPr>
      <w:pBdr>
        <w:top w:val="single" w:sz="6" w:space="1" w:color="auto"/>
      </w:pBdr>
      <w:jc w:val="center"/>
    </w:pPr>
    <w:rPr>
      <w:rFonts w:ascii="Arial" w:hAnsi="Arial" w:cs="Arial"/>
      <w:vanish/>
      <w:sz w:val="16"/>
      <w:szCs w:val="16"/>
    </w:rPr>
  </w:style>
  <w:style w:type="character" w:customStyle="1" w:styleId="z-0">
    <w:name w:val="z-窗体底端 字符"/>
    <w:link w:val="z-11"/>
    <w:qFormat/>
    <w:rPr>
      <w:rFonts w:ascii="Arial" w:hAnsi="Arial" w:cs="Arial"/>
      <w:vanish/>
      <w:kern w:val="2"/>
      <w:sz w:val="16"/>
      <w:szCs w:val="16"/>
    </w:rPr>
  </w:style>
  <w:style w:type="paragraph" w:customStyle="1" w:styleId="421">
    <w:name w:val="样式 标题4 + 段前: 2 行 段后: 1 行"/>
    <w:basedOn w:val="4e"/>
    <w:qFormat/>
    <w:pPr>
      <w:keepNext/>
      <w:keepLines/>
      <w:autoSpaceDE w:val="0"/>
      <w:autoSpaceDN w:val="0"/>
      <w:adjustRightInd w:val="0"/>
      <w:snapToGrid w:val="0"/>
      <w:spacing w:beforeLines="200" w:afterLines="100" w:line="420" w:lineRule="exact"/>
      <w:jc w:val="left"/>
    </w:pPr>
    <w:rPr>
      <w:rFonts w:ascii="宋体" w:hAnsi="Arial" w:cs="宋体"/>
      <w:bCs/>
      <w:kern w:val="0"/>
      <w:sz w:val="28"/>
      <w:szCs w:val="20"/>
    </w:rPr>
  </w:style>
  <w:style w:type="paragraph" w:customStyle="1" w:styleId="afffffffffffffff6">
    <w:name w:val="a"/>
    <w:basedOn w:val="1"/>
    <w:qFormat/>
    <w:pPr>
      <w:autoSpaceDE w:val="0"/>
      <w:autoSpaceDN w:val="0"/>
      <w:adjustRightInd w:val="0"/>
      <w:spacing w:before="0" w:after="0" w:line="360" w:lineRule="auto"/>
      <w:jc w:val="left"/>
      <w:textAlignment w:val="baseline"/>
    </w:pPr>
    <w:rPr>
      <w:rFonts w:ascii="黑体" w:eastAsia="黑体" w:hAnsi="Times New Roman"/>
      <w:b w:val="0"/>
      <w:sz w:val="24"/>
    </w:rPr>
  </w:style>
  <w:style w:type="paragraph" w:customStyle="1" w:styleId="323">
    <w:name w:val="样式 标题 3 + 首行缩进:  2 字符"/>
    <w:basedOn w:val="3"/>
    <w:qFormat/>
    <w:pPr>
      <w:autoSpaceDE w:val="0"/>
      <w:autoSpaceDN w:val="0"/>
      <w:adjustRightInd w:val="0"/>
      <w:snapToGrid w:val="0"/>
      <w:spacing w:before="80" w:after="0" w:line="415" w:lineRule="auto"/>
      <w:ind w:firstLineChars="200" w:firstLine="200"/>
      <w:jc w:val="left"/>
    </w:pPr>
    <w:rPr>
      <w:rFonts w:ascii="Times New Roman" w:hAnsi="Times New Roman" w:cs="宋体"/>
      <w:bCs/>
      <w:sz w:val="24"/>
    </w:rPr>
  </w:style>
  <w:style w:type="character" w:customStyle="1" w:styleId="style111">
    <w:name w:val="style111"/>
    <w:qFormat/>
    <w:rPr>
      <w:sz w:val="36"/>
      <w:szCs w:val="36"/>
    </w:rPr>
  </w:style>
  <w:style w:type="paragraph" w:customStyle="1" w:styleId="1870">
    <w:name w:val="样式 三号 居中 行距: 最小值 18.7 磅"/>
    <w:basedOn w:val="5"/>
    <w:qFormat/>
    <w:pPr>
      <w:widowControl/>
      <w:tabs>
        <w:tab w:val="clear" w:pos="1008"/>
      </w:tabs>
      <w:autoSpaceDE w:val="0"/>
      <w:autoSpaceDN w:val="0"/>
      <w:adjustRightInd w:val="0"/>
      <w:spacing w:before="120" w:after="120" w:line="374" w:lineRule="atLeast"/>
      <w:ind w:left="0" w:firstLine="510"/>
      <w:jc w:val="center"/>
      <w:textAlignment w:val="baseline"/>
    </w:pPr>
    <w:rPr>
      <w:rFonts w:hAnsi="Times New Roman" w:cs="宋体"/>
      <w:bCs/>
      <w:color w:val="000000"/>
      <w:kern w:val="0"/>
      <w:sz w:val="32"/>
      <w:szCs w:val="32"/>
      <w:u w:color="000000"/>
    </w:rPr>
  </w:style>
  <w:style w:type="paragraph" w:customStyle="1" w:styleId="afffffffffffffff7">
    <w:name w:val="样式 宋体 居中"/>
    <w:basedOn w:val="5"/>
    <w:qFormat/>
    <w:pPr>
      <w:widowControl/>
      <w:tabs>
        <w:tab w:val="clear" w:pos="1008"/>
      </w:tabs>
      <w:autoSpaceDE w:val="0"/>
      <w:autoSpaceDN w:val="0"/>
      <w:adjustRightInd w:val="0"/>
      <w:spacing w:line="376" w:lineRule="atLeast"/>
      <w:ind w:left="0" w:firstLine="510"/>
      <w:jc w:val="center"/>
      <w:textAlignment w:val="baseline"/>
    </w:pPr>
    <w:rPr>
      <w:rFonts w:cs="宋体"/>
      <w:bCs/>
      <w:color w:val="000000"/>
      <w:kern w:val="0"/>
      <w:sz w:val="32"/>
      <w:szCs w:val="32"/>
      <w:u w:color="000000"/>
    </w:rPr>
  </w:style>
  <w:style w:type="paragraph" w:customStyle="1" w:styleId="1075">
    <w:name w:val="样式 标题 1 + 小四 两端对齐 首行缩进:  0.75 厘米"/>
    <w:basedOn w:val="1"/>
    <w:qFormat/>
    <w:pPr>
      <w:autoSpaceDE w:val="0"/>
      <w:autoSpaceDN w:val="0"/>
      <w:adjustRightInd w:val="0"/>
      <w:spacing w:beforeLines="50" w:afterLines="50" w:line="360" w:lineRule="auto"/>
      <w:ind w:firstLine="510"/>
      <w:jc w:val="center"/>
      <w:textAlignment w:val="baseline"/>
    </w:pPr>
    <w:rPr>
      <w:rFonts w:eastAsia="黑体" w:hAnsi="Times New Roman" w:cs="宋体"/>
      <w:bCs/>
      <w:sz w:val="24"/>
    </w:rPr>
  </w:style>
  <w:style w:type="paragraph" w:customStyle="1" w:styleId="1ffc">
    <w:name w:val="样式 标题 1 + 小四 非加粗"/>
    <w:basedOn w:val="1"/>
    <w:qFormat/>
    <w:pPr>
      <w:autoSpaceDE w:val="0"/>
      <w:autoSpaceDN w:val="0"/>
      <w:adjustRightInd w:val="0"/>
      <w:spacing w:beforeLines="50" w:afterLines="50" w:line="360" w:lineRule="auto"/>
      <w:ind w:firstLineChars="200" w:firstLine="200"/>
      <w:jc w:val="center"/>
      <w:textAlignment w:val="baseline"/>
    </w:pPr>
    <w:rPr>
      <w:rFonts w:eastAsia="黑体" w:hAnsi="Times New Roman"/>
      <w:b w:val="0"/>
      <w:sz w:val="24"/>
    </w:rPr>
  </w:style>
  <w:style w:type="paragraph" w:customStyle="1" w:styleId="120505">
    <w:name w:val="样式 样式 标题 1 + 小四 非加粗 + 首行缩进:  2 字符 段前: 0.5 行 段后: 0.5 行"/>
    <w:basedOn w:val="1ffc"/>
    <w:qFormat/>
    <w:pPr>
      <w:spacing w:before="120" w:after="120" w:line="240" w:lineRule="auto"/>
      <w:ind w:firstLine="480"/>
    </w:pPr>
    <w:rPr>
      <w:rFonts w:cs="宋体"/>
    </w:rPr>
  </w:style>
  <w:style w:type="paragraph" w:customStyle="1" w:styleId="1ffd">
    <w:name w:val="样式 标题 1 + 小四"/>
    <w:basedOn w:val="1"/>
    <w:qFormat/>
    <w:pPr>
      <w:autoSpaceDE w:val="0"/>
      <w:autoSpaceDN w:val="0"/>
      <w:adjustRightInd w:val="0"/>
      <w:spacing w:beforeLines="50" w:afterLines="50" w:line="360" w:lineRule="auto"/>
      <w:ind w:firstLineChars="200" w:firstLine="200"/>
      <w:jc w:val="center"/>
      <w:textAlignment w:val="baseline"/>
    </w:pPr>
    <w:rPr>
      <w:rFonts w:eastAsia="黑体" w:hAnsi="Times New Roman"/>
      <w:bCs/>
      <w:sz w:val="24"/>
    </w:rPr>
  </w:style>
  <w:style w:type="paragraph" w:customStyle="1" w:styleId="224">
    <w:name w:val="样式 标题 2 + 首行缩进:  2 字符"/>
    <w:basedOn w:val="2"/>
    <w:qFormat/>
    <w:pPr>
      <w:autoSpaceDE w:val="0"/>
      <w:autoSpaceDN w:val="0"/>
      <w:adjustRightInd w:val="0"/>
      <w:spacing w:before="120" w:after="120" w:line="415" w:lineRule="auto"/>
      <w:ind w:firstLineChars="200" w:firstLine="200"/>
      <w:jc w:val="left"/>
      <w:textAlignment w:val="baseline"/>
    </w:pPr>
    <w:rPr>
      <w:rFonts w:ascii="Arial" w:hAnsi="Arial" w:cs="宋体"/>
      <w:b/>
      <w:bCs/>
      <w:kern w:val="0"/>
      <w:sz w:val="32"/>
    </w:rPr>
  </w:style>
  <w:style w:type="paragraph" w:customStyle="1" w:styleId="3210">
    <w:name w:val="样式 标题 3 + 首行缩进:  2 字符1"/>
    <w:basedOn w:val="3"/>
    <w:qFormat/>
    <w:pPr>
      <w:autoSpaceDE w:val="0"/>
      <w:autoSpaceDN w:val="0"/>
      <w:adjustRightInd w:val="0"/>
      <w:spacing w:before="40" w:after="0" w:line="415" w:lineRule="auto"/>
      <w:ind w:firstLineChars="200" w:firstLine="200"/>
      <w:textAlignment w:val="baseline"/>
    </w:pPr>
    <w:rPr>
      <w:rFonts w:hAnsi="Times New Roman" w:cs="宋体"/>
      <w:bCs/>
      <w:kern w:val="0"/>
      <w:sz w:val="24"/>
    </w:rPr>
  </w:style>
  <w:style w:type="paragraph" w:customStyle="1" w:styleId="2210">
    <w:name w:val="样式 标题 2 + 首行缩进:  2 字符1"/>
    <w:basedOn w:val="2"/>
    <w:qFormat/>
    <w:pPr>
      <w:autoSpaceDE w:val="0"/>
      <w:autoSpaceDN w:val="0"/>
      <w:adjustRightInd w:val="0"/>
      <w:spacing w:before="240" w:after="120" w:line="415" w:lineRule="auto"/>
      <w:ind w:firstLineChars="200" w:firstLine="630"/>
      <w:jc w:val="left"/>
      <w:textAlignment w:val="baseline"/>
    </w:pPr>
    <w:rPr>
      <w:rFonts w:ascii="Arial" w:hAnsi="Arial" w:cs="宋体"/>
      <w:b/>
      <w:bCs/>
      <w:kern w:val="0"/>
      <w:sz w:val="30"/>
      <w:szCs w:val="30"/>
    </w:rPr>
  </w:style>
  <w:style w:type="paragraph" w:customStyle="1" w:styleId="3212">
    <w:name w:val="样式 样式 标题 3 + 首行缩进:  2 字符1 + 首行缩进:  2 字符"/>
    <w:basedOn w:val="3210"/>
    <w:qFormat/>
    <w:pPr>
      <w:ind w:firstLine="473"/>
    </w:pPr>
  </w:style>
  <w:style w:type="paragraph" w:customStyle="1" w:styleId="420">
    <w:name w:val="样式 标题 4 + 首行缩进:  2 字符"/>
    <w:basedOn w:val="40"/>
    <w:qFormat/>
    <w:pPr>
      <w:autoSpaceDE w:val="0"/>
      <w:autoSpaceDN w:val="0"/>
      <w:adjustRightInd w:val="0"/>
      <w:spacing w:before="120" w:after="120" w:line="377" w:lineRule="auto"/>
      <w:ind w:firstLineChars="200" w:firstLine="200"/>
      <w:textAlignment w:val="baseline"/>
    </w:pPr>
    <w:rPr>
      <w:rFonts w:cs="宋体"/>
      <w:b w:val="0"/>
      <w:kern w:val="0"/>
    </w:rPr>
  </w:style>
  <w:style w:type="paragraph" w:customStyle="1" w:styleId="afffffffffffffff8">
    <w:name w:val="文字多行表格"/>
    <w:qFormat/>
    <w:pPr>
      <w:widowControl w:val="0"/>
      <w:adjustRightInd w:val="0"/>
      <w:spacing w:line="240" w:lineRule="exact"/>
      <w:jc w:val="center"/>
      <w:textAlignment w:val="baseline"/>
    </w:pPr>
    <w:rPr>
      <w:kern w:val="21"/>
      <w:sz w:val="21"/>
    </w:rPr>
  </w:style>
  <w:style w:type="paragraph" w:customStyle="1" w:styleId="afffffffffffffff9">
    <w:name w:val="表头及图名字型"/>
    <w:basedOn w:val="a"/>
    <w:qFormat/>
    <w:pPr>
      <w:autoSpaceDE w:val="0"/>
      <w:autoSpaceDN w:val="0"/>
      <w:adjustRightInd w:val="0"/>
      <w:snapToGrid w:val="0"/>
      <w:ind w:firstLineChars="200" w:firstLine="200"/>
      <w:jc w:val="center"/>
    </w:pPr>
    <w:rPr>
      <w:rFonts w:ascii="黑体" w:eastAsia="黑体" w:hAnsi="Times New Roman"/>
      <w:sz w:val="21"/>
      <w:szCs w:val="24"/>
    </w:rPr>
  </w:style>
  <w:style w:type="paragraph" w:customStyle="1" w:styleId="320505">
    <w:name w:val="样式 标题 3 + 首行缩进:  2 字符 段前: 0.5 行 段后: 0.5 行"/>
    <w:basedOn w:val="3"/>
    <w:qFormat/>
    <w:pPr>
      <w:keepNext w:val="0"/>
      <w:keepLines w:val="0"/>
      <w:autoSpaceDE w:val="0"/>
      <w:autoSpaceDN w:val="0"/>
      <w:adjustRightInd w:val="0"/>
      <w:snapToGrid w:val="0"/>
      <w:spacing w:before="0" w:after="0" w:line="360" w:lineRule="auto"/>
      <w:ind w:firstLine="482"/>
    </w:pPr>
    <w:rPr>
      <w:rFonts w:ascii="黑体" w:eastAsia="黑体" w:cs="宋体"/>
      <w:bCs/>
      <w:sz w:val="24"/>
      <w:szCs w:val="24"/>
    </w:rPr>
  </w:style>
  <w:style w:type="paragraph" w:customStyle="1" w:styleId="zw">
    <w:name w:val="zw"/>
    <w:basedOn w:val="a"/>
    <w:qFormat/>
    <w:pPr>
      <w:widowControl/>
      <w:spacing w:before="100" w:beforeAutospacing="1" w:after="100" w:afterAutospacing="1"/>
      <w:jc w:val="left"/>
    </w:pPr>
    <w:rPr>
      <w:kern w:val="0"/>
      <w:szCs w:val="24"/>
    </w:rPr>
  </w:style>
  <w:style w:type="paragraph" w:customStyle="1" w:styleId="Charfff6">
    <w:name w:val="图、表头文字 Char"/>
    <w:basedOn w:val="a"/>
    <w:qFormat/>
    <w:pPr>
      <w:autoSpaceDE w:val="0"/>
      <w:autoSpaceDN w:val="0"/>
      <w:adjustRightInd w:val="0"/>
      <w:spacing w:before="80" w:after="80"/>
      <w:jc w:val="center"/>
      <w:textAlignment w:val="baseline"/>
    </w:pPr>
    <w:rPr>
      <w:rFonts w:ascii="黑体" w:eastAsia="黑体" w:hAnsi="Times New Roman"/>
      <w:kern w:val="0"/>
      <w:sz w:val="21"/>
    </w:rPr>
  </w:style>
  <w:style w:type="paragraph" w:customStyle="1" w:styleId="CharCharf3">
    <w:name w:val="图、表头文字 Char Char"/>
    <w:basedOn w:val="a"/>
    <w:qFormat/>
    <w:pPr>
      <w:autoSpaceDE w:val="0"/>
      <w:autoSpaceDN w:val="0"/>
      <w:adjustRightInd w:val="0"/>
      <w:spacing w:before="80" w:after="80"/>
      <w:jc w:val="center"/>
      <w:textAlignment w:val="baseline"/>
    </w:pPr>
    <w:rPr>
      <w:rFonts w:ascii="黑体" w:eastAsia="黑体" w:hAnsi="Times New Roman"/>
      <w:kern w:val="0"/>
      <w:sz w:val="21"/>
    </w:rPr>
  </w:style>
  <w:style w:type="table" w:customStyle="1" w:styleId="118">
    <w:name w:val="网格型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a">
    <w:name w:val="篇"/>
    <w:basedOn w:val="a"/>
    <w:qFormat/>
    <w:pPr>
      <w:spacing w:line="800" w:lineRule="exact"/>
      <w:ind w:firstLineChars="200" w:firstLine="200"/>
      <w:jc w:val="center"/>
      <w:outlineLvl w:val="0"/>
    </w:pPr>
    <w:rPr>
      <w:rFonts w:ascii="Times New Roman" w:hAnsi="Times New Roman"/>
      <w:b/>
      <w:spacing w:val="26"/>
      <w:kern w:val="30"/>
      <w:sz w:val="44"/>
      <w:szCs w:val="24"/>
    </w:rPr>
  </w:style>
  <w:style w:type="paragraph" w:customStyle="1" w:styleId="afffffffffffffffb">
    <w:name w:val="投标一"/>
    <w:basedOn w:val="a"/>
    <w:next w:val="affffffffffff2"/>
    <w:qFormat/>
    <w:pPr>
      <w:spacing w:line="360" w:lineRule="auto"/>
      <w:ind w:firstLineChars="200" w:firstLine="200"/>
    </w:pPr>
    <w:rPr>
      <w:rFonts w:ascii="Times New Roman" w:hAnsi="Times New Roman"/>
      <w:b/>
      <w:sz w:val="13"/>
      <w:szCs w:val="24"/>
    </w:rPr>
  </w:style>
  <w:style w:type="paragraph" w:customStyle="1" w:styleId="afffffffffffffffc">
    <w:name w:val="投标章"/>
    <w:basedOn w:val="a"/>
    <w:qFormat/>
    <w:pPr>
      <w:spacing w:afterLines="100" w:line="360" w:lineRule="auto"/>
      <w:jc w:val="center"/>
    </w:pPr>
    <w:rPr>
      <w:rFonts w:ascii="Times New Roman" w:hAnsi="Times New Roman"/>
      <w:b/>
      <w:sz w:val="32"/>
      <w:szCs w:val="24"/>
    </w:rPr>
  </w:style>
  <w:style w:type="paragraph" w:customStyle="1" w:styleId="afffffffffffffffd">
    <w:name w:val="名"/>
    <w:basedOn w:val="a"/>
    <w:qFormat/>
    <w:pPr>
      <w:ind w:firstLineChars="200" w:firstLine="200"/>
    </w:pPr>
    <w:rPr>
      <w:rFonts w:ascii="Times New Roman" w:hAnsi="Times New Roman"/>
      <w:b/>
      <w:bCs/>
      <w:sz w:val="44"/>
      <w:szCs w:val="24"/>
    </w:rPr>
  </w:style>
  <w:style w:type="paragraph" w:customStyle="1" w:styleId="afffffffffffffffe">
    <w:name w:val="一部分"/>
    <w:basedOn w:val="a"/>
    <w:qFormat/>
    <w:pPr>
      <w:spacing w:line="480" w:lineRule="auto"/>
      <w:ind w:firstLineChars="200" w:firstLine="200"/>
    </w:pPr>
    <w:rPr>
      <w:rFonts w:ascii="仿宋_GB2312" w:hAnsi="Times New Roman"/>
      <w:b/>
      <w:bCs/>
      <w:sz w:val="32"/>
    </w:rPr>
  </w:style>
  <w:style w:type="paragraph" w:customStyle="1" w:styleId="affffffffffffffff">
    <w:name w:val="设计二"/>
    <w:basedOn w:val="affffff4"/>
    <w:next w:val="affffffffffff7"/>
    <w:qFormat/>
    <w:pPr>
      <w:adjustRightInd/>
      <w:snapToGrid/>
      <w:spacing w:line="240" w:lineRule="auto"/>
      <w:ind w:firstLineChars="200" w:firstLine="560"/>
    </w:pPr>
    <w:rPr>
      <w:rFonts w:ascii="Times New Roman" w:hAnsi="Times New Roman"/>
      <w:b/>
      <w:kern w:val="0"/>
      <w:szCs w:val="28"/>
    </w:rPr>
  </w:style>
  <w:style w:type="paragraph" w:customStyle="1" w:styleId="affffffffffffffff0">
    <w:name w:val="设计篇"/>
    <w:basedOn w:val="afd"/>
    <w:qFormat/>
    <w:pPr>
      <w:spacing w:line="720" w:lineRule="auto"/>
      <w:jc w:val="center"/>
    </w:pPr>
    <w:rPr>
      <w:rFonts w:eastAsia="仿宋_GB2312" w:cs="Courier New"/>
      <w:b/>
      <w:sz w:val="44"/>
      <w:szCs w:val="21"/>
    </w:rPr>
  </w:style>
  <w:style w:type="paragraph" w:customStyle="1" w:styleId="affffffffffffffff1">
    <w:name w:val="（一"/>
    <w:basedOn w:val="affffffffffff7"/>
    <w:qFormat/>
    <w:pPr>
      <w:spacing w:line="480" w:lineRule="auto"/>
      <w:ind w:firstLineChars="200" w:firstLine="560"/>
      <w:jc w:val="both"/>
    </w:pPr>
    <w:rPr>
      <w:bCs/>
      <w:color w:val="auto"/>
    </w:rPr>
  </w:style>
  <w:style w:type="paragraph" w:customStyle="1" w:styleId="affffffffffffffff2">
    <w:name w:val="一、标题"/>
    <w:basedOn w:val="2"/>
    <w:qFormat/>
    <w:pPr>
      <w:keepNext w:val="0"/>
      <w:widowControl/>
      <w:spacing w:line="480" w:lineRule="auto"/>
      <w:jc w:val="center"/>
    </w:pPr>
    <w:rPr>
      <w:rFonts w:ascii="Arial" w:eastAsia="宋体" w:hAnsi="Arial"/>
      <w:b/>
      <w:bCs/>
      <w:kern w:val="0"/>
      <w:sz w:val="32"/>
      <w:szCs w:val="32"/>
    </w:rPr>
  </w:style>
  <w:style w:type="paragraph" w:customStyle="1" w:styleId="1ffe">
    <w:name w:val="立项标题1"/>
    <w:basedOn w:val="affffff4"/>
    <w:next w:val="affffff4"/>
    <w:qFormat/>
    <w:pPr>
      <w:adjustRightInd/>
      <w:snapToGrid/>
      <w:spacing w:line="240" w:lineRule="auto"/>
      <w:ind w:firstLineChars="200" w:firstLine="560"/>
    </w:pPr>
    <w:rPr>
      <w:rFonts w:ascii="Times New Roman" w:hAnsi="Times New Roman"/>
      <w:b/>
      <w:kern w:val="0"/>
      <w:sz w:val="32"/>
      <w:szCs w:val="28"/>
    </w:rPr>
  </w:style>
  <w:style w:type="paragraph" w:customStyle="1" w:styleId="2ffd">
    <w:name w:val="立项标题2"/>
    <w:basedOn w:val="affffff4"/>
    <w:next w:val="affffff4"/>
    <w:qFormat/>
    <w:pPr>
      <w:adjustRightInd/>
      <w:snapToGrid/>
      <w:spacing w:line="240" w:lineRule="auto"/>
      <w:ind w:firstLineChars="200" w:firstLine="560"/>
    </w:pPr>
    <w:rPr>
      <w:rFonts w:ascii="Times New Roman" w:hAnsi="Times New Roman"/>
      <w:b/>
      <w:kern w:val="0"/>
      <w:szCs w:val="28"/>
    </w:rPr>
  </w:style>
  <w:style w:type="paragraph" w:customStyle="1" w:styleId="font13">
    <w:name w:val="font13"/>
    <w:basedOn w:val="a"/>
    <w:qFormat/>
    <w:pPr>
      <w:widowControl/>
      <w:spacing w:before="100" w:beforeAutospacing="1" w:after="100" w:afterAutospacing="1"/>
      <w:jc w:val="left"/>
    </w:pPr>
    <w:rPr>
      <w:rFonts w:ascii="Times New Roman" w:eastAsia="Arial Unicode MS" w:hAnsi="Times New Roman"/>
      <w:kern w:val="0"/>
      <w:sz w:val="20"/>
    </w:rPr>
  </w:style>
  <w:style w:type="paragraph" w:customStyle="1" w:styleId="font14">
    <w:name w:val="font14"/>
    <w:basedOn w:val="a"/>
    <w:qFormat/>
    <w:pPr>
      <w:widowControl/>
      <w:spacing w:before="100" w:beforeAutospacing="1" w:after="100" w:afterAutospacing="1"/>
      <w:jc w:val="left"/>
    </w:pPr>
    <w:rPr>
      <w:rFonts w:ascii="Times New Roman" w:eastAsia="Arial Unicode MS" w:hAnsi="Times New Roman"/>
      <w:kern w:val="0"/>
      <w:sz w:val="20"/>
    </w:rPr>
  </w:style>
  <w:style w:type="paragraph" w:customStyle="1" w:styleId="11-GB231255">
    <w:name w:val="样式 标题 1标题 1-章设计节 + 仿宋_GB2312 三号 加粗 自动设置 段前: 5 磅 段后: 5 磅 ..."/>
    <w:basedOn w:val="1"/>
    <w:qFormat/>
    <w:pPr>
      <w:keepLines w:val="0"/>
      <w:pageBreakBefore/>
      <w:widowControl/>
      <w:spacing w:before="100" w:after="100" w:line="578" w:lineRule="auto"/>
      <w:jc w:val="center"/>
    </w:pPr>
    <w:rPr>
      <w:rFonts w:ascii="仿宋_GB2312" w:eastAsia="仿宋_GB2312" w:hAnsi="Times New Roman"/>
      <w:bCs/>
      <w:kern w:val="0"/>
      <w:sz w:val="32"/>
    </w:rPr>
  </w:style>
  <w:style w:type="paragraph" w:customStyle="1" w:styleId="122">
    <w:name w:val="样式 标题 1 + 居中 首行缩进:  2 字符"/>
    <w:basedOn w:val="1"/>
    <w:qFormat/>
    <w:pPr>
      <w:spacing w:line="578" w:lineRule="auto"/>
      <w:jc w:val="center"/>
    </w:pPr>
    <w:rPr>
      <w:rFonts w:ascii="Times New Roman" w:hAnsi="Times New Roman" w:cs="宋体"/>
      <w:bCs/>
    </w:rPr>
  </w:style>
  <w:style w:type="paragraph" w:customStyle="1" w:styleId="32Char">
    <w:name w:val="样式 3级 + 首行缩进:  2 字符 Char"/>
    <w:basedOn w:val="a"/>
    <w:link w:val="32CharChar"/>
    <w:qFormat/>
    <w:pPr>
      <w:spacing w:beforeLines="50" w:line="360" w:lineRule="auto"/>
      <w:ind w:firstLineChars="200" w:firstLine="480"/>
    </w:pPr>
    <w:rPr>
      <w:rFonts w:ascii="黑体" w:eastAsia="黑体" w:hAnsi="Times New Roman" w:cs="宋体"/>
      <w:b/>
      <w:bCs/>
      <w:szCs w:val="24"/>
    </w:rPr>
  </w:style>
  <w:style w:type="character" w:customStyle="1" w:styleId="32CharChar">
    <w:name w:val="样式 3级 + 首行缩进:  2 字符 Char Char"/>
    <w:link w:val="32Char"/>
    <w:rPr>
      <w:rFonts w:ascii="黑体" w:eastAsia="黑体" w:cs="宋体"/>
      <w:b/>
      <w:bCs/>
      <w:kern w:val="2"/>
      <w:sz w:val="24"/>
      <w:szCs w:val="24"/>
    </w:rPr>
  </w:style>
  <w:style w:type="paragraph" w:customStyle="1" w:styleId="2ffe">
    <w:name w:val="样式 黑体 四号 首行缩进:  2 字符"/>
    <w:basedOn w:val="a"/>
    <w:qFormat/>
    <w:pPr>
      <w:autoSpaceDE w:val="0"/>
      <w:autoSpaceDN w:val="0"/>
      <w:adjustRightInd w:val="0"/>
      <w:snapToGrid w:val="0"/>
      <w:spacing w:line="360" w:lineRule="auto"/>
      <w:ind w:firstLineChars="200" w:firstLine="200"/>
      <w:textAlignment w:val="baseline"/>
    </w:pPr>
    <w:rPr>
      <w:rFonts w:ascii="黑体" w:eastAsia="黑体" w:hAnsi="Times New Roman" w:cs="宋体"/>
      <w:snapToGrid w:val="0"/>
      <w:kern w:val="0"/>
      <w:sz w:val="28"/>
    </w:rPr>
  </w:style>
  <w:style w:type="paragraph" w:customStyle="1" w:styleId="214">
    <w:name w:val="样式 黑体 四号 首行缩进:  2 字符1"/>
    <w:basedOn w:val="a"/>
    <w:qFormat/>
    <w:pPr>
      <w:autoSpaceDE w:val="0"/>
      <w:autoSpaceDN w:val="0"/>
      <w:adjustRightInd w:val="0"/>
      <w:snapToGrid w:val="0"/>
      <w:spacing w:line="360" w:lineRule="auto"/>
      <w:ind w:firstLineChars="200" w:firstLine="200"/>
      <w:textAlignment w:val="baseline"/>
    </w:pPr>
    <w:rPr>
      <w:rFonts w:ascii="黑体" w:eastAsia="黑体" w:hAnsi="Times New Roman" w:cs="宋体"/>
      <w:snapToGrid w:val="0"/>
      <w:kern w:val="0"/>
      <w:sz w:val="28"/>
    </w:rPr>
  </w:style>
  <w:style w:type="paragraph" w:customStyle="1" w:styleId="2100">
    <w:name w:val="样式 黑体 四号 首行缩进:  2 字符 段前: 10 磅"/>
    <w:basedOn w:val="a"/>
    <w:qFormat/>
    <w:pPr>
      <w:autoSpaceDE w:val="0"/>
      <w:autoSpaceDN w:val="0"/>
      <w:adjustRightInd w:val="0"/>
      <w:snapToGrid w:val="0"/>
      <w:spacing w:before="200" w:line="360" w:lineRule="auto"/>
      <w:ind w:firstLineChars="200" w:firstLine="200"/>
      <w:textAlignment w:val="baseline"/>
    </w:pPr>
    <w:rPr>
      <w:rFonts w:ascii="黑体" w:eastAsia="黑体" w:hAnsi="Times New Roman" w:cs="宋体"/>
      <w:snapToGrid w:val="0"/>
      <w:kern w:val="0"/>
      <w:sz w:val="28"/>
    </w:rPr>
  </w:style>
  <w:style w:type="paragraph" w:customStyle="1" w:styleId="3211">
    <w:name w:val="样式 标题 3 + 首行缩进:  2 字符 段前: 1 行"/>
    <w:basedOn w:val="3"/>
    <w:qFormat/>
    <w:pPr>
      <w:keepNext w:val="0"/>
      <w:keepLines w:val="0"/>
      <w:autoSpaceDE w:val="0"/>
      <w:autoSpaceDN w:val="0"/>
      <w:adjustRightInd w:val="0"/>
      <w:snapToGrid w:val="0"/>
      <w:spacing w:before="720" w:after="240" w:line="240" w:lineRule="auto"/>
      <w:jc w:val="center"/>
      <w:textAlignment w:val="baseline"/>
      <w:outlineLvl w:val="9"/>
    </w:pPr>
    <w:rPr>
      <w:rFonts w:cs="宋体"/>
      <w:bCs/>
      <w:snapToGrid w:val="0"/>
      <w:kern w:val="0"/>
      <w:sz w:val="36"/>
      <w:szCs w:val="36"/>
    </w:rPr>
  </w:style>
  <w:style w:type="paragraph" w:customStyle="1" w:styleId="1128">
    <w:name w:val="样式 标题 1 + 红色 首行缩进:  1.28 厘米"/>
    <w:basedOn w:val="1"/>
    <w:qFormat/>
    <w:pPr>
      <w:autoSpaceDE w:val="0"/>
      <w:autoSpaceDN w:val="0"/>
      <w:adjustRightInd w:val="0"/>
      <w:snapToGrid w:val="0"/>
      <w:spacing w:before="720" w:after="240" w:line="240" w:lineRule="auto"/>
      <w:ind w:firstLine="726"/>
      <w:jc w:val="center"/>
      <w:textAlignment w:val="baseline"/>
      <w:outlineLvl w:val="2"/>
    </w:pPr>
    <w:rPr>
      <w:rFonts w:hAnsi="Times New Roman" w:cs="宋体"/>
      <w:bCs/>
      <w:snapToGrid w:val="0"/>
      <w:color w:val="000000"/>
      <w:sz w:val="36"/>
      <w:szCs w:val="36"/>
    </w:rPr>
  </w:style>
  <w:style w:type="paragraph" w:customStyle="1" w:styleId="112824">
    <w:name w:val="样式 标题 1 + 首行缩进:  1.28 厘米 段前: 24 磅"/>
    <w:basedOn w:val="1"/>
    <w:qFormat/>
    <w:pPr>
      <w:autoSpaceDE w:val="0"/>
      <w:autoSpaceDN w:val="0"/>
      <w:adjustRightInd w:val="0"/>
      <w:snapToGrid w:val="0"/>
      <w:spacing w:before="480" w:after="240" w:line="240" w:lineRule="auto"/>
      <w:ind w:firstLine="726"/>
      <w:jc w:val="center"/>
      <w:textAlignment w:val="baseline"/>
      <w:outlineLvl w:val="2"/>
    </w:pPr>
    <w:rPr>
      <w:rFonts w:hAnsi="Times New Roman" w:cs="宋体"/>
      <w:bCs/>
      <w:snapToGrid w:val="0"/>
      <w:sz w:val="36"/>
    </w:rPr>
  </w:style>
  <w:style w:type="paragraph" w:customStyle="1" w:styleId="32108512">
    <w:name w:val="样式 样式 标题 3 + 首行缩进:  2 字符 段前: 1 行 + 首行缩进:  0.85 厘米 段前: 12 磅"/>
    <w:basedOn w:val="3211"/>
    <w:qFormat/>
    <w:pPr>
      <w:spacing w:before="240"/>
      <w:ind w:firstLine="482"/>
    </w:pPr>
    <w:rPr>
      <w:b w:val="0"/>
      <w:sz w:val="24"/>
      <w:szCs w:val="20"/>
    </w:rPr>
  </w:style>
  <w:style w:type="paragraph" w:customStyle="1" w:styleId="321085121">
    <w:name w:val="样式 样式 标题 3 + 首行缩进:  2 字符 段前: 1 行 + 首行缩进:  0.85 厘米 段前: 12 磅1"/>
    <w:basedOn w:val="3211"/>
    <w:qFormat/>
    <w:pPr>
      <w:spacing w:before="240"/>
      <w:ind w:firstLine="482"/>
      <w:jc w:val="both"/>
    </w:pPr>
    <w:rPr>
      <w:sz w:val="24"/>
      <w:szCs w:val="24"/>
    </w:rPr>
  </w:style>
  <w:style w:type="paragraph" w:customStyle="1" w:styleId="4106">
    <w:name w:val="样式 标题 4 + 首行缩进:  1.06 厘米"/>
    <w:basedOn w:val="40"/>
    <w:qFormat/>
    <w:pPr>
      <w:keepLines w:val="0"/>
      <w:autoSpaceDE w:val="0"/>
      <w:autoSpaceDN w:val="0"/>
      <w:adjustRightInd w:val="0"/>
      <w:snapToGrid w:val="0"/>
      <w:spacing w:before="240" w:after="240" w:line="240" w:lineRule="auto"/>
      <w:jc w:val="center"/>
      <w:textAlignment w:val="baseline"/>
    </w:pPr>
    <w:rPr>
      <w:rFonts w:ascii="黑体" w:hAnsi="Courier" w:cs="宋体"/>
      <w:b w:val="0"/>
      <w:snapToGrid w:val="0"/>
      <w:kern w:val="0"/>
      <w:sz w:val="30"/>
    </w:rPr>
  </w:style>
  <w:style w:type="character" w:customStyle="1" w:styleId="CharChar1a">
    <w:name w:val="页脚 Char Char1"/>
    <w:qFormat/>
    <w:rPr>
      <w:sz w:val="18"/>
      <w:szCs w:val="18"/>
    </w:rPr>
  </w:style>
  <w:style w:type="paragraph" w:customStyle="1" w:styleId="001">
    <w:name w:val="001"/>
    <w:basedOn w:val="a"/>
    <w:next w:val="a"/>
    <w:link w:val="001Char"/>
    <w:qFormat/>
    <w:pPr>
      <w:spacing w:line="480" w:lineRule="exact"/>
      <w:ind w:firstLineChars="200" w:firstLine="200"/>
    </w:pPr>
  </w:style>
  <w:style w:type="character" w:customStyle="1" w:styleId="001Char">
    <w:name w:val="001 Char"/>
    <w:link w:val="001"/>
    <w:qFormat/>
    <w:rPr>
      <w:rFonts w:ascii="宋体" w:hAnsi="宋体"/>
      <w:kern w:val="2"/>
      <w:sz w:val="24"/>
    </w:rPr>
  </w:style>
  <w:style w:type="character" w:customStyle="1" w:styleId="1Char20">
    <w:name w:val="页眉1 Char2"/>
    <w:qFormat/>
    <w:rPr>
      <w:sz w:val="18"/>
      <w:szCs w:val="18"/>
    </w:rPr>
  </w:style>
  <w:style w:type="character" w:customStyle="1" w:styleId="25Char">
    <w:name w:val="正文小四25磅行距 Char"/>
    <w:link w:val="252"/>
    <w:rPr>
      <w:rFonts w:ascii="Arial Narrow" w:eastAsia="汉鼎简书宋" w:hAnsi="Arial Narrow"/>
      <w:b/>
      <w:bCs/>
      <w:kern w:val="2"/>
      <w:sz w:val="24"/>
      <w:szCs w:val="44"/>
    </w:rPr>
  </w:style>
  <w:style w:type="paragraph" w:customStyle="1" w:styleId="252">
    <w:name w:val="正文小四25磅行距"/>
    <w:basedOn w:val="a"/>
    <w:next w:val="a"/>
    <w:link w:val="25Char"/>
    <w:qFormat/>
    <w:pPr>
      <w:overflowPunct w:val="0"/>
      <w:spacing w:line="500" w:lineRule="exact"/>
    </w:pPr>
    <w:rPr>
      <w:rFonts w:ascii="Arial Narrow" w:eastAsia="汉鼎简书宋" w:hAnsi="Arial Narrow"/>
      <w:b/>
      <w:bCs/>
      <w:szCs w:val="44"/>
    </w:rPr>
  </w:style>
  <w:style w:type="paragraph" w:customStyle="1" w:styleId="2fff">
    <w:name w:val="正2"/>
    <w:basedOn w:val="a"/>
    <w:link w:val="2Char6"/>
    <w:qFormat/>
    <w:pPr>
      <w:spacing w:line="480" w:lineRule="auto"/>
      <w:ind w:firstLineChars="200" w:firstLine="480"/>
      <w:jc w:val="left"/>
    </w:pPr>
    <w:rPr>
      <w:color w:val="0000FF"/>
      <w:szCs w:val="24"/>
      <w:lang w:val="zh-CN"/>
    </w:rPr>
  </w:style>
  <w:style w:type="character" w:customStyle="1" w:styleId="2Char6">
    <w:name w:val="正2 Char"/>
    <w:link w:val="2fff"/>
    <w:qFormat/>
    <w:rPr>
      <w:rFonts w:ascii="宋体" w:hAnsi="宋体"/>
      <w:color w:val="0000FF"/>
      <w:kern w:val="2"/>
      <w:sz w:val="24"/>
      <w:szCs w:val="24"/>
      <w:lang w:val="zh-CN"/>
    </w:rPr>
  </w:style>
  <w:style w:type="character" w:customStyle="1" w:styleId="2Char3">
    <w:name w:val="样式2 Char"/>
    <w:link w:val="2fb"/>
    <w:qFormat/>
    <w:locked/>
    <w:rPr>
      <w:rFonts w:ascii="宋体" w:eastAsia="仿宋_GB2312" w:hAnsi="宋体"/>
      <w:kern w:val="2"/>
      <w:sz w:val="24"/>
    </w:rPr>
  </w:style>
  <w:style w:type="character" w:customStyle="1" w:styleId="1Char10">
    <w:name w:val="1) Char1"/>
    <w:qFormat/>
    <w:rPr>
      <w:rFonts w:eastAsia="仿宋_GB2312"/>
      <w:kern w:val="2"/>
      <w:sz w:val="21"/>
      <w:u w:val="single"/>
      <w:lang w:val="en-US" w:eastAsia="zh-CN" w:bidi="ar-SA"/>
    </w:rPr>
  </w:style>
  <w:style w:type="character" w:customStyle="1" w:styleId="Charfff7">
    <w:name w:val="无节 Char"/>
    <w:qFormat/>
    <w:rPr>
      <w:rFonts w:ascii="Arial" w:eastAsia="黑体" w:hAnsi="Arial"/>
      <w:b/>
      <w:bCs/>
      <w:kern w:val="2"/>
      <w:sz w:val="24"/>
      <w:szCs w:val="24"/>
      <w:lang w:val="en-US" w:eastAsia="zh-CN" w:bidi="ar-SA"/>
    </w:rPr>
  </w:style>
  <w:style w:type="character" w:customStyle="1" w:styleId="7Char0">
    <w:name w:val="标题 7 表 Char"/>
    <w:qFormat/>
    <w:rPr>
      <w:rFonts w:eastAsia="仿宋_GB2312"/>
      <w:kern w:val="2"/>
      <w:sz w:val="18"/>
      <w:u w:val="single"/>
      <w:lang w:val="en-US" w:eastAsia="zh-CN" w:bidi="ar-SA"/>
    </w:rPr>
  </w:style>
  <w:style w:type="character" w:customStyle="1" w:styleId="Charfff8">
    <w:name w:val="无节款 Char"/>
    <w:rPr>
      <w:rFonts w:ascii="Arial" w:eastAsia="黑体" w:hAnsi="Arial"/>
      <w:kern w:val="2"/>
      <w:sz w:val="24"/>
      <w:lang w:val="en-US" w:eastAsia="zh-CN" w:bidi="ar-SA"/>
    </w:rPr>
  </w:style>
  <w:style w:type="character" w:customStyle="1" w:styleId="1Char5">
    <w:name w:val="页眉1 Char"/>
    <w:qFormat/>
    <w:rPr>
      <w:rFonts w:ascii="宋体" w:eastAsia="宋体"/>
      <w:kern w:val="2"/>
      <w:sz w:val="18"/>
      <w:szCs w:val="18"/>
      <w:lang w:val="en-US" w:eastAsia="zh-CN" w:bidi="ar-SA"/>
    </w:rPr>
  </w:style>
  <w:style w:type="character" w:customStyle="1" w:styleId="CharCharf4">
    <w:name w:val="页脚 Char Char"/>
    <w:uiPriority w:val="99"/>
    <w:qFormat/>
    <w:rPr>
      <w:rFonts w:ascii="宋体" w:eastAsia="宋体"/>
      <w:kern w:val="2"/>
      <w:sz w:val="18"/>
      <w:szCs w:val="18"/>
      <w:lang w:val="en-US" w:eastAsia="zh-CN" w:bidi="ar-SA"/>
    </w:rPr>
  </w:style>
  <w:style w:type="paragraph" w:customStyle="1" w:styleId="Char1CharCharCharCharCharChar">
    <w:name w:val="Char1 Char Char Char Char Char Char"/>
    <w:basedOn w:val="a"/>
    <w:next w:val="40"/>
    <w:qFormat/>
    <w:pPr>
      <w:spacing w:beforeLines="100"/>
    </w:pPr>
    <w:rPr>
      <w:rFonts w:ascii="Times New Roman" w:cs="Arial"/>
      <w:spacing w:val="8"/>
      <w:sz w:val="21"/>
      <w:szCs w:val="24"/>
    </w:rPr>
  </w:style>
  <w:style w:type="paragraph" w:customStyle="1" w:styleId="RGB006724">
    <w:name w:val="样式 ˎ̥ 小四 自定义颜(RGB(0067)) 行距: 固定值 24 磅"/>
    <w:basedOn w:val="a"/>
    <w:qFormat/>
    <w:pPr>
      <w:spacing w:line="480" w:lineRule="exact"/>
      <w:ind w:firstLineChars="200" w:firstLine="200"/>
    </w:pPr>
    <w:rPr>
      <w:rFonts w:ascii="ˎ̥" w:hAnsi="ˎ̥" w:cs="宋体"/>
      <w:color w:val="000043"/>
      <w:kern w:val="0"/>
    </w:rPr>
  </w:style>
  <w:style w:type="paragraph" w:customStyle="1" w:styleId="affffffffffffffff3">
    <w:name w:val="样式 样式 报告正文 + 宋体 五号 黑色 + 五号"/>
    <w:basedOn w:val="a"/>
    <w:link w:val="Charfff9"/>
    <w:qFormat/>
    <w:pPr>
      <w:adjustRightInd w:val="0"/>
      <w:snapToGrid w:val="0"/>
      <w:spacing w:line="500" w:lineRule="exact"/>
      <w:ind w:firstLineChars="200" w:firstLine="200"/>
    </w:pPr>
    <w:rPr>
      <w:b/>
      <w:bCs/>
      <w:color w:val="000000"/>
      <w:szCs w:val="24"/>
    </w:rPr>
  </w:style>
  <w:style w:type="character" w:customStyle="1" w:styleId="Charfff9">
    <w:name w:val="样式 样式 报告正文 + 宋体 五号 黑色 + 五号 Char"/>
    <w:link w:val="affffffffffffffff3"/>
    <w:qFormat/>
    <w:rPr>
      <w:rFonts w:ascii="宋体" w:hAnsi="宋体"/>
      <w:b/>
      <w:bCs/>
      <w:color w:val="000000"/>
      <w:kern w:val="2"/>
      <w:sz w:val="24"/>
      <w:szCs w:val="24"/>
    </w:rPr>
  </w:style>
  <w:style w:type="character" w:customStyle="1" w:styleId="2Char20">
    <w:name w:val="标题 2 Char2"/>
    <w:rPr>
      <w:rFonts w:ascii="宋体" w:eastAsia="黑体" w:hAnsi="宋体"/>
      <w:b/>
      <w:kern w:val="2"/>
      <w:sz w:val="32"/>
    </w:rPr>
  </w:style>
  <w:style w:type="character" w:customStyle="1" w:styleId="text1">
    <w:name w:val="text1"/>
    <w:qFormat/>
    <w:rPr>
      <w:sz w:val="21"/>
      <w:szCs w:val="21"/>
    </w:rPr>
  </w:style>
  <w:style w:type="paragraph" w:customStyle="1" w:styleId="---">
    <w:name w:val="正文---ＰＫ"/>
    <w:basedOn w:val="affffff4"/>
    <w:link w:val="---Char"/>
    <w:qFormat/>
    <w:pPr>
      <w:keepNext w:val="0"/>
      <w:adjustRightInd/>
      <w:snapToGrid/>
      <w:spacing w:line="500" w:lineRule="exact"/>
      <w:ind w:firstLineChars="200" w:firstLine="480"/>
      <w:jc w:val="left"/>
    </w:pPr>
    <w:rPr>
      <w:rFonts w:eastAsia="宋体" w:cs="Arial"/>
      <w:snapToGrid w:val="0"/>
      <w:color w:val="FF0000"/>
      <w:sz w:val="24"/>
      <w:szCs w:val="24"/>
      <w:lang w:val="zh-CN"/>
    </w:rPr>
  </w:style>
  <w:style w:type="character" w:customStyle="1" w:styleId="---Char">
    <w:name w:val="正文---ＰＫ Char"/>
    <w:link w:val="---"/>
    <w:qFormat/>
    <w:rPr>
      <w:rFonts w:ascii="宋体" w:hAnsi="宋体" w:cs="Arial"/>
      <w:snapToGrid w:val="0"/>
      <w:color w:val="FF0000"/>
      <w:kern w:val="2"/>
      <w:sz w:val="24"/>
      <w:szCs w:val="24"/>
      <w:lang w:val="zh-CN"/>
    </w:rPr>
  </w:style>
  <w:style w:type="character" w:customStyle="1" w:styleId="Char1d">
    <w:name w:val="表格内容 Char1"/>
    <w:qFormat/>
    <w:rPr>
      <w:rFonts w:ascii="宋体" w:eastAsia="宋体" w:hAnsi="宋体"/>
      <w:kern w:val="2"/>
      <w:sz w:val="21"/>
      <w:lang w:val="en-US" w:eastAsia="zh-CN" w:bidi="ar-SA"/>
    </w:rPr>
  </w:style>
  <w:style w:type="paragraph" w:customStyle="1" w:styleId="4">
    <w:name w:val="样式 标题 4 +"/>
    <w:basedOn w:val="40"/>
    <w:qFormat/>
    <w:pPr>
      <w:numPr>
        <w:ilvl w:val="3"/>
        <w:numId w:val="1"/>
      </w:numPr>
      <w:tabs>
        <w:tab w:val="clear" w:pos="1680"/>
      </w:tabs>
      <w:spacing w:before="0" w:after="0" w:line="500" w:lineRule="exact"/>
      <w:ind w:left="2160" w:firstLine="0"/>
    </w:pPr>
    <w:rPr>
      <w:rFonts w:ascii="Arial Narrow" w:eastAsia="宋体" w:hAnsi="Arial Narrow"/>
      <w:b w:val="0"/>
      <w:bCs/>
      <w:kern w:val="0"/>
      <w:sz w:val="24"/>
      <w:szCs w:val="24"/>
    </w:rPr>
  </w:style>
  <w:style w:type="paragraph" w:customStyle="1" w:styleId="BCA">
    <w:name w:val="BCA文稿"/>
    <w:basedOn w:val="a"/>
    <w:qFormat/>
    <w:pPr>
      <w:spacing w:line="460" w:lineRule="exact"/>
      <w:ind w:firstLineChars="200" w:firstLine="200"/>
    </w:pPr>
    <w:rPr>
      <w:rFonts w:ascii="Times New Roman" w:eastAsia="仿宋_GB2312" w:hAnsi="Times New Roman"/>
      <w:sz w:val="28"/>
      <w:szCs w:val="24"/>
    </w:rPr>
  </w:style>
  <w:style w:type="character" w:customStyle="1" w:styleId="Charfffa">
    <w:name w:val="样式 报告正文 + (中文) 宋体 小四 黑色 Char"/>
    <w:qFormat/>
    <w:rPr>
      <w:rFonts w:eastAsia="宋体"/>
      <w:color w:val="000000"/>
      <w:kern w:val="2"/>
      <w:sz w:val="24"/>
      <w:szCs w:val="24"/>
      <w:lang w:val="en-US" w:eastAsia="zh-CN" w:bidi="ar-SA"/>
    </w:rPr>
  </w:style>
  <w:style w:type="character" w:customStyle="1" w:styleId="black141">
    <w:name w:val="black_141"/>
    <w:qFormat/>
    <w:rPr>
      <w:color w:val="000000"/>
      <w:spacing w:val="480"/>
      <w:sz w:val="28"/>
      <w:szCs w:val="28"/>
    </w:rPr>
  </w:style>
  <w:style w:type="paragraph" w:customStyle="1" w:styleId="1fff">
    <w:name w:val="1正文段落"/>
    <w:basedOn w:val="a"/>
    <w:link w:val="1Char6"/>
    <w:qFormat/>
    <w:pPr>
      <w:spacing w:line="500" w:lineRule="exact"/>
      <w:ind w:firstLineChars="200" w:firstLine="200"/>
      <w:jc w:val="left"/>
    </w:pPr>
    <w:rPr>
      <w:snapToGrid w:val="0"/>
      <w:color w:val="1F497D"/>
      <w:spacing w:val="2"/>
      <w:kern w:val="0"/>
      <w:szCs w:val="24"/>
    </w:rPr>
  </w:style>
  <w:style w:type="character" w:customStyle="1" w:styleId="1Char6">
    <w:name w:val="1正文段落 Char"/>
    <w:link w:val="1fff"/>
    <w:qFormat/>
    <w:rPr>
      <w:rFonts w:ascii="宋体" w:hAnsi="宋体"/>
      <w:snapToGrid w:val="0"/>
      <w:color w:val="1F497D"/>
      <w:spacing w:val="2"/>
      <w:sz w:val="24"/>
      <w:szCs w:val="24"/>
    </w:rPr>
  </w:style>
  <w:style w:type="paragraph" w:customStyle="1" w:styleId="CharCharCharCharCharChar">
    <w:name w:val="Char Char Char Char Char Char"/>
    <w:basedOn w:val="a"/>
    <w:qFormat/>
    <w:rPr>
      <w:rFonts w:hAnsi="Times New Roman"/>
      <w:sz w:val="21"/>
      <w:szCs w:val="24"/>
    </w:rPr>
  </w:style>
  <w:style w:type="character" w:customStyle="1" w:styleId="Charfff5">
    <w:name w:val="样式 报告正文 + (中文) 华文细黑 Char"/>
    <w:link w:val="afffffffffffffff0"/>
    <w:qFormat/>
    <w:rPr>
      <w:rFonts w:eastAsia="仿宋_GB2312"/>
      <w:color w:val="000000"/>
      <w:kern w:val="2"/>
      <w:sz w:val="28"/>
    </w:rPr>
  </w:style>
  <w:style w:type="paragraph" w:customStyle="1" w:styleId="1fff0">
    <w:name w:val="项目符号1"/>
    <w:basedOn w:val="a"/>
    <w:qFormat/>
    <w:pPr>
      <w:overflowPunct w:val="0"/>
      <w:snapToGrid w:val="0"/>
      <w:spacing w:line="400" w:lineRule="exact"/>
      <w:ind w:firstLineChars="200" w:firstLine="200"/>
    </w:pPr>
    <w:rPr>
      <w:rFonts w:ascii="Arial" w:eastAsia="仿宋_GB2312" w:hAnsi="Arial"/>
    </w:rPr>
  </w:style>
  <w:style w:type="paragraph" w:customStyle="1" w:styleId="affffffffffffffff4">
    <w:name w:val="空行"/>
    <w:basedOn w:val="a"/>
    <w:qFormat/>
    <w:pPr>
      <w:overflowPunct w:val="0"/>
      <w:snapToGrid w:val="0"/>
      <w:spacing w:line="240" w:lineRule="exact"/>
    </w:pPr>
    <w:rPr>
      <w:rFonts w:ascii="Arial" w:eastAsia="仿宋_GB2312" w:hAnsi="Arial"/>
    </w:rPr>
  </w:style>
  <w:style w:type="paragraph" w:customStyle="1" w:styleId="1fff1">
    <w:name w:val="样式1－王鹏"/>
    <w:basedOn w:val="a"/>
    <w:qFormat/>
    <w:pPr>
      <w:adjustRightInd w:val="0"/>
      <w:snapToGrid w:val="0"/>
      <w:spacing w:line="480" w:lineRule="atLeast"/>
      <w:ind w:firstLineChars="300" w:firstLine="666"/>
    </w:pPr>
    <w:rPr>
      <w:rFonts w:cs="Arial"/>
      <w:bCs/>
      <w:snapToGrid w:val="0"/>
      <w:color w:val="000000"/>
      <w:spacing w:val="6"/>
      <w:szCs w:val="24"/>
    </w:rPr>
  </w:style>
  <w:style w:type="character" w:customStyle="1" w:styleId="j41">
    <w:name w:val="j41"/>
    <w:qFormat/>
    <w:rPr>
      <w:color w:val="455654"/>
      <w:spacing w:val="330"/>
      <w:sz w:val="21"/>
      <w:szCs w:val="21"/>
    </w:rPr>
  </w:style>
  <w:style w:type="paragraph" w:customStyle="1" w:styleId="2fff0">
    <w:name w:val="样式2－王鹏"/>
    <w:basedOn w:val="a"/>
    <w:qFormat/>
    <w:pPr>
      <w:autoSpaceDE w:val="0"/>
      <w:autoSpaceDN w:val="0"/>
      <w:adjustRightInd w:val="0"/>
      <w:snapToGrid w:val="0"/>
      <w:spacing w:afterLines="50" w:line="300" w:lineRule="auto"/>
      <w:jc w:val="center"/>
      <w:textAlignment w:val="baseline"/>
    </w:pPr>
    <w:rPr>
      <w:rFonts w:ascii="Times New Roman" w:hAnsi="Times New Roman"/>
      <w:snapToGrid w:val="0"/>
      <w:kern w:val="0"/>
      <w:sz w:val="21"/>
      <w:szCs w:val="21"/>
    </w:rPr>
  </w:style>
  <w:style w:type="paragraph" w:customStyle="1" w:styleId="3-">
    <w:name w:val="样式3-王鹏"/>
    <w:basedOn w:val="a"/>
    <w:qFormat/>
    <w:pPr>
      <w:adjustRightInd w:val="0"/>
      <w:snapToGrid w:val="0"/>
      <w:spacing w:line="460" w:lineRule="exact"/>
      <w:ind w:firstLineChars="200" w:firstLine="420"/>
    </w:pPr>
    <w:rPr>
      <w:snapToGrid w:val="0"/>
      <w:kern w:val="0"/>
      <w:sz w:val="21"/>
      <w:szCs w:val="21"/>
    </w:rPr>
  </w:style>
  <w:style w:type="paragraph" w:customStyle="1" w:styleId="3wf">
    <w:name w:val="样式3wf"/>
    <w:basedOn w:val="a"/>
    <w:qFormat/>
    <w:pPr>
      <w:autoSpaceDE w:val="0"/>
      <w:autoSpaceDN w:val="0"/>
      <w:adjustRightInd w:val="0"/>
      <w:snapToGrid w:val="0"/>
      <w:spacing w:before="120"/>
      <w:jc w:val="center"/>
      <w:textAlignment w:val="baseline"/>
    </w:pPr>
    <w:rPr>
      <w:rFonts w:ascii="Times New Roman" w:hAnsi="Times New Roman"/>
      <w:color w:val="FF0000"/>
      <w:sz w:val="21"/>
      <w:szCs w:val="21"/>
    </w:rPr>
  </w:style>
  <w:style w:type="paragraph" w:customStyle="1" w:styleId="94">
    <w:name w:val="标题9"/>
    <w:qFormat/>
    <w:pPr>
      <w:adjustRightInd w:val="0"/>
      <w:snapToGrid w:val="0"/>
      <w:spacing w:line="360" w:lineRule="auto"/>
      <w:jc w:val="center"/>
    </w:pPr>
    <w:rPr>
      <w:rFonts w:eastAsia="黑体"/>
      <w:sz w:val="21"/>
    </w:rPr>
  </w:style>
  <w:style w:type="paragraph" w:customStyle="1" w:styleId="affffffffffffffff5">
    <w:name w:val="字母编号"/>
    <w:basedOn w:val="a"/>
    <w:qFormat/>
    <w:pPr>
      <w:tabs>
        <w:tab w:val="left" w:pos="981"/>
      </w:tabs>
      <w:adjustRightInd w:val="0"/>
      <w:snapToGrid w:val="0"/>
      <w:spacing w:before="50" w:afterLines="50" w:line="336" w:lineRule="auto"/>
      <w:ind w:firstLine="420"/>
    </w:pPr>
    <w:rPr>
      <w:rFonts w:ascii="Arial" w:hAnsi="Arial"/>
      <w:snapToGrid w:val="0"/>
      <w:kern w:val="0"/>
      <w:szCs w:val="21"/>
    </w:rPr>
  </w:style>
  <w:style w:type="paragraph" w:customStyle="1" w:styleId="affffffffffffffff6">
    <w:name w:val="项目点符号"/>
    <w:basedOn w:val="a"/>
    <w:qFormat/>
    <w:pPr>
      <w:spacing w:afterLines="50" w:line="336" w:lineRule="auto"/>
      <w:ind w:firstLineChars="200" w:firstLine="504"/>
    </w:pPr>
    <w:rPr>
      <w:rFonts w:ascii="Times New Roman" w:hAnsi="Times New Roman"/>
      <w:snapToGrid w:val="0"/>
      <w:color w:val="000000"/>
      <w:spacing w:val="6"/>
      <w:kern w:val="0"/>
      <w:szCs w:val="21"/>
    </w:rPr>
  </w:style>
  <w:style w:type="paragraph" w:customStyle="1" w:styleId="affffffffffffffff7">
    <w:name w:val="数字编号"/>
    <w:basedOn w:val="a"/>
    <w:qFormat/>
    <w:pPr>
      <w:tabs>
        <w:tab w:val="left" w:pos="620"/>
      </w:tabs>
      <w:spacing w:beforeLines="50" w:afterLines="50" w:line="336" w:lineRule="auto"/>
      <w:ind w:firstLineChars="200" w:firstLine="200"/>
    </w:pPr>
    <w:rPr>
      <w:rFonts w:ascii="Times New Roman" w:hAnsi="Times New Roman"/>
      <w:snapToGrid w:val="0"/>
      <w:spacing w:val="6"/>
      <w:kern w:val="0"/>
      <w:szCs w:val="21"/>
    </w:rPr>
  </w:style>
  <w:style w:type="paragraph" w:customStyle="1" w:styleId="95">
    <w:name w:val="目录9"/>
    <w:next w:val="a"/>
    <w:qFormat/>
    <w:pPr>
      <w:adjustRightInd w:val="0"/>
      <w:snapToGrid w:val="0"/>
      <w:spacing w:afterLines="30" w:line="315" w:lineRule="atLeast"/>
      <w:jc w:val="center"/>
    </w:pPr>
    <w:rPr>
      <w:rFonts w:eastAsia="黑体"/>
      <w:sz w:val="18"/>
    </w:rPr>
  </w:style>
  <w:style w:type="character" w:customStyle="1" w:styleId="6Char">
    <w:name w:val="样式6 Char"/>
    <w:qFormat/>
    <w:rPr>
      <w:rFonts w:eastAsia="宋体"/>
      <w:spacing w:val="6"/>
      <w:kern w:val="2"/>
      <w:sz w:val="21"/>
      <w:lang w:val="en-US" w:eastAsia="zh-CN" w:bidi="ar-SA"/>
    </w:rPr>
  </w:style>
  <w:style w:type="character" w:customStyle="1" w:styleId="6CharChar">
    <w:name w:val="样式6 Char Char"/>
    <w:qFormat/>
    <w:rPr>
      <w:rFonts w:eastAsia="宋体"/>
      <w:spacing w:val="6"/>
      <w:kern w:val="2"/>
      <w:sz w:val="21"/>
      <w:lang w:val="en-US" w:eastAsia="zh-CN" w:bidi="ar-SA"/>
    </w:rPr>
  </w:style>
  <w:style w:type="character" w:customStyle="1" w:styleId="1Char7">
    <w:name w:val="标题1 Char"/>
    <w:qFormat/>
    <w:rPr>
      <w:rFonts w:eastAsia="宋体"/>
      <w:b/>
      <w:sz w:val="32"/>
      <w:lang w:val="en-US" w:eastAsia="zh-CN" w:bidi="ar-SA"/>
    </w:rPr>
  </w:style>
  <w:style w:type="paragraph" w:customStyle="1" w:styleId="5e">
    <w:name w:val="纪任山图表标题5"/>
    <w:basedOn w:val="a"/>
    <w:qFormat/>
    <w:pPr>
      <w:adjustRightInd w:val="0"/>
      <w:snapToGrid w:val="0"/>
      <w:spacing w:beforeLines="50" w:afterLines="50" w:line="480" w:lineRule="exact"/>
      <w:jc w:val="center"/>
    </w:pPr>
    <w:rPr>
      <w:rFonts w:ascii="Times New Roman" w:hAnsi="Times New Roman"/>
      <w:b/>
      <w:bCs/>
      <w:color w:val="000000"/>
      <w:spacing w:val="6"/>
      <w:szCs w:val="21"/>
    </w:rPr>
  </w:style>
  <w:style w:type="paragraph" w:customStyle="1" w:styleId="affffffffffffffff8">
    <w:name w:val="问题稿"/>
    <w:basedOn w:val="a"/>
    <w:qFormat/>
    <w:pPr>
      <w:spacing w:line="300" w:lineRule="auto"/>
      <w:ind w:firstLineChars="200" w:firstLine="504"/>
    </w:pPr>
    <w:rPr>
      <w:rFonts w:ascii="Times New Roman" w:hAnsi="Times New Roman"/>
      <w:color w:val="0000FF"/>
      <w:spacing w:val="6"/>
      <w:szCs w:val="21"/>
    </w:rPr>
  </w:style>
  <w:style w:type="character" w:customStyle="1" w:styleId="p121">
    <w:name w:val="p121"/>
    <w:qFormat/>
    <w:rPr>
      <w:rFonts w:ascii="宋体" w:eastAsia="宋体" w:hAnsi="宋体" w:hint="eastAsia"/>
      <w:sz w:val="18"/>
      <w:szCs w:val="18"/>
    </w:rPr>
  </w:style>
  <w:style w:type="paragraph" w:customStyle="1" w:styleId="DefinitionTerm">
    <w:name w:val="Definition Term"/>
    <w:basedOn w:val="a"/>
    <w:next w:val="DefinitionList"/>
    <w:qFormat/>
    <w:pPr>
      <w:autoSpaceDE w:val="0"/>
      <w:autoSpaceDN w:val="0"/>
      <w:adjustRightInd w:val="0"/>
      <w:jc w:val="left"/>
    </w:pPr>
    <w:rPr>
      <w:rFonts w:ascii="Times New Roman" w:hAnsi="Times New Roman"/>
      <w:kern w:val="0"/>
    </w:rPr>
  </w:style>
  <w:style w:type="paragraph" w:customStyle="1" w:styleId="DefinitionList">
    <w:name w:val="Definition List"/>
    <w:basedOn w:val="a"/>
    <w:next w:val="DefinitionTerm"/>
    <w:qFormat/>
    <w:pPr>
      <w:autoSpaceDE w:val="0"/>
      <w:autoSpaceDN w:val="0"/>
      <w:adjustRightInd w:val="0"/>
      <w:ind w:left="360"/>
      <w:jc w:val="left"/>
    </w:pPr>
    <w:rPr>
      <w:rFonts w:ascii="Times New Roman" w:hAnsi="Times New Roman"/>
      <w:kern w:val="0"/>
    </w:rPr>
  </w:style>
  <w:style w:type="paragraph" w:customStyle="1" w:styleId="reference">
    <w:name w:val="reference"/>
    <w:basedOn w:val="icsptext"/>
    <w:qFormat/>
    <w:pPr>
      <w:tabs>
        <w:tab w:val="left" w:pos="1350"/>
      </w:tabs>
      <w:ind w:left="1350" w:hanging="1350"/>
    </w:pPr>
  </w:style>
  <w:style w:type="paragraph" w:customStyle="1" w:styleId="icsptext">
    <w:name w:val="icsp_text"/>
    <w:basedOn w:val="a"/>
    <w:qFormat/>
    <w:pPr>
      <w:outlineLvl w:val="0"/>
    </w:pPr>
    <w:rPr>
      <w:rFonts w:ascii="Times New Roman" w:eastAsia="仿宋_GB2312" w:hAnsi="Times New Roman"/>
      <w:sz w:val="30"/>
    </w:rPr>
  </w:style>
  <w:style w:type="character" w:customStyle="1" w:styleId="affffffffffffffff9">
    <w:name w:val="样式 小四 黑色"/>
    <w:qFormat/>
    <w:rPr>
      <w:rFonts w:eastAsia="仿宋_GB2312"/>
      <w:color w:val="000000"/>
      <w:sz w:val="28"/>
    </w:rPr>
  </w:style>
  <w:style w:type="paragraph" w:customStyle="1" w:styleId="affffffffffffffffa">
    <w:name w:val="样式 报告正文 + (中文) 华文细黑 自动设置"/>
    <w:basedOn w:val="affffff4"/>
    <w:qFormat/>
    <w:pPr>
      <w:ind w:firstLine="0"/>
    </w:pPr>
    <w:rPr>
      <w:rFonts w:ascii="Times New Roman" w:hAnsi="Times New Roman"/>
      <w:color w:val="000000"/>
      <w:lang w:val="zh-CN"/>
    </w:rPr>
  </w:style>
  <w:style w:type="paragraph" w:customStyle="1" w:styleId="020">
    <w:name w:val="样式 报告正文 + 紧缩量  0.2 磅"/>
    <w:basedOn w:val="affffff4"/>
    <w:qFormat/>
    <w:pPr>
      <w:ind w:firstLine="0"/>
    </w:pPr>
    <w:rPr>
      <w:rFonts w:ascii="Times New Roman" w:hAnsi="Times New Roman"/>
      <w:color w:val="000000"/>
      <w:lang w:val="zh-CN"/>
    </w:rPr>
  </w:style>
  <w:style w:type="paragraph" w:customStyle="1" w:styleId="2fff1">
    <w:name w:val="样式 样式 报告正文 + (中文) 宋体 小四 自动设置 + 首行缩进:  2 字符"/>
    <w:basedOn w:val="a"/>
    <w:qFormat/>
    <w:pPr>
      <w:keepNext/>
      <w:adjustRightInd w:val="0"/>
      <w:snapToGrid w:val="0"/>
      <w:spacing w:line="360" w:lineRule="auto"/>
      <w:ind w:firstLineChars="200" w:firstLine="480"/>
    </w:pPr>
    <w:rPr>
      <w:rFonts w:ascii="Times New Roman" w:eastAsia="仿宋_GB2312" w:hAnsi="Times New Roman" w:cs="宋体"/>
      <w:sz w:val="28"/>
    </w:rPr>
  </w:style>
  <w:style w:type="paragraph" w:customStyle="1" w:styleId="2050">
    <w:name w:val="样式 报告一 + 首行缩进:  2 字符 段前: 0.5 行"/>
    <w:basedOn w:val="affffffffffff6"/>
    <w:qFormat/>
    <w:pPr>
      <w:widowControl/>
      <w:autoSpaceDE w:val="0"/>
      <w:autoSpaceDN w:val="0"/>
      <w:adjustRightInd w:val="0"/>
      <w:ind w:firstLineChars="225" w:firstLine="540"/>
      <w:outlineLvl w:val="3"/>
    </w:pPr>
    <w:rPr>
      <w:rFonts w:cs="宋体"/>
      <w:b w:val="0"/>
      <w:szCs w:val="20"/>
    </w:rPr>
  </w:style>
  <w:style w:type="paragraph" w:customStyle="1" w:styleId="07122">
    <w:name w:val="样式 样式 样式 报告正文 + 首行缩进:  0.71 厘米 + 首行缩进:  2 字符 + 首行缩进:  2 字符"/>
    <w:basedOn w:val="a"/>
    <w:qFormat/>
    <w:pPr>
      <w:keepNext/>
      <w:widowControl/>
      <w:autoSpaceDE w:val="0"/>
      <w:autoSpaceDN w:val="0"/>
      <w:adjustRightInd w:val="0"/>
      <w:spacing w:line="360" w:lineRule="auto"/>
      <w:ind w:firstLineChars="200" w:firstLine="544"/>
    </w:pPr>
    <w:rPr>
      <w:rFonts w:ascii="Times" w:eastAsia="仿宋_GB2312" w:hAnsi="Times" w:cs="宋体"/>
      <w:spacing w:val="-4"/>
      <w:sz w:val="28"/>
    </w:rPr>
  </w:style>
  <w:style w:type="paragraph" w:customStyle="1" w:styleId="affffffffffffffffb">
    <w:name w:val="样式 报告正文 + (中文) 宋体 小四"/>
    <w:basedOn w:val="a"/>
    <w:qFormat/>
    <w:pPr>
      <w:keepNext/>
      <w:adjustRightInd w:val="0"/>
      <w:snapToGrid w:val="0"/>
      <w:spacing w:line="360" w:lineRule="auto"/>
      <w:ind w:firstLineChars="200" w:firstLine="200"/>
    </w:pPr>
    <w:rPr>
      <w:rFonts w:eastAsia="仿宋_GB2312"/>
      <w:color w:val="000000"/>
      <w:sz w:val="21"/>
      <w:szCs w:val="21"/>
    </w:rPr>
  </w:style>
  <w:style w:type="character" w:customStyle="1" w:styleId="6GB2312Char">
    <w:name w:val="样式 标题6 + (中文) 仿宋_GB2312 五号 Char"/>
    <w:qFormat/>
    <w:rPr>
      <w:rFonts w:ascii="Times" w:eastAsia="仿宋_GB2312" w:hAnsi="Times"/>
      <w:b/>
      <w:bCs/>
      <w:kern w:val="2"/>
      <w:sz w:val="24"/>
      <w:szCs w:val="24"/>
      <w:lang w:val="en-US" w:eastAsia="zh-CN" w:bidi="ar-SA"/>
    </w:rPr>
  </w:style>
  <w:style w:type="character" w:customStyle="1" w:styleId="6Char0">
    <w:name w:val="标题6 Char"/>
    <w:semiHidden/>
    <w:qFormat/>
    <w:rPr>
      <w:rFonts w:ascii="Times" w:eastAsia="黑体" w:hAnsi="Times"/>
      <w:b/>
      <w:kern w:val="2"/>
      <w:sz w:val="28"/>
      <w:szCs w:val="24"/>
      <w:lang w:val="en-US" w:eastAsia="zh-CN" w:bidi="ar-SA"/>
    </w:rPr>
  </w:style>
  <w:style w:type="character" w:customStyle="1" w:styleId="CharChar202">
    <w:name w:val="Char Char202"/>
    <w:qFormat/>
    <w:rPr>
      <w:rFonts w:ascii="Times New Roman" w:eastAsia="仿宋_GB2312" w:hAnsi="Times New Roman" w:cs="Times New Roman"/>
      <w:szCs w:val="20"/>
      <w:u w:val="single"/>
    </w:rPr>
  </w:style>
  <w:style w:type="character" w:customStyle="1" w:styleId="CharChar192">
    <w:name w:val="Char Char192"/>
    <w:qFormat/>
    <w:rPr>
      <w:rFonts w:ascii="Times New Roman" w:eastAsia="仿宋_GB2312" w:hAnsi="Times New Roman" w:cs="Times New Roman"/>
      <w:sz w:val="18"/>
      <w:szCs w:val="20"/>
      <w:u w:val="single"/>
    </w:rPr>
  </w:style>
  <w:style w:type="character" w:customStyle="1" w:styleId="CharChar182">
    <w:name w:val="Char Char182"/>
    <w:qFormat/>
    <w:rPr>
      <w:rFonts w:ascii="Arial" w:eastAsia="黑体" w:hAnsi="Arial" w:cs="Times New Roman"/>
      <w:sz w:val="24"/>
      <w:szCs w:val="20"/>
    </w:rPr>
  </w:style>
  <w:style w:type="character" w:customStyle="1" w:styleId="CharChar172">
    <w:name w:val="Char Char172"/>
    <w:qFormat/>
    <w:rPr>
      <w:rFonts w:ascii="Arial" w:eastAsia="黑体" w:hAnsi="Arial" w:cs="Times New Roman"/>
      <w:sz w:val="24"/>
      <w:szCs w:val="20"/>
    </w:rPr>
  </w:style>
  <w:style w:type="character" w:customStyle="1" w:styleId="CharChar92">
    <w:name w:val="Char Char92"/>
    <w:qFormat/>
    <w:rPr>
      <w:rFonts w:ascii="Times New Roman" w:eastAsia="宋体" w:hAnsi="Times New Roman"/>
      <w:sz w:val="16"/>
    </w:rPr>
  </w:style>
  <w:style w:type="character" w:customStyle="1" w:styleId="CharChar162">
    <w:name w:val="Char Char162"/>
    <w:qFormat/>
    <w:rPr>
      <w:rFonts w:ascii="宋体" w:eastAsia="宋体" w:hAnsi="宋体" w:cs="Times New Roman"/>
      <w:sz w:val="24"/>
      <w:szCs w:val="20"/>
    </w:rPr>
  </w:style>
  <w:style w:type="character" w:customStyle="1" w:styleId="Char1e">
    <w:name w:val="页眉 Char1"/>
    <w:qFormat/>
    <w:rPr>
      <w:sz w:val="18"/>
      <w:szCs w:val="18"/>
    </w:rPr>
  </w:style>
  <w:style w:type="character" w:customStyle="1" w:styleId="Char1f">
    <w:name w:val="文档结构图 Char1"/>
    <w:qFormat/>
    <w:rPr>
      <w:rFonts w:ascii="宋体" w:eastAsia="宋体"/>
      <w:sz w:val="18"/>
      <w:szCs w:val="18"/>
    </w:rPr>
  </w:style>
  <w:style w:type="character" w:customStyle="1" w:styleId="CharChar102">
    <w:name w:val="Char Char102"/>
    <w:qFormat/>
    <w:rPr>
      <w:rFonts w:ascii="Times" w:eastAsia="仿宋_GB2312" w:hAnsi="Times" w:cs="Times New Roman"/>
      <w:sz w:val="28"/>
      <w:szCs w:val="20"/>
    </w:rPr>
  </w:style>
  <w:style w:type="character" w:customStyle="1" w:styleId="3Char10">
    <w:name w:val="正文文本缩进 3 Char1"/>
    <w:qFormat/>
    <w:rPr>
      <w:sz w:val="16"/>
      <w:szCs w:val="16"/>
    </w:rPr>
  </w:style>
  <w:style w:type="character" w:customStyle="1" w:styleId="CharChar80">
    <w:name w:val="Char Char8"/>
    <w:qFormat/>
    <w:rPr>
      <w:rFonts w:ascii="Arial" w:eastAsia="仿宋_GB2312" w:hAnsi="Arial" w:cs="Times New Roman"/>
      <w:b/>
      <w:sz w:val="32"/>
      <w:szCs w:val="20"/>
    </w:rPr>
  </w:style>
  <w:style w:type="character" w:customStyle="1" w:styleId="CharChar72">
    <w:name w:val="Char Char72"/>
    <w:qFormat/>
    <w:rPr>
      <w:rFonts w:ascii="Times New Roman" w:eastAsia="宋体" w:hAnsi="Times New Roman" w:cs="Times New Roman"/>
      <w:sz w:val="28"/>
      <w:szCs w:val="20"/>
    </w:rPr>
  </w:style>
  <w:style w:type="character" w:customStyle="1" w:styleId="Char1f0">
    <w:name w:val="批注框文本 Char1"/>
    <w:qFormat/>
    <w:rPr>
      <w:sz w:val="18"/>
      <w:szCs w:val="18"/>
    </w:rPr>
  </w:style>
  <w:style w:type="character" w:customStyle="1" w:styleId="CharChar50">
    <w:name w:val="Char Char5"/>
    <w:qFormat/>
    <w:rPr>
      <w:rFonts w:ascii="Arial" w:eastAsia="宋体" w:hAnsi="Arial" w:cs="Times New Roman"/>
      <w:vanish/>
      <w:sz w:val="16"/>
      <w:szCs w:val="20"/>
    </w:rPr>
  </w:style>
  <w:style w:type="character" w:customStyle="1" w:styleId="Char1f1">
    <w:name w:val="页脚 Char1"/>
    <w:qFormat/>
    <w:rPr>
      <w:sz w:val="18"/>
      <w:szCs w:val="18"/>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黑体" w:eastAsia="黑体" w:hAnsi="黑体" w:cs="宋体"/>
      <w:b/>
      <w:bCs/>
      <w:i/>
      <w:iCs/>
      <w:kern w:val="0"/>
      <w:szCs w:val="24"/>
    </w:rPr>
  </w:style>
  <w:style w:type="paragraph" w:customStyle="1" w:styleId="xl93">
    <w:name w:val="xl9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b/>
      <w:bCs/>
      <w:kern w:val="0"/>
      <w:szCs w:val="24"/>
    </w:rPr>
  </w:style>
  <w:style w:type="paragraph" w:customStyle="1" w:styleId="xl94">
    <w:name w:val="xl9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b/>
      <w:bCs/>
      <w:i/>
      <w:iCs/>
      <w:kern w:val="0"/>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黑体" w:eastAsia="黑体" w:hAnsi="黑体" w:cs="宋体"/>
      <w:b/>
      <w:bCs/>
      <w:kern w:val="0"/>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黑体" w:eastAsia="黑体" w:hAnsi="黑体" w:cs="宋体"/>
      <w:kern w:val="0"/>
      <w:szCs w:val="24"/>
    </w:rPr>
  </w:style>
  <w:style w:type="paragraph" w:customStyle="1" w:styleId="xl97">
    <w:name w:val="xl9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cs="宋体"/>
      <w:b/>
      <w:bCs/>
      <w:kern w:val="0"/>
      <w:szCs w:val="24"/>
    </w:rPr>
  </w:style>
  <w:style w:type="paragraph" w:customStyle="1" w:styleId="xl98">
    <w:name w:val="xl9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b/>
      <w:bCs/>
      <w:kern w:val="0"/>
      <w:szCs w:val="24"/>
    </w:rPr>
  </w:style>
  <w:style w:type="paragraph" w:customStyle="1" w:styleId="xl99">
    <w:name w:val="xl9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b/>
      <w:bCs/>
      <w:kern w:val="0"/>
      <w:szCs w:val="24"/>
    </w:rPr>
  </w:style>
  <w:style w:type="paragraph" w:customStyle="1" w:styleId="xl100">
    <w:name w:val="xl10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Cs w:val="24"/>
    </w:rPr>
  </w:style>
  <w:style w:type="paragraph" w:customStyle="1" w:styleId="xl101">
    <w:name w:val="xl10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kern w:val="0"/>
      <w:szCs w:val="24"/>
    </w:rPr>
  </w:style>
  <w:style w:type="paragraph" w:customStyle="1" w:styleId="xl102">
    <w:name w:val="xl10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kern w:val="0"/>
      <w:szCs w:val="24"/>
    </w:rPr>
  </w:style>
  <w:style w:type="paragraph" w:customStyle="1" w:styleId="xl103">
    <w:name w:val="xl10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kern w:val="0"/>
      <w:szCs w:val="24"/>
    </w:rPr>
  </w:style>
  <w:style w:type="paragraph" w:customStyle="1" w:styleId="xl104">
    <w:name w:val="xl104"/>
    <w:basedOn w:val="a"/>
    <w:qFormat/>
    <w:pPr>
      <w:widowControl/>
      <w:spacing w:before="100" w:beforeAutospacing="1" w:after="100" w:afterAutospacing="1"/>
      <w:jc w:val="center"/>
    </w:pPr>
    <w:rPr>
      <w:rFonts w:cs="宋体"/>
      <w:b/>
      <w:bCs/>
      <w:kern w:val="0"/>
      <w:szCs w:val="24"/>
    </w:rPr>
  </w:style>
  <w:style w:type="paragraph" w:customStyle="1" w:styleId="xl105">
    <w:name w:val="xl10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kern w:val="0"/>
      <w:szCs w:val="24"/>
    </w:rPr>
  </w:style>
  <w:style w:type="paragraph" w:customStyle="1" w:styleId="xl106">
    <w:name w:val="xl10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黑体" w:eastAsia="黑体" w:hAnsi="黑体" w:cs="宋体"/>
      <w:b/>
      <w:bCs/>
      <w:kern w:val="0"/>
      <w:szCs w:val="24"/>
    </w:rPr>
  </w:style>
  <w:style w:type="paragraph" w:customStyle="1" w:styleId="xl107">
    <w:name w:val="xl10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kern w:val="0"/>
      <w:szCs w:val="24"/>
    </w:rPr>
  </w:style>
  <w:style w:type="paragraph" w:customStyle="1" w:styleId="xl108">
    <w:name w:val="xl10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kern w:val="0"/>
      <w:sz w:val="28"/>
      <w:szCs w:val="28"/>
    </w:rPr>
  </w:style>
  <w:style w:type="paragraph" w:customStyle="1" w:styleId="xl109">
    <w:name w:val="xl10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kern w:val="0"/>
      <w:szCs w:val="24"/>
    </w:rPr>
  </w:style>
  <w:style w:type="paragraph" w:customStyle="1" w:styleId="xl110">
    <w:name w:val="xl11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kern w:val="0"/>
      <w:szCs w:val="24"/>
    </w:rPr>
  </w:style>
  <w:style w:type="paragraph" w:customStyle="1" w:styleId="xl111">
    <w:name w:val="xl11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b/>
      <w:bCs/>
      <w:kern w:val="0"/>
      <w:szCs w:val="24"/>
    </w:rPr>
  </w:style>
  <w:style w:type="paragraph" w:customStyle="1" w:styleId="xl112">
    <w:name w:val="xl11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Cs w:val="24"/>
    </w:rPr>
  </w:style>
  <w:style w:type="paragraph" w:customStyle="1" w:styleId="xl113">
    <w:name w:val="xl11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cs="宋体"/>
      <w:b/>
      <w:bCs/>
      <w:i/>
      <w:iCs/>
      <w:kern w:val="0"/>
      <w:szCs w:val="24"/>
    </w:rPr>
  </w:style>
  <w:style w:type="paragraph" w:customStyle="1" w:styleId="xl114">
    <w:name w:val="xl11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cs="宋体"/>
      <w:i/>
      <w:iCs/>
      <w:kern w:val="0"/>
      <w:szCs w:val="24"/>
    </w:rPr>
  </w:style>
  <w:style w:type="paragraph" w:customStyle="1" w:styleId="xl115">
    <w:name w:val="xl11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cs="宋体"/>
      <w:kern w:val="0"/>
      <w:szCs w:val="24"/>
    </w:rPr>
  </w:style>
  <w:style w:type="paragraph" w:customStyle="1" w:styleId="xl116">
    <w:name w:val="xl11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kern w:val="0"/>
      <w:szCs w:val="24"/>
    </w:rPr>
  </w:style>
  <w:style w:type="paragraph" w:customStyle="1" w:styleId="xl117">
    <w:name w:val="xl11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kern w:val="0"/>
      <w:szCs w:val="24"/>
    </w:rPr>
  </w:style>
  <w:style w:type="paragraph" w:customStyle="1" w:styleId="xl118">
    <w:name w:val="xl11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cs="宋体"/>
      <w:kern w:val="0"/>
      <w:szCs w:val="24"/>
    </w:rPr>
  </w:style>
  <w:style w:type="paragraph" w:customStyle="1" w:styleId="xl119">
    <w:name w:val="xl11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kern w:val="0"/>
      <w:szCs w:val="24"/>
    </w:rPr>
  </w:style>
  <w:style w:type="paragraph" w:customStyle="1" w:styleId="xl120">
    <w:name w:val="xl12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kern w:val="0"/>
      <w:sz w:val="20"/>
    </w:rPr>
  </w:style>
  <w:style w:type="paragraph" w:customStyle="1" w:styleId="xl121">
    <w:name w:val="xl12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kern w:val="0"/>
      <w:szCs w:val="24"/>
    </w:rPr>
  </w:style>
  <w:style w:type="paragraph" w:customStyle="1" w:styleId="xl122">
    <w:name w:val="xl12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kern w:val="0"/>
      <w:szCs w:val="24"/>
    </w:rPr>
  </w:style>
  <w:style w:type="paragraph" w:customStyle="1" w:styleId="xl123">
    <w:name w:val="xl12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b/>
      <w:bCs/>
      <w:kern w:val="0"/>
      <w:szCs w:val="24"/>
    </w:rPr>
  </w:style>
  <w:style w:type="paragraph" w:customStyle="1" w:styleId="xl124">
    <w:name w:val="xl12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kern w:val="0"/>
      <w:szCs w:val="24"/>
    </w:rPr>
  </w:style>
  <w:style w:type="paragraph" w:customStyle="1" w:styleId="xl125">
    <w:name w:val="xl12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kern w:val="0"/>
      <w:szCs w:val="24"/>
    </w:rPr>
  </w:style>
  <w:style w:type="paragraph" w:customStyle="1" w:styleId="xl126">
    <w:name w:val="xl126"/>
    <w:basedOn w:val="a"/>
    <w:qFormat/>
    <w:pPr>
      <w:widowControl/>
      <w:pBdr>
        <w:top w:val="single" w:sz="4" w:space="0" w:color="auto"/>
        <w:left w:val="single" w:sz="4" w:space="0" w:color="auto"/>
        <w:bottom w:val="single" w:sz="4" w:space="0" w:color="auto"/>
      </w:pBdr>
      <w:spacing w:before="100" w:beforeAutospacing="1" w:after="100" w:afterAutospacing="1"/>
      <w:jc w:val="center"/>
    </w:pPr>
    <w:rPr>
      <w:rFonts w:cs="宋体"/>
      <w:kern w:val="0"/>
      <w:sz w:val="28"/>
      <w:szCs w:val="28"/>
    </w:rPr>
  </w:style>
  <w:style w:type="paragraph" w:customStyle="1" w:styleId="xl127">
    <w:name w:val="xl127"/>
    <w:basedOn w:val="a"/>
    <w:qFormat/>
    <w:pPr>
      <w:widowControl/>
      <w:pBdr>
        <w:top w:val="single" w:sz="4" w:space="0" w:color="auto"/>
        <w:bottom w:val="single" w:sz="4" w:space="0" w:color="auto"/>
      </w:pBdr>
      <w:spacing w:before="100" w:beforeAutospacing="1" w:after="100" w:afterAutospacing="1"/>
      <w:jc w:val="center"/>
    </w:pPr>
    <w:rPr>
      <w:rFonts w:cs="宋体"/>
      <w:kern w:val="0"/>
      <w:szCs w:val="24"/>
    </w:rPr>
  </w:style>
  <w:style w:type="paragraph" w:customStyle="1" w:styleId="xl128">
    <w:name w:val="xl128"/>
    <w:basedOn w:val="a"/>
    <w:qFormat/>
    <w:pPr>
      <w:widowControl/>
      <w:pBdr>
        <w:top w:val="single" w:sz="4" w:space="0" w:color="auto"/>
        <w:bottom w:val="single" w:sz="4" w:space="0" w:color="auto"/>
        <w:right w:val="single" w:sz="4" w:space="0" w:color="auto"/>
      </w:pBdr>
      <w:spacing w:before="100" w:beforeAutospacing="1" w:after="100" w:afterAutospacing="1"/>
      <w:jc w:val="center"/>
    </w:pPr>
    <w:rPr>
      <w:rFonts w:cs="宋体"/>
      <w:kern w:val="0"/>
      <w:szCs w:val="24"/>
    </w:rPr>
  </w:style>
  <w:style w:type="paragraph" w:customStyle="1" w:styleId="xl129">
    <w:name w:val="xl129"/>
    <w:basedOn w:val="a"/>
    <w:qFormat/>
    <w:pPr>
      <w:widowControl/>
      <w:spacing w:before="100" w:beforeAutospacing="1" w:after="100" w:afterAutospacing="1"/>
      <w:jc w:val="left"/>
    </w:pPr>
    <w:rPr>
      <w:rFonts w:cs="宋体"/>
      <w:kern w:val="0"/>
      <w:sz w:val="18"/>
      <w:szCs w:val="18"/>
    </w:rPr>
  </w:style>
  <w:style w:type="paragraph" w:customStyle="1" w:styleId="xl130">
    <w:name w:val="xl13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b/>
      <w:bCs/>
      <w:kern w:val="0"/>
      <w:sz w:val="18"/>
      <w:szCs w:val="18"/>
    </w:rPr>
  </w:style>
  <w:style w:type="paragraph" w:customStyle="1" w:styleId="xl131">
    <w:name w:val="xl13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b/>
      <w:bCs/>
      <w:kern w:val="0"/>
      <w:sz w:val="18"/>
      <w:szCs w:val="18"/>
    </w:rPr>
  </w:style>
  <w:style w:type="paragraph" w:customStyle="1" w:styleId="xl132">
    <w:name w:val="xl13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黑体" w:eastAsia="黑体" w:hAnsi="黑体" w:cs="宋体"/>
      <w:b/>
      <w:bCs/>
      <w:kern w:val="0"/>
      <w:sz w:val="18"/>
      <w:szCs w:val="18"/>
    </w:rPr>
  </w:style>
  <w:style w:type="paragraph" w:customStyle="1" w:styleId="xl133">
    <w:name w:val="xl13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b/>
      <w:bCs/>
      <w:kern w:val="0"/>
      <w:sz w:val="18"/>
      <w:szCs w:val="18"/>
    </w:rPr>
  </w:style>
  <w:style w:type="paragraph" w:customStyle="1" w:styleId="xl134">
    <w:name w:val="xl13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黑体" w:eastAsia="黑体" w:hAnsi="黑体" w:cs="宋体"/>
      <w:b/>
      <w:bCs/>
      <w:kern w:val="0"/>
      <w:sz w:val="18"/>
      <w:szCs w:val="18"/>
    </w:rPr>
  </w:style>
  <w:style w:type="paragraph" w:customStyle="1" w:styleId="xl135">
    <w:name w:val="xl135"/>
    <w:basedOn w:val="a"/>
    <w:qFormat/>
    <w:pPr>
      <w:widowControl/>
      <w:pBdr>
        <w:top w:val="single" w:sz="4" w:space="0" w:color="auto"/>
        <w:bottom w:val="single" w:sz="4" w:space="0" w:color="auto"/>
      </w:pBdr>
      <w:spacing w:before="100" w:beforeAutospacing="1" w:after="100" w:afterAutospacing="1"/>
      <w:jc w:val="center"/>
    </w:pPr>
    <w:rPr>
      <w:rFonts w:cs="宋体"/>
      <w:kern w:val="0"/>
      <w:szCs w:val="24"/>
    </w:rPr>
  </w:style>
  <w:style w:type="paragraph" w:customStyle="1" w:styleId="xl136">
    <w:name w:val="xl136"/>
    <w:basedOn w:val="a"/>
    <w:qFormat/>
    <w:pPr>
      <w:widowControl/>
      <w:pBdr>
        <w:top w:val="single" w:sz="4" w:space="0" w:color="auto"/>
        <w:bottom w:val="single" w:sz="4" w:space="0" w:color="auto"/>
        <w:right w:val="single" w:sz="4" w:space="0" w:color="auto"/>
      </w:pBdr>
      <w:spacing w:before="100" w:beforeAutospacing="1" w:after="100" w:afterAutospacing="1"/>
      <w:jc w:val="center"/>
    </w:pPr>
    <w:rPr>
      <w:rFonts w:cs="宋体"/>
      <w:kern w:val="0"/>
      <w:szCs w:val="24"/>
    </w:rPr>
  </w:style>
  <w:style w:type="paragraph" w:customStyle="1" w:styleId="xl137">
    <w:name w:val="xl13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宋体"/>
      <w:kern w:val="0"/>
      <w:szCs w:val="24"/>
    </w:rPr>
  </w:style>
  <w:style w:type="paragraph" w:customStyle="1" w:styleId="xl138">
    <w:name w:val="xl13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宋体"/>
      <w:kern w:val="0"/>
      <w:szCs w:val="24"/>
    </w:rPr>
  </w:style>
  <w:style w:type="paragraph" w:customStyle="1" w:styleId="xl139">
    <w:name w:val="xl139"/>
    <w:basedOn w:val="a"/>
    <w:qFormat/>
    <w:pPr>
      <w:widowControl/>
      <w:pBdr>
        <w:top w:val="single" w:sz="4" w:space="0" w:color="auto"/>
        <w:left w:val="single" w:sz="4" w:space="0" w:color="auto"/>
        <w:right w:val="single" w:sz="4" w:space="0" w:color="auto"/>
      </w:pBdr>
      <w:spacing w:before="100" w:beforeAutospacing="1" w:after="100" w:afterAutospacing="1"/>
      <w:jc w:val="center"/>
    </w:pPr>
    <w:rPr>
      <w:rFonts w:cs="宋体"/>
      <w:kern w:val="0"/>
      <w:szCs w:val="24"/>
    </w:rPr>
  </w:style>
  <w:style w:type="paragraph" w:customStyle="1" w:styleId="xl140">
    <w:name w:val="xl140"/>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cs="宋体"/>
      <w:kern w:val="0"/>
      <w:szCs w:val="24"/>
    </w:rPr>
  </w:style>
  <w:style w:type="paragraph" w:customStyle="1" w:styleId="xl141">
    <w:name w:val="xl141"/>
    <w:basedOn w:val="a"/>
    <w:qFormat/>
    <w:pPr>
      <w:widowControl/>
      <w:pBdr>
        <w:top w:val="single" w:sz="4" w:space="0" w:color="auto"/>
        <w:left w:val="single" w:sz="4" w:space="0" w:color="auto"/>
        <w:bottom w:val="single" w:sz="4" w:space="0" w:color="auto"/>
      </w:pBdr>
      <w:spacing w:before="100" w:beforeAutospacing="1" w:after="100" w:afterAutospacing="1"/>
      <w:jc w:val="center"/>
    </w:pPr>
    <w:rPr>
      <w:rFonts w:cs="宋体"/>
      <w:kern w:val="0"/>
      <w:szCs w:val="24"/>
    </w:rPr>
  </w:style>
  <w:style w:type="character" w:customStyle="1" w:styleId="Charfffb">
    <w:name w:val="附表标题 Char"/>
    <w:semiHidden/>
    <w:qFormat/>
    <w:rPr>
      <w:rFonts w:eastAsia="黑体"/>
      <w:b/>
      <w:bCs/>
      <w:kern w:val="2"/>
      <w:sz w:val="28"/>
      <w:lang w:val="en-US" w:eastAsia="zh-CN" w:bidi="ar-SA"/>
    </w:rPr>
  </w:style>
  <w:style w:type="paragraph" w:customStyle="1" w:styleId="003">
    <w:name w:val="003节"/>
    <w:basedOn w:val="a"/>
    <w:qFormat/>
    <w:pPr>
      <w:spacing w:line="700" w:lineRule="exact"/>
      <w:ind w:firstLineChars="200" w:firstLine="200"/>
      <w:jc w:val="center"/>
    </w:pPr>
    <w:rPr>
      <w:rFonts w:ascii="黑体"/>
      <w:b/>
      <w:bCs/>
      <w:sz w:val="36"/>
      <w:szCs w:val="32"/>
    </w:rPr>
  </w:style>
  <w:style w:type="paragraph" w:customStyle="1" w:styleId="Arial2">
    <w:name w:val="样式 (符号) Arial 首行缩进:  2 字符"/>
    <w:basedOn w:val="a"/>
    <w:qFormat/>
    <w:pPr>
      <w:tabs>
        <w:tab w:val="left" w:pos="-6090"/>
      </w:tabs>
      <w:autoSpaceDE w:val="0"/>
      <w:autoSpaceDN w:val="0"/>
      <w:spacing w:line="360" w:lineRule="auto"/>
    </w:pPr>
    <w:rPr>
      <w:rFonts w:ascii="仿宋_GB2312" w:eastAsia="仿宋_GB2312" w:hAnsi="Arial" w:cs="宋体"/>
      <w:kern w:val="0"/>
      <w:sz w:val="28"/>
    </w:rPr>
  </w:style>
  <w:style w:type="paragraph" w:customStyle="1" w:styleId="affffffffffffffffc">
    <w:name w:val="文字正文"/>
    <w:basedOn w:val="a"/>
    <w:qFormat/>
    <w:pPr>
      <w:widowControl/>
      <w:spacing w:line="360" w:lineRule="auto"/>
      <w:ind w:firstLineChars="200" w:firstLine="560"/>
    </w:pPr>
    <w:rPr>
      <w:rFonts w:ascii="仿宋_GB2312" w:eastAsia="仿宋_GB2312"/>
      <w:color w:val="000000"/>
      <w:kern w:val="0"/>
      <w:sz w:val="28"/>
    </w:rPr>
  </w:style>
  <w:style w:type="paragraph" w:customStyle="1" w:styleId="affffffffffffffffd">
    <w:name w:val="正文正文"/>
    <w:basedOn w:val="a"/>
    <w:link w:val="Charfffc"/>
    <w:qFormat/>
    <w:pPr>
      <w:spacing w:line="480" w:lineRule="exact"/>
      <w:ind w:firstLineChars="200" w:firstLine="200"/>
    </w:pPr>
    <w:rPr>
      <w:rFonts w:ascii="华文中宋" w:eastAsia="华文中宋" w:hAnsi="华文中宋"/>
      <w:color w:val="000000"/>
      <w:szCs w:val="24"/>
    </w:rPr>
  </w:style>
  <w:style w:type="character" w:customStyle="1" w:styleId="Charfffc">
    <w:name w:val="正文正文 Char"/>
    <w:link w:val="affffffffffffffffd"/>
    <w:qFormat/>
    <w:rPr>
      <w:rFonts w:ascii="华文中宋" w:eastAsia="华文中宋" w:hAnsi="华文中宋"/>
      <w:color w:val="000000"/>
      <w:kern w:val="2"/>
      <w:sz w:val="24"/>
      <w:szCs w:val="24"/>
    </w:rPr>
  </w:style>
  <w:style w:type="paragraph" w:customStyle="1" w:styleId="LZQ">
    <w:name w:val="正文LZQ"/>
    <w:basedOn w:val="1f0"/>
    <w:link w:val="LZQChar"/>
    <w:qFormat/>
    <w:pPr>
      <w:adjustRightInd/>
      <w:snapToGrid/>
      <w:spacing w:afterLines="0" w:after="0" w:line="500" w:lineRule="exact"/>
      <w:ind w:firstLineChars="200" w:firstLine="200"/>
      <w:jc w:val="left"/>
    </w:pPr>
    <w:rPr>
      <w:rFonts w:ascii="华文中宋" w:eastAsia="华文中宋" w:hAnsi="Calibri" w:cs="宋体"/>
      <w:snapToGrid/>
      <w:color w:val="FF0000"/>
      <w:sz w:val="24"/>
      <w:szCs w:val="24"/>
    </w:rPr>
  </w:style>
  <w:style w:type="character" w:customStyle="1" w:styleId="LZQChar">
    <w:name w:val="正文LZQ Char"/>
    <w:link w:val="LZQ"/>
    <w:qFormat/>
    <w:rPr>
      <w:rFonts w:ascii="华文中宋" w:eastAsia="华文中宋" w:hAnsi="Calibri" w:cs="宋体"/>
      <w:color w:val="FF0000"/>
      <w:kern w:val="2"/>
      <w:sz w:val="24"/>
      <w:szCs w:val="24"/>
    </w:rPr>
  </w:style>
  <w:style w:type="paragraph" w:customStyle="1" w:styleId="affffffffffffffffe">
    <w:name w:val="报告表名居中"/>
    <w:basedOn w:val="a"/>
    <w:qFormat/>
    <w:pPr>
      <w:spacing w:line="480" w:lineRule="exact"/>
      <w:ind w:right="839"/>
      <w:jc w:val="left"/>
    </w:pPr>
    <w:rPr>
      <w:rFonts w:ascii="华文中宋" w:eastAsia="华文中宋" w:hAnsi="华文中宋"/>
      <w:color w:val="943634"/>
      <w:kern w:val="0"/>
      <w:szCs w:val="24"/>
    </w:rPr>
  </w:style>
  <w:style w:type="paragraph" w:customStyle="1" w:styleId="2fff2">
    <w:name w:val="样式 报告正文 + 黑色 首行缩进:  2 字符"/>
    <w:basedOn w:val="affffff4"/>
    <w:qFormat/>
    <w:pPr>
      <w:keepNext w:val="0"/>
      <w:tabs>
        <w:tab w:val="left" w:pos="-6090"/>
      </w:tabs>
      <w:autoSpaceDE w:val="0"/>
      <w:autoSpaceDN w:val="0"/>
      <w:adjustRightInd/>
      <w:snapToGrid/>
      <w:ind w:firstLineChars="200" w:firstLine="200"/>
    </w:pPr>
    <w:rPr>
      <w:rFonts w:ascii="仿宋_GB2312" w:hAnsi="Times New Roman" w:cs="宋体"/>
      <w:color w:val="000000"/>
      <w:kern w:val="0"/>
      <w:lang w:val="zh-CN"/>
    </w:rPr>
  </w:style>
  <w:style w:type="paragraph" w:customStyle="1" w:styleId="2fff3">
    <w:name w:val="样式 报告正文 + 首行缩进:  2 字符"/>
    <w:basedOn w:val="affffff4"/>
    <w:qFormat/>
    <w:pPr>
      <w:keepNext w:val="0"/>
      <w:tabs>
        <w:tab w:val="left" w:pos="-6090"/>
      </w:tabs>
      <w:autoSpaceDE w:val="0"/>
      <w:autoSpaceDN w:val="0"/>
      <w:adjustRightInd/>
      <w:snapToGrid/>
      <w:ind w:firstLineChars="200" w:firstLine="200"/>
    </w:pPr>
    <w:rPr>
      <w:rFonts w:ascii="仿宋_GB2312" w:hAnsi="Times New Roman" w:cs="宋体"/>
      <w:kern w:val="0"/>
      <w:lang w:val="zh-CN"/>
    </w:rPr>
  </w:style>
  <w:style w:type="character" w:customStyle="1" w:styleId="21Char">
    <w:name w:val="样式 首行缩进:  2 字符1 Char"/>
    <w:link w:val="210"/>
    <w:qFormat/>
    <w:rPr>
      <w:rFonts w:cs="宋体"/>
      <w:kern w:val="2"/>
      <w:sz w:val="24"/>
      <w:szCs w:val="24"/>
    </w:rPr>
  </w:style>
  <w:style w:type="paragraph" w:customStyle="1" w:styleId="CharCharCharCharCharCharChar3">
    <w:name w:val="Char Char Char Char Char Char Char3"/>
    <w:basedOn w:val="a"/>
    <w:next w:val="a"/>
    <w:qFormat/>
    <w:pPr>
      <w:spacing w:line="360" w:lineRule="auto"/>
      <w:ind w:firstLineChars="200" w:firstLine="200"/>
    </w:pPr>
    <w:rPr>
      <w:rFonts w:cs="宋体"/>
      <w:szCs w:val="24"/>
    </w:rPr>
  </w:style>
  <w:style w:type="character" w:customStyle="1" w:styleId="1CharChar0">
    <w:name w:val="样式1 Char Char"/>
    <w:qFormat/>
    <w:rPr>
      <w:rFonts w:ascii="华文中宋" w:eastAsia="华文中宋"/>
      <w:color w:val="FF0000"/>
      <w:kern w:val="2"/>
      <w:sz w:val="24"/>
      <w:szCs w:val="24"/>
      <w:lang w:val="en-US" w:eastAsia="zh-CN" w:bidi="ar-SA"/>
    </w:rPr>
  </w:style>
  <w:style w:type="paragraph" w:customStyle="1" w:styleId="--">
    <w:name w:val="正文（--ＬＺＱ）"/>
    <w:basedOn w:val="affffffffffff7"/>
    <w:link w:val="--CharChar"/>
    <w:qFormat/>
    <w:pPr>
      <w:keepNext w:val="0"/>
      <w:adjustRightInd w:val="0"/>
      <w:spacing w:line="500" w:lineRule="exact"/>
      <w:ind w:firstLineChars="200" w:firstLine="200"/>
      <w:jc w:val="left"/>
      <w:textAlignment w:val="baseline"/>
    </w:pPr>
    <w:rPr>
      <w:rFonts w:ascii="华文中宋" w:eastAsia="华文中宋" w:hAnsi="Calibri" w:cs="宋体"/>
      <w:snapToGrid w:val="0"/>
      <w:sz w:val="24"/>
      <w:szCs w:val="24"/>
    </w:rPr>
  </w:style>
  <w:style w:type="character" w:customStyle="1" w:styleId="--CharChar">
    <w:name w:val="正文（--ＬＺＱ） Char Char"/>
    <w:link w:val="--"/>
    <w:rPr>
      <w:rFonts w:ascii="华文中宋" w:eastAsia="华文中宋" w:hAnsi="Calibri" w:cs="宋体"/>
      <w:snapToGrid w:val="0"/>
      <w:color w:val="000000"/>
      <w:kern w:val="2"/>
      <w:sz w:val="24"/>
      <w:szCs w:val="24"/>
    </w:rPr>
  </w:style>
  <w:style w:type="paragraph" w:customStyle="1" w:styleId="afffffffffffffffff">
    <w:name w:val="标题一"/>
    <w:basedOn w:val="afffffffffffffb"/>
    <w:qFormat/>
    <w:pPr>
      <w:keepNext/>
      <w:spacing w:afterLines="0" w:line="700" w:lineRule="exact"/>
      <w:ind w:firstLineChars="0" w:firstLine="0"/>
    </w:pPr>
    <w:rPr>
      <w:rFonts w:ascii="华文中宋" w:eastAsia="华文中宋" w:hAnsi="华文中宋"/>
      <w:b/>
      <w:color w:val="943634"/>
      <w:sz w:val="32"/>
    </w:rPr>
  </w:style>
  <w:style w:type="paragraph" w:customStyle="1" w:styleId="afffffffffffffffff0">
    <w:name w:val="标题二"/>
    <w:basedOn w:val="a"/>
    <w:qFormat/>
    <w:pPr>
      <w:spacing w:line="700" w:lineRule="exact"/>
      <w:jc w:val="center"/>
      <w:outlineLvl w:val="1"/>
    </w:pPr>
    <w:rPr>
      <w:rFonts w:ascii="华文中宋" w:eastAsia="华文中宋" w:hAnsi="华文中宋"/>
      <w:b/>
      <w:color w:val="943634"/>
      <w:sz w:val="28"/>
      <w:szCs w:val="24"/>
    </w:rPr>
  </w:style>
  <w:style w:type="paragraph" w:customStyle="1" w:styleId="afffffffffffffffff1">
    <w:name w:val="标题三"/>
    <w:basedOn w:val="a"/>
    <w:link w:val="Charfffd"/>
    <w:qFormat/>
    <w:pPr>
      <w:spacing w:line="500" w:lineRule="exact"/>
      <w:ind w:firstLineChars="200" w:firstLine="200"/>
      <w:jc w:val="left"/>
      <w:outlineLvl w:val="2"/>
    </w:pPr>
    <w:rPr>
      <w:rFonts w:ascii="华文中宋" w:eastAsia="华文中宋" w:hAnsi="华文中宋"/>
      <w:b/>
      <w:color w:val="943634"/>
      <w:sz w:val="28"/>
      <w:szCs w:val="24"/>
    </w:rPr>
  </w:style>
  <w:style w:type="paragraph" w:customStyle="1" w:styleId="441">
    <w:name w:val="标题44"/>
    <w:basedOn w:val="a"/>
    <w:qFormat/>
    <w:pPr>
      <w:spacing w:line="500" w:lineRule="exact"/>
      <w:ind w:firstLineChars="200" w:firstLine="200"/>
      <w:jc w:val="left"/>
      <w:outlineLvl w:val="3"/>
    </w:pPr>
    <w:rPr>
      <w:rFonts w:ascii="华文中宋" w:eastAsia="华文中宋" w:hAnsi="华文中宋"/>
      <w:b/>
      <w:color w:val="943634"/>
      <w:szCs w:val="24"/>
    </w:rPr>
  </w:style>
  <w:style w:type="character" w:customStyle="1" w:styleId="Charfffd">
    <w:name w:val="标题三 Char"/>
    <w:link w:val="afffffffffffffffff1"/>
    <w:qFormat/>
    <w:rPr>
      <w:rFonts w:ascii="华文中宋" w:eastAsia="华文中宋" w:hAnsi="华文中宋"/>
      <w:b/>
      <w:color w:val="943634"/>
      <w:kern w:val="2"/>
      <w:sz w:val="28"/>
      <w:szCs w:val="24"/>
    </w:rPr>
  </w:style>
  <w:style w:type="character" w:customStyle="1" w:styleId="CharCharChar4">
    <w:name w:val="页脚 Char Char Char"/>
    <w:qFormat/>
    <w:rPr>
      <w:rFonts w:eastAsia="宋体"/>
      <w:kern w:val="2"/>
      <w:sz w:val="18"/>
      <w:szCs w:val="18"/>
      <w:lang w:val="en-US" w:eastAsia="zh-CN" w:bidi="ar-SA"/>
    </w:rPr>
  </w:style>
  <w:style w:type="paragraph" w:customStyle="1" w:styleId="afffffffffffffffff2">
    <w:name w:val="样式 表头 + 小四"/>
    <w:basedOn w:val="affffff0"/>
    <w:link w:val="Charfffe"/>
    <w:qFormat/>
    <w:pPr>
      <w:keepNext/>
      <w:widowControl/>
      <w:tabs>
        <w:tab w:val="clear" w:pos="6840"/>
      </w:tabs>
      <w:topLinePunct w:val="0"/>
      <w:snapToGrid/>
      <w:spacing w:line="240" w:lineRule="auto"/>
      <w:ind w:firstLineChars="100" w:firstLine="280"/>
      <w:jc w:val="center"/>
    </w:pPr>
    <w:rPr>
      <w:rFonts w:ascii="黑体" w:eastAsia="仿宋_GB2312"/>
      <w:bCs/>
      <w:kern w:val="0"/>
      <w:szCs w:val="24"/>
      <w:lang w:val="zh-CN" w:eastAsia="en-US" w:bidi="en-US"/>
    </w:rPr>
  </w:style>
  <w:style w:type="character" w:customStyle="1" w:styleId="CharChar260">
    <w:name w:val="Char Char26"/>
    <w:qFormat/>
    <w:rPr>
      <w:rFonts w:ascii="Times New Roman" w:eastAsia="宋体" w:hAnsi="Times New Roman" w:cs="Times New Roman"/>
      <w:b/>
      <w:color w:val="000000"/>
      <w:kern w:val="44"/>
      <w:sz w:val="32"/>
      <w:szCs w:val="20"/>
    </w:rPr>
  </w:style>
  <w:style w:type="table" w:customStyle="1" w:styleId="1fff2">
    <w:name w:val="表格主题1"/>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7">
    <w:name w:val="正文首行缩进 2 Char"/>
    <w:qFormat/>
    <w:rPr>
      <w:rFonts w:eastAsia="宋体"/>
      <w:kern w:val="2"/>
      <w:sz w:val="21"/>
      <w:szCs w:val="24"/>
      <w:lang w:val="en-US" w:eastAsia="zh-CN" w:bidi="ar-SA"/>
    </w:rPr>
  </w:style>
  <w:style w:type="paragraph" w:customStyle="1" w:styleId="afffffffffffffffff3">
    <w:name w:val="我的文章内容"/>
    <w:basedOn w:val="a"/>
    <w:link w:val="Charffff"/>
    <w:qFormat/>
    <w:pPr>
      <w:ind w:firstLineChars="200" w:firstLine="200"/>
    </w:pPr>
    <w:rPr>
      <w:rFonts w:hAnsi="Calibri"/>
      <w:kern w:val="28"/>
      <w:sz w:val="28"/>
      <w:szCs w:val="28"/>
    </w:rPr>
  </w:style>
  <w:style w:type="character" w:customStyle="1" w:styleId="Charffff">
    <w:name w:val="我的文章内容 Char"/>
    <w:link w:val="afffffffffffffffff3"/>
    <w:qFormat/>
    <w:rPr>
      <w:rFonts w:ascii="宋体" w:hAnsi="Calibri"/>
      <w:kern w:val="28"/>
      <w:sz w:val="28"/>
      <w:szCs w:val="28"/>
    </w:rPr>
  </w:style>
  <w:style w:type="character" w:customStyle="1" w:styleId="afffffffffff5">
    <w:name w:val="无间隔 字符"/>
    <w:link w:val="afffffffffff4"/>
    <w:qFormat/>
    <w:rPr>
      <w:rFonts w:ascii="Calibri" w:hAnsi="Calibri"/>
      <w:sz w:val="22"/>
      <w:lang w:eastAsia="en-US"/>
    </w:rPr>
  </w:style>
  <w:style w:type="character" w:customStyle="1" w:styleId="CharChar41">
    <w:name w:val="Char Char41"/>
    <w:qFormat/>
    <w:rPr>
      <w:rFonts w:ascii="宋体" w:eastAsia="宋体"/>
      <w:kern w:val="2"/>
      <w:sz w:val="18"/>
      <w:szCs w:val="18"/>
      <w:lang w:val="en-US" w:eastAsia="zh-CN" w:bidi="ar-SA"/>
    </w:rPr>
  </w:style>
  <w:style w:type="character" w:customStyle="1" w:styleId="Charffff0">
    <w:name w:val="文档结构图 Char"/>
    <w:qFormat/>
    <w:rPr>
      <w:rFonts w:ascii="宋体"/>
      <w:kern w:val="2"/>
      <w:sz w:val="18"/>
      <w:szCs w:val="18"/>
    </w:rPr>
  </w:style>
  <w:style w:type="paragraph" w:customStyle="1" w:styleId="1fff3">
    <w:name w:val="列出段落1"/>
    <w:basedOn w:val="a"/>
    <w:qFormat/>
    <w:pPr>
      <w:spacing w:line="500" w:lineRule="exact"/>
      <w:ind w:firstLineChars="200" w:firstLine="420"/>
    </w:pPr>
    <w:rPr>
      <w:rFonts w:ascii="Calibri" w:hAnsi="Calibri"/>
    </w:rPr>
  </w:style>
  <w:style w:type="paragraph" w:customStyle="1" w:styleId="CharCharCharCharChar1CharCharCharChar">
    <w:name w:val="Char Char Char Char Char1 Char Char Char Char"/>
    <w:basedOn w:val="a"/>
    <w:next w:val="a"/>
    <w:qFormat/>
    <w:pPr>
      <w:spacing w:line="360" w:lineRule="auto"/>
      <w:ind w:firstLineChars="200" w:firstLine="200"/>
    </w:pPr>
    <w:rPr>
      <w:rFonts w:cs="宋体"/>
      <w:snapToGrid w:val="0"/>
      <w:kern w:val="0"/>
      <w:szCs w:val="24"/>
    </w:rPr>
  </w:style>
  <w:style w:type="character" w:customStyle="1" w:styleId="Char28">
    <w:name w:val="设计一 Char2"/>
    <w:qFormat/>
    <w:rPr>
      <w:rFonts w:ascii="Arial" w:eastAsia="黑体" w:hAnsi="Arial"/>
      <w:b/>
      <w:bCs/>
      <w:kern w:val="2"/>
      <w:sz w:val="32"/>
      <w:szCs w:val="32"/>
      <w:lang w:val="en-US" w:eastAsia="zh-CN" w:bidi="ar-SA"/>
    </w:rPr>
  </w:style>
  <w:style w:type="paragraph" w:customStyle="1" w:styleId="2fff4">
    <w:name w:val="样式 表文字 + 首行缩进:  2 字符"/>
    <w:basedOn w:val="afffff7"/>
    <w:qFormat/>
    <w:pPr>
      <w:keepNext/>
      <w:widowControl/>
      <w:tabs>
        <w:tab w:val="left" w:pos="3600"/>
      </w:tabs>
      <w:topLinePunct w:val="0"/>
      <w:adjustRightInd/>
      <w:jc w:val="center"/>
      <w:textAlignment w:val="auto"/>
    </w:pPr>
    <w:rPr>
      <w:rFonts w:ascii="Times New Roman" w:eastAsia="仿宋_GB2312" w:hAnsi="Times New Roman"/>
      <w:color w:val="000000"/>
      <w:kern w:val="0"/>
      <w:sz w:val="18"/>
      <w:szCs w:val="18"/>
      <w:u w:val="single"/>
    </w:rPr>
  </w:style>
  <w:style w:type="paragraph" w:customStyle="1" w:styleId="afffffffffffffffff4">
    <w:name w:val="正文头"/>
    <w:basedOn w:val="40"/>
    <w:qFormat/>
    <w:pPr>
      <w:spacing w:before="0" w:after="0" w:line="560" w:lineRule="exact"/>
      <w:ind w:firstLineChars="200" w:firstLine="200"/>
      <w:jc w:val="left"/>
      <w:outlineLvl w:val="4"/>
    </w:pPr>
    <w:rPr>
      <w:rFonts w:ascii="宋体" w:eastAsia="宋体" w:hAnsi="宋体"/>
      <w:bCs/>
      <w:color w:val="000000"/>
      <w:sz w:val="24"/>
      <w:szCs w:val="28"/>
    </w:rPr>
  </w:style>
  <w:style w:type="character" w:customStyle="1" w:styleId="CharChar1b">
    <w:name w:val="Char Char1"/>
    <w:qFormat/>
    <w:rPr>
      <w:rFonts w:eastAsia="宋体"/>
      <w:b/>
      <w:bCs/>
      <w:spacing w:val="6"/>
      <w:kern w:val="44"/>
      <w:sz w:val="24"/>
      <w:szCs w:val="44"/>
      <w:lang w:val="en-US" w:eastAsia="zh-CN" w:bidi="ar-SA"/>
    </w:rPr>
  </w:style>
  <w:style w:type="paragraph" w:customStyle="1" w:styleId="font15">
    <w:name w:val="font15"/>
    <w:basedOn w:val="a"/>
    <w:qFormat/>
    <w:pPr>
      <w:widowControl/>
      <w:spacing w:before="100" w:beforeAutospacing="1" w:after="100" w:afterAutospacing="1" w:line="500" w:lineRule="exact"/>
      <w:ind w:firstLineChars="200" w:firstLine="200"/>
      <w:jc w:val="left"/>
    </w:pPr>
    <w:rPr>
      <w:rFonts w:ascii="仿宋_GB2312" w:eastAsia="仿宋_GB2312" w:hint="eastAsia"/>
      <w:kern w:val="0"/>
      <w:sz w:val="18"/>
      <w:szCs w:val="18"/>
    </w:rPr>
  </w:style>
  <w:style w:type="paragraph" w:customStyle="1" w:styleId="font16">
    <w:name w:val="font16"/>
    <w:basedOn w:val="a"/>
    <w:qFormat/>
    <w:pPr>
      <w:widowControl/>
      <w:spacing w:before="100" w:beforeAutospacing="1" w:after="100" w:afterAutospacing="1" w:line="500" w:lineRule="exact"/>
      <w:ind w:firstLineChars="200" w:firstLine="200"/>
      <w:jc w:val="left"/>
    </w:pPr>
    <w:rPr>
      <w:rFonts w:ascii="仿宋_GB2312" w:eastAsia="仿宋_GB2312" w:hint="eastAsia"/>
      <w:kern w:val="0"/>
      <w:sz w:val="18"/>
      <w:szCs w:val="18"/>
    </w:rPr>
  </w:style>
  <w:style w:type="character" w:customStyle="1" w:styleId="3-Char3">
    <w:name w:val="标题 3-王鹏 Char3"/>
    <w:qFormat/>
    <w:rPr>
      <w:rFonts w:ascii="华文中宋" w:eastAsia="华文中宋" w:hAnsi="华文中宋"/>
      <w:b/>
      <w:color w:val="000000"/>
      <w:kern w:val="2"/>
      <w:sz w:val="28"/>
      <w:szCs w:val="28"/>
      <w:lang w:val="en-US" w:eastAsia="zh-CN" w:bidi="ar-SA"/>
    </w:rPr>
  </w:style>
  <w:style w:type="character" w:customStyle="1" w:styleId="Char34">
    <w:name w:val="（一） Char3"/>
    <w:qFormat/>
    <w:rPr>
      <w:rFonts w:eastAsia="仿宋_GB2312"/>
      <w:b/>
      <w:kern w:val="2"/>
      <w:sz w:val="28"/>
      <w:lang w:val="en-US" w:eastAsia="zh-CN" w:bidi="ar-SA"/>
    </w:rPr>
  </w:style>
  <w:style w:type="character" w:customStyle="1" w:styleId="1Char40">
    <w:name w:val="1) Char4"/>
    <w:qFormat/>
    <w:rPr>
      <w:rFonts w:eastAsia="仿宋_GB2312"/>
      <w:kern w:val="2"/>
      <w:sz w:val="21"/>
      <w:u w:val="single"/>
      <w:lang w:val="en-US" w:eastAsia="zh-CN" w:bidi="ar-SA"/>
    </w:rPr>
  </w:style>
  <w:style w:type="character" w:customStyle="1" w:styleId="Char35">
    <w:name w:val="无节 Char3"/>
    <w:qFormat/>
    <w:rPr>
      <w:rFonts w:eastAsia="仿宋_GB2312"/>
      <w:kern w:val="2"/>
      <w:sz w:val="21"/>
      <w:u w:val="single"/>
      <w:lang w:val="en-US" w:eastAsia="zh-CN" w:bidi="ar-SA"/>
    </w:rPr>
  </w:style>
  <w:style w:type="character" w:customStyle="1" w:styleId="7Char3">
    <w:name w:val="标题 7 表 Char3"/>
    <w:qFormat/>
    <w:rPr>
      <w:rFonts w:eastAsia="仿宋_GB2312"/>
      <w:kern w:val="2"/>
      <w:sz w:val="18"/>
      <w:u w:val="single"/>
      <w:lang w:val="en-US" w:eastAsia="zh-CN" w:bidi="ar-SA"/>
    </w:rPr>
  </w:style>
  <w:style w:type="character" w:customStyle="1" w:styleId="Char36">
    <w:name w:val="无节款 Char3"/>
    <w:qFormat/>
    <w:rPr>
      <w:rFonts w:ascii="Arial" w:eastAsia="黑体" w:hAnsi="Arial"/>
      <w:kern w:val="2"/>
      <w:sz w:val="24"/>
      <w:lang w:val="en-US" w:eastAsia="zh-CN" w:bidi="ar-SA"/>
    </w:rPr>
  </w:style>
  <w:style w:type="character" w:customStyle="1" w:styleId="Charfff">
    <w:name w:val="表文 Char"/>
    <w:link w:val="afffffffffffff7"/>
    <w:qFormat/>
    <w:rPr>
      <w:rFonts w:ascii="仿宋_GB2312" w:eastAsia="仿宋_GB2312"/>
      <w:color w:val="000000"/>
      <w:kern w:val="2"/>
      <w:sz w:val="21"/>
      <w:szCs w:val="21"/>
    </w:rPr>
  </w:style>
  <w:style w:type="character" w:customStyle="1" w:styleId="Charfffe">
    <w:name w:val="样式 表头 + 小四 Char"/>
    <w:link w:val="afffffffffffffffff2"/>
    <w:qFormat/>
    <w:rPr>
      <w:rFonts w:ascii="黑体" w:eastAsia="仿宋_GB2312" w:hAnsi="宋体"/>
      <w:b/>
      <w:bCs/>
      <w:sz w:val="24"/>
      <w:szCs w:val="24"/>
      <w:lang w:val="zh-CN" w:eastAsia="en-US" w:bidi="en-US"/>
    </w:rPr>
  </w:style>
  <w:style w:type="character" w:customStyle="1" w:styleId="Char1f2">
    <w:name w:val="无节 Char1"/>
    <w:qFormat/>
    <w:rPr>
      <w:rFonts w:ascii="Times New Roman" w:eastAsia="仿宋_GB2312" w:hAnsi="Times New Roman" w:cs="Times New Roman"/>
      <w:szCs w:val="20"/>
      <w:u w:val="single"/>
    </w:rPr>
  </w:style>
  <w:style w:type="character" w:customStyle="1" w:styleId="7Char1">
    <w:name w:val="标题 7 表 Char1"/>
    <w:qFormat/>
    <w:rPr>
      <w:rFonts w:ascii="Times New Roman" w:eastAsia="仿宋_GB2312" w:hAnsi="Times New Roman" w:cs="Times New Roman"/>
      <w:sz w:val="18"/>
      <w:szCs w:val="20"/>
      <w:u w:val="single"/>
    </w:rPr>
  </w:style>
  <w:style w:type="character" w:customStyle="1" w:styleId="Char1f3">
    <w:name w:val="无节款 Char1"/>
    <w:rPr>
      <w:rFonts w:ascii="Arial" w:eastAsia="黑体" w:hAnsi="Arial" w:cs="Times New Roman"/>
      <w:sz w:val="24"/>
      <w:szCs w:val="20"/>
    </w:rPr>
  </w:style>
  <w:style w:type="character" w:customStyle="1" w:styleId="1Char21">
    <w:name w:val="1) Char2"/>
    <w:qFormat/>
    <w:rPr>
      <w:rFonts w:ascii="Times New Roman" w:eastAsia="仿宋_GB2312" w:hAnsi="Times New Roman" w:cs="Times New Roman"/>
      <w:szCs w:val="20"/>
      <w:u w:val="single"/>
    </w:rPr>
  </w:style>
  <w:style w:type="character" w:customStyle="1" w:styleId="Char29">
    <w:name w:val="无节 Char2"/>
    <w:qFormat/>
    <w:rPr>
      <w:rFonts w:ascii="Times New Roman" w:eastAsia="仿宋_GB2312" w:hAnsi="Times New Roman" w:cs="Times New Roman"/>
      <w:szCs w:val="20"/>
      <w:u w:val="single"/>
    </w:rPr>
  </w:style>
  <w:style w:type="character" w:customStyle="1" w:styleId="7Char2">
    <w:name w:val="标题 7 表 Char2"/>
    <w:qFormat/>
    <w:rPr>
      <w:rFonts w:ascii="Times New Roman" w:eastAsia="仿宋_GB2312" w:hAnsi="Times New Roman" w:cs="Times New Roman"/>
      <w:sz w:val="18"/>
      <w:szCs w:val="20"/>
      <w:u w:val="single"/>
    </w:rPr>
  </w:style>
  <w:style w:type="character" w:customStyle="1" w:styleId="Char2a">
    <w:name w:val="无节款 Char2"/>
    <w:qFormat/>
    <w:rPr>
      <w:rFonts w:ascii="Arial" w:eastAsia="黑体" w:hAnsi="Arial" w:cs="Times New Roman"/>
      <w:sz w:val="24"/>
      <w:szCs w:val="20"/>
    </w:rPr>
  </w:style>
  <w:style w:type="character" w:customStyle="1" w:styleId="Char2b">
    <w:name w:val="（一） Char2"/>
    <w:qFormat/>
    <w:rPr>
      <w:rFonts w:ascii="Times New Roman" w:eastAsia="仿宋_GB2312" w:hAnsi="Times New Roman" w:cs="Times New Roman"/>
      <w:b/>
      <w:sz w:val="28"/>
      <w:szCs w:val="20"/>
    </w:rPr>
  </w:style>
  <w:style w:type="character" w:customStyle="1" w:styleId="1Char30">
    <w:name w:val="1) Char3"/>
    <w:qFormat/>
    <w:rPr>
      <w:rFonts w:ascii="Times New Roman" w:eastAsia="仿宋_GB2312" w:hAnsi="Times New Roman" w:cs="Times New Roman"/>
      <w:szCs w:val="20"/>
      <w:u w:val="single"/>
    </w:rPr>
  </w:style>
  <w:style w:type="paragraph" w:customStyle="1" w:styleId="afffffffffffffffff5">
    <w:name w:val="表里正文"/>
    <w:basedOn w:val="a"/>
    <w:qFormat/>
    <w:pPr>
      <w:spacing w:line="500" w:lineRule="exact"/>
      <w:ind w:firstLineChars="200" w:firstLine="200"/>
      <w:jc w:val="center"/>
    </w:pPr>
    <w:rPr>
      <w:rFonts w:hAnsi="Times New Roman"/>
      <w:sz w:val="18"/>
      <w:szCs w:val="24"/>
    </w:rPr>
  </w:style>
  <w:style w:type="character" w:customStyle="1" w:styleId="Charff7">
    <w:name w:val="表中 Char"/>
    <w:link w:val="affffffffff6"/>
    <w:qFormat/>
    <w:rPr>
      <w:rFonts w:ascii="宋体" w:eastAsia="汉鼎简书宋" w:hAnsi="宋体"/>
      <w:spacing w:val="20"/>
      <w:kern w:val="2"/>
      <w:position w:val="-12"/>
      <w:sz w:val="24"/>
    </w:rPr>
  </w:style>
  <w:style w:type="paragraph" w:customStyle="1" w:styleId="afffffffffffffffff6">
    <w:name w:val="标题二１"/>
    <w:basedOn w:val="2"/>
    <w:qFormat/>
    <w:pPr>
      <w:spacing w:before="0" w:after="0" w:line="700" w:lineRule="exact"/>
      <w:ind w:firstLineChars="200" w:firstLine="200"/>
    </w:pPr>
    <w:rPr>
      <w:rFonts w:ascii="Calibri" w:eastAsia="华文中宋" w:hAnsi="Calibri"/>
      <w:b/>
      <w:bCs/>
      <w:szCs w:val="24"/>
    </w:rPr>
  </w:style>
  <w:style w:type="paragraph" w:customStyle="1" w:styleId="1-">
    <w:name w:val="标题 1-"/>
    <w:basedOn w:val="1"/>
    <w:qFormat/>
    <w:pPr>
      <w:keepLines w:val="0"/>
      <w:adjustRightInd w:val="0"/>
      <w:spacing w:before="0" w:after="0" w:line="700" w:lineRule="exact"/>
      <w:jc w:val="center"/>
    </w:pPr>
    <w:rPr>
      <w:rFonts w:ascii="华文中宋" w:eastAsia="华文中宋" w:hAnsi="Times New Roman" w:cs="宋体"/>
      <w:bCs/>
      <w:color w:val="FF0000"/>
      <w:kern w:val="2"/>
      <w:sz w:val="32"/>
      <w:szCs w:val="32"/>
      <w:lang w:val="zh-CN"/>
    </w:rPr>
  </w:style>
  <w:style w:type="paragraph" w:customStyle="1" w:styleId="2-">
    <w:name w:val="标题 2-"/>
    <w:basedOn w:val="a"/>
    <w:qFormat/>
    <w:pPr>
      <w:keepNext/>
      <w:keepLines/>
      <w:spacing w:line="700" w:lineRule="exact"/>
      <w:ind w:firstLineChars="200" w:firstLine="200"/>
      <w:jc w:val="center"/>
      <w:outlineLvl w:val="1"/>
    </w:pPr>
    <w:rPr>
      <w:rFonts w:ascii="华文中宋" w:eastAsia="华文中宋" w:hAnsi="Times New Roman" w:cs="宋体"/>
      <w:b/>
      <w:bCs/>
      <w:color w:val="FF0000"/>
      <w:sz w:val="30"/>
      <w:szCs w:val="30"/>
    </w:rPr>
  </w:style>
  <w:style w:type="character" w:customStyle="1" w:styleId="En-tte11CharChar">
    <w:name w:val="En-tête 1.1 Char Char"/>
    <w:qFormat/>
    <w:rPr>
      <w:rFonts w:ascii="宋体" w:eastAsia="宋体"/>
      <w:kern w:val="2"/>
      <w:sz w:val="18"/>
      <w:lang w:val="en-US" w:eastAsia="zh-CN" w:bidi="ar-SA"/>
    </w:rPr>
  </w:style>
  <w:style w:type="character" w:customStyle="1" w:styleId="DHCCChar1">
    <w:name w:val="页脚，DHCC公司页脚 Char1"/>
    <w:qFormat/>
    <w:rPr>
      <w:rFonts w:ascii="宋体" w:eastAsia="宋体"/>
      <w:kern w:val="2"/>
      <w:sz w:val="18"/>
      <w:lang w:val="en-US" w:eastAsia="zh-CN" w:bidi="ar-SA"/>
    </w:rPr>
  </w:style>
  <w:style w:type="paragraph" w:customStyle="1" w:styleId="2fff5">
    <w:name w:val="样式 报告正文 + 黑色2"/>
    <w:basedOn w:val="affffff4"/>
    <w:link w:val="2Char8"/>
    <w:qFormat/>
    <w:pPr>
      <w:widowControl/>
      <w:autoSpaceDE w:val="0"/>
      <w:autoSpaceDN w:val="0"/>
      <w:snapToGrid/>
      <w:ind w:firstLineChars="200" w:firstLine="200"/>
      <w:jc w:val="left"/>
    </w:pPr>
    <w:rPr>
      <w:rFonts w:ascii="Times" w:hAnsi="Times"/>
      <w:color w:val="000000"/>
      <w:spacing w:val="-4"/>
      <w:szCs w:val="24"/>
      <w:lang w:val="zh-CN" w:eastAsia="en-US" w:bidi="en-US"/>
    </w:rPr>
  </w:style>
  <w:style w:type="character" w:customStyle="1" w:styleId="2Char8">
    <w:name w:val="样式 报告正文 + 黑色2 Char"/>
    <w:link w:val="2fff5"/>
    <w:qFormat/>
    <w:rPr>
      <w:rFonts w:ascii="Times" w:eastAsia="仿宋_GB2312" w:hAnsi="Times"/>
      <w:color w:val="000000"/>
      <w:spacing w:val="-4"/>
      <w:kern w:val="2"/>
      <w:sz w:val="28"/>
      <w:szCs w:val="24"/>
      <w:lang w:val="zh-CN" w:eastAsia="en-US" w:bidi="en-US"/>
    </w:rPr>
  </w:style>
  <w:style w:type="character" w:customStyle="1" w:styleId="Charffc">
    <w:name w:val="设计文字 Char"/>
    <w:link w:val="affffffffffff2"/>
    <w:qFormat/>
    <w:rPr>
      <w:rFonts w:eastAsia="仿宋_GB2312"/>
      <w:bCs/>
      <w:color w:val="000000"/>
      <w:kern w:val="2"/>
      <w:sz w:val="28"/>
    </w:rPr>
  </w:style>
  <w:style w:type="character" w:customStyle="1" w:styleId="1Char8">
    <w:name w:val="样式 样式 表头 + 小四 + 首行缩进:  1 字符 Char"/>
    <w:link w:val="1fff4"/>
    <w:qFormat/>
    <w:rPr>
      <w:rFonts w:eastAsia="仿宋_GB2312"/>
      <w:b/>
      <w:sz w:val="24"/>
    </w:rPr>
  </w:style>
  <w:style w:type="paragraph" w:customStyle="1" w:styleId="1fff4">
    <w:name w:val="样式 样式 表头 + 小四 + 首行缩进:  1 字符"/>
    <w:basedOn w:val="a"/>
    <w:link w:val="1Char8"/>
    <w:qFormat/>
    <w:pPr>
      <w:keepNext/>
      <w:widowControl/>
      <w:spacing w:line="500" w:lineRule="exact"/>
      <w:ind w:firstLineChars="100" w:firstLine="100"/>
      <w:jc w:val="center"/>
    </w:pPr>
    <w:rPr>
      <w:rFonts w:ascii="Times New Roman" w:eastAsia="仿宋_GB2312" w:hAnsi="Times New Roman"/>
      <w:b/>
      <w:kern w:val="0"/>
    </w:rPr>
  </w:style>
  <w:style w:type="paragraph" w:customStyle="1" w:styleId="-05">
    <w:name w:val="样式 报告文字 + 左侧:  -0.5 字符"/>
    <w:basedOn w:val="affffffffffffd"/>
    <w:qFormat/>
    <w:pPr>
      <w:keepNext/>
      <w:widowControl/>
      <w:autoSpaceDE w:val="0"/>
      <w:autoSpaceDN w:val="0"/>
      <w:jc w:val="left"/>
    </w:pPr>
    <w:rPr>
      <w:rFonts w:ascii="楷体_GB2312" w:hAnsi="Calibri" w:cs="宋体"/>
      <w:sz w:val="28"/>
      <w:szCs w:val="20"/>
      <w:lang w:eastAsia="en-US" w:bidi="en-US"/>
    </w:rPr>
  </w:style>
  <w:style w:type="paragraph" w:customStyle="1" w:styleId="afffffffffffffffff7">
    <w:name w:val="封面"/>
    <w:basedOn w:val="1"/>
    <w:qFormat/>
    <w:pPr>
      <w:keepLines w:val="0"/>
      <w:widowControl/>
      <w:spacing w:beforeLines="200" w:afterLines="100" w:line="540" w:lineRule="exact"/>
      <w:jc w:val="center"/>
    </w:pPr>
    <w:rPr>
      <w:rFonts w:eastAsia="方正小标宋简体"/>
      <w:b w:val="0"/>
      <w:bCs/>
      <w:kern w:val="32"/>
      <w:sz w:val="36"/>
      <w:szCs w:val="44"/>
      <w:lang w:val="zh-CN" w:eastAsia="en-US" w:bidi="ar-AE"/>
    </w:rPr>
  </w:style>
  <w:style w:type="character" w:customStyle="1" w:styleId="Char1CharChar">
    <w:name w:val="正文缩进 Char1 Char Char"/>
    <w:qFormat/>
    <w:rPr>
      <w:rFonts w:eastAsia="仿宋_GB2312"/>
      <w:sz w:val="28"/>
      <w:szCs w:val="21"/>
      <w:lang w:val="en-US" w:eastAsia="zh-CN" w:bidi="ar-SA"/>
    </w:rPr>
  </w:style>
  <w:style w:type="paragraph" w:customStyle="1" w:styleId="000">
    <w:name w:val="正文000"/>
    <w:basedOn w:val="a"/>
    <w:qFormat/>
    <w:pPr>
      <w:ind w:firstLineChars="200" w:firstLine="200"/>
    </w:pPr>
    <w:rPr>
      <w:rFonts w:ascii="Times New Roman" w:hAnsi="Times New Roman"/>
      <w:szCs w:val="24"/>
    </w:rPr>
  </w:style>
  <w:style w:type="paragraph" w:customStyle="1" w:styleId="0000">
    <w:name w:val="表内容000"/>
    <w:basedOn w:val="a"/>
    <w:qFormat/>
    <w:pPr>
      <w:spacing w:line="300" w:lineRule="exact"/>
      <w:jc w:val="center"/>
    </w:pPr>
    <w:rPr>
      <w:rFonts w:ascii="Times New Roman" w:hAnsi="Times New Roman"/>
      <w:sz w:val="21"/>
      <w:szCs w:val="24"/>
    </w:rPr>
  </w:style>
  <w:style w:type="paragraph" w:customStyle="1" w:styleId="-2">
    <w:name w:val="表-2"/>
    <w:basedOn w:val="a"/>
    <w:qFormat/>
    <w:pPr>
      <w:spacing w:line="300" w:lineRule="exact"/>
      <w:jc w:val="right"/>
    </w:pPr>
    <w:rPr>
      <w:rFonts w:ascii="Times New Roman" w:hAnsi="Times New Roman"/>
      <w:sz w:val="21"/>
      <w:szCs w:val="24"/>
    </w:rPr>
  </w:style>
  <w:style w:type="paragraph" w:customStyle="1" w:styleId="afffffffffffffffff8">
    <w:name w:val="正文（ＬＺＱ）"/>
    <w:basedOn w:val="a"/>
    <w:link w:val="Charffff1"/>
    <w:qFormat/>
    <w:pPr>
      <w:adjustRightInd w:val="0"/>
      <w:spacing w:line="500" w:lineRule="exact"/>
      <w:ind w:firstLineChars="200" w:firstLine="200"/>
      <w:jc w:val="left"/>
      <w:textAlignment w:val="baseline"/>
    </w:pPr>
    <w:rPr>
      <w:rFonts w:ascii="Calibri" w:hAnsi="Calibri" w:cs="宋体"/>
      <w:color w:val="FF0000"/>
      <w:kern w:val="0"/>
      <w:szCs w:val="24"/>
    </w:rPr>
  </w:style>
  <w:style w:type="character" w:customStyle="1" w:styleId="Charffff1">
    <w:name w:val="正文（ＬＺＱ） Char"/>
    <w:link w:val="afffffffffffffffff8"/>
    <w:qFormat/>
    <w:rPr>
      <w:rFonts w:ascii="Calibri" w:hAnsi="Calibri" w:cs="宋体"/>
      <w:color w:val="FF0000"/>
      <w:sz w:val="24"/>
      <w:szCs w:val="24"/>
    </w:rPr>
  </w:style>
  <w:style w:type="paragraph" w:customStyle="1" w:styleId="33-31113CharChar3Char1H3H">
    <w:name w:val="样式 标题 3一标题 3-王鹏纪任山标题 31.1.1条标题 3 Char Char标题 3 Char1H3H..."/>
    <w:basedOn w:val="3"/>
    <w:link w:val="33-31113CharChar3Char1H3HChar"/>
    <w:qFormat/>
    <w:pPr>
      <w:spacing w:before="0" w:after="0" w:line="500" w:lineRule="exact"/>
      <w:ind w:firstLineChars="200" w:firstLine="480"/>
    </w:pPr>
    <w:rPr>
      <w:rFonts w:ascii="Calibri" w:eastAsia="华文中宋" w:hAnsi="Calibri" w:cs="宋体"/>
      <w:bCs/>
      <w:sz w:val="24"/>
      <w:szCs w:val="32"/>
      <w:lang w:val="zh-CN"/>
    </w:rPr>
  </w:style>
  <w:style w:type="paragraph" w:customStyle="1" w:styleId="33-31113CharChar3Char1H3H0">
    <w:name w:val="样式 样式 标题 3一标题 3-王鹏纪任山标题 31.1.1条标题 3 Char Char标题 3 Char1H3H... +"/>
    <w:basedOn w:val="33-31113CharChar3Char1H3H"/>
    <w:link w:val="33-31113CharChar3Char1H3HChar0"/>
    <w:qFormat/>
  </w:style>
  <w:style w:type="paragraph" w:customStyle="1" w:styleId="11-1111h1heading">
    <w:name w:val="样式 标题 1章标题设计节标题 1-王鹏1一级标题，黑粗，三号，序号标1第一章1.标题 1h1heading..."/>
    <w:basedOn w:val="1"/>
    <w:qFormat/>
    <w:pPr>
      <w:spacing w:beforeLines="200" w:afterLines="200" w:line="500" w:lineRule="exact"/>
      <w:jc w:val="center"/>
    </w:pPr>
    <w:rPr>
      <w:rFonts w:eastAsia="华文中宋" w:cs="宋体"/>
      <w:bCs/>
      <w:color w:val="000000"/>
      <w:sz w:val="32"/>
      <w:lang w:val="zh-CN"/>
    </w:rPr>
  </w:style>
  <w:style w:type="paragraph" w:customStyle="1" w:styleId="22-2Char2CharCharCharCharCharCha">
    <w:name w:val="样式 标题 2节设计一标题 2-王鹏标题2 Char标题 2 Char Char Char Char Char Cha..."/>
    <w:basedOn w:val="2"/>
    <w:link w:val="22-2Char2CharCharCharCharCharChaCharChar"/>
    <w:qFormat/>
    <w:pPr>
      <w:spacing w:before="200" w:after="200" w:line="500" w:lineRule="exact"/>
      <w:jc w:val="center"/>
    </w:pPr>
    <w:rPr>
      <w:rFonts w:ascii="Calibri" w:eastAsia="华文中宋" w:hAnsi="Calibri"/>
      <w:b/>
      <w:bCs/>
      <w:color w:val="000000"/>
      <w:sz w:val="32"/>
      <w:szCs w:val="24"/>
    </w:rPr>
  </w:style>
  <w:style w:type="character" w:customStyle="1" w:styleId="22-2Char2CharCharCharCharCharChaCharChar">
    <w:name w:val="样式 标题 2节设计一标题 2-王鹏标题2 Char标题 2 Char Char Char Char Char Cha... Char Char"/>
    <w:link w:val="22-2Char2CharCharCharCharCharCha"/>
    <w:qFormat/>
    <w:rPr>
      <w:rFonts w:ascii="Calibri" w:eastAsia="华文中宋" w:hAnsi="Calibri"/>
      <w:b/>
      <w:bCs/>
      <w:color w:val="000000"/>
      <w:kern w:val="2"/>
      <w:sz w:val="32"/>
      <w:szCs w:val="24"/>
    </w:rPr>
  </w:style>
  <w:style w:type="character" w:customStyle="1" w:styleId="33-31113CharChar3Char1H3HChar">
    <w:name w:val="样式 标题 3一标题 3-王鹏纪任山标题 31.1.1条标题 3 Char Char标题 3 Char1H3H... Char"/>
    <w:link w:val="33-31113CharChar3Char1H3H"/>
    <w:qFormat/>
    <w:rPr>
      <w:rFonts w:ascii="Calibri" w:eastAsia="华文中宋" w:hAnsi="Calibri" w:cs="宋体"/>
      <w:b/>
      <w:bCs/>
      <w:kern w:val="2"/>
      <w:sz w:val="24"/>
      <w:szCs w:val="32"/>
      <w:lang w:val="zh-CN"/>
    </w:rPr>
  </w:style>
  <w:style w:type="character" w:customStyle="1" w:styleId="33-31113CharChar3Char1H3HChar0">
    <w:name w:val="样式 样式 标题 3一标题 3-王鹏纪任山标题 31.1.1条标题 3 Char Char标题 3 Char1H3H... + Char"/>
    <w:basedOn w:val="33-31113CharChar3Char1H3HChar"/>
    <w:link w:val="33-31113CharChar3Char1H3H0"/>
    <w:qFormat/>
    <w:rPr>
      <w:rFonts w:ascii="Calibri" w:eastAsia="华文中宋" w:hAnsi="Calibri" w:cs="宋体"/>
      <w:b/>
      <w:bCs/>
      <w:kern w:val="2"/>
      <w:sz w:val="24"/>
      <w:szCs w:val="32"/>
      <w:lang w:val="zh-CN"/>
    </w:rPr>
  </w:style>
  <w:style w:type="paragraph" w:customStyle="1" w:styleId="2fff6">
    <w:name w:val="样式 幼圆 首行缩进:  2 字符"/>
    <w:basedOn w:val="a"/>
    <w:qFormat/>
    <w:pPr>
      <w:spacing w:line="360" w:lineRule="auto"/>
      <w:ind w:firstLineChars="200" w:firstLine="480"/>
    </w:pPr>
    <w:rPr>
      <w:rFonts w:ascii="幼圆" w:hAnsi="Times New Roman" w:cs="宋体"/>
    </w:rPr>
  </w:style>
  <w:style w:type="paragraph" w:customStyle="1" w:styleId="0740">
    <w:name w:val="样式 幼圆 首行缩进:  0.74 厘米"/>
    <w:basedOn w:val="a"/>
    <w:qFormat/>
    <w:pPr>
      <w:spacing w:line="360" w:lineRule="auto"/>
    </w:pPr>
    <w:rPr>
      <w:rFonts w:ascii="幼圆" w:hAnsi="Times New Roman"/>
    </w:rPr>
  </w:style>
  <w:style w:type="paragraph" w:customStyle="1" w:styleId="22-2Char2CharCharCharCharCharCha0">
    <w:name w:val="样式 样式 标题 2节设计一标题 2-王鹏标题2 Char标题 2 Char Char Char Char Char Cha....."/>
    <w:basedOn w:val="22-2Char2CharCharCharCharCharCha"/>
    <w:qFormat/>
    <w:rPr>
      <w:rFonts w:cs="宋体"/>
      <w:szCs w:val="20"/>
    </w:rPr>
  </w:style>
  <w:style w:type="character" w:customStyle="1" w:styleId="1Char11">
    <w:name w:val="页眉1 Char1"/>
    <w:qFormat/>
    <w:rPr>
      <w:rFonts w:ascii="华文中宋" w:eastAsia="华文中宋" w:hAnsi="华文中宋"/>
      <w:kern w:val="2"/>
      <w:sz w:val="18"/>
      <w:szCs w:val="18"/>
      <w:lang w:val="en-US" w:eastAsia="zh-CN" w:bidi="ar-SA"/>
    </w:rPr>
  </w:style>
  <w:style w:type="paragraph" w:customStyle="1" w:styleId="p17">
    <w:name w:val="p17"/>
    <w:basedOn w:val="a"/>
    <w:qFormat/>
    <w:pPr>
      <w:widowControl/>
      <w:jc w:val="center"/>
    </w:pPr>
    <w:rPr>
      <w:rFonts w:ascii="Cambria" w:hAnsi="Cambria" w:cs="宋体"/>
      <w:kern w:val="0"/>
      <w:sz w:val="21"/>
      <w:szCs w:val="21"/>
    </w:rPr>
  </w:style>
  <w:style w:type="paragraph" w:customStyle="1" w:styleId="p15">
    <w:name w:val="p15"/>
    <w:basedOn w:val="a"/>
    <w:qFormat/>
    <w:pPr>
      <w:widowControl/>
      <w:spacing w:line="500" w:lineRule="atLeast"/>
      <w:ind w:firstLine="420"/>
    </w:pPr>
    <w:rPr>
      <w:rFonts w:ascii="华文中宋" w:eastAsia="华文中宋" w:hAnsi="华文中宋" w:cs="宋体"/>
      <w:kern w:val="0"/>
      <w:szCs w:val="24"/>
    </w:rPr>
  </w:style>
  <w:style w:type="paragraph" w:customStyle="1" w:styleId="33H3h33rdlevelReHead3WSA0331">
    <w:name w:val="样式 标题 3三级标题标题3H3h33rd level第二层条ReHead 3 WSA标题03三级标题 3...1"/>
    <w:basedOn w:val="3"/>
    <w:qFormat/>
    <w:pPr>
      <w:spacing w:beforeLines="30" w:afterLines="30" w:line="360" w:lineRule="auto"/>
    </w:pPr>
    <w:rPr>
      <w:rFonts w:ascii="Times New Roman" w:eastAsia="黑体" w:hAnsi="Times New Roman"/>
      <w:b w:val="0"/>
      <w:sz w:val="28"/>
      <w:szCs w:val="28"/>
    </w:rPr>
  </w:style>
  <w:style w:type="character" w:customStyle="1" w:styleId="1fff5">
    <w:name w:val="页码1"/>
    <w:basedOn w:val="a0"/>
    <w:qFormat/>
  </w:style>
  <w:style w:type="paragraph" w:customStyle="1" w:styleId="0001">
    <w:name w:val="一级标题000"/>
    <w:basedOn w:val="a"/>
    <w:qFormat/>
    <w:pPr>
      <w:ind w:firstLineChars="200" w:firstLine="200"/>
    </w:pPr>
    <w:rPr>
      <w:rFonts w:ascii="Times New Roman" w:eastAsia="黑体" w:hAnsi="Times New Roman"/>
      <w:b/>
      <w:szCs w:val="24"/>
    </w:rPr>
  </w:style>
  <w:style w:type="character" w:customStyle="1" w:styleId="CharCharf5">
    <w:name w:val="表格文字 Char Char"/>
    <w:qFormat/>
    <w:rPr>
      <w:rFonts w:eastAsia="宋体"/>
      <w:snapToGrid w:val="0"/>
      <w:color w:val="000000"/>
      <w:sz w:val="21"/>
      <w:szCs w:val="21"/>
      <w:lang w:val="en-US" w:eastAsia="zh-CN" w:bidi="ar-SA"/>
    </w:rPr>
  </w:style>
  <w:style w:type="paragraph" w:customStyle="1" w:styleId="180">
    <w:name w:val="样式 行距: 最小值 18 磅"/>
    <w:basedOn w:val="a"/>
    <w:qFormat/>
    <w:pPr>
      <w:spacing w:line="240" w:lineRule="atLeast"/>
      <w:jc w:val="center"/>
    </w:pPr>
    <w:rPr>
      <w:rFonts w:ascii="Times New Roman" w:hAnsi="Times New Roman" w:cs="宋体"/>
      <w:sz w:val="21"/>
    </w:rPr>
  </w:style>
  <w:style w:type="paragraph" w:customStyle="1" w:styleId="2fff7">
    <w:name w:val="样式 表、图名 + 首行缩进:  2 字符"/>
    <w:basedOn w:val="affffff5"/>
    <w:qFormat/>
    <w:pPr>
      <w:snapToGrid/>
      <w:spacing w:beforeLines="10" w:afterLines="10" w:line="360" w:lineRule="auto"/>
      <w:ind w:left="0" w:firstLineChars="0" w:firstLine="0"/>
      <w:jc w:val="left"/>
    </w:pPr>
    <w:rPr>
      <w:rFonts w:ascii="Times New Roman" w:hAnsi="Times New Roman" w:cs="宋体"/>
      <w:color w:val="auto"/>
      <w:kern w:val="0"/>
    </w:rPr>
  </w:style>
  <w:style w:type="paragraph" w:customStyle="1" w:styleId="1CharCharCharCharCharCharChar0">
    <w:name w:val="1 Char Char Char Char Char Char Char"/>
    <w:basedOn w:val="a"/>
    <w:qFormat/>
    <w:pPr>
      <w:widowControl/>
      <w:spacing w:after="160" w:line="360" w:lineRule="auto"/>
      <w:ind w:firstLineChars="200" w:firstLine="200"/>
      <w:jc w:val="left"/>
    </w:pPr>
    <w:rPr>
      <w:rFonts w:ascii="Times New Roman" w:hAnsi="Times New Roman"/>
      <w:sz w:val="28"/>
      <w:szCs w:val="24"/>
    </w:rPr>
  </w:style>
  <w:style w:type="character" w:customStyle="1" w:styleId="2CharChar1">
    <w:name w:val="样式2 Char Char"/>
    <w:qFormat/>
    <w:rPr>
      <w:rFonts w:ascii="宋体" w:eastAsia="宋体" w:hAnsi="宋体" w:cs="宋体"/>
      <w:b/>
      <w:sz w:val="24"/>
      <w:szCs w:val="24"/>
      <w:lang w:val="en-US" w:eastAsia="zh-CN" w:bidi="ar-SA"/>
    </w:rPr>
  </w:style>
  <w:style w:type="paragraph" w:customStyle="1" w:styleId="afffffffffffffffff9">
    <w:name w:val="样式 表、图名 +"/>
    <w:basedOn w:val="affffff5"/>
    <w:link w:val="Charffff2"/>
    <w:qFormat/>
    <w:pPr>
      <w:snapToGrid/>
      <w:spacing w:beforeLines="10" w:afterLines="10" w:line="360" w:lineRule="auto"/>
      <w:ind w:left="0" w:firstLineChars="0" w:firstLine="0"/>
      <w:jc w:val="center"/>
    </w:pPr>
    <w:rPr>
      <w:rFonts w:ascii="Times New Roman" w:hAnsi="Times New Roman"/>
      <w:bCs/>
      <w:kern w:val="0"/>
      <w:szCs w:val="24"/>
    </w:rPr>
  </w:style>
  <w:style w:type="paragraph" w:customStyle="1" w:styleId="1fff6">
    <w:name w:val="样式 表、图名 +1"/>
    <w:basedOn w:val="affffff5"/>
    <w:link w:val="1Char9"/>
    <w:qFormat/>
    <w:pPr>
      <w:snapToGrid/>
      <w:spacing w:beforeLines="10" w:afterLines="10" w:line="360" w:lineRule="auto"/>
      <w:ind w:left="0"/>
      <w:jc w:val="left"/>
    </w:pPr>
    <w:rPr>
      <w:rFonts w:ascii="Times New Roman" w:hAnsi="Times New Roman"/>
      <w:kern w:val="0"/>
      <w:szCs w:val="24"/>
    </w:rPr>
  </w:style>
  <w:style w:type="character" w:customStyle="1" w:styleId="1Char9">
    <w:name w:val="样式 表、图名 +1 Char"/>
    <w:link w:val="1fff6"/>
    <w:qFormat/>
    <w:rPr>
      <w:rFonts w:eastAsia="黑体"/>
      <w:color w:val="000000"/>
      <w:sz w:val="24"/>
      <w:szCs w:val="24"/>
    </w:rPr>
  </w:style>
  <w:style w:type="paragraph" w:customStyle="1" w:styleId="2fff8">
    <w:name w:val="样式 样式 表、图名 + (符号) 黑体 + 首行缩进:  2 字符"/>
    <w:basedOn w:val="a"/>
    <w:link w:val="2Char9"/>
    <w:qFormat/>
    <w:pPr>
      <w:adjustRightInd w:val="0"/>
      <w:spacing w:beforeLines="10" w:afterLines="10" w:line="360" w:lineRule="auto"/>
      <w:ind w:firstLineChars="200" w:firstLine="480"/>
      <w:jc w:val="left"/>
    </w:pPr>
    <w:rPr>
      <w:rFonts w:ascii="黑体" w:eastAsia="黑体" w:cs="宋体"/>
      <w:color w:val="000000"/>
    </w:rPr>
  </w:style>
  <w:style w:type="character" w:customStyle="1" w:styleId="2Char9">
    <w:name w:val="样式 样式 表、图名 + (符号) 黑体 + 首行缩进:  2 字符 Char"/>
    <w:link w:val="2fff8"/>
    <w:qFormat/>
    <w:rPr>
      <w:rFonts w:ascii="黑体" w:eastAsia="黑体" w:hAnsi="宋体" w:cs="宋体"/>
      <w:color w:val="000000"/>
      <w:kern w:val="2"/>
      <w:sz w:val="24"/>
    </w:rPr>
  </w:style>
  <w:style w:type="paragraph" w:customStyle="1" w:styleId="131">
    <w:name w:val="正文13号缩进"/>
    <w:basedOn w:val="a"/>
    <w:qFormat/>
    <w:pPr>
      <w:spacing w:line="360" w:lineRule="auto"/>
      <w:ind w:firstLineChars="200" w:firstLine="520"/>
    </w:pPr>
    <w:rPr>
      <w:rFonts w:ascii="Times New Roman" w:hAnsi="Times New Roman" w:cs="宋体"/>
      <w:sz w:val="26"/>
    </w:rPr>
  </w:style>
  <w:style w:type="paragraph" w:customStyle="1" w:styleId="ParaChar0">
    <w:name w:val="样式 默认段落字体 Para Char +"/>
    <w:basedOn w:val="ParaChar"/>
    <w:link w:val="ParaCharChar"/>
    <w:qFormat/>
    <w:pPr>
      <w:ind w:firstLine="480"/>
    </w:pPr>
    <w:rPr>
      <w:rFonts w:ascii="Times New Roman" w:eastAsia="宋体" w:hAnsi="Times New Roman" w:cs="宋体"/>
      <w:kern w:val="0"/>
      <w:szCs w:val="24"/>
    </w:rPr>
  </w:style>
  <w:style w:type="character" w:customStyle="1" w:styleId="ParaCharChar">
    <w:name w:val="样式 默认段落字体 Para Char + Char"/>
    <w:link w:val="ParaChar0"/>
    <w:qFormat/>
    <w:rPr>
      <w:rFonts w:cs="宋体"/>
      <w:sz w:val="24"/>
      <w:szCs w:val="24"/>
    </w:rPr>
  </w:style>
  <w:style w:type="character" w:customStyle="1" w:styleId="TimesNewRomanCharChar">
    <w:name w:val="样式 (西文) Times New Roman (符号) 华文中宋 Char Char"/>
    <w:qFormat/>
    <w:rPr>
      <w:rFonts w:eastAsia="华文中宋" w:hAnsi="华文中宋"/>
      <w:kern w:val="2"/>
      <w:sz w:val="24"/>
      <w:szCs w:val="22"/>
      <w:lang w:val="en-US" w:eastAsia="zh-CN" w:bidi="ar-SA"/>
    </w:rPr>
  </w:style>
  <w:style w:type="character" w:customStyle="1" w:styleId="Charffff2">
    <w:name w:val="样式 表、图名 + Char"/>
    <w:link w:val="afffffffffffffffff9"/>
    <w:qFormat/>
    <w:rPr>
      <w:rFonts w:eastAsia="黑体"/>
      <w:bCs/>
      <w:color w:val="000000"/>
      <w:sz w:val="24"/>
      <w:szCs w:val="24"/>
    </w:rPr>
  </w:style>
  <w:style w:type="character" w:customStyle="1" w:styleId="CharChar52">
    <w:name w:val="Char Char52"/>
    <w:qFormat/>
    <w:rPr>
      <w:rFonts w:ascii="宋体" w:eastAsia="宋体" w:hAnsi="宋体"/>
      <w:kern w:val="2"/>
      <w:sz w:val="24"/>
      <w:lang w:val="en-US" w:eastAsia="zh-CN"/>
    </w:rPr>
  </w:style>
  <w:style w:type="paragraph" w:customStyle="1" w:styleId="afffffffffffffffffa">
    <w:name w:val="样式 表名 +"/>
    <w:basedOn w:val="affffe"/>
    <w:link w:val="Charffff3"/>
    <w:qFormat/>
    <w:pPr>
      <w:keepNext w:val="0"/>
      <w:tabs>
        <w:tab w:val="clear" w:pos="1008"/>
        <w:tab w:val="left" w:pos="1350"/>
      </w:tabs>
      <w:autoSpaceDE w:val="0"/>
      <w:autoSpaceDN w:val="0"/>
      <w:spacing w:before="40" w:after="40"/>
      <w:ind w:firstLineChars="195" w:firstLine="195"/>
      <w:contextualSpacing/>
      <w:jc w:val="left"/>
      <w:outlineLvl w:val="9"/>
    </w:pPr>
    <w:rPr>
      <w:rFonts w:ascii="黑体" w:eastAsia="黑体" w:hAnsi="Arial" w:cs="Arial"/>
      <w:kern w:val="0"/>
      <w:szCs w:val="24"/>
      <w:shd w:val="clear" w:color="auto" w:fill="FFFFFF"/>
    </w:rPr>
  </w:style>
  <w:style w:type="character" w:customStyle="1" w:styleId="Charffff3">
    <w:name w:val="样式 表名 + Char"/>
    <w:link w:val="afffffffffffffffffa"/>
    <w:qFormat/>
    <w:rPr>
      <w:rFonts w:ascii="黑体" w:eastAsia="黑体" w:hAnsi="Arial" w:cs="Arial"/>
      <w:sz w:val="24"/>
      <w:szCs w:val="24"/>
    </w:rPr>
  </w:style>
  <w:style w:type="paragraph" w:customStyle="1" w:styleId="ParaCharTimesNewRoman1">
    <w:name w:val="样式 默认段落字体 Para Char + Times New Roman1"/>
    <w:basedOn w:val="ParaChar"/>
    <w:link w:val="ParaCharTimesNewRoman1Char"/>
    <w:qFormat/>
    <w:pPr>
      <w:ind w:firstLine="480"/>
    </w:pPr>
    <w:rPr>
      <w:rFonts w:ascii="Times New Roman" w:eastAsia="宋体" w:hAnsi="Times New Roman" w:cs="宋体"/>
      <w:szCs w:val="24"/>
    </w:rPr>
  </w:style>
  <w:style w:type="character" w:customStyle="1" w:styleId="ParaCharTimesNewRoman1Char">
    <w:name w:val="样式 默认段落字体 Para Char + Times New Roman1 Char"/>
    <w:link w:val="ParaCharTimesNewRoman1"/>
    <w:qFormat/>
    <w:rPr>
      <w:rFonts w:cs="宋体"/>
      <w:kern w:val="2"/>
      <w:sz w:val="24"/>
      <w:szCs w:val="24"/>
    </w:rPr>
  </w:style>
  <w:style w:type="paragraph" w:customStyle="1" w:styleId="ParaCharTimesNewRoman">
    <w:name w:val="样式 默认段落字体 Para Char + Times New Roman"/>
    <w:basedOn w:val="ParaChar"/>
    <w:link w:val="ParaCharTimesNewRomanChar"/>
    <w:qFormat/>
    <w:pPr>
      <w:ind w:leftChars="-6" w:left="-1" w:hangingChars="5" w:hanging="12"/>
    </w:pPr>
    <w:rPr>
      <w:rFonts w:ascii="Times New Roman" w:eastAsia="宋体" w:hAnsi="Times New Roman" w:cs="宋体"/>
      <w:szCs w:val="24"/>
    </w:rPr>
  </w:style>
  <w:style w:type="character" w:customStyle="1" w:styleId="ParaCharTimesNewRomanChar">
    <w:name w:val="样式 默认段落字体 Para Char + Times New Roman Char"/>
    <w:link w:val="ParaCharTimesNewRoman"/>
    <w:qFormat/>
    <w:rPr>
      <w:rFonts w:cs="宋体"/>
      <w:kern w:val="2"/>
      <w:sz w:val="24"/>
      <w:szCs w:val="24"/>
    </w:rPr>
  </w:style>
  <w:style w:type="character" w:customStyle="1" w:styleId="1CharChar">
    <w:name w:val="正文1 Char Char"/>
    <w:link w:val="1Char0"/>
    <w:qFormat/>
    <w:rPr>
      <w:kern w:val="2"/>
      <w:sz w:val="24"/>
      <w:szCs w:val="24"/>
    </w:rPr>
  </w:style>
  <w:style w:type="character" w:customStyle="1" w:styleId="newstxt">
    <w:name w:val="newstxt"/>
    <w:basedOn w:val="a0"/>
    <w:qFormat/>
  </w:style>
  <w:style w:type="character" w:customStyle="1" w:styleId="CharChar39">
    <w:name w:val="Char Char39"/>
    <w:qFormat/>
    <w:rPr>
      <w:rFonts w:eastAsia="宋体"/>
      <w:b/>
      <w:bCs/>
      <w:sz w:val="28"/>
      <w:szCs w:val="28"/>
      <w:lang w:val="en-US" w:eastAsia="zh-CN" w:bidi="ar-SA"/>
    </w:rPr>
  </w:style>
  <w:style w:type="character" w:customStyle="1" w:styleId="CharChar62">
    <w:name w:val="Char Char62"/>
    <w:qFormat/>
    <w:rPr>
      <w:rFonts w:ascii="宋体" w:eastAsia="宋体" w:hAnsi="宋体"/>
      <w:kern w:val="2"/>
      <w:sz w:val="24"/>
      <w:lang w:val="en-US" w:eastAsia="zh-CN"/>
    </w:rPr>
  </w:style>
  <w:style w:type="paragraph" w:customStyle="1" w:styleId="CharCharCharChar4">
    <w:name w:val="Char Char Char Char4"/>
    <w:basedOn w:val="a"/>
    <w:next w:val="a"/>
    <w:qFormat/>
    <w:pPr>
      <w:spacing w:line="360" w:lineRule="auto"/>
      <w:ind w:firstLineChars="200" w:firstLine="200"/>
    </w:pPr>
    <w:rPr>
      <w:rFonts w:cs="宋体"/>
      <w:szCs w:val="24"/>
    </w:rPr>
  </w:style>
  <w:style w:type="paragraph" w:customStyle="1" w:styleId="1fff7">
    <w:name w:val="修订1"/>
    <w:qFormat/>
    <w:rPr>
      <w:rFonts w:ascii="Calibri" w:eastAsia="仿宋_GB2312" w:hAnsi="Calibri"/>
      <w:kern w:val="2"/>
      <w:sz w:val="28"/>
      <w:szCs w:val="22"/>
    </w:rPr>
  </w:style>
  <w:style w:type="paragraph" w:customStyle="1" w:styleId="CharCharChar2CharCharCharChar2">
    <w:name w:val="Char Char Char2 Char Char Char Char2"/>
    <w:basedOn w:val="a"/>
    <w:qFormat/>
    <w:pPr>
      <w:spacing w:line="360" w:lineRule="auto"/>
      <w:ind w:firstLineChars="200" w:firstLine="200"/>
    </w:pPr>
    <w:rPr>
      <w:rFonts w:cs="宋体"/>
      <w:szCs w:val="24"/>
    </w:rPr>
  </w:style>
  <w:style w:type="paragraph" w:customStyle="1" w:styleId="3121">
    <w:name w:val="正文文本缩进 312"/>
    <w:basedOn w:val="a"/>
    <w:qFormat/>
    <w:pPr>
      <w:adjustRightInd w:val="0"/>
      <w:ind w:firstLine="560"/>
      <w:textAlignment w:val="baseline"/>
    </w:pPr>
    <w:rPr>
      <w:sz w:val="28"/>
    </w:rPr>
  </w:style>
  <w:style w:type="paragraph" w:customStyle="1" w:styleId="CharCharCharCharCharCharCharCharCharCharCharCharCharCharCharChar2">
    <w:name w:val="Char Char Char Char Char Char Char Char Char Char Char Char Char Char Char Char2"/>
    <w:basedOn w:val="a"/>
    <w:qFormat/>
    <w:rPr>
      <w:rFonts w:ascii="Times New Roman" w:hAnsi="Times New Roman"/>
      <w:sz w:val="21"/>
      <w:szCs w:val="21"/>
    </w:rPr>
  </w:style>
  <w:style w:type="paragraph" w:customStyle="1" w:styleId="324">
    <w:name w:val="纯文本32"/>
    <w:basedOn w:val="a"/>
    <w:qFormat/>
    <w:pPr>
      <w:adjustRightInd w:val="0"/>
    </w:pPr>
    <w:rPr>
      <w:rFonts w:hAnsi="Times New Roman" w:hint="eastAsia"/>
      <w:kern w:val="0"/>
      <w:sz w:val="21"/>
    </w:rPr>
  </w:style>
  <w:style w:type="paragraph" w:customStyle="1" w:styleId="226">
    <w:name w:val="日期22"/>
    <w:basedOn w:val="a"/>
    <w:next w:val="a"/>
    <w:qFormat/>
    <w:pPr>
      <w:adjustRightInd w:val="0"/>
      <w:spacing w:line="529" w:lineRule="exact"/>
      <w:ind w:firstLine="420"/>
    </w:pPr>
    <w:rPr>
      <w:rFonts w:eastAsia="汉鼎简书宋" w:hAnsi="Times New Roman"/>
      <w:b/>
      <w:snapToGrid w:val="0"/>
      <w:kern w:val="0"/>
      <w:sz w:val="28"/>
    </w:rPr>
  </w:style>
  <w:style w:type="paragraph" w:customStyle="1" w:styleId="CharCharChar1CharCharCharChar2">
    <w:name w:val="Char Char Char1 Char Char Char Char2"/>
    <w:basedOn w:val="a"/>
    <w:next w:val="a"/>
    <w:qFormat/>
    <w:pPr>
      <w:spacing w:line="336" w:lineRule="auto"/>
      <w:ind w:firstLineChars="200" w:firstLine="200"/>
    </w:pPr>
    <w:rPr>
      <w:rFonts w:eastAsia="汉鼎简书宋" w:cs="宋体"/>
      <w:szCs w:val="24"/>
    </w:rPr>
  </w:style>
  <w:style w:type="paragraph" w:customStyle="1" w:styleId="227">
    <w:name w:val="正文文本缩进22"/>
    <w:basedOn w:val="a"/>
    <w:qFormat/>
    <w:pPr>
      <w:spacing w:after="120"/>
      <w:ind w:leftChars="200" w:left="420"/>
    </w:pPr>
    <w:rPr>
      <w:rFonts w:ascii="Times New Roman" w:eastAsia="Times New Roman" w:hAnsi="Times New Roman"/>
      <w:kern w:val="0"/>
      <w:szCs w:val="24"/>
    </w:rPr>
  </w:style>
  <w:style w:type="character" w:customStyle="1" w:styleId="3Char2">
    <w:name w:val="标题 3 Char2"/>
    <w:qFormat/>
    <w:rPr>
      <w:rFonts w:ascii="Times New Roman" w:hAnsi="Times New Roman"/>
      <w:sz w:val="28"/>
    </w:rPr>
  </w:style>
  <w:style w:type="paragraph" w:customStyle="1" w:styleId="154">
    <w:name w:val="正文 小四 行距: 1.5 倍行距"/>
    <w:basedOn w:val="a"/>
    <w:link w:val="15Char"/>
    <w:qFormat/>
    <w:pPr>
      <w:spacing w:line="360" w:lineRule="auto"/>
      <w:ind w:firstLineChars="200" w:firstLine="480"/>
    </w:pPr>
    <w:rPr>
      <w:rFonts w:ascii="Times New Roman" w:hAnsi="Times New Roman" w:cs="宋体"/>
    </w:rPr>
  </w:style>
  <w:style w:type="character" w:customStyle="1" w:styleId="CharCharf6">
    <w:name w:val="表格内容 Char Char"/>
    <w:qFormat/>
    <w:rPr>
      <w:rFonts w:ascii="宋体" w:hAnsi="Courier New" w:cs="Courier New"/>
      <w:kern w:val="2"/>
      <w:sz w:val="21"/>
      <w:szCs w:val="21"/>
    </w:rPr>
  </w:style>
  <w:style w:type="character" w:customStyle="1" w:styleId="7Char10">
    <w:name w:val="标题 7 Char1"/>
    <w:qFormat/>
    <w:rPr>
      <w:rFonts w:ascii="Times New Roman" w:eastAsia="仿宋_GB2312" w:hAnsi="Times New Roman"/>
      <w:bCs/>
      <w:spacing w:val="-2"/>
      <w:kern w:val="2"/>
      <w:sz w:val="24"/>
      <w:szCs w:val="24"/>
    </w:rPr>
  </w:style>
  <w:style w:type="character" w:customStyle="1" w:styleId="Char1f4">
    <w:name w:val="脚注文本 Char1"/>
    <w:qFormat/>
    <w:rPr>
      <w:kern w:val="2"/>
      <w:sz w:val="18"/>
      <w:szCs w:val="18"/>
    </w:rPr>
  </w:style>
  <w:style w:type="character" w:customStyle="1" w:styleId="Char1f5">
    <w:name w:val="尾注文本 Char1"/>
    <w:rPr>
      <w:kern w:val="2"/>
      <w:sz w:val="21"/>
      <w:szCs w:val="22"/>
    </w:rPr>
  </w:style>
  <w:style w:type="paragraph" w:customStyle="1" w:styleId="afffffffffffffffffb">
    <w:name w:val="正文标题"/>
    <w:basedOn w:val="a"/>
    <w:qFormat/>
    <w:pPr>
      <w:suppressLineNumbers/>
      <w:adjustRightInd w:val="0"/>
      <w:spacing w:line="360" w:lineRule="auto"/>
      <w:ind w:firstLine="510"/>
      <w:textAlignment w:val="baseline"/>
      <w:outlineLvl w:val="0"/>
    </w:pPr>
    <w:rPr>
      <w:rFonts w:ascii="黑体" w:eastAsia="黑体" w:hAnsi="Times New Roman"/>
      <w:snapToGrid w:val="0"/>
      <w:kern w:val="0"/>
    </w:rPr>
  </w:style>
  <w:style w:type="character" w:customStyle="1" w:styleId="afffffffffffffffffc">
    <w:name w:val="样式 超链接 + (中文) 黑体 四号 加粗 自动设置 无下划线 字距调整二号"/>
    <w:qFormat/>
    <w:rPr>
      <w:rFonts w:eastAsia="黑体"/>
      <w:b/>
      <w:bCs/>
      <w:color w:val="auto"/>
      <w:kern w:val="44"/>
      <w:sz w:val="28"/>
      <w:u w:val="none"/>
    </w:rPr>
  </w:style>
  <w:style w:type="paragraph" w:customStyle="1" w:styleId="afffffffffffffffffd">
    <w:name w:val="a)"/>
    <w:basedOn w:val="a"/>
    <w:qFormat/>
    <w:pPr>
      <w:adjustRightInd w:val="0"/>
      <w:spacing w:line="360" w:lineRule="auto"/>
      <w:ind w:firstLine="567"/>
      <w:textAlignment w:val="baseline"/>
    </w:pPr>
    <w:rPr>
      <w:rFonts w:ascii="Times New Roman" w:hAnsi="Times New Roman"/>
      <w:kern w:val="0"/>
      <w:sz w:val="28"/>
    </w:rPr>
  </w:style>
  <w:style w:type="paragraph" w:customStyle="1" w:styleId="2fff9">
    <w:name w:val="正文文字首航缩2字"/>
    <w:basedOn w:val="a"/>
    <w:qFormat/>
    <w:pPr>
      <w:spacing w:line="360" w:lineRule="auto"/>
      <w:ind w:firstLineChars="200" w:firstLine="200"/>
    </w:pPr>
    <w:rPr>
      <w:rFonts w:ascii="Times New Roman" w:hAnsi="Times New Roman"/>
      <w:szCs w:val="24"/>
    </w:rPr>
  </w:style>
  <w:style w:type="paragraph" w:customStyle="1" w:styleId="201">
    <w:name w:val="标题 2 + 首行缩进： 0磅"/>
    <w:basedOn w:val="a"/>
    <w:qFormat/>
    <w:pPr>
      <w:keepNext/>
      <w:keepLines/>
      <w:tabs>
        <w:tab w:val="left" w:pos="8140"/>
      </w:tabs>
      <w:spacing w:line="360" w:lineRule="auto"/>
      <w:outlineLvl w:val="1"/>
    </w:pPr>
    <w:rPr>
      <w:rFonts w:ascii="黑体" w:eastAsia="黑体" w:hAnsi="Times New Roman"/>
      <w:kern w:val="0"/>
      <w:sz w:val="30"/>
    </w:rPr>
  </w:style>
  <w:style w:type="paragraph" w:customStyle="1" w:styleId="nw">
    <w:name w:val="nw"/>
    <w:basedOn w:val="a"/>
    <w:qFormat/>
    <w:pPr>
      <w:widowControl/>
      <w:spacing w:before="100" w:beforeAutospacing="1" w:after="100" w:afterAutospacing="1"/>
      <w:jc w:val="left"/>
    </w:pPr>
    <w:rPr>
      <w:rFonts w:ascii="Arial Unicode MS" w:eastAsia="Arial Unicode MS" w:hAnsi="Arial Unicode MS" w:cs="Arial Unicode MS"/>
      <w:color w:val="000000"/>
      <w:kern w:val="0"/>
      <w:szCs w:val="24"/>
    </w:rPr>
  </w:style>
  <w:style w:type="character" w:customStyle="1" w:styleId="nw1">
    <w:name w:val="nw1"/>
    <w:basedOn w:val="a0"/>
    <w:qFormat/>
  </w:style>
  <w:style w:type="character" w:customStyle="1" w:styleId="9Char0">
    <w:name w:val="标题9 Char"/>
    <w:qFormat/>
    <w:rPr>
      <w:rFonts w:ascii="Arial" w:eastAsia="宋体" w:hAnsi="Arial" w:cs="Times New Roman"/>
      <w:b/>
      <w:bCs/>
      <w:kern w:val="2"/>
      <w:sz w:val="24"/>
      <w:szCs w:val="24"/>
      <w:lang w:val="en-US" w:eastAsia="zh-CN" w:bidi="ar-SA"/>
    </w:rPr>
  </w:style>
  <w:style w:type="character" w:customStyle="1" w:styleId="7CharChar">
    <w:name w:val="标题 7 Char Char"/>
    <w:qFormat/>
    <w:rPr>
      <w:rFonts w:eastAsia="宋体"/>
      <w:b/>
      <w:bCs/>
      <w:kern w:val="2"/>
      <w:sz w:val="24"/>
      <w:szCs w:val="24"/>
      <w:lang w:val="en-US" w:eastAsia="zh-CN" w:bidi="ar-SA"/>
    </w:rPr>
  </w:style>
  <w:style w:type="paragraph" w:customStyle="1" w:styleId="PP">
    <w:name w:val="PP 行"/>
    <w:basedOn w:val="affa"/>
    <w:qFormat/>
    <w:pPr>
      <w:keepNext w:val="0"/>
      <w:spacing w:line="240" w:lineRule="auto"/>
      <w:ind w:firstLine="0"/>
    </w:pPr>
    <w:rPr>
      <w:spacing w:val="-2"/>
      <w:sz w:val="24"/>
      <w:szCs w:val="24"/>
    </w:rPr>
  </w:style>
  <w:style w:type="paragraph" w:customStyle="1" w:styleId="050">
    <w:name w:val="样式 正文文本 + 段前: 0.5 行"/>
    <w:basedOn w:val="af7"/>
    <w:qFormat/>
    <w:pPr>
      <w:adjustRightInd/>
      <w:snapToGrid/>
    </w:pPr>
    <w:rPr>
      <w:rFonts w:ascii="Times New Roman" w:hAnsi="Times New Roman"/>
      <w:color w:val="auto"/>
      <w:spacing w:val="-2"/>
      <w:sz w:val="28"/>
    </w:rPr>
  </w:style>
  <w:style w:type="character" w:customStyle="1" w:styleId="8Char1">
    <w:name w:val="标题 8 Char1"/>
    <w:qFormat/>
    <w:rPr>
      <w:rFonts w:ascii="Arial" w:eastAsia="黑体" w:hAnsi="Arial"/>
      <w:kern w:val="2"/>
      <w:sz w:val="24"/>
      <w:szCs w:val="24"/>
    </w:rPr>
  </w:style>
  <w:style w:type="character" w:customStyle="1" w:styleId="9Char1">
    <w:name w:val="标题 9 Char1"/>
    <w:qFormat/>
    <w:rPr>
      <w:rFonts w:ascii="Arial" w:eastAsia="黑体" w:hAnsi="Arial"/>
      <w:kern w:val="2"/>
      <w:sz w:val="24"/>
      <w:szCs w:val="21"/>
    </w:rPr>
  </w:style>
  <w:style w:type="paragraph" w:customStyle="1" w:styleId="141">
    <w:name w:val="14"/>
    <w:basedOn w:val="a"/>
    <w:next w:val="afd"/>
    <w:qFormat/>
    <w:rPr>
      <w:rFonts w:hAnsi="Courier New"/>
      <w:sz w:val="21"/>
    </w:rPr>
  </w:style>
  <w:style w:type="paragraph" w:customStyle="1" w:styleId="132">
    <w:name w:val="13"/>
    <w:basedOn w:val="a"/>
    <w:next w:val="affd"/>
    <w:qFormat/>
    <w:pPr>
      <w:spacing w:line="360" w:lineRule="auto"/>
      <w:ind w:firstLine="420"/>
      <w:jc w:val="center"/>
    </w:pPr>
    <w:rPr>
      <w:rFonts w:ascii="黑体" w:eastAsia="黑体" w:hAnsi="Arial"/>
      <w:color w:val="000000"/>
      <w:kern w:val="28"/>
      <w:sz w:val="21"/>
      <w:szCs w:val="28"/>
    </w:rPr>
  </w:style>
  <w:style w:type="character" w:customStyle="1" w:styleId="afffffffffffffffffe">
    <w:name w:val="表格右"/>
    <w:qFormat/>
    <w:rPr>
      <w:rFonts w:ascii="宋体" w:eastAsia="宋体" w:hAnsi="宋体"/>
      <w:color w:val="000080"/>
      <w:kern w:val="2"/>
      <w:sz w:val="18"/>
      <w:szCs w:val="24"/>
      <w:lang w:val="en-US" w:eastAsia="zh-CN"/>
    </w:rPr>
  </w:style>
  <w:style w:type="paragraph" w:customStyle="1" w:styleId="123">
    <w:name w:val="12"/>
    <w:basedOn w:val="a"/>
    <w:next w:val="affd"/>
    <w:qFormat/>
    <w:pPr>
      <w:spacing w:line="360" w:lineRule="auto"/>
      <w:ind w:firstLine="420"/>
      <w:jc w:val="center"/>
    </w:pPr>
    <w:rPr>
      <w:rFonts w:ascii="黑体" w:eastAsia="黑体" w:hAnsi="Arial"/>
      <w:color w:val="000000"/>
      <w:kern w:val="28"/>
      <w:sz w:val="21"/>
      <w:szCs w:val="28"/>
    </w:rPr>
  </w:style>
  <w:style w:type="paragraph" w:customStyle="1" w:styleId="affffffffffffffffff">
    <w:name w:val="表格中"/>
    <w:basedOn w:val="a"/>
    <w:qFormat/>
    <w:pPr>
      <w:spacing w:line="280" w:lineRule="exact"/>
      <w:ind w:left="-84" w:right="-101" w:hanging="42"/>
      <w:jc w:val="center"/>
    </w:pPr>
    <w:rPr>
      <w:rFonts w:ascii="Times New Roman"/>
      <w:sz w:val="18"/>
      <w:szCs w:val="18"/>
    </w:rPr>
  </w:style>
  <w:style w:type="paragraph" w:customStyle="1" w:styleId="affffffffffffffffff0">
    <w:name w:val="左侧"/>
    <w:qFormat/>
    <w:pPr>
      <w:spacing w:line="280" w:lineRule="exact"/>
    </w:pPr>
    <w:rPr>
      <w:rFonts w:ascii="宋体" w:hAnsi="宋体"/>
      <w:color w:val="000000"/>
      <w:sz w:val="18"/>
      <w:szCs w:val="18"/>
    </w:rPr>
  </w:style>
  <w:style w:type="paragraph" w:customStyle="1" w:styleId="119">
    <w:name w:val="11"/>
    <w:basedOn w:val="a"/>
    <w:next w:val="a9"/>
    <w:qFormat/>
    <w:pPr>
      <w:widowControl/>
      <w:ind w:firstLine="420"/>
      <w:jc w:val="left"/>
    </w:pPr>
    <w:rPr>
      <w:rFonts w:ascii="Times New Roman" w:hAnsi="Times New Roman"/>
      <w:kern w:val="0"/>
      <w:sz w:val="28"/>
    </w:rPr>
  </w:style>
  <w:style w:type="character" w:customStyle="1" w:styleId="lv3">
    <w:name w:val="lv3"/>
    <w:qFormat/>
    <w:rPr>
      <w:rFonts w:hint="default"/>
      <w:color w:val="2E7713"/>
      <w:sz w:val="20"/>
      <w:szCs w:val="20"/>
      <w:u w:val="none"/>
    </w:rPr>
  </w:style>
  <w:style w:type="paragraph" w:customStyle="1" w:styleId="96">
    <w:name w:val="9"/>
    <w:basedOn w:val="a"/>
    <w:qFormat/>
    <w:pPr>
      <w:spacing w:line="500" w:lineRule="exact"/>
      <w:ind w:firstLine="720"/>
    </w:pPr>
    <w:rPr>
      <w:rFonts w:ascii="Times New Roman" w:hAnsi="Times New Roman"/>
      <w:sz w:val="28"/>
      <w:szCs w:val="24"/>
    </w:rPr>
  </w:style>
  <w:style w:type="paragraph" w:customStyle="1" w:styleId="85">
    <w:name w:val="8"/>
    <w:basedOn w:val="a"/>
    <w:next w:val="afd"/>
    <w:qFormat/>
    <w:rPr>
      <w:rFonts w:hAnsi="Courier New" w:cs="Courier New"/>
      <w:sz w:val="21"/>
      <w:szCs w:val="21"/>
    </w:rPr>
  </w:style>
  <w:style w:type="paragraph" w:customStyle="1" w:styleId="affffffffffffffffff1">
    <w:name w:val="图名"/>
    <w:basedOn w:val="a"/>
    <w:qFormat/>
    <w:pPr>
      <w:spacing w:line="360" w:lineRule="auto"/>
    </w:pPr>
    <w:rPr>
      <w:rFonts w:ascii="黑体" w:eastAsia="黑体" w:hAnsi="Times New Roman"/>
      <w:color w:val="000000"/>
      <w:szCs w:val="24"/>
    </w:rPr>
  </w:style>
  <w:style w:type="paragraph" w:customStyle="1" w:styleId="1fff8">
    <w:name w:val="注释标题1"/>
    <w:basedOn w:val="a9"/>
    <w:next w:val="a9"/>
    <w:qFormat/>
    <w:pPr>
      <w:adjustRightInd/>
      <w:snapToGrid/>
      <w:spacing w:line="240" w:lineRule="auto"/>
      <w:ind w:firstLine="420"/>
    </w:pPr>
    <w:rPr>
      <w:rFonts w:ascii="Times New Roman" w:hAnsi="Times New Roman"/>
      <w:sz w:val="24"/>
    </w:rPr>
  </w:style>
  <w:style w:type="paragraph" w:customStyle="1" w:styleId="affffffffffffffffff2">
    <w:name w:val="右侧"/>
    <w:qFormat/>
    <w:pPr>
      <w:spacing w:line="280" w:lineRule="exact"/>
      <w:jc w:val="right"/>
    </w:pPr>
    <w:rPr>
      <w:rFonts w:ascii="宋体" w:hAnsi="宋体"/>
      <w:color w:val="000000"/>
      <w:sz w:val="18"/>
      <w:szCs w:val="18"/>
    </w:rPr>
  </w:style>
  <w:style w:type="paragraph" w:customStyle="1" w:styleId="affffffffffffffffff3">
    <w:name w:val="行左"/>
    <w:basedOn w:val="a"/>
    <w:qFormat/>
    <w:pPr>
      <w:spacing w:line="360" w:lineRule="auto"/>
      <w:ind w:firstLineChars="200" w:firstLine="480"/>
      <w:jc w:val="left"/>
    </w:pPr>
    <w:rPr>
      <w:rFonts w:ascii="仿宋_GB2312" w:eastAsia="仿宋_GB2312"/>
      <w:color w:val="000000"/>
      <w:position w:val="-32"/>
      <w:szCs w:val="24"/>
    </w:rPr>
  </w:style>
  <w:style w:type="paragraph" w:customStyle="1" w:styleId="5f">
    <w:name w:val="右5"/>
    <w:basedOn w:val="a"/>
    <w:qFormat/>
    <w:pPr>
      <w:adjustRightInd w:val="0"/>
      <w:snapToGrid w:val="0"/>
      <w:spacing w:line="360" w:lineRule="auto"/>
      <w:ind w:left="42"/>
      <w:jc w:val="right"/>
    </w:pPr>
    <w:rPr>
      <w:color w:val="000080"/>
      <w:kern w:val="28"/>
      <w:sz w:val="18"/>
      <w:szCs w:val="18"/>
    </w:rPr>
  </w:style>
  <w:style w:type="paragraph" w:customStyle="1" w:styleId="affffffffffffffffff4">
    <w:name w:val="左五"/>
    <w:basedOn w:val="a"/>
    <w:qFormat/>
    <w:pPr>
      <w:adjustRightInd w:val="0"/>
      <w:snapToGrid w:val="0"/>
      <w:spacing w:line="280" w:lineRule="atLeast"/>
      <w:ind w:left="42" w:firstLine="441"/>
      <w:jc w:val="left"/>
    </w:pPr>
    <w:rPr>
      <w:rFonts w:hAnsi="Symusic" w:hint="eastAsia"/>
      <w:color w:val="000000"/>
      <w:sz w:val="18"/>
      <w:szCs w:val="24"/>
    </w:rPr>
  </w:style>
  <w:style w:type="paragraph" w:customStyle="1" w:styleId="affffffffffffffffff5">
    <w:name w:val="右五"/>
    <w:basedOn w:val="a"/>
    <w:next w:val="a"/>
    <w:qFormat/>
    <w:pPr>
      <w:spacing w:line="280" w:lineRule="exact"/>
      <w:ind w:left="42" w:rightChars="58" w:right="139"/>
      <w:jc w:val="right"/>
    </w:pPr>
    <w:rPr>
      <w:rFonts w:hAnsi="Symusic"/>
      <w:color w:val="000000"/>
      <w:sz w:val="18"/>
      <w:lang w:bidi="he-IL"/>
    </w:rPr>
  </w:style>
  <w:style w:type="paragraph" w:customStyle="1" w:styleId="affffffffffffffffff6">
    <w:name w:val="表后空行"/>
    <w:basedOn w:val="a"/>
    <w:qFormat/>
    <w:pPr>
      <w:overflowPunct w:val="0"/>
      <w:adjustRightInd w:val="0"/>
      <w:textAlignment w:val="baseline"/>
    </w:pPr>
    <w:rPr>
      <w:rFonts w:ascii="Times New Roman" w:hAnsi="Times New Roman"/>
      <w:kern w:val="28"/>
      <w:sz w:val="10"/>
    </w:rPr>
  </w:style>
  <w:style w:type="character" w:customStyle="1" w:styleId="nfont6">
    <w:name w:val="nfont6"/>
    <w:qFormat/>
    <w:rPr>
      <w:rFonts w:hint="default"/>
      <w:color w:val="FF0000"/>
      <w:sz w:val="27"/>
      <w:szCs w:val="27"/>
    </w:rPr>
  </w:style>
  <w:style w:type="paragraph" w:customStyle="1" w:styleId="1fff9">
    <w:name w:val="标题样式1"/>
    <w:basedOn w:val="af7"/>
    <w:qFormat/>
    <w:pPr>
      <w:spacing w:line="360" w:lineRule="atLeast"/>
      <w:jc w:val="center"/>
      <w:textAlignment w:val="baseline"/>
    </w:pPr>
    <w:rPr>
      <w:rFonts w:ascii="Times New Roman" w:eastAsia="宋体" w:hAnsi="Times New Roman"/>
      <w:b/>
      <w:bCs/>
      <w:snapToGrid w:val="0"/>
      <w:color w:val="auto"/>
      <w:kern w:val="0"/>
      <w:sz w:val="24"/>
    </w:rPr>
  </w:style>
  <w:style w:type="paragraph" w:customStyle="1" w:styleId="3fd">
    <w:name w:val="标题样式3"/>
    <w:basedOn w:val="3"/>
    <w:qFormat/>
    <w:pPr>
      <w:keepNext w:val="0"/>
      <w:keepLines w:val="0"/>
      <w:spacing w:before="0" w:after="0" w:line="400" w:lineRule="atLeast"/>
      <w:ind w:firstLine="510"/>
    </w:pPr>
    <w:rPr>
      <w:rFonts w:ascii="Times New Roman" w:eastAsia="黑体" w:hAnsi="Times New Roman"/>
      <w:b w:val="0"/>
      <w:snapToGrid w:val="0"/>
      <w:sz w:val="24"/>
    </w:rPr>
  </w:style>
  <w:style w:type="paragraph" w:customStyle="1" w:styleId="2fffa">
    <w:name w:val="正文样式2"/>
    <w:basedOn w:val="a"/>
    <w:next w:val="3f6"/>
    <w:qFormat/>
    <w:pPr>
      <w:keepNext/>
      <w:adjustRightInd w:val="0"/>
      <w:spacing w:line="480" w:lineRule="atLeast"/>
      <w:ind w:firstLine="567"/>
      <w:textAlignment w:val="baseline"/>
    </w:pPr>
    <w:rPr>
      <w:rFonts w:ascii="黑体" w:eastAsia="黑体" w:hAnsi="Times New Roman"/>
      <w:kern w:val="0"/>
      <w:sz w:val="28"/>
    </w:rPr>
  </w:style>
  <w:style w:type="paragraph" w:customStyle="1" w:styleId="216">
    <w:name w:val="正文文本缩进 21"/>
    <w:basedOn w:val="a"/>
    <w:qFormat/>
    <w:pPr>
      <w:adjustRightInd w:val="0"/>
      <w:spacing w:line="360" w:lineRule="atLeast"/>
      <w:ind w:firstLine="425"/>
      <w:jc w:val="left"/>
      <w:textAlignment w:val="baseline"/>
    </w:pPr>
    <w:rPr>
      <w:rFonts w:hAnsi="Times New Roman"/>
      <w:spacing w:val="20"/>
      <w:kern w:val="0"/>
    </w:rPr>
  </w:style>
  <w:style w:type="character" w:customStyle="1" w:styleId="unnamed21">
    <w:name w:val="unnamed21"/>
    <w:qFormat/>
    <w:rPr>
      <w:color w:val="330000"/>
      <w:sz w:val="21"/>
      <w:szCs w:val="21"/>
      <w:u w:val="none"/>
    </w:rPr>
  </w:style>
  <w:style w:type="character" w:customStyle="1" w:styleId="line31">
    <w:name w:val="line31"/>
    <w:qFormat/>
    <w:rPr>
      <w:color w:val="993333"/>
    </w:rPr>
  </w:style>
  <w:style w:type="character" w:customStyle="1" w:styleId="line41">
    <w:name w:val="line41"/>
    <w:qFormat/>
  </w:style>
  <w:style w:type="paragraph" w:customStyle="1" w:styleId="affffffffffffffffff7">
    <w:name w:val="段"/>
    <w:qFormat/>
    <w:pPr>
      <w:autoSpaceDE w:val="0"/>
      <w:autoSpaceDN w:val="0"/>
      <w:ind w:firstLineChars="200" w:firstLine="200"/>
      <w:jc w:val="both"/>
    </w:pPr>
    <w:rPr>
      <w:rFonts w:ascii="宋体"/>
      <w:sz w:val="21"/>
    </w:rPr>
  </w:style>
  <w:style w:type="paragraph" w:customStyle="1" w:styleId="affffffffffffffffff8">
    <w:name w:val="数字编号列项（二级）"/>
    <w:qFormat/>
    <w:pPr>
      <w:ind w:leftChars="400" w:left="1260" w:hangingChars="200" w:hanging="420"/>
      <w:jc w:val="both"/>
    </w:pPr>
    <w:rPr>
      <w:rFonts w:ascii="宋体"/>
      <w:sz w:val="21"/>
    </w:rPr>
  </w:style>
  <w:style w:type="paragraph" w:customStyle="1" w:styleId="affffffffffffffffff9">
    <w:name w:val="注："/>
    <w:next w:val="affffffffffffffffff7"/>
    <w:qFormat/>
    <w:pPr>
      <w:widowControl w:val="0"/>
      <w:tabs>
        <w:tab w:val="left" w:pos="995"/>
      </w:tabs>
      <w:autoSpaceDE w:val="0"/>
      <w:autoSpaceDN w:val="0"/>
      <w:ind w:left="995" w:hanging="435"/>
      <w:jc w:val="both"/>
    </w:pPr>
    <w:rPr>
      <w:rFonts w:ascii="宋体"/>
      <w:sz w:val="18"/>
    </w:rPr>
  </w:style>
  <w:style w:type="paragraph" w:customStyle="1" w:styleId="affffffffffffffffffa">
    <w:name w:val="正文（首行缩进）"/>
    <w:basedOn w:val="a"/>
    <w:qFormat/>
    <w:pPr>
      <w:widowControl/>
      <w:spacing w:line="360" w:lineRule="auto"/>
      <w:ind w:firstLineChars="200" w:firstLine="480"/>
      <w:jc w:val="left"/>
    </w:pPr>
    <w:rPr>
      <w:color w:val="000000"/>
    </w:rPr>
  </w:style>
  <w:style w:type="paragraph" w:customStyle="1" w:styleId="2200">
    <w:name w:val="标题 2 + 行距: 标题2+首行缩进 0倍"/>
    <w:basedOn w:val="2"/>
    <w:qFormat/>
    <w:pPr>
      <w:tabs>
        <w:tab w:val="left" w:pos="8140"/>
      </w:tabs>
      <w:spacing w:before="0" w:after="0" w:line="360" w:lineRule="auto"/>
    </w:pPr>
    <w:rPr>
      <w:rFonts w:ascii="黑体" w:hAnsi="Times New Roman"/>
      <w:kern w:val="0"/>
      <w:sz w:val="30"/>
    </w:rPr>
  </w:style>
  <w:style w:type="paragraph" w:customStyle="1" w:styleId="75">
    <w:name w:val="7"/>
    <w:basedOn w:val="a"/>
    <w:next w:val="24"/>
    <w:qFormat/>
    <w:pPr>
      <w:spacing w:line="360" w:lineRule="auto"/>
      <w:ind w:firstLineChars="200" w:firstLine="480"/>
    </w:pPr>
    <w:rPr>
      <w:rFonts w:hAnsi="Times New Roman"/>
      <w:szCs w:val="24"/>
    </w:rPr>
  </w:style>
  <w:style w:type="paragraph" w:customStyle="1" w:styleId="3fe">
    <w:name w:val="样式 正文文本缩进 3 + 小四"/>
    <w:basedOn w:val="38"/>
    <w:qFormat/>
    <w:pPr>
      <w:spacing w:after="0"/>
      <w:ind w:leftChars="0" w:left="0"/>
    </w:pPr>
    <w:rPr>
      <w:rFonts w:ascii="Times New Roman" w:hAnsi="Times New Roman"/>
      <w:w w:val="90"/>
      <w:sz w:val="24"/>
      <w:szCs w:val="16"/>
    </w:rPr>
  </w:style>
  <w:style w:type="paragraph" w:customStyle="1" w:styleId="319">
    <w:name w:val="样式 正文文本缩进 3 + 行距: 固定值 19 磅"/>
    <w:basedOn w:val="38"/>
    <w:qFormat/>
    <w:pPr>
      <w:spacing w:line="380" w:lineRule="exact"/>
      <w:ind w:leftChars="0" w:left="0"/>
      <w:jc w:val="center"/>
    </w:pPr>
    <w:rPr>
      <w:rFonts w:ascii="Times New Roman" w:hAnsi="Times New Roman" w:cs="宋体"/>
    </w:rPr>
  </w:style>
  <w:style w:type="character" w:customStyle="1" w:styleId="affffffffffffffffffb">
    <w:name w:val="样式 小四"/>
    <w:qFormat/>
    <w:rPr>
      <w:color w:val="000080"/>
      <w:sz w:val="24"/>
    </w:rPr>
  </w:style>
  <w:style w:type="character" w:customStyle="1" w:styleId="CharCharCharCharCharChar0">
    <w:name w:val="正文（首行缩进两字） Char Char Char Char Char Char"/>
    <w:qFormat/>
    <w:rPr>
      <w:rFonts w:eastAsia="宋体"/>
      <w:kern w:val="2"/>
      <w:sz w:val="30"/>
      <w:lang w:val="en-US" w:eastAsia="zh-CN" w:bidi="ar-SA"/>
    </w:rPr>
  </w:style>
  <w:style w:type="character" w:customStyle="1" w:styleId="mainfirst1">
    <w:name w:val="mainfirst1"/>
    <w:qFormat/>
    <w:rPr>
      <w:b/>
      <w:bCs/>
      <w:color w:val="FF0000"/>
      <w:sz w:val="36"/>
      <w:szCs w:val="36"/>
    </w:rPr>
  </w:style>
  <w:style w:type="character" w:customStyle="1" w:styleId="CharCharCharCharCharCCharCharCharCharCharCharChar">
    <w:name w:val="普通文字 Char Char Char Char Char C Char Char Char Char Char Char Char"/>
    <w:qFormat/>
    <w:rPr>
      <w:rFonts w:ascii="宋体" w:eastAsia="宋体" w:hAnsi="Courier New"/>
      <w:kern w:val="2"/>
      <w:sz w:val="28"/>
      <w:lang w:val="en-US" w:eastAsia="zh-CN" w:bidi="ar-SA"/>
    </w:rPr>
  </w:style>
  <w:style w:type="character" w:customStyle="1" w:styleId="redfont">
    <w:name w:val="redfont"/>
    <w:basedOn w:val="a0"/>
    <w:qFormat/>
  </w:style>
  <w:style w:type="paragraph" w:customStyle="1" w:styleId="affffffffffffffffffc">
    <w:name w:val="图表名"/>
    <w:basedOn w:val="a"/>
    <w:qFormat/>
    <w:pPr>
      <w:adjustRightInd w:val="0"/>
      <w:snapToGrid w:val="0"/>
      <w:spacing w:line="360" w:lineRule="auto"/>
      <w:jc w:val="center"/>
    </w:pPr>
    <w:rPr>
      <w:rFonts w:ascii="Times New Roman" w:eastAsia="黑体" w:hAnsi="Times New Roman"/>
      <w:snapToGrid w:val="0"/>
      <w:color w:val="000000"/>
      <w:kern w:val="0"/>
      <w:sz w:val="28"/>
      <w:szCs w:val="28"/>
    </w:rPr>
  </w:style>
  <w:style w:type="paragraph" w:customStyle="1" w:styleId="affffffffffffffffffd">
    <w:name w:val="样式 样式 表格 + (符号) 宋体 五号 居中 + 小五"/>
    <w:basedOn w:val="a"/>
    <w:qFormat/>
    <w:pPr>
      <w:kinsoku w:val="0"/>
      <w:overflowPunct w:val="0"/>
      <w:adjustRightInd w:val="0"/>
      <w:snapToGrid w:val="0"/>
      <w:jc w:val="center"/>
    </w:pPr>
    <w:rPr>
      <w:rFonts w:ascii="Times New Roman" w:hAnsi="Times New Roman"/>
      <w:snapToGrid w:val="0"/>
      <w:kern w:val="0"/>
      <w:sz w:val="18"/>
      <w:szCs w:val="21"/>
    </w:rPr>
  </w:style>
  <w:style w:type="paragraph" w:customStyle="1" w:styleId="affffffffffffffffffe">
    <w:name w:val="样式 表格 + 居中"/>
    <w:basedOn w:val="a"/>
    <w:qFormat/>
    <w:pPr>
      <w:kinsoku w:val="0"/>
      <w:overflowPunct w:val="0"/>
      <w:adjustRightInd w:val="0"/>
      <w:snapToGrid w:val="0"/>
      <w:jc w:val="center"/>
    </w:pPr>
    <w:rPr>
      <w:rFonts w:ascii="Times New Roman" w:hAnsi="Times New Roman"/>
      <w:snapToGrid w:val="0"/>
      <w:color w:val="000000"/>
      <w:kern w:val="0"/>
      <w:szCs w:val="24"/>
    </w:rPr>
  </w:style>
  <w:style w:type="paragraph" w:customStyle="1" w:styleId="17878125">
    <w:name w:val="样式 标题 1 + (中文) 黑体 四号 段前: 7.8 磅 段后: 7.8 磅 行距: 多倍行距 1.25 字行"/>
    <w:basedOn w:val="1"/>
    <w:qFormat/>
    <w:pPr>
      <w:spacing w:before="156" w:after="156" w:line="480" w:lineRule="auto"/>
      <w:ind w:firstLine="1800"/>
    </w:pPr>
    <w:rPr>
      <w:rFonts w:ascii="Times New Roman" w:eastAsia="黑体" w:hAnsi="Times New Roman"/>
      <w:bCs/>
      <w:color w:val="000000"/>
      <w:sz w:val="30"/>
      <w:szCs w:val="30"/>
    </w:rPr>
  </w:style>
  <w:style w:type="paragraph" w:customStyle="1" w:styleId="26CharChar">
    <w:name w:val="样式 (符号) 宋体 小四 行距: 固定值 26 磅 Char Char"/>
    <w:basedOn w:val="a"/>
    <w:link w:val="26CharCharChar"/>
    <w:qFormat/>
    <w:pPr>
      <w:spacing w:line="360" w:lineRule="auto"/>
      <w:ind w:firstLineChars="200" w:firstLine="480"/>
    </w:pPr>
    <w:rPr>
      <w:rFonts w:ascii="Times New Roman" w:cs="宋体"/>
      <w:color w:val="000000"/>
      <w:sz w:val="28"/>
      <w:szCs w:val="28"/>
    </w:rPr>
  </w:style>
  <w:style w:type="character" w:customStyle="1" w:styleId="26CharCharChar">
    <w:name w:val="样式 (符号) 宋体 小四 行距: 固定值 26 磅 Char Char Char"/>
    <w:link w:val="26CharChar"/>
    <w:qFormat/>
    <w:rPr>
      <w:rFonts w:hAnsi="宋体" w:cs="宋体"/>
      <w:color w:val="000000"/>
      <w:kern w:val="2"/>
      <w:sz w:val="28"/>
      <w:szCs w:val="28"/>
    </w:rPr>
  </w:style>
  <w:style w:type="paragraph" w:customStyle="1" w:styleId="3CharChar0">
    <w:name w:val="样式 标题 3 + 宋体 Char Char"/>
    <w:basedOn w:val="3"/>
    <w:link w:val="3CharCharChar"/>
    <w:qFormat/>
    <w:pPr>
      <w:spacing w:before="200" w:after="0" w:line="420" w:lineRule="auto"/>
    </w:pPr>
    <w:rPr>
      <w:rFonts w:ascii="Times New Roman" w:hAnsi="Times New Roman"/>
      <w:bCs/>
      <w:szCs w:val="32"/>
    </w:rPr>
  </w:style>
  <w:style w:type="character" w:customStyle="1" w:styleId="3CharCharChar">
    <w:name w:val="样式 标题 3 + 宋体 Char Char Char"/>
    <w:link w:val="3CharChar0"/>
    <w:qFormat/>
    <w:rPr>
      <w:b/>
      <w:bCs/>
      <w:kern w:val="2"/>
      <w:sz w:val="32"/>
      <w:szCs w:val="32"/>
    </w:rPr>
  </w:style>
  <w:style w:type="paragraph" w:customStyle="1" w:styleId="afffffffffffffffffff">
    <w:name w:val="图表标题"/>
    <w:basedOn w:val="a"/>
    <w:link w:val="Charffff4"/>
    <w:qFormat/>
    <w:pPr>
      <w:widowControl/>
      <w:spacing w:line="260" w:lineRule="exact"/>
      <w:jc w:val="left"/>
    </w:pPr>
    <w:rPr>
      <w:rFonts w:ascii="Times New Roman" w:eastAsia="黑体" w:hAnsi="Times New Roman"/>
      <w:bCs/>
      <w:spacing w:val="-10"/>
      <w:kern w:val="0"/>
      <w:szCs w:val="24"/>
    </w:rPr>
  </w:style>
  <w:style w:type="paragraph" w:customStyle="1" w:styleId="afffffffffffffffffff0">
    <w:name w:val="样式 图表标题 + 两端对齐"/>
    <w:basedOn w:val="afffffffffffffffffff"/>
    <w:qFormat/>
    <w:pPr>
      <w:jc w:val="both"/>
    </w:pPr>
    <w:rPr>
      <w:bCs w:val="0"/>
    </w:rPr>
  </w:style>
  <w:style w:type="paragraph" w:customStyle="1" w:styleId="afffffffffffffffffff1">
    <w:name w:val="图例"/>
    <w:basedOn w:val="a"/>
    <w:qFormat/>
    <w:pPr>
      <w:spacing w:before="240" w:after="120"/>
      <w:jc w:val="center"/>
    </w:pPr>
    <w:rPr>
      <w:rFonts w:ascii="Times New Roman" w:eastAsia="楷体_GB2312" w:hAnsi="Times New Roman"/>
      <w:sz w:val="28"/>
      <w:szCs w:val="24"/>
    </w:rPr>
  </w:style>
  <w:style w:type="character" w:customStyle="1" w:styleId="a10">
    <w:name w:val="a1"/>
    <w:qFormat/>
    <w:rPr>
      <w:rFonts w:ascii="宋体" w:eastAsia="宋体" w:hAnsi="宋体" w:hint="eastAsia"/>
      <w:color w:val="000000"/>
      <w:sz w:val="18"/>
      <w:szCs w:val="18"/>
    </w:rPr>
  </w:style>
  <w:style w:type="paragraph" w:customStyle="1" w:styleId="HD3">
    <w:name w:val="HD3"/>
    <w:basedOn w:val="a"/>
    <w:qFormat/>
    <w:pPr>
      <w:keepNext/>
      <w:keepLines/>
      <w:spacing w:before="120" w:after="120" w:line="480" w:lineRule="exact"/>
      <w:outlineLvl w:val="4"/>
    </w:pPr>
    <w:rPr>
      <w:rFonts w:ascii="Times New Roman" w:hAnsi="Times New Roman"/>
      <w:b/>
      <w:sz w:val="28"/>
    </w:rPr>
  </w:style>
  <w:style w:type="paragraph" w:customStyle="1" w:styleId="HD4">
    <w:name w:val="HD4"/>
    <w:basedOn w:val="a"/>
    <w:qFormat/>
    <w:pPr>
      <w:spacing w:before="240" w:after="120" w:line="520" w:lineRule="exact"/>
    </w:pPr>
    <w:rPr>
      <w:rFonts w:ascii="Times New Roman" w:hAnsi="Times New Roman"/>
      <w:b/>
      <w:sz w:val="28"/>
    </w:rPr>
  </w:style>
  <w:style w:type="paragraph" w:customStyle="1" w:styleId="HD2">
    <w:name w:val="HD2"/>
    <w:basedOn w:val="a"/>
    <w:qFormat/>
    <w:pPr>
      <w:spacing w:before="240" w:after="240"/>
    </w:pPr>
    <w:rPr>
      <w:rFonts w:ascii="Times New Roman" w:eastAsia="楷体_GB2312" w:hAnsi="Times New Roman"/>
      <w:b/>
      <w:sz w:val="32"/>
    </w:rPr>
  </w:style>
  <w:style w:type="paragraph" w:customStyle="1" w:styleId="HD1">
    <w:name w:val="HD1"/>
    <w:basedOn w:val="1"/>
    <w:qFormat/>
    <w:pPr>
      <w:spacing w:before="240" w:after="240" w:line="480" w:lineRule="exact"/>
      <w:jc w:val="center"/>
    </w:pPr>
    <w:rPr>
      <w:rFonts w:ascii="Times New Roman" w:eastAsia="黑体" w:hAnsi="Times New Roman"/>
      <w:b w:val="0"/>
      <w:sz w:val="32"/>
    </w:rPr>
  </w:style>
  <w:style w:type="character" w:customStyle="1" w:styleId="bb">
    <w:name w:val="bb"/>
    <w:basedOn w:val="a0"/>
    <w:qFormat/>
  </w:style>
  <w:style w:type="paragraph" w:customStyle="1" w:styleId="124">
    <w:name w:val="样式 标题 1 + 首行缩进:  2 字符"/>
    <w:basedOn w:val="1"/>
    <w:qFormat/>
    <w:pPr>
      <w:keepLines w:val="0"/>
      <w:tabs>
        <w:tab w:val="left" w:pos="1152"/>
      </w:tabs>
      <w:spacing w:before="0" w:after="0" w:line="500" w:lineRule="exact"/>
      <w:jc w:val="left"/>
    </w:pPr>
    <w:rPr>
      <w:rFonts w:ascii="Times New Roman" w:hAnsi="Times New Roman"/>
      <w:b w:val="0"/>
      <w:kern w:val="2"/>
      <w:sz w:val="30"/>
      <w:szCs w:val="30"/>
    </w:rPr>
  </w:style>
  <w:style w:type="paragraph" w:customStyle="1" w:styleId="260">
    <w:name w:val="样式 (符号) 宋体 小四 行距: 固定值 26 磅"/>
    <w:basedOn w:val="a"/>
    <w:qFormat/>
    <w:pPr>
      <w:widowControl/>
      <w:spacing w:line="280" w:lineRule="exact"/>
    </w:pPr>
    <w:rPr>
      <w:rFonts w:ascii="Times New Roman" w:hAnsi="Times New Roman"/>
      <w:bCs/>
      <w:spacing w:val="-8"/>
      <w:kern w:val="0"/>
      <w:sz w:val="18"/>
      <w:szCs w:val="18"/>
    </w:rPr>
  </w:style>
  <w:style w:type="paragraph" w:customStyle="1" w:styleId="3ff">
    <w:name w:val="样式 标题 3 + 宋体"/>
    <w:basedOn w:val="3"/>
    <w:qFormat/>
    <w:pPr>
      <w:spacing w:before="200" w:after="0" w:line="360" w:lineRule="auto"/>
    </w:pPr>
    <w:rPr>
      <w:rFonts w:ascii="Times New Roman" w:eastAsia="黑体" w:hAnsi="Times New Roman"/>
      <w:b w:val="0"/>
      <w:color w:val="000000"/>
      <w:sz w:val="28"/>
      <w:szCs w:val="28"/>
    </w:rPr>
  </w:style>
  <w:style w:type="paragraph" w:customStyle="1" w:styleId="200101">
    <w:name w:val="样式 样式 标题 2 + 首行缩进： 0磅 + + 段前: 0.1 行 段后: 0.1 行"/>
    <w:basedOn w:val="a"/>
    <w:qFormat/>
    <w:pPr>
      <w:keepNext/>
      <w:keepLines/>
      <w:tabs>
        <w:tab w:val="left" w:pos="8140"/>
      </w:tabs>
      <w:spacing w:beforeLines="10" w:afterLines="10" w:line="560" w:lineRule="exact"/>
      <w:jc w:val="left"/>
      <w:outlineLvl w:val="1"/>
    </w:pPr>
    <w:rPr>
      <w:rFonts w:eastAsia="黑体" w:cs="宋体"/>
      <w:color w:val="000000"/>
      <w:sz w:val="30"/>
    </w:rPr>
  </w:style>
  <w:style w:type="paragraph" w:customStyle="1" w:styleId="11H1h11stlevelSectionHeadl1H11H12A2">
    <w:name w:val="样式 样式 标题 1标题1章节H1一、h11st levelSection Headl1H11H12第A章第*...2 + 加粗..."/>
    <w:basedOn w:val="a"/>
    <w:qFormat/>
    <w:pPr>
      <w:keepNext/>
      <w:keepLines/>
      <w:spacing w:before="240" w:after="240" w:line="520" w:lineRule="exact"/>
      <w:outlineLvl w:val="0"/>
    </w:pPr>
    <w:rPr>
      <w:rFonts w:eastAsia="黑体" w:cs="宋体"/>
      <w:b/>
      <w:bCs/>
      <w:color w:val="000000"/>
      <w:sz w:val="32"/>
    </w:rPr>
  </w:style>
  <w:style w:type="paragraph" w:customStyle="1" w:styleId="230">
    <w:name w:val="样式 首行缩进:  2 字符3"/>
    <w:basedOn w:val="a"/>
    <w:qFormat/>
    <w:pPr>
      <w:ind w:firstLineChars="200" w:firstLine="567"/>
    </w:pPr>
    <w:rPr>
      <w:rFonts w:ascii="Times New Roman" w:hAnsi="Times New Roman" w:cs="宋体"/>
      <w:szCs w:val="24"/>
    </w:rPr>
  </w:style>
  <w:style w:type="paragraph" w:customStyle="1" w:styleId="2230">
    <w:name w:val="样式 首行缩进:  2 字符 行距: 固定值 23 磅"/>
    <w:basedOn w:val="a"/>
    <w:qFormat/>
    <w:pPr>
      <w:spacing w:line="460" w:lineRule="exact"/>
      <w:ind w:firstLineChars="200" w:firstLine="648"/>
    </w:pPr>
    <w:rPr>
      <w:rFonts w:ascii="Times New Roman" w:hAnsi="Times New Roman" w:cs="宋体"/>
      <w:szCs w:val="24"/>
    </w:rPr>
  </w:style>
  <w:style w:type="character" w:customStyle="1" w:styleId="k1">
    <w:name w:val="k1"/>
    <w:basedOn w:val="a0"/>
    <w:qFormat/>
  </w:style>
  <w:style w:type="paragraph" w:customStyle="1" w:styleId="afffffffffffffffffff2">
    <w:name w:val="普通段落文字"/>
    <w:basedOn w:val="a"/>
    <w:qFormat/>
    <w:pPr>
      <w:adjustRightInd w:val="0"/>
      <w:snapToGrid w:val="0"/>
      <w:spacing w:line="300" w:lineRule="auto"/>
      <w:ind w:firstLineChars="200" w:firstLine="567"/>
    </w:pPr>
    <w:rPr>
      <w:sz w:val="28"/>
      <w:szCs w:val="28"/>
    </w:rPr>
  </w:style>
  <w:style w:type="character" w:customStyle="1" w:styleId="unnamed11">
    <w:name w:val="unnamed11"/>
    <w:qFormat/>
    <w:rPr>
      <w:color w:val="000033"/>
      <w:sz w:val="21"/>
      <w:szCs w:val="21"/>
    </w:rPr>
  </w:style>
  <w:style w:type="paragraph" w:customStyle="1" w:styleId="afffffffffffffffffff3">
    <w:name w:val="封面落款"/>
    <w:basedOn w:val="a"/>
    <w:next w:val="a"/>
    <w:qFormat/>
    <w:pPr>
      <w:jc w:val="center"/>
    </w:pPr>
    <w:rPr>
      <w:rFonts w:hAnsi="Times New Roman"/>
      <w:sz w:val="32"/>
      <w:szCs w:val="28"/>
    </w:rPr>
  </w:style>
  <w:style w:type="paragraph" w:customStyle="1" w:styleId="3ff0">
    <w:name w:val="样式 标题 3 + 黑色"/>
    <w:basedOn w:val="3"/>
    <w:qFormat/>
    <w:pPr>
      <w:spacing w:before="100" w:after="100" w:line="240" w:lineRule="auto"/>
    </w:pPr>
    <w:rPr>
      <w:rFonts w:ascii="Times New Roman" w:hAnsi="Times New Roman"/>
      <w:color w:val="000000"/>
      <w:sz w:val="24"/>
      <w:szCs w:val="24"/>
    </w:rPr>
  </w:style>
  <w:style w:type="paragraph" w:customStyle="1" w:styleId="afffffffffffffffffff4">
    <w:name w:val="基准标题"/>
    <w:basedOn w:val="af7"/>
    <w:next w:val="af7"/>
    <w:qFormat/>
    <w:pPr>
      <w:adjustRightInd/>
      <w:snapToGrid/>
      <w:spacing w:line="280" w:lineRule="exact"/>
      <w:outlineLvl w:val="0"/>
    </w:pPr>
    <w:rPr>
      <w:rFonts w:ascii="宋体" w:eastAsia="宋体"/>
      <w:bCs/>
      <w:color w:val="auto"/>
      <w:spacing w:val="-10"/>
      <w:sz w:val="18"/>
      <w:szCs w:val="24"/>
    </w:rPr>
  </w:style>
  <w:style w:type="paragraph" w:customStyle="1" w:styleId="afffffffffffffffffff5">
    <w:name w:val="加粗正文"/>
    <w:basedOn w:val="a"/>
    <w:next w:val="afd"/>
    <w:qFormat/>
    <w:rPr>
      <w:rFonts w:hAnsi="Courier New" w:cs="Courier New"/>
      <w:sz w:val="21"/>
      <w:szCs w:val="21"/>
    </w:rPr>
  </w:style>
  <w:style w:type="paragraph" w:customStyle="1" w:styleId="2fffb">
    <w:name w:val="样式 正文首行缩进 + 首行缩进:  2 字符"/>
    <w:basedOn w:val="afff9"/>
    <w:qFormat/>
    <w:pPr>
      <w:tabs>
        <w:tab w:val="left" w:pos="7020"/>
      </w:tabs>
      <w:adjustRightInd w:val="0"/>
      <w:snapToGrid w:val="0"/>
      <w:spacing w:after="0"/>
      <w:ind w:firstLineChars="0" w:firstLine="0"/>
      <w:jc w:val="center"/>
      <w:textAlignment w:val="center"/>
    </w:pPr>
    <w:rPr>
      <w:rFonts w:hAnsi="Times New Roman"/>
      <w:snapToGrid w:val="0"/>
      <w:spacing w:val="-6"/>
      <w:kern w:val="0"/>
      <w:szCs w:val="21"/>
    </w:rPr>
  </w:style>
  <w:style w:type="paragraph" w:customStyle="1" w:styleId="160">
    <w:name w:val="16"/>
    <w:basedOn w:val="a"/>
    <w:qFormat/>
    <w:rPr>
      <w:rFonts w:ascii="Times New Roman" w:hAnsi="Times New Roman"/>
      <w:sz w:val="21"/>
      <w:szCs w:val="24"/>
    </w:rPr>
  </w:style>
  <w:style w:type="paragraph" w:customStyle="1" w:styleId="155">
    <w:name w:val="样式 宋体 四号 行距: 1.5 倍行距"/>
    <w:basedOn w:val="a"/>
    <w:qFormat/>
    <w:pPr>
      <w:spacing w:line="360" w:lineRule="auto"/>
      <w:ind w:right="-169" w:firstLine="482"/>
    </w:pPr>
    <w:rPr>
      <w:rFonts w:hAnsi="Times New Roman"/>
      <w:b/>
    </w:rPr>
  </w:style>
  <w:style w:type="paragraph" w:customStyle="1" w:styleId="3111BSH-3W3GB2312">
    <w:name w:val="样式 标题 3条标题1.1.1条标题BSH-3W3 + 仿宋_GB2312 非加粗"/>
    <w:basedOn w:val="3"/>
    <w:qFormat/>
    <w:pPr>
      <w:tabs>
        <w:tab w:val="left" w:pos="578"/>
      </w:tabs>
      <w:adjustRightInd w:val="0"/>
      <w:snapToGrid w:val="0"/>
      <w:spacing w:before="0" w:after="0" w:line="360" w:lineRule="auto"/>
    </w:pPr>
    <w:rPr>
      <w:rFonts w:ascii="仿宋_GB2312" w:eastAsia="仿宋_GB2312" w:hAnsi="仿宋_GB2312" w:cs="Arial Unicode MS"/>
      <w:kern w:val="0"/>
      <w:sz w:val="28"/>
      <w:szCs w:val="32"/>
    </w:rPr>
  </w:style>
  <w:style w:type="paragraph" w:customStyle="1" w:styleId="1-0">
    <w:name w:val="1-正文"/>
    <w:basedOn w:val="a"/>
    <w:qFormat/>
    <w:pPr>
      <w:spacing w:line="360" w:lineRule="auto"/>
      <w:ind w:firstLineChars="200" w:firstLine="200"/>
    </w:pPr>
    <w:rPr>
      <w:szCs w:val="24"/>
    </w:rPr>
  </w:style>
  <w:style w:type="paragraph" w:customStyle="1" w:styleId="afffffffffffffffffff6">
    <w:name w:val="二级无标题条"/>
    <w:basedOn w:val="a"/>
    <w:qFormat/>
    <w:rPr>
      <w:rFonts w:ascii="Times New Roman" w:hAnsi="Times New Roman"/>
      <w:sz w:val="21"/>
      <w:szCs w:val="24"/>
    </w:rPr>
  </w:style>
  <w:style w:type="paragraph" w:customStyle="1" w:styleId="6CharCharCharCharCharChar1Char">
    <w:name w:val="6 Char Char Char Char Char Char1 Char"/>
    <w:basedOn w:val="a"/>
    <w:qFormat/>
    <w:rPr>
      <w:rFonts w:ascii="Times New Roman" w:hAnsi="Times New Roman"/>
      <w:sz w:val="21"/>
      <w:szCs w:val="24"/>
    </w:rPr>
  </w:style>
  <w:style w:type="character" w:customStyle="1" w:styleId="CharCharCharCharCharCharCharCharCharCharChar">
    <w:name w:val="普通文字 Char Char Char Char Char Char Char Char Char Char Char"/>
    <w:rPr>
      <w:rFonts w:ascii="宋体" w:eastAsia="宋体" w:hAnsi="Courier New"/>
      <w:kern w:val="2"/>
      <w:sz w:val="21"/>
      <w:lang w:val="en-US" w:eastAsia="zh-CN" w:bidi="ar-SA"/>
    </w:rPr>
  </w:style>
  <w:style w:type="paragraph" w:customStyle="1" w:styleId="CharCharChar1CharCharChar">
    <w:name w:val="Char Char Char1 Char Char Char"/>
    <w:basedOn w:val="a"/>
    <w:qFormat/>
    <w:rPr>
      <w:rFonts w:ascii="Times New Roman" w:hAnsi="Times New Roman"/>
      <w:sz w:val="21"/>
      <w:szCs w:val="24"/>
    </w:rPr>
  </w:style>
  <w:style w:type="paragraph" w:customStyle="1" w:styleId="5f0">
    <w:name w:val="表格文字5号"/>
    <w:basedOn w:val="a"/>
    <w:qFormat/>
    <w:pPr>
      <w:jc w:val="center"/>
    </w:pPr>
    <w:rPr>
      <w:rFonts w:hAnsi="Times New Roman"/>
      <w:sz w:val="21"/>
      <w:szCs w:val="24"/>
    </w:rPr>
  </w:style>
  <w:style w:type="paragraph" w:customStyle="1" w:styleId="5f1">
    <w:name w:val="表格5"/>
    <w:qFormat/>
    <w:pPr>
      <w:framePr w:hSpace="180" w:wrap="around" w:vAnchor="text" w:hAnchor="page" w:x="1277" w:y="305"/>
      <w:jc w:val="both"/>
    </w:pPr>
    <w:rPr>
      <w:rFonts w:ascii="宋体" w:hAnsi="宋体"/>
      <w:color w:val="000000"/>
      <w:sz w:val="24"/>
      <w:szCs w:val="24"/>
    </w:rPr>
  </w:style>
  <w:style w:type="paragraph" w:customStyle="1" w:styleId="CharCharChar1CharCharChar2">
    <w:name w:val="Char Char Char1 Char Char Char2"/>
    <w:basedOn w:val="a"/>
    <w:qFormat/>
    <w:rPr>
      <w:rFonts w:ascii="Times New Roman" w:hAnsi="Times New Roman"/>
      <w:sz w:val="21"/>
      <w:szCs w:val="21"/>
    </w:rPr>
  </w:style>
  <w:style w:type="paragraph" w:customStyle="1" w:styleId="520">
    <w:name w:val="样式 表格文字5号 + 首行缩进:  2 字符"/>
    <w:basedOn w:val="a"/>
    <w:qFormat/>
    <w:pPr>
      <w:jc w:val="center"/>
    </w:pPr>
    <w:rPr>
      <w:rFonts w:ascii="Times New Roman" w:hAnsi="Times New Roman"/>
      <w:color w:val="000000"/>
      <w:spacing w:val="-8"/>
      <w:kern w:val="0"/>
      <w:sz w:val="21"/>
      <w:szCs w:val="21"/>
      <w:u w:color="000000"/>
    </w:rPr>
  </w:style>
  <w:style w:type="paragraph" w:customStyle="1" w:styleId="301342405">
    <w:name w:val="样式 样式 样式 标题 3 + 黑体 小四 段前: 0 磅 段后: 13.4 磅 行距: 固定值 24 磅 + 段前: 0.5 ..."/>
    <w:basedOn w:val="a"/>
    <w:qFormat/>
    <w:pPr>
      <w:keepNext/>
      <w:keepLines/>
      <w:spacing w:beforeLines="50" w:after="240" w:line="480" w:lineRule="exact"/>
      <w:outlineLvl w:val="2"/>
    </w:pPr>
    <w:rPr>
      <w:rFonts w:ascii="黑体" w:cs="宋体"/>
      <w:b/>
      <w:bCs/>
      <w:kern w:val="0"/>
    </w:rPr>
  </w:style>
  <w:style w:type="paragraph" w:customStyle="1" w:styleId="dan7-1">
    <w:name w:val="dan7-1"/>
    <w:basedOn w:val="a"/>
    <w:link w:val="dan7-1Char"/>
    <w:qFormat/>
    <w:pPr>
      <w:spacing w:before="40" w:after="40" w:line="360" w:lineRule="auto"/>
      <w:ind w:firstLineChars="200" w:firstLine="200"/>
    </w:pPr>
    <w:rPr>
      <w:rFonts w:ascii="Times New Roman" w:hAnsi="Times New Roman"/>
      <w:szCs w:val="24"/>
    </w:rPr>
  </w:style>
  <w:style w:type="character" w:customStyle="1" w:styleId="dan7-1Char">
    <w:name w:val="dan7-1 Char"/>
    <w:link w:val="dan7-1"/>
    <w:qFormat/>
    <w:rPr>
      <w:kern w:val="2"/>
      <w:sz w:val="24"/>
      <w:szCs w:val="24"/>
    </w:rPr>
  </w:style>
  <w:style w:type="character" w:customStyle="1" w:styleId="l171">
    <w:name w:val="l171"/>
    <w:qFormat/>
    <w:rPr>
      <w:spacing w:val="408"/>
      <w:sz w:val="21"/>
      <w:szCs w:val="21"/>
    </w:rPr>
  </w:style>
  <w:style w:type="character" w:customStyle="1" w:styleId="neirong1">
    <w:name w:val="neirong1"/>
    <w:qFormat/>
    <w:rPr>
      <w:rFonts w:ascii="ˎ̥" w:eastAsia="宋体" w:hAnsi="ˎ̥" w:cs="宋体" w:hint="default"/>
      <w:kern w:val="2"/>
      <w:sz w:val="22"/>
      <w:szCs w:val="22"/>
      <w:lang w:val="en-US" w:eastAsia="zh-CN" w:bidi="ar-SA"/>
    </w:rPr>
  </w:style>
  <w:style w:type="character" w:customStyle="1" w:styleId="Char37">
    <w:name w:val="表头 Char3"/>
    <w:qFormat/>
    <w:rPr>
      <w:rFonts w:eastAsia="宋体"/>
      <w:b/>
      <w:bCs/>
      <w:kern w:val="32"/>
      <w:sz w:val="24"/>
      <w:szCs w:val="24"/>
      <w:lang w:val="en-US" w:eastAsia="zh-CN" w:bidi="ar-SA"/>
    </w:rPr>
  </w:style>
  <w:style w:type="character" w:customStyle="1" w:styleId="css-text3">
    <w:name w:val="css-text3"/>
    <w:qFormat/>
    <w:rPr>
      <w:rFonts w:cs="宋体"/>
      <w:kern w:val="2"/>
      <w:sz w:val="24"/>
      <w:szCs w:val="24"/>
      <w:lang w:val="en-US" w:eastAsia="zh-CN" w:bidi="ar-SA"/>
    </w:rPr>
  </w:style>
  <w:style w:type="character" w:customStyle="1" w:styleId="CharCharChar5">
    <w:name w:val="表文字 Char Char Char"/>
    <w:qFormat/>
    <w:rPr>
      <w:rFonts w:eastAsia="汉鼎简书宋"/>
      <w:kern w:val="2"/>
      <w:sz w:val="21"/>
      <w:szCs w:val="21"/>
      <w:lang w:val="en-US" w:eastAsia="zh-CN" w:bidi="ar-SA"/>
    </w:rPr>
  </w:style>
  <w:style w:type="character" w:customStyle="1" w:styleId="070411Char">
    <w:name w:val="070411正文样式 Char"/>
    <w:link w:val="070411"/>
    <w:qFormat/>
    <w:rPr>
      <w:spacing w:val="10"/>
      <w:kern w:val="2"/>
      <w:sz w:val="24"/>
      <w:szCs w:val="24"/>
    </w:rPr>
  </w:style>
  <w:style w:type="paragraph" w:customStyle="1" w:styleId="070411">
    <w:name w:val="070411正文样式"/>
    <w:basedOn w:val="a"/>
    <w:link w:val="070411Char"/>
    <w:qFormat/>
    <w:pPr>
      <w:tabs>
        <w:tab w:val="left" w:pos="6180"/>
      </w:tabs>
      <w:adjustRightInd w:val="0"/>
      <w:snapToGrid w:val="0"/>
      <w:spacing w:line="529" w:lineRule="exact"/>
      <w:ind w:firstLineChars="200" w:firstLine="520"/>
      <w:textAlignment w:val="center"/>
    </w:pPr>
    <w:rPr>
      <w:rFonts w:ascii="Times New Roman" w:hAnsi="Times New Roman"/>
      <w:spacing w:val="10"/>
      <w:szCs w:val="24"/>
    </w:rPr>
  </w:style>
  <w:style w:type="character" w:customStyle="1" w:styleId="afffffffffffffffffff7">
    <w:name w:val="链接"/>
    <w:qFormat/>
    <w:rPr>
      <w:rFonts w:ascii="Times New Roman" w:eastAsia="宋体"/>
      <w:color w:val="0000FF"/>
      <w:sz w:val="21"/>
      <w:u w:val="single" w:color="0000FF"/>
      <w:vertAlign w:val="baseline"/>
      <w:lang w:val="en-US" w:eastAsia="zh-CN"/>
    </w:rPr>
  </w:style>
  <w:style w:type="character" w:customStyle="1" w:styleId="21Char1">
    <w:name w:val="正文文字缩进 21 Char1"/>
    <w:qFormat/>
    <w:rPr>
      <w:rFonts w:eastAsia="宋体"/>
      <w:kern w:val="2"/>
      <w:sz w:val="24"/>
      <w:szCs w:val="24"/>
      <w:lang w:val="en-US" w:eastAsia="zh-CN" w:bidi="ar-SA"/>
    </w:rPr>
  </w:style>
  <w:style w:type="character" w:customStyle="1" w:styleId="GB2312Char0">
    <w:name w:val="样式 宁扬 + 仿宋_GB2312 Char"/>
    <w:qFormat/>
    <w:rPr>
      <w:rFonts w:ascii="仿宋_GB2312" w:eastAsia="仿宋_GB2312" w:hAnsi="仿宋_GB2312" w:cs="宋体"/>
      <w:kern w:val="2"/>
      <w:sz w:val="28"/>
      <w:szCs w:val="28"/>
      <w:lang w:val="en-US" w:eastAsia="zh-CN" w:bidi="ar-SA"/>
    </w:rPr>
  </w:style>
  <w:style w:type="character" w:customStyle="1" w:styleId="Char2Char">
    <w:name w:val="表号 Char2 Char"/>
    <w:qFormat/>
    <w:rPr>
      <w:rFonts w:eastAsia="宋体" w:cs="宋体"/>
      <w:kern w:val="2"/>
      <w:sz w:val="21"/>
      <w:szCs w:val="24"/>
      <w:lang w:val="en-US" w:eastAsia="zh-CN" w:bidi="ar-SA"/>
    </w:rPr>
  </w:style>
  <w:style w:type="character" w:customStyle="1" w:styleId="Charffff5">
    <w:name w:val="正式文本 Char"/>
    <w:link w:val="afffffffffffffffffff8"/>
    <w:rPr>
      <w:rFonts w:ascii="Arial Narrow" w:eastAsia="汉鼎简书宋" w:hAnsi="Arial Narrow"/>
      <w:kern w:val="2"/>
      <w:sz w:val="24"/>
      <w:szCs w:val="24"/>
    </w:rPr>
  </w:style>
  <w:style w:type="paragraph" w:customStyle="1" w:styleId="afffffffffffffffffff8">
    <w:name w:val="正式文本"/>
    <w:basedOn w:val="a"/>
    <w:link w:val="Charffff5"/>
    <w:qFormat/>
    <w:pPr>
      <w:spacing w:line="500" w:lineRule="exact"/>
      <w:ind w:firstLineChars="200" w:firstLine="200"/>
    </w:pPr>
    <w:rPr>
      <w:rFonts w:ascii="Arial Narrow" w:eastAsia="汉鼎简书宋" w:hAnsi="Arial Narrow"/>
      <w:szCs w:val="24"/>
    </w:rPr>
  </w:style>
  <w:style w:type="character" w:customStyle="1" w:styleId="style1">
    <w:name w:val="style1"/>
    <w:qFormat/>
    <w:rPr>
      <w:rFonts w:cs="宋体"/>
      <w:kern w:val="2"/>
      <w:sz w:val="24"/>
      <w:szCs w:val="24"/>
      <w:lang w:val="en-US" w:eastAsia="zh-CN" w:bidi="ar-SA"/>
    </w:rPr>
  </w:style>
  <w:style w:type="character" w:customStyle="1" w:styleId="CharCharChar11">
    <w:name w:val="页脚 Char Char Char1"/>
    <w:qFormat/>
    <w:rPr>
      <w:rFonts w:eastAsia="宋体"/>
      <w:kern w:val="2"/>
      <w:sz w:val="18"/>
      <w:szCs w:val="18"/>
      <w:lang w:val="en-US" w:eastAsia="zh-CN" w:bidi="ar-SA"/>
    </w:rPr>
  </w:style>
  <w:style w:type="character" w:customStyle="1" w:styleId="Char1Char0">
    <w:name w:val="表头 Char1 Char"/>
    <w:qFormat/>
    <w:rPr>
      <w:rFonts w:eastAsia="宋体"/>
      <w:b/>
      <w:kern w:val="2"/>
      <w:sz w:val="24"/>
      <w:szCs w:val="24"/>
      <w:lang w:val="en-US" w:eastAsia="zh-CN" w:bidi="ar-SA"/>
    </w:rPr>
  </w:style>
  <w:style w:type="character" w:customStyle="1" w:styleId="Charffff6">
    <w:name w:val="正文部分 Char"/>
    <w:link w:val="afffffffffffffffffff9"/>
    <w:qFormat/>
    <w:rPr>
      <w:rFonts w:ascii="宋体" w:hAnsi="宋体" w:cs="宋体"/>
      <w:bCs/>
      <w:sz w:val="28"/>
      <w:szCs w:val="32"/>
    </w:rPr>
  </w:style>
  <w:style w:type="paragraph" w:customStyle="1" w:styleId="afffffffffffffffffff9">
    <w:name w:val="正文部分"/>
    <w:basedOn w:val="a"/>
    <w:link w:val="Charffff6"/>
    <w:qFormat/>
    <w:pPr>
      <w:spacing w:line="500" w:lineRule="exact"/>
      <w:ind w:firstLineChars="200" w:firstLine="200"/>
      <w:jc w:val="left"/>
    </w:pPr>
    <w:rPr>
      <w:rFonts w:cs="宋体"/>
      <w:bCs/>
      <w:kern w:val="0"/>
      <w:sz w:val="28"/>
      <w:szCs w:val="32"/>
    </w:rPr>
  </w:style>
  <w:style w:type="character" w:customStyle="1" w:styleId="zhengwenChar">
    <w:name w:val="样式 zhengwen + 黑色 Char"/>
    <w:basedOn w:val="zhengwenChar0"/>
    <w:qFormat/>
    <w:rPr>
      <w:rFonts w:eastAsia="宋体" w:cs="宋体"/>
      <w:sz w:val="24"/>
      <w:szCs w:val="24"/>
      <w:lang w:val="en-US" w:eastAsia="zh-CN" w:bidi="ar-SA"/>
    </w:rPr>
  </w:style>
  <w:style w:type="character" w:customStyle="1" w:styleId="zhengwenChar0">
    <w:name w:val="zhengwen Char"/>
    <w:qFormat/>
    <w:rPr>
      <w:rFonts w:eastAsia="宋体" w:cs="宋体"/>
      <w:sz w:val="24"/>
      <w:szCs w:val="24"/>
      <w:lang w:val="en-US" w:eastAsia="zh-CN" w:bidi="ar-SA"/>
    </w:rPr>
  </w:style>
  <w:style w:type="character" w:customStyle="1" w:styleId="Char1f6">
    <w:name w:val="特点标题 Char1"/>
    <w:qFormat/>
    <w:rPr>
      <w:rFonts w:ascii="宋体" w:eastAsia="汉鼎简书宋" w:hAnsi="宋体"/>
      <w:kern w:val="2"/>
      <w:sz w:val="24"/>
      <w:szCs w:val="24"/>
      <w:lang w:val="en-US" w:eastAsia="zh-CN" w:bidi="ar-SA"/>
    </w:rPr>
  </w:style>
  <w:style w:type="character" w:customStyle="1" w:styleId="hb4CharChar">
    <w:name w:val="样式hb4 Char Char"/>
    <w:link w:val="hb40"/>
    <w:qFormat/>
    <w:rPr>
      <w:rFonts w:ascii="宋体" w:eastAsia="Times New Roman" w:hAnsi="宋体"/>
      <w:snapToGrid w:val="0"/>
      <w:sz w:val="24"/>
    </w:rPr>
  </w:style>
  <w:style w:type="character" w:customStyle="1" w:styleId="5Char0">
    <w:name w:val="表格内容5号 Char"/>
    <w:link w:val="5f2"/>
    <w:qFormat/>
    <w:rPr>
      <w:rFonts w:ascii="宋体" w:hAnsi="宋体"/>
      <w:color w:val="000000"/>
      <w:sz w:val="21"/>
      <w:szCs w:val="21"/>
    </w:rPr>
  </w:style>
  <w:style w:type="paragraph" w:customStyle="1" w:styleId="5f2">
    <w:name w:val="表格内容5号"/>
    <w:basedOn w:val="a"/>
    <w:link w:val="5Char0"/>
    <w:qFormat/>
    <w:pPr>
      <w:widowControl/>
      <w:spacing w:line="300" w:lineRule="exact"/>
      <w:jc w:val="center"/>
    </w:pPr>
    <w:rPr>
      <w:color w:val="000000"/>
      <w:kern w:val="0"/>
      <w:sz w:val="21"/>
      <w:szCs w:val="21"/>
    </w:rPr>
  </w:style>
  <w:style w:type="character" w:customStyle="1" w:styleId="t10">
    <w:name w:val="t10"/>
    <w:qFormat/>
    <w:rPr>
      <w:rFonts w:cs="宋体"/>
      <w:kern w:val="2"/>
      <w:sz w:val="24"/>
      <w:szCs w:val="24"/>
      <w:lang w:val="en-US" w:eastAsia="zh-CN" w:bidi="ar-SA"/>
    </w:rPr>
  </w:style>
  <w:style w:type="character" w:customStyle="1" w:styleId="15Char0">
    <w:name w:val="样式 宋体 小四 行距: 1.5 倍行距 Char"/>
    <w:link w:val="156"/>
    <w:rPr>
      <w:rFonts w:ascii="宋体" w:hAnsi="宋体" w:cs="宋体"/>
      <w:kern w:val="2"/>
      <w:sz w:val="28"/>
    </w:rPr>
  </w:style>
  <w:style w:type="paragraph" w:customStyle="1" w:styleId="156">
    <w:name w:val="样式 宋体 小四 行距: 1.5 倍行距"/>
    <w:basedOn w:val="a"/>
    <w:link w:val="15Char0"/>
    <w:qFormat/>
    <w:pPr>
      <w:spacing w:line="500" w:lineRule="atLeast"/>
      <w:ind w:firstLineChars="200" w:firstLine="200"/>
    </w:pPr>
    <w:rPr>
      <w:rFonts w:cs="宋体"/>
      <w:sz w:val="28"/>
    </w:rPr>
  </w:style>
  <w:style w:type="character" w:customStyle="1" w:styleId="main">
    <w:name w:val="main"/>
    <w:basedOn w:val="a0"/>
    <w:qFormat/>
  </w:style>
  <w:style w:type="character" w:customStyle="1" w:styleId="style81">
    <w:name w:val="style81"/>
    <w:qFormat/>
    <w:rPr>
      <w:b/>
      <w:bCs/>
      <w:color w:val="009900"/>
    </w:rPr>
  </w:style>
  <w:style w:type="character" w:customStyle="1" w:styleId="infodetail1">
    <w:name w:val="infodetail1"/>
    <w:qFormat/>
    <w:rPr>
      <w:sz w:val="21"/>
      <w:szCs w:val="21"/>
    </w:rPr>
  </w:style>
  <w:style w:type="character" w:customStyle="1" w:styleId="Charffff7">
    <w:name w:val="（）序号 Char"/>
    <w:link w:val="afffffffffffffffffffa"/>
    <w:qFormat/>
    <w:rPr>
      <w:rFonts w:ascii="宋体" w:hAnsi="宋体"/>
      <w:b/>
      <w:kern w:val="2"/>
      <w:sz w:val="24"/>
      <w:szCs w:val="24"/>
    </w:rPr>
  </w:style>
  <w:style w:type="paragraph" w:customStyle="1" w:styleId="afffffffffffffffffffa">
    <w:name w:val="（）序号"/>
    <w:basedOn w:val="a"/>
    <w:next w:val="a"/>
    <w:link w:val="Charffff7"/>
    <w:qFormat/>
    <w:pPr>
      <w:spacing w:line="500" w:lineRule="exact"/>
      <w:ind w:firstLineChars="200" w:firstLine="200"/>
    </w:pPr>
    <w:rPr>
      <w:b/>
      <w:szCs w:val="24"/>
    </w:rPr>
  </w:style>
  <w:style w:type="character" w:customStyle="1" w:styleId="dCharChar">
    <w:name w:val="页眉d Char Char"/>
    <w:qFormat/>
    <w:rPr>
      <w:rFonts w:eastAsia="隶书" w:cs="宋体"/>
      <w:kern w:val="2"/>
      <w:sz w:val="18"/>
      <w:szCs w:val="18"/>
      <w:lang w:val="en-US" w:eastAsia="zh-CN" w:bidi="ar-SA"/>
    </w:rPr>
  </w:style>
  <w:style w:type="character" w:customStyle="1" w:styleId="fs">
    <w:name w:val="fs"/>
    <w:basedOn w:val="a0"/>
    <w:qFormat/>
  </w:style>
  <w:style w:type="character" w:customStyle="1" w:styleId="hb3Char">
    <w:name w:val="样式 hb3 + Char"/>
    <w:link w:val="hb33"/>
    <w:qFormat/>
    <w:rPr>
      <w:b/>
      <w:bCs/>
      <w:kern w:val="2"/>
      <w:sz w:val="24"/>
      <w:szCs w:val="24"/>
    </w:rPr>
  </w:style>
  <w:style w:type="paragraph" w:customStyle="1" w:styleId="hb33">
    <w:name w:val="样式 hb3 +"/>
    <w:basedOn w:val="hb30"/>
    <w:link w:val="hb3Char"/>
    <w:qFormat/>
    <w:pPr>
      <w:spacing w:beforeLines="100" w:afterLines="50"/>
    </w:pPr>
    <w:rPr>
      <w:rFonts w:ascii="Times New Roman" w:hAnsi="Times New Roman"/>
      <w:kern w:val="2"/>
      <w:szCs w:val="24"/>
    </w:rPr>
  </w:style>
  <w:style w:type="character" w:customStyle="1" w:styleId="4Char0">
    <w:name w:val="样式4 Char"/>
    <w:link w:val="4c"/>
    <w:qFormat/>
    <w:rPr>
      <w:rFonts w:ascii="Arial" w:hAnsi="Arial"/>
      <w:b/>
      <w:kern w:val="2"/>
      <w:sz w:val="28"/>
    </w:rPr>
  </w:style>
  <w:style w:type="character" w:customStyle="1" w:styleId="Char38">
    <w:name w:val="表号 Char3"/>
    <w:qFormat/>
    <w:rPr>
      <w:rFonts w:eastAsia="宋体"/>
      <w:sz w:val="24"/>
      <w:szCs w:val="24"/>
      <w:lang w:val="en-US" w:eastAsia="zh-CN" w:bidi="ar-SA"/>
    </w:rPr>
  </w:style>
  <w:style w:type="character" w:customStyle="1" w:styleId="Charffff8">
    <w:name w:val="样式 正文文本 + 小三 Char"/>
    <w:qFormat/>
    <w:rPr>
      <w:rFonts w:ascii="宋体" w:eastAsia="宋体" w:hAnsi="宋体" w:cs="宋体"/>
      <w:snapToGrid w:val="0"/>
      <w:kern w:val="2"/>
      <w:sz w:val="30"/>
      <w:szCs w:val="24"/>
      <w:lang w:val="en-US" w:eastAsia="zh-CN" w:bidi="ar-SA"/>
    </w:rPr>
  </w:style>
  <w:style w:type="character" w:customStyle="1" w:styleId="Charffff4">
    <w:name w:val="图表标题 Char"/>
    <w:link w:val="afffffffffffffffffff"/>
    <w:qFormat/>
    <w:rPr>
      <w:rFonts w:eastAsia="黑体"/>
      <w:bCs/>
      <w:spacing w:val="-10"/>
      <w:sz w:val="24"/>
      <w:szCs w:val="24"/>
    </w:rPr>
  </w:style>
  <w:style w:type="character" w:customStyle="1" w:styleId="p101">
    <w:name w:val="p101"/>
    <w:qFormat/>
    <w:rPr>
      <w:rFonts w:ascii="p10" w:hAnsi="p10" w:hint="default"/>
      <w:color w:val="006633"/>
      <w:sz w:val="20"/>
      <w:szCs w:val="20"/>
    </w:rPr>
  </w:style>
  <w:style w:type="character" w:customStyle="1" w:styleId="a11">
    <w:name w:val="a11"/>
    <w:qFormat/>
    <w:rPr>
      <w:rFonts w:cs="宋体"/>
      <w:kern w:val="2"/>
      <w:sz w:val="20"/>
      <w:szCs w:val="20"/>
      <w:lang w:val="en-US" w:eastAsia="zh-CN" w:bidi="ar-SA"/>
    </w:rPr>
  </w:style>
  <w:style w:type="paragraph" w:customStyle="1" w:styleId="MTDisplayEquation">
    <w:name w:val="MTDisplayEquation"/>
    <w:basedOn w:val="3f4"/>
    <w:next w:val="a"/>
    <w:qFormat/>
    <w:pPr>
      <w:tabs>
        <w:tab w:val="center" w:pos="4440"/>
        <w:tab w:val="right" w:pos="8900"/>
      </w:tabs>
      <w:ind w:firstLine="480"/>
      <w:jc w:val="center"/>
    </w:pPr>
    <w:rPr>
      <w:rFonts w:ascii="Times New Roman" w:hAnsi="Times New Roman" w:cs="宋体"/>
      <w:kern w:val="24"/>
      <w:szCs w:val="24"/>
    </w:rPr>
  </w:style>
  <w:style w:type="paragraph" w:customStyle="1" w:styleId="hb42">
    <w:name w:val="样式 hb4 + 首行缩进:  2 字符"/>
    <w:basedOn w:val="hb4"/>
    <w:qFormat/>
    <w:pPr>
      <w:keepNext w:val="0"/>
      <w:keepLines w:val="0"/>
      <w:spacing w:beforeLines="50" w:afterLines="50" w:line="240" w:lineRule="auto"/>
      <w:jc w:val="left"/>
      <w:outlineLvl w:val="9"/>
    </w:pPr>
    <w:rPr>
      <w:rFonts w:ascii="Calibri" w:eastAsia="Times New Roman" w:hAnsi="Calibri" w:cs="宋体"/>
      <w:b w:val="0"/>
    </w:rPr>
  </w:style>
  <w:style w:type="paragraph" w:customStyle="1" w:styleId="afffffffffffffffffffb">
    <w:name w:val="於"/>
    <w:basedOn w:val="a"/>
    <w:qFormat/>
    <w:pPr>
      <w:spacing w:line="360" w:lineRule="auto"/>
      <w:ind w:firstLineChars="200" w:firstLine="600"/>
    </w:pPr>
    <w:rPr>
      <w:rFonts w:ascii="Times New Roman" w:hAnsi="Times New Roman"/>
      <w:sz w:val="30"/>
    </w:rPr>
  </w:style>
  <w:style w:type="paragraph" w:customStyle="1" w:styleId="CharChar3CharCharCharCharCharCharChar">
    <w:name w:val="Char Char3 Char Char Char Char Char Char Char"/>
    <w:basedOn w:val="a"/>
    <w:qFormat/>
    <w:pPr>
      <w:spacing w:line="360" w:lineRule="auto"/>
      <w:ind w:firstLineChars="200" w:firstLine="200"/>
    </w:pPr>
    <w:rPr>
      <w:rFonts w:cs="宋体"/>
      <w:szCs w:val="24"/>
    </w:rPr>
  </w:style>
  <w:style w:type="paragraph" w:customStyle="1" w:styleId="afffffffffffffffffffc">
    <w:name w:val="表内字"/>
    <w:qFormat/>
    <w:pPr>
      <w:spacing w:line="312" w:lineRule="auto"/>
      <w:jc w:val="center"/>
    </w:pPr>
    <w:rPr>
      <w:color w:val="000000"/>
      <w:sz w:val="21"/>
    </w:rPr>
  </w:style>
  <w:style w:type="paragraph" w:customStyle="1" w:styleId="1CharCharCharChar">
    <w:name w:val="1 Char Char Char Char"/>
    <w:basedOn w:val="a"/>
    <w:next w:val="a"/>
    <w:qFormat/>
    <w:pPr>
      <w:spacing w:line="360" w:lineRule="auto"/>
      <w:ind w:firstLineChars="200" w:firstLine="200"/>
    </w:pPr>
    <w:rPr>
      <w:rFonts w:cs="宋体"/>
      <w:szCs w:val="24"/>
    </w:rPr>
  </w:style>
  <w:style w:type="paragraph" w:customStyle="1" w:styleId="3250">
    <w:name w:val="样式 正文3 + 黑色 行距: 固定值 25 磅"/>
    <w:basedOn w:val="3f4"/>
    <w:next w:val="33"/>
    <w:qFormat/>
    <w:pPr>
      <w:spacing w:line="500" w:lineRule="exact"/>
      <w:ind w:firstLine="480"/>
    </w:pPr>
    <w:rPr>
      <w:rFonts w:cs="宋体"/>
      <w:color w:val="000000"/>
    </w:rPr>
  </w:style>
  <w:style w:type="paragraph" w:customStyle="1" w:styleId="afffffffffffffffffffd">
    <w:name w:val="正文 + 四号"/>
    <w:basedOn w:val="a"/>
    <w:qFormat/>
    <w:pPr>
      <w:adjustRightInd w:val="0"/>
      <w:spacing w:line="300" w:lineRule="auto"/>
      <w:ind w:firstLineChars="200" w:firstLine="560"/>
      <w:textAlignment w:val="baseline"/>
    </w:pPr>
    <w:rPr>
      <w:rFonts w:ascii="Times New Roman" w:hAnsi="Times New Roman"/>
      <w:kern w:val="0"/>
      <w:sz w:val="28"/>
      <w:szCs w:val="24"/>
    </w:rPr>
  </w:style>
  <w:style w:type="paragraph" w:customStyle="1" w:styleId="hb11">
    <w:name w:val="样式 hb1 + 两端对齐"/>
    <w:basedOn w:val="hb1"/>
    <w:qFormat/>
    <w:pPr>
      <w:keepNext w:val="0"/>
      <w:keepLines w:val="0"/>
      <w:snapToGrid w:val="0"/>
      <w:spacing w:beforeLines="100" w:afterLines="100" w:line="360" w:lineRule="auto"/>
      <w:ind w:right="113"/>
    </w:pPr>
    <w:rPr>
      <w:rFonts w:ascii="黑体" w:hAnsi="Times New Roman" w:cs="宋体"/>
      <w:b/>
      <w:bCs/>
      <w:kern w:val="2"/>
      <w:sz w:val="32"/>
    </w:rPr>
  </w:style>
  <w:style w:type="paragraph" w:customStyle="1" w:styleId="7Char4">
    <w:name w:val="7 Char"/>
    <w:basedOn w:val="a"/>
    <w:qFormat/>
    <w:pPr>
      <w:spacing w:line="560" w:lineRule="exact"/>
      <w:ind w:firstLineChars="200" w:firstLine="200"/>
    </w:pPr>
    <w:rPr>
      <w:rFonts w:cs="宋体"/>
      <w:szCs w:val="24"/>
    </w:rPr>
  </w:style>
  <w:style w:type="paragraph" w:customStyle="1" w:styleId="afffffffffffffffffffe">
    <w:name w:val="特殊标题３"/>
    <w:basedOn w:val="a"/>
    <w:qFormat/>
    <w:pPr>
      <w:overflowPunct w:val="0"/>
      <w:autoSpaceDE w:val="0"/>
      <w:autoSpaceDN w:val="0"/>
      <w:adjustRightInd w:val="0"/>
      <w:spacing w:line="360" w:lineRule="auto"/>
      <w:textAlignment w:val="baseline"/>
    </w:pPr>
    <w:rPr>
      <w:rFonts w:ascii="Times New Roman" w:eastAsia="仿宋_GB2312" w:hAnsi="Times New Roman"/>
      <w:kern w:val="0"/>
      <w:sz w:val="28"/>
    </w:rPr>
  </w:style>
  <w:style w:type="paragraph" w:customStyle="1" w:styleId="3hb32">
    <w:name w:val="样式 标题 3hb3 + 首行缩进:  2 字符"/>
    <w:basedOn w:val="3"/>
    <w:qFormat/>
    <w:pPr>
      <w:spacing w:before="240" w:after="240" w:line="360" w:lineRule="auto"/>
      <w:jc w:val="left"/>
    </w:pPr>
    <w:rPr>
      <w:rFonts w:ascii="Times New Roman" w:hAnsi="Times New Roman" w:cs="宋体"/>
      <w:bCs/>
      <w:sz w:val="24"/>
    </w:rPr>
  </w:style>
  <w:style w:type="paragraph" w:customStyle="1" w:styleId="affffffffffffffffffff">
    <w:name w:val="表 头"/>
    <w:basedOn w:val="a"/>
    <w:qFormat/>
    <w:pPr>
      <w:adjustRightInd w:val="0"/>
      <w:spacing w:before="120" w:after="120" w:line="360" w:lineRule="atLeast"/>
      <w:jc w:val="center"/>
    </w:pPr>
    <w:rPr>
      <w:rFonts w:ascii="Times New Roman" w:hAnsi="Times New Roman"/>
      <w:b/>
      <w:szCs w:val="24"/>
    </w:rPr>
  </w:style>
  <w:style w:type="paragraph" w:customStyle="1" w:styleId="CA">
    <w:name w:val="CA地震报告图名式样"/>
    <w:basedOn w:val="a"/>
    <w:qFormat/>
    <w:pPr>
      <w:spacing w:afterLines="50" w:line="460" w:lineRule="exact"/>
      <w:jc w:val="center"/>
    </w:pPr>
    <w:rPr>
      <w:rFonts w:ascii="Times New Roman" w:eastAsia="黑体" w:hAnsi="Times New Roman" w:cs="Arial"/>
      <w:bCs/>
      <w:w w:val="90"/>
      <w:sz w:val="21"/>
      <w:szCs w:val="32"/>
    </w:rPr>
  </w:style>
  <w:style w:type="paragraph" w:customStyle="1" w:styleId="CharCharCharCharCharChar1">
    <w:name w:val="正文段落 Char Char Char Char Char Char"/>
    <w:basedOn w:val="a"/>
    <w:qFormat/>
    <w:pPr>
      <w:spacing w:line="480" w:lineRule="exact"/>
      <w:ind w:firstLineChars="200" w:firstLine="480"/>
    </w:pPr>
    <w:rPr>
      <w:rFonts w:eastAsia="汉鼎简书宋"/>
      <w:szCs w:val="24"/>
    </w:rPr>
  </w:style>
  <w:style w:type="paragraph" w:customStyle="1" w:styleId="CharCharChar2CharCharChar1Char">
    <w:name w:val="Char Char Char2 Char Char Char1 Char"/>
    <w:basedOn w:val="a"/>
    <w:qFormat/>
    <w:rPr>
      <w:rFonts w:ascii="Times New Roman" w:hAnsi="Times New Roman"/>
      <w:sz w:val="21"/>
      <w:szCs w:val="24"/>
    </w:rPr>
  </w:style>
  <w:style w:type="paragraph" w:customStyle="1" w:styleId="hb4xin">
    <w:name w:val="hb4xin"/>
    <w:basedOn w:val="a"/>
    <w:qFormat/>
    <w:pPr>
      <w:keepNext/>
      <w:keepLines/>
      <w:spacing w:before="200" w:after="200"/>
      <w:textAlignment w:val="baseline"/>
      <w:outlineLvl w:val="3"/>
    </w:pPr>
    <w:rPr>
      <w:rFonts w:cs="宋体"/>
      <w:bCs/>
      <w:szCs w:val="24"/>
    </w:rPr>
  </w:style>
  <w:style w:type="paragraph" w:customStyle="1" w:styleId="zhengwen">
    <w:name w:val="样式 zhengwen + 黑色"/>
    <w:basedOn w:val="zhengwen0"/>
    <w:qFormat/>
    <w:pPr>
      <w:spacing w:line="529" w:lineRule="exact"/>
    </w:pPr>
    <w:rPr>
      <w:rFonts w:cs="宋体"/>
      <w:kern w:val="0"/>
      <w:szCs w:val="24"/>
    </w:rPr>
  </w:style>
  <w:style w:type="paragraph" w:customStyle="1" w:styleId="zhengwen0">
    <w:name w:val="zhengwen"/>
    <w:basedOn w:val="a"/>
    <w:qFormat/>
    <w:pPr>
      <w:spacing w:line="400" w:lineRule="exact"/>
      <w:ind w:firstLineChars="200" w:firstLine="480"/>
    </w:pPr>
    <w:rPr>
      <w:rFonts w:ascii="Times New Roman" w:hAnsi="Times New Roman"/>
    </w:rPr>
  </w:style>
  <w:style w:type="paragraph" w:customStyle="1" w:styleId="graphic">
    <w:name w:val="graphic"/>
    <w:basedOn w:val="a"/>
    <w:qFormat/>
    <w:pPr>
      <w:widowControl/>
      <w:tabs>
        <w:tab w:val="left" w:pos="-720"/>
      </w:tabs>
      <w:overflowPunct w:val="0"/>
      <w:autoSpaceDE w:val="0"/>
      <w:autoSpaceDN w:val="0"/>
      <w:adjustRightInd w:val="0"/>
      <w:snapToGrid w:val="0"/>
      <w:spacing w:line="360" w:lineRule="auto"/>
      <w:jc w:val="center"/>
      <w:textAlignment w:val="baseline"/>
    </w:pPr>
    <w:rPr>
      <w:rFonts w:ascii="Times New Roman" w:hAnsi="Times New Roman"/>
      <w:kern w:val="0"/>
      <w:lang w:eastAsia="en-US"/>
    </w:rPr>
  </w:style>
  <w:style w:type="paragraph" w:customStyle="1" w:styleId="BCD">
    <w:name w:val="BCD表内文稿"/>
    <w:basedOn w:val="a"/>
    <w:qFormat/>
    <w:pPr>
      <w:adjustRightInd w:val="0"/>
      <w:snapToGrid w:val="0"/>
      <w:spacing w:line="360" w:lineRule="exact"/>
      <w:jc w:val="center"/>
    </w:pPr>
    <w:rPr>
      <w:rFonts w:ascii="Times New Roman" w:eastAsia="仿宋_GB2312" w:hAnsi="Times New Roman"/>
      <w:w w:val="90"/>
      <w:szCs w:val="24"/>
    </w:rPr>
  </w:style>
  <w:style w:type="paragraph" w:customStyle="1" w:styleId="125">
    <w:name w:val="样式12"/>
    <w:basedOn w:val="a"/>
    <w:qFormat/>
    <w:pPr>
      <w:keepNext/>
      <w:keepLines/>
      <w:adjustRightInd w:val="0"/>
      <w:spacing w:before="360" w:after="360" w:line="529" w:lineRule="exact"/>
      <w:ind w:left="482"/>
      <w:textAlignment w:val="baseline"/>
      <w:outlineLvl w:val="2"/>
    </w:pPr>
    <w:rPr>
      <w:rFonts w:cs="宋体"/>
      <w:bCs/>
      <w:szCs w:val="24"/>
    </w:rPr>
  </w:style>
  <w:style w:type="paragraph" w:customStyle="1" w:styleId="affffffffffffffffffff0">
    <w:name w:val="样式 (中文) 汉鼎简书宋"/>
    <w:basedOn w:val="a"/>
    <w:next w:val="a"/>
    <w:qFormat/>
    <w:pPr>
      <w:spacing w:line="529" w:lineRule="exact"/>
      <w:ind w:firstLineChars="200" w:firstLine="480"/>
    </w:pPr>
    <w:rPr>
      <w:rFonts w:ascii="Times New Roman" w:hAnsi="Times New Roman" w:cs="宋体"/>
    </w:rPr>
  </w:style>
  <w:style w:type="paragraph" w:customStyle="1" w:styleId="07">
    <w:name w:val="样式 表号 + 左侧:  0 厘米"/>
    <w:basedOn w:val="affffd"/>
    <w:qFormat/>
    <w:pPr>
      <w:adjustRightInd/>
      <w:snapToGrid/>
      <w:spacing w:line="240" w:lineRule="auto"/>
      <w:jc w:val="left"/>
    </w:pPr>
    <w:rPr>
      <w:rFonts w:ascii="Times New Roman" w:hAnsi="Times New Roman"/>
    </w:rPr>
  </w:style>
  <w:style w:type="paragraph" w:customStyle="1" w:styleId="affffffffffffffffffff1">
    <w:name w:val="正文王"/>
    <w:basedOn w:val="1f0"/>
    <w:qFormat/>
    <w:pPr>
      <w:adjustRightInd/>
      <w:snapToGrid/>
      <w:spacing w:afterLines="0" w:after="0" w:line="240" w:lineRule="auto"/>
      <w:ind w:firstLineChars="200" w:firstLine="200"/>
    </w:pPr>
    <w:rPr>
      <w:rFonts w:ascii="Times New Roman" w:eastAsia="宋体" w:hAnsi="Times New Roman"/>
      <w:snapToGrid/>
      <w:color w:val="000000"/>
    </w:rPr>
  </w:style>
  <w:style w:type="paragraph" w:customStyle="1" w:styleId="affffffffffffffffffff2">
    <w:name w:val="样式 正文文本 + 小三"/>
    <w:basedOn w:val="af7"/>
    <w:qFormat/>
    <w:pPr>
      <w:adjustRightInd/>
      <w:snapToGrid/>
      <w:spacing w:line="360" w:lineRule="auto"/>
      <w:ind w:firstLineChars="200" w:firstLine="200"/>
    </w:pPr>
    <w:rPr>
      <w:rFonts w:ascii="宋体" w:eastAsia="宋体"/>
      <w:snapToGrid w:val="0"/>
      <w:color w:val="auto"/>
      <w:kern w:val="0"/>
      <w:sz w:val="30"/>
      <w:szCs w:val="24"/>
    </w:rPr>
  </w:style>
  <w:style w:type="paragraph" w:customStyle="1" w:styleId="GB2312285">
    <w:name w:val="样式 (中文) 仿宋_GB2312 三号 行距: 固定值 28.5 磅"/>
    <w:basedOn w:val="a"/>
    <w:qFormat/>
    <w:pPr>
      <w:spacing w:line="570" w:lineRule="exact"/>
      <w:ind w:firstLineChars="200" w:firstLine="640"/>
    </w:pPr>
    <w:rPr>
      <w:rFonts w:ascii="Times New Roman" w:eastAsia="Times New Roman" w:hAnsi="Times New Roman" w:cs="宋体"/>
      <w:sz w:val="32"/>
    </w:rPr>
  </w:style>
  <w:style w:type="paragraph" w:customStyle="1" w:styleId="280">
    <w:name w:val="正文28磅"/>
    <w:basedOn w:val="a"/>
    <w:qFormat/>
    <w:pPr>
      <w:spacing w:line="560" w:lineRule="exact"/>
      <w:ind w:firstLineChars="200" w:firstLine="560"/>
      <w:jc w:val="left"/>
    </w:pPr>
    <w:rPr>
      <w:rFonts w:hAnsi="Times New Roman"/>
      <w:kern w:val="28"/>
      <w:sz w:val="28"/>
      <w:szCs w:val="28"/>
    </w:rPr>
  </w:style>
  <w:style w:type="paragraph" w:customStyle="1" w:styleId="2hb22">
    <w:name w:val="样式 标题 2hb2 + 首行缩进:  2 字符"/>
    <w:basedOn w:val="2"/>
    <w:qFormat/>
    <w:pPr>
      <w:spacing w:line="360" w:lineRule="auto"/>
      <w:jc w:val="left"/>
    </w:pPr>
    <w:rPr>
      <w:rFonts w:ascii="Times New Roman" w:eastAsia="宋体" w:hAnsi="Times New Roman" w:cs="宋体"/>
      <w:b/>
      <w:bCs/>
      <w:sz w:val="28"/>
      <w:szCs w:val="24"/>
    </w:rPr>
  </w:style>
  <w:style w:type="paragraph" w:customStyle="1" w:styleId="1520">
    <w:name w:val="样式 样式 宋体 四号 行距: 1.5 倍行距 + 首行缩进:  2 字符"/>
    <w:basedOn w:val="a"/>
    <w:qFormat/>
    <w:pPr>
      <w:adjustRightInd w:val="0"/>
      <w:snapToGrid w:val="0"/>
      <w:spacing w:line="360" w:lineRule="auto"/>
      <w:ind w:firstLineChars="200" w:firstLine="560"/>
    </w:pPr>
    <w:rPr>
      <w:rFonts w:cs="宋体"/>
      <w:sz w:val="28"/>
    </w:rPr>
  </w:style>
  <w:style w:type="character" w:customStyle="1" w:styleId="Char26">
    <w:name w:val="报告文字 Char2"/>
    <w:link w:val="affffffffffffd"/>
    <w:qFormat/>
    <w:rPr>
      <w:rFonts w:hAnsi="宋体"/>
      <w:sz w:val="24"/>
      <w:szCs w:val="24"/>
      <w:shd w:val="clear" w:color="auto" w:fill="FFFFFF"/>
    </w:rPr>
  </w:style>
  <w:style w:type="character" w:customStyle="1" w:styleId="GB23120">
    <w:name w:val="样式 仿宋_GB2312"/>
    <w:qFormat/>
    <w:rPr>
      <w:rFonts w:ascii="仿宋_GB2312" w:eastAsia="仿宋_GB2312"/>
      <w:kern w:val="0"/>
    </w:rPr>
  </w:style>
  <w:style w:type="paragraph" w:customStyle="1" w:styleId="CharCharCharCharCharCharCharCharCharCharCharCharCharCharCharCharCharChar1CharCharCharCharCharCharCharCharCharCharCharChar1CharCharChar">
    <w:name w:val="Char Char Char Char Char Char Char Char Char Char Char Char Char Char Char Char Char Char1 Char Char Char Char Char Char Char Char Char Char Char Char1 Char Char Char"/>
    <w:basedOn w:val="a"/>
    <w:next w:val="a"/>
    <w:qFormat/>
    <w:pPr>
      <w:spacing w:line="360" w:lineRule="auto"/>
      <w:ind w:firstLineChars="200" w:firstLine="200"/>
    </w:pPr>
    <w:rPr>
      <w:rFonts w:cs="宋体"/>
      <w:szCs w:val="24"/>
    </w:rPr>
  </w:style>
  <w:style w:type="paragraph" w:customStyle="1" w:styleId="1111">
    <w:name w:val="四级标题1.1.1.1"/>
    <w:basedOn w:val="a"/>
    <w:next w:val="a"/>
    <w:qFormat/>
    <w:pPr>
      <w:keepNext/>
      <w:keepLines/>
      <w:widowControl/>
      <w:adjustRightInd w:val="0"/>
      <w:spacing w:before="40" w:after="40" w:line="360" w:lineRule="auto"/>
      <w:ind w:firstLineChars="200" w:firstLine="200"/>
      <w:textAlignment w:val="baseline"/>
      <w:outlineLvl w:val="3"/>
    </w:pPr>
    <w:rPr>
      <w:rFonts w:ascii="Times New Roman" w:eastAsia="仿宋_GB2312" w:hAnsi="Times New Roman" w:cs="宋体"/>
      <w:b/>
      <w:kern w:val="0"/>
      <w:szCs w:val="28"/>
    </w:rPr>
  </w:style>
  <w:style w:type="paragraph" w:customStyle="1" w:styleId="3ff1">
    <w:name w:val="样式 首行缩进:  3 字符"/>
    <w:basedOn w:val="a"/>
    <w:qFormat/>
    <w:pPr>
      <w:ind w:firstLineChars="300" w:firstLine="720"/>
    </w:pPr>
    <w:rPr>
      <w:rFonts w:ascii="Times New Roman" w:hAnsi="Times New Roman" w:cs="宋体"/>
    </w:rPr>
  </w:style>
  <w:style w:type="paragraph" w:customStyle="1" w:styleId="CharCharCharChar3">
    <w:name w:val="表文字 Char Char Char Char"/>
    <w:qFormat/>
    <w:pPr>
      <w:spacing w:line="300" w:lineRule="exact"/>
    </w:pPr>
    <w:rPr>
      <w:kern w:val="2"/>
      <w:sz w:val="21"/>
      <w:szCs w:val="21"/>
    </w:rPr>
  </w:style>
  <w:style w:type="paragraph" w:customStyle="1" w:styleId="affffffffffffffffffff3">
    <w:name w:val="封面正文"/>
    <w:qFormat/>
    <w:pPr>
      <w:jc w:val="both"/>
    </w:pPr>
  </w:style>
  <w:style w:type="paragraph" w:customStyle="1" w:styleId="1000505">
    <w:name w:val="样式 标题 1 + 左侧:  0 厘米 首行缩进:  0 厘米 段前: 0.5 行 段后: 0.5 行"/>
    <w:basedOn w:val="1"/>
    <w:qFormat/>
    <w:pPr>
      <w:keepLines w:val="0"/>
      <w:tabs>
        <w:tab w:val="left" w:pos="0"/>
      </w:tabs>
      <w:adjustRightInd w:val="0"/>
      <w:snapToGrid w:val="0"/>
      <w:spacing w:beforeLines="50" w:beforeAutospacing="1" w:afterLines="50" w:afterAutospacing="1" w:line="324" w:lineRule="auto"/>
      <w:jc w:val="left"/>
    </w:pPr>
    <w:rPr>
      <w:rFonts w:ascii="Times New Roman" w:eastAsia="黑体" w:hAnsi="Times New Roman"/>
      <w:bCs/>
      <w:spacing w:val="8"/>
      <w:kern w:val="2"/>
      <w:sz w:val="28"/>
    </w:rPr>
  </w:style>
  <w:style w:type="paragraph" w:customStyle="1" w:styleId="CharCharCharCharChar0">
    <w:name w:val="表文字 Char Char Char Char Char"/>
    <w:link w:val="CharCharCharCharCharChar2"/>
    <w:qFormat/>
    <w:pPr>
      <w:spacing w:line="300" w:lineRule="exact"/>
    </w:pPr>
    <w:rPr>
      <w:sz w:val="21"/>
      <w:szCs w:val="21"/>
    </w:rPr>
  </w:style>
  <w:style w:type="character" w:customStyle="1" w:styleId="CharCharCharCharCharChar2">
    <w:name w:val="表文字 Char Char Char Char Char Char"/>
    <w:link w:val="CharCharCharCharChar0"/>
    <w:qFormat/>
    <w:rPr>
      <w:sz w:val="21"/>
      <w:szCs w:val="21"/>
    </w:rPr>
  </w:style>
  <w:style w:type="paragraph" w:customStyle="1" w:styleId="hb4CharCharCharCharChar">
    <w:name w:val="hb4 Char Char Char Char Char"/>
    <w:basedOn w:val="40"/>
    <w:link w:val="hb4CharCharCharCharCharChar"/>
    <w:qFormat/>
    <w:pPr>
      <w:spacing w:before="0" w:after="0" w:line="500" w:lineRule="exact"/>
    </w:pPr>
    <w:rPr>
      <w:rFonts w:ascii="宋体"/>
      <w:b w:val="0"/>
      <w:sz w:val="24"/>
      <w:szCs w:val="24"/>
    </w:rPr>
  </w:style>
  <w:style w:type="character" w:customStyle="1" w:styleId="hb4CharCharCharCharCharChar">
    <w:name w:val="hb4 Char Char Char Char Char Char"/>
    <w:link w:val="hb4CharCharCharCharChar"/>
    <w:qFormat/>
    <w:rPr>
      <w:rFonts w:ascii="宋体" w:eastAsia="黑体" w:hAnsi="Arial"/>
      <w:kern w:val="2"/>
      <w:sz w:val="24"/>
      <w:szCs w:val="24"/>
    </w:rPr>
  </w:style>
  <w:style w:type="character" w:customStyle="1" w:styleId="CharCharChar6">
    <w:name w:val="表号 Char Char Char"/>
    <w:qFormat/>
    <w:rPr>
      <w:kern w:val="2"/>
      <w:sz w:val="24"/>
      <w:szCs w:val="24"/>
      <w:lang w:val="en-US" w:eastAsia="zh-CN" w:bidi="ar-SA"/>
    </w:rPr>
  </w:style>
  <w:style w:type="character" w:customStyle="1" w:styleId="CharCharCharCharChar1">
    <w:name w:val="样式 图号 + 宋体 Char Char Char Char Char"/>
    <w:link w:val="CharCharCharChar5"/>
    <w:qFormat/>
    <w:rPr>
      <w:rFonts w:ascii="宋体" w:hAnsi="宋体"/>
      <w:b/>
      <w:bCs/>
      <w:kern w:val="32"/>
      <w:sz w:val="24"/>
      <w:szCs w:val="24"/>
    </w:rPr>
  </w:style>
  <w:style w:type="paragraph" w:customStyle="1" w:styleId="CharCharCharChar5">
    <w:name w:val="样式 图号 + 宋体 Char Char Char Char"/>
    <w:basedOn w:val="affffff9"/>
    <w:link w:val="CharCharCharCharChar1"/>
    <w:qFormat/>
    <w:pPr>
      <w:keepNext w:val="0"/>
      <w:keepLines w:val="0"/>
      <w:tabs>
        <w:tab w:val="clear" w:pos="1008"/>
      </w:tabs>
      <w:spacing w:before="0" w:after="0" w:line="529" w:lineRule="exact"/>
      <w:ind w:left="198" w:firstLineChars="200" w:firstLine="200"/>
      <w:outlineLvl w:val="9"/>
    </w:pPr>
    <w:rPr>
      <w:b/>
      <w:bCs/>
      <w:szCs w:val="24"/>
    </w:rPr>
  </w:style>
  <w:style w:type="paragraph" w:customStyle="1" w:styleId="hb2CharCharChar">
    <w:name w:val="hb2 Char Char Char"/>
    <w:basedOn w:val="2"/>
    <w:link w:val="hb2CharCharCharChar"/>
    <w:qFormat/>
    <w:pPr>
      <w:topLinePunct/>
      <w:adjustRightInd w:val="0"/>
      <w:spacing w:before="720" w:beforeAutospacing="1" w:after="480" w:afterAutospacing="1" w:line="416" w:lineRule="atLeast"/>
      <w:jc w:val="left"/>
      <w:textAlignment w:val="baseline"/>
    </w:pPr>
    <w:rPr>
      <w:rFonts w:ascii="Arial" w:hAnsi="Arial" w:cs="Arial"/>
      <w:b/>
      <w:szCs w:val="28"/>
    </w:rPr>
  </w:style>
  <w:style w:type="character" w:customStyle="1" w:styleId="hb2CharCharCharChar">
    <w:name w:val="hb2 Char Char Char Char"/>
    <w:link w:val="hb2CharCharChar"/>
    <w:qFormat/>
    <w:rPr>
      <w:rFonts w:ascii="Arial" w:eastAsia="黑体" w:hAnsi="Arial" w:cs="Arial"/>
      <w:b/>
      <w:kern w:val="2"/>
      <w:sz w:val="24"/>
      <w:szCs w:val="28"/>
    </w:rPr>
  </w:style>
  <w:style w:type="character" w:customStyle="1" w:styleId="hb3CharCharCharChar">
    <w:name w:val="hb3 Char Char Char Char"/>
    <w:link w:val="hb3CharCharChar"/>
    <w:qFormat/>
    <w:rPr>
      <w:b/>
      <w:bCs/>
      <w:sz w:val="24"/>
      <w:szCs w:val="24"/>
    </w:rPr>
  </w:style>
  <w:style w:type="paragraph" w:customStyle="1" w:styleId="hb3CharCharChar">
    <w:name w:val="hb3 Char Char Char"/>
    <w:basedOn w:val="3"/>
    <w:link w:val="hb3CharCharCharChar"/>
    <w:qFormat/>
    <w:pPr>
      <w:spacing w:before="360" w:after="360" w:line="240" w:lineRule="auto"/>
      <w:jc w:val="left"/>
    </w:pPr>
    <w:rPr>
      <w:rFonts w:ascii="Times New Roman" w:hAnsi="Times New Roman"/>
      <w:bCs/>
      <w:kern w:val="0"/>
      <w:sz w:val="24"/>
      <w:szCs w:val="24"/>
    </w:rPr>
  </w:style>
  <w:style w:type="paragraph" w:customStyle="1" w:styleId="hb3CharCharCharCharChar">
    <w:name w:val="hb3 Char Char Char Char Char"/>
    <w:basedOn w:val="3"/>
    <w:link w:val="hb3CharCharCharCharCharChar"/>
    <w:qFormat/>
    <w:pPr>
      <w:spacing w:before="360" w:after="360" w:line="240" w:lineRule="auto"/>
      <w:jc w:val="left"/>
    </w:pPr>
    <w:rPr>
      <w:rFonts w:ascii="Times New Roman" w:eastAsia="黑体" w:hAnsi="Times New Roman"/>
      <w:bCs/>
      <w:sz w:val="24"/>
      <w:szCs w:val="24"/>
    </w:rPr>
  </w:style>
  <w:style w:type="character" w:customStyle="1" w:styleId="hb3CharCharCharCharCharChar">
    <w:name w:val="hb3 Char Char Char Char Char Char"/>
    <w:link w:val="hb3CharCharCharCharChar"/>
    <w:qFormat/>
    <w:rPr>
      <w:rFonts w:eastAsia="黑体"/>
      <w:b/>
      <w:bCs/>
      <w:kern w:val="2"/>
      <w:sz w:val="24"/>
      <w:szCs w:val="24"/>
    </w:rPr>
  </w:style>
  <w:style w:type="paragraph" w:customStyle="1" w:styleId="CharCharCharCharChar2">
    <w:name w:val="表头 Char Char Char Char Char"/>
    <w:basedOn w:val="afffffffffff0"/>
    <w:next w:val="a"/>
    <w:link w:val="CharCharCharCharCharChar3"/>
    <w:qFormat/>
    <w:pPr>
      <w:adjustRightInd/>
      <w:spacing w:before="240" w:after="240" w:line="240" w:lineRule="auto"/>
      <w:ind w:firstLineChars="0" w:firstLine="0"/>
      <w:jc w:val="center"/>
    </w:pPr>
    <w:rPr>
      <w:rFonts w:eastAsia="宋体" w:cs="宋体"/>
      <w:b/>
      <w:bCs/>
      <w:kern w:val="32"/>
      <w:sz w:val="24"/>
      <w:szCs w:val="28"/>
    </w:rPr>
  </w:style>
  <w:style w:type="character" w:customStyle="1" w:styleId="CharCharCharCharCharChar3">
    <w:name w:val="表头 Char Char Char Char Char Char"/>
    <w:link w:val="CharCharCharCharChar2"/>
    <w:qFormat/>
    <w:rPr>
      <w:rFonts w:ascii="宋体" w:hAnsi="宋体" w:cs="宋体"/>
      <w:b/>
      <w:bCs/>
      <w:kern w:val="32"/>
      <w:sz w:val="24"/>
      <w:szCs w:val="28"/>
    </w:rPr>
  </w:style>
  <w:style w:type="character" w:customStyle="1" w:styleId="CharChar1c">
    <w:name w:val="表号 Char Char1"/>
    <w:qFormat/>
    <w:locked/>
    <w:rPr>
      <w:rFonts w:ascii="宋体" w:eastAsia="宋体" w:hAnsi="宋体"/>
      <w:sz w:val="24"/>
      <w:szCs w:val="24"/>
      <w:lang w:val="en-US" w:eastAsia="zh-CN" w:bidi="ar-SA"/>
    </w:rPr>
  </w:style>
  <w:style w:type="paragraph" w:customStyle="1" w:styleId="hb2CharCharCharCharChar">
    <w:name w:val="hb2 Char Char Char Char Char"/>
    <w:basedOn w:val="2"/>
    <w:link w:val="hb2CharCharCharCharCharChar"/>
    <w:qFormat/>
    <w:pPr>
      <w:topLinePunct/>
      <w:adjustRightInd w:val="0"/>
      <w:spacing w:before="720" w:beforeAutospacing="1" w:after="480" w:afterAutospacing="1" w:line="416" w:lineRule="atLeast"/>
      <w:jc w:val="left"/>
      <w:textAlignment w:val="baseline"/>
    </w:pPr>
    <w:rPr>
      <w:rFonts w:ascii="Arial" w:hAnsi="Arial" w:cs="Arial"/>
      <w:b/>
      <w:szCs w:val="28"/>
    </w:rPr>
  </w:style>
  <w:style w:type="character" w:customStyle="1" w:styleId="hb2CharCharCharCharCharChar">
    <w:name w:val="hb2 Char Char Char Char Char Char"/>
    <w:link w:val="hb2CharCharCharCharChar"/>
    <w:qFormat/>
    <w:rPr>
      <w:rFonts w:ascii="Arial" w:eastAsia="黑体" w:hAnsi="Arial" w:cs="Arial"/>
      <w:b/>
      <w:kern w:val="2"/>
      <w:sz w:val="24"/>
      <w:szCs w:val="28"/>
    </w:rPr>
  </w:style>
  <w:style w:type="character" w:customStyle="1" w:styleId="Char2c">
    <w:name w:val="表文字 Char2"/>
    <w:qFormat/>
    <w:rPr>
      <w:rFonts w:eastAsia="宋体"/>
      <w:sz w:val="21"/>
      <w:szCs w:val="21"/>
      <w:lang w:val="en-US" w:eastAsia="zh-CN" w:bidi="ar-SA"/>
    </w:rPr>
  </w:style>
  <w:style w:type="paragraph" w:customStyle="1" w:styleId="CharCharf7">
    <w:name w:val="样式 图号 + 宋体 Char Char"/>
    <w:basedOn w:val="affffff9"/>
    <w:qFormat/>
    <w:pPr>
      <w:keepNext w:val="0"/>
      <w:keepLines w:val="0"/>
      <w:tabs>
        <w:tab w:val="clear" w:pos="1008"/>
      </w:tabs>
      <w:spacing w:before="0" w:after="0" w:line="529" w:lineRule="exact"/>
      <w:ind w:left="198" w:firstLineChars="200" w:firstLine="200"/>
      <w:outlineLvl w:val="9"/>
    </w:pPr>
    <w:rPr>
      <w:b/>
      <w:bCs/>
      <w:szCs w:val="24"/>
    </w:rPr>
  </w:style>
  <w:style w:type="character" w:customStyle="1" w:styleId="title21">
    <w:name w:val="title21"/>
    <w:qFormat/>
    <w:rPr>
      <w:color w:val="9E3821"/>
      <w:sz w:val="18"/>
      <w:szCs w:val="18"/>
    </w:rPr>
  </w:style>
  <w:style w:type="paragraph" w:customStyle="1" w:styleId="hb3CharCharCharChar1">
    <w:name w:val="hb3 Char Char Char Char1"/>
    <w:basedOn w:val="3"/>
    <w:link w:val="hb3CharCharCharCharChar1"/>
    <w:qFormat/>
    <w:pPr>
      <w:spacing w:before="360" w:after="360" w:line="240" w:lineRule="auto"/>
      <w:jc w:val="left"/>
    </w:pPr>
    <w:rPr>
      <w:rFonts w:ascii="Times New Roman" w:eastAsia="黑体" w:hAnsi="Times New Roman"/>
      <w:bCs/>
      <w:sz w:val="24"/>
      <w:szCs w:val="24"/>
    </w:rPr>
  </w:style>
  <w:style w:type="character" w:customStyle="1" w:styleId="hb3CharCharCharCharChar1">
    <w:name w:val="hb3 Char Char Char Char Char1"/>
    <w:link w:val="hb3CharCharCharChar1"/>
    <w:qFormat/>
    <w:rPr>
      <w:rFonts w:eastAsia="黑体"/>
      <w:b/>
      <w:bCs/>
      <w:kern w:val="2"/>
      <w:sz w:val="24"/>
      <w:szCs w:val="24"/>
    </w:rPr>
  </w:style>
  <w:style w:type="paragraph" w:customStyle="1" w:styleId="hb2CharCharCharChar1">
    <w:name w:val="hb2 Char Char Char Char1"/>
    <w:basedOn w:val="2"/>
    <w:link w:val="hb2CharCharCharCharChar1"/>
    <w:qFormat/>
    <w:pPr>
      <w:topLinePunct/>
      <w:adjustRightInd w:val="0"/>
      <w:spacing w:before="720" w:beforeAutospacing="1" w:after="480" w:afterAutospacing="1" w:line="416" w:lineRule="atLeast"/>
      <w:jc w:val="left"/>
      <w:textAlignment w:val="baseline"/>
    </w:pPr>
    <w:rPr>
      <w:rFonts w:ascii="Arial" w:hAnsi="Arial" w:cs="Arial"/>
      <w:b/>
      <w:szCs w:val="28"/>
    </w:rPr>
  </w:style>
  <w:style w:type="character" w:customStyle="1" w:styleId="hb2CharCharCharCharChar1">
    <w:name w:val="hb2 Char Char Char Char Char1"/>
    <w:link w:val="hb2CharCharCharChar1"/>
    <w:qFormat/>
    <w:rPr>
      <w:rFonts w:ascii="Arial" w:eastAsia="黑体" w:hAnsi="Arial" w:cs="Arial"/>
      <w:b/>
      <w:kern w:val="2"/>
      <w:sz w:val="24"/>
      <w:szCs w:val="28"/>
    </w:rPr>
  </w:style>
  <w:style w:type="paragraph" w:customStyle="1" w:styleId="hb4CharCharChar">
    <w:name w:val="hb4 Char Char Char"/>
    <w:basedOn w:val="40"/>
    <w:link w:val="hb4CharCharCharChar"/>
    <w:qFormat/>
    <w:pPr>
      <w:spacing w:before="0" w:after="0" w:line="500" w:lineRule="exact"/>
    </w:pPr>
    <w:rPr>
      <w:rFonts w:ascii="宋体"/>
      <w:b w:val="0"/>
      <w:sz w:val="24"/>
      <w:szCs w:val="24"/>
    </w:rPr>
  </w:style>
  <w:style w:type="character" w:customStyle="1" w:styleId="hb4CharCharCharChar">
    <w:name w:val="hb4 Char Char Char Char"/>
    <w:link w:val="hb4CharCharChar"/>
    <w:qFormat/>
    <w:rPr>
      <w:rFonts w:ascii="宋体" w:eastAsia="黑体" w:hAnsi="Arial"/>
      <w:kern w:val="2"/>
      <w:sz w:val="24"/>
      <w:szCs w:val="24"/>
    </w:rPr>
  </w:style>
  <w:style w:type="paragraph" w:customStyle="1" w:styleId="Charffff9">
    <w:name w:val="表头样式 Char"/>
    <w:qFormat/>
    <w:pPr>
      <w:jc w:val="center"/>
    </w:pPr>
    <w:rPr>
      <w:rFonts w:ascii="宋体" w:hAnsi="宋体"/>
      <w:b/>
      <w:kern w:val="2"/>
      <w:sz w:val="28"/>
      <w:szCs w:val="28"/>
    </w:rPr>
  </w:style>
  <w:style w:type="character" w:customStyle="1" w:styleId="CharCharCharCharCharCharCharCharCharCharCharCharCharCharCharCharCharCharChar0">
    <w:name w:val="普通文字 Char Char Char Char Char Char Char Char Char Char Char Char Char Char Char Char Char Char Char"/>
    <w:qFormat/>
    <w:rPr>
      <w:rFonts w:ascii="宋体" w:eastAsia="仿宋_GB2312" w:hAnsi="Courier New"/>
      <w:kern w:val="2"/>
      <w:sz w:val="28"/>
      <w:lang w:val="en-US" w:eastAsia="zh-CN" w:bidi="ar-SA"/>
    </w:rPr>
  </w:style>
  <w:style w:type="paragraph" w:customStyle="1" w:styleId="affffffffffffffffffff4">
    <w:name w:val="中文报告书样式"/>
    <w:basedOn w:val="a"/>
    <w:qFormat/>
    <w:pPr>
      <w:adjustRightInd w:val="0"/>
      <w:spacing w:line="360" w:lineRule="auto"/>
      <w:ind w:firstLine="482"/>
      <w:textAlignment w:val="baseline"/>
    </w:pPr>
    <w:rPr>
      <w:rFonts w:ascii="Times New Roman" w:hAnsi="Times New Roman"/>
      <w:kern w:val="24"/>
    </w:rPr>
  </w:style>
  <w:style w:type="paragraph" w:customStyle="1" w:styleId="Charffffa">
    <w:name w:val="小标 Char"/>
    <w:basedOn w:val="afd"/>
    <w:qFormat/>
    <w:pPr>
      <w:spacing w:line="240" w:lineRule="auto"/>
      <w:ind w:firstLineChars="0" w:firstLine="0"/>
      <w:jc w:val="left"/>
    </w:pPr>
    <w:rPr>
      <w:rFonts w:ascii="黑体" w:eastAsia="黑体"/>
      <w:b/>
      <w:sz w:val="28"/>
      <w:szCs w:val="28"/>
    </w:rPr>
  </w:style>
  <w:style w:type="character" w:customStyle="1" w:styleId="CharCharf8">
    <w:name w:val="小标 Char Char"/>
    <w:qFormat/>
    <w:rPr>
      <w:rFonts w:ascii="黑体" w:eastAsia="黑体" w:hAnsi="Courier New"/>
      <w:b/>
      <w:kern w:val="2"/>
      <w:sz w:val="28"/>
      <w:szCs w:val="28"/>
      <w:lang w:val="en-US" w:eastAsia="zh-CN" w:bidi="ar-SA"/>
    </w:rPr>
  </w:style>
  <w:style w:type="character" w:customStyle="1" w:styleId="CharCharf9">
    <w:name w:val="表头样式 Char Char"/>
    <w:qFormat/>
    <w:rPr>
      <w:rFonts w:ascii="宋体" w:eastAsia="宋体" w:hAnsi="宋体"/>
      <w:b/>
      <w:kern w:val="2"/>
      <w:sz w:val="28"/>
      <w:szCs w:val="28"/>
      <w:lang w:val="en-US" w:eastAsia="zh-CN" w:bidi="ar-SA"/>
    </w:rPr>
  </w:style>
  <w:style w:type="paragraph" w:customStyle="1" w:styleId="affffffffffffffffffff5">
    <w:name w:val="小标"/>
    <w:basedOn w:val="afd"/>
    <w:qFormat/>
    <w:pPr>
      <w:spacing w:line="240" w:lineRule="auto"/>
      <w:ind w:firstLineChars="0" w:firstLine="0"/>
      <w:jc w:val="left"/>
    </w:pPr>
    <w:rPr>
      <w:rFonts w:ascii="黑体" w:eastAsia="黑体"/>
      <w:b/>
      <w:sz w:val="28"/>
      <w:szCs w:val="28"/>
    </w:rPr>
  </w:style>
  <w:style w:type="paragraph" w:customStyle="1" w:styleId="affffffffffffffffffff6">
    <w:name w:val="二期二级样式"/>
    <w:basedOn w:val="a"/>
    <w:qFormat/>
    <w:pPr>
      <w:widowControl/>
      <w:tabs>
        <w:tab w:val="left" w:pos="840"/>
      </w:tabs>
      <w:ind w:left="840" w:hanging="420"/>
      <w:jc w:val="left"/>
    </w:pPr>
    <w:rPr>
      <w:rFonts w:ascii="Times New Roman" w:hAnsi="Times New Roman"/>
      <w:kern w:val="0"/>
      <w:szCs w:val="24"/>
    </w:rPr>
  </w:style>
  <w:style w:type="paragraph" w:customStyle="1" w:styleId="affffffffffffffffffff7">
    <w:name w:val="二期三级样式"/>
    <w:basedOn w:val="a"/>
    <w:qFormat/>
    <w:pPr>
      <w:widowControl/>
      <w:tabs>
        <w:tab w:val="left" w:pos="1260"/>
      </w:tabs>
      <w:ind w:left="1260" w:hanging="420"/>
      <w:jc w:val="left"/>
    </w:pPr>
    <w:rPr>
      <w:rFonts w:ascii="Times New Roman" w:hAnsi="Times New Roman"/>
      <w:kern w:val="0"/>
      <w:szCs w:val="24"/>
    </w:rPr>
  </w:style>
  <w:style w:type="paragraph" w:customStyle="1" w:styleId="affffffffffffffffffff8">
    <w:name w:val="二期四级样式"/>
    <w:basedOn w:val="a"/>
    <w:qFormat/>
    <w:pPr>
      <w:widowControl/>
      <w:tabs>
        <w:tab w:val="left" w:pos="1680"/>
      </w:tabs>
      <w:ind w:left="1680" w:hanging="420"/>
      <w:jc w:val="left"/>
    </w:pPr>
    <w:rPr>
      <w:rFonts w:ascii="Times New Roman" w:hAnsi="Times New Roman"/>
      <w:kern w:val="0"/>
      <w:szCs w:val="24"/>
    </w:rPr>
  </w:style>
  <w:style w:type="paragraph" w:customStyle="1" w:styleId="affffffffffffffffffff9">
    <w:name w:val="报告"/>
    <w:basedOn w:val="a"/>
    <w:qFormat/>
    <w:pPr>
      <w:spacing w:line="360" w:lineRule="auto"/>
      <w:ind w:firstLineChars="200" w:firstLine="560"/>
    </w:pPr>
    <w:rPr>
      <w:rFonts w:ascii="Times New Roman" w:hAnsi="Times New Roman"/>
      <w:sz w:val="28"/>
      <w:szCs w:val="24"/>
    </w:rPr>
  </w:style>
  <w:style w:type="paragraph" w:customStyle="1" w:styleId="1-1">
    <w:name w:val="1-表内"/>
    <w:basedOn w:val="a"/>
    <w:qFormat/>
    <w:pPr>
      <w:spacing w:line="360" w:lineRule="auto"/>
      <w:ind w:firstLineChars="200" w:firstLine="480"/>
    </w:pPr>
    <w:rPr>
      <w:szCs w:val="21"/>
    </w:rPr>
  </w:style>
  <w:style w:type="paragraph" w:customStyle="1" w:styleId="02135">
    <w:name w:val="样式 四号 非加粗 加宽量  0.2 磅 行距: 多倍行距 1.35 字行"/>
    <w:basedOn w:val="a"/>
    <w:qFormat/>
    <w:pPr>
      <w:spacing w:line="324" w:lineRule="auto"/>
      <w:ind w:firstLineChars="200" w:firstLine="576"/>
    </w:pPr>
    <w:rPr>
      <w:rFonts w:ascii="Times New Roman" w:hAnsi="Times New Roman"/>
      <w:spacing w:val="4"/>
      <w:sz w:val="28"/>
    </w:rPr>
  </w:style>
  <w:style w:type="paragraph" w:customStyle="1" w:styleId="affffffffffffffffffffa">
    <w:name w:val="清除格式"/>
    <w:basedOn w:val="a"/>
    <w:qFormat/>
    <w:rPr>
      <w:szCs w:val="24"/>
    </w:rPr>
  </w:style>
  <w:style w:type="paragraph" w:customStyle="1" w:styleId="affffffffffffffffffffb">
    <w:name w:val="二标题"/>
    <w:basedOn w:val="a"/>
    <w:qFormat/>
    <w:pPr>
      <w:keepNext/>
      <w:keepLines/>
      <w:tabs>
        <w:tab w:val="left" w:pos="360"/>
        <w:tab w:val="left" w:pos="1275"/>
      </w:tabs>
      <w:spacing w:before="260" w:after="260" w:line="416" w:lineRule="auto"/>
      <w:ind w:left="1275" w:hanging="1275"/>
      <w:jc w:val="center"/>
      <w:outlineLvl w:val="2"/>
    </w:pPr>
    <w:rPr>
      <w:sz w:val="32"/>
      <w:szCs w:val="32"/>
    </w:rPr>
  </w:style>
  <w:style w:type="paragraph" w:customStyle="1" w:styleId="affffffffffffffffffffc">
    <w:name w:val="大标题"/>
    <w:basedOn w:val="a"/>
    <w:qFormat/>
    <w:pPr>
      <w:keepNext/>
      <w:keepLines/>
      <w:tabs>
        <w:tab w:val="left" w:pos="360"/>
        <w:tab w:val="left" w:pos="2190"/>
      </w:tabs>
      <w:spacing w:before="340" w:after="330" w:line="578" w:lineRule="auto"/>
      <w:ind w:left="2190" w:hanging="2190"/>
      <w:jc w:val="center"/>
      <w:outlineLvl w:val="0"/>
    </w:pPr>
    <w:rPr>
      <w:rFonts w:ascii="Times New Roman" w:hAnsi="Times New Roman"/>
      <w:b/>
      <w:bCs/>
      <w:kern w:val="44"/>
      <w:sz w:val="44"/>
      <w:szCs w:val="44"/>
    </w:rPr>
  </w:style>
  <w:style w:type="character" w:customStyle="1" w:styleId="Charffffb">
    <w:name w:val="表样式 Char"/>
    <w:qFormat/>
    <w:rPr>
      <w:rFonts w:ascii="黑体" w:eastAsia="黑体"/>
      <w:kern w:val="2"/>
      <w:sz w:val="28"/>
      <w:lang w:val="en-US" w:eastAsia="zh-CN"/>
    </w:rPr>
  </w:style>
  <w:style w:type="paragraph" w:customStyle="1" w:styleId="affffffffffffffffffffd">
    <w:name w:val="表左"/>
    <w:basedOn w:val="a"/>
    <w:next w:val="a"/>
    <w:qFormat/>
    <w:pPr>
      <w:adjustRightInd w:val="0"/>
      <w:spacing w:line="280" w:lineRule="exact"/>
      <w:ind w:firstLine="567"/>
      <w:jc w:val="center"/>
      <w:textAlignment w:val="baseline"/>
    </w:pPr>
    <w:rPr>
      <w:rFonts w:ascii="仿宋_GB2312" w:eastAsia="仿宋_GB2312" w:hAnsi="Times New Roman"/>
      <w:color w:val="000000"/>
      <w:sz w:val="21"/>
      <w:szCs w:val="21"/>
    </w:rPr>
  </w:style>
  <w:style w:type="paragraph" w:customStyle="1" w:styleId="affffffffffffffffffffe">
    <w:name w:val="表格样式"/>
    <w:basedOn w:val="a"/>
    <w:qFormat/>
    <w:pPr>
      <w:spacing w:line="360" w:lineRule="exact"/>
      <w:jc w:val="center"/>
    </w:pPr>
    <w:rPr>
      <w:sz w:val="21"/>
      <w:szCs w:val="24"/>
    </w:rPr>
  </w:style>
  <w:style w:type="paragraph" w:customStyle="1" w:styleId="PlainText1">
    <w:name w:val="Plain Text1"/>
    <w:basedOn w:val="a"/>
    <w:qFormat/>
    <w:pPr>
      <w:tabs>
        <w:tab w:val="left" w:pos="1845"/>
      </w:tabs>
      <w:spacing w:line="240" w:lineRule="exact"/>
      <w:jc w:val="center"/>
    </w:pPr>
    <w:rPr>
      <w:rFonts w:ascii="Times New Roman" w:hAnsi="Times New Roman"/>
      <w:sz w:val="18"/>
      <w:szCs w:val="24"/>
    </w:rPr>
  </w:style>
  <w:style w:type="paragraph" w:customStyle="1" w:styleId="Bullet">
    <w:name w:val="Bullet"/>
    <w:basedOn w:val="a"/>
    <w:next w:val="a"/>
    <w:qFormat/>
    <w:pPr>
      <w:widowControl/>
      <w:suppressLineNumbers/>
      <w:tabs>
        <w:tab w:val="left" w:pos="840"/>
      </w:tabs>
      <w:suppressAutoHyphens/>
      <w:spacing w:after="240"/>
      <w:ind w:left="720" w:hanging="360"/>
    </w:pPr>
    <w:rPr>
      <w:rFonts w:ascii="Times New Roman" w:hAnsi="Times New Roman"/>
      <w:kern w:val="0"/>
      <w:sz w:val="23"/>
      <w:lang w:eastAsia="en-US"/>
    </w:rPr>
  </w:style>
  <w:style w:type="character" w:customStyle="1" w:styleId="blacktitle">
    <w:name w:val="black_title"/>
    <w:basedOn w:val="a0"/>
  </w:style>
  <w:style w:type="paragraph" w:customStyle="1" w:styleId="Char4CharCharCharCharCharChar1">
    <w:name w:val="Char4 Char Char Char Char Char Char1"/>
    <w:basedOn w:val="a"/>
    <w:qFormat/>
    <w:pPr>
      <w:spacing w:line="360" w:lineRule="auto"/>
      <w:ind w:firstLineChars="200" w:firstLine="200"/>
    </w:pPr>
    <w:rPr>
      <w:rFonts w:cs="宋体"/>
      <w:szCs w:val="24"/>
    </w:rPr>
  </w:style>
  <w:style w:type="paragraph" w:customStyle="1" w:styleId="afffffffffffffffffffff">
    <w:name w:val="表格文字中"/>
    <w:basedOn w:val="a"/>
    <w:link w:val="Charffffc"/>
    <w:qFormat/>
    <w:pPr>
      <w:jc w:val="center"/>
    </w:pPr>
    <w:rPr>
      <w:rFonts w:ascii="Times New Roman" w:hAnsi="Times New Roman"/>
      <w:kern w:val="0"/>
      <w:sz w:val="21"/>
      <w:szCs w:val="24"/>
    </w:rPr>
  </w:style>
  <w:style w:type="character" w:customStyle="1" w:styleId="Charffffc">
    <w:name w:val="表格文字中 Char"/>
    <w:link w:val="afffffffffffffffffffff"/>
    <w:qFormat/>
    <w:rPr>
      <w:sz w:val="21"/>
      <w:szCs w:val="24"/>
    </w:rPr>
  </w:style>
  <w:style w:type="character" w:customStyle="1" w:styleId="GB23121">
    <w:name w:val="样式 (中文) 仿宋_GB2312 小三"/>
    <w:qFormat/>
    <w:rPr>
      <w:rFonts w:eastAsia="仿宋_GB2312"/>
      <w:sz w:val="30"/>
    </w:rPr>
  </w:style>
  <w:style w:type="paragraph" w:customStyle="1" w:styleId="4-25">
    <w:name w:val="4-25正"/>
    <w:basedOn w:val="a"/>
    <w:link w:val="4-25Char"/>
    <w:qFormat/>
    <w:pPr>
      <w:widowControl/>
      <w:spacing w:before="40" w:after="40" w:line="360" w:lineRule="auto"/>
      <w:ind w:firstLineChars="200" w:firstLine="480"/>
    </w:pPr>
    <w:rPr>
      <w:rFonts w:ascii="Times New Roman" w:hAnsi="Times New Roman" w:cs="宋体"/>
      <w:kern w:val="0"/>
    </w:rPr>
  </w:style>
  <w:style w:type="character" w:customStyle="1" w:styleId="4-25Char">
    <w:name w:val="4-25正 Char"/>
    <w:link w:val="4-25"/>
    <w:qFormat/>
    <w:rPr>
      <w:rFonts w:cs="宋体"/>
      <w:sz w:val="24"/>
    </w:rPr>
  </w:style>
  <w:style w:type="paragraph" w:customStyle="1" w:styleId="1fffa">
    <w:name w:val="正文水资源论证1"/>
    <w:basedOn w:val="a"/>
    <w:qFormat/>
    <w:pPr>
      <w:spacing w:line="520" w:lineRule="exact"/>
      <w:ind w:firstLineChars="200" w:firstLine="560"/>
    </w:pPr>
    <w:rPr>
      <w:sz w:val="28"/>
      <w:szCs w:val="24"/>
    </w:rPr>
  </w:style>
  <w:style w:type="paragraph" w:customStyle="1" w:styleId="CharCharCharCharCharCharCharCharCharCharCharCharCharCharCharCharCharChar1CharCharCharCharCharCharCharCharCharCharCharChar1CharCharChar2">
    <w:name w:val="Char Char Char Char Char Char Char Char Char Char Char Char Char Char Char Char Char Char1 Char Char Char Char Char Char Char Char Char Char Char Char1 Char Char Char2"/>
    <w:basedOn w:val="a"/>
    <w:next w:val="a"/>
    <w:qFormat/>
    <w:pPr>
      <w:spacing w:line="360" w:lineRule="auto"/>
      <w:ind w:firstLineChars="200" w:firstLine="200"/>
    </w:pPr>
    <w:rPr>
      <w:rFonts w:cs="宋体"/>
      <w:szCs w:val="24"/>
    </w:rPr>
  </w:style>
  <w:style w:type="character" w:customStyle="1" w:styleId="Charffffd">
    <w:name w:val="报告书正文 Char"/>
    <w:link w:val="afffffffffffffffffffff0"/>
    <w:qFormat/>
    <w:rPr>
      <w:sz w:val="24"/>
    </w:rPr>
  </w:style>
  <w:style w:type="paragraph" w:customStyle="1" w:styleId="afffffffffffffffffffff0">
    <w:name w:val="报告书正文"/>
    <w:basedOn w:val="a"/>
    <w:link w:val="Charffffd"/>
    <w:qFormat/>
    <w:pPr>
      <w:spacing w:line="360" w:lineRule="auto"/>
      <w:ind w:firstLineChars="200" w:firstLine="480"/>
    </w:pPr>
    <w:rPr>
      <w:rFonts w:ascii="Times New Roman" w:hAnsi="Times New Roman"/>
      <w:kern w:val="0"/>
    </w:rPr>
  </w:style>
  <w:style w:type="character" w:customStyle="1" w:styleId="Charffffe">
    <w:name w:val="缩进 Char"/>
    <w:link w:val="afffffffffffffffffffff1"/>
    <w:qFormat/>
    <w:rPr>
      <w:kern w:val="2"/>
      <w:sz w:val="24"/>
    </w:rPr>
  </w:style>
  <w:style w:type="paragraph" w:customStyle="1" w:styleId="afffffffffffffffffffff1">
    <w:name w:val="缩进"/>
    <w:basedOn w:val="a"/>
    <w:link w:val="Charffffe"/>
    <w:qFormat/>
    <w:pPr>
      <w:spacing w:line="360" w:lineRule="auto"/>
      <w:ind w:firstLineChars="200" w:firstLine="200"/>
    </w:pPr>
    <w:rPr>
      <w:rFonts w:ascii="Times New Roman" w:hAnsi="Times New Roman"/>
    </w:rPr>
  </w:style>
  <w:style w:type="paragraph" w:customStyle="1" w:styleId="afffffffffffffffffffff2">
    <w:name w:val="表格(新)"/>
    <w:basedOn w:val="a"/>
    <w:qFormat/>
    <w:pPr>
      <w:spacing w:line="240" w:lineRule="atLeast"/>
      <w:jc w:val="center"/>
    </w:pPr>
    <w:rPr>
      <w:rFonts w:ascii="Times New Roman" w:hAnsi="Times New Roman"/>
      <w:bCs/>
      <w:kern w:val="24"/>
      <w:sz w:val="21"/>
      <w:szCs w:val="21"/>
    </w:rPr>
  </w:style>
  <w:style w:type="character" w:customStyle="1" w:styleId="diufl">
    <w:name w:val="diufl"/>
    <w:basedOn w:val="a0"/>
    <w:qFormat/>
  </w:style>
  <w:style w:type="paragraph" w:customStyle="1" w:styleId="afffffffffffffffffffff3">
    <w:name w:val="表头(新)"/>
    <w:basedOn w:val="a"/>
    <w:link w:val="Charfffff"/>
    <w:qFormat/>
    <w:pPr>
      <w:spacing w:beforeLines="50" w:line="240" w:lineRule="atLeast"/>
      <w:jc w:val="center"/>
    </w:pPr>
    <w:rPr>
      <w:b/>
      <w:snapToGrid w:val="0"/>
      <w:kern w:val="0"/>
      <w:sz w:val="21"/>
      <w:szCs w:val="24"/>
    </w:rPr>
  </w:style>
  <w:style w:type="character" w:customStyle="1" w:styleId="Charfffff">
    <w:name w:val="表头(新) Char"/>
    <w:link w:val="afffffffffffffffffffff3"/>
    <w:qFormat/>
    <w:rPr>
      <w:rFonts w:ascii="宋体" w:hAnsi="宋体"/>
      <w:b/>
      <w:snapToGrid w:val="0"/>
      <w:sz w:val="21"/>
      <w:szCs w:val="24"/>
    </w:rPr>
  </w:style>
  <w:style w:type="character" w:customStyle="1" w:styleId="CharCharfa">
    <w:name w:val="报告正文 Char Char"/>
    <w:qFormat/>
    <w:rPr>
      <w:rFonts w:eastAsia="宋体"/>
      <w:kern w:val="2"/>
      <w:sz w:val="24"/>
      <w:szCs w:val="21"/>
      <w:lang w:val="en-US" w:eastAsia="zh-CN" w:bidi="ar-SA"/>
    </w:rPr>
  </w:style>
  <w:style w:type="character" w:customStyle="1" w:styleId="TimesNewRoman1CharChar">
    <w:name w:val="样式 表、图名 + Times New Roman1 Char Char"/>
    <w:link w:val="TimesNewRoman1"/>
    <w:qFormat/>
    <w:rPr>
      <w:rFonts w:ascii="黑体" w:eastAsia="黑体" w:hAnsi="宋体" w:cs="宋体"/>
      <w:color w:val="000000"/>
      <w:kern w:val="2"/>
      <w:sz w:val="24"/>
      <w:szCs w:val="24"/>
    </w:rPr>
  </w:style>
  <w:style w:type="paragraph" w:customStyle="1" w:styleId="TimesNewRoman1">
    <w:name w:val="样式 表、图名 + Times New Roman1"/>
    <w:basedOn w:val="affffff5"/>
    <w:link w:val="TimesNewRoman1CharChar"/>
    <w:qFormat/>
    <w:pPr>
      <w:snapToGrid/>
      <w:spacing w:beforeLines="10" w:afterLines="10" w:line="360" w:lineRule="auto"/>
      <w:ind w:left="0"/>
      <w:jc w:val="left"/>
    </w:pPr>
    <w:rPr>
      <w:rFonts w:cs="宋体"/>
      <w:szCs w:val="24"/>
    </w:rPr>
  </w:style>
  <w:style w:type="character" w:customStyle="1" w:styleId="CharCharb">
    <w:name w:val="表尾 Char Char"/>
    <w:link w:val="afffffffff7"/>
    <w:qFormat/>
    <w:rPr>
      <w:sz w:val="21"/>
    </w:rPr>
  </w:style>
  <w:style w:type="paragraph" w:customStyle="1" w:styleId="afffffffffffffffffffff4">
    <w:name w:val="【表头】"/>
    <w:basedOn w:val="a"/>
    <w:qFormat/>
    <w:pPr>
      <w:spacing w:beforeLines="10" w:afterLines="10" w:line="360" w:lineRule="auto"/>
      <w:jc w:val="center"/>
    </w:pPr>
    <w:rPr>
      <w:rFonts w:ascii="Times New Roman" w:eastAsia="黑体" w:hAnsi="Times New Roman" w:cs="Arial"/>
      <w:szCs w:val="24"/>
    </w:rPr>
  </w:style>
  <w:style w:type="character" w:customStyle="1" w:styleId="15Char">
    <w:name w:val="正文 小四 行距: 1.5 倍行距 Char"/>
    <w:link w:val="154"/>
    <w:qFormat/>
    <w:rPr>
      <w:rFonts w:cs="宋体"/>
      <w:kern w:val="2"/>
      <w:sz w:val="24"/>
    </w:rPr>
  </w:style>
  <w:style w:type="character" w:customStyle="1" w:styleId="CharCharfb">
    <w:name w:val="表、图名 Char Char"/>
    <w:qFormat/>
    <w:rPr>
      <w:rFonts w:ascii="黑体" w:eastAsia="黑体" w:hAnsi="宋体" w:cs="宋体"/>
      <w:color w:val="000000"/>
      <w:kern w:val="2"/>
      <w:sz w:val="24"/>
      <w:szCs w:val="24"/>
      <w:lang w:val="en-US" w:eastAsia="zh-CN" w:bidi="ar-SA"/>
    </w:rPr>
  </w:style>
  <w:style w:type="character" w:customStyle="1" w:styleId="CharCharfc">
    <w:name w:val="表标号 Char Char"/>
    <w:qFormat/>
    <w:rPr>
      <w:rFonts w:eastAsia="黑体"/>
      <w:snapToGrid w:val="0"/>
      <w:sz w:val="24"/>
      <w:szCs w:val="24"/>
      <w:lang w:val="en-US" w:eastAsia="zh-CN" w:bidi="ar-SA"/>
    </w:rPr>
  </w:style>
  <w:style w:type="character" w:customStyle="1" w:styleId="0303CharChar">
    <w:name w:val="样式 样式 标题四 + 非加粗 + 段前: 0.3 行 段后: 0.3 行 Char Char"/>
    <w:qFormat/>
    <w:rPr>
      <w:rFonts w:ascii="黑体" w:eastAsia="黑体" w:cs="宋体"/>
      <w:snapToGrid w:val="0"/>
      <w:kern w:val="2"/>
      <w:sz w:val="24"/>
      <w:szCs w:val="24"/>
      <w:lang w:val="en-US" w:eastAsia="zh-CN" w:bidi="ar-SA"/>
    </w:rPr>
  </w:style>
  <w:style w:type="paragraph" w:customStyle="1" w:styleId="157">
    <w:name w:val="样式 (符号) 宋体 小四 行距: 1.5 倍行距"/>
    <w:basedOn w:val="a"/>
    <w:qFormat/>
    <w:pPr>
      <w:spacing w:line="360" w:lineRule="auto"/>
      <w:ind w:firstLineChars="200" w:firstLine="480"/>
    </w:pPr>
    <w:rPr>
      <w:rFonts w:ascii="Times New Roman" w:cs="宋体"/>
      <w:color w:val="000000"/>
      <w:kern w:val="0"/>
      <w:szCs w:val="24"/>
    </w:rPr>
  </w:style>
  <w:style w:type="paragraph" w:customStyle="1" w:styleId="afffffffffffffffffffff5">
    <w:name w:val="三塘湖正文"/>
    <w:basedOn w:val="a"/>
    <w:link w:val="Charfffff0"/>
    <w:qFormat/>
    <w:pPr>
      <w:spacing w:line="500" w:lineRule="exact"/>
      <w:ind w:firstLineChars="200" w:firstLine="200"/>
      <w:jc w:val="left"/>
    </w:pPr>
    <w:rPr>
      <w:rFonts w:ascii="Arial Narrow" w:eastAsia="汉鼎简书宋" w:hAnsi="Arial Narrow"/>
      <w:bCs/>
      <w:snapToGrid w:val="0"/>
      <w:kern w:val="0"/>
      <w:szCs w:val="24"/>
    </w:rPr>
  </w:style>
  <w:style w:type="character" w:customStyle="1" w:styleId="Charfffff0">
    <w:name w:val="三塘湖正文 Char"/>
    <w:link w:val="afffffffffffffffffffff5"/>
    <w:qFormat/>
    <w:rPr>
      <w:rFonts w:ascii="Arial Narrow" w:eastAsia="汉鼎简书宋" w:hAnsi="Arial Narrow"/>
      <w:bCs/>
      <w:snapToGrid w:val="0"/>
      <w:sz w:val="24"/>
      <w:szCs w:val="24"/>
    </w:rPr>
  </w:style>
  <w:style w:type="paragraph" w:customStyle="1" w:styleId="CharCharCharCharCharCharCharCharCharCharCharCharCharCharCharCharCharCharCharCharCharCharCharCharCharCharCharChar1CharCharCharCharCharCharChar">
    <w:name w:val="Char Char Char Char Char Char Char Char Char Char Char Char Char Char Char Char Char Char Char Char Char Char Char Char Char Char Char Char1 Char Char Char Char Char Char Char"/>
    <w:basedOn w:val="a"/>
    <w:qFormat/>
    <w:rPr>
      <w:rFonts w:ascii="Times New Roman" w:hAnsi="Times New Roman"/>
      <w:sz w:val="21"/>
      <w:szCs w:val="24"/>
    </w:rPr>
  </w:style>
  <w:style w:type="paragraph" w:customStyle="1" w:styleId="CharCharCharCharCharCharCharCharCharCharCharCharCharCharCharCharCharCharCharCharCharCharCharCharCharCharCharChar1CharCharCharCharCharChar">
    <w:name w:val="Char Char Char Char Char Char Char Char Char Char Char Char Char Char Char Char Char Char Char Char Char Char Char Char Char Char Char Char1 Char Char Char Char Char Char"/>
    <w:basedOn w:val="a"/>
    <w:qFormat/>
    <w:rPr>
      <w:rFonts w:ascii="Times New Roman" w:hAnsi="Times New Roman"/>
      <w:sz w:val="21"/>
      <w:szCs w:val="24"/>
    </w:rPr>
  </w:style>
  <w:style w:type="paragraph" w:customStyle="1" w:styleId="afffffffffffffffffffff6">
    <w:name w:val="表格字体"/>
    <w:basedOn w:val="afffffffff4"/>
    <w:link w:val="Charfffff1"/>
    <w:qFormat/>
    <w:pPr>
      <w:widowControl/>
      <w:snapToGrid/>
      <w:spacing w:line="240" w:lineRule="auto"/>
      <w:jc w:val="center"/>
    </w:pPr>
    <w:rPr>
      <w:rFonts w:ascii="Arial Narrow" w:eastAsia="汉鼎简书宋" w:hAnsi="Arial Narrow"/>
      <w:kern w:val="0"/>
      <w:sz w:val="21"/>
      <w:szCs w:val="21"/>
    </w:rPr>
  </w:style>
  <w:style w:type="character" w:customStyle="1" w:styleId="Charfffff1">
    <w:name w:val="表格字体 Char"/>
    <w:link w:val="afffffffffffffffffffff6"/>
    <w:qFormat/>
    <w:rPr>
      <w:rFonts w:ascii="Arial Narrow" w:eastAsia="汉鼎简书宋" w:hAnsi="Arial Narrow"/>
      <w:sz w:val="21"/>
      <w:szCs w:val="21"/>
    </w:rPr>
  </w:style>
  <w:style w:type="paragraph" w:customStyle="1" w:styleId="11a">
    <w:name w:val="正文11"/>
    <w:basedOn w:val="afffffffffffe"/>
    <w:link w:val="11Char"/>
    <w:qFormat/>
    <w:pPr>
      <w:ind w:firstLine="480"/>
    </w:pPr>
    <w:rPr>
      <w:lang w:val="en-US"/>
    </w:rPr>
  </w:style>
  <w:style w:type="character" w:customStyle="1" w:styleId="11Char">
    <w:name w:val="正文11 Char"/>
    <w:basedOn w:val="Charff9"/>
    <w:link w:val="11a"/>
    <w:qFormat/>
    <w:rPr>
      <w:rFonts w:ascii="Arial Narrow" w:eastAsia="汉鼎简书宋" w:hAnsi="Arial Narrow"/>
      <w:bCs/>
      <w:kern w:val="2"/>
      <w:sz w:val="24"/>
      <w:szCs w:val="24"/>
    </w:rPr>
  </w:style>
  <w:style w:type="paragraph" w:customStyle="1" w:styleId="afffffffffffffffffffff7">
    <w:name w:val="二级"/>
    <w:basedOn w:val="4c"/>
    <w:link w:val="Charfffff2"/>
    <w:qFormat/>
    <w:pPr>
      <w:keepNext w:val="0"/>
      <w:keepLines w:val="0"/>
      <w:tabs>
        <w:tab w:val="clear" w:pos="1134"/>
        <w:tab w:val="clear" w:pos="1440"/>
      </w:tabs>
      <w:spacing w:line="500" w:lineRule="exact"/>
      <w:ind w:left="0" w:firstLine="0"/>
      <w:jc w:val="left"/>
      <w:outlineLvl w:val="1"/>
    </w:pPr>
    <w:rPr>
      <w:rFonts w:ascii="黑体" w:eastAsia="黑体" w:hAnsi="Arial Narrow"/>
      <w:bCs/>
      <w:szCs w:val="30"/>
    </w:rPr>
  </w:style>
  <w:style w:type="character" w:customStyle="1" w:styleId="Charfffff2">
    <w:name w:val="二级 Char"/>
    <w:link w:val="afffffffffffffffffffff7"/>
    <w:qFormat/>
    <w:rPr>
      <w:rFonts w:ascii="黑体" w:eastAsia="黑体" w:hAnsi="Arial Narrow"/>
      <w:b/>
      <w:bCs/>
      <w:kern w:val="2"/>
      <w:sz w:val="28"/>
      <w:szCs w:val="30"/>
    </w:rPr>
  </w:style>
  <w:style w:type="character" w:customStyle="1" w:styleId="CharCharCharChar6">
    <w:name w:val="三塘湖 Char Char Char Char"/>
    <w:qFormat/>
    <w:rPr>
      <w:rFonts w:ascii="Arial Narrow" w:eastAsia="汉鼎简书宋" w:hAnsi="Arial Narrow"/>
      <w:bCs/>
      <w:kern w:val="2"/>
      <w:sz w:val="24"/>
      <w:szCs w:val="24"/>
      <w:lang w:val="en-US" w:eastAsia="zh-CN" w:bidi="ar-SA"/>
    </w:rPr>
  </w:style>
  <w:style w:type="character" w:customStyle="1" w:styleId="1Char41">
    <w:name w:val="页眉1 Char4"/>
    <w:rPr>
      <w:rFonts w:eastAsia="宋体"/>
      <w:kern w:val="2"/>
      <w:sz w:val="18"/>
      <w:szCs w:val="18"/>
      <w:lang w:val="en-US" w:eastAsia="zh-CN" w:bidi="ar-SA"/>
    </w:rPr>
  </w:style>
  <w:style w:type="character" w:customStyle="1" w:styleId="DHCCChar4">
    <w:name w:val="页脚，DHCC公司页脚 Char4"/>
    <w:qFormat/>
    <w:rPr>
      <w:rFonts w:eastAsia="宋体"/>
      <w:kern w:val="2"/>
      <w:sz w:val="18"/>
      <w:szCs w:val="18"/>
      <w:lang w:val="en-US" w:eastAsia="zh-CN" w:bidi="ar-SA"/>
    </w:rPr>
  </w:style>
  <w:style w:type="paragraph" w:customStyle="1" w:styleId="afffffffffffffffffffff8">
    <w:name w:val="四级"/>
    <w:basedOn w:val="afffffffffffe"/>
    <w:link w:val="Charfffff3"/>
    <w:qFormat/>
    <w:pPr>
      <w:ind w:firstLineChars="0" w:firstLine="0"/>
      <w:outlineLvl w:val="3"/>
    </w:pPr>
    <w:rPr>
      <w:lang w:val="en-US"/>
    </w:rPr>
  </w:style>
  <w:style w:type="character" w:customStyle="1" w:styleId="Charfffff3">
    <w:name w:val="四级 Char"/>
    <w:basedOn w:val="Charff9"/>
    <w:link w:val="afffffffffffffffffffff8"/>
    <w:qFormat/>
    <w:rPr>
      <w:rFonts w:ascii="Arial Narrow" w:eastAsia="汉鼎简书宋" w:hAnsi="Arial Narrow"/>
      <w:bCs/>
      <w:kern w:val="2"/>
      <w:sz w:val="24"/>
      <w:szCs w:val="24"/>
    </w:rPr>
  </w:style>
  <w:style w:type="paragraph" w:customStyle="1" w:styleId="1fffb">
    <w:name w:val="表头1"/>
    <w:basedOn w:val="a"/>
    <w:qFormat/>
    <w:pPr>
      <w:jc w:val="left"/>
    </w:pPr>
    <w:rPr>
      <w:rFonts w:ascii="Times New Roman" w:eastAsia="华文中宋"/>
      <w:szCs w:val="24"/>
    </w:rPr>
  </w:style>
  <w:style w:type="paragraph" w:customStyle="1" w:styleId="002">
    <w:name w:val="002"/>
    <w:basedOn w:val="a"/>
    <w:qFormat/>
    <w:pPr>
      <w:spacing w:line="480" w:lineRule="exact"/>
      <w:ind w:firstLineChars="200" w:firstLine="200"/>
    </w:pPr>
    <w:rPr>
      <w:rFonts w:ascii="Times New Roman" w:eastAsia="华文中宋"/>
      <w:b/>
      <w:szCs w:val="24"/>
    </w:rPr>
  </w:style>
  <w:style w:type="paragraph" w:customStyle="1" w:styleId="005">
    <w:name w:val="005表"/>
    <w:basedOn w:val="a"/>
    <w:qFormat/>
    <w:pPr>
      <w:ind w:firstLineChars="200" w:firstLine="200"/>
      <w:jc w:val="left"/>
    </w:pPr>
    <w:rPr>
      <w:rFonts w:ascii="Times New Roman" w:eastAsia="华文中宋"/>
      <w:sz w:val="21"/>
      <w:szCs w:val="24"/>
    </w:rPr>
  </w:style>
  <w:style w:type="paragraph" w:customStyle="1" w:styleId="CharCharCharCharCharCharCharCharCharCharCharCharCharCharCharCharCharCharChar2">
    <w:name w:val="Char Char Char Char Char Char Char Char Char Char Char Char Char Char Char Char Char Char Char2"/>
    <w:basedOn w:val="a"/>
    <w:qFormat/>
    <w:rPr>
      <w:rFonts w:ascii="Times New Roman" w:hAnsi="Times New Roman"/>
      <w:sz w:val="21"/>
      <w:szCs w:val="24"/>
    </w:rPr>
  </w:style>
  <w:style w:type="character" w:customStyle="1" w:styleId="CharChar82">
    <w:name w:val="Char Char82"/>
    <w:qFormat/>
    <w:rPr>
      <w:rFonts w:ascii="宋体" w:eastAsia="宋体"/>
      <w:sz w:val="18"/>
      <w:szCs w:val="18"/>
    </w:rPr>
  </w:style>
  <w:style w:type="paragraph" w:customStyle="1" w:styleId="11b">
    <w:name w:val="1.1"/>
    <w:basedOn w:val="a"/>
    <w:link w:val="11Char0"/>
    <w:qFormat/>
    <w:pPr>
      <w:spacing w:line="500" w:lineRule="exact"/>
      <w:outlineLvl w:val="0"/>
    </w:pPr>
    <w:rPr>
      <w:rFonts w:ascii="黑体" w:eastAsia="黑体" w:hAnsi="Arial Narrow"/>
      <w:b/>
      <w:bCs/>
      <w:sz w:val="28"/>
      <w:szCs w:val="28"/>
    </w:rPr>
  </w:style>
  <w:style w:type="paragraph" w:customStyle="1" w:styleId="1110">
    <w:name w:val="1.1.1"/>
    <w:basedOn w:val="a"/>
    <w:qFormat/>
    <w:pPr>
      <w:spacing w:line="500" w:lineRule="exact"/>
      <w:outlineLvl w:val="1"/>
    </w:pPr>
    <w:rPr>
      <w:rFonts w:ascii="Arial Narrow" w:eastAsia="汉鼎简书宋" w:hAnsi="Arial Narrow"/>
      <w:b/>
      <w:bCs/>
      <w:szCs w:val="22"/>
    </w:rPr>
  </w:style>
  <w:style w:type="character" w:customStyle="1" w:styleId="11Char0">
    <w:name w:val="1.1 Char"/>
    <w:link w:val="11b"/>
    <w:rPr>
      <w:rFonts w:ascii="黑体" w:eastAsia="黑体" w:hAnsi="Arial Narrow"/>
      <w:b/>
      <w:bCs/>
      <w:kern w:val="2"/>
      <w:sz w:val="28"/>
      <w:szCs w:val="28"/>
    </w:rPr>
  </w:style>
  <w:style w:type="paragraph" w:customStyle="1" w:styleId="11c">
    <w:name w:val="节1.1"/>
    <w:basedOn w:val="11b"/>
    <w:link w:val="11Char1"/>
    <w:qFormat/>
    <w:pPr>
      <w:jc w:val="left"/>
    </w:pPr>
  </w:style>
  <w:style w:type="paragraph" w:customStyle="1" w:styleId="1112">
    <w:name w:val="一1.1.1"/>
    <w:basedOn w:val="a"/>
    <w:link w:val="111Char0"/>
    <w:qFormat/>
    <w:pPr>
      <w:spacing w:line="500" w:lineRule="exact"/>
      <w:outlineLvl w:val="1"/>
    </w:pPr>
    <w:rPr>
      <w:rFonts w:ascii="Arial Narrow" w:eastAsia="汉鼎简书宋" w:hAnsi="Arial Narrow"/>
      <w:b/>
      <w:szCs w:val="22"/>
    </w:rPr>
  </w:style>
  <w:style w:type="character" w:customStyle="1" w:styleId="11Char1">
    <w:name w:val="节1.1 Char"/>
    <w:basedOn w:val="11Char0"/>
    <w:link w:val="11c"/>
    <w:rPr>
      <w:rFonts w:ascii="黑体" w:eastAsia="黑体" w:hAnsi="Arial Narrow"/>
      <w:b/>
      <w:bCs/>
      <w:kern w:val="2"/>
      <w:sz w:val="28"/>
      <w:szCs w:val="28"/>
    </w:rPr>
  </w:style>
  <w:style w:type="character" w:customStyle="1" w:styleId="111Char0">
    <w:name w:val="一1.1.1 Char"/>
    <w:link w:val="1112"/>
    <w:rPr>
      <w:rFonts w:ascii="Arial Narrow" w:eastAsia="汉鼎简书宋" w:hAnsi="Arial Narrow"/>
      <w:b/>
      <w:kern w:val="2"/>
      <w:sz w:val="24"/>
      <w:szCs w:val="22"/>
    </w:rPr>
  </w:style>
  <w:style w:type="paragraph" w:customStyle="1" w:styleId="11111">
    <w:name w:val="1！1.1.1.1"/>
    <w:basedOn w:val="a"/>
    <w:link w:val="11111Char"/>
    <w:qFormat/>
    <w:pPr>
      <w:spacing w:line="500" w:lineRule="exact"/>
      <w:outlineLvl w:val="2"/>
    </w:pPr>
    <w:rPr>
      <w:rFonts w:ascii="Arial Narrow" w:eastAsia="汉鼎简书宋" w:hAnsi="Arial Narrow"/>
      <w:szCs w:val="22"/>
    </w:rPr>
  </w:style>
  <w:style w:type="character" w:customStyle="1" w:styleId="11111Char">
    <w:name w:val="1！1.1.1.1 Char"/>
    <w:link w:val="11111"/>
    <w:qFormat/>
    <w:rPr>
      <w:rFonts w:ascii="Arial Narrow" w:eastAsia="汉鼎简书宋" w:hAnsi="Arial Narrow"/>
      <w:kern w:val="2"/>
      <w:sz w:val="24"/>
      <w:szCs w:val="22"/>
    </w:rPr>
  </w:style>
  <w:style w:type="paragraph" w:customStyle="1" w:styleId="afffffffffffffffffffff9">
    <w:name w:val="表图标题"/>
    <w:basedOn w:val="a"/>
    <w:link w:val="Charfffff4"/>
    <w:qFormat/>
    <w:pPr>
      <w:spacing w:line="500" w:lineRule="exact"/>
      <w:jc w:val="center"/>
      <w:outlineLvl w:val="3"/>
    </w:pPr>
    <w:rPr>
      <w:rFonts w:ascii="Arial Narrow" w:eastAsia="汉鼎简书宋" w:hAnsi="Arial Narrow"/>
      <w:b/>
      <w:sz w:val="21"/>
      <w:szCs w:val="21"/>
    </w:rPr>
  </w:style>
  <w:style w:type="character" w:customStyle="1" w:styleId="Charfffff4">
    <w:name w:val="表图标题 Char"/>
    <w:link w:val="afffffffffffffffffffff9"/>
    <w:qFormat/>
    <w:rPr>
      <w:rFonts w:ascii="Arial Narrow" w:eastAsia="汉鼎简书宋" w:hAnsi="Arial Narrow"/>
      <w:b/>
      <w:kern w:val="2"/>
      <w:sz w:val="21"/>
      <w:szCs w:val="21"/>
    </w:rPr>
  </w:style>
  <w:style w:type="character" w:customStyle="1" w:styleId="CharCharfd">
    <w:name w:val="设计一 Char Char"/>
    <w:qFormat/>
    <w:rPr>
      <w:rFonts w:ascii="宋体" w:eastAsia="宋体" w:hAnsi="宋体" w:cs="Times New Roman"/>
      <w:b/>
      <w:bCs/>
      <w:sz w:val="30"/>
      <w:szCs w:val="30"/>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a"/>
    <w:qFormat/>
    <w:rPr>
      <w:rFonts w:ascii="Times New Roman" w:hAnsi="Times New Roman"/>
      <w:sz w:val="21"/>
      <w:szCs w:val="24"/>
    </w:rPr>
  </w:style>
  <w:style w:type="character" w:customStyle="1" w:styleId="Charfffff5">
    <w:name w:val="样式 报告正文 + 三号 Char"/>
    <w:qFormat/>
    <w:rPr>
      <w:rFonts w:eastAsia="仿宋_GB2312"/>
      <w:bCs/>
      <w:spacing w:val="-8"/>
      <w:kern w:val="2"/>
      <w:sz w:val="28"/>
      <w:szCs w:val="24"/>
      <w:lang w:val="en-US" w:eastAsia="zh-CN" w:bidi="ar-SA"/>
    </w:rPr>
  </w:style>
  <w:style w:type="paragraph" w:customStyle="1" w:styleId="CharChar1d">
    <w:name w:val="报告正文 Char Char1"/>
    <w:basedOn w:val="a"/>
    <w:link w:val="CharCharChar7"/>
    <w:qFormat/>
    <w:pPr>
      <w:keepNext/>
      <w:adjustRightInd w:val="0"/>
      <w:snapToGrid w:val="0"/>
      <w:spacing w:line="360" w:lineRule="auto"/>
      <w:ind w:firstLine="567"/>
    </w:pPr>
    <w:rPr>
      <w:rFonts w:ascii="Times New Roman" w:eastAsia="仿宋_GB2312" w:hAnsi="Times New Roman"/>
      <w:sz w:val="28"/>
      <w:szCs w:val="24"/>
    </w:rPr>
  </w:style>
  <w:style w:type="character" w:customStyle="1" w:styleId="CharCharChar7">
    <w:name w:val="报告正文 Char Char Char"/>
    <w:link w:val="CharChar1d"/>
    <w:qFormat/>
    <w:rPr>
      <w:rFonts w:eastAsia="仿宋_GB2312"/>
      <w:kern w:val="2"/>
      <w:sz w:val="28"/>
      <w:szCs w:val="24"/>
    </w:rPr>
  </w:style>
  <w:style w:type="character" w:customStyle="1" w:styleId="author1">
    <w:name w:val="author1"/>
    <w:qFormat/>
    <w:rPr>
      <w:rFonts w:ascii="Arial" w:hAnsi="Arial" w:cs="Arial" w:hint="default"/>
      <w:color w:val="666666"/>
      <w:sz w:val="16"/>
      <w:szCs w:val="16"/>
    </w:rPr>
  </w:style>
  <w:style w:type="paragraph" w:customStyle="1" w:styleId="CharCharCharCharCharCharCharCharCharCharCharCharCharCharCharCharCharCharCharChar">
    <w:name w:val="Char Char Char Char Char Char Char Char Char Char Char Char Char Char Char Char Char Char Char Char"/>
    <w:basedOn w:val="a"/>
    <w:qFormat/>
    <w:rPr>
      <w:rFonts w:ascii="Times New Roman" w:hAnsi="Times New Roman"/>
      <w:sz w:val="21"/>
      <w:szCs w:val="24"/>
    </w:rPr>
  </w:style>
  <w:style w:type="paragraph" w:customStyle="1" w:styleId="CharCharCharCharCharCharCharCharCharCharCharCharCharCharCharCharCharCharCharCharChar2">
    <w:name w:val="Char Char Char Char Char Char Char Char Char Char Char Char Char Char Char Char Char Char Char Char Char2"/>
    <w:basedOn w:val="a"/>
    <w:qFormat/>
    <w:rPr>
      <w:rFonts w:ascii="Times New Roman" w:hAnsi="Times New Roman"/>
      <w:sz w:val="21"/>
      <w:szCs w:val="24"/>
    </w:rPr>
  </w:style>
  <w:style w:type="paragraph" w:customStyle="1" w:styleId="CharCharCharCharCharCharCharCharCharCharCharCharCharCharCharCharCharCharCharCharCharCharCharCharCharCharCharCharCharCharCharCharCharCharCharCharCharCharCharCharCharChar">
    <w:name w:val="正文文本 Char Char Char Char Char Char Char Char Char Char Char Char Char Char Char Char Char Char Char Char Char Char Char Char Char Char Char Char Char Char Char Char Char Char Char Char Char Char Char Char Char Char"/>
    <w:basedOn w:val="a"/>
    <w:qFormat/>
    <w:rPr>
      <w:rFonts w:ascii="Times New Roman" w:hAnsi="Times New Roman"/>
      <w:sz w:val="21"/>
      <w:szCs w:val="24"/>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
    <w:qFormat/>
    <w:rPr>
      <w:rFonts w:ascii="Times New Roman" w:hAnsi="Times New Roman"/>
      <w:sz w:val="21"/>
      <w:szCs w:val="24"/>
    </w:rPr>
  </w:style>
  <w:style w:type="paragraph" w:customStyle="1" w:styleId="CharCharChar2CharCharCharCharCharChar1CharCharCharChar">
    <w:name w:val="Char Char Char2 Char Char Char Char Char Char1 Char Char Char Char"/>
    <w:basedOn w:val="a"/>
    <w:qFormat/>
    <w:rPr>
      <w:rFonts w:ascii="Times New Roman" w:hAnsi="Times New Roman"/>
      <w:sz w:val="21"/>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a"/>
    <w:qFormat/>
    <w:rPr>
      <w:rFonts w:ascii="Times New Roman" w:hAnsi="Times New Roman"/>
      <w:sz w:val="21"/>
      <w:szCs w:val="24"/>
    </w:rPr>
  </w:style>
  <w:style w:type="character" w:customStyle="1" w:styleId="PlainTextChar">
    <w:name w:val="Plain Text Char"/>
    <w:qFormat/>
    <w:locked/>
    <w:rPr>
      <w:rFonts w:ascii="宋体" w:eastAsia="宋体" w:hAnsi="Courier New"/>
      <w:kern w:val="4"/>
      <w:sz w:val="21"/>
    </w:rPr>
  </w:style>
  <w:style w:type="character" w:customStyle="1" w:styleId="PlainTextChar1">
    <w:name w:val="Plain Text Char1"/>
    <w:qFormat/>
    <w:locked/>
    <w:rPr>
      <w:rFonts w:ascii="宋体" w:hAnsi="Courier New" w:cs="Courier New"/>
      <w:sz w:val="21"/>
      <w:szCs w:val="21"/>
    </w:rPr>
  </w:style>
  <w:style w:type="character" w:customStyle="1" w:styleId="PlainTextChar2">
    <w:name w:val="Plain Text Char2"/>
    <w:qFormat/>
    <w:locked/>
    <w:rPr>
      <w:rFonts w:ascii="宋体" w:eastAsia="宋体" w:hAnsi="Courier New" w:cs="宋体"/>
      <w:sz w:val="21"/>
      <w:szCs w:val="21"/>
    </w:rPr>
  </w:style>
  <w:style w:type="character" w:customStyle="1" w:styleId="HeaderChar">
    <w:name w:val="Header Char"/>
    <w:qFormat/>
    <w:locked/>
    <w:rPr>
      <w:rFonts w:cs="Times New Roman"/>
      <w:sz w:val="18"/>
      <w:szCs w:val="18"/>
    </w:rPr>
  </w:style>
  <w:style w:type="character" w:customStyle="1" w:styleId="FooterChar">
    <w:name w:val="Footer Char"/>
    <w:qFormat/>
    <w:locked/>
    <w:rPr>
      <w:rFonts w:cs="Times New Roman"/>
      <w:sz w:val="18"/>
      <w:szCs w:val="18"/>
    </w:rPr>
  </w:style>
  <w:style w:type="character" w:customStyle="1" w:styleId="DocumentMapChar">
    <w:name w:val="Document Map Char"/>
    <w:semiHidden/>
    <w:qFormat/>
    <w:locked/>
    <w:rPr>
      <w:rFonts w:ascii="Times New Roman" w:hAnsi="Times New Roman" w:cs="Times New Roman"/>
      <w:sz w:val="2"/>
    </w:rPr>
  </w:style>
  <w:style w:type="character" w:customStyle="1" w:styleId="CharCharfe">
    <w:name w:val="章 Char Char"/>
    <w:qFormat/>
    <w:rPr>
      <w:b/>
      <w:kern w:val="44"/>
      <w:sz w:val="44"/>
    </w:rPr>
  </w:style>
  <w:style w:type="paragraph" w:customStyle="1" w:styleId="253">
    <w:name w:val="样式 宋体 四号 行距: 固定值 25 磅"/>
    <w:basedOn w:val="a"/>
    <w:qFormat/>
    <w:pPr>
      <w:spacing w:line="500" w:lineRule="exact"/>
      <w:ind w:firstLineChars="200" w:firstLine="560"/>
    </w:pPr>
    <w:rPr>
      <w:rFonts w:cs="宋体"/>
      <w:szCs w:val="24"/>
    </w:rPr>
  </w:style>
  <w:style w:type="paragraph" w:customStyle="1" w:styleId="44-11110505">
    <w:name w:val="样式 标题 4标题 4-王鹏1.1.1.1 + 段前: 0.5 行 段后: 0.5 行"/>
    <w:basedOn w:val="40"/>
    <w:qFormat/>
    <w:pPr>
      <w:spacing w:beforeLines="50" w:afterLines="50" w:line="240" w:lineRule="auto"/>
    </w:pPr>
    <w:rPr>
      <w:rFonts w:ascii="Arial Narrow" w:hAnsi="Arial Narrow" w:cs="宋体"/>
      <w:bCs/>
      <w:sz w:val="24"/>
    </w:rPr>
  </w:style>
  <w:style w:type="paragraph" w:customStyle="1" w:styleId="CharCharChar2CharCharCharCharChar">
    <w:name w:val="Char Char Char2 Char Char Char Char Char"/>
    <w:basedOn w:val="a"/>
    <w:qFormat/>
    <w:rPr>
      <w:rFonts w:ascii="Times New Roman" w:hAnsi="Times New Roman"/>
      <w:sz w:val="21"/>
      <w:szCs w:val="24"/>
    </w:rPr>
  </w:style>
  <w:style w:type="character" w:customStyle="1" w:styleId="CharCharff">
    <w:name w:val="表格名称 Char Char"/>
    <w:qFormat/>
    <w:rPr>
      <w:rFonts w:ascii="Times New Roman" w:hAnsi="Times New Roman"/>
      <w:b/>
      <w:bCs/>
      <w:kern w:val="2"/>
      <w:sz w:val="24"/>
      <w:szCs w:val="32"/>
    </w:rPr>
  </w:style>
  <w:style w:type="paragraph" w:customStyle="1" w:styleId="1fffc">
    <w:name w:val="表格名称1"/>
    <w:basedOn w:val="a"/>
    <w:link w:val="1Chara"/>
    <w:qFormat/>
    <w:pPr>
      <w:autoSpaceDE w:val="0"/>
      <w:autoSpaceDN w:val="0"/>
      <w:adjustRightInd w:val="0"/>
      <w:jc w:val="center"/>
    </w:pPr>
    <w:rPr>
      <w:rFonts w:ascii="Times New Roman" w:eastAsia="Times New Roman" w:hAnsi="Times New Roman"/>
      <w:b/>
      <w:szCs w:val="22"/>
    </w:rPr>
  </w:style>
  <w:style w:type="character" w:customStyle="1" w:styleId="1Chara">
    <w:name w:val="表格名称1 Char"/>
    <w:link w:val="1fffc"/>
    <w:qFormat/>
    <w:rPr>
      <w:rFonts w:eastAsia="Times New Roman"/>
      <w:b/>
      <w:kern w:val="2"/>
      <w:sz w:val="24"/>
      <w:szCs w:val="22"/>
    </w:rPr>
  </w:style>
  <w:style w:type="paragraph" w:customStyle="1" w:styleId="2fffc">
    <w:name w:val="表格名称2"/>
    <w:basedOn w:val="a"/>
    <w:link w:val="2Chara"/>
    <w:qFormat/>
    <w:pPr>
      <w:jc w:val="center"/>
    </w:pPr>
    <w:rPr>
      <w:rFonts w:ascii="Times New Roman" w:hAnsi="Times New Roman"/>
      <w:b/>
      <w:szCs w:val="22"/>
    </w:rPr>
  </w:style>
  <w:style w:type="character" w:customStyle="1" w:styleId="2Chara">
    <w:name w:val="表格名称2 Char"/>
    <w:link w:val="2fffc"/>
    <w:qFormat/>
    <w:rPr>
      <w:b/>
      <w:kern w:val="2"/>
      <w:sz w:val="24"/>
      <w:szCs w:val="22"/>
    </w:rPr>
  </w:style>
  <w:style w:type="paragraph" w:customStyle="1" w:styleId="126">
    <w:name w:val="列出段落12"/>
    <w:basedOn w:val="a"/>
    <w:qFormat/>
    <w:pPr>
      <w:spacing w:beforeLines="50"/>
      <w:ind w:firstLineChars="200" w:firstLine="420"/>
    </w:pPr>
    <w:rPr>
      <w:rFonts w:ascii="Calibri" w:hAnsi="Calibri"/>
      <w:sz w:val="21"/>
      <w:szCs w:val="22"/>
    </w:rPr>
  </w:style>
  <w:style w:type="paragraph" w:customStyle="1" w:styleId="CharCharCharCharChar3">
    <w:name w:val="Char Char Char Char Char"/>
    <w:basedOn w:val="a"/>
    <w:qFormat/>
    <w:pPr>
      <w:adjustRightInd w:val="0"/>
      <w:snapToGrid w:val="0"/>
      <w:spacing w:line="360" w:lineRule="auto"/>
      <w:ind w:leftChars="40" w:left="84" w:firstLineChars="200" w:firstLine="480"/>
      <w:jc w:val="left"/>
    </w:pPr>
    <w:rPr>
      <w:rFonts w:cs="宋体"/>
      <w:color w:val="FF0000"/>
      <w:kern w:val="0"/>
      <w:szCs w:val="24"/>
    </w:rPr>
  </w:style>
  <w:style w:type="paragraph" w:customStyle="1" w:styleId="CharCharCharCharCharCharCharCharCharCharCharCharCharCharCharCharCharCharCharCharCharCharCharChar2">
    <w:name w:val="Char Char Char Char Char Char Char Char Char Char Char Char Char Char Char Char Char Char Char Char Char Char Char Char2"/>
    <w:basedOn w:val="a"/>
    <w:qFormat/>
    <w:rPr>
      <w:rFonts w:ascii="Times New Roman" w:hAnsi="Times New Roman"/>
      <w:sz w:val="21"/>
      <w:szCs w:val="24"/>
    </w:rPr>
  </w:style>
  <w:style w:type="paragraph" w:customStyle="1" w:styleId="CharCharCharCharCharCharCharCharCharCharCharCharCharCharCharCharCharCharCharChar2">
    <w:name w:val="Char Char Char Char Char Char Char Char Char Char Char Char Char Char Char Char Char Char Char Char2"/>
    <w:basedOn w:val="a"/>
    <w:qFormat/>
    <w:rPr>
      <w:rFonts w:ascii="Times New Roman" w:hAnsi="Times New Roman"/>
      <w:sz w:val="21"/>
      <w:szCs w:val="24"/>
    </w:rPr>
  </w:style>
  <w:style w:type="paragraph" w:customStyle="1" w:styleId="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2"/>
    <w:basedOn w:val="a"/>
    <w:qFormat/>
    <w:rPr>
      <w:rFonts w:ascii="Times New Roman" w:hAnsi="Times New Roman"/>
      <w:sz w:val="21"/>
      <w:szCs w:val="24"/>
    </w:rPr>
  </w:style>
  <w:style w:type="paragraph" w:customStyle="1" w:styleId="CharCharChar2CharCharCharCharCharChar1CharCharCharChar3">
    <w:name w:val="Char Char Char2 Char Char Char Char Char Char1 Char Char Char Char3"/>
    <w:basedOn w:val="a"/>
    <w:qFormat/>
    <w:rPr>
      <w:rFonts w:ascii="Times New Roman" w:hAnsi="Times New Roman"/>
      <w:sz w:val="21"/>
      <w:szCs w:val="24"/>
    </w:rPr>
  </w:style>
  <w:style w:type="paragraph" w:customStyle="1" w:styleId="CharCharCharCharCharCharCharCharCharCharCharCharCharCharCharCharCharCharCharCharCharCharCharCharCharCharCharChar3">
    <w:name w:val="Char Char Char Char Char Char Char Char Char Char Char Char Char Char Char Char Char Char Char Char Char Char Char Char Char Char Char Char3"/>
    <w:basedOn w:val="a"/>
    <w:qFormat/>
    <w:rPr>
      <w:rFonts w:ascii="Times New Roman" w:hAnsi="Times New Roman"/>
      <w:sz w:val="21"/>
      <w:szCs w:val="24"/>
    </w:rPr>
  </w:style>
  <w:style w:type="character" w:customStyle="1" w:styleId="Char1f7">
    <w:name w:val="一 Char1"/>
    <w:qFormat/>
    <w:rPr>
      <w:rFonts w:ascii="Calibri" w:eastAsia="宋体" w:hAnsi="Calibri" w:cs="Times New Roman"/>
      <w:b/>
      <w:bCs/>
      <w:sz w:val="24"/>
      <w:szCs w:val="32"/>
    </w:rPr>
  </w:style>
  <w:style w:type="character" w:customStyle="1" w:styleId="Char42">
    <w:name w:val="（一） Char4"/>
    <w:qFormat/>
    <w:rPr>
      <w:rFonts w:ascii="Cambria" w:eastAsia="宋体" w:hAnsi="Cambria" w:cs="Times New Roman"/>
      <w:b/>
      <w:bCs/>
      <w:sz w:val="24"/>
      <w:szCs w:val="28"/>
    </w:rPr>
  </w:style>
  <w:style w:type="character" w:customStyle="1" w:styleId="CharChar262">
    <w:name w:val="Char Char262"/>
    <w:qFormat/>
    <w:rPr>
      <w:rFonts w:ascii="Times New Roman" w:eastAsia="宋体" w:hAnsi="Times New Roman" w:cs="Times New Roman"/>
      <w:b/>
      <w:color w:val="000000"/>
      <w:kern w:val="44"/>
      <w:sz w:val="32"/>
      <w:szCs w:val="20"/>
    </w:rPr>
  </w:style>
  <w:style w:type="character" w:customStyle="1" w:styleId="CharChar412">
    <w:name w:val="Char Char412"/>
    <w:qFormat/>
    <w:rPr>
      <w:rFonts w:ascii="宋体" w:eastAsia="宋体"/>
      <w:kern w:val="2"/>
      <w:sz w:val="18"/>
      <w:szCs w:val="18"/>
      <w:lang w:val="en-US" w:eastAsia="zh-CN" w:bidi="ar-SA"/>
    </w:rPr>
  </w:style>
  <w:style w:type="paragraph" w:customStyle="1" w:styleId="CharCharCharCharChar1CharCharCharChar2">
    <w:name w:val="Char Char Char Char Char1 Char Char Char Char2"/>
    <w:basedOn w:val="a"/>
    <w:next w:val="a"/>
    <w:qFormat/>
    <w:pPr>
      <w:spacing w:line="360" w:lineRule="auto"/>
      <w:ind w:firstLineChars="200" w:firstLine="200"/>
    </w:pPr>
    <w:rPr>
      <w:rFonts w:cs="宋体"/>
      <w:snapToGrid w:val="0"/>
      <w:kern w:val="0"/>
      <w:szCs w:val="24"/>
    </w:rPr>
  </w:style>
  <w:style w:type="paragraph" w:customStyle="1" w:styleId="afffffffffffffffffffffa">
    <w:name w:val="表格名"/>
    <w:basedOn w:val="a"/>
    <w:next w:val="affffd"/>
    <w:link w:val="Charfffff6"/>
    <w:qFormat/>
    <w:pPr>
      <w:jc w:val="center"/>
    </w:pPr>
    <w:rPr>
      <w:b/>
      <w:kern w:val="0"/>
      <w:sz w:val="28"/>
      <w:szCs w:val="28"/>
    </w:rPr>
  </w:style>
  <w:style w:type="character" w:customStyle="1" w:styleId="Charfffff6">
    <w:name w:val="表格名 Char"/>
    <w:link w:val="afffffffffffffffffffffa"/>
    <w:qFormat/>
    <w:rPr>
      <w:rFonts w:ascii="宋体" w:hAnsi="宋体"/>
      <w:b/>
      <w:sz w:val="28"/>
      <w:szCs w:val="28"/>
    </w:rPr>
  </w:style>
  <w:style w:type="paragraph" w:customStyle="1" w:styleId="W">
    <w:name w:val="W表头"/>
    <w:basedOn w:val="a"/>
    <w:link w:val="WChar"/>
    <w:qFormat/>
    <w:pPr>
      <w:jc w:val="center"/>
    </w:pPr>
    <w:rPr>
      <w:b/>
      <w:color w:val="000000"/>
      <w:kern w:val="28"/>
      <w:sz w:val="28"/>
      <w:szCs w:val="28"/>
    </w:rPr>
  </w:style>
  <w:style w:type="paragraph" w:customStyle="1" w:styleId="W0">
    <w:name w:val="W表尾"/>
    <w:basedOn w:val="a"/>
    <w:link w:val="WChar0"/>
    <w:qFormat/>
    <w:pPr>
      <w:jc w:val="right"/>
    </w:pPr>
    <w:rPr>
      <w:rFonts w:cs="宋体"/>
      <w:b/>
      <w:kern w:val="0"/>
      <w:sz w:val="21"/>
      <w:szCs w:val="28"/>
    </w:rPr>
  </w:style>
  <w:style w:type="character" w:customStyle="1" w:styleId="WChar0">
    <w:name w:val="W表尾 Char"/>
    <w:link w:val="W0"/>
    <w:qFormat/>
    <w:rPr>
      <w:rFonts w:ascii="宋体" w:hAnsi="宋体" w:cs="宋体"/>
      <w:b/>
      <w:sz w:val="21"/>
      <w:szCs w:val="28"/>
    </w:rPr>
  </w:style>
  <w:style w:type="character" w:customStyle="1" w:styleId="WChar">
    <w:name w:val="W表头 Char"/>
    <w:link w:val="W"/>
    <w:rPr>
      <w:rFonts w:ascii="宋体" w:hAnsi="宋体"/>
      <w:b/>
      <w:color w:val="000000"/>
      <w:kern w:val="28"/>
      <w:sz w:val="28"/>
      <w:szCs w:val="28"/>
    </w:rPr>
  </w:style>
  <w:style w:type="character" w:customStyle="1" w:styleId="CharChar34">
    <w:name w:val="Char Char34"/>
    <w:qFormat/>
    <w:rPr>
      <w:rFonts w:eastAsia="华文中宋"/>
      <w:b/>
      <w:bCs/>
      <w:kern w:val="2"/>
      <w:sz w:val="24"/>
      <w:szCs w:val="24"/>
      <w:lang w:bidi="ar-SA"/>
    </w:rPr>
  </w:style>
  <w:style w:type="character" w:customStyle="1" w:styleId="CharChar32">
    <w:name w:val="Char Char32"/>
    <w:qFormat/>
    <w:rPr>
      <w:rFonts w:ascii="宋体" w:eastAsia="宋体"/>
      <w:b/>
      <w:bCs/>
      <w:kern w:val="2"/>
      <w:sz w:val="28"/>
      <w:szCs w:val="28"/>
      <w:lang w:bidi="ar-SA"/>
    </w:rPr>
  </w:style>
  <w:style w:type="character" w:customStyle="1" w:styleId="CharChar30">
    <w:name w:val="Char Char30"/>
    <w:qFormat/>
    <w:rPr>
      <w:rFonts w:eastAsia="宋体"/>
      <w:b/>
      <w:bCs/>
      <w:kern w:val="2"/>
      <w:sz w:val="24"/>
      <w:szCs w:val="24"/>
      <w:lang w:val="en-US" w:eastAsia="zh-CN" w:bidi="ar-SA"/>
    </w:rPr>
  </w:style>
  <w:style w:type="character" w:customStyle="1" w:styleId="CharChar35">
    <w:name w:val="Char Char35"/>
    <w:qFormat/>
    <w:rPr>
      <w:rFonts w:ascii="Arial Narrow" w:eastAsia="华文中宋" w:hAnsi="Arial Narrow"/>
      <w:iCs/>
      <w:sz w:val="28"/>
      <w:szCs w:val="28"/>
      <w:lang w:bidi="ar-SA"/>
    </w:rPr>
  </w:style>
  <w:style w:type="character" w:customStyle="1" w:styleId="CharChar29">
    <w:name w:val="Char Char29"/>
    <w:qFormat/>
    <w:rPr>
      <w:rFonts w:ascii="Arial" w:eastAsia="黑体" w:hAnsi="Arial"/>
      <w:kern w:val="2"/>
      <w:sz w:val="24"/>
      <w:szCs w:val="24"/>
      <w:lang w:val="en-US" w:eastAsia="zh-CN" w:bidi="ar-SA"/>
    </w:rPr>
  </w:style>
  <w:style w:type="character" w:customStyle="1" w:styleId="CharChar36">
    <w:name w:val="Char Char36"/>
    <w:qFormat/>
    <w:rPr>
      <w:rFonts w:eastAsia="华文中宋"/>
      <w:b/>
      <w:bCs/>
      <w:kern w:val="44"/>
      <w:sz w:val="36"/>
      <w:szCs w:val="36"/>
      <w:lang w:bidi="ar-SA"/>
    </w:rPr>
  </w:style>
  <w:style w:type="character" w:customStyle="1" w:styleId="CharChar28">
    <w:name w:val="Char Char28"/>
    <w:qFormat/>
    <w:rPr>
      <w:rFonts w:ascii="Arial" w:eastAsia="黑体" w:hAnsi="Arial"/>
      <w:kern w:val="2"/>
      <w:sz w:val="21"/>
      <w:szCs w:val="21"/>
      <w:lang w:val="en-US" w:eastAsia="zh-CN" w:bidi="ar-SA"/>
    </w:rPr>
  </w:style>
  <w:style w:type="character" w:customStyle="1" w:styleId="CharChar33">
    <w:name w:val="Char Char33"/>
    <w:qFormat/>
    <w:rPr>
      <w:rFonts w:eastAsia="华文中宋"/>
      <w:kern w:val="2"/>
      <w:sz w:val="24"/>
      <w:szCs w:val="24"/>
      <w:lang w:bidi="ar-SA"/>
    </w:rPr>
  </w:style>
  <w:style w:type="paragraph" w:customStyle="1" w:styleId="CharCharCharCharCharCharCharCharCharCharCharCharCharCharCharCharCharCharCharCharCharCharCharCharCharCharCharChar1Char">
    <w:name w:val="Char Char Char Char Char Char Char Char Char Char Char Char Char Char Char Char Char Char Char Char Char Char Char Char Char Char Char Char1 Char"/>
    <w:basedOn w:val="a"/>
    <w:qFormat/>
    <w:rPr>
      <w:rFonts w:ascii="Times New Roman" w:hAnsi="Times New Roman"/>
      <w:sz w:val="21"/>
      <w:szCs w:val="24"/>
    </w:rPr>
  </w:style>
  <w:style w:type="character" w:customStyle="1" w:styleId="CharCharCharChar7">
    <w:name w:val="报告正文 Char Char Char Char"/>
    <w:qFormat/>
    <w:rPr>
      <w:rFonts w:eastAsia="仿宋_GB2312"/>
      <w:color w:val="000000"/>
      <w:kern w:val="2"/>
      <w:sz w:val="28"/>
      <w:lang w:val="en-US" w:eastAsia="zh-CN" w:bidi="ar-SA"/>
    </w:rPr>
  </w:style>
  <w:style w:type="character" w:customStyle="1" w:styleId="CharChar1Char">
    <w:name w:val="报告正文 Char Char1 Char"/>
    <w:qFormat/>
    <w:rPr>
      <w:rFonts w:eastAsia="仿宋_GB2312"/>
      <w:kern w:val="2"/>
      <w:sz w:val="28"/>
      <w:szCs w:val="24"/>
      <w:lang w:val="en-US" w:eastAsia="zh-CN" w:bidi="ar-SA"/>
    </w:rPr>
  </w:style>
  <w:style w:type="character" w:customStyle="1" w:styleId="xl72Char">
    <w:name w:val="xl72 Char"/>
    <w:link w:val="xl72"/>
    <w:qFormat/>
    <w:rPr>
      <w:rFonts w:ascii="宋体" w:hAnsi="宋体"/>
      <w:b/>
      <w:bCs/>
      <w:sz w:val="24"/>
      <w:szCs w:val="24"/>
    </w:rPr>
  </w:style>
  <w:style w:type="character" w:customStyle="1" w:styleId="Charfffff7">
    <w:name w:val="报告文字 Char"/>
    <w:qFormat/>
    <w:rPr>
      <w:rFonts w:ascii="仿宋_GB2312" w:eastAsia="仿宋_GB2312"/>
      <w:bCs/>
      <w:kern w:val="2"/>
      <w:sz w:val="28"/>
      <w:szCs w:val="24"/>
    </w:rPr>
  </w:style>
  <w:style w:type="paragraph" w:customStyle="1" w:styleId="CharCharCharCharCharCharCharCharCharCharCharCharCharCharCharCharCharCharCharCharCharCharCharCharCharCharCharCharChar">
    <w:name w:val="Char Char Char Char Char Char Char Char Char Char Char Char Char Char Char Char Char Char Char Char Char Char Char Char Char Char Char Char Char"/>
    <w:basedOn w:val="a"/>
    <w:qFormat/>
    <w:rPr>
      <w:rFonts w:ascii="Times New Roman" w:hAnsi="Times New Roman"/>
      <w:sz w:val="21"/>
      <w:szCs w:val="24"/>
    </w:rPr>
  </w:style>
  <w:style w:type="character" w:customStyle="1" w:styleId="CharChar2a">
    <w:name w:val="报告正文 Char Char2"/>
    <w:qFormat/>
    <w:rPr>
      <w:rFonts w:eastAsia="仿宋_GB2312"/>
      <w:color w:val="000000"/>
      <w:kern w:val="2"/>
      <w:sz w:val="28"/>
      <w:lang w:val="en-US" w:eastAsia="zh-CN" w:bidi="ar-SA"/>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
    <w:qFormat/>
    <w:rPr>
      <w:rFonts w:ascii="Times New Roman" w:hAnsi="Times New Roman"/>
      <w:sz w:val="21"/>
      <w:szCs w:val="24"/>
    </w:rPr>
  </w:style>
  <w:style w:type="paragraph" w:customStyle="1" w:styleId="CharCharCharCharCharCharCharCharCharCharCharCharCharCharCharCharCharCharCharCharCharCharChar">
    <w:name w:val="Char Char Char Char Char Char Char Char Char Char Char Char Char Char Char Char Char Char Char Char Char Char Char"/>
    <w:basedOn w:val="a"/>
    <w:qFormat/>
    <w:rPr>
      <w:rFonts w:ascii="Times New Roman" w:hAnsi="Times New Roman"/>
      <w:sz w:val="21"/>
      <w:szCs w:val="24"/>
    </w:rPr>
  </w:style>
  <w:style w:type="paragraph" w:customStyle="1" w:styleId="CharCharCharCharCharCharCharCharCharCharCharCharCharCharCharCharCharCharCharCharCharCharCharCharCharCharCharChar1">
    <w:name w:val="Char Char Char Char Char Char Char Char Char Char Char Char Char Char Char Char Char Char Char Char Char Char Char Char Char Char Char Char1"/>
    <w:basedOn w:val="a"/>
    <w:qFormat/>
    <w:rPr>
      <w:rFonts w:ascii="Times New Roman" w:hAnsi="Times New Roman"/>
      <w:sz w:val="21"/>
      <w:szCs w:val="24"/>
    </w:rPr>
  </w:style>
  <w:style w:type="paragraph" w:customStyle="1" w:styleId="CharCharCharCharCharCharCharCharCharCharCharCharCharCharCharCharCharCharCharCharCharCharCharCharCharCharCharChar1CharCharCharCharChar">
    <w:name w:val="Char Char Char Char Char Char Char Char Char Char Char Char Char Char Char Char Char Char Char Char Char Char Char Char Char Char Char Char1 Char Char Char Char Char"/>
    <w:basedOn w:val="a"/>
    <w:qFormat/>
    <w:rPr>
      <w:rFonts w:ascii="Times New Roman" w:hAnsi="Times New Roman"/>
      <w:sz w:val="21"/>
      <w:szCs w:val="24"/>
    </w:rPr>
  </w:style>
  <w:style w:type="character" w:customStyle="1" w:styleId="CharCharChar8">
    <w:name w:val="三塘湖 Char Char Char"/>
    <w:qFormat/>
    <w:rPr>
      <w:rFonts w:ascii="Arial Narrow" w:eastAsia="汉鼎简书宋" w:hAnsi="Arial Narrow"/>
      <w:bCs/>
      <w:kern w:val="2"/>
      <w:sz w:val="24"/>
      <w:szCs w:val="24"/>
    </w:rPr>
  </w:style>
  <w:style w:type="paragraph" w:customStyle="1" w:styleId="CharCharCharCharChar4">
    <w:name w:val="报告正文 Char Char Char Char Char"/>
    <w:basedOn w:val="a"/>
    <w:link w:val="CharCharCharCharCharChar4"/>
    <w:qFormat/>
    <w:pPr>
      <w:keepNext/>
      <w:adjustRightInd w:val="0"/>
      <w:snapToGrid w:val="0"/>
      <w:spacing w:line="360" w:lineRule="auto"/>
      <w:ind w:firstLine="567"/>
    </w:pPr>
    <w:rPr>
      <w:rFonts w:ascii="Times New Roman" w:eastAsia="仿宋_GB2312" w:hAnsi="Times New Roman"/>
      <w:color w:val="000000"/>
      <w:sz w:val="28"/>
      <w:szCs w:val="24"/>
    </w:rPr>
  </w:style>
  <w:style w:type="character" w:customStyle="1" w:styleId="CharCharCharCharCharChar4">
    <w:name w:val="报告正文 Char Char Char Char Char Char"/>
    <w:link w:val="CharCharCharCharChar4"/>
    <w:qFormat/>
    <w:rPr>
      <w:rFonts w:eastAsia="仿宋_GB2312"/>
      <w:color w:val="000000"/>
      <w:kern w:val="2"/>
      <w:sz w:val="28"/>
      <w:szCs w:val="24"/>
    </w:rPr>
  </w:style>
  <w:style w:type="paragraph" w:customStyle="1" w:styleId="CharChar1CharChar">
    <w:name w:val="报告正文 Char Char1 Char Char"/>
    <w:basedOn w:val="a"/>
    <w:link w:val="CharChar1CharCharChar"/>
    <w:qFormat/>
    <w:pPr>
      <w:keepNext/>
      <w:adjustRightInd w:val="0"/>
      <w:snapToGrid w:val="0"/>
      <w:spacing w:line="360" w:lineRule="auto"/>
      <w:ind w:firstLine="567"/>
    </w:pPr>
    <w:rPr>
      <w:rFonts w:ascii="Times New Roman" w:eastAsia="仿宋_GB2312" w:hAnsi="Times New Roman"/>
      <w:sz w:val="28"/>
      <w:szCs w:val="24"/>
    </w:rPr>
  </w:style>
  <w:style w:type="character" w:customStyle="1" w:styleId="CharChar1CharCharChar">
    <w:name w:val="报告正文 Char Char1 Char Char Char"/>
    <w:link w:val="CharChar1CharChar"/>
    <w:qFormat/>
    <w:rPr>
      <w:rFonts w:eastAsia="仿宋_GB2312"/>
      <w:kern w:val="2"/>
      <w:sz w:val="28"/>
      <w:szCs w:val="24"/>
    </w:rPr>
  </w:style>
  <w:style w:type="character" w:customStyle="1" w:styleId="3CharCharCharCharCharCharCharCharCharCharCharCharChar">
    <w:name w:val="标题 3 Char Char Char Char Char Char Char Char Char Char Char Char Char"/>
    <w:qFormat/>
    <w:rPr>
      <w:rFonts w:ascii="宋体" w:eastAsia="宋体" w:hAnsi="宋体"/>
      <w:b/>
      <w:bCs/>
      <w:kern w:val="2"/>
      <w:sz w:val="28"/>
      <w:szCs w:val="28"/>
      <w:lang w:val="en-US" w:eastAsia="zh-CN" w:bidi="ar-SA"/>
    </w:rPr>
  </w:style>
  <w:style w:type="character" w:customStyle="1" w:styleId="172">
    <w:name w:val="强调172"/>
    <w:qFormat/>
    <w:rPr>
      <w:color w:val="CC0000"/>
      <w:u w:val="single"/>
    </w:rPr>
  </w:style>
  <w:style w:type="paragraph" w:customStyle="1" w:styleId="CharCharChar2CharCharCharCharCharChar1Char">
    <w:name w:val="Char Char Char2 Char Char Char Char Char Char1 Char"/>
    <w:basedOn w:val="a"/>
    <w:rPr>
      <w:rFonts w:ascii="Times New Roman" w:hAnsi="Times New Roman"/>
      <w:sz w:val="21"/>
      <w:szCs w:val="24"/>
    </w:rPr>
  </w:style>
  <w:style w:type="paragraph" w:customStyle="1" w:styleId="CharCharChar2CharCharCharCharCharChar1CharCharCharCharCharCharCharCharCharChar">
    <w:name w:val="Char Char Char2 Char Char Char Char Char Char1 Char Char Char Char Char Char Char Char Char Char"/>
    <w:basedOn w:val="a"/>
    <w:qFormat/>
    <w:rPr>
      <w:rFonts w:ascii="Times New Roman" w:hAnsi="Times New Roman"/>
      <w:sz w:val="21"/>
      <w:szCs w:val="24"/>
    </w:rPr>
  </w:style>
  <w:style w:type="paragraph" w:customStyle="1" w:styleId="CharCharChar2CharCharCharCharCharChar1CharCharCharChar1">
    <w:name w:val="Char Char Char2 Char Char Char Char Char Char1 Char Char Char Char1"/>
    <w:basedOn w:val="a"/>
    <w:qFormat/>
    <w:rPr>
      <w:rFonts w:ascii="Times New Roman" w:hAnsi="Times New Roman"/>
      <w:sz w:val="21"/>
      <w:szCs w:val="24"/>
    </w:rPr>
  </w:style>
  <w:style w:type="paragraph" w:customStyle="1" w:styleId="CharCharChar2CharCharCharCharCharChar1CharCharCharCharCharCharCharCharChar">
    <w:name w:val="Char Char Char2 Char Char Char Char Char Char1 Char Char Char Char Char Char Char Char Char"/>
    <w:basedOn w:val="a"/>
    <w:qFormat/>
    <w:rPr>
      <w:rFonts w:ascii="Times New Roman" w:hAnsi="Times New Roman"/>
      <w:sz w:val="21"/>
      <w:szCs w:val="24"/>
    </w:rPr>
  </w:style>
  <w:style w:type="paragraph" w:customStyle="1" w:styleId="CharCharCharCharCharCharCharCharCharCharCharCharCharCharChar">
    <w:name w:val="Char Char Char Char Char Char Char Char Char Char Char Char Char Char Char"/>
    <w:basedOn w:val="a"/>
    <w:qFormat/>
    <w:rPr>
      <w:rFonts w:ascii="Times New Roman" w:hAnsi="Times New Roman"/>
      <w:sz w:val="21"/>
      <w:szCs w:val="24"/>
    </w:rPr>
  </w:style>
  <w:style w:type="paragraph" w:customStyle="1" w:styleId="CharCharChar2CharCharCharCharCharChar1CharCharChar">
    <w:name w:val="Char Char Char2 Char Char Char Char Char Char1 Char Char Char"/>
    <w:basedOn w:val="a"/>
    <w:qFormat/>
    <w:rPr>
      <w:rFonts w:ascii="Times New Roman" w:hAnsi="Times New Roman"/>
      <w:sz w:val="21"/>
      <w:szCs w:val="24"/>
    </w:rPr>
  </w:style>
  <w:style w:type="paragraph" w:customStyle="1" w:styleId="afffffffffffffffffffffb">
    <w:name w:val="报标一"/>
    <w:basedOn w:val="a"/>
    <w:qFormat/>
    <w:pPr>
      <w:spacing w:line="560" w:lineRule="exact"/>
      <w:ind w:firstLineChars="200" w:firstLine="552"/>
    </w:pPr>
    <w:rPr>
      <w:rFonts w:ascii="Times New Roman" w:eastAsia="黑体" w:hAnsi="Times New Roman"/>
      <w:color w:val="000000"/>
      <w:spacing w:val="-2"/>
      <w:sz w:val="28"/>
      <w:szCs w:val="24"/>
    </w:rPr>
  </w:style>
  <w:style w:type="paragraph" w:customStyle="1" w:styleId="CharCharChar2CharCharCharCharCharChar">
    <w:name w:val="Char Char Char2 Char Char Char Char Char Char"/>
    <w:basedOn w:val="a"/>
    <w:rPr>
      <w:rFonts w:ascii="Times New Roman" w:hAnsi="Times New Roman"/>
      <w:sz w:val="21"/>
      <w:szCs w:val="24"/>
    </w:rPr>
  </w:style>
  <w:style w:type="paragraph" w:customStyle="1" w:styleId="afffffffffffffffffffffc">
    <w:name w:val="论文正文"/>
    <w:basedOn w:val="a"/>
    <w:qFormat/>
    <w:pPr>
      <w:spacing w:line="360" w:lineRule="auto"/>
      <w:ind w:firstLine="560"/>
    </w:pPr>
    <w:rPr>
      <w:rFonts w:ascii="Times New Roman" w:eastAsia="楷体_GB2312" w:hAnsi="Times New Roman"/>
      <w:sz w:val="28"/>
      <w:szCs w:val="28"/>
    </w:rPr>
  </w:style>
  <w:style w:type="paragraph" w:customStyle="1" w:styleId="afffffffffffffffffffffd">
    <w:name w:val="论文二级标题"/>
    <w:basedOn w:val="a"/>
    <w:next w:val="a"/>
    <w:qFormat/>
    <w:pPr>
      <w:keepNext/>
      <w:adjustRightInd w:val="0"/>
      <w:snapToGrid w:val="0"/>
      <w:spacing w:before="240" w:after="60"/>
      <w:jc w:val="left"/>
      <w:outlineLvl w:val="1"/>
    </w:pPr>
    <w:rPr>
      <w:rFonts w:ascii="Arial" w:eastAsia="黑体" w:hAnsi="Arial"/>
      <w:b/>
      <w:bCs/>
      <w:sz w:val="32"/>
    </w:rPr>
  </w:style>
  <w:style w:type="paragraph" w:customStyle="1" w:styleId="afffffffffffffffffffffe">
    <w:name w:val="论文三级标题"/>
    <w:basedOn w:val="afffffffffffffffffffffd"/>
    <w:next w:val="a"/>
    <w:qFormat/>
    <w:rPr>
      <w:b w:val="0"/>
    </w:rPr>
  </w:style>
  <w:style w:type="paragraph" w:customStyle="1" w:styleId="CharCharChar2CharCharCharCharCharChar1CharCharCharCharCharCharCharCharCharCharCharChar">
    <w:name w:val="Char Char Char2 Char Char Char Char Char Char1 Char Char Char Char Char Char Char Char Char Char Char Char"/>
    <w:basedOn w:val="a"/>
    <w:qFormat/>
    <w:rPr>
      <w:rFonts w:ascii="Times New Roman" w:hAnsi="Times New Roman"/>
      <w:sz w:val="21"/>
      <w:szCs w:val="24"/>
    </w:rPr>
  </w:style>
  <w:style w:type="paragraph" w:customStyle="1" w:styleId="CharCharChar2CharCharCharCharCharChar1CharCharCharCharCharCharChar">
    <w:name w:val="Char Char Char2 Char Char Char Char Char Char1 Char Char Char Char Char Char Char"/>
    <w:basedOn w:val="a"/>
    <w:qFormat/>
    <w:rPr>
      <w:rFonts w:ascii="Times New Roman" w:hAnsi="Times New Roman"/>
      <w:sz w:val="21"/>
      <w:szCs w:val="24"/>
    </w:rPr>
  </w:style>
  <w:style w:type="paragraph" w:customStyle="1" w:styleId="CharCharChar2CharCharCharCharCharChar1CharCharCharCharCharCharCharCharCharCharCharCharChar">
    <w:name w:val="Char Char Char2 Char Char Char Char Char Char1 Char Char Char Char Char Char Char Char Char Char Char Char Char"/>
    <w:basedOn w:val="a"/>
    <w:qFormat/>
    <w:rPr>
      <w:rFonts w:ascii="Times New Roman" w:hAnsi="Times New Roman"/>
      <w:sz w:val="21"/>
      <w:szCs w:val="24"/>
    </w:rPr>
  </w:style>
  <w:style w:type="paragraph" w:customStyle="1" w:styleId="CharCharChar2CharCharCharCharCharChar1CharCharCharCharCharChar">
    <w:name w:val="Char Char Char2 Char Char Char Char Char Char1 Char Char Char Char Char Char"/>
    <w:basedOn w:val="a"/>
    <w:qFormat/>
    <w:rPr>
      <w:rFonts w:ascii="Times New Roman" w:hAnsi="Times New Roman"/>
      <w:sz w:val="21"/>
      <w:szCs w:val="24"/>
    </w:rPr>
  </w:style>
  <w:style w:type="paragraph" w:customStyle="1" w:styleId="2fffd">
    <w:name w:val="2."/>
    <w:basedOn w:val="a"/>
    <w:qFormat/>
    <w:pPr>
      <w:adjustRightInd w:val="0"/>
      <w:spacing w:line="288" w:lineRule="auto"/>
      <w:jc w:val="left"/>
      <w:textAlignment w:val="baseline"/>
    </w:pPr>
    <w:rPr>
      <w:rFonts w:ascii="黑体" w:eastAsia="黑体" w:hAnsi="Times New Roman"/>
      <w:spacing w:val="4"/>
      <w:kern w:val="0"/>
      <w:sz w:val="20"/>
    </w:rPr>
  </w:style>
  <w:style w:type="paragraph" w:customStyle="1" w:styleId="affffffffffffffffffffff">
    <w:name w:val="一."/>
    <w:basedOn w:val="a"/>
    <w:qFormat/>
    <w:pPr>
      <w:adjustRightInd w:val="0"/>
      <w:spacing w:before="160" w:after="160" w:line="288" w:lineRule="auto"/>
      <w:jc w:val="center"/>
      <w:textAlignment w:val="baseline"/>
    </w:pPr>
    <w:rPr>
      <w:rFonts w:ascii="Times New Roman" w:eastAsia="黑体" w:hAnsi="Times New Roman"/>
      <w:spacing w:val="4"/>
      <w:kern w:val="0"/>
      <w:sz w:val="26"/>
    </w:rPr>
  </w:style>
  <w:style w:type="paragraph" w:customStyle="1" w:styleId="CharCharChar2CharCharCharCharCharCharCharCharChar">
    <w:name w:val="Char Char Char2 Char Char Char Char Char Char Char Char Char"/>
    <w:basedOn w:val="a"/>
    <w:qFormat/>
    <w:rPr>
      <w:rFonts w:ascii="Times New Roman" w:hAnsi="Times New Roman"/>
      <w:sz w:val="21"/>
      <w:szCs w:val="24"/>
    </w:rPr>
  </w:style>
  <w:style w:type="paragraph" w:customStyle="1" w:styleId="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w:basedOn w:val="a"/>
    <w:qFormat/>
    <w:rPr>
      <w:rFonts w:ascii="Times New Roman" w:hAnsi="Times New Roman"/>
      <w:sz w:val="21"/>
      <w:szCs w:val="24"/>
    </w:rPr>
  </w:style>
  <w:style w:type="paragraph" w:customStyle="1" w:styleId="-">
    <w:name w:val="正文-设计书"/>
    <w:basedOn w:val="a"/>
    <w:qFormat/>
    <w:pPr>
      <w:autoSpaceDE w:val="0"/>
      <w:autoSpaceDN w:val="0"/>
      <w:spacing w:line="500" w:lineRule="exact"/>
      <w:ind w:firstLineChars="200" w:firstLine="200"/>
    </w:pPr>
    <w:rPr>
      <w:rFonts w:ascii="仿宋_GB2312" w:eastAsia="仿宋_GB2312" w:hAnsi="Calibri"/>
      <w:sz w:val="28"/>
      <w:szCs w:val="22"/>
    </w:rPr>
  </w:style>
  <w:style w:type="paragraph" w:customStyle="1" w:styleId="CharCharCharCharCharCharCharCharCharCharCharCharCharCharCharCharCharCharCharCharCharCharCharCharCharChar1Char">
    <w:name w:val="Char Char Char Char Char Char Char Char Char Char Char Char Char Char Char Char Char Char Char Char Char Char Char Char Char Char1 Char"/>
    <w:basedOn w:val="a"/>
    <w:rPr>
      <w:rFonts w:ascii="Times New Roman" w:hAnsi="Times New Roman"/>
      <w:sz w:val="21"/>
      <w:szCs w:val="24"/>
    </w:rPr>
  </w:style>
  <w:style w:type="paragraph" w:customStyle="1" w:styleId="CharCharCharCharCharCharCharCharCharCharCharCharCharCharCharCharCharCharCharCharCharCharCharCharCharCharCharChar1CharCharChar">
    <w:name w:val="Char Char Char Char Char Char Char Char Char Char Char Char Char Char Char Char Char Char Char Char Char Char Char Char Char Char Char Char1 Char Char Char"/>
    <w:basedOn w:val="a"/>
    <w:rPr>
      <w:rFonts w:ascii="Times New Roman" w:hAnsi="Times New Roman"/>
      <w:sz w:val="21"/>
      <w:szCs w:val="24"/>
    </w:rPr>
  </w:style>
  <w:style w:type="paragraph" w:customStyle="1" w:styleId="CharCharCharCharCharCharCharCharCharCharCharCharCharCharCharCharCharCharCharCharCharCharCharCharCharChar1">
    <w:name w:val="Char Char Char Char Char Char Char Char Char Char Char Char Char Char Char Char Char Char Char Char Char Char Char Char Char Char1"/>
    <w:basedOn w:val="a"/>
    <w:qFormat/>
    <w:rPr>
      <w:rFonts w:ascii="Times New Roman" w:hAnsi="Times New Roman"/>
      <w:sz w:val="21"/>
      <w:szCs w:val="24"/>
    </w:rPr>
  </w:style>
  <w:style w:type="paragraph" w:customStyle="1" w:styleId="CharCharCharCharCharCharCharCharCharCharCharCharCharCharCharCharCharCharCharCharCharCharCharCharCharChar1CharCharChar">
    <w:name w:val="Char Char Char Char Char Char Char Char Char Char Char Char Char Char Char Char Char Char Char Char Char Char Char Char Char Char1 Char Char Char"/>
    <w:basedOn w:val="a"/>
    <w:qFormat/>
    <w:rPr>
      <w:rFonts w:ascii="Times New Roman" w:hAnsi="Times New Roman"/>
      <w:sz w:val="21"/>
      <w:szCs w:val="24"/>
    </w:rPr>
  </w:style>
  <w:style w:type="paragraph" w:customStyle="1" w:styleId="CharCharCharCharCharCharCharCharCharCharCharCharCharCharCharCharCharCharCharCharCharCharCharCharCharCharCharChar1CharCharCharCharCharCharCharChar">
    <w:name w:val="Char Char Char Char Char Char Char Char Char Char Char Char Char Char Char Char Char Char Char Char Char Char Char Char Char Char Char Char1 Char Char Char Char Char Char Char Char"/>
    <w:basedOn w:val="a"/>
    <w:qFormat/>
    <w:rPr>
      <w:rFonts w:ascii="Times New Roman" w:hAnsi="Times New Roman"/>
      <w:sz w:val="21"/>
      <w:szCs w:val="24"/>
    </w:rPr>
  </w:style>
  <w:style w:type="paragraph" w:customStyle="1" w:styleId="affffffffffffffffffffff0">
    <w:name w:val="三级"/>
    <w:basedOn w:val="59"/>
    <w:link w:val="Charfffff8"/>
    <w:qFormat/>
    <w:pPr>
      <w:keepNext w:val="0"/>
      <w:keepLines w:val="0"/>
      <w:tabs>
        <w:tab w:val="clear" w:pos="1247"/>
        <w:tab w:val="clear" w:pos="1534"/>
      </w:tabs>
      <w:spacing w:line="500" w:lineRule="exact"/>
      <w:ind w:left="0" w:firstLine="0"/>
      <w:jc w:val="left"/>
      <w:outlineLvl w:val="2"/>
    </w:pPr>
    <w:rPr>
      <w:bCs/>
    </w:rPr>
  </w:style>
  <w:style w:type="paragraph" w:customStyle="1" w:styleId="affffffffffffffffffffff1">
    <w:name w:val="一级"/>
    <w:basedOn w:val="1"/>
    <w:link w:val="Charfffff9"/>
    <w:qFormat/>
    <w:pPr>
      <w:keepNext w:val="0"/>
      <w:keepLines w:val="0"/>
      <w:spacing w:before="0" w:after="0" w:line="500" w:lineRule="exact"/>
      <w:jc w:val="center"/>
    </w:pPr>
    <w:rPr>
      <w:rFonts w:ascii="黑体" w:eastAsia="黑体" w:hAnsi="Arial Narrow"/>
      <w:bCs/>
      <w:sz w:val="32"/>
      <w:szCs w:val="32"/>
      <w:lang w:val="zh-CN"/>
    </w:rPr>
  </w:style>
  <w:style w:type="character" w:customStyle="1" w:styleId="5Char">
    <w:name w:val="样式5 Char"/>
    <w:link w:val="59"/>
    <w:qFormat/>
    <w:rPr>
      <w:rFonts w:ascii="宋体" w:eastAsia="汉鼎简书宋" w:hAnsi="宋体"/>
      <w:b/>
      <w:kern w:val="2"/>
      <w:sz w:val="28"/>
    </w:rPr>
  </w:style>
  <w:style w:type="character" w:customStyle="1" w:styleId="Charfffff8">
    <w:name w:val="三级 Char"/>
    <w:basedOn w:val="5Char"/>
    <w:link w:val="affffffffffffffffffffff0"/>
    <w:qFormat/>
    <w:rPr>
      <w:rFonts w:ascii="宋体" w:eastAsia="汉鼎简书宋" w:hAnsi="宋体"/>
      <w:b/>
      <w:bCs/>
      <w:kern w:val="2"/>
      <w:sz w:val="28"/>
    </w:rPr>
  </w:style>
  <w:style w:type="character" w:customStyle="1" w:styleId="Charfffff9">
    <w:name w:val="一级 Char"/>
    <w:link w:val="affffffffffffffffffffff1"/>
    <w:qFormat/>
    <w:rPr>
      <w:rFonts w:ascii="黑体" w:eastAsia="黑体" w:hAnsi="Arial Narrow"/>
      <w:b/>
      <w:bCs/>
      <w:kern w:val="44"/>
      <w:sz w:val="32"/>
      <w:szCs w:val="32"/>
      <w:lang w:val="zh-CN"/>
    </w:rPr>
  </w:style>
  <w:style w:type="paragraph" w:customStyle="1" w:styleId="affffffffffffffffffffff2">
    <w:name w:val="五级"/>
    <w:basedOn w:val="afffffffffffe"/>
    <w:link w:val="Charfffffa"/>
    <w:qFormat/>
    <w:pPr>
      <w:ind w:firstLine="480"/>
      <w:outlineLvl w:val="4"/>
    </w:pPr>
    <w:rPr>
      <w:b/>
      <w:lang w:val="en-US"/>
    </w:rPr>
  </w:style>
  <w:style w:type="character" w:customStyle="1" w:styleId="Charfffffa">
    <w:name w:val="五级 Char"/>
    <w:link w:val="affffffffffffffffffffff2"/>
    <w:rPr>
      <w:rFonts w:ascii="Arial Narrow" w:eastAsia="汉鼎简书宋" w:hAnsi="Arial Narrow"/>
      <w:b/>
      <w:bCs/>
      <w:kern w:val="2"/>
      <w:sz w:val="24"/>
      <w:szCs w:val="24"/>
    </w:rPr>
  </w:style>
  <w:style w:type="paragraph" w:customStyle="1" w:styleId="8-2Char">
    <w:name w:val="8-2 Char"/>
    <w:basedOn w:val="a"/>
    <w:link w:val="8-2CharChar"/>
    <w:qFormat/>
    <w:pPr>
      <w:spacing w:line="440" w:lineRule="exact"/>
      <w:ind w:firstLineChars="200" w:firstLine="480"/>
      <w:jc w:val="left"/>
    </w:pPr>
    <w:rPr>
      <w:rFonts w:cs="宋体"/>
      <w:bCs/>
      <w:szCs w:val="24"/>
    </w:rPr>
  </w:style>
  <w:style w:type="character" w:customStyle="1" w:styleId="8-2CharChar">
    <w:name w:val="8-2 Char Char"/>
    <w:link w:val="8-2Char"/>
    <w:qFormat/>
    <w:rPr>
      <w:rFonts w:ascii="宋体" w:hAnsi="宋体" w:cs="宋体"/>
      <w:bCs/>
      <w:kern w:val="2"/>
      <w:sz w:val="24"/>
      <w:szCs w:val="24"/>
    </w:rPr>
  </w:style>
  <w:style w:type="paragraph" w:customStyle="1" w:styleId="CharCharChar2CharCharCharCharChar2">
    <w:name w:val="Char Char Char2 Char Char Char Char Char2"/>
    <w:basedOn w:val="a"/>
    <w:qFormat/>
    <w:rPr>
      <w:rFonts w:ascii="Times New Roman" w:hAnsi="Times New Roman"/>
      <w:sz w:val="21"/>
      <w:szCs w:val="24"/>
    </w:rPr>
  </w:style>
  <w:style w:type="character" w:customStyle="1" w:styleId="z-Char1">
    <w:name w:val="z-窗体底端 Char1"/>
    <w:uiPriority w:val="99"/>
    <w:qFormat/>
    <w:rPr>
      <w:rFonts w:ascii="Arial" w:eastAsia="宋体" w:hAnsi="Arial" w:cs="Arial"/>
      <w:vanish/>
      <w:sz w:val="16"/>
      <w:szCs w:val="16"/>
    </w:rPr>
  </w:style>
  <w:style w:type="character" w:customStyle="1" w:styleId="CharChar342">
    <w:name w:val="Char Char342"/>
    <w:qFormat/>
    <w:rPr>
      <w:rFonts w:eastAsia="华文中宋"/>
      <w:b/>
      <w:bCs/>
      <w:kern w:val="2"/>
      <w:sz w:val="24"/>
      <w:szCs w:val="24"/>
      <w:lang w:bidi="ar-SA"/>
    </w:rPr>
  </w:style>
  <w:style w:type="character" w:customStyle="1" w:styleId="CharChar322">
    <w:name w:val="Char Char322"/>
    <w:qFormat/>
    <w:rPr>
      <w:rFonts w:ascii="宋体" w:eastAsia="宋体"/>
      <w:b/>
      <w:bCs/>
      <w:kern w:val="2"/>
      <w:sz w:val="28"/>
      <w:szCs w:val="28"/>
      <w:lang w:bidi="ar-SA"/>
    </w:rPr>
  </w:style>
  <w:style w:type="character" w:customStyle="1" w:styleId="CharChar302">
    <w:name w:val="Char Char302"/>
    <w:qFormat/>
    <w:rPr>
      <w:rFonts w:eastAsia="宋体"/>
      <w:b/>
      <w:bCs/>
      <w:kern w:val="2"/>
      <w:sz w:val="24"/>
      <w:szCs w:val="24"/>
      <w:lang w:val="en-US" w:eastAsia="zh-CN" w:bidi="ar-SA"/>
    </w:rPr>
  </w:style>
  <w:style w:type="character" w:customStyle="1" w:styleId="CharChar352">
    <w:name w:val="Char Char352"/>
    <w:qFormat/>
    <w:rPr>
      <w:rFonts w:ascii="Arial Narrow" w:eastAsia="华文中宋" w:hAnsi="Arial Narrow"/>
      <w:iCs/>
      <w:sz w:val="28"/>
      <w:szCs w:val="28"/>
      <w:lang w:bidi="ar-SA"/>
    </w:rPr>
  </w:style>
  <w:style w:type="character" w:customStyle="1" w:styleId="CharChar292">
    <w:name w:val="Char Char292"/>
    <w:rPr>
      <w:rFonts w:ascii="Arial" w:eastAsia="黑体" w:hAnsi="Arial"/>
      <w:kern w:val="2"/>
      <w:sz w:val="24"/>
      <w:szCs w:val="24"/>
      <w:lang w:val="en-US" w:eastAsia="zh-CN" w:bidi="ar-SA"/>
    </w:rPr>
  </w:style>
  <w:style w:type="character" w:customStyle="1" w:styleId="CharChar362">
    <w:name w:val="Char Char362"/>
    <w:qFormat/>
    <w:rPr>
      <w:rFonts w:eastAsia="华文中宋"/>
      <w:b/>
      <w:bCs/>
      <w:kern w:val="44"/>
      <w:sz w:val="36"/>
      <w:szCs w:val="36"/>
      <w:lang w:bidi="ar-SA"/>
    </w:rPr>
  </w:style>
  <w:style w:type="character" w:customStyle="1" w:styleId="CharChar282">
    <w:name w:val="Char Char282"/>
    <w:qFormat/>
    <w:rPr>
      <w:rFonts w:ascii="Arial" w:eastAsia="黑体" w:hAnsi="Arial"/>
      <w:kern w:val="2"/>
      <w:sz w:val="21"/>
      <w:szCs w:val="21"/>
      <w:lang w:val="en-US" w:eastAsia="zh-CN" w:bidi="ar-SA"/>
    </w:rPr>
  </w:style>
  <w:style w:type="character" w:customStyle="1" w:styleId="CharChar332">
    <w:name w:val="Char Char332"/>
    <w:qFormat/>
    <w:rPr>
      <w:rFonts w:eastAsia="华文中宋"/>
      <w:kern w:val="2"/>
      <w:sz w:val="24"/>
      <w:szCs w:val="24"/>
      <w:lang w:bidi="ar-SA"/>
    </w:rPr>
  </w:style>
  <w:style w:type="character" w:customStyle="1" w:styleId="CharChar312">
    <w:name w:val="Char Char312"/>
    <w:qFormat/>
    <w:rPr>
      <w:rFonts w:ascii="Cambria" w:eastAsia="宋体" w:hAnsi="Cambria"/>
      <w:b/>
      <w:bCs/>
      <w:kern w:val="2"/>
      <w:sz w:val="24"/>
      <w:szCs w:val="24"/>
      <w:lang w:bidi="ar-SA"/>
    </w:rPr>
  </w:style>
  <w:style w:type="character" w:customStyle="1" w:styleId="2Char10">
    <w:name w:val="正文文本缩进 2 Char1"/>
    <w:qFormat/>
    <w:rPr>
      <w:kern w:val="2"/>
      <w:sz w:val="21"/>
    </w:rPr>
  </w:style>
  <w:style w:type="character" w:customStyle="1" w:styleId="Charfffffb">
    <w:name w:val="普通(网站) Char"/>
    <w:locked/>
    <w:rPr>
      <w:rFonts w:ascii="Calibri" w:hAnsi="Calibri"/>
      <w:b/>
      <w:i/>
      <w:sz w:val="24"/>
      <w:lang w:eastAsia="en-US" w:bidi="en-US"/>
    </w:rPr>
  </w:style>
  <w:style w:type="paragraph" w:customStyle="1" w:styleId="CharCharChar110">
    <w:name w:val="Char Char Char11"/>
    <w:basedOn w:val="a"/>
    <w:qFormat/>
    <w:rPr>
      <w:rFonts w:ascii="Times New Roman" w:hAnsi="Times New Roman"/>
      <w:sz w:val="21"/>
      <w:szCs w:val="24"/>
    </w:rPr>
  </w:style>
  <w:style w:type="paragraph" w:customStyle="1" w:styleId="CharCharCharCharCharCharCharCharCharCharCharCharCharCharCharCharCharCharCharCharCharCharCharCharCharCharCharCharCharCharCharCharCharCharCharCharCharCharCharCharCharChar1">
    <w:name w:val="正文文本 Char Char Char Char Char Char Char Char Char Char Char Char Char Char Char Char Char Char Char Char Char Char Char Char Char Char Char Char Char Char Char Char Char Char Char Char Char Char Char Char Char Char1"/>
    <w:basedOn w:val="a"/>
    <w:qFormat/>
    <w:rPr>
      <w:rFonts w:ascii="Times New Roman" w:hAnsi="Times New Roman"/>
      <w:sz w:val="21"/>
      <w:szCs w:val="24"/>
    </w:rPr>
  </w:style>
  <w:style w:type="character" w:customStyle="1" w:styleId="Char1f8">
    <w:name w:val="日期 Char1"/>
    <w:qFormat/>
    <w:rPr>
      <w:kern w:val="2"/>
      <w:sz w:val="21"/>
    </w:rPr>
  </w:style>
  <w:style w:type="character" w:customStyle="1" w:styleId="2Char11">
    <w:name w:val="正文文本 2 Char1"/>
    <w:rPr>
      <w:kern w:val="2"/>
      <w:sz w:val="21"/>
    </w:rPr>
  </w:style>
  <w:style w:type="character" w:customStyle="1" w:styleId="Char1f9">
    <w:name w:val="称呼 Char1"/>
    <w:qFormat/>
    <w:rPr>
      <w:kern w:val="2"/>
      <w:sz w:val="21"/>
    </w:rPr>
  </w:style>
  <w:style w:type="character" w:customStyle="1" w:styleId="Char1fa">
    <w:name w:val="电子邮件签名 Char1"/>
    <w:rPr>
      <w:kern w:val="2"/>
      <w:sz w:val="21"/>
    </w:rPr>
  </w:style>
  <w:style w:type="character" w:customStyle="1" w:styleId="Char1fb">
    <w:name w:val="结束语 Char1"/>
    <w:qFormat/>
    <w:rPr>
      <w:kern w:val="2"/>
      <w:sz w:val="21"/>
    </w:rPr>
  </w:style>
  <w:style w:type="character" w:customStyle="1" w:styleId="Char1fc">
    <w:name w:val="签名 Char1"/>
    <w:qFormat/>
    <w:rPr>
      <w:kern w:val="2"/>
      <w:sz w:val="21"/>
    </w:rPr>
  </w:style>
  <w:style w:type="character" w:customStyle="1" w:styleId="Char1fd">
    <w:name w:val="信息标题 Char1"/>
    <w:rPr>
      <w:rFonts w:ascii="Cambria" w:eastAsia="宋体" w:hAnsi="Cambria" w:cs="Times New Roman"/>
      <w:kern w:val="2"/>
      <w:sz w:val="24"/>
      <w:szCs w:val="24"/>
      <w:shd w:val="pct20" w:color="auto" w:fill="auto"/>
    </w:rPr>
  </w:style>
  <w:style w:type="character" w:customStyle="1" w:styleId="2Char12">
    <w:name w:val="正文首行缩进 2 Char1"/>
    <w:qFormat/>
    <w:rPr>
      <w:rFonts w:eastAsia="宋体" w:cs="Plotter"/>
      <w:kern w:val="2"/>
      <w:sz w:val="21"/>
      <w:szCs w:val="24"/>
      <w:lang w:val="en-US" w:eastAsia="zh-CN" w:bidi="ar-SA"/>
    </w:rPr>
  </w:style>
  <w:style w:type="character" w:customStyle="1" w:styleId="3Char11">
    <w:name w:val="正文文本 3 Char1"/>
    <w:qFormat/>
    <w:rPr>
      <w:kern w:val="2"/>
      <w:sz w:val="16"/>
      <w:szCs w:val="16"/>
    </w:rPr>
  </w:style>
  <w:style w:type="character" w:customStyle="1" w:styleId="Char1fe">
    <w:name w:val="注释标题 Char1"/>
    <w:qFormat/>
    <w:rPr>
      <w:kern w:val="2"/>
      <w:sz w:val="21"/>
    </w:rPr>
  </w:style>
  <w:style w:type="character" w:customStyle="1" w:styleId="Char1ff">
    <w:name w:val="批注主题 Char1"/>
    <w:qFormat/>
    <w:rPr>
      <w:rFonts w:ascii="宋体" w:eastAsia="宋体" w:hAnsi="宋体" w:cs="Times New Roman"/>
      <w:b/>
      <w:bCs/>
      <w:kern w:val="2"/>
      <w:sz w:val="21"/>
      <w:szCs w:val="20"/>
    </w:rPr>
  </w:style>
  <w:style w:type="character" w:customStyle="1" w:styleId="Char211">
    <w:name w:val="设计一 Char21"/>
    <w:qFormat/>
    <w:rPr>
      <w:rFonts w:ascii="Arial" w:eastAsia="黑体" w:hAnsi="Arial" w:cs="Arial" w:hint="default"/>
      <w:b/>
      <w:bCs/>
      <w:kern w:val="2"/>
      <w:sz w:val="32"/>
      <w:szCs w:val="32"/>
      <w:lang w:val="en-US" w:eastAsia="zh-CN" w:bidi="ar-SA"/>
    </w:rPr>
  </w:style>
  <w:style w:type="paragraph" w:customStyle="1" w:styleId="xl142">
    <w:name w:val="xl142"/>
    <w:basedOn w:val="a"/>
    <w:qFormat/>
    <w:pPr>
      <w:widowControl/>
      <w:pBdr>
        <w:left w:val="single" w:sz="8" w:space="0" w:color="auto"/>
        <w:bottom w:val="single" w:sz="4" w:space="0" w:color="auto"/>
        <w:right w:val="single" w:sz="4" w:space="0" w:color="auto"/>
      </w:pBdr>
      <w:spacing w:before="100" w:beforeAutospacing="1" w:after="100" w:afterAutospacing="1"/>
      <w:jc w:val="center"/>
    </w:pPr>
    <w:rPr>
      <w:rFonts w:ascii="汉鼎简书宋" w:eastAsia="汉鼎简书宋" w:cs="宋体"/>
      <w:kern w:val="0"/>
      <w:sz w:val="16"/>
      <w:szCs w:val="16"/>
    </w:rPr>
  </w:style>
  <w:style w:type="paragraph" w:customStyle="1" w:styleId="xl143">
    <w:name w:val="xl143"/>
    <w:basedOn w:val="a"/>
    <w:qFormat/>
    <w:pPr>
      <w:widowControl/>
      <w:pBdr>
        <w:top w:val="single" w:sz="4" w:space="0" w:color="auto"/>
        <w:bottom w:val="single" w:sz="4" w:space="0" w:color="auto"/>
        <w:right w:val="single" w:sz="4" w:space="0" w:color="auto"/>
      </w:pBdr>
      <w:spacing w:before="100" w:beforeAutospacing="1" w:after="100" w:afterAutospacing="1"/>
      <w:jc w:val="center"/>
    </w:pPr>
    <w:rPr>
      <w:rFonts w:ascii="汉鼎简书宋" w:eastAsia="汉鼎简书宋" w:cs="宋体"/>
      <w:kern w:val="0"/>
      <w:sz w:val="16"/>
      <w:szCs w:val="16"/>
    </w:rPr>
  </w:style>
  <w:style w:type="paragraph" w:customStyle="1" w:styleId="xl144">
    <w:name w:val="xl144"/>
    <w:basedOn w:val="a"/>
    <w:qFormat/>
    <w:pPr>
      <w:widowControl/>
      <w:pBdr>
        <w:top w:val="single" w:sz="4" w:space="0" w:color="auto"/>
        <w:bottom w:val="single" w:sz="4" w:space="0" w:color="auto"/>
        <w:right w:val="single" w:sz="4" w:space="0" w:color="auto"/>
      </w:pBdr>
      <w:spacing w:before="100" w:beforeAutospacing="1" w:after="100" w:afterAutospacing="1"/>
      <w:jc w:val="center"/>
    </w:pPr>
    <w:rPr>
      <w:rFonts w:ascii="汉鼎简书宋" w:eastAsia="汉鼎简书宋" w:cs="宋体"/>
      <w:kern w:val="0"/>
      <w:sz w:val="16"/>
      <w:szCs w:val="16"/>
    </w:rPr>
  </w:style>
  <w:style w:type="paragraph" w:customStyle="1" w:styleId="xl145">
    <w:name w:val="xl145"/>
    <w:basedOn w:val="a"/>
    <w:qFormat/>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汉鼎简书宋" w:eastAsia="汉鼎简书宋" w:cs="宋体"/>
      <w:b/>
      <w:bCs/>
      <w:kern w:val="0"/>
      <w:sz w:val="16"/>
      <w:szCs w:val="16"/>
    </w:rPr>
  </w:style>
  <w:style w:type="paragraph" w:customStyle="1" w:styleId="xl146">
    <w:name w:val="xl14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汉鼎简书宋" w:eastAsia="汉鼎简书宋" w:cs="宋体"/>
      <w:b/>
      <w:bCs/>
      <w:kern w:val="0"/>
      <w:sz w:val="16"/>
      <w:szCs w:val="16"/>
    </w:rPr>
  </w:style>
  <w:style w:type="paragraph" w:customStyle="1" w:styleId="xl147">
    <w:name w:val="xl147"/>
    <w:basedOn w:val="a"/>
    <w:qFormat/>
    <w:pPr>
      <w:widowControl/>
      <w:pBdr>
        <w:top w:val="single" w:sz="4" w:space="0" w:color="auto"/>
        <w:bottom w:val="single" w:sz="4" w:space="0" w:color="auto"/>
      </w:pBdr>
      <w:spacing w:before="100" w:beforeAutospacing="1" w:after="100" w:afterAutospacing="1"/>
      <w:jc w:val="center"/>
    </w:pPr>
    <w:rPr>
      <w:rFonts w:ascii="汉鼎简书宋" w:eastAsia="汉鼎简书宋" w:cs="宋体"/>
      <w:b/>
      <w:bCs/>
      <w:kern w:val="0"/>
      <w:sz w:val="16"/>
      <w:szCs w:val="16"/>
    </w:rPr>
  </w:style>
  <w:style w:type="paragraph" w:customStyle="1" w:styleId="xl148">
    <w:name w:val="xl148"/>
    <w:basedOn w:val="a"/>
    <w:qFormat/>
    <w:pPr>
      <w:widowControl/>
      <w:spacing w:before="100" w:beforeAutospacing="1" w:after="100" w:afterAutospacing="1"/>
      <w:jc w:val="left"/>
    </w:pPr>
    <w:rPr>
      <w:rFonts w:ascii="Times New Roman" w:hAnsi="Times New Roman"/>
      <w:kern w:val="0"/>
      <w:sz w:val="18"/>
      <w:szCs w:val="18"/>
    </w:rPr>
  </w:style>
  <w:style w:type="paragraph" w:customStyle="1" w:styleId="xl149">
    <w:name w:val="xl149"/>
    <w:basedOn w:val="a"/>
    <w:qFormat/>
    <w:pPr>
      <w:widowControl/>
      <w:spacing w:before="100" w:beforeAutospacing="1" w:after="100" w:afterAutospacing="1"/>
      <w:jc w:val="left"/>
    </w:pPr>
    <w:rPr>
      <w:rFonts w:cs="宋体"/>
      <w:kern w:val="0"/>
      <w:sz w:val="18"/>
      <w:szCs w:val="18"/>
    </w:rPr>
  </w:style>
  <w:style w:type="paragraph" w:customStyle="1" w:styleId="xl150">
    <w:name w:val="xl150"/>
    <w:basedOn w:val="a"/>
    <w:qFormat/>
    <w:pPr>
      <w:widowControl/>
      <w:pBdr>
        <w:top w:val="single" w:sz="8" w:space="0" w:color="auto"/>
      </w:pBdr>
      <w:spacing w:before="100" w:beforeAutospacing="1" w:after="100" w:afterAutospacing="1"/>
      <w:jc w:val="left"/>
    </w:pPr>
    <w:rPr>
      <w:rFonts w:cs="宋体"/>
      <w:kern w:val="0"/>
      <w:sz w:val="18"/>
      <w:szCs w:val="18"/>
    </w:rPr>
  </w:style>
  <w:style w:type="paragraph" w:customStyle="1" w:styleId="xl151">
    <w:name w:val="xl151"/>
    <w:basedOn w:val="a"/>
    <w:qFormat/>
    <w:pPr>
      <w:widowControl/>
      <w:pBdr>
        <w:top w:val="single" w:sz="8" w:space="0" w:color="auto"/>
        <w:left w:val="single" w:sz="8" w:space="0" w:color="auto"/>
        <w:bottom w:val="single" w:sz="4" w:space="0" w:color="auto"/>
      </w:pBdr>
      <w:spacing w:before="100" w:beforeAutospacing="1" w:after="100" w:afterAutospacing="1"/>
      <w:jc w:val="center"/>
    </w:pPr>
    <w:rPr>
      <w:rFonts w:ascii="汉鼎简书宋" w:eastAsia="汉鼎简书宋" w:cs="宋体"/>
      <w:kern w:val="0"/>
      <w:sz w:val="16"/>
      <w:szCs w:val="16"/>
    </w:rPr>
  </w:style>
  <w:style w:type="paragraph" w:customStyle="1" w:styleId="xl152">
    <w:name w:val="xl152"/>
    <w:basedOn w:val="a"/>
    <w:qFormat/>
    <w:pPr>
      <w:widowControl/>
      <w:pBdr>
        <w:top w:val="single" w:sz="8" w:space="0" w:color="auto"/>
        <w:bottom w:val="single" w:sz="4" w:space="0" w:color="auto"/>
      </w:pBdr>
      <w:spacing w:before="100" w:beforeAutospacing="1" w:after="100" w:afterAutospacing="1"/>
      <w:jc w:val="center"/>
    </w:pPr>
    <w:rPr>
      <w:rFonts w:ascii="汉鼎简书宋" w:eastAsia="汉鼎简书宋" w:cs="宋体"/>
      <w:kern w:val="0"/>
      <w:sz w:val="16"/>
      <w:szCs w:val="16"/>
    </w:rPr>
  </w:style>
  <w:style w:type="paragraph" w:customStyle="1" w:styleId="xl153">
    <w:name w:val="xl153"/>
    <w:basedOn w:val="a"/>
    <w:qFormat/>
    <w:pPr>
      <w:widowControl/>
      <w:pBdr>
        <w:top w:val="single" w:sz="8" w:space="0" w:color="auto"/>
        <w:bottom w:val="single" w:sz="4" w:space="0" w:color="auto"/>
        <w:right w:val="single" w:sz="8" w:space="0" w:color="auto"/>
      </w:pBdr>
      <w:spacing w:before="100" w:beforeAutospacing="1" w:after="100" w:afterAutospacing="1"/>
      <w:jc w:val="center"/>
    </w:pPr>
    <w:rPr>
      <w:rFonts w:ascii="汉鼎简书宋" w:eastAsia="汉鼎简书宋" w:cs="宋体"/>
      <w:kern w:val="0"/>
      <w:sz w:val="16"/>
      <w:szCs w:val="16"/>
    </w:rPr>
  </w:style>
  <w:style w:type="paragraph" w:customStyle="1" w:styleId="xl154">
    <w:name w:val="xl154"/>
    <w:basedOn w:val="a"/>
    <w:qFormat/>
    <w:pPr>
      <w:widowControl/>
      <w:pBdr>
        <w:top w:val="single" w:sz="8" w:space="0" w:color="auto"/>
        <w:left w:val="single" w:sz="8" w:space="0" w:color="auto"/>
        <w:bottom w:val="single" w:sz="4" w:space="0" w:color="auto"/>
        <w:right w:val="single" w:sz="8" w:space="0" w:color="auto"/>
      </w:pBdr>
      <w:spacing w:before="100" w:beforeAutospacing="1" w:after="100" w:afterAutospacing="1"/>
      <w:jc w:val="center"/>
    </w:pPr>
    <w:rPr>
      <w:rFonts w:ascii="汉鼎简书宋" w:eastAsia="汉鼎简书宋" w:cs="宋体"/>
      <w:kern w:val="0"/>
      <w:sz w:val="16"/>
      <w:szCs w:val="16"/>
    </w:rPr>
  </w:style>
  <w:style w:type="paragraph" w:customStyle="1" w:styleId="xl155">
    <w:name w:val="xl155"/>
    <w:basedOn w:val="a"/>
    <w:qFormat/>
    <w:pPr>
      <w:widowControl/>
      <w:pBdr>
        <w:top w:val="single" w:sz="8" w:space="0" w:color="auto"/>
        <w:left w:val="single" w:sz="8" w:space="0" w:color="auto"/>
        <w:right w:val="single" w:sz="4" w:space="0" w:color="auto"/>
      </w:pBdr>
      <w:spacing w:before="100" w:beforeAutospacing="1" w:after="100" w:afterAutospacing="1"/>
      <w:jc w:val="center"/>
    </w:pPr>
    <w:rPr>
      <w:rFonts w:ascii="汉鼎简书宋" w:eastAsia="汉鼎简书宋" w:cs="宋体"/>
      <w:kern w:val="0"/>
      <w:sz w:val="16"/>
      <w:szCs w:val="16"/>
    </w:rPr>
  </w:style>
  <w:style w:type="paragraph" w:customStyle="1" w:styleId="xl156">
    <w:name w:val="xl156"/>
    <w:basedOn w:val="a"/>
    <w:qFormat/>
    <w:pPr>
      <w:widowControl/>
      <w:pBdr>
        <w:left w:val="single" w:sz="8" w:space="0" w:color="auto"/>
        <w:right w:val="single" w:sz="4" w:space="0" w:color="auto"/>
      </w:pBdr>
      <w:spacing w:before="100" w:beforeAutospacing="1" w:after="100" w:afterAutospacing="1"/>
      <w:jc w:val="center"/>
    </w:pPr>
    <w:rPr>
      <w:rFonts w:ascii="汉鼎简书宋" w:eastAsia="汉鼎简书宋" w:cs="宋体"/>
      <w:kern w:val="0"/>
      <w:sz w:val="16"/>
      <w:szCs w:val="16"/>
    </w:rPr>
  </w:style>
  <w:style w:type="paragraph" w:customStyle="1" w:styleId="xl157">
    <w:name w:val="xl157"/>
    <w:basedOn w:val="a"/>
    <w:qFormat/>
    <w:pPr>
      <w:widowControl/>
      <w:pBdr>
        <w:top w:val="single" w:sz="8" w:space="0" w:color="auto"/>
        <w:left w:val="single" w:sz="4" w:space="0" w:color="auto"/>
        <w:right w:val="single" w:sz="8" w:space="0" w:color="auto"/>
      </w:pBdr>
      <w:spacing w:before="100" w:beforeAutospacing="1" w:after="100" w:afterAutospacing="1"/>
      <w:jc w:val="center"/>
    </w:pPr>
    <w:rPr>
      <w:rFonts w:ascii="汉鼎简书宋" w:eastAsia="汉鼎简书宋" w:cs="宋体"/>
      <w:kern w:val="0"/>
      <w:sz w:val="16"/>
      <w:szCs w:val="16"/>
    </w:rPr>
  </w:style>
  <w:style w:type="paragraph" w:customStyle="1" w:styleId="xl158">
    <w:name w:val="xl158"/>
    <w:basedOn w:val="a"/>
    <w:qFormat/>
    <w:pPr>
      <w:widowControl/>
      <w:pBdr>
        <w:top w:val="single" w:sz="8" w:space="0" w:color="auto"/>
        <w:right w:val="single" w:sz="8" w:space="0" w:color="auto"/>
      </w:pBdr>
      <w:spacing w:before="100" w:beforeAutospacing="1" w:after="100" w:afterAutospacing="1"/>
      <w:jc w:val="center"/>
    </w:pPr>
    <w:rPr>
      <w:rFonts w:ascii="汉鼎简书宋" w:eastAsia="汉鼎简书宋" w:cs="宋体"/>
      <w:kern w:val="0"/>
      <w:sz w:val="16"/>
      <w:szCs w:val="16"/>
    </w:rPr>
  </w:style>
  <w:style w:type="paragraph" w:customStyle="1" w:styleId="xl159">
    <w:name w:val="xl159"/>
    <w:basedOn w:val="a"/>
    <w:qFormat/>
    <w:pPr>
      <w:widowControl/>
      <w:pBdr>
        <w:right w:val="single" w:sz="8" w:space="0" w:color="auto"/>
      </w:pBdr>
      <w:spacing w:before="100" w:beforeAutospacing="1" w:after="100" w:afterAutospacing="1"/>
      <w:jc w:val="center"/>
    </w:pPr>
    <w:rPr>
      <w:rFonts w:ascii="汉鼎简书宋" w:eastAsia="汉鼎简书宋" w:cs="宋体"/>
      <w:kern w:val="0"/>
      <w:sz w:val="16"/>
      <w:szCs w:val="16"/>
    </w:rPr>
  </w:style>
  <w:style w:type="paragraph" w:customStyle="1" w:styleId="wideline">
    <w:name w:val="wideline"/>
    <w:basedOn w:val="a"/>
    <w:qFormat/>
    <w:pPr>
      <w:widowControl/>
      <w:spacing w:before="100" w:beforeAutospacing="1" w:after="100" w:afterAutospacing="1" w:line="288" w:lineRule="auto"/>
      <w:jc w:val="left"/>
    </w:pPr>
    <w:rPr>
      <w:rFonts w:cs="宋体"/>
      <w:color w:val="222222"/>
      <w:kern w:val="0"/>
      <w:sz w:val="30"/>
      <w:szCs w:val="30"/>
    </w:rPr>
  </w:style>
  <w:style w:type="paragraph" w:customStyle="1" w:styleId="affffffffffffffffffffff3">
    <w:name w:val="基准页眉样式"/>
    <w:basedOn w:val="af7"/>
    <w:qFormat/>
    <w:pPr>
      <w:adjustRightInd/>
      <w:snapToGrid/>
      <w:jc w:val="center"/>
    </w:pPr>
    <w:rPr>
      <w:rFonts w:ascii="Times New Roman" w:eastAsia="宋体" w:hAnsi="Times New Roman"/>
      <w:color w:val="auto"/>
    </w:rPr>
  </w:style>
  <w:style w:type="paragraph" w:customStyle="1" w:styleId="08">
    <w:name w:val="0"/>
    <w:basedOn w:val="a"/>
    <w:qFormat/>
    <w:pPr>
      <w:widowControl/>
      <w:snapToGrid w:val="0"/>
      <w:spacing w:line="365" w:lineRule="atLeast"/>
      <w:ind w:left="1"/>
      <w:textAlignment w:val="bottom"/>
    </w:pPr>
    <w:rPr>
      <w:rFonts w:ascii="Times New Roman" w:hAnsi="Times New Roman"/>
      <w:kern w:val="0"/>
      <w:sz w:val="20"/>
    </w:rPr>
  </w:style>
  <w:style w:type="paragraph" w:customStyle="1" w:styleId="Body">
    <w:name w:val="Body"/>
    <w:qFormat/>
    <w:pPr>
      <w:spacing w:after="120"/>
      <w:ind w:left="1418"/>
    </w:pPr>
    <w:rPr>
      <w:rFonts w:ascii="Arial" w:hAnsi="Arial"/>
      <w:sz w:val="22"/>
      <w:lang w:eastAsia="en-US"/>
    </w:rPr>
  </w:style>
  <w:style w:type="paragraph" w:customStyle="1" w:styleId="127">
    <w:name w:val="正文首行缩进12"/>
    <w:basedOn w:val="af7"/>
    <w:qFormat/>
    <w:pPr>
      <w:spacing w:line="480" w:lineRule="atLeast"/>
      <w:ind w:firstLine="420"/>
      <w:jc w:val="center"/>
      <w:textAlignment w:val="baseline"/>
    </w:pPr>
    <w:rPr>
      <w:rFonts w:ascii="Times New Roman" w:eastAsia="宋体" w:hAnsi="Times New Roman"/>
      <w:color w:val="FF6600"/>
      <w:sz w:val="28"/>
    </w:rPr>
  </w:style>
  <w:style w:type="paragraph" w:customStyle="1" w:styleId="228">
    <w:name w:val="正文 + 行距: 最小值 22 磅"/>
    <w:basedOn w:val="a"/>
    <w:qFormat/>
    <w:pPr>
      <w:snapToGrid w:val="0"/>
      <w:spacing w:line="400" w:lineRule="atLeast"/>
    </w:pPr>
    <w:rPr>
      <w:rFonts w:ascii="Times New Roman" w:hAnsi="Times New Roman"/>
    </w:rPr>
  </w:style>
  <w:style w:type="character" w:customStyle="1" w:styleId="CharCharChar9">
    <w:name w:val="纯文本 Char Char Char"/>
    <w:qFormat/>
    <w:rPr>
      <w:rFonts w:ascii="宋体" w:eastAsia="宋体" w:hAnsi="Courier New" w:cs="Courier New"/>
      <w:kern w:val="2"/>
      <w:sz w:val="21"/>
      <w:szCs w:val="21"/>
      <w:lang w:val="en-US" w:eastAsia="zh-CN" w:bidi="ar-SA"/>
    </w:rPr>
  </w:style>
  <w:style w:type="character" w:customStyle="1" w:styleId="affffffffffffffffffffff4">
    <w:name w:val="样式 三号"/>
    <w:qFormat/>
    <w:rPr>
      <w:sz w:val="36"/>
    </w:rPr>
  </w:style>
  <w:style w:type="paragraph" w:customStyle="1" w:styleId="CharCharChar2CharCharChar1Char2">
    <w:name w:val="Char Char Char2 Char Char Char1 Char2"/>
    <w:basedOn w:val="a"/>
    <w:qFormat/>
    <w:rPr>
      <w:rFonts w:ascii="Times New Roman" w:hAnsi="Times New Roman"/>
      <w:sz w:val="21"/>
      <w:szCs w:val="24"/>
    </w:rPr>
  </w:style>
  <w:style w:type="table" w:customStyle="1" w:styleId="3ff2">
    <w:name w:val="网格型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fe">
    <w:name w:val="表格主题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d">
    <w:name w:val="灰度表格1"/>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2">
    <w:name w:val="网格型4"/>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f3">
    <w:name w:val="网格型5"/>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8">
    <w:name w:val="网格型12"/>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网格型1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7">
    <w:name w:val="网格型6"/>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网格型7"/>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3CharCharCharCharCharCharChar2">
    <w:name w:val="Char Char3 Char Char Char Char Char Char Char2"/>
    <w:basedOn w:val="a"/>
    <w:qFormat/>
    <w:pPr>
      <w:spacing w:line="360" w:lineRule="auto"/>
      <w:ind w:firstLineChars="200" w:firstLine="200"/>
    </w:pPr>
    <w:rPr>
      <w:rFonts w:cs="宋体"/>
      <w:szCs w:val="24"/>
    </w:rPr>
  </w:style>
  <w:style w:type="table" w:customStyle="1" w:styleId="86">
    <w:name w:val="网格型8"/>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7">
    <w:name w:val="网格型9"/>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网格型10"/>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网格型1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8">
    <w:name w:val="网格型15"/>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1">
    <w:name w:val="表样式1 Char"/>
    <w:link w:val="1f7"/>
    <w:qFormat/>
    <w:rPr>
      <w:rFonts w:ascii="黑体" w:eastAsia="黑体"/>
      <w:b/>
      <w:bCs/>
      <w:kern w:val="2"/>
      <w:sz w:val="28"/>
      <w:szCs w:val="24"/>
    </w:rPr>
  </w:style>
  <w:style w:type="character" w:customStyle="1" w:styleId="CommentTextChar">
    <w:name w:val="Comment Text Char"/>
    <w:qFormat/>
    <w:locked/>
    <w:rPr>
      <w:rFonts w:cs="Times New Roman"/>
      <w:kern w:val="2"/>
      <w:sz w:val="24"/>
      <w:szCs w:val="24"/>
    </w:rPr>
  </w:style>
  <w:style w:type="character" w:customStyle="1" w:styleId="Heading3Char">
    <w:name w:val="Heading 3 Char"/>
    <w:qFormat/>
    <w:locked/>
    <w:rPr>
      <w:rFonts w:ascii="宋体" w:eastAsia="宋体" w:cs="Times New Roman"/>
      <w:b/>
      <w:bCs/>
      <w:spacing w:val="-2"/>
      <w:kern w:val="2"/>
      <w:sz w:val="32"/>
      <w:szCs w:val="32"/>
    </w:rPr>
  </w:style>
  <w:style w:type="character" w:customStyle="1" w:styleId="BalloonTextChar">
    <w:name w:val="Balloon Text Char"/>
    <w:qFormat/>
    <w:locked/>
    <w:rPr>
      <w:rFonts w:ascii="宋体" w:eastAsia="宋体" w:cs="Times New Roman"/>
      <w:spacing w:val="-2"/>
      <w:kern w:val="2"/>
      <w:sz w:val="18"/>
      <w:szCs w:val="18"/>
    </w:rPr>
  </w:style>
  <w:style w:type="character" w:customStyle="1" w:styleId="1Char3">
    <w:name w:val="表格1 Char"/>
    <w:link w:val="1f8"/>
    <w:qFormat/>
    <w:locked/>
    <w:rPr>
      <w:rFonts w:ascii="宋体" w:hAnsi="宋体"/>
      <w:kern w:val="2"/>
      <w:sz w:val="18"/>
    </w:rPr>
  </w:style>
  <w:style w:type="character" w:customStyle="1" w:styleId="bt211">
    <w:name w:val="bt2_11"/>
    <w:qFormat/>
    <w:rPr>
      <w:rFonts w:ascii="宋体" w:eastAsia="宋体" w:hAnsi="宋体" w:hint="eastAsia"/>
      <w:color w:val="003399"/>
      <w:sz w:val="21"/>
      <w:szCs w:val="21"/>
      <w:u w:val="none"/>
    </w:rPr>
  </w:style>
  <w:style w:type="character" w:customStyle="1" w:styleId="f14b">
    <w:name w:val="f14b"/>
    <w:basedOn w:val="a0"/>
    <w:qFormat/>
  </w:style>
  <w:style w:type="character" w:customStyle="1" w:styleId="f14b1">
    <w:name w:val="f14b1"/>
    <w:qFormat/>
    <w:rPr>
      <w:b/>
      <w:bCs/>
      <w:sz w:val="28"/>
      <w:szCs w:val="28"/>
    </w:rPr>
  </w:style>
  <w:style w:type="paragraph" w:customStyle="1" w:styleId="xhfounderpouter">
    <w:name w:val="xhfounderpouter"/>
    <w:basedOn w:val="a"/>
    <w:qFormat/>
    <w:pPr>
      <w:widowControl/>
      <w:spacing w:before="100" w:beforeAutospacing="1" w:after="100" w:afterAutospacing="1"/>
      <w:jc w:val="left"/>
    </w:pPr>
    <w:rPr>
      <w:rFonts w:cs="宋体"/>
      <w:kern w:val="0"/>
    </w:rPr>
  </w:style>
  <w:style w:type="character" w:customStyle="1" w:styleId="style41">
    <w:name w:val="style41"/>
    <w:qFormat/>
    <w:rPr>
      <w:color w:val="000000"/>
    </w:rPr>
  </w:style>
  <w:style w:type="character" w:customStyle="1" w:styleId="style51">
    <w:name w:val="style51"/>
    <w:qFormat/>
    <w:rPr>
      <w:color w:val="000099"/>
    </w:rPr>
  </w:style>
  <w:style w:type="paragraph" w:customStyle="1" w:styleId="unnamed1">
    <w:name w:val="unnamed1"/>
    <w:basedOn w:val="a"/>
    <w:qFormat/>
    <w:pPr>
      <w:widowControl/>
      <w:spacing w:before="100" w:beforeAutospacing="1" w:after="100" w:afterAutospacing="1" w:line="340" w:lineRule="atLeast"/>
      <w:jc w:val="left"/>
    </w:pPr>
    <w:rPr>
      <w:rFonts w:cs="宋体"/>
      <w:kern w:val="0"/>
      <w:sz w:val="18"/>
      <w:szCs w:val="18"/>
    </w:rPr>
  </w:style>
  <w:style w:type="paragraph" w:customStyle="1" w:styleId="CharCharCharCharCharCharCharCharCharCharCharCharCharCharCharCharCharCharCharCharCharCharCharCharCharCharCharChar1CharCharCharCharCharCharChar2">
    <w:name w:val="Char Char Char Char Char Char Char Char Char Char Char Char Char Char Char Char Char Char Char Char Char Char Char Char Char Char Char Char1 Char Char Char Char Char Char Char2"/>
    <w:basedOn w:val="a"/>
    <w:qFormat/>
    <w:rPr>
      <w:rFonts w:ascii="Times New Roman" w:hAnsi="Times New Roman"/>
      <w:sz w:val="21"/>
      <w:szCs w:val="24"/>
    </w:rPr>
  </w:style>
  <w:style w:type="character" w:customStyle="1" w:styleId="CharCharff0">
    <w:name w:val="（）序号 Char Char"/>
    <w:qFormat/>
    <w:rPr>
      <w:rFonts w:ascii="宋体" w:hAnsi="宋体"/>
      <w:b/>
      <w:kern w:val="2"/>
      <w:sz w:val="24"/>
      <w:szCs w:val="24"/>
    </w:rPr>
  </w:style>
  <w:style w:type="character" w:customStyle="1" w:styleId="CharCharff1">
    <w:name w:val="图号 Char Char"/>
    <w:qFormat/>
    <w:rPr>
      <w:rFonts w:eastAsia="宋体"/>
      <w:b/>
      <w:kern w:val="32"/>
      <w:sz w:val="24"/>
      <w:lang w:val="en-US" w:eastAsia="zh-CN"/>
    </w:rPr>
  </w:style>
  <w:style w:type="character" w:customStyle="1" w:styleId="2CharChar2">
    <w:name w:val="报告文字:2 字符 Char Char"/>
    <w:qFormat/>
    <w:rPr>
      <w:rFonts w:eastAsia="仿宋_GB2312"/>
      <w:kern w:val="2"/>
      <w:sz w:val="28"/>
      <w:lang w:val="en-US" w:eastAsia="zh-CN"/>
    </w:rPr>
  </w:style>
  <w:style w:type="character" w:customStyle="1" w:styleId="dan7-1CharChar">
    <w:name w:val="dan7-1 Char Char"/>
    <w:qFormat/>
    <w:rPr>
      <w:kern w:val="2"/>
      <w:sz w:val="24"/>
      <w:szCs w:val="24"/>
    </w:rPr>
  </w:style>
  <w:style w:type="character" w:customStyle="1" w:styleId="WCharChar">
    <w:name w:val="W表尾 Char Char"/>
    <w:qFormat/>
    <w:rPr>
      <w:rFonts w:ascii="宋体" w:hAnsi="宋体" w:cs="宋体"/>
      <w:b/>
      <w:sz w:val="21"/>
      <w:szCs w:val="28"/>
    </w:rPr>
  </w:style>
  <w:style w:type="character" w:customStyle="1" w:styleId="zhCharChar">
    <w:name w:val="zh正文 Char Char"/>
    <w:qFormat/>
    <w:rPr>
      <w:rFonts w:ascii="仿宋_GB2312" w:eastAsia="仿宋_GB2312" w:hAnsi="宋体"/>
      <w:b/>
      <w:color w:val="1D1B11"/>
      <w:kern w:val="2"/>
      <w:sz w:val="28"/>
      <w:szCs w:val="28"/>
    </w:rPr>
  </w:style>
  <w:style w:type="character" w:customStyle="1" w:styleId="CharCharff2">
    <w:name w:val="样式 样式 报告正文 + 宋体 五号 黑色 + 五号 Char Char"/>
    <w:qFormat/>
    <w:rPr>
      <w:rFonts w:ascii="宋体" w:eastAsia="宋体" w:hAnsi="宋体"/>
      <w:b/>
      <w:bCs/>
      <w:color w:val="000000"/>
      <w:kern w:val="2"/>
      <w:sz w:val="24"/>
      <w:szCs w:val="24"/>
      <w:lang w:val="en-US" w:eastAsia="zh-CN" w:bidi="ar-SA"/>
    </w:rPr>
  </w:style>
  <w:style w:type="character" w:customStyle="1" w:styleId="CharCharff3">
    <w:name w:val="附表标题 Char Char"/>
    <w:qFormat/>
    <w:rPr>
      <w:rFonts w:eastAsia="黑体"/>
      <w:b/>
      <w:bCs/>
      <w:kern w:val="2"/>
      <w:sz w:val="28"/>
      <w:lang w:val="en-US" w:eastAsia="zh-CN" w:bidi="ar-SA"/>
    </w:rPr>
  </w:style>
  <w:style w:type="character" w:customStyle="1" w:styleId="---CharChar">
    <w:name w:val="正文---ＰＫ Char Char"/>
    <w:qFormat/>
    <w:rPr>
      <w:rFonts w:ascii="宋体" w:eastAsia="宋体" w:hAnsi="宋体" w:cs="Arial"/>
      <w:snapToGrid w:val="0"/>
      <w:color w:val="FF0000"/>
      <w:kern w:val="2"/>
      <w:sz w:val="24"/>
      <w:szCs w:val="24"/>
      <w:lang w:val="zh-CN" w:bidi="ar-SA"/>
    </w:rPr>
  </w:style>
  <w:style w:type="character" w:customStyle="1" w:styleId="HP3TimesNewRomanCharChar">
    <w:name w:val="样式 HP3 + (符号) Times New Roman Char Char"/>
    <w:qFormat/>
    <w:rPr>
      <w:rFonts w:ascii="宋体" w:eastAsia="宋体" w:hAnsi="宋体"/>
      <w:kern w:val="2"/>
      <w:sz w:val="24"/>
      <w:u w:color="000000"/>
      <w:lang w:val="en-US" w:eastAsia="zh-CN"/>
    </w:rPr>
  </w:style>
  <w:style w:type="character" w:customStyle="1" w:styleId="2CharChar3">
    <w:name w:val="样式 首行缩进:  2 字符 Char Char"/>
    <w:qFormat/>
    <w:rPr>
      <w:rFonts w:eastAsia="宋体"/>
      <w:kern w:val="2"/>
      <w:sz w:val="24"/>
      <w:lang w:val="en-US" w:eastAsia="zh-CN"/>
    </w:rPr>
  </w:style>
  <w:style w:type="character" w:customStyle="1" w:styleId="HP4CharChar">
    <w:name w:val="HP4 Char Char"/>
    <w:qFormat/>
    <w:rPr>
      <w:rFonts w:eastAsia="宋体"/>
      <w:kern w:val="2"/>
      <w:sz w:val="24"/>
      <w:u w:color="000000"/>
      <w:lang w:val="en-US" w:eastAsia="zh-CN"/>
    </w:rPr>
  </w:style>
  <w:style w:type="character" w:customStyle="1" w:styleId="070411CharChar">
    <w:name w:val="070411正文样式 Char Char"/>
    <w:qFormat/>
    <w:rPr>
      <w:spacing w:val="10"/>
      <w:kern w:val="2"/>
      <w:sz w:val="24"/>
      <w:szCs w:val="24"/>
    </w:rPr>
  </w:style>
  <w:style w:type="character" w:customStyle="1" w:styleId="CharCharff4">
    <w:name w:val="设计文字 Char Char"/>
    <w:qFormat/>
    <w:rPr>
      <w:rFonts w:eastAsia="仿宋_GB2312"/>
      <w:bCs/>
      <w:color w:val="000000"/>
      <w:kern w:val="2"/>
      <w:sz w:val="28"/>
      <w:lang w:val="en-US" w:eastAsia="zh-CN" w:bidi="ar-SA"/>
    </w:rPr>
  </w:style>
  <w:style w:type="character" w:customStyle="1" w:styleId="CharCharff5">
    <w:name w:val="样式 报告正文 + 红色 Char Char"/>
    <w:qFormat/>
    <w:rPr>
      <w:rFonts w:ascii="Times" w:eastAsia="宋体" w:hAnsi="Times"/>
      <w:bCs/>
      <w:color w:val="FF0000"/>
      <w:spacing w:val="-2"/>
      <w:kern w:val="2"/>
      <w:sz w:val="24"/>
      <w:szCs w:val="21"/>
      <w:lang w:val="zh-CN" w:eastAsia="zh-CN" w:bidi="ar-SA"/>
    </w:rPr>
  </w:style>
  <w:style w:type="character" w:customStyle="1" w:styleId="CharCharff6">
    <w:name w:val="样式 报告正文 + (中文) 华文细黑 Char Char"/>
    <w:qFormat/>
    <w:rPr>
      <w:rFonts w:eastAsia="仿宋_GB2312"/>
      <w:color w:val="000000"/>
      <w:kern w:val="2"/>
      <w:sz w:val="28"/>
      <w:lang w:val="en-US" w:eastAsia="zh-CN" w:bidi="ar-SA"/>
    </w:rPr>
  </w:style>
  <w:style w:type="character" w:customStyle="1" w:styleId="CharCharff7">
    <w:name w:val="三级 Char Char"/>
    <w:basedOn w:val="5CharChar"/>
    <w:qFormat/>
    <w:rPr>
      <w:rFonts w:ascii="宋体" w:eastAsia="汉鼎简书宋" w:hAnsi="宋体"/>
      <w:b/>
      <w:bCs/>
      <w:kern w:val="2"/>
      <w:sz w:val="28"/>
      <w:szCs w:val="24"/>
      <w:lang w:val="en-US" w:eastAsia="zh-CN" w:bidi="ar-SA"/>
    </w:rPr>
  </w:style>
  <w:style w:type="character" w:customStyle="1" w:styleId="5CharChar">
    <w:name w:val="样式5 Char Char"/>
    <w:qFormat/>
    <w:rPr>
      <w:rFonts w:ascii="宋体" w:eastAsia="汉鼎简书宋" w:hAnsi="宋体"/>
      <w:b/>
      <w:bCs/>
      <w:kern w:val="2"/>
      <w:sz w:val="28"/>
      <w:szCs w:val="24"/>
      <w:lang w:val="en-US" w:eastAsia="zh-CN" w:bidi="ar-SA"/>
    </w:rPr>
  </w:style>
  <w:style w:type="character" w:customStyle="1" w:styleId="CharCharff8">
    <w:name w:val="样式 表头 + 小四 Char Char"/>
    <w:qFormat/>
    <w:rPr>
      <w:rFonts w:ascii="黑体" w:eastAsia="仿宋_GB2312" w:hAnsi="宋体"/>
      <w:b/>
      <w:bCs/>
      <w:sz w:val="24"/>
      <w:szCs w:val="24"/>
      <w:lang w:eastAsia="en-US" w:bidi="en-US"/>
    </w:rPr>
  </w:style>
  <w:style w:type="character" w:customStyle="1" w:styleId="3CharChar2">
    <w:name w:val="正文3 Char Char"/>
    <w:qFormat/>
    <w:rPr>
      <w:rFonts w:ascii="宋体" w:eastAsia="宋体" w:hAnsi="宋体" w:cs="宋体"/>
      <w:kern w:val="2"/>
      <w:sz w:val="24"/>
      <w:szCs w:val="24"/>
      <w:lang w:val="en-US" w:eastAsia="zh-CN" w:bidi="ar-SA"/>
    </w:rPr>
  </w:style>
  <w:style w:type="character" w:customStyle="1" w:styleId="2CharChar4">
    <w:name w:val="正2 Char Char"/>
    <w:qFormat/>
    <w:rPr>
      <w:rFonts w:ascii="宋体" w:eastAsia="宋体" w:hAnsi="宋体"/>
      <w:color w:val="0000FF"/>
      <w:kern w:val="2"/>
      <w:sz w:val="24"/>
      <w:szCs w:val="24"/>
      <w:lang w:bidi="ar-SA"/>
    </w:rPr>
  </w:style>
  <w:style w:type="character" w:customStyle="1" w:styleId="hb4CharCharCharCharCharCharChar">
    <w:name w:val="hb4 Char Char Char Char Char Char Char"/>
    <w:qFormat/>
    <w:rPr>
      <w:rFonts w:ascii="宋体" w:eastAsia="黑体" w:hAnsi="Arial"/>
      <w:kern w:val="2"/>
      <w:sz w:val="24"/>
      <w:szCs w:val="24"/>
    </w:rPr>
  </w:style>
  <w:style w:type="character" w:customStyle="1" w:styleId="PlainTextCharChar">
    <w:name w:val="Plain Text Char Char"/>
    <w:qFormat/>
    <w:rPr>
      <w:rFonts w:ascii="宋体" w:eastAsia="宋体" w:hAnsi="Courier New"/>
      <w:kern w:val="4"/>
      <w:sz w:val="21"/>
    </w:rPr>
  </w:style>
  <w:style w:type="character" w:customStyle="1" w:styleId="CharCharff9">
    <w:name w:val="表格文字中 Char Char"/>
    <w:qFormat/>
    <w:rPr>
      <w:sz w:val="21"/>
      <w:szCs w:val="24"/>
    </w:rPr>
  </w:style>
  <w:style w:type="character" w:customStyle="1" w:styleId="CharCharCharCharCharCharCharCharCharCharChar0">
    <w:name w:val="Char Char Char Char Char Char Char Char Char Char Char"/>
    <w:qFormat/>
    <w:rPr>
      <w:rFonts w:ascii="Arial" w:eastAsia="仿宋_GB2312" w:hAnsi="Arial"/>
      <w:b/>
      <w:bCs/>
      <w:kern w:val="2"/>
      <w:sz w:val="28"/>
      <w:szCs w:val="32"/>
      <w:lang w:val="en-US" w:eastAsia="zh-CN" w:bidi="ar-SA"/>
    </w:rPr>
  </w:style>
  <w:style w:type="character" w:customStyle="1" w:styleId="CharCharffa">
    <w:name w:val="表内容 Char Char"/>
    <w:qFormat/>
    <w:rPr>
      <w:rFonts w:ascii="宋体" w:eastAsia="宋体" w:hAnsi="宋体"/>
      <w:kern w:val="2"/>
      <w:sz w:val="24"/>
      <w:lang w:val="en-US" w:eastAsia="zh-CN" w:bidi="ar-SA"/>
    </w:rPr>
  </w:style>
  <w:style w:type="character" w:customStyle="1" w:styleId="26CharCharCharChar">
    <w:name w:val="样式 (符号) 宋体 小四 行距: 固定值 26 磅 Char Char Char Char"/>
    <w:qFormat/>
    <w:rPr>
      <w:rFonts w:hAnsi="宋体" w:cs="宋体"/>
      <w:color w:val="000000"/>
      <w:kern w:val="2"/>
      <w:sz w:val="28"/>
      <w:szCs w:val="28"/>
    </w:rPr>
  </w:style>
  <w:style w:type="character" w:customStyle="1" w:styleId="CharCharCharCharCharChar5">
    <w:name w:val="图、表头文字 Char Char Char Char Char Char"/>
    <w:qFormat/>
    <w:rPr>
      <w:rFonts w:ascii="黑体" w:eastAsia="黑体"/>
      <w:sz w:val="21"/>
      <w:lang w:val="en-US" w:eastAsia="zh-CN" w:bidi="ar-SA"/>
    </w:rPr>
  </w:style>
  <w:style w:type="character" w:customStyle="1" w:styleId="zhengwenCharChar">
    <w:name w:val="zhengwen Char Char"/>
    <w:qFormat/>
    <w:rPr>
      <w:rFonts w:eastAsia="宋体" w:cs="宋体"/>
      <w:sz w:val="24"/>
      <w:szCs w:val="24"/>
      <w:lang w:val="en-US" w:eastAsia="zh-CN" w:bidi="ar-SA"/>
    </w:rPr>
  </w:style>
  <w:style w:type="character" w:customStyle="1" w:styleId="hb2CharChar0">
    <w:name w:val="样式 hb2 + 黑体 Char Char"/>
    <w:qFormat/>
    <w:rPr>
      <w:rFonts w:ascii="黑体" w:eastAsia="宋体" w:hAnsi="黑体"/>
      <w:b/>
      <w:kern w:val="2"/>
      <w:sz w:val="28"/>
      <w:lang w:val="en-US" w:eastAsia="zh-CN"/>
    </w:rPr>
  </w:style>
  <w:style w:type="character" w:customStyle="1" w:styleId="zhengwenCharChar0">
    <w:name w:val="样式 zhengwen + 黑色 Char Char"/>
    <w:basedOn w:val="zhengwenCharChar"/>
    <w:qFormat/>
    <w:rPr>
      <w:rFonts w:eastAsia="宋体" w:cs="宋体"/>
      <w:sz w:val="24"/>
      <w:szCs w:val="24"/>
      <w:lang w:val="en-US" w:eastAsia="zh-CN" w:bidi="ar-SA"/>
    </w:rPr>
  </w:style>
  <w:style w:type="character" w:customStyle="1" w:styleId="CharCharffb">
    <w:name w:val="表图标题 Char Char"/>
    <w:qFormat/>
    <w:rPr>
      <w:rFonts w:ascii="Arial Narrow" w:eastAsia="汉鼎简书宋" w:hAnsi="Arial Narrow"/>
      <w:b/>
      <w:kern w:val="2"/>
      <w:sz w:val="21"/>
      <w:szCs w:val="21"/>
    </w:rPr>
  </w:style>
  <w:style w:type="character" w:customStyle="1" w:styleId="CharCharffc">
    <w:name w:val="这是文本 Char Char"/>
    <w:qFormat/>
    <w:rPr>
      <w:rFonts w:eastAsia="宋体"/>
      <w:kern w:val="2"/>
      <w:sz w:val="24"/>
      <w:szCs w:val="24"/>
      <w:lang w:val="en-US" w:eastAsia="zh-CN" w:bidi="ar-SA"/>
    </w:rPr>
  </w:style>
  <w:style w:type="character" w:customStyle="1" w:styleId="222CharChar">
    <w:name w:val="样式 样式 样式 设计正文 + 首行缩进:  2 字符 + 首行缩进:  2 字符 + 首行缩进:  2 字符 Char Char"/>
    <w:qFormat/>
    <w:rPr>
      <w:rFonts w:eastAsia="仿宋_GB2312" w:cs="宋体"/>
      <w:b/>
      <w:kern w:val="2"/>
      <w:sz w:val="28"/>
      <w:lang w:val="en-US" w:eastAsia="zh-CN" w:bidi="ar-SA"/>
    </w:rPr>
  </w:style>
  <w:style w:type="character" w:customStyle="1" w:styleId="CharCharCharCharCharChar6">
    <w:name w:val="样式 图号 + 宋体 Char Char Char Char Char Char"/>
    <w:qFormat/>
    <w:rPr>
      <w:rFonts w:ascii="宋体" w:eastAsia="宋体" w:hAnsi="宋体"/>
      <w:b/>
      <w:kern w:val="32"/>
      <w:sz w:val="24"/>
      <w:lang w:val="en-US" w:eastAsia="zh-CN"/>
    </w:rPr>
  </w:style>
  <w:style w:type="character" w:customStyle="1" w:styleId="2CharChar5">
    <w:name w:val="样式 报告正文 + 黑色2 Char Char"/>
    <w:qFormat/>
    <w:rPr>
      <w:rFonts w:ascii="Times" w:eastAsia="仿宋_GB2312" w:hAnsi="Times"/>
      <w:color w:val="000000"/>
      <w:spacing w:val="-4"/>
      <w:kern w:val="2"/>
      <w:sz w:val="28"/>
      <w:szCs w:val="24"/>
      <w:lang w:eastAsia="en-US" w:bidi="en-US"/>
    </w:rPr>
  </w:style>
  <w:style w:type="character" w:customStyle="1" w:styleId="CharCharffd">
    <w:name w:val="表 Char Char"/>
    <w:qFormat/>
    <w:rPr>
      <w:rFonts w:ascii="宋体" w:eastAsia="宋体" w:hAnsi="宋体"/>
      <w:sz w:val="24"/>
      <w:lang w:val="en-US" w:eastAsia="zh-CN" w:bidi="ar-SA"/>
    </w:rPr>
  </w:style>
  <w:style w:type="character" w:customStyle="1" w:styleId="CharCharffe">
    <w:name w:val="文档结构图 Char Char"/>
    <w:qFormat/>
    <w:rPr>
      <w:rFonts w:ascii="宋体"/>
      <w:kern w:val="2"/>
      <w:sz w:val="18"/>
      <w:szCs w:val="18"/>
    </w:rPr>
  </w:style>
  <w:style w:type="character" w:customStyle="1" w:styleId="CharCharfff">
    <w:name w:val="正文一 Char Char"/>
    <w:qFormat/>
    <w:rPr>
      <w:rFonts w:ascii="华文中宋" w:eastAsia="华文中宋" w:hAnsi="华文中宋" w:cs="Arial"/>
      <w:b/>
      <w:color w:val="FF0000"/>
      <w:kern w:val="2"/>
      <w:sz w:val="24"/>
      <w:szCs w:val="24"/>
      <w:lang w:val="en-US" w:eastAsia="zh-CN" w:bidi="ar-SA"/>
    </w:rPr>
  </w:style>
  <w:style w:type="character" w:customStyle="1" w:styleId="CharCharfff0">
    <w:name w:val="表头(新) Char Char"/>
    <w:qFormat/>
    <w:rPr>
      <w:rFonts w:ascii="宋体" w:hAnsi="宋体"/>
      <w:b/>
      <w:snapToGrid w:val="0"/>
      <w:sz w:val="21"/>
      <w:szCs w:val="24"/>
    </w:rPr>
  </w:style>
  <w:style w:type="character" w:customStyle="1" w:styleId="BCharChar">
    <w:name w:val="B正文 Char Char"/>
    <w:qFormat/>
    <w:rPr>
      <w:rFonts w:eastAsia="宋体"/>
      <w:kern w:val="2"/>
      <w:sz w:val="24"/>
      <w:szCs w:val="24"/>
      <w:lang w:val="en-US" w:eastAsia="zh-CN" w:bidi="ar-SA"/>
    </w:rPr>
  </w:style>
  <w:style w:type="character" w:customStyle="1" w:styleId="CharCharfff1">
    <w:name w:val="正文正文 Char Char"/>
    <w:qFormat/>
    <w:rPr>
      <w:rFonts w:ascii="华文中宋" w:eastAsia="华文中宋" w:hAnsi="华文中宋"/>
      <w:color w:val="000000"/>
      <w:kern w:val="2"/>
      <w:sz w:val="24"/>
      <w:szCs w:val="24"/>
      <w:lang w:val="en-US" w:eastAsia="zh-CN" w:bidi="ar-SA"/>
    </w:rPr>
  </w:style>
  <w:style w:type="character" w:customStyle="1" w:styleId="111CharChar">
    <w:name w:val="1.1.1标题 Char Char"/>
    <w:qFormat/>
    <w:rPr>
      <w:rFonts w:eastAsia="黑体"/>
      <w:b/>
      <w:kern w:val="2"/>
      <w:sz w:val="24"/>
      <w:szCs w:val="30"/>
      <w:lang w:val="en-US" w:eastAsia="zh-CN" w:bidi="ar-SA"/>
    </w:rPr>
  </w:style>
  <w:style w:type="character" w:customStyle="1" w:styleId="CharCharfff2">
    <w:name w:val="正文首行缩进 Char Char"/>
    <w:qFormat/>
    <w:rPr>
      <w:rFonts w:ascii="宋体" w:eastAsia="汉鼎简书宋" w:hAnsi="宋体" w:cs="宋体"/>
      <w:kern w:val="32"/>
      <w:sz w:val="24"/>
      <w:szCs w:val="24"/>
      <w:lang w:val="en-US" w:eastAsia="zh-CN" w:bidi="ar-SA"/>
    </w:rPr>
  </w:style>
  <w:style w:type="character" w:customStyle="1" w:styleId="9CharChar">
    <w:name w:val="标题9 Char Char"/>
    <w:qFormat/>
    <w:rPr>
      <w:rFonts w:ascii="Arial" w:eastAsia="宋体" w:hAnsi="Arial" w:cs="Times New Roman"/>
      <w:b/>
      <w:bCs/>
      <w:kern w:val="2"/>
      <w:sz w:val="24"/>
      <w:szCs w:val="24"/>
      <w:lang w:val="en-US" w:eastAsia="zh-CN" w:bidi="ar-SA"/>
    </w:rPr>
  </w:style>
  <w:style w:type="character" w:customStyle="1" w:styleId="CharCharfff3">
    <w:name w:val="正文（ＬＺＱ） Char Char"/>
    <w:qFormat/>
    <w:rPr>
      <w:rFonts w:ascii="Calibri" w:eastAsia="宋体" w:hAnsi="Calibri" w:cs="宋体"/>
      <w:color w:val="FF0000"/>
      <w:sz w:val="24"/>
      <w:szCs w:val="24"/>
      <w:lang w:val="en-US" w:eastAsia="zh-CN" w:bidi="ar-SA"/>
    </w:rPr>
  </w:style>
  <w:style w:type="character" w:customStyle="1" w:styleId="32CharCharChar">
    <w:name w:val="样式 3级 + 首行缩进:  2 字符 Char Char Char"/>
    <w:qFormat/>
    <w:rPr>
      <w:rFonts w:ascii="黑体" w:eastAsia="黑体" w:cs="宋体"/>
      <w:b/>
      <w:bCs/>
      <w:kern w:val="2"/>
      <w:sz w:val="24"/>
      <w:szCs w:val="24"/>
      <w:lang w:val="en-US" w:eastAsia="zh-CN" w:bidi="ar-SA"/>
    </w:rPr>
  </w:style>
  <w:style w:type="character" w:customStyle="1" w:styleId="CharCharCharChar8">
    <w:name w:val="於正文 Char Char Char Char"/>
    <w:qFormat/>
    <w:rPr>
      <w:rFonts w:ascii="仿宋_GB2312" w:eastAsia="仿宋_GB2312" w:hAnsi="仿宋_GB2312"/>
      <w:color w:val="0000FF"/>
      <w:kern w:val="2"/>
      <w:sz w:val="30"/>
      <w:szCs w:val="24"/>
      <w:lang w:val="en-US" w:eastAsia="zh-CN" w:bidi="ar-SA"/>
    </w:rPr>
  </w:style>
  <w:style w:type="character" w:customStyle="1" w:styleId="CharCharfff4">
    <w:name w:val="表文 Char Char"/>
    <w:qFormat/>
    <w:rPr>
      <w:rFonts w:ascii="仿宋_GB2312" w:eastAsia="仿宋_GB2312"/>
      <w:color w:val="000000"/>
      <w:kern w:val="2"/>
      <w:sz w:val="21"/>
      <w:szCs w:val="21"/>
      <w:lang w:val="en-US" w:eastAsia="zh-CN" w:bidi="ar-SA"/>
    </w:rPr>
  </w:style>
  <w:style w:type="character" w:customStyle="1" w:styleId="6CharChar0">
    <w:name w:val="标题6 Char Char"/>
    <w:qFormat/>
    <w:rPr>
      <w:rFonts w:ascii="Times" w:eastAsia="黑体" w:hAnsi="Times"/>
      <w:b/>
      <w:kern w:val="2"/>
      <w:sz w:val="28"/>
      <w:szCs w:val="24"/>
      <w:lang w:val="en-US" w:eastAsia="zh-CN" w:bidi="ar-SA"/>
    </w:rPr>
  </w:style>
  <w:style w:type="character" w:customStyle="1" w:styleId="ParaCharCharChar">
    <w:name w:val="样式 默认段落字体 Para Char + Char Char"/>
    <w:qFormat/>
    <w:rPr>
      <w:rFonts w:cs="宋体"/>
      <w:sz w:val="24"/>
      <w:szCs w:val="24"/>
    </w:rPr>
  </w:style>
  <w:style w:type="character" w:customStyle="1" w:styleId="2CharChar6">
    <w:name w:val="表格名称2 Char Char"/>
    <w:qFormat/>
    <w:rPr>
      <w:b/>
      <w:kern w:val="2"/>
      <w:sz w:val="24"/>
      <w:szCs w:val="22"/>
    </w:rPr>
  </w:style>
  <w:style w:type="character" w:customStyle="1" w:styleId="3CharChar3">
    <w:name w:val="样式3（代正文） Char Char"/>
    <w:qFormat/>
    <w:rPr>
      <w:sz w:val="24"/>
      <w:szCs w:val="24"/>
      <w:lang w:val="en-US" w:eastAsia="zh-CN" w:bidi="ar-SA"/>
    </w:rPr>
  </w:style>
  <w:style w:type="character" w:customStyle="1" w:styleId="hb4CharCharCharCharCharCharCharChar">
    <w:name w:val="hb4 Char Char Char Char Char Char Char Char"/>
    <w:qFormat/>
    <w:rPr>
      <w:rFonts w:ascii="宋体" w:eastAsia="黑体" w:hAnsi="Arial"/>
      <w:kern w:val="2"/>
      <w:sz w:val="24"/>
      <w:szCs w:val="24"/>
    </w:rPr>
  </w:style>
  <w:style w:type="character" w:customStyle="1" w:styleId="25CharChar">
    <w:name w:val="正文小四25磅行距 Char Char"/>
    <w:qFormat/>
    <w:rPr>
      <w:rFonts w:ascii="Arial Narrow" w:eastAsia="汉鼎简书宋" w:hAnsi="Arial Narrow"/>
      <w:b/>
      <w:bCs/>
      <w:kern w:val="2"/>
      <w:sz w:val="24"/>
      <w:szCs w:val="44"/>
      <w:lang w:bidi="ar-SA"/>
    </w:rPr>
  </w:style>
  <w:style w:type="character" w:customStyle="1" w:styleId="2CharChar7">
    <w:name w:val="样式 样式 首行缩进:  2 字符 + 宋体 Char Char"/>
    <w:qFormat/>
    <w:rPr>
      <w:rFonts w:ascii="宋体" w:eastAsia="宋体" w:hAnsi="宋体"/>
      <w:kern w:val="2"/>
      <w:sz w:val="24"/>
      <w:lang w:val="en-US" w:eastAsia="zh-CN"/>
    </w:rPr>
  </w:style>
  <w:style w:type="character" w:customStyle="1" w:styleId="hp2CharChar">
    <w:name w:val="hp2 Char Char"/>
    <w:qFormat/>
    <w:rPr>
      <w:rFonts w:ascii="宋体" w:eastAsia="汉鼎简书宋" w:hAnsi="宋体"/>
      <w:b/>
      <w:kern w:val="2"/>
      <w:sz w:val="32"/>
      <w:lang w:val="en-US" w:eastAsia="zh-CN"/>
    </w:rPr>
  </w:style>
  <w:style w:type="character" w:customStyle="1" w:styleId="CharCharfff5">
    <w:name w:val="样式 正文文本 + 小三 Char Char"/>
    <w:qFormat/>
    <w:rPr>
      <w:rFonts w:ascii="宋体" w:eastAsia="宋体" w:hAnsi="宋体" w:cs="宋体"/>
      <w:snapToGrid w:val="0"/>
      <w:kern w:val="2"/>
      <w:sz w:val="30"/>
      <w:szCs w:val="24"/>
      <w:lang w:val="en-US" w:eastAsia="zh-CN" w:bidi="ar-SA"/>
    </w:rPr>
  </w:style>
  <w:style w:type="character" w:customStyle="1" w:styleId="02CharChar">
    <w:name w:val="样式 报告正文 + 紧缩量  0.2 磅 Char Char"/>
    <w:qFormat/>
    <w:rPr>
      <w:rFonts w:eastAsia="宋体"/>
      <w:color w:val="000000"/>
      <w:spacing w:val="-4"/>
      <w:kern w:val="2"/>
      <w:sz w:val="24"/>
      <w:szCs w:val="21"/>
      <w:lang w:val="en-US" w:eastAsia="zh-CN" w:bidi="ar-SA"/>
    </w:rPr>
  </w:style>
  <w:style w:type="character" w:customStyle="1" w:styleId="CharCharChara">
    <w:name w:val="表格 Char Char Char"/>
    <w:qFormat/>
    <w:rPr>
      <w:rFonts w:ascii="仿宋_GB2312" w:eastAsia="仿宋_GB2312"/>
      <w:kern w:val="2"/>
      <w:sz w:val="21"/>
      <w:szCs w:val="21"/>
      <w:lang w:val="en-US" w:eastAsia="zh-CN" w:bidi="ar-SA"/>
    </w:rPr>
  </w:style>
  <w:style w:type="character" w:customStyle="1" w:styleId="9CharChar0">
    <w:name w:val="样式9 Char Char"/>
    <w:qFormat/>
    <w:rPr>
      <w:rFonts w:eastAsia="宋体"/>
      <w:bCs/>
      <w:kern w:val="24"/>
      <w:sz w:val="24"/>
      <w:szCs w:val="24"/>
      <w:lang w:val="en-US" w:eastAsia="zh-CN" w:bidi="ar-SA"/>
    </w:rPr>
  </w:style>
  <w:style w:type="character" w:customStyle="1" w:styleId="CharCharfff6">
    <w:name w:val="图表标题 Char Char"/>
    <w:qFormat/>
    <w:rPr>
      <w:rFonts w:eastAsia="黑体"/>
      <w:bCs/>
      <w:spacing w:val="-10"/>
      <w:sz w:val="24"/>
      <w:szCs w:val="24"/>
    </w:rPr>
  </w:style>
  <w:style w:type="character" w:customStyle="1" w:styleId="AAACharChar">
    <w:name w:val="AAA新正文 Char Char"/>
    <w:qFormat/>
    <w:rPr>
      <w:rFonts w:eastAsia="宋体"/>
      <w:color w:val="000000"/>
      <w:kern w:val="2"/>
      <w:sz w:val="24"/>
      <w:szCs w:val="24"/>
      <w:lang w:val="en-US" w:eastAsia="zh-CN" w:bidi="ar-SA"/>
    </w:rPr>
  </w:style>
  <w:style w:type="character" w:customStyle="1" w:styleId="hb2CharCharCharCharCharCharChar">
    <w:name w:val="hb2 Char Char Char Char Char Char Char"/>
    <w:qFormat/>
    <w:rPr>
      <w:rFonts w:ascii="Arial" w:eastAsia="宋体" w:hAnsi="Arial"/>
      <w:b/>
      <w:kern w:val="2"/>
      <w:sz w:val="28"/>
      <w:lang w:val="en-US" w:eastAsia="zh-CN"/>
    </w:rPr>
  </w:style>
  <w:style w:type="character" w:customStyle="1" w:styleId="11CharChar">
    <w:name w:val="正文11 Char Char"/>
    <w:basedOn w:val="CharCharCharChar6"/>
    <w:qFormat/>
    <w:rPr>
      <w:rFonts w:ascii="Arial Narrow" w:eastAsia="汉鼎简书宋" w:hAnsi="Arial Narrow"/>
      <w:bCs/>
      <w:kern w:val="2"/>
      <w:sz w:val="24"/>
      <w:szCs w:val="24"/>
      <w:lang w:val="en-US" w:eastAsia="zh-CN" w:bidi="ar-SA"/>
    </w:rPr>
  </w:style>
  <w:style w:type="character" w:customStyle="1" w:styleId="11111CharChar">
    <w:name w:val="1！1.1.1.1 Char Char"/>
    <w:qFormat/>
    <w:rPr>
      <w:rFonts w:ascii="Arial Narrow" w:eastAsia="汉鼎简书宋" w:hAnsi="Arial Narrow"/>
      <w:kern w:val="2"/>
      <w:sz w:val="24"/>
      <w:szCs w:val="22"/>
    </w:rPr>
  </w:style>
  <w:style w:type="character" w:customStyle="1" w:styleId="CharCharfff7">
    <w:name w:val="正文段 Char Char"/>
    <w:qFormat/>
    <w:rPr>
      <w:rFonts w:eastAsia="仿宋_GB2312"/>
      <w:kern w:val="2"/>
      <w:sz w:val="28"/>
      <w:szCs w:val="24"/>
    </w:rPr>
  </w:style>
  <w:style w:type="character" w:customStyle="1" w:styleId="CharCharfff8">
    <w:name w:val="正文(首行缩进) Char Char"/>
    <w:qFormat/>
    <w:rPr>
      <w:rFonts w:eastAsia="宋体"/>
      <w:snapToGrid w:val="0"/>
      <w:color w:val="000000"/>
      <w:sz w:val="24"/>
      <w:lang w:val="en-US" w:eastAsia="zh-CN"/>
    </w:rPr>
  </w:style>
  <w:style w:type="character" w:customStyle="1" w:styleId="CharCharfff9">
    <w:name w:val="正文部分 Char Char"/>
    <w:qFormat/>
    <w:rPr>
      <w:rFonts w:ascii="宋体" w:hAnsi="宋体" w:cs="宋体"/>
      <w:bCs/>
      <w:sz w:val="28"/>
      <w:szCs w:val="32"/>
    </w:rPr>
  </w:style>
  <w:style w:type="character" w:customStyle="1" w:styleId="HP3CharChar">
    <w:name w:val="HP3 Char Char"/>
    <w:qFormat/>
    <w:rPr>
      <w:rFonts w:ascii="黑体" w:eastAsia="黑体" w:hAnsi="宋体"/>
      <w:kern w:val="2"/>
      <w:sz w:val="28"/>
      <w:lang w:val="en-US" w:eastAsia="zh-CN"/>
    </w:rPr>
  </w:style>
  <w:style w:type="character" w:customStyle="1" w:styleId="CharCharfffa">
    <w:name w:val="表格编号 Char Char"/>
    <w:qFormat/>
    <w:rPr>
      <w:rFonts w:eastAsia="宋体"/>
      <w:snapToGrid w:val="0"/>
      <w:spacing w:val="10"/>
      <w:sz w:val="21"/>
      <w:lang w:val="en-US" w:eastAsia="zh-CN"/>
    </w:rPr>
  </w:style>
  <w:style w:type="character" w:customStyle="1" w:styleId="008CharChar">
    <w:name w:val="008 Char Char"/>
    <w:qFormat/>
    <w:rPr>
      <w:rFonts w:ascii="宋体" w:eastAsia="宋体" w:hAnsi="宋体"/>
      <w:kern w:val="2"/>
      <w:sz w:val="28"/>
      <w:szCs w:val="28"/>
      <w:lang w:val="en-US" w:eastAsia="zh-CN" w:bidi="ar-SA"/>
    </w:rPr>
  </w:style>
  <w:style w:type="character" w:customStyle="1" w:styleId="2hb2CharChar">
    <w:name w:val="样式 标题 2hb2 + 小四 Char Char"/>
    <w:qFormat/>
    <w:rPr>
      <w:rFonts w:ascii="宋体" w:eastAsia="宋体" w:hAnsi="宋体"/>
      <w:b/>
      <w:kern w:val="2"/>
      <w:sz w:val="24"/>
      <w:lang w:val="en-US" w:eastAsia="zh-CN"/>
    </w:rPr>
  </w:style>
  <w:style w:type="character" w:customStyle="1" w:styleId="CharCharfffb">
    <w:name w:val="表中 Char Char"/>
    <w:qFormat/>
    <w:rPr>
      <w:rFonts w:ascii="宋体" w:eastAsia="汉鼎简书宋" w:hAnsi="宋体"/>
      <w:spacing w:val="20"/>
      <w:kern w:val="2"/>
      <w:position w:val="-12"/>
      <w:sz w:val="24"/>
      <w:lang w:val="en-US" w:eastAsia="zh-CN" w:bidi="ar-SA"/>
    </w:rPr>
  </w:style>
  <w:style w:type="character" w:customStyle="1" w:styleId="222CharChar0">
    <w:name w:val="样式 样式 样式 样式 设计正文 + 首行缩进:  2 字符 + 首行缩进:  2 字符 + 首行缩进:  2 字符 + 小三 Char Char"/>
    <w:basedOn w:val="222CharChar"/>
    <w:qFormat/>
    <w:rPr>
      <w:rFonts w:eastAsia="仿宋_GB2312" w:cs="宋体"/>
      <w:b/>
      <w:kern w:val="2"/>
      <w:sz w:val="28"/>
      <w:lang w:val="en-US" w:eastAsia="zh-CN" w:bidi="ar-SA"/>
    </w:rPr>
  </w:style>
  <w:style w:type="character" w:customStyle="1" w:styleId="CharCharfffc">
    <w:name w:val="图表名称 Char Char"/>
    <w:qFormat/>
    <w:rPr>
      <w:rFonts w:eastAsia="宋体"/>
      <w:b/>
      <w:kern w:val="2"/>
      <w:sz w:val="24"/>
      <w:szCs w:val="24"/>
      <w:lang w:val="en-US" w:eastAsia="zh-CN" w:bidi="ar-SA"/>
    </w:rPr>
  </w:style>
  <w:style w:type="character" w:customStyle="1" w:styleId="1CharChar1">
    <w:name w:val="样式 样式 表头 + 小四 + 首行缩进:  1 字符 Char Char"/>
    <w:qFormat/>
    <w:rPr>
      <w:rFonts w:eastAsia="仿宋_GB2312"/>
      <w:b/>
      <w:sz w:val="24"/>
      <w:lang w:bidi="ar-SA"/>
    </w:rPr>
  </w:style>
  <w:style w:type="character" w:customStyle="1" w:styleId="2CharChar8">
    <w:name w:val="样式 设计正文 + 首行缩进:  2 字符 Char Char"/>
    <w:qFormat/>
    <w:rPr>
      <w:rFonts w:ascii="Times" w:eastAsia="仿宋_GB2312" w:hAnsi="Times" w:cs="宋体"/>
      <w:b/>
      <w:kern w:val="2"/>
      <w:sz w:val="28"/>
      <w:szCs w:val="24"/>
      <w:lang w:val="en-US" w:eastAsia="zh-CN" w:bidi="ar-SA"/>
    </w:rPr>
  </w:style>
  <w:style w:type="character" w:customStyle="1" w:styleId="2CharChar9">
    <w:name w:val="正文首行缩进 2 Char Char"/>
    <w:qFormat/>
    <w:rPr>
      <w:rFonts w:eastAsia="宋体"/>
      <w:kern w:val="2"/>
      <w:sz w:val="21"/>
      <w:szCs w:val="24"/>
      <w:lang w:val="en-US" w:eastAsia="zh-CN" w:bidi="ar-SA"/>
    </w:rPr>
  </w:style>
  <w:style w:type="character" w:customStyle="1" w:styleId="CharCharfffd">
    <w:name w:val="样式 报告正文 + 华文细黑 自动设置 Char Char"/>
    <w:qFormat/>
    <w:rPr>
      <w:rFonts w:ascii="华文细黑" w:eastAsia="宋体" w:hAnsi="华文细黑"/>
      <w:color w:val="000000"/>
      <w:kern w:val="2"/>
      <w:sz w:val="24"/>
      <w:szCs w:val="21"/>
      <w:lang w:val="en-US" w:eastAsia="zh-CN" w:bidi="ar-SA"/>
    </w:rPr>
  </w:style>
  <w:style w:type="character" w:customStyle="1" w:styleId="CharCharCharCharChar5">
    <w:name w:val="於正文 Char Char Char Char Char"/>
    <w:qFormat/>
    <w:rPr>
      <w:rFonts w:ascii="仿宋_GB2312" w:eastAsia="仿宋_GB2312" w:hAnsi="仿宋_GB2312"/>
      <w:color w:val="0000FF"/>
      <w:kern w:val="2"/>
      <w:sz w:val="30"/>
      <w:szCs w:val="24"/>
      <w:lang w:val="en-US" w:eastAsia="zh-CN" w:bidi="ar-SA"/>
    </w:rPr>
  </w:style>
  <w:style w:type="character" w:customStyle="1" w:styleId="CharCharfffe">
    <w:name w:val="正文样式 Char Char"/>
    <w:qFormat/>
    <w:rPr>
      <w:rFonts w:ascii="宋体" w:eastAsia="宋体" w:hAnsi="宋体"/>
      <w:sz w:val="24"/>
      <w:lang w:val="en-US" w:eastAsia="zh-CN"/>
    </w:rPr>
  </w:style>
  <w:style w:type="character" w:customStyle="1" w:styleId="8-2CharCharChar">
    <w:name w:val="8-2 Char Char Char"/>
    <w:qFormat/>
    <w:rPr>
      <w:rFonts w:ascii="宋体" w:hAnsi="宋体" w:cs="宋体"/>
      <w:bCs/>
      <w:kern w:val="2"/>
      <w:sz w:val="24"/>
      <w:szCs w:val="24"/>
    </w:rPr>
  </w:style>
  <w:style w:type="character" w:customStyle="1" w:styleId="CharCharffff">
    <w:name w:val="表样式 Char Char"/>
    <w:qFormat/>
    <w:rPr>
      <w:rFonts w:ascii="黑体" w:eastAsia="黑体"/>
      <w:kern w:val="2"/>
      <w:sz w:val="28"/>
      <w:lang w:val="en-US" w:eastAsia="zh-CN"/>
    </w:rPr>
  </w:style>
  <w:style w:type="character" w:customStyle="1" w:styleId="-zhCharChar">
    <w:name w:val="正文-zh Char Char"/>
    <w:qFormat/>
    <w:rPr>
      <w:rFonts w:ascii="仿宋_GB2312" w:eastAsia="仿宋_GB2312" w:hAnsi="宋体"/>
      <w:b/>
      <w:color w:val="0000CC"/>
      <w:kern w:val="2"/>
      <w:sz w:val="28"/>
      <w:szCs w:val="28"/>
    </w:rPr>
  </w:style>
  <w:style w:type="character" w:customStyle="1" w:styleId="GB2312GB231215CharChar">
    <w:name w:val="样式 (报告) 仿宋_GB2312 (中文) 仿宋_GB2312 四号 行距: 1.5 倍行距 Char Char"/>
    <w:qFormat/>
    <w:rPr>
      <w:rFonts w:ascii="仿宋_GB2312" w:eastAsia="仿宋_GB2312" w:hAnsi="仿宋_GB2312"/>
      <w:snapToGrid w:val="0"/>
      <w:color w:val="000000"/>
      <w:sz w:val="28"/>
      <w:lang w:val="en-US" w:eastAsia="zh-CN"/>
    </w:rPr>
  </w:style>
  <w:style w:type="character" w:customStyle="1" w:styleId="CharCharffff0">
    <w:name w:val="表中文字 Char Char"/>
    <w:qFormat/>
    <w:rPr>
      <w:rFonts w:ascii="宋体" w:eastAsia="宋体" w:hAnsi="宋体"/>
      <w:kern w:val="2"/>
      <w:sz w:val="24"/>
      <w:lang w:val="en-US" w:eastAsia="zh-CN" w:bidi="ar-SA"/>
    </w:rPr>
  </w:style>
  <w:style w:type="character" w:customStyle="1" w:styleId="CharCharffff1">
    <w:name w:val="四级 Char Char"/>
    <w:basedOn w:val="CharCharCharChar6"/>
    <w:qFormat/>
    <w:rPr>
      <w:rFonts w:ascii="Arial Narrow" w:eastAsia="汉鼎简书宋" w:hAnsi="Arial Narrow"/>
      <w:bCs/>
      <w:kern w:val="2"/>
      <w:sz w:val="24"/>
      <w:szCs w:val="24"/>
      <w:lang w:val="en-US" w:eastAsia="zh-CN" w:bidi="ar-SA"/>
    </w:rPr>
  </w:style>
  <w:style w:type="character" w:customStyle="1" w:styleId="hb3CharCharCharCharCharCharChar">
    <w:name w:val="hb3 Char Char Char Char Char Char Char"/>
    <w:qFormat/>
    <w:rPr>
      <w:b/>
      <w:bCs/>
      <w:sz w:val="24"/>
      <w:szCs w:val="24"/>
    </w:rPr>
  </w:style>
  <w:style w:type="character" w:customStyle="1" w:styleId="hb3CharChar1">
    <w:name w:val="样式 hb3 + Char Char"/>
    <w:qFormat/>
    <w:rPr>
      <w:b/>
      <w:bCs/>
      <w:kern w:val="2"/>
      <w:sz w:val="24"/>
      <w:szCs w:val="24"/>
    </w:rPr>
  </w:style>
  <w:style w:type="character" w:customStyle="1" w:styleId="5CharChar0">
    <w:name w:val="表格内容5号 Char Char"/>
    <w:qFormat/>
    <w:rPr>
      <w:rFonts w:ascii="宋体" w:hAnsi="宋体"/>
      <w:color w:val="000000"/>
      <w:sz w:val="21"/>
      <w:szCs w:val="21"/>
    </w:rPr>
  </w:style>
  <w:style w:type="character" w:customStyle="1" w:styleId="CharCharffff2">
    <w:name w:val="一级 Char Char"/>
    <w:qFormat/>
    <w:rPr>
      <w:rFonts w:ascii="黑体" w:eastAsia="黑体" w:hAnsi="Arial Narrow"/>
      <w:b/>
      <w:bCs/>
      <w:kern w:val="44"/>
      <w:sz w:val="32"/>
      <w:szCs w:val="32"/>
    </w:rPr>
  </w:style>
  <w:style w:type="character" w:customStyle="1" w:styleId="CharCharffff3">
    <w:name w:val="报告文字 Char Char"/>
    <w:qFormat/>
    <w:rPr>
      <w:rFonts w:ascii="仿宋_GB2312" w:eastAsia="仿宋_GB2312"/>
      <w:bCs/>
      <w:kern w:val="2"/>
      <w:sz w:val="28"/>
      <w:szCs w:val="24"/>
    </w:rPr>
  </w:style>
  <w:style w:type="character" w:customStyle="1" w:styleId="111CharChar0">
    <w:name w:val="一1.1.1 Char Char"/>
    <w:qFormat/>
    <w:rPr>
      <w:rFonts w:ascii="Arial Narrow" w:eastAsia="汉鼎简书宋" w:hAnsi="Arial Narrow"/>
      <w:b/>
      <w:kern w:val="2"/>
      <w:sz w:val="24"/>
      <w:szCs w:val="22"/>
    </w:rPr>
  </w:style>
  <w:style w:type="character" w:customStyle="1" w:styleId="CharCharffff4">
    <w:name w:val="排版正文 Char Char"/>
    <w:qFormat/>
    <w:rPr>
      <w:rFonts w:eastAsia="宋体"/>
      <w:color w:val="000000"/>
      <w:kern w:val="2"/>
      <w:sz w:val="26"/>
      <w:lang w:val="en-US" w:eastAsia="zh-CN"/>
    </w:rPr>
  </w:style>
  <w:style w:type="character" w:customStyle="1" w:styleId="001CharChar">
    <w:name w:val="001 Char Char"/>
    <w:qFormat/>
    <w:rPr>
      <w:rFonts w:ascii="宋体" w:eastAsia="宋体" w:hAnsi="宋体"/>
      <w:kern w:val="2"/>
      <w:sz w:val="24"/>
      <w:lang w:val="en-US" w:eastAsia="zh-CN" w:bidi="ar-SA"/>
    </w:rPr>
  </w:style>
  <w:style w:type="character" w:customStyle="1" w:styleId="xl72CharChar">
    <w:name w:val="xl72 Char Char"/>
    <w:qFormat/>
    <w:rPr>
      <w:rFonts w:ascii="宋体" w:hAnsi="宋体"/>
      <w:b/>
      <w:bCs/>
      <w:sz w:val="24"/>
      <w:szCs w:val="24"/>
    </w:rPr>
  </w:style>
  <w:style w:type="character" w:customStyle="1" w:styleId="CharCharffff5">
    <w:name w:val="表格名 Char Char"/>
    <w:qFormat/>
    <w:rPr>
      <w:rFonts w:ascii="宋体" w:hAnsi="宋体"/>
      <w:b/>
      <w:sz w:val="28"/>
      <w:szCs w:val="28"/>
    </w:rPr>
  </w:style>
  <w:style w:type="character" w:customStyle="1" w:styleId="CharCharffff6">
    <w:name w:val="标题三 Char Char"/>
    <w:qFormat/>
    <w:rPr>
      <w:rFonts w:ascii="华文中宋" w:eastAsia="华文中宋" w:hAnsi="华文中宋"/>
      <w:b/>
      <w:color w:val="943634"/>
      <w:kern w:val="2"/>
      <w:sz w:val="28"/>
      <w:szCs w:val="24"/>
      <w:lang w:val="en-US" w:eastAsia="zh-CN" w:bidi="ar-SA"/>
    </w:rPr>
  </w:style>
  <w:style w:type="character" w:customStyle="1" w:styleId="CharCharffff7">
    <w:name w:val="好正文 Char Char"/>
    <w:qFormat/>
    <w:rPr>
      <w:rFonts w:eastAsia="宋体"/>
      <w:kern w:val="2"/>
      <w:sz w:val="24"/>
      <w:szCs w:val="24"/>
      <w:lang w:val="en-US" w:eastAsia="zh-CN" w:bidi="ar-SA"/>
    </w:rPr>
  </w:style>
  <w:style w:type="character" w:customStyle="1" w:styleId="CharCharffff8">
    <w:name w:val="三塘湖正文 Char Char"/>
    <w:qFormat/>
    <w:rPr>
      <w:rFonts w:ascii="Arial Narrow" w:eastAsia="汉鼎简书宋" w:hAnsi="Arial Narrow"/>
      <w:bCs/>
      <w:snapToGrid w:val="0"/>
      <w:sz w:val="24"/>
      <w:szCs w:val="24"/>
    </w:rPr>
  </w:style>
  <w:style w:type="character" w:customStyle="1" w:styleId="CharCharCharCharChar6">
    <w:name w:val="三塘湖 Char Char Char Char Char"/>
    <w:qFormat/>
    <w:rPr>
      <w:rFonts w:ascii="Arial Narrow" w:eastAsia="汉鼎简书宋" w:hAnsi="Arial Narrow"/>
      <w:bCs/>
      <w:kern w:val="2"/>
      <w:sz w:val="24"/>
      <w:szCs w:val="24"/>
    </w:rPr>
  </w:style>
  <w:style w:type="character" w:customStyle="1" w:styleId="CharChar1CharCharCharCharChar">
    <w:name w:val="报告正文 Char Char1 Char Char Char Char Char"/>
    <w:qFormat/>
    <w:rPr>
      <w:rFonts w:eastAsia="仿宋_GB2312"/>
      <w:kern w:val="2"/>
      <w:sz w:val="28"/>
      <w:szCs w:val="24"/>
    </w:rPr>
  </w:style>
  <w:style w:type="character" w:customStyle="1" w:styleId="CharCharffff9">
    <w:name w:val="样式 表、图名 + Char Char"/>
    <w:qFormat/>
    <w:rPr>
      <w:rFonts w:ascii="黑体" w:eastAsia="黑体" w:hAnsi="宋体" w:cs="宋体"/>
      <w:bCs/>
      <w:color w:val="000000"/>
      <w:kern w:val="2"/>
      <w:sz w:val="24"/>
      <w:szCs w:val="24"/>
      <w:lang w:val="en-US" w:eastAsia="zh-CN" w:bidi="ar-SA"/>
    </w:rPr>
  </w:style>
  <w:style w:type="character" w:customStyle="1" w:styleId="CharCharffffa">
    <w:name w:val="表格字体 Char Char"/>
    <w:qFormat/>
    <w:rPr>
      <w:rFonts w:ascii="Arial Narrow" w:eastAsia="汉鼎简书宋" w:hAnsi="Arial Narrow"/>
      <w:kern w:val="2"/>
      <w:sz w:val="21"/>
      <w:szCs w:val="21"/>
      <w:lang w:val="en-US" w:eastAsia="zh-CN" w:bidi="ar-SA"/>
    </w:rPr>
  </w:style>
  <w:style w:type="character" w:customStyle="1" w:styleId="4CharChar">
    <w:name w:val="样式4 Char Char"/>
    <w:qFormat/>
    <w:rPr>
      <w:rFonts w:ascii="Arial" w:hAnsi="Arial"/>
      <w:b/>
      <w:kern w:val="2"/>
      <w:sz w:val="28"/>
    </w:rPr>
  </w:style>
  <w:style w:type="character" w:customStyle="1" w:styleId="hb2CharCharCharCharCharCharCharChar">
    <w:name w:val="hb2 Char Char Char Char Char Char Char Char"/>
    <w:qFormat/>
    <w:rPr>
      <w:rFonts w:ascii="Arial" w:eastAsia="黑体" w:hAnsi="Arial" w:cs="Arial"/>
      <w:b/>
      <w:kern w:val="2"/>
      <w:sz w:val="24"/>
      <w:szCs w:val="28"/>
    </w:rPr>
  </w:style>
  <w:style w:type="character" w:customStyle="1" w:styleId="4-25CharChar">
    <w:name w:val="4-25正 Char Char"/>
    <w:qFormat/>
    <w:rPr>
      <w:rFonts w:cs="宋体"/>
      <w:sz w:val="24"/>
    </w:rPr>
  </w:style>
  <w:style w:type="character" w:customStyle="1" w:styleId="7CharChar0">
    <w:name w:val="样式7 Char Char"/>
    <w:qFormat/>
    <w:rPr>
      <w:rFonts w:ascii="宋体" w:eastAsia="汉鼎简书宋"/>
      <w:b/>
      <w:kern w:val="2"/>
      <w:sz w:val="28"/>
      <w:lang w:val="en-US" w:eastAsia="zh-CN"/>
    </w:rPr>
  </w:style>
  <w:style w:type="character" w:customStyle="1" w:styleId="CharCharffffb">
    <w:name w:val="我的文章内容 Char Char"/>
    <w:qFormat/>
    <w:rPr>
      <w:rFonts w:ascii="宋体" w:eastAsia="宋体" w:hAnsi="Calibri"/>
      <w:kern w:val="28"/>
      <w:sz w:val="28"/>
      <w:szCs w:val="28"/>
      <w:lang w:val="en-US" w:eastAsia="zh-CN" w:bidi="ar-SA"/>
    </w:rPr>
  </w:style>
  <w:style w:type="character" w:customStyle="1" w:styleId="2CharChara">
    <w:name w:val="样式 样式 表、图名 + (符号) 黑体 + 首行缩进:  2 字符 Char Char"/>
    <w:qFormat/>
    <w:rPr>
      <w:rFonts w:ascii="黑体" w:eastAsia="黑体" w:hAnsi="宋体" w:cs="宋体"/>
      <w:color w:val="000000"/>
      <w:kern w:val="2"/>
      <w:sz w:val="24"/>
      <w:lang w:val="en-US" w:eastAsia="zh-CN"/>
    </w:rPr>
  </w:style>
  <w:style w:type="character" w:customStyle="1" w:styleId="33-31113CharChar3Char1H3HCharChar">
    <w:name w:val="样式 标题 3一标题 3-王鹏纪任山标题 31.1.1条标题 3 Char Char标题 3 Char1H3H... Char Char"/>
    <w:qFormat/>
    <w:rPr>
      <w:rFonts w:ascii="Calibri" w:eastAsia="华文中宋" w:hAnsi="Calibri" w:cs="宋体"/>
      <w:b/>
      <w:bCs/>
      <w:kern w:val="2"/>
      <w:sz w:val="24"/>
      <w:szCs w:val="32"/>
      <w:lang w:bidi="ar-SA"/>
    </w:rPr>
  </w:style>
  <w:style w:type="character" w:customStyle="1" w:styleId="CharCharCharCharCharCharChar0">
    <w:name w:val="报告正文 Char Char Char Char Char Char Char"/>
    <w:qFormat/>
    <w:rPr>
      <w:rFonts w:eastAsia="仿宋_GB2312"/>
      <w:color w:val="000000"/>
      <w:kern w:val="2"/>
      <w:sz w:val="28"/>
      <w:szCs w:val="24"/>
    </w:rPr>
  </w:style>
  <w:style w:type="character" w:customStyle="1" w:styleId="CharCharffffc">
    <w:name w:val="表标题 Char Char"/>
    <w:qFormat/>
    <w:rPr>
      <w:rFonts w:ascii="宋体" w:eastAsia="汉鼎简书宋" w:hAnsi="宋体"/>
      <w:b/>
      <w:color w:val="4F81BD"/>
      <w:spacing w:val="30"/>
      <w:kern w:val="32"/>
      <w:sz w:val="30"/>
      <w:lang w:val="en-US" w:eastAsia="zh-CN"/>
    </w:rPr>
  </w:style>
  <w:style w:type="character" w:customStyle="1" w:styleId="hb4CharChar0">
    <w:name w:val="hb4 Char Char"/>
    <w:qFormat/>
    <w:rPr>
      <w:rFonts w:ascii="Arial Narrow" w:eastAsia="汉鼎简书宋" w:hAnsi="Arial Narrow"/>
      <w:kern w:val="2"/>
      <w:sz w:val="24"/>
      <w:lang w:val="en-US" w:eastAsia="zh-CN"/>
    </w:rPr>
  </w:style>
  <w:style w:type="character" w:customStyle="1" w:styleId="CharCharffffd">
    <w:name w:val="首行缩进 Char Char"/>
    <w:qFormat/>
    <w:rPr>
      <w:rFonts w:ascii="宋体" w:eastAsia="宋体" w:hAnsi="Times"/>
      <w:kern w:val="44"/>
      <w:sz w:val="24"/>
      <w:lang w:val="en-US" w:eastAsia="zh-CN"/>
    </w:rPr>
  </w:style>
  <w:style w:type="character" w:customStyle="1" w:styleId="ParaCharTimesNewRoman1CharChar">
    <w:name w:val="样式 默认段落字体 Para Char + Times New Roman1 Char Char"/>
    <w:qFormat/>
    <w:rPr>
      <w:rFonts w:cs="宋体"/>
      <w:kern w:val="2"/>
      <w:sz w:val="24"/>
      <w:szCs w:val="24"/>
    </w:rPr>
  </w:style>
  <w:style w:type="character" w:customStyle="1" w:styleId="CharCharffffe">
    <w:name w:val="五级 Char Char"/>
    <w:qFormat/>
    <w:rPr>
      <w:rFonts w:ascii="Arial Narrow" w:eastAsia="汉鼎简书宋" w:hAnsi="Arial Narrow"/>
      <w:b/>
      <w:bCs/>
      <w:kern w:val="2"/>
      <w:sz w:val="24"/>
      <w:szCs w:val="24"/>
      <w:lang w:val="en-US" w:eastAsia="zh-CN" w:bidi="ar-SA"/>
    </w:rPr>
  </w:style>
  <w:style w:type="character" w:customStyle="1" w:styleId="LZQCharChar">
    <w:name w:val="正文LZQ Char Char"/>
    <w:qFormat/>
    <w:rPr>
      <w:rFonts w:ascii="华文中宋" w:eastAsia="华文中宋" w:hAnsi="Calibri" w:cs="宋体"/>
      <w:color w:val="FF0000"/>
      <w:kern w:val="2"/>
      <w:sz w:val="24"/>
      <w:szCs w:val="24"/>
      <w:lang w:val="en-US" w:eastAsia="zh-CN" w:bidi="ar-SA"/>
    </w:rPr>
  </w:style>
  <w:style w:type="character" w:customStyle="1" w:styleId="CharCharCharCharCharCharChar2">
    <w:name w:val="样式 图号 + 宋体 Char Char Char Char Char Char Char"/>
    <w:qFormat/>
    <w:rPr>
      <w:rFonts w:ascii="宋体" w:hAnsi="宋体"/>
      <w:b/>
      <w:bCs/>
      <w:kern w:val="32"/>
      <w:sz w:val="24"/>
      <w:szCs w:val="24"/>
    </w:rPr>
  </w:style>
  <w:style w:type="character" w:customStyle="1" w:styleId="15CharChar">
    <w:name w:val="正文 小四 行距: 1.5 倍行距 Char Char"/>
    <w:qFormat/>
    <w:rPr>
      <w:rFonts w:cs="宋体"/>
      <w:kern w:val="2"/>
      <w:sz w:val="24"/>
    </w:rPr>
  </w:style>
  <w:style w:type="character" w:customStyle="1" w:styleId="1CharChar2">
    <w:name w:val="样式 表、图名 +1 Char Char"/>
    <w:qFormat/>
    <w:rPr>
      <w:rFonts w:ascii="黑体" w:eastAsia="黑体" w:hAnsi="宋体" w:cs="宋体"/>
      <w:color w:val="000000"/>
      <w:kern w:val="2"/>
      <w:sz w:val="24"/>
      <w:szCs w:val="24"/>
      <w:lang w:val="en-US" w:eastAsia="zh-CN" w:bidi="ar-SA"/>
    </w:rPr>
  </w:style>
  <w:style w:type="character" w:customStyle="1" w:styleId="22CharChar">
    <w:name w:val="样式 样式 设计正文 + 首行缩进:  2 字符 + 首行缩进:  2 字符 Char Char"/>
    <w:qFormat/>
    <w:rPr>
      <w:rFonts w:ascii="Times" w:eastAsia="仿宋_GB2312" w:hAnsi="Times" w:cs="宋体"/>
      <w:b/>
      <w:bCs/>
      <w:kern w:val="2"/>
      <w:sz w:val="28"/>
      <w:szCs w:val="24"/>
      <w:lang w:val="en-US" w:eastAsia="zh-CN" w:bidi="ar-SA"/>
    </w:rPr>
  </w:style>
  <w:style w:type="character" w:customStyle="1" w:styleId="33-31113CharChar3Char1H3HCharChar0">
    <w:name w:val="样式 样式 标题 3一标题 3-王鹏纪任山标题 31.1.1条标题 3 Char Char标题 3 Char1H3H... + Char Char"/>
    <w:basedOn w:val="33-31113CharChar3Char1H3HCharChar"/>
    <w:qFormat/>
    <w:rPr>
      <w:rFonts w:ascii="Calibri" w:eastAsia="华文中宋" w:hAnsi="Calibri" w:cs="宋体"/>
      <w:b/>
      <w:bCs/>
      <w:kern w:val="2"/>
      <w:sz w:val="24"/>
      <w:szCs w:val="32"/>
      <w:lang w:bidi="ar-SA"/>
    </w:rPr>
  </w:style>
  <w:style w:type="character" w:customStyle="1" w:styleId="firstCharChar">
    <w:name w:val="first Char Char"/>
    <w:qFormat/>
    <w:rPr>
      <w:rFonts w:eastAsia="宋体"/>
      <w:b/>
      <w:kern w:val="44"/>
      <w:sz w:val="36"/>
      <w:lang w:val="en-US" w:eastAsia="zh-CN" w:bidi="ar-SA"/>
    </w:rPr>
  </w:style>
  <w:style w:type="character" w:customStyle="1" w:styleId="CharCharfffff">
    <w:name w:val="设计正文 Char Char"/>
    <w:qFormat/>
    <w:rPr>
      <w:rFonts w:ascii="Times" w:eastAsia="仿宋_GB2312" w:hAnsi="Times"/>
      <w:b/>
      <w:kern w:val="2"/>
      <w:sz w:val="28"/>
      <w:szCs w:val="24"/>
      <w:lang w:val="en-US" w:eastAsia="zh-CN" w:bidi="ar-SA"/>
    </w:rPr>
  </w:style>
  <w:style w:type="character" w:customStyle="1" w:styleId="3CharCharCharChar">
    <w:name w:val="样式 标题 3 + 宋体 Char Char Char Char"/>
    <w:qFormat/>
    <w:rPr>
      <w:b/>
      <w:bCs/>
      <w:kern w:val="2"/>
      <w:sz w:val="32"/>
      <w:szCs w:val="32"/>
    </w:rPr>
  </w:style>
  <w:style w:type="character" w:customStyle="1" w:styleId="1CharChar3">
    <w:name w:val="样式 报告正文 + (中文) 宋体 小四 自动设置1 Char Char"/>
    <w:qFormat/>
    <w:rPr>
      <w:rFonts w:eastAsia="宋体"/>
      <w:color w:val="000000"/>
      <w:kern w:val="2"/>
      <w:sz w:val="24"/>
      <w:szCs w:val="21"/>
      <w:lang w:val="en-US" w:eastAsia="zh-CN" w:bidi="ar-SA"/>
    </w:rPr>
  </w:style>
  <w:style w:type="character" w:customStyle="1" w:styleId="CharCharfffff0">
    <w:name w:val="正式文本 Char Char"/>
    <w:qFormat/>
    <w:rPr>
      <w:rFonts w:ascii="Arial Narrow" w:eastAsia="汉鼎简书宋" w:hAnsi="Arial Narrow"/>
      <w:kern w:val="2"/>
      <w:sz w:val="24"/>
      <w:szCs w:val="24"/>
    </w:rPr>
  </w:style>
  <w:style w:type="character" w:customStyle="1" w:styleId="1CharChar4">
    <w:name w:val="1正文段落 Char Char"/>
    <w:qFormat/>
    <w:rPr>
      <w:rFonts w:ascii="宋体" w:eastAsia="宋体" w:hAnsi="宋体"/>
      <w:snapToGrid w:val="0"/>
      <w:color w:val="1F497D"/>
      <w:spacing w:val="2"/>
      <w:sz w:val="24"/>
      <w:szCs w:val="24"/>
      <w:lang w:val="en-US" w:eastAsia="zh-CN" w:bidi="ar-SA"/>
    </w:rPr>
  </w:style>
  <w:style w:type="character" w:customStyle="1" w:styleId="ACharChar">
    <w:name w:val="A正文 Char Char"/>
    <w:qFormat/>
    <w:rPr>
      <w:rFonts w:eastAsia="宋体"/>
      <w:kern w:val="2"/>
      <w:sz w:val="24"/>
      <w:lang w:val="en-US" w:eastAsia="zh-CN" w:bidi="ar-SA"/>
    </w:rPr>
  </w:style>
  <w:style w:type="character" w:customStyle="1" w:styleId="WCharChar0">
    <w:name w:val="W表头 Char Char"/>
    <w:qFormat/>
    <w:rPr>
      <w:rFonts w:ascii="宋体" w:hAnsi="宋体"/>
      <w:b/>
      <w:color w:val="000000"/>
      <w:kern w:val="28"/>
      <w:sz w:val="28"/>
      <w:szCs w:val="28"/>
    </w:rPr>
  </w:style>
  <w:style w:type="character" w:customStyle="1" w:styleId="A5CharChar">
    <w:name w:val="A标题5 Char Char"/>
    <w:qFormat/>
    <w:rPr>
      <w:rFonts w:eastAsia="宋体"/>
      <w:color w:val="000000"/>
      <w:sz w:val="24"/>
      <w:szCs w:val="24"/>
      <w:lang w:val="en-US" w:eastAsia="zh-CN" w:bidi="ar-SA"/>
    </w:rPr>
  </w:style>
  <w:style w:type="character" w:customStyle="1" w:styleId="hb3CharCharCharCharCharCharCharChar">
    <w:name w:val="hb3 Char Char Char Char Char Char Char Char"/>
    <w:qFormat/>
    <w:rPr>
      <w:rFonts w:eastAsia="黑体"/>
      <w:b/>
      <w:bCs/>
      <w:kern w:val="2"/>
      <w:sz w:val="24"/>
      <w:szCs w:val="24"/>
    </w:rPr>
  </w:style>
  <w:style w:type="character" w:customStyle="1" w:styleId="15CharChar0">
    <w:name w:val="样式 宋体 小四 行距: 1.5 倍行距 Char Char"/>
    <w:qFormat/>
    <w:rPr>
      <w:rFonts w:ascii="宋体" w:hAnsi="宋体" w:cs="宋体"/>
      <w:kern w:val="2"/>
      <w:sz w:val="28"/>
    </w:rPr>
  </w:style>
  <w:style w:type="character" w:customStyle="1" w:styleId="TimesCharChar">
    <w:name w:val="样式 表头 + (符号) Times Char Char"/>
    <w:qFormat/>
    <w:rPr>
      <w:rFonts w:ascii="宋体" w:eastAsia="宋体" w:hAnsi="宋体"/>
      <w:b/>
      <w:bCs/>
      <w:color w:val="000000"/>
      <w:spacing w:val="-20"/>
      <w:kern w:val="32"/>
      <w:sz w:val="24"/>
      <w:szCs w:val="24"/>
      <w:lang w:val="it-IT" w:eastAsia="zh-CN" w:bidi="ar-SA"/>
    </w:rPr>
  </w:style>
  <w:style w:type="character" w:customStyle="1" w:styleId="secondCharChar">
    <w:name w:val="second Char Char"/>
    <w:qFormat/>
    <w:rPr>
      <w:rFonts w:ascii="Arial" w:eastAsia="宋体" w:hAnsi="Arial"/>
      <w:b/>
      <w:kern w:val="2"/>
      <w:sz w:val="28"/>
      <w:lang w:val="en-US" w:eastAsia="zh-CN" w:bidi="ar-SA"/>
    </w:rPr>
  </w:style>
  <w:style w:type="character" w:customStyle="1" w:styleId="CharCharfffff1">
    <w:name w:val="二级 Char Char"/>
    <w:qFormat/>
    <w:rPr>
      <w:rFonts w:ascii="黑体" w:eastAsia="黑体" w:hAnsi="Arial Narrow"/>
      <w:b/>
      <w:bCs/>
      <w:kern w:val="2"/>
      <w:sz w:val="28"/>
      <w:szCs w:val="30"/>
    </w:rPr>
  </w:style>
  <w:style w:type="character" w:customStyle="1" w:styleId="ParaCharTimesNewRomanCharChar">
    <w:name w:val="样式 默认段落字体 Para Char + Times New Roman Char Char"/>
    <w:qFormat/>
    <w:rPr>
      <w:rFonts w:cs="宋体"/>
      <w:kern w:val="2"/>
      <w:sz w:val="24"/>
      <w:szCs w:val="24"/>
    </w:rPr>
  </w:style>
  <w:style w:type="character" w:customStyle="1" w:styleId="CharCharfffff2">
    <w:name w:val="_正文格式 Char Char"/>
    <w:qFormat/>
    <w:rPr>
      <w:rFonts w:eastAsia="仿宋_GB2312"/>
      <w:kern w:val="2"/>
      <w:sz w:val="28"/>
      <w:lang w:val="en-US" w:eastAsia="zh-CN" w:bidi="ar-SA"/>
    </w:rPr>
  </w:style>
  <w:style w:type="character" w:customStyle="1" w:styleId="CharCharfffff3">
    <w:name w:val="缩进 Char Char"/>
    <w:qFormat/>
    <w:rPr>
      <w:kern w:val="2"/>
      <w:sz w:val="24"/>
    </w:rPr>
  </w:style>
  <w:style w:type="character" w:customStyle="1" w:styleId="CharCharCharChar9">
    <w:name w:val="小标 Char Char Char Char"/>
    <w:qFormat/>
    <w:rPr>
      <w:rFonts w:ascii="黑体" w:eastAsia="黑体" w:hAnsi="Courier New"/>
      <w:b/>
      <w:kern w:val="2"/>
      <w:sz w:val="28"/>
      <w:szCs w:val="28"/>
      <w:lang w:val="en-US" w:eastAsia="zh-CN" w:bidi="ar-SA"/>
    </w:rPr>
  </w:style>
  <w:style w:type="character" w:customStyle="1" w:styleId="hb1TimesNewRomanCharChar">
    <w:name w:val="样式 hb1 + Times New Roman Char Char"/>
    <w:qFormat/>
    <w:rPr>
      <w:rFonts w:eastAsia="汉鼎简书宋"/>
      <w:b/>
      <w:kern w:val="2"/>
      <w:sz w:val="28"/>
      <w:lang w:val="en-US" w:eastAsia="zh-CN"/>
    </w:rPr>
  </w:style>
  <w:style w:type="character" w:customStyle="1" w:styleId="11CharChar0">
    <w:name w:val="1.1 Char Char"/>
    <w:qFormat/>
    <w:rPr>
      <w:rFonts w:ascii="黑体" w:eastAsia="黑体" w:hAnsi="Arial Narrow"/>
      <w:b/>
      <w:bCs/>
      <w:kern w:val="2"/>
      <w:sz w:val="28"/>
      <w:szCs w:val="28"/>
    </w:rPr>
  </w:style>
  <w:style w:type="character" w:customStyle="1" w:styleId="CharCharCharCharCharCharChar4">
    <w:name w:val="表头 Char Char Char Char Char Char Char"/>
    <w:qFormat/>
    <w:rPr>
      <w:rFonts w:ascii="宋体" w:hAnsi="宋体" w:cs="宋体"/>
      <w:b/>
      <w:bCs/>
      <w:kern w:val="32"/>
      <w:sz w:val="24"/>
      <w:szCs w:val="28"/>
    </w:rPr>
  </w:style>
  <w:style w:type="character" w:customStyle="1" w:styleId="CharCharfffff4">
    <w:name w:val="样式 表名 + Char Char"/>
    <w:qFormat/>
    <w:rPr>
      <w:rFonts w:ascii="黑体" w:eastAsia="黑体" w:hAnsi="Arial" w:cs="Arial"/>
      <w:b/>
      <w:sz w:val="24"/>
      <w:szCs w:val="24"/>
      <w:lang w:val="en-US" w:eastAsia="zh-CN"/>
    </w:rPr>
  </w:style>
  <w:style w:type="character" w:customStyle="1" w:styleId="1CharChar5">
    <w:name w:val="表格名称1 Char Char"/>
    <w:qFormat/>
    <w:rPr>
      <w:rFonts w:eastAsia="Times New Roman"/>
      <w:b/>
      <w:kern w:val="2"/>
      <w:sz w:val="24"/>
      <w:szCs w:val="22"/>
    </w:rPr>
  </w:style>
  <w:style w:type="character" w:customStyle="1" w:styleId="CharCharfffff5">
    <w:name w:val="表名&amp;图名 Char Char"/>
    <w:qFormat/>
    <w:rPr>
      <w:rFonts w:eastAsia="黑体"/>
      <w:kern w:val="2"/>
      <w:sz w:val="21"/>
      <w:szCs w:val="21"/>
      <w:lang w:val="en-US" w:eastAsia="zh-CN" w:bidi="ar-SA"/>
    </w:rPr>
  </w:style>
  <w:style w:type="character" w:customStyle="1" w:styleId="CharCharfffff6">
    <w:name w:val="新正文 Char Char"/>
    <w:qFormat/>
    <w:rPr>
      <w:rFonts w:ascii="宋体" w:eastAsia="宋体"/>
      <w:kern w:val="2"/>
      <w:sz w:val="24"/>
      <w:lang w:val="en-US" w:eastAsia="zh-CN"/>
    </w:rPr>
  </w:style>
  <w:style w:type="character" w:customStyle="1" w:styleId="CharChar1CharCharCharChar">
    <w:name w:val="报告正文 Char Char1 Char Char Char Char"/>
    <w:qFormat/>
    <w:rPr>
      <w:rFonts w:eastAsia="仿宋_GB2312"/>
      <w:kern w:val="2"/>
      <w:sz w:val="28"/>
      <w:szCs w:val="24"/>
      <w:lang w:val="en-US" w:eastAsia="zh-CN" w:bidi="ar-SA"/>
    </w:rPr>
  </w:style>
  <w:style w:type="character" w:customStyle="1" w:styleId="hb2CharCharCharCharCharCharCharCharChar">
    <w:name w:val="hb2 Char Char Char Char Char Char Char Char Char"/>
    <w:qFormat/>
    <w:rPr>
      <w:rFonts w:ascii="Arial" w:eastAsia="黑体" w:hAnsi="Arial" w:cs="Arial"/>
      <w:b/>
      <w:kern w:val="2"/>
      <w:sz w:val="24"/>
      <w:szCs w:val="28"/>
    </w:rPr>
  </w:style>
  <w:style w:type="character" w:customStyle="1" w:styleId="11CharChar1">
    <w:name w:val="节1.1 Char Char"/>
    <w:basedOn w:val="11CharChar0"/>
    <w:qFormat/>
    <w:rPr>
      <w:rFonts w:ascii="黑体" w:eastAsia="黑体" w:hAnsi="Arial Narrow"/>
      <w:b/>
      <w:bCs/>
      <w:kern w:val="2"/>
      <w:sz w:val="28"/>
      <w:szCs w:val="28"/>
    </w:rPr>
  </w:style>
  <w:style w:type="character" w:customStyle="1" w:styleId="CharCharfffff7">
    <w:name w:val="报告书正文 Char Char"/>
    <w:qFormat/>
    <w:rPr>
      <w:sz w:val="24"/>
    </w:rPr>
  </w:style>
  <w:style w:type="character" w:customStyle="1" w:styleId="GB2312CharChar">
    <w:name w:val="样式 报告正文 + 仿宋_GB2312 黑色 Char Char"/>
    <w:qFormat/>
    <w:rPr>
      <w:rFonts w:eastAsia="仿宋_GB2312"/>
      <w:color w:val="000000"/>
      <w:spacing w:val="-4"/>
      <w:kern w:val="2"/>
      <w:sz w:val="28"/>
      <w:szCs w:val="28"/>
      <w:lang w:val="en-US" w:eastAsia="zh-CN" w:bidi="ar-SA"/>
    </w:rPr>
  </w:style>
  <w:style w:type="character" w:customStyle="1" w:styleId="DocumentMapCharChar">
    <w:name w:val="Document Map Char Char"/>
    <w:qFormat/>
    <w:rPr>
      <w:rFonts w:ascii="Times New Roman" w:hAnsi="Times New Roman" w:cs="Times New Roman"/>
      <w:sz w:val="2"/>
    </w:rPr>
  </w:style>
  <w:style w:type="character" w:customStyle="1" w:styleId="21CharChar">
    <w:name w:val="样式 首行缩进:  2 字符1 Char Char"/>
    <w:qFormat/>
    <w:rPr>
      <w:rFonts w:eastAsia="宋体" w:cs="宋体"/>
      <w:kern w:val="2"/>
      <w:sz w:val="24"/>
      <w:szCs w:val="24"/>
      <w:lang w:val="en-US" w:eastAsia="zh-CN" w:bidi="ar-SA"/>
    </w:rPr>
  </w:style>
  <w:style w:type="paragraph" w:customStyle="1" w:styleId="33H3h33rdlevelReHead3WSA0332">
    <w:name w:val="样式 标题 3三级标题标题3H3h33rd level第二层条ReHead 3 WSA标题03三级标题 3...2"/>
    <w:basedOn w:val="3"/>
    <w:qFormat/>
    <w:pPr>
      <w:keepNext w:val="0"/>
      <w:keepLines w:val="0"/>
      <w:numPr>
        <w:ilvl w:val="2"/>
        <w:numId w:val="1"/>
      </w:numPr>
      <w:tabs>
        <w:tab w:val="left" w:pos="720"/>
      </w:tabs>
      <w:spacing w:before="72" w:after="72" w:line="240" w:lineRule="auto"/>
      <w:jc w:val="left"/>
    </w:pPr>
    <w:rPr>
      <w:rFonts w:ascii="Times New Roman" w:eastAsia="华文细黑" w:hAnsi="Times New Roman"/>
      <w:bCs/>
      <w:kern w:val="0"/>
      <w:sz w:val="28"/>
      <w:szCs w:val="28"/>
    </w:rPr>
  </w:style>
  <w:style w:type="paragraph" w:customStyle="1" w:styleId="2W20">
    <w:name w:val="样式 标题 2W2 + 加粗 左侧:  0 厘米"/>
    <w:basedOn w:val="2"/>
    <w:qFormat/>
    <w:pPr>
      <w:spacing w:before="120" w:line="440" w:lineRule="exact"/>
    </w:pPr>
    <w:rPr>
      <w:rFonts w:ascii="Times New Roman" w:eastAsia="宋体" w:hAnsi="Times New Roman" w:cs="宋体"/>
      <w:bCs/>
      <w:snapToGrid w:val="0"/>
      <w:kern w:val="28"/>
      <w:sz w:val="32"/>
    </w:rPr>
  </w:style>
  <w:style w:type="character" w:customStyle="1" w:styleId="1CharChar6">
    <w:name w:val="表格1 Char Char"/>
    <w:qFormat/>
    <w:rPr>
      <w:rFonts w:ascii="宋体" w:hAnsi="宋体"/>
      <w:kern w:val="2"/>
      <w:sz w:val="18"/>
    </w:rPr>
  </w:style>
  <w:style w:type="character" w:customStyle="1" w:styleId="1CharChar7">
    <w:name w:val="表样式1 Char Char"/>
    <w:qFormat/>
    <w:rPr>
      <w:rFonts w:ascii="黑体" w:eastAsia="黑体"/>
      <w:b/>
      <w:bCs/>
      <w:kern w:val="2"/>
      <w:sz w:val="28"/>
      <w:szCs w:val="24"/>
    </w:rPr>
  </w:style>
  <w:style w:type="character" w:customStyle="1" w:styleId="CharCharCharb">
    <w:name w:val="正文 Char Char Char"/>
    <w:qFormat/>
    <w:rPr>
      <w:rFonts w:ascii="宋体" w:eastAsia="宋体" w:hAnsi="宋体" w:cs="宋体"/>
      <w:sz w:val="24"/>
      <w:szCs w:val="24"/>
    </w:rPr>
  </w:style>
  <w:style w:type="character" w:customStyle="1" w:styleId="CharChar382">
    <w:name w:val="Char Char382"/>
    <w:qFormat/>
    <w:locked/>
    <w:rPr>
      <w:rFonts w:ascii="宋体" w:hAnsi="宋体"/>
      <w:kern w:val="2"/>
      <w:sz w:val="24"/>
    </w:rPr>
  </w:style>
  <w:style w:type="table" w:customStyle="1" w:styleId="3ff3">
    <w:name w:val="表格主题3"/>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彩色型 11"/>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7">
    <w:name w:val="彩色型 21"/>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4">
    <w:name w:val="彩色型 31"/>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fffe">
    <w:name w:val="典雅型1"/>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e">
    <w:name w:val="古典型 1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8">
    <w:name w:val="古典型 2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5">
    <w:name w:val="古典型 31"/>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0">
    <w:name w:val="古典型 41"/>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9">
    <w:name w:val="简明型 21"/>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6">
    <w:name w:val="简明型 3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f">
    <w:name w:val="精巧型 11"/>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a">
    <w:name w:val="精巧型 21"/>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f0">
    <w:name w:val="立体型 11"/>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b">
    <w:name w:val="立体型 21"/>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7">
    <w:name w:val="立体型 31"/>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f1">
    <w:name w:val="列表型 11"/>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c">
    <w:name w:val="列表型 21"/>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8">
    <w:name w:val="列表型 31"/>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
    <w:name w:val="列表型 4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0">
    <w:name w:val="列表型 5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0">
    <w:name w:val="列表型 6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0">
    <w:name w:val="列表型 71"/>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0">
    <w:name w:val="列表型 8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ffff">
    <w:name w:val="流行型1"/>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f2">
    <w:name w:val="竖列型 1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d">
    <w:name w:val="竖列型 21"/>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a">
    <w:name w:val="竖列型 31"/>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2">
    <w:name w:val="竖列型 41"/>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
    <w:name w:val="竖列型 51"/>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e">
    <w:name w:val="网格型 21"/>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b">
    <w:name w:val="网格型 31"/>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3">
    <w:name w:val="网格型 41"/>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2">
    <w:name w:val="网格型 51"/>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
    <w:name w:val="网格型 6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
    <w:name w:val="网格型 7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
    <w:name w:val="网格型 81"/>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f3">
    <w:name w:val="网页型 11"/>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f">
    <w:name w:val="网页型 21"/>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c">
    <w:name w:val="网页型 31"/>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ffff0">
    <w:name w:val="专业型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ffff1">
    <w:name w:val="环评表格1"/>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0">
    <w:name w:val="网格型17"/>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f0">
    <w:name w:val="网格型21"/>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fffffc">
    <w:name w:val="设计节 Char"/>
    <w:qFormat/>
    <w:rPr>
      <w:rFonts w:ascii="宋体" w:eastAsia="宋体" w:hAnsi="宋体"/>
      <w:b/>
      <w:bCs/>
      <w:kern w:val="2"/>
      <w:sz w:val="32"/>
      <w:szCs w:val="32"/>
      <w:lang w:val="en-US" w:eastAsia="zh-CN" w:bidi="ar-SA"/>
    </w:rPr>
  </w:style>
  <w:style w:type="paragraph" w:customStyle="1" w:styleId="171">
    <w:name w:val="17"/>
    <w:qFormat/>
    <w:pPr>
      <w:widowControl w:val="0"/>
      <w:jc w:val="both"/>
    </w:pPr>
    <w:rPr>
      <w:rFonts w:ascii="宋体" w:hAnsi="宋体"/>
      <w:kern w:val="2"/>
      <w:sz w:val="24"/>
    </w:rPr>
  </w:style>
  <w:style w:type="table" w:customStyle="1" w:styleId="pxg1">
    <w:name w:val="网格型（pxg）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3">
    <w:name w:val="表格主题4"/>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220">
    <w:name w:val="Char22"/>
    <w:basedOn w:val="a"/>
    <w:qFormat/>
    <w:rPr>
      <w:rFonts w:ascii="Times New Roman" w:hAnsi="Times New Roman"/>
      <w:sz w:val="21"/>
    </w:rPr>
  </w:style>
  <w:style w:type="table" w:customStyle="1" w:styleId="11f4">
    <w:name w:val="网格型 11"/>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character" w:customStyle="1" w:styleId="CharChar112">
    <w:name w:val="Char Char112"/>
    <w:qFormat/>
    <w:rPr>
      <w:rFonts w:eastAsia="宋体"/>
      <w:kern w:val="2"/>
      <w:sz w:val="18"/>
      <w:lang w:val="en-US" w:eastAsia="zh-CN" w:bidi="ar-SA"/>
    </w:rPr>
  </w:style>
  <w:style w:type="table" w:customStyle="1" w:styleId="181">
    <w:name w:val="网格型18"/>
    <w:basedOn w:val="a1"/>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9">
    <w:name w:val="网格型22"/>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5">
    <w:name w:val="简明型 11"/>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ffff">
    <w:name w:val="环评表格2"/>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paragraph" w:customStyle="1" w:styleId="Char420">
    <w:name w:val="Char42"/>
    <w:basedOn w:val="a"/>
    <w:qFormat/>
    <w:pPr>
      <w:spacing w:line="360" w:lineRule="auto"/>
      <w:ind w:firstLineChars="200" w:firstLine="200"/>
    </w:pPr>
    <w:rPr>
      <w:rFonts w:cs="宋体"/>
      <w:szCs w:val="24"/>
    </w:rPr>
  </w:style>
  <w:style w:type="paragraph" w:customStyle="1" w:styleId="21f1">
    <w:name w:val="文档结构图21"/>
    <w:basedOn w:val="a"/>
    <w:qFormat/>
    <w:pPr>
      <w:shd w:val="clear" w:color="auto" w:fill="000080"/>
      <w:tabs>
        <w:tab w:val="left" w:pos="480"/>
        <w:tab w:val="left" w:pos="1680"/>
        <w:tab w:val="left" w:pos="3960"/>
        <w:tab w:val="left" w:pos="5400"/>
        <w:tab w:val="left" w:pos="6840"/>
      </w:tabs>
      <w:adjustRightInd w:val="0"/>
      <w:spacing w:line="240" w:lineRule="atLeast"/>
      <w:ind w:firstLine="482"/>
      <w:jc w:val="left"/>
      <w:textAlignment w:val="baseline"/>
    </w:pPr>
    <w:rPr>
      <w:rFonts w:ascii="Times New Roman" w:eastAsia="创艺简楷体" w:hAnsi="Times New Roman"/>
      <w:kern w:val="0"/>
      <w:sz w:val="28"/>
    </w:rPr>
  </w:style>
  <w:style w:type="table" w:customStyle="1" w:styleId="129">
    <w:name w:val="精巧型 12"/>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2a">
    <w:name w:val="古典型 12"/>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paragraph" w:customStyle="1" w:styleId="31">
    <w:name w:val="标题31"/>
    <w:basedOn w:val="40"/>
    <w:qFormat/>
    <w:pPr>
      <w:numPr>
        <w:ilvl w:val="3"/>
        <w:numId w:val="2"/>
      </w:numPr>
      <w:tabs>
        <w:tab w:val="clear" w:pos="1984"/>
      </w:tabs>
      <w:ind w:left="864" w:hanging="144"/>
    </w:pPr>
  </w:style>
  <w:style w:type="character" w:customStyle="1" w:styleId="CharCharCharCharCharCharCharChar1">
    <w:name w:val="Char Char Char Char Char Char Char Char1"/>
    <w:qFormat/>
    <w:rPr>
      <w:rFonts w:ascii="Arial" w:eastAsia="仿宋_GB2312" w:hAnsi="Arial"/>
      <w:b/>
      <w:bCs/>
      <w:kern w:val="2"/>
      <w:sz w:val="28"/>
      <w:szCs w:val="32"/>
      <w:lang w:val="en-US" w:eastAsia="zh-CN" w:bidi="ar-SA"/>
    </w:rPr>
  </w:style>
  <w:style w:type="paragraph" w:customStyle="1" w:styleId="414">
    <w:name w:val="正文41"/>
    <w:qFormat/>
    <w:pPr>
      <w:widowControl w:val="0"/>
      <w:adjustRightInd w:val="0"/>
      <w:spacing w:line="312" w:lineRule="atLeast"/>
      <w:jc w:val="both"/>
      <w:textAlignment w:val="baseline"/>
    </w:pPr>
    <w:rPr>
      <w:rFonts w:ascii="宋体"/>
      <w:sz w:val="34"/>
    </w:rPr>
  </w:style>
  <w:style w:type="table" w:customStyle="1" w:styleId="1113">
    <w:name w:val="网格型1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20">
    <w:name w:val="Char Char Char Char Char Char Char2"/>
    <w:basedOn w:val="a"/>
    <w:next w:val="a"/>
    <w:qFormat/>
    <w:pPr>
      <w:spacing w:line="360" w:lineRule="auto"/>
      <w:ind w:firstLineChars="200" w:firstLine="200"/>
    </w:pPr>
    <w:rPr>
      <w:rFonts w:cs="宋体"/>
      <w:szCs w:val="24"/>
    </w:rPr>
  </w:style>
  <w:style w:type="table" w:customStyle="1" w:styleId="12b">
    <w:name w:val="立体型 12"/>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11f6">
    <w:name w:val="表格主题11"/>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c">
    <w:name w:val="彩色型 12"/>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2a">
    <w:name w:val="彩色型 22"/>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27">
    <w:name w:val="彩色型 32"/>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2ffff0">
    <w:name w:val="典雅型2"/>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2b">
    <w:name w:val="古典型 22"/>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28">
    <w:name w:val="古典型 32"/>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22">
    <w:name w:val="古典型 42"/>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2c">
    <w:name w:val="简明型 22"/>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29">
    <w:name w:val="简明型 32"/>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22d">
    <w:name w:val="精巧型 22"/>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e">
    <w:name w:val="立体型 22"/>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2a">
    <w:name w:val="立体型 32"/>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2d">
    <w:name w:val="列表型 12"/>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2f">
    <w:name w:val="列表型 22"/>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2b">
    <w:name w:val="列表型 32"/>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23">
    <w:name w:val="列表型 42"/>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21">
    <w:name w:val="列表型 52"/>
    <w:basedOn w:val="a1"/>
    <w:semiHidden/>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20">
    <w:name w:val="列表型 62"/>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20">
    <w:name w:val="列表型 72"/>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20">
    <w:name w:val="列表型 82"/>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2ffff1">
    <w:name w:val="流行型2"/>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e">
    <w:name w:val="竖列型 12"/>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f0">
    <w:name w:val="竖列型 22"/>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2c">
    <w:name w:val="竖列型 32"/>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24">
    <w:name w:val="竖列型 42"/>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2">
    <w:name w:val="竖列型 52"/>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2f1">
    <w:name w:val="网格型 22"/>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2d">
    <w:name w:val="网格型 32"/>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25">
    <w:name w:val="网格型 42"/>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23">
    <w:name w:val="网格型 52"/>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21">
    <w:name w:val="网格型 62"/>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21">
    <w:name w:val="网格型 72"/>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21">
    <w:name w:val="网格型 82"/>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f">
    <w:name w:val="网页型 12"/>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2f2">
    <w:name w:val="网页型 22"/>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2e">
    <w:name w:val="网页型 32"/>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ffff2">
    <w:name w:val="专业型2"/>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customStyle="1" w:styleId="11f7">
    <w:name w:val="页码11"/>
    <w:qFormat/>
  </w:style>
  <w:style w:type="character" w:customStyle="1" w:styleId="CharChar51">
    <w:name w:val="Char Char51"/>
    <w:qFormat/>
    <w:rPr>
      <w:rFonts w:ascii="宋体" w:eastAsia="宋体" w:hAnsi="宋体"/>
      <w:kern w:val="2"/>
      <w:sz w:val="24"/>
      <w:lang w:val="en-US" w:eastAsia="zh-CN"/>
    </w:rPr>
  </w:style>
  <w:style w:type="character" w:customStyle="1" w:styleId="CharChar37">
    <w:name w:val="Char Char37"/>
    <w:qFormat/>
    <w:rPr>
      <w:rFonts w:eastAsia="宋体"/>
      <w:b/>
      <w:bCs/>
      <w:sz w:val="28"/>
      <w:szCs w:val="28"/>
      <w:lang w:val="en-US" w:eastAsia="zh-CN" w:bidi="ar-SA"/>
    </w:rPr>
  </w:style>
  <w:style w:type="paragraph" w:customStyle="1" w:styleId="CharCharCharChar30">
    <w:name w:val="Char Char Char Char3"/>
    <w:basedOn w:val="a"/>
    <w:next w:val="a"/>
    <w:qFormat/>
    <w:pPr>
      <w:spacing w:line="360" w:lineRule="auto"/>
      <w:ind w:firstLineChars="200" w:firstLine="200"/>
    </w:pPr>
    <w:rPr>
      <w:rFonts w:cs="宋体"/>
      <w:szCs w:val="24"/>
    </w:rPr>
  </w:style>
  <w:style w:type="paragraph" w:customStyle="1" w:styleId="2110">
    <w:name w:val="正文文本缩进 211"/>
    <w:basedOn w:val="a"/>
    <w:qFormat/>
    <w:pPr>
      <w:adjustRightInd w:val="0"/>
      <w:spacing w:line="360" w:lineRule="atLeast"/>
      <w:ind w:firstLine="425"/>
      <w:jc w:val="left"/>
      <w:textAlignment w:val="baseline"/>
    </w:pPr>
    <w:rPr>
      <w:rFonts w:hAnsi="Times New Roman"/>
      <w:spacing w:val="20"/>
      <w:kern w:val="0"/>
    </w:rPr>
  </w:style>
  <w:style w:type="paragraph" w:customStyle="1" w:styleId="CharCharChar1CharCharChar1">
    <w:name w:val="Char Char Char1 Char Char Char1"/>
    <w:basedOn w:val="a"/>
    <w:qFormat/>
    <w:rPr>
      <w:rFonts w:ascii="Times New Roman" w:hAnsi="Times New Roman"/>
      <w:sz w:val="21"/>
      <w:szCs w:val="21"/>
    </w:rPr>
  </w:style>
  <w:style w:type="paragraph" w:customStyle="1" w:styleId="CharCharCharCharCharCharCharCharCharCharCharCharCharCharCharCharCharChar1CharCharCharCharCharCharCharCharCharCharCharChar1CharCharChar1">
    <w:name w:val="Char Char Char Char Char Char Char Char Char Char Char Char Char Char Char Char Char Char1 Char Char Char Char Char Char Char Char Char Char Char Char1 Char Char Char1"/>
    <w:basedOn w:val="a"/>
    <w:next w:val="a"/>
    <w:qFormat/>
    <w:pPr>
      <w:spacing w:line="360" w:lineRule="auto"/>
      <w:ind w:firstLineChars="200" w:firstLine="200"/>
    </w:pPr>
    <w:rPr>
      <w:rFonts w:cs="宋体"/>
      <w:szCs w:val="24"/>
    </w:rPr>
  </w:style>
  <w:style w:type="paragraph" w:customStyle="1" w:styleId="CharCharCharCharCharCharCharCharCharCharCharCharCharCharCharCharCharCharCharCharCharCharCharCharCharCharCharChar1CharCharCharCharCharChar1">
    <w:name w:val="Char Char Char Char Char Char Char Char Char Char Char Char Char Char Char Char Char Char Char Char Char Char Char Char Char Char Char Char1 Char Char Char Char Char Char1"/>
    <w:basedOn w:val="a"/>
    <w:qFormat/>
    <w:rPr>
      <w:rFonts w:ascii="Times New Roman" w:hAnsi="Times New Roman"/>
      <w:sz w:val="21"/>
      <w:szCs w:val="24"/>
    </w:rPr>
  </w:style>
  <w:style w:type="paragraph" w:customStyle="1" w:styleId="CharCharCharCharCharCharCharCharCharCharCharCharCharCharCharCharCharCharChar1">
    <w:name w:val="Char Char Char Char Char Char Char Char Char Char Char Char Char Char Char Char Char Char Char1"/>
    <w:basedOn w:val="a"/>
    <w:qFormat/>
    <w:rPr>
      <w:rFonts w:ascii="Times New Roman" w:hAnsi="Times New Roman"/>
      <w:sz w:val="21"/>
      <w:szCs w:val="24"/>
    </w:rPr>
  </w:style>
  <w:style w:type="character" w:customStyle="1" w:styleId="CharChar81">
    <w:name w:val="Char Char81"/>
    <w:qFormat/>
    <w:rPr>
      <w:rFonts w:ascii="宋体" w:eastAsia="宋体"/>
      <w:sz w:val="18"/>
      <w:szCs w:val="18"/>
    </w:rPr>
  </w:style>
  <w:style w:type="paragraph" w:customStyle="1" w:styleId="CharCharCharCharCharCharCharCharCharCharCharCharCharCharCharCharCharCharCharCharChar1">
    <w:name w:val="Char Char Char Char Char Char Char Char Char Char Char Char Char Char Char Char Char Char Char Char Char1"/>
    <w:basedOn w:val="a"/>
    <w:qFormat/>
    <w:rPr>
      <w:rFonts w:ascii="Times New Roman" w:hAnsi="Times New Roman"/>
      <w:sz w:val="21"/>
      <w:szCs w:val="24"/>
    </w:rPr>
  </w:style>
  <w:style w:type="paragraph" w:customStyle="1" w:styleId="11f8">
    <w:name w:val="列出段落11"/>
    <w:basedOn w:val="a"/>
    <w:qFormat/>
    <w:pPr>
      <w:spacing w:beforeLines="50"/>
      <w:ind w:firstLineChars="200" w:firstLine="420"/>
    </w:pPr>
    <w:rPr>
      <w:rFonts w:ascii="Calibri" w:hAnsi="Calibri"/>
      <w:sz w:val="21"/>
      <w:szCs w:val="22"/>
    </w:rPr>
  </w:style>
  <w:style w:type="paragraph" w:customStyle="1" w:styleId="CharCharCharCharCharCharCharCharCharCharCharCharCharCharCharCharCharCharCharCharCharCharCharChar1">
    <w:name w:val="Char Char Char Char Char Char Char Char Char Char Char Char Char Char Char Char Char Char Char Char Char Char Char Char1"/>
    <w:basedOn w:val="a"/>
    <w:qFormat/>
    <w:rPr>
      <w:rFonts w:ascii="Times New Roman" w:hAnsi="Times New Roman"/>
      <w:sz w:val="21"/>
      <w:szCs w:val="24"/>
    </w:rPr>
  </w:style>
  <w:style w:type="paragraph" w:customStyle="1" w:styleId="CharCharCharCharCharCharCharCharCharCharCharCharCharCharCharCharCharCharCharChar1">
    <w:name w:val="Char Char Char Char Char Char Char Char Char Char Char Char Char Char Char Char Char Char Char Char1"/>
    <w:basedOn w:val="a"/>
    <w:qFormat/>
    <w:rPr>
      <w:rFonts w:ascii="Times New Roman" w:hAnsi="Times New Roman"/>
      <w:sz w:val="21"/>
      <w:szCs w:val="24"/>
    </w:rPr>
  </w:style>
  <w:style w:type="paragraph" w:customStyle="1" w:styleId="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1"/>
    <w:basedOn w:val="a"/>
    <w:qFormat/>
    <w:rPr>
      <w:rFonts w:ascii="Times New Roman" w:hAnsi="Times New Roman"/>
      <w:sz w:val="21"/>
      <w:szCs w:val="24"/>
    </w:rPr>
  </w:style>
  <w:style w:type="paragraph" w:customStyle="1" w:styleId="CharCharChar2CharCharCharCharCharChar1CharCharCharChar2">
    <w:name w:val="Char Char Char2 Char Char Char Char Char Char1 Char Char Char Char2"/>
    <w:basedOn w:val="a"/>
    <w:qFormat/>
    <w:rPr>
      <w:rFonts w:ascii="Times New Roman" w:hAnsi="Times New Roman"/>
      <w:sz w:val="21"/>
      <w:szCs w:val="24"/>
    </w:rPr>
  </w:style>
  <w:style w:type="paragraph" w:customStyle="1" w:styleId="CharCharCharCharCharCharCharCharCharCharCharCharCharCharCharCharCharCharCharCharCharCharCharCharCharCharCharChar2">
    <w:name w:val="Char Char Char Char Char Char Char Char Char Char Char Char Char Char Char Char Char Char Char Char Char Char Char Char Char Char Char Char2"/>
    <w:basedOn w:val="a"/>
    <w:qFormat/>
    <w:rPr>
      <w:rFonts w:ascii="Times New Roman" w:hAnsi="Times New Roman"/>
      <w:sz w:val="21"/>
      <w:szCs w:val="24"/>
    </w:rPr>
  </w:style>
  <w:style w:type="character" w:customStyle="1" w:styleId="CharChar261">
    <w:name w:val="Char Char261"/>
    <w:qFormat/>
    <w:rPr>
      <w:rFonts w:ascii="Times New Roman" w:eastAsia="宋体" w:hAnsi="Times New Roman" w:cs="Times New Roman"/>
      <w:b/>
      <w:color w:val="000000"/>
      <w:kern w:val="44"/>
      <w:sz w:val="32"/>
      <w:szCs w:val="20"/>
    </w:rPr>
  </w:style>
  <w:style w:type="character" w:customStyle="1" w:styleId="CharChar411">
    <w:name w:val="Char Char411"/>
    <w:qFormat/>
    <w:rPr>
      <w:rFonts w:ascii="宋体" w:eastAsia="宋体"/>
      <w:kern w:val="2"/>
      <w:sz w:val="18"/>
      <w:szCs w:val="18"/>
      <w:lang w:val="en-US" w:eastAsia="zh-CN" w:bidi="ar-SA"/>
    </w:rPr>
  </w:style>
  <w:style w:type="paragraph" w:customStyle="1" w:styleId="CharCharCharCharChar1CharCharCharChar1">
    <w:name w:val="Char Char Char Char Char1 Char Char Char Char1"/>
    <w:basedOn w:val="a"/>
    <w:next w:val="a"/>
    <w:qFormat/>
    <w:pPr>
      <w:spacing w:line="360" w:lineRule="auto"/>
      <w:ind w:firstLineChars="200" w:firstLine="200"/>
    </w:pPr>
    <w:rPr>
      <w:rFonts w:cs="宋体"/>
      <w:snapToGrid w:val="0"/>
      <w:kern w:val="0"/>
      <w:szCs w:val="24"/>
    </w:rPr>
  </w:style>
  <w:style w:type="paragraph" w:customStyle="1" w:styleId="CharCharCharCharCharCharCharCharCharCharCharCharCharCharCharCharCharCharCharCharCharCharCharCharCharCharCharChar1Char1">
    <w:name w:val="Char Char Char Char Char Char Char Char Char Char Char Char Char Char Char Char Char Char Char Char Char Char Char Char Char Char Char Char1 Char1"/>
    <w:basedOn w:val="a"/>
    <w:qFormat/>
    <w:rPr>
      <w:rFonts w:ascii="Times New Roman" w:hAnsi="Times New Roman"/>
      <w:sz w:val="21"/>
      <w:szCs w:val="24"/>
    </w:rPr>
  </w:style>
  <w:style w:type="paragraph" w:customStyle="1" w:styleId="CharCharCharCharCharCharCharCharCharCharCharCharCharCharCharCharCharCharCharCharCharCharCharCharCharCharCharCharChar1">
    <w:name w:val="Char Char Char Char Char Char Char Char Char Char Char Char Char Char Char Char Char Char Char Char Char Char Char Char Char Char Char Char Char1"/>
    <w:basedOn w:val="a"/>
    <w:qFormat/>
    <w:rPr>
      <w:rFonts w:ascii="Times New Roman" w:hAnsi="Times New Roman"/>
      <w:sz w:val="21"/>
      <w:szCs w:val="24"/>
    </w:rPr>
  </w:style>
  <w:style w:type="paragraph" w:customStyle="1" w:styleId="CharCharCharCharCharCharCharCharCharCharCharCharCharCharCharCharCharCharCharCharCharCharCharCharCharChar2">
    <w:name w:val="Char Char Char Char Char Char Char Char Char Char Char Char Char Char Char Char Char Char Char Char Char Char Char Char Char Char2"/>
    <w:basedOn w:val="a"/>
    <w:qFormat/>
    <w:rPr>
      <w:rFonts w:ascii="Times New Roman" w:hAnsi="Times New Roman"/>
      <w:sz w:val="21"/>
      <w:szCs w:val="24"/>
    </w:rPr>
  </w:style>
  <w:style w:type="paragraph" w:customStyle="1" w:styleId="CharCharCharCharCharCharCharCharCharCharCharCharCharCharCharCharCharCharCharCharCharCharChar1">
    <w:name w:val="Char Char Char Char Char Char Char Char Char Char Char Char Char Char Char Char Char Char Char Char Char Char Char1"/>
    <w:basedOn w:val="a"/>
    <w:qFormat/>
    <w:rPr>
      <w:rFonts w:ascii="Times New Roman" w:hAnsi="Times New Roman"/>
      <w:sz w:val="21"/>
      <w:szCs w:val="24"/>
    </w:rPr>
  </w:style>
  <w:style w:type="paragraph" w:customStyle="1" w:styleId="CharCharCharCharCharCharCharCharCharCharCharCharCharCharCharCharCharCharCharCharCharCharCharCharCharCharCharChar11">
    <w:name w:val="Char Char Char Char Char Char Char Char Char Char Char Char Char Char Char Char Char Char Char Char Char Char Char Char Char Char Char Char11"/>
    <w:basedOn w:val="a"/>
    <w:qFormat/>
    <w:rPr>
      <w:rFonts w:ascii="Times New Roman" w:hAnsi="Times New Roman"/>
      <w:sz w:val="21"/>
      <w:szCs w:val="24"/>
    </w:rPr>
  </w:style>
  <w:style w:type="paragraph" w:customStyle="1" w:styleId="CharCharCharCharCharCharCharCharCharCharCharCharCharCharCharCharCharCharCharCharCharCharCharCharCharCharCharChar1CharCharCharCharChar1">
    <w:name w:val="Char Char Char Char Char Char Char Char Char Char Char Char Char Char Char Char Char Char Char Char Char Char Char Char Char Char Char Char1 Char Char Char Char Char1"/>
    <w:basedOn w:val="a"/>
    <w:qFormat/>
    <w:rPr>
      <w:rFonts w:ascii="Times New Roman" w:hAnsi="Times New Roman"/>
      <w:sz w:val="21"/>
      <w:szCs w:val="24"/>
    </w:rPr>
  </w:style>
  <w:style w:type="character" w:customStyle="1" w:styleId="3CharCharCharCharCharCharCharCharCharCharCharCharChar1">
    <w:name w:val="标题 3 Char Char Char Char Char Char Char Char Char Char Char Char Char1"/>
    <w:qFormat/>
    <w:rPr>
      <w:rFonts w:ascii="宋体" w:eastAsia="宋体" w:hAnsi="宋体"/>
      <w:b/>
      <w:bCs/>
      <w:kern w:val="2"/>
      <w:sz w:val="28"/>
      <w:szCs w:val="28"/>
      <w:lang w:val="en-US" w:eastAsia="zh-CN" w:bidi="ar-SA"/>
    </w:rPr>
  </w:style>
  <w:style w:type="paragraph" w:customStyle="1" w:styleId="CharCharChar2CharCharCharCharCharChar1Char1">
    <w:name w:val="Char Char Char2 Char Char Char Char Char Char1 Char1"/>
    <w:basedOn w:val="a"/>
    <w:qFormat/>
    <w:rPr>
      <w:rFonts w:ascii="Times New Roman" w:hAnsi="Times New Roman"/>
      <w:sz w:val="21"/>
      <w:szCs w:val="24"/>
    </w:rPr>
  </w:style>
  <w:style w:type="paragraph" w:customStyle="1" w:styleId="CharCharChar2CharCharCharCharCharChar1CharCharCharCharCharCharCharCharCharChar1">
    <w:name w:val="Char Char Char2 Char Char Char Char Char Char1 Char Char Char Char Char Char Char Char Char Char1"/>
    <w:basedOn w:val="a"/>
    <w:qFormat/>
    <w:rPr>
      <w:rFonts w:ascii="Times New Roman" w:hAnsi="Times New Roman"/>
      <w:sz w:val="21"/>
      <w:szCs w:val="24"/>
    </w:rPr>
  </w:style>
  <w:style w:type="paragraph" w:customStyle="1" w:styleId="CharCharChar2CharCharCharCharCharChar1CharCharCharChar11">
    <w:name w:val="Char Char Char2 Char Char Char Char Char Char1 Char Char Char Char11"/>
    <w:basedOn w:val="a"/>
    <w:qFormat/>
    <w:rPr>
      <w:rFonts w:ascii="Times New Roman" w:hAnsi="Times New Roman"/>
      <w:sz w:val="21"/>
      <w:szCs w:val="24"/>
    </w:rPr>
  </w:style>
  <w:style w:type="paragraph" w:customStyle="1" w:styleId="CharCharChar2CharCharCharCharCharChar1CharCharCharCharCharCharCharCharChar1">
    <w:name w:val="Char Char Char2 Char Char Char Char Char Char1 Char Char Char Char Char Char Char Char Char1"/>
    <w:basedOn w:val="a"/>
    <w:qFormat/>
    <w:rPr>
      <w:rFonts w:ascii="Times New Roman" w:hAnsi="Times New Roman"/>
      <w:sz w:val="21"/>
      <w:szCs w:val="24"/>
    </w:rPr>
  </w:style>
  <w:style w:type="paragraph" w:customStyle="1" w:styleId="CharCharCharCharCharCharCharCharCharCharCharCharCharCharChar1">
    <w:name w:val="Char Char Char Char Char Char Char Char Char Char Char Char Char Char Char1"/>
    <w:basedOn w:val="a"/>
    <w:qFormat/>
    <w:rPr>
      <w:rFonts w:ascii="Times New Roman" w:hAnsi="Times New Roman"/>
      <w:sz w:val="21"/>
      <w:szCs w:val="24"/>
    </w:rPr>
  </w:style>
  <w:style w:type="paragraph" w:customStyle="1" w:styleId="CharCharChar2CharCharCharCharCharChar1CharCharChar1">
    <w:name w:val="Char Char Char2 Char Char Char Char Char Char1 Char Char Char1"/>
    <w:basedOn w:val="a"/>
    <w:qFormat/>
    <w:rPr>
      <w:rFonts w:ascii="Times New Roman" w:hAnsi="Times New Roman"/>
      <w:sz w:val="21"/>
      <w:szCs w:val="24"/>
    </w:rPr>
  </w:style>
  <w:style w:type="paragraph" w:customStyle="1" w:styleId="CharCharChar2CharCharCharCharCharChar1">
    <w:name w:val="Char Char Char2 Char Char Char Char Char Char1"/>
    <w:basedOn w:val="a"/>
    <w:qFormat/>
    <w:rPr>
      <w:rFonts w:ascii="Times New Roman" w:hAnsi="Times New Roman"/>
      <w:sz w:val="21"/>
      <w:szCs w:val="24"/>
    </w:rPr>
  </w:style>
  <w:style w:type="paragraph" w:customStyle="1" w:styleId="CharCharChar2CharCharCharCharCharChar1CharCharCharCharCharCharCharCharCharCharCharChar1">
    <w:name w:val="Char Char Char2 Char Char Char Char Char Char1 Char Char Char Char Char Char Char Char Char Char Char Char1"/>
    <w:basedOn w:val="a"/>
    <w:qFormat/>
    <w:rPr>
      <w:rFonts w:ascii="Times New Roman" w:hAnsi="Times New Roman"/>
      <w:sz w:val="21"/>
      <w:szCs w:val="24"/>
    </w:rPr>
  </w:style>
  <w:style w:type="paragraph" w:customStyle="1" w:styleId="CharCharChar2CharCharCharCharCharChar1CharCharCharCharCharCharChar1">
    <w:name w:val="Char Char Char2 Char Char Char Char Char Char1 Char Char Char Char Char Char Char1"/>
    <w:basedOn w:val="a"/>
    <w:qFormat/>
    <w:rPr>
      <w:rFonts w:ascii="Times New Roman" w:hAnsi="Times New Roman"/>
      <w:sz w:val="21"/>
      <w:szCs w:val="24"/>
    </w:rPr>
  </w:style>
  <w:style w:type="paragraph" w:customStyle="1" w:styleId="CharCharChar2CharCharCharCharCharChar1CharCharCharCharCharCharCharCharCharCharCharCharChar1">
    <w:name w:val="Char Char Char2 Char Char Char Char Char Char1 Char Char Char Char Char Char Char Char Char Char Char Char Char1"/>
    <w:basedOn w:val="a"/>
    <w:qFormat/>
    <w:rPr>
      <w:rFonts w:ascii="Times New Roman" w:hAnsi="Times New Roman"/>
      <w:sz w:val="21"/>
      <w:szCs w:val="24"/>
    </w:rPr>
  </w:style>
  <w:style w:type="paragraph" w:customStyle="1" w:styleId="CharCharChar2CharCharCharCharCharChar1CharCharCharCharCharChar1">
    <w:name w:val="Char Char Char2 Char Char Char Char Char Char1 Char Char Char Char Char Char1"/>
    <w:basedOn w:val="a"/>
    <w:qFormat/>
    <w:rPr>
      <w:rFonts w:ascii="Times New Roman" w:hAnsi="Times New Roman"/>
      <w:sz w:val="21"/>
      <w:szCs w:val="24"/>
    </w:rPr>
  </w:style>
  <w:style w:type="paragraph" w:customStyle="1" w:styleId="CharCharChar2CharCharCharCharCharCharCharCharChar1">
    <w:name w:val="Char Char Char2 Char Char Char Char Char Char Char Char Char1"/>
    <w:basedOn w:val="a"/>
    <w:qFormat/>
    <w:rPr>
      <w:rFonts w:ascii="Times New Roman" w:hAnsi="Times New Roman"/>
      <w:sz w:val="21"/>
      <w:szCs w:val="24"/>
    </w:rPr>
  </w:style>
  <w:style w:type="paragraph" w:customStyle="1" w:styleId="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1"/>
    <w:basedOn w:val="a"/>
    <w:qFormat/>
    <w:rPr>
      <w:rFonts w:ascii="Times New Roman" w:hAnsi="Times New Roman"/>
      <w:sz w:val="21"/>
      <w:szCs w:val="24"/>
    </w:rPr>
  </w:style>
  <w:style w:type="paragraph" w:customStyle="1" w:styleId="CharCharCharCharCharCharCharCharCharCharCharCharCharCharCharCharCharCharCharCharCharCharCharCharCharChar1Char1">
    <w:name w:val="Char Char Char Char Char Char Char Char Char Char Char Char Char Char Char Char Char Char Char Char Char Char Char Char Char Char1 Char1"/>
    <w:basedOn w:val="a"/>
    <w:qFormat/>
    <w:rPr>
      <w:rFonts w:ascii="Times New Roman" w:hAnsi="Times New Roman"/>
      <w:sz w:val="21"/>
      <w:szCs w:val="24"/>
    </w:rPr>
  </w:style>
  <w:style w:type="paragraph" w:customStyle="1" w:styleId="CharCharCharCharCharCharCharCharCharCharCharCharCharCharCharCharCharCharCharCharCharCharCharCharCharCharCharChar1CharCharChar1">
    <w:name w:val="Char Char Char Char Char Char Char Char Char Char Char Char Char Char Char Char Char Char Char Char Char Char Char Char Char Char Char Char1 Char Char Char1"/>
    <w:basedOn w:val="a"/>
    <w:qFormat/>
    <w:rPr>
      <w:rFonts w:ascii="Times New Roman" w:hAnsi="Times New Roman"/>
      <w:sz w:val="21"/>
      <w:szCs w:val="24"/>
    </w:rPr>
  </w:style>
  <w:style w:type="paragraph" w:customStyle="1" w:styleId="CharCharCharCharCharCharCharCharCharCharCharCharCharCharCharCharCharCharCharCharCharCharCharCharCharChar11">
    <w:name w:val="Char Char Char Char Char Char Char Char Char Char Char Char Char Char Char Char Char Char Char Char Char Char Char Char Char Char11"/>
    <w:basedOn w:val="a"/>
    <w:qFormat/>
    <w:rPr>
      <w:rFonts w:ascii="Times New Roman" w:hAnsi="Times New Roman"/>
      <w:sz w:val="21"/>
      <w:szCs w:val="24"/>
    </w:rPr>
  </w:style>
  <w:style w:type="paragraph" w:customStyle="1" w:styleId="CharCharCharCharCharCharCharCharCharCharCharCharCharCharCharCharCharCharCharCharCharCharCharCharCharChar1CharCharChar1">
    <w:name w:val="Char Char Char Char Char Char Char Char Char Char Char Char Char Char Char Char Char Char Char Char Char Char Char Char Char Char1 Char Char Char1"/>
    <w:basedOn w:val="a"/>
    <w:qFormat/>
    <w:rPr>
      <w:rFonts w:ascii="Times New Roman" w:hAnsi="Times New Roman"/>
      <w:sz w:val="21"/>
      <w:szCs w:val="24"/>
    </w:rPr>
  </w:style>
  <w:style w:type="paragraph" w:customStyle="1" w:styleId="CharCharCharCharCharCharCharCharCharCharCharCharCharCharCharCharCharCharCharCharCharCharCharCharCharCharCharChar1CharCharCharCharCharCharCharChar1">
    <w:name w:val="Char Char Char Char Char Char Char Char Char Char Char Char Char Char Char Char Char Char Char Char Char Char Char Char Char Char Char Char1 Char Char Char Char Char Char Char Char1"/>
    <w:basedOn w:val="a"/>
    <w:qFormat/>
    <w:rPr>
      <w:rFonts w:ascii="Times New Roman" w:hAnsi="Times New Roman"/>
      <w:sz w:val="21"/>
      <w:szCs w:val="24"/>
    </w:rPr>
  </w:style>
  <w:style w:type="paragraph" w:customStyle="1" w:styleId="CharCharChar2CharCharCharCharChar1">
    <w:name w:val="Char Char Char2 Char Char Char Char Char1"/>
    <w:basedOn w:val="a"/>
    <w:qFormat/>
    <w:rPr>
      <w:rFonts w:ascii="Times New Roman" w:hAnsi="Times New Roman"/>
      <w:sz w:val="21"/>
      <w:szCs w:val="24"/>
    </w:rPr>
  </w:style>
  <w:style w:type="character" w:customStyle="1" w:styleId="CharChar341">
    <w:name w:val="Char Char341"/>
    <w:qFormat/>
    <w:rPr>
      <w:rFonts w:eastAsia="华文中宋"/>
      <w:b/>
      <w:bCs/>
      <w:kern w:val="2"/>
      <w:sz w:val="24"/>
      <w:szCs w:val="24"/>
      <w:lang w:bidi="ar-SA"/>
    </w:rPr>
  </w:style>
  <w:style w:type="character" w:customStyle="1" w:styleId="CharChar321">
    <w:name w:val="Char Char321"/>
    <w:qFormat/>
    <w:rPr>
      <w:rFonts w:ascii="宋体" w:eastAsia="宋体"/>
      <w:b/>
      <w:bCs/>
      <w:kern w:val="2"/>
      <w:sz w:val="28"/>
      <w:szCs w:val="28"/>
      <w:lang w:bidi="ar-SA"/>
    </w:rPr>
  </w:style>
  <w:style w:type="character" w:customStyle="1" w:styleId="CharChar301">
    <w:name w:val="Char Char301"/>
    <w:qFormat/>
    <w:rPr>
      <w:rFonts w:eastAsia="宋体"/>
      <w:b/>
      <w:bCs/>
      <w:kern w:val="2"/>
      <w:sz w:val="24"/>
      <w:szCs w:val="24"/>
      <w:lang w:val="en-US" w:eastAsia="zh-CN" w:bidi="ar-SA"/>
    </w:rPr>
  </w:style>
  <w:style w:type="character" w:customStyle="1" w:styleId="CharChar351">
    <w:name w:val="Char Char351"/>
    <w:qFormat/>
    <w:rPr>
      <w:rFonts w:ascii="Arial Narrow" w:eastAsia="华文中宋" w:hAnsi="Arial Narrow"/>
      <w:iCs/>
      <w:sz w:val="28"/>
      <w:szCs w:val="28"/>
      <w:lang w:bidi="ar-SA"/>
    </w:rPr>
  </w:style>
  <w:style w:type="character" w:customStyle="1" w:styleId="CharChar291">
    <w:name w:val="Char Char291"/>
    <w:qFormat/>
    <w:rPr>
      <w:rFonts w:ascii="Arial" w:eastAsia="黑体" w:hAnsi="Arial"/>
      <w:kern w:val="2"/>
      <w:sz w:val="24"/>
      <w:szCs w:val="24"/>
      <w:lang w:val="en-US" w:eastAsia="zh-CN" w:bidi="ar-SA"/>
    </w:rPr>
  </w:style>
  <w:style w:type="character" w:customStyle="1" w:styleId="CharChar361">
    <w:name w:val="Char Char361"/>
    <w:qFormat/>
    <w:rPr>
      <w:rFonts w:eastAsia="华文中宋"/>
      <w:b/>
      <w:bCs/>
      <w:kern w:val="44"/>
      <w:sz w:val="36"/>
      <w:szCs w:val="36"/>
      <w:lang w:bidi="ar-SA"/>
    </w:rPr>
  </w:style>
  <w:style w:type="character" w:customStyle="1" w:styleId="CharChar281">
    <w:name w:val="Char Char281"/>
    <w:qFormat/>
    <w:rPr>
      <w:rFonts w:ascii="Arial" w:eastAsia="黑体" w:hAnsi="Arial"/>
      <w:kern w:val="2"/>
      <w:sz w:val="21"/>
      <w:szCs w:val="21"/>
      <w:lang w:val="en-US" w:eastAsia="zh-CN" w:bidi="ar-SA"/>
    </w:rPr>
  </w:style>
  <w:style w:type="character" w:customStyle="1" w:styleId="CharChar331">
    <w:name w:val="Char Char331"/>
    <w:qFormat/>
    <w:rPr>
      <w:rFonts w:eastAsia="华文中宋"/>
      <w:kern w:val="2"/>
      <w:sz w:val="24"/>
      <w:szCs w:val="24"/>
      <w:lang w:bidi="ar-SA"/>
    </w:rPr>
  </w:style>
  <w:style w:type="character" w:customStyle="1" w:styleId="CharChar311">
    <w:name w:val="Char Char311"/>
    <w:qFormat/>
    <w:rPr>
      <w:rFonts w:ascii="Cambria" w:eastAsia="宋体" w:hAnsi="Cambria"/>
      <w:b/>
      <w:bCs/>
      <w:kern w:val="2"/>
      <w:sz w:val="24"/>
      <w:szCs w:val="24"/>
      <w:lang w:bidi="ar-SA"/>
    </w:rPr>
  </w:style>
  <w:style w:type="paragraph" w:customStyle="1" w:styleId="11f9">
    <w:name w:val="正文首行缩进11"/>
    <w:basedOn w:val="af7"/>
    <w:qFormat/>
    <w:pPr>
      <w:spacing w:line="480" w:lineRule="atLeast"/>
      <w:ind w:firstLine="420"/>
      <w:jc w:val="center"/>
      <w:textAlignment w:val="baseline"/>
    </w:pPr>
    <w:rPr>
      <w:rFonts w:ascii="Times New Roman" w:eastAsia="宋体" w:hAnsi="Calibri"/>
      <w:color w:val="FF6600"/>
      <w:sz w:val="28"/>
      <w:szCs w:val="22"/>
    </w:rPr>
  </w:style>
  <w:style w:type="paragraph" w:customStyle="1" w:styleId="CharCharChar2CharCharChar1Char1">
    <w:name w:val="Char Char Char2 Char Char Char1 Char1"/>
    <w:basedOn w:val="a"/>
    <w:qFormat/>
    <w:rPr>
      <w:rFonts w:ascii="Times New Roman" w:hAnsi="Times New Roman"/>
      <w:sz w:val="21"/>
      <w:szCs w:val="24"/>
    </w:rPr>
  </w:style>
  <w:style w:type="table" w:customStyle="1" w:styleId="31d">
    <w:name w:val="网格型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f2">
    <w:name w:val="表格主题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a">
    <w:name w:val="灰度表格11"/>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6">
    <w:name w:val="网格型4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网格型51"/>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网格型12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网格型1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网格型6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网格型7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3CharCharCharCharCharCharChar1">
    <w:name w:val="Char Char3 Char Char Char Char Char Char Char1"/>
    <w:basedOn w:val="a"/>
    <w:qFormat/>
    <w:pPr>
      <w:spacing w:line="360" w:lineRule="auto"/>
      <w:ind w:firstLineChars="200" w:firstLine="200"/>
    </w:pPr>
    <w:rPr>
      <w:rFonts w:cs="宋体"/>
      <w:szCs w:val="24"/>
    </w:rPr>
  </w:style>
  <w:style w:type="table" w:customStyle="1" w:styleId="812">
    <w:name w:val="网格型8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网格型91"/>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网格型10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网格型14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0">
    <w:name w:val="网格型15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0">
    <w:name w:val="网格型16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CharCharCharCharCharCharCharCharCharCharCharChar1CharCharCharCharCharCharChar1">
    <w:name w:val="Char Char Char Char Char Char Char Char Char Char Char Char Char Char Char Char Char Char Char Char Char Char Char Char Char Char Char Char1 Char Char Char Char Char Char Char1"/>
    <w:basedOn w:val="a"/>
    <w:qFormat/>
    <w:rPr>
      <w:rFonts w:ascii="Times New Roman" w:hAnsi="Times New Roman"/>
      <w:sz w:val="21"/>
      <w:szCs w:val="24"/>
    </w:rPr>
  </w:style>
  <w:style w:type="character" w:customStyle="1" w:styleId="CharCharCharCharCharCharCharCharCharCharChar1">
    <w:name w:val="Char Char Char Char Char Char Char Char Char Char Char1"/>
    <w:qFormat/>
    <w:rPr>
      <w:rFonts w:ascii="Arial" w:eastAsia="仿宋_GB2312" w:hAnsi="Arial"/>
      <w:b/>
      <w:bCs/>
      <w:kern w:val="2"/>
      <w:sz w:val="28"/>
      <w:szCs w:val="32"/>
      <w:lang w:val="en-US" w:eastAsia="zh-CN" w:bidi="ar-SA"/>
    </w:rPr>
  </w:style>
  <w:style w:type="character" w:customStyle="1" w:styleId="CharChar381">
    <w:name w:val="Char Char381"/>
    <w:qFormat/>
    <w:locked/>
    <w:rPr>
      <w:rFonts w:ascii="宋体" w:hAnsi="宋体"/>
      <w:kern w:val="2"/>
      <w:sz w:val="24"/>
    </w:rPr>
  </w:style>
  <w:style w:type="table" w:customStyle="1" w:styleId="31e">
    <w:name w:val="表格主题31"/>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彩色型 111"/>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1">
    <w:name w:val="彩色型 211"/>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1">
    <w:name w:val="彩色型 311"/>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1fb">
    <w:name w:val="典雅型11"/>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15">
    <w:name w:val="古典型 11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2">
    <w:name w:val="古典型 21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2">
    <w:name w:val="古典型 311"/>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0">
    <w:name w:val="古典型 411"/>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13">
    <w:name w:val="简明型 211"/>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3">
    <w:name w:val="简明型 31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6">
    <w:name w:val="精巧型 111"/>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4">
    <w:name w:val="精巧型 211"/>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7">
    <w:name w:val="立体型 111"/>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5">
    <w:name w:val="立体型 211"/>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4">
    <w:name w:val="立体型 311"/>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8">
    <w:name w:val="列表型 111"/>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6">
    <w:name w:val="列表型 211"/>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5">
    <w:name w:val="列表型 311"/>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1">
    <w:name w:val="列表型 41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10">
    <w:name w:val="列表型 5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0">
    <w:name w:val="列表型 6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10">
    <w:name w:val="列表型 711"/>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0">
    <w:name w:val="列表型 8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1fc">
    <w:name w:val="流行型11"/>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9">
    <w:name w:val="竖列型 11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7">
    <w:name w:val="竖列型 211"/>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6">
    <w:name w:val="竖列型 311"/>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2">
    <w:name w:val="竖列型 411"/>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1">
    <w:name w:val="竖列型 511"/>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18">
    <w:name w:val="网格型 211"/>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7">
    <w:name w:val="网格型 311"/>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13">
    <w:name w:val="网格型 411"/>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2">
    <w:name w:val="网格型 511"/>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1">
    <w:name w:val="网格型 61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1">
    <w:name w:val="网格型 71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1">
    <w:name w:val="网格型 811"/>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a">
    <w:name w:val="网页型 111"/>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9">
    <w:name w:val="网页型 211"/>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8">
    <w:name w:val="网页型 311"/>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fd">
    <w:name w:val="专业型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fe">
    <w:name w:val="环评表格11"/>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10">
    <w:name w:val="网格型171"/>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a">
    <w:name w:val="网格型211"/>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9">
    <w:name w:val="正文文本缩进 Char3"/>
    <w:uiPriority w:val="99"/>
    <w:semiHidden/>
    <w:qFormat/>
    <w:rPr>
      <w:rFonts w:ascii="宋体" w:hAnsi="宋体"/>
      <w:kern w:val="2"/>
      <w:sz w:val="24"/>
    </w:rPr>
  </w:style>
  <w:style w:type="character" w:customStyle="1" w:styleId="Char2d">
    <w:name w:val="日期 Char2"/>
    <w:uiPriority w:val="99"/>
    <w:semiHidden/>
    <w:qFormat/>
    <w:rPr>
      <w:rFonts w:ascii="宋体" w:hAnsi="宋体"/>
      <w:kern w:val="2"/>
      <w:sz w:val="24"/>
    </w:rPr>
  </w:style>
  <w:style w:type="character" w:customStyle="1" w:styleId="Char3a">
    <w:name w:val="正文文本 Char3"/>
    <w:uiPriority w:val="99"/>
    <w:semiHidden/>
    <w:qFormat/>
    <w:rPr>
      <w:rFonts w:ascii="宋体" w:hAnsi="宋体"/>
      <w:kern w:val="2"/>
      <w:sz w:val="24"/>
    </w:rPr>
  </w:style>
  <w:style w:type="character" w:customStyle="1" w:styleId="Char2e">
    <w:name w:val="正文首行缩进 Char2"/>
    <w:uiPriority w:val="99"/>
    <w:semiHidden/>
    <w:qFormat/>
  </w:style>
  <w:style w:type="character" w:customStyle="1" w:styleId="Char2f">
    <w:name w:val="电子邮件签名 Char2"/>
    <w:uiPriority w:val="99"/>
    <w:semiHidden/>
    <w:qFormat/>
    <w:rPr>
      <w:rFonts w:ascii="宋体" w:hAnsi="宋体"/>
      <w:kern w:val="2"/>
      <w:sz w:val="24"/>
    </w:rPr>
  </w:style>
  <w:style w:type="character" w:customStyle="1" w:styleId="Char2f0">
    <w:name w:val="批注文字 Char2"/>
    <w:uiPriority w:val="99"/>
    <w:semiHidden/>
    <w:qFormat/>
    <w:rPr>
      <w:rFonts w:ascii="宋体" w:hAnsi="宋体"/>
      <w:kern w:val="2"/>
      <w:sz w:val="24"/>
    </w:rPr>
  </w:style>
  <w:style w:type="character" w:customStyle="1" w:styleId="Char2f1">
    <w:name w:val="注释标题 Char2"/>
    <w:uiPriority w:val="99"/>
    <w:semiHidden/>
    <w:qFormat/>
    <w:rPr>
      <w:rFonts w:ascii="宋体" w:hAnsi="宋体"/>
      <w:kern w:val="2"/>
      <w:sz w:val="24"/>
    </w:rPr>
  </w:style>
  <w:style w:type="character" w:customStyle="1" w:styleId="2Char21">
    <w:name w:val="正文文本缩进 2 Char2"/>
    <w:uiPriority w:val="99"/>
    <w:semiHidden/>
    <w:qFormat/>
    <w:rPr>
      <w:rFonts w:ascii="宋体" w:hAnsi="宋体"/>
      <w:kern w:val="2"/>
      <w:sz w:val="24"/>
    </w:rPr>
  </w:style>
  <w:style w:type="character" w:customStyle="1" w:styleId="Char3b">
    <w:name w:val="文档结构图 Char3"/>
    <w:uiPriority w:val="99"/>
    <w:semiHidden/>
    <w:qFormat/>
    <w:rPr>
      <w:rFonts w:ascii="宋体" w:hAnsi="宋体"/>
      <w:kern w:val="2"/>
      <w:sz w:val="18"/>
      <w:szCs w:val="18"/>
    </w:rPr>
  </w:style>
  <w:style w:type="character" w:customStyle="1" w:styleId="Char2f2">
    <w:name w:val="签名 Char2"/>
    <w:uiPriority w:val="99"/>
    <w:semiHidden/>
    <w:qFormat/>
    <w:rPr>
      <w:rFonts w:ascii="宋体" w:hAnsi="宋体"/>
      <w:kern w:val="2"/>
      <w:sz w:val="24"/>
    </w:rPr>
  </w:style>
  <w:style w:type="character" w:customStyle="1" w:styleId="Char2f3">
    <w:name w:val="批注框文本 Char2"/>
    <w:uiPriority w:val="99"/>
    <w:semiHidden/>
    <w:qFormat/>
    <w:rPr>
      <w:rFonts w:ascii="宋体" w:hAnsi="宋体"/>
      <w:kern w:val="2"/>
      <w:sz w:val="18"/>
      <w:szCs w:val="18"/>
    </w:rPr>
  </w:style>
  <w:style w:type="character" w:customStyle="1" w:styleId="Char2f4">
    <w:name w:val="批注主题 Char2"/>
    <w:uiPriority w:val="99"/>
    <w:semiHidden/>
    <w:qFormat/>
    <w:rPr>
      <w:rFonts w:ascii="宋体" w:hAnsi="宋体"/>
      <w:b/>
      <w:bCs/>
      <w:kern w:val="2"/>
      <w:sz w:val="24"/>
    </w:rPr>
  </w:style>
  <w:style w:type="character" w:customStyle="1" w:styleId="Char2f5">
    <w:name w:val="结束语 Char2"/>
    <w:uiPriority w:val="99"/>
    <w:semiHidden/>
    <w:qFormat/>
    <w:rPr>
      <w:rFonts w:ascii="宋体" w:hAnsi="宋体"/>
      <w:kern w:val="2"/>
      <w:sz w:val="24"/>
    </w:rPr>
  </w:style>
  <w:style w:type="character" w:customStyle="1" w:styleId="Char2f6">
    <w:name w:val="称呼 Char2"/>
    <w:uiPriority w:val="99"/>
    <w:semiHidden/>
    <w:qFormat/>
    <w:rPr>
      <w:rFonts w:ascii="宋体" w:hAnsi="宋体"/>
      <w:kern w:val="2"/>
      <w:sz w:val="24"/>
    </w:rPr>
  </w:style>
  <w:style w:type="character" w:customStyle="1" w:styleId="3Char20">
    <w:name w:val="正文文本 3 Char2"/>
    <w:uiPriority w:val="99"/>
    <w:semiHidden/>
    <w:qFormat/>
    <w:rPr>
      <w:rFonts w:ascii="宋体" w:hAnsi="宋体"/>
      <w:kern w:val="2"/>
      <w:sz w:val="16"/>
      <w:szCs w:val="16"/>
    </w:rPr>
  </w:style>
  <w:style w:type="character" w:customStyle="1" w:styleId="Char2f7">
    <w:name w:val="尾注文本 Char2"/>
    <w:uiPriority w:val="99"/>
    <w:semiHidden/>
    <w:qFormat/>
    <w:rPr>
      <w:rFonts w:ascii="宋体" w:hAnsi="宋体"/>
      <w:kern w:val="2"/>
      <w:sz w:val="24"/>
    </w:rPr>
  </w:style>
  <w:style w:type="character" w:customStyle="1" w:styleId="HTMLChar1">
    <w:name w:val="HTML 地址 Char1"/>
    <w:uiPriority w:val="99"/>
    <w:semiHidden/>
    <w:qFormat/>
    <w:rPr>
      <w:rFonts w:ascii="宋体" w:hAnsi="宋体"/>
      <w:i/>
      <w:iCs/>
      <w:kern w:val="2"/>
      <w:sz w:val="24"/>
    </w:rPr>
  </w:style>
  <w:style w:type="character" w:customStyle="1" w:styleId="HTMLChar10">
    <w:name w:val="HTML 预设格式 Char1"/>
    <w:uiPriority w:val="99"/>
    <w:semiHidden/>
    <w:qFormat/>
    <w:rPr>
      <w:rFonts w:ascii="Courier New" w:hAnsi="Courier New" w:cs="Courier New"/>
      <w:kern w:val="2"/>
    </w:rPr>
  </w:style>
  <w:style w:type="character" w:customStyle="1" w:styleId="Char2f8">
    <w:name w:val="副标题 Char2"/>
    <w:uiPriority w:val="11"/>
    <w:qFormat/>
    <w:rPr>
      <w:rFonts w:ascii="Cambria" w:hAnsi="Cambria" w:cs="Times New Roman"/>
      <w:b/>
      <w:bCs/>
      <w:kern w:val="28"/>
      <w:sz w:val="32"/>
      <w:szCs w:val="32"/>
    </w:rPr>
  </w:style>
  <w:style w:type="character" w:customStyle="1" w:styleId="Char2f9">
    <w:name w:val="脚注文本 Char2"/>
    <w:uiPriority w:val="99"/>
    <w:semiHidden/>
    <w:qFormat/>
    <w:rPr>
      <w:rFonts w:ascii="宋体" w:hAnsi="宋体"/>
      <w:kern w:val="2"/>
      <w:sz w:val="18"/>
      <w:szCs w:val="18"/>
    </w:rPr>
  </w:style>
  <w:style w:type="character" w:customStyle="1" w:styleId="3Char21">
    <w:name w:val="正文文本缩进 3 Char2"/>
    <w:uiPriority w:val="99"/>
    <w:semiHidden/>
    <w:qFormat/>
    <w:rPr>
      <w:rFonts w:ascii="宋体" w:hAnsi="宋体"/>
      <w:kern w:val="2"/>
      <w:sz w:val="16"/>
      <w:szCs w:val="16"/>
    </w:rPr>
  </w:style>
  <w:style w:type="character" w:customStyle="1" w:styleId="2Char22">
    <w:name w:val="正文文本 2 Char2"/>
    <w:uiPriority w:val="99"/>
    <w:semiHidden/>
    <w:qFormat/>
    <w:rPr>
      <w:rFonts w:ascii="宋体" w:hAnsi="宋体"/>
      <w:kern w:val="2"/>
      <w:sz w:val="24"/>
    </w:rPr>
  </w:style>
  <w:style w:type="character" w:customStyle="1" w:styleId="Char2fa">
    <w:name w:val="信息标题 Char2"/>
    <w:uiPriority w:val="99"/>
    <w:semiHidden/>
    <w:qFormat/>
    <w:rPr>
      <w:rFonts w:ascii="Cambria" w:eastAsia="宋体" w:hAnsi="Cambria" w:cs="Times New Roman"/>
      <w:kern w:val="2"/>
      <w:sz w:val="24"/>
      <w:szCs w:val="24"/>
      <w:shd w:val="pct20" w:color="auto" w:fill="auto"/>
    </w:rPr>
  </w:style>
  <w:style w:type="character" w:customStyle="1" w:styleId="Char3c">
    <w:name w:val="标题 Char3"/>
    <w:uiPriority w:val="10"/>
    <w:qFormat/>
    <w:rPr>
      <w:rFonts w:ascii="Cambria" w:hAnsi="Cambria" w:cs="Times New Roman"/>
      <w:b/>
      <w:bCs/>
      <w:kern w:val="2"/>
      <w:sz w:val="32"/>
      <w:szCs w:val="32"/>
    </w:rPr>
  </w:style>
  <w:style w:type="character" w:customStyle="1" w:styleId="Char2fb">
    <w:name w:val="明显引用 Char2"/>
    <w:uiPriority w:val="30"/>
    <w:qFormat/>
    <w:rPr>
      <w:rFonts w:ascii="宋体" w:hAnsi="宋体"/>
      <w:b/>
      <w:bCs/>
      <w:i/>
      <w:iCs/>
      <w:color w:val="4F81BD"/>
      <w:kern w:val="2"/>
      <w:sz w:val="24"/>
    </w:rPr>
  </w:style>
  <w:style w:type="character" w:customStyle="1" w:styleId="Char2fc">
    <w:name w:val="引用 Char2"/>
    <w:uiPriority w:val="29"/>
    <w:qFormat/>
    <w:rPr>
      <w:rFonts w:ascii="宋体" w:hAnsi="宋体"/>
      <w:i/>
      <w:iCs/>
      <w:color w:val="000000"/>
      <w:kern w:val="2"/>
      <w:sz w:val="24"/>
    </w:rPr>
  </w:style>
  <w:style w:type="character" w:customStyle="1" w:styleId="z-Char10">
    <w:name w:val="z-窗体顶端 Char1"/>
    <w:uiPriority w:val="99"/>
    <w:semiHidden/>
    <w:qFormat/>
    <w:rPr>
      <w:rFonts w:ascii="Arial" w:hAnsi="Arial" w:cs="Arial"/>
      <w:vanish/>
      <w:kern w:val="2"/>
      <w:sz w:val="16"/>
      <w:szCs w:val="16"/>
    </w:rPr>
  </w:style>
  <w:style w:type="character" w:customStyle="1" w:styleId="z-Char2">
    <w:name w:val="z-窗体底端 Char2"/>
    <w:uiPriority w:val="99"/>
    <w:semiHidden/>
    <w:qFormat/>
    <w:rPr>
      <w:rFonts w:ascii="Arial" w:hAnsi="Arial" w:cs="Arial"/>
      <w:vanish/>
      <w:kern w:val="2"/>
      <w:sz w:val="16"/>
      <w:szCs w:val="16"/>
    </w:rPr>
  </w:style>
  <w:style w:type="character" w:customStyle="1" w:styleId="CharCharCharCharCharCharCharCharCharCharCharCharCharChar1">
    <w:name w:val="普通文字 Char Char Char Char Char Char Char Char Char Char Char Char Char Char1"/>
    <w:qFormat/>
    <w:rPr>
      <w:rFonts w:ascii="宋体" w:eastAsia="宋体" w:hAnsi="Courier New" w:hint="eastAsia"/>
      <w:snapToGrid w:val="0"/>
      <w:spacing w:val="10"/>
      <w:kern w:val="2"/>
      <w:sz w:val="21"/>
      <w:lang w:val="en-US" w:eastAsia="zh-CN"/>
    </w:rPr>
  </w:style>
  <w:style w:type="character" w:customStyle="1" w:styleId="CharCharChar30">
    <w:name w:val="Char Char Char3"/>
    <w:qFormat/>
    <w:rPr>
      <w:rFonts w:ascii="宋体" w:eastAsia="宋体" w:hAnsi="宋体" w:hint="eastAsia"/>
      <w:b/>
      <w:sz w:val="32"/>
      <w:lang w:val="en-US" w:eastAsia="zh-CN"/>
    </w:rPr>
  </w:style>
  <w:style w:type="character" w:customStyle="1" w:styleId="CharCharCharCharCharCharChar11">
    <w:name w:val="Char Char Char Char Char Char Char11"/>
    <w:qFormat/>
    <w:rPr>
      <w:rFonts w:ascii="黑体" w:eastAsia="黑体" w:hAnsi="Arial" w:hint="eastAsia"/>
      <w:sz w:val="30"/>
      <w:lang w:val="en-US" w:eastAsia="zh-CN" w:bidi="ar-SA"/>
    </w:rPr>
  </w:style>
  <w:style w:type="paragraph" w:customStyle="1" w:styleId="Char70">
    <w:name w:val="Char7"/>
    <w:basedOn w:val="a"/>
    <w:qFormat/>
    <w:rPr>
      <w:rFonts w:ascii="Times New Roman" w:hAnsi="Times New Roman"/>
      <w:sz w:val="21"/>
      <w:szCs w:val="24"/>
    </w:rPr>
  </w:style>
  <w:style w:type="character" w:customStyle="1" w:styleId="Charff4">
    <w:name w:val="正文段落 Char"/>
    <w:link w:val="affffffffa"/>
    <w:qFormat/>
    <w:rPr>
      <w:rFonts w:ascii="宋体" w:eastAsia="汉鼎简书宋" w:hAnsi="宋体"/>
      <w:sz w:val="24"/>
    </w:rPr>
  </w:style>
  <w:style w:type="paragraph" w:customStyle="1" w:styleId="417">
    <w:name w:val="标题 41"/>
    <w:basedOn w:val="a"/>
    <w:uiPriority w:val="1"/>
    <w:qFormat/>
    <w:pPr>
      <w:autoSpaceDE w:val="0"/>
      <w:autoSpaceDN w:val="0"/>
      <w:spacing w:before="1"/>
      <w:ind w:left="1258"/>
      <w:jc w:val="left"/>
      <w:outlineLvl w:val="4"/>
    </w:pPr>
    <w:rPr>
      <w:rFonts w:cs="宋体"/>
      <w:b/>
      <w:bCs/>
      <w:kern w:val="0"/>
      <w:szCs w:val="24"/>
      <w:lang w:val="zh-CN" w:bidi="zh-CN"/>
    </w:rPr>
  </w:style>
  <w:style w:type="paragraph" w:customStyle="1" w:styleId="TableParagraph">
    <w:name w:val="Table Paragraph"/>
    <w:basedOn w:val="a"/>
    <w:uiPriority w:val="1"/>
    <w:qFormat/>
    <w:pPr>
      <w:jc w:val="center"/>
    </w:pPr>
  </w:style>
  <w:style w:type="table" w:customStyle="1" w:styleId="TableNormal">
    <w:name w:val="Table Normal"/>
    <w:uiPriority w:val="2"/>
    <w:semiHidden/>
    <w:unhideWhenUsed/>
    <w:qFormat/>
    <w:pPr>
      <w:widowControl w:val="0"/>
      <w:autoSpaceDE w:val="0"/>
      <w:autoSpaceDN w:val="0"/>
    </w:pPr>
    <w:rPr>
      <w:rFonts w:ascii="Calibri" w:hAnsi="Calibri"/>
      <w:sz w:val="22"/>
      <w:lang w:eastAsia="en-US"/>
    </w:rPr>
    <w:tblPr>
      <w:tblCellMar>
        <w:top w:w="0" w:type="dxa"/>
        <w:left w:w="0" w:type="dxa"/>
        <w:bottom w:w="0" w:type="dxa"/>
        <w:right w:w="0" w:type="dxa"/>
      </w:tblCellMar>
    </w:tblPr>
  </w:style>
  <w:style w:type="paragraph" w:customStyle="1" w:styleId="426">
    <w:name w:val="标题 42"/>
    <w:basedOn w:val="a"/>
    <w:uiPriority w:val="1"/>
    <w:qFormat/>
    <w:pPr>
      <w:spacing w:before="1"/>
      <w:ind w:left="1258"/>
      <w:outlineLvl w:val="4"/>
    </w:pPr>
    <w:rPr>
      <w:b/>
      <w:bCs/>
      <w:szCs w:val="24"/>
    </w:rPr>
  </w:style>
  <w:style w:type="character" w:customStyle="1" w:styleId="Charfffffd">
    <w:name w:val="纯文本 Char"/>
    <w:qFormat/>
    <w:rPr>
      <w:rFonts w:ascii="宋体" w:eastAsia="宋体" w:hAnsi="Courier New"/>
      <w:kern w:val="2"/>
      <w:sz w:val="21"/>
      <w:lang w:val="en-US" w:eastAsia="zh-CN" w:bidi="ar-SA"/>
    </w:rPr>
  </w:style>
  <w:style w:type="table" w:customStyle="1" w:styleId="190">
    <w:name w:val="网格型19"/>
    <w:basedOn w:val="a1"/>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f4">
    <w:name w:val="表格主题5"/>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彩色型 13"/>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31">
    <w:name w:val="彩色型 23"/>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30">
    <w:name w:val="彩色型 33"/>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3ff4">
    <w:name w:val="典雅型3"/>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35">
    <w:name w:val="古典型 13"/>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32">
    <w:name w:val="古典型 23"/>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31">
    <w:name w:val="古典型 33"/>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30">
    <w:name w:val="古典型 43"/>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2f0">
    <w:name w:val="简明型 12"/>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33">
    <w:name w:val="简明型 23"/>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32">
    <w:name w:val="简明型 33"/>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36">
    <w:name w:val="精巧型 13"/>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34">
    <w:name w:val="精巧型 23"/>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37">
    <w:name w:val="立体型 13"/>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35">
    <w:name w:val="立体型 23"/>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33">
    <w:name w:val="立体型 33"/>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38">
    <w:name w:val="列表型 13"/>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36">
    <w:name w:val="列表型 23"/>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34">
    <w:name w:val="列表型 33"/>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31">
    <w:name w:val="列表型 43"/>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30">
    <w:name w:val="列表型 53"/>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30">
    <w:name w:val="列表型 63"/>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30">
    <w:name w:val="列表型 73"/>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30">
    <w:name w:val="列表型 83"/>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3ff5">
    <w:name w:val="流行型3"/>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39">
    <w:name w:val="竖列型 13"/>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37">
    <w:name w:val="竖列型 23"/>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35">
    <w:name w:val="竖列型 33"/>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32">
    <w:name w:val="竖列型 43"/>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31">
    <w:name w:val="竖列型 53"/>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2f1">
    <w:name w:val="网格型 12"/>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238">
    <w:name w:val="网格型 23"/>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36">
    <w:name w:val="网格型 33"/>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33">
    <w:name w:val="网格型 43"/>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32">
    <w:name w:val="网格型 53"/>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31">
    <w:name w:val="网格型 63"/>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31">
    <w:name w:val="网格型 73"/>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31">
    <w:name w:val="网格型 83"/>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3a">
    <w:name w:val="网页型 13"/>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39">
    <w:name w:val="网页型 23"/>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37">
    <w:name w:val="网页型 33"/>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ff6">
    <w:name w:val="专业型3"/>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00">
    <w:name w:val="网格型110"/>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a">
    <w:name w:val="网格型23"/>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f7">
    <w:name w:val="环评表格3"/>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120">
    <w:name w:val="网格型11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2">
    <w:name w:val="表格主题12"/>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f">
    <w:name w:val="网格型32"/>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f3">
    <w:name w:val="表格主题2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3">
    <w:name w:val="灰度表格12"/>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7">
    <w:name w:val="网格型42"/>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4">
    <w:name w:val="网格型52"/>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网格型122"/>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0">
    <w:name w:val="网格型132"/>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网格型62"/>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
    <w:name w:val="网格型72"/>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
    <w:name w:val="网格型8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网格型92"/>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网格型10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0">
    <w:name w:val="网格型14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
    <w:name w:val="网格型15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网格型16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f0">
    <w:name w:val="表格主题32"/>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彩色型 112"/>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20">
    <w:name w:val="彩色型 212"/>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22">
    <w:name w:val="彩色型 312"/>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2f4">
    <w:name w:val="典雅型12"/>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22">
    <w:name w:val="古典型 112"/>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21">
    <w:name w:val="古典型 212"/>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23">
    <w:name w:val="古典型 312"/>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20">
    <w:name w:val="古典型 412"/>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22">
    <w:name w:val="简明型 212"/>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24">
    <w:name w:val="简明型 312"/>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23">
    <w:name w:val="精巧型 112"/>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3">
    <w:name w:val="精巧型 212"/>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24">
    <w:name w:val="立体型 112"/>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24">
    <w:name w:val="立体型 212"/>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25">
    <w:name w:val="立体型 312"/>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25">
    <w:name w:val="列表型 112"/>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25">
    <w:name w:val="列表型 212"/>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26">
    <w:name w:val="列表型 312"/>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21">
    <w:name w:val="列表型 412"/>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20">
    <w:name w:val="列表型 512"/>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20">
    <w:name w:val="列表型 612"/>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20">
    <w:name w:val="列表型 712"/>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20">
    <w:name w:val="列表型 812"/>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2f5">
    <w:name w:val="流行型12"/>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26">
    <w:name w:val="竖列型 112"/>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6">
    <w:name w:val="竖列型 212"/>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27">
    <w:name w:val="竖列型 312"/>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22">
    <w:name w:val="竖列型 412"/>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1">
    <w:name w:val="竖列型 512"/>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27">
    <w:name w:val="网格型 212"/>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28">
    <w:name w:val="网格型 312"/>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23">
    <w:name w:val="网格型 412"/>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22">
    <w:name w:val="网格型 512"/>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21">
    <w:name w:val="网格型 612"/>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21">
    <w:name w:val="网格型 712"/>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21">
    <w:name w:val="网格型 812"/>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27">
    <w:name w:val="网页型 112"/>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28">
    <w:name w:val="网页型 212"/>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29">
    <w:name w:val="网页型 312"/>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2f6">
    <w:name w:val="专业型12"/>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2f7">
    <w:name w:val="环评表格12"/>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20">
    <w:name w:val="网格型172"/>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9">
    <w:name w:val="网格型212"/>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xg11">
    <w:name w:val="网格型（pxg）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8">
    <w:name w:val="表格主题41"/>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b">
    <w:name w:val="网格型 111"/>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1810">
    <w:name w:val="网格型18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网格型221"/>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c">
    <w:name w:val="简明型 111"/>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f3">
    <w:name w:val="环评表格21"/>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211">
    <w:name w:val="精巧型 121"/>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212">
    <w:name w:val="古典型 121"/>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11110">
    <w:name w:val="网格型11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3">
    <w:name w:val="立体型 121"/>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111d">
    <w:name w:val="表格主题111"/>
    <w:basedOn w:val="a1"/>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4">
    <w:name w:val="彩色型 121"/>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212">
    <w:name w:val="彩色型 221"/>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213">
    <w:name w:val="彩色型 321"/>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21f4">
    <w:name w:val="典雅型21"/>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213">
    <w:name w:val="古典型 221"/>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214">
    <w:name w:val="古典型 321"/>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210">
    <w:name w:val="古典型 421"/>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214">
    <w:name w:val="简明型 221"/>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215">
    <w:name w:val="简明型 32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2215">
    <w:name w:val="精巧型 221"/>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16">
    <w:name w:val="立体型 221"/>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216">
    <w:name w:val="立体型 321"/>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215">
    <w:name w:val="列表型 121"/>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217">
    <w:name w:val="列表型 221"/>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217">
    <w:name w:val="列表型 321"/>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211">
    <w:name w:val="列表型 42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210">
    <w:name w:val="列表型 521"/>
    <w:basedOn w:val="a1"/>
    <w:semiHidden/>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210">
    <w:name w:val="列表型 62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210">
    <w:name w:val="列表型 721"/>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210">
    <w:name w:val="列表型 82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21f5">
    <w:name w:val="流行型21"/>
    <w:basedOn w:val="a1"/>
    <w:semiHidden/>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16">
    <w:name w:val="竖列型 12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18">
    <w:name w:val="竖列型 221"/>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218">
    <w:name w:val="竖列型 321"/>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212">
    <w:name w:val="竖列型 421"/>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11">
    <w:name w:val="竖列型 521"/>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219">
    <w:name w:val="网格型 221"/>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219">
    <w:name w:val="网格型 321"/>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213">
    <w:name w:val="网格型 421"/>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212">
    <w:name w:val="网格型 521"/>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211">
    <w:name w:val="网格型 62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211">
    <w:name w:val="网格型 72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211">
    <w:name w:val="网格型 821"/>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17">
    <w:name w:val="网页型 121"/>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21a">
    <w:name w:val="网页型 221"/>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21a">
    <w:name w:val="网页型 321"/>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f6">
    <w:name w:val="专业型21"/>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3119">
    <w:name w:val="网格型31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b">
    <w:name w:val="表格主题2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e">
    <w:name w:val="灰度表格111"/>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4">
    <w:name w:val="网格型41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3">
    <w:name w:val="网格型511"/>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0">
    <w:name w:val="网格型121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网格型131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
    <w:name w:val="网格型61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
    <w:name w:val="网格型71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网格型8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网格型911"/>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网格型10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
    <w:name w:val="网格型14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
    <w:name w:val="网格型15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网格型16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a">
    <w:name w:val="表格主题311"/>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
    <w:name w:val="彩色型 1111"/>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10">
    <w:name w:val="彩色型 2111"/>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10">
    <w:name w:val="彩色型 3111"/>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11f">
    <w:name w:val="典雅型111"/>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113">
    <w:name w:val="古典型 111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11">
    <w:name w:val="古典型 211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11">
    <w:name w:val="古典型 3111"/>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10">
    <w:name w:val="古典型 4111"/>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112">
    <w:name w:val="简明型 2111"/>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12">
    <w:name w:val="简明型 311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14">
    <w:name w:val="精巧型 1111"/>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3">
    <w:name w:val="精巧型 2111"/>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15">
    <w:name w:val="立体型 1111"/>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14">
    <w:name w:val="立体型 2111"/>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13">
    <w:name w:val="立体型 3111"/>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16">
    <w:name w:val="列表型 1111"/>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15">
    <w:name w:val="列表型 2111"/>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14">
    <w:name w:val="列表型 3111"/>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11">
    <w:name w:val="列表型 411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110">
    <w:name w:val="列表型 51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10">
    <w:name w:val="列表型 61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110">
    <w:name w:val="列表型 7111"/>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10">
    <w:name w:val="列表型 81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11f0">
    <w:name w:val="流行型111"/>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17">
    <w:name w:val="竖列型 1111"/>
    <w:basedOn w:val="a1"/>
    <w:semiHidden/>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6">
    <w:name w:val="竖列型 2111"/>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15">
    <w:name w:val="竖列型 3111"/>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12">
    <w:name w:val="竖列型 4111"/>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11">
    <w:name w:val="竖列型 5111"/>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117">
    <w:name w:val="网格型 2111"/>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16">
    <w:name w:val="网格型 3111"/>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113">
    <w:name w:val="网格型 4111"/>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12">
    <w:name w:val="网格型 5111"/>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11">
    <w:name w:val="网格型 611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11">
    <w:name w:val="网格型 711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11">
    <w:name w:val="网格型 8111"/>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18">
    <w:name w:val="网页型 1111"/>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18">
    <w:name w:val="网页型 2111"/>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17">
    <w:name w:val="网页型 3111"/>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1f1">
    <w:name w:val="专业型1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1f2">
    <w:name w:val="环评表格111"/>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11">
    <w:name w:val="网格型1711"/>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9">
    <w:name w:val="网格型2111"/>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pPr>
      <w:widowControl w:val="0"/>
      <w:autoSpaceDE w:val="0"/>
      <w:autoSpaceDN w:val="0"/>
    </w:pPr>
    <w:rPr>
      <w:rFonts w:ascii="Calibri" w:hAnsi="Calibri"/>
      <w:sz w:val="22"/>
      <w:lang w:eastAsia="en-US"/>
    </w:rPr>
    <w:tblPr>
      <w:tblCellMar>
        <w:top w:w="0" w:type="dxa"/>
        <w:left w:w="0" w:type="dxa"/>
        <w:bottom w:w="0" w:type="dxa"/>
        <w:right w:w="0" w:type="dxa"/>
      </w:tblCellMar>
    </w:tblPr>
  </w:style>
  <w:style w:type="character" w:customStyle="1" w:styleId="hb3Char2">
    <w:name w:val="hb3 Char2"/>
    <w:link w:val="hb30"/>
    <w:qFormat/>
    <w:rPr>
      <w:rFonts w:ascii="宋体" w:hAnsi="宋体"/>
      <w:b/>
      <w:bCs/>
      <w:sz w:val="24"/>
      <w:szCs w:val="32"/>
    </w:rPr>
  </w:style>
  <w:style w:type="table" w:customStyle="1" w:styleId="202">
    <w:name w:val="网格型20"/>
    <w:basedOn w:val="a1"/>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表格主题6"/>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
    <w:name w:val="彩色型 14"/>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40">
    <w:name w:val="彩色型 24"/>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40">
    <w:name w:val="彩色型 34"/>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4f4">
    <w:name w:val="典雅型4"/>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44">
    <w:name w:val="古典型 14"/>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41">
    <w:name w:val="古典型 24"/>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41">
    <w:name w:val="古典型 34"/>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42">
    <w:name w:val="古典型 44"/>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3b">
    <w:name w:val="简明型 13"/>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42">
    <w:name w:val="简明型 24"/>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42">
    <w:name w:val="简明型 34"/>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45">
    <w:name w:val="精巧型 14"/>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43">
    <w:name w:val="精巧型 24"/>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46">
    <w:name w:val="立体型 14"/>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44">
    <w:name w:val="立体型 24"/>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43">
    <w:name w:val="立体型 34"/>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47">
    <w:name w:val="列表型 14"/>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45">
    <w:name w:val="列表型 24"/>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44">
    <w:name w:val="列表型 34"/>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43">
    <w:name w:val="列表型 44"/>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40">
    <w:name w:val="列表型 54"/>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40">
    <w:name w:val="列表型 64"/>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40">
    <w:name w:val="列表型 74"/>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40">
    <w:name w:val="列表型 84"/>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4f5">
    <w:name w:val="流行型4"/>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48">
    <w:name w:val="竖列型 14"/>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46">
    <w:name w:val="竖列型 24"/>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45">
    <w:name w:val="竖列型 34"/>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44">
    <w:name w:val="竖列型 44"/>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41">
    <w:name w:val="竖列型 54"/>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3c">
    <w:name w:val="网格型 13"/>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247">
    <w:name w:val="网格型 24"/>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46">
    <w:name w:val="网格型 34"/>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45">
    <w:name w:val="网格型 44"/>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42">
    <w:name w:val="网格型 54"/>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41">
    <w:name w:val="网格型 64"/>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41">
    <w:name w:val="网格型 74"/>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41">
    <w:name w:val="网格型 84"/>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49">
    <w:name w:val="网页型 14"/>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48">
    <w:name w:val="网页型 24"/>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47">
    <w:name w:val="网页型 34"/>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4f6">
    <w:name w:val="专业型4"/>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30">
    <w:name w:val="网格型11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9">
    <w:name w:val="网格型24"/>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7">
    <w:name w:val="环评表格4"/>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140">
    <w:name w:val="网格型11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d">
    <w:name w:val="表格主题13"/>
    <w:basedOn w:val="a1"/>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8">
    <w:name w:val="网格型3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b">
    <w:name w:val="表格主题2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e">
    <w:name w:val="灰度表格13"/>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4">
    <w:name w:val="网格型4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3">
    <w:name w:val="网格型53"/>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0">
    <w:name w:val="网格型12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0">
    <w:name w:val="网格型13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网格型63"/>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
    <w:name w:val="网格型73"/>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2">
    <w:name w:val="网格型8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0">
    <w:name w:val="网格型93"/>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
    <w:name w:val="网格型10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0">
    <w:name w:val="网格型14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0">
    <w:name w:val="网格型15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
    <w:name w:val="网格型16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9">
    <w:name w:val="表格主题33"/>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彩色型 113"/>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30">
    <w:name w:val="彩色型 213"/>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30">
    <w:name w:val="彩色型 313"/>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3f">
    <w:name w:val="典雅型13"/>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32">
    <w:name w:val="古典型 113"/>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31">
    <w:name w:val="古典型 213"/>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31">
    <w:name w:val="古典型 313"/>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30">
    <w:name w:val="古典型 413"/>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32">
    <w:name w:val="简明型 213"/>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32">
    <w:name w:val="简明型 313"/>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33">
    <w:name w:val="精巧型 113"/>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3">
    <w:name w:val="精巧型 213"/>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34">
    <w:name w:val="立体型 113"/>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34">
    <w:name w:val="立体型 213"/>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33">
    <w:name w:val="立体型 313"/>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35">
    <w:name w:val="列表型 113"/>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35">
    <w:name w:val="列表型 213"/>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34">
    <w:name w:val="列表型 313"/>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31">
    <w:name w:val="列表型 413"/>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30">
    <w:name w:val="列表型 513"/>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3">
    <w:name w:val="列表型 613"/>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3">
    <w:name w:val="列表型 713"/>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3">
    <w:name w:val="列表型 813"/>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3f0">
    <w:name w:val="流行型13"/>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36">
    <w:name w:val="竖列型 113"/>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6">
    <w:name w:val="竖列型 213"/>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35">
    <w:name w:val="竖列型 313"/>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32">
    <w:name w:val="竖列型 413"/>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31">
    <w:name w:val="竖列型 513"/>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37">
    <w:name w:val="网格型 213"/>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36">
    <w:name w:val="网格型 313"/>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33">
    <w:name w:val="网格型 413"/>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32">
    <w:name w:val="网格型 513"/>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30">
    <w:name w:val="网格型 613"/>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30">
    <w:name w:val="网格型 713"/>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30">
    <w:name w:val="网格型 813"/>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37">
    <w:name w:val="网页型 113"/>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38">
    <w:name w:val="网页型 213"/>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37">
    <w:name w:val="网页型 313"/>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3f1">
    <w:name w:val="专业型13"/>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3f2">
    <w:name w:val="环评表格13"/>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3">
    <w:name w:val="网格型173"/>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9">
    <w:name w:val="网格型213"/>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xg12">
    <w:name w:val="网格型（pxg）1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8">
    <w:name w:val="表格主题42"/>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9">
    <w:name w:val="网格型 112"/>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182">
    <w:name w:val="网格型182"/>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网格型222"/>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a">
    <w:name w:val="简明型 112"/>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2f4">
    <w:name w:val="环评表格22"/>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221">
    <w:name w:val="精巧型 122"/>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222">
    <w:name w:val="古典型 122"/>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11120">
    <w:name w:val="网格型111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3">
    <w:name w:val="立体型 122"/>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112b">
    <w:name w:val="表格主题112"/>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4">
    <w:name w:val="彩色型 122"/>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223">
    <w:name w:val="彩色型 222"/>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220">
    <w:name w:val="彩色型 322"/>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22f5">
    <w:name w:val="典雅型22"/>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224">
    <w:name w:val="古典型 222"/>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221">
    <w:name w:val="古典型 322"/>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220">
    <w:name w:val="古典型 422"/>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225">
    <w:name w:val="简明型 222"/>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222">
    <w:name w:val="简明型 322"/>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2226">
    <w:name w:val="精巧型 222"/>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27">
    <w:name w:val="立体型 222"/>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223">
    <w:name w:val="立体型 322"/>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225">
    <w:name w:val="列表型 122"/>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228">
    <w:name w:val="列表型 222"/>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224">
    <w:name w:val="列表型 322"/>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221">
    <w:name w:val="列表型 422"/>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220">
    <w:name w:val="列表型 522"/>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220">
    <w:name w:val="列表型 622"/>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220">
    <w:name w:val="列表型 722"/>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220">
    <w:name w:val="列表型 822"/>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22f6">
    <w:name w:val="流行型22"/>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26">
    <w:name w:val="竖列型 122"/>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29">
    <w:name w:val="竖列型 222"/>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225">
    <w:name w:val="竖列型 322"/>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222">
    <w:name w:val="竖列型 422"/>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21">
    <w:name w:val="竖列型 522"/>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22a">
    <w:name w:val="网格型 222"/>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226">
    <w:name w:val="网格型 322"/>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223">
    <w:name w:val="网格型 422"/>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222">
    <w:name w:val="网格型 522"/>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221">
    <w:name w:val="网格型 622"/>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221">
    <w:name w:val="网格型 722"/>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221">
    <w:name w:val="网格型 822"/>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27">
    <w:name w:val="网页型 122"/>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22b">
    <w:name w:val="网页型 222"/>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227">
    <w:name w:val="网页型 322"/>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2f7">
    <w:name w:val="专业型22"/>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312a">
    <w:name w:val="网格型312"/>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a">
    <w:name w:val="表格主题21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c">
    <w:name w:val="灰度表格112"/>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4">
    <w:name w:val="网格型412"/>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3">
    <w:name w:val="网格型512"/>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0">
    <w:name w:val="网格型1212"/>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2">
    <w:name w:val="网格型1312"/>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2">
    <w:name w:val="网格型612"/>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2">
    <w:name w:val="网格型712"/>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2">
    <w:name w:val="网格型81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2">
    <w:name w:val="网格型912"/>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
    <w:name w:val="网格型101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2">
    <w:name w:val="网格型141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
    <w:name w:val="网格型151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
    <w:name w:val="网格型1612"/>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b">
    <w:name w:val="表格主题312"/>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
    <w:name w:val="彩色型 1112"/>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20">
    <w:name w:val="彩色型 2112"/>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20">
    <w:name w:val="彩色型 3112"/>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12d">
    <w:name w:val="典雅型112"/>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122">
    <w:name w:val="古典型 1112"/>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21">
    <w:name w:val="古典型 2112"/>
    <w:basedOn w:val="a1"/>
    <w:semiHidden/>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21">
    <w:name w:val="古典型 3112"/>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20">
    <w:name w:val="古典型 4112"/>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122">
    <w:name w:val="简明型 2112"/>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22">
    <w:name w:val="简明型 3112"/>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23">
    <w:name w:val="精巧型 1112"/>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23">
    <w:name w:val="精巧型 2112"/>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24">
    <w:name w:val="立体型 1112"/>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24">
    <w:name w:val="立体型 2112"/>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23">
    <w:name w:val="立体型 3112"/>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25">
    <w:name w:val="列表型 1112"/>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25">
    <w:name w:val="列表型 2112"/>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24">
    <w:name w:val="列表型 3112"/>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21">
    <w:name w:val="列表型 4112"/>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120">
    <w:name w:val="列表型 5112"/>
    <w:basedOn w:val="a1"/>
    <w:semiHidden/>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20">
    <w:name w:val="列表型 6112"/>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120">
    <w:name w:val="列表型 7112"/>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20">
    <w:name w:val="列表型 8112"/>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12e">
    <w:name w:val="流行型112"/>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26">
    <w:name w:val="竖列型 1112"/>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26">
    <w:name w:val="竖列型 2112"/>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25">
    <w:name w:val="竖列型 3112"/>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22">
    <w:name w:val="竖列型 4112"/>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21">
    <w:name w:val="竖列型 5112"/>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127">
    <w:name w:val="网格型 2112"/>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26">
    <w:name w:val="网格型 3112"/>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123">
    <w:name w:val="网格型 4112"/>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22">
    <w:name w:val="网格型 5112"/>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21">
    <w:name w:val="网格型 6112"/>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21">
    <w:name w:val="网格型 7112"/>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21">
    <w:name w:val="网格型 8112"/>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27">
    <w:name w:val="网页型 1112"/>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28">
    <w:name w:val="网页型 2112"/>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27">
    <w:name w:val="网页型 3112"/>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2f">
    <w:name w:val="专业型112"/>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2f0">
    <w:name w:val="环评表格112"/>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12">
    <w:name w:val="网格型1712"/>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9">
    <w:name w:val="网格型2112"/>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pPr>
      <w:widowControl w:val="0"/>
      <w:autoSpaceDE w:val="0"/>
      <w:autoSpaceDN w:val="0"/>
    </w:pPr>
    <w:rPr>
      <w:rFonts w:ascii="Calibri" w:hAnsi="Calibri"/>
      <w:sz w:val="22"/>
      <w:lang w:eastAsia="en-US"/>
    </w:rPr>
    <w:tblPr>
      <w:tblCellMar>
        <w:top w:w="0" w:type="dxa"/>
        <w:left w:w="0" w:type="dxa"/>
        <w:bottom w:w="0" w:type="dxa"/>
        <w:right w:w="0" w:type="dxa"/>
      </w:tblCellMar>
    </w:tblPr>
  </w:style>
  <w:style w:type="table" w:customStyle="1" w:styleId="254">
    <w:name w:val="网格型25"/>
    <w:basedOn w:val="a1"/>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7">
    <w:name w:val="表格主题7"/>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9">
    <w:name w:val="彩色型 15"/>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55">
    <w:name w:val="彩色型 25"/>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51">
    <w:name w:val="彩色型 35"/>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f5">
    <w:name w:val="典雅型5"/>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5a">
    <w:name w:val="古典型 15"/>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56">
    <w:name w:val="古典型 25"/>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52">
    <w:name w:val="古典型 35"/>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50">
    <w:name w:val="古典型 45"/>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4a">
    <w:name w:val="简明型 14"/>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57">
    <w:name w:val="简明型 25"/>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53">
    <w:name w:val="简明型 35"/>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5b">
    <w:name w:val="精巧型 15"/>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58">
    <w:name w:val="精巧型 25"/>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5c">
    <w:name w:val="立体型 15"/>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59">
    <w:name w:val="立体型 25"/>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54">
    <w:name w:val="立体型 35"/>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5d">
    <w:name w:val="列表型 15"/>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5a">
    <w:name w:val="列表型 25"/>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55">
    <w:name w:val="列表型 35"/>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51">
    <w:name w:val="列表型 45"/>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51">
    <w:name w:val="列表型 55"/>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50">
    <w:name w:val="列表型 65"/>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50">
    <w:name w:val="列表型 75"/>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50">
    <w:name w:val="列表型 85"/>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5f6">
    <w:name w:val="流行型5"/>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5e">
    <w:name w:val="竖列型 15"/>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5b">
    <w:name w:val="竖列型 25"/>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56">
    <w:name w:val="竖列型 35"/>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52">
    <w:name w:val="竖列型 45"/>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52">
    <w:name w:val="竖列型 55"/>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4b">
    <w:name w:val="网格型 14"/>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25c">
    <w:name w:val="网格型 25"/>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57">
    <w:name w:val="网格型 35"/>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53">
    <w:name w:val="网格型 45"/>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53">
    <w:name w:val="网格型 55"/>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51">
    <w:name w:val="网格型 65"/>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51">
    <w:name w:val="网格型 75"/>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51">
    <w:name w:val="网格型 85"/>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f">
    <w:name w:val="网页型 15"/>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5d">
    <w:name w:val="网页型 25"/>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58">
    <w:name w:val="网页型 35"/>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5f7">
    <w:name w:val="专业型5"/>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50">
    <w:name w:val="网格型115"/>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网格型26"/>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f8">
    <w:name w:val="环评表格5"/>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160">
    <w:name w:val="网格型116"/>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c">
    <w:name w:val="表格主题14"/>
    <w:basedOn w:val="a1"/>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8">
    <w:name w:val="网格型34"/>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a">
    <w:name w:val="表格主题2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d">
    <w:name w:val="灰度表格14"/>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6">
    <w:name w:val="网格型44"/>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3">
    <w:name w:val="网格型54"/>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网格型124"/>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0">
    <w:name w:val="网格型134"/>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2">
    <w:name w:val="网格型64"/>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2">
    <w:name w:val="网格型74"/>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2">
    <w:name w:val="网格型8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40">
    <w:name w:val="网格型94"/>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网格型10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40">
    <w:name w:val="网格型14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0">
    <w:name w:val="网格型15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网格型16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9">
    <w:name w:val="表格主题34"/>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
    <w:name w:val="彩色型 114"/>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40">
    <w:name w:val="彩色型 214"/>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40">
    <w:name w:val="彩色型 314"/>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4e">
    <w:name w:val="典雅型14"/>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42">
    <w:name w:val="古典型 114"/>
    <w:basedOn w:val="a1"/>
    <w:semiHidden/>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41">
    <w:name w:val="古典型 214"/>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41">
    <w:name w:val="古典型 314"/>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40">
    <w:name w:val="古典型 414"/>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42">
    <w:name w:val="简明型 214"/>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42">
    <w:name w:val="简明型 314"/>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43">
    <w:name w:val="精巧型 114"/>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43">
    <w:name w:val="精巧型 214"/>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44">
    <w:name w:val="立体型 114"/>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44">
    <w:name w:val="立体型 214"/>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43">
    <w:name w:val="立体型 314"/>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45">
    <w:name w:val="列表型 114"/>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45">
    <w:name w:val="列表型 214"/>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44">
    <w:name w:val="列表型 314"/>
    <w:basedOn w:val="a1"/>
    <w:semiHidden/>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41">
    <w:name w:val="列表型 414"/>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4">
    <w:name w:val="列表型 514"/>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4">
    <w:name w:val="列表型 614"/>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4">
    <w:name w:val="列表型 714"/>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4">
    <w:name w:val="列表型 814"/>
    <w:basedOn w:val="a1"/>
    <w:semiHidden/>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4f">
    <w:name w:val="流行型14"/>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46">
    <w:name w:val="竖列型 114"/>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46">
    <w:name w:val="竖列型 214"/>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45">
    <w:name w:val="竖列型 314"/>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42">
    <w:name w:val="竖列型 414"/>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40">
    <w:name w:val="竖列型 514"/>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47">
    <w:name w:val="网格型 214"/>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46">
    <w:name w:val="网格型 314"/>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43">
    <w:name w:val="网格型 414"/>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41">
    <w:name w:val="网格型 514"/>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40">
    <w:name w:val="网格型 614"/>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40">
    <w:name w:val="网格型 714"/>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40">
    <w:name w:val="网格型 814"/>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47">
    <w:name w:val="网页型 114"/>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48">
    <w:name w:val="网页型 214"/>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47">
    <w:name w:val="网页型 314"/>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4f0">
    <w:name w:val="专业型14"/>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4f1">
    <w:name w:val="环评表格14"/>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4">
    <w:name w:val="网格型174"/>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9">
    <w:name w:val="网格型214"/>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xg13">
    <w:name w:val="网格型（pxg）1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5">
    <w:name w:val="表格主题43"/>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8">
    <w:name w:val="网格型 113"/>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183">
    <w:name w:val="网格型18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1">
    <w:name w:val="网格型223"/>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9">
    <w:name w:val="简明型 113"/>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3c">
    <w:name w:val="环评表格23"/>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231">
    <w:name w:val="精巧型 123"/>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232">
    <w:name w:val="古典型 123"/>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11130">
    <w:name w:val="网格型111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3">
    <w:name w:val="立体型 123"/>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113a">
    <w:name w:val="表格主题113"/>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4">
    <w:name w:val="彩色型 123"/>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232">
    <w:name w:val="彩色型 223"/>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230">
    <w:name w:val="彩色型 323"/>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23d">
    <w:name w:val="典雅型23"/>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233">
    <w:name w:val="古典型 223"/>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231">
    <w:name w:val="古典型 323"/>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230">
    <w:name w:val="古典型 423"/>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234">
    <w:name w:val="简明型 223"/>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232">
    <w:name w:val="简明型 323"/>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2235">
    <w:name w:val="精巧型 223"/>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36">
    <w:name w:val="立体型 223"/>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233">
    <w:name w:val="立体型 323"/>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235">
    <w:name w:val="列表型 123"/>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237">
    <w:name w:val="列表型 223"/>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234">
    <w:name w:val="列表型 323"/>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231">
    <w:name w:val="列表型 423"/>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230">
    <w:name w:val="列表型 523"/>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23">
    <w:name w:val="列表型 623"/>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23">
    <w:name w:val="列表型 723"/>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23">
    <w:name w:val="列表型 823"/>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23e">
    <w:name w:val="流行型23"/>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36">
    <w:name w:val="竖列型 123"/>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38">
    <w:name w:val="竖列型 223"/>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235">
    <w:name w:val="竖列型 323"/>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232">
    <w:name w:val="竖列型 423"/>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31">
    <w:name w:val="竖列型 523"/>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239">
    <w:name w:val="网格型 223"/>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236">
    <w:name w:val="网格型 323"/>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233">
    <w:name w:val="网格型 423"/>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232">
    <w:name w:val="网格型 523"/>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230">
    <w:name w:val="网格型 623"/>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230">
    <w:name w:val="网格型 723"/>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230">
    <w:name w:val="网格型 823"/>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37">
    <w:name w:val="网页型 123"/>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23a">
    <w:name w:val="网页型 223"/>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237">
    <w:name w:val="网页型 323"/>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3f">
    <w:name w:val="专业型23"/>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3138">
    <w:name w:val="网格型31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a">
    <w:name w:val="表格主题21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b">
    <w:name w:val="灰度表格113"/>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4">
    <w:name w:val="网格型41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3">
    <w:name w:val="网格型513"/>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30">
    <w:name w:val="网格型121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3">
    <w:name w:val="网格型1313"/>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1">
    <w:name w:val="网格型613"/>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1">
    <w:name w:val="网格型713"/>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31">
    <w:name w:val="网格型81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3">
    <w:name w:val="网格型913"/>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网格型101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3">
    <w:name w:val="网格型141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3">
    <w:name w:val="网格型151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3">
    <w:name w:val="网格型1613"/>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9">
    <w:name w:val="表格主题313"/>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1">
    <w:name w:val="彩色型 1113"/>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30">
    <w:name w:val="彩色型 2113"/>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30">
    <w:name w:val="彩色型 3113"/>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13c">
    <w:name w:val="典雅型113"/>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132">
    <w:name w:val="古典型 1113"/>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31">
    <w:name w:val="古典型 2113"/>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31">
    <w:name w:val="古典型 3113"/>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30">
    <w:name w:val="古典型 4113"/>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132">
    <w:name w:val="简明型 2113"/>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32">
    <w:name w:val="简明型 3113"/>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33">
    <w:name w:val="精巧型 1113"/>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33">
    <w:name w:val="精巧型 2113"/>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34">
    <w:name w:val="立体型 1113"/>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34">
    <w:name w:val="立体型 2113"/>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33">
    <w:name w:val="立体型 3113"/>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35">
    <w:name w:val="列表型 1113"/>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35">
    <w:name w:val="列表型 2113"/>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34">
    <w:name w:val="列表型 3113"/>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31">
    <w:name w:val="列表型 4113"/>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130">
    <w:name w:val="列表型 5113"/>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3">
    <w:name w:val="列表型 6113"/>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13">
    <w:name w:val="列表型 7113"/>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3">
    <w:name w:val="列表型 8113"/>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13d">
    <w:name w:val="流行型113"/>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36">
    <w:name w:val="竖列型 1113"/>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36">
    <w:name w:val="竖列型 2113"/>
    <w:basedOn w:val="a1"/>
    <w:semiHidden/>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35">
    <w:name w:val="竖列型 3113"/>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32">
    <w:name w:val="竖列型 4113"/>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31">
    <w:name w:val="竖列型 5113"/>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137">
    <w:name w:val="网格型 2113"/>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36">
    <w:name w:val="网格型 3113"/>
    <w:basedOn w:val="a1"/>
    <w:semiHidden/>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133">
    <w:name w:val="网格型 4113"/>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32">
    <w:name w:val="网格型 5113"/>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30">
    <w:name w:val="网格型 6113"/>
    <w:basedOn w:val="a1"/>
    <w:semiHidden/>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30">
    <w:name w:val="网格型 7113"/>
    <w:basedOn w:val="a1"/>
    <w:semiHidden/>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30">
    <w:name w:val="网格型 8113"/>
    <w:basedOn w:val="a1"/>
    <w:semiHidden/>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37">
    <w:name w:val="网页型 1113"/>
    <w:basedOn w:val="a1"/>
    <w:semiHidden/>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38">
    <w:name w:val="网页型 2113"/>
    <w:basedOn w:val="a1"/>
    <w:semiHidden/>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37">
    <w:name w:val="网页型 3113"/>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3e">
    <w:name w:val="专业型113"/>
    <w:basedOn w:val="a1"/>
    <w:semiHidden/>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3f">
    <w:name w:val="环评表格113"/>
    <w:basedOn w:val="a1"/>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13">
    <w:name w:val="网格型1713"/>
    <w:basedOn w:val="a1"/>
    <w:semiHidden/>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9">
    <w:name w:val="网格型2113"/>
    <w:basedOn w:val="a1"/>
    <w:semiHidden/>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uiPriority w:val="2"/>
    <w:semiHidden/>
    <w:unhideWhenUsed/>
    <w:qFormat/>
    <w:pPr>
      <w:widowControl w:val="0"/>
      <w:autoSpaceDE w:val="0"/>
      <w:autoSpaceDN w:val="0"/>
    </w:pPr>
    <w:rPr>
      <w:rFonts w:ascii="Calibri" w:hAnsi="Calibri"/>
      <w:sz w:val="22"/>
      <w:lang w:eastAsia="en-US"/>
    </w:rPr>
    <w:tblPr>
      <w:tblCellMar>
        <w:top w:w="0" w:type="dxa"/>
        <w:left w:w="0" w:type="dxa"/>
        <w:bottom w:w="0" w:type="dxa"/>
        <w:right w:w="0" w:type="dxa"/>
      </w:tblCellMar>
    </w:tblPr>
  </w:style>
  <w:style w:type="character" w:customStyle="1" w:styleId="419">
    <w:name w:val="标题 4 字符1"/>
    <w:uiPriority w:val="99"/>
    <w:rPr>
      <w:rFonts w:ascii="Arial" w:eastAsia="黑体" w:hAnsi="Arial" w:cs="Times New Roman"/>
      <w:b/>
      <w:bCs/>
      <w:sz w:val="28"/>
      <w:szCs w:val="28"/>
    </w:rPr>
  </w:style>
  <w:style w:type="table" w:customStyle="1" w:styleId="271">
    <w:name w:val="网格型27"/>
    <w:basedOn w:val="a1"/>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7">
    <w:name w:val="表格主题8"/>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5">
    <w:name w:val="彩色型 16"/>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62">
    <w:name w:val="彩色型 26"/>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61">
    <w:name w:val="彩色型 36"/>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69">
    <w:name w:val="典雅型6"/>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66">
    <w:name w:val="古典型 16"/>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63">
    <w:name w:val="古典型 26"/>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62">
    <w:name w:val="古典型 36"/>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60">
    <w:name w:val="古典型 46"/>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5f0">
    <w:name w:val="简明型 15"/>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64">
    <w:name w:val="简明型 26"/>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63">
    <w:name w:val="简明型 36"/>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67">
    <w:name w:val="精巧型 16"/>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65">
    <w:name w:val="精巧型 26"/>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68">
    <w:name w:val="立体型 16"/>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66">
    <w:name w:val="立体型 26"/>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64">
    <w:name w:val="立体型 36"/>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69">
    <w:name w:val="列表型 16"/>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67">
    <w:name w:val="列表型 26"/>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65">
    <w:name w:val="列表型 36"/>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61">
    <w:name w:val="列表型 46"/>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60">
    <w:name w:val="列表型 56"/>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60">
    <w:name w:val="列表型 66"/>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60">
    <w:name w:val="列表型 76"/>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60">
    <w:name w:val="列表型 86"/>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6a">
    <w:name w:val="流行型6"/>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6a">
    <w:name w:val="竖列型 16"/>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68">
    <w:name w:val="竖列型 26"/>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66">
    <w:name w:val="竖列型 36"/>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62">
    <w:name w:val="竖列型 46"/>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61">
    <w:name w:val="竖列型 56"/>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5f1">
    <w:name w:val="网格型 15"/>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269">
    <w:name w:val="网格型 26"/>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67">
    <w:name w:val="网格型 36"/>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63">
    <w:name w:val="网格型 46"/>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62">
    <w:name w:val="网格型 56"/>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61">
    <w:name w:val="网格型 66"/>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61">
    <w:name w:val="网格型 76"/>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61">
    <w:name w:val="网格型 86"/>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6b">
    <w:name w:val="网页型 16"/>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6a">
    <w:name w:val="网页型 26"/>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68">
    <w:name w:val="网页型 36"/>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6b">
    <w:name w:val="专业型6"/>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70">
    <w:name w:val="网格型117"/>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网格型28"/>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c">
    <w:name w:val="环评表格6"/>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180">
    <w:name w:val="网格型118"/>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f2">
    <w:name w:val="表格主题15"/>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9">
    <w:name w:val="网格型35"/>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e">
    <w:name w:val="表格主题25"/>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f3">
    <w:name w:val="灰度表格15"/>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4">
    <w:name w:val="网格型45"/>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4">
    <w:name w:val="网格型55"/>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50">
    <w:name w:val="网格型125"/>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50">
    <w:name w:val="网格型135"/>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2">
    <w:name w:val="网格型65"/>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2">
    <w:name w:val="网格型75"/>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2">
    <w:name w:val="网格型85"/>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50">
    <w:name w:val="网格型95"/>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网格型105"/>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50">
    <w:name w:val="网格型145"/>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50">
    <w:name w:val="网格型155"/>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50">
    <w:name w:val="网格型165"/>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a">
    <w:name w:val="表格主题35"/>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
    <w:name w:val="彩色型 115"/>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54">
    <w:name w:val="彩色型 215"/>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50">
    <w:name w:val="彩色型 315"/>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5f4">
    <w:name w:val="典雅型15"/>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52">
    <w:name w:val="古典型 115"/>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55">
    <w:name w:val="古典型 215"/>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51">
    <w:name w:val="古典型 315"/>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50">
    <w:name w:val="古典型 415"/>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56">
    <w:name w:val="简明型 215"/>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52">
    <w:name w:val="简明型 315"/>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53">
    <w:name w:val="精巧型 115"/>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57">
    <w:name w:val="精巧型 215"/>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54">
    <w:name w:val="立体型 115"/>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58">
    <w:name w:val="立体型 215"/>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53">
    <w:name w:val="立体型 315"/>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55">
    <w:name w:val="列表型 115"/>
    <w:basedOn w:val="a1"/>
    <w:semiHidden/>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59">
    <w:name w:val="列表型 215"/>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54">
    <w:name w:val="列表型 315"/>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51">
    <w:name w:val="列表型 415"/>
    <w:basedOn w:val="a1"/>
    <w:semiHidden/>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5">
    <w:name w:val="列表型 515"/>
    <w:basedOn w:val="a1"/>
    <w:semiHidden/>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5">
    <w:name w:val="列表型 615"/>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5">
    <w:name w:val="列表型 715"/>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5">
    <w:name w:val="列表型 815"/>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5f5">
    <w:name w:val="流行型15"/>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56">
    <w:name w:val="竖列型 115"/>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5a">
    <w:name w:val="竖列型 215"/>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55">
    <w:name w:val="竖列型 315"/>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52">
    <w:name w:val="竖列型 415"/>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50">
    <w:name w:val="竖列型 515"/>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5b">
    <w:name w:val="网格型 215"/>
    <w:basedOn w:val="a1"/>
    <w:semiHidden/>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56">
    <w:name w:val="网格型 315"/>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53">
    <w:name w:val="网格型 415"/>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51">
    <w:name w:val="网格型 515"/>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50">
    <w:name w:val="网格型 615"/>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50">
    <w:name w:val="网格型 715"/>
    <w:basedOn w:val="a1"/>
    <w:semiHidden/>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50">
    <w:name w:val="网格型 815"/>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57">
    <w:name w:val="网页型 115"/>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5c">
    <w:name w:val="网页型 215"/>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57">
    <w:name w:val="网页型 315"/>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5f6">
    <w:name w:val="专业型15"/>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5f7">
    <w:name w:val="环评表格15"/>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5">
    <w:name w:val="网格型175"/>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d">
    <w:name w:val="网格型215"/>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xg14">
    <w:name w:val="网格型（pxg）1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7">
    <w:name w:val="表格主题44"/>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8">
    <w:name w:val="网格型 114"/>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184">
    <w:name w:val="网格型184"/>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0">
    <w:name w:val="网格型224"/>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9">
    <w:name w:val="简明型 114"/>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4b">
    <w:name w:val="环评表格24"/>
    <w:basedOn w:val="a1"/>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241">
    <w:name w:val="精巧型 124"/>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242">
    <w:name w:val="古典型 124"/>
    <w:basedOn w:val="a1"/>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11140">
    <w:name w:val="网格型111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3">
    <w:name w:val="立体型 124"/>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114a">
    <w:name w:val="表格主题114"/>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4">
    <w:name w:val="彩色型 124"/>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241">
    <w:name w:val="彩色型 224"/>
    <w:basedOn w:val="a1"/>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240">
    <w:name w:val="彩色型 324"/>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24c">
    <w:name w:val="典雅型24"/>
    <w:basedOn w:val="a1"/>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242">
    <w:name w:val="古典型 224"/>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241">
    <w:name w:val="古典型 324"/>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240">
    <w:name w:val="古典型 424"/>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243">
    <w:name w:val="简明型 224"/>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242">
    <w:name w:val="简明型 324"/>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2244">
    <w:name w:val="精巧型 224"/>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45">
    <w:name w:val="立体型 224"/>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243">
    <w:name w:val="立体型 324"/>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245">
    <w:name w:val="列表型 124"/>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246">
    <w:name w:val="列表型 224"/>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244">
    <w:name w:val="列表型 324"/>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241">
    <w:name w:val="列表型 424"/>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240">
    <w:name w:val="列表型 524"/>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24">
    <w:name w:val="列表型 624"/>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24">
    <w:name w:val="列表型 724"/>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24">
    <w:name w:val="列表型 824"/>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24d">
    <w:name w:val="流行型24"/>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46">
    <w:name w:val="竖列型 124"/>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47">
    <w:name w:val="竖列型 224"/>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245">
    <w:name w:val="竖列型 324"/>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242">
    <w:name w:val="竖列型 424"/>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41">
    <w:name w:val="竖列型 524"/>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248">
    <w:name w:val="网格型 224"/>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246">
    <w:name w:val="网格型 324"/>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243">
    <w:name w:val="网格型 424"/>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242">
    <w:name w:val="网格型 524"/>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240">
    <w:name w:val="网格型 624"/>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240">
    <w:name w:val="网格型 724"/>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240">
    <w:name w:val="网格型 824"/>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47">
    <w:name w:val="网页型 124"/>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249">
    <w:name w:val="网页型 224"/>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247">
    <w:name w:val="网页型 324"/>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4e">
    <w:name w:val="专业型24"/>
    <w:basedOn w:val="a1"/>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3148">
    <w:name w:val="网格型314"/>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a">
    <w:name w:val="表格主题21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b">
    <w:name w:val="灰度表格114"/>
    <w:basedOn w:val="a1"/>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4">
    <w:name w:val="网格型414"/>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2">
    <w:name w:val="网格型514"/>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40">
    <w:name w:val="网格型1214"/>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4">
    <w:name w:val="网格型1314"/>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1">
    <w:name w:val="网格型614"/>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41">
    <w:name w:val="网格型714"/>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41">
    <w:name w:val="网格型81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4">
    <w:name w:val="网格型914"/>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4">
    <w:name w:val="网格型101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4">
    <w:name w:val="网格型141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4">
    <w:name w:val="网格型1514"/>
    <w:basedOn w:val="a1"/>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4">
    <w:name w:val="网格型1614"/>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9">
    <w:name w:val="表格主题314"/>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1">
    <w:name w:val="彩色型 1114"/>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40">
    <w:name w:val="彩色型 2114"/>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40">
    <w:name w:val="彩色型 3114"/>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14c">
    <w:name w:val="典雅型114"/>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142">
    <w:name w:val="古典型 1114"/>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41">
    <w:name w:val="古典型 2114"/>
    <w:basedOn w:val="a1"/>
    <w:semiHidden/>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41">
    <w:name w:val="古典型 3114"/>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40">
    <w:name w:val="古典型 4114"/>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142">
    <w:name w:val="简明型 2114"/>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42">
    <w:name w:val="简明型 3114"/>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43">
    <w:name w:val="精巧型 1114"/>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43">
    <w:name w:val="精巧型 2114"/>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44">
    <w:name w:val="立体型 1114"/>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44">
    <w:name w:val="立体型 2114"/>
    <w:basedOn w:val="a1"/>
    <w:semiHidden/>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43">
    <w:name w:val="立体型 3114"/>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45">
    <w:name w:val="列表型 1114"/>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45">
    <w:name w:val="列表型 2114"/>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44">
    <w:name w:val="列表型 3114"/>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41">
    <w:name w:val="列表型 4114"/>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14">
    <w:name w:val="列表型 5114"/>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4">
    <w:name w:val="列表型 6114"/>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14">
    <w:name w:val="列表型 7114"/>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4">
    <w:name w:val="列表型 8114"/>
    <w:basedOn w:val="a1"/>
    <w:semiHidden/>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14d">
    <w:name w:val="流行型114"/>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46">
    <w:name w:val="竖列型 1114"/>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46">
    <w:name w:val="竖列型 2114"/>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45">
    <w:name w:val="竖列型 3114"/>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42">
    <w:name w:val="竖列型 4114"/>
    <w:basedOn w:val="a1"/>
    <w:semiHidden/>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40">
    <w:name w:val="竖列型 5114"/>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147">
    <w:name w:val="网格型 2114"/>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46">
    <w:name w:val="网格型 3114"/>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143">
    <w:name w:val="网格型 4114"/>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41">
    <w:name w:val="网格型 5114"/>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40">
    <w:name w:val="网格型 6114"/>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40">
    <w:name w:val="网格型 7114"/>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40">
    <w:name w:val="网格型 8114"/>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47">
    <w:name w:val="网页型 1114"/>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48">
    <w:name w:val="网页型 2114"/>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47">
    <w:name w:val="网页型 3114"/>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4e">
    <w:name w:val="专业型114"/>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4f">
    <w:name w:val="环评表格114"/>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14">
    <w:name w:val="网格型1714"/>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9">
    <w:name w:val="网格型2114"/>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uiPriority w:val="2"/>
    <w:semiHidden/>
    <w:unhideWhenUsed/>
    <w:qFormat/>
    <w:pPr>
      <w:widowControl w:val="0"/>
      <w:autoSpaceDE w:val="0"/>
      <w:autoSpaceDN w:val="0"/>
    </w:pPr>
    <w:rPr>
      <w:rFonts w:ascii="Calibri" w:hAnsi="Calibri"/>
      <w:sz w:val="22"/>
      <w:lang w:eastAsia="en-US"/>
    </w:rPr>
    <w:tblPr>
      <w:tblCellMar>
        <w:top w:w="0" w:type="dxa"/>
        <w:left w:w="0" w:type="dxa"/>
        <w:bottom w:w="0" w:type="dxa"/>
        <w:right w:w="0" w:type="dxa"/>
      </w:tblCellMar>
    </w:tblPr>
  </w:style>
  <w:style w:type="table" w:customStyle="1" w:styleId="191">
    <w:name w:val="网格型191"/>
    <w:basedOn w:val="a1"/>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6">
    <w:name w:val="表格主题51"/>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5">
    <w:name w:val="彩色型 131"/>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310">
    <w:name w:val="彩色型 231"/>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310">
    <w:name w:val="彩色型 331"/>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31f">
    <w:name w:val="典雅型31"/>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316">
    <w:name w:val="古典型 131"/>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311">
    <w:name w:val="古典型 231"/>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311">
    <w:name w:val="古典型 331"/>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310">
    <w:name w:val="古典型 431"/>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218">
    <w:name w:val="简明型 121"/>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312">
    <w:name w:val="简明型 231"/>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312">
    <w:name w:val="简明型 33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317">
    <w:name w:val="精巧型 131"/>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313">
    <w:name w:val="精巧型 231"/>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318">
    <w:name w:val="立体型 131"/>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314">
    <w:name w:val="立体型 231"/>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313">
    <w:name w:val="立体型 331"/>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319">
    <w:name w:val="列表型 131"/>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315">
    <w:name w:val="列表型 231"/>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314">
    <w:name w:val="列表型 331"/>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311">
    <w:name w:val="列表型 43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310">
    <w:name w:val="列表型 53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310">
    <w:name w:val="列表型 63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310">
    <w:name w:val="列表型 731"/>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310">
    <w:name w:val="列表型 83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31f0">
    <w:name w:val="流行型31"/>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31a">
    <w:name w:val="竖列型 13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316">
    <w:name w:val="竖列型 231"/>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315">
    <w:name w:val="竖列型 331"/>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312">
    <w:name w:val="竖列型 431"/>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311">
    <w:name w:val="竖列型 531"/>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219">
    <w:name w:val="网格型 121"/>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2317">
    <w:name w:val="网格型 231"/>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316">
    <w:name w:val="网格型 331"/>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313">
    <w:name w:val="网格型 431"/>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312">
    <w:name w:val="网格型 531"/>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311">
    <w:name w:val="网格型 63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311">
    <w:name w:val="网格型 73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311">
    <w:name w:val="网格型 831"/>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31b">
    <w:name w:val="网页型 131"/>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318">
    <w:name w:val="网页型 231"/>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317">
    <w:name w:val="网页型 331"/>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f1">
    <w:name w:val="专业型31"/>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01">
    <w:name w:val="网格型110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9">
    <w:name w:val="网格型231"/>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f2">
    <w:name w:val="环评表格31"/>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1210">
    <w:name w:val="网格型11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a">
    <w:name w:val="表格主题121"/>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b">
    <w:name w:val="网格型32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b">
    <w:name w:val="表格主题2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b">
    <w:name w:val="灰度表格121"/>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4">
    <w:name w:val="网格型42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3">
    <w:name w:val="网格型521"/>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0">
    <w:name w:val="网格型122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1">
    <w:name w:val="网格型132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网格型621"/>
    <w:basedOn w:val="a1"/>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网格型72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2">
    <w:name w:val="网格型8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1">
    <w:name w:val="网格型921"/>
    <w:basedOn w:val="a1"/>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网格型10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1">
    <w:name w:val="网格型14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0">
    <w:name w:val="网格型15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1">
    <w:name w:val="网格型16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c">
    <w:name w:val="表格主题321"/>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
    <w:name w:val="彩色型 1121"/>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210">
    <w:name w:val="彩色型 2121"/>
    <w:basedOn w:val="a1"/>
    <w:semiHidden/>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210">
    <w:name w:val="彩色型 3121"/>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21c">
    <w:name w:val="典雅型121"/>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212">
    <w:name w:val="古典型 112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211">
    <w:name w:val="古典型 212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211">
    <w:name w:val="古典型 3121"/>
    <w:basedOn w:val="a1"/>
    <w:semiHidden/>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210">
    <w:name w:val="古典型 4121"/>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212">
    <w:name w:val="简明型 2121"/>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212">
    <w:name w:val="简明型 312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213">
    <w:name w:val="精巧型 1121"/>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13">
    <w:name w:val="精巧型 2121"/>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214">
    <w:name w:val="立体型 1121"/>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214">
    <w:name w:val="立体型 2121"/>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213">
    <w:name w:val="立体型 3121"/>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215">
    <w:name w:val="列表型 1121"/>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215">
    <w:name w:val="列表型 2121"/>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214">
    <w:name w:val="列表型 3121"/>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211">
    <w:name w:val="列表型 4121"/>
    <w:basedOn w:val="a1"/>
    <w:semiHidden/>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210">
    <w:name w:val="列表型 512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210">
    <w:name w:val="列表型 612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210">
    <w:name w:val="列表型 7121"/>
    <w:basedOn w:val="a1"/>
    <w:semiHidden/>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210">
    <w:name w:val="列表型 812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21d">
    <w:name w:val="流行型121"/>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216">
    <w:name w:val="竖列型 112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16">
    <w:name w:val="竖列型 2121"/>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215">
    <w:name w:val="竖列型 3121"/>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212">
    <w:name w:val="竖列型 4121"/>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11">
    <w:name w:val="竖列型 5121"/>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217">
    <w:name w:val="网格型 2121"/>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216">
    <w:name w:val="网格型 3121"/>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213">
    <w:name w:val="网格型 4121"/>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212">
    <w:name w:val="网格型 5121"/>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211">
    <w:name w:val="网格型 612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211">
    <w:name w:val="网格型 712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211">
    <w:name w:val="网格型 8121"/>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217">
    <w:name w:val="网页型 1121"/>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218">
    <w:name w:val="网页型 2121"/>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217">
    <w:name w:val="网页型 3121"/>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21e">
    <w:name w:val="专业型12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21f">
    <w:name w:val="环评表格121"/>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21">
    <w:name w:val="网格型1721"/>
    <w:basedOn w:val="a1"/>
    <w:semiHidden/>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9">
    <w:name w:val="网格型2121"/>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xg111">
    <w:name w:val="网格型（pxg）1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5">
    <w:name w:val="表格主题411"/>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9">
    <w:name w:val="网格型 1111"/>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1811">
    <w:name w:val="网格型181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0">
    <w:name w:val="网格型2211"/>
    <w:basedOn w:val="a1"/>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a">
    <w:name w:val="简明型 1111"/>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1c">
    <w:name w:val="环评表格211"/>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2111">
    <w:name w:val="精巧型 1211"/>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2112">
    <w:name w:val="古典型 1211"/>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111110">
    <w:name w:val="网格型11111"/>
    <w:basedOn w:val="a1"/>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3">
    <w:name w:val="立体型 1211"/>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1111b">
    <w:name w:val="表格主题1111"/>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4">
    <w:name w:val="彩色型 1211"/>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2111">
    <w:name w:val="彩色型 2211"/>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2110">
    <w:name w:val="彩色型 3211"/>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211d">
    <w:name w:val="典雅型211"/>
    <w:basedOn w:val="a1"/>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2112">
    <w:name w:val="古典型 2211"/>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2111">
    <w:name w:val="古典型 3211"/>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2110">
    <w:name w:val="古典型 4211"/>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2113">
    <w:name w:val="简明型 2211"/>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2112">
    <w:name w:val="简明型 321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22114">
    <w:name w:val="精巧型 2211"/>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115">
    <w:name w:val="立体型 2211"/>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2113">
    <w:name w:val="立体型 3211"/>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2115">
    <w:name w:val="列表型 1211"/>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2116">
    <w:name w:val="列表型 2211"/>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2114">
    <w:name w:val="列表型 3211"/>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2111">
    <w:name w:val="列表型 421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2110">
    <w:name w:val="列表型 521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2110">
    <w:name w:val="列表型 621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2110">
    <w:name w:val="列表型 7211"/>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2110">
    <w:name w:val="列表型 821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211e">
    <w:name w:val="流行型211"/>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116">
    <w:name w:val="竖列型 1211"/>
    <w:basedOn w:val="a1"/>
    <w:semiHidden/>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117">
    <w:name w:val="竖列型 2211"/>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2115">
    <w:name w:val="竖列型 3211"/>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2112">
    <w:name w:val="竖列型 4211"/>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111">
    <w:name w:val="竖列型 5211"/>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2118">
    <w:name w:val="网格型 2211"/>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2116">
    <w:name w:val="网格型 3211"/>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2113">
    <w:name w:val="网格型 4211"/>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2112">
    <w:name w:val="网格型 5211"/>
    <w:basedOn w:val="a1"/>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2111">
    <w:name w:val="网格型 621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2111">
    <w:name w:val="网格型 721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2111">
    <w:name w:val="网格型 8211"/>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117">
    <w:name w:val="网页型 1211"/>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2119">
    <w:name w:val="网页型 2211"/>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2117">
    <w:name w:val="网页型 3211"/>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f">
    <w:name w:val="专业型211"/>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31118">
    <w:name w:val="网格型311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a">
    <w:name w:val="表格主题21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c">
    <w:name w:val="灰度表格1111"/>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4">
    <w:name w:val="网格型411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3">
    <w:name w:val="网格型5111"/>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10">
    <w:name w:val="网格型1211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1">
    <w:name w:val="网格型1311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2">
    <w:name w:val="网格型611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2">
    <w:name w:val="网格型7111"/>
    <w:basedOn w:val="a1"/>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2">
    <w:name w:val="网格型81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1">
    <w:name w:val="网格型9111"/>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网格型101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1">
    <w:name w:val="网格型141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1">
    <w:name w:val="网格型15111"/>
    <w:basedOn w:val="a1"/>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网格型1611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9">
    <w:name w:val="表格主题3111"/>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
    <w:name w:val="彩色型 11111"/>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110">
    <w:name w:val="彩色型 21111"/>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110">
    <w:name w:val="彩色型 31111"/>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111d">
    <w:name w:val="典雅型1111"/>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1112">
    <w:name w:val="古典型 11111"/>
    <w:basedOn w:val="a1"/>
    <w:semiHidden/>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111">
    <w:name w:val="古典型 2111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111">
    <w:name w:val="古典型 31111"/>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110">
    <w:name w:val="古典型 41111"/>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1112">
    <w:name w:val="简明型 21111"/>
    <w:basedOn w:val="a1"/>
    <w:semiHidden/>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112">
    <w:name w:val="简明型 31111"/>
    <w:basedOn w:val="a1"/>
    <w:semiHidden/>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113">
    <w:name w:val="精巧型 11111"/>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13">
    <w:name w:val="精巧型 21111"/>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114">
    <w:name w:val="立体型 11111"/>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114">
    <w:name w:val="立体型 21111"/>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113">
    <w:name w:val="立体型 31111"/>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115">
    <w:name w:val="列表型 11111"/>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115">
    <w:name w:val="列表型 21111"/>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114">
    <w:name w:val="列表型 31111"/>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111">
    <w:name w:val="列表型 4111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1110">
    <w:name w:val="列表型 511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110">
    <w:name w:val="列表型 611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1110">
    <w:name w:val="列表型 71111"/>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110">
    <w:name w:val="列表型 811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111e">
    <w:name w:val="流行型1111"/>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116">
    <w:name w:val="竖列型 1111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16">
    <w:name w:val="竖列型 21111"/>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115">
    <w:name w:val="竖列型 31111"/>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112">
    <w:name w:val="竖列型 41111"/>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111">
    <w:name w:val="竖列型 51111"/>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1117">
    <w:name w:val="网格型 21111"/>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116">
    <w:name w:val="网格型 31111"/>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1113">
    <w:name w:val="网格型 41111"/>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112">
    <w:name w:val="网格型 51111"/>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111">
    <w:name w:val="网格型 6111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111">
    <w:name w:val="网格型 7111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111">
    <w:name w:val="网格型 81111"/>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117">
    <w:name w:val="网页型 11111"/>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118">
    <w:name w:val="网页型 21111"/>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117">
    <w:name w:val="网页型 31111"/>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11f">
    <w:name w:val="专业型111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11f0">
    <w:name w:val="环评表格1111"/>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111">
    <w:name w:val="网格型17111"/>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9">
    <w:name w:val="网格型21111"/>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uiPriority w:val="2"/>
    <w:semiHidden/>
    <w:unhideWhenUsed/>
    <w:qFormat/>
    <w:pPr>
      <w:widowControl w:val="0"/>
      <w:autoSpaceDE w:val="0"/>
      <w:autoSpaceDN w:val="0"/>
    </w:pPr>
    <w:rPr>
      <w:rFonts w:ascii="Calibri" w:hAnsi="Calibri"/>
      <w:sz w:val="22"/>
      <w:lang w:eastAsia="en-US"/>
    </w:rPr>
    <w:tblPr>
      <w:tblCellMar>
        <w:top w:w="0" w:type="dxa"/>
        <w:left w:w="0" w:type="dxa"/>
        <w:bottom w:w="0" w:type="dxa"/>
        <w:right w:w="0" w:type="dxa"/>
      </w:tblCellMar>
    </w:tblPr>
  </w:style>
  <w:style w:type="table" w:customStyle="1" w:styleId="2010">
    <w:name w:val="网格型201"/>
    <w:basedOn w:val="a1"/>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6">
    <w:name w:val="表格主题61"/>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5">
    <w:name w:val="彩色型 141"/>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410">
    <w:name w:val="彩色型 241"/>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410">
    <w:name w:val="彩色型 341"/>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41a">
    <w:name w:val="典雅型41"/>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416">
    <w:name w:val="古典型 141"/>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411">
    <w:name w:val="古典型 241"/>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411">
    <w:name w:val="古典型 341"/>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410">
    <w:name w:val="古典型 441"/>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31c">
    <w:name w:val="简明型 131"/>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412">
    <w:name w:val="简明型 241"/>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412">
    <w:name w:val="简明型 34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417">
    <w:name w:val="精巧型 141"/>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413">
    <w:name w:val="精巧型 241"/>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418">
    <w:name w:val="立体型 141"/>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414">
    <w:name w:val="立体型 241"/>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413">
    <w:name w:val="立体型 341"/>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419">
    <w:name w:val="列表型 141"/>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415">
    <w:name w:val="列表型 241"/>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414">
    <w:name w:val="列表型 341"/>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411">
    <w:name w:val="列表型 44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410">
    <w:name w:val="列表型 54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410">
    <w:name w:val="列表型 64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410">
    <w:name w:val="列表型 741"/>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410">
    <w:name w:val="列表型 84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41b">
    <w:name w:val="流行型41"/>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41a">
    <w:name w:val="竖列型 14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416">
    <w:name w:val="竖列型 241"/>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415">
    <w:name w:val="竖列型 341"/>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412">
    <w:name w:val="竖列型 441"/>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411">
    <w:name w:val="竖列型 541"/>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31d">
    <w:name w:val="网格型 131"/>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2417">
    <w:name w:val="网格型 241"/>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416">
    <w:name w:val="网格型 341"/>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413">
    <w:name w:val="网格型 441"/>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412">
    <w:name w:val="网格型 541"/>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411">
    <w:name w:val="网格型 64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411">
    <w:name w:val="网格型 74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411">
    <w:name w:val="网格型 841"/>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41b">
    <w:name w:val="网页型 141"/>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418">
    <w:name w:val="网页型 241"/>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417">
    <w:name w:val="网页型 341"/>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41c">
    <w:name w:val="专业型41"/>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310">
    <w:name w:val="网格型11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9">
    <w:name w:val="网格型241"/>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d">
    <w:name w:val="环评表格41"/>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1410">
    <w:name w:val="网格型114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e">
    <w:name w:val="表格主题131"/>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8">
    <w:name w:val="网格型3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a">
    <w:name w:val="表格主题2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f">
    <w:name w:val="灰度表格131"/>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4">
    <w:name w:val="网格型4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3">
    <w:name w:val="网格型531"/>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10">
    <w:name w:val="网格型12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1">
    <w:name w:val="网格型13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2">
    <w:name w:val="网格型63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2">
    <w:name w:val="网格型73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12">
    <w:name w:val="网格型8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1">
    <w:name w:val="网格型931"/>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网格型10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1">
    <w:name w:val="网格型14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1">
    <w:name w:val="网格型15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1">
    <w:name w:val="网格型16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9">
    <w:name w:val="表格主题331"/>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1">
    <w:name w:val="彩色型 1131"/>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310">
    <w:name w:val="彩色型 2131"/>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310">
    <w:name w:val="彩色型 3131"/>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31f0">
    <w:name w:val="典雅型131"/>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312">
    <w:name w:val="古典型 113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311">
    <w:name w:val="古典型 213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311">
    <w:name w:val="古典型 3131"/>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310">
    <w:name w:val="古典型 4131"/>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312">
    <w:name w:val="简明型 2131"/>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312">
    <w:name w:val="简明型 313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313">
    <w:name w:val="精巧型 1131"/>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13">
    <w:name w:val="精巧型 2131"/>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314">
    <w:name w:val="立体型 1131"/>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314">
    <w:name w:val="立体型 2131"/>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313">
    <w:name w:val="立体型 3131"/>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315">
    <w:name w:val="列表型 1131"/>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315">
    <w:name w:val="列表型 2131"/>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314">
    <w:name w:val="列表型 3131"/>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311">
    <w:name w:val="列表型 413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310">
    <w:name w:val="列表型 513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310">
    <w:name w:val="列表型 613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310">
    <w:name w:val="列表型 7131"/>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310">
    <w:name w:val="列表型 813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31f1">
    <w:name w:val="流行型131"/>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316">
    <w:name w:val="竖列型 113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16">
    <w:name w:val="竖列型 2131"/>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315">
    <w:name w:val="竖列型 3131"/>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312">
    <w:name w:val="竖列型 4131"/>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311">
    <w:name w:val="竖列型 5131"/>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317">
    <w:name w:val="网格型 2131"/>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316">
    <w:name w:val="网格型 3131"/>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313">
    <w:name w:val="网格型 4131"/>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312">
    <w:name w:val="网格型 5131"/>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311">
    <w:name w:val="网格型 613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311">
    <w:name w:val="网格型 713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311">
    <w:name w:val="网格型 8131"/>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317">
    <w:name w:val="网页型 1131"/>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318">
    <w:name w:val="网页型 2131"/>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317">
    <w:name w:val="网页型 3131"/>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31f2">
    <w:name w:val="专业型13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31f3">
    <w:name w:val="环评表格131"/>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31">
    <w:name w:val="网格型1731"/>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9">
    <w:name w:val="网格型2131"/>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xg121">
    <w:name w:val="网格型（pxg）1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5">
    <w:name w:val="表格主题421"/>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8">
    <w:name w:val="网格型 1121"/>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1821">
    <w:name w:val="网格型182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0">
    <w:name w:val="网格型2221"/>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9">
    <w:name w:val="简明型 1121"/>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21c">
    <w:name w:val="环评表格221"/>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2211">
    <w:name w:val="精巧型 1221"/>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2212">
    <w:name w:val="古典型 1221"/>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111210">
    <w:name w:val="网格型111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3">
    <w:name w:val="立体型 1221"/>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1121a">
    <w:name w:val="表格主题1121"/>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4">
    <w:name w:val="彩色型 1221"/>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2211">
    <w:name w:val="彩色型 2221"/>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2210">
    <w:name w:val="彩色型 3221"/>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221d">
    <w:name w:val="典雅型221"/>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2212">
    <w:name w:val="古典型 2221"/>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2211">
    <w:name w:val="古典型 3221"/>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2210">
    <w:name w:val="古典型 4221"/>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2213">
    <w:name w:val="简明型 2221"/>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2212">
    <w:name w:val="简明型 322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22214">
    <w:name w:val="精巧型 2221"/>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215">
    <w:name w:val="立体型 2221"/>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2213">
    <w:name w:val="立体型 3221"/>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2215">
    <w:name w:val="列表型 1221"/>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2216">
    <w:name w:val="列表型 2221"/>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2214">
    <w:name w:val="列表型 3221"/>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2211">
    <w:name w:val="列表型 422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2210">
    <w:name w:val="列表型 522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2210">
    <w:name w:val="列表型 622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2210">
    <w:name w:val="列表型 7221"/>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2210">
    <w:name w:val="列表型 822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221e">
    <w:name w:val="流行型221"/>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216">
    <w:name w:val="竖列型 122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217">
    <w:name w:val="竖列型 2221"/>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2215">
    <w:name w:val="竖列型 3221"/>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2212">
    <w:name w:val="竖列型 4221"/>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211">
    <w:name w:val="竖列型 5221"/>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2218">
    <w:name w:val="网格型 2221"/>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2216">
    <w:name w:val="网格型 3221"/>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2213">
    <w:name w:val="网格型 4221"/>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2212">
    <w:name w:val="网格型 5221"/>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2211">
    <w:name w:val="网格型 622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2211">
    <w:name w:val="网格型 722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2211">
    <w:name w:val="网格型 8221"/>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217">
    <w:name w:val="网页型 1221"/>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2219">
    <w:name w:val="网页型 2221"/>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2217">
    <w:name w:val="网页型 3221"/>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21f">
    <w:name w:val="专业型221"/>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31218">
    <w:name w:val="网格型312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a">
    <w:name w:val="表格主题21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b">
    <w:name w:val="灰度表格1121"/>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4">
    <w:name w:val="网格型412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13">
    <w:name w:val="网格型5121"/>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1">
    <w:name w:val="网格型1212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21">
    <w:name w:val="网格型1312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12">
    <w:name w:val="网格型612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12">
    <w:name w:val="网格型712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12">
    <w:name w:val="网格型81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21">
    <w:name w:val="网格型9121"/>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1">
    <w:name w:val="网格型101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21">
    <w:name w:val="网格型141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1">
    <w:name w:val="网格型151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1">
    <w:name w:val="网格型1612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9">
    <w:name w:val="表格主题3121"/>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1">
    <w:name w:val="彩色型 11121"/>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210">
    <w:name w:val="彩色型 21121"/>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210">
    <w:name w:val="彩色型 31121"/>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121c">
    <w:name w:val="典雅型1121"/>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1212">
    <w:name w:val="古典型 1112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211">
    <w:name w:val="古典型 2112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211">
    <w:name w:val="古典型 31121"/>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210">
    <w:name w:val="古典型 41121"/>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1212">
    <w:name w:val="简明型 21121"/>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212">
    <w:name w:val="简明型 3112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213">
    <w:name w:val="精巧型 11121"/>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213">
    <w:name w:val="精巧型 21121"/>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214">
    <w:name w:val="立体型 11121"/>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214">
    <w:name w:val="立体型 21121"/>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213">
    <w:name w:val="立体型 31121"/>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215">
    <w:name w:val="列表型 11121"/>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215">
    <w:name w:val="列表型 21121"/>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214">
    <w:name w:val="列表型 31121"/>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211">
    <w:name w:val="列表型 4112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1210">
    <w:name w:val="列表型 5112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210">
    <w:name w:val="列表型 6112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1210">
    <w:name w:val="列表型 71121"/>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210">
    <w:name w:val="列表型 8112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121d">
    <w:name w:val="流行型1121"/>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216">
    <w:name w:val="竖列型 1112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216">
    <w:name w:val="竖列型 21121"/>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215">
    <w:name w:val="竖列型 31121"/>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212">
    <w:name w:val="竖列型 41121"/>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211">
    <w:name w:val="竖列型 51121"/>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1217">
    <w:name w:val="网格型 21121"/>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216">
    <w:name w:val="网格型 31121"/>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1213">
    <w:name w:val="网格型 41121"/>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212">
    <w:name w:val="网格型 51121"/>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211">
    <w:name w:val="网格型 6112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211">
    <w:name w:val="网格型 7112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211">
    <w:name w:val="网格型 81121"/>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217">
    <w:name w:val="网页型 11121"/>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218">
    <w:name w:val="网页型 21121"/>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217">
    <w:name w:val="网页型 31121"/>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21e">
    <w:name w:val="专业型112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21f">
    <w:name w:val="环评表格1121"/>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121">
    <w:name w:val="网格型17121"/>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9">
    <w:name w:val="网格型21121"/>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1">
    <w:name w:val="Table Normal21"/>
    <w:uiPriority w:val="2"/>
    <w:semiHidden/>
    <w:unhideWhenUsed/>
    <w:qFormat/>
    <w:pPr>
      <w:widowControl w:val="0"/>
      <w:autoSpaceDE w:val="0"/>
      <w:autoSpaceDN w:val="0"/>
    </w:pPr>
    <w:rPr>
      <w:rFonts w:ascii="Calibri" w:hAnsi="Calibri"/>
      <w:sz w:val="22"/>
      <w:lang w:eastAsia="en-US"/>
    </w:rPr>
    <w:tblPr>
      <w:tblCellMar>
        <w:top w:w="0" w:type="dxa"/>
        <w:left w:w="0" w:type="dxa"/>
        <w:bottom w:w="0" w:type="dxa"/>
        <w:right w:w="0" w:type="dxa"/>
      </w:tblCellMar>
    </w:tblPr>
  </w:style>
  <w:style w:type="table" w:customStyle="1" w:styleId="2510">
    <w:name w:val="网格型251"/>
    <w:basedOn w:val="a1"/>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6">
    <w:name w:val="表格主题71"/>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5">
    <w:name w:val="彩色型 151"/>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511">
    <w:name w:val="彩色型 251"/>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510">
    <w:name w:val="彩色型 351"/>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7">
    <w:name w:val="典雅型51"/>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516">
    <w:name w:val="古典型 151"/>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512">
    <w:name w:val="古典型 251"/>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511">
    <w:name w:val="古典型 351"/>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510">
    <w:name w:val="古典型 451"/>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41c">
    <w:name w:val="简明型 141"/>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513">
    <w:name w:val="简明型 251"/>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512">
    <w:name w:val="简明型 35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517">
    <w:name w:val="精巧型 151"/>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514">
    <w:name w:val="精巧型 251"/>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518">
    <w:name w:val="立体型 151"/>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515">
    <w:name w:val="立体型 251"/>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513">
    <w:name w:val="立体型 351"/>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519">
    <w:name w:val="列表型 151"/>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516">
    <w:name w:val="列表型 251"/>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514">
    <w:name w:val="列表型 351"/>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511">
    <w:name w:val="列表型 45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510">
    <w:name w:val="列表型 55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510">
    <w:name w:val="列表型 65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510">
    <w:name w:val="列表型 751"/>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510">
    <w:name w:val="列表型 85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518">
    <w:name w:val="流行型51"/>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51a">
    <w:name w:val="竖列型 15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517">
    <w:name w:val="竖列型 251"/>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515">
    <w:name w:val="竖列型 351"/>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512">
    <w:name w:val="竖列型 451"/>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511">
    <w:name w:val="竖列型 551"/>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41d">
    <w:name w:val="网格型 141"/>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2518">
    <w:name w:val="网格型 251"/>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516">
    <w:name w:val="网格型 351"/>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513">
    <w:name w:val="网格型 451"/>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512">
    <w:name w:val="网格型 551"/>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511">
    <w:name w:val="网格型 65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511">
    <w:name w:val="网格型 75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511">
    <w:name w:val="网格型 851"/>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b">
    <w:name w:val="网页型 151"/>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519">
    <w:name w:val="网页型 251"/>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517">
    <w:name w:val="网页型 351"/>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519">
    <w:name w:val="专业型51"/>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510">
    <w:name w:val="网格型115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0">
    <w:name w:val="网格型261"/>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a">
    <w:name w:val="环评表格51"/>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161">
    <w:name w:val="网格型116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e">
    <w:name w:val="表格主题141"/>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8">
    <w:name w:val="网格型34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a">
    <w:name w:val="表格主题24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f">
    <w:name w:val="灰度表格141"/>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4">
    <w:name w:val="网格型44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3">
    <w:name w:val="网格型541"/>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10">
    <w:name w:val="网格型124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
    <w:name w:val="网格型134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12">
    <w:name w:val="网格型64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12">
    <w:name w:val="网格型74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12">
    <w:name w:val="网格型84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41">
    <w:name w:val="网格型941"/>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1">
    <w:name w:val="网格型104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41">
    <w:name w:val="网格型144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1">
    <w:name w:val="网格型154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1">
    <w:name w:val="网格型164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9">
    <w:name w:val="表格主题341"/>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1">
    <w:name w:val="彩色型 1141"/>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410">
    <w:name w:val="彩色型 2141"/>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410">
    <w:name w:val="彩色型 3141"/>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41f0">
    <w:name w:val="典雅型141"/>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412">
    <w:name w:val="古典型 114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411">
    <w:name w:val="古典型 214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411">
    <w:name w:val="古典型 3141"/>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410">
    <w:name w:val="古典型 4141"/>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412">
    <w:name w:val="简明型 2141"/>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412">
    <w:name w:val="简明型 314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413">
    <w:name w:val="精巧型 1141"/>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413">
    <w:name w:val="精巧型 2141"/>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414">
    <w:name w:val="立体型 1141"/>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414">
    <w:name w:val="立体型 2141"/>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413">
    <w:name w:val="立体型 3141"/>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415">
    <w:name w:val="列表型 1141"/>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415">
    <w:name w:val="列表型 2141"/>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414">
    <w:name w:val="列表型 3141"/>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411">
    <w:name w:val="列表型 414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410">
    <w:name w:val="列表型 514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410">
    <w:name w:val="列表型 614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410">
    <w:name w:val="列表型 7141"/>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410">
    <w:name w:val="列表型 814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41f1">
    <w:name w:val="流行型141"/>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416">
    <w:name w:val="竖列型 114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416">
    <w:name w:val="竖列型 2141"/>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415">
    <w:name w:val="竖列型 3141"/>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412">
    <w:name w:val="竖列型 4141"/>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411">
    <w:name w:val="竖列型 5141"/>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417">
    <w:name w:val="网格型 2141"/>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416">
    <w:name w:val="网格型 3141"/>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413">
    <w:name w:val="网格型 4141"/>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412">
    <w:name w:val="网格型 5141"/>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411">
    <w:name w:val="网格型 614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411">
    <w:name w:val="网格型 714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411">
    <w:name w:val="网格型 8141"/>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417">
    <w:name w:val="网页型 1141"/>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418">
    <w:name w:val="网页型 2141"/>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417">
    <w:name w:val="网页型 3141"/>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41f2">
    <w:name w:val="专业型14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41f3">
    <w:name w:val="环评表格141"/>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41">
    <w:name w:val="网格型1741"/>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9">
    <w:name w:val="网格型2141"/>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xg131">
    <w:name w:val="网格型（pxg）1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5">
    <w:name w:val="表格主题431"/>
    <w:basedOn w:val="a1"/>
    <w:qFormat/>
    <w:pPr>
      <w:widowControl w:val="0"/>
      <w:spacing w:line="529"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8">
    <w:name w:val="网格型 1131"/>
    <w:basedOn w:val="a1"/>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1831">
    <w:name w:val="网格型18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10">
    <w:name w:val="网格型2231"/>
    <w:basedOn w:val="a1"/>
    <w:qFormat/>
    <w:pPr>
      <w:widowControl w:val="0"/>
      <w:adjustRightInd w:val="0"/>
      <w:spacing w:line="529" w:lineRule="exact"/>
      <w:ind w:firstLineChars="200"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9">
    <w:name w:val="简明型 1131"/>
    <w:basedOn w:val="a1"/>
    <w:qFormat/>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31b">
    <w:name w:val="环评表格231"/>
    <w:basedOn w:val="a1"/>
    <w:qFormat/>
    <w:pPr>
      <w:adjustRightInd w:val="0"/>
      <w:snapToGrid w:val="0"/>
      <w:spacing w:line="240" w:lineRule="exact"/>
      <w:jc w:val="center"/>
    </w:pPr>
    <w:rPr>
      <w:rFonts w:ascii="Calibri" w:eastAsia="汉鼎简书宋"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style>
  <w:style w:type="table" w:customStyle="1" w:styleId="12311">
    <w:name w:val="精巧型 1231"/>
    <w:basedOn w:val="a1"/>
    <w:qFormat/>
    <w:pPr>
      <w:widowControl w:val="0"/>
      <w:topLinePunct/>
      <w:spacing w:line="529" w:lineRule="exact"/>
      <w:ind w:firstLineChars="200" w:firstLine="48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2312">
    <w:name w:val="古典型 1231"/>
    <w:basedOn w:val="a1"/>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111310">
    <w:name w:val="网格型111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13">
    <w:name w:val="立体型 1231"/>
    <w:basedOn w:val="a1"/>
    <w:semiHidden/>
    <w:qFormat/>
    <w:pPr>
      <w:widowControl w:val="0"/>
      <w:spacing w:line="240" w:lineRule="exact"/>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1131a">
    <w:name w:val="表格主题1131"/>
    <w:basedOn w:val="a1"/>
    <w:qFormat/>
    <w:pPr>
      <w:widowControl w:val="0"/>
      <w:spacing w:line="240" w:lineRule="exac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14">
    <w:name w:val="彩色型 1231"/>
    <w:basedOn w:val="a1"/>
    <w:qFormat/>
    <w:pPr>
      <w:widowControl w:val="0"/>
      <w:spacing w:line="240" w:lineRule="exact"/>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2311">
    <w:name w:val="彩色型 2231"/>
    <w:basedOn w:val="a1"/>
    <w:qFormat/>
    <w:pPr>
      <w:widowControl w:val="0"/>
      <w:spacing w:line="240" w:lineRule="exact"/>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2310">
    <w:name w:val="彩色型 3231"/>
    <w:basedOn w:val="a1"/>
    <w:qFormat/>
    <w:pPr>
      <w:widowControl w:val="0"/>
      <w:spacing w:line="240" w:lineRule="exact"/>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231c">
    <w:name w:val="典雅型231"/>
    <w:basedOn w:val="a1"/>
    <w:qFormat/>
    <w:pPr>
      <w:widowControl w:val="0"/>
      <w:spacing w:line="240" w:lineRule="exact"/>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2312">
    <w:name w:val="古典型 2231"/>
    <w:basedOn w:val="a1"/>
    <w:semiHidden/>
    <w:qFormat/>
    <w:pPr>
      <w:widowControl w:val="0"/>
      <w:spacing w:line="240" w:lineRule="exact"/>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2311">
    <w:name w:val="古典型 3231"/>
    <w:basedOn w:val="a1"/>
    <w:semiHidden/>
    <w:qFormat/>
    <w:pPr>
      <w:widowControl w:val="0"/>
      <w:spacing w:line="240" w:lineRule="exact"/>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2310">
    <w:name w:val="古典型 4231"/>
    <w:basedOn w:val="a1"/>
    <w:semiHidden/>
    <w:qFormat/>
    <w:pPr>
      <w:widowControl w:val="0"/>
      <w:spacing w:line="240" w:lineRule="exact"/>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2313">
    <w:name w:val="简明型 2231"/>
    <w:basedOn w:val="a1"/>
    <w:semiHidden/>
    <w:qFormat/>
    <w:pPr>
      <w:widowControl w:val="0"/>
      <w:spacing w:line="240" w:lineRule="exact"/>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2312">
    <w:name w:val="简明型 323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22314">
    <w:name w:val="精巧型 2231"/>
    <w:basedOn w:val="a1"/>
    <w:semiHidden/>
    <w:qFormat/>
    <w:pPr>
      <w:widowControl w:val="0"/>
      <w:spacing w:line="240" w:lineRule="exact"/>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315">
    <w:name w:val="立体型 2231"/>
    <w:basedOn w:val="a1"/>
    <w:semiHidden/>
    <w:qFormat/>
    <w:pPr>
      <w:widowControl w:val="0"/>
      <w:spacing w:line="240" w:lineRule="exact"/>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2313">
    <w:name w:val="立体型 3231"/>
    <w:basedOn w:val="a1"/>
    <w:semiHidden/>
    <w:qFormat/>
    <w:pPr>
      <w:widowControl w:val="0"/>
      <w:spacing w:line="240" w:lineRule="exact"/>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2315">
    <w:name w:val="列表型 1231"/>
    <w:basedOn w:val="a1"/>
    <w:semiHidden/>
    <w:qFormat/>
    <w:pPr>
      <w:widowControl w:val="0"/>
      <w:spacing w:line="240" w:lineRule="exact"/>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2316">
    <w:name w:val="列表型 2231"/>
    <w:basedOn w:val="a1"/>
    <w:semiHidden/>
    <w:qFormat/>
    <w:pPr>
      <w:widowControl w:val="0"/>
      <w:spacing w:line="240" w:lineRule="exact"/>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2314">
    <w:name w:val="列表型 3231"/>
    <w:basedOn w:val="a1"/>
    <w:semiHidden/>
    <w:qFormat/>
    <w:pPr>
      <w:widowControl w:val="0"/>
      <w:spacing w:line="240" w:lineRule="exact"/>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2311">
    <w:name w:val="列表型 423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2310">
    <w:name w:val="列表型 523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231">
    <w:name w:val="列表型 623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231">
    <w:name w:val="列表型 7231"/>
    <w:basedOn w:val="a1"/>
    <w:semiHidden/>
    <w:qFormat/>
    <w:pPr>
      <w:widowControl w:val="0"/>
      <w:spacing w:line="240" w:lineRule="exact"/>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231">
    <w:name w:val="列表型 8231"/>
    <w:basedOn w:val="a1"/>
    <w:semiHidden/>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231d">
    <w:name w:val="流行型231"/>
    <w:basedOn w:val="a1"/>
    <w:semiHidden/>
    <w:qFormat/>
    <w:pPr>
      <w:widowControl w:val="0"/>
      <w:spacing w:line="240" w:lineRule="exact"/>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316">
    <w:name w:val="竖列型 123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2317">
    <w:name w:val="竖列型 2231"/>
    <w:basedOn w:val="a1"/>
    <w:semiHidden/>
    <w:qFormat/>
    <w:pPr>
      <w:widowControl w:val="0"/>
      <w:spacing w:line="240" w:lineRule="exact"/>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2315">
    <w:name w:val="竖列型 3231"/>
    <w:basedOn w:val="a1"/>
    <w:semiHidden/>
    <w:qFormat/>
    <w:pPr>
      <w:widowControl w:val="0"/>
      <w:spacing w:line="240" w:lineRule="exact"/>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2312">
    <w:name w:val="竖列型 4231"/>
    <w:basedOn w:val="a1"/>
    <w:semiHidden/>
    <w:qFormat/>
    <w:pPr>
      <w:widowControl w:val="0"/>
      <w:spacing w:line="240" w:lineRule="exact"/>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311">
    <w:name w:val="竖列型 5231"/>
    <w:basedOn w:val="a1"/>
    <w:semiHidden/>
    <w:qFormat/>
    <w:pPr>
      <w:widowControl w:val="0"/>
      <w:spacing w:line="240" w:lineRule="exact"/>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2318">
    <w:name w:val="网格型 2231"/>
    <w:basedOn w:val="a1"/>
    <w:semiHidden/>
    <w:qFormat/>
    <w:pPr>
      <w:widowControl w:val="0"/>
      <w:spacing w:line="240" w:lineRule="exact"/>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2316">
    <w:name w:val="网格型 3231"/>
    <w:basedOn w:val="a1"/>
    <w:semiHidden/>
    <w:qFormat/>
    <w:pPr>
      <w:widowControl w:val="0"/>
      <w:spacing w:line="240" w:lineRule="exact"/>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2313">
    <w:name w:val="网格型 4231"/>
    <w:basedOn w:val="a1"/>
    <w:semiHidden/>
    <w:qFormat/>
    <w:pPr>
      <w:widowControl w:val="0"/>
      <w:spacing w:line="240" w:lineRule="exact"/>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2312">
    <w:name w:val="网格型 5231"/>
    <w:basedOn w:val="a1"/>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2310">
    <w:name w:val="网格型 6231"/>
    <w:basedOn w:val="a1"/>
    <w:semiHidden/>
    <w:qFormat/>
    <w:pPr>
      <w:widowControl w:val="0"/>
      <w:spacing w:line="240" w:lineRule="exact"/>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2310">
    <w:name w:val="网格型 7231"/>
    <w:basedOn w:val="a1"/>
    <w:semiHidden/>
    <w:qFormat/>
    <w:pPr>
      <w:widowControl w:val="0"/>
      <w:spacing w:line="240" w:lineRule="exact"/>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2310">
    <w:name w:val="网格型 8231"/>
    <w:basedOn w:val="a1"/>
    <w:semiHidden/>
    <w:qFormat/>
    <w:pPr>
      <w:widowControl w:val="0"/>
      <w:spacing w:line="240" w:lineRule="exact"/>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317">
    <w:name w:val="网页型 1231"/>
    <w:basedOn w:val="a1"/>
    <w:semiHidden/>
    <w:qFormat/>
    <w:pPr>
      <w:widowControl w:val="0"/>
      <w:spacing w:line="240" w:lineRule="exact"/>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2319">
    <w:name w:val="网页型 2231"/>
    <w:basedOn w:val="a1"/>
    <w:semiHidden/>
    <w:qFormat/>
    <w:pPr>
      <w:widowControl w:val="0"/>
      <w:spacing w:line="240" w:lineRule="exact"/>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2317">
    <w:name w:val="网页型 3231"/>
    <w:basedOn w:val="a1"/>
    <w:semiHidden/>
    <w:qFormat/>
    <w:pPr>
      <w:widowControl w:val="0"/>
      <w:spacing w:line="240" w:lineRule="exact"/>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31e">
    <w:name w:val="专业型231"/>
    <w:basedOn w:val="a1"/>
    <w:qFormat/>
    <w:pPr>
      <w:widowControl w:val="0"/>
      <w:spacing w:line="240" w:lineRule="exact"/>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31318">
    <w:name w:val="网格型31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a">
    <w:name w:val="表格主题21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b">
    <w:name w:val="灰度表格1131"/>
    <w:basedOn w:val="a1"/>
    <w:qFormat/>
    <w:pPr>
      <w:widowControl w:val="0"/>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4">
    <w:name w:val="网格型41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13">
    <w:name w:val="网格型5131"/>
    <w:basedOn w:val="a1"/>
    <w:qFormat/>
    <w:pPr>
      <w:widowControl w:val="0"/>
      <w:topLinePunct/>
      <w:spacing w:line="529" w:lineRule="exact"/>
      <w:ind w:firstLineChars="200" w:firstLine="20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31">
    <w:name w:val="网格型121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31">
    <w:name w:val="网格型13131"/>
    <w:basedOn w:val="a1"/>
    <w:qFormat/>
    <w:pPr>
      <w:widowControl w:val="0"/>
      <w:adjustRightInd w:val="0"/>
      <w:spacing w:line="529" w:lineRule="exact"/>
      <w:ind w:firstLine="480"/>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12">
    <w:name w:val="网格型613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12">
    <w:name w:val="网格型7131"/>
    <w:basedOn w:val="a1"/>
    <w:qFormat/>
    <w:pPr>
      <w:widowControl w:val="0"/>
      <w:spacing w:line="529" w:lineRule="exact"/>
      <w:ind w:firstLine="482"/>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312">
    <w:name w:val="网格型81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31">
    <w:name w:val="网格型9131"/>
    <w:basedOn w:val="a1"/>
    <w:qFormat/>
    <w:pPr>
      <w:widowControl w:val="0"/>
      <w:adjustRightInd w:val="0"/>
      <w:spacing w:line="529" w:lineRule="exact"/>
      <w:ind w:firstLine="48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1">
    <w:name w:val="网格型101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31">
    <w:name w:val="网格型141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31">
    <w:name w:val="网格型151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31">
    <w:name w:val="网格型16131"/>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9">
    <w:name w:val="表格主题3131"/>
    <w:basedOn w:val="a1"/>
    <w:semiHidden/>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11">
    <w:name w:val="彩色型 11131"/>
    <w:basedOn w:val="a1"/>
    <w:semiHidden/>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310">
    <w:name w:val="彩色型 21131"/>
    <w:basedOn w:val="a1"/>
    <w:semiHidden/>
    <w:qFormat/>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310">
    <w:name w:val="彩色型 31131"/>
    <w:basedOn w:val="a1"/>
    <w:semiHidden/>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1131c">
    <w:name w:val="典雅型1131"/>
    <w:basedOn w:val="a1"/>
    <w:semiHidden/>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1312">
    <w:name w:val="古典型 1113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311">
    <w:name w:val="古典型 21131"/>
    <w:basedOn w:val="a1"/>
    <w:semiHidden/>
    <w:qFormat/>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311">
    <w:name w:val="古典型 31131"/>
    <w:basedOn w:val="a1"/>
    <w:semiHidden/>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310">
    <w:name w:val="古典型 41131"/>
    <w:basedOn w:val="a1"/>
    <w:semiHidden/>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211312">
    <w:name w:val="简明型 21131"/>
    <w:basedOn w:val="a1"/>
    <w:semiHidden/>
    <w:qFormat/>
    <w:pPr>
      <w:widowControl w:val="0"/>
      <w:jc w:val="both"/>
    </w:pPr>
    <w:rPr>
      <w:rFonts w:ascii="Calibri" w:hAnsi="Calibri"/>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312">
    <w:name w:val="简明型 3113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313">
    <w:name w:val="精巧型 11131"/>
    <w:basedOn w:val="a1"/>
    <w:semiHidden/>
    <w:qFormat/>
    <w:pPr>
      <w:widowControl w:val="0"/>
      <w:jc w:val="both"/>
    </w:pPr>
    <w:rPr>
      <w:rFonts w:ascii="Calibri" w:hAnsi="Calibri"/>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313">
    <w:name w:val="精巧型 21131"/>
    <w:basedOn w:val="a1"/>
    <w:semiHidden/>
    <w:qFormat/>
    <w:pPr>
      <w:widowControl w:val="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314">
    <w:name w:val="立体型 11131"/>
    <w:basedOn w:val="a1"/>
    <w:semiHidden/>
    <w:qFormat/>
    <w:pPr>
      <w:widowControl w:val="0"/>
      <w:jc w:val="both"/>
    </w:pPr>
    <w:rPr>
      <w:rFonts w:ascii="Calibri" w:hAnsi="Calibri"/>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314">
    <w:name w:val="立体型 21131"/>
    <w:basedOn w:val="a1"/>
    <w:semiHidden/>
    <w:qFormat/>
    <w:pPr>
      <w:widowControl w:val="0"/>
      <w:jc w:val="both"/>
    </w:pPr>
    <w:rPr>
      <w:rFonts w:ascii="Calibri" w:hAnsi="Calibri"/>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313">
    <w:name w:val="立体型 31131"/>
    <w:basedOn w:val="a1"/>
    <w:semiHidden/>
    <w:qFormat/>
    <w:pPr>
      <w:widowControl w:val="0"/>
      <w:jc w:val="both"/>
    </w:pPr>
    <w:rPr>
      <w:rFonts w:ascii="Calibri" w:hAnsi="Calibri"/>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315">
    <w:name w:val="列表型 11131"/>
    <w:basedOn w:val="a1"/>
    <w:semiHidden/>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315">
    <w:name w:val="列表型 21131"/>
    <w:basedOn w:val="a1"/>
    <w:semiHidden/>
    <w:qFormat/>
    <w:pPr>
      <w:widowControl w:val="0"/>
      <w:jc w:val="both"/>
    </w:pPr>
    <w:rPr>
      <w:rFonts w:ascii="Calibri" w:hAnsi="Calibri"/>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314">
    <w:name w:val="列表型 31131"/>
    <w:basedOn w:val="a1"/>
    <w:semiHidden/>
    <w:qFormat/>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311">
    <w:name w:val="列表型 4113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1310">
    <w:name w:val="列表型 5113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31">
    <w:name w:val="列表型 6113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131">
    <w:name w:val="列表型 71131"/>
    <w:basedOn w:val="a1"/>
    <w:semiHidden/>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31">
    <w:name w:val="列表型 8113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131d">
    <w:name w:val="流行型1131"/>
    <w:basedOn w:val="a1"/>
    <w:semiHidden/>
    <w:qFormat/>
    <w:pPr>
      <w:widowControl w:val="0"/>
      <w:jc w:val="both"/>
    </w:pPr>
    <w:rPr>
      <w:rFonts w:ascii="Calibri" w:hAnsi="Calibr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316">
    <w:name w:val="竖列型 1113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316">
    <w:name w:val="竖列型 21131"/>
    <w:basedOn w:val="a1"/>
    <w:semiHidden/>
    <w:qFormat/>
    <w:pPr>
      <w:widowControl w:val="0"/>
      <w:jc w:val="both"/>
    </w:pPr>
    <w:rPr>
      <w:rFonts w:ascii="Calibri" w:hAnsi="Calibri"/>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315">
    <w:name w:val="竖列型 31131"/>
    <w:basedOn w:val="a1"/>
    <w:semiHidden/>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312">
    <w:name w:val="竖列型 41131"/>
    <w:basedOn w:val="a1"/>
    <w:semiHidden/>
    <w:qFormat/>
    <w:pPr>
      <w:widowControl w:val="0"/>
      <w:jc w:val="both"/>
    </w:pPr>
    <w:rPr>
      <w:rFonts w:ascii="Calibri" w:hAnsi="Calibri"/>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311">
    <w:name w:val="竖列型 51131"/>
    <w:basedOn w:val="a1"/>
    <w:semiHidden/>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211317">
    <w:name w:val="网格型 21131"/>
    <w:basedOn w:val="a1"/>
    <w:semiHidden/>
    <w:qFormat/>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316">
    <w:name w:val="网格型 31131"/>
    <w:basedOn w:val="a1"/>
    <w:semiHidden/>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1313">
    <w:name w:val="网格型 41131"/>
    <w:basedOn w:val="a1"/>
    <w:semiHidden/>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312">
    <w:name w:val="网格型 51131"/>
    <w:basedOn w:val="a1"/>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310">
    <w:name w:val="网格型 61131"/>
    <w:basedOn w:val="a1"/>
    <w:semiHidden/>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310">
    <w:name w:val="网格型 71131"/>
    <w:basedOn w:val="a1"/>
    <w:semiHidden/>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310">
    <w:name w:val="网格型 81131"/>
    <w:basedOn w:val="a1"/>
    <w:semiHidden/>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317">
    <w:name w:val="网页型 11131"/>
    <w:basedOn w:val="a1"/>
    <w:semiHidden/>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318">
    <w:name w:val="网页型 21131"/>
    <w:basedOn w:val="a1"/>
    <w:semiHidden/>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317">
    <w:name w:val="网页型 31131"/>
    <w:basedOn w:val="a1"/>
    <w:semiHidden/>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31e">
    <w:name w:val="专业型1131"/>
    <w:basedOn w:val="a1"/>
    <w:semiHidden/>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31f">
    <w:name w:val="环评表格1131"/>
    <w:basedOn w:val="a1"/>
    <w:qFormat/>
    <w:pPr>
      <w:spacing w:line="240" w:lineRule="exact"/>
      <w:jc w:val="center"/>
    </w:pPr>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cPr>
      <w:vAlign w:val="center"/>
    </w:tcPr>
  </w:style>
  <w:style w:type="table" w:customStyle="1" w:styleId="17131">
    <w:name w:val="网格型17131"/>
    <w:basedOn w:val="a1"/>
    <w:semiHidden/>
    <w:qFormat/>
    <w:pPr>
      <w:widowControl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19">
    <w:name w:val="网格型21131"/>
    <w:basedOn w:val="a1"/>
    <w:semiHidden/>
    <w:qFormat/>
    <w:pPr>
      <w:keepLines/>
      <w:widowControl w:val="0"/>
      <w:autoSpaceDE w:val="0"/>
      <w:autoSpaceDN w:val="0"/>
      <w:adjustRightInd w:val="0"/>
      <w:spacing w:line="240" w:lineRule="exact"/>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
    <w:name w:val="Table Normal31"/>
    <w:uiPriority w:val="2"/>
    <w:semiHidden/>
    <w:unhideWhenUsed/>
    <w:qFormat/>
    <w:pPr>
      <w:widowControl w:val="0"/>
      <w:autoSpaceDE w:val="0"/>
      <w:autoSpaceDN w:val="0"/>
    </w:pPr>
    <w:rPr>
      <w:rFonts w:ascii="Calibri" w:hAnsi="Calibri"/>
      <w:sz w:val="22"/>
      <w:lang w:eastAsia="en-US"/>
    </w:rPr>
    <w:tblPr>
      <w:tblCellMar>
        <w:top w:w="0" w:type="dxa"/>
        <w:left w:w="0" w:type="dxa"/>
        <w:bottom w:w="0" w:type="dxa"/>
        <w:right w:w="0" w:type="dxa"/>
      </w:tblCellMar>
    </w:tblPr>
  </w:style>
  <w:style w:type="character" w:customStyle="1" w:styleId="Char2fd">
    <w:name w:val="页眉 Char2"/>
    <w:uiPriority w:val="99"/>
    <w:qFormat/>
    <w:rPr>
      <w:rFonts w:eastAsia="宋体"/>
      <w:kern w:val="2"/>
      <w:sz w:val="18"/>
      <w:lang w:val="en-US" w:eastAsia="zh-CN"/>
    </w:rPr>
  </w:style>
  <w:style w:type="table" w:customStyle="1" w:styleId="290">
    <w:name w:val="网格型29"/>
    <w:basedOn w:val="a1"/>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网格型30"/>
    <w:basedOn w:val="a1"/>
    <w:uiPriority w:val="99"/>
    <w:qFormat/>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9">
    <w:name w:val="网格型36"/>
    <w:basedOn w:val="a1"/>
    <w:uiPriority w:val="99"/>
    <w:qFormat/>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3">
    <w:name w:val="标题 3 Char3"/>
    <w:qFormat/>
    <w:rPr>
      <w:rFonts w:eastAsia="宋体"/>
      <w:b/>
      <w:kern w:val="2"/>
      <w:sz w:val="32"/>
      <w:lang w:val="en-US" w:eastAsia="zh-CN"/>
    </w:rPr>
  </w:style>
  <w:style w:type="character" w:customStyle="1" w:styleId="4Char3">
    <w:name w:val="标题 4 Char3"/>
    <w:uiPriority w:val="9"/>
    <w:qFormat/>
    <w:rPr>
      <w:rFonts w:ascii="Arial" w:eastAsia="黑体" w:hAnsi="Arial"/>
      <w:b/>
      <w:kern w:val="2"/>
      <w:sz w:val="28"/>
      <w:lang w:val="en-US" w:eastAsia="zh-CN"/>
    </w:rPr>
  </w:style>
  <w:style w:type="paragraph" w:customStyle="1" w:styleId="00-bg">
    <w:name w:val="00-bg"/>
    <w:basedOn w:val="a"/>
    <w:qFormat/>
    <w:pPr>
      <w:widowControl/>
      <w:adjustRightInd w:val="0"/>
      <w:snapToGrid w:val="0"/>
      <w:jc w:val="center"/>
    </w:pPr>
    <w:rPr>
      <w:rFonts w:ascii="Times New Roman" w:hAnsi="Times New Roman"/>
      <w:color w:val="000000"/>
      <w:kern w:val="0"/>
      <w:sz w:val="21"/>
      <w:szCs w:val="21"/>
    </w:rPr>
  </w:style>
  <w:style w:type="paragraph" w:customStyle="1" w:styleId="000-bt">
    <w:name w:val="000-bt"/>
    <w:basedOn w:val="a"/>
    <w:qFormat/>
    <w:pPr>
      <w:topLinePunct/>
      <w:adjustRightInd w:val="0"/>
      <w:snapToGrid w:val="0"/>
      <w:spacing w:line="440" w:lineRule="exact"/>
      <w:jc w:val="center"/>
    </w:pPr>
    <w:rPr>
      <w:rFonts w:ascii="Times New Roman" w:hAnsi="Times New Roman"/>
      <w:b/>
      <w:bCs/>
      <w:kern w:val="0"/>
      <w:szCs w:val="28"/>
    </w:rPr>
  </w:style>
  <w:style w:type="paragraph" w:customStyle="1" w:styleId="000-xh">
    <w:name w:val="000-xh"/>
    <w:basedOn w:val="a"/>
    <w:qFormat/>
    <w:pPr>
      <w:spacing w:line="440" w:lineRule="exact"/>
      <w:outlineLvl w:val="4"/>
    </w:pPr>
    <w:rPr>
      <w:rFonts w:ascii="Times New Roman" w:hAnsi="Times New Roman"/>
      <w:color w:val="0070C0"/>
      <w:szCs w:val="21"/>
      <w:lang w:val="en-GB"/>
    </w:rPr>
  </w:style>
  <w:style w:type="paragraph" w:customStyle="1" w:styleId="0030">
    <w:name w:val="003"/>
    <w:basedOn w:val="a"/>
    <w:qFormat/>
    <w:pPr>
      <w:keepNext/>
      <w:keepLines/>
      <w:spacing w:before="120" w:after="120" w:line="440" w:lineRule="exact"/>
      <w:outlineLvl w:val="2"/>
    </w:pPr>
    <w:rPr>
      <w:rFonts w:ascii="Times New Roman" w:hAnsi="Times New Roman"/>
      <w:b/>
      <w:bCs/>
      <w:color w:val="0070C0"/>
      <w:szCs w:val="21"/>
    </w:rPr>
  </w:style>
  <w:style w:type="paragraph" w:customStyle="1" w:styleId="000-zw">
    <w:name w:val="000-zw"/>
    <w:basedOn w:val="afd"/>
    <w:qFormat/>
    <w:pPr>
      <w:spacing w:line="440" w:lineRule="exact"/>
      <w:ind w:firstLine="480"/>
    </w:pPr>
    <w:rPr>
      <w:rFonts w:ascii="Times New Roman" w:eastAsia="宋体" w:hAnsi="Times New Roman"/>
      <w:color w:val="000000" w:themeColor="text1"/>
      <w:szCs w:val="24"/>
      <w:lang w:val="zh-CN"/>
    </w:rPr>
  </w:style>
  <w:style w:type="character" w:customStyle="1" w:styleId="1ffff2">
    <w:name w:val="已访问的超链接1"/>
    <w:qFormat/>
    <w:rPr>
      <w:color w:val="800080"/>
      <w:u w:val="single"/>
    </w:rPr>
  </w:style>
  <w:style w:type="character" w:customStyle="1" w:styleId="font01">
    <w:name w:val="font01"/>
    <w:basedOn w:val="a0"/>
    <w:qFormat/>
    <w:rPr>
      <w:rFonts w:ascii="Times New Roman" w:hAnsi="Times New Roman" w:cs="Times New Roman" w:hint="default"/>
      <w:color w:val="FF0000"/>
      <w:sz w:val="21"/>
      <w:szCs w:val="21"/>
      <w:u w:val="none"/>
      <w:vertAlign w:val="superscript"/>
    </w:rPr>
  </w:style>
  <w:style w:type="character" w:customStyle="1" w:styleId="font31">
    <w:name w:val="font31"/>
    <w:basedOn w:val="a0"/>
    <w:qFormat/>
    <w:rPr>
      <w:rFonts w:ascii="Times New Roman" w:hAnsi="Times New Roman" w:cs="Times New Roman" w:hint="default"/>
      <w:color w:val="000000"/>
      <w:sz w:val="21"/>
      <w:szCs w:val="21"/>
      <w:u w:val="none"/>
      <w:vertAlign w:val="superscript"/>
    </w:rPr>
  </w:style>
  <w:style w:type="character" w:customStyle="1" w:styleId="font41">
    <w:name w:val="font41"/>
    <w:basedOn w:val="a0"/>
    <w:qFormat/>
    <w:rPr>
      <w:rFonts w:ascii="宋体" w:eastAsia="宋体" w:hAnsi="宋体" w:cs="宋体" w:hint="eastAsia"/>
      <w:color w:val="FF0000"/>
      <w:sz w:val="21"/>
      <w:szCs w:val="21"/>
      <w:u w:val="none"/>
    </w:rPr>
  </w:style>
  <w:style w:type="character" w:customStyle="1" w:styleId="1ffff3">
    <w:name w:val="标题 字符1"/>
    <w:basedOn w:val="a0"/>
    <w:uiPriority w:val="10"/>
    <w:qFormat/>
    <w:rPr>
      <w:rFonts w:asciiTheme="majorHAnsi" w:eastAsiaTheme="majorEastAsia" w:hAnsiTheme="majorHAnsi" w:cstheme="majorBidi"/>
      <w:b/>
      <w:bCs/>
      <w:sz w:val="32"/>
      <w:szCs w:val="32"/>
    </w:rPr>
  </w:style>
  <w:style w:type="character" w:customStyle="1" w:styleId="1ffff4">
    <w:name w:val="副标题 字符1"/>
    <w:basedOn w:val="a0"/>
    <w:uiPriority w:val="11"/>
    <w:qFormat/>
    <w:rPr>
      <w:b/>
      <w:bCs/>
      <w:kern w:val="28"/>
      <w:sz w:val="32"/>
      <w:szCs w:val="32"/>
    </w:rPr>
  </w:style>
  <w:style w:type="character" w:customStyle="1" w:styleId="1ffff5">
    <w:name w:val="文档结构图 字符1"/>
    <w:basedOn w:val="a0"/>
    <w:uiPriority w:val="99"/>
    <w:semiHidden/>
    <w:qFormat/>
    <w:rPr>
      <w:rFonts w:ascii="Microsoft YaHei UI" w:eastAsia="Microsoft YaHei UI"/>
      <w:sz w:val="18"/>
      <w:szCs w:val="18"/>
    </w:rPr>
  </w:style>
  <w:style w:type="character" w:customStyle="1" w:styleId="1ffff6">
    <w:name w:val="正文文本缩进 字符1"/>
    <w:basedOn w:val="a0"/>
    <w:uiPriority w:val="99"/>
    <w:qFormat/>
  </w:style>
  <w:style w:type="character" w:customStyle="1" w:styleId="1ffff7">
    <w:name w:val="批注文字 字符1"/>
    <w:basedOn w:val="a0"/>
    <w:uiPriority w:val="99"/>
    <w:qFormat/>
  </w:style>
  <w:style w:type="character" w:customStyle="1" w:styleId="21f7">
    <w:name w:val="正文文本缩进 2 字符1"/>
    <w:basedOn w:val="a0"/>
    <w:uiPriority w:val="99"/>
    <w:qFormat/>
  </w:style>
  <w:style w:type="character" w:customStyle="1" w:styleId="31f3">
    <w:name w:val="正文文本 3 字符1"/>
    <w:basedOn w:val="a0"/>
    <w:uiPriority w:val="99"/>
    <w:qFormat/>
    <w:rPr>
      <w:sz w:val="16"/>
      <w:szCs w:val="16"/>
    </w:rPr>
  </w:style>
  <w:style w:type="character" w:customStyle="1" w:styleId="1ffff8">
    <w:name w:val="批注框文本 字符1"/>
    <w:basedOn w:val="a0"/>
    <w:uiPriority w:val="99"/>
    <w:qFormat/>
    <w:rPr>
      <w:sz w:val="18"/>
      <w:szCs w:val="18"/>
    </w:rPr>
  </w:style>
  <w:style w:type="character" w:customStyle="1" w:styleId="1ffff9">
    <w:name w:val="引用 字符1"/>
    <w:basedOn w:val="a0"/>
    <w:uiPriority w:val="29"/>
    <w:qFormat/>
    <w:rPr>
      <w:i/>
      <w:iCs/>
      <w:color w:val="404040" w:themeColor="text1" w:themeTint="BF"/>
    </w:rPr>
  </w:style>
  <w:style w:type="character" w:customStyle="1" w:styleId="31f4">
    <w:name w:val="正文文本缩进 3 字符1"/>
    <w:basedOn w:val="a0"/>
    <w:uiPriority w:val="99"/>
    <w:qFormat/>
    <w:rPr>
      <w:sz w:val="16"/>
      <w:szCs w:val="16"/>
    </w:rPr>
  </w:style>
  <w:style w:type="character" w:customStyle="1" w:styleId="1ffffa">
    <w:name w:val="称呼 字符1"/>
    <w:basedOn w:val="a0"/>
    <w:uiPriority w:val="99"/>
    <w:qFormat/>
  </w:style>
  <w:style w:type="character" w:customStyle="1" w:styleId="1ffffb">
    <w:name w:val="日期 字符1"/>
    <w:basedOn w:val="a0"/>
    <w:uiPriority w:val="99"/>
    <w:qFormat/>
  </w:style>
  <w:style w:type="character" w:customStyle="1" w:styleId="21f8">
    <w:name w:val="正文文本 2 字符1"/>
    <w:basedOn w:val="a0"/>
    <w:uiPriority w:val="99"/>
    <w:qFormat/>
  </w:style>
  <w:style w:type="character" w:customStyle="1" w:styleId="1ffffc">
    <w:name w:val="明显引用 字符1"/>
    <w:basedOn w:val="a0"/>
    <w:uiPriority w:val="30"/>
    <w:qFormat/>
    <w:rPr>
      <w:i/>
      <w:iCs/>
      <w:color w:val="5B9BD5" w:themeColor="accent1"/>
    </w:rPr>
  </w:style>
  <w:style w:type="character" w:customStyle="1" w:styleId="1ffffd">
    <w:name w:val="结束语 字符1"/>
    <w:basedOn w:val="a0"/>
    <w:uiPriority w:val="99"/>
    <w:semiHidden/>
    <w:qFormat/>
  </w:style>
  <w:style w:type="character" w:customStyle="1" w:styleId="1ffffe">
    <w:name w:val="纯文本 字符1"/>
    <w:basedOn w:val="a0"/>
    <w:uiPriority w:val="99"/>
    <w:qFormat/>
    <w:rPr>
      <w:rFonts w:asciiTheme="minorEastAsia" w:hAnsi="Courier New" w:cs="Courier New"/>
    </w:rPr>
  </w:style>
  <w:style w:type="character" w:customStyle="1" w:styleId="12f8">
    <w:name w:val="标题 1 字符2"/>
    <w:qFormat/>
    <w:rPr>
      <w:rFonts w:ascii="仿宋_GB2312" w:eastAsia="宋体" w:hAnsi="宋体" w:cs="Times New Roman"/>
      <w:b/>
      <w:bCs/>
      <w:kern w:val="44"/>
      <w:sz w:val="32"/>
      <w:szCs w:val="44"/>
      <w:lang w:val="zh-CN" w:eastAsia="zh-CN"/>
    </w:rPr>
  </w:style>
  <w:style w:type="character" w:customStyle="1" w:styleId="2ffff3">
    <w:name w:val="正文文本缩进 字符2"/>
    <w:qFormat/>
    <w:rPr>
      <w:rFonts w:ascii="华文宋体" w:eastAsia="华文宋体" w:hAnsi="华文宋体" w:cs="Times New Roman"/>
      <w:szCs w:val="21"/>
      <w:lang w:val="zh-CN" w:eastAsia="zh-CN"/>
    </w:rPr>
  </w:style>
  <w:style w:type="character" w:customStyle="1" w:styleId="Charfffffe">
    <w:name w:val="页脚 Char"/>
    <w:uiPriority w:val="99"/>
    <w:qFormat/>
    <w:rPr>
      <w:rFonts w:eastAsia="MS Gothic" w:cs="MS Gothic"/>
      <w:kern w:val="2"/>
      <w:sz w:val="18"/>
      <w:szCs w:val="18"/>
    </w:rPr>
  </w:style>
  <w:style w:type="paragraph" w:customStyle="1" w:styleId="1126152">
    <w:name w:val="样式 样式 标题 1 + 宋体 三号 居中 段前: 12 磅 段后: 6 磅 行距: 1.5 倍行距 + 首行缩进:  2 字符"/>
    <w:basedOn w:val="a"/>
    <w:qFormat/>
    <w:pPr>
      <w:keepNext/>
      <w:keepLines/>
      <w:spacing w:before="240" w:after="120" w:line="360" w:lineRule="auto"/>
      <w:ind w:firstLineChars="200" w:firstLine="643"/>
      <w:jc w:val="center"/>
      <w:outlineLvl w:val="0"/>
    </w:pPr>
    <w:rPr>
      <w:rFonts w:cs="宋体"/>
      <w:b/>
      <w:bCs/>
      <w:kern w:val="44"/>
      <w:sz w:val="32"/>
    </w:rPr>
  </w:style>
  <w:style w:type="paragraph" w:customStyle="1" w:styleId="210515">
    <w:name w:val="样式 标题 2 + 宋体 小三 居中 段前: 10磅 段后: 5磅 行距: 1.5 倍行距"/>
    <w:basedOn w:val="2"/>
    <w:link w:val="210515Char"/>
    <w:qFormat/>
    <w:pPr>
      <w:spacing w:before="300" w:after="100" w:line="360" w:lineRule="auto"/>
      <w:ind w:firstLineChars="200" w:firstLine="200"/>
      <w:jc w:val="center"/>
    </w:pPr>
    <w:rPr>
      <w:rFonts w:eastAsia="宋体"/>
      <w:b/>
      <w:bCs/>
      <w:sz w:val="30"/>
      <w:lang w:val="zh-CN"/>
    </w:rPr>
  </w:style>
  <w:style w:type="paragraph" w:customStyle="1" w:styleId="affffffffffffffffffffff5">
    <w:name w:val="章节条"/>
    <w:basedOn w:val="a"/>
    <w:qFormat/>
    <w:pPr>
      <w:spacing w:beforeLines="50" w:afterLines="50"/>
      <w:ind w:firstLineChars="198" w:firstLine="198"/>
      <w:outlineLvl w:val="4"/>
    </w:pPr>
    <w:rPr>
      <w:b/>
      <w:sz w:val="28"/>
      <w:szCs w:val="28"/>
    </w:rPr>
  </w:style>
  <w:style w:type="character" w:customStyle="1" w:styleId="2ffff4">
    <w:name w:val="批注框文本 字符2"/>
    <w:uiPriority w:val="99"/>
    <w:qFormat/>
    <w:rPr>
      <w:rFonts w:ascii="Times New Roman" w:eastAsia="宋体" w:hAnsi="Times New Roman" w:cs="Times New Roman"/>
      <w:sz w:val="18"/>
      <w:szCs w:val="18"/>
      <w:lang w:val="zh-CN" w:eastAsia="zh-CN"/>
    </w:rPr>
  </w:style>
  <w:style w:type="paragraph" w:customStyle="1" w:styleId="-0">
    <w:name w:val="表格内容-小五"/>
    <w:basedOn w:val="a"/>
    <w:qFormat/>
    <w:rPr>
      <w:rFonts w:hAnsi="Times New Roman"/>
      <w:sz w:val="21"/>
      <w:szCs w:val="21"/>
    </w:rPr>
  </w:style>
  <w:style w:type="character" w:customStyle="1" w:styleId="210515Char">
    <w:name w:val="样式 标题 2 + 宋体 小三 居中 段前: 10磅 段后: 5磅 行距: 1.5 倍行距 Char"/>
    <w:link w:val="210515"/>
    <w:qFormat/>
    <w:rPr>
      <w:rFonts w:ascii="宋体" w:hAnsi="宋体"/>
      <w:b/>
      <w:bCs/>
      <w:kern w:val="2"/>
      <w:sz w:val="30"/>
      <w:lang w:val="zh-CN" w:eastAsia="zh-CN"/>
    </w:rPr>
  </w:style>
  <w:style w:type="paragraph" w:customStyle="1" w:styleId="3002">
    <w:name w:val="样式 样式 标题 3 + 黑体 小四 非加粗 段前: 0 磅 段后: 0 磅 行距: 单倍行距 + 首行缩进:  2 字符 段..."/>
    <w:basedOn w:val="a"/>
    <w:link w:val="3002Char"/>
    <w:qFormat/>
    <w:pPr>
      <w:keepNext/>
      <w:keepLines/>
      <w:spacing w:line="360" w:lineRule="auto"/>
      <w:ind w:firstLineChars="200" w:firstLine="200"/>
      <w:outlineLvl w:val="2"/>
    </w:pPr>
    <w:rPr>
      <w:rFonts w:hAnsi="Times New Roman"/>
      <w:b/>
      <w:sz w:val="28"/>
      <w:szCs w:val="28"/>
      <w:lang w:val="zh-CN"/>
    </w:rPr>
  </w:style>
  <w:style w:type="character" w:customStyle="1" w:styleId="3002Char">
    <w:name w:val="样式 样式 标题 3 + 黑体 小四 非加粗 段前: 0 磅 段后: 0 磅 行距: 单倍行距 + 首行缩进:  2 字符 段... Char"/>
    <w:link w:val="3002"/>
    <w:qFormat/>
    <w:rPr>
      <w:rFonts w:ascii="宋体"/>
      <w:b/>
      <w:kern w:val="2"/>
      <w:sz w:val="28"/>
      <w:szCs w:val="28"/>
      <w:lang w:val="zh-CN" w:eastAsia="zh-CN"/>
    </w:rPr>
  </w:style>
  <w:style w:type="character" w:customStyle="1" w:styleId="Charff8">
    <w:name w:val="宁扬 Char"/>
    <w:link w:val="affffffffffb"/>
    <w:qFormat/>
    <w:rPr>
      <w:rFonts w:ascii="仿宋_GB2312" w:eastAsia="仿宋_GB2312" w:hAnsi="宋体"/>
      <w:kern w:val="2"/>
      <w:sz w:val="28"/>
    </w:rPr>
  </w:style>
  <w:style w:type="character" w:customStyle="1" w:styleId="525">
    <w:name w:val="标题 5 字符2"/>
    <w:qFormat/>
    <w:rPr>
      <w:rFonts w:ascii="宋体" w:eastAsia="宋体" w:hAnsi="宋体" w:cs="Times New Roman"/>
      <w:b/>
      <w:bCs/>
      <w:sz w:val="24"/>
      <w:szCs w:val="28"/>
      <w:lang w:val="zh-CN" w:eastAsia="zh-CN"/>
    </w:rPr>
  </w:style>
  <w:style w:type="character" w:customStyle="1" w:styleId="625">
    <w:name w:val="标题 6 字符2"/>
    <w:qFormat/>
    <w:rPr>
      <w:rFonts w:ascii="Arial" w:eastAsia="黑体" w:hAnsi="Arial" w:cs="Times New Roman"/>
      <w:b/>
      <w:bCs/>
      <w:sz w:val="24"/>
      <w:szCs w:val="24"/>
      <w:lang w:val="zh-CN" w:eastAsia="zh-CN"/>
    </w:rPr>
  </w:style>
  <w:style w:type="character" w:customStyle="1" w:styleId="725">
    <w:name w:val="标题 7 字符2"/>
    <w:qFormat/>
    <w:rPr>
      <w:rFonts w:ascii="宋体" w:eastAsia="宋体" w:hAnsi="宋体" w:cs="Times New Roman"/>
      <w:b/>
      <w:bCs/>
      <w:sz w:val="24"/>
      <w:szCs w:val="24"/>
      <w:lang w:val="zh-CN" w:eastAsia="zh-CN"/>
    </w:rPr>
  </w:style>
  <w:style w:type="character" w:customStyle="1" w:styleId="825">
    <w:name w:val="标题 8 字符2"/>
    <w:qFormat/>
    <w:rPr>
      <w:rFonts w:ascii="Arial" w:eastAsia="黑体" w:hAnsi="Arial" w:cs="Times New Roman"/>
      <w:sz w:val="24"/>
      <w:szCs w:val="24"/>
      <w:lang w:val="zh-CN" w:eastAsia="zh-CN"/>
    </w:rPr>
  </w:style>
  <w:style w:type="character" w:customStyle="1" w:styleId="922">
    <w:name w:val="标题 9 字符2"/>
    <w:qFormat/>
    <w:rPr>
      <w:rFonts w:ascii="Arial" w:eastAsia="黑体" w:hAnsi="Arial" w:cs="Times New Roman"/>
      <w:szCs w:val="21"/>
      <w:lang w:val="zh-CN" w:eastAsia="zh-CN"/>
    </w:rPr>
  </w:style>
  <w:style w:type="character" w:customStyle="1" w:styleId="2ffff5">
    <w:name w:val="日期 字符2"/>
    <w:qFormat/>
    <w:rPr>
      <w:rFonts w:ascii="Times New Roman" w:eastAsia="MS Gothic" w:hAnsi="Times New Roman" w:cs="Times New Roman"/>
      <w:szCs w:val="21"/>
      <w:lang w:val="zh-CN" w:eastAsia="zh-CN"/>
    </w:rPr>
  </w:style>
  <w:style w:type="character" w:customStyle="1" w:styleId="2ffff6">
    <w:name w:val="正文文本 字符2"/>
    <w:qFormat/>
    <w:rPr>
      <w:rFonts w:ascii="Times New Roman" w:eastAsia="MS Gothic" w:hAnsi="Times New Roman" w:cs="Times New Roman"/>
      <w:szCs w:val="21"/>
      <w:lang w:val="zh-CN" w:eastAsia="zh-CN"/>
    </w:rPr>
  </w:style>
  <w:style w:type="character" w:customStyle="1" w:styleId="22f8">
    <w:name w:val="正文文本缩进 2 字符2"/>
    <w:qFormat/>
    <w:rPr>
      <w:rFonts w:ascii="Times New Roman" w:eastAsia="宋体" w:hAnsi="Times New Roman" w:cs="Times New Roman"/>
      <w:sz w:val="24"/>
      <w:szCs w:val="24"/>
      <w:lang w:val="zh-CN" w:eastAsia="zh-CN"/>
    </w:rPr>
  </w:style>
  <w:style w:type="character" w:customStyle="1" w:styleId="32f1">
    <w:name w:val="正文文本缩进 3 字符2"/>
    <w:qFormat/>
    <w:rPr>
      <w:rFonts w:ascii="华文宋体" w:eastAsia="华文宋体" w:hAnsi="华文宋体" w:cs="Times New Roman"/>
      <w:szCs w:val="21"/>
      <w:lang w:val="zh-CN" w:eastAsia="zh-CN"/>
    </w:rPr>
  </w:style>
  <w:style w:type="paragraph" w:customStyle="1" w:styleId="4f8">
    <w:name w:val="节4"/>
    <w:basedOn w:val="af7"/>
    <w:qFormat/>
    <w:pPr>
      <w:adjustRightInd/>
      <w:snapToGrid/>
      <w:spacing w:before="20" w:after="20" w:line="500" w:lineRule="exact"/>
      <w:outlineLvl w:val="3"/>
    </w:pPr>
    <w:rPr>
      <w:rFonts w:ascii="Times New Roman" w:eastAsia="宋体" w:hAnsi="Times New Roman"/>
      <w:b/>
      <w:color w:val="auto"/>
      <w:sz w:val="32"/>
      <w:szCs w:val="24"/>
      <w:lang w:val="zh-CN"/>
    </w:rPr>
  </w:style>
  <w:style w:type="character" w:customStyle="1" w:styleId="22f9">
    <w:name w:val="正文文本 2 字符2"/>
    <w:qFormat/>
    <w:rPr>
      <w:rFonts w:ascii="Times New Roman" w:eastAsia="宋体" w:hAnsi="Times New Roman" w:cs="Times New Roman"/>
      <w:sz w:val="24"/>
      <w:szCs w:val="24"/>
      <w:lang w:val="zh-CN" w:eastAsia="zh-CN"/>
    </w:rPr>
  </w:style>
  <w:style w:type="character" w:customStyle="1" w:styleId="affffffffffffffffffffff6">
    <w:name w:val="超级链接"/>
    <w:qFormat/>
    <w:rPr>
      <w:rFonts w:ascii="Times New Roman" w:eastAsia="宋体"/>
      <w:color w:val="0000FF"/>
      <w:sz w:val="21"/>
      <w:u w:val="single" w:color="0000FF"/>
      <w:vertAlign w:val="baseline"/>
      <w:lang w:val="en-US" w:eastAsia="zh-CN"/>
    </w:rPr>
  </w:style>
  <w:style w:type="paragraph" w:customStyle="1" w:styleId="affffffffffffffffffffff7">
    <w:name w:val="文章附标题"/>
    <w:basedOn w:val="a"/>
    <w:qFormat/>
    <w:pPr>
      <w:widowControl/>
      <w:spacing w:before="187" w:after="175" w:line="374" w:lineRule="atLeast"/>
      <w:ind w:firstLineChars="200" w:firstLine="200"/>
      <w:jc w:val="center"/>
      <w:textAlignment w:val="baseline"/>
    </w:pPr>
    <w:rPr>
      <w:rFonts w:ascii="Times New Roman" w:hAnsi="Times New Roman"/>
      <w:snapToGrid w:val="0"/>
      <w:color w:val="000000"/>
      <w:spacing w:val="12"/>
      <w:kern w:val="0"/>
      <w:sz w:val="36"/>
      <w:u w:color="000000"/>
    </w:rPr>
  </w:style>
  <w:style w:type="paragraph" w:customStyle="1" w:styleId="GB23122">
    <w:name w:val="样式 宁扬 + 仿宋_GB2312"/>
    <w:basedOn w:val="a"/>
    <w:qFormat/>
    <w:pPr>
      <w:spacing w:line="500" w:lineRule="exact"/>
      <w:ind w:firstLineChars="200" w:firstLine="200"/>
    </w:pPr>
    <w:rPr>
      <w:rFonts w:ascii="仿宋_GB2312" w:hAnsi="仿宋_GB2312"/>
      <w:szCs w:val="28"/>
    </w:rPr>
  </w:style>
  <w:style w:type="character" w:customStyle="1" w:styleId="32f2">
    <w:name w:val="正文文本 3 字符2"/>
    <w:qFormat/>
    <w:rPr>
      <w:rFonts w:ascii="Times New Roman" w:eastAsia="宋体" w:hAnsi="Times New Roman" w:cs="Times New Roman"/>
      <w:sz w:val="16"/>
      <w:szCs w:val="16"/>
      <w:lang w:val="zh-CN" w:eastAsia="zh-CN"/>
    </w:rPr>
  </w:style>
  <w:style w:type="paragraph" w:customStyle="1" w:styleId="affffffffffffffffffffff8">
    <w:name w:val="段落排"/>
    <w:qFormat/>
    <w:pPr>
      <w:widowControl w:val="0"/>
      <w:topLinePunct/>
      <w:adjustRightInd w:val="0"/>
      <w:snapToGrid w:val="0"/>
      <w:spacing w:line="480" w:lineRule="auto"/>
      <w:ind w:firstLine="493"/>
      <w:textAlignment w:val="top"/>
    </w:pPr>
    <w:rPr>
      <w:rFonts w:ascii="宋体" w:hAnsi="宋体"/>
      <w:snapToGrid w:val="0"/>
      <w:spacing w:val="8"/>
      <w:sz w:val="24"/>
    </w:rPr>
  </w:style>
  <w:style w:type="character" w:customStyle="1" w:styleId="Charffffff">
    <w:name w:val="注释标题 Char"/>
    <w:qFormat/>
    <w:rPr>
      <w:kern w:val="2"/>
      <w:sz w:val="21"/>
      <w:szCs w:val="24"/>
    </w:rPr>
  </w:style>
  <w:style w:type="character" w:customStyle="1" w:styleId="2ffff7">
    <w:name w:val="注释标题 字符2"/>
    <w:qFormat/>
    <w:rPr>
      <w:rFonts w:ascii="Times New Roman" w:eastAsia="宋体" w:hAnsi="Times New Roman" w:cs="Times New Roman"/>
      <w:szCs w:val="24"/>
      <w:lang w:val="zh-CN" w:eastAsia="zh-CN"/>
    </w:rPr>
  </w:style>
  <w:style w:type="character" w:customStyle="1" w:styleId="11">
    <w:name w:val="正文缩进 字符1"/>
    <w:link w:val="a9"/>
    <w:qFormat/>
    <w:rPr>
      <w:rFonts w:ascii="宋体" w:hAnsi="宋体"/>
      <w:kern w:val="2"/>
      <w:sz w:val="28"/>
    </w:rPr>
  </w:style>
  <w:style w:type="character" w:customStyle="1" w:styleId="CharCharCharCharCharCharCharCharCharCharCharCharCharCharCharCharCharCharCharCharCharCharChar0">
    <w:name w:val="普通文字 Char Char Char Char Char Char Char Char Char Char Char Char Char Char Char Char Char Char Char Char Char Char Char"/>
    <w:qFormat/>
    <w:rPr>
      <w:rFonts w:ascii="宋体" w:eastAsia="宋体" w:hAnsi="宋体"/>
      <w:b/>
      <w:color w:val="000000"/>
      <w:spacing w:val="-2"/>
      <w:kern w:val="2"/>
      <w:sz w:val="21"/>
      <w:szCs w:val="21"/>
      <w:lang w:val="en-US" w:eastAsia="zh-CN" w:bidi="ar-SA"/>
    </w:rPr>
  </w:style>
  <w:style w:type="character" w:customStyle="1" w:styleId="05Char">
    <w:name w:val="样式 图名 + 段前: 0.5 行 Char"/>
    <w:qFormat/>
    <w:rPr>
      <w:rFonts w:ascii="黑体" w:eastAsia="黑体" w:cs="宋体"/>
      <w:spacing w:val="-10"/>
      <w:kern w:val="2"/>
      <w:sz w:val="21"/>
      <w:szCs w:val="21"/>
      <w:lang w:val="en-US" w:eastAsia="zh-CN" w:bidi="ar-SA"/>
    </w:rPr>
  </w:style>
  <w:style w:type="character" w:customStyle="1" w:styleId="Charffffff0">
    <w:name w:val="图名 Char"/>
    <w:qFormat/>
    <w:rPr>
      <w:rFonts w:ascii="黑体" w:eastAsia="黑体"/>
      <w:spacing w:val="-10"/>
      <w:kern w:val="2"/>
      <w:sz w:val="21"/>
      <w:szCs w:val="21"/>
      <w:lang w:val="en-US" w:eastAsia="zh-CN" w:bidi="ar-SA"/>
    </w:rPr>
  </w:style>
  <w:style w:type="paragraph" w:customStyle="1" w:styleId="13f3">
    <w:name w:val="样式13"/>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15f8">
    <w:name w:val="样式15"/>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16c">
    <w:name w:val="样式16"/>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176">
    <w:name w:val="样式17"/>
    <w:basedOn w:val="1"/>
    <w:qFormat/>
    <w:pPr>
      <w:spacing w:line="500" w:lineRule="exact"/>
      <w:ind w:firstLineChars="200" w:firstLine="200"/>
      <w:jc w:val="center"/>
    </w:pPr>
    <w:rPr>
      <w:rFonts w:ascii="仿宋_GB2312" w:hAnsi="Times New Roman"/>
      <w:b w:val="0"/>
      <w:sz w:val="32"/>
      <w:szCs w:val="44"/>
      <w:lang w:val="zh-CN"/>
    </w:rPr>
  </w:style>
  <w:style w:type="paragraph" w:customStyle="1" w:styleId="185">
    <w:name w:val="样式18"/>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192">
    <w:name w:val="样式19"/>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21f9">
    <w:name w:val="样式21"/>
    <w:basedOn w:val="1"/>
    <w:qFormat/>
    <w:pPr>
      <w:spacing w:line="500" w:lineRule="exact"/>
      <w:ind w:firstLineChars="200" w:firstLine="200"/>
      <w:jc w:val="center"/>
    </w:pPr>
    <w:rPr>
      <w:rFonts w:ascii="仿宋_GB2312" w:hAnsi="Times New Roman"/>
      <w:b w:val="0"/>
      <w:sz w:val="32"/>
      <w:szCs w:val="44"/>
      <w:lang w:val="zh-CN"/>
    </w:rPr>
  </w:style>
  <w:style w:type="paragraph" w:customStyle="1" w:styleId="22fa">
    <w:name w:val="样式22"/>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23f0">
    <w:name w:val="样式23"/>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24f">
    <w:name w:val="样式24"/>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25f">
    <w:name w:val="样式25"/>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26b">
    <w:name w:val="样式26"/>
    <w:basedOn w:val="2"/>
    <w:qFormat/>
    <w:pPr>
      <w:keepNext w:val="0"/>
      <w:spacing w:before="0" w:after="0" w:line="360" w:lineRule="auto"/>
      <w:ind w:firstLineChars="200" w:firstLine="200"/>
    </w:pPr>
    <w:rPr>
      <w:rFonts w:ascii="仿宋_GB2312" w:eastAsia="仿宋_GB2312"/>
      <w:b/>
      <w:bCs/>
      <w:sz w:val="32"/>
      <w:szCs w:val="30"/>
      <w:lang w:val="zh-CN"/>
    </w:rPr>
  </w:style>
  <w:style w:type="paragraph" w:customStyle="1" w:styleId="272">
    <w:name w:val="样式27"/>
    <w:basedOn w:val="1"/>
    <w:qFormat/>
    <w:pPr>
      <w:spacing w:line="500" w:lineRule="exact"/>
      <w:ind w:firstLineChars="200" w:firstLine="200"/>
      <w:jc w:val="center"/>
    </w:pPr>
    <w:rPr>
      <w:rFonts w:ascii="仿宋_GB2312" w:hAnsi="Times New Roman"/>
      <w:b w:val="0"/>
      <w:sz w:val="32"/>
      <w:szCs w:val="44"/>
      <w:lang w:val="zh-CN"/>
    </w:rPr>
  </w:style>
  <w:style w:type="paragraph" w:customStyle="1" w:styleId="282">
    <w:name w:val="样式28"/>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291">
    <w:name w:val="样式29"/>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301">
    <w:name w:val="样式30"/>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31f5">
    <w:name w:val="样式31"/>
    <w:basedOn w:val="1"/>
    <w:qFormat/>
    <w:pPr>
      <w:spacing w:line="500" w:lineRule="exact"/>
      <w:ind w:firstLineChars="200" w:firstLine="200"/>
      <w:jc w:val="center"/>
    </w:pPr>
    <w:rPr>
      <w:rFonts w:ascii="仿宋_GB2312" w:hAnsi="Times New Roman"/>
      <w:b w:val="0"/>
      <w:sz w:val="32"/>
      <w:szCs w:val="44"/>
      <w:lang w:val="zh-CN"/>
    </w:rPr>
  </w:style>
  <w:style w:type="paragraph" w:customStyle="1" w:styleId="32f3">
    <w:name w:val="样式32"/>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33a">
    <w:name w:val="样式33"/>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34a">
    <w:name w:val="样式34"/>
    <w:basedOn w:val="2"/>
    <w:qFormat/>
    <w:pPr>
      <w:keepNext w:val="0"/>
      <w:spacing w:before="0" w:after="0" w:line="500" w:lineRule="exact"/>
      <w:ind w:firstLineChars="200" w:firstLine="560"/>
    </w:pPr>
    <w:rPr>
      <w:rFonts w:ascii="仿宋_GB2312" w:eastAsia="仿宋_GB2312"/>
      <w:b/>
      <w:bCs/>
      <w:sz w:val="28"/>
      <w:szCs w:val="30"/>
      <w:lang w:val="zh-CN"/>
    </w:rPr>
  </w:style>
  <w:style w:type="paragraph" w:customStyle="1" w:styleId="affffffffffffffffffffff9">
    <w:name w:val="地质报告第  节"/>
    <w:basedOn w:val="a"/>
    <w:qFormat/>
    <w:pPr>
      <w:spacing w:before="160" w:after="120" w:line="360" w:lineRule="auto"/>
      <w:ind w:firstLineChars="200" w:firstLine="200"/>
      <w:jc w:val="center"/>
    </w:pPr>
    <w:rPr>
      <w:rFonts w:ascii="黑体" w:eastAsia="黑体" w:hAnsi="Times New Roman"/>
      <w:kern w:val="13"/>
    </w:rPr>
  </w:style>
  <w:style w:type="paragraph" w:customStyle="1" w:styleId="32220">
    <w:name w:val="样式 样式 样式 标题 3 + 首行缩进:  2 字符 + 首行缩进:  2 字符 + 首行缩进:  2 字符"/>
    <w:basedOn w:val="a"/>
    <w:qFormat/>
    <w:pPr>
      <w:keepNext/>
      <w:keepLines/>
      <w:tabs>
        <w:tab w:val="left" w:pos="3808"/>
      </w:tabs>
      <w:spacing w:before="120" w:afterLines="50" w:line="360" w:lineRule="auto"/>
      <w:ind w:firstLineChars="200" w:firstLine="200"/>
      <w:outlineLvl w:val="2"/>
    </w:pPr>
    <w:rPr>
      <w:rFonts w:ascii="黑体" w:eastAsia="黑体" w:hAnsi="Times New Roman"/>
      <w:b/>
    </w:rPr>
  </w:style>
  <w:style w:type="paragraph" w:customStyle="1" w:styleId="051">
    <w:name w:val="样式 图名 + 段前: 0.5 行"/>
    <w:basedOn w:val="affffffffffffffffff1"/>
    <w:qFormat/>
    <w:pPr>
      <w:spacing w:beforeLines="50"/>
      <w:jc w:val="center"/>
    </w:pPr>
    <w:rPr>
      <w:color w:val="auto"/>
      <w:spacing w:val="-10"/>
      <w:sz w:val="21"/>
      <w:szCs w:val="20"/>
    </w:rPr>
  </w:style>
  <w:style w:type="paragraph" w:customStyle="1" w:styleId="22fb">
    <w:name w:val="样式 正文文字缩进 2 + 加粗 首行缩进:  2 字符"/>
    <w:basedOn w:val="24"/>
    <w:qFormat/>
    <w:pPr>
      <w:spacing w:after="0" w:line="360" w:lineRule="auto"/>
      <w:ind w:leftChars="0" w:left="0" w:firstLineChars="200" w:firstLine="413"/>
    </w:pPr>
    <w:rPr>
      <w:rFonts w:ascii="黑体" w:eastAsia="黑体" w:hAnsiTheme="minorHAnsi" w:cstheme="minorBidi"/>
      <w:bCs/>
      <w:spacing w:val="-6"/>
      <w:szCs w:val="21"/>
      <w:lang w:val="zh-CN"/>
    </w:rPr>
  </w:style>
  <w:style w:type="paragraph" w:customStyle="1" w:styleId="32052">
    <w:name w:val="样式 标题3 + 首行缩进:  2 字符 段前: 0.5 行2"/>
    <w:qFormat/>
    <w:pPr>
      <w:keepLines/>
      <w:spacing w:line="360" w:lineRule="auto"/>
      <w:ind w:firstLineChars="200" w:firstLine="200"/>
    </w:pPr>
    <w:rPr>
      <w:b/>
      <w:bCs/>
      <w:sz w:val="30"/>
      <w:szCs w:val="24"/>
    </w:rPr>
  </w:style>
  <w:style w:type="paragraph" w:customStyle="1" w:styleId="affffffffffffffffffffffa">
    <w:name w:val="新"/>
    <w:basedOn w:val="a"/>
    <w:next w:val="a"/>
    <w:qFormat/>
    <w:pPr>
      <w:spacing w:line="500" w:lineRule="exact"/>
      <w:ind w:firstLineChars="200" w:firstLine="200"/>
    </w:pPr>
    <w:rPr>
      <w:rFonts w:ascii="仿宋_GB2312"/>
      <w:szCs w:val="28"/>
    </w:rPr>
  </w:style>
  <w:style w:type="paragraph" w:customStyle="1" w:styleId="1fffff">
    <w:name w:val="公式说明1"/>
    <w:basedOn w:val="af7"/>
    <w:qFormat/>
    <w:pPr>
      <w:spacing w:line="360" w:lineRule="auto"/>
      <w:ind w:firstLineChars="200" w:firstLine="200"/>
    </w:pPr>
    <w:rPr>
      <w:rFonts w:ascii="Times New Roman" w:eastAsia="宋体" w:hAnsi="Times New Roman"/>
      <w:color w:val="auto"/>
      <w:sz w:val="24"/>
      <w:szCs w:val="24"/>
      <w:lang w:val="zh-CN"/>
    </w:rPr>
  </w:style>
  <w:style w:type="paragraph" w:customStyle="1" w:styleId="2ffff8">
    <w:name w:val="公式说明2"/>
    <w:basedOn w:val="af7"/>
    <w:qFormat/>
    <w:pPr>
      <w:spacing w:line="360" w:lineRule="auto"/>
      <w:ind w:firstLineChars="300" w:firstLine="720"/>
    </w:pPr>
    <w:rPr>
      <w:rFonts w:ascii="Times New Roman" w:eastAsia="宋体" w:hAnsi="Times New Roman"/>
      <w:color w:val="auto"/>
      <w:sz w:val="24"/>
      <w:szCs w:val="24"/>
      <w:lang w:val="zh-CN"/>
    </w:rPr>
  </w:style>
  <w:style w:type="paragraph" w:customStyle="1" w:styleId="32051">
    <w:name w:val="样式 标题3 + 首行缩进:  2 字符 段前: 0.5 行1"/>
    <w:basedOn w:val="a"/>
    <w:qFormat/>
    <w:pPr>
      <w:keepLines/>
      <w:spacing w:beforeLines="50" w:line="360" w:lineRule="auto"/>
      <w:ind w:firstLineChars="200" w:firstLine="497"/>
    </w:pPr>
    <w:rPr>
      <w:rFonts w:ascii="Times New Roman" w:eastAsia="黑体" w:hAnsi="Times New Roman"/>
    </w:rPr>
  </w:style>
  <w:style w:type="paragraph" w:customStyle="1" w:styleId="32005">
    <w:name w:val="样式 样式 标题 3 + 首行缩进:  2 字符 段前: 0 磅 + 两端对齐 段前: 0.5 行"/>
    <w:basedOn w:val="a"/>
    <w:qFormat/>
    <w:pPr>
      <w:tabs>
        <w:tab w:val="left" w:pos="5798"/>
      </w:tabs>
      <w:spacing w:beforeLines="50" w:line="360" w:lineRule="auto"/>
      <w:ind w:firstLineChars="200" w:firstLine="513"/>
      <w:textAlignment w:val="top"/>
      <w:outlineLvl w:val="2"/>
    </w:pPr>
    <w:rPr>
      <w:rFonts w:ascii="黑体" w:eastAsia="黑体" w:hAnsi="Times New Roman"/>
      <w:b/>
      <w:bCs/>
      <w:szCs w:val="24"/>
    </w:rPr>
  </w:style>
  <w:style w:type="character" w:customStyle="1" w:styleId="32005Char">
    <w:name w:val="样式 样式 标题 3 + 首行缩进:  2 字符 段前: 0 磅 + 两端对齐 段前: 0.5 行 Char"/>
    <w:qFormat/>
    <w:rPr>
      <w:rFonts w:ascii="黑体" w:eastAsia="黑体" w:cs="宋体"/>
      <w:b/>
      <w:bCs/>
      <w:kern w:val="2"/>
      <w:sz w:val="24"/>
      <w:szCs w:val="24"/>
      <w:lang w:val="en-US" w:eastAsia="zh-CN" w:bidi="ar-SA"/>
    </w:rPr>
  </w:style>
  <w:style w:type="character" w:customStyle="1" w:styleId="2Char4">
    <w:name w:val="正文文字2 Char"/>
    <w:link w:val="2fd"/>
    <w:qFormat/>
    <w:rPr>
      <w:rFonts w:ascii="宋体" w:hAnsi="宋体"/>
      <w:kern w:val="2"/>
      <w:sz w:val="24"/>
    </w:rPr>
  </w:style>
  <w:style w:type="paragraph" w:customStyle="1" w:styleId="3CharChar4">
    <w:name w:val="3 Char Char"/>
    <w:basedOn w:val="a"/>
    <w:next w:val="a"/>
    <w:qFormat/>
    <w:pPr>
      <w:widowControl/>
      <w:spacing w:line="360" w:lineRule="auto"/>
      <w:ind w:firstLineChars="200" w:firstLine="200"/>
      <w:jc w:val="left"/>
    </w:pPr>
    <w:rPr>
      <w:rFonts w:hAnsi="Courier New"/>
      <w:kern w:val="0"/>
      <w:szCs w:val="21"/>
    </w:rPr>
  </w:style>
  <w:style w:type="character" w:customStyle="1" w:styleId="3CharCharChar0">
    <w:name w:val="3 Char Char Char"/>
    <w:qFormat/>
    <w:rPr>
      <w:rFonts w:ascii="宋体" w:eastAsia="宋体" w:hAnsi="Courier New" w:cs="黑体"/>
      <w:kern w:val="2"/>
      <w:sz w:val="21"/>
      <w:szCs w:val="21"/>
      <w:lang w:val="en-US" w:eastAsia="zh-CN" w:bidi="ar-SA"/>
    </w:rPr>
  </w:style>
  <w:style w:type="paragraph" w:customStyle="1" w:styleId="3000">
    <w:name w:val="样式 标题 3 + 黑体 小四 非加粗 段前: 0 磅 段后: 0 磅 行距: 单倍行距"/>
    <w:basedOn w:val="3"/>
    <w:link w:val="300Char"/>
    <w:qFormat/>
    <w:pPr>
      <w:spacing w:beforeLines="50" w:after="0" w:line="240" w:lineRule="auto"/>
      <w:ind w:firstLineChars="200" w:firstLine="200"/>
    </w:pPr>
    <w:rPr>
      <w:rFonts w:ascii="黑体" w:eastAsia="黑体" w:hAnsi="Times New Roman"/>
      <w:b w:val="0"/>
      <w:sz w:val="28"/>
      <w:lang w:val="zh-CN"/>
    </w:rPr>
  </w:style>
  <w:style w:type="character" w:customStyle="1" w:styleId="detail">
    <w:name w:val="detail"/>
    <w:qFormat/>
  </w:style>
  <w:style w:type="character" w:customStyle="1" w:styleId="linet">
    <w:name w:val="linet"/>
    <w:qFormat/>
  </w:style>
  <w:style w:type="character" w:customStyle="1" w:styleId="detail1">
    <w:name w:val="detail1"/>
    <w:qFormat/>
  </w:style>
  <w:style w:type="character" w:customStyle="1" w:styleId="2CharCharb">
    <w:name w:val="正文文字2 Char Char"/>
    <w:qFormat/>
    <w:rPr>
      <w:rFonts w:eastAsia="宋体" w:cs="宋体"/>
      <w:kern w:val="2"/>
      <w:sz w:val="24"/>
      <w:szCs w:val="24"/>
      <w:lang w:val="en-US" w:eastAsia="zh-CN" w:bidi="ar-SA"/>
    </w:rPr>
  </w:style>
  <w:style w:type="paragraph" w:customStyle="1" w:styleId="1fffff0">
    <w:name w:val="正文文字1"/>
    <w:basedOn w:val="a"/>
    <w:link w:val="1Charb"/>
    <w:qFormat/>
    <w:pPr>
      <w:spacing w:line="360" w:lineRule="auto"/>
      <w:ind w:firstLineChars="200" w:firstLine="200"/>
    </w:pPr>
    <w:rPr>
      <w:rFonts w:ascii="Times New Roman" w:hAnsi="Times New Roman"/>
      <w:szCs w:val="24"/>
      <w:lang w:val="zh-CN"/>
    </w:rPr>
  </w:style>
  <w:style w:type="character" w:customStyle="1" w:styleId="1Charb">
    <w:name w:val="正文文字1 Char"/>
    <w:link w:val="1fffff0"/>
    <w:qFormat/>
    <w:rPr>
      <w:kern w:val="2"/>
      <w:sz w:val="24"/>
      <w:szCs w:val="24"/>
      <w:lang w:val="zh-CN" w:eastAsia="zh-CN"/>
    </w:rPr>
  </w:style>
  <w:style w:type="paragraph" w:customStyle="1" w:styleId="112615">
    <w:name w:val="样式 标题 1 + 宋体 三号 居中 段前: 12 磅 段后: 6 磅 行距: 1.5 倍行距"/>
    <w:basedOn w:val="1"/>
    <w:qFormat/>
    <w:pPr>
      <w:spacing w:before="240" w:after="120" w:line="360" w:lineRule="auto"/>
      <w:ind w:firstLineChars="200" w:firstLine="200"/>
      <w:jc w:val="center"/>
    </w:pPr>
    <w:rPr>
      <w:rFonts w:cs="宋体"/>
      <w:bCs/>
      <w:sz w:val="32"/>
      <w:lang w:val="zh-CN"/>
    </w:rPr>
  </w:style>
  <w:style w:type="paragraph" w:customStyle="1" w:styleId="1522">
    <w:name w:val="样式 宋体 小四 行距: 1.5 倍行距 + 首行缩进:  2 字符"/>
    <w:basedOn w:val="156"/>
    <w:qFormat/>
    <w:pPr>
      <w:spacing w:line="360" w:lineRule="auto"/>
      <w:ind w:firstLine="480"/>
    </w:pPr>
    <w:rPr>
      <w:sz w:val="24"/>
    </w:rPr>
  </w:style>
  <w:style w:type="character" w:customStyle="1" w:styleId="3Char12">
    <w:name w:val="3 Char1"/>
    <w:qFormat/>
    <w:rPr>
      <w:rFonts w:ascii="宋体" w:eastAsia="宋体" w:hAnsi="Courier New" w:cs="黑体"/>
      <w:kern w:val="2"/>
      <w:sz w:val="21"/>
      <w:szCs w:val="21"/>
      <w:lang w:val="en-US" w:eastAsia="zh-CN" w:bidi="ar-SA"/>
    </w:rPr>
  </w:style>
  <w:style w:type="paragraph" w:customStyle="1" w:styleId="CF">
    <w:name w:val="CF统计表中文字"/>
    <w:basedOn w:val="a"/>
    <w:qFormat/>
    <w:pPr>
      <w:spacing w:line="360" w:lineRule="exact"/>
      <w:ind w:firstLineChars="200" w:firstLine="200"/>
      <w:jc w:val="center"/>
    </w:pPr>
    <w:rPr>
      <w:rFonts w:ascii="Times New Roman" w:hAnsi="Times New Roman"/>
      <w:w w:val="90"/>
      <w:sz w:val="21"/>
    </w:rPr>
  </w:style>
  <w:style w:type="paragraph" w:customStyle="1" w:styleId="affffffffffffffffffffffb">
    <w:name w:val="文章正文段落"/>
    <w:basedOn w:val="a"/>
    <w:qFormat/>
    <w:pPr>
      <w:spacing w:line="400" w:lineRule="exact"/>
      <w:ind w:firstLineChars="200" w:firstLine="200"/>
    </w:pPr>
    <w:rPr>
      <w:rFonts w:ascii="Times New Roman" w:hAnsi="Times New Roman"/>
      <w:w w:val="80"/>
    </w:rPr>
  </w:style>
  <w:style w:type="character" w:customStyle="1" w:styleId="2ffff9">
    <w:name w:val="称呼 字符2"/>
    <w:qFormat/>
    <w:rPr>
      <w:rFonts w:ascii="Times New Roman" w:eastAsia="宋体" w:hAnsi="Times New Roman" w:cs="Times New Roman"/>
      <w:szCs w:val="24"/>
      <w:lang w:val="zh-CN" w:eastAsia="zh-CN"/>
    </w:rPr>
  </w:style>
  <w:style w:type="paragraph" w:customStyle="1" w:styleId="10100">
    <w:name w:val="样式 10 磅 下划线 居中 行距: 固定值 10 磅"/>
    <w:basedOn w:val="a"/>
    <w:qFormat/>
    <w:pPr>
      <w:spacing w:line="200" w:lineRule="exact"/>
      <w:ind w:firstLineChars="200" w:firstLine="200"/>
      <w:jc w:val="center"/>
    </w:pPr>
    <w:rPr>
      <w:rFonts w:ascii="Times New Roman" w:hAnsi="Times New Roman" w:cs="宋体"/>
      <w:sz w:val="20"/>
    </w:rPr>
  </w:style>
  <w:style w:type="character" w:customStyle="1" w:styleId="2ffffa">
    <w:name w:val="批注文字 字符2"/>
    <w:uiPriority w:val="99"/>
    <w:qFormat/>
    <w:rPr>
      <w:rFonts w:ascii="Times New Roman" w:eastAsia="宋体" w:hAnsi="Times New Roman" w:cs="Times New Roman"/>
      <w:szCs w:val="24"/>
      <w:lang w:val="zh-CN" w:eastAsia="zh-CN"/>
    </w:rPr>
  </w:style>
  <w:style w:type="character" w:customStyle="1" w:styleId="2ffffb">
    <w:name w:val="批注主题 字符2"/>
    <w:uiPriority w:val="99"/>
    <w:qFormat/>
    <w:rPr>
      <w:rFonts w:ascii="Times New Roman" w:eastAsia="宋体" w:hAnsi="Times New Roman" w:cs="Times New Roman"/>
      <w:b/>
      <w:bCs/>
      <w:szCs w:val="24"/>
      <w:lang w:val="zh-CN" w:eastAsia="zh-CN"/>
    </w:rPr>
  </w:style>
  <w:style w:type="paragraph" w:customStyle="1" w:styleId="2ffffc">
    <w:name w:val="样式 普通文字 + 首行缩进:  2 字符"/>
    <w:basedOn w:val="a"/>
    <w:semiHidden/>
    <w:qFormat/>
    <w:pPr>
      <w:spacing w:line="360" w:lineRule="auto"/>
      <w:ind w:firstLineChars="200" w:firstLine="422"/>
    </w:pPr>
    <w:rPr>
      <w:rFonts w:hAnsi="Courier New" w:cs="黑体" w:hint="eastAsia"/>
      <w:b/>
      <w:color w:val="000000"/>
      <w:sz w:val="21"/>
      <w:szCs w:val="21"/>
    </w:rPr>
  </w:style>
  <w:style w:type="paragraph" w:customStyle="1" w:styleId="affffffffffffffffffffffc">
    <w:name w:val="样式四"/>
    <w:basedOn w:val="a"/>
    <w:link w:val="Charffffff1"/>
    <w:qFormat/>
    <w:pPr>
      <w:spacing w:line="360" w:lineRule="auto"/>
      <w:ind w:firstLineChars="200" w:firstLine="200"/>
    </w:pPr>
    <w:rPr>
      <w:rFonts w:ascii="Times New Roman" w:hAnsi="Times New Roman"/>
      <w:szCs w:val="28"/>
    </w:rPr>
  </w:style>
  <w:style w:type="paragraph" w:customStyle="1" w:styleId="jxgtp2">
    <w:name w:val="jxgtp2"/>
    <w:basedOn w:val="a"/>
    <w:qFormat/>
    <w:pPr>
      <w:spacing w:line="400" w:lineRule="exact"/>
      <w:ind w:firstLineChars="200" w:firstLine="200"/>
      <w:jc w:val="center"/>
    </w:pPr>
    <w:rPr>
      <w:rFonts w:ascii="黑体" w:eastAsia="黑体" w:hAnsi="Times New Roman"/>
      <w:sz w:val="21"/>
      <w:szCs w:val="21"/>
    </w:rPr>
  </w:style>
  <w:style w:type="paragraph" w:customStyle="1" w:styleId="affffffffffffffffffffffd">
    <w:name w:val="图注"/>
    <w:basedOn w:val="af7"/>
    <w:next w:val="a"/>
    <w:qFormat/>
    <w:pPr>
      <w:adjustRightInd/>
      <w:snapToGrid/>
      <w:spacing w:beforeLines="50" w:after="120" w:line="360" w:lineRule="auto"/>
      <w:ind w:right="-122" w:firstLineChars="200" w:firstLine="200"/>
      <w:jc w:val="center"/>
    </w:pPr>
    <w:rPr>
      <w:rFonts w:ascii="宋体" w:eastAsia="宋体"/>
      <w:b/>
      <w:bCs/>
      <w:color w:val="auto"/>
      <w:spacing w:val="2"/>
      <w:szCs w:val="21"/>
      <w:lang w:val="zh-CN"/>
    </w:rPr>
  </w:style>
  <w:style w:type="character" w:customStyle="1" w:styleId="2ffffd">
    <w:name w:val="签名 字符2"/>
    <w:qFormat/>
    <w:rPr>
      <w:rFonts w:ascii="Times New Roman" w:eastAsia="宋体" w:hAnsi="Times New Roman" w:cs="Times New Roman"/>
      <w:szCs w:val="20"/>
      <w:lang w:val="zh-CN" w:eastAsia="zh-CN"/>
    </w:rPr>
  </w:style>
  <w:style w:type="paragraph" w:customStyle="1" w:styleId="O">
    <w:name w:val="第 O 正文参考文稿"/>
    <w:basedOn w:val="O0"/>
    <w:qFormat/>
    <w:pPr>
      <w:ind w:firstLine="510"/>
    </w:pPr>
    <w:rPr>
      <w:bCs/>
      <w:color w:val="FF0000"/>
    </w:rPr>
  </w:style>
  <w:style w:type="paragraph" w:customStyle="1" w:styleId="O0">
    <w:name w:val="第 O 正文稿"/>
    <w:basedOn w:val="a"/>
    <w:qFormat/>
    <w:pPr>
      <w:spacing w:line="460" w:lineRule="exact"/>
      <w:ind w:firstLineChars="200" w:firstLine="200"/>
    </w:pPr>
    <w:rPr>
      <w:rFonts w:ascii="Times New Roman" w:eastAsia="仿宋_GB2312" w:hAnsi="Times New Roman"/>
      <w:w w:val="90"/>
      <w:sz w:val="28"/>
    </w:rPr>
  </w:style>
  <w:style w:type="paragraph" w:customStyle="1" w:styleId="F">
    <w:name w:val="第 F 段"/>
    <w:basedOn w:val="O0"/>
    <w:qFormat/>
    <w:pPr>
      <w:jc w:val="left"/>
      <w:outlineLvl w:val="4"/>
    </w:pPr>
    <w:rPr>
      <w:rFonts w:eastAsia="楷体_GB2312"/>
      <w:b/>
    </w:rPr>
  </w:style>
  <w:style w:type="paragraph" w:customStyle="1" w:styleId="E0">
    <w:name w:val="第 E 段"/>
    <w:basedOn w:val="a"/>
    <w:qFormat/>
    <w:pPr>
      <w:spacing w:line="460" w:lineRule="exact"/>
      <w:ind w:firstLineChars="200" w:firstLine="200"/>
      <w:jc w:val="left"/>
      <w:outlineLvl w:val="3"/>
    </w:pPr>
    <w:rPr>
      <w:rFonts w:ascii="Times New Roman" w:hAnsi="Times New Roman"/>
      <w:b/>
      <w:w w:val="90"/>
      <w:sz w:val="28"/>
    </w:rPr>
  </w:style>
  <w:style w:type="paragraph" w:customStyle="1" w:styleId="TB">
    <w:name w:val="第 TB 插图图名"/>
    <w:basedOn w:val="TB0"/>
    <w:qFormat/>
    <w:pPr>
      <w:spacing w:beforeLines="50" w:afterLines="100"/>
      <w:jc w:val="center"/>
    </w:pPr>
    <w:rPr>
      <w:sz w:val="21"/>
    </w:rPr>
  </w:style>
  <w:style w:type="paragraph" w:customStyle="1" w:styleId="TB0">
    <w:name w:val="第 TB 插表表名"/>
    <w:basedOn w:val="a"/>
    <w:qFormat/>
    <w:pPr>
      <w:spacing w:beforeLines="100" w:afterLines="50" w:line="360" w:lineRule="exact"/>
      <w:ind w:firstLineChars="200" w:firstLine="200"/>
      <w:jc w:val="left"/>
    </w:pPr>
    <w:rPr>
      <w:rFonts w:ascii="Times New Roman" w:eastAsia="楷体_GB2312" w:hAnsi="Times New Roman"/>
      <w:b/>
      <w:bCs/>
      <w:w w:val="90"/>
    </w:rPr>
  </w:style>
  <w:style w:type="paragraph" w:customStyle="1" w:styleId="D">
    <w:name w:val="第 D 段"/>
    <w:basedOn w:val="3"/>
    <w:qFormat/>
    <w:pPr>
      <w:spacing w:beforeLines="50" w:afterLines="30" w:line="460" w:lineRule="exact"/>
      <w:ind w:firstLineChars="200" w:firstLine="200"/>
      <w:jc w:val="left"/>
    </w:pPr>
    <w:rPr>
      <w:rFonts w:ascii="Tahoma" w:eastAsia="方正大黑简体" w:hAnsi="Tahoma"/>
      <w:b w:val="0"/>
      <w:bCs/>
      <w:spacing w:val="8"/>
      <w:w w:val="90"/>
      <w:sz w:val="30"/>
      <w:szCs w:val="24"/>
      <w:lang w:val="zh-CN"/>
    </w:rPr>
  </w:style>
  <w:style w:type="paragraph" w:customStyle="1" w:styleId="TB1">
    <w:name w:val="第 TB 插表内文字"/>
    <w:basedOn w:val="a"/>
    <w:qFormat/>
    <w:pPr>
      <w:spacing w:line="320" w:lineRule="exact"/>
      <w:ind w:leftChars="-50" w:left="-50" w:rightChars="-50" w:right="-50" w:firstLineChars="200" w:firstLine="200"/>
      <w:jc w:val="center"/>
    </w:pPr>
    <w:rPr>
      <w:rFonts w:ascii="Times New Roman" w:hAnsi="Times New Roman"/>
      <w:w w:val="90"/>
      <w:sz w:val="28"/>
    </w:rPr>
  </w:style>
  <w:style w:type="paragraph" w:customStyle="1" w:styleId="PB">
    <w:name w:val="PB评论书一级段落式样"/>
    <w:basedOn w:val="a"/>
    <w:qFormat/>
    <w:pPr>
      <w:spacing w:beforeLines="50" w:afterLines="30" w:line="460" w:lineRule="exact"/>
      <w:ind w:firstLineChars="200" w:firstLine="200"/>
      <w:jc w:val="left"/>
      <w:outlineLvl w:val="1"/>
    </w:pPr>
    <w:rPr>
      <w:rFonts w:ascii="Times New Roman" w:eastAsia="方正大黑简体" w:hAnsi="Times New Roman"/>
      <w:w w:val="90"/>
      <w:sz w:val="32"/>
      <w:szCs w:val="24"/>
    </w:rPr>
  </w:style>
  <w:style w:type="paragraph" w:customStyle="1" w:styleId="PE">
    <w:name w:val="PE评论书正文式样"/>
    <w:basedOn w:val="a"/>
    <w:qFormat/>
    <w:pPr>
      <w:spacing w:line="460" w:lineRule="exact"/>
      <w:ind w:firstLineChars="200" w:firstLine="200"/>
    </w:pPr>
    <w:rPr>
      <w:rFonts w:ascii="Times New Roman" w:eastAsia="仿宋_GB2312" w:hAnsi="Times New Roman"/>
      <w:sz w:val="28"/>
      <w:szCs w:val="24"/>
    </w:rPr>
  </w:style>
  <w:style w:type="paragraph" w:customStyle="1" w:styleId="PD">
    <w:name w:val="PD评论书三级段落式样"/>
    <w:basedOn w:val="a"/>
    <w:next w:val="a"/>
    <w:qFormat/>
    <w:pPr>
      <w:spacing w:line="460" w:lineRule="exact"/>
      <w:ind w:firstLineChars="200" w:firstLine="200"/>
      <w:jc w:val="left"/>
      <w:outlineLvl w:val="3"/>
    </w:pPr>
    <w:rPr>
      <w:rFonts w:ascii="Times New Roman" w:eastAsia="仿宋_GB2312" w:hAnsi="Times New Roman"/>
      <w:b/>
      <w:w w:val="90"/>
      <w:sz w:val="28"/>
      <w:szCs w:val="24"/>
    </w:rPr>
  </w:style>
  <w:style w:type="character" w:customStyle="1" w:styleId="Char1ff0">
    <w:name w:val="正文（首行缩进两字） Char1"/>
    <w:qFormat/>
    <w:rPr>
      <w:rFonts w:eastAsia="宋体"/>
      <w:kern w:val="2"/>
      <w:sz w:val="21"/>
      <w:lang w:val="en-US" w:eastAsia="zh-CN" w:bidi="ar-SA"/>
    </w:rPr>
  </w:style>
  <w:style w:type="paragraph" w:customStyle="1" w:styleId="23196">
    <w:name w:val="样式 样式 黑体 小四 加粗 行距: 固定值 23 磅 + 首行缩进:  1.96 字符"/>
    <w:basedOn w:val="a"/>
    <w:qFormat/>
    <w:pPr>
      <w:spacing w:line="500" w:lineRule="exact"/>
      <w:ind w:firstLineChars="200" w:firstLine="562"/>
      <w:outlineLvl w:val="2"/>
    </w:pPr>
    <w:rPr>
      <w:b/>
      <w:bCs/>
      <w:sz w:val="28"/>
      <w:szCs w:val="28"/>
    </w:rPr>
  </w:style>
  <w:style w:type="paragraph" w:customStyle="1" w:styleId="affffffffffffffffffffffe">
    <w:name w:val="封面次行"/>
    <w:basedOn w:val="a"/>
    <w:qFormat/>
    <w:pPr>
      <w:spacing w:beforeLines="100" w:line="700" w:lineRule="exact"/>
      <w:ind w:firstLineChars="200" w:firstLine="200"/>
      <w:jc w:val="center"/>
    </w:pPr>
    <w:rPr>
      <w:rFonts w:ascii="Times New Roman" w:hAnsi="Times New Roman"/>
      <w:b/>
      <w:spacing w:val="20"/>
      <w:sz w:val="52"/>
      <w:szCs w:val="24"/>
    </w:rPr>
  </w:style>
  <w:style w:type="character" w:customStyle="1" w:styleId="HTML20">
    <w:name w:val="HTML 预设格式 字符2"/>
    <w:qFormat/>
    <w:rPr>
      <w:rFonts w:ascii="Courier New" w:eastAsia="宋体" w:hAnsi="Courier New" w:cs="Times New Roman"/>
      <w:sz w:val="20"/>
      <w:szCs w:val="20"/>
      <w:lang w:val="zh-CN" w:eastAsia="zh-CN"/>
    </w:rPr>
  </w:style>
  <w:style w:type="paragraph" w:customStyle="1" w:styleId="afffffffffffffffffffffff">
    <w:name w:val="第 部分"/>
    <w:basedOn w:val="1"/>
    <w:qFormat/>
    <w:pPr>
      <w:spacing w:before="0" w:after="240" w:line="240" w:lineRule="auto"/>
      <w:ind w:firstLineChars="200" w:firstLine="200"/>
      <w:jc w:val="center"/>
    </w:pPr>
    <w:rPr>
      <w:rFonts w:ascii="Times New Roman" w:eastAsia="仿宋_GB2312" w:hAnsi="Times New Roman"/>
      <w:bCs/>
      <w:sz w:val="40"/>
      <w:szCs w:val="40"/>
      <w:lang w:val="zh-CN"/>
    </w:rPr>
  </w:style>
  <w:style w:type="paragraph" w:customStyle="1" w:styleId="1121225">
    <w:name w:val="样式 标题 1 + 三号 居中 段前: 12 磅 段后: 12 磅 行距: 固定值 25 磅"/>
    <w:basedOn w:val="1"/>
    <w:qFormat/>
    <w:pPr>
      <w:spacing w:before="120" w:after="40" w:line="500" w:lineRule="exact"/>
      <w:ind w:firstLineChars="200" w:firstLine="200"/>
      <w:jc w:val="center"/>
    </w:pPr>
    <w:rPr>
      <w:rFonts w:ascii="Times New Roman" w:hAnsi="Times New Roman" w:cs="宋体"/>
      <w:bCs/>
      <w:sz w:val="36"/>
      <w:szCs w:val="36"/>
      <w:lang w:val="zh-CN"/>
    </w:rPr>
  </w:style>
  <w:style w:type="paragraph" w:customStyle="1" w:styleId="2ffffe">
    <w:name w:val="样式 标题 2 + (中文) 宋体 小三 居中"/>
    <w:basedOn w:val="2"/>
    <w:qFormat/>
    <w:pPr>
      <w:spacing w:before="240" w:after="0" w:line="500" w:lineRule="exact"/>
      <w:ind w:firstLineChars="200" w:firstLine="578"/>
    </w:pPr>
    <w:rPr>
      <w:rFonts w:ascii="Arial" w:eastAsia="宋体" w:hAnsi="Arial" w:cs="宋体"/>
      <w:b/>
      <w:bCs/>
      <w:sz w:val="30"/>
      <w:lang w:val="zh-CN"/>
    </w:rPr>
  </w:style>
  <w:style w:type="paragraph" w:customStyle="1" w:styleId="25120">
    <w:name w:val="样式 样式 宋体 小四 行距: 固定值 25 磅 + 首行缩进:  1 字符2"/>
    <w:basedOn w:val="a"/>
    <w:qFormat/>
    <w:pPr>
      <w:spacing w:line="460" w:lineRule="exact"/>
      <w:ind w:firstLineChars="200" w:firstLine="560"/>
      <w:jc w:val="left"/>
      <w:outlineLvl w:val="4"/>
    </w:pPr>
    <w:rPr>
      <w:rFonts w:ascii="仿宋_GB2312" w:eastAsia="仿宋_GB2312" w:cs="宋体"/>
      <w:kern w:val="10"/>
      <w:sz w:val="28"/>
      <w:szCs w:val="28"/>
    </w:rPr>
  </w:style>
  <w:style w:type="character" w:customStyle="1" w:styleId="2512Char">
    <w:name w:val="样式 样式 宋体 小四 行距: 固定值 25 磅 + 首行缩进:  1 字符2 Char"/>
    <w:qFormat/>
    <w:rPr>
      <w:rFonts w:ascii="仿宋_GB2312" w:eastAsia="仿宋_GB2312" w:hAnsi="宋体" w:cs="宋体"/>
      <w:kern w:val="10"/>
      <w:sz w:val="28"/>
      <w:szCs w:val="28"/>
      <w:lang w:val="en-US" w:eastAsia="zh-CN" w:bidi="ar-SA"/>
    </w:rPr>
  </w:style>
  <w:style w:type="character" w:customStyle="1" w:styleId="2fffff">
    <w:name w:val="正文首行缩进 2 字符"/>
    <w:qFormat/>
    <w:rPr>
      <w:rFonts w:ascii="华文宋体" w:eastAsia="MS Gothic" w:hAnsi="华文宋体" w:cs="MS Gothic"/>
      <w:kern w:val="2"/>
      <w:sz w:val="21"/>
      <w:szCs w:val="21"/>
    </w:rPr>
  </w:style>
  <w:style w:type="character" w:customStyle="1" w:styleId="Char1ff1">
    <w:name w:val="正文文本缩进 Char1"/>
    <w:qFormat/>
    <w:rPr>
      <w:rFonts w:ascii="仿宋_GB2312" w:eastAsia="仿宋_GB2312"/>
      <w:color w:val="000000"/>
      <w:kern w:val="2"/>
      <w:sz w:val="28"/>
      <w:szCs w:val="24"/>
    </w:rPr>
  </w:style>
  <w:style w:type="paragraph" w:customStyle="1" w:styleId="1TimesNewRoman20">
    <w:name w:val="样式 样式 标题 1 + 居中 + Times New Roman 20 磅"/>
    <w:basedOn w:val="a"/>
    <w:qFormat/>
    <w:pPr>
      <w:keepNext/>
      <w:keepLines/>
      <w:spacing w:before="120" w:after="180" w:line="360" w:lineRule="auto"/>
      <w:ind w:firstLineChars="200" w:firstLine="200"/>
      <w:jc w:val="center"/>
      <w:textAlignment w:val="center"/>
      <w:outlineLvl w:val="1"/>
    </w:pPr>
    <w:rPr>
      <w:rFonts w:ascii="Times New Roman" w:eastAsia="楷体_GB2312" w:hAnsi="Times New Roman" w:cs="宋体"/>
      <w:b/>
      <w:bCs/>
      <w:kern w:val="44"/>
      <w:sz w:val="40"/>
      <w:szCs w:val="44"/>
    </w:rPr>
  </w:style>
  <w:style w:type="paragraph" w:customStyle="1" w:styleId="afffffffffffffffffffffff0">
    <w:name w:val="正文文字（仿宋）"/>
    <w:basedOn w:val="a"/>
    <w:qFormat/>
    <w:pPr>
      <w:spacing w:line="500" w:lineRule="exact"/>
      <w:ind w:firstLineChars="200" w:firstLine="200"/>
      <w:jc w:val="left"/>
      <w:textAlignment w:val="center"/>
    </w:pPr>
    <w:rPr>
      <w:rFonts w:ascii="Times New Roman" w:eastAsia="仿宋_GB2312" w:hAnsi="Times New Roman"/>
      <w:bCs/>
      <w:sz w:val="27"/>
      <w:szCs w:val="27"/>
    </w:rPr>
  </w:style>
  <w:style w:type="paragraph" w:customStyle="1" w:styleId="2TimesNewRoman">
    <w:name w:val="样式 标题 2 + Times New Roman 三号 加粗 行距: 单倍行距"/>
    <w:basedOn w:val="2"/>
    <w:qFormat/>
    <w:pPr>
      <w:spacing w:before="240" w:after="240" w:line="240" w:lineRule="auto"/>
      <w:ind w:firstLineChars="200" w:firstLine="578"/>
      <w:textAlignment w:val="center"/>
      <w:outlineLvl w:val="2"/>
    </w:pPr>
    <w:rPr>
      <w:rFonts w:ascii="Times New Roman" w:eastAsia="楷体_GB2312" w:hAnsi="Times New Roman" w:cs="宋体"/>
      <w:b/>
      <w:bCs/>
      <w:sz w:val="32"/>
      <w:lang w:val="zh-CN"/>
    </w:rPr>
  </w:style>
  <w:style w:type="paragraph" w:customStyle="1" w:styleId="24f0">
    <w:name w:val="样式 宋体 小四 行距: 固定值 24 磅"/>
    <w:basedOn w:val="a"/>
    <w:qFormat/>
    <w:pPr>
      <w:spacing w:line="480" w:lineRule="exact"/>
      <w:ind w:firstLineChars="200" w:firstLine="472"/>
    </w:pPr>
    <w:rPr>
      <w:spacing w:val="4"/>
      <w:szCs w:val="24"/>
    </w:rPr>
  </w:style>
  <w:style w:type="character" w:customStyle="1" w:styleId="24Char">
    <w:name w:val="样式 宋体 小四 行距: 固定值 24 磅 Char"/>
    <w:qFormat/>
    <w:rPr>
      <w:rFonts w:ascii="宋体" w:eastAsia="宋体" w:hAnsi="宋体"/>
      <w:spacing w:val="4"/>
      <w:kern w:val="2"/>
      <w:sz w:val="24"/>
      <w:szCs w:val="24"/>
      <w:lang w:val="en-US" w:eastAsia="zh-CN" w:bidi="ar-SA"/>
    </w:rPr>
  </w:style>
  <w:style w:type="character" w:customStyle="1" w:styleId="Char1Char">
    <w:name w:val="Char1 Char"/>
    <w:link w:val="Char18"/>
    <w:qFormat/>
    <w:rPr>
      <w:rFonts w:ascii="宋体" w:hAnsi="宋体" w:cs="宋体"/>
      <w:kern w:val="2"/>
      <w:sz w:val="24"/>
      <w:szCs w:val="24"/>
    </w:rPr>
  </w:style>
  <w:style w:type="paragraph" w:customStyle="1" w:styleId="2fffff0">
    <w:name w:val="样式 我的正文 + 首行缩进:  2 字符"/>
    <w:basedOn w:val="a"/>
    <w:qFormat/>
    <w:pPr>
      <w:spacing w:line="480" w:lineRule="exact"/>
      <w:ind w:firstLineChars="200" w:firstLine="200"/>
    </w:pPr>
    <w:rPr>
      <w:rFonts w:ascii="Times New Roman" w:hAnsi="Times New Roman" w:cs="宋体"/>
      <w:spacing w:val="8"/>
      <w:szCs w:val="24"/>
    </w:rPr>
  </w:style>
  <w:style w:type="character" w:customStyle="1" w:styleId="2Charb">
    <w:name w:val="样式 我的正文 + 首行缩进:  2 字符 Char"/>
    <w:qFormat/>
    <w:rPr>
      <w:rFonts w:eastAsia="宋体" w:cs="宋体"/>
      <w:spacing w:val="8"/>
      <w:kern w:val="2"/>
      <w:sz w:val="24"/>
      <w:szCs w:val="24"/>
      <w:lang w:val="en-US" w:eastAsia="zh-CN" w:bidi="ar-SA"/>
    </w:rPr>
  </w:style>
  <w:style w:type="character" w:customStyle="1" w:styleId="2fffff1">
    <w:name w:val="标题 字符2"/>
    <w:qFormat/>
    <w:rPr>
      <w:rFonts w:ascii="Cambria" w:eastAsia="宋体" w:hAnsi="Cambria" w:cs="Times New Roman"/>
      <w:b/>
      <w:bCs/>
      <w:kern w:val="28"/>
      <w:sz w:val="32"/>
      <w:szCs w:val="32"/>
      <w:lang w:val="zh-CN" w:eastAsia="en-US" w:bidi="en-US"/>
    </w:rPr>
  </w:style>
  <w:style w:type="paragraph" w:customStyle="1" w:styleId="211112b22CharCharCharChar">
    <w:name w:val="样式 标题 2设计一节标题 1.11.1标题2b2标题 2 Char Char Char Char + 宋体 小三..."/>
    <w:basedOn w:val="2"/>
    <w:qFormat/>
    <w:pPr>
      <w:spacing w:before="160" w:after="160" w:line="360" w:lineRule="auto"/>
      <w:ind w:firstLine="198"/>
    </w:pPr>
    <w:rPr>
      <w:rFonts w:eastAsia="宋体" w:cs="宋体"/>
      <w:b/>
      <w:bCs/>
      <w:sz w:val="30"/>
      <w:lang w:val="zh-CN"/>
    </w:rPr>
  </w:style>
  <w:style w:type="paragraph" w:customStyle="1" w:styleId="CharCharfffff8">
    <w:name w:val="批注框文本 Char Char"/>
    <w:basedOn w:val="a"/>
    <w:qFormat/>
    <w:pPr>
      <w:spacing w:line="360" w:lineRule="auto"/>
      <w:ind w:firstLineChars="200" w:firstLine="200"/>
    </w:pPr>
    <w:rPr>
      <w:rFonts w:ascii="Times New Roman" w:hAnsi="Times New Roman"/>
      <w:sz w:val="18"/>
      <w:szCs w:val="24"/>
    </w:rPr>
  </w:style>
  <w:style w:type="paragraph" w:customStyle="1" w:styleId="afffffffffffffffffffffff1">
    <w:name w:val="章一"/>
    <w:basedOn w:val="a"/>
    <w:qFormat/>
    <w:pPr>
      <w:snapToGrid w:val="0"/>
      <w:spacing w:line="540" w:lineRule="exact"/>
      <w:ind w:firstLineChars="200" w:firstLine="200"/>
      <w:textAlignment w:val="baseline"/>
    </w:pPr>
    <w:rPr>
      <w:b/>
      <w:snapToGrid w:val="0"/>
      <w:color w:val="000000"/>
      <w:spacing w:val="6"/>
      <w:kern w:val="0"/>
      <w:sz w:val="28"/>
      <w:szCs w:val="24"/>
      <w:u w:color="000000"/>
    </w:rPr>
  </w:style>
  <w:style w:type="character" w:customStyle="1" w:styleId="style61">
    <w:name w:val="style61"/>
    <w:qFormat/>
    <w:rPr>
      <w:rFonts w:ascii="宋体" w:eastAsia="宋体" w:hAnsi="宋体" w:cs="宋体"/>
      <w:kern w:val="2"/>
      <w:sz w:val="18"/>
      <w:szCs w:val="18"/>
      <w:lang w:val="en-US" w:eastAsia="zh-CN" w:bidi="ar-SA"/>
    </w:rPr>
  </w:style>
  <w:style w:type="paragraph" w:customStyle="1" w:styleId="BCD0">
    <w:name w:val="BCD表头字"/>
    <w:basedOn w:val="a"/>
    <w:qFormat/>
    <w:pPr>
      <w:spacing w:line="360" w:lineRule="exact"/>
      <w:jc w:val="center"/>
    </w:pPr>
    <w:rPr>
      <w:rFonts w:ascii="Times New Roman" w:eastAsia="仿宋_GB2312" w:hAnsi="Times New Roman"/>
      <w:b/>
      <w:w w:val="90"/>
      <w:szCs w:val="24"/>
    </w:rPr>
  </w:style>
  <w:style w:type="paragraph" w:customStyle="1" w:styleId="4f9">
    <w:name w:val="样式 标题 4 + (中文) 宋体"/>
    <w:basedOn w:val="40"/>
    <w:link w:val="4Char1"/>
    <w:qFormat/>
    <w:pPr>
      <w:spacing w:before="480" w:after="120" w:line="377" w:lineRule="auto"/>
      <w:jc w:val="center"/>
    </w:pPr>
    <w:rPr>
      <w:rFonts w:eastAsia="宋体"/>
      <w:bCs/>
      <w:szCs w:val="28"/>
      <w:lang w:val="zh-CN"/>
    </w:rPr>
  </w:style>
  <w:style w:type="character" w:customStyle="1" w:styleId="4Char1">
    <w:name w:val="样式 标题 4 + (中文) 宋体 Char"/>
    <w:link w:val="4f9"/>
    <w:qFormat/>
    <w:rPr>
      <w:rFonts w:ascii="Arial" w:hAnsi="Arial"/>
      <w:b/>
      <w:bCs/>
      <w:kern w:val="2"/>
      <w:sz w:val="28"/>
      <w:szCs w:val="28"/>
      <w:lang w:val="zh-CN" w:eastAsia="zh-CN"/>
    </w:rPr>
  </w:style>
  <w:style w:type="paragraph" w:customStyle="1" w:styleId="afffffffffffffffffffffff2">
    <w:name w:val="图 表头格式"/>
    <w:basedOn w:val="a"/>
    <w:next w:val="a"/>
    <w:qFormat/>
    <w:pPr>
      <w:spacing w:line="360" w:lineRule="auto"/>
      <w:jc w:val="center"/>
    </w:pPr>
    <w:rPr>
      <w:rFonts w:ascii="Times New Roman" w:eastAsia="仿宋_GB2312" w:hAnsi="Times New Roman"/>
      <w:szCs w:val="24"/>
    </w:rPr>
  </w:style>
  <w:style w:type="paragraph" w:customStyle="1" w:styleId="LSHJ">
    <w:name w:val="LSHJ"/>
    <w:basedOn w:val="a"/>
    <w:qFormat/>
    <w:pPr>
      <w:spacing w:before="120" w:after="60" w:line="360" w:lineRule="auto"/>
      <w:ind w:left="1701" w:right="1701"/>
      <w:jc w:val="left"/>
    </w:pPr>
    <w:rPr>
      <w:rFonts w:ascii="Times New Roman" w:hAnsi="Times New Roman"/>
      <w:sz w:val="21"/>
    </w:rPr>
  </w:style>
  <w:style w:type="paragraph" w:customStyle="1" w:styleId="afffffffffffffffffffffff3">
    <w:name w:val="样式 表格 + 加粗"/>
    <w:basedOn w:val="afffffffff4"/>
    <w:qFormat/>
    <w:pPr>
      <w:snapToGrid/>
      <w:spacing w:line="240" w:lineRule="auto"/>
      <w:jc w:val="center"/>
    </w:pPr>
    <w:rPr>
      <w:rFonts w:cs="宋体"/>
      <w:b/>
      <w:bCs/>
      <w:kern w:val="0"/>
      <w:sz w:val="21"/>
      <w:szCs w:val="18"/>
    </w:rPr>
  </w:style>
  <w:style w:type="paragraph" w:customStyle="1" w:styleId="35b">
    <w:name w:val="样式35"/>
    <w:basedOn w:val="aff8"/>
    <w:qFormat/>
    <w:pPr>
      <w:pBdr>
        <w:top w:val="thinThickSmallGap" w:sz="12" w:space="1" w:color="auto"/>
        <w:bottom w:val="none" w:sz="0" w:space="0" w:color="auto"/>
      </w:pBdr>
      <w:jc w:val="center"/>
    </w:pPr>
    <w:rPr>
      <w:rFonts w:ascii="Times New Roman" w:hAnsi="Times New Roman"/>
      <w:szCs w:val="18"/>
      <w:lang w:val="zh-CN"/>
    </w:rPr>
  </w:style>
  <w:style w:type="paragraph" w:customStyle="1" w:styleId="370">
    <w:name w:val="样式37"/>
    <w:basedOn w:val="aff8"/>
    <w:qFormat/>
    <w:pPr>
      <w:pBdr>
        <w:top w:val="thinThickSmallGap" w:sz="12" w:space="1" w:color="auto"/>
        <w:bottom w:val="none" w:sz="0" w:space="0" w:color="auto"/>
      </w:pBdr>
      <w:jc w:val="center"/>
    </w:pPr>
    <w:rPr>
      <w:rFonts w:ascii="Times New Roman" w:hAnsi="Times New Roman"/>
      <w:kern w:val="0"/>
      <w:szCs w:val="18"/>
      <w:lang w:val="zh-CN"/>
    </w:rPr>
  </w:style>
  <w:style w:type="paragraph" w:customStyle="1" w:styleId="1158">
    <w:name w:val="样式 标题 1 + 三号 居中 行距: 1.5倍行距"/>
    <w:basedOn w:val="1"/>
    <w:qFormat/>
    <w:pPr>
      <w:spacing w:line="360" w:lineRule="auto"/>
      <w:jc w:val="center"/>
    </w:pPr>
    <w:rPr>
      <w:rFonts w:ascii="Times New Roman" w:hAnsi="Times New Roman" w:cs="宋体"/>
      <w:bCs/>
      <w:sz w:val="32"/>
      <w:lang w:val="zh-CN"/>
    </w:rPr>
  </w:style>
  <w:style w:type="paragraph" w:customStyle="1" w:styleId="1fffff1">
    <w:name w:val="样式 目录 1 + 行距: 单倍行距"/>
    <w:basedOn w:val="TOC1"/>
    <w:qFormat/>
    <w:pPr>
      <w:tabs>
        <w:tab w:val="clear" w:pos="8892"/>
        <w:tab w:val="left" w:pos="630"/>
        <w:tab w:val="right" w:leader="dot" w:pos="9202"/>
      </w:tabs>
      <w:spacing w:before="0" w:after="0" w:line="240" w:lineRule="auto"/>
      <w:jc w:val="left"/>
      <w:outlineLvl w:val="0"/>
    </w:pPr>
    <w:rPr>
      <w:rFonts w:ascii="Times New Roman" w:hAnsi="Times New Roman" w:cs="宋体"/>
      <w:b w:val="0"/>
    </w:rPr>
  </w:style>
  <w:style w:type="paragraph" w:customStyle="1" w:styleId="2105150">
    <w:name w:val="样式 标题 2 + 宋体 小三 段前: 10 磅 段后: 5 磅 行距: 1.5 倍行距"/>
    <w:basedOn w:val="2"/>
    <w:qFormat/>
    <w:pPr>
      <w:spacing w:before="120" w:after="120" w:line="360" w:lineRule="auto"/>
    </w:pPr>
    <w:rPr>
      <w:rFonts w:eastAsia="宋体" w:cs="宋体"/>
      <w:b/>
      <w:bCs/>
      <w:sz w:val="30"/>
      <w:lang w:val="zh-CN"/>
    </w:rPr>
  </w:style>
  <w:style w:type="character" w:customStyle="1" w:styleId="1Char12">
    <w:name w:val="标题 1 Char1"/>
    <w:qFormat/>
    <w:rPr>
      <w:rFonts w:ascii="宋体" w:eastAsia="宋体" w:hAnsi="宋体" w:cs="宋体"/>
      <w:bCs/>
      <w:spacing w:val="80"/>
      <w:kern w:val="44"/>
      <w:sz w:val="28"/>
      <w:szCs w:val="28"/>
      <w:lang w:val="en-US" w:eastAsia="zh-CN" w:bidi="ar-SA"/>
    </w:rPr>
  </w:style>
  <w:style w:type="paragraph" w:customStyle="1" w:styleId="12151525">
    <w:name w:val="样式 标题 1 + 宋体 三号 首行缩进:  2 字符 段前: 15 磅 段后: 15 磅 行距: 固定值 25 磅"/>
    <w:basedOn w:val="1"/>
    <w:qFormat/>
    <w:pPr>
      <w:spacing w:before="300" w:after="300" w:line="360" w:lineRule="auto"/>
      <w:ind w:firstLineChars="200" w:firstLine="200"/>
    </w:pPr>
    <w:rPr>
      <w:rFonts w:cs="宋体"/>
      <w:bCs/>
      <w:sz w:val="32"/>
      <w:lang w:val="zh-CN"/>
    </w:rPr>
  </w:style>
  <w:style w:type="paragraph" w:customStyle="1" w:styleId="1fffff2">
    <w:name w:val="样式 标题 1 + 三号"/>
    <w:basedOn w:val="1"/>
    <w:link w:val="1Charc"/>
    <w:qFormat/>
    <w:pPr>
      <w:ind w:firstLineChars="200" w:firstLine="200"/>
      <w:jc w:val="center"/>
    </w:pPr>
    <w:rPr>
      <w:rFonts w:ascii="Times New Roman" w:hAnsi="Times New Roman"/>
      <w:bCs/>
      <w:sz w:val="32"/>
      <w:szCs w:val="24"/>
      <w:lang w:val="zh-CN"/>
    </w:rPr>
  </w:style>
  <w:style w:type="character" w:customStyle="1" w:styleId="1Charc">
    <w:name w:val="样式 标题 1 + 三号 Char"/>
    <w:link w:val="1fffff2"/>
    <w:qFormat/>
    <w:rPr>
      <w:b/>
      <w:bCs/>
      <w:kern w:val="44"/>
      <w:sz w:val="32"/>
      <w:szCs w:val="24"/>
      <w:lang w:val="zh-CN" w:eastAsia="zh-CN"/>
    </w:rPr>
  </w:style>
  <w:style w:type="character" w:customStyle="1" w:styleId="210515CharChar">
    <w:name w:val="样式 标题 2 + 宋体 小三 居中 段前: 10磅 段后: 5磅 行距: 1.5 倍行距 Char Char"/>
    <w:qFormat/>
    <w:rPr>
      <w:rFonts w:ascii="宋体" w:eastAsia="宋体" w:hAnsi="宋体" w:cs="宋体"/>
      <w:b/>
      <w:bCs/>
      <w:kern w:val="2"/>
      <w:sz w:val="30"/>
      <w:szCs w:val="32"/>
      <w:lang w:val="en-US" w:eastAsia="zh-CN" w:bidi="ar-SA"/>
    </w:rPr>
  </w:style>
  <w:style w:type="character" w:customStyle="1" w:styleId="CharCharCharChara">
    <w:name w:val="批注框文本 Char Char Char Char"/>
    <w:qFormat/>
    <w:rPr>
      <w:rFonts w:eastAsia="宋体"/>
      <w:kern w:val="2"/>
      <w:sz w:val="18"/>
      <w:szCs w:val="18"/>
      <w:lang w:val="en-US" w:eastAsia="zh-CN" w:bidi="ar-SA"/>
    </w:rPr>
  </w:style>
  <w:style w:type="character" w:customStyle="1" w:styleId="CharCharfffff9">
    <w:name w:val="宁扬 Char Char"/>
    <w:qFormat/>
    <w:rPr>
      <w:rFonts w:ascii="仿宋_GB2312" w:eastAsia="宋体"/>
      <w:kern w:val="2"/>
      <w:sz w:val="24"/>
      <w:szCs w:val="24"/>
      <w:lang w:val="en-US" w:eastAsia="zh-CN" w:bidi="ar-SA"/>
    </w:rPr>
  </w:style>
  <w:style w:type="character" w:customStyle="1" w:styleId="CharCharfffffa">
    <w:name w:val="日期 Char Char"/>
    <w:qFormat/>
    <w:rPr>
      <w:rFonts w:eastAsia="宋体"/>
      <w:b/>
      <w:bCs/>
      <w:kern w:val="2"/>
      <w:sz w:val="32"/>
      <w:szCs w:val="24"/>
      <w:lang w:val="en-US" w:eastAsia="zh-CN" w:bidi="ar-SA"/>
    </w:rPr>
  </w:style>
  <w:style w:type="character" w:customStyle="1" w:styleId="3CharChar5">
    <w:name w:val="正文文本缩进 3 Char Char"/>
    <w:qFormat/>
    <w:rPr>
      <w:rFonts w:eastAsia="宋体"/>
      <w:kern w:val="2"/>
      <w:sz w:val="16"/>
      <w:szCs w:val="16"/>
      <w:lang w:val="en-US" w:eastAsia="zh-CN" w:bidi="ar-SA"/>
    </w:rPr>
  </w:style>
  <w:style w:type="character" w:customStyle="1" w:styleId="5CharChar1">
    <w:name w:val="标题 5 Char Char"/>
    <w:qFormat/>
    <w:rPr>
      <w:rFonts w:ascii="宋体" w:eastAsia="宋体" w:hAnsi="宋体"/>
      <w:b/>
      <w:bCs/>
      <w:kern w:val="2"/>
      <w:sz w:val="24"/>
      <w:szCs w:val="28"/>
      <w:lang w:val="en-US" w:eastAsia="zh-CN" w:bidi="ar-SA"/>
    </w:rPr>
  </w:style>
  <w:style w:type="character" w:customStyle="1" w:styleId="3CharCharCharChar0">
    <w:name w:val="3 Char Char Char Char"/>
    <w:qFormat/>
    <w:rPr>
      <w:rFonts w:ascii="宋体" w:eastAsia="宋体" w:hAnsi="Courier New" w:cs="黑体"/>
      <w:kern w:val="2"/>
      <w:sz w:val="21"/>
      <w:szCs w:val="21"/>
      <w:lang w:val="en-US" w:eastAsia="zh-CN" w:bidi="ar-SA"/>
    </w:rPr>
  </w:style>
  <w:style w:type="character" w:customStyle="1" w:styleId="CharCharfffffb">
    <w:name w:val="批注文字 Char Char"/>
    <w:qFormat/>
    <w:rPr>
      <w:rFonts w:eastAsia="宋体"/>
      <w:kern w:val="2"/>
      <w:sz w:val="21"/>
      <w:szCs w:val="24"/>
      <w:lang w:val="en-US" w:eastAsia="zh-CN" w:bidi="ar-SA"/>
    </w:rPr>
  </w:style>
  <w:style w:type="character" w:customStyle="1" w:styleId="8CharChar">
    <w:name w:val="标题 8 Char Char"/>
    <w:qFormat/>
    <w:rPr>
      <w:rFonts w:ascii="Arial" w:eastAsia="黑体" w:hAnsi="Arial"/>
      <w:kern w:val="2"/>
      <w:sz w:val="24"/>
      <w:szCs w:val="24"/>
      <w:lang w:val="en-US" w:eastAsia="zh-CN" w:bidi="ar-SA"/>
    </w:rPr>
  </w:style>
  <w:style w:type="character" w:customStyle="1" w:styleId="1CharChar8">
    <w:name w:val="样式 标题 1 + 三号 Char Char"/>
    <w:qFormat/>
    <w:rPr>
      <w:rFonts w:eastAsia="宋体"/>
      <w:b/>
      <w:bCs/>
      <w:kern w:val="44"/>
      <w:sz w:val="32"/>
      <w:szCs w:val="24"/>
      <w:lang w:val="en-US" w:eastAsia="zh-CN" w:bidi="ar-SA"/>
    </w:rPr>
  </w:style>
  <w:style w:type="character" w:customStyle="1" w:styleId="GB2312CharChar0">
    <w:name w:val="样式 宁扬 + 仿宋_GB2312 Char Char"/>
    <w:qFormat/>
    <w:rPr>
      <w:rFonts w:ascii="仿宋_GB2312" w:eastAsia="仿宋_GB2312" w:hAnsi="仿宋_GB2312"/>
      <w:kern w:val="2"/>
      <w:sz w:val="28"/>
      <w:szCs w:val="28"/>
      <w:lang w:val="en-US" w:eastAsia="zh-CN" w:bidi="ar-SA"/>
    </w:rPr>
  </w:style>
  <w:style w:type="character" w:customStyle="1" w:styleId="05CharChar">
    <w:name w:val="样式 图名 + 段前: 0.5 行 Char Char"/>
    <w:qFormat/>
    <w:rPr>
      <w:rFonts w:ascii="黑体" w:eastAsia="黑体" w:cs="宋体"/>
      <w:spacing w:val="-10"/>
      <w:kern w:val="2"/>
      <w:sz w:val="21"/>
      <w:szCs w:val="21"/>
      <w:lang w:val="en-US" w:eastAsia="zh-CN" w:bidi="ar-SA"/>
    </w:rPr>
  </w:style>
  <w:style w:type="character" w:customStyle="1" w:styleId="CharCharfffffc">
    <w:name w:val="表名 Char Char"/>
  </w:style>
  <w:style w:type="character" w:customStyle="1" w:styleId="32005CharChar">
    <w:name w:val="样式 样式 标题 3 + 首行缩进:  2 字符 段前: 0 磅 + 两端对齐 段前: 0.5 行 Char Char"/>
    <w:rPr>
      <w:rFonts w:ascii="黑体" w:eastAsia="黑体" w:cs="宋体"/>
      <w:b/>
      <w:bCs/>
      <w:kern w:val="2"/>
      <w:sz w:val="24"/>
      <w:szCs w:val="24"/>
      <w:lang w:val="en-US" w:eastAsia="zh-CN" w:bidi="ar-SA"/>
    </w:rPr>
  </w:style>
  <w:style w:type="character" w:customStyle="1" w:styleId="CharCharfffffd">
    <w:name w:val="正文文本 Char Char"/>
    <w:qFormat/>
    <w:rPr>
      <w:rFonts w:eastAsia="宋体"/>
      <w:kern w:val="2"/>
      <w:sz w:val="30"/>
      <w:szCs w:val="24"/>
      <w:lang w:val="en-US" w:eastAsia="zh-CN" w:bidi="ar-SA"/>
    </w:rPr>
  </w:style>
  <w:style w:type="character" w:customStyle="1" w:styleId="4CharChar0">
    <w:name w:val="标题 4 Char Char"/>
    <w:qFormat/>
    <w:rPr>
      <w:rFonts w:ascii="宋体" w:eastAsia="宋体" w:hAnsi="宋体"/>
      <w:b/>
      <w:bCs/>
      <w:kern w:val="2"/>
      <w:sz w:val="24"/>
      <w:szCs w:val="28"/>
      <w:lang w:val="en-US" w:eastAsia="zh-CN" w:bidi="ar-SA"/>
    </w:rPr>
  </w:style>
  <w:style w:type="character" w:customStyle="1" w:styleId="9CharChar1">
    <w:name w:val="标题 9 Char Char"/>
    <w:qFormat/>
    <w:rPr>
      <w:rFonts w:ascii="Arial" w:eastAsia="黑体" w:hAnsi="Arial"/>
      <w:kern w:val="2"/>
      <w:sz w:val="21"/>
      <w:szCs w:val="21"/>
      <w:lang w:val="en-US" w:eastAsia="zh-CN" w:bidi="ar-SA"/>
    </w:rPr>
  </w:style>
  <w:style w:type="character" w:customStyle="1" w:styleId="2512CharChar">
    <w:name w:val="样式 样式 宋体 小四 行距: 固定值 25 磅 + 首行缩进:  1 字符2 Char Char"/>
    <w:qFormat/>
    <w:rPr>
      <w:rFonts w:ascii="仿宋_GB2312" w:eastAsia="仿宋_GB2312" w:hAnsi="宋体" w:cs="宋体"/>
      <w:kern w:val="10"/>
      <w:sz w:val="28"/>
      <w:szCs w:val="28"/>
      <w:lang w:val="en-US" w:eastAsia="zh-CN" w:bidi="ar-SA"/>
    </w:rPr>
  </w:style>
  <w:style w:type="character" w:customStyle="1" w:styleId="CharCharfffffe">
    <w:name w:val="注释标题 Char Char"/>
    <w:qFormat/>
    <w:rPr>
      <w:rFonts w:ascii="宋体" w:eastAsia="宋体" w:hAnsi="宋体" w:cs="宋体"/>
      <w:kern w:val="2"/>
      <w:sz w:val="21"/>
      <w:szCs w:val="24"/>
      <w:lang w:val="en-US" w:eastAsia="zh-CN" w:bidi="ar-SA"/>
    </w:rPr>
  </w:style>
  <w:style w:type="character" w:customStyle="1" w:styleId="24CharChar">
    <w:name w:val="样式 宋体 小四 行距: 固定值 24 磅 Char Char"/>
    <w:qFormat/>
    <w:rPr>
      <w:rFonts w:ascii="宋体" w:eastAsia="宋体" w:hAnsi="宋体"/>
      <w:spacing w:val="4"/>
      <w:kern w:val="2"/>
      <w:sz w:val="24"/>
      <w:szCs w:val="24"/>
      <w:lang w:val="en-US" w:eastAsia="zh-CN" w:bidi="ar-SA"/>
    </w:rPr>
  </w:style>
  <w:style w:type="character" w:customStyle="1" w:styleId="2CharCharc">
    <w:name w:val="正文文本缩进 2 Char Char"/>
    <w:qFormat/>
    <w:rPr>
      <w:rFonts w:eastAsia="宋体"/>
      <w:kern w:val="2"/>
      <w:sz w:val="24"/>
      <w:szCs w:val="24"/>
      <w:lang w:val="en-US" w:eastAsia="zh-CN" w:bidi="ar-SA"/>
    </w:rPr>
  </w:style>
  <w:style w:type="character" w:customStyle="1" w:styleId="2CharChard">
    <w:name w:val="样式 我的正文 + 首行缩进:  2 字符 Char Char"/>
    <w:qFormat/>
    <w:rPr>
      <w:rFonts w:eastAsia="宋体" w:cs="宋体"/>
      <w:spacing w:val="8"/>
      <w:kern w:val="2"/>
      <w:sz w:val="24"/>
      <w:szCs w:val="24"/>
      <w:lang w:val="en-US" w:eastAsia="zh-CN" w:bidi="ar-SA"/>
    </w:rPr>
  </w:style>
  <w:style w:type="character" w:customStyle="1" w:styleId="1CharChar9">
    <w:name w:val="1 Char Char"/>
    <w:qFormat/>
    <w:rPr>
      <w:rFonts w:eastAsia="宋体"/>
      <w:kern w:val="2"/>
      <w:sz w:val="32"/>
      <w:szCs w:val="24"/>
      <w:lang w:val="en-US" w:eastAsia="zh-CN" w:bidi="ar-SA"/>
    </w:rPr>
  </w:style>
  <w:style w:type="character" w:customStyle="1" w:styleId="CharCharffffff">
    <w:name w:val="图名 Char Char"/>
    <w:qFormat/>
    <w:rPr>
      <w:rFonts w:ascii="黑体" w:eastAsia="黑体"/>
      <w:spacing w:val="-10"/>
      <w:kern w:val="2"/>
      <w:sz w:val="21"/>
      <w:szCs w:val="21"/>
      <w:lang w:val="en-US" w:eastAsia="zh-CN" w:bidi="ar-SA"/>
    </w:rPr>
  </w:style>
  <w:style w:type="character" w:customStyle="1" w:styleId="Char1CharChar0">
    <w:name w:val="Char1 Char Char"/>
    <w:qFormat/>
    <w:rPr>
      <w:rFonts w:ascii="仿宋_GB2312" w:eastAsia="仿宋_GB2312"/>
      <w:b/>
      <w:kern w:val="2"/>
      <w:sz w:val="32"/>
      <w:szCs w:val="32"/>
      <w:lang w:val="en-US" w:eastAsia="zh-CN" w:bidi="ar-SA"/>
    </w:rPr>
  </w:style>
  <w:style w:type="character" w:customStyle="1" w:styleId="6CharChar1">
    <w:name w:val="标题 6 Char Char"/>
    <w:qFormat/>
    <w:rPr>
      <w:rFonts w:ascii="Arial" w:eastAsia="黑体" w:hAnsi="Arial"/>
      <w:b/>
      <w:bCs/>
      <w:kern w:val="2"/>
      <w:sz w:val="24"/>
      <w:szCs w:val="24"/>
      <w:lang w:val="en-US" w:eastAsia="zh-CN" w:bidi="ar-SA"/>
    </w:rPr>
  </w:style>
  <w:style w:type="character" w:customStyle="1" w:styleId="CharCharffffff0">
    <w:name w:val="正文文本缩进 Char Char"/>
    <w:qFormat/>
    <w:rPr>
      <w:rFonts w:eastAsia="宋体"/>
      <w:kern w:val="2"/>
      <w:sz w:val="24"/>
      <w:szCs w:val="24"/>
      <w:lang w:val="en-US" w:eastAsia="zh-CN" w:bidi="ar-SA"/>
    </w:rPr>
  </w:style>
  <w:style w:type="character" w:customStyle="1" w:styleId="1CharChara">
    <w:name w:val="正文文字1 Char Char"/>
    <w:qFormat/>
    <w:rPr>
      <w:rFonts w:eastAsia="宋体"/>
      <w:kern w:val="2"/>
      <w:sz w:val="24"/>
      <w:szCs w:val="24"/>
      <w:lang w:val="en-US" w:eastAsia="zh-CN" w:bidi="ar-SA"/>
    </w:rPr>
  </w:style>
  <w:style w:type="character" w:customStyle="1" w:styleId="3CharChar6">
    <w:name w:val="正文文本 3 Char Char"/>
    <w:qFormat/>
    <w:rPr>
      <w:rFonts w:eastAsia="宋体"/>
      <w:kern w:val="2"/>
      <w:sz w:val="16"/>
      <w:szCs w:val="16"/>
      <w:lang w:val="en-US" w:eastAsia="zh-CN" w:bidi="ar-SA"/>
    </w:rPr>
  </w:style>
  <w:style w:type="character" w:customStyle="1" w:styleId="CharCharCharCharb">
    <w:name w:val="批注主题 Char Char Char Char"/>
    <w:qFormat/>
    <w:rPr>
      <w:rFonts w:eastAsia="宋体"/>
      <w:b/>
      <w:bCs/>
      <w:kern w:val="2"/>
      <w:sz w:val="21"/>
      <w:szCs w:val="24"/>
      <w:lang w:val="en-US" w:eastAsia="zh-CN" w:bidi="ar-SA"/>
    </w:rPr>
  </w:style>
  <w:style w:type="character" w:customStyle="1" w:styleId="4CharChar1">
    <w:name w:val="样式 标题 4 + (中文) 宋体 Char Char"/>
    <w:qFormat/>
    <w:rPr>
      <w:rFonts w:ascii="Arial" w:eastAsia="宋体" w:hAnsi="Arial"/>
      <w:b/>
      <w:bCs/>
      <w:kern w:val="2"/>
      <w:sz w:val="28"/>
      <w:szCs w:val="28"/>
      <w:lang w:val="en-US" w:eastAsia="zh-CN" w:bidi="ar-SA"/>
    </w:rPr>
  </w:style>
  <w:style w:type="character" w:customStyle="1" w:styleId="2CharChare">
    <w:name w:val="正文文本 2 Char Char"/>
    <w:qFormat/>
    <w:rPr>
      <w:rFonts w:eastAsia="宋体"/>
      <w:kern w:val="2"/>
      <w:sz w:val="24"/>
      <w:szCs w:val="24"/>
      <w:lang w:val="en-US" w:eastAsia="zh-CN" w:bidi="ar-SA"/>
    </w:rPr>
  </w:style>
  <w:style w:type="paragraph" w:customStyle="1" w:styleId="3420">
    <w:name w:val="样式 目录 3 + 左侧:  4 字符 首行缩进:  2 字符"/>
    <w:basedOn w:val="TOC3"/>
    <w:qFormat/>
    <w:pPr>
      <w:ind w:left="400"/>
      <w:jc w:val="left"/>
    </w:pPr>
    <w:rPr>
      <w:rFonts w:ascii="等线" w:eastAsia="等线" w:hAnsi="Times New Roman" w:cs="宋体"/>
      <w:iCs/>
    </w:rPr>
  </w:style>
  <w:style w:type="paragraph" w:customStyle="1" w:styleId="22fc">
    <w:name w:val="样式 目录 2 + 首行缩进:  2 字符"/>
    <w:basedOn w:val="TOC2"/>
    <w:qFormat/>
    <w:pPr>
      <w:tabs>
        <w:tab w:val="clear" w:pos="8892"/>
        <w:tab w:val="right" w:leader="dot" w:pos="9017"/>
        <w:tab w:val="right" w:leader="dot" w:pos="9202"/>
      </w:tabs>
      <w:adjustRightInd w:val="0"/>
      <w:spacing w:line="320" w:lineRule="exact"/>
      <w:ind w:left="0" w:firstLineChars="200" w:firstLine="480"/>
    </w:pPr>
    <w:rPr>
      <w:rFonts w:ascii="Times New Roman" w:eastAsia="等线" w:hAnsi="Times New Roman" w:cs="宋体"/>
      <w:b/>
      <w:sz w:val="20"/>
    </w:rPr>
  </w:style>
  <w:style w:type="paragraph" w:customStyle="1" w:styleId="12f9">
    <w:name w:val="样式 目录 1 + 首行缩进:  2 字符"/>
    <w:basedOn w:val="TOC1"/>
    <w:qFormat/>
    <w:pPr>
      <w:tabs>
        <w:tab w:val="clear" w:pos="8892"/>
        <w:tab w:val="left" w:pos="630"/>
        <w:tab w:val="right" w:leader="dot" w:pos="9017"/>
        <w:tab w:val="right" w:leader="dot" w:pos="9202"/>
      </w:tabs>
      <w:spacing w:before="0" w:after="0" w:line="440" w:lineRule="exact"/>
      <w:jc w:val="center"/>
      <w:outlineLvl w:val="0"/>
    </w:pPr>
    <w:rPr>
      <w:rFonts w:ascii="Times New Roman" w:hAnsi="Times New Roman" w:cs="宋体"/>
      <w:b w:val="0"/>
      <w:caps w:val="0"/>
      <w:szCs w:val="28"/>
    </w:rPr>
  </w:style>
  <w:style w:type="character" w:customStyle="1" w:styleId="300Char">
    <w:name w:val="样式 标题 3 + 黑体 小四 非加粗 段前: 0 磅 段后: 0 磅 行距: 单倍行距 Char"/>
    <w:link w:val="3000"/>
    <w:qFormat/>
    <w:rPr>
      <w:rFonts w:ascii="黑体" w:eastAsia="黑体"/>
      <w:kern w:val="2"/>
      <w:sz w:val="28"/>
      <w:lang w:val="zh-CN" w:eastAsia="zh-CN"/>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kern w:val="0"/>
      <w:lang w:eastAsia="en-US"/>
    </w:rPr>
  </w:style>
  <w:style w:type="paragraph" w:customStyle="1" w:styleId="203">
    <w:name w:val="样式20"/>
    <w:basedOn w:val="40"/>
    <w:qFormat/>
    <w:pPr>
      <w:keepNext w:val="0"/>
      <w:keepLines w:val="0"/>
      <w:spacing w:before="0" w:after="0" w:line="600" w:lineRule="exact"/>
      <w:ind w:firstLineChars="200" w:firstLine="200"/>
    </w:pPr>
    <w:rPr>
      <w:rFonts w:ascii="宋体" w:eastAsia="宋体" w:hAnsi="宋体"/>
      <w:bCs/>
      <w:sz w:val="24"/>
      <w:szCs w:val="28"/>
      <w:lang w:val="zh-CN"/>
    </w:rPr>
  </w:style>
  <w:style w:type="character" w:customStyle="1" w:styleId="afffffffffffffffffffffff4">
    <w:name w:val="正文首行缩进 字符"/>
    <w:uiPriority w:val="99"/>
    <w:semiHidden/>
    <w:qFormat/>
  </w:style>
  <w:style w:type="character" w:customStyle="1" w:styleId="Charffffff1">
    <w:name w:val="样式四 Char"/>
    <w:link w:val="affffffffffffffffffffffc"/>
    <w:qFormat/>
    <w:rPr>
      <w:kern w:val="2"/>
      <w:sz w:val="24"/>
      <w:szCs w:val="28"/>
    </w:rPr>
  </w:style>
  <w:style w:type="character" w:customStyle="1" w:styleId="51b">
    <w:name w:val="标题 5 字符1"/>
    <w:qFormat/>
    <w:rPr>
      <w:rFonts w:ascii="宋体" w:hAnsi="宋体"/>
      <w:b/>
      <w:bCs/>
      <w:kern w:val="2"/>
      <w:sz w:val="24"/>
      <w:szCs w:val="28"/>
    </w:rPr>
  </w:style>
  <w:style w:type="character" w:customStyle="1" w:styleId="11ff">
    <w:name w:val="标题 1 字符1"/>
    <w:rPr>
      <w:rFonts w:ascii="仿宋_GB2312" w:hAnsi="宋体"/>
      <w:b/>
      <w:bCs/>
      <w:kern w:val="44"/>
      <w:sz w:val="32"/>
      <w:szCs w:val="44"/>
    </w:rPr>
  </w:style>
  <w:style w:type="character" w:customStyle="1" w:styleId="afffffffffffffffffffffff5">
    <w:name w:val="正文缩进 字符"/>
    <w:qFormat/>
    <w:rPr>
      <w:kern w:val="2"/>
      <w:sz w:val="24"/>
    </w:rPr>
  </w:style>
  <w:style w:type="character" w:customStyle="1" w:styleId="31f6">
    <w:name w:val="标题 3 字符1"/>
    <w:qFormat/>
    <w:rPr>
      <w:b/>
      <w:bCs/>
      <w:kern w:val="2"/>
      <w:sz w:val="32"/>
      <w:szCs w:val="32"/>
    </w:rPr>
  </w:style>
  <w:style w:type="character" w:customStyle="1" w:styleId="915">
    <w:name w:val="标题 9 字符1"/>
    <w:rPr>
      <w:rFonts w:ascii="Arial" w:eastAsia="黑体" w:hAnsi="Arial"/>
      <w:kern w:val="2"/>
      <w:sz w:val="21"/>
      <w:szCs w:val="21"/>
    </w:rPr>
  </w:style>
  <w:style w:type="character" w:customStyle="1" w:styleId="617">
    <w:name w:val="标题 6 字符1"/>
    <w:qFormat/>
    <w:rPr>
      <w:rFonts w:ascii="Arial" w:eastAsia="黑体" w:hAnsi="Arial"/>
      <w:b/>
      <w:bCs/>
      <w:kern w:val="2"/>
      <w:sz w:val="24"/>
      <w:szCs w:val="24"/>
    </w:rPr>
  </w:style>
  <w:style w:type="character" w:customStyle="1" w:styleId="816">
    <w:name w:val="标题 8 字符1"/>
    <w:qFormat/>
    <w:rPr>
      <w:rFonts w:ascii="Arial" w:eastAsia="黑体" w:hAnsi="Arial"/>
      <w:kern w:val="2"/>
      <w:sz w:val="24"/>
      <w:szCs w:val="24"/>
    </w:rPr>
  </w:style>
  <w:style w:type="character" w:customStyle="1" w:styleId="1fffff3">
    <w:name w:val="页脚 字符1"/>
    <w:uiPriority w:val="99"/>
    <w:qFormat/>
    <w:rPr>
      <w:rFonts w:eastAsia="MS Gothic" w:cs="MS Gothic"/>
      <w:kern w:val="2"/>
      <w:sz w:val="18"/>
      <w:szCs w:val="18"/>
    </w:rPr>
  </w:style>
  <w:style w:type="character" w:customStyle="1" w:styleId="HTML10">
    <w:name w:val="HTML 预设格式 字符1"/>
    <w:qFormat/>
    <w:rPr>
      <w:rFonts w:ascii="Courier New" w:hAnsi="Courier New"/>
      <w:kern w:val="2"/>
    </w:rPr>
  </w:style>
  <w:style w:type="character" w:customStyle="1" w:styleId="1fffff4">
    <w:name w:val="正文文本 字符1"/>
    <w:qFormat/>
    <w:rPr>
      <w:rFonts w:eastAsia="MS Gothic" w:cs="MS Gothic"/>
      <w:kern w:val="2"/>
      <w:sz w:val="21"/>
      <w:szCs w:val="21"/>
    </w:rPr>
  </w:style>
  <w:style w:type="character" w:customStyle="1" w:styleId="717">
    <w:name w:val="标题 7 字符1"/>
    <w:rPr>
      <w:rFonts w:ascii="宋体" w:hAnsi="宋体"/>
      <w:b/>
      <w:bCs/>
      <w:kern w:val="2"/>
      <w:sz w:val="24"/>
      <w:szCs w:val="24"/>
    </w:rPr>
  </w:style>
  <w:style w:type="character" w:customStyle="1" w:styleId="1fffff5">
    <w:name w:val="签名 字符1"/>
    <w:qFormat/>
    <w:rPr>
      <w:kern w:val="2"/>
      <w:sz w:val="21"/>
    </w:rPr>
  </w:style>
  <w:style w:type="character" w:customStyle="1" w:styleId="1fffff6">
    <w:name w:val="批注主题 字符1"/>
    <w:qFormat/>
    <w:rPr>
      <w:b/>
      <w:bCs/>
      <w:kern w:val="2"/>
      <w:sz w:val="21"/>
      <w:szCs w:val="24"/>
    </w:rPr>
  </w:style>
  <w:style w:type="character" w:customStyle="1" w:styleId="1fffff7">
    <w:name w:val="正文首行缩进 字符1"/>
    <w:rPr>
      <w:rFonts w:eastAsia="MS Gothic" w:cs="MS Gothic"/>
      <w:kern w:val="2"/>
      <w:sz w:val="21"/>
      <w:szCs w:val="21"/>
    </w:rPr>
  </w:style>
  <w:style w:type="character" w:customStyle="1" w:styleId="1fffff8">
    <w:name w:val="页眉 字符1"/>
    <w:uiPriority w:val="99"/>
    <w:qFormat/>
    <w:rPr>
      <w:rFonts w:eastAsia="MS Gothic" w:cs="MS Gothic"/>
      <w:kern w:val="2"/>
      <w:sz w:val="18"/>
      <w:szCs w:val="18"/>
    </w:rPr>
  </w:style>
  <w:style w:type="character" w:customStyle="1" w:styleId="21fa">
    <w:name w:val="标题 2 字符1"/>
    <w:qFormat/>
    <w:rPr>
      <w:rFonts w:ascii="Arial" w:eastAsia="黑体" w:hAnsi="Arial"/>
      <w:b/>
      <w:bCs/>
      <w:kern w:val="2"/>
      <w:sz w:val="32"/>
      <w:szCs w:val="32"/>
    </w:rPr>
  </w:style>
  <w:style w:type="character" w:customStyle="1" w:styleId="21fb">
    <w:name w:val="正文首行缩进 2 字符1"/>
    <w:qFormat/>
    <w:rPr>
      <w:rFonts w:ascii="仿宋_GB2312" w:eastAsia="仿宋_GB2312"/>
      <w:color w:val="000000"/>
      <w:kern w:val="2"/>
      <w:sz w:val="21"/>
      <w:szCs w:val="24"/>
    </w:rPr>
  </w:style>
  <w:style w:type="character" w:customStyle="1" w:styleId="1fffff9">
    <w:name w:val="注释标题 字符1"/>
    <w:qFormat/>
    <w:rPr>
      <w:kern w:val="2"/>
      <w:sz w:val="21"/>
      <w:szCs w:val="24"/>
    </w:rPr>
  </w:style>
  <w:style w:type="paragraph" w:customStyle="1" w:styleId="msonormal0">
    <w:name w:val="msonormal"/>
    <w:basedOn w:val="a"/>
    <w:pPr>
      <w:widowControl/>
      <w:spacing w:before="100" w:beforeAutospacing="1" w:after="100" w:afterAutospacing="1"/>
      <w:jc w:val="left"/>
    </w:pPr>
    <w:rPr>
      <w:rFonts w:cs="宋体"/>
      <w:kern w:val="0"/>
      <w:szCs w:val="24"/>
    </w:rPr>
  </w:style>
  <w:style w:type="table" w:customStyle="1" w:styleId="afffffffffffffffffffffff6">
    <w:name w:val="华宇表格"/>
    <w:basedOn w:val="a1"/>
    <w:uiPriority w:val="99"/>
    <w:pPr>
      <w:jc w:val="center"/>
    </w:pPr>
    <w:rPr>
      <w:rFonts w:cstheme="minorBidi"/>
      <w:kern w:val="2"/>
      <w:sz w:val="21"/>
      <w:szCs w:val="22"/>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customStyle="1" w:styleId="36a">
    <w:name w:val="样式36"/>
    <w:basedOn w:val="a1"/>
    <w:uiPriority w:val="99"/>
    <w:qFormat/>
    <w:pPr>
      <w:jc w:val="center"/>
    </w:pPr>
    <w:rPr>
      <w:rFonts w:asciiTheme="minorHAnsi" w:eastAsiaTheme="minorEastAsia" w:hAnsiTheme="minorHAnsi" w:cstheme="minorBidi"/>
      <w:kern w:val="2"/>
      <w:sz w:val="21"/>
      <w:szCs w:val="22"/>
    </w:rPr>
    <w:tblPr>
      <w:jc w:val="center"/>
    </w:tblPr>
    <w:trPr>
      <w:jc w:val="center"/>
    </w:trPr>
    <w:tcPr>
      <w:vAlign w:val="center"/>
    </w:tcPr>
  </w:style>
  <w:style w:type="character" w:customStyle="1" w:styleId="a-Char">
    <w:name w:val="a-表名 Char"/>
    <w:link w:val="a-"/>
    <w:qFormat/>
    <w:rPr>
      <w:rFonts w:eastAsia="仿宋"/>
      <w:b/>
      <w:color w:val="000000"/>
      <w:kern w:val="2"/>
      <w:sz w:val="21"/>
      <w:szCs w:val="21"/>
    </w:rPr>
  </w:style>
  <w:style w:type="paragraph" w:customStyle="1" w:styleId="a-">
    <w:name w:val="a-表名"/>
    <w:link w:val="a-Char"/>
    <w:qFormat/>
    <w:pPr>
      <w:adjustRightInd w:val="0"/>
      <w:snapToGrid w:val="0"/>
      <w:spacing w:afterLines="50" w:after="50"/>
      <w:jc w:val="center"/>
    </w:pPr>
    <w:rPr>
      <w:rFonts w:eastAsia="仿宋"/>
      <w:b/>
      <w:color w:val="000000"/>
      <w:kern w:val="2"/>
      <w:sz w:val="21"/>
      <w:szCs w:val="21"/>
    </w:rPr>
  </w:style>
  <w:style w:type="table" w:customStyle="1" w:styleId="371">
    <w:name w:val="网格型37"/>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0">
    <w:name w:val="网格型37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网格型372"/>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3">
    <w:name w:val="网格型37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ffff2">
    <w:name w:val="未处理的提及2"/>
    <w:basedOn w:val="a0"/>
    <w:uiPriority w:val="99"/>
    <w:semiHidden/>
    <w:unhideWhenUsed/>
    <w:qFormat/>
    <w:rPr>
      <w:color w:val="605E5C"/>
      <w:shd w:val="clear" w:color="auto" w:fill="E1DFDD"/>
    </w:rPr>
  </w:style>
  <w:style w:type="character" w:customStyle="1" w:styleId="3ff8">
    <w:name w:val="未处理的提及3"/>
    <w:basedOn w:val="a0"/>
    <w:uiPriority w:val="99"/>
    <w:semiHidden/>
    <w:unhideWhenUsed/>
    <w:qFormat/>
    <w:rPr>
      <w:color w:val="605E5C"/>
      <w:shd w:val="clear" w:color="auto" w:fill="E1DFDD"/>
    </w:rPr>
  </w:style>
  <w:style w:type="paragraph" w:customStyle="1" w:styleId="1fffffa">
    <w:name w:val="普通(网站)1"/>
    <w:basedOn w:val="a"/>
    <w:qFormat/>
    <w:pPr>
      <w:widowControl/>
      <w:spacing w:before="100" w:beforeAutospacing="1" w:after="100" w:afterAutospacing="1"/>
      <w:jc w:val="left"/>
    </w:pPr>
    <w:rPr>
      <w:rFonts w:hint="eastAsia"/>
    </w:rPr>
  </w:style>
  <w:style w:type="character" w:customStyle="1" w:styleId="4fa">
    <w:name w:val="未处理的提及4"/>
    <w:basedOn w:val="a0"/>
    <w:uiPriority w:val="99"/>
    <w:semiHidden/>
    <w:unhideWhenUsed/>
    <w:qFormat/>
    <w:rPr>
      <w:color w:val="605E5C"/>
      <w:shd w:val="clear" w:color="auto" w:fill="E1DFDD"/>
    </w:rPr>
  </w:style>
  <w:style w:type="character" w:customStyle="1" w:styleId="fontstyle01">
    <w:name w:val="fontstyle01"/>
    <w:basedOn w:val="a0"/>
    <w:rPr>
      <w:rFonts w:ascii="宋" w:eastAsia="宋" w:hint="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99" Type="http://schemas.openxmlformats.org/officeDocument/2006/relationships/image" Target="media/image141.jpeg"/><Relationship Id="rId21" Type="http://schemas.openxmlformats.org/officeDocument/2006/relationships/image" Target="media/image5.wmf"/><Relationship Id="rId63" Type="http://schemas.openxmlformats.org/officeDocument/2006/relationships/image" Target="media/image26.wmf"/><Relationship Id="rId159" Type="http://schemas.openxmlformats.org/officeDocument/2006/relationships/image" Target="media/image74.wmf"/><Relationship Id="rId324" Type="http://schemas.openxmlformats.org/officeDocument/2006/relationships/image" Target="media/image159.png"/><Relationship Id="rId366" Type="http://schemas.openxmlformats.org/officeDocument/2006/relationships/image" Target="media/image181.wmf"/><Relationship Id="rId170" Type="http://schemas.openxmlformats.org/officeDocument/2006/relationships/oleObject" Target="embeddings/oleObject78.bin"/><Relationship Id="rId226" Type="http://schemas.openxmlformats.org/officeDocument/2006/relationships/hyperlink" Target="https://baike.baidu.com/item/%E8%BF%81%E5%BE%99/35880" TargetMode="External"/><Relationship Id="rId433" Type="http://schemas.openxmlformats.org/officeDocument/2006/relationships/oleObject" Target="embeddings/oleObject148.bin"/><Relationship Id="rId268" Type="http://schemas.openxmlformats.org/officeDocument/2006/relationships/oleObject" Target="embeddings/oleObject91.bin"/><Relationship Id="rId475" Type="http://schemas.openxmlformats.org/officeDocument/2006/relationships/header" Target="header30.xml"/><Relationship Id="rId32" Type="http://schemas.openxmlformats.org/officeDocument/2006/relationships/oleObject" Target="embeddings/oleObject9.bin"/><Relationship Id="rId74" Type="http://schemas.openxmlformats.org/officeDocument/2006/relationships/oleObject" Target="embeddings/oleObject30.bin"/><Relationship Id="rId128" Type="http://schemas.openxmlformats.org/officeDocument/2006/relationships/oleObject" Target="embeddings/oleObject57.bin"/><Relationship Id="rId335" Type="http://schemas.openxmlformats.org/officeDocument/2006/relationships/image" Target="media/image169.emf"/><Relationship Id="rId377" Type="http://schemas.openxmlformats.org/officeDocument/2006/relationships/image" Target="media/image183.jpeg"/><Relationship Id="rId5" Type="http://schemas.openxmlformats.org/officeDocument/2006/relationships/settings" Target="settings.xml"/><Relationship Id="rId181" Type="http://schemas.openxmlformats.org/officeDocument/2006/relationships/header" Target="header5.xml"/><Relationship Id="rId237" Type="http://schemas.openxmlformats.org/officeDocument/2006/relationships/hyperlink" Target="https://baike.baidu.com/item/%E6%B5%B7%E6%BB%A9/10881" TargetMode="External"/><Relationship Id="rId402" Type="http://schemas.openxmlformats.org/officeDocument/2006/relationships/image" Target="media/image207.wmf"/><Relationship Id="rId279" Type="http://schemas.openxmlformats.org/officeDocument/2006/relationships/image" Target="media/image122.png"/><Relationship Id="rId444" Type="http://schemas.openxmlformats.org/officeDocument/2006/relationships/image" Target="media/image214.wmf"/><Relationship Id="rId486" Type="http://schemas.openxmlformats.org/officeDocument/2006/relationships/image" Target="media/image232.jpeg"/><Relationship Id="rId43" Type="http://schemas.openxmlformats.org/officeDocument/2006/relationships/image" Target="media/image16.wmf"/><Relationship Id="rId139" Type="http://schemas.openxmlformats.org/officeDocument/2006/relationships/image" Target="media/image64.wmf"/><Relationship Id="rId290" Type="http://schemas.openxmlformats.org/officeDocument/2006/relationships/image" Target="media/image132.jpeg"/><Relationship Id="rId304" Type="http://schemas.openxmlformats.org/officeDocument/2006/relationships/image" Target="media/image146.png"/><Relationship Id="rId346" Type="http://schemas.openxmlformats.org/officeDocument/2006/relationships/oleObject" Target="embeddings/oleObject99.bin"/><Relationship Id="rId388" Type="http://schemas.openxmlformats.org/officeDocument/2006/relationships/image" Target="media/image194.jpeg"/><Relationship Id="rId85" Type="http://schemas.openxmlformats.org/officeDocument/2006/relationships/image" Target="media/image37.wmf"/><Relationship Id="rId150" Type="http://schemas.openxmlformats.org/officeDocument/2006/relationships/oleObject" Target="embeddings/oleObject68.bin"/><Relationship Id="rId192" Type="http://schemas.openxmlformats.org/officeDocument/2006/relationships/image" Target="media/image87.jpeg"/><Relationship Id="rId206" Type="http://schemas.openxmlformats.org/officeDocument/2006/relationships/image" Target="media/image99.jpeg"/><Relationship Id="rId413" Type="http://schemas.openxmlformats.org/officeDocument/2006/relationships/oleObject" Target="embeddings/oleObject130.bin"/><Relationship Id="rId248" Type="http://schemas.openxmlformats.org/officeDocument/2006/relationships/image" Target="media/image104.wmf"/><Relationship Id="rId455" Type="http://schemas.openxmlformats.org/officeDocument/2006/relationships/image" Target="media/image219.jpeg"/><Relationship Id="rId497" Type="http://schemas.openxmlformats.org/officeDocument/2006/relationships/fontTable" Target="fontTable.xml"/><Relationship Id="rId12" Type="http://schemas.openxmlformats.org/officeDocument/2006/relationships/image" Target="media/image2.emf"/><Relationship Id="rId108" Type="http://schemas.openxmlformats.org/officeDocument/2006/relationships/oleObject" Target="embeddings/oleObject47.bin"/><Relationship Id="rId315" Type="http://schemas.openxmlformats.org/officeDocument/2006/relationships/chart" Target="charts/chart5.xml"/><Relationship Id="rId357" Type="http://schemas.openxmlformats.org/officeDocument/2006/relationships/oleObject" Target="embeddings/oleObject106.bin"/><Relationship Id="rId54" Type="http://schemas.openxmlformats.org/officeDocument/2006/relationships/oleObject" Target="embeddings/oleObject20.bin"/><Relationship Id="rId96" Type="http://schemas.openxmlformats.org/officeDocument/2006/relationships/oleObject" Target="embeddings/oleObject41.bin"/><Relationship Id="rId161" Type="http://schemas.openxmlformats.org/officeDocument/2006/relationships/image" Target="media/image75.wmf"/><Relationship Id="rId217" Type="http://schemas.openxmlformats.org/officeDocument/2006/relationships/hyperlink" Target="https://baike.baidu.com/item/%E8%99%B9%E8%86%9C" TargetMode="External"/><Relationship Id="rId399" Type="http://schemas.openxmlformats.org/officeDocument/2006/relationships/image" Target="media/image205.jpeg"/><Relationship Id="rId259" Type="http://schemas.openxmlformats.org/officeDocument/2006/relationships/image" Target="media/image110.wmf"/><Relationship Id="rId424" Type="http://schemas.openxmlformats.org/officeDocument/2006/relationships/image" Target="media/image210.wmf"/><Relationship Id="rId466" Type="http://schemas.openxmlformats.org/officeDocument/2006/relationships/image" Target="media/image226.wmf"/><Relationship Id="rId23" Type="http://schemas.openxmlformats.org/officeDocument/2006/relationships/image" Target="media/image6.wmf"/><Relationship Id="rId119" Type="http://schemas.openxmlformats.org/officeDocument/2006/relationships/image" Target="media/image54.wmf"/><Relationship Id="rId270" Type="http://schemas.openxmlformats.org/officeDocument/2006/relationships/oleObject" Target="embeddings/oleObject92.bin"/><Relationship Id="rId326" Type="http://schemas.openxmlformats.org/officeDocument/2006/relationships/image" Target="media/image160.png"/><Relationship Id="rId65" Type="http://schemas.openxmlformats.org/officeDocument/2006/relationships/image" Target="media/image27.wmf"/><Relationship Id="rId130" Type="http://schemas.openxmlformats.org/officeDocument/2006/relationships/oleObject" Target="embeddings/oleObject58.bin"/><Relationship Id="rId368" Type="http://schemas.openxmlformats.org/officeDocument/2006/relationships/oleObject" Target="embeddings/oleObject116.bin"/><Relationship Id="rId172" Type="http://schemas.openxmlformats.org/officeDocument/2006/relationships/oleObject" Target="embeddings/oleObject79.bin"/><Relationship Id="rId228" Type="http://schemas.openxmlformats.org/officeDocument/2006/relationships/hyperlink" Target="https://baike.baidu.com/item/%E4%BA%9A%E6%88%90%E9%B8%9F/7681181" TargetMode="External"/><Relationship Id="rId435" Type="http://schemas.openxmlformats.org/officeDocument/2006/relationships/oleObject" Target="embeddings/oleObject150.bin"/><Relationship Id="rId477" Type="http://schemas.openxmlformats.org/officeDocument/2006/relationships/image" Target="media/image228.jpeg"/><Relationship Id="rId281" Type="http://schemas.openxmlformats.org/officeDocument/2006/relationships/image" Target="media/image124.png"/><Relationship Id="rId337" Type="http://schemas.openxmlformats.org/officeDocument/2006/relationships/image" Target="media/image171.jpeg"/><Relationship Id="rId34" Type="http://schemas.openxmlformats.org/officeDocument/2006/relationships/oleObject" Target="embeddings/oleObject10.bin"/><Relationship Id="rId76" Type="http://schemas.openxmlformats.org/officeDocument/2006/relationships/oleObject" Target="embeddings/oleObject31.bin"/><Relationship Id="rId141" Type="http://schemas.openxmlformats.org/officeDocument/2006/relationships/image" Target="media/image65.wmf"/><Relationship Id="rId379" Type="http://schemas.openxmlformats.org/officeDocument/2006/relationships/image" Target="media/image185.jpeg"/><Relationship Id="rId7" Type="http://schemas.openxmlformats.org/officeDocument/2006/relationships/footnotes" Target="footnotes.xml"/><Relationship Id="rId183" Type="http://schemas.openxmlformats.org/officeDocument/2006/relationships/header" Target="header7.xml"/><Relationship Id="rId239" Type="http://schemas.openxmlformats.org/officeDocument/2006/relationships/hyperlink" Target="https://baike.baidu.com/item/%E9%BB%84%E7%BE%8A" TargetMode="External"/><Relationship Id="rId390" Type="http://schemas.openxmlformats.org/officeDocument/2006/relationships/image" Target="media/image196.jpeg"/><Relationship Id="rId404" Type="http://schemas.openxmlformats.org/officeDocument/2006/relationships/image" Target="media/image208.wmf"/><Relationship Id="rId446" Type="http://schemas.openxmlformats.org/officeDocument/2006/relationships/image" Target="media/image216.jpeg"/><Relationship Id="rId250" Type="http://schemas.openxmlformats.org/officeDocument/2006/relationships/image" Target="media/image105.wmf"/><Relationship Id="rId292" Type="http://schemas.openxmlformats.org/officeDocument/2006/relationships/image" Target="media/image134.jpeg"/><Relationship Id="rId306" Type="http://schemas.openxmlformats.org/officeDocument/2006/relationships/image" Target="media/image148.png"/><Relationship Id="rId488" Type="http://schemas.openxmlformats.org/officeDocument/2006/relationships/image" Target="media/image234.jpeg"/><Relationship Id="rId45" Type="http://schemas.openxmlformats.org/officeDocument/2006/relationships/image" Target="media/image17.wmf"/><Relationship Id="rId87" Type="http://schemas.openxmlformats.org/officeDocument/2006/relationships/image" Target="media/image38.wmf"/><Relationship Id="rId110" Type="http://schemas.openxmlformats.org/officeDocument/2006/relationships/oleObject" Target="embeddings/oleObject48.bin"/><Relationship Id="rId348" Type="http://schemas.openxmlformats.org/officeDocument/2006/relationships/oleObject" Target="embeddings/oleObject100.bin"/><Relationship Id="rId152" Type="http://schemas.openxmlformats.org/officeDocument/2006/relationships/oleObject" Target="embeddings/oleObject69.bin"/><Relationship Id="rId194" Type="http://schemas.openxmlformats.org/officeDocument/2006/relationships/header" Target="header13.xml"/><Relationship Id="rId208" Type="http://schemas.openxmlformats.org/officeDocument/2006/relationships/hyperlink" Target="https://baike.baidu.com/item/Cyperaceae" TargetMode="External"/><Relationship Id="rId415" Type="http://schemas.openxmlformats.org/officeDocument/2006/relationships/oleObject" Target="embeddings/oleObject132.bin"/><Relationship Id="rId457" Type="http://schemas.openxmlformats.org/officeDocument/2006/relationships/image" Target="media/image221.jpeg"/><Relationship Id="rId261" Type="http://schemas.openxmlformats.org/officeDocument/2006/relationships/image" Target="media/image112.wmf"/><Relationship Id="rId14" Type="http://schemas.openxmlformats.org/officeDocument/2006/relationships/header" Target="header1.xml"/><Relationship Id="rId56" Type="http://schemas.openxmlformats.org/officeDocument/2006/relationships/oleObject" Target="embeddings/oleObject21.bin"/><Relationship Id="rId317" Type="http://schemas.openxmlformats.org/officeDocument/2006/relationships/image" Target="media/image152.png"/><Relationship Id="rId359" Type="http://schemas.openxmlformats.org/officeDocument/2006/relationships/oleObject" Target="embeddings/oleObject108.bin"/><Relationship Id="rId98" Type="http://schemas.openxmlformats.org/officeDocument/2006/relationships/oleObject" Target="embeddings/oleObject42.bin"/><Relationship Id="rId121" Type="http://schemas.openxmlformats.org/officeDocument/2006/relationships/image" Target="media/image55.wmf"/><Relationship Id="rId163" Type="http://schemas.openxmlformats.org/officeDocument/2006/relationships/image" Target="media/image76.wmf"/><Relationship Id="rId219" Type="http://schemas.openxmlformats.org/officeDocument/2006/relationships/hyperlink" Target="https://baike.baidu.com/item/%E6%B9%96%E6%B3%8A" TargetMode="External"/><Relationship Id="rId370" Type="http://schemas.openxmlformats.org/officeDocument/2006/relationships/oleObject" Target="embeddings/oleObject118.bin"/><Relationship Id="rId426" Type="http://schemas.openxmlformats.org/officeDocument/2006/relationships/image" Target="media/image211.wmf"/><Relationship Id="rId230" Type="http://schemas.openxmlformats.org/officeDocument/2006/relationships/hyperlink" Target="https://baike.baidu.com/item/%E9%9B%AA%E9%9B%81/25315" TargetMode="External"/><Relationship Id="rId468" Type="http://schemas.openxmlformats.org/officeDocument/2006/relationships/image" Target="media/image227.wmf"/><Relationship Id="rId25" Type="http://schemas.openxmlformats.org/officeDocument/2006/relationships/image" Target="media/image7.wmf"/><Relationship Id="rId67" Type="http://schemas.openxmlformats.org/officeDocument/2006/relationships/image" Target="media/image28.wmf"/><Relationship Id="rId272" Type="http://schemas.openxmlformats.org/officeDocument/2006/relationships/oleObject" Target="embeddings/oleObject93.bin"/><Relationship Id="rId328" Type="http://schemas.openxmlformats.org/officeDocument/2006/relationships/image" Target="media/image162.jpeg"/><Relationship Id="rId132" Type="http://schemas.openxmlformats.org/officeDocument/2006/relationships/oleObject" Target="embeddings/oleObject59.bin"/><Relationship Id="rId174" Type="http://schemas.openxmlformats.org/officeDocument/2006/relationships/oleObject" Target="embeddings/oleObject80.bin"/><Relationship Id="rId381" Type="http://schemas.openxmlformats.org/officeDocument/2006/relationships/image" Target="media/image187.jpeg"/><Relationship Id="rId241" Type="http://schemas.openxmlformats.org/officeDocument/2006/relationships/hyperlink" Target="https://baike.baidu.com/item/%E7%A2%B3%E9%85%B8%E9%92%99" TargetMode="External"/><Relationship Id="rId437" Type="http://schemas.openxmlformats.org/officeDocument/2006/relationships/oleObject" Target="embeddings/oleObject152.bin"/><Relationship Id="rId479" Type="http://schemas.openxmlformats.org/officeDocument/2006/relationships/header" Target="header32.xml"/><Relationship Id="rId36" Type="http://schemas.openxmlformats.org/officeDocument/2006/relationships/oleObject" Target="embeddings/oleObject11.bin"/><Relationship Id="rId283" Type="http://schemas.openxmlformats.org/officeDocument/2006/relationships/image" Target="media/image126.png"/><Relationship Id="rId339" Type="http://schemas.openxmlformats.org/officeDocument/2006/relationships/image" Target="media/image173.wmf"/><Relationship Id="rId490" Type="http://schemas.openxmlformats.org/officeDocument/2006/relationships/image" Target="media/image236.jpeg"/><Relationship Id="rId78" Type="http://schemas.openxmlformats.org/officeDocument/2006/relationships/oleObject" Target="embeddings/oleObject32.bin"/><Relationship Id="rId101" Type="http://schemas.openxmlformats.org/officeDocument/2006/relationships/image" Target="media/image45.wmf"/><Relationship Id="rId143" Type="http://schemas.openxmlformats.org/officeDocument/2006/relationships/image" Target="media/image66.wmf"/><Relationship Id="rId185" Type="http://schemas.openxmlformats.org/officeDocument/2006/relationships/header" Target="header9.xml"/><Relationship Id="rId350" Type="http://schemas.openxmlformats.org/officeDocument/2006/relationships/image" Target="media/image178.wmf"/><Relationship Id="rId406" Type="http://schemas.openxmlformats.org/officeDocument/2006/relationships/oleObject" Target="embeddings/oleObject124.bin"/><Relationship Id="rId9" Type="http://schemas.openxmlformats.org/officeDocument/2006/relationships/hyperlink" Target="http://www.tanpaifang.com/jienenjianpai/" TargetMode="External"/><Relationship Id="rId210" Type="http://schemas.openxmlformats.org/officeDocument/2006/relationships/hyperlink" Target="https://baike.baidu.com/item/%E8%A6%86%E7%BE%BD" TargetMode="External"/><Relationship Id="rId392" Type="http://schemas.openxmlformats.org/officeDocument/2006/relationships/image" Target="media/image198.jpeg"/><Relationship Id="rId448" Type="http://schemas.openxmlformats.org/officeDocument/2006/relationships/header" Target="header22.xml"/><Relationship Id="rId252" Type="http://schemas.openxmlformats.org/officeDocument/2006/relationships/image" Target="media/image106.wmf"/><Relationship Id="rId294" Type="http://schemas.openxmlformats.org/officeDocument/2006/relationships/image" Target="media/image136.jpeg"/><Relationship Id="rId308" Type="http://schemas.openxmlformats.org/officeDocument/2006/relationships/image" Target="media/image150.png"/><Relationship Id="rId47" Type="http://schemas.openxmlformats.org/officeDocument/2006/relationships/image" Target="media/image18.wmf"/><Relationship Id="rId89" Type="http://schemas.openxmlformats.org/officeDocument/2006/relationships/image" Target="media/image39.wmf"/><Relationship Id="rId112" Type="http://schemas.openxmlformats.org/officeDocument/2006/relationships/oleObject" Target="embeddings/oleObject49.bin"/><Relationship Id="rId154" Type="http://schemas.openxmlformats.org/officeDocument/2006/relationships/oleObject" Target="embeddings/oleObject70.bin"/><Relationship Id="rId361" Type="http://schemas.openxmlformats.org/officeDocument/2006/relationships/oleObject" Target="embeddings/oleObject110.bin"/><Relationship Id="rId196" Type="http://schemas.openxmlformats.org/officeDocument/2006/relationships/image" Target="media/image89.jpeg"/><Relationship Id="rId417" Type="http://schemas.openxmlformats.org/officeDocument/2006/relationships/oleObject" Target="embeddings/oleObject134.bin"/><Relationship Id="rId459" Type="http://schemas.openxmlformats.org/officeDocument/2006/relationships/image" Target="media/image223.jpeg"/><Relationship Id="rId16" Type="http://schemas.openxmlformats.org/officeDocument/2006/relationships/image" Target="media/image3.wmf"/><Relationship Id="rId221" Type="http://schemas.openxmlformats.org/officeDocument/2006/relationships/hyperlink" Target="https://baike.baidu.com/item/%E6%B0%B4%E7%94%9F%E6%98%86%E8%99%AB" TargetMode="External"/><Relationship Id="rId263" Type="http://schemas.openxmlformats.org/officeDocument/2006/relationships/image" Target="media/image114.wmf"/><Relationship Id="rId319" Type="http://schemas.openxmlformats.org/officeDocument/2006/relationships/image" Target="media/image154.png"/><Relationship Id="rId470" Type="http://schemas.openxmlformats.org/officeDocument/2006/relationships/header" Target="header25.xml"/><Relationship Id="rId58" Type="http://schemas.openxmlformats.org/officeDocument/2006/relationships/oleObject" Target="embeddings/oleObject22.bin"/><Relationship Id="rId123" Type="http://schemas.openxmlformats.org/officeDocument/2006/relationships/image" Target="media/image56.wmf"/><Relationship Id="rId330" Type="http://schemas.openxmlformats.org/officeDocument/2006/relationships/image" Target="media/image164.jpeg"/><Relationship Id="rId165" Type="http://schemas.openxmlformats.org/officeDocument/2006/relationships/image" Target="media/image77.wmf"/><Relationship Id="rId372" Type="http://schemas.openxmlformats.org/officeDocument/2006/relationships/oleObject" Target="embeddings/oleObject120.bin"/><Relationship Id="rId428" Type="http://schemas.openxmlformats.org/officeDocument/2006/relationships/oleObject" Target="embeddings/oleObject143.bin"/><Relationship Id="rId232" Type="http://schemas.openxmlformats.org/officeDocument/2006/relationships/hyperlink" Target="https://baike.baidu.com/item/%E8%B7%97%E8%B9%A0" TargetMode="External"/><Relationship Id="rId274" Type="http://schemas.openxmlformats.org/officeDocument/2006/relationships/oleObject" Target="embeddings/oleObject94.bin"/><Relationship Id="rId481" Type="http://schemas.openxmlformats.org/officeDocument/2006/relationships/image" Target="media/image230.jpeg"/><Relationship Id="rId27" Type="http://schemas.openxmlformats.org/officeDocument/2006/relationships/image" Target="media/image8.wmf"/><Relationship Id="rId69" Type="http://schemas.openxmlformats.org/officeDocument/2006/relationships/image" Target="media/image29.wmf"/><Relationship Id="rId134" Type="http://schemas.openxmlformats.org/officeDocument/2006/relationships/oleObject" Target="embeddings/oleObject60.bin"/><Relationship Id="rId80" Type="http://schemas.openxmlformats.org/officeDocument/2006/relationships/oleObject" Target="embeddings/oleObject33.bin"/><Relationship Id="rId176" Type="http://schemas.openxmlformats.org/officeDocument/2006/relationships/oleObject" Target="embeddings/oleObject81.bin"/><Relationship Id="rId341" Type="http://schemas.openxmlformats.org/officeDocument/2006/relationships/image" Target="media/image174.wmf"/><Relationship Id="rId383" Type="http://schemas.openxmlformats.org/officeDocument/2006/relationships/image" Target="media/image189.jpeg"/><Relationship Id="rId439" Type="http://schemas.openxmlformats.org/officeDocument/2006/relationships/oleObject" Target="embeddings/oleObject154.bin"/><Relationship Id="rId201" Type="http://schemas.openxmlformats.org/officeDocument/2006/relationships/image" Target="media/image94.jpeg"/><Relationship Id="rId243" Type="http://schemas.openxmlformats.org/officeDocument/2006/relationships/image" Target="media/image101.wmf"/><Relationship Id="rId285" Type="http://schemas.openxmlformats.org/officeDocument/2006/relationships/image" Target="media/image128.jpeg"/><Relationship Id="rId450" Type="http://schemas.openxmlformats.org/officeDocument/2006/relationships/hyperlink" Target="https://baike.baidu.com/item/%E4%B8%8D%E9%A5%B1%E5%92%8C%E7%83%83/1510968" TargetMode="External"/><Relationship Id="rId38" Type="http://schemas.openxmlformats.org/officeDocument/2006/relationships/oleObject" Target="embeddings/oleObject12.bin"/><Relationship Id="rId103" Type="http://schemas.openxmlformats.org/officeDocument/2006/relationships/image" Target="media/image46.wmf"/><Relationship Id="rId310" Type="http://schemas.openxmlformats.org/officeDocument/2006/relationships/header" Target="header18.xml"/><Relationship Id="rId492" Type="http://schemas.openxmlformats.org/officeDocument/2006/relationships/image" Target="media/image238.jpeg"/><Relationship Id="rId91" Type="http://schemas.openxmlformats.org/officeDocument/2006/relationships/image" Target="media/image40.wmf"/><Relationship Id="rId145" Type="http://schemas.openxmlformats.org/officeDocument/2006/relationships/image" Target="media/image67.wmf"/><Relationship Id="rId187" Type="http://schemas.openxmlformats.org/officeDocument/2006/relationships/image" Target="media/image84.png"/><Relationship Id="rId352" Type="http://schemas.openxmlformats.org/officeDocument/2006/relationships/image" Target="media/image179.wmf"/><Relationship Id="rId394" Type="http://schemas.openxmlformats.org/officeDocument/2006/relationships/image" Target="media/image200.jpeg"/><Relationship Id="rId408" Type="http://schemas.openxmlformats.org/officeDocument/2006/relationships/oleObject" Target="embeddings/oleObject126.bin"/><Relationship Id="rId212" Type="http://schemas.openxmlformats.org/officeDocument/2006/relationships/hyperlink" Target="https://baike.baidu.com/item/%E5%A4%8F%E5%80%99%E9%B8%9F" TargetMode="External"/><Relationship Id="rId254" Type="http://schemas.openxmlformats.org/officeDocument/2006/relationships/image" Target="media/image107.wmf"/><Relationship Id="rId49" Type="http://schemas.openxmlformats.org/officeDocument/2006/relationships/image" Target="media/image19.wmf"/><Relationship Id="rId114" Type="http://schemas.openxmlformats.org/officeDocument/2006/relationships/oleObject" Target="embeddings/oleObject50.bin"/><Relationship Id="rId296" Type="http://schemas.openxmlformats.org/officeDocument/2006/relationships/image" Target="media/image138.jpeg"/><Relationship Id="rId461" Type="http://schemas.openxmlformats.org/officeDocument/2006/relationships/header" Target="header24.xml"/><Relationship Id="rId60" Type="http://schemas.openxmlformats.org/officeDocument/2006/relationships/oleObject" Target="embeddings/oleObject23.bin"/><Relationship Id="rId156" Type="http://schemas.openxmlformats.org/officeDocument/2006/relationships/oleObject" Target="embeddings/oleObject71.bin"/><Relationship Id="rId198" Type="http://schemas.openxmlformats.org/officeDocument/2006/relationships/image" Target="media/image91.jpeg"/><Relationship Id="rId321" Type="http://schemas.openxmlformats.org/officeDocument/2006/relationships/image" Target="media/image156.png"/><Relationship Id="rId363" Type="http://schemas.openxmlformats.org/officeDocument/2006/relationships/oleObject" Target="embeddings/oleObject112.bin"/><Relationship Id="rId419" Type="http://schemas.openxmlformats.org/officeDocument/2006/relationships/oleObject" Target="embeddings/oleObject136.bin"/><Relationship Id="rId223" Type="http://schemas.openxmlformats.org/officeDocument/2006/relationships/hyperlink" Target="https://baike.baidu.com/item/%E8%99%B9%E8%86%9C" TargetMode="External"/><Relationship Id="rId430" Type="http://schemas.openxmlformats.org/officeDocument/2006/relationships/oleObject" Target="embeddings/oleObject145.bin"/><Relationship Id="rId18" Type="http://schemas.openxmlformats.org/officeDocument/2006/relationships/oleObject" Target="embeddings/oleObject2.bin"/><Relationship Id="rId265" Type="http://schemas.openxmlformats.org/officeDocument/2006/relationships/image" Target="media/image116.wmf"/><Relationship Id="rId472" Type="http://schemas.openxmlformats.org/officeDocument/2006/relationships/header" Target="header27.xml"/><Relationship Id="rId125" Type="http://schemas.openxmlformats.org/officeDocument/2006/relationships/image" Target="media/image57.wmf"/><Relationship Id="rId167" Type="http://schemas.openxmlformats.org/officeDocument/2006/relationships/image" Target="media/image78.wmf"/><Relationship Id="rId332" Type="http://schemas.openxmlformats.org/officeDocument/2006/relationships/image" Target="media/image166.jpeg"/><Relationship Id="rId374" Type="http://schemas.openxmlformats.org/officeDocument/2006/relationships/chart" Target="charts/chart7.xml"/><Relationship Id="rId71" Type="http://schemas.openxmlformats.org/officeDocument/2006/relationships/image" Target="media/image30.wmf"/><Relationship Id="rId234" Type="http://schemas.openxmlformats.org/officeDocument/2006/relationships/hyperlink" Target="https://baike.baidu.com/item/%E6%B2%BC%E6%B3%BD" TargetMode="External"/><Relationship Id="rId2" Type="http://schemas.openxmlformats.org/officeDocument/2006/relationships/customXml" Target="../customXml/item2.xml"/><Relationship Id="rId29" Type="http://schemas.openxmlformats.org/officeDocument/2006/relationships/image" Target="media/image9.wmf"/><Relationship Id="rId276" Type="http://schemas.openxmlformats.org/officeDocument/2006/relationships/oleObject" Target="embeddings/oleObject95.bin"/><Relationship Id="rId441" Type="http://schemas.openxmlformats.org/officeDocument/2006/relationships/oleObject" Target="embeddings/oleObject156.bin"/><Relationship Id="rId483" Type="http://schemas.openxmlformats.org/officeDocument/2006/relationships/hyperlink" Target="http://fzggw.nx.gov.cn/tzgg/202008/t20200819_2191078.html" TargetMode="External"/><Relationship Id="rId40" Type="http://schemas.openxmlformats.org/officeDocument/2006/relationships/oleObject" Target="embeddings/oleObject13.bin"/><Relationship Id="rId136" Type="http://schemas.openxmlformats.org/officeDocument/2006/relationships/oleObject" Target="embeddings/oleObject61.bin"/><Relationship Id="rId178" Type="http://schemas.openxmlformats.org/officeDocument/2006/relationships/oleObject" Target="embeddings/oleObject82.bin"/><Relationship Id="rId301" Type="http://schemas.openxmlformats.org/officeDocument/2006/relationships/image" Target="media/image143.jpeg"/><Relationship Id="rId343" Type="http://schemas.openxmlformats.org/officeDocument/2006/relationships/image" Target="media/image175.wmf"/><Relationship Id="rId82" Type="http://schemas.openxmlformats.org/officeDocument/2006/relationships/oleObject" Target="embeddings/oleObject34.bin"/><Relationship Id="rId203" Type="http://schemas.openxmlformats.org/officeDocument/2006/relationships/image" Target="media/image96.jpeg"/><Relationship Id="rId385" Type="http://schemas.openxmlformats.org/officeDocument/2006/relationships/image" Target="media/image191.jpeg"/><Relationship Id="rId245" Type="http://schemas.openxmlformats.org/officeDocument/2006/relationships/oleObject" Target="embeddings/oleObject83.bin"/><Relationship Id="rId287" Type="http://schemas.openxmlformats.org/officeDocument/2006/relationships/image" Target="media/image130.jpeg"/><Relationship Id="rId410" Type="http://schemas.openxmlformats.org/officeDocument/2006/relationships/oleObject" Target="embeddings/oleObject128.bin"/><Relationship Id="rId452" Type="http://schemas.openxmlformats.org/officeDocument/2006/relationships/image" Target="media/image217.wmf"/><Relationship Id="rId494" Type="http://schemas.openxmlformats.org/officeDocument/2006/relationships/header" Target="header35.xml"/><Relationship Id="rId105" Type="http://schemas.openxmlformats.org/officeDocument/2006/relationships/image" Target="media/image47.wmf"/><Relationship Id="rId147" Type="http://schemas.openxmlformats.org/officeDocument/2006/relationships/image" Target="media/image68.wmf"/><Relationship Id="rId312" Type="http://schemas.openxmlformats.org/officeDocument/2006/relationships/chart" Target="charts/chart2.xml"/><Relationship Id="rId354" Type="http://schemas.openxmlformats.org/officeDocument/2006/relationships/image" Target="media/image180.wmf"/><Relationship Id="rId51" Type="http://schemas.openxmlformats.org/officeDocument/2006/relationships/image" Target="media/image20.wmf"/><Relationship Id="rId93" Type="http://schemas.openxmlformats.org/officeDocument/2006/relationships/image" Target="media/image41.wmf"/><Relationship Id="rId189" Type="http://schemas.openxmlformats.org/officeDocument/2006/relationships/image" Target="media/image86.jpeg"/><Relationship Id="rId396" Type="http://schemas.openxmlformats.org/officeDocument/2006/relationships/image" Target="media/image202.jpeg"/><Relationship Id="rId214" Type="http://schemas.openxmlformats.org/officeDocument/2006/relationships/hyperlink" Target="https://baike.baidu.com/item/%E8%80%B3%E7%BE%BD" TargetMode="External"/><Relationship Id="rId256" Type="http://schemas.openxmlformats.org/officeDocument/2006/relationships/image" Target="media/image108.wmf"/><Relationship Id="rId298" Type="http://schemas.openxmlformats.org/officeDocument/2006/relationships/image" Target="media/image140.jpeg"/><Relationship Id="rId421" Type="http://schemas.openxmlformats.org/officeDocument/2006/relationships/oleObject" Target="embeddings/oleObject138.bin"/><Relationship Id="rId463" Type="http://schemas.openxmlformats.org/officeDocument/2006/relationships/oleObject" Target="embeddings/oleObject158.bin"/><Relationship Id="rId116" Type="http://schemas.openxmlformats.org/officeDocument/2006/relationships/oleObject" Target="embeddings/oleObject51.bin"/><Relationship Id="rId158" Type="http://schemas.openxmlformats.org/officeDocument/2006/relationships/oleObject" Target="embeddings/oleObject72.bin"/><Relationship Id="rId323" Type="http://schemas.openxmlformats.org/officeDocument/2006/relationships/image" Target="media/image158.png"/><Relationship Id="rId20" Type="http://schemas.openxmlformats.org/officeDocument/2006/relationships/oleObject" Target="embeddings/oleObject3.bin"/><Relationship Id="rId62" Type="http://schemas.openxmlformats.org/officeDocument/2006/relationships/oleObject" Target="embeddings/oleObject24.bin"/><Relationship Id="rId365" Type="http://schemas.openxmlformats.org/officeDocument/2006/relationships/oleObject" Target="embeddings/oleObject114.bin"/><Relationship Id="rId225" Type="http://schemas.openxmlformats.org/officeDocument/2006/relationships/hyperlink" Target="https://baike.baidu.com/item/%E5%80%99%E9%B8%9F/14035" TargetMode="External"/><Relationship Id="rId267" Type="http://schemas.openxmlformats.org/officeDocument/2006/relationships/image" Target="media/image117.wmf"/><Relationship Id="rId432" Type="http://schemas.openxmlformats.org/officeDocument/2006/relationships/oleObject" Target="embeddings/oleObject147.bin"/><Relationship Id="rId474" Type="http://schemas.openxmlformats.org/officeDocument/2006/relationships/header" Target="header29.xml"/><Relationship Id="rId106" Type="http://schemas.openxmlformats.org/officeDocument/2006/relationships/oleObject" Target="embeddings/oleObject46.bin"/><Relationship Id="rId127" Type="http://schemas.openxmlformats.org/officeDocument/2006/relationships/image" Target="media/image58.wmf"/><Relationship Id="rId313" Type="http://schemas.openxmlformats.org/officeDocument/2006/relationships/chart" Target="charts/chart3.xml"/><Relationship Id="rId495" Type="http://schemas.openxmlformats.org/officeDocument/2006/relationships/header" Target="header36.xml"/><Relationship Id="rId10" Type="http://schemas.openxmlformats.org/officeDocument/2006/relationships/hyperlink" Target="https://baike.baidu.com/item/%E5%9C%B0%E9%93%81/18675391" TargetMode="External"/><Relationship Id="rId31" Type="http://schemas.openxmlformats.org/officeDocument/2006/relationships/image" Target="media/image10.wmf"/><Relationship Id="rId52" Type="http://schemas.openxmlformats.org/officeDocument/2006/relationships/oleObject" Target="embeddings/oleObject19.bin"/><Relationship Id="rId73" Type="http://schemas.openxmlformats.org/officeDocument/2006/relationships/image" Target="media/image31.wmf"/><Relationship Id="rId94" Type="http://schemas.openxmlformats.org/officeDocument/2006/relationships/oleObject" Target="embeddings/oleObject40.bin"/><Relationship Id="rId148" Type="http://schemas.openxmlformats.org/officeDocument/2006/relationships/oleObject" Target="embeddings/oleObject67.bin"/><Relationship Id="rId169" Type="http://schemas.openxmlformats.org/officeDocument/2006/relationships/image" Target="media/image79.wmf"/><Relationship Id="rId334" Type="http://schemas.openxmlformats.org/officeDocument/2006/relationships/image" Target="media/image168.jpeg"/><Relationship Id="rId355" Type="http://schemas.openxmlformats.org/officeDocument/2006/relationships/oleObject" Target="embeddings/oleObject104.bin"/><Relationship Id="rId376" Type="http://schemas.openxmlformats.org/officeDocument/2006/relationships/image" Target="media/image182.jpeg"/><Relationship Id="rId397" Type="http://schemas.openxmlformats.org/officeDocument/2006/relationships/image" Target="media/image203.jpeg"/><Relationship Id="rId4" Type="http://schemas.openxmlformats.org/officeDocument/2006/relationships/styles" Target="styles.xml"/><Relationship Id="rId180" Type="http://schemas.openxmlformats.org/officeDocument/2006/relationships/header" Target="header4.xml"/><Relationship Id="rId215" Type="http://schemas.openxmlformats.org/officeDocument/2006/relationships/hyperlink" Target="https://baike.baidu.com/item/%E5%88%9D%E7%BA%A7%E9%A3%9E%E7%BE%BD" TargetMode="External"/><Relationship Id="rId236" Type="http://schemas.openxmlformats.org/officeDocument/2006/relationships/hyperlink" Target="https://baike.baidu.com/item/%E8%92%B2%E8%8D%89" TargetMode="External"/><Relationship Id="rId257" Type="http://schemas.openxmlformats.org/officeDocument/2006/relationships/oleObject" Target="embeddings/oleObject89.bin"/><Relationship Id="rId278" Type="http://schemas.openxmlformats.org/officeDocument/2006/relationships/header" Target="header16.xml"/><Relationship Id="rId401" Type="http://schemas.openxmlformats.org/officeDocument/2006/relationships/image" Target="media/image206.jpeg"/><Relationship Id="rId422" Type="http://schemas.openxmlformats.org/officeDocument/2006/relationships/oleObject" Target="embeddings/oleObject139.bin"/><Relationship Id="rId443" Type="http://schemas.openxmlformats.org/officeDocument/2006/relationships/image" Target="media/image213.wmf"/><Relationship Id="rId464" Type="http://schemas.openxmlformats.org/officeDocument/2006/relationships/image" Target="media/image225.wmf"/><Relationship Id="rId303" Type="http://schemas.openxmlformats.org/officeDocument/2006/relationships/image" Target="media/image145.jpeg"/><Relationship Id="rId485" Type="http://schemas.openxmlformats.org/officeDocument/2006/relationships/hyperlink" Target="http://www.mee.gov.cn/xxgk2018/xxgk/xxgk01/201810/t20181024_665329.html" TargetMode="External"/><Relationship Id="rId42" Type="http://schemas.openxmlformats.org/officeDocument/2006/relationships/oleObject" Target="embeddings/oleObject14.bin"/><Relationship Id="rId84" Type="http://schemas.openxmlformats.org/officeDocument/2006/relationships/oleObject" Target="embeddings/oleObject35.bin"/><Relationship Id="rId138" Type="http://schemas.openxmlformats.org/officeDocument/2006/relationships/oleObject" Target="embeddings/oleObject62.bin"/><Relationship Id="rId345" Type="http://schemas.openxmlformats.org/officeDocument/2006/relationships/image" Target="media/image176.wmf"/><Relationship Id="rId387" Type="http://schemas.openxmlformats.org/officeDocument/2006/relationships/image" Target="media/image193.jpeg"/><Relationship Id="rId191" Type="http://schemas.openxmlformats.org/officeDocument/2006/relationships/header" Target="header12.xml"/><Relationship Id="rId205" Type="http://schemas.openxmlformats.org/officeDocument/2006/relationships/image" Target="media/image98.jpeg"/><Relationship Id="rId247" Type="http://schemas.openxmlformats.org/officeDocument/2006/relationships/oleObject" Target="embeddings/oleObject84.bin"/><Relationship Id="rId412" Type="http://schemas.openxmlformats.org/officeDocument/2006/relationships/image" Target="media/image209.wmf"/><Relationship Id="rId107" Type="http://schemas.openxmlformats.org/officeDocument/2006/relationships/image" Target="media/image48.wmf"/><Relationship Id="rId289" Type="http://schemas.openxmlformats.org/officeDocument/2006/relationships/header" Target="header17.xml"/><Relationship Id="rId454" Type="http://schemas.openxmlformats.org/officeDocument/2006/relationships/image" Target="media/image218.jpeg"/><Relationship Id="rId496" Type="http://schemas.openxmlformats.org/officeDocument/2006/relationships/header" Target="header37.xml"/><Relationship Id="rId11" Type="http://schemas.openxmlformats.org/officeDocument/2006/relationships/image" Target="media/image1.jpeg"/><Relationship Id="rId53" Type="http://schemas.openxmlformats.org/officeDocument/2006/relationships/image" Target="media/image21.wmf"/><Relationship Id="rId149" Type="http://schemas.openxmlformats.org/officeDocument/2006/relationships/image" Target="media/image69.wmf"/><Relationship Id="rId314" Type="http://schemas.openxmlformats.org/officeDocument/2006/relationships/chart" Target="charts/chart4.xml"/><Relationship Id="rId356" Type="http://schemas.openxmlformats.org/officeDocument/2006/relationships/oleObject" Target="embeddings/oleObject105.bin"/><Relationship Id="rId398" Type="http://schemas.openxmlformats.org/officeDocument/2006/relationships/image" Target="media/image204.jpeg"/><Relationship Id="rId95" Type="http://schemas.openxmlformats.org/officeDocument/2006/relationships/image" Target="media/image42.wmf"/><Relationship Id="rId160" Type="http://schemas.openxmlformats.org/officeDocument/2006/relationships/oleObject" Target="embeddings/oleObject73.bin"/><Relationship Id="rId216" Type="http://schemas.openxmlformats.org/officeDocument/2006/relationships/hyperlink" Target="https://baike.baidu.com/item/%E6%AC%A1%E7%BA%A7%E9%A3%9E%E7%BE%BD" TargetMode="External"/><Relationship Id="rId423" Type="http://schemas.openxmlformats.org/officeDocument/2006/relationships/oleObject" Target="embeddings/oleObject140.bin"/><Relationship Id="rId258" Type="http://schemas.openxmlformats.org/officeDocument/2006/relationships/image" Target="media/image109.wmf"/><Relationship Id="rId465" Type="http://schemas.openxmlformats.org/officeDocument/2006/relationships/oleObject" Target="embeddings/oleObject159.bin"/><Relationship Id="rId22" Type="http://schemas.openxmlformats.org/officeDocument/2006/relationships/oleObject" Target="embeddings/oleObject4.bin"/><Relationship Id="rId64" Type="http://schemas.openxmlformats.org/officeDocument/2006/relationships/oleObject" Target="embeddings/oleObject25.bin"/><Relationship Id="rId118" Type="http://schemas.openxmlformats.org/officeDocument/2006/relationships/oleObject" Target="embeddings/oleObject52.bin"/><Relationship Id="rId325" Type="http://schemas.openxmlformats.org/officeDocument/2006/relationships/header" Target="header19.xml"/><Relationship Id="rId367" Type="http://schemas.openxmlformats.org/officeDocument/2006/relationships/oleObject" Target="embeddings/oleObject115.bin"/><Relationship Id="rId171" Type="http://schemas.openxmlformats.org/officeDocument/2006/relationships/image" Target="media/image80.wmf"/><Relationship Id="rId227" Type="http://schemas.openxmlformats.org/officeDocument/2006/relationships/hyperlink" Target="https://baike.baidu.com/item/%E8%B6%8A%E5%86%AC%E5%9C%B0" TargetMode="External"/><Relationship Id="rId269" Type="http://schemas.openxmlformats.org/officeDocument/2006/relationships/image" Target="media/image118.wmf"/><Relationship Id="rId434" Type="http://schemas.openxmlformats.org/officeDocument/2006/relationships/oleObject" Target="embeddings/oleObject149.bin"/><Relationship Id="rId476" Type="http://schemas.openxmlformats.org/officeDocument/2006/relationships/header" Target="header31.xml"/><Relationship Id="rId33" Type="http://schemas.openxmlformats.org/officeDocument/2006/relationships/image" Target="media/image11.wmf"/><Relationship Id="rId129" Type="http://schemas.openxmlformats.org/officeDocument/2006/relationships/image" Target="media/image59.wmf"/><Relationship Id="rId280" Type="http://schemas.openxmlformats.org/officeDocument/2006/relationships/image" Target="media/image123.png"/><Relationship Id="rId336" Type="http://schemas.openxmlformats.org/officeDocument/2006/relationships/image" Target="media/image170.emf"/><Relationship Id="rId75" Type="http://schemas.openxmlformats.org/officeDocument/2006/relationships/image" Target="media/image32.wmf"/><Relationship Id="rId140" Type="http://schemas.openxmlformats.org/officeDocument/2006/relationships/oleObject" Target="embeddings/oleObject63.bin"/><Relationship Id="rId182" Type="http://schemas.openxmlformats.org/officeDocument/2006/relationships/header" Target="header6.xml"/><Relationship Id="rId378" Type="http://schemas.openxmlformats.org/officeDocument/2006/relationships/image" Target="media/image184.jpeg"/><Relationship Id="rId403" Type="http://schemas.openxmlformats.org/officeDocument/2006/relationships/oleObject" Target="embeddings/oleObject122.bin"/><Relationship Id="rId6" Type="http://schemas.openxmlformats.org/officeDocument/2006/relationships/webSettings" Target="webSettings.xml"/><Relationship Id="rId238" Type="http://schemas.openxmlformats.org/officeDocument/2006/relationships/hyperlink" Target="https://baike.baidu.com/item/%E5%8E%9F%E9%87%8E/18723" TargetMode="External"/><Relationship Id="rId445" Type="http://schemas.openxmlformats.org/officeDocument/2006/relationships/image" Target="media/image215.jpeg"/><Relationship Id="rId487" Type="http://schemas.openxmlformats.org/officeDocument/2006/relationships/image" Target="media/image233.jpeg"/><Relationship Id="rId291" Type="http://schemas.openxmlformats.org/officeDocument/2006/relationships/image" Target="media/image133.jpeg"/><Relationship Id="rId305" Type="http://schemas.openxmlformats.org/officeDocument/2006/relationships/image" Target="media/image147.jpeg"/><Relationship Id="rId347" Type="http://schemas.openxmlformats.org/officeDocument/2006/relationships/image" Target="media/image177.wmf"/><Relationship Id="rId44" Type="http://schemas.openxmlformats.org/officeDocument/2006/relationships/oleObject" Target="embeddings/oleObject15.bin"/><Relationship Id="rId86" Type="http://schemas.openxmlformats.org/officeDocument/2006/relationships/oleObject" Target="embeddings/oleObject36.bin"/><Relationship Id="rId151" Type="http://schemas.openxmlformats.org/officeDocument/2006/relationships/image" Target="media/image70.wmf"/><Relationship Id="rId389" Type="http://schemas.openxmlformats.org/officeDocument/2006/relationships/image" Target="media/image195.jpeg"/><Relationship Id="rId193" Type="http://schemas.openxmlformats.org/officeDocument/2006/relationships/image" Target="media/image88.jpeg"/><Relationship Id="rId207" Type="http://schemas.openxmlformats.org/officeDocument/2006/relationships/image" Target="media/image100.jpeg"/><Relationship Id="rId249" Type="http://schemas.openxmlformats.org/officeDocument/2006/relationships/oleObject" Target="embeddings/oleObject85.bin"/><Relationship Id="rId414" Type="http://schemas.openxmlformats.org/officeDocument/2006/relationships/oleObject" Target="embeddings/oleObject131.bin"/><Relationship Id="rId456" Type="http://schemas.openxmlformats.org/officeDocument/2006/relationships/image" Target="media/image220.jpeg"/><Relationship Id="rId498" Type="http://schemas.openxmlformats.org/officeDocument/2006/relationships/theme" Target="theme/theme1.xml"/><Relationship Id="rId13" Type="http://schemas.openxmlformats.org/officeDocument/2006/relationships/oleObject" Target="embeddings/Microsoft_Visio_2003-2010___1.vsd"/><Relationship Id="rId109" Type="http://schemas.openxmlformats.org/officeDocument/2006/relationships/image" Target="media/image49.wmf"/><Relationship Id="rId260" Type="http://schemas.openxmlformats.org/officeDocument/2006/relationships/image" Target="media/image111.wmf"/><Relationship Id="rId316" Type="http://schemas.openxmlformats.org/officeDocument/2006/relationships/chart" Target="charts/chart6.xml"/><Relationship Id="rId55" Type="http://schemas.openxmlformats.org/officeDocument/2006/relationships/image" Target="media/image22.wmf"/><Relationship Id="rId97" Type="http://schemas.openxmlformats.org/officeDocument/2006/relationships/image" Target="media/image43.wmf"/><Relationship Id="rId120" Type="http://schemas.openxmlformats.org/officeDocument/2006/relationships/oleObject" Target="embeddings/oleObject53.bin"/><Relationship Id="rId358" Type="http://schemas.openxmlformats.org/officeDocument/2006/relationships/oleObject" Target="embeddings/oleObject107.bin"/><Relationship Id="rId162" Type="http://schemas.openxmlformats.org/officeDocument/2006/relationships/oleObject" Target="embeddings/oleObject74.bin"/><Relationship Id="rId218" Type="http://schemas.openxmlformats.org/officeDocument/2006/relationships/hyperlink" Target="https://baike.baidu.com/item/%E8%8B%87%E5%A1%98" TargetMode="External"/><Relationship Id="rId425" Type="http://schemas.openxmlformats.org/officeDocument/2006/relationships/oleObject" Target="embeddings/oleObject141.bin"/><Relationship Id="rId467" Type="http://schemas.openxmlformats.org/officeDocument/2006/relationships/oleObject" Target="embeddings/oleObject160.bin"/><Relationship Id="rId271" Type="http://schemas.openxmlformats.org/officeDocument/2006/relationships/image" Target="media/image119.wmf"/><Relationship Id="rId24" Type="http://schemas.openxmlformats.org/officeDocument/2006/relationships/oleObject" Target="embeddings/oleObject5.bin"/><Relationship Id="rId66" Type="http://schemas.openxmlformats.org/officeDocument/2006/relationships/oleObject" Target="embeddings/oleObject26.bin"/><Relationship Id="rId131" Type="http://schemas.openxmlformats.org/officeDocument/2006/relationships/image" Target="media/image60.wmf"/><Relationship Id="rId327" Type="http://schemas.openxmlformats.org/officeDocument/2006/relationships/image" Target="media/image161.jpeg"/><Relationship Id="rId369" Type="http://schemas.openxmlformats.org/officeDocument/2006/relationships/oleObject" Target="embeddings/oleObject117.bin"/><Relationship Id="rId173" Type="http://schemas.openxmlformats.org/officeDocument/2006/relationships/image" Target="media/image81.wmf"/><Relationship Id="rId229" Type="http://schemas.openxmlformats.org/officeDocument/2006/relationships/hyperlink" Target="https://baike.baidu.com/item/%E5%A4%A7%E5%A4%A9%E9%B9%85" TargetMode="External"/><Relationship Id="rId380" Type="http://schemas.openxmlformats.org/officeDocument/2006/relationships/image" Target="media/image186.jpeg"/><Relationship Id="rId436" Type="http://schemas.openxmlformats.org/officeDocument/2006/relationships/oleObject" Target="embeddings/oleObject151.bin"/><Relationship Id="rId240" Type="http://schemas.openxmlformats.org/officeDocument/2006/relationships/hyperlink" Target="https://baike.baidu.com/item/%E5%9C%9F%E5%A3%A4%E8%B4%A8%E5%9C%B0" TargetMode="External"/><Relationship Id="rId478" Type="http://schemas.openxmlformats.org/officeDocument/2006/relationships/image" Target="media/image229.emf"/><Relationship Id="rId35" Type="http://schemas.openxmlformats.org/officeDocument/2006/relationships/image" Target="media/image12.wmf"/><Relationship Id="rId77" Type="http://schemas.openxmlformats.org/officeDocument/2006/relationships/image" Target="media/image33.wmf"/><Relationship Id="rId100" Type="http://schemas.openxmlformats.org/officeDocument/2006/relationships/oleObject" Target="embeddings/oleObject43.bin"/><Relationship Id="rId282" Type="http://schemas.openxmlformats.org/officeDocument/2006/relationships/image" Target="media/image125.png"/><Relationship Id="rId338" Type="http://schemas.openxmlformats.org/officeDocument/2006/relationships/image" Target="media/image172.jpeg"/><Relationship Id="rId8" Type="http://schemas.openxmlformats.org/officeDocument/2006/relationships/endnotes" Target="endnotes.xml"/><Relationship Id="rId142" Type="http://schemas.openxmlformats.org/officeDocument/2006/relationships/oleObject" Target="embeddings/oleObject64.bin"/><Relationship Id="rId184" Type="http://schemas.openxmlformats.org/officeDocument/2006/relationships/header" Target="header8.xml"/><Relationship Id="rId391" Type="http://schemas.openxmlformats.org/officeDocument/2006/relationships/image" Target="media/image197.jpeg"/><Relationship Id="rId405" Type="http://schemas.openxmlformats.org/officeDocument/2006/relationships/oleObject" Target="embeddings/oleObject123.bin"/><Relationship Id="rId447" Type="http://schemas.openxmlformats.org/officeDocument/2006/relationships/header" Target="header21.xml"/><Relationship Id="rId251" Type="http://schemas.openxmlformats.org/officeDocument/2006/relationships/oleObject" Target="embeddings/oleObject86.bin"/><Relationship Id="rId489" Type="http://schemas.openxmlformats.org/officeDocument/2006/relationships/image" Target="media/image235.jpeg"/><Relationship Id="rId46" Type="http://schemas.openxmlformats.org/officeDocument/2006/relationships/oleObject" Target="embeddings/oleObject16.bin"/><Relationship Id="rId293" Type="http://schemas.openxmlformats.org/officeDocument/2006/relationships/image" Target="media/image135.jpeg"/><Relationship Id="rId307" Type="http://schemas.openxmlformats.org/officeDocument/2006/relationships/image" Target="media/image149.jpeg"/><Relationship Id="rId349" Type="http://schemas.openxmlformats.org/officeDocument/2006/relationships/oleObject" Target="embeddings/oleObject101.bin"/><Relationship Id="rId88" Type="http://schemas.openxmlformats.org/officeDocument/2006/relationships/oleObject" Target="embeddings/oleObject37.bin"/><Relationship Id="rId111" Type="http://schemas.openxmlformats.org/officeDocument/2006/relationships/image" Target="media/image50.wmf"/><Relationship Id="rId153" Type="http://schemas.openxmlformats.org/officeDocument/2006/relationships/image" Target="media/image71.wmf"/><Relationship Id="rId195" Type="http://schemas.openxmlformats.org/officeDocument/2006/relationships/header" Target="header14.xml"/><Relationship Id="rId209" Type="http://schemas.openxmlformats.org/officeDocument/2006/relationships/hyperlink" Target="https://baike.baidu.com/item/%E8%8A%B1%E5%BA%8F/320042" TargetMode="External"/><Relationship Id="rId360" Type="http://schemas.openxmlformats.org/officeDocument/2006/relationships/oleObject" Target="embeddings/oleObject109.bin"/><Relationship Id="rId416" Type="http://schemas.openxmlformats.org/officeDocument/2006/relationships/oleObject" Target="embeddings/oleObject133.bin"/><Relationship Id="rId220" Type="http://schemas.openxmlformats.org/officeDocument/2006/relationships/hyperlink" Target="https://baike.baidu.com/item/%E7%BE%8A%E8%8D%89/8065385" TargetMode="External"/><Relationship Id="rId458" Type="http://schemas.openxmlformats.org/officeDocument/2006/relationships/image" Target="media/image222.jpeg"/><Relationship Id="rId15" Type="http://schemas.openxmlformats.org/officeDocument/2006/relationships/header" Target="header2.xml"/><Relationship Id="rId57" Type="http://schemas.openxmlformats.org/officeDocument/2006/relationships/image" Target="media/image23.wmf"/><Relationship Id="rId262" Type="http://schemas.openxmlformats.org/officeDocument/2006/relationships/image" Target="media/image113.wmf"/><Relationship Id="rId318" Type="http://schemas.openxmlformats.org/officeDocument/2006/relationships/image" Target="media/image153.png"/><Relationship Id="rId99" Type="http://schemas.openxmlformats.org/officeDocument/2006/relationships/image" Target="media/image44.wmf"/><Relationship Id="rId122" Type="http://schemas.openxmlformats.org/officeDocument/2006/relationships/oleObject" Target="embeddings/oleObject54.bin"/><Relationship Id="rId164" Type="http://schemas.openxmlformats.org/officeDocument/2006/relationships/oleObject" Target="embeddings/oleObject75.bin"/><Relationship Id="rId371" Type="http://schemas.openxmlformats.org/officeDocument/2006/relationships/oleObject" Target="embeddings/oleObject119.bin"/><Relationship Id="rId427" Type="http://schemas.openxmlformats.org/officeDocument/2006/relationships/oleObject" Target="embeddings/oleObject142.bin"/><Relationship Id="rId469" Type="http://schemas.openxmlformats.org/officeDocument/2006/relationships/oleObject" Target="embeddings/oleObject161.bin"/><Relationship Id="rId26" Type="http://schemas.openxmlformats.org/officeDocument/2006/relationships/oleObject" Target="embeddings/oleObject6.bin"/><Relationship Id="rId231" Type="http://schemas.openxmlformats.org/officeDocument/2006/relationships/hyperlink" Target="https://baike.baidu.com/item/%E5%88%9D%E7%BA%A7%E9%A3%9E%E7%BE%BD" TargetMode="External"/><Relationship Id="rId273" Type="http://schemas.openxmlformats.org/officeDocument/2006/relationships/image" Target="media/image120.wmf"/><Relationship Id="rId329" Type="http://schemas.openxmlformats.org/officeDocument/2006/relationships/image" Target="media/image163.jpeg"/><Relationship Id="rId480" Type="http://schemas.openxmlformats.org/officeDocument/2006/relationships/header" Target="header33.xml"/><Relationship Id="rId68" Type="http://schemas.openxmlformats.org/officeDocument/2006/relationships/oleObject" Target="embeddings/oleObject27.bin"/><Relationship Id="rId133" Type="http://schemas.openxmlformats.org/officeDocument/2006/relationships/image" Target="media/image61.wmf"/><Relationship Id="rId175" Type="http://schemas.openxmlformats.org/officeDocument/2006/relationships/image" Target="media/image82.wmf"/><Relationship Id="rId340" Type="http://schemas.openxmlformats.org/officeDocument/2006/relationships/oleObject" Target="embeddings/oleObject96.bin"/><Relationship Id="rId200" Type="http://schemas.openxmlformats.org/officeDocument/2006/relationships/image" Target="media/image93.jpeg"/><Relationship Id="rId382" Type="http://schemas.openxmlformats.org/officeDocument/2006/relationships/image" Target="media/image188.jpeg"/><Relationship Id="rId438" Type="http://schemas.openxmlformats.org/officeDocument/2006/relationships/oleObject" Target="embeddings/oleObject153.bin"/><Relationship Id="rId242" Type="http://schemas.openxmlformats.org/officeDocument/2006/relationships/hyperlink" Target="https://baike.baidu.com/item/%E5%89%96%E9%9D%A2" TargetMode="External"/><Relationship Id="rId284" Type="http://schemas.openxmlformats.org/officeDocument/2006/relationships/image" Target="media/image127.jpeg"/><Relationship Id="rId491" Type="http://schemas.openxmlformats.org/officeDocument/2006/relationships/image" Target="media/image237.jpeg"/><Relationship Id="rId37" Type="http://schemas.openxmlformats.org/officeDocument/2006/relationships/image" Target="media/image13.wmf"/><Relationship Id="rId79" Type="http://schemas.openxmlformats.org/officeDocument/2006/relationships/image" Target="media/image34.wmf"/><Relationship Id="rId102" Type="http://schemas.openxmlformats.org/officeDocument/2006/relationships/oleObject" Target="embeddings/oleObject44.bin"/><Relationship Id="rId144" Type="http://schemas.openxmlformats.org/officeDocument/2006/relationships/oleObject" Target="embeddings/oleObject65.bin"/><Relationship Id="rId90" Type="http://schemas.openxmlformats.org/officeDocument/2006/relationships/oleObject" Target="embeddings/oleObject38.bin"/><Relationship Id="rId186" Type="http://schemas.openxmlformats.org/officeDocument/2006/relationships/header" Target="header10.xml"/><Relationship Id="rId351" Type="http://schemas.openxmlformats.org/officeDocument/2006/relationships/oleObject" Target="embeddings/oleObject102.bin"/><Relationship Id="rId393" Type="http://schemas.openxmlformats.org/officeDocument/2006/relationships/image" Target="media/image199.jpeg"/><Relationship Id="rId407" Type="http://schemas.openxmlformats.org/officeDocument/2006/relationships/oleObject" Target="embeddings/oleObject125.bin"/><Relationship Id="rId449" Type="http://schemas.openxmlformats.org/officeDocument/2006/relationships/hyperlink" Target="https://baike.baidu.com/item/%E7%83%83%E7%B1%BB/2742788" TargetMode="External"/><Relationship Id="rId211" Type="http://schemas.openxmlformats.org/officeDocument/2006/relationships/hyperlink" Target="https://baike.baidu.com/item/%E9%A3%9E%E7%BE%BD/35411" TargetMode="External"/><Relationship Id="rId253" Type="http://schemas.openxmlformats.org/officeDocument/2006/relationships/oleObject" Target="embeddings/oleObject87.bin"/><Relationship Id="rId295" Type="http://schemas.openxmlformats.org/officeDocument/2006/relationships/image" Target="media/image137.jpeg"/><Relationship Id="rId309" Type="http://schemas.openxmlformats.org/officeDocument/2006/relationships/image" Target="media/image151.jpeg"/><Relationship Id="rId460" Type="http://schemas.openxmlformats.org/officeDocument/2006/relationships/header" Target="header23.xml"/><Relationship Id="rId48" Type="http://schemas.openxmlformats.org/officeDocument/2006/relationships/oleObject" Target="embeddings/oleObject17.bin"/><Relationship Id="rId113" Type="http://schemas.openxmlformats.org/officeDocument/2006/relationships/image" Target="media/image51.wmf"/><Relationship Id="rId320" Type="http://schemas.openxmlformats.org/officeDocument/2006/relationships/image" Target="media/image155.png"/><Relationship Id="rId155" Type="http://schemas.openxmlformats.org/officeDocument/2006/relationships/image" Target="media/image72.wmf"/><Relationship Id="rId197" Type="http://schemas.openxmlformats.org/officeDocument/2006/relationships/image" Target="media/image90.jpeg"/><Relationship Id="rId362" Type="http://schemas.openxmlformats.org/officeDocument/2006/relationships/oleObject" Target="embeddings/oleObject111.bin"/><Relationship Id="rId418" Type="http://schemas.openxmlformats.org/officeDocument/2006/relationships/oleObject" Target="embeddings/oleObject135.bin"/><Relationship Id="rId222" Type="http://schemas.openxmlformats.org/officeDocument/2006/relationships/hyperlink" Target="https://baike.baidu.com/item/%E7%8E%89%E7%B1%B3/18401" TargetMode="External"/><Relationship Id="rId264" Type="http://schemas.openxmlformats.org/officeDocument/2006/relationships/image" Target="media/image115.wmf"/><Relationship Id="rId471" Type="http://schemas.openxmlformats.org/officeDocument/2006/relationships/header" Target="header26.xml"/><Relationship Id="rId17" Type="http://schemas.openxmlformats.org/officeDocument/2006/relationships/oleObject" Target="embeddings/oleObject1.bin"/><Relationship Id="rId59" Type="http://schemas.openxmlformats.org/officeDocument/2006/relationships/image" Target="media/image24.wmf"/><Relationship Id="rId124" Type="http://schemas.openxmlformats.org/officeDocument/2006/relationships/oleObject" Target="embeddings/oleObject55.bin"/><Relationship Id="rId70" Type="http://schemas.openxmlformats.org/officeDocument/2006/relationships/oleObject" Target="embeddings/oleObject28.bin"/><Relationship Id="rId166" Type="http://schemas.openxmlformats.org/officeDocument/2006/relationships/oleObject" Target="embeddings/oleObject76.bin"/><Relationship Id="rId331" Type="http://schemas.openxmlformats.org/officeDocument/2006/relationships/image" Target="media/image165.jpeg"/><Relationship Id="rId373" Type="http://schemas.openxmlformats.org/officeDocument/2006/relationships/oleObject" Target="embeddings/oleObject121.bin"/><Relationship Id="rId429" Type="http://schemas.openxmlformats.org/officeDocument/2006/relationships/oleObject" Target="embeddings/oleObject144.bin"/><Relationship Id="rId1" Type="http://schemas.openxmlformats.org/officeDocument/2006/relationships/customXml" Target="../customXml/item1.xml"/><Relationship Id="rId233" Type="http://schemas.openxmlformats.org/officeDocument/2006/relationships/hyperlink" Target="https://baike.baidu.com/item/%E6%B0%B4%E5%A1%98/33126" TargetMode="External"/><Relationship Id="rId440" Type="http://schemas.openxmlformats.org/officeDocument/2006/relationships/oleObject" Target="embeddings/oleObject155.bin"/><Relationship Id="rId28" Type="http://schemas.openxmlformats.org/officeDocument/2006/relationships/oleObject" Target="embeddings/oleObject7.bin"/><Relationship Id="rId275" Type="http://schemas.openxmlformats.org/officeDocument/2006/relationships/image" Target="media/image121.wmf"/><Relationship Id="rId300" Type="http://schemas.openxmlformats.org/officeDocument/2006/relationships/image" Target="media/image142.jpeg"/><Relationship Id="rId482" Type="http://schemas.openxmlformats.org/officeDocument/2006/relationships/header" Target="header34.xml"/><Relationship Id="rId81" Type="http://schemas.openxmlformats.org/officeDocument/2006/relationships/image" Target="media/image35.wmf"/><Relationship Id="rId135" Type="http://schemas.openxmlformats.org/officeDocument/2006/relationships/image" Target="media/image62.wmf"/><Relationship Id="rId177" Type="http://schemas.openxmlformats.org/officeDocument/2006/relationships/image" Target="media/image83.wmf"/><Relationship Id="rId342" Type="http://schemas.openxmlformats.org/officeDocument/2006/relationships/oleObject" Target="embeddings/oleObject97.bin"/><Relationship Id="rId384" Type="http://schemas.openxmlformats.org/officeDocument/2006/relationships/image" Target="media/image190.jpeg"/><Relationship Id="rId202" Type="http://schemas.openxmlformats.org/officeDocument/2006/relationships/image" Target="media/image95.jpeg"/><Relationship Id="rId244" Type="http://schemas.openxmlformats.org/officeDocument/2006/relationships/image" Target="media/image102.wmf"/><Relationship Id="rId39" Type="http://schemas.openxmlformats.org/officeDocument/2006/relationships/image" Target="media/image14.wmf"/><Relationship Id="rId286" Type="http://schemas.openxmlformats.org/officeDocument/2006/relationships/image" Target="media/image129.jpeg"/><Relationship Id="rId451" Type="http://schemas.openxmlformats.org/officeDocument/2006/relationships/hyperlink" Target="https://baike.baidu.com/item/%E9%93%BE%E9%95%BF/10888191" TargetMode="External"/><Relationship Id="rId493" Type="http://schemas.openxmlformats.org/officeDocument/2006/relationships/image" Target="media/image239.jpeg"/><Relationship Id="rId50" Type="http://schemas.openxmlformats.org/officeDocument/2006/relationships/oleObject" Target="embeddings/oleObject18.bin"/><Relationship Id="rId104" Type="http://schemas.openxmlformats.org/officeDocument/2006/relationships/oleObject" Target="embeddings/oleObject45.bin"/><Relationship Id="rId146" Type="http://schemas.openxmlformats.org/officeDocument/2006/relationships/oleObject" Target="embeddings/oleObject66.bin"/><Relationship Id="rId188" Type="http://schemas.openxmlformats.org/officeDocument/2006/relationships/image" Target="media/image85.jpeg"/><Relationship Id="rId311" Type="http://schemas.openxmlformats.org/officeDocument/2006/relationships/chart" Target="charts/chart1.xml"/><Relationship Id="rId353" Type="http://schemas.openxmlformats.org/officeDocument/2006/relationships/oleObject" Target="embeddings/oleObject103.bin"/><Relationship Id="rId395" Type="http://schemas.openxmlformats.org/officeDocument/2006/relationships/image" Target="media/image201.jpeg"/><Relationship Id="rId409" Type="http://schemas.openxmlformats.org/officeDocument/2006/relationships/oleObject" Target="embeddings/oleObject127.bin"/><Relationship Id="rId92" Type="http://schemas.openxmlformats.org/officeDocument/2006/relationships/oleObject" Target="embeddings/oleObject39.bin"/><Relationship Id="rId213" Type="http://schemas.openxmlformats.org/officeDocument/2006/relationships/hyperlink" Target="https://baike.baidu.com/item/%E5%86%85%E7%BF%88/13012570" TargetMode="External"/><Relationship Id="rId420" Type="http://schemas.openxmlformats.org/officeDocument/2006/relationships/oleObject" Target="embeddings/oleObject137.bin"/><Relationship Id="rId255" Type="http://schemas.openxmlformats.org/officeDocument/2006/relationships/oleObject" Target="embeddings/oleObject88.bin"/><Relationship Id="rId297" Type="http://schemas.openxmlformats.org/officeDocument/2006/relationships/image" Target="media/image139.jpeg"/><Relationship Id="rId462" Type="http://schemas.openxmlformats.org/officeDocument/2006/relationships/image" Target="media/image224.wmf"/><Relationship Id="rId115" Type="http://schemas.openxmlformats.org/officeDocument/2006/relationships/image" Target="media/image52.wmf"/><Relationship Id="rId157" Type="http://schemas.openxmlformats.org/officeDocument/2006/relationships/image" Target="media/image73.wmf"/><Relationship Id="rId322" Type="http://schemas.openxmlformats.org/officeDocument/2006/relationships/image" Target="media/image157.png"/><Relationship Id="rId364" Type="http://schemas.openxmlformats.org/officeDocument/2006/relationships/oleObject" Target="embeddings/oleObject113.bin"/><Relationship Id="rId61" Type="http://schemas.openxmlformats.org/officeDocument/2006/relationships/image" Target="media/image25.wmf"/><Relationship Id="rId199" Type="http://schemas.openxmlformats.org/officeDocument/2006/relationships/image" Target="media/image92.jpeg"/><Relationship Id="rId19" Type="http://schemas.openxmlformats.org/officeDocument/2006/relationships/image" Target="media/image4.wmf"/><Relationship Id="rId224" Type="http://schemas.openxmlformats.org/officeDocument/2006/relationships/hyperlink" Target="https://baike.baidu.com/item/%E8%B7%97%E8%B9%A0" TargetMode="External"/><Relationship Id="rId266" Type="http://schemas.openxmlformats.org/officeDocument/2006/relationships/oleObject" Target="embeddings/oleObject90.bin"/><Relationship Id="rId431" Type="http://schemas.openxmlformats.org/officeDocument/2006/relationships/oleObject" Target="embeddings/oleObject146.bin"/><Relationship Id="rId473" Type="http://schemas.openxmlformats.org/officeDocument/2006/relationships/header" Target="header28.xml"/><Relationship Id="rId30" Type="http://schemas.openxmlformats.org/officeDocument/2006/relationships/oleObject" Target="embeddings/oleObject8.bin"/><Relationship Id="rId126" Type="http://schemas.openxmlformats.org/officeDocument/2006/relationships/oleObject" Target="embeddings/oleObject56.bin"/><Relationship Id="rId168" Type="http://schemas.openxmlformats.org/officeDocument/2006/relationships/oleObject" Target="embeddings/oleObject77.bin"/><Relationship Id="rId333" Type="http://schemas.openxmlformats.org/officeDocument/2006/relationships/image" Target="media/image167.jpeg"/><Relationship Id="rId72" Type="http://schemas.openxmlformats.org/officeDocument/2006/relationships/oleObject" Target="embeddings/oleObject29.bin"/><Relationship Id="rId375" Type="http://schemas.openxmlformats.org/officeDocument/2006/relationships/chart" Target="charts/chart8.xml"/><Relationship Id="rId3" Type="http://schemas.openxmlformats.org/officeDocument/2006/relationships/numbering" Target="numbering.xml"/><Relationship Id="rId235" Type="http://schemas.openxmlformats.org/officeDocument/2006/relationships/hyperlink" Target="https://baike.baidu.com/item/%E8%8A%A6%E8%8B%87/1345" TargetMode="External"/><Relationship Id="rId277" Type="http://schemas.openxmlformats.org/officeDocument/2006/relationships/header" Target="header15.xml"/><Relationship Id="rId400" Type="http://schemas.openxmlformats.org/officeDocument/2006/relationships/header" Target="header20.xml"/><Relationship Id="rId442" Type="http://schemas.openxmlformats.org/officeDocument/2006/relationships/image" Target="media/image212.wmf"/><Relationship Id="rId484" Type="http://schemas.openxmlformats.org/officeDocument/2006/relationships/image" Target="media/image231.jpeg"/><Relationship Id="rId137" Type="http://schemas.openxmlformats.org/officeDocument/2006/relationships/image" Target="media/image63.wmf"/><Relationship Id="rId302" Type="http://schemas.openxmlformats.org/officeDocument/2006/relationships/image" Target="media/image144.jpeg"/><Relationship Id="rId344" Type="http://schemas.openxmlformats.org/officeDocument/2006/relationships/oleObject" Target="embeddings/oleObject98.bin"/><Relationship Id="rId41" Type="http://schemas.openxmlformats.org/officeDocument/2006/relationships/image" Target="media/image15.wmf"/><Relationship Id="rId83" Type="http://schemas.openxmlformats.org/officeDocument/2006/relationships/image" Target="media/image36.wmf"/><Relationship Id="rId179" Type="http://schemas.openxmlformats.org/officeDocument/2006/relationships/header" Target="header3.xml"/><Relationship Id="rId386" Type="http://schemas.openxmlformats.org/officeDocument/2006/relationships/image" Target="media/image192.jpeg"/><Relationship Id="rId190" Type="http://schemas.openxmlformats.org/officeDocument/2006/relationships/header" Target="header11.xml"/><Relationship Id="rId204" Type="http://schemas.openxmlformats.org/officeDocument/2006/relationships/image" Target="media/image97.jpeg"/><Relationship Id="rId246" Type="http://schemas.openxmlformats.org/officeDocument/2006/relationships/image" Target="media/image103.wmf"/><Relationship Id="rId288" Type="http://schemas.openxmlformats.org/officeDocument/2006/relationships/image" Target="media/image131.jpeg"/><Relationship Id="rId411" Type="http://schemas.openxmlformats.org/officeDocument/2006/relationships/oleObject" Target="embeddings/oleObject129.bin"/><Relationship Id="rId453" Type="http://schemas.openxmlformats.org/officeDocument/2006/relationships/oleObject" Target="embeddings/oleObject157.bin"/></Relationships>
</file>

<file path=word/charts/_rels/chart1.xml.rels><?xml version="1.0" encoding="UTF-8" standalone="yes"?>
<Relationships xmlns="http://schemas.openxmlformats.org/package/2006/relationships"><Relationship Id="rId1" Type="http://schemas.openxmlformats.org/officeDocument/2006/relationships/oleObject" Target="file:///D:\&#39033;&#30446;\w&#27178;&#22478;&#65288;&#22823;&#27668;&#65289;\&#27178;&#22478;&#23425;&#19996;&#25968;&#25454;&#22270;-gq.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39033;&#30446;\w&#27178;&#22478;&#65288;&#22823;&#27668;&#65289;\&#27178;&#22478;&#23425;&#19996;&#25968;&#25454;&#22270;-gq.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39033;&#30446;\w&#27178;&#22478;&#65288;&#22823;&#27668;&#65289;\&#27178;&#22478;&#23425;&#19996;&#25968;&#25454;&#22270;-gq.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39033;&#30446;\w&#27178;&#22478;&#65288;&#22823;&#27668;&#65289;\&#27178;&#22478;&#23425;&#19996;&#25968;&#25454;&#22270;-gq.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39033;&#30446;\w&#27178;&#22478;&#65288;&#22823;&#27668;&#65289;\&#27178;&#22478;&#23425;&#19996;&#25968;&#25454;&#22270;-gq.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39033;&#30446;\w&#27178;&#22478;&#65288;&#22823;&#27668;&#65289;\&#27178;&#22478;&#23425;&#19996;&#25968;&#25454;&#22270;-gq.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HC_&#27178;&#22478;&#30719;&#21306;\&#27178;&#22478;&#30719;&#21306;&#35268;&#21010;&#29615;&#35780;20200724\&#27178;&#22478;&#30719;&#21306;&#32479;&#35745;&#34920;.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HC_&#27178;&#22478;&#30719;&#21306;\&#27178;&#22478;&#30719;&#21306;&#35268;&#21010;&#29615;&#35780;20200724\&#27178;&#22478;&#30719;&#21306;&#32479;&#35745;&#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'PM10'!$B$1</c:f>
              <c:strCache>
                <c:ptCount val="1"/>
                <c:pt idx="0">
                  <c:v>鸭子荡水库站点</c:v>
                </c:pt>
              </c:strCache>
            </c:strRef>
          </c:tx>
          <c:cat>
            <c:numRef>
              <c:f>'PM10'!$A$2:$A$7</c:f>
              <c:numCache>
                <c:formatCode>General</c:formatCode>
                <c:ptCount val="6"/>
                <c:pt idx="0">
                  <c:v>2014</c:v>
                </c:pt>
                <c:pt idx="1">
                  <c:v>2015</c:v>
                </c:pt>
                <c:pt idx="2">
                  <c:v>2016</c:v>
                </c:pt>
                <c:pt idx="3">
                  <c:v>2017</c:v>
                </c:pt>
                <c:pt idx="4">
                  <c:v>2018</c:v>
                </c:pt>
                <c:pt idx="5">
                  <c:v>2019</c:v>
                </c:pt>
              </c:numCache>
            </c:numRef>
          </c:cat>
          <c:val>
            <c:numRef>
              <c:f>'PM10'!$B$2:$B$7</c:f>
              <c:numCache>
                <c:formatCode>General</c:formatCode>
                <c:ptCount val="6"/>
                <c:pt idx="0">
                  <c:v>156</c:v>
                </c:pt>
                <c:pt idx="1">
                  <c:v>95</c:v>
                </c:pt>
                <c:pt idx="2">
                  <c:v>116</c:v>
                </c:pt>
                <c:pt idx="3">
                  <c:v>106</c:v>
                </c:pt>
                <c:pt idx="4">
                  <c:v>99</c:v>
                </c:pt>
              </c:numCache>
            </c:numRef>
          </c:val>
          <c:smooth val="0"/>
          <c:extLst>
            <c:ext xmlns:c16="http://schemas.microsoft.com/office/drawing/2014/chart" uri="{C3380CC4-5D6E-409C-BE32-E72D297353CC}">
              <c16:uniqueId val="{00000000-9417-4A17-8831-E32A81A1FE9A}"/>
            </c:ext>
          </c:extLst>
        </c:ser>
        <c:ser>
          <c:idx val="1"/>
          <c:order val="1"/>
          <c:tx>
            <c:strRef>
              <c:f>'PM10'!$C$1</c:f>
              <c:strCache>
                <c:ptCount val="1"/>
                <c:pt idx="0">
                  <c:v>煤化工园区站点</c:v>
                </c:pt>
              </c:strCache>
            </c:strRef>
          </c:tx>
          <c:cat>
            <c:numRef>
              <c:f>'PM10'!$A$2:$A$7</c:f>
              <c:numCache>
                <c:formatCode>General</c:formatCode>
                <c:ptCount val="6"/>
                <c:pt idx="0">
                  <c:v>2014</c:v>
                </c:pt>
                <c:pt idx="1">
                  <c:v>2015</c:v>
                </c:pt>
                <c:pt idx="2">
                  <c:v>2016</c:v>
                </c:pt>
                <c:pt idx="3">
                  <c:v>2017</c:v>
                </c:pt>
                <c:pt idx="4">
                  <c:v>2018</c:v>
                </c:pt>
                <c:pt idx="5">
                  <c:v>2019</c:v>
                </c:pt>
              </c:numCache>
            </c:numRef>
          </c:cat>
          <c:val>
            <c:numRef>
              <c:f>'PM10'!$C$2:$C$7</c:f>
              <c:numCache>
                <c:formatCode>General</c:formatCode>
                <c:ptCount val="6"/>
                <c:pt idx="0">
                  <c:v>143</c:v>
                </c:pt>
                <c:pt idx="1">
                  <c:v>113</c:v>
                </c:pt>
                <c:pt idx="2">
                  <c:v>110</c:v>
                </c:pt>
                <c:pt idx="3">
                  <c:v>101</c:v>
                </c:pt>
                <c:pt idx="4">
                  <c:v>106</c:v>
                </c:pt>
              </c:numCache>
            </c:numRef>
          </c:val>
          <c:smooth val="0"/>
          <c:extLst>
            <c:ext xmlns:c16="http://schemas.microsoft.com/office/drawing/2014/chart" uri="{C3380CC4-5D6E-409C-BE32-E72D297353CC}">
              <c16:uniqueId val="{00000001-9417-4A17-8831-E32A81A1FE9A}"/>
            </c:ext>
          </c:extLst>
        </c:ser>
        <c:ser>
          <c:idx val="2"/>
          <c:order val="2"/>
          <c:tx>
            <c:strRef>
              <c:f>'PM10'!$D$1</c:f>
              <c:strCache>
                <c:ptCount val="1"/>
                <c:pt idx="0">
                  <c:v>临河工业区站点</c:v>
                </c:pt>
              </c:strCache>
            </c:strRef>
          </c:tx>
          <c:cat>
            <c:numRef>
              <c:f>'PM10'!$A$2:$A$7</c:f>
              <c:numCache>
                <c:formatCode>General</c:formatCode>
                <c:ptCount val="6"/>
                <c:pt idx="0">
                  <c:v>2014</c:v>
                </c:pt>
                <c:pt idx="1">
                  <c:v>2015</c:v>
                </c:pt>
                <c:pt idx="2">
                  <c:v>2016</c:v>
                </c:pt>
                <c:pt idx="3">
                  <c:v>2017</c:v>
                </c:pt>
                <c:pt idx="4">
                  <c:v>2018</c:v>
                </c:pt>
                <c:pt idx="5">
                  <c:v>2019</c:v>
                </c:pt>
              </c:numCache>
            </c:numRef>
          </c:cat>
          <c:val>
            <c:numRef>
              <c:f>'PM10'!$D$2:$D$7</c:f>
              <c:numCache>
                <c:formatCode>General</c:formatCode>
                <c:ptCount val="6"/>
                <c:pt idx="0">
                  <c:v>159</c:v>
                </c:pt>
                <c:pt idx="1">
                  <c:v>109</c:v>
                </c:pt>
                <c:pt idx="2">
                  <c:v>96</c:v>
                </c:pt>
                <c:pt idx="3">
                  <c:v>95</c:v>
                </c:pt>
                <c:pt idx="4">
                  <c:v>109</c:v>
                </c:pt>
              </c:numCache>
            </c:numRef>
          </c:val>
          <c:smooth val="0"/>
          <c:extLst>
            <c:ext xmlns:c16="http://schemas.microsoft.com/office/drawing/2014/chart" uri="{C3380CC4-5D6E-409C-BE32-E72D297353CC}">
              <c16:uniqueId val="{00000002-9417-4A17-8831-E32A81A1FE9A}"/>
            </c:ext>
          </c:extLst>
        </c:ser>
        <c:ser>
          <c:idx val="3"/>
          <c:order val="3"/>
          <c:tx>
            <c:strRef>
              <c:f>'PM10'!$E$1</c:f>
              <c:strCache>
                <c:ptCount val="1"/>
                <c:pt idx="0">
                  <c:v>宁东基地</c:v>
                </c:pt>
              </c:strCache>
            </c:strRef>
          </c:tx>
          <c:cat>
            <c:numRef>
              <c:f>'PM10'!$A$2:$A$7</c:f>
              <c:numCache>
                <c:formatCode>General</c:formatCode>
                <c:ptCount val="6"/>
                <c:pt idx="0">
                  <c:v>2014</c:v>
                </c:pt>
                <c:pt idx="1">
                  <c:v>2015</c:v>
                </c:pt>
                <c:pt idx="2">
                  <c:v>2016</c:v>
                </c:pt>
                <c:pt idx="3">
                  <c:v>2017</c:v>
                </c:pt>
                <c:pt idx="4">
                  <c:v>2018</c:v>
                </c:pt>
                <c:pt idx="5">
                  <c:v>2019</c:v>
                </c:pt>
              </c:numCache>
            </c:numRef>
          </c:cat>
          <c:val>
            <c:numRef>
              <c:f>'PM10'!$E$2:$E$7</c:f>
              <c:numCache>
                <c:formatCode>General</c:formatCode>
                <c:ptCount val="6"/>
                <c:pt idx="0">
                  <c:v>154</c:v>
                </c:pt>
                <c:pt idx="1">
                  <c:v>108</c:v>
                </c:pt>
                <c:pt idx="2">
                  <c:v>112</c:v>
                </c:pt>
                <c:pt idx="3">
                  <c:v>94</c:v>
                </c:pt>
                <c:pt idx="4">
                  <c:v>88</c:v>
                </c:pt>
                <c:pt idx="5">
                  <c:v>83</c:v>
                </c:pt>
              </c:numCache>
            </c:numRef>
          </c:val>
          <c:smooth val="0"/>
          <c:extLst>
            <c:ext xmlns:c16="http://schemas.microsoft.com/office/drawing/2014/chart" uri="{C3380CC4-5D6E-409C-BE32-E72D297353CC}">
              <c16:uniqueId val="{00000003-9417-4A17-8831-E32A81A1FE9A}"/>
            </c:ext>
          </c:extLst>
        </c:ser>
        <c:dLbls>
          <c:showLegendKey val="0"/>
          <c:showVal val="0"/>
          <c:showCatName val="0"/>
          <c:showSerName val="0"/>
          <c:showPercent val="0"/>
          <c:showBubbleSize val="0"/>
        </c:dLbls>
        <c:marker val="1"/>
        <c:smooth val="0"/>
        <c:axId val="327262592"/>
        <c:axId val="327264512"/>
      </c:lineChart>
      <c:catAx>
        <c:axId val="327262592"/>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327264512"/>
        <c:crosses val="autoZero"/>
        <c:auto val="1"/>
        <c:lblAlgn val="ctr"/>
        <c:lblOffset val="100"/>
        <c:noMultiLvlLbl val="0"/>
      </c:catAx>
      <c:valAx>
        <c:axId val="327264512"/>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327262592"/>
        <c:crosses val="autoZero"/>
        <c:crossBetween val="between"/>
      </c:valAx>
    </c:plotArea>
    <c:legend>
      <c:legendPos val="r"/>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legend>
    <c:plotVisOnly val="1"/>
    <c:dispBlanksAs val="gap"/>
    <c:showDLblsOverMax val="0"/>
  </c:chart>
  <c:txPr>
    <a:bodyPr/>
    <a:lstStyle/>
    <a:p>
      <a:pPr>
        <a:defRPr lang="zh-CN"/>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PM2.5!$B$1</c:f>
              <c:strCache>
                <c:ptCount val="1"/>
                <c:pt idx="0">
                  <c:v>鸭子荡水库站点</c:v>
                </c:pt>
              </c:strCache>
            </c:strRef>
          </c:tx>
          <c:cat>
            <c:numRef>
              <c:f>PM2.5!$A$2:$A$7</c:f>
              <c:numCache>
                <c:formatCode>General</c:formatCode>
                <c:ptCount val="6"/>
                <c:pt idx="0">
                  <c:v>2014</c:v>
                </c:pt>
                <c:pt idx="1">
                  <c:v>2015</c:v>
                </c:pt>
                <c:pt idx="2">
                  <c:v>2016</c:v>
                </c:pt>
                <c:pt idx="3">
                  <c:v>2017</c:v>
                </c:pt>
                <c:pt idx="4">
                  <c:v>2018</c:v>
                </c:pt>
                <c:pt idx="5">
                  <c:v>2019</c:v>
                </c:pt>
              </c:numCache>
            </c:numRef>
          </c:cat>
          <c:val>
            <c:numRef>
              <c:f>PM2.5!$B$2:$B$7</c:f>
              <c:numCache>
                <c:formatCode>General</c:formatCode>
                <c:ptCount val="6"/>
                <c:pt idx="0">
                  <c:v>58</c:v>
                </c:pt>
                <c:pt idx="1">
                  <c:v>34</c:v>
                </c:pt>
                <c:pt idx="2">
                  <c:v>38</c:v>
                </c:pt>
                <c:pt idx="3">
                  <c:v>36</c:v>
                </c:pt>
                <c:pt idx="4">
                  <c:v>33</c:v>
                </c:pt>
              </c:numCache>
            </c:numRef>
          </c:val>
          <c:smooth val="0"/>
          <c:extLst>
            <c:ext xmlns:c16="http://schemas.microsoft.com/office/drawing/2014/chart" uri="{C3380CC4-5D6E-409C-BE32-E72D297353CC}">
              <c16:uniqueId val="{00000000-12C6-416B-AD16-4C1412D2A398}"/>
            </c:ext>
          </c:extLst>
        </c:ser>
        <c:ser>
          <c:idx val="1"/>
          <c:order val="1"/>
          <c:tx>
            <c:strRef>
              <c:f>PM2.5!$C$1</c:f>
              <c:strCache>
                <c:ptCount val="1"/>
                <c:pt idx="0">
                  <c:v>煤化工园区站点</c:v>
                </c:pt>
              </c:strCache>
            </c:strRef>
          </c:tx>
          <c:cat>
            <c:numRef>
              <c:f>PM2.5!$A$2:$A$7</c:f>
              <c:numCache>
                <c:formatCode>General</c:formatCode>
                <c:ptCount val="6"/>
                <c:pt idx="0">
                  <c:v>2014</c:v>
                </c:pt>
                <c:pt idx="1">
                  <c:v>2015</c:v>
                </c:pt>
                <c:pt idx="2">
                  <c:v>2016</c:v>
                </c:pt>
                <c:pt idx="3">
                  <c:v>2017</c:v>
                </c:pt>
                <c:pt idx="4">
                  <c:v>2018</c:v>
                </c:pt>
                <c:pt idx="5">
                  <c:v>2019</c:v>
                </c:pt>
              </c:numCache>
            </c:numRef>
          </c:cat>
          <c:val>
            <c:numRef>
              <c:f>PM2.5!$C$2:$C$7</c:f>
              <c:numCache>
                <c:formatCode>General</c:formatCode>
                <c:ptCount val="6"/>
                <c:pt idx="0">
                  <c:v>59</c:v>
                </c:pt>
                <c:pt idx="1">
                  <c:v>49</c:v>
                </c:pt>
                <c:pt idx="2">
                  <c:v>47</c:v>
                </c:pt>
                <c:pt idx="3">
                  <c:v>44</c:v>
                </c:pt>
                <c:pt idx="4">
                  <c:v>41</c:v>
                </c:pt>
              </c:numCache>
            </c:numRef>
          </c:val>
          <c:smooth val="0"/>
          <c:extLst>
            <c:ext xmlns:c16="http://schemas.microsoft.com/office/drawing/2014/chart" uri="{C3380CC4-5D6E-409C-BE32-E72D297353CC}">
              <c16:uniqueId val="{00000001-12C6-416B-AD16-4C1412D2A398}"/>
            </c:ext>
          </c:extLst>
        </c:ser>
        <c:ser>
          <c:idx val="2"/>
          <c:order val="2"/>
          <c:tx>
            <c:strRef>
              <c:f>PM2.5!$D$1</c:f>
              <c:strCache>
                <c:ptCount val="1"/>
                <c:pt idx="0">
                  <c:v>临河工业区站点</c:v>
                </c:pt>
              </c:strCache>
            </c:strRef>
          </c:tx>
          <c:cat>
            <c:numRef>
              <c:f>PM2.5!$A$2:$A$7</c:f>
              <c:numCache>
                <c:formatCode>General</c:formatCode>
                <c:ptCount val="6"/>
                <c:pt idx="0">
                  <c:v>2014</c:v>
                </c:pt>
                <c:pt idx="1">
                  <c:v>2015</c:v>
                </c:pt>
                <c:pt idx="2">
                  <c:v>2016</c:v>
                </c:pt>
                <c:pt idx="3">
                  <c:v>2017</c:v>
                </c:pt>
                <c:pt idx="4">
                  <c:v>2018</c:v>
                </c:pt>
                <c:pt idx="5">
                  <c:v>2019</c:v>
                </c:pt>
              </c:numCache>
            </c:numRef>
          </c:cat>
          <c:val>
            <c:numRef>
              <c:f>PM2.5!$D$2:$D$7</c:f>
              <c:numCache>
                <c:formatCode>General</c:formatCode>
                <c:ptCount val="6"/>
                <c:pt idx="0">
                  <c:v>59</c:v>
                </c:pt>
                <c:pt idx="1">
                  <c:v>43</c:v>
                </c:pt>
                <c:pt idx="2">
                  <c:v>41</c:v>
                </c:pt>
                <c:pt idx="3">
                  <c:v>38</c:v>
                </c:pt>
                <c:pt idx="4">
                  <c:v>35</c:v>
                </c:pt>
              </c:numCache>
            </c:numRef>
          </c:val>
          <c:smooth val="0"/>
          <c:extLst>
            <c:ext xmlns:c16="http://schemas.microsoft.com/office/drawing/2014/chart" uri="{C3380CC4-5D6E-409C-BE32-E72D297353CC}">
              <c16:uniqueId val="{00000002-12C6-416B-AD16-4C1412D2A398}"/>
            </c:ext>
          </c:extLst>
        </c:ser>
        <c:ser>
          <c:idx val="3"/>
          <c:order val="3"/>
          <c:tx>
            <c:strRef>
              <c:f>PM2.5!$E$1</c:f>
              <c:strCache>
                <c:ptCount val="1"/>
                <c:pt idx="0">
                  <c:v>宁东基地</c:v>
                </c:pt>
              </c:strCache>
            </c:strRef>
          </c:tx>
          <c:cat>
            <c:numRef>
              <c:f>PM2.5!$A$2:$A$7</c:f>
              <c:numCache>
                <c:formatCode>General</c:formatCode>
                <c:ptCount val="6"/>
                <c:pt idx="0">
                  <c:v>2014</c:v>
                </c:pt>
                <c:pt idx="1">
                  <c:v>2015</c:v>
                </c:pt>
                <c:pt idx="2">
                  <c:v>2016</c:v>
                </c:pt>
                <c:pt idx="3">
                  <c:v>2017</c:v>
                </c:pt>
                <c:pt idx="4">
                  <c:v>2018</c:v>
                </c:pt>
                <c:pt idx="5">
                  <c:v>2019</c:v>
                </c:pt>
              </c:numCache>
            </c:numRef>
          </c:cat>
          <c:val>
            <c:numRef>
              <c:f>PM2.5!$E$2:$E$7</c:f>
              <c:numCache>
                <c:formatCode>General</c:formatCode>
                <c:ptCount val="6"/>
                <c:pt idx="0">
                  <c:v>59</c:v>
                </c:pt>
                <c:pt idx="1">
                  <c:v>42</c:v>
                </c:pt>
                <c:pt idx="2">
                  <c:v>41</c:v>
                </c:pt>
                <c:pt idx="3">
                  <c:v>37</c:v>
                </c:pt>
                <c:pt idx="4">
                  <c:v>31</c:v>
                </c:pt>
                <c:pt idx="5">
                  <c:v>29</c:v>
                </c:pt>
              </c:numCache>
            </c:numRef>
          </c:val>
          <c:smooth val="0"/>
          <c:extLst>
            <c:ext xmlns:c16="http://schemas.microsoft.com/office/drawing/2014/chart" uri="{C3380CC4-5D6E-409C-BE32-E72D297353CC}">
              <c16:uniqueId val="{00000003-12C6-416B-AD16-4C1412D2A398}"/>
            </c:ext>
          </c:extLst>
        </c:ser>
        <c:dLbls>
          <c:showLegendKey val="0"/>
          <c:showVal val="0"/>
          <c:showCatName val="0"/>
          <c:showSerName val="0"/>
          <c:showPercent val="0"/>
          <c:showBubbleSize val="0"/>
        </c:dLbls>
        <c:marker val="1"/>
        <c:smooth val="0"/>
        <c:axId val="491829120"/>
        <c:axId val="491831296"/>
      </c:lineChart>
      <c:catAx>
        <c:axId val="491829120"/>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491831296"/>
        <c:crosses val="autoZero"/>
        <c:auto val="1"/>
        <c:lblAlgn val="ctr"/>
        <c:lblOffset val="100"/>
        <c:noMultiLvlLbl val="0"/>
      </c:catAx>
      <c:valAx>
        <c:axId val="491831296"/>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491829120"/>
        <c:crosses val="autoZero"/>
        <c:crossBetween val="between"/>
      </c:valAx>
    </c:plotArea>
    <c:legend>
      <c:legendPos val="r"/>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legend>
    <c:plotVisOnly val="1"/>
    <c:dispBlanksAs val="gap"/>
    <c:showDLblsOverMax val="0"/>
  </c:chart>
  <c:txPr>
    <a:bodyPr/>
    <a:lstStyle/>
    <a:p>
      <a:pPr>
        <a:defRPr lang="zh-CN"/>
      </a:pPr>
      <a:endParaRPr lang="zh-C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'SO2'!$B$1</c:f>
              <c:strCache>
                <c:ptCount val="1"/>
                <c:pt idx="0">
                  <c:v>鸭子荡水库站点</c:v>
                </c:pt>
              </c:strCache>
            </c:strRef>
          </c:tx>
          <c:cat>
            <c:numRef>
              <c:f>'SO2'!$A$2:$A$7</c:f>
              <c:numCache>
                <c:formatCode>General</c:formatCode>
                <c:ptCount val="6"/>
                <c:pt idx="0">
                  <c:v>2014</c:v>
                </c:pt>
                <c:pt idx="1">
                  <c:v>2015</c:v>
                </c:pt>
                <c:pt idx="2">
                  <c:v>2016</c:v>
                </c:pt>
                <c:pt idx="3">
                  <c:v>2017</c:v>
                </c:pt>
                <c:pt idx="4">
                  <c:v>2018</c:v>
                </c:pt>
                <c:pt idx="5">
                  <c:v>2019</c:v>
                </c:pt>
              </c:numCache>
            </c:numRef>
          </c:cat>
          <c:val>
            <c:numRef>
              <c:f>'SO2'!$B$2:$B$7</c:f>
              <c:numCache>
                <c:formatCode>General</c:formatCode>
                <c:ptCount val="6"/>
                <c:pt idx="0">
                  <c:v>39</c:v>
                </c:pt>
                <c:pt idx="1">
                  <c:v>23</c:v>
                </c:pt>
                <c:pt idx="2">
                  <c:v>21</c:v>
                </c:pt>
                <c:pt idx="3">
                  <c:v>20</c:v>
                </c:pt>
                <c:pt idx="4">
                  <c:v>14</c:v>
                </c:pt>
              </c:numCache>
            </c:numRef>
          </c:val>
          <c:smooth val="0"/>
          <c:extLst>
            <c:ext xmlns:c16="http://schemas.microsoft.com/office/drawing/2014/chart" uri="{C3380CC4-5D6E-409C-BE32-E72D297353CC}">
              <c16:uniqueId val="{00000000-821E-4DF9-B010-2E40B49CBBB6}"/>
            </c:ext>
          </c:extLst>
        </c:ser>
        <c:ser>
          <c:idx val="1"/>
          <c:order val="1"/>
          <c:tx>
            <c:strRef>
              <c:f>'SO2'!$C$1</c:f>
              <c:strCache>
                <c:ptCount val="1"/>
                <c:pt idx="0">
                  <c:v>煤化工园区站点</c:v>
                </c:pt>
              </c:strCache>
            </c:strRef>
          </c:tx>
          <c:cat>
            <c:numRef>
              <c:f>'SO2'!$A$2:$A$7</c:f>
              <c:numCache>
                <c:formatCode>General</c:formatCode>
                <c:ptCount val="6"/>
                <c:pt idx="0">
                  <c:v>2014</c:v>
                </c:pt>
                <c:pt idx="1">
                  <c:v>2015</c:v>
                </c:pt>
                <c:pt idx="2">
                  <c:v>2016</c:v>
                </c:pt>
                <c:pt idx="3">
                  <c:v>2017</c:v>
                </c:pt>
                <c:pt idx="4">
                  <c:v>2018</c:v>
                </c:pt>
                <c:pt idx="5">
                  <c:v>2019</c:v>
                </c:pt>
              </c:numCache>
            </c:numRef>
          </c:cat>
          <c:val>
            <c:numRef>
              <c:f>'SO2'!$C$2:$C$7</c:f>
              <c:numCache>
                <c:formatCode>General</c:formatCode>
                <c:ptCount val="6"/>
                <c:pt idx="0">
                  <c:v>50</c:v>
                </c:pt>
                <c:pt idx="1">
                  <c:v>30</c:v>
                </c:pt>
                <c:pt idx="2">
                  <c:v>26</c:v>
                </c:pt>
                <c:pt idx="3">
                  <c:v>27</c:v>
                </c:pt>
                <c:pt idx="4">
                  <c:v>27</c:v>
                </c:pt>
              </c:numCache>
            </c:numRef>
          </c:val>
          <c:smooth val="0"/>
          <c:extLst>
            <c:ext xmlns:c16="http://schemas.microsoft.com/office/drawing/2014/chart" uri="{C3380CC4-5D6E-409C-BE32-E72D297353CC}">
              <c16:uniqueId val="{00000001-821E-4DF9-B010-2E40B49CBBB6}"/>
            </c:ext>
          </c:extLst>
        </c:ser>
        <c:ser>
          <c:idx val="2"/>
          <c:order val="2"/>
          <c:tx>
            <c:strRef>
              <c:f>'SO2'!$D$1</c:f>
              <c:strCache>
                <c:ptCount val="1"/>
                <c:pt idx="0">
                  <c:v>临河工业区站点</c:v>
                </c:pt>
              </c:strCache>
            </c:strRef>
          </c:tx>
          <c:cat>
            <c:numRef>
              <c:f>'SO2'!$A$2:$A$7</c:f>
              <c:numCache>
                <c:formatCode>General</c:formatCode>
                <c:ptCount val="6"/>
                <c:pt idx="0">
                  <c:v>2014</c:v>
                </c:pt>
                <c:pt idx="1">
                  <c:v>2015</c:v>
                </c:pt>
                <c:pt idx="2">
                  <c:v>2016</c:v>
                </c:pt>
                <c:pt idx="3">
                  <c:v>2017</c:v>
                </c:pt>
                <c:pt idx="4">
                  <c:v>2018</c:v>
                </c:pt>
                <c:pt idx="5">
                  <c:v>2019</c:v>
                </c:pt>
              </c:numCache>
            </c:numRef>
          </c:cat>
          <c:val>
            <c:numRef>
              <c:f>'SO2'!$D$2:$D$7</c:f>
              <c:numCache>
                <c:formatCode>General</c:formatCode>
                <c:ptCount val="6"/>
                <c:pt idx="0">
                  <c:v>80</c:v>
                </c:pt>
                <c:pt idx="1">
                  <c:v>33</c:v>
                </c:pt>
                <c:pt idx="2">
                  <c:v>34</c:v>
                </c:pt>
                <c:pt idx="3">
                  <c:v>38</c:v>
                </c:pt>
                <c:pt idx="4">
                  <c:v>34</c:v>
                </c:pt>
              </c:numCache>
            </c:numRef>
          </c:val>
          <c:smooth val="0"/>
          <c:extLst>
            <c:ext xmlns:c16="http://schemas.microsoft.com/office/drawing/2014/chart" uri="{C3380CC4-5D6E-409C-BE32-E72D297353CC}">
              <c16:uniqueId val="{00000002-821E-4DF9-B010-2E40B49CBBB6}"/>
            </c:ext>
          </c:extLst>
        </c:ser>
        <c:ser>
          <c:idx val="3"/>
          <c:order val="3"/>
          <c:tx>
            <c:strRef>
              <c:f>'SO2'!$E$1</c:f>
              <c:strCache>
                <c:ptCount val="1"/>
                <c:pt idx="0">
                  <c:v>宁东基地</c:v>
                </c:pt>
              </c:strCache>
            </c:strRef>
          </c:tx>
          <c:cat>
            <c:numRef>
              <c:f>'SO2'!$A$2:$A$7</c:f>
              <c:numCache>
                <c:formatCode>General</c:formatCode>
                <c:ptCount val="6"/>
                <c:pt idx="0">
                  <c:v>2014</c:v>
                </c:pt>
                <c:pt idx="1">
                  <c:v>2015</c:v>
                </c:pt>
                <c:pt idx="2">
                  <c:v>2016</c:v>
                </c:pt>
                <c:pt idx="3">
                  <c:v>2017</c:v>
                </c:pt>
                <c:pt idx="4">
                  <c:v>2018</c:v>
                </c:pt>
                <c:pt idx="5">
                  <c:v>2019</c:v>
                </c:pt>
              </c:numCache>
            </c:numRef>
          </c:cat>
          <c:val>
            <c:numRef>
              <c:f>'SO2'!$E$2:$E$7</c:f>
              <c:numCache>
                <c:formatCode>General</c:formatCode>
                <c:ptCount val="6"/>
                <c:pt idx="0">
                  <c:v>55</c:v>
                </c:pt>
                <c:pt idx="1">
                  <c:v>29</c:v>
                </c:pt>
                <c:pt idx="2">
                  <c:v>27</c:v>
                </c:pt>
                <c:pt idx="3">
                  <c:v>27</c:v>
                </c:pt>
                <c:pt idx="4">
                  <c:v>34</c:v>
                </c:pt>
                <c:pt idx="5">
                  <c:v>23</c:v>
                </c:pt>
              </c:numCache>
            </c:numRef>
          </c:val>
          <c:smooth val="0"/>
          <c:extLst>
            <c:ext xmlns:c16="http://schemas.microsoft.com/office/drawing/2014/chart" uri="{C3380CC4-5D6E-409C-BE32-E72D297353CC}">
              <c16:uniqueId val="{00000003-821E-4DF9-B010-2E40B49CBBB6}"/>
            </c:ext>
          </c:extLst>
        </c:ser>
        <c:dLbls>
          <c:showLegendKey val="0"/>
          <c:showVal val="0"/>
          <c:showCatName val="0"/>
          <c:showSerName val="0"/>
          <c:showPercent val="0"/>
          <c:showBubbleSize val="0"/>
        </c:dLbls>
        <c:marker val="1"/>
        <c:smooth val="0"/>
        <c:axId val="203866496"/>
        <c:axId val="203868032"/>
      </c:lineChart>
      <c:catAx>
        <c:axId val="203866496"/>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203868032"/>
        <c:crosses val="autoZero"/>
        <c:auto val="1"/>
        <c:lblAlgn val="ctr"/>
        <c:lblOffset val="100"/>
        <c:noMultiLvlLbl val="0"/>
      </c:catAx>
      <c:valAx>
        <c:axId val="203868032"/>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203866496"/>
        <c:crosses val="autoZero"/>
        <c:crossBetween val="between"/>
      </c:valAx>
    </c:plotArea>
    <c:legend>
      <c:legendPos val="r"/>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legend>
    <c:plotVisOnly val="1"/>
    <c:dispBlanksAs val="gap"/>
    <c:showDLblsOverMax val="0"/>
  </c:chart>
  <c:txPr>
    <a:bodyPr/>
    <a:lstStyle/>
    <a:p>
      <a:pPr>
        <a:defRPr lang="zh-CN"/>
      </a:pPr>
      <a:endParaRPr lang="zh-CN"/>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'NO2'!$B$1</c:f>
              <c:strCache>
                <c:ptCount val="1"/>
                <c:pt idx="0">
                  <c:v>鸭子荡水库站点</c:v>
                </c:pt>
              </c:strCache>
            </c:strRef>
          </c:tx>
          <c:cat>
            <c:numRef>
              <c:f>'NO2'!$A$2:$A$7</c:f>
              <c:numCache>
                <c:formatCode>General</c:formatCode>
                <c:ptCount val="6"/>
                <c:pt idx="0">
                  <c:v>2014</c:v>
                </c:pt>
                <c:pt idx="1">
                  <c:v>2015</c:v>
                </c:pt>
                <c:pt idx="2">
                  <c:v>2016</c:v>
                </c:pt>
                <c:pt idx="3">
                  <c:v>2017</c:v>
                </c:pt>
                <c:pt idx="4">
                  <c:v>2018</c:v>
                </c:pt>
                <c:pt idx="5">
                  <c:v>2019</c:v>
                </c:pt>
              </c:numCache>
            </c:numRef>
          </c:cat>
          <c:val>
            <c:numRef>
              <c:f>'NO2'!$B$2:$B$7</c:f>
              <c:numCache>
                <c:formatCode>General</c:formatCode>
                <c:ptCount val="6"/>
                <c:pt idx="0">
                  <c:v>31</c:v>
                </c:pt>
                <c:pt idx="1">
                  <c:v>17</c:v>
                </c:pt>
                <c:pt idx="2">
                  <c:v>23</c:v>
                </c:pt>
                <c:pt idx="3">
                  <c:v>25</c:v>
                </c:pt>
                <c:pt idx="4">
                  <c:v>24</c:v>
                </c:pt>
              </c:numCache>
            </c:numRef>
          </c:val>
          <c:smooth val="0"/>
          <c:extLst>
            <c:ext xmlns:c16="http://schemas.microsoft.com/office/drawing/2014/chart" uri="{C3380CC4-5D6E-409C-BE32-E72D297353CC}">
              <c16:uniqueId val="{00000000-D24D-4EDA-8018-75D456D4BE84}"/>
            </c:ext>
          </c:extLst>
        </c:ser>
        <c:ser>
          <c:idx val="1"/>
          <c:order val="1"/>
          <c:tx>
            <c:strRef>
              <c:f>'NO2'!$C$1</c:f>
              <c:strCache>
                <c:ptCount val="1"/>
                <c:pt idx="0">
                  <c:v>煤化工园区站点</c:v>
                </c:pt>
              </c:strCache>
            </c:strRef>
          </c:tx>
          <c:cat>
            <c:numRef>
              <c:f>'NO2'!$A$2:$A$7</c:f>
              <c:numCache>
                <c:formatCode>General</c:formatCode>
                <c:ptCount val="6"/>
                <c:pt idx="0">
                  <c:v>2014</c:v>
                </c:pt>
                <c:pt idx="1">
                  <c:v>2015</c:v>
                </c:pt>
                <c:pt idx="2">
                  <c:v>2016</c:v>
                </c:pt>
                <c:pt idx="3">
                  <c:v>2017</c:v>
                </c:pt>
                <c:pt idx="4">
                  <c:v>2018</c:v>
                </c:pt>
                <c:pt idx="5">
                  <c:v>2019</c:v>
                </c:pt>
              </c:numCache>
            </c:numRef>
          </c:cat>
          <c:val>
            <c:numRef>
              <c:f>'NO2'!$C$2:$C$7</c:f>
              <c:numCache>
                <c:formatCode>General</c:formatCode>
                <c:ptCount val="6"/>
                <c:pt idx="0">
                  <c:v>24</c:v>
                </c:pt>
                <c:pt idx="1">
                  <c:v>18</c:v>
                </c:pt>
                <c:pt idx="2">
                  <c:v>18</c:v>
                </c:pt>
                <c:pt idx="3">
                  <c:v>27</c:v>
                </c:pt>
                <c:pt idx="4">
                  <c:v>22</c:v>
                </c:pt>
              </c:numCache>
            </c:numRef>
          </c:val>
          <c:smooth val="0"/>
          <c:extLst>
            <c:ext xmlns:c16="http://schemas.microsoft.com/office/drawing/2014/chart" uri="{C3380CC4-5D6E-409C-BE32-E72D297353CC}">
              <c16:uniqueId val="{00000001-D24D-4EDA-8018-75D456D4BE84}"/>
            </c:ext>
          </c:extLst>
        </c:ser>
        <c:ser>
          <c:idx val="2"/>
          <c:order val="2"/>
          <c:tx>
            <c:strRef>
              <c:f>'NO2'!$D$1</c:f>
              <c:strCache>
                <c:ptCount val="1"/>
                <c:pt idx="0">
                  <c:v>临河工业区站点</c:v>
                </c:pt>
              </c:strCache>
            </c:strRef>
          </c:tx>
          <c:cat>
            <c:numRef>
              <c:f>'NO2'!$A$2:$A$7</c:f>
              <c:numCache>
                <c:formatCode>General</c:formatCode>
                <c:ptCount val="6"/>
                <c:pt idx="0">
                  <c:v>2014</c:v>
                </c:pt>
                <c:pt idx="1">
                  <c:v>2015</c:v>
                </c:pt>
                <c:pt idx="2">
                  <c:v>2016</c:v>
                </c:pt>
                <c:pt idx="3">
                  <c:v>2017</c:v>
                </c:pt>
                <c:pt idx="4">
                  <c:v>2018</c:v>
                </c:pt>
                <c:pt idx="5">
                  <c:v>2019</c:v>
                </c:pt>
              </c:numCache>
            </c:numRef>
          </c:cat>
          <c:val>
            <c:numRef>
              <c:f>'NO2'!$D$2:$D$7</c:f>
              <c:numCache>
                <c:formatCode>General</c:formatCode>
                <c:ptCount val="6"/>
                <c:pt idx="0">
                  <c:v>27</c:v>
                </c:pt>
                <c:pt idx="1">
                  <c:v>18</c:v>
                </c:pt>
                <c:pt idx="2">
                  <c:v>24</c:v>
                </c:pt>
                <c:pt idx="3">
                  <c:v>27</c:v>
                </c:pt>
                <c:pt idx="4">
                  <c:v>30</c:v>
                </c:pt>
              </c:numCache>
            </c:numRef>
          </c:val>
          <c:smooth val="0"/>
          <c:extLst>
            <c:ext xmlns:c16="http://schemas.microsoft.com/office/drawing/2014/chart" uri="{C3380CC4-5D6E-409C-BE32-E72D297353CC}">
              <c16:uniqueId val="{00000002-D24D-4EDA-8018-75D456D4BE84}"/>
            </c:ext>
          </c:extLst>
        </c:ser>
        <c:ser>
          <c:idx val="3"/>
          <c:order val="3"/>
          <c:tx>
            <c:strRef>
              <c:f>'NO2'!$E$1</c:f>
              <c:strCache>
                <c:ptCount val="1"/>
                <c:pt idx="0">
                  <c:v>宁东基地</c:v>
                </c:pt>
              </c:strCache>
            </c:strRef>
          </c:tx>
          <c:cat>
            <c:numRef>
              <c:f>'NO2'!$A$2:$A$7</c:f>
              <c:numCache>
                <c:formatCode>General</c:formatCode>
                <c:ptCount val="6"/>
                <c:pt idx="0">
                  <c:v>2014</c:v>
                </c:pt>
                <c:pt idx="1">
                  <c:v>2015</c:v>
                </c:pt>
                <c:pt idx="2">
                  <c:v>2016</c:v>
                </c:pt>
                <c:pt idx="3">
                  <c:v>2017</c:v>
                </c:pt>
                <c:pt idx="4">
                  <c:v>2018</c:v>
                </c:pt>
                <c:pt idx="5">
                  <c:v>2019</c:v>
                </c:pt>
              </c:numCache>
            </c:numRef>
          </c:cat>
          <c:val>
            <c:numRef>
              <c:f>'NO2'!$E$2:$E$7</c:f>
              <c:numCache>
                <c:formatCode>General</c:formatCode>
                <c:ptCount val="6"/>
                <c:pt idx="0">
                  <c:v>27</c:v>
                </c:pt>
                <c:pt idx="1">
                  <c:v>20</c:v>
                </c:pt>
                <c:pt idx="2">
                  <c:v>23</c:v>
                </c:pt>
                <c:pt idx="3">
                  <c:v>27</c:v>
                </c:pt>
                <c:pt idx="4">
                  <c:v>30</c:v>
                </c:pt>
                <c:pt idx="5">
                  <c:v>27</c:v>
                </c:pt>
              </c:numCache>
            </c:numRef>
          </c:val>
          <c:smooth val="0"/>
          <c:extLst>
            <c:ext xmlns:c16="http://schemas.microsoft.com/office/drawing/2014/chart" uri="{C3380CC4-5D6E-409C-BE32-E72D297353CC}">
              <c16:uniqueId val="{00000003-D24D-4EDA-8018-75D456D4BE84}"/>
            </c:ext>
          </c:extLst>
        </c:ser>
        <c:dLbls>
          <c:showLegendKey val="0"/>
          <c:showVal val="0"/>
          <c:showCatName val="0"/>
          <c:showSerName val="0"/>
          <c:showPercent val="0"/>
          <c:showBubbleSize val="0"/>
        </c:dLbls>
        <c:marker val="1"/>
        <c:smooth val="0"/>
        <c:axId val="204248576"/>
        <c:axId val="204250112"/>
      </c:lineChart>
      <c:catAx>
        <c:axId val="204248576"/>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204250112"/>
        <c:crosses val="autoZero"/>
        <c:auto val="1"/>
        <c:lblAlgn val="ctr"/>
        <c:lblOffset val="100"/>
        <c:noMultiLvlLbl val="0"/>
      </c:catAx>
      <c:valAx>
        <c:axId val="204250112"/>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204248576"/>
        <c:crosses val="autoZero"/>
        <c:crossBetween val="between"/>
      </c:valAx>
    </c:plotArea>
    <c:legend>
      <c:legendPos val="r"/>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legend>
    <c:plotVisOnly val="1"/>
    <c:dispBlanksAs val="gap"/>
    <c:showDLblsOverMax val="0"/>
  </c:chart>
  <c:txPr>
    <a:bodyPr/>
    <a:lstStyle/>
    <a:p>
      <a:pPr>
        <a:defRPr lang="zh-CN"/>
      </a:pPr>
      <a:endParaRPr lang="zh-CN"/>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CO!$B$1</c:f>
              <c:strCache>
                <c:ptCount val="1"/>
                <c:pt idx="0">
                  <c:v>鸭子荡水库站点</c:v>
                </c:pt>
              </c:strCache>
            </c:strRef>
          </c:tx>
          <c:cat>
            <c:numRef>
              <c:f>CO!$A$2:$A$7</c:f>
              <c:numCache>
                <c:formatCode>General</c:formatCode>
                <c:ptCount val="6"/>
                <c:pt idx="0">
                  <c:v>2014</c:v>
                </c:pt>
                <c:pt idx="1">
                  <c:v>2015</c:v>
                </c:pt>
                <c:pt idx="2">
                  <c:v>2016</c:v>
                </c:pt>
                <c:pt idx="3">
                  <c:v>2017</c:v>
                </c:pt>
                <c:pt idx="4">
                  <c:v>2018</c:v>
                </c:pt>
                <c:pt idx="5">
                  <c:v>2019</c:v>
                </c:pt>
              </c:numCache>
            </c:numRef>
          </c:cat>
          <c:val>
            <c:numRef>
              <c:f>CO!$B$2:$B$7</c:f>
              <c:numCache>
                <c:formatCode>General</c:formatCode>
                <c:ptCount val="6"/>
                <c:pt idx="0">
                  <c:v>1.9</c:v>
                </c:pt>
                <c:pt idx="1">
                  <c:v>1.2</c:v>
                </c:pt>
                <c:pt idx="2">
                  <c:v>1.6</c:v>
                </c:pt>
                <c:pt idx="3">
                  <c:v>1.6</c:v>
                </c:pt>
                <c:pt idx="4">
                  <c:v>2.2000000000000002</c:v>
                </c:pt>
              </c:numCache>
            </c:numRef>
          </c:val>
          <c:smooth val="0"/>
          <c:extLst>
            <c:ext xmlns:c16="http://schemas.microsoft.com/office/drawing/2014/chart" uri="{C3380CC4-5D6E-409C-BE32-E72D297353CC}">
              <c16:uniqueId val="{00000000-BACD-4155-9E47-EB96AD0B86EC}"/>
            </c:ext>
          </c:extLst>
        </c:ser>
        <c:ser>
          <c:idx val="1"/>
          <c:order val="1"/>
          <c:tx>
            <c:strRef>
              <c:f>CO!$C$1</c:f>
              <c:strCache>
                <c:ptCount val="1"/>
                <c:pt idx="0">
                  <c:v>煤化工园区站点</c:v>
                </c:pt>
              </c:strCache>
            </c:strRef>
          </c:tx>
          <c:cat>
            <c:numRef>
              <c:f>CO!$A$2:$A$7</c:f>
              <c:numCache>
                <c:formatCode>General</c:formatCode>
                <c:ptCount val="6"/>
                <c:pt idx="0">
                  <c:v>2014</c:v>
                </c:pt>
                <c:pt idx="1">
                  <c:v>2015</c:v>
                </c:pt>
                <c:pt idx="2">
                  <c:v>2016</c:v>
                </c:pt>
                <c:pt idx="3">
                  <c:v>2017</c:v>
                </c:pt>
                <c:pt idx="4">
                  <c:v>2018</c:v>
                </c:pt>
                <c:pt idx="5">
                  <c:v>2019</c:v>
                </c:pt>
              </c:numCache>
            </c:numRef>
          </c:cat>
          <c:val>
            <c:numRef>
              <c:f>CO!$C$2:$C$7</c:f>
              <c:numCache>
                <c:formatCode>General</c:formatCode>
                <c:ptCount val="6"/>
                <c:pt idx="0">
                  <c:v>1.7</c:v>
                </c:pt>
                <c:pt idx="1">
                  <c:v>1.1000000000000001</c:v>
                </c:pt>
                <c:pt idx="2">
                  <c:v>1.3</c:v>
                </c:pt>
                <c:pt idx="3">
                  <c:v>1.3</c:v>
                </c:pt>
                <c:pt idx="4">
                  <c:v>1.2</c:v>
                </c:pt>
              </c:numCache>
            </c:numRef>
          </c:val>
          <c:smooth val="0"/>
          <c:extLst>
            <c:ext xmlns:c16="http://schemas.microsoft.com/office/drawing/2014/chart" uri="{C3380CC4-5D6E-409C-BE32-E72D297353CC}">
              <c16:uniqueId val="{00000001-BACD-4155-9E47-EB96AD0B86EC}"/>
            </c:ext>
          </c:extLst>
        </c:ser>
        <c:ser>
          <c:idx val="2"/>
          <c:order val="2"/>
          <c:tx>
            <c:strRef>
              <c:f>CO!$D$1</c:f>
              <c:strCache>
                <c:ptCount val="1"/>
                <c:pt idx="0">
                  <c:v>临河工业区站点</c:v>
                </c:pt>
              </c:strCache>
            </c:strRef>
          </c:tx>
          <c:cat>
            <c:numRef>
              <c:f>CO!$A$2:$A$7</c:f>
              <c:numCache>
                <c:formatCode>General</c:formatCode>
                <c:ptCount val="6"/>
                <c:pt idx="0">
                  <c:v>2014</c:v>
                </c:pt>
                <c:pt idx="1">
                  <c:v>2015</c:v>
                </c:pt>
                <c:pt idx="2">
                  <c:v>2016</c:v>
                </c:pt>
                <c:pt idx="3">
                  <c:v>2017</c:v>
                </c:pt>
                <c:pt idx="4">
                  <c:v>2018</c:v>
                </c:pt>
                <c:pt idx="5">
                  <c:v>2019</c:v>
                </c:pt>
              </c:numCache>
            </c:numRef>
          </c:cat>
          <c:val>
            <c:numRef>
              <c:f>CO!$D$2:$D$7</c:f>
              <c:numCache>
                <c:formatCode>General</c:formatCode>
                <c:ptCount val="6"/>
                <c:pt idx="0">
                  <c:v>1.7</c:v>
                </c:pt>
                <c:pt idx="1">
                  <c:v>1</c:v>
                </c:pt>
                <c:pt idx="2">
                  <c:v>1.9</c:v>
                </c:pt>
                <c:pt idx="3">
                  <c:v>1.5</c:v>
                </c:pt>
                <c:pt idx="4">
                  <c:v>1.8</c:v>
                </c:pt>
              </c:numCache>
            </c:numRef>
          </c:val>
          <c:smooth val="0"/>
          <c:extLst>
            <c:ext xmlns:c16="http://schemas.microsoft.com/office/drawing/2014/chart" uri="{C3380CC4-5D6E-409C-BE32-E72D297353CC}">
              <c16:uniqueId val="{00000002-BACD-4155-9E47-EB96AD0B86EC}"/>
            </c:ext>
          </c:extLst>
        </c:ser>
        <c:ser>
          <c:idx val="3"/>
          <c:order val="3"/>
          <c:tx>
            <c:strRef>
              <c:f>CO!$E$1</c:f>
              <c:strCache>
                <c:ptCount val="1"/>
                <c:pt idx="0">
                  <c:v>宁东基地</c:v>
                </c:pt>
              </c:strCache>
            </c:strRef>
          </c:tx>
          <c:cat>
            <c:numRef>
              <c:f>CO!$A$2:$A$7</c:f>
              <c:numCache>
                <c:formatCode>General</c:formatCode>
                <c:ptCount val="6"/>
                <c:pt idx="0">
                  <c:v>2014</c:v>
                </c:pt>
                <c:pt idx="1">
                  <c:v>2015</c:v>
                </c:pt>
                <c:pt idx="2">
                  <c:v>2016</c:v>
                </c:pt>
                <c:pt idx="3">
                  <c:v>2017</c:v>
                </c:pt>
                <c:pt idx="4">
                  <c:v>2018</c:v>
                </c:pt>
                <c:pt idx="5">
                  <c:v>2019</c:v>
                </c:pt>
              </c:numCache>
            </c:numRef>
          </c:cat>
          <c:val>
            <c:numRef>
              <c:f>CO!$E$2:$E$7</c:f>
              <c:numCache>
                <c:formatCode>General</c:formatCode>
                <c:ptCount val="6"/>
                <c:pt idx="0">
                  <c:v>1.7</c:v>
                </c:pt>
                <c:pt idx="1">
                  <c:v>1.2</c:v>
                </c:pt>
                <c:pt idx="2">
                  <c:v>1.5</c:v>
                </c:pt>
                <c:pt idx="3">
                  <c:v>1.4</c:v>
                </c:pt>
                <c:pt idx="4">
                  <c:v>1.8</c:v>
                </c:pt>
                <c:pt idx="5">
                  <c:v>1.1000000000000001</c:v>
                </c:pt>
              </c:numCache>
            </c:numRef>
          </c:val>
          <c:smooth val="0"/>
          <c:extLst>
            <c:ext xmlns:c16="http://schemas.microsoft.com/office/drawing/2014/chart" uri="{C3380CC4-5D6E-409C-BE32-E72D297353CC}">
              <c16:uniqueId val="{00000003-BACD-4155-9E47-EB96AD0B86EC}"/>
            </c:ext>
          </c:extLst>
        </c:ser>
        <c:dLbls>
          <c:showLegendKey val="0"/>
          <c:showVal val="0"/>
          <c:showCatName val="0"/>
          <c:showSerName val="0"/>
          <c:showPercent val="0"/>
          <c:showBubbleSize val="0"/>
        </c:dLbls>
        <c:marker val="1"/>
        <c:smooth val="0"/>
        <c:axId val="204266112"/>
        <c:axId val="204276096"/>
      </c:lineChart>
      <c:catAx>
        <c:axId val="204266112"/>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204276096"/>
        <c:crosses val="autoZero"/>
        <c:auto val="1"/>
        <c:lblAlgn val="ctr"/>
        <c:lblOffset val="100"/>
        <c:noMultiLvlLbl val="0"/>
      </c:catAx>
      <c:valAx>
        <c:axId val="204276096"/>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204266112"/>
        <c:crosses val="autoZero"/>
        <c:crossBetween val="between"/>
      </c:valAx>
    </c:plotArea>
    <c:legend>
      <c:legendPos val="r"/>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legend>
    <c:plotVisOnly val="1"/>
    <c:dispBlanksAs val="gap"/>
    <c:showDLblsOverMax val="0"/>
  </c:chart>
  <c:txPr>
    <a:bodyPr/>
    <a:lstStyle/>
    <a:p>
      <a:pPr>
        <a:defRPr lang="zh-CN"/>
      </a:pPr>
      <a:endParaRPr lang="zh-CN"/>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'O3'!$B$1</c:f>
              <c:strCache>
                <c:ptCount val="1"/>
                <c:pt idx="0">
                  <c:v>鸭子荡水库站点</c:v>
                </c:pt>
              </c:strCache>
            </c:strRef>
          </c:tx>
          <c:cat>
            <c:numRef>
              <c:f>'O3'!$A$2:$A$7</c:f>
              <c:numCache>
                <c:formatCode>General</c:formatCode>
                <c:ptCount val="6"/>
                <c:pt idx="0">
                  <c:v>2014</c:v>
                </c:pt>
                <c:pt idx="1">
                  <c:v>2015</c:v>
                </c:pt>
                <c:pt idx="2">
                  <c:v>2016</c:v>
                </c:pt>
                <c:pt idx="3">
                  <c:v>2017</c:v>
                </c:pt>
                <c:pt idx="4">
                  <c:v>2018</c:v>
                </c:pt>
                <c:pt idx="5">
                  <c:v>2019</c:v>
                </c:pt>
              </c:numCache>
            </c:numRef>
          </c:cat>
          <c:val>
            <c:numRef>
              <c:f>'O3'!$B$2:$B$7</c:f>
              <c:numCache>
                <c:formatCode>General</c:formatCode>
                <c:ptCount val="6"/>
                <c:pt idx="0">
                  <c:v>143</c:v>
                </c:pt>
                <c:pt idx="1">
                  <c:v>96</c:v>
                </c:pt>
                <c:pt idx="2">
                  <c:v>130</c:v>
                </c:pt>
                <c:pt idx="3">
                  <c:v>158</c:v>
                </c:pt>
                <c:pt idx="4">
                  <c:v>150</c:v>
                </c:pt>
              </c:numCache>
            </c:numRef>
          </c:val>
          <c:smooth val="0"/>
          <c:extLst>
            <c:ext xmlns:c16="http://schemas.microsoft.com/office/drawing/2014/chart" uri="{C3380CC4-5D6E-409C-BE32-E72D297353CC}">
              <c16:uniqueId val="{00000000-9127-435B-9B87-F61D45E1C7CD}"/>
            </c:ext>
          </c:extLst>
        </c:ser>
        <c:ser>
          <c:idx val="1"/>
          <c:order val="1"/>
          <c:tx>
            <c:strRef>
              <c:f>'O3'!$C$1</c:f>
              <c:strCache>
                <c:ptCount val="1"/>
                <c:pt idx="0">
                  <c:v>煤化工园区站点</c:v>
                </c:pt>
              </c:strCache>
            </c:strRef>
          </c:tx>
          <c:cat>
            <c:numRef>
              <c:f>'O3'!$A$2:$A$7</c:f>
              <c:numCache>
                <c:formatCode>General</c:formatCode>
                <c:ptCount val="6"/>
                <c:pt idx="0">
                  <c:v>2014</c:v>
                </c:pt>
                <c:pt idx="1">
                  <c:v>2015</c:v>
                </c:pt>
                <c:pt idx="2">
                  <c:v>2016</c:v>
                </c:pt>
                <c:pt idx="3">
                  <c:v>2017</c:v>
                </c:pt>
                <c:pt idx="4">
                  <c:v>2018</c:v>
                </c:pt>
                <c:pt idx="5">
                  <c:v>2019</c:v>
                </c:pt>
              </c:numCache>
            </c:numRef>
          </c:cat>
          <c:val>
            <c:numRef>
              <c:f>'O3'!$C$2:$C$7</c:f>
              <c:numCache>
                <c:formatCode>General</c:formatCode>
                <c:ptCount val="6"/>
                <c:pt idx="0">
                  <c:v>123</c:v>
                </c:pt>
                <c:pt idx="1">
                  <c:v>58</c:v>
                </c:pt>
                <c:pt idx="2">
                  <c:v>148</c:v>
                </c:pt>
                <c:pt idx="3">
                  <c:v>163</c:v>
                </c:pt>
                <c:pt idx="4">
                  <c:v>143</c:v>
                </c:pt>
              </c:numCache>
            </c:numRef>
          </c:val>
          <c:smooth val="0"/>
          <c:extLst>
            <c:ext xmlns:c16="http://schemas.microsoft.com/office/drawing/2014/chart" uri="{C3380CC4-5D6E-409C-BE32-E72D297353CC}">
              <c16:uniqueId val="{00000001-9127-435B-9B87-F61D45E1C7CD}"/>
            </c:ext>
          </c:extLst>
        </c:ser>
        <c:ser>
          <c:idx val="2"/>
          <c:order val="2"/>
          <c:tx>
            <c:strRef>
              <c:f>'O3'!$D$1</c:f>
              <c:strCache>
                <c:ptCount val="1"/>
                <c:pt idx="0">
                  <c:v>临河工业区站点</c:v>
                </c:pt>
              </c:strCache>
            </c:strRef>
          </c:tx>
          <c:cat>
            <c:numRef>
              <c:f>'O3'!$A$2:$A$7</c:f>
              <c:numCache>
                <c:formatCode>General</c:formatCode>
                <c:ptCount val="6"/>
                <c:pt idx="0">
                  <c:v>2014</c:v>
                </c:pt>
                <c:pt idx="1">
                  <c:v>2015</c:v>
                </c:pt>
                <c:pt idx="2">
                  <c:v>2016</c:v>
                </c:pt>
                <c:pt idx="3">
                  <c:v>2017</c:v>
                </c:pt>
                <c:pt idx="4">
                  <c:v>2018</c:v>
                </c:pt>
                <c:pt idx="5">
                  <c:v>2019</c:v>
                </c:pt>
              </c:numCache>
            </c:numRef>
          </c:cat>
          <c:val>
            <c:numRef>
              <c:f>'O3'!$D$2:$D$7</c:f>
              <c:numCache>
                <c:formatCode>General</c:formatCode>
                <c:ptCount val="6"/>
                <c:pt idx="0">
                  <c:v>123</c:v>
                </c:pt>
                <c:pt idx="1">
                  <c:v>88</c:v>
                </c:pt>
                <c:pt idx="2">
                  <c:v>145</c:v>
                </c:pt>
                <c:pt idx="3">
                  <c:v>153</c:v>
                </c:pt>
                <c:pt idx="4">
                  <c:v>142</c:v>
                </c:pt>
              </c:numCache>
            </c:numRef>
          </c:val>
          <c:smooth val="0"/>
          <c:extLst>
            <c:ext xmlns:c16="http://schemas.microsoft.com/office/drawing/2014/chart" uri="{C3380CC4-5D6E-409C-BE32-E72D297353CC}">
              <c16:uniqueId val="{00000002-9127-435B-9B87-F61D45E1C7CD}"/>
            </c:ext>
          </c:extLst>
        </c:ser>
        <c:ser>
          <c:idx val="3"/>
          <c:order val="3"/>
          <c:tx>
            <c:strRef>
              <c:f>'O3'!$E$1</c:f>
              <c:strCache>
                <c:ptCount val="1"/>
                <c:pt idx="0">
                  <c:v>宁东基地</c:v>
                </c:pt>
              </c:strCache>
            </c:strRef>
          </c:tx>
          <c:cat>
            <c:numRef>
              <c:f>'O3'!$A$2:$A$7</c:f>
              <c:numCache>
                <c:formatCode>General</c:formatCode>
                <c:ptCount val="6"/>
                <c:pt idx="0">
                  <c:v>2014</c:v>
                </c:pt>
                <c:pt idx="1">
                  <c:v>2015</c:v>
                </c:pt>
                <c:pt idx="2">
                  <c:v>2016</c:v>
                </c:pt>
                <c:pt idx="3">
                  <c:v>2017</c:v>
                </c:pt>
                <c:pt idx="4">
                  <c:v>2018</c:v>
                </c:pt>
                <c:pt idx="5">
                  <c:v>2019</c:v>
                </c:pt>
              </c:numCache>
            </c:numRef>
          </c:cat>
          <c:val>
            <c:numRef>
              <c:f>'O3'!$E$2:$E$7</c:f>
              <c:numCache>
                <c:formatCode>General</c:formatCode>
                <c:ptCount val="6"/>
                <c:pt idx="0">
                  <c:v>132</c:v>
                </c:pt>
                <c:pt idx="1">
                  <c:v>84</c:v>
                </c:pt>
                <c:pt idx="2">
                  <c:v>136</c:v>
                </c:pt>
                <c:pt idx="3">
                  <c:v>159</c:v>
                </c:pt>
                <c:pt idx="4">
                  <c:v>142</c:v>
                </c:pt>
                <c:pt idx="5">
                  <c:v>147</c:v>
                </c:pt>
              </c:numCache>
            </c:numRef>
          </c:val>
          <c:smooth val="0"/>
          <c:extLst>
            <c:ext xmlns:c16="http://schemas.microsoft.com/office/drawing/2014/chart" uri="{C3380CC4-5D6E-409C-BE32-E72D297353CC}">
              <c16:uniqueId val="{00000003-9127-435B-9B87-F61D45E1C7CD}"/>
            </c:ext>
          </c:extLst>
        </c:ser>
        <c:dLbls>
          <c:showLegendKey val="0"/>
          <c:showVal val="0"/>
          <c:showCatName val="0"/>
          <c:showSerName val="0"/>
          <c:showPercent val="0"/>
          <c:showBubbleSize val="0"/>
        </c:dLbls>
        <c:marker val="1"/>
        <c:smooth val="0"/>
        <c:axId val="204320768"/>
        <c:axId val="204322304"/>
      </c:lineChart>
      <c:catAx>
        <c:axId val="204320768"/>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204322304"/>
        <c:crosses val="autoZero"/>
        <c:auto val="1"/>
        <c:lblAlgn val="ctr"/>
        <c:lblOffset val="100"/>
        <c:noMultiLvlLbl val="0"/>
      </c:catAx>
      <c:valAx>
        <c:axId val="204322304"/>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204320768"/>
        <c:crosses val="autoZero"/>
        <c:crossBetween val="between"/>
      </c:valAx>
    </c:plotArea>
    <c:legend>
      <c:legendPos val="r"/>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legend>
    <c:plotVisOnly val="1"/>
    <c:dispBlanksAs val="gap"/>
    <c:showDLblsOverMax val="0"/>
  </c:chart>
  <c:txPr>
    <a:bodyPr/>
    <a:lstStyle/>
    <a:p>
      <a:pPr>
        <a:defRPr lang="zh-CN"/>
      </a:pPr>
      <a:endParaRPr lang="zh-CN"/>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土壤侵蚀柱状图!$B$2</c:f>
              <c:strCache>
                <c:ptCount val="1"/>
                <c:pt idx="0">
                  <c:v>2004</c:v>
                </c:pt>
              </c:strCache>
            </c:strRef>
          </c:tx>
          <c:spPr>
            <a:solidFill>
              <a:schemeClr val="accent1"/>
            </a:solidFill>
            <a:ln>
              <a:noFill/>
            </a:ln>
            <a:effectLst/>
          </c:spPr>
          <c:invertIfNegative val="0"/>
          <c:cat>
            <c:strRef>
              <c:f>土壤侵蚀柱状图!$A$3:$A$7</c:f>
              <c:strCache>
                <c:ptCount val="5"/>
                <c:pt idx="0">
                  <c:v>微度侵蚀</c:v>
                </c:pt>
                <c:pt idx="1">
                  <c:v>轻度侵蚀</c:v>
                </c:pt>
                <c:pt idx="2">
                  <c:v>中度侵蚀</c:v>
                </c:pt>
                <c:pt idx="3">
                  <c:v>强烈侵蚀</c:v>
                </c:pt>
                <c:pt idx="4">
                  <c:v>极强烈侵蚀</c:v>
                </c:pt>
              </c:strCache>
            </c:strRef>
          </c:cat>
          <c:val>
            <c:numRef>
              <c:f>土壤侵蚀柱状图!$B$3:$B$7</c:f>
              <c:numCache>
                <c:formatCode>General</c:formatCode>
                <c:ptCount val="5"/>
                <c:pt idx="0">
                  <c:v>7.6978660142984703</c:v>
                </c:pt>
                <c:pt idx="1">
                  <c:v>9.96041133508594</c:v>
                </c:pt>
                <c:pt idx="2">
                  <c:v>251.20972944641301</c:v>
                </c:pt>
                <c:pt idx="3">
                  <c:v>42.448618186344099</c:v>
                </c:pt>
                <c:pt idx="4">
                  <c:v>2.7789389777001001</c:v>
                </c:pt>
              </c:numCache>
            </c:numRef>
          </c:val>
          <c:extLst>
            <c:ext xmlns:c16="http://schemas.microsoft.com/office/drawing/2014/chart" uri="{C3380CC4-5D6E-409C-BE32-E72D297353CC}">
              <c16:uniqueId val="{00000000-0CFF-428D-B972-82E27FE115B3}"/>
            </c:ext>
          </c:extLst>
        </c:ser>
        <c:ser>
          <c:idx val="1"/>
          <c:order val="1"/>
          <c:tx>
            <c:strRef>
              <c:f>土壤侵蚀柱状图!$C$2</c:f>
              <c:strCache>
                <c:ptCount val="1"/>
                <c:pt idx="0">
                  <c:v>2010</c:v>
                </c:pt>
              </c:strCache>
            </c:strRef>
          </c:tx>
          <c:spPr>
            <a:solidFill>
              <a:schemeClr val="accent2"/>
            </a:solidFill>
            <a:ln>
              <a:noFill/>
            </a:ln>
            <a:effectLst/>
          </c:spPr>
          <c:invertIfNegative val="0"/>
          <c:cat>
            <c:strRef>
              <c:f>土壤侵蚀柱状图!$A$3:$A$7</c:f>
              <c:strCache>
                <c:ptCount val="5"/>
                <c:pt idx="0">
                  <c:v>微度侵蚀</c:v>
                </c:pt>
                <c:pt idx="1">
                  <c:v>轻度侵蚀</c:v>
                </c:pt>
                <c:pt idx="2">
                  <c:v>中度侵蚀</c:v>
                </c:pt>
                <c:pt idx="3">
                  <c:v>强烈侵蚀</c:v>
                </c:pt>
                <c:pt idx="4">
                  <c:v>极强烈侵蚀</c:v>
                </c:pt>
              </c:strCache>
            </c:strRef>
          </c:cat>
          <c:val>
            <c:numRef>
              <c:f>土壤侵蚀柱状图!$C$3:$C$7</c:f>
              <c:numCache>
                <c:formatCode>General</c:formatCode>
                <c:ptCount val="5"/>
                <c:pt idx="0">
                  <c:v>16.887523275393299</c:v>
                </c:pt>
                <c:pt idx="1">
                  <c:v>16.618716074162101</c:v>
                </c:pt>
                <c:pt idx="2">
                  <c:v>227.41043072941699</c:v>
                </c:pt>
                <c:pt idx="3">
                  <c:v>44.831628930273098</c:v>
                </c:pt>
                <c:pt idx="4">
                  <c:v>8.3499356190980993</c:v>
                </c:pt>
              </c:numCache>
            </c:numRef>
          </c:val>
          <c:extLst>
            <c:ext xmlns:c16="http://schemas.microsoft.com/office/drawing/2014/chart" uri="{C3380CC4-5D6E-409C-BE32-E72D297353CC}">
              <c16:uniqueId val="{00000001-0CFF-428D-B972-82E27FE115B3}"/>
            </c:ext>
          </c:extLst>
        </c:ser>
        <c:ser>
          <c:idx val="2"/>
          <c:order val="2"/>
          <c:tx>
            <c:strRef>
              <c:f>土壤侵蚀柱状图!$D$2</c:f>
              <c:strCache>
                <c:ptCount val="1"/>
                <c:pt idx="0">
                  <c:v>2019</c:v>
                </c:pt>
              </c:strCache>
            </c:strRef>
          </c:tx>
          <c:spPr>
            <a:solidFill>
              <a:schemeClr val="accent3"/>
            </a:solidFill>
            <a:ln>
              <a:noFill/>
            </a:ln>
            <a:effectLst/>
          </c:spPr>
          <c:invertIfNegative val="0"/>
          <c:cat>
            <c:strRef>
              <c:f>土壤侵蚀柱状图!$A$3:$A$7</c:f>
              <c:strCache>
                <c:ptCount val="5"/>
                <c:pt idx="0">
                  <c:v>微度侵蚀</c:v>
                </c:pt>
                <c:pt idx="1">
                  <c:v>轻度侵蚀</c:v>
                </c:pt>
                <c:pt idx="2">
                  <c:v>中度侵蚀</c:v>
                </c:pt>
                <c:pt idx="3">
                  <c:v>强烈侵蚀</c:v>
                </c:pt>
                <c:pt idx="4">
                  <c:v>极强烈侵蚀</c:v>
                </c:pt>
              </c:strCache>
            </c:strRef>
          </c:cat>
          <c:val>
            <c:numRef>
              <c:f>土壤侵蚀柱状图!$D$3:$D$7</c:f>
              <c:numCache>
                <c:formatCode>General</c:formatCode>
                <c:ptCount val="5"/>
                <c:pt idx="0">
                  <c:v>44.538318355744202</c:v>
                </c:pt>
                <c:pt idx="1">
                  <c:v>38.598154337704401</c:v>
                </c:pt>
                <c:pt idx="2">
                  <c:v>202.37712097975501</c:v>
                </c:pt>
                <c:pt idx="3">
                  <c:v>15.523830824374199</c:v>
                </c:pt>
                <c:pt idx="4">
                  <c:v>13.0581399602136</c:v>
                </c:pt>
              </c:numCache>
            </c:numRef>
          </c:val>
          <c:extLst>
            <c:ext xmlns:c16="http://schemas.microsoft.com/office/drawing/2014/chart" uri="{C3380CC4-5D6E-409C-BE32-E72D297353CC}">
              <c16:uniqueId val="{00000002-0CFF-428D-B972-82E27FE115B3}"/>
            </c:ext>
          </c:extLst>
        </c:ser>
        <c:dLbls>
          <c:showLegendKey val="0"/>
          <c:showVal val="0"/>
          <c:showCatName val="0"/>
          <c:showSerName val="0"/>
          <c:showPercent val="0"/>
          <c:showBubbleSize val="0"/>
        </c:dLbls>
        <c:gapWidth val="219"/>
        <c:overlap val="-27"/>
        <c:axId val="204358016"/>
        <c:axId val="204359552"/>
      </c:barChart>
      <c:catAx>
        <c:axId val="204358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4359552"/>
        <c:crosses val="autoZero"/>
        <c:auto val="1"/>
        <c:lblAlgn val="ctr"/>
        <c:lblOffset val="100"/>
        <c:noMultiLvlLbl val="0"/>
      </c:catAx>
      <c:valAx>
        <c:axId val="204359552"/>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面积：</a:t>
                </a:r>
                <a:r>
                  <a:rPr lang="en-US" altLang="zh-CN"/>
                  <a:t>km</a:t>
                </a:r>
                <a:r>
                  <a:rPr lang="en-US" altLang="zh-CN" baseline="30000"/>
                  <a:t>2</a:t>
                </a:r>
                <a:endParaRPr lang="zh-CN" altLang="en-US" baseline="30000"/>
              </a:p>
            </c:rich>
          </c:tx>
          <c:layout>
            <c:manualLayout>
              <c:xMode val="edge"/>
              <c:yMode val="edge"/>
              <c:x val="3.6111111111111101E-2"/>
              <c:y val="0.35668197725284301"/>
            </c:manualLayout>
          </c:layout>
          <c:overlay val="0"/>
          <c:spPr>
            <a:noFill/>
            <a:ln>
              <a:noFill/>
            </a:ln>
            <a:effectLst/>
          </c:spPr>
        </c:title>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4358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pPr>
      <a:endParaRPr lang="zh-CN"/>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土壤侵蚀柱状图!$B$13</c:f>
              <c:strCache>
                <c:ptCount val="1"/>
                <c:pt idx="0">
                  <c:v>2004</c:v>
                </c:pt>
              </c:strCache>
            </c:strRef>
          </c:tx>
          <c:spPr>
            <a:solidFill>
              <a:schemeClr val="accent1"/>
            </a:solidFill>
            <a:ln>
              <a:noFill/>
            </a:ln>
            <a:effectLst/>
          </c:spPr>
          <c:invertIfNegative val="0"/>
          <c:cat>
            <c:strRef>
              <c:f>土壤侵蚀柱状图!$A$14:$A$18</c:f>
              <c:strCache>
                <c:ptCount val="5"/>
                <c:pt idx="0">
                  <c:v>微度侵蚀</c:v>
                </c:pt>
                <c:pt idx="1">
                  <c:v>轻度侵蚀</c:v>
                </c:pt>
                <c:pt idx="2">
                  <c:v>中度侵蚀</c:v>
                </c:pt>
                <c:pt idx="3">
                  <c:v>强烈侵蚀</c:v>
                </c:pt>
                <c:pt idx="4">
                  <c:v>极强烈侵蚀</c:v>
                </c:pt>
              </c:strCache>
            </c:strRef>
          </c:cat>
          <c:val>
            <c:numRef>
              <c:f>土壤侵蚀柱状图!$B$14:$B$18</c:f>
              <c:numCache>
                <c:formatCode>General</c:formatCode>
                <c:ptCount val="5"/>
                <c:pt idx="0">
                  <c:v>2.10235960822639</c:v>
                </c:pt>
                <c:pt idx="1">
                  <c:v>1.5854862059945301</c:v>
                </c:pt>
                <c:pt idx="2">
                  <c:v>75.4026140177847</c:v>
                </c:pt>
                <c:pt idx="3">
                  <c:v>5.3303850361857901</c:v>
                </c:pt>
                <c:pt idx="4">
                  <c:v>1.5896663068720001</c:v>
                </c:pt>
              </c:numCache>
            </c:numRef>
          </c:val>
          <c:extLst>
            <c:ext xmlns:c16="http://schemas.microsoft.com/office/drawing/2014/chart" uri="{C3380CC4-5D6E-409C-BE32-E72D297353CC}">
              <c16:uniqueId val="{00000000-8897-437C-AD8D-D1686EAFFE28}"/>
            </c:ext>
          </c:extLst>
        </c:ser>
        <c:ser>
          <c:idx val="1"/>
          <c:order val="1"/>
          <c:tx>
            <c:strRef>
              <c:f>土壤侵蚀柱状图!$C$13</c:f>
              <c:strCache>
                <c:ptCount val="1"/>
                <c:pt idx="0">
                  <c:v>2010</c:v>
                </c:pt>
              </c:strCache>
            </c:strRef>
          </c:tx>
          <c:spPr>
            <a:solidFill>
              <a:schemeClr val="accent2"/>
            </a:solidFill>
            <a:ln>
              <a:noFill/>
            </a:ln>
            <a:effectLst/>
          </c:spPr>
          <c:invertIfNegative val="0"/>
          <c:cat>
            <c:strRef>
              <c:f>土壤侵蚀柱状图!$A$14:$A$18</c:f>
              <c:strCache>
                <c:ptCount val="5"/>
                <c:pt idx="0">
                  <c:v>微度侵蚀</c:v>
                </c:pt>
                <c:pt idx="1">
                  <c:v>轻度侵蚀</c:v>
                </c:pt>
                <c:pt idx="2">
                  <c:v>中度侵蚀</c:v>
                </c:pt>
                <c:pt idx="3">
                  <c:v>强烈侵蚀</c:v>
                </c:pt>
                <c:pt idx="4">
                  <c:v>极强烈侵蚀</c:v>
                </c:pt>
              </c:strCache>
            </c:strRef>
          </c:cat>
          <c:val>
            <c:numRef>
              <c:f>土壤侵蚀柱状图!$C$14:$C$18</c:f>
              <c:numCache>
                <c:formatCode>General</c:formatCode>
                <c:ptCount val="5"/>
                <c:pt idx="0">
                  <c:v>4.9317001816539401</c:v>
                </c:pt>
                <c:pt idx="1">
                  <c:v>5.2373470917332003</c:v>
                </c:pt>
                <c:pt idx="2">
                  <c:v>63.943683512980797</c:v>
                </c:pt>
                <c:pt idx="3">
                  <c:v>7.3990575791881801</c:v>
                </c:pt>
                <c:pt idx="4">
                  <c:v>4.5007213930656098</c:v>
                </c:pt>
              </c:numCache>
            </c:numRef>
          </c:val>
          <c:extLst>
            <c:ext xmlns:c16="http://schemas.microsoft.com/office/drawing/2014/chart" uri="{C3380CC4-5D6E-409C-BE32-E72D297353CC}">
              <c16:uniqueId val="{00000001-8897-437C-AD8D-D1686EAFFE28}"/>
            </c:ext>
          </c:extLst>
        </c:ser>
        <c:ser>
          <c:idx val="2"/>
          <c:order val="2"/>
          <c:tx>
            <c:strRef>
              <c:f>土壤侵蚀柱状图!$D$13</c:f>
              <c:strCache>
                <c:ptCount val="1"/>
                <c:pt idx="0">
                  <c:v>2019</c:v>
                </c:pt>
              </c:strCache>
            </c:strRef>
          </c:tx>
          <c:spPr>
            <a:solidFill>
              <a:schemeClr val="accent3"/>
            </a:solidFill>
            <a:ln>
              <a:noFill/>
            </a:ln>
            <a:effectLst/>
          </c:spPr>
          <c:invertIfNegative val="0"/>
          <c:cat>
            <c:strRef>
              <c:f>土壤侵蚀柱状图!$A$14:$A$18</c:f>
              <c:strCache>
                <c:ptCount val="5"/>
                <c:pt idx="0">
                  <c:v>微度侵蚀</c:v>
                </c:pt>
                <c:pt idx="1">
                  <c:v>轻度侵蚀</c:v>
                </c:pt>
                <c:pt idx="2">
                  <c:v>中度侵蚀</c:v>
                </c:pt>
                <c:pt idx="3">
                  <c:v>强烈侵蚀</c:v>
                </c:pt>
                <c:pt idx="4">
                  <c:v>极强烈侵蚀</c:v>
                </c:pt>
              </c:strCache>
            </c:strRef>
          </c:cat>
          <c:val>
            <c:numRef>
              <c:f>土壤侵蚀柱状图!$D$14:$D$18</c:f>
              <c:numCache>
                <c:formatCode>General</c:formatCode>
                <c:ptCount val="5"/>
                <c:pt idx="0">
                  <c:v>8.7479617772514704</c:v>
                </c:pt>
                <c:pt idx="1">
                  <c:v>15.7584800691137</c:v>
                </c:pt>
                <c:pt idx="2">
                  <c:v>54.862681295512701</c:v>
                </c:pt>
                <c:pt idx="3">
                  <c:v>1.5052111269049999</c:v>
                </c:pt>
                <c:pt idx="4">
                  <c:v>5.1381760024406899</c:v>
                </c:pt>
              </c:numCache>
            </c:numRef>
          </c:val>
          <c:extLst>
            <c:ext xmlns:c16="http://schemas.microsoft.com/office/drawing/2014/chart" uri="{C3380CC4-5D6E-409C-BE32-E72D297353CC}">
              <c16:uniqueId val="{00000002-8897-437C-AD8D-D1686EAFFE28}"/>
            </c:ext>
          </c:extLst>
        </c:ser>
        <c:dLbls>
          <c:showLegendKey val="0"/>
          <c:showVal val="0"/>
          <c:showCatName val="0"/>
          <c:showSerName val="0"/>
          <c:showPercent val="0"/>
          <c:showBubbleSize val="0"/>
        </c:dLbls>
        <c:gapWidth val="219"/>
        <c:overlap val="-27"/>
        <c:axId val="204428416"/>
        <c:axId val="204429952"/>
      </c:barChart>
      <c:catAx>
        <c:axId val="204428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4429952"/>
        <c:crosses val="autoZero"/>
        <c:auto val="1"/>
        <c:lblAlgn val="ctr"/>
        <c:lblOffset val="100"/>
        <c:noMultiLvlLbl val="0"/>
      </c:catAx>
      <c:valAx>
        <c:axId val="204429952"/>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面积：</a:t>
                </a:r>
                <a:r>
                  <a:rPr lang="en-US" altLang="zh-CN"/>
                  <a:t>km</a:t>
                </a:r>
                <a:r>
                  <a:rPr lang="en-US" altLang="zh-CN" baseline="30000"/>
                  <a:t>2</a:t>
                </a:r>
                <a:endParaRPr lang="zh-CN" altLang="en-US" baseline="30000"/>
              </a:p>
            </c:rich>
          </c:tx>
          <c:layout>
            <c:manualLayout>
              <c:xMode val="edge"/>
              <c:yMode val="edge"/>
              <c:x val="3.6111111111111101E-2"/>
              <c:y val="0.35668197725284301"/>
            </c:manualLayout>
          </c:layout>
          <c:overlay val="0"/>
          <c:spPr>
            <a:noFill/>
            <a:ln>
              <a:noFill/>
            </a:ln>
            <a:effectLst/>
          </c:spPr>
        </c:title>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4428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C6C667-7A83-4FA5-9504-F01F6BB9A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8509</TotalTime>
  <Pages>1</Pages>
  <Words>50573</Words>
  <Characters>288267</Characters>
  <Application>Microsoft Office Word</Application>
  <DocSecurity>0</DocSecurity>
  <Lines>2402</Lines>
  <Paragraphs>676</Paragraphs>
  <ScaleCrop>false</ScaleCrop>
  <Company>Microsoft</Company>
  <LinksUpToDate>false</LinksUpToDate>
  <CharactersWithSpaces>338164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sdh</dc:creator>
  <cp:lastModifiedBy>yogyoho yogyoho</cp:lastModifiedBy>
  <cp:revision>191</cp:revision>
  <cp:lastPrinted>2021-03-31T05:48:00Z</cp:lastPrinted>
  <dcterms:created xsi:type="dcterms:W3CDTF">2020-09-19T09:36:00Z</dcterms:created>
  <dcterms:modified xsi:type="dcterms:W3CDTF">2025-12-02T11:24:00Z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32A32C1488CC4E91813B827DCC0538DF</vt:lpwstr>
  </property>
</Properties>
</file>